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2D2869" w14:textId="5105084D" w:rsidR="58704602" w:rsidRPr="00EF1937" w:rsidRDefault="58704602" w:rsidP="4CC2B62A">
      <w:pPr>
        <w:tabs>
          <w:tab w:val="left" w:pos="694"/>
        </w:tabs>
        <w:spacing w:line="259" w:lineRule="auto"/>
        <w:ind w:right="-93"/>
        <w:jc w:val="center"/>
        <w:rPr>
          <w:rFonts w:cs="Arial"/>
          <w:b/>
          <w:bCs/>
          <w:sz w:val="28"/>
          <w:szCs w:val="28"/>
        </w:rPr>
      </w:pPr>
      <w:bookmarkStart w:id="0" w:name="_Hlk209252722"/>
      <w:bookmarkEnd w:id="0"/>
    </w:p>
    <w:p w14:paraId="3E70F615" w14:textId="77777777" w:rsidR="00E13C06" w:rsidRPr="00EF1937" w:rsidRDefault="00E13C06" w:rsidP="58704602">
      <w:pPr>
        <w:tabs>
          <w:tab w:val="left" w:pos="694"/>
        </w:tabs>
        <w:spacing w:line="259" w:lineRule="auto"/>
        <w:ind w:right="-93"/>
        <w:jc w:val="center"/>
        <w:rPr>
          <w:rFonts w:cs="Arial"/>
          <w:b/>
          <w:bCs/>
          <w:sz w:val="28"/>
          <w:szCs w:val="28"/>
        </w:rPr>
      </w:pPr>
    </w:p>
    <w:p w14:paraId="436E54EA" w14:textId="77777777" w:rsidR="00E13C06" w:rsidRPr="00EF1937" w:rsidRDefault="00E13C06" w:rsidP="58704602">
      <w:pPr>
        <w:tabs>
          <w:tab w:val="left" w:pos="694"/>
        </w:tabs>
        <w:spacing w:line="259" w:lineRule="auto"/>
        <w:ind w:right="-93"/>
        <w:jc w:val="center"/>
        <w:rPr>
          <w:rFonts w:cs="Arial"/>
          <w:b/>
          <w:bCs/>
          <w:sz w:val="28"/>
          <w:szCs w:val="28"/>
        </w:rPr>
      </w:pPr>
    </w:p>
    <w:p w14:paraId="33A4CB7A" w14:textId="71E3E4D9" w:rsidR="00CF6203" w:rsidRPr="00EF1937" w:rsidRDefault="00CF6203" w:rsidP="193878B9">
      <w:pPr>
        <w:tabs>
          <w:tab w:val="left" w:pos="694"/>
        </w:tabs>
        <w:spacing w:line="259" w:lineRule="auto"/>
        <w:ind w:right="-93"/>
        <w:jc w:val="center"/>
        <w:rPr>
          <w:rFonts w:cs="Arial"/>
          <w:b/>
          <w:bCs/>
          <w:sz w:val="28"/>
          <w:szCs w:val="28"/>
        </w:rPr>
      </w:pPr>
    </w:p>
    <w:p w14:paraId="6E6EE737" w14:textId="55F3EB8B" w:rsidR="00CF6203" w:rsidRPr="00EF1937" w:rsidRDefault="00CF6203" w:rsidP="193878B9">
      <w:pPr>
        <w:tabs>
          <w:tab w:val="left" w:pos="694"/>
        </w:tabs>
        <w:spacing w:line="259" w:lineRule="auto"/>
        <w:ind w:right="-93"/>
        <w:jc w:val="center"/>
        <w:rPr>
          <w:rFonts w:cs="Arial"/>
          <w:b/>
          <w:bCs/>
          <w:sz w:val="28"/>
          <w:szCs w:val="28"/>
        </w:rPr>
      </w:pPr>
    </w:p>
    <w:p w14:paraId="28389C30" w14:textId="27316E31" w:rsidR="00CF6203" w:rsidRPr="00EF1937" w:rsidRDefault="00CF6203" w:rsidP="193878B9">
      <w:pPr>
        <w:tabs>
          <w:tab w:val="left" w:pos="694"/>
        </w:tabs>
        <w:spacing w:line="259" w:lineRule="auto"/>
        <w:ind w:right="-93"/>
        <w:jc w:val="center"/>
        <w:rPr>
          <w:rFonts w:cs="Arial"/>
          <w:b/>
          <w:bCs/>
          <w:sz w:val="28"/>
          <w:szCs w:val="28"/>
        </w:rPr>
      </w:pPr>
    </w:p>
    <w:p w14:paraId="64F84DBF" w14:textId="6F09E183" w:rsidR="00CF6203" w:rsidRPr="00EF1937" w:rsidRDefault="00CF6203" w:rsidP="193878B9">
      <w:pPr>
        <w:tabs>
          <w:tab w:val="left" w:pos="694"/>
        </w:tabs>
        <w:spacing w:line="259" w:lineRule="auto"/>
        <w:ind w:right="-93"/>
        <w:jc w:val="center"/>
        <w:rPr>
          <w:rFonts w:cs="Arial"/>
          <w:b/>
          <w:bCs/>
          <w:sz w:val="28"/>
          <w:szCs w:val="28"/>
        </w:rPr>
      </w:pPr>
    </w:p>
    <w:p w14:paraId="0BDBA54F" w14:textId="03B7F89E" w:rsidR="00CF6203" w:rsidRPr="00B450EB" w:rsidRDefault="00CF6203" w:rsidP="193878B9">
      <w:pPr>
        <w:tabs>
          <w:tab w:val="left" w:pos="694"/>
        </w:tabs>
        <w:spacing w:line="259" w:lineRule="auto"/>
        <w:ind w:right="-93"/>
        <w:jc w:val="center"/>
        <w:rPr>
          <w:rFonts w:cs="Arial"/>
          <w:b/>
          <w:bCs/>
          <w:sz w:val="28"/>
          <w:szCs w:val="28"/>
        </w:rPr>
      </w:pPr>
      <w:r w:rsidRPr="00B450EB">
        <w:rPr>
          <w:rFonts w:cs="Arial"/>
          <w:b/>
          <w:bCs/>
          <w:sz w:val="28"/>
          <w:szCs w:val="28"/>
        </w:rPr>
        <w:t>DOCUMENTO</w:t>
      </w:r>
      <w:r w:rsidR="00F6481D" w:rsidRPr="00B450EB">
        <w:rPr>
          <w:rFonts w:cs="Arial"/>
          <w:b/>
          <w:bCs/>
          <w:sz w:val="28"/>
          <w:szCs w:val="28"/>
        </w:rPr>
        <w:t xml:space="preserve"> T</w:t>
      </w:r>
      <w:r w:rsidRPr="00B450EB">
        <w:rPr>
          <w:rFonts w:cs="Arial"/>
          <w:b/>
          <w:bCs/>
          <w:sz w:val="28"/>
          <w:szCs w:val="28"/>
        </w:rPr>
        <w:t xml:space="preserve">ÉCNICO DE SOPORTE PARA LA DELIMITACIÓN Y DECLARATORIA DE </w:t>
      </w:r>
      <w:r w:rsidR="00361180" w:rsidRPr="00B450EB">
        <w:rPr>
          <w:rFonts w:cs="Arial"/>
          <w:b/>
          <w:bCs/>
          <w:sz w:val="28"/>
          <w:szCs w:val="28"/>
        </w:rPr>
        <w:t>LA</w:t>
      </w:r>
      <w:r w:rsidRPr="00B450EB">
        <w:rPr>
          <w:rFonts w:cs="Arial"/>
          <w:b/>
          <w:bCs/>
          <w:sz w:val="28"/>
          <w:szCs w:val="28"/>
        </w:rPr>
        <w:t xml:space="preserve"> ZONA DE RESERVA DE RECURSOS NATURALES RENOVABLES </w:t>
      </w:r>
      <w:r w:rsidR="00EE5D1D" w:rsidRPr="00B450EB">
        <w:rPr>
          <w:rFonts w:cs="Arial"/>
          <w:b/>
          <w:bCs/>
          <w:sz w:val="28"/>
          <w:szCs w:val="28"/>
        </w:rPr>
        <w:t xml:space="preserve">DEL BIOMA AMAZÓNICO </w:t>
      </w:r>
      <w:r w:rsidRPr="00B450EB">
        <w:rPr>
          <w:rFonts w:cs="Arial"/>
          <w:b/>
          <w:bCs/>
          <w:sz w:val="28"/>
          <w:szCs w:val="28"/>
        </w:rPr>
        <w:t>DE CARÁCTER DEFINITIVO</w:t>
      </w:r>
    </w:p>
    <w:p w14:paraId="0BA2E811" w14:textId="73228751" w:rsidR="193878B9" w:rsidRPr="00B450EB" w:rsidRDefault="193878B9" w:rsidP="193878B9">
      <w:pPr>
        <w:tabs>
          <w:tab w:val="left" w:pos="694"/>
        </w:tabs>
        <w:spacing w:line="259" w:lineRule="auto"/>
        <w:ind w:right="-93"/>
        <w:jc w:val="center"/>
        <w:rPr>
          <w:rFonts w:cs="Arial"/>
          <w:b/>
          <w:bCs/>
          <w:sz w:val="28"/>
          <w:szCs w:val="28"/>
        </w:rPr>
      </w:pPr>
    </w:p>
    <w:p w14:paraId="045E348B" w14:textId="77BAA16A" w:rsidR="193878B9" w:rsidRPr="00B450EB" w:rsidRDefault="193878B9" w:rsidP="193878B9">
      <w:pPr>
        <w:tabs>
          <w:tab w:val="left" w:pos="694"/>
        </w:tabs>
        <w:spacing w:line="259" w:lineRule="auto"/>
        <w:ind w:right="-93"/>
        <w:jc w:val="center"/>
        <w:rPr>
          <w:rFonts w:cs="Arial"/>
          <w:b/>
          <w:bCs/>
          <w:sz w:val="28"/>
          <w:szCs w:val="28"/>
        </w:rPr>
      </w:pPr>
    </w:p>
    <w:p w14:paraId="1487404E" w14:textId="68826846" w:rsidR="193878B9" w:rsidRPr="00B450EB" w:rsidRDefault="193878B9" w:rsidP="193878B9">
      <w:pPr>
        <w:tabs>
          <w:tab w:val="left" w:pos="694"/>
        </w:tabs>
        <w:spacing w:line="259" w:lineRule="auto"/>
        <w:ind w:right="-93"/>
        <w:jc w:val="center"/>
        <w:rPr>
          <w:rFonts w:cs="Arial"/>
          <w:b/>
          <w:bCs/>
          <w:sz w:val="28"/>
          <w:szCs w:val="28"/>
        </w:rPr>
      </w:pPr>
    </w:p>
    <w:p w14:paraId="597E6683" w14:textId="4C62781F" w:rsidR="193878B9" w:rsidRPr="00B450EB" w:rsidRDefault="193878B9" w:rsidP="193878B9">
      <w:pPr>
        <w:tabs>
          <w:tab w:val="left" w:pos="694"/>
        </w:tabs>
        <w:spacing w:line="259" w:lineRule="auto"/>
        <w:ind w:right="-93"/>
        <w:jc w:val="center"/>
        <w:rPr>
          <w:rFonts w:cs="Arial"/>
          <w:b/>
          <w:bCs/>
          <w:sz w:val="28"/>
          <w:szCs w:val="28"/>
        </w:rPr>
      </w:pPr>
    </w:p>
    <w:p w14:paraId="680B1EC4" w14:textId="26BC4B45" w:rsidR="193878B9" w:rsidRPr="00B450EB" w:rsidRDefault="193878B9" w:rsidP="193878B9">
      <w:pPr>
        <w:tabs>
          <w:tab w:val="left" w:pos="694"/>
        </w:tabs>
        <w:spacing w:line="259" w:lineRule="auto"/>
        <w:ind w:right="-93"/>
        <w:jc w:val="center"/>
        <w:rPr>
          <w:rFonts w:cs="Arial"/>
          <w:b/>
          <w:bCs/>
          <w:sz w:val="28"/>
          <w:szCs w:val="28"/>
        </w:rPr>
      </w:pPr>
    </w:p>
    <w:p w14:paraId="14316AC7" w14:textId="44B14A0A" w:rsidR="193878B9" w:rsidRPr="00B450EB" w:rsidRDefault="193878B9" w:rsidP="193878B9">
      <w:pPr>
        <w:tabs>
          <w:tab w:val="left" w:pos="694"/>
        </w:tabs>
        <w:spacing w:line="259" w:lineRule="auto"/>
        <w:ind w:right="-93"/>
        <w:jc w:val="center"/>
        <w:rPr>
          <w:rFonts w:cs="Arial"/>
          <w:b/>
          <w:bCs/>
          <w:sz w:val="28"/>
          <w:szCs w:val="28"/>
        </w:rPr>
      </w:pPr>
    </w:p>
    <w:p w14:paraId="2C3A2364" w14:textId="06454E83" w:rsidR="193878B9" w:rsidRPr="00B450EB" w:rsidRDefault="193878B9" w:rsidP="193878B9">
      <w:pPr>
        <w:tabs>
          <w:tab w:val="left" w:pos="694"/>
        </w:tabs>
        <w:spacing w:line="259" w:lineRule="auto"/>
        <w:ind w:right="-93"/>
        <w:jc w:val="center"/>
        <w:rPr>
          <w:rFonts w:cs="Arial"/>
          <w:b/>
          <w:bCs/>
          <w:sz w:val="28"/>
          <w:szCs w:val="28"/>
        </w:rPr>
      </w:pPr>
    </w:p>
    <w:p w14:paraId="1D7A8A7E" w14:textId="310D5D63" w:rsidR="193878B9" w:rsidRPr="00B450EB" w:rsidRDefault="193878B9" w:rsidP="193878B9">
      <w:pPr>
        <w:tabs>
          <w:tab w:val="left" w:pos="694"/>
        </w:tabs>
        <w:spacing w:line="259" w:lineRule="auto"/>
        <w:ind w:right="-93"/>
        <w:jc w:val="center"/>
        <w:rPr>
          <w:rFonts w:cs="Arial"/>
          <w:b/>
          <w:bCs/>
          <w:sz w:val="28"/>
          <w:szCs w:val="28"/>
        </w:rPr>
      </w:pPr>
    </w:p>
    <w:p w14:paraId="2C878EE4" w14:textId="77777777" w:rsidR="00E13C06" w:rsidRPr="00B450EB" w:rsidRDefault="00E13C06" w:rsidP="193878B9">
      <w:pPr>
        <w:tabs>
          <w:tab w:val="left" w:pos="694"/>
        </w:tabs>
        <w:spacing w:line="259" w:lineRule="auto"/>
        <w:ind w:right="-93"/>
        <w:jc w:val="center"/>
        <w:rPr>
          <w:rFonts w:cs="Arial"/>
          <w:b/>
          <w:bCs/>
          <w:sz w:val="28"/>
          <w:szCs w:val="28"/>
        </w:rPr>
      </w:pPr>
    </w:p>
    <w:p w14:paraId="6E968C24" w14:textId="77777777" w:rsidR="00E13C06" w:rsidRPr="00B450EB" w:rsidRDefault="00E13C06" w:rsidP="193878B9">
      <w:pPr>
        <w:tabs>
          <w:tab w:val="left" w:pos="694"/>
        </w:tabs>
        <w:spacing w:line="259" w:lineRule="auto"/>
        <w:ind w:right="-93"/>
        <w:jc w:val="center"/>
        <w:rPr>
          <w:rFonts w:cs="Arial"/>
          <w:b/>
          <w:bCs/>
          <w:sz w:val="28"/>
          <w:szCs w:val="28"/>
        </w:rPr>
      </w:pPr>
    </w:p>
    <w:p w14:paraId="167A19C1" w14:textId="77777777" w:rsidR="00E13C06" w:rsidRPr="00B450EB" w:rsidRDefault="00E13C06" w:rsidP="193878B9">
      <w:pPr>
        <w:tabs>
          <w:tab w:val="left" w:pos="694"/>
        </w:tabs>
        <w:spacing w:line="259" w:lineRule="auto"/>
        <w:ind w:right="-93"/>
        <w:jc w:val="center"/>
        <w:rPr>
          <w:rFonts w:cs="Arial"/>
          <w:b/>
          <w:bCs/>
          <w:sz w:val="28"/>
          <w:szCs w:val="28"/>
        </w:rPr>
      </w:pPr>
    </w:p>
    <w:p w14:paraId="1ACC9866" w14:textId="77777777" w:rsidR="00E13C06" w:rsidRPr="00B450EB" w:rsidRDefault="00E13C06" w:rsidP="193878B9">
      <w:pPr>
        <w:tabs>
          <w:tab w:val="left" w:pos="694"/>
        </w:tabs>
        <w:spacing w:line="259" w:lineRule="auto"/>
        <w:ind w:right="-93"/>
        <w:jc w:val="center"/>
        <w:rPr>
          <w:rFonts w:cs="Arial"/>
          <w:b/>
          <w:bCs/>
          <w:sz w:val="28"/>
          <w:szCs w:val="28"/>
        </w:rPr>
      </w:pPr>
    </w:p>
    <w:p w14:paraId="1A52B9CC" w14:textId="77777777" w:rsidR="00E13C06" w:rsidRPr="00B450EB" w:rsidRDefault="00E13C06" w:rsidP="193878B9">
      <w:pPr>
        <w:tabs>
          <w:tab w:val="left" w:pos="694"/>
        </w:tabs>
        <w:spacing w:line="259" w:lineRule="auto"/>
        <w:ind w:right="-93"/>
        <w:jc w:val="center"/>
        <w:rPr>
          <w:rFonts w:cs="Arial"/>
          <w:b/>
          <w:bCs/>
          <w:sz w:val="28"/>
          <w:szCs w:val="28"/>
        </w:rPr>
      </w:pPr>
    </w:p>
    <w:p w14:paraId="5F7B967E" w14:textId="4599F516" w:rsidR="193878B9" w:rsidRPr="00B450EB" w:rsidRDefault="193878B9" w:rsidP="193878B9">
      <w:pPr>
        <w:tabs>
          <w:tab w:val="left" w:pos="694"/>
        </w:tabs>
        <w:spacing w:line="259" w:lineRule="auto"/>
        <w:ind w:right="-93"/>
        <w:jc w:val="center"/>
        <w:rPr>
          <w:rFonts w:cs="Arial"/>
          <w:b/>
          <w:bCs/>
          <w:sz w:val="28"/>
          <w:szCs w:val="28"/>
        </w:rPr>
      </w:pPr>
    </w:p>
    <w:sdt>
      <w:sdtPr>
        <w:rPr>
          <w:rFonts w:eastAsiaTheme="minorEastAsia"/>
          <w:lang w:val="es-ES"/>
        </w:rPr>
        <w:id w:val="1299639070"/>
        <w:docPartObj>
          <w:docPartGallery w:val="Table of Contents"/>
          <w:docPartUnique/>
        </w:docPartObj>
      </w:sdtPr>
      <w:sdtContent>
        <w:p w14:paraId="551F8B3A" w14:textId="5B4DCB35" w:rsidR="00EC5AB0" w:rsidRPr="00B450EB" w:rsidRDefault="00F6481D" w:rsidP="00D405B9">
          <w:pPr>
            <w:rPr>
              <w:b/>
              <w:bCs/>
            </w:rPr>
          </w:pPr>
          <w:r w:rsidRPr="00B450EB">
            <w:rPr>
              <w:b/>
              <w:bCs/>
              <w:lang w:val="es-ES"/>
            </w:rPr>
            <w:t>CONTENIDO</w:t>
          </w:r>
        </w:p>
        <w:p w14:paraId="44C6DF59" w14:textId="0CFCCCC5" w:rsidR="00A55C3C" w:rsidRPr="00B450EB" w:rsidRDefault="00EC5AB0">
          <w:pPr>
            <w:pStyle w:val="TDC1"/>
            <w:tabs>
              <w:tab w:val="left" w:pos="480"/>
              <w:tab w:val="right" w:leader="dot" w:pos="8828"/>
            </w:tabs>
            <w:rPr>
              <w:rFonts w:asciiTheme="minorHAnsi" w:eastAsiaTheme="minorEastAsia" w:hAnsiTheme="minorHAnsi"/>
              <w:noProof/>
              <w:sz w:val="22"/>
              <w:szCs w:val="22"/>
              <w:lang w:eastAsia="es-CO"/>
            </w:rPr>
          </w:pPr>
          <w:r w:rsidRPr="00B450EB">
            <w:fldChar w:fldCharType="begin"/>
          </w:r>
          <w:r w:rsidRPr="00B450EB">
            <w:instrText xml:space="preserve"> TOC \o "1-3" \h \z \u </w:instrText>
          </w:r>
          <w:r w:rsidRPr="00B450EB">
            <w:fldChar w:fldCharType="separate"/>
          </w:r>
          <w:hyperlink w:anchor="_Toc209722907" w:history="1">
            <w:r w:rsidR="00A55C3C" w:rsidRPr="00B450EB">
              <w:rPr>
                <w:rStyle w:val="Hipervnculo"/>
                <w:rFonts w:cs="Arial"/>
                <w:noProof/>
              </w:rPr>
              <w:t>1.</w:t>
            </w:r>
            <w:r w:rsidR="00A55C3C" w:rsidRPr="00B450EB">
              <w:rPr>
                <w:rFonts w:asciiTheme="minorHAnsi" w:eastAsiaTheme="minorEastAsia" w:hAnsiTheme="minorHAnsi"/>
                <w:noProof/>
                <w:sz w:val="22"/>
                <w:szCs w:val="22"/>
                <w:lang w:eastAsia="es-CO"/>
              </w:rPr>
              <w:tab/>
            </w:r>
            <w:r w:rsidR="00A55C3C" w:rsidRPr="00B450EB">
              <w:rPr>
                <w:rStyle w:val="Hipervnculo"/>
                <w:rFonts w:cs="Arial"/>
                <w:noProof/>
                <w:spacing w:val="-2"/>
              </w:rPr>
              <w:t>INTRODUCCIÓN</w:t>
            </w:r>
            <w:r w:rsidR="00A55C3C" w:rsidRPr="00B450EB">
              <w:rPr>
                <w:noProof/>
                <w:webHidden/>
              </w:rPr>
              <w:tab/>
            </w:r>
            <w:r w:rsidR="00A55C3C" w:rsidRPr="00B450EB">
              <w:rPr>
                <w:noProof/>
                <w:webHidden/>
              </w:rPr>
              <w:fldChar w:fldCharType="begin"/>
            </w:r>
            <w:r w:rsidR="00A55C3C" w:rsidRPr="00B450EB">
              <w:rPr>
                <w:noProof/>
                <w:webHidden/>
              </w:rPr>
              <w:instrText xml:space="preserve"> PAGEREF _Toc209722907 \h </w:instrText>
            </w:r>
            <w:r w:rsidR="00A55C3C" w:rsidRPr="00B450EB">
              <w:rPr>
                <w:noProof/>
                <w:webHidden/>
              </w:rPr>
            </w:r>
            <w:r w:rsidR="00A55C3C" w:rsidRPr="00B450EB">
              <w:rPr>
                <w:noProof/>
                <w:webHidden/>
              </w:rPr>
              <w:fldChar w:fldCharType="separate"/>
            </w:r>
            <w:r w:rsidR="0004413E" w:rsidRPr="00B450EB">
              <w:rPr>
                <w:noProof/>
                <w:webHidden/>
              </w:rPr>
              <w:t>12</w:t>
            </w:r>
            <w:r w:rsidR="00A55C3C" w:rsidRPr="00B450EB">
              <w:rPr>
                <w:noProof/>
                <w:webHidden/>
              </w:rPr>
              <w:fldChar w:fldCharType="end"/>
            </w:r>
          </w:hyperlink>
        </w:p>
        <w:p w14:paraId="1C73326D" w14:textId="44D6F0FB" w:rsidR="00A55C3C" w:rsidRPr="00B450EB" w:rsidRDefault="00A55C3C">
          <w:pPr>
            <w:pStyle w:val="TDC1"/>
            <w:tabs>
              <w:tab w:val="left" w:pos="480"/>
              <w:tab w:val="right" w:leader="dot" w:pos="8828"/>
            </w:tabs>
            <w:rPr>
              <w:rFonts w:asciiTheme="minorHAnsi" w:eastAsiaTheme="minorEastAsia" w:hAnsiTheme="minorHAnsi"/>
              <w:noProof/>
              <w:sz w:val="22"/>
              <w:szCs w:val="22"/>
              <w:lang w:eastAsia="es-CO"/>
            </w:rPr>
          </w:pPr>
          <w:hyperlink w:anchor="_Toc209722908" w:history="1">
            <w:r w:rsidRPr="00B450EB">
              <w:rPr>
                <w:rStyle w:val="Hipervnculo"/>
                <w:rFonts w:cs="Arial"/>
                <w:noProof/>
              </w:rPr>
              <w:t>2.</w:t>
            </w:r>
            <w:r w:rsidRPr="00B450EB">
              <w:rPr>
                <w:rFonts w:asciiTheme="minorHAnsi" w:eastAsiaTheme="minorEastAsia" w:hAnsiTheme="minorHAnsi"/>
                <w:noProof/>
                <w:sz w:val="22"/>
                <w:szCs w:val="22"/>
                <w:lang w:eastAsia="es-CO"/>
              </w:rPr>
              <w:tab/>
            </w:r>
            <w:r w:rsidRPr="00B450EB">
              <w:rPr>
                <w:rStyle w:val="Hipervnculo"/>
                <w:rFonts w:cs="Arial"/>
                <w:noProof/>
              </w:rPr>
              <w:t>CONTEXTO</w:t>
            </w:r>
            <w:r w:rsidRPr="00B450EB">
              <w:rPr>
                <w:rStyle w:val="Hipervnculo"/>
                <w:rFonts w:cs="Arial"/>
                <w:noProof/>
                <w:spacing w:val="80"/>
              </w:rPr>
              <w:t xml:space="preserve"> </w:t>
            </w:r>
            <w:r w:rsidRPr="00B450EB">
              <w:rPr>
                <w:rStyle w:val="Hipervnculo"/>
                <w:rFonts w:cs="Arial"/>
                <w:noProof/>
              </w:rPr>
              <w:t>NORMATIVO</w:t>
            </w:r>
            <w:r w:rsidRPr="00B450EB">
              <w:rPr>
                <w:rStyle w:val="Hipervnculo"/>
                <w:rFonts w:cs="Arial"/>
                <w:noProof/>
                <w:spacing w:val="80"/>
              </w:rPr>
              <w:t xml:space="preserve"> </w:t>
            </w:r>
            <w:r w:rsidRPr="00B450EB">
              <w:rPr>
                <w:rStyle w:val="Hipervnculo"/>
                <w:rFonts w:cs="Arial"/>
                <w:noProof/>
              </w:rPr>
              <w:t>DE</w:t>
            </w:r>
            <w:r w:rsidRPr="00B450EB">
              <w:rPr>
                <w:rStyle w:val="Hipervnculo"/>
                <w:rFonts w:cs="Arial"/>
                <w:noProof/>
                <w:spacing w:val="80"/>
              </w:rPr>
              <w:t xml:space="preserve"> </w:t>
            </w:r>
            <w:r w:rsidRPr="00B450EB">
              <w:rPr>
                <w:rStyle w:val="Hipervnculo"/>
                <w:rFonts w:cs="Arial"/>
                <w:noProof/>
              </w:rPr>
              <w:t>LAS</w:t>
            </w:r>
            <w:r w:rsidRPr="00B450EB">
              <w:rPr>
                <w:rStyle w:val="Hipervnculo"/>
                <w:rFonts w:cs="Arial"/>
                <w:noProof/>
                <w:spacing w:val="80"/>
              </w:rPr>
              <w:t xml:space="preserve"> </w:t>
            </w:r>
            <w:r w:rsidRPr="00B450EB">
              <w:rPr>
                <w:rStyle w:val="Hipervnculo"/>
                <w:rFonts w:cs="Arial"/>
                <w:noProof/>
              </w:rPr>
              <w:t>RESERVAS</w:t>
            </w:r>
            <w:r w:rsidRPr="00B450EB">
              <w:rPr>
                <w:rStyle w:val="Hipervnculo"/>
                <w:rFonts w:cs="Arial"/>
                <w:noProof/>
                <w:spacing w:val="80"/>
              </w:rPr>
              <w:t xml:space="preserve"> </w:t>
            </w:r>
            <w:r w:rsidRPr="00B450EB">
              <w:rPr>
                <w:rStyle w:val="Hipervnculo"/>
                <w:rFonts w:cs="Arial"/>
                <w:noProof/>
              </w:rPr>
              <w:t>DE</w:t>
            </w:r>
            <w:r w:rsidRPr="00B450EB">
              <w:rPr>
                <w:rStyle w:val="Hipervnculo"/>
                <w:rFonts w:cs="Arial"/>
                <w:noProof/>
                <w:spacing w:val="80"/>
              </w:rPr>
              <w:t xml:space="preserve"> </w:t>
            </w:r>
            <w:r w:rsidRPr="00B450EB">
              <w:rPr>
                <w:rStyle w:val="Hipervnculo"/>
                <w:rFonts w:cs="Arial"/>
                <w:noProof/>
              </w:rPr>
              <w:t>RECURSOS NATURALES RENOVABLES</w:t>
            </w:r>
            <w:r w:rsidRPr="00B450EB">
              <w:rPr>
                <w:noProof/>
                <w:webHidden/>
              </w:rPr>
              <w:tab/>
            </w:r>
            <w:r w:rsidRPr="00B450EB">
              <w:rPr>
                <w:noProof/>
                <w:webHidden/>
              </w:rPr>
              <w:fldChar w:fldCharType="begin"/>
            </w:r>
            <w:r w:rsidRPr="00B450EB">
              <w:rPr>
                <w:noProof/>
                <w:webHidden/>
              </w:rPr>
              <w:instrText xml:space="preserve"> PAGEREF _Toc209722908 \h </w:instrText>
            </w:r>
            <w:r w:rsidRPr="00B450EB">
              <w:rPr>
                <w:noProof/>
                <w:webHidden/>
              </w:rPr>
            </w:r>
            <w:r w:rsidRPr="00B450EB">
              <w:rPr>
                <w:noProof/>
                <w:webHidden/>
              </w:rPr>
              <w:fldChar w:fldCharType="separate"/>
            </w:r>
            <w:r w:rsidR="0004413E" w:rsidRPr="00B450EB">
              <w:rPr>
                <w:noProof/>
                <w:webHidden/>
              </w:rPr>
              <w:t>13</w:t>
            </w:r>
            <w:r w:rsidRPr="00B450EB">
              <w:rPr>
                <w:noProof/>
                <w:webHidden/>
              </w:rPr>
              <w:fldChar w:fldCharType="end"/>
            </w:r>
          </w:hyperlink>
        </w:p>
        <w:p w14:paraId="0A6231F4" w14:textId="470D96B2" w:rsidR="00A55C3C" w:rsidRPr="00B450EB" w:rsidRDefault="00A55C3C">
          <w:pPr>
            <w:pStyle w:val="TDC1"/>
            <w:tabs>
              <w:tab w:val="left" w:pos="480"/>
              <w:tab w:val="right" w:leader="dot" w:pos="8828"/>
            </w:tabs>
            <w:rPr>
              <w:rFonts w:asciiTheme="minorHAnsi" w:eastAsiaTheme="minorEastAsia" w:hAnsiTheme="minorHAnsi"/>
              <w:noProof/>
              <w:sz w:val="22"/>
              <w:szCs w:val="22"/>
              <w:lang w:eastAsia="es-CO"/>
            </w:rPr>
          </w:pPr>
          <w:hyperlink w:anchor="_Toc209722909" w:history="1">
            <w:r w:rsidRPr="00B450EB">
              <w:rPr>
                <w:rStyle w:val="Hipervnculo"/>
                <w:rFonts w:cs="Arial"/>
                <w:noProof/>
                <w:lang w:val="pt-PT"/>
              </w:rPr>
              <w:t>3.</w:t>
            </w:r>
            <w:r w:rsidRPr="00B450EB">
              <w:rPr>
                <w:rFonts w:asciiTheme="minorHAnsi" w:eastAsiaTheme="minorEastAsia" w:hAnsiTheme="minorHAnsi"/>
                <w:noProof/>
                <w:sz w:val="22"/>
                <w:szCs w:val="22"/>
                <w:lang w:eastAsia="es-CO"/>
              </w:rPr>
              <w:tab/>
            </w:r>
            <w:r w:rsidRPr="00B450EB">
              <w:rPr>
                <w:rStyle w:val="Hipervnculo"/>
                <w:rFonts w:cs="Arial"/>
                <w:noProof/>
                <w:lang w:val="pt-PT"/>
              </w:rPr>
              <w:t>CONTEXTO</w:t>
            </w:r>
            <w:r w:rsidRPr="00B450EB">
              <w:rPr>
                <w:rStyle w:val="Hipervnculo"/>
                <w:rFonts w:cs="Arial"/>
                <w:noProof/>
                <w:spacing w:val="-4"/>
                <w:lang w:val="pt-PT"/>
              </w:rPr>
              <w:t xml:space="preserve"> </w:t>
            </w:r>
            <w:r w:rsidRPr="00B450EB">
              <w:rPr>
                <w:rStyle w:val="Hipervnculo"/>
                <w:rFonts w:cs="Arial"/>
                <w:noProof/>
                <w:lang w:val="pt-PT"/>
              </w:rPr>
              <w:t>REGIONAL DEL BIOMA AMAZÓNICO</w:t>
            </w:r>
            <w:r w:rsidRPr="00B450EB">
              <w:rPr>
                <w:noProof/>
                <w:webHidden/>
              </w:rPr>
              <w:tab/>
            </w:r>
            <w:r w:rsidRPr="00B450EB">
              <w:rPr>
                <w:noProof/>
                <w:webHidden/>
              </w:rPr>
              <w:fldChar w:fldCharType="begin"/>
            </w:r>
            <w:r w:rsidRPr="00B450EB">
              <w:rPr>
                <w:noProof/>
                <w:webHidden/>
              </w:rPr>
              <w:instrText xml:space="preserve"> PAGEREF _Toc209722909 \h </w:instrText>
            </w:r>
            <w:r w:rsidRPr="00B450EB">
              <w:rPr>
                <w:noProof/>
                <w:webHidden/>
              </w:rPr>
            </w:r>
            <w:r w:rsidRPr="00B450EB">
              <w:rPr>
                <w:noProof/>
                <w:webHidden/>
              </w:rPr>
              <w:fldChar w:fldCharType="separate"/>
            </w:r>
            <w:r w:rsidR="0004413E" w:rsidRPr="00B450EB">
              <w:rPr>
                <w:noProof/>
                <w:webHidden/>
              </w:rPr>
              <w:t>26</w:t>
            </w:r>
            <w:r w:rsidRPr="00B450EB">
              <w:rPr>
                <w:noProof/>
                <w:webHidden/>
              </w:rPr>
              <w:fldChar w:fldCharType="end"/>
            </w:r>
          </w:hyperlink>
        </w:p>
        <w:p w14:paraId="74231383" w14:textId="1127A1C8" w:rsidR="00A55C3C" w:rsidRPr="00B450EB" w:rsidRDefault="00A55C3C">
          <w:pPr>
            <w:pStyle w:val="TDC2"/>
            <w:rPr>
              <w:rFonts w:asciiTheme="minorHAnsi" w:eastAsiaTheme="minorEastAsia" w:hAnsiTheme="minorHAnsi"/>
              <w:sz w:val="22"/>
              <w:szCs w:val="22"/>
              <w:lang w:eastAsia="es-CO"/>
            </w:rPr>
          </w:pPr>
          <w:hyperlink w:anchor="_Toc209722910" w:history="1">
            <w:r w:rsidRPr="00B450EB">
              <w:rPr>
                <w:rStyle w:val="Hipervnculo"/>
                <w:rFonts w:cs="Arial"/>
                <w:lang w:val="pt-PT"/>
              </w:rPr>
              <w:t>3.1.</w:t>
            </w:r>
            <w:r w:rsidRPr="00B450EB">
              <w:rPr>
                <w:rFonts w:asciiTheme="minorHAnsi" w:eastAsiaTheme="minorEastAsia" w:hAnsiTheme="minorHAnsi"/>
                <w:sz w:val="22"/>
                <w:szCs w:val="22"/>
                <w:lang w:eastAsia="es-CO"/>
              </w:rPr>
              <w:tab/>
            </w:r>
            <w:r w:rsidRPr="00B450EB">
              <w:rPr>
                <w:rStyle w:val="Hipervnculo"/>
                <w:rFonts w:cs="Arial"/>
              </w:rPr>
              <w:t>Delimitación del Bioma Amazónico en Colombia</w:t>
            </w:r>
            <w:r w:rsidRPr="00B450EB">
              <w:rPr>
                <w:webHidden/>
              </w:rPr>
              <w:tab/>
            </w:r>
            <w:r w:rsidRPr="00B450EB">
              <w:rPr>
                <w:webHidden/>
              </w:rPr>
              <w:fldChar w:fldCharType="begin"/>
            </w:r>
            <w:r w:rsidRPr="00B450EB">
              <w:rPr>
                <w:webHidden/>
              </w:rPr>
              <w:instrText xml:space="preserve"> PAGEREF _Toc209722910 \h </w:instrText>
            </w:r>
            <w:r w:rsidRPr="00B450EB">
              <w:rPr>
                <w:webHidden/>
              </w:rPr>
            </w:r>
            <w:r w:rsidRPr="00B450EB">
              <w:rPr>
                <w:webHidden/>
              </w:rPr>
              <w:fldChar w:fldCharType="separate"/>
            </w:r>
            <w:r w:rsidR="0004413E" w:rsidRPr="00B450EB">
              <w:rPr>
                <w:webHidden/>
              </w:rPr>
              <w:t>30</w:t>
            </w:r>
            <w:r w:rsidRPr="00B450EB">
              <w:rPr>
                <w:webHidden/>
              </w:rPr>
              <w:fldChar w:fldCharType="end"/>
            </w:r>
          </w:hyperlink>
        </w:p>
        <w:p w14:paraId="00B07970" w14:textId="28204E82" w:rsidR="00A55C3C" w:rsidRPr="00B450EB" w:rsidRDefault="00A55C3C">
          <w:pPr>
            <w:pStyle w:val="TDC1"/>
            <w:tabs>
              <w:tab w:val="left" w:pos="480"/>
              <w:tab w:val="right" w:leader="dot" w:pos="8828"/>
            </w:tabs>
            <w:rPr>
              <w:rFonts w:asciiTheme="minorHAnsi" w:eastAsiaTheme="minorEastAsia" w:hAnsiTheme="minorHAnsi"/>
              <w:noProof/>
              <w:sz w:val="22"/>
              <w:szCs w:val="22"/>
              <w:lang w:eastAsia="es-CO"/>
            </w:rPr>
          </w:pPr>
          <w:hyperlink w:anchor="_Toc209722911" w:history="1">
            <w:r w:rsidRPr="00B450EB">
              <w:rPr>
                <w:rStyle w:val="Hipervnculo"/>
                <w:bCs/>
                <w:noProof/>
              </w:rPr>
              <w:t>4.</w:t>
            </w:r>
            <w:r w:rsidRPr="00B450EB">
              <w:rPr>
                <w:rFonts w:asciiTheme="minorHAnsi" w:eastAsiaTheme="minorEastAsia" w:hAnsiTheme="minorHAnsi"/>
                <w:noProof/>
                <w:sz w:val="22"/>
                <w:szCs w:val="22"/>
                <w:lang w:eastAsia="es-CO"/>
              </w:rPr>
              <w:tab/>
            </w:r>
            <w:r w:rsidRPr="00B450EB">
              <w:rPr>
                <w:rStyle w:val="Hipervnculo"/>
                <w:noProof/>
              </w:rPr>
              <w:t>ÁREAS PROTEGIDAS</w:t>
            </w:r>
            <w:r w:rsidRPr="00B450EB">
              <w:rPr>
                <w:noProof/>
                <w:webHidden/>
              </w:rPr>
              <w:tab/>
            </w:r>
            <w:r w:rsidRPr="00B450EB">
              <w:rPr>
                <w:noProof/>
                <w:webHidden/>
              </w:rPr>
              <w:fldChar w:fldCharType="begin"/>
            </w:r>
            <w:r w:rsidRPr="00B450EB">
              <w:rPr>
                <w:noProof/>
                <w:webHidden/>
              </w:rPr>
              <w:instrText xml:space="preserve"> PAGEREF _Toc209722911 \h </w:instrText>
            </w:r>
            <w:r w:rsidRPr="00B450EB">
              <w:rPr>
                <w:noProof/>
                <w:webHidden/>
              </w:rPr>
            </w:r>
            <w:r w:rsidRPr="00B450EB">
              <w:rPr>
                <w:noProof/>
                <w:webHidden/>
              </w:rPr>
              <w:fldChar w:fldCharType="separate"/>
            </w:r>
            <w:r w:rsidR="0004413E" w:rsidRPr="00B450EB">
              <w:rPr>
                <w:noProof/>
                <w:webHidden/>
              </w:rPr>
              <w:t>33</w:t>
            </w:r>
            <w:r w:rsidRPr="00B450EB">
              <w:rPr>
                <w:noProof/>
                <w:webHidden/>
              </w:rPr>
              <w:fldChar w:fldCharType="end"/>
            </w:r>
          </w:hyperlink>
        </w:p>
        <w:p w14:paraId="0D2F6015" w14:textId="4CD5DA13" w:rsidR="00A55C3C" w:rsidRPr="00B450EB" w:rsidRDefault="00A55C3C">
          <w:pPr>
            <w:pStyle w:val="TDC1"/>
            <w:tabs>
              <w:tab w:val="left" w:pos="480"/>
              <w:tab w:val="right" w:leader="dot" w:pos="8828"/>
            </w:tabs>
            <w:rPr>
              <w:rFonts w:asciiTheme="minorHAnsi" w:eastAsiaTheme="minorEastAsia" w:hAnsiTheme="minorHAnsi"/>
              <w:noProof/>
              <w:sz w:val="22"/>
              <w:szCs w:val="22"/>
              <w:lang w:eastAsia="es-CO"/>
            </w:rPr>
          </w:pPr>
          <w:hyperlink w:anchor="_Toc209722912" w:history="1">
            <w:r w:rsidRPr="00B450EB">
              <w:rPr>
                <w:rStyle w:val="Hipervnculo"/>
                <w:bCs/>
                <w:noProof/>
              </w:rPr>
              <w:t>5.</w:t>
            </w:r>
            <w:r w:rsidRPr="00B450EB">
              <w:rPr>
                <w:rFonts w:asciiTheme="minorHAnsi" w:eastAsiaTheme="minorEastAsia" w:hAnsiTheme="minorHAnsi"/>
                <w:noProof/>
                <w:sz w:val="22"/>
                <w:szCs w:val="22"/>
                <w:lang w:eastAsia="es-CO"/>
              </w:rPr>
              <w:tab/>
            </w:r>
            <w:r w:rsidRPr="00B450EB">
              <w:rPr>
                <w:rStyle w:val="Hipervnculo"/>
                <w:noProof/>
              </w:rPr>
              <w:t>INSTRUMENTOS DE ORDENAMIENTO AMBIENTAL Y TERRITORIAL</w:t>
            </w:r>
            <w:r w:rsidRPr="00B450EB">
              <w:rPr>
                <w:noProof/>
                <w:webHidden/>
              </w:rPr>
              <w:tab/>
            </w:r>
            <w:r w:rsidRPr="00B450EB">
              <w:rPr>
                <w:noProof/>
                <w:webHidden/>
              </w:rPr>
              <w:fldChar w:fldCharType="begin"/>
            </w:r>
            <w:r w:rsidRPr="00B450EB">
              <w:rPr>
                <w:noProof/>
                <w:webHidden/>
              </w:rPr>
              <w:instrText xml:space="preserve"> PAGEREF _Toc209722912 \h </w:instrText>
            </w:r>
            <w:r w:rsidRPr="00B450EB">
              <w:rPr>
                <w:noProof/>
                <w:webHidden/>
              </w:rPr>
            </w:r>
            <w:r w:rsidRPr="00B450EB">
              <w:rPr>
                <w:noProof/>
                <w:webHidden/>
              </w:rPr>
              <w:fldChar w:fldCharType="separate"/>
            </w:r>
            <w:r w:rsidR="0004413E" w:rsidRPr="00B450EB">
              <w:rPr>
                <w:noProof/>
                <w:webHidden/>
              </w:rPr>
              <w:t>40</w:t>
            </w:r>
            <w:r w:rsidRPr="00B450EB">
              <w:rPr>
                <w:noProof/>
                <w:webHidden/>
              </w:rPr>
              <w:fldChar w:fldCharType="end"/>
            </w:r>
          </w:hyperlink>
        </w:p>
        <w:p w14:paraId="6D85C76A" w14:textId="21AA0D1C" w:rsidR="00A55C3C" w:rsidRPr="00B450EB" w:rsidRDefault="00A55C3C">
          <w:pPr>
            <w:pStyle w:val="TDC1"/>
            <w:tabs>
              <w:tab w:val="left" w:pos="480"/>
              <w:tab w:val="right" w:leader="dot" w:pos="8828"/>
            </w:tabs>
            <w:rPr>
              <w:rFonts w:asciiTheme="minorHAnsi" w:eastAsiaTheme="minorEastAsia" w:hAnsiTheme="minorHAnsi"/>
              <w:noProof/>
              <w:sz w:val="22"/>
              <w:szCs w:val="22"/>
              <w:lang w:eastAsia="es-CO"/>
            </w:rPr>
          </w:pPr>
          <w:hyperlink w:anchor="_Toc209722913" w:history="1">
            <w:r w:rsidRPr="00B450EB">
              <w:rPr>
                <w:rStyle w:val="Hipervnculo"/>
                <w:rFonts w:cs="Arial"/>
                <w:bCs/>
                <w:noProof/>
              </w:rPr>
              <w:t>6.</w:t>
            </w:r>
            <w:r w:rsidRPr="00B450EB">
              <w:rPr>
                <w:rFonts w:asciiTheme="minorHAnsi" w:eastAsiaTheme="minorEastAsia" w:hAnsiTheme="minorHAnsi"/>
                <w:noProof/>
                <w:sz w:val="22"/>
                <w:szCs w:val="22"/>
                <w:lang w:eastAsia="es-CO"/>
              </w:rPr>
              <w:tab/>
            </w:r>
            <w:r w:rsidRPr="00B450EB">
              <w:rPr>
                <w:rStyle w:val="Hipervnculo"/>
                <w:rFonts w:cs="Arial"/>
                <w:noProof/>
              </w:rPr>
              <w:t xml:space="preserve">CARACTERIZACIÓN BIOMA </w:t>
            </w:r>
            <w:r w:rsidRPr="00B450EB">
              <w:rPr>
                <w:rStyle w:val="Hipervnculo"/>
                <w:rFonts w:cs="Arial"/>
                <w:bCs/>
                <w:noProof/>
              </w:rPr>
              <w:t>AMAZÓNICO</w:t>
            </w:r>
            <w:r w:rsidRPr="00B450EB">
              <w:rPr>
                <w:noProof/>
                <w:webHidden/>
              </w:rPr>
              <w:tab/>
            </w:r>
            <w:r w:rsidRPr="00B450EB">
              <w:rPr>
                <w:noProof/>
                <w:webHidden/>
              </w:rPr>
              <w:fldChar w:fldCharType="begin"/>
            </w:r>
            <w:r w:rsidRPr="00B450EB">
              <w:rPr>
                <w:noProof/>
                <w:webHidden/>
              </w:rPr>
              <w:instrText xml:space="preserve"> PAGEREF _Toc209722913 \h </w:instrText>
            </w:r>
            <w:r w:rsidRPr="00B450EB">
              <w:rPr>
                <w:noProof/>
                <w:webHidden/>
              </w:rPr>
            </w:r>
            <w:r w:rsidRPr="00B450EB">
              <w:rPr>
                <w:noProof/>
                <w:webHidden/>
              </w:rPr>
              <w:fldChar w:fldCharType="separate"/>
            </w:r>
            <w:r w:rsidR="0004413E" w:rsidRPr="00B450EB">
              <w:rPr>
                <w:noProof/>
                <w:webHidden/>
              </w:rPr>
              <w:t>43</w:t>
            </w:r>
            <w:r w:rsidRPr="00B450EB">
              <w:rPr>
                <w:noProof/>
                <w:webHidden/>
              </w:rPr>
              <w:fldChar w:fldCharType="end"/>
            </w:r>
          </w:hyperlink>
        </w:p>
        <w:p w14:paraId="40402548" w14:textId="2191BEE4" w:rsidR="00A55C3C" w:rsidRPr="00B450EB" w:rsidRDefault="00A55C3C">
          <w:pPr>
            <w:pStyle w:val="TDC2"/>
            <w:rPr>
              <w:rFonts w:asciiTheme="minorHAnsi" w:eastAsiaTheme="minorEastAsia" w:hAnsiTheme="minorHAnsi"/>
              <w:sz w:val="22"/>
              <w:szCs w:val="22"/>
              <w:lang w:eastAsia="es-CO"/>
            </w:rPr>
          </w:pPr>
          <w:hyperlink w:anchor="_Toc209722914" w:history="1">
            <w:r w:rsidRPr="00B450EB">
              <w:rPr>
                <w:rStyle w:val="Hipervnculo"/>
                <w:b/>
              </w:rPr>
              <w:t>6.1.</w:t>
            </w:r>
            <w:r w:rsidRPr="00B450EB">
              <w:rPr>
                <w:rFonts w:asciiTheme="minorHAnsi" w:eastAsiaTheme="minorEastAsia" w:hAnsiTheme="minorHAnsi"/>
                <w:sz w:val="22"/>
                <w:szCs w:val="22"/>
                <w:lang w:eastAsia="es-CO"/>
              </w:rPr>
              <w:tab/>
            </w:r>
            <w:r w:rsidRPr="00B450EB">
              <w:rPr>
                <w:rStyle w:val="Hipervnculo"/>
              </w:rPr>
              <w:t>MEDIO ABIÓTICO</w:t>
            </w:r>
            <w:r w:rsidRPr="00B450EB">
              <w:rPr>
                <w:webHidden/>
              </w:rPr>
              <w:tab/>
            </w:r>
            <w:r w:rsidRPr="00B450EB">
              <w:rPr>
                <w:webHidden/>
              </w:rPr>
              <w:fldChar w:fldCharType="begin"/>
            </w:r>
            <w:r w:rsidRPr="00B450EB">
              <w:rPr>
                <w:webHidden/>
              </w:rPr>
              <w:instrText xml:space="preserve"> PAGEREF _Toc209722914 \h </w:instrText>
            </w:r>
            <w:r w:rsidRPr="00B450EB">
              <w:rPr>
                <w:webHidden/>
              </w:rPr>
            </w:r>
            <w:r w:rsidRPr="00B450EB">
              <w:rPr>
                <w:webHidden/>
              </w:rPr>
              <w:fldChar w:fldCharType="separate"/>
            </w:r>
            <w:r w:rsidR="0004413E" w:rsidRPr="00B450EB">
              <w:rPr>
                <w:webHidden/>
              </w:rPr>
              <w:t>43</w:t>
            </w:r>
            <w:r w:rsidRPr="00B450EB">
              <w:rPr>
                <w:webHidden/>
              </w:rPr>
              <w:fldChar w:fldCharType="end"/>
            </w:r>
          </w:hyperlink>
        </w:p>
        <w:p w14:paraId="77E30F73" w14:textId="27A1CC2E" w:rsidR="00A55C3C" w:rsidRPr="00B450EB" w:rsidRDefault="00A55C3C">
          <w:pPr>
            <w:pStyle w:val="TDC3"/>
            <w:rPr>
              <w:rFonts w:asciiTheme="minorHAnsi" w:eastAsiaTheme="minorEastAsia" w:hAnsiTheme="minorHAnsi"/>
              <w:noProof/>
              <w:sz w:val="22"/>
              <w:szCs w:val="22"/>
              <w:lang w:eastAsia="es-CO"/>
            </w:rPr>
          </w:pPr>
          <w:hyperlink w:anchor="_Toc209722915" w:history="1">
            <w:r w:rsidRPr="00B450EB">
              <w:rPr>
                <w:rStyle w:val="Hipervnculo"/>
                <w:rFonts w:cs="Arial"/>
                <w:noProof/>
              </w:rPr>
              <w:t>6.1.1.</w:t>
            </w:r>
            <w:r w:rsidRPr="00B450EB">
              <w:rPr>
                <w:rFonts w:asciiTheme="minorHAnsi" w:eastAsiaTheme="minorEastAsia" w:hAnsiTheme="minorHAnsi"/>
                <w:noProof/>
                <w:sz w:val="22"/>
                <w:szCs w:val="22"/>
                <w:lang w:eastAsia="es-CO"/>
              </w:rPr>
              <w:tab/>
            </w:r>
            <w:r w:rsidRPr="00B450EB">
              <w:rPr>
                <w:rStyle w:val="Hipervnculo"/>
                <w:rFonts w:cs="Arial"/>
                <w:bCs/>
                <w:noProof/>
              </w:rPr>
              <w:t>Clima</w:t>
            </w:r>
            <w:r w:rsidRPr="00B450EB">
              <w:rPr>
                <w:noProof/>
                <w:webHidden/>
              </w:rPr>
              <w:tab/>
            </w:r>
            <w:r w:rsidRPr="00B450EB">
              <w:rPr>
                <w:noProof/>
                <w:webHidden/>
              </w:rPr>
              <w:fldChar w:fldCharType="begin"/>
            </w:r>
            <w:r w:rsidRPr="00B450EB">
              <w:rPr>
                <w:noProof/>
                <w:webHidden/>
              </w:rPr>
              <w:instrText xml:space="preserve"> PAGEREF _Toc209722915 \h </w:instrText>
            </w:r>
            <w:r w:rsidRPr="00B450EB">
              <w:rPr>
                <w:noProof/>
                <w:webHidden/>
              </w:rPr>
            </w:r>
            <w:r w:rsidRPr="00B450EB">
              <w:rPr>
                <w:noProof/>
                <w:webHidden/>
              </w:rPr>
              <w:fldChar w:fldCharType="separate"/>
            </w:r>
            <w:r w:rsidR="0004413E" w:rsidRPr="00B450EB">
              <w:rPr>
                <w:noProof/>
                <w:webHidden/>
              </w:rPr>
              <w:t>43</w:t>
            </w:r>
            <w:r w:rsidRPr="00B450EB">
              <w:rPr>
                <w:noProof/>
                <w:webHidden/>
              </w:rPr>
              <w:fldChar w:fldCharType="end"/>
            </w:r>
          </w:hyperlink>
        </w:p>
        <w:p w14:paraId="5CD495E1" w14:textId="242A3047" w:rsidR="00A55C3C" w:rsidRPr="00B450EB" w:rsidRDefault="00A55C3C">
          <w:pPr>
            <w:pStyle w:val="TDC3"/>
            <w:rPr>
              <w:rFonts w:asciiTheme="minorHAnsi" w:eastAsiaTheme="minorEastAsia" w:hAnsiTheme="minorHAnsi"/>
              <w:noProof/>
              <w:sz w:val="22"/>
              <w:szCs w:val="22"/>
              <w:lang w:eastAsia="es-CO"/>
            </w:rPr>
          </w:pPr>
          <w:hyperlink w:anchor="_Toc209722916" w:history="1">
            <w:r w:rsidRPr="00B450EB">
              <w:rPr>
                <w:rStyle w:val="Hipervnculo"/>
                <w:rFonts w:cs="Arial"/>
                <w:noProof/>
              </w:rPr>
              <w:t>6.1.2.</w:t>
            </w:r>
            <w:r w:rsidRPr="00B450EB">
              <w:rPr>
                <w:rFonts w:asciiTheme="minorHAnsi" w:eastAsiaTheme="minorEastAsia" w:hAnsiTheme="minorHAnsi"/>
                <w:noProof/>
                <w:sz w:val="22"/>
                <w:szCs w:val="22"/>
                <w:lang w:eastAsia="es-CO"/>
              </w:rPr>
              <w:tab/>
            </w:r>
            <w:r w:rsidRPr="00B450EB">
              <w:rPr>
                <w:rStyle w:val="Hipervnculo"/>
                <w:rFonts w:cs="Arial"/>
                <w:bCs/>
                <w:noProof/>
              </w:rPr>
              <w:t>Atmosfera</w:t>
            </w:r>
            <w:r w:rsidRPr="00B450EB">
              <w:rPr>
                <w:noProof/>
                <w:webHidden/>
              </w:rPr>
              <w:tab/>
            </w:r>
            <w:r w:rsidRPr="00B450EB">
              <w:rPr>
                <w:noProof/>
                <w:webHidden/>
              </w:rPr>
              <w:fldChar w:fldCharType="begin"/>
            </w:r>
            <w:r w:rsidRPr="00B450EB">
              <w:rPr>
                <w:noProof/>
                <w:webHidden/>
              </w:rPr>
              <w:instrText xml:space="preserve"> PAGEREF _Toc209722916 \h </w:instrText>
            </w:r>
            <w:r w:rsidRPr="00B450EB">
              <w:rPr>
                <w:noProof/>
                <w:webHidden/>
              </w:rPr>
            </w:r>
            <w:r w:rsidRPr="00B450EB">
              <w:rPr>
                <w:noProof/>
                <w:webHidden/>
              </w:rPr>
              <w:fldChar w:fldCharType="separate"/>
            </w:r>
            <w:r w:rsidR="0004413E" w:rsidRPr="00B450EB">
              <w:rPr>
                <w:noProof/>
                <w:webHidden/>
              </w:rPr>
              <w:t>49</w:t>
            </w:r>
            <w:r w:rsidRPr="00B450EB">
              <w:rPr>
                <w:noProof/>
                <w:webHidden/>
              </w:rPr>
              <w:fldChar w:fldCharType="end"/>
            </w:r>
          </w:hyperlink>
        </w:p>
        <w:p w14:paraId="6286B02E" w14:textId="46951683" w:rsidR="00A55C3C" w:rsidRPr="00B450EB" w:rsidRDefault="00A55C3C">
          <w:pPr>
            <w:pStyle w:val="TDC3"/>
            <w:rPr>
              <w:rFonts w:asciiTheme="minorHAnsi" w:eastAsiaTheme="minorEastAsia" w:hAnsiTheme="minorHAnsi"/>
              <w:noProof/>
              <w:sz w:val="22"/>
              <w:szCs w:val="22"/>
              <w:lang w:eastAsia="es-CO"/>
            </w:rPr>
          </w:pPr>
          <w:hyperlink w:anchor="_Toc209722917" w:history="1">
            <w:r w:rsidRPr="00B450EB">
              <w:rPr>
                <w:rStyle w:val="Hipervnculo"/>
                <w:rFonts w:cs="Arial"/>
                <w:noProof/>
              </w:rPr>
              <w:t>6.1.3.</w:t>
            </w:r>
            <w:r w:rsidRPr="00B450EB">
              <w:rPr>
                <w:rFonts w:asciiTheme="minorHAnsi" w:eastAsiaTheme="minorEastAsia" w:hAnsiTheme="minorHAnsi"/>
                <w:noProof/>
                <w:sz w:val="22"/>
                <w:szCs w:val="22"/>
                <w:lang w:eastAsia="es-CO"/>
              </w:rPr>
              <w:tab/>
            </w:r>
            <w:r w:rsidRPr="00B450EB">
              <w:rPr>
                <w:rStyle w:val="Hipervnculo"/>
                <w:rFonts w:cs="Arial"/>
                <w:noProof/>
              </w:rPr>
              <w:t>Hidrología y calidad del agua</w:t>
            </w:r>
            <w:r w:rsidRPr="00B450EB">
              <w:rPr>
                <w:noProof/>
                <w:webHidden/>
              </w:rPr>
              <w:tab/>
            </w:r>
            <w:r w:rsidRPr="00B450EB">
              <w:rPr>
                <w:noProof/>
                <w:webHidden/>
              </w:rPr>
              <w:fldChar w:fldCharType="begin"/>
            </w:r>
            <w:r w:rsidRPr="00B450EB">
              <w:rPr>
                <w:noProof/>
                <w:webHidden/>
              </w:rPr>
              <w:instrText xml:space="preserve"> PAGEREF _Toc209722917 \h </w:instrText>
            </w:r>
            <w:r w:rsidRPr="00B450EB">
              <w:rPr>
                <w:noProof/>
                <w:webHidden/>
              </w:rPr>
            </w:r>
            <w:r w:rsidRPr="00B450EB">
              <w:rPr>
                <w:noProof/>
                <w:webHidden/>
              </w:rPr>
              <w:fldChar w:fldCharType="separate"/>
            </w:r>
            <w:r w:rsidR="0004413E" w:rsidRPr="00B450EB">
              <w:rPr>
                <w:noProof/>
                <w:webHidden/>
              </w:rPr>
              <w:t>64</w:t>
            </w:r>
            <w:r w:rsidRPr="00B450EB">
              <w:rPr>
                <w:noProof/>
                <w:webHidden/>
              </w:rPr>
              <w:fldChar w:fldCharType="end"/>
            </w:r>
          </w:hyperlink>
        </w:p>
        <w:p w14:paraId="6421AD93" w14:textId="2CCEE13D" w:rsidR="00A55C3C" w:rsidRPr="00B450EB" w:rsidRDefault="00A55C3C">
          <w:pPr>
            <w:pStyle w:val="TDC3"/>
            <w:rPr>
              <w:rFonts w:asciiTheme="minorHAnsi" w:eastAsiaTheme="minorEastAsia" w:hAnsiTheme="minorHAnsi"/>
              <w:noProof/>
              <w:sz w:val="22"/>
              <w:szCs w:val="22"/>
              <w:lang w:eastAsia="es-CO"/>
            </w:rPr>
          </w:pPr>
          <w:hyperlink w:anchor="_Toc209722918" w:history="1">
            <w:r w:rsidRPr="00B450EB">
              <w:rPr>
                <w:rStyle w:val="Hipervnculo"/>
                <w:rFonts w:eastAsia="Aptos" w:cs="Times New Roman"/>
                <w:noProof/>
              </w:rPr>
              <w:t>6.1.4.</w:t>
            </w:r>
            <w:r w:rsidRPr="00B450EB">
              <w:rPr>
                <w:rFonts w:asciiTheme="minorHAnsi" w:eastAsiaTheme="minorEastAsia" w:hAnsiTheme="minorHAnsi"/>
                <w:noProof/>
                <w:sz w:val="22"/>
                <w:szCs w:val="22"/>
                <w:lang w:eastAsia="es-CO"/>
              </w:rPr>
              <w:tab/>
            </w:r>
            <w:r w:rsidRPr="00B450EB">
              <w:rPr>
                <w:rStyle w:val="Hipervnculo"/>
                <w:rFonts w:cs="Arial"/>
                <w:noProof/>
              </w:rPr>
              <w:t>Caracterización Geológica</w:t>
            </w:r>
            <w:r w:rsidRPr="00B450EB">
              <w:rPr>
                <w:noProof/>
                <w:webHidden/>
              </w:rPr>
              <w:tab/>
            </w:r>
            <w:r w:rsidRPr="00B450EB">
              <w:rPr>
                <w:noProof/>
                <w:webHidden/>
              </w:rPr>
              <w:fldChar w:fldCharType="begin"/>
            </w:r>
            <w:r w:rsidRPr="00B450EB">
              <w:rPr>
                <w:noProof/>
                <w:webHidden/>
              </w:rPr>
              <w:instrText xml:space="preserve"> PAGEREF _Toc209722918 \h </w:instrText>
            </w:r>
            <w:r w:rsidRPr="00B450EB">
              <w:rPr>
                <w:noProof/>
                <w:webHidden/>
              </w:rPr>
            </w:r>
            <w:r w:rsidRPr="00B450EB">
              <w:rPr>
                <w:noProof/>
                <w:webHidden/>
              </w:rPr>
              <w:fldChar w:fldCharType="separate"/>
            </w:r>
            <w:r w:rsidR="0004413E" w:rsidRPr="00B450EB">
              <w:rPr>
                <w:noProof/>
                <w:webHidden/>
              </w:rPr>
              <w:t>74</w:t>
            </w:r>
            <w:r w:rsidRPr="00B450EB">
              <w:rPr>
                <w:noProof/>
                <w:webHidden/>
              </w:rPr>
              <w:fldChar w:fldCharType="end"/>
            </w:r>
          </w:hyperlink>
        </w:p>
        <w:p w14:paraId="7B0CCA93" w14:textId="7D6F7602" w:rsidR="00A55C3C" w:rsidRPr="00B450EB" w:rsidRDefault="00A55C3C">
          <w:pPr>
            <w:pStyle w:val="TDC3"/>
            <w:rPr>
              <w:rFonts w:asciiTheme="minorHAnsi" w:eastAsiaTheme="minorEastAsia" w:hAnsiTheme="minorHAnsi"/>
              <w:noProof/>
              <w:sz w:val="22"/>
              <w:szCs w:val="22"/>
              <w:lang w:eastAsia="es-CO"/>
            </w:rPr>
          </w:pPr>
          <w:hyperlink w:anchor="_Toc209722919" w:history="1">
            <w:r w:rsidRPr="00B450EB">
              <w:rPr>
                <w:rStyle w:val="Hipervnculo"/>
                <w:noProof/>
              </w:rPr>
              <w:t>6.1.5.</w:t>
            </w:r>
            <w:r w:rsidRPr="00B450EB">
              <w:rPr>
                <w:rFonts w:asciiTheme="minorHAnsi" w:eastAsiaTheme="minorEastAsia" w:hAnsiTheme="minorHAnsi"/>
                <w:noProof/>
                <w:sz w:val="22"/>
                <w:szCs w:val="22"/>
                <w:lang w:eastAsia="es-CO"/>
              </w:rPr>
              <w:tab/>
            </w:r>
            <w:r w:rsidRPr="00B450EB">
              <w:rPr>
                <w:rStyle w:val="Hipervnculo"/>
                <w:rFonts w:cs="Arial"/>
                <w:noProof/>
              </w:rPr>
              <w:t>Caracterización hidrogeológica</w:t>
            </w:r>
            <w:r w:rsidRPr="00B450EB">
              <w:rPr>
                <w:noProof/>
                <w:webHidden/>
              </w:rPr>
              <w:tab/>
            </w:r>
            <w:r w:rsidRPr="00B450EB">
              <w:rPr>
                <w:noProof/>
                <w:webHidden/>
              </w:rPr>
              <w:fldChar w:fldCharType="begin"/>
            </w:r>
            <w:r w:rsidRPr="00B450EB">
              <w:rPr>
                <w:noProof/>
                <w:webHidden/>
              </w:rPr>
              <w:instrText xml:space="preserve"> PAGEREF _Toc209722919 \h </w:instrText>
            </w:r>
            <w:r w:rsidRPr="00B450EB">
              <w:rPr>
                <w:noProof/>
                <w:webHidden/>
              </w:rPr>
            </w:r>
            <w:r w:rsidRPr="00B450EB">
              <w:rPr>
                <w:noProof/>
                <w:webHidden/>
              </w:rPr>
              <w:fldChar w:fldCharType="separate"/>
            </w:r>
            <w:r w:rsidR="0004413E" w:rsidRPr="00B450EB">
              <w:rPr>
                <w:noProof/>
                <w:webHidden/>
              </w:rPr>
              <w:t>75</w:t>
            </w:r>
            <w:r w:rsidRPr="00B450EB">
              <w:rPr>
                <w:noProof/>
                <w:webHidden/>
              </w:rPr>
              <w:fldChar w:fldCharType="end"/>
            </w:r>
          </w:hyperlink>
        </w:p>
        <w:p w14:paraId="34C45201" w14:textId="37483125" w:rsidR="00A55C3C" w:rsidRPr="00B450EB" w:rsidRDefault="00A55C3C">
          <w:pPr>
            <w:pStyle w:val="TDC2"/>
            <w:rPr>
              <w:rFonts w:asciiTheme="minorHAnsi" w:eastAsiaTheme="minorEastAsia" w:hAnsiTheme="minorHAnsi"/>
              <w:sz w:val="22"/>
              <w:szCs w:val="22"/>
              <w:lang w:eastAsia="es-CO"/>
            </w:rPr>
          </w:pPr>
          <w:hyperlink w:anchor="_Toc209722920" w:history="1">
            <w:r w:rsidRPr="00B450EB">
              <w:rPr>
                <w:rStyle w:val="Hipervnculo"/>
              </w:rPr>
              <w:t>6.2.</w:t>
            </w:r>
            <w:r w:rsidRPr="00B450EB">
              <w:rPr>
                <w:rFonts w:asciiTheme="minorHAnsi" w:eastAsiaTheme="minorEastAsia" w:hAnsiTheme="minorHAnsi"/>
                <w:sz w:val="22"/>
                <w:szCs w:val="22"/>
                <w:lang w:eastAsia="es-CO"/>
              </w:rPr>
              <w:tab/>
            </w:r>
            <w:r w:rsidRPr="00B450EB">
              <w:rPr>
                <w:rStyle w:val="Hipervnculo"/>
              </w:rPr>
              <w:t>FENÓMENO METEOROLÓGICO “RÍOS VOLADORES”</w:t>
            </w:r>
            <w:r w:rsidRPr="00B450EB">
              <w:rPr>
                <w:webHidden/>
              </w:rPr>
              <w:tab/>
            </w:r>
            <w:r w:rsidRPr="00B450EB">
              <w:rPr>
                <w:webHidden/>
              </w:rPr>
              <w:fldChar w:fldCharType="begin"/>
            </w:r>
            <w:r w:rsidRPr="00B450EB">
              <w:rPr>
                <w:webHidden/>
              </w:rPr>
              <w:instrText xml:space="preserve"> PAGEREF _Toc209722920 \h </w:instrText>
            </w:r>
            <w:r w:rsidRPr="00B450EB">
              <w:rPr>
                <w:webHidden/>
              </w:rPr>
            </w:r>
            <w:r w:rsidRPr="00B450EB">
              <w:rPr>
                <w:webHidden/>
              </w:rPr>
              <w:fldChar w:fldCharType="separate"/>
            </w:r>
            <w:r w:rsidR="0004413E" w:rsidRPr="00B450EB">
              <w:rPr>
                <w:webHidden/>
              </w:rPr>
              <w:t>89</w:t>
            </w:r>
            <w:r w:rsidRPr="00B450EB">
              <w:rPr>
                <w:webHidden/>
              </w:rPr>
              <w:fldChar w:fldCharType="end"/>
            </w:r>
          </w:hyperlink>
        </w:p>
        <w:p w14:paraId="6A8AB9B7" w14:textId="6D5AF471" w:rsidR="00A55C3C" w:rsidRPr="00B450EB" w:rsidRDefault="00A55C3C">
          <w:pPr>
            <w:pStyle w:val="TDC2"/>
            <w:rPr>
              <w:rFonts w:asciiTheme="minorHAnsi" w:eastAsiaTheme="minorEastAsia" w:hAnsiTheme="minorHAnsi"/>
              <w:sz w:val="22"/>
              <w:szCs w:val="22"/>
              <w:lang w:eastAsia="es-CO"/>
            </w:rPr>
          </w:pPr>
          <w:hyperlink w:anchor="_Toc209722921" w:history="1">
            <w:r w:rsidRPr="00B450EB">
              <w:rPr>
                <w:rStyle w:val="Hipervnculo"/>
              </w:rPr>
              <w:t>6.3.</w:t>
            </w:r>
            <w:r w:rsidRPr="00B450EB">
              <w:rPr>
                <w:rFonts w:asciiTheme="minorHAnsi" w:eastAsiaTheme="minorEastAsia" w:hAnsiTheme="minorHAnsi"/>
                <w:sz w:val="22"/>
                <w:szCs w:val="22"/>
                <w:lang w:eastAsia="es-CO"/>
              </w:rPr>
              <w:tab/>
            </w:r>
            <w:r w:rsidRPr="00B450EB">
              <w:rPr>
                <w:rStyle w:val="Hipervnculo"/>
              </w:rPr>
              <w:t>MEDIO BIÓTICO</w:t>
            </w:r>
            <w:r w:rsidRPr="00B450EB">
              <w:rPr>
                <w:webHidden/>
              </w:rPr>
              <w:tab/>
            </w:r>
            <w:r w:rsidRPr="00B450EB">
              <w:rPr>
                <w:webHidden/>
              </w:rPr>
              <w:fldChar w:fldCharType="begin"/>
            </w:r>
            <w:r w:rsidRPr="00B450EB">
              <w:rPr>
                <w:webHidden/>
              </w:rPr>
              <w:instrText xml:space="preserve"> PAGEREF _Toc209722921 \h </w:instrText>
            </w:r>
            <w:r w:rsidRPr="00B450EB">
              <w:rPr>
                <w:webHidden/>
              </w:rPr>
            </w:r>
            <w:r w:rsidRPr="00B450EB">
              <w:rPr>
                <w:webHidden/>
              </w:rPr>
              <w:fldChar w:fldCharType="separate"/>
            </w:r>
            <w:r w:rsidR="0004413E" w:rsidRPr="00B450EB">
              <w:rPr>
                <w:webHidden/>
              </w:rPr>
              <w:t>106</w:t>
            </w:r>
            <w:r w:rsidRPr="00B450EB">
              <w:rPr>
                <w:webHidden/>
              </w:rPr>
              <w:fldChar w:fldCharType="end"/>
            </w:r>
          </w:hyperlink>
        </w:p>
        <w:p w14:paraId="67039B03" w14:textId="6FF91017" w:rsidR="00A55C3C" w:rsidRPr="00B450EB" w:rsidRDefault="00A55C3C">
          <w:pPr>
            <w:pStyle w:val="TDC3"/>
            <w:rPr>
              <w:rFonts w:asciiTheme="minorHAnsi" w:eastAsiaTheme="minorEastAsia" w:hAnsiTheme="minorHAnsi"/>
              <w:noProof/>
              <w:sz w:val="22"/>
              <w:szCs w:val="22"/>
              <w:lang w:eastAsia="es-CO"/>
            </w:rPr>
          </w:pPr>
          <w:hyperlink w:anchor="_Toc209722922" w:history="1">
            <w:r w:rsidRPr="00B450EB">
              <w:rPr>
                <w:rStyle w:val="Hipervnculo"/>
                <w:noProof/>
              </w:rPr>
              <w:t>6.3.1.</w:t>
            </w:r>
            <w:r w:rsidRPr="00B450EB">
              <w:rPr>
                <w:rFonts w:asciiTheme="minorHAnsi" w:eastAsiaTheme="minorEastAsia" w:hAnsiTheme="minorHAnsi"/>
                <w:noProof/>
                <w:sz w:val="22"/>
                <w:szCs w:val="22"/>
                <w:lang w:eastAsia="es-CO"/>
              </w:rPr>
              <w:tab/>
            </w:r>
            <w:r w:rsidRPr="00B450EB">
              <w:rPr>
                <w:rStyle w:val="Hipervnculo"/>
                <w:rFonts w:cs="Arial"/>
                <w:noProof/>
              </w:rPr>
              <w:t>Características biogeográficas</w:t>
            </w:r>
            <w:r w:rsidRPr="00B450EB">
              <w:rPr>
                <w:noProof/>
                <w:webHidden/>
              </w:rPr>
              <w:tab/>
            </w:r>
            <w:r w:rsidRPr="00B450EB">
              <w:rPr>
                <w:noProof/>
                <w:webHidden/>
              </w:rPr>
              <w:fldChar w:fldCharType="begin"/>
            </w:r>
            <w:r w:rsidRPr="00B450EB">
              <w:rPr>
                <w:noProof/>
                <w:webHidden/>
              </w:rPr>
              <w:instrText xml:space="preserve"> PAGEREF _Toc209722922 \h </w:instrText>
            </w:r>
            <w:r w:rsidRPr="00B450EB">
              <w:rPr>
                <w:noProof/>
                <w:webHidden/>
              </w:rPr>
            </w:r>
            <w:r w:rsidRPr="00B450EB">
              <w:rPr>
                <w:noProof/>
                <w:webHidden/>
              </w:rPr>
              <w:fldChar w:fldCharType="separate"/>
            </w:r>
            <w:r w:rsidR="0004413E" w:rsidRPr="00B450EB">
              <w:rPr>
                <w:noProof/>
                <w:webHidden/>
              </w:rPr>
              <w:t>106</w:t>
            </w:r>
            <w:r w:rsidRPr="00B450EB">
              <w:rPr>
                <w:noProof/>
                <w:webHidden/>
              </w:rPr>
              <w:fldChar w:fldCharType="end"/>
            </w:r>
          </w:hyperlink>
        </w:p>
        <w:p w14:paraId="105EB3C2" w14:textId="1C6DD963" w:rsidR="00A55C3C" w:rsidRPr="00B450EB" w:rsidRDefault="00A55C3C">
          <w:pPr>
            <w:pStyle w:val="TDC3"/>
            <w:rPr>
              <w:rFonts w:asciiTheme="minorHAnsi" w:eastAsiaTheme="minorEastAsia" w:hAnsiTheme="minorHAnsi"/>
              <w:noProof/>
              <w:sz w:val="22"/>
              <w:szCs w:val="22"/>
              <w:lang w:eastAsia="es-CO"/>
            </w:rPr>
          </w:pPr>
          <w:hyperlink w:anchor="_Toc209722923" w:history="1">
            <w:r w:rsidRPr="00B450EB">
              <w:rPr>
                <w:rStyle w:val="Hipervnculo"/>
                <w:rFonts w:cs="Arial"/>
                <w:noProof/>
              </w:rPr>
              <w:t>6.3.2.</w:t>
            </w:r>
            <w:r w:rsidRPr="00B450EB">
              <w:rPr>
                <w:rFonts w:asciiTheme="minorHAnsi" w:eastAsiaTheme="minorEastAsia" w:hAnsiTheme="minorHAnsi"/>
                <w:noProof/>
                <w:sz w:val="22"/>
                <w:szCs w:val="22"/>
                <w:lang w:eastAsia="es-CO"/>
              </w:rPr>
              <w:tab/>
            </w:r>
            <w:r w:rsidRPr="00B450EB">
              <w:rPr>
                <w:rStyle w:val="Hipervnculo"/>
                <w:rFonts w:cs="Arial"/>
                <w:noProof/>
              </w:rPr>
              <w:t>Dinámica de transformación de Coberturas de la Tierra</w:t>
            </w:r>
            <w:r w:rsidRPr="00B450EB">
              <w:rPr>
                <w:noProof/>
                <w:webHidden/>
              </w:rPr>
              <w:tab/>
            </w:r>
            <w:r w:rsidRPr="00B450EB">
              <w:rPr>
                <w:noProof/>
                <w:webHidden/>
              </w:rPr>
              <w:fldChar w:fldCharType="begin"/>
            </w:r>
            <w:r w:rsidRPr="00B450EB">
              <w:rPr>
                <w:noProof/>
                <w:webHidden/>
              </w:rPr>
              <w:instrText xml:space="preserve"> PAGEREF _Toc209722923 \h </w:instrText>
            </w:r>
            <w:r w:rsidRPr="00B450EB">
              <w:rPr>
                <w:noProof/>
                <w:webHidden/>
              </w:rPr>
            </w:r>
            <w:r w:rsidRPr="00B450EB">
              <w:rPr>
                <w:noProof/>
                <w:webHidden/>
              </w:rPr>
              <w:fldChar w:fldCharType="separate"/>
            </w:r>
            <w:r w:rsidR="0004413E" w:rsidRPr="00B450EB">
              <w:rPr>
                <w:noProof/>
                <w:webHidden/>
              </w:rPr>
              <w:t>109</w:t>
            </w:r>
            <w:r w:rsidRPr="00B450EB">
              <w:rPr>
                <w:noProof/>
                <w:webHidden/>
              </w:rPr>
              <w:fldChar w:fldCharType="end"/>
            </w:r>
          </w:hyperlink>
        </w:p>
        <w:p w14:paraId="1C22E202" w14:textId="5D1404C8" w:rsidR="00A55C3C" w:rsidRPr="00B450EB" w:rsidRDefault="00A55C3C">
          <w:pPr>
            <w:pStyle w:val="TDC3"/>
            <w:rPr>
              <w:rFonts w:asciiTheme="minorHAnsi" w:eastAsiaTheme="minorEastAsia" w:hAnsiTheme="minorHAnsi"/>
              <w:noProof/>
              <w:sz w:val="22"/>
              <w:szCs w:val="22"/>
              <w:lang w:eastAsia="es-CO"/>
            </w:rPr>
          </w:pPr>
          <w:hyperlink w:anchor="_Toc209722924" w:history="1">
            <w:r w:rsidRPr="00B450EB">
              <w:rPr>
                <w:rStyle w:val="Hipervnculo"/>
                <w:rFonts w:cs="Arial"/>
                <w:noProof/>
              </w:rPr>
              <w:t>6.3.3.</w:t>
            </w:r>
            <w:r w:rsidRPr="00B450EB">
              <w:rPr>
                <w:rFonts w:asciiTheme="minorHAnsi" w:eastAsiaTheme="minorEastAsia" w:hAnsiTheme="minorHAnsi"/>
                <w:noProof/>
                <w:sz w:val="22"/>
                <w:szCs w:val="22"/>
                <w:lang w:eastAsia="es-CO"/>
              </w:rPr>
              <w:tab/>
            </w:r>
            <w:r w:rsidRPr="00B450EB">
              <w:rPr>
                <w:rStyle w:val="Hipervnculo"/>
                <w:rFonts w:cs="Arial"/>
                <w:noProof/>
              </w:rPr>
              <w:t>Flora</w:t>
            </w:r>
            <w:r w:rsidRPr="00B450EB">
              <w:rPr>
                <w:noProof/>
                <w:webHidden/>
              </w:rPr>
              <w:tab/>
            </w:r>
            <w:r w:rsidRPr="00B450EB">
              <w:rPr>
                <w:noProof/>
                <w:webHidden/>
              </w:rPr>
              <w:fldChar w:fldCharType="begin"/>
            </w:r>
            <w:r w:rsidRPr="00B450EB">
              <w:rPr>
                <w:noProof/>
                <w:webHidden/>
              </w:rPr>
              <w:instrText xml:space="preserve"> PAGEREF _Toc209722924 \h </w:instrText>
            </w:r>
            <w:r w:rsidRPr="00B450EB">
              <w:rPr>
                <w:noProof/>
                <w:webHidden/>
              </w:rPr>
            </w:r>
            <w:r w:rsidRPr="00B450EB">
              <w:rPr>
                <w:noProof/>
                <w:webHidden/>
              </w:rPr>
              <w:fldChar w:fldCharType="separate"/>
            </w:r>
            <w:r w:rsidR="0004413E" w:rsidRPr="00B450EB">
              <w:rPr>
                <w:noProof/>
                <w:webHidden/>
              </w:rPr>
              <w:t>114</w:t>
            </w:r>
            <w:r w:rsidRPr="00B450EB">
              <w:rPr>
                <w:noProof/>
                <w:webHidden/>
              </w:rPr>
              <w:fldChar w:fldCharType="end"/>
            </w:r>
          </w:hyperlink>
        </w:p>
        <w:p w14:paraId="014539FA" w14:textId="2EB00EDA" w:rsidR="00A55C3C" w:rsidRPr="00B450EB" w:rsidRDefault="00A55C3C">
          <w:pPr>
            <w:pStyle w:val="TDC3"/>
            <w:rPr>
              <w:rFonts w:asciiTheme="minorHAnsi" w:eastAsiaTheme="minorEastAsia" w:hAnsiTheme="minorHAnsi"/>
              <w:noProof/>
              <w:sz w:val="22"/>
              <w:szCs w:val="22"/>
              <w:lang w:eastAsia="es-CO"/>
            </w:rPr>
          </w:pPr>
          <w:hyperlink w:anchor="_Toc209722925" w:history="1">
            <w:r w:rsidRPr="00B450EB">
              <w:rPr>
                <w:rStyle w:val="Hipervnculo"/>
                <w:rFonts w:cs="Arial"/>
                <w:noProof/>
              </w:rPr>
              <w:t>6.3.4.</w:t>
            </w:r>
            <w:r w:rsidRPr="00B450EB">
              <w:rPr>
                <w:rFonts w:asciiTheme="minorHAnsi" w:eastAsiaTheme="minorEastAsia" w:hAnsiTheme="minorHAnsi"/>
                <w:noProof/>
                <w:sz w:val="22"/>
                <w:szCs w:val="22"/>
                <w:lang w:eastAsia="es-CO"/>
              </w:rPr>
              <w:tab/>
            </w:r>
            <w:r w:rsidRPr="00B450EB">
              <w:rPr>
                <w:rStyle w:val="Hipervnculo"/>
                <w:rFonts w:cs="Arial"/>
                <w:noProof/>
              </w:rPr>
              <w:t>Fauna</w:t>
            </w:r>
            <w:r w:rsidRPr="00B450EB">
              <w:rPr>
                <w:noProof/>
                <w:webHidden/>
              </w:rPr>
              <w:tab/>
            </w:r>
            <w:r w:rsidRPr="00B450EB">
              <w:rPr>
                <w:noProof/>
                <w:webHidden/>
              </w:rPr>
              <w:fldChar w:fldCharType="begin"/>
            </w:r>
            <w:r w:rsidRPr="00B450EB">
              <w:rPr>
                <w:noProof/>
                <w:webHidden/>
              </w:rPr>
              <w:instrText xml:space="preserve"> PAGEREF _Toc209722925 \h </w:instrText>
            </w:r>
            <w:r w:rsidRPr="00B450EB">
              <w:rPr>
                <w:noProof/>
                <w:webHidden/>
              </w:rPr>
            </w:r>
            <w:r w:rsidRPr="00B450EB">
              <w:rPr>
                <w:noProof/>
                <w:webHidden/>
              </w:rPr>
              <w:fldChar w:fldCharType="separate"/>
            </w:r>
            <w:r w:rsidR="0004413E" w:rsidRPr="00B450EB">
              <w:rPr>
                <w:noProof/>
                <w:webHidden/>
              </w:rPr>
              <w:t>121</w:t>
            </w:r>
            <w:r w:rsidRPr="00B450EB">
              <w:rPr>
                <w:noProof/>
                <w:webHidden/>
              </w:rPr>
              <w:fldChar w:fldCharType="end"/>
            </w:r>
          </w:hyperlink>
        </w:p>
        <w:p w14:paraId="57CDD7BA" w14:textId="4C9F4B37" w:rsidR="00A55C3C" w:rsidRPr="00B450EB" w:rsidRDefault="00A55C3C">
          <w:pPr>
            <w:pStyle w:val="TDC3"/>
            <w:rPr>
              <w:rFonts w:asciiTheme="minorHAnsi" w:eastAsiaTheme="minorEastAsia" w:hAnsiTheme="minorHAnsi"/>
              <w:noProof/>
              <w:sz w:val="22"/>
              <w:szCs w:val="22"/>
              <w:lang w:eastAsia="es-CO"/>
            </w:rPr>
          </w:pPr>
          <w:hyperlink w:anchor="_Toc209722926" w:history="1">
            <w:r w:rsidRPr="00B450EB">
              <w:rPr>
                <w:rStyle w:val="Hipervnculo"/>
                <w:rFonts w:cs="Arial"/>
                <w:noProof/>
              </w:rPr>
              <w:t>6.3.4.1.</w:t>
            </w:r>
            <w:r w:rsidRPr="00B450EB">
              <w:rPr>
                <w:rFonts w:asciiTheme="minorHAnsi" w:eastAsiaTheme="minorEastAsia" w:hAnsiTheme="minorHAnsi"/>
                <w:noProof/>
                <w:sz w:val="22"/>
                <w:szCs w:val="22"/>
                <w:lang w:eastAsia="es-CO"/>
              </w:rPr>
              <w:tab/>
            </w:r>
            <w:r w:rsidRPr="00B450EB">
              <w:rPr>
                <w:rStyle w:val="Hipervnculo"/>
                <w:rFonts w:cs="Arial"/>
                <w:noProof/>
              </w:rPr>
              <w:t>Artropofauna</w:t>
            </w:r>
            <w:r w:rsidRPr="00B450EB">
              <w:rPr>
                <w:noProof/>
                <w:webHidden/>
              </w:rPr>
              <w:tab/>
            </w:r>
            <w:r w:rsidRPr="00B450EB">
              <w:rPr>
                <w:noProof/>
                <w:webHidden/>
              </w:rPr>
              <w:fldChar w:fldCharType="begin"/>
            </w:r>
            <w:r w:rsidRPr="00B450EB">
              <w:rPr>
                <w:noProof/>
                <w:webHidden/>
              </w:rPr>
              <w:instrText xml:space="preserve"> PAGEREF _Toc209722926 \h </w:instrText>
            </w:r>
            <w:r w:rsidRPr="00B450EB">
              <w:rPr>
                <w:noProof/>
                <w:webHidden/>
              </w:rPr>
            </w:r>
            <w:r w:rsidRPr="00B450EB">
              <w:rPr>
                <w:noProof/>
                <w:webHidden/>
              </w:rPr>
              <w:fldChar w:fldCharType="separate"/>
            </w:r>
            <w:r w:rsidR="0004413E" w:rsidRPr="00B450EB">
              <w:rPr>
                <w:noProof/>
                <w:webHidden/>
              </w:rPr>
              <w:t>122</w:t>
            </w:r>
            <w:r w:rsidRPr="00B450EB">
              <w:rPr>
                <w:noProof/>
                <w:webHidden/>
              </w:rPr>
              <w:fldChar w:fldCharType="end"/>
            </w:r>
          </w:hyperlink>
        </w:p>
        <w:p w14:paraId="0ED9E559" w14:textId="4B34ED86" w:rsidR="00A55C3C" w:rsidRPr="00B450EB" w:rsidRDefault="00A55C3C">
          <w:pPr>
            <w:pStyle w:val="TDC3"/>
            <w:rPr>
              <w:rFonts w:asciiTheme="minorHAnsi" w:eastAsiaTheme="minorEastAsia" w:hAnsiTheme="minorHAnsi"/>
              <w:noProof/>
              <w:sz w:val="22"/>
              <w:szCs w:val="22"/>
              <w:lang w:eastAsia="es-CO"/>
            </w:rPr>
          </w:pPr>
          <w:hyperlink w:anchor="_Toc209722927" w:history="1">
            <w:r w:rsidRPr="00B450EB">
              <w:rPr>
                <w:rStyle w:val="Hipervnculo"/>
                <w:noProof/>
              </w:rPr>
              <w:t>6.3.4.2.</w:t>
            </w:r>
            <w:r w:rsidRPr="00B450EB">
              <w:rPr>
                <w:rFonts w:asciiTheme="minorHAnsi" w:eastAsiaTheme="minorEastAsia" w:hAnsiTheme="minorHAnsi"/>
                <w:noProof/>
                <w:sz w:val="22"/>
                <w:szCs w:val="22"/>
                <w:lang w:eastAsia="es-CO"/>
              </w:rPr>
              <w:tab/>
            </w:r>
            <w:r w:rsidRPr="00B450EB">
              <w:rPr>
                <w:rStyle w:val="Hipervnculo"/>
                <w:rFonts w:cs="Arial"/>
                <w:noProof/>
              </w:rPr>
              <w:t>Ictiofauna</w:t>
            </w:r>
            <w:r w:rsidRPr="00B450EB">
              <w:rPr>
                <w:noProof/>
                <w:webHidden/>
              </w:rPr>
              <w:tab/>
            </w:r>
            <w:r w:rsidRPr="00B450EB">
              <w:rPr>
                <w:noProof/>
                <w:webHidden/>
              </w:rPr>
              <w:fldChar w:fldCharType="begin"/>
            </w:r>
            <w:r w:rsidRPr="00B450EB">
              <w:rPr>
                <w:noProof/>
                <w:webHidden/>
              </w:rPr>
              <w:instrText xml:space="preserve"> PAGEREF _Toc209722927 \h </w:instrText>
            </w:r>
            <w:r w:rsidRPr="00B450EB">
              <w:rPr>
                <w:noProof/>
                <w:webHidden/>
              </w:rPr>
            </w:r>
            <w:r w:rsidRPr="00B450EB">
              <w:rPr>
                <w:noProof/>
                <w:webHidden/>
              </w:rPr>
              <w:fldChar w:fldCharType="separate"/>
            </w:r>
            <w:r w:rsidR="0004413E" w:rsidRPr="00B450EB">
              <w:rPr>
                <w:noProof/>
                <w:webHidden/>
              </w:rPr>
              <w:t>125</w:t>
            </w:r>
            <w:r w:rsidRPr="00B450EB">
              <w:rPr>
                <w:noProof/>
                <w:webHidden/>
              </w:rPr>
              <w:fldChar w:fldCharType="end"/>
            </w:r>
          </w:hyperlink>
        </w:p>
        <w:p w14:paraId="5840400D" w14:textId="49B084FC" w:rsidR="00A55C3C" w:rsidRPr="00B450EB" w:rsidRDefault="00A55C3C">
          <w:pPr>
            <w:pStyle w:val="TDC3"/>
            <w:rPr>
              <w:rFonts w:asciiTheme="minorHAnsi" w:eastAsiaTheme="minorEastAsia" w:hAnsiTheme="minorHAnsi"/>
              <w:noProof/>
              <w:sz w:val="22"/>
              <w:szCs w:val="22"/>
              <w:lang w:eastAsia="es-CO"/>
            </w:rPr>
          </w:pPr>
          <w:hyperlink w:anchor="_Toc209722928" w:history="1">
            <w:r w:rsidRPr="00B450EB">
              <w:rPr>
                <w:rStyle w:val="Hipervnculo"/>
                <w:noProof/>
              </w:rPr>
              <w:t>6.3.4.3.</w:t>
            </w:r>
            <w:r w:rsidRPr="00B450EB">
              <w:rPr>
                <w:rFonts w:asciiTheme="minorHAnsi" w:eastAsiaTheme="minorEastAsia" w:hAnsiTheme="minorHAnsi"/>
                <w:noProof/>
                <w:sz w:val="22"/>
                <w:szCs w:val="22"/>
                <w:lang w:eastAsia="es-CO"/>
              </w:rPr>
              <w:tab/>
            </w:r>
            <w:r w:rsidRPr="00B450EB">
              <w:rPr>
                <w:rStyle w:val="Hipervnculo"/>
                <w:noProof/>
              </w:rPr>
              <w:t>Herpetofauna</w:t>
            </w:r>
            <w:r w:rsidRPr="00B450EB">
              <w:rPr>
                <w:noProof/>
                <w:webHidden/>
              </w:rPr>
              <w:tab/>
            </w:r>
            <w:r w:rsidRPr="00B450EB">
              <w:rPr>
                <w:noProof/>
                <w:webHidden/>
              </w:rPr>
              <w:fldChar w:fldCharType="begin"/>
            </w:r>
            <w:r w:rsidRPr="00B450EB">
              <w:rPr>
                <w:noProof/>
                <w:webHidden/>
              </w:rPr>
              <w:instrText xml:space="preserve"> PAGEREF _Toc209722928 \h </w:instrText>
            </w:r>
            <w:r w:rsidRPr="00B450EB">
              <w:rPr>
                <w:noProof/>
                <w:webHidden/>
              </w:rPr>
            </w:r>
            <w:r w:rsidRPr="00B450EB">
              <w:rPr>
                <w:noProof/>
                <w:webHidden/>
              </w:rPr>
              <w:fldChar w:fldCharType="separate"/>
            </w:r>
            <w:r w:rsidR="0004413E" w:rsidRPr="00B450EB">
              <w:rPr>
                <w:noProof/>
                <w:webHidden/>
              </w:rPr>
              <w:t>128</w:t>
            </w:r>
            <w:r w:rsidRPr="00B450EB">
              <w:rPr>
                <w:noProof/>
                <w:webHidden/>
              </w:rPr>
              <w:fldChar w:fldCharType="end"/>
            </w:r>
          </w:hyperlink>
        </w:p>
        <w:p w14:paraId="33E61FD2" w14:textId="266E5072" w:rsidR="00A55C3C" w:rsidRPr="00B450EB" w:rsidRDefault="00A55C3C">
          <w:pPr>
            <w:pStyle w:val="TDC3"/>
            <w:rPr>
              <w:rFonts w:asciiTheme="minorHAnsi" w:eastAsiaTheme="minorEastAsia" w:hAnsiTheme="minorHAnsi"/>
              <w:noProof/>
              <w:sz w:val="22"/>
              <w:szCs w:val="22"/>
              <w:lang w:eastAsia="es-CO"/>
            </w:rPr>
          </w:pPr>
          <w:hyperlink w:anchor="_Toc209722929" w:history="1">
            <w:r w:rsidRPr="00B450EB">
              <w:rPr>
                <w:rStyle w:val="Hipervnculo"/>
                <w:noProof/>
              </w:rPr>
              <w:t>6.3.4.4.</w:t>
            </w:r>
            <w:r w:rsidRPr="00B450EB">
              <w:rPr>
                <w:rFonts w:asciiTheme="minorHAnsi" w:eastAsiaTheme="minorEastAsia" w:hAnsiTheme="minorHAnsi"/>
                <w:noProof/>
                <w:sz w:val="22"/>
                <w:szCs w:val="22"/>
                <w:lang w:eastAsia="es-CO"/>
              </w:rPr>
              <w:tab/>
            </w:r>
            <w:r w:rsidRPr="00B450EB">
              <w:rPr>
                <w:rStyle w:val="Hipervnculo"/>
                <w:noProof/>
              </w:rPr>
              <w:t>Aves</w:t>
            </w:r>
            <w:r w:rsidRPr="00B450EB">
              <w:rPr>
                <w:noProof/>
                <w:webHidden/>
              </w:rPr>
              <w:tab/>
            </w:r>
            <w:r w:rsidRPr="00B450EB">
              <w:rPr>
                <w:noProof/>
                <w:webHidden/>
              </w:rPr>
              <w:fldChar w:fldCharType="begin"/>
            </w:r>
            <w:r w:rsidRPr="00B450EB">
              <w:rPr>
                <w:noProof/>
                <w:webHidden/>
              </w:rPr>
              <w:instrText xml:space="preserve"> PAGEREF _Toc209722929 \h </w:instrText>
            </w:r>
            <w:r w:rsidRPr="00B450EB">
              <w:rPr>
                <w:noProof/>
                <w:webHidden/>
              </w:rPr>
            </w:r>
            <w:r w:rsidRPr="00B450EB">
              <w:rPr>
                <w:noProof/>
                <w:webHidden/>
              </w:rPr>
              <w:fldChar w:fldCharType="separate"/>
            </w:r>
            <w:r w:rsidR="0004413E" w:rsidRPr="00B450EB">
              <w:rPr>
                <w:noProof/>
                <w:webHidden/>
              </w:rPr>
              <w:t>129</w:t>
            </w:r>
            <w:r w:rsidRPr="00B450EB">
              <w:rPr>
                <w:noProof/>
                <w:webHidden/>
              </w:rPr>
              <w:fldChar w:fldCharType="end"/>
            </w:r>
          </w:hyperlink>
        </w:p>
        <w:p w14:paraId="1E5F80C0" w14:textId="2ED90EF1" w:rsidR="00A55C3C" w:rsidRPr="00B450EB" w:rsidRDefault="00A55C3C">
          <w:pPr>
            <w:pStyle w:val="TDC3"/>
            <w:rPr>
              <w:rFonts w:asciiTheme="minorHAnsi" w:eastAsiaTheme="minorEastAsia" w:hAnsiTheme="minorHAnsi"/>
              <w:noProof/>
              <w:sz w:val="22"/>
              <w:szCs w:val="22"/>
              <w:lang w:eastAsia="es-CO"/>
            </w:rPr>
          </w:pPr>
          <w:hyperlink w:anchor="_Toc209722930" w:history="1">
            <w:r w:rsidRPr="00B450EB">
              <w:rPr>
                <w:rStyle w:val="Hipervnculo"/>
                <w:noProof/>
              </w:rPr>
              <w:t>6.3.4.5.</w:t>
            </w:r>
            <w:r w:rsidRPr="00B450EB">
              <w:rPr>
                <w:rFonts w:asciiTheme="minorHAnsi" w:eastAsiaTheme="minorEastAsia" w:hAnsiTheme="minorHAnsi"/>
                <w:noProof/>
                <w:sz w:val="22"/>
                <w:szCs w:val="22"/>
                <w:lang w:eastAsia="es-CO"/>
              </w:rPr>
              <w:tab/>
            </w:r>
            <w:r w:rsidRPr="00B450EB">
              <w:rPr>
                <w:rStyle w:val="Hipervnculo"/>
                <w:noProof/>
              </w:rPr>
              <w:t>Mastofauna</w:t>
            </w:r>
            <w:r w:rsidRPr="00B450EB">
              <w:rPr>
                <w:noProof/>
                <w:webHidden/>
              </w:rPr>
              <w:tab/>
            </w:r>
            <w:r w:rsidRPr="00B450EB">
              <w:rPr>
                <w:noProof/>
                <w:webHidden/>
              </w:rPr>
              <w:fldChar w:fldCharType="begin"/>
            </w:r>
            <w:r w:rsidRPr="00B450EB">
              <w:rPr>
                <w:noProof/>
                <w:webHidden/>
              </w:rPr>
              <w:instrText xml:space="preserve"> PAGEREF _Toc209722930 \h </w:instrText>
            </w:r>
            <w:r w:rsidRPr="00B450EB">
              <w:rPr>
                <w:noProof/>
                <w:webHidden/>
              </w:rPr>
            </w:r>
            <w:r w:rsidRPr="00B450EB">
              <w:rPr>
                <w:noProof/>
                <w:webHidden/>
              </w:rPr>
              <w:fldChar w:fldCharType="separate"/>
            </w:r>
            <w:r w:rsidR="0004413E" w:rsidRPr="00B450EB">
              <w:rPr>
                <w:noProof/>
                <w:webHidden/>
              </w:rPr>
              <w:t>130</w:t>
            </w:r>
            <w:r w:rsidRPr="00B450EB">
              <w:rPr>
                <w:noProof/>
                <w:webHidden/>
              </w:rPr>
              <w:fldChar w:fldCharType="end"/>
            </w:r>
          </w:hyperlink>
        </w:p>
        <w:p w14:paraId="50DB07D6" w14:textId="36B3F0A5" w:rsidR="00A55C3C" w:rsidRPr="00B450EB" w:rsidRDefault="00A55C3C">
          <w:pPr>
            <w:pStyle w:val="TDC3"/>
            <w:rPr>
              <w:rFonts w:asciiTheme="minorHAnsi" w:eastAsiaTheme="minorEastAsia" w:hAnsiTheme="minorHAnsi"/>
              <w:noProof/>
              <w:sz w:val="22"/>
              <w:szCs w:val="22"/>
              <w:lang w:eastAsia="es-CO"/>
            </w:rPr>
          </w:pPr>
          <w:hyperlink w:anchor="_Toc209722931" w:history="1">
            <w:r w:rsidRPr="00B450EB">
              <w:rPr>
                <w:rStyle w:val="Hipervnculo"/>
                <w:rFonts w:cs="Arial"/>
                <w:iCs/>
                <w:noProof/>
              </w:rPr>
              <w:t>6.3.5.</w:t>
            </w:r>
            <w:r w:rsidRPr="00B450EB">
              <w:rPr>
                <w:rFonts w:asciiTheme="minorHAnsi" w:eastAsiaTheme="minorEastAsia" w:hAnsiTheme="minorHAnsi"/>
                <w:noProof/>
                <w:sz w:val="22"/>
                <w:szCs w:val="22"/>
                <w:lang w:eastAsia="es-CO"/>
              </w:rPr>
              <w:tab/>
            </w:r>
            <w:r w:rsidRPr="00B450EB">
              <w:rPr>
                <w:rStyle w:val="Hipervnculo"/>
                <w:rFonts w:cs="Arial"/>
                <w:noProof/>
              </w:rPr>
              <w:t>Consolidado de riqueza y amenaza de Flora y fauna en la Amazonía colombiana</w:t>
            </w:r>
            <w:r w:rsidRPr="00B450EB">
              <w:rPr>
                <w:noProof/>
                <w:webHidden/>
              </w:rPr>
              <w:tab/>
            </w:r>
            <w:r w:rsidRPr="00B450EB">
              <w:rPr>
                <w:noProof/>
                <w:webHidden/>
              </w:rPr>
              <w:fldChar w:fldCharType="begin"/>
            </w:r>
            <w:r w:rsidRPr="00B450EB">
              <w:rPr>
                <w:noProof/>
                <w:webHidden/>
              </w:rPr>
              <w:instrText xml:space="preserve"> PAGEREF _Toc209722931 \h </w:instrText>
            </w:r>
            <w:r w:rsidRPr="00B450EB">
              <w:rPr>
                <w:noProof/>
                <w:webHidden/>
              </w:rPr>
            </w:r>
            <w:r w:rsidRPr="00B450EB">
              <w:rPr>
                <w:noProof/>
                <w:webHidden/>
              </w:rPr>
              <w:fldChar w:fldCharType="separate"/>
            </w:r>
            <w:r w:rsidR="0004413E" w:rsidRPr="00B450EB">
              <w:rPr>
                <w:noProof/>
                <w:webHidden/>
              </w:rPr>
              <w:t>138</w:t>
            </w:r>
            <w:r w:rsidRPr="00B450EB">
              <w:rPr>
                <w:noProof/>
                <w:webHidden/>
              </w:rPr>
              <w:fldChar w:fldCharType="end"/>
            </w:r>
          </w:hyperlink>
        </w:p>
        <w:p w14:paraId="7DC87E85" w14:textId="64ADBD43" w:rsidR="00A55C3C" w:rsidRPr="00B450EB" w:rsidRDefault="00A55C3C">
          <w:pPr>
            <w:pStyle w:val="TDC3"/>
            <w:rPr>
              <w:rFonts w:asciiTheme="minorHAnsi" w:eastAsiaTheme="minorEastAsia" w:hAnsiTheme="minorHAnsi"/>
              <w:noProof/>
              <w:sz w:val="22"/>
              <w:szCs w:val="22"/>
              <w:lang w:eastAsia="es-CO"/>
            </w:rPr>
          </w:pPr>
          <w:hyperlink w:anchor="_Toc209722932" w:history="1">
            <w:r w:rsidRPr="00B450EB">
              <w:rPr>
                <w:rStyle w:val="Hipervnculo"/>
                <w:rFonts w:cs="Arial"/>
                <w:noProof/>
              </w:rPr>
              <w:t>6.3.6.</w:t>
            </w:r>
            <w:r w:rsidRPr="00B450EB">
              <w:rPr>
                <w:rFonts w:asciiTheme="minorHAnsi" w:eastAsiaTheme="minorEastAsia" w:hAnsiTheme="minorHAnsi"/>
                <w:noProof/>
                <w:sz w:val="22"/>
                <w:szCs w:val="22"/>
                <w:lang w:eastAsia="es-CO"/>
              </w:rPr>
              <w:tab/>
            </w:r>
            <w:r w:rsidRPr="00B450EB">
              <w:rPr>
                <w:rStyle w:val="Hipervnculo"/>
                <w:rFonts w:cs="Arial"/>
                <w:noProof/>
              </w:rPr>
              <w:t>Conectividad Ecológica</w:t>
            </w:r>
            <w:r w:rsidRPr="00B450EB">
              <w:rPr>
                <w:noProof/>
                <w:webHidden/>
              </w:rPr>
              <w:tab/>
            </w:r>
            <w:r w:rsidRPr="00B450EB">
              <w:rPr>
                <w:noProof/>
                <w:webHidden/>
              </w:rPr>
              <w:fldChar w:fldCharType="begin"/>
            </w:r>
            <w:r w:rsidRPr="00B450EB">
              <w:rPr>
                <w:noProof/>
                <w:webHidden/>
              </w:rPr>
              <w:instrText xml:space="preserve"> PAGEREF _Toc209722932 \h </w:instrText>
            </w:r>
            <w:r w:rsidRPr="00B450EB">
              <w:rPr>
                <w:noProof/>
                <w:webHidden/>
              </w:rPr>
            </w:r>
            <w:r w:rsidRPr="00B450EB">
              <w:rPr>
                <w:noProof/>
                <w:webHidden/>
              </w:rPr>
              <w:fldChar w:fldCharType="separate"/>
            </w:r>
            <w:r w:rsidR="0004413E" w:rsidRPr="00B450EB">
              <w:rPr>
                <w:noProof/>
                <w:webHidden/>
              </w:rPr>
              <w:t>141</w:t>
            </w:r>
            <w:r w:rsidRPr="00B450EB">
              <w:rPr>
                <w:noProof/>
                <w:webHidden/>
              </w:rPr>
              <w:fldChar w:fldCharType="end"/>
            </w:r>
          </w:hyperlink>
        </w:p>
        <w:p w14:paraId="0FAAB618" w14:textId="2D48A2B6" w:rsidR="00A55C3C" w:rsidRPr="00B450EB" w:rsidRDefault="00A55C3C">
          <w:pPr>
            <w:pStyle w:val="TDC2"/>
            <w:rPr>
              <w:rFonts w:asciiTheme="minorHAnsi" w:eastAsiaTheme="minorEastAsia" w:hAnsiTheme="minorHAnsi"/>
              <w:sz w:val="22"/>
              <w:szCs w:val="22"/>
              <w:lang w:eastAsia="es-CO"/>
            </w:rPr>
          </w:pPr>
          <w:hyperlink w:anchor="_Toc209722933" w:history="1">
            <w:r w:rsidRPr="00B450EB">
              <w:rPr>
                <w:rStyle w:val="Hipervnculo"/>
                <w:rFonts w:cs="Arial"/>
              </w:rPr>
              <w:t>6.4.</w:t>
            </w:r>
            <w:r w:rsidRPr="00B450EB">
              <w:rPr>
                <w:rFonts w:asciiTheme="minorHAnsi" w:eastAsiaTheme="minorEastAsia" w:hAnsiTheme="minorHAnsi"/>
                <w:sz w:val="22"/>
                <w:szCs w:val="22"/>
                <w:lang w:eastAsia="es-CO"/>
              </w:rPr>
              <w:tab/>
            </w:r>
            <w:r w:rsidRPr="00B450EB">
              <w:rPr>
                <w:rStyle w:val="Hipervnculo"/>
                <w:rFonts w:cs="Arial"/>
              </w:rPr>
              <w:t>MEDIO SOCIECONÓMICO</w:t>
            </w:r>
            <w:r w:rsidRPr="00B450EB">
              <w:rPr>
                <w:webHidden/>
              </w:rPr>
              <w:tab/>
            </w:r>
            <w:r w:rsidRPr="00B450EB">
              <w:rPr>
                <w:webHidden/>
              </w:rPr>
              <w:fldChar w:fldCharType="begin"/>
            </w:r>
            <w:r w:rsidRPr="00B450EB">
              <w:rPr>
                <w:webHidden/>
              </w:rPr>
              <w:instrText xml:space="preserve"> PAGEREF _Toc209722933 \h </w:instrText>
            </w:r>
            <w:r w:rsidRPr="00B450EB">
              <w:rPr>
                <w:webHidden/>
              </w:rPr>
            </w:r>
            <w:r w:rsidRPr="00B450EB">
              <w:rPr>
                <w:webHidden/>
              </w:rPr>
              <w:fldChar w:fldCharType="separate"/>
            </w:r>
            <w:r w:rsidR="0004413E" w:rsidRPr="00B450EB">
              <w:rPr>
                <w:webHidden/>
              </w:rPr>
              <w:t>150</w:t>
            </w:r>
            <w:r w:rsidRPr="00B450EB">
              <w:rPr>
                <w:webHidden/>
              </w:rPr>
              <w:fldChar w:fldCharType="end"/>
            </w:r>
          </w:hyperlink>
        </w:p>
        <w:p w14:paraId="23188146" w14:textId="75E6A15E" w:rsidR="00A55C3C" w:rsidRPr="00B450EB" w:rsidRDefault="00A55C3C">
          <w:pPr>
            <w:pStyle w:val="TDC3"/>
            <w:rPr>
              <w:rFonts w:asciiTheme="minorHAnsi" w:eastAsiaTheme="minorEastAsia" w:hAnsiTheme="minorHAnsi"/>
              <w:noProof/>
              <w:sz w:val="22"/>
              <w:szCs w:val="22"/>
              <w:lang w:eastAsia="es-CO"/>
            </w:rPr>
          </w:pPr>
          <w:hyperlink w:anchor="_Toc209722934" w:history="1">
            <w:r w:rsidRPr="00B450EB">
              <w:rPr>
                <w:rStyle w:val="Hipervnculo"/>
                <w:rFonts w:cs="Arial"/>
                <w:noProof/>
              </w:rPr>
              <w:t>6.4.1.</w:t>
            </w:r>
            <w:r w:rsidRPr="00B450EB">
              <w:rPr>
                <w:rFonts w:asciiTheme="minorHAnsi" w:eastAsiaTheme="minorEastAsia" w:hAnsiTheme="minorHAnsi"/>
                <w:noProof/>
                <w:sz w:val="22"/>
                <w:szCs w:val="22"/>
                <w:lang w:eastAsia="es-CO"/>
              </w:rPr>
              <w:tab/>
            </w:r>
            <w:r w:rsidRPr="00B450EB">
              <w:rPr>
                <w:rStyle w:val="Hipervnculo"/>
                <w:rFonts w:cs="Arial"/>
                <w:noProof/>
              </w:rPr>
              <w:t>Población y dinámica de poblamiento</w:t>
            </w:r>
            <w:r w:rsidRPr="00B450EB">
              <w:rPr>
                <w:noProof/>
                <w:webHidden/>
              </w:rPr>
              <w:tab/>
            </w:r>
            <w:r w:rsidRPr="00B450EB">
              <w:rPr>
                <w:noProof/>
                <w:webHidden/>
              </w:rPr>
              <w:fldChar w:fldCharType="begin"/>
            </w:r>
            <w:r w:rsidRPr="00B450EB">
              <w:rPr>
                <w:noProof/>
                <w:webHidden/>
              </w:rPr>
              <w:instrText xml:space="preserve"> PAGEREF _Toc209722934 \h </w:instrText>
            </w:r>
            <w:r w:rsidRPr="00B450EB">
              <w:rPr>
                <w:noProof/>
                <w:webHidden/>
              </w:rPr>
            </w:r>
            <w:r w:rsidRPr="00B450EB">
              <w:rPr>
                <w:noProof/>
                <w:webHidden/>
              </w:rPr>
              <w:fldChar w:fldCharType="separate"/>
            </w:r>
            <w:r w:rsidR="0004413E" w:rsidRPr="00B450EB">
              <w:rPr>
                <w:noProof/>
                <w:webHidden/>
              </w:rPr>
              <w:t>152</w:t>
            </w:r>
            <w:r w:rsidRPr="00B450EB">
              <w:rPr>
                <w:noProof/>
                <w:webHidden/>
              </w:rPr>
              <w:fldChar w:fldCharType="end"/>
            </w:r>
          </w:hyperlink>
        </w:p>
        <w:p w14:paraId="7E242A00" w14:textId="6D100D7F" w:rsidR="00A55C3C" w:rsidRPr="00B450EB" w:rsidRDefault="00A55C3C">
          <w:pPr>
            <w:pStyle w:val="TDC3"/>
            <w:rPr>
              <w:rFonts w:asciiTheme="minorHAnsi" w:eastAsiaTheme="minorEastAsia" w:hAnsiTheme="minorHAnsi"/>
              <w:noProof/>
              <w:sz w:val="22"/>
              <w:szCs w:val="22"/>
              <w:lang w:eastAsia="es-CO"/>
            </w:rPr>
          </w:pPr>
          <w:hyperlink w:anchor="_Toc209722935" w:history="1">
            <w:r w:rsidRPr="00B450EB">
              <w:rPr>
                <w:rStyle w:val="Hipervnculo"/>
                <w:rFonts w:cs="Arial"/>
                <w:noProof/>
              </w:rPr>
              <w:t>6.4.2.</w:t>
            </w:r>
            <w:r w:rsidRPr="00B450EB">
              <w:rPr>
                <w:rFonts w:asciiTheme="minorHAnsi" w:eastAsiaTheme="minorEastAsia" w:hAnsiTheme="minorHAnsi"/>
                <w:noProof/>
                <w:sz w:val="22"/>
                <w:szCs w:val="22"/>
                <w:lang w:eastAsia="es-CO"/>
              </w:rPr>
              <w:tab/>
            </w:r>
            <w:r w:rsidRPr="00B450EB">
              <w:rPr>
                <w:rStyle w:val="Hipervnculo"/>
                <w:rFonts w:cs="Arial"/>
                <w:noProof/>
              </w:rPr>
              <w:t>Organización social y territorial</w:t>
            </w:r>
            <w:r w:rsidRPr="00B450EB">
              <w:rPr>
                <w:noProof/>
                <w:webHidden/>
              </w:rPr>
              <w:tab/>
            </w:r>
            <w:r w:rsidRPr="00B450EB">
              <w:rPr>
                <w:noProof/>
                <w:webHidden/>
              </w:rPr>
              <w:fldChar w:fldCharType="begin"/>
            </w:r>
            <w:r w:rsidRPr="00B450EB">
              <w:rPr>
                <w:noProof/>
                <w:webHidden/>
              </w:rPr>
              <w:instrText xml:space="preserve"> PAGEREF _Toc209722935 \h </w:instrText>
            </w:r>
            <w:r w:rsidRPr="00B450EB">
              <w:rPr>
                <w:noProof/>
                <w:webHidden/>
              </w:rPr>
            </w:r>
            <w:r w:rsidRPr="00B450EB">
              <w:rPr>
                <w:noProof/>
                <w:webHidden/>
              </w:rPr>
              <w:fldChar w:fldCharType="separate"/>
            </w:r>
            <w:r w:rsidR="0004413E" w:rsidRPr="00B450EB">
              <w:rPr>
                <w:noProof/>
                <w:webHidden/>
              </w:rPr>
              <w:t>154</w:t>
            </w:r>
            <w:r w:rsidRPr="00B450EB">
              <w:rPr>
                <w:noProof/>
                <w:webHidden/>
              </w:rPr>
              <w:fldChar w:fldCharType="end"/>
            </w:r>
          </w:hyperlink>
        </w:p>
        <w:p w14:paraId="4C6C3E75" w14:textId="603D9088" w:rsidR="00A55C3C" w:rsidRPr="00B450EB" w:rsidRDefault="00A55C3C">
          <w:pPr>
            <w:pStyle w:val="TDC3"/>
            <w:rPr>
              <w:rFonts w:asciiTheme="minorHAnsi" w:eastAsiaTheme="minorEastAsia" w:hAnsiTheme="minorHAnsi"/>
              <w:noProof/>
              <w:sz w:val="22"/>
              <w:szCs w:val="22"/>
              <w:lang w:eastAsia="es-CO"/>
            </w:rPr>
          </w:pPr>
          <w:hyperlink w:anchor="_Toc209722936" w:history="1">
            <w:r w:rsidRPr="00B450EB">
              <w:rPr>
                <w:rStyle w:val="Hipervnculo"/>
                <w:rFonts w:cs="Arial"/>
                <w:noProof/>
              </w:rPr>
              <w:t>6.4.3.</w:t>
            </w:r>
            <w:r w:rsidRPr="00B450EB">
              <w:rPr>
                <w:rFonts w:asciiTheme="minorHAnsi" w:eastAsiaTheme="minorEastAsia" w:hAnsiTheme="minorHAnsi"/>
                <w:noProof/>
                <w:sz w:val="22"/>
                <w:szCs w:val="22"/>
                <w:lang w:eastAsia="es-CO"/>
              </w:rPr>
              <w:tab/>
            </w:r>
            <w:r w:rsidRPr="00B450EB">
              <w:rPr>
                <w:rStyle w:val="Hipervnculo"/>
                <w:rFonts w:cs="Arial"/>
                <w:noProof/>
              </w:rPr>
              <w:t>Condiciones de vida y acceso a derechos</w:t>
            </w:r>
            <w:r w:rsidRPr="00B450EB">
              <w:rPr>
                <w:noProof/>
                <w:webHidden/>
              </w:rPr>
              <w:tab/>
            </w:r>
            <w:r w:rsidRPr="00B450EB">
              <w:rPr>
                <w:noProof/>
                <w:webHidden/>
              </w:rPr>
              <w:fldChar w:fldCharType="begin"/>
            </w:r>
            <w:r w:rsidRPr="00B450EB">
              <w:rPr>
                <w:noProof/>
                <w:webHidden/>
              </w:rPr>
              <w:instrText xml:space="preserve"> PAGEREF _Toc209722936 \h </w:instrText>
            </w:r>
            <w:r w:rsidRPr="00B450EB">
              <w:rPr>
                <w:noProof/>
                <w:webHidden/>
              </w:rPr>
            </w:r>
            <w:r w:rsidRPr="00B450EB">
              <w:rPr>
                <w:noProof/>
                <w:webHidden/>
              </w:rPr>
              <w:fldChar w:fldCharType="separate"/>
            </w:r>
            <w:r w:rsidR="0004413E" w:rsidRPr="00B450EB">
              <w:rPr>
                <w:noProof/>
                <w:webHidden/>
              </w:rPr>
              <w:t>155</w:t>
            </w:r>
            <w:r w:rsidRPr="00B450EB">
              <w:rPr>
                <w:noProof/>
                <w:webHidden/>
              </w:rPr>
              <w:fldChar w:fldCharType="end"/>
            </w:r>
          </w:hyperlink>
        </w:p>
        <w:p w14:paraId="6FA4DD1A" w14:textId="5CAFB218" w:rsidR="00A55C3C" w:rsidRPr="00B450EB" w:rsidRDefault="00A55C3C">
          <w:pPr>
            <w:pStyle w:val="TDC3"/>
            <w:rPr>
              <w:rFonts w:asciiTheme="minorHAnsi" w:eastAsiaTheme="minorEastAsia" w:hAnsiTheme="minorHAnsi"/>
              <w:noProof/>
              <w:sz w:val="22"/>
              <w:szCs w:val="22"/>
              <w:lang w:eastAsia="es-CO"/>
            </w:rPr>
          </w:pPr>
          <w:hyperlink w:anchor="_Toc209722937" w:history="1">
            <w:r w:rsidRPr="00B450EB">
              <w:rPr>
                <w:rStyle w:val="Hipervnculo"/>
                <w:rFonts w:cs="Arial"/>
                <w:noProof/>
              </w:rPr>
              <w:t>6.4.4.</w:t>
            </w:r>
            <w:r w:rsidRPr="00B450EB">
              <w:rPr>
                <w:rFonts w:asciiTheme="minorHAnsi" w:eastAsiaTheme="minorEastAsia" w:hAnsiTheme="minorHAnsi"/>
                <w:noProof/>
                <w:sz w:val="22"/>
                <w:szCs w:val="22"/>
                <w:lang w:eastAsia="es-CO"/>
              </w:rPr>
              <w:tab/>
            </w:r>
            <w:r w:rsidRPr="00B450EB">
              <w:rPr>
                <w:rStyle w:val="Hipervnculo"/>
                <w:rFonts w:cs="Arial"/>
                <w:noProof/>
              </w:rPr>
              <w:t>Economías y medios de vida</w:t>
            </w:r>
            <w:r w:rsidRPr="00B450EB">
              <w:rPr>
                <w:noProof/>
                <w:webHidden/>
              </w:rPr>
              <w:tab/>
            </w:r>
            <w:r w:rsidRPr="00B450EB">
              <w:rPr>
                <w:noProof/>
                <w:webHidden/>
              </w:rPr>
              <w:fldChar w:fldCharType="begin"/>
            </w:r>
            <w:r w:rsidRPr="00B450EB">
              <w:rPr>
                <w:noProof/>
                <w:webHidden/>
              </w:rPr>
              <w:instrText xml:space="preserve"> PAGEREF _Toc209722937 \h </w:instrText>
            </w:r>
            <w:r w:rsidRPr="00B450EB">
              <w:rPr>
                <w:noProof/>
                <w:webHidden/>
              </w:rPr>
            </w:r>
            <w:r w:rsidRPr="00B450EB">
              <w:rPr>
                <w:noProof/>
                <w:webHidden/>
              </w:rPr>
              <w:fldChar w:fldCharType="separate"/>
            </w:r>
            <w:r w:rsidR="0004413E" w:rsidRPr="00B450EB">
              <w:rPr>
                <w:noProof/>
                <w:webHidden/>
              </w:rPr>
              <w:t>157</w:t>
            </w:r>
            <w:r w:rsidRPr="00B450EB">
              <w:rPr>
                <w:noProof/>
                <w:webHidden/>
              </w:rPr>
              <w:fldChar w:fldCharType="end"/>
            </w:r>
          </w:hyperlink>
        </w:p>
        <w:p w14:paraId="22C31D0B" w14:textId="2EA3263F" w:rsidR="00A55C3C" w:rsidRPr="00B450EB" w:rsidRDefault="00A55C3C">
          <w:pPr>
            <w:pStyle w:val="TDC3"/>
            <w:rPr>
              <w:rFonts w:asciiTheme="minorHAnsi" w:eastAsiaTheme="minorEastAsia" w:hAnsiTheme="minorHAnsi"/>
              <w:noProof/>
              <w:sz w:val="22"/>
              <w:szCs w:val="22"/>
              <w:lang w:eastAsia="es-CO"/>
            </w:rPr>
          </w:pPr>
          <w:hyperlink w:anchor="_Toc209722938" w:history="1">
            <w:r w:rsidRPr="00B450EB">
              <w:rPr>
                <w:rStyle w:val="Hipervnculo"/>
                <w:rFonts w:cs="Arial"/>
                <w:noProof/>
              </w:rPr>
              <w:t>6.4.5.</w:t>
            </w:r>
            <w:r w:rsidRPr="00B450EB">
              <w:rPr>
                <w:rFonts w:asciiTheme="minorHAnsi" w:eastAsiaTheme="minorEastAsia" w:hAnsiTheme="minorHAnsi"/>
                <w:noProof/>
                <w:sz w:val="22"/>
                <w:szCs w:val="22"/>
                <w:lang w:eastAsia="es-CO"/>
              </w:rPr>
              <w:tab/>
            </w:r>
            <w:r w:rsidRPr="00B450EB">
              <w:rPr>
                <w:rStyle w:val="Hipervnculo"/>
                <w:rFonts w:cs="Arial"/>
                <w:noProof/>
              </w:rPr>
              <w:t>Usos y prácticas tradicionales del territorio</w:t>
            </w:r>
            <w:r w:rsidRPr="00B450EB">
              <w:rPr>
                <w:noProof/>
                <w:webHidden/>
              </w:rPr>
              <w:tab/>
            </w:r>
            <w:r w:rsidRPr="00B450EB">
              <w:rPr>
                <w:noProof/>
                <w:webHidden/>
              </w:rPr>
              <w:fldChar w:fldCharType="begin"/>
            </w:r>
            <w:r w:rsidRPr="00B450EB">
              <w:rPr>
                <w:noProof/>
                <w:webHidden/>
              </w:rPr>
              <w:instrText xml:space="preserve"> PAGEREF _Toc209722938 \h </w:instrText>
            </w:r>
            <w:r w:rsidRPr="00B450EB">
              <w:rPr>
                <w:noProof/>
                <w:webHidden/>
              </w:rPr>
            </w:r>
            <w:r w:rsidRPr="00B450EB">
              <w:rPr>
                <w:noProof/>
                <w:webHidden/>
              </w:rPr>
              <w:fldChar w:fldCharType="separate"/>
            </w:r>
            <w:r w:rsidR="0004413E" w:rsidRPr="00B450EB">
              <w:rPr>
                <w:noProof/>
                <w:webHidden/>
              </w:rPr>
              <w:t>160</w:t>
            </w:r>
            <w:r w:rsidRPr="00B450EB">
              <w:rPr>
                <w:noProof/>
                <w:webHidden/>
              </w:rPr>
              <w:fldChar w:fldCharType="end"/>
            </w:r>
          </w:hyperlink>
        </w:p>
        <w:p w14:paraId="323DE65F" w14:textId="2C110CFF" w:rsidR="00A55C3C" w:rsidRPr="00B450EB" w:rsidRDefault="00A55C3C">
          <w:pPr>
            <w:pStyle w:val="TDC3"/>
            <w:rPr>
              <w:rFonts w:asciiTheme="minorHAnsi" w:eastAsiaTheme="minorEastAsia" w:hAnsiTheme="minorHAnsi"/>
              <w:noProof/>
              <w:sz w:val="22"/>
              <w:szCs w:val="22"/>
              <w:lang w:eastAsia="es-CO"/>
            </w:rPr>
          </w:pPr>
          <w:hyperlink w:anchor="_Toc209722939" w:history="1">
            <w:r w:rsidRPr="00B450EB">
              <w:rPr>
                <w:rStyle w:val="Hipervnculo"/>
                <w:rFonts w:cs="Arial"/>
                <w:noProof/>
              </w:rPr>
              <w:t>6.4.6.</w:t>
            </w:r>
            <w:r w:rsidRPr="00B450EB">
              <w:rPr>
                <w:rFonts w:asciiTheme="minorHAnsi" w:eastAsiaTheme="minorEastAsia" w:hAnsiTheme="minorHAnsi"/>
                <w:noProof/>
                <w:sz w:val="22"/>
                <w:szCs w:val="22"/>
                <w:lang w:eastAsia="es-CO"/>
              </w:rPr>
              <w:tab/>
            </w:r>
            <w:r w:rsidRPr="00B450EB">
              <w:rPr>
                <w:rStyle w:val="Hipervnculo"/>
                <w:rFonts w:cs="Arial"/>
                <w:noProof/>
              </w:rPr>
              <w:t>Análisis Económico</w:t>
            </w:r>
            <w:r w:rsidRPr="00B450EB">
              <w:rPr>
                <w:noProof/>
                <w:webHidden/>
              </w:rPr>
              <w:tab/>
            </w:r>
            <w:r w:rsidRPr="00B450EB">
              <w:rPr>
                <w:noProof/>
                <w:webHidden/>
              </w:rPr>
              <w:fldChar w:fldCharType="begin"/>
            </w:r>
            <w:r w:rsidRPr="00B450EB">
              <w:rPr>
                <w:noProof/>
                <w:webHidden/>
              </w:rPr>
              <w:instrText xml:space="preserve"> PAGEREF _Toc209722939 \h </w:instrText>
            </w:r>
            <w:r w:rsidRPr="00B450EB">
              <w:rPr>
                <w:noProof/>
                <w:webHidden/>
              </w:rPr>
            </w:r>
            <w:r w:rsidRPr="00B450EB">
              <w:rPr>
                <w:noProof/>
                <w:webHidden/>
              </w:rPr>
              <w:fldChar w:fldCharType="separate"/>
            </w:r>
            <w:r w:rsidR="0004413E" w:rsidRPr="00B450EB">
              <w:rPr>
                <w:noProof/>
                <w:webHidden/>
              </w:rPr>
              <w:t>163</w:t>
            </w:r>
            <w:r w:rsidRPr="00B450EB">
              <w:rPr>
                <w:noProof/>
                <w:webHidden/>
              </w:rPr>
              <w:fldChar w:fldCharType="end"/>
            </w:r>
          </w:hyperlink>
        </w:p>
        <w:p w14:paraId="0BBB86E8" w14:textId="2F22F15B" w:rsidR="00A55C3C" w:rsidRPr="00B450EB" w:rsidRDefault="00A55C3C">
          <w:pPr>
            <w:pStyle w:val="TDC3"/>
            <w:rPr>
              <w:rFonts w:asciiTheme="minorHAnsi" w:eastAsiaTheme="minorEastAsia" w:hAnsiTheme="minorHAnsi"/>
              <w:noProof/>
              <w:sz w:val="22"/>
              <w:szCs w:val="22"/>
              <w:lang w:eastAsia="es-CO"/>
            </w:rPr>
          </w:pPr>
          <w:hyperlink w:anchor="_Toc209722940" w:history="1">
            <w:r w:rsidRPr="00B450EB">
              <w:rPr>
                <w:rStyle w:val="Hipervnculo"/>
                <w:rFonts w:cs="Arial"/>
                <w:noProof/>
              </w:rPr>
              <w:t>6.4.7.</w:t>
            </w:r>
            <w:r w:rsidRPr="00B450EB">
              <w:rPr>
                <w:rFonts w:asciiTheme="minorHAnsi" w:eastAsiaTheme="minorEastAsia" w:hAnsiTheme="minorHAnsi"/>
                <w:noProof/>
                <w:sz w:val="22"/>
                <w:szCs w:val="22"/>
                <w:lang w:eastAsia="es-CO"/>
              </w:rPr>
              <w:tab/>
            </w:r>
            <w:r w:rsidRPr="00B450EB">
              <w:rPr>
                <w:rStyle w:val="Hipervnculo"/>
                <w:rFonts w:cs="Arial"/>
                <w:noProof/>
              </w:rPr>
              <w:t>Vulnerabilidades sociales</w:t>
            </w:r>
            <w:r w:rsidRPr="00B450EB">
              <w:rPr>
                <w:noProof/>
                <w:webHidden/>
              </w:rPr>
              <w:tab/>
            </w:r>
            <w:r w:rsidRPr="00B450EB">
              <w:rPr>
                <w:noProof/>
                <w:webHidden/>
              </w:rPr>
              <w:fldChar w:fldCharType="begin"/>
            </w:r>
            <w:r w:rsidRPr="00B450EB">
              <w:rPr>
                <w:noProof/>
                <w:webHidden/>
              </w:rPr>
              <w:instrText xml:space="preserve"> PAGEREF _Toc209722940 \h </w:instrText>
            </w:r>
            <w:r w:rsidRPr="00B450EB">
              <w:rPr>
                <w:noProof/>
                <w:webHidden/>
              </w:rPr>
            </w:r>
            <w:r w:rsidRPr="00B450EB">
              <w:rPr>
                <w:noProof/>
                <w:webHidden/>
              </w:rPr>
              <w:fldChar w:fldCharType="separate"/>
            </w:r>
            <w:r w:rsidR="0004413E" w:rsidRPr="00B450EB">
              <w:rPr>
                <w:noProof/>
                <w:webHidden/>
              </w:rPr>
              <w:t>176</w:t>
            </w:r>
            <w:r w:rsidRPr="00B450EB">
              <w:rPr>
                <w:noProof/>
                <w:webHidden/>
              </w:rPr>
              <w:fldChar w:fldCharType="end"/>
            </w:r>
          </w:hyperlink>
        </w:p>
        <w:p w14:paraId="34333531" w14:textId="7B84DCE9" w:rsidR="00A55C3C" w:rsidRPr="00B450EB" w:rsidRDefault="00A55C3C">
          <w:pPr>
            <w:pStyle w:val="TDC1"/>
            <w:tabs>
              <w:tab w:val="left" w:pos="480"/>
              <w:tab w:val="right" w:leader="dot" w:pos="8828"/>
            </w:tabs>
            <w:rPr>
              <w:rFonts w:asciiTheme="minorHAnsi" w:eastAsiaTheme="minorEastAsia" w:hAnsiTheme="minorHAnsi"/>
              <w:noProof/>
              <w:sz w:val="22"/>
              <w:szCs w:val="22"/>
              <w:lang w:eastAsia="es-CO"/>
            </w:rPr>
          </w:pPr>
          <w:hyperlink w:anchor="_Toc209722941" w:history="1">
            <w:r w:rsidRPr="00B450EB">
              <w:rPr>
                <w:rStyle w:val="Hipervnculo"/>
                <w:rFonts w:cs="Arial"/>
                <w:bCs/>
                <w:noProof/>
              </w:rPr>
              <w:t>7.</w:t>
            </w:r>
            <w:r w:rsidRPr="00B450EB">
              <w:rPr>
                <w:rFonts w:asciiTheme="minorHAnsi" w:eastAsiaTheme="minorEastAsia" w:hAnsiTheme="minorHAnsi"/>
                <w:noProof/>
                <w:sz w:val="22"/>
                <w:szCs w:val="22"/>
                <w:lang w:eastAsia="es-CO"/>
              </w:rPr>
              <w:tab/>
            </w:r>
            <w:r w:rsidRPr="00B450EB">
              <w:rPr>
                <w:rStyle w:val="Hipervnculo"/>
                <w:rFonts w:cs="Arial"/>
                <w:noProof/>
              </w:rPr>
              <w:t>PRESIONES Y AMENAZAS</w:t>
            </w:r>
            <w:r w:rsidRPr="00B450EB">
              <w:rPr>
                <w:noProof/>
                <w:webHidden/>
              </w:rPr>
              <w:tab/>
            </w:r>
            <w:r w:rsidRPr="00B450EB">
              <w:rPr>
                <w:noProof/>
                <w:webHidden/>
              </w:rPr>
              <w:fldChar w:fldCharType="begin"/>
            </w:r>
            <w:r w:rsidRPr="00B450EB">
              <w:rPr>
                <w:noProof/>
                <w:webHidden/>
              </w:rPr>
              <w:instrText xml:space="preserve"> PAGEREF _Toc209722941 \h </w:instrText>
            </w:r>
            <w:r w:rsidRPr="00B450EB">
              <w:rPr>
                <w:noProof/>
                <w:webHidden/>
              </w:rPr>
            </w:r>
            <w:r w:rsidRPr="00B450EB">
              <w:rPr>
                <w:noProof/>
                <w:webHidden/>
              </w:rPr>
              <w:fldChar w:fldCharType="separate"/>
            </w:r>
            <w:r w:rsidR="0004413E" w:rsidRPr="00B450EB">
              <w:rPr>
                <w:noProof/>
                <w:webHidden/>
              </w:rPr>
              <w:t>177</w:t>
            </w:r>
            <w:r w:rsidRPr="00B450EB">
              <w:rPr>
                <w:noProof/>
                <w:webHidden/>
              </w:rPr>
              <w:fldChar w:fldCharType="end"/>
            </w:r>
          </w:hyperlink>
        </w:p>
        <w:p w14:paraId="2B8C7A82" w14:textId="4CB803E5" w:rsidR="00A55C3C" w:rsidRPr="00B450EB" w:rsidRDefault="00A55C3C">
          <w:pPr>
            <w:pStyle w:val="TDC2"/>
            <w:rPr>
              <w:rFonts w:asciiTheme="minorHAnsi" w:eastAsiaTheme="minorEastAsia" w:hAnsiTheme="minorHAnsi"/>
              <w:sz w:val="22"/>
              <w:szCs w:val="22"/>
              <w:lang w:eastAsia="es-CO"/>
            </w:rPr>
          </w:pPr>
          <w:hyperlink w:anchor="_Toc209722942" w:history="1">
            <w:r w:rsidRPr="00B450EB">
              <w:rPr>
                <w:rStyle w:val="Hipervnculo"/>
              </w:rPr>
              <w:t>7.1.</w:t>
            </w:r>
            <w:r w:rsidRPr="00B450EB">
              <w:rPr>
                <w:rFonts w:asciiTheme="minorHAnsi" w:eastAsiaTheme="minorEastAsia" w:hAnsiTheme="minorHAnsi"/>
                <w:sz w:val="22"/>
                <w:szCs w:val="22"/>
                <w:lang w:eastAsia="es-CO"/>
              </w:rPr>
              <w:tab/>
            </w:r>
            <w:r w:rsidRPr="00B450EB">
              <w:rPr>
                <w:rStyle w:val="Hipervnculo"/>
              </w:rPr>
              <w:t>Conflictos</w:t>
            </w:r>
            <w:r w:rsidRPr="00B450EB">
              <w:rPr>
                <w:rStyle w:val="Hipervnculo"/>
                <w:spacing w:val="-5"/>
              </w:rPr>
              <w:t xml:space="preserve"> </w:t>
            </w:r>
            <w:r w:rsidRPr="00B450EB">
              <w:rPr>
                <w:rStyle w:val="Hipervnculo"/>
              </w:rPr>
              <w:t>Socioecológicos</w:t>
            </w:r>
            <w:r w:rsidRPr="00B450EB">
              <w:rPr>
                <w:webHidden/>
              </w:rPr>
              <w:tab/>
            </w:r>
            <w:r w:rsidRPr="00B450EB">
              <w:rPr>
                <w:webHidden/>
              </w:rPr>
              <w:fldChar w:fldCharType="begin"/>
            </w:r>
            <w:r w:rsidRPr="00B450EB">
              <w:rPr>
                <w:webHidden/>
              </w:rPr>
              <w:instrText xml:space="preserve"> PAGEREF _Toc209722942 \h </w:instrText>
            </w:r>
            <w:r w:rsidRPr="00B450EB">
              <w:rPr>
                <w:webHidden/>
              </w:rPr>
            </w:r>
            <w:r w:rsidRPr="00B450EB">
              <w:rPr>
                <w:webHidden/>
              </w:rPr>
              <w:fldChar w:fldCharType="separate"/>
            </w:r>
            <w:r w:rsidR="0004413E" w:rsidRPr="00B450EB">
              <w:rPr>
                <w:webHidden/>
              </w:rPr>
              <w:t>177</w:t>
            </w:r>
            <w:r w:rsidRPr="00B450EB">
              <w:rPr>
                <w:webHidden/>
              </w:rPr>
              <w:fldChar w:fldCharType="end"/>
            </w:r>
          </w:hyperlink>
        </w:p>
        <w:p w14:paraId="4744A1AC" w14:textId="4DF3ADB5" w:rsidR="00A55C3C" w:rsidRPr="00B450EB" w:rsidRDefault="00A55C3C">
          <w:pPr>
            <w:pStyle w:val="TDC3"/>
            <w:rPr>
              <w:rFonts w:asciiTheme="minorHAnsi" w:eastAsiaTheme="minorEastAsia" w:hAnsiTheme="minorHAnsi"/>
              <w:noProof/>
              <w:sz w:val="22"/>
              <w:szCs w:val="22"/>
              <w:lang w:eastAsia="es-CO"/>
            </w:rPr>
          </w:pPr>
          <w:hyperlink w:anchor="_Toc209722943" w:history="1">
            <w:r w:rsidRPr="00B450EB">
              <w:rPr>
                <w:rStyle w:val="Hipervnculo"/>
                <w:rFonts w:eastAsia="Arial"/>
                <w:noProof/>
              </w:rPr>
              <w:t>7.1.1.</w:t>
            </w:r>
            <w:r w:rsidRPr="00B450EB">
              <w:rPr>
                <w:rFonts w:asciiTheme="minorHAnsi" w:eastAsiaTheme="minorEastAsia" w:hAnsiTheme="minorHAnsi"/>
                <w:noProof/>
                <w:sz w:val="22"/>
                <w:szCs w:val="22"/>
                <w:lang w:eastAsia="es-CO"/>
              </w:rPr>
              <w:tab/>
            </w:r>
            <w:r w:rsidRPr="00B450EB">
              <w:rPr>
                <w:rStyle w:val="Hipervnculo"/>
                <w:rFonts w:eastAsia="Arial"/>
                <w:noProof/>
              </w:rPr>
              <w:t xml:space="preserve">Agroindustria </w:t>
            </w:r>
            <w:r w:rsidRPr="00B450EB">
              <w:rPr>
                <w:rStyle w:val="Hipervnculo"/>
                <w:noProof/>
              </w:rPr>
              <w:t>(Monocultivos de palma de aceite)</w:t>
            </w:r>
            <w:r w:rsidRPr="00B450EB">
              <w:rPr>
                <w:noProof/>
                <w:webHidden/>
              </w:rPr>
              <w:tab/>
            </w:r>
            <w:r w:rsidRPr="00B450EB">
              <w:rPr>
                <w:noProof/>
                <w:webHidden/>
              </w:rPr>
              <w:fldChar w:fldCharType="begin"/>
            </w:r>
            <w:r w:rsidRPr="00B450EB">
              <w:rPr>
                <w:noProof/>
                <w:webHidden/>
              </w:rPr>
              <w:instrText xml:space="preserve"> PAGEREF _Toc209722943 \h </w:instrText>
            </w:r>
            <w:r w:rsidRPr="00B450EB">
              <w:rPr>
                <w:noProof/>
                <w:webHidden/>
              </w:rPr>
            </w:r>
            <w:r w:rsidRPr="00B450EB">
              <w:rPr>
                <w:noProof/>
                <w:webHidden/>
              </w:rPr>
              <w:fldChar w:fldCharType="separate"/>
            </w:r>
            <w:r w:rsidR="0004413E" w:rsidRPr="00B450EB">
              <w:rPr>
                <w:noProof/>
                <w:webHidden/>
              </w:rPr>
              <w:t>177</w:t>
            </w:r>
            <w:r w:rsidRPr="00B450EB">
              <w:rPr>
                <w:noProof/>
                <w:webHidden/>
              </w:rPr>
              <w:fldChar w:fldCharType="end"/>
            </w:r>
          </w:hyperlink>
        </w:p>
        <w:p w14:paraId="2EFB1229" w14:textId="18DE1E09" w:rsidR="00A55C3C" w:rsidRPr="00B450EB" w:rsidRDefault="00A55C3C">
          <w:pPr>
            <w:pStyle w:val="TDC3"/>
            <w:rPr>
              <w:rFonts w:asciiTheme="minorHAnsi" w:eastAsiaTheme="minorEastAsia" w:hAnsiTheme="minorHAnsi"/>
              <w:noProof/>
              <w:sz w:val="22"/>
              <w:szCs w:val="22"/>
              <w:lang w:eastAsia="es-CO"/>
            </w:rPr>
          </w:pPr>
          <w:hyperlink w:anchor="_Toc209722944" w:history="1">
            <w:r w:rsidRPr="00B450EB">
              <w:rPr>
                <w:rStyle w:val="Hipervnculo"/>
                <w:rFonts w:eastAsia="Arial" w:cs="Arial"/>
                <w:noProof/>
              </w:rPr>
              <w:t>7.1.2.</w:t>
            </w:r>
            <w:r w:rsidRPr="00B450EB">
              <w:rPr>
                <w:rFonts w:asciiTheme="minorHAnsi" w:eastAsiaTheme="minorEastAsia" w:hAnsiTheme="minorHAnsi"/>
                <w:noProof/>
                <w:sz w:val="22"/>
                <w:szCs w:val="22"/>
                <w:lang w:eastAsia="es-CO"/>
              </w:rPr>
              <w:tab/>
            </w:r>
            <w:r w:rsidRPr="00B450EB">
              <w:rPr>
                <w:rStyle w:val="Hipervnculo"/>
                <w:rFonts w:eastAsia="Arial"/>
                <w:noProof/>
              </w:rPr>
              <w:t>Ganadería</w:t>
            </w:r>
            <w:r w:rsidRPr="00B450EB">
              <w:rPr>
                <w:rStyle w:val="Hipervnculo"/>
                <w:rFonts w:eastAsia="Arial" w:cs="Arial"/>
                <w:noProof/>
              </w:rPr>
              <w:t xml:space="preserve"> Extensiva</w:t>
            </w:r>
            <w:r w:rsidRPr="00B450EB">
              <w:rPr>
                <w:noProof/>
                <w:webHidden/>
              </w:rPr>
              <w:tab/>
            </w:r>
            <w:r w:rsidRPr="00B450EB">
              <w:rPr>
                <w:noProof/>
                <w:webHidden/>
              </w:rPr>
              <w:fldChar w:fldCharType="begin"/>
            </w:r>
            <w:r w:rsidRPr="00B450EB">
              <w:rPr>
                <w:noProof/>
                <w:webHidden/>
              </w:rPr>
              <w:instrText xml:space="preserve"> PAGEREF _Toc209722944 \h </w:instrText>
            </w:r>
            <w:r w:rsidRPr="00B450EB">
              <w:rPr>
                <w:noProof/>
                <w:webHidden/>
              </w:rPr>
            </w:r>
            <w:r w:rsidRPr="00B450EB">
              <w:rPr>
                <w:noProof/>
                <w:webHidden/>
              </w:rPr>
              <w:fldChar w:fldCharType="separate"/>
            </w:r>
            <w:r w:rsidR="0004413E" w:rsidRPr="00B450EB">
              <w:rPr>
                <w:noProof/>
                <w:webHidden/>
              </w:rPr>
              <w:t>179</w:t>
            </w:r>
            <w:r w:rsidRPr="00B450EB">
              <w:rPr>
                <w:noProof/>
                <w:webHidden/>
              </w:rPr>
              <w:fldChar w:fldCharType="end"/>
            </w:r>
          </w:hyperlink>
        </w:p>
        <w:p w14:paraId="70F47E17" w14:textId="6BBC625B" w:rsidR="00A55C3C" w:rsidRPr="00B450EB" w:rsidRDefault="00A55C3C">
          <w:pPr>
            <w:pStyle w:val="TDC3"/>
            <w:rPr>
              <w:rFonts w:asciiTheme="minorHAnsi" w:eastAsiaTheme="minorEastAsia" w:hAnsiTheme="minorHAnsi"/>
              <w:noProof/>
              <w:sz w:val="22"/>
              <w:szCs w:val="22"/>
              <w:lang w:eastAsia="es-CO"/>
            </w:rPr>
          </w:pPr>
          <w:hyperlink w:anchor="_Toc209722945" w:history="1">
            <w:r w:rsidRPr="00B450EB">
              <w:rPr>
                <w:rStyle w:val="Hipervnculo"/>
                <w:noProof/>
              </w:rPr>
              <w:t>7.1.3.</w:t>
            </w:r>
            <w:r w:rsidRPr="00B450EB">
              <w:rPr>
                <w:rFonts w:asciiTheme="minorHAnsi" w:eastAsiaTheme="minorEastAsia" w:hAnsiTheme="minorHAnsi"/>
                <w:noProof/>
                <w:sz w:val="22"/>
                <w:szCs w:val="22"/>
                <w:lang w:eastAsia="es-CO"/>
              </w:rPr>
              <w:tab/>
            </w:r>
            <w:r w:rsidRPr="00B450EB">
              <w:rPr>
                <w:rStyle w:val="Hipervnculo"/>
                <w:noProof/>
              </w:rPr>
              <w:t>Paisaje Agropecuario y Praderización</w:t>
            </w:r>
            <w:r w:rsidRPr="00B450EB">
              <w:rPr>
                <w:noProof/>
                <w:webHidden/>
              </w:rPr>
              <w:tab/>
            </w:r>
            <w:r w:rsidRPr="00B450EB">
              <w:rPr>
                <w:noProof/>
                <w:webHidden/>
              </w:rPr>
              <w:fldChar w:fldCharType="begin"/>
            </w:r>
            <w:r w:rsidRPr="00B450EB">
              <w:rPr>
                <w:noProof/>
                <w:webHidden/>
              </w:rPr>
              <w:instrText xml:space="preserve"> PAGEREF _Toc209722945 \h </w:instrText>
            </w:r>
            <w:r w:rsidRPr="00B450EB">
              <w:rPr>
                <w:noProof/>
                <w:webHidden/>
              </w:rPr>
            </w:r>
            <w:r w:rsidRPr="00B450EB">
              <w:rPr>
                <w:noProof/>
                <w:webHidden/>
              </w:rPr>
              <w:fldChar w:fldCharType="separate"/>
            </w:r>
            <w:r w:rsidR="0004413E" w:rsidRPr="00B450EB">
              <w:rPr>
                <w:noProof/>
                <w:webHidden/>
              </w:rPr>
              <w:t>181</w:t>
            </w:r>
            <w:r w:rsidRPr="00B450EB">
              <w:rPr>
                <w:noProof/>
                <w:webHidden/>
              </w:rPr>
              <w:fldChar w:fldCharType="end"/>
            </w:r>
          </w:hyperlink>
        </w:p>
        <w:p w14:paraId="6E963855" w14:textId="2E2E080F" w:rsidR="00A55C3C" w:rsidRPr="00B450EB" w:rsidRDefault="00A55C3C">
          <w:pPr>
            <w:pStyle w:val="TDC3"/>
            <w:rPr>
              <w:rFonts w:asciiTheme="minorHAnsi" w:eastAsiaTheme="minorEastAsia" w:hAnsiTheme="minorHAnsi"/>
              <w:noProof/>
              <w:sz w:val="22"/>
              <w:szCs w:val="22"/>
              <w:lang w:eastAsia="es-CO"/>
            </w:rPr>
          </w:pPr>
          <w:hyperlink w:anchor="_Toc209722946" w:history="1">
            <w:r w:rsidRPr="00B450EB">
              <w:rPr>
                <w:rStyle w:val="Hipervnculo"/>
                <w:rFonts w:cs="Arial"/>
                <w:noProof/>
              </w:rPr>
              <w:t>7.1.4.</w:t>
            </w:r>
            <w:r w:rsidRPr="00B450EB">
              <w:rPr>
                <w:rFonts w:asciiTheme="minorHAnsi" w:eastAsiaTheme="minorEastAsia" w:hAnsiTheme="minorHAnsi"/>
                <w:noProof/>
                <w:sz w:val="22"/>
                <w:szCs w:val="22"/>
                <w:lang w:eastAsia="es-CO"/>
              </w:rPr>
              <w:tab/>
            </w:r>
            <w:r w:rsidRPr="00B450EB">
              <w:rPr>
                <w:rStyle w:val="Hipervnculo"/>
                <w:rFonts w:cs="Arial"/>
                <w:noProof/>
              </w:rPr>
              <w:t>Vías</w:t>
            </w:r>
            <w:r w:rsidRPr="00B450EB">
              <w:rPr>
                <w:noProof/>
                <w:webHidden/>
              </w:rPr>
              <w:tab/>
            </w:r>
            <w:r w:rsidRPr="00B450EB">
              <w:rPr>
                <w:noProof/>
                <w:webHidden/>
              </w:rPr>
              <w:fldChar w:fldCharType="begin"/>
            </w:r>
            <w:r w:rsidRPr="00B450EB">
              <w:rPr>
                <w:noProof/>
                <w:webHidden/>
              </w:rPr>
              <w:instrText xml:space="preserve"> PAGEREF _Toc209722946 \h </w:instrText>
            </w:r>
            <w:r w:rsidRPr="00B450EB">
              <w:rPr>
                <w:noProof/>
                <w:webHidden/>
              </w:rPr>
            </w:r>
            <w:r w:rsidRPr="00B450EB">
              <w:rPr>
                <w:noProof/>
                <w:webHidden/>
              </w:rPr>
              <w:fldChar w:fldCharType="separate"/>
            </w:r>
            <w:r w:rsidR="0004413E" w:rsidRPr="00B450EB">
              <w:rPr>
                <w:noProof/>
                <w:webHidden/>
              </w:rPr>
              <w:t>182</w:t>
            </w:r>
            <w:r w:rsidRPr="00B450EB">
              <w:rPr>
                <w:noProof/>
                <w:webHidden/>
              </w:rPr>
              <w:fldChar w:fldCharType="end"/>
            </w:r>
          </w:hyperlink>
        </w:p>
        <w:p w14:paraId="13FBF803" w14:textId="63E8DEF5" w:rsidR="00A55C3C" w:rsidRPr="00B450EB" w:rsidRDefault="00A55C3C">
          <w:pPr>
            <w:pStyle w:val="TDC3"/>
            <w:rPr>
              <w:rFonts w:asciiTheme="minorHAnsi" w:eastAsiaTheme="minorEastAsia" w:hAnsiTheme="minorHAnsi"/>
              <w:noProof/>
              <w:sz w:val="22"/>
              <w:szCs w:val="22"/>
              <w:lang w:eastAsia="es-CO"/>
            </w:rPr>
          </w:pPr>
          <w:hyperlink w:anchor="_Toc209722947" w:history="1">
            <w:r w:rsidRPr="00B450EB">
              <w:rPr>
                <w:rStyle w:val="Hipervnculo"/>
                <w:rFonts w:eastAsia="Arial" w:cs="Arial"/>
                <w:noProof/>
              </w:rPr>
              <w:t>7.1.5.</w:t>
            </w:r>
            <w:r w:rsidRPr="00B450EB">
              <w:rPr>
                <w:rFonts w:asciiTheme="minorHAnsi" w:eastAsiaTheme="minorEastAsia" w:hAnsiTheme="minorHAnsi"/>
                <w:noProof/>
                <w:sz w:val="22"/>
                <w:szCs w:val="22"/>
                <w:lang w:eastAsia="es-CO"/>
              </w:rPr>
              <w:tab/>
            </w:r>
            <w:r w:rsidRPr="00B450EB">
              <w:rPr>
                <w:rStyle w:val="Hipervnculo"/>
                <w:rFonts w:eastAsia="Arial"/>
                <w:noProof/>
              </w:rPr>
              <w:t>Minería</w:t>
            </w:r>
            <w:r w:rsidRPr="00B450EB">
              <w:rPr>
                <w:noProof/>
                <w:webHidden/>
              </w:rPr>
              <w:tab/>
            </w:r>
            <w:r w:rsidRPr="00B450EB">
              <w:rPr>
                <w:noProof/>
                <w:webHidden/>
              </w:rPr>
              <w:fldChar w:fldCharType="begin"/>
            </w:r>
            <w:r w:rsidRPr="00B450EB">
              <w:rPr>
                <w:noProof/>
                <w:webHidden/>
              </w:rPr>
              <w:instrText xml:space="preserve"> PAGEREF _Toc209722947 \h </w:instrText>
            </w:r>
            <w:r w:rsidRPr="00B450EB">
              <w:rPr>
                <w:noProof/>
                <w:webHidden/>
              </w:rPr>
            </w:r>
            <w:r w:rsidRPr="00B450EB">
              <w:rPr>
                <w:noProof/>
                <w:webHidden/>
              </w:rPr>
              <w:fldChar w:fldCharType="separate"/>
            </w:r>
            <w:r w:rsidR="0004413E" w:rsidRPr="00B450EB">
              <w:rPr>
                <w:noProof/>
                <w:webHidden/>
              </w:rPr>
              <w:t>187</w:t>
            </w:r>
            <w:r w:rsidRPr="00B450EB">
              <w:rPr>
                <w:noProof/>
                <w:webHidden/>
              </w:rPr>
              <w:fldChar w:fldCharType="end"/>
            </w:r>
          </w:hyperlink>
        </w:p>
        <w:p w14:paraId="44664A8E" w14:textId="5A390C63" w:rsidR="00A55C3C" w:rsidRPr="00B450EB" w:rsidRDefault="00A55C3C">
          <w:pPr>
            <w:pStyle w:val="TDC3"/>
            <w:rPr>
              <w:rFonts w:asciiTheme="minorHAnsi" w:eastAsiaTheme="minorEastAsia" w:hAnsiTheme="minorHAnsi"/>
              <w:noProof/>
              <w:sz w:val="22"/>
              <w:szCs w:val="22"/>
              <w:lang w:eastAsia="es-CO"/>
            </w:rPr>
          </w:pPr>
          <w:hyperlink w:anchor="_Toc209722948" w:history="1">
            <w:r w:rsidRPr="00B450EB">
              <w:rPr>
                <w:rStyle w:val="Hipervnculo"/>
                <w:rFonts w:cs="Arial"/>
                <w:noProof/>
              </w:rPr>
              <w:t>7.1.6.</w:t>
            </w:r>
            <w:r w:rsidRPr="00B450EB">
              <w:rPr>
                <w:rFonts w:asciiTheme="minorHAnsi" w:eastAsiaTheme="minorEastAsia" w:hAnsiTheme="minorHAnsi"/>
                <w:noProof/>
                <w:sz w:val="22"/>
                <w:szCs w:val="22"/>
                <w:lang w:eastAsia="es-CO"/>
              </w:rPr>
              <w:tab/>
            </w:r>
            <w:r w:rsidRPr="00B450EB">
              <w:rPr>
                <w:rStyle w:val="Hipervnculo"/>
                <w:rFonts w:cs="Arial"/>
                <w:noProof/>
              </w:rPr>
              <w:t>Hidrocarburos</w:t>
            </w:r>
            <w:r w:rsidRPr="00B450EB">
              <w:rPr>
                <w:noProof/>
                <w:webHidden/>
              </w:rPr>
              <w:tab/>
            </w:r>
            <w:r w:rsidRPr="00B450EB">
              <w:rPr>
                <w:noProof/>
                <w:webHidden/>
              </w:rPr>
              <w:fldChar w:fldCharType="begin"/>
            </w:r>
            <w:r w:rsidRPr="00B450EB">
              <w:rPr>
                <w:noProof/>
                <w:webHidden/>
              </w:rPr>
              <w:instrText xml:space="preserve"> PAGEREF _Toc209722948 \h </w:instrText>
            </w:r>
            <w:r w:rsidRPr="00B450EB">
              <w:rPr>
                <w:noProof/>
                <w:webHidden/>
              </w:rPr>
            </w:r>
            <w:r w:rsidRPr="00B450EB">
              <w:rPr>
                <w:noProof/>
                <w:webHidden/>
              </w:rPr>
              <w:fldChar w:fldCharType="separate"/>
            </w:r>
            <w:r w:rsidR="0004413E" w:rsidRPr="00B450EB">
              <w:rPr>
                <w:noProof/>
                <w:webHidden/>
              </w:rPr>
              <w:t>190</w:t>
            </w:r>
            <w:r w:rsidRPr="00B450EB">
              <w:rPr>
                <w:noProof/>
                <w:webHidden/>
              </w:rPr>
              <w:fldChar w:fldCharType="end"/>
            </w:r>
          </w:hyperlink>
        </w:p>
        <w:p w14:paraId="2346FDA8" w14:textId="7895B29C" w:rsidR="00A55C3C" w:rsidRPr="00B450EB" w:rsidRDefault="00A55C3C">
          <w:pPr>
            <w:pStyle w:val="TDC3"/>
            <w:rPr>
              <w:rFonts w:asciiTheme="minorHAnsi" w:eastAsiaTheme="minorEastAsia" w:hAnsiTheme="minorHAnsi"/>
              <w:noProof/>
              <w:sz w:val="22"/>
              <w:szCs w:val="22"/>
              <w:lang w:eastAsia="es-CO"/>
            </w:rPr>
          </w:pPr>
          <w:hyperlink w:anchor="_Toc209722949" w:history="1">
            <w:r w:rsidRPr="00B450EB">
              <w:rPr>
                <w:rStyle w:val="Hipervnculo"/>
                <w:noProof/>
              </w:rPr>
              <w:t>7.1.7.</w:t>
            </w:r>
            <w:r w:rsidRPr="00B450EB">
              <w:rPr>
                <w:rFonts w:asciiTheme="minorHAnsi" w:eastAsiaTheme="minorEastAsia" w:hAnsiTheme="minorHAnsi"/>
                <w:noProof/>
                <w:sz w:val="22"/>
                <w:szCs w:val="22"/>
                <w:lang w:eastAsia="es-CO"/>
              </w:rPr>
              <w:tab/>
            </w:r>
            <w:r w:rsidRPr="00B450EB">
              <w:rPr>
                <w:rStyle w:val="Hipervnculo"/>
                <w:noProof/>
              </w:rPr>
              <w:t>Extracción ilegal de madera</w:t>
            </w:r>
            <w:r w:rsidRPr="00B450EB">
              <w:rPr>
                <w:noProof/>
                <w:webHidden/>
              </w:rPr>
              <w:tab/>
            </w:r>
            <w:r w:rsidRPr="00B450EB">
              <w:rPr>
                <w:noProof/>
                <w:webHidden/>
              </w:rPr>
              <w:fldChar w:fldCharType="begin"/>
            </w:r>
            <w:r w:rsidRPr="00B450EB">
              <w:rPr>
                <w:noProof/>
                <w:webHidden/>
              </w:rPr>
              <w:instrText xml:space="preserve"> PAGEREF _Toc209722949 \h </w:instrText>
            </w:r>
            <w:r w:rsidRPr="00B450EB">
              <w:rPr>
                <w:noProof/>
                <w:webHidden/>
              </w:rPr>
            </w:r>
            <w:r w:rsidRPr="00B450EB">
              <w:rPr>
                <w:noProof/>
                <w:webHidden/>
              </w:rPr>
              <w:fldChar w:fldCharType="separate"/>
            </w:r>
            <w:r w:rsidR="0004413E" w:rsidRPr="00B450EB">
              <w:rPr>
                <w:noProof/>
                <w:webHidden/>
              </w:rPr>
              <w:t>203</w:t>
            </w:r>
            <w:r w:rsidRPr="00B450EB">
              <w:rPr>
                <w:noProof/>
                <w:webHidden/>
              </w:rPr>
              <w:fldChar w:fldCharType="end"/>
            </w:r>
          </w:hyperlink>
        </w:p>
        <w:p w14:paraId="757DE83A" w14:textId="5B19E1D5" w:rsidR="00A55C3C" w:rsidRPr="00B450EB" w:rsidRDefault="00A55C3C">
          <w:pPr>
            <w:pStyle w:val="TDC3"/>
            <w:rPr>
              <w:rFonts w:asciiTheme="minorHAnsi" w:eastAsiaTheme="minorEastAsia" w:hAnsiTheme="minorHAnsi"/>
              <w:noProof/>
              <w:sz w:val="22"/>
              <w:szCs w:val="22"/>
              <w:lang w:eastAsia="es-CO"/>
            </w:rPr>
          </w:pPr>
          <w:hyperlink w:anchor="_Toc209722950" w:history="1">
            <w:r w:rsidRPr="00B450EB">
              <w:rPr>
                <w:rStyle w:val="Hipervnculo"/>
                <w:rFonts w:eastAsia="Arial" w:cs="Arial"/>
                <w:noProof/>
              </w:rPr>
              <w:t>7.1.8.</w:t>
            </w:r>
            <w:r w:rsidRPr="00B450EB">
              <w:rPr>
                <w:rFonts w:asciiTheme="minorHAnsi" w:eastAsiaTheme="minorEastAsia" w:hAnsiTheme="minorHAnsi"/>
                <w:noProof/>
                <w:sz w:val="22"/>
                <w:szCs w:val="22"/>
                <w:lang w:eastAsia="es-CO"/>
              </w:rPr>
              <w:tab/>
            </w:r>
            <w:r w:rsidRPr="00B450EB">
              <w:rPr>
                <w:rStyle w:val="Hipervnculo"/>
                <w:rFonts w:eastAsia="Arial"/>
                <w:noProof/>
              </w:rPr>
              <w:t>Incendios</w:t>
            </w:r>
            <w:r w:rsidRPr="00B450EB">
              <w:rPr>
                <w:rStyle w:val="Hipervnculo"/>
                <w:rFonts w:eastAsia="Arial" w:cs="Arial"/>
                <w:noProof/>
              </w:rPr>
              <w:t xml:space="preserve"> y Quemas</w:t>
            </w:r>
            <w:r w:rsidRPr="00B450EB">
              <w:rPr>
                <w:noProof/>
                <w:webHidden/>
              </w:rPr>
              <w:tab/>
            </w:r>
            <w:r w:rsidRPr="00B450EB">
              <w:rPr>
                <w:noProof/>
                <w:webHidden/>
              </w:rPr>
              <w:fldChar w:fldCharType="begin"/>
            </w:r>
            <w:r w:rsidRPr="00B450EB">
              <w:rPr>
                <w:noProof/>
                <w:webHidden/>
              </w:rPr>
              <w:instrText xml:space="preserve"> PAGEREF _Toc209722950 \h </w:instrText>
            </w:r>
            <w:r w:rsidRPr="00B450EB">
              <w:rPr>
                <w:noProof/>
                <w:webHidden/>
              </w:rPr>
            </w:r>
            <w:r w:rsidRPr="00B450EB">
              <w:rPr>
                <w:noProof/>
                <w:webHidden/>
              </w:rPr>
              <w:fldChar w:fldCharType="separate"/>
            </w:r>
            <w:r w:rsidR="0004413E" w:rsidRPr="00B450EB">
              <w:rPr>
                <w:noProof/>
                <w:webHidden/>
              </w:rPr>
              <w:t>203</w:t>
            </w:r>
            <w:r w:rsidRPr="00B450EB">
              <w:rPr>
                <w:noProof/>
                <w:webHidden/>
              </w:rPr>
              <w:fldChar w:fldCharType="end"/>
            </w:r>
          </w:hyperlink>
        </w:p>
        <w:p w14:paraId="7A42DCDF" w14:textId="211F4EDB" w:rsidR="00A55C3C" w:rsidRPr="00B450EB" w:rsidRDefault="00A55C3C">
          <w:pPr>
            <w:pStyle w:val="TDC3"/>
            <w:rPr>
              <w:rFonts w:asciiTheme="minorHAnsi" w:eastAsiaTheme="minorEastAsia" w:hAnsiTheme="minorHAnsi"/>
              <w:noProof/>
              <w:sz w:val="22"/>
              <w:szCs w:val="22"/>
              <w:lang w:eastAsia="es-CO"/>
            </w:rPr>
          </w:pPr>
          <w:hyperlink w:anchor="_Toc209722951" w:history="1">
            <w:r w:rsidRPr="00B450EB">
              <w:rPr>
                <w:rStyle w:val="Hipervnculo"/>
                <w:rFonts w:eastAsia="Arial" w:cs="Arial"/>
                <w:noProof/>
              </w:rPr>
              <w:t>7.1.9.</w:t>
            </w:r>
            <w:r w:rsidRPr="00B450EB">
              <w:rPr>
                <w:rFonts w:asciiTheme="minorHAnsi" w:eastAsiaTheme="minorEastAsia" w:hAnsiTheme="minorHAnsi"/>
                <w:noProof/>
                <w:sz w:val="22"/>
                <w:szCs w:val="22"/>
                <w:lang w:eastAsia="es-CO"/>
              </w:rPr>
              <w:tab/>
            </w:r>
            <w:r w:rsidRPr="00B450EB">
              <w:rPr>
                <w:rStyle w:val="Hipervnculo"/>
                <w:rFonts w:eastAsia="Arial" w:cs="Arial"/>
                <w:noProof/>
              </w:rPr>
              <w:t>Cultivos de uso ilícito</w:t>
            </w:r>
            <w:r w:rsidRPr="00B450EB">
              <w:rPr>
                <w:noProof/>
                <w:webHidden/>
              </w:rPr>
              <w:tab/>
            </w:r>
            <w:r w:rsidRPr="00B450EB">
              <w:rPr>
                <w:noProof/>
                <w:webHidden/>
              </w:rPr>
              <w:fldChar w:fldCharType="begin"/>
            </w:r>
            <w:r w:rsidRPr="00B450EB">
              <w:rPr>
                <w:noProof/>
                <w:webHidden/>
              </w:rPr>
              <w:instrText xml:space="preserve"> PAGEREF _Toc209722951 \h </w:instrText>
            </w:r>
            <w:r w:rsidRPr="00B450EB">
              <w:rPr>
                <w:noProof/>
                <w:webHidden/>
              </w:rPr>
            </w:r>
            <w:r w:rsidRPr="00B450EB">
              <w:rPr>
                <w:noProof/>
                <w:webHidden/>
              </w:rPr>
              <w:fldChar w:fldCharType="separate"/>
            </w:r>
            <w:r w:rsidR="0004413E" w:rsidRPr="00B450EB">
              <w:rPr>
                <w:noProof/>
                <w:webHidden/>
              </w:rPr>
              <w:t>209</w:t>
            </w:r>
            <w:r w:rsidRPr="00B450EB">
              <w:rPr>
                <w:noProof/>
                <w:webHidden/>
              </w:rPr>
              <w:fldChar w:fldCharType="end"/>
            </w:r>
          </w:hyperlink>
        </w:p>
        <w:p w14:paraId="7220551D" w14:textId="0C9F5886" w:rsidR="00A55C3C" w:rsidRPr="00B450EB" w:rsidRDefault="00A55C3C">
          <w:pPr>
            <w:pStyle w:val="TDC3"/>
            <w:rPr>
              <w:rFonts w:asciiTheme="minorHAnsi" w:eastAsiaTheme="minorEastAsia" w:hAnsiTheme="minorHAnsi"/>
              <w:noProof/>
              <w:sz w:val="22"/>
              <w:szCs w:val="22"/>
              <w:lang w:eastAsia="es-CO"/>
            </w:rPr>
          </w:pPr>
          <w:hyperlink w:anchor="_Toc209722952" w:history="1">
            <w:r w:rsidRPr="00B450EB">
              <w:rPr>
                <w:rStyle w:val="Hipervnculo"/>
                <w:rFonts w:eastAsia="Arial" w:cs="Arial"/>
                <w:noProof/>
              </w:rPr>
              <w:t>7.1.10.</w:t>
            </w:r>
            <w:r w:rsidRPr="00B450EB">
              <w:rPr>
                <w:rFonts w:asciiTheme="minorHAnsi" w:eastAsiaTheme="minorEastAsia" w:hAnsiTheme="minorHAnsi"/>
                <w:noProof/>
                <w:sz w:val="22"/>
                <w:szCs w:val="22"/>
                <w:lang w:eastAsia="es-CO"/>
              </w:rPr>
              <w:tab/>
            </w:r>
            <w:r w:rsidRPr="00B450EB">
              <w:rPr>
                <w:rStyle w:val="Hipervnculo"/>
                <w:rFonts w:eastAsia="Arial" w:cs="Arial"/>
                <w:noProof/>
              </w:rPr>
              <w:t>Conflicto armado, grupos al margen de la ley y actividades ilícitas</w:t>
            </w:r>
            <w:r w:rsidRPr="00B450EB">
              <w:rPr>
                <w:noProof/>
                <w:webHidden/>
              </w:rPr>
              <w:tab/>
            </w:r>
            <w:r w:rsidRPr="00B450EB">
              <w:rPr>
                <w:noProof/>
                <w:webHidden/>
              </w:rPr>
              <w:fldChar w:fldCharType="begin"/>
            </w:r>
            <w:r w:rsidRPr="00B450EB">
              <w:rPr>
                <w:noProof/>
                <w:webHidden/>
              </w:rPr>
              <w:instrText xml:space="preserve"> PAGEREF _Toc209722952 \h </w:instrText>
            </w:r>
            <w:r w:rsidRPr="00B450EB">
              <w:rPr>
                <w:noProof/>
                <w:webHidden/>
              </w:rPr>
            </w:r>
            <w:r w:rsidRPr="00B450EB">
              <w:rPr>
                <w:noProof/>
                <w:webHidden/>
              </w:rPr>
              <w:fldChar w:fldCharType="separate"/>
            </w:r>
            <w:r w:rsidR="0004413E" w:rsidRPr="00B450EB">
              <w:rPr>
                <w:noProof/>
                <w:webHidden/>
              </w:rPr>
              <w:t>210</w:t>
            </w:r>
            <w:r w:rsidRPr="00B450EB">
              <w:rPr>
                <w:noProof/>
                <w:webHidden/>
              </w:rPr>
              <w:fldChar w:fldCharType="end"/>
            </w:r>
          </w:hyperlink>
        </w:p>
        <w:p w14:paraId="5D6E2E59" w14:textId="07A2FD03" w:rsidR="00A55C3C" w:rsidRPr="00B450EB" w:rsidRDefault="00A55C3C">
          <w:pPr>
            <w:pStyle w:val="TDC2"/>
            <w:rPr>
              <w:rFonts w:asciiTheme="minorHAnsi" w:eastAsiaTheme="minorEastAsia" w:hAnsiTheme="minorHAnsi"/>
              <w:sz w:val="22"/>
              <w:szCs w:val="22"/>
              <w:lang w:eastAsia="es-CO"/>
            </w:rPr>
          </w:pPr>
          <w:hyperlink w:anchor="_Toc209722953" w:history="1">
            <w:r w:rsidRPr="00B450EB">
              <w:rPr>
                <w:rStyle w:val="Hipervnculo"/>
                <w:rFonts w:cs="Arial"/>
              </w:rPr>
              <w:t>7.2.</w:t>
            </w:r>
            <w:r w:rsidRPr="00B450EB">
              <w:rPr>
                <w:rFonts w:asciiTheme="minorHAnsi" w:eastAsiaTheme="minorEastAsia" w:hAnsiTheme="minorHAnsi"/>
                <w:sz w:val="22"/>
                <w:szCs w:val="22"/>
                <w:lang w:eastAsia="es-CO"/>
              </w:rPr>
              <w:tab/>
            </w:r>
            <w:r w:rsidRPr="00B450EB">
              <w:rPr>
                <w:rStyle w:val="Hipervnculo"/>
              </w:rPr>
              <w:t>Escenarios de Cambio Climático</w:t>
            </w:r>
            <w:r w:rsidRPr="00B450EB">
              <w:rPr>
                <w:webHidden/>
              </w:rPr>
              <w:tab/>
            </w:r>
            <w:r w:rsidRPr="00B450EB">
              <w:rPr>
                <w:webHidden/>
              </w:rPr>
              <w:fldChar w:fldCharType="begin"/>
            </w:r>
            <w:r w:rsidRPr="00B450EB">
              <w:rPr>
                <w:webHidden/>
              </w:rPr>
              <w:instrText xml:space="preserve"> PAGEREF _Toc209722953 \h </w:instrText>
            </w:r>
            <w:r w:rsidRPr="00B450EB">
              <w:rPr>
                <w:webHidden/>
              </w:rPr>
            </w:r>
            <w:r w:rsidRPr="00B450EB">
              <w:rPr>
                <w:webHidden/>
              </w:rPr>
              <w:fldChar w:fldCharType="separate"/>
            </w:r>
            <w:r w:rsidR="0004413E" w:rsidRPr="00B450EB">
              <w:rPr>
                <w:webHidden/>
              </w:rPr>
              <w:t>212</w:t>
            </w:r>
            <w:r w:rsidRPr="00B450EB">
              <w:rPr>
                <w:webHidden/>
              </w:rPr>
              <w:fldChar w:fldCharType="end"/>
            </w:r>
          </w:hyperlink>
        </w:p>
        <w:p w14:paraId="66F4ED10" w14:textId="7724384E" w:rsidR="00A55C3C" w:rsidRPr="00B450EB" w:rsidRDefault="00A55C3C">
          <w:pPr>
            <w:pStyle w:val="TDC3"/>
            <w:rPr>
              <w:rFonts w:asciiTheme="minorHAnsi" w:eastAsiaTheme="minorEastAsia" w:hAnsiTheme="minorHAnsi"/>
              <w:noProof/>
              <w:sz w:val="22"/>
              <w:szCs w:val="22"/>
              <w:lang w:eastAsia="es-CO"/>
            </w:rPr>
          </w:pPr>
          <w:hyperlink w:anchor="_Toc209722954" w:history="1">
            <w:r w:rsidRPr="00B450EB">
              <w:rPr>
                <w:rStyle w:val="Hipervnculo"/>
                <w:noProof/>
              </w:rPr>
              <w:t>7.2.1.</w:t>
            </w:r>
            <w:r w:rsidRPr="00B450EB">
              <w:rPr>
                <w:rFonts w:asciiTheme="minorHAnsi" w:eastAsiaTheme="minorEastAsia" w:hAnsiTheme="minorHAnsi"/>
                <w:noProof/>
                <w:sz w:val="22"/>
                <w:szCs w:val="22"/>
                <w:lang w:eastAsia="es-CO"/>
              </w:rPr>
              <w:tab/>
            </w:r>
            <w:r w:rsidRPr="00B450EB">
              <w:rPr>
                <w:rStyle w:val="Hipervnculo"/>
                <w:noProof/>
              </w:rPr>
              <w:t>Proyecciones climáticas (SSP) de temperatura y precipitación para el bioma amazónico al 2100</w:t>
            </w:r>
            <w:r w:rsidRPr="00B450EB">
              <w:rPr>
                <w:noProof/>
                <w:webHidden/>
              </w:rPr>
              <w:tab/>
            </w:r>
            <w:r w:rsidRPr="00B450EB">
              <w:rPr>
                <w:noProof/>
                <w:webHidden/>
              </w:rPr>
              <w:fldChar w:fldCharType="begin"/>
            </w:r>
            <w:r w:rsidRPr="00B450EB">
              <w:rPr>
                <w:noProof/>
                <w:webHidden/>
              </w:rPr>
              <w:instrText xml:space="preserve"> PAGEREF _Toc209722954 \h </w:instrText>
            </w:r>
            <w:r w:rsidRPr="00B450EB">
              <w:rPr>
                <w:noProof/>
                <w:webHidden/>
              </w:rPr>
            </w:r>
            <w:r w:rsidRPr="00B450EB">
              <w:rPr>
                <w:noProof/>
                <w:webHidden/>
              </w:rPr>
              <w:fldChar w:fldCharType="separate"/>
            </w:r>
            <w:r w:rsidR="0004413E" w:rsidRPr="00B450EB">
              <w:rPr>
                <w:noProof/>
                <w:webHidden/>
              </w:rPr>
              <w:t>212</w:t>
            </w:r>
            <w:r w:rsidRPr="00B450EB">
              <w:rPr>
                <w:noProof/>
                <w:webHidden/>
              </w:rPr>
              <w:fldChar w:fldCharType="end"/>
            </w:r>
          </w:hyperlink>
        </w:p>
        <w:p w14:paraId="5D376BC2" w14:textId="2C665A4D" w:rsidR="00A55C3C" w:rsidRPr="00B450EB" w:rsidRDefault="00A55C3C">
          <w:pPr>
            <w:pStyle w:val="TDC3"/>
            <w:rPr>
              <w:rFonts w:asciiTheme="minorHAnsi" w:eastAsiaTheme="minorEastAsia" w:hAnsiTheme="minorHAnsi"/>
              <w:noProof/>
              <w:sz w:val="22"/>
              <w:szCs w:val="22"/>
              <w:lang w:eastAsia="es-CO"/>
            </w:rPr>
          </w:pPr>
          <w:hyperlink w:anchor="_Toc209722955" w:history="1">
            <w:r w:rsidRPr="00B450EB">
              <w:rPr>
                <w:rStyle w:val="Hipervnculo"/>
                <w:noProof/>
              </w:rPr>
              <w:t>7.2.2.</w:t>
            </w:r>
            <w:r w:rsidRPr="00B450EB">
              <w:rPr>
                <w:rFonts w:asciiTheme="minorHAnsi" w:eastAsiaTheme="minorEastAsia" w:hAnsiTheme="minorHAnsi"/>
                <w:noProof/>
                <w:sz w:val="22"/>
                <w:szCs w:val="22"/>
                <w:lang w:eastAsia="es-CO"/>
              </w:rPr>
              <w:tab/>
            </w:r>
            <w:r w:rsidRPr="00B450EB">
              <w:rPr>
                <w:rStyle w:val="Hipervnculo"/>
                <w:noProof/>
              </w:rPr>
              <w:t>Amenazas por cambio climático</w:t>
            </w:r>
            <w:r w:rsidRPr="00B450EB">
              <w:rPr>
                <w:noProof/>
                <w:webHidden/>
              </w:rPr>
              <w:tab/>
            </w:r>
            <w:r w:rsidRPr="00B450EB">
              <w:rPr>
                <w:noProof/>
                <w:webHidden/>
              </w:rPr>
              <w:fldChar w:fldCharType="begin"/>
            </w:r>
            <w:r w:rsidRPr="00B450EB">
              <w:rPr>
                <w:noProof/>
                <w:webHidden/>
              </w:rPr>
              <w:instrText xml:space="preserve"> PAGEREF _Toc209722955 \h </w:instrText>
            </w:r>
            <w:r w:rsidRPr="00B450EB">
              <w:rPr>
                <w:noProof/>
                <w:webHidden/>
              </w:rPr>
            </w:r>
            <w:r w:rsidRPr="00B450EB">
              <w:rPr>
                <w:noProof/>
                <w:webHidden/>
              </w:rPr>
              <w:fldChar w:fldCharType="separate"/>
            </w:r>
            <w:r w:rsidR="0004413E" w:rsidRPr="00B450EB">
              <w:rPr>
                <w:noProof/>
                <w:webHidden/>
              </w:rPr>
              <w:t>215</w:t>
            </w:r>
            <w:r w:rsidRPr="00B450EB">
              <w:rPr>
                <w:noProof/>
                <w:webHidden/>
              </w:rPr>
              <w:fldChar w:fldCharType="end"/>
            </w:r>
          </w:hyperlink>
        </w:p>
        <w:p w14:paraId="322DCF5D" w14:textId="20CB694D" w:rsidR="00A55C3C" w:rsidRPr="00B450EB" w:rsidRDefault="00A55C3C">
          <w:pPr>
            <w:pStyle w:val="TDC3"/>
            <w:rPr>
              <w:rFonts w:asciiTheme="minorHAnsi" w:eastAsiaTheme="minorEastAsia" w:hAnsiTheme="minorHAnsi"/>
              <w:noProof/>
              <w:sz w:val="22"/>
              <w:szCs w:val="22"/>
              <w:lang w:eastAsia="es-CO"/>
            </w:rPr>
          </w:pPr>
          <w:hyperlink w:anchor="_Toc209722956" w:history="1">
            <w:r w:rsidRPr="00B450EB">
              <w:rPr>
                <w:rStyle w:val="Hipervnculo"/>
                <w:noProof/>
              </w:rPr>
              <w:t>7.2.3.</w:t>
            </w:r>
            <w:r w:rsidRPr="00B450EB">
              <w:rPr>
                <w:rFonts w:asciiTheme="minorHAnsi" w:eastAsiaTheme="minorEastAsia" w:hAnsiTheme="minorHAnsi"/>
                <w:noProof/>
                <w:sz w:val="22"/>
                <w:szCs w:val="22"/>
                <w:lang w:eastAsia="es-CO"/>
              </w:rPr>
              <w:tab/>
            </w:r>
            <w:r w:rsidRPr="00B450EB">
              <w:rPr>
                <w:rStyle w:val="Hipervnculo"/>
                <w:noProof/>
              </w:rPr>
              <w:t>Vulnerabilidades por cambio climático (recurso hídrico ecosistemas, socioeconómicas)</w:t>
            </w:r>
            <w:r w:rsidRPr="00B450EB">
              <w:rPr>
                <w:noProof/>
                <w:webHidden/>
              </w:rPr>
              <w:tab/>
            </w:r>
            <w:r w:rsidRPr="00B450EB">
              <w:rPr>
                <w:noProof/>
                <w:webHidden/>
              </w:rPr>
              <w:fldChar w:fldCharType="begin"/>
            </w:r>
            <w:r w:rsidRPr="00B450EB">
              <w:rPr>
                <w:noProof/>
                <w:webHidden/>
              </w:rPr>
              <w:instrText xml:space="preserve"> PAGEREF _Toc209722956 \h </w:instrText>
            </w:r>
            <w:r w:rsidRPr="00B450EB">
              <w:rPr>
                <w:noProof/>
                <w:webHidden/>
              </w:rPr>
            </w:r>
            <w:r w:rsidRPr="00B450EB">
              <w:rPr>
                <w:noProof/>
                <w:webHidden/>
              </w:rPr>
              <w:fldChar w:fldCharType="separate"/>
            </w:r>
            <w:r w:rsidR="0004413E" w:rsidRPr="00B450EB">
              <w:rPr>
                <w:noProof/>
                <w:webHidden/>
              </w:rPr>
              <w:t>216</w:t>
            </w:r>
            <w:r w:rsidRPr="00B450EB">
              <w:rPr>
                <w:noProof/>
                <w:webHidden/>
              </w:rPr>
              <w:fldChar w:fldCharType="end"/>
            </w:r>
          </w:hyperlink>
        </w:p>
        <w:p w14:paraId="2278ED1E" w14:textId="5395B503" w:rsidR="00A55C3C" w:rsidRPr="00B450EB" w:rsidRDefault="00A55C3C">
          <w:pPr>
            <w:pStyle w:val="TDC2"/>
            <w:rPr>
              <w:rFonts w:asciiTheme="minorHAnsi" w:eastAsiaTheme="minorEastAsia" w:hAnsiTheme="minorHAnsi"/>
              <w:sz w:val="22"/>
              <w:szCs w:val="22"/>
              <w:lang w:eastAsia="es-CO"/>
            </w:rPr>
          </w:pPr>
          <w:hyperlink w:anchor="_Toc209722957" w:history="1">
            <w:r w:rsidRPr="00B450EB">
              <w:rPr>
                <w:rStyle w:val="Hipervnculo"/>
                <w:rFonts w:eastAsia="Arial" w:cs="Arial"/>
              </w:rPr>
              <w:t>7.3.</w:t>
            </w:r>
            <w:r w:rsidRPr="00B450EB">
              <w:rPr>
                <w:rFonts w:asciiTheme="minorHAnsi" w:eastAsiaTheme="minorEastAsia" w:hAnsiTheme="minorHAnsi"/>
                <w:sz w:val="22"/>
                <w:szCs w:val="22"/>
                <w:lang w:eastAsia="es-CO"/>
              </w:rPr>
              <w:tab/>
            </w:r>
            <w:r w:rsidRPr="00B450EB">
              <w:rPr>
                <w:rStyle w:val="Hipervnculo"/>
              </w:rPr>
              <w:t>Análisis espacial de las presiones y Amenazas identificadas</w:t>
            </w:r>
            <w:r w:rsidRPr="00B450EB">
              <w:rPr>
                <w:webHidden/>
              </w:rPr>
              <w:tab/>
            </w:r>
            <w:r w:rsidRPr="00B450EB">
              <w:rPr>
                <w:webHidden/>
              </w:rPr>
              <w:fldChar w:fldCharType="begin"/>
            </w:r>
            <w:r w:rsidRPr="00B450EB">
              <w:rPr>
                <w:webHidden/>
              </w:rPr>
              <w:instrText xml:space="preserve"> PAGEREF _Toc209722957 \h </w:instrText>
            </w:r>
            <w:r w:rsidRPr="00B450EB">
              <w:rPr>
                <w:webHidden/>
              </w:rPr>
            </w:r>
            <w:r w:rsidRPr="00B450EB">
              <w:rPr>
                <w:webHidden/>
              </w:rPr>
              <w:fldChar w:fldCharType="separate"/>
            </w:r>
            <w:r w:rsidR="0004413E" w:rsidRPr="00B450EB">
              <w:rPr>
                <w:webHidden/>
              </w:rPr>
              <w:t>219</w:t>
            </w:r>
            <w:r w:rsidRPr="00B450EB">
              <w:rPr>
                <w:webHidden/>
              </w:rPr>
              <w:fldChar w:fldCharType="end"/>
            </w:r>
          </w:hyperlink>
        </w:p>
        <w:p w14:paraId="142D5292" w14:textId="1B032EED" w:rsidR="00A55C3C" w:rsidRPr="00B450EB" w:rsidRDefault="00A55C3C">
          <w:pPr>
            <w:pStyle w:val="TDC1"/>
            <w:tabs>
              <w:tab w:val="left" w:pos="480"/>
              <w:tab w:val="right" w:leader="dot" w:pos="8828"/>
            </w:tabs>
            <w:rPr>
              <w:rFonts w:asciiTheme="minorHAnsi" w:eastAsiaTheme="minorEastAsia" w:hAnsiTheme="minorHAnsi"/>
              <w:noProof/>
              <w:sz w:val="22"/>
              <w:szCs w:val="22"/>
              <w:lang w:eastAsia="es-CO"/>
            </w:rPr>
          </w:pPr>
          <w:hyperlink w:anchor="_Toc209722958" w:history="1">
            <w:r w:rsidRPr="00B450EB">
              <w:rPr>
                <w:rStyle w:val="Hipervnculo"/>
                <w:bCs/>
                <w:noProof/>
                <w:lang w:val="es-ES"/>
              </w:rPr>
              <w:t>8.</w:t>
            </w:r>
            <w:r w:rsidRPr="00B450EB">
              <w:rPr>
                <w:rFonts w:asciiTheme="minorHAnsi" w:eastAsiaTheme="minorEastAsia" w:hAnsiTheme="minorHAnsi"/>
                <w:noProof/>
                <w:sz w:val="22"/>
                <w:szCs w:val="22"/>
                <w:lang w:eastAsia="es-CO"/>
              </w:rPr>
              <w:tab/>
            </w:r>
            <w:r w:rsidRPr="00B450EB">
              <w:rPr>
                <w:rStyle w:val="Hipervnculo"/>
                <w:bCs/>
                <w:noProof/>
                <w:lang w:val="es-ES"/>
              </w:rPr>
              <w:t>IMPACTOS AMBIENTALES ASOCIADOS A MINERÍA E HIDROCARBUROS</w:t>
            </w:r>
            <w:r w:rsidRPr="00B450EB">
              <w:rPr>
                <w:noProof/>
                <w:webHidden/>
              </w:rPr>
              <w:tab/>
            </w:r>
            <w:r w:rsidRPr="00B450EB">
              <w:rPr>
                <w:noProof/>
                <w:webHidden/>
              </w:rPr>
              <w:fldChar w:fldCharType="begin"/>
            </w:r>
            <w:r w:rsidRPr="00B450EB">
              <w:rPr>
                <w:noProof/>
                <w:webHidden/>
              </w:rPr>
              <w:instrText xml:space="preserve"> PAGEREF _Toc209722958 \h </w:instrText>
            </w:r>
            <w:r w:rsidRPr="00B450EB">
              <w:rPr>
                <w:noProof/>
                <w:webHidden/>
              </w:rPr>
            </w:r>
            <w:r w:rsidRPr="00B450EB">
              <w:rPr>
                <w:noProof/>
                <w:webHidden/>
              </w:rPr>
              <w:fldChar w:fldCharType="separate"/>
            </w:r>
            <w:r w:rsidR="0004413E" w:rsidRPr="00B450EB">
              <w:rPr>
                <w:noProof/>
                <w:webHidden/>
              </w:rPr>
              <w:t>225</w:t>
            </w:r>
            <w:r w:rsidRPr="00B450EB">
              <w:rPr>
                <w:noProof/>
                <w:webHidden/>
              </w:rPr>
              <w:fldChar w:fldCharType="end"/>
            </w:r>
          </w:hyperlink>
        </w:p>
        <w:p w14:paraId="29C56722" w14:textId="090E7AFC" w:rsidR="00A55C3C" w:rsidRPr="00B450EB" w:rsidRDefault="00A55C3C">
          <w:pPr>
            <w:pStyle w:val="TDC2"/>
            <w:rPr>
              <w:rFonts w:asciiTheme="minorHAnsi" w:eastAsiaTheme="minorEastAsia" w:hAnsiTheme="minorHAnsi"/>
              <w:sz w:val="22"/>
              <w:szCs w:val="22"/>
              <w:lang w:eastAsia="es-CO"/>
            </w:rPr>
          </w:pPr>
          <w:hyperlink w:anchor="_Toc209722959" w:history="1">
            <w:r w:rsidRPr="00B450EB">
              <w:rPr>
                <w:rStyle w:val="Hipervnculo"/>
                <w:rFonts w:cs="Arial"/>
              </w:rPr>
              <w:t>8.1.</w:t>
            </w:r>
            <w:r w:rsidRPr="00B450EB">
              <w:rPr>
                <w:rFonts w:asciiTheme="minorHAnsi" w:eastAsiaTheme="minorEastAsia" w:hAnsiTheme="minorHAnsi"/>
                <w:sz w:val="22"/>
                <w:szCs w:val="22"/>
                <w:lang w:eastAsia="es-CO"/>
              </w:rPr>
              <w:tab/>
            </w:r>
            <w:r w:rsidRPr="00B450EB">
              <w:rPr>
                <w:rStyle w:val="Hipervnculo"/>
                <w:rFonts w:cs="Arial"/>
              </w:rPr>
              <w:t>Minería</w:t>
            </w:r>
            <w:r w:rsidRPr="00B450EB">
              <w:rPr>
                <w:webHidden/>
              </w:rPr>
              <w:tab/>
            </w:r>
            <w:r w:rsidRPr="00B450EB">
              <w:rPr>
                <w:webHidden/>
              </w:rPr>
              <w:fldChar w:fldCharType="begin"/>
            </w:r>
            <w:r w:rsidRPr="00B450EB">
              <w:rPr>
                <w:webHidden/>
              </w:rPr>
              <w:instrText xml:space="preserve"> PAGEREF _Toc209722959 \h </w:instrText>
            </w:r>
            <w:r w:rsidRPr="00B450EB">
              <w:rPr>
                <w:webHidden/>
              </w:rPr>
            </w:r>
            <w:r w:rsidRPr="00B450EB">
              <w:rPr>
                <w:webHidden/>
              </w:rPr>
              <w:fldChar w:fldCharType="separate"/>
            </w:r>
            <w:r w:rsidR="0004413E" w:rsidRPr="00B450EB">
              <w:rPr>
                <w:webHidden/>
              </w:rPr>
              <w:t>225</w:t>
            </w:r>
            <w:r w:rsidRPr="00B450EB">
              <w:rPr>
                <w:webHidden/>
              </w:rPr>
              <w:fldChar w:fldCharType="end"/>
            </w:r>
          </w:hyperlink>
        </w:p>
        <w:p w14:paraId="151250C1" w14:textId="4DCA2DD9" w:rsidR="00A55C3C" w:rsidRPr="00B450EB" w:rsidRDefault="00A55C3C">
          <w:pPr>
            <w:pStyle w:val="TDC2"/>
            <w:rPr>
              <w:rFonts w:asciiTheme="minorHAnsi" w:eastAsiaTheme="minorEastAsia" w:hAnsiTheme="minorHAnsi"/>
              <w:sz w:val="22"/>
              <w:szCs w:val="22"/>
              <w:lang w:eastAsia="es-CO"/>
            </w:rPr>
          </w:pPr>
          <w:hyperlink w:anchor="_Toc209722960" w:history="1">
            <w:r w:rsidRPr="00B450EB">
              <w:rPr>
                <w:rStyle w:val="Hipervnculo"/>
                <w:rFonts w:cs="Arial"/>
              </w:rPr>
              <w:t>8.2.</w:t>
            </w:r>
            <w:r w:rsidRPr="00B450EB">
              <w:rPr>
                <w:rFonts w:asciiTheme="minorHAnsi" w:eastAsiaTheme="minorEastAsia" w:hAnsiTheme="minorHAnsi"/>
                <w:sz w:val="22"/>
                <w:szCs w:val="22"/>
                <w:lang w:eastAsia="es-CO"/>
              </w:rPr>
              <w:tab/>
            </w:r>
            <w:r w:rsidRPr="00B450EB">
              <w:rPr>
                <w:rStyle w:val="Hipervnculo"/>
                <w:rFonts w:cs="Arial"/>
              </w:rPr>
              <w:t>Hidrocarburos</w:t>
            </w:r>
            <w:r w:rsidRPr="00B450EB">
              <w:rPr>
                <w:webHidden/>
              </w:rPr>
              <w:tab/>
            </w:r>
            <w:r w:rsidRPr="00B450EB">
              <w:rPr>
                <w:webHidden/>
              </w:rPr>
              <w:fldChar w:fldCharType="begin"/>
            </w:r>
            <w:r w:rsidRPr="00B450EB">
              <w:rPr>
                <w:webHidden/>
              </w:rPr>
              <w:instrText xml:space="preserve"> PAGEREF _Toc209722960 \h </w:instrText>
            </w:r>
            <w:r w:rsidRPr="00B450EB">
              <w:rPr>
                <w:webHidden/>
              </w:rPr>
            </w:r>
            <w:r w:rsidRPr="00B450EB">
              <w:rPr>
                <w:webHidden/>
              </w:rPr>
              <w:fldChar w:fldCharType="separate"/>
            </w:r>
            <w:r w:rsidR="0004413E" w:rsidRPr="00B450EB">
              <w:rPr>
                <w:webHidden/>
              </w:rPr>
              <w:t>228</w:t>
            </w:r>
            <w:r w:rsidRPr="00B450EB">
              <w:rPr>
                <w:webHidden/>
              </w:rPr>
              <w:fldChar w:fldCharType="end"/>
            </w:r>
          </w:hyperlink>
        </w:p>
        <w:p w14:paraId="7AB0C7F0" w14:textId="2394303E" w:rsidR="00A55C3C" w:rsidRPr="00B450EB" w:rsidRDefault="00A55C3C">
          <w:pPr>
            <w:pStyle w:val="TDC1"/>
            <w:tabs>
              <w:tab w:val="left" w:pos="480"/>
              <w:tab w:val="right" w:leader="dot" w:pos="8828"/>
            </w:tabs>
            <w:rPr>
              <w:rFonts w:asciiTheme="minorHAnsi" w:eastAsiaTheme="minorEastAsia" w:hAnsiTheme="minorHAnsi"/>
              <w:noProof/>
              <w:sz w:val="22"/>
              <w:szCs w:val="22"/>
              <w:lang w:eastAsia="es-CO"/>
            </w:rPr>
          </w:pPr>
          <w:hyperlink w:anchor="_Toc209722961" w:history="1">
            <w:r w:rsidRPr="00B450EB">
              <w:rPr>
                <w:rStyle w:val="Hipervnculo"/>
                <w:bCs/>
                <w:noProof/>
                <w:lang w:val="es-ES"/>
              </w:rPr>
              <w:t>9.</w:t>
            </w:r>
            <w:r w:rsidRPr="00B450EB">
              <w:rPr>
                <w:rFonts w:asciiTheme="minorHAnsi" w:eastAsiaTheme="minorEastAsia" w:hAnsiTheme="minorHAnsi"/>
                <w:noProof/>
                <w:sz w:val="22"/>
                <w:szCs w:val="22"/>
                <w:lang w:eastAsia="es-CO"/>
              </w:rPr>
              <w:tab/>
            </w:r>
            <w:r w:rsidRPr="00B450EB">
              <w:rPr>
                <w:rStyle w:val="Hipervnculo"/>
                <w:bCs/>
                <w:noProof/>
                <w:lang w:val="es-ES"/>
              </w:rPr>
              <w:t>IMPACTOS ACUMULATIVOS ASOCIADOS A LAS ACTIVIDADES EXTRACTIVAS</w:t>
            </w:r>
            <w:r w:rsidRPr="00B450EB">
              <w:rPr>
                <w:noProof/>
                <w:webHidden/>
              </w:rPr>
              <w:tab/>
            </w:r>
            <w:r w:rsidRPr="00B450EB">
              <w:rPr>
                <w:noProof/>
                <w:webHidden/>
              </w:rPr>
              <w:fldChar w:fldCharType="begin"/>
            </w:r>
            <w:r w:rsidRPr="00B450EB">
              <w:rPr>
                <w:noProof/>
                <w:webHidden/>
              </w:rPr>
              <w:instrText xml:space="preserve"> PAGEREF _Toc209722961 \h </w:instrText>
            </w:r>
            <w:r w:rsidRPr="00B450EB">
              <w:rPr>
                <w:noProof/>
                <w:webHidden/>
              </w:rPr>
            </w:r>
            <w:r w:rsidRPr="00B450EB">
              <w:rPr>
                <w:noProof/>
                <w:webHidden/>
              </w:rPr>
              <w:fldChar w:fldCharType="separate"/>
            </w:r>
            <w:r w:rsidR="0004413E" w:rsidRPr="00B450EB">
              <w:rPr>
                <w:noProof/>
                <w:webHidden/>
              </w:rPr>
              <w:t>259</w:t>
            </w:r>
            <w:r w:rsidRPr="00B450EB">
              <w:rPr>
                <w:noProof/>
                <w:webHidden/>
              </w:rPr>
              <w:fldChar w:fldCharType="end"/>
            </w:r>
          </w:hyperlink>
        </w:p>
        <w:p w14:paraId="6AF33B7E" w14:textId="5C70C8B4" w:rsidR="00A55C3C" w:rsidRPr="00B450EB" w:rsidRDefault="00A55C3C">
          <w:pPr>
            <w:pStyle w:val="TDC1"/>
            <w:tabs>
              <w:tab w:val="left" w:pos="660"/>
              <w:tab w:val="right" w:leader="dot" w:pos="8828"/>
            </w:tabs>
            <w:rPr>
              <w:rFonts w:asciiTheme="minorHAnsi" w:eastAsiaTheme="minorEastAsia" w:hAnsiTheme="minorHAnsi"/>
              <w:noProof/>
              <w:sz w:val="22"/>
              <w:szCs w:val="22"/>
              <w:lang w:eastAsia="es-CO"/>
            </w:rPr>
          </w:pPr>
          <w:hyperlink w:anchor="_Toc209722962" w:history="1">
            <w:r w:rsidRPr="00B450EB">
              <w:rPr>
                <w:rStyle w:val="Hipervnculo"/>
                <w:rFonts w:cs="Arial"/>
                <w:bCs/>
                <w:noProof/>
              </w:rPr>
              <w:t>10.</w:t>
            </w:r>
            <w:r w:rsidRPr="00B450EB">
              <w:rPr>
                <w:rFonts w:asciiTheme="minorHAnsi" w:eastAsiaTheme="minorEastAsia" w:hAnsiTheme="minorHAnsi"/>
                <w:noProof/>
                <w:sz w:val="22"/>
                <w:szCs w:val="22"/>
                <w:lang w:eastAsia="es-CO"/>
              </w:rPr>
              <w:tab/>
            </w:r>
            <w:r w:rsidRPr="00B450EB">
              <w:rPr>
                <w:rStyle w:val="Hipervnculo"/>
                <w:rFonts w:cs="Arial"/>
                <w:noProof/>
              </w:rPr>
              <w:t>RIESGOS</w:t>
            </w:r>
            <w:r w:rsidRPr="00B450EB">
              <w:rPr>
                <w:noProof/>
                <w:webHidden/>
              </w:rPr>
              <w:tab/>
            </w:r>
            <w:r w:rsidRPr="00B450EB">
              <w:rPr>
                <w:noProof/>
                <w:webHidden/>
              </w:rPr>
              <w:fldChar w:fldCharType="begin"/>
            </w:r>
            <w:r w:rsidRPr="00B450EB">
              <w:rPr>
                <w:noProof/>
                <w:webHidden/>
              </w:rPr>
              <w:instrText xml:space="preserve"> PAGEREF _Toc209722962 \h </w:instrText>
            </w:r>
            <w:r w:rsidRPr="00B450EB">
              <w:rPr>
                <w:noProof/>
                <w:webHidden/>
              </w:rPr>
            </w:r>
            <w:r w:rsidRPr="00B450EB">
              <w:rPr>
                <w:noProof/>
                <w:webHidden/>
              </w:rPr>
              <w:fldChar w:fldCharType="separate"/>
            </w:r>
            <w:r w:rsidR="0004413E" w:rsidRPr="00B450EB">
              <w:rPr>
                <w:noProof/>
                <w:webHidden/>
              </w:rPr>
              <w:t>266</w:t>
            </w:r>
            <w:r w:rsidRPr="00B450EB">
              <w:rPr>
                <w:noProof/>
                <w:webHidden/>
              </w:rPr>
              <w:fldChar w:fldCharType="end"/>
            </w:r>
          </w:hyperlink>
        </w:p>
        <w:p w14:paraId="103E53FA" w14:textId="76F3DFFA" w:rsidR="00A55C3C" w:rsidRPr="00B450EB" w:rsidRDefault="00A55C3C">
          <w:pPr>
            <w:pStyle w:val="TDC2"/>
            <w:rPr>
              <w:rFonts w:asciiTheme="minorHAnsi" w:eastAsiaTheme="minorEastAsia" w:hAnsiTheme="minorHAnsi"/>
              <w:sz w:val="22"/>
              <w:szCs w:val="22"/>
              <w:lang w:eastAsia="es-CO"/>
            </w:rPr>
          </w:pPr>
          <w:hyperlink w:anchor="_Toc209722963" w:history="1">
            <w:r w:rsidRPr="00B450EB">
              <w:rPr>
                <w:rStyle w:val="Hipervnculo"/>
                <w:b/>
              </w:rPr>
              <w:t>10.1.</w:t>
            </w:r>
            <w:r w:rsidRPr="00B450EB">
              <w:rPr>
                <w:rFonts w:asciiTheme="minorHAnsi" w:eastAsiaTheme="minorEastAsia" w:hAnsiTheme="minorHAnsi"/>
                <w:sz w:val="22"/>
                <w:szCs w:val="22"/>
                <w:lang w:eastAsia="es-CO"/>
              </w:rPr>
              <w:tab/>
            </w:r>
            <w:r w:rsidRPr="00B450EB">
              <w:rPr>
                <w:rStyle w:val="Hipervnculo"/>
                <w:b/>
              </w:rPr>
              <w:t>Disminución en la oferta hídrica y cambio en la hidro-climatológica continental (Debilitación de fenómeno “ríos voladores”)</w:t>
            </w:r>
            <w:r w:rsidRPr="00B450EB">
              <w:rPr>
                <w:webHidden/>
              </w:rPr>
              <w:tab/>
            </w:r>
            <w:r w:rsidRPr="00B450EB">
              <w:rPr>
                <w:webHidden/>
              </w:rPr>
              <w:fldChar w:fldCharType="begin"/>
            </w:r>
            <w:r w:rsidRPr="00B450EB">
              <w:rPr>
                <w:webHidden/>
              </w:rPr>
              <w:instrText xml:space="preserve"> PAGEREF _Toc209722963 \h </w:instrText>
            </w:r>
            <w:r w:rsidRPr="00B450EB">
              <w:rPr>
                <w:webHidden/>
              </w:rPr>
            </w:r>
            <w:r w:rsidRPr="00B450EB">
              <w:rPr>
                <w:webHidden/>
              </w:rPr>
              <w:fldChar w:fldCharType="separate"/>
            </w:r>
            <w:r w:rsidR="0004413E" w:rsidRPr="00B450EB">
              <w:rPr>
                <w:webHidden/>
              </w:rPr>
              <w:t>266</w:t>
            </w:r>
            <w:r w:rsidRPr="00B450EB">
              <w:rPr>
                <w:webHidden/>
              </w:rPr>
              <w:fldChar w:fldCharType="end"/>
            </w:r>
          </w:hyperlink>
        </w:p>
        <w:p w14:paraId="42285365" w14:textId="4886B3D4" w:rsidR="00A55C3C" w:rsidRPr="00B450EB" w:rsidRDefault="00A55C3C">
          <w:pPr>
            <w:pStyle w:val="TDC3"/>
            <w:rPr>
              <w:rFonts w:asciiTheme="minorHAnsi" w:eastAsiaTheme="minorEastAsia" w:hAnsiTheme="minorHAnsi"/>
              <w:noProof/>
              <w:sz w:val="22"/>
              <w:szCs w:val="22"/>
              <w:lang w:eastAsia="es-CO"/>
            </w:rPr>
          </w:pPr>
          <w:hyperlink w:anchor="_Toc209722964" w:history="1">
            <w:r w:rsidRPr="00B450EB">
              <w:rPr>
                <w:rStyle w:val="Hipervnculo"/>
                <w:noProof/>
              </w:rPr>
              <w:t>10.1.1. Disminución de aportes hidrológicos para la generación de energía hidráulica y la confiabilidad del Sistema Interconectado Nacional</w:t>
            </w:r>
            <w:r w:rsidRPr="00B450EB">
              <w:rPr>
                <w:noProof/>
                <w:webHidden/>
              </w:rPr>
              <w:tab/>
            </w:r>
            <w:r w:rsidRPr="00B450EB">
              <w:rPr>
                <w:noProof/>
                <w:webHidden/>
              </w:rPr>
              <w:fldChar w:fldCharType="begin"/>
            </w:r>
            <w:r w:rsidRPr="00B450EB">
              <w:rPr>
                <w:noProof/>
                <w:webHidden/>
              </w:rPr>
              <w:instrText xml:space="preserve"> PAGEREF _Toc209722964 \h </w:instrText>
            </w:r>
            <w:r w:rsidRPr="00B450EB">
              <w:rPr>
                <w:noProof/>
                <w:webHidden/>
              </w:rPr>
            </w:r>
            <w:r w:rsidRPr="00B450EB">
              <w:rPr>
                <w:noProof/>
                <w:webHidden/>
              </w:rPr>
              <w:fldChar w:fldCharType="separate"/>
            </w:r>
            <w:r w:rsidR="0004413E" w:rsidRPr="00B450EB">
              <w:rPr>
                <w:noProof/>
                <w:webHidden/>
              </w:rPr>
              <w:t>270</w:t>
            </w:r>
            <w:r w:rsidRPr="00B450EB">
              <w:rPr>
                <w:noProof/>
                <w:webHidden/>
              </w:rPr>
              <w:fldChar w:fldCharType="end"/>
            </w:r>
          </w:hyperlink>
        </w:p>
        <w:p w14:paraId="20141EAA" w14:textId="0A9B35EA" w:rsidR="00A55C3C" w:rsidRPr="00B450EB" w:rsidRDefault="00A55C3C">
          <w:pPr>
            <w:pStyle w:val="TDC2"/>
            <w:rPr>
              <w:rFonts w:asciiTheme="minorHAnsi" w:eastAsiaTheme="minorEastAsia" w:hAnsiTheme="minorHAnsi"/>
              <w:sz w:val="22"/>
              <w:szCs w:val="22"/>
              <w:lang w:eastAsia="es-CO"/>
            </w:rPr>
          </w:pPr>
          <w:hyperlink w:anchor="_Toc209722965" w:history="1">
            <w:r w:rsidRPr="00B450EB">
              <w:rPr>
                <w:rStyle w:val="Hipervnculo"/>
                <w:b/>
              </w:rPr>
              <w:t>10.2.</w:t>
            </w:r>
            <w:r w:rsidRPr="00B450EB">
              <w:rPr>
                <w:rFonts w:asciiTheme="minorHAnsi" w:eastAsiaTheme="minorEastAsia" w:hAnsiTheme="minorHAnsi"/>
                <w:sz w:val="22"/>
                <w:szCs w:val="22"/>
                <w:lang w:eastAsia="es-CO"/>
              </w:rPr>
              <w:tab/>
            </w:r>
            <w:r w:rsidRPr="00B450EB">
              <w:rPr>
                <w:rStyle w:val="Hipervnculo"/>
                <w:b/>
              </w:rPr>
              <w:t>Incremento en la Pérdida de biodiversidad y conectividad del paisaje</w:t>
            </w:r>
            <w:r w:rsidRPr="00B450EB">
              <w:rPr>
                <w:webHidden/>
              </w:rPr>
              <w:tab/>
            </w:r>
            <w:r w:rsidRPr="00B450EB">
              <w:rPr>
                <w:webHidden/>
              </w:rPr>
              <w:fldChar w:fldCharType="begin"/>
            </w:r>
            <w:r w:rsidRPr="00B450EB">
              <w:rPr>
                <w:webHidden/>
              </w:rPr>
              <w:instrText xml:space="preserve"> PAGEREF _Toc209722965 \h </w:instrText>
            </w:r>
            <w:r w:rsidRPr="00B450EB">
              <w:rPr>
                <w:webHidden/>
              </w:rPr>
            </w:r>
            <w:r w:rsidRPr="00B450EB">
              <w:rPr>
                <w:webHidden/>
              </w:rPr>
              <w:fldChar w:fldCharType="separate"/>
            </w:r>
            <w:r w:rsidR="0004413E" w:rsidRPr="00B450EB">
              <w:rPr>
                <w:webHidden/>
              </w:rPr>
              <w:t>276</w:t>
            </w:r>
            <w:r w:rsidRPr="00B450EB">
              <w:rPr>
                <w:webHidden/>
              </w:rPr>
              <w:fldChar w:fldCharType="end"/>
            </w:r>
          </w:hyperlink>
        </w:p>
        <w:p w14:paraId="3EE9127C" w14:textId="09C85E1E" w:rsidR="00A55C3C" w:rsidRPr="00B450EB" w:rsidRDefault="00A55C3C">
          <w:pPr>
            <w:pStyle w:val="TDC2"/>
            <w:rPr>
              <w:rFonts w:asciiTheme="minorHAnsi" w:eastAsiaTheme="minorEastAsia" w:hAnsiTheme="minorHAnsi"/>
              <w:sz w:val="22"/>
              <w:szCs w:val="22"/>
              <w:lang w:eastAsia="es-CO"/>
            </w:rPr>
          </w:pPr>
          <w:hyperlink w:anchor="_Toc209722966" w:history="1">
            <w:r w:rsidRPr="00B450EB">
              <w:rPr>
                <w:rStyle w:val="Hipervnculo"/>
                <w:b/>
                <w:lang w:val="pt-PT"/>
              </w:rPr>
              <w:t>10.3.</w:t>
            </w:r>
            <w:r w:rsidRPr="00B450EB">
              <w:rPr>
                <w:rFonts w:asciiTheme="minorHAnsi" w:eastAsiaTheme="minorEastAsia" w:hAnsiTheme="minorHAnsi"/>
                <w:sz w:val="22"/>
                <w:szCs w:val="22"/>
                <w:lang w:eastAsia="es-CO"/>
              </w:rPr>
              <w:tab/>
            </w:r>
            <w:r w:rsidRPr="00B450EB">
              <w:rPr>
                <w:rStyle w:val="Hipervnculo"/>
                <w:b/>
                <w:lang w:val="pt-PT"/>
              </w:rPr>
              <w:t>Cambio de sumidero a fuente de carbono</w:t>
            </w:r>
            <w:r w:rsidRPr="00B450EB">
              <w:rPr>
                <w:webHidden/>
              </w:rPr>
              <w:tab/>
            </w:r>
            <w:r w:rsidRPr="00B450EB">
              <w:rPr>
                <w:webHidden/>
              </w:rPr>
              <w:fldChar w:fldCharType="begin"/>
            </w:r>
            <w:r w:rsidRPr="00B450EB">
              <w:rPr>
                <w:webHidden/>
              </w:rPr>
              <w:instrText xml:space="preserve"> PAGEREF _Toc209722966 \h </w:instrText>
            </w:r>
            <w:r w:rsidRPr="00B450EB">
              <w:rPr>
                <w:webHidden/>
              </w:rPr>
            </w:r>
            <w:r w:rsidRPr="00B450EB">
              <w:rPr>
                <w:webHidden/>
              </w:rPr>
              <w:fldChar w:fldCharType="separate"/>
            </w:r>
            <w:r w:rsidR="0004413E" w:rsidRPr="00B450EB">
              <w:rPr>
                <w:webHidden/>
              </w:rPr>
              <w:t>281</w:t>
            </w:r>
            <w:r w:rsidRPr="00B450EB">
              <w:rPr>
                <w:webHidden/>
              </w:rPr>
              <w:fldChar w:fldCharType="end"/>
            </w:r>
          </w:hyperlink>
        </w:p>
        <w:p w14:paraId="0E76F7C4" w14:textId="39E03F2C" w:rsidR="00A55C3C" w:rsidRPr="00B450EB" w:rsidRDefault="00A55C3C">
          <w:pPr>
            <w:pStyle w:val="TDC2"/>
            <w:rPr>
              <w:rFonts w:asciiTheme="minorHAnsi" w:eastAsiaTheme="minorEastAsia" w:hAnsiTheme="minorHAnsi"/>
              <w:sz w:val="22"/>
              <w:szCs w:val="22"/>
              <w:lang w:eastAsia="es-CO"/>
            </w:rPr>
          </w:pPr>
          <w:hyperlink w:anchor="_Toc209722967" w:history="1">
            <w:r w:rsidRPr="00B450EB">
              <w:rPr>
                <w:rStyle w:val="Hipervnculo"/>
                <w:b/>
                <w:bCs/>
              </w:rPr>
              <w:t>10.4. Riesgo Asociado Al Cambio Climático</w:t>
            </w:r>
            <w:r w:rsidRPr="00B450EB">
              <w:rPr>
                <w:webHidden/>
              </w:rPr>
              <w:tab/>
            </w:r>
            <w:r w:rsidRPr="00B450EB">
              <w:rPr>
                <w:webHidden/>
              </w:rPr>
              <w:fldChar w:fldCharType="begin"/>
            </w:r>
            <w:r w:rsidRPr="00B450EB">
              <w:rPr>
                <w:webHidden/>
              </w:rPr>
              <w:instrText xml:space="preserve"> PAGEREF _Toc209722967 \h </w:instrText>
            </w:r>
            <w:r w:rsidRPr="00B450EB">
              <w:rPr>
                <w:webHidden/>
              </w:rPr>
            </w:r>
            <w:r w:rsidRPr="00B450EB">
              <w:rPr>
                <w:webHidden/>
              </w:rPr>
              <w:fldChar w:fldCharType="separate"/>
            </w:r>
            <w:r w:rsidR="0004413E" w:rsidRPr="00B450EB">
              <w:rPr>
                <w:webHidden/>
              </w:rPr>
              <w:t>284</w:t>
            </w:r>
            <w:r w:rsidRPr="00B450EB">
              <w:rPr>
                <w:webHidden/>
              </w:rPr>
              <w:fldChar w:fldCharType="end"/>
            </w:r>
          </w:hyperlink>
        </w:p>
        <w:p w14:paraId="050BD015" w14:textId="5177D847" w:rsidR="00A55C3C" w:rsidRPr="00B450EB" w:rsidRDefault="00A55C3C">
          <w:pPr>
            <w:pStyle w:val="TDC3"/>
            <w:rPr>
              <w:rFonts w:asciiTheme="minorHAnsi" w:eastAsiaTheme="minorEastAsia" w:hAnsiTheme="minorHAnsi"/>
              <w:noProof/>
              <w:sz w:val="22"/>
              <w:szCs w:val="22"/>
              <w:lang w:eastAsia="es-CO"/>
            </w:rPr>
          </w:pPr>
          <w:hyperlink w:anchor="_Toc209722968" w:history="1">
            <w:r w:rsidRPr="00B450EB">
              <w:rPr>
                <w:rStyle w:val="Hipervnculo"/>
                <w:noProof/>
              </w:rPr>
              <w:t>10.4.1. índice de riesgo climático en la dimensión del recurso hídrico</w:t>
            </w:r>
            <w:r w:rsidRPr="00B450EB">
              <w:rPr>
                <w:noProof/>
                <w:webHidden/>
              </w:rPr>
              <w:tab/>
            </w:r>
            <w:r w:rsidRPr="00B450EB">
              <w:rPr>
                <w:noProof/>
                <w:webHidden/>
              </w:rPr>
              <w:fldChar w:fldCharType="begin"/>
            </w:r>
            <w:r w:rsidRPr="00B450EB">
              <w:rPr>
                <w:noProof/>
                <w:webHidden/>
              </w:rPr>
              <w:instrText xml:space="preserve"> PAGEREF _Toc209722968 \h </w:instrText>
            </w:r>
            <w:r w:rsidRPr="00B450EB">
              <w:rPr>
                <w:noProof/>
                <w:webHidden/>
              </w:rPr>
            </w:r>
            <w:r w:rsidRPr="00B450EB">
              <w:rPr>
                <w:noProof/>
                <w:webHidden/>
              </w:rPr>
              <w:fldChar w:fldCharType="separate"/>
            </w:r>
            <w:r w:rsidR="0004413E" w:rsidRPr="00B450EB">
              <w:rPr>
                <w:noProof/>
                <w:webHidden/>
              </w:rPr>
              <w:t>284</w:t>
            </w:r>
            <w:r w:rsidRPr="00B450EB">
              <w:rPr>
                <w:noProof/>
                <w:webHidden/>
              </w:rPr>
              <w:fldChar w:fldCharType="end"/>
            </w:r>
          </w:hyperlink>
        </w:p>
        <w:p w14:paraId="313A59BF" w14:textId="07F1A35B" w:rsidR="00A55C3C" w:rsidRPr="00B450EB" w:rsidRDefault="00A55C3C">
          <w:pPr>
            <w:pStyle w:val="TDC3"/>
            <w:rPr>
              <w:rFonts w:asciiTheme="minorHAnsi" w:eastAsiaTheme="minorEastAsia" w:hAnsiTheme="minorHAnsi"/>
              <w:noProof/>
              <w:sz w:val="22"/>
              <w:szCs w:val="22"/>
              <w:lang w:eastAsia="es-CO"/>
            </w:rPr>
          </w:pPr>
          <w:hyperlink w:anchor="_Toc209722969" w:history="1">
            <w:r w:rsidRPr="00B450EB">
              <w:rPr>
                <w:rStyle w:val="Hipervnculo"/>
                <w:noProof/>
              </w:rPr>
              <w:t>10.4.2. índice de riesgo climático en la dimensión de biodiversidad y servicios ecosistémicos</w:t>
            </w:r>
            <w:r w:rsidRPr="00B450EB">
              <w:rPr>
                <w:noProof/>
                <w:webHidden/>
              </w:rPr>
              <w:tab/>
            </w:r>
            <w:r w:rsidRPr="00B450EB">
              <w:rPr>
                <w:noProof/>
                <w:webHidden/>
              </w:rPr>
              <w:fldChar w:fldCharType="begin"/>
            </w:r>
            <w:r w:rsidRPr="00B450EB">
              <w:rPr>
                <w:noProof/>
                <w:webHidden/>
              </w:rPr>
              <w:instrText xml:space="preserve"> PAGEREF _Toc209722969 \h </w:instrText>
            </w:r>
            <w:r w:rsidRPr="00B450EB">
              <w:rPr>
                <w:noProof/>
                <w:webHidden/>
              </w:rPr>
            </w:r>
            <w:r w:rsidRPr="00B450EB">
              <w:rPr>
                <w:noProof/>
                <w:webHidden/>
              </w:rPr>
              <w:fldChar w:fldCharType="separate"/>
            </w:r>
            <w:r w:rsidR="0004413E" w:rsidRPr="00B450EB">
              <w:rPr>
                <w:noProof/>
                <w:webHidden/>
              </w:rPr>
              <w:t>285</w:t>
            </w:r>
            <w:r w:rsidRPr="00B450EB">
              <w:rPr>
                <w:noProof/>
                <w:webHidden/>
              </w:rPr>
              <w:fldChar w:fldCharType="end"/>
            </w:r>
          </w:hyperlink>
        </w:p>
        <w:p w14:paraId="2691BCFE" w14:textId="1C6C8819" w:rsidR="00A55C3C" w:rsidRPr="00B450EB" w:rsidRDefault="00A55C3C">
          <w:pPr>
            <w:pStyle w:val="TDC2"/>
            <w:rPr>
              <w:rFonts w:asciiTheme="minorHAnsi" w:eastAsiaTheme="minorEastAsia" w:hAnsiTheme="minorHAnsi"/>
              <w:sz w:val="22"/>
              <w:szCs w:val="22"/>
              <w:lang w:eastAsia="es-CO"/>
            </w:rPr>
          </w:pPr>
          <w:hyperlink w:anchor="_Toc209722970" w:history="1">
            <w:r w:rsidRPr="00B450EB">
              <w:rPr>
                <w:rStyle w:val="Hipervnculo"/>
                <w:b/>
              </w:rPr>
              <w:t>10.5.</w:t>
            </w:r>
            <w:r w:rsidRPr="00B450EB">
              <w:rPr>
                <w:rFonts w:asciiTheme="minorHAnsi" w:eastAsiaTheme="minorEastAsia" w:hAnsiTheme="minorHAnsi"/>
                <w:sz w:val="22"/>
                <w:szCs w:val="22"/>
                <w:lang w:eastAsia="es-CO"/>
              </w:rPr>
              <w:tab/>
            </w:r>
            <w:r w:rsidRPr="00B450EB">
              <w:rPr>
                <w:rStyle w:val="Hipervnculo"/>
                <w:b/>
              </w:rPr>
              <w:t>Llegada al punto de no retorno “tipping point”</w:t>
            </w:r>
            <w:r w:rsidRPr="00B450EB">
              <w:rPr>
                <w:webHidden/>
              </w:rPr>
              <w:tab/>
            </w:r>
            <w:r w:rsidRPr="00B450EB">
              <w:rPr>
                <w:webHidden/>
              </w:rPr>
              <w:fldChar w:fldCharType="begin"/>
            </w:r>
            <w:r w:rsidRPr="00B450EB">
              <w:rPr>
                <w:webHidden/>
              </w:rPr>
              <w:instrText xml:space="preserve"> PAGEREF _Toc209722970 \h </w:instrText>
            </w:r>
            <w:r w:rsidRPr="00B450EB">
              <w:rPr>
                <w:webHidden/>
              </w:rPr>
            </w:r>
            <w:r w:rsidRPr="00B450EB">
              <w:rPr>
                <w:webHidden/>
              </w:rPr>
              <w:fldChar w:fldCharType="separate"/>
            </w:r>
            <w:r w:rsidR="0004413E" w:rsidRPr="00B450EB">
              <w:rPr>
                <w:webHidden/>
              </w:rPr>
              <w:t>294</w:t>
            </w:r>
            <w:r w:rsidRPr="00B450EB">
              <w:rPr>
                <w:webHidden/>
              </w:rPr>
              <w:fldChar w:fldCharType="end"/>
            </w:r>
          </w:hyperlink>
        </w:p>
        <w:p w14:paraId="400C367D" w14:textId="4CEB177F" w:rsidR="00A55C3C" w:rsidRPr="00B450EB" w:rsidRDefault="00A55C3C">
          <w:pPr>
            <w:pStyle w:val="TDC1"/>
            <w:tabs>
              <w:tab w:val="left" w:pos="660"/>
              <w:tab w:val="right" w:leader="dot" w:pos="8828"/>
            </w:tabs>
            <w:rPr>
              <w:rFonts w:asciiTheme="minorHAnsi" w:eastAsiaTheme="minorEastAsia" w:hAnsiTheme="minorHAnsi"/>
              <w:noProof/>
              <w:sz w:val="22"/>
              <w:szCs w:val="22"/>
              <w:lang w:eastAsia="es-CO"/>
            </w:rPr>
          </w:pPr>
          <w:hyperlink w:anchor="_Toc209722971" w:history="1">
            <w:r w:rsidRPr="00B450EB">
              <w:rPr>
                <w:rStyle w:val="Hipervnculo"/>
                <w:rFonts w:cs="Arial"/>
                <w:noProof/>
              </w:rPr>
              <w:t>11.</w:t>
            </w:r>
            <w:r w:rsidRPr="00B450EB">
              <w:rPr>
                <w:rFonts w:asciiTheme="minorHAnsi" w:eastAsiaTheme="minorEastAsia" w:hAnsiTheme="minorHAnsi"/>
                <w:noProof/>
                <w:sz w:val="22"/>
                <w:szCs w:val="22"/>
                <w:lang w:eastAsia="es-CO"/>
              </w:rPr>
              <w:tab/>
            </w:r>
            <w:r w:rsidRPr="00B450EB">
              <w:rPr>
                <w:rStyle w:val="Hipervnculo"/>
                <w:rFonts w:cs="Arial"/>
                <w:noProof/>
              </w:rPr>
              <w:t xml:space="preserve">ACCIONES EXISTENTES </w:t>
            </w:r>
            <w:r w:rsidRPr="00B450EB">
              <w:rPr>
                <w:rStyle w:val="Hipervnculo"/>
                <w:rFonts w:eastAsia="Arial" w:cs="Arial"/>
                <w:noProof/>
              </w:rPr>
              <w:t>Y ENFOQUES PARA EL</w:t>
            </w:r>
            <w:r w:rsidRPr="00B450EB">
              <w:rPr>
                <w:rStyle w:val="Hipervnculo"/>
                <w:rFonts w:cs="Arial"/>
                <w:noProof/>
              </w:rPr>
              <w:t xml:space="preserve"> MANEJO DEL RIESGO EN EL BIOMA AMAZONICO</w:t>
            </w:r>
            <w:r w:rsidRPr="00B450EB">
              <w:rPr>
                <w:noProof/>
                <w:webHidden/>
              </w:rPr>
              <w:tab/>
            </w:r>
            <w:r w:rsidRPr="00B450EB">
              <w:rPr>
                <w:noProof/>
                <w:webHidden/>
              </w:rPr>
              <w:fldChar w:fldCharType="begin"/>
            </w:r>
            <w:r w:rsidRPr="00B450EB">
              <w:rPr>
                <w:noProof/>
                <w:webHidden/>
              </w:rPr>
              <w:instrText xml:space="preserve"> PAGEREF _Toc209722971 \h </w:instrText>
            </w:r>
            <w:r w:rsidRPr="00B450EB">
              <w:rPr>
                <w:noProof/>
                <w:webHidden/>
              </w:rPr>
            </w:r>
            <w:r w:rsidRPr="00B450EB">
              <w:rPr>
                <w:noProof/>
                <w:webHidden/>
              </w:rPr>
              <w:fldChar w:fldCharType="separate"/>
            </w:r>
            <w:r w:rsidR="0004413E" w:rsidRPr="00B450EB">
              <w:rPr>
                <w:noProof/>
                <w:webHidden/>
              </w:rPr>
              <w:t>296</w:t>
            </w:r>
            <w:r w:rsidRPr="00B450EB">
              <w:rPr>
                <w:noProof/>
                <w:webHidden/>
              </w:rPr>
              <w:fldChar w:fldCharType="end"/>
            </w:r>
          </w:hyperlink>
        </w:p>
        <w:p w14:paraId="2F932790" w14:textId="5066815A" w:rsidR="00A55C3C" w:rsidRPr="00B450EB" w:rsidRDefault="00A55C3C">
          <w:pPr>
            <w:pStyle w:val="TDC2"/>
            <w:rPr>
              <w:rFonts w:asciiTheme="minorHAnsi" w:eastAsiaTheme="minorEastAsia" w:hAnsiTheme="minorHAnsi"/>
              <w:sz w:val="22"/>
              <w:szCs w:val="22"/>
              <w:lang w:eastAsia="es-CO"/>
            </w:rPr>
          </w:pPr>
          <w:hyperlink w:anchor="_Toc209722972" w:history="1">
            <w:r w:rsidRPr="00B450EB">
              <w:rPr>
                <w:rStyle w:val="Hipervnculo"/>
                <w:rFonts w:eastAsia="Arial" w:cs="Arial"/>
                <w:b/>
              </w:rPr>
              <w:t>11.1. Contexto</w:t>
            </w:r>
            <w:r w:rsidRPr="00B450EB">
              <w:rPr>
                <w:webHidden/>
              </w:rPr>
              <w:tab/>
            </w:r>
            <w:r w:rsidRPr="00B450EB">
              <w:rPr>
                <w:webHidden/>
              </w:rPr>
              <w:fldChar w:fldCharType="begin"/>
            </w:r>
            <w:r w:rsidRPr="00B450EB">
              <w:rPr>
                <w:webHidden/>
              </w:rPr>
              <w:instrText xml:space="preserve"> PAGEREF _Toc209722972 \h </w:instrText>
            </w:r>
            <w:r w:rsidRPr="00B450EB">
              <w:rPr>
                <w:webHidden/>
              </w:rPr>
            </w:r>
            <w:r w:rsidRPr="00B450EB">
              <w:rPr>
                <w:webHidden/>
              </w:rPr>
              <w:fldChar w:fldCharType="separate"/>
            </w:r>
            <w:r w:rsidR="0004413E" w:rsidRPr="00B450EB">
              <w:rPr>
                <w:webHidden/>
              </w:rPr>
              <w:t>296</w:t>
            </w:r>
            <w:r w:rsidRPr="00B450EB">
              <w:rPr>
                <w:webHidden/>
              </w:rPr>
              <w:fldChar w:fldCharType="end"/>
            </w:r>
          </w:hyperlink>
        </w:p>
        <w:p w14:paraId="3B618419" w14:textId="69B8DA3B" w:rsidR="00A55C3C" w:rsidRPr="00B450EB" w:rsidRDefault="00A55C3C">
          <w:pPr>
            <w:pStyle w:val="TDC2"/>
            <w:rPr>
              <w:rFonts w:asciiTheme="minorHAnsi" w:eastAsiaTheme="minorEastAsia" w:hAnsiTheme="minorHAnsi"/>
              <w:sz w:val="22"/>
              <w:szCs w:val="22"/>
              <w:lang w:eastAsia="es-CO"/>
            </w:rPr>
          </w:pPr>
          <w:hyperlink w:anchor="_Toc209722973" w:history="1">
            <w:r w:rsidRPr="00B450EB">
              <w:rPr>
                <w:rStyle w:val="Hipervnculo"/>
                <w:rFonts w:eastAsia="Arial" w:cs="Arial"/>
                <w:b/>
              </w:rPr>
              <w:t>11.2 Plan Integral de Contención a la Deforestación</w:t>
            </w:r>
            <w:r w:rsidRPr="00B450EB">
              <w:rPr>
                <w:webHidden/>
              </w:rPr>
              <w:tab/>
            </w:r>
            <w:r w:rsidRPr="00B450EB">
              <w:rPr>
                <w:webHidden/>
              </w:rPr>
              <w:fldChar w:fldCharType="begin"/>
            </w:r>
            <w:r w:rsidRPr="00B450EB">
              <w:rPr>
                <w:webHidden/>
              </w:rPr>
              <w:instrText xml:space="preserve"> PAGEREF _Toc209722973 \h </w:instrText>
            </w:r>
            <w:r w:rsidRPr="00B450EB">
              <w:rPr>
                <w:webHidden/>
              </w:rPr>
            </w:r>
            <w:r w:rsidRPr="00B450EB">
              <w:rPr>
                <w:webHidden/>
              </w:rPr>
              <w:fldChar w:fldCharType="separate"/>
            </w:r>
            <w:r w:rsidR="0004413E" w:rsidRPr="00B450EB">
              <w:rPr>
                <w:webHidden/>
              </w:rPr>
              <w:t>299</w:t>
            </w:r>
            <w:r w:rsidRPr="00B450EB">
              <w:rPr>
                <w:webHidden/>
              </w:rPr>
              <w:fldChar w:fldCharType="end"/>
            </w:r>
          </w:hyperlink>
        </w:p>
        <w:p w14:paraId="2715832F" w14:textId="501C4F02" w:rsidR="00A55C3C" w:rsidRPr="00B450EB" w:rsidRDefault="00A55C3C">
          <w:pPr>
            <w:pStyle w:val="TDC3"/>
            <w:rPr>
              <w:rFonts w:asciiTheme="minorHAnsi" w:eastAsiaTheme="minorEastAsia" w:hAnsiTheme="minorHAnsi"/>
              <w:noProof/>
              <w:sz w:val="22"/>
              <w:szCs w:val="22"/>
              <w:lang w:eastAsia="es-CO"/>
            </w:rPr>
          </w:pPr>
          <w:hyperlink w:anchor="_Toc209722974" w:history="1">
            <w:r w:rsidRPr="00B450EB">
              <w:rPr>
                <w:rStyle w:val="Hipervnculo"/>
                <w:rFonts w:eastAsia="Arial" w:cs="Arial"/>
                <w:noProof/>
              </w:rPr>
              <w:t>11.2.1 Núcleos de Desarrollo Forestal y de la Biodiversidad en la Amazonia</w:t>
            </w:r>
            <w:r w:rsidRPr="00B450EB">
              <w:rPr>
                <w:noProof/>
                <w:webHidden/>
              </w:rPr>
              <w:tab/>
            </w:r>
            <w:r w:rsidRPr="00B450EB">
              <w:rPr>
                <w:noProof/>
                <w:webHidden/>
              </w:rPr>
              <w:fldChar w:fldCharType="begin"/>
            </w:r>
            <w:r w:rsidRPr="00B450EB">
              <w:rPr>
                <w:noProof/>
                <w:webHidden/>
              </w:rPr>
              <w:instrText xml:space="preserve"> PAGEREF _Toc209722974 \h </w:instrText>
            </w:r>
            <w:r w:rsidRPr="00B450EB">
              <w:rPr>
                <w:noProof/>
                <w:webHidden/>
              </w:rPr>
            </w:r>
            <w:r w:rsidRPr="00B450EB">
              <w:rPr>
                <w:noProof/>
                <w:webHidden/>
              </w:rPr>
              <w:fldChar w:fldCharType="separate"/>
            </w:r>
            <w:r w:rsidR="0004413E" w:rsidRPr="00B450EB">
              <w:rPr>
                <w:noProof/>
                <w:webHidden/>
              </w:rPr>
              <w:t>301</w:t>
            </w:r>
            <w:r w:rsidRPr="00B450EB">
              <w:rPr>
                <w:noProof/>
                <w:webHidden/>
              </w:rPr>
              <w:fldChar w:fldCharType="end"/>
            </w:r>
          </w:hyperlink>
        </w:p>
        <w:p w14:paraId="7F565C37" w14:textId="2167D259" w:rsidR="00A55C3C" w:rsidRPr="00B450EB" w:rsidRDefault="00A55C3C">
          <w:pPr>
            <w:pStyle w:val="TDC3"/>
            <w:rPr>
              <w:rFonts w:asciiTheme="minorHAnsi" w:eastAsiaTheme="minorEastAsia" w:hAnsiTheme="minorHAnsi"/>
              <w:noProof/>
              <w:sz w:val="22"/>
              <w:szCs w:val="22"/>
              <w:lang w:eastAsia="es-CO"/>
            </w:rPr>
          </w:pPr>
          <w:hyperlink w:anchor="_Toc209722975" w:history="1">
            <w:r w:rsidRPr="00B450EB">
              <w:rPr>
                <w:rStyle w:val="Hipervnculo"/>
                <w:rFonts w:eastAsia="Arial" w:cs="Arial"/>
                <w:noProof/>
                <w:lang w:val="es"/>
              </w:rPr>
              <w:t>11.2.2. Núcleos de Desarrollo Forestal de la Amazonía</w:t>
            </w:r>
            <w:r w:rsidRPr="00B450EB">
              <w:rPr>
                <w:noProof/>
                <w:webHidden/>
              </w:rPr>
              <w:tab/>
            </w:r>
            <w:r w:rsidRPr="00B450EB">
              <w:rPr>
                <w:noProof/>
                <w:webHidden/>
              </w:rPr>
              <w:fldChar w:fldCharType="begin"/>
            </w:r>
            <w:r w:rsidRPr="00B450EB">
              <w:rPr>
                <w:noProof/>
                <w:webHidden/>
              </w:rPr>
              <w:instrText xml:space="preserve"> PAGEREF _Toc209722975 \h </w:instrText>
            </w:r>
            <w:r w:rsidRPr="00B450EB">
              <w:rPr>
                <w:noProof/>
                <w:webHidden/>
              </w:rPr>
            </w:r>
            <w:r w:rsidRPr="00B450EB">
              <w:rPr>
                <w:noProof/>
                <w:webHidden/>
              </w:rPr>
              <w:fldChar w:fldCharType="separate"/>
            </w:r>
            <w:r w:rsidR="0004413E" w:rsidRPr="00B450EB">
              <w:rPr>
                <w:noProof/>
                <w:webHidden/>
              </w:rPr>
              <w:t>303</w:t>
            </w:r>
            <w:r w:rsidRPr="00B450EB">
              <w:rPr>
                <w:noProof/>
                <w:webHidden/>
              </w:rPr>
              <w:fldChar w:fldCharType="end"/>
            </w:r>
          </w:hyperlink>
        </w:p>
        <w:p w14:paraId="2F1CA863" w14:textId="628D1AF4" w:rsidR="00A55C3C" w:rsidRPr="00B450EB" w:rsidRDefault="00A55C3C">
          <w:pPr>
            <w:pStyle w:val="TDC2"/>
            <w:rPr>
              <w:rFonts w:asciiTheme="minorHAnsi" w:eastAsiaTheme="minorEastAsia" w:hAnsiTheme="minorHAnsi"/>
              <w:sz w:val="22"/>
              <w:szCs w:val="22"/>
              <w:lang w:eastAsia="es-CO"/>
            </w:rPr>
          </w:pPr>
          <w:hyperlink w:anchor="_Toc209722976" w:history="1">
            <w:r w:rsidRPr="00B450EB">
              <w:rPr>
                <w:rStyle w:val="Hipervnculo"/>
              </w:rPr>
              <w:t xml:space="preserve">11.3. </w:t>
            </w:r>
            <w:r w:rsidRPr="00B450EB">
              <w:rPr>
                <w:rStyle w:val="Hipervnculo"/>
                <w:lang w:val="es-MX"/>
              </w:rPr>
              <w:t>Estrategia Nacional de Restauración</w:t>
            </w:r>
            <w:r w:rsidRPr="00B450EB">
              <w:rPr>
                <w:webHidden/>
              </w:rPr>
              <w:tab/>
            </w:r>
            <w:r w:rsidRPr="00B450EB">
              <w:rPr>
                <w:webHidden/>
              </w:rPr>
              <w:fldChar w:fldCharType="begin"/>
            </w:r>
            <w:r w:rsidRPr="00B450EB">
              <w:rPr>
                <w:webHidden/>
              </w:rPr>
              <w:instrText xml:space="preserve"> PAGEREF _Toc209722976 \h </w:instrText>
            </w:r>
            <w:r w:rsidRPr="00B450EB">
              <w:rPr>
                <w:webHidden/>
              </w:rPr>
            </w:r>
            <w:r w:rsidRPr="00B450EB">
              <w:rPr>
                <w:webHidden/>
              </w:rPr>
              <w:fldChar w:fldCharType="separate"/>
            </w:r>
            <w:r w:rsidR="0004413E" w:rsidRPr="00B450EB">
              <w:rPr>
                <w:webHidden/>
              </w:rPr>
              <w:t>303</w:t>
            </w:r>
            <w:r w:rsidRPr="00B450EB">
              <w:rPr>
                <w:webHidden/>
              </w:rPr>
              <w:fldChar w:fldCharType="end"/>
            </w:r>
          </w:hyperlink>
        </w:p>
        <w:p w14:paraId="7974A1EC" w14:textId="44B32D64" w:rsidR="00A55C3C" w:rsidRPr="00B450EB" w:rsidRDefault="00A55C3C">
          <w:pPr>
            <w:pStyle w:val="TDC2"/>
            <w:rPr>
              <w:rFonts w:asciiTheme="minorHAnsi" w:eastAsiaTheme="minorEastAsia" w:hAnsiTheme="minorHAnsi"/>
              <w:sz w:val="22"/>
              <w:szCs w:val="22"/>
              <w:lang w:eastAsia="es-CO"/>
            </w:rPr>
          </w:pPr>
          <w:hyperlink w:anchor="_Toc209722977" w:history="1">
            <w:r w:rsidRPr="00B450EB">
              <w:rPr>
                <w:rStyle w:val="Hipervnculo"/>
                <w:rFonts w:eastAsia="Arial" w:cs="Arial"/>
                <w:b/>
              </w:rPr>
              <w:t xml:space="preserve">11.4. </w:t>
            </w:r>
            <w:r w:rsidRPr="00B450EB">
              <w:rPr>
                <w:rStyle w:val="Hipervnculo"/>
                <w:rFonts w:eastAsia="Arial" w:cs="Arial"/>
                <w:b/>
                <w:lang w:val="es-MX"/>
              </w:rPr>
              <w:t>Proyectos de cooperación de la Amazonia:</w:t>
            </w:r>
            <w:r w:rsidRPr="00B450EB">
              <w:rPr>
                <w:webHidden/>
              </w:rPr>
              <w:tab/>
            </w:r>
            <w:r w:rsidRPr="00B450EB">
              <w:rPr>
                <w:webHidden/>
              </w:rPr>
              <w:fldChar w:fldCharType="begin"/>
            </w:r>
            <w:r w:rsidRPr="00B450EB">
              <w:rPr>
                <w:webHidden/>
              </w:rPr>
              <w:instrText xml:space="preserve"> PAGEREF _Toc209722977 \h </w:instrText>
            </w:r>
            <w:r w:rsidRPr="00B450EB">
              <w:rPr>
                <w:webHidden/>
              </w:rPr>
            </w:r>
            <w:r w:rsidRPr="00B450EB">
              <w:rPr>
                <w:webHidden/>
              </w:rPr>
              <w:fldChar w:fldCharType="separate"/>
            </w:r>
            <w:r w:rsidR="0004413E" w:rsidRPr="00B450EB">
              <w:rPr>
                <w:webHidden/>
              </w:rPr>
              <w:t>307</w:t>
            </w:r>
            <w:r w:rsidRPr="00B450EB">
              <w:rPr>
                <w:webHidden/>
              </w:rPr>
              <w:fldChar w:fldCharType="end"/>
            </w:r>
          </w:hyperlink>
        </w:p>
        <w:p w14:paraId="0A74D146" w14:textId="60FB2061" w:rsidR="00A55C3C" w:rsidRPr="00B450EB" w:rsidRDefault="00A55C3C">
          <w:pPr>
            <w:pStyle w:val="TDC1"/>
            <w:tabs>
              <w:tab w:val="left" w:pos="660"/>
              <w:tab w:val="right" w:leader="dot" w:pos="8828"/>
            </w:tabs>
            <w:rPr>
              <w:rFonts w:asciiTheme="minorHAnsi" w:eastAsiaTheme="minorEastAsia" w:hAnsiTheme="minorHAnsi"/>
              <w:noProof/>
              <w:sz w:val="22"/>
              <w:szCs w:val="22"/>
              <w:lang w:eastAsia="es-CO"/>
            </w:rPr>
          </w:pPr>
          <w:hyperlink w:anchor="_Toc209722978" w:history="1">
            <w:r w:rsidRPr="00B450EB">
              <w:rPr>
                <w:rStyle w:val="Hipervnculo"/>
                <w:rFonts w:cs="Arial"/>
                <w:noProof/>
              </w:rPr>
              <w:t>12.</w:t>
            </w:r>
            <w:r w:rsidRPr="00B450EB">
              <w:rPr>
                <w:rFonts w:asciiTheme="minorHAnsi" w:eastAsiaTheme="minorEastAsia" w:hAnsiTheme="minorHAnsi"/>
                <w:noProof/>
                <w:sz w:val="22"/>
                <w:szCs w:val="22"/>
                <w:lang w:eastAsia="es-CO"/>
              </w:rPr>
              <w:tab/>
            </w:r>
            <w:r w:rsidRPr="00B450EB">
              <w:rPr>
                <w:rStyle w:val="Hipervnculo"/>
                <w:rFonts w:cs="Arial"/>
                <w:noProof/>
              </w:rPr>
              <w:t>CONCLUSIONES</w:t>
            </w:r>
            <w:r w:rsidRPr="00B450EB">
              <w:rPr>
                <w:noProof/>
                <w:webHidden/>
              </w:rPr>
              <w:tab/>
            </w:r>
            <w:r w:rsidRPr="00B450EB">
              <w:rPr>
                <w:noProof/>
                <w:webHidden/>
              </w:rPr>
              <w:fldChar w:fldCharType="begin"/>
            </w:r>
            <w:r w:rsidRPr="00B450EB">
              <w:rPr>
                <w:noProof/>
                <w:webHidden/>
              </w:rPr>
              <w:instrText xml:space="preserve"> PAGEREF _Toc209722978 \h </w:instrText>
            </w:r>
            <w:r w:rsidRPr="00B450EB">
              <w:rPr>
                <w:noProof/>
                <w:webHidden/>
              </w:rPr>
            </w:r>
            <w:r w:rsidRPr="00B450EB">
              <w:rPr>
                <w:noProof/>
                <w:webHidden/>
              </w:rPr>
              <w:fldChar w:fldCharType="separate"/>
            </w:r>
            <w:r w:rsidR="0004413E" w:rsidRPr="00B450EB">
              <w:rPr>
                <w:noProof/>
                <w:webHidden/>
              </w:rPr>
              <w:t>310</w:t>
            </w:r>
            <w:r w:rsidRPr="00B450EB">
              <w:rPr>
                <w:noProof/>
                <w:webHidden/>
              </w:rPr>
              <w:fldChar w:fldCharType="end"/>
            </w:r>
          </w:hyperlink>
        </w:p>
        <w:p w14:paraId="3E8D2BB1" w14:textId="729D4F9F" w:rsidR="00A55C3C" w:rsidRPr="00B450EB" w:rsidRDefault="00A55C3C">
          <w:pPr>
            <w:pStyle w:val="TDC2"/>
            <w:rPr>
              <w:rFonts w:asciiTheme="minorHAnsi" w:eastAsiaTheme="minorEastAsia" w:hAnsiTheme="minorHAnsi"/>
              <w:sz w:val="22"/>
              <w:szCs w:val="22"/>
              <w:lang w:eastAsia="es-CO"/>
            </w:rPr>
          </w:pPr>
          <w:hyperlink w:anchor="_Toc209722979" w:history="1">
            <w:r w:rsidRPr="00B450EB">
              <w:rPr>
                <w:rStyle w:val="Hipervnculo"/>
              </w:rPr>
              <w:t>12.1.</w:t>
            </w:r>
            <w:r w:rsidRPr="00B450EB">
              <w:rPr>
                <w:rFonts w:asciiTheme="minorHAnsi" w:eastAsiaTheme="minorEastAsia" w:hAnsiTheme="minorHAnsi"/>
                <w:sz w:val="22"/>
                <w:szCs w:val="22"/>
                <w:lang w:eastAsia="es-CO"/>
              </w:rPr>
              <w:tab/>
            </w:r>
            <w:r w:rsidRPr="00B450EB">
              <w:rPr>
                <w:rStyle w:val="Hipervnculo"/>
              </w:rPr>
              <w:t>En el marco del Principio de Prevención</w:t>
            </w:r>
            <w:r w:rsidRPr="00B450EB">
              <w:rPr>
                <w:webHidden/>
              </w:rPr>
              <w:tab/>
            </w:r>
            <w:r w:rsidRPr="00B450EB">
              <w:rPr>
                <w:webHidden/>
              </w:rPr>
              <w:fldChar w:fldCharType="begin"/>
            </w:r>
            <w:r w:rsidRPr="00B450EB">
              <w:rPr>
                <w:webHidden/>
              </w:rPr>
              <w:instrText xml:space="preserve"> PAGEREF _Toc209722979 \h </w:instrText>
            </w:r>
            <w:r w:rsidRPr="00B450EB">
              <w:rPr>
                <w:webHidden/>
              </w:rPr>
            </w:r>
            <w:r w:rsidRPr="00B450EB">
              <w:rPr>
                <w:webHidden/>
              </w:rPr>
              <w:fldChar w:fldCharType="separate"/>
            </w:r>
            <w:r w:rsidR="0004413E" w:rsidRPr="00B450EB">
              <w:rPr>
                <w:webHidden/>
              </w:rPr>
              <w:t>310</w:t>
            </w:r>
            <w:r w:rsidRPr="00B450EB">
              <w:rPr>
                <w:webHidden/>
              </w:rPr>
              <w:fldChar w:fldCharType="end"/>
            </w:r>
          </w:hyperlink>
        </w:p>
        <w:p w14:paraId="48D20728" w14:textId="7F89D12F" w:rsidR="00A55C3C" w:rsidRPr="00B450EB" w:rsidRDefault="00A55C3C">
          <w:pPr>
            <w:pStyle w:val="TDC2"/>
            <w:rPr>
              <w:rFonts w:asciiTheme="minorHAnsi" w:eastAsiaTheme="minorEastAsia" w:hAnsiTheme="minorHAnsi"/>
              <w:sz w:val="22"/>
              <w:szCs w:val="22"/>
              <w:lang w:eastAsia="es-CO"/>
            </w:rPr>
          </w:pPr>
          <w:hyperlink w:anchor="_Toc209722980" w:history="1">
            <w:r w:rsidRPr="00B450EB">
              <w:rPr>
                <w:rStyle w:val="Hipervnculo"/>
              </w:rPr>
              <w:t>12.2.</w:t>
            </w:r>
            <w:r w:rsidRPr="00B450EB">
              <w:rPr>
                <w:rFonts w:asciiTheme="minorHAnsi" w:eastAsiaTheme="minorEastAsia" w:hAnsiTheme="minorHAnsi"/>
                <w:sz w:val="22"/>
                <w:szCs w:val="22"/>
                <w:lang w:eastAsia="es-CO"/>
              </w:rPr>
              <w:tab/>
            </w:r>
            <w:r w:rsidRPr="00B450EB">
              <w:rPr>
                <w:rStyle w:val="Hipervnculo"/>
              </w:rPr>
              <w:t>En el marco del Principio de Precaución</w:t>
            </w:r>
            <w:r w:rsidRPr="00B450EB">
              <w:rPr>
                <w:webHidden/>
              </w:rPr>
              <w:tab/>
            </w:r>
            <w:r w:rsidRPr="00B450EB">
              <w:rPr>
                <w:webHidden/>
              </w:rPr>
              <w:fldChar w:fldCharType="begin"/>
            </w:r>
            <w:r w:rsidRPr="00B450EB">
              <w:rPr>
                <w:webHidden/>
              </w:rPr>
              <w:instrText xml:space="preserve"> PAGEREF _Toc209722980 \h </w:instrText>
            </w:r>
            <w:r w:rsidRPr="00B450EB">
              <w:rPr>
                <w:webHidden/>
              </w:rPr>
            </w:r>
            <w:r w:rsidRPr="00B450EB">
              <w:rPr>
                <w:webHidden/>
              </w:rPr>
              <w:fldChar w:fldCharType="separate"/>
            </w:r>
            <w:r w:rsidR="0004413E" w:rsidRPr="00B450EB">
              <w:rPr>
                <w:webHidden/>
              </w:rPr>
              <w:t>313</w:t>
            </w:r>
            <w:r w:rsidRPr="00B450EB">
              <w:rPr>
                <w:webHidden/>
              </w:rPr>
              <w:fldChar w:fldCharType="end"/>
            </w:r>
          </w:hyperlink>
        </w:p>
        <w:p w14:paraId="3C696BEA" w14:textId="39F70AD3" w:rsidR="00A55C3C" w:rsidRPr="00B450EB" w:rsidRDefault="00A55C3C">
          <w:pPr>
            <w:pStyle w:val="TDC1"/>
            <w:tabs>
              <w:tab w:val="left" w:pos="660"/>
              <w:tab w:val="right" w:leader="dot" w:pos="8828"/>
            </w:tabs>
            <w:rPr>
              <w:rFonts w:asciiTheme="minorHAnsi" w:eastAsiaTheme="minorEastAsia" w:hAnsiTheme="minorHAnsi"/>
              <w:noProof/>
              <w:sz w:val="22"/>
              <w:szCs w:val="22"/>
              <w:lang w:eastAsia="es-CO"/>
            </w:rPr>
          </w:pPr>
          <w:hyperlink w:anchor="_Toc209722981" w:history="1">
            <w:r w:rsidRPr="00B450EB">
              <w:rPr>
                <w:rStyle w:val="Hipervnculo"/>
                <w:rFonts w:cs="Arial"/>
                <w:noProof/>
              </w:rPr>
              <w:t>13.</w:t>
            </w:r>
            <w:r w:rsidRPr="00B450EB">
              <w:rPr>
                <w:rFonts w:asciiTheme="minorHAnsi" w:eastAsiaTheme="minorEastAsia" w:hAnsiTheme="minorHAnsi"/>
                <w:noProof/>
                <w:sz w:val="22"/>
                <w:szCs w:val="22"/>
                <w:lang w:eastAsia="es-CO"/>
              </w:rPr>
              <w:tab/>
            </w:r>
            <w:r w:rsidRPr="00B450EB">
              <w:rPr>
                <w:rStyle w:val="Hipervnculo"/>
                <w:rFonts w:cs="Arial"/>
                <w:noProof/>
              </w:rPr>
              <w:t>DEFINICIÓN Y DELIMITACIÓN DE PROPUESTA DE ZONA DE RESERVA DE RECURSOS NATURALES DE CARÁCTER DEFINITIVO</w:t>
            </w:r>
            <w:r w:rsidRPr="00B450EB">
              <w:rPr>
                <w:noProof/>
                <w:webHidden/>
              </w:rPr>
              <w:tab/>
            </w:r>
            <w:r w:rsidRPr="00B450EB">
              <w:rPr>
                <w:noProof/>
                <w:webHidden/>
              </w:rPr>
              <w:fldChar w:fldCharType="begin"/>
            </w:r>
            <w:r w:rsidRPr="00B450EB">
              <w:rPr>
                <w:noProof/>
                <w:webHidden/>
              </w:rPr>
              <w:instrText xml:space="preserve"> PAGEREF _Toc209722981 \h </w:instrText>
            </w:r>
            <w:r w:rsidRPr="00B450EB">
              <w:rPr>
                <w:noProof/>
                <w:webHidden/>
              </w:rPr>
            </w:r>
            <w:r w:rsidRPr="00B450EB">
              <w:rPr>
                <w:noProof/>
                <w:webHidden/>
              </w:rPr>
              <w:fldChar w:fldCharType="separate"/>
            </w:r>
            <w:r w:rsidR="0004413E" w:rsidRPr="00B450EB">
              <w:rPr>
                <w:noProof/>
                <w:webHidden/>
              </w:rPr>
              <w:t>315</w:t>
            </w:r>
            <w:r w:rsidRPr="00B450EB">
              <w:rPr>
                <w:noProof/>
                <w:webHidden/>
              </w:rPr>
              <w:fldChar w:fldCharType="end"/>
            </w:r>
          </w:hyperlink>
        </w:p>
        <w:p w14:paraId="335DB671" w14:textId="6BD56EF5" w:rsidR="00A55C3C" w:rsidRPr="00B450EB" w:rsidRDefault="00A55C3C">
          <w:pPr>
            <w:pStyle w:val="TDC1"/>
            <w:tabs>
              <w:tab w:val="left" w:pos="660"/>
              <w:tab w:val="right" w:leader="dot" w:pos="8828"/>
            </w:tabs>
            <w:rPr>
              <w:rFonts w:asciiTheme="minorHAnsi" w:eastAsiaTheme="minorEastAsia" w:hAnsiTheme="minorHAnsi"/>
              <w:noProof/>
              <w:sz w:val="22"/>
              <w:szCs w:val="22"/>
              <w:lang w:eastAsia="es-CO"/>
            </w:rPr>
          </w:pPr>
          <w:hyperlink w:anchor="_Toc209722982" w:history="1">
            <w:r w:rsidRPr="00B450EB">
              <w:rPr>
                <w:rStyle w:val="Hipervnculo"/>
                <w:noProof/>
              </w:rPr>
              <w:t>14.</w:t>
            </w:r>
            <w:r w:rsidRPr="00B450EB">
              <w:rPr>
                <w:rFonts w:asciiTheme="minorHAnsi" w:eastAsiaTheme="minorEastAsia" w:hAnsiTheme="minorHAnsi"/>
                <w:noProof/>
                <w:sz w:val="22"/>
                <w:szCs w:val="22"/>
                <w:lang w:eastAsia="es-CO"/>
              </w:rPr>
              <w:tab/>
            </w:r>
            <w:r w:rsidRPr="00B450EB">
              <w:rPr>
                <w:rStyle w:val="Hipervnculo"/>
                <w:rFonts w:cs="Arial"/>
                <w:noProof/>
              </w:rPr>
              <w:t>REFERENCIAS BIBLIOGRÁFICAS</w:t>
            </w:r>
            <w:r w:rsidRPr="00B450EB">
              <w:rPr>
                <w:noProof/>
                <w:webHidden/>
              </w:rPr>
              <w:tab/>
            </w:r>
            <w:r w:rsidRPr="00B450EB">
              <w:rPr>
                <w:noProof/>
                <w:webHidden/>
              </w:rPr>
              <w:fldChar w:fldCharType="begin"/>
            </w:r>
            <w:r w:rsidRPr="00B450EB">
              <w:rPr>
                <w:noProof/>
                <w:webHidden/>
              </w:rPr>
              <w:instrText xml:space="preserve"> PAGEREF _Toc209722982 \h </w:instrText>
            </w:r>
            <w:r w:rsidRPr="00B450EB">
              <w:rPr>
                <w:noProof/>
                <w:webHidden/>
              </w:rPr>
            </w:r>
            <w:r w:rsidRPr="00B450EB">
              <w:rPr>
                <w:noProof/>
                <w:webHidden/>
              </w:rPr>
              <w:fldChar w:fldCharType="separate"/>
            </w:r>
            <w:r w:rsidR="0004413E" w:rsidRPr="00B450EB">
              <w:rPr>
                <w:noProof/>
                <w:webHidden/>
              </w:rPr>
              <w:t>317</w:t>
            </w:r>
            <w:r w:rsidRPr="00B450EB">
              <w:rPr>
                <w:noProof/>
                <w:webHidden/>
              </w:rPr>
              <w:fldChar w:fldCharType="end"/>
            </w:r>
          </w:hyperlink>
        </w:p>
        <w:p w14:paraId="2D2CDD00" w14:textId="290C9EFA" w:rsidR="00A55C3C" w:rsidRPr="00B450EB" w:rsidRDefault="00A55C3C">
          <w:pPr>
            <w:pStyle w:val="TDC1"/>
            <w:tabs>
              <w:tab w:val="left" w:pos="660"/>
              <w:tab w:val="right" w:leader="dot" w:pos="8828"/>
            </w:tabs>
            <w:rPr>
              <w:rFonts w:asciiTheme="minorHAnsi" w:eastAsiaTheme="minorEastAsia" w:hAnsiTheme="minorHAnsi"/>
              <w:noProof/>
              <w:sz w:val="22"/>
              <w:szCs w:val="22"/>
              <w:lang w:eastAsia="es-CO"/>
            </w:rPr>
          </w:pPr>
          <w:hyperlink w:anchor="_Toc209722983" w:history="1">
            <w:r w:rsidRPr="00B450EB">
              <w:rPr>
                <w:rStyle w:val="Hipervnculo"/>
                <w:rFonts w:cs="Arial"/>
                <w:noProof/>
              </w:rPr>
              <w:t>15.</w:t>
            </w:r>
            <w:r w:rsidRPr="00B450EB">
              <w:rPr>
                <w:rFonts w:asciiTheme="minorHAnsi" w:eastAsiaTheme="minorEastAsia" w:hAnsiTheme="minorHAnsi"/>
                <w:noProof/>
                <w:sz w:val="22"/>
                <w:szCs w:val="22"/>
                <w:lang w:eastAsia="es-CO"/>
              </w:rPr>
              <w:tab/>
            </w:r>
            <w:r w:rsidRPr="00B450EB">
              <w:rPr>
                <w:rStyle w:val="Hipervnculo"/>
                <w:rFonts w:cs="Arial"/>
                <w:noProof/>
              </w:rPr>
              <w:t>ANEXOS</w:t>
            </w:r>
            <w:r w:rsidRPr="00B450EB">
              <w:rPr>
                <w:noProof/>
                <w:webHidden/>
              </w:rPr>
              <w:tab/>
            </w:r>
            <w:r w:rsidRPr="00B450EB">
              <w:rPr>
                <w:noProof/>
                <w:webHidden/>
              </w:rPr>
              <w:fldChar w:fldCharType="begin"/>
            </w:r>
            <w:r w:rsidRPr="00B450EB">
              <w:rPr>
                <w:noProof/>
                <w:webHidden/>
              </w:rPr>
              <w:instrText xml:space="preserve"> PAGEREF _Toc209722983 \h </w:instrText>
            </w:r>
            <w:r w:rsidRPr="00B450EB">
              <w:rPr>
                <w:noProof/>
                <w:webHidden/>
              </w:rPr>
            </w:r>
            <w:r w:rsidRPr="00B450EB">
              <w:rPr>
                <w:noProof/>
                <w:webHidden/>
              </w:rPr>
              <w:fldChar w:fldCharType="separate"/>
            </w:r>
            <w:r w:rsidR="0004413E" w:rsidRPr="00B450EB">
              <w:rPr>
                <w:noProof/>
                <w:webHidden/>
              </w:rPr>
              <w:t>334</w:t>
            </w:r>
            <w:r w:rsidRPr="00B450EB">
              <w:rPr>
                <w:noProof/>
                <w:webHidden/>
              </w:rPr>
              <w:fldChar w:fldCharType="end"/>
            </w:r>
          </w:hyperlink>
        </w:p>
        <w:p w14:paraId="0C64B646" w14:textId="6E024830" w:rsidR="00EC5AB0" w:rsidRPr="00B450EB" w:rsidRDefault="00EC5AB0" w:rsidP="00CA4E02">
          <w:r w:rsidRPr="00B450EB">
            <w:rPr>
              <w:lang w:val="es-ES"/>
            </w:rPr>
            <w:lastRenderedPageBreak/>
            <w:fldChar w:fldCharType="end"/>
          </w:r>
        </w:p>
      </w:sdtContent>
    </w:sdt>
    <w:p w14:paraId="300871B2" w14:textId="5BA4762F" w:rsidR="009032C5" w:rsidRPr="00B450EB" w:rsidRDefault="00D9215D" w:rsidP="00D9215D">
      <w:pPr>
        <w:tabs>
          <w:tab w:val="left" w:pos="694"/>
        </w:tabs>
        <w:spacing w:line="259" w:lineRule="auto"/>
        <w:ind w:right="-93"/>
        <w:jc w:val="center"/>
        <w:rPr>
          <w:rFonts w:cs="Arial"/>
          <w:b/>
          <w:bCs/>
          <w:sz w:val="28"/>
          <w:szCs w:val="28"/>
        </w:rPr>
      </w:pPr>
      <w:r w:rsidRPr="00B450EB">
        <w:rPr>
          <w:rFonts w:cs="Arial"/>
          <w:b/>
          <w:bCs/>
          <w:sz w:val="28"/>
          <w:szCs w:val="28"/>
        </w:rPr>
        <w:t>Listado de Tablas</w:t>
      </w:r>
    </w:p>
    <w:p w14:paraId="29C0DCB0" w14:textId="48207F59" w:rsidR="00CA4E02" w:rsidRPr="00B450EB" w:rsidRDefault="00DE6F01">
      <w:pPr>
        <w:pStyle w:val="Tabladeilustraciones"/>
        <w:tabs>
          <w:tab w:val="right" w:leader="dot" w:pos="8828"/>
        </w:tabs>
        <w:rPr>
          <w:rFonts w:asciiTheme="minorHAnsi" w:eastAsiaTheme="minorEastAsia" w:hAnsiTheme="minorHAnsi"/>
          <w:noProof/>
          <w:sz w:val="22"/>
          <w:szCs w:val="22"/>
          <w:lang w:eastAsia="es-CO"/>
        </w:rPr>
      </w:pPr>
      <w:r w:rsidRPr="00B450EB">
        <w:rPr>
          <w:rFonts w:cs="Arial"/>
          <w:b/>
          <w:bCs/>
          <w:sz w:val="28"/>
          <w:szCs w:val="28"/>
        </w:rPr>
        <w:fldChar w:fldCharType="begin"/>
      </w:r>
      <w:r w:rsidRPr="00B450EB">
        <w:rPr>
          <w:rFonts w:cs="Arial"/>
          <w:b/>
          <w:bCs/>
          <w:sz w:val="28"/>
          <w:szCs w:val="28"/>
        </w:rPr>
        <w:instrText xml:space="preserve"> TOC \h \z \c "Tabla" </w:instrText>
      </w:r>
      <w:r w:rsidRPr="00B450EB">
        <w:rPr>
          <w:rFonts w:cs="Arial"/>
          <w:b/>
          <w:bCs/>
          <w:sz w:val="28"/>
          <w:szCs w:val="28"/>
        </w:rPr>
        <w:fldChar w:fldCharType="separate"/>
      </w:r>
      <w:hyperlink w:anchor="_Toc209722984" w:history="1">
        <w:r w:rsidR="00CA4E02" w:rsidRPr="00B450EB">
          <w:rPr>
            <w:rStyle w:val="Hipervnculo"/>
            <w:noProof/>
          </w:rPr>
          <w:t>Tabla 1. Áreas nacionales de la cuenca Amazónica según criterios hidrológicos, ecológicos y político - administrativos</w:t>
        </w:r>
        <w:r w:rsidR="00CA4E02" w:rsidRPr="00B450EB">
          <w:rPr>
            <w:noProof/>
            <w:webHidden/>
          </w:rPr>
          <w:tab/>
        </w:r>
        <w:r w:rsidR="00CA4E02" w:rsidRPr="00B450EB">
          <w:rPr>
            <w:noProof/>
            <w:webHidden/>
          </w:rPr>
          <w:fldChar w:fldCharType="begin"/>
        </w:r>
        <w:r w:rsidR="00CA4E02" w:rsidRPr="00B450EB">
          <w:rPr>
            <w:noProof/>
            <w:webHidden/>
          </w:rPr>
          <w:instrText xml:space="preserve"> PAGEREF _Toc209722984 \h </w:instrText>
        </w:r>
        <w:r w:rsidR="00CA4E02" w:rsidRPr="00B450EB">
          <w:rPr>
            <w:noProof/>
            <w:webHidden/>
          </w:rPr>
        </w:r>
        <w:r w:rsidR="00CA4E02" w:rsidRPr="00B450EB">
          <w:rPr>
            <w:noProof/>
            <w:webHidden/>
          </w:rPr>
          <w:fldChar w:fldCharType="separate"/>
        </w:r>
        <w:r w:rsidR="00CA4E02" w:rsidRPr="00B450EB">
          <w:rPr>
            <w:noProof/>
            <w:webHidden/>
          </w:rPr>
          <w:t>27</w:t>
        </w:r>
        <w:r w:rsidR="00CA4E02" w:rsidRPr="00B450EB">
          <w:rPr>
            <w:noProof/>
            <w:webHidden/>
          </w:rPr>
          <w:fldChar w:fldCharType="end"/>
        </w:r>
      </w:hyperlink>
    </w:p>
    <w:p w14:paraId="66DF14B1" w14:textId="4206ADA2"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85" w:history="1">
        <w:r w:rsidRPr="00B450EB">
          <w:rPr>
            <w:rStyle w:val="Hipervnculo"/>
            <w:rFonts w:eastAsia="Arial" w:cs="Arial"/>
            <w:noProof/>
          </w:rPr>
          <w:t>Tabla 2 Relación de Áreas protegidas del SINAP</w:t>
        </w:r>
        <w:r w:rsidRPr="00B450EB">
          <w:rPr>
            <w:noProof/>
            <w:webHidden/>
          </w:rPr>
          <w:tab/>
        </w:r>
        <w:r w:rsidRPr="00B450EB">
          <w:rPr>
            <w:noProof/>
            <w:webHidden/>
          </w:rPr>
          <w:fldChar w:fldCharType="begin"/>
        </w:r>
        <w:r w:rsidRPr="00B450EB">
          <w:rPr>
            <w:noProof/>
            <w:webHidden/>
          </w:rPr>
          <w:instrText xml:space="preserve"> PAGEREF _Toc209722985 \h </w:instrText>
        </w:r>
        <w:r w:rsidRPr="00B450EB">
          <w:rPr>
            <w:noProof/>
            <w:webHidden/>
          </w:rPr>
        </w:r>
        <w:r w:rsidRPr="00B450EB">
          <w:rPr>
            <w:noProof/>
            <w:webHidden/>
          </w:rPr>
          <w:fldChar w:fldCharType="separate"/>
        </w:r>
        <w:r w:rsidRPr="00B450EB">
          <w:rPr>
            <w:noProof/>
            <w:webHidden/>
          </w:rPr>
          <w:t>32</w:t>
        </w:r>
        <w:r w:rsidRPr="00B450EB">
          <w:rPr>
            <w:noProof/>
            <w:webHidden/>
          </w:rPr>
          <w:fldChar w:fldCharType="end"/>
        </w:r>
      </w:hyperlink>
    </w:p>
    <w:p w14:paraId="1729B274" w14:textId="511D4CD1"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86" w:history="1">
        <w:r w:rsidRPr="00B450EB">
          <w:rPr>
            <w:rStyle w:val="Hipervnculo"/>
            <w:noProof/>
          </w:rPr>
          <w:t>Tabla 3 Relación de los POMCAS y su estado de formulación</w:t>
        </w:r>
        <w:r w:rsidRPr="00B450EB">
          <w:rPr>
            <w:noProof/>
            <w:webHidden/>
          </w:rPr>
          <w:tab/>
        </w:r>
        <w:r w:rsidRPr="00B450EB">
          <w:rPr>
            <w:noProof/>
            <w:webHidden/>
          </w:rPr>
          <w:fldChar w:fldCharType="begin"/>
        </w:r>
        <w:r w:rsidRPr="00B450EB">
          <w:rPr>
            <w:noProof/>
            <w:webHidden/>
          </w:rPr>
          <w:instrText xml:space="preserve"> PAGEREF _Toc209722986 \h </w:instrText>
        </w:r>
        <w:r w:rsidRPr="00B450EB">
          <w:rPr>
            <w:noProof/>
            <w:webHidden/>
          </w:rPr>
        </w:r>
        <w:r w:rsidRPr="00B450EB">
          <w:rPr>
            <w:noProof/>
            <w:webHidden/>
          </w:rPr>
          <w:fldChar w:fldCharType="separate"/>
        </w:r>
        <w:r w:rsidRPr="00B450EB">
          <w:rPr>
            <w:noProof/>
            <w:webHidden/>
          </w:rPr>
          <w:t>40</w:t>
        </w:r>
        <w:r w:rsidRPr="00B450EB">
          <w:rPr>
            <w:noProof/>
            <w:webHidden/>
          </w:rPr>
          <w:fldChar w:fldCharType="end"/>
        </w:r>
      </w:hyperlink>
    </w:p>
    <w:p w14:paraId="35AFD20D" w14:textId="2EA21FA4"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87" w:history="1">
        <w:r w:rsidRPr="00B450EB">
          <w:rPr>
            <w:rStyle w:val="Hipervnculo"/>
            <w:noProof/>
          </w:rPr>
          <w:t>Tabla 4. Índices hidrológicos del Bioma Amazónico a nivel nacional</w:t>
        </w:r>
        <w:r w:rsidRPr="00B450EB">
          <w:rPr>
            <w:noProof/>
            <w:webHidden/>
          </w:rPr>
          <w:tab/>
        </w:r>
        <w:r w:rsidRPr="00B450EB">
          <w:rPr>
            <w:noProof/>
            <w:webHidden/>
          </w:rPr>
          <w:fldChar w:fldCharType="begin"/>
        </w:r>
        <w:r w:rsidRPr="00B450EB">
          <w:rPr>
            <w:noProof/>
            <w:webHidden/>
          </w:rPr>
          <w:instrText xml:space="preserve"> PAGEREF _Toc209722987 \h </w:instrText>
        </w:r>
        <w:r w:rsidRPr="00B450EB">
          <w:rPr>
            <w:noProof/>
            <w:webHidden/>
          </w:rPr>
        </w:r>
        <w:r w:rsidRPr="00B450EB">
          <w:rPr>
            <w:noProof/>
            <w:webHidden/>
          </w:rPr>
          <w:fldChar w:fldCharType="separate"/>
        </w:r>
        <w:r w:rsidRPr="00B450EB">
          <w:rPr>
            <w:noProof/>
            <w:webHidden/>
          </w:rPr>
          <w:t>67</w:t>
        </w:r>
        <w:r w:rsidRPr="00B450EB">
          <w:rPr>
            <w:noProof/>
            <w:webHidden/>
          </w:rPr>
          <w:fldChar w:fldCharType="end"/>
        </w:r>
      </w:hyperlink>
    </w:p>
    <w:p w14:paraId="351A0242" w14:textId="677ABFA4"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88" w:history="1">
        <w:r w:rsidRPr="00B450EB">
          <w:rPr>
            <w:rStyle w:val="Hipervnculo"/>
            <w:noProof/>
          </w:rPr>
          <w:t>Tabla.5 Inventario de puntos de agua.</w:t>
        </w:r>
        <w:r w:rsidRPr="00B450EB">
          <w:rPr>
            <w:noProof/>
            <w:webHidden/>
          </w:rPr>
          <w:tab/>
        </w:r>
        <w:r w:rsidRPr="00B450EB">
          <w:rPr>
            <w:noProof/>
            <w:webHidden/>
          </w:rPr>
          <w:fldChar w:fldCharType="begin"/>
        </w:r>
        <w:r w:rsidRPr="00B450EB">
          <w:rPr>
            <w:noProof/>
            <w:webHidden/>
          </w:rPr>
          <w:instrText xml:space="preserve"> PAGEREF _Toc209722988 \h </w:instrText>
        </w:r>
        <w:r w:rsidRPr="00B450EB">
          <w:rPr>
            <w:noProof/>
            <w:webHidden/>
          </w:rPr>
        </w:r>
        <w:r w:rsidRPr="00B450EB">
          <w:rPr>
            <w:noProof/>
            <w:webHidden/>
          </w:rPr>
          <w:fldChar w:fldCharType="separate"/>
        </w:r>
        <w:r w:rsidRPr="00B450EB">
          <w:rPr>
            <w:noProof/>
            <w:webHidden/>
          </w:rPr>
          <w:t>82</w:t>
        </w:r>
        <w:r w:rsidRPr="00B450EB">
          <w:rPr>
            <w:noProof/>
            <w:webHidden/>
          </w:rPr>
          <w:fldChar w:fldCharType="end"/>
        </w:r>
      </w:hyperlink>
    </w:p>
    <w:p w14:paraId="41D56708" w14:textId="7C2AAD9C"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89" w:history="1">
        <w:r w:rsidRPr="00B450EB">
          <w:rPr>
            <w:rStyle w:val="Hipervnculo"/>
            <w:noProof/>
          </w:rPr>
          <w:t xml:space="preserve">Tabla </w:t>
        </w:r>
        <w:r w:rsidRPr="00B450EB">
          <w:rPr>
            <w:rStyle w:val="Hipervnculo"/>
            <w:b/>
            <w:noProof/>
          </w:rPr>
          <w:t>6</w:t>
        </w:r>
        <w:r w:rsidRPr="00B450EB">
          <w:rPr>
            <w:rStyle w:val="Hipervnculo"/>
            <w:noProof/>
          </w:rPr>
          <w:t>. Comparación de las Coberturas de la tierra 2022 (IDEAM, 2025); 2024 (SINCHI, 2024) en el bioma amazónico.</w:t>
        </w:r>
        <w:r w:rsidRPr="00B450EB">
          <w:rPr>
            <w:noProof/>
            <w:webHidden/>
          </w:rPr>
          <w:tab/>
        </w:r>
        <w:r w:rsidRPr="00B450EB">
          <w:rPr>
            <w:noProof/>
            <w:webHidden/>
          </w:rPr>
          <w:fldChar w:fldCharType="begin"/>
        </w:r>
        <w:r w:rsidRPr="00B450EB">
          <w:rPr>
            <w:noProof/>
            <w:webHidden/>
          </w:rPr>
          <w:instrText xml:space="preserve"> PAGEREF _Toc209722989 \h </w:instrText>
        </w:r>
        <w:r w:rsidRPr="00B450EB">
          <w:rPr>
            <w:noProof/>
            <w:webHidden/>
          </w:rPr>
        </w:r>
        <w:r w:rsidRPr="00B450EB">
          <w:rPr>
            <w:noProof/>
            <w:webHidden/>
          </w:rPr>
          <w:fldChar w:fldCharType="separate"/>
        </w:r>
        <w:r w:rsidRPr="00B450EB">
          <w:rPr>
            <w:noProof/>
            <w:webHidden/>
          </w:rPr>
          <w:t>108</w:t>
        </w:r>
        <w:r w:rsidRPr="00B450EB">
          <w:rPr>
            <w:noProof/>
            <w:webHidden/>
          </w:rPr>
          <w:fldChar w:fldCharType="end"/>
        </w:r>
      </w:hyperlink>
    </w:p>
    <w:p w14:paraId="32DE7B91" w14:textId="57DF43E8"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0" w:history="1">
        <w:r w:rsidRPr="00B450EB">
          <w:rPr>
            <w:rStyle w:val="Hipervnculo"/>
            <w:noProof/>
          </w:rPr>
          <w:t>Tabla 7. Riqueza por departamento del Bioma Amazónico</w:t>
        </w:r>
        <w:r w:rsidRPr="00B450EB">
          <w:rPr>
            <w:noProof/>
            <w:webHidden/>
          </w:rPr>
          <w:tab/>
        </w:r>
        <w:r w:rsidRPr="00B450EB">
          <w:rPr>
            <w:noProof/>
            <w:webHidden/>
          </w:rPr>
          <w:fldChar w:fldCharType="begin"/>
        </w:r>
        <w:r w:rsidRPr="00B450EB">
          <w:rPr>
            <w:noProof/>
            <w:webHidden/>
          </w:rPr>
          <w:instrText xml:space="preserve"> PAGEREF _Toc209722990 \h </w:instrText>
        </w:r>
        <w:r w:rsidRPr="00B450EB">
          <w:rPr>
            <w:noProof/>
            <w:webHidden/>
          </w:rPr>
        </w:r>
        <w:r w:rsidRPr="00B450EB">
          <w:rPr>
            <w:noProof/>
            <w:webHidden/>
          </w:rPr>
          <w:fldChar w:fldCharType="separate"/>
        </w:r>
        <w:r w:rsidRPr="00B450EB">
          <w:rPr>
            <w:noProof/>
            <w:webHidden/>
          </w:rPr>
          <w:t>114</w:t>
        </w:r>
        <w:r w:rsidRPr="00B450EB">
          <w:rPr>
            <w:noProof/>
            <w:webHidden/>
          </w:rPr>
          <w:fldChar w:fldCharType="end"/>
        </w:r>
      </w:hyperlink>
    </w:p>
    <w:p w14:paraId="1C374577" w14:textId="3E356C1A"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1" w:history="1">
        <w:r w:rsidRPr="00B450EB">
          <w:rPr>
            <w:rStyle w:val="Hipervnculo"/>
            <w:noProof/>
          </w:rPr>
          <w:t>Tabla 8. Número de especies por departamento</w:t>
        </w:r>
        <w:r w:rsidRPr="00B450EB">
          <w:rPr>
            <w:noProof/>
            <w:webHidden/>
          </w:rPr>
          <w:tab/>
        </w:r>
        <w:r w:rsidRPr="00B450EB">
          <w:rPr>
            <w:noProof/>
            <w:webHidden/>
          </w:rPr>
          <w:fldChar w:fldCharType="begin"/>
        </w:r>
        <w:r w:rsidRPr="00B450EB">
          <w:rPr>
            <w:noProof/>
            <w:webHidden/>
          </w:rPr>
          <w:instrText xml:space="preserve"> PAGEREF _Toc209722991 \h </w:instrText>
        </w:r>
        <w:r w:rsidRPr="00B450EB">
          <w:rPr>
            <w:noProof/>
            <w:webHidden/>
          </w:rPr>
        </w:r>
        <w:r w:rsidRPr="00B450EB">
          <w:rPr>
            <w:noProof/>
            <w:webHidden/>
          </w:rPr>
          <w:fldChar w:fldCharType="separate"/>
        </w:r>
        <w:r w:rsidRPr="00B450EB">
          <w:rPr>
            <w:noProof/>
            <w:webHidden/>
          </w:rPr>
          <w:t>115</w:t>
        </w:r>
        <w:r w:rsidRPr="00B450EB">
          <w:rPr>
            <w:noProof/>
            <w:webHidden/>
          </w:rPr>
          <w:fldChar w:fldCharType="end"/>
        </w:r>
      </w:hyperlink>
    </w:p>
    <w:p w14:paraId="0F70AD44" w14:textId="7911EB86"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2" w:history="1">
        <w:r w:rsidRPr="00B450EB">
          <w:rPr>
            <w:rStyle w:val="Hipervnculo"/>
            <w:noProof/>
          </w:rPr>
          <w:t>Tabla 9. Número de especies registradas en categoría de amenaza flora</w:t>
        </w:r>
        <w:r w:rsidRPr="00B450EB">
          <w:rPr>
            <w:noProof/>
            <w:webHidden/>
          </w:rPr>
          <w:tab/>
        </w:r>
        <w:r w:rsidRPr="00B450EB">
          <w:rPr>
            <w:noProof/>
            <w:webHidden/>
          </w:rPr>
          <w:fldChar w:fldCharType="begin"/>
        </w:r>
        <w:r w:rsidRPr="00B450EB">
          <w:rPr>
            <w:noProof/>
            <w:webHidden/>
          </w:rPr>
          <w:instrText xml:space="preserve"> PAGEREF _Toc209722992 \h </w:instrText>
        </w:r>
        <w:r w:rsidRPr="00B450EB">
          <w:rPr>
            <w:noProof/>
            <w:webHidden/>
          </w:rPr>
        </w:r>
        <w:r w:rsidRPr="00B450EB">
          <w:rPr>
            <w:noProof/>
            <w:webHidden/>
          </w:rPr>
          <w:fldChar w:fldCharType="separate"/>
        </w:r>
        <w:r w:rsidRPr="00B450EB">
          <w:rPr>
            <w:noProof/>
            <w:webHidden/>
          </w:rPr>
          <w:t>116</w:t>
        </w:r>
        <w:r w:rsidRPr="00B450EB">
          <w:rPr>
            <w:noProof/>
            <w:webHidden/>
          </w:rPr>
          <w:fldChar w:fldCharType="end"/>
        </w:r>
      </w:hyperlink>
    </w:p>
    <w:p w14:paraId="70B3C4AB" w14:textId="4F6E78C6"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3" w:history="1">
        <w:r w:rsidRPr="00B450EB">
          <w:rPr>
            <w:rStyle w:val="Hipervnculo"/>
            <w:noProof/>
          </w:rPr>
          <w:t>Tabla 10. Especies de flora en categoría de amenaza en bioma amazónico.</w:t>
        </w:r>
        <w:r w:rsidRPr="00B450EB">
          <w:rPr>
            <w:noProof/>
            <w:webHidden/>
          </w:rPr>
          <w:tab/>
        </w:r>
        <w:r w:rsidRPr="00B450EB">
          <w:rPr>
            <w:noProof/>
            <w:webHidden/>
          </w:rPr>
          <w:fldChar w:fldCharType="begin"/>
        </w:r>
        <w:r w:rsidRPr="00B450EB">
          <w:rPr>
            <w:noProof/>
            <w:webHidden/>
          </w:rPr>
          <w:instrText xml:space="preserve"> PAGEREF _Toc209722993 \h </w:instrText>
        </w:r>
        <w:r w:rsidRPr="00B450EB">
          <w:rPr>
            <w:noProof/>
            <w:webHidden/>
          </w:rPr>
        </w:r>
        <w:r w:rsidRPr="00B450EB">
          <w:rPr>
            <w:noProof/>
            <w:webHidden/>
          </w:rPr>
          <w:fldChar w:fldCharType="separate"/>
        </w:r>
        <w:r w:rsidRPr="00B450EB">
          <w:rPr>
            <w:noProof/>
            <w:webHidden/>
          </w:rPr>
          <w:t>116</w:t>
        </w:r>
        <w:r w:rsidRPr="00B450EB">
          <w:rPr>
            <w:noProof/>
            <w:webHidden/>
          </w:rPr>
          <w:fldChar w:fldCharType="end"/>
        </w:r>
      </w:hyperlink>
    </w:p>
    <w:p w14:paraId="3B8CD273" w14:textId="2BC5E47F"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4" w:history="1">
        <w:r w:rsidRPr="00B450EB">
          <w:rPr>
            <w:rStyle w:val="Hipervnculo"/>
            <w:noProof/>
          </w:rPr>
          <w:t>Tabla 11. Características de amenaza de especies En Peligro Critico bioma amazónico.</w:t>
        </w:r>
        <w:r w:rsidRPr="00B450EB">
          <w:rPr>
            <w:noProof/>
            <w:webHidden/>
          </w:rPr>
          <w:tab/>
        </w:r>
        <w:r w:rsidRPr="00B450EB">
          <w:rPr>
            <w:noProof/>
            <w:webHidden/>
          </w:rPr>
          <w:fldChar w:fldCharType="begin"/>
        </w:r>
        <w:r w:rsidRPr="00B450EB">
          <w:rPr>
            <w:noProof/>
            <w:webHidden/>
          </w:rPr>
          <w:instrText xml:space="preserve"> PAGEREF _Toc209722994 \h </w:instrText>
        </w:r>
        <w:r w:rsidRPr="00B450EB">
          <w:rPr>
            <w:noProof/>
            <w:webHidden/>
          </w:rPr>
        </w:r>
        <w:r w:rsidRPr="00B450EB">
          <w:rPr>
            <w:noProof/>
            <w:webHidden/>
          </w:rPr>
          <w:fldChar w:fldCharType="separate"/>
        </w:r>
        <w:r w:rsidRPr="00B450EB">
          <w:rPr>
            <w:noProof/>
            <w:webHidden/>
          </w:rPr>
          <w:t>118</w:t>
        </w:r>
        <w:r w:rsidRPr="00B450EB">
          <w:rPr>
            <w:noProof/>
            <w:webHidden/>
          </w:rPr>
          <w:fldChar w:fldCharType="end"/>
        </w:r>
      </w:hyperlink>
    </w:p>
    <w:p w14:paraId="24726936" w14:textId="2876F5CA"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5" w:history="1">
        <w:r w:rsidRPr="00B450EB">
          <w:rPr>
            <w:rStyle w:val="Hipervnculo"/>
            <w:noProof/>
          </w:rPr>
          <w:t>Tabla 12 Especies de fauna terrestre registradas como endémicas para Colombia</w:t>
        </w:r>
        <w:r w:rsidRPr="00B450EB">
          <w:rPr>
            <w:noProof/>
            <w:webHidden/>
          </w:rPr>
          <w:tab/>
        </w:r>
        <w:r w:rsidRPr="00B450EB">
          <w:rPr>
            <w:noProof/>
            <w:webHidden/>
          </w:rPr>
          <w:fldChar w:fldCharType="begin"/>
        </w:r>
        <w:r w:rsidRPr="00B450EB">
          <w:rPr>
            <w:noProof/>
            <w:webHidden/>
          </w:rPr>
          <w:instrText xml:space="preserve"> PAGEREF _Toc209722995 \h </w:instrText>
        </w:r>
        <w:r w:rsidRPr="00B450EB">
          <w:rPr>
            <w:noProof/>
            <w:webHidden/>
          </w:rPr>
        </w:r>
        <w:r w:rsidRPr="00B450EB">
          <w:rPr>
            <w:noProof/>
            <w:webHidden/>
          </w:rPr>
          <w:fldChar w:fldCharType="separate"/>
        </w:r>
        <w:r w:rsidRPr="00B450EB">
          <w:rPr>
            <w:noProof/>
            <w:webHidden/>
          </w:rPr>
          <w:t>131</w:t>
        </w:r>
        <w:r w:rsidRPr="00B450EB">
          <w:rPr>
            <w:noProof/>
            <w:webHidden/>
          </w:rPr>
          <w:fldChar w:fldCharType="end"/>
        </w:r>
      </w:hyperlink>
    </w:p>
    <w:p w14:paraId="543AF184" w14:textId="21F0BDC8"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6" w:history="1">
        <w:r w:rsidRPr="00B450EB">
          <w:rPr>
            <w:rStyle w:val="Hipervnculo"/>
            <w:noProof/>
          </w:rPr>
          <w:t>Tabla 13. Especies de fauna registradas en la Amazonía colombiana y categoría de amenaza global y nacional</w:t>
        </w:r>
        <w:r w:rsidRPr="00B450EB">
          <w:rPr>
            <w:noProof/>
            <w:webHidden/>
          </w:rPr>
          <w:tab/>
        </w:r>
        <w:r w:rsidRPr="00B450EB">
          <w:rPr>
            <w:noProof/>
            <w:webHidden/>
          </w:rPr>
          <w:fldChar w:fldCharType="begin"/>
        </w:r>
        <w:r w:rsidRPr="00B450EB">
          <w:rPr>
            <w:noProof/>
            <w:webHidden/>
          </w:rPr>
          <w:instrText xml:space="preserve"> PAGEREF _Toc209722996 \h </w:instrText>
        </w:r>
        <w:r w:rsidRPr="00B450EB">
          <w:rPr>
            <w:noProof/>
            <w:webHidden/>
          </w:rPr>
        </w:r>
        <w:r w:rsidRPr="00B450EB">
          <w:rPr>
            <w:noProof/>
            <w:webHidden/>
          </w:rPr>
          <w:fldChar w:fldCharType="separate"/>
        </w:r>
        <w:r w:rsidRPr="00B450EB">
          <w:rPr>
            <w:noProof/>
            <w:webHidden/>
          </w:rPr>
          <w:t>133</w:t>
        </w:r>
        <w:r w:rsidRPr="00B450EB">
          <w:rPr>
            <w:noProof/>
            <w:webHidden/>
          </w:rPr>
          <w:fldChar w:fldCharType="end"/>
        </w:r>
      </w:hyperlink>
    </w:p>
    <w:p w14:paraId="745037EE" w14:textId="6BE2FD51"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7" w:history="1">
        <w:r w:rsidRPr="00B450EB">
          <w:rPr>
            <w:rStyle w:val="Hipervnculo"/>
            <w:rFonts w:cs="Arial"/>
            <w:noProof/>
          </w:rPr>
          <w:t xml:space="preserve">Tabla </w:t>
        </w:r>
        <w:r w:rsidRPr="00B450EB">
          <w:rPr>
            <w:rStyle w:val="Hipervnculo"/>
            <w:noProof/>
          </w:rPr>
          <w:t>14.</w:t>
        </w:r>
        <w:r w:rsidRPr="00B450EB">
          <w:rPr>
            <w:rStyle w:val="Hipervnculo"/>
            <w:rFonts w:cs="Arial"/>
            <w:noProof/>
          </w:rPr>
          <w:t xml:space="preserve"> Estudios revisados de conectividad ecológica en la Amazonía colombiana</w:t>
        </w:r>
        <w:r w:rsidRPr="00B450EB">
          <w:rPr>
            <w:noProof/>
            <w:webHidden/>
          </w:rPr>
          <w:tab/>
        </w:r>
        <w:r w:rsidRPr="00B450EB">
          <w:rPr>
            <w:noProof/>
            <w:webHidden/>
          </w:rPr>
          <w:fldChar w:fldCharType="begin"/>
        </w:r>
        <w:r w:rsidRPr="00B450EB">
          <w:rPr>
            <w:noProof/>
            <w:webHidden/>
          </w:rPr>
          <w:instrText xml:space="preserve"> PAGEREF _Toc209722997 \h </w:instrText>
        </w:r>
        <w:r w:rsidRPr="00B450EB">
          <w:rPr>
            <w:noProof/>
            <w:webHidden/>
          </w:rPr>
        </w:r>
        <w:r w:rsidRPr="00B450EB">
          <w:rPr>
            <w:noProof/>
            <w:webHidden/>
          </w:rPr>
          <w:fldChar w:fldCharType="separate"/>
        </w:r>
        <w:r w:rsidRPr="00B450EB">
          <w:rPr>
            <w:noProof/>
            <w:webHidden/>
          </w:rPr>
          <w:t>141</w:t>
        </w:r>
        <w:r w:rsidRPr="00B450EB">
          <w:rPr>
            <w:noProof/>
            <w:webHidden/>
          </w:rPr>
          <w:fldChar w:fldCharType="end"/>
        </w:r>
      </w:hyperlink>
    </w:p>
    <w:p w14:paraId="447EA3A4" w14:textId="1DDF70D7"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8" w:history="1">
        <w:r w:rsidRPr="00B450EB">
          <w:rPr>
            <w:rStyle w:val="Hipervnculo"/>
            <w:noProof/>
          </w:rPr>
          <w:t>Tabla 15. Población, densidad y estructura demográfica en departamentos del Bioma Amazónico Colombiano</w:t>
        </w:r>
        <w:r w:rsidRPr="00B450EB">
          <w:rPr>
            <w:noProof/>
            <w:webHidden/>
          </w:rPr>
          <w:tab/>
        </w:r>
        <w:r w:rsidRPr="00B450EB">
          <w:rPr>
            <w:noProof/>
            <w:webHidden/>
          </w:rPr>
          <w:fldChar w:fldCharType="begin"/>
        </w:r>
        <w:r w:rsidRPr="00B450EB">
          <w:rPr>
            <w:noProof/>
            <w:webHidden/>
          </w:rPr>
          <w:instrText xml:space="preserve"> PAGEREF _Toc209722998 \h </w:instrText>
        </w:r>
        <w:r w:rsidRPr="00B450EB">
          <w:rPr>
            <w:noProof/>
            <w:webHidden/>
          </w:rPr>
        </w:r>
        <w:r w:rsidRPr="00B450EB">
          <w:rPr>
            <w:noProof/>
            <w:webHidden/>
          </w:rPr>
          <w:fldChar w:fldCharType="separate"/>
        </w:r>
        <w:r w:rsidRPr="00B450EB">
          <w:rPr>
            <w:noProof/>
            <w:webHidden/>
          </w:rPr>
          <w:t>151</w:t>
        </w:r>
        <w:r w:rsidRPr="00B450EB">
          <w:rPr>
            <w:noProof/>
            <w:webHidden/>
          </w:rPr>
          <w:fldChar w:fldCharType="end"/>
        </w:r>
      </w:hyperlink>
    </w:p>
    <w:p w14:paraId="49589FEC" w14:textId="10E767CD"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2999" w:history="1">
        <w:r w:rsidRPr="00B450EB">
          <w:rPr>
            <w:rStyle w:val="Hipervnculo"/>
            <w:noProof/>
          </w:rPr>
          <w:t>Tabla 16. Población étnica por departamento en el Bioma Amazónico Colombiano</w:t>
        </w:r>
        <w:r w:rsidRPr="00B450EB">
          <w:rPr>
            <w:noProof/>
            <w:webHidden/>
          </w:rPr>
          <w:tab/>
        </w:r>
        <w:r w:rsidRPr="00B450EB">
          <w:rPr>
            <w:noProof/>
            <w:webHidden/>
          </w:rPr>
          <w:fldChar w:fldCharType="begin"/>
        </w:r>
        <w:r w:rsidRPr="00B450EB">
          <w:rPr>
            <w:noProof/>
            <w:webHidden/>
          </w:rPr>
          <w:instrText xml:space="preserve"> PAGEREF _Toc209722999 \h </w:instrText>
        </w:r>
        <w:r w:rsidRPr="00B450EB">
          <w:rPr>
            <w:noProof/>
            <w:webHidden/>
          </w:rPr>
        </w:r>
        <w:r w:rsidRPr="00B450EB">
          <w:rPr>
            <w:noProof/>
            <w:webHidden/>
          </w:rPr>
          <w:fldChar w:fldCharType="separate"/>
        </w:r>
        <w:r w:rsidRPr="00B450EB">
          <w:rPr>
            <w:noProof/>
            <w:webHidden/>
          </w:rPr>
          <w:t>152</w:t>
        </w:r>
        <w:r w:rsidRPr="00B450EB">
          <w:rPr>
            <w:noProof/>
            <w:webHidden/>
          </w:rPr>
          <w:fldChar w:fldCharType="end"/>
        </w:r>
      </w:hyperlink>
    </w:p>
    <w:p w14:paraId="67FBF64D" w14:textId="1606BD3F"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0" w:history="1">
        <w:r w:rsidRPr="00B450EB">
          <w:rPr>
            <w:rStyle w:val="Hipervnculo"/>
            <w:noProof/>
          </w:rPr>
          <w:t>Tabla 17. Cobertura de servicios públicos básicos en los departamentos del Bioma Amazónico Colombiano frente al promedio nacional</w:t>
        </w:r>
        <w:r w:rsidRPr="00B450EB">
          <w:rPr>
            <w:noProof/>
            <w:webHidden/>
          </w:rPr>
          <w:tab/>
        </w:r>
        <w:r w:rsidRPr="00B450EB">
          <w:rPr>
            <w:noProof/>
            <w:webHidden/>
          </w:rPr>
          <w:fldChar w:fldCharType="begin"/>
        </w:r>
        <w:r w:rsidRPr="00B450EB">
          <w:rPr>
            <w:noProof/>
            <w:webHidden/>
          </w:rPr>
          <w:instrText xml:space="preserve"> PAGEREF _Toc209723000 \h </w:instrText>
        </w:r>
        <w:r w:rsidRPr="00B450EB">
          <w:rPr>
            <w:noProof/>
            <w:webHidden/>
          </w:rPr>
        </w:r>
        <w:r w:rsidRPr="00B450EB">
          <w:rPr>
            <w:noProof/>
            <w:webHidden/>
          </w:rPr>
          <w:fldChar w:fldCharType="separate"/>
        </w:r>
        <w:r w:rsidRPr="00B450EB">
          <w:rPr>
            <w:noProof/>
            <w:webHidden/>
          </w:rPr>
          <w:t>155</w:t>
        </w:r>
        <w:r w:rsidRPr="00B450EB">
          <w:rPr>
            <w:noProof/>
            <w:webHidden/>
          </w:rPr>
          <w:fldChar w:fldCharType="end"/>
        </w:r>
      </w:hyperlink>
    </w:p>
    <w:p w14:paraId="4824D272" w14:textId="48B515A8"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1" w:history="1">
        <w:r w:rsidRPr="00B450EB">
          <w:rPr>
            <w:rStyle w:val="Hipervnculo"/>
            <w:noProof/>
          </w:rPr>
          <w:t>Tabla 18. Porcentaje de PIB por actividades económicas en los departamentos del Bioma Amazónico Colombiano frente al PBI nacional</w:t>
        </w:r>
        <w:r w:rsidRPr="00B450EB">
          <w:rPr>
            <w:noProof/>
            <w:webHidden/>
          </w:rPr>
          <w:tab/>
        </w:r>
        <w:r w:rsidRPr="00B450EB">
          <w:rPr>
            <w:noProof/>
            <w:webHidden/>
          </w:rPr>
          <w:fldChar w:fldCharType="begin"/>
        </w:r>
        <w:r w:rsidRPr="00B450EB">
          <w:rPr>
            <w:noProof/>
            <w:webHidden/>
          </w:rPr>
          <w:instrText xml:space="preserve"> PAGEREF _Toc209723001 \h </w:instrText>
        </w:r>
        <w:r w:rsidRPr="00B450EB">
          <w:rPr>
            <w:noProof/>
            <w:webHidden/>
          </w:rPr>
        </w:r>
        <w:r w:rsidRPr="00B450EB">
          <w:rPr>
            <w:noProof/>
            <w:webHidden/>
          </w:rPr>
          <w:fldChar w:fldCharType="separate"/>
        </w:r>
        <w:r w:rsidRPr="00B450EB">
          <w:rPr>
            <w:noProof/>
            <w:webHidden/>
          </w:rPr>
          <w:t>157</w:t>
        </w:r>
        <w:r w:rsidRPr="00B450EB">
          <w:rPr>
            <w:noProof/>
            <w:webHidden/>
          </w:rPr>
          <w:fldChar w:fldCharType="end"/>
        </w:r>
      </w:hyperlink>
    </w:p>
    <w:p w14:paraId="47AA3D86" w14:textId="48144A0B"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2" w:history="1">
        <w:r w:rsidRPr="00B450EB">
          <w:rPr>
            <w:rStyle w:val="Hipervnculo"/>
            <w:noProof/>
          </w:rPr>
          <w:t>Tabla 19. Relación expedientes de sustracción de reserva forestal en la reserva de la Amazonía</w:t>
        </w:r>
        <w:r w:rsidRPr="00B450EB">
          <w:rPr>
            <w:noProof/>
            <w:webHidden/>
          </w:rPr>
          <w:tab/>
        </w:r>
        <w:r w:rsidRPr="00B450EB">
          <w:rPr>
            <w:noProof/>
            <w:webHidden/>
          </w:rPr>
          <w:fldChar w:fldCharType="begin"/>
        </w:r>
        <w:r w:rsidRPr="00B450EB">
          <w:rPr>
            <w:noProof/>
            <w:webHidden/>
          </w:rPr>
          <w:instrText xml:space="preserve"> PAGEREF _Toc209723002 \h </w:instrText>
        </w:r>
        <w:r w:rsidRPr="00B450EB">
          <w:rPr>
            <w:noProof/>
            <w:webHidden/>
          </w:rPr>
        </w:r>
        <w:r w:rsidRPr="00B450EB">
          <w:rPr>
            <w:noProof/>
            <w:webHidden/>
          </w:rPr>
          <w:fldChar w:fldCharType="separate"/>
        </w:r>
        <w:r w:rsidRPr="00B450EB">
          <w:rPr>
            <w:noProof/>
            <w:webHidden/>
          </w:rPr>
          <w:t>189</w:t>
        </w:r>
        <w:r w:rsidRPr="00B450EB">
          <w:rPr>
            <w:noProof/>
            <w:webHidden/>
          </w:rPr>
          <w:fldChar w:fldCharType="end"/>
        </w:r>
      </w:hyperlink>
    </w:p>
    <w:p w14:paraId="69071CE9" w14:textId="5E9BEE8C"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3" w:history="1">
        <w:r w:rsidRPr="00B450EB">
          <w:rPr>
            <w:rStyle w:val="Hipervnculo"/>
            <w:noProof/>
          </w:rPr>
          <w:t>Tabla 20. Listado de proyectos licenciados del sector de hidrocarburos por ANLA</w:t>
        </w:r>
        <w:r w:rsidRPr="00B450EB">
          <w:rPr>
            <w:noProof/>
            <w:webHidden/>
          </w:rPr>
          <w:tab/>
        </w:r>
        <w:r w:rsidRPr="00B450EB">
          <w:rPr>
            <w:noProof/>
            <w:webHidden/>
          </w:rPr>
          <w:fldChar w:fldCharType="begin"/>
        </w:r>
        <w:r w:rsidRPr="00B450EB">
          <w:rPr>
            <w:noProof/>
            <w:webHidden/>
          </w:rPr>
          <w:instrText xml:space="preserve"> PAGEREF _Toc209723003 \h </w:instrText>
        </w:r>
        <w:r w:rsidRPr="00B450EB">
          <w:rPr>
            <w:noProof/>
            <w:webHidden/>
          </w:rPr>
        </w:r>
        <w:r w:rsidRPr="00B450EB">
          <w:rPr>
            <w:noProof/>
            <w:webHidden/>
          </w:rPr>
          <w:fldChar w:fldCharType="separate"/>
        </w:r>
        <w:r w:rsidRPr="00B450EB">
          <w:rPr>
            <w:noProof/>
            <w:webHidden/>
          </w:rPr>
          <w:t>190</w:t>
        </w:r>
        <w:r w:rsidRPr="00B450EB">
          <w:rPr>
            <w:noProof/>
            <w:webHidden/>
          </w:rPr>
          <w:fldChar w:fldCharType="end"/>
        </w:r>
      </w:hyperlink>
    </w:p>
    <w:p w14:paraId="50ED11AD" w14:textId="5BB1AAA8"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4" w:history="1">
        <w:r w:rsidRPr="00B450EB">
          <w:rPr>
            <w:rStyle w:val="Hipervnculo"/>
            <w:noProof/>
          </w:rPr>
          <w:t>Tabla 21. Cruce de consejos comunitarios con proyectos licenciados de hidrocarburos activos</w:t>
        </w:r>
        <w:r w:rsidRPr="00B450EB">
          <w:rPr>
            <w:noProof/>
            <w:webHidden/>
          </w:rPr>
          <w:tab/>
        </w:r>
        <w:r w:rsidRPr="00B450EB">
          <w:rPr>
            <w:noProof/>
            <w:webHidden/>
          </w:rPr>
          <w:fldChar w:fldCharType="begin"/>
        </w:r>
        <w:r w:rsidRPr="00B450EB">
          <w:rPr>
            <w:noProof/>
            <w:webHidden/>
          </w:rPr>
          <w:instrText xml:space="preserve"> PAGEREF _Toc209723004 \h </w:instrText>
        </w:r>
        <w:r w:rsidRPr="00B450EB">
          <w:rPr>
            <w:noProof/>
            <w:webHidden/>
          </w:rPr>
        </w:r>
        <w:r w:rsidRPr="00B450EB">
          <w:rPr>
            <w:noProof/>
            <w:webHidden/>
          </w:rPr>
          <w:fldChar w:fldCharType="separate"/>
        </w:r>
        <w:r w:rsidRPr="00B450EB">
          <w:rPr>
            <w:noProof/>
            <w:webHidden/>
          </w:rPr>
          <w:t>191</w:t>
        </w:r>
        <w:r w:rsidRPr="00B450EB">
          <w:rPr>
            <w:noProof/>
            <w:webHidden/>
          </w:rPr>
          <w:fldChar w:fldCharType="end"/>
        </w:r>
      </w:hyperlink>
    </w:p>
    <w:p w14:paraId="31CBFD6E" w14:textId="34A3931A"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5" w:history="1">
        <w:r w:rsidRPr="00B450EB">
          <w:rPr>
            <w:rStyle w:val="Hipervnculo"/>
            <w:noProof/>
          </w:rPr>
          <w:t>Tabla 22. Cruce de resguardo indígenas con proyectos licenciados de hidrocarburos activos</w:t>
        </w:r>
        <w:r w:rsidRPr="00B450EB">
          <w:rPr>
            <w:noProof/>
            <w:webHidden/>
          </w:rPr>
          <w:tab/>
        </w:r>
        <w:r w:rsidRPr="00B450EB">
          <w:rPr>
            <w:noProof/>
            <w:webHidden/>
          </w:rPr>
          <w:fldChar w:fldCharType="begin"/>
        </w:r>
        <w:r w:rsidRPr="00B450EB">
          <w:rPr>
            <w:noProof/>
            <w:webHidden/>
          </w:rPr>
          <w:instrText xml:space="preserve"> PAGEREF _Toc209723005 \h </w:instrText>
        </w:r>
        <w:r w:rsidRPr="00B450EB">
          <w:rPr>
            <w:noProof/>
            <w:webHidden/>
          </w:rPr>
        </w:r>
        <w:r w:rsidRPr="00B450EB">
          <w:rPr>
            <w:noProof/>
            <w:webHidden/>
          </w:rPr>
          <w:fldChar w:fldCharType="separate"/>
        </w:r>
        <w:r w:rsidRPr="00B450EB">
          <w:rPr>
            <w:noProof/>
            <w:webHidden/>
          </w:rPr>
          <w:t>192</w:t>
        </w:r>
        <w:r w:rsidRPr="00B450EB">
          <w:rPr>
            <w:noProof/>
            <w:webHidden/>
          </w:rPr>
          <w:fldChar w:fldCharType="end"/>
        </w:r>
      </w:hyperlink>
    </w:p>
    <w:p w14:paraId="79C627CB" w14:textId="1AAD68C5"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6" w:history="1">
        <w:r w:rsidRPr="00B450EB">
          <w:rPr>
            <w:rStyle w:val="Hipervnculo"/>
            <w:noProof/>
          </w:rPr>
          <w:t>Tabla 23. Listado de Sancionatorios activos de proyectos licenciados por la ANLA</w:t>
        </w:r>
        <w:r w:rsidRPr="00B450EB">
          <w:rPr>
            <w:noProof/>
            <w:webHidden/>
          </w:rPr>
          <w:tab/>
        </w:r>
        <w:r w:rsidRPr="00B450EB">
          <w:rPr>
            <w:noProof/>
            <w:webHidden/>
          </w:rPr>
          <w:fldChar w:fldCharType="begin"/>
        </w:r>
        <w:r w:rsidRPr="00B450EB">
          <w:rPr>
            <w:noProof/>
            <w:webHidden/>
          </w:rPr>
          <w:instrText xml:space="preserve"> PAGEREF _Toc209723006 \h </w:instrText>
        </w:r>
        <w:r w:rsidRPr="00B450EB">
          <w:rPr>
            <w:noProof/>
            <w:webHidden/>
          </w:rPr>
        </w:r>
        <w:r w:rsidRPr="00B450EB">
          <w:rPr>
            <w:noProof/>
            <w:webHidden/>
          </w:rPr>
          <w:fldChar w:fldCharType="separate"/>
        </w:r>
        <w:r w:rsidRPr="00B450EB">
          <w:rPr>
            <w:noProof/>
            <w:webHidden/>
          </w:rPr>
          <w:t>200</w:t>
        </w:r>
        <w:r w:rsidRPr="00B450EB">
          <w:rPr>
            <w:noProof/>
            <w:webHidden/>
          </w:rPr>
          <w:fldChar w:fldCharType="end"/>
        </w:r>
      </w:hyperlink>
    </w:p>
    <w:p w14:paraId="41F197D9" w14:textId="016FAACC"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7" w:history="1">
        <w:r w:rsidRPr="00B450EB">
          <w:rPr>
            <w:rStyle w:val="Hipervnculo"/>
            <w:rFonts w:eastAsia="Calibri" w:cs="Arial"/>
            <w:noProof/>
          </w:rPr>
          <w:t xml:space="preserve">Tabla </w:t>
        </w:r>
        <w:r w:rsidRPr="00B450EB">
          <w:rPr>
            <w:rStyle w:val="Hipervnculo"/>
            <w:rFonts w:eastAsia="Calibri" w:cs="Arial"/>
            <w:b/>
            <w:noProof/>
          </w:rPr>
          <w:t>24</w:t>
        </w:r>
        <w:r w:rsidRPr="00B450EB">
          <w:rPr>
            <w:rStyle w:val="Hipervnculo"/>
            <w:rFonts w:eastAsia="Calibri" w:cs="Arial"/>
            <w:noProof/>
          </w:rPr>
          <w:t>. Actividades ilícitas y presencia de actores armados ilegales en los PNN</w:t>
        </w:r>
        <w:r w:rsidRPr="00B450EB">
          <w:rPr>
            <w:noProof/>
            <w:webHidden/>
          </w:rPr>
          <w:tab/>
        </w:r>
        <w:r w:rsidRPr="00B450EB">
          <w:rPr>
            <w:noProof/>
            <w:webHidden/>
          </w:rPr>
          <w:fldChar w:fldCharType="begin"/>
        </w:r>
        <w:r w:rsidRPr="00B450EB">
          <w:rPr>
            <w:noProof/>
            <w:webHidden/>
          </w:rPr>
          <w:instrText xml:space="preserve"> PAGEREF _Toc209723007 \h </w:instrText>
        </w:r>
        <w:r w:rsidRPr="00B450EB">
          <w:rPr>
            <w:noProof/>
            <w:webHidden/>
          </w:rPr>
        </w:r>
        <w:r w:rsidRPr="00B450EB">
          <w:rPr>
            <w:noProof/>
            <w:webHidden/>
          </w:rPr>
          <w:fldChar w:fldCharType="separate"/>
        </w:r>
        <w:r w:rsidRPr="00B450EB">
          <w:rPr>
            <w:noProof/>
            <w:webHidden/>
          </w:rPr>
          <w:t>211</w:t>
        </w:r>
        <w:r w:rsidRPr="00B450EB">
          <w:rPr>
            <w:noProof/>
            <w:webHidden/>
          </w:rPr>
          <w:fldChar w:fldCharType="end"/>
        </w:r>
      </w:hyperlink>
    </w:p>
    <w:p w14:paraId="6C5B3878" w14:textId="48A0F06C"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8" w:history="1">
        <w:r w:rsidRPr="00B450EB">
          <w:rPr>
            <w:rStyle w:val="Hipervnculo"/>
            <w:noProof/>
          </w:rPr>
          <w:t>Tabla 25. Principales actividades del sector de hidrocarburos</w:t>
        </w:r>
        <w:r w:rsidRPr="00B450EB">
          <w:rPr>
            <w:noProof/>
            <w:webHidden/>
          </w:rPr>
          <w:tab/>
        </w:r>
        <w:r w:rsidRPr="00B450EB">
          <w:rPr>
            <w:noProof/>
            <w:webHidden/>
          </w:rPr>
          <w:fldChar w:fldCharType="begin"/>
        </w:r>
        <w:r w:rsidRPr="00B450EB">
          <w:rPr>
            <w:noProof/>
            <w:webHidden/>
          </w:rPr>
          <w:instrText xml:space="preserve"> PAGEREF _Toc209723008 \h </w:instrText>
        </w:r>
        <w:r w:rsidRPr="00B450EB">
          <w:rPr>
            <w:noProof/>
            <w:webHidden/>
          </w:rPr>
        </w:r>
        <w:r w:rsidRPr="00B450EB">
          <w:rPr>
            <w:noProof/>
            <w:webHidden/>
          </w:rPr>
          <w:fldChar w:fldCharType="separate"/>
        </w:r>
        <w:r w:rsidRPr="00B450EB">
          <w:rPr>
            <w:noProof/>
            <w:webHidden/>
          </w:rPr>
          <w:t>228</w:t>
        </w:r>
        <w:r w:rsidRPr="00B450EB">
          <w:rPr>
            <w:noProof/>
            <w:webHidden/>
          </w:rPr>
          <w:fldChar w:fldCharType="end"/>
        </w:r>
      </w:hyperlink>
    </w:p>
    <w:p w14:paraId="02924F3B" w14:textId="1FC923BA"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09" w:history="1">
        <w:r w:rsidRPr="00B450EB">
          <w:rPr>
            <w:rStyle w:val="Hipervnculo"/>
            <w:noProof/>
          </w:rPr>
          <w:t>Tabla 26. Número de contingencias departamento de Putumayo</w:t>
        </w:r>
        <w:r w:rsidRPr="00B450EB">
          <w:rPr>
            <w:noProof/>
            <w:webHidden/>
          </w:rPr>
          <w:tab/>
        </w:r>
        <w:r w:rsidRPr="00B450EB">
          <w:rPr>
            <w:noProof/>
            <w:webHidden/>
          </w:rPr>
          <w:fldChar w:fldCharType="begin"/>
        </w:r>
        <w:r w:rsidRPr="00B450EB">
          <w:rPr>
            <w:noProof/>
            <w:webHidden/>
          </w:rPr>
          <w:instrText xml:space="preserve"> PAGEREF _Toc209723009 \h </w:instrText>
        </w:r>
        <w:r w:rsidRPr="00B450EB">
          <w:rPr>
            <w:noProof/>
            <w:webHidden/>
          </w:rPr>
        </w:r>
        <w:r w:rsidRPr="00B450EB">
          <w:rPr>
            <w:noProof/>
            <w:webHidden/>
          </w:rPr>
          <w:fldChar w:fldCharType="separate"/>
        </w:r>
        <w:r w:rsidRPr="00B450EB">
          <w:rPr>
            <w:noProof/>
            <w:webHidden/>
          </w:rPr>
          <w:t>257</w:t>
        </w:r>
        <w:r w:rsidRPr="00B450EB">
          <w:rPr>
            <w:noProof/>
            <w:webHidden/>
          </w:rPr>
          <w:fldChar w:fldCharType="end"/>
        </w:r>
      </w:hyperlink>
    </w:p>
    <w:p w14:paraId="41F632D2" w14:textId="18629EDF"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10" w:history="1">
        <w:r w:rsidRPr="00B450EB">
          <w:rPr>
            <w:rStyle w:val="Hipervnculo"/>
            <w:noProof/>
          </w:rPr>
          <w:t xml:space="preserve">Tabla 27. </w:t>
        </w:r>
        <w:r w:rsidRPr="00B450EB">
          <w:rPr>
            <w:rStyle w:val="Hipervnculo"/>
            <w:rFonts w:eastAsia="Arial" w:cs="Arial"/>
            <w:noProof/>
          </w:rPr>
          <w:t>Listado de proyectos aprobados por el Fondo para la Vida y la Biodiversidad en la Amazonía y que se encuentran en fase de ejecución.</w:t>
        </w:r>
        <w:r w:rsidRPr="00B450EB">
          <w:rPr>
            <w:noProof/>
            <w:webHidden/>
          </w:rPr>
          <w:tab/>
        </w:r>
        <w:r w:rsidRPr="00B450EB">
          <w:rPr>
            <w:noProof/>
            <w:webHidden/>
          </w:rPr>
          <w:fldChar w:fldCharType="begin"/>
        </w:r>
        <w:r w:rsidRPr="00B450EB">
          <w:rPr>
            <w:noProof/>
            <w:webHidden/>
          </w:rPr>
          <w:instrText xml:space="preserve"> PAGEREF _Toc209723010 \h </w:instrText>
        </w:r>
        <w:r w:rsidRPr="00B450EB">
          <w:rPr>
            <w:noProof/>
            <w:webHidden/>
          </w:rPr>
        </w:r>
        <w:r w:rsidRPr="00B450EB">
          <w:rPr>
            <w:noProof/>
            <w:webHidden/>
          </w:rPr>
          <w:fldChar w:fldCharType="separate"/>
        </w:r>
        <w:r w:rsidRPr="00B450EB">
          <w:rPr>
            <w:noProof/>
            <w:webHidden/>
          </w:rPr>
          <w:t>297</w:t>
        </w:r>
        <w:r w:rsidRPr="00B450EB">
          <w:rPr>
            <w:noProof/>
            <w:webHidden/>
          </w:rPr>
          <w:fldChar w:fldCharType="end"/>
        </w:r>
      </w:hyperlink>
    </w:p>
    <w:p w14:paraId="1D087876" w14:textId="2EE18836"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11" w:history="1">
        <w:r w:rsidRPr="00B450EB">
          <w:rPr>
            <w:rStyle w:val="Hipervnculo"/>
            <w:noProof/>
          </w:rPr>
          <w:t xml:space="preserve">Tabla 28. </w:t>
        </w:r>
        <w:r w:rsidRPr="00B450EB">
          <w:rPr>
            <w:rStyle w:val="Hipervnculo"/>
            <w:rFonts w:eastAsia="Arial" w:cs="Arial"/>
            <w:noProof/>
          </w:rPr>
          <w:t>Reporte de la superficie deforestada en los Núcleos de Desarrollo Forestal y de la Biodiversidad para el periodo 2016 - 2023.</w:t>
        </w:r>
        <w:r w:rsidRPr="00B450EB">
          <w:rPr>
            <w:noProof/>
            <w:webHidden/>
          </w:rPr>
          <w:tab/>
        </w:r>
        <w:r w:rsidRPr="00B450EB">
          <w:rPr>
            <w:noProof/>
            <w:webHidden/>
          </w:rPr>
          <w:fldChar w:fldCharType="begin"/>
        </w:r>
        <w:r w:rsidRPr="00B450EB">
          <w:rPr>
            <w:noProof/>
            <w:webHidden/>
          </w:rPr>
          <w:instrText xml:space="preserve"> PAGEREF _Toc209723011 \h </w:instrText>
        </w:r>
        <w:r w:rsidRPr="00B450EB">
          <w:rPr>
            <w:noProof/>
            <w:webHidden/>
          </w:rPr>
        </w:r>
        <w:r w:rsidRPr="00B450EB">
          <w:rPr>
            <w:noProof/>
            <w:webHidden/>
          </w:rPr>
          <w:fldChar w:fldCharType="separate"/>
        </w:r>
        <w:r w:rsidRPr="00B450EB">
          <w:rPr>
            <w:noProof/>
            <w:webHidden/>
          </w:rPr>
          <w:t>302</w:t>
        </w:r>
        <w:r w:rsidRPr="00B450EB">
          <w:rPr>
            <w:noProof/>
            <w:webHidden/>
          </w:rPr>
          <w:fldChar w:fldCharType="end"/>
        </w:r>
      </w:hyperlink>
    </w:p>
    <w:p w14:paraId="69020CFF" w14:textId="7E8DA29F" w:rsidR="00CA4E02" w:rsidRPr="00B450EB" w:rsidRDefault="00CA4E02">
      <w:pPr>
        <w:pStyle w:val="Tabladeilustraciones"/>
        <w:tabs>
          <w:tab w:val="right" w:leader="dot" w:pos="8828"/>
        </w:tabs>
        <w:rPr>
          <w:rFonts w:asciiTheme="minorHAnsi" w:eastAsiaTheme="minorEastAsia" w:hAnsiTheme="minorHAnsi"/>
          <w:noProof/>
          <w:sz w:val="22"/>
          <w:szCs w:val="22"/>
          <w:lang w:eastAsia="es-CO"/>
        </w:rPr>
      </w:pPr>
      <w:hyperlink w:anchor="_Toc209723012" w:history="1">
        <w:r w:rsidRPr="00B450EB">
          <w:rPr>
            <w:rStyle w:val="Hipervnculo"/>
            <w:noProof/>
          </w:rPr>
          <w:t xml:space="preserve">Tabla 29. </w:t>
        </w:r>
        <w:r w:rsidRPr="00B450EB">
          <w:rPr>
            <w:rStyle w:val="Hipervnculo"/>
            <w:rFonts w:eastAsia="Arial" w:cs="Arial"/>
            <w:noProof/>
          </w:rPr>
          <w:t>Resultados priorización Modelo Ecológico por prioridad</w:t>
        </w:r>
        <w:r w:rsidRPr="00B450EB">
          <w:rPr>
            <w:noProof/>
            <w:webHidden/>
          </w:rPr>
          <w:tab/>
        </w:r>
        <w:r w:rsidRPr="00B450EB">
          <w:rPr>
            <w:noProof/>
            <w:webHidden/>
          </w:rPr>
          <w:fldChar w:fldCharType="begin"/>
        </w:r>
        <w:r w:rsidRPr="00B450EB">
          <w:rPr>
            <w:noProof/>
            <w:webHidden/>
          </w:rPr>
          <w:instrText xml:space="preserve"> PAGEREF _Toc209723012 \h </w:instrText>
        </w:r>
        <w:r w:rsidRPr="00B450EB">
          <w:rPr>
            <w:noProof/>
            <w:webHidden/>
          </w:rPr>
        </w:r>
        <w:r w:rsidRPr="00B450EB">
          <w:rPr>
            <w:noProof/>
            <w:webHidden/>
          </w:rPr>
          <w:fldChar w:fldCharType="separate"/>
        </w:r>
        <w:r w:rsidRPr="00B450EB">
          <w:rPr>
            <w:noProof/>
            <w:webHidden/>
          </w:rPr>
          <w:t>306</w:t>
        </w:r>
        <w:r w:rsidRPr="00B450EB">
          <w:rPr>
            <w:noProof/>
            <w:webHidden/>
          </w:rPr>
          <w:fldChar w:fldCharType="end"/>
        </w:r>
      </w:hyperlink>
    </w:p>
    <w:p w14:paraId="54FE01EE" w14:textId="0EB99371" w:rsidR="00D9215D" w:rsidRPr="00B450EB" w:rsidRDefault="00DE6F01" w:rsidP="00F2647A">
      <w:pPr>
        <w:tabs>
          <w:tab w:val="left" w:pos="694"/>
        </w:tabs>
        <w:spacing w:line="259" w:lineRule="auto"/>
        <w:ind w:right="-93"/>
        <w:rPr>
          <w:rFonts w:cs="Arial"/>
          <w:b/>
          <w:bCs/>
          <w:sz w:val="28"/>
          <w:szCs w:val="28"/>
        </w:rPr>
      </w:pPr>
      <w:r w:rsidRPr="00B450EB">
        <w:rPr>
          <w:rFonts w:cs="Arial"/>
          <w:b/>
          <w:bCs/>
          <w:sz w:val="28"/>
          <w:szCs w:val="28"/>
        </w:rPr>
        <w:fldChar w:fldCharType="end"/>
      </w:r>
    </w:p>
    <w:p w14:paraId="5196D91D" w14:textId="6F02A29B" w:rsidR="000B5AC2" w:rsidRPr="00B450EB" w:rsidRDefault="00D9215D" w:rsidP="00D9215D">
      <w:pPr>
        <w:tabs>
          <w:tab w:val="left" w:pos="694"/>
        </w:tabs>
        <w:spacing w:line="259" w:lineRule="auto"/>
        <w:ind w:right="-93"/>
        <w:jc w:val="center"/>
        <w:rPr>
          <w:rFonts w:cs="Arial"/>
          <w:b/>
          <w:bCs/>
          <w:sz w:val="28"/>
          <w:szCs w:val="28"/>
        </w:rPr>
      </w:pPr>
      <w:r w:rsidRPr="00B450EB">
        <w:rPr>
          <w:rFonts w:cs="Arial"/>
          <w:b/>
          <w:bCs/>
          <w:sz w:val="28"/>
          <w:szCs w:val="28"/>
        </w:rPr>
        <w:t>Listados de Figuras</w:t>
      </w:r>
    </w:p>
    <w:p w14:paraId="6AA01798" w14:textId="7651063B" w:rsidR="00793BF7" w:rsidRPr="00B450EB" w:rsidRDefault="00D9215D">
      <w:pPr>
        <w:pStyle w:val="Tabladeilustraciones"/>
        <w:tabs>
          <w:tab w:val="right" w:leader="dot" w:pos="8828"/>
        </w:tabs>
        <w:rPr>
          <w:rFonts w:asciiTheme="minorHAnsi" w:eastAsiaTheme="minorEastAsia" w:hAnsiTheme="minorHAnsi"/>
          <w:noProof/>
          <w:sz w:val="22"/>
          <w:szCs w:val="22"/>
          <w:lang w:eastAsia="es-CO"/>
        </w:rPr>
      </w:pPr>
      <w:r w:rsidRPr="00B450EB">
        <w:rPr>
          <w:rFonts w:cs="Arial"/>
          <w:b/>
          <w:bCs/>
          <w:sz w:val="28"/>
          <w:szCs w:val="28"/>
        </w:rPr>
        <w:fldChar w:fldCharType="begin"/>
      </w:r>
      <w:r w:rsidRPr="00B450EB">
        <w:rPr>
          <w:rFonts w:cs="Arial"/>
          <w:b/>
          <w:bCs/>
          <w:sz w:val="28"/>
          <w:szCs w:val="28"/>
        </w:rPr>
        <w:instrText xml:space="preserve"> TOC \h \z \c "Figura" </w:instrText>
      </w:r>
      <w:r w:rsidRPr="00B450EB">
        <w:rPr>
          <w:rFonts w:cs="Arial"/>
          <w:b/>
          <w:bCs/>
          <w:sz w:val="28"/>
          <w:szCs w:val="28"/>
        </w:rPr>
        <w:fldChar w:fldCharType="separate"/>
      </w:r>
      <w:hyperlink w:anchor="_Toc209462690" w:history="1">
        <w:r w:rsidR="00793BF7" w:rsidRPr="00B450EB">
          <w:rPr>
            <w:rStyle w:val="Hipervnculo"/>
            <w:noProof/>
            <w:color w:val="auto"/>
          </w:rPr>
          <w:t>Figura 1.</w:t>
        </w:r>
        <w:r w:rsidR="00793BF7" w:rsidRPr="00B450EB">
          <w:rPr>
            <w:rStyle w:val="Hipervnculo"/>
            <w:rFonts w:eastAsia="Arial" w:cs="Arial"/>
            <w:noProof/>
            <w:color w:val="auto"/>
          </w:rPr>
          <w:t xml:space="preserve"> Principales Biomas de Suramérica</w:t>
        </w:r>
        <w:r w:rsidR="00793BF7" w:rsidRPr="00B450EB">
          <w:rPr>
            <w:noProof/>
            <w:webHidden/>
          </w:rPr>
          <w:tab/>
        </w:r>
        <w:r w:rsidR="00793BF7" w:rsidRPr="00B450EB">
          <w:rPr>
            <w:noProof/>
            <w:webHidden/>
          </w:rPr>
          <w:fldChar w:fldCharType="begin"/>
        </w:r>
        <w:r w:rsidR="00793BF7" w:rsidRPr="00B450EB">
          <w:rPr>
            <w:noProof/>
            <w:webHidden/>
          </w:rPr>
          <w:instrText xml:space="preserve"> PAGEREF _Toc209462690 \h </w:instrText>
        </w:r>
        <w:r w:rsidR="00793BF7" w:rsidRPr="00B450EB">
          <w:rPr>
            <w:noProof/>
            <w:webHidden/>
          </w:rPr>
        </w:r>
        <w:r w:rsidR="00793BF7" w:rsidRPr="00B450EB">
          <w:rPr>
            <w:noProof/>
            <w:webHidden/>
          </w:rPr>
          <w:fldChar w:fldCharType="separate"/>
        </w:r>
        <w:r w:rsidR="00793BF7" w:rsidRPr="00B450EB">
          <w:rPr>
            <w:noProof/>
            <w:webHidden/>
          </w:rPr>
          <w:t>28</w:t>
        </w:r>
        <w:r w:rsidR="00793BF7" w:rsidRPr="00B450EB">
          <w:rPr>
            <w:noProof/>
            <w:webHidden/>
          </w:rPr>
          <w:fldChar w:fldCharType="end"/>
        </w:r>
      </w:hyperlink>
    </w:p>
    <w:p w14:paraId="1AB603DA" w14:textId="13A94CB8"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691" w:history="1">
        <w:r w:rsidRPr="00B450EB">
          <w:rPr>
            <w:rStyle w:val="Hipervnculo"/>
            <w:noProof/>
            <w:color w:val="auto"/>
          </w:rPr>
          <w:t>Figura 2.</w:t>
        </w:r>
        <w:r w:rsidRPr="00B450EB">
          <w:rPr>
            <w:rStyle w:val="Hipervnculo"/>
            <w:rFonts w:eastAsia="Arial" w:cs="Arial"/>
            <w:noProof/>
            <w:color w:val="auto"/>
          </w:rPr>
          <w:t xml:space="preserve"> Propuesta de división del bioma amazónico (A, B) y reservas de minerales (C)</w:t>
        </w:r>
        <w:r w:rsidRPr="00B450EB">
          <w:rPr>
            <w:noProof/>
            <w:webHidden/>
          </w:rPr>
          <w:tab/>
        </w:r>
        <w:r w:rsidRPr="00B450EB">
          <w:rPr>
            <w:noProof/>
            <w:webHidden/>
          </w:rPr>
          <w:fldChar w:fldCharType="begin"/>
        </w:r>
        <w:r w:rsidRPr="00B450EB">
          <w:rPr>
            <w:noProof/>
            <w:webHidden/>
          </w:rPr>
          <w:instrText xml:space="preserve"> PAGEREF _Toc209462691 \h </w:instrText>
        </w:r>
        <w:r w:rsidRPr="00B450EB">
          <w:rPr>
            <w:noProof/>
            <w:webHidden/>
          </w:rPr>
        </w:r>
        <w:r w:rsidRPr="00B450EB">
          <w:rPr>
            <w:noProof/>
            <w:webHidden/>
          </w:rPr>
          <w:fldChar w:fldCharType="separate"/>
        </w:r>
        <w:r w:rsidRPr="00B450EB">
          <w:rPr>
            <w:noProof/>
            <w:webHidden/>
          </w:rPr>
          <w:t>30</w:t>
        </w:r>
        <w:r w:rsidRPr="00B450EB">
          <w:rPr>
            <w:noProof/>
            <w:webHidden/>
          </w:rPr>
          <w:fldChar w:fldCharType="end"/>
        </w:r>
      </w:hyperlink>
    </w:p>
    <w:p w14:paraId="53BE8FAC" w14:textId="0FE1D03B"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692" w:history="1">
        <w:r w:rsidRPr="00B450EB">
          <w:rPr>
            <w:rStyle w:val="Hipervnculo"/>
            <w:noProof/>
            <w:color w:val="auto"/>
          </w:rPr>
          <w:t>Figura 3. Red hídrica principal de la Región Amazónica</w:t>
        </w:r>
        <w:r w:rsidRPr="00B450EB">
          <w:rPr>
            <w:noProof/>
            <w:webHidden/>
          </w:rPr>
          <w:tab/>
        </w:r>
        <w:r w:rsidRPr="00B450EB">
          <w:rPr>
            <w:noProof/>
            <w:webHidden/>
          </w:rPr>
          <w:fldChar w:fldCharType="begin"/>
        </w:r>
        <w:r w:rsidRPr="00B450EB">
          <w:rPr>
            <w:noProof/>
            <w:webHidden/>
          </w:rPr>
          <w:instrText xml:space="preserve"> PAGEREF _Toc209462692 \h </w:instrText>
        </w:r>
        <w:r w:rsidRPr="00B450EB">
          <w:rPr>
            <w:noProof/>
            <w:webHidden/>
          </w:rPr>
        </w:r>
        <w:r w:rsidRPr="00B450EB">
          <w:rPr>
            <w:noProof/>
            <w:webHidden/>
          </w:rPr>
          <w:fldChar w:fldCharType="separate"/>
        </w:r>
        <w:r w:rsidRPr="00B450EB">
          <w:rPr>
            <w:noProof/>
            <w:webHidden/>
          </w:rPr>
          <w:t>32</w:t>
        </w:r>
        <w:r w:rsidRPr="00B450EB">
          <w:rPr>
            <w:noProof/>
            <w:webHidden/>
          </w:rPr>
          <w:fldChar w:fldCharType="end"/>
        </w:r>
      </w:hyperlink>
    </w:p>
    <w:p w14:paraId="509A8C48" w14:textId="2AADB89E"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693" w:history="1">
        <w:r w:rsidRPr="00B450EB">
          <w:rPr>
            <w:rStyle w:val="Hipervnculo"/>
            <w:noProof/>
            <w:color w:val="auto"/>
          </w:rPr>
          <w:t>Figura 4. Límite de la Amazonia colombiana</w:t>
        </w:r>
        <w:r w:rsidRPr="00B450EB">
          <w:rPr>
            <w:noProof/>
            <w:webHidden/>
          </w:rPr>
          <w:tab/>
        </w:r>
        <w:r w:rsidRPr="00B450EB">
          <w:rPr>
            <w:noProof/>
            <w:webHidden/>
          </w:rPr>
          <w:fldChar w:fldCharType="begin"/>
        </w:r>
        <w:r w:rsidRPr="00B450EB">
          <w:rPr>
            <w:noProof/>
            <w:webHidden/>
          </w:rPr>
          <w:instrText xml:space="preserve"> PAGEREF _Toc209462693 \h </w:instrText>
        </w:r>
        <w:r w:rsidRPr="00B450EB">
          <w:rPr>
            <w:noProof/>
            <w:webHidden/>
          </w:rPr>
        </w:r>
        <w:r w:rsidRPr="00B450EB">
          <w:rPr>
            <w:noProof/>
            <w:webHidden/>
          </w:rPr>
          <w:fldChar w:fldCharType="separate"/>
        </w:r>
        <w:r w:rsidRPr="00B450EB">
          <w:rPr>
            <w:noProof/>
            <w:webHidden/>
          </w:rPr>
          <w:t>34</w:t>
        </w:r>
        <w:r w:rsidRPr="00B450EB">
          <w:rPr>
            <w:noProof/>
            <w:webHidden/>
          </w:rPr>
          <w:fldChar w:fldCharType="end"/>
        </w:r>
      </w:hyperlink>
    </w:p>
    <w:p w14:paraId="540474FB" w14:textId="21B194B2"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694" w:history="1">
        <w:r w:rsidRPr="00B450EB">
          <w:rPr>
            <w:rStyle w:val="Hipervnculo"/>
            <w:noProof/>
            <w:color w:val="auto"/>
          </w:rPr>
          <w:t xml:space="preserve">Figura 5 Relación de Áreas protegidas del SINAP y </w:t>
        </w:r>
        <w:r w:rsidRPr="00B450EB">
          <w:rPr>
            <w:rStyle w:val="Hipervnculo"/>
            <w:noProof/>
            <w:color w:val="auto"/>
            <w:lang w:val="es"/>
          </w:rPr>
          <w:t>y Zonas de Protección y Desarrollo de Recursos Naturales Renovables y del Medio Ambiente de la Resolución 924 de 2025</w:t>
        </w:r>
        <w:r w:rsidRPr="00B450EB">
          <w:rPr>
            <w:noProof/>
            <w:webHidden/>
          </w:rPr>
          <w:tab/>
        </w:r>
        <w:r w:rsidRPr="00B450EB">
          <w:rPr>
            <w:noProof/>
            <w:webHidden/>
          </w:rPr>
          <w:fldChar w:fldCharType="begin"/>
        </w:r>
        <w:r w:rsidRPr="00B450EB">
          <w:rPr>
            <w:noProof/>
            <w:webHidden/>
          </w:rPr>
          <w:instrText xml:space="preserve"> PAGEREF _Toc209462694 \h </w:instrText>
        </w:r>
        <w:r w:rsidRPr="00B450EB">
          <w:rPr>
            <w:noProof/>
            <w:webHidden/>
          </w:rPr>
        </w:r>
        <w:r w:rsidRPr="00B450EB">
          <w:rPr>
            <w:noProof/>
            <w:webHidden/>
          </w:rPr>
          <w:fldChar w:fldCharType="separate"/>
        </w:r>
        <w:r w:rsidRPr="00B450EB">
          <w:rPr>
            <w:noProof/>
            <w:webHidden/>
          </w:rPr>
          <w:t>35</w:t>
        </w:r>
        <w:r w:rsidRPr="00B450EB">
          <w:rPr>
            <w:noProof/>
            <w:webHidden/>
          </w:rPr>
          <w:fldChar w:fldCharType="end"/>
        </w:r>
      </w:hyperlink>
    </w:p>
    <w:p w14:paraId="4A089E52" w14:textId="7C0D05AF"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695" w:history="1">
        <w:r w:rsidRPr="00B450EB">
          <w:rPr>
            <w:rStyle w:val="Hipervnculo"/>
            <w:noProof/>
            <w:color w:val="auto"/>
          </w:rPr>
          <w:t>Figura 6. Zonificación de Reserva Forestal de Ley Segunda de 1959</w:t>
        </w:r>
        <w:r w:rsidRPr="00B450EB">
          <w:rPr>
            <w:noProof/>
            <w:webHidden/>
          </w:rPr>
          <w:tab/>
        </w:r>
        <w:r w:rsidRPr="00B450EB">
          <w:rPr>
            <w:noProof/>
            <w:webHidden/>
          </w:rPr>
          <w:fldChar w:fldCharType="begin"/>
        </w:r>
        <w:r w:rsidRPr="00B450EB">
          <w:rPr>
            <w:noProof/>
            <w:webHidden/>
          </w:rPr>
          <w:instrText xml:space="preserve"> PAGEREF _Toc209462695 \h </w:instrText>
        </w:r>
        <w:r w:rsidRPr="00B450EB">
          <w:rPr>
            <w:noProof/>
            <w:webHidden/>
          </w:rPr>
        </w:r>
        <w:r w:rsidRPr="00B450EB">
          <w:rPr>
            <w:noProof/>
            <w:webHidden/>
          </w:rPr>
          <w:fldChar w:fldCharType="separate"/>
        </w:r>
        <w:r w:rsidRPr="00B450EB">
          <w:rPr>
            <w:noProof/>
            <w:webHidden/>
          </w:rPr>
          <w:t>38</w:t>
        </w:r>
        <w:r w:rsidRPr="00B450EB">
          <w:rPr>
            <w:noProof/>
            <w:webHidden/>
          </w:rPr>
          <w:fldChar w:fldCharType="end"/>
        </w:r>
      </w:hyperlink>
    </w:p>
    <w:p w14:paraId="47AE8129" w14:textId="1BDD0779"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696" w:history="1">
        <w:r w:rsidRPr="00B450EB">
          <w:rPr>
            <w:rStyle w:val="Hipervnculo"/>
            <w:rFonts w:eastAsia="Arial" w:cs="Arial"/>
            <w:i/>
            <w:noProof/>
            <w:color w:val="auto"/>
          </w:rPr>
          <w:t>Figura 7 Estado de figuras de Restricción Legal</w:t>
        </w:r>
        <w:r w:rsidRPr="00B450EB">
          <w:rPr>
            <w:noProof/>
            <w:webHidden/>
          </w:rPr>
          <w:tab/>
        </w:r>
        <w:r w:rsidRPr="00B450EB">
          <w:rPr>
            <w:noProof/>
            <w:webHidden/>
          </w:rPr>
          <w:fldChar w:fldCharType="begin"/>
        </w:r>
        <w:r w:rsidRPr="00B450EB">
          <w:rPr>
            <w:noProof/>
            <w:webHidden/>
          </w:rPr>
          <w:instrText xml:space="preserve"> PAGEREF _Toc209462696 \h </w:instrText>
        </w:r>
        <w:r w:rsidRPr="00B450EB">
          <w:rPr>
            <w:noProof/>
            <w:webHidden/>
          </w:rPr>
        </w:r>
        <w:r w:rsidRPr="00B450EB">
          <w:rPr>
            <w:noProof/>
            <w:webHidden/>
          </w:rPr>
          <w:fldChar w:fldCharType="separate"/>
        </w:r>
        <w:r w:rsidRPr="00B450EB">
          <w:rPr>
            <w:noProof/>
            <w:webHidden/>
          </w:rPr>
          <w:t>39</w:t>
        </w:r>
        <w:r w:rsidRPr="00B450EB">
          <w:rPr>
            <w:noProof/>
            <w:webHidden/>
          </w:rPr>
          <w:fldChar w:fldCharType="end"/>
        </w:r>
      </w:hyperlink>
    </w:p>
    <w:p w14:paraId="0C9DE5C7" w14:textId="1DC52210"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697" w:history="1">
        <w:r w:rsidRPr="00B450EB">
          <w:rPr>
            <w:rStyle w:val="Hipervnculo"/>
            <w:noProof/>
            <w:color w:val="auto"/>
          </w:rPr>
          <w:t>Figura 8. Áreas complementarias de Conservación</w:t>
        </w:r>
        <w:r w:rsidRPr="00B450EB">
          <w:rPr>
            <w:noProof/>
            <w:webHidden/>
          </w:rPr>
          <w:tab/>
        </w:r>
        <w:r w:rsidRPr="00B450EB">
          <w:rPr>
            <w:noProof/>
            <w:webHidden/>
          </w:rPr>
          <w:fldChar w:fldCharType="begin"/>
        </w:r>
        <w:r w:rsidRPr="00B450EB">
          <w:rPr>
            <w:noProof/>
            <w:webHidden/>
          </w:rPr>
          <w:instrText xml:space="preserve"> PAGEREF _Toc209462697 \h </w:instrText>
        </w:r>
        <w:r w:rsidRPr="00B450EB">
          <w:rPr>
            <w:noProof/>
            <w:webHidden/>
          </w:rPr>
        </w:r>
        <w:r w:rsidRPr="00B450EB">
          <w:rPr>
            <w:noProof/>
            <w:webHidden/>
          </w:rPr>
          <w:fldChar w:fldCharType="separate"/>
        </w:r>
        <w:r w:rsidRPr="00B450EB">
          <w:rPr>
            <w:noProof/>
            <w:webHidden/>
          </w:rPr>
          <w:t>41</w:t>
        </w:r>
        <w:r w:rsidRPr="00B450EB">
          <w:rPr>
            <w:noProof/>
            <w:webHidden/>
          </w:rPr>
          <w:fldChar w:fldCharType="end"/>
        </w:r>
      </w:hyperlink>
    </w:p>
    <w:p w14:paraId="2084BBA4" w14:textId="001E2E19"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698" w:history="1">
        <w:r w:rsidRPr="00B450EB">
          <w:rPr>
            <w:rStyle w:val="Hipervnculo"/>
            <w:noProof/>
            <w:color w:val="auto"/>
          </w:rPr>
          <w:t>Figura 9 Estado de figuras de Restricción Legal</w:t>
        </w:r>
        <w:r w:rsidRPr="00B450EB">
          <w:rPr>
            <w:noProof/>
            <w:webHidden/>
          </w:rPr>
          <w:tab/>
        </w:r>
        <w:r w:rsidRPr="00B450EB">
          <w:rPr>
            <w:noProof/>
            <w:webHidden/>
          </w:rPr>
          <w:fldChar w:fldCharType="begin"/>
        </w:r>
        <w:r w:rsidRPr="00B450EB">
          <w:rPr>
            <w:noProof/>
            <w:webHidden/>
          </w:rPr>
          <w:instrText xml:space="preserve"> PAGEREF _Toc209462698 \h </w:instrText>
        </w:r>
        <w:r w:rsidRPr="00B450EB">
          <w:rPr>
            <w:noProof/>
            <w:webHidden/>
          </w:rPr>
        </w:r>
        <w:r w:rsidRPr="00B450EB">
          <w:rPr>
            <w:noProof/>
            <w:webHidden/>
          </w:rPr>
          <w:fldChar w:fldCharType="separate"/>
        </w:r>
        <w:r w:rsidRPr="00B450EB">
          <w:rPr>
            <w:noProof/>
            <w:webHidden/>
          </w:rPr>
          <w:t>43</w:t>
        </w:r>
        <w:r w:rsidRPr="00B450EB">
          <w:rPr>
            <w:noProof/>
            <w:webHidden/>
          </w:rPr>
          <w:fldChar w:fldCharType="end"/>
        </w:r>
      </w:hyperlink>
    </w:p>
    <w:p w14:paraId="1F1F4CD6" w14:textId="56F1BC0A"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699" w:history="1">
        <w:r w:rsidRPr="00B450EB">
          <w:rPr>
            <w:rStyle w:val="Hipervnculo"/>
            <w:noProof/>
            <w:color w:val="auto"/>
          </w:rPr>
          <w:t>Figura 10 Clasificación Climática de Caldas - Lang</w:t>
        </w:r>
        <w:r w:rsidRPr="00B450EB">
          <w:rPr>
            <w:noProof/>
            <w:webHidden/>
          </w:rPr>
          <w:tab/>
        </w:r>
        <w:r w:rsidRPr="00B450EB">
          <w:rPr>
            <w:noProof/>
            <w:webHidden/>
          </w:rPr>
          <w:fldChar w:fldCharType="begin"/>
        </w:r>
        <w:r w:rsidRPr="00B450EB">
          <w:rPr>
            <w:noProof/>
            <w:webHidden/>
          </w:rPr>
          <w:instrText xml:space="preserve"> PAGEREF _Toc209462699 \h </w:instrText>
        </w:r>
        <w:r w:rsidRPr="00B450EB">
          <w:rPr>
            <w:noProof/>
            <w:webHidden/>
          </w:rPr>
        </w:r>
        <w:r w:rsidRPr="00B450EB">
          <w:rPr>
            <w:noProof/>
            <w:webHidden/>
          </w:rPr>
          <w:fldChar w:fldCharType="separate"/>
        </w:r>
        <w:r w:rsidRPr="00B450EB">
          <w:rPr>
            <w:noProof/>
            <w:webHidden/>
          </w:rPr>
          <w:t>45</w:t>
        </w:r>
        <w:r w:rsidRPr="00B450EB">
          <w:rPr>
            <w:noProof/>
            <w:webHidden/>
          </w:rPr>
          <w:fldChar w:fldCharType="end"/>
        </w:r>
      </w:hyperlink>
    </w:p>
    <w:p w14:paraId="0ED36172" w14:textId="39D0C35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0" w:history="1">
        <w:r w:rsidRPr="00B450EB">
          <w:rPr>
            <w:rStyle w:val="Hipervnculo"/>
            <w:noProof/>
            <w:color w:val="auto"/>
          </w:rPr>
          <w:t>Figura 11 Registros de temperatura media multianual del bioma amazónico</w:t>
        </w:r>
        <w:r w:rsidRPr="00B450EB">
          <w:rPr>
            <w:noProof/>
            <w:webHidden/>
          </w:rPr>
          <w:tab/>
        </w:r>
        <w:r w:rsidRPr="00B450EB">
          <w:rPr>
            <w:noProof/>
            <w:webHidden/>
          </w:rPr>
          <w:fldChar w:fldCharType="begin"/>
        </w:r>
        <w:r w:rsidRPr="00B450EB">
          <w:rPr>
            <w:noProof/>
            <w:webHidden/>
          </w:rPr>
          <w:instrText xml:space="preserve"> PAGEREF _Toc209462700 \h </w:instrText>
        </w:r>
        <w:r w:rsidRPr="00B450EB">
          <w:rPr>
            <w:noProof/>
            <w:webHidden/>
          </w:rPr>
        </w:r>
        <w:r w:rsidRPr="00B450EB">
          <w:rPr>
            <w:noProof/>
            <w:webHidden/>
          </w:rPr>
          <w:fldChar w:fldCharType="separate"/>
        </w:r>
        <w:r w:rsidRPr="00B450EB">
          <w:rPr>
            <w:noProof/>
            <w:webHidden/>
          </w:rPr>
          <w:t>46</w:t>
        </w:r>
        <w:r w:rsidRPr="00B450EB">
          <w:rPr>
            <w:noProof/>
            <w:webHidden/>
          </w:rPr>
          <w:fldChar w:fldCharType="end"/>
        </w:r>
      </w:hyperlink>
    </w:p>
    <w:p w14:paraId="5E4E12A0" w14:textId="5F35389B"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1" w:history="1">
        <w:r w:rsidRPr="00B450EB">
          <w:rPr>
            <w:rStyle w:val="Hipervnculo"/>
            <w:noProof/>
            <w:color w:val="auto"/>
          </w:rPr>
          <w:t>Figura 12 Registros de precipitación media multianual del bioma amazónico</w:t>
        </w:r>
        <w:r w:rsidRPr="00B450EB">
          <w:rPr>
            <w:noProof/>
            <w:webHidden/>
          </w:rPr>
          <w:tab/>
        </w:r>
        <w:r w:rsidRPr="00B450EB">
          <w:rPr>
            <w:noProof/>
            <w:webHidden/>
          </w:rPr>
          <w:fldChar w:fldCharType="begin"/>
        </w:r>
        <w:r w:rsidRPr="00B450EB">
          <w:rPr>
            <w:noProof/>
            <w:webHidden/>
          </w:rPr>
          <w:instrText xml:space="preserve"> PAGEREF _Toc209462701 \h </w:instrText>
        </w:r>
        <w:r w:rsidRPr="00B450EB">
          <w:rPr>
            <w:noProof/>
            <w:webHidden/>
          </w:rPr>
        </w:r>
        <w:r w:rsidRPr="00B450EB">
          <w:rPr>
            <w:noProof/>
            <w:webHidden/>
          </w:rPr>
          <w:fldChar w:fldCharType="separate"/>
        </w:r>
        <w:r w:rsidRPr="00B450EB">
          <w:rPr>
            <w:noProof/>
            <w:webHidden/>
          </w:rPr>
          <w:t>47</w:t>
        </w:r>
        <w:r w:rsidRPr="00B450EB">
          <w:rPr>
            <w:noProof/>
            <w:webHidden/>
          </w:rPr>
          <w:fldChar w:fldCharType="end"/>
        </w:r>
      </w:hyperlink>
    </w:p>
    <w:p w14:paraId="742D7783" w14:textId="35FF36C2"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2" w:history="1">
        <w:r w:rsidRPr="00B450EB">
          <w:rPr>
            <w:rStyle w:val="Hipervnculo"/>
            <w:noProof/>
            <w:color w:val="auto"/>
          </w:rPr>
          <w:t>Figura 13 Registros de vientos medios multianual del bioma amazónico</w:t>
        </w:r>
        <w:r w:rsidRPr="00B450EB">
          <w:rPr>
            <w:noProof/>
            <w:webHidden/>
          </w:rPr>
          <w:tab/>
        </w:r>
        <w:r w:rsidRPr="00B450EB">
          <w:rPr>
            <w:noProof/>
            <w:webHidden/>
          </w:rPr>
          <w:fldChar w:fldCharType="begin"/>
        </w:r>
        <w:r w:rsidRPr="00B450EB">
          <w:rPr>
            <w:noProof/>
            <w:webHidden/>
          </w:rPr>
          <w:instrText xml:space="preserve"> PAGEREF _Toc209462702 \h </w:instrText>
        </w:r>
        <w:r w:rsidRPr="00B450EB">
          <w:rPr>
            <w:noProof/>
            <w:webHidden/>
          </w:rPr>
        </w:r>
        <w:r w:rsidRPr="00B450EB">
          <w:rPr>
            <w:noProof/>
            <w:webHidden/>
          </w:rPr>
          <w:fldChar w:fldCharType="separate"/>
        </w:r>
        <w:r w:rsidRPr="00B450EB">
          <w:rPr>
            <w:noProof/>
            <w:webHidden/>
          </w:rPr>
          <w:t>48</w:t>
        </w:r>
        <w:r w:rsidRPr="00B450EB">
          <w:rPr>
            <w:noProof/>
            <w:webHidden/>
          </w:rPr>
          <w:fldChar w:fldCharType="end"/>
        </w:r>
      </w:hyperlink>
    </w:p>
    <w:p w14:paraId="0F4ED24E" w14:textId="7F4D50A4"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3" w:history="1">
        <w:r w:rsidRPr="00B450EB">
          <w:rPr>
            <w:rStyle w:val="Hipervnculo"/>
            <w:noProof/>
            <w:color w:val="auto"/>
          </w:rPr>
          <w:t>Figura 14 Registros de porcentaje de humedad promedio multianual del bioma amazónico</w:t>
        </w:r>
        <w:r w:rsidRPr="00B450EB">
          <w:rPr>
            <w:noProof/>
            <w:webHidden/>
          </w:rPr>
          <w:tab/>
        </w:r>
        <w:r w:rsidRPr="00B450EB">
          <w:rPr>
            <w:noProof/>
            <w:webHidden/>
          </w:rPr>
          <w:fldChar w:fldCharType="begin"/>
        </w:r>
        <w:r w:rsidRPr="00B450EB">
          <w:rPr>
            <w:noProof/>
            <w:webHidden/>
          </w:rPr>
          <w:instrText xml:space="preserve"> PAGEREF _Toc209462703 \h </w:instrText>
        </w:r>
        <w:r w:rsidRPr="00B450EB">
          <w:rPr>
            <w:noProof/>
            <w:webHidden/>
          </w:rPr>
        </w:r>
        <w:r w:rsidRPr="00B450EB">
          <w:rPr>
            <w:noProof/>
            <w:webHidden/>
          </w:rPr>
          <w:fldChar w:fldCharType="separate"/>
        </w:r>
        <w:r w:rsidRPr="00B450EB">
          <w:rPr>
            <w:noProof/>
            <w:webHidden/>
          </w:rPr>
          <w:t>50</w:t>
        </w:r>
        <w:r w:rsidRPr="00B450EB">
          <w:rPr>
            <w:noProof/>
            <w:webHidden/>
          </w:rPr>
          <w:fldChar w:fldCharType="end"/>
        </w:r>
      </w:hyperlink>
    </w:p>
    <w:p w14:paraId="5DE6BB99" w14:textId="04C0A1CF"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4" w:history="1">
        <w:r w:rsidRPr="00B450EB">
          <w:rPr>
            <w:rStyle w:val="Hipervnculo"/>
            <w:noProof/>
            <w:color w:val="auto"/>
          </w:rPr>
          <w:t>Figura 15 Registros de radiación solar promedio multianual del bioma amazónico.</w:t>
        </w:r>
        <w:r w:rsidRPr="00B450EB">
          <w:rPr>
            <w:noProof/>
            <w:webHidden/>
          </w:rPr>
          <w:tab/>
        </w:r>
        <w:r w:rsidRPr="00B450EB">
          <w:rPr>
            <w:noProof/>
            <w:webHidden/>
          </w:rPr>
          <w:fldChar w:fldCharType="begin"/>
        </w:r>
        <w:r w:rsidRPr="00B450EB">
          <w:rPr>
            <w:noProof/>
            <w:webHidden/>
          </w:rPr>
          <w:instrText xml:space="preserve"> PAGEREF _Toc209462704 \h </w:instrText>
        </w:r>
        <w:r w:rsidRPr="00B450EB">
          <w:rPr>
            <w:noProof/>
            <w:webHidden/>
          </w:rPr>
        </w:r>
        <w:r w:rsidRPr="00B450EB">
          <w:rPr>
            <w:noProof/>
            <w:webHidden/>
          </w:rPr>
          <w:fldChar w:fldCharType="separate"/>
        </w:r>
        <w:r w:rsidRPr="00B450EB">
          <w:rPr>
            <w:noProof/>
            <w:webHidden/>
          </w:rPr>
          <w:t>51</w:t>
        </w:r>
        <w:r w:rsidRPr="00B450EB">
          <w:rPr>
            <w:noProof/>
            <w:webHidden/>
          </w:rPr>
          <w:fldChar w:fldCharType="end"/>
        </w:r>
      </w:hyperlink>
    </w:p>
    <w:p w14:paraId="77B7BE6F" w14:textId="3641E61B"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5" w:history="1">
        <w:r w:rsidRPr="00B450EB">
          <w:rPr>
            <w:rStyle w:val="Hipervnculo"/>
            <w:noProof/>
            <w:color w:val="auto"/>
          </w:rPr>
          <w:t>Figura 16. correlación entre la temperatura y el Di</w:t>
        </w:r>
        <w:r w:rsidRPr="00B450EB">
          <w:rPr>
            <w:rStyle w:val="Hipervnculo"/>
            <w:rFonts w:cs="Arial"/>
            <w:noProof/>
            <w:color w:val="auto"/>
          </w:rPr>
          <w:t>ó</w:t>
        </w:r>
        <w:r w:rsidRPr="00B450EB">
          <w:rPr>
            <w:rStyle w:val="Hipervnculo"/>
            <w:noProof/>
            <w:color w:val="auto"/>
          </w:rPr>
          <w:t>xido de Carbono.</w:t>
        </w:r>
        <w:r w:rsidRPr="00B450EB">
          <w:rPr>
            <w:noProof/>
            <w:webHidden/>
          </w:rPr>
          <w:tab/>
        </w:r>
        <w:r w:rsidRPr="00B450EB">
          <w:rPr>
            <w:noProof/>
            <w:webHidden/>
          </w:rPr>
          <w:fldChar w:fldCharType="begin"/>
        </w:r>
        <w:r w:rsidRPr="00B450EB">
          <w:rPr>
            <w:noProof/>
            <w:webHidden/>
          </w:rPr>
          <w:instrText xml:space="preserve"> PAGEREF _Toc209462705 \h </w:instrText>
        </w:r>
        <w:r w:rsidRPr="00B450EB">
          <w:rPr>
            <w:noProof/>
            <w:webHidden/>
          </w:rPr>
        </w:r>
        <w:r w:rsidRPr="00B450EB">
          <w:rPr>
            <w:noProof/>
            <w:webHidden/>
          </w:rPr>
          <w:fldChar w:fldCharType="separate"/>
        </w:r>
        <w:r w:rsidRPr="00B450EB">
          <w:rPr>
            <w:noProof/>
            <w:webHidden/>
          </w:rPr>
          <w:t>52</w:t>
        </w:r>
        <w:r w:rsidRPr="00B450EB">
          <w:rPr>
            <w:noProof/>
            <w:webHidden/>
          </w:rPr>
          <w:fldChar w:fldCharType="end"/>
        </w:r>
      </w:hyperlink>
    </w:p>
    <w:p w14:paraId="5F11B111" w14:textId="2C2EC430"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6" w:history="1">
        <w:r w:rsidRPr="00B450EB">
          <w:rPr>
            <w:rStyle w:val="Hipervnculo"/>
            <w:noProof/>
            <w:color w:val="auto"/>
          </w:rPr>
          <w:t>Figura 17. comportamiento histórico del CO2 en miles de años y el comportamiento de este en el ciclo anual.</w:t>
        </w:r>
        <w:r w:rsidRPr="00B450EB">
          <w:rPr>
            <w:noProof/>
            <w:webHidden/>
          </w:rPr>
          <w:tab/>
        </w:r>
        <w:r w:rsidRPr="00B450EB">
          <w:rPr>
            <w:noProof/>
            <w:webHidden/>
          </w:rPr>
          <w:fldChar w:fldCharType="begin"/>
        </w:r>
        <w:r w:rsidRPr="00B450EB">
          <w:rPr>
            <w:noProof/>
            <w:webHidden/>
          </w:rPr>
          <w:instrText xml:space="preserve"> PAGEREF _Toc209462706 \h </w:instrText>
        </w:r>
        <w:r w:rsidRPr="00B450EB">
          <w:rPr>
            <w:noProof/>
            <w:webHidden/>
          </w:rPr>
        </w:r>
        <w:r w:rsidRPr="00B450EB">
          <w:rPr>
            <w:noProof/>
            <w:webHidden/>
          </w:rPr>
          <w:fldChar w:fldCharType="separate"/>
        </w:r>
        <w:r w:rsidRPr="00B450EB">
          <w:rPr>
            <w:noProof/>
            <w:webHidden/>
          </w:rPr>
          <w:t>53</w:t>
        </w:r>
        <w:r w:rsidRPr="00B450EB">
          <w:rPr>
            <w:noProof/>
            <w:webHidden/>
          </w:rPr>
          <w:fldChar w:fldCharType="end"/>
        </w:r>
      </w:hyperlink>
    </w:p>
    <w:p w14:paraId="44C2C60C" w14:textId="0E7F657E"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7" w:history="1">
        <w:r w:rsidRPr="00B450EB">
          <w:rPr>
            <w:rStyle w:val="Hipervnculo"/>
            <w:rFonts w:cs="Arial"/>
            <w:noProof/>
            <w:color w:val="auto"/>
          </w:rPr>
          <w:t>Figura</w:t>
        </w:r>
        <w:r w:rsidRPr="00B450EB">
          <w:rPr>
            <w:rStyle w:val="Hipervnculo"/>
            <w:noProof/>
            <w:color w:val="auto"/>
          </w:rPr>
          <w:t xml:space="preserve"> 18.</w:t>
        </w:r>
        <w:r w:rsidRPr="00B450EB">
          <w:rPr>
            <w:rStyle w:val="Hipervnculo"/>
            <w:rFonts w:cs="Arial"/>
            <w:noProof/>
            <w:color w:val="auto"/>
          </w:rPr>
          <w:t xml:space="preserve"> Niveles totales de carbono sobre el suelo en cada área protegida y territorio indígena</w:t>
        </w:r>
        <w:r w:rsidRPr="00B450EB">
          <w:rPr>
            <w:noProof/>
            <w:webHidden/>
          </w:rPr>
          <w:tab/>
        </w:r>
        <w:r w:rsidRPr="00B450EB">
          <w:rPr>
            <w:noProof/>
            <w:webHidden/>
          </w:rPr>
          <w:fldChar w:fldCharType="begin"/>
        </w:r>
        <w:r w:rsidRPr="00B450EB">
          <w:rPr>
            <w:noProof/>
            <w:webHidden/>
          </w:rPr>
          <w:instrText xml:space="preserve"> PAGEREF _Toc209462707 \h </w:instrText>
        </w:r>
        <w:r w:rsidRPr="00B450EB">
          <w:rPr>
            <w:noProof/>
            <w:webHidden/>
          </w:rPr>
        </w:r>
        <w:r w:rsidRPr="00B450EB">
          <w:rPr>
            <w:noProof/>
            <w:webHidden/>
          </w:rPr>
          <w:fldChar w:fldCharType="separate"/>
        </w:r>
        <w:r w:rsidRPr="00B450EB">
          <w:rPr>
            <w:noProof/>
            <w:webHidden/>
          </w:rPr>
          <w:t>55</w:t>
        </w:r>
        <w:r w:rsidRPr="00B450EB">
          <w:rPr>
            <w:noProof/>
            <w:webHidden/>
          </w:rPr>
          <w:fldChar w:fldCharType="end"/>
        </w:r>
      </w:hyperlink>
    </w:p>
    <w:p w14:paraId="7F349146" w14:textId="05F2227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8" w:history="1">
        <w:r w:rsidRPr="00B450EB">
          <w:rPr>
            <w:rStyle w:val="Hipervnculo"/>
            <w:noProof/>
            <w:color w:val="auto"/>
          </w:rPr>
          <w:t>Figura 19.</w:t>
        </w:r>
        <w:r w:rsidRPr="00B450EB">
          <w:rPr>
            <w:rStyle w:val="Hipervnculo"/>
            <w:rFonts w:cs="Arial"/>
            <w:noProof/>
            <w:color w:val="auto"/>
          </w:rPr>
          <w:t xml:space="preserve"> Emisión anual de BVOC</w:t>
        </w:r>
        <w:r w:rsidRPr="00B450EB">
          <w:rPr>
            <w:noProof/>
            <w:webHidden/>
          </w:rPr>
          <w:tab/>
        </w:r>
        <w:r w:rsidRPr="00B450EB">
          <w:rPr>
            <w:noProof/>
            <w:webHidden/>
          </w:rPr>
          <w:fldChar w:fldCharType="begin"/>
        </w:r>
        <w:r w:rsidRPr="00B450EB">
          <w:rPr>
            <w:noProof/>
            <w:webHidden/>
          </w:rPr>
          <w:instrText xml:space="preserve"> PAGEREF _Toc209462708 \h </w:instrText>
        </w:r>
        <w:r w:rsidRPr="00B450EB">
          <w:rPr>
            <w:noProof/>
            <w:webHidden/>
          </w:rPr>
        </w:r>
        <w:r w:rsidRPr="00B450EB">
          <w:rPr>
            <w:noProof/>
            <w:webHidden/>
          </w:rPr>
          <w:fldChar w:fldCharType="separate"/>
        </w:r>
        <w:r w:rsidRPr="00B450EB">
          <w:rPr>
            <w:noProof/>
            <w:webHidden/>
          </w:rPr>
          <w:t>57</w:t>
        </w:r>
        <w:r w:rsidRPr="00B450EB">
          <w:rPr>
            <w:noProof/>
            <w:webHidden/>
          </w:rPr>
          <w:fldChar w:fldCharType="end"/>
        </w:r>
      </w:hyperlink>
    </w:p>
    <w:p w14:paraId="1EB61F3F" w14:textId="1241375B"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09" w:history="1">
        <w:r w:rsidRPr="00B450EB">
          <w:rPr>
            <w:rStyle w:val="Hipervnculo"/>
            <w:noProof/>
            <w:color w:val="auto"/>
          </w:rPr>
          <w:t>Figura 20. Promedio anual de precipitación (P) y evaporación (E) sobre las áreas continentales (1999–2008).</w:t>
        </w:r>
        <w:r w:rsidRPr="00B450EB">
          <w:rPr>
            <w:noProof/>
            <w:webHidden/>
          </w:rPr>
          <w:tab/>
        </w:r>
        <w:r w:rsidRPr="00B450EB">
          <w:rPr>
            <w:noProof/>
            <w:webHidden/>
          </w:rPr>
          <w:fldChar w:fldCharType="begin"/>
        </w:r>
        <w:r w:rsidRPr="00B450EB">
          <w:rPr>
            <w:noProof/>
            <w:webHidden/>
          </w:rPr>
          <w:instrText xml:space="preserve"> PAGEREF _Toc209462709 \h </w:instrText>
        </w:r>
        <w:r w:rsidRPr="00B450EB">
          <w:rPr>
            <w:noProof/>
            <w:webHidden/>
          </w:rPr>
        </w:r>
        <w:r w:rsidRPr="00B450EB">
          <w:rPr>
            <w:noProof/>
            <w:webHidden/>
          </w:rPr>
          <w:fldChar w:fldCharType="separate"/>
        </w:r>
        <w:r w:rsidRPr="00B450EB">
          <w:rPr>
            <w:noProof/>
            <w:webHidden/>
          </w:rPr>
          <w:t>59</w:t>
        </w:r>
        <w:r w:rsidRPr="00B450EB">
          <w:rPr>
            <w:noProof/>
            <w:webHidden/>
          </w:rPr>
          <w:fldChar w:fldCharType="end"/>
        </w:r>
      </w:hyperlink>
    </w:p>
    <w:p w14:paraId="4BD96E41" w14:textId="22A4205B"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0" w:history="1">
        <w:r w:rsidRPr="00B450EB">
          <w:rPr>
            <w:rStyle w:val="Hipervnculo"/>
            <w:noProof/>
            <w:color w:val="auto"/>
          </w:rPr>
          <w:t>Figura 21. Las células de Hadley, las células de Ferrel (latitud media) y las células polares caracterizan la dinámica atmosférica actual.</w:t>
        </w:r>
        <w:r w:rsidRPr="00B450EB">
          <w:rPr>
            <w:noProof/>
            <w:webHidden/>
          </w:rPr>
          <w:tab/>
        </w:r>
        <w:r w:rsidRPr="00B450EB">
          <w:rPr>
            <w:noProof/>
            <w:webHidden/>
          </w:rPr>
          <w:fldChar w:fldCharType="begin"/>
        </w:r>
        <w:r w:rsidRPr="00B450EB">
          <w:rPr>
            <w:noProof/>
            <w:webHidden/>
          </w:rPr>
          <w:instrText xml:space="preserve"> PAGEREF _Toc209462710 \h </w:instrText>
        </w:r>
        <w:r w:rsidRPr="00B450EB">
          <w:rPr>
            <w:noProof/>
            <w:webHidden/>
          </w:rPr>
        </w:r>
        <w:r w:rsidRPr="00B450EB">
          <w:rPr>
            <w:noProof/>
            <w:webHidden/>
          </w:rPr>
          <w:fldChar w:fldCharType="separate"/>
        </w:r>
        <w:r w:rsidRPr="00B450EB">
          <w:rPr>
            <w:noProof/>
            <w:webHidden/>
          </w:rPr>
          <w:t>60</w:t>
        </w:r>
        <w:r w:rsidRPr="00B450EB">
          <w:rPr>
            <w:noProof/>
            <w:webHidden/>
          </w:rPr>
          <w:fldChar w:fldCharType="end"/>
        </w:r>
      </w:hyperlink>
    </w:p>
    <w:p w14:paraId="6F67A08E" w14:textId="420B1F5D"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1" w:history="1">
        <w:r w:rsidRPr="00B450EB">
          <w:rPr>
            <w:rStyle w:val="Hipervnculo"/>
            <w:i/>
            <w:iCs/>
            <w:noProof/>
            <w:color w:val="auto"/>
          </w:rPr>
          <w:t>Figura 22. Comportamiento estacional de la humedad atmosférica regional.</w:t>
        </w:r>
        <w:r w:rsidRPr="00B450EB">
          <w:rPr>
            <w:noProof/>
            <w:webHidden/>
          </w:rPr>
          <w:tab/>
        </w:r>
        <w:r w:rsidRPr="00B450EB">
          <w:rPr>
            <w:noProof/>
            <w:webHidden/>
          </w:rPr>
          <w:fldChar w:fldCharType="begin"/>
        </w:r>
        <w:r w:rsidRPr="00B450EB">
          <w:rPr>
            <w:noProof/>
            <w:webHidden/>
          </w:rPr>
          <w:instrText xml:space="preserve"> PAGEREF _Toc209462711 \h </w:instrText>
        </w:r>
        <w:r w:rsidRPr="00B450EB">
          <w:rPr>
            <w:noProof/>
            <w:webHidden/>
          </w:rPr>
        </w:r>
        <w:r w:rsidRPr="00B450EB">
          <w:rPr>
            <w:noProof/>
            <w:webHidden/>
          </w:rPr>
          <w:fldChar w:fldCharType="separate"/>
        </w:r>
        <w:r w:rsidRPr="00B450EB">
          <w:rPr>
            <w:noProof/>
            <w:webHidden/>
          </w:rPr>
          <w:t>62</w:t>
        </w:r>
        <w:r w:rsidRPr="00B450EB">
          <w:rPr>
            <w:noProof/>
            <w:webHidden/>
          </w:rPr>
          <w:fldChar w:fldCharType="end"/>
        </w:r>
      </w:hyperlink>
    </w:p>
    <w:p w14:paraId="75876BD5" w14:textId="2206C510"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2" w:history="1">
        <w:r w:rsidRPr="00B450EB">
          <w:rPr>
            <w:rStyle w:val="Hipervnculo"/>
            <w:noProof/>
            <w:color w:val="auto"/>
          </w:rPr>
          <w:t xml:space="preserve">Figura 23. </w:t>
        </w:r>
        <w:r w:rsidRPr="00B450EB">
          <w:rPr>
            <w:rStyle w:val="Hipervnculo"/>
            <w:rFonts w:cs="Arial"/>
            <w:noProof/>
            <w:color w:val="auto"/>
            <w:lang w:val="es-ES"/>
          </w:rPr>
          <w:t>Mapas de la concentración de PM2.5, PM10, O3, NO2, NO y SO2 (datos recuperados de CAMS). El color corresponde al promedio anual de su concentración del año 2021</w:t>
        </w:r>
        <w:r w:rsidRPr="00B450EB">
          <w:rPr>
            <w:noProof/>
            <w:webHidden/>
          </w:rPr>
          <w:tab/>
        </w:r>
        <w:r w:rsidRPr="00B450EB">
          <w:rPr>
            <w:noProof/>
            <w:webHidden/>
          </w:rPr>
          <w:fldChar w:fldCharType="begin"/>
        </w:r>
        <w:r w:rsidRPr="00B450EB">
          <w:rPr>
            <w:noProof/>
            <w:webHidden/>
          </w:rPr>
          <w:instrText xml:space="preserve"> PAGEREF _Toc209462712 \h </w:instrText>
        </w:r>
        <w:r w:rsidRPr="00B450EB">
          <w:rPr>
            <w:noProof/>
            <w:webHidden/>
          </w:rPr>
        </w:r>
        <w:r w:rsidRPr="00B450EB">
          <w:rPr>
            <w:noProof/>
            <w:webHidden/>
          </w:rPr>
          <w:fldChar w:fldCharType="separate"/>
        </w:r>
        <w:r w:rsidRPr="00B450EB">
          <w:rPr>
            <w:noProof/>
            <w:webHidden/>
          </w:rPr>
          <w:t>63</w:t>
        </w:r>
        <w:r w:rsidRPr="00B450EB">
          <w:rPr>
            <w:noProof/>
            <w:webHidden/>
          </w:rPr>
          <w:fldChar w:fldCharType="end"/>
        </w:r>
      </w:hyperlink>
    </w:p>
    <w:p w14:paraId="6740BB25" w14:textId="6B4876D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3" w:history="1">
        <w:r w:rsidRPr="00B450EB">
          <w:rPr>
            <w:rStyle w:val="Hipervnculo"/>
            <w:noProof/>
            <w:color w:val="auto"/>
          </w:rPr>
          <w:t>Figura 24.</w:t>
        </w:r>
        <w:r w:rsidRPr="00B450EB">
          <w:rPr>
            <w:rStyle w:val="Hipervnculo"/>
            <w:rFonts w:cs="Arial"/>
            <w:noProof/>
            <w:color w:val="auto"/>
            <w:lang w:val="es-ES"/>
          </w:rPr>
          <w:t xml:space="preserve"> Proyectos, Obras y Actividades (POA) de la ANLA en el bioma amazónico</w:t>
        </w:r>
        <w:r w:rsidRPr="00B450EB">
          <w:rPr>
            <w:noProof/>
            <w:webHidden/>
          </w:rPr>
          <w:tab/>
        </w:r>
        <w:r w:rsidRPr="00B450EB">
          <w:rPr>
            <w:noProof/>
            <w:webHidden/>
          </w:rPr>
          <w:fldChar w:fldCharType="begin"/>
        </w:r>
        <w:r w:rsidRPr="00B450EB">
          <w:rPr>
            <w:noProof/>
            <w:webHidden/>
          </w:rPr>
          <w:instrText xml:space="preserve"> PAGEREF _Toc209462713 \h </w:instrText>
        </w:r>
        <w:r w:rsidRPr="00B450EB">
          <w:rPr>
            <w:noProof/>
            <w:webHidden/>
          </w:rPr>
        </w:r>
        <w:r w:rsidRPr="00B450EB">
          <w:rPr>
            <w:noProof/>
            <w:webHidden/>
          </w:rPr>
          <w:fldChar w:fldCharType="separate"/>
        </w:r>
        <w:r w:rsidRPr="00B450EB">
          <w:rPr>
            <w:noProof/>
            <w:webHidden/>
          </w:rPr>
          <w:t>64</w:t>
        </w:r>
        <w:r w:rsidRPr="00B450EB">
          <w:rPr>
            <w:noProof/>
            <w:webHidden/>
          </w:rPr>
          <w:fldChar w:fldCharType="end"/>
        </w:r>
      </w:hyperlink>
    </w:p>
    <w:p w14:paraId="39586284" w14:textId="4904E920"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4" w:history="1">
        <w:r w:rsidRPr="00B450EB">
          <w:rPr>
            <w:rStyle w:val="Hipervnculo"/>
            <w:noProof/>
            <w:color w:val="auto"/>
          </w:rPr>
          <w:t xml:space="preserve">Figura 25. </w:t>
        </w:r>
        <w:r w:rsidRPr="00B450EB">
          <w:rPr>
            <w:rStyle w:val="Hipervnculo"/>
            <w:rFonts w:cs="Arial"/>
            <w:noProof/>
            <w:color w:val="auto"/>
          </w:rPr>
          <w:t>Condición regional atmosférica de PM2.5 y NO2, para el Putumayo.</w:t>
        </w:r>
        <w:r w:rsidRPr="00B450EB">
          <w:rPr>
            <w:noProof/>
            <w:webHidden/>
          </w:rPr>
          <w:tab/>
        </w:r>
        <w:r w:rsidRPr="00B450EB">
          <w:rPr>
            <w:noProof/>
            <w:webHidden/>
          </w:rPr>
          <w:fldChar w:fldCharType="begin"/>
        </w:r>
        <w:r w:rsidRPr="00B450EB">
          <w:rPr>
            <w:noProof/>
            <w:webHidden/>
          </w:rPr>
          <w:instrText xml:space="preserve"> PAGEREF _Toc209462714 \h </w:instrText>
        </w:r>
        <w:r w:rsidRPr="00B450EB">
          <w:rPr>
            <w:noProof/>
            <w:webHidden/>
          </w:rPr>
        </w:r>
        <w:r w:rsidRPr="00B450EB">
          <w:rPr>
            <w:noProof/>
            <w:webHidden/>
          </w:rPr>
          <w:fldChar w:fldCharType="separate"/>
        </w:r>
        <w:r w:rsidRPr="00B450EB">
          <w:rPr>
            <w:noProof/>
            <w:webHidden/>
          </w:rPr>
          <w:t>65</w:t>
        </w:r>
        <w:r w:rsidRPr="00B450EB">
          <w:rPr>
            <w:noProof/>
            <w:webHidden/>
          </w:rPr>
          <w:fldChar w:fldCharType="end"/>
        </w:r>
      </w:hyperlink>
    </w:p>
    <w:p w14:paraId="0EC84742" w14:textId="3EE5E655"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5" w:history="1">
        <w:r w:rsidRPr="00B450EB">
          <w:rPr>
            <w:rStyle w:val="Hipervnculo"/>
            <w:noProof/>
            <w:color w:val="auto"/>
          </w:rPr>
          <w:t>Figura 26. Zonificación hidrográfica de la Amazonia.</w:t>
        </w:r>
        <w:r w:rsidRPr="00B450EB">
          <w:rPr>
            <w:noProof/>
            <w:webHidden/>
          </w:rPr>
          <w:tab/>
        </w:r>
        <w:r w:rsidRPr="00B450EB">
          <w:rPr>
            <w:noProof/>
            <w:webHidden/>
          </w:rPr>
          <w:fldChar w:fldCharType="begin"/>
        </w:r>
        <w:r w:rsidRPr="00B450EB">
          <w:rPr>
            <w:noProof/>
            <w:webHidden/>
          </w:rPr>
          <w:instrText xml:space="preserve"> PAGEREF _Toc209462715 \h </w:instrText>
        </w:r>
        <w:r w:rsidRPr="00B450EB">
          <w:rPr>
            <w:noProof/>
            <w:webHidden/>
          </w:rPr>
        </w:r>
        <w:r w:rsidRPr="00B450EB">
          <w:rPr>
            <w:noProof/>
            <w:webHidden/>
          </w:rPr>
          <w:fldChar w:fldCharType="separate"/>
        </w:r>
        <w:r w:rsidRPr="00B450EB">
          <w:rPr>
            <w:noProof/>
            <w:webHidden/>
          </w:rPr>
          <w:t>68</w:t>
        </w:r>
        <w:r w:rsidRPr="00B450EB">
          <w:rPr>
            <w:noProof/>
            <w:webHidden/>
          </w:rPr>
          <w:fldChar w:fldCharType="end"/>
        </w:r>
      </w:hyperlink>
    </w:p>
    <w:p w14:paraId="346278A2" w14:textId="0660CF75"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6" w:history="1">
        <w:r w:rsidRPr="00B450EB">
          <w:rPr>
            <w:rStyle w:val="Hipervnculo"/>
            <w:noProof/>
            <w:color w:val="auto"/>
          </w:rPr>
          <w:t>Figura 27. Red de estaciones IDEAM</w:t>
        </w:r>
        <w:r w:rsidRPr="00B450EB">
          <w:rPr>
            <w:noProof/>
            <w:webHidden/>
          </w:rPr>
          <w:tab/>
        </w:r>
        <w:r w:rsidRPr="00B450EB">
          <w:rPr>
            <w:noProof/>
            <w:webHidden/>
          </w:rPr>
          <w:fldChar w:fldCharType="begin"/>
        </w:r>
        <w:r w:rsidRPr="00B450EB">
          <w:rPr>
            <w:noProof/>
            <w:webHidden/>
          </w:rPr>
          <w:instrText xml:space="preserve"> PAGEREF _Toc209462716 \h </w:instrText>
        </w:r>
        <w:r w:rsidRPr="00B450EB">
          <w:rPr>
            <w:noProof/>
            <w:webHidden/>
          </w:rPr>
        </w:r>
        <w:r w:rsidRPr="00B450EB">
          <w:rPr>
            <w:noProof/>
            <w:webHidden/>
          </w:rPr>
          <w:fldChar w:fldCharType="separate"/>
        </w:r>
        <w:r w:rsidRPr="00B450EB">
          <w:rPr>
            <w:noProof/>
            <w:webHidden/>
          </w:rPr>
          <w:t>69</w:t>
        </w:r>
        <w:r w:rsidRPr="00B450EB">
          <w:rPr>
            <w:noProof/>
            <w:webHidden/>
          </w:rPr>
          <w:fldChar w:fldCharType="end"/>
        </w:r>
      </w:hyperlink>
    </w:p>
    <w:p w14:paraId="40BAA788" w14:textId="0CB8D072"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7" w:history="1">
        <w:r w:rsidRPr="00B450EB">
          <w:rPr>
            <w:rStyle w:val="Hipervnculo"/>
            <w:noProof/>
            <w:color w:val="auto"/>
          </w:rPr>
          <w:t>Figura 28. Representatividad de los índices hidrológicos del Bioma Amazónico a nivel nacional</w:t>
        </w:r>
        <w:r w:rsidRPr="00B450EB">
          <w:rPr>
            <w:noProof/>
            <w:webHidden/>
          </w:rPr>
          <w:tab/>
        </w:r>
        <w:r w:rsidRPr="00B450EB">
          <w:rPr>
            <w:noProof/>
            <w:webHidden/>
          </w:rPr>
          <w:fldChar w:fldCharType="begin"/>
        </w:r>
        <w:r w:rsidRPr="00B450EB">
          <w:rPr>
            <w:noProof/>
            <w:webHidden/>
          </w:rPr>
          <w:instrText xml:space="preserve"> PAGEREF _Toc209462717 \h </w:instrText>
        </w:r>
        <w:r w:rsidRPr="00B450EB">
          <w:rPr>
            <w:noProof/>
            <w:webHidden/>
          </w:rPr>
        </w:r>
        <w:r w:rsidRPr="00B450EB">
          <w:rPr>
            <w:noProof/>
            <w:webHidden/>
          </w:rPr>
          <w:fldChar w:fldCharType="separate"/>
        </w:r>
        <w:r w:rsidRPr="00B450EB">
          <w:rPr>
            <w:noProof/>
            <w:webHidden/>
          </w:rPr>
          <w:t>70</w:t>
        </w:r>
        <w:r w:rsidRPr="00B450EB">
          <w:rPr>
            <w:noProof/>
            <w:webHidden/>
          </w:rPr>
          <w:fldChar w:fldCharType="end"/>
        </w:r>
      </w:hyperlink>
    </w:p>
    <w:p w14:paraId="53B9ED96" w14:textId="3EBA3658"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8" w:history="1">
        <w:r w:rsidRPr="00B450EB">
          <w:rPr>
            <w:rStyle w:val="Hipervnculo"/>
            <w:noProof/>
            <w:color w:val="auto"/>
          </w:rPr>
          <w:t>Figura 29. Índices hidrológicos de Colombia</w:t>
        </w:r>
        <w:r w:rsidRPr="00B450EB">
          <w:rPr>
            <w:noProof/>
            <w:webHidden/>
          </w:rPr>
          <w:tab/>
        </w:r>
        <w:r w:rsidRPr="00B450EB">
          <w:rPr>
            <w:noProof/>
            <w:webHidden/>
          </w:rPr>
          <w:fldChar w:fldCharType="begin"/>
        </w:r>
        <w:r w:rsidRPr="00B450EB">
          <w:rPr>
            <w:noProof/>
            <w:webHidden/>
          </w:rPr>
          <w:instrText xml:space="preserve"> PAGEREF _Toc209462718 \h </w:instrText>
        </w:r>
        <w:r w:rsidRPr="00B450EB">
          <w:rPr>
            <w:noProof/>
            <w:webHidden/>
          </w:rPr>
        </w:r>
        <w:r w:rsidRPr="00B450EB">
          <w:rPr>
            <w:noProof/>
            <w:webHidden/>
          </w:rPr>
          <w:fldChar w:fldCharType="separate"/>
        </w:r>
        <w:r w:rsidRPr="00B450EB">
          <w:rPr>
            <w:noProof/>
            <w:webHidden/>
          </w:rPr>
          <w:t>71</w:t>
        </w:r>
        <w:r w:rsidRPr="00B450EB">
          <w:rPr>
            <w:noProof/>
            <w:webHidden/>
          </w:rPr>
          <w:fldChar w:fldCharType="end"/>
        </w:r>
      </w:hyperlink>
    </w:p>
    <w:p w14:paraId="1EDC83E3" w14:textId="43329FCC"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19" w:history="1">
        <w:r w:rsidRPr="00B450EB">
          <w:rPr>
            <w:rStyle w:val="Hipervnculo"/>
            <w:noProof/>
            <w:color w:val="auto"/>
          </w:rPr>
          <w:t>Figura.30 Unidades Cronoestratigráficas</w:t>
        </w:r>
        <w:r w:rsidRPr="00B450EB">
          <w:rPr>
            <w:noProof/>
            <w:webHidden/>
          </w:rPr>
          <w:tab/>
        </w:r>
        <w:r w:rsidRPr="00B450EB">
          <w:rPr>
            <w:noProof/>
            <w:webHidden/>
          </w:rPr>
          <w:fldChar w:fldCharType="begin"/>
        </w:r>
        <w:r w:rsidRPr="00B450EB">
          <w:rPr>
            <w:noProof/>
            <w:webHidden/>
          </w:rPr>
          <w:instrText xml:space="preserve"> PAGEREF _Toc209462719 \h </w:instrText>
        </w:r>
        <w:r w:rsidRPr="00B450EB">
          <w:rPr>
            <w:noProof/>
            <w:webHidden/>
          </w:rPr>
        </w:r>
        <w:r w:rsidRPr="00B450EB">
          <w:rPr>
            <w:noProof/>
            <w:webHidden/>
          </w:rPr>
          <w:fldChar w:fldCharType="separate"/>
        </w:r>
        <w:r w:rsidRPr="00B450EB">
          <w:rPr>
            <w:noProof/>
            <w:webHidden/>
          </w:rPr>
          <w:t>76</w:t>
        </w:r>
        <w:r w:rsidRPr="00B450EB">
          <w:rPr>
            <w:noProof/>
            <w:webHidden/>
          </w:rPr>
          <w:fldChar w:fldCharType="end"/>
        </w:r>
      </w:hyperlink>
    </w:p>
    <w:p w14:paraId="0CBC60A1" w14:textId="7BF382B5"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0" w:history="1">
        <w:r w:rsidRPr="00B450EB">
          <w:rPr>
            <w:rStyle w:val="Hipervnculo"/>
            <w:noProof/>
            <w:color w:val="auto"/>
          </w:rPr>
          <w:t>Figura.31 Unidades Litoestratigráficas con permeabilidades</w:t>
        </w:r>
        <w:r w:rsidRPr="00B450EB">
          <w:rPr>
            <w:noProof/>
            <w:webHidden/>
          </w:rPr>
          <w:tab/>
        </w:r>
        <w:r w:rsidRPr="00B450EB">
          <w:rPr>
            <w:noProof/>
            <w:webHidden/>
          </w:rPr>
          <w:fldChar w:fldCharType="begin"/>
        </w:r>
        <w:r w:rsidRPr="00B450EB">
          <w:rPr>
            <w:noProof/>
            <w:webHidden/>
          </w:rPr>
          <w:instrText xml:space="preserve"> PAGEREF _Toc209462720 \h </w:instrText>
        </w:r>
        <w:r w:rsidRPr="00B450EB">
          <w:rPr>
            <w:noProof/>
            <w:webHidden/>
          </w:rPr>
        </w:r>
        <w:r w:rsidRPr="00B450EB">
          <w:rPr>
            <w:noProof/>
            <w:webHidden/>
          </w:rPr>
          <w:fldChar w:fldCharType="separate"/>
        </w:r>
        <w:r w:rsidRPr="00B450EB">
          <w:rPr>
            <w:noProof/>
            <w:webHidden/>
          </w:rPr>
          <w:t>78</w:t>
        </w:r>
        <w:r w:rsidRPr="00B450EB">
          <w:rPr>
            <w:noProof/>
            <w:webHidden/>
          </w:rPr>
          <w:fldChar w:fldCharType="end"/>
        </w:r>
      </w:hyperlink>
    </w:p>
    <w:p w14:paraId="31D3A6B4" w14:textId="4F5C144D"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1" w:history="1">
        <w:r w:rsidRPr="00B450EB">
          <w:rPr>
            <w:rStyle w:val="Hipervnculo"/>
            <w:noProof/>
            <w:color w:val="auto"/>
          </w:rPr>
          <w:t>Figura.32 Caudal concesionado</w:t>
        </w:r>
        <w:r w:rsidRPr="00B450EB">
          <w:rPr>
            <w:noProof/>
            <w:webHidden/>
          </w:rPr>
          <w:tab/>
        </w:r>
        <w:r w:rsidRPr="00B450EB">
          <w:rPr>
            <w:noProof/>
            <w:webHidden/>
          </w:rPr>
          <w:fldChar w:fldCharType="begin"/>
        </w:r>
        <w:r w:rsidRPr="00B450EB">
          <w:rPr>
            <w:noProof/>
            <w:webHidden/>
          </w:rPr>
          <w:instrText xml:space="preserve"> PAGEREF _Toc209462721 \h </w:instrText>
        </w:r>
        <w:r w:rsidRPr="00B450EB">
          <w:rPr>
            <w:noProof/>
            <w:webHidden/>
          </w:rPr>
        </w:r>
        <w:r w:rsidRPr="00B450EB">
          <w:rPr>
            <w:noProof/>
            <w:webHidden/>
          </w:rPr>
          <w:fldChar w:fldCharType="separate"/>
        </w:r>
        <w:r w:rsidRPr="00B450EB">
          <w:rPr>
            <w:noProof/>
            <w:webHidden/>
          </w:rPr>
          <w:t>86</w:t>
        </w:r>
        <w:r w:rsidRPr="00B450EB">
          <w:rPr>
            <w:noProof/>
            <w:webHidden/>
          </w:rPr>
          <w:fldChar w:fldCharType="end"/>
        </w:r>
      </w:hyperlink>
    </w:p>
    <w:p w14:paraId="1FAF134C" w14:textId="103CF41A"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2" w:history="1">
        <w:r w:rsidRPr="00B450EB">
          <w:rPr>
            <w:rStyle w:val="Hipervnculo"/>
            <w:noProof/>
            <w:color w:val="auto"/>
          </w:rPr>
          <w:t>Figura.33 Distribución de información existente de puntos hidrogeológicos</w:t>
        </w:r>
        <w:r w:rsidRPr="00B450EB">
          <w:rPr>
            <w:noProof/>
            <w:webHidden/>
          </w:rPr>
          <w:tab/>
        </w:r>
        <w:r w:rsidRPr="00B450EB">
          <w:rPr>
            <w:noProof/>
            <w:webHidden/>
          </w:rPr>
          <w:fldChar w:fldCharType="begin"/>
        </w:r>
        <w:r w:rsidRPr="00B450EB">
          <w:rPr>
            <w:noProof/>
            <w:webHidden/>
          </w:rPr>
          <w:instrText xml:space="preserve"> PAGEREF _Toc209462722 \h </w:instrText>
        </w:r>
        <w:r w:rsidRPr="00B450EB">
          <w:rPr>
            <w:noProof/>
            <w:webHidden/>
          </w:rPr>
        </w:r>
        <w:r w:rsidRPr="00B450EB">
          <w:rPr>
            <w:noProof/>
            <w:webHidden/>
          </w:rPr>
          <w:fldChar w:fldCharType="separate"/>
        </w:r>
        <w:r w:rsidRPr="00B450EB">
          <w:rPr>
            <w:noProof/>
            <w:webHidden/>
          </w:rPr>
          <w:t>87</w:t>
        </w:r>
        <w:r w:rsidRPr="00B450EB">
          <w:rPr>
            <w:noProof/>
            <w:webHidden/>
          </w:rPr>
          <w:fldChar w:fldCharType="end"/>
        </w:r>
      </w:hyperlink>
    </w:p>
    <w:p w14:paraId="1A83FE2A" w14:textId="7EFB21A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3" w:history="1">
        <w:r w:rsidRPr="00B450EB">
          <w:rPr>
            <w:rStyle w:val="Hipervnculo"/>
            <w:noProof/>
            <w:color w:val="auto"/>
          </w:rPr>
          <w:t>Figura.34 Delimitación del Sistema Acuífero Amazónico</w:t>
        </w:r>
        <w:r w:rsidRPr="00B450EB">
          <w:rPr>
            <w:noProof/>
            <w:webHidden/>
          </w:rPr>
          <w:tab/>
        </w:r>
        <w:r w:rsidRPr="00B450EB">
          <w:rPr>
            <w:noProof/>
            <w:webHidden/>
          </w:rPr>
          <w:fldChar w:fldCharType="begin"/>
        </w:r>
        <w:r w:rsidRPr="00B450EB">
          <w:rPr>
            <w:noProof/>
            <w:webHidden/>
          </w:rPr>
          <w:instrText xml:space="preserve"> PAGEREF _Toc209462723 \h </w:instrText>
        </w:r>
        <w:r w:rsidRPr="00B450EB">
          <w:rPr>
            <w:noProof/>
            <w:webHidden/>
          </w:rPr>
        </w:r>
        <w:r w:rsidRPr="00B450EB">
          <w:rPr>
            <w:noProof/>
            <w:webHidden/>
          </w:rPr>
          <w:fldChar w:fldCharType="separate"/>
        </w:r>
        <w:r w:rsidRPr="00B450EB">
          <w:rPr>
            <w:noProof/>
            <w:webHidden/>
          </w:rPr>
          <w:t>91</w:t>
        </w:r>
        <w:r w:rsidRPr="00B450EB">
          <w:rPr>
            <w:noProof/>
            <w:webHidden/>
          </w:rPr>
          <w:fldChar w:fldCharType="end"/>
        </w:r>
      </w:hyperlink>
    </w:p>
    <w:p w14:paraId="54BA4389" w14:textId="59D58E35"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4" w:history="1">
        <w:r w:rsidRPr="00B450EB">
          <w:rPr>
            <w:rStyle w:val="Hipervnculo"/>
            <w:noProof/>
            <w:color w:val="auto"/>
          </w:rPr>
          <w:t xml:space="preserve">Figura.35 </w:t>
        </w:r>
        <w:r w:rsidRPr="00B450EB">
          <w:rPr>
            <w:rStyle w:val="Hipervnculo"/>
            <w:noProof/>
            <w:color w:val="auto"/>
            <w:lang w:val="es-ES"/>
          </w:rPr>
          <w:t>Trayectorias de los ríos aéreos en América del Sur al este de los Andes a lo largo del ciclo estacional de precipitaciones (mm mes-21) de noviembre a marzo, abril a junio, julio a agosto y septiembre a octubre, promediadas entre 1979 y 2012.</w:t>
        </w:r>
        <w:r w:rsidRPr="00B450EB">
          <w:rPr>
            <w:noProof/>
            <w:webHidden/>
          </w:rPr>
          <w:tab/>
        </w:r>
        <w:r w:rsidRPr="00B450EB">
          <w:rPr>
            <w:noProof/>
            <w:webHidden/>
          </w:rPr>
          <w:fldChar w:fldCharType="begin"/>
        </w:r>
        <w:r w:rsidRPr="00B450EB">
          <w:rPr>
            <w:noProof/>
            <w:webHidden/>
          </w:rPr>
          <w:instrText xml:space="preserve"> PAGEREF _Toc209462724 \h </w:instrText>
        </w:r>
        <w:r w:rsidRPr="00B450EB">
          <w:rPr>
            <w:noProof/>
            <w:webHidden/>
          </w:rPr>
        </w:r>
        <w:r w:rsidRPr="00B450EB">
          <w:rPr>
            <w:noProof/>
            <w:webHidden/>
          </w:rPr>
          <w:fldChar w:fldCharType="separate"/>
        </w:r>
        <w:r w:rsidRPr="00B450EB">
          <w:rPr>
            <w:noProof/>
            <w:webHidden/>
          </w:rPr>
          <w:t>93</w:t>
        </w:r>
        <w:r w:rsidRPr="00B450EB">
          <w:rPr>
            <w:noProof/>
            <w:webHidden/>
          </w:rPr>
          <w:fldChar w:fldCharType="end"/>
        </w:r>
      </w:hyperlink>
    </w:p>
    <w:p w14:paraId="08BDB40B" w14:textId="429BAE13"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5" w:history="1">
        <w:r w:rsidRPr="00B450EB">
          <w:rPr>
            <w:rStyle w:val="Hipervnculo"/>
            <w:noProof/>
            <w:color w:val="auto"/>
          </w:rPr>
          <w:t xml:space="preserve">Figura.36 </w:t>
        </w:r>
        <w:r w:rsidRPr="00B450EB">
          <w:rPr>
            <w:rStyle w:val="Hipervnculo"/>
            <w:noProof/>
            <w:color w:val="auto"/>
            <w:lang w:val="es-ES"/>
          </w:rPr>
          <w:t>Izquierda: Trayectorias de los ríos atmosféricos de septiembre a octubre a lo largo de mapa de cobertura terrestre de Sudamérica de Eva et al. [2004]. Derecha: Distribución espacial de la precipitación media de septiembre a octubre y la energía potencial convectiva disponible (CAPE) a lo largo de las trayectorias SO2 y SO3. Los dos gráficos debajo de las figuras principales muestran secciones transversales de la cobertura terrestre y la topografía a lo largo de cada trayectoria.</w:t>
        </w:r>
        <w:r w:rsidRPr="00B450EB">
          <w:rPr>
            <w:noProof/>
            <w:webHidden/>
          </w:rPr>
          <w:tab/>
        </w:r>
        <w:r w:rsidRPr="00B450EB">
          <w:rPr>
            <w:noProof/>
            <w:webHidden/>
          </w:rPr>
          <w:fldChar w:fldCharType="begin"/>
        </w:r>
        <w:r w:rsidRPr="00B450EB">
          <w:rPr>
            <w:noProof/>
            <w:webHidden/>
          </w:rPr>
          <w:instrText xml:space="preserve"> PAGEREF _Toc209462725 \h </w:instrText>
        </w:r>
        <w:r w:rsidRPr="00B450EB">
          <w:rPr>
            <w:noProof/>
            <w:webHidden/>
          </w:rPr>
        </w:r>
        <w:r w:rsidRPr="00B450EB">
          <w:rPr>
            <w:noProof/>
            <w:webHidden/>
          </w:rPr>
          <w:fldChar w:fldCharType="separate"/>
        </w:r>
        <w:r w:rsidRPr="00B450EB">
          <w:rPr>
            <w:noProof/>
            <w:webHidden/>
          </w:rPr>
          <w:t>95</w:t>
        </w:r>
        <w:r w:rsidRPr="00B450EB">
          <w:rPr>
            <w:noProof/>
            <w:webHidden/>
          </w:rPr>
          <w:fldChar w:fldCharType="end"/>
        </w:r>
      </w:hyperlink>
    </w:p>
    <w:p w14:paraId="70B0B23B" w14:textId="14F9AD2A"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6" w:history="1">
        <w:r w:rsidRPr="00B450EB">
          <w:rPr>
            <w:rStyle w:val="Hipervnculo"/>
            <w:noProof/>
            <w:color w:val="auto"/>
          </w:rPr>
          <w:t>Figura. Variabilidad37 neta porcentual, sobre la contribución del Orinoco, Amazonia y Pacifico-Andina sobre el Páramo de Chingaza, Valores promedios multianuales del 1980-2022.</w:t>
        </w:r>
        <w:r w:rsidRPr="00B450EB">
          <w:rPr>
            <w:noProof/>
            <w:webHidden/>
          </w:rPr>
          <w:tab/>
        </w:r>
        <w:r w:rsidRPr="00B450EB">
          <w:rPr>
            <w:noProof/>
            <w:webHidden/>
          </w:rPr>
          <w:fldChar w:fldCharType="begin"/>
        </w:r>
        <w:r w:rsidRPr="00B450EB">
          <w:rPr>
            <w:noProof/>
            <w:webHidden/>
          </w:rPr>
          <w:instrText xml:space="preserve"> PAGEREF _Toc209462726 \h </w:instrText>
        </w:r>
        <w:r w:rsidRPr="00B450EB">
          <w:rPr>
            <w:noProof/>
            <w:webHidden/>
          </w:rPr>
        </w:r>
        <w:r w:rsidRPr="00B450EB">
          <w:rPr>
            <w:noProof/>
            <w:webHidden/>
          </w:rPr>
          <w:fldChar w:fldCharType="separate"/>
        </w:r>
        <w:r w:rsidRPr="00B450EB">
          <w:rPr>
            <w:noProof/>
            <w:webHidden/>
          </w:rPr>
          <w:t>97</w:t>
        </w:r>
        <w:r w:rsidRPr="00B450EB">
          <w:rPr>
            <w:noProof/>
            <w:webHidden/>
          </w:rPr>
          <w:fldChar w:fldCharType="end"/>
        </w:r>
      </w:hyperlink>
    </w:p>
    <w:p w14:paraId="45B27007" w14:textId="2FE8F7FC"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7" w:history="1">
        <w:r w:rsidRPr="00B450EB">
          <w:rPr>
            <w:rStyle w:val="Hipervnculo"/>
            <w:noProof/>
            <w:color w:val="auto"/>
          </w:rPr>
          <w:t>Figura.38 Aportes de flujos de humedad año 2024</w:t>
        </w:r>
        <w:r w:rsidRPr="00B450EB">
          <w:rPr>
            <w:noProof/>
            <w:webHidden/>
          </w:rPr>
          <w:tab/>
        </w:r>
        <w:r w:rsidRPr="00B450EB">
          <w:rPr>
            <w:noProof/>
            <w:webHidden/>
          </w:rPr>
          <w:fldChar w:fldCharType="begin"/>
        </w:r>
        <w:r w:rsidRPr="00B450EB">
          <w:rPr>
            <w:noProof/>
            <w:webHidden/>
          </w:rPr>
          <w:instrText xml:space="preserve"> PAGEREF _Toc209462727 \h </w:instrText>
        </w:r>
        <w:r w:rsidRPr="00B450EB">
          <w:rPr>
            <w:noProof/>
            <w:webHidden/>
          </w:rPr>
        </w:r>
        <w:r w:rsidRPr="00B450EB">
          <w:rPr>
            <w:noProof/>
            <w:webHidden/>
          </w:rPr>
          <w:fldChar w:fldCharType="separate"/>
        </w:r>
        <w:r w:rsidRPr="00B450EB">
          <w:rPr>
            <w:noProof/>
            <w:webHidden/>
          </w:rPr>
          <w:t>100</w:t>
        </w:r>
        <w:r w:rsidRPr="00B450EB">
          <w:rPr>
            <w:noProof/>
            <w:webHidden/>
          </w:rPr>
          <w:fldChar w:fldCharType="end"/>
        </w:r>
      </w:hyperlink>
    </w:p>
    <w:p w14:paraId="69809A47" w14:textId="4B545AE5"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8" w:history="1">
        <w:r w:rsidRPr="00B450EB">
          <w:rPr>
            <w:rStyle w:val="Hipervnculo"/>
            <w:noProof/>
            <w:color w:val="auto"/>
          </w:rPr>
          <w:t>Figura.39 Aportes de flujos de humedad al páramo de Chingaza mediante modelos de flujos</w:t>
        </w:r>
        <w:r w:rsidRPr="00B450EB">
          <w:rPr>
            <w:noProof/>
            <w:webHidden/>
          </w:rPr>
          <w:tab/>
        </w:r>
        <w:r w:rsidRPr="00B450EB">
          <w:rPr>
            <w:noProof/>
            <w:webHidden/>
          </w:rPr>
          <w:fldChar w:fldCharType="begin"/>
        </w:r>
        <w:r w:rsidRPr="00B450EB">
          <w:rPr>
            <w:noProof/>
            <w:webHidden/>
          </w:rPr>
          <w:instrText xml:space="preserve"> PAGEREF _Toc209462728 \h </w:instrText>
        </w:r>
        <w:r w:rsidRPr="00B450EB">
          <w:rPr>
            <w:noProof/>
            <w:webHidden/>
          </w:rPr>
        </w:r>
        <w:r w:rsidRPr="00B450EB">
          <w:rPr>
            <w:noProof/>
            <w:webHidden/>
          </w:rPr>
          <w:fldChar w:fldCharType="separate"/>
        </w:r>
        <w:r w:rsidRPr="00B450EB">
          <w:rPr>
            <w:noProof/>
            <w:webHidden/>
          </w:rPr>
          <w:t>101</w:t>
        </w:r>
        <w:r w:rsidRPr="00B450EB">
          <w:rPr>
            <w:noProof/>
            <w:webHidden/>
          </w:rPr>
          <w:fldChar w:fldCharType="end"/>
        </w:r>
      </w:hyperlink>
    </w:p>
    <w:p w14:paraId="05AB788D" w14:textId="0685CB3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29" w:history="1">
        <w:r w:rsidRPr="00B450EB">
          <w:rPr>
            <w:rStyle w:val="Hipervnculo"/>
            <w:noProof/>
            <w:color w:val="auto"/>
          </w:rPr>
          <w:t>Figura 40. Variación Temporal de δ¹⁸O y aporte de precipitación fuente</w:t>
        </w:r>
        <w:r w:rsidRPr="00B450EB">
          <w:rPr>
            <w:noProof/>
            <w:webHidden/>
          </w:rPr>
          <w:tab/>
        </w:r>
        <w:r w:rsidRPr="00B450EB">
          <w:rPr>
            <w:noProof/>
            <w:webHidden/>
          </w:rPr>
          <w:fldChar w:fldCharType="begin"/>
        </w:r>
        <w:r w:rsidRPr="00B450EB">
          <w:rPr>
            <w:noProof/>
            <w:webHidden/>
          </w:rPr>
          <w:instrText xml:space="preserve"> PAGEREF _Toc209462729 \h </w:instrText>
        </w:r>
        <w:r w:rsidRPr="00B450EB">
          <w:rPr>
            <w:noProof/>
            <w:webHidden/>
          </w:rPr>
        </w:r>
        <w:r w:rsidRPr="00B450EB">
          <w:rPr>
            <w:noProof/>
            <w:webHidden/>
          </w:rPr>
          <w:fldChar w:fldCharType="separate"/>
        </w:r>
        <w:r w:rsidRPr="00B450EB">
          <w:rPr>
            <w:noProof/>
            <w:webHidden/>
          </w:rPr>
          <w:t>102</w:t>
        </w:r>
        <w:r w:rsidRPr="00B450EB">
          <w:rPr>
            <w:noProof/>
            <w:webHidden/>
          </w:rPr>
          <w:fldChar w:fldCharType="end"/>
        </w:r>
      </w:hyperlink>
    </w:p>
    <w:p w14:paraId="1E3C7C23" w14:textId="7E2FEEEF"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0" w:history="1">
        <w:r w:rsidRPr="00B450EB">
          <w:rPr>
            <w:rStyle w:val="Hipervnculo"/>
            <w:noProof/>
            <w:color w:val="auto"/>
          </w:rPr>
          <w:t>Figura.41 Manantiales superficiales temporadas húmeda y seca</w:t>
        </w:r>
        <w:r w:rsidRPr="00B450EB">
          <w:rPr>
            <w:noProof/>
            <w:webHidden/>
          </w:rPr>
          <w:tab/>
        </w:r>
        <w:r w:rsidRPr="00B450EB">
          <w:rPr>
            <w:noProof/>
            <w:webHidden/>
          </w:rPr>
          <w:fldChar w:fldCharType="begin"/>
        </w:r>
        <w:r w:rsidRPr="00B450EB">
          <w:rPr>
            <w:noProof/>
            <w:webHidden/>
          </w:rPr>
          <w:instrText xml:space="preserve"> PAGEREF _Toc209462730 \h </w:instrText>
        </w:r>
        <w:r w:rsidRPr="00B450EB">
          <w:rPr>
            <w:noProof/>
            <w:webHidden/>
          </w:rPr>
        </w:r>
        <w:r w:rsidRPr="00B450EB">
          <w:rPr>
            <w:noProof/>
            <w:webHidden/>
          </w:rPr>
          <w:fldChar w:fldCharType="separate"/>
        </w:r>
        <w:r w:rsidRPr="00B450EB">
          <w:rPr>
            <w:noProof/>
            <w:webHidden/>
          </w:rPr>
          <w:t>103</w:t>
        </w:r>
        <w:r w:rsidRPr="00B450EB">
          <w:rPr>
            <w:noProof/>
            <w:webHidden/>
          </w:rPr>
          <w:fldChar w:fldCharType="end"/>
        </w:r>
      </w:hyperlink>
    </w:p>
    <w:p w14:paraId="11730610" w14:textId="16F0A79F"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1" w:history="1">
        <w:r w:rsidRPr="00B450EB">
          <w:rPr>
            <w:rStyle w:val="Hipervnculo"/>
            <w:noProof/>
            <w:color w:val="auto"/>
          </w:rPr>
          <w:t>Figura.42 Comportamiento isotópico del agua lluvia en función de su asenso</w:t>
        </w:r>
        <w:r w:rsidRPr="00B450EB">
          <w:rPr>
            <w:noProof/>
            <w:webHidden/>
          </w:rPr>
          <w:tab/>
        </w:r>
        <w:r w:rsidRPr="00B450EB">
          <w:rPr>
            <w:noProof/>
            <w:webHidden/>
          </w:rPr>
          <w:fldChar w:fldCharType="begin"/>
        </w:r>
        <w:r w:rsidRPr="00B450EB">
          <w:rPr>
            <w:noProof/>
            <w:webHidden/>
          </w:rPr>
          <w:instrText xml:space="preserve"> PAGEREF _Toc209462731 \h </w:instrText>
        </w:r>
        <w:r w:rsidRPr="00B450EB">
          <w:rPr>
            <w:noProof/>
            <w:webHidden/>
          </w:rPr>
        </w:r>
        <w:r w:rsidRPr="00B450EB">
          <w:rPr>
            <w:noProof/>
            <w:webHidden/>
          </w:rPr>
          <w:fldChar w:fldCharType="separate"/>
        </w:r>
        <w:r w:rsidRPr="00B450EB">
          <w:rPr>
            <w:noProof/>
            <w:webHidden/>
          </w:rPr>
          <w:t>104</w:t>
        </w:r>
        <w:r w:rsidRPr="00B450EB">
          <w:rPr>
            <w:noProof/>
            <w:webHidden/>
          </w:rPr>
          <w:fldChar w:fldCharType="end"/>
        </w:r>
      </w:hyperlink>
    </w:p>
    <w:p w14:paraId="04BC41E6" w14:textId="6619F2BF"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2" w:history="1">
        <w:r w:rsidRPr="00B450EB">
          <w:rPr>
            <w:rStyle w:val="Hipervnculo"/>
            <w:noProof/>
            <w:color w:val="auto"/>
          </w:rPr>
          <w:t>Figura. Análisis43 periodo junio – agosto ríos voladores páramo Chingaza.</w:t>
        </w:r>
        <w:r w:rsidRPr="00B450EB">
          <w:rPr>
            <w:noProof/>
            <w:webHidden/>
          </w:rPr>
          <w:tab/>
        </w:r>
        <w:r w:rsidRPr="00B450EB">
          <w:rPr>
            <w:noProof/>
            <w:webHidden/>
          </w:rPr>
          <w:fldChar w:fldCharType="begin"/>
        </w:r>
        <w:r w:rsidRPr="00B450EB">
          <w:rPr>
            <w:noProof/>
            <w:webHidden/>
          </w:rPr>
          <w:instrText xml:space="preserve"> PAGEREF _Toc209462732 \h </w:instrText>
        </w:r>
        <w:r w:rsidRPr="00B450EB">
          <w:rPr>
            <w:noProof/>
            <w:webHidden/>
          </w:rPr>
        </w:r>
        <w:r w:rsidRPr="00B450EB">
          <w:rPr>
            <w:noProof/>
            <w:webHidden/>
          </w:rPr>
          <w:fldChar w:fldCharType="separate"/>
        </w:r>
        <w:r w:rsidRPr="00B450EB">
          <w:rPr>
            <w:noProof/>
            <w:webHidden/>
          </w:rPr>
          <w:t>105</w:t>
        </w:r>
        <w:r w:rsidRPr="00B450EB">
          <w:rPr>
            <w:noProof/>
            <w:webHidden/>
          </w:rPr>
          <w:fldChar w:fldCharType="end"/>
        </w:r>
      </w:hyperlink>
    </w:p>
    <w:p w14:paraId="4538BCDE" w14:textId="2AC73139"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3" w:history="1">
        <w:r w:rsidRPr="00B450EB">
          <w:rPr>
            <w:rStyle w:val="Hipervnculo"/>
            <w:noProof/>
            <w:color w:val="auto"/>
          </w:rPr>
          <w:t>Figura 6044. 45Puntos modelación Bioma Amazónico HYSPLIT</w:t>
        </w:r>
        <w:r w:rsidRPr="00B450EB">
          <w:rPr>
            <w:noProof/>
            <w:webHidden/>
          </w:rPr>
          <w:tab/>
        </w:r>
        <w:r w:rsidRPr="00B450EB">
          <w:rPr>
            <w:noProof/>
            <w:webHidden/>
          </w:rPr>
          <w:fldChar w:fldCharType="begin"/>
        </w:r>
        <w:r w:rsidRPr="00B450EB">
          <w:rPr>
            <w:noProof/>
            <w:webHidden/>
          </w:rPr>
          <w:instrText xml:space="preserve"> PAGEREF _Toc209462733 \h </w:instrText>
        </w:r>
        <w:r w:rsidRPr="00B450EB">
          <w:rPr>
            <w:noProof/>
            <w:webHidden/>
          </w:rPr>
        </w:r>
        <w:r w:rsidRPr="00B450EB">
          <w:rPr>
            <w:noProof/>
            <w:webHidden/>
          </w:rPr>
          <w:fldChar w:fldCharType="separate"/>
        </w:r>
        <w:r w:rsidRPr="00B450EB">
          <w:rPr>
            <w:noProof/>
            <w:webHidden/>
          </w:rPr>
          <w:t>106</w:t>
        </w:r>
        <w:r w:rsidRPr="00B450EB">
          <w:rPr>
            <w:noProof/>
            <w:webHidden/>
          </w:rPr>
          <w:fldChar w:fldCharType="end"/>
        </w:r>
      </w:hyperlink>
    </w:p>
    <w:p w14:paraId="2CB25FD9" w14:textId="7A94EBBB"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4" w:history="1">
        <w:r w:rsidRPr="00B450EB">
          <w:rPr>
            <w:rStyle w:val="Hipervnculo"/>
            <w:noProof/>
            <w:color w:val="auto"/>
          </w:rPr>
          <w:t>Figura 46. Resultados modelación baja y alta precipitación HYSPLT.</w:t>
        </w:r>
        <w:r w:rsidRPr="00B450EB">
          <w:rPr>
            <w:noProof/>
            <w:webHidden/>
          </w:rPr>
          <w:tab/>
        </w:r>
        <w:r w:rsidRPr="00B450EB">
          <w:rPr>
            <w:noProof/>
            <w:webHidden/>
          </w:rPr>
          <w:fldChar w:fldCharType="begin"/>
        </w:r>
        <w:r w:rsidRPr="00B450EB">
          <w:rPr>
            <w:noProof/>
            <w:webHidden/>
          </w:rPr>
          <w:instrText xml:space="preserve"> PAGEREF _Toc209462734 \h </w:instrText>
        </w:r>
        <w:r w:rsidRPr="00B450EB">
          <w:rPr>
            <w:noProof/>
            <w:webHidden/>
          </w:rPr>
        </w:r>
        <w:r w:rsidRPr="00B450EB">
          <w:rPr>
            <w:noProof/>
            <w:webHidden/>
          </w:rPr>
          <w:fldChar w:fldCharType="separate"/>
        </w:r>
        <w:r w:rsidRPr="00B450EB">
          <w:rPr>
            <w:noProof/>
            <w:webHidden/>
          </w:rPr>
          <w:t>107</w:t>
        </w:r>
        <w:r w:rsidRPr="00B450EB">
          <w:rPr>
            <w:noProof/>
            <w:webHidden/>
          </w:rPr>
          <w:fldChar w:fldCharType="end"/>
        </w:r>
      </w:hyperlink>
    </w:p>
    <w:p w14:paraId="5213E172" w14:textId="550B3AFB"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5" w:history="1">
        <w:r w:rsidRPr="00B450EB">
          <w:rPr>
            <w:rStyle w:val="Hipervnculo"/>
            <w:noProof/>
            <w:color w:val="auto"/>
          </w:rPr>
          <w:t>Figura 47.</w:t>
        </w:r>
        <w:r w:rsidRPr="00B450EB">
          <w:rPr>
            <w:rStyle w:val="Hipervnculo"/>
            <w:rFonts w:eastAsia="Arial" w:cs="Arial"/>
            <w:noProof/>
            <w:color w:val="auto"/>
          </w:rPr>
          <w:t>Áreas de endemismo para la Amazonía colombiana</w:t>
        </w:r>
        <w:r w:rsidRPr="00B450EB">
          <w:rPr>
            <w:noProof/>
            <w:webHidden/>
          </w:rPr>
          <w:tab/>
        </w:r>
        <w:r w:rsidRPr="00B450EB">
          <w:rPr>
            <w:noProof/>
            <w:webHidden/>
          </w:rPr>
          <w:fldChar w:fldCharType="begin"/>
        </w:r>
        <w:r w:rsidRPr="00B450EB">
          <w:rPr>
            <w:noProof/>
            <w:webHidden/>
          </w:rPr>
          <w:instrText xml:space="preserve"> PAGEREF _Toc209462735 \h </w:instrText>
        </w:r>
        <w:r w:rsidRPr="00B450EB">
          <w:rPr>
            <w:noProof/>
            <w:webHidden/>
          </w:rPr>
        </w:r>
        <w:r w:rsidRPr="00B450EB">
          <w:rPr>
            <w:noProof/>
            <w:webHidden/>
          </w:rPr>
          <w:fldChar w:fldCharType="separate"/>
        </w:r>
        <w:r w:rsidRPr="00B450EB">
          <w:rPr>
            <w:noProof/>
            <w:webHidden/>
          </w:rPr>
          <w:t>110</w:t>
        </w:r>
        <w:r w:rsidRPr="00B450EB">
          <w:rPr>
            <w:noProof/>
            <w:webHidden/>
          </w:rPr>
          <w:fldChar w:fldCharType="end"/>
        </w:r>
      </w:hyperlink>
    </w:p>
    <w:p w14:paraId="5FBCB58B" w14:textId="024BBCC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6" w:history="1">
        <w:r w:rsidRPr="00B450EB">
          <w:rPr>
            <w:rStyle w:val="Hipervnculo"/>
            <w:noProof/>
            <w:color w:val="auto"/>
          </w:rPr>
          <w:t>Figura 48. Coberturas de la tierra 2022 (IDEAM, 2025); 2024 (SINCHI, 2024) en el bioma amazónico.</w:t>
        </w:r>
        <w:r w:rsidRPr="00B450EB">
          <w:rPr>
            <w:noProof/>
            <w:webHidden/>
          </w:rPr>
          <w:tab/>
        </w:r>
        <w:r w:rsidRPr="00B450EB">
          <w:rPr>
            <w:noProof/>
            <w:webHidden/>
          </w:rPr>
          <w:fldChar w:fldCharType="begin"/>
        </w:r>
        <w:r w:rsidRPr="00B450EB">
          <w:rPr>
            <w:noProof/>
            <w:webHidden/>
          </w:rPr>
          <w:instrText xml:space="preserve"> PAGEREF _Toc209462736 \h </w:instrText>
        </w:r>
        <w:r w:rsidRPr="00B450EB">
          <w:rPr>
            <w:noProof/>
            <w:webHidden/>
          </w:rPr>
        </w:r>
        <w:r w:rsidRPr="00B450EB">
          <w:rPr>
            <w:noProof/>
            <w:webHidden/>
          </w:rPr>
          <w:fldChar w:fldCharType="separate"/>
        </w:r>
        <w:r w:rsidRPr="00B450EB">
          <w:rPr>
            <w:noProof/>
            <w:webHidden/>
          </w:rPr>
          <w:t>111</w:t>
        </w:r>
        <w:r w:rsidRPr="00B450EB">
          <w:rPr>
            <w:noProof/>
            <w:webHidden/>
          </w:rPr>
          <w:fldChar w:fldCharType="end"/>
        </w:r>
      </w:hyperlink>
    </w:p>
    <w:p w14:paraId="658D7B3F" w14:textId="3CDE482B"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7" w:history="1">
        <w:r w:rsidRPr="00B450EB">
          <w:rPr>
            <w:rStyle w:val="Hipervnculo"/>
            <w:noProof/>
            <w:color w:val="auto"/>
          </w:rPr>
          <w:t>Figura 49. Perdida de Cobertura Arborea en la Amazonía colombiana</w:t>
        </w:r>
        <w:r w:rsidRPr="00B450EB">
          <w:rPr>
            <w:noProof/>
            <w:webHidden/>
          </w:rPr>
          <w:tab/>
        </w:r>
        <w:r w:rsidRPr="00B450EB">
          <w:rPr>
            <w:noProof/>
            <w:webHidden/>
          </w:rPr>
          <w:fldChar w:fldCharType="begin"/>
        </w:r>
        <w:r w:rsidRPr="00B450EB">
          <w:rPr>
            <w:noProof/>
            <w:webHidden/>
          </w:rPr>
          <w:instrText xml:space="preserve"> PAGEREF _Toc209462737 \h </w:instrText>
        </w:r>
        <w:r w:rsidRPr="00B450EB">
          <w:rPr>
            <w:noProof/>
            <w:webHidden/>
          </w:rPr>
        </w:r>
        <w:r w:rsidRPr="00B450EB">
          <w:rPr>
            <w:noProof/>
            <w:webHidden/>
          </w:rPr>
          <w:fldChar w:fldCharType="separate"/>
        </w:r>
        <w:r w:rsidRPr="00B450EB">
          <w:rPr>
            <w:noProof/>
            <w:webHidden/>
          </w:rPr>
          <w:t>114</w:t>
        </w:r>
        <w:r w:rsidRPr="00B450EB">
          <w:rPr>
            <w:noProof/>
            <w:webHidden/>
          </w:rPr>
          <w:fldChar w:fldCharType="end"/>
        </w:r>
      </w:hyperlink>
    </w:p>
    <w:p w14:paraId="7FBE1359" w14:textId="1AD5DF60"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8" w:history="1">
        <w:r w:rsidRPr="00B450EB">
          <w:rPr>
            <w:rStyle w:val="Hipervnculo"/>
            <w:noProof/>
            <w:color w:val="auto"/>
          </w:rPr>
          <w:t>Figura 50. Perdida de Bosque 2022-2024. Escala 1:100.000</w:t>
        </w:r>
        <w:r w:rsidRPr="00B450EB">
          <w:rPr>
            <w:noProof/>
            <w:webHidden/>
          </w:rPr>
          <w:tab/>
        </w:r>
        <w:r w:rsidRPr="00B450EB">
          <w:rPr>
            <w:noProof/>
            <w:webHidden/>
          </w:rPr>
          <w:fldChar w:fldCharType="begin"/>
        </w:r>
        <w:r w:rsidRPr="00B450EB">
          <w:rPr>
            <w:noProof/>
            <w:webHidden/>
          </w:rPr>
          <w:instrText xml:space="preserve"> PAGEREF _Toc209462738 \h </w:instrText>
        </w:r>
        <w:r w:rsidRPr="00B450EB">
          <w:rPr>
            <w:noProof/>
            <w:webHidden/>
          </w:rPr>
        </w:r>
        <w:r w:rsidRPr="00B450EB">
          <w:rPr>
            <w:noProof/>
            <w:webHidden/>
          </w:rPr>
          <w:fldChar w:fldCharType="separate"/>
        </w:r>
        <w:r w:rsidRPr="00B450EB">
          <w:rPr>
            <w:noProof/>
            <w:webHidden/>
          </w:rPr>
          <w:t>115</w:t>
        </w:r>
        <w:r w:rsidRPr="00B450EB">
          <w:rPr>
            <w:noProof/>
            <w:webHidden/>
          </w:rPr>
          <w:fldChar w:fldCharType="end"/>
        </w:r>
      </w:hyperlink>
    </w:p>
    <w:p w14:paraId="39F93A03" w14:textId="328FE1CD"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39" w:history="1">
        <w:r w:rsidRPr="00B450EB">
          <w:rPr>
            <w:rStyle w:val="Hipervnculo"/>
            <w:rFonts w:eastAsia="Calibri" w:cs="Arial"/>
            <w:i/>
            <w:iCs/>
            <w:noProof/>
            <w:color w:val="auto"/>
          </w:rPr>
          <w:t>Figura 51. Deforestación (Histórico de deforestación IDEAM)</w:t>
        </w:r>
        <w:r w:rsidRPr="00B450EB">
          <w:rPr>
            <w:noProof/>
            <w:webHidden/>
          </w:rPr>
          <w:tab/>
        </w:r>
        <w:r w:rsidRPr="00B450EB">
          <w:rPr>
            <w:noProof/>
            <w:webHidden/>
          </w:rPr>
          <w:fldChar w:fldCharType="begin"/>
        </w:r>
        <w:r w:rsidRPr="00B450EB">
          <w:rPr>
            <w:noProof/>
            <w:webHidden/>
          </w:rPr>
          <w:instrText xml:space="preserve"> PAGEREF _Toc209462739 \h </w:instrText>
        </w:r>
        <w:r w:rsidRPr="00B450EB">
          <w:rPr>
            <w:noProof/>
            <w:webHidden/>
          </w:rPr>
        </w:r>
        <w:r w:rsidRPr="00B450EB">
          <w:rPr>
            <w:noProof/>
            <w:webHidden/>
          </w:rPr>
          <w:fldChar w:fldCharType="separate"/>
        </w:r>
        <w:r w:rsidRPr="00B450EB">
          <w:rPr>
            <w:noProof/>
            <w:webHidden/>
          </w:rPr>
          <w:t>116</w:t>
        </w:r>
        <w:r w:rsidRPr="00B450EB">
          <w:rPr>
            <w:noProof/>
            <w:webHidden/>
          </w:rPr>
          <w:fldChar w:fldCharType="end"/>
        </w:r>
      </w:hyperlink>
    </w:p>
    <w:p w14:paraId="29336885" w14:textId="2A5055E4"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0" w:history="1">
        <w:r w:rsidRPr="00B450EB">
          <w:rPr>
            <w:rStyle w:val="Hipervnculo"/>
            <w:noProof/>
            <w:color w:val="auto"/>
          </w:rPr>
          <w:t>Figura 52 Patrón espacial de riqueza de artrópodos en el bioma amazónico</w:t>
        </w:r>
        <w:r w:rsidRPr="00B450EB">
          <w:rPr>
            <w:noProof/>
            <w:webHidden/>
          </w:rPr>
          <w:tab/>
        </w:r>
        <w:r w:rsidRPr="00B450EB">
          <w:rPr>
            <w:noProof/>
            <w:webHidden/>
          </w:rPr>
          <w:fldChar w:fldCharType="begin"/>
        </w:r>
        <w:r w:rsidRPr="00B450EB">
          <w:rPr>
            <w:noProof/>
            <w:webHidden/>
          </w:rPr>
          <w:instrText xml:space="preserve"> PAGEREF _Toc209462740 \h </w:instrText>
        </w:r>
        <w:r w:rsidRPr="00B450EB">
          <w:rPr>
            <w:noProof/>
            <w:webHidden/>
          </w:rPr>
        </w:r>
        <w:r w:rsidRPr="00B450EB">
          <w:rPr>
            <w:noProof/>
            <w:webHidden/>
          </w:rPr>
          <w:fldChar w:fldCharType="separate"/>
        </w:r>
        <w:r w:rsidRPr="00B450EB">
          <w:rPr>
            <w:noProof/>
            <w:webHidden/>
          </w:rPr>
          <w:t>125</w:t>
        </w:r>
        <w:r w:rsidRPr="00B450EB">
          <w:rPr>
            <w:noProof/>
            <w:webHidden/>
          </w:rPr>
          <w:fldChar w:fldCharType="end"/>
        </w:r>
      </w:hyperlink>
    </w:p>
    <w:p w14:paraId="343D9195" w14:textId="65FD4218"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1" w:history="1">
        <w:r w:rsidRPr="00B450EB">
          <w:rPr>
            <w:rStyle w:val="Hipervnculo"/>
            <w:noProof/>
            <w:color w:val="auto"/>
          </w:rPr>
          <w:t>Figura 53 Riqueza y número de especies endémicas de peces en el bioma amazónico por subzona hidrográfica</w:t>
        </w:r>
        <w:r w:rsidRPr="00B450EB">
          <w:rPr>
            <w:noProof/>
            <w:webHidden/>
          </w:rPr>
          <w:tab/>
        </w:r>
        <w:r w:rsidRPr="00B450EB">
          <w:rPr>
            <w:noProof/>
            <w:webHidden/>
          </w:rPr>
          <w:fldChar w:fldCharType="begin"/>
        </w:r>
        <w:r w:rsidRPr="00B450EB">
          <w:rPr>
            <w:noProof/>
            <w:webHidden/>
          </w:rPr>
          <w:instrText xml:space="preserve"> PAGEREF _Toc209462741 \h </w:instrText>
        </w:r>
        <w:r w:rsidRPr="00B450EB">
          <w:rPr>
            <w:noProof/>
            <w:webHidden/>
          </w:rPr>
        </w:r>
        <w:r w:rsidRPr="00B450EB">
          <w:rPr>
            <w:noProof/>
            <w:webHidden/>
          </w:rPr>
          <w:fldChar w:fldCharType="separate"/>
        </w:r>
        <w:r w:rsidRPr="00B450EB">
          <w:rPr>
            <w:noProof/>
            <w:webHidden/>
          </w:rPr>
          <w:t>128</w:t>
        </w:r>
        <w:r w:rsidRPr="00B450EB">
          <w:rPr>
            <w:noProof/>
            <w:webHidden/>
          </w:rPr>
          <w:fldChar w:fldCharType="end"/>
        </w:r>
      </w:hyperlink>
    </w:p>
    <w:p w14:paraId="3906BDBF" w14:textId="529045F6"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2" w:history="1">
        <w:r w:rsidRPr="00B450EB">
          <w:rPr>
            <w:rStyle w:val="Hipervnculo"/>
            <w:noProof/>
            <w:color w:val="auto"/>
          </w:rPr>
          <w:t>Figura 54 . Patrón espacial de riqueza de anfibios (izquierda) y reptiles (derecha) en el bioma amazónico.</w:t>
        </w:r>
        <w:r w:rsidRPr="00B450EB">
          <w:rPr>
            <w:noProof/>
            <w:webHidden/>
          </w:rPr>
          <w:tab/>
        </w:r>
        <w:r w:rsidRPr="00B450EB">
          <w:rPr>
            <w:noProof/>
            <w:webHidden/>
          </w:rPr>
          <w:fldChar w:fldCharType="begin"/>
        </w:r>
        <w:r w:rsidRPr="00B450EB">
          <w:rPr>
            <w:noProof/>
            <w:webHidden/>
          </w:rPr>
          <w:instrText xml:space="preserve"> PAGEREF _Toc209462742 \h </w:instrText>
        </w:r>
        <w:r w:rsidRPr="00B450EB">
          <w:rPr>
            <w:noProof/>
            <w:webHidden/>
          </w:rPr>
        </w:r>
        <w:r w:rsidRPr="00B450EB">
          <w:rPr>
            <w:noProof/>
            <w:webHidden/>
          </w:rPr>
          <w:fldChar w:fldCharType="separate"/>
        </w:r>
        <w:r w:rsidRPr="00B450EB">
          <w:rPr>
            <w:noProof/>
            <w:webHidden/>
          </w:rPr>
          <w:t>131</w:t>
        </w:r>
        <w:r w:rsidRPr="00B450EB">
          <w:rPr>
            <w:noProof/>
            <w:webHidden/>
          </w:rPr>
          <w:fldChar w:fldCharType="end"/>
        </w:r>
      </w:hyperlink>
    </w:p>
    <w:p w14:paraId="52AA2034" w14:textId="4D7CFB6C"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3" w:history="1">
        <w:r w:rsidRPr="00B450EB">
          <w:rPr>
            <w:rStyle w:val="Hipervnculo"/>
            <w:noProof/>
            <w:color w:val="auto"/>
          </w:rPr>
          <w:t>Figura 55 Patrón espacial de riqueza de aves en el bioma amazónico</w:t>
        </w:r>
        <w:r w:rsidRPr="00B450EB">
          <w:rPr>
            <w:noProof/>
            <w:webHidden/>
          </w:rPr>
          <w:tab/>
        </w:r>
        <w:r w:rsidRPr="00B450EB">
          <w:rPr>
            <w:noProof/>
            <w:webHidden/>
          </w:rPr>
          <w:fldChar w:fldCharType="begin"/>
        </w:r>
        <w:r w:rsidRPr="00B450EB">
          <w:rPr>
            <w:noProof/>
            <w:webHidden/>
          </w:rPr>
          <w:instrText xml:space="preserve"> PAGEREF _Toc209462743 \h </w:instrText>
        </w:r>
        <w:r w:rsidRPr="00B450EB">
          <w:rPr>
            <w:noProof/>
            <w:webHidden/>
          </w:rPr>
        </w:r>
        <w:r w:rsidRPr="00B450EB">
          <w:rPr>
            <w:noProof/>
            <w:webHidden/>
          </w:rPr>
          <w:fldChar w:fldCharType="separate"/>
        </w:r>
        <w:r w:rsidRPr="00B450EB">
          <w:rPr>
            <w:noProof/>
            <w:webHidden/>
          </w:rPr>
          <w:t>132</w:t>
        </w:r>
        <w:r w:rsidRPr="00B450EB">
          <w:rPr>
            <w:noProof/>
            <w:webHidden/>
          </w:rPr>
          <w:fldChar w:fldCharType="end"/>
        </w:r>
      </w:hyperlink>
    </w:p>
    <w:p w14:paraId="63A2403B" w14:textId="7AB8D170"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4" w:history="1">
        <w:r w:rsidRPr="00B450EB">
          <w:rPr>
            <w:rStyle w:val="Hipervnculo"/>
            <w:noProof/>
            <w:color w:val="auto"/>
          </w:rPr>
          <w:t>Figura 56 . Patrón espacial de riqueza de mamíferos en el bioma amazónico</w:t>
        </w:r>
        <w:r w:rsidRPr="00B450EB">
          <w:rPr>
            <w:noProof/>
            <w:webHidden/>
          </w:rPr>
          <w:tab/>
        </w:r>
        <w:r w:rsidRPr="00B450EB">
          <w:rPr>
            <w:noProof/>
            <w:webHidden/>
          </w:rPr>
          <w:fldChar w:fldCharType="begin"/>
        </w:r>
        <w:r w:rsidRPr="00B450EB">
          <w:rPr>
            <w:noProof/>
            <w:webHidden/>
          </w:rPr>
          <w:instrText xml:space="preserve"> PAGEREF _Toc209462744 \h </w:instrText>
        </w:r>
        <w:r w:rsidRPr="00B450EB">
          <w:rPr>
            <w:noProof/>
            <w:webHidden/>
          </w:rPr>
        </w:r>
        <w:r w:rsidRPr="00B450EB">
          <w:rPr>
            <w:noProof/>
            <w:webHidden/>
          </w:rPr>
          <w:fldChar w:fldCharType="separate"/>
        </w:r>
        <w:r w:rsidRPr="00B450EB">
          <w:rPr>
            <w:noProof/>
            <w:webHidden/>
          </w:rPr>
          <w:t>133</w:t>
        </w:r>
        <w:r w:rsidRPr="00B450EB">
          <w:rPr>
            <w:noProof/>
            <w:webHidden/>
          </w:rPr>
          <w:fldChar w:fldCharType="end"/>
        </w:r>
      </w:hyperlink>
    </w:p>
    <w:p w14:paraId="6287135D" w14:textId="5AACF4E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5" w:history="1">
        <w:r w:rsidRPr="00B450EB">
          <w:rPr>
            <w:rStyle w:val="Hipervnculo"/>
            <w:noProof/>
            <w:color w:val="auto"/>
          </w:rPr>
          <w:t>Figura 57. Riqueza de especies de primates en la Amazonía colombiana</w:t>
        </w:r>
        <w:r w:rsidRPr="00B450EB">
          <w:rPr>
            <w:noProof/>
            <w:webHidden/>
          </w:rPr>
          <w:tab/>
        </w:r>
        <w:r w:rsidRPr="00B450EB">
          <w:rPr>
            <w:noProof/>
            <w:webHidden/>
          </w:rPr>
          <w:fldChar w:fldCharType="begin"/>
        </w:r>
        <w:r w:rsidRPr="00B450EB">
          <w:rPr>
            <w:noProof/>
            <w:webHidden/>
          </w:rPr>
          <w:instrText xml:space="preserve"> PAGEREF _Toc209462745 \h </w:instrText>
        </w:r>
        <w:r w:rsidRPr="00B450EB">
          <w:rPr>
            <w:noProof/>
            <w:webHidden/>
          </w:rPr>
        </w:r>
        <w:r w:rsidRPr="00B450EB">
          <w:rPr>
            <w:noProof/>
            <w:webHidden/>
          </w:rPr>
          <w:fldChar w:fldCharType="separate"/>
        </w:r>
        <w:r w:rsidRPr="00B450EB">
          <w:rPr>
            <w:noProof/>
            <w:webHidden/>
          </w:rPr>
          <w:t>134</w:t>
        </w:r>
        <w:r w:rsidRPr="00B450EB">
          <w:rPr>
            <w:noProof/>
            <w:webHidden/>
          </w:rPr>
          <w:fldChar w:fldCharType="end"/>
        </w:r>
      </w:hyperlink>
    </w:p>
    <w:p w14:paraId="72FEC141" w14:textId="627AC9F5"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6" w:history="1">
        <w:r w:rsidRPr="00B450EB">
          <w:rPr>
            <w:rStyle w:val="Hipervnculo"/>
            <w:noProof/>
            <w:color w:val="auto"/>
          </w:rPr>
          <w:t>Figura 58. Ocurrencia de algunas especies registradas como endémicas para Colombia y con distribución amazónica</w:t>
        </w:r>
        <w:r w:rsidRPr="00B450EB">
          <w:rPr>
            <w:noProof/>
            <w:webHidden/>
          </w:rPr>
          <w:tab/>
        </w:r>
        <w:r w:rsidRPr="00B450EB">
          <w:rPr>
            <w:noProof/>
            <w:webHidden/>
          </w:rPr>
          <w:fldChar w:fldCharType="begin"/>
        </w:r>
        <w:r w:rsidRPr="00B450EB">
          <w:rPr>
            <w:noProof/>
            <w:webHidden/>
          </w:rPr>
          <w:instrText xml:space="preserve"> PAGEREF _Toc209462746 \h </w:instrText>
        </w:r>
        <w:r w:rsidRPr="00B450EB">
          <w:rPr>
            <w:noProof/>
            <w:webHidden/>
          </w:rPr>
        </w:r>
        <w:r w:rsidRPr="00B450EB">
          <w:rPr>
            <w:noProof/>
            <w:webHidden/>
          </w:rPr>
          <w:fldChar w:fldCharType="separate"/>
        </w:r>
        <w:r w:rsidRPr="00B450EB">
          <w:rPr>
            <w:noProof/>
            <w:webHidden/>
          </w:rPr>
          <w:t>135</w:t>
        </w:r>
        <w:r w:rsidRPr="00B450EB">
          <w:rPr>
            <w:noProof/>
            <w:webHidden/>
          </w:rPr>
          <w:fldChar w:fldCharType="end"/>
        </w:r>
      </w:hyperlink>
    </w:p>
    <w:p w14:paraId="3248DF16" w14:textId="3286B71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7" w:history="1">
        <w:r w:rsidRPr="00B450EB">
          <w:rPr>
            <w:rStyle w:val="Hipervnculo"/>
            <w:noProof/>
            <w:color w:val="auto"/>
          </w:rPr>
          <w:t>Figura 59. Distribución potencial de aves presentes en la Amazonía colombiana en categoría de amenaza con biomodelos del Instituto Alexander von Humboldt</w:t>
        </w:r>
        <w:r w:rsidRPr="00B450EB">
          <w:rPr>
            <w:noProof/>
            <w:webHidden/>
          </w:rPr>
          <w:tab/>
        </w:r>
        <w:r w:rsidRPr="00B450EB">
          <w:rPr>
            <w:noProof/>
            <w:webHidden/>
          </w:rPr>
          <w:fldChar w:fldCharType="begin"/>
        </w:r>
        <w:r w:rsidRPr="00B450EB">
          <w:rPr>
            <w:noProof/>
            <w:webHidden/>
          </w:rPr>
          <w:instrText xml:space="preserve"> PAGEREF _Toc209462747 \h </w:instrText>
        </w:r>
        <w:r w:rsidRPr="00B450EB">
          <w:rPr>
            <w:noProof/>
            <w:webHidden/>
          </w:rPr>
        </w:r>
        <w:r w:rsidRPr="00B450EB">
          <w:rPr>
            <w:noProof/>
            <w:webHidden/>
          </w:rPr>
          <w:fldChar w:fldCharType="separate"/>
        </w:r>
        <w:r w:rsidRPr="00B450EB">
          <w:rPr>
            <w:noProof/>
            <w:webHidden/>
          </w:rPr>
          <w:t>138</w:t>
        </w:r>
        <w:r w:rsidRPr="00B450EB">
          <w:rPr>
            <w:noProof/>
            <w:webHidden/>
          </w:rPr>
          <w:fldChar w:fldCharType="end"/>
        </w:r>
      </w:hyperlink>
    </w:p>
    <w:p w14:paraId="30A32E3A" w14:textId="75A68203"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8" w:history="1">
        <w:r w:rsidRPr="00B450EB">
          <w:rPr>
            <w:rStyle w:val="Hipervnculo"/>
            <w:noProof/>
            <w:color w:val="auto"/>
          </w:rPr>
          <w:t>Figura 60. Distribución potencial de especies de fauna amenazada que coexiste en la Amazonía colombiana</w:t>
        </w:r>
        <w:r w:rsidRPr="00B450EB">
          <w:rPr>
            <w:noProof/>
            <w:webHidden/>
          </w:rPr>
          <w:tab/>
        </w:r>
        <w:r w:rsidRPr="00B450EB">
          <w:rPr>
            <w:noProof/>
            <w:webHidden/>
          </w:rPr>
          <w:fldChar w:fldCharType="begin"/>
        </w:r>
        <w:r w:rsidRPr="00B450EB">
          <w:rPr>
            <w:noProof/>
            <w:webHidden/>
          </w:rPr>
          <w:instrText xml:space="preserve"> PAGEREF _Toc209462748 \h </w:instrText>
        </w:r>
        <w:r w:rsidRPr="00B450EB">
          <w:rPr>
            <w:noProof/>
            <w:webHidden/>
          </w:rPr>
        </w:r>
        <w:r w:rsidRPr="00B450EB">
          <w:rPr>
            <w:noProof/>
            <w:webHidden/>
          </w:rPr>
          <w:fldChar w:fldCharType="separate"/>
        </w:r>
        <w:r w:rsidRPr="00B450EB">
          <w:rPr>
            <w:noProof/>
            <w:webHidden/>
          </w:rPr>
          <w:t>139</w:t>
        </w:r>
        <w:r w:rsidRPr="00B450EB">
          <w:rPr>
            <w:noProof/>
            <w:webHidden/>
          </w:rPr>
          <w:fldChar w:fldCharType="end"/>
        </w:r>
      </w:hyperlink>
    </w:p>
    <w:p w14:paraId="7F313BBC" w14:textId="078C3726"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49" w:history="1">
        <w:r w:rsidRPr="00B450EB">
          <w:rPr>
            <w:rStyle w:val="Hipervnculo"/>
            <w:noProof/>
            <w:color w:val="auto"/>
          </w:rPr>
          <w:t>Figura 61. Modelo de distribución de especies de fauna y flora terrestres en Colombia consolidado de los bio-modelos del Instituto Alexander von Humboldt</w:t>
        </w:r>
        <w:r w:rsidRPr="00B450EB">
          <w:rPr>
            <w:noProof/>
            <w:webHidden/>
          </w:rPr>
          <w:tab/>
        </w:r>
        <w:r w:rsidRPr="00B450EB">
          <w:rPr>
            <w:noProof/>
            <w:webHidden/>
          </w:rPr>
          <w:fldChar w:fldCharType="begin"/>
        </w:r>
        <w:r w:rsidRPr="00B450EB">
          <w:rPr>
            <w:noProof/>
            <w:webHidden/>
          </w:rPr>
          <w:instrText xml:space="preserve"> PAGEREF _Toc209462749 \h </w:instrText>
        </w:r>
        <w:r w:rsidRPr="00B450EB">
          <w:rPr>
            <w:noProof/>
            <w:webHidden/>
          </w:rPr>
        </w:r>
        <w:r w:rsidRPr="00B450EB">
          <w:rPr>
            <w:noProof/>
            <w:webHidden/>
          </w:rPr>
          <w:fldChar w:fldCharType="separate"/>
        </w:r>
        <w:r w:rsidRPr="00B450EB">
          <w:rPr>
            <w:noProof/>
            <w:webHidden/>
          </w:rPr>
          <w:t>140</w:t>
        </w:r>
        <w:r w:rsidRPr="00B450EB">
          <w:rPr>
            <w:noProof/>
            <w:webHidden/>
          </w:rPr>
          <w:fldChar w:fldCharType="end"/>
        </w:r>
      </w:hyperlink>
    </w:p>
    <w:p w14:paraId="1ECDA53E" w14:textId="0AD3E95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0" w:history="1">
        <w:r w:rsidRPr="00B450EB">
          <w:rPr>
            <w:rStyle w:val="Hipervnculo"/>
            <w:noProof/>
            <w:color w:val="auto"/>
          </w:rPr>
          <w:t>Figura 62. Especies de fauna y flora endémicas, exóticas, amenazadas y en CITES por departamento de la Amazonía colombiana</w:t>
        </w:r>
        <w:r w:rsidRPr="00B450EB">
          <w:rPr>
            <w:noProof/>
            <w:webHidden/>
          </w:rPr>
          <w:tab/>
        </w:r>
        <w:r w:rsidRPr="00B450EB">
          <w:rPr>
            <w:noProof/>
            <w:webHidden/>
          </w:rPr>
          <w:fldChar w:fldCharType="begin"/>
        </w:r>
        <w:r w:rsidRPr="00B450EB">
          <w:rPr>
            <w:noProof/>
            <w:webHidden/>
          </w:rPr>
          <w:instrText xml:space="preserve"> PAGEREF _Toc209462750 \h </w:instrText>
        </w:r>
        <w:r w:rsidRPr="00B450EB">
          <w:rPr>
            <w:noProof/>
            <w:webHidden/>
          </w:rPr>
        </w:r>
        <w:r w:rsidRPr="00B450EB">
          <w:rPr>
            <w:noProof/>
            <w:webHidden/>
          </w:rPr>
          <w:fldChar w:fldCharType="separate"/>
        </w:r>
        <w:r w:rsidRPr="00B450EB">
          <w:rPr>
            <w:noProof/>
            <w:webHidden/>
          </w:rPr>
          <w:t>142</w:t>
        </w:r>
        <w:r w:rsidRPr="00B450EB">
          <w:rPr>
            <w:noProof/>
            <w:webHidden/>
          </w:rPr>
          <w:fldChar w:fldCharType="end"/>
        </w:r>
      </w:hyperlink>
    </w:p>
    <w:p w14:paraId="5248FE6F" w14:textId="38A54ED0"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1" w:history="1">
        <w:r w:rsidRPr="00B450EB">
          <w:rPr>
            <w:rStyle w:val="Hipervnculo"/>
            <w:noProof/>
            <w:color w:val="auto"/>
          </w:rPr>
          <w:t>Figura 63 Corredores de conectividad priorizados para mantener la conexión Andes-Amazonia-Orinoquia</w:t>
        </w:r>
        <w:r w:rsidRPr="00B450EB">
          <w:rPr>
            <w:noProof/>
            <w:webHidden/>
          </w:rPr>
          <w:tab/>
        </w:r>
        <w:r w:rsidRPr="00B450EB">
          <w:rPr>
            <w:noProof/>
            <w:webHidden/>
          </w:rPr>
          <w:fldChar w:fldCharType="begin"/>
        </w:r>
        <w:r w:rsidRPr="00B450EB">
          <w:rPr>
            <w:noProof/>
            <w:webHidden/>
          </w:rPr>
          <w:instrText xml:space="preserve"> PAGEREF _Toc209462751 \h </w:instrText>
        </w:r>
        <w:r w:rsidRPr="00B450EB">
          <w:rPr>
            <w:noProof/>
            <w:webHidden/>
          </w:rPr>
        </w:r>
        <w:r w:rsidRPr="00B450EB">
          <w:rPr>
            <w:noProof/>
            <w:webHidden/>
          </w:rPr>
          <w:fldChar w:fldCharType="separate"/>
        </w:r>
        <w:r w:rsidRPr="00B450EB">
          <w:rPr>
            <w:noProof/>
            <w:webHidden/>
          </w:rPr>
          <w:t>146</w:t>
        </w:r>
        <w:r w:rsidRPr="00B450EB">
          <w:rPr>
            <w:noProof/>
            <w:webHidden/>
          </w:rPr>
          <w:fldChar w:fldCharType="end"/>
        </w:r>
      </w:hyperlink>
    </w:p>
    <w:p w14:paraId="5555CA08" w14:textId="71A538D6"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2" w:history="1">
        <w:r w:rsidRPr="00B450EB">
          <w:rPr>
            <w:rStyle w:val="Hipervnculo"/>
            <w:noProof/>
            <w:color w:val="auto"/>
          </w:rPr>
          <w:t>Figura 64 Corredores de conectividad priorizados para el jaguar (Panthera onca)</w:t>
        </w:r>
        <w:r w:rsidRPr="00B450EB">
          <w:rPr>
            <w:noProof/>
            <w:webHidden/>
          </w:rPr>
          <w:tab/>
        </w:r>
        <w:r w:rsidRPr="00B450EB">
          <w:rPr>
            <w:noProof/>
            <w:webHidden/>
          </w:rPr>
          <w:fldChar w:fldCharType="begin"/>
        </w:r>
        <w:r w:rsidRPr="00B450EB">
          <w:rPr>
            <w:noProof/>
            <w:webHidden/>
          </w:rPr>
          <w:instrText xml:space="preserve"> PAGEREF _Toc209462752 \h </w:instrText>
        </w:r>
        <w:r w:rsidRPr="00B450EB">
          <w:rPr>
            <w:noProof/>
            <w:webHidden/>
          </w:rPr>
        </w:r>
        <w:r w:rsidRPr="00B450EB">
          <w:rPr>
            <w:noProof/>
            <w:webHidden/>
          </w:rPr>
          <w:fldChar w:fldCharType="separate"/>
        </w:r>
        <w:r w:rsidRPr="00B450EB">
          <w:rPr>
            <w:noProof/>
            <w:webHidden/>
          </w:rPr>
          <w:t>147</w:t>
        </w:r>
        <w:r w:rsidRPr="00B450EB">
          <w:rPr>
            <w:noProof/>
            <w:webHidden/>
          </w:rPr>
          <w:fldChar w:fldCharType="end"/>
        </w:r>
      </w:hyperlink>
    </w:p>
    <w:p w14:paraId="57346959" w14:textId="35A25A0A"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3" w:history="1">
        <w:r w:rsidRPr="00B450EB">
          <w:rPr>
            <w:rStyle w:val="Hipervnculo"/>
            <w:noProof/>
            <w:color w:val="auto"/>
          </w:rPr>
          <w:t>Figura 65 Red de corredores potenciales identificados para conectar áreas protegidas en Colombia</w:t>
        </w:r>
        <w:r w:rsidRPr="00B450EB">
          <w:rPr>
            <w:noProof/>
            <w:webHidden/>
          </w:rPr>
          <w:tab/>
        </w:r>
        <w:r w:rsidRPr="00B450EB">
          <w:rPr>
            <w:noProof/>
            <w:webHidden/>
          </w:rPr>
          <w:fldChar w:fldCharType="begin"/>
        </w:r>
        <w:r w:rsidRPr="00B450EB">
          <w:rPr>
            <w:noProof/>
            <w:webHidden/>
          </w:rPr>
          <w:instrText xml:space="preserve"> PAGEREF _Toc209462753 \h </w:instrText>
        </w:r>
        <w:r w:rsidRPr="00B450EB">
          <w:rPr>
            <w:noProof/>
            <w:webHidden/>
          </w:rPr>
        </w:r>
        <w:r w:rsidRPr="00B450EB">
          <w:rPr>
            <w:noProof/>
            <w:webHidden/>
          </w:rPr>
          <w:fldChar w:fldCharType="separate"/>
        </w:r>
        <w:r w:rsidRPr="00B450EB">
          <w:rPr>
            <w:noProof/>
            <w:webHidden/>
          </w:rPr>
          <w:t>148</w:t>
        </w:r>
        <w:r w:rsidRPr="00B450EB">
          <w:rPr>
            <w:noProof/>
            <w:webHidden/>
          </w:rPr>
          <w:fldChar w:fldCharType="end"/>
        </w:r>
      </w:hyperlink>
    </w:p>
    <w:p w14:paraId="10BA7060" w14:textId="45BFDCF6"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4" w:history="1">
        <w:r w:rsidRPr="00B450EB">
          <w:rPr>
            <w:rStyle w:val="Hipervnculo"/>
            <w:noProof/>
            <w:color w:val="auto"/>
          </w:rPr>
          <w:t>Figura 66 Corredores de conectividad priorizados entre áreas protegidas en Colombia mediante un enfoque funcional para las aves</w:t>
        </w:r>
        <w:r w:rsidRPr="00B450EB">
          <w:rPr>
            <w:noProof/>
            <w:webHidden/>
          </w:rPr>
          <w:tab/>
        </w:r>
        <w:r w:rsidRPr="00B450EB">
          <w:rPr>
            <w:noProof/>
            <w:webHidden/>
          </w:rPr>
          <w:fldChar w:fldCharType="begin"/>
        </w:r>
        <w:r w:rsidRPr="00B450EB">
          <w:rPr>
            <w:noProof/>
            <w:webHidden/>
          </w:rPr>
          <w:instrText xml:space="preserve"> PAGEREF _Toc209462754 \h </w:instrText>
        </w:r>
        <w:r w:rsidRPr="00B450EB">
          <w:rPr>
            <w:noProof/>
            <w:webHidden/>
          </w:rPr>
        </w:r>
        <w:r w:rsidRPr="00B450EB">
          <w:rPr>
            <w:noProof/>
            <w:webHidden/>
          </w:rPr>
          <w:fldChar w:fldCharType="separate"/>
        </w:r>
        <w:r w:rsidRPr="00B450EB">
          <w:rPr>
            <w:noProof/>
            <w:webHidden/>
          </w:rPr>
          <w:t>150</w:t>
        </w:r>
        <w:r w:rsidRPr="00B450EB">
          <w:rPr>
            <w:noProof/>
            <w:webHidden/>
          </w:rPr>
          <w:fldChar w:fldCharType="end"/>
        </w:r>
      </w:hyperlink>
    </w:p>
    <w:p w14:paraId="5B75BBB6" w14:textId="0FEE4EAC"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5" w:history="1">
        <w:r w:rsidRPr="00B450EB">
          <w:rPr>
            <w:rStyle w:val="Hipervnculo"/>
            <w:noProof/>
            <w:color w:val="auto"/>
          </w:rPr>
          <w:t xml:space="preserve">Figura 67. Mapa de integridad del paisaje </w:t>
        </w:r>
        <w:r w:rsidRPr="00B450EB">
          <w:rPr>
            <w:noProof/>
            <w:webHidden/>
          </w:rPr>
          <w:tab/>
        </w:r>
        <w:r w:rsidRPr="00B450EB">
          <w:rPr>
            <w:noProof/>
            <w:webHidden/>
          </w:rPr>
          <w:fldChar w:fldCharType="begin"/>
        </w:r>
        <w:r w:rsidRPr="00B450EB">
          <w:rPr>
            <w:noProof/>
            <w:webHidden/>
          </w:rPr>
          <w:instrText xml:space="preserve"> PAGEREF _Toc209462755 \h </w:instrText>
        </w:r>
        <w:r w:rsidRPr="00B450EB">
          <w:rPr>
            <w:noProof/>
            <w:webHidden/>
          </w:rPr>
        </w:r>
        <w:r w:rsidRPr="00B450EB">
          <w:rPr>
            <w:noProof/>
            <w:webHidden/>
          </w:rPr>
          <w:fldChar w:fldCharType="separate"/>
        </w:r>
        <w:r w:rsidRPr="00B450EB">
          <w:rPr>
            <w:noProof/>
            <w:webHidden/>
          </w:rPr>
          <w:t>152</w:t>
        </w:r>
        <w:r w:rsidRPr="00B450EB">
          <w:rPr>
            <w:noProof/>
            <w:webHidden/>
          </w:rPr>
          <w:fldChar w:fldCharType="end"/>
        </w:r>
      </w:hyperlink>
    </w:p>
    <w:p w14:paraId="4EAF0EBB" w14:textId="64620764"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6" w:history="1">
        <w:r w:rsidRPr="00B450EB">
          <w:rPr>
            <w:rStyle w:val="Hipervnculo"/>
            <w:noProof/>
            <w:color w:val="auto"/>
          </w:rPr>
          <w:t>Figura 68. Comunidades Étnicas y Zonas de Reserva Campesina en el Bioma Amazónico Colombiano</w:t>
        </w:r>
        <w:r w:rsidRPr="00B450EB">
          <w:rPr>
            <w:noProof/>
            <w:webHidden/>
          </w:rPr>
          <w:tab/>
        </w:r>
        <w:r w:rsidRPr="00B450EB">
          <w:rPr>
            <w:noProof/>
            <w:webHidden/>
          </w:rPr>
          <w:fldChar w:fldCharType="begin"/>
        </w:r>
        <w:r w:rsidRPr="00B450EB">
          <w:rPr>
            <w:noProof/>
            <w:webHidden/>
          </w:rPr>
          <w:instrText xml:space="preserve"> PAGEREF _Toc209462756 \h </w:instrText>
        </w:r>
        <w:r w:rsidRPr="00B450EB">
          <w:rPr>
            <w:noProof/>
            <w:webHidden/>
          </w:rPr>
        </w:r>
        <w:r w:rsidRPr="00B450EB">
          <w:rPr>
            <w:noProof/>
            <w:webHidden/>
          </w:rPr>
          <w:fldChar w:fldCharType="separate"/>
        </w:r>
        <w:r w:rsidRPr="00B450EB">
          <w:rPr>
            <w:noProof/>
            <w:webHidden/>
          </w:rPr>
          <w:t>157</w:t>
        </w:r>
        <w:r w:rsidRPr="00B450EB">
          <w:rPr>
            <w:noProof/>
            <w:webHidden/>
          </w:rPr>
          <w:fldChar w:fldCharType="end"/>
        </w:r>
      </w:hyperlink>
    </w:p>
    <w:p w14:paraId="2CD4FF11" w14:textId="229BEB82"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7" w:history="1">
        <w:r w:rsidRPr="00B450EB">
          <w:rPr>
            <w:rStyle w:val="Hipervnculo"/>
            <w:noProof/>
            <w:color w:val="auto"/>
          </w:rPr>
          <w:t>Figura 69. Áreas dedicadas a la exploración y producción hidrocarburífera</w:t>
        </w:r>
        <w:r w:rsidRPr="00B450EB">
          <w:rPr>
            <w:rStyle w:val="Hipervnculo"/>
            <w:bCs/>
            <w:noProof/>
            <w:color w:val="auto"/>
          </w:rPr>
          <w:t xml:space="preserve"> en los departamentos del Bioma Amazónico Colombiano</w:t>
        </w:r>
        <w:r w:rsidRPr="00B450EB">
          <w:rPr>
            <w:noProof/>
            <w:webHidden/>
          </w:rPr>
          <w:tab/>
        </w:r>
        <w:r w:rsidRPr="00B450EB">
          <w:rPr>
            <w:noProof/>
            <w:webHidden/>
          </w:rPr>
          <w:fldChar w:fldCharType="begin"/>
        </w:r>
        <w:r w:rsidRPr="00B450EB">
          <w:rPr>
            <w:noProof/>
            <w:webHidden/>
          </w:rPr>
          <w:instrText xml:space="preserve"> PAGEREF _Toc209462757 \h </w:instrText>
        </w:r>
        <w:r w:rsidRPr="00B450EB">
          <w:rPr>
            <w:noProof/>
            <w:webHidden/>
          </w:rPr>
        </w:r>
        <w:r w:rsidRPr="00B450EB">
          <w:rPr>
            <w:noProof/>
            <w:webHidden/>
          </w:rPr>
          <w:fldChar w:fldCharType="separate"/>
        </w:r>
        <w:r w:rsidRPr="00B450EB">
          <w:rPr>
            <w:noProof/>
            <w:webHidden/>
          </w:rPr>
          <w:t>159</w:t>
        </w:r>
        <w:r w:rsidRPr="00B450EB">
          <w:rPr>
            <w:noProof/>
            <w:webHidden/>
          </w:rPr>
          <w:fldChar w:fldCharType="end"/>
        </w:r>
      </w:hyperlink>
    </w:p>
    <w:p w14:paraId="0249EE92" w14:textId="2E6126C3"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8" w:history="1">
        <w:r w:rsidRPr="00B450EB">
          <w:rPr>
            <w:rStyle w:val="Hipervnculo"/>
            <w:noProof/>
            <w:color w:val="auto"/>
          </w:rPr>
          <w:t>Figura 70. Áreas de minería adjudicadas en los departamentos del Bioma Amazónico Colombiano</w:t>
        </w:r>
        <w:r w:rsidRPr="00B450EB">
          <w:rPr>
            <w:noProof/>
            <w:webHidden/>
          </w:rPr>
          <w:tab/>
        </w:r>
        <w:r w:rsidRPr="00B450EB">
          <w:rPr>
            <w:noProof/>
            <w:webHidden/>
          </w:rPr>
          <w:fldChar w:fldCharType="begin"/>
        </w:r>
        <w:r w:rsidRPr="00B450EB">
          <w:rPr>
            <w:noProof/>
            <w:webHidden/>
          </w:rPr>
          <w:instrText xml:space="preserve"> PAGEREF _Toc209462758 \h </w:instrText>
        </w:r>
        <w:r w:rsidRPr="00B450EB">
          <w:rPr>
            <w:noProof/>
            <w:webHidden/>
          </w:rPr>
        </w:r>
        <w:r w:rsidRPr="00B450EB">
          <w:rPr>
            <w:noProof/>
            <w:webHidden/>
          </w:rPr>
          <w:fldChar w:fldCharType="separate"/>
        </w:r>
        <w:r w:rsidRPr="00B450EB">
          <w:rPr>
            <w:noProof/>
            <w:webHidden/>
          </w:rPr>
          <w:t>160</w:t>
        </w:r>
        <w:r w:rsidRPr="00B450EB">
          <w:rPr>
            <w:noProof/>
            <w:webHidden/>
          </w:rPr>
          <w:fldChar w:fldCharType="end"/>
        </w:r>
      </w:hyperlink>
    </w:p>
    <w:p w14:paraId="6951FDC6" w14:textId="2F0F6B7E"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59" w:history="1">
        <w:r w:rsidRPr="00B450EB">
          <w:rPr>
            <w:rStyle w:val="Hipervnculo"/>
            <w:rFonts w:eastAsia="Calibri" w:cs="Arial"/>
            <w:i/>
            <w:noProof/>
            <w:color w:val="auto"/>
          </w:rPr>
          <w:t>Figura 71. Agroindustria en el Bioma Amazónico Colombiano</w:t>
        </w:r>
        <w:r w:rsidRPr="00B450EB">
          <w:rPr>
            <w:noProof/>
            <w:webHidden/>
          </w:rPr>
          <w:tab/>
        </w:r>
        <w:r w:rsidRPr="00B450EB">
          <w:rPr>
            <w:noProof/>
            <w:webHidden/>
          </w:rPr>
          <w:fldChar w:fldCharType="begin"/>
        </w:r>
        <w:r w:rsidRPr="00B450EB">
          <w:rPr>
            <w:noProof/>
            <w:webHidden/>
          </w:rPr>
          <w:instrText xml:space="preserve"> PAGEREF _Toc209462759 \h </w:instrText>
        </w:r>
        <w:r w:rsidRPr="00B450EB">
          <w:rPr>
            <w:noProof/>
            <w:webHidden/>
          </w:rPr>
        </w:r>
        <w:r w:rsidRPr="00B450EB">
          <w:rPr>
            <w:noProof/>
            <w:webHidden/>
          </w:rPr>
          <w:fldChar w:fldCharType="separate"/>
        </w:r>
        <w:r w:rsidRPr="00B450EB">
          <w:rPr>
            <w:noProof/>
            <w:webHidden/>
          </w:rPr>
          <w:t>168</w:t>
        </w:r>
        <w:r w:rsidRPr="00B450EB">
          <w:rPr>
            <w:noProof/>
            <w:webHidden/>
          </w:rPr>
          <w:fldChar w:fldCharType="end"/>
        </w:r>
      </w:hyperlink>
    </w:p>
    <w:p w14:paraId="0981919E" w14:textId="7DA7BE29"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0" w:history="1">
        <w:r w:rsidRPr="00B450EB">
          <w:rPr>
            <w:rStyle w:val="Hipervnculo"/>
            <w:noProof/>
            <w:color w:val="auto"/>
          </w:rPr>
          <w:t>Figura 72. Ganadería de carne bovina en el Bioma Amazónico Colombiano</w:t>
        </w:r>
        <w:r w:rsidRPr="00B450EB">
          <w:rPr>
            <w:noProof/>
            <w:webHidden/>
          </w:rPr>
          <w:tab/>
        </w:r>
        <w:r w:rsidRPr="00B450EB">
          <w:rPr>
            <w:noProof/>
            <w:webHidden/>
          </w:rPr>
          <w:fldChar w:fldCharType="begin"/>
        </w:r>
        <w:r w:rsidRPr="00B450EB">
          <w:rPr>
            <w:noProof/>
            <w:webHidden/>
          </w:rPr>
          <w:instrText xml:space="preserve"> PAGEREF _Toc209462760 \h </w:instrText>
        </w:r>
        <w:r w:rsidRPr="00B450EB">
          <w:rPr>
            <w:noProof/>
            <w:webHidden/>
          </w:rPr>
        </w:r>
        <w:r w:rsidRPr="00B450EB">
          <w:rPr>
            <w:noProof/>
            <w:webHidden/>
          </w:rPr>
          <w:fldChar w:fldCharType="separate"/>
        </w:r>
        <w:r w:rsidRPr="00B450EB">
          <w:rPr>
            <w:noProof/>
            <w:webHidden/>
          </w:rPr>
          <w:t>170</w:t>
        </w:r>
        <w:r w:rsidRPr="00B450EB">
          <w:rPr>
            <w:noProof/>
            <w:webHidden/>
          </w:rPr>
          <w:fldChar w:fldCharType="end"/>
        </w:r>
      </w:hyperlink>
    </w:p>
    <w:p w14:paraId="4ABC081B" w14:textId="0D12F1CD"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1" w:history="1">
        <w:r w:rsidRPr="00B450EB">
          <w:rPr>
            <w:rStyle w:val="Hipervnculo"/>
            <w:noProof/>
            <w:color w:val="auto"/>
          </w:rPr>
          <w:t>Figura 73. Ganadería de leche bovina en el Bioma Amazónico Colombiano</w:t>
        </w:r>
        <w:r w:rsidRPr="00B450EB">
          <w:rPr>
            <w:noProof/>
            <w:webHidden/>
          </w:rPr>
          <w:tab/>
        </w:r>
        <w:r w:rsidRPr="00B450EB">
          <w:rPr>
            <w:noProof/>
            <w:webHidden/>
          </w:rPr>
          <w:fldChar w:fldCharType="begin"/>
        </w:r>
        <w:r w:rsidRPr="00B450EB">
          <w:rPr>
            <w:noProof/>
            <w:webHidden/>
          </w:rPr>
          <w:instrText xml:space="preserve"> PAGEREF _Toc209462761 \h </w:instrText>
        </w:r>
        <w:r w:rsidRPr="00B450EB">
          <w:rPr>
            <w:noProof/>
            <w:webHidden/>
          </w:rPr>
        </w:r>
        <w:r w:rsidRPr="00B450EB">
          <w:rPr>
            <w:noProof/>
            <w:webHidden/>
          </w:rPr>
          <w:fldChar w:fldCharType="separate"/>
        </w:r>
        <w:r w:rsidRPr="00B450EB">
          <w:rPr>
            <w:noProof/>
            <w:webHidden/>
          </w:rPr>
          <w:t>170</w:t>
        </w:r>
        <w:r w:rsidRPr="00B450EB">
          <w:rPr>
            <w:noProof/>
            <w:webHidden/>
          </w:rPr>
          <w:fldChar w:fldCharType="end"/>
        </w:r>
      </w:hyperlink>
    </w:p>
    <w:p w14:paraId="2A8FC602" w14:textId="4307C564"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2" w:history="1">
        <w:r w:rsidRPr="00B450EB">
          <w:rPr>
            <w:rStyle w:val="Hipervnculo"/>
            <w:noProof/>
            <w:color w:val="auto"/>
          </w:rPr>
          <w:t>Figura 74. Praderización en el Bioma Amazónico Colombiano</w:t>
        </w:r>
        <w:r w:rsidRPr="00B450EB">
          <w:rPr>
            <w:noProof/>
            <w:webHidden/>
          </w:rPr>
          <w:tab/>
        </w:r>
        <w:r w:rsidRPr="00B450EB">
          <w:rPr>
            <w:noProof/>
            <w:webHidden/>
          </w:rPr>
          <w:fldChar w:fldCharType="begin"/>
        </w:r>
        <w:r w:rsidRPr="00B450EB">
          <w:rPr>
            <w:noProof/>
            <w:webHidden/>
          </w:rPr>
          <w:instrText xml:space="preserve"> PAGEREF _Toc209462762 \h </w:instrText>
        </w:r>
        <w:r w:rsidRPr="00B450EB">
          <w:rPr>
            <w:noProof/>
            <w:webHidden/>
          </w:rPr>
        </w:r>
        <w:r w:rsidRPr="00B450EB">
          <w:rPr>
            <w:noProof/>
            <w:webHidden/>
          </w:rPr>
          <w:fldChar w:fldCharType="separate"/>
        </w:r>
        <w:r w:rsidRPr="00B450EB">
          <w:rPr>
            <w:noProof/>
            <w:webHidden/>
          </w:rPr>
          <w:t>171</w:t>
        </w:r>
        <w:r w:rsidRPr="00B450EB">
          <w:rPr>
            <w:noProof/>
            <w:webHidden/>
          </w:rPr>
          <w:fldChar w:fldCharType="end"/>
        </w:r>
      </w:hyperlink>
    </w:p>
    <w:p w14:paraId="68ABF82A" w14:textId="770C9713"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3" w:history="1">
        <w:r w:rsidRPr="00B450EB">
          <w:rPr>
            <w:rStyle w:val="Hipervnculo"/>
            <w:noProof/>
            <w:color w:val="auto"/>
          </w:rPr>
          <w:t xml:space="preserve">Figura 75. </w:t>
        </w:r>
        <w:r w:rsidRPr="00B450EB">
          <w:rPr>
            <w:rStyle w:val="Hipervnculo"/>
            <w:rFonts w:eastAsia="Arial" w:cs="Arial"/>
            <w:noProof/>
            <w:color w:val="auto"/>
          </w:rPr>
          <w:t>Vías nacionales en el bioma amazónico RAISG (2023); IGAC, 2017</w:t>
        </w:r>
        <w:r w:rsidRPr="00B450EB">
          <w:rPr>
            <w:noProof/>
            <w:webHidden/>
          </w:rPr>
          <w:tab/>
        </w:r>
        <w:r w:rsidRPr="00B450EB">
          <w:rPr>
            <w:noProof/>
            <w:webHidden/>
          </w:rPr>
          <w:fldChar w:fldCharType="begin"/>
        </w:r>
        <w:r w:rsidRPr="00B450EB">
          <w:rPr>
            <w:noProof/>
            <w:webHidden/>
          </w:rPr>
          <w:instrText xml:space="preserve"> PAGEREF _Toc209462763 \h </w:instrText>
        </w:r>
        <w:r w:rsidRPr="00B450EB">
          <w:rPr>
            <w:noProof/>
            <w:webHidden/>
          </w:rPr>
        </w:r>
        <w:r w:rsidRPr="00B450EB">
          <w:rPr>
            <w:noProof/>
            <w:webHidden/>
          </w:rPr>
          <w:fldChar w:fldCharType="separate"/>
        </w:r>
        <w:r w:rsidRPr="00B450EB">
          <w:rPr>
            <w:noProof/>
            <w:webHidden/>
          </w:rPr>
          <w:t>172</w:t>
        </w:r>
        <w:r w:rsidRPr="00B450EB">
          <w:rPr>
            <w:noProof/>
            <w:webHidden/>
          </w:rPr>
          <w:fldChar w:fldCharType="end"/>
        </w:r>
      </w:hyperlink>
    </w:p>
    <w:p w14:paraId="285C615D" w14:textId="1846BDFA"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4" w:history="1">
        <w:r w:rsidRPr="00B450EB">
          <w:rPr>
            <w:rStyle w:val="Hipervnculo"/>
            <w:noProof/>
            <w:color w:val="auto"/>
          </w:rPr>
          <w:t>Figura 76. Comparación vías (2018-2024), minería ilegal y cultivos de uso ilícito</w:t>
        </w:r>
        <w:r w:rsidRPr="00B450EB">
          <w:rPr>
            <w:noProof/>
            <w:webHidden/>
          </w:rPr>
          <w:tab/>
        </w:r>
        <w:r w:rsidRPr="00B450EB">
          <w:rPr>
            <w:noProof/>
            <w:webHidden/>
          </w:rPr>
          <w:fldChar w:fldCharType="begin"/>
        </w:r>
        <w:r w:rsidRPr="00B450EB">
          <w:rPr>
            <w:noProof/>
            <w:webHidden/>
          </w:rPr>
          <w:instrText xml:space="preserve"> PAGEREF _Toc209462764 \h </w:instrText>
        </w:r>
        <w:r w:rsidRPr="00B450EB">
          <w:rPr>
            <w:noProof/>
            <w:webHidden/>
          </w:rPr>
        </w:r>
        <w:r w:rsidRPr="00B450EB">
          <w:rPr>
            <w:noProof/>
            <w:webHidden/>
          </w:rPr>
          <w:fldChar w:fldCharType="separate"/>
        </w:r>
        <w:r w:rsidRPr="00B450EB">
          <w:rPr>
            <w:noProof/>
            <w:webHidden/>
          </w:rPr>
          <w:t>173</w:t>
        </w:r>
        <w:r w:rsidRPr="00B450EB">
          <w:rPr>
            <w:noProof/>
            <w:webHidden/>
          </w:rPr>
          <w:fldChar w:fldCharType="end"/>
        </w:r>
      </w:hyperlink>
    </w:p>
    <w:p w14:paraId="7B0FFB28" w14:textId="4BFD57D3"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5" w:history="1">
        <w:r w:rsidRPr="00B450EB">
          <w:rPr>
            <w:rStyle w:val="Hipervnculo"/>
            <w:noProof/>
            <w:color w:val="auto"/>
          </w:rPr>
          <w:t>Figura 77. Estratos de intervención en el bioma amazónico (2024)</w:t>
        </w:r>
        <w:r w:rsidRPr="00B450EB">
          <w:rPr>
            <w:noProof/>
            <w:webHidden/>
          </w:rPr>
          <w:tab/>
        </w:r>
        <w:r w:rsidRPr="00B450EB">
          <w:rPr>
            <w:noProof/>
            <w:webHidden/>
          </w:rPr>
          <w:fldChar w:fldCharType="begin"/>
        </w:r>
        <w:r w:rsidRPr="00B450EB">
          <w:rPr>
            <w:noProof/>
            <w:webHidden/>
          </w:rPr>
          <w:instrText xml:space="preserve"> PAGEREF _Toc209462765 \h </w:instrText>
        </w:r>
        <w:r w:rsidRPr="00B450EB">
          <w:rPr>
            <w:noProof/>
            <w:webHidden/>
          </w:rPr>
        </w:r>
        <w:r w:rsidRPr="00B450EB">
          <w:rPr>
            <w:noProof/>
            <w:webHidden/>
          </w:rPr>
          <w:fldChar w:fldCharType="separate"/>
        </w:r>
        <w:r w:rsidRPr="00B450EB">
          <w:rPr>
            <w:noProof/>
            <w:webHidden/>
          </w:rPr>
          <w:t>174</w:t>
        </w:r>
        <w:r w:rsidRPr="00B450EB">
          <w:rPr>
            <w:noProof/>
            <w:webHidden/>
          </w:rPr>
          <w:fldChar w:fldCharType="end"/>
        </w:r>
      </w:hyperlink>
    </w:p>
    <w:p w14:paraId="2F232D96" w14:textId="5A58D408"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6" w:history="1">
        <w:r w:rsidRPr="00B450EB">
          <w:rPr>
            <w:rStyle w:val="Hipervnculo"/>
            <w:rFonts w:eastAsia="Calibri" w:cs="Arial"/>
            <w:noProof/>
            <w:color w:val="auto"/>
          </w:rPr>
          <w:t>Figura</w:t>
        </w:r>
        <w:r w:rsidRPr="00B450EB">
          <w:rPr>
            <w:rStyle w:val="Hipervnculo"/>
            <w:noProof/>
            <w:color w:val="auto"/>
          </w:rPr>
          <w:t xml:space="preserve"> 78.</w:t>
        </w:r>
        <w:r w:rsidRPr="00B450EB">
          <w:rPr>
            <w:rStyle w:val="Hipervnculo"/>
            <w:rFonts w:eastAsia="Calibri" w:cs="Arial"/>
            <w:noProof/>
            <w:color w:val="auto"/>
          </w:rPr>
          <w:t xml:space="preserve"> Focos de deforestación en vía autorizada a un proyecto de hidrocarburos</w:t>
        </w:r>
        <w:r w:rsidRPr="00B450EB">
          <w:rPr>
            <w:noProof/>
            <w:webHidden/>
          </w:rPr>
          <w:tab/>
        </w:r>
        <w:r w:rsidRPr="00B450EB">
          <w:rPr>
            <w:noProof/>
            <w:webHidden/>
          </w:rPr>
          <w:fldChar w:fldCharType="begin"/>
        </w:r>
        <w:r w:rsidRPr="00B450EB">
          <w:rPr>
            <w:noProof/>
            <w:webHidden/>
          </w:rPr>
          <w:instrText xml:space="preserve"> PAGEREF _Toc209462766 \h </w:instrText>
        </w:r>
        <w:r w:rsidRPr="00B450EB">
          <w:rPr>
            <w:noProof/>
            <w:webHidden/>
          </w:rPr>
        </w:r>
        <w:r w:rsidRPr="00B450EB">
          <w:rPr>
            <w:noProof/>
            <w:webHidden/>
          </w:rPr>
          <w:fldChar w:fldCharType="separate"/>
        </w:r>
        <w:r w:rsidRPr="00B450EB">
          <w:rPr>
            <w:noProof/>
            <w:webHidden/>
          </w:rPr>
          <w:t>175</w:t>
        </w:r>
        <w:r w:rsidRPr="00B450EB">
          <w:rPr>
            <w:noProof/>
            <w:webHidden/>
          </w:rPr>
          <w:fldChar w:fldCharType="end"/>
        </w:r>
      </w:hyperlink>
    </w:p>
    <w:p w14:paraId="7398974D" w14:textId="4EBFE8F9"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7" w:history="1">
        <w:r w:rsidRPr="00B450EB">
          <w:rPr>
            <w:rStyle w:val="Hipervnculo"/>
            <w:noProof/>
            <w:color w:val="auto"/>
          </w:rPr>
          <w:t>Figura 79. Títulos y Solicitudes mineras vigentes</w:t>
        </w:r>
        <w:r w:rsidRPr="00B450EB">
          <w:rPr>
            <w:noProof/>
            <w:webHidden/>
          </w:rPr>
          <w:tab/>
        </w:r>
        <w:r w:rsidRPr="00B450EB">
          <w:rPr>
            <w:noProof/>
            <w:webHidden/>
          </w:rPr>
          <w:fldChar w:fldCharType="begin"/>
        </w:r>
        <w:r w:rsidRPr="00B450EB">
          <w:rPr>
            <w:noProof/>
            <w:webHidden/>
          </w:rPr>
          <w:instrText xml:space="preserve"> PAGEREF _Toc209462767 \h </w:instrText>
        </w:r>
        <w:r w:rsidRPr="00B450EB">
          <w:rPr>
            <w:noProof/>
            <w:webHidden/>
          </w:rPr>
        </w:r>
        <w:r w:rsidRPr="00B450EB">
          <w:rPr>
            <w:noProof/>
            <w:webHidden/>
          </w:rPr>
          <w:fldChar w:fldCharType="separate"/>
        </w:r>
        <w:r w:rsidRPr="00B450EB">
          <w:rPr>
            <w:noProof/>
            <w:webHidden/>
          </w:rPr>
          <w:t>177</w:t>
        </w:r>
        <w:r w:rsidRPr="00B450EB">
          <w:rPr>
            <w:noProof/>
            <w:webHidden/>
          </w:rPr>
          <w:fldChar w:fldCharType="end"/>
        </w:r>
      </w:hyperlink>
    </w:p>
    <w:p w14:paraId="3FF14D93" w14:textId="2FEDB92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8" w:history="1">
        <w:r w:rsidRPr="00B450EB">
          <w:rPr>
            <w:rStyle w:val="Hipervnculo"/>
            <w:rFonts w:eastAsia="Calibri" w:cs="Arial"/>
            <w:noProof/>
            <w:color w:val="auto"/>
          </w:rPr>
          <w:t>Figura 80. Títulos Mineros- ANM y Áreas focales de minería ilegal en el Bioma Amazónico Colombiano</w:t>
        </w:r>
        <w:r w:rsidRPr="00B450EB">
          <w:rPr>
            <w:noProof/>
            <w:webHidden/>
          </w:rPr>
          <w:tab/>
        </w:r>
        <w:r w:rsidRPr="00B450EB">
          <w:rPr>
            <w:noProof/>
            <w:webHidden/>
          </w:rPr>
          <w:fldChar w:fldCharType="begin"/>
        </w:r>
        <w:r w:rsidRPr="00B450EB">
          <w:rPr>
            <w:noProof/>
            <w:webHidden/>
          </w:rPr>
          <w:instrText xml:space="preserve"> PAGEREF _Toc209462768 \h </w:instrText>
        </w:r>
        <w:r w:rsidRPr="00B450EB">
          <w:rPr>
            <w:noProof/>
            <w:webHidden/>
          </w:rPr>
        </w:r>
        <w:r w:rsidRPr="00B450EB">
          <w:rPr>
            <w:noProof/>
            <w:webHidden/>
          </w:rPr>
          <w:fldChar w:fldCharType="separate"/>
        </w:r>
        <w:r w:rsidRPr="00B450EB">
          <w:rPr>
            <w:noProof/>
            <w:webHidden/>
          </w:rPr>
          <w:t>179</w:t>
        </w:r>
        <w:r w:rsidRPr="00B450EB">
          <w:rPr>
            <w:noProof/>
            <w:webHidden/>
          </w:rPr>
          <w:fldChar w:fldCharType="end"/>
        </w:r>
      </w:hyperlink>
    </w:p>
    <w:p w14:paraId="2739C9C2" w14:textId="73156F2B"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69" w:history="1">
        <w:r w:rsidRPr="00B450EB">
          <w:rPr>
            <w:rStyle w:val="Hipervnculo"/>
            <w:noProof/>
            <w:color w:val="auto"/>
          </w:rPr>
          <w:t>Figura 81. Distribución porcentual de las contingencias presentadas en el Bioma Amazónico para el periodo 2016 - 2025</w:t>
        </w:r>
        <w:r w:rsidRPr="00B450EB">
          <w:rPr>
            <w:noProof/>
            <w:webHidden/>
          </w:rPr>
          <w:tab/>
        </w:r>
        <w:r w:rsidRPr="00B450EB">
          <w:rPr>
            <w:noProof/>
            <w:webHidden/>
          </w:rPr>
          <w:fldChar w:fldCharType="begin"/>
        </w:r>
        <w:r w:rsidRPr="00B450EB">
          <w:rPr>
            <w:noProof/>
            <w:webHidden/>
          </w:rPr>
          <w:instrText xml:space="preserve"> PAGEREF _Toc209462769 \h </w:instrText>
        </w:r>
        <w:r w:rsidRPr="00B450EB">
          <w:rPr>
            <w:noProof/>
            <w:webHidden/>
          </w:rPr>
        </w:r>
        <w:r w:rsidRPr="00B450EB">
          <w:rPr>
            <w:noProof/>
            <w:webHidden/>
          </w:rPr>
          <w:fldChar w:fldCharType="separate"/>
        </w:r>
        <w:r w:rsidRPr="00B450EB">
          <w:rPr>
            <w:noProof/>
            <w:webHidden/>
          </w:rPr>
          <w:t>186</w:t>
        </w:r>
        <w:r w:rsidRPr="00B450EB">
          <w:rPr>
            <w:noProof/>
            <w:webHidden/>
          </w:rPr>
          <w:fldChar w:fldCharType="end"/>
        </w:r>
      </w:hyperlink>
    </w:p>
    <w:p w14:paraId="6EFDEAA5" w14:textId="0D581776"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0" w:history="1">
        <w:r w:rsidRPr="00B450EB">
          <w:rPr>
            <w:rStyle w:val="Hipervnculo"/>
            <w:noProof/>
            <w:color w:val="auto"/>
          </w:rPr>
          <w:t xml:space="preserve">Figura 82. </w:t>
        </w:r>
        <w:r w:rsidRPr="00B450EB">
          <w:rPr>
            <w:rStyle w:val="Hipervnculo"/>
            <w:rFonts w:eastAsia="Arial" w:cs="Arial"/>
            <w:noProof/>
            <w:color w:val="auto"/>
          </w:rPr>
          <w:t>Distribución reporte de contingencias por origen</w:t>
        </w:r>
        <w:r w:rsidRPr="00B450EB">
          <w:rPr>
            <w:noProof/>
            <w:webHidden/>
          </w:rPr>
          <w:tab/>
        </w:r>
        <w:r w:rsidRPr="00B450EB">
          <w:rPr>
            <w:noProof/>
            <w:webHidden/>
          </w:rPr>
          <w:fldChar w:fldCharType="begin"/>
        </w:r>
        <w:r w:rsidRPr="00B450EB">
          <w:rPr>
            <w:noProof/>
            <w:webHidden/>
          </w:rPr>
          <w:instrText xml:space="preserve"> PAGEREF _Toc209462770 \h </w:instrText>
        </w:r>
        <w:r w:rsidRPr="00B450EB">
          <w:rPr>
            <w:noProof/>
            <w:webHidden/>
          </w:rPr>
        </w:r>
        <w:r w:rsidRPr="00B450EB">
          <w:rPr>
            <w:noProof/>
            <w:webHidden/>
          </w:rPr>
          <w:fldChar w:fldCharType="separate"/>
        </w:r>
        <w:r w:rsidRPr="00B450EB">
          <w:rPr>
            <w:noProof/>
            <w:webHidden/>
          </w:rPr>
          <w:t>187</w:t>
        </w:r>
        <w:r w:rsidRPr="00B450EB">
          <w:rPr>
            <w:noProof/>
            <w:webHidden/>
          </w:rPr>
          <w:fldChar w:fldCharType="end"/>
        </w:r>
      </w:hyperlink>
    </w:p>
    <w:p w14:paraId="1E1FAD9C" w14:textId="444CDC19"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1" w:history="1">
        <w:r w:rsidRPr="00B450EB">
          <w:rPr>
            <w:rStyle w:val="Hipervnculo"/>
            <w:noProof/>
            <w:color w:val="auto"/>
          </w:rPr>
          <w:t xml:space="preserve">Figura 83. </w:t>
        </w:r>
        <w:r w:rsidRPr="00B450EB">
          <w:rPr>
            <w:rStyle w:val="Hipervnculo"/>
            <w:rFonts w:eastAsia="Arial" w:cs="Arial"/>
            <w:noProof/>
            <w:color w:val="auto"/>
          </w:rPr>
          <w:t>Distribución espacial de reporte de contingencias ANLA 2016-2025</w:t>
        </w:r>
        <w:r w:rsidRPr="00B450EB">
          <w:rPr>
            <w:noProof/>
            <w:webHidden/>
          </w:rPr>
          <w:tab/>
        </w:r>
        <w:r w:rsidRPr="00B450EB">
          <w:rPr>
            <w:noProof/>
            <w:webHidden/>
          </w:rPr>
          <w:fldChar w:fldCharType="begin"/>
        </w:r>
        <w:r w:rsidRPr="00B450EB">
          <w:rPr>
            <w:noProof/>
            <w:webHidden/>
          </w:rPr>
          <w:instrText xml:space="preserve"> PAGEREF _Toc209462771 \h </w:instrText>
        </w:r>
        <w:r w:rsidRPr="00B450EB">
          <w:rPr>
            <w:noProof/>
            <w:webHidden/>
          </w:rPr>
        </w:r>
        <w:r w:rsidRPr="00B450EB">
          <w:rPr>
            <w:noProof/>
            <w:webHidden/>
          </w:rPr>
          <w:fldChar w:fldCharType="separate"/>
        </w:r>
        <w:r w:rsidRPr="00B450EB">
          <w:rPr>
            <w:noProof/>
            <w:webHidden/>
          </w:rPr>
          <w:t>188</w:t>
        </w:r>
        <w:r w:rsidRPr="00B450EB">
          <w:rPr>
            <w:noProof/>
            <w:webHidden/>
          </w:rPr>
          <w:fldChar w:fldCharType="end"/>
        </w:r>
      </w:hyperlink>
    </w:p>
    <w:p w14:paraId="40540247" w14:textId="57E219A2"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2" w:history="1">
        <w:r w:rsidRPr="00B450EB">
          <w:rPr>
            <w:rStyle w:val="Hipervnculo"/>
            <w:noProof/>
            <w:color w:val="auto"/>
          </w:rPr>
          <w:t>Figura 84. Distribución reporte de contingencias por expedientes de la ANLA entre 2016-2025.</w:t>
        </w:r>
        <w:r w:rsidRPr="00B450EB">
          <w:rPr>
            <w:noProof/>
            <w:webHidden/>
          </w:rPr>
          <w:tab/>
        </w:r>
        <w:r w:rsidRPr="00B450EB">
          <w:rPr>
            <w:noProof/>
            <w:webHidden/>
          </w:rPr>
          <w:fldChar w:fldCharType="begin"/>
        </w:r>
        <w:r w:rsidRPr="00B450EB">
          <w:rPr>
            <w:noProof/>
            <w:webHidden/>
          </w:rPr>
          <w:instrText xml:space="preserve"> PAGEREF _Toc209462772 \h </w:instrText>
        </w:r>
        <w:r w:rsidRPr="00B450EB">
          <w:rPr>
            <w:noProof/>
            <w:webHidden/>
          </w:rPr>
        </w:r>
        <w:r w:rsidRPr="00B450EB">
          <w:rPr>
            <w:noProof/>
            <w:webHidden/>
          </w:rPr>
          <w:fldChar w:fldCharType="separate"/>
        </w:r>
        <w:r w:rsidRPr="00B450EB">
          <w:rPr>
            <w:noProof/>
            <w:webHidden/>
          </w:rPr>
          <w:t>190</w:t>
        </w:r>
        <w:r w:rsidRPr="00B450EB">
          <w:rPr>
            <w:noProof/>
            <w:webHidden/>
          </w:rPr>
          <w:fldChar w:fldCharType="end"/>
        </w:r>
      </w:hyperlink>
    </w:p>
    <w:p w14:paraId="71E83801" w14:textId="02FCFDB5"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3" w:history="1">
        <w:r w:rsidRPr="00B450EB">
          <w:rPr>
            <w:rStyle w:val="Hipervnculo"/>
            <w:noProof/>
            <w:color w:val="auto"/>
          </w:rPr>
          <w:t xml:space="preserve">Figura 85. </w:t>
        </w:r>
        <w:r w:rsidRPr="00B450EB">
          <w:rPr>
            <w:rStyle w:val="Hipervnculo"/>
            <w:rFonts w:eastAsia="Aptos" w:cs="Arial"/>
            <w:noProof/>
            <w:color w:val="auto"/>
          </w:rPr>
          <w:t>Cicatrices de quemas según el origen entre los años 2017 y 2025.</w:t>
        </w:r>
        <w:r w:rsidRPr="00B450EB">
          <w:rPr>
            <w:noProof/>
            <w:webHidden/>
          </w:rPr>
          <w:tab/>
        </w:r>
        <w:r w:rsidRPr="00B450EB">
          <w:rPr>
            <w:noProof/>
            <w:webHidden/>
          </w:rPr>
          <w:fldChar w:fldCharType="begin"/>
        </w:r>
        <w:r w:rsidRPr="00B450EB">
          <w:rPr>
            <w:noProof/>
            <w:webHidden/>
          </w:rPr>
          <w:instrText xml:space="preserve"> PAGEREF _Toc209462773 \h </w:instrText>
        </w:r>
        <w:r w:rsidRPr="00B450EB">
          <w:rPr>
            <w:noProof/>
            <w:webHidden/>
          </w:rPr>
        </w:r>
        <w:r w:rsidRPr="00B450EB">
          <w:rPr>
            <w:noProof/>
            <w:webHidden/>
          </w:rPr>
          <w:fldChar w:fldCharType="separate"/>
        </w:r>
        <w:r w:rsidRPr="00B450EB">
          <w:rPr>
            <w:noProof/>
            <w:webHidden/>
          </w:rPr>
          <w:t>191</w:t>
        </w:r>
        <w:r w:rsidRPr="00B450EB">
          <w:rPr>
            <w:noProof/>
            <w:webHidden/>
          </w:rPr>
          <w:fldChar w:fldCharType="end"/>
        </w:r>
      </w:hyperlink>
    </w:p>
    <w:p w14:paraId="74B972E0" w14:textId="57E0935D"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4" w:history="1">
        <w:r w:rsidRPr="00B450EB">
          <w:rPr>
            <w:rStyle w:val="Hipervnculo"/>
            <w:noProof/>
            <w:color w:val="auto"/>
          </w:rPr>
          <w:t>Figura 86. Densidad de puntos de calor y cicatrices de quemas por incendios entre el 2020 y 2025.</w:t>
        </w:r>
        <w:r w:rsidRPr="00B450EB">
          <w:rPr>
            <w:noProof/>
            <w:webHidden/>
          </w:rPr>
          <w:tab/>
        </w:r>
        <w:r w:rsidRPr="00B450EB">
          <w:rPr>
            <w:noProof/>
            <w:webHidden/>
          </w:rPr>
          <w:fldChar w:fldCharType="begin"/>
        </w:r>
        <w:r w:rsidRPr="00B450EB">
          <w:rPr>
            <w:noProof/>
            <w:webHidden/>
          </w:rPr>
          <w:instrText xml:space="preserve"> PAGEREF _Toc209462774 \h </w:instrText>
        </w:r>
        <w:r w:rsidRPr="00B450EB">
          <w:rPr>
            <w:noProof/>
            <w:webHidden/>
          </w:rPr>
        </w:r>
        <w:r w:rsidRPr="00B450EB">
          <w:rPr>
            <w:noProof/>
            <w:webHidden/>
          </w:rPr>
          <w:fldChar w:fldCharType="separate"/>
        </w:r>
        <w:r w:rsidRPr="00B450EB">
          <w:rPr>
            <w:noProof/>
            <w:webHidden/>
          </w:rPr>
          <w:t>193</w:t>
        </w:r>
        <w:r w:rsidRPr="00B450EB">
          <w:rPr>
            <w:noProof/>
            <w:webHidden/>
          </w:rPr>
          <w:fldChar w:fldCharType="end"/>
        </w:r>
      </w:hyperlink>
    </w:p>
    <w:p w14:paraId="0978E69A" w14:textId="0AF4F78E"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5" w:history="1">
        <w:r w:rsidRPr="00B450EB">
          <w:rPr>
            <w:rStyle w:val="Hipervnculo"/>
            <w:noProof/>
            <w:color w:val="auto"/>
          </w:rPr>
          <w:t>Figura 87. Cultivos de uso ilícito, puntos de rutas fluviales de economías ilícitas y puntos de tráfico de drogas por municipios que integran el Bioma Amazónico Colombiano.</w:t>
        </w:r>
        <w:r w:rsidRPr="00B450EB">
          <w:rPr>
            <w:noProof/>
            <w:webHidden/>
          </w:rPr>
          <w:tab/>
        </w:r>
        <w:r w:rsidRPr="00B450EB">
          <w:rPr>
            <w:noProof/>
            <w:webHidden/>
          </w:rPr>
          <w:fldChar w:fldCharType="begin"/>
        </w:r>
        <w:r w:rsidRPr="00B450EB">
          <w:rPr>
            <w:noProof/>
            <w:webHidden/>
          </w:rPr>
          <w:instrText xml:space="preserve"> PAGEREF _Toc209462775 \h </w:instrText>
        </w:r>
        <w:r w:rsidRPr="00B450EB">
          <w:rPr>
            <w:noProof/>
            <w:webHidden/>
          </w:rPr>
        </w:r>
        <w:r w:rsidRPr="00B450EB">
          <w:rPr>
            <w:noProof/>
            <w:webHidden/>
          </w:rPr>
          <w:fldChar w:fldCharType="separate"/>
        </w:r>
        <w:r w:rsidRPr="00B450EB">
          <w:rPr>
            <w:noProof/>
            <w:webHidden/>
          </w:rPr>
          <w:t>197</w:t>
        </w:r>
        <w:r w:rsidRPr="00B450EB">
          <w:rPr>
            <w:noProof/>
            <w:webHidden/>
          </w:rPr>
          <w:fldChar w:fldCharType="end"/>
        </w:r>
      </w:hyperlink>
    </w:p>
    <w:p w14:paraId="7E3352B8" w14:textId="0D42FBC8"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6" w:history="1">
        <w:r w:rsidRPr="00B450EB">
          <w:rPr>
            <w:rStyle w:val="Hipervnculo"/>
            <w:noProof/>
            <w:color w:val="auto"/>
          </w:rPr>
          <w:t>Figura 88 Proyecciones al 2100 del escenario SSP5-8.5: cambio porcentual de la precipitación y variaciones en la temperatura máxima, media y mínima</w:t>
        </w:r>
        <w:r w:rsidRPr="00B450EB">
          <w:rPr>
            <w:noProof/>
            <w:webHidden/>
          </w:rPr>
          <w:tab/>
        </w:r>
        <w:r w:rsidRPr="00B450EB">
          <w:rPr>
            <w:noProof/>
            <w:webHidden/>
          </w:rPr>
          <w:fldChar w:fldCharType="begin"/>
        </w:r>
        <w:r w:rsidRPr="00B450EB">
          <w:rPr>
            <w:noProof/>
            <w:webHidden/>
          </w:rPr>
          <w:instrText xml:space="preserve"> PAGEREF _Toc209462776 \h </w:instrText>
        </w:r>
        <w:r w:rsidRPr="00B450EB">
          <w:rPr>
            <w:noProof/>
            <w:webHidden/>
          </w:rPr>
        </w:r>
        <w:r w:rsidRPr="00B450EB">
          <w:rPr>
            <w:noProof/>
            <w:webHidden/>
          </w:rPr>
          <w:fldChar w:fldCharType="separate"/>
        </w:r>
        <w:r w:rsidRPr="00B450EB">
          <w:rPr>
            <w:noProof/>
            <w:webHidden/>
          </w:rPr>
          <w:t>200</w:t>
        </w:r>
        <w:r w:rsidRPr="00B450EB">
          <w:rPr>
            <w:noProof/>
            <w:webHidden/>
          </w:rPr>
          <w:fldChar w:fldCharType="end"/>
        </w:r>
      </w:hyperlink>
    </w:p>
    <w:p w14:paraId="11F96691" w14:textId="246A1C1F"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7" w:history="1">
        <w:r w:rsidRPr="00B450EB">
          <w:rPr>
            <w:rStyle w:val="Hipervnculo"/>
            <w:noProof/>
            <w:color w:val="auto"/>
          </w:rPr>
          <w:t>Figura 89 Índice de Amenaza por Cambio Climático. Escenario SSP5-5.8</w:t>
        </w:r>
        <w:r w:rsidRPr="00B450EB">
          <w:rPr>
            <w:noProof/>
            <w:webHidden/>
          </w:rPr>
          <w:tab/>
        </w:r>
        <w:r w:rsidRPr="00B450EB">
          <w:rPr>
            <w:noProof/>
            <w:webHidden/>
          </w:rPr>
          <w:fldChar w:fldCharType="begin"/>
        </w:r>
        <w:r w:rsidRPr="00B450EB">
          <w:rPr>
            <w:noProof/>
            <w:webHidden/>
          </w:rPr>
          <w:instrText xml:space="preserve"> PAGEREF _Toc209462777 \h </w:instrText>
        </w:r>
        <w:r w:rsidRPr="00B450EB">
          <w:rPr>
            <w:noProof/>
            <w:webHidden/>
          </w:rPr>
        </w:r>
        <w:r w:rsidRPr="00B450EB">
          <w:rPr>
            <w:noProof/>
            <w:webHidden/>
          </w:rPr>
          <w:fldChar w:fldCharType="separate"/>
        </w:r>
        <w:r w:rsidRPr="00B450EB">
          <w:rPr>
            <w:noProof/>
            <w:webHidden/>
          </w:rPr>
          <w:t>202</w:t>
        </w:r>
        <w:r w:rsidRPr="00B450EB">
          <w:rPr>
            <w:noProof/>
            <w:webHidden/>
          </w:rPr>
          <w:fldChar w:fldCharType="end"/>
        </w:r>
      </w:hyperlink>
    </w:p>
    <w:p w14:paraId="27E076C2" w14:textId="496E36F6"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8" w:history="1">
        <w:r w:rsidRPr="00B450EB">
          <w:rPr>
            <w:rStyle w:val="Hipervnculo"/>
            <w:noProof/>
            <w:color w:val="auto"/>
          </w:rPr>
          <w:t>Figura 90 índice de vulnerabilidad al cambio climático en la dimensión del recurso hídrico.</w:t>
        </w:r>
        <w:r w:rsidRPr="00B450EB">
          <w:rPr>
            <w:noProof/>
            <w:webHidden/>
          </w:rPr>
          <w:tab/>
        </w:r>
        <w:r w:rsidRPr="00B450EB">
          <w:rPr>
            <w:noProof/>
            <w:webHidden/>
          </w:rPr>
          <w:fldChar w:fldCharType="begin"/>
        </w:r>
        <w:r w:rsidRPr="00B450EB">
          <w:rPr>
            <w:noProof/>
            <w:webHidden/>
          </w:rPr>
          <w:instrText xml:space="preserve"> PAGEREF _Toc209462778 \h </w:instrText>
        </w:r>
        <w:r w:rsidRPr="00B450EB">
          <w:rPr>
            <w:noProof/>
            <w:webHidden/>
          </w:rPr>
        </w:r>
        <w:r w:rsidRPr="00B450EB">
          <w:rPr>
            <w:noProof/>
            <w:webHidden/>
          </w:rPr>
          <w:fldChar w:fldCharType="separate"/>
        </w:r>
        <w:r w:rsidRPr="00B450EB">
          <w:rPr>
            <w:noProof/>
            <w:webHidden/>
          </w:rPr>
          <w:t>203</w:t>
        </w:r>
        <w:r w:rsidRPr="00B450EB">
          <w:rPr>
            <w:noProof/>
            <w:webHidden/>
          </w:rPr>
          <w:fldChar w:fldCharType="end"/>
        </w:r>
      </w:hyperlink>
    </w:p>
    <w:p w14:paraId="6938BF26" w14:textId="60153AE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79" w:history="1">
        <w:r w:rsidRPr="00B450EB">
          <w:rPr>
            <w:rStyle w:val="Hipervnculo"/>
            <w:noProof/>
            <w:color w:val="auto"/>
          </w:rPr>
          <w:t>Figura 91 índice de vulnerabilidad al cambio climático en la dimensión de biodiversidad y servicios ecosistémicos</w:t>
        </w:r>
        <w:r w:rsidRPr="00B450EB">
          <w:rPr>
            <w:noProof/>
            <w:webHidden/>
          </w:rPr>
          <w:tab/>
        </w:r>
        <w:r w:rsidRPr="00B450EB">
          <w:rPr>
            <w:noProof/>
            <w:webHidden/>
          </w:rPr>
          <w:fldChar w:fldCharType="begin"/>
        </w:r>
        <w:r w:rsidRPr="00B450EB">
          <w:rPr>
            <w:noProof/>
            <w:webHidden/>
          </w:rPr>
          <w:instrText xml:space="preserve"> PAGEREF _Toc209462779 \h </w:instrText>
        </w:r>
        <w:r w:rsidRPr="00B450EB">
          <w:rPr>
            <w:noProof/>
            <w:webHidden/>
          </w:rPr>
        </w:r>
        <w:r w:rsidRPr="00B450EB">
          <w:rPr>
            <w:noProof/>
            <w:webHidden/>
          </w:rPr>
          <w:fldChar w:fldCharType="separate"/>
        </w:r>
        <w:r w:rsidRPr="00B450EB">
          <w:rPr>
            <w:noProof/>
            <w:webHidden/>
          </w:rPr>
          <w:t>205</w:t>
        </w:r>
        <w:r w:rsidRPr="00B450EB">
          <w:rPr>
            <w:noProof/>
            <w:webHidden/>
          </w:rPr>
          <w:fldChar w:fldCharType="end"/>
        </w:r>
      </w:hyperlink>
    </w:p>
    <w:p w14:paraId="410A0A5E" w14:textId="22C562FC"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0" w:history="1">
        <w:r w:rsidRPr="00B450EB">
          <w:rPr>
            <w:rStyle w:val="Hipervnculo"/>
            <w:noProof/>
            <w:color w:val="auto"/>
          </w:rPr>
          <w:t>Figura 92. Superposición de Amenazas identificadas</w:t>
        </w:r>
        <w:r w:rsidRPr="00B450EB">
          <w:rPr>
            <w:noProof/>
            <w:webHidden/>
          </w:rPr>
          <w:tab/>
        </w:r>
        <w:r w:rsidRPr="00B450EB">
          <w:rPr>
            <w:noProof/>
            <w:webHidden/>
          </w:rPr>
          <w:fldChar w:fldCharType="begin"/>
        </w:r>
        <w:r w:rsidRPr="00B450EB">
          <w:rPr>
            <w:noProof/>
            <w:webHidden/>
          </w:rPr>
          <w:instrText xml:space="preserve"> PAGEREF _Toc209462780 \h </w:instrText>
        </w:r>
        <w:r w:rsidRPr="00B450EB">
          <w:rPr>
            <w:noProof/>
            <w:webHidden/>
          </w:rPr>
        </w:r>
        <w:r w:rsidRPr="00B450EB">
          <w:rPr>
            <w:noProof/>
            <w:webHidden/>
          </w:rPr>
          <w:fldChar w:fldCharType="separate"/>
        </w:r>
        <w:r w:rsidRPr="00B450EB">
          <w:rPr>
            <w:noProof/>
            <w:webHidden/>
          </w:rPr>
          <w:t>207</w:t>
        </w:r>
        <w:r w:rsidRPr="00B450EB">
          <w:rPr>
            <w:noProof/>
            <w:webHidden/>
          </w:rPr>
          <w:fldChar w:fldCharType="end"/>
        </w:r>
      </w:hyperlink>
    </w:p>
    <w:p w14:paraId="393C91C3" w14:textId="582AB215"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1" w:history="1">
        <w:r w:rsidRPr="00B450EB">
          <w:rPr>
            <w:rStyle w:val="Hipervnculo"/>
            <w:noProof/>
            <w:color w:val="auto"/>
          </w:rPr>
          <w:t>Figura 93. Causas directas, subyacentes y agentes de deforestación en la Amazonía Colombiana</w:t>
        </w:r>
        <w:r w:rsidRPr="00B450EB">
          <w:rPr>
            <w:noProof/>
            <w:webHidden/>
          </w:rPr>
          <w:tab/>
        </w:r>
        <w:r w:rsidRPr="00B450EB">
          <w:rPr>
            <w:noProof/>
            <w:webHidden/>
          </w:rPr>
          <w:fldChar w:fldCharType="begin"/>
        </w:r>
        <w:r w:rsidRPr="00B450EB">
          <w:rPr>
            <w:noProof/>
            <w:webHidden/>
          </w:rPr>
          <w:instrText xml:space="preserve"> PAGEREF _Toc209462781 \h </w:instrText>
        </w:r>
        <w:r w:rsidRPr="00B450EB">
          <w:rPr>
            <w:noProof/>
            <w:webHidden/>
          </w:rPr>
        </w:r>
        <w:r w:rsidRPr="00B450EB">
          <w:rPr>
            <w:noProof/>
            <w:webHidden/>
          </w:rPr>
          <w:fldChar w:fldCharType="separate"/>
        </w:r>
        <w:r w:rsidRPr="00B450EB">
          <w:rPr>
            <w:noProof/>
            <w:webHidden/>
          </w:rPr>
          <w:t>208</w:t>
        </w:r>
        <w:r w:rsidRPr="00B450EB">
          <w:rPr>
            <w:noProof/>
            <w:webHidden/>
          </w:rPr>
          <w:fldChar w:fldCharType="end"/>
        </w:r>
      </w:hyperlink>
    </w:p>
    <w:p w14:paraId="63B0C8F8" w14:textId="500B7EA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2" w:history="1">
        <w:r w:rsidRPr="00B450EB">
          <w:rPr>
            <w:rStyle w:val="Hipervnculo"/>
            <w:noProof/>
            <w:color w:val="auto"/>
          </w:rPr>
          <w:t>Figura 94. Cambios de la cobertura de la tierra en un escenario extractivista</w:t>
        </w:r>
        <w:r w:rsidRPr="00B450EB">
          <w:rPr>
            <w:noProof/>
            <w:webHidden/>
          </w:rPr>
          <w:tab/>
        </w:r>
        <w:r w:rsidRPr="00B450EB">
          <w:rPr>
            <w:noProof/>
            <w:webHidden/>
          </w:rPr>
          <w:fldChar w:fldCharType="begin"/>
        </w:r>
        <w:r w:rsidRPr="00B450EB">
          <w:rPr>
            <w:noProof/>
            <w:webHidden/>
          </w:rPr>
          <w:instrText xml:space="preserve"> PAGEREF _Toc209462782 \h </w:instrText>
        </w:r>
        <w:r w:rsidRPr="00B450EB">
          <w:rPr>
            <w:noProof/>
            <w:webHidden/>
          </w:rPr>
        </w:r>
        <w:r w:rsidRPr="00B450EB">
          <w:rPr>
            <w:noProof/>
            <w:webHidden/>
          </w:rPr>
          <w:fldChar w:fldCharType="separate"/>
        </w:r>
        <w:r w:rsidRPr="00B450EB">
          <w:rPr>
            <w:noProof/>
            <w:webHidden/>
          </w:rPr>
          <w:t>209</w:t>
        </w:r>
        <w:r w:rsidRPr="00B450EB">
          <w:rPr>
            <w:noProof/>
            <w:webHidden/>
          </w:rPr>
          <w:fldChar w:fldCharType="end"/>
        </w:r>
      </w:hyperlink>
    </w:p>
    <w:p w14:paraId="101AB7DA" w14:textId="5D25815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3" w:history="1">
        <w:r w:rsidRPr="00B450EB">
          <w:rPr>
            <w:rStyle w:val="Hipervnculo"/>
            <w:noProof/>
            <w:color w:val="auto"/>
          </w:rPr>
          <w:t>Figura 95. Área de influencia por vías</w:t>
        </w:r>
        <w:r w:rsidRPr="00B450EB">
          <w:rPr>
            <w:noProof/>
            <w:webHidden/>
          </w:rPr>
          <w:tab/>
        </w:r>
        <w:r w:rsidRPr="00B450EB">
          <w:rPr>
            <w:noProof/>
            <w:webHidden/>
          </w:rPr>
          <w:fldChar w:fldCharType="begin"/>
        </w:r>
        <w:r w:rsidRPr="00B450EB">
          <w:rPr>
            <w:noProof/>
            <w:webHidden/>
          </w:rPr>
          <w:instrText xml:space="preserve"> PAGEREF _Toc209462783 \h </w:instrText>
        </w:r>
        <w:r w:rsidRPr="00B450EB">
          <w:rPr>
            <w:noProof/>
            <w:webHidden/>
          </w:rPr>
        </w:r>
        <w:r w:rsidRPr="00B450EB">
          <w:rPr>
            <w:noProof/>
            <w:webHidden/>
          </w:rPr>
          <w:fldChar w:fldCharType="separate"/>
        </w:r>
        <w:r w:rsidRPr="00B450EB">
          <w:rPr>
            <w:noProof/>
            <w:webHidden/>
          </w:rPr>
          <w:t>210</w:t>
        </w:r>
        <w:r w:rsidRPr="00B450EB">
          <w:rPr>
            <w:noProof/>
            <w:webHidden/>
          </w:rPr>
          <w:fldChar w:fldCharType="end"/>
        </w:r>
      </w:hyperlink>
    </w:p>
    <w:p w14:paraId="6C0BCCEE" w14:textId="53A48D16"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4" w:history="1">
        <w:r w:rsidRPr="00B450EB">
          <w:rPr>
            <w:rStyle w:val="Hipervnculo"/>
            <w:noProof/>
            <w:color w:val="auto"/>
          </w:rPr>
          <w:t>Figura 96. Enfoque en zonas críticas de concentración de presiones en Putumayo y Caquetá</w:t>
        </w:r>
        <w:r w:rsidRPr="00B450EB">
          <w:rPr>
            <w:noProof/>
            <w:webHidden/>
          </w:rPr>
          <w:tab/>
        </w:r>
        <w:r w:rsidRPr="00B450EB">
          <w:rPr>
            <w:noProof/>
            <w:webHidden/>
          </w:rPr>
          <w:fldChar w:fldCharType="begin"/>
        </w:r>
        <w:r w:rsidRPr="00B450EB">
          <w:rPr>
            <w:noProof/>
            <w:webHidden/>
          </w:rPr>
          <w:instrText xml:space="preserve"> PAGEREF _Toc209462784 \h </w:instrText>
        </w:r>
        <w:r w:rsidRPr="00B450EB">
          <w:rPr>
            <w:noProof/>
            <w:webHidden/>
          </w:rPr>
        </w:r>
        <w:r w:rsidRPr="00B450EB">
          <w:rPr>
            <w:noProof/>
            <w:webHidden/>
          </w:rPr>
          <w:fldChar w:fldCharType="separate"/>
        </w:r>
        <w:r w:rsidRPr="00B450EB">
          <w:rPr>
            <w:noProof/>
            <w:webHidden/>
          </w:rPr>
          <w:t>211</w:t>
        </w:r>
        <w:r w:rsidRPr="00B450EB">
          <w:rPr>
            <w:noProof/>
            <w:webHidden/>
          </w:rPr>
          <w:fldChar w:fldCharType="end"/>
        </w:r>
      </w:hyperlink>
    </w:p>
    <w:p w14:paraId="1BC1C325" w14:textId="6D99943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5" w:history="1">
        <w:r w:rsidRPr="00B450EB">
          <w:rPr>
            <w:rStyle w:val="Hipervnculo"/>
            <w:noProof/>
            <w:color w:val="auto"/>
          </w:rPr>
          <w:t>Figura 97. Tasas de corte de producción de fluidos, sector hidrocarburos (país)</w:t>
        </w:r>
        <w:r w:rsidRPr="00B450EB">
          <w:rPr>
            <w:noProof/>
            <w:webHidden/>
          </w:rPr>
          <w:tab/>
        </w:r>
        <w:r w:rsidRPr="00B450EB">
          <w:rPr>
            <w:noProof/>
            <w:webHidden/>
          </w:rPr>
          <w:fldChar w:fldCharType="begin"/>
        </w:r>
        <w:r w:rsidRPr="00B450EB">
          <w:rPr>
            <w:noProof/>
            <w:webHidden/>
          </w:rPr>
          <w:instrText xml:space="preserve"> PAGEREF _Toc209462785 \h </w:instrText>
        </w:r>
        <w:r w:rsidRPr="00B450EB">
          <w:rPr>
            <w:noProof/>
            <w:webHidden/>
          </w:rPr>
        </w:r>
        <w:r w:rsidRPr="00B450EB">
          <w:rPr>
            <w:noProof/>
            <w:webHidden/>
          </w:rPr>
          <w:fldChar w:fldCharType="separate"/>
        </w:r>
        <w:r w:rsidRPr="00B450EB">
          <w:rPr>
            <w:noProof/>
            <w:webHidden/>
          </w:rPr>
          <w:t>224</w:t>
        </w:r>
        <w:r w:rsidRPr="00B450EB">
          <w:rPr>
            <w:noProof/>
            <w:webHidden/>
          </w:rPr>
          <w:fldChar w:fldCharType="end"/>
        </w:r>
      </w:hyperlink>
    </w:p>
    <w:p w14:paraId="73681F81" w14:textId="0AD7CA28"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6" w:history="1">
        <w:r w:rsidRPr="00B450EB">
          <w:rPr>
            <w:rStyle w:val="Hipervnculo"/>
            <w:noProof/>
            <w:color w:val="auto"/>
          </w:rPr>
          <w:t>Figura 98. Destino aguas de producción.</w:t>
        </w:r>
        <w:r w:rsidRPr="00B450EB">
          <w:rPr>
            <w:noProof/>
            <w:webHidden/>
          </w:rPr>
          <w:tab/>
        </w:r>
        <w:r w:rsidRPr="00B450EB">
          <w:rPr>
            <w:noProof/>
            <w:webHidden/>
          </w:rPr>
          <w:fldChar w:fldCharType="begin"/>
        </w:r>
        <w:r w:rsidRPr="00B450EB">
          <w:rPr>
            <w:noProof/>
            <w:webHidden/>
          </w:rPr>
          <w:instrText xml:space="preserve"> PAGEREF _Toc209462786 \h </w:instrText>
        </w:r>
        <w:r w:rsidRPr="00B450EB">
          <w:rPr>
            <w:noProof/>
            <w:webHidden/>
          </w:rPr>
        </w:r>
        <w:r w:rsidRPr="00B450EB">
          <w:rPr>
            <w:noProof/>
            <w:webHidden/>
          </w:rPr>
          <w:fldChar w:fldCharType="separate"/>
        </w:r>
        <w:r w:rsidRPr="00B450EB">
          <w:rPr>
            <w:noProof/>
            <w:webHidden/>
          </w:rPr>
          <w:t>225</w:t>
        </w:r>
        <w:r w:rsidRPr="00B450EB">
          <w:rPr>
            <w:noProof/>
            <w:webHidden/>
          </w:rPr>
          <w:fldChar w:fldCharType="end"/>
        </w:r>
      </w:hyperlink>
    </w:p>
    <w:p w14:paraId="7C8D997C" w14:textId="6F3CB32F"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7" w:history="1">
        <w:r w:rsidRPr="00B450EB">
          <w:rPr>
            <w:rStyle w:val="Hipervnculo"/>
            <w:noProof/>
            <w:color w:val="auto"/>
          </w:rPr>
          <w:t>Figura 99. Distribución de proyectos licenciados de ANLA y Prospectivas Sectoriales</w:t>
        </w:r>
        <w:r w:rsidRPr="00B450EB">
          <w:rPr>
            <w:noProof/>
            <w:webHidden/>
          </w:rPr>
          <w:tab/>
        </w:r>
        <w:r w:rsidRPr="00B450EB">
          <w:rPr>
            <w:noProof/>
            <w:webHidden/>
          </w:rPr>
          <w:fldChar w:fldCharType="begin"/>
        </w:r>
        <w:r w:rsidRPr="00B450EB">
          <w:rPr>
            <w:noProof/>
            <w:webHidden/>
          </w:rPr>
          <w:instrText xml:space="preserve"> PAGEREF _Toc209462787 \h </w:instrText>
        </w:r>
        <w:r w:rsidRPr="00B450EB">
          <w:rPr>
            <w:noProof/>
            <w:webHidden/>
          </w:rPr>
        </w:r>
        <w:r w:rsidRPr="00B450EB">
          <w:rPr>
            <w:noProof/>
            <w:webHidden/>
          </w:rPr>
          <w:fldChar w:fldCharType="separate"/>
        </w:r>
        <w:r w:rsidRPr="00B450EB">
          <w:rPr>
            <w:noProof/>
            <w:webHidden/>
          </w:rPr>
          <w:t>247</w:t>
        </w:r>
        <w:r w:rsidRPr="00B450EB">
          <w:rPr>
            <w:noProof/>
            <w:webHidden/>
          </w:rPr>
          <w:fldChar w:fldCharType="end"/>
        </w:r>
      </w:hyperlink>
    </w:p>
    <w:p w14:paraId="5F46338A" w14:textId="29DC965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8" w:history="1">
        <w:r w:rsidRPr="00B450EB">
          <w:rPr>
            <w:rStyle w:val="Hipervnculo"/>
            <w:noProof/>
            <w:color w:val="auto"/>
          </w:rPr>
          <w:t xml:space="preserve">Figura 100. </w:t>
        </w:r>
        <w:r w:rsidRPr="00B450EB">
          <w:rPr>
            <w:rStyle w:val="Hipervnculo"/>
            <w:noProof/>
            <w:color w:val="auto"/>
            <w:lang w:val="es-ES"/>
          </w:rPr>
          <w:t>Diagrama de relaciones de causalidad – Modelación de Sistemas Complejos</w:t>
        </w:r>
        <w:r w:rsidRPr="00B450EB">
          <w:rPr>
            <w:noProof/>
            <w:webHidden/>
          </w:rPr>
          <w:tab/>
        </w:r>
        <w:r w:rsidRPr="00B450EB">
          <w:rPr>
            <w:noProof/>
            <w:webHidden/>
          </w:rPr>
          <w:fldChar w:fldCharType="begin"/>
        </w:r>
        <w:r w:rsidRPr="00B450EB">
          <w:rPr>
            <w:noProof/>
            <w:webHidden/>
          </w:rPr>
          <w:instrText xml:space="preserve"> PAGEREF _Toc209462788 \h </w:instrText>
        </w:r>
        <w:r w:rsidRPr="00B450EB">
          <w:rPr>
            <w:noProof/>
            <w:webHidden/>
          </w:rPr>
        </w:r>
        <w:r w:rsidRPr="00B450EB">
          <w:rPr>
            <w:noProof/>
            <w:webHidden/>
          </w:rPr>
          <w:fldChar w:fldCharType="separate"/>
        </w:r>
        <w:r w:rsidRPr="00B450EB">
          <w:rPr>
            <w:noProof/>
            <w:webHidden/>
          </w:rPr>
          <w:t>248</w:t>
        </w:r>
        <w:r w:rsidRPr="00B450EB">
          <w:rPr>
            <w:noProof/>
            <w:webHidden/>
          </w:rPr>
          <w:fldChar w:fldCharType="end"/>
        </w:r>
      </w:hyperlink>
    </w:p>
    <w:p w14:paraId="23341AF6" w14:textId="298353BC"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89" w:history="1">
        <w:r w:rsidRPr="00B450EB">
          <w:rPr>
            <w:rStyle w:val="Hipervnculo"/>
            <w:noProof/>
            <w:color w:val="auto"/>
          </w:rPr>
          <w:t xml:space="preserve">Figura 101. </w:t>
        </w:r>
        <w:r w:rsidRPr="00B450EB">
          <w:rPr>
            <w:rStyle w:val="Hipervnculo"/>
            <w:noProof/>
            <w:color w:val="auto"/>
            <w:lang w:val="es-ES"/>
          </w:rPr>
          <w:t>Diagrama de relaciones de causalidad por atributos ambientales y sectores económicos</w:t>
        </w:r>
        <w:r w:rsidRPr="00B450EB">
          <w:rPr>
            <w:noProof/>
            <w:webHidden/>
          </w:rPr>
          <w:tab/>
        </w:r>
        <w:r w:rsidRPr="00B450EB">
          <w:rPr>
            <w:noProof/>
            <w:webHidden/>
          </w:rPr>
          <w:fldChar w:fldCharType="begin"/>
        </w:r>
        <w:r w:rsidRPr="00B450EB">
          <w:rPr>
            <w:noProof/>
            <w:webHidden/>
          </w:rPr>
          <w:instrText xml:space="preserve"> PAGEREF _Toc209462789 \h </w:instrText>
        </w:r>
        <w:r w:rsidRPr="00B450EB">
          <w:rPr>
            <w:noProof/>
            <w:webHidden/>
          </w:rPr>
        </w:r>
        <w:r w:rsidRPr="00B450EB">
          <w:rPr>
            <w:noProof/>
            <w:webHidden/>
          </w:rPr>
          <w:fldChar w:fldCharType="separate"/>
        </w:r>
        <w:r w:rsidRPr="00B450EB">
          <w:rPr>
            <w:noProof/>
            <w:webHidden/>
          </w:rPr>
          <w:t>251</w:t>
        </w:r>
        <w:r w:rsidRPr="00B450EB">
          <w:rPr>
            <w:noProof/>
            <w:webHidden/>
          </w:rPr>
          <w:fldChar w:fldCharType="end"/>
        </w:r>
      </w:hyperlink>
    </w:p>
    <w:p w14:paraId="20FB2370" w14:textId="69B6ABA5"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0" w:history="1">
        <w:r w:rsidRPr="00B450EB">
          <w:rPr>
            <w:rStyle w:val="Hipervnculo"/>
            <w:noProof/>
            <w:color w:val="auto"/>
          </w:rPr>
          <w:t>Figura 102. Diagrama de relaciones de causalidad para cambio climático</w:t>
        </w:r>
        <w:r w:rsidRPr="00B450EB">
          <w:rPr>
            <w:noProof/>
            <w:webHidden/>
          </w:rPr>
          <w:tab/>
        </w:r>
        <w:r w:rsidRPr="00B450EB">
          <w:rPr>
            <w:noProof/>
            <w:webHidden/>
          </w:rPr>
          <w:fldChar w:fldCharType="begin"/>
        </w:r>
        <w:r w:rsidRPr="00B450EB">
          <w:rPr>
            <w:noProof/>
            <w:webHidden/>
          </w:rPr>
          <w:instrText xml:space="preserve"> PAGEREF _Toc209462790 \h </w:instrText>
        </w:r>
        <w:r w:rsidRPr="00B450EB">
          <w:rPr>
            <w:noProof/>
            <w:webHidden/>
          </w:rPr>
        </w:r>
        <w:r w:rsidRPr="00B450EB">
          <w:rPr>
            <w:noProof/>
            <w:webHidden/>
          </w:rPr>
          <w:fldChar w:fldCharType="separate"/>
        </w:r>
        <w:r w:rsidRPr="00B450EB">
          <w:rPr>
            <w:noProof/>
            <w:webHidden/>
          </w:rPr>
          <w:t>252</w:t>
        </w:r>
        <w:r w:rsidRPr="00B450EB">
          <w:rPr>
            <w:noProof/>
            <w:webHidden/>
          </w:rPr>
          <w:fldChar w:fldCharType="end"/>
        </w:r>
      </w:hyperlink>
    </w:p>
    <w:p w14:paraId="5D8B51E2" w14:textId="07F13B5D"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1" w:history="1">
        <w:r w:rsidRPr="00B450EB">
          <w:rPr>
            <w:rStyle w:val="Hipervnculo"/>
            <w:noProof/>
            <w:color w:val="auto"/>
          </w:rPr>
          <w:t>Figura 103. Regiones hidrológicas del SIN</w:t>
        </w:r>
        <w:r w:rsidRPr="00B450EB">
          <w:rPr>
            <w:noProof/>
            <w:webHidden/>
          </w:rPr>
          <w:tab/>
        </w:r>
        <w:r w:rsidRPr="00B450EB">
          <w:rPr>
            <w:noProof/>
            <w:webHidden/>
          </w:rPr>
          <w:fldChar w:fldCharType="begin"/>
        </w:r>
        <w:r w:rsidRPr="00B450EB">
          <w:rPr>
            <w:noProof/>
            <w:webHidden/>
          </w:rPr>
          <w:instrText xml:space="preserve"> PAGEREF _Toc209462791 \h </w:instrText>
        </w:r>
        <w:r w:rsidRPr="00B450EB">
          <w:rPr>
            <w:noProof/>
            <w:webHidden/>
          </w:rPr>
        </w:r>
        <w:r w:rsidRPr="00B450EB">
          <w:rPr>
            <w:noProof/>
            <w:webHidden/>
          </w:rPr>
          <w:fldChar w:fldCharType="separate"/>
        </w:r>
        <w:r w:rsidRPr="00B450EB">
          <w:rPr>
            <w:noProof/>
            <w:webHidden/>
          </w:rPr>
          <w:t>258</w:t>
        </w:r>
        <w:r w:rsidRPr="00B450EB">
          <w:rPr>
            <w:noProof/>
            <w:webHidden/>
          </w:rPr>
          <w:fldChar w:fldCharType="end"/>
        </w:r>
      </w:hyperlink>
    </w:p>
    <w:p w14:paraId="44D12EE8" w14:textId="7B317EE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2" w:history="1">
        <w:r w:rsidRPr="00B450EB">
          <w:rPr>
            <w:rStyle w:val="Hipervnculo"/>
            <w:noProof/>
            <w:color w:val="auto"/>
          </w:rPr>
          <w:t>Figura 104. Embalses e hidroeléctricas zona oriente SIN</w:t>
        </w:r>
        <w:r w:rsidRPr="00B450EB">
          <w:rPr>
            <w:noProof/>
            <w:webHidden/>
          </w:rPr>
          <w:tab/>
        </w:r>
        <w:r w:rsidRPr="00B450EB">
          <w:rPr>
            <w:noProof/>
            <w:webHidden/>
          </w:rPr>
          <w:fldChar w:fldCharType="begin"/>
        </w:r>
        <w:r w:rsidRPr="00B450EB">
          <w:rPr>
            <w:noProof/>
            <w:webHidden/>
          </w:rPr>
          <w:instrText xml:space="preserve"> PAGEREF _Toc209462792 \h </w:instrText>
        </w:r>
        <w:r w:rsidRPr="00B450EB">
          <w:rPr>
            <w:noProof/>
            <w:webHidden/>
          </w:rPr>
        </w:r>
        <w:r w:rsidRPr="00B450EB">
          <w:rPr>
            <w:noProof/>
            <w:webHidden/>
          </w:rPr>
          <w:fldChar w:fldCharType="separate"/>
        </w:r>
        <w:r w:rsidRPr="00B450EB">
          <w:rPr>
            <w:noProof/>
            <w:webHidden/>
          </w:rPr>
          <w:t>259</w:t>
        </w:r>
        <w:r w:rsidRPr="00B450EB">
          <w:rPr>
            <w:noProof/>
            <w:webHidden/>
          </w:rPr>
          <w:fldChar w:fldCharType="end"/>
        </w:r>
      </w:hyperlink>
    </w:p>
    <w:p w14:paraId="28015206" w14:textId="5C8F0FB9"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3" w:history="1">
        <w:r w:rsidRPr="00B450EB">
          <w:rPr>
            <w:rStyle w:val="Hipervnculo"/>
            <w:rFonts w:eastAsia="Aptos" w:cs="Arial"/>
            <w:i/>
            <w:iCs/>
            <w:noProof/>
            <w:color w:val="auto"/>
            <w:lang w:val="pt-PT"/>
          </w:rPr>
          <w:t>Figura 105. Retro trayectorias masas de Aire – Cadena Hidroelectrica I Rio Bogota – Paraiso</w:t>
        </w:r>
        <w:r w:rsidRPr="00B450EB">
          <w:rPr>
            <w:noProof/>
            <w:webHidden/>
          </w:rPr>
          <w:tab/>
        </w:r>
        <w:r w:rsidRPr="00B450EB">
          <w:rPr>
            <w:noProof/>
            <w:webHidden/>
          </w:rPr>
          <w:fldChar w:fldCharType="begin"/>
        </w:r>
        <w:r w:rsidRPr="00B450EB">
          <w:rPr>
            <w:noProof/>
            <w:webHidden/>
          </w:rPr>
          <w:instrText xml:space="preserve"> PAGEREF _Toc209462793 \h </w:instrText>
        </w:r>
        <w:r w:rsidRPr="00B450EB">
          <w:rPr>
            <w:noProof/>
            <w:webHidden/>
          </w:rPr>
        </w:r>
        <w:r w:rsidRPr="00B450EB">
          <w:rPr>
            <w:noProof/>
            <w:webHidden/>
          </w:rPr>
          <w:fldChar w:fldCharType="separate"/>
        </w:r>
        <w:r w:rsidRPr="00B450EB">
          <w:rPr>
            <w:noProof/>
            <w:webHidden/>
          </w:rPr>
          <w:t>260</w:t>
        </w:r>
        <w:r w:rsidRPr="00B450EB">
          <w:rPr>
            <w:noProof/>
            <w:webHidden/>
          </w:rPr>
          <w:fldChar w:fldCharType="end"/>
        </w:r>
      </w:hyperlink>
    </w:p>
    <w:p w14:paraId="55B47E8E" w14:textId="7216ACD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4" w:history="1">
        <w:r w:rsidRPr="00B450EB">
          <w:rPr>
            <w:rStyle w:val="Hipervnculo"/>
            <w:rFonts w:eastAsia="Aptos" w:cs="Arial"/>
            <w:i/>
            <w:iCs/>
            <w:noProof/>
            <w:color w:val="auto"/>
          </w:rPr>
          <w:t>Figura 106. Retro trayectorias masas de Aire – El Guavio y Chivor</w:t>
        </w:r>
        <w:r w:rsidRPr="00B450EB">
          <w:rPr>
            <w:noProof/>
            <w:webHidden/>
          </w:rPr>
          <w:tab/>
        </w:r>
        <w:r w:rsidRPr="00B450EB">
          <w:rPr>
            <w:noProof/>
            <w:webHidden/>
          </w:rPr>
          <w:fldChar w:fldCharType="begin"/>
        </w:r>
        <w:r w:rsidRPr="00B450EB">
          <w:rPr>
            <w:noProof/>
            <w:webHidden/>
          </w:rPr>
          <w:instrText xml:space="preserve"> PAGEREF _Toc209462794 \h </w:instrText>
        </w:r>
        <w:r w:rsidRPr="00B450EB">
          <w:rPr>
            <w:noProof/>
            <w:webHidden/>
          </w:rPr>
        </w:r>
        <w:r w:rsidRPr="00B450EB">
          <w:rPr>
            <w:noProof/>
            <w:webHidden/>
          </w:rPr>
          <w:fldChar w:fldCharType="separate"/>
        </w:r>
        <w:r w:rsidRPr="00B450EB">
          <w:rPr>
            <w:noProof/>
            <w:webHidden/>
          </w:rPr>
          <w:t>261</w:t>
        </w:r>
        <w:r w:rsidRPr="00B450EB">
          <w:rPr>
            <w:noProof/>
            <w:webHidden/>
          </w:rPr>
          <w:fldChar w:fldCharType="end"/>
        </w:r>
      </w:hyperlink>
    </w:p>
    <w:p w14:paraId="0867E747" w14:textId="08E01559"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5" w:history="1">
        <w:r w:rsidRPr="00B450EB">
          <w:rPr>
            <w:rStyle w:val="Hipervnculo"/>
            <w:rFonts w:eastAsia="Aptos" w:cs="Arial"/>
            <w:i/>
            <w:iCs/>
            <w:noProof/>
            <w:color w:val="auto"/>
          </w:rPr>
          <w:t xml:space="preserve">Figura 107. </w:t>
        </w:r>
        <w:r w:rsidRPr="00B450EB">
          <w:rPr>
            <w:rStyle w:val="Hipervnculo"/>
            <w:rFonts w:eastAsia="Aptos" w:cs="Arial"/>
            <w:i/>
            <w:iCs/>
            <w:noProof/>
            <w:color w:val="auto"/>
            <w:lang w:val="pt-PT"/>
          </w:rPr>
          <w:t>Retro trayectorias masas de Aire – Embalse Tomine</w:t>
        </w:r>
        <w:r w:rsidRPr="00B450EB">
          <w:rPr>
            <w:noProof/>
            <w:webHidden/>
          </w:rPr>
          <w:tab/>
        </w:r>
        <w:r w:rsidRPr="00B450EB">
          <w:rPr>
            <w:noProof/>
            <w:webHidden/>
          </w:rPr>
          <w:fldChar w:fldCharType="begin"/>
        </w:r>
        <w:r w:rsidRPr="00B450EB">
          <w:rPr>
            <w:noProof/>
            <w:webHidden/>
          </w:rPr>
          <w:instrText xml:space="preserve"> PAGEREF _Toc209462795 \h </w:instrText>
        </w:r>
        <w:r w:rsidRPr="00B450EB">
          <w:rPr>
            <w:noProof/>
            <w:webHidden/>
          </w:rPr>
        </w:r>
        <w:r w:rsidRPr="00B450EB">
          <w:rPr>
            <w:noProof/>
            <w:webHidden/>
          </w:rPr>
          <w:fldChar w:fldCharType="separate"/>
        </w:r>
        <w:r w:rsidRPr="00B450EB">
          <w:rPr>
            <w:noProof/>
            <w:webHidden/>
          </w:rPr>
          <w:t>261</w:t>
        </w:r>
        <w:r w:rsidRPr="00B450EB">
          <w:rPr>
            <w:noProof/>
            <w:webHidden/>
          </w:rPr>
          <w:fldChar w:fldCharType="end"/>
        </w:r>
      </w:hyperlink>
    </w:p>
    <w:p w14:paraId="15205288" w14:textId="7960B0B4"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6" w:history="1">
        <w:r w:rsidRPr="00B450EB">
          <w:rPr>
            <w:rStyle w:val="Hipervnculo"/>
            <w:noProof/>
            <w:color w:val="auto"/>
          </w:rPr>
          <w:t>Figura 108 índice de riesgo climático en la dimensión del recurso hídrico SP5</w:t>
        </w:r>
        <w:r w:rsidRPr="00B450EB">
          <w:rPr>
            <w:noProof/>
            <w:webHidden/>
          </w:rPr>
          <w:tab/>
        </w:r>
        <w:r w:rsidRPr="00B450EB">
          <w:rPr>
            <w:noProof/>
            <w:webHidden/>
          </w:rPr>
          <w:fldChar w:fldCharType="begin"/>
        </w:r>
        <w:r w:rsidRPr="00B450EB">
          <w:rPr>
            <w:noProof/>
            <w:webHidden/>
          </w:rPr>
          <w:instrText xml:space="preserve"> PAGEREF _Toc209462796 \h </w:instrText>
        </w:r>
        <w:r w:rsidRPr="00B450EB">
          <w:rPr>
            <w:noProof/>
            <w:webHidden/>
          </w:rPr>
        </w:r>
        <w:r w:rsidRPr="00B450EB">
          <w:rPr>
            <w:noProof/>
            <w:webHidden/>
          </w:rPr>
          <w:fldChar w:fldCharType="separate"/>
        </w:r>
        <w:r w:rsidRPr="00B450EB">
          <w:rPr>
            <w:noProof/>
            <w:webHidden/>
          </w:rPr>
          <w:t>272</w:t>
        </w:r>
        <w:r w:rsidRPr="00B450EB">
          <w:rPr>
            <w:noProof/>
            <w:webHidden/>
          </w:rPr>
          <w:fldChar w:fldCharType="end"/>
        </w:r>
      </w:hyperlink>
    </w:p>
    <w:p w14:paraId="140AE6AD" w14:textId="1B31658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7" w:history="1">
        <w:r w:rsidRPr="00B450EB">
          <w:rPr>
            <w:rStyle w:val="Hipervnculo"/>
            <w:noProof/>
            <w:color w:val="auto"/>
          </w:rPr>
          <w:t>Figura 109 índice de riesgo climático en la dimensión de biodiversidad y servicios ecosistémicos</w:t>
        </w:r>
        <w:r w:rsidRPr="00B450EB">
          <w:rPr>
            <w:noProof/>
            <w:webHidden/>
          </w:rPr>
          <w:tab/>
        </w:r>
        <w:r w:rsidRPr="00B450EB">
          <w:rPr>
            <w:noProof/>
            <w:webHidden/>
          </w:rPr>
          <w:fldChar w:fldCharType="begin"/>
        </w:r>
        <w:r w:rsidRPr="00B450EB">
          <w:rPr>
            <w:noProof/>
            <w:webHidden/>
          </w:rPr>
          <w:instrText xml:space="preserve"> PAGEREF _Toc209462797 \h </w:instrText>
        </w:r>
        <w:r w:rsidRPr="00B450EB">
          <w:rPr>
            <w:noProof/>
            <w:webHidden/>
          </w:rPr>
        </w:r>
        <w:r w:rsidRPr="00B450EB">
          <w:rPr>
            <w:noProof/>
            <w:webHidden/>
          </w:rPr>
          <w:fldChar w:fldCharType="separate"/>
        </w:r>
        <w:r w:rsidRPr="00B450EB">
          <w:rPr>
            <w:noProof/>
            <w:webHidden/>
          </w:rPr>
          <w:t>274</w:t>
        </w:r>
        <w:r w:rsidRPr="00B450EB">
          <w:rPr>
            <w:noProof/>
            <w:webHidden/>
          </w:rPr>
          <w:fldChar w:fldCharType="end"/>
        </w:r>
      </w:hyperlink>
    </w:p>
    <w:p w14:paraId="01404854" w14:textId="5872A27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8" w:history="1">
        <w:r w:rsidRPr="00B450EB">
          <w:rPr>
            <w:rStyle w:val="Hipervnculo"/>
            <w:noProof/>
            <w:color w:val="auto"/>
          </w:rPr>
          <w:t>Figura 110 Mapa de la concentración de aves vulnerables y alta vulnerabilidad al cambio climático. Los valores más altos de especies se presentan las zonas de azul (152-168 especies), mientras que los más bajos en amarillo.</w:t>
        </w:r>
        <w:r w:rsidRPr="00B450EB">
          <w:rPr>
            <w:noProof/>
            <w:webHidden/>
          </w:rPr>
          <w:tab/>
        </w:r>
        <w:r w:rsidRPr="00B450EB">
          <w:rPr>
            <w:noProof/>
            <w:webHidden/>
          </w:rPr>
          <w:fldChar w:fldCharType="begin"/>
        </w:r>
        <w:r w:rsidRPr="00B450EB">
          <w:rPr>
            <w:noProof/>
            <w:webHidden/>
          </w:rPr>
          <w:instrText xml:space="preserve"> PAGEREF _Toc209462798 \h </w:instrText>
        </w:r>
        <w:r w:rsidRPr="00B450EB">
          <w:rPr>
            <w:noProof/>
            <w:webHidden/>
          </w:rPr>
        </w:r>
        <w:r w:rsidRPr="00B450EB">
          <w:rPr>
            <w:noProof/>
            <w:webHidden/>
          </w:rPr>
          <w:fldChar w:fldCharType="separate"/>
        </w:r>
        <w:r w:rsidRPr="00B450EB">
          <w:rPr>
            <w:noProof/>
            <w:webHidden/>
          </w:rPr>
          <w:t>279</w:t>
        </w:r>
        <w:r w:rsidRPr="00B450EB">
          <w:rPr>
            <w:noProof/>
            <w:webHidden/>
          </w:rPr>
          <w:fldChar w:fldCharType="end"/>
        </w:r>
      </w:hyperlink>
    </w:p>
    <w:p w14:paraId="1A236AF3" w14:textId="10F102C1"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799" w:history="1">
        <w:r w:rsidRPr="00B450EB">
          <w:rPr>
            <w:rStyle w:val="Hipervnculo"/>
            <w:noProof/>
            <w:color w:val="auto"/>
          </w:rPr>
          <w:t>Figura 111 Proyección de la velocidad del cambio climático para el año 2030 bajo los escenarios de concentración representativos RCP 4.5 (izquierda) y RCP 8.5 (derecha).</w:t>
        </w:r>
        <w:r w:rsidRPr="00B450EB">
          <w:rPr>
            <w:noProof/>
            <w:webHidden/>
          </w:rPr>
          <w:tab/>
        </w:r>
        <w:r w:rsidRPr="00B450EB">
          <w:rPr>
            <w:noProof/>
            <w:webHidden/>
          </w:rPr>
          <w:fldChar w:fldCharType="begin"/>
        </w:r>
        <w:r w:rsidRPr="00B450EB">
          <w:rPr>
            <w:noProof/>
            <w:webHidden/>
          </w:rPr>
          <w:instrText xml:space="preserve"> PAGEREF _Toc209462799 \h </w:instrText>
        </w:r>
        <w:r w:rsidRPr="00B450EB">
          <w:rPr>
            <w:noProof/>
            <w:webHidden/>
          </w:rPr>
        </w:r>
        <w:r w:rsidRPr="00B450EB">
          <w:rPr>
            <w:noProof/>
            <w:webHidden/>
          </w:rPr>
          <w:fldChar w:fldCharType="separate"/>
        </w:r>
        <w:r w:rsidRPr="00B450EB">
          <w:rPr>
            <w:noProof/>
            <w:webHidden/>
          </w:rPr>
          <w:t>280</w:t>
        </w:r>
        <w:r w:rsidRPr="00B450EB">
          <w:rPr>
            <w:noProof/>
            <w:webHidden/>
          </w:rPr>
          <w:fldChar w:fldCharType="end"/>
        </w:r>
      </w:hyperlink>
    </w:p>
    <w:p w14:paraId="5BCABB1A" w14:textId="56A9720E"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800" w:history="1">
        <w:r w:rsidRPr="00B450EB">
          <w:rPr>
            <w:rStyle w:val="Hipervnculo"/>
            <w:noProof/>
            <w:color w:val="auto"/>
          </w:rPr>
          <w:t xml:space="preserve">Figura 112 </w:t>
        </w:r>
        <w:r w:rsidRPr="00B450EB">
          <w:rPr>
            <w:rStyle w:val="Hipervnculo"/>
            <w:rFonts w:eastAsia="Arial" w:cs="Arial"/>
            <w:noProof/>
            <w:color w:val="auto"/>
          </w:rPr>
          <w:t>. Hoja de ruta del Plan Integral de Contención de Deforestación.</w:t>
        </w:r>
        <w:r w:rsidRPr="00B450EB">
          <w:rPr>
            <w:noProof/>
            <w:webHidden/>
          </w:rPr>
          <w:tab/>
        </w:r>
        <w:r w:rsidRPr="00B450EB">
          <w:rPr>
            <w:noProof/>
            <w:webHidden/>
          </w:rPr>
          <w:fldChar w:fldCharType="begin"/>
        </w:r>
        <w:r w:rsidRPr="00B450EB">
          <w:rPr>
            <w:noProof/>
            <w:webHidden/>
          </w:rPr>
          <w:instrText xml:space="preserve"> PAGEREF _Toc209462800 \h </w:instrText>
        </w:r>
        <w:r w:rsidRPr="00B450EB">
          <w:rPr>
            <w:noProof/>
            <w:webHidden/>
          </w:rPr>
        </w:r>
        <w:r w:rsidRPr="00B450EB">
          <w:rPr>
            <w:noProof/>
            <w:webHidden/>
          </w:rPr>
          <w:fldChar w:fldCharType="separate"/>
        </w:r>
        <w:r w:rsidRPr="00B450EB">
          <w:rPr>
            <w:noProof/>
            <w:webHidden/>
          </w:rPr>
          <w:t>288</w:t>
        </w:r>
        <w:r w:rsidRPr="00B450EB">
          <w:rPr>
            <w:noProof/>
            <w:webHidden/>
          </w:rPr>
          <w:fldChar w:fldCharType="end"/>
        </w:r>
      </w:hyperlink>
    </w:p>
    <w:p w14:paraId="0B78BD16" w14:textId="1D4C840C"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801" w:history="1">
        <w:r w:rsidRPr="00B450EB">
          <w:rPr>
            <w:rStyle w:val="Hipervnculo"/>
            <w:noProof/>
            <w:color w:val="auto"/>
          </w:rPr>
          <w:t>Figura 113. Núcleos de desarrollo forestal sostenible en el bioma amazónico colombiano.</w:t>
        </w:r>
        <w:r w:rsidRPr="00B450EB">
          <w:rPr>
            <w:noProof/>
            <w:webHidden/>
          </w:rPr>
          <w:tab/>
        </w:r>
        <w:r w:rsidRPr="00B450EB">
          <w:rPr>
            <w:noProof/>
            <w:webHidden/>
          </w:rPr>
          <w:fldChar w:fldCharType="begin"/>
        </w:r>
        <w:r w:rsidRPr="00B450EB">
          <w:rPr>
            <w:noProof/>
            <w:webHidden/>
          </w:rPr>
          <w:instrText xml:space="preserve"> PAGEREF _Toc209462801 \h </w:instrText>
        </w:r>
        <w:r w:rsidRPr="00B450EB">
          <w:rPr>
            <w:noProof/>
            <w:webHidden/>
          </w:rPr>
        </w:r>
        <w:r w:rsidRPr="00B450EB">
          <w:rPr>
            <w:noProof/>
            <w:webHidden/>
          </w:rPr>
          <w:fldChar w:fldCharType="separate"/>
        </w:r>
        <w:r w:rsidRPr="00B450EB">
          <w:rPr>
            <w:noProof/>
            <w:webHidden/>
          </w:rPr>
          <w:t>290</w:t>
        </w:r>
        <w:r w:rsidRPr="00B450EB">
          <w:rPr>
            <w:noProof/>
            <w:webHidden/>
          </w:rPr>
          <w:fldChar w:fldCharType="end"/>
        </w:r>
      </w:hyperlink>
    </w:p>
    <w:p w14:paraId="31FAAEB0" w14:textId="1286F93F"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802" w:history="1">
        <w:r w:rsidRPr="00B450EB">
          <w:rPr>
            <w:rStyle w:val="Hipervnculo"/>
            <w:noProof/>
            <w:color w:val="auto"/>
          </w:rPr>
          <w:t xml:space="preserve">Figura 114. </w:t>
        </w:r>
        <w:r w:rsidRPr="00B450EB">
          <w:rPr>
            <w:rStyle w:val="Hipervnculo"/>
            <w:rFonts w:eastAsia="Arial" w:cs="Arial"/>
            <w:noProof/>
            <w:color w:val="auto"/>
          </w:rPr>
          <w:t>Principios que integran la ENR 2023 – 2026- Fuente: Minambiente 2023</w:t>
        </w:r>
        <w:r w:rsidRPr="00B450EB">
          <w:rPr>
            <w:noProof/>
            <w:webHidden/>
          </w:rPr>
          <w:tab/>
        </w:r>
        <w:r w:rsidRPr="00B450EB">
          <w:rPr>
            <w:noProof/>
            <w:webHidden/>
          </w:rPr>
          <w:fldChar w:fldCharType="begin"/>
        </w:r>
        <w:r w:rsidRPr="00B450EB">
          <w:rPr>
            <w:noProof/>
            <w:webHidden/>
          </w:rPr>
          <w:instrText xml:space="preserve"> PAGEREF _Toc209462802 \h </w:instrText>
        </w:r>
        <w:r w:rsidRPr="00B450EB">
          <w:rPr>
            <w:noProof/>
            <w:webHidden/>
          </w:rPr>
        </w:r>
        <w:r w:rsidRPr="00B450EB">
          <w:rPr>
            <w:noProof/>
            <w:webHidden/>
          </w:rPr>
          <w:fldChar w:fldCharType="separate"/>
        </w:r>
        <w:r w:rsidRPr="00B450EB">
          <w:rPr>
            <w:noProof/>
            <w:webHidden/>
          </w:rPr>
          <w:t>291</w:t>
        </w:r>
        <w:r w:rsidRPr="00B450EB">
          <w:rPr>
            <w:noProof/>
            <w:webHidden/>
          </w:rPr>
          <w:fldChar w:fldCharType="end"/>
        </w:r>
      </w:hyperlink>
    </w:p>
    <w:p w14:paraId="790C6A87" w14:textId="173BEB90"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803" w:history="1">
        <w:r w:rsidRPr="00B450EB">
          <w:rPr>
            <w:rStyle w:val="Hipervnculo"/>
            <w:noProof/>
            <w:color w:val="auto"/>
          </w:rPr>
          <w:t xml:space="preserve">Figura 115. </w:t>
        </w:r>
        <w:r w:rsidRPr="00B450EB">
          <w:rPr>
            <w:rStyle w:val="Hipervnculo"/>
            <w:rFonts w:eastAsia="Arial" w:cs="Arial"/>
            <w:noProof/>
            <w:color w:val="auto"/>
          </w:rPr>
          <w:t>Línea base de integridad ecológica en Colombia y en la ecorregión de la Amazonia.</w:t>
        </w:r>
        <w:r w:rsidRPr="00B450EB">
          <w:rPr>
            <w:noProof/>
            <w:webHidden/>
          </w:rPr>
          <w:tab/>
        </w:r>
        <w:r w:rsidRPr="00B450EB">
          <w:rPr>
            <w:noProof/>
            <w:webHidden/>
          </w:rPr>
          <w:fldChar w:fldCharType="begin"/>
        </w:r>
        <w:r w:rsidRPr="00B450EB">
          <w:rPr>
            <w:noProof/>
            <w:webHidden/>
          </w:rPr>
          <w:instrText xml:space="preserve"> PAGEREF _Toc209462803 \h </w:instrText>
        </w:r>
        <w:r w:rsidRPr="00B450EB">
          <w:rPr>
            <w:noProof/>
            <w:webHidden/>
          </w:rPr>
        </w:r>
        <w:r w:rsidRPr="00B450EB">
          <w:rPr>
            <w:noProof/>
            <w:webHidden/>
          </w:rPr>
          <w:fldChar w:fldCharType="separate"/>
        </w:r>
        <w:r w:rsidRPr="00B450EB">
          <w:rPr>
            <w:noProof/>
            <w:webHidden/>
          </w:rPr>
          <w:t>292</w:t>
        </w:r>
        <w:r w:rsidRPr="00B450EB">
          <w:rPr>
            <w:noProof/>
            <w:webHidden/>
          </w:rPr>
          <w:fldChar w:fldCharType="end"/>
        </w:r>
      </w:hyperlink>
    </w:p>
    <w:p w14:paraId="6C5FC004" w14:textId="6AC5754F"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804" w:history="1">
        <w:r w:rsidRPr="00B450EB">
          <w:rPr>
            <w:rStyle w:val="Hipervnculo"/>
            <w:noProof/>
            <w:color w:val="auto"/>
          </w:rPr>
          <w:t xml:space="preserve">Figura 116. </w:t>
        </w:r>
        <w:r w:rsidRPr="00B450EB">
          <w:rPr>
            <w:rStyle w:val="Hipervnculo"/>
            <w:rFonts w:eastAsia="Arial" w:cs="Arial"/>
            <w:noProof/>
            <w:color w:val="auto"/>
          </w:rPr>
          <w:t>Resultados, proceso técnico para la definición de áreas prioritarias de restauración para la Amazonia Colombiana, Componente Ecológico.</w:t>
        </w:r>
        <w:r w:rsidRPr="00B450EB">
          <w:rPr>
            <w:rStyle w:val="Hipervnculo"/>
            <w:noProof/>
            <w:color w:val="auto"/>
          </w:rPr>
          <w:t xml:space="preserve"> </w:t>
        </w:r>
        <w:r w:rsidRPr="00B450EB">
          <w:rPr>
            <w:noProof/>
            <w:webHidden/>
          </w:rPr>
          <w:tab/>
        </w:r>
        <w:r w:rsidRPr="00B450EB">
          <w:rPr>
            <w:noProof/>
            <w:webHidden/>
          </w:rPr>
          <w:fldChar w:fldCharType="begin"/>
        </w:r>
        <w:r w:rsidRPr="00B450EB">
          <w:rPr>
            <w:noProof/>
            <w:webHidden/>
          </w:rPr>
          <w:instrText xml:space="preserve"> PAGEREF _Toc209462804 \h </w:instrText>
        </w:r>
        <w:r w:rsidRPr="00B450EB">
          <w:rPr>
            <w:noProof/>
            <w:webHidden/>
          </w:rPr>
        </w:r>
        <w:r w:rsidRPr="00B450EB">
          <w:rPr>
            <w:noProof/>
            <w:webHidden/>
          </w:rPr>
          <w:fldChar w:fldCharType="separate"/>
        </w:r>
        <w:r w:rsidRPr="00B450EB">
          <w:rPr>
            <w:noProof/>
            <w:webHidden/>
          </w:rPr>
          <w:t>293</w:t>
        </w:r>
        <w:r w:rsidRPr="00B450EB">
          <w:rPr>
            <w:noProof/>
            <w:webHidden/>
          </w:rPr>
          <w:fldChar w:fldCharType="end"/>
        </w:r>
      </w:hyperlink>
    </w:p>
    <w:p w14:paraId="305646C6" w14:textId="50F71B97" w:rsidR="00793BF7" w:rsidRPr="00B450EB" w:rsidRDefault="00793BF7">
      <w:pPr>
        <w:pStyle w:val="Tabladeilustraciones"/>
        <w:tabs>
          <w:tab w:val="right" w:leader="dot" w:pos="8828"/>
        </w:tabs>
        <w:rPr>
          <w:rFonts w:asciiTheme="minorHAnsi" w:eastAsiaTheme="minorEastAsia" w:hAnsiTheme="minorHAnsi"/>
          <w:noProof/>
          <w:sz w:val="22"/>
          <w:szCs w:val="22"/>
          <w:lang w:eastAsia="es-CO"/>
        </w:rPr>
      </w:pPr>
      <w:hyperlink w:anchor="_Toc209462805" w:history="1">
        <w:r w:rsidRPr="00B450EB">
          <w:rPr>
            <w:rStyle w:val="Hipervnculo"/>
            <w:noProof/>
            <w:color w:val="auto"/>
          </w:rPr>
          <w:t>Figura 117. Delimitación de propuesta de Zona de Reserva de Recursos Naturales Renovables del Bioma Amazónico</w:t>
        </w:r>
        <w:r w:rsidRPr="00B450EB">
          <w:rPr>
            <w:noProof/>
            <w:webHidden/>
          </w:rPr>
          <w:tab/>
        </w:r>
        <w:r w:rsidRPr="00B450EB">
          <w:rPr>
            <w:noProof/>
            <w:webHidden/>
          </w:rPr>
          <w:fldChar w:fldCharType="begin"/>
        </w:r>
        <w:r w:rsidRPr="00B450EB">
          <w:rPr>
            <w:noProof/>
            <w:webHidden/>
          </w:rPr>
          <w:instrText xml:space="preserve"> PAGEREF _Toc209462805 \h </w:instrText>
        </w:r>
        <w:r w:rsidRPr="00B450EB">
          <w:rPr>
            <w:noProof/>
            <w:webHidden/>
          </w:rPr>
        </w:r>
        <w:r w:rsidRPr="00B450EB">
          <w:rPr>
            <w:noProof/>
            <w:webHidden/>
          </w:rPr>
          <w:fldChar w:fldCharType="separate"/>
        </w:r>
        <w:r w:rsidRPr="00B450EB">
          <w:rPr>
            <w:noProof/>
            <w:webHidden/>
          </w:rPr>
          <w:t>303</w:t>
        </w:r>
        <w:r w:rsidRPr="00B450EB">
          <w:rPr>
            <w:noProof/>
            <w:webHidden/>
          </w:rPr>
          <w:fldChar w:fldCharType="end"/>
        </w:r>
      </w:hyperlink>
    </w:p>
    <w:p w14:paraId="1DF852FB" w14:textId="752C5A3A" w:rsidR="00E27171" w:rsidRPr="00B450EB" w:rsidRDefault="00D9215D" w:rsidP="00CE08A4">
      <w:pPr>
        <w:tabs>
          <w:tab w:val="left" w:pos="694"/>
        </w:tabs>
        <w:spacing w:line="259" w:lineRule="auto"/>
        <w:ind w:right="-93"/>
        <w:rPr>
          <w:rFonts w:cs="Arial"/>
          <w:b/>
          <w:bCs/>
          <w:sz w:val="28"/>
          <w:szCs w:val="28"/>
        </w:rPr>
      </w:pPr>
      <w:r w:rsidRPr="00B450EB">
        <w:rPr>
          <w:rFonts w:cs="Arial"/>
          <w:b/>
          <w:bCs/>
          <w:sz w:val="28"/>
          <w:szCs w:val="28"/>
        </w:rPr>
        <w:fldChar w:fldCharType="end"/>
      </w:r>
    </w:p>
    <w:p w14:paraId="418E4DD8" w14:textId="77777777" w:rsidR="00E27171" w:rsidRPr="00B450EB" w:rsidRDefault="00E27171">
      <w:pPr>
        <w:jc w:val="left"/>
        <w:rPr>
          <w:rFonts w:cs="Arial"/>
          <w:b/>
          <w:bCs/>
          <w:sz w:val="28"/>
          <w:szCs w:val="28"/>
        </w:rPr>
      </w:pPr>
      <w:r w:rsidRPr="00B450EB">
        <w:rPr>
          <w:rFonts w:cs="Arial"/>
          <w:b/>
          <w:bCs/>
          <w:sz w:val="28"/>
          <w:szCs w:val="28"/>
        </w:rPr>
        <w:br w:type="page"/>
      </w:r>
    </w:p>
    <w:p w14:paraId="647C618C" w14:textId="5A7627BB" w:rsidR="00312ECE" w:rsidRPr="00B450EB" w:rsidRDefault="00312ECE" w:rsidP="00092A1B">
      <w:pPr>
        <w:pStyle w:val="Ttulo1"/>
        <w:numPr>
          <w:ilvl w:val="0"/>
          <w:numId w:val="1"/>
        </w:numPr>
        <w:rPr>
          <w:rFonts w:cs="Arial"/>
        </w:rPr>
      </w:pPr>
      <w:bookmarkStart w:id="1" w:name="_Toc209722907"/>
      <w:r w:rsidRPr="00B450EB">
        <w:rPr>
          <w:rFonts w:cs="Arial"/>
          <w:spacing w:val="-2"/>
        </w:rPr>
        <w:lastRenderedPageBreak/>
        <w:t>INTRODUCCIÓN</w:t>
      </w:r>
      <w:bookmarkEnd w:id="1"/>
    </w:p>
    <w:p w14:paraId="0863D829" w14:textId="0FEEE41C" w:rsidR="15871300" w:rsidRPr="00B450EB" w:rsidRDefault="00B35F15" w:rsidP="44F3A60C">
      <w:pPr>
        <w:spacing w:before="264"/>
        <w:ind w:left="262" w:right="253"/>
        <w:rPr>
          <w:rFonts w:cs="Arial"/>
        </w:rPr>
      </w:pPr>
      <w:r w:rsidRPr="00B450EB">
        <w:rPr>
          <w:rFonts w:cs="Arial"/>
        </w:rPr>
        <w:t xml:space="preserve">El Bioma </w:t>
      </w:r>
      <w:r w:rsidR="00E64CD2" w:rsidRPr="00B450EB">
        <w:rPr>
          <w:rFonts w:cs="Arial"/>
        </w:rPr>
        <w:t>Amazónico</w:t>
      </w:r>
      <w:r w:rsidR="15871300" w:rsidRPr="00B450EB">
        <w:rPr>
          <w:rFonts w:cs="Arial"/>
        </w:rPr>
        <w:t xml:space="preserve"> constituye uno de los ecosistemas más importantes a nivel nacional y global, al albergar una de las mayores reservas de biodiversidad del planeta, actuar como regulador climático y desempeñar un papel estratégico en los ciclos hidrológicos y de captura de carbono (</w:t>
      </w:r>
      <w:proofErr w:type="spellStart"/>
      <w:r w:rsidR="15871300" w:rsidRPr="00B450EB">
        <w:rPr>
          <w:rFonts w:cs="Arial"/>
        </w:rPr>
        <w:t>Malhi</w:t>
      </w:r>
      <w:proofErr w:type="spellEnd"/>
      <w:r w:rsidR="15871300" w:rsidRPr="00B450EB">
        <w:rPr>
          <w:rFonts w:cs="Arial"/>
        </w:rPr>
        <w:t xml:space="preserve"> et al., 2008; </w:t>
      </w:r>
      <w:proofErr w:type="spellStart"/>
      <w:r w:rsidR="15871300" w:rsidRPr="00B450EB">
        <w:rPr>
          <w:rFonts w:cs="Arial"/>
        </w:rPr>
        <w:t>Nobre</w:t>
      </w:r>
      <w:proofErr w:type="spellEnd"/>
      <w:r w:rsidR="15871300" w:rsidRPr="00B450EB">
        <w:rPr>
          <w:rFonts w:cs="Arial"/>
        </w:rPr>
        <w:t xml:space="preserve"> et al., 2016; </w:t>
      </w:r>
      <w:proofErr w:type="spellStart"/>
      <w:r w:rsidR="15871300" w:rsidRPr="00B450EB">
        <w:rPr>
          <w:rFonts w:cs="Arial"/>
        </w:rPr>
        <w:t>Balslev</w:t>
      </w:r>
      <w:proofErr w:type="spellEnd"/>
      <w:r w:rsidR="15871300" w:rsidRPr="00B450EB">
        <w:rPr>
          <w:rFonts w:cs="Arial"/>
        </w:rPr>
        <w:t xml:space="preserve"> et al., 2021). Diversos estudios científicos han señalado que su conservación resulta esencial para la estabilidad ambiental y climática de la región, así como para garantizar los derechos de las presentes y futuras generaciones. No obstante, las actividades extractivas, la expansión de la frontera agropecuaria y otros procesos antrópicos han venido transformando de manera acelerada el Bioma Amazónico, generando presiones sobre sus ecosistemas y afectando su capacidad de resiliencia frente al cambio climático.</w:t>
      </w:r>
      <w:r w:rsidR="005D3C60" w:rsidRPr="00B450EB">
        <w:rPr>
          <w:rFonts w:cs="Arial"/>
        </w:rPr>
        <w:t xml:space="preserve"> En ese sentido, su conservación se configura como una condición indispensable para la estabilidad ambiental y climática regional y global, así como para la garantía de los derechos fundamentales de las presentes y futuras generaciones, en el marco de los principios precaución y prevención.</w:t>
      </w:r>
    </w:p>
    <w:p w14:paraId="479DD48C" w14:textId="663E6B42" w:rsidR="007C1018" w:rsidRPr="00B450EB" w:rsidRDefault="007C1018" w:rsidP="007C1018">
      <w:pPr>
        <w:spacing w:before="264"/>
        <w:ind w:left="262" w:right="253"/>
        <w:rPr>
          <w:rFonts w:cs="Arial"/>
        </w:rPr>
      </w:pPr>
      <w:r w:rsidRPr="00B450EB">
        <w:rPr>
          <w:rFonts w:cs="Arial"/>
        </w:rPr>
        <w:t>No obstante, el Bioma Amazónico enfrenta crecientes presiones derivadas de actividades extractivas, la expansión de la frontera agropecuaria, la apertura de vías de acceso, la deforestación y otros procesos antrópicos que erosionan su capacidad de resiliencia frente al cambio climático y comprometen la permanencia de sus funciones ecológicas. Entre estas presiones, las actividades de hidrocarburos y de minería se han identificado como motores significativos de pérdida de cobertura y deforestación, no solo por los impactos directos de las operaciones autorizadas, sino también porque la infraestructura y accesibilidad que generan facilitan la entrada de otros actores y propician procesos de colonización, extracción ilegal de madera y expansión de la frontera agropecuaria.</w:t>
      </w:r>
    </w:p>
    <w:p w14:paraId="0CEFDF25" w14:textId="77777777" w:rsidR="007C1018" w:rsidRPr="00B450EB" w:rsidRDefault="007C1018" w:rsidP="007C1018">
      <w:pPr>
        <w:spacing w:before="264"/>
        <w:ind w:left="262" w:right="253"/>
        <w:rPr>
          <w:rFonts w:cs="Arial"/>
        </w:rPr>
      </w:pPr>
      <w:r w:rsidRPr="00B450EB">
        <w:rPr>
          <w:rFonts w:cs="Arial"/>
        </w:rPr>
        <w:t xml:space="preserve">Estas dinámicas, al configurar impactos acumulativos y de difícil reversibilidad, demandan respuestas integrales y urgentes desde la política pública y el ordenamiento jurídico. En este contexto, el presente Documento Técnico de Soporte –DTS– fundamenta la propuesta de delimitación y declaratoria de una Zona de Reserva de Recursos Naturales Renovables de carácter definitivo en el Bioma Amazónico, en aplicación de lo dispuesto en el Decreto-Ley 2811 de 1974 y en armonía con los mandatos constitucionales y jurisprudenciales que conforman la denominada “Constitución Ecológica”. El DTS se estructura en </w:t>
      </w:r>
      <w:r w:rsidRPr="00B450EB">
        <w:rPr>
          <w:rFonts w:cs="Arial"/>
        </w:rPr>
        <w:lastRenderedPageBreak/>
        <w:t>torno a la identificación de vulnerabilidades, amenazas y riesgos, abordados desde las dimensiones técnicas, ambientales, sociales, jurídicas y territoriales, con el propósito de consolidar la base científica y normativa que justifique la adopción de esta figura de protección.</w:t>
      </w:r>
    </w:p>
    <w:p w14:paraId="18DEF103" w14:textId="6B595797" w:rsidR="0083029A" w:rsidRPr="00B450EB" w:rsidRDefault="00D90ACC" w:rsidP="0083029A">
      <w:pPr>
        <w:pStyle w:val="Ttulo1"/>
        <w:numPr>
          <w:ilvl w:val="0"/>
          <w:numId w:val="1"/>
        </w:numPr>
        <w:rPr>
          <w:rFonts w:cs="Arial"/>
        </w:rPr>
      </w:pPr>
      <w:bookmarkStart w:id="2" w:name="_Toc209722908"/>
      <w:r w:rsidRPr="00B450EB">
        <w:rPr>
          <w:rFonts w:cs="Arial"/>
        </w:rPr>
        <w:t>CONTEXTO</w:t>
      </w:r>
      <w:r w:rsidR="00FE3247" w:rsidRPr="00B450EB">
        <w:rPr>
          <w:rFonts w:cs="Arial"/>
          <w:spacing w:val="80"/>
        </w:rPr>
        <w:t xml:space="preserve"> </w:t>
      </w:r>
      <w:r w:rsidRPr="00B450EB">
        <w:rPr>
          <w:rFonts w:cs="Arial"/>
        </w:rPr>
        <w:t>NORMATIVO</w:t>
      </w:r>
      <w:r w:rsidR="00D60C29" w:rsidRPr="00B450EB">
        <w:rPr>
          <w:rFonts w:cs="Arial"/>
          <w:spacing w:val="80"/>
        </w:rPr>
        <w:t xml:space="preserve"> </w:t>
      </w:r>
      <w:r w:rsidRPr="00B450EB">
        <w:rPr>
          <w:rFonts w:cs="Arial"/>
        </w:rPr>
        <w:t>DE</w:t>
      </w:r>
      <w:r w:rsidR="00D60C29" w:rsidRPr="00B450EB">
        <w:rPr>
          <w:rFonts w:cs="Arial"/>
          <w:spacing w:val="80"/>
        </w:rPr>
        <w:t xml:space="preserve"> </w:t>
      </w:r>
      <w:r w:rsidRPr="00B450EB">
        <w:rPr>
          <w:rFonts w:cs="Arial"/>
        </w:rPr>
        <w:t>LAS</w:t>
      </w:r>
      <w:r w:rsidR="00D60C29" w:rsidRPr="00B450EB">
        <w:rPr>
          <w:rFonts w:cs="Arial"/>
          <w:spacing w:val="80"/>
        </w:rPr>
        <w:t xml:space="preserve"> </w:t>
      </w:r>
      <w:r w:rsidRPr="00B450EB">
        <w:rPr>
          <w:rFonts w:cs="Arial"/>
        </w:rPr>
        <w:t>RESERVAS</w:t>
      </w:r>
      <w:r w:rsidR="00D60C29" w:rsidRPr="00B450EB">
        <w:rPr>
          <w:rFonts w:cs="Arial"/>
          <w:spacing w:val="80"/>
        </w:rPr>
        <w:t xml:space="preserve"> </w:t>
      </w:r>
      <w:r w:rsidRPr="00B450EB">
        <w:rPr>
          <w:rFonts w:cs="Arial"/>
        </w:rPr>
        <w:t>DE</w:t>
      </w:r>
      <w:r w:rsidR="00D60C29" w:rsidRPr="00B450EB">
        <w:rPr>
          <w:rFonts w:cs="Arial"/>
          <w:spacing w:val="80"/>
        </w:rPr>
        <w:t xml:space="preserve"> </w:t>
      </w:r>
      <w:r w:rsidRPr="00B450EB">
        <w:rPr>
          <w:rFonts w:cs="Arial"/>
        </w:rPr>
        <w:t>RECURSOS NATURALES</w:t>
      </w:r>
      <w:r w:rsidR="007F4F87" w:rsidRPr="00B450EB">
        <w:rPr>
          <w:rFonts w:cs="Arial"/>
        </w:rPr>
        <w:t xml:space="preserve"> </w:t>
      </w:r>
      <w:r w:rsidRPr="00B450EB">
        <w:rPr>
          <w:rFonts w:cs="Arial"/>
        </w:rPr>
        <w:t>RENOVABLES</w:t>
      </w:r>
      <w:bookmarkEnd w:id="2"/>
      <w:r w:rsidR="00C4233A" w:rsidRPr="00B450EB">
        <w:rPr>
          <w:rFonts w:cs="Arial"/>
        </w:rPr>
        <w:t xml:space="preserve"> </w:t>
      </w:r>
    </w:p>
    <w:p w14:paraId="021E9E3E" w14:textId="75FB22A3" w:rsidR="009813B2" w:rsidRPr="00B450EB" w:rsidRDefault="009813B2" w:rsidP="009813B2">
      <w:pPr>
        <w:spacing w:before="264"/>
        <w:ind w:left="262" w:right="253"/>
        <w:rPr>
          <w:rFonts w:cs="Arial"/>
        </w:rPr>
      </w:pPr>
      <w:r w:rsidRPr="00B450EB">
        <w:rPr>
          <w:rFonts w:cs="Arial"/>
        </w:rPr>
        <w:t>Las Reservas de Recursos Naturales Renovables hacen parte de las “Normas Comunes”,</w:t>
      </w:r>
      <w:r w:rsidRPr="00B450EB">
        <w:rPr>
          <w:rFonts w:cs="Arial"/>
          <w:spacing w:val="-13"/>
        </w:rPr>
        <w:t xml:space="preserve"> </w:t>
      </w:r>
      <w:r w:rsidRPr="00B450EB">
        <w:rPr>
          <w:rFonts w:cs="Arial"/>
        </w:rPr>
        <w:t>referidas</w:t>
      </w:r>
      <w:r w:rsidRPr="00B450EB">
        <w:rPr>
          <w:rFonts w:cs="Arial"/>
          <w:spacing w:val="-12"/>
        </w:rPr>
        <w:t xml:space="preserve"> </w:t>
      </w:r>
      <w:r w:rsidRPr="00B450EB">
        <w:rPr>
          <w:rFonts w:cs="Arial"/>
        </w:rPr>
        <w:t>a</w:t>
      </w:r>
      <w:r w:rsidRPr="00B450EB">
        <w:rPr>
          <w:rFonts w:cs="Arial"/>
          <w:spacing w:val="-13"/>
        </w:rPr>
        <w:t xml:space="preserve"> </w:t>
      </w:r>
      <w:r w:rsidRPr="00B450EB">
        <w:rPr>
          <w:rFonts w:cs="Arial"/>
        </w:rPr>
        <w:t>la</w:t>
      </w:r>
      <w:r w:rsidRPr="00B450EB">
        <w:rPr>
          <w:rFonts w:cs="Arial"/>
          <w:spacing w:val="-13"/>
        </w:rPr>
        <w:t xml:space="preserve"> </w:t>
      </w:r>
      <w:r w:rsidRPr="00B450EB">
        <w:rPr>
          <w:rFonts w:cs="Arial"/>
        </w:rPr>
        <w:t>“Propiedad,</w:t>
      </w:r>
      <w:r w:rsidRPr="00B450EB">
        <w:rPr>
          <w:rFonts w:cs="Arial"/>
          <w:spacing w:val="-13"/>
        </w:rPr>
        <w:t xml:space="preserve"> </w:t>
      </w:r>
      <w:r w:rsidRPr="00B450EB">
        <w:rPr>
          <w:rFonts w:cs="Arial"/>
        </w:rPr>
        <w:t>Uso</w:t>
      </w:r>
      <w:r w:rsidRPr="00B450EB">
        <w:rPr>
          <w:rFonts w:cs="Arial"/>
          <w:spacing w:val="-12"/>
        </w:rPr>
        <w:t xml:space="preserve"> </w:t>
      </w:r>
      <w:r w:rsidRPr="00B450EB">
        <w:rPr>
          <w:rFonts w:cs="Arial"/>
        </w:rPr>
        <w:t>e</w:t>
      </w:r>
      <w:r w:rsidRPr="00B450EB">
        <w:rPr>
          <w:rFonts w:cs="Arial"/>
          <w:spacing w:val="-10"/>
        </w:rPr>
        <w:t xml:space="preserve"> </w:t>
      </w:r>
      <w:r w:rsidRPr="00B450EB">
        <w:rPr>
          <w:rFonts w:cs="Arial"/>
        </w:rPr>
        <w:t>Influencia</w:t>
      </w:r>
      <w:r w:rsidRPr="00B450EB">
        <w:rPr>
          <w:rFonts w:cs="Arial"/>
          <w:spacing w:val="-13"/>
        </w:rPr>
        <w:t xml:space="preserve"> </w:t>
      </w:r>
      <w:r w:rsidRPr="00B450EB">
        <w:rPr>
          <w:rFonts w:cs="Arial"/>
        </w:rPr>
        <w:t>Ambiental</w:t>
      </w:r>
      <w:r w:rsidRPr="00B450EB">
        <w:rPr>
          <w:rFonts w:cs="Arial"/>
          <w:spacing w:val="-13"/>
        </w:rPr>
        <w:t xml:space="preserve"> </w:t>
      </w:r>
      <w:r w:rsidRPr="00B450EB">
        <w:rPr>
          <w:rFonts w:cs="Arial"/>
        </w:rPr>
        <w:t>de</w:t>
      </w:r>
      <w:r w:rsidRPr="00B450EB">
        <w:rPr>
          <w:rFonts w:cs="Arial"/>
          <w:spacing w:val="-12"/>
        </w:rPr>
        <w:t xml:space="preserve"> </w:t>
      </w:r>
      <w:r w:rsidRPr="00B450EB">
        <w:rPr>
          <w:rFonts w:cs="Arial"/>
        </w:rPr>
        <w:t>los</w:t>
      </w:r>
      <w:r w:rsidRPr="00B450EB">
        <w:rPr>
          <w:rFonts w:cs="Arial"/>
          <w:spacing w:val="-12"/>
        </w:rPr>
        <w:t xml:space="preserve"> </w:t>
      </w:r>
      <w:r w:rsidRPr="00B450EB">
        <w:rPr>
          <w:rFonts w:cs="Arial"/>
        </w:rPr>
        <w:t>Recursos Naturales Renovables” a que hace referencia el Libro Segundo del Código Nacional</w:t>
      </w:r>
      <w:r w:rsidRPr="00B450EB">
        <w:rPr>
          <w:rFonts w:cs="Arial"/>
          <w:spacing w:val="-13"/>
        </w:rPr>
        <w:t xml:space="preserve"> </w:t>
      </w:r>
      <w:r w:rsidRPr="00B450EB">
        <w:rPr>
          <w:rFonts w:cs="Arial"/>
        </w:rPr>
        <w:t>de</w:t>
      </w:r>
      <w:r w:rsidRPr="00B450EB">
        <w:rPr>
          <w:rFonts w:cs="Arial"/>
          <w:spacing w:val="-12"/>
        </w:rPr>
        <w:t xml:space="preserve"> </w:t>
      </w:r>
      <w:r w:rsidRPr="00B450EB">
        <w:rPr>
          <w:rFonts w:cs="Arial"/>
        </w:rPr>
        <w:t>Recursos</w:t>
      </w:r>
      <w:r w:rsidRPr="00B450EB">
        <w:rPr>
          <w:rFonts w:cs="Arial"/>
          <w:spacing w:val="-14"/>
        </w:rPr>
        <w:t xml:space="preserve"> </w:t>
      </w:r>
      <w:r w:rsidRPr="00B450EB">
        <w:rPr>
          <w:rFonts w:cs="Arial"/>
        </w:rPr>
        <w:t>Naturales</w:t>
      </w:r>
      <w:r w:rsidRPr="00B450EB">
        <w:rPr>
          <w:rFonts w:cs="Arial"/>
          <w:spacing w:val="-13"/>
        </w:rPr>
        <w:t xml:space="preserve"> </w:t>
      </w:r>
      <w:r w:rsidRPr="00B450EB">
        <w:rPr>
          <w:rFonts w:cs="Arial"/>
        </w:rPr>
        <w:t>Renovables</w:t>
      </w:r>
      <w:r w:rsidRPr="00B450EB">
        <w:rPr>
          <w:rFonts w:cs="Arial"/>
          <w:spacing w:val="-12"/>
        </w:rPr>
        <w:t xml:space="preserve"> </w:t>
      </w:r>
      <w:r w:rsidRPr="00B450EB">
        <w:rPr>
          <w:rFonts w:cs="Arial"/>
        </w:rPr>
        <w:t>y</w:t>
      </w:r>
      <w:r w:rsidRPr="00B450EB">
        <w:rPr>
          <w:rFonts w:cs="Arial"/>
          <w:spacing w:val="-13"/>
        </w:rPr>
        <w:t xml:space="preserve"> </w:t>
      </w:r>
      <w:r w:rsidRPr="00B450EB">
        <w:rPr>
          <w:rFonts w:cs="Arial"/>
        </w:rPr>
        <w:t>de</w:t>
      </w:r>
      <w:r w:rsidRPr="00B450EB">
        <w:rPr>
          <w:rFonts w:cs="Arial"/>
          <w:spacing w:val="-12"/>
        </w:rPr>
        <w:t xml:space="preserve"> </w:t>
      </w:r>
      <w:r w:rsidRPr="00B450EB">
        <w:rPr>
          <w:rFonts w:cs="Arial"/>
        </w:rPr>
        <w:t>Protección</w:t>
      </w:r>
      <w:r w:rsidRPr="00B450EB">
        <w:rPr>
          <w:rFonts w:cs="Arial"/>
          <w:spacing w:val="-13"/>
        </w:rPr>
        <w:t xml:space="preserve"> </w:t>
      </w:r>
      <w:r w:rsidRPr="00B450EB">
        <w:rPr>
          <w:rFonts w:cs="Arial"/>
        </w:rPr>
        <w:t>al</w:t>
      </w:r>
      <w:r w:rsidRPr="00B450EB">
        <w:rPr>
          <w:rFonts w:cs="Arial"/>
          <w:spacing w:val="-13"/>
        </w:rPr>
        <w:t xml:space="preserve"> </w:t>
      </w:r>
      <w:r w:rsidRPr="00B450EB">
        <w:rPr>
          <w:rFonts w:cs="Arial"/>
        </w:rPr>
        <w:t>Medio</w:t>
      </w:r>
      <w:r w:rsidRPr="00B450EB">
        <w:rPr>
          <w:rFonts w:cs="Arial"/>
          <w:spacing w:val="-12"/>
        </w:rPr>
        <w:t xml:space="preserve"> </w:t>
      </w:r>
      <w:r w:rsidRPr="00B450EB">
        <w:rPr>
          <w:rFonts w:cs="Arial"/>
        </w:rPr>
        <w:t>Ambiente</w:t>
      </w:r>
      <w:r w:rsidRPr="00B450EB">
        <w:rPr>
          <w:rFonts w:cs="Arial"/>
          <w:spacing w:val="-13"/>
        </w:rPr>
        <w:t xml:space="preserve"> </w:t>
      </w:r>
      <w:r w:rsidRPr="00B450EB">
        <w:rPr>
          <w:rFonts w:cs="Arial"/>
        </w:rPr>
        <w:t>– CNRNR-,</w:t>
      </w:r>
      <w:r w:rsidRPr="00B450EB">
        <w:rPr>
          <w:rFonts w:cs="Arial"/>
          <w:spacing w:val="-19"/>
        </w:rPr>
        <w:t xml:space="preserve"> </w:t>
      </w:r>
      <w:r w:rsidRPr="00B450EB">
        <w:rPr>
          <w:rFonts w:cs="Arial"/>
        </w:rPr>
        <w:t>Decreto</w:t>
      </w:r>
      <w:r w:rsidRPr="00B450EB">
        <w:rPr>
          <w:rFonts w:cs="Arial"/>
          <w:spacing w:val="-17"/>
        </w:rPr>
        <w:t xml:space="preserve"> </w:t>
      </w:r>
      <w:r w:rsidRPr="00B450EB">
        <w:rPr>
          <w:rFonts w:cs="Arial"/>
        </w:rPr>
        <w:t>Ley</w:t>
      </w:r>
      <w:r w:rsidRPr="00B450EB">
        <w:rPr>
          <w:rFonts w:cs="Arial"/>
          <w:spacing w:val="-19"/>
        </w:rPr>
        <w:t xml:space="preserve"> </w:t>
      </w:r>
      <w:r w:rsidRPr="00B450EB">
        <w:rPr>
          <w:rFonts w:cs="Arial"/>
        </w:rPr>
        <w:t>2811</w:t>
      </w:r>
      <w:r w:rsidRPr="00B450EB">
        <w:rPr>
          <w:rFonts w:cs="Arial"/>
          <w:spacing w:val="-16"/>
        </w:rPr>
        <w:t xml:space="preserve"> </w:t>
      </w:r>
      <w:r w:rsidRPr="00B450EB">
        <w:rPr>
          <w:rFonts w:cs="Arial"/>
        </w:rPr>
        <w:t>de</w:t>
      </w:r>
      <w:r w:rsidRPr="00B450EB">
        <w:rPr>
          <w:rFonts w:cs="Arial"/>
          <w:spacing w:val="-17"/>
        </w:rPr>
        <w:t xml:space="preserve"> </w:t>
      </w:r>
      <w:r w:rsidRPr="00B450EB">
        <w:rPr>
          <w:rFonts w:cs="Arial"/>
        </w:rPr>
        <w:t>1974,</w:t>
      </w:r>
      <w:r w:rsidRPr="00B450EB">
        <w:rPr>
          <w:rFonts w:cs="Arial"/>
          <w:spacing w:val="-16"/>
        </w:rPr>
        <w:t xml:space="preserve"> </w:t>
      </w:r>
      <w:r w:rsidRPr="00B450EB">
        <w:rPr>
          <w:rFonts w:cs="Arial"/>
        </w:rPr>
        <w:t>y</w:t>
      </w:r>
      <w:r w:rsidRPr="00B450EB">
        <w:rPr>
          <w:rFonts w:cs="Arial"/>
          <w:spacing w:val="-16"/>
        </w:rPr>
        <w:t xml:space="preserve"> </w:t>
      </w:r>
      <w:r w:rsidRPr="00B450EB">
        <w:rPr>
          <w:rFonts w:cs="Arial"/>
        </w:rPr>
        <w:t>facultadas</w:t>
      </w:r>
      <w:r w:rsidRPr="00B450EB">
        <w:rPr>
          <w:rFonts w:cs="Arial"/>
          <w:spacing w:val="-17"/>
        </w:rPr>
        <w:t xml:space="preserve"> </w:t>
      </w:r>
      <w:r w:rsidRPr="00B450EB">
        <w:rPr>
          <w:rFonts w:cs="Arial"/>
        </w:rPr>
        <w:t>en</w:t>
      </w:r>
      <w:r w:rsidRPr="00B450EB">
        <w:rPr>
          <w:rFonts w:cs="Arial"/>
          <w:spacing w:val="-18"/>
        </w:rPr>
        <w:t xml:space="preserve"> </w:t>
      </w:r>
      <w:r w:rsidRPr="00B450EB">
        <w:rPr>
          <w:rFonts w:cs="Arial"/>
        </w:rPr>
        <w:t>su</w:t>
      </w:r>
      <w:r w:rsidRPr="00B450EB">
        <w:rPr>
          <w:rFonts w:cs="Arial"/>
          <w:spacing w:val="-18"/>
        </w:rPr>
        <w:t xml:space="preserve"> </w:t>
      </w:r>
      <w:r w:rsidRPr="00B450EB">
        <w:rPr>
          <w:rFonts w:cs="Arial"/>
        </w:rPr>
        <w:t>Artículo</w:t>
      </w:r>
      <w:r w:rsidRPr="00B450EB">
        <w:rPr>
          <w:rFonts w:cs="Arial"/>
          <w:spacing w:val="-15"/>
        </w:rPr>
        <w:t xml:space="preserve"> </w:t>
      </w:r>
      <w:r w:rsidRPr="00B450EB">
        <w:rPr>
          <w:rFonts w:cs="Arial"/>
        </w:rPr>
        <w:t>47,</w:t>
      </w:r>
      <w:r w:rsidRPr="00B450EB">
        <w:rPr>
          <w:rFonts w:cs="Arial"/>
          <w:spacing w:val="-18"/>
        </w:rPr>
        <w:t xml:space="preserve"> </w:t>
      </w:r>
      <w:r w:rsidRPr="00B450EB">
        <w:rPr>
          <w:rFonts w:cs="Arial"/>
        </w:rPr>
        <w:t>que</w:t>
      </w:r>
      <w:r w:rsidRPr="00B450EB">
        <w:rPr>
          <w:rFonts w:cs="Arial"/>
          <w:spacing w:val="-15"/>
        </w:rPr>
        <w:t xml:space="preserve"> </w:t>
      </w:r>
      <w:r w:rsidRPr="00B450EB">
        <w:rPr>
          <w:rFonts w:cs="Arial"/>
        </w:rPr>
        <w:t>dispone: “</w:t>
      </w:r>
      <w:r w:rsidRPr="00B450EB">
        <w:rPr>
          <w:rFonts w:cs="Arial"/>
          <w:i/>
        </w:rPr>
        <w:t>(...) Sin perjuicio de derechos legítimamente adquiridos por terceros o de las normas especiales de este Código, podrá declararse reservada una porción determinada o la totalidad de recursos naturales renovables de una región o zona</w:t>
      </w:r>
      <w:r w:rsidRPr="00B450EB">
        <w:rPr>
          <w:rFonts w:cs="Arial"/>
          <w:i/>
          <w:spacing w:val="-7"/>
        </w:rPr>
        <w:t xml:space="preserve"> </w:t>
      </w:r>
      <w:r w:rsidRPr="00B450EB">
        <w:rPr>
          <w:rFonts w:cs="Arial"/>
          <w:i/>
        </w:rPr>
        <w:t>cuando</w:t>
      </w:r>
      <w:r w:rsidRPr="00B450EB">
        <w:rPr>
          <w:rFonts w:cs="Arial"/>
          <w:i/>
          <w:spacing w:val="-6"/>
        </w:rPr>
        <w:t xml:space="preserve"> </w:t>
      </w:r>
      <w:r w:rsidRPr="00B450EB">
        <w:rPr>
          <w:rFonts w:cs="Arial"/>
          <w:i/>
        </w:rPr>
        <w:t>sea</w:t>
      </w:r>
      <w:r w:rsidRPr="00B450EB">
        <w:rPr>
          <w:rFonts w:cs="Arial"/>
          <w:i/>
          <w:spacing w:val="-9"/>
        </w:rPr>
        <w:t xml:space="preserve"> </w:t>
      </w:r>
      <w:r w:rsidRPr="00B450EB">
        <w:rPr>
          <w:rFonts w:cs="Arial"/>
          <w:i/>
        </w:rPr>
        <w:t>necesario</w:t>
      </w:r>
      <w:r w:rsidRPr="00B450EB">
        <w:rPr>
          <w:rFonts w:cs="Arial"/>
          <w:i/>
          <w:spacing w:val="-7"/>
        </w:rPr>
        <w:t xml:space="preserve"> </w:t>
      </w:r>
      <w:r w:rsidRPr="00B450EB">
        <w:rPr>
          <w:rFonts w:cs="Arial"/>
          <w:i/>
        </w:rPr>
        <w:t>para</w:t>
      </w:r>
      <w:r w:rsidRPr="00B450EB">
        <w:rPr>
          <w:rFonts w:cs="Arial"/>
          <w:i/>
          <w:spacing w:val="-7"/>
        </w:rPr>
        <w:t xml:space="preserve"> </w:t>
      </w:r>
      <w:r w:rsidRPr="00B450EB">
        <w:rPr>
          <w:rFonts w:cs="Arial"/>
          <w:i/>
        </w:rPr>
        <w:t>organizar</w:t>
      </w:r>
      <w:r w:rsidRPr="00B450EB">
        <w:rPr>
          <w:rFonts w:cs="Arial"/>
          <w:i/>
          <w:spacing w:val="-7"/>
        </w:rPr>
        <w:t xml:space="preserve"> </w:t>
      </w:r>
      <w:r w:rsidRPr="00B450EB">
        <w:rPr>
          <w:rFonts w:cs="Arial"/>
          <w:i/>
        </w:rPr>
        <w:t>o</w:t>
      </w:r>
      <w:r w:rsidRPr="00B450EB">
        <w:rPr>
          <w:rFonts w:cs="Arial"/>
          <w:i/>
          <w:spacing w:val="-6"/>
        </w:rPr>
        <w:t xml:space="preserve"> </w:t>
      </w:r>
      <w:r w:rsidRPr="00B450EB">
        <w:rPr>
          <w:rFonts w:cs="Arial"/>
          <w:i/>
        </w:rPr>
        <w:t>facilitar</w:t>
      </w:r>
      <w:r w:rsidRPr="00B450EB">
        <w:rPr>
          <w:rFonts w:cs="Arial"/>
          <w:i/>
          <w:spacing w:val="-7"/>
        </w:rPr>
        <w:t xml:space="preserve"> </w:t>
      </w:r>
      <w:r w:rsidRPr="00B450EB">
        <w:rPr>
          <w:rFonts w:cs="Arial"/>
          <w:i/>
        </w:rPr>
        <w:t>la</w:t>
      </w:r>
      <w:r w:rsidRPr="00B450EB">
        <w:rPr>
          <w:rFonts w:cs="Arial"/>
          <w:i/>
          <w:spacing w:val="-7"/>
        </w:rPr>
        <w:t xml:space="preserve"> </w:t>
      </w:r>
      <w:r w:rsidRPr="00B450EB">
        <w:rPr>
          <w:rFonts w:cs="Arial"/>
          <w:i/>
        </w:rPr>
        <w:t>prestación</w:t>
      </w:r>
      <w:r w:rsidRPr="00B450EB">
        <w:rPr>
          <w:rFonts w:cs="Arial"/>
          <w:i/>
          <w:spacing w:val="-7"/>
        </w:rPr>
        <w:t xml:space="preserve"> </w:t>
      </w:r>
      <w:r w:rsidRPr="00B450EB">
        <w:rPr>
          <w:rFonts w:cs="Arial"/>
          <w:i/>
        </w:rPr>
        <w:t>de</w:t>
      </w:r>
      <w:r w:rsidRPr="00B450EB">
        <w:rPr>
          <w:rFonts w:cs="Arial"/>
          <w:i/>
          <w:spacing w:val="-6"/>
        </w:rPr>
        <w:t xml:space="preserve"> </w:t>
      </w:r>
      <w:r w:rsidRPr="00B450EB">
        <w:rPr>
          <w:rFonts w:cs="Arial"/>
          <w:i/>
        </w:rPr>
        <w:t>un</w:t>
      </w:r>
      <w:r w:rsidRPr="00B450EB">
        <w:rPr>
          <w:rFonts w:cs="Arial"/>
          <w:i/>
          <w:spacing w:val="-7"/>
        </w:rPr>
        <w:t xml:space="preserve"> </w:t>
      </w:r>
      <w:r w:rsidRPr="00B450EB">
        <w:rPr>
          <w:rFonts w:cs="Arial"/>
          <w:i/>
        </w:rPr>
        <w:t>servicio público</w:t>
      </w:r>
      <w:hyperlink w:anchor="_bookmark2" w:history="1">
        <w:r w:rsidRPr="00B450EB">
          <w:rPr>
            <w:rFonts w:cs="Arial"/>
            <w:i/>
            <w:position w:val="8"/>
            <w:sz w:val="14"/>
          </w:rPr>
          <w:t>1</w:t>
        </w:r>
      </w:hyperlink>
      <w:r w:rsidRPr="00B450EB">
        <w:rPr>
          <w:rFonts w:cs="Arial"/>
          <w:i/>
        </w:rPr>
        <w:t>, adelantar programas de restauración, conservación o preservación de esos</w:t>
      </w:r>
      <w:r w:rsidRPr="00B450EB">
        <w:rPr>
          <w:rFonts w:cs="Arial"/>
          <w:i/>
          <w:spacing w:val="-8"/>
        </w:rPr>
        <w:t xml:space="preserve"> </w:t>
      </w:r>
      <w:r w:rsidRPr="00B450EB">
        <w:rPr>
          <w:rFonts w:cs="Arial"/>
          <w:i/>
        </w:rPr>
        <w:t>recursos</w:t>
      </w:r>
      <w:r w:rsidRPr="00B450EB">
        <w:rPr>
          <w:rFonts w:cs="Arial"/>
          <w:i/>
          <w:spacing w:val="-7"/>
        </w:rPr>
        <w:t xml:space="preserve"> </w:t>
      </w:r>
      <w:r w:rsidRPr="00B450EB">
        <w:rPr>
          <w:rFonts w:cs="Arial"/>
          <w:i/>
        </w:rPr>
        <w:t>y</w:t>
      </w:r>
      <w:r w:rsidRPr="00B450EB">
        <w:rPr>
          <w:rFonts w:cs="Arial"/>
          <w:i/>
          <w:spacing w:val="-9"/>
        </w:rPr>
        <w:t xml:space="preserve"> </w:t>
      </w:r>
      <w:r w:rsidRPr="00B450EB">
        <w:rPr>
          <w:rFonts w:cs="Arial"/>
          <w:i/>
        </w:rPr>
        <w:t>del</w:t>
      </w:r>
      <w:r w:rsidRPr="00B450EB">
        <w:rPr>
          <w:rFonts w:cs="Arial"/>
          <w:i/>
          <w:spacing w:val="-8"/>
        </w:rPr>
        <w:t xml:space="preserve"> </w:t>
      </w:r>
      <w:r w:rsidRPr="00B450EB">
        <w:rPr>
          <w:rFonts w:cs="Arial"/>
          <w:i/>
        </w:rPr>
        <w:t>ambiente,</w:t>
      </w:r>
      <w:r w:rsidRPr="00B450EB">
        <w:rPr>
          <w:rFonts w:cs="Arial"/>
          <w:i/>
          <w:spacing w:val="-9"/>
        </w:rPr>
        <w:t xml:space="preserve"> </w:t>
      </w:r>
      <w:r w:rsidRPr="00B450EB">
        <w:rPr>
          <w:rFonts w:cs="Arial"/>
          <w:i/>
        </w:rPr>
        <w:t>o</w:t>
      </w:r>
      <w:r w:rsidRPr="00B450EB">
        <w:rPr>
          <w:rFonts w:cs="Arial"/>
          <w:i/>
          <w:spacing w:val="-7"/>
        </w:rPr>
        <w:t xml:space="preserve"> </w:t>
      </w:r>
      <w:r w:rsidRPr="00B450EB">
        <w:rPr>
          <w:rFonts w:cs="Arial"/>
          <w:i/>
        </w:rPr>
        <w:t>cuando</w:t>
      </w:r>
      <w:r w:rsidRPr="00B450EB">
        <w:rPr>
          <w:rFonts w:cs="Arial"/>
          <w:i/>
          <w:spacing w:val="-7"/>
        </w:rPr>
        <w:t xml:space="preserve"> </w:t>
      </w:r>
      <w:r w:rsidRPr="00B450EB">
        <w:rPr>
          <w:rFonts w:cs="Arial"/>
          <w:i/>
        </w:rPr>
        <w:t>el</w:t>
      </w:r>
      <w:r w:rsidRPr="00B450EB">
        <w:rPr>
          <w:rFonts w:cs="Arial"/>
          <w:i/>
          <w:spacing w:val="-8"/>
        </w:rPr>
        <w:t xml:space="preserve"> </w:t>
      </w:r>
      <w:r w:rsidRPr="00B450EB">
        <w:rPr>
          <w:rFonts w:cs="Arial"/>
          <w:i/>
        </w:rPr>
        <w:t>Estado</w:t>
      </w:r>
      <w:r w:rsidRPr="00B450EB">
        <w:rPr>
          <w:rFonts w:cs="Arial"/>
          <w:i/>
          <w:spacing w:val="-7"/>
        </w:rPr>
        <w:t xml:space="preserve"> </w:t>
      </w:r>
      <w:r w:rsidRPr="00B450EB">
        <w:rPr>
          <w:rFonts w:cs="Arial"/>
          <w:i/>
        </w:rPr>
        <w:t>resuelva</w:t>
      </w:r>
      <w:r w:rsidRPr="00B450EB">
        <w:rPr>
          <w:rFonts w:cs="Arial"/>
          <w:i/>
          <w:spacing w:val="-8"/>
        </w:rPr>
        <w:t xml:space="preserve"> </w:t>
      </w:r>
      <w:r w:rsidRPr="00B450EB">
        <w:rPr>
          <w:rFonts w:cs="Arial"/>
          <w:i/>
        </w:rPr>
        <w:t>explotarlos.</w:t>
      </w:r>
      <w:r w:rsidRPr="00B450EB">
        <w:rPr>
          <w:rFonts w:cs="Arial"/>
          <w:i/>
          <w:spacing w:val="-9"/>
        </w:rPr>
        <w:t xml:space="preserve"> </w:t>
      </w:r>
      <w:r w:rsidRPr="00B450EB">
        <w:rPr>
          <w:rFonts w:cs="Arial"/>
          <w:i/>
        </w:rPr>
        <w:t>Mientras la</w:t>
      </w:r>
      <w:r w:rsidRPr="00B450EB">
        <w:rPr>
          <w:rFonts w:cs="Arial"/>
          <w:i/>
          <w:spacing w:val="-6"/>
        </w:rPr>
        <w:t xml:space="preserve"> </w:t>
      </w:r>
      <w:r w:rsidRPr="00B450EB">
        <w:rPr>
          <w:rFonts w:cs="Arial"/>
          <w:i/>
        </w:rPr>
        <w:t>reserva</w:t>
      </w:r>
      <w:r w:rsidRPr="00B450EB">
        <w:rPr>
          <w:rFonts w:cs="Arial"/>
          <w:i/>
          <w:spacing w:val="-6"/>
        </w:rPr>
        <w:t xml:space="preserve"> </w:t>
      </w:r>
      <w:r w:rsidRPr="00B450EB">
        <w:rPr>
          <w:rFonts w:cs="Arial"/>
          <w:i/>
        </w:rPr>
        <w:t>esté</w:t>
      </w:r>
      <w:r w:rsidRPr="00B450EB">
        <w:rPr>
          <w:rFonts w:cs="Arial"/>
          <w:i/>
          <w:spacing w:val="-5"/>
        </w:rPr>
        <w:t xml:space="preserve"> </w:t>
      </w:r>
      <w:r w:rsidRPr="00B450EB">
        <w:rPr>
          <w:rFonts w:cs="Arial"/>
          <w:i/>
        </w:rPr>
        <w:t>vigente,</w:t>
      </w:r>
      <w:r w:rsidRPr="00B450EB">
        <w:rPr>
          <w:rFonts w:cs="Arial"/>
          <w:i/>
          <w:spacing w:val="-6"/>
        </w:rPr>
        <w:t xml:space="preserve"> </w:t>
      </w:r>
      <w:r w:rsidRPr="00B450EB">
        <w:rPr>
          <w:rFonts w:cs="Arial"/>
          <w:i/>
        </w:rPr>
        <w:t>los</w:t>
      </w:r>
      <w:r w:rsidRPr="00B450EB">
        <w:rPr>
          <w:rFonts w:cs="Arial"/>
          <w:i/>
          <w:spacing w:val="-5"/>
        </w:rPr>
        <w:t xml:space="preserve"> </w:t>
      </w:r>
      <w:r w:rsidRPr="00B450EB">
        <w:rPr>
          <w:rFonts w:cs="Arial"/>
          <w:i/>
        </w:rPr>
        <w:t>bienes</w:t>
      </w:r>
      <w:r w:rsidRPr="00B450EB">
        <w:rPr>
          <w:rFonts w:cs="Arial"/>
          <w:i/>
          <w:spacing w:val="-5"/>
        </w:rPr>
        <w:t xml:space="preserve"> </w:t>
      </w:r>
      <w:r w:rsidRPr="00B450EB">
        <w:rPr>
          <w:rFonts w:cs="Arial"/>
          <w:i/>
        </w:rPr>
        <w:t>afectados</w:t>
      </w:r>
      <w:r w:rsidRPr="00B450EB">
        <w:rPr>
          <w:rFonts w:cs="Arial"/>
          <w:i/>
          <w:spacing w:val="-5"/>
        </w:rPr>
        <w:t xml:space="preserve"> </w:t>
      </w:r>
      <w:r w:rsidRPr="00B450EB">
        <w:rPr>
          <w:rFonts w:cs="Arial"/>
          <w:i/>
        </w:rPr>
        <w:t>quedarán</w:t>
      </w:r>
      <w:r w:rsidRPr="00B450EB">
        <w:rPr>
          <w:rFonts w:cs="Arial"/>
          <w:i/>
          <w:spacing w:val="-6"/>
        </w:rPr>
        <w:t xml:space="preserve"> </w:t>
      </w:r>
      <w:r w:rsidRPr="00B450EB">
        <w:rPr>
          <w:rFonts w:cs="Arial"/>
          <w:i/>
        </w:rPr>
        <w:t>excluidos</w:t>
      </w:r>
      <w:r w:rsidRPr="00B450EB">
        <w:rPr>
          <w:rFonts w:cs="Arial"/>
          <w:i/>
          <w:spacing w:val="-2"/>
        </w:rPr>
        <w:t xml:space="preserve"> </w:t>
      </w:r>
      <w:r w:rsidRPr="00B450EB">
        <w:rPr>
          <w:rFonts w:cs="Arial"/>
          <w:i/>
        </w:rPr>
        <w:t>de</w:t>
      </w:r>
      <w:r w:rsidRPr="00B450EB">
        <w:rPr>
          <w:rFonts w:cs="Arial"/>
          <w:i/>
          <w:spacing w:val="-5"/>
        </w:rPr>
        <w:t xml:space="preserve"> </w:t>
      </w:r>
      <w:r w:rsidRPr="00B450EB">
        <w:rPr>
          <w:rFonts w:cs="Arial"/>
          <w:i/>
        </w:rPr>
        <w:t>concesión</w:t>
      </w:r>
      <w:r w:rsidRPr="00B450EB">
        <w:rPr>
          <w:rFonts w:cs="Arial"/>
          <w:i/>
          <w:spacing w:val="-8"/>
        </w:rPr>
        <w:t xml:space="preserve"> </w:t>
      </w:r>
      <w:r w:rsidRPr="00B450EB">
        <w:rPr>
          <w:rFonts w:cs="Arial"/>
          <w:i/>
        </w:rPr>
        <w:t>o autorización de uso a particulares. (...)</w:t>
      </w:r>
      <w:r w:rsidRPr="00B450EB">
        <w:rPr>
          <w:rFonts w:cs="Arial"/>
        </w:rPr>
        <w:t>”.</w:t>
      </w:r>
    </w:p>
    <w:p w14:paraId="6BA963D9" w14:textId="77777777" w:rsidR="009813B2" w:rsidRPr="00B450EB" w:rsidRDefault="009813B2" w:rsidP="009813B2">
      <w:pPr>
        <w:pStyle w:val="Textoindependiente"/>
        <w:spacing w:before="1"/>
        <w:rPr>
          <w:rFonts w:ascii="Arial" w:hAnsi="Arial" w:cs="Arial"/>
        </w:rPr>
      </w:pPr>
    </w:p>
    <w:p w14:paraId="5C6865EE" w14:textId="77777777" w:rsidR="009813B2" w:rsidRPr="00B450EB" w:rsidRDefault="009813B2" w:rsidP="009813B2">
      <w:pPr>
        <w:ind w:left="262" w:right="253"/>
        <w:rPr>
          <w:rFonts w:cs="Arial"/>
        </w:rPr>
      </w:pPr>
      <w:r w:rsidRPr="00B450EB">
        <w:rPr>
          <w:rFonts w:cs="Arial"/>
        </w:rPr>
        <w:t xml:space="preserve">Esta disposición, se enmarca en las reglas para el desarrollo de la actividad administrativa en relación con el manejo de los recursos naturales renovables señaladas en el Artículo 45 del mismo Código, dentro de las cuales se resaltan las siguientes: </w:t>
      </w:r>
      <w:r w:rsidRPr="00B450EB">
        <w:rPr>
          <w:rFonts w:cs="Arial"/>
          <w:i/>
        </w:rPr>
        <w:t xml:space="preserve">“(…) b.- Se mantendrá una reserva de recursos acorde con las necesidades del país. Para cumplir esta finalidad, </w:t>
      </w:r>
      <w:r w:rsidRPr="00B450EB">
        <w:rPr>
          <w:rFonts w:cs="Arial"/>
          <w:b/>
          <w:i/>
          <w:u w:val="single"/>
        </w:rPr>
        <w:t>se podrá hacer reserva de</w:t>
      </w:r>
      <w:r w:rsidRPr="00B450EB">
        <w:rPr>
          <w:rFonts w:cs="Arial"/>
          <w:b/>
          <w:i/>
        </w:rPr>
        <w:t xml:space="preserve"> </w:t>
      </w:r>
      <w:r w:rsidRPr="00B450EB">
        <w:rPr>
          <w:rFonts w:cs="Arial"/>
          <w:b/>
          <w:i/>
          <w:u w:val="single"/>
        </w:rPr>
        <w:t>la explotación de los recursos de propiedad Nacional, o en los de</w:t>
      </w:r>
      <w:r w:rsidRPr="00B450EB">
        <w:rPr>
          <w:rFonts w:cs="Arial"/>
          <w:b/>
          <w:i/>
        </w:rPr>
        <w:t xml:space="preserve"> </w:t>
      </w:r>
      <w:r w:rsidRPr="00B450EB">
        <w:rPr>
          <w:rFonts w:cs="Arial"/>
          <w:b/>
          <w:i/>
          <w:u w:val="single"/>
        </w:rPr>
        <w:t>propiedad</w:t>
      </w:r>
      <w:r w:rsidRPr="00B450EB">
        <w:rPr>
          <w:rFonts w:cs="Arial"/>
          <w:b/>
          <w:i/>
          <w:spacing w:val="-13"/>
          <w:u w:val="single"/>
        </w:rPr>
        <w:t xml:space="preserve"> </w:t>
      </w:r>
      <w:r w:rsidRPr="00B450EB">
        <w:rPr>
          <w:rFonts w:cs="Arial"/>
          <w:b/>
          <w:i/>
          <w:u w:val="single"/>
        </w:rPr>
        <w:t>privada</w:t>
      </w:r>
      <w:r w:rsidRPr="00B450EB">
        <w:rPr>
          <w:rFonts w:cs="Arial"/>
          <w:i/>
        </w:rPr>
        <w:t>,</w:t>
      </w:r>
      <w:r w:rsidRPr="00B450EB">
        <w:rPr>
          <w:rFonts w:cs="Arial"/>
          <w:i/>
          <w:spacing w:val="-13"/>
        </w:rPr>
        <w:t xml:space="preserve"> </w:t>
      </w:r>
      <w:r w:rsidRPr="00B450EB">
        <w:rPr>
          <w:rFonts w:cs="Arial"/>
          <w:i/>
        </w:rPr>
        <w:t>racionarse</w:t>
      </w:r>
      <w:r w:rsidRPr="00B450EB">
        <w:rPr>
          <w:rFonts w:cs="Arial"/>
          <w:i/>
          <w:spacing w:val="-12"/>
        </w:rPr>
        <w:t xml:space="preserve"> </w:t>
      </w:r>
      <w:r w:rsidRPr="00B450EB">
        <w:rPr>
          <w:rFonts w:cs="Arial"/>
          <w:i/>
        </w:rPr>
        <w:t>o</w:t>
      </w:r>
      <w:r w:rsidRPr="00B450EB">
        <w:rPr>
          <w:rFonts w:cs="Arial"/>
          <w:i/>
          <w:spacing w:val="-14"/>
        </w:rPr>
        <w:t xml:space="preserve"> </w:t>
      </w:r>
      <w:r w:rsidRPr="00B450EB">
        <w:rPr>
          <w:rFonts w:cs="Arial"/>
          <w:i/>
        </w:rPr>
        <w:t>prohibirse</w:t>
      </w:r>
      <w:r w:rsidRPr="00B450EB">
        <w:rPr>
          <w:rFonts w:cs="Arial"/>
          <w:i/>
          <w:spacing w:val="-12"/>
        </w:rPr>
        <w:t xml:space="preserve"> </w:t>
      </w:r>
      <w:r w:rsidRPr="00B450EB">
        <w:rPr>
          <w:rFonts w:cs="Arial"/>
          <w:i/>
        </w:rPr>
        <w:t>temporalmente</w:t>
      </w:r>
      <w:r w:rsidRPr="00B450EB">
        <w:rPr>
          <w:rFonts w:cs="Arial"/>
          <w:i/>
          <w:spacing w:val="-14"/>
        </w:rPr>
        <w:t xml:space="preserve"> </w:t>
      </w:r>
      <w:r w:rsidRPr="00B450EB">
        <w:rPr>
          <w:rFonts w:cs="Arial"/>
          <w:i/>
        </w:rPr>
        <w:t>el</w:t>
      </w:r>
      <w:r w:rsidRPr="00B450EB">
        <w:rPr>
          <w:rFonts w:cs="Arial"/>
          <w:i/>
          <w:spacing w:val="-12"/>
        </w:rPr>
        <w:t xml:space="preserve"> </w:t>
      </w:r>
      <w:r w:rsidRPr="00B450EB">
        <w:rPr>
          <w:rFonts w:cs="Arial"/>
          <w:i/>
        </w:rPr>
        <w:t>consumo</w:t>
      </w:r>
      <w:r w:rsidRPr="00B450EB">
        <w:rPr>
          <w:rFonts w:cs="Arial"/>
          <w:i/>
          <w:spacing w:val="-12"/>
        </w:rPr>
        <w:t xml:space="preserve"> </w:t>
      </w:r>
      <w:r w:rsidRPr="00B450EB">
        <w:rPr>
          <w:rFonts w:cs="Arial"/>
          <w:i/>
        </w:rPr>
        <w:t>interno o</w:t>
      </w:r>
      <w:r w:rsidRPr="00B450EB">
        <w:rPr>
          <w:rFonts w:cs="Arial"/>
          <w:i/>
          <w:spacing w:val="-6"/>
        </w:rPr>
        <w:t xml:space="preserve"> </w:t>
      </w:r>
      <w:r w:rsidRPr="00B450EB">
        <w:rPr>
          <w:rFonts w:cs="Arial"/>
          <w:i/>
        </w:rPr>
        <w:t>la</w:t>
      </w:r>
      <w:r w:rsidRPr="00B450EB">
        <w:rPr>
          <w:rFonts w:cs="Arial"/>
          <w:i/>
          <w:spacing w:val="-7"/>
        </w:rPr>
        <w:t xml:space="preserve"> </w:t>
      </w:r>
      <w:r w:rsidRPr="00B450EB">
        <w:rPr>
          <w:rFonts w:cs="Arial"/>
          <w:i/>
        </w:rPr>
        <w:t>salida</w:t>
      </w:r>
      <w:r w:rsidRPr="00B450EB">
        <w:rPr>
          <w:rFonts w:cs="Arial"/>
          <w:i/>
          <w:spacing w:val="-7"/>
        </w:rPr>
        <w:t xml:space="preserve"> </w:t>
      </w:r>
      <w:r w:rsidRPr="00B450EB">
        <w:rPr>
          <w:rFonts w:cs="Arial"/>
          <w:i/>
        </w:rPr>
        <w:t>del</w:t>
      </w:r>
      <w:r w:rsidRPr="00B450EB">
        <w:rPr>
          <w:rFonts w:cs="Arial"/>
          <w:i/>
          <w:spacing w:val="-7"/>
        </w:rPr>
        <w:t xml:space="preserve"> </w:t>
      </w:r>
      <w:r w:rsidRPr="00B450EB">
        <w:rPr>
          <w:rFonts w:cs="Arial"/>
          <w:i/>
        </w:rPr>
        <w:t>país;</w:t>
      </w:r>
      <w:r w:rsidRPr="00B450EB">
        <w:rPr>
          <w:rFonts w:cs="Arial"/>
          <w:i/>
          <w:spacing w:val="-6"/>
        </w:rPr>
        <w:t xml:space="preserve"> </w:t>
      </w:r>
      <w:r w:rsidRPr="00B450EB">
        <w:rPr>
          <w:rFonts w:cs="Arial"/>
          <w:i/>
        </w:rPr>
        <w:t>c.-</w:t>
      </w:r>
      <w:r w:rsidRPr="00B450EB">
        <w:rPr>
          <w:rFonts w:cs="Arial"/>
          <w:i/>
          <w:spacing w:val="-6"/>
        </w:rPr>
        <w:t xml:space="preserve"> </w:t>
      </w:r>
      <w:r w:rsidRPr="00B450EB">
        <w:rPr>
          <w:rFonts w:cs="Arial"/>
          <w:i/>
        </w:rPr>
        <w:t>Cuando</w:t>
      </w:r>
      <w:r w:rsidRPr="00B450EB">
        <w:rPr>
          <w:rFonts w:cs="Arial"/>
          <w:i/>
          <w:spacing w:val="-6"/>
        </w:rPr>
        <w:t xml:space="preserve"> </w:t>
      </w:r>
      <w:r w:rsidRPr="00B450EB">
        <w:rPr>
          <w:rFonts w:cs="Arial"/>
          <w:i/>
        </w:rPr>
        <w:t>se</w:t>
      </w:r>
      <w:r w:rsidRPr="00B450EB">
        <w:rPr>
          <w:rFonts w:cs="Arial"/>
          <w:i/>
          <w:spacing w:val="-6"/>
        </w:rPr>
        <w:t xml:space="preserve"> </w:t>
      </w:r>
      <w:r w:rsidRPr="00B450EB">
        <w:rPr>
          <w:rFonts w:cs="Arial"/>
          <w:i/>
        </w:rPr>
        <w:t>trate</w:t>
      </w:r>
      <w:r w:rsidRPr="00B450EB">
        <w:rPr>
          <w:rFonts w:cs="Arial"/>
          <w:i/>
          <w:spacing w:val="-7"/>
        </w:rPr>
        <w:t xml:space="preserve"> </w:t>
      </w:r>
      <w:r w:rsidRPr="00B450EB">
        <w:rPr>
          <w:rFonts w:cs="Arial"/>
          <w:i/>
        </w:rPr>
        <w:t>de</w:t>
      </w:r>
      <w:r w:rsidRPr="00B450EB">
        <w:rPr>
          <w:rFonts w:cs="Arial"/>
          <w:i/>
          <w:spacing w:val="-8"/>
        </w:rPr>
        <w:t xml:space="preserve"> </w:t>
      </w:r>
      <w:r w:rsidRPr="00B450EB">
        <w:rPr>
          <w:rFonts w:cs="Arial"/>
          <w:i/>
        </w:rPr>
        <w:t>utilizar</w:t>
      </w:r>
      <w:r w:rsidRPr="00B450EB">
        <w:rPr>
          <w:rFonts w:cs="Arial"/>
          <w:i/>
          <w:spacing w:val="-7"/>
        </w:rPr>
        <w:t xml:space="preserve"> </w:t>
      </w:r>
      <w:r w:rsidRPr="00B450EB">
        <w:rPr>
          <w:rFonts w:cs="Arial"/>
          <w:i/>
        </w:rPr>
        <w:t>uno</w:t>
      </w:r>
      <w:r w:rsidRPr="00B450EB">
        <w:rPr>
          <w:rFonts w:cs="Arial"/>
          <w:i/>
          <w:spacing w:val="-6"/>
        </w:rPr>
        <w:t xml:space="preserve"> </w:t>
      </w:r>
      <w:r w:rsidRPr="00B450EB">
        <w:rPr>
          <w:rFonts w:cs="Arial"/>
          <w:i/>
        </w:rPr>
        <w:t>o</w:t>
      </w:r>
      <w:r w:rsidRPr="00B450EB">
        <w:rPr>
          <w:rFonts w:cs="Arial"/>
          <w:i/>
          <w:spacing w:val="-6"/>
        </w:rPr>
        <w:t xml:space="preserve"> </w:t>
      </w:r>
      <w:r w:rsidRPr="00B450EB">
        <w:rPr>
          <w:rFonts w:cs="Arial"/>
          <w:i/>
        </w:rPr>
        <w:t>más</w:t>
      </w:r>
      <w:r w:rsidRPr="00B450EB">
        <w:rPr>
          <w:rFonts w:cs="Arial"/>
          <w:i/>
          <w:spacing w:val="-6"/>
        </w:rPr>
        <w:t xml:space="preserve"> </w:t>
      </w:r>
      <w:r w:rsidRPr="00B450EB">
        <w:rPr>
          <w:rFonts w:cs="Arial"/>
          <w:i/>
        </w:rPr>
        <w:t>recursos</w:t>
      </w:r>
      <w:r w:rsidRPr="00B450EB">
        <w:rPr>
          <w:rFonts w:cs="Arial"/>
          <w:i/>
          <w:spacing w:val="-6"/>
        </w:rPr>
        <w:t xml:space="preserve"> </w:t>
      </w:r>
      <w:r w:rsidRPr="00B450EB">
        <w:rPr>
          <w:rFonts w:cs="Arial"/>
          <w:i/>
        </w:rPr>
        <w:t xml:space="preserve">naturales renovables </w:t>
      </w:r>
      <w:r w:rsidRPr="00B450EB">
        <w:rPr>
          <w:rFonts w:cs="Arial"/>
          <w:b/>
          <w:i/>
          <w:u w:val="single"/>
        </w:rPr>
        <w:t>o de realizar actividades que puedan ocasionar el deterioro</w:t>
      </w:r>
      <w:r w:rsidRPr="00B450EB">
        <w:rPr>
          <w:rFonts w:cs="Arial"/>
          <w:b/>
          <w:i/>
        </w:rPr>
        <w:t xml:space="preserve"> </w:t>
      </w:r>
      <w:r w:rsidRPr="00B450EB">
        <w:rPr>
          <w:rFonts w:cs="Arial"/>
          <w:b/>
          <w:i/>
          <w:u w:val="single"/>
        </w:rPr>
        <w:t>de otros recursos o la alteración de un ecosistema</w:t>
      </w:r>
      <w:r w:rsidRPr="00B450EB">
        <w:rPr>
          <w:rFonts w:cs="Arial"/>
          <w:i/>
        </w:rPr>
        <w:t>, para su aplicación prevalente de acuerdo con las prioridades señaladas en este Código o en los planes de desarrollo, deberán justipreciarse las diversas formas de uso o de medios para alcanzar este último, que produzcan el mayor beneficio en comparación</w:t>
      </w:r>
      <w:r w:rsidRPr="00B450EB">
        <w:rPr>
          <w:rFonts w:cs="Arial"/>
          <w:i/>
          <w:spacing w:val="-16"/>
        </w:rPr>
        <w:t xml:space="preserve"> </w:t>
      </w:r>
      <w:r w:rsidRPr="00B450EB">
        <w:rPr>
          <w:rFonts w:cs="Arial"/>
          <w:i/>
        </w:rPr>
        <w:t>con</w:t>
      </w:r>
      <w:r w:rsidRPr="00B450EB">
        <w:rPr>
          <w:rFonts w:cs="Arial"/>
          <w:i/>
          <w:spacing w:val="-15"/>
        </w:rPr>
        <w:t xml:space="preserve"> </w:t>
      </w:r>
      <w:r w:rsidRPr="00B450EB">
        <w:rPr>
          <w:rFonts w:cs="Arial"/>
          <w:i/>
        </w:rPr>
        <w:t>el</w:t>
      </w:r>
      <w:r w:rsidRPr="00B450EB">
        <w:rPr>
          <w:rFonts w:cs="Arial"/>
          <w:i/>
          <w:spacing w:val="-13"/>
        </w:rPr>
        <w:t xml:space="preserve"> </w:t>
      </w:r>
      <w:r w:rsidRPr="00B450EB">
        <w:rPr>
          <w:rFonts w:cs="Arial"/>
          <w:i/>
        </w:rPr>
        <w:t>daño</w:t>
      </w:r>
      <w:r w:rsidRPr="00B450EB">
        <w:rPr>
          <w:rFonts w:cs="Arial"/>
          <w:i/>
          <w:spacing w:val="-13"/>
        </w:rPr>
        <w:t xml:space="preserve"> </w:t>
      </w:r>
      <w:r w:rsidRPr="00B450EB">
        <w:rPr>
          <w:rFonts w:cs="Arial"/>
          <w:i/>
        </w:rPr>
        <w:t>que</w:t>
      </w:r>
      <w:r w:rsidRPr="00B450EB">
        <w:rPr>
          <w:rFonts w:cs="Arial"/>
          <w:i/>
          <w:spacing w:val="-13"/>
        </w:rPr>
        <w:t xml:space="preserve"> </w:t>
      </w:r>
      <w:r w:rsidRPr="00B450EB">
        <w:rPr>
          <w:rFonts w:cs="Arial"/>
          <w:i/>
        </w:rPr>
        <w:t>puedan</w:t>
      </w:r>
      <w:r w:rsidRPr="00B450EB">
        <w:rPr>
          <w:rFonts w:cs="Arial"/>
          <w:i/>
          <w:spacing w:val="-16"/>
        </w:rPr>
        <w:t xml:space="preserve"> </w:t>
      </w:r>
      <w:r w:rsidRPr="00B450EB">
        <w:rPr>
          <w:rFonts w:cs="Arial"/>
          <w:i/>
        </w:rPr>
        <w:t>causar</w:t>
      </w:r>
      <w:r w:rsidRPr="00B450EB">
        <w:rPr>
          <w:rFonts w:cs="Arial"/>
          <w:i/>
          <w:spacing w:val="-16"/>
        </w:rPr>
        <w:t xml:space="preserve"> </w:t>
      </w:r>
      <w:r w:rsidRPr="00B450EB">
        <w:rPr>
          <w:rFonts w:cs="Arial"/>
          <w:i/>
        </w:rPr>
        <w:t>en</w:t>
      </w:r>
      <w:r w:rsidRPr="00B450EB">
        <w:rPr>
          <w:rFonts w:cs="Arial"/>
          <w:i/>
          <w:spacing w:val="-13"/>
        </w:rPr>
        <w:t xml:space="preserve"> </w:t>
      </w:r>
      <w:r w:rsidRPr="00B450EB">
        <w:rPr>
          <w:rFonts w:cs="Arial"/>
          <w:i/>
        </w:rPr>
        <w:t>lo</w:t>
      </w:r>
      <w:r w:rsidRPr="00B450EB">
        <w:rPr>
          <w:rFonts w:cs="Arial"/>
          <w:i/>
          <w:spacing w:val="-15"/>
        </w:rPr>
        <w:t xml:space="preserve"> </w:t>
      </w:r>
      <w:r w:rsidRPr="00B450EB">
        <w:rPr>
          <w:rFonts w:cs="Arial"/>
          <w:i/>
        </w:rPr>
        <w:t>ecológico,</w:t>
      </w:r>
      <w:r w:rsidRPr="00B450EB">
        <w:rPr>
          <w:rFonts w:cs="Arial"/>
          <w:i/>
          <w:spacing w:val="-13"/>
        </w:rPr>
        <w:t xml:space="preserve"> </w:t>
      </w:r>
      <w:r w:rsidRPr="00B450EB">
        <w:rPr>
          <w:rFonts w:cs="Arial"/>
          <w:i/>
        </w:rPr>
        <w:t>económico</w:t>
      </w:r>
      <w:r w:rsidRPr="00B450EB">
        <w:rPr>
          <w:rFonts w:cs="Arial"/>
          <w:i/>
          <w:spacing w:val="-12"/>
        </w:rPr>
        <w:t xml:space="preserve"> </w:t>
      </w:r>
      <w:r w:rsidRPr="00B450EB">
        <w:rPr>
          <w:rFonts w:cs="Arial"/>
          <w:i/>
        </w:rPr>
        <w:t>y</w:t>
      </w:r>
      <w:r w:rsidRPr="00B450EB">
        <w:rPr>
          <w:rFonts w:cs="Arial"/>
          <w:i/>
          <w:spacing w:val="-14"/>
        </w:rPr>
        <w:t xml:space="preserve"> </w:t>
      </w:r>
      <w:r w:rsidRPr="00B450EB">
        <w:rPr>
          <w:rFonts w:cs="Arial"/>
          <w:i/>
        </w:rPr>
        <w:t>social. (…)</w:t>
      </w:r>
      <w:r w:rsidRPr="00B450EB">
        <w:rPr>
          <w:rFonts w:cs="Arial"/>
        </w:rPr>
        <w:t>”. (Negrita y subrayado por fuera del texto original)</w:t>
      </w:r>
    </w:p>
    <w:p w14:paraId="2C1B542C" w14:textId="77777777" w:rsidR="009813B2" w:rsidRPr="00B450EB" w:rsidRDefault="009813B2" w:rsidP="009813B2">
      <w:pPr>
        <w:pStyle w:val="Textoindependiente"/>
        <w:rPr>
          <w:rFonts w:ascii="Arial" w:hAnsi="Arial" w:cs="Arial"/>
        </w:rPr>
      </w:pPr>
    </w:p>
    <w:p w14:paraId="2F78E75D" w14:textId="77777777" w:rsidR="009813B2" w:rsidRPr="00B450EB" w:rsidRDefault="009813B2" w:rsidP="000F4AC1">
      <w:pPr>
        <w:ind w:left="262" w:right="250"/>
        <w:rPr>
          <w:rFonts w:cs="Arial"/>
        </w:rPr>
      </w:pPr>
      <w:r w:rsidRPr="00B450EB">
        <w:rPr>
          <w:rFonts w:cs="Arial"/>
        </w:rPr>
        <w:t>Refiriéndonos</w:t>
      </w:r>
      <w:r w:rsidRPr="00B450EB">
        <w:rPr>
          <w:rFonts w:cs="Arial"/>
          <w:spacing w:val="-17"/>
        </w:rPr>
        <w:t xml:space="preserve"> </w:t>
      </w:r>
      <w:r w:rsidRPr="00B450EB">
        <w:rPr>
          <w:rFonts w:cs="Arial"/>
        </w:rPr>
        <w:t>a</w:t>
      </w:r>
      <w:r w:rsidRPr="00B450EB">
        <w:rPr>
          <w:rFonts w:cs="Arial"/>
          <w:spacing w:val="-18"/>
        </w:rPr>
        <w:t xml:space="preserve"> </w:t>
      </w:r>
      <w:r w:rsidRPr="00B450EB">
        <w:rPr>
          <w:rFonts w:cs="Arial"/>
        </w:rPr>
        <w:t>la</w:t>
      </w:r>
      <w:r w:rsidRPr="00B450EB">
        <w:rPr>
          <w:rFonts w:cs="Arial"/>
          <w:spacing w:val="-18"/>
        </w:rPr>
        <w:t xml:space="preserve"> </w:t>
      </w:r>
      <w:r w:rsidRPr="00B450EB">
        <w:rPr>
          <w:rFonts w:cs="Arial"/>
        </w:rPr>
        <w:t>aplicabilidad</w:t>
      </w:r>
      <w:r w:rsidRPr="00B450EB">
        <w:rPr>
          <w:rFonts w:cs="Arial"/>
          <w:spacing w:val="-16"/>
        </w:rPr>
        <w:t xml:space="preserve"> </w:t>
      </w:r>
      <w:r w:rsidRPr="00B450EB">
        <w:rPr>
          <w:rFonts w:cs="Arial"/>
        </w:rPr>
        <w:t>de</w:t>
      </w:r>
      <w:r w:rsidRPr="00B450EB">
        <w:rPr>
          <w:rFonts w:cs="Arial"/>
          <w:spacing w:val="-17"/>
        </w:rPr>
        <w:t xml:space="preserve"> </w:t>
      </w:r>
      <w:r w:rsidRPr="00B450EB">
        <w:rPr>
          <w:rFonts w:cs="Arial"/>
        </w:rPr>
        <w:t>los</w:t>
      </w:r>
      <w:r w:rsidRPr="00B450EB">
        <w:rPr>
          <w:rFonts w:cs="Arial"/>
          <w:spacing w:val="-17"/>
        </w:rPr>
        <w:t xml:space="preserve"> </w:t>
      </w:r>
      <w:r w:rsidRPr="00B450EB">
        <w:rPr>
          <w:rFonts w:cs="Arial"/>
        </w:rPr>
        <w:t>dispuesto</w:t>
      </w:r>
      <w:r w:rsidRPr="00B450EB">
        <w:rPr>
          <w:rFonts w:cs="Arial"/>
          <w:spacing w:val="-17"/>
        </w:rPr>
        <w:t xml:space="preserve"> </w:t>
      </w:r>
      <w:r w:rsidRPr="00B450EB">
        <w:rPr>
          <w:rFonts w:cs="Arial"/>
        </w:rPr>
        <w:t>en</w:t>
      </w:r>
      <w:r w:rsidRPr="00B450EB">
        <w:rPr>
          <w:rFonts w:cs="Arial"/>
          <w:spacing w:val="-18"/>
        </w:rPr>
        <w:t xml:space="preserve"> </w:t>
      </w:r>
      <w:r w:rsidRPr="00B450EB">
        <w:rPr>
          <w:rFonts w:cs="Arial"/>
        </w:rPr>
        <w:t>el</w:t>
      </w:r>
      <w:r w:rsidRPr="00B450EB">
        <w:rPr>
          <w:rFonts w:cs="Arial"/>
          <w:spacing w:val="-18"/>
        </w:rPr>
        <w:t xml:space="preserve"> </w:t>
      </w:r>
      <w:r w:rsidRPr="00B450EB">
        <w:rPr>
          <w:rFonts w:cs="Arial"/>
        </w:rPr>
        <w:t>Artículo</w:t>
      </w:r>
      <w:r w:rsidRPr="00B450EB">
        <w:rPr>
          <w:rFonts w:cs="Arial"/>
          <w:spacing w:val="-18"/>
        </w:rPr>
        <w:t xml:space="preserve"> </w:t>
      </w:r>
      <w:r w:rsidRPr="00B450EB">
        <w:rPr>
          <w:rFonts w:cs="Arial"/>
        </w:rPr>
        <w:t>47</w:t>
      </w:r>
      <w:r w:rsidRPr="00B450EB">
        <w:rPr>
          <w:rFonts w:cs="Arial"/>
          <w:spacing w:val="-16"/>
        </w:rPr>
        <w:t xml:space="preserve"> </w:t>
      </w:r>
      <w:r w:rsidRPr="00B450EB">
        <w:rPr>
          <w:rFonts w:cs="Arial"/>
        </w:rPr>
        <w:t>del</w:t>
      </w:r>
      <w:r w:rsidRPr="00B450EB">
        <w:rPr>
          <w:rFonts w:cs="Arial"/>
          <w:spacing w:val="-18"/>
        </w:rPr>
        <w:t xml:space="preserve"> </w:t>
      </w:r>
      <w:r w:rsidRPr="00B450EB">
        <w:rPr>
          <w:rFonts w:cs="Arial"/>
        </w:rPr>
        <w:t>CNRNR</w:t>
      </w:r>
      <w:r w:rsidRPr="00B450EB">
        <w:rPr>
          <w:rFonts w:cs="Arial"/>
          <w:spacing w:val="-17"/>
        </w:rPr>
        <w:t xml:space="preserve"> </w:t>
      </w:r>
      <w:r w:rsidRPr="00B450EB">
        <w:rPr>
          <w:rFonts w:cs="Arial"/>
        </w:rPr>
        <w:t xml:space="preserve">para </w:t>
      </w:r>
      <w:r w:rsidRPr="00B450EB">
        <w:rPr>
          <w:rFonts w:cs="Arial"/>
          <w:spacing w:val="-2"/>
        </w:rPr>
        <w:t>la</w:t>
      </w:r>
      <w:r w:rsidRPr="00B450EB">
        <w:rPr>
          <w:rFonts w:cs="Arial"/>
          <w:spacing w:val="-11"/>
        </w:rPr>
        <w:t xml:space="preserve"> </w:t>
      </w:r>
      <w:r w:rsidRPr="00B450EB">
        <w:rPr>
          <w:rFonts w:cs="Arial"/>
          <w:spacing w:val="-2"/>
        </w:rPr>
        <w:t>protección</w:t>
      </w:r>
      <w:r w:rsidRPr="00B450EB">
        <w:rPr>
          <w:rFonts w:cs="Arial"/>
          <w:spacing w:val="-9"/>
        </w:rPr>
        <w:t xml:space="preserve"> </w:t>
      </w:r>
      <w:r w:rsidRPr="00B450EB">
        <w:rPr>
          <w:rFonts w:cs="Arial"/>
          <w:spacing w:val="-2"/>
        </w:rPr>
        <w:t>de</w:t>
      </w:r>
      <w:r w:rsidRPr="00B450EB">
        <w:rPr>
          <w:rFonts w:cs="Arial"/>
          <w:spacing w:val="-8"/>
        </w:rPr>
        <w:t xml:space="preserve"> </w:t>
      </w:r>
      <w:r w:rsidRPr="00B450EB">
        <w:rPr>
          <w:rFonts w:cs="Arial"/>
          <w:spacing w:val="-2"/>
        </w:rPr>
        <w:t>ecosistemas,</w:t>
      </w:r>
      <w:r w:rsidRPr="00B450EB">
        <w:rPr>
          <w:rFonts w:cs="Arial"/>
          <w:spacing w:val="-9"/>
        </w:rPr>
        <w:t xml:space="preserve"> </w:t>
      </w:r>
      <w:r w:rsidRPr="00B450EB">
        <w:rPr>
          <w:rFonts w:cs="Arial"/>
          <w:spacing w:val="-2"/>
        </w:rPr>
        <w:t>es</w:t>
      </w:r>
      <w:r w:rsidRPr="00B450EB">
        <w:rPr>
          <w:rFonts w:cs="Arial"/>
          <w:spacing w:val="-8"/>
        </w:rPr>
        <w:t xml:space="preserve"> </w:t>
      </w:r>
      <w:r w:rsidRPr="00B450EB">
        <w:rPr>
          <w:rFonts w:cs="Arial"/>
          <w:spacing w:val="-2"/>
        </w:rPr>
        <w:t>importante</w:t>
      </w:r>
      <w:r w:rsidRPr="00B450EB">
        <w:rPr>
          <w:rFonts w:cs="Arial"/>
          <w:spacing w:val="-8"/>
        </w:rPr>
        <w:t xml:space="preserve"> </w:t>
      </w:r>
      <w:r w:rsidRPr="00B450EB">
        <w:rPr>
          <w:rFonts w:cs="Arial"/>
          <w:spacing w:val="-2"/>
        </w:rPr>
        <w:t>indicar</w:t>
      </w:r>
      <w:r w:rsidRPr="00B450EB">
        <w:rPr>
          <w:rFonts w:cs="Arial"/>
          <w:spacing w:val="-9"/>
        </w:rPr>
        <w:t xml:space="preserve"> </w:t>
      </w:r>
      <w:r w:rsidRPr="00B450EB">
        <w:rPr>
          <w:rFonts w:cs="Arial"/>
          <w:spacing w:val="-2"/>
        </w:rPr>
        <w:t>algunos</w:t>
      </w:r>
      <w:r w:rsidRPr="00B450EB">
        <w:rPr>
          <w:rFonts w:cs="Arial"/>
          <w:spacing w:val="-8"/>
        </w:rPr>
        <w:t xml:space="preserve"> </w:t>
      </w:r>
      <w:r w:rsidRPr="00B450EB">
        <w:rPr>
          <w:rFonts w:cs="Arial"/>
          <w:spacing w:val="-2"/>
        </w:rPr>
        <w:t>apartes</w:t>
      </w:r>
      <w:r w:rsidRPr="00B450EB">
        <w:rPr>
          <w:rFonts w:cs="Arial"/>
          <w:spacing w:val="-9"/>
        </w:rPr>
        <w:t xml:space="preserve"> </w:t>
      </w:r>
      <w:r w:rsidRPr="00B450EB">
        <w:rPr>
          <w:rFonts w:cs="Arial"/>
          <w:spacing w:val="-2"/>
        </w:rPr>
        <w:t>del</w:t>
      </w:r>
      <w:r w:rsidRPr="00B450EB">
        <w:rPr>
          <w:rFonts w:cs="Arial"/>
          <w:spacing w:val="-8"/>
        </w:rPr>
        <w:t xml:space="preserve"> </w:t>
      </w:r>
      <w:r w:rsidRPr="00B450EB">
        <w:rPr>
          <w:rFonts w:cs="Arial"/>
          <w:spacing w:val="-2"/>
        </w:rPr>
        <w:t xml:space="preserve">concepto </w:t>
      </w:r>
      <w:r w:rsidRPr="00B450EB">
        <w:rPr>
          <w:rFonts w:cs="Arial"/>
        </w:rPr>
        <w:t>emitido por la Sala de Consulta y Servicio Civil, expediente No. 642 del 28 de octubre de 1994, donde se determina que para velar por el cumplimiento oportuno y eficaz de los fines naturales que corresponden a los humedales, es viable utilizar como instrumento jurídico la declaratoria de reserva ecológica o ambiental, con fundamento en disposiciones tales como las contenidas en el Artículo 47 del Decreto-Ley 2811 de 1974, entre otras normas allí señaladas.</w:t>
      </w:r>
    </w:p>
    <w:p w14:paraId="4C50AA49" w14:textId="77777777" w:rsidR="009813B2" w:rsidRPr="00B450EB" w:rsidRDefault="009813B2" w:rsidP="009813B2">
      <w:pPr>
        <w:pStyle w:val="Textoindependiente"/>
        <w:rPr>
          <w:rFonts w:ascii="Arial" w:hAnsi="Arial" w:cs="Arial"/>
        </w:rPr>
      </w:pPr>
    </w:p>
    <w:p w14:paraId="4DA181A5" w14:textId="77777777" w:rsidR="009813B2" w:rsidRPr="00B450EB" w:rsidRDefault="009813B2" w:rsidP="009813B2">
      <w:pPr>
        <w:ind w:left="262" w:right="250"/>
        <w:rPr>
          <w:rFonts w:cs="Arial"/>
        </w:rPr>
      </w:pPr>
      <w:r w:rsidRPr="00B450EB">
        <w:rPr>
          <w:rFonts w:cs="Arial"/>
        </w:rPr>
        <w:t>Igualmente,</w:t>
      </w:r>
      <w:r w:rsidRPr="00B450EB">
        <w:rPr>
          <w:rFonts w:cs="Arial"/>
          <w:spacing w:val="-4"/>
        </w:rPr>
        <w:t xml:space="preserve"> </w:t>
      </w:r>
      <w:r w:rsidRPr="00B450EB">
        <w:rPr>
          <w:rFonts w:cs="Arial"/>
        </w:rPr>
        <w:t>en</w:t>
      </w:r>
      <w:r w:rsidRPr="00B450EB">
        <w:rPr>
          <w:rFonts w:cs="Arial"/>
          <w:spacing w:val="-3"/>
        </w:rPr>
        <w:t xml:space="preserve"> </w:t>
      </w:r>
      <w:r w:rsidRPr="00B450EB">
        <w:rPr>
          <w:rFonts w:cs="Arial"/>
        </w:rPr>
        <w:t>el</w:t>
      </w:r>
      <w:r w:rsidRPr="00B450EB">
        <w:rPr>
          <w:rFonts w:cs="Arial"/>
          <w:spacing w:val="-3"/>
        </w:rPr>
        <w:t xml:space="preserve"> </w:t>
      </w:r>
      <w:r w:rsidRPr="00B450EB">
        <w:rPr>
          <w:rFonts w:cs="Arial"/>
        </w:rPr>
        <w:t>marco</w:t>
      </w:r>
      <w:r w:rsidRPr="00B450EB">
        <w:rPr>
          <w:rFonts w:cs="Arial"/>
          <w:spacing w:val="-2"/>
        </w:rPr>
        <w:t xml:space="preserve"> </w:t>
      </w:r>
      <w:r w:rsidRPr="00B450EB">
        <w:rPr>
          <w:rFonts w:cs="Arial"/>
        </w:rPr>
        <w:t>de</w:t>
      </w:r>
      <w:r w:rsidRPr="00B450EB">
        <w:rPr>
          <w:rFonts w:cs="Arial"/>
          <w:spacing w:val="-2"/>
        </w:rPr>
        <w:t xml:space="preserve"> </w:t>
      </w:r>
      <w:r w:rsidRPr="00B450EB">
        <w:rPr>
          <w:rFonts w:cs="Arial"/>
        </w:rPr>
        <w:t>un</w:t>
      </w:r>
      <w:r w:rsidRPr="00B450EB">
        <w:rPr>
          <w:rFonts w:cs="Arial"/>
          <w:spacing w:val="-4"/>
        </w:rPr>
        <w:t xml:space="preserve"> </w:t>
      </w:r>
      <w:r w:rsidRPr="00B450EB">
        <w:rPr>
          <w:rFonts w:cs="Arial"/>
        </w:rPr>
        <w:t>análisis</w:t>
      </w:r>
      <w:r w:rsidRPr="00B450EB">
        <w:rPr>
          <w:rFonts w:cs="Arial"/>
          <w:spacing w:val="-3"/>
        </w:rPr>
        <w:t xml:space="preserve"> </w:t>
      </w:r>
      <w:r w:rsidRPr="00B450EB">
        <w:rPr>
          <w:rFonts w:cs="Arial"/>
        </w:rPr>
        <w:t>de constitucionalidad</w:t>
      </w:r>
      <w:r w:rsidRPr="00B450EB">
        <w:rPr>
          <w:rFonts w:cs="Arial"/>
          <w:spacing w:val="-4"/>
        </w:rPr>
        <w:t xml:space="preserve"> </w:t>
      </w:r>
      <w:r w:rsidRPr="00B450EB">
        <w:rPr>
          <w:rFonts w:cs="Arial"/>
        </w:rPr>
        <w:t>al</w:t>
      </w:r>
      <w:r w:rsidRPr="00B450EB">
        <w:rPr>
          <w:rFonts w:cs="Arial"/>
          <w:spacing w:val="-2"/>
        </w:rPr>
        <w:t xml:space="preserve"> </w:t>
      </w:r>
      <w:r w:rsidRPr="00B450EB">
        <w:rPr>
          <w:rFonts w:cs="Arial"/>
        </w:rPr>
        <w:t>referido</w:t>
      </w:r>
      <w:r w:rsidRPr="00B450EB">
        <w:rPr>
          <w:rFonts w:cs="Arial"/>
          <w:spacing w:val="-2"/>
        </w:rPr>
        <w:t xml:space="preserve"> </w:t>
      </w:r>
      <w:r w:rsidRPr="00B450EB">
        <w:rPr>
          <w:rFonts w:cs="Arial"/>
        </w:rPr>
        <w:t>artículo 47, en Sentencia C - 126 de 1998 la Corte Constitucional precisó que “</w:t>
      </w:r>
      <w:r w:rsidRPr="00B450EB">
        <w:rPr>
          <w:rFonts w:cs="Arial"/>
          <w:i/>
        </w:rPr>
        <w:t>(…) esta Corporación ha señalado, en anteriores decisiones, que la protección del medio ambiente ocupa un lugar tan trascendental en el ordenamiento jurídico que la Carta contiene una verdadera "constitución ecológica" (...)</w:t>
      </w:r>
      <w:r w:rsidRPr="00B450EB">
        <w:rPr>
          <w:rFonts w:cs="Arial"/>
        </w:rPr>
        <w:t>”, conformada por todas aquellas disposiciones que regulan la relación de la sociedad con la naturaleza y que buscan proteger el medio ambiente. En el mismo sentido, la Corte ha precisado que esta Constitución ecológica tiene dentro del ordenamiento colombiano una triple dimensión: de un lado, la protección al medio</w:t>
      </w:r>
      <w:r w:rsidRPr="00B450EB">
        <w:rPr>
          <w:rFonts w:cs="Arial"/>
          <w:spacing w:val="-1"/>
        </w:rPr>
        <w:t xml:space="preserve"> </w:t>
      </w:r>
      <w:r w:rsidRPr="00B450EB">
        <w:rPr>
          <w:rFonts w:cs="Arial"/>
        </w:rPr>
        <w:t>ambiente es un</w:t>
      </w:r>
      <w:r w:rsidRPr="00B450EB">
        <w:rPr>
          <w:rFonts w:cs="Arial"/>
          <w:spacing w:val="-1"/>
        </w:rPr>
        <w:t xml:space="preserve"> </w:t>
      </w:r>
      <w:r w:rsidRPr="00B450EB">
        <w:rPr>
          <w:rFonts w:cs="Arial"/>
        </w:rPr>
        <w:t>principio</w:t>
      </w:r>
      <w:r w:rsidRPr="00B450EB">
        <w:rPr>
          <w:rFonts w:cs="Arial"/>
          <w:spacing w:val="-1"/>
        </w:rPr>
        <w:t xml:space="preserve"> </w:t>
      </w:r>
      <w:r w:rsidRPr="00B450EB">
        <w:rPr>
          <w:rFonts w:cs="Arial"/>
        </w:rPr>
        <w:t>que</w:t>
      </w:r>
      <w:r w:rsidRPr="00B450EB">
        <w:rPr>
          <w:rFonts w:cs="Arial"/>
          <w:spacing w:val="-1"/>
        </w:rPr>
        <w:t xml:space="preserve"> </w:t>
      </w:r>
      <w:r w:rsidRPr="00B450EB">
        <w:rPr>
          <w:rFonts w:cs="Arial"/>
        </w:rPr>
        <w:t>irradia</w:t>
      </w:r>
      <w:r w:rsidRPr="00B450EB">
        <w:rPr>
          <w:rFonts w:cs="Arial"/>
          <w:spacing w:val="-1"/>
        </w:rPr>
        <w:t xml:space="preserve"> </w:t>
      </w:r>
      <w:r w:rsidRPr="00B450EB">
        <w:rPr>
          <w:rFonts w:cs="Arial"/>
        </w:rPr>
        <w:t>todo</w:t>
      </w:r>
      <w:r w:rsidRPr="00B450EB">
        <w:rPr>
          <w:rFonts w:cs="Arial"/>
          <w:spacing w:val="-1"/>
        </w:rPr>
        <w:t xml:space="preserve"> </w:t>
      </w:r>
      <w:r w:rsidRPr="00B450EB">
        <w:rPr>
          <w:rFonts w:cs="Arial"/>
        </w:rPr>
        <w:t>el</w:t>
      </w:r>
      <w:r w:rsidRPr="00B450EB">
        <w:rPr>
          <w:rFonts w:cs="Arial"/>
          <w:spacing w:val="-1"/>
        </w:rPr>
        <w:t xml:space="preserve"> </w:t>
      </w:r>
      <w:r w:rsidRPr="00B450EB">
        <w:rPr>
          <w:rFonts w:cs="Arial"/>
        </w:rPr>
        <w:t>orden</w:t>
      </w:r>
      <w:r w:rsidRPr="00B450EB">
        <w:rPr>
          <w:rFonts w:cs="Arial"/>
          <w:spacing w:val="-3"/>
        </w:rPr>
        <w:t xml:space="preserve"> </w:t>
      </w:r>
      <w:r w:rsidRPr="00B450EB">
        <w:rPr>
          <w:rFonts w:cs="Arial"/>
        </w:rPr>
        <w:t>jurídico</w:t>
      </w:r>
      <w:r w:rsidRPr="00B450EB">
        <w:rPr>
          <w:rFonts w:cs="Arial"/>
          <w:spacing w:val="-3"/>
        </w:rPr>
        <w:t xml:space="preserve"> </w:t>
      </w:r>
      <w:r w:rsidRPr="00B450EB">
        <w:rPr>
          <w:rFonts w:cs="Arial"/>
        </w:rPr>
        <w:t>puesto</w:t>
      </w:r>
      <w:r w:rsidRPr="00B450EB">
        <w:rPr>
          <w:rFonts w:cs="Arial"/>
          <w:spacing w:val="-1"/>
        </w:rPr>
        <w:t xml:space="preserve"> </w:t>
      </w:r>
      <w:r w:rsidRPr="00B450EB">
        <w:rPr>
          <w:rFonts w:cs="Arial"/>
        </w:rPr>
        <w:t>que</w:t>
      </w:r>
      <w:r w:rsidRPr="00B450EB">
        <w:rPr>
          <w:rFonts w:cs="Arial"/>
          <w:spacing w:val="-1"/>
        </w:rPr>
        <w:t xml:space="preserve"> </w:t>
      </w:r>
      <w:r w:rsidRPr="00B450EB">
        <w:rPr>
          <w:rFonts w:cs="Arial"/>
        </w:rPr>
        <w:t>es obligación del Estado proteger las riquezas naturales de la Nación (C.P. art. 8).</w:t>
      </w:r>
    </w:p>
    <w:p w14:paraId="47F76996" w14:textId="77777777" w:rsidR="009813B2" w:rsidRPr="00B450EB" w:rsidRDefault="009813B2" w:rsidP="009813B2">
      <w:pPr>
        <w:pStyle w:val="Textoindependiente"/>
        <w:spacing w:before="1"/>
        <w:rPr>
          <w:rFonts w:ascii="Arial" w:hAnsi="Arial" w:cs="Arial"/>
        </w:rPr>
      </w:pPr>
    </w:p>
    <w:p w14:paraId="799A86BD" w14:textId="77777777" w:rsidR="009813B2" w:rsidRPr="00B450EB" w:rsidRDefault="009813B2" w:rsidP="009813B2">
      <w:pPr>
        <w:ind w:left="262" w:right="251"/>
        <w:rPr>
          <w:rFonts w:cs="Arial"/>
        </w:rPr>
      </w:pPr>
      <w:r w:rsidRPr="00B450EB">
        <w:rPr>
          <w:rFonts w:cs="Arial"/>
        </w:rPr>
        <w:t>De otro lado, aparece como el derecho de todas las personas a gozar de un ambiente sano, derecho constitucional que es exigible por diversas vías judiciales (C.P. art. 79). Y, finalmente, de la constitución ecológica derivan un conjunto de obligaciones impuestas a las autoridades y a los particulares. Es más, en varias oportunidades, la Corte ha insistido en que la importancia del medio</w:t>
      </w:r>
      <w:r w:rsidRPr="00B450EB">
        <w:rPr>
          <w:rFonts w:cs="Arial"/>
          <w:spacing w:val="-5"/>
        </w:rPr>
        <w:t xml:space="preserve"> </w:t>
      </w:r>
      <w:r w:rsidRPr="00B450EB">
        <w:rPr>
          <w:rFonts w:cs="Arial"/>
        </w:rPr>
        <w:t>ambiente</w:t>
      </w:r>
      <w:r w:rsidRPr="00B450EB">
        <w:rPr>
          <w:rFonts w:cs="Arial"/>
          <w:spacing w:val="-5"/>
        </w:rPr>
        <w:t xml:space="preserve"> </w:t>
      </w:r>
      <w:r w:rsidRPr="00B450EB">
        <w:rPr>
          <w:rFonts w:cs="Arial"/>
        </w:rPr>
        <w:t>en</w:t>
      </w:r>
      <w:r w:rsidRPr="00B450EB">
        <w:rPr>
          <w:rFonts w:cs="Arial"/>
          <w:spacing w:val="-6"/>
        </w:rPr>
        <w:t xml:space="preserve"> </w:t>
      </w:r>
      <w:r w:rsidRPr="00B450EB">
        <w:rPr>
          <w:rFonts w:cs="Arial"/>
        </w:rPr>
        <w:t>la</w:t>
      </w:r>
      <w:r w:rsidRPr="00B450EB">
        <w:rPr>
          <w:rFonts w:cs="Arial"/>
          <w:spacing w:val="-6"/>
        </w:rPr>
        <w:t xml:space="preserve"> </w:t>
      </w:r>
      <w:r w:rsidRPr="00B450EB">
        <w:rPr>
          <w:rFonts w:cs="Arial"/>
        </w:rPr>
        <w:t>Constitución</w:t>
      </w:r>
      <w:r w:rsidRPr="00B450EB">
        <w:rPr>
          <w:rFonts w:cs="Arial"/>
          <w:spacing w:val="-6"/>
        </w:rPr>
        <w:t xml:space="preserve"> </w:t>
      </w:r>
      <w:r w:rsidRPr="00B450EB">
        <w:rPr>
          <w:rFonts w:cs="Arial"/>
        </w:rPr>
        <w:t>es</w:t>
      </w:r>
      <w:r w:rsidRPr="00B450EB">
        <w:rPr>
          <w:rFonts w:cs="Arial"/>
          <w:spacing w:val="-5"/>
        </w:rPr>
        <w:t xml:space="preserve"> </w:t>
      </w:r>
      <w:r w:rsidRPr="00B450EB">
        <w:rPr>
          <w:rFonts w:cs="Arial"/>
        </w:rPr>
        <w:t>tal</w:t>
      </w:r>
      <w:r w:rsidRPr="00B450EB">
        <w:rPr>
          <w:rFonts w:cs="Arial"/>
          <w:spacing w:val="-6"/>
        </w:rPr>
        <w:t xml:space="preserve"> </w:t>
      </w:r>
      <w:r w:rsidRPr="00B450EB">
        <w:rPr>
          <w:rFonts w:cs="Arial"/>
        </w:rPr>
        <w:t>que</w:t>
      </w:r>
      <w:r w:rsidRPr="00B450EB">
        <w:rPr>
          <w:rFonts w:cs="Arial"/>
          <w:spacing w:val="-6"/>
        </w:rPr>
        <w:t xml:space="preserve"> </w:t>
      </w:r>
      <w:r w:rsidRPr="00B450EB">
        <w:rPr>
          <w:rFonts w:cs="Arial"/>
        </w:rPr>
        <w:t>implica</w:t>
      </w:r>
      <w:r w:rsidRPr="00B450EB">
        <w:rPr>
          <w:rFonts w:cs="Arial"/>
          <w:spacing w:val="-6"/>
        </w:rPr>
        <w:t xml:space="preserve"> </w:t>
      </w:r>
      <w:r w:rsidRPr="00B450EB">
        <w:rPr>
          <w:rFonts w:cs="Arial"/>
        </w:rPr>
        <w:t>para</w:t>
      </w:r>
      <w:r w:rsidRPr="00B450EB">
        <w:rPr>
          <w:rFonts w:cs="Arial"/>
          <w:spacing w:val="-6"/>
        </w:rPr>
        <w:t xml:space="preserve"> </w:t>
      </w:r>
      <w:r w:rsidRPr="00B450EB">
        <w:rPr>
          <w:rFonts w:cs="Arial"/>
        </w:rPr>
        <w:t>el</w:t>
      </w:r>
      <w:r w:rsidRPr="00B450EB">
        <w:rPr>
          <w:rFonts w:cs="Arial"/>
          <w:spacing w:val="-6"/>
        </w:rPr>
        <w:t xml:space="preserve"> </w:t>
      </w:r>
      <w:r w:rsidRPr="00B450EB">
        <w:rPr>
          <w:rFonts w:cs="Arial"/>
        </w:rPr>
        <w:t>Estado,</w:t>
      </w:r>
      <w:r w:rsidRPr="00B450EB">
        <w:rPr>
          <w:rFonts w:cs="Arial"/>
          <w:spacing w:val="-6"/>
        </w:rPr>
        <w:t xml:space="preserve"> </w:t>
      </w:r>
      <w:r w:rsidRPr="00B450EB">
        <w:rPr>
          <w:rFonts w:cs="Arial"/>
        </w:rPr>
        <w:t>en</w:t>
      </w:r>
      <w:r w:rsidRPr="00B450EB">
        <w:rPr>
          <w:rFonts w:cs="Arial"/>
          <w:spacing w:val="-6"/>
        </w:rPr>
        <w:t xml:space="preserve"> </w:t>
      </w:r>
      <w:r w:rsidRPr="00B450EB">
        <w:rPr>
          <w:rFonts w:cs="Arial"/>
        </w:rPr>
        <w:t>materia ecológica, "</w:t>
      </w:r>
      <w:r w:rsidRPr="00B450EB">
        <w:rPr>
          <w:rFonts w:cs="Arial"/>
          <w:i/>
        </w:rPr>
        <w:t>unos deberes calificados de protección</w:t>
      </w:r>
      <w:r w:rsidRPr="00B450EB">
        <w:rPr>
          <w:rFonts w:cs="Arial"/>
        </w:rPr>
        <w:t>". Igualmente, y conforme a lo señalado por los actores, la Corte también ha precisado que la Carta constitucionaliza uno de los conceptos más importantes del pensamiento ecológico moderno, a saber, la idea según la cual el desarrollo debe ser sostenible.</w:t>
      </w:r>
      <w:r w:rsidRPr="00B450EB">
        <w:rPr>
          <w:rFonts w:cs="Arial"/>
          <w:spacing w:val="-14"/>
        </w:rPr>
        <w:t xml:space="preserve"> </w:t>
      </w:r>
      <w:r w:rsidRPr="00B450EB">
        <w:rPr>
          <w:rFonts w:cs="Arial"/>
        </w:rPr>
        <w:t>“</w:t>
      </w:r>
      <w:r w:rsidRPr="00B450EB">
        <w:rPr>
          <w:rFonts w:cs="Arial"/>
          <w:i/>
        </w:rPr>
        <w:t>(...)19-</w:t>
      </w:r>
      <w:r w:rsidRPr="00B450EB">
        <w:rPr>
          <w:rFonts w:cs="Arial"/>
          <w:i/>
          <w:spacing w:val="-11"/>
        </w:rPr>
        <w:t xml:space="preserve"> </w:t>
      </w:r>
      <w:r w:rsidRPr="00B450EB">
        <w:rPr>
          <w:rFonts w:cs="Arial"/>
          <w:i/>
        </w:rPr>
        <w:t>La</w:t>
      </w:r>
      <w:r w:rsidRPr="00B450EB">
        <w:rPr>
          <w:rFonts w:cs="Arial"/>
          <w:i/>
          <w:spacing w:val="-14"/>
        </w:rPr>
        <w:t xml:space="preserve"> </w:t>
      </w:r>
      <w:r w:rsidRPr="00B450EB">
        <w:rPr>
          <w:rFonts w:cs="Arial"/>
          <w:i/>
        </w:rPr>
        <w:t>dimensión</w:t>
      </w:r>
      <w:r w:rsidRPr="00B450EB">
        <w:rPr>
          <w:rFonts w:cs="Arial"/>
          <w:i/>
          <w:spacing w:val="-13"/>
        </w:rPr>
        <w:t xml:space="preserve"> </w:t>
      </w:r>
      <w:r w:rsidRPr="00B450EB">
        <w:rPr>
          <w:rFonts w:cs="Arial"/>
          <w:i/>
        </w:rPr>
        <w:t>ecológica</w:t>
      </w:r>
      <w:r w:rsidRPr="00B450EB">
        <w:rPr>
          <w:rFonts w:cs="Arial"/>
          <w:i/>
          <w:spacing w:val="-16"/>
        </w:rPr>
        <w:t xml:space="preserve"> </w:t>
      </w:r>
      <w:r w:rsidRPr="00B450EB">
        <w:rPr>
          <w:rFonts w:cs="Arial"/>
          <w:i/>
        </w:rPr>
        <w:t>de</w:t>
      </w:r>
      <w:r w:rsidRPr="00B450EB">
        <w:rPr>
          <w:rFonts w:cs="Arial"/>
          <w:i/>
          <w:spacing w:val="-12"/>
        </w:rPr>
        <w:t xml:space="preserve"> </w:t>
      </w:r>
      <w:r w:rsidRPr="00B450EB">
        <w:rPr>
          <w:rFonts w:cs="Arial"/>
          <w:i/>
        </w:rPr>
        <w:t>la</w:t>
      </w:r>
      <w:r w:rsidRPr="00B450EB">
        <w:rPr>
          <w:rFonts w:cs="Arial"/>
          <w:i/>
          <w:spacing w:val="-14"/>
        </w:rPr>
        <w:t xml:space="preserve"> </w:t>
      </w:r>
      <w:r w:rsidRPr="00B450EB">
        <w:rPr>
          <w:rFonts w:cs="Arial"/>
          <w:i/>
        </w:rPr>
        <w:t>Carta</w:t>
      </w:r>
      <w:r w:rsidRPr="00B450EB">
        <w:rPr>
          <w:rFonts w:cs="Arial"/>
          <w:i/>
          <w:spacing w:val="-14"/>
        </w:rPr>
        <w:t xml:space="preserve"> </w:t>
      </w:r>
      <w:r w:rsidRPr="00B450EB">
        <w:rPr>
          <w:rFonts w:cs="Arial"/>
          <w:i/>
        </w:rPr>
        <w:t>y</w:t>
      </w:r>
      <w:r w:rsidRPr="00B450EB">
        <w:rPr>
          <w:rFonts w:cs="Arial"/>
          <w:i/>
          <w:spacing w:val="-14"/>
        </w:rPr>
        <w:t xml:space="preserve"> </w:t>
      </w:r>
      <w:r w:rsidRPr="00B450EB">
        <w:rPr>
          <w:rFonts w:cs="Arial"/>
          <w:i/>
        </w:rPr>
        <w:t>la</w:t>
      </w:r>
      <w:r w:rsidRPr="00B450EB">
        <w:rPr>
          <w:rFonts w:cs="Arial"/>
          <w:i/>
          <w:spacing w:val="-12"/>
        </w:rPr>
        <w:t xml:space="preserve"> </w:t>
      </w:r>
      <w:r w:rsidRPr="00B450EB">
        <w:rPr>
          <w:rFonts w:cs="Arial"/>
          <w:i/>
        </w:rPr>
        <w:t>constitucionalización del</w:t>
      </w:r>
      <w:r w:rsidRPr="00B450EB">
        <w:rPr>
          <w:rFonts w:cs="Arial"/>
          <w:i/>
          <w:spacing w:val="-11"/>
        </w:rPr>
        <w:t xml:space="preserve"> </w:t>
      </w:r>
      <w:r w:rsidRPr="00B450EB">
        <w:rPr>
          <w:rFonts w:cs="Arial"/>
          <w:i/>
        </w:rPr>
        <w:t>concepto</w:t>
      </w:r>
      <w:r w:rsidRPr="00B450EB">
        <w:rPr>
          <w:rFonts w:cs="Arial"/>
          <w:i/>
          <w:spacing w:val="-11"/>
        </w:rPr>
        <w:t xml:space="preserve"> </w:t>
      </w:r>
      <w:r w:rsidRPr="00B450EB">
        <w:rPr>
          <w:rFonts w:cs="Arial"/>
          <w:i/>
        </w:rPr>
        <w:t>de</w:t>
      </w:r>
      <w:r w:rsidRPr="00B450EB">
        <w:rPr>
          <w:rFonts w:cs="Arial"/>
          <w:i/>
          <w:spacing w:val="-11"/>
        </w:rPr>
        <w:t xml:space="preserve"> </w:t>
      </w:r>
      <w:r w:rsidRPr="00B450EB">
        <w:rPr>
          <w:rFonts w:cs="Arial"/>
          <w:i/>
        </w:rPr>
        <w:t>desarrollo</w:t>
      </w:r>
      <w:r w:rsidRPr="00B450EB">
        <w:rPr>
          <w:rFonts w:cs="Arial"/>
          <w:i/>
          <w:spacing w:val="-11"/>
        </w:rPr>
        <w:t xml:space="preserve"> </w:t>
      </w:r>
      <w:r w:rsidRPr="00B450EB">
        <w:rPr>
          <w:rFonts w:cs="Arial"/>
          <w:i/>
        </w:rPr>
        <w:t>sostenible</w:t>
      </w:r>
      <w:r w:rsidRPr="00B450EB">
        <w:rPr>
          <w:rFonts w:cs="Arial"/>
          <w:i/>
          <w:spacing w:val="-11"/>
        </w:rPr>
        <w:t xml:space="preserve"> </w:t>
      </w:r>
      <w:r w:rsidRPr="00B450EB">
        <w:rPr>
          <w:rFonts w:cs="Arial"/>
          <w:i/>
        </w:rPr>
        <w:t>no</w:t>
      </w:r>
      <w:r w:rsidRPr="00B450EB">
        <w:rPr>
          <w:rFonts w:cs="Arial"/>
          <w:i/>
          <w:spacing w:val="-11"/>
        </w:rPr>
        <w:t xml:space="preserve"> </w:t>
      </w:r>
      <w:r w:rsidRPr="00B450EB">
        <w:rPr>
          <w:rFonts w:cs="Arial"/>
          <w:i/>
        </w:rPr>
        <w:t>son</w:t>
      </w:r>
      <w:r w:rsidRPr="00B450EB">
        <w:rPr>
          <w:rFonts w:cs="Arial"/>
          <w:i/>
          <w:spacing w:val="-12"/>
        </w:rPr>
        <w:t xml:space="preserve"> </w:t>
      </w:r>
      <w:r w:rsidRPr="00B450EB">
        <w:rPr>
          <w:rFonts w:cs="Arial"/>
          <w:i/>
        </w:rPr>
        <w:t>una</w:t>
      </w:r>
      <w:r w:rsidRPr="00B450EB">
        <w:rPr>
          <w:rFonts w:cs="Arial"/>
          <w:i/>
          <w:spacing w:val="-12"/>
        </w:rPr>
        <w:t xml:space="preserve"> </w:t>
      </w:r>
      <w:r w:rsidRPr="00B450EB">
        <w:rPr>
          <w:rFonts w:cs="Arial"/>
          <w:i/>
        </w:rPr>
        <w:t>muletilla</w:t>
      </w:r>
      <w:r w:rsidRPr="00B450EB">
        <w:rPr>
          <w:rFonts w:cs="Arial"/>
          <w:i/>
          <w:spacing w:val="-12"/>
        </w:rPr>
        <w:t xml:space="preserve"> </w:t>
      </w:r>
      <w:r w:rsidRPr="00B450EB">
        <w:rPr>
          <w:rFonts w:cs="Arial"/>
          <w:i/>
        </w:rPr>
        <w:t>retórica</w:t>
      </w:r>
      <w:r w:rsidRPr="00B450EB">
        <w:rPr>
          <w:rFonts w:cs="Arial"/>
          <w:i/>
          <w:spacing w:val="-12"/>
        </w:rPr>
        <w:t xml:space="preserve"> </w:t>
      </w:r>
      <w:r w:rsidRPr="00B450EB">
        <w:rPr>
          <w:rFonts w:cs="Arial"/>
          <w:i/>
        </w:rPr>
        <w:t>ya</w:t>
      </w:r>
      <w:r w:rsidRPr="00B450EB">
        <w:rPr>
          <w:rFonts w:cs="Arial"/>
          <w:i/>
          <w:spacing w:val="-12"/>
        </w:rPr>
        <w:t xml:space="preserve"> </w:t>
      </w:r>
      <w:r w:rsidRPr="00B450EB">
        <w:rPr>
          <w:rFonts w:cs="Arial"/>
          <w:i/>
        </w:rPr>
        <w:t>que</w:t>
      </w:r>
      <w:r w:rsidRPr="00B450EB">
        <w:rPr>
          <w:rFonts w:cs="Arial"/>
          <w:i/>
          <w:spacing w:val="-11"/>
        </w:rPr>
        <w:t xml:space="preserve"> </w:t>
      </w:r>
      <w:r w:rsidRPr="00B450EB">
        <w:rPr>
          <w:rFonts w:cs="Arial"/>
          <w:i/>
        </w:rPr>
        <w:t>tienen consecuencias</w:t>
      </w:r>
      <w:r w:rsidRPr="00B450EB">
        <w:rPr>
          <w:rFonts w:cs="Arial"/>
          <w:i/>
          <w:spacing w:val="-6"/>
        </w:rPr>
        <w:t xml:space="preserve"> </w:t>
      </w:r>
      <w:r w:rsidRPr="00B450EB">
        <w:rPr>
          <w:rFonts w:cs="Arial"/>
          <w:i/>
        </w:rPr>
        <w:t>jurídicas</w:t>
      </w:r>
      <w:r w:rsidRPr="00B450EB">
        <w:rPr>
          <w:rFonts w:cs="Arial"/>
          <w:i/>
          <w:spacing w:val="-4"/>
        </w:rPr>
        <w:t xml:space="preserve"> </w:t>
      </w:r>
      <w:r w:rsidRPr="00B450EB">
        <w:rPr>
          <w:rFonts w:cs="Arial"/>
          <w:i/>
        </w:rPr>
        <w:t>de</w:t>
      </w:r>
      <w:r w:rsidRPr="00B450EB">
        <w:rPr>
          <w:rFonts w:cs="Arial"/>
          <w:i/>
          <w:spacing w:val="-3"/>
        </w:rPr>
        <w:t xml:space="preserve"> </w:t>
      </w:r>
      <w:r w:rsidRPr="00B450EB">
        <w:rPr>
          <w:rFonts w:cs="Arial"/>
          <w:i/>
        </w:rPr>
        <w:t>talla,</w:t>
      </w:r>
      <w:r w:rsidRPr="00B450EB">
        <w:rPr>
          <w:rFonts w:cs="Arial"/>
          <w:i/>
          <w:spacing w:val="-5"/>
        </w:rPr>
        <w:t xml:space="preserve"> </w:t>
      </w:r>
      <w:r w:rsidRPr="00B450EB">
        <w:rPr>
          <w:rFonts w:cs="Arial"/>
          <w:i/>
        </w:rPr>
        <w:t>pues</w:t>
      </w:r>
      <w:r w:rsidRPr="00B450EB">
        <w:rPr>
          <w:rFonts w:cs="Arial"/>
          <w:i/>
          <w:spacing w:val="-4"/>
        </w:rPr>
        <w:t xml:space="preserve"> </w:t>
      </w:r>
      <w:r w:rsidRPr="00B450EB">
        <w:rPr>
          <w:rFonts w:cs="Arial"/>
          <w:i/>
        </w:rPr>
        <w:t>implican</w:t>
      </w:r>
      <w:r w:rsidRPr="00B450EB">
        <w:rPr>
          <w:rFonts w:cs="Arial"/>
          <w:i/>
          <w:spacing w:val="-5"/>
        </w:rPr>
        <w:t xml:space="preserve"> </w:t>
      </w:r>
      <w:r w:rsidRPr="00B450EB">
        <w:rPr>
          <w:rFonts w:cs="Arial"/>
          <w:i/>
        </w:rPr>
        <w:t>que</w:t>
      </w:r>
      <w:r w:rsidRPr="00B450EB">
        <w:rPr>
          <w:rFonts w:cs="Arial"/>
          <w:i/>
          <w:spacing w:val="-4"/>
        </w:rPr>
        <w:t xml:space="preserve"> </w:t>
      </w:r>
      <w:r w:rsidRPr="00B450EB">
        <w:rPr>
          <w:rFonts w:cs="Arial"/>
          <w:i/>
        </w:rPr>
        <w:t>ciertos</w:t>
      </w:r>
      <w:r w:rsidRPr="00B450EB">
        <w:rPr>
          <w:rFonts w:cs="Arial"/>
          <w:i/>
          <w:spacing w:val="-4"/>
        </w:rPr>
        <w:t xml:space="preserve"> </w:t>
      </w:r>
      <w:r w:rsidRPr="00B450EB">
        <w:rPr>
          <w:rFonts w:cs="Arial"/>
          <w:i/>
        </w:rPr>
        <w:t>conceptos</w:t>
      </w:r>
      <w:r w:rsidRPr="00B450EB">
        <w:rPr>
          <w:rFonts w:cs="Arial"/>
          <w:i/>
          <w:spacing w:val="-4"/>
        </w:rPr>
        <w:t xml:space="preserve"> </w:t>
      </w:r>
      <w:r w:rsidRPr="00B450EB">
        <w:rPr>
          <w:rFonts w:cs="Arial"/>
          <w:i/>
        </w:rPr>
        <w:t>jurídicos</w:t>
      </w:r>
      <w:r w:rsidRPr="00B450EB">
        <w:rPr>
          <w:rFonts w:cs="Arial"/>
          <w:i/>
          <w:spacing w:val="-6"/>
        </w:rPr>
        <w:t xml:space="preserve"> </w:t>
      </w:r>
      <w:r w:rsidRPr="00B450EB">
        <w:rPr>
          <w:rFonts w:cs="Arial"/>
          <w:i/>
        </w:rPr>
        <w:t>y procesos sociales, que anteriormente se consideraban aceptables, pierden su legitimidad al desconocer los mandatos ecológicos superiores. (…)</w:t>
      </w:r>
      <w:r w:rsidRPr="00B450EB">
        <w:rPr>
          <w:rFonts w:cs="Arial"/>
        </w:rPr>
        <w:t xml:space="preserve">”. En este </w:t>
      </w:r>
      <w:r w:rsidRPr="00B450EB">
        <w:rPr>
          <w:rFonts w:cs="Arial"/>
        </w:rPr>
        <w:lastRenderedPageBreak/>
        <w:t>marco</w:t>
      </w:r>
      <w:r w:rsidRPr="00B450EB">
        <w:rPr>
          <w:rFonts w:cs="Arial"/>
          <w:spacing w:val="-1"/>
        </w:rPr>
        <w:t xml:space="preserve"> </w:t>
      </w:r>
      <w:r w:rsidRPr="00B450EB">
        <w:rPr>
          <w:rFonts w:cs="Arial"/>
        </w:rPr>
        <w:t>de</w:t>
      </w:r>
      <w:r w:rsidRPr="00B450EB">
        <w:rPr>
          <w:rFonts w:cs="Arial"/>
          <w:spacing w:val="-1"/>
        </w:rPr>
        <w:t xml:space="preserve"> </w:t>
      </w:r>
      <w:r w:rsidRPr="00B450EB">
        <w:rPr>
          <w:rFonts w:cs="Arial"/>
        </w:rPr>
        <w:t>análisis,</w:t>
      </w:r>
      <w:r w:rsidRPr="00B450EB">
        <w:rPr>
          <w:rFonts w:cs="Arial"/>
          <w:spacing w:val="-3"/>
        </w:rPr>
        <w:t xml:space="preserve"> </w:t>
      </w:r>
      <w:r w:rsidRPr="00B450EB">
        <w:rPr>
          <w:rFonts w:cs="Arial"/>
        </w:rPr>
        <w:t>la Corte</w:t>
      </w:r>
      <w:r w:rsidRPr="00B450EB">
        <w:rPr>
          <w:rFonts w:cs="Arial"/>
          <w:spacing w:val="-2"/>
        </w:rPr>
        <w:t xml:space="preserve"> </w:t>
      </w:r>
      <w:r w:rsidRPr="00B450EB">
        <w:rPr>
          <w:rFonts w:cs="Arial"/>
        </w:rPr>
        <w:t>concluye</w:t>
      </w:r>
      <w:r w:rsidRPr="00B450EB">
        <w:rPr>
          <w:rFonts w:cs="Arial"/>
          <w:spacing w:val="-1"/>
        </w:rPr>
        <w:t xml:space="preserve"> </w:t>
      </w:r>
      <w:r w:rsidRPr="00B450EB">
        <w:rPr>
          <w:rFonts w:cs="Arial"/>
        </w:rPr>
        <w:t>que</w:t>
      </w:r>
      <w:r w:rsidRPr="00B450EB">
        <w:rPr>
          <w:rFonts w:cs="Arial"/>
          <w:spacing w:val="-2"/>
        </w:rPr>
        <w:t xml:space="preserve"> </w:t>
      </w:r>
      <w:r w:rsidRPr="00B450EB">
        <w:rPr>
          <w:rFonts w:cs="Arial"/>
        </w:rPr>
        <w:t>los</w:t>
      </w:r>
      <w:r w:rsidRPr="00B450EB">
        <w:rPr>
          <w:rFonts w:cs="Arial"/>
          <w:spacing w:val="-2"/>
        </w:rPr>
        <w:t xml:space="preserve"> </w:t>
      </w:r>
      <w:r w:rsidRPr="00B450EB">
        <w:rPr>
          <w:rFonts w:cs="Arial"/>
        </w:rPr>
        <w:t>principios</w:t>
      </w:r>
      <w:r w:rsidRPr="00B450EB">
        <w:rPr>
          <w:rFonts w:cs="Arial"/>
          <w:spacing w:val="-1"/>
        </w:rPr>
        <w:t xml:space="preserve"> </w:t>
      </w:r>
      <w:r w:rsidRPr="00B450EB">
        <w:rPr>
          <w:rFonts w:cs="Arial"/>
        </w:rPr>
        <w:t>que</w:t>
      </w:r>
      <w:r w:rsidRPr="00B450EB">
        <w:rPr>
          <w:rFonts w:cs="Arial"/>
          <w:spacing w:val="-2"/>
        </w:rPr>
        <w:t xml:space="preserve"> </w:t>
      </w:r>
      <w:r w:rsidRPr="00B450EB">
        <w:rPr>
          <w:rFonts w:cs="Arial"/>
        </w:rPr>
        <w:t>orientan</w:t>
      </w:r>
      <w:r w:rsidRPr="00B450EB">
        <w:rPr>
          <w:rFonts w:cs="Arial"/>
          <w:spacing w:val="-2"/>
        </w:rPr>
        <w:t xml:space="preserve"> </w:t>
      </w:r>
      <w:r w:rsidRPr="00B450EB">
        <w:rPr>
          <w:rFonts w:cs="Arial"/>
        </w:rPr>
        <w:t>el</w:t>
      </w:r>
      <w:r w:rsidRPr="00B450EB">
        <w:rPr>
          <w:rFonts w:cs="Arial"/>
          <w:spacing w:val="-2"/>
        </w:rPr>
        <w:t xml:space="preserve"> </w:t>
      </w:r>
      <w:r w:rsidRPr="00B450EB">
        <w:rPr>
          <w:rFonts w:cs="Arial"/>
        </w:rPr>
        <w:t>Decreto– Ley 2811 de 1974 son perfectamente compatibles con los mandatos ecológicos contenidos en la Constitución Política de Colombia.</w:t>
      </w:r>
    </w:p>
    <w:p w14:paraId="38300C67" w14:textId="77777777" w:rsidR="009813B2" w:rsidRPr="00B450EB" w:rsidRDefault="009813B2" w:rsidP="009813B2">
      <w:pPr>
        <w:spacing w:line="276" w:lineRule="auto"/>
        <w:ind w:left="262" w:right="251"/>
        <w:rPr>
          <w:rFonts w:eastAsia="Arial" w:cs="Arial"/>
        </w:rPr>
      </w:pPr>
      <w:r w:rsidRPr="00B450EB">
        <w:rPr>
          <w:rFonts w:eastAsia="Arial" w:cs="Arial"/>
        </w:rPr>
        <w:t>Ahora bien, adicional a lo anteriormente mencionado, las altas cortes del país se han pronunciado a través de distintas providencias judiciales sobre la importancia ambiental del bioma Amazónico y en ellas han emitido diversas órdenes para su protección, de las cuales destacan:</w:t>
      </w:r>
    </w:p>
    <w:p w14:paraId="26589C1E" w14:textId="77777777" w:rsidR="009813B2" w:rsidRPr="00B450EB" w:rsidRDefault="009813B2" w:rsidP="001C1081">
      <w:pPr>
        <w:pStyle w:val="Prrafodelista"/>
        <w:numPr>
          <w:ilvl w:val="0"/>
          <w:numId w:val="12"/>
        </w:numPr>
        <w:spacing w:after="0" w:line="276" w:lineRule="auto"/>
        <w:rPr>
          <w:rFonts w:eastAsia="Arial" w:cs="Arial"/>
          <w:b/>
          <w:bCs/>
        </w:rPr>
      </w:pPr>
      <w:r w:rsidRPr="00B450EB">
        <w:rPr>
          <w:rFonts w:eastAsia="Arial" w:cs="Arial"/>
          <w:b/>
          <w:bCs/>
        </w:rPr>
        <w:t>Sentencia de Tutela proferida por la Sala de Casación Civil de la Corte Suprema de Justicia – STC 4360 de 2018 “Amazonía sujeto de derechos”:</w:t>
      </w:r>
    </w:p>
    <w:p w14:paraId="3069F66D" w14:textId="77777777" w:rsidR="009813B2" w:rsidRPr="00B450EB" w:rsidRDefault="009813B2" w:rsidP="009813B2">
      <w:pPr>
        <w:pStyle w:val="Prrafodelista"/>
        <w:spacing w:after="0" w:line="276" w:lineRule="auto"/>
        <w:ind w:left="1080" w:hanging="720"/>
        <w:rPr>
          <w:rFonts w:eastAsia="Arial" w:cs="Arial"/>
          <w:b/>
          <w:bCs/>
        </w:rPr>
      </w:pPr>
    </w:p>
    <w:p w14:paraId="6C1F9108" w14:textId="238E3353" w:rsidR="009813B2" w:rsidRPr="00B450EB" w:rsidRDefault="009813B2" w:rsidP="00DC3437">
      <w:pPr>
        <w:spacing w:line="276" w:lineRule="auto"/>
        <w:ind w:right="251"/>
        <w:rPr>
          <w:rFonts w:eastAsia="Arial" w:cs="Arial"/>
        </w:rPr>
      </w:pPr>
      <w:r w:rsidRPr="00B450EB">
        <w:rPr>
          <w:rFonts w:eastAsia="Arial" w:cs="Arial"/>
        </w:rPr>
        <w:t>La mencionada Sala de Casación conoció de una Acción de Tutela presentada por un grupo de 25 niños y jóvenes, entre 7 y 25 años de edad, habitantes de ciudades catalogadas como áreas de alto riesgo por cambio climático, de lo cual, derivaron la vulneración de sus derechos fundamentales a la vida, a la salud y a gozar de un medio ambiente sano por la falta de implementación de medidas adecuadas para abordar la significativa deforestación de la Amazonía, señalando como causas principales de dicho fenómeno, el «“(...) acaparamiento de tierras (60-65%), los cultivos de uso ilícito (20-22%), la extracción ilícita de yacimientos minerales (7-8%), la infraestructura, los cultivos agroindustriales y la extracción ilegal de madera (...)”». Como consecuencia, indicaron que el daño a la Amazonía ha ido en aumento, lo que ha afectado sus lugares de residencia, sus condiciones de vida, y a su vez, advirtieron, sobre los graves efectos del cambio climático que podrían enfrentar las generaciones futuras en los períodos comprendidos entre 2041-2070 y 2071-2100</w:t>
      </w:r>
      <w:r w:rsidR="0039397F" w:rsidRPr="00B450EB">
        <w:rPr>
          <w:rStyle w:val="Refdenotaalpie"/>
          <w:rFonts w:eastAsia="Arial" w:cs="Arial"/>
        </w:rPr>
        <w:footnoteReference w:id="2"/>
      </w:r>
      <w:r w:rsidRPr="00B450EB">
        <w:rPr>
          <w:rFonts w:eastAsia="Arial" w:cs="Arial"/>
        </w:rPr>
        <w:t>.</w:t>
      </w:r>
    </w:p>
    <w:p w14:paraId="120BCD28" w14:textId="77777777" w:rsidR="009813B2" w:rsidRPr="00B450EB" w:rsidRDefault="009813B2" w:rsidP="009813B2">
      <w:pPr>
        <w:spacing w:line="276" w:lineRule="auto"/>
        <w:ind w:left="262" w:right="251"/>
        <w:rPr>
          <w:rFonts w:eastAsia="Arial" w:cs="Arial"/>
        </w:rPr>
      </w:pPr>
      <w:r w:rsidRPr="00B450EB">
        <w:rPr>
          <w:rFonts w:eastAsia="Arial" w:cs="Arial"/>
        </w:rPr>
        <w:t xml:space="preserve">En atención a lo anterior, la Sala de Casación Civil planteó varios problemas jurídicos: </w:t>
      </w:r>
    </w:p>
    <w:p w14:paraId="69CA24B6" w14:textId="3C6D85A6" w:rsidR="009813B2" w:rsidRPr="00B450EB" w:rsidRDefault="009813B2" w:rsidP="001C1081">
      <w:pPr>
        <w:pStyle w:val="Prrafodelista"/>
        <w:numPr>
          <w:ilvl w:val="0"/>
          <w:numId w:val="13"/>
        </w:numPr>
        <w:spacing w:after="0" w:line="276" w:lineRule="auto"/>
        <w:rPr>
          <w:rFonts w:eastAsia="Arial" w:cs="Arial"/>
        </w:rPr>
      </w:pPr>
      <w:r w:rsidRPr="00B450EB">
        <w:rPr>
          <w:rFonts w:eastAsia="Arial" w:cs="Arial"/>
        </w:rPr>
        <w:t xml:space="preserve">Debía determinarse si existe un nexo causal entre el cambio climático generado por la deforestación progresiva, causada por la expansión de la frontera agrícola, los </w:t>
      </w:r>
      <w:proofErr w:type="spellStart"/>
      <w:r w:rsidRPr="00B450EB">
        <w:rPr>
          <w:rFonts w:eastAsia="Arial" w:cs="Arial"/>
        </w:rPr>
        <w:t>narcocultivos</w:t>
      </w:r>
      <w:proofErr w:type="spellEnd"/>
      <w:r w:rsidRPr="00B450EB">
        <w:rPr>
          <w:rFonts w:eastAsia="Arial" w:cs="Arial"/>
        </w:rPr>
        <w:t>, la minería y la tala ilícitas, con los supuestos efectos negativos en la salud de las personas residentes en el territorio colombiano;</w:t>
      </w:r>
    </w:p>
    <w:p w14:paraId="0AEF4844" w14:textId="7B453749" w:rsidR="009813B2" w:rsidRPr="00B450EB" w:rsidRDefault="009813B2" w:rsidP="001C1081">
      <w:pPr>
        <w:pStyle w:val="Prrafodelista"/>
        <w:numPr>
          <w:ilvl w:val="0"/>
          <w:numId w:val="13"/>
        </w:numPr>
        <w:spacing w:after="0" w:line="276" w:lineRule="auto"/>
        <w:rPr>
          <w:rFonts w:eastAsia="Arial" w:cs="Arial"/>
        </w:rPr>
      </w:pPr>
      <w:r w:rsidRPr="00B450EB">
        <w:rPr>
          <w:rFonts w:eastAsia="Arial" w:cs="Arial"/>
        </w:rPr>
        <w:t xml:space="preserve">Resultaba necesario establecer si la degradación incontrolada de los bosques selváticos menoscaba directamente los derechos a la vida digna, al agua y a la alimentación de los accionantes; </w:t>
      </w:r>
    </w:p>
    <w:p w14:paraId="18B40CA2" w14:textId="77777777" w:rsidR="009813B2" w:rsidRPr="00B450EB" w:rsidRDefault="009813B2" w:rsidP="001C1081">
      <w:pPr>
        <w:pStyle w:val="Prrafodelista"/>
        <w:numPr>
          <w:ilvl w:val="0"/>
          <w:numId w:val="13"/>
        </w:numPr>
        <w:spacing w:after="0" w:line="276" w:lineRule="auto"/>
        <w:rPr>
          <w:rFonts w:eastAsia="Arial" w:cs="Arial"/>
        </w:rPr>
      </w:pPr>
      <w:r w:rsidRPr="00B450EB">
        <w:rPr>
          <w:rFonts w:eastAsia="Arial" w:cs="Arial"/>
        </w:rPr>
        <w:lastRenderedPageBreak/>
        <w:t xml:space="preserve">Identificar si la deforestación el territorio amazónico colombiano, comprendido, específicamente, en los municipios de San Vicente del Caguán, Cartagena del </w:t>
      </w:r>
      <w:proofErr w:type="spellStart"/>
      <w:r w:rsidRPr="00B450EB">
        <w:rPr>
          <w:rFonts w:eastAsia="Arial" w:cs="Arial"/>
        </w:rPr>
        <w:t>Chairá</w:t>
      </w:r>
      <w:proofErr w:type="spellEnd"/>
      <w:r w:rsidRPr="00B450EB">
        <w:rPr>
          <w:rFonts w:eastAsia="Arial" w:cs="Arial"/>
        </w:rPr>
        <w:t xml:space="preserve">, San José del Guaviare, Calamar, La Macarena, Puerto </w:t>
      </w:r>
      <w:proofErr w:type="spellStart"/>
      <w:r w:rsidRPr="00B450EB">
        <w:rPr>
          <w:rFonts w:eastAsia="Arial" w:cs="Arial"/>
        </w:rPr>
        <w:t>Leguízamo</w:t>
      </w:r>
      <w:proofErr w:type="spellEnd"/>
      <w:r w:rsidRPr="00B450EB">
        <w:rPr>
          <w:rFonts w:eastAsia="Arial" w:cs="Arial"/>
        </w:rPr>
        <w:t>, Solano, Uribe, El Retorno, Puerto Guzmán, Puerto Rico, Miraflores, Florencia y Vistahermosa, en efecto vulnera las prerrogativas a la vida, a la salud y al medio ambiente sano de los accionantes.</w:t>
      </w:r>
    </w:p>
    <w:p w14:paraId="4E55519B" w14:textId="77777777" w:rsidR="009813B2" w:rsidRPr="00B450EB" w:rsidRDefault="009813B2" w:rsidP="009813B2">
      <w:pPr>
        <w:spacing w:line="276" w:lineRule="auto"/>
        <w:ind w:left="262" w:right="251"/>
        <w:rPr>
          <w:rFonts w:eastAsia="Arial" w:cs="Arial"/>
        </w:rPr>
      </w:pPr>
    </w:p>
    <w:p w14:paraId="3A288E56" w14:textId="4AF483E2" w:rsidR="009813B2" w:rsidRPr="00B450EB" w:rsidRDefault="009813B2" w:rsidP="00DC3437">
      <w:pPr>
        <w:spacing w:line="276" w:lineRule="auto"/>
        <w:ind w:left="284" w:right="251"/>
        <w:rPr>
          <w:rFonts w:eastAsia="Arial" w:cs="Arial"/>
          <w:i/>
          <w:iCs/>
        </w:rPr>
      </w:pPr>
      <w:r w:rsidRPr="00B450EB">
        <w:rPr>
          <w:rFonts w:eastAsia="Arial" w:cs="Arial"/>
        </w:rPr>
        <w:t>Determinando que, factores como el acaparamiento de tierras, cultivos de uso ilícito, obras de infraestructura, cultivos agroindustriales, extracción ilegal de madera y, por supuesto, la extracción ilegal de minerales han desencadenado la deforestación de la selva Amazónica</w:t>
      </w:r>
      <w:r w:rsidRPr="00B450EB">
        <w:rPr>
          <w:rFonts w:eastAsia="Arial" w:cs="Arial"/>
          <w:i/>
          <w:iCs/>
        </w:rPr>
        <w:t>, “generando un perjuicio inminente y grave a corto, mediano y largo plazo para los niños, adolescentes, adultos y todos los habitantes del país, así como para las generaciones presentes y futuras, como quiera que ésta, genera la emisión de dióxido de carbono (CO2) en la atmósfera, lo que provoca el efecto invernadero (GEI), altera los ecosistemas, afecta el suministro de agua en las áreas pobladas, degrada el suelo y amenaza la flora y fauna nativas de la Amazonía.</w:t>
      </w:r>
      <w:r w:rsidR="00F70A3B" w:rsidRPr="00B450EB">
        <w:rPr>
          <w:rStyle w:val="Refdenotaalpie"/>
          <w:rFonts w:eastAsia="Arial" w:cs="Arial"/>
          <w:i/>
          <w:iCs/>
        </w:rPr>
        <w:footnoteReference w:id="3"/>
      </w:r>
      <w:r w:rsidRPr="00B450EB">
        <w:rPr>
          <w:rFonts w:eastAsia="Arial" w:cs="Arial"/>
          <w:i/>
          <w:iCs/>
        </w:rPr>
        <w:t>”</w:t>
      </w:r>
    </w:p>
    <w:p w14:paraId="40E949B7" w14:textId="77777777" w:rsidR="009813B2" w:rsidRPr="00B450EB" w:rsidRDefault="009813B2" w:rsidP="009813B2">
      <w:pPr>
        <w:spacing w:line="276" w:lineRule="auto"/>
        <w:ind w:left="262" w:right="251"/>
        <w:rPr>
          <w:rFonts w:eastAsia="Arial" w:cs="Arial"/>
          <w:i/>
          <w:iCs/>
        </w:rPr>
      </w:pPr>
      <w:r w:rsidRPr="00B450EB">
        <w:rPr>
          <w:rFonts w:eastAsia="Arial" w:cs="Arial"/>
        </w:rPr>
        <w:t xml:space="preserve">Luego, al haber constatado la afectación de los principios jurídicos ambientales de precaución, equidad intergeneracional y solidaridad, señaló </w:t>
      </w:r>
      <w:r w:rsidRPr="00B450EB">
        <w:rPr>
          <w:rFonts w:eastAsia="Arial" w:cs="Arial"/>
          <w:i/>
          <w:iCs/>
        </w:rPr>
        <w:t>“el deterioro flagrante de las garantías fundamentales como el acceso al agua, la calidad del aire, una vida digna y la salud, entre otras, en conexidad con el entorno ambiental de los tutelantes y las futuras generaciones, incluyendo los niños que interponen el resguardo, ya que serán directamente afectados por el incremento de la temperatura pronosticado para los años 2041 y 2071, producto de la progresiva reducción desmedida de la cobertura boscosa en la Amazonía.”</w:t>
      </w:r>
    </w:p>
    <w:p w14:paraId="50BDCE77" w14:textId="77777777" w:rsidR="009813B2" w:rsidRPr="00B450EB" w:rsidRDefault="009813B2" w:rsidP="009813B2">
      <w:pPr>
        <w:spacing w:line="276" w:lineRule="auto"/>
        <w:ind w:left="262" w:right="251"/>
        <w:rPr>
          <w:rFonts w:eastAsia="Arial" w:cs="Arial"/>
        </w:rPr>
      </w:pPr>
      <w:r w:rsidRPr="00B450EB">
        <w:rPr>
          <w:rFonts w:eastAsia="Arial" w:cs="Arial"/>
        </w:rPr>
        <w:t xml:space="preserve">En ese contexto, en aras de proteger ese ecosistema vital para el devenir global, tal como la Corte Constitucional declaró al río Atrato, la Corte Suprema de Justicia reconoció a la Amazonía Colombiana como entidad, «“sujeto de derechos”», titular de protección, conservación, mantenimiento y restauración a cargo del Estado y las entidades territoriales que la integran” y ordenó: </w:t>
      </w:r>
    </w:p>
    <w:p w14:paraId="3DB019AA" w14:textId="37EF75D8" w:rsidR="009813B2" w:rsidRPr="00B450EB" w:rsidRDefault="009813B2" w:rsidP="001C1081">
      <w:pPr>
        <w:pStyle w:val="Prrafodelista"/>
        <w:numPr>
          <w:ilvl w:val="0"/>
          <w:numId w:val="14"/>
        </w:numPr>
        <w:spacing w:after="0" w:line="276" w:lineRule="auto"/>
        <w:rPr>
          <w:rFonts w:eastAsia="Arial" w:cs="Arial"/>
        </w:rPr>
      </w:pPr>
      <w:r w:rsidRPr="00B450EB">
        <w:rPr>
          <w:rFonts w:eastAsia="Arial" w:cs="Arial"/>
        </w:rPr>
        <w:t>Formular Plan de Acción a corto, mediano y largo plazo que contrarreste la tasa de deforestación en la Amazonía y se haga frente a los efectos del cambio climático;</w:t>
      </w:r>
    </w:p>
    <w:p w14:paraId="6C1FD9B8" w14:textId="7888BE06" w:rsidR="000F4AC1" w:rsidRPr="00B450EB" w:rsidRDefault="009813B2" w:rsidP="001C1081">
      <w:pPr>
        <w:pStyle w:val="Prrafodelista"/>
        <w:numPr>
          <w:ilvl w:val="0"/>
          <w:numId w:val="14"/>
        </w:numPr>
        <w:spacing w:after="0" w:line="276" w:lineRule="auto"/>
        <w:ind w:left="622" w:right="251"/>
        <w:rPr>
          <w:rFonts w:eastAsia="Arial" w:cs="Arial"/>
        </w:rPr>
      </w:pPr>
      <w:r w:rsidRPr="00B450EB">
        <w:rPr>
          <w:rFonts w:eastAsia="Arial" w:cs="Arial"/>
        </w:rPr>
        <w:lastRenderedPageBreak/>
        <w:t>Construcción de un Pacto intergeneracional por la Vida del</w:t>
      </w:r>
      <w:r w:rsidR="000F4AC1" w:rsidRPr="00B450EB">
        <w:rPr>
          <w:rFonts w:eastAsia="Arial" w:cs="Arial"/>
        </w:rPr>
        <w:t xml:space="preserve"> </w:t>
      </w:r>
      <w:r w:rsidRPr="00B450EB">
        <w:rPr>
          <w:rFonts w:eastAsia="Arial" w:cs="Arial"/>
        </w:rPr>
        <w:t>Amazonas Colombiano – PIVAC, como un planteamiento de estrategias de ejecución de carácter preventivo, obligatorio, correctivo y pedagógico para reducir a cero la deforestación y las emisiones de gases efecto invernadero;</w:t>
      </w:r>
    </w:p>
    <w:p w14:paraId="559B0A85" w14:textId="77777777" w:rsidR="000F4AC1" w:rsidRPr="00B450EB" w:rsidRDefault="009813B2" w:rsidP="001C1081">
      <w:pPr>
        <w:pStyle w:val="Prrafodelista"/>
        <w:numPr>
          <w:ilvl w:val="0"/>
          <w:numId w:val="14"/>
        </w:numPr>
        <w:spacing w:after="0" w:line="276" w:lineRule="auto"/>
        <w:ind w:left="622" w:right="251"/>
        <w:rPr>
          <w:rFonts w:eastAsia="Arial" w:cs="Arial"/>
        </w:rPr>
      </w:pPr>
      <w:r w:rsidRPr="00B450EB">
        <w:rPr>
          <w:rFonts w:eastAsia="Arial" w:cs="Arial"/>
        </w:rPr>
        <w:t xml:space="preserve"> A</w:t>
      </w:r>
      <w:r w:rsidR="000F4AC1" w:rsidRPr="00B450EB">
        <w:rPr>
          <w:rFonts w:eastAsia="Arial" w:cs="Arial"/>
        </w:rPr>
        <w:t>c</w:t>
      </w:r>
      <w:r w:rsidRPr="00B450EB">
        <w:rPr>
          <w:rFonts w:eastAsia="Arial" w:cs="Arial"/>
        </w:rPr>
        <w:t>tualizar e implementar en los Planes de Ordenamiento Territorial un plan de acción de reducción a cero de la deforestación en su territorio, el cual abarcará estrategias medibles de tipo preventivo, obligatorio, correctivo, pedagógico, dirigidas a la adaptación del cambio climático;</w:t>
      </w:r>
    </w:p>
    <w:p w14:paraId="75B486A6" w14:textId="63E221DD" w:rsidR="009813B2" w:rsidRPr="00B450EB" w:rsidRDefault="009813B2" w:rsidP="001C1081">
      <w:pPr>
        <w:pStyle w:val="Prrafodelista"/>
        <w:numPr>
          <w:ilvl w:val="0"/>
          <w:numId w:val="14"/>
        </w:numPr>
        <w:spacing w:after="0" w:line="276" w:lineRule="auto"/>
        <w:ind w:right="251"/>
        <w:rPr>
          <w:rFonts w:eastAsia="Arial" w:cs="Arial"/>
        </w:rPr>
      </w:pPr>
      <w:r w:rsidRPr="00B450EB">
        <w:rPr>
          <w:rFonts w:eastAsia="Arial" w:cs="Arial"/>
        </w:rPr>
        <w:t xml:space="preserve">Realizar un plan de acción que contrarreste la deforestación mediante medidas </w:t>
      </w:r>
      <w:proofErr w:type="spellStart"/>
      <w:r w:rsidRPr="00B450EB">
        <w:rPr>
          <w:rFonts w:eastAsia="Arial" w:cs="Arial"/>
        </w:rPr>
        <w:t>polivicas</w:t>
      </w:r>
      <w:proofErr w:type="spellEnd"/>
      <w:r w:rsidRPr="00B450EB">
        <w:rPr>
          <w:rFonts w:eastAsia="Arial" w:cs="Arial"/>
        </w:rPr>
        <w:t xml:space="preserve">, judiciales o administrativas;  </w:t>
      </w:r>
    </w:p>
    <w:p w14:paraId="299E976D" w14:textId="77777777" w:rsidR="009813B2" w:rsidRPr="00B450EB" w:rsidRDefault="009813B2" w:rsidP="001C1081">
      <w:pPr>
        <w:pStyle w:val="Prrafodelista"/>
        <w:numPr>
          <w:ilvl w:val="0"/>
          <w:numId w:val="14"/>
        </w:numPr>
        <w:spacing w:after="0" w:line="276" w:lineRule="auto"/>
        <w:rPr>
          <w:rFonts w:eastAsia="Arial" w:cs="Arial"/>
        </w:rPr>
      </w:pPr>
      <w:r w:rsidRPr="00B450EB">
        <w:rPr>
          <w:rFonts w:eastAsia="Arial" w:cs="Arial"/>
        </w:rPr>
        <w:t xml:space="preserve">Incrementar las acciones tendientes a mitigar la deforestación mientras se llevan a cabo las modificaciones contenidas en el </w:t>
      </w:r>
      <w:proofErr w:type="spellStart"/>
      <w:r w:rsidRPr="00B450EB">
        <w:rPr>
          <w:rFonts w:eastAsia="Arial" w:cs="Arial"/>
        </w:rPr>
        <w:t>mantado</w:t>
      </w:r>
      <w:proofErr w:type="spellEnd"/>
      <w:r w:rsidRPr="00B450EB">
        <w:rPr>
          <w:rFonts w:eastAsia="Arial" w:cs="Arial"/>
        </w:rPr>
        <w:t xml:space="preserve"> antelado. </w:t>
      </w:r>
    </w:p>
    <w:p w14:paraId="4423F3A9" w14:textId="77777777" w:rsidR="009813B2" w:rsidRPr="00B450EB" w:rsidRDefault="009813B2" w:rsidP="009813B2">
      <w:pPr>
        <w:spacing w:line="276" w:lineRule="auto"/>
        <w:ind w:left="262" w:right="251"/>
        <w:rPr>
          <w:rFonts w:eastAsia="Arial" w:cs="Arial"/>
        </w:rPr>
      </w:pPr>
    </w:p>
    <w:p w14:paraId="324763AD" w14:textId="6C9BDDA8" w:rsidR="009813B2" w:rsidRPr="00B450EB" w:rsidRDefault="009813B2" w:rsidP="009813B2">
      <w:pPr>
        <w:spacing w:line="276" w:lineRule="auto"/>
        <w:ind w:left="262" w:right="251"/>
        <w:rPr>
          <w:rFonts w:eastAsia="Arial" w:cs="Arial"/>
        </w:rPr>
      </w:pPr>
      <w:r w:rsidRPr="00B450EB">
        <w:rPr>
          <w:rFonts w:eastAsia="Arial" w:cs="Arial"/>
        </w:rPr>
        <w:t>Lo anterior, tomando en consideración que, “</w:t>
      </w:r>
      <w:r w:rsidRPr="00B450EB">
        <w:rPr>
          <w:rFonts w:eastAsia="Arial" w:cs="Arial"/>
          <w:i/>
          <w:iCs/>
        </w:rPr>
        <w:t>La conservación de la Amazonía es una obligación nacional y global, se trata del principal eje ambiental existente en el planeta, por tal motivo se le ha catalogado como el “pulmón del mundo</w:t>
      </w:r>
      <w:r w:rsidRPr="00B450EB">
        <w:rPr>
          <w:rFonts w:eastAsia="Arial" w:cs="Arial"/>
        </w:rPr>
        <w:t>”, justificando la anterior aseveración en que esta contiene una alta biodiversidad, representada en 30 mil especies de plantas vasculares, que incluyen entre 5 mil u 10 mil especies de árboles, de los cuales 2 mil han sido clasificadas por su utilidad. Así mismo, en que cubre el 6% del planeta y el 40% de América Latina y el Caribe, con 38,7 millones de habitantes, y sus ríos aportan aproximadamente 20% del agua dulce del mundo</w:t>
      </w:r>
      <w:r w:rsidR="00F70A3B" w:rsidRPr="00B450EB">
        <w:rPr>
          <w:rStyle w:val="Refdenotaalpie"/>
          <w:rFonts w:eastAsia="Arial" w:cs="Arial"/>
        </w:rPr>
        <w:footnoteReference w:id="4"/>
      </w:r>
      <w:r w:rsidRPr="00B450EB">
        <w:rPr>
          <w:rFonts w:eastAsia="Arial" w:cs="Arial"/>
        </w:rPr>
        <w:t>.</w:t>
      </w:r>
    </w:p>
    <w:p w14:paraId="2569E49F" w14:textId="4D549A58" w:rsidR="009813B2" w:rsidRPr="00B450EB" w:rsidRDefault="40E769AE" w:rsidP="23A22F8F">
      <w:pPr>
        <w:ind w:left="262"/>
        <w:rPr>
          <w:rFonts w:eastAsia="Arial Nova" w:cs="Arial"/>
        </w:rPr>
      </w:pPr>
      <w:r w:rsidRPr="00B450EB">
        <w:rPr>
          <w:rFonts w:eastAsia="Arial Nova" w:cs="Arial"/>
        </w:rPr>
        <w:t>En atención a lo anterior y a fin de darle cumplimiento al mandato de la Magistratura, las entidades accionadas procedieron con la construcción de un Plan de Acción, que permitiese dar cumplimiento a lo ordenado en el corto, mediano y largo plazo, el cual contaba con las siguientes fases como hoja de ruta y metodología para el cumplimiento de la Sentencia:</w:t>
      </w:r>
    </w:p>
    <w:p w14:paraId="47DE6E88" w14:textId="77777777" w:rsidR="00EF19C1" w:rsidRPr="00B450EB" w:rsidRDefault="00EF19C1" w:rsidP="23A22F8F">
      <w:pPr>
        <w:ind w:left="262"/>
        <w:rPr>
          <w:rFonts w:eastAsia="Arial Nova" w:cs="Arial"/>
        </w:rPr>
      </w:pPr>
    </w:p>
    <w:p w14:paraId="1C7467AC" w14:textId="77777777" w:rsidR="00EF19C1" w:rsidRPr="00B450EB" w:rsidRDefault="00EF19C1" w:rsidP="23A22F8F">
      <w:pPr>
        <w:ind w:left="262"/>
        <w:rPr>
          <w:rFonts w:eastAsia="Arial Nova" w:cs="Arial"/>
        </w:rPr>
      </w:pPr>
    </w:p>
    <w:p w14:paraId="51128633" w14:textId="77777777" w:rsidR="00EF19C1" w:rsidRPr="00B450EB" w:rsidRDefault="00EF19C1" w:rsidP="23A22F8F">
      <w:pPr>
        <w:ind w:left="262"/>
        <w:rPr>
          <w:rFonts w:eastAsia="Arial Nova" w:cs="Arial"/>
        </w:rPr>
      </w:pPr>
    </w:p>
    <w:p w14:paraId="4AEAC19F" w14:textId="77777777" w:rsidR="00EF19C1" w:rsidRPr="00B450EB" w:rsidRDefault="00EF19C1" w:rsidP="23A22F8F">
      <w:pPr>
        <w:ind w:left="262"/>
        <w:rPr>
          <w:rFonts w:eastAsia="Arial Nova" w:cs="Arial"/>
        </w:rPr>
      </w:pPr>
    </w:p>
    <w:p w14:paraId="6E18B241" w14:textId="0A1FA616" w:rsidR="155B9F12" w:rsidRPr="00B450EB" w:rsidRDefault="00D078E1" w:rsidP="00D60C29">
      <w:pPr>
        <w:pStyle w:val="Descripcin"/>
        <w:rPr>
          <w:rFonts w:cs="Arial"/>
          <w:color w:val="auto"/>
          <w:lang w:val="es-ES"/>
        </w:rPr>
      </w:pPr>
      <w:r w:rsidRPr="00B450EB">
        <w:rPr>
          <w:rFonts w:cs="Arial"/>
          <w:color w:val="auto"/>
        </w:rPr>
        <w:lastRenderedPageBreak/>
        <w:t>Ilustración 1.</w:t>
      </w:r>
      <w:r w:rsidR="00D60C29" w:rsidRPr="00B450EB">
        <w:rPr>
          <w:rFonts w:cs="Arial"/>
          <w:color w:val="auto"/>
        </w:rPr>
        <w:t xml:space="preserve"> </w:t>
      </w:r>
      <w:r w:rsidR="155B9F12" w:rsidRPr="00B450EB">
        <w:rPr>
          <w:rFonts w:cs="Arial"/>
          <w:color w:val="auto"/>
        </w:rPr>
        <w:t>Hoja de Ruta y estrategia de participación para formulación e implementación del Plan de Acción y PIVAC (2018).</w:t>
      </w:r>
    </w:p>
    <w:p w14:paraId="63C7B58E" w14:textId="52BF1C24" w:rsidR="155B9F12" w:rsidRPr="00B450EB" w:rsidRDefault="155B9F12" w:rsidP="00D60C29">
      <w:pPr>
        <w:pStyle w:val="Descripcin"/>
        <w:rPr>
          <w:rFonts w:cs="Arial"/>
          <w:color w:val="auto"/>
          <w:lang w:val="es-ES"/>
        </w:rPr>
      </w:pPr>
      <w:r w:rsidRPr="00B450EB">
        <w:rPr>
          <w:rFonts w:cs="Arial"/>
          <w:color w:val="auto"/>
        </w:rPr>
        <w:t xml:space="preserve"> </w:t>
      </w:r>
      <w:r w:rsidR="00D60C29" w:rsidRPr="00B450EB">
        <w:rPr>
          <w:rFonts w:cs="Arial"/>
          <w:noProof/>
          <w:color w:val="auto"/>
        </w:rPr>
        <w:drawing>
          <wp:inline distT="0" distB="0" distL="0" distR="0" wp14:anchorId="08A7606E" wp14:editId="4E3A558B">
            <wp:extent cx="5619750" cy="2987876"/>
            <wp:effectExtent l="0" t="0" r="0" b="3175"/>
            <wp:docPr id="15479457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945725" name=""/>
                    <pic:cNvPicPr/>
                  </pic:nvPicPr>
                  <pic:blipFill>
                    <a:blip r:embed="rId11" cstate="email">
                      <a:extLst>
                        <a:ext uri="{28A0092B-C50C-407E-A947-70E740481C1C}">
                          <a14:useLocalDpi xmlns:a14="http://schemas.microsoft.com/office/drawing/2010/main"/>
                        </a:ext>
                      </a:extLst>
                    </a:blip>
                    <a:stretch>
                      <a:fillRect/>
                    </a:stretch>
                  </pic:blipFill>
                  <pic:spPr>
                    <a:xfrm>
                      <a:off x="0" y="0"/>
                      <a:ext cx="5628525" cy="2992541"/>
                    </a:xfrm>
                    <a:prstGeom prst="rect">
                      <a:avLst/>
                    </a:prstGeom>
                  </pic:spPr>
                </pic:pic>
              </a:graphicData>
            </a:graphic>
          </wp:inline>
        </w:drawing>
      </w:r>
    </w:p>
    <w:p w14:paraId="3072754D" w14:textId="34B33889" w:rsidR="155B9F12" w:rsidRPr="00B450EB" w:rsidRDefault="155B9F12" w:rsidP="7677C000">
      <w:pPr>
        <w:spacing w:after="0"/>
        <w:rPr>
          <w:rFonts w:eastAsia="Arial Nova" w:cs="Arial"/>
          <w:lang w:val="es-ES"/>
        </w:rPr>
      </w:pPr>
      <w:r w:rsidRPr="00B450EB">
        <w:rPr>
          <w:rFonts w:eastAsia="Arial Nova" w:cs="Arial"/>
        </w:rPr>
        <w:t xml:space="preserve"> </w:t>
      </w:r>
    </w:p>
    <w:p w14:paraId="3391A130" w14:textId="76219EA9" w:rsidR="155B9F12" w:rsidRPr="00B450EB" w:rsidRDefault="155B9F12" w:rsidP="7677C000">
      <w:pPr>
        <w:spacing w:after="0"/>
        <w:rPr>
          <w:rFonts w:eastAsia="Arial Nova" w:cs="Arial"/>
          <w:lang w:val="es-ES"/>
        </w:rPr>
      </w:pPr>
      <w:r w:rsidRPr="00B450EB">
        <w:rPr>
          <w:rFonts w:eastAsia="Arial Nova" w:cs="Arial"/>
        </w:rPr>
        <w:t>Así pues, dicho Plan que estaba enmarcado en el Proceso de Preparación para Reducir las Emisiones por Deforestación y Degradación (REDD+) y que obedecía directamente a las decisiones de la Convención Marco para las Naciones Unidas sobre Cambio Climático, contenía las siguientes líneas de acción:</w:t>
      </w:r>
    </w:p>
    <w:p w14:paraId="2D621343" w14:textId="0727020E" w:rsidR="7677C000" w:rsidRPr="00B450EB" w:rsidRDefault="7677C000" w:rsidP="7677C000">
      <w:pPr>
        <w:ind w:left="262"/>
        <w:rPr>
          <w:rFonts w:cs="Arial"/>
        </w:rPr>
      </w:pPr>
    </w:p>
    <w:p w14:paraId="09C472D2" w14:textId="12A10E80" w:rsidR="155B9F12" w:rsidRPr="00B450EB" w:rsidRDefault="155B9F12" w:rsidP="7677C000">
      <w:pPr>
        <w:ind w:left="262"/>
        <w:rPr>
          <w:rFonts w:cs="Arial"/>
        </w:rPr>
      </w:pPr>
      <w:r w:rsidRPr="00B450EB">
        <w:rPr>
          <w:rFonts w:cs="Arial"/>
          <w:noProof/>
        </w:rPr>
        <w:drawing>
          <wp:inline distT="0" distB="0" distL="0" distR="0" wp14:anchorId="71486045" wp14:editId="66DD2DFE">
            <wp:extent cx="5095875" cy="2562225"/>
            <wp:effectExtent l="0" t="0" r="9525" b="9525"/>
            <wp:docPr id="14798809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880956"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095875" cy="2562225"/>
                    </a:xfrm>
                    <a:prstGeom prst="rect">
                      <a:avLst/>
                    </a:prstGeom>
                  </pic:spPr>
                </pic:pic>
              </a:graphicData>
            </a:graphic>
          </wp:inline>
        </w:drawing>
      </w:r>
    </w:p>
    <w:p w14:paraId="3F840DD2" w14:textId="4A937B68" w:rsidR="005C1018" w:rsidRPr="00B450EB" w:rsidRDefault="155B9F12" w:rsidP="19D24751">
      <w:pPr>
        <w:spacing w:after="0" w:line="276" w:lineRule="auto"/>
        <w:rPr>
          <w:rFonts w:eastAsia="Arial" w:cs="Arial"/>
          <w:sz w:val="16"/>
          <w:szCs w:val="16"/>
        </w:rPr>
      </w:pPr>
      <w:r w:rsidRPr="00B450EB">
        <w:rPr>
          <w:rFonts w:eastAsia="Arial Nova" w:cs="Arial"/>
        </w:rPr>
        <w:t xml:space="preserve">No </w:t>
      </w:r>
      <w:proofErr w:type="gramStart"/>
      <w:r w:rsidR="0049274E" w:rsidRPr="00B450EB">
        <w:rPr>
          <w:rFonts w:eastAsia="Arial Nova" w:cs="Arial"/>
        </w:rPr>
        <w:t>obstante</w:t>
      </w:r>
      <w:proofErr w:type="gramEnd"/>
      <w:r w:rsidR="0049274E" w:rsidRPr="00B450EB">
        <w:rPr>
          <w:rFonts w:eastAsia="Arial Nova" w:cs="Arial"/>
        </w:rPr>
        <w:t xml:space="preserve"> a</w:t>
      </w:r>
      <w:r w:rsidRPr="00B450EB">
        <w:rPr>
          <w:rFonts w:eastAsia="Arial Nova" w:cs="Arial"/>
        </w:rPr>
        <w:t xml:space="preserve"> lo anterior, dicho proceso judicial contó con una serie de Autos de Seguimiento, dentro de los cuales se encuentra el Auto del 19 de agosto de 2019, </w:t>
      </w:r>
      <w:r w:rsidRPr="00B450EB">
        <w:rPr>
          <w:rFonts w:eastAsia="Arial Nova" w:cs="Arial"/>
        </w:rPr>
        <w:lastRenderedPageBreak/>
        <w:t xml:space="preserve">dictado por el Tribunal Superior de Bogotá, a través del cual </w:t>
      </w:r>
      <w:r w:rsidRPr="00B450EB">
        <w:rPr>
          <w:rFonts w:eastAsia="Arial Nova" w:cs="Arial"/>
          <w:b/>
        </w:rPr>
        <w:t>más entidades fueron vinculadas al proceso, dejando un total de ciento dieciocho (118) actores relacionados al cumplimiento del presente judicial</w:t>
      </w:r>
      <w:r w:rsidRPr="00B450EB">
        <w:rPr>
          <w:rFonts w:eastAsia="Arial Nova" w:cs="Arial"/>
        </w:rPr>
        <w:t xml:space="preserve">, tal y como se muestra: </w:t>
      </w:r>
      <w:r w:rsidRPr="00B450EB">
        <w:rPr>
          <w:rFonts w:eastAsia="Arial" w:cs="Arial"/>
          <w:sz w:val="16"/>
          <w:szCs w:val="16"/>
        </w:rPr>
        <w:t xml:space="preserve"> </w:t>
      </w:r>
    </w:p>
    <w:p w14:paraId="3953E653" w14:textId="1020C0D9" w:rsidR="005C1018" w:rsidRPr="00B450EB" w:rsidRDefault="005C1018" w:rsidP="009813B2">
      <w:pPr>
        <w:rPr>
          <w:rFonts w:eastAsia="Arial" w:cs="Arial"/>
          <w:sz w:val="16"/>
          <w:szCs w:val="16"/>
        </w:rPr>
      </w:pPr>
    </w:p>
    <w:p w14:paraId="7D3904BA" w14:textId="05E75393" w:rsidR="155B9F12" w:rsidRPr="00B450EB" w:rsidRDefault="155B9F12" w:rsidP="19D24751">
      <w:pPr>
        <w:rPr>
          <w:rFonts w:cs="Arial"/>
        </w:rPr>
      </w:pPr>
      <w:r w:rsidRPr="00B450EB">
        <w:rPr>
          <w:rFonts w:cs="Arial"/>
          <w:noProof/>
        </w:rPr>
        <w:drawing>
          <wp:inline distT="0" distB="0" distL="0" distR="0" wp14:anchorId="2940256F" wp14:editId="2EF0A165">
            <wp:extent cx="5200650" cy="2619375"/>
            <wp:effectExtent l="0" t="0" r="0" b="0"/>
            <wp:docPr id="1110765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6573" name=""/>
                    <pic:cNvPicPr/>
                  </pic:nvPicPr>
                  <pic:blipFill>
                    <a:blip r:embed="rId13" cstate="email">
                      <a:extLst>
                        <a:ext uri="{28A0092B-C50C-407E-A947-70E740481C1C}">
                          <a14:useLocalDpi xmlns:a14="http://schemas.microsoft.com/office/drawing/2010/main"/>
                        </a:ext>
                      </a:extLst>
                    </a:blip>
                    <a:stretch>
                      <a:fillRect/>
                    </a:stretch>
                  </pic:blipFill>
                  <pic:spPr>
                    <a:xfrm>
                      <a:off x="0" y="0"/>
                      <a:ext cx="5200650" cy="2619375"/>
                    </a:xfrm>
                    <a:prstGeom prst="rect">
                      <a:avLst/>
                    </a:prstGeom>
                  </pic:spPr>
                </pic:pic>
              </a:graphicData>
            </a:graphic>
          </wp:inline>
        </w:drawing>
      </w:r>
    </w:p>
    <w:p w14:paraId="28C2953A" w14:textId="27BD7BFB" w:rsidR="155B9F12" w:rsidRPr="00B450EB" w:rsidRDefault="155B9F12" w:rsidP="2018BB62">
      <w:pPr>
        <w:spacing w:after="0"/>
        <w:rPr>
          <w:rFonts w:eastAsia="Arial Nova" w:cs="Arial"/>
          <w:lang w:val="es-ES"/>
        </w:rPr>
      </w:pPr>
      <w:r w:rsidRPr="00B450EB">
        <w:rPr>
          <w:rFonts w:eastAsia="Arial Nova" w:cs="Arial"/>
        </w:rPr>
        <w:t>Luego, en atención a las instrucciones de vinculación de nuevos actores  por parte de la rama judicial, en el año</w:t>
      </w:r>
      <w:r w:rsidRPr="00B450EB">
        <w:rPr>
          <w:rFonts w:eastAsia="Arial Nova" w:cs="Arial"/>
          <w:b/>
        </w:rPr>
        <w:t xml:space="preserve"> 2020</w:t>
      </w:r>
      <w:r w:rsidRPr="00B450EB">
        <w:rPr>
          <w:rFonts w:eastAsia="Arial Nova" w:cs="Arial"/>
        </w:rPr>
        <w:t xml:space="preserve"> se iniciaron nuevas mesas de articulación entre Presidencia de la República, el Ministerio de Agricultura y Desarrollo Rural y el Ministerio de Ambiente y Desarrollo Sostenible, así como mesas sectoriales con las entidades de orden nacional para </w:t>
      </w:r>
      <w:r w:rsidRPr="00B450EB">
        <w:rPr>
          <w:rFonts w:eastAsia="Arial Nova" w:cs="Arial"/>
          <w:b/>
        </w:rPr>
        <w:t xml:space="preserve">concertar un nuevo documento marco estructural asociado al Plan de Acción de la orden 1 que tuviese en consideración los lineamientos y objetivos plasmados en el Plan Nacional de Desarrollo 2018 – 2022 </w:t>
      </w:r>
      <w:r w:rsidRPr="00B450EB">
        <w:rPr>
          <w:rFonts w:eastAsia="Arial Nova" w:cs="Arial"/>
          <w:b/>
          <w:i/>
        </w:rPr>
        <w:t>“Pacto por Colombia, pacto por la equidad”</w:t>
      </w:r>
      <w:r w:rsidRPr="00B450EB">
        <w:rPr>
          <w:rFonts w:eastAsia="Arial Nova" w:cs="Arial"/>
          <w:b/>
        </w:rPr>
        <w:t>.</w:t>
      </w:r>
      <w:r w:rsidRPr="00B450EB">
        <w:rPr>
          <w:rFonts w:eastAsia="Arial Nova" w:cs="Arial"/>
          <w:b/>
          <w:bCs/>
        </w:rPr>
        <w:t xml:space="preserve"> </w:t>
      </w:r>
    </w:p>
    <w:p w14:paraId="07872763" w14:textId="301E42AB" w:rsidR="155B9F12" w:rsidRPr="00B450EB" w:rsidRDefault="155B9F12" w:rsidP="2018BB62">
      <w:pPr>
        <w:spacing w:after="0"/>
        <w:rPr>
          <w:rFonts w:eastAsia="Arial Nova" w:cs="Arial"/>
          <w:lang w:val="es-ES"/>
        </w:rPr>
      </w:pPr>
      <w:r w:rsidRPr="00B450EB">
        <w:rPr>
          <w:rFonts w:eastAsia="Arial Nova" w:cs="Arial"/>
        </w:rPr>
        <w:t xml:space="preserve"> </w:t>
      </w:r>
    </w:p>
    <w:p w14:paraId="1B0BA253" w14:textId="708724E7" w:rsidR="155B9F12" w:rsidRPr="00B450EB" w:rsidRDefault="155B9F12" w:rsidP="2018BB62">
      <w:pPr>
        <w:spacing w:after="0"/>
        <w:rPr>
          <w:rFonts w:eastAsia="Arial Nova" w:cs="Arial"/>
          <w:lang w:val="es-ES"/>
        </w:rPr>
      </w:pPr>
      <w:r w:rsidRPr="00B450EB">
        <w:rPr>
          <w:rFonts w:eastAsia="Arial Nova" w:cs="Arial"/>
        </w:rPr>
        <w:t>Adicionalmente y habiendo identificado los retos asociados a la articulación institucional de las ciento dieciocho (118) entidades accionadas y vinculadas</w:t>
      </w:r>
      <w:r w:rsidRPr="00B450EB">
        <w:rPr>
          <w:rFonts w:eastAsia="Arial Nova" w:cs="Arial"/>
          <w:b/>
        </w:rPr>
        <w:t>, el Tribunal Superior de Bogotá, mediante Auto del 18 de diciembre del 2020 resolvió</w:t>
      </w:r>
      <w:r w:rsidRPr="00B450EB">
        <w:rPr>
          <w:rFonts w:eastAsia="Arial Nova" w:cs="Arial"/>
        </w:rPr>
        <w:t>:</w:t>
      </w:r>
    </w:p>
    <w:p w14:paraId="61E537BC" w14:textId="32F478FE" w:rsidR="0049274E" w:rsidRPr="00B450EB" w:rsidRDefault="0049274E" w:rsidP="00E65660">
      <w:pPr>
        <w:spacing w:after="0"/>
        <w:rPr>
          <w:rFonts w:eastAsia="Arial Nova" w:cs="Arial"/>
          <w:b/>
        </w:rPr>
      </w:pPr>
    </w:p>
    <w:p w14:paraId="67C56441" w14:textId="77777777" w:rsidR="00E96EAD" w:rsidRPr="00B450EB" w:rsidRDefault="00E96EAD" w:rsidP="00E65660">
      <w:pPr>
        <w:spacing w:after="0"/>
        <w:rPr>
          <w:rFonts w:eastAsia="Arial Nova" w:cs="Arial"/>
          <w:b/>
        </w:rPr>
      </w:pPr>
    </w:p>
    <w:p w14:paraId="231B72CC" w14:textId="77777777" w:rsidR="00E96EAD" w:rsidRPr="00B450EB" w:rsidRDefault="00E96EAD" w:rsidP="00E65660">
      <w:pPr>
        <w:spacing w:after="0"/>
        <w:rPr>
          <w:rFonts w:eastAsia="Arial Nova" w:cs="Arial"/>
          <w:b/>
        </w:rPr>
      </w:pPr>
    </w:p>
    <w:p w14:paraId="4C7E893C" w14:textId="77777777" w:rsidR="00E96EAD" w:rsidRPr="00B450EB" w:rsidRDefault="00E96EAD" w:rsidP="00E65660">
      <w:pPr>
        <w:spacing w:after="0"/>
        <w:rPr>
          <w:rFonts w:eastAsia="Arial Nova" w:cs="Arial"/>
          <w:b/>
        </w:rPr>
      </w:pPr>
    </w:p>
    <w:p w14:paraId="629C5DF4" w14:textId="77777777" w:rsidR="00E96EAD" w:rsidRPr="00B450EB" w:rsidRDefault="00E96EAD" w:rsidP="00E65660">
      <w:pPr>
        <w:spacing w:after="0"/>
        <w:rPr>
          <w:rFonts w:eastAsia="Arial Nova" w:cs="Arial"/>
          <w:b/>
        </w:rPr>
      </w:pPr>
    </w:p>
    <w:p w14:paraId="13A6F710" w14:textId="77777777" w:rsidR="00E96EAD" w:rsidRPr="00B450EB" w:rsidRDefault="00E96EAD" w:rsidP="00E65660">
      <w:pPr>
        <w:spacing w:after="0"/>
        <w:rPr>
          <w:rFonts w:eastAsia="Arial Nova" w:cs="Arial"/>
          <w:b/>
        </w:rPr>
      </w:pPr>
    </w:p>
    <w:p w14:paraId="2B57CE8D" w14:textId="77777777" w:rsidR="00E96EAD" w:rsidRPr="00B450EB" w:rsidRDefault="00E96EAD" w:rsidP="00E65660">
      <w:pPr>
        <w:spacing w:after="0"/>
        <w:rPr>
          <w:rFonts w:eastAsia="Arial Nova" w:cs="Arial"/>
          <w:b/>
        </w:rPr>
      </w:pPr>
    </w:p>
    <w:p w14:paraId="0F11E017" w14:textId="77777777" w:rsidR="00E96EAD" w:rsidRPr="00B450EB" w:rsidRDefault="00E96EAD" w:rsidP="00E65660">
      <w:pPr>
        <w:spacing w:after="0"/>
        <w:rPr>
          <w:rFonts w:eastAsia="Arial Nova" w:cs="Arial"/>
          <w:b/>
        </w:rPr>
      </w:pPr>
    </w:p>
    <w:p w14:paraId="50F63D98" w14:textId="7E50C53A" w:rsidR="155B9F12" w:rsidRPr="00B450EB" w:rsidRDefault="155B9F12" w:rsidP="0049274E">
      <w:pPr>
        <w:spacing w:after="0"/>
        <w:rPr>
          <w:rFonts w:eastAsia="Arial Nova" w:cs="Arial"/>
          <w:b/>
        </w:rPr>
      </w:pPr>
      <w:r w:rsidRPr="00B450EB">
        <w:rPr>
          <w:rFonts w:eastAsia="Arial Nova" w:cs="Arial"/>
          <w:b/>
        </w:rPr>
        <w:lastRenderedPageBreak/>
        <w:t>La creación de tres (3) instancias:</w:t>
      </w:r>
    </w:p>
    <w:p w14:paraId="40AAFB80" w14:textId="4195C161" w:rsidR="155B9F12" w:rsidRPr="00B450EB" w:rsidRDefault="155B9F12" w:rsidP="2BD2F4FD">
      <w:pPr>
        <w:spacing w:after="0"/>
        <w:ind w:left="720"/>
        <w:rPr>
          <w:rFonts w:eastAsia="Arial Nova" w:cs="Arial"/>
        </w:rPr>
      </w:pPr>
      <w:r w:rsidRPr="00B450EB">
        <w:rPr>
          <w:rFonts w:eastAsia="Arial Nova" w:cs="Arial"/>
          <w:u w:val="single"/>
        </w:rPr>
        <w:t xml:space="preserve">(i) Un Panel de Expertos: </w:t>
      </w:r>
      <w:r w:rsidRPr="00B450EB">
        <w:rPr>
          <w:rFonts w:eastAsia="Arial Nova" w:cs="Arial"/>
        </w:rPr>
        <w:t xml:space="preserve"> </w:t>
      </w:r>
    </w:p>
    <w:p w14:paraId="1D5DCD70" w14:textId="6834C7D8" w:rsidR="155B9F12" w:rsidRPr="00B450EB" w:rsidRDefault="155B9F12" w:rsidP="3FF37CFA">
      <w:pPr>
        <w:rPr>
          <w:rFonts w:cs="Arial"/>
        </w:rPr>
      </w:pPr>
      <w:r w:rsidRPr="00B450EB">
        <w:rPr>
          <w:rFonts w:cs="Arial"/>
          <w:noProof/>
        </w:rPr>
        <w:drawing>
          <wp:inline distT="0" distB="0" distL="0" distR="0" wp14:anchorId="5D72F97B" wp14:editId="39FB450C">
            <wp:extent cx="5610225" cy="2828925"/>
            <wp:effectExtent l="0" t="0" r="9525" b="0"/>
            <wp:docPr id="12446632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663286" name=""/>
                    <pic:cNvPicPr/>
                  </pic:nvPicPr>
                  <pic:blipFill>
                    <a:blip r:embed="rId14" cstate="email">
                      <a:extLst>
                        <a:ext uri="{28A0092B-C50C-407E-A947-70E740481C1C}">
                          <a14:useLocalDpi xmlns:a14="http://schemas.microsoft.com/office/drawing/2010/main"/>
                        </a:ext>
                      </a:extLst>
                    </a:blip>
                    <a:stretch>
                      <a:fillRect/>
                    </a:stretch>
                  </pic:blipFill>
                  <pic:spPr>
                    <a:xfrm>
                      <a:off x="0" y="0"/>
                      <a:ext cx="5610225" cy="2828925"/>
                    </a:xfrm>
                    <a:prstGeom prst="rect">
                      <a:avLst/>
                    </a:prstGeom>
                  </pic:spPr>
                </pic:pic>
              </a:graphicData>
            </a:graphic>
          </wp:inline>
        </w:drawing>
      </w:r>
    </w:p>
    <w:p w14:paraId="2EE3B675" w14:textId="26D904D0" w:rsidR="155B9F12" w:rsidRPr="00B450EB" w:rsidRDefault="155B9F12" w:rsidP="00D60C29">
      <w:pPr>
        <w:spacing w:after="0"/>
        <w:ind w:left="720"/>
        <w:rPr>
          <w:rFonts w:eastAsia="Arial" w:cs="Arial"/>
        </w:rPr>
      </w:pPr>
      <w:r w:rsidRPr="00B450EB">
        <w:rPr>
          <w:rFonts w:eastAsia="Arial Nova" w:cs="Arial"/>
          <w:u w:val="single"/>
        </w:rPr>
        <w:t>(</w:t>
      </w:r>
      <w:proofErr w:type="spellStart"/>
      <w:r w:rsidRPr="00B450EB">
        <w:rPr>
          <w:rFonts w:eastAsia="Arial Nova" w:cs="Arial"/>
          <w:u w:val="single"/>
        </w:rPr>
        <w:t>ii</w:t>
      </w:r>
      <w:proofErr w:type="spellEnd"/>
      <w:r w:rsidRPr="00B450EB">
        <w:rPr>
          <w:rFonts w:eastAsia="Arial Nova" w:cs="Arial"/>
          <w:u w:val="single"/>
        </w:rPr>
        <w:t xml:space="preserve">) La Mesa Técnica de Ejecución: </w:t>
      </w:r>
      <w:r w:rsidRPr="00B450EB">
        <w:rPr>
          <w:rFonts w:eastAsia="Arial" w:cs="Arial"/>
        </w:rPr>
        <w:t xml:space="preserve"> </w:t>
      </w:r>
    </w:p>
    <w:p w14:paraId="462A5911" w14:textId="62B76632" w:rsidR="3FF37CFA" w:rsidRPr="00B450EB" w:rsidRDefault="3FF37CFA" w:rsidP="3FF37CFA">
      <w:pPr>
        <w:rPr>
          <w:rFonts w:cs="Arial"/>
        </w:rPr>
      </w:pPr>
    </w:p>
    <w:p w14:paraId="09AC6319" w14:textId="29C12031" w:rsidR="155B9F12" w:rsidRPr="00B450EB" w:rsidRDefault="155B9F12" w:rsidP="3FF37CFA">
      <w:pPr>
        <w:rPr>
          <w:rFonts w:cs="Arial"/>
        </w:rPr>
      </w:pPr>
      <w:r w:rsidRPr="00B450EB">
        <w:rPr>
          <w:rFonts w:cs="Arial"/>
          <w:noProof/>
        </w:rPr>
        <w:drawing>
          <wp:inline distT="0" distB="0" distL="0" distR="0" wp14:anchorId="64C67132" wp14:editId="7794B925">
            <wp:extent cx="5467350" cy="2238375"/>
            <wp:effectExtent l="0" t="0" r="0" b="0"/>
            <wp:docPr id="20884387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438749" name=""/>
                    <pic:cNvPicPr/>
                  </pic:nvPicPr>
                  <pic:blipFill>
                    <a:blip r:embed="rId15" cstate="email">
                      <a:extLst>
                        <a:ext uri="{28A0092B-C50C-407E-A947-70E740481C1C}">
                          <a14:useLocalDpi xmlns:a14="http://schemas.microsoft.com/office/drawing/2010/main"/>
                        </a:ext>
                      </a:extLst>
                    </a:blip>
                    <a:stretch>
                      <a:fillRect/>
                    </a:stretch>
                  </pic:blipFill>
                  <pic:spPr>
                    <a:xfrm>
                      <a:off x="0" y="0"/>
                      <a:ext cx="5467350" cy="2238375"/>
                    </a:xfrm>
                    <a:prstGeom prst="rect">
                      <a:avLst/>
                    </a:prstGeom>
                  </pic:spPr>
                </pic:pic>
              </a:graphicData>
            </a:graphic>
          </wp:inline>
        </w:drawing>
      </w:r>
    </w:p>
    <w:p w14:paraId="03DA301E" w14:textId="1352F8CA" w:rsidR="155B9F12" w:rsidRPr="00B450EB" w:rsidRDefault="155B9F12" w:rsidP="3E52B119">
      <w:pPr>
        <w:spacing w:after="0"/>
        <w:rPr>
          <w:rFonts w:eastAsia="Arial Nova" w:cs="Arial"/>
          <w:lang w:val="es-ES"/>
        </w:rPr>
      </w:pPr>
      <w:r w:rsidRPr="00B450EB">
        <w:rPr>
          <w:rFonts w:eastAsia="Arial Nova" w:cs="Arial"/>
        </w:rPr>
        <w:t xml:space="preserve">Siendo la Dirección de Bosques, Biodiversidad y Servicios Ecosistémicos la encargada hasta la fecha de liderar la representación técnica de la cartera ministerial en los espacios convocados por el DAPRE para el cumplimiento de las funciones previamente detalladas. </w:t>
      </w:r>
    </w:p>
    <w:p w14:paraId="47D4B84D" w14:textId="0D3197D1" w:rsidR="4B0CBCE2" w:rsidRPr="00B450EB" w:rsidRDefault="4B0CBCE2" w:rsidP="4B0CBCE2">
      <w:pPr>
        <w:spacing w:after="0"/>
        <w:rPr>
          <w:rFonts w:eastAsia="Arial Nova" w:cs="Arial"/>
        </w:rPr>
      </w:pPr>
    </w:p>
    <w:p w14:paraId="7EDF77CE" w14:textId="77777777" w:rsidR="00E96EAD" w:rsidRPr="00B450EB" w:rsidRDefault="00E96EAD" w:rsidP="4B0CBCE2">
      <w:pPr>
        <w:spacing w:after="0"/>
        <w:rPr>
          <w:rFonts w:eastAsia="Arial Nova" w:cs="Arial"/>
        </w:rPr>
      </w:pPr>
    </w:p>
    <w:p w14:paraId="5B9923B6" w14:textId="77777777" w:rsidR="00E96EAD" w:rsidRPr="00B450EB" w:rsidRDefault="00E96EAD" w:rsidP="4B0CBCE2">
      <w:pPr>
        <w:spacing w:after="0"/>
        <w:rPr>
          <w:rFonts w:eastAsia="Arial Nova" w:cs="Arial"/>
        </w:rPr>
      </w:pPr>
    </w:p>
    <w:p w14:paraId="0497A500" w14:textId="77777777" w:rsidR="00E96EAD" w:rsidRPr="00B450EB" w:rsidRDefault="00E96EAD" w:rsidP="4B0CBCE2">
      <w:pPr>
        <w:spacing w:after="0"/>
        <w:rPr>
          <w:rFonts w:eastAsia="Arial Nova" w:cs="Arial"/>
        </w:rPr>
      </w:pPr>
    </w:p>
    <w:p w14:paraId="44CBB267" w14:textId="407A626E" w:rsidR="155B9F12" w:rsidRPr="00B450EB" w:rsidRDefault="155B9F12" w:rsidP="00D60C29">
      <w:pPr>
        <w:spacing w:after="0"/>
        <w:ind w:left="720"/>
        <w:rPr>
          <w:rFonts w:eastAsia="Arial Nova" w:cs="Arial"/>
          <w:lang w:val="es-ES"/>
        </w:rPr>
      </w:pPr>
      <w:r w:rsidRPr="00B450EB">
        <w:rPr>
          <w:rFonts w:eastAsia="Arial Nova" w:cs="Arial"/>
        </w:rPr>
        <w:lastRenderedPageBreak/>
        <w:t xml:space="preserve"> </w:t>
      </w:r>
      <w:r w:rsidRPr="00B450EB">
        <w:rPr>
          <w:rFonts w:eastAsia="Arial Nova" w:cs="Arial"/>
          <w:u w:val="single"/>
        </w:rPr>
        <w:t>(</w:t>
      </w:r>
      <w:proofErr w:type="spellStart"/>
      <w:r w:rsidRPr="00B450EB">
        <w:rPr>
          <w:rFonts w:eastAsia="Arial Nova" w:cs="Arial"/>
          <w:u w:val="single"/>
        </w:rPr>
        <w:t>iii</w:t>
      </w:r>
      <w:proofErr w:type="spellEnd"/>
      <w:r w:rsidRPr="00B450EB">
        <w:rPr>
          <w:rFonts w:eastAsia="Arial Nova" w:cs="Arial"/>
          <w:u w:val="single"/>
        </w:rPr>
        <w:t>) La Mesa Técnica de Seguimiento:</w:t>
      </w:r>
    </w:p>
    <w:p w14:paraId="0FBC2CED" w14:textId="57DF43C6" w:rsidR="209EE0D0" w:rsidRPr="00B450EB" w:rsidRDefault="209EE0D0" w:rsidP="45F653B8">
      <w:pPr>
        <w:rPr>
          <w:rFonts w:cs="Arial"/>
        </w:rPr>
      </w:pPr>
      <w:r w:rsidRPr="00B450EB">
        <w:rPr>
          <w:rFonts w:cs="Arial"/>
          <w:noProof/>
        </w:rPr>
        <w:drawing>
          <wp:inline distT="0" distB="0" distL="0" distR="0" wp14:anchorId="5546FC1E" wp14:editId="660CCC12">
            <wp:extent cx="5553075" cy="2609850"/>
            <wp:effectExtent l="0" t="0" r="9525" b="0"/>
            <wp:docPr id="20631732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173207" name=""/>
                    <pic:cNvPicPr/>
                  </pic:nvPicPr>
                  <pic:blipFill>
                    <a:blip r:embed="rId16" cstate="email">
                      <a:extLst>
                        <a:ext uri="{28A0092B-C50C-407E-A947-70E740481C1C}">
                          <a14:useLocalDpi xmlns:a14="http://schemas.microsoft.com/office/drawing/2010/main"/>
                        </a:ext>
                      </a:extLst>
                    </a:blip>
                    <a:stretch>
                      <a:fillRect/>
                    </a:stretch>
                  </pic:blipFill>
                  <pic:spPr>
                    <a:xfrm>
                      <a:off x="0" y="0"/>
                      <a:ext cx="5553075" cy="2609850"/>
                    </a:xfrm>
                    <a:prstGeom prst="rect">
                      <a:avLst/>
                    </a:prstGeom>
                  </pic:spPr>
                </pic:pic>
              </a:graphicData>
            </a:graphic>
          </wp:inline>
        </w:drawing>
      </w:r>
    </w:p>
    <w:p w14:paraId="29B313D4" w14:textId="6C4B7B3D" w:rsidR="209EE0D0" w:rsidRPr="00B450EB" w:rsidRDefault="209EE0D0" w:rsidP="346099C5">
      <w:pPr>
        <w:spacing w:after="0"/>
        <w:rPr>
          <w:rFonts w:eastAsia="Arial" w:cs="Arial"/>
        </w:rPr>
      </w:pPr>
      <w:r w:rsidRPr="00B450EB">
        <w:rPr>
          <w:rFonts w:eastAsia="Arial Nova" w:cs="Arial"/>
        </w:rPr>
        <w:t xml:space="preserve">Como instancias encargadas de para velar por el seguimiento efectivo al cumplimiento de la Sentencia. </w:t>
      </w:r>
      <w:r w:rsidRPr="00B450EB">
        <w:rPr>
          <w:rFonts w:eastAsia="Arial" w:cs="Arial"/>
        </w:rPr>
        <w:t xml:space="preserve"> </w:t>
      </w:r>
    </w:p>
    <w:p w14:paraId="40D2095C" w14:textId="171FAF61" w:rsidR="005C1018" w:rsidRPr="00B450EB" w:rsidRDefault="005C1018" w:rsidP="009813B2">
      <w:pPr>
        <w:rPr>
          <w:rFonts w:cs="Arial"/>
        </w:rPr>
      </w:pPr>
    </w:p>
    <w:p w14:paraId="087BCA7C" w14:textId="59D99BA1" w:rsidR="28F5A293" w:rsidRPr="00B450EB" w:rsidRDefault="28F5A293" w:rsidP="1787970B">
      <w:pPr>
        <w:rPr>
          <w:rFonts w:eastAsia="Arial Nova" w:cs="Arial"/>
          <w:lang w:val="es"/>
        </w:rPr>
      </w:pPr>
      <w:r w:rsidRPr="00B450EB">
        <w:rPr>
          <w:rFonts w:eastAsia="Arial Nova" w:cs="Arial"/>
          <w:b/>
          <w:u w:val="single"/>
          <w:lang w:val="es"/>
        </w:rPr>
        <w:t>Un ajuste adicional sobre dicho Plan de Acción</w:t>
      </w:r>
      <w:r w:rsidRPr="00B450EB">
        <w:rPr>
          <w:rFonts w:eastAsia="Arial Nova" w:cs="Arial"/>
          <w:lang w:val="es"/>
        </w:rPr>
        <w:t xml:space="preserve">, basado en la necesidad de garantizar que las voces de las diversas comunidades presentes en el bioma amazónico fueran escuchadas; motivo por el cual </w:t>
      </w:r>
      <w:r w:rsidRPr="00B450EB">
        <w:rPr>
          <w:rFonts w:eastAsia="Arial Nova" w:cs="Arial"/>
          <w:b/>
        </w:rPr>
        <w:t>entre los años 2021 y 2022 se dio paso a la definición e inicio de seis (6) rutas de participación con diversos grupos de valor, cuyo estado del arte será detallado en la respuesta a las preguntas relacionadas al PIVAC.</w:t>
      </w:r>
    </w:p>
    <w:p w14:paraId="24B07DEC" w14:textId="19B2F6E7" w:rsidR="28F5A293" w:rsidRPr="00B450EB" w:rsidRDefault="28F5A293" w:rsidP="189CC4E2">
      <w:pPr>
        <w:rPr>
          <w:rFonts w:eastAsia="Arial Nova" w:cs="Arial"/>
        </w:rPr>
      </w:pPr>
      <w:r w:rsidRPr="00B450EB">
        <w:rPr>
          <w:rFonts w:eastAsia="Arial Nova" w:cs="Arial"/>
        </w:rPr>
        <w:t xml:space="preserve">Con esto en el radar, en este mismo periodo de tiempo (años 2021 – 2022), el Panel de Expertos, conformado por el Instituto Sinchi, el IDEAM y las fundaciones Gaia Amazonas y la FCDS, bajo la labor de asesoramiento a la Mesa Técnica de Seguimiento mencionada anteriormente, avanzó con el </w:t>
      </w:r>
      <w:r w:rsidRPr="00B450EB">
        <w:rPr>
          <w:rFonts w:eastAsia="Arial Nova" w:cs="Arial"/>
          <w:b/>
        </w:rPr>
        <w:t>montaje y construcción de una matriz de cincuenta (50)</w:t>
      </w:r>
      <w:r w:rsidRPr="00B450EB">
        <w:rPr>
          <w:rFonts w:eastAsia="Arial Nova" w:cs="Arial"/>
        </w:rPr>
        <w:t xml:space="preserve"> </w:t>
      </w:r>
      <w:r w:rsidRPr="00B450EB">
        <w:rPr>
          <w:rFonts w:eastAsia="Arial Nova" w:cs="Arial"/>
          <w:b/>
        </w:rPr>
        <w:t xml:space="preserve">indicadores generales y específicos y sus respectivas hojas de vida, para monitorear la efectiva implementación de las órdenes judiciales de la sentencia, de los cuales 24 se enfocaron en la Orden 1 (Plan de acción de corto, mediano y largo plazo, que contrarreste la tasa de deforestación en la Amazonía), 4 en la Orden 2 ("Pacto Intergeneracional por la vida del Amazonas colombiano - PIVAC") y 2 en la Orden 5 (Incrementar las acciones tendientes a mitigar la deforestación, mientras se llevan a cabo las modificaciones). </w:t>
      </w:r>
      <w:r w:rsidRPr="00B450EB">
        <w:rPr>
          <w:rFonts w:eastAsia="Arial Nova" w:cs="Arial"/>
        </w:rPr>
        <w:t xml:space="preserve">Los cuales, posterior a un proceso de revisión, retroalimentación y filtro fueron aprobados por el Tribunal Superior de Bogotá en el mes de diciembre 2022. Así las cosas, es deber de esta cartera ministerial reportar, entre otras:  </w:t>
      </w:r>
    </w:p>
    <w:p w14:paraId="1E0883CF" w14:textId="0943046D" w:rsidR="28F5A293" w:rsidRPr="00B450EB" w:rsidRDefault="28F5A293" w:rsidP="189CC4E2">
      <w:pPr>
        <w:rPr>
          <w:rFonts w:eastAsia="Arial Nova" w:cs="Arial"/>
        </w:rPr>
      </w:pPr>
      <w:r w:rsidRPr="00B450EB">
        <w:rPr>
          <w:rFonts w:eastAsia="Arial Nova" w:cs="Arial"/>
          <w:u w:val="single"/>
        </w:rPr>
        <w:lastRenderedPageBreak/>
        <w:t>Adecuaciones institucionales estratégicas para la implementación de la Sentencia</w:t>
      </w:r>
      <w:r w:rsidRPr="00B450EB">
        <w:rPr>
          <w:rFonts w:eastAsia="Arial Nova" w:cs="Arial"/>
        </w:rPr>
        <w:t>. Ello, teniendo en cuenta las debilidades que se identificaron en las instituciones a nivel técnico, presupuestal y de presencia institucional; se hace necesario realizar adecuaciones institucionales para garantizar los derechos salvaguardados por la sentencia.</w:t>
      </w:r>
    </w:p>
    <w:p w14:paraId="6D5D832B" w14:textId="0A26F81B" w:rsidR="7A390310" w:rsidRPr="00B450EB" w:rsidRDefault="28903615" w:rsidP="7A390310">
      <w:pPr>
        <w:rPr>
          <w:rFonts w:eastAsia="Arial Nova" w:cs="Arial"/>
        </w:rPr>
      </w:pPr>
      <w:r w:rsidRPr="00B450EB">
        <w:rPr>
          <w:rFonts w:eastAsia="Arial Nova" w:cs="Arial"/>
        </w:rPr>
        <w:t>Proyectos, programas, acciones o iniciativas en ejecución, financiados por proyectos de inversión de entidades públicas y/o cooperación internacional, desarrollados en la zona de jurisdicción de la Sentencia u orientados a impactar dicha zona, con criterios que contribuyan al cumplimiento de la Sentencia y que consideren una o varias de las siguientes temáticas:</w:t>
      </w:r>
    </w:p>
    <w:p w14:paraId="260C46BB" w14:textId="2CB96BEA" w:rsidR="223E803C" w:rsidRPr="00B450EB" w:rsidRDefault="14900393" w:rsidP="001975A2">
      <w:pPr>
        <w:pStyle w:val="Prrafodelista"/>
        <w:numPr>
          <w:ilvl w:val="0"/>
          <w:numId w:val="38"/>
        </w:numPr>
        <w:rPr>
          <w:rFonts w:eastAsia="Arial Nova" w:cs="Arial"/>
        </w:rPr>
      </w:pPr>
      <w:r w:rsidRPr="00B450EB">
        <w:rPr>
          <w:rFonts w:eastAsia="Arial Nova" w:cs="Arial"/>
        </w:rPr>
        <w:t>Protección de la biodiversidad</w:t>
      </w:r>
    </w:p>
    <w:p w14:paraId="3BB31EBE" w14:textId="7BD1EE08" w:rsidR="08E192BC" w:rsidRPr="00B450EB" w:rsidRDefault="14900393" w:rsidP="001975A2">
      <w:pPr>
        <w:pStyle w:val="Prrafodelista"/>
        <w:numPr>
          <w:ilvl w:val="0"/>
          <w:numId w:val="38"/>
        </w:numPr>
        <w:rPr>
          <w:rFonts w:eastAsia="Arial Nova" w:cs="Arial"/>
        </w:rPr>
      </w:pPr>
      <w:r w:rsidRPr="00B450EB">
        <w:rPr>
          <w:rFonts w:eastAsia="Arial Nova" w:cs="Arial"/>
        </w:rPr>
        <w:t>Fortalecimiento de capacidades comunitarias frente a la deforestación</w:t>
      </w:r>
    </w:p>
    <w:p w14:paraId="433122B5" w14:textId="51501D05" w:rsidR="14900393" w:rsidRPr="00B450EB" w:rsidRDefault="14900393" w:rsidP="001975A2">
      <w:pPr>
        <w:pStyle w:val="Prrafodelista"/>
        <w:numPr>
          <w:ilvl w:val="0"/>
          <w:numId w:val="38"/>
        </w:numPr>
        <w:rPr>
          <w:rFonts w:eastAsia="Arial Nova" w:cs="Arial"/>
        </w:rPr>
      </w:pPr>
      <w:r w:rsidRPr="00B450EB">
        <w:rPr>
          <w:rFonts w:eastAsia="Arial Nova" w:cs="Arial"/>
        </w:rPr>
        <w:t>Socialización</w:t>
      </w:r>
    </w:p>
    <w:p w14:paraId="6E6A9CEB" w14:textId="2472B23C" w:rsidR="14900393" w:rsidRPr="00B450EB" w:rsidRDefault="14900393" w:rsidP="001975A2">
      <w:pPr>
        <w:pStyle w:val="Prrafodelista"/>
        <w:numPr>
          <w:ilvl w:val="0"/>
          <w:numId w:val="38"/>
        </w:numPr>
        <w:rPr>
          <w:rFonts w:eastAsia="Arial Nova" w:cs="Arial"/>
        </w:rPr>
      </w:pPr>
      <w:r w:rsidRPr="00B450EB">
        <w:rPr>
          <w:rFonts w:eastAsia="Arial Nova" w:cs="Arial"/>
        </w:rPr>
        <w:t>Fortalecimiento a las entidades territoriales</w:t>
      </w:r>
    </w:p>
    <w:p w14:paraId="02819EE9" w14:textId="6ADFD34C" w:rsidR="0D0A7384" w:rsidRPr="00B450EB" w:rsidRDefault="14900393" w:rsidP="001975A2">
      <w:pPr>
        <w:pStyle w:val="Prrafodelista"/>
        <w:numPr>
          <w:ilvl w:val="0"/>
          <w:numId w:val="38"/>
        </w:numPr>
        <w:rPr>
          <w:rFonts w:eastAsia="Arial Nova" w:cs="Arial"/>
        </w:rPr>
      </w:pPr>
      <w:r w:rsidRPr="00B450EB">
        <w:rPr>
          <w:rFonts w:eastAsia="Arial Nova" w:cs="Arial"/>
        </w:rPr>
        <w:t>Agroforestería</w:t>
      </w:r>
    </w:p>
    <w:p w14:paraId="20D74F8C" w14:textId="03EE2AA9" w:rsidR="14900393" w:rsidRPr="00B450EB" w:rsidRDefault="14900393" w:rsidP="001975A2">
      <w:pPr>
        <w:pStyle w:val="Prrafodelista"/>
        <w:numPr>
          <w:ilvl w:val="0"/>
          <w:numId w:val="38"/>
        </w:numPr>
        <w:rPr>
          <w:rFonts w:eastAsia="Arial Nova" w:cs="Arial"/>
        </w:rPr>
      </w:pPr>
      <w:r w:rsidRPr="00B450EB">
        <w:rPr>
          <w:rFonts w:eastAsia="Arial Nova" w:cs="Arial"/>
        </w:rPr>
        <w:t>Energías renovables</w:t>
      </w:r>
    </w:p>
    <w:p w14:paraId="63E83BDE" w14:textId="7A392D5D" w:rsidR="14900393" w:rsidRPr="00B450EB" w:rsidRDefault="14900393" w:rsidP="001975A2">
      <w:pPr>
        <w:pStyle w:val="Prrafodelista"/>
        <w:numPr>
          <w:ilvl w:val="0"/>
          <w:numId w:val="38"/>
        </w:numPr>
        <w:rPr>
          <w:rFonts w:eastAsia="Arial Nova" w:cs="Arial"/>
        </w:rPr>
      </w:pPr>
      <w:r w:rsidRPr="00B450EB">
        <w:rPr>
          <w:rFonts w:eastAsia="Arial Nova" w:cs="Arial"/>
        </w:rPr>
        <w:t>Ecoturismo</w:t>
      </w:r>
    </w:p>
    <w:p w14:paraId="2DACC0D3" w14:textId="5C7929A4" w:rsidR="14900393" w:rsidRPr="00B450EB" w:rsidRDefault="14900393" w:rsidP="001975A2">
      <w:pPr>
        <w:pStyle w:val="Prrafodelista"/>
        <w:numPr>
          <w:ilvl w:val="0"/>
          <w:numId w:val="38"/>
        </w:numPr>
        <w:rPr>
          <w:rFonts w:eastAsia="Arial Nova" w:cs="Arial"/>
        </w:rPr>
      </w:pPr>
      <w:r w:rsidRPr="00B450EB">
        <w:rPr>
          <w:rFonts w:eastAsia="Arial Nova" w:cs="Arial"/>
        </w:rPr>
        <w:t xml:space="preserve">Cultura, educación y </w:t>
      </w:r>
      <w:proofErr w:type="spellStart"/>
      <w:r w:rsidRPr="00B450EB">
        <w:rPr>
          <w:rFonts w:eastAsia="Arial Nova" w:cs="Arial"/>
        </w:rPr>
        <w:t>TICs</w:t>
      </w:r>
      <w:proofErr w:type="spellEnd"/>
    </w:p>
    <w:p w14:paraId="494BA9D5" w14:textId="30F40BA3" w:rsidR="55D6806B" w:rsidRPr="00B450EB" w:rsidRDefault="14900393" w:rsidP="55D6806B">
      <w:pPr>
        <w:rPr>
          <w:rFonts w:eastAsia="Arial Nova" w:cs="Arial"/>
        </w:rPr>
      </w:pPr>
      <w:r w:rsidRPr="00B450EB">
        <w:rPr>
          <w:rFonts w:eastAsia="Arial" w:cs="Arial"/>
        </w:rPr>
        <w:t>Proyectos de restauración ecológica, rehabilitación y recuperación de áreas degradadas, conservación y sistemas productivos sostenibles para la conservación en las áreas de bosque transformadas en otro tipo de coberturas.</w:t>
      </w:r>
    </w:p>
    <w:p w14:paraId="785897AD" w14:textId="2212AA1A" w:rsidR="16788137" w:rsidRPr="00B450EB" w:rsidRDefault="14900393" w:rsidP="02ADC65E">
      <w:pPr>
        <w:rPr>
          <w:rFonts w:eastAsia="Arial" w:cs="Arial"/>
        </w:rPr>
      </w:pPr>
      <w:r w:rsidRPr="00B450EB">
        <w:rPr>
          <w:rFonts w:eastAsia="Arial" w:cs="Arial"/>
        </w:rPr>
        <w:t>Superficie de bosques en la zona activa de deforestación, gestionados bajo procesos socioculturales participativos o con proyectos de manejo sostenible de los bosques.</w:t>
      </w:r>
    </w:p>
    <w:p w14:paraId="4FEC0892" w14:textId="47504BFE" w:rsidR="14900393" w:rsidRPr="00B450EB" w:rsidRDefault="14900393" w:rsidP="02ADC65E">
      <w:pPr>
        <w:rPr>
          <w:rFonts w:eastAsia="Arial" w:cs="Arial"/>
        </w:rPr>
      </w:pPr>
      <w:r w:rsidRPr="00B450EB">
        <w:rPr>
          <w:rFonts w:eastAsia="Arial" w:cs="Arial"/>
        </w:rPr>
        <w:t>Planes de vida, de etnodesarrollo e instrumentos de planeación comunitaria con acciones para la prevención de la deforestación, la gestión sociocultural o el manejo sostenible de los bosques apoyados por las instituciones del Estado competentes en sus fases de formulación, implementación y/o seguimiento.</w:t>
      </w:r>
    </w:p>
    <w:p w14:paraId="6E091518" w14:textId="6F495839" w:rsidR="14900393" w:rsidRPr="00B450EB" w:rsidRDefault="14900393" w:rsidP="1BD783F7">
      <w:pPr>
        <w:rPr>
          <w:rFonts w:eastAsia="Arial" w:cs="Arial"/>
        </w:rPr>
      </w:pPr>
      <w:r w:rsidRPr="00B450EB">
        <w:rPr>
          <w:rFonts w:eastAsia="Arial" w:cs="Arial"/>
        </w:rPr>
        <w:t>Instrumentos comunitarios asociados a la protección de los territorios y bosques que cuentan con mecanismos de monitoreo comunitario participativo.</w:t>
      </w:r>
    </w:p>
    <w:p w14:paraId="5FF9B54C" w14:textId="222E86B7" w:rsidR="14900393" w:rsidRPr="00B450EB" w:rsidRDefault="14900393" w:rsidP="1BD783F7">
      <w:pPr>
        <w:rPr>
          <w:rFonts w:eastAsia="Arial" w:cs="Arial"/>
        </w:rPr>
      </w:pPr>
      <w:r w:rsidRPr="00B450EB">
        <w:rPr>
          <w:rFonts w:eastAsia="Arial" w:cs="Arial"/>
        </w:rPr>
        <w:t>Estrategias de manejo forestal que aportan a la conservación de los bosques a nivel regional.</w:t>
      </w:r>
    </w:p>
    <w:p w14:paraId="4868D82E" w14:textId="77777777" w:rsidR="00E96EAD" w:rsidRPr="00B450EB" w:rsidRDefault="00E96EAD" w:rsidP="1BD783F7">
      <w:pPr>
        <w:rPr>
          <w:rFonts w:eastAsia="Arial" w:cs="Arial"/>
        </w:rPr>
      </w:pPr>
    </w:p>
    <w:p w14:paraId="765C2CFE" w14:textId="6FC74957" w:rsidR="14900393" w:rsidRPr="00B450EB" w:rsidRDefault="14900393" w:rsidP="646157D9">
      <w:pPr>
        <w:pStyle w:val="Prrafodelista"/>
        <w:numPr>
          <w:ilvl w:val="0"/>
          <w:numId w:val="12"/>
        </w:numPr>
        <w:spacing w:line="276" w:lineRule="auto"/>
        <w:ind w:right="251"/>
        <w:rPr>
          <w:rFonts w:eastAsia="Arial" w:cs="Arial"/>
        </w:rPr>
      </w:pPr>
      <w:r w:rsidRPr="00B450EB">
        <w:rPr>
          <w:rFonts w:eastAsia="Arial" w:cs="Arial"/>
          <w:b/>
        </w:rPr>
        <w:lastRenderedPageBreak/>
        <w:t xml:space="preserve">Sentencia T-106 de 2025 “Minería de oro y uso de mercurio en el </w:t>
      </w:r>
      <w:proofErr w:type="spellStart"/>
      <w:r w:rsidRPr="00B450EB">
        <w:rPr>
          <w:rFonts w:eastAsia="Arial" w:cs="Arial"/>
          <w:b/>
        </w:rPr>
        <w:t>macroterritorio</w:t>
      </w:r>
      <w:proofErr w:type="spellEnd"/>
      <w:r w:rsidRPr="00B450EB">
        <w:rPr>
          <w:rFonts w:eastAsia="Arial" w:cs="Arial"/>
          <w:b/>
        </w:rPr>
        <w:t xml:space="preserve"> de los Jaguares del </w:t>
      </w:r>
      <w:proofErr w:type="spellStart"/>
      <w:r w:rsidRPr="00B450EB">
        <w:rPr>
          <w:rFonts w:eastAsia="Arial" w:cs="Arial"/>
          <w:b/>
        </w:rPr>
        <w:t>Yuruparí</w:t>
      </w:r>
      <w:proofErr w:type="spellEnd"/>
      <w:r w:rsidRPr="00B450EB">
        <w:rPr>
          <w:rFonts w:eastAsia="Arial" w:cs="Arial"/>
          <w:b/>
        </w:rPr>
        <w:t>”</w:t>
      </w:r>
    </w:p>
    <w:p w14:paraId="4746E44C" w14:textId="284FE913" w:rsidR="594C2FAA" w:rsidRPr="00B450EB" w:rsidRDefault="3BF37C1B" w:rsidP="5FF9F4CD">
      <w:pPr>
        <w:spacing w:line="276" w:lineRule="auto"/>
        <w:ind w:right="251"/>
        <w:rPr>
          <w:rFonts w:eastAsia="Arial" w:cs="Arial"/>
        </w:rPr>
      </w:pPr>
      <w:r w:rsidRPr="00B450EB">
        <w:rPr>
          <w:rFonts w:eastAsia="Arial Nova" w:cs="Arial"/>
        </w:rPr>
        <w:t>La Sala Tercera de Revisión de la Corte Constitucional, integrada por la magistrada Diana Fajardo Rivera, quien la presidió, y los magistrados Vladimir Fernández Andrade y Jorge Enrique Ibáñez Najar, quiénes en ejercicio de sus competencias constitucionales y legales, profirieron la sentencia T-106 de 2025, dentro del proceso de revisión del fallo dictado por la Sala Penal del Tribunal Superior de Bogotá el 11 de enero de 2020.</w:t>
      </w:r>
    </w:p>
    <w:p w14:paraId="0A46BB6C" w14:textId="20A319AE" w:rsidR="10DABE5D" w:rsidRPr="00B450EB" w:rsidRDefault="3CB846EC" w:rsidP="10DABE5D">
      <w:pPr>
        <w:spacing w:line="276" w:lineRule="auto"/>
        <w:ind w:right="251"/>
        <w:rPr>
          <w:rFonts w:eastAsia="Arial Nova" w:cs="Arial"/>
        </w:rPr>
      </w:pPr>
      <w:r w:rsidRPr="00B450EB">
        <w:rPr>
          <w:rFonts w:eastAsia="Arial Nova" w:cs="Arial"/>
        </w:rPr>
        <w:t>En el citado Fallo Tutelar se emitieron decisiones judiciales en cabeza del Ministerio de Ambiente y Desarrollo Sostenible, la mayoría de ellas incluidas dentro del libro de órdenes verdes, y en la sección de disposiciones complementarias y de mecanismos de seguimiento, entre las cuales se encuentra:</w:t>
      </w:r>
    </w:p>
    <w:p w14:paraId="71DF6B10" w14:textId="5041F50C" w:rsidR="3CB846EC" w:rsidRPr="00B450EB" w:rsidRDefault="3CB846EC" w:rsidP="001975A2">
      <w:pPr>
        <w:pStyle w:val="Prrafodelista"/>
        <w:numPr>
          <w:ilvl w:val="0"/>
          <w:numId w:val="39"/>
        </w:numPr>
        <w:spacing w:line="276" w:lineRule="auto"/>
        <w:ind w:right="251"/>
        <w:rPr>
          <w:rFonts w:eastAsia="Arial Nova" w:cs="Arial"/>
        </w:rPr>
      </w:pPr>
      <w:r w:rsidRPr="00B450EB">
        <w:rPr>
          <w:rFonts w:eastAsia="Arial Nova" w:cs="Arial"/>
        </w:rPr>
        <w:t>Coordinar la creación de una instancia de diálogo en materia de ambiente y minería.</w:t>
      </w:r>
    </w:p>
    <w:p w14:paraId="3E95AC61" w14:textId="6419F61D" w:rsidR="1E04E42D" w:rsidRPr="00B450EB" w:rsidRDefault="3CB846EC" w:rsidP="001975A2">
      <w:pPr>
        <w:pStyle w:val="Prrafodelista"/>
        <w:numPr>
          <w:ilvl w:val="0"/>
          <w:numId w:val="39"/>
        </w:numPr>
        <w:spacing w:line="276" w:lineRule="auto"/>
        <w:ind w:right="251"/>
        <w:rPr>
          <w:rFonts w:eastAsia="Arial Nova" w:cs="Arial"/>
        </w:rPr>
      </w:pPr>
      <w:r w:rsidRPr="00B450EB">
        <w:rPr>
          <w:rFonts w:eastAsia="Arial Nova" w:cs="Arial"/>
        </w:rPr>
        <w:t xml:space="preserve">Realizar un estudio de línea base sobre el nivel de contaminación de las aguas del </w:t>
      </w:r>
      <w:proofErr w:type="spellStart"/>
      <w:r w:rsidRPr="00B450EB">
        <w:rPr>
          <w:rFonts w:eastAsia="Arial Nova" w:cs="Arial"/>
        </w:rPr>
        <w:t>macroterritorio</w:t>
      </w:r>
      <w:proofErr w:type="spellEnd"/>
      <w:r w:rsidRPr="00B450EB">
        <w:rPr>
          <w:rFonts w:eastAsia="Arial Nova" w:cs="Arial"/>
        </w:rPr>
        <w:t xml:space="preserve"> de los Jaguares del </w:t>
      </w:r>
      <w:proofErr w:type="spellStart"/>
      <w:r w:rsidRPr="00B450EB">
        <w:rPr>
          <w:rFonts w:eastAsia="Arial Nova" w:cs="Arial"/>
        </w:rPr>
        <w:t>Yuruparí</w:t>
      </w:r>
      <w:proofErr w:type="spellEnd"/>
      <w:r w:rsidRPr="00B450EB">
        <w:rPr>
          <w:rFonts w:eastAsia="Arial Nova" w:cs="Arial"/>
        </w:rPr>
        <w:t>.</w:t>
      </w:r>
    </w:p>
    <w:p w14:paraId="31423E22" w14:textId="184E03D0" w:rsidR="4F29F3E6" w:rsidRPr="00B450EB" w:rsidRDefault="0AF8347B" w:rsidP="001975A2">
      <w:pPr>
        <w:pStyle w:val="Prrafodelista"/>
        <w:numPr>
          <w:ilvl w:val="0"/>
          <w:numId w:val="39"/>
        </w:numPr>
        <w:spacing w:line="276" w:lineRule="auto"/>
        <w:ind w:right="251"/>
        <w:rPr>
          <w:rFonts w:eastAsia="Arial Nova" w:cs="Arial"/>
        </w:rPr>
      </w:pPr>
      <w:r w:rsidRPr="00B450EB">
        <w:rPr>
          <w:rFonts w:eastAsia="Arial Nova" w:cs="Arial"/>
        </w:rPr>
        <w:t xml:space="preserve">Realizar un estudio interdisciplinar (con autoridades científicas) e intercultural (con los pueblos accionantes) sobre los medios para la descontaminación o remediación de las fuentes de agua del </w:t>
      </w:r>
      <w:proofErr w:type="spellStart"/>
      <w:r w:rsidRPr="00B450EB">
        <w:rPr>
          <w:rFonts w:eastAsia="Arial Nova" w:cs="Arial"/>
        </w:rPr>
        <w:t>macroterritorio</w:t>
      </w:r>
      <w:proofErr w:type="spellEnd"/>
      <w:r w:rsidRPr="00B450EB">
        <w:rPr>
          <w:rFonts w:eastAsia="Arial Nova" w:cs="Arial"/>
        </w:rPr>
        <w:t xml:space="preserve"> de la Gente de Afinidad del </w:t>
      </w:r>
      <w:proofErr w:type="spellStart"/>
      <w:r w:rsidRPr="00B450EB">
        <w:rPr>
          <w:rFonts w:eastAsia="Arial Nova" w:cs="Arial"/>
        </w:rPr>
        <w:t>Yuruparí</w:t>
      </w:r>
      <w:proofErr w:type="spellEnd"/>
      <w:r w:rsidRPr="00B450EB">
        <w:rPr>
          <w:rFonts w:eastAsia="Arial Nova" w:cs="Arial"/>
        </w:rPr>
        <w:t>.</w:t>
      </w:r>
    </w:p>
    <w:p w14:paraId="1BAC3B96" w14:textId="634552C6" w:rsidR="04086037" w:rsidRPr="00B450EB" w:rsidRDefault="0AF8347B" w:rsidP="001975A2">
      <w:pPr>
        <w:pStyle w:val="Prrafodelista"/>
        <w:numPr>
          <w:ilvl w:val="0"/>
          <w:numId w:val="39"/>
        </w:numPr>
        <w:spacing w:line="276" w:lineRule="auto"/>
        <w:ind w:right="251"/>
        <w:rPr>
          <w:rFonts w:eastAsia="Arial Nova" w:cs="Arial"/>
        </w:rPr>
      </w:pPr>
      <w:proofErr w:type="gramStart"/>
      <w:r w:rsidRPr="00B450EB">
        <w:rPr>
          <w:rFonts w:eastAsia="Arial Nova" w:cs="Arial"/>
        </w:rPr>
        <w:t>Dar inicio a</w:t>
      </w:r>
      <w:proofErr w:type="gramEnd"/>
      <w:r w:rsidRPr="00B450EB">
        <w:rPr>
          <w:rFonts w:eastAsia="Arial Nova" w:cs="Arial"/>
        </w:rPr>
        <w:t xml:space="preserve"> un proceso de evaluación sobre los impactos ambientales y, en la medida de lo posible, aquellos relacionados con el cambio climático de las actividades de exploración y explotación minera derivados de concesiones vigentes dentro del </w:t>
      </w:r>
      <w:proofErr w:type="spellStart"/>
      <w:r w:rsidRPr="00B450EB">
        <w:rPr>
          <w:rFonts w:eastAsia="Arial Nova" w:cs="Arial"/>
        </w:rPr>
        <w:t>macroterritorio</w:t>
      </w:r>
      <w:proofErr w:type="spellEnd"/>
      <w:r w:rsidRPr="00B450EB">
        <w:rPr>
          <w:rFonts w:eastAsia="Arial Nova" w:cs="Arial"/>
        </w:rPr>
        <w:t xml:space="preserve"> y, de ser el caso, adopte los ajustes o suspensiones necesarias para remediar los ríos y asegurar la vida de los pueblos representados por los consejos o autoridades indígenas accionantes.</w:t>
      </w:r>
    </w:p>
    <w:p w14:paraId="47B12488" w14:textId="3705CDEC" w:rsidR="0AF8347B" w:rsidRPr="00B450EB" w:rsidRDefault="0AF8347B" w:rsidP="001975A2">
      <w:pPr>
        <w:pStyle w:val="Prrafodelista"/>
        <w:numPr>
          <w:ilvl w:val="0"/>
          <w:numId w:val="39"/>
        </w:numPr>
        <w:spacing w:line="276" w:lineRule="auto"/>
        <w:ind w:right="251"/>
        <w:rPr>
          <w:rFonts w:eastAsia="Arial Nova" w:cs="Arial"/>
        </w:rPr>
      </w:pPr>
      <w:r w:rsidRPr="00B450EB">
        <w:rPr>
          <w:rFonts w:eastAsia="Arial Nova" w:cs="Arial"/>
        </w:rPr>
        <w:t>Convocar un proceso de diálogo para la región de la Amazonía destinado al diseño e implementación de políticas públicas que tomen como punto de partida la vocación ambiental de los territorios de la Amazonía, y, en particular, la protección de las fuentes de agua.</w:t>
      </w:r>
    </w:p>
    <w:p w14:paraId="27AC04EE" w14:textId="4DCD1BC4" w:rsidR="0AF8347B" w:rsidRPr="00B450EB" w:rsidRDefault="0AF8347B" w:rsidP="001975A2">
      <w:pPr>
        <w:pStyle w:val="Prrafodelista"/>
        <w:numPr>
          <w:ilvl w:val="0"/>
          <w:numId w:val="39"/>
        </w:numPr>
        <w:spacing w:line="276" w:lineRule="auto"/>
        <w:ind w:right="251"/>
        <w:rPr>
          <w:rFonts w:eastAsia="Arial Nova" w:cs="Arial"/>
        </w:rPr>
      </w:pPr>
      <w:r w:rsidRPr="00B450EB">
        <w:rPr>
          <w:rFonts w:eastAsia="Arial Nova" w:cs="Arial"/>
        </w:rPr>
        <w:t>Establecer mecanismos permanentes de articulación con las instancias creadas mediante la Sentencia STC-4360 de 2018 de la Corte Suprema de Justicia, en particular con el Pacto Intergeneracional por la Vida del Amazonas Colombiano (PIVAC) y los Planes de Acción de Reducción de la Deforestación.</w:t>
      </w:r>
    </w:p>
    <w:p w14:paraId="25584D86" w14:textId="77777777" w:rsidR="00BE248E" w:rsidRPr="00B450EB" w:rsidRDefault="00BE248E" w:rsidP="00BE248E">
      <w:pPr>
        <w:pStyle w:val="Prrafodelista"/>
        <w:spacing w:line="276" w:lineRule="auto"/>
        <w:ind w:right="251"/>
        <w:rPr>
          <w:rFonts w:eastAsia="Arial Nova" w:cs="Arial"/>
        </w:rPr>
      </w:pPr>
    </w:p>
    <w:p w14:paraId="6C2ED034" w14:textId="6DEBDBD2" w:rsidR="0AF8347B" w:rsidRPr="00B450EB" w:rsidRDefault="0AF8347B" w:rsidP="293A866D">
      <w:pPr>
        <w:pStyle w:val="Prrafodelista"/>
        <w:numPr>
          <w:ilvl w:val="0"/>
          <w:numId w:val="12"/>
        </w:numPr>
        <w:spacing w:line="276" w:lineRule="auto"/>
        <w:ind w:right="251"/>
        <w:rPr>
          <w:rFonts w:eastAsia="Arial Nova" w:cs="Arial"/>
        </w:rPr>
      </w:pPr>
      <w:r w:rsidRPr="00B450EB">
        <w:rPr>
          <w:rFonts w:eastAsia="Arial" w:cs="Arial"/>
          <w:b/>
        </w:rPr>
        <w:t>Medida Cautelar del Juzgado Civil Del Circuito Especializado En Restitución De Tierras Del Distrito Judicial De Cundinamarca Auto Interlocutorio No. 214 Radicado No. 2023-00063 “Río Puré”</w:t>
      </w:r>
    </w:p>
    <w:p w14:paraId="55C9CC33" w14:textId="66BC3F29" w:rsidR="777617A6" w:rsidRPr="00B450EB" w:rsidRDefault="41C2DF6D" w:rsidP="293A866D">
      <w:pPr>
        <w:spacing w:line="276" w:lineRule="auto"/>
        <w:ind w:right="251"/>
        <w:rPr>
          <w:rFonts w:eastAsia="Arial Nova" w:cs="Arial"/>
        </w:rPr>
      </w:pPr>
      <w:r w:rsidRPr="00B450EB">
        <w:rPr>
          <w:rFonts w:eastAsia="Arial" w:cs="Arial"/>
        </w:rPr>
        <w:t xml:space="preserve">Para este caso, EL Juzgado Civil del Circuito Especializado en restitución de tierras del Distrito Judicial de Cundinamarca, admitió la solicitud de medida cautelar elevada por la Unidad Administrativa Especial de Gestión de Restitución de Tierras Despojadas - Dirección de Tierras Bogotá, a favor de los pueblos indígenas Yuri y </w:t>
      </w:r>
      <w:proofErr w:type="spellStart"/>
      <w:r w:rsidRPr="00B450EB">
        <w:rPr>
          <w:rFonts w:eastAsia="Arial" w:cs="Arial"/>
        </w:rPr>
        <w:t>Passé</w:t>
      </w:r>
      <w:proofErr w:type="spellEnd"/>
      <w:r w:rsidRPr="00B450EB">
        <w:rPr>
          <w:rFonts w:eastAsia="Arial" w:cs="Arial"/>
        </w:rPr>
        <w:t xml:space="preserve"> en aislamiento voluntario asentados en las áreas no municipalizadas de Puerto Arica, Tarapacá y La Pedrera en el departamento de Amazonas, habiendo reconocido la presencia de balsas y maquinaria relacionada con minería ilegal en la zona catalogada como “intangible” al interior del Parque Nacional Natural Río Puré. Un territorio en el que se ha registrado la minería ilegal de oro mediante el sistema de aluvión desde el año 2003, con incremento para el año 2020 y esto, constituye una afectación directa para los Pueblos Indígenas en Aislamiento – PIA, quiénes se encuentran sujetos a:</w:t>
      </w:r>
    </w:p>
    <w:p w14:paraId="5C5215D7" w14:textId="158842FD" w:rsidR="41C2DF6D" w:rsidRPr="00B450EB" w:rsidRDefault="41C2DF6D" w:rsidP="293A866D">
      <w:pPr>
        <w:spacing w:line="276" w:lineRule="auto"/>
        <w:ind w:right="251"/>
        <w:rPr>
          <w:rFonts w:eastAsia="Arial" w:cs="Arial"/>
          <w:lang w:val="es-ES"/>
        </w:rPr>
      </w:pPr>
      <w:r w:rsidRPr="00B450EB">
        <w:rPr>
          <w:rFonts w:eastAsia="Arial" w:cs="Arial"/>
        </w:rPr>
        <w:t>Un avance significativo de la explotación de la denominada minería ilegal en el río Puré y en las tierras intangibles del Parque Nacional Natural Río Puré, realizados por terceros no autorizados para ingresar a su territorio, lo cual estaría ocasionando:</w:t>
      </w:r>
    </w:p>
    <w:p w14:paraId="4CC43F96" w14:textId="0A949719" w:rsidR="41C2DF6D" w:rsidRPr="00B450EB" w:rsidRDefault="41C2DF6D" w:rsidP="293A866D">
      <w:pPr>
        <w:spacing w:line="276" w:lineRule="auto"/>
        <w:ind w:right="251"/>
        <w:rPr>
          <w:rFonts w:eastAsia="Arial" w:cs="Arial"/>
          <w:lang w:val="es-ES"/>
        </w:rPr>
      </w:pPr>
      <w:r w:rsidRPr="00B450EB">
        <w:rPr>
          <w:rFonts w:eastAsia="Arial" w:cs="Arial"/>
        </w:rPr>
        <w:t>1.1. La contaminación del río Puré que sirve de subsistencia de los pueblos indígenas, reportando el afluente altas concentraciones del mineral que impacta gravemente la salud y la seguridad alimentaria de los pueblos.</w:t>
      </w:r>
    </w:p>
    <w:p w14:paraId="6F9A5977" w14:textId="7C9D7410" w:rsidR="41C2DF6D" w:rsidRPr="00B450EB" w:rsidRDefault="41C2DF6D" w:rsidP="293A866D">
      <w:pPr>
        <w:spacing w:line="276" w:lineRule="auto"/>
        <w:ind w:right="251"/>
        <w:rPr>
          <w:rFonts w:eastAsia="Arial" w:cs="Arial"/>
          <w:lang w:val="es-ES"/>
        </w:rPr>
      </w:pPr>
      <w:r w:rsidRPr="00B450EB">
        <w:rPr>
          <w:rFonts w:eastAsia="Arial" w:cs="Arial"/>
        </w:rPr>
        <w:t>1.2. Riesgo de contacto inminente con las personas que realizan las actividades de minería, teniendo en cuenta que la infraestructura para realizar la actividad se ubica en zona próxima a los lugares donde se han avistado los asentamientos de los PIA.</w:t>
      </w:r>
    </w:p>
    <w:p w14:paraId="4A98397E" w14:textId="79F1B479" w:rsidR="41C2DF6D" w:rsidRPr="00B450EB" w:rsidRDefault="41C2DF6D" w:rsidP="293A866D">
      <w:pPr>
        <w:spacing w:line="276" w:lineRule="auto"/>
        <w:ind w:right="251"/>
        <w:rPr>
          <w:rFonts w:eastAsia="Arial" w:cs="Arial"/>
          <w:lang w:val="es-ES"/>
        </w:rPr>
      </w:pPr>
      <w:r w:rsidRPr="00B450EB">
        <w:rPr>
          <w:rFonts w:eastAsia="Arial" w:cs="Arial"/>
        </w:rPr>
        <w:t>2. Riesgo de contacto inminente, asimilación forzada y riesgo epidemiológico ante el asentamiento de comunidad evangelizadora en la Unidad de Ordenación Forestal de Tarapacá-Arica ubicada en colindancia al PNN Río Puré.</w:t>
      </w:r>
    </w:p>
    <w:p w14:paraId="68D78B7A" w14:textId="7E7BF341" w:rsidR="41C2DF6D" w:rsidRPr="00B450EB" w:rsidRDefault="41C2DF6D" w:rsidP="293A866D">
      <w:pPr>
        <w:spacing w:line="276" w:lineRule="auto"/>
        <w:ind w:right="251"/>
        <w:rPr>
          <w:rFonts w:eastAsia="Arial" w:cs="Arial"/>
        </w:rPr>
      </w:pPr>
      <w:r w:rsidRPr="00B450EB">
        <w:rPr>
          <w:rFonts w:eastAsia="Arial" w:cs="Arial"/>
        </w:rPr>
        <w:t xml:space="preserve">3. Aprovechamiento forestal ilegal en la zona del río </w:t>
      </w:r>
      <w:proofErr w:type="spellStart"/>
      <w:r w:rsidRPr="00B450EB">
        <w:rPr>
          <w:rFonts w:eastAsia="Arial" w:cs="Arial"/>
        </w:rPr>
        <w:t>Pupuña</w:t>
      </w:r>
      <w:proofErr w:type="spellEnd"/>
      <w:r w:rsidRPr="00B450EB">
        <w:rPr>
          <w:rFonts w:eastAsia="Arial" w:cs="Arial"/>
        </w:rPr>
        <w:t xml:space="preserve"> y transformación del paisaje en zona colindante al PPN Río Puré con el asentamiento de enclaves agropecuarios.</w:t>
      </w:r>
    </w:p>
    <w:p w14:paraId="5F717008" w14:textId="6C8B23A6" w:rsidR="41C2DF6D" w:rsidRPr="00B450EB" w:rsidRDefault="41C2DF6D" w:rsidP="293A866D">
      <w:pPr>
        <w:spacing w:line="276" w:lineRule="auto"/>
        <w:ind w:right="251"/>
        <w:rPr>
          <w:rFonts w:eastAsia="Arial" w:cs="Arial"/>
        </w:rPr>
      </w:pPr>
      <w:r w:rsidRPr="00B450EB">
        <w:rPr>
          <w:rFonts w:eastAsia="Arial" w:cs="Arial"/>
        </w:rPr>
        <w:t xml:space="preserve">Presiones que, pese a las operaciones militares realizadas, no han podido ser enfrentadas y donde, la minería ilegal y la deforestación en la zona son </w:t>
      </w:r>
      <w:r w:rsidRPr="00B450EB">
        <w:rPr>
          <w:rFonts w:eastAsia="Arial" w:cs="Arial"/>
        </w:rPr>
        <w:lastRenderedPageBreak/>
        <w:t>continuamente latentes, pues en los sobrevuelos e imágenes satelitales se observan dragas, botes de madera, chalupas de aluminio, remolcadores, embarcaciones de recreo en el PNN Río Puré en el sector de Colombia y en territorio brasilero; una situación que impone la coordinación entre los distintos gobiernos de la región amazónica para contrarrestar ese flagelo.</w:t>
      </w:r>
    </w:p>
    <w:p w14:paraId="31CCAB98" w14:textId="7393E497" w:rsidR="00E96EAD" w:rsidRPr="00B450EB" w:rsidRDefault="41C2DF6D" w:rsidP="002A6FC1">
      <w:pPr>
        <w:spacing w:line="276" w:lineRule="auto"/>
        <w:ind w:right="251"/>
        <w:rPr>
          <w:rFonts w:eastAsia="Arial" w:cs="Arial"/>
        </w:rPr>
      </w:pPr>
      <w:r w:rsidRPr="00B450EB">
        <w:rPr>
          <w:rFonts w:eastAsia="Arial" w:cs="Arial"/>
        </w:rPr>
        <w:t xml:space="preserve">Lo que da cuenta de la importancia de proteger este bioma de las distintas presiones antrópicas que podrían alterar sus dinámicas naturales, ciclos y los servicios ecosistémicos que provee.  </w:t>
      </w:r>
    </w:p>
    <w:p w14:paraId="0BB563AE" w14:textId="77777777" w:rsidR="00E96EAD" w:rsidRPr="00B450EB" w:rsidRDefault="00E96EAD">
      <w:pPr>
        <w:jc w:val="left"/>
        <w:rPr>
          <w:rFonts w:eastAsia="Arial" w:cs="Arial"/>
        </w:rPr>
      </w:pPr>
      <w:r w:rsidRPr="00B450EB">
        <w:rPr>
          <w:rFonts w:eastAsia="Arial" w:cs="Arial"/>
        </w:rPr>
        <w:br w:type="page"/>
      </w:r>
    </w:p>
    <w:p w14:paraId="1E0C6975" w14:textId="61535065" w:rsidR="00D90ACC" w:rsidRPr="00B450EB" w:rsidRDefault="00D90ACC" w:rsidP="00092A1B">
      <w:pPr>
        <w:pStyle w:val="Ttulo1"/>
        <w:numPr>
          <w:ilvl w:val="0"/>
          <w:numId w:val="1"/>
        </w:numPr>
        <w:rPr>
          <w:rFonts w:cs="Arial"/>
          <w:lang w:val="pt-PT"/>
        </w:rPr>
      </w:pPr>
      <w:bookmarkStart w:id="3" w:name="_Toc209722909"/>
      <w:r w:rsidRPr="00B450EB">
        <w:rPr>
          <w:rFonts w:cs="Arial"/>
          <w:lang w:val="pt-PT"/>
        </w:rPr>
        <w:lastRenderedPageBreak/>
        <w:t>CONTEXTO</w:t>
      </w:r>
      <w:r w:rsidRPr="00B450EB">
        <w:rPr>
          <w:rFonts w:cs="Arial"/>
          <w:spacing w:val="-4"/>
          <w:lang w:val="pt-PT"/>
        </w:rPr>
        <w:t xml:space="preserve"> </w:t>
      </w:r>
      <w:r w:rsidRPr="00B450EB">
        <w:rPr>
          <w:rFonts w:cs="Arial"/>
          <w:lang w:val="pt-PT"/>
        </w:rPr>
        <w:t xml:space="preserve">REGIONAL </w:t>
      </w:r>
      <w:r w:rsidR="00AE772F" w:rsidRPr="00B450EB">
        <w:rPr>
          <w:rFonts w:cs="Arial"/>
          <w:lang w:val="pt-PT"/>
        </w:rPr>
        <w:t>DEL BIOMA AMAZ</w:t>
      </w:r>
      <w:r w:rsidR="004F7E3F" w:rsidRPr="00B450EB">
        <w:rPr>
          <w:rFonts w:cs="Arial"/>
          <w:lang w:val="pt-PT"/>
        </w:rPr>
        <w:t>Ó</w:t>
      </w:r>
      <w:r w:rsidR="00AE772F" w:rsidRPr="00B450EB">
        <w:rPr>
          <w:rFonts w:cs="Arial"/>
          <w:lang w:val="pt-PT"/>
        </w:rPr>
        <w:t>NICO</w:t>
      </w:r>
      <w:bookmarkEnd w:id="3"/>
    </w:p>
    <w:p w14:paraId="5DE0ECCE" w14:textId="36AD4C84" w:rsidR="00A96776" w:rsidRPr="00B450EB" w:rsidRDefault="00804A00" w:rsidP="00554AAA">
      <w:pPr>
        <w:rPr>
          <w:rFonts w:eastAsia="Arial" w:cs="Arial"/>
        </w:rPr>
      </w:pPr>
      <w:r w:rsidRPr="00B450EB">
        <w:t xml:space="preserve">La región Neotropical es la más rica en especies del planeta. </w:t>
      </w:r>
      <w:r w:rsidR="000A7AE8" w:rsidRPr="00B450EB">
        <w:t>En esta región,</w:t>
      </w:r>
      <w:r w:rsidRPr="00B450EB">
        <w:t xml:space="preserve"> a </w:t>
      </w:r>
      <w:r w:rsidR="000A7AE8" w:rsidRPr="00B450EB">
        <w:t>su vez</w:t>
      </w:r>
      <w:r w:rsidRPr="00B450EB">
        <w:t xml:space="preserve"> la </w:t>
      </w:r>
      <w:r w:rsidR="000A7AE8" w:rsidRPr="00B450EB">
        <w:t>biodiversidad</w:t>
      </w:r>
      <w:r w:rsidRPr="00B450EB">
        <w:t xml:space="preserve"> se concentra en dos patrones ecosistémicos </w:t>
      </w:r>
      <w:r w:rsidR="000A7AE8" w:rsidRPr="00B450EB">
        <w:t>principales</w:t>
      </w:r>
      <w:r w:rsidRPr="00B450EB">
        <w:t xml:space="preserve">, el de </w:t>
      </w:r>
      <w:r w:rsidR="0028018C" w:rsidRPr="00B450EB">
        <w:t>L</w:t>
      </w:r>
      <w:r w:rsidRPr="00B450EB">
        <w:t xml:space="preserve">os </w:t>
      </w:r>
      <w:r w:rsidR="0028018C" w:rsidRPr="00B450EB">
        <w:t>A</w:t>
      </w:r>
      <w:r w:rsidRPr="00B450EB">
        <w:t xml:space="preserve">ndes y el de </w:t>
      </w:r>
      <w:r w:rsidR="0028018C" w:rsidRPr="00B450EB">
        <w:t>L</w:t>
      </w:r>
      <w:r w:rsidRPr="00B450EB">
        <w:t xml:space="preserve">a Amazonía. </w:t>
      </w:r>
      <w:r w:rsidR="003E0BB8" w:rsidRPr="00B450EB">
        <w:t>Est</w:t>
      </w:r>
      <w:r w:rsidR="004B30A6" w:rsidRPr="00B450EB">
        <w:t>e</w:t>
      </w:r>
      <w:r w:rsidR="003E0BB8" w:rsidRPr="00B450EB">
        <w:t xml:space="preserve"> </w:t>
      </w:r>
      <w:r w:rsidR="001B64FA" w:rsidRPr="00B450EB">
        <w:t>último ecosistema amazónico</w:t>
      </w:r>
      <w:r w:rsidR="003E0BB8" w:rsidRPr="00B450EB">
        <w:t>,</w:t>
      </w:r>
      <w:r w:rsidRPr="00B450EB">
        <w:t xml:space="preserve"> comprend</w:t>
      </w:r>
      <w:r w:rsidR="003E0BB8" w:rsidRPr="00B450EB">
        <w:t>iendo</w:t>
      </w:r>
      <w:r w:rsidRPr="00B450EB">
        <w:t xml:space="preserve"> el 33% de las especies de plantas neotropicales</w:t>
      </w:r>
      <w:r w:rsidR="00246E44" w:rsidRPr="00B450EB">
        <w:t xml:space="preserve"> (</w:t>
      </w:r>
      <w:proofErr w:type="spellStart"/>
      <w:r w:rsidR="00246E44" w:rsidRPr="00B450EB">
        <w:t>Gentry</w:t>
      </w:r>
      <w:proofErr w:type="spellEnd"/>
      <w:r w:rsidR="00246E44" w:rsidRPr="00B450EB">
        <w:t xml:space="preserve"> </w:t>
      </w:r>
      <w:r w:rsidR="00662666" w:rsidRPr="00B450EB">
        <w:t>1982</w:t>
      </w:r>
      <w:r w:rsidR="00246E44" w:rsidRPr="00B450EB">
        <w:t>)</w:t>
      </w:r>
      <w:r w:rsidRPr="00B450EB">
        <w:t xml:space="preserve">. </w:t>
      </w:r>
      <w:r w:rsidR="00B90184" w:rsidRPr="00B450EB">
        <w:t>La Amazonía trans</w:t>
      </w:r>
      <w:r w:rsidR="00CC7B1B" w:rsidRPr="00B450EB">
        <w:t>fronteriza</w:t>
      </w:r>
      <w:r w:rsidR="000F0E60" w:rsidRPr="00B450EB">
        <w:t>,</w:t>
      </w:r>
      <w:r w:rsidR="00B90184" w:rsidRPr="00B450EB">
        <w:t xml:space="preserve"> también </w:t>
      </w:r>
      <w:r w:rsidR="00CC7B1B" w:rsidRPr="00B450EB">
        <w:t>denominada</w:t>
      </w:r>
      <w:r w:rsidR="00B90184" w:rsidRPr="00B450EB">
        <w:t xml:space="preserve"> el bioma del bosque húmedo tropical del Amazonas</w:t>
      </w:r>
      <w:r w:rsidR="000F0E60" w:rsidRPr="00B450EB">
        <w:t xml:space="preserve"> “Amazon </w:t>
      </w:r>
      <w:proofErr w:type="spellStart"/>
      <w:r w:rsidR="000F0E60" w:rsidRPr="00B450EB">
        <w:t>rainforest</w:t>
      </w:r>
      <w:proofErr w:type="spellEnd"/>
      <w:r w:rsidR="000F0E60" w:rsidRPr="00B450EB">
        <w:t>”</w:t>
      </w:r>
      <w:r w:rsidR="003C5A21" w:rsidRPr="00B450EB">
        <w:t xml:space="preserve">, o como provincia </w:t>
      </w:r>
      <w:r w:rsidR="00356A32" w:rsidRPr="00B450EB">
        <w:t xml:space="preserve">Amazónica en diferentes </w:t>
      </w:r>
      <w:r w:rsidR="00D10C4B" w:rsidRPr="00B450EB">
        <w:t xml:space="preserve">estudios biogeográficos </w:t>
      </w:r>
      <w:r w:rsidR="001F0ED7" w:rsidRPr="00B450EB">
        <w:t>(</w:t>
      </w:r>
      <w:proofErr w:type="spellStart"/>
      <w:r w:rsidR="0056613E" w:rsidRPr="00B450EB">
        <w:t>Fit</w:t>
      </w:r>
      <w:r w:rsidR="001F0ED7" w:rsidRPr="00B450EB">
        <w:t>tkau</w:t>
      </w:r>
      <w:proofErr w:type="spellEnd"/>
      <w:r w:rsidR="001F0ED7" w:rsidRPr="00B450EB">
        <w:t xml:space="preserve"> 1969</w:t>
      </w:r>
      <w:r w:rsidR="00943F6D" w:rsidRPr="00B450EB">
        <w:t xml:space="preserve">, Cabrera y </w:t>
      </w:r>
      <w:proofErr w:type="spellStart"/>
      <w:r w:rsidR="00943F6D" w:rsidRPr="00B450EB">
        <w:t>Willink</w:t>
      </w:r>
      <w:proofErr w:type="spellEnd"/>
      <w:r w:rsidR="00943F6D" w:rsidRPr="00B450EB">
        <w:t xml:space="preserve"> 1973</w:t>
      </w:r>
      <w:r w:rsidR="00466DF6" w:rsidRPr="00B450EB">
        <w:t xml:space="preserve">, </w:t>
      </w:r>
      <w:proofErr w:type="spellStart"/>
      <w:r w:rsidR="00DD712A" w:rsidRPr="00B450EB">
        <w:t>R</w:t>
      </w:r>
      <w:r w:rsidR="00466DF6" w:rsidRPr="00B450EB">
        <w:t>in</w:t>
      </w:r>
      <w:r w:rsidR="00DD712A" w:rsidRPr="00B450EB">
        <w:t>guelet</w:t>
      </w:r>
      <w:proofErr w:type="spellEnd"/>
      <w:r w:rsidR="00DD712A" w:rsidRPr="00B450EB">
        <w:t xml:space="preserve"> 1975</w:t>
      </w:r>
      <w:r w:rsidR="001F0ED7" w:rsidRPr="00B450EB">
        <w:t xml:space="preserve">) </w:t>
      </w:r>
      <w:proofErr w:type="gramStart"/>
      <w:r w:rsidR="00D10C4B" w:rsidRPr="00B450EB">
        <w:t>que</w:t>
      </w:r>
      <w:proofErr w:type="gramEnd"/>
      <w:r w:rsidR="00D10C4B" w:rsidRPr="00B450EB">
        <w:t xml:space="preserve"> aunque pueden </w:t>
      </w:r>
      <w:r w:rsidR="00B952A0" w:rsidRPr="00B450EB">
        <w:t>varían</w:t>
      </w:r>
      <w:r w:rsidR="00D10C4B" w:rsidRPr="00B450EB">
        <w:t xml:space="preserve"> en sus límites dependiendo de</w:t>
      </w:r>
      <w:r w:rsidR="00644530" w:rsidRPr="00B450EB">
        <w:t xml:space="preserve">l método y especies </w:t>
      </w:r>
      <w:r w:rsidR="00552E6E" w:rsidRPr="00B450EB">
        <w:t xml:space="preserve">tratadas, se aproximan a la siguiente </w:t>
      </w:r>
      <w:r w:rsidR="00D94C13" w:rsidRPr="00B450EB">
        <w:t>propuesta</w:t>
      </w:r>
      <w:r w:rsidR="00B90184" w:rsidRPr="00B450EB">
        <w:t>.</w:t>
      </w:r>
      <w:r w:rsidR="00844D15" w:rsidRPr="00B450EB">
        <w:t xml:space="preserve"> </w:t>
      </w:r>
    </w:p>
    <w:p w14:paraId="2BBF282F" w14:textId="68665382" w:rsidR="00947546" w:rsidRPr="00B450EB" w:rsidRDefault="00947546" w:rsidP="00947546">
      <w:pPr>
        <w:pStyle w:val="Descripcin"/>
        <w:rPr>
          <w:rFonts w:eastAsia="Arial" w:cs="Arial"/>
          <w:color w:val="auto"/>
        </w:rPr>
      </w:pPr>
      <w:bookmarkStart w:id="4" w:name="_Toc209462690"/>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1</w:t>
      </w:r>
      <w:r w:rsidRPr="00B450EB">
        <w:rPr>
          <w:color w:val="auto"/>
        </w:rPr>
        <w:fldChar w:fldCharType="end"/>
      </w:r>
      <w:r w:rsidRPr="00B450EB">
        <w:rPr>
          <w:color w:val="auto"/>
        </w:rPr>
        <w:t>.</w:t>
      </w:r>
      <w:r w:rsidRPr="00B450EB">
        <w:rPr>
          <w:rFonts w:eastAsia="Arial" w:cs="Arial"/>
          <w:color w:val="auto"/>
        </w:rPr>
        <w:t xml:space="preserve"> Principales Biomas de Suramérica</w:t>
      </w:r>
      <w:bookmarkEnd w:id="4"/>
    </w:p>
    <w:p w14:paraId="22013DC6" w14:textId="5B1A8061" w:rsidR="0066199B" w:rsidRPr="00B450EB" w:rsidRDefault="0066199B" w:rsidP="008320B6">
      <w:pPr>
        <w:spacing w:after="0"/>
        <w:jc w:val="center"/>
        <w:rPr>
          <w:rFonts w:eastAsia="Arial" w:cs="Arial"/>
        </w:rPr>
      </w:pPr>
      <w:r w:rsidRPr="00B450EB">
        <w:rPr>
          <w:rFonts w:eastAsia="Arial" w:cs="Arial"/>
          <w:noProof/>
        </w:rPr>
        <w:drawing>
          <wp:inline distT="0" distB="0" distL="0" distR="0" wp14:anchorId="22BBDDFC" wp14:editId="13FDCCDF">
            <wp:extent cx="4622488" cy="4853141"/>
            <wp:effectExtent l="0" t="0" r="6985" b="5080"/>
            <wp:docPr id="442310925" name="Picture 1" descr="A map of south america with different colored countries/reg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310925" name="Picture 1" descr="A map of south america with different colored countries/regions&#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4627498" cy="4858401"/>
                    </a:xfrm>
                    <a:prstGeom prst="rect">
                      <a:avLst/>
                    </a:prstGeom>
                  </pic:spPr>
                </pic:pic>
              </a:graphicData>
            </a:graphic>
          </wp:inline>
        </w:drawing>
      </w:r>
    </w:p>
    <w:p w14:paraId="06F5F135" w14:textId="74E50579" w:rsidR="00C7219F" w:rsidRPr="00B450EB" w:rsidRDefault="00C7219F" w:rsidP="00C7219F">
      <w:pPr>
        <w:jc w:val="center"/>
        <w:rPr>
          <w:sz w:val="18"/>
          <w:szCs w:val="18"/>
        </w:rPr>
      </w:pPr>
      <w:r w:rsidRPr="00B450EB">
        <w:rPr>
          <w:sz w:val="18"/>
          <w:szCs w:val="18"/>
        </w:rPr>
        <w:t xml:space="preserve">Fuente: </w:t>
      </w:r>
      <w:proofErr w:type="spellStart"/>
      <w:r w:rsidR="009A083C" w:rsidRPr="00B450EB">
        <w:rPr>
          <w:sz w:val="18"/>
          <w:szCs w:val="18"/>
        </w:rPr>
        <w:t>Nobre</w:t>
      </w:r>
      <w:proofErr w:type="spellEnd"/>
      <w:r w:rsidR="009A083C" w:rsidRPr="00B450EB">
        <w:rPr>
          <w:sz w:val="18"/>
          <w:szCs w:val="18"/>
        </w:rPr>
        <w:t xml:space="preserve"> </w:t>
      </w:r>
      <w:r w:rsidR="009A083C" w:rsidRPr="00B450EB">
        <w:rPr>
          <w:i/>
          <w:iCs/>
          <w:sz w:val="18"/>
          <w:szCs w:val="18"/>
        </w:rPr>
        <w:t>et al.</w:t>
      </w:r>
      <w:r w:rsidR="009A083C" w:rsidRPr="00B450EB">
        <w:rPr>
          <w:sz w:val="18"/>
          <w:szCs w:val="18"/>
        </w:rPr>
        <w:t xml:space="preserve"> 2021. </w:t>
      </w:r>
      <w:r w:rsidR="00947546" w:rsidRPr="00B450EB">
        <w:rPr>
          <w:sz w:val="18"/>
          <w:szCs w:val="18"/>
        </w:rPr>
        <w:t xml:space="preserve">Amazon </w:t>
      </w:r>
      <w:proofErr w:type="spellStart"/>
      <w:r w:rsidR="00947546" w:rsidRPr="00B450EB">
        <w:rPr>
          <w:sz w:val="18"/>
          <w:szCs w:val="18"/>
        </w:rPr>
        <w:t>Assessment</w:t>
      </w:r>
      <w:proofErr w:type="spellEnd"/>
      <w:r w:rsidR="00947546" w:rsidRPr="00B450EB">
        <w:rPr>
          <w:sz w:val="18"/>
          <w:szCs w:val="18"/>
        </w:rPr>
        <w:t xml:space="preserve"> </w:t>
      </w:r>
      <w:proofErr w:type="spellStart"/>
      <w:r w:rsidR="00947546" w:rsidRPr="00B450EB">
        <w:rPr>
          <w:sz w:val="18"/>
          <w:szCs w:val="18"/>
        </w:rPr>
        <w:t>Report</w:t>
      </w:r>
      <w:proofErr w:type="spellEnd"/>
      <w:r w:rsidR="00947546" w:rsidRPr="00B450EB">
        <w:rPr>
          <w:sz w:val="18"/>
          <w:szCs w:val="18"/>
        </w:rPr>
        <w:t xml:space="preserve"> 2021</w:t>
      </w:r>
      <w:r w:rsidR="00884B2F" w:rsidRPr="00B450EB">
        <w:rPr>
          <w:sz w:val="18"/>
          <w:szCs w:val="18"/>
        </w:rPr>
        <w:t>.</w:t>
      </w:r>
    </w:p>
    <w:p w14:paraId="3BA5C29D" w14:textId="1D272EBF" w:rsidR="007C5142" w:rsidRPr="00B450EB" w:rsidRDefault="007C5142" w:rsidP="007C5142">
      <w:pPr>
        <w:rPr>
          <w:rFonts w:cs="Arial"/>
        </w:rPr>
      </w:pPr>
      <w:r w:rsidRPr="00B450EB">
        <w:rPr>
          <w:rFonts w:cs="Arial"/>
        </w:rPr>
        <w:t xml:space="preserve">La Amazonía es el mayor bosque tropical del mundo, compartido por ocho países sudamericanos: Brasil, Bolivia, Ecuador, Colombia, Guyana, Perú, Surinam y </w:t>
      </w:r>
      <w:r w:rsidRPr="00B450EB">
        <w:rPr>
          <w:rFonts w:cs="Arial"/>
        </w:rPr>
        <w:lastRenderedPageBreak/>
        <w:t>Venezuela. Con una superficie que ronda los 7,5 millones de km², Colombia alberga aproximadamente el 7 % de esta vasta región, lo que la convierte en un área clave tanto para la biodiversidad como para la conectividad ecológica (</w:t>
      </w:r>
      <w:proofErr w:type="spellStart"/>
      <w:r w:rsidRPr="00B450EB">
        <w:rPr>
          <w:rFonts w:cs="Arial"/>
        </w:rPr>
        <w:t>Killeen</w:t>
      </w:r>
      <w:proofErr w:type="spellEnd"/>
      <w:r w:rsidRPr="00B450EB">
        <w:rPr>
          <w:rFonts w:cs="Arial"/>
        </w:rPr>
        <w:t xml:space="preserve">, 2007). Aproximadamente el 10% de las especies de plantas y especies descritas globalmente se encuentran en el bioma de la Amazonía, aunque probablemente estas cifras son subestimadas de acuerdo con la gran extensión del bioma y la alta probabilidad de encontrar nuevas especies y registros al aumentar las investigaciones, especialmente en grupos como artrópodos. </w:t>
      </w:r>
    </w:p>
    <w:p w14:paraId="6127D900" w14:textId="77777777" w:rsidR="007C5142" w:rsidRPr="00B450EB" w:rsidRDefault="007C5142" w:rsidP="007C5142">
      <w:pPr>
        <w:rPr>
          <w:rFonts w:eastAsia="Arial" w:cs="Arial"/>
        </w:rPr>
      </w:pPr>
      <w:r w:rsidRPr="00B450EB">
        <w:rPr>
          <w:rFonts w:eastAsia="Arial" w:cs="Arial"/>
        </w:rPr>
        <w:t>Ejemplo de lo anterior, es que la Amazonía en su totalidad alberga más de 2.700 especies descritas de peces de agua dulce, lo que corresponde a cerca del 15 % de todas las especies de agua dulce conocidas (</w:t>
      </w:r>
      <w:proofErr w:type="spellStart"/>
      <w:r w:rsidRPr="00B450EB">
        <w:rPr>
          <w:rFonts w:eastAsia="Arial" w:cs="Arial"/>
        </w:rPr>
        <w:t>Dagosta</w:t>
      </w:r>
      <w:proofErr w:type="spellEnd"/>
      <w:r w:rsidRPr="00B450EB">
        <w:rPr>
          <w:rFonts w:eastAsia="Arial" w:cs="Arial"/>
        </w:rPr>
        <w:t xml:space="preserve"> &amp; de Pinna, 2019; </w:t>
      </w:r>
      <w:proofErr w:type="spellStart"/>
      <w:r w:rsidRPr="00B450EB">
        <w:rPr>
          <w:rFonts w:eastAsia="Arial" w:cs="Arial"/>
        </w:rPr>
        <w:t>Jézéquel</w:t>
      </w:r>
      <w:proofErr w:type="spellEnd"/>
      <w:r w:rsidRPr="00B450EB">
        <w:rPr>
          <w:rFonts w:eastAsia="Arial" w:cs="Arial"/>
        </w:rPr>
        <w:t xml:space="preserve"> et al., 2020). Esta extraordinaria abundancia, sumada a la gran cantidad de organismos aún no descritos, subraya la importancia global de la región como reservorio de biodiversidad (Val &amp; Almeida-Val, 1995). </w:t>
      </w:r>
    </w:p>
    <w:p w14:paraId="50BCB847" w14:textId="35C2CA1D" w:rsidR="007C5142" w:rsidRPr="00B450EB" w:rsidRDefault="007C5142" w:rsidP="007C5142">
      <w:pPr>
        <w:rPr>
          <w:rFonts w:cs="Arial"/>
        </w:rPr>
      </w:pPr>
      <w:r w:rsidRPr="00B450EB">
        <w:rPr>
          <w:rFonts w:cs="Arial"/>
        </w:rPr>
        <w:t>Esta extraordinaria riqueza de especies es resultado de millones de años de evolución, desde el periodo cretácico hasta el presente, en donde diferentes factores geológicos y climáticos a distintas escalas, contribuyeron a la generación de variedad de paisajes y redes hídricas, con heterogeneidad de suelos y microambientes</w:t>
      </w:r>
      <w:r w:rsidR="0021519C" w:rsidRPr="00B450EB">
        <w:rPr>
          <w:rFonts w:cs="Arial"/>
        </w:rPr>
        <w:t xml:space="preserve"> </w:t>
      </w:r>
      <w:r w:rsidR="0021519C" w:rsidRPr="00B450EB">
        <w:rPr>
          <w:rFonts w:eastAsia="Arial" w:cs="Arial"/>
        </w:rPr>
        <w:t xml:space="preserve">que van desde </w:t>
      </w:r>
      <w:proofErr w:type="gramStart"/>
      <w:r w:rsidR="0021519C" w:rsidRPr="00B450EB">
        <w:rPr>
          <w:rFonts w:eastAsia="Arial" w:cs="Arial"/>
        </w:rPr>
        <w:t>los tepuyes</w:t>
      </w:r>
      <w:proofErr w:type="gramEnd"/>
      <w:r w:rsidR="0021519C" w:rsidRPr="00B450EB">
        <w:rPr>
          <w:rFonts w:eastAsia="Arial" w:cs="Arial"/>
        </w:rPr>
        <w:t xml:space="preserve"> del norte hasta las selvas tropicales de tierras bajas y las estribaciones andinas en el occidente (Hoorn &amp; </w:t>
      </w:r>
      <w:proofErr w:type="spellStart"/>
      <w:r w:rsidR="0021519C" w:rsidRPr="00B450EB">
        <w:rPr>
          <w:rFonts w:eastAsia="Arial" w:cs="Arial"/>
        </w:rPr>
        <w:t>Wesselingh</w:t>
      </w:r>
      <w:proofErr w:type="spellEnd"/>
      <w:r w:rsidR="0021519C" w:rsidRPr="00B450EB">
        <w:rPr>
          <w:rFonts w:eastAsia="Arial" w:cs="Arial"/>
        </w:rPr>
        <w:t>, 2010).</w:t>
      </w:r>
      <w:r w:rsidR="0021519C" w:rsidRPr="00B450EB">
        <w:rPr>
          <w:rFonts w:cs="Arial"/>
        </w:rPr>
        <w:t xml:space="preserve"> </w:t>
      </w:r>
      <w:r w:rsidRPr="00B450EB">
        <w:rPr>
          <w:rFonts w:cs="Arial"/>
        </w:rPr>
        <w:t xml:space="preserve">Esta diversificación, no solo fue producto de abundantes procesos de especiación, sino también de extinciones, lo cual produjo un ecosistema único evolutivamente. </w:t>
      </w:r>
    </w:p>
    <w:p w14:paraId="204D8F74" w14:textId="03391634" w:rsidR="00E81674" w:rsidRPr="00B450EB" w:rsidRDefault="00FA4CF7" w:rsidP="00554AAA">
      <w:r w:rsidRPr="00B450EB">
        <w:t xml:space="preserve">Si bien no se tiene una división geográfica consensuada del bioma Amazónico, algunos autores han propuesto su división entre </w:t>
      </w:r>
      <w:r w:rsidR="00EC480B" w:rsidRPr="00B450EB">
        <w:t>Amazonas oriental y Amazonas occidental</w:t>
      </w:r>
      <w:r w:rsidR="002A0240" w:rsidRPr="00B450EB">
        <w:t>, basados a su vez en las características de su superficie</w:t>
      </w:r>
      <w:r w:rsidR="00EC480B" w:rsidRPr="00B450EB">
        <w:t xml:space="preserve">. </w:t>
      </w:r>
      <w:r w:rsidR="002422C0" w:rsidRPr="00B450EB">
        <w:t>El</w:t>
      </w:r>
      <w:r w:rsidR="00CC444F" w:rsidRPr="00B450EB">
        <w:t xml:space="preserve"> Amazonas occidental </w:t>
      </w:r>
      <w:r w:rsidR="000E25B5" w:rsidRPr="00B450EB">
        <w:t xml:space="preserve">-del </w:t>
      </w:r>
      <w:r w:rsidR="00CC444F" w:rsidRPr="00B450EB">
        <w:t>cual hace parte Colombia</w:t>
      </w:r>
      <w:r w:rsidR="000E25B5" w:rsidRPr="00B450EB">
        <w:t>-</w:t>
      </w:r>
      <w:r w:rsidR="00CC444F" w:rsidRPr="00B450EB">
        <w:t xml:space="preserve">, </w:t>
      </w:r>
      <w:r w:rsidR="00DD2C22" w:rsidRPr="00B450EB">
        <w:t>está dominada por cuencas sedimentarias cenozoicas</w:t>
      </w:r>
      <w:r w:rsidR="00BD2DD1" w:rsidRPr="00B450EB">
        <w:t xml:space="preserve"> </w:t>
      </w:r>
      <w:r w:rsidR="004A6FDF" w:rsidRPr="00B450EB">
        <w:t>(p. ej. topografía plana</w:t>
      </w:r>
      <w:r w:rsidR="0031297C" w:rsidRPr="00B450EB">
        <w:t xml:space="preserve"> y tierras bajas</w:t>
      </w:r>
      <w:r w:rsidR="004A6FDF" w:rsidRPr="00B450EB">
        <w:t xml:space="preserve">) </w:t>
      </w:r>
      <w:r w:rsidR="00BD2DD1" w:rsidRPr="00B450EB">
        <w:t xml:space="preserve">con escudos precámbricos reducidos a sus márgenes (p. ej. </w:t>
      </w:r>
      <w:r w:rsidR="00D069FF" w:rsidRPr="00B450EB">
        <w:t xml:space="preserve">cordillera de </w:t>
      </w:r>
      <w:r w:rsidR="002429EE" w:rsidRPr="00B450EB">
        <w:t>L</w:t>
      </w:r>
      <w:r w:rsidR="00D069FF" w:rsidRPr="00B450EB">
        <w:t>os Andes</w:t>
      </w:r>
      <w:r w:rsidR="004A6FDF" w:rsidRPr="00B450EB">
        <w:t>)</w:t>
      </w:r>
      <w:r w:rsidR="001B467D" w:rsidRPr="00B450EB">
        <w:t xml:space="preserve">, mientras que la </w:t>
      </w:r>
      <w:r w:rsidR="000E25B5" w:rsidRPr="00B450EB">
        <w:t>Amazon</w:t>
      </w:r>
      <w:proofErr w:type="spellStart"/>
      <w:r w:rsidR="000E25B5" w:rsidRPr="00B450EB">
        <w:rPr>
          <w:lang w:val="es-ES"/>
        </w:rPr>
        <w:t>ía</w:t>
      </w:r>
      <w:proofErr w:type="spellEnd"/>
      <w:r w:rsidR="000E25B5" w:rsidRPr="00B450EB">
        <w:rPr>
          <w:lang w:val="es-ES"/>
        </w:rPr>
        <w:t xml:space="preserve"> </w:t>
      </w:r>
      <w:r w:rsidR="001B467D" w:rsidRPr="00B450EB">
        <w:t xml:space="preserve">oriental </w:t>
      </w:r>
      <w:r w:rsidR="00CA4E62" w:rsidRPr="00B450EB">
        <w:t>está dominada por escudos precámbricos con cuencas sedimentarias paleozoicas</w:t>
      </w:r>
      <w:r w:rsidR="002D42EE" w:rsidRPr="00B450EB">
        <w:t>, es decir mayor presencia de relieve</w:t>
      </w:r>
      <w:r w:rsidR="0031297C" w:rsidRPr="00B450EB">
        <w:t xml:space="preserve"> disectado y </w:t>
      </w:r>
      <w:r w:rsidR="007335C4" w:rsidRPr="00B450EB">
        <w:t>tierras altas</w:t>
      </w:r>
      <w:r w:rsidR="00A265EA" w:rsidRPr="00B450EB">
        <w:t xml:space="preserve"> </w:t>
      </w:r>
      <w:r w:rsidR="009B3E09" w:rsidRPr="00B450EB">
        <w:t>(Val et al. 2021)</w:t>
      </w:r>
      <w:r w:rsidR="00CA4E62" w:rsidRPr="00B450EB">
        <w:t>.</w:t>
      </w:r>
      <w:r w:rsidR="007335C4" w:rsidRPr="00B450EB">
        <w:t xml:space="preserve"> </w:t>
      </w:r>
    </w:p>
    <w:p w14:paraId="23BF2A5E" w14:textId="048F86ED" w:rsidR="00554AAA" w:rsidRPr="00B450EB" w:rsidRDefault="00554AAA" w:rsidP="00554AAA">
      <w:r w:rsidRPr="00B450EB">
        <w:t xml:space="preserve">La Amazonía occidental está dominada de forma particular por una configuración acuática con millones de años de evolución. Es muy posible que esta relación hidrológica con la vegetación </w:t>
      </w:r>
      <w:r w:rsidR="009057AE" w:rsidRPr="00B450EB">
        <w:t>haya contribuido</w:t>
      </w:r>
      <w:r w:rsidRPr="00B450EB">
        <w:t xml:space="preserve"> a que la “Amazonía occidental” sea la región con la diversidad </w:t>
      </w:r>
      <w:proofErr w:type="spellStart"/>
      <w:r w:rsidR="008843A1" w:rsidRPr="00B450EB">
        <w:t>a</w:t>
      </w:r>
      <w:r w:rsidRPr="00B450EB">
        <w:t>lpha</w:t>
      </w:r>
      <w:proofErr w:type="spellEnd"/>
      <w:r w:rsidRPr="00B450EB">
        <w:t xml:space="preserve"> de especies más alta de todos los bosques tropicales del mundo. </w:t>
      </w:r>
      <w:r w:rsidR="00223E84" w:rsidRPr="00B450EB">
        <w:t>A su vez, la Amazonía occidental es aquella</w:t>
      </w:r>
      <w:r w:rsidR="00C80B71" w:rsidRPr="00B450EB">
        <w:t xml:space="preserve"> que resguarda </w:t>
      </w:r>
      <w:r w:rsidR="004E64E7" w:rsidRPr="00B450EB">
        <w:lastRenderedPageBreak/>
        <w:t xml:space="preserve">las principales </w:t>
      </w:r>
      <w:r w:rsidR="0066199B" w:rsidRPr="00B450EB">
        <w:t xml:space="preserve">reservas de </w:t>
      </w:r>
      <w:r w:rsidR="003C79EA" w:rsidRPr="00B450EB">
        <w:t xml:space="preserve">gas y petróleo </w:t>
      </w:r>
      <w:r w:rsidR="005544C5" w:rsidRPr="00B450EB">
        <w:t>(</w:t>
      </w:r>
      <w:proofErr w:type="spellStart"/>
      <w:r w:rsidR="005544C5" w:rsidRPr="00B450EB">
        <w:t>Finer</w:t>
      </w:r>
      <w:proofErr w:type="spellEnd"/>
      <w:r w:rsidR="005544C5" w:rsidRPr="00B450EB">
        <w:t xml:space="preserve"> </w:t>
      </w:r>
      <w:r w:rsidR="005544C5" w:rsidRPr="00B450EB">
        <w:rPr>
          <w:i/>
        </w:rPr>
        <w:t xml:space="preserve">et </w:t>
      </w:r>
      <w:r w:rsidR="005544C5" w:rsidRPr="00B450EB">
        <w:rPr>
          <w:i/>
          <w:iCs/>
        </w:rPr>
        <w:t>al</w:t>
      </w:r>
      <w:r w:rsidR="00A34FBD" w:rsidRPr="00B450EB">
        <w:rPr>
          <w:i/>
          <w:iCs/>
        </w:rPr>
        <w:t>.</w:t>
      </w:r>
      <w:r w:rsidR="00A34FBD" w:rsidRPr="00B450EB">
        <w:t xml:space="preserve"> 2018) </w:t>
      </w:r>
      <w:r w:rsidR="00D82376" w:rsidRPr="00B450EB">
        <w:t xml:space="preserve">como se observa en la </w:t>
      </w:r>
      <w:r w:rsidR="004D245B" w:rsidRPr="00B450EB">
        <w:t xml:space="preserve">sección </w:t>
      </w:r>
      <w:r w:rsidR="004D245B" w:rsidRPr="00B450EB">
        <w:rPr>
          <w:i/>
          <w:iCs/>
        </w:rPr>
        <w:t>C</w:t>
      </w:r>
      <w:r w:rsidR="004D245B" w:rsidRPr="00B450EB">
        <w:t xml:space="preserve"> de la </w:t>
      </w:r>
      <w:r w:rsidR="00D82376" w:rsidRPr="00B450EB">
        <w:t>siguiente figura.</w:t>
      </w:r>
      <w:r w:rsidR="003C79EA" w:rsidRPr="00B450EB">
        <w:t xml:space="preserve"> </w:t>
      </w:r>
    </w:p>
    <w:p w14:paraId="7B5BF66B" w14:textId="301615A8" w:rsidR="00554AAA" w:rsidRPr="00B450EB" w:rsidRDefault="00554AAA" w:rsidP="00554AAA">
      <w:pPr>
        <w:pStyle w:val="Descripcin"/>
        <w:rPr>
          <w:rFonts w:eastAsia="Arial" w:cs="Arial"/>
          <w:color w:val="auto"/>
        </w:rPr>
      </w:pPr>
      <w:bookmarkStart w:id="5" w:name="_Ref209004911"/>
      <w:bookmarkStart w:id="6" w:name="_Toc209462691"/>
      <w:r w:rsidRPr="00B450EB">
        <w:rPr>
          <w:color w:val="auto"/>
        </w:rPr>
        <w:t>Figura</w:t>
      </w:r>
      <w:bookmarkEnd w:id="5"/>
      <w:r w:rsidRPr="00B450EB">
        <w:rPr>
          <w:color w:val="auto"/>
        </w:rPr>
        <w:t xml:space="preserve">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2</w:t>
      </w:r>
      <w:r w:rsidRPr="00B450EB">
        <w:rPr>
          <w:color w:val="auto"/>
        </w:rPr>
        <w:fldChar w:fldCharType="end"/>
      </w:r>
      <w:r w:rsidRPr="00B450EB">
        <w:rPr>
          <w:color w:val="auto"/>
        </w:rPr>
        <w:t>.</w:t>
      </w:r>
      <w:r w:rsidRPr="00B450EB">
        <w:rPr>
          <w:rFonts w:eastAsia="Arial" w:cs="Arial"/>
          <w:color w:val="auto"/>
        </w:rPr>
        <w:t xml:space="preserve"> </w:t>
      </w:r>
      <w:r w:rsidR="006C1E4C" w:rsidRPr="00B450EB">
        <w:rPr>
          <w:rFonts w:eastAsia="Arial" w:cs="Arial"/>
          <w:color w:val="auto"/>
        </w:rPr>
        <w:t>Propuesta de división del bioma amazónico</w:t>
      </w:r>
      <w:r w:rsidR="00D82376" w:rsidRPr="00B450EB">
        <w:rPr>
          <w:rFonts w:eastAsia="Arial" w:cs="Arial"/>
          <w:color w:val="auto"/>
        </w:rPr>
        <w:t xml:space="preserve"> (A, B) y </w:t>
      </w:r>
      <w:r w:rsidR="0073265B" w:rsidRPr="00B450EB">
        <w:rPr>
          <w:rFonts w:eastAsia="Arial" w:cs="Arial"/>
          <w:color w:val="auto"/>
        </w:rPr>
        <w:t>reservas de minerales (C)</w:t>
      </w:r>
      <w:bookmarkEnd w:id="6"/>
    </w:p>
    <w:p w14:paraId="1209534C" w14:textId="31D8E441" w:rsidR="00554AAA" w:rsidRPr="00B450EB" w:rsidRDefault="00D82376" w:rsidP="005C4AAA">
      <w:pPr>
        <w:spacing w:after="0"/>
        <w:jc w:val="center"/>
      </w:pPr>
      <w:r w:rsidRPr="00B450EB">
        <w:rPr>
          <w:noProof/>
        </w:rPr>
        <w:drawing>
          <wp:inline distT="0" distB="0" distL="0" distR="0" wp14:anchorId="744F4D17" wp14:editId="75402712">
            <wp:extent cx="5612130" cy="1678305"/>
            <wp:effectExtent l="0" t="0" r="1270" b="0"/>
            <wp:docPr id="1312509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09791" name=""/>
                    <pic:cNvPicPr/>
                  </pic:nvPicPr>
                  <pic:blipFill>
                    <a:blip r:embed="rId18"/>
                    <a:stretch>
                      <a:fillRect/>
                    </a:stretch>
                  </pic:blipFill>
                  <pic:spPr>
                    <a:xfrm>
                      <a:off x="0" y="0"/>
                      <a:ext cx="5612130" cy="1678305"/>
                    </a:xfrm>
                    <a:prstGeom prst="rect">
                      <a:avLst/>
                    </a:prstGeom>
                  </pic:spPr>
                </pic:pic>
              </a:graphicData>
            </a:graphic>
          </wp:inline>
        </w:drawing>
      </w:r>
    </w:p>
    <w:p w14:paraId="0ACD37CB" w14:textId="32768BB5" w:rsidR="00554AAA" w:rsidRPr="00B450EB" w:rsidRDefault="00554AAA" w:rsidP="00554AAA">
      <w:pPr>
        <w:jc w:val="center"/>
        <w:rPr>
          <w:sz w:val="18"/>
          <w:szCs w:val="18"/>
        </w:rPr>
      </w:pPr>
      <w:r w:rsidRPr="00B450EB">
        <w:rPr>
          <w:sz w:val="18"/>
          <w:szCs w:val="18"/>
        </w:rPr>
        <w:t xml:space="preserve">Fuente: </w:t>
      </w:r>
      <w:proofErr w:type="spellStart"/>
      <w:r w:rsidR="00D71639" w:rsidRPr="00B450EB">
        <w:rPr>
          <w:sz w:val="18"/>
          <w:szCs w:val="18"/>
        </w:rPr>
        <w:t>Finer</w:t>
      </w:r>
      <w:proofErr w:type="spellEnd"/>
      <w:r w:rsidR="00D71639" w:rsidRPr="00B450EB">
        <w:rPr>
          <w:sz w:val="18"/>
          <w:szCs w:val="18"/>
        </w:rPr>
        <w:t xml:space="preserve"> et al. 2018 y Val et al. 2021</w:t>
      </w:r>
      <w:r w:rsidR="00465A5A" w:rsidRPr="00B450EB">
        <w:rPr>
          <w:sz w:val="18"/>
          <w:szCs w:val="18"/>
        </w:rPr>
        <w:t>.</w:t>
      </w:r>
      <w:r w:rsidR="00D71639" w:rsidRPr="00B450EB">
        <w:t xml:space="preserve"> </w:t>
      </w:r>
    </w:p>
    <w:p w14:paraId="103451D6" w14:textId="377882D2" w:rsidR="00393BA7" w:rsidRPr="00B450EB" w:rsidRDefault="00C640D0" w:rsidP="00393BA7">
      <w:r w:rsidRPr="00B450EB">
        <w:t>Asimismo</w:t>
      </w:r>
      <w:r w:rsidR="007C779B" w:rsidRPr="00B450EB">
        <w:t>,</w:t>
      </w:r>
      <w:r w:rsidR="00393BA7" w:rsidRPr="00B450EB">
        <w:t xml:space="preserve"> la Organización del Tratado de Cooperación Amazónica </w:t>
      </w:r>
      <w:sdt>
        <w:sdtPr>
          <w:id w:val="303904837"/>
          <w:citation/>
        </w:sdtPr>
        <w:sdtContent>
          <w:r w:rsidR="00E1336E" w:rsidRPr="00B450EB">
            <w:fldChar w:fldCharType="begin"/>
          </w:r>
          <w:r w:rsidR="00FF0A53" w:rsidRPr="00B450EB">
            <w:rPr>
              <w:lang w:val="es-ES"/>
            </w:rPr>
            <w:instrText xml:space="preserve">CITATION OTC21 \l 3082 </w:instrText>
          </w:r>
          <w:r w:rsidR="00E1336E" w:rsidRPr="00B450EB">
            <w:fldChar w:fldCharType="separate"/>
          </w:r>
          <w:r w:rsidR="0077091E" w:rsidRPr="00B450EB">
            <w:rPr>
              <w:noProof/>
              <w:lang w:val="es-ES"/>
            </w:rPr>
            <w:t>(OTCA, 2021)</w:t>
          </w:r>
          <w:r w:rsidR="00E1336E" w:rsidRPr="00B450EB">
            <w:fldChar w:fldCharType="end"/>
          </w:r>
        </w:sdtContent>
      </w:sdt>
      <w:r w:rsidR="007C779B" w:rsidRPr="00B450EB">
        <w:rPr>
          <w:rStyle w:val="Refdenotaalpie"/>
        </w:rPr>
        <w:footnoteReference w:id="5"/>
      </w:r>
      <w:r w:rsidR="00EC7CCE" w:rsidRPr="00B450EB">
        <w:t xml:space="preserve"> </w:t>
      </w:r>
      <w:r w:rsidR="008255E4" w:rsidRPr="00B450EB">
        <w:t>señala</w:t>
      </w:r>
      <w:r w:rsidR="00EC7CCE" w:rsidRPr="00B450EB">
        <w:t xml:space="preserve"> que</w:t>
      </w:r>
      <w:r w:rsidR="00393BA7" w:rsidRPr="00B450EB">
        <w:t xml:space="preserve"> la delimitación de la Región Amazónica no obedece únicamente </w:t>
      </w:r>
      <w:r w:rsidR="009F5C58" w:rsidRPr="00B450EB">
        <w:t>al</w:t>
      </w:r>
      <w:r w:rsidR="00393BA7" w:rsidRPr="00B450EB">
        <w:t xml:space="preserve"> límite biogeográfico que representa el Bioma Amazónico, que funciona como un complejo ecosistémico con características similares en clima, vegetación, fauna y suelos y flujos de energía entre sí, sino que también involucra la cuenca hidrográfica del río Amazonas y las divisiones político administrativas de los territorios amazónicos de Colombia, Bolivia, Brasil, Ecuador, Guyana, Perú, Surinam y Venezuela.</w:t>
      </w:r>
    </w:p>
    <w:p w14:paraId="08A92583" w14:textId="3C1600FB" w:rsidR="00F24995" w:rsidRPr="00B450EB" w:rsidRDefault="00381A1C" w:rsidP="00393BA7">
      <w:r w:rsidRPr="00B450EB">
        <w:t xml:space="preserve">El </w:t>
      </w:r>
      <w:r w:rsidRPr="00B450EB">
        <w:rPr>
          <w:i/>
          <w:iCs/>
        </w:rPr>
        <w:t xml:space="preserve">Análisis Diagnóstico Transfronterizo Regional de la cuenca Amazónica – ADT </w:t>
      </w:r>
      <w:sdt>
        <w:sdtPr>
          <w:rPr>
            <w:i/>
            <w:iCs/>
          </w:rPr>
          <w:id w:val="1623957171"/>
          <w:citation/>
        </w:sdtPr>
        <w:sdtContent>
          <w:r w:rsidRPr="00B450EB">
            <w:rPr>
              <w:i/>
              <w:iCs/>
            </w:rPr>
            <w:fldChar w:fldCharType="begin"/>
          </w:r>
          <w:r w:rsidR="00FF0A53" w:rsidRPr="00B450EB">
            <w:rPr>
              <w:lang w:val="es-ES"/>
            </w:rPr>
            <w:instrText xml:space="preserve">CITATION OTC \l 3082 </w:instrText>
          </w:r>
          <w:r w:rsidRPr="00B450EB">
            <w:rPr>
              <w:i/>
              <w:iCs/>
            </w:rPr>
            <w:fldChar w:fldCharType="separate"/>
          </w:r>
          <w:r w:rsidR="0077091E" w:rsidRPr="00B450EB">
            <w:rPr>
              <w:noProof/>
              <w:lang w:val="es-ES"/>
            </w:rPr>
            <w:t>(OTCA, 2018)</w:t>
          </w:r>
          <w:r w:rsidRPr="00B450EB">
            <w:rPr>
              <w:i/>
              <w:iCs/>
            </w:rPr>
            <w:fldChar w:fldCharType="end"/>
          </w:r>
        </w:sdtContent>
      </w:sdt>
      <w:r w:rsidRPr="00B450EB">
        <w:rPr>
          <w:i/>
          <w:iCs/>
        </w:rPr>
        <w:t xml:space="preserve">, </w:t>
      </w:r>
      <w:r w:rsidRPr="00B450EB">
        <w:t xml:space="preserve"> presenta las siguientes cifras que pueden dar una idea </w:t>
      </w:r>
      <w:r w:rsidR="008E1E4D" w:rsidRPr="00B450EB">
        <w:t xml:space="preserve">de la distribución </w:t>
      </w:r>
      <w:r w:rsidR="00D716E9" w:rsidRPr="00B450EB">
        <w:t xml:space="preserve">transnacional </w:t>
      </w:r>
      <w:r w:rsidR="008E1E4D" w:rsidRPr="00B450EB">
        <w:t xml:space="preserve">de la </w:t>
      </w:r>
      <w:r w:rsidR="00F9499C" w:rsidRPr="00B450EB">
        <w:t>Región Amazónica:</w:t>
      </w:r>
    </w:p>
    <w:p w14:paraId="65D9E2F1" w14:textId="13FED67F" w:rsidR="00312DFE" w:rsidRPr="00B450EB" w:rsidRDefault="00312DFE" w:rsidP="00312DFE">
      <w:pPr>
        <w:pStyle w:val="Descripcin"/>
        <w:keepNext/>
        <w:rPr>
          <w:color w:val="auto"/>
        </w:rPr>
      </w:pPr>
      <w:bookmarkStart w:id="7" w:name="_Toc209722984"/>
      <w:r w:rsidRPr="00B450EB">
        <w:rPr>
          <w:color w:val="auto"/>
        </w:rPr>
        <w:t xml:space="preserve">Tabla </w:t>
      </w:r>
      <w:r w:rsidR="0045353A" w:rsidRPr="00B450EB">
        <w:rPr>
          <w:color w:val="auto"/>
        </w:rPr>
        <w:fldChar w:fldCharType="begin"/>
      </w:r>
      <w:r w:rsidR="0045353A" w:rsidRPr="00B450EB">
        <w:rPr>
          <w:color w:val="auto"/>
        </w:rPr>
        <w:instrText xml:space="preserve"> SEQ Tabla \* ARABIC </w:instrText>
      </w:r>
      <w:r w:rsidR="0045353A" w:rsidRPr="00B450EB">
        <w:rPr>
          <w:color w:val="auto"/>
        </w:rPr>
        <w:fldChar w:fldCharType="separate"/>
      </w:r>
      <w:r w:rsidR="009765C2" w:rsidRPr="00B450EB">
        <w:rPr>
          <w:noProof/>
          <w:color w:val="auto"/>
        </w:rPr>
        <w:t>1</w:t>
      </w:r>
      <w:r w:rsidR="0045353A" w:rsidRPr="00B450EB">
        <w:rPr>
          <w:noProof/>
          <w:color w:val="auto"/>
        </w:rPr>
        <w:fldChar w:fldCharType="end"/>
      </w:r>
      <w:r w:rsidRPr="00B450EB">
        <w:rPr>
          <w:color w:val="auto"/>
        </w:rPr>
        <w:t>. Áreas nacionales de la cuenca Amazónica según criterios hidrológicos, ecológicos y político - administrativos</w:t>
      </w:r>
      <w:bookmarkEnd w:id="7"/>
    </w:p>
    <w:tbl>
      <w:tblPr>
        <w:tblW w:w="9070" w:type="dxa"/>
        <w:tblCellMar>
          <w:left w:w="70" w:type="dxa"/>
          <w:right w:w="70" w:type="dxa"/>
        </w:tblCellMar>
        <w:tblLook w:val="04A0" w:firstRow="1" w:lastRow="0" w:firstColumn="1" w:lastColumn="0" w:noHBand="0" w:noVBand="1"/>
      </w:tblPr>
      <w:tblGrid>
        <w:gridCol w:w="991"/>
        <w:gridCol w:w="1131"/>
        <w:gridCol w:w="1134"/>
        <w:gridCol w:w="1134"/>
        <w:gridCol w:w="1559"/>
        <w:gridCol w:w="1559"/>
        <w:gridCol w:w="1562"/>
      </w:tblGrid>
      <w:tr w:rsidR="00EF1937" w:rsidRPr="00B450EB" w14:paraId="6936419F" w14:textId="6DB19578" w:rsidTr="00074C6B">
        <w:trPr>
          <w:trHeight w:val="70"/>
          <w:tblHeader/>
        </w:trPr>
        <w:tc>
          <w:tcPr>
            <w:tcW w:w="991" w:type="dxa"/>
            <w:vMerge w:val="restart"/>
            <w:tcBorders>
              <w:top w:val="single" w:sz="4" w:space="0" w:color="auto"/>
              <w:left w:val="single" w:sz="4" w:space="0" w:color="auto"/>
              <w:right w:val="single" w:sz="4" w:space="0" w:color="auto"/>
            </w:tcBorders>
            <w:shd w:val="clear" w:color="auto" w:fill="D9F2D0" w:themeFill="accent6" w:themeFillTint="33"/>
            <w:noWrap/>
            <w:vAlign w:val="center"/>
            <w:hideMark/>
          </w:tcPr>
          <w:p w14:paraId="01490DC8" w14:textId="5E06F204" w:rsidR="001C3169" w:rsidRPr="00B450EB" w:rsidRDefault="001C3169" w:rsidP="00692FE1">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País</w:t>
            </w:r>
          </w:p>
        </w:tc>
        <w:tc>
          <w:tcPr>
            <w:tcW w:w="4958" w:type="dxa"/>
            <w:gridSpan w:val="4"/>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6AA25D30" w14:textId="77777777" w:rsidR="001C3169" w:rsidRPr="00B450EB" w:rsidRDefault="001C3169" w:rsidP="00692FE1">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Área de la cuenca Amazónica (km</w:t>
            </w:r>
            <w:r w:rsidRPr="00B450EB">
              <w:rPr>
                <w:rFonts w:eastAsia="Times New Roman" w:cs="Arial"/>
                <w:b/>
                <w:bCs/>
                <w:kern w:val="0"/>
                <w:sz w:val="18"/>
                <w:szCs w:val="18"/>
                <w:vertAlign w:val="superscript"/>
                <w:lang w:eastAsia="es-CO"/>
                <w14:ligatures w14:val="none"/>
              </w:rPr>
              <w:t>2</w:t>
            </w:r>
            <w:r w:rsidRPr="00B450EB">
              <w:rPr>
                <w:rFonts w:eastAsia="Times New Roman" w:cs="Arial"/>
                <w:b/>
                <w:bCs/>
                <w:kern w:val="0"/>
                <w:sz w:val="18"/>
                <w:szCs w:val="18"/>
                <w:lang w:eastAsia="es-CO"/>
                <w14:ligatures w14:val="none"/>
              </w:rPr>
              <w:t>)</w:t>
            </w:r>
          </w:p>
        </w:tc>
        <w:tc>
          <w:tcPr>
            <w:tcW w:w="1559" w:type="dxa"/>
            <w:vMerge w:val="restart"/>
            <w:tcBorders>
              <w:top w:val="single" w:sz="4" w:space="0" w:color="auto"/>
              <w:left w:val="nil"/>
              <w:right w:val="single" w:sz="4" w:space="0" w:color="auto"/>
            </w:tcBorders>
            <w:shd w:val="clear" w:color="auto" w:fill="D9F2D0" w:themeFill="accent6" w:themeFillTint="33"/>
            <w:noWrap/>
            <w:vAlign w:val="center"/>
            <w:hideMark/>
          </w:tcPr>
          <w:p w14:paraId="71DDE8BB" w14:textId="36DDF8CF" w:rsidR="001C3169" w:rsidRPr="00B450EB" w:rsidRDefault="001C3169" w:rsidP="00692FE1">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Importancia nacional de la cuenca hidrológica Amazónica (%)</w:t>
            </w:r>
          </w:p>
        </w:tc>
        <w:tc>
          <w:tcPr>
            <w:tcW w:w="1562" w:type="dxa"/>
            <w:vMerge w:val="restart"/>
            <w:tcBorders>
              <w:top w:val="single" w:sz="4" w:space="0" w:color="auto"/>
              <w:left w:val="single" w:sz="4" w:space="0" w:color="auto"/>
              <w:right w:val="single" w:sz="4" w:space="0" w:color="000000"/>
            </w:tcBorders>
            <w:shd w:val="clear" w:color="auto" w:fill="D9F2D0" w:themeFill="accent6" w:themeFillTint="33"/>
            <w:vAlign w:val="center"/>
          </w:tcPr>
          <w:p w14:paraId="50C002CC" w14:textId="489C479F" w:rsidR="001C3169" w:rsidRPr="00B450EB" w:rsidRDefault="001C3169" w:rsidP="00692FE1">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Importancia regional de la cuenca hidrológica Amazónica (%)</w:t>
            </w:r>
          </w:p>
        </w:tc>
      </w:tr>
      <w:tr w:rsidR="00EF1937" w:rsidRPr="00B450EB" w14:paraId="6DB08832" w14:textId="77777777" w:rsidTr="00074C6B">
        <w:trPr>
          <w:trHeight w:val="70"/>
        </w:trPr>
        <w:tc>
          <w:tcPr>
            <w:tcW w:w="991" w:type="dxa"/>
            <w:vMerge/>
            <w:tcBorders>
              <w:left w:val="single" w:sz="4" w:space="0" w:color="auto"/>
              <w:bottom w:val="single" w:sz="4" w:space="0" w:color="auto"/>
              <w:right w:val="single" w:sz="4" w:space="0" w:color="auto"/>
            </w:tcBorders>
            <w:shd w:val="clear" w:color="auto" w:fill="D9F2D0" w:themeFill="accent6" w:themeFillTint="33"/>
            <w:vAlign w:val="center"/>
            <w:hideMark/>
          </w:tcPr>
          <w:p w14:paraId="61805BFB" w14:textId="4D512BD4" w:rsidR="001C3169" w:rsidRPr="00B450EB" w:rsidRDefault="001C3169" w:rsidP="00692FE1">
            <w:pPr>
              <w:spacing w:after="0" w:line="240" w:lineRule="auto"/>
              <w:jc w:val="center"/>
              <w:rPr>
                <w:rFonts w:eastAsia="Times New Roman" w:cs="Arial"/>
                <w:b/>
                <w:bCs/>
                <w:kern w:val="0"/>
                <w:sz w:val="18"/>
                <w:szCs w:val="18"/>
                <w:lang w:eastAsia="es-CO"/>
                <w14:ligatures w14:val="none"/>
              </w:rPr>
            </w:pPr>
          </w:p>
        </w:tc>
        <w:tc>
          <w:tcPr>
            <w:tcW w:w="1131" w:type="dxa"/>
            <w:tcBorders>
              <w:top w:val="nil"/>
              <w:left w:val="nil"/>
              <w:bottom w:val="single" w:sz="4" w:space="0" w:color="auto"/>
              <w:right w:val="single" w:sz="4" w:space="0" w:color="auto"/>
            </w:tcBorders>
            <w:shd w:val="clear" w:color="auto" w:fill="D9F2D0" w:themeFill="accent6" w:themeFillTint="33"/>
            <w:vAlign w:val="center"/>
            <w:hideMark/>
          </w:tcPr>
          <w:p w14:paraId="1455A99E" w14:textId="77777777" w:rsidR="001C3169" w:rsidRPr="00B450EB" w:rsidRDefault="001C3169" w:rsidP="00692FE1">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Superficie del país (km</w:t>
            </w:r>
            <w:r w:rsidRPr="00B450EB">
              <w:rPr>
                <w:rFonts w:eastAsia="Times New Roman" w:cs="Arial"/>
                <w:b/>
                <w:bCs/>
                <w:kern w:val="0"/>
                <w:sz w:val="18"/>
                <w:szCs w:val="18"/>
                <w:vertAlign w:val="superscript"/>
                <w:lang w:eastAsia="es-CO"/>
                <w14:ligatures w14:val="none"/>
              </w:rPr>
              <w:t>2</w:t>
            </w:r>
            <w:r w:rsidRPr="00B450EB">
              <w:rPr>
                <w:rFonts w:eastAsia="Times New Roman" w:cs="Arial"/>
                <w:b/>
                <w:bCs/>
                <w:kern w:val="0"/>
                <w:sz w:val="18"/>
                <w:szCs w:val="18"/>
                <w:lang w:eastAsia="es-CO"/>
                <w14:ligatures w14:val="none"/>
              </w:rPr>
              <w:t>)</w:t>
            </w:r>
          </w:p>
        </w:tc>
        <w:tc>
          <w:tcPr>
            <w:tcW w:w="1134" w:type="dxa"/>
            <w:tcBorders>
              <w:top w:val="nil"/>
              <w:left w:val="nil"/>
              <w:bottom w:val="single" w:sz="4" w:space="0" w:color="auto"/>
              <w:right w:val="single" w:sz="4" w:space="0" w:color="auto"/>
            </w:tcBorders>
            <w:shd w:val="clear" w:color="auto" w:fill="D9F2D0" w:themeFill="accent6" w:themeFillTint="33"/>
            <w:vAlign w:val="center"/>
            <w:hideMark/>
          </w:tcPr>
          <w:p w14:paraId="3558C86C" w14:textId="77777777" w:rsidR="001C3169" w:rsidRPr="00B450EB" w:rsidRDefault="001C3169" w:rsidP="00692FE1">
            <w:pPr>
              <w:spacing w:after="0" w:line="240" w:lineRule="auto"/>
              <w:jc w:val="center"/>
              <w:rPr>
                <w:rFonts w:eastAsia="Times New Roman" w:cs="Arial"/>
                <w:b/>
                <w:bCs/>
                <w:kern w:val="0"/>
                <w:sz w:val="18"/>
                <w:szCs w:val="18"/>
                <w:vertAlign w:val="superscript"/>
                <w:lang w:eastAsia="es-CO"/>
                <w14:ligatures w14:val="none"/>
              </w:rPr>
            </w:pPr>
            <w:r w:rsidRPr="00B450EB">
              <w:rPr>
                <w:rFonts w:eastAsia="Times New Roman" w:cs="Arial"/>
                <w:b/>
                <w:bCs/>
                <w:kern w:val="0"/>
                <w:sz w:val="18"/>
                <w:szCs w:val="18"/>
                <w:lang w:eastAsia="es-CO"/>
                <w14:ligatures w14:val="none"/>
              </w:rPr>
              <w:t>Hidrológica</w:t>
            </w:r>
          </w:p>
        </w:tc>
        <w:tc>
          <w:tcPr>
            <w:tcW w:w="1134" w:type="dxa"/>
            <w:tcBorders>
              <w:top w:val="nil"/>
              <w:left w:val="nil"/>
              <w:bottom w:val="single" w:sz="4" w:space="0" w:color="auto"/>
              <w:right w:val="single" w:sz="4" w:space="0" w:color="auto"/>
            </w:tcBorders>
            <w:shd w:val="clear" w:color="auto" w:fill="D9F2D0" w:themeFill="accent6" w:themeFillTint="33"/>
            <w:vAlign w:val="center"/>
            <w:hideMark/>
          </w:tcPr>
          <w:p w14:paraId="2A0DAFA7" w14:textId="77777777" w:rsidR="001C3169" w:rsidRPr="00B450EB" w:rsidRDefault="001C3169" w:rsidP="00692FE1">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Ecológica</w:t>
            </w:r>
          </w:p>
        </w:tc>
        <w:tc>
          <w:tcPr>
            <w:tcW w:w="1559" w:type="dxa"/>
            <w:tcBorders>
              <w:top w:val="nil"/>
              <w:left w:val="nil"/>
              <w:bottom w:val="single" w:sz="4" w:space="0" w:color="auto"/>
              <w:right w:val="single" w:sz="4" w:space="0" w:color="auto"/>
            </w:tcBorders>
            <w:shd w:val="clear" w:color="auto" w:fill="D9F2D0" w:themeFill="accent6" w:themeFillTint="33"/>
            <w:vAlign w:val="center"/>
            <w:hideMark/>
          </w:tcPr>
          <w:p w14:paraId="6A185A07" w14:textId="77777777" w:rsidR="001C3169" w:rsidRPr="00B450EB" w:rsidRDefault="001C3169" w:rsidP="00692FE1">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Político - administrativa</w:t>
            </w:r>
          </w:p>
        </w:tc>
        <w:tc>
          <w:tcPr>
            <w:tcW w:w="1559" w:type="dxa"/>
            <w:vMerge/>
            <w:tcBorders>
              <w:left w:val="nil"/>
              <w:bottom w:val="single" w:sz="4" w:space="0" w:color="auto"/>
              <w:right w:val="single" w:sz="4" w:space="0" w:color="auto"/>
            </w:tcBorders>
            <w:shd w:val="clear" w:color="auto" w:fill="D9F2D0" w:themeFill="accent6" w:themeFillTint="33"/>
            <w:vAlign w:val="center"/>
            <w:hideMark/>
          </w:tcPr>
          <w:p w14:paraId="4342BFDF" w14:textId="27A3F411" w:rsidR="001C3169" w:rsidRPr="00B450EB" w:rsidRDefault="001C3169" w:rsidP="00692FE1">
            <w:pPr>
              <w:spacing w:after="0" w:line="240" w:lineRule="auto"/>
              <w:jc w:val="center"/>
              <w:rPr>
                <w:rFonts w:eastAsia="Times New Roman" w:cs="Arial"/>
                <w:b/>
                <w:bCs/>
                <w:kern w:val="0"/>
                <w:sz w:val="18"/>
                <w:szCs w:val="18"/>
                <w:lang w:eastAsia="es-CO"/>
                <w14:ligatures w14:val="none"/>
              </w:rPr>
            </w:pPr>
          </w:p>
        </w:tc>
        <w:tc>
          <w:tcPr>
            <w:tcW w:w="1562" w:type="dxa"/>
            <w:vMerge/>
            <w:tcBorders>
              <w:left w:val="single" w:sz="4" w:space="0" w:color="auto"/>
              <w:bottom w:val="single" w:sz="4" w:space="0" w:color="auto"/>
              <w:right w:val="single" w:sz="4" w:space="0" w:color="000000"/>
            </w:tcBorders>
            <w:shd w:val="clear" w:color="auto" w:fill="D9F2D0" w:themeFill="accent6" w:themeFillTint="33"/>
            <w:vAlign w:val="center"/>
            <w:hideMark/>
          </w:tcPr>
          <w:p w14:paraId="72C7951E" w14:textId="2ACAE251" w:rsidR="001C3169" w:rsidRPr="00B450EB" w:rsidRDefault="001C3169" w:rsidP="00692FE1">
            <w:pPr>
              <w:spacing w:after="0" w:line="240" w:lineRule="auto"/>
              <w:jc w:val="center"/>
              <w:rPr>
                <w:rFonts w:eastAsia="Times New Roman" w:cs="Arial"/>
                <w:b/>
                <w:bCs/>
                <w:kern w:val="0"/>
                <w:sz w:val="18"/>
                <w:szCs w:val="18"/>
                <w:lang w:eastAsia="es-CO"/>
                <w14:ligatures w14:val="none"/>
              </w:rPr>
            </w:pPr>
          </w:p>
        </w:tc>
      </w:tr>
      <w:tr w:rsidR="00EF1937" w:rsidRPr="00B450EB" w14:paraId="5F91CB92" w14:textId="77777777" w:rsidTr="00074C6B">
        <w:trPr>
          <w:trHeight w:val="300"/>
        </w:trPr>
        <w:tc>
          <w:tcPr>
            <w:tcW w:w="991" w:type="dxa"/>
            <w:tcBorders>
              <w:top w:val="nil"/>
              <w:left w:val="single" w:sz="4" w:space="0" w:color="auto"/>
              <w:bottom w:val="single" w:sz="4" w:space="0" w:color="auto"/>
              <w:right w:val="single" w:sz="4" w:space="0" w:color="auto"/>
            </w:tcBorders>
            <w:noWrap/>
            <w:vAlign w:val="bottom"/>
            <w:hideMark/>
          </w:tcPr>
          <w:p w14:paraId="2865E060"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Colombia</w:t>
            </w:r>
          </w:p>
        </w:tc>
        <w:tc>
          <w:tcPr>
            <w:tcW w:w="1131" w:type="dxa"/>
            <w:tcBorders>
              <w:top w:val="nil"/>
              <w:left w:val="nil"/>
              <w:bottom w:val="single" w:sz="4" w:space="0" w:color="auto"/>
              <w:right w:val="single" w:sz="4" w:space="0" w:color="auto"/>
            </w:tcBorders>
            <w:noWrap/>
            <w:vAlign w:val="bottom"/>
            <w:hideMark/>
          </w:tcPr>
          <w:p w14:paraId="675D803D"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1098581</w:t>
            </w:r>
          </w:p>
        </w:tc>
        <w:tc>
          <w:tcPr>
            <w:tcW w:w="1134" w:type="dxa"/>
            <w:tcBorders>
              <w:top w:val="nil"/>
              <w:left w:val="nil"/>
              <w:bottom w:val="single" w:sz="4" w:space="0" w:color="auto"/>
              <w:right w:val="single" w:sz="4" w:space="0" w:color="auto"/>
            </w:tcBorders>
            <w:noWrap/>
            <w:vAlign w:val="bottom"/>
            <w:hideMark/>
          </w:tcPr>
          <w:p w14:paraId="090D9B4D"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724000</w:t>
            </w:r>
          </w:p>
        </w:tc>
        <w:tc>
          <w:tcPr>
            <w:tcW w:w="1134" w:type="dxa"/>
            <w:tcBorders>
              <w:top w:val="nil"/>
              <w:left w:val="nil"/>
              <w:bottom w:val="single" w:sz="4" w:space="0" w:color="auto"/>
              <w:right w:val="single" w:sz="4" w:space="0" w:color="auto"/>
            </w:tcBorders>
            <w:noWrap/>
            <w:vAlign w:val="bottom"/>
            <w:hideMark/>
          </w:tcPr>
          <w:p w14:paraId="6A0B851A"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567303</w:t>
            </w:r>
          </w:p>
        </w:tc>
        <w:tc>
          <w:tcPr>
            <w:tcW w:w="1559" w:type="dxa"/>
            <w:tcBorders>
              <w:top w:val="nil"/>
              <w:left w:val="nil"/>
              <w:bottom w:val="single" w:sz="4" w:space="0" w:color="auto"/>
              <w:right w:val="single" w:sz="4" w:space="0" w:color="auto"/>
            </w:tcBorders>
            <w:noWrap/>
            <w:vAlign w:val="bottom"/>
            <w:hideMark/>
          </w:tcPr>
          <w:p w14:paraId="56FE361F"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724000</w:t>
            </w:r>
          </w:p>
        </w:tc>
        <w:tc>
          <w:tcPr>
            <w:tcW w:w="1559" w:type="dxa"/>
            <w:tcBorders>
              <w:top w:val="nil"/>
              <w:left w:val="nil"/>
              <w:bottom w:val="single" w:sz="4" w:space="0" w:color="auto"/>
              <w:right w:val="single" w:sz="4" w:space="0" w:color="auto"/>
            </w:tcBorders>
            <w:noWrap/>
            <w:vAlign w:val="bottom"/>
            <w:hideMark/>
          </w:tcPr>
          <w:p w14:paraId="716F30E1"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11.83</w:t>
            </w:r>
          </w:p>
        </w:tc>
        <w:tc>
          <w:tcPr>
            <w:tcW w:w="1562" w:type="dxa"/>
            <w:tcBorders>
              <w:top w:val="nil"/>
              <w:left w:val="nil"/>
              <w:bottom w:val="single" w:sz="4" w:space="0" w:color="auto"/>
              <w:right w:val="single" w:sz="4" w:space="0" w:color="auto"/>
            </w:tcBorders>
            <w:noWrap/>
            <w:vAlign w:val="bottom"/>
            <w:hideMark/>
          </w:tcPr>
          <w:p w14:paraId="51B31DF9"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65.9</w:t>
            </w:r>
          </w:p>
        </w:tc>
      </w:tr>
      <w:tr w:rsidR="00EF1937" w:rsidRPr="00B450EB" w14:paraId="1F59C0A0" w14:textId="77777777" w:rsidTr="00074C6B">
        <w:trPr>
          <w:trHeight w:val="300"/>
        </w:trPr>
        <w:tc>
          <w:tcPr>
            <w:tcW w:w="991" w:type="dxa"/>
            <w:tcBorders>
              <w:top w:val="nil"/>
              <w:left w:val="single" w:sz="4" w:space="0" w:color="auto"/>
              <w:bottom w:val="single" w:sz="4" w:space="0" w:color="auto"/>
              <w:right w:val="single" w:sz="4" w:space="0" w:color="auto"/>
            </w:tcBorders>
            <w:noWrap/>
            <w:vAlign w:val="bottom"/>
            <w:hideMark/>
          </w:tcPr>
          <w:p w14:paraId="773B9260"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Bolivia</w:t>
            </w:r>
          </w:p>
        </w:tc>
        <w:tc>
          <w:tcPr>
            <w:tcW w:w="1131" w:type="dxa"/>
            <w:tcBorders>
              <w:top w:val="nil"/>
              <w:left w:val="nil"/>
              <w:bottom w:val="single" w:sz="4" w:space="0" w:color="auto"/>
              <w:right w:val="single" w:sz="4" w:space="0" w:color="auto"/>
            </w:tcBorders>
            <w:noWrap/>
            <w:vAlign w:val="bottom"/>
            <w:hideMark/>
          </w:tcPr>
          <w:p w14:paraId="436B741F"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8514876</w:t>
            </w:r>
          </w:p>
        </w:tc>
        <w:tc>
          <w:tcPr>
            <w:tcW w:w="1134" w:type="dxa"/>
            <w:tcBorders>
              <w:top w:val="nil"/>
              <w:left w:val="nil"/>
              <w:bottom w:val="single" w:sz="4" w:space="0" w:color="auto"/>
              <w:right w:val="single" w:sz="4" w:space="0" w:color="auto"/>
            </w:tcBorders>
            <w:noWrap/>
            <w:vAlign w:val="bottom"/>
            <w:hideMark/>
          </w:tcPr>
          <w:p w14:paraId="0C529DDC"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3869953</w:t>
            </w:r>
          </w:p>
        </w:tc>
        <w:tc>
          <w:tcPr>
            <w:tcW w:w="1134" w:type="dxa"/>
            <w:tcBorders>
              <w:top w:val="nil"/>
              <w:left w:val="nil"/>
              <w:bottom w:val="single" w:sz="4" w:space="0" w:color="auto"/>
              <w:right w:val="single" w:sz="4" w:space="0" w:color="auto"/>
            </w:tcBorders>
            <w:noWrap/>
            <w:vAlign w:val="bottom"/>
            <w:hideMark/>
          </w:tcPr>
          <w:p w14:paraId="587EB72B"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4196943</w:t>
            </w:r>
          </w:p>
        </w:tc>
        <w:tc>
          <w:tcPr>
            <w:tcW w:w="1559" w:type="dxa"/>
            <w:tcBorders>
              <w:top w:val="nil"/>
              <w:left w:val="nil"/>
              <w:bottom w:val="single" w:sz="4" w:space="0" w:color="auto"/>
              <w:right w:val="single" w:sz="4" w:space="0" w:color="auto"/>
            </w:tcBorders>
            <w:noWrap/>
            <w:vAlign w:val="bottom"/>
            <w:hideMark/>
          </w:tcPr>
          <w:p w14:paraId="1045D9F2"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5034740</w:t>
            </w:r>
          </w:p>
        </w:tc>
        <w:tc>
          <w:tcPr>
            <w:tcW w:w="1559" w:type="dxa"/>
            <w:tcBorders>
              <w:top w:val="nil"/>
              <w:left w:val="nil"/>
              <w:bottom w:val="single" w:sz="4" w:space="0" w:color="auto"/>
              <w:right w:val="single" w:sz="4" w:space="0" w:color="auto"/>
            </w:tcBorders>
            <w:noWrap/>
            <w:vAlign w:val="bottom"/>
            <w:hideMark/>
          </w:tcPr>
          <w:p w14:paraId="62C6CCEA"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63.25</w:t>
            </w:r>
          </w:p>
        </w:tc>
        <w:tc>
          <w:tcPr>
            <w:tcW w:w="1562" w:type="dxa"/>
            <w:tcBorders>
              <w:top w:val="nil"/>
              <w:left w:val="nil"/>
              <w:bottom w:val="single" w:sz="4" w:space="0" w:color="auto"/>
              <w:right w:val="single" w:sz="4" w:space="0" w:color="auto"/>
            </w:tcBorders>
            <w:noWrap/>
            <w:vAlign w:val="bottom"/>
            <w:hideMark/>
          </w:tcPr>
          <w:p w14:paraId="7FB00917"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45.45</w:t>
            </w:r>
          </w:p>
        </w:tc>
      </w:tr>
      <w:tr w:rsidR="00EF1937" w:rsidRPr="00B450EB" w14:paraId="7DF77AE4" w14:textId="77777777" w:rsidTr="00074C6B">
        <w:trPr>
          <w:trHeight w:val="300"/>
        </w:trPr>
        <w:tc>
          <w:tcPr>
            <w:tcW w:w="991" w:type="dxa"/>
            <w:tcBorders>
              <w:top w:val="nil"/>
              <w:left w:val="single" w:sz="4" w:space="0" w:color="auto"/>
              <w:bottom w:val="single" w:sz="4" w:space="0" w:color="auto"/>
              <w:right w:val="single" w:sz="4" w:space="0" w:color="auto"/>
            </w:tcBorders>
            <w:noWrap/>
            <w:vAlign w:val="bottom"/>
            <w:hideMark/>
          </w:tcPr>
          <w:p w14:paraId="513F8AF9"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Brasil</w:t>
            </w:r>
          </w:p>
        </w:tc>
        <w:tc>
          <w:tcPr>
            <w:tcW w:w="1131" w:type="dxa"/>
            <w:tcBorders>
              <w:top w:val="nil"/>
              <w:left w:val="nil"/>
              <w:bottom w:val="single" w:sz="4" w:space="0" w:color="auto"/>
              <w:right w:val="single" w:sz="4" w:space="0" w:color="auto"/>
            </w:tcBorders>
            <w:noWrap/>
            <w:vAlign w:val="bottom"/>
            <w:hideMark/>
          </w:tcPr>
          <w:p w14:paraId="0DC34BED"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1141748</w:t>
            </w:r>
          </w:p>
        </w:tc>
        <w:tc>
          <w:tcPr>
            <w:tcW w:w="1134" w:type="dxa"/>
            <w:tcBorders>
              <w:top w:val="nil"/>
              <w:left w:val="nil"/>
              <w:bottom w:val="single" w:sz="4" w:space="0" w:color="auto"/>
              <w:right w:val="single" w:sz="4" w:space="0" w:color="auto"/>
            </w:tcBorders>
            <w:noWrap/>
            <w:vAlign w:val="bottom"/>
            <w:hideMark/>
          </w:tcPr>
          <w:p w14:paraId="184471EE"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345293</w:t>
            </w:r>
          </w:p>
        </w:tc>
        <w:tc>
          <w:tcPr>
            <w:tcW w:w="1134" w:type="dxa"/>
            <w:tcBorders>
              <w:top w:val="nil"/>
              <w:left w:val="nil"/>
              <w:bottom w:val="single" w:sz="4" w:space="0" w:color="auto"/>
              <w:right w:val="single" w:sz="4" w:space="0" w:color="auto"/>
            </w:tcBorders>
            <w:noWrap/>
            <w:vAlign w:val="bottom"/>
            <w:hideMark/>
          </w:tcPr>
          <w:p w14:paraId="14D37F18"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452572</w:t>
            </w:r>
          </w:p>
        </w:tc>
        <w:tc>
          <w:tcPr>
            <w:tcW w:w="1559" w:type="dxa"/>
            <w:tcBorders>
              <w:top w:val="nil"/>
              <w:left w:val="nil"/>
              <w:bottom w:val="single" w:sz="4" w:space="0" w:color="auto"/>
              <w:right w:val="single" w:sz="4" w:space="0" w:color="auto"/>
            </w:tcBorders>
            <w:noWrap/>
            <w:vAlign w:val="bottom"/>
            <w:hideMark/>
          </w:tcPr>
          <w:p w14:paraId="10BF8813"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477274</w:t>
            </w:r>
          </w:p>
        </w:tc>
        <w:tc>
          <w:tcPr>
            <w:tcW w:w="1559" w:type="dxa"/>
            <w:tcBorders>
              <w:top w:val="nil"/>
              <w:left w:val="nil"/>
              <w:bottom w:val="single" w:sz="4" w:space="0" w:color="auto"/>
              <w:right w:val="single" w:sz="4" w:space="0" w:color="auto"/>
            </w:tcBorders>
            <w:noWrap/>
            <w:vAlign w:val="bottom"/>
            <w:hideMark/>
          </w:tcPr>
          <w:p w14:paraId="1ED3F7E7"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5.64</w:t>
            </w:r>
          </w:p>
        </w:tc>
        <w:tc>
          <w:tcPr>
            <w:tcW w:w="1562" w:type="dxa"/>
            <w:tcBorders>
              <w:top w:val="nil"/>
              <w:left w:val="nil"/>
              <w:bottom w:val="single" w:sz="4" w:space="0" w:color="auto"/>
              <w:right w:val="single" w:sz="4" w:space="0" w:color="auto"/>
            </w:tcBorders>
            <w:noWrap/>
            <w:vAlign w:val="bottom"/>
            <w:hideMark/>
          </w:tcPr>
          <w:p w14:paraId="44DA18D5"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30.24</w:t>
            </w:r>
          </w:p>
        </w:tc>
      </w:tr>
      <w:tr w:rsidR="00EF1937" w:rsidRPr="00B450EB" w14:paraId="50A4B110" w14:textId="77777777" w:rsidTr="00074C6B">
        <w:trPr>
          <w:trHeight w:val="300"/>
        </w:trPr>
        <w:tc>
          <w:tcPr>
            <w:tcW w:w="991" w:type="dxa"/>
            <w:tcBorders>
              <w:top w:val="nil"/>
              <w:left w:val="single" w:sz="4" w:space="0" w:color="auto"/>
              <w:bottom w:val="single" w:sz="4" w:space="0" w:color="auto"/>
              <w:right w:val="single" w:sz="4" w:space="0" w:color="auto"/>
            </w:tcBorders>
            <w:noWrap/>
            <w:vAlign w:val="bottom"/>
            <w:hideMark/>
          </w:tcPr>
          <w:p w14:paraId="1A328307"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Ecuador</w:t>
            </w:r>
          </w:p>
        </w:tc>
        <w:tc>
          <w:tcPr>
            <w:tcW w:w="1131" w:type="dxa"/>
            <w:tcBorders>
              <w:top w:val="nil"/>
              <w:left w:val="nil"/>
              <w:bottom w:val="single" w:sz="4" w:space="0" w:color="auto"/>
              <w:right w:val="single" w:sz="4" w:space="0" w:color="auto"/>
            </w:tcBorders>
            <w:noWrap/>
            <w:vAlign w:val="bottom"/>
            <w:hideMark/>
          </w:tcPr>
          <w:p w14:paraId="1ED9634F"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283561</w:t>
            </w:r>
          </w:p>
        </w:tc>
        <w:tc>
          <w:tcPr>
            <w:tcW w:w="1134" w:type="dxa"/>
            <w:tcBorders>
              <w:top w:val="nil"/>
              <w:left w:val="nil"/>
              <w:bottom w:val="single" w:sz="4" w:space="0" w:color="auto"/>
              <w:right w:val="single" w:sz="4" w:space="0" w:color="auto"/>
            </w:tcBorders>
            <w:noWrap/>
            <w:vAlign w:val="bottom"/>
            <w:hideMark/>
          </w:tcPr>
          <w:p w14:paraId="14C39748"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146688</w:t>
            </w:r>
          </w:p>
        </w:tc>
        <w:tc>
          <w:tcPr>
            <w:tcW w:w="1134" w:type="dxa"/>
            <w:tcBorders>
              <w:top w:val="nil"/>
              <w:left w:val="nil"/>
              <w:bottom w:val="single" w:sz="4" w:space="0" w:color="auto"/>
              <w:right w:val="single" w:sz="4" w:space="0" w:color="auto"/>
            </w:tcBorders>
            <w:noWrap/>
            <w:vAlign w:val="bottom"/>
            <w:hideMark/>
          </w:tcPr>
          <w:p w14:paraId="2E8F66DF"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76761</w:t>
            </w:r>
          </w:p>
        </w:tc>
        <w:tc>
          <w:tcPr>
            <w:tcW w:w="1559" w:type="dxa"/>
            <w:tcBorders>
              <w:top w:val="nil"/>
              <w:left w:val="nil"/>
              <w:bottom w:val="single" w:sz="4" w:space="0" w:color="auto"/>
              <w:right w:val="single" w:sz="4" w:space="0" w:color="auto"/>
            </w:tcBorders>
            <w:noWrap/>
            <w:vAlign w:val="bottom"/>
            <w:hideMark/>
          </w:tcPr>
          <w:p w14:paraId="4E6A37F3"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115613</w:t>
            </w:r>
          </w:p>
        </w:tc>
        <w:tc>
          <w:tcPr>
            <w:tcW w:w="1559" w:type="dxa"/>
            <w:tcBorders>
              <w:top w:val="nil"/>
              <w:left w:val="nil"/>
              <w:bottom w:val="single" w:sz="4" w:space="0" w:color="auto"/>
              <w:right w:val="single" w:sz="4" w:space="0" w:color="auto"/>
            </w:tcBorders>
            <w:noWrap/>
            <w:vAlign w:val="bottom"/>
            <w:hideMark/>
          </w:tcPr>
          <w:p w14:paraId="5BF1554B"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2.4</w:t>
            </w:r>
          </w:p>
        </w:tc>
        <w:tc>
          <w:tcPr>
            <w:tcW w:w="1562" w:type="dxa"/>
            <w:tcBorders>
              <w:top w:val="nil"/>
              <w:left w:val="nil"/>
              <w:bottom w:val="single" w:sz="4" w:space="0" w:color="auto"/>
              <w:right w:val="single" w:sz="4" w:space="0" w:color="auto"/>
            </w:tcBorders>
            <w:noWrap/>
            <w:vAlign w:val="bottom"/>
            <w:hideMark/>
          </w:tcPr>
          <w:p w14:paraId="54620D4A"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51.73</w:t>
            </w:r>
          </w:p>
        </w:tc>
      </w:tr>
      <w:tr w:rsidR="00EF1937" w:rsidRPr="00B450EB" w14:paraId="50B171D4" w14:textId="77777777" w:rsidTr="00074C6B">
        <w:trPr>
          <w:trHeight w:val="300"/>
        </w:trPr>
        <w:tc>
          <w:tcPr>
            <w:tcW w:w="991" w:type="dxa"/>
            <w:tcBorders>
              <w:top w:val="nil"/>
              <w:left w:val="single" w:sz="4" w:space="0" w:color="auto"/>
              <w:bottom w:val="single" w:sz="4" w:space="0" w:color="auto"/>
              <w:right w:val="single" w:sz="4" w:space="0" w:color="auto"/>
            </w:tcBorders>
            <w:noWrap/>
            <w:vAlign w:val="bottom"/>
            <w:hideMark/>
          </w:tcPr>
          <w:p w14:paraId="5929A334"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Guyana</w:t>
            </w:r>
          </w:p>
        </w:tc>
        <w:tc>
          <w:tcPr>
            <w:tcW w:w="1131" w:type="dxa"/>
            <w:tcBorders>
              <w:top w:val="nil"/>
              <w:left w:val="nil"/>
              <w:bottom w:val="single" w:sz="4" w:space="0" w:color="auto"/>
              <w:right w:val="single" w:sz="4" w:space="0" w:color="auto"/>
            </w:tcBorders>
            <w:noWrap/>
            <w:vAlign w:val="bottom"/>
            <w:hideMark/>
          </w:tcPr>
          <w:p w14:paraId="2D66ED6A"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214960</w:t>
            </w:r>
          </w:p>
        </w:tc>
        <w:tc>
          <w:tcPr>
            <w:tcW w:w="1134" w:type="dxa"/>
            <w:tcBorders>
              <w:top w:val="nil"/>
              <w:left w:val="nil"/>
              <w:bottom w:val="single" w:sz="4" w:space="0" w:color="auto"/>
              <w:right w:val="single" w:sz="4" w:space="0" w:color="auto"/>
            </w:tcBorders>
            <w:noWrap/>
            <w:vAlign w:val="bottom"/>
            <w:hideMark/>
          </w:tcPr>
          <w:p w14:paraId="60AEC815"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12224</w:t>
            </w:r>
          </w:p>
        </w:tc>
        <w:tc>
          <w:tcPr>
            <w:tcW w:w="1134" w:type="dxa"/>
            <w:tcBorders>
              <w:top w:val="nil"/>
              <w:left w:val="nil"/>
              <w:bottom w:val="single" w:sz="4" w:space="0" w:color="auto"/>
              <w:right w:val="single" w:sz="4" w:space="0" w:color="auto"/>
            </w:tcBorders>
            <w:noWrap/>
            <w:vAlign w:val="bottom"/>
            <w:hideMark/>
          </w:tcPr>
          <w:p w14:paraId="2C3EBFE5"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214960</w:t>
            </w:r>
          </w:p>
        </w:tc>
        <w:tc>
          <w:tcPr>
            <w:tcW w:w="1559" w:type="dxa"/>
            <w:tcBorders>
              <w:top w:val="nil"/>
              <w:left w:val="nil"/>
              <w:bottom w:val="single" w:sz="4" w:space="0" w:color="auto"/>
              <w:right w:val="single" w:sz="4" w:space="0" w:color="auto"/>
            </w:tcBorders>
            <w:noWrap/>
            <w:vAlign w:val="bottom"/>
            <w:hideMark/>
          </w:tcPr>
          <w:p w14:paraId="7E548E1A"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214960</w:t>
            </w:r>
          </w:p>
        </w:tc>
        <w:tc>
          <w:tcPr>
            <w:tcW w:w="1559" w:type="dxa"/>
            <w:tcBorders>
              <w:top w:val="nil"/>
              <w:left w:val="nil"/>
              <w:bottom w:val="single" w:sz="4" w:space="0" w:color="auto"/>
              <w:right w:val="single" w:sz="4" w:space="0" w:color="auto"/>
            </w:tcBorders>
            <w:noWrap/>
            <w:vAlign w:val="bottom"/>
            <w:hideMark/>
          </w:tcPr>
          <w:p w14:paraId="0CDC7A74"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0.2</w:t>
            </w:r>
          </w:p>
        </w:tc>
        <w:tc>
          <w:tcPr>
            <w:tcW w:w="1562" w:type="dxa"/>
            <w:tcBorders>
              <w:top w:val="nil"/>
              <w:left w:val="nil"/>
              <w:bottom w:val="single" w:sz="4" w:space="0" w:color="auto"/>
              <w:right w:val="single" w:sz="4" w:space="0" w:color="auto"/>
            </w:tcBorders>
            <w:noWrap/>
            <w:vAlign w:val="bottom"/>
            <w:hideMark/>
          </w:tcPr>
          <w:p w14:paraId="01526320"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5.69</w:t>
            </w:r>
          </w:p>
        </w:tc>
      </w:tr>
      <w:tr w:rsidR="00EF1937" w:rsidRPr="00B450EB" w14:paraId="410DA7EF" w14:textId="77777777" w:rsidTr="00074C6B">
        <w:trPr>
          <w:trHeight w:val="300"/>
        </w:trPr>
        <w:tc>
          <w:tcPr>
            <w:tcW w:w="991" w:type="dxa"/>
            <w:tcBorders>
              <w:top w:val="nil"/>
              <w:left w:val="single" w:sz="4" w:space="0" w:color="auto"/>
              <w:bottom w:val="single" w:sz="4" w:space="0" w:color="auto"/>
              <w:right w:val="single" w:sz="4" w:space="0" w:color="auto"/>
            </w:tcBorders>
            <w:noWrap/>
            <w:vAlign w:val="bottom"/>
            <w:hideMark/>
          </w:tcPr>
          <w:p w14:paraId="4268BC7D"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lastRenderedPageBreak/>
              <w:t>Perú</w:t>
            </w:r>
          </w:p>
        </w:tc>
        <w:tc>
          <w:tcPr>
            <w:tcW w:w="1131" w:type="dxa"/>
            <w:tcBorders>
              <w:top w:val="nil"/>
              <w:left w:val="nil"/>
              <w:bottom w:val="single" w:sz="4" w:space="0" w:color="auto"/>
              <w:right w:val="single" w:sz="4" w:space="0" w:color="auto"/>
            </w:tcBorders>
            <w:noWrap/>
            <w:vAlign w:val="bottom"/>
            <w:hideMark/>
          </w:tcPr>
          <w:p w14:paraId="4713F0FC"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1285216</w:t>
            </w:r>
          </w:p>
        </w:tc>
        <w:tc>
          <w:tcPr>
            <w:tcW w:w="1134" w:type="dxa"/>
            <w:tcBorders>
              <w:top w:val="nil"/>
              <w:left w:val="nil"/>
              <w:bottom w:val="single" w:sz="4" w:space="0" w:color="auto"/>
              <w:right w:val="single" w:sz="4" w:space="0" w:color="auto"/>
            </w:tcBorders>
            <w:noWrap/>
            <w:vAlign w:val="bottom"/>
            <w:hideMark/>
          </w:tcPr>
          <w:p w14:paraId="6310CAC3"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967176</w:t>
            </w:r>
          </w:p>
        </w:tc>
        <w:tc>
          <w:tcPr>
            <w:tcW w:w="1134" w:type="dxa"/>
            <w:tcBorders>
              <w:top w:val="nil"/>
              <w:left w:val="nil"/>
              <w:bottom w:val="single" w:sz="4" w:space="0" w:color="auto"/>
              <w:right w:val="single" w:sz="4" w:space="0" w:color="auto"/>
            </w:tcBorders>
            <w:noWrap/>
            <w:vAlign w:val="bottom"/>
            <w:hideMark/>
          </w:tcPr>
          <w:p w14:paraId="163F852A"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782786</w:t>
            </w:r>
          </w:p>
        </w:tc>
        <w:tc>
          <w:tcPr>
            <w:tcW w:w="1559" w:type="dxa"/>
            <w:tcBorders>
              <w:top w:val="nil"/>
              <w:left w:val="nil"/>
              <w:bottom w:val="single" w:sz="4" w:space="0" w:color="auto"/>
              <w:right w:val="single" w:sz="4" w:space="0" w:color="auto"/>
            </w:tcBorders>
            <w:noWrap/>
            <w:vAlign w:val="bottom"/>
            <w:hideMark/>
          </w:tcPr>
          <w:p w14:paraId="1DE46C6F"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651440</w:t>
            </w:r>
          </w:p>
        </w:tc>
        <w:tc>
          <w:tcPr>
            <w:tcW w:w="1559" w:type="dxa"/>
            <w:tcBorders>
              <w:top w:val="nil"/>
              <w:left w:val="nil"/>
              <w:bottom w:val="single" w:sz="4" w:space="0" w:color="auto"/>
              <w:right w:val="single" w:sz="4" w:space="0" w:color="auto"/>
            </w:tcBorders>
            <w:noWrap/>
            <w:vAlign w:val="bottom"/>
            <w:hideMark/>
          </w:tcPr>
          <w:p w14:paraId="5F209F6F"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15.81</w:t>
            </w:r>
          </w:p>
        </w:tc>
        <w:tc>
          <w:tcPr>
            <w:tcW w:w="1562" w:type="dxa"/>
            <w:tcBorders>
              <w:top w:val="nil"/>
              <w:left w:val="nil"/>
              <w:bottom w:val="single" w:sz="4" w:space="0" w:color="auto"/>
              <w:right w:val="single" w:sz="4" w:space="0" w:color="auto"/>
            </w:tcBorders>
            <w:noWrap/>
            <w:vAlign w:val="bottom"/>
            <w:hideMark/>
          </w:tcPr>
          <w:p w14:paraId="01915F9C"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75.25</w:t>
            </w:r>
          </w:p>
        </w:tc>
      </w:tr>
      <w:tr w:rsidR="00EF1937" w:rsidRPr="00B450EB" w14:paraId="4E385F21" w14:textId="77777777" w:rsidTr="00074C6B">
        <w:trPr>
          <w:trHeight w:val="300"/>
        </w:trPr>
        <w:tc>
          <w:tcPr>
            <w:tcW w:w="991" w:type="dxa"/>
            <w:tcBorders>
              <w:top w:val="nil"/>
              <w:left w:val="single" w:sz="4" w:space="0" w:color="auto"/>
              <w:bottom w:val="single" w:sz="4" w:space="0" w:color="auto"/>
              <w:right w:val="single" w:sz="4" w:space="0" w:color="auto"/>
            </w:tcBorders>
            <w:noWrap/>
            <w:vAlign w:val="bottom"/>
            <w:hideMark/>
          </w:tcPr>
          <w:p w14:paraId="43F04182"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Suriname</w:t>
            </w:r>
            <w:proofErr w:type="spellEnd"/>
          </w:p>
        </w:tc>
        <w:tc>
          <w:tcPr>
            <w:tcW w:w="1131" w:type="dxa"/>
            <w:tcBorders>
              <w:top w:val="nil"/>
              <w:left w:val="nil"/>
              <w:bottom w:val="single" w:sz="4" w:space="0" w:color="auto"/>
              <w:right w:val="single" w:sz="4" w:space="0" w:color="auto"/>
            </w:tcBorders>
            <w:noWrap/>
            <w:vAlign w:val="bottom"/>
            <w:hideMark/>
          </w:tcPr>
          <w:p w14:paraId="730DFAAE"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163800</w:t>
            </w:r>
          </w:p>
        </w:tc>
        <w:tc>
          <w:tcPr>
            <w:tcW w:w="1134" w:type="dxa"/>
            <w:tcBorders>
              <w:top w:val="nil"/>
              <w:left w:val="nil"/>
              <w:bottom w:val="single" w:sz="4" w:space="0" w:color="auto"/>
              <w:right w:val="single" w:sz="4" w:space="0" w:color="auto"/>
            </w:tcBorders>
            <w:noWrap/>
            <w:vAlign w:val="bottom"/>
            <w:hideMark/>
          </w:tcPr>
          <w:p w14:paraId="7A56D8F9"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1134" w:type="dxa"/>
            <w:tcBorders>
              <w:top w:val="nil"/>
              <w:left w:val="nil"/>
              <w:bottom w:val="single" w:sz="4" w:space="0" w:color="auto"/>
              <w:right w:val="single" w:sz="4" w:space="0" w:color="auto"/>
            </w:tcBorders>
            <w:noWrap/>
            <w:vAlign w:val="bottom"/>
            <w:hideMark/>
          </w:tcPr>
          <w:p w14:paraId="70CEBAB8"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163800</w:t>
            </w:r>
          </w:p>
        </w:tc>
        <w:tc>
          <w:tcPr>
            <w:tcW w:w="1559" w:type="dxa"/>
            <w:tcBorders>
              <w:top w:val="nil"/>
              <w:left w:val="nil"/>
              <w:bottom w:val="single" w:sz="4" w:space="0" w:color="auto"/>
              <w:right w:val="single" w:sz="4" w:space="0" w:color="auto"/>
            </w:tcBorders>
            <w:noWrap/>
            <w:vAlign w:val="bottom"/>
            <w:hideMark/>
          </w:tcPr>
          <w:p w14:paraId="45DE2532"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163800</w:t>
            </w:r>
          </w:p>
        </w:tc>
        <w:tc>
          <w:tcPr>
            <w:tcW w:w="1559" w:type="dxa"/>
            <w:tcBorders>
              <w:top w:val="nil"/>
              <w:left w:val="nil"/>
              <w:bottom w:val="single" w:sz="4" w:space="0" w:color="auto"/>
              <w:right w:val="single" w:sz="4" w:space="0" w:color="auto"/>
            </w:tcBorders>
            <w:noWrap/>
            <w:vAlign w:val="bottom"/>
            <w:hideMark/>
          </w:tcPr>
          <w:p w14:paraId="7645CED8"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w:t>
            </w:r>
          </w:p>
        </w:tc>
        <w:tc>
          <w:tcPr>
            <w:tcW w:w="1562" w:type="dxa"/>
            <w:tcBorders>
              <w:top w:val="nil"/>
              <w:left w:val="nil"/>
              <w:bottom w:val="single" w:sz="4" w:space="0" w:color="auto"/>
              <w:right w:val="single" w:sz="4" w:space="0" w:color="auto"/>
            </w:tcBorders>
            <w:noWrap/>
            <w:vAlign w:val="bottom"/>
            <w:hideMark/>
          </w:tcPr>
          <w:p w14:paraId="6F1D32F2"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w:t>
            </w:r>
          </w:p>
        </w:tc>
      </w:tr>
      <w:tr w:rsidR="00EF1937" w:rsidRPr="00B450EB" w14:paraId="6543B9DF" w14:textId="77777777" w:rsidTr="00074C6B">
        <w:trPr>
          <w:trHeight w:val="300"/>
        </w:trPr>
        <w:tc>
          <w:tcPr>
            <w:tcW w:w="991" w:type="dxa"/>
            <w:tcBorders>
              <w:top w:val="nil"/>
              <w:left w:val="single" w:sz="4" w:space="0" w:color="auto"/>
              <w:bottom w:val="single" w:sz="4" w:space="0" w:color="auto"/>
              <w:right w:val="single" w:sz="4" w:space="0" w:color="auto"/>
            </w:tcBorders>
            <w:noWrap/>
            <w:vAlign w:val="bottom"/>
            <w:hideMark/>
          </w:tcPr>
          <w:p w14:paraId="63A66082"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Venezuela</w:t>
            </w:r>
          </w:p>
        </w:tc>
        <w:tc>
          <w:tcPr>
            <w:tcW w:w="1131" w:type="dxa"/>
            <w:tcBorders>
              <w:top w:val="nil"/>
              <w:left w:val="nil"/>
              <w:bottom w:val="single" w:sz="4" w:space="0" w:color="auto"/>
              <w:right w:val="single" w:sz="4" w:space="0" w:color="auto"/>
            </w:tcBorders>
            <w:noWrap/>
            <w:vAlign w:val="bottom"/>
            <w:hideMark/>
          </w:tcPr>
          <w:p w14:paraId="00D14E2C"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916445</w:t>
            </w:r>
          </w:p>
        </w:tc>
        <w:tc>
          <w:tcPr>
            <w:tcW w:w="1134" w:type="dxa"/>
            <w:tcBorders>
              <w:top w:val="nil"/>
              <w:left w:val="nil"/>
              <w:bottom w:val="single" w:sz="4" w:space="0" w:color="auto"/>
              <w:right w:val="single" w:sz="4" w:space="0" w:color="auto"/>
            </w:tcBorders>
            <w:noWrap/>
            <w:vAlign w:val="bottom"/>
            <w:hideMark/>
          </w:tcPr>
          <w:p w14:paraId="78B09385"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53000</w:t>
            </w:r>
          </w:p>
        </w:tc>
        <w:tc>
          <w:tcPr>
            <w:tcW w:w="1134" w:type="dxa"/>
            <w:tcBorders>
              <w:top w:val="nil"/>
              <w:left w:val="nil"/>
              <w:bottom w:val="single" w:sz="4" w:space="0" w:color="auto"/>
              <w:right w:val="single" w:sz="4" w:space="0" w:color="auto"/>
            </w:tcBorders>
            <w:noWrap/>
            <w:vAlign w:val="bottom"/>
            <w:hideMark/>
          </w:tcPr>
          <w:p w14:paraId="29185599"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391296</w:t>
            </w:r>
          </w:p>
        </w:tc>
        <w:tc>
          <w:tcPr>
            <w:tcW w:w="1559" w:type="dxa"/>
            <w:tcBorders>
              <w:top w:val="nil"/>
              <w:left w:val="nil"/>
              <w:bottom w:val="single" w:sz="4" w:space="0" w:color="auto"/>
              <w:right w:val="single" w:sz="4" w:space="0" w:color="auto"/>
            </w:tcBorders>
            <w:noWrap/>
            <w:vAlign w:val="bottom"/>
            <w:hideMark/>
          </w:tcPr>
          <w:p w14:paraId="25988C66"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53000</w:t>
            </w:r>
          </w:p>
        </w:tc>
        <w:tc>
          <w:tcPr>
            <w:tcW w:w="1559" w:type="dxa"/>
            <w:tcBorders>
              <w:top w:val="nil"/>
              <w:left w:val="nil"/>
              <w:bottom w:val="single" w:sz="4" w:space="0" w:color="auto"/>
              <w:right w:val="single" w:sz="4" w:space="0" w:color="auto"/>
            </w:tcBorders>
            <w:noWrap/>
            <w:vAlign w:val="bottom"/>
            <w:hideMark/>
          </w:tcPr>
          <w:p w14:paraId="684EF946"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0.87</w:t>
            </w:r>
          </w:p>
        </w:tc>
        <w:tc>
          <w:tcPr>
            <w:tcW w:w="1562" w:type="dxa"/>
            <w:tcBorders>
              <w:top w:val="nil"/>
              <w:left w:val="nil"/>
              <w:bottom w:val="single" w:sz="4" w:space="0" w:color="auto"/>
              <w:right w:val="single" w:sz="4" w:space="0" w:color="auto"/>
            </w:tcBorders>
            <w:noWrap/>
            <w:vAlign w:val="bottom"/>
            <w:hideMark/>
          </w:tcPr>
          <w:p w14:paraId="38BDD290"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5.78</w:t>
            </w:r>
          </w:p>
        </w:tc>
      </w:tr>
      <w:tr w:rsidR="00EF1937" w:rsidRPr="00B450EB" w14:paraId="2FEA224E" w14:textId="77777777" w:rsidTr="00074C6B">
        <w:trPr>
          <w:trHeight w:val="300"/>
        </w:trPr>
        <w:tc>
          <w:tcPr>
            <w:tcW w:w="991" w:type="dxa"/>
            <w:tcBorders>
              <w:top w:val="nil"/>
              <w:left w:val="single" w:sz="4" w:space="0" w:color="auto"/>
              <w:bottom w:val="single" w:sz="4" w:space="0" w:color="auto"/>
              <w:right w:val="single" w:sz="4" w:space="0" w:color="auto"/>
            </w:tcBorders>
            <w:noWrap/>
            <w:vAlign w:val="bottom"/>
            <w:hideMark/>
          </w:tcPr>
          <w:p w14:paraId="723E9EDD"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Total</w:t>
            </w:r>
          </w:p>
        </w:tc>
        <w:tc>
          <w:tcPr>
            <w:tcW w:w="1131" w:type="dxa"/>
            <w:tcBorders>
              <w:top w:val="nil"/>
              <w:left w:val="nil"/>
              <w:bottom w:val="single" w:sz="4" w:space="0" w:color="auto"/>
              <w:right w:val="single" w:sz="4" w:space="0" w:color="auto"/>
            </w:tcBorders>
            <w:noWrap/>
            <w:vAlign w:val="bottom"/>
            <w:hideMark/>
          </w:tcPr>
          <w:p w14:paraId="676171FA" w14:textId="77777777" w:rsidR="00692FE1" w:rsidRPr="00B450EB" w:rsidRDefault="00692FE1" w:rsidP="00692FE1">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1134" w:type="dxa"/>
            <w:tcBorders>
              <w:top w:val="nil"/>
              <w:left w:val="nil"/>
              <w:bottom w:val="single" w:sz="4" w:space="0" w:color="auto"/>
              <w:right w:val="single" w:sz="4" w:space="0" w:color="auto"/>
            </w:tcBorders>
            <w:noWrap/>
            <w:vAlign w:val="bottom"/>
            <w:hideMark/>
          </w:tcPr>
          <w:p w14:paraId="205E8107"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6118334</w:t>
            </w:r>
          </w:p>
        </w:tc>
        <w:tc>
          <w:tcPr>
            <w:tcW w:w="1134" w:type="dxa"/>
            <w:tcBorders>
              <w:top w:val="nil"/>
              <w:left w:val="nil"/>
              <w:bottom w:val="single" w:sz="4" w:space="0" w:color="auto"/>
              <w:right w:val="single" w:sz="4" w:space="0" w:color="auto"/>
            </w:tcBorders>
            <w:noWrap/>
            <w:vAlign w:val="bottom"/>
            <w:hideMark/>
          </w:tcPr>
          <w:p w14:paraId="6488B106"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6846421</w:t>
            </w:r>
          </w:p>
        </w:tc>
        <w:tc>
          <w:tcPr>
            <w:tcW w:w="1559" w:type="dxa"/>
            <w:tcBorders>
              <w:top w:val="nil"/>
              <w:left w:val="nil"/>
              <w:bottom w:val="single" w:sz="4" w:space="0" w:color="auto"/>
              <w:right w:val="single" w:sz="4" w:space="0" w:color="auto"/>
            </w:tcBorders>
            <w:noWrap/>
            <w:vAlign w:val="bottom"/>
            <w:hideMark/>
          </w:tcPr>
          <w:p w14:paraId="6AFC17F5"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7434827</w:t>
            </w:r>
          </w:p>
        </w:tc>
        <w:tc>
          <w:tcPr>
            <w:tcW w:w="1559" w:type="dxa"/>
            <w:tcBorders>
              <w:top w:val="nil"/>
              <w:left w:val="nil"/>
              <w:bottom w:val="single" w:sz="4" w:space="0" w:color="auto"/>
              <w:right w:val="single" w:sz="4" w:space="0" w:color="auto"/>
            </w:tcBorders>
            <w:noWrap/>
            <w:vAlign w:val="bottom"/>
            <w:hideMark/>
          </w:tcPr>
          <w:p w14:paraId="642FF79B"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100</w:t>
            </w:r>
          </w:p>
        </w:tc>
        <w:tc>
          <w:tcPr>
            <w:tcW w:w="1562" w:type="dxa"/>
            <w:tcBorders>
              <w:top w:val="nil"/>
              <w:left w:val="nil"/>
              <w:bottom w:val="single" w:sz="4" w:space="0" w:color="auto"/>
              <w:right w:val="single" w:sz="4" w:space="0" w:color="auto"/>
            </w:tcBorders>
            <w:noWrap/>
            <w:vAlign w:val="bottom"/>
            <w:hideMark/>
          </w:tcPr>
          <w:p w14:paraId="1F3ADAD7" w14:textId="77777777" w:rsidR="00692FE1" w:rsidRPr="00B450EB" w:rsidRDefault="00692FE1" w:rsidP="00692FE1">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44.99</w:t>
            </w:r>
          </w:p>
        </w:tc>
      </w:tr>
    </w:tbl>
    <w:p w14:paraId="0E09A399" w14:textId="76320E86" w:rsidR="00F9499C" w:rsidRPr="00B450EB" w:rsidRDefault="00312DFE" w:rsidP="00312DFE">
      <w:pPr>
        <w:jc w:val="center"/>
        <w:rPr>
          <w:sz w:val="18"/>
          <w:szCs w:val="18"/>
        </w:rPr>
      </w:pPr>
      <w:r w:rsidRPr="00B450EB">
        <w:rPr>
          <w:sz w:val="18"/>
          <w:szCs w:val="18"/>
        </w:rPr>
        <w:t xml:space="preserve">Fuente: </w:t>
      </w:r>
      <w:r w:rsidR="008855ED" w:rsidRPr="00B450EB">
        <w:rPr>
          <w:sz w:val="18"/>
          <w:szCs w:val="18"/>
        </w:rPr>
        <w:t>OTCA, 2021.</w:t>
      </w:r>
    </w:p>
    <w:p w14:paraId="24BF017C" w14:textId="6F9EC250" w:rsidR="00312DFE" w:rsidRPr="00B450EB" w:rsidRDefault="00F81EF8" w:rsidP="00F770D5">
      <w:pPr>
        <w:spacing w:after="0"/>
        <w:rPr>
          <w:sz w:val="18"/>
          <w:szCs w:val="18"/>
        </w:rPr>
      </w:pPr>
      <w:r w:rsidRPr="00B450EB">
        <w:rPr>
          <w:sz w:val="18"/>
          <w:szCs w:val="18"/>
          <w:vertAlign w:val="superscript"/>
        </w:rPr>
        <w:t>1</w:t>
      </w:r>
      <w:r w:rsidR="00FF2808" w:rsidRPr="00B450EB">
        <w:rPr>
          <w:sz w:val="18"/>
          <w:szCs w:val="18"/>
        </w:rPr>
        <w:t xml:space="preserve"> </w:t>
      </w:r>
      <w:r w:rsidR="00F770D5" w:rsidRPr="00B450EB">
        <w:rPr>
          <w:b/>
          <w:bCs/>
          <w:sz w:val="18"/>
          <w:szCs w:val="18"/>
        </w:rPr>
        <w:t>criterio</w:t>
      </w:r>
      <w:r w:rsidR="00FF2808" w:rsidRPr="00B450EB">
        <w:rPr>
          <w:b/>
          <w:bCs/>
          <w:sz w:val="18"/>
          <w:szCs w:val="18"/>
        </w:rPr>
        <w:t xml:space="preserve"> </w:t>
      </w:r>
      <w:r w:rsidR="004438E0" w:rsidRPr="00B450EB">
        <w:rPr>
          <w:b/>
          <w:bCs/>
          <w:sz w:val="18"/>
          <w:szCs w:val="18"/>
        </w:rPr>
        <w:t>H</w:t>
      </w:r>
      <w:r w:rsidR="00FF2808" w:rsidRPr="00B450EB">
        <w:rPr>
          <w:b/>
          <w:bCs/>
          <w:sz w:val="18"/>
          <w:szCs w:val="18"/>
        </w:rPr>
        <w:t xml:space="preserve">idrográfico: </w:t>
      </w:r>
      <w:r w:rsidR="00FF2808" w:rsidRPr="00B450EB">
        <w:rPr>
          <w:sz w:val="18"/>
          <w:szCs w:val="18"/>
        </w:rPr>
        <w:t>Considera la extensión total de la cuenca Amazónica.</w:t>
      </w:r>
    </w:p>
    <w:p w14:paraId="7C50F651" w14:textId="3CB95E8F" w:rsidR="00FF2808" w:rsidRPr="00B450EB" w:rsidRDefault="00FF2808" w:rsidP="00F770D5">
      <w:pPr>
        <w:spacing w:after="0"/>
        <w:rPr>
          <w:sz w:val="18"/>
          <w:szCs w:val="18"/>
        </w:rPr>
      </w:pPr>
      <w:r w:rsidRPr="00B450EB">
        <w:rPr>
          <w:sz w:val="18"/>
          <w:szCs w:val="18"/>
          <w:vertAlign w:val="superscript"/>
        </w:rPr>
        <w:t>2</w:t>
      </w:r>
      <w:r w:rsidRPr="00B450EB">
        <w:rPr>
          <w:sz w:val="18"/>
          <w:szCs w:val="18"/>
        </w:rPr>
        <w:t xml:space="preserve"> </w:t>
      </w:r>
      <w:r w:rsidR="00F770D5" w:rsidRPr="00B450EB">
        <w:rPr>
          <w:b/>
          <w:bCs/>
          <w:sz w:val="18"/>
          <w:szCs w:val="18"/>
        </w:rPr>
        <w:t>criterio</w:t>
      </w:r>
      <w:r w:rsidRPr="00B450EB">
        <w:rPr>
          <w:b/>
          <w:bCs/>
          <w:sz w:val="18"/>
          <w:szCs w:val="18"/>
        </w:rPr>
        <w:t xml:space="preserve"> Ecológico o biogeográfico: </w:t>
      </w:r>
      <w:r w:rsidR="003E69AE" w:rsidRPr="00B450EB">
        <w:rPr>
          <w:sz w:val="18"/>
          <w:szCs w:val="18"/>
        </w:rPr>
        <w:t>Utiliza como indicador la extensión correspondiente al bioma bosque húmedo tropical y subtropical sudamericano, localizado al este de la cordillera de Los Andes.</w:t>
      </w:r>
    </w:p>
    <w:p w14:paraId="4B8D1B0C" w14:textId="3533E5E9" w:rsidR="003E69AE" w:rsidRPr="00B450EB" w:rsidRDefault="004438E0" w:rsidP="00F770D5">
      <w:pPr>
        <w:spacing w:after="0"/>
        <w:rPr>
          <w:sz w:val="18"/>
          <w:szCs w:val="18"/>
        </w:rPr>
      </w:pPr>
      <w:r w:rsidRPr="00B450EB">
        <w:rPr>
          <w:sz w:val="18"/>
          <w:szCs w:val="18"/>
          <w:vertAlign w:val="superscript"/>
        </w:rPr>
        <w:t>3</w:t>
      </w:r>
      <w:r w:rsidRPr="00B450EB">
        <w:rPr>
          <w:sz w:val="18"/>
          <w:szCs w:val="18"/>
        </w:rPr>
        <w:t xml:space="preserve"> </w:t>
      </w:r>
      <w:r w:rsidR="00F770D5" w:rsidRPr="00B450EB">
        <w:rPr>
          <w:b/>
          <w:bCs/>
          <w:sz w:val="18"/>
          <w:szCs w:val="18"/>
        </w:rPr>
        <w:t>criterio</w:t>
      </w:r>
      <w:r w:rsidRPr="00B450EB">
        <w:rPr>
          <w:b/>
          <w:bCs/>
          <w:sz w:val="18"/>
          <w:szCs w:val="18"/>
        </w:rPr>
        <w:t xml:space="preserve"> </w:t>
      </w:r>
      <w:r w:rsidR="00412887" w:rsidRPr="00B450EB">
        <w:rPr>
          <w:b/>
          <w:bCs/>
          <w:sz w:val="18"/>
          <w:szCs w:val="18"/>
        </w:rPr>
        <w:t xml:space="preserve">Político – Administrativo: </w:t>
      </w:r>
      <w:r w:rsidR="00412887" w:rsidRPr="00B450EB">
        <w:rPr>
          <w:sz w:val="18"/>
          <w:szCs w:val="18"/>
        </w:rPr>
        <w:t>Referido al área comprendida por los límites político – administrativos de distinta jerarquía establecidos por cada país y definid</w:t>
      </w:r>
      <w:r w:rsidR="00F770D5" w:rsidRPr="00B450EB">
        <w:rPr>
          <w:sz w:val="18"/>
          <w:szCs w:val="18"/>
        </w:rPr>
        <w:t>os como parte de su región Amazónica.</w:t>
      </w:r>
    </w:p>
    <w:p w14:paraId="015E59A9" w14:textId="77777777" w:rsidR="00F9499C" w:rsidRPr="00B450EB" w:rsidRDefault="00F9499C" w:rsidP="00393BA7"/>
    <w:p w14:paraId="423425B5" w14:textId="073D1BE1" w:rsidR="00393BA7" w:rsidRPr="00B450EB" w:rsidRDefault="00393BA7" w:rsidP="00393BA7">
      <w:r w:rsidRPr="00B450EB">
        <w:t>El río Amazonas nace a 5597 m</w:t>
      </w:r>
      <w:r w:rsidR="002E2D50" w:rsidRPr="00B450EB">
        <w:t>.</w:t>
      </w:r>
      <w:r w:rsidRPr="00B450EB">
        <w:t>s</w:t>
      </w:r>
      <w:r w:rsidR="002E2D50" w:rsidRPr="00B450EB">
        <w:t>.</w:t>
      </w:r>
      <w:r w:rsidRPr="00B450EB">
        <w:t>n</w:t>
      </w:r>
      <w:r w:rsidR="002E2D50" w:rsidRPr="00B450EB">
        <w:t>.</w:t>
      </w:r>
      <w:r w:rsidRPr="00B450EB">
        <w:t>m</w:t>
      </w:r>
      <w:r w:rsidR="002E2D50" w:rsidRPr="00B450EB">
        <w:t>.</w:t>
      </w:r>
      <w:r w:rsidRPr="00B450EB">
        <w:t xml:space="preserve"> en Arequipa, Perú en la quebrada Apacheta, en cercanías del volcán </w:t>
      </w:r>
      <w:proofErr w:type="spellStart"/>
      <w:r w:rsidRPr="00B450EB">
        <w:t>Quehuisha</w:t>
      </w:r>
      <w:proofErr w:type="spellEnd"/>
      <w:r w:rsidRPr="00B450EB">
        <w:t xml:space="preserve">.  En su tránsito por Perú, la quebrada Apacheta confluye con las aguas de los ríos Apurímac, Ucayali, </w:t>
      </w:r>
      <w:proofErr w:type="spellStart"/>
      <w:r w:rsidRPr="00B450EB">
        <w:t>Marañon</w:t>
      </w:r>
      <w:proofErr w:type="spellEnd"/>
      <w:r w:rsidRPr="00B450EB">
        <w:t xml:space="preserve"> y Napo para formar las corrientes hídricas de la cuenca alta del río Amazonas.  De acuerdo con la </w:t>
      </w:r>
      <w:sdt>
        <w:sdtPr>
          <w:id w:val="-1708782833"/>
          <w:citation/>
        </w:sdtPr>
        <w:sdtContent>
          <w:r w:rsidR="00A91516" w:rsidRPr="00B450EB">
            <w:fldChar w:fldCharType="begin"/>
          </w:r>
          <w:r w:rsidR="00FF0A53" w:rsidRPr="00B450EB">
            <w:rPr>
              <w:lang w:val="es-ES"/>
            </w:rPr>
            <w:instrText xml:space="preserve">CITATION OTC21 \l 3082 </w:instrText>
          </w:r>
          <w:r w:rsidR="00A91516" w:rsidRPr="00B450EB">
            <w:fldChar w:fldCharType="separate"/>
          </w:r>
          <w:r w:rsidR="0077091E" w:rsidRPr="00B450EB">
            <w:rPr>
              <w:noProof/>
              <w:lang w:val="es-ES"/>
            </w:rPr>
            <w:t>(OTCA, 2021)</w:t>
          </w:r>
          <w:r w:rsidR="00A91516" w:rsidRPr="00B450EB">
            <w:fldChar w:fldCharType="end"/>
          </w:r>
        </w:sdtContent>
      </w:sdt>
      <w:r w:rsidRPr="00B450EB">
        <w:t xml:space="preserve">, del margen izquierdo de la cuenca se destacan como flujos hídricos más importantes tributarios al río Amazonas, el río Putumayo (que nace en Pasto – Colombia), el río Japurá (que nace en Colombia a partir del río Caquetá en la </w:t>
      </w:r>
      <w:r w:rsidR="00BE444F" w:rsidRPr="00B450EB">
        <w:t>c</w:t>
      </w:r>
      <w:r w:rsidRPr="00B450EB">
        <w:t xml:space="preserve">ordillera </w:t>
      </w:r>
      <w:r w:rsidR="00BE444F" w:rsidRPr="00B450EB">
        <w:t>c</w:t>
      </w:r>
      <w:r w:rsidRPr="00B450EB">
        <w:t xml:space="preserve">entral de Los Andes) y el río Negro (denominado río Guainía desde su origen en la frontera de Colombia y Venezuela. Por el margen derecho del río Amazonas confluyen los ríos </w:t>
      </w:r>
      <w:proofErr w:type="spellStart"/>
      <w:r w:rsidRPr="00B450EB">
        <w:t>Jurúa</w:t>
      </w:r>
      <w:proofErr w:type="spellEnd"/>
      <w:r w:rsidRPr="00B450EB">
        <w:t xml:space="preserve">, Purús (corrientes hídricas que nacen en Perú) y los ríos Madeira, Tapajós y Xingú (importantes afluentes que se originan en Brasil). Estas fuentes hídricas que dan origen al río Amazonas discurren por la cordillera de Los Andes, el escudo Guayanés y el escudo </w:t>
      </w:r>
      <w:proofErr w:type="gramStart"/>
      <w:r w:rsidRPr="00B450EB">
        <w:t>Brasileño</w:t>
      </w:r>
      <w:proofErr w:type="gramEnd"/>
      <w:r w:rsidRPr="00B450EB">
        <w:t>.</w:t>
      </w:r>
    </w:p>
    <w:p w14:paraId="6597559C" w14:textId="7D9DB7DA" w:rsidR="00393BA7" w:rsidRPr="00B450EB" w:rsidRDefault="00393BA7" w:rsidP="00393BA7">
      <w:r w:rsidRPr="00B450EB">
        <w:t>La desembocadura del río Amazonas ocurre en el Océano Atlántico con caudales que oscilan entre 220.000 m</w:t>
      </w:r>
      <w:r w:rsidRPr="00B450EB">
        <w:rPr>
          <w:vertAlign w:val="superscript"/>
        </w:rPr>
        <w:t>3</w:t>
      </w:r>
      <w:r w:rsidRPr="00B450EB">
        <w:t>/s hasta 300.000 m</w:t>
      </w:r>
      <w:r w:rsidRPr="00B450EB">
        <w:rPr>
          <w:vertAlign w:val="superscript"/>
        </w:rPr>
        <w:t>3</w:t>
      </w:r>
      <w:r w:rsidRPr="00B450EB">
        <w:t xml:space="preserve">/s </w:t>
      </w:r>
      <w:sdt>
        <w:sdtPr>
          <w:id w:val="1419520641"/>
          <w:citation/>
        </w:sdtPr>
        <w:sdtContent>
          <w:r w:rsidR="00FF0A53" w:rsidRPr="00B450EB">
            <w:fldChar w:fldCharType="begin"/>
          </w:r>
          <w:r w:rsidR="00FF0A53" w:rsidRPr="00B450EB">
            <w:rPr>
              <w:lang w:val="es-ES"/>
            </w:rPr>
            <w:instrText xml:space="preserve">CITATION OTC21 \l 3082 </w:instrText>
          </w:r>
          <w:r w:rsidR="00FF0A53" w:rsidRPr="00B450EB">
            <w:fldChar w:fldCharType="separate"/>
          </w:r>
          <w:r w:rsidR="0077091E" w:rsidRPr="00B450EB">
            <w:rPr>
              <w:noProof/>
              <w:lang w:val="es-ES"/>
            </w:rPr>
            <w:t>(OTCA, 2021)</w:t>
          </w:r>
          <w:r w:rsidR="00FF0A53" w:rsidRPr="00B450EB">
            <w:fldChar w:fldCharType="end"/>
          </w:r>
        </w:sdtContent>
      </w:sdt>
    </w:p>
    <w:p w14:paraId="79BC3F19" w14:textId="77777777" w:rsidR="00393BA7" w:rsidRPr="00B450EB" w:rsidRDefault="00393BA7" w:rsidP="00393BA7">
      <w:r w:rsidRPr="00B450EB">
        <w:t>Como se observa, el río Amazonas constituye el cauce más largo y uno de los más caudalosos del mundo.  La extensión de la cuenca hidrográfica del río Amazonas, sus grandes tributarios y las aguas que fluyen, sin lugar a duda, representan una parte esencial del ciclo hidrológico de la región y del mundo; así mismo, constituyen el recurso fundamental para los ecosistemas y la biodiversidad, y las poblaciones ribereñas.</w:t>
      </w:r>
    </w:p>
    <w:p w14:paraId="45CDA4D5" w14:textId="3C91AA6F" w:rsidR="00393BA7" w:rsidRPr="00B450EB" w:rsidRDefault="00393BA7" w:rsidP="00393BA7">
      <w:r w:rsidRPr="00B450EB">
        <w:t xml:space="preserve">Hidrológicamente, la región amazónica presenta un comportamiento de extremos climáticos. Según la </w:t>
      </w:r>
      <w:sdt>
        <w:sdtPr>
          <w:id w:val="306209915"/>
          <w:citation/>
        </w:sdtPr>
        <w:sdtContent>
          <w:r w:rsidR="0041403D" w:rsidRPr="00B450EB">
            <w:fldChar w:fldCharType="begin"/>
          </w:r>
          <w:r w:rsidR="00FF0A53" w:rsidRPr="00B450EB">
            <w:rPr>
              <w:lang w:val="es-ES"/>
            </w:rPr>
            <w:instrText xml:space="preserve">CITATION OTC21 \l 3082 </w:instrText>
          </w:r>
          <w:r w:rsidR="0041403D" w:rsidRPr="00B450EB">
            <w:fldChar w:fldCharType="separate"/>
          </w:r>
          <w:r w:rsidR="0077091E" w:rsidRPr="00B450EB">
            <w:rPr>
              <w:noProof/>
              <w:lang w:val="es-ES"/>
            </w:rPr>
            <w:t>(OTCA, 2021)</w:t>
          </w:r>
          <w:r w:rsidR="0041403D" w:rsidRPr="00B450EB">
            <w:fldChar w:fldCharType="end"/>
          </w:r>
        </w:sdtContent>
      </w:sdt>
      <w:r w:rsidRPr="00B450EB">
        <w:t xml:space="preserve">, tanto inundaciones como sequías son </w:t>
      </w:r>
      <w:r w:rsidRPr="00B450EB">
        <w:lastRenderedPageBreak/>
        <w:t xml:space="preserve">frecuentes en la cuenca Amazónica.  Las inundaciones suceden principalmente en las zonas de planicie, y se intensifican en frecuencia e intensidad a causa de la erosión de los suelos y los fenómenos de variabilidad climática. Con respecto a las sequías, la </w:t>
      </w:r>
      <w:sdt>
        <w:sdtPr>
          <w:id w:val="-1799986141"/>
          <w:citation/>
        </w:sdtPr>
        <w:sdtContent>
          <w:r w:rsidR="0034730D" w:rsidRPr="00B450EB">
            <w:fldChar w:fldCharType="begin"/>
          </w:r>
          <w:r w:rsidR="0034730D" w:rsidRPr="00B450EB">
            <w:rPr>
              <w:lang w:val="es-ES"/>
            </w:rPr>
            <w:instrText xml:space="preserve"> CITATION OTC21 \l 3082 </w:instrText>
          </w:r>
          <w:r w:rsidR="0034730D" w:rsidRPr="00B450EB">
            <w:fldChar w:fldCharType="separate"/>
          </w:r>
          <w:r w:rsidR="0077091E" w:rsidRPr="00B450EB">
            <w:rPr>
              <w:noProof/>
              <w:lang w:val="es-ES"/>
            </w:rPr>
            <w:t>(OTCA, 2021)</w:t>
          </w:r>
          <w:r w:rsidR="0034730D" w:rsidRPr="00B450EB">
            <w:fldChar w:fldCharType="end"/>
          </w:r>
        </w:sdtContent>
      </w:sdt>
      <w:r w:rsidRPr="00B450EB">
        <w:t xml:space="preserve"> reporta que también son recurrentes; los eventos más intensos fueron registrados entre 1925 – 1926 y 2010.  Ambos eventos han generado pérdidas económicas para las comunidades. </w:t>
      </w:r>
    </w:p>
    <w:p w14:paraId="7D3957DE" w14:textId="002927BA" w:rsidR="00393BA7" w:rsidRPr="00B450EB" w:rsidRDefault="00393BA7" w:rsidP="00377AD7">
      <w:pPr>
        <w:pStyle w:val="Descripcin"/>
        <w:rPr>
          <w:color w:val="auto"/>
        </w:rPr>
      </w:pPr>
      <w:bookmarkStart w:id="8" w:name="_Toc209462692"/>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3</w:t>
      </w:r>
      <w:r w:rsidRPr="00B450EB">
        <w:rPr>
          <w:color w:val="auto"/>
        </w:rPr>
        <w:fldChar w:fldCharType="end"/>
      </w:r>
      <w:r w:rsidRPr="00B450EB">
        <w:rPr>
          <w:color w:val="auto"/>
        </w:rPr>
        <w:t>. Red hídrica principal de la Región Amazónica</w:t>
      </w:r>
      <w:bookmarkEnd w:id="8"/>
    </w:p>
    <w:p w14:paraId="1BECCD59" w14:textId="77777777" w:rsidR="00393BA7" w:rsidRPr="00B450EB" w:rsidRDefault="00393BA7" w:rsidP="00393BA7">
      <w:pPr>
        <w:spacing w:after="0"/>
      </w:pPr>
      <w:r w:rsidRPr="00B450EB">
        <w:rPr>
          <w:noProof/>
        </w:rPr>
        <w:drawing>
          <wp:inline distT="0" distB="0" distL="0" distR="0" wp14:anchorId="03CA160C" wp14:editId="0AA943EF">
            <wp:extent cx="5612130" cy="4024630"/>
            <wp:effectExtent l="0" t="0" r="7620" b="0"/>
            <wp:docPr id="803609556"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609556" name="Imagen 1" descr="Mapa&#10;&#10;El contenido generado por IA puede ser incorrecto."/>
                    <pic:cNvPicPr/>
                  </pic:nvPicPr>
                  <pic:blipFill>
                    <a:blip r:embed="rId19" cstate="email">
                      <a:extLst>
                        <a:ext uri="{28A0092B-C50C-407E-A947-70E740481C1C}">
                          <a14:useLocalDpi xmlns:a14="http://schemas.microsoft.com/office/drawing/2010/main"/>
                        </a:ext>
                      </a:extLst>
                    </a:blip>
                    <a:stretch>
                      <a:fillRect/>
                    </a:stretch>
                  </pic:blipFill>
                  <pic:spPr>
                    <a:xfrm>
                      <a:off x="0" y="0"/>
                      <a:ext cx="5612130" cy="4024630"/>
                    </a:xfrm>
                    <a:prstGeom prst="rect">
                      <a:avLst/>
                    </a:prstGeom>
                  </pic:spPr>
                </pic:pic>
              </a:graphicData>
            </a:graphic>
          </wp:inline>
        </w:drawing>
      </w:r>
    </w:p>
    <w:p w14:paraId="668E7FCF" w14:textId="39349B0D" w:rsidR="00393BA7" w:rsidRPr="00B450EB" w:rsidRDefault="00393BA7" w:rsidP="00393BA7">
      <w:pPr>
        <w:jc w:val="center"/>
        <w:rPr>
          <w:sz w:val="18"/>
          <w:szCs w:val="18"/>
        </w:rPr>
      </w:pPr>
      <w:r w:rsidRPr="00B450EB">
        <w:rPr>
          <w:sz w:val="18"/>
          <w:szCs w:val="18"/>
        </w:rPr>
        <w:t>Fuente: OTC</w:t>
      </w:r>
      <w:r w:rsidR="00F82E18" w:rsidRPr="00B450EB">
        <w:rPr>
          <w:sz w:val="18"/>
          <w:szCs w:val="18"/>
        </w:rPr>
        <w:t>A</w:t>
      </w:r>
      <w:r w:rsidRPr="00B450EB">
        <w:rPr>
          <w:sz w:val="18"/>
          <w:szCs w:val="18"/>
        </w:rPr>
        <w:t>, 2021.</w:t>
      </w:r>
    </w:p>
    <w:p w14:paraId="28590B95" w14:textId="1DB02108" w:rsidR="00990281" w:rsidRPr="00B450EB" w:rsidRDefault="00990281" w:rsidP="00990281">
      <w:pPr>
        <w:pStyle w:val="Ttulo2"/>
        <w:numPr>
          <w:ilvl w:val="1"/>
          <w:numId w:val="1"/>
        </w:numPr>
        <w:rPr>
          <w:rFonts w:cs="Arial"/>
        </w:rPr>
      </w:pPr>
      <w:bookmarkStart w:id="9" w:name="_Toc209722910"/>
      <w:r w:rsidRPr="00B450EB">
        <w:rPr>
          <w:rFonts w:cs="Arial"/>
        </w:rPr>
        <w:t xml:space="preserve">Delimitación del Bioma Amazónico </w:t>
      </w:r>
      <w:r w:rsidR="0073265B" w:rsidRPr="00B450EB">
        <w:rPr>
          <w:rFonts w:cs="Arial"/>
        </w:rPr>
        <w:t>en Colombia</w:t>
      </w:r>
      <w:bookmarkEnd w:id="9"/>
    </w:p>
    <w:p w14:paraId="06A853CC" w14:textId="6F2C7BC3" w:rsidR="00DE478B" w:rsidRPr="00B450EB" w:rsidRDefault="00DE478B" w:rsidP="00DE478B">
      <w:pPr>
        <w:rPr>
          <w:rFonts w:cs="Arial"/>
        </w:rPr>
      </w:pPr>
      <w:r w:rsidRPr="00B450EB">
        <w:rPr>
          <w:rFonts w:cs="Arial"/>
        </w:rPr>
        <w:t xml:space="preserve">La Región Amazónica colombiana, definida por el Instituto SICHI (Instituto Amazónico de Investigaciones Científicas), es una ecorregión de especial importancia nacional, no solo por su extensión a nivel nacional (unos 483.163 km2, lo que equivale a cerca de la mitad del territorio continental colombiano), sino también por su riqueza en términos de biodiversidad, procesos ecológicos, culturales, históricos, económicos y políticos que tienen lugar allí </w:t>
      </w:r>
      <w:sdt>
        <w:sdtPr>
          <w:id w:val="484055733"/>
          <w:citation/>
        </w:sdtPr>
        <w:sdtContent>
          <w:r w:rsidRPr="00B450EB">
            <w:rPr>
              <w:rFonts w:cs="Arial"/>
            </w:rPr>
            <w:fldChar w:fldCharType="begin"/>
          </w:r>
          <w:r w:rsidRPr="00B450EB">
            <w:rPr>
              <w:rFonts w:cs="Arial"/>
            </w:rPr>
            <w:instrText xml:space="preserve"> CITATION DNP23 \l 9226 </w:instrText>
          </w:r>
          <w:r w:rsidRPr="00B450EB">
            <w:rPr>
              <w:rFonts w:cs="Arial"/>
            </w:rPr>
            <w:fldChar w:fldCharType="separate"/>
          </w:r>
          <w:r w:rsidR="0077091E" w:rsidRPr="00B450EB">
            <w:rPr>
              <w:rFonts w:cs="Arial"/>
              <w:noProof/>
            </w:rPr>
            <w:t>(DNP, 2023)</w:t>
          </w:r>
          <w:r w:rsidRPr="00B450EB">
            <w:rPr>
              <w:rFonts w:cs="Arial"/>
            </w:rPr>
            <w:fldChar w:fldCharType="end"/>
          </w:r>
        </w:sdtContent>
      </w:sdt>
      <w:r w:rsidRPr="00B450EB">
        <w:rPr>
          <w:rFonts w:cs="Arial"/>
        </w:rPr>
        <w:t>.</w:t>
      </w:r>
    </w:p>
    <w:p w14:paraId="004A4AF0" w14:textId="45984AA7" w:rsidR="00D86874" w:rsidRPr="00B450EB" w:rsidRDefault="00D86874" w:rsidP="00D86874">
      <w:r w:rsidRPr="00B450EB">
        <w:t xml:space="preserve">De acuerdo con Guio y Rojas (2019) la Región Amazónica colombiana debe su importancia hidrográfica a su posición en el sector noroccidental de la gran cuenca, donde nacen importantes afluentes de los Ríos Amazonas y Orinoco, así </w:t>
      </w:r>
      <w:r w:rsidR="456773ED" w:rsidRPr="00B450EB">
        <w:t>como</w:t>
      </w:r>
      <w:r w:rsidR="06B45DA9" w:rsidRPr="00B450EB">
        <w:t xml:space="preserve"> </w:t>
      </w:r>
      <w:r w:rsidR="456773ED" w:rsidRPr="00B450EB">
        <w:t>las</w:t>
      </w:r>
      <w:r w:rsidRPr="00B450EB">
        <w:t xml:space="preserve"> </w:t>
      </w:r>
      <w:r w:rsidRPr="00B450EB">
        <w:lastRenderedPageBreak/>
        <w:t xml:space="preserve">cabeceras occidentales del río Negro. Así pues, desde el punto de vista hidrográfico, la región está conformada por dos grandes cuencas: primeramente la del río Amazonas, desde la divisoria de aguas en la cordillera Oriental, que incluye ecosistemas de bosques de niebla, altoandinos y de páramos, y abarca los </w:t>
      </w:r>
      <w:r w:rsidR="4DA3DC5B" w:rsidRPr="00B450EB">
        <w:t>ríos</w:t>
      </w:r>
      <w:r w:rsidRPr="00B450EB">
        <w:t xml:space="preserve"> Putumayo, Caquetá, Apaporis, Vaupés y Guainía; y al Norte comprende parcialmente la cuenca del río Orinoco, la cual contribuye con el potencial hídrico de los ríos Inírida, Guaviare, Vichada y una zona del propio río Orinoco. Según Muñoz (2016) citando a Ortiz (2015), conformado por aproximadamente 1100 ríos, la cuenca del río Amazonas contiene la región hidrográfica más extensa del planeta.</w:t>
      </w:r>
    </w:p>
    <w:p w14:paraId="3D299761" w14:textId="793209DA" w:rsidR="0060641D" w:rsidRPr="00B450EB" w:rsidRDefault="00D86874" w:rsidP="00D86874">
      <w:r w:rsidRPr="00B450EB">
        <w:t xml:space="preserve">El Instituto SINCHI ha definido los límites de la Región Amazónica colombiana a partir de </w:t>
      </w:r>
      <w:r w:rsidR="7B759DCE" w:rsidRPr="00B450EB">
        <w:t>l</w:t>
      </w:r>
      <w:r w:rsidRPr="00B450EB">
        <w:t>ímites hidrográficos, biogeográficos y político-administrativos, tal que se delimita “</w:t>
      </w:r>
      <w:r w:rsidRPr="00B450EB">
        <w:rPr>
          <w:i/>
        </w:rPr>
        <w:t xml:space="preserve">partiendo de la desembocadura del río Vichada en el Orinoco, se sigue su vega por la orilla sur. Luego con rumbo suroeste, pasa por los nacimientos de los ríos </w:t>
      </w:r>
      <w:proofErr w:type="spellStart"/>
      <w:r w:rsidRPr="00B450EB">
        <w:rPr>
          <w:i/>
        </w:rPr>
        <w:t>Uvá</w:t>
      </w:r>
      <w:proofErr w:type="spellEnd"/>
      <w:r w:rsidRPr="00B450EB">
        <w:rPr>
          <w:i/>
        </w:rPr>
        <w:t xml:space="preserve">, </w:t>
      </w:r>
      <w:proofErr w:type="spellStart"/>
      <w:r w:rsidRPr="00B450EB">
        <w:rPr>
          <w:i/>
        </w:rPr>
        <w:t>Iteviare</w:t>
      </w:r>
      <w:proofErr w:type="spellEnd"/>
      <w:r w:rsidRPr="00B450EB">
        <w:rPr>
          <w:i/>
        </w:rPr>
        <w:t xml:space="preserve"> y </w:t>
      </w:r>
      <w:proofErr w:type="spellStart"/>
      <w:r w:rsidRPr="00B450EB">
        <w:rPr>
          <w:i/>
        </w:rPr>
        <w:t>Siare</w:t>
      </w:r>
      <w:proofErr w:type="spellEnd"/>
      <w:r w:rsidRPr="00B450EB">
        <w:rPr>
          <w:i/>
        </w:rPr>
        <w:t xml:space="preserve">, hasta llegar a la boca del caño Jabón en el río Guaviare. Por el río Guaviare arriba se continúa hasta encontrar el río Ariari. Por este se sigue aguas arriba hasta la boca del río </w:t>
      </w:r>
      <w:proofErr w:type="spellStart"/>
      <w:r w:rsidRPr="00B450EB">
        <w:rPr>
          <w:i/>
        </w:rPr>
        <w:t>Güejar</w:t>
      </w:r>
      <w:proofErr w:type="spellEnd"/>
      <w:r w:rsidRPr="00B450EB">
        <w:rPr>
          <w:i/>
        </w:rPr>
        <w:t xml:space="preserve"> y se continúa aguas arriba hasta el nacimiento del río </w:t>
      </w:r>
      <w:proofErr w:type="spellStart"/>
      <w:r w:rsidRPr="00B450EB">
        <w:rPr>
          <w:i/>
        </w:rPr>
        <w:t>Sanza</w:t>
      </w:r>
      <w:proofErr w:type="spellEnd"/>
      <w:r w:rsidRPr="00B450EB">
        <w:rPr>
          <w:i/>
        </w:rPr>
        <w:t xml:space="preserve"> que se deriva de la quebrada </w:t>
      </w:r>
      <w:proofErr w:type="spellStart"/>
      <w:r w:rsidRPr="00B450EB">
        <w:rPr>
          <w:i/>
        </w:rPr>
        <w:t>Barrialosa</w:t>
      </w:r>
      <w:proofErr w:type="spellEnd"/>
      <w:r w:rsidRPr="00B450EB">
        <w:rPr>
          <w:i/>
        </w:rPr>
        <w:t xml:space="preserve"> y el río Peñas. Desde este punto, en línea recta con dirección occidente, hasta encontrar el río Guayabero, el cual se sigue hasta su nacimiento en el Cerro Triunfo. A partir de ahí se sigue en dirección sur, la divisoria de los ríos amazónicos hasta la frontera con Ecuador. El polígono se completa siguiendo los límites internacionales amazónicos con Ecuador, Perú, Brasil y Venezuela, hasta su cierre en la desembocadura del río Vichada sobre el Orinoco</w:t>
      </w:r>
      <w:r w:rsidRPr="00B450EB">
        <w:t xml:space="preserve">”. </w:t>
      </w:r>
    </w:p>
    <w:p w14:paraId="21FB6F31" w14:textId="77777777" w:rsidR="00D21538" w:rsidRPr="00B450EB" w:rsidRDefault="00D21538">
      <w:pPr>
        <w:jc w:val="left"/>
        <w:rPr>
          <w:i/>
          <w:iCs/>
          <w:sz w:val="18"/>
          <w:szCs w:val="18"/>
        </w:rPr>
      </w:pPr>
      <w:bookmarkStart w:id="10" w:name="_Toc209462693"/>
      <w:r w:rsidRPr="00B450EB">
        <w:br w:type="page"/>
      </w:r>
    </w:p>
    <w:p w14:paraId="10295CFD" w14:textId="02F59255" w:rsidR="0021711D" w:rsidRPr="00B450EB" w:rsidRDefault="00A33A93" w:rsidP="00377AD7">
      <w:pPr>
        <w:pStyle w:val="Descripcin"/>
        <w:rPr>
          <w:color w:val="auto"/>
        </w:rPr>
      </w:pPr>
      <w:r w:rsidRPr="00B450EB">
        <w:rPr>
          <w:color w:val="auto"/>
        </w:rPr>
        <w:lastRenderedPageBreak/>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4</w:t>
      </w:r>
      <w:r w:rsidRPr="00B450EB">
        <w:rPr>
          <w:color w:val="auto"/>
        </w:rPr>
        <w:fldChar w:fldCharType="end"/>
      </w:r>
      <w:r w:rsidRPr="00B450EB">
        <w:rPr>
          <w:color w:val="auto"/>
        </w:rPr>
        <w:t>.</w:t>
      </w:r>
      <w:r w:rsidR="008E4C08" w:rsidRPr="00B450EB">
        <w:rPr>
          <w:color w:val="auto"/>
        </w:rPr>
        <w:t xml:space="preserve"> Límite de la Amazonia colombiana</w:t>
      </w:r>
      <w:bookmarkEnd w:id="10"/>
    </w:p>
    <w:p w14:paraId="6B51C918" w14:textId="40E2A9F5" w:rsidR="007C3D6E" w:rsidRPr="00B450EB" w:rsidRDefault="007C3D6E" w:rsidP="007C3D6E">
      <w:pPr>
        <w:spacing w:after="0"/>
        <w:jc w:val="center"/>
      </w:pPr>
      <w:r w:rsidRPr="00B450EB">
        <w:rPr>
          <w:noProof/>
        </w:rPr>
        <w:drawing>
          <wp:inline distT="0" distB="0" distL="0" distR="0" wp14:anchorId="759B8BDE" wp14:editId="3A6B6C5E">
            <wp:extent cx="5612130" cy="4336415"/>
            <wp:effectExtent l="0" t="0" r="7620" b="6985"/>
            <wp:docPr id="103667767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12130" cy="4336415"/>
                    </a:xfrm>
                    <a:prstGeom prst="rect">
                      <a:avLst/>
                    </a:prstGeom>
                    <a:noFill/>
                    <a:ln>
                      <a:noFill/>
                    </a:ln>
                  </pic:spPr>
                </pic:pic>
              </a:graphicData>
            </a:graphic>
          </wp:inline>
        </w:drawing>
      </w:r>
    </w:p>
    <w:p w14:paraId="118895F9" w14:textId="77C0FA38" w:rsidR="00CF1E97" w:rsidRPr="00B450EB" w:rsidRDefault="00CF1E97" w:rsidP="0021711D">
      <w:pPr>
        <w:jc w:val="center"/>
        <w:rPr>
          <w:sz w:val="18"/>
          <w:szCs w:val="18"/>
        </w:rPr>
      </w:pPr>
      <w:r w:rsidRPr="00B450EB">
        <w:rPr>
          <w:sz w:val="18"/>
          <w:szCs w:val="18"/>
        </w:rPr>
        <w:t xml:space="preserve">Fuente: </w:t>
      </w:r>
      <w:r w:rsidR="007C3D6E" w:rsidRPr="00B450EB">
        <w:rPr>
          <w:sz w:val="18"/>
          <w:szCs w:val="18"/>
        </w:rPr>
        <w:t xml:space="preserve">Elaboración propia a partir de </w:t>
      </w:r>
      <w:r w:rsidRPr="00B450EB">
        <w:rPr>
          <w:sz w:val="18"/>
          <w:szCs w:val="18"/>
        </w:rPr>
        <w:t>SINCHI</w:t>
      </w:r>
      <w:r w:rsidR="00E71FD1" w:rsidRPr="00B450EB">
        <w:rPr>
          <w:sz w:val="18"/>
          <w:szCs w:val="18"/>
        </w:rPr>
        <w:t>, 2014</w:t>
      </w:r>
      <w:r w:rsidR="007C3D6E" w:rsidRPr="00B450EB">
        <w:rPr>
          <w:sz w:val="18"/>
          <w:szCs w:val="18"/>
        </w:rPr>
        <w:t xml:space="preserve"> y WWF, 20</w:t>
      </w:r>
      <w:r w:rsidR="00674471" w:rsidRPr="00B450EB">
        <w:rPr>
          <w:sz w:val="18"/>
          <w:szCs w:val="18"/>
        </w:rPr>
        <w:t>07</w:t>
      </w:r>
    </w:p>
    <w:p w14:paraId="0EE8967C" w14:textId="7E9FEF17" w:rsidR="00032629" w:rsidRPr="00B450EB" w:rsidRDefault="00032629" w:rsidP="00032629">
      <w:pPr>
        <w:spacing w:line="276" w:lineRule="auto"/>
        <w:rPr>
          <w:rFonts w:eastAsia="Arial" w:cs="Arial"/>
        </w:rPr>
      </w:pPr>
      <w:r w:rsidRPr="00B450EB">
        <w:rPr>
          <w:rFonts w:eastAsia="Arial" w:cs="Arial"/>
        </w:rPr>
        <w:t>Desde la división político-administrativa la región amazónica está constituida por diez departamentos, de los cuales Caquetá, Putumayo, Amazonas, Guainía, Guaviare y Vaupés forman parte en su totalidad</w:t>
      </w:r>
      <w:r w:rsidR="00CC7BA3" w:rsidRPr="00B450EB">
        <w:rPr>
          <w:rFonts w:eastAsia="Arial" w:cs="Arial"/>
        </w:rPr>
        <w:t>,</w:t>
      </w:r>
      <w:r w:rsidRPr="00B450EB">
        <w:rPr>
          <w:rFonts w:eastAsia="Arial" w:cs="Arial"/>
        </w:rPr>
        <w:t xml:space="preserve"> y parcialmente los departamentos de Meta, Vichada Cauca y Nariño. En total son 61 municipios (43 completos y 18 parciales) y 18 áreas no municipalizadas. </w:t>
      </w:r>
    </w:p>
    <w:p w14:paraId="2DBC65B0" w14:textId="56F937D6" w:rsidR="00BF34EB" w:rsidRPr="00B450EB" w:rsidRDefault="00BF34EB" w:rsidP="00FD7E57">
      <w:pPr>
        <w:spacing w:line="276" w:lineRule="auto"/>
        <w:rPr>
          <w:rFonts w:eastAsia="Arial" w:cs="Arial"/>
        </w:rPr>
      </w:pPr>
      <w:r w:rsidRPr="00B450EB">
        <w:rPr>
          <w:rFonts w:eastAsia="Arial" w:cs="Arial"/>
        </w:rPr>
        <w:t xml:space="preserve">La Amazonía colombiana abarca 483.164 km², lo que representa el 42,3 % del territorio continental nacional y el </w:t>
      </w:r>
      <w:r w:rsidR="0060641D" w:rsidRPr="00B450EB">
        <w:rPr>
          <w:rFonts w:eastAsia="Arial" w:cs="Arial"/>
        </w:rPr>
        <w:t>7</w:t>
      </w:r>
      <w:r w:rsidRPr="00B450EB">
        <w:rPr>
          <w:rFonts w:eastAsia="Arial" w:cs="Arial"/>
        </w:rPr>
        <w:t xml:space="preserve"> % de la superficie total de la gran Amazonía. De esta extensión, el 22,9 % corresponde al Sistema Nacional de Áreas Protegidas, dentro del cual un 6,7 % se superpone con resguardos indígenas. Estos últimos comprenden 26.799.342 hectáreas, equivalentes al 55 % de la región amazónica (Murcia et al., 2017).</w:t>
      </w:r>
    </w:p>
    <w:p w14:paraId="3EB31BF7" w14:textId="57C28767" w:rsidR="001F33B0" w:rsidRPr="00B450EB" w:rsidRDefault="00963345" w:rsidP="001C1081">
      <w:pPr>
        <w:pStyle w:val="Ttulo1"/>
        <w:numPr>
          <w:ilvl w:val="0"/>
          <w:numId w:val="16"/>
        </w:numPr>
      </w:pPr>
      <w:bookmarkStart w:id="11" w:name="_Toc209722911"/>
      <w:r w:rsidRPr="00B450EB">
        <w:lastRenderedPageBreak/>
        <w:t>ÁREAS PROTEGIDAS</w:t>
      </w:r>
      <w:bookmarkEnd w:id="11"/>
      <w:r w:rsidRPr="00B450EB">
        <w:rPr>
          <w:spacing w:val="-2"/>
        </w:rPr>
        <w:t xml:space="preserve"> </w:t>
      </w:r>
    </w:p>
    <w:p w14:paraId="2EF770CB" w14:textId="35841D92" w:rsidR="00E66886" w:rsidRPr="00B450EB" w:rsidRDefault="00E66886" w:rsidP="00E66886">
      <w:pPr>
        <w:spacing w:line="276" w:lineRule="auto"/>
      </w:pPr>
      <w:r w:rsidRPr="00B450EB">
        <w:rPr>
          <w:rFonts w:eastAsia="Arial" w:cs="Arial"/>
        </w:rPr>
        <w:t xml:space="preserve">Dentro del </w:t>
      </w:r>
      <w:r w:rsidR="00FD62F3" w:rsidRPr="00B450EB">
        <w:rPr>
          <w:rFonts w:eastAsia="Arial" w:cs="Arial"/>
        </w:rPr>
        <w:t>Bioma Amazónico</w:t>
      </w:r>
      <w:r w:rsidRPr="00B450EB">
        <w:rPr>
          <w:rFonts w:eastAsia="Arial" w:cs="Arial"/>
        </w:rPr>
        <w:t xml:space="preserve"> se destacan las zonas que integran el </w:t>
      </w:r>
      <w:r w:rsidRPr="00B450EB">
        <w:rPr>
          <w:rFonts w:eastAsia="Arial" w:cs="Arial"/>
          <w:b/>
          <w:bCs/>
        </w:rPr>
        <w:t>Sistema Nacional de Áreas Protegidas –SINAP–</w:t>
      </w:r>
      <w:r w:rsidRPr="00B450EB">
        <w:rPr>
          <w:rFonts w:eastAsia="Arial" w:cs="Arial"/>
        </w:rPr>
        <w:t xml:space="preserve">, con base en la información reportada en el </w:t>
      </w:r>
      <w:r w:rsidRPr="00B450EB">
        <w:rPr>
          <w:rFonts w:eastAsia="Arial" w:cs="Arial"/>
          <w:b/>
          <w:bCs/>
        </w:rPr>
        <w:t>Registro Único Nacional de Áreas Protegidas –RUNAP–</w:t>
      </w:r>
      <w:r w:rsidRPr="00B450EB">
        <w:rPr>
          <w:rFonts w:eastAsia="Arial" w:cs="Arial"/>
        </w:rPr>
        <w:t xml:space="preserve">. A septiembre de 2025, se encuentran declaradas </w:t>
      </w:r>
      <w:r w:rsidRPr="00B450EB">
        <w:rPr>
          <w:rFonts w:eastAsia="Arial" w:cs="Arial"/>
          <w:b/>
          <w:bCs/>
        </w:rPr>
        <w:t>145 áreas protegidas de carácter regional y nacional</w:t>
      </w:r>
      <w:r w:rsidRPr="00B450EB">
        <w:rPr>
          <w:rFonts w:eastAsia="Arial" w:cs="Arial"/>
        </w:rPr>
        <w:t>, orientadas principalmente a la conservación de la biodiversidad y del recurso hídrico</w:t>
      </w:r>
      <w:r w:rsidR="00431EE7" w:rsidRPr="00B450EB">
        <w:rPr>
          <w:rFonts w:eastAsia="Arial" w:cs="Arial"/>
        </w:rPr>
        <w:t>.</w:t>
      </w:r>
      <w:r w:rsidR="00C7194F" w:rsidRPr="00B450EB">
        <w:rPr>
          <w:rFonts w:eastAsia="Arial" w:cs="Arial"/>
        </w:rPr>
        <w:t xml:space="preserve"> </w:t>
      </w:r>
    </w:p>
    <w:p w14:paraId="65AED92F" w14:textId="5203AC6A" w:rsidR="00E66886" w:rsidRPr="00B450EB" w:rsidRDefault="00E66886" w:rsidP="00377AD7">
      <w:pPr>
        <w:pStyle w:val="Descripcin"/>
        <w:rPr>
          <w:color w:val="auto"/>
        </w:rPr>
      </w:pPr>
      <w:bookmarkStart w:id="12" w:name="_Toc209462694"/>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5</w:t>
      </w:r>
      <w:r w:rsidR="0045353A" w:rsidRPr="00B450EB">
        <w:rPr>
          <w:noProof/>
          <w:color w:val="auto"/>
        </w:rPr>
        <w:fldChar w:fldCharType="end"/>
      </w:r>
      <w:r w:rsidRPr="00B450EB">
        <w:rPr>
          <w:color w:val="auto"/>
        </w:rPr>
        <w:t xml:space="preserve"> Relación de Áreas protegidas del SINAP y </w:t>
      </w:r>
      <w:r w:rsidRPr="00B450EB">
        <w:rPr>
          <w:color w:val="auto"/>
          <w:lang w:val="es"/>
        </w:rPr>
        <w:t>y Zonas de Protección y Desarrollo de Recursos Naturales Renovables y del Medio Ambiente de la Resolución 924 de 2025</w:t>
      </w:r>
      <w:bookmarkEnd w:id="12"/>
    </w:p>
    <w:p w14:paraId="7FCEDE2D" w14:textId="77777777" w:rsidR="00E66886" w:rsidRPr="00B450EB" w:rsidRDefault="00E66886" w:rsidP="00E66886">
      <w:pPr>
        <w:spacing w:after="0" w:line="276" w:lineRule="auto"/>
        <w:jc w:val="center"/>
      </w:pPr>
      <w:r w:rsidRPr="00B450EB">
        <w:rPr>
          <w:noProof/>
        </w:rPr>
        <w:drawing>
          <wp:inline distT="0" distB="0" distL="0" distR="0" wp14:anchorId="163AF687" wp14:editId="1A9FCECA">
            <wp:extent cx="5688764" cy="4396740"/>
            <wp:effectExtent l="0" t="0" r="7620" b="3810"/>
            <wp:docPr id="175315998" name="drawing"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15998" name="drawing" descr="Mapa&#10;&#10;El contenido generado por IA puede ser incorrecto."/>
                    <pic:cNvPicPr/>
                  </pic:nvPicPr>
                  <pic:blipFill>
                    <a:blip r:embed="rId21" cstate="email">
                      <a:extLst>
                        <a:ext uri="{28A0092B-C50C-407E-A947-70E740481C1C}">
                          <a14:useLocalDpi xmlns:a14="http://schemas.microsoft.com/office/drawing/2010/main"/>
                        </a:ext>
                      </a:extLst>
                    </a:blip>
                    <a:stretch>
                      <a:fillRect/>
                    </a:stretch>
                  </pic:blipFill>
                  <pic:spPr>
                    <a:xfrm>
                      <a:off x="0" y="0"/>
                      <a:ext cx="5690171" cy="4397828"/>
                    </a:xfrm>
                    <a:prstGeom prst="rect">
                      <a:avLst/>
                    </a:prstGeom>
                  </pic:spPr>
                </pic:pic>
              </a:graphicData>
            </a:graphic>
          </wp:inline>
        </w:drawing>
      </w:r>
    </w:p>
    <w:p w14:paraId="3E2E5916" w14:textId="5FEEBE7C" w:rsidR="00E66886" w:rsidRPr="00B450EB" w:rsidRDefault="00E66886" w:rsidP="00E66886">
      <w:pPr>
        <w:spacing w:line="276" w:lineRule="auto"/>
        <w:jc w:val="center"/>
        <w:rPr>
          <w:rFonts w:eastAsia="Arial" w:cs="Arial"/>
          <w:sz w:val="18"/>
          <w:szCs w:val="18"/>
        </w:rPr>
      </w:pPr>
      <w:r w:rsidRPr="00B450EB">
        <w:rPr>
          <w:rFonts w:eastAsia="Verdana" w:cs="Arial"/>
          <w:sz w:val="18"/>
          <w:szCs w:val="18"/>
          <w:lang w:val="es"/>
        </w:rPr>
        <w:t>Fuente: MinAmbiente</w:t>
      </w:r>
      <w:r w:rsidR="00096415" w:rsidRPr="00B450EB">
        <w:rPr>
          <w:rFonts w:eastAsia="Verdana" w:cs="Arial"/>
          <w:sz w:val="18"/>
          <w:szCs w:val="18"/>
          <w:lang w:val="es"/>
        </w:rPr>
        <w:t>.</w:t>
      </w:r>
      <w:r w:rsidR="0060641D" w:rsidRPr="00B450EB">
        <w:rPr>
          <w:rFonts w:eastAsia="Verdana" w:cs="Arial"/>
          <w:sz w:val="18"/>
          <w:szCs w:val="18"/>
          <w:lang w:val="es"/>
        </w:rPr>
        <w:t>2025</w:t>
      </w:r>
    </w:p>
    <w:p w14:paraId="131C7AD6" w14:textId="7EFF5660" w:rsidR="00E66886" w:rsidRPr="00B450EB" w:rsidRDefault="00E66886" w:rsidP="00E66886">
      <w:pPr>
        <w:spacing w:after="0" w:line="276" w:lineRule="auto"/>
        <w:jc w:val="center"/>
        <w:rPr>
          <w:rFonts w:eastAsia="Arial" w:cs="Arial"/>
          <w:sz w:val="18"/>
          <w:szCs w:val="18"/>
        </w:rPr>
      </w:pPr>
      <w:bookmarkStart w:id="13" w:name="_Toc209722985"/>
      <w:r w:rsidRPr="00B450EB">
        <w:rPr>
          <w:rFonts w:eastAsia="Arial" w:cs="Arial"/>
          <w:sz w:val="18"/>
          <w:szCs w:val="18"/>
        </w:rPr>
        <w:t xml:space="preserve">Tabla </w:t>
      </w:r>
      <w:r w:rsidRPr="00B450EB">
        <w:rPr>
          <w:rFonts w:eastAsia="Arial" w:cs="Arial"/>
          <w:sz w:val="18"/>
          <w:szCs w:val="18"/>
        </w:rPr>
        <w:fldChar w:fldCharType="begin"/>
      </w:r>
      <w:r w:rsidRPr="00B450EB">
        <w:rPr>
          <w:rFonts w:eastAsia="Arial" w:cs="Arial"/>
          <w:sz w:val="18"/>
          <w:szCs w:val="18"/>
        </w:rPr>
        <w:instrText xml:space="preserve"> SEQ Tabla \* ARABIC </w:instrText>
      </w:r>
      <w:r w:rsidRPr="00B450EB">
        <w:rPr>
          <w:rFonts w:eastAsia="Arial" w:cs="Arial"/>
          <w:sz w:val="18"/>
          <w:szCs w:val="18"/>
        </w:rPr>
        <w:fldChar w:fldCharType="separate"/>
      </w:r>
      <w:r w:rsidR="009765C2" w:rsidRPr="00B450EB">
        <w:rPr>
          <w:rFonts w:eastAsia="Arial" w:cs="Arial"/>
          <w:noProof/>
          <w:sz w:val="18"/>
          <w:szCs w:val="18"/>
        </w:rPr>
        <w:t>2</w:t>
      </w:r>
      <w:r w:rsidRPr="00B450EB">
        <w:rPr>
          <w:rFonts w:eastAsia="Arial" w:cs="Arial"/>
          <w:sz w:val="18"/>
          <w:szCs w:val="18"/>
        </w:rPr>
        <w:fldChar w:fldCharType="end"/>
      </w:r>
      <w:r w:rsidRPr="00B450EB">
        <w:rPr>
          <w:rFonts w:eastAsia="Arial" w:cs="Arial"/>
          <w:sz w:val="18"/>
          <w:szCs w:val="18"/>
        </w:rPr>
        <w:t xml:space="preserve"> Relación de Áreas protegidas del SINAP</w:t>
      </w:r>
      <w:bookmarkEnd w:id="13"/>
    </w:p>
    <w:tbl>
      <w:tblPr>
        <w:tblW w:w="8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3285"/>
        <w:gridCol w:w="1410"/>
        <w:gridCol w:w="2640"/>
      </w:tblGrid>
      <w:tr w:rsidR="00205915" w:rsidRPr="00B450EB" w14:paraId="0AB41833" w14:textId="77777777">
        <w:trPr>
          <w:trHeight w:val="301"/>
          <w:tblHeader/>
        </w:trPr>
        <w:tc>
          <w:tcPr>
            <w:tcW w:w="1500" w:type="dxa"/>
            <w:shd w:val="clear" w:color="auto" w:fill="D9F2D0" w:themeFill="accent6" w:themeFillTint="33"/>
            <w:tcMar>
              <w:left w:w="70" w:type="dxa"/>
              <w:right w:w="70" w:type="dxa"/>
            </w:tcMar>
            <w:vAlign w:val="center"/>
          </w:tcPr>
          <w:p w14:paraId="46A10F0D" w14:textId="77777777" w:rsidR="00E66886" w:rsidRPr="00B450EB" w:rsidRDefault="00E66886">
            <w:pPr>
              <w:spacing w:after="0" w:line="240" w:lineRule="auto"/>
              <w:jc w:val="center"/>
              <w:rPr>
                <w:rFonts w:cs="Arial"/>
                <w:sz w:val="18"/>
                <w:szCs w:val="18"/>
              </w:rPr>
            </w:pPr>
            <w:r w:rsidRPr="00B450EB">
              <w:rPr>
                <w:rFonts w:eastAsia="Arial" w:cs="Arial"/>
                <w:b/>
                <w:bCs/>
                <w:sz w:val="18"/>
                <w:szCs w:val="18"/>
                <w:lang w:val="es"/>
              </w:rPr>
              <w:t>Categoría</w:t>
            </w:r>
          </w:p>
        </w:tc>
        <w:tc>
          <w:tcPr>
            <w:tcW w:w="3285" w:type="dxa"/>
            <w:shd w:val="clear" w:color="auto" w:fill="D9F2D0" w:themeFill="accent6" w:themeFillTint="33"/>
            <w:tcMar>
              <w:left w:w="70" w:type="dxa"/>
              <w:right w:w="70" w:type="dxa"/>
            </w:tcMar>
            <w:vAlign w:val="center"/>
          </w:tcPr>
          <w:p w14:paraId="2BCB3F1D" w14:textId="77777777" w:rsidR="00E66886" w:rsidRPr="00B450EB" w:rsidRDefault="00E66886">
            <w:pPr>
              <w:spacing w:after="0" w:line="240" w:lineRule="auto"/>
              <w:jc w:val="center"/>
              <w:rPr>
                <w:rFonts w:cs="Arial"/>
                <w:sz w:val="18"/>
                <w:szCs w:val="18"/>
              </w:rPr>
            </w:pPr>
            <w:r w:rsidRPr="00B450EB">
              <w:rPr>
                <w:rFonts w:eastAsia="Arial" w:cs="Arial"/>
                <w:b/>
                <w:bCs/>
                <w:sz w:val="18"/>
                <w:szCs w:val="18"/>
                <w:lang w:val="es"/>
              </w:rPr>
              <w:t>Denominación</w:t>
            </w:r>
          </w:p>
        </w:tc>
        <w:tc>
          <w:tcPr>
            <w:tcW w:w="1410" w:type="dxa"/>
            <w:shd w:val="clear" w:color="auto" w:fill="D9F2D0" w:themeFill="accent6" w:themeFillTint="33"/>
            <w:tcMar>
              <w:left w:w="70" w:type="dxa"/>
              <w:right w:w="70" w:type="dxa"/>
            </w:tcMar>
            <w:vAlign w:val="center"/>
          </w:tcPr>
          <w:p w14:paraId="2F4109C3" w14:textId="77777777" w:rsidR="00E66886" w:rsidRPr="00B450EB" w:rsidRDefault="00E66886">
            <w:pPr>
              <w:spacing w:after="0" w:line="240" w:lineRule="auto"/>
              <w:jc w:val="center"/>
              <w:rPr>
                <w:rFonts w:cs="Arial"/>
                <w:sz w:val="18"/>
                <w:szCs w:val="18"/>
              </w:rPr>
            </w:pPr>
            <w:r w:rsidRPr="00B450EB">
              <w:rPr>
                <w:rFonts w:eastAsia="Arial" w:cs="Arial"/>
                <w:b/>
                <w:bCs/>
                <w:sz w:val="18"/>
                <w:szCs w:val="18"/>
                <w:lang w:val="es"/>
              </w:rPr>
              <w:t>Área (Ha)</w:t>
            </w:r>
          </w:p>
        </w:tc>
        <w:tc>
          <w:tcPr>
            <w:tcW w:w="2640" w:type="dxa"/>
            <w:shd w:val="clear" w:color="auto" w:fill="D9F2D0" w:themeFill="accent6" w:themeFillTint="33"/>
            <w:tcMar>
              <w:left w:w="70" w:type="dxa"/>
              <w:right w:w="70" w:type="dxa"/>
            </w:tcMar>
            <w:vAlign w:val="center"/>
          </w:tcPr>
          <w:p w14:paraId="6D204997" w14:textId="77777777" w:rsidR="00E66886" w:rsidRPr="00B450EB" w:rsidRDefault="00E66886">
            <w:pPr>
              <w:spacing w:after="0" w:line="240" w:lineRule="auto"/>
              <w:jc w:val="center"/>
              <w:rPr>
                <w:rFonts w:cs="Arial"/>
                <w:sz w:val="18"/>
                <w:szCs w:val="18"/>
              </w:rPr>
            </w:pPr>
            <w:r w:rsidRPr="00B450EB">
              <w:rPr>
                <w:rFonts w:eastAsia="Arial" w:cs="Arial"/>
                <w:b/>
                <w:bCs/>
                <w:sz w:val="18"/>
                <w:szCs w:val="18"/>
                <w:lang w:val="es"/>
              </w:rPr>
              <w:t xml:space="preserve">Autoridad </w:t>
            </w:r>
            <w:r w:rsidRPr="00B450EB">
              <w:rPr>
                <w:rFonts w:eastAsia="Calibri" w:cs="Arial"/>
                <w:b/>
                <w:bCs/>
                <w:sz w:val="18"/>
                <w:szCs w:val="18"/>
              </w:rPr>
              <w:t>Ambiental</w:t>
            </w:r>
          </w:p>
        </w:tc>
      </w:tr>
      <w:tr w:rsidR="00205915" w:rsidRPr="00B450EB" w14:paraId="7AA389EF" w14:textId="77777777" w:rsidTr="00024A81">
        <w:trPr>
          <w:trHeight w:val="91"/>
        </w:trPr>
        <w:tc>
          <w:tcPr>
            <w:tcW w:w="1500" w:type="dxa"/>
            <w:vMerge w:val="restart"/>
            <w:shd w:val="clear" w:color="auto" w:fill="B9E188"/>
            <w:tcMar>
              <w:left w:w="70" w:type="dxa"/>
              <w:right w:w="70" w:type="dxa"/>
            </w:tcMar>
            <w:vAlign w:val="center"/>
          </w:tcPr>
          <w:p w14:paraId="3A111732"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 Nacional Natural</w:t>
            </w:r>
          </w:p>
        </w:tc>
        <w:tc>
          <w:tcPr>
            <w:tcW w:w="3285" w:type="dxa"/>
            <w:tcMar>
              <w:left w:w="70" w:type="dxa"/>
              <w:right w:w="70" w:type="dxa"/>
            </w:tcMar>
            <w:vAlign w:val="center"/>
          </w:tcPr>
          <w:p w14:paraId="3CB3BB9F"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 xml:space="preserve">Alto Fragua - </w:t>
            </w:r>
            <w:proofErr w:type="spellStart"/>
            <w:r w:rsidRPr="00B450EB">
              <w:rPr>
                <w:rFonts w:eastAsia="Arial" w:cs="Arial"/>
                <w:sz w:val="18"/>
                <w:szCs w:val="18"/>
              </w:rPr>
              <w:t>Indi</w:t>
            </w:r>
            <w:proofErr w:type="spellEnd"/>
            <w:r w:rsidRPr="00B450EB">
              <w:rPr>
                <w:rFonts w:eastAsia="Arial" w:cs="Arial"/>
                <w:sz w:val="18"/>
                <w:szCs w:val="18"/>
              </w:rPr>
              <w:t xml:space="preserve"> </w:t>
            </w:r>
            <w:proofErr w:type="spellStart"/>
            <w:r w:rsidRPr="00B450EB">
              <w:rPr>
                <w:rFonts w:eastAsia="Arial" w:cs="Arial"/>
                <w:sz w:val="18"/>
                <w:szCs w:val="18"/>
              </w:rPr>
              <w:t>Wasi</w:t>
            </w:r>
            <w:proofErr w:type="spellEnd"/>
          </w:p>
        </w:tc>
        <w:tc>
          <w:tcPr>
            <w:tcW w:w="1410" w:type="dxa"/>
            <w:tcMar>
              <w:left w:w="70" w:type="dxa"/>
              <w:right w:w="70" w:type="dxa"/>
            </w:tcMar>
            <w:vAlign w:val="center"/>
          </w:tcPr>
          <w:p w14:paraId="56319029"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76.080,04</w:t>
            </w:r>
          </w:p>
        </w:tc>
        <w:tc>
          <w:tcPr>
            <w:tcW w:w="2640" w:type="dxa"/>
            <w:tcMar>
              <w:left w:w="70" w:type="dxa"/>
              <w:right w:w="70" w:type="dxa"/>
            </w:tcMar>
          </w:tcPr>
          <w:p w14:paraId="46746716" w14:textId="5F02FA0E"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7B0D54F8" w14:textId="77777777" w:rsidTr="00024A81">
        <w:trPr>
          <w:trHeight w:val="285"/>
        </w:trPr>
        <w:tc>
          <w:tcPr>
            <w:tcW w:w="1500" w:type="dxa"/>
            <w:vMerge/>
            <w:vAlign w:val="center"/>
          </w:tcPr>
          <w:p w14:paraId="6EEF98F2"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78CB7751"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Amacayacu</w:t>
            </w:r>
          </w:p>
        </w:tc>
        <w:tc>
          <w:tcPr>
            <w:tcW w:w="1410" w:type="dxa"/>
            <w:tcMar>
              <w:left w:w="70" w:type="dxa"/>
              <w:right w:w="70" w:type="dxa"/>
            </w:tcMar>
            <w:vAlign w:val="center"/>
          </w:tcPr>
          <w:p w14:paraId="30AD64EC"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268.509,05</w:t>
            </w:r>
          </w:p>
        </w:tc>
        <w:tc>
          <w:tcPr>
            <w:tcW w:w="2640" w:type="dxa"/>
            <w:tcMar>
              <w:left w:w="70" w:type="dxa"/>
              <w:right w:w="70" w:type="dxa"/>
            </w:tcMar>
          </w:tcPr>
          <w:p w14:paraId="07058D60" w14:textId="7C7D86B8"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11626D84" w14:textId="77777777" w:rsidTr="00024A81">
        <w:trPr>
          <w:trHeight w:val="285"/>
        </w:trPr>
        <w:tc>
          <w:tcPr>
            <w:tcW w:w="1500" w:type="dxa"/>
            <w:vMerge/>
            <w:vAlign w:val="center"/>
          </w:tcPr>
          <w:p w14:paraId="498197AB"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0BA4526B" w14:textId="77777777" w:rsidR="00942D2B" w:rsidRPr="00B450EB" w:rsidRDefault="00942D2B" w:rsidP="00942D2B">
            <w:pPr>
              <w:spacing w:after="0" w:line="240" w:lineRule="auto"/>
              <w:jc w:val="center"/>
              <w:rPr>
                <w:rFonts w:cs="Arial"/>
                <w:sz w:val="18"/>
                <w:szCs w:val="18"/>
              </w:rPr>
            </w:pPr>
            <w:proofErr w:type="spellStart"/>
            <w:r w:rsidRPr="00B450EB">
              <w:rPr>
                <w:rFonts w:eastAsia="Arial" w:cs="Arial"/>
                <w:sz w:val="18"/>
                <w:szCs w:val="18"/>
              </w:rPr>
              <w:t>Cahuinarí</w:t>
            </w:r>
            <w:proofErr w:type="spellEnd"/>
          </w:p>
        </w:tc>
        <w:tc>
          <w:tcPr>
            <w:tcW w:w="1410" w:type="dxa"/>
            <w:tcMar>
              <w:left w:w="70" w:type="dxa"/>
              <w:right w:w="70" w:type="dxa"/>
            </w:tcMar>
            <w:vAlign w:val="center"/>
          </w:tcPr>
          <w:p w14:paraId="39FA7770"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560.284,36</w:t>
            </w:r>
          </w:p>
        </w:tc>
        <w:tc>
          <w:tcPr>
            <w:tcW w:w="2640" w:type="dxa"/>
            <w:tcMar>
              <w:left w:w="70" w:type="dxa"/>
              <w:right w:w="70" w:type="dxa"/>
            </w:tcMar>
          </w:tcPr>
          <w:p w14:paraId="58C4CFBD" w14:textId="6265232D"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7F433E01" w14:textId="77777777" w:rsidTr="00024A81">
        <w:trPr>
          <w:trHeight w:val="285"/>
        </w:trPr>
        <w:tc>
          <w:tcPr>
            <w:tcW w:w="1500" w:type="dxa"/>
            <w:vMerge/>
            <w:vAlign w:val="center"/>
          </w:tcPr>
          <w:p w14:paraId="08100AFE"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6A8261ED"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Complejo Volcánico Doña Juana Cascabel</w:t>
            </w:r>
          </w:p>
        </w:tc>
        <w:tc>
          <w:tcPr>
            <w:tcW w:w="1410" w:type="dxa"/>
            <w:tcMar>
              <w:left w:w="70" w:type="dxa"/>
              <w:right w:w="70" w:type="dxa"/>
            </w:tcMar>
            <w:vAlign w:val="center"/>
          </w:tcPr>
          <w:p w14:paraId="26F3AF05"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58.605,52</w:t>
            </w:r>
          </w:p>
        </w:tc>
        <w:tc>
          <w:tcPr>
            <w:tcW w:w="2640" w:type="dxa"/>
            <w:tcMar>
              <w:left w:w="70" w:type="dxa"/>
              <w:right w:w="70" w:type="dxa"/>
            </w:tcMar>
          </w:tcPr>
          <w:p w14:paraId="6D8E1833" w14:textId="675D03EE"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3F12220F" w14:textId="77777777" w:rsidTr="00024A81">
        <w:trPr>
          <w:trHeight w:val="285"/>
        </w:trPr>
        <w:tc>
          <w:tcPr>
            <w:tcW w:w="1500" w:type="dxa"/>
            <w:vMerge/>
            <w:vAlign w:val="center"/>
          </w:tcPr>
          <w:p w14:paraId="51AEB8B4"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36F0B379"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Cordillera de los Picachos</w:t>
            </w:r>
          </w:p>
        </w:tc>
        <w:tc>
          <w:tcPr>
            <w:tcW w:w="1410" w:type="dxa"/>
            <w:tcMar>
              <w:left w:w="70" w:type="dxa"/>
              <w:right w:w="70" w:type="dxa"/>
            </w:tcMar>
            <w:vAlign w:val="center"/>
          </w:tcPr>
          <w:p w14:paraId="4B21F9E1"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269.320,29</w:t>
            </w:r>
          </w:p>
        </w:tc>
        <w:tc>
          <w:tcPr>
            <w:tcW w:w="2640" w:type="dxa"/>
            <w:tcMar>
              <w:left w:w="70" w:type="dxa"/>
              <w:right w:w="70" w:type="dxa"/>
            </w:tcMar>
          </w:tcPr>
          <w:p w14:paraId="717C0D2B" w14:textId="4154D636"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3D9288E6" w14:textId="77777777" w:rsidTr="00024A81">
        <w:trPr>
          <w:trHeight w:val="285"/>
        </w:trPr>
        <w:tc>
          <w:tcPr>
            <w:tcW w:w="1500" w:type="dxa"/>
            <w:vMerge/>
            <w:vAlign w:val="center"/>
          </w:tcPr>
          <w:p w14:paraId="35B1619B"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70FA4E13"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Cueva de los Guácharos</w:t>
            </w:r>
          </w:p>
        </w:tc>
        <w:tc>
          <w:tcPr>
            <w:tcW w:w="1410" w:type="dxa"/>
            <w:tcMar>
              <w:left w:w="70" w:type="dxa"/>
              <w:right w:w="70" w:type="dxa"/>
            </w:tcMar>
            <w:vAlign w:val="center"/>
          </w:tcPr>
          <w:p w14:paraId="4D9215C7"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2.274,51</w:t>
            </w:r>
          </w:p>
        </w:tc>
        <w:tc>
          <w:tcPr>
            <w:tcW w:w="2640" w:type="dxa"/>
            <w:tcMar>
              <w:left w:w="70" w:type="dxa"/>
              <w:right w:w="70" w:type="dxa"/>
            </w:tcMar>
          </w:tcPr>
          <w:p w14:paraId="785A5C44" w14:textId="1D9403D2"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1459DB3C" w14:textId="77777777" w:rsidTr="00024A81">
        <w:trPr>
          <w:trHeight w:val="285"/>
        </w:trPr>
        <w:tc>
          <w:tcPr>
            <w:tcW w:w="1500" w:type="dxa"/>
            <w:vMerge/>
            <w:vAlign w:val="center"/>
          </w:tcPr>
          <w:p w14:paraId="399AC47C"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0170963A"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La Paya</w:t>
            </w:r>
          </w:p>
        </w:tc>
        <w:tc>
          <w:tcPr>
            <w:tcW w:w="1410" w:type="dxa"/>
            <w:tcMar>
              <w:left w:w="70" w:type="dxa"/>
              <w:right w:w="70" w:type="dxa"/>
            </w:tcMar>
            <w:vAlign w:val="center"/>
          </w:tcPr>
          <w:p w14:paraId="573FE5FE"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440.312,99</w:t>
            </w:r>
          </w:p>
        </w:tc>
        <w:tc>
          <w:tcPr>
            <w:tcW w:w="2640" w:type="dxa"/>
            <w:tcMar>
              <w:left w:w="70" w:type="dxa"/>
              <w:right w:w="70" w:type="dxa"/>
            </w:tcMar>
          </w:tcPr>
          <w:p w14:paraId="49672095" w14:textId="47413124"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2D06060A" w14:textId="77777777" w:rsidTr="00024A81">
        <w:trPr>
          <w:trHeight w:val="285"/>
        </w:trPr>
        <w:tc>
          <w:tcPr>
            <w:tcW w:w="1500" w:type="dxa"/>
            <w:vMerge/>
            <w:vAlign w:val="center"/>
          </w:tcPr>
          <w:p w14:paraId="563C3DE0"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601E933D"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La Serranía de Chiribiquete</w:t>
            </w:r>
          </w:p>
        </w:tc>
        <w:tc>
          <w:tcPr>
            <w:tcW w:w="1410" w:type="dxa"/>
            <w:tcMar>
              <w:left w:w="70" w:type="dxa"/>
              <w:right w:w="70" w:type="dxa"/>
            </w:tcMar>
            <w:vAlign w:val="center"/>
          </w:tcPr>
          <w:p w14:paraId="10037556"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4.268.095,79</w:t>
            </w:r>
          </w:p>
        </w:tc>
        <w:tc>
          <w:tcPr>
            <w:tcW w:w="2640" w:type="dxa"/>
            <w:tcMar>
              <w:left w:w="70" w:type="dxa"/>
              <w:right w:w="70" w:type="dxa"/>
            </w:tcMar>
          </w:tcPr>
          <w:p w14:paraId="6FB9267A" w14:textId="462501C7"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285C8F03" w14:textId="77777777" w:rsidTr="00024A81">
        <w:trPr>
          <w:trHeight w:val="285"/>
        </w:trPr>
        <w:tc>
          <w:tcPr>
            <w:tcW w:w="1500" w:type="dxa"/>
            <w:vMerge/>
            <w:vAlign w:val="center"/>
          </w:tcPr>
          <w:p w14:paraId="5B2280E0"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55B70A02"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Puracé</w:t>
            </w:r>
          </w:p>
        </w:tc>
        <w:tc>
          <w:tcPr>
            <w:tcW w:w="1410" w:type="dxa"/>
            <w:tcMar>
              <w:left w:w="70" w:type="dxa"/>
              <w:right w:w="70" w:type="dxa"/>
            </w:tcMar>
            <w:vAlign w:val="center"/>
          </w:tcPr>
          <w:p w14:paraId="6A07D97F"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2.988,22</w:t>
            </w:r>
          </w:p>
        </w:tc>
        <w:tc>
          <w:tcPr>
            <w:tcW w:w="2640" w:type="dxa"/>
            <w:tcMar>
              <w:left w:w="70" w:type="dxa"/>
              <w:right w:w="70" w:type="dxa"/>
            </w:tcMar>
          </w:tcPr>
          <w:p w14:paraId="4A2FD71F" w14:textId="74FEB6D6"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3C418138" w14:textId="77777777" w:rsidTr="00024A81">
        <w:trPr>
          <w:trHeight w:val="285"/>
        </w:trPr>
        <w:tc>
          <w:tcPr>
            <w:tcW w:w="1500" w:type="dxa"/>
            <w:vMerge/>
            <w:vAlign w:val="center"/>
          </w:tcPr>
          <w:p w14:paraId="01E73C43"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1EFF8579"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Río Puré</w:t>
            </w:r>
          </w:p>
        </w:tc>
        <w:tc>
          <w:tcPr>
            <w:tcW w:w="1410" w:type="dxa"/>
            <w:tcMar>
              <w:left w:w="70" w:type="dxa"/>
              <w:right w:w="70" w:type="dxa"/>
            </w:tcMar>
            <w:vAlign w:val="center"/>
          </w:tcPr>
          <w:p w14:paraId="4BB0301A"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974.453,52</w:t>
            </w:r>
          </w:p>
        </w:tc>
        <w:tc>
          <w:tcPr>
            <w:tcW w:w="2640" w:type="dxa"/>
            <w:tcMar>
              <w:left w:w="70" w:type="dxa"/>
              <w:right w:w="70" w:type="dxa"/>
            </w:tcMar>
          </w:tcPr>
          <w:p w14:paraId="41322851" w14:textId="5CDE8F2E"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56882802" w14:textId="77777777" w:rsidTr="00024A81">
        <w:trPr>
          <w:trHeight w:val="285"/>
        </w:trPr>
        <w:tc>
          <w:tcPr>
            <w:tcW w:w="1500" w:type="dxa"/>
            <w:vMerge/>
            <w:vAlign w:val="center"/>
          </w:tcPr>
          <w:p w14:paraId="38071A5C"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038B0D2C"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 xml:space="preserve">Serranía de los </w:t>
            </w:r>
            <w:proofErr w:type="spellStart"/>
            <w:r w:rsidRPr="00B450EB">
              <w:rPr>
                <w:rFonts w:eastAsia="Arial" w:cs="Arial"/>
                <w:sz w:val="18"/>
                <w:szCs w:val="18"/>
              </w:rPr>
              <w:t>Churumbelos</w:t>
            </w:r>
            <w:proofErr w:type="spellEnd"/>
            <w:r w:rsidRPr="00B450EB">
              <w:rPr>
                <w:rFonts w:eastAsia="Arial" w:cs="Arial"/>
                <w:sz w:val="18"/>
                <w:szCs w:val="18"/>
              </w:rPr>
              <w:t xml:space="preserve"> - </w:t>
            </w:r>
            <w:proofErr w:type="spellStart"/>
            <w:r w:rsidRPr="00B450EB">
              <w:rPr>
                <w:rFonts w:eastAsia="Arial" w:cs="Arial"/>
                <w:sz w:val="18"/>
                <w:szCs w:val="18"/>
              </w:rPr>
              <w:t>Auka</w:t>
            </w:r>
            <w:proofErr w:type="spellEnd"/>
            <w:r w:rsidRPr="00B450EB">
              <w:rPr>
                <w:rFonts w:eastAsia="Arial" w:cs="Arial"/>
                <w:sz w:val="18"/>
                <w:szCs w:val="18"/>
              </w:rPr>
              <w:t xml:space="preserve"> </w:t>
            </w:r>
            <w:proofErr w:type="spellStart"/>
            <w:r w:rsidRPr="00B450EB">
              <w:rPr>
                <w:rFonts w:eastAsia="Arial" w:cs="Arial"/>
                <w:sz w:val="18"/>
                <w:szCs w:val="18"/>
              </w:rPr>
              <w:t>Wasi</w:t>
            </w:r>
            <w:proofErr w:type="spellEnd"/>
          </w:p>
        </w:tc>
        <w:tc>
          <w:tcPr>
            <w:tcW w:w="1410" w:type="dxa"/>
            <w:tcMar>
              <w:left w:w="70" w:type="dxa"/>
              <w:right w:w="70" w:type="dxa"/>
            </w:tcMar>
            <w:vAlign w:val="center"/>
          </w:tcPr>
          <w:p w14:paraId="08850AFC"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93.851,90</w:t>
            </w:r>
          </w:p>
        </w:tc>
        <w:tc>
          <w:tcPr>
            <w:tcW w:w="2640" w:type="dxa"/>
            <w:tcMar>
              <w:left w:w="70" w:type="dxa"/>
              <w:right w:w="70" w:type="dxa"/>
            </w:tcMar>
          </w:tcPr>
          <w:p w14:paraId="73030949" w14:textId="4D8240FC"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3C8DB965" w14:textId="77777777" w:rsidTr="00024A81">
        <w:trPr>
          <w:trHeight w:val="285"/>
        </w:trPr>
        <w:tc>
          <w:tcPr>
            <w:tcW w:w="1500" w:type="dxa"/>
            <w:vMerge/>
            <w:vAlign w:val="center"/>
          </w:tcPr>
          <w:p w14:paraId="4073C38C"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34219E23"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Sierra de la Macarena</w:t>
            </w:r>
          </w:p>
        </w:tc>
        <w:tc>
          <w:tcPr>
            <w:tcW w:w="1410" w:type="dxa"/>
            <w:tcMar>
              <w:left w:w="70" w:type="dxa"/>
              <w:right w:w="70" w:type="dxa"/>
            </w:tcMar>
            <w:vAlign w:val="center"/>
          </w:tcPr>
          <w:p w14:paraId="08BC7B1C"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620.502,83</w:t>
            </w:r>
          </w:p>
        </w:tc>
        <w:tc>
          <w:tcPr>
            <w:tcW w:w="2640" w:type="dxa"/>
            <w:tcMar>
              <w:left w:w="70" w:type="dxa"/>
              <w:right w:w="70" w:type="dxa"/>
            </w:tcMar>
          </w:tcPr>
          <w:p w14:paraId="41CBA535" w14:textId="461FBBD1"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44A34EAB" w14:textId="77777777" w:rsidTr="00024A81">
        <w:trPr>
          <w:trHeight w:val="285"/>
        </w:trPr>
        <w:tc>
          <w:tcPr>
            <w:tcW w:w="1500" w:type="dxa"/>
            <w:vMerge/>
            <w:vAlign w:val="center"/>
          </w:tcPr>
          <w:p w14:paraId="240E3B0C"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50FC0FA7" w14:textId="77777777" w:rsidR="00942D2B" w:rsidRPr="00B450EB" w:rsidRDefault="00942D2B" w:rsidP="00942D2B">
            <w:pPr>
              <w:spacing w:after="0" w:line="240" w:lineRule="auto"/>
              <w:jc w:val="center"/>
              <w:rPr>
                <w:rFonts w:cs="Arial"/>
                <w:sz w:val="18"/>
                <w:szCs w:val="18"/>
              </w:rPr>
            </w:pPr>
            <w:proofErr w:type="spellStart"/>
            <w:r w:rsidRPr="00B450EB">
              <w:rPr>
                <w:rFonts w:eastAsia="Arial" w:cs="Arial"/>
                <w:sz w:val="18"/>
                <w:szCs w:val="18"/>
              </w:rPr>
              <w:t>Tinigua</w:t>
            </w:r>
            <w:proofErr w:type="spellEnd"/>
          </w:p>
        </w:tc>
        <w:tc>
          <w:tcPr>
            <w:tcW w:w="1410" w:type="dxa"/>
            <w:tcMar>
              <w:left w:w="70" w:type="dxa"/>
              <w:right w:w="70" w:type="dxa"/>
            </w:tcMar>
            <w:vAlign w:val="center"/>
          </w:tcPr>
          <w:p w14:paraId="70F160C4"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208.043,33</w:t>
            </w:r>
          </w:p>
        </w:tc>
        <w:tc>
          <w:tcPr>
            <w:tcW w:w="2640" w:type="dxa"/>
            <w:tcMar>
              <w:left w:w="70" w:type="dxa"/>
              <w:right w:w="70" w:type="dxa"/>
            </w:tcMar>
          </w:tcPr>
          <w:p w14:paraId="771A3D01" w14:textId="07CD572F"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5E5ECEBC" w14:textId="77777777" w:rsidTr="00024A81">
        <w:trPr>
          <w:trHeight w:val="285"/>
        </w:trPr>
        <w:tc>
          <w:tcPr>
            <w:tcW w:w="1500" w:type="dxa"/>
            <w:vMerge/>
            <w:vAlign w:val="center"/>
          </w:tcPr>
          <w:p w14:paraId="480DC0F9"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52B0FBE7" w14:textId="77777777" w:rsidR="00942D2B" w:rsidRPr="00B450EB" w:rsidRDefault="00942D2B" w:rsidP="00942D2B">
            <w:pPr>
              <w:spacing w:after="0" w:line="240" w:lineRule="auto"/>
              <w:jc w:val="center"/>
              <w:rPr>
                <w:rFonts w:cs="Arial"/>
                <w:sz w:val="18"/>
                <w:szCs w:val="18"/>
              </w:rPr>
            </w:pPr>
            <w:proofErr w:type="spellStart"/>
            <w:r w:rsidRPr="00B450EB">
              <w:rPr>
                <w:rFonts w:eastAsia="Arial" w:cs="Arial"/>
                <w:sz w:val="18"/>
                <w:szCs w:val="18"/>
              </w:rPr>
              <w:t>Yaigojé</w:t>
            </w:r>
            <w:proofErr w:type="spellEnd"/>
            <w:r w:rsidRPr="00B450EB">
              <w:rPr>
                <w:rFonts w:eastAsia="Arial" w:cs="Arial"/>
                <w:sz w:val="18"/>
                <w:szCs w:val="18"/>
              </w:rPr>
              <w:t xml:space="preserve"> Apaporis</w:t>
            </w:r>
          </w:p>
        </w:tc>
        <w:tc>
          <w:tcPr>
            <w:tcW w:w="1410" w:type="dxa"/>
            <w:tcMar>
              <w:left w:w="70" w:type="dxa"/>
              <w:right w:w="70" w:type="dxa"/>
            </w:tcMar>
            <w:vAlign w:val="center"/>
          </w:tcPr>
          <w:p w14:paraId="6ABCB8E3"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1.057.295,38</w:t>
            </w:r>
          </w:p>
        </w:tc>
        <w:tc>
          <w:tcPr>
            <w:tcW w:w="2640" w:type="dxa"/>
            <w:tcMar>
              <w:left w:w="70" w:type="dxa"/>
              <w:right w:w="70" w:type="dxa"/>
            </w:tcMar>
          </w:tcPr>
          <w:p w14:paraId="650DD2D9" w14:textId="011EB199"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74277670" w14:textId="77777777">
        <w:trPr>
          <w:trHeight w:val="60"/>
        </w:trPr>
        <w:tc>
          <w:tcPr>
            <w:tcW w:w="4785" w:type="dxa"/>
            <w:gridSpan w:val="2"/>
            <w:tcMar>
              <w:left w:w="70" w:type="dxa"/>
              <w:right w:w="70" w:type="dxa"/>
            </w:tcMar>
            <w:vAlign w:val="center"/>
          </w:tcPr>
          <w:p w14:paraId="762DDE75"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Subtotal</w:t>
            </w:r>
          </w:p>
        </w:tc>
        <w:tc>
          <w:tcPr>
            <w:tcW w:w="1410" w:type="dxa"/>
            <w:tcMar>
              <w:left w:w="70" w:type="dxa"/>
              <w:right w:w="70" w:type="dxa"/>
            </w:tcMar>
            <w:vAlign w:val="center"/>
          </w:tcPr>
          <w:p w14:paraId="58BC1860"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8.900.617,72</w:t>
            </w:r>
          </w:p>
        </w:tc>
        <w:tc>
          <w:tcPr>
            <w:tcW w:w="2640" w:type="dxa"/>
            <w:tcMar>
              <w:left w:w="70" w:type="dxa"/>
              <w:right w:w="70" w:type="dxa"/>
            </w:tcMar>
            <w:vAlign w:val="center"/>
          </w:tcPr>
          <w:p w14:paraId="43000E0A" w14:textId="77777777" w:rsidR="00E66886" w:rsidRPr="00B450EB" w:rsidRDefault="00E66886">
            <w:pPr>
              <w:spacing w:line="240" w:lineRule="auto"/>
              <w:rPr>
                <w:rFonts w:cs="Arial"/>
                <w:sz w:val="18"/>
                <w:szCs w:val="18"/>
              </w:rPr>
            </w:pPr>
          </w:p>
        </w:tc>
      </w:tr>
      <w:tr w:rsidR="00205915" w:rsidRPr="00B450EB" w14:paraId="296BA287" w14:textId="77777777" w:rsidTr="00024A81">
        <w:trPr>
          <w:trHeight w:val="285"/>
        </w:trPr>
        <w:tc>
          <w:tcPr>
            <w:tcW w:w="1500" w:type="dxa"/>
            <w:vMerge w:val="restart"/>
            <w:shd w:val="clear" w:color="auto" w:fill="BA32EA"/>
            <w:tcMar>
              <w:left w:w="70" w:type="dxa"/>
              <w:right w:w="70" w:type="dxa"/>
            </w:tcMar>
            <w:vAlign w:val="center"/>
          </w:tcPr>
          <w:p w14:paraId="28F79A9A"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Reserva Natural</w:t>
            </w:r>
          </w:p>
        </w:tc>
        <w:tc>
          <w:tcPr>
            <w:tcW w:w="3285" w:type="dxa"/>
            <w:tcMar>
              <w:left w:w="70" w:type="dxa"/>
              <w:right w:w="70" w:type="dxa"/>
            </w:tcMar>
            <w:vAlign w:val="center"/>
          </w:tcPr>
          <w:p w14:paraId="3DF2DFC9"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Nukak</w:t>
            </w:r>
          </w:p>
        </w:tc>
        <w:tc>
          <w:tcPr>
            <w:tcW w:w="1410" w:type="dxa"/>
            <w:tcMar>
              <w:left w:w="70" w:type="dxa"/>
              <w:right w:w="70" w:type="dxa"/>
            </w:tcMar>
            <w:vAlign w:val="center"/>
          </w:tcPr>
          <w:p w14:paraId="297FF3B1"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877.469,43</w:t>
            </w:r>
          </w:p>
        </w:tc>
        <w:tc>
          <w:tcPr>
            <w:tcW w:w="2640" w:type="dxa"/>
            <w:tcMar>
              <w:left w:w="70" w:type="dxa"/>
              <w:right w:w="70" w:type="dxa"/>
            </w:tcMar>
          </w:tcPr>
          <w:p w14:paraId="2CB4A6B1" w14:textId="5582E4DD"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747C19D5" w14:textId="77777777" w:rsidTr="00024A81">
        <w:trPr>
          <w:trHeight w:val="285"/>
        </w:trPr>
        <w:tc>
          <w:tcPr>
            <w:tcW w:w="1500" w:type="dxa"/>
            <w:vMerge/>
            <w:vAlign w:val="center"/>
          </w:tcPr>
          <w:p w14:paraId="2146E0CC"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372ABE16" w14:textId="77777777" w:rsidR="00942D2B" w:rsidRPr="00B450EB" w:rsidRDefault="00942D2B" w:rsidP="00942D2B">
            <w:pPr>
              <w:spacing w:after="0" w:line="240" w:lineRule="auto"/>
              <w:jc w:val="center"/>
              <w:rPr>
                <w:rFonts w:cs="Arial"/>
                <w:sz w:val="18"/>
                <w:szCs w:val="18"/>
              </w:rPr>
            </w:pPr>
            <w:proofErr w:type="spellStart"/>
            <w:r w:rsidRPr="00B450EB">
              <w:rPr>
                <w:rFonts w:eastAsia="Arial" w:cs="Arial"/>
                <w:sz w:val="18"/>
                <w:szCs w:val="18"/>
              </w:rPr>
              <w:t>Puinawai</w:t>
            </w:r>
            <w:proofErr w:type="spellEnd"/>
          </w:p>
        </w:tc>
        <w:tc>
          <w:tcPr>
            <w:tcW w:w="1410" w:type="dxa"/>
            <w:tcMar>
              <w:left w:w="70" w:type="dxa"/>
              <w:right w:w="70" w:type="dxa"/>
            </w:tcMar>
            <w:vAlign w:val="center"/>
          </w:tcPr>
          <w:p w14:paraId="7DCB32DF"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1.103.240,45</w:t>
            </w:r>
          </w:p>
        </w:tc>
        <w:tc>
          <w:tcPr>
            <w:tcW w:w="2640" w:type="dxa"/>
            <w:tcMar>
              <w:left w:w="70" w:type="dxa"/>
              <w:right w:w="70" w:type="dxa"/>
            </w:tcMar>
          </w:tcPr>
          <w:p w14:paraId="776B8FE4" w14:textId="2F435E15"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2D21A8A9" w14:textId="77777777">
        <w:trPr>
          <w:trHeight w:val="285"/>
        </w:trPr>
        <w:tc>
          <w:tcPr>
            <w:tcW w:w="4785" w:type="dxa"/>
            <w:gridSpan w:val="2"/>
            <w:tcMar>
              <w:left w:w="70" w:type="dxa"/>
              <w:right w:w="70" w:type="dxa"/>
            </w:tcMar>
            <w:vAlign w:val="center"/>
          </w:tcPr>
          <w:p w14:paraId="57F7F1E5" w14:textId="77777777" w:rsidR="00E66886" w:rsidRPr="00B450EB" w:rsidRDefault="00E66886">
            <w:pPr>
              <w:spacing w:after="0" w:line="240" w:lineRule="auto"/>
              <w:jc w:val="center"/>
              <w:rPr>
                <w:rFonts w:cs="Arial"/>
                <w:sz w:val="18"/>
                <w:szCs w:val="18"/>
              </w:rPr>
            </w:pPr>
            <w:r w:rsidRPr="00B450EB">
              <w:rPr>
                <w:rFonts w:eastAsia="Arial" w:cs="Arial"/>
                <w:sz w:val="18"/>
                <w:szCs w:val="18"/>
              </w:rPr>
              <w:t>Subtotal</w:t>
            </w:r>
          </w:p>
        </w:tc>
        <w:tc>
          <w:tcPr>
            <w:tcW w:w="1410" w:type="dxa"/>
            <w:tcMar>
              <w:left w:w="70" w:type="dxa"/>
              <w:right w:w="70" w:type="dxa"/>
            </w:tcMar>
            <w:vAlign w:val="center"/>
          </w:tcPr>
          <w:p w14:paraId="5E07BF39"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1.980.709,88</w:t>
            </w:r>
          </w:p>
        </w:tc>
        <w:tc>
          <w:tcPr>
            <w:tcW w:w="2640" w:type="dxa"/>
            <w:tcMar>
              <w:left w:w="70" w:type="dxa"/>
              <w:right w:w="70" w:type="dxa"/>
            </w:tcMar>
            <w:vAlign w:val="center"/>
          </w:tcPr>
          <w:p w14:paraId="6A3FD029" w14:textId="77777777" w:rsidR="00E66886" w:rsidRPr="00B450EB" w:rsidRDefault="00E66886">
            <w:pPr>
              <w:spacing w:line="240" w:lineRule="auto"/>
              <w:rPr>
                <w:rFonts w:cs="Arial"/>
                <w:sz w:val="18"/>
                <w:szCs w:val="18"/>
              </w:rPr>
            </w:pPr>
          </w:p>
        </w:tc>
      </w:tr>
      <w:tr w:rsidR="00205915" w:rsidRPr="00B450EB" w14:paraId="52840092" w14:textId="77777777" w:rsidTr="00024A81">
        <w:trPr>
          <w:trHeight w:val="285"/>
        </w:trPr>
        <w:tc>
          <w:tcPr>
            <w:tcW w:w="1500" w:type="dxa"/>
            <w:vMerge w:val="restart"/>
            <w:shd w:val="clear" w:color="auto" w:fill="B98D34"/>
            <w:tcMar>
              <w:left w:w="70" w:type="dxa"/>
              <w:right w:w="70" w:type="dxa"/>
            </w:tcMar>
            <w:vAlign w:val="center"/>
          </w:tcPr>
          <w:p w14:paraId="7F502738"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Santuario de Flora</w:t>
            </w:r>
          </w:p>
        </w:tc>
        <w:tc>
          <w:tcPr>
            <w:tcW w:w="3285" w:type="dxa"/>
            <w:tcMar>
              <w:left w:w="70" w:type="dxa"/>
              <w:right w:w="70" w:type="dxa"/>
            </w:tcMar>
            <w:vAlign w:val="center"/>
          </w:tcPr>
          <w:p w14:paraId="40FD88A7"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Isla de la Corota</w:t>
            </w:r>
          </w:p>
        </w:tc>
        <w:tc>
          <w:tcPr>
            <w:tcW w:w="1410" w:type="dxa"/>
            <w:tcMar>
              <w:left w:w="70" w:type="dxa"/>
              <w:right w:w="70" w:type="dxa"/>
            </w:tcMar>
            <w:vAlign w:val="center"/>
          </w:tcPr>
          <w:p w14:paraId="59704B81"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16,25</w:t>
            </w:r>
          </w:p>
        </w:tc>
        <w:tc>
          <w:tcPr>
            <w:tcW w:w="2640" w:type="dxa"/>
            <w:tcMar>
              <w:left w:w="70" w:type="dxa"/>
              <w:right w:w="70" w:type="dxa"/>
            </w:tcMar>
          </w:tcPr>
          <w:p w14:paraId="440D6FBA" w14:textId="04447FD5"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23F942FF" w14:textId="77777777" w:rsidTr="00024A81">
        <w:trPr>
          <w:trHeight w:val="285"/>
        </w:trPr>
        <w:tc>
          <w:tcPr>
            <w:tcW w:w="1500" w:type="dxa"/>
            <w:vMerge/>
            <w:vAlign w:val="center"/>
          </w:tcPr>
          <w:p w14:paraId="2D16BE40" w14:textId="77777777" w:rsidR="00942D2B" w:rsidRPr="00B450EB" w:rsidRDefault="00942D2B" w:rsidP="00942D2B">
            <w:pPr>
              <w:spacing w:line="240" w:lineRule="auto"/>
              <w:rPr>
                <w:rFonts w:cs="Arial"/>
                <w:sz w:val="18"/>
                <w:szCs w:val="18"/>
              </w:rPr>
            </w:pPr>
          </w:p>
        </w:tc>
        <w:tc>
          <w:tcPr>
            <w:tcW w:w="3285" w:type="dxa"/>
            <w:tcMar>
              <w:left w:w="70" w:type="dxa"/>
              <w:right w:w="70" w:type="dxa"/>
            </w:tcMar>
            <w:vAlign w:val="center"/>
          </w:tcPr>
          <w:p w14:paraId="5C8D7597"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 xml:space="preserve">Plantas Medicinales Orito - </w:t>
            </w:r>
            <w:proofErr w:type="spellStart"/>
            <w:r w:rsidRPr="00B450EB">
              <w:rPr>
                <w:rFonts w:eastAsia="Arial" w:cs="Arial"/>
                <w:sz w:val="18"/>
                <w:szCs w:val="18"/>
              </w:rPr>
              <w:t>Ingi</w:t>
            </w:r>
            <w:proofErr w:type="spellEnd"/>
            <w:r w:rsidRPr="00B450EB">
              <w:rPr>
                <w:rFonts w:eastAsia="Arial" w:cs="Arial"/>
                <w:sz w:val="18"/>
                <w:szCs w:val="18"/>
              </w:rPr>
              <w:t xml:space="preserve"> Ande</w:t>
            </w:r>
          </w:p>
        </w:tc>
        <w:tc>
          <w:tcPr>
            <w:tcW w:w="1410" w:type="dxa"/>
            <w:tcMar>
              <w:left w:w="70" w:type="dxa"/>
              <w:right w:w="70" w:type="dxa"/>
            </w:tcMar>
            <w:vAlign w:val="center"/>
          </w:tcPr>
          <w:p w14:paraId="39E5019D" w14:textId="77777777" w:rsidR="00942D2B" w:rsidRPr="00B450EB" w:rsidRDefault="00942D2B" w:rsidP="00942D2B">
            <w:pPr>
              <w:spacing w:after="0" w:line="240" w:lineRule="auto"/>
              <w:jc w:val="center"/>
              <w:rPr>
                <w:rFonts w:cs="Arial"/>
                <w:sz w:val="18"/>
                <w:szCs w:val="18"/>
              </w:rPr>
            </w:pPr>
            <w:r w:rsidRPr="00B450EB">
              <w:rPr>
                <w:rFonts w:eastAsia="Arial" w:cs="Arial"/>
                <w:sz w:val="18"/>
                <w:szCs w:val="18"/>
              </w:rPr>
              <w:t>10.416,86</w:t>
            </w:r>
          </w:p>
        </w:tc>
        <w:tc>
          <w:tcPr>
            <w:tcW w:w="2640" w:type="dxa"/>
            <w:tcMar>
              <w:left w:w="70" w:type="dxa"/>
              <w:right w:w="70" w:type="dxa"/>
            </w:tcMar>
          </w:tcPr>
          <w:p w14:paraId="217BC31F" w14:textId="45116F5D" w:rsidR="00942D2B" w:rsidRPr="00B450EB" w:rsidRDefault="00942D2B" w:rsidP="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769188D4" w14:textId="77777777">
        <w:trPr>
          <w:trHeight w:val="285"/>
        </w:trPr>
        <w:tc>
          <w:tcPr>
            <w:tcW w:w="4785" w:type="dxa"/>
            <w:gridSpan w:val="2"/>
            <w:tcMar>
              <w:left w:w="70" w:type="dxa"/>
              <w:right w:w="70" w:type="dxa"/>
            </w:tcMar>
            <w:vAlign w:val="center"/>
          </w:tcPr>
          <w:p w14:paraId="2C8BF619"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Subtotal</w:t>
            </w:r>
          </w:p>
        </w:tc>
        <w:tc>
          <w:tcPr>
            <w:tcW w:w="1410" w:type="dxa"/>
            <w:tcMar>
              <w:left w:w="70" w:type="dxa"/>
              <w:right w:w="70" w:type="dxa"/>
            </w:tcMar>
            <w:vAlign w:val="center"/>
          </w:tcPr>
          <w:p w14:paraId="106CDF2C"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10.433,11</w:t>
            </w:r>
          </w:p>
        </w:tc>
        <w:tc>
          <w:tcPr>
            <w:tcW w:w="2640" w:type="dxa"/>
            <w:tcMar>
              <w:left w:w="70" w:type="dxa"/>
              <w:right w:w="70" w:type="dxa"/>
            </w:tcMar>
            <w:vAlign w:val="center"/>
          </w:tcPr>
          <w:p w14:paraId="3BBA5667" w14:textId="77777777" w:rsidR="00E66886" w:rsidRPr="00B450EB" w:rsidRDefault="00E66886">
            <w:pPr>
              <w:spacing w:line="240" w:lineRule="auto"/>
              <w:rPr>
                <w:rFonts w:cs="Arial"/>
                <w:sz w:val="18"/>
                <w:szCs w:val="18"/>
              </w:rPr>
            </w:pPr>
          </w:p>
        </w:tc>
      </w:tr>
      <w:tr w:rsidR="00205915" w:rsidRPr="00B450EB" w14:paraId="25F67259" w14:textId="77777777">
        <w:trPr>
          <w:trHeight w:val="285"/>
        </w:trPr>
        <w:tc>
          <w:tcPr>
            <w:tcW w:w="1500" w:type="dxa"/>
            <w:vMerge w:val="restart"/>
            <w:shd w:val="clear" w:color="auto" w:fill="F77A82"/>
            <w:tcMar>
              <w:left w:w="70" w:type="dxa"/>
              <w:right w:w="70" w:type="dxa"/>
            </w:tcMar>
            <w:vAlign w:val="center"/>
          </w:tcPr>
          <w:p w14:paraId="483B1DEF" w14:textId="77777777" w:rsidR="00E66886" w:rsidRPr="00B450EB" w:rsidRDefault="00E66886">
            <w:pPr>
              <w:spacing w:after="0" w:line="240" w:lineRule="auto"/>
              <w:jc w:val="center"/>
              <w:rPr>
                <w:rFonts w:cs="Arial"/>
                <w:sz w:val="18"/>
                <w:szCs w:val="18"/>
              </w:rPr>
            </w:pPr>
            <w:r w:rsidRPr="00B450EB">
              <w:rPr>
                <w:rFonts w:eastAsia="Arial" w:cs="Arial"/>
                <w:sz w:val="18"/>
                <w:szCs w:val="18"/>
              </w:rPr>
              <w:t>Parques Naturales Regionales</w:t>
            </w:r>
          </w:p>
        </w:tc>
        <w:tc>
          <w:tcPr>
            <w:tcW w:w="3285" w:type="dxa"/>
            <w:tcMar>
              <w:left w:w="70" w:type="dxa"/>
              <w:right w:w="70" w:type="dxa"/>
            </w:tcMar>
            <w:vAlign w:val="center"/>
          </w:tcPr>
          <w:p w14:paraId="1EF8297A" w14:textId="77777777" w:rsidR="00E66886" w:rsidRPr="00B450EB" w:rsidRDefault="00E66886">
            <w:pPr>
              <w:spacing w:after="0" w:line="240" w:lineRule="auto"/>
              <w:jc w:val="center"/>
              <w:rPr>
                <w:rFonts w:cs="Arial"/>
                <w:sz w:val="18"/>
                <w:szCs w:val="18"/>
              </w:rPr>
            </w:pPr>
            <w:r w:rsidRPr="00B450EB">
              <w:rPr>
                <w:rFonts w:eastAsia="Arial" w:cs="Arial"/>
                <w:sz w:val="18"/>
                <w:szCs w:val="18"/>
              </w:rPr>
              <w:t>Corredor Biológico Guácharos Puracé</w:t>
            </w:r>
          </w:p>
        </w:tc>
        <w:tc>
          <w:tcPr>
            <w:tcW w:w="1410" w:type="dxa"/>
            <w:tcMar>
              <w:left w:w="70" w:type="dxa"/>
              <w:right w:w="70" w:type="dxa"/>
            </w:tcMar>
            <w:vAlign w:val="center"/>
          </w:tcPr>
          <w:p w14:paraId="315BE405" w14:textId="77777777" w:rsidR="00E66886" w:rsidRPr="00B450EB" w:rsidRDefault="00E66886">
            <w:pPr>
              <w:spacing w:after="0" w:line="240" w:lineRule="auto"/>
              <w:jc w:val="center"/>
              <w:rPr>
                <w:rFonts w:cs="Arial"/>
                <w:sz w:val="18"/>
                <w:szCs w:val="18"/>
              </w:rPr>
            </w:pPr>
            <w:r w:rsidRPr="00B450EB">
              <w:rPr>
                <w:rFonts w:eastAsia="Arial" w:cs="Arial"/>
                <w:sz w:val="18"/>
                <w:szCs w:val="18"/>
              </w:rPr>
              <w:t>102,90</w:t>
            </w:r>
          </w:p>
        </w:tc>
        <w:tc>
          <w:tcPr>
            <w:tcW w:w="2640" w:type="dxa"/>
            <w:tcMar>
              <w:left w:w="70" w:type="dxa"/>
              <w:right w:w="70" w:type="dxa"/>
            </w:tcMar>
            <w:vAlign w:val="center"/>
          </w:tcPr>
          <w:p w14:paraId="2D475E39" w14:textId="77777777" w:rsidR="00E66886" w:rsidRPr="00B450EB" w:rsidRDefault="00E66886">
            <w:pPr>
              <w:spacing w:after="0" w:line="240" w:lineRule="auto"/>
              <w:jc w:val="center"/>
              <w:rPr>
                <w:rFonts w:cs="Arial"/>
                <w:sz w:val="18"/>
                <w:szCs w:val="18"/>
              </w:rPr>
            </w:pPr>
            <w:r w:rsidRPr="00B450EB">
              <w:rPr>
                <w:rFonts w:eastAsia="Arial" w:cs="Arial"/>
                <w:sz w:val="18"/>
                <w:szCs w:val="18"/>
              </w:rPr>
              <w:t>Corporación Autónoma Regional del Alto Magdalena</w:t>
            </w:r>
          </w:p>
        </w:tc>
      </w:tr>
      <w:tr w:rsidR="00205915" w:rsidRPr="00B450EB" w14:paraId="4B07719D" w14:textId="77777777">
        <w:trPr>
          <w:trHeight w:val="285"/>
        </w:trPr>
        <w:tc>
          <w:tcPr>
            <w:tcW w:w="1500" w:type="dxa"/>
            <w:vMerge/>
            <w:vAlign w:val="center"/>
          </w:tcPr>
          <w:p w14:paraId="7A8D784D" w14:textId="77777777" w:rsidR="00E66886" w:rsidRPr="00B450EB" w:rsidRDefault="00E66886">
            <w:pPr>
              <w:spacing w:line="240" w:lineRule="auto"/>
              <w:rPr>
                <w:rFonts w:cs="Arial"/>
                <w:sz w:val="18"/>
                <w:szCs w:val="18"/>
              </w:rPr>
            </w:pPr>
          </w:p>
        </w:tc>
        <w:tc>
          <w:tcPr>
            <w:tcW w:w="3285" w:type="dxa"/>
            <w:tcMar>
              <w:left w:w="70" w:type="dxa"/>
              <w:right w:w="70" w:type="dxa"/>
            </w:tcMar>
            <w:vAlign w:val="center"/>
          </w:tcPr>
          <w:p w14:paraId="204D161D" w14:textId="77777777" w:rsidR="00E66886" w:rsidRPr="00B450EB" w:rsidRDefault="00E66886">
            <w:pPr>
              <w:spacing w:after="0" w:line="240" w:lineRule="auto"/>
              <w:jc w:val="center"/>
              <w:rPr>
                <w:rFonts w:cs="Arial"/>
                <w:sz w:val="18"/>
                <w:szCs w:val="18"/>
              </w:rPr>
            </w:pPr>
            <w:r w:rsidRPr="00B450EB">
              <w:rPr>
                <w:rFonts w:eastAsia="Arial" w:cs="Arial"/>
                <w:sz w:val="18"/>
                <w:szCs w:val="18"/>
              </w:rPr>
              <w:t xml:space="preserve">El </w:t>
            </w:r>
            <w:proofErr w:type="spellStart"/>
            <w:r w:rsidRPr="00B450EB">
              <w:rPr>
                <w:rFonts w:eastAsia="Arial" w:cs="Arial"/>
                <w:sz w:val="18"/>
                <w:szCs w:val="18"/>
              </w:rPr>
              <w:t>Aleton</w:t>
            </w:r>
            <w:proofErr w:type="spellEnd"/>
          </w:p>
        </w:tc>
        <w:tc>
          <w:tcPr>
            <w:tcW w:w="1410" w:type="dxa"/>
            <w:tcMar>
              <w:left w:w="70" w:type="dxa"/>
              <w:right w:w="70" w:type="dxa"/>
            </w:tcMar>
            <w:vAlign w:val="center"/>
          </w:tcPr>
          <w:p w14:paraId="48561EFE" w14:textId="77777777" w:rsidR="00E66886" w:rsidRPr="00B450EB" w:rsidRDefault="00E66886">
            <w:pPr>
              <w:spacing w:after="0" w:line="240" w:lineRule="auto"/>
              <w:jc w:val="center"/>
              <w:rPr>
                <w:rFonts w:cs="Arial"/>
                <w:sz w:val="18"/>
                <w:szCs w:val="18"/>
              </w:rPr>
            </w:pPr>
            <w:r w:rsidRPr="00B450EB">
              <w:rPr>
                <w:rFonts w:eastAsia="Arial" w:cs="Arial"/>
                <w:sz w:val="18"/>
                <w:szCs w:val="18"/>
              </w:rPr>
              <w:t>10.729,95</w:t>
            </w:r>
          </w:p>
        </w:tc>
        <w:tc>
          <w:tcPr>
            <w:tcW w:w="2640" w:type="dxa"/>
            <w:tcMar>
              <w:left w:w="70" w:type="dxa"/>
              <w:right w:w="70" w:type="dxa"/>
            </w:tcMar>
            <w:vAlign w:val="center"/>
          </w:tcPr>
          <w:p w14:paraId="2AEFC28D" w14:textId="77777777" w:rsidR="00E66886" w:rsidRPr="00B450EB" w:rsidRDefault="00E66886">
            <w:pPr>
              <w:spacing w:after="0" w:line="240" w:lineRule="auto"/>
              <w:jc w:val="center"/>
              <w:rPr>
                <w:rFonts w:cs="Arial"/>
                <w:sz w:val="18"/>
                <w:szCs w:val="18"/>
              </w:rPr>
            </w:pPr>
            <w:r w:rsidRPr="00B450EB">
              <w:rPr>
                <w:rFonts w:eastAsia="Arial" w:cs="Arial"/>
                <w:sz w:val="18"/>
                <w:szCs w:val="18"/>
              </w:rPr>
              <w:t>Corporación Autónoma Regional del Cauca</w:t>
            </w:r>
          </w:p>
        </w:tc>
      </w:tr>
      <w:tr w:rsidR="00205915" w:rsidRPr="00B450EB" w14:paraId="5A017903" w14:textId="77777777">
        <w:trPr>
          <w:trHeight w:val="285"/>
        </w:trPr>
        <w:tc>
          <w:tcPr>
            <w:tcW w:w="1500" w:type="dxa"/>
            <w:vMerge/>
            <w:vAlign w:val="center"/>
          </w:tcPr>
          <w:p w14:paraId="779E7E6E" w14:textId="77777777" w:rsidR="00E66886" w:rsidRPr="00B450EB" w:rsidRDefault="00E66886">
            <w:pPr>
              <w:spacing w:line="240" w:lineRule="auto"/>
              <w:rPr>
                <w:rFonts w:cs="Arial"/>
                <w:sz w:val="18"/>
                <w:szCs w:val="18"/>
              </w:rPr>
            </w:pPr>
          </w:p>
        </w:tc>
        <w:tc>
          <w:tcPr>
            <w:tcW w:w="3285" w:type="dxa"/>
            <w:tcMar>
              <w:left w:w="70" w:type="dxa"/>
              <w:right w:w="70" w:type="dxa"/>
            </w:tcMar>
            <w:vAlign w:val="center"/>
          </w:tcPr>
          <w:p w14:paraId="16653F78" w14:textId="77777777" w:rsidR="00E66886" w:rsidRPr="00B450EB" w:rsidRDefault="00E66886">
            <w:pPr>
              <w:spacing w:after="0" w:line="240" w:lineRule="auto"/>
              <w:jc w:val="center"/>
              <w:rPr>
                <w:rFonts w:cs="Arial"/>
                <w:sz w:val="18"/>
                <w:szCs w:val="18"/>
              </w:rPr>
            </w:pPr>
            <w:r w:rsidRPr="00B450EB">
              <w:rPr>
                <w:rFonts w:eastAsia="Arial" w:cs="Arial"/>
                <w:sz w:val="18"/>
                <w:szCs w:val="18"/>
              </w:rPr>
              <w:t>Miraflores Picachos</w:t>
            </w:r>
          </w:p>
        </w:tc>
        <w:tc>
          <w:tcPr>
            <w:tcW w:w="1410" w:type="dxa"/>
            <w:tcMar>
              <w:left w:w="70" w:type="dxa"/>
              <w:right w:w="70" w:type="dxa"/>
            </w:tcMar>
            <w:vAlign w:val="center"/>
          </w:tcPr>
          <w:p w14:paraId="45409BA9" w14:textId="77777777" w:rsidR="00E66886" w:rsidRPr="00B450EB" w:rsidRDefault="00E66886">
            <w:pPr>
              <w:spacing w:after="0" w:line="240" w:lineRule="auto"/>
              <w:jc w:val="center"/>
              <w:rPr>
                <w:rFonts w:cs="Arial"/>
                <w:sz w:val="18"/>
                <w:szCs w:val="18"/>
              </w:rPr>
            </w:pPr>
            <w:r w:rsidRPr="00B450EB">
              <w:rPr>
                <w:rFonts w:eastAsia="Arial" w:cs="Arial"/>
                <w:sz w:val="18"/>
                <w:szCs w:val="18"/>
              </w:rPr>
              <w:t>106.554,43</w:t>
            </w:r>
          </w:p>
        </w:tc>
        <w:tc>
          <w:tcPr>
            <w:tcW w:w="2640" w:type="dxa"/>
            <w:tcMar>
              <w:left w:w="70" w:type="dxa"/>
              <w:right w:w="70" w:type="dxa"/>
            </w:tcMar>
            <w:vAlign w:val="center"/>
          </w:tcPr>
          <w:p w14:paraId="5AA07DA8" w14:textId="77777777" w:rsidR="00E66886" w:rsidRPr="00B450EB" w:rsidRDefault="00E66886">
            <w:pPr>
              <w:spacing w:after="0" w:line="240" w:lineRule="auto"/>
              <w:jc w:val="center"/>
              <w:rPr>
                <w:rFonts w:cs="Arial"/>
                <w:sz w:val="18"/>
                <w:szCs w:val="18"/>
              </w:rPr>
            </w:pPr>
            <w:r w:rsidRPr="00B450EB">
              <w:rPr>
                <w:rFonts w:eastAsia="Arial" w:cs="Arial"/>
                <w:sz w:val="18"/>
                <w:szCs w:val="18"/>
              </w:rPr>
              <w:t>Corporación para el Desarrollo Sostenible del Sur de la Amazonia</w:t>
            </w:r>
          </w:p>
        </w:tc>
      </w:tr>
      <w:tr w:rsidR="00205915" w:rsidRPr="00B450EB" w14:paraId="682BECDB" w14:textId="77777777">
        <w:trPr>
          <w:trHeight w:val="285"/>
        </w:trPr>
        <w:tc>
          <w:tcPr>
            <w:tcW w:w="1500" w:type="dxa"/>
            <w:vMerge/>
            <w:vAlign w:val="center"/>
          </w:tcPr>
          <w:p w14:paraId="058C3FE9" w14:textId="77777777" w:rsidR="00E66886" w:rsidRPr="00B450EB" w:rsidRDefault="00E66886">
            <w:pPr>
              <w:spacing w:line="240" w:lineRule="auto"/>
              <w:rPr>
                <w:rFonts w:cs="Arial"/>
                <w:sz w:val="18"/>
                <w:szCs w:val="18"/>
              </w:rPr>
            </w:pPr>
          </w:p>
        </w:tc>
        <w:tc>
          <w:tcPr>
            <w:tcW w:w="3285" w:type="dxa"/>
            <w:tcMar>
              <w:left w:w="70" w:type="dxa"/>
              <w:right w:w="70" w:type="dxa"/>
            </w:tcMar>
            <w:vAlign w:val="center"/>
          </w:tcPr>
          <w:p w14:paraId="707C7C9F" w14:textId="77777777" w:rsidR="00E66886" w:rsidRPr="00B450EB" w:rsidRDefault="00E66886">
            <w:pPr>
              <w:spacing w:after="0" w:line="240" w:lineRule="auto"/>
              <w:jc w:val="center"/>
              <w:rPr>
                <w:rFonts w:cs="Arial"/>
                <w:sz w:val="18"/>
                <w:szCs w:val="18"/>
              </w:rPr>
            </w:pPr>
            <w:r w:rsidRPr="00B450EB">
              <w:rPr>
                <w:rFonts w:eastAsia="Arial" w:cs="Arial"/>
                <w:sz w:val="18"/>
                <w:szCs w:val="18"/>
              </w:rPr>
              <w:t>Páramo de las Ovejas-</w:t>
            </w:r>
            <w:proofErr w:type="spellStart"/>
            <w:r w:rsidRPr="00B450EB">
              <w:rPr>
                <w:rFonts w:eastAsia="Arial" w:cs="Arial"/>
                <w:sz w:val="18"/>
                <w:szCs w:val="18"/>
              </w:rPr>
              <w:t>Tauso</w:t>
            </w:r>
            <w:proofErr w:type="spellEnd"/>
          </w:p>
        </w:tc>
        <w:tc>
          <w:tcPr>
            <w:tcW w:w="1410" w:type="dxa"/>
            <w:tcMar>
              <w:left w:w="70" w:type="dxa"/>
              <w:right w:w="70" w:type="dxa"/>
            </w:tcMar>
            <w:vAlign w:val="center"/>
          </w:tcPr>
          <w:p w14:paraId="72C5DBB1" w14:textId="77777777" w:rsidR="00E66886" w:rsidRPr="00B450EB" w:rsidRDefault="00E66886">
            <w:pPr>
              <w:spacing w:after="0" w:line="240" w:lineRule="auto"/>
              <w:jc w:val="center"/>
              <w:rPr>
                <w:rFonts w:cs="Arial"/>
                <w:sz w:val="18"/>
                <w:szCs w:val="18"/>
              </w:rPr>
            </w:pPr>
            <w:r w:rsidRPr="00B450EB">
              <w:rPr>
                <w:rFonts w:eastAsia="Arial" w:cs="Arial"/>
                <w:sz w:val="18"/>
                <w:szCs w:val="18"/>
              </w:rPr>
              <w:t>2.537,52</w:t>
            </w:r>
          </w:p>
        </w:tc>
        <w:tc>
          <w:tcPr>
            <w:tcW w:w="2640" w:type="dxa"/>
            <w:tcMar>
              <w:left w:w="70" w:type="dxa"/>
              <w:right w:w="70" w:type="dxa"/>
            </w:tcMar>
            <w:vAlign w:val="center"/>
          </w:tcPr>
          <w:p w14:paraId="2B89FFED" w14:textId="77777777" w:rsidR="00E66886" w:rsidRPr="00B450EB" w:rsidRDefault="00E66886">
            <w:pPr>
              <w:spacing w:after="0" w:line="240" w:lineRule="auto"/>
              <w:jc w:val="center"/>
              <w:rPr>
                <w:rFonts w:cs="Arial"/>
                <w:sz w:val="18"/>
                <w:szCs w:val="18"/>
              </w:rPr>
            </w:pPr>
            <w:r w:rsidRPr="00B450EB">
              <w:rPr>
                <w:rFonts w:eastAsia="Arial" w:cs="Arial"/>
                <w:sz w:val="18"/>
                <w:szCs w:val="18"/>
              </w:rPr>
              <w:t>Corporación Autónoma Regional de Nariño</w:t>
            </w:r>
          </w:p>
        </w:tc>
      </w:tr>
      <w:tr w:rsidR="00205915" w:rsidRPr="00B450EB" w14:paraId="55217228" w14:textId="77777777">
        <w:trPr>
          <w:trHeight w:val="285"/>
        </w:trPr>
        <w:tc>
          <w:tcPr>
            <w:tcW w:w="1500" w:type="dxa"/>
            <w:vMerge/>
            <w:vAlign w:val="center"/>
          </w:tcPr>
          <w:p w14:paraId="782A6B84" w14:textId="77777777" w:rsidR="00E66886" w:rsidRPr="00B450EB" w:rsidRDefault="00E66886">
            <w:pPr>
              <w:spacing w:line="240" w:lineRule="auto"/>
              <w:rPr>
                <w:rFonts w:cs="Arial"/>
                <w:sz w:val="18"/>
                <w:szCs w:val="18"/>
              </w:rPr>
            </w:pPr>
          </w:p>
        </w:tc>
        <w:tc>
          <w:tcPr>
            <w:tcW w:w="3285" w:type="dxa"/>
            <w:tcMar>
              <w:left w:w="70" w:type="dxa"/>
              <w:right w:w="70" w:type="dxa"/>
            </w:tcMar>
            <w:vAlign w:val="center"/>
          </w:tcPr>
          <w:p w14:paraId="0E6B9E9E" w14:textId="77777777" w:rsidR="00E66886" w:rsidRPr="00B450EB" w:rsidRDefault="00E66886">
            <w:pPr>
              <w:spacing w:after="0" w:line="240" w:lineRule="auto"/>
              <w:jc w:val="center"/>
              <w:rPr>
                <w:rFonts w:cs="Arial"/>
                <w:sz w:val="18"/>
                <w:szCs w:val="18"/>
              </w:rPr>
            </w:pPr>
            <w:r w:rsidRPr="00B450EB">
              <w:rPr>
                <w:rFonts w:eastAsia="Arial" w:cs="Arial"/>
                <w:sz w:val="18"/>
                <w:szCs w:val="18"/>
              </w:rPr>
              <w:t>Siberia Ceibas</w:t>
            </w:r>
          </w:p>
        </w:tc>
        <w:tc>
          <w:tcPr>
            <w:tcW w:w="1410" w:type="dxa"/>
            <w:tcMar>
              <w:left w:w="70" w:type="dxa"/>
              <w:right w:w="70" w:type="dxa"/>
            </w:tcMar>
            <w:vAlign w:val="center"/>
          </w:tcPr>
          <w:p w14:paraId="51B0CA05" w14:textId="77777777" w:rsidR="00E66886" w:rsidRPr="00B450EB" w:rsidRDefault="00E66886">
            <w:pPr>
              <w:spacing w:after="0" w:line="240" w:lineRule="auto"/>
              <w:jc w:val="center"/>
              <w:rPr>
                <w:rFonts w:cs="Arial"/>
                <w:sz w:val="18"/>
                <w:szCs w:val="18"/>
              </w:rPr>
            </w:pPr>
            <w:r w:rsidRPr="00B450EB">
              <w:rPr>
                <w:rFonts w:eastAsia="Arial" w:cs="Arial"/>
                <w:sz w:val="18"/>
                <w:szCs w:val="18"/>
              </w:rPr>
              <w:t>36,67</w:t>
            </w:r>
          </w:p>
        </w:tc>
        <w:tc>
          <w:tcPr>
            <w:tcW w:w="2640" w:type="dxa"/>
            <w:tcMar>
              <w:left w:w="70" w:type="dxa"/>
              <w:right w:w="70" w:type="dxa"/>
            </w:tcMar>
            <w:vAlign w:val="center"/>
          </w:tcPr>
          <w:p w14:paraId="06430B9E" w14:textId="77777777" w:rsidR="00E66886" w:rsidRPr="00B450EB" w:rsidRDefault="00E66886">
            <w:pPr>
              <w:spacing w:after="0" w:line="240" w:lineRule="auto"/>
              <w:jc w:val="center"/>
              <w:rPr>
                <w:rFonts w:cs="Arial"/>
                <w:sz w:val="18"/>
                <w:szCs w:val="18"/>
              </w:rPr>
            </w:pPr>
            <w:r w:rsidRPr="00B450EB">
              <w:rPr>
                <w:rFonts w:eastAsia="Arial" w:cs="Arial"/>
                <w:sz w:val="18"/>
                <w:szCs w:val="18"/>
              </w:rPr>
              <w:t>Corporación Autónoma Regional del Alto Magdalena</w:t>
            </w:r>
          </w:p>
        </w:tc>
      </w:tr>
      <w:tr w:rsidR="00205915" w:rsidRPr="00B450EB" w14:paraId="4B76DA7A" w14:textId="77777777">
        <w:trPr>
          <w:trHeight w:val="62"/>
        </w:trPr>
        <w:tc>
          <w:tcPr>
            <w:tcW w:w="4785" w:type="dxa"/>
            <w:gridSpan w:val="2"/>
            <w:tcMar>
              <w:left w:w="70" w:type="dxa"/>
              <w:right w:w="70" w:type="dxa"/>
            </w:tcMar>
            <w:vAlign w:val="center"/>
          </w:tcPr>
          <w:p w14:paraId="7F25467D"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Subtotal</w:t>
            </w:r>
          </w:p>
        </w:tc>
        <w:tc>
          <w:tcPr>
            <w:tcW w:w="1410" w:type="dxa"/>
            <w:tcMar>
              <w:left w:w="70" w:type="dxa"/>
              <w:right w:w="70" w:type="dxa"/>
            </w:tcMar>
            <w:vAlign w:val="center"/>
          </w:tcPr>
          <w:p w14:paraId="540E2112"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119.961,47</w:t>
            </w:r>
          </w:p>
        </w:tc>
        <w:tc>
          <w:tcPr>
            <w:tcW w:w="2640" w:type="dxa"/>
            <w:tcMar>
              <w:left w:w="70" w:type="dxa"/>
              <w:right w:w="70" w:type="dxa"/>
            </w:tcMar>
            <w:vAlign w:val="center"/>
          </w:tcPr>
          <w:p w14:paraId="3D178C87" w14:textId="77777777" w:rsidR="00E66886" w:rsidRPr="00B450EB" w:rsidRDefault="00E66886">
            <w:pPr>
              <w:spacing w:line="240" w:lineRule="auto"/>
              <w:rPr>
                <w:rFonts w:cs="Arial"/>
                <w:sz w:val="18"/>
                <w:szCs w:val="18"/>
              </w:rPr>
            </w:pPr>
          </w:p>
        </w:tc>
      </w:tr>
      <w:tr w:rsidR="00205915" w:rsidRPr="00B450EB" w14:paraId="1F8AC935" w14:textId="77777777">
        <w:trPr>
          <w:trHeight w:val="285"/>
        </w:trPr>
        <w:tc>
          <w:tcPr>
            <w:tcW w:w="1500" w:type="dxa"/>
            <w:vMerge w:val="restart"/>
            <w:shd w:val="clear" w:color="auto" w:fill="7AF299"/>
            <w:tcMar>
              <w:left w:w="70" w:type="dxa"/>
              <w:right w:w="70" w:type="dxa"/>
            </w:tcMar>
            <w:vAlign w:val="center"/>
          </w:tcPr>
          <w:p w14:paraId="29A86672" w14:textId="77777777" w:rsidR="00E66886" w:rsidRPr="00B450EB" w:rsidRDefault="00E66886">
            <w:pPr>
              <w:spacing w:after="0" w:line="240" w:lineRule="auto"/>
              <w:jc w:val="center"/>
              <w:rPr>
                <w:rFonts w:cs="Arial"/>
                <w:sz w:val="18"/>
                <w:szCs w:val="18"/>
              </w:rPr>
            </w:pPr>
            <w:r w:rsidRPr="00B450EB">
              <w:rPr>
                <w:rFonts w:eastAsia="Arial" w:cs="Arial"/>
                <w:sz w:val="18"/>
                <w:szCs w:val="18"/>
              </w:rPr>
              <w:t>Reservas Forestales Protectoras Nacionales</w:t>
            </w:r>
          </w:p>
        </w:tc>
        <w:tc>
          <w:tcPr>
            <w:tcW w:w="3285" w:type="dxa"/>
            <w:tcMar>
              <w:left w:w="70" w:type="dxa"/>
              <w:right w:w="70" w:type="dxa"/>
            </w:tcMar>
            <w:vAlign w:val="center"/>
          </w:tcPr>
          <w:p w14:paraId="3C6EDB03" w14:textId="77777777" w:rsidR="00E66886" w:rsidRPr="00B450EB" w:rsidRDefault="00E66886">
            <w:pPr>
              <w:spacing w:after="0" w:line="240" w:lineRule="auto"/>
              <w:jc w:val="center"/>
              <w:rPr>
                <w:rFonts w:cs="Arial"/>
                <w:sz w:val="18"/>
                <w:szCs w:val="18"/>
              </w:rPr>
            </w:pPr>
            <w:r w:rsidRPr="00B450EB">
              <w:rPr>
                <w:rFonts w:eastAsia="Arial" w:cs="Arial"/>
                <w:sz w:val="18"/>
                <w:szCs w:val="18"/>
              </w:rPr>
              <w:t>Cuenca Alta del Río Mocoa</w:t>
            </w:r>
          </w:p>
        </w:tc>
        <w:tc>
          <w:tcPr>
            <w:tcW w:w="1410" w:type="dxa"/>
            <w:tcMar>
              <w:left w:w="70" w:type="dxa"/>
              <w:right w:w="70" w:type="dxa"/>
            </w:tcMar>
            <w:vAlign w:val="center"/>
          </w:tcPr>
          <w:p w14:paraId="03D4D364" w14:textId="77777777" w:rsidR="00E66886" w:rsidRPr="00B450EB" w:rsidRDefault="00E66886">
            <w:pPr>
              <w:spacing w:after="0" w:line="240" w:lineRule="auto"/>
              <w:jc w:val="center"/>
              <w:rPr>
                <w:rFonts w:cs="Arial"/>
                <w:sz w:val="18"/>
                <w:szCs w:val="18"/>
              </w:rPr>
            </w:pPr>
            <w:r w:rsidRPr="00B450EB">
              <w:rPr>
                <w:rFonts w:eastAsia="Arial" w:cs="Arial"/>
                <w:sz w:val="18"/>
                <w:szCs w:val="18"/>
              </w:rPr>
              <w:t>37.561,74</w:t>
            </w:r>
          </w:p>
        </w:tc>
        <w:tc>
          <w:tcPr>
            <w:tcW w:w="2640" w:type="dxa"/>
            <w:tcMar>
              <w:left w:w="70" w:type="dxa"/>
              <w:right w:w="70" w:type="dxa"/>
            </w:tcMar>
            <w:vAlign w:val="center"/>
          </w:tcPr>
          <w:p w14:paraId="16BE59E1" w14:textId="77777777" w:rsidR="00E66886" w:rsidRPr="00B450EB" w:rsidRDefault="00E66886">
            <w:pPr>
              <w:spacing w:after="0" w:line="240" w:lineRule="auto"/>
              <w:jc w:val="center"/>
              <w:rPr>
                <w:rFonts w:cs="Arial"/>
                <w:sz w:val="18"/>
                <w:szCs w:val="18"/>
              </w:rPr>
            </w:pPr>
            <w:proofErr w:type="spellStart"/>
            <w:r w:rsidRPr="00B450EB">
              <w:rPr>
                <w:rFonts w:eastAsia="Arial" w:cs="Arial"/>
                <w:sz w:val="18"/>
                <w:szCs w:val="18"/>
              </w:rPr>
              <w:t>MinAmbiente</w:t>
            </w:r>
            <w:proofErr w:type="spellEnd"/>
          </w:p>
        </w:tc>
      </w:tr>
      <w:tr w:rsidR="00205915" w:rsidRPr="00B450EB" w14:paraId="0249A8B3" w14:textId="77777777">
        <w:trPr>
          <w:trHeight w:val="285"/>
        </w:trPr>
        <w:tc>
          <w:tcPr>
            <w:tcW w:w="1500" w:type="dxa"/>
            <w:vMerge/>
            <w:vAlign w:val="center"/>
          </w:tcPr>
          <w:p w14:paraId="2A55C023" w14:textId="77777777" w:rsidR="00E66886" w:rsidRPr="00B450EB" w:rsidRDefault="00E66886">
            <w:pPr>
              <w:spacing w:line="240" w:lineRule="auto"/>
              <w:rPr>
                <w:rFonts w:cs="Arial"/>
                <w:sz w:val="18"/>
                <w:szCs w:val="18"/>
              </w:rPr>
            </w:pPr>
          </w:p>
        </w:tc>
        <w:tc>
          <w:tcPr>
            <w:tcW w:w="3285" w:type="dxa"/>
            <w:tcMar>
              <w:left w:w="70" w:type="dxa"/>
              <w:right w:w="70" w:type="dxa"/>
            </w:tcMar>
            <w:vAlign w:val="center"/>
          </w:tcPr>
          <w:p w14:paraId="36B8B5F0" w14:textId="77777777" w:rsidR="00E66886" w:rsidRPr="00B450EB" w:rsidRDefault="00E66886">
            <w:pPr>
              <w:spacing w:after="0" w:line="240" w:lineRule="auto"/>
              <w:jc w:val="center"/>
              <w:rPr>
                <w:rFonts w:cs="Arial"/>
                <w:sz w:val="18"/>
                <w:szCs w:val="18"/>
              </w:rPr>
            </w:pPr>
            <w:r w:rsidRPr="00B450EB">
              <w:rPr>
                <w:rFonts w:eastAsia="Arial" w:cs="Arial"/>
                <w:sz w:val="18"/>
                <w:szCs w:val="18"/>
              </w:rPr>
              <w:t xml:space="preserve">Laguna La Cocha Cerro </w:t>
            </w:r>
            <w:proofErr w:type="spellStart"/>
            <w:r w:rsidRPr="00B450EB">
              <w:rPr>
                <w:rFonts w:eastAsia="Arial" w:cs="Arial"/>
                <w:sz w:val="18"/>
                <w:szCs w:val="18"/>
              </w:rPr>
              <w:t>Patascoy</w:t>
            </w:r>
            <w:proofErr w:type="spellEnd"/>
          </w:p>
        </w:tc>
        <w:tc>
          <w:tcPr>
            <w:tcW w:w="1410" w:type="dxa"/>
            <w:tcMar>
              <w:left w:w="70" w:type="dxa"/>
              <w:right w:w="70" w:type="dxa"/>
            </w:tcMar>
            <w:vAlign w:val="center"/>
          </w:tcPr>
          <w:p w14:paraId="67288D01" w14:textId="77777777" w:rsidR="00E66886" w:rsidRPr="00B450EB" w:rsidRDefault="00E66886">
            <w:pPr>
              <w:spacing w:after="0" w:line="240" w:lineRule="auto"/>
              <w:jc w:val="center"/>
              <w:rPr>
                <w:rFonts w:cs="Arial"/>
                <w:sz w:val="18"/>
                <w:szCs w:val="18"/>
              </w:rPr>
            </w:pPr>
            <w:r w:rsidRPr="00B450EB">
              <w:rPr>
                <w:rFonts w:eastAsia="Arial" w:cs="Arial"/>
                <w:sz w:val="18"/>
                <w:szCs w:val="18"/>
              </w:rPr>
              <w:t>49.944</w:t>
            </w:r>
          </w:p>
        </w:tc>
        <w:tc>
          <w:tcPr>
            <w:tcW w:w="2640" w:type="dxa"/>
            <w:tcMar>
              <w:left w:w="70" w:type="dxa"/>
              <w:right w:w="70" w:type="dxa"/>
            </w:tcMar>
            <w:vAlign w:val="center"/>
          </w:tcPr>
          <w:p w14:paraId="19B650E2" w14:textId="77777777" w:rsidR="00E66886" w:rsidRPr="00B450EB" w:rsidRDefault="00E66886">
            <w:pPr>
              <w:spacing w:after="0" w:line="240" w:lineRule="auto"/>
              <w:jc w:val="center"/>
              <w:rPr>
                <w:rFonts w:cs="Arial"/>
                <w:sz w:val="18"/>
                <w:szCs w:val="18"/>
              </w:rPr>
            </w:pPr>
            <w:proofErr w:type="spellStart"/>
            <w:r w:rsidRPr="00B450EB">
              <w:rPr>
                <w:rFonts w:eastAsia="Arial" w:cs="Arial"/>
                <w:sz w:val="18"/>
                <w:szCs w:val="18"/>
              </w:rPr>
              <w:t>MinAmbiente</w:t>
            </w:r>
            <w:proofErr w:type="spellEnd"/>
          </w:p>
        </w:tc>
      </w:tr>
      <w:tr w:rsidR="00205915" w:rsidRPr="00B450EB" w14:paraId="112B0B92" w14:textId="77777777">
        <w:trPr>
          <w:trHeight w:val="285"/>
        </w:trPr>
        <w:tc>
          <w:tcPr>
            <w:tcW w:w="1500" w:type="dxa"/>
            <w:vMerge/>
            <w:vAlign w:val="center"/>
          </w:tcPr>
          <w:p w14:paraId="5ED99026" w14:textId="77777777" w:rsidR="00E66886" w:rsidRPr="00B450EB" w:rsidRDefault="00E66886">
            <w:pPr>
              <w:spacing w:line="240" w:lineRule="auto"/>
              <w:rPr>
                <w:rFonts w:cs="Arial"/>
                <w:sz w:val="18"/>
                <w:szCs w:val="18"/>
              </w:rPr>
            </w:pPr>
          </w:p>
        </w:tc>
        <w:tc>
          <w:tcPr>
            <w:tcW w:w="3285" w:type="dxa"/>
            <w:tcMar>
              <w:left w:w="70" w:type="dxa"/>
              <w:right w:w="70" w:type="dxa"/>
            </w:tcMar>
            <w:vAlign w:val="center"/>
          </w:tcPr>
          <w:p w14:paraId="5B7BF9B1" w14:textId="77777777" w:rsidR="00E66886" w:rsidRPr="00B450EB" w:rsidRDefault="00E66886">
            <w:pPr>
              <w:spacing w:after="0" w:line="240" w:lineRule="auto"/>
              <w:jc w:val="center"/>
              <w:rPr>
                <w:rFonts w:cs="Arial"/>
                <w:sz w:val="18"/>
                <w:szCs w:val="18"/>
              </w:rPr>
            </w:pPr>
            <w:r w:rsidRPr="00B450EB">
              <w:rPr>
                <w:rFonts w:eastAsia="Arial" w:cs="Arial"/>
                <w:sz w:val="18"/>
                <w:szCs w:val="18"/>
              </w:rPr>
              <w:t xml:space="preserve">Río Bobo y </w:t>
            </w:r>
            <w:proofErr w:type="spellStart"/>
            <w:r w:rsidRPr="00B450EB">
              <w:rPr>
                <w:rFonts w:eastAsia="Arial" w:cs="Arial"/>
                <w:sz w:val="18"/>
                <w:szCs w:val="18"/>
              </w:rPr>
              <w:t>Buesaquillo</w:t>
            </w:r>
            <w:proofErr w:type="spellEnd"/>
          </w:p>
        </w:tc>
        <w:tc>
          <w:tcPr>
            <w:tcW w:w="1410" w:type="dxa"/>
            <w:tcMar>
              <w:left w:w="70" w:type="dxa"/>
              <w:right w:w="70" w:type="dxa"/>
            </w:tcMar>
            <w:vAlign w:val="center"/>
          </w:tcPr>
          <w:p w14:paraId="3E26DDC2" w14:textId="77777777" w:rsidR="00E66886" w:rsidRPr="00B450EB" w:rsidRDefault="00E66886">
            <w:pPr>
              <w:spacing w:after="0" w:line="240" w:lineRule="auto"/>
              <w:jc w:val="center"/>
              <w:rPr>
                <w:rFonts w:cs="Arial"/>
                <w:sz w:val="18"/>
                <w:szCs w:val="18"/>
              </w:rPr>
            </w:pPr>
            <w:r w:rsidRPr="00B450EB">
              <w:rPr>
                <w:rFonts w:eastAsia="Arial" w:cs="Arial"/>
                <w:sz w:val="18"/>
                <w:szCs w:val="18"/>
              </w:rPr>
              <w:t>21,78</w:t>
            </w:r>
          </w:p>
        </w:tc>
        <w:tc>
          <w:tcPr>
            <w:tcW w:w="2640" w:type="dxa"/>
            <w:tcMar>
              <w:left w:w="70" w:type="dxa"/>
              <w:right w:w="70" w:type="dxa"/>
            </w:tcMar>
            <w:vAlign w:val="center"/>
          </w:tcPr>
          <w:p w14:paraId="741628E0" w14:textId="77777777" w:rsidR="00E66886" w:rsidRPr="00B450EB" w:rsidRDefault="00E66886">
            <w:pPr>
              <w:spacing w:after="0" w:line="240" w:lineRule="auto"/>
              <w:jc w:val="center"/>
              <w:rPr>
                <w:rFonts w:cs="Arial"/>
                <w:sz w:val="18"/>
                <w:szCs w:val="18"/>
              </w:rPr>
            </w:pPr>
            <w:proofErr w:type="spellStart"/>
            <w:r w:rsidRPr="00B450EB">
              <w:rPr>
                <w:rFonts w:eastAsia="Arial" w:cs="Arial"/>
                <w:sz w:val="18"/>
                <w:szCs w:val="18"/>
              </w:rPr>
              <w:t>MinAmbiente</w:t>
            </w:r>
            <w:proofErr w:type="spellEnd"/>
          </w:p>
        </w:tc>
      </w:tr>
      <w:tr w:rsidR="00205915" w:rsidRPr="00B450EB" w14:paraId="7CF07383" w14:textId="77777777">
        <w:trPr>
          <w:trHeight w:val="285"/>
        </w:trPr>
        <w:tc>
          <w:tcPr>
            <w:tcW w:w="1500" w:type="dxa"/>
            <w:vMerge/>
            <w:vAlign w:val="center"/>
          </w:tcPr>
          <w:p w14:paraId="3B678C9F" w14:textId="77777777" w:rsidR="00E66886" w:rsidRPr="00B450EB" w:rsidRDefault="00E66886">
            <w:pPr>
              <w:spacing w:line="240" w:lineRule="auto"/>
              <w:rPr>
                <w:rFonts w:cs="Arial"/>
                <w:sz w:val="18"/>
                <w:szCs w:val="18"/>
              </w:rPr>
            </w:pPr>
          </w:p>
        </w:tc>
        <w:tc>
          <w:tcPr>
            <w:tcW w:w="3285" w:type="dxa"/>
            <w:tcMar>
              <w:left w:w="70" w:type="dxa"/>
              <w:right w:w="70" w:type="dxa"/>
            </w:tcMar>
            <w:vAlign w:val="center"/>
          </w:tcPr>
          <w:p w14:paraId="0E8A8C87" w14:textId="77777777" w:rsidR="00E66886" w:rsidRPr="00B450EB" w:rsidRDefault="00E66886">
            <w:pPr>
              <w:spacing w:after="0" w:line="240" w:lineRule="auto"/>
              <w:jc w:val="center"/>
              <w:rPr>
                <w:rFonts w:cs="Arial"/>
                <w:sz w:val="18"/>
                <w:szCs w:val="18"/>
              </w:rPr>
            </w:pPr>
            <w:r w:rsidRPr="00B450EB">
              <w:rPr>
                <w:rFonts w:eastAsia="Arial" w:cs="Arial"/>
                <w:sz w:val="18"/>
                <w:szCs w:val="18"/>
              </w:rPr>
              <w:t xml:space="preserve">Serranía El Capricho. </w:t>
            </w:r>
            <w:proofErr w:type="spellStart"/>
            <w:r w:rsidRPr="00B450EB">
              <w:rPr>
                <w:rFonts w:eastAsia="Arial" w:cs="Arial"/>
                <w:sz w:val="18"/>
                <w:szCs w:val="18"/>
              </w:rPr>
              <w:t>Mirolindo</w:t>
            </w:r>
            <w:proofErr w:type="spellEnd"/>
            <w:r w:rsidRPr="00B450EB">
              <w:rPr>
                <w:rFonts w:eastAsia="Arial" w:cs="Arial"/>
                <w:sz w:val="18"/>
                <w:szCs w:val="18"/>
              </w:rPr>
              <w:t xml:space="preserve"> y Cerritos</w:t>
            </w:r>
          </w:p>
        </w:tc>
        <w:tc>
          <w:tcPr>
            <w:tcW w:w="1410" w:type="dxa"/>
            <w:tcMar>
              <w:left w:w="70" w:type="dxa"/>
              <w:right w:w="70" w:type="dxa"/>
            </w:tcMar>
            <w:vAlign w:val="center"/>
          </w:tcPr>
          <w:p w14:paraId="743DC592" w14:textId="77777777" w:rsidR="00E66886" w:rsidRPr="00B450EB" w:rsidRDefault="00E66886">
            <w:pPr>
              <w:spacing w:after="0" w:line="240" w:lineRule="auto"/>
              <w:jc w:val="center"/>
              <w:rPr>
                <w:rFonts w:cs="Arial"/>
                <w:sz w:val="18"/>
                <w:szCs w:val="18"/>
              </w:rPr>
            </w:pPr>
            <w:r w:rsidRPr="00B450EB">
              <w:rPr>
                <w:rFonts w:eastAsia="Arial" w:cs="Arial"/>
                <w:sz w:val="18"/>
                <w:szCs w:val="18"/>
              </w:rPr>
              <w:t>6.916,06</w:t>
            </w:r>
          </w:p>
        </w:tc>
        <w:tc>
          <w:tcPr>
            <w:tcW w:w="2640" w:type="dxa"/>
            <w:tcMar>
              <w:left w:w="70" w:type="dxa"/>
              <w:right w:w="70" w:type="dxa"/>
            </w:tcMar>
            <w:vAlign w:val="center"/>
          </w:tcPr>
          <w:p w14:paraId="00D16A87" w14:textId="77777777" w:rsidR="00E66886" w:rsidRPr="00B450EB" w:rsidRDefault="00E66886">
            <w:pPr>
              <w:spacing w:after="0" w:line="240" w:lineRule="auto"/>
              <w:jc w:val="center"/>
              <w:rPr>
                <w:rFonts w:cs="Arial"/>
                <w:sz w:val="18"/>
                <w:szCs w:val="18"/>
              </w:rPr>
            </w:pPr>
            <w:proofErr w:type="spellStart"/>
            <w:r w:rsidRPr="00B450EB">
              <w:rPr>
                <w:rFonts w:eastAsia="Arial" w:cs="Arial"/>
                <w:sz w:val="18"/>
                <w:szCs w:val="18"/>
              </w:rPr>
              <w:t>MinAmbiente</w:t>
            </w:r>
            <w:proofErr w:type="spellEnd"/>
          </w:p>
        </w:tc>
      </w:tr>
      <w:tr w:rsidR="00205915" w:rsidRPr="00B450EB" w14:paraId="25DE7F9E" w14:textId="77777777">
        <w:trPr>
          <w:trHeight w:val="285"/>
        </w:trPr>
        <w:tc>
          <w:tcPr>
            <w:tcW w:w="1500" w:type="dxa"/>
            <w:vMerge/>
            <w:vAlign w:val="center"/>
          </w:tcPr>
          <w:p w14:paraId="2F8C6AD1" w14:textId="77777777" w:rsidR="00E66886" w:rsidRPr="00B450EB" w:rsidRDefault="00E66886">
            <w:pPr>
              <w:spacing w:line="240" w:lineRule="auto"/>
              <w:rPr>
                <w:rFonts w:cs="Arial"/>
                <w:sz w:val="18"/>
                <w:szCs w:val="18"/>
              </w:rPr>
            </w:pPr>
          </w:p>
        </w:tc>
        <w:tc>
          <w:tcPr>
            <w:tcW w:w="3285" w:type="dxa"/>
            <w:tcMar>
              <w:left w:w="70" w:type="dxa"/>
              <w:right w:w="70" w:type="dxa"/>
            </w:tcMar>
            <w:vAlign w:val="center"/>
          </w:tcPr>
          <w:p w14:paraId="38EAAD77" w14:textId="77777777" w:rsidR="00E66886" w:rsidRPr="00B450EB" w:rsidRDefault="00E66886">
            <w:pPr>
              <w:spacing w:after="0" w:line="240" w:lineRule="auto"/>
              <w:jc w:val="center"/>
              <w:rPr>
                <w:rFonts w:cs="Arial"/>
                <w:sz w:val="18"/>
                <w:szCs w:val="18"/>
              </w:rPr>
            </w:pPr>
            <w:r w:rsidRPr="00B450EB">
              <w:rPr>
                <w:rFonts w:eastAsia="Arial" w:cs="Arial"/>
                <w:sz w:val="18"/>
                <w:szCs w:val="18"/>
              </w:rPr>
              <w:t xml:space="preserve">Serranía La </w:t>
            </w:r>
            <w:proofErr w:type="spellStart"/>
            <w:r w:rsidRPr="00B450EB">
              <w:rPr>
                <w:rFonts w:eastAsia="Arial" w:cs="Arial"/>
                <w:sz w:val="18"/>
                <w:szCs w:val="18"/>
              </w:rPr>
              <w:t>Lindosa</w:t>
            </w:r>
            <w:proofErr w:type="spellEnd"/>
            <w:r w:rsidRPr="00B450EB">
              <w:rPr>
                <w:rFonts w:eastAsia="Arial" w:cs="Arial"/>
                <w:sz w:val="18"/>
                <w:szCs w:val="18"/>
              </w:rPr>
              <w:t xml:space="preserve"> - Angosturas II</w:t>
            </w:r>
          </w:p>
        </w:tc>
        <w:tc>
          <w:tcPr>
            <w:tcW w:w="1410" w:type="dxa"/>
            <w:tcMar>
              <w:left w:w="70" w:type="dxa"/>
              <w:right w:w="70" w:type="dxa"/>
            </w:tcMar>
            <w:vAlign w:val="center"/>
          </w:tcPr>
          <w:p w14:paraId="1E0D8A65" w14:textId="77777777" w:rsidR="00E66886" w:rsidRPr="00B450EB" w:rsidRDefault="00E66886">
            <w:pPr>
              <w:spacing w:after="0" w:line="240" w:lineRule="auto"/>
              <w:jc w:val="center"/>
              <w:rPr>
                <w:rFonts w:cs="Arial"/>
                <w:sz w:val="18"/>
                <w:szCs w:val="18"/>
              </w:rPr>
            </w:pPr>
            <w:r w:rsidRPr="00B450EB">
              <w:rPr>
                <w:rFonts w:eastAsia="Arial" w:cs="Arial"/>
                <w:sz w:val="18"/>
                <w:szCs w:val="18"/>
              </w:rPr>
              <w:t>28.224,06</w:t>
            </w:r>
          </w:p>
        </w:tc>
        <w:tc>
          <w:tcPr>
            <w:tcW w:w="2640" w:type="dxa"/>
            <w:tcMar>
              <w:left w:w="70" w:type="dxa"/>
              <w:right w:w="70" w:type="dxa"/>
            </w:tcMar>
            <w:vAlign w:val="center"/>
          </w:tcPr>
          <w:p w14:paraId="08830835" w14:textId="77777777" w:rsidR="00E66886" w:rsidRPr="00B450EB" w:rsidRDefault="00E66886">
            <w:pPr>
              <w:spacing w:after="0" w:line="240" w:lineRule="auto"/>
              <w:jc w:val="center"/>
              <w:rPr>
                <w:rFonts w:cs="Arial"/>
                <w:sz w:val="18"/>
                <w:szCs w:val="18"/>
              </w:rPr>
            </w:pPr>
            <w:proofErr w:type="spellStart"/>
            <w:r w:rsidRPr="00B450EB">
              <w:rPr>
                <w:rFonts w:eastAsia="Arial" w:cs="Arial"/>
                <w:sz w:val="18"/>
                <w:szCs w:val="18"/>
              </w:rPr>
              <w:t>MinAmbiente</w:t>
            </w:r>
            <w:proofErr w:type="spellEnd"/>
          </w:p>
        </w:tc>
      </w:tr>
      <w:tr w:rsidR="00205915" w:rsidRPr="00B450EB" w14:paraId="0A9136CC" w14:textId="77777777">
        <w:trPr>
          <w:trHeight w:val="285"/>
        </w:trPr>
        <w:tc>
          <w:tcPr>
            <w:tcW w:w="4785" w:type="dxa"/>
            <w:gridSpan w:val="2"/>
            <w:tcMar>
              <w:left w:w="70" w:type="dxa"/>
              <w:right w:w="70" w:type="dxa"/>
            </w:tcMar>
            <w:vAlign w:val="center"/>
          </w:tcPr>
          <w:p w14:paraId="63D2AA3C"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Subtotal</w:t>
            </w:r>
          </w:p>
        </w:tc>
        <w:tc>
          <w:tcPr>
            <w:tcW w:w="1410" w:type="dxa"/>
            <w:tcMar>
              <w:left w:w="70" w:type="dxa"/>
              <w:right w:w="70" w:type="dxa"/>
            </w:tcMar>
            <w:vAlign w:val="center"/>
          </w:tcPr>
          <w:p w14:paraId="23D9B7D6"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122.667,64</w:t>
            </w:r>
          </w:p>
        </w:tc>
        <w:tc>
          <w:tcPr>
            <w:tcW w:w="2640" w:type="dxa"/>
            <w:tcMar>
              <w:left w:w="70" w:type="dxa"/>
              <w:right w:w="70" w:type="dxa"/>
            </w:tcMar>
            <w:vAlign w:val="center"/>
          </w:tcPr>
          <w:p w14:paraId="726E3FC4" w14:textId="77777777" w:rsidR="00E66886" w:rsidRPr="00B450EB" w:rsidRDefault="00E66886">
            <w:pPr>
              <w:spacing w:line="240" w:lineRule="auto"/>
              <w:rPr>
                <w:rFonts w:cs="Arial"/>
                <w:sz w:val="18"/>
                <w:szCs w:val="18"/>
              </w:rPr>
            </w:pPr>
          </w:p>
        </w:tc>
      </w:tr>
      <w:tr w:rsidR="00205915" w:rsidRPr="00B450EB" w14:paraId="63ED2091" w14:textId="77777777">
        <w:trPr>
          <w:trHeight w:val="285"/>
        </w:trPr>
        <w:tc>
          <w:tcPr>
            <w:tcW w:w="1500" w:type="dxa"/>
            <w:vMerge w:val="restart"/>
            <w:shd w:val="clear" w:color="auto" w:fill="FEA733"/>
            <w:tcMar>
              <w:left w:w="70" w:type="dxa"/>
              <w:right w:w="70" w:type="dxa"/>
            </w:tcMar>
            <w:vAlign w:val="center"/>
          </w:tcPr>
          <w:p w14:paraId="7FEFD57F" w14:textId="77777777" w:rsidR="00E66886" w:rsidRPr="00B450EB" w:rsidRDefault="00E66886">
            <w:pPr>
              <w:spacing w:after="0" w:line="240" w:lineRule="auto"/>
              <w:jc w:val="center"/>
              <w:rPr>
                <w:rFonts w:cs="Arial"/>
                <w:sz w:val="18"/>
                <w:szCs w:val="18"/>
              </w:rPr>
            </w:pPr>
            <w:r w:rsidRPr="00B450EB">
              <w:rPr>
                <w:rFonts w:eastAsia="Arial" w:cs="Arial"/>
                <w:sz w:val="18"/>
                <w:szCs w:val="18"/>
              </w:rPr>
              <w:t>Reservas Forestales Protectoras Regionales</w:t>
            </w:r>
          </w:p>
        </w:tc>
        <w:tc>
          <w:tcPr>
            <w:tcW w:w="3285" w:type="dxa"/>
            <w:tcMar>
              <w:left w:w="70" w:type="dxa"/>
              <w:right w:w="70" w:type="dxa"/>
            </w:tcMar>
            <w:vAlign w:val="center"/>
          </w:tcPr>
          <w:p w14:paraId="2EDE5B7B" w14:textId="77777777" w:rsidR="00E66886" w:rsidRPr="00B450EB" w:rsidRDefault="00E66886">
            <w:pPr>
              <w:spacing w:after="0" w:line="240" w:lineRule="auto"/>
              <w:jc w:val="center"/>
              <w:rPr>
                <w:rFonts w:cs="Arial"/>
                <w:sz w:val="18"/>
                <w:szCs w:val="18"/>
              </w:rPr>
            </w:pPr>
            <w:r w:rsidRPr="00B450EB">
              <w:rPr>
                <w:rFonts w:eastAsia="Arial" w:cs="Arial"/>
                <w:sz w:val="18"/>
                <w:szCs w:val="18"/>
              </w:rPr>
              <w:t>Serranía la Vieja</w:t>
            </w:r>
          </w:p>
        </w:tc>
        <w:tc>
          <w:tcPr>
            <w:tcW w:w="1410" w:type="dxa"/>
            <w:tcMar>
              <w:left w:w="70" w:type="dxa"/>
              <w:right w:w="70" w:type="dxa"/>
            </w:tcMar>
            <w:vAlign w:val="center"/>
          </w:tcPr>
          <w:p w14:paraId="2368385B" w14:textId="77777777" w:rsidR="00E66886" w:rsidRPr="00B450EB" w:rsidRDefault="00E66886">
            <w:pPr>
              <w:spacing w:after="0" w:line="240" w:lineRule="auto"/>
              <w:jc w:val="center"/>
              <w:rPr>
                <w:rFonts w:cs="Arial"/>
                <w:sz w:val="18"/>
                <w:szCs w:val="18"/>
              </w:rPr>
            </w:pPr>
            <w:r w:rsidRPr="00B450EB">
              <w:rPr>
                <w:rFonts w:eastAsia="Arial" w:cs="Arial"/>
                <w:sz w:val="18"/>
                <w:szCs w:val="18"/>
              </w:rPr>
              <w:t>558,80</w:t>
            </w:r>
          </w:p>
        </w:tc>
        <w:tc>
          <w:tcPr>
            <w:tcW w:w="2640" w:type="dxa"/>
            <w:tcMar>
              <w:left w:w="70" w:type="dxa"/>
              <w:right w:w="70" w:type="dxa"/>
            </w:tcMar>
            <w:vAlign w:val="center"/>
          </w:tcPr>
          <w:p w14:paraId="7046B726" w14:textId="77777777" w:rsidR="00E66886" w:rsidRPr="00B450EB" w:rsidRDefault="00E66886">
            <w:pPr>
              <w:spacing w:after="0" w:line="240" w:lineRule="auto"/>
              <w:jc w:val="center"/>
              <w:rPr>
                <w:rFonts w:cs="Arial"/>
                <w:sz w:val="18"/>
                <w:szCs w:val="18"/>
              </w:rPr>
            </w:pPr>
            <w:r w:rsidRPr="00B450EB">
              <w:rPr>
                <w:rFonts w:eastAsia="Arial" w:cs="Arial"/>
                <w:sz w:val="18"/>
                <w:szCs w:val="18"/>
              </w:rPr>
              <w:t>Corporación Autónoma Regional del Cauca</w:t>
            </w:r>
          </w:p>
        </w:tc>
      </w:tr>
      <w:tr w:rsidR="00205915" w:rsidRPr="00B450EB" w14:paraId="3AA9A3C2" w14:textId="77777777">
        <w:trPr>
          <w:trHeight w:val="285"/>
        </w:trPr>
        <w:tc>
          <w:tcPr>
            <w:tcW w:w="1500" w:type="dxa"/>
            <w:vMerge/>
            <w:vAlign w:val="center"/>
          </w:tcPr>
          <w:p w14:paraId="1B074CF2" w14:textId="77777777" w:rsidR="00E66886" w:rsidRPr="00B450EB" w:rsidRDefault="00E66886">
            <w:pPr>
              <w:spacing w:line="240" w:lineRule="auto"/>
              <w:rPr>
                <w:rFonts w:cs="Arial"/>
                <w:sz w:val="18"/>
                <w:szCs w:val="18"/>
              </w:rPr>
            </w:pPr>
          </w:p>
        </w:tc>
        <w:tc>
          <w:tcPr>
            <w:tcW w:w="3285" w:type="dxa"/>
            <w:tcMar>
              <w:left w:w="70" w:type="dxa"/>
              <w:right w:w="70" w:type="dxa"/>
            </w:tcMar>
            <w:vAlign w:val="center"/>
          </w:tcPr>
          <w:p w14:paraId="021F9378" w14:textId="77777777" w:rsidR="00E66886" w:rsidRPr="00B450EB" w:rsidRDefault="00E66886">
            <w:pPr>
              <w:spacing w:after="0" w:line="240" w:lineRule="auto"/>
              <w:jc w:val="center"/>
              <w:rPr>
                <w:rFonts w:cs="Arial"/>
                <w:sz w:val="18"/>
                <w:szCs w:val="18"/>
              </w:rPr>
            </w:pPr>
            <w:proofErr w:type="spellStart"/>
            <w:r w:rsidRPr="00B450EB">
              <w:rPr>
                <w:rFonts w:eastAsia="Arial" w:cs="Arial"/>
                <w:sz w:val="18"/>
                <w:szCs w:val="18"/>
              </w:rPr>
              <w:t>Verdeyaco</w:t>
            </w:r>
            <w:proofErr w:type="spellEnd"/>
            <w:r w:rsidRPr="00B450EB">
              <w:rPr>
                <w:rFonts w:eastAsia="Arial" w:cs="Arial"/>
                <w:sz w:val="18"/>
                <w:szCs w:val="18"/>
              </w:rPr>
              <w:t xml:space="preserve"> el Oxigeno</w:t>
            </w:r>
          </w:p>
        </w:tc>
        <w:tc>
          <w:tcPr>
            <w:tcW w:w="1410" w:type="dxa"/>
            <w:tcMar>
              <w:left w:w="70" w:type="dxa"/>
              <w:right w:w="70" w:type="dxa"/>
            </w:tcMar>
            <w:vAlign w:val="center"/>
          </w:tcPr>
          <w:p w14:paraId="106914E0" w14:textId="77777777" w:rsidR="00E66886" w:rsidRPr="00B450EB" w:rsidRDefault="00E66886">
            <w:pPr>
              <w:spacing w:after="0" w:line="240" w:lineRule="auto"/>
              <w:jc w:val="center"/>
              <w:rPr>
                <w:rFonts w:cs="Arial"/>
                <w:sz w:val="18"/>
                <w:szCs w:val="18"/>
              </w:rPr>
            </w:pPr>
            <w:r w:rsidRPr="00B450EB">
              <w:rPr>
                <w:rFonts w:eastAsia="Arial" w:cs="Arial"/>
                <w:sz w:val="18"/>
                <w:szCs w:val="18"/>
              </w:rPr>
              <w:t>293,73</w:t>
            </w:r>
          </w:p>
        </w:tc>
        <w:tc>
          <w:tcPr>
            <w:tcW w:w="2640" w:type="dxa"/>
            <w:tcMar>
              <w:left w:w="70" w:type="dxa"/>
              <w:right w:w="70" w:type="dxa"/>
            </w:tcMar>
            <w:vAlign w:val="center"/>
          </w:tcPr>
          <w:p w14:paraId="2A528449" w14:textId="77777777" w:rsidR="00E66886" w:rsidRPr="00B450EB" w:rsidRDefault="00E66886">
            <w:pPr>
              <w:spacing w:after="0" w:line="240" w:lineRule="auto"/>
              <w:jc w:val="center"/>
              <w:rPr>
                <w:rFonts w:cs="Arial"/>
                <w:sz w:val="18"/>
                <w:szCs w:val="18"/>
              </w:rPr>
            </w:pPr>
            <w:r w:rsidRPr="00B450EB">
              <w:rPr>
                <w:rFonts w:eastAsia="Arial" w:cs="Arial"/>
                <w:sz w:val="18"/>
                <w:szCs w:val="18"/>
              </w:rPr>
              <w:t>Corporación Autónoma Regional del Cauca</w:t>
            </w:r>
          </w:p>
        </w:tc>
      </w:tr>
      <w:tr w:rsidR="00205915" w:rsidRPr="00B450EB" w14:paraId="38F513D1" w14:textId="77777777">
        <w:trPr>
          <w:trHeight w:val="285"/>
        </w:trPr>
        <w:tc>
          <w:tcPr>
            <w:tcW w:w="4785" w:type="dxa"/>
            <w:gridSpan w:val="2"/>
            <w:tcMar>
              <w:left w:w="70" w:type="dxa"/>
              <w:right w:w="70" w:type="dxa"/>
            </w:tcMar>
            <w:vAlign w:val="center"/>
          </w:tcPr>
          <w:p w14:paraId="18FC2F02"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Subtotal</w:t>
            </w:r>
          </w:p>
        </w:tc>
        <w:tc>
          <w:tcPr>
            <w:tcW w:w="1410" w:type="dxa"/>
            <w:tcMar>
              <w:left w:w="70" w:type="dxa"/>
              <w:right w:w="70" w:type="dxa"/>
            </w:tcMar>
            <w:vAlign w:val="center"/>
          </w:tcPr>
          <w:p w14:paraId="1DA417ED"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852,52</w:t>
            </w:r>
          </w:p>
        </w:tc>
        <w:tc>
          <w:tcPr>
            <w:tcW w:w="2640" w:type="dxa"/>
            <w:tcMar>
              <w:left w:w="70" w:type="dxa"/>
              <w:right w:w="70" w:type="dxa"/>
            </w:tcMar>
            <w:vAlign w:val="center"/>
          </w:tcPr>
          <w:p w14:paraId="3B369B6A" w14:textId="77777777" w:rsidR="00E66886" w:rsidRPr="00B450EB" w:rsidRDefault="00E66886">
            <w:pPr>
              <w:spacing w:line="240" w:lineRule="auto"/>
              <w:rPr>
                <w:rFonts w:cs="Arial"/>
                <w:sz w:val="18"/>
                <w:szCs w:val="18"/>
              </w:rPr>
            </w:pPr>
          </w:p>
        </w:tc>
      </w:tr>
      <w:tr w:rsidR="00205915" w:rsidRPr="00B450EB" w14:paraId="512E5AD4" w14:textId="77777777">
        <w:trPr>
          <w:trHeight w:val="285"/>
        </w:trPr>
        <w:tc>
          <w:tcPr>
            <w:tcW w:w="1500" w:type="dxa"/>
            <w:shd w:val="clear" w:color="auto" w:fill="96A5F8"/>
            <w:tcMar>
              <w:left w:w="70" w:type="dxa"/>
              <w:right w:w="70" w:type="dxa"/>
            </w:tcMar>
            <w:vAlign w:val="center"/>
          </w:tcPr>
          <w:p w14:paraId="2D05F864" w14:textId="77777777" w:rsidR="00E66886" w:rsidRPr="00B450EB" w:rsidRDefault="00E66886">
            <w:pPr>
              <w:spacing w:after="0" w:line="240" w:lineRule="auto"/>
              <w:jc w:val="center"/>
              <w:rPr>
                <w:rFonts w:cs="Arial"/>
                <w:sz w:val="18"/>
                <w:szCs w:val="18"/>
              </w:rPr>
            </w:pPr>
            <w:r w:rsidRPr="00B450EB">
              <w:rPr>
                <w:rFonts w:eastAsia="Arial" w:cs="Arial"/>
                <w:sz w:val="18"/>
                <w:szCs w:val="18"/>
              </w:rPr>
              <w:t>Reservas Naturales de la Sociedad Civil</w:t>
            </w:r>
          </w:p>
        </w:tc>
        <w:tc>
          <w:tcPr>
            <w:tcW w:w="3285" w:type="dxa"/>
            <w:tcMar>
              <w:left w:w="70" w:type="dxa"/>
              <w:right w:w="70" w:type="dxa"/>
            </w:tcMar>
            <w:vAlign w:val="center"/>
          </w:tcPr>
          <w:p w14:paraId="5916E865" w14:textId="77777777" w:rsidR="00E66886" w:rsidRPr="00B450EB" w:rsidRDefault="00E66886">
            <w:pPr>
              <w:spacing w:after="0" w:line="240" w:lineRule="auto"/>
              <w:jc w:val="center"/>
              <w:rPr>
                <w:rFonts w:cs="Arial"/>
                <w:sz w:val="18"/>
                <w:szCs w:val="18"/>
              </w:rPr>
            </w:pPr>
            <w:r w:rsidRPr="00B450EB">
              <w:rPr>
                <w:rFonts w:eastAsia="Arial" w:cs="Arial"/>
                <w:sz w:val="18"/>
                <w:szCs w:val="18"/>
              </w:rPr>
              <w:t>Dentro del límite del Bioma Amazónica. se cruza con 114 Reservas Naturales de la Sociedad Civil</w:t>
            </w:r>
          </w:p>
        </w:tc>
        <w:tc>
          <w:tcPr>
            <w:tcW w:w="1410" w:type="dxa"/>
            <w:tcMar>
              <w:left w:w="70" w:type="dxa"/>
              <w:right w:w="70" w:type="dxa"/>
            </w:tcMar>
            <w:vAlign w:val="center"/>
          </w:tcPr>
          <w:p w14:paraId="5EDE6340" w14:textId="77777777" w:rsidR="00E66886" w:rsidRPr="00B450EB" w:rsidRDefault="00E66886">
            <w:pPr>
              <w:spacing w:after="0" w:line="240" w:lineRule="auto"/>
              <w:jc w:val="center"/>
              <w:rPr>
                <w:rFonts w:cs="Arial"/>
                <w:sz w:val="18"/>
                <w:szCs w:val="18"/>
              </w:rPr>
            </w:pPr>
            <w:r w:rsidRPr="00B450EB">
              <w:rPr>
                <w:rFonts w:eastAsia="Arial" w:cs="Arial"/>
                <w:sz w:val="18"/>
                <w:szCs w:val="18"/>
              </w:rPr>
              <w:t>8.519,31</w:t>
            </w:r>
          </w:p>
        </w:tc>
        <w:tc>
          <w:tcPr>
            <w:tcW w:w="2640" w:type="dxa"/>
            <w:tcMar>
              <w:left w:w="70" w:type="dxa"/>
              <w:right w:w="70" w:type="dxa"/>
            </w:tcMar>
            <w:vAlign w:val="center"/>
          </w:tcPr>
          <w:p w14:paraId="1492720F" w14:textId="3EF09800" w:rsidR="00E66886" w:rsidRPr="00B450EB" w:rsidRDefault="00942D2B">
            <w:pPr>
              <w:spacing w:after="0" w:line="240" w:lineRule="auto"/>
              <w:jc w:val="center"/>
              <w:rPr>
                <w:rFonts w:cs="Arial"/>
                <w:sz w:val="18"/>
                <w:szCs w:val="18"/>
              </w:rPr>
            </w:pPr>
            <w:r w:rsidRPr="00B450EB">
              <w:rPr>
                <w:rFonts w:eastAsia="Arial" w:cs="Arial"/>
                <w:sz w:val="18"/>
                <w:szCs w:val="18"/>
              </w:rPr>
              <w:t>Parques Nacionales Naturales</w:t>
            </w:r>
          </w:p>
        </w:tc>
      </w:tr>
      <w:tr w:rsidR="00205915" w:rsidRPr="00B450EB" w14:paraId="211CD8BA" w14:textId="77777777">
        <w:trPr>
          <w:trHeight w:val="300"/>
        </w:trPr>
        <w:tc>
          <w:tcPr>
            <w:tcW w:w="4785" w:type="dxa"/>
            <w:gridSpan w:val="2"/>
            <w:tcMar>
              <w:left w:w="70" w:type="dxa"/>
              <w:right w:w="70" w:type="dxa"/>
            </w:tcMar>
            <w:vAlign w:val="center"/>
          </w:tcPr>
          <w:p w14:paraId="7A5F4563"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Subtotal</w:t>
            </w:r>
          </w:p>
        </w:tc>
        <w:tc>
          <w:tcPr>
            <w:tcW w:w="1410" w:type="dxa"/>
            <w:tcMar>
              <w:left w:w="70" w:type="dxa"/>
              <w:right w:w="70" w:type="dxa"/>
            </w:tcMar>
            <w:vAlign w:val="center"/>
          </w:tcPr>
          <w:p w14:paraId="33F5E705" w14:textId="77777777" w:rsidR="00E66886" w:rsidRPr="00B450EB" w:rsidRDefault="00E66886">
            <w:pPr>
              <w:spacing w:after="0" w:line="240" w:lineRule="auto"/>
              <w:jc w:val="center"/>
              <w:rPr>
                <w:rFonts w:cs="Arial"/>
                <w:sz w:val="18"/>
                <w:szCs w:val="18"/>
              </w:rPr>
            </w:pPr>
            <w:r w:rsidRPr="00B450EB">
              <w:rPr>
                <w:rFonts w:eastAsia="Arial" w:cs="Arial"/>
                <w:b/>
                <w:bCs/>
                <w:sz w:val="18"/>
                <w:szCs w:val="18"/>
              </w:rPr>
              <w:t>8.519.31</w:t>
            </w:r>
          </w:p>
        </w:tc>
        <w:tc>
          <w:tcPr>
            <w:tcW w:w="2640" w:type="dxa"/>
            <w:tcMar>
              <w:left w:w="70" w:type="dxa"/>
              <w:right w:w="70" w:type="dxa"/>
            </w:tcMar>
            <w:vAlign w:val="center"/>
          </w:tcPr>
          <w:p w14:paraId="7BAC6EA0" w14:textId="77777777" w:rsidR="00E66886" w:rsidRPr="00B450EB" w:rsidRDefault="00E66886">
            <w:pPr>
              <w:spacing w:line="240" w:lineRule="auto"/>
              <w:rPr>
                <w:rFonts w:cs="Arial"/>
                <w:sz w:val="18"/>
                <w:szCs w:val="18"/>
              </w:rPr>
            </w:pPr>
          </w:p>
        </w:tc>
      </w:tr>
      <w:tr w:rsidR="00205915" w:rsidRPr="00B450EB" w14:paraId="3A3D4E1E" w14:textId="77777777">
        <w:trPr>
          <w:trHeight w:val="300"/>
        </w:trPr>
        <w:tc>
          <w:tcPr>
            <w:tcW w:w="4785" w:type="dxa"/>
            <w:gridSpan w:val="2"/>
            <w:tcMar>
              <w:left w:w="70" w:type="dxa"/>
              <w:right w:w="70" w:type="dxa"/>
            </w:tcMar>
            <w:vAlign w:val="center"/>
          </w:tcPr>
          <w:p w14:paraId="6AB320EC" w14:textId="77777777" w:rsidR="00E66886" w:rsidRPr="00B450EB" w:rsidRDefault="00E66886">
            <w:pPr>
              <w:spacing w:after="0" w:line="240" w:lineRule="auto"/>
              <w:jc w:val="center"/>
              <w:rPr>
                <w:rFonts w:cs="Arial"/>
                <w:sz w:val="18"/>
                <w:szCs w:val="18"/>
              </w:rPr>
            </w:pPr>
            <w:r w:rsidRPr="00B450EB">
              <w:rPr>
                <w:rFonts w:eastAsia="Arial" w:cs="Arial"/>
                <w:b/>
                <w:bCs/>
                <w:sz w:val="18"/>
                <w:szCs w:val="18"/>
                <w:lang w:val="es"/>
              </w:rPr>
              <w:lastRenderedPageBreak/>
              <w:t>Total</w:t>
            </w:r>
          </w:p>
        </w:tc>
        <w:tc>
          <w:tcPr>
            <w:tcW w:w="1410" w:type="dxa"/>
            <w:tcMar>
              <w:left w:w="70" w:type="dxa"/>
              <w:right w:w="70" w:type="dxa"/>
            </w:tcMar>
            <w:vAlign w:val="center"/>
          </w:tcPr>
          <w:p w14:paraId="7502F744" w14:textId="77777777" w:rsidR="00E66886" w:rsidRPr="00B450EB" w:rsidRDefault="00E66886">
            <w:pPr>
              <w:spacing w:after="0" w:line="240" w:lineRule="auto"/>
              <w:jc w:val="center"/>
              <w:rPr>
                <w:rFonts w:cs="Arial"/>
                <w:sz w:val="18"/>
                <w:szCs w:val="18"/>
              </w:rPr>
            </w:pPr>
            <w:r w:rsidRPr="00B450EB">
              <w:rPr>
                <w:rFonts w:eastAsia="Arial" w:cs="Arial"/>
                <w:b/>
                <w:sz w:val="18"/>
                <w:szCs w:val="18"/>
              </w:rPr>
              <w:t>11.143.838,8</w:t>
            </w:r>
          </w:p>
        </w:tc>
        <w:tc>
          <w:tcPr>
            <w:tcW w:w="2640" w:type="dxa"/>
            <w:tcMar>
              <w:left w:w="70" w:type="dxa"/>
              <w:right w:w="70" w:type="dxa"/>
            </w:tcMar>
            <w:vAlign w:val="center"/>
          </w:tcPr>
          <w:p w14:paraId="0DD4DD5F" w14:textId="77777777" w:rsidR="00E66886" w:rsidRPr="00B450EB" w:rsidRDefault="00E66886">
            <w:pPr>
              <w:spacing w:line="240" w:lineRule="auto"/>
              <w:rPr>
                <w:rFonts w:cs="Arial"/>
                <w:sz w:val="18"/>
                <w:szCs w:val="18"/>
              </w:rPr>
            </w:pPr>
          </w:p>
        </w:tc>
      </w:tr>
    </w:tbl>
    <w:p w14:paraId="5CEAAF1C" w14:textId="2AA47A2C" w:rsidR="00E66886" w:rsidRPr="00B450EB" w:rsidRDefault="00E66886" w:rsidP="00E66886">
      <w:pPr>
        <w:spacing w:line="276" w:lineRule="auto"/>
        <w:jc w:val="center"/>
      </w:pPr>
      <w:r w:rsidRPr="00B450EB">
        <w:rPr>
          <w:rFonts w:eastAsia="Arial" w:cs="Arial"/>
          <w:sz w:val="18"/>
          <w:szCs w:val="18"/>
        </w:rPr>
        <w:t xml:space="preserve">Fuente: Elaboración propia a partir de información del RUNAP y </w:t>
      </w:r>
      <w:proofErr w:type="spellStart"/>
      <w:r w:rsidRPr="00B450EB">
        <w:rPr>
          <w:rFonts w:eastAsia="Arial" w:cs="Arial"/>
          <w:sz w:val="18"/>
          <w:szCs w:val="18"/>
        </w:rPr>
        <w:t>MinAmbiente</w:t>
      </w:r>
      <w:proofErr w:type="spellEnd"/>
      <w:r w:rsidRPr="00B450EB">
        <w:rPr>
          <w:rFonts w:eastAsia="Arial" w:cs="Arial"/>
          <w:sz w:val="18"/>
          <w:szCs w:val="18"/>
        </w:rPr>
        <w:t>, 2025</w:t>
      </w:r>
      <w:r w:rsidR="007E3128" w:rsidRPr="00B450EB">
        <w:rPr>
          <w:rFonts w:eastAsia="Arial" w:cs="Arial"/>
          <w:sz w:val="18"/>
          <w:szCs w:val="18"/>
        </w:rPr>
        <w:t>.</w:t>
      </w:r>
    </w:p>
    <w:p w14:paraId="324CB9B0" w14:textId="77777777" w:rsidR="00E66886" w:rsidRPr="00B450EB" w:rsidRDefault="00E66886" w:rsidP="00E66886">
      <w:pPr>
        <w:spacing w:line="276" w:lineRule="auto"/>
      </w:pPr>
      <w:r w:rsidRPr="00B450EB">
        <w:rPr>
          <w:rFonts w:eastAsia="Arial" w:cs="Arial"/>
        </w:rPr>
        <w:t xml:space="preserve">Las principales áreas protegidas de la Amazonía colombiana incluyen el Parque Nacional Natural Serranía de Chiribiquete, el Parque Nacional Natural </w:t>
      </w:r>
      <w:proofErr w:type="spellStart"/>
      <w:r w:rsidRPr="00B450EB">
        <w:rPr>
          <w:rFonts w:eastAsia="Arial" w:cs="Arial"/>
        </w:rPr>
        <w:t>Yaigojé</w:t>
      </w:r>
      <w:proofErr w:type="spellEnd"/>
      <w:r w:rsidRPr="00B450EB">
        <w:rPr>
          <w:rFonts w:eastAsia="Arial" w:cs="Arial"/>
        </w:rPr>
        <w:t xml:space="preserve"> Apaporis, el Parque Nacional Natural Amacayacu, y el Parque Nacional Natural Río Puré, entre otros Parques Nacionales Naturales (PNN) y Reservas Nacionales Naturales (RNN) como la Reserva Nacional Natural </w:t>
      </w:r>
      <w:proofErr w:type="spellStart"/>
      <w:r w:rsidRPr="00B450EB">
        <w:rPr>
          <w:rFonts w:eastAsia="Arial" w:cs="Arial"/>
        </w:rPr>
        <w:t>Puinawai</w:t>
      </w:r>
      <w:proofErr w:type="spellEnd"/>
      <w:r w:rsidRPr="00B450EB">
        <w:rPr>
          <w:rFonts w:eastAsia="Arial" w:cs="Arial"/>
        </w:rPr>
        <w:t xml:space="preserve">. Siendo el parque nacional natural Chiribiquete la mayor área protegida terrestre de Colombia y Patrimonio de la Humanidad, ubicada en los departamentos de Guaviare y Caquetá, alcanzando hoy una extensión de </w:t>
      </w:r>
      <w:r w:rsidRPr="00B450EB">
        <w:rPr>
          <w:rFonts w:eastAsia="Arial" w:cs="Arial"/>
          <w:b/>
          <w:bCs/>
        </w:rPr>
        <w:t>4’268.095 hectáreas</w:t>
      </w:r>
      <w:r w:rsidRPr="00B450EB">
        <w:rPr>
          <w:rFonts w:eastAsia="Arial" w:cs="Arial"/>
        </w:rPr>
        <w:t xml:space="preserve"> según resolución 1256 de 10 julio de 2018. </w:t>
      </w:r>
    </w:p>
    <w:p w14:paraId="447C59B9" w14:textId="65227BE2" w:rsidR="00E66886" w:rsidRPr="00B450EB" w:rsidRDefault="00E66886" w:rsidP="00E66886">
      <w:pPr>
        <w:spacing w:line="276" w:lineRule="auto"/>
        <w:rPr>
          <w:rFonts w:eastAsia="Arial" w:cs="Arial"/>
        </w:rPr>
      </w:pPr>
      <w:r w:rsidRPr="00B450EB">
        <w:rPr>
          <w:rFonts w:eastAsia="Arial" w:cs="Arial"/>
        </w:rPr>
        <w:t xml:space="preserve">Adicionalmente, se encuentra la Zona de Protección y Desarrollo de Recursos Naturales Renovables y del Medio Ambiente de carácter temporal, </w:t>
      </w:r>
      <w:r w:rsidRPr="00B450EB">
        <w:rPr>
          <w:rFonts w:eastAsia="Arial" w:cs="Arial"/>
          <w:b/>
          <w:bCs/>
        </w:rPr>
        <w:t>Polígono 1 de las Selvas Transicionales de Cumaribo</w:t>
      </w:r>
      <w:r w:rsidRPr="00B450EB">
        <w:rPr>
          <w:rFonts w:eastAsia="Arial" w:cs="Arial"/>
        </w:rPr>
        <w:t xml:space="preserve">, la cual forma parte de las reservas declaradas mediante la </w:t>
      </w:r>
      <w:r w:rsidRPr="00B450EB">
        <w:rPr>
          <w:rFonts w:eastAsia="Arial" w:cs="Arial"/>
          <w:b/>
          <w:bCs/>
        </w:rPr>
        <w:t>Resolución No. 1628 de 2015</w:t>
      </w:r>
      <w:r w:rsidRPr="00B450EB">
        <w:rPr>
          <w:rFonts w:eastAsia="Arial" w:cs="Arial"/>
        </w:rPr>
        <w:t xml:space="preserve">, cuya vigencia fue recientemente prorrogada por </w:t>
      </w:r>
      <w:r w:rsidRPr="00B450EB">
        <w:rPr>
          <w:rFonts w:eastAsia="Arial" w:cs="Arial"/>
          <w:b/>
          <w:bCs/>
        </w:rPr>
        <w:t>dos años</w:t>
      </w:r>
      <w:r w:rsidRPr="00B450EB">
        <w:rPr>
          <w:rFonts w:eastAsia="Arial" w:cs="Arial"/>
        </w:rPr>
        <w:t xml:space="preserve"> mediante la </w:t>
      </w:r>
      <w:r w:rsidRPr="00B450EB">
        <w:rPr>
          <w:rFonts w:eastAsia="Arial" w:cs="Arial"/>
          <w:b/>
          <w:bCs/>
        </w:rPr>
        <w:t>Resolución No. 0924 del 4 de julio de 2025</w:t>
      </w:r>
      <w:r w:rsidRPr="00B450EB">
        <w:rPr>
          <w:rFonts w:eastAsia="Arial" w:cs="Arial"/>
        </w:rPr>
        <w:t xml:space="preserve">. Esta área constituye una zona de transición entre la selva húmeda tropical y los llanos orientales, caracterizada por la presencia de bosques y sabanas con baja intervención antrópica. </w:t>
      </w:r>
    </w:p>
    <w:p w14:paraId="377813E0" w14:textId="2FD7E336" w:rsidR="00162AE9" w:rsidRPr="00B450EB" w:rsidRDefault="00E66886" w:rsidP="25EFDEFC">
      <w:pPr>
        <w:spacing w:line="276" w:lineRule="auto"/>
        <w:rPr>
          <w:rFonts w:eastAsia="Arial" w:cs="Arial"/>
        </w:rPr>
      </w:pPr>
      <w:r w:rsidRPr="00B450EB">
        <w:rPr>
          <w:rFonts w:eastAsia="Arial" w:cs="Arial"/>
        </w:rPr>
        <w:t xml:space="preserve">En el caso de las </w:t>
      </w:r>
      <w:r w:rsidRPr="00B450EB">
        <w:rPr>
          <w:rFonts w:eastAsia="Arial" w:cs="Arial"/>
          <w:b/>
          <w:bCs/>
        </w:rPr>
        <w:t>Reservas Forestales de Ley 2ª de 1959</w:t>
      </w:r>
      <w:r w:rsidRPr="00B450EB">
        <w:rPr>
          <w:rFonts w:eastAsia="Arial" w:cs="Arial"/>
        </w:rPr>
        <w:t xml:space="preserve"> en la Amazonia, la zonificación evidencia distintos niveles de restricción y uso. En primer lugar, se encuentran las </w:t>
      </w:r>
      <w:r w:rsidRPr="00B450EB">
        <w:rPr>
          <w:rFonts w:eastAsia="Arial" w:cs="Arial"/>
          <w:b/>
          <w:bCs/>
        </w:rPr>
        <w:t>áreas con previa decisión de ordenamiento c</w:t>
      </w:r>
      <w:r w:rsidRPr="00B450EB">
        <w:rPr>
          <w:rFonts w:eastAsia="Arial" w:cs="Arial"/>
        </w:rPr>
        <w:t xml:space="preserve">on una representación del </w:t>
      </w:r>
      <w:r w:rsidRPr="00B450EB">
        <w:rPr>
          <w:rFonts w:eastAsia="Arial" w:cs="Arial"/>
          <w:b/>
          <w:bCs/>
        </w:rPr>
        <w:t>72%</w:t>
      </w:r>
      <w:r w:rsidRPr="00B450EB">
        <w:rPr>
          <w:rFonts w:eastAsia="Arial" w:cs="Arial"/>
        </w:rPr>
        <w:t xml:space="preserve">, que permanecen sujetas a procesos de evaluación y concertación interinstitucional para definir su destinación futura; seguida por las </w:t>
      </w:r>
      <w:r w:rsidRPr="00B450EB">
        <w:rPr>
          <w:rFonts w:eastAsia="Arial" w:cs="Arial"/>
          <w:b/>
          <w:bCs/>
        </w:rPr>
        <w:t>áreas tipo A (10,5%), B (3,1%) y C (0.02%)</w:t>
      </w:r>
      <w:r w:rsidRPr="00B450EB">
        <w:rPr>
          <w:rFonts w:eastAsia="Arial" w:cs="Arial"/>
        </w:rPr>
        <w:t xml:space="preserve">, que corresponden a zonas con diferentes grados de restricción para actividades productivas y que priorizan la conservación y el manejo sostenible del bosque. De otro lado se destaca que el territorio amazónico también registra </w:t>
      </w:r>
      <w:r w:rsidRPr="00B450EB">
        <w:rPr>
          <w:rFonts w:eastAsia="Arial" w:cs="Arial"/>
          <w:b/>
          <w:bCs/>
        </w:rPr>
        <w:t>sustracciones definitivas (14,4%)</w:t>
      </w:r>
      <w:r w:rsidRPr="00B450EB">
        <w:rPr>
          <w:rFonts w:eastAsia="Arial" w:cs="Arial"/>
        </w:rPr>
        <w:t xml:space="preserve">, que habilitan de forma permanente la destinación del suelo a usos agropecuarios, urbanos o de infraestructura de proyectos, y </w:t>
      </w:r>
      <w:r w:rsidRPr="00B450EB">
        <w:rPr>
          <w:rFonts w:eastAsia="Arial" w:cs="Arial"/>
          <w:b/>
          <w:bCs/>
        </w:rPr>
        <w:t xml:space="preserve">sustracciones temporales </w:t>
      </w:r>
      <w:r w:rsidRPr="00B450EB">
        <w:rPr>
          <w:rFonts w:eastAsia="Arial" w:cs="Arial"/>
        </w:rPr>
        <w:t>(0,007%), que se autorizan de manera condicionada mientras se consolidan planes de ordenamiento territorial o proyectos específicos.</w:t>
      </w:r>
    </w:p>
    <w:p w14:paraId="4A0AB854" w14:textId="77777777" w:rsidR="00942D2B" w:rsidRPr="00B450EB" w:rsidRDefault="00942D2B" w:rsidP="25EFDEFC">
      <w:pPr>
        <w:spacing w:line="276" w:lineRule="auto"/>
        <w:rPr>
          <w:rFonts w:eastAsia="Arial" w:cs="Arial"/>
        </w:rPr>
      </w:pPr>
    </w:p>
    <w:p w14:paraId="0FD2CA5F" w14:textId="77777777" w:rsidR="00942D2B" w:rsidRPr="00B450EB" w:rsidRDefault="00942D2B" w:rsidP="25EFDEFC">
      <w:pPr>
        <w:spacing w:line="276" w:lineRule="auto"/>
        <w:rPr>
          <w:rFonts w:eastAsia="Arial" w:cs="Arial"/>
        </w:rPr>
      </w:pPr>
    </w:p>
    <w:p w14:paraId="070B9F12" w14:textId="77777777" w:rsidR="00942D2B" w:rsidRPr="00B450EB" w:rsidRDefault="00942D2B" w:rsidP="25EFDEFC">
      <w:pPr>
        <w:spacing w:line="276" w:lineRule="auto"/>
        <w:rPr>
          <w:rFonts w:eastAsia="Arial" w:cs="Arial"/>
        </w:rPr>
      </w:pPr>
    </w:p>
    <w:p w14:paraId="0B75604A" w14:textId="1E45535B" w:rsidR="00B0577C" w:rsidRPr="00B450EB" w:rsidRDefault="00A601EB" w:rsidP="00377AD7">
      <w:pPr>
        <w:pStyle w:val="Descripcin"/>
        <w:rPr>
          <w:color w:val="auto"/>
        </w:rPr>
      </w:pPr>
      <w:bookmarkStart w:id="14" w:name="_Toc209462695"/>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6</w:t>
      </w:r>
      <w:r w:rsidR="0045353A" w:rsidRPr="00B450EB">
        <w:rPr>
          <w:noProof/>
          <w:color w:val="auto"/>
        </w:rPr>
        <w:fldChar w:fldCharType="end"/>
      </w:r>
      <w:r w:rsidRPr="00B450EB">
        <w:rPr>
          <w:color w:val="auto"/>
        </w:rPr>
        <w:t>. Zonificaci</w:t>
      </w:r>
      <w:r w:rsidR="00D640B7" w:rsidRPr="00B450EB">
        <w:rPr>
          <w:color w:val="auto"/>
        </w:rPr>
        <w:t>ó</w:t>
      </w:r>
      <w:r w:rsidRPr="00B450EB">
        <w:rPr>
          <w:color w:val="auto"/>
        </w:rPr>
        <w:t xml:space="preserve">n de Reserva Forestal de Ley </w:t>
      </w:r>
      <w:r w:rsidR="00D640B7" w:rsidRPr="00B450EB">
        <w:rPr>
          <w:color w:val="auto"/>
        </w:rPr>
        <w:t>S</w:t>
      </w:r>
      <w:r w:rsidRPr="00B450EB">
        <w:rPr>
          <w:color w:val="auto"/>
        </w:rPr>
        <w:t>egunda de 1959</w:t>
      </w:r>
      <w:bookmarkEnd w:id="14"/>
    </w:p>
    <w:p w14:paraId="777F36D7" w14:textId="53178133" w:rsidR="00E66886" w:rsidRPr="00B450EB" w:rsidRDefault="06E2B40E" w:rsidP="00E66886">
      <w:pPr>
        <w:spacing w:after="0" w:line="276" w:lineRule="auto"/>
      </w:pPr>
      <w:r w:rsidRPr="00B450EB">
        <w:rPr>
          <w:noProof/>
        </w:rPr>
        <w:drawing>
          <wp:inline distT="0" distB="0" distL="0" distR="0" wp14:anchorId="7FA6485C" wp14:editId="293A88A5">
            <wp:extent cx="5619750" cy="4343400"/>
            <wp:effectExtent l="0" t="0" r="0" b="0"/>
            <wp:docPr id="110512321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123214" name=""/>
                    <pic:cNvPicPr/>
                  </pic:nvPicPr>
                  <pic:blipFill>
                    <a:blip r:embed="rId22" cstate="email">
                      <a:extLst>
                        <a:ext uri="{28A0092B-C50C-407E-A947-70E740481C1C}">
                          <a14:useLocalDpi xmlns:a14="http://schemas.microsoft.com/office/drawing/2010/main"/>
                        </a:ext>
                      </a:extLst>
                    </a:blip>
                    <a:stretch>
                      <a:fillRect/>
                    </a:stretch>
                  </pic:blipFill>
                  <pic:spPr>
                    <a:xfrm>
                      <a:off x="0" y="0"/>
                      <a:ext cx="5619750" cy="4343400"/>
                    </a:xfrm>
                    <a:prstGeom prst="rect">
                      <a:avLst/>
                    </a:prstGeom>
                  </pic:spPr>
                </pic:pic>
              </a:graphicData>
            </a:graphic>
          </wp:inline>
        </w:drawing>
      </w:r>
    </w:p>
    <w:p w14:paraId="6667D482" w14:textId="671E7BAB" w:rsidR="00E66886" w:rsidRPr="00B450EB" w:rsidRDefault="00E66886" w:rsidP="00E66886">
      <w:pPr>
        <w:spacing w:line="276" w:lineRule="auto"/>
        <w:jc w:val="center"/>
        <w:rPr>
          <w:rFonts w:eastAsia="Arial" w:cs="Arial"/>
          <w:sz w:val="18"/>
          <w:szCs w:val="18"/>
        </w:rPr>
      </w:pPr>
      <w:r w:rsidRPr="00B450EB">
        <w:rPr>
          <w:rFonts w:eastAsia="Arial" w:cs="Arial"/>
          <w:sz w:val="18"/>
          <w:szCs w:val="18"/>
        </w:rPr>
        <w:t xml:space="preserve">Fuente: </w:t>
      </w:r>
      <w:r w:rsidR="00D83EED" w:rsidRPr="00B450EB">
        <w:rPr>
          <w:rFonts w:eastAsia="Arial" w:cs="Arial"/>
          <w:sz w:val="18"/>
          <w:szCs w:val="18"/>
        </w:rPr>
        <w:t>Elaboración propia</w:t>
      </w:r>
      <w:r w:rsidRPr="00B450EB">
        <w:rPr>
          <w:rFonts w:eastAsia="Arial" w:cs="Arial"/>
          <w:sz w:val="18"/>
          <w:szCs w:val="18"/>
        </w:rPr>
        <w:t>, 2025</w:t>
      </w:r>
      <w:r w:rsidR="00096415" w:rsidRPr="00B450EB">
        <w:rPr>
          <w:rFonts w:eastAsia="Arial" w:cs="Arial"/>
          <w:sz w:val="18"/>
          <w:szCs w:val="18"/>
        </w:rPr>
        <w:t>.</w:t>
      </w:r>
    </w:p>
    <w:p w14:paraId="0E953E48" w14:textId="5D19F2C5" w:rsidR="0071428D" w:rsidRPr="00B450EB" w:rsidRDefault="00E66886" w:rsidP="00E66886">
      <w:pPr>
        <w:spacing w:line="276" w:lineRule="auto"/>
        <w:rPr>
          <w:rFonts w:eastAsia="Arial" w:cs="Arial"/>
        </w:rPr>
      </w:pPr>
      <w:r w:rsidRPr="00B450EB">
        <w:rPr>
          <w:rFonts w:eastAsia="Arial" w:cs="Arial"/>
        </w:rPr>
        <w:t xml:space="preserve">Finalmente, en la siguiente figura se presenta un balance de las </w:t>
      </w:r>
      <w:r w:rsidR="001C4511" w:rsidRPr="00B450EB">
        <w:rPr>
          <w:rFonts w:eastAsia="Arial" w:cs="Arial"/>
        </w:rPr>
        <w:t>áreas</w:t>
      </w:r>
      <w:r w:rsidRPr="00B450EB">
        <w:rPr>
          <w:rFonts w:eastAsia="Arial" w:cs="Arial"/>
        </w:rPr>
        <w:t xml:space="preserve"> de ordenamiento y conservación territorial en el bioma amazónico. El análisis muestra que el 51 % del área (24,7 millones de hectáreas) corresponde a Zonas de Reserva Forestal de la Ley 2ª de 1959; un 20 % (9,5 millones de hectáreas) combina esta categoría con otras Áreas Protegidas, mientras que un 3% (1,6 millones de hectáreas) está bajo figuras exclusivas de áreas protegidas. Sin embargo, el 26 % del bioma (12,5 millones de hectáreas) carece de cualquier figura de manejo definitiva, lo que evidencia la existencia de un amplio territorio sin </w:t>
      </w:r>
      <w:r w:rsidR="00FB533D" w:rsidRPr="00B450EB">
        <w:rPr>
          <w:rFonts w:eastAsia="Arial" w:cs="Arial"/>
        </w:rPr>
        <w:t xml:space="preserve">algún tipo de </w:t>
      </w:r>
      <w:r w:rsidRPr="00B450EB">
        <w:rPr>
          <w:rFonts w:eastAsia="Arial" w:cs="Arial"/>
        </w:rPr>
        <w:t>protección.</w:t>
      </w:r>
      <w:r w:rsidR="0071428D" w:rsidRPr="00B450EB">
        <w:rPr>
          <w:rFonts w:eastAsia="Arial" w:cs="Arial"/>
        </w:rPr>
        <w:t xml:space="preserve"> </w:t>
      </w:r>
    </w:p>
    <w:p w14:paraId="7CED1B69" w14:textId="77777777" w:rsidR="00224CB0" w:rsidRPr="00B450EB" w:rsidRDefault="00224CB0" w:rsidP="25EFDEFC">
      <w:pPr>
        <w:spacing w:line="276" w:lineRule="auto"/>
        <w:rPr>
          <w:rFonts w:eastAsia="Arial" w:cs="Arial"/>
        </w:rPr>
      </w:pPr>
    </w:p>
    <w:p w14:paraId="2FCABB1E" w14:textId="77777777" w:rsidR="007435DD" w:rsidRPr="00B450EB" w:rsidRDefault="007435DD" w:rsidP="25EFDEFC">
      <w:pPr>
        <w:spacing w:line="276" w:lineRule="auto"/>
        <w:rPr>
          <w:rFonts w:eastAsia="Arial" w:cs="Arial"/>
        </w:rPr>
      </w:pPr>
    </w:p>
    <w:p w14:paraId="397A3E13" w14:textId="77777777" w:rsidR="007435DD" w:rsidRPr="00B450EB" w:rsidRDefault="007435DD" w:rsidP="25EFDEFC">
      <w:pPr>
        <w:spacing w:line="276" w:lineRule="auto"/>
        <w:rPr>
          <w:rFonts w:eastAsia="Arial" w:cs="Arial"/>
        </w:rPr>
      </w:pPr>
    </w:p>
    <w:p w14:paraId="00270B89" w14:textId="77777777" w:rsidR="00224CB0" w:rsidRPr="00B450EB" w:rsidRDefault="00224CB0" w:rsidP="25EFDEFC">
      <w:pPr>
        <w:spacing w:line="276" w:lineRule="auto"/>
        <w:rPr>
          <w:rFonts w:eastAsia="Arial" w:cs="Arial"/>
        </w:rPr>
      </w:pPr>
    </w:p>
    <w:p w14:paraId="2AEE836E" w14:textId="77777777" w:rsidR="00224CB0" w:rsidRPr="00B450EB" w:rsidRDefault="00224CB0" w:rsidP="25EFDEFC">
      <w:pPr>
        <w:spacing w:line="276" w:lineRule="auto"/>
        <w:rPr>
          <w:rFonts w:eastAsia="Arial" w:cs="Arial"/>
        </w:rPr>
      </w:pPr>
    </w:p>
    <w:p w14:paraId="7FEE1664" w14:textId="279A9916" w:rsidR="00E66886" w:rsidRPr="00B450EB" w:rsidRDefault="00E66886" w:rsidP="00E66886">
      <w:pPr>
        <w:spacing w:after="0" w:line="276" w:lineRule="auto"/>
        <w:jc w:val="center"/>
        <w:rPr>
          <w:rFonts w:eastAsia="Arial" w:cs="Arial"/>
          <w:i/>
          <w:sz w:val="18"/>
          <w:szCs w:val="18"/>
        </w:rPr>
      </w:pPr>
      <w:bookmarkStart w:id="15" w:name="_Toc209462696"/>
      <w:r w:rsidRPr="00B450EB">
        <w:rPr>
          <w:rFonts w:eastAsia="Arial" w:cs="Arial"/>
          <w:i/>
          <w:sz w:val="18"/>
          <w:szCs w:val="18"/>
        </w:rPr>
        <w:t xml:space="preserve">Figura </w:t>
      </w:r>
      <w:r w:rsidRPr="00B450EB">
        <w:rPr>
          <w:rFonts w:eastAsia="Arial" w:cs="Arial"/>
          <w:i/>
          <w:sz w:val="18"/>
          <w:szCs w:val="18"/>
        </w:rPr>
        <w:fldChar w:fldCharType="begin"/>
      </w:r>
      <w:r w:rsidRPr="00B450EB">
        <w:rPr>
          <w:rFonts w:eastAsia="Arial" w:cs="Arial"/>
          <w:i/>
          <w:sz w:val="18"/>
          <w:szCs w:val="18"/>
        </w:rPr>
        <w:instrText xml:space="preserve"> SEQ Figura \* ARABIC </w:instrText>
      </w:r>
      <w:r w:rsidRPr="00B450EB">
        <w:rPr>
          <w:rFonts w:eastAsia="Arial" w:cs="Arial"/>
          <w:i/>
          <w:sz w:val="18"/>
          <w:szCs w:val="18"/>
        </w:rPr>
        <w:fldChar w:fldCharType="separate"/>
      </w:r>
      <w:r w:rsidR="00010D09" w:rsidRPr="00B450EB">
        <w:rPr>
          <w:rFonts w:eastAsia="Arial" w:cs="Arial"/>
          <w:i/>
          <w:noProof/>
          <w:sz w:val="18"/>
          <w:szCs w:val="18"/>
        </w:rPr>
        <w:t>7</w:t>
      </w:r>
      <w:r w:rsidRPr="00B450EB">
        <w:rPr>
          <w:rFonts w:eastAsia="Arial" w:cs="Arial"/>
          <w:i/>
          <w:sz w:val="18"/>
          <w:szCs w:val="18"/>
        </w:rPr>
        <w:fldChar w:fldCharType="end"/>
      </w:r>
      <w:r w:rsidRPr="00B450EB">
        <w:rPr>
          <w:rFonts w:eastAsia="Arial" w:cs="Arial"/>
          <w:i/>
          <w:sz w:val="18"/>
          <w:szCs w:val="18"/>
        </w:rPr>
        <w:t xml:space="preserve"> Estado de figuras de Restricción Legal</w:t>
      </w:r>
      <w:bookmarkEnd w:id="15"/>
    </w:p>
    <w:p w14:paraId="6BDE082A" w14:textId="0134A856" w:rsidR="00E66886" w:rsidRPr="00B450EB" w:rsidRDefault="1546BD9A" w:rsidP="00E66886">
      <w:pPr>
        <w:spacing w:after="0" w:line="276" w:lineRule="auto"/>
        <w:jc w:val="center"/>
      </w:pPr>
      <w:r w:rsidRPr="00B450EB">
        <w:rPr>
          <w:noProof/>
        </w:rPr>
        <w:drawing>
          <wp:inline distT="0" distB="0" distL="0" distR="0" wp14:anchorId="20C56D81" wp14:editId="4598DA23">
            <wp:extent cx="5619750" cy="4343400"/>
            <wp:effectExtent l="0" t="0" r="0" b="0"/>
            <wp:docPr id="18946292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629206" name=""/>
                    <pic:cNvPicPr/>
                  </pic:nvPicPr>
                  <pic:blipFill>
                    <a:blip r:embed="rId23" cstate="email">
                      <a:extLst>
                        <a:ext uri="{28A0092B-C50C-407E-A947-70E740481C1C}">
                          <a14:useLocalDpi xmlns:a14="http://schemas.microsoft.com/office/drawing/2010/main"/>
                        </a:ext>
                      </a:extLst>
                    </a:blip>
                    <a:stretch>
                      <a:fillRect/>
                    </a:stretch>
                  </pic:blipFill>
                  <pic:spPr>
                    <a:xfrm>
                      <a:off x="0" y="0"/>
                      <a:ext cx="5619750" cy="4343400"/>
                    </a:xfrm>
                    <a:prstGeom prst="rect">
                      <a:avLst/>
                    </a:prstGeom>
                  </pic:spPr>
                </pic:pic>
              </a:graphicData>
            </a:graphic>
          </wp:inline>
        </w:drawing>
      </w:r>
    </w:p>
    <w:p w14:paraId="3FEC2D9E" w14:textId="141D2873" w:rsidR="00E66886" w:rsidRPr="00B450EB" w:rsidRDefault="00E66886" w:rsidP="00E66886">
      <w:pPr>
        <w:spacing w:after="0" w:line="276" w:lineRule="auto"/>
        <w:jc w:val="center"/>
        <w:rPr>
          <w:rFonts w:cs="Arial"/>
        </w:rPr>
      </w:pPr>
      <w:r w:rsidRPr="00B450EB">
        <w:rPr>
          <w:rFonts w:eastAsia="Arial" w:cs="Arial"/>
          <w:sz w:val="18"/>
          <w:szCs w:val="18"/>
        </w:rPr>
        <w:t xml:space="preserve">Fuente: Elaboración propia a partir de información del RUNAP y </w:t>
      </w:r>
      <w:proofErr w:type="spellStart"/>
      <w:r w:rsidRPr="00B450EB">
        <w:rPr>
          <w:rFonts w:eastAsia="Arial" w:cs="Arial"/>
          <w:sz w:val="18"/>
          <w:szCs w:val="18"/>
        </w:rPr>
        <w:t>MinAmbiente</w:t>
      </w:r>
      <w:proofErr w:type="spellEnd"/>
      <w:r w:rsidRPr="00B450EB">
        <w:rPr>
          <w:rFonts w:eastAsia="Arial" w:cs="Arial"/>
          <w:sz w:val="18"/>
          <w:szCs w:val="18"/>
        </w:rPr>
        <w:t>, 2025</w:t>
      </w:r>
      <w:r w:rsidR="00096415" w:rsidRPr="00B450EB">
        <w:rPr>
          <w:rFonts w:eastAsia="Arial" w:cs="Arial"/>
          <w:sz w:val="18"/>
          <w:szCs w:val="18"/>
        </w:rPr>
        <w:t>.</w:t>
      </w:r>
    </w:p>
    <w:p w14:paraId="629ED1B3" w14:textId="77777777" w:rsidR="00E66886" w:rsidRPr="00B450EB" w:rsidRDefault="00E66886" w:rsidP="0030785D">
      <w:pPr>
        <w:spacing w:line="276" w:lineRule="auto"/>
        <w:rPr>
          <w:rFonts w:eastAsia="Arial" w:cs="Arial"/>
          <w:sz w:val="18"/>
          <w:szCs w:val="18"/>
        </w:rPr>
      </w:pPr>
    </w:p>
    <w:p w14:paraId="72BAE2B5" w14:textId="76875F67" w:rsidR="0030785D" w:rsidRPr="00B450EB" w:rsidRDefault="00C109A8" w:rsidP="0030785D">
      <w:pPr>
        <w:rPr>
          <w:rFonts w:eastAsia="Verdana" w:cs="Arial"/>
        </w:rPr>
      </w:pPr>
      <w:r w:rsidRPr="00B450EB">
        <w:rPr>
          <w:rFonts w:eastAsia="Verdana" w:cs="Arial"/>
        </w:rPr>
        <w:t>Igualmente se destaca que e</w:t>
      </w:r>
      <w:r w:rsidR="0030785D" w:rsidRPr="00B450EB">
        <w:rPr>
          <w:rFonts w:eastAsia="Verdana" w:cs="Arial"/>
        </w:rPr>
        <w:t>n el marco de la Orden 3, de la Sentencia de Ventanilla Minera se tiene la cartografía asociada al cumplimiento de los numerales 1.1.1 y 1.1.2, la cual identifica lo siguiente:</w:t>
      </w:r>
    </w:p>
    <w:p w14:paraId="06983F5B" w14:textId="77777777" w:rsidR="0030785D" w:rsidRPr="00B450EB" w:rsidRDefault="0030785D" w:rsidP="001C1081">
      <w:pPr>
        <w:pStyle w:val="Prrafodelista"/>
        <w:numPr>
          <w:ilvl w:val="0"/>
          <w:numId w:val="15"/>
        </w:numPr>
        <w:spacing w:after="0" w:line="276" w:lineRule="auto"/>
        <w:ind w:left="360"/>
        <w:contextualSpacing w:val="0"/>
        <w:rPr>
          <w:rFonts w:eastAsia="Verdana" w:cs="Arial"/>
        </w:rPr>
      </w:pPr>
      <w:r w:rsidRPr="00B450EB">
        <w:rPr>
          <w:rFonts w:eastAsia="Verdana" w:cs="Arial"/>
        </w:rPr>
        <w:t>En cuanto a las áreas del numeral 1.1.1 correspondientes al Sistema Nacional de Áreas Protegidas (SINAP) se tienen:</w:t>
      </w:r>
    </w:p>
    <w:p w14:paraId="19C33471" w14:textId="77777777" w:rsidR="0030785D" w:rsidRPr="00B450EB" w:rsidRDefault="0030785D" w:rsidP="001C1081">
      <w:pPr>
        <w:pStyle w:val="Prrafodelista"/>
        <w:numPr>
          <w:ilvl w:val="1"/>
          <w:numId w:val="15"/>
        </w:numPr>
        <w:spacing w:after="0" w:line="276" w:lineRule="auto"/>
        <w:contextualSpacing w:val="0"/>
        <w:rPr>
          <w:rFonts w:eastAsia="Verdana" w:cs="Arial"/>
        </w:rPr>
      </w:pPr>
      <w:r w:rsidRPr="00B450EB">
        <w:rPr>
          <w:rFonts w:eastAsia="Verdana" w:cs="Arial"/>
        </w:rPr>
        <w:t xml:space="preserve">11.099.469 hectáreas que tienen dentro de la normatividad </w:t>
      </w:r>
      <w:r w:rsidRPr="00B450EB">
        <w:rPr>
          <w:rFonts w:eastAsia="Verdana" w:cs="Arial"/>
          <w:b/>
          <w:bCs/>
        </w:rPr>
        <w:t>prohibida</w:t>
      </w:r>
      <w:r w:rsidRPr="00B450EB">
        <w:rPr>
          <w:rFonts w:eastAsia="Verdana" w:cs="Arial"/>
        </w:rPr>
        <w:t xml:space="preserve"> la actividad minera.</w:t>
      </w:r>
    </w:p>
    <w:p w14:paraId="70BF973C" w14:textId="77777777" w:rsidR="0030785D" w:rsidRPr="00B450EB" w:rsidRDefault="0030785D" w:rsidP="001C1081">
      <w:pPr>
        <w:pStyle w:val="Prrafodelista"/>
        <w:numPr>
          <w:ilvl w:val="1"/>
          <w:numId w:val="15"/>
        </w:numPr>
        <w:spacing w:after="0" w:line="276" w:lineRule="auto"/>
        <w:contextualSpacing w:val="0"/>
        <w:rPr>
          <w:rFonts w:eastAsia="Verdana" w:cs="Arial"/>
        </w:rPr>
      </w:pPr>
      <w:r w:rsidRPr="00B450EB">
        <w:rPr>
          <w:rFonts w:eastAsia="Verdana" w:cs="Arial"/>
        </w:rPr>
        <w:t>7.864 hectáreas que no cuentan con un instrumento que exprese claramente si está prohibida o no la actividad minera, por tanto, se catalogan como áreas “</w:t>
      </w:r>
      <w:r w:rsidRPr="00B450EB">
        <w:rPr>
          <w:rFonts w:eastAsia="Verdana" w:cs="Arial"/>
          <w:b/>
          <w:bCs/>
          <w:i/>
          <w:iCs/>
        </w:rPr>
        <w:t>por definir</w:t>
      </w:r>
      <w:r w:rsidRPr="00B450EB">
        <w:rPr>
          <w:rFonts w:eastAsia="Verdana" w:cs="Arial"/>
        </w:rPr>
        <w:t>” esta cuestión.</w:t>
      </w:r>
    </w:p>
    <w:p w14:paraId="0119BDE1" w14:textId="77777777" w:rsidR="0030785D" w:rsidRPr="00B450EB" w:rsidRDefault="0030785D" w:rsidP="0030785D">
      <w:pPr>
        <w:pStyle w:val="Prrafodelista"/>
        <w:spacing w:after="0"/>
        <w:ind w:left="1440"/>
        <w:rPr>
          <w:rFonts w:eastAsia="Verdana" w:cs="Arial"/>
        </w:rPr>
      </w:pPr>
    </w:p>
    <w:p w14:paraId="53961590" w14:textId="77777777" w:rsidR="0030785D" w:rsidRPr="00B450EB" w:rsidRDefault="0030785D" w:rsidP="001C1081">
      <w:pPr>
        <w:pStyle w:val="Prrafodelista"/>
        <w:numPr>
          <w:ilvl w:val="0"/>
          <w:numId w:val="15"/>
        </w:numPr>
        <w:spacing w:after="0" w:line="276" w:lineRule="auto"/>
        <w:ind w:left="360"/>
        <w:contextualSpacing w:val="0"/>
        <w:rPr>
          <w:rFonts w:eastAsia="Verdana" w:cs="Arial"/>
        </w:rPr>
      </w:pPr>
      <w:r w:rsidRPr="00B450EB">
        <w:rPr>
          <w:rFonts w:eastAsia="Verdana" w:cs="Arial"/>
        </w:rPr>
        <w:lastRenderedPageBreak/>
        <w:t>En relación con las áreas del numeral 1.1.2. correspondientes a las áreas de conservación in situ diferentes de SINAP, se tienen:</w:t>
      </w:r>
    </w:p>
    <w:p w14:paraId="3FC61153" w14:textId="0ECC552C" w:rsidR="0030785D" w:rsidRPr="00B450EB" w:rsidRDefault="0030785D" w:rsidP="001C1081">
      <w:pPr>
        <w:pStyle w:val="Prrafodelista"/>
        <w:numPr>
          <w:ilvl w:val="1"/>
          <w:numId w:val="15"/>
        </w:numPr>
        <w:spacing w:after="0" w:line="276" w:lineRule="auto"/>
        <w:rPr>
          <w:rFonts w:eastAsia="Verdana" w:cs="Arial"/>
        </w:rPr>
      </w:pPr>
      <w:r w:rsidRPr="00B450EB">
        <w:rPr>
          <w:rFonts w:eastAsia="Verdana" w:cs="Arial"/>
        </w:rPr>
        <w:t xml:space="preserve">692.313 hectáreas que tienen dentro de la normatividad </w:t>
      </w:r>
      <w:r w:rsidRPr="00B450EB">
        <w:rPr>
          <w:rFonts w:eastAsia="Verdana" w:cs="Arial"/>
          <w:b/>
          <w:bCs/>
        </w:rPr>
        <w:t>prohibida</w:t>
      </w:r>
      <w:r w:rsidRPr="00B450EB">
        <w:rPr>
          <w:rFonts w:eastAsia="Verdana" w:cs="Arial"/>
        </w:rPr>
        <w:t xml:space="preserve"> la actividad minera.</w:t>
      </w:r>
    </w:p>
    <w:p w14:paraId="114EDA62" w14:textId="76AB2A14" w:rsidR="00EA523A" w:rsidRPr="00B450EB" w:rsidRDefault="00EA523A" w:rsidP="001C1081">
      <w:pPr>
        <w:pStyle w:val="Prrafodelista"/>
        <w:numPr>
          <w:ilvl w:val="1"/>
          <w:numId w:val="15"/>
        </w:numPr>
        <w:spacing w:after="0" w:line="276" w:lineRule="auto"/>
        <w:rPr>
          <w:rFonts w:eastAsia="Verdana" w:cs="Arial"/>
        </w:rPr>
      </w:pPr>
      <w:r w:rsidRPr="00B450EB">
        <w:rPr>
          <w:rFonts w:eastAsia="Verdana" w:cs="Arial"/>
        </w:rPr>
        <w:t xml:space="preserve">20.750.141 hectáreas presentan </w:t>
      </w:r>
      <w:r w:rsidRPr="00B450EB">
        <w:rPr>
          <w:rFonts w:eastAsia="Verdana" w:cs="Arial"/>
          <w:b/>
          <w:bCs/>
        </w:rPr>
        <w:t>restricción</w:t>
      </w:r>
      <w:r w:rsidRPr="00B450EB">
        <w:rPr>
          <w:rFonts w:eastAsia="Verdana" w:cs="Arial"/>
        </w:rPr>
        <w:t xml:space="preserve"> para el desarrollo de la actividad minera, las cuales corresponden en su totalidad a las áreas de Reserva Forestal establecidas por la Ley 2da de 1959. Es importante tener en cuenta que, según la normatividad, estas son áreas prohibidas para la minería, donde no se podrán ejecutar trabajos ni obras de exploración y explotación minera. Sin embargo, existe la figura de sustracción y, por tanto, hasta que esta no sea viabilizada por el Ministerio de Ambiente y Desarrollo Sostenible, cumpliendo con los requisitos y procedimientos determinados en la norma para dicho fin, y en consecuencia se levante la figura legal, no se podrá adelantar la actividad minera sin restricción.</w:t>
      </w:r>
    </w:p>
    <w:p w14:paraId="3251088A" w14:textId="03C5CDB8" w:rsidR="0030785D" w:rsidRPr="00B450EB" w:rsidRDefault="0030785D" w:rsidP="001C1081">
      <w:pPr>
        <w:pStyle w:val="Prrafodelista"/>
        <w:numPr>
          <w:ilvl w:val="1"/>
          <w:numId w:val="15"/>
        </w:numPr>
        <w:spacing w:after="0" w:line="276" w:lineRule="auto"/>
        <w:rPr>
          <w:rFonts w:eastAsia="Verdana" w:cs="Arial"/>
        </w:rPr>
      </w:pPr>
      <w:r w:rsidRPr="00B450EB">
        <w:rPr>
          <w:rFonts w:eastAsia="Verdana" w:cs="Arial"/>
        </w:rPr>
        <w:t>7.156.216 hectáreas que no cuentan con un instrumento que exprese claramente si está prohibida o no la actividad minera, por tanto, se catalogan como áreas “</w:t>
      </w:r>
      <w:r w:rsidRPr="00B450EB">
        <w:rPr>
          <w:rFonts w:eastAsia="Verdana" w:cs="Arial"/>
          <w:b/>
          <w:bCs/>
          <w:i/>
          <w:iCs/>
        </w:rPr>
        <w:t>por definir</w:t>
      </w:r>
      <w:r w:rsidRPr="00B450EB">
        <w:rPr>
          <w:rFonts w:eastAsia="Verdana" w:cs="Arial"/>
        </w:rPr>
        <w:t>”. Estas corresponden a cuencas hidrográficas, humedales no Ramsar y zonas de recarga de acuíferos, lo que puede orientar la zona de protección con base en los recursos hídricos y el ordenamiento alrededor del agua.</w:t>
      </w:r>
    </w:p>
    <w:p w14:paraId="69C15E83" w14:textId="77777777" w:rsidR="0030785D" w:rsidRPr="00B450EB" w:rsidRDefault="0030785D" w:rsidP="0030785D"/>
    <w:p w14:paraId="01DFAEED" w14:textId="3B93DA69" w:rsidR="00E66886" w:rsidRPr="00B450EB" w:rsidRDefault="00B23C9C" w:rsidP="00E66886">
      <w:pPr>
        <w:spacing w:before="240" w:after="240" w:line="276" w:lineRule="auto"/>
        <w:rPr>
          <w:rFonts w:eastAsia="Arial" w:cs="Arial"/>
        </w:rPr>
      </w:pPr>
      <w:r w:rsidRPr="00B450EB">
        <w:rPr>
          <w:rFonts w:eastAsia="Arial" w:cs="Arial"/>
        </w:rPr>
        <w:t>Por otro lado, c</w:t>
      </w:r>
      <w:r w:rsidR="20A23C74" w:rsidRPr="00B450EB">
        <w:rPr>
          <w:rFonts w:eastAsia="Arial" w:cs="Arial"/>
        </w:rPr>
        <w:t>omo</w:t>
      </w:r>
      <w:r w:rsidR="00E66886" w:rsidRPr="00B450EB">
        <w:rPr>
          <w:rFonts w:eastAsia="Arial" w:cs="Arial"/>
        </w:rPr>
        <w:t xml:space="preserve"> parte de las estrategias complementarias para la conservación de la biodiversidad —aunque no forman parte del Sistema Nacional de Áreas Protegidas— existen diversas figuras que contribuyen al cumplimiento de los objetivos específicos de conservación y manejo de los recursos naturales renovables en la cuenca. Estas figuras están definidas por mecanismos de reconocimiento nacional y/o internacional:</w:t>
      </w:r>
    </w:p>
    <w:p w14:paraId="7D4666FA" w14:textId="678C4B20" w:rsidR="00E66886" w:rsidRPr="00B450EB" w:rsidRDefault="00E66886" w:rsidP="00E66886">
      <w:pPr>
        <w:pStyle w:val="Prrafodelista"/>
        <w:spacing w:before="240" w:after="240" w:line="276" w:lineRule="auto"/>
        <w:rPr>
          <w:rFonts w:eastAsia="Arial" w:cs="Arial"/>
        </w:rPr>
      </w:pPr>
      <w:r w:rsidRPr="00B450EB">
        <w:rPr>
          <w:rFonts w:eastAsia="Arial" w:cs="Arial"/>
          <w:b/>
          <w:bCs/>
        </w:rPr>
        <w:t>Áreas Claves para la Biodiversidad</w:t>
      </w:r>
      <w:r w:rsidRPr="00B450EB">
        <w:rPr>
          <w:rFonts w:eastAsia="Arial" w:cs="Arial"/>
        </w:rPr>
        <w:t xml:space="preserve"> (</w:t>
      </w:r>
      <w:r w:rsidRPr="00B450EB">
        <w:rPr>
          <w:rFonts w:eastAsia="Arial" w:cs="Arial"/>
          <w:i/>
          <w:iCs/>
        </w:rPr>
        <w:t xml:space="preserve">Key </w:t>
      </w:r>
      <w:proofErr w:type="spellStart"/>
      <w:r w:rsidRPr="00B450EB">
        <w:rPr>
          <w:rFonts w:eastAsia="Arial" w:cs="Arial"/>
          <w:i/>
          <w:iCs/>
        </w:rPr>
        <w:t>Biodiversity</w:t>
      </w:r>
      <w:proofErr w:type="spellEnd"/>
      <w:r w:rsidRPr="00B450EB">
        <w:rPr>
          <w:rFonts w:eastAsia="Arial" w:cs="Arial"/>
          <w:i/>
          <w:iCs/>
        </w:rPr>
        <w:t xml:space="preserve"> </w:t>
      </w:r>
      <w:r w:rsidR="00C5683D" w:rsidRPr="00B450EB">
        <w:rPr>
          <w:rFonts w:eastAsia="Arial" w:cs="Arial"/>
          <w:i/>
          <w:iCs/>
        </w:rPr>
        <w:t>Área</w:t>
      </w:r>
      <w:r w:rsidRPr="00B450EB">
        <w:rPr>
          <w:rFonts w:eastAsia="Arial" w:cs="Arial"/>
          <w:i/>
          <w:iCs/>
        </w:rPr>
        <w:t>s – KBA</w:t>
      </w:r>
      <w:r w:rsidRPr="00B450EB">
        <w:rPr>
          <w:rFonts w:eastAsia="Arial" w:cs="Arial"/>
        </w:rPr>
        <w:t>), consideradas de importancia mundial para la conservación de especies de flora y fauna con alta probabilidad de extinción a corto o mediano plazo. Esta categoría es reconocida internacionalmente por la UICN y BirdLife International.</w:t>
      </w:r>
    </w:p>
    <w:p w14:paraId="10E97D76" w14:textId="77777777" w:rsidR="00E66886" w:rsidRPr="00B450EB" w:rsidRDefault="00E66886" w:rsidP="00E66886">
      <w:pPr>
        <w:pStyle w:val="Prrafodelista"/>
        <w:spacing w:before="240" w:after="240" w:line="276" w:lineRule="auto"/>
        <w:rPr>
          <w:rFonts w:eastAsia="Arial" w:cs="Arial"/>
        </w:rPr>
      </w:pPr>
      <w:r w:rsidRPr="00B450EB">
        <w:rPr>
          <w:rFonts w:eastAsia="Arial" w:cs="Arial"/>
          <w:b/>
          <w:bCs/>
        </w:rPr>
        <w:t>Otras Medidas de Conservación Efectivas basadas en Áreas</w:t>
      </w:r>
      <w:r w:rsidRPr="00B450EB">
        <w:rPr>
          <w:rFonts w:eastAsia="Arial" w:cs="Arial"/>
        </w:rPr>
        <w:t xml:space="preserve"> (</w:t>
      </w:r>
      <w:r w:rsidRPr="00B450EB">
        <w:rPr>
          <w:rFonts w:eastAsia="Arial" w:cs="Arial"/>
          <w:i/>
          <w:iCs/>
        </w:rPr>
        <w:t>OMEC</w:t>
      </w:r>
      <w:r w:rsidRPr="00B450EB">
        <w:rPr>
          <w:rFonts w:eastAsia="Arial" w:cs="Arial"/>
        </w:rPr>
        <w:t>, por su sigla en inglés), que representan esfuerzos de conservación que, sin ser áreas protegidas oficiales, cumplen funciones similares.</w:t>
      </w:r>
    </w:p>
    <w:p w14:paraId="687ECCFD" w14:textId="77777777" w:rsidR="00E66886" w:rsidRPr="00B450EB" w:rsidRDefault="00E66886" w:rsidP="00E66886">
      <w:pPr>
        <w:pStyle w:val="Prrafodelista"/>
        <w:spacing w:before="240" w:after="240" w:line="276" w:lineRule="auto"/>
        <w:rPr>
          <w:rFonts w:eastAsia="Arial" w:cs="Arial"/>
        </w:rPr>
      </w:pPr>
      <w:r w:rsidRPr="00B450EB">
        <w:rPr>
          <w:rFonts w:eastAsia="Arial" w:cs="Arial"/>
          <w:b/>
          <w:bCs/>
        </w:rPr>
        <w:lastRenderedPageBreak/>
        <w:t>Áreas de Importancia para la Conservación de las Aves</w:t>
      </w:r>
      <w:r w:rsidRPr="00B450EB">
        <w:rPr>
          <w:rFonts w:eastAsia="Arial" w:cs="Arial"/>
        </w:rPr>
        <w:t xml:space="preserve"> (</w:t>
      </w:r>
      <w:r w:rsidRPr="00B450EB">
        <w:rPr>
          <w:rFonts w:eastAsia="Arial" w:cs="Arial"/>
          <w:i/>
          <w:iCs/>
        </w:rPr>
        <w:t>AICA</w:t>
      </w:r>
      <w:r w:rsidRPr="00B450EB">
        <w:rPr>
          <w:rFonts w:eastAsia="Arial" w:cs="Arial"/>
        </w:rPr>
        <w:t>), sitios fundamentales para la supervivencia de aves y la biodiversidad en general, identificados mediante criterios científicos estandarizados y reconocidos a nivel internacional.</w:t>
      </w:r>
    </w:p>
    <w:p w14:paraId="638AFDCB" w14:textId="77777777" w:rsidR="00E66886" w:rsidRPr="00B450EB" w:rsidRDefault="00E66886" w:rsidP="00E66886">
      <w:pPr>
        <w:pStyle w:val="Prrafodelista"/>
        <w:spacing w:before="240" w:after="240" w:line="276" w:lineRule="auto"/>
        <w:rPr>
          <w:rFonts w:eastAsia="Arial" w:cs="Arial"/>
        </w:rPr>
      </w:pPr>
      <w:r w:rsidRPr="00B450EB">
        <w:rPr>
          <w:rFonts w:eastAsia="Arial" w:cs="Arial"/>
          <w:b/>
          <w:bCs/>
        </w:rPr>
        <w:t>Humedal designado como sitio Ramsar</w:t>
      </w:r>
      <w:r w:rsidRPr="00B450EB">
        <w:rPr>
          <w:rFonts w:eastAsia="Arial" w:cs="Arial"/>
        </w:rPr>
        <w:t xml:space="preserve">, el humedal Estrella Fluvial del </w:t>
      </w:r>
      <w:proofErr w:type="spellStart"/>
      <w:r w:rsidRPr="00B450EB">
        <w:rPr>
          <w:rFonts w:eastAsia="Arial" w:cs="Arial"/>
        </w:rPr>
        <w:t>Inirida</w:t>
      </w:r>
      <w:proofErr w:type="spellEnd"/>
      <w:r w:rsidRPr="00B450EB">
        <w:rPr>
          <w:rFonts w:eastAsia="Arial" w:cs="Arial"/>
        </w:rPr>
        <w:t>, categorizado mediante el Decreto 1275 del 8 de julio de 2014, por su relevancia ecológica a nivel global.</w:t>
      </w:r>
    </w:p>
    <w:p w14:paraId="6637468F" w14:textId="77777777" w:rsidR="00E66886" w:rsidRPr="00B450EB" w:rsidRDefault="00E66886" w:rsidP="00E66886">
      <w:pPr>
        <w:pStyle w:val="Prrafodelista"/>
        <w:spacing w:before="240" w:after="240" w:line="276" w:lineRule="auto"/>
        <w:rPr>
          <w:rFonts w:eastAsia="Arial" w:cs="Arial"/>
        </w:rPr>
      </w:pPr>
      <w:r w:rsidRPr="00B450EB">
        <w:rPr>
          <w:rFonts w:eastAsia="Arial" w:cs="Arial"/>
          <w:b/>
          <w:bCs/>
        </w:rPr>
        <w:t>Áreas de Bosque de Paz</w:t>
      </w:r>
      <w:r w:rsidRPr="00B450EB">
        <w:rPr>
          <w:rFonts w:eastAsia="Arial" w:cs="Arial"/>
        </w:rPr>
        <w:t xml:space="preserve">, registradas conforme a lo estipulado en la Resolución </w:t>
      </w:r>
      <w:proofErr w:type="spellStart"/>
      <w:r w:rsidRPr="00B450EB">
        <w:rPr>
          <w:rFonts w:eastAsia="Arial" w:cs="Arial"/>
        </w:rPr>
        <w:t>MinAmbiente</w:t>
      </w:r>
      <w:proofErr w:type="spellEnd"/>
      <w:r w:rsidRPr="00B450EB">
        <w:rPr>
          <w:rFonts w:eastAsia="Arial" w:cs="Arial"/>
        </w:rPr>
        <w:t xml:space="preserve"> </w:t>
      </w:r>
      <w:proofErr w:type="spellStart"/>
      <w:r w:rsidRPr="00B450EB">
        <w:rPr>
          <w:rFonts w:eastAsia="Arial" w:cs="Arial"/>
        </w:rPr>
        <w:t>N.°</w:t>
      </w:r>
      <w:proofErr w:type="spellEnd"/>
      <w:r w:rsidRPr="00B450EB">
        <w:rPr>
          <w:rFonts w:eastAsia="Arial" w:cs="Arial"/>
        </w:rPr>
        <w:t xml:space="preserve"> 470 de 2017, que integran la conservación ambiental con procesos de paz y desarrollo sostenible.</w:t>
      </w:r>
    </w:p>
    <w:p w14:paraId="719AD8C7" w14:textId="2F5FAD6D" w:rsidR="00E66886" w:rsidRPr="00B450EB" w:rsidRDefault="00E66886" w:rsidP="00E66886">
      <w:pPr>
        <w:spacing w:before="240" w:after="240" w:line="276" w:lineRule="auto"/>
      </w:pPr>
      <w:r w:rsidRPr="00B450EB">
        <w:rPr>
          <w:rFonts w:eastAsia="Arial" w:cs="Arial"/>
        </w:rPr>
        <w:t>La figura a continuación muestra la ubicación de estas áreas correspondientes a las estrategias complementarias mencionadas.</w:t>
      </w:r>
    </w:p>
    <w:p w14:paraId="5C7B3BA8" w14:textId="40734E0A" w:rsidR="00E66886" w:rsidRPr="00B450EB" w:rsidRDefault="00E66886" w:rsidP="00377AD7">
      <w:pPr>
        <w:pStyle w:val="Descripcin"/>
        <w:rPr>
          <w:rFonts w:eastAsia="Arial" w:cs="Arial"/>
          <w:color w:val="auto"/>
        </w:rPr>
      </w:pPr>
      <w:bookmarkStart w:id="16" w:name="_Toc209462697"/>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8</w:t>
      </w:r>
      <w:r w:rsidRPr="00B450EB">
        <w:rPr>
          <w:color w:val="auto"/>
        </w:rPr>
        <w:fldChar w:fldCharType="end"/>
      </w:r>
      <w:r w:rsidRPr="00B450EB">
        <w:rPr>
          <w:color w:val="auto"/>
        </w:rPr>
        <w:t>. Áreas complementarias de Conservación</w:t>
      </w:r>
      <w:bookmarkEnd w:id="16"/>
    </w:p>
    <w:p w14:paraId="7EAC957D" w14:textId="77777777" w:rsidR="00E66886" w:rsidRPr="00B450EB" w:rsidRDefault="00E66886" w:rsidP="00E66886">
      <w:pPr>
        <w:spacing w:after="0" w:line="276" w:lineRule="auto"/>
        <w:jc w:val="center"/>
        <w:rPr>
          <w:sz w:val="18"/>
          <w:szCs w:val="18"/>
        </w:rPr>
      </w:pPr>
      <w:r w:rsidRPr="00B450EB">
        <w:rPr>
          <w:noProof/>
          <w:sz w:val="18"/>
          <w:szCs w:val="18"/>
        </w:rPr>
        <w:drawing>
          <wp:inline distT="0" distB="0" distL="0" distR="0" wp14:anchorId="297E1AEE" wp14:editId="13F55366">
            <wp:extent cx="5619750" cy="4343400"/>
            <wp:effectExtent l="0" t="0" r="0" b="0"/>
            <wp:docPr id="1502871973" name="drawing"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871973" name="drawing" descr="Mapa&#10;&#10;El contenido generado por IA puede ser incorrecto."/>
                    <pic:cNvPicPr/>
                  </pic:nvPicPr>
                  <pic:blipFill>
                    <a:blip r:embed="rId24" cstate="email">
                      <a:extLst>
                        <a:ext uri="{28A0092B-C50C-407E-A947-70E740481C1C}">
                          <a14:useLocalDpi xmlns:a14="http://schemas.microsoft.com/office/drawing/2010/main"/>
                        </a:ext>
                      </a:extLst>
                    </a:blip>
                    <a:stretch>
                      <a:fillRect/>
                    </a:stretch>
                  </pic:blipFill>
                  <pic:spPr>
                    <a:xfrm>
                      <a:off x="0" y="0"/>
                      <a:ext cx="5619750" cy="4343400"/>
                    </a:xfrm>
                    <a:prstGeom prst="rect">
                      <a:avLst/>
                    </a:prstGeom>
                  </pic:spPr>
                </pic:pic>
              </a:graphicData>
            </a:graphic>
          </wp:inline>
        </w:drawing>
      </w:r>
    </w:p>
    <w:p w14:paraId="3DEFC71C" w14:textId="3DA574B5" w:rsidR="00E66886" w:rsidRPr="00B450EB" w:rsidRDefault="00E66886" w:rsidP="00E66886">
      <w:pPr>
        <w:spacing w:after="0" w:line="276" w:lineRule="auto"/>
        <w:jc w:val="center"/>
        <w:rPr>
          <w:sz w:val="18"/>
          <w:szCs w:val="18"/>
        </w:rPr>
      </w:pPr>
      <w:r w:rsidRPr="00B450EB">
        <w:rPr>
          <w:sz w:val="18"/>
          <w:szCs w:val="18"/>
        </w:rPr>
        <w:t xml:space="preserve">Fuente: Elaboración propia a partir de información de </w:t>
      </w:r>
      <w:proofErr w:type="spellStart"/>
      <w:r w:rsidRPr="00B450EB">
        <w:rPr>
          <w:sz w:val="18"/>
          <w:szCs w:val="18"/>
        </w:rPr>
        <w:t>MinAmbiente</w:t>
      </w:r>
      <w:proofErr w:type="spellEnd"/>
      <w:r w:rsidRPr="00B450EB">
        <w:rPr>
          <w:sz w:val="18"/>
          <w:szCs w:val="18"/>
        </w:rPr>
        <w:t>, 2025; KBA, 2025</w:t>
      </w:r>
      <w:r w:rsidR="00096415" w:rsidRPr="00B450EB">
        <w:rPr>
          <w:sz w:val="18"/>
          <w:szCs w:val="18"/>
        </w:rPr>
        <w:t>.</w:t>
      </w:r>
    </w:p>
    <w:p w14:paraId="32B649D3" w14:textId="77777777" w:rsidR="00E66886" w:rsidRPr="00B450EB" w:rsidRDefault="00E66886" w:rsidP="00E66886">
      <w:pPr>
        <w:spacing w:after="0" w:line="276" w:lineRule="auto"/>
        <w:jc w:val="center"/>
        <w:rPr>
          <w:sz w:val="18"/>
          <w:szCs w:val="18"/>
        </w:rPr>
      </w:pPr>
    </w:p>
    <w:p w14:paraId="3E98CF58" w14:textId="3C787E7F" w:rsidR="00E66886" w:rsidRPr="00B450EB" w:rsidRDefault="00963345" w:rsidP="001C1081">
      <w:pPr>
        <w:pStyle w:val="Ttulo1"/>
        <w:numPr>
          <w:ilvl w:val="0"/>
          <w:numId w:val="16"/>
        </w:numPr>
      </w:pPr>
      <w:bookmarkStart w:id="17" w:name="_Toc209722912"/>
      <w:r w:rsidRPr="00B450EB">
        <w:lastRenderedPageBreak/>
        <w:t>INSTRUMENTOS DE ORDENAMIENTO AMBIENTAL Y TERRITORIAL</w:t>
      </w:r>
      <w:bookmarkEnd w:id="17"/>
      <w:r w:rsidRPr="00B450EB">
        <w:t xml:space="preserve"> </w:t>
      </w:r>
    </w:p>
    <w:p w14:paraId="07574428" w14:textId="77777777" w:rsidR="00E66886" w:rsidRPr="00B450EB" w:rsidRDefault="00E66886" w:rsidP="00802C85">
      <w:pPr>
        <w:spacing w:line="276" w:lineRule="auto"/>
      </w:pPr>
      <w:r w:rsidRPr="00B450EB">
        <w:rPr>
          <w:rFonts w:eastAsia="Arial" w:cs="Arial"/>
        </w:rPr>
        <w:t>Los Planes de Ordenación y Manejo de Cuencas Hidrográficas (POMCA) constituyen un instrumento fundamental de planificación ambiental y territorial en Colombia, dado que integran la gestión sostenible del agua, el suelo, la biodiversidad y los servicios ecosistémicos. Su carácter vinculante permite orientar las decisiones de uso, ocupación y manejo del territorio, articulando las políticas ambientales con el desarrollo socioeconómico local y regional.</w:t>
      </w:r>
    </w:p>
    <w:p w14:paraId="39DE5633" w14:textId="77777777" w:rsidR="00E66886" w:rsidRPr="00B450EB" w:rsidRDefault="00E66886" w:rsidP="00E66886">
      <w:pPr>
        <w:spacing w:line="276" w:lineRule="auto"/>
      </w:pPr>
      <w:r w:rsidRPr="00B450EB">
        <w:rPr>
          <w:rFonts w:eastAsia="Arial" w:cs="Arial"/>
        </w:rPr>
        <w:t>En la Amazonía, los POMCA cobran especial relevancia por la función estratégica que cumplen sus cuencas en la regulación climática, el abastecimiento hídrico y la conservación de ecosistemas únicos de importancia mundial. La aplicación de este instrumento permite identificar áreas prioritarias para la conservación, reducir los conflictos de uso del suelo y definir medidas de manejo que garanticen la sostenibilidad de los recursos naturales.</w:t>
      </w:r>
    </w:p>
    <w:p w14:paraId="219DA7B0" w14:textId="4262046C" w:rsidR="00E66886" w:rsidRPr="00B450EB" w:rsidRDefault="00E66886" w:rsidP="00E66886">
      <w:pPr>
        <w:spacing w:line="276" w:lineRule="auto"/>
      </w:pPr>
      <w:r w:rsidRPr="00B450EB">
        <w:rPr>
          <w:rFonts w:eastAsia="Arial" w:cs="Arial"/>
        </w:rPr>
        <w:t xml:space="preserve">Normativamente, el Decreto 1076 de 2015, en su artículo 2.2.3.1.5.1, establece que los POMCA son el instrumento mediante el cual la autoridad ambiental competente orienta el manejo de las cuencas hidrográficas y asegura la coordinación interinstitucional para su gestión. De igual manera, el artículo 2.2.3.1.5.6 del mismo decreto dispone que los POMCA son </w:t>
      </w:r>
      <w:r w:rsidRPr="00B450EB">
        <w:rPr>
          <w:rFonts w:eastAsia="Arial" w:cs="Arial"/>
          <w:i/>
          <w:iCs/>
        </w:rPr>
        <w:t>“norma de superior jerarquía y determinante ambiental para la elaboración y adopción de los planes de ordenamiento territorial, de conformidad con lo dispuesto en el artículo 10 de la Ley 388 de 1997”.</w:t>
      </w:r>
    </w:p>
    <w:p w14:paraId="3836D784" w14:textId="77777777" w:rsidR="00E66886" w:rsidRPr="00B450EB" w:rsidRDefault="00E66886" w:rsidP="00E66886">
      <w:pPr>
        <w:spacing w:line="276" w:lineRule="auto"/>
      </w:pPr>
      <w:r w:rsidRPr="00B450EB">
        <w:rPr>
          <w:rFonts w:eastAsia="Arial" w:cs="Arial"/>
        </w:rPr>
        <w:t>En este sentido, los POMCA no solo son herramientas de planificación ambiental, sino también instrumentos jurídicamente vinculantes que garantizan la integración del ordenamiento ambiental con el ordenamiento territorial. Para la Amazonía, su implementación es esencial, pues orienta procesos como la delimitación y declaratoria de Zonas de Reserva de Recursos Naturales Renovables de carácter definitivo, asegurando que estas decisiones se fundamenten en criterios técnicos, normativos y de sostenibilidad ecológica.</w:t>
      </w:r>
    </w:p>
    <w:p w14:paraId="2AF6AEDB" w14:textId="6953BEE5" w:rsidR="00E66886" w:rsidRPr="00B450EB" w:rsidRDefault="00E66886" w:rsidP="00E66886">
      <w:pPr>
        <w:spacing w:line="276" w:lineRule="auto"/>
        <w:rPr>
          <w:rFonts w:eastAsia="Arial" w:cs="Arial"/>
        </w:rPr>
      </w:pPr>
      <w:r w:rsidRPr="00B450EB">
        <w:rPr>
          <w:rFonts w:eastAsia="Arial" w:cs="Arial"/>
        </w:rPr>
        <w:t xml:space="preserve">En la Amazonía colombiana se cuenta con un conjunto de Planes de Ordenación y Manejo de Cuencas Hidrográficas – POMCA que han sido debidamente aprobados por las autoridades ambientales competentes, en cumplimiento de lo dispuesto en el Decreto 1076 de 2015. Estos planes corresponden a los ríos Suaza, Medio y Bajo Ariari, San Jorge, </w:t>
      </w:r>
      <w:proofErr w:type="spellStart"/>
      <w:r w:rsidRPr="00B450EB">
        <w:rPr>
          <w:rFonts w:eastAsia="Arial" w:cs="Arial"/>
        </w:rPr>
        <w:t>Juananbú</w:t>
      </w:r>
      <w:proofErr w:type="spellEnd"/>
      <w:r w:rsidRPr="00B450EB">
        <w:rPr>
          <w:rFonts w:eastAsia="Arial" w:cs="Arial"/>
        </w:rPr>
        <w:t xml:space="preserve">, Losada, </w:t>
      </w:r>
      <w:proofErr w:type="spellStart"/>
      <w:r w:rsidRPr="00B450EB">
        <w:rPr>
          <w:rFonts w:eastAsia="Arial" w:cs="Arial"/>
        </w:rPr>
        <w:t>Guatiara</w:t>
      </w:r>
      <w:proofErr w:type="spellEnd"/>
      <w:r w:rsidRPr="00B450EB">
        <w:rPr>
          <w:rFonts w:eastAsia="Arial" w:cs="Arial"/>
        </w:rPr>
        <w:t xml:space="preserve">, Medio Guaviare, </w:t>
      </w:r>
      <w:proofErr w:type="spellStart"/>
      <w:r w:rsidRPr="00B450EB">
        <w:rPr>
          <w:rFonts w:eastAsia="Arial" w:cs="Arial"/>
        </w:rPr>
        <w:t>Tilava</w:t>
      </w:r>
      <w:proofErr w:type="spellEnd"/>
      <w:r w:rsidRPr="00B450EB">
        <w:rPr>
          <w:rFonts w:eastAsia="Arial" w:cs="Arial"/>
        </w:rPr>
        <w:t xml:space="preserve"> y Hacha, los cuales han sido adoptados entre los años 2016 y 2019 mediante actos administrativos de carácter vinculante expedidos por la </w:t>
      </w:r>
      <w:r w:rsidR="00986AFC" w:rsidRPr="00B450EB">
        <w:rPr>
          <w:rFonts w:eastAsia="Arial" w:cs="Arial"/>
        </w:rPr>
        <w:t xml:space="preserve">Corporación Autónoma Regional del </w:t>
      </w:r>
      <w:r w:rsidR="00334243" w:rsidRPr="00B450EB">
        <w:rPr>
          <w:rFonts w:eastAsia="Arial" w:cs="Arial"/>
        </w:rPr>
        <w:t>Alto Magdalena -</w:t>
      </w:r>
      <w:r w:rsidR="00986AFC" w:rsidRPr="00B450EB">
        <w:rPr>
          <w:rFonts w:eastAsia="Arial" w:cs="Arial"/>
        </w:rPr>
        <w:t xml:space="preserve"> </w:t>
      </w:r>
      <w:r w:rsidRPr="00B450EB">
        <w:rPr>
          <w:rFonts w:eastAsia="Arial" w:cs="Arial"/>
        </w:rPr>
        <w:t xml:space="preserve">CAM, </w:t>
      </w:r>
      <w:proofErr w:type="spellStart"/>
      <w:r w:rsidRPr="00B450EB">
        <w:rPr>
          <w:rFonts w:eastAsia="Arial" w:cs="Arial"/>
        </w:rPr>
        <w:t>Cormacarena</w:t>
      </w:r>
      <w:proofErr w:type="spellEnd"/>
      <w:r w:rsidRPr="00B450EB">
        <w:rPr>
          <w:rFonts w:eastAsia="Arial" w:cs="Arial"/>
        </w:rPr>
        <w:t xml:space="preserve">, </w:t>
      </w:r>
      <w:proofErr w:type="spellStart"/>
      <w:r w:rsidRPr="00B450EB">
        <w:rPr>
          <w:rFonts w:eastAsia="Arial" w:cs="Arial"/>
        </w:rPr>
        <w:t>Corpoamazonia</w:t>
      </w:r>
      <w:proofErr w:type="spellEnd"/>
      <w:r w:rsidRPr="00B450EB">
        <w:rPr>
          <w:rFonts w:eastAsia="Arial" w:cs="Arial"/>
        </w:rPr>
        <w:t xml:space="preserve"> y </w:t>
      </w:r>
      <w:proofErr w:type="spellStart"/>
      <w:r w:rsidRPr="00B450EB">
        <w:rPr>
          <w:rFonts w:eastAsia="Arial" w:cs="Arial"/>
        </w:rPr>
        <w:t>Corponariño</w:t>
      </w:r>
      <w:proofErr w:type="spellEnd"/>
      <w:r w:rsidRPr="00B450EB">
        <w:rPr>
          <w:rFonts w:eastAsia="Arial" w:cs="Arial"/>
        </w:rPr>
        <w:t>.</w:t>
      </w:r>
    </w:p>
    <w:p w14:paraId="13A98116" w14:textId="77777777" w:rsidR="00B23C9C" w:rsidRPr="00B450EB" w:rsidRDefault="00B23C9C" w:rsidP="4EAF41CC">
      <w:pPr>
        <w:spacing w:line="276" w:lineRule="auto"/>
      </w:pPr>
    </w:p>
    <w:p w14:paraId="549EE179" w14:textId="6EEF788F" w:rsidR="00E66886" w:rsidRPr="00B450EB" w:rsidRDefault="00E66886" w:rsidP="00377AD7">
      <w:pPr>
        <w:pStyle w:val="Descripcin"/>
        <w:rPr>
          <w:color w:val="auto"/>
        </w:rPr>
      </w:pPr>
      <w:bookmarkStart w:id="18" w:name="_Toc209462698"/>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9</w:t>
      </w:r>
      <w:r w:rsidR="0045353A" w:rsidRPr="00B450EB">
        <w:rPr>
          <w:noProof/>
          <w:color w:val="auto"/>
        </w:rPr>
        <w:fldChar w:fldCharType="end"/>
      </w:r>
      <w:r w:rsidRPr="00B450EB">
        <w:rPr>
          <w:color w:val="auto"/>
        </w:rPr>
        <w:t xml:space="preserve"> Estado de figuras de Restricción Legal</w:t>
      </w:r>
      <w:bookmarkEnd w:id="18"/>
    </w:p>
    <w:p w14:paraId="6E3CB798" w14:textId="080C3AB4" w:rsidR="00E66886" w:rsidRPr="00B450EB" w:rsidRDefault="6D88B9A4" w:rsidP="00E66886">
      <w:pPr>
        <w:spacing w:after="0" w:line="276" w:lineRule="auto"/>
        <w:jc w:val="center"/>
      </w:pPr>
      <w:r w:rsidRPr="00B450EB">
        <w:rPr>
          <w:noProof/>
        </w:rPr>
        <w:drawing>
          <wp:inline distT="0" distB="0" distL="0" distR="0" wp14:anchorId="6924065B" wp14:editId="458D2BFF">
            <wp:extent cx="5619750" cy="4343400"/>
            <wp:effectExtent l="0" t="0" r="0" b="0"/>
            <wp:docPr id="20437819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78198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5619750" cy="4343400"/>
                    </a:xfrm>
                    <a:prstGeom prst="rect">
                      <a:avLst/>
                    </a:prstGeom>
                  </pic:spPr>
                </pic:pic>
              </a:graphicData>
            </a:graphic>
          </wp:inline>
        </w:drawing>
      </w:r>
    </w:p>
    <w:p w14:paraId="2A5C3DDA" w14:textId="0F7B0EAF" w:rsidR="00E66886" w:rsidRPr="00B450EB" w:rsidRDefault="00E66886" w:rsidP="00E66886">
      <w:pPr>
        <w:spacing w:line="276" w:lineRule="auto"/>
        <w:jc w:val="center"/>
        <w:rPr>
          <w:rFonts w:cs="Arial"/>
        </w:rPr>
      </w:pPr>
      <w:r w:rsidRPr="00B450EB">
        <w:rPr>
          <w:rFonts w:eastAsia="Arial" w:cs="Arial"/>
          <w:sz w:val="18"/>
          <w:szCs w:val="18"/>
        </w:rPr>
        <w:t>Fuente: Elaboración propia, 2025</w:t>
      </w:r>
      <w:r w:rsidR="00096415" w:rsidRPr="00B450EB">
        <w:rPr>
          <w:rFonts w:eastAsia="Arial" w:cs="Arial"/>
          <w:sz w:val="18"/>
          <w:szCs w:val="18"/>
        </w:rPr>
        <w:t>.</w:t>
      </w:r>
    </w:p>
    <w:p w14:paraId="2FBDA2F2" w14:textId="46E9D5FC" w:rsidR="00E66886" w:rsidRPr="00B450EB" w:rsidRDefault="00E66886" w:rsidP="00377AD7">
      <w:pPr>
        <w:pStyle w:val="Descripcin"/>
        <w:rPr>
          <w:color w:val="auto"/>
        </w:rPr>
      </w:pPr>
      <w:bookmarkStart w:id="19" w:name="_Toc209722986"/>
      <w:r w:rsidRPr="00B450EB">
        <w:rPr>
          <w:color w:val="auto"/>
        </w:rPr>
        <w:t xml:space="preserve">Tabla </w:t>
      </w:r>
      <w:r w:rsidRPr="00B450EB">
        <w:rPr>
          <w:color w:val="auto"/>
        </w:rPr>
        <w:fldChar w:fldCharType="begin"/>
      </w:r>
      <w:r w:rsidRPr="00B450EB">
        <w:rPr>
          <w:color w:val="auto"/>
        </w:rPr>
        <w:instrText>SEQ Tabla \* ARABIC</w:instrText>
      </w:r>
      <w:r w:rsidRPr="00B450EB">
        <w:rPr>
          <w:color w:val="auto"/>
        </w:rPr>
        <w:fldChar w:fldCharType="separate"/>
      </w:r>
      <w:r w:rsidR="009765C2" w:rsidRPr="00B450EB">
        <w:rPr>
          <w:noProof/>
          <w:color w:val="auto"/>
        </w:rPr>
        <w:t>3</w:t>
      </w:r>
      <w:r w:rsidRPr="00B450EB">
        <w:rPr>
          <w:color w:val="auto"/>
        </w:rPr>
        <w:fldChar w:fldCharType="end"/>
      </w:r>
      <w:r w:rsidRPr="00B450EB">
        <w:rPr>
          <w:color w:val="auto"/>
        </w:rPr>
        <w:t xml:space="preserve"> Relación de los POMCAS y su estado de formulación</w:t>
      </w:r>
      <w:bookmarkEnd w:id="19"/>
    </w:p>
    <w:tbl>
      <w:tblPr>
        <w:tblW w:w="8926" w:type="dxa"/>
        <w:tblCellMar>
          <w:left w:w="70" w:type="dxa"/>
          <w:right w:w="70" w:type="dxa"/>
        </w:tblCellMar>
        <w:tblLook w:val="04A0" w:firstRow="1" w:lastRow="0" w:firstColumn="1" w:lastColumn="0" w:noHBand="0" w:noVBand="1"/>
      </w:tblPr>
      <w:tblGrid>
        <w:gridCol w:w="2157"/>
        <w:gridCol w:w="1138"/>
        <w:gridCol w:w="2908"/>
        <w:gridCol w:w="1443"/>
        <w:gridCol w:w="1280"/>
      </w:tblGrid>
      <w:tr w:rsidR="00EF1937" w:rsidRPr="00B450EB" w14:paraId="530D98EA" w14:textId="77777777" w:rsidTr="1A90EEB0">
        <w:trPr>
          <w:trHeight w:val="300"/>
          <w:tblHeader/>
        </w:trPr>
        <w:tc>
          <w:tcPr>
            <w:tcW w:w="2157" w:type="dxa"/>
            <w:tcBorders>
              <w:top w:val="single" w:sz="4" w:space="0" w:color="auto"/>
              <w:left w:val="single" w:sz="4" w:space="0" w:color="auto"/>
              <w:bottom w:val="single" w:sz="4" w:space="0" w:color="auto"/>
              <w:right w:val="single" w:sz="4" w:space="0" w:color="auto"/>
            </w:tcBorders>
            <w:shd w:val="clear" w:color="auto" w:fill="C6E0B4"/>
            <w:vAlign w:val="center"/>
            <w:hideMark/>
          </w:tcPr>
          <w:p w14:paraId="568F78D5" w14:textId="77777777" w:rsidR="00AF40F3" w:rsidRPr="00B450EB" w:rsidRDefault="00AF40F3" w:rsidP="00AF40F3">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Nombre POMCA</w:t>
            </w:r>
          </w:p>
        </w:tc>
        <w:tc>
          <w:tcPr>
            <w:tcW w:w="1138" w:type="dxa"/>
            <w:tcBorders>
              <w:top w:val="single" w:sz="4" w:space="0" w:color="auto"/>
              <w:left w:val="nil"/>
              <w:bottom w:val="single" w:sz="4" w:space="0" w:color="auto"/>
              <w:right w:val="single" w:sz="4" w:space="0" w:color="auto"/>
            </w:tcBorders>
            <w:shd w:val="clear" w:color="auto" w:fill="C6E0B4"/>
            <w:vAlign w:val="center"/>
            <w:hideMark/>
          </w:tcPr>
          <w:p w14:paraId="591B6E60" w14:textId="77777777" w:rsidR="00AF40F3" w:rsidRPr="00B450EB" w:rsidRDefault="00AF40F3" w:rsidP="00AF40F3">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Estado</w:t>
            </w:r>
          </w:p>
        </w:tc>
        <w:tc>
          <w:tcPr>
            <w:tcW w:w="2908" w:type="dxa"/>
            <w:tcBorders>
              <w:top w:val="single" w:sz="4" w:space="0" w:color="auto"/>
              <w:left w:val="nil"/>
              <w:bottom w:val="single" w:sz="4" w:space="0" w:color="auto"/>
              <w:right w:val="single" w:sz="4" w:space="0" w:color="auto"/>
            </w:tcBorders>
            <w:shd w:val="clear" w:color="auto" w:fill="C6E0B4"/>
            <w:vAlign w:val="center"/>
            <w:hideMark/>
          </w:tcPr>
          <w:p w14:paraId="0C664167" w14:textId="77777777" w:rsidR="00AF40F3" w:rsidRPr="00B450EB" w:rsidRDefault="00AF40F3" w:rsidP="00AF40F3">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Resolución</w:t>
            </w:r>
          </w:p>
        </w:tc>
        <w:tc>
          <w:tcPr>
            <w:tcW w:w="1443" w:type="dxa"/>
            <w:tcBorders>
              <w:top w:val="single" w:sz="4" w:space="0" w:color="auto"/>
              <w:left w:val="nil"/>
              <w:bottom w:val="single" w:sz="4" w:space="0" w:color="auto"/>
              <w:right w:val="single" w:sz="4" w:space="0" w:color="auto"/>
            </w:tcBorders>
            <w:shd w:val="clear" w:color="auto" w:fill="C6E0B4"/>
            <w:vAlign w:val="center"/>
            <w:hideMark/>
          </w:tcPr>
          <w:p w14:paraId="49E7CECE" w14:textId="755CE1F4" w:rsidR="00AF40F3" w:rsidRPr="00B450EB" w:rsidRDefault="77DCF17A" w:rsidP="00AF40F3">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Área</w:t>
            </w:r>
            <w:r w:rsidR="00AF40F3" w:rsidRPr="00B450EB">
              <w:rPr>
                <w:rFonts w:eastAsia="Times New Roman" w:cs="Arial"/>
                <w:b/>
                <w:bCs/>
                <w:kern w:val="0"/>
                <w:sz w:val="18"/>
                <w:szCs w:val="18"/>
                <w:lang w:eastAsia="es-CO"/>
                <w14:ligatures w14:val="none"/>
              </w:rPr>
              <w:t xml:space="preserve"> (Ha)</w:t>
            </w:r>
          </w:p>
        </w:tc>
        <w:tc>
          <w:tcPr>
            <w:tcW w:w="1280" w:type="dxa"/>
            <w:tcBorders>
              <w:top w:val="single" w:sz="4" w:space="0" w:color="auto"/>
              <w:left w:val="nil"/>
              <w:bottom w:val="single" w:sz="4" w:space="0" w:color="auto"/>
              <w:right w:val="single" w:sz="4" w:space="0" w:color="auto"/>
            </w:tcBorders>
            <w:shd w:val="clear" w:color="auto" w:fill="C6E0B4"/>
            <w:vAlign w:val="center"/>
            <w:hideMark/>
          </w:tcPr>
          <w:p w14:paraId="5CF58C20" w14:textId="77777777" w:rsidR="00AF40F3" w:rsidRPr="00B450EB" w:rsidRDefault="00AF40F3" w:rsidP="00AF40F3">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w:t>
            </w:r>
          </w:p>
        </w:tc>
      </w:tr>
      <w:tr w:rsidR="00EF1937" w:rsidRPr="00B450EB" w14:paraId="54874D36" w14:textId="77777777" w:rsidTr="00AF40F3">
        <w:trPr>
          <w:trHeight w:val="300"/>
        </w:trPr>
        <w:tc>
          <w:tcPr>
            <w:tcW w:w="2157" w:type="dxa"/>
            <w:tcBorders>
              <w:top w:val="nil"/>
              <w:left w:val="single" w:sz="4" w:space="0" w:color="auto"/>
              <w:bottom w:val="single" w:sz="4" w:space="0" w:color="auto"/>
              <w:right w:val="single" w:sz="4" w:space="0" w:color="auto"/>
            </w:tcBorders>
            <w:vAlign w:val="center"/>
            <w:hideMark/>
          </w:tcPr>
          <w:p w14:paraId="4BB03B6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Río Suaza - SZH</w:t>
            </w:r>
          </w:p>
        </w:tc>
        <w:tc>
          <w:tcPr>
            <w:tcW w:w="1138" w:type="dxa"/>
            <w:tcBorders>
              <w:top w:val="nil"/>
              <w:left w:val="nil"/>
              <w:bottom w:val="single" w:sz="4" w:space="0" w:color="auto"/>
              <w:right w:val="single" w:sz="4" w:space="0" w:color="auto"/>
            </w:tcBorders>
            <w:vAlign w:val="center"/>
            <w:hideMark/>
          </w:tcPr>
          <w:p w14:paraId="42E4861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53F8CA64"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CAM: 4074 de 2016</w:t>
            </w:r>
          </w:p>
        </w:tc>
        <w:tc>
          <w:tcPr>
            <w:tcW w:w="1443" w:type="dxa"/>
            <w:tcBorders>
              <w:top w:val="nil"/>
              <w:left w:val="nil"/>
              <w:bottom w:val="single" w:sz="4" w:space="0" w:color="auto"/>
              <w:right w:val="single" w:sz="4" w:space="0" w:color="auto"/>
            </w:tcBorders>
            <w:noWrap/>
            <w:vAlign w:val="center"/>
            <w:hideMark/>
          </w:tcPr>
          <w:p w14:paraId="0A79345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189,16995</w:t>
            </w:r>
          </w:p>
        </w:tc>
        <w:tc>
          <w:tcPr>
            <w:tcW w:w="1280" w:type="dxa"/>
            <w:tcBorders>
              <w:top w:val="nil"/>
              <w:left w:val="nil"/>
              <w:bottom w:val="single" w:sz="4" w:space="0" w:color="auto"/>
              <w:right w:val="single" w:sz="4" w:space="0" w:color="auto"/>
            </w:tcBorders>
            <w:noWrap/>
            <w:vAlign w:val="center"/>
            <w:hideMark/>
          </w:tcPr>
          <w:p w14:paraId="66DA01E3"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0,00039036</w:t>
            </w:r>
          </w:p>
        </w:tc>
      </w:tr>
      <w:tr w:rsidR="00EF1937" w:rsidRPr="00B450EB" w14:paraId="2D1C97C8" w14:textId="77777777" w:rsidTr="00AF40F3">
        <w:trPr>
          <w:trHeight w:val="600"/>
        </w:trPr>
        <w:tc>
          <w:tcPr>
            <w:tcW w:w="2157" w:type="dxa"/>
            <w:tcBorders>
              <w:top w:val="nil"/>
              <w:left w:val="single" w:sz="4" w:space="0" w:color="auto"/>
              <w:bottom w:val="single" w:sz="4" w:space="0" w:color="auto"/>
              <w:right w:val="single" w:sz="4" w:space="0" w:color="auto"/>
            </w:tcBorders>
            <w:vAlign w:val="center"/>
            <w:hideMark/>
          </w:tcPr>
          <w:p w14:paraId="65A9F21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Río Medio y Bajo Ariari - NSS</w:t>
            </w:r>
          </w:p>
        </w:tc>
        <w:tc>
          <w:tcPr>
            <w:tcW w:w="1138" w:type="dxa"/>
            <w:tcBorders>
              <w:top w:val="nil"/>
              <w:left w:val="nil"/>
              <w:bottom w:val="single" w:sz="4" w:space="0" w:color="auto"/>
              <w:right w:val="single" w:sz="4" w:space="0" w:color="auto"/>
            </w:tcBorders>
            <w:vAlign w:val="center"/>
            <w:hideMark/>
          </w:tcPr>
          <w:p w14:paraId="43B98EF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40AF349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Cormacarena</w:t>
            </w:r>
            <w:proofErr w:type="spellEnd"/>
            <w:r w:rsidRPr="00B450EB">
              <w:rPr>
                <w:rFonts w:eastAsia="Times New Roman" w:cs="Arial"/>
                <w:kern w:val="0"/>
                <w:sz w:val="18"/>
                <w:szCs w:val="18"/>
                <w:lang w:eastAsia="es-CO"/>
                <w14:ligatures w14:val="none"/>
              </w:rPr>
              <w:t>: PS-GJ.1.2.6.18-2900</w:t>
            </w:r>
          </w:p>
        </w:tc>
        <w:tc>
          <w:tcPr>
            <w:tcW w:w="1443" w:type="dxa"/>
            <w:tcBorders>
              <w:top w:val="nil"/>
              <w:left w:val="nil"/>
              <w:bottom w:val="single" w:sz="4" w:space="0" w:color="auto"/>
              <w:right w:val="single" w:sz="4" w:space="0" w:color="auto"/>
            </w:tcBorders>
            <w:noWrap/>
            <w:vAlign w:val="center"/>
            <w:hideMark/>
          </w:tcPr>
          <w:p w14:paraId="1C812C92"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38298,9126</w:t>
            </w:r>
          </w:p>
        </w:tc>
        <w:tc>
          <w:tcPr>
            <w:tcW w:w="1280" w:type="dxa"/>
            <w:tcBorders>
              <w:top w:val="nil"/>
              <w:left w:val="nil"/>
              <w:bottom w:val="single" w:sz="4" w:space="0" w:color="auto"/>
              <w:right w:val="single" w:sz="4" w:space="0" w:color="auto"/>
            </w:tcBorders>
            <w:noWrap/>
            <w:vAlign w:val="center"/>
            <w:hideMark/>
          </w:tcPr>
          <w:p w14:paraId="22979ADB"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0,07903041</w:t>
            </w:r>
          </w:p>
        </w:tc>
      </w:tr>
      <w:tr w:rsidR="00EF1937" w:rsidRPr="00B450EB" w14:paraId="40B16583" w14:textId="77777777" w:rsidTr="00AF40F3">
        <w:trPr>
          <w:trHeight w:val="300"/>
        </w:trPr>
        <w:tc>
          <w:tcPr>
            <w:tcW w:w="2157" w:type="dxa"/>
            <w:tcBorders>
              <w:top w:val="nil"/>
              <w:left w:val="single" w:sz="4" w:space="0" w:color="auto"/>
              <w:bottom w:val="single" w:sz="4" w:space="0" w:color="auto"/>
              <w:right w:val="single" w:sz="4" w:space="0" w:color="auto"/>
            </w:tcBorders>
            <w:vAlign w:val="center"/>
            <w:hideMark/>
          </w:tcPr>
          <w:p w14:paraId="3CF78D6D"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Río San Jorge - NSS</w:t>
            </w:r>
          </w:p>
        </w:tc>
        <w:tc>
          <w:tcPr>
            <w:tcW w:w="1138" w:type="dxa"/>
            <w:tcBorders>
              <w:top w:val="nil"/>
              <w:left w:val="nil"/>
              <w:bottom w:val="single" w:sz="4" w:space="0" w:color="auto"/>
              <w:right w:val="single" w:sz="4" w:space="0" w:color="auto"/>
            </w:tcBorders>
            <w:vAlign w:val="center"/>
            <w:hideMark/>
          </w:tcPr>
          <w:p w14:paraId="7FF96A28"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1E6A7F63"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Acuerdo 0013 de 2019</w:t>
            </w:r>
          </w:p>
        </w:tc>
        <w:tc>
          <w:tcPr>
            <w:tcW w:w="1443" w:type="dxa"/>
            <w:tcBorders>
              <w:top w:val="nil"/>
              <w:left w:val="nil"/>
              <w:bottom w:val="single" w:sz="4" w:space="0" w:color="auto"/>
              <w:right w:val="single" w:sz="4" w:space="0" w:color="auto"/>
            </w:tcBorders>
            <w:noWrap/>
            <w:vAlign w:val="center"/>
            <w:hideMark/>
          </w:tcPr>
          <w:p w14:paraId="76A5C05E"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250,856203</w:t>
            </w:r>
          </w:p>
        </w:tc>
        <w:tc>
          <w:tcPr>
            <w:tcW w:w="1280" w:type="dxa"/>
            <w:tcBorders>
              <w:top w:val="nil"/>
              <w:left w:val="nil"/>
              <w:bottom w:val="single" w:sz="4" w:space="0" w:color="auto"/>
              <w:right w:val="single" w:sz="4" w:space="0" w:color="auto"/>
            </w:tcBorders>
            <w:noWrap/>
            <w:vAlign w:val="center"/>
            <w:hideMark/>
          </w:tcPr>
          <w:p w14:paraId="4FD1DA52"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0,00051765</w:t>
            </w:r>
          </w:p>
        </w:tc>
      </w:tr>
      <w:tr w:rsidR="00EF1937" w:rsidRPr="00B450EB" w14:paraId="4BD7A5EA" w14:textId="77777777" w:rsidTr="00AF40F3">
        <w:trPr>
          <w:trHeight w:val="600"/>
        </w:trPr>
        <w:tc>
          <w:tcPr>
            <w:tcW w:w="2157" w:type="dxa"/>
            <w:tcBorders>
              <w:top w:val="nil"/>
              <w:left w:val="single" w:sz="4" w:space="0" w:color="auto"/>
              <w:bottom w:val="single" w:sz="4" w:space="0" w:color="auto"/>
              <w:right w:val="single" w:sz="4" w:space="0" w:color="auto"/>
            </w:tcBorders>
            <w:vAlign w:val="center"/>
            <w:hideMark/>
          </w:tcPr>
          <w:p w14:paraId="709037BE"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xml:space="preserve">Río </w:t>
            </w:r>
            <w:proofErr w:type="spellStart"/>
            <w:r w:rsidRPr="00B450EB">
              <w:rPr>
                <w:rFonts w:eastAsia="Times New Roman" w:cs="Arial"/>
                <w:kern w:val="0"/>
                <w:sz w:val="18"/>
                <w:szCs w:val="18"/>
                <w:lang w:eastAsia="es-CO"/>
                <w14:ligatures w14:val="none"/>
              </w:rPr>
              <w:t>Juananbú</w:t>
            </w:r>
            <w:proofErr w:type="spellEnd"/>
            <w:r w:rsidRPr="00B450EB">
              <w:rPr>
                <w:rFonts w:eastAsia="Times New Roman" w:cs="Arial"/>
                <w:kern w:val="0"/>
                <w:sz w:val="18"/>
                <w:szCs w:val="18"/>
                <w:lang w:eastAsia="es-CO"/>
                <w14:ligatures w14:val="none"/>
              </w:rPr>
              <w:t xml:space="preserve"> - SZH</w:t>
            </w:r>
          </w:p>
        </w:tc>
        <w:tc>
          <w:tcPr>
            <w:tcW w:w="1138" w:type="dxa"/>
            <w:tcBorders>
              <w:top w:val="nil"/>
              <w:left w:val="nil"/>
              <w:bottom w:val="single" w:sz="4" w:space="0" w:color="auto"/>
              <w:right w:val="single" w:sz="4" w:space="0" w:color="auto"/>
            </w:tcBorders>
            <w:vAlign w:val="center"/>
            <w:hideMark/>
          </w:tcPr>
          <w:p w14:paraId="67B7561A"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7F6F1ACD"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Corponariño</w:t>
            </w:r>
            <w:proofErr w:type="spellEnd"/>
            <w:r w:rsidRPr="00B450EB">
              <w:rPr>
                <w:rFonts w:eastAsia="Times New Roman" w:cs="Arial"/>
                <w:kern w:val="0"/>
                <w:sz w:val="18"/>
                <w:szCs w:val="18"/>
                <w:lang w:eastAsia="es-CO"/>
                <w14:ligatures w14:val="none"/>
              </w:rPr>
              <w:t>: Resolución 223 de 2019</w:t>
            </w:r>
          </w:p>
        </w:tc>
        <w:tc>
          <w:tcPr>
            <w:tcW w:w="1443" w:type="dxa"/>
            <w:tcBorders>
              <w:top w:val="nil"/>
              <w:left w:val="nil"/>
              <w:bottom w:val="single" w:sz="4" w:space="0" w:color="auto"/>
              <w:right w:val="single" w:sz="4" w:space="0" w:color="auto"/>
            </w:tcBorders>
            <w:noWrap/>
            <w:vAlign w:val="center"/>
            <w:hideMark/>
          </w:tcPr>
          <w:p w14:paraId="6464383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318,886665</w:t>
            </w:r>
          </w:p>
        </w:tc>
        <w:tc>
          <w:tcPr>
            <w:tcW w:w="1280" w:type="dxa"/>
            <w:tcBorders>
              <w:top w:val="nil"/>
              <w:left w:val="nil"/>
              <w:bottom w:val="single" w:sz="4" w:space="0" w:color="auto"/>
              <w:right w:val="single" w:sz="4" w:space="0" w:color="auto"/>
            </w:tcBorders>
            <w:noWrap/>
            <w:vAlign w:val="center"/>
            <w:hideMark/>
          </w:tcPr>
          <w:p w14:paraId="73CE491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0,00065803</w:t>
            </w:r>
          </w:p>
        </w:tc>
      </w:tr>
      <w:tr w:rsidR="00EF1937" w:rsidRPr="00B450EB" w14:paraId="16F1FC57" w14:textId="77777777" w:rsidTr="00AF40F3">
        <w:trPr>
          <w:trHeight w:val="600"/>
        </w:trPr>
        <w:tc>
          <w:tcPr>
            <w:tcW w:w="2157" w:type="dxa"/>
            <w:tcBorders>
              <w:top w:val="nil"/>
              <w:left w:val="single" w:sz="4" w:space="0" w:color="auto"/>
              <w:bottom w:val="single" w:sz="4" w:space="0" w:color="auto"/>
              <w:right w:val="single" w:sz="4" w:space="0" w:color="auto"/>
            </w:tcBorders>
            <w:vAlign w:val="center"/>
            <w:hideMark/>
          </w:tcPr>
          <w:p w14:paraId="2B04EDD5"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Rio Losada - SZH</w:t>
            </w:r>
          </w:p>
        </w:tc>
        <w:tc>
          <w:tcPr>
            <w:tcW w:w="1138" w:type="dxa"/>
            <w:tcBorders>
              <w:top w:val="nil"/>
              <w:left w:val="nil"/>
              <w:bottom w:val="single" w:sz="4" w:space="0" w:color="auto"/>
              <w:right w:val="single" w:sz="4" w:space="0" w:color="auto"/>
            </w:tcBorders>
            <w:vAlign w:val="center"/>
            <w:hideMark/>
          </w:tcPr>
          <w:p w14:paraId="7724C67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58DEA503"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Cormacarena</w:t>
            </w:r>
            <w:proofErr w:type="spellEnd"/>
            <w:r w:rsidRPr="00B450EB">
              <w:rPr>
                <w:rFonts w:eastAsia="Times New Roman" w:cs="Arial"/>
                <w:kern w:val="0"/>
                <w:sz w:val="18"/>
                <w:szCs w:val="18"/>
                <w:lang w:eastAsia="es-CO"/>
                <w14:ligatures w14:val="none"/>
              </w:rPr>
              <w:t>: RES No. PS-GJ.1.2.6.19 - 3282 de 2019</w:t>
            </w:r>
          </w:p>
        </w:tc>
        <w:tc>
          <w:tcPr>
            <w:tcW w:w="1443" w:type="dxa"/>
            <w:tcBorders>
              <w:top w:val="nil"/>
              <w:left w:val="nil"/>
              <w:bottom w:val="single" w:sz="4" w:space="0" w:color="auto"/>
              <w:right w:val="single" w:sz="4" w:space="0" w:color="auto"/>
            </w:tcBorders>
            <w:noWrap/>
            <w:vAlign w:val="center"/>
            <w:hideMark/>
          </w:tcPr>
          <w:p w14:paraId="706D3F93"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365802,61</w:t>
            </w:r>
          </w:p>
        </w:tc>
        <w:tc>
          <w:tcPr>
            <w:tcW w:w="1280" w:type="dxa"/>
            <w:tcBorders>
              <w:top w:val="nil"/>
              <w:left w:val="nil"/>
              <w:bottom w:val="single" w:sz="4" w:space="0" w:color="auto"/>
              <w:right w:val="single" w:sz="4" w:space="0" w:color="auto"/>
            </w:tcBorders>
            <w:noWrap/>
            <w:vAlign w:val="center"/>
            <w:hideMark/>
          </w:tcPr>
          <w:p w14:paraId="2A2CE24A"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0,75483948</w:t>
            </w:r>
          </w:p>
        </w:tc>
      </w:tr>
      <w:tr w:rsidR="00EF1937" w:rsidRPr="00B450EB" w14:paraId="40B946A8" w14:textId="77777777" w:rsidTr="00AF40F3">
        <w:trPr>
          <w:trHeight w:val="600"/>
        </w:trPr>
        <w:tc>
          <w:tcPr>
            <w:tcW w:w="2157" w:type="dxa"/>
            <w:tcBorders>
              <w:top w:val="nil"/>
              <w:left w:val="single" w:sz="4" w:space="0" w:color="auto"/>
              <w:bottom w:val="single" w:sz="4" w:space="0" w:color="auto"/>
              <w:right w:val="single" w:sz="4" w:space="0" w:color="auto"/>
            </w:tcBorders>
            <w:vAlign w:val="center"/>
            <w:hideMark/>
          </w:tcPr>
          <w:p w14:paraId="5C6A45B5"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Río Guáitara - SZH</w:t>
            </w:r>
          </w:p>
        </w:tc>
        <w:tc>
          <w:tcPr>
            <w:tcW w:w="1138" w:type="dxa"/>
            <w:tcBorders>
              <w:top w:val="nil"/>
              <w:left w:val="nil"/>
              <w:bottom w:val="single" w:sz="4" w:space="0" w:color="auto"/>
              <w:right w:val="single" w:sz="4" w:space="0" w:color="auto"/>
            </w:tcBorders>
            <w:vAlign w:val="center"/>
            <w:hideMark/>
          </w:tcPr>
          <w:p w14:paraId="7401221E"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6A86D248"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Corponariño</w:t>
            </w:r>
            <w:proofErr w:type="spellEnd"/>
            <w:r w:rsidRPr="00B450EB">
              <w:rPr>
                <w:rFonts w:eastAsia="Times New Roman" w:cs="Arial"/>
                <w:kern w:val="0"/>
                <w:sz w:val="18"/>
                <w:szCs w:val="18"/>
                <w:lang w:eastAsia="es-CO"/>
                <w14:ligatures w14:val="none"/>
              </w:rPr>
              <w:t>: Resolución 224 de 2019</w:t>
            </w:r>
          </w:p>
        </w:tc>
        <w:tc>
          <w:tcPr>
            <w:tcW w:w="1443" w:type="dxa"/>
            <w:tcBorders>
              <w:top w:val="nil"/>
              <w:left w:val="nil"/>
              <w:bottom w:val="single" w:sz="4" w:space="0" w:color="auto"/>
              <w:right w:val="single" w:sz="4" w:space="0" w:color="auto"/>
            </w:tcBorders>
            <w:noWrap/>
            <w:vAlign w:val="center"/>
            <w:hideMark/>
          </w:tcPr>
          <w:p w14:paraId="513DF7E3"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461,16021</w:t>
            </w:r>
          </w:p>
        </w:tc>
        <w:tc>
          <w:tcPr>
            <w:tcW w:w="1280" w:type="dxa"/>
            <w:tcBorders>
              <w:top w:val="nil"/>
              <w:left w:val="nil"/>
              <w:bottom w:val="single" w:sz="4" w:space="0" w:color="auto"/>
              <w:right w:val="single" w:sz="4" w:space="0" w:color="auto"/>
            </w:tcBorders>
            <w:noWrap/>
            <w:vAlign w:val="center"/>
            <w:hideMark/>
          </w:tcPr>
          <w:p w14:paraId="515B903D"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0,00095161</w:t>
            </w:r>
          </w:p>
        </w:tc>
      </w:tr>
      <w:tr w:rsidR="00EF1937" w:rsidRPr="00B450EB" w14:paraId="51E6EAE4" w14:textId="77777777" w:rsidTr="00AF40F3">
        <w:trPr>
          <w:trHeight w:val="600"/>
        </w:trPr>
        <w:tc>
          <w:tcPr>
            <w:tcW w:w="2157" w:type="dxa"/>
            <w:tcBorders>
              <w:top w:val="nil"/>
              <w:left w:val="single" w:sz="4" w:space="0" w:color="auto"/>
              <w:bottom w:val="single" w:sz="4" w:space="0" w:color="auto"/>
              <w:right w:val="single" w:sz="4" w:space="0" w:color="auto"/>
            </w:tcBorders>
            <w:vAlign w:val="center"/>
            <w:hideMark/>
          </w:tcPr>
          <w:p w14:paraId="1ED8745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Medio Guaviare (</w:t>
            </w:r>
            <w:proofErr w:type="spellStart"/>
            <w:r w:rsidRPr="00B450EB">
              <w:rPr>
                <w:rFonts w:eastAsia="Times New Roman" w:cs="Arial"/>
                <w:kern w:val="0"/>
                <w:sz w:val="18"/>
                <w:szCs w:val="18"/>
                <w:lang w:eastAsia="es-CO"/>
                <w14:ligatures w14:val="none"/>
              </w:rPr>
              <w:t>md</w:t>
            </w:r>
            <w:proofErr w:type="spellEnd"/>
            <w:r w:rsidRPr="00B450EB">
              <w:rPr>
                <w:rFonts w:eastAsia="Times New Roman" w:cs="Arial"/>
                <w:kern w:val="0"/>
                <w:sz w:val="18"/>
                <w:szCs w:val="18"/>
                <w:lang w:eastAsia="es-CO"/>
                <w14:ligatures w14:val="none"/>
              </w:rPr>
              <w:t>) - NSS</w:t>
            </w:r>
          </w:p>
        </w:tc>
        <w:tc>
          <w:tcPr>
            <w:tcW w:w="1138" w:type="dxa"/>
            <w:tcBorders>
              <w:top w:val="nil"/>
              <w:left w:val="nil"/>
              <w:bottom w:val="single" w:sz="4" w:space="0" w:color="auto"/>
              <w:right w:val="single" w:sz="4" w:space="0" w:color="auto"/>
            </w:tcBorders>
            <w:vAlign w:val="center"/>
            <w:hideMark/>
          </w:tcPr>
          <w:p w14:paraId="70F4419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65850DBA"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295 de 2018</w:t>
            </w:r>
          </w:p>
        </w:tc>
        <w:tc>
          <w:tcPr>
            <w:tcW w:w="1443" w:type="dxa"/>
            <w:tcBorders>
              <w:top w:val="nil"/>
              <w:left w:val="nil"/>
              <w:bottom w:val="single" w:sz="4" w:space="0" w:color="auto"/>
              <w:right w:val="single" w:sz="4" w:space="0" w:color="auto"/>
            </w:tcBorders>
            <w:noWrap/>
            <w:vAlign w:val="center"/>
            <w:hideMark/>
          </w:tcPr>
          <w:p w14:paraId="3C6C8AB0"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602699,966</w:t>
            </w:r>
          </w:p>
        </w:tc>
        <w:tc>
          <w:tcPr>
            <w:tcW w:w="1280" w:type="dxa"/>
            <w:tcBorders>
              <w:top w:val="nil"/>
              <w:left w:val="nil"/>
              <w:bottom w:val="single" w:sz="4" w:space="0" w:color="auto"/>
              <w:right w:val="single" w:sz="4" w:space="0" w:color="auto"/>
            </w:tcBorders>
            <w:noWrap/>
            <w:vAlign w:val="center"/>
            <w:hideMark/>
          </w:tcPr>
          <w:p w14:paraId="2B114DEB"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1,24368093</w:t>
            </w:r>
          </w:p>
        </w:tc>
      </w:tr>
      <w:tr w:rsidR="00EF1937" w:rsidRPr="00B450EB" w14:paraId="41DE06D4" w14:textId="77777777" w:rsidTr="00AF40F3">
        <w:trPr>
          <w:trHeight w:val="78"/>
        </w:trPr>
        <w:tc>
          <w:tcPr>
            <w:tcW w:w="2157" w:type="dxa"/>
            <w:tcBorders>
              <w:top w:val="nil"/>
              <w:left w:val="single" w:sz="4" w:space="0" w:color="auto"/>
              <w:bottom w:val="single" w:sz="4" w:space="0" w:color="auto"/>
              <w:right w:val="single" w:sz="4" w:space="0" w:color="auto"/>
            </w:tcBorders>
            <w:vAlign w:val="center"/>
            <w:hideMark/>
          </w:tcPr>
          <w:p w14:paraId="22CE015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xml:space="preserve">Rio </w:t>
            </w:r>
            <w:proofErr w:type="spellStart"/>
            <w:r w:rsidRPr="00B450EB">
              <w:rPr>
                <w:rFonts w:eastAsia="Times New Roman" w:cs="Arial"/>
                <w:kern w:val="0"/>
                <w:sz w:val="18"/>
                <w:szCs w:val="18"/>
                <w:lang w:eastAsia="es-CO"/>
                <w14:ligatures w14:val="none"/>
              </w:rPr>
              <w:t>Tilava</w:t>
            </w:r>
            <w:proofErr w:type="spellEnd"/>
            <w:r w:rsidRPr="00B450EB">
              <w:rPr>
                <w:rFonts w:eastAsia="Times New Roman" w:cs="Arial"/>
                <w:kern w:val="0"/>
                <w:sz w:val="18"/>
                <w:szCs w:val="18"/>
                <w:lang w:eastAsia="es-CO"/>
                <w14:ligatures w14:val="none"/>
              </w:rPr>
              <w:t xml:space="preserve"> - NSS</w:t>
            </w:r>
          </w:p>
        </w:tc>
        <w:tc>
          <w:tcPr>
            <w:tcW w:w="1138" w:type="dxa"/>
            <w:tcBorders>
              <w:top w:val="nil"/>
              <w:left w:val="nil"/>
              <w:bottom w:val="single" w:sz="4" w:space="0" w:color="auto"/>
              <w:right w:val="single" w:sz="4" w:space="0" w:color="auto"/>
            </w:tcBorders>
            <w:vAlign w:val="center"/>
            <w:hideMark/>
          </w:tcPr>
          <w:p w14:paraId="541688F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7F91A9E5" w14:textId="2CEC1784"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PS-GJ 1.2.6.19 - 0141 de 2019 (</w:t>
            </w:r>
            <w:proofErr w:type="spellStart"/>
            <w:r w:rsidRPr="00B450EB">
              <w:rPr>
                <w:rFonts w:eastAsia="Times New Roman" w:cs="Arial"/>
                <w:kern w:val="0"/>
                <w:sz w:val="18"/>
                <w:szCs w:val="18"/>
                <w:lang w:eastAsia="es-CO"/>
                <w14:ligatures w14:val="none"/>
              </w:rPr>
              <w:t>Cormacarena</w:t>
            </w:r>
            <w:proofErr w:type="spellEnd"/>
            <w:r w:rsidRPr="00B450EB">
              <w:rPr>
                <w:rFonts w:eastAsia="Times New Roman" w:cs="Arial"/>
                <w:kern w:val="0"/>
                <w:sz w:val="18"/>
                <w:szCs w:val="18"/>
                <w:lang w:eastAsia="es-CO"/>
                <w14:ligatures w14:val="none"/>
              </w:rPr>
              <w:t>)</w:t>
            </w:r>
          </w:p>
        </w:tc>
        <w:tc>
          <w:tcPr>
            <w:tcW w:w="1443" w:type="dxa"/>
            <w:tcBorders>
              <w:top w:val="nil"/>
              <w:left w:val="nil"/>
              <w:bottom w:val="single" w:sz="4" w:space="0" w:color="auto"/>
              <w:right w:val="single" w:sz="4" w:space="0" w:color="auto"/>
            </w:tcBorders>
            <w:noWrap/>
            <w:vAlign w:val="center"/>
            <w:hideMark/>
          </w:tcPr>
          <w:p w14:paraId="122FB68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395,960306</w:t>
            </w:r>
          </w:p>
        </w:tc>
        <w:tc>
          <w:tcPr>
            <w:tcW w:w="1280" w:type="dxa"/>
            <w:tcBorders>
              <w:top w:val="nil"/>
              <w:left w:val="nil"/>
              <w:bottom w:val="single" w:sz="4" w:space="0" w:color="auto"/>
              <w:right w:val="single" w:sz="4" w:space="0" w:color="auto"/>
            </w:tcBorders>
            <w:noWrap/>
            <w:vAlign w:val="center"/>
            <w:hideMark/>
          </w:tcPr>
          <w:p w14:paraId="4B7AD22E"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0,00081707</w:t>
            </w:r>
          </w:p>
        </w:tc>
      </w:tr>
      <w:tr w:rsidR="00EF1937" w:rsidRPr="00B450EB" w14:paraId="46768A9C" w14:textId="77777777" w:rsidTr="00AF40F3">
        <w:trPr>
          <w:trHeight w:val="600"/>
        </w:trPr>
        <w:tc>
          <w:tcPr>
            <w:tcW w:w="2157" w:type="dxa"/>
            <w:tcBorders>
              <w:top w:val="nil"/>
              <w:left w:val="single" w:sz="4" w:space="0" w:color="auto"/>
              <w:bottom w:val="single" w:sz="4" w:space="0" w:color="auto"/>
              <w:right w:val="single" w:sz="4" w:space="0" w:color="auto"/>
            </w:tcBorders>
            <w:vAlign w:val="center"/>
            <w:hideMark/>
          </w:tcPr>
          <w:p w14:paraId="7DB8BDDE"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lastRenderedPageBreak/>
              <w:t>Río Hacha - NSS</w:t>
            </w:r>
          </w:p>
        </w:tc>
        <w:tc>
          <w:tcPr>
            <w:tcW w:w="1138" w:type="dxa"/>
            <w:tcBorders>
              <w:top w:val="nil"/>
              <w:left w:val="nil"/>
              <w:bottom w:val="single" w:sz="4" w:space="0" w:color="auto"/>
              <w:right w:val="single" w:sz="4" w:space="0" w:color="auto"/>
            </w:tcBorders>
            <w:vAlign w:val="center"/>
            <w:hideMark/>
          </w:tcPr>
          <w:p w14:paraId="3358D91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728D59D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Corpoamazonia</w:t>
            </w:r>
            <w:proofErr w:type="spellEnd"/>
            <w:r w:rsidRPr="00B450EB">
              <w:rPr>
                <w:rFonts w:eastAsia="Times New Roman" w:cs="Arial"/>
                <w:kern w:val="0"/>
                <w:sz w:val="18"/>
                <w:szCs w:val="18"/>
                <w:lang w:eastAsia="es-CO"/>
                <w14:ligatures w14:val="none"/>
              </w:rPr>
              <w:t>: Resolución 1662 de 2018</w:t>
            </w:r>
          </w:p>
        </w:tc>
        <w:tc>
          <w:tcPr>
            <w:tcW w:w="1443" w:type="dxa"/>
            <w:tcBorders>
              <w:top w:val="nil"/>
              <w:left w:val="nil"/>
              <w:bottom w:val="single" w:sz="4" w:space="0" w:color="auto"/>
              <w:right w:val="single" w:sz="4" w:space="0" w:color="auto"/>
            </w:tcBorders>
            <w:noWrap/>
            <w:vAlign w:val="center"/>
            <w:hideMark/>
          </w:tcPr>
          <w:p w14:paraId="33BC6B11"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51054,1437</w:t>
            </w:r>
          </w:p>
        </w:tc>
        <w:tc>
          <w:tcPr>
            <w:tcW w:w="1280" w:type="dxa"/>
            <w:tcBorders>
              <w:top w:val="nil"/>
              <w:left w:val="nil"/>
              <w:bottom w:val="single" w:sz="4" w:space="0" w:color="auto"/>
              <w:right w:val="single" w:sz="4" w:space="0" w:color="auto"/>
            </w:tcBorders>
            <w:noWrap/>
            <w:vAlign w:val="center"/>
            <w:hideMark/>
          </w:tcPr>
          <w:p w14:paraId="5E643C9F"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0,10535103</w:t>
            </w:r>
          </w:p>
        </w:tc>
      </w:tr>
      <w:tr w:rsidR="00EF1937" w:rsidRPr="00B450EB" w14:paraId="589A6B58" w14:textId="77777777" w:rsidTr="00AF40F3">
        <w:trPr>
          <w:trHeight w:val="300"/>
        </w:trPr>
        <w:tc>
          <w:tcPr>
            <w:tcW w:w="2157" w:type="dxa"/>
            <w:tcBorders>
              <w:top w:val="nil"/>
              <w:left w:val="single" w:sz="4" w:space="0" w:color="auto"/>
              <w:bottom w:val="single" w:sz="4" w:space="0" w:color="auto"/>
              <w:right w:val="single" w:sz="4" w:space="0" w:color="auto"/>
            </w:tcBorders>
            <w:noWrap/>
            <w:vAlign w:val="center"/>
            <w:hideMark/>
          </w:tcPr>
          <w:p w14:paraId="4CB05D42"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Cuenca Alta del Río Putumayo</w:t>
            </w:r>
          </w:p>
        </w:tc>
        <w:tc>
          <w:tcPr>
            <w:tcW w:w="1138" w:type="dxa"/>
            <w:tcBorders>
              <w:top w:val="nil"/>
              <w:left w:val="nil"/>
              <w:bottom w:val="single" w:sz="4" w:space="0" w:color="auto"/>
              <w:right w:val="single" w:sz="4" w:space="0" w:color="auto"/>
            </w:tcBorders>
            <w:noWrap/>
            <w:vAlign w:val="center"/>
            <w:hideMark/>
          </w:tcPr>
          <w:p w14:paraId="24F69DF8"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noWrap/>
            <w:vAlign w:val="center"/>
            <w:hideMark/>
          </w:tcPr>
          <w:p w14:paraId="241709A3"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0234 del 11 de febrero de 2010</w:t>
            </w:r>
          </w:p>
        </w:tc>
        <w:tc>
          <w:tcPr>
            <w:tcW w:w="1443" w:type="dxa"/>
            <w:tcBorders>
              <w:top w:val="nil"/>
              <w:left w:val="nil"/>
              <w:bottom w:val="single" w:sz="4" w:space="0" w:color="auto"/>
              <w:right w:val="single" w:sz="4" w:space="0" w:color="auto"/>
            </w:tcBorders>
            <w:noWrap/>
            <w:vAlign w:val="center"/>
            <w:hideMark/>
          </w:tcPr>
          <w:p w14:paraId="22D98430"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11952000</w:t>
            </w:r>
          </w:p>
        </w:tc>
        <w:tc>
          <w:tcPr>
            <w:tcW w:w="1280" w:type="dxa"/>
            <w:tcBorders>
              <w:top w:val="nil"/>
              <w:left w:val="nil"/>
              <w:bottom w:val="single" w:sz="4" w:space="0" w:color="auto"/>
              <w:right w:val="single" w:sz="4" w:space="0" w:color="auto"/>
            </w:tcBorders>
            <w:noWrap/>
            <w:vAlign w:val="center"/>
            <w:hideMark/>
          </w:tcPr>
          <w:p w14:paraId="0DB0F457"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24,6631414</w:t>
            </w:r>
          </w:p>
        </w:tc>
      </w:tr>
      <w:tr w:rsidR="00EF1937" w:rsidRPr="00B450EB" w14:paraId="4BCB6875" w14:textId="77777777" w:rsidTr="00AF40F3">
        <w:trPr>
          <w:trHeight w:val="300"/>
        </w:trPr>
        <w:tc>
          <w:tcPr>
            <w:tcW w:w="2157" w:type="dxa"/>
            <w:tcBorders>
              <w:top w:val="nil"/>
              <w:left w:val="single" w:sz="4" w:space="0" w:color="auto"/>
              <w:bottom w:val="single" w:sz="4" w:space="0" w:color="auto"/>
              <w:right w:val="single" w:sz="4" w:space="0" w:color="auto"/>
            </w:tcBorders>
            <w:noWrap/>
            <w:vAlign w:val="center"/>
            <w:hideMark/>
          </w:tcPr>
          <w:p w14:paraId="37150295"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La Hormiga</w:t>
            </w:r>
          </w:p>
        </w:tc>
        <w:tc>
          <w:tcPr>
            <w:tcW w:w="1138" w:type="dxa"/>
            <w:tcBorders>
              <w:top w:val="nil"/>
              <w:left w:val="nil"/>
              <w:bottom w:val="single" w:sz="4" w:space="0" w:color="auto"/>
              <w:right w:val="single" w:sz="4" w:space="0" w:color="auto"/>
            </w:tcBorders>
            <w:noWrap/>
            <w:vAlign w:val="center"/>
            <w:hideMark/>
          </w:tcPr>
          <w:p w14:paraId="3C10F262"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noWrap/>
            <w:vAlign w:val="center"/>
            <w:hideMark/>
          </w:tcPr>
          <w:p w14:paraId="712F74C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1241 del 30 de diciembre de 2005</w:t>
            </w:r>
          </w:p>
        </w:tc>
        <w:tc>
          <w:tcPr>
            <w:tcW w:w="1443" w:type="dxa"/>
            <w:tcBorders>
              <w:top w:val="nil"/>
              <w:left w:val="nil"/>
              <w:bottom w:val="single" w:sz="4" w:space="0" w:color="auto"/>
              <w:right w:val="single" w:sz="4" w:space="0" w:color="auto"/>
            </w:tcBorders>
            <w:noWrap/>
            <w:vAlign w:val="center"/>
            <w:hideMark/>
          </w:tcPr>
          <w:p w14:paraId="44A04565"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140000</w:t>
            </w:r>
          </w:p>
        </w:tc>
        <w:tc>
          <w:tcPr>
            <w:tcW w:w="1280" w:type="dxa"/>
            <w:tcBorders>
              <w:top w:val="nil"/>
              <w:left w:val="nil"/>
              <w:bottom w:val="single" w:sz="4" w:space="0" w:color="auto"/>
              <w:right w:val="single" w:sz="4" w:space="0" w:color="auto"/>
            </w:tcBorders>
            <w:noWrap/>
            <w:vAlign w:val="center"/>
            <w:hideMark/>
          </w:tcPr>
          <w:p w14:paraId="53930FA1"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0,28889222</w:t>
            </w:r>
          </w:p>
        </w:tc>
      </w:tr>
      <w:tr w:rsidR="00EF1937" w:rsidRPr="00B450EB" w14:paraId="57E9EB26" w14:textId="77777777" w:rsidTr="00AF40F3">
        <w:trPr>
          <w:trHeight w:val="600"/>
        </w:trPr>
        <w:tc>
          <w:tcPr>
            <w:tcW w:w="2157" w:type="dxa"/>
            <w:tcBorders>
              <w:top w:val="nil"/>
              <w:left w:val="single" w:sz="4" w:space="0" w:color="auto"/>
              <w:bottom w:val="single" w:sz="4" w:space="0" w:color="auto"/>
              <w:right w:val="single" w:sz="4" w:space="0" w:color="auto"/>
            </w:tcBorders>
            <w:noWrap/>
            <w:vAlign w:val="center"/>
            <w:hideMark/>
          </w:tcPr>
          <w:p w14:paraId="55732998"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Pepino</w:t>
            </w:r>
          </w:p>
        </w:tc>
        <w:tc>
          <w:tcPr>
            <w:tcW w:w="1138" w:type="dxa"/>
            <w:tcBorders>
              <w:top w:val="nil"/>
              <w:left w:val="nil"/>
              <w:bottom w:val="single" w:sz="4" w:space="0" w:color="auto"/>
              <w:right w:val="single" w:sz="4" w:space="0" w:color="auto"/>
            </w:tcBorders>
            <w:noWrap/>
            <w:vAlign w:val="center"/>
            <w:hideMark/>
          </w:tcPr>
          <w:p w14:paraId="3E0F84EF"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746BA10F"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0306 del 13 de abril de 2005</w:t>
            </w:r>
          </w:p>
        </w:tc>
        <w:tc>
          <w:tcPr>
            <w:tcW w:w="1443" w:type="dxa"/>
            <w:tcBorders>
              <w:top w:val="nil"/>
              <w:left w:val="nil"/>
              <w:bottom w:val="single" w:sz="4" w:space="0" w:color="auto"/>
              <w:right w:val="single" w:sz="4" w:space="0" w:color="auto"/>
            </w:tcBorders>
            <w:noWrap/>
            <w:vAlign w:val="center"/>
            <w:hideMark/>
          </w:tcPr>
          <w:p w14:paraId="600EAD4A"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619</w:t>
            </w:r>
          </w:p>
        </w:tc>
        <w:tc>
          <w:tcPr>
            <w:tcW w:w="1280" w:type="dxa"/>
            <w:tcBorders>
              <w:top w:val="nil"/>
              <w:left w:val="nil"/>
              <w:bottom w:val="single" w:sz="4" w:space="0" w:color="auto"/>
              <w:right w:val="single" w:sz="4" w:space="0" w:color="auto"/>
            </w:tcBorders>
            <w:noWrap/>
            <w:vAlign w:val="center"/>
            <w:hideMark/>
          </w:tcPr>
          <w:p w14:paraId="2E1ADF01"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0,00127732</w:t>
            </w:r>
          </w:p>
        </w:tc>
      </w:tr>
      <w:tr w:rsidR="00EF1937" w:rsidRPr="00B450EB" w14:paraId="2946A6BF" w14:textId="77777777" w:rsidTr="00AF40F3">
        <w:trPr>
          <w:trHeight w:val="600"/>
        </w:trPr>
        <w:tc>
          <w:tcPr>
            <w:tcW w:w="2157" w:type="dxa"/>
            <w:tcBorders>
              <w:top w:val="nil"/>
              <w:left w:val="single" w:sz="4" w:space="0" w:color="auto"/>
              <w:bottom w:val="single" w:sz="4" w:space="0" w:color="auto"/>
              <w:right w:val="single" w:sz="4" w:space="0" w:color="auto"/>
            </w:tcBorders>
            <w:noWrap/>
            <w:vAlign w:val="center"/>
            <w:hideMark/>
          </w:tcPr>
          <w:p w14:paraId="43EEFD13"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San Pedro</w:t>
            </w:r>
          </w:p>
        </w:tc>
        <w:tc>
          <w:tcPr>
            <w:tcW w:w="1138" w:type="dxa"/>
            <w:tcBorders>
              <w:top w:val="nil"/>
              <w:left w:val="nil"/>
              <w:bottom w:val="single" w:sz="4" w:space="0" w:color="auto"/>
              <w:right w:val="single" w:sz="4" w:space="0" w:color="auto"/>
            </w:tcBorders>
            <w:noWrap/>
            <w:vAlign w:val="center"/>
            <w:hideMark/>
          </w:tcPr>
          <w:p w14:paraId="426FADCD"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516B5A87"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1243 del 30 de diciembre de 2005</w:t>
            </w:r>
          </w:p>
        </w:tc>
        <w:tc>
          <w:tcPr>
            <w:tcW w:w="1443" w:type="dxa"/>
            <w:tcBorders>
              <w:top w:val="nil"/>
              <w:left w:val="nil"/>
              <w:bottom w:val="single" w:sz="4" w:space="0" w:color="auto"/>
              <w:right w:val="single" w:sz="4" w:space="0" w:color="auto"/>
            </w:tcBorders>
            <w:noWrap/>
            <w:vAlign w:val="center"/>
            <w:hideMark/>
          </w:tcPr>
          <w:p w14:paraId="1E7CCAB5"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11640,8</w:t>
            </w:r>
          </w:p>
        </w:tc>
        <w:tc>
          <w:tcPr>
            <w:tcW w:w="1280" w:type="dxa"/>
            <w:tcBorders>
              <w:top w:val="nil"/>
              <w:left w:val="nil"/>
              <w:bottom w:val="single" w:sz="4" w:space="0" w:color="auto"/>
              <w:right w:val="single" w:sz="4" w:space="0" w:color="auto"/>
            </w:tcBorders>
            <w:noWrap/>
            <w:vAlign w:val="center"/>
            <w:hideMark/>
          </w:tcPr>
          <w:p w14:paraId="3479372E"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0,02402098</w:t>
            </w:r>
          </w:p>
        </w:tc>
      </w:tr>
      <w:tr w:rsidR="00EF1937" w:rsidRPr="00B450EB" w14:paraId="3F665052" w14:textId="77777777" w:rsidTr="00AF40F3">
        <w:trPr>
          <w:trHeight w:val="70"/>
        </w:trPr>
        <w:tc>
          <w:tcPr>
            <w:tcW w:w="2157" w:type="dxa"/>
            <w:tcBorders>
              <w:top w:val="nil"/>
              <w:left w:val="single" w:sz="4" w:space="0" w:color="auto"/>
              <w:bottom w:val="single" w:sz="4" w:space="0" w:color="auto"/>
              <w:right w:val="single" w:sz="4" w:space="0" w:color="auto"/>
            </w:tcBorders>
            <w:noWrap/>
            <w:vAlign w:val="center"/>
            <w:hideMark/>
          </w:tcPr>
          <w:p w14:paraId="1677A85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Yarumo</w:t>
            </w:r>
          </w:p>
        </w:tc>
        <w:tc>
          <w:tcPr>
            <w:tcW w:w="1138" w:type="dxa"/>
            <w:tcBorders>
              <w:top w:val="nil"/>
              <w:left w:val="nil"/>
              <w:bottom w:val="single" w:sz="4" w:space="0" w:color="auto"/>
              <w:right w:val="single" w:sz="4" w:space="0" w:color="auto"/>
            </w:tcBorders>
            <w:noWrap/>
            <w:vAlign w:val="center"/>
            <w:hideMark/>
          </w:tcPr>
          <w:p w14:paraId="07828307"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34E9607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1242 del 30 de diciembre de 2005</w:t>
            </w:r>
          </w:p>
        </w:tc>
        <w:tc>
          <w:tcPr>
            <w:tcW w:w="1443" w:type="dxa"/>
            <w:tcBorders>
              <w:top w:val="nil"/>
              <w:left w:val="nil"/>
              <w:bottom w:val="single" w:sz="4" w:space="0" w:color="auto"/>
              <w:right w:val="single" w:sz="4" w:space="0" w:color="auto"/>
            </w:tcBorders>
            <w:noWrap/>
            <w:vAlign w:val="center"/>
            <w:hideMark/>
          </w:tcPr>
          <w:p w14:paraId="78265C31"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256,32</w:t>
            </w:r>
          </w:p>
        </w:tc>
        <w:tc>
          <w:tcPr>
            <w:tcW w:w="1280" w:type="dxa"/>
            <w:tcBorders>
              <w:top w:val="nil"/>
              <w:left w:val="nil"/>
              <w:bottom w:val="single" w:sz="4" w:space="0" w:color="auto"/>
              <w:right w:val="single" w:sz="4" w:space="0" w:color="auto"/>
            </w:tcBorders>
            <w:noWrap/>
            <w:vAlign w:val="center"/>
            <w:hideMark/>
          </w:tcPr>
          <w:p w14:paraId="72ABAF05"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0,00052892</w:t>
            </w:r>
          </w:p>
        </w:tc>
      </w:tr>
      <w:tr w:rsidR="00EF1937" w:rsidRPr="00B450EB" w14:paraId="17597128" w14:textId="77777777" w:rsidTr="00AF40F3">
        <w:trPr>
          <w:trHeight w:val="256"/>
        </w:trPr>
        <w:tc>
          <w:tcPr>
            <w:tcW w:w="2157" w:type="dxa"/>
            <w:tcBorders>
              <w:top w:val="nil"/>
              <w:left w:val="single" w:sz="4" w:space="0" w:color="auto"/>
              <w:bottom w:val="single" w:sz="4" w:space="0" w:color="auto"/>
              <w:right w:val="single" w:sz="4" w:space="0" w:color="auto"/>
            </w:tcBorders>
            <w:noWrap/>
            <w:vAlign w:val="center"/>
            <w:hideMark/>
          </w:tcPr>
          <w:p w14:paraId="53243D38"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xml:space="preserve">La </w:t>
            </w:r>
            <w:proofErr w:type="spellStart"/>
            <w:r w:rsidRPr="00B450EB">
              <w:rPr>
                <w:rFonts w:eastAsia="Times New Roman" w:cs="Arial"/>
                <w:kern w:val="0"/>
                <w:sz w:val="18"/>
                <w:szCs w:val="18"/>
                <w:lang w:eastAsia="es-CO"/>
                <w14:ligatures w14:val="none"/>
              </w:rPr>
              <w:t>Borugo</w:t>
            </w:r>
            <w:proofErr w:type="spellEnd"/>
          </w:p>
        </w:tc>
        <w:tc>
          <w:tcPr>
            <w:tcW w:w="1138" w:type="dxa"/>
            <w:tcBorders>
              <w:top w:val="nil"/>
              <w:left w:val="nil"/>
              <w:bottom w:val="single" w:sz="4" w:space="0" w:color="auto"/>
              <w:right w:val="single" w:sz="4" w:space="0" w:color="auto"/>
            </w:tcBorders>
            <w:noWrap/>
            <w:vAlign w:val="center"/>
            <w:hideMark/>
          </w:tcPr>
          <w:p w14:paraId="304D689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24B2E54A"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0440 del 30 de abril de 2010</w:t>
            </w:r>
          </w:p>
        </w:tc>
        <w:tc>
          <w:tcPr>
            <w:tcW w:w="1443" w:type="dxa"/>
            <w:tcBorders>
              <w:top w:val="nil"/>
              <w:left w:val="nil"/>
              <w:bottom w:val="single" w:sz="4" w:space="0" w:color="auto"/>
              <w:right w:val="single" w:sz="4" w:space="0" w:color="auto"/>
            </w:tcBorders>
            <w:noWrap/>
            <w:vAlign w:val="center"/>
            <w:hideMark/>
          </w:tcPr>
          <w:p w14:paraId="7E131FB2"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2239</w:t>
            </w:r>
          </w:p>
        </w:tc>
        <w:tc>
          <w:tcPr>
            <w:tcW w:w="1280" w:type="dxa"/>
            <w:tcBorders>
              <w:top w:val="nil"/>
              <w:left w:val="nil"/>
              <w:bottom w:val="single" w:sz="4" w:space="0" w:color="auto"/>
              <w:right w:val="single" w:sz="4" w:space="0" w:color="auto"/>
            </w:tcBorders>
            <w:noWrap/>
            <w:vAlign w:val="center"/>
            <w:hideMark/>
          </w:tcPr>
          <w:p w14:paraId="3EB3EB5F"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0,00462021</w:t>
            </w:r>
          </w:p>
        </w:tc>
      </w:tr>
      <w:tr w:rsidR="00EF1937" w:rsidRPr="00B450EB" w14:paraId="66209562" w14:textId="77777777" w:rsidTr="00AF40F3">
        <w:trPr>
          <w:trHeight w:val="70"/>
        </w:trPr>
        <w:tc>
          <w:tcPr>
            <w:tcW w:w="2157" w:type="dxa"/>
            <w:tcBorders>
              <w:top w:val="nil"/>
              <w:left w:val="single" w:sz="4" w:space="0" w:color="auto"/>
              <w:bottom w:val="single" w:sz="4" w:space="0" w:color="auto"/>
              <w:right w:val="single" w:sz="4" w:space="0" w:color="auto"/>
            </w:tcBorders>
            <w:noWrap/>
            <w:vAlign w:val="center"/>
            <w:hideMark/>
          </w:tcPr>
          <w:p w14:paraId="5D56D69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Las Margaritas</w:t>
            </w:r>
          </w:p>
        </w:tc>
        <w:tc>
          <w:tcPr>
            <w:tcW w:w="1138" w:type="dxa"/>
            <w:tcBorders>
              <w:top w:val="nil"/>
              <w:left w:val="nil"/>
              <w:bottom w:val="single" w:sz="4" w:space="0" w:color="auto"/>
              <w:right w:val="single" w:sz="4" w:space="0" w:color="auto"/>
            </w:tcBorders>
            <w:noWrap/>
            <w:vAlign w:val="center"/>
            <w:hideMark/>
          </w:tcPr>
          <w:p w14:paraId="6773F8A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67174B00"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0441 del 30 de abril de 2010</w:t>
            </w:r>
          </w:p>
        </w:tc>
        <w:tc>
          <w:tcPr>
            <w:tcW w:w="1443" w:type="dxa"/>
            <w:tcBorders>
              <w:top w:val="nil"/>
              <w:left w:val="nil"/>
              <w:bottom w:val="nil"/>
              <w:right w:val="nil"/>
            </w:tcBorders>
            <w:noWrap/>
            <w:vAlign w:val="center"/>
            <w:hideMark/>
          </w:tcPr>
          <w:p w14:paraId="03A53684"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889</w:t>
            </w:r>
          </w:p>
        </w:tc>
        <w:tc>
          <w:tcPr>
            <w:tcW w:w="1280" w:type="dxa"/>
            <w:tcBorders>
              <w:top w:val="nil"/>
              <w:left w:val="single" w:sz="4" w:space="0" w:color="auto"/>
              <w:bottom w:val="single" w:sz="4" w:space="0" w:color="auto"/>
              <w:right w:val="single" w:sz="4" w:space="0" w:color="auto"/>
            </w:tcBorders>
            <w:noWrap/>
            <w:vAlign w:val="center"/>
            <w:hideMark/>
          </w:tcPr>
          <w:p w14:paraId="74290E90"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0,00183447</w:t>
            </w:r>
          </w:p>
        </w:tc>
      </w:tr>
      <w:tr w:rsidR="00EF1937" w:rsidRPr="00B450EB" w14:paraId="17F3F061" w14:textId="77777777" w:rsidTr="00AF40F3">
        <w:trPr>
          <w:trHeight w:val="70"/>
        </w:trPr>
        <w:tc>
          <w:tcPr>
            <w:tcW w:w="2157" w:type="dxa"/>
            <w:tcBorders>
              <w:top w:val="nil"/>
              <w:left w:val="single" w:sz="4" w:space="0" w:color="auto"/>
              <w:bottom w:val="single" w:sz="4" w:space="0" w:color="auto"/>
              <w:right w:val="single" w:sz="4" w:space="0" w:color="auto"/>
            </w:tcBorders>
            <w:noWrap/>
            <w:vAlign w:val="center"/>
            <w:hideMark/>
          </w:tcPr>
          <w:p w14:paraId="0B0FC02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La Resaca</w:t>
            </w:r>
          </w:p>
        </w:tc>
        <w:tc>
          <w:tcPr>
            <w:tcW w:w="1138" w:type="dxa"/>
            <w:tcBorders>
              <w:top w:val="nil"/>
              <w:left w:val="nil"/>
              <w:bottom w:val="single" w:sz="4" w:space="0" w:color="auto"/>
              <w:right w:val="single" w:sz="4" w:space="0" w:color="auto"/>
            </w:tcBorders>
            <w:noWrap/>
            <w:vAlign w:val="center"/>
            <w:hideMark/>
          </w:tcPr>
          <w:p w14:paraId="764C1D37"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6109C0E3"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0443 del 30 de abril de 2010</w:t>
            </w:r>
          </w:p>
        </w:tc>
        <w:tc>
          <w:tcPr>
            <w:tcW w:w="1443" w:type="dxa"/>
            <w:tcBorders>
              <w:top w:val="single" w:sz="4" w:space="0" w:color="auto"/>
              <w:left w:val="nil"/>
              <w:bottom w:val="single" w:sz="4" w:space="0" w:color="auto"/>
              <w:right w:val="single" w:sz="4" w:space="0" w:color="auto"/>
            </w:tcBorders>
            <w:noWrap/>
            <w:vAlign w:val="center"/>
            <w:hideMark/>
          </w:tcPr>
          <w:p w14:paraId="4E39B2AF"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112280,27</w:t>
            </w:r>
          </w:p>
        </w:tc>
        <w:tc>
          <w:tcPr>
            <w:tcW w:w="1280" w:type="dxa"/>
            <w:tcBorders>
              <w:top w:val="nil"/>
              <w:left w:val="nil"/>
              <w:bottom w:val="single" w:sz="4" w:space="0" w:color="auto"/>
              <w:right w:val="single" w:sz="4" w:space="0" w:color="auto"/>
            </w:tcBorders>
            <w:noWrap/>
            <w:vAlign w:val="center"/>
            <w:hideMark/>
          </w:tcPr>
          <w:p w14:paraId="1688C4D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0,23169212</w:t>
            </w:r>
          </w:p>
        </w:tc>
      </w:tr>
      <w:tr w:rsidR="00EF1937" w:rsidRPr="00B450EB" w14:paraId="783B0023" w14:textId="77777777" w:rsidTr="00AF40F3">
        <w:trPr>
          <w:trHeight w:val="70"/>
        </w:trPr>
        <w:tc>
          <w:tcPr>
            <w:tcW w:w="2157" w:type="dxa"/>
            <w:tcBorders>
              <w:top w:val="nil"/>
              <w:left w:val="single" w:sz="4" w:space="0" w:color="auto"/>
              <w:bottom w:val="single" w:sz="4" w:space="0" w:color="auto"/>
              <w:right w:val="single" w:sz="4" w:space="0" w:color="auto"/>
            </w:tcBorders>
            <w:noWrap/>
            <w:vAlign w:val="center"/>
            <w:hideMark/>
          </w:tcPr>
          <w:p w14:paraId="04597A48"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Las Damas</w:t>
            </w:r>
          </w:p>
        </w:tc>
        <w:tc>
          <w:tcPr>
            <w:tcW w:w="1138" w:type="dxa"/>
            <w:tcBorders>
              <w:top w:val="nil"/>
              <w:left w:val="nil"/>
              <w:bottom w:val="single" w:sz="4" w:space="0" w:color="auto"/>
              <w:right w:val="single" w:sz="4" w:space="0" w:color="auto"/>
            </w:tcBorders>
            <w:noWrap/>
            <w:vAlign w:val="center"/>
            <w:hideMark/>
          </w:tcPr>
          <w:p w14:paraId="77B4C2BE"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6C9FE1C4"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0444 del 30 de abril de 2010</w:t>
            </w:r>
          </w:p>
        </w:tc>
        <w:tc>
          <w:tcPr>
            <w:tcW w:w="1443" w:type="dxa"/>
            <w:tcBorders>
              <w:top w:val="nil"/>
              <w:left w:val="nil"/>
              <w:bottom w:val="single" w:sz="4" w:space="0" w:color="auto"/>
              <w:right w:val="single" w:sz="4" w:space="0" w:color="auto"/>
            </w:tcBorders>
            <w:noWrap/>
            <w:vAlign w:val="center"/>
            <w:hideMark/>
          </w:tcPr>
          <w:p w14:paraId="4CA5080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3453</w:t>
            </w:r>
          </w:p>
        </w:tc>
        <w:tc>
          <w:tcPr>
            <w:tcW w:w="1280" w:type="dxa"/>
            <w:tcBorders>
              <w:top w:val="nil"/>
              <w:left w:val="nil"/>
              <w:bottom w:val="single" w:sz="4" w:space="0" w:color="auto"/>
              <w:right w:val="single" w:sz="4" w:space="0" w:color="auto"/>
            </w:tcBorders>
            <w:noWrap/>
            <w:vAlign w:val="center"/>
            <w:hideMark/>
          </w:tcPr>
          <w:p w14:paraId="7231B6B4"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0,00712532</w:t>
            </w:r>
          </w:p>
        </w:tc>
      </w:tr>
      <w:tr w:rsidR="00EF1937" w:rsidRPr="00B450EB" w14:paraId="69CA42ED" w14:textId="77777777" w:rsidTr="00AF40F3">
        <w:trPr>
          <w:trHeight w:val="600"/>
        </w:trPr>
        <w:tc>
          <w:tcPr>
            <w:tcW w:w="2157" w:type="dxa"/>
            <w:tcBorders>
              <w:top w:val="nil"/>
              <w:left w:val="single" w:sz="4" w:space="0" w:color="auto"/>
              <w:bottom w:val="single" w:sz="4" w:space="0" w:color="auto"/>
              <w:right w:val="single" w:sz="4" w:space="0" w:color="auto"/>
            </w:tcBorders>
            <w:noWrap/>
            <w:vAlign w:val="center"/>
            <w:hideMark/>
          </w:tcPr>
          <w:p w14:paraId="0A813C8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Cuenca del río Doncello</w:t>
            </w:r>
          </w:p>
        </w:tc>
        <w:tc>
          <w:tcPr>
            <w:tcW w:w="1138" w:type="dxa"/>
            <w:tcBorders>
              <w:top w:val="nil"/>
              <w:left w:val="nil"/>
              <w:bottom w:val="single" w:sz="4" w:space="0" w:color="auto"/>
              <w:right w:val="single" w:sz="4" w:space="0" w:color="auto"/>
            </w:tcBorders>
            <w:noWrap/>
            <w:vAlign w:val="center"/>
            <w:hideMark/>
          </w:tcPr>
          <w:p w14:paraId="1AFB9342"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404D15C1"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0445 del 30 de abril de 2010</w:t>
            </w:r>
          </w:p>
        </w:tc>
        <w:tc>
          <w:tcPr>
            <w:tcW w:w="1443" w:type="dxa"/>
            <w:tcBorders>
              <w:top w:val="nil"/>
              <w:left w:val="nil"/>
              <w:bottom w:val="single" w:sz="4" w:space="0" w:color="auto"/>
              <w:right w:val="single" w:sz="4" w:space="0" w:color="auto"/>
            </w:tcBorders>
            <w:noWrap/>
            <w:vAlign w:val="center"/>
            <w:hideMark/>
          </w:tcPr>
          <w:p w14:paraId="68487197"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7108</w:t>
            </w:r>
          </w:p>
        </w:tc>
        <w:tc>
          <w:tcPr>
            <w:tcW w:w="1280" w:type="dxa"/>
            <w:tcBorders>
              <w:top w:val="nil"/>
              <w:left w:val="nil"/>
              <w:bottom w:val="single" w:sz="4" w:space="0" w:color="auto"/>
              <w:right w:val="single" w:sz="4" w:space="0" w:color="auto"/>
            </w:tcBorders>
            <w:noWrap/>
            <w:vAlign w:val="center"/>
            <w:hideMark/>
          </w:tcPr>
          <w:p w14:paraId="3E3A9DF3"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0,01466747</w:t>
            </w:r>
          </w:p>
        </w:tc>
      </w:tr>
      <w:tr w:rsidR="00EF1937" w:rsidRPr="00B450EB" w14:paraId="74CCDB2B" w14:textId="77777777" w:rsidTr="00AF40F3">
        <w:trPr>
          <w:trHeight w:val="600"/>
        </w:trPr>
        <w:tc>
          <w:tcPr>
            <w:tcW w:w="2157" w:type="dxa"/>
            <w:tcBorders>
              <w:top w:val="nil"/>
              <w:left w:val="single" w:sz="4" w:space="0" w:color="auto"/>
              <w:bottom w:val="single" w:sz="4" w:space="0" w:color="auto"/>
              <w:right w:val="single" w:sz="4" w:space="0" w:color="auto"/>
            </w:tcBorders>
            <w:noWrap/>
            <w:vAlign w:val="center"/>
            <w:hideMark/>
          </w:tcPr>
          <w:p w14:paraId="0F765B2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Cuenca del río Solita</w:t>
            </w:r>
          </w:p>
        </w:tc>
        <w:tc>
          <w:tcPr>
            <w:tcW w:w="1138" w:type="dxa"/>
            <w:tcBorders>
              <w:top w:val="nil"/>
              <w:left w:val="nil"/>
              <w:bottom w:val="single" w:sz="4" w:space="0" w:color="auto"/>
              <w:right w:val="single" w:sz="4" w:space="0" w:color="auto"/>
            </w:tcBorders>
            <w:noWrap/>
            <w:vAlign w:val="center"/>
            <w:hideMark/>
          </w:tcPr>
          <w:p w14:paraId="4A93FE4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2A8F919D"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0446 del 30 de abril de 2010</w:t>
            </w:r>
          </w:p>
        </w:tc>
        <w:tc>
          <w:tcPr>
            <w:tcW w:w="1443" w:type="dxa"/>
            <w:tcBorders>
              <w:top w:val="nil"/>
              <w:left w:val="nil"/>
              <w:bottom w:val="single" w:sz="4" w:space="0" w:color="auto"/>
              <w:right w:val="single" w:sz="4" w:space="0" w:color="auto"/>
            </w:tcBorders>
            <w:noWrap/>
            <w:vAlign w:val="center"/>
            <w:hideMark/>
          </w:tcPr>
          <w:p w14:paraId="60D1EC01"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38831,5</w:t>
            </w:r>
          </w:p>
        </w:tc>
        <w:tc>
          <w:tcPr>
            <w:tcW w:w="1280" w:type="dxa"/>
            <w:tcBorders>
              <w:top w:val="nil"/>
              <w:left w:val="nil"/>
              <w:bottom w:val="single" w:sz="4" w:space="0" w:color="auto"/>
              <w:right w:val="single" w:sz="4" w:space="0" w:color="auto"/>
            </w:tcBorders>
            <w:noWrap/>
            <w:vAlign w:val="center"/>
            <w:hideMark/>
          </w:tcPr>
          <w:p w14:paraId="7057D680"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0,08012942</w:t>
            </w:r>
          </w:p>
        </w:tc>
      </w:tr>
      <w:tr w:rsidR="00EF1937" w:rsidRPr="00B450EB" w14:paraId="4F082C29" w14:textId="77777777" w:rsidTr="00AF40F3">
        <w:trPr>
          <w:trHeight w:val="600"/>
        </w:trPr>
        <w:tc>
          <w:tcPr>
            <w:tcW w:w="2157" w:type="dxa"/>
            <w:tcBorders>
              <w:top w:val="nil"/>
              <w:left w:val="single" w:sz="4" w:space="0" w:color="auto"/>
              <w:bottom w:val="single" w:sz="4" w:space="0" w:color="auto"/>
              <w:right w:val="single" w:sz="4" w:space="0" w:color="auto"/>
            </w:tcBorders>
            <w:noWrap/>
            <w:vAlign w:val="center"/>
            <w:hideMark/>
          </w:tcPr>
          <w:p w14:paraId="7200E56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Yahuarcaca</w:t>
            </w:r>
            <w:proofErr w:type="spellEnd"/>
          </w:p>
        </w:tc>
        <w:tc>
          <w:tcPr>
            <w:tcW w:w="1138" w:type="dxa"/>
            <w:tcBorders>
              <w:top w:val="nil"/>
              <w:left w:val="nil"/>
              <w:bottom w:val="single" w:sz="4" w:space="0" w:color="auto"/>
              <w:right w:val="single" w:sz="4" w:space="0" w:color="auto"/>
            </w:tcBorders>
            <w:noWrap/>
            <w:vAlign w:val="center"/>
            <w:hideMark/>
          </w:tcPr>
          <w:p w14:paraId="276D5FB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Aprobado</w:t>
            </w:r>
          </w:p>
        </w:tc>
        <w:tc>
          <w:tcPr>
            <w:tcW w:w="2908" w:type="dxa"/>
            <w:tcBorders>
              <w:top w:val="nil"/>
              <w:left w:val="nil"/>
              <w:bottom w:val="single" w:sz="4" w:space="0" w:color="auto"/>
              <w:right w:val="single" w:sz="4" w:space="0" w:color="auto"/>
            </w:tcBorders>
            <w:vAlign w:val="center"/>
            <w:hideMark/>
          </w:tcPr>
          <w:p w14:paraId="29FE7582"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0648 del 24 de septiembre de 2003</w:t>
            </w:r>
          </w:p>
        </w:tc>
        <w:tc>
          <w:tcPr>
            <w:tcW w:w="1443" w:type="dxa"/>
            <w:tcBorders>
              <w:top w:val="nil"/>
              <w:left w:val="nil"/>
              <w:bottom w:val="single" w:sz="4" w:space="0" w:color="auto"/>
              <w:right w:val="single" w:sz="4" w:space="0" w:color="auto"/>
            </w:tcBorders>
            <w:noWrap/>
            <w:vAlign w:val="center"/>
            <w:hideMark/>
          </w:tcPr>
          <w:p w14:paraId="21EEB746"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4400</w:t>
            </w:r>
          </w:p>
        </w:tc>
        <w:tc>
          <w:tcPr>
            <w:tcW w:w="1280" w:type="dxa"/>
            <w:tcBorders>
              <w:top w:val="nil"/>
              <w:left w:val="nil"/>
              <w:bottom w:val="single" w:sz="4" w:space="0" w:color="auto"/>
              <w:right w:val="single" w:sz="4" w:space="0" w:color="auto"/>
            </w:tcBorders>
            <w:noWrap/>
            <w:vAlign w:val="center"/>
            <w:hideMark/>
          </w:tcPr>
          <w:p w14:paraId="5DF9B100"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0,00907947</w:t>
            </w:r>
          </w:p>
        </w:tc>
      </w:tr>
      <w:tr w:rsidR="00EF1937" w:rsidRPr="00B450EB" w14:paraId="27A1CE36" w14:textId="77777777" w:rsidTr="00AF40F3">
        <w:trPr>
          <w:trHeight w:val="600"/>
        </w:trPr>
        <w:tc>
          <w:tcPr>
            <w:tcW w:w="2157" w:type="dxa"/>
            <w:tcBorders>
              <w:top w:val="nil"/>
              <w:left w:val="single" w:sz="4" w:space="0" w:color="auto"/>
              <w:bottom w:val="single" w:sz="4" w:space="0" w:color="auto"/>
              <w:right w:val="single" w:sz="4" w:space="0" w:color="auto"/>
            </w:tcBorders>
            <w:noWrap/>
            <w:vAlign w:val="center"/>
            <w:hideMark/>
          </w:tcPr>
          <w:p w14:paraId="0792EE99"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Río Orito</w:t>
            </w:r>
          </w:p>
        </w:tc>
        <w:tc>
          <w:tcPr>
            <w:tcW w:w="1138" w:type="dxa"/>
            <w:tcBorders>
              <w:top w:val="nil"/>
              <w:left w:val="nil"/>
              <w:bottom w:val="single" w:sz="4" w:space="0" w:color="auto"/>
              <w:right w:val="single" w:sz="4" w:space="0" w:color="auto"/>
            </w:tcBorders>
            <w:noWrap/>
            <w:vAlign w:val="center"/>
            <w:hideMark/>
          </w:tcPr>
          <w:p w14:paraId="2AD824EC"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 ordenación</w:t>
            </w:r>
          </w:p>
        </w:tc>
        <w:tc>
          <w:tcPr>
            <w:tcW w:w="2908" w:type="dxa"/>
            <w:tcBorders>
              <w:top w:val="nil"/>
              <w:left w:val="nil"/>
              <w:bottom w:val="single" w:sz="4" w:space="0" w:color="auto"/>
              <w:right w:val="single" w:sz="4" w:space="0" w:color="auto"/>
            </w:tcBorders>
            <w:vAlign w:val="center"/>
            <w:hideMark/>
          </w:tcPr>
          <w:p w14:paraId="410D3432"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Resolución 0518 del 30 de abril de 2018</w:t>
            </w:r>
          </w:p>
        </w:tc>
        <w:tc>
          <w:tcPr>
            <w:tcW w:w="1443" w:type="dxa"/>
            <w:tcBorders>
              <w:top w:val="nil"/>
              <w:left w:val="nil"/>
              <w:bottom w:val="single" w:sz="4" w:space="0" w:color="auto"/>
              <w:right w:val="single" w:sz="4" w:space="0" w:color="auto"/>
            </w:tcBorders>
            <w:noWrap/>
            <w:vAlign w:val="center"/>
            <w:hideMark/>
          </w:tcPr>
          <w:p w14:paraId="3298406D"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5599,64</w:t>
            </w:r>
          </w:p>
        </w:tc>
        <w:tc>
          <w:tcPr>
            <w:tcW w:w="1280" w:type="dxa"/>
            <w:tcBorders>
              <w:top w:val="nil"/>
              <w:left w:val="nil"/>
              <w:bottom w:val="single" w:sz="4" w:space="0" w:color="auto"/>
              <w:right w:val="single" w:sz="4" w:space="0" w:color="auto"/>
            </w:tcBorders>
            <w:noWrap/>
            <w:vAlign w:val="center"/>
            <w:hideMark/>
          </w:tcPr>
          <w:p w14:paraId="15EC5C68" w14:textId="77777777" w:rsidR="00AF40F3" w:rsidRPr="00B450EB" w:rsidRDefault="00AF40F3" w:rsidP="00AF40F3">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0,01155495</w:t>
            </w:r>
          </w:p>
        </w:tc>
      </w:tr>
    </w:tbl>
    <w:p w14:paraId="73A92BE7" w14:textId="6184B92D" w:rsidR="00E66886" w:rsidRPr="00B450EB" w:rsidRDefault="00E66886" w:rsidP="00E66886">
      <w:pPr>
        <w:jc w:val="center"/>
        <w:rPr>
          <w:rFonts w:cs="Arial"/>
          <w:sz w:val="18"/>
          <w:szCs w:val="18"/>
        </w:rPr>
      </w:pPr>
      <w:r w:rsidRPr="00B450EB">
        <w:rPr>
          <w:rFonts w:cs="Arial"/>
          <w:sz w:val="18"/>
          <w:szCs w:val="18"/>
        </w:rPr>
        <w:t>Fuente:</w:t>
      </w:r>
      <w:r w:rsidR="00404569" w:rsidRPr="00B450EB">
        <w:rPr>
          <w:rFonts w:cs="Arial"/>
          <w:sz w:val="18"/>
          <w:szCs w:val="18"/>
        </w:rPr>
        <w:t xml:space="preserve"> Elaboración propia a partir de </w:t>
      </w:r>
      <w:r w:rsidR="00716ABC" w:rsidRPr="00B450EB">
        <w:rPr>
          <w:rFonts w:cs="Arial"/>
          <w:sz w:val="18"/>
          <w:szCs w:val="18"/>
        </w:rPr>
        <w:t>SIRH, 202</w:t>
      </w:r>
      <w:r w:rsidR="00E50098" w:rsidRPr="00B450EB">
        <w:rPr>
          <w:rFonts w:cs="Arial"/>
          <w:sz w:val="18"/>
          <w:szCs w:val="18"/>
        </w:rPr>
        <w:t>5</w:t>
      </w:r>
    </w:p>
    <w:p w14:paraId="7BADF354" w14:textId="6663AA6C" w:rsidR="00AB100B" w:rsidRPr="00B450EB" w:rsidRDefault="00AB100B" w:rsidP="00162AE9">
      <w:r w:rsidRPr="00B450EB">
        <w:t>En la Amazonía colombiana, el estado de cubrimiento de los POMCAS es aún limitado</w:t>
      </w:r>
      <w:r w:rsidR="00E97762" w:rsidRPr="00B450EB">
        <w:t xml:space="preserve">. </w:t>
      </w:r>
      <w:r w:rsidRPr="00B450EB">
        <w:t>Aunque se han priorizado c</w:t>
      </w:r>
      <w:r w:rsidR="00050FB2" w:rsidRPr="00B450EB">
        <w:t>u</w:t>
      </w:r>
      <w:r w:rsidRPr="00B450EB">
        <w:t>encas estratégicas bajo la jurisdicción de las autoridades ambientales regionales, la mayoría permanece en etapas de formulación o actualización —como ocurre con el POMCA del río Mocoa—, lo que se traduce en una cobertura parcial frente a la magnitud del bioma y evidencia un bajo nivel de implementación</w:t>
      </w:r>
      <w:r w:rsidR="00E97762" w:rsidRPr="00B450EB">
        <w:t>.</w:t>
      </w:r>
    </w:p>
    <w:p w14:paraId="39CE635A" w14:textId="76D6D752" w:rsidR="00D012A2" w:rsidRPr="00B450EB" w:rsidRDefault="00D012A2" w:rsidP="00162AE9">
      <w:r w:rsidRPr="00B450EB">
        <w:t>La ausencia de instrumentos plenamente formulados y ejecutados impide establecer con certeza los usos permitidos y restringidos en las cuencas hidrográficas, lo que incrementa la vulnerabilidad frente a prácticas insostenibles y compromete la sostenibilidad del bioma</w:t>
      </w:r>
      <w:r w:rsidR="00E34565" w:rsidRPr="00B450EB">
        <w:t>.</w:t>
      </w:r>
    </w:p>
    <w:p w14:paraId="186E2806" w14:textId="283FB14B" w:rsidR="00D90ACC" w:rsidRPr="00B450EB" w:rsidRDefault="00407587" w:rsidP="001C1081">
      <w:pPr>
        <w:pStyle w:val="Ttulo1"/>
        <w:numPr>
          <w:ilvl w:val="0"/>
          <w:numId w:val="16"/>
        </w:numPr>
        <w:rPr>
          <w:rFonts w:cs="Arial"/>
        </w:rPr>
      </w:pPr>
      <w:bookmarkStart w:id="20" w:name="_Toc209722913"/>
      <w:r w:rsidRPr="00B450EB">
        <w:rPr>
          <w:rFonts w:cs="Arial"/>
        </w:rPr>
        <w:lastRenderedPageBreak/>
        <w:t xml:space="preserve">CARACTERIZACIÓN </w:t>
      </w:r>
      <w:r w:rsidR="00F661B9" w:rsidRPr="00B450EB">
        <w:rPr>
          <w:rFonts w:cs="Arial"/>
        </w:rPr>
        <w:t xml:space="preserve">BIOMA </w:t>
      </w:r>
      <w:r w:rsidR="00581B24" w:rsidRPr="00B450EB">
        <w:rPr>
          <w:rFonts w:cs="Arial"/>
          <w:bCs/>
        </w:rPr>
        <w:t>AMAZÓNICO</w:t>
      </w:r>
      <w:bookmarkEnd w:id="20"/>
    </w:p>
    <w:p w14:paraId="44919F4B" w14:textId="32CC64C8" w:rsidR="004D474F" w:rsidRPr="00B450EB" w:rsidRDefault="004D474F" w:rsidP="004D474F">
      <w:pPr>
        <w:pStyle w:val="Ttulo2"/>
        <w:numPr>
          <w:ilvl w:val="1"/>
          <w:numId w:val="16"/>
        </w:numPr>
        <w:rPr>
          <w:b/>
        </w:rPr>
      </w:pPr>
      <w:bookmarkStart w:id="21" w:name="_Toc209722914"/>
      <w:r w:rsidRPr="00B450EB">
        <w:t>MEDIO ABIÓTICO</w:t>
      </w:r>
      <w:bookmarkEnd w:id="21"/>
      <w:r w:rsidRPr="00B450EB">
        <w:t xml:space="preserve"> </w:t>
      </w:r>
    </w:p>
    <w:p w14:paraId="2198CD0D" w14:textId="77777777" w:rsidR="004D474F" w:rsidRPr="00B450EB" w:rsidRDefault="004D474F" w:rsidP="004D474F">
      <w:pPr>
        <w:pStyle w:val="Ttulo3"/>
        <w:numPr>
          <w:ilvl w:val="2"/>
          <w:numId w:val="16"/>
        </w:numPr>
        <w:tabs>
          <w:tab w:val="left" w:pos="1677"/>
        </w:tabs>
        <w:rPr>
          <w:rFonts w:cs="Arial"/>
          <w:bCs/>
          <w:szCs w:val="24"/>
        </w:rPr>
      </w:pPr>
      <w:bookmarkStart w:id="22" w:name="_Toc209722915"/>
      <w:r w:rsidRPr="00B450EB">
        <w:rPr>
          <w:rFonts w:cs="Arial"/>
          <w:bCs/>
          <w:szCs w:val="24"/>
        </w:rPr>
        <w:t>Clima</w:t>
      </w:r>
      <w:bookmarkEnd w:id="22"/>
      <w:r w:rsidRPr="00B450EB">
        <w:rPr>
          <w:rFonts w:cs="Arial"/>
        </w:rPr>
        <w:t xml:space="preserve"> </w:t>
      </w:r>
    </w:p>
    <w:p w14:paraId="7DFF262A" w14:textId="77777777" w:rsidR="004D474F" w:rsidRPr="00B450EB" w:rsidRDefault="004D474F" w:rsidP="004D474F">
      <w:pPr>
        <w:rPr>
          <w:i/>
          <w:iCs/>
        </w:rPr>
      </w:pPr>
      <w:r w:rsidRPr="00B450EB">
        <w:t xml:space="preserve">La Amazonía colombiana presenta una amplia diversidad climática, resultado tanto de su localización en tierras bajas intertropicales como de los gradientes altitudinales que se desarrollan hacia la cordillera de los Andes. Según la zonificación de Caldas-Lang, sistematizada </w:t>
      </w:r>
      <w:r w:rsidRPr="00B450EB">
        <w:rPr>
          <w:i/>
          <w:iCs/>
        </w:rPr>
        <w:t xml:space="preserve">por (IDEAM, 2015) a partir de la metodología de Aldaz-Kahn, en el bioma se identifican al menos trece clases climáticas. El cálido húmedo domina gran parte de la llanura amazónica, con una extensión aproximada de 439.822 km², aunque también coexisten áreas de cálido semihúmedo y cálido </w:t>
      </w:r>
      <w:proofErr w:type="spellStart"/>
      <w:r w:rsidRPr="00B450EB">
        <w:rPr>
          <w:i/>
          <w:iCs/>
        </w:rPr>
        <w:t>superhúmedo</w:t>
      </w:r>
      <w:proofErr w:type="spellEnd"/>
      <w:r w:rsidRPr="00B450EB">
        <w:rPr>
          <w:i/>
          <w:iCs/>
        </w:rPr>
        <w:t xml:space="preserve">, que reflejan variaciones en la acumulación de lluvias. Hacia el piedemonte andino emergen climas templados húmedos y </w:t>
      </w:r>
      <w:proofErr w:type="spellStart"/>
      <w:r w:rsidRPr="00B450EB">
        <w:rPr>
          <w:i/>
          <w:iCs/>
        </w:rPr>
        <w:t>superhúmedos</w:t>
      </w:r>
      <w:proofErr w:type="spellEnd"/>
      <w:r w:rsidRPr="00B450EB">
        <w:rPr>
          <w:i/>
          <w:iCs/>
        </w:rPr>
        <w:t xml:space="preserve">, mientras que en altitudes mayores aparecen zonas con climas fríos y muy fríos húmedos, semihúmedos y </w:t>
      </w:r>
      <w:proofErr w:type="spellStart"/>
      <w:r w:rsidRPr="00B450EB">
        <w:rPr>
          <w:i/>
          <w:iCs/>
        </w:rPr>
        <w:t>superhúmedos</w:t>
      </w:r>
      <w:proofErr w:type="spellEnd"/>
      <w:r w:rsidRPr="00B450EB">
        <w:rPr>
          <w:i/>
          <w:iCs/>
        </w:rPr>
        <w:t>, además de pequeñas áreas catalogadas como extremadamente frías.</w:t>
      </w:r>
    </w:p>
    <w:p w14:paraId="40680D2C" w14:textId="77777777" w:rsidR="004D474F" w:rsidRPr="00B450EB" w:rsidRDefault="004D474F" w:rsidP="004D474F">
      <w:pPr>
        <w:rPr>
          <w:i/>
          <w:iCs/>
        </w:rPr>
      </w:pPr>
      <w:r w:rsidRPr="00B450EB">
        <w:t xml:space="preserve">Este mosaico climático es producto de la interacción entre la topografía, la altitud y la circulación atmosférica regional, y constituye la base de la heterogeneidad ecológica que caracteriza al bioma amazónico (IDEAM &amp; SINCHI, 2006; IDEAM, 2015; </w:t>
      </w:r>
      <w:proofErr w:type="spellStart"/>
      <w:r w:rsidRPr="00B450EB">
        <w:t>MapBiomas</w:t>
      </w:r>
      <w:proofErr w:type="spellEnd"/>
      <w:r w:rsidRPr="00B450EB">
        <w:t xml:space="preserve"> Amazonía, 2024).</w:t>
      </w:r>
    </w:p>
    <w:p w14:paraId="72CE2AD2" w14:textId="04FB52E9" w:rsidR="004D474F" w:rsidRPr="00B450EB" w:rsidRDefault="004D474F" w:rsidP="004D474F">
      <w:pPr>
        <w:pStyle w:val="Descripcin"/>
        <w:rPr>
          <w:color w:val="auto"/>
        </w:rPr>
      </w:pPr>
      <w:bookmarkStart w:id="23" w:name="_Toc209462699"/>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10</w:t>
      </w:r>
      <w:r w:rsidR="0045353A" w:rsidRPr="00B450EB">
        <w:rPr>
          <w:noProof/>
          <w:color w:val="auto"/>
        </w:rPr>
        <w:fldChar w:fldCharType="end"/>
      </w:r>
      <w:r w:rsidRPr="00B450EB">
        <w:rPr>
          <w:color w:val="auto"/>
        </w:rPr>
        <w:t xml:space="preserve"> Clasificación Climática de Caldas - Lang</w:t>
      </w:r>
      <w:bookmarkEnd w:id="23"/>
    </w:p>
    <w:p w14:paraId="6A4DB252" w14:textId="77777777" w:rsidR="004D474F" w:rsidRPr="00B450EB" w:rsidRDefault="004D474F" w:rsidP="004D474F">
      <w:pPr>
        <w:spacing w:after="0"/>
        <w:jc w:val="center"/>
      </w:pPr>
      <w:r w:rsidRPr="00B450EB">
        <w:rPr>
          <w:noProof/>
        </w:rPr>
        <w:drawing>
          <wp:inline distT="0" distB="0" distL="0" distR="0" wp14:anchorId="32DA545F" wp14:editId="53DDBB77">
            <wp:extent cx="4192941" cy="32400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26" cstate="email">
                      <a:extLst>
                        <a:ext uri="{28A0092B-C50C-407E-A947-70E740481C1C}">
                          <a14:useLocalDpi xmlns:a14="http://schemas.microsoft.com/office/drawing/2010/main"/>
                        </a:ext>
                      </a:extLst>
                    </a:blip>
                    <a:stretch>
                      <a:fillRect/>
                    </a:stretch>
                  </pic:blipFill>
                  <pic:spPr>
                    <a:xfrm>
                      <a:off x="0" y="0"/>
                      <a:ext cx="4192941" cy="3240000"/>
                    </a:xfrm>
                    <a:prstGeom prst="rect">
                      <a:avLst/>
                    </a:prstGeom>
                    <a:ln w="3175">
                      <a:noFill/>
                    </a:ln>
                  </pic:spPr>
                </pic:pic>
              </a:graphicData>
            </a:graphic>
          </wp:inline>
        </w:drawing>
      </w:r>
    </w:p>
    <w:p w14:paraId="41BEF3B1" w14:textId="77777777" w:rsidR="004D474F" w:rsidRPr="00B450EB" w:rsidRDefault="004D474F" w:rsidP="004D474F">
      <w:pPr>
        <w:spacing w:after="0"/>
        <w:jc w:val="center"/>
        <w:rPr>
          <w:sz w:val="18"/>
          <w:szCs w:val="18"/>
        </w:rPr>
      </w:pPr>
      <w:r w:rsidRPr="00B450EB">
        <w:rPr>
          <w:sz w:val="18"/>
          <w:szCs w:val="18"/>
        </w:rPr>
        <w:t>Fuente: IDEAM,2015.</w:t>
      </w:r>
    </w:p>
    <w:p w14:paraId="5597A976" w14:textId="276368EF" w:rsidR="004D474F" w:rsidRPr="00B450EB" w:rsidRDefault="004D474F" w:rsidP="004D474F">
      <w:pPr>
        <w:spacing w:before="240"/>
        <w:rPr>
          <w:bCs/>
        </w:rPr>
      </w:pPr>
      <w:r w:rsidRPr="00B450EB">
        <w:lastRenderedPageBreak/>
        <w:t xml:space="preserve">Según </w:t>
      </w:r>
      <w:sdt>
        <w:sdtPr>
          <w:id w:val="-699464300"/>
          <w:citation/>
        </w:sdtPr>
        <w:sdtContent>
          <w:r w:rsidRPr="00B450EB">
            <w:fldChar w:fldCharType="begin"/>
          </w:r>
          <w:r w:rsidRPr="00B450EB">
            <w:rPr>
              <w:lang w:val="es-ES"/>
            </w:rPr>
            <w:instrText xml:space="preserve"> CITATION Ins17 \l 3082 </w:instrText>
          </w:r>
          <w:r w:rsidRPr="00B450EB">
            <w:fldChar w:fldCharType="separate"/>
          </w:r>
          <w:r w:rsidR="0077091E" w:rsidRPr="00B450EB">
            <w:rPr>
              <w:noProof/>
              <w:lang w:val="es-ES"/>
            </w:rPr>
            <w:t>(Instituto de Hidrología, Meteorología y Estudios Ambientales – IDEAM, 2017)</w:t>
          </w:r>
          <w:r w:rsidRPr="00B450EB">
            <w:fldChar w:fldCharType="end"/>
          </w:r>
        </w:sdtContent>
      </w:sdt>
      <w:r w:rsidRPr="00B450EB">
        <w:t xml:space="preserve"> determina que en términos generales el clima amazónico se caracteriza por su poca variabilidad térmica en el dato promedio multianual que oscilan entre 24 y 27 °C, como se observa en los mapas de la siguiente figura. Sin embargo, se presentan registro: máximo de 34 °C y mínimo de 21 °C que muestra que la zona puede variar en temperatura ciertos periodos del año</w:t>
      </w:r>
      <w:r w:rsidRPr="00B450EB">
        <w:rPr>
          <w:bCs/>
        </w:rPr>
        <w:t xml:space="preserve">. </w:t>
      </w:r>
    </w:p>
    <w:p w14:paraId="364CFDBE" w14:textId="4F79A138" w:rsidR="004D474F" w:rsidRPr="00B450EB" w:rsidRDefault="004D474F" w:rsidP="004D474F">
      <w:pPr>
        <w:pStyle w:val="Descripcin"/>
        <w:rPr>
          <w:color w:val="auto"/>
        </w:rPr>
      </w:pPr>
      <w:bookmarkStart w:id="24" w:name="_Toc209462700"/>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11</w:t>
      </w:r>
      <w:r w:rsidR="0045353A" w:rsidRPr="00B450EB">
        <w:rPr>
          <w:noProof/>
          <w:color w:val="auto"/>
        </w:rPr>
        <w:fldChar w:fldCharType="end"/>
      </w:r>
      <w:r w:rsidRPr="00B450EB">
        <w:rPr>
          <w:color w:val="auto"/>
        </w:rPr>
        <w:t xml:space="preserve"> Registros de temperatura media multianual del bioma amazónico</w:t>
      </w:r>
      <w:bookmarkEnd w:id="24"/>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4362"/>
      </w:tblGrid>
      <w:tr w:rsidR="00EF1937" w:rsidRPr="00B450EB" w14:paraId="295D5387" w14:textId="77777777" w:rsidTr="00024A81">
        <w:tc>
          <w:tcPr>
            <w:tcW w:w="4414" w:type="dxa"/>
          </w:tcPr>
          <w:p w14:paraId="42AF2EC0" w14:textId="77777777" w:rsidR="004D474F" w:rsidRPr="00B450EB" w:rsidRDefault="004D474F" w:rsidP="00024A81">
            <w:pPr>
              <w:spacing w:before="240"/>
              <w:rPr>
                <w:noProof/>
              </w:rPr>
            </w:pPr>
            <w:r w:rsidRPr="00B450EB">
              <w:rPr>
                <w:noProof/>
              </w:rPr>
              <w:drawing>
                <wp:inline distT="0" distB="0" distL="0" distR="0" wp14:anchorId="42940125" wp14:editId="13D91981">
                  <wp:extent cx="2695903" cy="1753351"/>
                  <wp:effectExtent l="0" t="0" r="9525" b="0"/>
                  <wp:docPr id="7331484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4844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2725833" cy="1772817"/>
                          </a:xfrm>
                          <a:prstGeom prst="rect">
                            <a:avLst/>
                          </a:prstGeom>
                        </pic:spPr>
                      </pic:pic>
                    </a:graphicData>
                  </a:graphic>
                </wp:inline>
              </w:drawing>
            </w:r>
          </w:p>
        </w:tc>
        <w:tc>
          <w:tcPr>
            <w:tcW w:w="4414" w:type="dxa"/>
          </w:tcPr>
          <w:p w14:paraId="55A15597" w14:textId="77777777" w:rsidR="004D474F" w:rsidRPr="00B450EB" w:rsidRDefault="004D474F" w:rsidP="00024A81">
            <w:pPr>
              <w:spacing w:before="240"/>
              <w:rPr>
                <w:noProof/>
              </w:rPr>
            </w:pPr>
            <w:r w:rsidRPr="00B450EB">
              <w:rPr>
                <w:noProof/>
              </w:rPr>
              <w:drawing>
                <wp:inline distT="0" distB="0" distL="0" distR="0" wp14:anchorId="7399AE23" wp14:editId="0AB42237">
                  <wp:extent cx="2581703" cy="1709573"/>
                  <wp:effectExtent l="0" t="0" r="9525" b="5080"/>
                  <wp:docPr id="18701892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18922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2613216" cy="1730441"/>
                          </a:xfrm>
                          <a:prstGeom prst="rect">
                            <a:avLst/>
                          </a:prstGeom>
                        </pic:spPr>
                      </pic:pic>
                    </a:graphicData>
                  </a:graphic>
                </wp:inline>
              </w:drawing>
            </w:r>
          </w:p>
        </w:tc>
      </w:tr>
      <w:tr w:rsidR="00EF1937" w:rsidRPr="00B450EB" w14:paraId="699213FD" w14:textId="77777777" w:rsidTr="00024A81">
        <w:tc>
          <w:tcPr>
            <w:tcW w:w="4416" w:type="dxa"/>
          </w:tcPr>
          <w:p w14:paraId="7C5A3B6E" w14:textId="77777777" w:rsidR="004D474F" w:rsidRPr="00B450EB" w:rsidRDefault="004D474F" w:rsidP="00024A81">
            <w:pPr>
              <w:spacing w:before="240"/>
              <w:jc w:val="center"/>
              <w:rPr>
                <w:noProof/>
              </w:rPr>
            </w:pPr>
            <w:r w:rsidRPr="00B450EB">
              <w:rPr>
                <w:noProof/>
              </w:rPr>
              <w:t>Temporada seca (febrero)</w:t>
            </w:r>
          </w:p>
          <w:p w14:paraId="2CA6DF8D" w14:textId="77777777" w:rsidR="004D474F" w:rsidRPr="00B450EB" w:rsidRDefault="004D474F" w:rsidP="00024A81">
            <w:pPr>
              <w:spacing w:before="240"/>
              <w:rPr>
                <w:noProof/>
              </w:rPr>
            </w:pPr>
            <w:r w:rsidRPr="00B450EB">
              <w:rPr>
                <w:noProof/>
              </w:rPr>
              <w:drawing>
                <wp:inline distT="0" distB="0" distL="0" distR="0" wp14:anchorId="323260F6" wp14:editId="7C6D984C">
                  <wp:extent cx="2294627" cy="3084663"/>
                  <wp:effectExtent l="0" t="0" r="0" b="1905"/>
                  <wp:docPr id="2263046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304699" name=""/>
                          <pic:cNvPicPr/>
                        </pic:nvPicPr>
                        <pic:blipFill>
                          <a:blip r:embed="rId29" cstate="email">
                            <a:extLst>
                              <a:ext uri="{28A0092B-C50C-407E-A947-70E740481C1C}">
                                <a14:useLocalDpi xmlns:a14="http://schemas.microsoft.com/office/drawing/2010/main"/>
                              </a:ext>
                            </a:extLst>
                          </a:blip>
                          <a:stretch>
                            <a:fillRect/>
                          </a:stretch>
                        </pic:blipFill>
                        <pic:spPr>
                          <a:xfrm>
                            <a:off x="0" y="0"/>
                            <a:ext cx="2322101" cy="3121597"/>
                          </a:xfrm>
                          <a:prstGeom prst="rect">
                            <a:avLst/>
                          </a:prstGeom>
                        </pic:spPr>
                      </pic:pic>
                    </a:graphicData>
                  </a:graphic>
                </wp:inline>
              </w:drawing>
            </w:r>
          </w:p>
        </w:tc>
        <w:tc>
          <w:tcPr>
            <w:tcW w:w="4412" w:type="dxa"/>
          </w:tcPr>
          <w:p w14:paraId="18DAEFFA" w14:textId="77777777" w:rsidR="004D474F" w:rsidRPr="00B450EB" w:rsidRDefault="004D474F" w:rsidP="00024A81">
            <w:pPr>
              <w:spacing w:before="240"/>
              <w:jc w:val="center"/>
              <w:rPr>
                <w:noProof/>
              </w:rPr>
            </w:pPr>
            <w:r w:rsidRPr="00B450EB">
              <w:rPr>
                <w:noProof/>
              </w:rPr>
              <w:t>Temporada humeda (mayo)</w:t>
            </w:r>
          </w:p>
          <w:p w14:paraId="223515CD" w14:textId="77777777" w:rsidR="004D474F" w:rsidRPr="00B450EB" w:rsidRDefault="004D474F" w:rsidP="00024A81">
            <w:pPr>
              <w:spacing w:before="240"/>
              <w:rPr>
                <w:noProof/>
              </w:rPr>
            </w:pPr>
            <w:r w:rsidRPr="00B450EB">
              <w:rPr>
                <w:noProof/>
              </w:rPr>
              <w:drawing>
                <wp:inline distT="0" distB="0" distL="0" distR="0" wp14:anchorId="1825F925" wp14:editId="1378942C">
                  <wp:extent cx="2295095" cy="3084195"/>
                  <wp:effectExtent l="0" t="0" r="0" b="1905"/>
                  <wp:docPr id="17004263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426322" name=""/>
                          <pic:cNvPicPr/>
                        </pic:nvPicPr>
                        <pic:blipFill>
                          <a:blip r:embed="rId30" cstate="email">
                            <a:extLst>
                              <a:ext uri="{28A0092B-C50C-407E-A947-70E740481C1C}">
                                <a14:useLocalDpi xmlns:a14="http://schemas.microsoft.com/office/drawing/2010/main"/>
                              </a:ext>
                            </a:extLst>
                          </a:blip>
                          <a:stretch>
                            <a:fillRect/>
                          </a:stretch>
                        </pic:blipFill>
                        <pic:spPr>
                          <a:xfrm>
                            <a:off x="0" y="0"/>
                            <a:ext cx="2328036" cy="3128462"/>
                          </a:xfrm>
                          <a:prstGeom prst="rect">
                            <a:avLst/>
                          </a:prstGeom>
                        </pic:spPr>
                      </pic:pic>
                    </a:graphicData>
                  </a:graphic>
                </wp:inline>
              </w:drawing>
            </w:r>
          </w:p>
        </w:tc>
      </w:tr>
    </w:tbl>
    <w:p w14:paraId="2415CBCB" w14:textId="77777777" w:rsidR="004D474F" w:rsidRPr="00B450EB" w:rsidRDefault="004D474F" w:rsidP="004D474F">
      <w:pPr>
        <w:spacing w:before="240"/>
        <w:jc w:val="center"/>
        <w:rPr>
          <w:sz w:val="18"/>
          <w:szCs w:val="18"/>
        </w:rPr>
      </w:pPr>
      <w:r w:rsidRPr="00B450EB">
        <w:rPr>
          <w:sz w:val="18"/>
          <w:szCs w:val="18"/>
        </w:rPr>
        <w:t xml:space="preserve">Fuente: </w:t>
      </w:r>
      <w:r w:rsidRPr="00B450EB">
        <w:rPr>
          <w:noProof/>
          <w:sz w:val="18"/>
          <w:szCs w:val="18"/>
          <w:lang w:val="es-ES"/>
        </w:rPr>
        <w:t>Instituto de Hidrología, Meteorología y Estudios Ambientales – IDEAM, 2017.</w:t>
      </w:r>
    </w:p>
    <w:p w14:paraId="73380063" w14:textId="6DE68FAB" w:rsidR="004D474F" w:rsidRPr="00B450EB" w:rsidRDefault="004D474F" w:rsidP="004D474F">
      <w:pPr>
        <w:spacing w:before="240"/>
      </w:pPr>
      <w:r w:rsidRPr="00B450EB">
        <w:t xml:space="preserve">Conforme a los registros de las estaciones meteorológicas del IDEAM, la Amazonia colombiana tiene un régimen de lluvias esencialmente unimodal,  no obstante, este </w:t>
      </w:r>
      <w:r w:rsidRPr="00B450EB">
        <w:lastRenderedPageBreak/>
        <w:t>régimen  no solo se clasifica de acuerdo con lo relacionado con las cantidades de lluvia observadas, sino en el tiempo de ocurrencia de las mismas, el cual está influenciado por la variabilidad propia de la precipitación y por la acción de factores climáticos como la latitud, la distancia al mar, la orografía, entre otros,  lo que da lugar a la aparición de diferentes subtipos</w:t>
      </w:r>
      <w:sdt>
        <w:sdtPr>
          <w:id w:val="-1393337985"/>
          <w:citation/>
        </w:sdtPr>
        <w:sdtContent>
          <w:r w:rsidRPr="00B450EB">
            <w:fldChar w:fldCharType="begin"/>
          </w:r>
          <w:r w:rsidRPr="00B450EB">
            <w:rPr>
              <w:lang w:val="es-ES"/>
            </w:rPr>
            <w:instrText xml:space="preserve"> CITATION IDE14 \l 3082 </w:instrText>
          </w:r>
          <w:r w:rsidRPr="00B450EB">
            <w:fldChar w:fldCharType="separate"/>
          </w:r>
          <w:r w:rsidR="0077091E" w:rsidRPr="00B450EB">
            <w:rPr>
              <w:noProof/>
              <w:lang w:val="es-ES"/>
            </w:rPr>
            <w:t xml:space="preserve"> (IDEAM, 2014)</w:t>
          </w:r>
          <w:r w:rsidRPr="00B450EB">
            <w:fldChar w:fldCharType="end"/>
          </w:r>
        </w:sdtContent>
      </w:sdt>
      <w:r w:rsidRPr="00B450EB">
        <w:t xml:space="preserve">  dentro de cada régimen que para en este área en particular se está subdividido en dos tipos:</w:t>
      </w:r>
    </w:p>
    <w:p w14:paraId="4673C768" w14:textId="77777777" w:rsidR="004D474F" w:rsidRPr="00B450EB" w:rsidRDefault="004D474F" w:rsidP="004D474F">
      <w:pPr>
        <w:spacing w:before="240"/>
      </w:pPr>
      <w:r w:rsidRPr="00B450EB">
        <w:t>Monomodal 5 (Mm5). Característico de la transición hacia el hemisferio sur del Continente, en Leticia, con lluvias a lo largo del año, interrumpidas por una breve temporada seca entre junio y agosto (Leticia).</w:t>
      </w:r>
    </w:p>
    <w:p w14:paraId="62B5BAEB" w14:textId="77777777" w:rsidR="004D474F" w:rsidRPr="00B450EB" w:rsidRDefault="004D474F" w:rsidP="004D474F">
      <w:pPr>
        <w:spacing w:before="240"/>
      </w:pPr>
      <w:r w:rsidRPr="00B450EB">
        <w:t>Monomodal 3 (Mm3). Este régimen se observa sobre las cuencas de los Ríos del Piedemonte Amazónico, a lo largo de la franja norte de la Amazonia y en el nacimiento de los Ríos Magdalena y Caquetá. Tiene una temporada lluviosa hacia mitad de año, picos de precipitación entre abril y junio y un leve incremento de lluvias en octubre. Presenta una sola época seca de menores lluvias entre diciembre y febrero y se diferencia del anterior, porque ésta última no es tan marcada (Florencia)</w:t>
      </w:r>
    </w:p>
    <w:p w14:paraId="70D0B6EA" w14:textId="77777777" w:rsidR="004D474F" w:rsidRPr="00B450EB" w:rsidRDefault="004D474F" w:rsidP="004D474F">
      <w:pPr>
        <w:pStyle w:val="Descripcin"/>
        <w:jc w:val="both"/>
        <w:rPr>
          <w:i w:val="0"/>
          <w:iCs w:val="0"/>
          <w:color w:val="auto"/>
          <w:sz w:val="24"/>
          <w:szCs w:val="24"/>
        </w:rPr>
      </w:pPr>
      <w:r w:rsidRPr="00B450EB">
        <w:rPr>
          <w:i w:val="0"/>
          <w:iCs w:val="0"/>
          <w:color w:val="auto"/>
          <w:sz w:val="24"/>
          <w:szCs w:val="24"/>
        </w:rPr>
        <w:t xml:space="preserve">Conforme a los registros de las estaciones meteorológicas del IDEAM, la Amazonía colombiana presenta un régimen de lluvias esencialmente monomodal. Si bien se observan diferencias entre el hemisferio norte y sur del bioma en cuanto a la distribución estacional de las precipitaciones, en conjunto se confirma el carácter húmedo a </w:t>
      </w:r>
      <w:proofErr w:type="spellStart"/>
      <w:r w:rsidRPr="00B450EB">
        <w:rPr>
          <w:i w:val="0"/>
          <w:iCs w:val="0"/>
          <w:color w:val="auto"/>
          <w:sz w:val="24"/>
          <w:szCs w:val="24"/>
        </w:rPr>
        <w:t>superhúmedo</w:t>
      </w:r>
      <w:proofErr w:type="spellEnd"/>
      <w:r w:rsidRPr="00B450EB">
        <w:rPr>
          <w:i w:val="0"/>
          <w:iCs w:val="0"/>
          <w:color w:val="auto"/>
          <w:sz w:val="24"/>
          <w:szCs w:val="24"/>
        </w:rPr>
        <w:t xml:space="preserve"> de la región. La precipitación media multianual de todo el bioma se estima en alrededor de 3.200 mm/año, lo que refleja su extraordinaria disponibilidad hídrica y la importancia de este territorio como regulador climático regional y continental. </w:t>
      </w:r>
    </w:p>
    <w:p w14:paraId="12061E48" w14:textId="77777777" w:rsidR="004D474F" w:rsidRPr="00B450EB" w:rsidRDefault="004D474F" w:rsidP="004D474F"/>
    <w:p w14:paraId="0FC45998" w14:textId="03E059E0" w:rsidR="004D474F" w:rsidRPr="00B450EB" w:rsidRDefault="004D474F" w:rsidP="004D474F">
      <w:pPr>
        <w:pStyle w:val="Descripcin"/>
        <w:rPr>
          <w:color w:val="auto"/>
        </w:rPr>
      </w:pPr>
      <w:bookmarkStart w:id="25" w:name="_Toc209462701"/>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12</w:t>
      </w:r>
      <w:r w:rsidR="0045353A" w:rsidRPr="00B450EB">
        <w:rPr>
          <w:noProof/>
          <w:color w:val="auto"/>
        </w:rPr>
        <w:fldChar w:fldCharType="end"/>
      </w:r>
      <w:r w:rsidRPr="00B450EB">
        <w:rPr>
          <w:color w:val="auto"/>
        </w:rPr>
        <w:t xml:space="preserve"> Registros de precipitación media multianual del bioma amazónico</w:t>
      </w:r>
      <w:bookmarkEnd w:id="25"/>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0"/>
        <w:gridCol w:w="4418"/>
      </w:tblGrid>
      <w:tr w:rsidR="00EF1937" w:rsidRPr="00B450EB" w14:paraId="7B97F3B8" w14:textId="77777777" w:rsidTr="00024A81">
        <w:tc>
          <w:tcPr>
            <w:tcW w:w="8830" w:type="dxa"/>
            <w:gridSpan w:val="2"/>
          </w:tcPr>
          <w:p w14:paraId="7AADE0DA" w14:textId="77777777" w:rsidR="004D474F" w:rsidRPr="00B450EB" w:rsidRDefault="004D474F" w:rsidP="00024A81">
            <w:pPr>
              <w:spacing w:before="240"/>
              <w:jc w:val="center"/>
              <w:rPr>
                <w:noProof/>
              </w:rPr>
            </w:pPr>
            <w:r w:rsidRPr="00B450EB">
              <w:rPr>
                <w:noProof/>
              </w:rPr>
              <w:drawing>
                <wp:inline distT="0" distB="0" distL="0" distR="0" wp14:anchorId="6BBE2F23" wp14:editId="7A23349E">
                  <wp:extent cx="5506872" cy="1736553"/>
                  <wp:effectExtent l="0" t="0" r="0" b="0"/>
                  <wp:docPr id="5786222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22226" name=""/>
                          <pic:cNvPicPr/>
                        </pic:nvPicPr>
                        <pic:blipFill>
                          <a:blip r:embed="rId31"/>
                          <a:stretch>
                            <a:fillRect/>
                          </a:stretch>
                        </pic:blipFill>
                        <pic:spPr>
                          <a:xfrm>
                            <a:off x="0" y="0"/>
                            <a:ext cx="5511938" cy="1738150"/>
                          </a:xfrm>
                          <a:prstGeom prst="rect">
                            <a:avLst/>
                          </a:prstGeom>
                        </pic:spPr>
                      </pic:pic>
                    </a:graphicData>
                  </a:graphic>
                </wp:inline>
              </w:drawing>
            </w:r>
          </w:p>
        </w:tc>
      </w:tr>
      <w:tr w:rsidR="00EF1937" w:rsidRPr="00B450EB" w14:paraId="42840713" w14:textId="77777777" w:rsidTr="00024A81">
        <w:tc>
          <w:tcPr>
            <w:tcW w:w="4416" w:type="dxa"/>
          </w:tcPr>
          <w:p w14:paraId="0F6DC2AC" w14:textId="77777777" w:rsidR="004D474F" w:rsidRPr="00B450EB" w:rsidRDefault="004D474F" w:rsidP="00024A81">
            <w:pPr>
              <w:spacing w:before="240"/>
              <w:jc w:val="center"/>
              <w:rPr>
                <w:noProof/>
              </w:rPr>
            </w:pPr>
            <w:r w:rsidRPr="00B450EB">
              <w:rPr>
                <w:noProof/>
              </w:rPr>
              <w:t>Temporada seca (enero)</w:t>
            </w:r>
          </w:p>
          <w:p w14:paraId="00D1F876" w14:textId="77777777" w:rsidR="004D474F" w:rsidRPr="00B450EB" w:rsidRDefault="004D474F" w:rsidP="00024A81">
            <w:pPr>
              <w:spacing w:before="240"/>
              <w:jc w:val="center"/>
              <w:rPr>
                <w:noProof/>
              </w:rPr>
            </w:pPr>
            <w:r w:rsidRPr="00B450EB">
              <w:rPr>
                <w:noProof/>
              </w:rPr>
              <w:lastRenderedPageBreak/>
              <w:drawing>
                <wp:inline distT="0" distB="0" distL="0" distR="0" wp14:anchorId="33A6889C" wp14:editId="3B913BDF">
                  <wp:extent cx="2000885" cy="2704108"/>
                  <wp:effectExtent l="0" t="0" r="0" b="1270"/>
                  <wp:docPr id="1375485335"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485335" name="Imagen 1" descr="Mapa&#10;&#10;El contenido generado por IA puede ser incorrecto."/>
                          <pic:cNvPicPr/>
                        </pic:nvPicPr>
                        <pic:blipFill>
                          <a:blip r:embed="rId32" cstate="email">
                            <a:extLst>
                              <a:ext uri="{28A0092B-C50C-407E-A947-70E740481C1C}">
                                <a14:useLocalDpi xmlns:a14="http://schemas.microsoft.com/office/drawing/2010/main"/>
                              </a:ext>
                            </a:extLst>
                          </a:blip>
                          <a:stretch>
                            <a:fillRect/>
                          </a:stretch>
                        </pic:blipFill>
                        <pic:spPr>
                          <a:xfrm>
                            <a:off x="0" y="0"/>
                            <a:ext cx="2018039" cy="2727291"/>
                          </a:xfrm>
                          <a:prstGeom prst="rect">
                            <a:avLst/>
                          </a:prstGeom>
                        </pic:spPr>
                      </pic:pic>
                    </a:graphicData>
                  </a:graphic>
                </wp:inline>
              </w:drawing>
            </w:r>
          </w:p>
        </w:tc>
        <w:tc>
          <w:tcPr>
            <w:tcW w:w="4414" w:type="dxa"/>
          </w:tcPr>
          <w:p w14:paraId="12356E48" w14:textId="77777777" w:rsidR="004D474F" w:rsidRPr="00B450EB" w:rsidRDefault="004D474F" w:rsidP="00024A81">
            <w:pPr>
              <w:spacing w:before="240"/>
              <w:jc w:val="center"/>
              <w:rPr>
                <w:noProof/>
              </w:rPr>
            </w:pPr>
            <w:r w:rsidRPr="00B450EB">
              <w:rPr>
                <w:noProof/>
              </w:rPr>
              <w:lastRenderedPageBreak/>
              <w:t>Temporada humeda (mayo)</w:t>
            </w:r>
          </w:p>
          <w:p w14:paraId="26D48877" w14:textId="77777777" w:rsidR="004D474F" w:rsidRPr="00B450EB" w:rsidRDefault="004D474F" w:rsidP="00024A81">
            <w:pPr>
              <w:spacing w:before="240"/>
              <w:jc w:val="center"/>
              <w:rPr>
                <w:noProof/>
              </w:rPr>
            </w:pPr>
            <w:r w:rsidRPr="00B450EB">
              <w:rPr>
                <w:noProof/>
              </w:rPr>
              <w:lastRenderedPageBreak/>
              <w:drawing>
                <wp:inline distT="0" distB="0" distL="0" distR="0" wp14:anchorId="5002CDC7" wp14:editId="4DB2B413">
                  <wp:extent cx="2001328" cy="2708829"/>
                  <wp:effectExtent l="0" t="0" r="0" b="0"/>
                  <wp:docPr id="1097383292"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83292" name="Imagen 1" descr="Mapa&#10;&#10;El contenido generado por IA puede ser incorrecto."/>
                          <pic:cNvPicPr/>
                        </pic:nvPicPr>
                        <pic:blipFill>
                          <a:blip r:embed="rId33" cstate="email">
                            <a:extLst>
                              <a:ext uri="{28A0092B-C50C-407E-A947-70E740481C1C}">
                                <a14:useLocalDpi xmlns:a14="http://schemas.microsoft.com/office/drawing/2010/main"/>
                              </a:ext>
                            </a:extLst>
                          </a:blip>
                          <a:stretch>
                            <a:fillRect/>
                          </a:stretch>
                        </pic:blipFill>
                        <pic:spPr>
                          <a:xfrm>
                            <a:off x="0" y="0"/>
                            <a:ext cx="2027842" cy="2744716"/>
                          </a:xfrm>
                          <a:prstGeom prst="rect">
                            <a:avLst/>
                          </a:prstGeom>
                        </pic:spPr>
                      </pic:pic>
                    </a:graphicData>
                  </a:graphic>
                </wp:inline>
              </w:drawing>
            </w:r>
          </w:p>
        </w:tc>
      </w:tr>
    </w:tbl>
    <w:p w14:paraId="5E102AD2" w14:textId="77777777" w:rsidR="004D474F" w:rsidRPr="00B450EB" w:rsidRDefault="004D474F" w:rsidP="004D474F">
      <w:pPr>
        <w:spacing w:before="240"/>
        <w:jc w:val="center"/>
        <w:rPr>
          <w:b/>
          <w:bCs/>
          <w:sz w:val="18"/>
          <w:szCs w:val="18"/>
        </w:rPr>
      </w:pPr>
      <w:r w:rsidRPr="00B450EB">
        <w:rPr>
          <w:sz w:val="18"/>
          <w:szCs w:val="18"/>
        </w:rPr>
        <w:lastRenderedPageBreak/>
        <w:t>Fuente:</w:t>
      </w:r>
      <w:r w:rsidRPr="00B450EB">
        <w:rPr>
          <w:b/>
          <w:bCs/>
          <w:sz w:val="18"/>
          <w:szCs w:val="18"/>
        </w:rPr>
        <w:t xml:space="preserve"> </w:t>
      </w:r>
      <w:r w:rsidRPr="00B450EB">
        <w:rPr>
          <w:noProof/>
          <w:sz w:val="18"/>
          <w:szCs w:val="18"/>
          <w:lang w:val="es-ES"/>
        </w:rPr>
        <w:t>Instituto de Hidrología, Meteorología y Estudios Ambientales – IDEAM, 2017.</w:t>
      </w:r>
    </w:p>
    <w:p w14:paraId="2D47A464" w14:textId="77777777" w:rsidR="004D474F" w:rsidRPr="00B450EB" w:rsidRDefault="004D474F" w:rsidP="004D474F">
      <w:pPr>
        <w:spacing w:before="240"/>
      </w:pPr>
      <w:r w:rsidRPr="00B450EB">
        <w:t xml:space="preserve">En la Amazonia, las velocidades medias del viento son considerablemente menores a las registradas en el resto del país; en algunas zonas del bioma amazónico no superan 1 m/s, como se observa en la siguiente figura. </w:t>
      </w:r>
    </w:p>
    <w:p w14:paraId="307A4B99" w14:textId="4BAB6DE2" w:rsidR="004D474F" w:rsidRPr="00B450EB" w:rsidRDefault="004D474F" w:rsidP="004D474F">
      <w:pPr>
        <w:pStyle w:val="Descripcin"/>
        <w:rPr>
          <w:color w:val="auto"/>
        </w:rPr>
      </w:pPr>
      <w:bookmarkStart w:id="26" w:name="_Toc209462702"/>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13</w:t>
      </w:r>
      <w:r w:rsidR="0045353A" w:rsidRPr="00B450EB">
        <w:rPr>
          <w:noProof/>
          <w:color w:val="auto"/>
        </w:rPr>
        <w:fldChar w:fldCharType="end"/>
      </w:r>
      <w:r w:rsidRPr="00B450EB">
        <w:rPr>
          <w:color w:val="auto"/>
        </w:rPr>
        <w:t xml:space="preserve"> Registros de vientos medios multianual del bioma amazónico</w:t>
      </w:r>
      <w:bookmarkEnd w:id="26"/>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6"/>
        <w:gridCol w:w="4412"/>
      </w:tblGrid>
      <w:tr w:rsidR="00EF1937" w:rsidRPr="00B450EB" w14:paraId="2F5413B6" w14:textId="77777777" w:rsidTr="00024A81">
        <w:tc>
          <w:tcPr>
            <w:tcW w:w="4416" w:type="dxa"/>
          </w:tcPr>
          <w:p w14:paraId="5EB2FA0E" w14:textId="77777777" w:rsidR="004D474F" w:rsidRPr="00B450EB" w:rsidRDefault="004D474F" w:rsidP="00024A81">
            <w:pPr>
              <w:spacing w:before="240"/>
              <w:rPr>
                <w:noProof/>
              </w:rPr>
            </w:pPr>
            <w:r w:rsidRPr="00B450EB">
              <w:rPr>
                <w:noProof/>
              </w:rPr>
              <w:drawing>
                <wp:inline distT="0" distB="0" distL="0" distR="0" wp14:anchorId="280D7F59" wp14:editId="28DB532C">
                  <wp:extent cx="2664460" cy="2257307"/>
                  <wp:effectExtent l="0" t="0" r="2540" b="0"/>
                  <wp:docPr id="2029575245" name="Imagen 1" descr="Gráfico, Gráfico radia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575245" name="Imagen 1" descr="Gráfico, Gráfico radial&#10;&#10;El contenido generado por IA puede ser incorrecto."/>
                          <pic:cNvPicPr/>
                        </pic:nvPicPr>
                        <pic:blipFill>
                          <a:blip r:embed="rId34"/>
                          <a:stretch>
                            <a:fillRect/>
                          </a:stretch>
                        </pic:blipFill>
                        <pic:spPr>
                          <a:xfrm>
                            <a:off x="0" y="0"/>
                            <a:ext cx="2687401" cy="2276742"/>
                          </a:xfrm>
                          <a:prstGeom prst="rect">
                            <a:avLst/>
                          </a:prstGeom>
                        </pic:spPr>
                      </pic:pic>
                    </a:graphicData>
                  </a:graphic>
                </wp:inline>
              </w:drawing>
            </w:r>
          </w:p>
        </w:tc>
        <w:tc>
          <w:tcPr>
            <w:tcW w:w="4412" w:type="dxa"/>
          </w:tcPr>
          <w:p w14:paraId="132FE43F" w14:textId="77777777" w:rsidR="004D474F" w:rsidRPr="00B450EB" w:rsidRDefault="004D474F" w:rsidP="00024A81">
            <w:pPr>
              <w:spacing w:before="240"/>
              <w:jc w:val="center"/>
              <w:rPr>
                <w:noProof/>
              </w:rPr>
            </w:pPr>
            <w:r w:rsidRPr="00B450EB">
              <w:rPr>
                <w:noProof/>
              </w:rPr>
              <w:drawing>
                <wp:inline distT="0" distB="0" distL="0" distR="0" wp14:anchorId="011290A9" wp14:editId="4044566C">
                  <wp:extent cx="1656272" cy="2220109"/>
                  <wp:effectExtent l="0" t="0" r="1270" b="8890"/>
                  <wp:docPr id="561075526"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75526" name="Imagen 1" descr="Mapa&#10;&#10;El contenido generado por IA puede ser incorrecto."/>
                          <pic:cNvPicPr/>
                        </pic:nvPicPr>
                        <pic:blipFill>
                          <a:blip r:embed="rId35"/>
                          <a:stretch>
                            <a:fillRect/>
                          </a:stretch>
                        </pic:blipFill>
                        <pic:spPr>
                          <a:xfrm>
                            <a:off x="0" y="0"/>
                            <a:ext cx="1681084" cy="2253367"/>
                          </a:xfrm>
                          <a:prstGeom prst="rect">
                            <a:avLst/>
                          </a:prstGeom>
                        </pic:spPr>
                      </pic:pic>
                    </a:graphicData>
                  </a:graphic>
                </wp:inline>
              </w:drawing>
            </w:r>
          </w:p>
        </w:tc>
      </w:tr>
    </w:tbl>
    <w:p w14:paraId="47850A41" w14:textId="77777777" w:rsidR="004D474F" w:rsidRPr="00B450EB" w:rsidRDefault="004D474F" w:rsidP="004D474F">
      <w:pPr>
        <w:spacing w:before="240"/>
        <w:jc w:val="center"/>
        <w:rPr>
          <w:sz w:val="18"/>
          <w:szCs w:val="18"/>
        </w:rPr>
      </w:pPr>
      <w:r w:rsidRPr="00B450EB">
        <w:rPr>
          <w:sz w:val="18"/>
          <w:szCs w:val="18"/>
        </w:rPr>
        <w:t xml:space="preserve">Fuente: </w:t>
      </w:r>
      <w:r w:rsidRPr="00B450EB">
        <w:rPr>
          <w:noProof/>
          <w:sz w:val="18"/>
          <w:szCs w:val="18"/>
          <w:lang w:val="es-ES"/>
        </w:rPr>
        <w:t>Instituto de Hidrología, Meteorología y Estudios Ambientales – IDEAM, 2017.</w:t>
      </w:r>
    </w:p>
    <w:p w14:paraId="55E730FC" w14:textId="77777777" w:rsidR="004D474F" w:rsidRPr="00B450EB" w:rsidRDefault="004D474F" w:rsidP="004D474F">
      <w:pPr>
        <w:spacing w:before="240"/>
      </w:pPr>
      <w:r w:rsidRPr="00B450EB">
        <w:t xml:space="preserve">Asimismo, el patrón de dirección del viento en la región presenta múltiples direcciones predominantes, con una ligera tendencia hacia el Sur y Suroeste. Estos resultados de dirección y velocidad corresponden a mediciones realizadas a bajas alturas (entre 2 y 10 metros). Por ello, se espera que el comportamiento difiera a </w:t>
      </w:r>
      <w:r w:rsidRPr="00B450EB">
        <w:lastRenderedPageBreak/>
        <w:t>mayores alturas, donde se manifiesta con mayor claridad la influencia de la Zona de Convergencia Intertropical (ZCIT), que refuerza los procesos de convección y la formación de nubosidad (</w:t>
      </w:r>
      <w:proofErr w:type="spellStart"/>
      <w:r w:rsidRPr="00B450EB">
        <w:t>Nobre</w:t>
      </w:r>
      <w:proofErr w:type="spellEnd"/>
      <w:r w:rsidRPr="00B450EB">
        <w:t>, 2014).</w:t>
      </w:r>
    </w:p>
    <w:p w14:paraId="214F176E" w14:textId="77777777" w:rsidR="004D474F" w:rsidRPr="00B450EB" w:rsidRDefault="004D474F" w:rsidP="004D474F">
      <w:pPr>
        <w:spacing w:before="240"/>
      </w:pPr>
      <w:r w:rsidRPr="00B450EB">
        <w:t>Finalmente, este comportamiento refleja la influencia de los vientos alisios del noreste y sureste, responsables del transporte de grandes volúmenes de humedad desde el Atlántico tropical hacia el interior del continente. La baja velocidad y la multiplicidad de direcciones observadas en la zona podrían estar asociadas precisamente al alto contenido de humedad en la atmósfera. Cabe aclarar que estos procesos se evidencian con mayor intensidad en alturas superiores a las de las estaciones de monitoreo del IDEAM.</w:t>
      </w:r>
    </w:p>
    <w:p w14:paraId="72428F4E" w14:textId="77777777" w:rsidR="004D474F" w:rsidRPr="00B450EB" w:rsidRDefault="004D474F" w:rsidP="004D474F">
      <w:pPr>
        <w:spacing w:before="240"/>
      </w:pPr>
      <w:r w:rsidRPr="00B450EB">
        <w:t>En cuanto a la humedad relativa, en gran parte de la región amazónica los valores se mantienen cercanos a la saturación (&gt;85%) durante la mayor parte del año. La amplitud intermensual es menor en comparación con otras regiones del país, como la Andina y la Caribe, especialmente en el sector central de la Amazonia.</w:t>
      </w:r>
    </w:p>
    <w:p w14:paraId="7E8093F3" w14:textId="77777777" w:rsidR="004D474F" w:rsidRPr="00B450EB" w:rsidRDefault="004D474F" w:rsidP="004D474F">
      <w:pPr>
        <w:spacing w:before="240"/>
      </w:pPr>
      <w:r w:rsidRPr="00B450EB">
        <w:t>En el Trapecio Amazónico se registra un descenso en la humedad promedio hacia mitad de año, asociado a la disminución de lluvias característica de esta temporada. En contraste, hacia el piedemonte amazónico, la humedad muestra una mayor variabilidad, oscilando a lo largo del año entre el 75 % y el 85 %.</w:t>
      </w:r>
    </w:p>
    <w:p w14:paraId="25B8D1C8" w14:textId="77777777" w:rsidR="009C75EC" w:rsidRPr="00B450EB" w:rsidRDefault="004D474F" w:rsidP="004D474F">
      <w:pPr>
        <w:spacing w:before="240"/>
      </w:pPr>
      <w:r w:rsidRPr="00B450EB">
        <w:t xml:space="preserve">Este comportamiento valida que la región presenta una alta disponibilidad de humedad atmosférica, la cual tiende a disminuir en áreas con menor cobertura boscosa, evidenciando la estrecha relación entre la estructura del paisaje y la dinámica climática local. </w:t>
      </w:r>
    </w:p>
    <w:p w14:paraId="466D8A4D" w14:textId="77777777" w:rsidR="009C75EC" w:rsidRPr="00B450EB" w:rsidRDefault="009C75EC">
      <w:pPr>
        <w:jc w:val="left"/>
      </w:pPr>
      <w:r w:rsidRPr="00B450EB">
        <w:br w:type="page"/>
      </w:r>
    </w:p>
    <w:p w14:paraId="3E54ACEA" w14:textId="59F742E4" w:rsidR="004D474F" w:rsidRPr="00B450EB" w:rsidRDefault="004D474F" w:rsidP="004D474F">
      <w:pPr>
        <w:pStyle w:val="Descripcin"/>
        <w:rPr>
          <w:color w:val="auto"/>
        </w:rPr>
      </w:pPr>
      <w:bookmarkStart w:id="27" w:name="_Toc209462703"/>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14</w:t>
      </w:r>
      <w:r w:rsidR="0045353A" w:rsidRPr="00B450EB">
        <w:rPr>
          <w:noProof/>
          <w:color w:val="auto"/>
        </w:rPr>
        <w:fldChar w:fldCharType="end"/>
      </w:r>
      <w:r w:rsidRPr="00B450EB">
        <w:rPr>
          <w:color w:val="auto"/>
        </w:rPr>
        <w:t xml:space="preserve"> Registros de porcentaje de humedad promedio multianual del bioma amazónico</w:t>
      </w:r>
      <w:bookmarkEnd w:id="27"/>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1"/>
        <w:gridCol w:w="4377"/>
      </w:tblGrid>
      <w:tr w:rsidR="00EF1937" w:rsidRPr="00B450EB" w14:paraId="48201ADF" w14:textId="77777777" w:rsidTr="009C75EC">
        <w:tc>
          <w:tcPr>
            <w:tcW w:w="4451" w:type="dxa"/>
          </w:tcPr>
          <w:p w14:paraId="517A5CE1" w14:textId="77777777" w:rsidR="004D474F" w:rsidRPr="00B450EB" w:rsidRDefault="004D474F" w:rsidP="00024A81">
            <w:pPr>
              <w:spacing w:before="240"/>
              <w:jc w:val="center"/>
              <w:rPr>
                <w:noProof/>
              </w:rPr>
            </w:pPr>
            <w:r w:rsidRPr="00B450EB">
              <w:rPr>
                <w:noProof/>
              </w:rPr>
              <w:drawing>
                <wp:inline distT="0" distB="0" distL="0" distR="0" wp14:anchorId="18B43B77" wp14:editId="5559F515">
                  <wp:extent cx="1872691" cy="1352976"/>
                  <wp:effectExtent l="0" t="0" r="0" b="0"/>
                  <wp:docPr id="1900042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42451" name=""/>
                          <pic:cNvPicPr/>
                        </pic:nvPicPr>
                        <pic:blipFill>
                          <a:blip r:embed="rId36"/>
                          <a:stretch>
                            <a:fillRect/>
                          </a:stretch>
                        </pic:blipFill>
                        <pic:spPr>
                          <a:xfrm>
                            <a:off x="0" y="0"/>
                            <a:ext cx="1900836" cy="1373310"/>
                          </a:xfrm>
                          <a:prstGeom prst="rect">
                            <a:avLst/>
                          </a:prstGeom>
                        </pic:spPr>
                      </pic:pic>
                    </a:graphicData>
                  </a:graphic>
                </wp:inline>
              </w:drawing>
            </w:r>
          </w:p>
          <w:p w14:paraId="5E4A15B4" w14:textId="77777777" w:rsidR="004D474F" w:rsidRPr="00B450EB" w:rsidRDefault="004D474F" w:rsidP="00024A81">
            <w:pPr>
              <w:spacing w:before="240"/>
              <w:jc w:val="center"/>
              <w:rPr>
                <w:noProof/>
              </w:rPr>
            </w:pPr>
            <w:r w:rsidRPr="00B450EB">
              <w:rPr>
                <w:noProof/>
              </w:rPr>
              <w:drawing>
                <wp:inline distT="0" distB="0" distL="0" distR="0" wp14:anchorId="771C10F3" wp14:editId="0AC330D1">
                  <wp:extent cx="1865376" cy="1353901"/>
                  <wp:effectExtent l="0" t="0" r="1905" b="0"/>
                  <wp:docPr id="21446480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648081" name=""/>
                          <pic:cNvPicPr/>
                        </pic:nvPicPr>
                        <pic:blipFill>
                          <a:blip r:embed="rId37"/>
                          <a:stretch>
                            <a:fillRect/>
                          </a:stretch>
                        </pic:blipFill>
                        <pic:spPr>
                          <a:xfrm>
                            <a:off x="0" y="0"/>
                            <a:ext cx="1897442" cy="1377174"/>
                          </a:xfrm>
                          <a:prstGeom prst="rect">
                            <a:avLst/>
                          </a:prstGeom>
                        </pic:spPr>
                      </pic:pic>
                    </a:graphicData>
                  </a:graphic>
                </wp:inline>
              </w:drawing>
            </w:r>
          </w:p>
        </w:tc>
        <w:tc>
          <w:tcPr>
            <w:tcW w:w="4377" w:type="dxa"/>
          </w:tcPr>
          <w:p w14:paraId="5B2F7ECB" w14:textId="77777777" w:rsidR="004D474F" w:rsidRPr="00B450EB" w:rsidRDefault="004D474F" w:rsidP="009C75EC">
            <w:pPr>
              <w:spacing w:before="240"/>
              <w:jc w:val="center"/>
              <w:rPr>
                <w:noProof/>
              </w:rPr>
            </w:pPr>
            <w:r w:rsidRPr="00B450EB">
              <w:rPr>
                <w:noProof/>
              </w:rPr>
              <w:drawing>
                <wp:inline distT="0" distB="0" distL="0" distR="0" wp14:anchorId="7D34832F" wp14:editId="5BB3237A">
                  <wp:extent cx="2437476" cy="3273586"/>
                  <wp:effectExtent l="0" t="0" r="1270" b="3175"/>
                  <wp:docPr id="1782499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27225" name=""/>
                          <pic:cNvPicPr/>
                        </pic:nvPicPr>
                        <pic:blipFill>
                          <a:blip r:embed="rId38" cstate="email">
                            <a:extLst>
                              <a:ext uri="{28A0092B-C50C-407E-A947-70E740481C1C}">
                                <a14:useLocalDpi xmlns:a14="http://schemas.microsoft.com/office/drawing/2010/main"/>
                              </a:ext>
                            </a:extLst>
                          </a:blip>
                          <a:stretch>
                            <a:fillRect/>
                          </a:stretch>
                        </pic:blipFill>
                        <pic:spPr>
                          <a:xfrm>
                            <a:off x="0" y="0"/>
                            <a:ext cx="2477833" cy="3327786"/>
                          </a:xfrm>
                          <a:prstGeom prst="rect">
                            <a:avLst/>
                          </a:prstGeom>
                        </pic:spPr>
                      </pic:pic>
                    </a:graphicData>
                  </a:graphic>
                </wp:inline>
              </w:drawing>
            </w:r>
          </w:p>
        </w:tc>
      </w:tr>
    </w:tbl>
    <w:p w14:paraId="12B3B0C9" w14:textId="77777777" w:rsidR="004D474F" w:rsidRPr="00B450EB" w:rsidRDefault="004D474F" w:rsidP="009C75EC">
      <w:pPr>
        <w:jc w:val="center"/>
        <w:rPr>
          <w:sz w:val="18"/>
          <w:szCs w:val="18"/>
        </w:rPr>
      </w:pPr>
      <w:r w:rsidRPr="00B450EB">
        <w:rPr>
          <w:sz w:val="18"/>
          <w:szCs w:val="18"/>
        </w:rPr>
        <w:t xml:space="preserve">Fuente: </w:t>
      </w:r>
      <w:r w:rsidRPr="00B450EB">
        <w:rPr>
          <w:noProof/>
          <w:sz w:val="18"/>
          <w:szCs w:val="18"/>
          <w:lang w:val="es-ES"/>
        </w:rPr>
        <w:t>Instituto de Hidrología, Meteorología y Estudios Ambientales – IDEAM, 2017.</w:t>
      </w:r>
    </w:p>
    <w:p w14:paraId="1291C558" w14:textId="77777777" w:rsidR="009C75EC" w:rsidRPr="00B450EB" w:rsidRDefault="004D474F" w:rsidP="004D474F">
      <w:pPr>
        <w:spacing w:before="240"/>
      </w:pPr>
      <w:r w:rsidRPr="00B450EB">
        <w:t>En la región amazónica, la radiación solar presenta un comportamiento monomodal, con valores más bajos hacia mediados de año y más altos al inicio y final de este. En contraste, en el resto de la región se observa un patrón opuesto. Este comportamiento evidencia cómo el bioma amazónico contribuye a reducir significativamente los niveles de radiación solar en una de las zonas de mayor influencia de este fenómeno a nivel global, reafirmando la importancia del equilibrio climático que ofrece la cobertura vegetal de una selva conservada.</w:t>
      </w:r>
    </w:p>
    <w:p w14:paraId="46A99436" w14:textId="77777777" w:rsidR="009C75EC" w:rsidRPr="00B450EB" w:rsidRDefault="009C75EC">
      <w:pPr>
        <w:jc w:val="left"/>
      </w:pPr>
      <w:r w:rsidRPr="00B450EB">
        <w:br w:type="page"/>
      </w:r>
    </w:p>
    <w:p w14:paraId="7D12BD6E" w14:textId="6C8606D7" w:rsidR="004D474F" w:rsidRPr="00B450EB" w:rsidRDefault="004D474F" w:rsidP="004D474F">
      <w:pPr>
        <w:pStyle w:val="Descripcin"/>
        <w:rPr>
          <w:color w:val="auto"/>
        </w:rPr>
      </w:pPr>
      <w:bookmarkStart w:id="28" w:name="_Toc209462704"/>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15</w:t>
      </w:r>
      <w:r w:rsidR="0045353A" w:rsidRPr="00B450EB">
        <w:rPr>
          <w:noProof/>
          <w:color w:val="auto"/>
        </w:rPr>
        <w:fldChar w:fldCharType="end"/>
      </w:r>
      <w:r w:rsidRPr="00B450EB">
        <w:rPr>
          <w:color w:val="auto"/>
        </w:rPr>
        <w:t xml:space="preserve"> Registros de radiación solar promedio multianual del bioma amazónico.</w:t>
      </w:r>
      <w:bookmarkEnd w:id="28"/>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1"/>
        <w:gridCol w:w="4377"/>
      </w:tblGrid>
      <w:tr w:rsidR="00EF1937" w:rsidRPr="00B450EB" w14:paraId="60B8769C" w14:textId="77777777" w:rsidTr="00024A81">
        <w:tc>
          <w:tcPr>
            <w:tcW w:w="4451" w:type="dxa"/>
          </w:tcPr>
          <w:p w14:paraId="52FA27DC" w14:textId="77777777" w:rsidR="004D474F" w:rsidRPr="00B450EB" w:rsidRDefault="004D474F" w:rsidP="00024A81">
            <w:pPr>
              <w:spacing w:before="240"/>
              <w:jc w:val="center"/>
              <w:rPr>
                <w:noProof/>
              </w:rPr>
            </w:pPr>
            <w:r w:rsidRPr="00B450EB">
              <w:rPr>
                <w:noProof/>
              </w:rPr>
              <w:drawing>
                <wp:inline distT="0" distB="0" distL="0" distR="0" wp14:anchorId="3C26E1C7" wp14:editId="3AB063AA">
                  <wp:extent cx="1894256" cy="1229528"/>
                  <wp:effectExtent l="0" t="0" r="0" b="8890"/>
                  <wp:docPr id="20707842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784295" name=""/>
                          <pic:cNvPicPr/>
                        </pic:nvPicPr>
                        <pic:blipFill>
                          <a:blip r:embed="rId39"/>
                          <a:stretch>
                            <a:fillRect/>
                          </a:stretch>
                        </pic:blipFill>
                        <pic:spPr>
                          <a:xfrm>
                            <a:off x="0" y="0"/>
                            <a:ext cx="1927785" cy="1251291"/>
                          </a:xfrm>
                          <a:prstGeom prst="rect">
                            <a:avLst/>
                          </a:prstGeom>
                        </pic:spPr>
                      </pic:pic>
                    </a:graphicData>
                  </a:graphic>
                </wp:inline>
              </w:drawing>
            </w:r>
          </w:p>
          <w:p w14:paraId="61D80959" w14:textId="77777777" w:rsidR="004D474F" w:rsidRPr="00B450EB" w:rsidRDefault="004D474F" w:rsidP="00024A81">
            <w:pPr>
              <w:spacing w:before="240"/>
              <w:jc w:val="center"/>
              <w:rPr>
                <w:noProof/>
              </w:rPr>
            </w:pPr>
            <w:r w:rsidRPr="00B450EB">
              <w:rPr>
                <w:noProof/>
              </w:rPr>
              <w:drawing>
                <wp:inline distT="0" distB="0" distL="0" distR="0" wp14:anchorId="1BEC3877" wp14:editId="503F008D">
                  <wp:extent cx="1894256" cy="1215264"/>
                  <wp:effectExtent l="0" t="0" r="0" b="4445"/>
                  <wp:docPr id="7093003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300324" name=""/>
                          <pic:cNvPicPr/>
                        </pic:nvPicPr>
                        <pic:blipFill>
                          <a:blip r:embed="rId40"/>
                          <a:stretch>
                            <a:fillRect/>
                          </a:stretch>
                        </pic:blipFill>
                        <pic:spPr>
                          <a:xfrm>
                            <a:off x="0" y="0"/>
                            <a:ext cx="1935163" cy="1241508"/>
                          </a:xfrm>
                          <a:prstGeom prst="rect">
                            <a:avLst/>
                          </a:prstGeom>
                        </pic:spPr>
                      </pic:pic>
                    </a:graphicData>
                  </a:graphic>
                </wp:inline>
              </w:drawing>
            </w:r>
          </w:p>
        </w:tc>
        <w:tc>
          <w:tcPr>
            <w:tcW w:w="4377" w:type="dxa"/>
          </w:tcPr>
          <w:p w14:paraId="37EB80C9" w14:textId="77777777" w:rsidR="004D474F" w:rsidRPr="00B450EB" w:rsidRDefault="004D474F" w:rsidP="00024A81">
            <w:pPr>
              <w:spacing w:before="240"/>
              <w:jc w:val="center"/>
              <w:rPr>
                <w:noProof/>
              </w:rPr>
            </w:pPr>
            <w:r w:rsidRPr="00B450EB">
              <w:rPr>
                <w:noProof/>
              </w:rPr>
              <w:drawing>
                <wp:inline distT="0" distB="0" distL="0" distR="0" wp14:anchorId="1C04FA77" wp14:editId="0264F2B7">
                  <wp:extent cx="2224789" cy="2982686"/>
                  <wp:effectExtent l="0" t="0" r="4445" b="8255"/>
                  <wp:docPr id="6133628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362890" name=""/>
                          <pic:cNvPicPr/>
                        </pic:nvPicPr>
                        <pic:blipFill>
                          <a:blip r:embed="rId41" cstate="email">
                            <a:extLst>
                              <a:ext uri="{28A0092B-C50C-407E-A947-70E740481C1C}">
                                <a14:useLocalDpi xmlns:a14="http://schemas.microsoft.com/office/drawing/2010/main"/>
                              </a:ext>
                            </a:extLst>
                          </a:blip>
                          <a:stretch>
                            <a:fillRect/>
                          </a:stretch>
                        </pic:blipFill>
                        <pic:spPr>
                          <a:xfrm>
                            <a:off x="0" y="0"/>
                            <a:ext cx="2248966" cy="3015099"/>
                          </a:xfrm>
                          <a:prstGeom prst="rect">
                            <a:avLst/>
                          </a:prstGeom>
                        </pic:spPr>
                      </pic:pic>
                    </a:graphicData>
                  </a:graphic>
                </wp:inline>
              </w:drawing>
            </w:r>
          </w:p>
        </w:tc>
      </w:tr>
    </w:tbl>
    <w:p w14:paraId="1FAB257A" w14:textId="77777777" w:rsidR="004D474F" w:rsidRPr="00B450EB" w:rsidRDefault="004D474F" w:rsidP="009C75EC">
      <w:pPr>
        <w:jc w:val="center"/>
        <w:rPr>
          <w:sz w:val="18"/>
          <w:szCs w:val="18"/>
        </w:rPr>
      </w:pPr>
      <w:r w:rsidRPr="00B450EB">
        <w:rPr>
          <w:sz w:val="18"/>
          <w:szCs w:val="18"/>
        </w:rPr>
        <w:t xml:space="preserve">Fuente: </w:t>
      </w:r>
      <w:r w:rsidRPr="00B450EB">
        <w:rPr>
          <w:noProof/>
          <w:sz w:val="18"/>
          <w:szCs w:val="18"/>
          <w:lang w:val="es-ES"/>
        </w:rPr>
        <w:t>Instituto de Hidrología, Meteorología y Estudios Ambientales – IDEAM, 2017.</w:t>
      </w:r>
    </w:p>
    <w:p w14:paraId="03C974E4" w14:textId="77777777" w:rsidR="004D474F" w:rsidRPr="00B450EB" w:rsidRDefault="004D474F" w:rsidP="004D474F">
      <w:pPr>
        <w:spacing w:before="240"/>
      </w:pPr>
      <w:r w:rsidRPr="00B450EB">
        <w:t>A partir del análisis anterior se valida que el clima amazónico se caracteriza por un régimen térmico estable en las zonas menos intervenidas, así como por una alta y constante y ambiental.</w:t>
      </w:r>
    </w:p>
    <w:p w14:paraId="629611D0" w14:textId="77777777" w:rsidR="004D474F" w:rsidRPr="00B450EB" w:rsidRDefault="004D474F" w:rsidP="004D474F">
      <w:pPr>
        <w:pStyle w:val="Ttulo3"/>
        <w:numPr>
          <w:ilvl w:val="2"/>
          <w:numId w:val="16"/>
        </w:numPr>
        <w:tabs>
          <w:tab w:val="left" w:pos="1677"/>
        </w:tabs>
        <w:rPr>
          <w:rFonts w:cs="Arial"/>
          <w:bCs/>
          <w:szCs w:val="24"/>
        </w:rPr>
      </w:pPr>
      <w:bookmarkStart w:id="29" w:name="_Toc209722916"/>
      <w:r w:rsidRPr="00B450EB">
        <w:rPr>
          <w:rFonts w:cs="Arial"/>
          <w:bCs/>
          <w:szCs w:val="24"/>
        </w:rPr>
        <w:t>Atmosfera</w:t>
      </w:r>
      <w:bookmarkEnd w:id="29"/>
    </w:p>
    <w:p w14:paraId="3236413D" w14:textId="77777777" w:rsidR="004D474F" w:rsidRPr="00B450EB" w:rsidRDefault="004D474F" w:rsidP="004D474F">
      <w:r w:rsidRPr="00B450EB">
        <w:rPr>
          <w:rFonts w:cs="Arial"/>
        </w:rPr>
        <w:t xml:space="preserve">Características de la atmosfera y la relevancia del CO2 en el clima. </w:t>
      </w:r>
    </w:p>
    <w:p w14:paraId="6671917B" w14:textId="77777777" w:rsidR="004D474F" w:rsidRPr="00B450EB" w:rsidRDefault="004D474F" w:rsidP="004D474F">
      <w:r w:rsidRPr="00B450EB">
        <w:t>La atmósfera es la capa de gases que rodea la Tierra y se mantiene unida por efecto de la gravedad. Esta envoltura gaseosa es esencial para la vida, ya que regula la temperatura del planeta, filtra la radiación solar nociva y permite el desarrollo de los procesos biogeoquímicos. Su composición es principalmente Nitrógeno (</w:t>
      </w:r>
      <w:r w:rsidRPr="00B450EB">
        <w:rPr>
          <w:rFonts w:cs="Arial"/>
        </w:rPr>
        <w:t>N2)</w:t>
      </w:r>
      <w:r w:rsidRPr="00B450EB">
        <w:t xml:space="preserve"> con un 78 %, Ox</w:t>
      </w:r>
      <w:r w:rsidRPr="00B450EB">
        <w:rPr>
          <w:rFonts w:cs="Arial"/>
        </w:rPr>
        <w:t>í</w:t>
      </w:r>
      <w:r w:rsidRPr="00B450EB">
        <w:t>geno (</w:t>
      </w:r>
      <w:r w:rsidRPr="00B450EB">
        <w:rPr>
          <w:rFonts w:cs="Arial"/>
        </w:rPr>
        <w:t>O2)</w:t>
      </w:r>
      <w:r w:rsidRPr="00B450EB">
        <w:t xml:space="preserve"> con un 21 %, y un 1 % restante conformado por otros gases y vapor de agua. Entre ellos, el Di</w:t>
      </w:r>
      <w:r w:rsidRPr="00B450EB">
        <w:rPr>
          <w:rFonts w:cs="Arial"/>
        </w:rPr>
        <w:t>ó</w:t>
      </w:r>
      <w:r w:rsidRPr="00B450EB">
        <w:t>xido de Carbono (CO</w:t>
      </w:r>
      <w:r w:rsidRPr="00B450EB">
        <w:rPr>
          <w:rFonts w:cs="Arial"/>
        </w:rPr>
        <w:t>2</w:t>
      </w:r>
      <w:r w:rsidRPr="00B450EB">
        <w:t>), aunque presente en una proporci</w:t>
      </w:r>
      <w:r w:rsidRPr="00B450EB">
        <w:rPr>
          <w:rFonts w:cs="Arial"/>
        </w:rPr>
        <w:t>ó</w:t>
      </w:r>
      <w:r w:rsidRPr="00B450EB">
        <w:t>n aproximada del 0,04 %, juega un papel determinante en la regulaci</w:t>
      </w:r>
      <w:r w:rsidRPr="00B450EB">
        <w:rPr>
          <w:rFonts w:cs="Arial"/>
        </w:rPr>
        <w:t>ó</w:t>
      </w:r>
      <w:r w:rsidRPr="00B450EB">
        <w:t>n de la temperatura global debido a su capacidad de generar efecto invernadero, reteniendo parte del calor que ingresa al planeta.</w:t>
      </w:r>
    </w:p>
    <w:p w14:paraId="2DE71119" w14:textId="77777777" w:rsidR="004D474F" w:rsidRPr="00B450EB" w:rsidRDefault="004D474F" w:rsidP="004D474F">
      <w:r w:rsidRPr="00B450EB">
        <w:t xml:space="preserve">La atmósfera se divide en capas según su temperatura y composición química. La Exosfera, ubicada entre 600 y 10.000 km de altura, es la capa más externa, mientras que la Troposfera o Biosfera, que se extiende desde la superficie hasta aproximadamente 12 km, concentra la vida, el clima y la mayor parte de las actividades humanas. Adicionalmente, la atmósfera es dinámica y está en constante </w:t>
      </w:r>
      <w:r w:rsidRPr="00B450EB">
        <w:lastRenderedPageBreak/>
        <w:t>movimiento debido a la influencia de la radiación solar, los patrones de viento, la rotación terrestre y la interacción con los océanos, factores que determinan el comportamiento climático y la distribución de los gases que la componen.</w:t>
      </w:r>
    </w:p>
    <w:p w14:paraId="1487B7C3" w14:textId="734CE96A" w:rsidR="004D474F" w:rsidRPr="00B450EB" w:rsidRDefault="004D474F" w:rsidP="004D474F">
      <w:r w:rsidRPr="00B450EB">
        <w:t xml:space="preserve">En relación con lo anterior, La </w:t>
      </w:r>
      <w:sdt>
        <w:sdtPr>
          <w:id w:val="-123936928"/>
          <w:citation/>
        </w:sdtPr>
        <w:sdtContent>
          <w:r w:rsidRPr="00B450EB">
            <w:fldChar w:fldCharType="begin"/>
          </w:r>
          <w:r w:rsidRPr="00B450EB">
            <w:rPr>
              <w:lang w:val="es-ES"/>
            </w:rPr>
            <w:instrText xml:space="preserve"> CITATION NASsf \l 3082 </w:instrText>
          </w:r>
          <w:r w:rsidRPr="00B450EB">
            <w:fldChar w:fldCharType="separate"/>
          </w:r>
          <w:r w:rsidR="0077091E" w:rsidRPr="00B450EB">
            <w:rPr>
              <w:noProof/>
              <w:lang w:val="es-ES"/>
            </w:rPr>
            <w:t>(NASA, 2025)</w:t>
          </w:r>
          <w:r w:rsidRPr="00B450EB">
            <w:fldChar w:fldCharType="end"/>
          </w:r>
        </w:sdtContent>
      </w:sdt>
      <w:r w:rsidRPr="00B450EB">
        <w:t xml:space="preserve"> ha documentado cómo el aumento de CO</w:t>
      </w:r>
      <w:r w:rsidRPr="00B450EB">
        <w:rPr>
          <w:rFonts w:cs="Arial"/>
        </w:rPr>
        <w:t>2</w:t>
      </w:r>
      <w:r w:rsidRPr="00B450EB">
        <w:t xml:space="preserve"> coincide con un incremento sostenido en la temperatura media global. Estos datos provienen de mediciones directas de n</w:t>
      </w:r>
      <w:r w:rsidRPr="00B450EB">
        <w:rPr>
          <w:rFonts w:cs="Arial"/>
        </w:rPr>
        <w:t>ú</w:t>
      </w:r>
      <w:r w:rsidRPr="00B450EB">
        <w:t>cleos de hielo que permiten reconstruir la historia clim</w:t>
      </w:r>
      <w:r w:rsidRPr="00B450EB">
        <w:rPr>
          <w:rFonts w:cs="Arial"/>
        </w:rPr>
        <w:t>á</w:t>
      </w:r>
      <w:r w:rsidRPr="00B450EB">
        <w:t xml:space="preserve">tica de la Tierra, la siguiente figura muestra un gráfico con dicha correlación. </w:t>
      </w:r>
    </w:p>
    <w:p w14:paraId="35A178DA" w14:textId="125A7608" w:rsidR="004D474F" w:rsidRPr="00B450EB" w:rsidRDefault="004D474F" w:rsidP="004D474F">
      <w:pPr>
        <w:pStyle w:val="Descripcin"/>
        <w:rPr>
          <w:color w:val="auto"/>
        </w:rPr>
      </w:pPr>
      <w:bookmarkStart w:id="30" w:name="_Toc209462705"/>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16</w:t>
      </w:r>
      <w:r w:rsidRPr="00B450EB">
        <w:rPr>
          <w:color w:val="auto"/>
        </w:rPr>
        <w:fldChar w:fldCharType="end"/>
      </w:r>
      <w:r w:rsidRPr="00B450EB">
        <w:rPr>
          <w:color w:val="auto"/>
        </w:rPr>
        <w:t>. correlación entre la temperatura y el Di</w:t>
      </w:r>
      <w:r w:rsidRPr="00B450EB">
        <w:rPr>
          <w:rFonts w:cs="Arial"/>
          <w:color w:val="auto"/>
        </w:rPr>
        <w:t>ó</w:t>
      </w:r>
      <w:r w:rsidRPr="00B450EB">
        <w:rPr>
          <w:color w:val="auto"/>
        </w:rPr>
        <w:t>xido de Carbono.</w:t>
      </w:r>
      <w:bookmarkEnd w:id="30"/>
      <w:r w:rsidRPr="00B450EB">
        <w:rPr>
          <w:color w:val="auto"/>
        </w:rPr>
        <w:t xml:space="preserve"> </w:t>
      </w:r>
    </w:p>
    <w:p w14:paraId="0EA601D7" w14:textId="77777777" w:rsidR="004D474F" w:rsidRPr="00B450EB" w:rsidRDefault="004D474F" w:rsidP="004D474F">
      <w:pPr>
        <w:spacing w:after="0"/>
        <w:jc w:val="center"/>
      </w:pPr>
      <w:r w:rsidRPr="00B450EB">
        <w:rPr>
          <w:noProof/>
        </w:rPr>
        <w:drawing>
          <wp:inline distT="0" distB="0" distL="0" distR="0" wp14:anchorId="31D52D50" wp14:editId="5A38214A">
            <wp:extent cx="5504178" cy="2596896"/>
            <wp:effectExtent l="0" t="0" r="1905" b="0"/>
            <wp:docPr id="1552630529" name="Imagen 1"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30529" name="Imagen 1" descr="Escala de tiempo&#10;&#10;El contenido generado por IA puede ser incorrecto."/>
                    <pic:cNvPicPr/>
                  </pic:nvPicPr>
                  <pic:blipFill>
                    <a:blip r:embed="rId42"/>
                    <a:stretch>
                      <a:fillRect/>
                    </a:stretch>
                  </pic:blipFill>
                  <pic:spPr>
                    <a:xfrm>
                      <a:off x="0" y="0"/>
                      <a:ext cx="5522746" cy="2605656"/>
                    </a:xfrm>
                    <a:prstGeom prst="rect">
                      <a:avLst/>
                    </a:prstGeom>
                  </pic:spPr>
                </pic:pic>
              </a:graphicData>
            </a:graphic>
          </wp:inline>
        </w:drawing>
      </w:r>
    </w:p>
    <w:p w14:paraId="11A142E4" w14:textId="77777777" w:rsidR="004D474F" w:rsidRPr="00B450EB" w:rsidRDefault="004D474F" w:rsidP="004D474F">
      <w:pPr>
        <w:jc w:val="center"/>
        <w:rPr>
          <w:sz w:val="18"/>
          <w:szCs w:val="18"/>
        </w:rPr>
      </w:pPr>
      <w:r w:rsidRPr="00B450EB">
        <w:rPr>
          <w:sz w:val="18"/>
          <w:szCs w:val="18"/>
        </w:rPr>
        <w:t>Fuente: NASA, 2025.</w:t>
      </w:r>
    </w:p>
    <w:p w14:paraId="728FD7A0" w14:textId="3C6F60DF" w:rsidR="004D474F" w:rsidRPr="00B450EB" w:rsidRDefault="004D474F" w:rsidP="004D474F">
      <w:r w:rsidRPr="00B450EB">
        <w:t>En consecuencia, se considera que el dióxido de carbono (CO</w:t>
      </w:r>
      <w:r w:rsidRPr="00B450EB">
        <w:rPr>
          <w:rFonts w:cs="Arial"/>
        </w:rPr>
        <w:t>2</w:t>
      </w:r>
      <w:r w:rsidRPr="00B450EB">
        <w:t>) es un gas relevante en la dinámica atmosférica e influye en el clima, este gas proviene principalmente de la quema de combustibles f</w:t>
      </w:r>
      <w:r w:rsidRPr="00B450EB">
        <w:rPr>
          <w:rFonts w:cs="Arial"/>
        </w:rPr>
        <w:t>ó</w:t>
      </w:r>
      <w:r w:rsidRPr="00B450EB">
        <w:t>siles, incendios forestales y procesos naturales como erupciones volc</w:t>
      </w:r>
      <w:r w:rsidRPr="00B450EB">
        <w:rPr>
          <w:rFonts w:cs="Arial"/>
        </w:rPr>
        <w:t>á</w:t>
      </w:r>
      <w:r w:rsidRPr="00B450EB">
        <w:t xml:space="preserve">nicas. Según </w:t>
      </w:r>
      <w:sdt>
        <w:sdtPr>
          <w:id w:val="-1762520566"/>
          <w:citation/>
        </w:sdtPr>
        <w:sdtContent>
          <w:r w:rsidRPr="00B450EB">
            <w:fldChar w:fldCharType="begin"/>
          </w:r>
          <w:r w:rsidRPr="00B450EB">
            <w:rPr>
              <w:lang w:val="es-ES"/>
            </w:rPr>
            <w:instrText xml:space="preserve"> CITATION NASsf \l 3082 </w:instrText>
          </w:r>
          <w:r w:rsidRPr="00B450EB">
            <w:fldChar w:fldCharType="separate"/>
          </w:r>
          <w:r w:rsidR="0077091E" w:rsidRPr="00B450EB">
            <w:rPr>
              <w:noProof/>
              <w:lang w:val="es-ES"/>
            </w:rPr>
            <w:t>(NASA, 2025)</w:t>
          </w:r>
          <w:r w:rsidRPr="00B450EB">
            <w:fldChar w:fldCharType="end"/>
          </w:r>
        </w:sdtContent>
      </w:sdt>
      <w:r w:rsidRPr="00B450EB">
        <w:t>, muestra evidencia que, desde el inicio de la era industrial en el siglo XVIII, las actividades humanas han incrementado su concentraci</w:t>
      </w:r>
      <w:r w:rsidRPr="00B450EB">
        <w:rPr>
          <w:rFonts w:cs="Arial"/>
        </w:rPr>
        <w:t>ó</w:t>
      </w:r>
      <w:r w:rsidRPr="00B450EB">
        <w:t>n en la atm</w:t>
      </w:r>
      <w:r w:rsidRPr="00B450EB">
        <w:rPr>
          <w:rFonts w:cs="Arial"/>
        </w:rPr>
        <w:t>ó</w:t>
      </w:r>
      <w:r w:rsidRPr="00B450EB">
        <w:t xml:space="preserve">sfera en un 50 %, alcanzando niveles un 150 % superiores a los registrados en 1750, superando incluso las variaciones naturales ocurridas al final de la </w:t>
      </w:r>
      <w:r w:rsidRPr="00B450EB">
        <w:rPr>
          <w:rFonts w:cs="Arial"/>
        </w:rPr>
        <w:t>ú</w:t>
      </w:r>
      <w:r w:rsidRPr="00B450EB">
        <w:t>ltima glaciaci</w:t>
      </w:r>
      <w:r w:rsidRPr="00B450EB">
        <w:rPr>
          <w:rFonts w:cs="Arial"/>
        </w:rPr>
        <w:t>ó</w:t>
      </w:r>
      <w:r w:rsidRPr="00B450EB">
        <w:t>n hace 20.000 a</w:t>
      </w:r>
      <w:r w:rsidRPr="00B450EB">
        <w:rPr>
          <w:rFonts w:cs="Arial"/>
        </w:rPr>
        <w:t>ñ</w:t>
      </w:r>
      <w:r w:rsidRPr="00B450EB">
        <w:t>os. Igualmente, se reporta que los niveles de CO</w:t>
      </w:r>
      <w:r w:rsidRPr="00B450EB">
        <w:rPr>
          <w:rFonts w:cs="Arial"/>
        </w:rPr>
        <w:t>2</w:t>
      </w:r>
      <w:r w:rsidRPr="00B450EB">
        <w:t xml:space="preserve"> presentan fluctuaciones estacionales debido a los ciclos de fotos</w:t>
      </w:r>
      <w:r w:rsidRPr="00B450EB">
        <w:rPr>
          <w:rFonts w:cs="Arial"/>
        </w:rPr>
        <w:t>í</w:t>
      </w:r>
      <w:r w:rsidRPr="00B450EB">
        <w:t>ntesis. En el hemisferio norte, durante la primavera, las plantas absorben CO</w:t>
      </w:r>
      <w:r w:rsidRPr="00B450EB">
        <w:rPr>
          <w:rFonts w:cs="Arial"/>
        </w:rPr>
        <w:t>2</w:t>
      </w:r>
      <w:r w:rsidRPr="00B450EB">
        <w:t xml:space="preserve"> para su crecimiento, reduciendo su concentraci</w:t>
      </w:r>
      <w:r w:rsidRPr="00B450EB">
        <w:rPr>
          <w:rFonts w:cs="Arial"/>
        </w:rPr>
        <w:t>ó</w:t>
      </w:r>
      <w:r w:rsidRPr="00B450EB">
        <w:t>n en la atm</w:t>
      </w:r>
      <w:r w:rsidRPr="00B450EB">
        <w:rPr>
          <w:rFonts w:cs="Arial"/>
        </w:rPr>
        <w:t>ó</w:t>
      </w:r>
      <w:r w:rsidRPr="00B450EB">
        <w:t xml:space="preserve">sfera, mientras que en otoño e invierno este vuelve a aumentar por la descomposición de la materia vegetal. Un patrón similar, aunque menos intenso, ocurre en el hemisferio sur, debido que tienen menor cantidad de tierra y vegetación que en el norte. A </w:t>
      </w:r>
      <w:r w:rsidRPr="00B450EB">
        <w:lastRenderedPageBreak/>
        <w:t xml:space="preserve">continuación, se muestran las figuras con el comportamiento histórico del CO2 en miles de años y el comportamiento de este en el ciclo anual.  </w:t>
      </w:r>
    </w:p>
    <w:p w14:paraId="13501B2D" w14:textId="252EC9B4" w:rsidR="004D474F" w:rsidRPr="00B450EB" w:rsidRDefault="004D474F" w:rsidP="004D474F">
      <w:pPr>
        <w:pStyle w:val="Descripcin"/>
        <w:rPr>
          <w:color w:val="auto"/>
        </w:rPr>
      </w:pPr>
      <w:bookmarkStart w:id="31" w:name="_Toc209462706"/>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17</w:t>
      </w:r>
      <w:r w:rsidR="0045353A" w:rsidRPr="00B450EB">
        <w:rPr>
          <w:noProof/>
          <w:color w:val="auto"/>
        </w:rPr>
        <w:fldChar w:fldCharType="end"/>
      </w:r>
      <w:r w:rsidRPr="00B450EB">
        <w:rPr>
          <w:color w:val="auto"/>
        </w:rPr>
        <w:t>. comportamiento histórico del CO2 en miles de años y el comportamiento de este en el ciclo anual.</w:t>
      </w:r>
      <w:bookmarkEnd w:id="31"/>
    </w:p>
    <w:p w14:paraId="032F3F2E" w14:textId="77777777" w:rsidR="004D474F" w:rsidRPr="00B450EB" w:rsidRDefault="004D474F" w:rsidP="004D474F">
      <w:pPr>
        <w:spacing w:after="0"/>
        <w:jc w:val="center"/>
      </w:pPr>
      <w:r w:rsidRPr="00B450EB">
        <w:rPr>
          <w:noProof/>
        </w:rPr>
        <w:drawing>
          <wp:inline distT="0" distB="0" distL="0" distR="0" wp14:anchorId="3661FBCF" wp14:editId="68060B90">
            <wp:extent cx="2428647" cy="1821074"/>
            <wp:effectExtent l="0" t="0" r="0" b="8255"/>
            <wp:docPr id="1051239759" name="Imagen 1" descr="Spanish chart of atmosphere CO2 with seasonal vari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anish chart of atmosphere CO2 with seasonal variation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53941" cy="1840041"/>
                    </a:xfrm>
                    <a:prstGeom prst="rect">
                      <a:avLst/>
                    </a:prstGeom>
                    <a:noFill/>
                    <a:ln>
                      <a:noFill/>
                    </a:ln>
                  </pic:spPr>
                </pic:pic>
              </a:graphicData>
            </a:graphic>
          </wp:inline>
        </w:drawing>
      </w:r>
      <w:r w:rsidRPr="00B450EB">
        <w:t xml:space="preserve">  </w:t>
      </w:r>
      <w:r w:rsidRPr="00B450EB">
        <w:rPr>
          <w:noProof/>
        </w:rPr>
        <w:drawing>
          <wp:inline distT="0" distB="0" distL="0" distR="0" wp14:anchorId="4AF68B92" wp14:editId="6F554E55">
            <wp:extent cx="2977286" cy="1680661"/>
            <wp:effectExtent l="0" t="0" r="0" b="0"/>
            <wp:docPr id="226821021" name="Imagen 2" descr="data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 graph"/>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0382" cy="1693698"/>
                    </a:xfrm>
                    <a:prstGeom prst="rect">
                      <a:avLst/>
                    </a:prstGeom>
                    <a:noFill/>
                    <a:ln>
                      <a:noFill/>
                    </a:ln>
                  </pic:spPr>
                </pic:pic>
              </a:graphicData>
            </a:graphic>
          </wp:inline>
        </w:drawing>
      </w:r>
    </w:p>
    <w:p w14:paraId="4697732B" w14:textId="77777777" w:rsidR="004D474F" w:rsidRPr="00B450EB" w:rsidRDefault="004D474F" w:rsidP="004D474F">
      <w:pPr>
        <w:jc w:val="center"/>
        <w:rPr>
          <w:sz w:val="18"/>
          <w:szCs w:val="18"/>
          <w:lang w:val="es-ES"/>
        </w:rPr>
      </w:pPr>
      <w:r w:rsidRPr="00B450EB">
        <w:rPr>
          <w:sz w:val="18"/>
          <w:szCs w:val="18"/>
        </w:rPr>
        <w:t>Fuente: NASA, 2025.</w:t>
      </w:r>
    </w:p>
    <w:p w14:paraId="3B2A1FF3" w14:textId="77777777" w:rsidR="004D474F" w:rsidRPr="00B450EB" w:rsidRDefault="004D474F" w:rsidP="004D474F">
      <w:pPr>
        <w:pStyle w:val="Ttulo4"/>
        <w:rPr>
          <w:color w:val="auto"/>
          <w:lang w:val="pt-PT"/>
        </w:rPr>
      </w:pPr>
      <w:r w:rsidRPr="00B450EB">
        <w:rPr>
          <w:rFonts w:cs="Arial"/>
          <w:color w:val="auto"/>
          <w:lang w:val="pt-PT"/>
        </w:rPr>
        <w:t>Sumideros de carbono</w:t>
      </w:r>
    </w:p>
    <w:p w14:paraId="5A188A43" w14:textId="77777777" w:rsidR="004D474F" w:rsidRPr="00B450EB" w:rsidRDefault="004D474F" w:rsidP="004D474F">
      <w:pPr>
        <w:spacing w:before="240" w:after="240"/>
        <w:rPr>
          <w:rFonts w:cs="Arial"/>
        </w:rPr>
      </w:pPr>
      <w:r w:rsidRPr="00B450EB">
        <w:t xml:space="preserve">Dentro del sector LULUCF se evidencia que la tendencia de absorciones desde el 1990 a 2021 la participación del 30,93% de tierras forestales que permanecen como tierras forestales dadas por consumo de leña, degradación, conversión de bosque natural a tierras forestales (IDEAM, </w:t>
      </w:r>
      <w:proofErr w:type="spellStart"/>
      <w:r w:rsidRPr="00B450EB">
        <w:t>Minambiente</w:t>
      </w:r>
      <w:proofErr w:type="spellEnd"/>
      <w:r w:rsidRPr="00B450EB">
        <w:t xml:space="preserve">, DNP, </w:t>
      </w:r>
      <w:proofErr w:type="spellStart"/>
      <w:r w:rsidRPr="00B450EB">
        <w:t>Cancilleria</w:t>
      </w:r>
      <w:proofErr w:type="spellEnd"/>
      <w:r w:rsidRPr="00B450EB">
        <w:t xml:space="preserve">, PNUD, Fundación natura, 2024). </w:t>
      </w:r>
      <w:r w:rsidRPr="00B450EB">
        <w:rPr>
          <w:rFonts w:cs="Arial"/>
        </w:rPr>
        <w:t xml:space="preserve">Así mismo IDEAM (2023), ha venido reportando para el bioma Amazónico en los diferentes sumideros de carbono donde la biomasa total (biomasa aérea y subterránea) reporta 297,53 </w:t>
      </w:r>
      <w:proofErr w:type="spellStart"/>
      <w:r w:rsidRPr="00B450EB">
        <w:rPr>
          <w:rFonts w:cs="Arial"/>
        </w:rPr>
        <w:t>tC</w:t>
      </w:r>
      <w:proofErr w:type="spellEnd"/>
      <w:r w:rsidRPr="00B450EB">
        <w:rPr>
          <w:rFonts w:cs="Arial"/>
        </w:rPr>
        <w:t>/</w:t>
      </w:r>
      <w:proofErr w:type="spellStart"/>
      <w:r w:rsidRPr="00B450EB">
        <w:rPr>
          <w:rFonts w:cs="Arial"/>
        </w:rPr>
        <w:t>ha</w:t>
      </w:r>
      <w:proofErr w:type="spellEnd"/>
      <w:r w:rsidRPr="00B450EB">
        <w:rPr>
          <w:rFonts w:cs="Arial"/>
        </w:rPr>
        <w:t xml:space="preserve"> y el Carbono Orgánico del Suelo (COS) registra 21.53 </w:t>
      </w:r>
      <w:proofErr w:type="spellStart"/>
      <w:r w:rsidRPr="00B450EB">
        <w:rPr>
          <w:rFonts w:cs="Arial"/>
        </w:rPr>
        <w:t>tC</w:t>
      </w:r>
      <w:proofErr w:type="spellEnd"/>
      <w:r w:rsidRPr="00B450EB">
        <w:rPr>
          <w:rFonts w:cs="Arial"/>
        </w:rPr>
        <w:t>/ha.</w:t>
      </w:r>
    </w:p>
    <w:p w14:paraId="7A7D1623" w14:textId="7FBD9599" w:rsidR="004D474F" w:rsidRPr="00B450EB" w:rsidRDefault="004D474F" w:rsidP="004D474F">
      <w:pPr>
        <w:rPr>
          <w:rFonts w:cs="Arial"/>
        </w:rPr>
      </w:pPr>
      <w:r w:rsidRPr="00B450EB">
        <w:rPr>
          <w:rFonts w:cs="Arial"/>
        </w:rPr>
        <w:t xml:space="preserve">Según, el Proyecto de Monitoreo de la Amazonía Andina (MAAP) </w:t>
      </w:r>
      <w:sdt>
        <w:sdtPr>
          <w:rPr>
            <w:rFonts w:cs="Arial"/>
          </w:rPr>
          <w:id w:val="710992451"/>
          <w:citation/>
        </w:sdtPr>
        <w:sdtContent>
          <w:r w:rsidRPr="00B450EB">
            <w:rPr>
              <w:rFonts w:cs="Arial"/>
            </w:rPr>
            <w:fldChar w:fldCharType="begin"/>
          </w:r>
          <w:r w:rsidRPr="00B450EB">
            <w:rPr>
              <w:rFonts w:cs="Arial"/>
              <w:lang w:val="es-ES"/>
            </w:rPr>
            <w:instrText xml:space="preserve"> CITATION Fin25 \l 3082 </w:instrText>
          </w:r>
          <w:r w:rsidRPr="00B450EB">
            <w:rPr>
              <w:rFonts w:cs="Arial"/>
            </w:rPr>
            <w:fldChar w:fldCharType="separate"/>
          </w:r>
          <w:r w:rsidR="0077091E" w:rsidRPr="00B450EB">
            <w:rPr>
              <w:rFonts w:cs="Arial"/>
              <w:noProof/>
              <w:lang w:val="es-ES"/>
            </w:rPr>
            <w:t>(Finer M, 2025)</w:t>
          </w:r>
          <w:r w:rsidRPr="00B450EB">
            <w:rPr>
              <w:rFonts w:cs="Arial"/>
            </w:rPr>
            <w:fldChar w:fldCharType="end"/>
          </w:r>
        </w:sdtContent>
      </w:sdt>
      <w:r w:rsidRPr="00B450EB">
        <w:rPr>
          <w:rFonts w:cs="Arial"/>
        </w:rPr>
        <w:t xml:space="preserve"> que estimó el Carbono en la Amazonía y las dinámicas de las Áreas protegidas y territorios Indígenas entre los años 2013 al 2022, donde se identifica que la Amazonía contiene alrededor de 56.800 millones de toneladas métricas de carbono sobre el suelo (ton C). De ese total, Colombia representa cerca del 7 %, es decir, unos 4.000 millones de toneladas métricas de carbono sobre el suelo.</w:t>
      </w:r>
    </w:p>
    <w:p w14:paraId="2BC728D7" w14:textId="3ECAA4BA" w:rsidR="004D474F" w:rsidRPr="00B450EB" w:rsidRDefault="004D474F" w:rsidP="004D474F">
      <w:pPr>
        <w:rPr>
          <w:rFonts w:cs="Arial"/>
        </w:rPr>
      </w:pPr>
      <w:r w:rsidRPr="00B450EB">
        <w:rPr>
          <w:rFonts w:cs="Arial"/>
        </w:rPr>
        <w:t xml:space="preserve">Según, el Proyecto de Monitoreo de la Amazonía Andina (MAAP) </w:t>
      </w:r>
      <w:sdt>
        <w:sdtPr>
          <w:rPr>
            <w:rFonts w:cs="Arial"/>
          </w:rPr>
          <w:id w:val="1534853528"/>
          <w:citation/>
        </w:sdtPr>
        <w:sdtContent>
          <w:r w:rsidRPr="00B450EB">
            <w:rPr>
              <w:rFonts w:cs="Arial"/>
            </w:rPr>
            <w:fldChar w:fldCharType="begin"/>
          </w:r>
          <w:r w:rsidRPr="00B450EB">
            <w:rPr>
              <w:rFonts w:cs="Arial"/>
              <w:lang w:val="es-ES"/>
            </w:rPr>
            <w:instrText xml:space="preserve"> CITATION Fin25 \l 3082 </w:instrText>
          </w:r>
          <w:r w:rsidRPr="00B450EB">
            <w:rPr>
              <w:rFonts w:cs="Arial"/>
            </w:rPr>
            <w:fldChar w:fldCharType="separate"/>
          </w:r>
          <w:r w:rsidR="0077091E" w:rsidRPr="00B450EB">
            <w:rPr>
              <w:rFonts w:cs="Arial"/>
              <w:noProof/>
              <w:lang w:val="es-ES"/>
            </w:rPr>
            <w:t>(Finer M, 2025)</w:t>
          </w:r>
          <w:r w:rsidRPr="00B450EB">
            <w:rPr>
              <w:rFonts w:cs="Arial"/>
            </w:rPr>
            <w:fldChar w:fldCharType="end"/>
          </w:r>
        </w:sdtContent>
      </w:sdt>
      <w:r w:rsidRPr="00B450EB">
        <w:rPr>
          <w:rFonts w:cs="Arial"/>
        </w:rPr>
        <w:t xml:space="preserve"> que estimó el Carbono en la Amazonía y las dinámicas de las Áreas protegidas y territorios Indígenas entre los años 2013 al 2022, donde se identifica que la Amazonía contiene alrededor de 56.800 millones de toneladas métricas de carbono sobre el suelo (ton C). De ese total, Colombia representa cerca del 7 %, es decir, unos 4.000 millones de toneladas métricas de carbono sobre el suelo.</w:t>
      </w:r>
    </w:p>
    <w:p w14:paraId="127677C8" w14:textId="276A0413" w:rsidR="004D474F" w:rsidRPr="00B450EB" w:rsidRDefault="004D474F" w:rsidP="004D474F">
      <w:r w:rsidRPr="00B450EB">
        <w:rPr>
          <w:rFonts w:cs="Arial"/>
        </w:rPr>
        <w:t xml:space="preserve">En cuanto a la dinámica de captura de carbono, los datos reportados por </w:t>
      </w:r>
      <w:sdt>
        <w:sdtPr>
          <w:rPr>
            <w:rFonts w:cs="Arial"/>
          </w:rPr>
          <w:id w:val="680631024"/>
          <w:citation/>
        </w:sdtPr>
        <w:sdtContent>
          <w:r w:rsidRPr="00B450EB">
            <w:rPr>
              <w:rFonts w:cs="Arial"/>
            </w:rPr>
            <w:fldChar w:fldCharType="begin"/>
          </w:r>
          <w:r w:rsidRPr="00B450EB">
            <w:rPr>
              <w:rFonts w:cs="Arial"/>
              <w:lang w:val="es-ES"/>
            </w:rPr>
            <w:instrText xml:space="preserve"> CITATION Red25 \l 3082 </w:instrText>
          </w:r>
          <w:r w:rsidRPr="00B450EB">
            <w:rPr>
              <w:rFonts w:cs="Arial"/>
            </w:rPr>
            <w:fldChar w:fldCharType="separate"/>
          </w:r>
          <w:r w:rsidR="0077091E" w:rsidRPr="00B450EB">
            <w:rPr>
              <w:rFonts w:cs="Arial"/>
              <w:noProof/>
              <w:lang w:val="es-ES"/>
            </w:rPr>
            <w:t>(Red Amazónica de Información Socioambiental Georreferenciada (RAISG), 2025)</w:t>
          </w:r>
          <w:r w:rsidRPr="00B450EB">
            <w:rPr>
              <w:rFonts w:cs="Arial"/>
            </w:rPr>
            <w:fldChar w:fldCharType="end"/>
          </w:r>
        </w:sdtContent>
      </w:sdt>
      <w:r w:rsidRPr="00B450EB">
        <w:rPr>
          <w:rFonts w:cs="Arial"/>
        </w:rPr>
        <w:t xml:space="preserve"> </w:t>
      </w:r>
      <w:r w:rsidRPr="00B450EB">
        <w:rPr>
          <w:rFonts w:cs="Arial"/>
        </w:rPr>
        <w:lastRenderedPageBreak/>
        <w:t xml:space="preserve">confirman que la selva amazónica colombiana sigue funcionando como sumidero neto, pero con señales de debilitamiento. Entre 2000 y 2023, la densidad de carbono en los bosques de tierra firme se mantuvo relativamente estable, con descensos mínimos de 17,6 a 17,5 </w:t>
      </w:r>
      <w:proofErr w:type="spellStart"/>
      <w:r w:rsidRPr="00B450EB">
        <w:rPr>
          <w:rFonts w:cs="Arial"/>
        </w:rPr>
        <w:t>KtC</w:t>
      </w:r>
      <w:proofErr w:type="spellEnd"/>
      <w:r w:rsidRPr="00B450EB">
        <w:rPr>
          <w:rFonts w:cs="Arial"/>
        </w:rPr>
        <w:t xml:space="preserve">/km² en áreas como </w:t>
      </w:r>
      <w:proofErr w:type="spellStart"/>
      <w:r w:rsidRPr="00B450EB">
        <w:rPr>
          <w:rFonts w:cs="Arial"/>
        </w:rPr>
        <w:t>Mirití</w:t>
      </w:r>
      <w:proofErr w:type="spellEnd"/>
      <w:r w:rsidRPr="00B450EB">
        <w:rPr>
          <w:rFonts w:cs="Arial"/>
        </w:rPr>
        <w:t xml:space="preserve"> Paraná, que es uno de los núcleos más estables de la región. En cuanto a la dinámica de captura de carbono, los datos reportados por </w:t>
      </w:r>
      <w:sdt>
        <w:sdtPr>
          <w:rPr>
            <w:rFonts w:cs="Arial"/>
          </w:rPr>
          <w:id w:val="1396625473"/>
          <w:citation/>
        </w:sdtPr>
        <w:sdtContent>
          <w:r w:rsidRPr="00B450EB">
            <w:rPr>
              <w:rFonts w:cs="Arial"/>
            </w:rPr>
            <w:fldChar w:fldCharType="begin"/>
          </w:r>
          <w:r w:rsidRPr="00B450EB">
            <w:rPr>
              <w:rFonts w:cs="Arial"/>
              <w:lang w:val="es-ES"/>
            </w:rPr>
            <w:instrText xml:space="preserve"> CITATION Red25 \l 3082 </w:instrText>
          </w:r>
          <w:r w:rsidRPr="00B450EB">
            <w:rPr>
              <w:rFonts w:cs="Arial"/>
            </w:rPr>
            <w:fldChar w:fldCharType="separate"/>
          </w:r>
          <w:r w:rsidR="0077091E" w:rsidRPr="00B450EB">
            <w:rPr>
              <w:rFonts w:cs="Arial"/>
              <w:noProof/>
              <w:lang w:val="es-ES"/>
            </w:rPr>
            <w:t>(Red Amazónica de Información Socioambiental Georreferenciada (RAISG), 2025)</w:t>
          </w:r>
          <w:r w:rsidRPr="00B450EB">
            <w:rPr>
              <w:rFonts w:cs="Arial"/>
            </w:rPr>
            <w:fldChar w:fldCharType="end"/>
          </w:r>
        </w:sdtContent>
      </w:sdt>
      <w:r w:rsidRPr="00B450EB">
        <w:rPr>
          <w:rFonts w:cs="Arial"/>
        </w:rPr>
        <w:t xml:space="preserve"> confirman que la selva amazónica colombiana sigue funcionando como sumidero neto, pero con señales de debilitamiento. Entre 2000 y 2023, la densidad de carbono en los bosques de tierra firme se mantuvo relativamente estable, con descensos mínimos de 17,6 a 17,5 </w:t>
      </w:r>
      <w:proofErr w:type="spellStart"/>
      <w:r w:rsidRPr="00B450EB">
        <w:rPr>
          <w:rFonts w:cs="Arial"/>
        </w:rPr>
        <w:t>KtC</w:t>
      </w:r>
      <w:proofErr w:type="spellEnd"/>
      <w:r w:rsidRPr="00B450EB">
        <w:rPr>
          <w:rFonts w:cs="Arial"/>
        </w:rPr>
        <w:t xml:space="preserve">/km² en áreas como </w:t>
      </w:r>
      <w:proofErr w:type="spellStart"/>
      <w:r w:rsidRPr="00B450EB">
        <w:rPr>
          <w:rFonts w:cs="Arial"/>
        </w:rPr>
        <w:t>Mirití</w:t>
      </w:r>
      <w:proofErr w:type="spellEnd"/>
      <w:r w:rsidRPr="00B450EB">
        <w:rPr>
          <w:rFonts w:cs="Arial"/>
        </w:rPr>
        <w:t xml:space="preserve"> Paraná, que es uno de los núcleos más estables de la región. </w:t>
      </w:r>
    </w:p>
    <w:p w14:paraId="65DDE58E" w14:textId="3C5F3F36" w:rsidR="009C75EC" w:rsidRPr="00B450EB" w:rsidRDefault="004D474F" w:rsidP="004D474F">
      <w:pPr>
        <w:rPr>
          <w:rFonts w:cs="Arial"/>
        </w:rPr>
      </w:pPr>
      <w:r w:rsidRPr="00B450EB">
        <w:rPr>
          <w:rFonts w:cs="Arial"/>
        </w:rPr>
        <w:t xml:space="preserve">Adicionalmente, según lo indicado por </w:t>
      </w:r>
      <w:sdt>
        <w:sdtPr>
          <w:rPr>
            <w:rFonts w:cs="Arial"/>
          </w:rPr>
          <w:id w:val="-1499496138"/>
          <w:citation/>
        </w:sdtPr>
        <w:sdtContent>
          <w:r w:rsidRPr="00B450EB">
            <w:rPr>
              <w:rFonts w:cs="Arial"/>
            </w:rPr>
            <w:fldChar w:fldCharType="begin"/>
          </w:r>
          <w:r w:rsidRPr="00B450EB">
            <w:rPr>
              <w:rFonts w:cs="Arial"/>
              <w:lang w:val="es-ES"/>
            </w:rPr>
            <w:instrText xml:space="preserve">CITATION MuZ22 \l 3082 </w:instrText>
          </w:r>
          <w:r w:rsidRPr="00B450EB">
            <w:rPr>
              <w:rFonts w:cs="Arial"/>
            </w:rPr>
            <w:fldChar w:fldCharType="separate"/>
          </w:r>
          <w:r w:rsidR="0077091E" w:rsidRPr="00B450EB">
            <w:rPr>
              <w:rFonts w:cs="Arial"/>
              <w:noProof/>
              <w:lang w:val="es-ES"/>
            </w:rPr>
            <w:t>(Zhaobin Mu, 2022)</w:t>
          </w:r>
          <w:r w:rsidRPr="00B450EB">
            <w:rPr>
              <w:rFonts w:cs="Arial"/>
            </w:rPr>
            <w:fldChar w:fldCharType="end"/>
          </w:r>
        </w:sdtContent>
      </w:sdt>
      <w:r w:rsidRPr="00B450EB">
        <w:rPr>
          <w:rFonts w:cs="Arial"/>
        </w:rPr>
        <w:t>que evaluó la emisión de estos compuestos por magnitudes y ecosistemas según las compilaciones por especie y estudios de hoja, confirmando que una gran fracción de árboles amazónicos emiten isopreno, aproximadamente 62 o 76% de especies dominantes evaluadas, con variación por rasgos funcionales (estrategias carbono-rápido vs carbono-lento). Lo anterior, explica los gradientes espaciales de emisiones y dispersión de estos compuestos desde el suroriente colombiano hacia el centro de la cuenca. Estos rasgos, junto con la hidrología (bosques inundables) y el estrés térmico, modulan la mezcla de los BVOC y la relación con el crecimiento de aerosoles orgánicos secundarios que luego actúan como núcleos de condensación de nubes, influyendo en precipitación regional, un mecanismo clave para la estabilidad climática del Arco Amazónico que incluye Colombia.</w:t>
      </w:r>
    </w:p>
    <w:p w14:paraId="1D97233D" w14:textId="77777777" w:rsidR="009C75EC" w:rsidRPr="00B450EB" w:rsidRDefault="009C75EC">
      <w:pPr>
        <w:jc w:val="left"/>
        <w:rPr>
          <w:rFonts w:cs="Arial"/>
        </w:rPr>
      </w:pPr>
      <w:r w:rsidRPr="00B450EB">
        <w:rPr>
          <w:rFonts w:cs="Arial"/>
        </w:rPr>
        <w:br w:type="page"/>
      </w:r>
    </w:p>
    <w:p w14:paraId="0CBC77BE" w14:textId="571ED34E" w:rsidR="004D474F" w:rsidRPr="00B450EB" w:rsidRDefault="004D474F" w:rsidP="004D474F">
      <w:pPr>
        <w:pStyle w:val="Descripcin"/>
        <w:rPr>
          <w:rFonts w:cs="Arial"/>
          <w:color w:val="auto"/>
        </w:rPr>
      </w:pPr>
      <w:bookmarkStart w:id="32" w:name="_Toc209462707"/>
      <w:r w:rsidRPr="00B450EB">
        <w:rPr>
          <w:rFonts w:cs="Arial"/>
          <w:color w:val="auto"/>
        </w:rPr>
        <w:lastRenderedPageBreak/>
        <w:t>Figura</w:t>
      </w:r>
      <w:r w:rsidRPr="00B450EB">
        <w:rPr>
          <w:color w:val="auto"/>
        </w:rPr>
        <w:t xml:space="preserve">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18</w:t>
      </w:r>
      <w:r w:rsidRPr="00B450EB">
        <w:rPr>
          <w:color w:val="auto"/>
        </w:rPr>
        <w:fldChar w:fldCharType="end"/>
      </w:r>
      <w:r w:rsidRPr="00B450EB">
        <w:rPr>
          <w:color w:val="auto"/>
        </w:rPr>
        <w:t>.</w:t>
      </w:r>
      <w:r w:rsidRPr="00B450EB">
        <w:rPr>
          <w:rFonts w:cs="Arial"/>
          <w:color w:val="auto"/>
        </w:rPr>
        <w:t xml:space="preserve"> Niveles totales de carbono sobre el suelo en cada área protegida y territorio indígena</w:t>
      </w:r>
      <w:bookmarkEnd w:id="32"/>
    </w:p>
    <w:p w14:paraId="354A70DE" w14:textId="77777777" w:rsidR="004D474F" w:rsidRPr="00B450EB" w:rsidRDefault="004D474F" w:rsidP="004D474F">
      <w:pPr>
        <w:spacing w:after="0"/>
        <w:jc w:val="center"/>
        <w:rPr>
          <w:rFonts w:cs="Arial"/>
        </w:rPr>
      </w:pPr>
      <w:r w:rsidRPr="00B450EB">
        <w:rPr>
          <w:noProof/>
        </w:rPr>
        <w:drawing>
          <wp:inline distT="0" distB="0" distL="0" distR="0" wp14:anchorId="36AAFB1B" wp14:editId="75BFFF77">
            <wp:extent cx="4091666" cy="3600000"/>
            <wp:effectExtent l="0" t="0" r="4445" b="635"/>
            <wp:docPr id="448205332"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205332" name="Imagen 2" descr="Mapa&#10;&#10;El contenido generado por IA puede ser incorrecto."/>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4091666" cy="3600000"/>
                    </a:xfrm>
                    <a:prstGeom prst="rect">
                      <a:avLst/>
                    </a:prstGeom>
                    <a:noFill/>
                    <a:ln>
                      <a:noFill/>
                    </a:ln>
                  </pic:spPr>
                </pic:pic>
              </a:graphicData>
            </a:graphic>
          </wp:inline>
        </w:drawing>
      </w:r>
    </w:p>
    <w:p w14:paraId="03D8BB03" w14:textId="77777777" w:rsidR="004D474F" w:rsidRPr="00B450EB" w:rsidRDefault="004D474F" w:rsidP="004D474F">
      <w:pPr>
        <w:jc w:val="center"/>
        <w:rPr>
          <w:rFonts w:cs="Arial"/>
          <w:sz w:val="18"/>
          <w:szCs w:val="18"/>
        </w:rPr>
      </w:pPr>
      <w:r w:rsidRPr="00B450EB">
        <w:rPr>
          <w:rFonts w:cs="Arial"/>
          <w:sz w:val="18"/>
          <w:szCs w:val="18"/>
        </w:rPr>
        <w:t xml:space="preserve">Fuente: </w:t>
      </w:r>
      <w:proofErr w:type="spellStart"/>
      <w:r w:rsidRPr="00B450EB">
        <w:rPr>
          <w:rFonts w:cs="Arial"/>
          <w:sz w:val="18"/>
          <w:szCs w:val="18"/>
        </w:rPr>
        <w:t>Finer</w:t>
      </w:r>
      <w:proofErr w:type="spellEnd"/>
      <w:r w:rsidRPr="00B450EB">
        <w:rPr>
          <w:rFonts w:cs="Arial"/>
          <w:sz w:val="18"/>
          <w:szCs w:val="18"/>
        </w:rPr>
        <w:t xml:space="preserve"> M., 2025. </w:t>
      </w:r>
    </w:p>
    <w:p w14:paraId="2C8B04B5" w14:textId="6B4C2E01" w:rsidR="004D474F" w:rsidRPr="00B450EB" w:rsidRDefault="004D474F" w:rsidP="004D474F">
      <w:pPr>
        <w:rPr>
          <w:rFonts w:cs="Arial"/>
        </w:rPr>
      </w:pPr>
      <w:r w:rsidRPr="00B450EB">
        <w:rPr>
          <w:rFonts w:cs="Arial"/>
        </w:rPr>
        <w:t xml:space="preserve">Por otra parte, una investigación de </w:t>
      </w:r>
      <w:sdt>
        <w:sdtPr>
          <w:rPr>
            <w:rFonts w:cs="Arial"/>
          </w:rPr>
          <w:id w:val="70626138"/>
          <w:citation/>
        </w:sdtPr>
        <w:sdtContent>
          <w:r w:rsidRPr="00B450EB">
            <w:rPr>
              <w:rFonts w:cs="Arial"/>
            </w:rPr>
            <w:fldChar w:fldCharType="begin"/>
          </w:r>
          <w:r w:rsidRPr="00B450EB">
            <w:rPr>
              <w:rFonts w:cs="Arial"/>
              <w:lang w:val="es-ES"/>
            </w:rPr>
            <w:instrText xml:space="preserve"> CITATION Red25 \l 3082 </w:instrText>
          </w:r>
          <w:r w:rsidRPr="00B450EB">
            <w:rPr>
              <w:rFonts w:cs="Arial"/>
            </w:rPr>
            <w:fldChar w:fldCharType="separate"/>
          </w:r>
          <w:r w:rsidR="0077091E" w:rsidRPr="00B450EB">
            <w:rPr>
              <w:rFonts w:cs="Arial"/>
              <w:noProof/>
              <w:lang w:val="es-ES"/>
            </w:rPr>
            <w:t>(Red Amazónica de Información Socioambiental Georreferenciada (RAISG), 2025)</w:t>
          </w:r>
          <w:r w:rsidRPr="00B450EB">
            <w:rPr>
              <w:rFonts w:cs="Arial"/>
            </w:rPr>
            <w:fldChar w:fldCharType="end"/>
          </w:r>
        </w:sdtContent>
      </w:sdt>
      <w:r w:rsidRPr="00B450EB">
        <w:rPr>
          <w:rFonts w:cs="Arial"/>
        </w:rPr>
        <w:t xml:space="preserve"> muestra que la Amazonía colombiana es uno de los ecosistemas relevantes del planeta para la captura y almacenamiento de carbono, ya que almacenan aproximadamente 3,43 gigatoneladas de carbono (</w:t>
      </w:r>
      <w:proofErr w:type="spellStart"/>
      <w:r w:rsidRPr="00B450EB">
        <w:rPr>
          <w:rFonts w:cs="Arial"/>
        </w:rPr>
        <w:t>GtC</w:t>
      </w:r>
      <w:proofErr w:type="spellEnd"/>
      <w:r w:rsidRPr="00B450EB">
        <w:rPr>
          <w:rFonts w:cs="Arial"/>
        </w:rPr>
        <w:t>) en biomasa aérea, lo que equivale al 61,8 % del carbono total presente en la región amazónica nacional. La capacidad de absorber y contener carbono demuestra que la Amazonía no solo es una reserva de biodiversidad, sino también un regulador climático natural que presenta alcances globales, pues ayuda a reducir y contener la concentración de CO2 en la atmósfera. Por tanto, al conocer la relevancia de este gas en las dinámicas de calentamiento global y la capacidad de esta zona de retenerlo, es relevante que esta selva se proteja y conserve en sus condiciones naturales.</w:t>
      </w:r>
    </w:p>
    <w:p w14:paraId="6C406A72" w14:textId="52E862EA" w:rsidR="004D474F" w:rsidRPr="00B450EB" w:rsidRDefault="004D474F" w:rsidP="004D474F">
      <w:r w:rsidRPr="00B450EB">
        <w:rPr>
          <w:rFonts w:cs="Arial"/>
        </w:rPr>
        <w:t xml:space="preserve">En cuanto a la dinámica de captura de carbono, los datos reportados por </w:t>
      </w:r>
      <w:sdt>
        <w:sdtPr>
          <w:rPr>
            <w:rFonts w:cs="Arial"/>
          </w:rPr>
          <w:id w:val="585970028"/>
          <w:citation/>
        </w:sdtPr>
        <w:sdtContent>
          <w:r w:rsidRPr="00B450EB">
            <w:rPr>
              <w:rFonts w:cs="Arial"/>
            </w:rPr>
            <w:fldChar w:fldCharType="begin"/>
          </w:r>
          <w:r w:rsidRPr="00B450EB">
            <w:rPr>
              <w:rFonts w:cs="Arial"/>
              <w:lang w:val="es-ES"/>
            </w:rPr>
            <w:instrText xml:space="preserve"> CITATION Red25 \l 3082 </w:instrText>
          </w:r>
          <w:r w:rsidRPr="00B450EB">
            <w:rPr>
              <w:rFonts w:cs="Arial"/>
            </w:rPr>
            <w:fldChar w:fldCharType="separate"/>
          </w:r>
          <w:r w:rsidR="0077091E" w:rsidRPr="00B450EB">
            <w:rPr>
              <w:rFonts w:cs="Arial"/>
              <w:noProof/>
              <w:lang w:val="es-ES"/>
            </w:rPr>
            <w:t>(Red Amazónica de Información Socioambiental Georreferenciada (RAISG), 2025)</w:t>
          </w:r>
          <w:r w:rsidRPr="00B450EB">
            <w:rPr>
              <w:rFonts w:cs="Arial"/>
            </w:rPr>
            <w:fldChar w:fldCharType="end"/>
          </w:r>
        </w:sdtContent>
      </w:sdt>
      <w:r w:rsidRPr="00B450EB">
        <w:rPr>
          <w:rFonts w:cs="Arial"/>
        </w:rPr>
        <w:t xml:space="preserve"> confirman que la selva amazónica colombiana sigue funcionando como sumidero neto, pero con señales de debilitamiento. Entre 2000 y 2023, la densidad de carbono en los bosques de tierra firme se mantuvo relativamente estable, con descensos </w:t>
      </w:r>
      <w:r w:rsidRPr="00B450EB">
        <w:rPr>
          <w:rFonts w:cs="Arial"/>
        </w:rPr>
        <w:lastRenderedPageBreak/>
        <w:t xml:space="preserve">mínimos de 17,6 a 17,5 </w:t>
      </w:r>
      <w:proofErr w:type="spellStart"/>
      <w:r w:rsidRPr="00B450EB">
        <w:rPr>
          <w:rFonts w:cs="Arial"/>
        </w:rPr>
        <w:t>KtC</w:t>
      </w:r>
      <w:proofErr w:type="spellEnd"/>
      <w:r w:rsidRPr="00B450EB">
        <w:rPr>
          <w:rFonts w:cs="Arial"/>
        </w:rPr>
        <w:t xml:space="preserve">/km² en áreas como </w:t>
      </w:r>
      <w:proofErr w:type="spellStart"/>
      <w:r w:rsidRPr="00B450EB">
        <w:rPr>
          <w:rFonts w:cs="Arial"/>
        </w:rPr>
        <w:t>Mirití</w:t>
      </w:r>
      <w:proofErr w:type="spellEnd"/>
      <w:r w:rsidRPr="00B450EB">
        <w:rPr>
          <w:rFonts w:cs="Arial"/>
        </w:rPr>
        <w:t xml:space="preserve"> Paraná, que es uno de los núcleos más estables de la región. </w:t>
      </w:r>
    </w:p>
    <w:p w14:paraId="7E407752" w14:textId="77777777" w:rsidR="004D474F" w:rsidRPr="00B450EB" w:rsidRDefault="004D474F" w:rsidP="004D474F">
      <w:pPr>
        <w:pStyle w:val="Ttulo4"/>
        <w:rPr>
          <w:rFonts w:cs="Arial"/>
          <w:color w:val="auto"/>
        </w:rPr>
      </w:pPr>
      <w:r w:rsidRPr="00B450EB">
        <w:rPr>
          <w:rFonts w:cs="Arial"/>
          <w:color w:val="auto"/>
        </w:rPr>
        <w:t>Compuestos Orgánicos Volátiles Biogénicos (BVOC) y aerosoles biológicos.</w:t>
      </w:r>
    </w:p>
    <w:p w14:paraId="0A2E71D0" w14:textId="77777777" w:rsidR="004D474F" w:rsidRPr="00B450EB" w:rsidRDefault="004D474F" w:rsidP="004D474F">
      <w:r w:rsidRPr="00B450EB">
        <w:t>Los Compuestos Orgánicos Volátiles Biogénicos (BVOC) y los aerosoles biológicos no deben considerarse contaminantes, ya que forman parte de los procesos naturales de los ecosistemas. Estos compuestos y aerosoles son emitidos principalmente por la vegetación, cumplen funciones clave como:</w:t>
      </w:r>
    </w:p>
    <w:p w14:paraId="32D0F721" w14:textId="77777777" w:rsidR="004D474F" w:rsidRPr="00B450EB" w:rsidRDefault="004D474F" w:rsidP="004D474F">
      <w:pPr>
        <w:pStyle w:val="Prrafodelista"/>
        <w:numPr>
          <w:ilvl w:val="0"/>
          <w:numId w:val="10"/>
        </w:numPr>
      </w:pPr>
      <w:r w:rsidRPr="00B450EB">
        <w:t>Los (BVOC) actúan como mecanismos de defensa y comunicación entre plantas e insectos, ayudan a las especies a adaptarse a condiciones de estrés, y favorecen la formación de aerosoles.</w:t>
      </w:r>
    </w:p>
    <w:p w14:paraId="15A57A2B" w14:textId="77777777" w:rsidR="004D474F" w:rsidRPr="00B450EB" w:rsidRDefault="004D474F" w:rsidP="004D474F">
      <w:pPr>
        <w:pStyle w:val="Prrafodelista"/>
      </w:pPr>
    </w:p>
    <w:p w14:paraId="084C7A8C" w14:textId="77777777" w:rsidR="004D474F" w:rsidRPr="00B450EB" w:rsidRDefault="004D474F" w:rsidP="004D474F">
      <w:pPr>
        <w:pStyle w:val="Prrafodelista"/>
        <w:numPr>
          <w:ilvl w:val="0"/>
          <w:numId w:val="10"/>
        </w:numPr>
      </w:pPr>
      <w:r w:rsidRPr="00B450EB">
        <w:t>Los aerosoles biológicos ayudan la formación de nubes y la generación de núcleos de condensación que favorecen la precipitación. Por tanto, contribuyen a la regulación térmica de la atmósfera, amortiguando el calentamiento superficial y facilitando la estabilidad climática.</w:t>
      </w:r>
    </w:p>
    <w:p w14:paraId="790605CD" w14:textId="2D1BEF45" w:rsidR="004D474F" w:rsidRPr="00B450EB" w:rsidRDefault="004D474F" w:rsidP="004D474F">
      <w:r w:rsidRPr="00B450EB">
        <w:t xml:space="preserve">Los (BVOC por su sigla en inglés) </w:t>
      </w:r>
      <w:r w:rsidRPr="00B450EB">
        <w:rPr>
          <w:rFonts w:cs="Arial"/>
        </w:rPr>
        <w:t>son compuestos or</w:t>
      </w:r>
      <w:r w:rsidRPr="00B450EB">
        <w:t>gánicos derivados de las plantas, clasificados dentro de los terpenos, se forman por la unión de dos unidades de isopreno, lo que les da una fórmula molecular de (C</w:t>
      </w:r>
      <w:r w:rsidRPr="00B450EB">
        <w:rPr>
          <w:rFonts w:ascii="Cambria Math" w:hAnsi="Cambria Math" w:cs="Cambria Math"/>
        </w:rPr>
        <w:t>₁₀</w:t>
      </w:r>
      <w:r w:rsidRPr="00B450EB">
        <w:t>H</w:t>
      </w:r>
      <w:r w:rsidRPr="00B450EB">
        <w:rPr>
          <w:rFonts w:ascii="Cambria Math" w:hAnsi="Cambria Math" w:cs="Cambria Math"/>
        </w:rPr>
        <w:t>₁₆</w:t>
      </w:r>
      <w:r w:rsidRPr="00B450EB">
        <w:t xml:space="preserve">), generalmente volátiles y reportados como </w:t>
      </w:r>
      <w:r w:rsidRPr="00B450EB">
        <w:rPr>
          <w:rFonts w:cs="Arial"/>
        </w:rPr>
        <w:t xml:space="preserve">isopreno, terpenos, </w:t>
      </w:r>
      <w:proofErr w:type="spellStart"/>
      <w:r w:rsidRPr="00B450EB">
        <w:rPr>
          <w:rFonts w:cs="Arial"/>
        </w:rPr>
        <w:t>monoterpenos</w:t>
      </w:r>
      <w:proofErr w:type="spellEnd"/>
      <w:r w:rsidRPr="00B450EB">
        <w:rPr>
          <w:rFonts w:cs="Arial"/>
        </w:rPr>
        <w:t xml:space="preserve"> y </w:t>
      </w:r>
      <w:proofErr w:type="spellStart"/>
      <w:r w:rsidRPr="00B450EB">
        <w:rPr>
          <w:rFonts w:cs="Arial"/>
        </w:rPr>
        <w:t>sesquiterpenos</w:t>
      </w:r>
      <w:proofErr w:type="spellEnd"/>
      <w:r w:rsidRPr="00B450EB">
        <w:t xml:space="preserve">, son de bajo peso molecular y son emitidos por las plantas. Por otra parte, según </w:t>
      </w:r>
      <w:sdt>
        <w:sdtPr>
          <w:id w:val="2131809742"/>
          <w:citation/>
        </w:sdtPr>
        <w:sdtContent>
          <w:r w:rsidRPr="00B450EB">
            <w:fldChar w:fldCharType="begin"/>
          </w:r>
          <w:r w:rsidRPr="00B450EB">
            <w:rPr>
              <w:lang w:val="es-ES"/>
            </w:rPr>
            <w:instrText xml:space="preserve"> CITATION LiX19 \l 3082 </w:instrText>
          </w:r>
          <w:r w:rsidRPr="00B450EB">
            <w:fldChar w:fldCharType="separate"/>
          </w:r>
          <w:r w:rsidR="0077091E" w:rsidRPr="00B450EB">
            <w:rPr>
              <w:noProof/>
              <w:lang w:val="es-ES"/>
            </w:rPr>
            <w:t>(Li, 2019)</w:t>
          </w:r>
          <w:r w:rsidRPr="00B450EB">
            <w:fldChar w:fldCharType="end"/>
          </w:r>
        </w:sdtContent>
      </w:sdt>
      <w:r w:rsidRPr="00B450EB">
        <w:t xml:space="preserve"> </w:t>
      </w:r>
      <w:r w:rsidRPr="00B450EB">
        <w:rPr>
          <w:i/>
        </w:rPr>
        <w:t>“los aerosoles biológicos se definen como partículas de origen microbiano, vegetal o animal, a menudo denominadas "polvo orgánico", que pueden contener bacterias, hongos, virus, alérgenos y diversas toxinas</w:t>
      </w:r>
      <w:r w:rsidRPr="00B450EB">
        <w:t xml:space="preserve">”, estos aerosoles pueden ser de origen primario como polen, esporas y bacterias y secundario que se forman a partir de reacciones químicas o físicas de los aerosoles primarios con componente o contaminantes presentes en la atmosfera. </w:t>
      </w:r>
    </w:p>
    <w:p w14:paraId="77198B78" w14:textId="26E128FA" w:rsidR="004D474F" w:rsidRPr="00B450EB" w:rsidRDefault="004D474F" w:rsidP="004D474F">
      <w:pPr>
        <w:rPr>
          <w:rFonts w:cs="Arial"/>
        </w:rPr>
      </w:pPr>
      <w:r w:rsidRPr="00B450EB">
        <w:rPr>
          <w:rFonts w:cs="Arial"/>
        </w:rPr>
        <w:t xml:space="preserve">Según estudios realizados por </w:t>
      </w:r>
      <w:sdt>
        <w:sdtPr>
          <w:rPr>
            <w:rFonts w:cs="Arial"/>
          </w:rPr>
          <w:id w:val="-1517696076"/>
          <w:citation/>
        </w:sdtPr>
        <w:sdtContent>
          <w:r w:rsidRPr="00B450EB">
            <w:rPr>
              <w:rFonts w:cs="Arial"/>
            </w:rPr>
            <w:fldChar w:fldCharType="begin"/>
          </w:r>
          <w:r w:rsidRPr="00B450EB">
            <w:rPr>
              <w:rFonts w:cs="Arial"/>
              <w:lang w:val="es-ES"/>
            </w:rPr>
            <w:instrText xml:space="preserve"> CITATION Amasf \l 3082 </w:instrText>
          </w:r>
          <w:r w:rsidRPr="00B450EB">
            <w:rPr>
              <w:rFonts w:cs="Arial"/>
            </w:rPr>
            <w:fldChar w:fldCharType="separate"/>
          </w:r>
          <w:r w:rsidR="0077091E" w:rsidRPr="00B450EB">
            <w:rPr>
              <w:rFonts w:cs="Arial"/>
              <w:noProof/>
              <w:lang w:val="es-ES"/>
            </w:rPr>
            <w:t>(Amazon Tall Tower Observatory (ATTO), s.f.)</w:t>
          </w:r>
          <w:r w:rsidRPr="00B450EB">
            <w:rPr>
              <w:rFonts w:cs="Arial"/>
            </w:rPr>
            <w:fldChar w:fldCharType="end"/>
          </w:r>
        </w:sdtContent>
      </w:sdt>
      <w:r w:rsidRPr="00B450EB">
        <w:rPr>
          <w:rFonts w:cs="Arial"/>
        </w:rPr>
        <w:t xml:space="preserve"> en la Amazonía central, la cual tiene una similitud con la región amazónica colombiana, reportaron que la emisión de isopreno y terpenos aumenta con temperatura, radiación y estrés hídrico; durante episodios de calor en temporadas secas, los árboles incrementan </w:t>
      </w:r>
      <w:proofErr w:type="spellStart"/>
      <w:r w:rsidRPr="00B450EB">
        <w:rPr>
          <w:rFonts w:cs="Arial"/>
        </w:rPr>
        <w:t>monoterpenos</w:t>
      </w:r>
      <w:proofErr w:type="spellEnd"/>
      <w:r w:rsidRPr="00B450EB">
        <w:rPr>
          <w:rFonts w:cs="Arial"/>
        </w:rPr>
        <w:t xml:space="preserve"> y </w:t>
      </w:r>
      <w:proofErr w:type="spellStart"/>
      <w:r w:rsidRPr="00B450EB">
        <w:rPr>
          <w:rFonts w:cs="Arial"/>
        </w:rPr>
        <w:t>sesquiterpenos</w:t>
      </w:r>
      <w:proofErr w:type="spellEnd"/>
      <w:r w:rsidRPr="00B450EB">
        <w:rPr>
          <w:rFonts w:cs="Arial"/>
        </w:rPr>
        <w:t xml:space="preserve">, alterando la química oxidativa y la formación de partículas finas que influyen en nubes y lluvia. </w:t>
      </w:r>
    </w:p>
    <w:p w14:paraId="2A08807E" w14:textId="6AF8600B" w:rsidR="004D474F" w:rsidRPr="00B450EB" w:rsidRDefault="004D474F" w:rsidP="004D474F">
      <w:pPr>
        <w:rPr>
          <w:rFonts w:cs="Arial"/>
        </w:rPr>
      </w:pPr>
      <w:r w:rsidRPr="00B450EB">
        <w:rPr>
          <w:rFonts w:cs="Arial"/>
        </w:rPr>
        <w:t xml:space="preserve">La Amazonía es el mayor emisor natural de BVOC del planeta, a partir de lo indicado por </w:t>
      </w:r>
      <w:sdt>
        <w:sdtPr>
          <w:rPr>
            <w:rFonts w:cs="Arial"/>
          </w:rPr>
          <w:id w:val="302671923"/>
          <w:citation/>
        </w:sdtPr>
        <w:sdtContent>
          <w:r w:rsidRPr="00B450EB">
            <w:rPr>
              <w:rFonts w:cs="Arial"/>
            </w:rPr>
            <w:fldChar w:fldCharType="begin"/>
          </w:r>
          <w:r w:rsidRPr="00B450EB">
            <w:rPr>
              <w:rFonts w:cs="Arial"/>
              <w:lang w:val="es-ES"/>
            </w:rPr>
            <w:instrText xml:space="preserve"> CITATION Wan24 \l 3082 </w:instrText>
          </w:r>
          <w:r w:rsidRPr="00B450EB">
            <w:rPr>
              <w:rFonts w:cs="Arial"/>
            </w:rPr>
            <w:fldChar w:fldCharType="separate"/>
          </w:r>
          <w:r w:rsidR="0077091E" w:rsidRPr="00B450EB">
            <w:rPr>
              <w:rFonts w:cs="Arial"/>
              <w:noProof/>
              <w:lang w:val="es-ES"/>
            </w:rPr>
            <w:t>(Wang, 2024)</w:t>
          </w:r>
          <w:r w:rsidRPr="00B450EB">
            <w:rPr>
              <w:rFonts w:cs="Arial"/>
            </w:rPr>
            <w:fldChar w:fldCharType="end"/>
          </w:r>
        </w:sdtContent>
      </w:sdt>
      <w:r w:rsidRPr="00B450EB">
        <w:rPr>
          <w:rFonts w:cs="Arial"/>
        </w:rPr>
        <w:t xml:space="preserve"> que determinaron los flujos de isopreno, seguido por </w:t>
      </w:r>
      <w:proofErr w:type="spellStart"/>
      <w:r w:rsidRPr="00B450EB">
        <w:rPr>
          <w:rFonts w:cs="Arial"/>
        </w:rPr>
        <w:t>monoterpenos</w:t>
      </w:r>
      <w:proofErr w:type="spellEnd"/>
      <w:r w:rsidRPr="00B450EB">
        <w:rPr>
          <w:rFonts w:cs="Arial"/>
        </w:rPr>
        <w:t xml:space="preserve"> y </w:t>
      </w:r>
      <w:proofErr w:type="spellStart"/>
      <w:r w:rsidRPr="00B450EB">
        <w:rPr>
          <w:rFonts w:cs="Arial"/>
        </w:rPr>
        <w:t>sesquiterpenos</w:t>
      </w:r>
      <w:proofErr w:type="spellEnd"/>
      <w:r w:rsidRPr="00B450EB">
        <w:rPr>
          <w:rFonts w:cs="Arial"/>
        </w:rPr>
        <w:t xml:space="preserve">. Esta evaluación global estimó la producción de estos compuestos en 835 </w:t>
      </w:r>
      <w:proofErr w:type="spellStart"/>
      <w:r w:rsidRPr="00B450EB">
        <w:rPr>
          <w:rFonts w:cs="Arial"/>
        </w:rPr>
        <w:t>Teragramos</w:t>
      </w:r>
      <w:proofErr w:type="spellEnd"/>
      <w:r w:rsidRPr="00B450EB">
        <w:rPr>
          <w:rFonts w:cs="Arial"/>
        </w:rPr>
        <w:t xml:space="preserve"> por año (</w:t>
      </w:r>
      <w:proofErr w:type="spellStart"/>
      <w:r w:rsidRPr="00B450EB">
        <w:rPr>
          <w:rFonts w:cs="Arial"/>
        </w:rPr>
        <w:t>Tg</w:t>
      </w:r>
      <w:proofErr w:type="spellEnd"/>
      <w:r w:rsidRPr="00B450EB">
        <w:rPr>
          <w:rFonts w:cs="Arial"/>
        </w:rPr>
        <w:t>/año) de BVOC, 347,7 (</w:t>
      </w:r>
      <w:proofErr w:type="spellStart"/>
      <w:r w:rsidRPr="00B450EB">
        <w:rPr>
          <w:rFonts w:cs="Arial"/>
        </w:rPr>
        <w:t>Tg</w:t>
      </w:r>
      <w:proofErr w:type="spellEnd"/>
      <w:r w:rsidRPr="00B450EB">
        <w:rPr>
          <w:rFonts w:cs="Arial"/>
        </w:rPr>
        <w:t xml:space="preserve">/año) </w:t>
      </w:r>
      <w:r w:rsidRPr="00B450EB">
        <w:rPr>
          <w:rFonts w:cs="Arial"/>
        </w:rPr>
        <w:lastRenderedPageBreak/>
        <w:t>de isopreno, 208,1 (</w:t>
      </w:r>
      <w:proofErr w:type="spellStart"/>
      <w:r w:rsidRPr="00B450EB">
        <w:rPr>
          <w:rFonts w:cs="Arial"/>
        </w:rPr>
        <w:t>Tg</w:t>
      </w:r>
      <w:proofErr w:type="spellEnd"/>
      <w:r w:rsidRPr="00B450EB">
        <w:rPr>
          <w:rFonts w:cs="Arial"/>
        </w:rPr>
        <w:t xml:space="preserve">/año) de </w:t>
      </w:r>
      <w:proofErr w:type="spellStart"/>
      <w:r w:rsidRPr="00B450EB">
        <w:rPr>
          <w:rFonts w:cs="Arial"/>
        </w:rPr>
        <w:t>monoterpenos</w:t>
      </w:r>
      <w:proofErr w:type="spellEnd"/>
      <w:r w:rsidRPr="00B450EB">
        <w:rPr>
          <w:rFonts w:cs="Arial"/>
        </w:rPr>
        <w:t xml:space="preserve"> y 278,6 (</w:t>
      </w:r>
      <w:proofErr w:type="spellStart"/>
      <w:r w:rsidRPr="00B450EB">
        <w:rPr>
          <w:rFonts w:cs="Arial"/>
        </w:rPr>
        <w:t>Tg</w:t>
      </w:r>
      <w:proofErr w:type="spellEnd"/>
      <w:r w:rsidRPr="00B450EB">
        <w:rPr>
          <w:rFonts w:cs="Arial"/>
        </w:rPr>
        <w:t xml:space="preserve">/año) de </w:t>
      </w:r>
      <w:proofErr w:type="spellStart"/>
      <w:r w:rsidRPr="00B450EB">
        <w:rPr>
          <w:rFonts w:cs="Arial"/>
        </w:rPr>
        <w:t>sesquiterpenos</w:t>
      </w:r>
      <w:proofErr w:type="spellEnd"/>
      <w:r w:rsidRPr="00B450EB">
        <w:rPr>
          <w:rFonts w:cs="Arial"/>
        </w:rPr>
        <w:t>, con valores máximos reportados sobre la cuenca amazónica; los patrones espaciales de isopreno modelados concuerdan con observaciones satelitales, reforzando la indicación que la ubicación del punto de mayor emisión de estos compuestos corresponde a la selva amazónica. Es de considerar que la Amazonía colombiana participa en este aporte por las emisiones que realizar la zona noroccidental de la selva.</w:t>
      </w:r>
    </w:p>
    <w:p w14:paraId="23362C08" w14:textId="4FB142F3" w:rsidR="004D474F" w:rsidRPr="00B450EB" w:rsidRDefault="004D474F" w:rsidP="004D474F">
      <w:pPr>
        <w:pStyle w:val="Descripcin"/>
        <w:rPr>
          <w:rFonts w:cs="Arial"/>
          <w:color w:val="auto"/>
        </w:rPr>
      </w:pPr>
      <w:bookmarkStart w:id="33" w:name="_Toc209462708"/>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19</w:t>
      </w:r>
      <w:r w:rsidR="0045353A" w:rsidRPr="00B450EB">
        <w:rPr>
          <w:noProof/>
          <w:color w:val="auto"/>
        </w:rPr>
        <w:fldChar w:fldCharType="end"/>
      </w:r>
      <w:r w:rsidRPr="00B450EB">
        <w:rPr>
          <w:color w:val="auto"/>
        </w:rPr>
        <w:t>.</w:t>
      </w:r>
      <w:r w:rsidRPr="00B450EB">
        <w:rPr>
          <w:rFonts w:cs="Arial"/>
          <w:color w:val="auto"/>
        </w:rPr>
        <w:t xml:space="preserve"> Emisión anual de BVOC</w:t>
      </w:r>
      <w:bookmarkEnd w:id="33"/>
    </w:p>
    <w:p w14:paraId="7043E29B" w14:textId="77777777" w:rsidR="004D474F" w:rsidRPr="00B450EB" w:rsidRDefault="004D474F" w:rsidP="004D474F">
      <w:pPr>
        <w:keepNext/>
        <w:rPr>
          <w:rFonts w:cs="Arial"/>
        </w:rPr>
      </w:pPr>
      <w:r w:rsidRPr="00B450EB">
        <w:rPr>
          <w:noProof/>
        </w:rPr>
        <w:drawing>
          <wp:inline distT="0" distB="0" distL="0" distR="0" wp14:anchorId="5CE68C38" wp14:editId="61B85FC8">
            <wp:extent cx="5612130" cy="4888865"/>
            <wp:effectExtent l="0" t="0" r="7620" b="6985"/>
            <wp:docPr id="1847923934"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23934" name="Imagen 1" descr="Gráfico&#10;&#10;El contenido generado por IA puede ser incorrecto."/>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612130" cy="4888865"/>
                    </a:xfrm>
                    <a:prstGeom prst="rect">
                      <a:avLst/>
                    </a:prstGeom>
                    <a:noFill/>
                    <a:ln>
                      <a:noFill/>
                    </a:ln>
                  </pic:spPr>
                </pic:pic>
              </a:graphicData>
            </a:graphic>
          </wp:inline>
        </w:drawing>
      </w:r>
    </w:p>
    <w:p w14:paraId="77593AE2" w14:textId="77777777" w:rsidR="004D474F" w:rsidRPr="00B450EB" w:rsidRDefault="004D474F" w:rsidP="004D474F">
      <w:pPr>
        <w:jc w:val="center"/>
        <w:rPr>
          <w:rFonts w:cs="Arial"/>
          <w:sz w:val="18"/>
          <w:szCs w:val="18"/>
        </w:rPr>
      </w:pPr>
      <w:r w:rsidRPr="00B450EB">
        <w:rPr>
          <w:rFonts w:cs="Arial"/>
          <w:sz w:val="18"/>
          <w:szCs w:val="18"/>
        </w:rPr>
        <w:t>Fuente: Wang, 2024.</w:t>
      </w:r>
    </w:p>
    <w:p w14:paraId="3534E391" w14:textId="6BADE693" w:rsidR="004D474F" w:rsidRPr="00B450EB" w:rsidRDefault="004D474F" w:rsidP="004D474F">
      <w:pPr>
        <w:rPr>
          <w:rFonts w:cs="Arial"/>
        </w:rPr>
      </w:pPr>
      <w:r w:rsidRPr="00B450EB">
        <w:rPr>
          <w:rFonts w:cs="Arial"/>
        </w:rPr>
        <w:t xml:space="preserve">Adicionalmente, según lo indicado por </w:t>
      </w:r>
      <w:sdt>
        <w:sdtPr>
          <w:rPr>
            <w:rFonts w:cs="Arial"/>
          </w:rPr>
          <w:id w:val="-1444606814"/>
          <w:citation/>
        </w:sdtPr>
        <w:sdtContent>
          <w:r w:rsidRPr="00B450EB">
            <w:rPr>
              <w:rFonts w:cs="Arial"/>
            </w:rPr>
            <w:fldChar w:fldCharType="begin"/>
          </w:r>
          <w:r w:rsidRPr="00B450EB">
            <w:rPr>
              <w:rFonts w:cs="Arial"/>
              <w:lang w:val="es-ES"/>
            </w:rPr>
            <w:instrText xml:space="preserve">CITATION MuZ22 \l 3082 </w:instrText>
          </w:r>
          <w:r w:rsidRPr="00B450EB">
            <w:rPr>
              <w:rFonts w:cs="Arial"/>
            </w:rPr>
            <w:fldChar w:fldCharType="separate"/>
          </w:r>
          <w:r w:rsidR="0077091E" w:rsidRPr="00B450EB">
            <w:rPr>
              <w:rFonts w:cs="Arial"/>
              <w:noProof/>
              <w:lang w:val="es-ES"/>
            </w:rPr>
            <w:t>(Zhaobin Mu, 2022)</w:t>
          </w:r>
          <w:r w:rsidRPr="00B450EB">
            <w:rPr>
              <w:rFonts w:cs="Arial"/>
            </w:rPr>
            <w:fldChar w:fldCharType="end"/>
          </w:r>
        </w:sdtContent>
      </w:sdt>
      <w:r w:rsidRPr="00B450EB">
        <w:rPr>
          <w:rFonts w:cs="Arial"/>
        </w:rPr>
        <w:t xml:space="preserve"> que evaluó la emisión de estos compuestos por magnitudes y ecosistemas según las compilaciones por especie y estudios de hoja, confirmando que una gran fracción de árboles amazónicos emiten isopreno, aproximadamente 62 o 76% de especies dominantes </w:t>
      </w:r>
      <w:r w:rsidRPr="00B450EB">
        <w:rPr>
          <w:rFonts w:cs="Arial"/>
        </w:rPr>
        <w:lastRenderedPageBreak/>
        <w:t>evaluadas, con variación por rasgos funcionales (estrategias carbono-rápido vs carbono-lento). Lo anterior, explica los gradientes espaciales de emisiones y dispersión de estos compuestos desde el suroriente colombiano hacia el centro de la cuenca. Estos rasgos, junto con la hidrología (bosques inundables) y el estrés térmico, modulan la mezcla de los BVOC y la relación con el crecimiento de aerosoles orgánicos secundarios que luego actúan como núcleos de condensación de nubes, influyendo en precipitación regional, un mecanismo clave para la estabilidad climática del Arco Amazónico que incluye Colombia.</w:t>
      </w:r>
    </w:p>
    <w:p w14:paraId="490B0811" w14:textId="77777777" w:rsidR="004D474F" w:rsidRPr="00B450EB" w:rsidRDefault="004D474F" w:rsidP="004D474F">
      <w:pPr>
        <w:pStyle w:val="Prrafodelista"/>
        <w:numPr>
          <w:ilvl w:val="0"/>
          <w:numId w:val="11"/>
        </w:numPr>
        <w:rPr>
          <w:rFonts w:eastAsiaTheme="majorEastAsia" w:cs="Arial"/>
          <w:i/>
        </w:rPr>
      </w:pPr>
      <w:r w:rsidRPr="00B450EB">
        <w:rPr>
          <w:rFonts w:eastAsiaTheme="majorEastAsia" w:cs="Arial"/>
          <w:i/>
        </w:rPr>
        <w:t xml:space="preserve">Comportamiento de la humedad, evaporación y vientos en atmosfera y su efecto en el clima. </w:t>
      </w:r>
    </w:p>
    <w:p w14:paraId="47415E93" w14:textId="5800FB81" w:rsidR="004D474F" w:rsidRPr="00B450EB" w:rsidRDefault="004D474F" w:rsidP="004D474F">
      <w:r w:rsidRPr="00B450EB">
        <w:t xml:space="preserve">Es importante considerar que las dinámicas climáticas globales están influenciadas por procesos como las precipitaciones líquidas y sólidas (lluvia y nieve), la evaporación y evapotranspiración (cuando se incorpora la transpiración de las plantas), así como por el movimiento de masas de aire (vientos). El comportamiento de estos parámetros es esencial para el ciclo hidrológico y la regulación térmica del planeta. Lo anterior, se soporta por lo indicado por </w:t>
      </w:r>
      <w:sdt>
        <w:sdtPr>
          <w:id w:val="1622718696"/>
          <w:citation/>
        </w:sdtPr>
        <w:sdtContent>
          <w:r w:rsidRPr="00B450EB">
            <w:fldChar w:fldCharType="begin"/>
          </w:r>
          <w:r w:rsidRPr="00B450EB">
            <w:rPr>
              <w:lang w:val="es-ES"/>
            </w:rPr>
            <w:instrText xml:space="preserve"> CITATION Van10 \l 3082 </w:instrText>
          </w:r>
          <w:r w:rsidRPr="00B450EB">
            <w:fldChar w:fldCharType="separate"/>
          </w:r>
          <w:r w:rsidR="0077091E" w:rsidRPr="00B450EB">
            <w:rPr>
              <w:noProof/>
              <w:lang w:val="es-ES"/>
            </w:rPr>
            <w:t>(Van der Ent, 2010)</w:t>
          </w:r>
          <w:r w:rsidRPr="00B450EB">
            <w:fldChar w:fldCharType="end"/>
          </w:r>
        </w:sdtContent>
      </w:sdt>
      <w:r w:rsidRPr="00B450EB">
        <w:t xml:space="preserve"> y </w:t>
      </w:r>
      <w:sdt>
        <w:sdtPr>
          <w:id w:val="-133107250"/>
          <w:citation/>
        </w:sdtPr>
        <w:sdtContent>
          <w:r w:rsidRPr="00B450EB">
            <w:fldChar w:fldCharType="begin"/>
          </w:r>
          <w:r w:rsidRPr="00B450EB">
            <w:rPr>
              <w:lang w:val="es-ES"/>
            </w:rPr>
            <w:instrText xml:space="preserve"> CITATION NOAsf \l 3082 </w:instrText>
          </w:r>
          <w:r w:rsidRPr="00B450EB">
            <w:fldChar w:fldCharType="separate"/>
          </w:r>
          <w:r w:rsidR="0077091E" w:rsidRPr="00B450EB">
            <w:rPr>
              <w:noProof/>
              <w:lang w:val="es-ES"/>
            </w:rPr>
            <w:t>(NOAA Ocean Exploration, s.f.)</w:t>
          </w:r>
          <w:r w:rsidRPr="00B450EB">
            <w:fldChar w:fldCharType="end"/>
          </w:r>
        </w:sdtContent>
      </w:sdt>
      <w:r w:rsidRPr="00B450EB">
        <w:t xml:space="preserve"> que permite resaltar los siguiente: </w:t>
      </w:r>
    </w:p>
    <w:p w14:paraId="31D6048C" w14:textId="77777777" w:rsidR="004D474F" w:rsidRPr="00B450EB" w:rsidRDefault="004D474F" w:rsidP="004D474F">
      <w:pPr>
        <w:pStyle w:val="Prrafodelista"/>
        <w:numPr>
          <w:ilvl w:val="0"/>
          <w:numId w:val="6"/>
        </w:numPr>
      </w:pPr>
      <w:r w:rsidRPr="00B450EB">
        <w:t>La precipitación ocurre cuando el aire cargado de humedad asciende, se enfría y se condensa. Este proceso libera calor latente, lo que impulsa movimientos verticales y horizontales del aire, alimentando los sistemas atmosféricos y la generación de vientos.</w:t>
      </w:r>
    </w:p>
    <w:p w14:paraId="7A792BD9" w14:textId="77777777" w:rsidR="004D474F" w:rsidRPr="00B450EB" w:rsidRDefault="004D474F" w:rsidP="004D474F">
      <w:pPr>
        <w:pStyle w:val="Prrafodelista"/>
      </w:pPr>
    </w:p>
    <w:p w14:paraId="15941E7E" w14:textId="77777777" w:rsidR="004D474F" w:rsidRPr="00B450EB" w:rsidRDefault="004D474F" w:rsidP="004D474F">
      <w:pPr>
        <w:pStyle w:val="Prrafodelista"/>
        <w:numPr>
          <w:ilvl w:val="0"/>
          <w:numId w:val="6"/>
        </w:numPr>
      </w:pPr>
      <w:r w:rsidRPr="00B450EB">
        <w:t>Por su parte, la evaporación y la evapotranspiración transfieren vapor de agua y energía (calor latente) desde zonas litorales y océanos hacia la atmósfera, favoreciendo la formación de nubes y precipitación cuando el vapor se condensa. Este intercambio permite mantener un balance entre evaporación y precipitación, determinando si una región gana o pierde agua. Además, el vapor de agua no solo se genera de forma local, sino que puede ser transportado por los vientos alisios y otros sistemas de circulación atmosférica, conectando dinámicamente diferentes regiones del planeta.</w:t>
      </w:r>
    </w:p>
    <w:p w14:paraId="6E628895" w14:textId="77777777" w:rsidR="004D474F" w:rsidRPr="00B450EB" w:rsidRDefault="004D474F" w:rsidP="004D474F">
      <w:r w:rsidRPr="00B450EB">
        <w:t xml:space="preserve">Por otra parte, la atmósfera y los océanos mantienen una interacción constante, intercambiando energía, humedad y movimiento, dinámicas que configuran el clima global. A continuación, se muestra las dinámicas globales de los procesos evaporación y precipitación, las cuales en un contexto regional permiten identificar que Colombia es una de las zonas con mayor precipitación en el planeta; igualmente, se evidencia como la evaporación se extiende desde la zona amazónica </w:t>
      </w:r>
      <w:r w:rsidRPr="00B450EB">
        <w:lastRenderedPageBreak/>
        <w:t>hasta áreas más al sur llegando a la Argentina, Paraguay y la zona más meridional de Brasil.</w:t>
      </w:r>
    </w:p>
    <w:p w14:paraId="551EC0E7" w14:textId="4AB93882" w:rsidR="004D474F" w:rsidRPr="00B450EB" w:rsidRDefault="004D474F" w:rsidP="004D474F">
      <w:pPr>
        <w:pStyle w:val="Descripcin"/>
        <w:rPr>
          <w:color w:val="auto"/>
        </w:rPr>
      </w:pPr>
      <w:bookmarkStart w:id="34" w:name="_Toc209462709"/>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20</w:t>
      </w:r>
      <w:r w:rsidR="0045353A" w:rsidRPr="00B450EB">
        <w:rPr>
          <w:noProof/>
          <w:color w:val="auto"/>
        </w:rPr>
        <w:fldChar w:fldCharType="end"/>
      </w:r>
      <w:r w:rsidRPr="00B450EB">
        <w:rPr>
          <w:color w:val="auto"/>
        </w:rPr>
        <w:t>. Promedio anual de precipitación (P) y evaporación (E) sobre las áreas continentales (1999–2008).</w:t>
      </w:r>
      <w:bookmarkEnd w:id="34"/>
      <w:r w:rsidRPr="00B450EB">
        <w:rPr>
          <w:color w:val="auto"/>
        </w:rPr>
        <w:t xml:space="preserve"> </w:t>
      </w:r>
    </w:p>
    <w:p w14:paraId="17DB32AA" w14:textId="77777777" w:rsidR="004D474F" w:rsidRPr="00B450EB" w:rsidRDefault="004D474F" w:rsidP="004D474F">
      <w:pPr>
        <w:spacing w:after="0"/>
        <w:jc w:val="center"/>
        <w:rPr>
          <w:lang w:val="es-ES"/>
        </w:rPr>
      </w:pPr>
      <w:r w:rsidRPr="00B450EB">
        <w:rPr>
          <w:noProof/>
          <w:lang w:val="es-ES"/>
        </w:rPr>
        <w:drawing>
          <wp:inline distT="0" distB="0" distL="0" distR="0" wp14:anchorId="360B6FF8" wp14:editId="6FD340C0">
            <wp:extent cx="5849301" cy="1200647"/>
            <wp:effectExtent l="0" t="0" r="0" b="0"/>
            <wp:docPr id="1103805306" name="Imagen 4" descr="Gráfico, Diagrama, Gráfico radia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805306" name="Imagen 4" descr="Gráfico, Diagrama, Gráfico radial&#10;&#10;El contenido generado por IA puede ser incorrect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20649" cy="1215292"/>
                    </a:xfrm>
                    <a:prstGeom prst="rect">
                      <a:avLst/>
                    </a:prstGeom>
                    <a:noFill/>
                  </pic:spPr>
                </pic:pic>
              </a:graphicData>
            </a:graphic>
          </wp:inline>
        </w:drawing>
      </w:r>
    </w:p>
    <w:p w14:paraId="4F3367F1" w14:textId="77777777" w:rsidR="004D474F" w:rsidRPr="00B450EB" w:rsidRDefault="004D474F" w:rsidP="004D474F">
      <w:pPr>
        <w:jc w:val="center"/>
        <w:rPr>
          <w:sz w:val="18"/>
          <w:szCs w:val="18"/>
          <w:lang w:val="es-ES"/>
        </w:rPr>
      </w:pPr>
      <w:r w:rsidRPr="00B450EB">
        <w:rPr>
          <w:sz w:val="18"/>
          <w:szCs w:val="18"/>
          <w:lang w:val="es-ES"/>
        </w:rPr>
        <w:t xml:space="preserve">Fuente: </w:t>
      </w:r>
      <w:r w:rsidRPr="00B450EB">
        <w:rPr>
          <w:noProof/>
          <w:sz w:val="18"/>
          <w:szCs w:val="18"/>
          <w:lang w:val="es-ES"/>
        </w:rPr>
        <w:t>Van der Ent, 2010.</w:t>
      </w:r>
    </w:p>
    <w:p w14:paraId="02276DA2" w14:textId="77777777" w:rsidR="004D474F" w:rsidRPr="00B450EB" w:rsidRDefault="004D474F" w:rsidP="004D474F">
      <w:pPr>
        <w:jc w:val="center"/>
        <w:rPr>
          <w:sz w:val="18"/>
          <w:szCs w:val="18"/>
          <w:lang w:val="es-ES"/>
        </w:rPr>
      </w:pPr>
    </w:p>
    <w:p w14:paraId="3DA5949A" w14:textId="77777777" w:rsidR="004D474F" w:rsidRPr="00B450EB" w:rsidRDefault="004D474F" w:rsidP="004D474F">
      <w:pPr>
        <w:pStyle w:val="Ttulo4"/>
        <w:rPr>
          <w:color w:val="auto"/>
        </w:rPr>
      </w:pPr>
      <w:r w:rsidRPr="00B450EB">
        <w:rPr>
          <w:rFonts w:cs="Arial"/>
          <w:color w:val="auto"/>
        </w:rPr>
        <w:t>Influencia de la Amazonia en la Regulación Climática</w:t>
      </w:r>
    </w:p>
    <w:p w14:paraId="1442ACFF" w14:textId="34BF80E3" w:rsidR="004D474F" w:rsidRPr="00B450EB" w:rsidRDefault="004D474F" w:rsidP="004D474F">
      <w:r w:rsidRPr="00B450EB">
        <w:t>Basados en las investigaciones realizadas por</w:t>
      </w:r>
      <w:sdt>
        <w:sdtPr>
          <w:id w:val="-289669102"/>
          <w:citation/>
        </w:sdtPr>
        <w:sdtContent>
          <w:r w:rsidRPr="00B450EB">
            <w:fldChar w:fldCharType="begin"/>
          </w:r>
          <w:r w:rsidRPr="00B450EB">
            <w:rPr>
              <w:lang w:val="es-ES"/>
            </w:rPr>
            <w:instrText xml:space="preserve"> CITATION Pov11 \l 3082 </w:instrText>
          </w:r>
          <w:r w:rsidRPr="00B450EB">
            <w:fldChar w:fldCharType="separate"/>
          </w:r>
          <w:r w:rsidR="0077091E" w:rsidRPr="00B450EB">
            <w:rPr>
              <w:noProof/>
              <w:lang w:val="es-ES"/>
            </w:rPr>
            <w:t xml:space="preserve"> (Poveda Jaramillo, 2011)</w:t>
          </w:r>
          <w:r w:rsidRPr="00B450EB">
            <w:fldChar w:fldCharType="end"/>
          </w:r>
        </w:sdtContent>
      </w:sdt>
      <w:r w:rsidRPr="00B450EB">
        <w:t xml:space="preserve"> se identifica que la cuenca Amazónica es la mayor del planeta con aproximadamente 6,5 millones de km² en esta área drenada al río con el mayor caudal del mundo. Esta selva es un gran regulador del clima regional y planetario, debido a su dinámica de agua, evaporación y transmisión de energía con el océano Atlántico, actividades que repercuten más allá de la región amazónica. Su localización ecuatorial situada bajo la Zona de Convergencia Intertropical (ZCIT), la franja de mayor evaporación del planeta; donde la condensación del vapor libera calor latente que alimenta la circulación y ondas planetarias (que es la forma general de circulación atmosférica identificada por el científico Hadley usando modelos unicelulares de convección térmica, y complementado por </w:t>
      </w:r>
      <w:proofErr w:type="spellStart"/>
      <w:r w:rsidRPr="00B450EB">
        <w:t>Rossby</w:t>
      </w:r>
      <w:proofErr w:type="spellEnd"/>
      <w:r w:rsidRPr="00B450EB">
        <w:t xml:space="preserve"> quien ajusto el modelo al dividir las celdas inicialmente propuestas); sin embargo, hay secciones del planeta donde esta simulación presenta ciertas anomalías, como en la zona sur americana del área de Uruguay, Brasil y Argentina donde el modelo estimaría un desierto, aun así, se ubica una de las reservas hídricas más grandes del planeta, esta situación se ha soportado por la operación de los ríos voladores, que se discutirá más adelante. A continuación, se muestra en la imagen con la representación de las ondas planetarias. </w:t>
      </w:r>
    </w:p>
    <w:p w14:paraId="5CF35CF8" w14:textId="2B7B200C" w:rsidR="004D474F" w:rsidRPr="00B450EB" w:rsidRDefault="004D474F" w:rsidP="004D474F">
      <w:r w:rsidRPr="00B450EB">
        <w:t>Basados en las investigaciones realizadas por</w:t>
      </w:r>
      <w:sdt>
        <w:sdtPr>
          <w:id w:val="-183443609"/>
          <w:citation/>
        </w:sdtPr>
        <w:sdtContent>
          <w:r w:rsidRPr="00B450EB">
            <w:fldChar w:fldCharType="begin"/>
          </w:r>
          <w:r w:rsidRPr="00B450EB">
            <w:rPr>
              <w:lang w:val="es-ES"/>
            </w:rPr>
            <w:instrText xml:space="preserve"> CITATION Pov11 \l 3082 </w:instrText>
          </w:r>
          <w:r w:rsidRPr="00B450EB">
            <w:fldChar w:fldCharType="separate"/>
          </w:r>
          <w:r w:rsidR="0077091E" w:rsidRPr="00B450EB">
            <w:rPr>
              <w:noProof/>
              <w:lang w:val="es-ES"/>
            </w:rPr>
            <w:t xml:space="preserve"> (Poveda Jaramillo, 2011)</w:t>
          </w:r>
          <w:r w:rsidRPr="00B450EB">
            <w:fldChar w:fldCharType="end"/>
          </w:r>
        </w:sdtContent>
      </w:sdt>
      <w:r w:rsidRPr="00B450EB">
        <w:t xml:space="preserve"> se identifica que la cuenca Amazónica es la mayor del planeta con aproximadamente 6,5 millones de km² en esta área drenada al río con el mayor caudal del mundo. Esta selva es un gran regulador del clima regional y planetario, debido a su dinámica de agua, evaporación y transmisión de energía con el océano Atlántico, actividades que repercuten más allá de la región amazónica. Su localización ecuatorial situada bajo la Zona de Convergencia Intertropical (ZCIT), la franja de mayor evaporación </w:t>
      </w:r>
      <w:r w:rsidRPr="00B450EB">
        <w:lastRenderedPageBreak/>
        <w:t xml:space="preserve">del planeta; donde la condensación del vapor libera calor latente que alimenta la circulación y ondas planetarias (que es la forma general de circulación atmosférica identificada por el científico Hadley usando modelos unicelulares de convección térmica, y complementado por </w:t>
      </w:r>
      <w:proofErr w:type="spellStart"/>
      <w:r w:rsidRPr="00B450EB">
        <w:t>Rossby</w:t>
      </w:r>
      <w:proofErr w:type="spellEnd"/>
      <w:r w:rsidRPr="00B450EB">
        <w:t xml:space="preserve"> quien ajusto el modelo al dividir las celdas inicialmente propuestas); sin embargo, hay secciones del planeta donde esta simulación presenta ciertas anomalías, como en la zona sur americana del área de Uruguay, Brasil y Argentina donde el modelo estimaría un desierto, aun así, se ubica una de las reservas hídricas más grandes del planeta, esta situación se ha soportado por la operación de los ríos voladores, que se discutirá más adelante. A continuación, se muestra en la imagen con la representación de las ondas planetarias. </w:t>
      </w:r>
    </w:p>
    <w:p w14:paraId="7F4287FB" w14:textId="231D68CB" w:rsidR="004D474F" w:rsidRPr="00B450EB" w:rsidRDefault="004D474F" w:rsidP="004D474F">
      <w:pPr>
        <w:pStyle w:val="Descripcin"/>
        <w:rPr>
          <w:color w:val="auto"/>
        </w:rPr>
      </w:pPr>
      <w:bookmarkStart w:id="35" w:name="_Toc209462710"/>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21</w:t>
      </w:r>
      <w:r w:rsidR="0045353A" w:rsidRPr="00B450EB">
        <w:rPr>
          <w:noProof/>
          <w:color w:val="auto"/>
        </w:rPr>
        <w:fldChar w:fldCharType="end"/>
      </w:r>
      <w:r w:rsidRPr="00B450EB">
        <w:rPr>
          <w:color w:val="auto"/>
        </w:rPr>
        <w:t>. Las células de Hadley, las células de Ferrel (latitud media) y las células polares caracterizan la dinámica atmosférica actual.</w:t>
      </w:r>
      <w:bookmarkEnd w:id="35"/>
    </w:p>
    <w:p w14:paraId="3667ABFC" w14:textId="77777777" w:rsidR="004D474F" w:rsidRPr="00B450EB" w:rsidRDefault="004D474F" w:rsidP="004D474F">
      <w:pPr>
        <w:spacing w:after="0"/>
        <w:jc w:val="center"/>
      </w:pPr>
      <w:r w:rsidRPr="00B450EB">
        <w:rPr>
          <w:noProof/>
        </w:rPr>
        <w:drawing>
          <wp:inline distT="0" distB="0" distL="0" distR="0" wp14:anchorId="166806C8" wp14:editId="793F6D9E">
            <wp:extent cx="3084394" cy="2680555"/>
            <wp:effectExtent l="0" t="0" r="1905" b="5715"/>
            <wp:docPr id="1605578251"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78251" name="Imagen 1" descr="Diagrama&#10;&#10;El contenido generado por IA puede ser incorrecto."/>
                    <pic:cNvPicPr/>
                  </pic:nvPicPr>
                  <pic:blipFill>
                    <a:blip r:embed="rId48" cstate="email">
                      <a:extLst>
                        <a:ext uri="{28A0092B-C50C-407E-A947-70E740481C1C}">
                          <a14:useLocalDpi xmlns:a14="http://schemas.microsoft.com/office/drawing/2010/main"/>
                        </a:ext>
                      </a:extLst>
                    </a:blip>
                    <a:stretch>
                      <a:fillRect/>
                    </a:stretch>
                  </pic:blipFill>
                  <pic:spPr>
                    <a:xfrm>
                      <a:off x="0" y="0"/>
                      <a:ext cx="3092942" cy="2687984"/>
                    </a:xfrm>
                    <a:prstGeom prst="rect">
                      <a:avLst/>
                    </a:prstGeom>
                  </pic:spPr>
                </pic:pic>
              </a:graphicData>
            </a:graphic>
          </wp:inline>
        </w:drawing>
      </w:r>
    </w:p>
    <w:p w14:paraId="423DA981" w14:textId="77777777" w:rsidR="004D474F" w:rsidRPr="00B450EB" w:rsidRDefault="004D474F" w:rsidP="004D474F">
      <w:pPr>
        <w:jc w:val="center"/>
        <w:rPr>
          <w:sz w:val="18"/>
          <w:szCs w:val="18"/>
        </w:rPr>
      </w:pPr>
      <w:r w:rsidRPr="00B450EB">
        <w:rPr>
          <w:sz w:val="18"/>
          <w:szCs w:val="18"/>
        </w:rPr>
        <w:t xml:space="preserve">Fuente: </w:t>
      </w:r>
      <w:r w:rsidRPr="00B450EB">
        <w:rPr>
          <w:noProof/>
          <w:sz w:val="18"/>
          <w:szCs w:val="18"/>
          <w:lang w:val="es-ES"/>
        </w:rPr>
        <w:t>Instituto de Hidrología, Meteorología y Estudios Ambientales – IDEAM, 2017.</w:t>
      </w:r>
    </w:p>
    <w:p w14:paraId="529C943A" w14:textId="77777777" w:rsidR="004D474F" w:rsidRPr="00B450EB" w:rsidRDefault="004D474F" w:rsidP="004D474F">
      <w:pPr>
        <w:jc w:val="center"/>
        <w:rPr>
          <w:sz w:val="18"/>
          <w:szCs w:val="18"/>
        </w:rPr>
      </w:pPr>
    </w:p>
    <w:p w14:paraId="5BEF5128" w14:textId="56451826" w:rsidR="004D474F" w:rsidRPr="00B450EB" w:rsidRDefault="004D474F" w:rsidP="004D474F">
      <w:r w:rsidRPr="00B450EB">
        <w:t xml:space="preserve">Igualmente, </w:t>
      </w:r>
      <w:sdt>
        <w:sdtPr>
          <w:id w:val="-841941377"/>
          <w:citation/>
        </w:sdtPr>
        <w:sdtContent>
          <w:r w:rsidRPr="00B450EB">
            <w:fldChar w:fldCharType="begin"/>
          </w:r>
          <w:r w:rsidRPr="00B450EB">
            <w:rPr>
              <w:lang w:val="es-ES"/>
            </w:rPr>
            <w:instrText xml:space="preserve"> CITATION Pov11 \l 3082 </w:instrText>
          </w:r>
          <w:r w:rsidRPr="00B450EB">
            <w:fldChar w:fldCharType="separate"/>
          </w:r>
          <w:r w:rsidR="0077091E" w:rsidRPr="00B450EB">
            <w:rPr>
              <w:noProof/>
              <w:lang w:val="es-ES"/>
            </w:rPr>
            <w:t>(Poveda Jaramillo, 2011)</w:t>
          </w:r>
          <w:r w:rsidRPr="00B450EB">
            <w:fldChar w:fldCharType="end"/>
          </w:r>
        </w:sdtContent>
      </w:sdt>
      <w:r w:rsidRPr="00B450EB">
        <w:t xml:space="preserve"> resalta que la selva amazónica recicla eficientemente la precipitación: los intercambios entre precipitación y evapotranspiración son del orden del 50 %, de modo que aproximadamente la mitad de la lluvia que cae en la cuenca proviene del propio bosque. Este importante proceso hace de la selva un regulador climático: al transpirar agua, enfría la superficie, humedece la atmósfera y promueve nuevas lluvias; al condensar, calienta la atmósfera media y fortalece la circulación. La Amazonia, por tanto, estabiliza el clima regional y contribuye al equilibrio climático global mediante estos flujos acoplados de agua-energía.</w:t>
      </w:r>
    </w:p>
    <w:p w14:paraId="07094E71" w14:textId="77777777" w:rsidR="004D474F" w:rsidRPr="00B450EB" w:rsidRDefault="004D474F" w:rsidP="004D474F">
      <w:pPr>
        <w:pStyle w:val="Ttulo4"/>
        <w:rPr>
          <w:rFonts w:cs="Arial"/>
          <w:i w:val="0"/>
          <w:color w:val="auto"/>
        </w:rPr>
      </w:pPr>
      <w:r w:rsidRPr="00B450EB">
        <w:rPr>
          <w:rFonts w:cs="Arial"/>
          <w:color w:val="auto"/>
        </w:rPr>
        <w:lastRenderedPageBreak/>
        <w:t xml:space="preserve">Relación de la amazonia y la zona andina. </w:t>
      </w:r>
    </w:p>
    <w:p w14:paraId="0B12EF8A" w14:textId="3F322B48" w:rsidR="004D474F" w:rsidRPr="00B450EB" w:rsidRDefault="004D474F" w:rsidP="004D474F">
      <w:r w:rsidRPr="00B450EB">
        <w:rPr>
          <w:rFonts w:cs="Arial"/>
        </w:rPr>
        <w:t xml:space="preserve">En cuanto a la dinámica de captura de carbono, los datos reportados por </w:t>
      </w:r>
      <w:sdt>
        <w:sdtPr>
          <w:rPr>
            <w:rFonts w:cs="Arial"/>
          </w:rPr>
          <w:id w:val="290173832"/>
          <w:citation/>
        </w:sdtPr>
        <w:sdtContent>
          <w:r w:rsidRPr="00B450EB">
            <w:rPr>
              <w:rFonts w:cs="Arial"/>
            </w:rPr>
            <w:fldChar w:fldCharType="begin"/>
          </w:r>
          <w:r w:rsidRPr="00B450EB">
            <w:rPr>
              <w:rFonts w:cs="Arial"/>
              <w:lang w:val="es-ES"/>
            </w:rPr>
            <w:instrText xml:space="preserve"> CITATION Red25 \l 3082 </w:instrText>
          </w:r>
          <w:r w:rsidRPr="00B450EB">
            <w:rPr>
              <w:rFonts w:cs="Arial"/>
            </w:rPr>
            <w:fldChar w:fldCharType="separate"/>
          </w:r>
          <w:r w:rsidR="0077091E" w:rsidRPr="00B450EB">
            <w:rPr>
              <w:rFonts w:cs="Arial"/>
              <w:noProof/>
              <w:lang w:val="es-ES"/>
            </w:rPr>
            <w:t>(Red Amazónica de Información Socioambiental Georreferenciada (RAISG), 2025)</w:t>
          </w:r>
          <w:r w:rsidRPr="00B450EB">
            <w:rPr>
              <w:rFonts w:cs="Arial"/>
            </w:rPr>
            <w:fldChar w:fldCharType="end"/>
          </w:r>
        </w:sdtContent>
      </w:sdt>
      <w:r w:rsidRPr="00B450EB">
        <w:rPr>
          <w:rFonts w:cs="Arial"/>
        </w:rPr>
        <w:t xml:space="preserve"> confirman que la selva amazónica colombiana sigue funcionando como sumidero neto, pero con señales de debilitamiento. Entre 2000 y 2023, la densidad de carbono en los bosques de tierra firme se mantuvo relativamente estable, con descensos mínimos de 17,6 a 17,5 </w:t>
      </w:r>
      <w:proofErr w:type="spellStart"/>
      <w:r w:rsidRPr="00B450EB">
        <w:rPr>
          <w:rFonts w:cs="Arial"/>
        </w:rPr>
        <w:t>KtC</w:t>
      </w:r>
      <w:proofErr w:type="spellEnd"/>
      <w:r w:rsidRPr="00B450EB">
        <w:rPr>
          <w:rFonts w:cs="Arial"/>
        </w:rPr>
        <w:t xml:space="preserve">/km² en áreas como </w:t>
      </w:r>
      <w:proofErr w:type="spellStart"/>
      <w:r w:rsidRPr="00B450EB">
        <w:rPr>
          <w:rFonts w:cs="Arial"/>
        </w:rPr>
        <w:t>Mirití</w:t>
      </w:r>
      <w:proofErr w:type="spellEnd"/>
      <w:r w:rsidRPr="00B450EB">
        <w:rPr>
          <w:rFonts w:cs="Arial"/>
        </w:rPr>
        <w:t xml:space="preserve"> Paraná, que es uno de los núcleos más estables de la región. </w:t>
      </w:r>
    </w:p>
    <w:p w14:paraId="707C343B" w14:textId="31929BF2" w:rsidR="004D474F" w:rsidRPr="00B450EB" w:rsidRDefault="004D474F" w:rsidP="004D474F">
      <w:pPr>
        <w:rPr>
          <w:rFonts w:cs="Arial"/>
        </w:rPr>
      </w:pPr>
      <w:r w:rsidRPr="00B450EB">
        <w:rPr>
          <w:rFonts w:cs="Arial"/>
        </w:rPr>
        <w:t xml:space="preserve">Adicionalmente, según lo indicado por </w:t>
      </w:r>
      <w:sdt>
        <w:sdtPr>
          <w:rPr>
            <w:rFonts w:cs="Arial"/>
          </w:rPr>
          <w:id w:val="-249506704"/>
          <w:citation/>
        </w:sdtPr>
        <w:sdtContent>
          <w:r w:rsidRPr="00B450EB">
            <w:rPr>
              <w:rFonts w:cs="Arial"/>
            </w:rPr>
            <w:fldChar w:fldCharType="begin"/>
          </w:r>
          <w:r w:rsidRPr="00B450EB">
            <w:rPr>
              <w:rFonts w:cs="Arial"/>
              <w:lang w:val="es-ES"/>
            </w:rPr>
            <w:instrText xml:space="preserve">CITATION MuZ22 \l 3082 </w:instrText>
          </w:r>
          <w:r w:rsidRPr="00B450EB">
            <w:rPr>
              <w:rFonts w:cs="Arial"/>
            </w:rPr>
            <w:fldChar w:fldCharType="separate"/>
          </w:r>
          <w:r w:rsidR="0077091E" w:rsidRPr="00B450EB">
            <w:rPr>
              <w:rFonts w:cs="Arial"/>
              <w:noProof/>
              <w:lang w:val="es-ES"/>
            </w:rPr>
            <w:t>(Zhaobin Mu, 2022)</w:t>
          </w:r>
          <w:r w:rsidRPr="00B450EB">
            <w:rPr>
              <w:rFonts w:cs="Arial"/>
            </w:rPr>
            <w:fldChar w:fldCharType="end"/>
          </w:r>
        </w:sdtContent>
      </w:sdt>
      <w:r w:rsidRPr="00B450EB">
        <w:rPr>
          <w:rFonts w:cs="Arial"/>
        </w:rPr>
        <w:t>que evaluó la emisión de estos compuestos por magnitudes y ecosistemas según las compilaciones por especie y estudios de hoja, confirmando que una gran fracción de árboles amazónicos emiten isopreno, aproximadamente 62 o 76% de especies dominantes evaluadas, con variación por rasgos funcionales (estrategias carbono-rápido vs carbono-lento). Lo anterior, explica los gradientes espaciales de emisiones y dispersión de estos compuestos desde el suroriente colombiano hacia el centro de la cuenca. Estos rasgos, junto con la hidrología (bosques inundables) y el estrés térmico, modulan la mezcla de los BVOC y la relación con el crecimiento de aerosoles orgánicos secundarios que luego actúan como núcleos de condensación de nubes, influyendo en precipitación regional, un mecanismo clave para la estabilidad climática del Arco Amazónico que incluye Colombia.</w:t>
      </w:r>
    </w:p>
    <w:p w14:paraId="67ECB6FD" w14:textId="77777777" w:rsidR="004D474F" w:rsidRPr="00B450EB" w:rsidRDefault="004D474F" w:rsidP="004D474F">
      <w:pPr>
        <w:spacing w:after="0"/>
      </w:pPr>
    </w:p>
    <w:p w14:paraId="7F34F5FA" w14:textId="77777777" w:rsidR="004D474F" w:rsidRPr="00B450EB" w:rsidRDefault="004D474F" w:rsidP="004D474F">
      <w:pPr>
        <w:rPr>
          <w:lang w:val="es-ES"/>
        </w:rPr>
      </w:pPr>
      <w:r w:rsidRPr="00B450EB">
        <w:rPr>
          <w:lang w:val="es-ES"/>
        </w:rPr>
        <w:t>El Bioma Amazónico mantiene una estrecha interconexión climática con los Andes colombianos y con otras zonas ubicadas en latitudes más australes del continente. Esta relación se manifiesta principalmente en el transporte de humedad atmosférica, producto de los procesos de evaporación y evapotranspiración de la selva amazónica, que generan vapor de agua enriquecido con Compuestos Orgánicos Volátiles Biogénicos (BVOC) y aerosoles orgánicos. Estos elementos no solo favorecen la formación de lluvias, sino que también contribuyen al crecimiento y adaptación de la vegetación. El vapor de agua amazónico, impulsado por los vientos alisios, es transportado hacia las montañas andinas, donde, al ascender por la orografía, se enfría y condensa, generando precipitaciones que alimentan importantes cuencas hidrográficas y sostienen los ecosistemas de alta montaña.</w:t>
      </w:r>
    </w:p>
    <w:p w14:paraId="2DCD7181" w14:textId="77777777" w:rsidR="004D474F" w:rsidRPr="00B450EB" w:rsidRDefault="004D474F" w:rsidP="004D474F">
      <w:pPr>
        <w:rPr>
          <w:lang w:val="es-ES"/>
        </w:rPr>
      </w:pPr>
      <w:r w:rsidRPr="00B450EB">
        <w:rPr>
          <w:lang w:val="es-ES"/>
        </w:rPr>
        <w:t xml:space="preserve">Asimismo, el piedemonte amazónico y el bosque andino de montaña interactúan de manera directa en los departamentos de Caquetá y Putumayo, constituyendo una zona de transición clave para la conectividad genética, ecológica y climática. Este corredor biogeográfico permite la articulación entre biomas de distinta altitud y </w:t>
      </w:r>
      <w:r w:rsidRPr="00B450EB">
        <w:rPr>
          <w:lang w:val="es-ES"/>
        </w:rPr>
        <w:lastRenderedPageBreak/>
        <w:t>condiciones climáticas, reforzando su papel estratégico en la conservación y regulación ambiental a escala regional.</w:t>
      </w:r>
    </w:p>
    <w:p w14:paraId="3D883B1A" w14:textId="0B164AFC" w:rsidR="004D474F" w:rsidRPr="00B450EB" w:rsidRDefault="004D474F" w:rsidP="004D474F">
      <w:r w:rsidRPr="00B450EB">
        <w:t xml:space="preserve">Lo anterior es confirmado por </w:t>
      </w:r>
      <w:sdt>
        <w:sdtPr>
          <w:id w:val="-2002810854"/>
          <w:citation/>
        </w:sdtPr>
        <w:sdtContent>
          <w:r w:rsidRPr="00B450EB">
            <w:fldChar w:fldCharType="begin"/>
          </w:r>
          <w:r w:rsidRPr="00B450EB">
            <w:rPr>
              <w:lang w:val="es-ES"/>
            </w:rPr>
            <w:instrText xml:space="preserve"> CITATION Isa17 \l 3082 </w:instrText>
          </w:r>
          <w:r w:rsidRPr="00B450EB">
            <w:fldChar w:fldCharType="separate"/>
          </w:r>
          <w:r w:rsidR="0077091E" w:rsidRPr="00B450EB">
            <w:rPr>
              <w:noProof/>
              <w:lang w:val="es-ES"/>
            </w:rPr>
            <w:t>(Hoyos, 2017)</w:t>
          </w:r>
          <w:r w:rsidRPr="00B450EB">
            <w:fldChar w:fldCharType="end"/>
          </w:r>
        </w:sdtContent>
      </w:sdt>
      <w:r w:rsidRPr="00B450EB">
        <w:t xml:space="preserve"> quien indica que: </w:t>
      </w:r>
      <w:r w:rsidRPr="00B450EB">
        <w:rPr>
          <w:i/>
          <w:iCs/>
        </w:rPr>
        <w:t>“A medida que la ZCIT avanza hacia el norte, la interacción de los Vientos del Este con los Andes tropicales se debilita, produciendo un aumento en la convergencia del flujo de humedad y un fortalecimiento de los procesos convectivos, alcanzando su máximo durante la temporada de junio, julio y agosto, cuando la ZCIT está en su punto más septentrional”</w:t>
      </w:r>
      <w:r w:rsidRPr="00B450EB">
        <w:t xml:space="preserve">. Esto soporta la interconexión de estas zonas, la cual puede transportar vapor de agua proveniente del bioma </w:t>
      </w:r>
      <w:proofErr w:type="spellStart"/>
      <w:r w:rsidRPr="00B450EB">
        <w:t>superhúmedo</w:t>
      </w:r>
      <w:proofErr w:type="spellEnd"/>
      <w:r w:rsidRPr="00B450EB">
        <w:t xml:space="preserve"> amazónico; sin embargo, estas corrientes de aire también movilizan contaminantes generados por los continuos incendios forestales de la región. Este efecto se puede verificar en las siguientes figuras.</w:t>
      </w:r>
    </w:p>
    <w:p w14:paraId="2E503B19" w14:textId="0BFD2C77" w:rsidR="004D474F" w:rsidRPr="00B450EB" w:rsidRDefault="004D474F" w:rsidP="004D474F">
      <w:pPr>
        <w:jc w:val="center"/>
        <w:rPr>
          <w:i/>
          <w:iCs/>
          <w:sz w:val="18"/>
          <w:szCs w:val="18"/>
        </w:rPr>
      </w:pPr>
      <w:bookmarkStart w:id="36" w:name="_Toc209462711"/>
      <w:r w:rsidRPr="00B450EB">
        <w:rPr>
          <w:i/>
          <w:iCs/>
          <w:sz w:val="18"/>
          <w:szCs w:val="18"/>
        </w:rPr>
        <w:t xml:space="preserve">Figura </w:t>
      </w:r>
      <w:r w:rsidRPr="00B450EB">
        <w:rPr>
          <w:i/>
          <w:iCs/>
          <w:sz w:val="18"/>
          <w:szCs w:val="18"/>
        </w:rPr>
        <w:fldChar w:fldCharType="begin"/>
      </w:r>
      <w:r w:rsidRPr="00B450EB">
        <w:rPr>
          <w:i/>
          <w:iCs/>
          <w:sz w:val="18"/>
          <w:szCs w:val="18"/>
        </w:rPr>
        <w:instrText xml:space="preserve"> SEQ Figura \* ARABIC </w:instrText>
      </w:r>
      <w:r w:rsidRPr="00B450EB">
        <w:rPr>
          <w:i/>
          <w:iCs/>
          <w:sz w:val="18"/>
          <w:szCs w:val="18"/>
        </w:rPr>
        <w:fldChar w:fldCharType="separate"/>
      </w:r>
      <w:r w:rsidR="00010D09" w:rsidRPr="00B450EB">
        <w:rPr>
          <w:i/>
          <w:iCs/>
          <w:noProof/>
          <w:sz w:val="18"/>
          <w:szCs w:val="18"/>
        </w:rPr>
        <w:t>22</w:t>
      </w:r>
      <w:r w:rsidRPr="00B450EB">
        <w:rPr>
          <w:i/>
          <w:iCs/>
          <w:sz w:val="18"/>
          <w:szCs w:val="18"/>
        </w:rPr>
        <w:fldChar w:fldCharType="end"/>
      </w:r>
      <w:r w:rsidRPr="00B450EB">
        <w:rPr>
          <w:i/>
          <w:iCs/>
          <w:sz w:val="18"/>
          <w:szCs w:val="18"/>
        </w:rPr>
        <w:t>. Comportamiento estacional de la humedad atmosférica regional.</w:t>
      </w:r>
      <w:bookmarkEnd w:id="36"/>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EF1937" w:rsidRPr="00B450EB" w14:paraId="280BBDB3" w14:textId="77777777" w:rsidTr="00024A81">
        <w:tc>
          <w:tcPr>
            <w:tcW w:w="8828" w:type="dxa"/>
          </w:tcPr>
          <w:p w14:paraId="56F80213" w14:textId="77777777" w:rsidR="004D474F" w:rsidRPr="00B450EB" w:rsidRDefault="004D474F" w:rsidP="00024A81">
            <w:pPr>
              <w:rPr>
                <w:lang w:val="es-ES"/>
              </w:rPr>
            </w:pPr>
            <w:r w:rsidRPr="00B450EB">
              <w:rPr>
                <w:lang w:val="es-ES"/>
              </w:rPr>
              <w:t xml:space="preserve"> </w:t>
            </w:r>
            <w:r w:rsidRPr="00B450EB">
              <w:rPr>
                <w:noProof/>
              </w:rPr>
              <w:drawing>
                <wp:inline distT="0" distB="0" distL="0" distR="0" wp14:anchorId="2BFEA9FE" wp14:editId="115D512B">
                  <wp:extent cx="2639833" cy="2320990"/>
                  <wp:effectExtent l="0" t="0" r="8255" b="3175"/>
                  <wp:docPr id="309328628"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448344" name="Imagen 1" descr="Gráfico&#10;&#10;El contenido generado por IA puede ser incorrecto."/>
                          <pic:cNvPicPr/>
                        </pic:nvPicPr>
                        <pic:blipFill>
                          <a:blip r:embed="rId49" cstate="email">
                            <a:extLst>
                              <a:ext uri="{28A0092B-C50C-407E-A947-70E740481C1C}">
                                <a14:useLocalDpi xmlns:a14="http://schemas.microsoft.com/office/drawing/2010/main"/>
                              </a:ext>
                            </a:extLst>
                          </a:blip>
                          <a:stretch>
                            <a:fillRect/>
                          </a:stretch>
                        </pic:blipFill>
                        <pic:spPr>
                          <a:xfrm>
                            <a:off x="0" y="0"/>
                            <a:ext cx="2660925" cy="2339535"/>
                          </a:xfrm>
                          <a:prstGeom prst="rect">
                            <a:avLst/>
                          </a:prstGeom>
                        </pic:spPr>
                      </pic:pic>
                    </a:graphicData>
                  </a:graphic>
                </wp:inline>
              </w:drawing>
            </w:r>
            <w:r w:rsidRPr="00B450EB">
              <w:rPr>
                <w:noProof/>
              </w:rPr>
              <w:t xml:space="preserve"> </w:t>
            </w:r>
            <w:r w:rsidRPr="00B450EB">
              <w:rPr>
                <w:noProof/>
              </w:rPr>
              <w:drawing>
                <wp:inline distT="0" distB="0" distL="0" distR="0" wp14:anchorId="2DA8385E" wp14:editId="43FFA162">
                  <wp:extent cx="2568271" cy="2313108"/>
                  <wp:effectExtent l="0" t="0" r="3810" b="0"/>
                  <wp:docPr id="1503707952" name="Imagen 1" descr="Gráfico,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115272" name="Imagen 1" descr="Gráfico, Diagrama&#10;&#10;El contenido generado por IA puede ser incorrecto."/>
                          <pic:cNvPicPr/>
                        </pic:nvPicPr>
                        <pic:blipFill>
                          <a:blip r:embed="rId50" cstate="email">
                            <a:extLst>
                              <a:ext uri="{28A0092B-C50C-407E-A947-70E740481C1C}">
                                <a14:useLocalDpi xmlns:a14="http://schemas.microsoft.com/office/drawing/2010/main"/>
                              </a:ext>
                            </a:extLst>
                          </a:blip>
                          <a:stretch>
                            <a:fillRect/>
                          </a:stretch>
                        </pic:blipFill>
                        <pic:spPr>
                          <a:xfrm>
                            <a:off x="0" y="0"/>
                            <a:ext cx="2584404" cy="2327638"/>
                          </a:xfrm>
                          <a:prstGeom prst="rect">
                            <a:avLst/>
                          </a:prstGeom>
                        </pic:spPr>
                      </pic:pic>
                    </a:graphicData>
                  </a:graphic>
                </wp:inline>
              </w:drawing>
            </w:r>
          </w:p>
          <w:p w14:paraId="0374847F" w14:textId="77777777" w:rsidR="004D474F" w:rsidRPr="00B450EB" w:rsidRDefault="004D474F" w:rsidP="00024A81">
            <w:pPr>
              <w:jc w:val="center"/>
              <w:rPr>
                <w:lang w:val="es-ES"/>
              </w:rPr>
            </w:pPr>
            <w:r w:rsidRPr="00B450EB">
              <w:rPr>
                <w:noProof/>
              </w:rPr>
              <w:drawing>
                <wp:inline distT="0" distB="0" distL="0" distR="0" wp14:anchorId="4346A496" wp14:editId="0824E4E3">
                  <wp:extent cx="3506525" cy="530859"/>
                  <wp:effectExtent l="0" t="0" r="0" b="3175"/>
                  <wp:docPr id="897174061"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46639" name="Imagen 1" descr="Gráfico, Gráfico de barras&#10;&#10;El contenido generado por IA puede ser incorrecto."/>
                          <pic:cNvPicPr/>
                        </pic:nvPicPr>
                        <pic:blipFill>
                          <a:blip r:embed="rId51"/>
                          <a:stretch>
                            <a:fillRect/>
                          </a:stretch>
                        </pic:blipFill>
                        <pic:spPr>
                          <a:xfrm>
                            <a:off x="0" y="0"/>
                            <a:ext cx="3608462" cy="546291"/>
                          </a:xfrm>
                          <a:prstGeom prst="rect">
                            <a:avLst/>
                          </a:prstGeom>
                        </pic:spPr>
                      </pic:pic>
                    </a:graphicData>
                  </a:graphic>
                </wp:inline>
              </w:drawing>
            </w:r>
          </w:p>
        </w:tc>
      </w:tr>
    </w:tbl>
    <w:p w14:paraId="65795364" w14:textId="77777777" w:rsidR="004D474F" w:rsidRPr="00B450EB" w:rsidRDefault="004D474F" w:rsidP="004D474F">
      <w:pPr>
        <w:jc w:val="center"/>
        <w:rPr>
          <w:sz w:val="18"/>
          <w:szCs w:val="18"/>
          <w:lang w:val="es-ES"/>
        </w:rPr>
      </w:pPr>
      <w:r w:rsidRPr="00B450EB">
        <w:rPr>
          <w:sz w:val="18"/>
          <w:szCs w:val="18"/>
        </w:rPr>
        <w:t>Fuente: Hoyos, 2017.</w:t>
      </w:r>
    </w:p>
    <w:p w14:paraId="7A811B96" w14:textId="77777777" w:rsidR="004D474F" w:rsidRPr="00B450EB" w:rsidRDefault="004D474F" w:rsidP="004D474F">
      <w:r w:rsidRPr="00B450EB">
        <w:t>Finalmente, la zona Andina actúa también como moduladora del clima amazónico. Su relieve obliga al aire húmedo a ascender, lo que promueve la condensación, libera calor latente y refuerza los mecanismos convectivos. Este proceso contribuye a estabilizar patrones de precipitación tanto en la Amazonia como en las montañas, generando microclimas montañosos, fuertes lluvias orográficas, y estaciones secas más marcadas en altitudes superiores.</w:t>
      </w:r>
    </w:p>
    <w:p w14:paraId="5704363A" w14:textId="77777777" w:rsidR="004D474F" w:rsidRPr="00B450EB" w:rsidRDefault="004D474F" w:rsidP="004D474F">
      <w:pPr>
        <w:pStyle w:val="Ttulo4"/>
        <w:rPr>
          <w:rFonts w:cs="Arial"/>
          <w:i w:val="0"/>
          <w:color w:val="auto"/>
        </w:rPr>
      </w:pPr>
      <w:r w:rsidRPr="00B450EB">
        <w:rPr>
          <w:rFonts w:cs="Arial"/>
          <w:color w:val="auto"/>
        </w:rPr>
        <w:lastRenderedPageBreak/>
        <w:t xml:space="preserve">Calidad del aire en el Bioma Amazónico. </w:t>
      </w:r>
    </w:p>
    <w:p w14:paraId="57A13C8A" w14:textId="77777777" w:rsidR="004D474F" w:rsidRPr="00B450EB" w:rsidRDefault="004D474F" w:rsidP="004D474F">
      <w:pPr>
        <w:rPr>
          <w:rFonts w:cs="Arial"/>
          <w:lang w:val="es-ES"/>
        </w:rPr>
      </w:pPr>
      <w:r w:rsidRPr="00B450EB">
        <w:rPr>
          <w:rFonts w:cs="Arial"/>
          <w:lang w:val="es-ES"/>
        </w:rPr>
        <w:t>En relación con la calidad del aire en el bioma amazónico, se evidencia que en esta región no existen estaciones de monitoreo que evalúen de forma regular este componente. No obstante, el IDEAM publica los informes anuales del estado de la calidad del aire en Colombia, con base en la información de los Sistemas de Vigilancia de la Calidad del Aire (SVCA) administrados por las corporaciones autónomas regionales que cuentan con ellos. Sin embargo, se confirma que las corporaciones ambientales con jurisdicción en la Amazonia Colombiana:  Corporación para el Desarrollo Sostenible del Sur de la Amazonía (</w:t>
      </w:r>
      <w:proofErr w:type="spellStart"/>
      <w:r w:rsidRPr="00B450EB">
        <w:rPr>
          <w:rFonts w:cs="Arial"/>
          <w:lang w:val="es-ES"/>
        </w:rPr>
        <w:t>Corpoamazonia</w:t>
      </w:r>
      <w:proofErr w:type="spellEnd"/>
      <w:r w:rsidRPr="00B450EB">
        <w:rPr>
          <w:rFonts w:cs="Arial"/>
          <w:lang w:val="es-ES"/>
        </w:rPr>
        <w:t>), Corporación para el Manejo Sostenible del Área de Manejo Especial la Macarena (</w:t>
      </w:r>
      <w:proofErr w:type="spellStart"/>
      <w:r w:rsidRPr="00B450EB">
        <w:rPr>
          <w:rFonts w:cs="Arial"/>
          <w:lang w:val="es-ES"/>
        </w:rPr>
        <w:t>Cormacarena</w:t>
      </w:r>
      <w:proofErr w:type="spellEnd"/>
      <w:r w:rsidRPr="00B450EB">
        <w:rPr>
          <w:rFonts w:cs="Arial"/>
          <w:lang w:val="es-ES"/>
        </w:rPr>
        <w:t>) y la Corporación para el Manejo Sostenible del Norte y el Oriente Amazónico (CDA), no disponen de estos sistemas de monitoreo.</w:t>
      </w:r>
    </w:p>
    <w:p w14:paraId="5F9C626E" w14:textId="1C566AE4" w:rsidR="004D474F" w:rsidRPr="00B450EB" w:rsidRDefault="004D474F" w:rsidP="004D474F">
      <w:pPr>
        <w:rPr>
          <w:rFonts w:cs="Arial"/>
          <w:lang w:val="es-ES"/>
        </w:rPr>
      </w:pPr>
      <w:r w:rsidRPr="00B450EB">
        <w:rPr>
          <w:rFonts w:cs="Arial"/>
          <w:lang w:val="es-ES"/>
        </w:rPr>
        <w:t xml:space="preserve">Adicionalmente, en el informe del estado de la calidad del aire de 2021 </w:t>
      </w:r>
      <w:sdt>
        <w:sdtPr>
          <w:rPr>
            <w:rFonts w:cs="Arial"/>
            <w:lang w:val="es-ES"/>
          </w:rPr>
          <w:id w:val="-1069409506"/>
          <w:citation/>
        </w:sdtPr>
        <w:sdtContent>
          <w:r w:rsidRPr="00B450EB">
            <w:rPr>
              <w:rFonts w:cs="Arial"/>
              <w:lang w:val="es-ES"/>
            </w:rPr>
            <w:fldChar w:fldCharType="begin"/>
          </w:r>
          <w:r w:rsidRPr="00B450EB">
            <w:rPr>
              <w:rFonts w:cs="Arial"/>
              <w:lang w:val="es-ES"/>
            </w:rPr>
            <w:instrText xml:space="preserve"> CITATION Ent22 \l 3082 </w:instrText>
          </w:r>
          <w:r w:rsidRPr="00B450EB">
            <w:rPr>
              <w:rFonts w:cs="Arial"/>
              <w:lang w:val="es-ES"/>
            </w:rPr>
            <w:fldChar w:fldCharType="separate"/>
          </w:r>
          <w:r w:rsidR="0077091E" w:rsidRPr="00B450EB">
            <w:rPr>
              <w:rFonts w:cs="Arial"/>
              <w:noProof/>
              <w:lang w:val="es-ES"/>
            </w:rPr>
            <w:t>(IDEAM, (2022))</w:t>
          </w:r>
          <w:r w:rsidRPr="00B450EB">
            <w:rPr>
              <w:rFonts w:cs="Arial"/>
              <w:lang w:val="es-ES"/>
            </w:rPr>
            <w:fldChar w:fldCharType="end"/>
          </w:r>
        </w:sdtContent>
      </w:sdt>
      <w:r w:rsidRPr="00B450EB">
        <w:rPr>
          <w:rFonts w:cs="Arial"/>
          <w:lang w:val="es-ES"/>
        </w:rPr>
        <w:t xml:space="preserve"> se incorporó un análisis satelital a partir de los datos del Servicio de Monitoreo de la Atmósfera de </w:t>
      </w:r>
      <w:proofErr w:type="spellStart"/>
      <w:r w:rsidRPr="00B450EB">
        <w:rPr>
          <w:rFonts w:cs="Arial"/>
          <w:lang w:val="es-ES"/>
        </w:rPr>
        <w:t>Copernicus</w:t>
      </w:r>
      <w:proofErr w:type="spellEnd"/>
      <w:r w:rsidRPr="00B450EB">
        <w:rPr>
          <w:rFonts w:cs="Arial"/>
          <w:lang w:val="es-ES"/>
        </w:rPr>
        <w:t xml:space="preserve"> (CAMS) y de los puntos calientes detectados por MODIS (FIRMS), contrastados con la información proveniente de los SVCA del país. Los resultados mostraron que, para 2021, la zona amazónica registró bajas concentraciones de los contaminantes evaluados: material particulado (PM10 y PM2.5) y los gases CO, NO2 y SO2. Esto se explica porque la región carece de grandes corredores de transporte, centros urbanos de alta densidad o un sector industrial desarrollado. Los resultados de este análisis se presentan en las siguientes figuras.</w:t>
      </w:r>
    </w:p>
    <w:p w14:paraId="0D79102C" w14:textId="3C1BBC52" w:rsidR="004D474F" w:rsidRPr="00B450EB" w:rsidRDefault="004D474F" w:rsidP="004D474F">
      <w:pPr>
        <w:pStyle w:val="Descripcin"/>
        <w:keepNext/>
        <w:rPr>
          <w:rFonts w:cs="Arial"/>
          <w:color w:val="auto"/>
          <w:lang w:val="es-ES"/>
        </w:rPr>
      </w:pPr>
      <w:bookmarkStart w:id="37" w:name="_Toc209462712"/>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23</w:t>
      </w:r>
      <w:r w:rsidR="0045353A" w:rsidRPr="00B450EB">
        <w:rPr>
          <w:noProof/>
          <w:color w:val="auto"/>
        </w:rPr>
        <w:fldChar w:fldCharType="end"/>
      </w:r>
      <w:r w:rsidRPr="00B450EB">
        <w:rPr>
          <w:color w:val="auto"/>
        </w:rPr>
        <w:t xml:space="preserve">. </w:t>
      </w:r>
      <w:r w:rsidRPr="00B450EB">
        <w:rPr>
          <w:rFonts w:cs="Arial"/>
          <w:color w:val="auto"/>
          <w:lang w:val="es-ES"/>
        </w:rPr>
        <w:t>Mapas de la concentración de PM2.5, PM10, O3, NO2, NO y SO2 (datos recuperados de CAMS). El color corresponde al promedio anual de su concentración del año 2021</w:t>
      </w:r>
      <w:bookmarkEnd w:id="37"/>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EF1937" w:rsidRPr="00B450EB" w14:paraId="3498DE99" w14:textId="77777777" w:rsidTr="00024A81">
        <w:tc>
          <w:tcPr>
            <w:tcW w:w="8828" w:type="dxa"/>
          </w:tcPr>
          <w:p w14:paraId="786E2546" w14:textId="77777777" w:rsidR="004D474F" w:rsidRPr="00B450EB" w:rsidRDefault="004D474F" w:rsidP="00024A81">
            <w:pPr>
              <w:rPr>
                <w:rFonts w:cs="Arial"/>
              </w:rPr>
            </w:pPr>
            <w:r w:rsidRPr="00B450EB">
              <w:rPr>
                <w:rFonts w:cs="Arial"/>
              </w:rPr>
              <w:t xml:space="preserve">  </w:t>
            </w:r>
            <w:r w:rsidRPr="00B450EB">
              <w:rPr>
                <w:rFonts w:cs="Arial"/>
                <w:noProof/>
              </w:rPr>
              <w:t xml:space="preserve"> </w:t>
            </w:r>
            <w:r w:rsidRPr="00B450EB">
              <w:rPr>
                <w:rFonts w:cs="Arial"/>
                <w:noProof/>
              </w:rPr>
              <w:drawing>
                <wp:inline distT="0" distB="0" distL="0" distR="0" wp14:anchorId="3744EA34" wp14:editId="69D9969E">
                  <wp:extent cx="2615979" cy="1426978"/>
                  <wp:effectExtent l="0" t="0" r="0" b="1905"/>
                  <wp:docPr id="1511540958" name="Imagen 1"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40958" name="Imagen 1" descr="Imagen que contiene Diagrama&#10;&#10;El contenido generado por IA puede ser incorrecto."/>
                          <pic:cNvPicPr/>
                        </pic:nvPicPr>
                        <pic:blipFill>
                          <a:blip r:embed="rId52"/>
                          <a:stretch>
                            <a:fillRect/>
                          </a:stretch>
                        </pic:blipFill>
                        <pic:spPr>
                          <a:xfrm>
                            <a:off x="0" y="0"/>
                            <a:ext cx="2660508" cy="1451268"/>
                          </a:xfrm>
                          <a:prstGeom prst="rect">
                            <a:avLst/>
                          </a:prstGeom>
                        </pic:spPr>
                      </pic:pic>
                    </a:graphicData>
                  </a:graphic>
                </wp:inline>
              </w:drawing>
            </w:r>
            <w:r w:rsidRPr="00B450EB">
              <w:rPr>
                <w:rFonts w:cs="Arial"/>
                <w:noProof/>
              </w:rPr>
              <w:t xml:space="preserve">  </w:t>
            </w:r>
            <w:r w:rsidRPr="00B450EB">
              <w:rPr>
                <w:rFonts w:cs="Arial"/>
                <w:noProof/>
              </w:rPr>
              <w:drawing>
                <wp:inline distT="0" distB="0" distL="0" distR="0" wp14:anchorId="5B742169" wp14:editId="11329635">
                  <wp:extent cx="2517822" cy="1329849"/>
                  <wp:effectExtent l="0" t="0" r="0" b="3810"/>
                  <wp:docPr id="1850658551"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658551" name="Imagen 1" descr="Interfaz de usuario gráfica&#10;&#10;El contenido generado por IA puede ser incorrecto."/>
                          <pic:cNvPicPr/>
                        </pic:nvPicPr>
                        <pic:blipFill>
                          <a:blip r:embed="rId53"/>
                          <a:stretch>
                            <a:fillRect/>
                          </a:stretch>
                        </pic:blipFill>
                        <pic:spPr>
                          <a:xfrm>
                            <a:off x="0" y="0"/>
                            <a:ext cx="2556729" cy="1350398"/>
                          </a:xfrm>
                          <a:prstGeom prst="rect">
                            <a:avLst/>
                          </a:prstGeom>
                        </pic:spPr>
                      </pic:pic>
                    </a:graphicData>
                  </a:graphic>
                </wp:inline>
              </w:drawing>
            </w:r>
          </w:p>
        </w:tc>
      </w:tr>
      <w:tr w:rsidR="00EF1937" w:rsidRPr="00B450EB" w14:paraId="1019DF57" w14:textId="77777777" w:rsidTr="00024A81">
        <w:tc>
          <w:tcPr>
            <w:tcW w:w="8828" w:type="dxa"/>
          </w:tcPr>
          <w:p w14:paraId="67A06A46" w14:textId="77777777" w:rsidR="004D474F" w:rsidRPr="00B450EB" w:rsidRDefault="004D474F" w:rsidP="00024A81">
            <w:pPr>
              <w:jc w:val="center"/>
              <w:rPr>
                <w:rFonts w:cs="Arial"/>
              </w:rPr>
            </w:pPr>
            <w:r w:rsidRPr="00B450EB">
              <w:rPr>
                <w:rFonts w:cs="Arial"/>
                <w:noProof/>
              </w:rPr>
              <w:lastRenderedPageBreak/>
              <w:drawing>
                <wp:inline distT="0" distB="0" distL="0" distR="0" wp14:anchorId="5CB939A8" wp14:editId="48E5CA08">
                  <wp:extent cx="3411110" cy="1810922"/>
                  <wp:effectExtent l="0" t="0" r="0" b="0"/>
                  <wp:docPr id="926165493"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165493" name="Imagen 1" descr="Interfaz de usuario gráfica&#10;&#10;El contenido generado por IA puede ser incorrecto."/>
                          <pic:cNvPicPr/>
                        </pic:nvPicPr>
                        <pic:blipFill>
                          <a:blip r:embed="rId54"/>
                          <a:stretch>
                            <a:fillRect/>
                          </a:stretch>
                        </pic:blipFill>
                        <pic:spPr>
                          <a:xfrm>
                            <a:off x="0" y="0"/>
                            <a:ext cx="3443279" cy="1828000"/>
                          </a:xfrm>
                          <a:prstGeom prst="rect">
                            <a:avLst/>
                          </a:prstGeom>
                        </pic:spPr>
                      </pic:pic>
                    </a:graphicData>
                  </a:graphic>
                </wp:inline>
              </w:drawing>
            </w:r>
          </w:p>
        </w:tc>
      </w:tr>
    </w:tbl>
    <w:p w14:paraId="4B99D343" w14:textId="77777777" w:rsidR="004D474F" w:rsidRPr="00B450EB" w:rsidRDefault="004D474F" w:rsidP="004D474F">
      <w:pPr>
        <w:jc w:val="center"/>
        <w:rPr>
          <w:rFonts w:cs="Arial"/>
          <w:sz w:val="18"/>
          <w:szCs w:val="18"/>
        </w:rPr>
      </w:pPr>
      <w:r w:rsidRPr="00B450EB">
        <w:rPr>
          <w:rFonts w:cs="Arial"/>
          <w:sz w:val="18"/>
          <w:szCs w:val="18"/>
          <w:lang w:val="es-ES"/>
        </w:rPr>
        <w:t>Fuente: IDEAM, 2022.</w:t>
      </w:r>
    </w:p>
    <w:p w14:paraId="674A9631" w14:textId="77777777" w:rsidR="004D474F" w:rsidRPr="00B450EB" w:rsidRDefault="004D474F" w:rsidP="004D474F">
      <w:pPr>
        <w:rPr>
          <w:rFonts w:cs="Arial"/>
          <w:lang w:val="es-ES"/>
        </w:rPr>
      </w:pPr>
      <w:r w:rsidRPr="00B450EB">
        <w:rPr>
          <w:rFonts w:cs="Arial"/>
          <w:lang w:val="es-ES"/>
        </w:rPr>
        <w:t>Por otra parte, la ANLA a través del Grupo de Regionalización y del Centro de Monitoreo de la Subdirección de Instrumentos, Permisos y Trámites Ambientales (SIPTA), desarrolla análisis regionales en las zonas donde realiza seguimiento a Proyectos, Obras y Actividades (POA).</w:t>
      </w:r>
    </w:p>
    <w:p w14:paraId="3370C25F" w14:textId="77777777" w:rsidR="004D474F" w:rsidRPr="00B450EB" w:rsidRDefault="004D474F" w:rsidP="004D474F">
      <w:pPr>
        <w:rPr>
          <w:rFonts w:cs="Arial"/>
          <w:lang w:val="es-ES"/>
        </w:rPr>
      </w:pPr>
      <w:r w:rsidRPr="00B450EB">
        <w:rPr>
          <w:rFonts w:cs="Arial"/>
          <w:lang w:val="es-ES"/>
        </w:rPr>
        <w:t>A partir de esta información se identificaron dos Reportes de Análisis Regional: uno correspondiente al Putumayo, actualizado en 2023, y otro del Caquetá, emitido en 2017. La revisión de estos documentos, junto con los POA en seguimiento por la ANLA, evidencia que en el bioma amazónico los reportes están asociados únicamente a proyectos del sector de hidrocarburos, como se muestra en la siguiente figura.</w:t>
      </w:r>
    </w:p>
    <w:p w14:paraId="07DD97EC" w14:textId="674F5A07" w:rsidR="004D474F" w:rsidRPr="00B450EB" w:rsidRDefault="004D474F" w:rsidP="004D474F">
      <w:pPr>
        <w:pStyle w:val="Descripcin"/>
        <w:rPr>
          <w:rFonts w:cs="Arial"/>
          <w:color w:val="auto"/>
          <w:lang w:val="es-ES"/>
        </w:rPr>
      </w:pPr>
      <w:bookmarkStart w:id="38" w:name="_Toc209462713"/>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24</w:t>
      </w:r>
      <w:r w:rsidR="0045353A" w:rsidRPr="00B450EB">
        <w:rPr>
          <w:noProof/>
          <w:color w:val="auto"/>
        </w:rPr>
        <w:fldChar w:fldCharType="end"/>
      </w:r>
      <w:r w:rsidRPr="00B450EB">
        <w:rPr>
          <w:color w:val="auto"/>
        </w:rPr>
        <w:t>.</w:t>
      </w:r>
      <w:r w:rsidRPr="00B450EB">
        <w:rPr>
          <w:rFonts w:cs="Arial"/>
          <w:color w:val="auto"/>
          <w:lang w:val="es-ES"/>
        </w:rPr>
        <w:t xml:space="preserve"> Proyectos, Obras y Actividades (POA) de la ANLA en el bioma amazónico</w:t>
      </w:r>
      <w:bookmarkEnd w:id="38"/>
    </w:p>
    <w:p w14:paraId="5B19F14E" w14:textId="77777777" w:rsidR="004D474F" w:rsidRPr="00B450EB" w:rsidRDefault="004D474F" w:rsidP="004D474F">
      <w:pPr>
        <w:jc w:val="center"/>
        <w:rPr>
          <w:rFonts w:cs="Arial"/>
          <w:lang w:val="es-ES"/>
        </w:rPr>
      </w:pPr>
      <w:r w:rsidRPr="00B450EB">
        <w:rPr>
          <w:rFonts w:cs="Arial"/>
          <w:noProof/>
          <w:lang w:val="es-ES"/>
        </w:rPr>
        <w:drawing>
          <wp:inline distT="0" distB="0" distL="0" distR="0" wp14:anchorId="3284733E" wp14:editId="1E45DF4D">
            <wp:extent cx="2631882" cy="2985777"/>
            <wp:effectExtent l="0" t="0" r="0" b="5080"/>
            <wp:docPr id="1109736563"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36563" name="Imagen 1" descr="Mapa&#10;&#10;El contenido generado por IA puede ser incorrecto."/>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3759" b="8575"/>
                    <a:stretch>
                      <a:fillRect/>
                    </a:stretch>
                  </pic:blipFill>
                  <pic:spPr bwMode="auto">
                    <a:xfrm>
                      <a:off x="0" y="0"/>
                      <a:ext cx="2662113" cy="3020073"/>
                    </a:xfrm>
                    <a:prstGeom prst="rect">
                      <a:avLst/>
                    </a:prstGeom>
                    <a:noFill/>
                    <a:ln>
                      <a:noFill/>
                    </a:ln>
                    <a:extLst>
                      <a:ext uri="{53640926-AAD7-44D8-BBD7-CCE9431645EC}">
                        <a14:shadowObscured xmlns:a14="http://schemas.microsoft.com/office/drawing/2010/main"/>
                      </a:ext>
                    </a:extLst>
                  </pic:spPr>
                </pic:pic>
              </a:graphicData>
            </a:graphic>
          </wp:inline>
        </w:drawing>
      </w:r>
    </w:p>
    <w:p w14:paraId="0D4B1C80" w14:textId="77777777" w:rsidR="004D474F" w:rsidRPr="00B450EB" w:rsidRDefault="004D474F" w:rsidP="004D474F">
      <w:pPr>
        <w:jc w:val="center"/>
        <w:rPr>
          <w:rFonts w:cs="Arial"/>
          <w:sz w:val="18"/>
          <w:szCs w:val="18"/>
          <w:lang w:val="es-ES"/>
        </w:rPr>
      </w:pPr>
      <w:r w:rsidRPr="00B450EB">
        <w:rPr>
          <w:rFonts w:cs="Arial"/>
          <w:sz w:val="18"/>
          <w:szCs w:val="18"/>
          <w:lang w:val="es-ES"/>
        </w:rPr>
        <w:t xml:space="preserve">Fuente: Geo-procesador de la ANLA, septiembre de 2025. </w:t>
      </w:r>
    </w:p>
    <w:p w14:paraId="159101D7" w14:textId="39CA9512" w:rsidR="004D474F" w:rsidRPr="00B450EB" w:rsidRDefault="004D474F" w:rsidP="004D474F">
      <w:pPr>
        <w:rPr>
          <w:rFonts w:cs="Arial"/>
          <w:lang w:val="es-ES"/>
        </w:rPr>
      </w:pPr>
      <w:r w:rsidRPr="00B450EB">
        <w:rPr>
          <w:rFonts w:cs="Arial"/>
          <w:lang w:val="es-ES"/>
        </w:rPr>
        <w:lastRenderedPageBreak/>
        <w:t xml:space="preserve">En relación con el Reporte de Análisis Regional del Caquetá de la </w:t>
      </w:r>
      <w:sdt>
        <w:sdtPr>
          <w:rPr>
            <w:rFonts w:cs="Arial"/>
            <w:lang w:val="es-ES"/>
          </w:rPr>
          <w:id w:val="1450520518"/>
          <w:citation/>
        </w:sdtPr>
        <w:sdtContent>
          <w:r w:rsidRPr="00B450EB">
            <w:rPr>
              <w:rFonts w:cs="Arial"/>
              <w:lang w:val="es-ES"/>
            </w:rPr>
            <w:fldChar w:fldCharType="begin"/>
          </w:r>
          <w:r w:rsidRPr="00B450EB">
            <w:rPr>
              <w:rFonts w:cs="Arial"/>
              <w:lang w:val="es-ES"/>
            </w:rPr>
            <w:instrText xml:space="preserve"> CITATION ANL17 \l 3082 </w:instrText>
          </w:r>
          <w:r w:rsidRPr="00B450EB">
            <w:rPr>
              <w:rFonts w:cs="Arial"/>
              <w:lang w:val="es-ES"/>
            </w:rPr>
            <w:fldChar w:fldCharType="separate"/>
          </w:r>
          <w:r w:rsidR="0077091E" w:rsidRPr="00B450EB">
            <w:rPr>
              <w:rFonts w:cs="Arial"/>
              <w:noProof/>
              <w:lang w:val="es-ES"/>
            </w:rPr>
            <w:t>(ANLA, 2017)</w:t>
          </w:r>
          <w:r w:rsidRPr="00B450EB">
            <w:rPr>
              <w:rFonts w:cs="Arial"/>
              <w:lang w:val="es-ES"/>
            </w:rPr>
            <w:fldChar w:fldCharType="end"/>
          </w:r>
        </w:sdtContent>
      </w:sdt>
      <w:r w:rsidRPr="00B450EB">
        <w:rPr>
          <w:rFonts w:cs="Arial"/>
          <w:lang w:val="es-ES"/>
        </w:rPr>
        <w:t>, los estudios de calidad del aire recopilan campañas realizadas principalmente entre 2008 y 2015, en las que se evaluaron los contaminantes PST, PM10, NO2, SO2 y CO. El informe señala que el material particulado (PM10) es el principal parámetro de impacto, generado principalmente por el tránsito en vías sin pavimentar asociadas a actividades petroleras.</w:t>
      </w:r>
    </w:p>
    <w:p w14:paraId="77005671" w14:textId="77777777" w:rsidR="004D474F" w:rsidRPr="00B450EB" w:rsidRDefault="004D474F" w:rsidP="004D474F">
      <w:pPr>
        <w:rPr>
          <w:rFonts w:cs="Arial"/>
          <w:lang w:val="es-ES"/>
        </w:rPr>
      </w:pPr>
      <w:r w:rsidRPr="00B450EB">
        <w:rPr>
          <w:rFonts w:cs="Arial"/>
          <w:lang w:val="es-ES"/>
        </w:rPr>
        <w:t>Si bien la mayoría de las estaciones cumplieron con los límites establecidos en la Resolución 610 de 2010, se identificaron estaciones de tráfico que registraron concentraciones superiores al límite normativo de 100 (µg/m³) para 24 horas de exposición de PM10, en áreas cercanas a vías no pavimentadas. En cuanto a los gases contaminantes (NO2, SO2 y CO), estos reportaron concentraciones bajas, cumpliendo con los estándares normativos o, en algunos casos, registrándose por debajo del límite de detección de los métodos de análisis.</w:t>
      </w:r>
    </w:p>
    <w:p w14:paraId="630115E0" w14:textId="0AF71E5E" w:rsidR="004D474F" w:rsidRPr="00B450EB" w:rsidRDefault="004D474F" w:rsidP="004D474F">
      <w:pPr>
        <w:rPr>
          <w:rFonts w:cs="Arial"/>
          <w:lang w:val="es-ES"/>
        </w:rPr>
      </w:pPr>
      <w:r w:rsidRPr="00B450EB">
        <w:rPr>
          <w:rFonts w:cs="Arial"/>
          <w:lang w:val="es-ES"/>
        </w:rPr>
        <w:t xml:space="preserve">En relación con el Reporte de Análisis Regional del Putumayo </w:t>
      </w:r>
      <w:sdt>
        <w:sdtPr>
          <w:rPr>
            <w:rFonts w:cs="Arial"/>
            <w:lang w:val="es-ES"/>
          </w:rPr>
          <w:id w:val="516657479"/>
          <w:citation/>
        </w:sdtPr>
        <w:sdtContent>
          <w:r w:rsidRPr="00B450EB">
            <w:rPr>
              <w:rFonts w:cs="Arial"/>
              <w:lang w:val="es-ES"/>
            </w:rPr>
            <w:fldChar w:fldCharType="begin"/>
          </w:r>
          <w:r w:rsidRPr="00B450EB">
            <w:rPr>
              <w:rFonts w:cs="Arial"/>
              <w:lang w:val="es-ES"/>
            </w:rPr>
            <w:instrText xml:space="preserve"> CITATION ANL23 \l 3082 </w:instrText>
          </w:r>
          <w:r w:rsidRPr="00B450EB">
            <w:rPr>
              <w:rFonts w:cs="Arial"/>
              <w:lang w:val="es-ES"/>
            </w:rPr>
            <w:fldChar w:fldCharType="separate"/>
          </w:r>
          <w:r w:rsidR="0077091E" w:rsidRPr="00B450EB">
            <w:rPr>
              <w:rFonts w:cs="Arial"/>
              <w:noProof/>
              <w:lang w:val="es-ES"/>
            </w:rPr>
            <w:t>(ANLA, 2023)</w:t>
          </w:r>
          <w:r w:rsidRPr="00B450EB">
            <w:rPr>
              <w:rFonts w:cs="Arial"/>
              <w:lang w:val="es-ES"/>
            </w:rPr>
            <w:fldChar w:fldCharType="end"/>
          </w:r>
        </w:sdtContent>
      </w:sdt>
      <w:r w:rsidRPr="00B450EB">
        <w:rPr>
          <w:rFonts w:cs="Arial"/>
          <w:lang w:val="es-ES"/>
        </w:rPr>
        <w:t>, se concluye que la calidad del aire en el departamento es, en términos generales, buena para PM10, PM2.5 y NO2, dado que en la mayoría de los casos se cumplen los límites establecidos en la Resolución 2254 de 2017.</w:t>
      </w:r>
    </w:p>
    <w:p w14:paraId="3BB110B6" w14:textId="77777777" w:rsidR="004D474F" w:rsidRPr="00B450EB" w:rsidRDefault="004D474F" w:rsidP="004D474F">
      <w:pPr>
        <w:rPr>
          <w:rFonts w:cs="Arial"/>
          <w:lang w:val="es-ES"/>
        </w:rPr>
      </w:pPr>
      <w:r w:rsidRPr="00B450EB">
        <w:rPr>
          <w:rFonts w:cs="Arial"/>
          <w:lang w:val="es-ES"/>
        </w:rPr>
        <w:t>No obstante, se registraron picos de concentración de PM2.5 y NO2 que, de manera esporádica, superaron los valores normativos del nivel de exposición a 24 horas de 25 µg/m³ y 60 µg/m³, respectivamente. Estos episodios se identificaron principalmente en los municipios de Puerto Asís y Puerres, y se asociaron a factores como la movilidad en las vías, las actividades de proyectos de hidrocarburos y la proximidad a centros poblados.</w:t>
      </w:r>
    </w:p>
    <w:p w14:paraId="12DAE3E5" w14:textId="7B602276" w:rsidR="004D474F" w:rsidRPr="00B450EB" w:rsidRDefault="004D474F" w:rsidP="004D474F">
      <w:pPr>
        <w:pStyle w:val="Descripcin"/>
        <w:rPr>
          <w:rFonts w:cs="Arial"/>
          <w:color w:val="auto"/>
          <w:lang w:val="es-ES"/>
        </w:rPr>
      </w:pPr>
      <w:bookmarkStart w:id="39" w:name="_Toc209462714"/>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25</w:t>
      </w:r>
      <w:r w:rsidR="0045353A" w:rsidRPr="00B450EB">
        <w:rPr>
          <w:noProof/>
          <w:color w:val="auto"/>
        </w:rPr>
        <w:fldChar w:fldCharType="end"/>
      </w:r>
      <w:r w:rsidRPr="00B450EB">
        <w:rPr>
          <w:color w:val="auto"/>
        </w:rPr>
        <w:t xml:space="preserve">. </w:t>
      </w:r>
      <w:r w:rsidRPr="00B450EB">
        <w:rPr>
          <w:rFonts w:cs="Arial"/>
          <w:color w:val="auto"/>
        </w:rPr>
        <w:t>Condición regional atmosférica de PM2.5 y NO2, para el Putumayo.</w:t>
      </w:r>
      <w:bookmarkEnd w:id="39"/>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98"/>
        <w:gridCol w:w="3730"/>
      </w:tblGrid>
      <w:tr w:rsidR="00205915" w:rsidRPr="00B450EB" w14:paraId="6196564F" w14:textId="77777777" w:rsidTr="00024A81">
        <w:tc>
          <w:tcPr>
            <w:tcW w:w="5098" w:type="dxa"/>
          </w:tcPr>
          <w:p w14:paraId="7265907F" w14:textId="77777777" w:rsidR="004D474F" w:rsidRPr="00B450EB" w:rsidRDefault="004D474F" w:rsidP="00024A81">
            <w:pPr>
              <w:rPr>
                <w:rFonts w:cs="Arial"/>
                <w:noProof/>
                <w:lang w:val="es-ES"/>
              </w:rPr>
            </w:pPr>
          </w:p>
          <w:p w14:paraId="3D653CD7" w14:textId="77777777" w:rsidR="004D474F" w:rsidRPr="00B450EB" w:rsidRDefault="004D474F" w:rsidP="00024A81">
            <w:pPr>
              <w:rPr>
                <w:rFonts w:cs="Arial"/>
                <w:lang w:val="es-ES"/>
              </w:rPr>
            </w:pPr>
            <w:r w:rsidRPr="00B450EB">
              <w:rPr>
                <w:rFonts w:cs="Arial"/>
                <w:noProof/>
              </w:rPr>
              <w:drawing>
                <wp:inline distT="0" distB="0" distL="0" distR="0" wp14:anchorId="79945546" wp14:editId="4A98697F">
                  <wp:extent cx="3156214" cy="1049572"/>
                  <wp:effectExtent l="0" t="0" r="6350" b="0"/>
                  <wp:docPr id="9059156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91564" name="Imagen 1" descr="Tabla&#10;&#10;El contenido generado por IA puede ser incorrecto."/>
                          <pic:cNvPicPr/>
                        </pic:nvPicPr>
                        <pic:blipFill>
                          <a:blip r:embed="rId56"/>
                          <a:stretch>
                            <a:fillRect/>
                          </a:stretch>
                        </pic:blipFill>
                        <pic:spPr>
                          <a:xfrm>
                            <a:off x="0" y="0"/>
                            <a:ext cx="3229311" cy="1073880"/>
                          </a:xfrm>
                          <a:prstGeom prst="rect">
                            <a:avLst/>
                          </a:prstGeom>
                        </pic:spPr>
                      </pic:pic>
                    </a:graphicData>
                  </a:graphic>
                </wp:inline>
              </w:drawing>
            </w:r>
          </w:p>
        </w:tc>
        <w:tc>
          <w:tcPr>
            <w:tcW w:w="3730" w:type="dxa"/>
            <w:vMerge w:val="restart"/>
          </w:tcPr>
          <w:p w14:paraId="6FDBE2BD" w14:textId="77777777" w:rsidR="004D474F" w:rsidRPr="00B450EB" w:rsidRDefault="004D474F" w:rsidP="00024A81">
            <w:pPr>
              <w:rPr>
                <w:rFonts w:cs="Arial"/>
                <w:lang w:val="es-ES"/>
              </w:rPr>
            </w:pPr>
            <w:r w:rsidRPr="00B450EB">
              <w:rPr>
                <w:rFonts w:cs="Arial"/>
                <w:noProof/>
              </w:rPr>
              <w:drawing>
                <wp:inline distT="0" distB="0" distL="0" distR="0" wp14:anchorId="54140BC5" wp14:editId="20146E38">
                  <wp:extent cx="2297927" cy="2328509"/>
                  <wp:effectExtent l="0" t="0" r="7620" b="0"/>
                  <wp:docPr id="1631409467"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409467" name="Imagen 1" descr="Mapa&#10;&#10;El contenido generado por IA puede ser incorrecto."/>
                          <pic:cNvPicPr/>
                        </pic:nvPicPr>
                        <pic:blipFill>
                          <a:blip r:embed="rId57"/>
                          <a:stretch>
                            <a:fillRect/>
                          </a:stretch>
                        </pic:blipFill>
                        <pic:spPr>
                          <a:xfrm>
                            <a:off x="0" y="0"/>
                            <a:ext cx="2327447" cy="2358422"/>
                          </a:xfrm>
                          <a:prstGeom prst="rect">
                            <a:avLst/>
                          </a:prstGeom>
                        </pic:spPr>
                      </pic:pic>
                    </a:graphicData>
                  </a:graphic>
                </wp:inline>
              </w:drawing>
            </w:r>
          </w:p>
        </w:tc>
      </w:tr>
      <w:tr w:rsidR="00205915" w:rsidRPr="00B450EB" w14:paraId="4F8B8076" w14:textId="77777777" w:rsidTr="00024A81">
        <w:tc>
          <w:tcPr>
            <w:tcW w:w="5098" w:type="dxa"/>
          </w:tcPr>
          <w:p w14:paraId="5F79F308" w14:textId="77777777" w:rsidR="004D474F" w:rsidRPr="00B450EB" w:rsidRDefault="004D474F" w:rsidP="00024A81">
            <w:pPr>
              <w:rPr>
                <w:rFonts w:cs="Arial"/>
                <w:lang w:val="es-ES"/>
              </w:rPr>
            </w:pPr>
          </w:p>
          <w:p w14:paraId="646D6E0B" w14:textId="77777777" w:rsidR="004D474F" w:rsidRPr="00B450EB" w:rsidRDefault="004D474F" w:rsidP="00024A81">
            <w:pPr>
              <w:rPr>
                <w:rFonts w:cs="Arial"/>
                <w:lang w:val="es-ES"/>
              </w:rPr>
            </w:pPr>
            <w:r w:rsidRPr="00B450EB">
              <w:rPr>
                <w:rFonts w:cs="Arial"/>
                <w:noProof/>
              </w:rPr>
              <w:drawing>
                <wp:inline distT="0" distB="0" distL="0" distR="0" wp14:anchorId="4AD5122A" wp14:editId="6B26BB75">
                  <wp:extent cx="3155950" cy="1045950"/>
                  <wp:effectExtent l="0" t="0" r="6350" b="1905"/>
                  <wp:docPr id="1283234239"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234239" name="Imagen 1" descr="Tabla&#10;&#10;El contenido generado por IA puede ser incorrecto."/>
                          <pic:cNvPicPr/>
                        </pic:nvPicPr>
                        <pic:blipFill>
                          <a:blip r:embed="rId58"/>
                          <a:stretch>
                            <a:fillRect/>
                          </a:stretch>
                        </pic:blipFill>
                        <pic:spPr>
                          <a:xfrm>
                            <a:off x="0" y="0"/>
                            <a:ext cx="3164303" cy="1048718"/>
                          </a:xfrm>
                          <a:prstGeom prst="rect">
                            <a:avLst/>
                          </a:prstGeom>
                        </pic:spPr>
                      </pic:pic>
                    </a:graphicData>
                  </a:graphic>
                </wp:inline>
              </w:drawing>
            </w:r>
          </w:p>
        </w:tc>
        <w:tc>
          <w:tcPr>
            <w:tcW w:w="3730" w:type="dxa"/>
            <w:vMerge/>
          </w:tcPr>
          <w:p w14:paraId="55238AAA" w14:textId="77777777" w:rsidR="004D474F" w:rsidRPr="00B450EB" w:rsidRDefault="004D474F" w:rsidP="00024A81">
            <w:pPr>
              <w:rPr>
                <w:rFonts w:cs="Arial"/>
                <w:lang w:val="es-ES"/>
              </w:rPr>
            </w:pPr>
          </w:p>
        </w:tc>
      </w:tr>
    </w:tbl>
    <w:p w14:paraId="35CC0D81" w14:textId="77777777" w:rsidR="004D474F" w:rsidRPr="00B450EB" w:rsidRDefault="004D474F" w:rsidP="004D474F">
      <w:pPr>
        <w:jc w:val="center"/>
        <w:rPr>
          <w:rFonts w:cs="Arial"/>
          <w:sz w:val="18"/>
          <w:szCs w:val="18"/>
          <w:lang w:val="es-ES"/>
        </w:rPr>
      </w:pPr>
      <w:r w:rsidRPr="00B450EB">
        <w:rPr>
          <w:rFonts w:cs="Arial"/>
          <w:sz w:val="18"/>
          <w:szCs w:val="18"/>
          <w:lang w:val="es-ES"/>
        </w:rPr>
        <w:t>Fuente: ANLA, 2023.</w:t>
      </w:r>
    </w:p>
    <w:p w14:paraId="702ED125" w14:textId="77777777" w:rsidR="004D474F" w:rsidRPr="00B450EB" w:rsidRDefault="004D474F" w:rsidP="004D474F">
      <w:pPr>
        <w:rPr>
          <w:rFonts w:cs="Arial"/>
        </w:rPr>
      </w:pPr>
      <w:r w:rsidRPr="00B450EB">
        <w:rPr>
          <w:rFonts w:cs="Arial"/>
          <w:lang w:val="es-ES"/>
        </w:rPr>
        <w:lastRenderedPageBreak/>
        <w:t>En conclusión, los estudios realizados en los departamentos de Putumayo y Caquetá reflejan un buen estado general de la calidad del aire en la región amazónica. Sin embargo, se recomienda prestar especial atención a los niveles de material particulado (PM10 y PM2.5) y adoptar medidas de gestión y control, tales como el riego de vías y la regulación de velocidades vehiculares, con el fin de mitigar los impactos de este contaminante.</w:t>
      </w:r>
    </w:p>
    <w:p w14:paraId="4F1A7CFD" w14:textId="77777777" w:rsidR="004D474F" w:rsidRPr="00B450EB" w:rsidRDefault="004D474F" w:rsidP="004D474F">
      <w:pPr>
        <w:rPr>
          <w:rFonts w:cs="Arial"/>
        </w:rPr>
      </w:pPr>
    </w:p>
    <w:p w14:paraId="4639DC30" w14:textId="77777777" w:rsidR="004D474F" w:rsidRPr="00B450EB" w:rsidRDefault="004D474F" w:rsidP="004D474F">
      <w:pPr>
        <w:pStyle w:val="Ttulo3"/>
        <w:numPr>
          <w:ilvl w:val="2"/>
          <w:numId w:val="16"/>
        </w:numPr>
        <w:tabs>
          <w:tab w:val="left" w:pos="1677"/>
        </w:tabs>
        <w:ind w:left="1244"/>
        <w:rPr>
          <w:rFonts w:cs="Arial"/>
          <w:szCs w:val="24"/>
        </w:rPr>
      </w:pPr>
      <w:bookmarkStart w:id="40" w:name="_Toc209722917"/>
      <w:r w:rsidRPr="00B450EB">
        <w:rPr>
          <w:rFonts w:cs="Arial"/>
          <w:szCs w:val="24"/>
        </w:rPr>
        <w:t>Hidrología y calidad del agua</w:t>
      </w:r>
      <w:bookmarkEnd w:id="40"/>
    </w:p>
    <w:p w14:paraId="34C0F4F4" w14:textId="77777777" w:rsidR="004D474F" w:rsidRPr="00B450EB" w:rsidRDefault="004D474F" w:rsidP="004D474F">
      <w:pPr>
        <w:pStyle w:val="Ttulo4"/>
        <w:rPr>
          <w:color w:val="auto"/>
        </w:rPr>
      </w:pPr>
      <w:r w:rsidRPr="00B450EB">
        <w:rPr>
          <w:color w:val="auto"/>
        </w:rPr>
        <w:t xml:space="preserve">Hidrología </w:t>
      </w:r>
    </w:p>
    <w:p w14:paraId="69821479" w14:textId="77777777" w:rsidR="004D474F" w:rsidRPr="00B450EB" w:rsidRDefault="004D474F" w:rsidP="004D474F">
      <w:r w:rsidRPr="00B450EB">
        <w:t>En Colombia, la zonificación hidrográfica nacional</w:t>
      </w:r>
      <w:r w:rsidRPr="00B450EB">
        <w:rPr>
          <w:rStyle w:val="Refdenotaalpie"/>
        </w:rPr>
        <w:footnoteReference w:id="6"/>
      </w:r>
      <w:r w:rsidRPr="00B450EB">
        <w:t xml:space="preserve"> establecida por el Instituto de Hidrología, Meteorología y Estudios Ambientales (IDEAM) localiza en el Bioma Amazónico las subzonas del área hidrográfica Amazonas, fluyendo en sentido </w:t>
      </w:r>
      <w:proofErr w:type="gramStart"/>
      <w:r w:rsidRPr="00B450EB">
        <w:t>sur-oriental</w:t>
      </w:r>
      <w:proofErr w:type="gramEnd"/>
      <w:r w:rsidRPr="00B450EB">
        <w:t xml:space="preserve">; el área hidrográfica Amazonas representa el 70% del Bioma. De esta área hidrográfica se destacan aquellas cuencas de los afluentes más grandes al cauce del río Amazonas, denominadas zonas hidrográficas, como son río Putumayo, río </w:t>
      </w:r>
      <w:proofErr w:type="spellStart"/>
      <w:r w:rsidRPr="00B450EB">
        <w:t>Cahuianarí</w:t>
      </w:r>
      <w:proofErr w:type="spellEnd"/>
      <w:r w:rsidRPr="00B450EB">
        <w:t xml:space="preserve">, río </w:t>
      </w:r>
      <w:proofErr w:type="spellStart"/>
      <w:r w:rsidRPr="00B450EB">
        <w:t>Cagüán</w:t>
      </w:r>
      <w:proofErr w:type="spellEnd"/>
      <w:r w:rsidRPr="00B450EB">
        <w:t xml:space="preserve">, río </w:t>
      </w:r>
      <w:proofErr w:type="spellStart"/>
      <w:r w:rsidRPr="00B450EB">
        <w:t>Yarí</w:t>
      </w:r>
      <w:proofErr w:type="spellEnd"/>
      <w:r w:rsidRPr="00B450EB">
        <w:t>, río Apaporis y río Vaupés.</w:t>
      </w:r>
    </w:p>
    <w:p w14:paraId="3E584C03" w14:textId="77777777" w:rsidR="004D474F" w:rsidRPr="00B450EB" w:rsidRDefault="004D474F" w:rsidP="004D474F">
      <w:r w:rsidRPr="00B450EB">
        <w:t xml:space="preserve">En el 30% del Bioma Amazónico, las cuencas fluyen en sentido oriental, </w:t>
      </w:r>
      <w:r w:rsidRPr="00B450EB">
        <w:tab/>
        <w:t>hacía el área hidrográfica Orinoco.  Las corrientes hídricas más caudalosas y que constituyen zonas hidrográficas en esta área son el río Inírida, el río Guainía, gran parte las subzonas hidrográficas del río Guaviare y una pequeña fracción de las subzonas hidrográficas del río Vichada (Directos al Vichada Medio y el Bajo Vichada).  Es importante mencionar que el cauce principal del río Amazonas fluye por territorio colombiano a la altura del municipio de Leticia.</w:t>
      </w:r>
    </w:p>
    <w:p w14:paraId="5C68D1B3" w14:textId="2C8B587D" w:rsidR="004D474F" w:rsidRPr="00B450EB" w:rsidRDefault="00000000" w:rsidP="004D474F">
      <w:sdt>
        <w:sdtPr>
          <w:id w:val="-1794283198"/>
          <w:citation/>
        </w:sdtPr>
        <w:sdtContent>
          <w:r w:rsidR="004D474F" w:rsidRPr="00B450EB">
            <w:fldChar w:fldCharType="begin"/>
          </w:r>
          <w:r w:rsidR="004D474F" w:rsidRPr="00B450EB">
            <w:rPr>
              <w:lang w:val="es-ES"/>
            </w:rPr>
            <w:instrText xml:space="preserve"> CITATION SIN13 \l 3082 </w:instrText>
          </w:r>
          <w:r w:rsidR="004D474F" w:rsidRPr="00B450EB">
            <w:fldChar w:fldCharType="separate"/>
          </w:r>
          <w:r w:rsidR="0077091E" w:rsidRPr="00B450EB">
            <w:rPr>
              <w:noProof/>
              <w:lang w:val="es-ES"/>
            </w:rPr>
            <w:t>(SINCHI, 2013)</w:t>
          </w:r>
          <w:r w:rsidR="004D474F" w:rsidRPr="00B450EB">
            <w:fldChar w:fldCharType="end"/>
          </w:r>
        </w:sdtContent>
      </w:sdt>
      <w:r w:rsidR="004D474F" w:rsidRPr="00B450EB">
        <w:t xml:space="preserve"> manifiesta la gran importancia de la región amazónica para el ciclo hidrológico de la región y de Colombia:</w:t>
      </w:r>
    </w:p>
    <w:p w14:paraId="3C41AC39" w14:textId="77777777" w:rsidR="004D474F" w:rsidRPr="00B450EB" w:rsidRDefault="004D474F" w:rsidP="004D474F">
      <w:pPr>
        <w:ind w:left="708"/>
        <w:rPr>
          <w:i/>
          <w:iCs/>
        </w:rPr>
      </w:pPr>
      <w:r w:rsidRPr="00B450EB">
        <w:t>“</w:t>
      </w:r>
      <w:r w:rsidRPr="00B450EB">
        <w:rPr>
          <w:i/>
          <w:iCs/>
        </w:rPr>
        <w:t xml:space="preserve">El gran programa de investigación científica HYBAM (Hidrogeología en la Cuenca Amazónica por sus siglas en francés) ha establecido que </w:t>
      </w:r>
      <w:r w:rsidRPr="00B450EB">
        <w:rPr>
          <w:b/>
          <w:bCs/>
          <w:i/>
          <w:iCs/>
        </w:rPr>
        <w:t>hasta un 70% de la lluvia producida en la Amazonia Central Brasileña es resultado de procesos de convección</w:t>
      </w:r>
      <w:r w:rsidRPr="00B450EB">
        <w:rPr>
          <w:i/>
          <w:iCs/>
        </w:rPr>
        <w:t xml:space="preserve">, es decir, que </w:t>
      </w:r>
      <w:r w:rsidRPr="00B450EB">
        <w:rPr>
          <w:b/>
          <w:bCs/>
          <w:i/>
          <w:iCs/>
        </w:rPr>
        <w:t xml:space="preserve">la lluvia es resultado de la evapotranspiración de la propia selva que se condensa y precipita </w:t>
      </w:r>
      <w:r w:rsidRPr="00B450EB">
        <w:rPr>
          <w:b/>
          <w:bCs/>
          <w:i/>
          <w:iCs/>
        </w:rPr>
        <w:lastRenderedPageBreak/>
        <w:t>en celdas continuas de no más de un kilómetro de distancia</w:t>
      </w:r>
      <w:r w:rsidRPr="00B450EB">
        <w:rPr>
          <w:i/>
          <w:iCs/>
        </w:rPr>
        <w:t xml:space="preserve">. Lo que implica que hay una estrecha relación entre el bosque amazónico, la oferta de agua y la estructura ecosistémica en toda la Amazonía. Según lo expuesto por </w:t>
      </w:r>
      <w:proofErr w:type="spellStart"/>
      <w:r w:rsidRPr="00B450EB">
        <w:rPr>
          <w:i/>
          <w:iCs/>
        </w:rPr>
        <w:t>Garcia</w:t>
      </w:r>
      <w:proofErr w:type="spellEnd"/>
      <w:r w:rsidRPr="00B450EB">
        <w:rPr>
          <w:i/>
          <w:iCs/>
        </w:rPr>
        <w:t xml:space="preserve"> (2007), en la Amazonía colombiana </w:t>
      </w:r>
      <w:r w:rsidRPr="00B450EB">
        <w:rPr>
          <w:b/>
          <w:bCs/>
          <w:i/>
          <w:iCs/>
        </w:rPr>
        <w:t>el 50% del agua precipitada proviene del océano Atlántico arrastrada por los vientos Alisios, el otro 50% se genera por la evaporación del agua que está en la copa de los árboles y de la evapotranspiración del agua que está en todo el sistema</w:t>
      </w:r>
      <w:r w:rsidRPr="00B450EB">
        <w:rPr>
          <w:i/>
          <w:iCs/>
        </w:rPr>
        <w:t>. En cuanto a la distribución del agua lluvia en la región el 25% se deposita en las hojas de los árboles, el 50% cae al suelo y es absorbido por éste y el restante 25% sale a través de las corrientes de agua que se dirigen al mar.</w:t>
      </w:r>
    </w:p>
    <w:p w14:paraId="3E78EBA3" w14:textId="77777777" w:rsidR="00976A86" w:rsidRPr="00B450EB" w:rsidRDefault="004D474F" w:rsidP="004D474F">
      <w:pPr>
        <w:ind w:left="708"/>
      </w:pPr>
      <w:r w:rsidRPr="00B450EB">
        <w:rPr>
          <w:i/>
          <w:iCs/>
        </w:rPr>
        <w:t xml:space="preserve">La Amazonia colombiana está ubicada entre 4° norte en Guainía hasta los 4° 13'' Sur en Leticia, dentro de la zona ecuatorial, así que uno de los principales factores que modifican ríos, arroyos y lagos en la cuenca es el régimen de las lluvias, las cuales son influenciadas por la Zona de Convergencia Intertropical – ZCIT. La ZCIT es una franja de baja presión que se mueve por la región norte de Suramérica producto de los vientos alisios del norte y del sur. La posición más meridional de la ZCIT ocurre diciembre, enero y febrero, mientras que la posición septentrional sucede durante el primer semestre del año, entre abril – junio (Domínguez 1983). </w:t>
      </w:r>
      <w:r w:rsidRPr="00B450EB">
        <w:rPr>
          <w:b/>
          <w:bCs/>
          <w:i/>
          <w:iCs/>
        </w:rPr>
        <w:t>Cuando la ZCIT no está presente las lluvias disminuyen, pero como la mayor parte de la cuenca amazónica se encuentra en la zona ecuatorial, no existen períodos de verdadera sequía</w:t>
      </w:r>
      <w:r w:rsidRPr="00B450EB">
        <w:rPr>
          <w:i/>
          <w:iCs/>
        </w:rPr>
        <w:t xml:space="preserve"> (Figura 2). Es decir, en un mes de bajas lluvias la precipitación se presenta por lo general en casi la mitad de los días del mes. Otro factor que influencia las lluvias es la orografía, por lo que suceden mayores precipitaciones en sectores cercanos a la cordillera Andina y por tanto los lugares más húmedos de la Amazonia colombiana se encuentran en el piedemonte (Domínguez 1983).” </w:t>
      </w:r>
      <w:r w:rsidRPr="00B450EB">
        <w:t xml:space="preserve">Cursiva y negrita fuera de texto original. </w:t>
      </w:r>
    </w:p>
    <w:p w14:paraId="7C16C0C8" w14:textId="77777777" w:rsidR="00976A86" w:rsidRPr="00B450EB" w:rsidRDefault="00976A86">
      <w:pPr>
        <w:jc w:val="left"/>
      </w:pPr>
      <w:r w:rsidRPr="00B450EB">
        <w:br w:type="page"/>
      </w:r>
    </w:p>
    <w:p w14:paraId="3FF49964" w14:textId="3C048C53" w:rsidR="004D474F" w:rsidRPr="00B450EB" w:rsidRDefault="004D474F" w:rsidP="004D474F">
      <w:pPr>
        <w:pStyle w:val="Descripcin"/>
        <w:rPr>
          <w:color w:val="auto"/>
        </w:rPr>
      </w:pPr>
      <w:bookmarkStart w:id="41" w:name="_Toc209462715"/>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26</w:t>
      </w:r>
      <w:r w:rsidR="0045353A" w:rsidRPr="00B450EB">
        <w:rPr>
          <w:noProof/>
          <w:color w:val="auto"/>
        </w:rPr>
        <w:fldChar w:fldCharType="end"/>
      </w:r>
      <w:r w:rsidRPr="00B450EB">
        <w:rPr>
          <w:color w:val="auto"/>
        </w:rPr>
        <w:t>. Zonificación hidrográfica de la Amazonia.</w:t>
      </w:r>
      <w:bookmarkEnd w:id="41"/>
      <w:r w:rsidRPr="00B450EB">
        <w:rPr>
          <w:color w:val="auto"/>
        </w:rPr>
        <w:t xml:space="preserve"> </w:t>
      </w:r>
    </w:p>
    <w:p w14:paraId="25AD6E9E" w14:textId="5A34B076" w:rsidR="004D474F" w:rsidRPr="00B450EB" w:rsidRDefault="00B10E85" w:rsidP="00B10E85">
      <w:pPr>
        <w:spacing w:after="0"/>
        <w:jc w:val="center"/>
      </w:pPr>
      <w:r w:rsidRPr="00B450EB">
        <w:rPr>
          <w:noProof/>
        </w:rPr>
        <w:drawing>
          <wp:inline distT="0" distB="0" distL="0" distR="0" wp14:anchorId="1C3423B7" wp14:editId="34AD68E7">
            <wp:extent cx="5280909" cy="3888000"/>
            <wp:effectExtent l="0" t="0" r="0" b="0"/>
            <wp:docPr id="5416405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280909" cy="3888000"/>
                    </a:xfrm>
                    <a:prstGeom prst="rect">
                      <a:avLst/>
                    </a:prstGeom>
                    <a:noFill/>
                  </pic:spPr>
                </pic:pic>
              </a:graphicData>
            </a:graphic>
          </wp:inline>
        </w:drawing>
      </w:r>
    </w:p>
    <w:p w14:paraId="45F64C1B" w14:textId="7AC3C5E4" w:rsidR="00B10E85" w:rsidRPr="00B450EB" w:rsidRDefault="00B10E85" w:rsidP="00B10E85">
      <w:pPr>
        <w:spacing w:after="0"/>
        <w:jc w:val="center"/>
      </w:pPr>
      <w:r w:rsidRPr="00B450EB">
        <w:rPr>
          <w:noProof/>
        </w:rPr>
        <w:drawing>
          <wp:inline distT="0" distB="0" distL="0" distR="0" wp14:anchorId="438BBFC7" wp14:editId="48B24A2D">
            <wp:extent cx="5248275" cy="3697783"/>
            <wp:effectExtent l="0" t="0" r="0" b="0"/>
            <wp:docPr id="18825546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554654" name=""/>
                    <pic:cNvPicPr/>
                  </pic:nvPicPr>
                  <pic:blipFill>
                    <a:blip r:embed="rId60"/>
                    <a:stretch>
                      <a:fillRect/>
                    </a:stretch>
                  </pic:blipFill>
                  <pic:spPr>
                    <a:xfrm>
                      <a:off x="0" y="0"/>
                      <a:ext cx="5248275" cy="3697783"/>
                    </a:xfrm>
                    <a:prstGeom prst="rect">
                      <a:avLst/>
                    </a:prstGeom>
                    <a:ln>
                      <a:noFill/>
                    </a:ln>
                  </pic:spPr>
                </pic:pic>
              </a:graphicData>
            </a:graphic>
          </wp:inline>
        </w:drawing>
      </w:r>
    </w:p>
    <w:p w14:paraId="11A5C5EA" w14:textId="77777777" w:rsidR="004D474F" w:rsidRPr="00B450EB" w:rsidRDefault="004D474F" w:rsidP="00B10E85">
      <w:pPr>
        <w:spacing w:after="0"/>
        <w:jc w:val="center"/>
        <w:rPr>
          <w:sz w:val="18"/>
          <w:szCs w:val="18"/>
        </w:rPr>
      </w:pPr>
      <w:r w:rsidRPr="00B450EB">
        <w:rPr>
          <w:rFonts w:cs="Arial"/>
          <w:noProof/>
          <w:sz w:val="18"/>
          <w:szCs w:val="18"/>
        </w:rPr>
        <w:t>Fuente:Elaboración a partir de IDEAM, 2013.</w:t>
      </w:r>
    </w:p>
    <w:p w14:paraId="6B96865D" w14:textId="46F2DF78" w:rsidR="00532380" w:rsidRPr="00B450EB" w:rsidRDefault="004D474F" w:rsidP="004D474F">
      <w:r w:rsidRPr="00B450EB">
        <w:lastRenderedPageBreak/>
        <w:t xml:space="preserve">A nivel nacional el IDEAM, a través del Estudio Nacional del Agua </w:t>
      </w:r>
      <w:sdt>
        <w:sdtPr>
          <w:id w:val="-1892031689"/>
          <w:citation/>
        </w:sdtPr>
        <w:sdtContent>
          <w:r w:rsidRPr="00B450EB">
            <w:fldChar w:fldCharType="begin"/>
          </w:r>
          <w:r w:rsidRPr="00B450EB">
            <w:rPr>
              <w:lang w:val="es-ES"/>
            </w:rPr>
            <w:instrText xml:space="preserve"> CITATION IDE22 \l 3082 </w:instrText>
          </w:r>
          <w:r w:rsidRPr="00B450EB">
            <w:fldChar w:fldCharType="separate"/>
          </w:r>
          <w:r w:rsidR="0077091E" w:rsidRPr="00B450EB">
            <w:rPr>
              <w:noProof/>
              <w:lang w:val="es-ES"/>
            </w:rPr>
            <w:t>(IDEAM, Estudio Nacional del Agua, 2023)</w:t>
          </w:r>
          <w:r w:rsidRPr="00B450EB">
            <w:fldChar w:fldCharType="end"/>
          </w:r>
        </w:sdtContent>
      </w:sdt>
      <w:r w:rsidRPr="00B450EB">
        <w:t xml:space="preserve">, en adelante ENA, ha caracterizado desde 1998, las cuencas hidrográficas del territorio colombiano, su estado, dinámica y presiones por uso del recurso.  Es importante señalar que la información que suministra el Estudio Nacional del Agua está estrechamente vinculada a la disponibilidad de estaciones climatológicas e hidrológicas de la Red Básica Nacional. </w:t>
      </w:r>
      <w:r w:rsidR="00181416" w:rsidRPr="00B450EB">
        <w:t xml:space="preserve">La Red Básica Nacional se concentra principalmente en las áreas hidrográficas Magdalena – Cauca y Caribe, por lo cual, el conocimiento </w:t>
      </w:r>
      <w:r w:rsidR="00B573B6" w:rsidRPr="00B450EB">
        <w:t>de hidrología y calidad hídrica</w:t>
      </w:r>
      <w:r w:rsidR="00181416" w:rsidRPr="00B450EB">
        <w:t xml:space="preserve"> del Bioma Amazónico Colombiano podría </w:t>
      </w:r>
      <w:r w:rsidR="00B573B6" w:rsidRPr="00B450EB">
        <w:t>requerir</w:t>
      </w:r>
      <w:r w:rsidR="00181416" w:rsidRPr="00B450EB">
        <w:t>, en principio, aumentar la instrumentalización de estaciones hidrometereológicas de la Red Básica Nacional hacia las áreas hidrográficas Amazonas y Orinoco</w:t>
      </w:r>
      <w:r w:rsidR="00181416" w:rsidRPr="00B450EB">
        <w:rPr>
          <w:rStyle w:val="Refdenotaalpie"/>
        </w:rPr>
        <w:footnoteReference w:id="7"/>
      </w:r>
      <w:r w:rsidR="00181416" w:rsidRPr="00B450EB">
        <w:t xml:space="preserve"> </w:t>
      </w:r>
      <w:r w:rsidR="00B573B6" w:rsidRPr="00B450EB">
        <w:t xml:space="preserve">, con el propósito de mejorar la </w:t>
      </w:r>
      <w:r w:rsidR="00E56FB6" w:rsidRPr="00B450EB">
        <w:t>cobertura de monitoreo.</w:t>
      </w:r>
    </w:p>
    <w:p w14:paraId="4A97AE50" w14:textId="0F2FA99E" w:rsidR="004D474F" w:rsidRPr="00B450EB" w:rsidRDefault="004D474F" w:rsidP="004D474F">
      <w:pPr>
        <w:pStyle w:val="Descripcin"/>
        <w:keepNext/>
        <w:rPr>
          <w:color w:val="auto"/>
        </w:rPr>
      </w:pPr>
      <w:bookmarkStart w:id="42" w:name="_Toc209462716"/>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27</w:t>
      </w:r>
      <w:r w:rsidR="0045353A" w:rsidRPr="00B450EB">
        <w:rPr>
          <w:noProof/>
          <w:color w:val="auto"/>
        </w:rPr>
        <w:fldChar w:fldCharType="end"/>
      </w:r>
      <w:r w:rsidRPr="00B450EB">
        <w:rPr>
          <w:color w:val="auto"/>
        </w:rPr>
        <w:t>. Red de estaciones IDEAM</w:t>
      </w:r>
      <w:bookmarkEnd w:id="42"/>
    </w:p>
    <w:p w14:paraId="38071ECF" w14:textId="77777777" w:rsidR="004D474F" w:rsidRPr="00B450EB" w:rsidRDefault="004D474F" w:rsidP="00EC5985">
      <w:pPr>
        <w:spacing w:after="0"/>
        <w:jc w:val="center"/>
      </w:pPr>
      <w:r w:rsidRPr="00B450EB">
        <w:rPr>
          <w:noProof/>
        </w:rPr>
        <w:drawing>
          <wp:inline distT="0" distB="0" distL="0" distR="0" wp14:anchorId="4B25F8AD" wp14:editId="7B9E22FB">
            <wp:extent cx="5326889" cy="4122644"/>
            <wp:effectExtent l="19050" t="19050" r="26670" b="11430"/>
            <wp:docPr id="2004605071"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605071" name="Imagen 1" descr="Mapa&#10;&#10;El contenido generado por IA puede ser incorrecto."/>
                    <pic:cNvPicPr/>
                  </pic:nvPicPr>
                  <pic:blipFill>
                    <a:blip r:embed="rId61" cstate="email">
                      <a:extLst>
                        <a:ext uri="{28A0092B-C50C-407E-A947-70E740481C1C}">
                          <a14:useLocalDpi xmlns:a14="http://schemas.microsoft.com/office/drawing/2010/main"/>
                        </a:ext>
                      </a:extLst>
                    </a:blip>
                    <a:stretch>
                      <a:fillRect/>
                    </a:stretch>
                  </pic:blipFill>
                  <pic:spPr>
                    <a:xfrm>
                      <a:off x="0" y="0"/>
                      <a:ext cx="5342779" cy="4134941"/>
                    </a:xfrm>
                    <a:prstGeom prst="rect">
                      <a:avLst/>
                    </a:prstGeom>
                    <a:ln>
                      <a:solidFill>
                        <a:schemeClr val="accent1"/>
                      </a:solidFill>
                    </a:ln>
                  </pic:spPr>
                </pic:pic>
              </a:graphicData>
            </a:graphic>
          </wp:inline>
        </w:drawing>
      </w:r>
    </w:p>
    <w:p w14:paraId="0435CCAF" w14:textId="77777777" w:rsidR="004D474F" w:rsidRPr="00B450EB" w:rsidRDefault="004D474F" w:rsidP="004D474F">
      <w:pPr>
        <w:jc w:val="center"/>
        <w:rPr>
          <w:sz w:val="18"/>
          <w:szCs w:val="18"/>
        </w:rPr>
      </w:pPr>
      <w:r w:rsidRPr="00B450EB">
        <w:rPr>
          <w:sz w:val="18"/>
          <w:szCs w:val="18"/>
        </w:rPr>
        <w:t>Fuente: FEWS – IDEAM. Consultado el 18/09/2025.</w:t>
      </w:r>
    </w:p>
    <w:p w14:paraId="1EFA151E" w14:textId="77777777" w:rsidR="004D474F" w:rsidRPr="00B450EB" w:rsidRDefault="004D474F" w:rsidP="004D474F">
      <w:r w:rsidRPr="00B450EB">
        <w:lastRenderedPageBreak/>
        <w:t xml:space="preserve">Los indicadores </w:t>
      </w:r>
      <w:proofErr w:type="spellStart"/>
      <w:r w:rsidRPr="00B450EB">
        <w:t>hidroclimáticos</w:t>
      </w:r>
      <w:proofErr w:type="spellEnd"/>
      <w:r w:rsidRPr="00B450EB">
        <w:t xml:space="preserve"> del ENA fueron construidos para la versión 2022, a partir de las variables precipitación, temperatura, caudal y evapotranspiración.  En general, las subzonas del área hidrográfica Amazonas representan el 36% de la </w:t>
      </w:r>
      <w:r w:rsidRPr="00B450EB">
        <w:rPr>
          <w:i/>
          <w:iCs/>
        </w:rPr>
        <w:t>oferta</w:t>
      </w:r>
      <w:r w:rsidRPr="00B450EB">
        <w:rPr>
          <w:i/>
        </w:rPr>
        <w:t xml:space="preserve"> hídrica total superficial</w:t>
      </w:r>
      <w:r w:rsidRPr="00B450EB">
        <w:t xml:space="preserve"> (OHTS)</w:t>
      </w:r>
      <w:r w:rsidRPr="00B450EB">
        <w:rPr>
          <w:rStyle w:val="Refdenotaalpie"/>
        </w:rPr>
        <w:footnoteReference w:id="8"/>
      </w:r>
      <w:r w:rsidRPr="00B450EB">
        <w:t xml:space="preserve"> nacional, y el área hidrográfica Orinoco representan el 27% de la OHTS nacional, no obstante, es preciso señalar que sólo una fracción de las subzonas hidrográficas afluentes al río Orinoco se encuentran en el Bioma Amazónico.</w:t>
      </w:r>
    </w:p>
    <w:p w14:paraId="44010A35" w14:textId="12921CF2" w:rsidR="00B60327" w:rsidRPr="00B450EB" w:rsidRDefault="00B60327" w:rsidP="00B60327">
      <w:pPr>
        <w:pStyle w:val="Descripcin"/>
        <w:keepNext/>
        <w:rPr>
          <w:color w:val="auto"/>
        </w:rPr>
      </w:pPr>
      <w:bookmarkStart w:id="43" w:name="_Toc209462717"/>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28</w:t>
      </w:r>
      <w:r w:rsidR="0045353A" w:rsidRPr="00B450EB">
        <w:rPr>
          <w:noProof/>
          <w:color w:val="auto"/>
        </w:rPr>
        <w:fldChar w:fldCharType="end"/>
      </w:r>
      <w:r w:rsidRPr="00B450EB">
        <w:rPr>
          <w:color w:val="auto"/>
        </w:rPr>
        <w:t xml:space="preserve">. Representatividad de los </w:t>
      </w:r>
      <w:r w:rsidR="00B51157" w:rsidRPr="00B450EB">
        <w:rPr>
          <w:color w:val="auto"/>
        </w:rPr>
        <w:t>índices</w:t>
      </w:r>
      <w:r w:rsidRPr="00B450EB">
        <w:rPr>
          <w:color w:val="auto"/>
        </w:rPr>
        <w:t xml:space="preserve"> hidrológicos del Bioma Amazónico a nivel nacional</w:t>
      </w:r>
      <w:bookmarkEnd w:id="43"/>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3048"/>
        <w:gridCol w:w="2935"/>
        <w:gridCol w:w="2855"/>
      </w:tblGrid>
      <w:tr w:rsidR="00EF1937" w:rsidRPr="00B450EB" w14:paraId="022EC9E9" w14:textId="77777777" w:rsidTr="00B60327">
        <w:trPr>
          <w:tblHeader/>
        </w:trPr>
        <w:tc>
          <w:tcPr>
            <w:tcW w:w="3037" w:type="dxa"/>
            <w:vAlign w:val="center"/>
          </w:tcPr>
          <w:p w14:paraId="1CCFD97B" w14:textId="77777777" w:rsidR="004D474F" w:rsidRPr="00B450EB" w:rsidRDefault="004D474F" w:rsidP="00024A81">
            <w:pPr>
              <w:jc w:val="center"/>
              <w:rPr>
                <w:b/>
                <w:sz w:val="22"/>
                <w:szCs w:val="22"/>
              </w:rPr>
            </w:pPr>
            <w:r w:rsidRPr="00B450EB">
              <w:rPr>
                <w:b/>
                <w:sz w:val="22"/>
                <w:szCs w:val="22"/>
              </w:rPr>
              <w:t>Oferta total (Mm3)</w:t>
            </w:r>
          </w:p>
        </w:tc>
        <w:tc>
          <w:tcPr>
            <w:tcW w:w="2948" w:type="dxa"/>
            <w:vAlign w:val="center"/>
          </w:tcPr>
          <w:p w14:paraId="6CD701A6" w14:textId="77777777" w:rsidR="004D474F" w:rsidRPr="00B450EB" w:rsidRDefault="004D474F" w:rsidP="00024A81">
            <w:pPr>
              <w:jc w:val="center"/>
              <w:rPr>
                <w:b/>
                <w:sz w:val="22"/>
                <w:szCs w:val="22"/>
              </w:rPr>
            </w:pPr>
            <w:r w:rsidRPr="00B450EB">
              <w:rPr>
                <w:b/>
                <w:sz w:val="22"/>
                <w:szCs w:val="22"/>
              </w:rPr>
              <w:t xml:space="preserve">Caudal medio </w:t>
            </w:r>
          </w:p>
        </w:tc>
        <w:tc>
          <w:tcPr>
            <w:tcW w:w="2843" w:type="dxa"/>
            <w:vAlign w:val="center"/>
          </w:tcPr>
          <w:p w14:paraId="0F671F77" w14:textId="77777777" w:rsidR="004D474F" w:rsidRPr="00B450EB" w:rsidRDefault="004D474F" w:rsidP="00024A81">
            <w:pPr>
              <w:jc w:val="center"/>
              <w:rPr>
                <w:b/>
                <w:sz w:val="22"/>
                <w:szCs w:val="22"/>
              </w:rPr>
            </w:pPr>
            <w:r w:rsidRPr="00B450EB">
              <w:rPr>
                <w:b/>
                <w:sz w:val="22"/>
                <w:szCs w:val="22"/>
              </w:rPr>
              <w:t>Rendimiento hídrico (l/s/km2)</w:t>
            </w:r>
          </w:p>
        </w:tc>
      </w:tr>
      <w:tr w:rsidR="00EF1937" w:rsidRPr="00B450EB" w14:paraId="69FCB7E8" w14:textId="77777777" w:rsidTr="00B60327">
        <w:tc>
          <w:tcPr>
            <w:tcW w:w="3037" w:type="dxa"/>
          </w:tcPr>
          <w:p w14:paraId="5804B387" w14:textId="77777777" w:rsidR="004D474F" w:rsidRPr="00B450EB" w:rsidRDefault="004D474F" w:rsidP="00024A81">
            <w:pPr>
              <w:rPr>
                <w:sz w:val="22"/>
                <w:szCs w:val="22"/>
              </w:rPr>
            </w:pPr>
            <w:r w:rsidRPr="00B450EB">
              <w:rPr>
                <w:noProof/>
              </w:rPr>
              <w:drawing>
                <wp:inline distT="0" distB="0" distL="0" distR="0" wp14:anchorId="4CF89B8C" wp14:editId="16931121">
                  <wp:extent cx="1863306" cy="1711325"/>
                  <wp:effectExtent l="0" t="0" r="3810" b="3175"/>
                  <wp:docPr id="1615566817" name="Gráfico 1">
                    <a:extLst xmlns:a="http://schemas.openxmlformats.org/drawingml/2006/main">
                      <a:ext uri="{FF2B5EF4-FFF2-40B4-BE49-F238E27FC236}">
                        <a16:creationId xmlns:a16="http://schemas.microsoft.com/office/drawing/2014/main" id="{C3BD93A7-F8B5-41B7-F7D7-D6DB1BE275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c>
          <w:tcPr>
            <w:tcW w:w="2948" w:type="dxa"/>
          </w:tcPr>
          <w:p w14:paraId="4768319D" w14:textId="77777777" w:rsidR="004D474F" w:rsidRPr="00B450EB" w:rsidRDefault="004D474F" w:rsidP="00024A81">
            <w:pPr>
              <w:rPr>
                <w:sz w:val="22"/>
                <w:szCs w:val="22"/>
              </w:rPr>
            </w:pPr>
            <w:r w:rsidRPr="00B450EB">
              <w:rPr>
                <w:noProof/>
              </w:rPr>
              <w:drawing>
                <wp:inline distT="0" distB="0" distL="0" distR="0" wp14:anchorId="18B0110A" wp14:editId="159B4B6D">
                  <wp:extent cx="1794294" cy="1664898"/>
                  <wp:effectExtent l="0" t="0" r="0" b="0"/>
                  <wp:docPr id="1404604842" name="Gráfico 1">
                    <a:extLst xmlns:a="http://schemas.openxmlformats.org/drawingml/2006/main">
                      <a:ext uri="{FF2B5EF4-FFF2-40B4-BE49-F238E27FC236}">
                        <a16:creationId xmlns:a16="http://schemas.microsoft.com/office/drawing/2014/main" id="{3F21E089-CFBD-46AE-91DD-8F031E72EF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c>
          <w:tcPr>
            <w:tcW w:w="2843" w:type="dxa"/>
          </w:tcPr>
          <w:p w14:paraId="03443047" w14:textId="77777777" w:rsidR="004D474F" w:rsidRPr="00B450EB" w:rsidRDefault="004D474F" w:rsidP="00024A81">
            <w:pPr>
              <w:rPr>
                <w:sz w:val="22"/>
                <w:szCs w:val="22"/>
              </w:rPr>
            </w:pPr>
            <w:r w:rsidRPr="00B450EB">
              <w:rPr>
                <w:noProof/>
              </w:rPr>
              <w:drawing>
                <wp:inline distT="0" distB="0" distL="0" distR="0" wp14:anchorId="1CB1F483" wp14:editId="71FE12D7">
                  <wp:extent cx="1742536" cy="1711325"/>
                  <wp:effectExtent l="0" t="0" r="0" b="3175"/>
                  <wp:docPr id="287543275" name="Gráfico 1">
                    <a:extLst xmlns:a="http://schemas.openxmlformats.org/drawingml/2006/main">
                      <a:ext uri="{FF2B5EF4-FFF2-40B4-BE49-F238E27FC236}">
                        <a16:creationId xmlns:a16="http://schemas.microsoft.com/office/drawing/2014/main" id="{A4EF3659-5875-4C98-9E80-84384694E3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r w:rsidR="00EF1937" w:rsidRPr="00B450EB" w14:paraId="63833E77" w14:textId="77777777" w:rsidTr="00B60327">
        <w:tc>
          <w:tcPr>
            <w:tcW w:w="8828" w:type="dxa"/>
            <w:gridSpan w:val="3"/>
          </w:tcPr>
          <w:p w14:paraId="1F282E41" w14:textId="77777777" w:rsidR="004D474F" w:rsidRPr="00B450EB" w:rsidRDefault="004D474F" w:rsidP="00024A81">
            <w:pPr>
              <w:jc w:val="center"/>
              <w:rPr>
                <w:noProof/>
                <w:sz w:val="22"/>
                <w:szCs w:val="22"/>
              </w:rPr>
            </w:pPr>
            <w:r w:rsidRPr="00B450EB">
              <w:rPr>
                <w:noProof/>
                <w:sz w:val="22"/>
                <w:szCs w:val="22"/>
              </w:rPr>
              <w:drawing>
                <wp:inline distT="0" distB="0" distL="0" distR="0" wp14:anchorId="3B25A65C" wp14:editId="2E6BF2C3">
                  <wp:extent cx="4040372" cy="191260"/>
                  <wp:effectExtent l="0" t="0" r="0" b="0"/>
                  <wp:docPr id="4436953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647845" name=""/>
                          <pic:cNvPicPr/>
                        </pic:nvPicPr>
                        <pic:blipFill>
                          <a:blip r:embed="rId65"/>
                          <a:stretch>
                            <a:fillRect/>
                          </a:stretch>
                        </pic:blipFill>
                        <pic:spPr>
                          <a:xfrm>
                            <a:off x="0" y="0"/>
                            <a:ext cx="4137526" cy="195859"/>
                          </a:xfrm>
                          <a:prstGeom prst="rect">
                            <a:avLst/>
                          </a:prstGeom>
                        </pic:spPr>
                      </pic:pic>
                    </a:graphicData>
                  </a:graphic>
                </wp:inline>
              </w:drawing>
            </w:r>
          </w:p>
        </w:tc>
      </w:tr>
    </w:tbl>
    <w:p w14:paraId="43A6E50B" w14:textId="67C19A45" w:rsidR="004D474F" w:rsidRPr="00B450EB" w:rsidRDefault="004D474F" w:rsidP="004D474F">
      <w:pPr>
        <w:jc w:val="center"/>
        <w:rPr>
          <w:sz w:val="18"/>
          <w:szCs w:val="18"/>
        </w:rPr>
      </w:pPr>
      <w:r w:rsidRPr="00B450EB">
        <w:rPr>
          <w:sz w:val="18"/>
          <w:szCs w:val="18"/>
        </w:rPr>
        <w:t xml:space="preserve">Fuente: Adaptado con base en la información del ENA </w:t>
      </w:r>
      <w:r w:rsidRPr="00B450EB">
        <w:rPr>
          <w:noProof/>
          <w:sz w:val="18"/>
          <w:szCs w:val="18"/>
          <w:lang w:val="es-ES"/>
        </w:rPr>
        <w:t>202</w:t>
      </w:r>
      <w:r w:rsidR="00B60327" w:rsidRPr="00B450EB">
        <w:rPr>
          <w:noProof/>
          <w:sz w:val="18"/>
          <w:szCs w:val="18"/>
          <w:lang w:val="es-ES"/>
        </w:rPr>
        <w:t>3</w:t>
      </w:r>
      <w:r w:rsidRPr="00B450EB">
        <w:rPr>
          <w:noProof/>
          <w:sz w:val="18"/>
          <w:szCs w:val="18"/>
          <w:lang w:val="es-ES"/>
        </w:rPr>
        <w:t>, 2025.</w:t>
      </w:r>
    </w:p>
    <w:p w14:paraId="270502A4" w14:textId="77777777" w:rsidR="001A24A6" w:rsidRPr="00B450EB" w:rsidRDefault="001A24A6" w:rsidP="004D474F"/>
    <w:p w14:paraId="15C5FED9" w14:textId="2715FF6D" w:rsidR="00B60327" w:rsidRPr="00B450EB" w:rsidRDefault="00B60327" w:rsidP="00B60327">
      <w:pPr>
        <w:pStyle w:val="Descripcin"/>
        <w:keepNext/>
        <w:rPr>
          <w:color w:val="auto"/>
        </w:rPr>
      </w:pPr>
      <w:bookmarkStart w:id="44" w:name="_Toc209722987"/>
      <w:r w:rsidRPr="00B450EB">
        <w:rPr>
          <w:color w:val="auto"/>
        </w:rPr>
        <w:t xml:space="preserve">Tabla </w:t>
      </w:r>
      <w:r w:rsidR="0045353A" w:rsidRPr="00B450EB">
        <w:rPr>
          <w:color w:val="auto"/>
        </w:rPr>
        <w:fldChar w:fldCharType="begin"/>
      </w:r>
      <w:r w:rsidR="0045353A" w:rsidRPr="00B450EB">
        <w:rPr>
          <w:color w:val="auto"/>
        </w:rPr>
        <w:instrText xml:space="preserve"> SEQ Tabla \* ARABIC </w:instrText>
      </w:r>
      <w:r w:rsidR="0045353A" w:rsidRPr="00B450EB">
        <w:rPr>
          <w:color w:val="auto"/>
        </w:rPr>
        <w:fldChar w:fldCharType="separate"/>
      </w:r>
      <w:r w:rsidR="009765C2" w:rsidRPr="00B450EB">
        <w:rPr>
          <w:noProof/>
          <w:color w:val="auto"/>
        </w:rPr>
        <w:t>4</w:t>
      </w:r>
      <w:r w:rsidR="0045353A" w:rsidRPr="00B450EB">
        <w:rPr>
          <w:noProof/>
          <w:color w:val="auto"/>
        </w:rPr>
        <w:fldChar w:fldCharType="end"/>
      </w:r>
      <w:r w:rsidRPr="00B450EB">
        <w:rPr>
          <w:color w:val="auto"/>
        </w:rPr>
        <w:t xml:space="preserve">. </w:t>
      </w:r>
      <w:r w:rsidR="00B51157" w:rsidRPr="00B450EB">
        <w:rPr>
          <w:i w:val="0"/>
          <w:iCs w:val="0"/>
          <w:color w:val="auto"/>
        </w:rPr>
        <w:t>Índices</w:t>
      </w:r>
      <w:r w:rsidRPr="00B450EB">
        <w:rPr>
          <w:i w:val="0"/>
          <w:iCs w:val="0"/>
          <w:color w:val="auto"/>
        </w:rPr>
        <w:t xml:space="preserve"> hidrológicos del Bioma Amazónico a nivel nacional</w:t>
      </w:r>
      <w:bookmarkEnd w:id="44"/>
    </w:p>
    <w:tbl>
      <w:tblPr>
        <w:tblStyle w:val="Tablaconcuadrcula"/>
        <w:tblW w:w="0" w:type="auto"/>
        <w:tblCellMar>
          <w:left w:w="70" w:type="dxa"/>
          <w:right w:w="70" w:type="dxa"/>
        </w:tblCellMar>
        <w:tblLook w:val="04A0" w:firstRow="1" w:lastRow="0" w:firstColumn="1" w:lastColumn="0" w:noHBand="0" w:noVBand="1"/>
      </w:tblPr>
      <w:tblGrid>
        <w:gridCol w:w="2547"/>
        <w:gridCol w:w="1818"/>
        <w:gridCol w:w="2148"/>
        <w:gridCol w:w="2315"/>
      </w:tblGrid>
      <w:tr w:rsidR="00EF1937" w:rsidRPr="00B450EB" w14:paraId="44779E03" w14:textId="77777777" w:rsidTr="007B2E8B">
        <w:tc>
          <w:tcPr>
            <w:tcW w:w="2547" w:type="dxa"/>
            <w:shd w:val="clear" w:color="auto" w:fill="D9F2D0" w:themeFill="accent6" w:themeFillTint="33"/>
            <w:vAlign w:val="center"/>
          </w:tcPr>
          <w:p w14:paraId="39B14F8F" w14:textId="7C0D3AD1" w:rsidR="00B60327" w:rsidRPr="00B450EB" w:rsidRDefault="00606127" w:rsidP="00B60327">
            <w:pPr>
              <w:jc w:val="center"/>
              <w:rPr>
                <w:b/>
                <w:sz w:val="18"/>
                <w:szCs w:val="18"/>
              </w:rPr>
            </w:pPr>
            <w:r w:rsidRPr="00B450EB">
              <w:rPr>
                <w:b/>
                <w:sz w:val="18"/>
                <w:szCs w:val="18"/>
              </w:rPr>
              <w:t>Áreas hidrográficas</w:t>
            </w:r>
          </w:p>
        </w:tc>
        <w:tc>
          <w:tcPr>
            <w:tcW w:w="1818" w:type="dxa"/>
            <w:shd w:val="clear" w:color="auto" w:fill="D9F2D0" w:themeFill="accent6" w:themeFillTint="33"/>
            <w:vAlign w:val="center"/>
          </w:tcPr>
          <w:p w14:paraId="5B7824B9" w14:textId="7B02E8FE" w:rsidR="001A24A6" w:rsidRPr="00B450EB" w:rsidRDefault="00B60327" w:rsidP="00B60327">
            <w:pPr>
              <w:jc w:val="center"/>
              <w:rPr>
                <w:rFonts w:cs="Arial"/>
                <w:sz w:val="18"/>
                <w:szCs w:val="18"/>
              </w:rPr>
            </w:pPr>
            <w:r w:rsidRPr="00B450EB">
              <w:rPr>
                <w:b/>
                <w:sz w:val="18"/>
                <w:szCs w:val="18"/>
              </w:rPr>
              <w:t>Oferta total (Mm3)</w:t>
            </w:r>
          </w:p>
        </w:tc>
        <w:tc>
          <w:tcPr>
            <w:tcW w:w="2148" w:type="dxa"/>
            <w:shd w:val="clear" w:color="auto" w:fill="D9F2D0" w:themeFill="accent6" w:themeFillTint="33"/>
            <w:vAlign w:val="center"/>
          </w:tcPr>
          <w:p w14:paraId="2B25C099" w14:textId="5D60352E" w:rsidR="001A24A6" w:rsidRPr="00B450EB" w:rsidRDefault="00B60327" w:rsidP="00B60327">
            <w:pPr>
              <w:jc w:val="center"/>
              <w:rPr>
                <w:rFonts w:cs="Arial"/>
                <w:sz w:val="18"/>
                <w:szCs w:val="18"/>
              </w:rPr>
            </w:pPr>
            <w:r w:rsidRPr="00B450EB">
              <w:rPr>
                <w:b/>
                <w:sz w:val="18"/>
                <w:szCs w:val="18"/>
              </w:rPr>
              <w:t>Caudal medio</w:t>
            </w:r>
          </w:p>
        </w:tc>
        <w:tc>
          <w:tcPr>
            <w:tcW w:w="2315" w:type="dxa"/>
            <w:shd w:val="clear" w:color="auto" w:fill="D9F2D0" w:themeFill="accent6" w:themeFillTint="33"/>
            <w:vAlign w:val="center"/>
          </w:tcPr>
          <w:p w14:paraId="625A7CEE" w14:textId="15E1525C" w:rsidR="001A24A6" w:rsidRPr="00B450EB" w:rsidRDefault="00B60327" w:rsidP="00B60327">
            <w:pPr>
              <w:jc w:val="center"/>
              <w:rPr>
                <w:rFonts w:cs="Arial"/>
                <w:sz w:val="18"/>
                <w:szCs w:val="18"/>
              </w:rPr>
            </w:pPr>
            <w:r w:rsidRPr="00B450EB">
              <w:rPr>
                <w:b/>
                <w:sz w:val="18"/>
                <w:szCs w:val="18"/>
              </w:rPr>
              <w:t>Rendimiento hídrico (l/s/km2)</w:t>
            </w:r>
          </w:p>
        </w:tc>
      </w:tr>
      <w:tr w:rsidR="00EF1937" w:rsidRPr="00B450EB" w14:paraId="41D29E82" w14:textId="77777777" w:rsidTr="007B2E8B">
        <w:tc>
          <w:tcPr>
            <w:tcW w:w="2547" w:type="dxa"/>
          </w:tcPr>
          <w:p w14:paraId="3C328364" w14:textId="77721FFB" w:rsidR="00B60327" w:rsidRPr="00B450EB" w:rsidRDefault="00B60327">
            <w:pPr>
              <w:jc w:val="left"/>
              <w:rPr>
                <w:rFonts w:cs="Arial"/>
                <w:sz w:val="18"/>
                <w:szCs w:val="18"/>
              </w:rPr>
            </w:pPr>
            <w:r w:rsidRPr="00B450EB">
              <w:rPr>
                <w:rFonts w:cs="Arial"/>
                <w:sz w:val="18"/>
                <w:szCs w:val="18"/>
              </w:rPr>
              <w:t>Amazonas</w:t>
            </w:r>
          </w:p>
        </w:tc>
        <w:tc>
          <w:tcPr>
            <w:tcW w:w="1818" w:type="dxa"/>
            <w:vAlign w:val="bottom"/>
          </w:tcPr>
          <w:p w14:paraId="52969AD2" w14:textId="77777777" w:rsidR="001A24A6" w:rsidRPr="00B450EB" w:rsidRDefault="001A24A6">
            <w:pPr>
              <w:jc w:val="left"/>
              <w:rPr>
                <w:rFonts w:cs="Arial"/>
                <w:sz w:val="18"/>
                <w:szCs w:val="18"/>
              </w:rPr>
            </w:pPr>
            <w:r w:rsidRPr="00B450EB">
              <w:rPr>
                <w:rFonts w:cs="Arial"/>
                <w:sz w:val="18"/>
                <w:szCs w:val="18"/>
              </w:rPr>
              <w:t>714758</w:t>
            </w:r>
          </w:p>
        </w:tc>
        <w:tc>
          <w:tcPr>
            <w:tcW w:w="2148" w:type="dxa"/>
            <w:vAlign w:val="bottom"/>
          </w:tcPr>
          <w:p w14:paraId="76BE5163" w14:textId="77777777" w:rsidR="001A24A6" w:rsidRPr="00B450EB" w:rsidRDefault="001A24A6">
            <w:pPr>
              <w:jc w:val="left"/>
              <w:rPr>
                <w:rFonts w:cs="Arial"/>
                <w:sz w:val="18"/>
                <w:szCs w:val="18"/>
              </w:rPr>
            </w:pPr>
            <w:r w:rsidRPr="00B450EB">
              <w:rPr>
                <w:rFonts w:cs="Arial"/>
                <w:sz w:val="18"/>
                <w:szCs w:val="18"/>
              </w:rPr>
              <w:t>22665</w:t>
            </w:r>
          </w:p>
        </w:tc>
        <w:tc>
          <w:tcPr>
            <w:tcW w:w="2315" w:type="dxa"/>
            <w:vAlign w:val="bottom"/>
          </w:tcPr>
          <w:p w14:paraId="7E4540C4" w14:textId="77777777" w:rsidR="001A24A6" w:rsidRPr="00B450EB" w:rsidRDefault="001A24A6">
            <w:pPr>
              <w:jc w:val="left"/>
              <w:rPr>
                <w:rFonts w:cs="Arial"/>
                <w:sz w:val="18"/>
                <w:szCs w:val="18"/>
              </w:rPr>
            </w:pPr>
            <w:r w:rsidRPr="00B450EB">
              <w:rPr>
                <w:rFonts w:cs="Arial"/>
                <w:sz w:val="18"/>
                <w:szCs w:val="18"/>
              </w:rPr>
              <w:t>66,4</w:t>
            </w:r>
          </w:p>
        </w:tc>
      </w:tr>
      <w:tr w:rsidR="00EF1937" w:rsidRPr="00B450EB" w14:paraId="302D8261" w14:textId="77777777" w:rsidTr="007B2E8B">
        <w:tc>
          <w:tcPr>
            <w:tcW w:w="2547" w:type="dxa"/>
          </w:tcPr>
          <w:p w14:paraId="0E7B46F4" w14:textId="50750E63" w:rsidR="00B60327" w:rsidRPr="00B450EB" w:rsidRDefault="00B60327">
            <w:pPr>
              <w:jc w:val="left"/>
              <w:rPr>
                <w:rFonts w:cs="Arial"/>
                <w:sz w:val="18"/>
                <w:szCs w:val="18"/>
              </w:rPr>
            </w:pPr>
            <w:r w:rsidRPr="00B450EB">
              <w:rPr>
                <w:rFonts w:cs="Arial"/>
                <w:sz w:val="18"/>
                <w:szCs w:val="18"/>
              </w:rPr>
              <w:t>Orinoco</w:t>
            </w:r>
          </w:p>
        </w:tc>
        <w:tc>
          <w:tcPr>
            <w:tcW w:w="1818" w:type="dxa"/>
            <w:vAlign w:val="bottom"/>
          </w:tcPr>
          <w:p w14:paraId="4817AC14" w14:textId="77777777" w:rsidR="001A24A6" w:rsidRPr="00B450EB" w:rsidRDefault="001A24A6">
            <w:pPr>
              <w:jc w:val="left"/>
              <w:rPr>
                <w:rFonts w:cs="Arial"/>
                <w:sz w:val="18"/>
                <w:szCs w:val="18"/>
              </w:rPr>
            </w:pPr>
            <w:r w:rsidRPr="00B450EB">
              <w:rPr>
                <w:rFonts w:cs="Arial"/>
                <w:sz w:val="18"/>
                <w:szCs w:val="18"/>
              </w:rPr>
              <w:t>520507</w:t>
            </w:r>
          </w:p>
        </w:tc>
        <w:tc>
          <w:tcPr>
            <w:tcW w:w="2148" w:type="dxa"/>
            <w:vAlign w:val="bottom"/>
          </w:tcPr>
          <w:p w14:paraId="4F3166B6" w14:textId="77777777" w:rsidR="001A24A6" w:rsidRPr="00B450EB" w:rsidRDefault="001A24A6">
            <w:pPr>
              <w:jc w:val="left"/>
              <w:rPr>
                <w:rFonts w:cs="Arial"/>
                <w:sz w:val="18"/>
                <w:szCs w:val="18"/>
              </w:rPr>
            </w:pPr>
            <w:r w:rsidRPr="00B450EB">
              <w:rPr>
                <w:rFonts w:cs="Arial"/>
                <w:sz w:val="18"/>
                <w:szCs w:val="18"/>
              </w:rPr>
              <w:t>16505</w:t>
            </w:r>
          </w:p>
        </w:tc>
        <w:tc>
          <w:tcPr>
            <w:tcW w:w="2315" w:type="dxa"/>
            <w:vAlign w:val="bottom"/>
          </w:tcPr>
          <w:p w14:paraId="353E4017" w14:textId="77777777" w:rsidR="001A24A6" w:rsidRPr="00B450EB" w:rsidRDefault="001A24A6">
            <w:pPr>
              <w:jc w:val="left"/>
              <w:rPr>
                <w:rFonts w:cs="Arial"/>
                <w:sz w:val="18"/>
                <w:szCs w:val="18"/>
              </w:rPr>
            </w:pPr>
            <w:r w:rsidRPr="00B450EB">
              <w:rPr>
                <w:rFonts w:cs="Arial"/>
                <w:sz w:val="18"/>
                <w:szCs w:val="18"/>
              </w:rPr>
              <w:t>47,7</w:t>
            </w:r>
          </w:p>
        </w:tc>
      </w:tr>
      <w:tr w:rsidR="00EF1937" w:rsidRPr="00B450EB" w14:paraId="33DDAC41" w14:textId="77777777" w:rsidTr="007B2E8B">
        <w:tc>
          <w:tcPr>
            <w:tcW w:w="2547" w:type="dxa"/>
          </w:tcPr>
          <w:p w14:paraId="5EF2EA47" w14:textId="0CE99F18" w:rsidR="00B60327" w:rsidRPr="00B450EB" w:rsidRDefault="00B60327">
            <w:pPr>
              <w:jc w:val="left"/>
              <w:rPr>
                <w:rFonts w:cs="Arial"/>
                <w:sz w:val="18"/>
                <w:szCs w:val="18"/>
              </w:rPr>
            </w:pPr>
            <w:r w:rsidRPr="00B450EB">
              <w:rPr>
                <w:rFonts w:cs="Arial"/>
                <w:sz w:val="18"/>
                <w:szCs w:val="18"/>
              </w:rPr>
              <w:t>Pacífico</w:t>
            </w:r>
          </w:p>
        </w:tc>
        <w:tc>
          <w:tcPr>
            <w:tcW w:w="1818" w:type="dxa"/>
            <w:vAlign w:val="bottom"/>
          </w:tcPr>
          <w:p w14:paraId="5CEF9CC7" w14:textId="77777777" w:rsidR="001A24A6" w:rsidRPr="00B450EB" w:rsidRDefault="001A24A6">
            <w:pPr>
              <w:jc w:val="left"/>
              <w:rPr>
                <w:rFonts w:cs="Arial"/>
                <w:sz w:val="18"/>
                <w:szCs w:val="18"/>
              </w:rPr>
            </w:pPr>
            <w:r w:rsidRPr="00B450EB">
              <w:rPr>
                <w:rFonts w:cs="Arial"/>
                <w:sz w:val="18"/>
                <w:szCs w:val="18"/>
              </w:rPr>
              <w:t>275862</w:t>
            </w:r>
          </w:p>
        </w:tc>
        <w:tc>
          <w:tcPr>
            <w:tcW w:w="2148" w:type="dxa"/>
            <w:vAlign w:val="bottom"/>
          </w:tcPr>
          <w:p w14:paraId="6F5E5A74" w14:textId="77777777" w:rsidR="001A24A6" w:rsidRPr="00B450EB" w:rsidRDefault="001A24A6">
            <w:pPr>
              <w:jc w:val="left"/>
              <w:rPr>
                <w:rFonts w:cs="Arial"/>
                <w:sz w:val="18"/>
                <w:szCs w:val="18"/>
              </w:rPr>
            </w:pPr>
            <w:r w:rsidRPr="00B450EB">
              <w:rPr>
                <w:rFonts w:cs="Arial"/>
                <w:sz w:val="18"/>
                <w:szCs w:val="18"/>
              </w:rPr>
              <w:t>8748</w:t>
            </w:r>
          </w:p>
        </w:tc>
        <w:tc>
          <w:tcPr>
            <w:tcW w:w="2315" w:type="dxa"/>
            <w:vAlign w:val="bottom"/>
          </w:tcPr>
          <w:p w14:paraId="11C0FE04" w14:textId="77777777" w:rsidR="001A24A6" w:rsidRPr="00B450EB" w:rsidRDefault="001A24A6">
            <w:pPr>
              <w:jc w:val="left"/>
              <w:rPr>
                <w:rFonts w:cs="Arial"/>
                <w:sz w:val="18"/>
                <w:szCs w:val="18"/>
              </w:rPr>
            </w:pPr>
            <w:r w:rsidRPr="00B450EB">
              <w:rPr>
                <w:rFonts w:cs="Arial"/>
                <w:sz w:val="18"/>
                <w:szCs w:val="18"/>
              </w:rPr>
              <w:t>113</w:t>
            </w:r>
          </w:p>
        </w:tc>
      </w:tr>
      <w:tr w:rsidR="00EF1937" w:rsidRPr="00B450EB" w14:paraId="03735FBB" w14:textId="77777777" w:rsidTr="007B2E8B">
        <w:tc>
          <w:tcPr>
            <w:tcW w:w="2547" w:type="dxa"/>
          </w:tcPr>
          <w:p w14:paraId="51585B42" w14:textId="553300EE" w:rsidR="00B60327" w:rsidRPr="00B450EB" w:rsidRDefault="00B60327">
            <w:pPr>
              <w:jc w:val="left"/>
              <w:rPr>
                <w:rFonts w:cs="Arial"/>
                <w:sz w:val="18"/>
                <w:szCs w:val="18"/>
              </w:rPr>
            </w:pPr>
            <w:r w:rsidRPr="00B450EB">
              <w:rPr>
                <w:rFonts w:cs="Arial"/>
                <w:sz w:val="18"/>
                <w:szCs w:val="18"/>
              </w:rPr>
              <w:t>Caribe</w:t>
            </w:r>
          </w:p>
        </w:tc>
        <w:tc>
          <w:tcPr>
            <w:tcW w:w="1818" w:type="dxa"/>
            <w:vAlign w:val="bottom"/>
          </w:tcPr>
          <w:p w14:paraId="5A261A6B" w14:textId="77777777" w:rsidR="001A24A6" w:rsidRPr="00B450EB" w:rsidRDefault="001A24A6">
            <w:pPr>
              <w:jc w:val="left"/>
              <w:rPr>
                <w:rFonts w:cs="Arial"/>
                <w:sz w:val="18"/>
                <w:szCs w:val="18"/>
              </w:rPr>
            </w:pPr>
            <w:r w:rsidRPr="00B450EB">
              <w:rPr>
                <w:rFonts w:cs="Arial"/>
                <w:sz w:val="18"/>
                <w:szCs w:val="18"/>
              </w:rPr>
              <w:t>187513</w:t>
            </w:r>
          </w:p>
        </w:tc>
        <w:tc>
          <w:tcPr>
            <w:tcW w:w="2148" w:type="dxa"/>
            <w:vAlign w:val="bottom"/>
          </w:tcPr>
          <w:p w14:paraId="02D06ECA" w14:textId="77777777" w:rsidR="001A24A6" w:rsidRPr="00B450EB" w:rsidRDefault="001A24A6">
            <w:pPr>
              <w:jc w:val="left"/>
              <w:rPr>
                <w:rFonts w:cs="Arial"/>
                <w:sz w:val="18"/>
                <w:szCs w:val="18"/>
              </w:rPr>
            </w:pPr>
            <w:r w:rsidRPr="00B450EB">
              <w:rPr>
                <w:rFonts w:cs="Arial"/>
                <w:sz w:val="18"/>
                <w:szCs w:val="18"/>
              </w:rPr>
              <w:t>5946</w:t>
            </w:r>
          </w:p>
        </w:tc>
        <w:tc>
          <w:tcPr>
            <w:tcW w:w="2315" w:type="dxa"/>
            <w:vAlign w:val="bottom"/>
          </w:tcPr>
          <w:p w14:paraId="1136EEC9" w14:textId="77777777" w:rsidR="001A24A6" w:rsidRPr="00B450EB" w:rsidRDefault="001A24A6">
            <w:pPr>
              <w:jc w:val="left"/>
              <w:rPr>
                <w:rFonts w:cs="Arial"/>
                <w:sz w:val="18"/>
                <w:szCs w:val="18"/>
              </w:rPr>
            </w:pPr>
            <w:r w:rsidRPr="00B450EB">
              <w:rPr>
                <w:rFonts w:cs="Arial"/>
                <w:sz w:val="18"/>
                <w:szCs w:val="18"/>
              </w:rPr>
              <w:t>57,9</w:t>
            </w:r>
          </w:p>
        </w:tc>
      </w:tr>
      <w:tr w:rsidR="00EF1937" w:rsidRPr="00B450EB" w14:paraId="064C51C4" w14:textId="77777777" w:rsidTr="007B2E8B">
        <w:tc>
          <w:tcPr>
            <w:tcW w:w="2547" w:type="dxa"/>
          </w:tcPr>
          <w:p w14:paraId="25784970" w14:textId="65CC3802" w:rsidR="00B60327" w:rsidRPr="00B450EB" w:rsidRDefault="00B60327">
            <w:pPr>
              <w:jc w:val="left"/>
              <w:rPr>
                <w:rFonts w:cs="Arial"/>
                <w:sz w:val="18"/>
                <w:szCs w:val="18"/>
              </w:rPr>
            </w:pPr>
            <w:r w:rsidRPr="00B450EB">
              <w:rPr>
                <w:rFonts w:cs="Arial"/>
                <w:sz w:val="18"/>
                <w:szCs w:val="18"/>
              </w:rPr>
              <w:t>Magdalena - Cauca</w:t>
            </w:r>
          </w:p>
        </w:tc>
        <w:tc>
          <w:tcPr>
            <w:tcW w:w="1818" w:type="dxa"/>
            <w:vAlign w:val="center"/>
          </w:tcPr>
          <w:p w14:paraId="7C2C30B8" w14:textId="77777777" w:rsidR="001A24A6" w:rsidRPr="00B450EB" w:rsidRDefault="001A24A6">
            <w:pPr>
              <w:jc w:val="left"/>
              <w:rPr>
                <w:rFonts w:cs="Arial"/>
                <w:sz w:val="18"/>
                <w:szCs w:val="18"/>
              </w:rPr>
            </w:pPr>
            <w:r w:rsidRPr="00B450EB">
              <w:rPr>
                <w:rFonts w:cs="Arial"/>
                <w:sz w:val="18"/>
                <w:szCs w:val="18"/>
              </w:rPr>
              <w:t>263986</w:t>
            </w:r>
          </w:p>
        </w:tc>
        <w:tc>
          <w:tcPr>
            <w:tcW w:w="2148" w:type="dxa"/>
            <w:vAlign w:val="center"/>
          </w:tcPr>
          <w:p w14:paraId="4655EDFE" w14:textId="77777777" w:rsidR="001A24A6" w:rsidRPr="00B450EB" w:rsidRDefault="001A24A6">
            <w:pPr>
              <w:jc w:val="left"/>
              <w:rPr>
                <w:rFonts w:cs="Arial"/>
                <w:sz w:val="18"/>
                <w:szCs w:val="18"/>
              </w:rPr>
            </w:pPr>
            <w:r w:rsidRPr="00B450EB">
              <w:rPr>
                <w:rFonts w:cs="Arial"/>
                <w:sz w:val="18"/>
                <w:szCs w:val="18"/>
              </w:rPr>
              <w:t>8371</w:t>
            </w:r>
          </w:p>
        </w:tc>
        <w:tc>
          <w:tcPr>
            <w:tcW w:w="2315" w:type="dxa"/>
            <w:vAlign w:val="center"/>
          </w:tcPr>
          <w:p w14:paraId="6997F985" w14:textId="77777777" w:rsidR="001A24A6" w:rsidRPr="00B450EB" w:rsidRDefault="001A24A6">
            <w:pPr>
              <w:jc w:val="left"/>
              <w:rPr>
                <w:rFonts w:cs="Arial"/>
                <w:sz w:val="18"/>
                <w:szCs w:val="18"/>
              </w:rPr>
            </w:pPr>
            <w:r w:rsidRPr="00B450EB">
              <w:rPr>
                <w:rFonts w:cs="Arial"/>
                <w:sz w:val="18"/>
                <w:szCs w:val="18"/>
              </w:rPr>
              <w:t>30,9</w:t>
            </w:r>
          </w:p>
        </w:tc>
      </w:tr>
    </w:tbl>
    <w:p w14:paraId="7A53EE4A" w14:textId="30616517" w:rsidR="00B60327" w:rsidRPr="00B450EB" w:rsidRDefault="00B60327" w:rsidP="00B60327">
      <w:pPr>
        <w:jc w:val="center"/>
        <w:rPr>
          <w:sz w:val="18"/>
          <w:szCs w:val="18"/>
        </w:rPr>
      </w:pPr>
      <w:r w:rsidRPr="00B450EB">
        <w:rPr>
          <w:sz w:val="18"/>
          <w:szCs w:val="18"/>
        </w:rPr>
        <w:t xml:space="preserve">Fuente: Adaptado con base en la información del ENA </w:t>
      </w:r>
      <w:r w:rsidRPr="00B450EB">
        <w:rPr>
          <w:noProof/>
          <w:sz w:val="18"/>
          <w:szCs w:val="18"/>
          <w:lang w:val="es-ES"/>
        </w:rPr>
        <w:t>2023, 2025.</w:t>
      </w:r>
    </w:p>
    <w:p w14:paraId="46123F9B" w14:textId="0D4B5799" w:rsidR="002744B1" w:rsidRPr="00B450EB" w:rsidRDefault="004D474F" w:rsidP="004D474F">
      <w:r w:rsidRPr="00B450EB">
        <w:t>Esta condición es concordante con los índices de aridez (IA) e índice de regulación hídrica (IRH)</w:t>
      </w:r>
      <w:r w:rsidR="002744B1" w:rsidRPr="00B450EB">
        <w:t>, como se presenta a continuación:</w:t>
      </w:r>
    </w:p>
    <w:p w14:paraId="3C5999D1" w14:textId="77777777" w:rsidR="002744B1" w:rsidRPr="00B450EB" w:rsidRDefault="002744B1" w:rsidP="004D474F"/>
    <w:p w14:paraId="21574D43" w14:textId="77777777" w:rsidR="00320A1C" w:rsidRPr="00B450EB" w:rsidRDefault="00320A1C" w:rsidP="004D474F"/>
    <w:p w14:paraId="462541FA" w14:textId="77777777" w:rsidR="007B2E8B" w:rsidRPr="00B450EB" w:rsidRDefault="007B2E8B" w:rsidP="004D474F"/>
    <w:p w14:paraId="0ACB985D" w14:textId="77777777" w:rsidR="00EC5985" w:rsidRPr="00B450EB" w:rsidRDefault="00EC5985" w:rsidP="004D474F"/>
    <w:p w14:paraId="3DF48CDB" w14:textId="5BFDC14F" w:rsidR="00B51157" w:rsidRPr="00B450EB" w:rsidRDefault="00B51157" w:rsidP="00B51157">
      <w:pPr>
        <w:pStyle w:val="Descripcin"/>
        <w:keepNext/>
        <w:rPr>
          <w:color w:val="auto"/>
        </w:rPr>
      </w:pPr>
      <w:bookmarkStart w:id="45" w:name="_Toc209462718"/>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29</w:t>
      </w:r>
      <w:r w:rsidR="0045353A" w:rsidRPr="00B450EB">
        <w:rPr>
          <w:noProof/>
          <w:color w:val="auto"/>
        </w:rPr>
        <w:fldChar w:fldCharType="end"/>
      </w:r>
      <w:r w:rsidRPr="00B450EB">
        <w:rPr>
          <w:color w:val="auto"/>
        </w:rPr>
        <w:t>. Índices hidrológicos de Colombia</w:t>
      </w:r>
      <w:bookmarkEnd w:id="45"/>
    </w:p>
    <w:tbl>
      <w:tblPr>
        <w:tblStyle w:val="Tablaconcuadrcula"/>
        <w:tblW w:w="85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6"/>
        <w:gridCol w:w="4239"/>
      </w:tblGrid>
      <w:tr w:rsidR="00EF1937" w:rsidRPr="00B450EB" w14:paraId="28EA2FC3" w14:textId="77777777">
        <w:trPr>
          <w:trHeight w:val="135"/>
          <w:jc w:val="center"/>
        </w:trPr>
        <w:tc>
          <w:tcPr>
            <w:tcW w:w="4296" w:type="dxa"/>
            <w:shd w:val="clear" w:color="auto" w:fill="002060"/>
          </w:tcPr>
          <w:p w14:paraId="6FF1E436" w14:textId="77777777" w:rsidR="00D64FF2" w:rsidRPr="00B450EB" w:rsidRDefault="00D64FF2">
            <w:pPr>
              <w:jc w:val="center"/>
              <w:rPr>
                <w:b/>
                <w:bCs/>
                <w:sz w:val="18"/>
                <w:szCs w:val="18"/>
              </w:rPr>
            </w:pPr>
            <w:r w:rsidRPr="00B450EB">
              <w:rPr>
                <w:b/>
                <w:bCs/>
                <w:sz w:val="18"/>
                <w:szCs w:val="18"/>
              </w:rPr>
              <w:t>Mapa de Índice de Aridez en Colombia</w:t>
            </w:r>
          </w:p>
        </w:tc>
        <w:tc>
          <w:tcPr>
            <w:tcW w:w="4239" w:type="dxa"/>
            <w:shd w:val="clear" w:color="auto" w:fill="002060"/>
          </w:tcPr>
          <w:p w14:paraId="2DCCE7ED" w14:textId="77777777" w:rsidR="00D64FF2" w:rsidRPr="00B450EB" w:rsidRDefault="00D64FF2">
            <w:pPr>
              <w:jc w:val="center"/>
              <w:rPr>
                <w:b/>
                <w:bCs/>
                <w:sz w:val="18"/>
                <w:szCs w:val="18"/>
              </w:rPr>
            </w:pPr>
            <w:r w:rsidRPr="00B450EB">
              <w:rPr>
                <w:b/>
                <w:bCs/>
                <w:sz w:val="18"/>
                <w:szCs w:val="18"/>
              </w:rPr>
              <w:t>Mapa de Índice de Regula en Colombia</w:t>
            </w:r>
          </w:p>
        </w:tc>
      </w:tr>
      <w:tr w:rsidR="00EF1937" w:rsidRPr="00B450EB" w14:paraId="3562E429" w14:textId="77777777">
        <w:trPr>
          <w:trHeight w:val="2401"/>
          <w:jc w:val="center"/>
        </w:trPr>
        <w:tc>
          <w:tcPr>
            <w:tcW w:w="4296" w:type="dxa"/>
          </w:tcPr>
          <w:p w14:paraId="3B371C50" w14:textId="77777777" w:rsidR="00D64FF2" w:rsidRPr="00B450EB" w:rsidRDefault="00D64FF2">
            <w:pPr>
              <w:rPr>
                <w:sz w:val="18"/>
                <w:szCs w:val="18"/>
              </w:rPr>
            </w:pPr>
            <w:r w:rsidRPr="00B450EB">
              <w:rPr>
                <w:noProof/>
                <w:sz w:val="18"/>
                <w:szCs w:val="18"/>
              </w:rPr>
              <w:drawing>
                <wp:inline distT="0" distB="0" distL="0" distR="0" wp14:anchorId="1F6AF3CA" wp14:editId="7CB0F8CE">
                  <wp:extent cx="2581835" cy="3309257"/>
                  <wp:effectExtent l="0" t="0" r="9525" b="5715"/>
                  <wp:docPr id="731551338"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51338" name="Imagen 1" descr="Mapa&#10;&#10;El contenido generado por IA puede ser incorrecto."/>
                          <pic:cNvPicPr/>
                        </pic:nvPicPr>
                        <pic:blipFill>
                          <a:blip r:embed="rId66" cstate="email">
                            <a:extLst>
                              <a:ext uri="{28A0092B-C50C-407E-A947-70E740481C1C}">
                                <a14:useLocalDpi xmlns:a14="http://schemas.microsoft.com/office/drawing/2010/main"/>
                              </a:ext>
                            </a:extLst>
                          </a:blip>
                          <a:stretch>
                            <a:fillRect/>
                          </a:stretch>
                        </pic:blipFill>
                        <pic:spPr>
                          <a:xfrm>
                            <a:off x="0" y="0"/>
                            <a:ext cx="2592426" cy="3322832"/>
                          </a:xfrm>
                          <a:prstGeom prst="rect">
                            <a:avLst/>
                          </a:prstGeom>
                        </pic:spPr>
                      </pic:pic>
                    </a:graphicData>
                  </a:graphic>
                </wp:inline>
              </w:drawing>
            </w:r>
          </w:p>
        </w:tc>
        <w:tc>
          <w:tcPr>
            <w:tcW w:w="4239" w:type="dxa"/>
          </w:tcPr>
          <w:p w14:paraId="4C46060C" w14:textId="77777777" w:rsidR="00D64FF2" w:rsidRPr="00B450EB" w:rsidRDefault="00D64FF2">
            <w:pPr>
              <w:rPr>
                <w:sz w:val="18"/>
                <w:szCs w:val="18"/>
              </w:rPr>
            </w:pPr>
            <w:r w:rsidRPr="00B450EB">
              <w:rPr>
                <w:noProof/>
                <w:sz w:val="18"/>
                <w:szCs w:val="18"/>
              </w:rPr>
              <w:drawing>
                <wp:inline distT="0" distB="0" distL="0" distR="0" wp14:anchorId="486F874B" wp14:editId="2C460055">
                  <wp:extent cx="2555024" cy="3308985"/>
                  <wp:effectExtent l="0" t="0" r="0" b="5715"/>
                  <wp:docPr id="447777681"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777681" name="Imagen 1" descr="Mapa&#10;&#10;El contenido generado por IA puede ser incorrecto."/>
                          <pic:cNvPicPr/>
                        </pic:nvPicPr>
                        <pic:blipFill>
                          <a:blip r:embed="rId67" cstate="email">
                            <a:extLst>
                              <a:ext uri="{28A0092B-C50C-407E-A947-70E740481C1C}">
                                <a14:useLocalDpi xmlns:a14="http://schemas.microsoft.com/office/drawing/2010/main"/>
                              </a:ext>
                            </a:extLst>
                          </a:blip>
                          <a:stretch>
                            <a:fillRect/>
                          </a:stretch>
                        </pic:blipFill>
                        <pic:spPr>
                          <a:xfrm>
                            <a:off x="0" y="0"/>
                            <a:ext cx="2578728" cy="3339684"/>
                          </a:xfrm>
                          <a:prstGeom prst="rect">
                            <a:avLst/>
                          </a:prstGeom>
                        </pic:spPr>
                      </pic:pic>
                    </a:graphicData>
                  </a:graphic>
                </wp:inline>
              </w:drawing>
            </w:r>
          </w:p>
        </w:tc>
      </w:tr>
      <w:tr w:rsidR="00D64FF2" w:rsidRPr="00B450EB" w14:paraId="48B9EAA1" w14:textId="77777777">
        <w:trPr>
          <w:trHeight w:val="295"/>
          <w:jc w:val="center"/>
        </w:trPr>
        <w:tc>
          <w:tcPr>
            <w:tcW w:w="8535" w:type="dxa"/>
            <w:gridSpan w:val="2"/>
          </w:tcPr>
          <w:p w14:paraId="2DD7BEA7" w14:textId="77777777" w:rsidR="00D64FF2" w:rsidRPr="00B450EB" w:rsidRDefault="00D64FF2">
            <w:pPr>
              <w:jc w:val="center"/>
              <w:rPr>
                <w:sz w:val="18"/>
                <w:szCs w:val="18"/>
              </w:rPr>
            </w:pPr>
            <w:r w:rsidRPr="00B450EB">
              <w:rPr>
                <w:sz w:val="18"/>
                <w:szCs w:val="18"/>
              </w:rPr>
              <w:t>Fuente: IDEAM, 2023.</w:t>
            </w:r>
          </w:p>
        </w:tc>
      </w:tr>
    </w:tbl>
    <w:p w14:paraId="35F4A740" w14:textId="77777777" w:rsidR="002744B1" w:rsidRPr="00B450EB" w:rsidRDefault="002744B1" w:rsidP="004D474F"/>
    <w:p w14:paraId="74ADB674" w14:textId="68A8275C" w:rsidR="004D474F" w:rsidRPr="00B450EB" w:rsidRDefault="004D474F" w:rsidP="004D474F">
      <w:r w:rsidRPr="00B450EB">
        <w:t xml:space="preserve">Con respecto el IA, este indicador relaciona la precipitación promedio, la evapotranspiración potencial y la evapotranspiración real, es decir, el grado de suficiencia de la precipitación para el sostenimiento de los ecosistemas de una región, que para el Bioma Amazónico se clasifica dentro de la categoría </w:t>
      </w:r>
      <w:r w:rsidRPr="00B450EB">
        <w:rPr>
          <w:i/>
        </w:rPr>
        <w:t>excedentes de agua</w:t>
      </w:r>
      <w:r w:rsidR="00531BE6" w:rsidRPr="00B450EB">
        <w:rPr>
          <w:i/>
        </w:rPr>
        <w:t xml:space="preserve"> </w:t>
      </w:r>
      <w:r w:rsidR="00531BE6" w:rsidRPr="00B450EB">
        <w:rPr>
          <w:iCs/>
        </w:rPr>
        <w:t>(IA&lt;</w:t>
      </w:r>
      <w:r w:rsidR="00CD5E33" w:rsidRPr="00B450EB">
        <w:rPr>
          <w:iCs/>
        </w:rPr>
        <w:t>0,15)</w:t>
      </w:r>
      <w:r w:rsidRPr="00B450EB">
        <w:rPr>
          <w:i/>
        </w:rPr>
        <w:t xml:space="preserve">.  </w:t>
      </w:r>
      <w:r w:rsidRPr="00B450EB">
        <w:t xml:space="preserve">Sobre el IRH, este indicador representa la capacidad de la cuenca para mantener y regular un régimen de caudales, limitada por la interacción del sistema suelo-vegetación, que para el Bioma Amazónico se clasifica como IRH de categoría </w:t>
      </w:r>
      <w:r w:rsidRPr="00B450EB">
        <w:rPr>
          <w:i/>
        </w:rPr>
        <w:t xml:space="preserve">Alta </w:t>
      </w:r>
      <w:r w:rsidRPr="00B450EB">
        <w:t xml:space="preserve">para el área hidrográfica Amazonas </w:t>
      </w:r>
      <w:r w:rsidR="00CD5E33" w:rsidRPr="00B450EB">
        <w:t>(IRH</w:t>
      </w:r>
      <w:r w:rsidR="00B972CB" w:rsidRPr="00B450EB">
        <w:t xml:space="preserve"> = 0,75 a </w:t>
      </w:r>
      <w:r w:rsidR="00B32526" w:rsidRPr="00B450EB">
        <w:t>0,85)</w:t>
      </w:r>
      <w:r w:rsidRPr="00B450EB">
        <w:t xml:space="preserve"> y </w:t>
      </w:r>
      <w:r w:rsidRPr="00B450EB">
        <w:rPr>
          <w:i/>
        </w:rPr>
        <w:t xml:space="preserve">Moderada </w:t>
      </w:r>
      <w:r w:rsidRPr="00B450EB">
        <w:t xml:space="preserve">para el área hidrográfica </w:t>
      </w:r>
      <w:r w:rsidR="00B32526" w:rsidRPr="00B450EB">
        <w:t>del Orinoco (IRH</w:t>
      </w:r>
      <w:r w:rsidR="009246E7" w:rsidRPr="00B450EB">
        <w:t xml:space="preserve"> = 0,68 a 0,75)</w:t>
      </w:r>
      <w:r w:rsidRPr="00B450EB">
        <w:t>.</w:t>
      </w:r>
    </w:p>
    <w:p w14:paraId="473D69B7" w14:textId="77777777" w:rsidR="004D474F" w:rsidRPr="00B450EB" w:rsidRDefault="004D474F" w:rsidP="004D474F">
      <w:r w:rsidRPr="00B450EB">
        <w:t xml:space="preserve">Estos indicadores evidencian, según los datos disponibles, que el Bioma Amazónico no solo representa una de las </w:t>
      </w:r>
      <w:proofErr w:type="spellStart"/>
      <w:r w:rsidRPr="00B450EB">
        <w:t>macrocuencas</w:t>
      </w:r>
      <w:proofErr w:type="spellEnd"/>
      <w:r w:rsidRPr="00B450EB">
        <w:t xml:space="preserve"> hidrográficas con mayor recurso hídrico por área del país, junto con el Pacífico, sino también se caracteriza por tener una alta capacidad para retenerla y disponerla en los sistemas fluviales.</w:t>
      </w:r>
    </w:p>
    <w:p w14:paraId="1A0D68C6" w14:textId="77777777" w:rsidR="004D474F" w:rsidRPr="00B450EB" w:rsidRDefault="004D474F" w:rsidP="004D474F">
      <w:pPr>
        <w:pStyle w:val="Ttulo4"/>
        <w:rPr>
          <w:color w:val="auto"/>
        </w:rPr>
      </w:pPr>
      <w:r w:rsidRPr="00B450EB">
        <w:rPr>
          <w:color w:val="auto"/>
        </w:rPr>
        <w:t xml:space="preserve">Calidad hídrica </w:t>
      </w:r>
    </w:p>
    <w:p w14:paraId="0F793EDC" w14:textId="3B0AD2A7" w:rsidR="004D474F" w:rsidRPr="00B450EB" w:rsidRDefault="004D474F" w:rsidP="004D474F">
      <w:pPr>
        <w:spacing w:after="0"/>
      </w:pPr>
      <w:r w:rsidRPr="00B450EB">
        <w:rPr>
          <w:rFonts w:cs="Arial"/>
        </w:rPr>
        <w:t>En términos de calidad hídrica, e</w:t>
      </w:r>
      <w:r w:rsidRPr="00B450EB">
        <w:t xml:space="preserve">l Plan Estratégico de la </w:t>
      </w:r>
      <w:proofErr w:type="spellStart"/>
      <w:r w:rsidRPr="00B450EB">
        <w:t>macrocuenca</w:t>
      </w:r>
      <w:proofErr w:type="spellEnd"/>
      <w:r w:rsidRPr="00B450EB">
        <w:t xml:space="preserve"> de la Amazonía </w:t>
      </w:r>
      <w:sdt>
        <w:sdtPr>
          <w:id w:val="-1851094763"/>
          <w:citation/>
        </w:sdtPr>
        <w:sdtContent>
          <w:r w:rsidRPr="00B450EB">
            <w:fldChar w:fldCharType="begin"/>
          </w:r>
          <w:r w:rsidRPr="00B450EB">
            <w:rPr>
              <w:lang w:val="es-ES"/>
            </w:rPr>
            <w:instrText xml:space="preserve"> CITATION SIN13 \l 3082 </w:instrText>
          </w:r>
          <w:r w:rsidRPr="00B450EB">
            <w:fldChar w:fldCharType="separate"/>
          </w:r>
          <w:r w:rsidR="0077091E" w:rsidRPr="00B450EB">
            <w:rPr>
              <w:noProof/>
              <w:lang w:val="es-ES"/>
            </w:rPr>
            <w:t>(SINCHI, 2013)</w:t>
          </w:r>
          <w:r w:rsidRPr="00B450EB">
            <w:fldChar w:fldCharType="end"/>
          </w:r>
        </w:sdtContent>
      </w:sdt>
      <w:r w:rsidRPr="00B450EB">
        <w:t xml:space="preserve"> cita a algunos autores que presentan clasificaciones específicas de los sistemas hídricos de la cuenca hidrográfica del río Amazonas y </w:t>
      </w:r>
      <w:r w:rsidRPr="00B450EB">
        <w:lastRenderedPageBreak/>
        <w:t xml:space="preserve">sus tributarios.  Estas características atribuyen comportamientos de los parámetros de calidad hídrica alusivos a la interacción del agua con las unidades geológicas, los suelos y los procesos organogénicos. Estos conceptos las clasifican como </w:t>
      </w:r>
      <w:r w:rsidRPr="00B450EB">
        <w:rPr>
          <w:i/>
        </w:rPr>
        <w:t>aguas blancas, aguas negras y aguas claras</w:t>
      </w:r>
      <w:r w:rsidRPr="00B450EB">
        <w:t>.</w:t>
      </w:r>
    </w:p>
    <w:p w14:paraId="396D49FA" w14:textId="77777777" w:rsidR="004D474F" w:rsidRPr="00B450EB" w:rsidRDefault="004D474F" w:rsidP="004D474F">
      <w:pPr>
        <w:spacing w:after="0"/>
      </w:pPr>
      <w:r w:rsidRPr="00B450EB">
        <w:t xml:space="preserve"> </w:t>
      </w:r>
    </w:p>
    <w:p w14:paraId="30BBBD4F" w14:textId="138A5A80" w:rsidR="004D474F" w:rsidRPr="00B450EB" w:rsidRDefault="004D474F" w:rsidP="004D474F">
      <w:r w:rsidRPr="00B450EB">
        <w:t xml:space="preserve">Las </w:t>
      </w:r>
      <w:r w:rsidRPr="00B450EB">
        <w:rPr>
          <w:i/>
        </w:rPr>
        <w:t>aguas blancas</w:t>
      </w:r>
      <w:r w:rsidRPr="00B450EB">
        <w:t xml:space="preserve"> se caracterizan por tener alta sedimentación, altos contenidos de nutrientes, alta turbidez y pH neutral, comportamientos relacionados con los ríos de montaña, como las fuentes hídricas que se originan en la cordillera de Los Andes. Las aguas negras son más calmadas con sedimentación más baja y pH ácido; el nombre hace referencia a la tonalidad adquirida por la oxidación del carbono orgánico disuelto en forma de ácidos húmicos, características que podrían ser asociadas a los ríos que fluyen por los llanos orientales. Finalmente, las aguas claras, caracterizadas por tener baja turbidez, bajos contenidos de nutrientes, pH ligeramente ácido, lo anterior debido a los solutos húmicos que son absorbidos por minerales arcillosos </w:t>
      </w:r>
      <w:sdt>
        <w:sdtPr>
          <w:id w:val="8801435"/>
          <w:citation/>
        </w:sdtPr>
        <w:sdtContent>
          <w:r w:rsidRPr="00B450EB">
            <w:fldChar w:fldCharType="begin"/>
          </w:r>
          <w:r w:rsidRPr="00B450EB">
            <w:rPr>
              <w:lang w:val="es-ES"/>
            </w:rPr>
            <w:instrText xml:space="preserve"> CITATION SIN13 \l 3082 </w:instrText>
          </w:r>
          <w:r w:rsidRPr="00B450EB">
            <w:fldChar w:fldCharType="separate"/>
          </w:r>
          <w:r w:rsidR="0077091E" w:rsidRPr="00B450EB">
            <w:rPr>
              <w:noProof/>
              <w:lang w:val="es-ES"/>
            </w:rPr>
            <w:t>(SINCHI, 2013)</w:t>
          </w:r>
          <w:r w:rsidRPr="00B450EB">
            <w:fldChar w:fldCharType="end"/>
          </w:r>
        </w:sdtContent>
      </w:sdt>
      <w:r w:rsidRPr="00B450EB">
        <w:t>.</w:t>
      </w:r>
    </w:p>
    <w:p w14:paraId="2D5A5019" w14:textId="3A479813" w:rsidR="004D474F" w:rsidRPr="00B450EB" w:rsidRDefault="004D474F" w:rsidP="004D474F">
      <w:pPr>
        <w:rPr>
          <w:rFonts w:cs="Arial"/>
        </w:rPr>
      </w:pPr>
      <w:r w:rsidRPr="00B450EB">
        <w:rPr>
          <w:rFonts w:cs="Arial"/>
        </w:rPr>
        <w:t>El estado actual de calidad hídrica de la cuenca hidrográfica del Amazonas no resulta exclusivamente de la interacción del agua con los elementos biofísicos, sino que también es el reflejo de las problemáticas socioeconómicas transfronterizas cuyo uso del agua constituye un recurso natural</w:t>
      </w:r>
      <w:r w:rsidR="00E34565" w:rsidRPr="00B450EB">
        <w:rPr>
          <w:rFonts w:cs="Arial"/>
        </w:rPr>
        <w:t xml:space="preserve">. </w:t>
      </w:r>
      <w:r w:rsidRPr="00B450EB">
        <w:rPr>
          <w:rFonts w:cs="Arial"/>
        </w:rPr>
        <w:t xml:space="preserve">La Agenda Estratégica de Cooperación Amazónica ha abordado la gestión integral del recurso hídrico a través de varios años de investigación, publicaciones e iniciativas que se aproximan al estado actual de la gran cuenca transfronteriza Amazónica.  A partir del Análisis Diagnóstico Transfronterizo Regional (ADT-Regional) </w:t>
      </w:r>
      <w:sdt>
        <w:sdtPr>
          <w:rPr>
            <w:rFonts w:cs="Arial"/>
          </w:rPr>
          <w:id w:val="-1804524988"/>
          <w:citation/>
        </w:sdtPr>
        <w:sdtContent>
          <w:r w:rsidRPr="00B450EB">
            <w:rPr>
              <w:rFonts w:cs="Arial"/>
            </w:rPr>
            <w:fldChar w:fldCharType="begin"/>
          </w:r>
          <w:r w:rsidRPr="00B450EB">
            <w:rPr>
              <w:rFonts w:cs="Arial"/>
              <w:lang w:val="es-ES"/>
            </w:rPr>
            <w:instrText xml:space="preserve"> CITATION OTC \l 3082 </w:instrText>
          </w:r>
          <w:r w:rsidRPr="00B450EB">
            <w:rPr>
              <w:rFonts w:cs="Arial"/>
            </w:rPr>
            <w:fldChar w:fldCharType="separate"/>
          </w:r>
          <w:r w:rsidR="0077091E" w:rsidRPr="00B450EB">
            <w:rPr>
              <w:rFonts w:cs="Arial"/>
              <w:noProof/>
              <w:lang w:val="es-ES"/>
            </w:rPr>
            <w:t>(OTCA, 2018)</w:t>
          </w:r>
          <w:r w:rsidRPr="00B450EB">
            <w:rPr>
              <w:rFonts w:cs="Arial"/>
            </w:rPr>
            <w:fldChar w:fldCharType="end"/>
          </w:r>
        </w:sdtContent>
      </w:sdt>
      <w:r w:rsidRPr="00B450EB">
        <w:rPr>
          <w:rFonts w:cs="Arial"/>
        </w:rPr>
        <w:t xml:space="preserve"> ha señalado los principales problemáticas o factores de presión sobre la región Amazónica, las cadenas causales que las generan y describen el impacto sobre los diferentes componentes ambientales.</w:t>
      </w:r>
    </w:p>
    <w:p w14:paraId="7CBFA519" w14:textId="39284963" w:rsidR="004D474F" w:rsidRPr="00B450EB" w:rsidRDefault="004D474F" w:rsidP="004D474F">
      <w:r w:rsidRPr="00B450EB">
        <w:rPr>
          <w:rFonts w:cs="Arial"/>
        </w:rPr>
        <w:t xml:space="preserve">El factor más importante de degradación de la cuenca transfronteriza del río Amazonas, según </w:t>
      </w:r>
      <w:sdt>
        <w:sdtPr>
          <w:rPr>
            <w:rFonts w:cs="Arial"/>
          </w:rPr>
          <w:id w:val="1050807429"/>
          <w:citation/>
        </w:sdtPr>
        <w:sdtContent>
          <w:r w:rsidRPr="00B450EB">
            <w:rPr>
              <w:rFonts w:cs="Arial"/>
            </w:rPr>
            <w:fldChar w:fldCharType="begin"/>
          </w:r>
          <w:r w:rsidRPr="00B450EB">
            <w:rPr>
              <w:rFonts w:cs="Arial"/>
              <w:lang w:val="es-ES"/>
            </w:rPr>
            <w:instrText xml:space="preserve"> CITATION OTC \l 3082 </w:instrText>
          </w:r>
          <w:r w:rsidRPr="00B450EB">
            <w:rPr>
              <w:rFonts w:cs="Arial"/>
            </w:rPr>
            <w:fldChar w:fldCharType="separate"/>
          </w:r>
          <w:r w:rsidR="0077091E" w:rsidRPr="00B450EB">
            <w:rPr>
              <w:rFonts w:cs="Arial"/>
              <w:noProof/>
              <w:lang w:val="es-ES"/>
            </w:rPr>
            <w:t>(OTCA, 2018)</w:t>
          </w:r>
          <w:r w:rsidRPr="00B450EB">
            <w:rPr>
              <w:rFonts w:cs="Arial"/>
            </w:rPr>
            <w:fldChar w:fldCharType="end"/>
          </w:r>
        </w:sdtContent>
      </w:sdt>
      <w:r w:rsidRPr="00B450EB">
        <w:rPr>
          <w:rFonts w:cs="Arial"/>
        </w:rPr>
        <w:t xml:space="preserve">, es la deforestación. Esta actividad </w:t>
      </w:r>
      <w:r w:rsidRPr="00B450EB">
        <w:t>tiene impactos como la alteración al ciclo hidrológico, ya que el cambio en las coberturas del suelo implica un cambio en el tiempo de concentración de las precipitaciones en la cuenca y del patrón de escorrentía. La alteración del ciclo hidrológico producto de la deforestación también se genera por el aporte de sólidos suspendidos y sedimentables a los cauces a través del arrastre de residuos que se transportan mediante la escorrentía superficial. La deforestación tiene el potencial de alterar los pulsos de caudales y el equilibrio dinámico fluvial.</w:t>
      </w:r>
    </w:p>
    <w:p w14:paraId="5F2D9E00" w14:textId="056F5C12" w:rsidR="004D474F" w:rsidRPr="00B450EB" w:rsidRDefault="004D474F" w:rsidP="004D474F">
      <w:pPr>
        <w:rPr>
          <w:rFonts w:cs="Arial"/>
        </w:rPr>
      </w:pPr>
      <w:r w:rsidRPr="00B450EB">
        <w:t xml:space="preserve">La minería ilegal es otra actividad que impacta el recurso hídrico de la región. </w:t>
      </w:r>
      <w:r w:rsidRPr="00B450EB">
        <w:rPr>
          <w:rFonts w:cs="Arial"/>
        </w:rPr>
        <w:t xml:space="preserve">Según </w:t>
      </w:r>
      <w:sdt>
        <w:sdtPr>
          <w:rPr>
            <w:rFonts w:cs="Arial"/>
          </w:rPr>
          <w:id w:val="-1194760487"/>
          <w:citation/>
        </w:sdtPr>
        <w:sdtContent>
          <w:r w:rsidRPr="00B450EB">
            <w:rPr>
              <w:rFonts w:cs="Arial"/>
            </w:rPr>
            <w:fldChar w:fldCharType="begin"/>
          </w:r>
          <w:r w:rsidRPr="00B450EB">
            <w:rPr>
              <w:rFonts w:cs="Arial"/>
              <w:lang w:val="es-ES"/>
            </w:rPr>
            <w:instrText xml:space="preserve"> CITATION OTC \l 3082 </w:instrText>
          </w:r>
          <w:r w:rsidRPr="00B450EB">
            <w:rPr>
              <w:rFonts w:cs="Arial"/>
            </w:rPr>
            <w:fldChar w:fldCharType="separate"/>
          </w:r>
          <w:r w:rsidR="0077091E" w:rsidRPr="00B450EB">
            <w:rPr>
              <w:rFonts w:cs="Arial"/>
              <w:noProof/>
              <w:lang w:val="es-ES"/>
            </w:rPr>
            <w:t>(OTCA, 2018)</w:t>
          </w:r>
          <w:r w:rsidRPr="00B450EB">
            <w:rPr>
              <w:rFonts w:cs="Arial"/>
            </w:rPr>
            <w:fldChar w:fldCharType="end"/>
          </w:r>
        </w:sdtContent>
      </w:sdt>
      <w:r w:rsidRPr="00B450EB">
        <w:rPr>
          <w:rFonts w:cs="Arial"/>
        </w:rPr>
        <w:t xml:space="preserve">, los aportes de mercurio por minería ilegal se generan en una tasa </w:t>
      </w:r>
      <w:r w:rsidRPr="00B450EB">
        <w:rPr>
          <w:rFonts w:cs="Arial"/>
        </w:rPr>
        <w:lastRenderedPageBreak/>
        <w:t>de 150 toneladas por año, además del vertimiento de aguas residuales no tratadas.  La minería aluvial en zonas no autorizadas constituye además de un aporte importante de sustancias tóxicas para los ecosistemas acuáticos y las comunidades, desbalance en el régimen hidro sedimentológico de la cuenca del río Amazonas.</w:t>
      </w:r>
    </w:p>
    <w:p w14:paraId="741351D2" w14:textId="77777777" w:rsidR="004D474F" w:rsidRPr="00B450EB" w:rsidRDefault="004D474F" w:rsidP="004D474F">
      <w:pPr>
        <w:rPr>
          <w:rFonts w:cs="Arial"/>
        </w:rPr>
      </w:pPr>
      <w:r w:rsidRPr="00B450EB">
        <w:rPr>
          <w:rFonts w:cs="Arial"/>
        </w:rPr>
        <w:t xml:space="preserve">Con respecto a actividades relacionadas con la producción y transporte de hidrocarburos, las contingencias que surgen en la operación de esta actividad y aquellas generadas por factores externos, p.ej. las voladuras de oleoductos de los grupos al margen de la </w:t>
      </w:r>
      <w:proofErr w:type="gramStart"/>
      <w:r w:rsidRPr="00B450EB">
        <w:rPr>
          <w:rFonts w:cs="Arial"/>
        </w:rPr>
        <w:t>ley,</w:t>
      </w:r>
      <w:proofErr w:type="gramEnd"/>
      <w:r w:rsidRPr="00B450EB">
        <w:rPr>
          <w:rFonts w:cs="Arial"/>
        </w:rPr>
        <w:t xml:space="preserve"> representan un factor de deterioro de la calidad hídrica de la cuenca.</w:t>
      </w:r>
    </w:p>
    <w:p w14:paraId="2436CDBE" w14:textId="04359FC9" w:rsidR="004D474F" w:rsidRPr="00B450EB" w:rsidRDefault="004D474F" w:rsidP="004D474F">
      <w:pPr>
        <w:rPr>
          <w:rFonts w:cs="Arial"/>
        </w:rPr>
      </w:pPr>
      <w:r w:rsidRPr="00B450EB">
        <w:rPr>
          <w:rFonts w:cs="Arial"/>
        </w:rPr>
        <w:t xml:space="preserve">La cobertura de servicios públicos y saneamiento básico de las comunidades ribereñas es otro factor de degradación de la cuenca del río Amazonas.  Según la </w:t>
      </w:r>
      <w:sdt>
        <w:sdtPr>
          <w:rPr>
            <w:rFonts w:cs="Arial"/>
          </w:rPr>
          <w:id w:val="1832330131"/>
          <w:citation/>
        </w:sdtPr>
        <w:sdtContent>
          <w:r w:rsidRPr="00B450EB">
            <w:rPr>
              <w:rFonts w:cs="Arial"/>
            </w:rPr>
            <w:fldChar w:fldCharType="begin"/>
          </w:r>
          <w:r w:rsidRPr="00B450EB">
            <w:rPr>
              <w:rFonts w:cs="Arial"/>
              <w:lang w:val="es-ES"/>
            </w:rPr>
            <w:instrText xml:space="preserve"> CITATION OTC \l 3082 </w:instrText>
          </w:r>
          <w:r w:rsidRPr="00B450EB">
            <w:rPr>
              <w:rFonts w:cs="Arial"/>
            </w:rPr>
            <w:fldChar w:fldCharType="separate"/>
          </w:r>
          <w:r w:rsidR="0077091E" w:rsidRPr="00B450EB">
            <w:rPr>
              <w:rFonts w:cs="Arial"/>
              <w:noProof/>
              <w:lang w:val="es-ES"/>
            </w:rPr>
            <w:t>(OTCA, 2018)</w:t>
          </w:r>
          <w:r w:rsidRPr="00B450EB">
            <w:rPr>
              <w:rFonts w:cs="Arial"/>
            </w:rPr>
            <w:fldChar w:fldCharType="end"/>
          </w:r>
        </w:sdtContent>
      </w:sdt>
      <w:r w:rsidRPr="00B450EB">
        <w:rPr>
          <w:rFonts w:cs="Arial"/>
        </w:rPr>
        <w:t>, existe un alto aporte de residuos sólidos y líquidos al río Amazonas y sus tributarios a causa de su inadecuada gestión:</w:t>
      </w:r>
    </w:p>
    <w:p w14:paraId="657FAD97" w14:textId="77777777" w:rsidR="004D474F" w:rsidRPr="00B450EB" w:rsidRDefault="004D474F" w:rsidP="004D474F">
      <w:pPr>
        <w:ind w:left="708"/>
        <w:rPr>
          <w:rFonts w:cs="Arial"/>
          <w:i/>
          <w:iCs/>
        </w:rPr>
      </w:pPr>
      <w:r w:rsidRPr="00B450EB">
        <w:rPr>
          <w:rFonts w:cs="Arial"/>
          <w:i/>
          <w:iCs/>
        </w:rPr>
        <w:t>“Se calcula que a los ríos amazónicos llegan 1.700.000 toneladas de desechos y 600 l/s de residuos domésticos/urbanos líquidos al medio ambiente. (ANA, 2007). La actividad agroindustrial de grandes áreas de monocultivos es otro factor importante de contaminación de aguas a través del uso intenso de agrotóxicos. Debido al clima y a la exuberante diversidad de insectos y microorganismos, la Amazonía es la región donde más se usan pesticidas químicos como herbicidas, insecticidas, fungicidas y acaricidas.”</w:t>
      </w:r>
    </w:p>
    <w:p w14:paraId="6E336334" w14:textId="570046C6" w:rsidR="004D474F" w:rsidRPr="00B450EB" w:rsidRDefault="004D474F" w:rsidP="004D474F">
      <w:pPr>
        <w:rPr>
          <w:rFonts w:cs="Arial"/>
        </w:rPr>
      </w:pPr>
      <w:r w:rsidRPr="00B450EB">
        <w:rPr>
          <w:rFonts w:cs="Arial"/>
        </w:rPr>
        <w:t>Otra actividad que genera la contaminación de aguas es el transporte fluvial</w:t>
      </w:r>
      <w:sdt>
        <w:sdtPr>
          <w:rPr>
            <w:rFonts w:cs="Arial"/>
          </w:rPr>
          <w:id w:val="-1253811949"/>
          <w:citation/>
        </w:sdtPr>
        <w:sdtContent>
          <w:r w:rsidRPr="00B450EB">
            <w:rPr>
              <w:rFonts w:cs="Arial"/>
            </w:rPr>
            <w:fldChar w:fldCharType="begin"/>
          </w:r>
          <w:r w:rsidRPr="00B450EB">
            <w:rPr>
              <w:rFonts w:cs="Arial"/>
              <w:lang w:val="es-ES"/>
            </w:rPr>
            <w:instrText xml:space="preserve"> CITATION OTC \l 3082 </w:instrText>
          </w:r>
          <w:r w:rsidRPr="00B450EB">
            <w:rPr>
              <w:rFonts w:cs="Arial"/>
            </w:rPr>
            <w:fldChar w:fldCharType="separate"/>
          </w:r>
          <w:r w:rsidR="0077091E" w:rsidRPr="00B450EB">
            <w:rPr>
              <w:rFonts w:cs="Arial"/>
              <w:noProof/>
              <w:lang w:val="es-ES"/>
            </w:rPr>
            <w:t xml:space="preserve"> (OTCA, 2018)</w:t>
          </w:r>
          <w:r w:rsidRPr="00B450EB">
            <w:rPr>
              <w:rFonts w:cs="Arial"/>
            </w:rPr>
            <w:fldChar w:fldCharType="end"/>
          </w:r>
        </w:sdtContent>
      </w:sdt>
      <w:r w:rsidRPr="00B450EB">
        <w:rPr>
          <w:rFonts w:cs="Arial"/>
        </w:rPr>
        <w:t xml:space="preserve"> señala que el corredor intermodal fluvial amazónico conformado por el tramo Puerto Asís – Puerto </w:t>
      </w:r>
      <w:proofErr w:type="spellStart"/>
      <w:r w:rsidRPr="00B450EB">
        <w:rPr>
          <w:rFonts w:cs="Arial"/>
        </w:rPr>
        <w:t>Leguízamo</w:t>
      </w:r>
      <w:proofErr w:type="spellEnd"/>
      <w:r w:rsidRPr="00B450EB">
        <w:rPr>
          <w:rFonts w:cs="Arial"/>
        </w:rPr>
        <w:t xml:space="preserve"> – </w:t>
      </w:r>
      <w:proofErr w:type="spellStart"/>
      <w:r w:rsidRPr="00B450EB">
        <w:rPr>
          <w:rFonts w:cs="Arial"/>
        </w:rPr>
        <w:t>Tapacá</w:t>
      </w:r>
      <w:proofErr w:type="spellEnd"/>
      <w:r w:rsidRPr="00B450EB">
        <w:rPr>
          <w:rFonts w:cs="Arial"/>
        </w:rPr>
        <w:t xml:space="preserve"> y San Antonio do Ica-Leticia que se realiza a través de los ríos Putumayo y Amazonas cuenta con una longitud de 2.292 Km.</w:t>
      </w:r>
    </w:p>
    <w:p w14:paraId="4471AA91" w14:textId="77777777" w:rsidR="004D474F" w:rsidRPr="00B450EB" w:rsidRDefault="004D474F" w:rsidP="0310CDAE">
      <w:pPr>
        <w:rPr>
          <w:rFonts w:cs="Arial"/>
        </w:rPr>
      </w:pPr>
      <w:r w:rsidRPr="00B450EB">
        <w:t>“Aun cuando no existen estudios y estadísticas que revelen la cantidad y la naturaleza exacta de la contaminación de los ríos por transporte fluvial en la Cuenca Amazónica, el transporte de elevados volúmenes de carga y pasajeros, y la falta de regulaciones y control para la recolección de residuos sólidos y líquidos contaminantes en las embarcaciones, muestran una idea de la importancia del transporte fluvial como foco de contaminación de los ríos amazónicos.”</w:t>
      </w:r>
    </w:p>
    <w:p w14:paraId="57A94D13" w14:textId="1A21B034" w:rsidR="004D474F" w:rsidRPr="00B450EB" w:rsidRDefault="004D474F" w:rsidP="004D474F">
      <w:r w:rsidRPr="00B450EB">
        <w:t xml:space="preserve">Sobre calidad hídrica, el </w:t>
      </w:r>
      <w:sdt>
        <w:sdtPr>
          <w:id w:val="566692815"/>
          <w:citation/>
        </w:sdtPr>
        <w:sdtContent>
          <w:r w:rsidRPr="00B450EB">
            <w:fldChar w:fldCharType="begin"/>
          </w:r>
          <w:r w:rsidRPr="00B450EB">
            <w:rPr>
              <w:lang w:val="es-ES"/>
            </w:rPr>
            <w:instrText xml:space="preserve"> CITATION IDE22 \l 3082 </w:instrText>
          </w:r>
          <w:r w:rsidRPr="00B450EB">
            <w:fldChar w:fldCharType="separate"/>
          </w:r>
          <w:r w:rsidR="0077091E" w:rsidRPr="00B450EB">
            <w:rPr>
              <w:noProof/>
              <w:lang w:val="es-ES"/>
            </w:rPr>
            <w:t>(IDEAM, Estudio Nacional del Agua, 2023)</w:t>
          </w:r>
          <w:r w:rsidRPr="00B450EB">
            <w:fldChar w:fldCharType="end"/>
          </w:r>
        </w:sdtContent>
      </w:sdt>
      <w:r w:rsidRPr="00B450EB">
        <w:t xml:space="preserve"> presentó la evaluación del estado de calidad de agua y la presión por vertimientos, aspectos representados por los indicadores índice de calidad del agua (ICA) e índice de alteración potencial de la calidad del agua (IACAL).  Estos indicadores relacionan variables fisicoquímicas, metales pesados en sedimentos, sustancias químicas </w:t>
      </w:r>
      <w:r w:rsidRPr="00B450EB">
        <w:lastRenderedPageBreak/>
        <w:t>utilizadas en cultivos agrícolas como en cultivos ilícitos, monitoreo de mercurio tomando como base la producción oficial de oro reportada por la UPME libre de esta sustancia en consideración del Convenio Minamata 2017</w:t>
      </w:r>
      <w:r w:rsidRPr="00B450EB">
        <w:rPr>
          <w:rStyle w:val="Refdenotaalpie"/>
        </w:rPr>
        <w:footnoteReference w:id="9"/>
      </w:r>
      <w:r w:rsidRPr="00B450EB">
        <w:t>, y uso de plaguicidas.</w:t>
      </w:r>
    </w:p>
    <w:p w14:paraId="14FEA7EC" w14:textId="5F8C5C81" w:rsidR="004D474F" w:rsidRPr="00B450EB" w:rsidRDefault="004D474F" w:rsidP="004D474F">
      <w:r w:rsidRPr="00B450EB">
        <w:t xml:space="preserve">En complemento a esta información, se integra a este análisis, documentos técnicos elaborados por la ANLA, </w:t>
      </w:r>
      <w:r w:rsidRPr="00B450EB">
        <w:rPr>
          <w:i/>
        </w:rPr>
        <w:t xml:space="preserve">Reporte de Análisis Regional Zona Sur del Macizo Colombiano </w:t>
      </w:r>
      <w:sdt>
        <w:sdtPr>
          <w:rPr>
            <w:i/>
          </w:rPr>
          <w:id w:val="1712688669"/>
          <w:citation/>
        </w:sdtPr>
        <w:sdtContent>
          <w:r w:rsidRPr="00B450EB">
            <w:rPr>
              <w:i/>
            </w:rPr>
            <w:fldChar w:fldCharType="begin"/>
          </w:r>
          <w:r w:rsidRPr="00B450EB">
            <w:rPr>
              <w:lang w:val="es-ES"/>
            </w:rPr>
            <w:instrText xml:space="preserve"> CITATION ANL24 \l 3082 </w:instrText>
          </w:r>
          <w:r w:rsidRPr="00B450EB">
            <w:rPr>
              <w:i/>
            </w:rPr>
            <w:fldChar w:fldCharType="separate"/>
          </w:r>
          <w:r w:rsidR="0077091E" w:rsidRPr="00B450EB">
            <w:rPr>
              <w:noProof/>
              <w:lang w:val="es-ES"/>
            </w:rPr>
            <w:t>(ANLA, 2024)</w:t>
          </w:r>
          <w:r w:rsidRPr="00B450EB">
            <w:rPr>
              <w:i/>
            </w:rPr>
            <w:fldChar w:fldCharType="end"/>
          </w:r>
        </w:sdtContent>
      </w:sdt>
      <w:r w:rsidRPr="00B450EB">
        <w:rPr>
          <w:i/>
        </w:rPr>
        <w:t>; Reporte de Análisis Regional de las subzonas hidrográficas de los ríos Metica, Guatiquía, Guayuriba y Negro</w:t>
      </w:r>
      <w:sdt>
        <w:sdtPr>
          <w:rPr>
            <w:i/>
          </w:rPr>
          <w:id w:val="1822614030"/>
          <w:citation/>
        </w:sdtPr>
        <w:sdtContent>
          <w:r w:rsidRPr="00B450EB">
            <w:rPr>
              <w:i/>
            </w:rPr>
            <w:fldChar w:fldCharType="begin"/>
          </w:r>
          <w:r w:rsidRPr="00B450EB">
            <w:rPr>
              <w:lang w:val="es-ES"/>
            </w:rPr>
            <w:instrText xml:space="preserve"> CITATION ANL21 \l 3082 </w:instrText>
          </w:r>
          <w:r w:rsidRPr="00B450EB">
            <w:rPr>
              <w:i/>
            </w:rPr>
            <w:fldChar w:fldCharType="separate"/>
          </w:r>
          <w:r w:rsidR="0077091E" w:rsidRPr="00B450EB">
            <w:rPr>
              <w:noProof/>
              <w:lang w:val="es-ES"/>
            </w:rPr>
            <w:t xml:space="preserve"> (ANLA, 2021)</w:t>
          </w:r>
          <w:r w:rsidRPr="00B450EB">
            <w:rPr>
              <w:i/>
            </w:rPr>
            <w:fldChar w:fldCharType="end"/>
          </w:r>
        </w:sdtContent>
      </w:sdt>
      <w:r w:rsidRPr="00B450EB">
        <w:rPr>
          <w:i/>
        </w:rPr>
        <w:t xml:space="preserve"> y Actualización del Reporte de Análisis Regional Putumayo</w:t>
      </w:r>
      <w:sdt>
        <w:sdtPr>
          <w:rPr>
            <w:i/>
          </w:rPr>
          <w:id w:val="-960336556"/>
          <w:citation/>
        </w:sdtPr>
        <w:sdtContent>
          <w:r w:rsidRPr="00B450EB">
            <w:rPr>
              <w:i/>
            </w:rPr>
            <w:fldChar w:fldCharType="begin"/>
          </w:r>
          <w:r w:rsidRPr="00B450EB">
            <w:rPr>
              <w:lang w:val="es-ES"/>
            </w:rPr>
            <w:instrText xml:space="preserve"> CITATION ANL23 \l 3082 </w:instrText>
          </w:r>
          <w:r w:rsidRPr="00B450EB">
            <w:rPr>
              <w:i/>
            </w:rPr>
            <w:fldChar w:fldCharType="separate"/>
          </w:r>
          <w:r w:rsidR="0077091E" w:rsidRPr="00B450EB">
            <w:rPr>
              <w:noProof/>
              <w:lang w:val="es-ES"/>
            </w:rPr>
            <w:t xml:space="preserve"> (ANLA, 2023)</w:t>
          </w:r>
          <w:r w:rsidRPr="00B450EB">
            <w:rPr>
              <w:i/>
            </w:rPr>
            <w:fldChar w:fldCharType="end"/>
          </w:r>
        </w:sdtContent>
      </w:sdt>
      <w:r w:rsidRPr="00B450EB">
        <w:rPr>
          <w:i/>
        </w:rPr>
        <w:t>.</w:t>
      </w:r>
    </w:p>
    <w:p w14:paraId="087CD04B" w14:textId="77777777" w:rsidR="004D474F" w:rsidRPr="00B450EB" w:rsidRDefault="004D474F" w:rsidP="004D474F">
      <w:r w:rsidRPr="00B450EB">
        <w:t>Los monitoreos, en general, presentan altas concentraciones de Carbono Orgánico Total en la subzona hidrográfica del Alto río Putumayo (en rangos de 25,4 mg/l y 78,27 mg/l) y de sólidos totales (entre 232 mg/l y 1766 mg/l), lo cual sugiere altos contenidos de materia orgánica en el agua.</w:t>
      </w:r>
    </w:p>
    <w:p w14:paraId="374F92A1" w14:textId="20A71C45" w:rsidR="004D474F" w:rsidRPr="00B450EB" w:rsidRDefault="004D474F" w:rsidP="004D474F">
      <w:r w:rsidRPr="00B450EB">
        <w:t xml:space="preserve">Con respecto al ICA, el documento </w:t>
      </w:r>
      <w:r w:rsidRPr="00B450EB">
        <w:rPr>
          <w:i/>
        </w:rPr>
        <w:t xml:space="preserve">Actualización del Reporte de Análisis Regional Putumayo </w:t>
      </w:r>
      <w:sdt>
        <w:sdtPr>
          <w:rPr>
            <w:i/>
          </w:rPr>
          <w:id w:val="700140837"/>
          <w:citation/>
        </w:sdtPr>
        <w:sdtContent>
          <w:r w:rsidRPr="00B450EB">
            <w:rPr>
              <w:i/>
            </w:rPr>
            <w:fldChar w:fldCharType="begin"/>
          </w:r>
          <w:r w:rsidRPr="00B450EB">
            <w:rPr>
              <w:lang w:val="es-ES"/>
            </w:rPr>
            <w:instrText xml:space="preserve"> CITATION ANL23 \l 3082 </w:instrText>
          </w:r>
          <w:r w:rsidRPr="00B450EB">
            <w:rPr>
              <w:i/>
            </w:rPr>
            <w:fldChar w:fldCharType="separate"/>
          </w:r>
          <w:r w:rsidR="0077091E" w:rsidRPr="00B450EB">
            <w:rPr>
              <w:noProof/>
              <w:lang w:val="es-ES"/>
            </w:rPr>
            <w:t>(ANLA, 2023)</w:t>
          </w:r>
          <w:r w:rsidRPr="00B450EB">
            <w:rPr>
              <w:i/>
            </w:rPr>
            <w:fldChar w:fldCharType="end"/>
          </w:r>
        </w:sdtContent>
      </w:sdt>
      <w:r w:rsidRPr="00B450EB">
        <w:t xml:space="preserve"> presenta un análisis del índice de calidad de agua (ICA) a escala de subzona hidrográfica, en el cual se observa que las subzonas hidrográficas río San Miguel, Alto río Putumayo (afluentes del río Putumayo) y río </w:t>
      </w:r>
      <w:proofErr w:type="spellStart"/>
      <w:r w:rsidRPr="00B450EB">
        <w:t>Mecaya</w:t>
      </w:r>
      <w:proofErr w:type="spellEnd"/>
      <w:r w:rsidRPr="00B450EB">
        <w:t xml:space="preserve"> presentan, en ese orden, índices categorizados como </w:t>
      </w:r>
      <w:r w:rsidRPr="00B450EB">
        <w:rPr>
          <w:i/>
        </w:rPr>
        <w:t xml:space="preserve">Malo </w:t>
      </w:r>
      <w:r w:rsidRPr="00B450EB">
        <w:t xml:space="preserve">y </w:t>
      </w:r>
      <w:r w:rsidRPr="00B450EB">
        <w:rPr>
          <w:i/>
        </w:rPr>
        <w:t>Muy malo</w:t>
      </w:r>
      <w:r w:rsidRPr="00B450EB">
        <w:t xml:space="preserve">. El documento señala que los parámetros que más interfieren en estas categorías son el oxígeno disuelto y la demanda química de oxígeno.  </w:t>
      </w:r>
    </w:p>
    <w:p w14:paraId="02B90BF9" w14:textId="77777777" w:rsidR="004D474F" w:rsidRPr="00B450EB" w:rsidRDefault="004D474F" w:rsidP="004D474F">
      <w:r w:rsidRPr="00B450EB">
        <w:t xml:space="preserve">Ahora bien, el documento presenta los resultados de dos modelos de calidad del agua río Caquetá – Mocoa y afluentes principales, y río Orito – Putumayo. Sobre el </w:t>
      </w:r>
      <w:r w:rsidRPr="00B450EB">
        <w:rPr>
          <w:b/>
        </w:rPr>
        <w:t>modelo del río Caquetá – Mocoa</w:t>
      </w:r>
      <w:r w:rsidRPr="00B450EB">
        <w:t xml:space="preserve">, en general el informe indica que el parámetro que podría presentar un comportamiento creciente es Demanda Química de Oxígeno (DQO) en año seco, y que podría estar relacionado con la descarga de aguas residuales domésticas de la cabecera municipal de </w:t>
      </w:r>
      <w:proofErr w:type="spellStart"/>
      <w:r w:rsidRPr="00B450EB">
        <w:t>Villagarzón</w:t>
      </w:r>
      <w:proofErr w:type="spellEnd"/>
      <w:r w:rsidRPr="00B450EB">
        <w:t xml:space="preserve">, y en el Caquetá Medio atribuido a fuentes difusas. </w:t>
      </w:r>
    </w:p>
    <w:p w14:paraId="100D0F00" w14:textId="77777777" w:rsidR="004D474F" w:rsidRPr="00B450EB" w:rsidRDefault="004D474F" w:rsidP="004D474F">
      <w:r w:rsidRPr="00B450EB">
        <w:t xml:space="preserve">Con respecto al parámetros hidrocarburos totales, el documento señala concentraciones de hidrocarburos totales que en caudales medios presentan concentraciones aproximadas a 4,0 mg/l en condiciones de caudal medio, que aumentan a 10 mg/l en condiciones de caudales mínimos.  Es preciso señalar que en Colombia el parámetro hidrocarburos totales no presenta valores de referencia en los criterios de uso del recurso. Con relación al oxígeno disuelto, el documento indica que se observa una tendencia a la disminución conforme se desciende en los </w:t>
      </w:r>
      <w:r w:rsidRPr="00B450EB">
        <w:lastRenderedPageBreak/>
        <w:t>cauces, no obstante, estas concentraciones no son inferiores a 4,0 mg/l, el oxígeno disuelto que permite la preservación de flora y fauna, de conformidad con los valores de referencia para el uso del recurso hídrico establecidos en el Decreto 1076 de 2015</w:t>
      </w:r>
      <w:r w:rsidRPr="00B450EB">
        <w:rPr>
          <w:rStyle w:val="Refdenotaalpie"/>
        </w:rPr>
        <w:footnoteReference w:id="10"/>
      </w:r>
      <w:r w:rsidRPr="00B450EB">
        <w:t>.</w:t>
      </w:r>
    </w:p>
    <w:p w14:paraId="600527AD" w14:textId="77777777" w:rsidR="004D474F" w:rsidRPr="00B450EB" w:rsidRDefault="004D474F" w:rsidP="004D474F">
      <w:r w:rsidRPr="00B450EB">
        <w:t>Con respecto al modelo río Orito – Putumayo, el análisis señala un comportamiento creciente en el parámetro Bario para algunas fuentes hídricas que permite establecer que un escenario de año seco este valor podría ser sobrepasado. De igual manera, las fuentes hídricas objetivo del modelo presentan concentraciones crecientes de DQO y fenoles.  Estas fuentes hídricas también presentan las concentraciones aceptables de oxígeno disuelto para la vida acuática aerobia.</w:t>
      </w:r>
    </w:p>
    <w:p w14:paraId="40CFFCED" w14:textId="77777777" w:rsidR="004D474F" w:rsidRPr="00B450EB" w:rsidRDefault="004D474F" w:rsidP="004D474F">
      <w:r w:rsidRPr="00B450EB">
        <w:t xml:space="preserve">Al margen del monitoreo que se realiza en torno al Estudio Nacional del Agua (IDEAM, 2022) y los diagnósticos del territorio que se elabora por parte de la ANLA, algunos datos permiten identificar aportes de sustancias nocivas para la calidad hídrica del Bioma Amazónico, por parte de actividades socioeconómicas informales e ilegales. </w:t>
      </w:r>
    </w:p>
    <w:p w14:paraId="0626EB37" w14:textId="77777777" w:rsidR="004D474F" w:rsidRPr="00B450EB" w:rsidRDefault="004D474F" w:rsidP="004D474F">
      <w:r w:rsidRPr="00B450EB">
        <w:t xml:space="preserve">Iniciativas como la plataforma </w:t>
      </w:r>
      <w:proofErr w:type="spellStart"/>
      <w:r w:rsidRPr="00B450EB">
        <w:t>Toxic</w:t>
      </w:r>
      <w:proofErr w:type="spellEnd"/>
      <w:r w:rsidRPr="00B450EB">
        <w:t xml:space="preserve"> Sites </w:t>
      </w:r>
      <w:proofErr w:type="spellStart"/>
      <w:r w:rsidRPr="00B450EB">
        <w:t>Identification</w:t>
      </w:r>
      <w:proofErr w:type="spellEnd"/>
      <w:r w:rsidRPr="00B450EB">
        <w:t xml:space="preserve"> </w:t>
      </w:r>
      <w:proofErr w:type="spellStart"/>
      <w:r w:rsidRPr="00B450EB">
        <w:t>Program</w:t>
      </w:r>
      <w:proofErr w:type="spellEnd"/>
      <w:r w:rsidRPr="00B450EB">
        <w:t xml:space="preserve"> (TSIP) de la </w:t>
      </w:r>
      <w:proofErr w:type="spellStart"/>
      <w:r w:rsidRPr="00B450EB">
        <w:t>Blacksmith</w:t>
      </w:r>
      <w:proofErr w:type="spellEnd"/>
      <w:r w:rsidRPr="00B450EB">
        <w:t xml:space="preserve"> </w:t>
      </w:r>
      <w:proofErr w:type="spellStart"/>
      <w:r w:rsidRPr="00B450EB">
        <w:t>Institute</w:t>
      </w:r>
      <w:proofErr w:type="spellEnd"/>
      <w:r w:rsidRPr="00B450EB">
        <w:t xml:space="preserve">/Pure </w:t>
      </w:r>
      <w:proofErr w:type="spellStart"/>
      <w:r w:rsidRPr="00B450EB">
        <w:t>Earh</w:t>
      </w:r>
      <w:proofErr w:type="spellEnd"/>
      <w:r w:rsidRPr="00B450EB">
        <w:t xml:space="preserve">, una ONG que combate la contaminación por sustancias tóxicas que representan un riesgo para la salud humana y el ambiente, sugieren la existencia de focos de aporte de mercurio en la subzona hidrográfica del Alto Putumayo y Alto Caquetá.  De igual manera, como se menciona en el capítulo 7.1.9. Cultivos de uso ilícito, la Fundación para la conservación y el Desarrollo Sostenible (FCDS) realizó una estimación referente </w:t>
      </w:r>
      <w:proofErr w:type="spellStart"/>
      <w:r w:rsidRPr="00B450EB">
        <w:t>al</w:t>
      </w:r>
      <w:proofErr w:type="spellEnd"/>
      <w:r w:rsidRPr="00B450EB">
        <w:t xml:space="preserve"> un aumento en el número de dragas a 2022 a la altura del río Puré, tributario del río </w:t>
      </w:r>
      <w:proofErr w:type="spellStart"/>
      <w:r w:rsidRPr="00B450EB">
        <w:t>Yapurá</w:t>
      </w:r>
      <w:proofErr w:type="spellEnd"/>
      <w:r w:rsidRPr="00B450EB">
        <w:t xml:space="preserve"> (río Caquetá en Brasil).</w:t>
      </w:r>
    </w:p>
    <w:p w14:paraId="1E1A4BAA" w14:textId="3EF5D22B" w:rsidR="004D474F" w:rsidRPr="00B450EB" w:rsidRDefault="004D474F" w:rsidP="004D474F">
      <w:r w:rsidRPr="00B450EB">
        <w:t xml:space="preserve">Con respecto cultivos ilícitos, el </w:t>
      </w:r>
      <w:sdt>
        <w:sdtPr>
          <w:id w:val="-1064715057"/>
          <w:citation/>
        </w:sdtPr>
        <w:sdtContent>
          <w:r w:rsidRPr="00B450EB">
            <w:fldChar w:fldCharType="begin"/>
          </w:r>
          <w:r w:rsidRPr="00B450EB">
            <w:rPr>
              <w:lang w:val="es-ES"/>
            </w:rPr>
            <w:instrText xml:space="preserve"> CITATION IDE22 \l 3082 </w:instrText>
          </w:r>
          <w:r w:rsidRPr="00B450EB">
            <w:fldChar w:fldCharType="separate"/>
          </w:r>
          <w:r w:rsidR="0077091E" w:rsidRPr="00B450EB">
            <w:rPr>
              <w:noProof/>
              <w:lang w:val="es-ES"/>
            </w:rPr>
            <w:t>(IDEAM, Estudio Nacional del Agua, 2023)</w:t>
          </w:r>
          <w:r w:rsidRPr="00B450EB">
            <w:fldChar w:fldCharType="end"/>
          </w:r>
        </w:sdtContent>
      </w:sdt>
      <w:r w:rsidRPr="00B450EB">
        <w:t xml:space="preserve"> reportó un balance sobre las sustancias químicas empleadas en la transformación de la coca y los departamentos que registran mayor producción potencial de base de cocaína con base en datos de la Oficina las Naciones Unidas contra la Droga y el Delito en el grupo del Sistema Integrado de Monitoreo de Cultivos Ilícitos (SIMCI).   Dentro de las sustancias con mayor demanda a nivel nacional más usuales se identificaron: Cemento (Na2CO3), soda caustica, amoníaco, metabisulfito de sodio (Na2S2O5), Acetatos o hexanos, MEK e IPA (</w:t>
      </w:r>
      <w:proofErr w:type="spellStart"/>
      <w:r w:rsidRPr="00B450EB">
        <w:t>metilacetona</w:t>
      </w:r>
      <w:proofErr w:type="spellEnd"/>
      <w:r w:rsidRPr="00B450EB">
        <w:t xml:space="preserve"> y alcohol isopropílico), ácido clorhídrico, cloruro de calcio, ácido sulfúrico, gasolina, ACPM, petróleo y kerosene. Ahora bien, de conformidad con la </w:t>
      </w:r>
      <w:r w:rsidRPr="00B450EB">
        <w:fldChar w:fldCharType="begin"/>
      </w:r>
      <w:r w:rsidRPr="00B450EB">
        <w:instrText xml:space="preserve"> REF _Ref209157204 \h </w:instrText>
      </w:r>
      <w:r w:rsidR="006E0BC8" w:rsidRPr="00B450EB">
        <w:instrText xml:space="preserve"> \* MERGEFORMAT </w:instrText>
      </w:r>
      <w:r w:rsidRPr="00B450EB">
        <w:fldChar w:fldCharType="separate"/>
      </w:r>
      <w:r w:rsidR="00010D09" w:rsidRPr="00B450EB">
        <w:t>Figura</w:t>
      </w:r>
      <w:r w:rsidRPr="00B450EB">
        <w:fldChar w:fldCharType="end"/>
      </w:r>
      <w:r w:rsidRPr="00B450EB">
        <w:t xml:space="preserve"> y en concordancia con el reporte de sustancias que realiza el </w:t>
      </w:r>
      <w:sdt>
        <w:sdtPr>
          <w:id w:val="-726377561"/>
          <w:citation/>
        </w:sdtPr>
        <w:sdtContent>
          <w:r w:rsidRPr="00B450EB">
            <w:fldChar w:fldCharType="begin"/>
          </w:r>
          <w:r w:rsidRPr="00B450EB">
            <w:rPr>
              <w:lang w:val="es-ES"/>
            </w:rPr>
            <w:instrText xml:space="preserve"> CITATION IDE22 \l 3082 </w:instrText>
          </w:r>
          <w:r w:rsidRPr="00B450EB">
            <w:fldChar w:fldCharType="separate"/>
          </w:r>
          <w:r w:rsidR="0077091E" w:rsidRPr="00B450EB">
            <w:rPr>
              <w:noProof/>
              <w:lang w:val="es-ES"/>
            </w:rPr>
            <w:t>(IDEAM, Estudio Nacional del Agua, 2023)</w:t>
          </w:r>
          <w:r w:rsidRPr="00B450EB">
            <w:fldChar w:fldCharType="end"/>
          </w:r>
        </w:sdtContent>
      </w:sdt>
      <w:r w:rsidRPr="00B450EB">
        <w:t xml:space="preserve">, las </w:t>
      </w:r>
      <w:r w:rsidRPr="00B450EB">
        <w:lastRenderedPageBreak/>
        <w:t xml:space="preserve">subzonas hidrográficas que podrían presentar concentraciones de estos oxidantes, ácidos y solventes orgánicos por disposición de residuos sólidos y líquidos sin tratamiento son: río San Miguel, Alto río Putumayo, afluentes de la zona hidrográfica Putumayo; Alto Caquetá, río </w:t>
      </w:r>
      <w:proofErr w:type="spellStart"/>
      <w:r w:rsidRPr="00B450EB">
        <w:t>Sunsiyá</w:t>
      </w:r>
      <w:proofErr w:type="spellEnd"/>
      <w:r w:rsidRPr="00B450EB">
        <w:t xml:space="preserve">, río Caquetá Medio, río Pescado, río </w:t>
      </w:r>
      <w:proofErr w:type="spellStart"/>
      <w:r w:rsidRPr="00B450EB">
        <w:t>Orteguaza</w:t>
      </w:r>
      <w:proofErr w:type="spellEnd"/>
      <w:r w:rsidRPr="00B450EB">
        <w:t xml:space="preserve">, río Guayas, afluentes de la zona hidrográfica del río Caquetá; Alto Guaviare (zona hidrográfica del río Guaviare); río Inírida (zona hidrográfica del río Inírida); río </w:t>
      </w:r>
      <w:proofErr w:type="spellStart"/>
      <w:r w:rsidRPr="00B450EB">
        <w:t>Unilla</w:t>
      </w:r>
      <w:proofErr w:type="spellEnd"/>
      <w:r w:rsidRPr="00B450EB">
        <w:t xml:space="preserve"> y Alto Vaupés (zona hidrográfica del río Vaupés).     </w:t>
      </w:r>
    </w:p>
    <w:p w14:paraId="71D57273" w14:textId="77777777" w:rsidR="004D474F" w:rsidRPr="00B450EB" w:rsidRDefault="004D474F" w:rsidP="004D474F">
      <w:pPr>
        <w:pStyle w:val="Ttulo3"/>
        <w:numPr>
          <w:ilvl w:val="2"/>
          <w:numId w:val="16"/>
        </w:numPr>
        <w:rPr>
          <w:rFonts w:eastAsia="Aptos" w:cs="Times New Roman"/>
        </w:rPr>
      </w:pPr>
      <w:bookmarkStart w:id="46" w:name="_Toc209722918"/>
      <w:r w:rsidRPr="00B450EB">
        <w:rPr>
          <w:rFonts w:cs="Arial"/>
          <w:szCs w:val="24"/>
        </w:rPr>
        <w:t xml:space="preserve">Caracterización </w:t>
      </w:r>
      <w:r w:rsidRPr="00B450EB">
        <w:rPr>
          <w:rFonts w:cs="Arial"/>
        </w:rPr>
        <w:t>G</w:t>
      </w:r>
      <w:r w:rsidRPr="00B450EB">
        <w:rPr>
          <w:rFonts w:cs="Arial"/>
          <w:szCs w:val="24"/>
        </w:rPr>
        <w:t>eológica</w:t>
      </w:r>
      <w:bookmarkEnd w:id="46"/>
    </w:p>
    <w:p w14:paraId="2494A0BD" w14:textId="4D463DF2" w:rsidR="004D474F" w:rsidRPr="00B450EB" w:rsidRDefault="004D474F" w:rsidP="004D474F">
      <w:r w:rsidRPr="00B450EB">
        <w:t xml:space="preserve">De acuerdo con el Mapa Geológico de Colombia 2023 a escala 1,5 M </w:t>
      </w:r>
      <w:sdt>
        <w:sdtPr>
          <w:rPr>
            <w:rFonts w:cs="Arial"/>
          </w:rPr>
          <w:id w:val="245074363"/>
          <w:citation/>
        </w:sdtPr>
        <w:sdtContent>
          <w:r w:rsidRPr="00B450EB">
            <w:rPr>
              <w:rFonts w:cs="Arial"/>
            </w:rPr>
            <w:fldChar w:fldCharType="begin"/>
          </w:r>
          <w:r w:rsidRPr="00B450EB">
            <w:rPr>
              <w:rFonts w:cs="Arial"/>
            </w:rPr>
            <w:instrText xml:space="preserve"> CITATION SGC23 \l 9226 </w:instrText>
          </w:r>
          <w:r w:rsidRPr="00B450EB">
            <w:rPr>
              <w:rFonts w:cs="Arial"/>
            </w:rPr>
            <w:fldChar w:fldCharType="separate"/>
          </w:r>
          <w:r w:rsidR="0077091E" w:rsidRPr="00B450EB">
            <w:rPr>
              <w:rFonts w:cs="Arial"/>
              <w:noProof/>
            </w:rPr>
            <w:t>(SGC, 2023)</w:t>
          </w:r>
          <w:r w:rsidRPr="00B450EB">
            <w:rPr>
              <w:rFonts w:cs="Arial"/>
            </w:rPr>
            <w:fldChar w:fldCharType="end"/>
          </w:r>
        </w:sdtContent>
      </w:sdt>
      <w:r w:rsidRPr="00B450EB">
        <w:t xml:space="preserve">, el área de la Región Amazónica colombiana se traslapa con 47 unidades cronoestratigráficas, de las cuales destacan por su extensión superficial los conglomerados y arenitas poco consolidados con matriz ferruginosa y arcillosa, arcillolitas con intercalaciones de limolitas, lodolitas arenosas y arenitas (N1-Sc), junto con arcillolitas, limolitas, limolitas arenosas, </w:t>
      </w:r>
      <w:proofErr w:type="spellStart"/>
      <w:r w:rsidRPr="00B450EB">
        <w:t>cuarzoarenitas</w:t>
      </w:r>
      <w:proofErr w:type="spellEnd"/>
      <w:r w:rsidRPr="00B450EB">
        <w:t xml:space="preserve"> y </w:t>
      </w:r>
      <w:proofErr w:type="spellStart"/>
      <w:r w:rsidRPr="00B450EB">
        <w:t>litoarenitas</w:t>
      </w:r>
      <w:proofErr w:type="spellEnd"/>
      <w:r w:rsidRPr="00B450EB">
        <w:t xml:space="preserve"> lodosas a conglomeráticas, </w:t>
      </w:r>
      <w:proofErr w:type="spellStart"/>
      <w:r w:rsidRPr="00B450EB">
        <w:t>packstone</w:t>
      </w:r>
      <w:proofErr w:type="spellEnd"/>
      <w:r w:rsidRPr="00B450EB">
        <w:t xml:space="preserve"> de moluscos y arenitas calcáreas (N1-Sct), ambas unidades del Mioceno; sin embargo, destaca también la presencia de rocas antiguas como el Complejo </w:t>
      </w:r>
      <w:proofErr w:type="spellStart"/>
      <w:r w:rsidRPr="00B450EB">
        <w:t>Migmatítico</w:t>
      </w:r>
      <w:proofErr w:type="spellEnd"/>
      <w:r w:rsidRPr="00B450EB">
        <w:t xml:space="preserve"> del Mitú (que hace parte del escudo de la Guyana), la Formación Pedrera, o la Formación Roraima, todas de edad Precámbrica.</w:t>
      </w:r>
    </w:p>
    <w:p w14:paraId="74E728FB" w14:textId="27A95552" w:rsidR="004D474F" w:rsidRPr="00B450EB" w:rsidRDefault="004D474F" w:rsidP="004D474F">
      <w:pPr>
        <w:pStyle w:val="Descripcin"/>
        <w:rPr>
          <w:color w:val="auto"/>
        </w:rPr>
      </w:pPr>
      <w:bookmarkStart w:id="47" w:name="_Toc209462719"/>
      <w:r w:rsidRPr="00B450EB">
        <w:rPr>
          <w:color w:val="auto"/>
        </w:rPr>
        <w:t>Figura</w:t>
      </w:r>
      <w:r w:rsidR="5C2B71BB" w:rsidRPr="00B450EB">
        <w:rPr>
          <w:color w:val="auto"/>
        </w:rPr>
        <w:t>.</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30</w:t>
      </w:r>
      <w:r w:rsidRPr="00B450EB">
        <w:rPr>
          <w:color w:val="auto"/>
        </w:rPr>
        <w:fldChar w:fldCharType="end"/>
      </w:r>
      <w:r w:rsidRPr="00B450EB">
        <w:rPr>
          <w:color w:val="auto"/>
        </w:rPr>
        <w:t xml:space="preserve"> Unidades Cronoestratigráficas</w:t>
      </w:r>
      <w:bookmarkEnd w:id="47"/>
    </w:p>
    <w:p w14:paraId="631C1978" w14:textId="5788CF0C" w:rsidR="004D474F" w:rsidRPr="00B450EB" w:rsidRDefault="004D474F" w:rsidP="00EC5985">
      <w:pPr>
        <w:spacing w:after="0"/>
        <w:jc w:val="center"/>
        <w:rPr>
          <w:rFonts w:cs="Arial"/>
        </w:rPr>
      </w:pPr>
      <w:r w:rsidRPr="00B450EB">
        <w:rPr>
          <w:rFonts w:cs="Arial"/>
          <w:noProof/>
        </w:rPr>
        <w:drawing>
          <wp:inline distT="0" distB="0" distL="0" distR="0" wp14:anchorId="7E4CE66C" wp14:editId="14877C59">
            <wp:extent cx="3465679" cy="3472543"/>
            <wp:effectExtent l="0" t="0" r="1905" b="0"/>
            <wp:docPr id="2405414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541493" name="Picture 3"/>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3468280" cy="3475150"/>
                    </a:xfrm>
                    <a:prstGeom prst="rect">
                      <a:avLst/>
                    </a:prstGeom>
                    <a:ln>
                      <a:noFill/>
                    </a:ln>
                    <a:extLst>
                      <a:ext uri="{53640926-AAD7-44D8-BBD7-CCE9431645EC}">
                        <a14:shadowObscured xmlns:a14="http://schemas.microsoft.com/office/drawing/2010/main"/>
                      </a:ext>
                    </a:extLst>
                  </pic:spPr>
                </pic:pic>
              </a:graphicData>
            </a:graphic>
          </wp:inline>
        </w:drawing>
      </w:r>
      <w:r w:rsidRPr="00B450EB">
        <w:rPr>
          <w:rFonts w:cs="Arial"/>
          <w:noProof/>
        </w:rPr>
        <w:drawing>
          <wp:inline distT="0" distB="0" distL="0" distR="0" wp14:anchorId="52F48E0A" wp14:editId="56B77824">
            <wp:extent cx="1546554" cy="3449804"/>
            <wp:effectExtent l="0" t="0" r="0" b="0"/>
            <wp:docPr id="1695182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565031" cy="3491019"/>
                    </a:xfrm>
                    <a:prstGeom prst="rect">
                      <a:avLst/>
                    </a:prstGeom>
                    <a:noFill/>
                    <a:ln>
                      <a:noFill/>
                    </a:ln>
                  </pic:spPr>
                </pic:pic>
              </a:graphicData>
            </a:graphic>
          </wp:inline>
        </w:drawing>
      </w:r>
    </w:p>
    <w:p w14:paraId="480A0D33" w14:textId="77777777" w:rsidR="004D474F" w:rsidRPr="00B450EB" w:rsidRDefault="004D474F" w:rsidP="004D474F">
      <w:pPr>
        <w:jc w:val="center"/>
        <w:rPr>
          <w:rFonts w:cs="Arial"/>
          <w:sz w:val="18"/>
          <w:szCs w:val="18"/>
        </w:rPr>
      </w:pPr>
      <w:r w:rsidRPr="00B450EB">
        <w:rPr>
          <w:rFonts w:cs="Arial"/>
          <w:sz w:val="18"/>
          <w:szCs w:val="18"/>
        </w:rPr>
        <w:t>Fuente: Elaboración a partir de SGC, 2023.</w:t>
      </w:r>
    </w:p>
    <w:p w14:paraId="44A939FD" w14:textId="77777777" w:rsidR="004D474F" w:rsidRPr="00B450EB" w:rsidRDefault="004D474F" w:rsidP="004D474F">
      <w:pPr>
        <w:rPr>
          <w:rFonts w:eastAsia="Aptos" w:cs="Times New Roman"/>
        </w:rPr>
      </w:pPr>
    </w:p>
    <w:p w14:paraId="2B227E4C" w14:textId="77777777" w:rsidR="004D474F" w:rsidRPr="00B450EB" w:rsidRDefault="004D474F" w:rsidP="004D474F">
      <w:pPr>
        <w:pStyle w:val="Ttulo3"/>
        <w:numPr>
          <w:ilvl w:val="2"/>
          <w:numId w:val="16"/>
        </w:numPr>
      </w:pPr>
      <w:bookmarkStart w:id="48" w:name="_Toc209722919"/>
      <w:r w:rsidRPr="00B450EB">
        <w:rPr>
          <w:rFonts w:cs="Arial"/>
          <w:szCs w:val="24"/>
        </w:rPr>
        <w:t>Caracterización hidrogeológica</w:t>
      </w:r>
      <w:bookmarkEnd w:id="48"/>
      <w:r w:rsidRPr="00B450EB">
        <w:rPr>
          <w:rFonts w:cs="Arial"/>
        </w:rPr>
        <w:t xml:space="preserve"> </w:t>
      </w:r>
    </w:p>
    <w:p w14:paraId="6553E5DA" w14:textId="77777777" w:rsidR="004D474F" w:rsidRPr="00B450EB" w:rsidRDefault="004D474F" w:rsidP="004D474F">
      <w:pPr>
        <w:pStyle w:val="Ttulo4"/>
        <w:rPr>
          <w:color w:val="auto"/>
        </w:rPr>
      </w:pPr>
      <w:r w:rsidRPr="00B450EB">
        <w:rPr>
          <w:color w:val="auto"/>
        </w:rPr>
        <w:t xml:space="preserve">Regional </w:t>
      </w:r>
    </w:p>
    <w:p w14:paraId="5EA5B788" w14:textId="77777777" w:rsidR="004D474F" w:rsidRPr="00B450EB" w:rsidRDefault="004D474F" w:rsidP="004D474F">
      <w:r w:rsidRPr="00B450EB">
        <w:t>De acuerdo con el Atlas de Aguas Subterráneas de Colombia (INGEOMINAS hoy Servicio Geológico Colombiano - SGC, 2007), el territorio nacional está constituido por dos elementos geotectónicos del Continente Suramericano: Sistema Andino y Escudo Guayanés, estos se distribuyen en cuatro regiones naturales con rasgos litoestratigráficos y tectónicos propios, que conllevan a identificar y delimitar terrenos que ofrecen diverso potencial de aguas subterráneas. Dichas regiones son: Andina, Caribe, Pacífica y Guayana; esta última conformada por la Orinoquia y la Amazonia, la cual es objeto de estudio del presente documento.</w:t>
      </w:r>
    </w:p>
    <w:p w14:paraId="167EC65C" w14:textId="77777777" w:rsidR="004D474F" w:rsidRPr="00B450EB" w:rsidRDefault="004D474F" w:rsidP="004D474F">
      <w:r w:rsidRPr="00B450EB">
        <w:t xml:space="preserve">El área que integra el Bioma Amazónico colombiano se encuentra caracterizada hidrogeológicamente en el Mapa de Permeabilidades de Colombia publicado por el Servicio Geológico Colombiano - SGC en los años 2010 y 2011; este producto temático se derivó del Mapa Geológico de Colombia versión 2007 en escala 1:500.000 como producto de la evaluación cualitativa de cada una de las unidades crono-litoestratigráficas en cuanto a su permeabilidad. </w:t>
      </w:r>
    </w:p>
    <w:p w14:paraId="188C64C2" w14:textId="77777777" w:rsidR="004D474F" w:rsidRPr="00B450EB" w:rsidRDefault="004D474F" w:rsidP="004D474F">
      <w:r w:rsidRPr="00B450EB">
        <w:t xml:space="preserve">Las unidades litoestratigráficas con permeabilidades fueron agrupadas por el SGC en cuatro categorías que integran la litología de los sedimentos y rocas, teniendo en cuenta en estas últimas también consolidaciones, </w:t>
      </w:r>
      <w:proofErr w:type="spellStart"/>
      <w:r w:rsidRPr="00B450EB">
        <w:t>fracturamiento</w:t>
      </w:r>
      <w:proofErr w:type="spellEnd"/>
      <w:r w:rsidRPr="00B450EB">
        <w:t xml:space="preserve"> y disolución. </w:t>
      </w:r>
    </w:p>
    <w:p w14:paraId="5D0215D4" w14:textId="77777777" w:rsidR="004D474F" w:rsidRPr="00B450EB" w:rsidRDefault="004D474F" w:rsidP="004D474F">
      <w:r w:rsidRPr="00B450EB">
        <w:t xml:space="preserve">Esas categorías se definieron como: (A) Sedimentos, rocas sedimentarias y </w:t>
      </w:r>
      <w:proofErr w:type="spellStart"/>
      <w:r w:rsidRPr="00B450EB">
        <w:t>vulcanoclásticas</w:t>
      </w:r>
      <w:proofErr w:type="spellEnd"/>
      <w:r w:rsidRPr="00B450EB">
        <w:t xml:space="preserve"> de alta a media permeabilidad, (B) Rocas con disolución y </w:t>
      </w:r>
      <w:proofErr w:type="spellStart"/>
      <w:r w:rsidRPr="00B450EB">
        <w:t>fracturamiento</w:t>
      </w:r>
      <w:proofErr w:type="spellEnd"/>
      <w:r w:rsidRPr="00B450EB">
        <w:t xml:space="preserve"> de alta a media permeabilidad, (C) Sedimentos y rocas sedimentarias de baja permeabilidad y (D) Rocas sedimentarias muy compactas, ígneas y metamórficas de baja permeabilidad. </w:t>
      </w:r>
    </w:p>
    <w:p w14:paraId="340C5E6D" w14:textId="564B7035" w:rsidR="004D474F" w:rsidRPr="00B450EB" w:rsidRDefault="004D474F" w:rsidP="004D474F">
      <w:r w:rsidRPr="00B450EB">
        <w:t xml:space="preserve">Estas unidades tal como fueron planteadas son correlacionables con las unidades hidrogeológicas: (A) Sedimentos y rocas con flujo esencialmente intergranular; (B) Rocas con flujo esencialmente a través de fracturas, (C y D) Sedimentos y rocas con limitados recursos de agua subterránea; en tal sentido, el Mapa de </w:t>
      </w:r>
      <w:proofErr w:type="spellStart"/>
      <w:r w:rsidRPr="00B450EB">
        <w:t>Litopermeabilidades</w:t>
      </w:r>
      <w:proofErr w:type="spellEnd"/>
      <w:r w:rsidRPr="00B450EB">
        <w:t xml:space="preserve"> cobra gran importancia como única información hidrogeológica con cobertura total del </w:t>
      </w:r>
      <w:r w:rsidR="009C19A6" w:rsidRPr="00B450EB">
        <w:t>Bioma Amazónico.</w:t>
      </w:r>
    </w:p>
    <w:p w14:paraId="598F5177" w14:textId="5240010F" w:rsidR="004D474F" w:rsidRPr="00B450EB" w:rsidRDefault="004D474F" w:rsidP="004D474F">
      <w:r w:rsidRPr="00B450EB">
        <w:t xml:space="preserve">El mapa de </w:t>
      </w:r>
      <w:proofErr w:type="spellStart"/>
      <w:r w:rsidRPr="00B450EB">
        <w:t>litopermeabilidades</w:t>
      </w:r>
      <w:proofErr w:type="spellEnd"/>
      <w:r w:rsidRPr="00B450EB">
        <w:t xml:space="preserve"> se elaboró para las veintiséis (26) planchas continentales en escala 1:500.000 en que se divide el país, de este total, el Bioma Amazónico ocupa de manera parcial catorce (14) planchas (5-10, 5-11, 5-14, 5-15, 5-16, 5-18, 5-19, 5-20, 5-21, 5-22, 5-23, 5-24, 5-25 y 5-26); a continuación, se </w:t>
      </w:r>
      <w:r w:rsidRPr="00B450EB">
        <w:lastRenderedPageBreak/>
        <w:t xml:space="preserve">presenta la distribución de estas en el </w:t>
      </w:r>
      <w:r w:rsidR="009C19A6" w:rsidRPr="00B450EB">
        <w:t xml:space="preserve">Bioma Amazónico </w:t>
      </w:r>
      <w:r w:rsidRPr="00B450EB">
        <w:t>y la descripción de las unidades litoestratigráficas con permeabilidades.</w:t>
      </w:r>
    </w:p>
    <w:p w14:paraId="6A352236" w14:textId="0A40D6E8" w:rsidR="004D474F" w:rsidRPr="00B450EB" w:rsidRDefault="004D474F" w:rsidP="004D474F">
      <w:pPr>
        <w:pStyle w:val="Descripcin"/>
        <w:rPr>
          <w:color w:val="auto"/>
        </w:rPr>
      </w:pPr>
      <w:bookmarkStart w:id="49" w:name="_Toc209462720"/>
      <w:r w:rsidRPr="00B450EB">
        <w:rPr>
          <w:color w:val="auto"/>
        </w:rPr>
        <w:t>Figura</w:t>
      </w:r>
      <w:r w:rsidR="18A66DEB" w:rsidRPr="00B450EB">
        <w:rPr>
          <w:color w:val="auto"/>
        </w:rPr>
        <w:t>.</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31</w:t>
      </w:r>
      <w:r w:rsidRPr="00B450EB">
        <w:rPr>
          <w:color w:val="auto"/>
        </w:rPr>
        <w:fldChar w:fldCharType="end"/>
      </w:r>
      <w:r w:rsidRPr="00B450EB">
        <w:rPr>
          <w:color w:val="auto"/>
        </w:rPr>
        <w:t xml:space="preserve"> Unidades </w:t>
      </w:r>
      <w:r w:rsidR="08940A58" w:rsidRPr="00B450EB">
        <w:rPr>
          <w:color w:val="auto"/>
        </w:rPr>
        <w:t>Litoestratigráficas</w:t>
      </w:r>
      <w:r w:rsidRPr="00B450EB">
        <w:rPr>
          <w:color w:val="auto"/>
        </w:rPr>
        <w:t xml:space="preserve"> con permeabilidades</w:t>
      </w:r>
      <w:bookmarkEnd w:id="49"/>
    </w:p>
    <w:p w14:paraId="136E659C" w14:textId="77777777" w:rsidR="004D474F" w:rsidRPr="00B450EB" w:rsidRDefault="004D474F" w:rsidP="004D474F">
      <w:pPr>
        <w:spacing w:after="0"/>
        <w:rPr>
          <w:sz w:val="18"/>
          <w:szCs w:val="18"/>
        </w:rPr>
      </w:pPr>
      <w:r w:rsidRPr="00B450EB">
        <w:rPr>
          <w:noProof/>
          <w:sz w:val="18"/>
          <w:szCs w:val="18"/>
        </w:rPr>
        <w:drawing>
          <wp:inline distT="0" distB="0" distL="0" distR="0" wp14:anchorId="3145280D" wp14:editId="2CBA100A">
            <wp:extent cx="5612130" cy="4337050"/>
            <wp:effectExtent l="0" t="0" r="7620" b="6350"/>
            <wp:docPr id="6502559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255934" name=""/>
                    <pic:cNvPicPr/>
                  </pic:nvPicPr>
                  <pic:blipFill>
                    <a:blip r:embed="rId70" cstate="email">
                      <a:extLst>
                        <a:ext uri="{28A0092B-C50C-407E-A947-70E740481C1C}">
                          <a14:useLocalDpi xmlns:a14="http://schemas.microsoft.com/office/drawing/2010/main"/>
                        </a:ext>
                      </a:extLst>
                    </a:blip>
                    <a:stretch>
                      <a:fillRect/>
                    </a:stretch>
                  </pic:blipFill>
                  <pic:spPr>
                    <a:xfrm>
                      <a:off x="0" y="0"/>
                      <a:ext cx="5612130" cy="4337050"/>
                    </a:xfrm>
                    <a:prstGeom prst="rect">
                      <a:avLst/>
                    </a:prstGeom>
                  </pic:spPr>
                </pic:pic>
              </a:graphicData>
            </a:graphic>
          </wp:inline>
        </w:drawing>
      </w:r>
    </w:p>
    <w:p w14:paraId="0D3CCC0B" w14:textId="77777777" w:rsidR="004D474F" w:rsidRPr="00B450EB" w:rsidRDefault="004D474F" w:rsidP="004D474F">
      <w:pPr>
        <w:jc w:val="center"/>
        <w:rPr>
          <w:sz w:val="18"/>
          <w:szCs w:val="18"/>
        </w:rPr>
      </w:pPr>
      <w:r w:rsidRPr="00B450EB">
        <w:rPr>
          <w:sz w:val="18"/>
          <w:szCs w:val="18"/>
        </w:rPr>
        <w:t>Fuente: Elaboración propia a partir de información del SGC, 2025.</w:t>
      </w:r>
    </w:p>
    <w:p w14:paraId="4C645BDE" w14:textId="77777777" w:rsidR="00EC5985" w:rsidRPr="00B450EB" w:rsidRDefault="00EC5985" w:rsidP="004D474F">
      <w:pPr>
        <w:jc w:val="center"/>
        <w:rPr>
          <w:sz w:val="18"/>
          <w:szCs w:val="18"/>
        </w:rPr>
      </w:pPr>
    </w:p>
    <w:p w14:paraId="706C8893" w14:textId="77777777" w:rsidR="004D474F" w:rsidRPr="00B450EB" w:rsidRDefault="004D474F" w:rsidP="004D474F">
      <w:pPr>
        <w:rPr>
          <w:b/>
          <w:i/>
        </w:rPr>
      </w:pPr>
      <w:r w:rsidRPr="00B450EB">
        <w:rPr>
          <w:b/>
          <w:i/>
        </w:rPr>
        <w:t xml:space="preserve">Sedimentos, rocas sedimentarias y </w:t>
      </w:r>
      <w:proofErr w:type="spellStart"/>
      <w:r w:rsidRPr="00B450EB">
        <w:rPr>
          <w:b/>
          <w:i/>
        </w:rPr>
        <w:t>vulcanoclásticas</w:t>
      </w:r>
      <w:proofErr w:type="spellEnd"/>
      <w:r w:rsidRPr="00B450EB">
        <w:rPr>
          <w:b/>
          <w:i/>
        </w:rPr>
        <w:t xml:space="preserve"> de alta a media permeabilidad (A).</w:t>
      </w:r>
    </w:p>
    <w:p w14:paraId="0EC073A7" w14:textId="42FF92C5" w:rsidR="004D474F" w:rsidRPr="00B450EB" w:rsidRDefault="004D474F" w:rsidP="004D474F">
      <w:r w:rsidRPr="00B450EB">
        <w:t xml:space="preserve">Unidades geológicas intergranulares constituidas por sedimentos aluviales, de costas, </w:t>
      </w:r>
      <w:proofErr w:type="spellStart"/>
      <w:r w:rsidRPr="00B450EB">
        <w:t>vulcanoclásticos</w:t>
      </w:r>
      <w:proofErr w:type="spellEnd"/>
      <w:r w:rsidRPr="00B450EB">
        <w:t xml:space="preserve"> y rocas sedimentarias poco consolidadas de ambiente continental. Se clasifican dentro de esta categoría, los Depósitos Aluviales (Q-al), Abanicos Aluviales y Depósitos Coluviales (Q-ca), Abanicos Aluviales Disectados (Q1-ca) y Depósitos de Terrazas (Q1-t), entre otros; así como las rocas de las unidades N-Sc, E3N1-Sct, e6-e9-Sc, e6-e9-Sct y b5b6-Sctm. A continuación, se describen las de mayor relevancia en el </w:t>
      </w:r>
      <w:r w:rsidR="009C19A6" w:rsidRPr="00B450EB">
        <w:t>Bioma Amazónico</w:t>
      </w:r>
      <w:r w:rsidRPr="00B450EB">
        <w:t>:</w:t>
      </w:r>
    </w:p>
    <w:p w14:paraId="08219813" w14:textId="77777777" w:rsidR="004D474F" w:rsidRPr="00B450EB" w:rsidRDefault="004D474F" w:rsidP="004D474F">
      <w:r w:rsidRPr="00B450EB">
        <w:lastRenderedPageBreak/>
        <w:t xml:space="preserve">Los depósitos cuaternarios presentan una composición variada, conformada según los drenajes que los transportan. Los sedimentos acumulados por los ríos de origen andino consisten principalmente en arenas y arcillas compuestas por cuarzo, </w:t>
      </w:r>
      <w:proofErr w:type="spellStart"/>
      <w:r w:rsidRPr="00B450EB">
        <w:t>chert</w:t>
      </w:r>
      <w:proofErr w:type="spellEnd"/>
      <w:r w:rsidRPr="00B450EB">
        <w:t xml:space="preserve"> y materiales líticos; el espesor de estas acumulaciones es muy variable, su edad es Holoceno a Reciente y están en permanente proceso de acumulación y reorganización (tomado de SGC, 2011).</w:t>
      </w:r>
    </w:p>
    <w:p w14:paraId="0BD3D28B" w14:textId="77777777" w:rsidR="004D474F" w:rsidRPr="00B450EB" w:rsidRDefault="004D474F" w:rsidP="004D474F">
      <w:r w:rsidRPr="00B450EB">
        <w:t xml:space="preserve">Los depósitos aluviales de mayor relevancia se relacionan a los cauces actuales y activos de los diferentes ríos que drenan la zona, entre estos, ríos </w:t>
      </w:r>
      <w:proofErr w:type="spellStart"/>
      <w:r w:rsidRPr="00B450EB">
        <w:t>Orteguaza</w:t>
      </w:r>
      <w:proofErr w:type="spellEnd"/>
      <w:r w:rsidRPr="00B450EB">
        <w:t xml:space="preserve">, Caguán, </w:t>
      </w:r>
      <w:proofErr w:type="spellStart"/>
      <w:r w:rsidRPr="00B450EB">
        <w:t>Chingual</w:t>
      </w:r>
      <w:proofErr w:type="spellEnd"/>
      <w:r w:rsidRPr="00B450EB">
        <w:t xml:space="preserve">, </w:t>
      </w:r>
      <w:proofErr w:type="spellStart"/>
      <w:r w:rsidRPr="00B450EB">
        <w:t>Guamues</w:t>
      </w:r>
      <w:proofErr w:type="spellEnd"/>
      <w:r w:rsidRPr="00B450EB">
        <w:t xml:space="preserve">, Caquetá, Duda, Guayabero, San Miguel y Guayas, de origen andino y los ríos </w:t>
      </w:r>
      <w:proofErr w:type="spellStart"/>
      <w:r w:rsidRPr="00B450EB">
        <w:t>Yarí</w:t>
      </w:r>
      <w:proofErr w:type="spellEnd"/>
      <w:r w:rsidRPr="00B450EB">
        <w:t xml:space="preserve">, Apaporis, </w:t>
      </w:r>
      <w:proofErr w:type="spellStart"/>
      <w:r w:rsidRPr="00B450EB">
        <w:t>Mesay</w:t>
      </w:r>
      <w:proofErr w:type="spellEnd"/>
      <w:r w:rsidRPr="00B450EB">
        <w:t xml:space="preserve">, Vaupés, Guaviare, Guainía, Inírida, </w:t>
      </w:r>
      <w:proofErr w:type="spellStart"/>
      <w:r w:rsidRPr="00B450EB">
        <w:t>Miriti</w:t>
      </w:r>
      <w:proofErr w:type="spellEnd"/>
      <w:r w:rsidRPr="00B450EB">
        <w:t xml:space="preserve"> Paraná, </w:t>
      </w:r>
      <w:proofErr w:type="spellStart"/>
      <w:r w:rsidRPr="00B450EB">
        <w:t>Cahuinarí</w:t>
      </w:r>
      <w:proofErr w:type="spellEnd"/>
      <w:r w:rsidRPr="00B450EB">
        <w:t xml:space="preserve">, Igara Paraná, Pure, Orinoco, </w:t>
      </w:r>
      <w:proofErr w:type="spellStart"/>
      <w:r w:rsidRPr="00B450EB">
        <w:t>Cotuhé</w:t>
      </w:r>
      <w:proofErr w:type="spellEnd"/>
      <w:r w:rsidRPr="00B450EB">
        <w:t xml:space="preserve">, Amazonas y </w:t>
      </w:r>
      <w:proofErr w:type="spellStart"/>
      <w:r w:rsidRPr="00B450EB">
        <w:t>Quemaní</w:t>
      </w:r>
      <w:proofErr w:type="spellEnd"/>
      <w:r w:rsidRPr="00B450EB">
        <w:t xml:space="preserve"> de origen amazónico.</w:t>
      </w:r>
    </w:p>
    <w:p w14:paraId="5840D677" w14:textId="77777777" w:rsidR="004D474F" w:rsidRPr="00B450EB" w:rsidRDefault="004D474F" w:rsidP="004D474F">
      <w:r w:rsidRPr="00B450EB">
        <w:t xml:space="preserve">En el Bioma Amazónico colombiano las terrazas de mayor extensión se relacionan al curso de los ríos Putumayo, Caquetá, Apaporis, Inírida, Guayabero, Caguán y </w:t>
      </w:r>
      <w:proofErr w:type="spellStart"/>
      <w:r w:rsidRPr="00B450EB">
        <w:t>Yarí</w:t>
      </w:r>
      <w:proofErr w:type="spellEnd"/>
      <w:r w:rsidRPr="00B450EB">
        <w:t xml:space="preserve">. Corresponden a depósitos antiguos y de mayor elevación con respecto al cauce actual del río. Se componen de gravas y esporádicamente arenas; las gravas son de bloques, guijos y guijarros de tamaño medio a grueso, composición muy variable y matriz de arena media a gruesa (Fuquen, J., 2003; en Mapa de </w:t>
      </w:r>
      <w:proofErr w:type="spellStart"/>
      <w:r w:rsidRPr="00B450EB">
        <w:t>Litopermeabilidades</w:t>
      </w:r>
      <w:proofErr w:type="spellEnd"/>
      <w:r w:rsidRPr="00B450EB">
        <w:t>, Plancha 5-22).</w:t>
      </w:r>
    </w:p>
    <w:p w14:paraId="4A70875E" w14:textId="77777777" w:rsidR="004D474F" w:rsidRPr="00B450EB" w:rsidRDefault="004D474F" w:rsidP="004D474F">
      <w:r w:rsidRPr="00B450EB">
        <w:t xml:space="preserve">De acuerdo con el Mapa Geológico de Colombia (SGC, 2007) utilizado como insumo base en el Mapa de </w:t>
      </w:r>
      <w:proofErr w:type="spellStart"/>
      <w:r w:rsidRPr="00B450EB">
        <w:t>Litopermeabilidades</w:t>
      </w:r>
      <w:proofErr w:type="spellEnd"/>
      <w:r w:rsidRPr="00B450EB">
        <w:t>, la unidad N-Sc aflora en gran parte del Bioma Amazónico. Con base en estudios locales como el “Potencial de Recursos Minerales en el Oriente Colombiano” (Celada, 2006) y “Contribución a la Geología de la Orinoquia Colombiana” (Mosquera, 1983), esta unidad ha sido identificada como Formación Terciario sin Diferenciar, conformada principalmente por rocas sedimentarias tales como conglomerados, areniscas, limolitas y arcillolitas</w:t>
      </w:r>
    </w:p>
    <w:p w14:paraId="5A060FD1" w14:textId="77777777" w:rsidR="004D474F" w:rsidRPr="00B450EB" w:rsidRDefault="004D474F" w:rsidP="004D474F">
      <w:r w:rsidRPr="00B450EB">
        <w:t>Otros estudios, como el “Inventario Minero del Departamento del Caquetá” (Díaz, 1999) y los trabajos de Galvis et al. (1979), se refieren a este extenso y heterogéneo conjunto de sedimentos de origen continental con el nombre informal de Terciario Superior Amazónico, el cual presenta rasgos morfológicos característicos, entre ellos un drenaje dendrítico, valles en forma de U y colinas redondeadas.</w:t>
      </w:r>
    </w:p>
    <w:p w14:paraId="3599A9A1" w14:textId="77777777" w:rsidR="004D474F" w:rsidRPr="00B450EB" w:rsidRDefault="004D474F" w:rsidP="004D474F">
      <w:r w:rsidRPr="00B450EB">
        <w:t>Asimismo, en el Mapa Hidrogeológico de Colombia (</w:t>
      </w:r>
      <w:proofErr w:type="spellStart"/>
      <w:r w:rsidRPr="00B450EB">
        <w:t>Huguett</w:t>
      </w:r>
      <w:proofErr w:type="spellEnd"/>
      <w:r w:rsidRPr="00B450EB">
        <w:t>, 1987), la unidad N-Sc se incluye dentro del grupo de sedimentos y rocas con porosidad primaria de interés hidrogeológico, conformando acuíferos locales de extensión variable en rocas sedimentarias no cementadas, generalmente de granulometría fina, con aguas de buena calidad química y baja permeabilidad (referencia tomada de SGC, 2011).</w:t>
      </w:r>
    </w:p>
    <w:p w14:paraId="630D641F" w14:textId="77777777" w:rsidR="004D474F" w:rsidRPr="00B450EB" w:rsidRDefault="004D474F" w:rsidP="004D474F">
      <w:r w:rsidRPr="00B450EB">
        <w:lastRenderedPageBreak/>
        <w:t>En el Atlas de Aguas Subterráneas (Hincapié, G., 2003), para el área correspondiente a la Plancha 5-13, esta unidad, se clasifica como un acuífero con porosidad primaria, caracterizado por su discontinuidad y baja productividad. Se describe que puede comportarse como confinado o semiconfinado en las zonas de almacenamiento, mientras que en las áreas de afloramiento actúa como acuífero libre, recargándose principalmente a partir de la precipitación pluvial.</w:t>
      </w:r>
    </w:p>
    <w:p w14:paraId="13C6E2EA" w14:textId="77777777" w:rsidR="004D474F" w:rsidRPr="00B450EB" w:rsidRDefault="004D474F" w:rsidP="004D474F">
      <w:r w:rsidRPr="00B450EB">
        <w:t>Con los Depósitos Aluviales (</w:t>
      </w:r>
      <w:proofErr w:type="spellStart"/>
      <w:r w:rsidRPr="00B450EB">
        <w:t>Qal</w:t>
      </w:r>
      <w:proofErr w:type="spellEnd"/>
      <w:r w:rsidRPr="00B450EB">
        <w:t>) y el Terciario Superior Amazónico (</w:t>
      </w:r>
      <w:proofErr w:type="spellStart"/>
      <w:r w:rsidRPr="00B450EB">
        <w:t>Tsa</w:t>
      </w:r>
      <w:proofErr w:type="spellEnd"/>
      <w:r w:rsidRPr="00B450EB">
        <w:t>) se asocia el Sistema Acuífero Leticia definido en el Estudio Nacional del Agua (IDEAM, 2022) como SAP2.2, allí se menciona que este sistema es multicapa de tipo libre que se extiende hacia Brasil cuyos espesores son variables entre 30 y 70m, por lo que también se considera un acuífero transfronterizo. Su recarga se debe principalmente a la infiltración directa de la precipitación en el sector norte y su descarga corresponde al río Amazonas. El principal uso dado en su aprovechamiento por las comunidades es el doméstico, incluido el consumo humano, seguido del recreativo e industrial; esto a través de 781 aljibes y 87 pozos profundos que se identificaron en su momento para la caracterización del sistema, sin embargo, se desconoce el volumen de agua concesionada o el estado de su calidad dado que no existe monitoreo; preliminarmente se describe el agua dulce de baja mineralización con valores de pH moderadamente ácidos.</w:t>
      </w:r>
    </w:p>
    <w:p w14:paraId="4FFBE2D4" w14:textId="77777777" w:rsidR="004D474F" w:rsidRPr="00B450EB" w:rsidRDefault="004D474F" w:rsidP="004D474F">
      <w:r w:rsidRPr="00B450EB">
        <w:t xml:space="preserve">Con un muy bajo nivel de información, el Estudio Nacional del Agua - ENA (IDEAM, 2014, 2018 y 2022) también prioriza el Sistema Acuífero SAP 2.1 de Valles Aluviales y Terrazas de Grandes Ríos, asociado a los depósitos de sedimentos transportados y acumulados por los afluentes Caguán, </w:t>
      </w:r>
      <w:proofErr w:type="spellStart"/>
      <w:r w:rsidRPr="00B450EB">
        <w:t>Yarí</w:t>
      </w:r>
      <w:proofErr w:type="spellEnd"/>
      <w:r w:rsidRPr="00B450EB">
        <w:t xml:space="preserve">, Caquetá, Apaporis, </w:t>
      </w:r>
      <w:proofErr w:type="spellStart"/>
      <w:r w:rsidRPr="00B450EB">
        <w:t>Cahuinarí</w:t>
      </w:r>
      <w:proofErr w:type="spellEnd"/>
      <w:r w:rsidRPr="00B450EB">
        <w:t>, Igara Paraná y Putumayo.</w:t>
      </w:r>
    </w:p>
    <w:p w14:paraId="0D39C539" w14:textId="77777777" w:rsidR="004D474F" w:rsidRPr="00B450EB" w:rsidRDefault="004D474F" w:rsidP="004D474F">
      <w:r w:rsidRPr="00B450EB">
        <w:t>También se encuentran en la zona las unidades E3N1-Sct y e6-e9-Sc, que, aunque no han sido incluidas en el ENA dentro de los sistemas acuíferos son consideras localmente de interés en el abastecimiento del recurso hídrico.</w:t>
      </w:r>
    </w:p>
    <w:p w14:paraId="7C4FC5E3" w14:textId="77777777" w:rsidR="004D474F" w:rsidRPr="00B450EB" w:rsidRDefault="004D474F" w:rsidP="004D474F">
      <w:r w:rsidRPr="00B450EB">
        <w:t>La unidad E3N1-Sct aflora parte de las planchas 5-14, 5-18, 5-19 y 5-22, desde el piedemonte hacia la llanura amazónica principalmente en el Departamento del Putumayo, allí se identifica con el Grupo Orito considerado localmente como un acuífero de baja productividad, de tipo confinado, de extensión regional, multicapa, con un espesor de 500 y 2000 m (tomado de Memoria Técnica de la Plancha 5-14 del Atlas de Aguas Subterráneas de Colombia (Hincapié, G., 2003).</w:t>
      </w:r>
    </w:p>
    <w:p w14:paraId="1B679FC9" w14:textId="77777777" w:rsidR="004D474F" w:rsidRPr="00B450EB" w:rsidRDefault="004D474F" w:rsidP="004D474F">
      <w:r w:rsidRPr="00B450EB">
        <w:t xml:space="preserve">La unidad e6-e9-Sc se limita a afloramientos a manera de franjas alargadas en el piedemonte en jurisdicción de las planchas 5-18, 5-19 y 5-14; en el departamento de Caquetá se relaciona con la Formación Pepino considerado un acuífero </w:t>
      </w:r>
      <w:r w:rsidRPr="00B450EB">
        <w:lastRenderedPageBreak/>
        <w:t xml:space="preserve">confinado, multicapa, de extensión regional, con un espesor que fluctúa entre 150 y 900, se presume con porosidad primaria de baja permeabilidad y productividad (Hincapié, G., y </w:t>
      </w:r>
      <w:proofErr w:type="spellStart"/>
      <w:r w:rsidRPr="00B450EB">
        <w:t>Huguett</w:t>
      </w:r>
      <w:proofErr w:type="spellEnd"/>
      <w:r w:rsidRPr="00B450EB">
        <w:t>, A., 2004).</w:t>
      </w:r>
    </w:p>
    <w:p w14:paraId="7169A17B" w14:textId="77777777" w:rsidR="004D474F" w:rsidRPr="00B450EB" w:rsidRDefault="004D474F" w:rsidP="004D474F">
      <w:r w:rsidRPr="00B450EB">
        <w:t xml:space="preserve">Finalmente, respecto a la categoría “A” de </w:t>
      </w:r>
      <w:proofErr w:type="spellStart"/>
      <w:r w:rsidRPr="00B450EB">
        <w:t>litopermeabilidades</w:t>
      </w:r>
      <w:proofErr w:type="spellEnd"/>
      <w:r w:rsidRPr="00B450EB">
        <w:t xml:space="preserve"> cabe anotar que cubre más del 60% del Bioma Amazónico colombiano, es decir que, en este porcentaje del área afloran sedimentos y rocas con permeabilidad y porosidad intergranular que presentan variados potenciales de infiltración y almacenamiento de agua subterránea dependiendo de su composición litológica. No obstante, es de señalar que, de acuerdo con el Mapa de Recarga presentado en el Estudio Nacional del Agua (IDEAM, 2018), las zonas con potencialidad de recarga alta y moderada se localizan principalmente relacionadas con los Depósitos Cuaternarios del Sistema Acuífero SAP 2.1 y la franja del piedemonte amazónico con presencia de unidades geológicas incluidas en esta categoría; áreas que a su vez coinciden parcialmente con sectores identificados actualmente sin ningún tipo de restricción legal. En este sentido, teniendo en cuenta el potencial acuífero y de recarga hídrica de dichos sectores, es menester determinar su especial protección como áreas de importancia estratégica para la conservación de recursos hídricos de acuerdo con los establecido en el Ley 99 de 1993 (artículos 1.2 y 111).</w:t>
      </w:r>
    </w:p>
    <w:p w14:paraId="7C64E61D" w14:textId="77777777" w:rsidR="004D474F" w:rsidRPr="00B450EB" w:rsidRDefault="004D474F" w:rsidP="004D474F">
      <w:pPr>
        <w:rPr>
          <w:b/>
          <w:i/>
        </w:rPr>
      </w:pPr>
      <w:r w:rsidRPr="00B450EB">
        <w:rPr>
          <w:b/>
          <w:i/>
        </w:rPr>
        <w:t xml:space="preserve">Rocas sedimentarias, ígneas y metamórficas con disolución y/o </w:t>
      </w:r>
      <w:proofErr w:type="spellStart"/>
      <w:r w:rsidRPr="00B450EB">
        <w:rPr>
          <w:b/>
          <w:i/>
        </w:rPr>
        <w:t>fracturamiento</w:t>
      </w:r>
      <w:proofErr w:type="spellEnd"/>
      <w:r w:rsidRPr="00B450EB">
        <w:rPr>
          <w:b/>
          <w:i/>
        </w:rPr>
        <w:t xml:space="preserve"> de alta a media permeabilidad (B).</w:t>
      </w:r>
    </w:p>
    <w:p w14:paraId="45DCDF3F" w14:textId="77777777" w:rsidR="004D474F" w:rsidRPr="00B450EB" w:rsidRDefault="004D474F" w:rsidP="004D474F">
      <w:r w:rsidRPr="00B450EB">
        <w:t xml:space="preserve">Unidades geológicas fracturadas y con disolución. Constituidas por rocas sedimentarias y </w:t>
      </w:r>
      <w:proofErr w:type="spellStart"/>
      <w:r w:rsidRPr="00B450EB">
        <w:t>vulcanoclásticas</w:t>
      </w:r>
      <w:proofErr w:type="spellEnd"/>
      <w:r w:rsidRPr="00B450EB">
        <w:t xml:space="preserve"> de ambiente marino, transicional y continental, rocas ígneas y metamórficas (SGC, 2011).</w:t>
      </w:r>
    </w:p>
    <w:p w14:paraId="456D3F57" w14:textId="787F29F0" w:rsidR="004D474F" w:rsidRPr="00B450EB" w:rsidRDefault="004D474F" w:rsidP="004D474F">
      <w:r w:rsidRPr="00B450EB">
        <w:t xml:space="preserve">En el </w:t>
      </w:r>
      <w:r w:rsidR="009C19A6" w:rsidRPr="00B450EB">
        <w:t>Bioma Amazónico</w:t>
      </w:r>
      <w:r w:rsidRPr="00B450EB">
        <w:t>, esta categoría caracteriza unidades geológicas presentes en la Cordillera Oriental y el piedemonte de la Llanura Amazónica (Planchas 5-14 y 5-18), denominadas como b6k6-Stm, b6k5-Sm, b6k</w:t>
      </w:r>
      <w:proofErr w:type="gramStart"/>
      <w:r w:rsidRPr="00B450EB">
        <w:t>1?-</w:t>
      </w:r>
      <w:proofErr w:type="spellStart"/>
      <w:proofErr w:type="gramEnd"/>
      <w:r w:rsidRPr="00B450EB">
        <w:t>Sctm</w:t>
      </w:r>
      <w:proofErr w:type="spellEnd"/>
      <w:r w:rsidRPr="00B450EB">
        <w:t xml:space="preserve">, T3J1-VCc y T3J-Pi. En el Mapa de </w:t>
      </w:r>
      <w:proofErr w:type="spellStart"/>
      <w:r w:rsidRPr="00B450EB">
        <w:t>Litopermeabilidades</w:t>
      </w:r>
      <w:proofErr w:type="spellEnd"/>
      <w:r w:rsidRPr="00B450EB">
        <w:t xml:space="preserve"> se consideraron, de manera cualitativa, de interés hidrogeológico, ya sea debido a su composición litológica con presencia de materiales calcáreos y/o por su alto grado de </w:t>
      </w:r>
      <w:proofErr w:type="spellStart"/>
      <w:r w:rsidRPr="00B450EB">
        <w:t>fracturamiento</w:t>
      </w:r>
      <w:proofErr w:type="spellEnd"/>
      <w:r w:rsidRPr="00B450EB">
        <w:t xml:space="preserve">. </w:t>
      </w:r>
    </w:p>
    <w:p w14:paraId="0B23C314" w14:textId="77777777" w:rsidR="004D474F" w:rsidRPr="00B450EB" w:rsidRDefault="004D474F" w:rsidP="004D474F">
      <w:r w:rsidRPr="00B450EB">
        <w:t>La unidad b6k</w:t>
      </w:r>
      <w:proofErr w:type="gramStart"/>
      <w:r w:rsidRPr="00B450EB">
        <w:t>1?-</w:t>
      </w:r>
      <w:proofErr w:type="spellStart"/>
      <w:proofErr w:type="gramEnd"/>
      <w:r w:rsidRPr="00B450EB">
        <w:t>Sctm</w:t>
      </w:r>
      <w:proofErr w:type="spellEnd"/>
      <w:r w:rsidRPr="00B450EB">
        <w:t xml:space="preserve"> localmente se correlaciona con la Formación Caballos; en la Plancha 5-13 del Atlas de Aguas Subterráneas (Hincapié, G., 2003) se considera como un acuífero potencial con porosidad secundaria por </w:t>
      </w:r>
      <w:proofErr w:type="spellStart"/>
      <w:r w:rsidRPr="00B450EB">
        <w:t>fracturamiento</w:t>
      </w:r>
      <w:proofErr w:type="spellEnd"/>
      <w:r w:rsidRPr="00B450EB">
        <w:t xml:space="preserve">, discontinuo de extensión regional. La unidad b6k6-Stm en la Plancha 5-14 (SGC, 2011) se asocia con la Formación Villeta y el Grupo </w:t>
      </w:r>
      <w:proofErr w:type="spellStart"/>
      <w:r w:rsidRPr="00B450EB">
        <w:t>Olini</w:t>
      </w:r>
      <w:proofErr w:type="spellEnd"/>
      <w:r w:rsidRPr="00B450EB">
        <w:t>.</w:t>
      </w:r>
    </w:p>
    <w:p w14:paraId="75FF7AE7" w14:textId="77777777" w:rsidR="004D474F" w:rsidRPr="00B450EB" w:rsidRDefault="004D474F" w:rsidP="004D474F">
      <w:r w:rsidRPr="00B450EB">
        <w:t xml:space="preserve">Adicionalmente, se considera importante mencionar que parte del área de afloramiento de esta categoría (B) en la Plancha 5-18 se encuentra en zonas de </w:t>
      </w:r>
      <w:r w:rsidRPr="00B450EB">
        <w:lastRenderedPageBreak/>
        <w:t>páramo identificadas por el Ministerio de Ambiente y Desarrollo Sostenible como ecosistemas estratégicos sujetos de protección.</w:t>
      </w:r>
    </w:p>
    <w:p w14:paraId="651AE94D" w14:textId="77777777" w:rsidR="004D474F" w:rsidRPr="00B450EB" w:rsidRDefault="004D474F" w:rsidP="004D474F">
      <w:pPr>
        <w:rPr>
          <w:b/>
          <w:i/>
        </w:rPr>
      </w:pPr>
      <w:r w:rsidRPr="00B450EB">
        <w:rPr>
          <w:b/>
          <w:i/>
        </w:rPr>
        <w:t>Sedimentos y rocas sedimentarias de baja permeabilidad (C)</w:t>
      </w:r>
    </w:p>
    <w:p w14:paraId="547512B4" w14:textId="77777777" w:rsidR="004D474F" w:rsidRPr="00B450EB" w:rsidRDefault="004D474F" w:rsidP="004D474F">
      <w:r w:rsidRPr="00B450EB">
        <w:t xml:space="preserve">Unidades geológicas que pueden almacenar agua, pero la transmiten lentamente. Constituidas por sedimentos </w:t>
      </w:r>
      <w:proofErr w:type="spellStart"/>
      <w:r w:rsidRPr="00B450EB">
        <w:t>paludales</w:t>
      </w:r>
      <w:proofErr w:type="spellEnd"/>
      <w:r w:rsidRPr="00B450EB">
        <w:t>, morrénicos y de dunas y por rocas sedimentarias poco consolidadas a muy consolidadas, de origen continental, transicional y marino (tomado de SGC, 2011).</w:t>
      </w:r>
    </w:p>
    <w:p w14:paraId="2A5B542A" w14:textId="51AF1C7A" w:rsidR="004D474F" w:rsidRPr="00B450EB" w:rsidRDefault="004D474F" w:rsidP="004D474F">
      <w:r w:rsidRPr="00B450EB">
        <w:t xml:space="preserve">En el Bioma Amazónico, esta categoría se extiende principalmente en los departamentos de Vaupés y Amazonas asociada con el Terciario Inferior Amazónico según Galvis, et al., (1979) en “Inventario Minero en el Departamento del Caquetá” (Díaz, D., 1999) </w:t>
      </w:r>
      <w:proofErr w:type="spellStart"/>
      <w:r w:rsidRPr="00B450EB">
        <w:t>ó</w:t>
      </w:r>
      <w:proofErr w:type="spellEnd"/>
      <w:r w:rsidRPr="00B450EB">
        <w:t xml:space="preserve"> Formación </w:t>
      </w:r>
      <w:proofErr w:type="spellStart"/>
      <w:r w:rsidRPr="00B450EB">
        <w:t>Pebas</w:t>
      </w:r>
      <w:proofErr w:type="spellEnd"/>
      <w:r w:rsidRPr="00B450EB">
        <w:t xml:space="preserve"> o Terciario Inferior con litología compuesta por arcillas, arcillas arenosas, limolitas, arenas muy finas, lignitos, niveles calcáreos, niveles fosilíferos, lutitas y lodolitas arenosas según el Sistema de Información Ambiental Territorial de la Amazonía Colombiana   (SIAT-AC) (Tomado de Plancha 5-23, SGC, (2011)).</w:t>
      </w:r>
    </w:p>
    <w:p w14:paraId="0CB8A1C2" w14:textId="77777777" w:rsidR="004D474F" w:rsidRPr="00B450EB" w:rsidRDefault="004D474F" w:rsidP="004D474F">
      <w:r w:rsidRPr="00B450EB">
        <w:t>En el mapa de potencialidad de recarga del Estudio Nacional del Agua (IDEAM, 2018) el área que corresponde con los sedimentos y rocas de baja permeabilidad (C) se establece con bajo potencial de recarga hídrica.</w:t>
      </w:r>
    </w:p>
    <w:p w14:paraId="2222426E" w14:textId="77777777" w:rsidR="004D474F" w:rsidRPr="00B450EB" w:rsidRDefault="004D474F" w:rsidP="004D474F">
      <w:pPr>
        <w:rPr>
          <w:b/>
          <w:i/>
        </w:rPr>
      </w:pPr>
      <w:r w:rsidRPr="00B450EB">
        <w:rPr>
          <w:b/>
          <w:i/>
        </w:rPr>
        <w:t>Rocas sedimentarias muy compactas, ígneas y metamórficas de baja Permeabilidad (D)</w:t>
      </w:r>
    </w:p>
    <w:p w14:paraId="175B3D38" w14:textId="77777777" w:rsidR="004D474F" w:rsidRPr="00B450EB" w:rsidRDefault="004D474F" w:rsidP="004D474F">
      <w:r w:rsidRPr="00B450EB">
        <w:t>Unidades geológicas sin capacidad de absorber o transmitir agua, complejo de rocas sedimentarias, ígneas y metamórficas muy compactas (tomado de SGC, 2011).</w:t>
      </w:r>
    </w:p>
    <w:p w14:paraId="22485D38" w14:textId="4DA382EB" w:rsidR="004D474F" w:rsidRPr="00B450EB" w:rsidRDefault="004D474F" w:rsidP="004D474F">
      <w:r w:rsidRPr="00B450EB">
        <w:t xml:space="preserve">De esta categoría, </w:t>
      </w:r>
      <w:r w:rsidR="28AC1A83" w:rsidRPr="00B450EB">
        <w:t>geológicamente</w:t>
      </w:r>
      <w:r w:rsidRPr="00B450EB">
        <w:t xml:space="preserve"> hacen parte los complejos </w:t>
      </w:r>
      <w:proofErr w:type="spellStart"/>
      <w:r w:rsidRPr="00B450EB">
        <w:t>Quebradagrande</w:t>
      </w:r>
      <w:proofErr w:type="spellEnd"/>
      <w:r w:rsidRPr="00B450EB">
        <w:t xml:space="preserve"> y </w:t>
      </w:r>
      <w:proofErr w:type="spellStart"/>
      <w:r w:rsidRPr="00B450EB">
        <w:t>Migmatítico</w:t>
      </w:r>
      <w:proofErr w:type="spellEnd"/>
      <w:r w:rsidRPr="00B450EB">
        <w:t xml:space="preserve"> de Mitú, el Granito de </w:t>
      </w:r>
      <w:proofErr w:type="spellStart"/>
      <w:r w:rsidRPr="00B450EB">
        <w:t>Parguaza</w:t>
      </w:r>
      <w:proofErr w:type="spellEnd"/>
      <w:r w:rsidRPr="00B450EB">
        <w:t xml:space="preserve">, el Grupo </w:t>
      </w:r>
      <w:proofErr w:type="spellStart"/>
      <w:r w:rsidRPr="00B450EB">
        <w:t>Güejar</w:t>
      </w:r>
      <w:proofErr w:type="spellEnd"/>
      <w:r w:rsidRPr="00B450EB">
        <w:t xml:space="preserve">, las formaciones </w:t>
      </w:r>
      <w:proofErr w:type="spellStart"/>
      <w:r w:rsidRPr="00B450EB">
        <w:t>Romaira</w:t>
      </w:r>
      <w:proofErr w:type="spellEnd"/>
      <w:r w:rsidRPr="00B450EB">
        <w:t xml:space="preserve"> y Pedrera, Saldaña, Araracuara y la Sienita </w:t>
      </w:r>
      <w:proofErr w:type="spellStart"/>
      <w:r w:rsidRPr="00B450EB">
        <w:t>Nefelítca</w:t>
      </w:r>
      <w:proofErr w:type="spellEnd"/>
      <w:r w:rsidRPr="00B450EB">
        <w:t xml:space="preserve"> de San José del Guaviare entre otras unidades. Sus áreas de afloramiento se encuentran parcialmente en los departamentos de Guainía, Vaupés, Caquetá, Guaviare, Cauca, Nariño, Putumayo y Meta, representados a escala local en las serranías de Chiribiquete, La Macarena, La Trampa, </w:t>
      </w:r>
      <w:proofErr w:type="spellStart"/>
      <w:r w:rsidRPr="00B450EB">
        <w:t>Tarairá</w:t>
      </w:r>
      <w:proofErr w:type="spellEnd"/>
      <w:r w:rsidRPr="00B450EB">
        <w:t xml:space="preserve"> </w:t>
      </w:r>
      <w:proofErr w:type="spellStart"/>
      <w:r w:rsidRPr="00B450EB">
        <w:t>Trairá</w:t>
      </w:r>
      <w:proofErr w:type="spellEnd"/>
      <w:r w:rsidRPr="00B450EB">
        <w:t xml:space="preserve"> y La </w:t>
      </w:r>
      <w:proofErr w:type="spellStart"/>
      <w:r w:rsidRPr="00B450EB">
        <w:t>Lindosa</w:t>
      </w:r>
      <w:proofErr w:type="spellEnd"/>
      <w:r w:rsidRPr="00B450EB">
        <w:t>.</w:t>
      </w:r>
    </w:p>
    <w:p w14:paraId="4D2CF8F2" w14:textId="77777777" w:rsidR="004D474F" w:rsidRPr="00B450EB" w:rsidRDefault="004D474F" w:rsidP="004D474F">
      <w:r w:rsidRPr="00B450EB">
        <w:t>En el mapa de potencialidad de recarga del Estudio Nacional del Agua (IDEAM, 2018) las unidades mencionadas anteriormente se clasifican principalmente dentro de la categoría de muy bajo potencial.</w:t>
      </w:r>
    </w:p>
    <w:p w14:paraId="51574051" w14:textId="77777777" w:rsidR="004D474F" w:rsidRPr="00B450EB" w:rsidRDefault="004D474F" w:rsidP="004D474F">
      <w:pPr>
        <w:pStyle w:val="Ttulo4"/>
        <w:rPr>
          <w:rFonts w:cs="Arial"/>
          <w:color w:val="auto"/>
          <w:spacing w:val="-2"/>
        </w:rPr>
      </w:pPr>
      <w:r w:rsidRPr="00B450EB">
        <w:rPr>
          <w:color w:val="auto"/>
        </w:rPr>
        <w:lastRenderedPageBreak/>
        <w:t>Estudios</w:t>
      </w:r>
      <w:r w:rsidRPr="00B450EB">
        <w:rPr>
          <w:rFonts w:cs="Arial"/>
          <w:color w:val="auto"/>
          <w:spacing w:val="-2"/>
        </w:rPr>
        <w:t xml:space="preserve"> Locales</w:t>
      </w:r>
    </w:p>
    <w:p w14:paraId="1B4B4C8E" w14:textId="77777777" w:rsidR="004D474F" w:rsidRPr="00B450EB" w:rsidRDefault="004D474F" w:rsidP="004D474F">
      <w:pPr>
        <w:rPr>
          <w:b/>
          <w:i/>
        </w:rPr>
      </w:pPr>
      <w:r w:rsidRPr="00B450EB">
        <w:rPr>
          <w:b/>
          <w:i/>
        </w:rPr>
        <w:t>Modelo Hidrogeológico de San José del Guaviare</w:t>
      </w:r>
    </w:p>
    <w:p w14:paraId="32C490FE" w14:textId="77777777" w:rsidR="004D474F" w:rsidRPr="00B450EB" w:rsidRDefault="004D474F" w:rsidP="004D474F">
      <w:r w:rsidRPr="00B450EB">
        <w:t>Esta investigación fue publicada por el Servicio Geológico Colombiano – SGC en el año 2016, su área de estudio se enmarca en el casco urbano y entorno del municipio de San José del Guaviare.</w:t>
      </w:r>
    </w:p>
    <w:p w14:paraId="39FB3CF6" w14:textId="77777777" w:rsidR="004D474F" w:rsidRPr="00B450EB" w:rsidRDefault="004D474F" w:rsidP="004D474F">
      <w:r w:rsidRPr="00B450EB">
        <w:t xml:space="preserve">En la unidad hidrogeológica de Sedimentos y rocas con flujo esencialmente intergranular se caracterizaron sistemas acuíferos continuos de extensión regional a intermedia de tipo libre con muy alta productividad, representados en los Depósitos Aluviales, Depósitos de Vertiente y la Formación Caja, esta última correlacionable posiblemente con la unidad N-Sc del Mapa Geológico de Colombia que dio origen al Mapa de </w:t>
      </w:r>
      <w:proofErr w:type="spellStart"/>
      <w:r w:rsidRPr="00B450EB">
        <w:t>Litopermeabilidades</w:t>
      </w:r>
      <w:proofErr w:type="spellEnd"/>
      <w:r w:rsidRPr="00B450EB">
        <w:t xml:space="preserve"> (SGC, 2011).</w:t>
      </w:r>
    </w:p>
    <w:p w14:paraId="765E774A" w14:textId="77777777" w:rsidR="004D474F" w:rsidRPr="00B450EB" w:rsidRDefault="004D474F" w:rsidP="004D474F">
      <w:r w:rsidRPr="00B450EB">
        <w:t>Como Rocas con flujo Esencialmente a través de Fracturas se clasificó la Formación Areniscas de San José, caracterizadas con porosidad secundaria y localmente primaria, como sistemas acuíferos de extensión regional de tipo libre a confinado con media a baja productividad. Según el Modelo Hidrogeológico es en esta formación donde se presenta la recarga del área de estudio que a su vez se traslada en gran medida la Formación Caja y los sedimentos indicando con esto un flujo de carácter regional.</w:t>
      </w:r>
    </w:p>
    <w:p w14:paraId="21134E7E" w14:textId="77777777" w:rsidR="004D474F" w:rsidRPr="00B450EB" w:rsidRDefault="004D474F" w:rsidP="004D474F">
      <w:pPr>
        <w:rPr>
          <w:b/>
          <w:i/>
        </w:rPr>
      </w:pPr>
      <w:r w:rsidRPr="00B450EB">
        <w:rPr>
          <w:b/>
          <w:i/>
        </w:rPr>
        <w:t>Modelo Hidrogeológico de Inírida</w:t>
      </w:r>
    </w:p>
    <w:p w14:paraId="7CB6EDF1" w14:textId="77777777" w:rsidR="004D474F" w:rsidRPr="00B450EB" w:rsidRDefault="004D474F" w:rsidP="004D474F">
      <w:r w:rsidRPr="00B450EB">
        <w:t>Este modelo hidrogeológico conceptual, fue oficializado por el Servicio Geológico Colombiano - SGC en el año 2015, abarcando la zona urbana y rural del municipio de Inírida en el Departamento del Guainía.</w:t>
      </w:r>
    </w:p>
    <w:p w14:paraId="10D34345" w14:textId="77777777" w:rsidR="004D474F" w:rsidRPr="00B450EB" w:rsidRDefault="004D474F" w:rsidP="004D474F">
      <w:r w:rsidRPr="00B450EB">
        <w:t>En esta área, el SGC identificó como acuíferos de alta y media productividad respectivamente a los depósitos Aluviales Recientes, Llanuras de Desborde Antiguas y Depósitos Arenosos Residuales, sus transmisividades son del orden de 270 m</w:t>
      </w:r>
      <w:r w:rsidRPr="00B450EB">
        <w:rPr>
          <w:vertAlign w:val="superscript"/>
        </w:rPr>
        <w:t>2</w:t>
      </w:r>
      <w:r w:rsidRPr="00B450EB">
        <w:t>/día a 700 m</w:t>
      </w:r>
      <w:r w:rsidRPr="00B450EB">
        <w:rPr>
          <w:vertAlign w:val="superscript"/>
        </w:rPr>
        <w:t>2</w:t>
      </w:r>
      <w:r w:rsidRPr="00B450EB">
        <w:t>/día.</w:t>
      </w:r>
    </w:p>
    <w:p w14:paraId="13C86657" w14:textId="77777777" w:rsidR="004D474F" w:rsidRPr="00B450EB" w:rsidRDefault="004D474F" w:rsidP="004D474F">
      <w:r w:rsidRPr="00B450EB">
        <w:t>Adicionalmente se identificó como unidad aflorante los Granitoides del Complejo Mitú conformados por rocas plutónicas con limitados recursos de agua subterránea.</w:t>
      </w:r>
    </w:p>
    <w:p w14:paraId="0A0ADAE5" w14:textId="77777777" w:rsidR="004D474F" w:rsidRPr="00B450EB" w:rsidRDefault="004D474F" w:rsidP="004D474F">
      <w:r w:rsidRPr="00B450EB">
        <w:t>El recurso hídrico estudiado presentó valores de pH entre 4.07 y 6.69 unidades, predominando el rango ácido dada la baja mineralización y probablemente la presencia de suelos ácidos producto de la meteorización de las rocas ígneas; según los diagramas de Piper se concluyó que el agua es de tipo bicarbonatada cálcica debido a la mencionada baja mineralización y descarga rápida.</w:t>
      </w:r>
    </w:p>
    <w:p w14:paraId="486BFBCF" w14:textId="77777777" w:rsidR="00EC5985" w:rsidRPr="00B450EB" w:rsidRDefault="00EC5985" w:rsidP="004D474F"/>
    <w:p w14:paraId="5D7C3B03" w14:textId="77777777" w:rsidR="004D474F" w:rsidRPr="00B450EB" w:rsidRDefault="004D474F" w:rsidP="004D474F">
      <w:pPr>
        <w:rPr>
          <w:b/>
          <w:i/>
        </w:rPr>
      </w:pPr>
      <w:r w:rsidRPr="00B450EB">
        <w:rPr>
          <w:b/>
          <w:i/>
        </w:rPr>
        <w:lastRenderedPageBreak/>
        <w:t>Sistemas acuíferos de la Región de Leticia</w:t>
      </w:r>
    </w:p>
    <w:p w14:paraId="01F0C84C" w14:textId="77777777" w:rsidR="004D474F" w:rsidRPr="00B450EB" w:rsidRDefault="004D474F" w:rsidP="004D474F">
      <w:r w:rsidRPr="00B450EB">
        <w:t>En el documento “Aguas Amazónicas” publicado por OTCA (Organización del Tratado de Cooperación Amazónica) se ha incluido el estudio “Agua Subterránea para Suministro Urbano: Evaluación de los Sistemas Acuíferos de la Región de Leticia – Colombia”.</w:t>
      </w:r>
    </w:p>
    <w:p w14:paraId="0D40B5CC" w14:textId="77777777" w:rsidR="004D474F" w:rsidRPr="00B450EB" w:rsidRDefault="004D474F" w:rsidP="004D474F">
      <w:r w:rsidRPr="00B450EB">
        <w:t>En dicho estudio se realizó la caracterización del Acuífero Aluvial de Leticia, definido así por los 1055 de puntos de captación identificados cuyo uso predominante es el doméstico, dado que los pobladores prefieren hacer uso del agua subterránea o la lluvia antes que del acueducto municipal. El reconocimiento en campo realizado para el proyecto permitió identificar que el nivel estático fluctúa hasta 7m entre los extremos climáticos, de igual manera se observó la tendencia del flujo subterráneo en dirección norte-sur y este-oeste que interactúa con el río amazonas, el cual aporta en la recarga del acuífero.</w:t>
      </w:r>
    </w:p>
    <w:p w14:paraId="068B10B5" w14:textId="77777777" w:rsidR="004D474F" w:rsidRPr="00B450EB" w:rsidRDefault="004D474F" w:rsidP="004D474F">
      <w:r w:rsidRPr="00B450EB">
        <w:t>En la investigación también se integraron variables como la amenaza por contaminación, las condiciones sanitarias de las captaciones de los puntos de agua y la vulnerabilidad a la contaminación del acuífero aluvial y la calidad del aguas superficial y subterránea, entre otras. Dentro de las amenazas identificadas se encuentra una red de fuentes potenciales de contaminación relacionadas con la presencia de botaderos de basura, el cementerio, estaciones de despacho y almacenamiento de combustible, el matadero del casco urbano y quebradas contaminadas; adicionalmente, se señala la presencia de condiciones sanitarias puntuales desfavorables como la presencia de pozos sépticos y ausencia de sellos sanitarios; no obstante, también se evaluó la vulnerabilidad a la contaminación del acuífero la cual según el método GOD es moderada, índice que concuerda con el análisis de calidad del agua subterránea, que arrojó que es buena en comparación con el recurso hídrico superficial, siendo más óptima para consumo humano y otros usos.</w:t>
      </w:r>
    </w:p>
    <w:p w14:paraId="200C9FB3" w14:textId="77777777" w:rsidR="004D474F" w:rsidRPr="00B450EB" w:rsidRDefault="004D474F" w:rsidP="004D474F">
      <w:r w:rsidRPr="00B450EB">
        <w:t>En el estudio se proyecta que, para el año 2040 la demanda hídrica subterránea se calcula en 750236 m³/cm, un aumento exponencial teniendo en cuenta que para el año 2018 se estimó en 0,517 Mm</w:t>
      </w:r>
      <w:r w:rsidRPr="00B450EB">
        <w:rPr>
          <w:vertAlign w:val="superscript"/>
        </w:rPr>
        <w:t>3</w:t>
      </w:r>
      <w:r w:rsidRPr="00B450EB">
        <w:t>/año y satisfacía a un total de 26875 habitantes, lo cual equivalía a un 65% de la población total de Leticia.</w:t>
      </w:r>
    </w:p>
    <w:p w14:paraId="1F576A34" w14:textId="51EA264B" w:rsidR="004D474F" w:rsidRPr="00B450EB" w:rsidRDefault="004D474F" w:rsidP="004D474F">
      <w:r w:rsidRPr="00B450EB">
        <w:t xml:space="preserve">Los anteriores estudios, confirman el interés de las unidades geológicas con potencial hidrogeológico aflorantes en el área del Bioma Amazónico </w:t>
      </w:r>
      <w:r w:rsidR="50E5B3F8" w:rsidRPr="00B450EB">
        <w:t>Colombiano</w:t>
      </w:r>
      <w:r w:rsidRPr="00B450EB">
        <w:t xml:space="preserve">, dado que constituyen fuentes de aprovechamiento del recurso hídrico de fácil acceso y con calidad adecuada para el uso de las comunidades; en razón a esto, es importante gestionar el agua subterránea desde la protección de las zonas y/o </w:t>
      </w:r>
      <w:r w:rsidRPr="00B450EB">
        <w:lastRenderedPageBreak/>
        <w:t>unidades que dan origen a su recarga y almacenamiento eficiente, de tal modo que se garantice su sostenibilidad en el tiempo.</w:t>
      </w:r>
    </w:p>
    <w:p w14:paraId="7792071B" w14:textId="77777777" w:rsidR="004D474F" w:rsidRPr="00B450EB" w:rsidRDefault="004D474F" w:rsidP="004D474F">
      <w:pPr>
        <w:pStyle w:val="Ttulo4"/>
        <w:rPr>
          <w:rFonts w:cs="Arial"/>
          <w:color w:val="auto"/>
          <w:spacing w:val="-2"/>
        </w:rPr>
      </w:pPr>
      <w:r w:rsidRPr="00B450EB">
        <w:rPr>
          <w:color w:val="auto"/>
        </w:rPr>
        <w:t xml:space="preserve">Disponibilidad y calidad del recurso hídrico subterráneo </w:t>
      </w:r>
    </w:p>
    <w:p w14:paraId="38279C2F" w14:textId="04CA35AB" w:rsidR="004D474F" w:rsidRPr="00B450EB" w:rsidRDefault="004D474F" w:rsidP="004D474F">
      <w:r w:rsidRPr="00B450EB">
        <w:t xml:space="preserve">De acuerdo con la información que reposa en la Base de Datos Corporativa (BDC) de la ANLA, en conjunto con los modelos hidrogeológicos del SGC para el área de Inírida y para el municipio de San José del Guaviare, lo presentado en el Estudio Nacional del Agua </w:t>
      </w:r>
      <w:sdt>
        <w:sdtPr>
          <w:id w:val="137928679"/>
          <w:citation/>
        </w:sdtPr>
        <w:sdtContent>
          <w:r w:rsidRPr="00B450EB">
            <w:fldChar w:fldCharType="begin"/>
          </w:r>
          <w:r w:rsidRPr="00B450EB">
            <w:rPr>
              <w:lang w:val="es-ES"/>
            </w:rPr>
            <w:instrText xml:space="preserve"> CITATION IDE22 \l 3082 </w:instrText>
          </w:r>
          <w:r w:rsidRPr="00B450EB">
            <w:fldChar w:fldCharType="separate"/>
          </w:r>
          <w:r w:rsidR="0077091E" w:rsidRPr="00B450EB">
            <w:rPr>
              <w:noProof/>
              <w:lang w:val="es-ES"/>
            </w:rPr>
            <w:t>(IDEAM, Estudio Nacional del Agua, 2023)</w:t>
          </w:r>
          <w:r w:rsidRPr="00B450EB">
            <w:fldChar w:fldCharType="end"/>
          </w:r>
        </w:sdtContent>
      </w:sdt>
      <w:r w:rsidRPr="00B450EB">
        <w:t xml:space="preserve">, la información recopilada en el marco del Proyecto GEF Amazonas </w:t>
      </w:r>
      <w:sdt>
        <w:sdtPr>
          <w:id w:val="1303888929"/>
          <w:citation/>
        </w:sdtPr>
        <w:sdtContent>
          <w:r w:rsidRPr="00B450EB">
            <w:fldChar w:fldCharType="begin"/>
          </w:r>
          <w:r w:rsidRPr="00B450EB">
            <w:instrText xml:space="preserve"> CITATION OTC15 \l 9226 </w:instrText>
          </w:r>
          <w:r w:rsidRPr="00B450EB">
            <w:fldChar w:fldCharType="separate"/>
          </w:r>
          <w:r w:rsidR="0077091E" w:rsidRPr="00B450EB">
            <w:rPr>
              <w:noProof/>
            </w:rPr>
            <w:t>(OTCA &amp; SHI S.A.S., 2015)</w:t>
          </w:r>
          <w:r w:rsidRPr="00B450EB">
            <w:fldChar w:fldCharType="end"/>
          </w:r>
        </w:sdtContent>
      </w:sdt>
      <w:r w:rsidRPr="00B450EB">
        <w:t>, y el Modelo Hidrogeológico Conceptual del municipio de Puerto Nariño</w:t>
      </w:r>
      <w:sdt>
        <w:sdtPr>
          <w:id w:val="1622797106"/>
          <w:citation/>
        </w:sdtPr>
        <w:sdtContent>
          <w:r w:rsidRPr="00B450EB">
            <w:fldChar w:fldCharType="begin"/>
          </w:r>
          <w:r w:rsidRPr="00B450EB">
            <w:instrText xml:space="preserve"> CITATION Var25 \l 9226 </w:instrText>
          </w:r>
          <w:r w:rsidRPr="00B450EB">
            <w:fldChar w:fldCharType="separate"/>
          </w:r>
          <w:r w:rsidR="0077091E" w:rsidRPr="00B450EB">
            <w:rPr>
              <w:noProof/>
            </w:rPr>
            <w:t xml:space="preserve"> (Vargas-Guardiola, 2025)</w:t>
          </w:r>
          <w:r w:rsidRPr="00B450EB">
            <w:fldChar w:fldCharType="end"/>
          </w:r>
        </w:sdtContent>
      </w:sdt>
      <w:r w:rsidRPr="00B450EB">
        <w:t>, en el Bioma Amazónico colombiano hay 2991 puntos hidrogeológicos identificados, que se clasifican de la siguiente manera:</w:t>
      </w:r>
    </w:p>
    <w:p w14:paraId="629F76D6" w14:textId="17C62812" w:rsidR="004D474F" w:rsidRPr="00B450EB" w:rsidRDefault="004D474F" w:rsidP="004D474F">
      <w:pPr>
        <w:pStyle w:val="Descripcin"/>
        <w:rPr>
          <w:color w:val="auto"/>
        </w:rPr>
      </w:pPr>
      <w:bookmarkStart w:id="50" w:name="_Toc209722988"/>
      <w:r w:rsidRPr="00B450EB">
        <w:rPr>
          <w:color w:val="auto"/>
        </w:rPr>
        <w:t>Tabla</w:t>
      </w:r>
      <w:r w:rsidR="71DE3EA7" w:rsidRPr="00B450EB">
        <w:rPr>
          <w:color w:val="auto"/>
        </w:rPr>
        <w:t>.</w:t>
      </w:r>
      <w:r w:rsidRPr="00B450EB">
        <w:rPr>
          <w:color w:val="auto"/>
        </w:rPr>
        <w:fldChar w:fldCharType="begin"/>
      </w:r>
      <w:r w:rsidRPr="00B450EB">
        <w:rPr>
          <w:color w:val="auto"/>
        </w:rPr>
        <w:instrText>SEQ Tabla \* ARABIC</w:instrText>
      </w:r>
      <w:r w:rsidRPr="00B450EB">
        <w:rPr>
          <w:color w:val="auto"/>
        </w:rPr>
        <w:fldChar w:fldCharType="separate"/>
      </w:r>
      <w:r w:rsidR="009765C2" w:rsidRPr="00B450EB">
        <w:rPr>
          <w:noProof/>
          <w:color w:val="auto"/>
        </w:rPr>
        <w:t>5</w:t>
      </w:r>
      <w:r w:rsidRPr="00B450EB">
        <w:rPr>
          <w:color w:val="auto"/>
        </w:rPr>
        <w:fldChar w:fldCharType="end"/>
      </w:r>
      <w:r w:rsidRPr="00B450EB">
        <w:rPr>
          <w:color w:val="auto"/>
        </w:rPr>
        <w:t xml:space="preserve"> Inventario de puntos de agua.</w:t>
      </w:r>
      <w:bookmarkEnd w:id="50"/>
    </w:p>
    <w:tbl>
      <w:tblPr>
        <w:tblStyle w:val="Tablaconcuadrcula"/>
        <w:tblW w:w="0" w:type="auto"/>
        <w:jc w:val="center"/>
        <w:tblCellMar>
          <w:left w:w="57" w:type="dxa"/>
          <w:right w:w="57" w:type="dxa"/>
        </w:tblCellMar>
        <w:tblLook w:val="04A0" w:firstRow="1" w:lastRow="0" w:firstColumn="1" w:lastColumn="0" w:noHBand="0" w:noVBand="1"/>
      </w:tblPr>
      <w:tblGrid>
        <w:gridCol w:w="1187"/>
        <w:gridCol w:w="711"/>
        <w:gridCol w:w="896"/>
        <w:gridCol w:w="906"/>
        <w:gridCol w:w="1006"/>
        <w:gridCol w:w="1526"/>
        <w:gridCol w:w="1820"/>
        <w:gridCol w:w="776"/>
      </w:tblGrid>
      <w:tr w:rsidR="00EF1937" w:rsidRPr="00B450EB" w14:paraId="58D7117D" w14:textId="77777777" w:rsidTr="00024A81">
        <w:trPr>
          <w:jc w:val="center"/>
        </w:trPr>
        <w:tc>
          <w:tcPr>
            <w:tcW w:w="1187" w:type="dxa"/>
            <w:shd w:val="clear" w:color="auto" w:fill="D9F2D0" w:themeFill="accent6" w:themeFillTint="33"/>
            <w:vAlign w:val="center"/>
          </w:tcPr>
          <w:p w14:paraId="1A9EDFB0" w14:textId="77777777" w:rsidR="004D474F" w:rsidRPr="00B450EB" w:rsidRDefault="004D474F" w:rsidP="00024A81">
            <w:pPr>
              <w:jc w:val="center"/>
              <w:rPr>
                <w:b/>
                <w:sz w:val="18"/>
                <w:szCs w:val="18"/>
              </w:rPr>
            </w:pPr>
            <w:r w:rsidRPr="00B450EB">
              <w:rPr>
                <w:b/>
                <w:sz w:val="18"/>
                <w:szCs w:val="18"/>
              </w:rPr>
              <w:t>Tipo de punto</w:t>
            </w:r>
          </w:p>
        </w:tc>
        <w:tc>
          <w:tcPr>
            <w:tcW w:w="711" w:type="dxa"/>
            <w:shd w:val="clear" w:color="auto" w:fill="D9F2D0" w:themeFill="accent6" w:themeFillTint="33"/>
            <w:vAlign w:val="center"/>
          </w:tcPr>
          <w:p w14:paraId="5BF824A6" w14:textId="77777777" w:rsidR="004D474F" w:rsidRPr="00B450EB" w:rsidRDefault="004D474F" w:rsidP="00024A81">
            <w:pPr>
              <w:jc w:val="center"/>
              <w:rPr>
                <w:b/>
                <w:sz w:val="18"/>
                <w:szCs w:val="18"/>
              </w:rPr>
            </w:pPr>
            <w:r w:rsidRPr="00B450EB">
              <w:rPr>
                <w:b/>
                <w:sz w:val="18"/>
                <w:szCs w:val="18"/>
              </w:rPr>
              <w:t>ANLA</w:t>
            </w:r>
          </w:p>
        </w:tc>
        <w:tc>
          <w:tcPr>
            <w:tcW w:w="896" w:type="dxa"/>
            <w:shd w:val="clear" w:color="auto" w:fill="D9F2D0" w:themeFill="accent6" w:themeFillTint="33"/>
            <w:vAlign w:val="center"/>
          </w:tcPr>
          <w:p w14:paraId="59A2D99B" w14:textId="77777777" w:rsidR="004D474F" w:rsidRPr="00B450EB" w:rsidRDefault="004D474F" w:rsidP="00024A81">
            <w:pPr>
              <w:jc w:val="center"/>
              <w:rPr>
                <w:b/>
                <w:sz w:val="18"/>
                <w:szCs w:val="18"/>
                <w:lang w:val="en-US"/>
              </w:rPr>
            </w:pPr>
            <w:r w:rsidRPr="00B450EB">
              <w:rPr>
                <w:b/>
                <w:sz w:val="18"/>
                <w:szCs w:val="18"/>
                <w:lang w:val="en-US"/>
              </w:rPr>
              <w:t>OTCA &amp; SHI S.A.S. (2015) *</w:t>
            </w:r>
          </w:p>
        </w:tc>
        <w:tc>
          <w:tcPr>
            <w:tcW w:w="906" w:type="dxa"/>
            <w:shd w:val="clear" w:color="auto" w:fill="D9F2D0" w:themeFill="accent6" w:themeFillTint="33"/>
            <w:vAlign w:val="center"/>
          </w:tcPr>
          <w:p w14:paraId="5782FF53" w14:textId="77777777" w:rsidR="004D474F" w:rsidRPr="00B450EB" w:rsidRDefault="004D474F" w:rsidP="00024A81">
            <w:pPr>
              <w:jc w:val="center"/>
              <w:rPr>
                <w:b/>
                <w:sz w:val="18"/>
                <w:szCs w:val="18"/>
              </w:rPr>
            </w:pPr>
            <w:r w:rsidRPr="00B450EB">
              <w:rPr>
                <w:b/>
                <w:sz w:val="18"/>
                <w:szCs w:val="18"/>
              </w:rPr>
              <w:t>ENA (2022)</w:t>
            </w:r>
          </w:p>
        </w:tc>
        <w:tc>
          <w:tcPr>
            <w:tcW w:w="1006" w:type="dxa"/>
            <w:shd w:val="clear" w:color="auto" w:fill="D9F2D0" w:themeFill="accent6" w:themeFillTint="33"/>
            <w:vAlign w:val="center"/>
          </w:tcPr>
          <w:p w14:paraId="578A0232" w14:textId="77777777" w:rsidR="004D474F" w:rsidRPr="00B450EB" w:rsidRDefault="004D474F" w:rsidP="00024A81">
            <w:pPr>
              <w:jc w:val="center"/>
              <w:rPr>
                <w:b/>
                <w:sz w:val="18"/>
                <w:szCs w:val="18"/>
              </w:rPr>
            </w:pPr>
            <w:r w:rsidRPr="00B450EB">
              <w:rPr>
                <w:b/>
                <w:sz w:val="18"/>
                <w:szCs w:val="18"/>
              </w:rPr>
              <w:t>Vargas-Guardiola (2025)</w:t>
            </w:r>
          </w:p>
        </w:tc>
        <w:tc>
          <w:tcPr>
            <w:tcW w:w="1526" w:type="dxa"/>
            <w:shd w:val="clear" w:color="auto" w:fill="D9F2D0" w:themeFill="accent6" w:themeFillTint="33"/>
            <w:vAlign w:val="center"/>
          </w:tcPr>
          <w:p w14:paraId="64831958" w14:textId="77777777" w:rsidR="004D474F" w:rsidRPr="00B450EB" w:rsidRDefault="004D474F" w:rsidP="00024A81">
            <w:pPr>
              <w:jc w:val="center"/>
              <w:rPr>
                <w:b/>
                <w:sz w:val="18"/>
                <w:szCs w:val="18"/>
              </w:rPr>
            </w:pPr>
            <w:r w:rsidRPr="00B450EB">
              <w:rPr>
                <w:b/>
                <w:sz w:val="18"/>
                <w:szCs w:val="18"/>
              </w:rPr>
              <w:t>SGC – Modelo Hidrogeológico Área de Inírida</w:t>
            </w:r>
          </w:p>
        </w:tc>
        <w:tc>
          <w:tcPr>
            <w:tcW w:w="1820" w:type="dxa"/>
            <w:shd w:val="clear" w:color="auto" w:fill="D9F2D0" w:themeFill="accent6" w:themeFillTint="33"/>
            <w:vAlign w:val="center"/>
          </w:tcPr>
          <w:p w14:paraId="1470355D" w14:textId="77777777" w:rsidR="004D474F" w:rsidRPr="00B450EB" w:rsidRDefault="004D474F" w:rsidP="00024A81">
            <w:pPr>
              <w:jc w:val="center"/>
              <w:rPr>
                <w:b/>
                <w:sz w:val="18"/>
                <w:szCs w:val="18"/>
              </w:rPr>
            </w:pPr>
            <w:r w:rsidRPr="00B450EB">
              <w:rPr>
                <w:b/>
                <w:sz w:val="18"/>
                <w:szCs w:val="18"/>
              </w:rPr>
              <w:t>SGC – Modelo Hidrogeológico San José del Guaviare</w:t>
            </w:r>
          </w:p>
        </w:tc>
        <w:tc>
          <w:tcPr>
            <w:tcW w:w="776" w:type="dxa"/>
            <w:shd w:val="clear" w:color="auto" w:fill="D9F2D0" w:themeFill="accent6" w:themeFillTint="33"/>
            <w:vAlign w:val="center"/>
          </w:tcPr>
          <w:p w14:paraId="2FBBF5F2" w14:textId="77777777" w:rsidR="004D474F" w:rsidRPr="00B450EB" w:rsidRDefault="004D474F" w:rsidP="00024A81">
            <w:pPr>
              <w:jc w:val="center"/>
              <w:rPr>
                <w:b/>
                <w:sz w:val="18"/>
                <w:szCs w:val="18"/>
              </w:rPr>
            </w:pPr>
            <w:r w:rsidRPr="00B450EB">
              <w:rPr>
                <w:b/>
                <w:sz w:val="18"/>
                <w:szCs w:val="18"/>
              </w:rPr>
              <w:t>TOTAL</w:t>
            </w:r>
          </w:p>
        </w:tc>
      </w:tr>
      <w:tr w:rsidR="00EF1937" w:rsidRPr="00B450EB" w14:paraId="4C104ADC" w14:textId="77777777" w:rsidTr="00024A81">
        <w:trPr>
          <w:jc w:val="center"/>
        </w:trPr>
        <w:tc>
          <w:tcPr>
            <w:tcW w:w="1187" w:type="dxa"/>
            <w:vAlign w:val="bottom"/>
          </w:tcPr>
          <w:p w14:paraId="4DC6DAAD" w14:textId="77777777" w:rsidR="004D474F" w:rsidRPr="00B450EB" w:rsidRDefault="004D474F" w:rsidP="00024A81">
            <w:pPr>
              <w:jc w:val="center"/>
              <w:rPr>
                <w:sz w:val="18"/>
                <w:szCs w:val="18"/>
              </w:rPr>
            </w:pPr>
            <w:r w:rsidRPr="00B450EB">
              <w:rPr>
                <w:sz w:val="18"/>
                <w:szCs w:val="18"/>
              </w:rPr>
              <w:t>Aljibe</w:t>
            </w:r>
          </w:p>
        </w:tc>
        <w:tc>
          <w:tcPr>
            <w:tcW w:w="711" w:type="dxa"/>
          </w:tcPr>
          <w:p w14:paraId="60BFF8C3" w14:textId="77777777" w:rsidR="004D474F" w:rsidRPr="00B450EB" w:rsidRDefault="004D474F" w:rsidP="00024A81">
            <w:pPr>
              <w:jc w:val="center"/>
              <w:rPr>
                <w:sz w:val="18"/>
                <w:szCs w:val="18"/>
              </w:rPr>
            </w:pPr>
            <w:r w:rsidRPr="00B450EB">
              <w:rPr>
                <w:sz w:val="18"/>
                <w:szCs w:val="18"/>
              </w:rPr>
              <w:t>444</w:t>
            </w:r>
          </w:p>
        </w:tc>
        <w:tc>
          <w:tcPr>
            <w:tcW w:w="896" w:type="dxa"/>
          </w:tcPr>
          <w:p w14:paraId="3FB7297B" w14:textId="77777777" w:rsidR="004D474F" w:rsidRPr="00B450EB" w:rsidRDefault="004D474F" w:rsidP="00024A81">
            <w:pPr>
              <w:jc w:val="center"/>
              <w:rPr>
                <w:sz w:val="18"/>
                <w:szCs w:val="18"/>
              </w:rPr>
            </w:pPr>
            <w:r w:rsidRPr="00B450EB">
              <w:rPr>
                <w:sz w:val="18"/>
                <w:szCs w:val="18"/>
              </w:rPr>
              <w:t>2</w:t>
            </w:r>
          </w:p>
        </w:tc>
        <w:tc>
          <w:tcPr>
            <w:tcW w:w="906" w:type="dxa"/>
          </w:tcPr>
          <w:p w14:paraId="70BF28F3" w14:textId="77777777" w:rsidR="004D474F" w:rsidRPr="00B450EB" w:rsidRDefault="004D474F" w:rsidP="00024A81">
            <w:pPr>
              <w:jc w:val="center"/>
              <w:rPr>
                <w:sz w:val="18"/>
                <w:szCs w:val="18"/>
              </w:rPr>
            </w:pPr>
            <w:r w:rsidRPr="00B450EB">
              <w:rPr>
                <w:sz w:val="18"/>
                <w:szCs w:val="18"/>
              </w:rPr>
              <w:t>781</w:t>
            </w:r>
          </w:p>
        </w:tc>
        <w:tc>
          <w:tcPr>
            <w:tcW w:w="1006" w:type="dxa"/>
          </w:tcPr>
          <w:p w14:paraId="7092E73D" w14:textId="77777777" w:rsidR="004D474F" w:rsidRPr="00B450EB" w:rsidRDefault="004D474F" w:rsidP="00024A81">
            <w:pPr>
              <w:jc w:val="center"/>
              <w:rPr>
                <w:sz w:val="18"/>
                <w:szCs w:val="18"/>
              </w:rPr>
            </w:pPr>
            <w:r w:rsidRPr="00B450EB">
              <w:rPr>
                <w:sz w:val="18"/>
                <w:szCs w:val="18"/>
              </w:rPr>
              <w:t>0</w:t>
            </w:r>
          </w:p>
        </w:tc>
        <w:tc>
          <w:tcPr>
            <w:tcW w:w="1526" w:type="dxa"/>
          </w:tcPr>
          <w:p w14:paraId="4EBDFDD4" w14:textId="77777777" w:rsidR="004D474F" w:rsidRPr="00B450EB" w:rsidRDefault="004D474F" w:rsidP="00024A81">
            <w:pPr>
              <w:jc w:val="center"/>
              <w:rPr>
                <w:sz w:val="18"/>
                <w:szCs w:val="18"/>
              </w:rPr>
            </w:pPr>
            <w:r w:rsidRPr="00B450EB">
              <w:rPr>
                <w:sz w:val="18"/>
                <w:szCs w:val="18"/>
              </w:rPr>
              <w:t>3</w:t>
            </w:r>
          </w:p>
        </w:tc>
        <w:tc>
          <w:tcPr>
            <w:tcW w:w="1820" w:type="dxa"/>
          </w:tcPr>
          <w:p w14:paraId="69BF92CB" w14:textId="77777777" w:rsidR="004D474F" w:rsidRPr="00B450EB" w:rsidRDefault="004D474F" w:rsidP="00024A81">
            <w:pPr>
              <w:jc w:val="center"/>
              <w:rPr>
                <w:sz w:val="18"/>
                <w:szCs w:val="18"/>
              </w:rPr>
            </w:pPr>
            <w:r w:rsidRPr="00B450EB">
              <w:rPr>
                <w:sz w:val="18"/>
                <w:szCs w:val="18"/>
              </w:rPr>
              <w:t>24</w:t>
            </w:r>
          </w:p>
        </w:tc>
        <w:tc>
          <w:tcPr>
            <w:tcW w:w="776" w:type="dxa"/>
          </w:tcPr>
          <w:p w14:paraId="756F5B59" w14:textId="77777777" w:rsidR="004D474F" w:rsidRPr="00B450EB" w:rsidRDefault="004D474F" w:rsidP="00024A81">
            <w:pPr>
              <w:jc w:val="center"/>
              <w:rPr>
                <w:sz w:val="18"/>
                <w:szCs w:val="18"/>
              </w:rPr>
            </w:pPr>
            <w:r w:rsidRPr="00B450EB">
              <w:rPr>
                <w:sz w:val="18"/>
                <w:szCs w:val="18"/>
              </w:rPr>
              <w:t>1254</w:t>
            </w:r>
          </w:p>
        </w:tc>
      </w:tr>
      <w:tr w:rsidR="00EF1937" w:rsidRPr="00B450EB" w14:paraId="3F566729" w14:textId="77777777" w:rsidTr="00024A81">
        <w:trPr>
          <w:jc w:val="center"/>
        </w:trPr>
        <w:tc>
          <w:tcPr>
            <w:tcW w:w="1187" w:type="dxa"/>
            <w:vAlign w:val="bottom"/>
          </w:tcPr>
          <w:p w14:paraId="2814B88F" w14:textId="77777777" w:rsidR="004D474F" w:rsidRPr="00B450EB" w:rsidRDefault="004D474F" w:rsidP="00024A81">
            <w:pPr>
              <w:jc w:val="center"/>
              <w:rPr>
                <w:sz w:val="18"/>
                <w:szCs w:val="18"/>
              </w:rPr>
            </w:pPr>
            <w:r w:rsidRPr="00B450EB">
              <w:rPr>
                <w:sz w:val="18"/>
                <w:szCs w:val="18"/>
              </w:rPr>
              <w:t>Manantial o Nacedero</w:t>
            </w:r>
          </w:p>
        </w:tc>
        <w:tc>
          <w:tcPr>
            <w:tcW w:w="711" w:type="dxa"/>
          </w:tcPr>
          <w:p w14:paraId="3DF9093C" w14:textId="77777777" w:rsidR="004D474F" w:rsidRPr="00B450EB" w:rsidRDefault="004D474F" w:rsidP="00024A81">
            <w:pPr>
              <w:jc w:val="center"/>
              <w:rPr>
                <w:sz w:val="18"/>
                <w:szCs w:val="18"/>
              </w:rPr>
            </w:pPr>
            <w:r w:rsidRPr="00B450EB">
              <w:rPr>
                <w:sz w:val="18"/>
                <w:szCs w:val="18"/>
              </w:rPr>
              <w:t>92</w:t>
            </w:r>
          </w:p>
        </w:tc>
        <w:tc>
          <w:tcPr>
            <w:tcW w:w="896" w:type="dxa"/>
          </w:tcPr>
          <w:p w14:paraId="15E420FC" w14:textId="77777777" w:rsidR="004D474F" w:rsidRPr="00B450EB" w:rsidRDefault="004D474F" w:rsidP="00024A81">
            <w:pPr>
              <w:jc w:val="center"/>
              <w:rPr>
                <w:sz w:val="18"/>
                <w:szCs w:val="18"/>
              </w:rPr>
            </w:pPr>
            <w:r w:rsidRPr="00B450EB">
              <w:rPr>
                <w:sz w:val="18"/>
                <w:szCs w:val="18"/>
              </w:rPr>
              <w:t>0</w:t>
            </w:r>
          </w:p>
        </w:tc>
        <w:tc>
          <w:tcPr>
            <w:tcW w:w="906" w:type="dxa"/>
          </w:tcPr>
          <w:p w14:paraId="6BD22362" w14:textId="77777777" w:rsidR="004D474F" w:rsidRPr="00B450EB" w:rsidRDefault="004D474F" w:rsidP="00024A81">
            <w:pPr>
              <w:jc w:val="center"/>
              <w:rPr>
                <w:sz w:val="18"/>
                <w:szCs w:val="18"/>
              </w:rPr>
            </w:pPr>
            <w:r w:rsidRPr="00B450EB">
              <w:rPr>
                <w:sz w:val="18"/>
                <w:szCs w:val="18"/>
              </w:rPr>
              <w:t>0</w:t>
            </w:r>
          </w:p>
        </w:tc>
        <w:tc>
          <w:tcPr>
            <w:tcW w:w="1006" w:type="dxa"/>
          </w:tcPr>
          <w:p w14:paraId="77A45D82" w14:textId="77777777" w:rsidR="004D474F" w:rsidRPr="00B450EB" w:rsidRDefault="004D474F" w:rsidP="00024A81">
            <w:pPr>
              <w:jc w:val="center"/>
              <w:rPr>
                <w:sz w:val="18"/>
                <w:szCs w:val="18"/>
              </w:rPr>
            </w:pPr>
            <w:r w:rsidRPr="00B450EB">
              <w:rPr>
                <w:sz w:val="18"/>
                <w:szCs w:val="18"/>
              </w:rPr>
              <w:t>13</w:t>
            </w:r>
          </w:p>
        </w:tc>
        <w:tc>
          <w:tcPr>
            <w:tcW w:w="1526" w:type="dxa"/>
          </w:tcPr>
          <w:p w14:paraId="77A44E9E" w14:textId="77777777" w:rsidR="004D474F" w:rsidRPr="00B450EB" w:rsidRDefault="004D474F" w:rsidP="00024A81">
            <w:pPr>
              <w:jc w:val="center"/>
              <w:rPr>
                <w:sz w:val="18"/>
                <w:szCs w:val="18"/>
              </w:rPr>
            </w:pPr>
            <w:r w:rsidRPr="00B450EB">
              <w:rPr>
                <w:sz w:val="18"/>
                <w:szCs w:val="18"/>
              </w:rPr>
              <w:t>14</w:t>
            </w:r>
          </w:p>
        </w:tc>
        <w:tc>
          <w:tcPr>
            <w:tcW w:w="1820" w:type="dxa"/>
          </w:tcPr>
          <w:p w14:paraId="7568F01E" w14:textId="77777777" w:rsidR="004D474F" w:rsidRPr="00B450EB" w:rsidRDefault="004D474F" w:rsidP="00024A81">
            <w:pPr>
              <w:jc w:val="center"/>
              <w:rPr>
                <w:sz w:val="18"/>
                <w:szCs w:val="18"/>
              </w:rPr>
            </w:pPr>
            <w:r w:rsidRPr="00B450EB">
              <w:rPr>
                <w:sz w:val="18"/>
                <w:szCs w:val="18"/>
              </w:rPr>
              <w:t>16</w:t>
            </w:r>
          </w:p>
        </w:tc>
        <w:tc>
          <w:tcPr>
            <w:tcW w:w="776" w:type="dxa"/>
          </w:tcPr>
          <w:p w14:paraId="55D09E51" w14:textId="77777777" w:rsidR="004D474F" w:rsidRPr="00B450EB" w:rsidRDefault="004D474F" w:rsidP="00024A81">
            <w:pPr>
              <w:jc w:val="center"/>
              <w:rPr>
                <w:sz w:val="18"/>
                <w:szCs w:val="18"/>
              </w:rPr>
            </w:pPr>
            <w:r w:rsidRPr="00B450EB">
              <w:rPr>
                <w:sz w:val="18"/>
                <w:szCs w:val="18"/>
              </w:rPr>
              <w:t>135</w:t>
            </w:r>
          </w:p>
        </w:tc>
      </w:tr>
      <w:tr w:rsidR="00EF1937" w:rsidRPr="00B450EB" w14:paraId="04E375C3" w14:textId="77777777" w:rsidTr="00024A81">
        <w:trPr>
          <w:jc w:val="center"/>
        </w:trPr>
        <w:tc>
          <w:tcPr>
            <w:tcW w:w="1187" w:type="dxa"/>
            <w:vAlign w:val="bottom"/>
          </w:tcPr>
          <w:p w14:paraId="70C072A6" w14:textId="77777777" w:rsidR="004D474F" w:rsidRPr="00B450EB" w:rsidRDefault="004D474F" w:rsidP="00024A81">
            <w:pPr>
              <w:jc w:val="center"/>
              <w:rPr>
                <w:sz w:val="18"/>
                <w:szCs w:val="18"/>
              </w:rPr>
            </w:pPr>
            <w:r w:rsidRPr="00B450EB">
              <w:rPr>
                <w:sz w:val="18"/>
                <w:szCs w:val="18"/>
              </w:rPr>
              <w:t>Piezómetro</w:t>
            </w:r>
          </w:p>
        </w:tc>
        <w:tc>
          <w:tcPr>
            <w:tcW w:w="711" w:type="dxa"/>
          </w:tcPr>
          <w:p w14:paraId="21FB3395" w14:textId="77777777" w:rsidR="004D474F" w:rsidRPr="00B450EB" w:rsidRDefault="004D474F" w:rsidP="00024A81">
            <w:pPr>
              <w:jc w:val="center"/>
              <w:rPr>
                <w:sz w:val="18"/>
                <w:szCs w:val="18"/>
              </w:rPr>
            </w:pPr>
            <w:r w:rsidRPr="00B450EB">
              <w:rPr>
                <w:sz w:val="18"/>
                <w:szCs w:val="18"/>
              </w:rPr>
              <w:t>200</w:t>
            </w:r>
          </w:p>
        </w:tc>
        <w:tc>
          <w:tcPr>
            <w:tcW w:w="896" w:type="dxa"/>
          </w:tcPr>
          <w:p w14:paraId="3CF6968C" w14:textId="77777777" w:rsidR="004D474F" w:rsidRPr="00B450EB" w:rsidRDefault="004D474F" w:rsidP="00024A81">
            <w:pPr>
              <w:jc w:val="center"/>
              <w:rPr>
                <w:sz w:val="18"/>
                <w:szCs w:val="18"/>
              </w:rPr>
            </w:pPr>
            <w:r w:rsidRPr="00B450EB">
              <w:rPr>
                <w:sz w:val="18"/>
                <w:szCs w:val="18"/>
              </w:rPr>
              <w:t>0</w:t>
            </w:r>
          </w:p>
        </w:tc>
        <w:tc>
          <w:tcPr>
            <w:tcW w:w="906" w:type="dxa"/>
          </w:tcPr>
          <w:p w14:paraId="5AFA5445" w14:textId="77777777" w:rsidR="004D474F" w:rsidRPr="00B450EB" w:rsidRDefault="004D474F" w:rsidP="00024A81">
            <w:pPr>
              <w:jc w:val="center"/>
              <w:rPr>
                <w:sz w:val="18"/>
                <w:szCs w:val="18"/>
              </w:rPr>
            </w:pPr>
            <w:r w:rsidRPr="00B450EB">
              <w:rPr>
                <w:sz w:val="18"/>
                <w:szCs w:val="18"/>
              </w:rPr>
              <w:t>0</w:t>
            </w:r>
          </w:p>
        </w:tc>
        <w:tc>
          <w:tcPr>
            <w:tcW w:w="1006" w:type="dxa"/>
          </w:tcPr>
          <w:p w14:paraId="507FCBFC" w14:textId="77777777" w:rsidR="004D474F" w:rsidRPr="00B450EB" w:rsidRDefault="004D474F" w:rsidP="00024A81">
            <w:pPr>
              <w:jc w:val="center"/>
              <w:rPr>
                <w:sz w:val="18"/>
                <w:szCs w:val="18"/>
              </w:rPr>
            </w:pPr>
            <w:r w:rsidRPr="00B450EB">
              <w:rPr>
                <w:sz w:val="18"/>
                <w:szCs w:val="18"/>
              </w:rPr>
              <w:t>0</w:t>
            </w:r>
          </w:p>
        </w:tc>
        <w:tc>
          <w:tcPr>
            <w:tcW w:w="1526" w:type="dxa"/>
          </w:tcPr>
          <w:p w14:paraId="51C1521F" w14:textId="77777777" w:rsidR="004D474F" w:rsidRPr="00B450EB" w:rsidRDefault="004D474F" w:rsidP="00024A81">
            <w:pPr>
              <w:jc w:val="center"/>
              <w:rPr>
                <w:sz w:val="18"/>
                <w:szCs w:val="18"/>
              </w:rPr>
            </w:pPr>
            <w:r w:rsidRPr="00B450EB">
              <w:rPr>
                <w:sz w:val="18"/>
                <w:szCs w:val="18"/>
              </w:rPr>
              <w:t>0</w:t>
            </w:r>
          </w:p>
        </w:tc>
        <w:tc>
          <w:tcPr>
            <w:tcW w:w="1820" w:type="dxa"/>
          </w:tcPr>
          <w:p w14:paraId="0078455C" w14:textId="77777777" w:rsidR="004D474F" w:rsidRPr="00B450EB" w:rsidRDefault="004D474F" w:rsidP="00024A81">
            <w:pPr>
              <w:jc w:val="center"/>
              <w:rPr>
                <w:sz w:val="18"/>
                <w:szCs w:val="18"/>
              </w:rPr>
            </w:pPr>
            <w:r w:rsidRPr="00B450EB">
              <w:rPr>
                <w:sz w:val="18"/>
                <w:szCs w:val="18"/>
              </w:rPr>
              <w:t>0</w:t>
            </w:r>
          </w:p>
        </w:tc>
        <w:tc>
          <w:tcPr>
            <w:tcW w:w="776" w:type="dxa"/>
          </w:tcPr>
          <w:p w14:paraId="21098296" w14:textId="77777777" w:rsidR="004D474F" w:rsidRPr="00B450EB" w:rsidRDefault="004D474F" w:rsidP="00024A81">
            <w:pPr>
              <w:jc w:val="center"/>
              <w:rPr>
                <w:sz w:val="18"/>
                <w:szCs w:val="18"/>
              </w:rPr>
            </w:pPr>
            <w:r w:rsidRPr="00B450EB">
              <w:rPr>
                <w:sz w:val="18"/>
                <w:szCs w:val="18"/>
              </w:rPr>
              <w:t>200</w:t>
            </w:r>
          </w:p>
        </w:tc>
      </w:tr>
      <w:tr w:rsidR="00EF1937" w:rsidRPr="00B450EB" w14:paraId="7E06F8C1" w14:textId="77777777" w:rsidTr="00024A81">
        <w:trPr>
          <w:jc w:val="center"/>
        </w:trPr>
        <w:tc>
          <w:tcPr>
            <w:tcW w:w="1187" w:type="dxa"/>
            <w:tcBorders>
              <w:bottom w:val="single" w:sz="4" w:space="0" w:color="auto"/>
            </w:tcBorders>
            <w:vAlign w:val="bottom"/>
          </w:tcPr>
          <w:p w14:paraId="25295A79" w14:textId="77777777" w:rsidR="004D474F" w:rsidRPr="00B450EB" w:rsidRDefault="004D474F" w:rsidP="00024A81">
            <w:pPr>
              <w:jc w:val="center"/>
              <w:rPr>
                <w:sz w:val="18"/>
                <w:szCs w:val="18"/>
              </w:rPr>
            </w:pPr>
            <w:r w:rsidRPr="00B450EB">
              <w:rPr>
                <w:sz w:val="18"/>
                <w:szCs w:val="18"/>
              </w:rPr>
              <w:t>Pozo</w:t>
            </w:r>
          </w:p>
        </w:tc>
        <w:tc>
          <w:tcPr>
            <w:tcW w:w="711" w:type="dxa"/>
            <w:tcBorders>
              <w:bottom w:val="single" w:sz="4" w:space="0" w:color="auto"/>
            </w:tcBorders>
          </w:tcPr>
          <w:p w14:paraId="3E809EA0" w14:textId="77777777" w:rsidR="004D474F" w:rsidRPr="00B450EB" w:rsidRDefault="004D474F" w:rsidP="00024A81">
            <w:pPr>
              <w:jc w:val="center"/>
              <w:rPr>
                <w:sz w:val="18"/>
                <w:szCs w:val="18"/>
              </w:rPr>
            </w:pPr>
            <w:r w:rsidRPr="00B450EB">
              <w:rPr>
                <w:sz w:val="18"/>
                <w:szCs w:val="18"/>
              </w:rPr>
              <w:t>5</w:t>
            </w:r>
          </w:p>
        </w:tc>
        <w:tc>
          <w:tcPr>
            <w:tcW w:w="896" w:type="dxa"/>
            <w:tcBorders>
              <w:bottom w:val="single" w:sz="4" w:space="0" w:color="auto"/>
            </w:tcBorders>
          </w:tcPr>
          <w:p w14:paraId="675226F8" w14:textId="77777777" w:rsidR="004D474F" w:rsidRPr="00B450EB" w:rsidRDefault="004D474F" w:rsidP="00024A81">
            <w:pPr>
              <w:jc w:val="center"/>
              <w:rPr>
                <w:sz w:val="18"/>
                <w:szCs w:val="18"/>
              </w:rPr>
            </w:pPr>
            <w:r w:rsidRPr="00B450EB">
              <w:rPr>
                <w:sz w:val="18"/>
                <w:szCs w:val="18"/>
              </w:rPr>
              <w:t>1015</w:t>
            </w:r>
          </w:p>
        </w:tc>
        <w:tc>
          <w:tcPr>
            <w:tcW w:w="906" w:type="dxa"/>
            <w:tcBorders>
              <w:bottom w:val="single" w:sz="4" w:space="0" w:color="auto"/>
            </w:tcBorders>
          </w:tcPr>
          <w:p w14:paraId="55ADDB26" w14:textId="77777777" w:rsidR="004D474F" w:rsidRPr="00B450EB" w:rsidRDefault="004D474F" w:rsidP="00024A81">
            <w:pPr>
              <w:jc w:val="center"/>
              <w:rPr>
                <w:sz w:val="18"/>
                <w:szCs w:val="18"/>
              </w:rPr>
            </w:pPr>
            <w:r w:rsidRPr="00B450EB">
              <w:rPr>
                <w:sz w:val="18"/>
                <w:szCs w:val="18"/>
              </w:rPr>
              <w:t>87</w:t>
            </w:r>
          </w:p>
        </w:tc>
        <w:tc>
          <w:tcPr>
            <w:tcW w:w="1006" w:type="dxa"/>
            <w:tcBorders>
              <w:bottom w:val="single" w:sz="4" w:space="0" w:color="auto"/>
            </w:tcBorders>
          </w:tcPr>
          <w:p w14:paraId="09BD1F98" w14:textId="77777777" w:rsidR="004D474F" w:rsidRPr="00B450EB" w:rsidRDefault="004D474F" w:rsidP="00024A81">
            <w:pPr>
              <w:jc w:val="center"/>
              <w:rPr>
                <w:sz w:val="18"/>
                <w:szCs w:val="18"/>
              </w:rPr>
            </w:pPr>
            <w:r w:rsidRPr="00B450EB">
              <w:rPr>
                <w:sz w:val="18"/>
                <w:szCs w:val="18"/>
              </w:rPr>
              <w:t>0</w:t>
            </w:r>
          </w:p>
        </w:tc>
        <w:tc>
          <w:tcPr>
            <w:tcW w:w="1526" w:type="dxa"/>
            <w:tcBorders>
              <w:bottom w:val="single" w:sz="4" w:space="0" w:color="auto"/>
            </w:tcBorders>
          </w:tcPr>
          <w:p w14:paraId="3771B514" w14:textId="77777777" w:rsidR="004D474F" w:rsidRPr="00B450EB" w:rsidRDefault="004D474F" w:rsidP="00024A81">
            <w:pPr>
              <w:jc w:val="center"/>
              <w:rPr>
                <w:sz w:val="18"/>
                <w:szCs w:val="18"/>
              </w:rPr>
            </w:pPr>
            <w:r w:rsidRPr="00B450EB">
              <w:rPr>
                <w:sz w:val="18"/>
                <w:szCs w:val="18"/>
              </w:rPr>
              <w:t>122</w:t>
            </w:r>
          </w:p>
        </w:tc>
        <w:tc>
          <w:tcPr>
            <w:tcW w:w="1820" w:type="dxa"/>
            <w:tcBorders>
              <w:bottom w:val="single" w:sz="4" w:space="0" w:color="auto"/>
            </w:tcBorders>
          </w:tcPr>
          <w:p w14:paraId="203C9636" w14:textId="77777777" w:rsidR="004D474F" w:rsidRPr="00B450EB" w:rsidRDefault="004D474F" w:rsidP="00024A81">
            <w:pPr>
              <w:jc w:val="center"/>
              <w:rPr>
                <w:sz w:val="18"/>
                <w:szCs w:val="18"/>
              </w:rPr>
            </w:pPr>
            <w:r w:rsidRPr="00B450EB">
              <w:rPr>
                <w:sz w:val="18"/>
                <w:szCs w:val="18"/>
              </w:rPr>
              <w:t>173</w:t>
            </w:r>
          </w:p>
        </w:tc>
        <w:tc>
          <w:tcPr>
            <w:tcW w:w="776" w:type="dxa"/>
            <w:tcBorders>
              <w:bottom w:val="single" w:sz="4" w:space="0" w:color="auto"/>
            </w:tcBorders>
          </w:tcPr>
          <w:p w14:paraId="4F5B5634" w14:textId="77777777" w:rsidR="004D474F" w:rsidRPr="00B450EB" w:rsidRDefault="004D474F" w:rsidP="00024A81">
            <w:pPr>
              <w:jc w:val="center"/>
              <w:rPr>
                <w:sz w:val="18"/>
                <w:szCs w:val="18"/>
              </w:rPr>
            </w:pPr>
            <w:r w:rsidRPr="00B450EB">
              <w:rPr>
                <w:sz w:val="18"/>
                <w:szCs w:val="18"/>
              </w:rPr>
              <w:t>1402</w:t>
            </w:r>
          </w:p>
        </w:tc>
      </w:tr>
      <w:tr w:rsidR="00EF1937" w:rsidRPr="00B450EB" w14:paraId="64E4A5E8" w14:textId="77777777" w:rsidTr="00024A81">
        <w:trPr>
          <w:jc w:val="center"/>
        </w:trPr>
        <w:tc>
          <w:tcPr>
            <w:tcW w:w="1187" w:type="dxa"/>
            <w:tcBorders>
              <w:top w:val="single" w:sz="4" w:space="0" w:color="auto"/>
              <w:left w:val="single" w:sz="4" w:space="0" w:color="auto"/>
              <w:bottom w:val="single" w:sz="4" w:space="0" w:color="auto"/>
              <w:right w:val="single" w:sz="4" w:space="0" w:color="auto"/>
            </w:tcBorders>
            <w:vAlign w:val="bottom"/>
          </w:tcPr>
          <w:p w14:paraId="6C820B95" w14:textId="77777777" w:rsidR="004D474F" w:rsidRPr="00B450EB" w:rsidRDefault="004D474F" w:rsidP="00024A81">
            <w:pPr>
              <w:jc w:val="center"/>
              <w:rPr>
                <w:b/>
                <w:sz w:val="18"/>
                <w:szCs w:val="18"/>
              </w:rPr>
            </w:pPr>
            <w:r w:rsidRPr="00B450EB">
              <w:rPr>
                <w:b/>
                <w:sz w:val="18"/>
                <w:szCs w:val="18"/>
              </w:rPr>
              <w:t>TOTAL</w:t>
            </w:r>
          </w:p>
        </w:tc>
        <w:tc>
          <w:tcPr>
            <w:tcW w:w="711" w:type="dxa"/>
            <w:tcBorders>
              <w:top w:val="single" w:sz="4" w:space="0" w:color="auto"/>
              <w:left w:val="single" w:sz="4" w:space="0" w:color="auto"/>
              <w:bottom w:val="single" w:sz="4" w:space="0" w:color="auto"/>
              <w:right w:val="single" w:sz="4" w:space="0" w:color="auto"/>
            </w:tcBorders>
          </w:tcPr>
          <w:p w14:paraId="54033C8D" w14:textId="77777777" w:rsidR="004D474F" w:rsidRPr="00B450EB" w:rsidRDefault="004D474F" w:rsidP="00024A81">
            <w:pPr>
              <w:jc w:val="center"/>
              <w:rPr>
                <w:sz w:val="18"/>
                <w:szCs w:val="18"/>
              </w:rPr>
            </w:pPr>
            <w:r w:rsidRPr="00B450EB">
              <w:rPr>
                <w:sz w:val="18"/>
                <w:szCs w:val="18"/>
              </w:rPr>
              <w:t>741</w:t>
            </w:r>
          </w:p>
        </w:tc>
        <w:tc>
          <w:tcPr>
            <w:tcW w:w="896" w:type="dxa"/>
            <w:tcBorders>
              <w:top w:val="single" w:sz="4" w:space="0" w:color="auto"/>
              <w:left w:val="single" w:sz="4" w:space="0" w:color="auto"/>
              <w:bottom w:val="single" w:sz="4" w:space="0" w:color="auto"/>
              <w:right w:val="single" w:sz="4" w:space="0" w:color="auto"/>
            </w:tcBorders>
          </w:tcPr>
          <w:p w14:paraId="1B36DCF1" w14:textId="77777777" w:rsidR="004D474F" w:rsidRPr="00B450EB" w:rsidRDefault="004D474F" w:rsidP="00024A81">
            <w:pPr>
              <w:jc w:val="center"/>
              <w:rPr>
                <w:sz w:val="18"/>
                <w:szCs w:val="18"/>
              </w:rPr>
            </w:pPr>
            <w:r w:rsidRPr="00B450EB">
              <w:rPr>
                <w:sz w:val="18"/>
                <w:szCs w:val="18"/>
              </w:rPr>
              <w:t>1017</w:t>
            </w:r>
          </w:p>
        </w:tc>
        <w:tc>
          <w:tcPr>
            <w:tcW w:w="906" w:type="dxa"/>
            <w:tcBorders>
              <w:top w:val="single" w:sz="4" w:space="0" w:color="auto"/>
              <w:left w:val="single" w:sz="4" w:space="0" w:color="auto"/>
              <w:bottom w:val="single" w:sz="4" w:space="0" w:color="auto"/>
              <w:right w:val="single" w:sz="4" w:space="0" w:color="auto"/>
            </w:tcBorders>
          </w:tcPr>
          <w:p w14:paraId="22C6DCB9" w14:textId="77777777" w:rsidR="004D474F" w:rsidRPr="00B450EB" w:rsidRDefault="004D474F" w:rsidP="00024A81">
            <w:pPr>
              <w:jc w:val="center"/>
              <w:rPr>
                <w:sz w:val="18"/>
                <w:szCs w:val="18"/>
              </w:rPr>
            </w:pPr>
            <w:r w:rsidRPr="00B450EB">
              <w:rPr>
                <w:sz w:val="18"/>
                <w:szCs w:val="18"/>
              </w:rPr>
              <w:t>868</w:t>
            </w:r>
          </w:p>
        </w:tc>
        <w:tc>
          <w:tcPr>
            <w:tcW w:w="1006" w:type="dxa"/>
            <w:tcBorders>
              <w:top w:val="single" w:sz="4" w:space="0" w:color="auto"/>
              <w:left w:val="single" w:sz="4" w:space="0" w:color="auto"/>
              <w:bottom w:val="single" w:sz="4" w:space="0" w:color="auto"/>
              <w:right w:val="single" w:sz="4" w:space="0" w:color="auto"/>
            </w:tcBorders>
          </w:tcPr>
          <w:p w14:paraId="420E7083" w14:textId="77777777" w:rsidR="004D474F" w:rsidRPr="00B450EB" w:rsidRDefault="004D474F" w:rsidP="00024A81">
            <w:pPr>
              <w:jc w:val="center"/>
              <w:rPr>
                <w:sz w:val="18"/>
                <w:szCs w:val="18"/>
              </w:rPr>
            </w:pPr>
            <w:r w:rsidRPr="00B450EB">
              <w:rPr>
                <w:sz w:val="18"/>
                <w:szCs w:val="18"/>
              </w:rPr>
              <w:t>13</w:t>
            </w:r>
          </w:p>
        </w:tc>
        <w:tc>
          <w:tcPr>
            <w:tcW w:w="1526" w:type="dxa"/>
            <w:tcBorders>
              <w:top w:val="single" w:sz="4" w:space="0" w:color="auto"/>
              <w:left w:val="single" w:sz="4" w:space="0" w:color="auto"/>
              <w:bottom w:val="single" w:sz="4" w:space="0" w:color="auto"/>
              <w:right w:val="single" w:sz="4" w:space="0" w:color="auto"/>
            </w:tcBorders>
          </w:tcPr>
          <w:p w14:paraId="3EFF1A1F" w14:textId="77777777" w:rsidR="004D474F" w:rsidRPr="00B450EB" w:rsidRDefault="004D474F" w:rsidP="00024A81">
            <w:pPr>
              <w:jc w:val="center"/>
              <w:rPr>
                <w:sz w:val="18"/>
                <w:szCs w:val="18"/>
              </w:rPr>
            </w:pPr>
            <w:r w:rsidRPr="00B450EB">
              <w:rPr>
                <w:sz w:val="18"/>
                <w:szCs w:val="18"/>
              </w:rPr>
              <w:t>139</w:t>
            </w:r>
          </w:p>
        </w:tc>
        <w:tc>
          <w:tcPr>
            <w:tcW w:w="1820" w:type="dxa"/>
            <w:tcBorders>
              <w:top w:val="single" w:sz="4" w:space="0" w:color="auto"/>
              <w:left w:val="single" w:sz="4" w:space="0" w:color="auto"/>
              <w:bottom w:val="single" w:sz="4" w:space="0" w:color="auto"/>
              <w:right w:val="single" w:sz="4" w:space="0" w:color="auto"/>
            </w:tcBorders>
          </w:tcPr>
          <w:p w14:paraId="5B99EA81" w14:textId="77777777" w:rsidR="004D474F" w:rsidRPr="00B450EB" w:rsidRDefault="004D474F" w:rsidP="00024A81">
            <w:pPr>
              <w:jc w:val="center"/>
              <w:rPr>
                <w:sz w:val="18"/>
                <w:szCs w:val="18"/>
              </w:rPr>
            </w:pPr>
            <w:r w:rsidRPr="00B450EB">
              <w:rPr>
                <w:sz w:val="18"/>
                <w:szCs w:val="18"/>
              </w:rPr>
              <w:t>213</w:t>
            </w:r>
          </w:p>
        </w:tc>
        <w:tc>
          <w:tcPr>
            <w:tcW w:w="776" w:type="dxa"/>
            <w:tcBorders>
              <w:top w:val="single" w:sz="4" w:space="0" w:color="auto"/>
              <w:left w:val="single" w:sz="4" w:space="0" w:color="auto"/>
              <w:bottom w:val="single" w:sz="4" w:space="0" w:color="auto"/>
              <w:right w:val="single" w:sz="4" w:space="0" w:color="auto"/>
            </w:tcBorders>
          </w:tcPr>
          <w:p w14:paraId="3AC64F80" w14:textId="77777777" w:rsidR="004D474F" w:rsidRPr="00B450EB" w:rsidRDefault="004D474F" w:rsidP="00024A81">
            <w:pPr>
              <w:jc w:val="center"/>
              <w:rPr>
                <w:b/>
                <w:sz w:val="18"/>
                <w:szCs w:val="18"/>
              </w:rPr>
            </w:pPr>
            <w:r w:rsidRPr="00B450EB">
              <w:rPr>
                <w:b/>
                <w:sz w:val="18"/>
                <w:szCs w:val="18"/>
              </w:rPr>
              <w:t>2991</w:t>
            </w:r>
          </w:p>
        </w:tc>
      </w:tr>
      <w:tr w:rsidR="00EF1937" w:rsidRPr="00B450EB" w14:paraId="31F99274" w14:textId="77777777" w:rsidTr="00024A81">
        <w:trPr>
          <w:jc w:val="center"/>
        </w:trPr>
        <w:tc>
          <w:tcPr>
            <w:tcW w:w="8828" w:type="dxa"/>
            <w:gridSpan w:val="8"/>
            <w:tcBorders>
              <w:top w:val="single" w:sz="4" w:space="0" w:color="auto"/>
              <w:left w:val="nil"/>
              <w:bottom w:val="nil"/>
              <w:right w:val="nil"/>
            </w:tcBorders>
          </w:tcPr>
          <w:p w14:paraId="32BDAF44" w14:textId="77777777" w:rsidR="004D474F" w:rsidRPr="00B450EB" w:rsidRDefault="004D474F" w:rsidP="00024A81">
            <w:pPr>
              <w:rPr>
                <w:sz w:val="16"/>
                <w:szCs w:val="16"/>
              </w:rPr>
            </w:pPr>
            <w:r w:rsidRPr="00B450EB">
              <w:rPr>
                <w:sz w:val="16"/>
                <w:szCs w:val="16"/>
              </w:rPr>
              <w:t>* A partir de García-Romo (2008)</w:t>
            </w:r>
          </w:p>
        </w:tc>
      </w:tr>
    </w:tbl>
    <w:p w14:paraId="4E74424F" w14:textId="77777777" w:rsidR="004D474F" w:rsidRPr="00B450EB" w:rsidRDefault="004D474F" w:rsidP="004D474F">
      <w:pPr>
        <w:jc w:val="center"/>
        <w:rPr>
          <w:sz w:val="18"/>
          <w:szCs w:val="18"/>
          <w:lang w:val="pt-PT"/>
        </w:rPr>
      </w:pPr>
      <w:r w:rsidRPr="00B450EB">
        <w:rPr>
          <w:sz w:val="18"/>
          <w:szCs w:val="18"/>
          <w:lang w:val="pt-PT"/>
        </w:rPr>
        <w:t>Fuente: Elaboración propia, 2025.</w:t>
      </w:r>
    </w:p>
    <w:p w14:paraId="5D20A631" w14:textId="678AF891" w:rsidR="004D474F" w:rsidRPr="00B450EB" w:rsidRDefault="004D474F" w:rsidP="004D474F">
      <w:r w:rsidRPr="00B450EB">
        <w:t xml:space="preserve">Así pues, se encuentra que los pozos y aljibes representan los puntos de mayor relevancia en la Región en cuanto a su cantidad, e indican la importancia del recurso para las comunidades en la Amazonía colombiana. Ejemplo de esto es el caso de Leticia que, de acuerdo con OTCA &amp; SHI S.A.S. (2015), debido a las condiciones del acueducto municipal, tanto en la zona urbana como en la rural muchos habitantes prefieren el uso del agua subterránea e incluso el agua lluvia, antes que el agua del acueducto. De acuerdo con cálculos del mismo estudio </w:t>
      </w:r>
      <w:sdt>
        <w:sdtPr>
          <w:id w:val="1962374880"/>
          <w:citation/>
        </w:sdtPr>
        <w:sdtContent>
          <w:r w:rsidRPr="00B450EB">
            <w:fldChar w:fldCharType="begin"/>
          </w:r>
          <w:r w:rsidRPr="00B450EB">
            <w:instrText xml:space="preserve"> CITATION OTC15 \l 9226 </w:instrText>
          </w:r>
          <w:r w:rsidRPr="00B450EB">
            <w:fldChar w:fldCharType="separate"/>
          </w:r>
          <w:r w:rsidR="0077091E" w:rsidRPr="00B450EB">
            <w:rPr>
              <w:noProof/>
            </w:rPr>
            <w:t>(OTCA &amp; SHI S.A.S., 2015)</w:t>
          </w:r>
          <w:r w:rsidRPr="00B450EB">
            <w:fldChar w:fldCharType="end"/>
          </w:r>
        </w:sdtContent>
      </w:sdt>
      <w:r w:rsidRPr="00B450EB">
        <w:t>, la demanda del recurso hídrico subterráneo en el municipio de Leticia es de 0,517 Mm</w:t>
      </w:r>
      <w:r w:rsidRPr="00B450EB">
        <w:rPr>
          <w:vertAlign w:val="superscript"/>
        </w:rPr>
        <w:t>3</w:t>
      </w:r>
      <w:r w:rsidRPr="00B450EB">
        <w:t>/año y abastece a 26.875 habitantes (65% de la población total); esta tasa de explotación es inferior a la máxima posible, que sería de 1.224 Mm</w:t>
      </w:r>
      <w:r w:rsidRPr="00B450EB">
        <w:rPr>
          <w:vertAlign w:val="superscript"/>
        </w:rPr>
        <w:t>3</w:t>
      </w:r>
      <w:r w:rsidRPr="00B450EB">
        <w:t xml:space="preserve">/año, según estimaciones. Los valores del estudio contrastan con lo presentado en el Estudio Nacional del Agua </w:t>
      </w:r>
      <w:sdt>
        <w:sdtPr>
          <w:id w:val="317162954"/>
          <w:citation/>
        </w:sdtPr>
        <w:sdtContent>
          <w:r w:rsidRPr="00B450EB">
            <w:fldChar w:fldCharType="begin"/>
          </w:r>
          <w:r w:rsidRPr="00B450EB">
            <w:instrText xml:space="preserve"> CITATION IDE22 \l 3082 </w:instrText>
          </w:r>
          <w:r w:rsidRPr="00B450EB">
            <w:fldChar w:fldCharType="separate"/>
          </w:r>
          <w:r w:rsidR="0077091E" w:rsidRPr="00B450EB">
            <w:rPr>
              <w:noProof/>
            </w:rPr>
            <w:t>(IDEAM, Estudio Nacional del Agua, 2023)</w:t>
          </w:r>
          <w:r w:rsidRPr="00B450EB">
            <w:fldChar w:fldCharType="end"/>
          </w:r>
        </w:sdtContent>
      </w:sdt>
      <w:r w:rsidRPr="00B450EB">
        <w:t>, donde se señala un caudal anual de explotación de 0,903 Mm</w:t>
      </w:r>
      <w:r w:rsidRPr="00B450EB">
        <w:rPr>
          <w:vertAlign w:val="superscript"/>
        </w:rPr>
        <w:t>3</w:t>
      </w:r>
      <w:r w:rsidRPr="00B450EB">
        <w:t>/año, valor que incluso supera las proyecciones de demanda a 2040 de OTCA y SHI S.A.S. (2015) de 0,750236 Mm</w:t>
      </w:r>
      <w:r w:rsidRPr="00B450EB">
        <w:rPr>
          <w:vertAlign w:val="superscript"/>
        </w:rPr>
        <w:t>3</w:t>
      </w:r>
      <w:r w:rsidRPr="00B450EB">
        <w:t>/año.</w:t>
      </w:r>
    </w:p>
    <w:p w14:paraId="4894894E" w14:textId="77777777" w:rsidR="004D474F" w:rsidRPr="00B450EB" w:rsidRDefault="004D474F" w:rsidP="004D474F">
      <w:r w:rsidRPr="00B450EB">
        <w:t xml:space="preserve">De acuerdo con la revisión del Sistema de Información del Recurso Hídrico – SIRH a corte 5 de abril del 2025, en conjunto con la información que reposa en la BDC, </w:t>
      </w:r>
      <w:r w:rsidRPr="00B450EB">
        <w:lastRenderedPageBreak/>
        <w:t>en el Bioma Amazónico colombiano hay 127 captaciones registradas, las cuales suman un caudal concesionado de 271,95 l/s, lo equivalente aproximadamente a 8,57 Mm</w:t>
      </w:r>
      <w:r w:rsidRPr="00B450EB">
        <w:rPr>
          <w:vertAlign w:val="superscript"/>
        </w:rPr>
        <w:t>3</w:t>
      </w:r>
      <w:r w:rsidRPr="00B450EB">
        <w:t>/año; el mayor caudal autorizado estaría en la SZH Medio Guaviare (65,75 l/s = 2,07 Mm</w:t>
      </w:r>
      <w:r w:rsidRPr="00B450EB">
        <w:rPr>
          <w:vertAlign w:val="superscript"/>
        </w:rPr>
        <w:t>3</w:t>
      </w:r>
      <w:r w:rsidRPr="00B450EB">
        <w:t>/año), al igual que el número de captaciones (30).</w:t>
      </w:r>
    </w:p>
    <w:p w14:paraId="05645792" w14:textId="1F0B6CA5" w:rsidR="004D474F" w:rsidRPr="00B450EB" w:rsidRDefault="004D474F" w:rsidP="004D474F">
      <w:pPr>
        <w:pStyle w:val="Descripcin"/>
        <w:rPr>
          <w:color w:val="auto"/>
        </w:rPr>
      </w:pPr>
      <w:bookmarkStart w:id="51" w:name="_Toc209462721"/>
      <w:r w:rsidRPr="00B450EB">
        <w:rPr>
          <w:color w:val="auto"/>
        </w:rPr>
        <w:t>Figura</w:t>
      </w:r>
      <w:r w:rsidR="608C7D62" w:rsidRPr="00B450EB">
        <w:rPr>
          <w:color w:val="auto"/>
        </w:rPr>
        <w:t>.</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32</w:t>
      </w:r>
      <w:r w:rsidRPr="00B450EB">
        <w:rPr>
          <w:color w:val="auto"/>
        </w:rPr>
        <w:fldChar w:fldCharType="end"/>
      </w:r>
      <w:r w:rsidRPr="00B450EB">
        <w:rPr>
          <w:color w:val="auto"/>
        </w:rPr>
        <w:t xml:space="preserve"> Caudal concesionado</w:t>
      </w:r>
      <w:bookmarkEnd w:id="51"/>
    </w:p>
    <w:p w14:paraId="75803488" w14:textId="77777777" w:rsidR="004D474F" w:rsidRPr="00B450EB" w:rsidRDefault="004D474F" w:rsidP="004D474F">
      <w:pPr>
        <w:spacing w:after="0"/>
      </w:pPr>
      <w:r w:rsidRPr="00B450EB">
        <w:rPr>
          <w:noProof/>
        </w:rPr>
        <w:drawing>
          <wp:inline distT="0" distB="0" distL="0" distR="0" wp14:anchorId="3898FEBC" wp14:editId="790621D3">
            <wp:extent cx="5676900" cy="4592781"/>
            <wp:effectExtent l="0" t="0" r="0" b="0"/>
            <wp:docPr id="13905566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56645" name="Imagen 1"/>
                    <pic:cNvPicPr/>
                  </pic:nvPicPr>
                  <pic:blipFill>
                    <a:blip r:embed="rId71" cstate="email">
                      <a:extLst>
                        <a:ext uri="{28A0092B-C50C-407E-A947-70E740481C1C}">
                          <a14:useLocalDpi xmlns:a14="http://schemas.microsoft.com/office/drawing/2010/main"/>
                        </a:ext>
                      </a:extLst>
                    </a:blip>
                    <a:stretch>
                      <a:fillRect/>
                    </a:stretch>
                  </pic:blipFill>
                  <pic:spPr>
                    <a:xfrm>
                      <a:off x="0" y="0"/>
                      <a:ext cx="5676900" cy="4592781"/>
                    </a:xfrm>
                    <a:prstGeom prst="rect">
                      <a:avLst/>
                    </a:prstGeom>
                  </pic:spPr>
                </pic:pic>
              </a:graphicData>
            </a:graphic>
          </wp:inline>
        </w:drawing>
      </w:r>
    </w:p>
    <w:p w14:paraId="526C43F6" w14:textId="77777777" w:rsidR="004D474F" w:rsidRPr="00B450EB" w:rsidRDefault="004D474F" w:rsidP="004D474F">
      <w:pPr>
        <w:jc w:val="center"/>
        <w:rPr>
          <w:sz w:val="18"/>
          <w:szCs w:val="18"/>
        </w:rPr>
      </w:pPr>
      <w:r w:rsidRPr="00B450EB">
        <w:rPr>
          <w:sz w:val="18"/>
          <w:szCs w:val="18"/>
        </w:rPr>
        <w:t>Fuente: Elaboración propia a partir de información de ANLA e IDEAM, 2025.</w:t>
      </w:r>
    </w:p>
    <w:p w14:paraId="1E780644" w14:textId="23CE8EE1" w:rsidR="004D474F" w:rsidRPr="00B450EB" w:rsidRDefault="004D474F" w:rsidP="004D474F">
      <w:r w:rsidRPr="00B450EB">
        <w:t>Como se observa en la</w:t>
      </w:r>
      <w:r w:rsidR="009C44E4" w:rsidRPr="00B450EB">
        <w:t xml:space="preserve"> </w:t>
      </w:r>
      <w:r w:rsidR="009C44E4" w:rsidRPr="00B450EB">
        <w:fldChar w:fldCharType="begin"/>
      </w:r>
      <w:r w:rsidR="009C44E4" w:rsidRPr="00B450EB">
        <w:instrText xml:space="preserve"> REF _Ref209265988 \h </w:instrText>
      </w:r>
      <w:r w:rsidR="006E0BC8" w:rsidRPr="00B450EB">
        <w:instrText xml:space="preserve"> \* MERGEFORMAT </w:instrText>
      </w:r>
      <w:r w:rsidR="009C44E4" w:rsidRPr="00B450EB">
        <w:fldChar w:fldCharType="separate"/>
      </w:r>
      <w:r w:rsidR="00010D09" w:rsidRPr="00B450EB">
        <w:t>Figura.</w:t>
      </w:r>
      <w:r w:rsidR="00010D09" w:rsidRPr="00B450EB">
        <w:rPr>
          <w:noProof/>
        </w:rPr>
        <w:t>33</w:t>
      </w:r>
      <w:r w:rsidR="009C44E4" w:rsidRPr="00B450EB">
        <w:fldChar w:fldCharType="end"/>
      </w:r>
      <w:r w:rsidRPr="00B450EB">
        <w:t xml:space="preserve"> , los puntos hidrogeológicos identificados se distribuyen con una densidad espacial muy baja, lo que indica que estos puntos se encuentran agrupados en áreas puntuales y no de manera uniforme a lo largo del territorio, concentrándose principalmente hacia el departamento del Putumayo, donde se ubican principalmente los proyectos licenciados y, por tanto, donde se tiene más información. De estos, la mayor parte de los puntos hidrogeológicos captan unidades de depósitos cuaternarios (aluviales, preponderantemente), y rocas del Grupo Orito. En el área de Inírida, por su parte, la mayoría de los puntos captan depósitos cuaternarios (principalmente Depósitos Arenosos Residuales </w:t>
      </w:r>
      <w:r w:rsidRPr="00B450EB">
        <w:lastRenderedPageBreak/>
        <w:t>(Q2SRAR)); de forma similar sucede en el sector de San José del Guaviare, donde la mayor parte de los puntos hidrogeológicos interceptan los Depósitos Aluviales. Finalmente, en la zona de Leticia, la totalidad de los puntos hidrogeológicos inventariados captan el acuífero aluvial transfronterizo Leticia – Tabatinga.</w:t>
      </w:r>
    </w:p>
    <w:p w14:paraId="7D9526A1" w14:textId="243237BB" w:rsidR="004D474F" w:rsidRPr="00B450EB" w:rsidRDefault="004D474F" w:rsidP="004D474F">
      <w:pPr>
        <w:pStyle w:val="Descripcin"/>
        <w:rPr>
          <w:color w:val="auto"/>
        </w:rPr>
      </w:pPr>
      <w:bookmarkStart w:id="52" w:name="_Ref209265988"/>
      <w:bookmarkStart w:id="53" w:name="_Toc209462722"/>
      <w:r w:rsidRPr="00B450EB">
        <w:rPr>
          <w:color w:val="auto"/>
        </w:rPr>
        <w:t>Figura</w:t>
      </w:r>
      <w:r w:rsidR="76DE7C40" w:rsidRPr="00B450EB">
        <w:rPr>
          <w:color w:val="auto"/>
        </w:rPr>
        <w:t>.</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33</w:t>
      </w:r>
      <w:r w:rsidRPr="00B450EB">
        <w:rPr>
          <w:color w:val="auto"/>
        </w:rPr>
        <w:fldChar w:fldCharType="end"/>
      </w:r>
      <w:bookmarkEnd w:id="52"/>
      <w:r w:rsidRPr="00B450EB">
        <w:rPr>
          <w:color w:val="auto"/>
        </w:rPr>
        <w:t xml:space="preserve"> Distribución de información existente de puntos hidrogeológicos</w:t>
      </w:r>
      <w:bookmarkEnd w:id="53"/>
    </w:p>
    <w:p w14:paraId="5DF7FD13" w14:textId="77777777" w:rsidR="004D474F" w:rsidRPr="00B450EB" w:rsidRDefault="004D474F" w:rsidP="004D474F">
      <w:pPr>
        <w:spacing w:after="0"/>
      </w:pPr>
      <w:r w:rsidRPr="00B450EB">
        <w:rPr>
          <w:noProof/>
        </w:rPr>
        <w:drawing>
          <wp:inline distT="0" distB="0" distL="0" distR="0" wp14:anchorId="7374A40D" wp14:editId="7B4CA5D1">
            <wp:extent cx="5943600" cy="4592781"/>
            <wp:effectExtent l="0" t="0" r="0" b="0"/>
            <wp:docPr id="187826564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265648" name="Imagen 2"/>
                    <pic:cNvPicPr/>
                  </pic:nvPicPr>
                  <pic:blipFill>
                    <a:blip r:embed="rId72" cstate="email">
                      <a:extLst>
                        <a:ext uri="{28A0092B-C50C-407E-A947-70E740481C1C}">
                          <a14:useLocalDpi xmlns:a14="http://schemas.microsoft.com/office/drawing/2010/main"/>
                        </a:ext>
                      </a:extLst>
                    </a:blip>
                    <a:stretch>
                      <a:fillRect/>
                    </a:stretch>
                  </pic:blipFill>
                  <pic:spPr>
                    <a:xfrm>
                      <a:off x="0" y="0"/>
                      <a:ext cx="5943600" cy="4592781"/>
                    </a:xfrm>
                    <a:prstGeom prst="rect">
                      <a:avLst/>
                    </a:prstGeom>
                  </pic:spPr>
                </pic:pic>
              </a:graphicData>
            </a:graphic>
          </wp:inline>
        </w:drawing>
      </w:r>
    </w:p>
    <w:p w14:paraId="0DB4B538" w14:textId="77777777" w:rsidR="004D474F" w:rsidRPr="00B450EB" w:rsidRDefault="004D474F" w:rsidP="004D474F">
      <w:pPr>
        <w:jc w:val="center"/>
        <w:rPr>
          <w:sz w:val="18"/>
          <w:szCs w:val="18"/>
        </w:rPr>
      </w:pPr>
      <w:r w:rsidRPr="00B450EB">
        <w:rPr>
          <w:sz w:val="18"/>
          <w:szCs w:val="18"/>
        </w:rPr>
        <w:t>Fuente: Elaboración propia a partir de información de ANLA, SGC (2015, 2016), IDEAM (2022), 2025.</w:t>
      </w:r>
    </w:p>
    <w:p w14:paraId="6898EDB9" w14:textId="77777777" w:rsidR="004D474F" w:rsidRPr="00B450EB" w:rsidRDefault="004D474F" w:rsidP="004D474F">
      <w:pPr>
        <w:rPr>
          <w:sz w:val="18"/>
          <w:szCs w:val="18"/>
        </w:rPr>
      </w:pPr>
      <w:r w:rsidRPr="00B450EB">
        <w:rPr>
          <w:sz w:val="18"/>
          <w:szCs w:val="18"/>
        </w:rPr>
        <w:t>Nota: Los puntos hidrogeológicos los municipios de Leticia y Puerto Nariño no se ubican debido a falta de información cartográfica de los mismos, más allá de ser presentados por OTCA y SHI S.A.S. (2015) y Vargas-Guardiola (2025).</w:t>
      </w:r>
    </w:p>
    <w:p w14:paraId="4DE4BDE1" w14:textId="729D0591" w:rsidR="004D474F" w:rsidRPr="00B450EB" w:rsidRDefault="004D474F" w:rsidP="004D474F">
      <w:r w:rsidRPr="00B450EB">
        <w:t xml:space="preserve">Ahora, en términos de calidad de las aguas subterráneas, se cuenta con información principalmente del área del departamento del Putumayo, donde, como se mencionó, se acumulan los proyectos objeto de licenciamiento por parte de la ANLA, dicha información se basa en lo recopilado a partir de lo radicado durante el proceso de evaluación y seguimiento ambiental por los diferentes proyectos localizados en el </w:t>
      </w:r>
      <w:r w:rsidR="009C19A6" w:rsidRPr="00B450EB">
        <w:t xml:space="preserve">Bioma Amazónico </w:t>
      </w:r>
      <w:r w:rsidRPr="00B450EB">
        <w:t xml:space="preserve">mediante ICA, EIA, entre otros, y su posterior proceso de validación. A este respecto, se analiza la información del año 2020 en adelante, sin </w:t>
      </w:r>
      <w:r w:rsidRPr="00B450EB">
        <w:lastRenderedPageBreak/>
        <w:t xml:space="preserve">diferenciar entre periodos </w:t>
      </w:r>
      <w:proofErr w:type="spellStart"/>
      <w:r w:rsidRPr="00B450EB">
        <w:t>hidroclimatológicos</w:t>
      </w:r>
      <w:proofErr w:type="spellEnd"/>
      <w:r w:rsidRPr="00B450EB">
        <w:t xml:space="preserve"> de lluvia y estiaje, debido a la limitada disponibilidad de datos. Vale la pena señalar que los límites permisibles mencionados en los apartados siguientes se basan lo establecido en el Artículo 2.2.3.3.9.3. del Decreto 1076 del 2015, que presenta criterios de calidad para consumo humano y doméstico.</w:t>
      </w:r>
    </w:p>
    <w:p w14:paraId="5B553B40" w14:textId="77777777" w:rsidR="004D474F" w:rsidRPr="00B450EB" w:rsidRDefault="004D474F" w:rsidP="004D474F">
      <w:pPr>
        <w:pStyle w:val="Prrafodelista"/>
        <w:numPr>
          <w:ilvl w:val="0"/>
          <w:numId w:val="5"/>
        </w:numPr>
        <w:spacing w:line="279" w:lineRule="auto"/>
      </w:pPr>
      <w:r w:rsidRPr="00B450EB">
        <w:t>Conductividad eléctrica (CE) y Sólidos Disueltos Totales (SDT):</w:t>
      </w:r>
    </w:p>
    <w:p w14:paraId="6FCEF045" w14:textId="77777777" w:rsidR="004D474F" w:rsidRPr="00B450EB" w:rsidRDefault="004D474F" w:rsidP="004D474F">
      <w:r w:rsidRPr="00B450EB">
        <w:t xml:space="preserve">La conductividad eléctrica hace referencia a la capacidad de una sustancia para conducir la corriente eléctrica, siendo su valor es directamente proporcional a la concentración de sólidos disueltos, por lo tanto, cuanto mayor sea dicha concentración, mayor será la conductividad; asimismo, es un valor que se puede relacionar con el tiempo de tránsito de las aguas subterráneas en el subsuelo y su subsecuente mineralización. </w:t>
      </w:r>
    </w:p>
    <w:p w14:paraId="70E48817" w14:textId="77777777" w:rsidR="004D474F" w:rsidRPr="00B450EB" w:rsidRDefault="004D474F" w:rsidP="004D474F">
      <w:r w:rsidRPr="00B450EB">
        <w:t xml:space="preserve">Para el agua dulce se ha establecido un límite máximo de conductividad eléctrica de 2000 </w:t>
      </w:r>
      <w:r w:rsidRPr="00B450EB">
        <w:rPr>
          <w:lang w:val="en-US"/>
        </w:rPr>
        <w:t>μ</w:t>
      </w:r>
      <w:r w:rsidRPr="00B450EB">
        <w:t xml:space="preserve">S/cm (Custodio y Llamas, 1983). En el área de análisis se encuentra que los valores registrados presentan una tendencia por debajo de los 1000 </w:t>
      </w:r>
      <w:r w:rsidRPr="00B450EB">
        <w:rPr>
          <w:lang w:val="en-US"/>
        </w:rPr>
        <w:t>μ</w:t>
      </w:r>
      <w:r w:rsidRPr="00B450EB">
        <w:t xml:space="preserve">S/cm, con algunos valores por encima de estos valores, y situaciones puntuales que superan los 2000 </w:t>
      </w:r>
      <w:r w:rsidRPr="00B450EB">
        <w:rPr>
          <w:lang w:val="en-US"/>
        </w:rPr>
        <w:t>μ</w:t>
      </w:r>
      <w:r w:rsidRPr="00B450EB">
        <w:t>S/cm, y de las cuales no es posible afirmar tendencias; así pues, los valores de conductividad eléctrica obtenidos indican presencia de aguas dulces con flujos preponderantemente locales, donde se da recarga directa hacia los acuíferos aluviales y habría una fuerte influencia de los eventos de precipitación sobre la infiltración de agua hacia el subsuelo.</w:t>
      </w:r>
    </w:p>
    <w:p w14:paraId="0A45D278" w14:textId="77777777" w:rsidR="004D474F" w:rsidRPr="00B450EB" w:rsidRDefault="004D474F" w:rsidP="004D474F">
      <w:r w:rsidRPr="00B450EB">
        <w:t xml:space="preserve">Por su parte, la presencia de sólidos disueltos totales con valores tendenciales por debajo de los 500 </w:t>
      </w:r>
      <w:r w:rsidRPr="00B450EB">
        <w:rPr>
          <w:lang w:val="en-US"/>
        </w:rPr>
        <w:t>μ</w:t>
      </w:r>
      <w:r w:rsidRPr="00B450EB">
        <w:t xml:space="preserve">S/cm confirma la presencia de aguas dulces en el sector, pues la bibliografía indica valores por debajo de 1000 </w:t>
      </w:r>
      <w:r w:rsidRPr="00B450EB">
        <w:rPr>
          <w:lang w:val="en-US"/>
        </w:rPr>
        <w:t>μ</w:t>
      </w:r>
      <w:r w:rsidRPr="00B450EB">
        <w:t>S/cm para aguas dulces; ahora bien, de forma análoga a lo observado en los registros de conductividad eléctrica, se presentan valores por encima del límite propuesto, pero se entienden como situaciones puntuales que no trascienden a tendencias locales ni regionales.</w:t>
      </w:r>
    </w:p>
    <w:p w14:paraId="33A7FFAA" w14:textId="77777777" w:rsidR="004D474F" w:rsidRPr="00B450EB" w:rsidRDefault="004D474F" w:rsidP="004D474F">
      <w:pPr>
        <w:pStyle w:val="Prrafodelista"/>
        <w:numPr>
          <w:ilvl w:val="0"/>
          <w:numId w:val="4"/>
        </w:numPr>
        <w:spacing w:line="279" w:lineRule="auto"/>
      </w:pPr>
      <w:r w:rsidRPr="00B450EB">
        <w:t>pH:</w:t>
      </w:r>
    </w:p>
    <w:p w14:paraId="4F07EDD4" w14:textId="77777777" w:rsidR="004D474F" w:rsidRPr="00B450EB" w:rsidRDefault="004D474F" w:rsidP="004D474F">
      <w:r w:rsidRPr="00B450EB">
        <w:t>Las muestras obtenidas indican valores de pH promedio de alrededor de 6.3, lo cual es indicativo de aguas ligeramente ácidas, posiblemente influenciadas por aguas de infiltración, tal como se observó en los registros de conductividad eléctrica. Además, teniendo en cuenta el límite normativo del Decreto 1076 de 2015 (entre 5.0 y 9.0 unidades), es posible afirmar que la mayoría de los registros dan cumplimiento a estos límites.</w:t>
      </w:r>
    </w:p>
    <w:p w14:paraId="7745ECCC" w14:textId="77777777" w:rsidR="00E81A22" w:rsidRPr="00B450EB" w:rsidRDefault="00E81A22" w:rsidP="004D474F"/>
    <w:p w14:paraId="7E3BCC62" w14:textId="77777777" w:rsidR="004D474F" w:rsidRPr="00B450EB" w:rsidRDefault="004D474F" w:rsidP="004D474F">
      <w:pPr>
        <w:pStyle w:val="Prrafodelista"/>
        <w:numPr>
          <w:ilvl w:val="0"/>
          <w:numId w:val="4"/>
        </w:numPr>
        <w:spacing w:line="279" w:lineRule="auto"/>
      </w:pPr>
      <w:r w:rsidRPr="00B450EB">
        <w:lastRenderedPageBreak/>
        <w:t>Metales:</w:t>
      </w:r>
    </w:p>
    <w:p w14:paraId="571CBACB" w14:textId="77777777" w:rsidR="004D474F" w:rsidRPr="00B450EB" w:rsidRDefault="004D474F" w:rsidP="004D474F">
      <w:r w:rsidRPr="00B450EB">
        <w:t>Se definen como elementos metálicos de interés al Cadmio (Cd), Bario (Ba), Níquel (Ni), y Plomo (Pb), debido a su asociación con actividades propias del sector de hidrocarburos. Tras analizar la información producto de los monitoreos se encuentra que la mayoría de los registros se encuentra por debajo del límite de cuantificación, salvo ciertos casos puntuales: se encuentran sobrepasos del límite máximo normativo para el Cadmio (Cd) durante el año 2021; Bario (Ba) durante los años 2020, 2021 y 2022; Níquel (Ni) durante los años 2020 y 2021 (en este caso se toma el límite presentado en la Resolución 2115 de 2007 en tanto el Decreto 1076 no define un valor máximo permisible para este parámetro); Plomo (Pb) en el año 2021.</w:t>
      </w:r>
    </w:p>
    <w:p w14:paraId="0436ECDE" w14:textId="77777777" w:rsidR="004D474F" w:rsidRPr="00B450EB" w:rsidRDefault="004D474F" w:rsidP="004D474F">
      <w:pPr>
        <w:pStyle w:val="Prrafodelista"/>
        <w:numPr>
          <w:ilvl w:val="0"/>
          <w:numId w:val="4"/>
        </w:numPr>
        <w:spacing w:line="279" w:lineRule="auto"/>
      </w:pPr>
      <w:r w:rsidRPr="00B450EB">
        <w:t>Fenoles:</w:t>
      </w:r>
    </w:p>
    <w:p w14:paraId="4A29C26F" w14:textId="77777777" w:rsidR="004D474F" w:rsidRPr="00B450EB" w:rsidRDefault="004D474F" w:rsidP="004D474F">
      <w:r w:rsidRPr="00B450EB">
        <w:t>Se encuentran la mayoría de los valores por debajo del límite de cuantificación, y solo uno, cuantificado, que estaría por encima del límite máximo definido de 0.002 mg/L, el cual se evidenció durante el año 2021.</w:t>
      </w:r>
    </w:p>
    <w:p w14:paraId="3F150899" w14:textId="77777777" w:rsidR="004D474F" w:rsidRPr="00B450EB" w:rsidRDefault="004D474F" w:rsidP="004D474F">
      <w:pPr>
        <w:pStyle w:val="Prrafodelista"/>
        <w:numPr>
          <w:ilvl w:val="0"/>
          <w:numId w:val="4"/>
        </w:numPr>
        <w:spacing w:line="279" w:lineRule="auto"/>
      </w:pPr>
      <w:r w:rsidRPr="00B450EB">
        <w:t>Bacteriológicos:</w:t>
      </w:r>
    </w:p>
    <w:p w14:paraId="24F79B1E" w14:textId="7B95C61A" w:rsidR="004D474F" w:rsidRPr="00B450EB" w:rsidRDefault="004D474F" w:rsidP="004D474F">
      <w:r w:rsidRPr="00B450EB">
        <w:t xml:space="preserve">Durante los años 2021 y 2022 se encontraron un total de seis (6) valores que superan el límite máximo permitido de Coliformes Fecales (2.000 microorganismos/100 ml). En cuanto a Coliformes Totales (cuyo límite máximo permisible es de 20.000 microorganismos/100 ml), se encontraron tres (3) valores que superan el límite mencionado en 2021 y 2022. Finalmente, se encuentra un registro de E. </w:t>
      </w:r>
      <w:proofErr w:type="spellStart"/>
      <w:r w:rsidRPr="00B450EB">
        <w:t>Coli</w:t>
      </w:r>
      <w:proofErr w:type="spellEnd"/>
      <w:r w:rsidRPr="00B450EB">
        <w:t xml:space="preserve"> cuantificado para el año 2021 (1 microrganismo /100 ml). Ahora bien, es importante señalar que la cuantificación (y en algunos casos sobrepaso normativo) parámetros microbiológicos en los monitoreos realizados, no son representativos y no indican un comportamiento repetitivo, por lo cual no es posible afirmar una tendencia que repercuta en las condiciones de calidad de las aguas subterráneas.</w:t>
      </w:r>
    </w:p>
    <w:p w14:paraId="4A0696F4" w14:textId="62402AA2" w:rsidR="004D474F" w:rsidRPr="00B450EB" w:rsidRDefault="004D474F" w:rsidP="004D474F">
      <w:r w:rsidRPr="00B450EB">
        <w:t xml:space="preserve">Con respecto al acuífero aluvial del Leticia, SHI S.A.S. (2023) indica que el agua subterránea en Leticia cumple con la mayoría de los criterios establecidos en la normatividad ambiental colombiana para consumo humano y/o uso doméstico, agrícola y pecuario expuestos en el Decreto 1076 de 2015, además de que la ausencia de contaminación por macronutrientes, materia orgánica (DBO y DQO), cloruros, grasas y aceites, indicaría la ausencia de contaminación por actividades antrópicas. Además, se encuentra que el agua subterránea en el acuífero aluvial en cuestión tiene una interacción constante con agua de recarga reciente pero también con agua de escorrentía y drenajes superficiales en la zona, incluido el río Amazonas para aquellos puntos cercanos a este </w:t>
      </w:r>
      <w:sdt>
        <w:sdtPr>
          <w:id w:val="-353955964"/>
          <w:citation/>
        </w:sdtPr>
        <w:sdtContent>
          <w:r w:rsidRPr="00B450EB">
            <w:fldChar w:fldCharType="begin"/>
          </w:r>
          <w:r w:rsidRPr="00B450EB">
            <w:instrText xml:space="preserve">CITATION SAS23 \l 9226 </w:instrText>
          </w:r>
          <w:r w:rsidRPr="00B450EB">
            <w:fldChar w:fldCharType="separate"/>
          </w:r>
          <w:r w:rsidR="0077091E" w:rsidRPr="00B450EB">
            <w:rPr>
              <w:noProof/>
            </w:rPr>
            <w:t>(SHI S.A.S., 2023)</w:t>
          </w:r>
          <w:r w:rsidRPr="00B450EB">
            <w:fldChar w:fldCharType="end"/>
          </w:r>
        </w:sdtContent>
      </w:sdt>
      <w:r w:rsidRPr="00B450EB">
        <w:t xml:space="preserve">. Esto último </w:t>
      </w:r>
      <w:r w:rsidRPr="00B450EB">
        <w:lastRenderedPageBreak/>
        <w:t>coincide con lo presentado a lo largo de este capítulo en cuanto a la influencia e interacción de las aguas superficiales con las aguas subterráneas en la Región.</w:t>
      </w:r>
    </w:p>
    <w:p w14:paraId="79D9EC4C" w14:textId="36199CE5" w:rsidR="004D474F" w:rsidRPr="00B450EB" w:rsidRDefault="004D474F" w:rsidP="004D474F">
      <w:r w:rsidRPr="00B450EB">
        <w:t>Vale la pena mencionar que el Programa Hidrológico Internacional (PHI) de la UNESCO plantea la posible existencia de un gran sistema acuífero regional: el Sistema Acuífero Transfronterizo Amazonas, con una extensión de alrededor de 3’950.000 km</w:t>
      </w:r>
      <w:r w:rsidRPr="00B450EB">
        <w:rPr>
          <w:vertAlign w:val="superscript"/>
        </w:rPr>
        <w:t>2</w:t>
      </w:r>
      <w:r w:rsidRPr="00B450EB">
        <w:t>, con cálculos de reservas iniciales entre 45000km</w:t>
      </w:r>
      <w:r w:rsidRPr="00B450EB">
        <w:rPr>
          <w:vertAlign w:val="superscript"/>
        </w:rPr>
        <w:t>3</w:t>
      </w:r>
      <w:r w:rsidRPr="00B450EB">
        <w:t xml:space="preserve"> y 160000km</w:t>
      </w:r>
      <w:r w:rsidRPr="00B450EB">
        <w:rPr>
          <w:vertAlign w:val="superscript"/>
        </w:rPr>
        <w:t>3</w:t>
      </w:r>
      <w:r w:rsidRPr="00B450EB">
        <w:t xml:space="preserve">, que comprendería Bolivia, Brasil, Colombia, Ecuador, Perú y Venezuela </w:t>
      </w:r>
      <w:sdt>
        <w:sdtPr>
          <w:id w:val="576101962"/>
          <w:citation/>
        </w:sdtPr>
        <w:sdtContent>
          <w:r w:rsidRPr="00B450EB">
            <w:fldChar w:fldCharType="begin"/>
          </w:r>
          <w:r w:rsidRPr="00B450EB">
            <w:instrText xml:space="preserve"> CITATION UNE07 \l 9226 </w:instrText>
          </w:r>
          <w:r w:rsidRPr="00B450EB">
            <w:fldChar w:fldCharType="separate"/>
          </w:r>
          <w:r w:rsidR="0077091E" w:rsidRPr="00B450EB">
            <w:rPr>
              <w:noProof/>
            </w:rPr>
            <w:t>(UNESCO, 2007)</w:t>
          </w:r>
          <w:r w:rsidRPr="00B450EB">
            <w:fldChar w:fldCharType="end"/>
          </w:r>
        </w:sdtContent>
      </w:sdt>
      <w:r w:rsidRPr="00B450EB">
        <w:t xml:space="preserve"> Este sistema acuífero abarcaría las provincias hidrogeológicas de Amazonas y Orinoco, a las que pertenecen acuíferos aluviales como los ya presentados. </w:t>
      </w:r>
    </w:p>
    <w:p w14:paraId="384B21C3" w14:textId="432BE07B" w:rsidR="004D474F" w:rsidRPr="00B450EB" w:rsidRDefault="004D474F" w:rsidP="004D474F">
      <w:r w:rsidRPr="00B450EB">
        <w:t xml:space="preserve">De acuerdo con IW: LEARN </w:t>
      </w:r>
      <w:sdt>
        <w:sdtPr>
          <w:id w:val="1888217925"/>
          <w:citation/>
        </w:sdtPr>
        <w:sdtContent>
          <w:r w:rsidRPr="00B450EB">
            <w:fldChar w:fldCharType="begin"/>
          </w:r>
          <w:r w:rsidRPr="00B450EB">
            <w:instrText xml:space="preserve">CITATION IWL22 \l 9226 </w:instrText>
          </w:r>
          <w:r w:rsidRPr="00B450EB">
            <w:fldChar w:fldCharType="separate"/>
          </w:r>
          <w:r w:rsidR="0077091E" w:rsidRPr="00B450EB">
            <w:rPr>
              <w:noProof/>
            </w:rPr>
            <w:t>(IW:LEARN, 2022)</w:t>
          </w:r>
          <w:r w:rsidRPr="00B450EB">
            <w:fldChar w:fldCharType="end"/>
          </w:r>
        </w:sdtContent>
      </w:sdt>
      <w:r w:rsidRPr="00B450EB">
        <w:t xml:space="preserve">, la red de drenaje superficial de la Amazonía se encuentra fuertemente conectada al Sistema Acuífero Amazónico (SAA), lo que lo hace una pieza clave para mantener el funcionamiento de la cuenca y sus ecosistemas, así como para garantizar su papel en el ciclo regional y global del agua y el clima, y el equilibrio ecológico. </w:t>
      </w:r>
      <w:r w:rsidRPr="00B450EB">
        <w:rPr>
          <w:lang w:val="pt-PT"/>
        </w:rPr>
        <w:t xml:space="preserve">Por su parte, Ferreira do Rosario, Custodio, y Caroso da Silva Jr. </w:t>
      </w:r>
      <w:r w:rsidRPr="00B450EB">
        <w:t xml:space="preserve">(2016), propone un sistema acuífero dentro del SAA: el WAAS, por sus siglas West </w:t>
      </w:r>
      <w:proofErr w:type="spellStart"/>
      <w:r w:rsidRPr="00B450EB">
        <w:t>Amazonic</w:t>
      </w:r>
      <w:proofErr w:type="spellEnd"/>
      <w:r w:rsidRPr="00B450EB">
        <w:t xml:space="preserve"> </w:t>
      </w:r>
      <w:proofErr w:type="spellStart"/>
      <w:r w:rsidRPr="00B450EB">
        <w:t>Aquifer</w:t>
      </w:r>
      <w:proofErr w:type="spellEnd"/>
      <w:r w:rsidRPr="00B450EB">
        <w:t xml:space="preserve"> </w:t>
      </w:r>
      <w:proofErr w:type="spellStart"/>
      <w:r w:rsidRPr="00B450EB">
        <w:t>System</w:t>
      </w:r>
      <w:proofErr w:type="spellEnd"/>
      <w:r w:rsidRPr="00B450EB">
        <w:t xml:space="preserve">, como un sistema acuífero multicapa formado por secuencias cretácicas y terciarias, teniendo en cuenta la continuidad y homogeneidad de las secuencias estratigráficas en distintos sectores de la Región; además, se señala una conexión hidráulica entre los estratos inferiores y los depósitos arenosos del fondo del río Amazonas. Así pues, se podría afirmar que el Sistema Acuífero del Amazonas estaría estrechamente relacionado con la preservación del Bioma Amazónico, la regulación de los sistemas hídricos de la Región, y, en consecuencia, de su diversidad </w:t>
      </w:r>
      <w:sdt>
        <w:sdtPr>
          <w:id w:val="-67732749"/>
          <w:citation/>
        </w:sdtPr>
        <w:sdtContent>
          <w:r w:rsidRPr="00B450EB">
            <w:fldChar w:fldCharType="begin"/>
          </w:r>
          <w:r w:rsidRPr="00B450EB">
            <w:instrText xml:space="preserve"> CITATION Fer16 \l 9226 </w:instrText>
          </w:r>
          <w:r w:rsidRPr="00B450EB">
            <w:fldChar w:fldCharType="separate"/>
          </w:r>
          <w:r w:rsidR="0077091E" w:rsidRPr="00B450EB">
            <w:rPr>
              <w:noProof/>
            </w:rPr>
            <w:t>(Ferreira do Rosario, Custodio, &amp; Cardoso da Silva Jr., 2016)</w:t>
          </w:r>
          <w:r w:rsidRPr="00B450EB">
            <w:fldChar w:fldCharType="end"/>
          </w:r>
        </w:sdtContent>
      </w:sdt>
      <w:r w:rsidRPr="00B450EB">
        <w:t xml:space="preserve">.  </w:t>
      </w:r>
    </w:p>
    <w:p w14:paraId="355AFCF3" w14:textId="77777777" w:rsidR="004D474F" w:rsidRPr="00B450EB" w:rsidRDefault="004D474F" w:rsidP="004D474F">
      <w:r w:rsidRPr="00B450EB">
        <w:t xml:space="preserve"> </w:t>
      </w:r>
    </w:p>
    <w:p w14:paraId="000A6BF8" w14:textId="2ADCB5FA" w:rsidR="00E81A22" w:rsidRPr="00B450EB" w:rsidRDefault="00E81A22">
      <w:pPr>
        <w:jc w:val="left"/>
      </w:pPr>
      <w:r w:rsidRPr="00B450EB">
        <w:br w:type="page"/>
      </w:r>
    </w:p>
    <w:p w14:paraId="7EA6B836" w14:textId="7E8F9691" w:rsidR="004D474F" w:rsidRPr="00B450EB" w:rsidRDefault="004D474F" w:rsidP="004D474F">
      <w:pPr>
        <w:pStyle w:val="Descripcin"/>
        <w:rPr>
          <w:color w:val="auto"/>
        </w:rPr>
      </w:pPr>
      <w:bookmarkStart w:id="54" w:name="_Toc209462723"/>
      <w:r w:rsidRPr="00B450EB">
        <w:rPr>
          <w:color w:val="auto"/>
        </w:rPr>
        <w:lastRenderedPageBreak/>
        <w:t>Figura</w:t>
      </w:r>
      <w:r w:rsidR="48D3648E" w:rsidRPr="00B450EB">
        <w:rPr>
          <w:color w:val="auto"/>
        </w:rPr>
        <w:t>.</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34</w:t>
      </w:r>
      <w:r w:rsidRPr="00B450EB">
        <w:rPr>
          <w:color w:val="auto"/>
        </w:rPr>
        <w:fldChar w:fldCharType="end"/>
      </w:r>
      <w:r w:rsidRPr="00B450EB">
        <w:rPr>
          <w:color w:val="auto"/>
        </w:rPr>
        <w:t xml:space="preserve"> Delimitación del Sistema Acuífero Amazónico</w:t>
      </w:r>
      <w:bookmarkEnd w:id="54"/>
    </w:p>
    <w:p w14:paraId="5CF5E9D3" w14:textId="77777777" w:rsidR="004D474F" w:rsidRPr="00B450EB" w:rsidRDefault="004D474F" w:rsidP="00E81A22">
      <w:pPr>
        <w:spacing w:after="0"/>
        <w:jc w:val="center"/>
      </w:pPr>
      <w:r w:rsidRPr="00B450EB">
        <w:rPr>
          <w:noProof/>
        </w:rPr>
        <w:drawing>
          <wp:inline distT="0" distB="0" distL="0" distR="0" wp14:anchorId="452ABB54" wp14:editId="46824108">
            <wp:extent cx="5264706" cy="4107708"/>
            <wp:effectExtent l="0" t="0" r="0" b="7620"/>
            <wp:docPr id="1583708615"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708615" name="Imagen 1" descr="Mapa&#10;&#10;El contenido generado por IA puede ser incorrecto."/>
                    <pic:cNvPicPr/>
                  </pic:nvPicPr>
                  <pic:blipFill>
                    <a:blip r:embed="rId73" cstate="email">
                      <a:extLst>
                        <a:ext uri="{28A0092B-C50C-407E-A947-70E740481C1C}">
                          <a14:useLocalDpi xmlns:a14="http://schemas.microsoft.com/office/drawing/2010/main"/>
                        </a:ext>
                      </a:extLst>
                    </a:blip>
                    <a:stretch>
                      <a:fillRect/>
                    </a:stretch>
                  </pic:blipFill>
                  <pic:spPr>
                    <a:xfrm>
                      <a:off x="0" y="0"/>
                      <a:ext cx="5268013" cy="4110288"/>
                    </a:xfrm>
                    <a:prstGeom prst="rect">
                      <a:avLst/>
                    </a:prstGeom>
                  </pic:spPr>
                </pic:pic>
              </a:graphicData>
            </a:graphic>
          </wp:inline>
        </w:drawing>
      </w:r>
    </w:p>
    <w:p w14:paraId="61182761" w14:textId="77777777" w:rsidR="004D474F" w:rsidRPr="00B450EB" w:rsidRDefault="004D474F" w:rsidP="004D474F">
      <w:pPr>
        <w:jc w:val="center"/>
        <w:rPr>
          <w:sz w:val="18"/>
          <w:szCs w:val="18"/>
          <w:lang w:val="pt-PT"/>
        </w:rPr>
      </w:pPr>
      <w:r w:rsidRPr="00B450EB">
        <w:rPr>
          <w:sz w:val="18"/>
          <w:szCs w:val="18"/>
          <w:lang w:val="pt-PT"/>
        </w:rPr>
        <w:t xml:space="preserve">Fuente: Ferreira do Rosario, </w:t>
      </w:r>
      <w:bookmarkStart w:id="55" w:name="_Int_8uIaC5FR"/>
      <w:r w:rsidRPr="00B450EB">
        <w:rPr>
          <w:sz w:val="18"/>
          <w:szCs w:val="18"/>
          <w:lang w:val="pt-PT"/>
        </w:rPr>
        <w:t>Custodio</w:t>
      </w:r>
      <w:bookmarkEnd w:id="55"/>
      <w:r w:rsidRPr="00B450EB">
        <w:rPr>
          <w:sz w:val="18"/>
          <w:szCs w:val="18"/>
          <w:lang w:val="pt-PT"/>
        </w:rPr>
        <w:t>, y Caroso da Silva Jr., 2016.</w:t>
      </w:r>
    </w:p>
    <w:p w14:paraId="76ABAB5F" w14:textId="77777777" w:rsidR="004D474F" w:rsidRPr="00B450EB" w:rsidRDefault="004D474F" w:rsidP="004D474F">
      <w:r w:rsidRPr="00B450EB">
        <w:t>En este sentido, la protección del Bioma Amazónico colombiano, tal como se plantea en el presente documento, se configura como un instrumento regulatorio orientado a la construcción de políticas nacionales que fortalezcan la gobernanza del recurso hídrico subterráneo en la región. Asimismo, resalta la necesidad de impulsar la investigación científica para ampliar el conocimiento hidrogeológico sobre los acuíferos amazónicos y las amenazas que enfrentan, con el fin de garantizar su conservación como un recurso estratégico esencial para la seguridad hídrica y el abastecimiento de las generaciones futuras.</w:t>
      </w:r>
    </w:p>
    <w:p w14:paraId="6F0D762A" w14:textId="4727C520" w:rsidR="004D474F" w:rsidRPr="00B450EB" w:rsidRDefault="004D474F" w:rsidP="004D474F">
      <w:pPr>
        <w:pStyle w:val="Ttulo2"/>
        <w:numPr>
          <w:ilvl w:val="1"/>
          <w:numId w:val="16"/>
        </w:numPr>
      </w:pPr>
      <w:bookmarkStart w:id="56" w:name="_Toc209722920"/>
      <w:r w:rsidRPr="00B450EB">
        <w:t>FENÓMENO METEOROLÓGICO “RÍOS VOLADORES”</w:t>
      </w:r>
      <w:bookmarkEnd w:id="56"/>
      <w:r w:rsidRPr="00B450EB">
        <w:t xml:space="preserve"> </w:t>
      </w:r>
    </w:p>
    <w:p w14:paraId="727B0C9C" w14:textId="77777777" w:rsidR="004D474F" w:rsidRPr="00B450EB" w:rsidRDefault="004D474F" w:rsidP="004D474F">
      <w:pPr>
        <w:rPr>
          <w:lang w:val="es-ES"/>
        </w:rPr>
      </w:pPr>
      <w:r w:rsidRPr="00B450EB">
        <w:t xml:space="preserve">Como se ha expuesto a este punto, la cuenca Amazónica transfronteriza, del cual hace parte el Bioma Amazónico colombiano, constituye  un sistema complejo y dinámico (unidad ecológica funcional) en el cual convergen diferentes elementos biofísicos como la localización geográfica en la ZCIT, la circulación atmosférica global, el comportamiento del clima regional, los flujos hídricos provenientes de diferentes unidades geológicas y múltiples interacciones biológicas, por lo cual es </w:t>
      </w:r>
      <w:r w:rsidRPr="00B450EB">
        <w:lastRenderedPageBreak/>
        <w:t xml:space="preserve">catalogada como el pulmón verde de planeta y un refugio para la biodiversidad del mundo.  </w:t>
      </w:r>
    </w:p>
    <w:p w14:paraId="759FB77A" w14:textId="1FF5D855" w:rsidR="004D474F" w:rsidRPr="00B450EB" w:rsidRDefault="004D474F" w:rsidP="004D474F">
      <w:pPr>
        <w:rPr>
          <w:lang w:val="es-ES"/>
        </w:rPr>
      </w:pPr>
      <w:r w:rsidRPr="00B450EB">
        <w:t xml:space="preserve">La Amazonía presenta uno de los fenómenos meteorológicos más importantes para el clima, la hidrología y la biodiversidad del continente conocido desde el ámbito técnico como </w:t>
      </w:r>
      <w:proofErr w:type="spellStart"/>
      <w:r w:rsidRPr="00B450EB">
        <w:rPr>
          <w:b/>
          <w:bCs/>
          <w:i/>
          <w:iCs/>
        </w:rPr>
        <w:t>low</w:t>
      </w:r>
      <w:proofErr w:type="spellEnd"/>
      <w:r w:rsidRPr="00B450EB">
        <w:rPr>
          <w:b/>
          <w:bCs/>
          <w:i/>
          <w:iCs/>
        </w:rPr>
        <w:t xml:space="preserve"> </w:t>
      </w:r>
      <w:proofErr w:type="spellStart"/>
      <w:r w:rsidRPr="00B450EB">
        <w:rPr>
          <w:b/>
          <w:bCs/>
          <w:i/>
          <w:iCs/>
        </w:rPr>
        <w:t>level</w:t>
      </w:r>
      <w:proofErr w:type="spellEnd"/>
      <w:r w:rsidRPr="00B450EB">
        <w:rPr>
          <w:b/>
          <w:bCs/>
          <w:i/>
          <w:iCs/>
        </w:rPr>
        <w:t xml:space="preserve"> jets</w:t>
      </w:r>
      <w:r w:rsidRPr="00B450EB">
        <w:rPr>
          <w:i/>
          <w:iCs/>
        </w:rPr>
        <w:t xml:space="preserve"> </w:t>
      </w:r>
      <w:r w:rsidRPr="00B450EB">
        <w:t xml:space="preserve">o </w:t>
      </w:r>
      <w:r w:rsidRPr="00B450EB">
        <w:rPr>
          <w:b/>
          <w:bCs/>
        </w:rPr>
        <w:t>río voladores</w:t>
      </w:r>
      <w:r w:rsidRPr="00B450EB">
        <w:t xml:space="preserve">.  </w:t>
      </w:r>
      <w:proofErr w:type="spellStart"/>
      <w:r w:rsidRPr="00B450EB">
        <w:rPr>
          <w:lang w:val="es-ES"/>
        </w:rPr>
        <w:t>Moraes-Arraut</w:t>
      </w:r>
      <w:proofErr w:type="spellEnd"/>
      <w:r w:rsidRPr="00B450EB">
        <w:rPr>
          <w:lang w:val="es-ES"/>
        </w:rPr>
        <w:t xml:space="preserve"> et al. (2012) define</w:t>
      </w:r>
      <w:r w:rsidR="006A623F" w:rsidRPr="00B450EB">
        <w:rPr>
          <w:lang w:val="es-ES"/>
        </w:rPr>
        <w:t>n</w:t>
      </w:r>
      <w:r w:rsidRPr="00B450EB">
        <w:rPr>
          <w:lang w:val="es-ES"/>
        </w:rPr>
        <w:t xml:space="preserve"> los ríos voladores como vías filamentosas preferenciales o amplias de flujo de humedad, debido a su simetría/analogía casi completa con los ríos superficiales, que al desacelerar y ensancharse espacialmente forman lagos atmosféricos que contienen la mayor cantidad de agua precipitable, de forma análoga a la profundidad de los lagos superficiales.</w:t>
      </w:r>
    </w:p>
    <w:p w14:paraId="0B4EB870" w14:textId="77777777" w:rsidR="004D474F" w:rsidRPr="00B450EB" w:rsidRDefault="004D474F" w:rsidP="004D474F">
      <w:r w:rsidRPr="00B450EB">
        <w:t>Poveda Jaramillo (2011) resalta que la selva amazónica recicla eficientemente la precipitación: los intercambios entre precipitación y evapotranspiración son del orden del 50 %, de modo que aproximadamente la mitad de la lluvia que cae en la cuenca proviene del propio bosque. Este importante proceso hace de la selva un regulador climático: al transpirar agua, enfría la superficie, humedece la atmósfera y promueve nuevas lluvias; al condensar, calienta la atmósfera media y fortalece la circulación. La Amazonia, por tanto, estabiliza el clima regional y contribuye al equilibrio climático global mediante estos flujos acoplados de agua-energía.</w:t>
      </w:r>
    </w:p>
    <w:p w14:paraId="66065091" w14:textId="77777777" w:rsidR="004D474F" w:rsidRPr="00B450EB" w:rsidRDefault="004D474F" w:rsidP="004D474F">
      <w:r w:rsidRPr="00B450EB">
        <w:t xml:space="preserve">Poveda et al. (2014) </w:t>
      </w:r>
      <w:r w:rsidRPr="00B450EB">
        <w:rPr>
          <w:lang w:val="es-ES"/>
        </w:rPr>
        <w:t xml:space="preserve">presenta las principales trayectorias de los ríos voladores – AR.  Esta trayectoria es descrita como un gran giro del vapor de agua sobre Sudamérica que parte del Atlántico Norte tropical hasta Los Andes y luego vira hacia el sureste, flanqueando los Andes orientales, sin embargo, también tienen variaciones a lo largo de año como se muestra a continuación. </w:t>
      </w:r>
    </w:p>
    <w:p w14:paraId="00D79DBF" w14:textId="77777777" w:rsidR="00E81A22" w:rsidRPr="00B450EB" w:rsidRDefault="00E81A22">
      <w:pPr>
        <w:jc w:val="left"/>
        <w:rPr>
          <w:i/>
          <w:iCs/>
          <w:sz w:val="18"/>
          <w:szCs w:val="18"/>
        </w:rPr>
      </w:pPr>
      <w:r w:rsidRPr="00B450EB">
        <w:br w:type="page"/>
      </w:r>
    </w:p>
    <w:p w14:paraId="1B4DA724" w14:textId="32146200" w:rsidR="004D474F" w:rsidRPr="00B450EB" w:rsidRDefault="004D474F" w:rsidP="004D474F">
      <w:pPr>
        <w:pStyle w:val="Descripcin"/>
        <w:rPr>
          <w:color w:val="auto"/>
          <w:lang w:val="es-ES"/>
        </w:rPr>
      </w:pPr>
      <w:bookmarkStart w:id="57" w:name="_Toc209462724"/>
      <w:r w:rsidRPr="00B450EB">
        <w:rPr>
          <w:color w:val="auto"/>
        </w:rPr>
        <w:lastRenderedPageBreak/>
        <w:t>Figura</w:t>
      </w:r>
      <w:r w:rsidR="06080C4A" w:rsidRPr="00B450EB">
        <w:rPr>
          <w:color w:val="auto"/>
        </w:rPr>
        <w:t>.</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35</w:t>
      </w:r>
      <w:r w:rsidRPr="00B450EB">
        <w:rPr>
          <w:color w:val="auto"/>
        </w:rPr>
        <w:fldChar w:fldCharType="end"/>
      </w:r>
      <w:r w:rsidRPr="00B450EB">
        <w:rPr>
          <w:color w:val="auto"/>
        </w:rPr>
        <w:t xml:space="preserve"> </w:t>
      </w:r>
      <w:r w:rsidRPr="00B450EB">
        <w:rPr>
          <w:color w:val="auto"/>
          <w:lang w:val="es-ES"/>
        </w:rPr>
        <w:t>Trayectorias de los ríos aéreos en América del Sur al este de los Andes a lo largo del ciclo estacional de precipitaciones (mm mes-21) de noviembre a marzo, abril a junio, julio a agosto y septiembre a octubre, promediadas entre 1979 y 2012.</w:t>
      </w:r>
      <w:bookmarkEnd w:id="57"/>
    </w:p>
    <w:p w14:paraId="0D11C91A" w14:textId="77777777" w:rsidR="004D474F" w:rsidRPr="00B450EB" w:rsidRDefault="004D474F" w:rsidP="004D474F">
      <w:pPr>
        <w:spacing w:after="0"/>
        <w:rPr>
          <w:lang w:val="es-ES"/>
        </w:rPr>
      </w:pPr>
      <w:r w:rsidRPr="00B450EB">
        <w:rPr>
          <w:noProof/>
          <w:lang w:val="es-ES"/>
        </w:rPr>
        <w:drawing>
          <wp:inline distT="0" distB="0" distL="0" distR="0" wp14:anchorId="3689DEF1" wp14:editId="623A86B0">
            <wp:extent cx="5612130" cy="5121910"/>
            <wp:effectExtent l="0" t="0" r="7620" b="2540"/>
            <wp:docPr id="168429390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12130" cy="5121910"/>
                    </a:xfrm>
                    <a:prstGeom prst="rect">
                      <a:avLst/>
                    </a:prstGeom>
                    <a:noFill/>
                    <a:ln>
                      <a:noFill/>
                    </a:ln>
                  </pic:spPr>
                </pic:pic>
              </a:graphicData>
            </a:graphic>
          </wp:inline>
        </w:drawing>
      </w:r>
    </w:p>
    <w:p w14:paraId="7E5CA6AF" w14:textId="77777777" w:rsidR="004D474F" w:rsidRPr="00B450EB" w:rsidRDefault="004D474F" w:rsidP="004D474F">
      <w:pPr>
        <w:jc w:val="center"/>
        <w:rPr>
          <w:sz w:val="18"/>
          <w:szCs w:val="18"/>
          <w:lang w:val="es-ES"/>
        </w:rPr>
      </w:pPr>
      <w:r w:rsidRPr="00B450EB">
        <w:rPr>
          <w:sz w:val="18"/>
          <w:szCs w:val="18"/>
          <w:lang w:val="es-ES"/>
        </w:rPr>
        <w:t xml:space="preserve">Fuente: </w:t>
      </w:r>
      <w:r w:rsidRPr="00B450EB">
        <w:rPr>
          <w:sz w:val="18"/>
          <w:szCs w:val="18"/>
        </w:rPr>
        <w:t>Poveda et al., 2014.</w:t>
      </w:r>
    </w:p>
    <w:p w14:paraId="43738946" w14:textId="77777777" w:rsidR="004D474F" w:rsidRPr="00B450EB" w:rsidRDefault="004D474F" w:rsidP="004D474F">
      <w:pPr>
        <w:rPr>
          <w:lang w:val="es-ES"/>
        </w:rPr>
      </w:pPr>
    </w:p>
    <w:p w14:paraId="42662C74" w14:textId="77777777" w:rsidR="004D474F" w:rsidRPr="00B450EB" w:rsidRDefault="004D474F" w:rsidP="004D474F">
      <w:pPr>
        <w:rPr>
          <w:lang w:val="es-ES"/>
        </w:rPr>
      </w:pPr>
      <w:r w:rsidRPr="00B450EB">
        <w:rPr>
          <w:lang w:val="es-ES"/>
        </w:rPr>
        <w:t xml:space="preserve">En la temporada de lluvias de noviembre a marzo (NDJFM), el flujo del lago aéreo se transporta principalmente hacia las zonas subtropicales, mientras que en la temporada de bajas lluvias del trapecio amazónico junio a agosto (JA) se dirige principalmente hacia Centroamérica. El flujo de humedad desde la Amazonía hacia las zonas subtropicales muestra correlaciones moderadas con las precipitaciones subtropicales a lo largo del año, pero estas correlaciones son algo mayores para las temporadas de lluvias (NDJFM) y de transición fría abril a junio (AMJ). </w:t>
      </w:r>
      <w:proofErr w:type="spellStart"/>
      <w:r w:rsidRPr="00B450EB">
        <w:rPr>
          <w:lang w:val="es-ES"/>
        </w:rPr>
        <w:t>Moraes-Arraut</w:t>
      </w:r>
      <w:proofErr w:type="spellEnd"/>
      <w:r w:rsidRPr="00B450EB">
        <w:rPr>
          <w:lang w:val="es-ES"/>
        </w:rPr>
        <w:t xml:space="preserve"> et al. (2012).</w:t>
      </w:r>
    </w:p>
    <w:p w14:paraId="64C438CD" w14:textId="77777777" w:rsidR="004D474F" w:rsidRPr="00B450EB" w:rsidRDefault="004D474F" w:rsidP="004D474F">
      <w:r w:rsidRPr="00B450EB">
        <w:lastRenderedPageBreak/>
        <w:t>No obstante, esta dinámica trasciende de un fenómeno meteorológico a una interacción determinante para el clima entre el ciclo hidrológico y el bosque. La selva amazónica absorbe la humedad del océano Atlántico hacia el continente, como una bomba de succión, de manera que el vapor de agua llega hasta la cordillera de Los Andes transportada por las corrientes de los Vientos Alisios y se precipita en forma de lluvia en un proceso de varios ciclos de lluvia – evapotranspiración – lluvia, el cual se considera un motor de recirculación, que avanza desde la baja Amazonia hasta el piedemonte Andino, y hacia toda Suramérica. (Poveda, 2024).</w:t>
      </w:r>
    </w:p>
    <w:p w14:paraId="56C4086F" w14:textId="77777777" w:rsidR="004D474F" w:rsidRPr="00B450EB" w:rsidRDefault="004D474F" w:rsidP="004D474F">
      <w:r w:rsidRPr="00B450EB">
        <w:rPr>
          <w:lang w:val="es-ES"/>
        </w:rPr>
        <w:t xml:space="preserve">Por otro lado, el bosque amazónico posee un sistema radicular complejo que almacena y utiliza agua en las profundidades del suelo. Esto es particularmente útil cuando las lluvias son menos frecuentes, como en el sur de la Amazonía durante la estación seca. </w:t>
      </w:r>
      <w:proofErr w:type="spellStart"/>
      <w:r w:rsidRPr="00B450EB">
        <w:rPr>
          <w:lang w:val="es-ES"/>
        </w:rPr>
        <w:t>Moraes-Arraut</w:t>
      </w:r>
      <w:proofErr w:type="spellEnd"/>
      <w:r w:rsidRPr="00B450EB">
        <w:rPr>
          <w:lang w:val="es-ES"/>
        </w:rPr>
        <w:t xml:space="preserve"> et al. (2012). </w:t>
      </w:r>
      <w:r w:rsidRPr="00B450EB">
        <w:t>La parte descrita de este ciclo contribuye a la infiltración del agua en el suelo y en los acuíferos, lo que limita su escurrimiento; regula la magnitud de las inundaciones extensas durante la temporada de lluvias y funciona como mecanismo de adaptación biológica y de liberación controlada de flujos durante épocas de sequía. (Poveda, 2024).</w:t>
      </w:r>
    </w:p>
    <w:p w14:paraId="39845CBF" w14:textId="77777777" w:rsidR="004D474F" w:rsidRPr="00B450EB" w:rsidRDefault="004D474F" w:rsidP="004D474F">
      <w:pPr>
        <w:rPr>
          <w:lang w:val="es-ES"/>
        </w:rPr>
      </w:pPr>
      <w:r w:rsidRPr="00B450EB">
        <w:t xml:space="preserve">Frente a las trayectorias o transectos analizados por Poveda et al. (2014) </w:t>
      </w:r>
      <w:r w:rsidRPr="00B450EB">
        <w:rPr>
          <w:lang w:val="es-ES"/>
        </w:rPr>
        <w:t>se evidencia que tienen sus mayores valores de precipitación en las coberturas asociadas a la selva amazónica, siendo esta zona la de mayor precipitación en Suramérica, como se ejemplifica a continuación para el periodo septiembre – octubre</w:t>
      </w:r>
      <w:r w:rsidRPr="00B450EB">
        <w:rPr>
          <w:b/>
          <w:lang w:val="es-ES"/>
        </w:rPr>
        <w:t>.</w:t>
      </w:r>
    </w:p>
    <w:p w14:paraId="14317A40" w14:textId="77777777" w:rsidR="00E81A22" w:rsidRPr="00B450EB" w:rsidRDefault="00E81A22">
      <w:pPr>
        <w:jc w:val="left"/>
        <w:rPr>
          <w:i/>
          <w:iCs/>
          <w:sz w:val="18"/>
          <w:szCs w:val="18"/>
        </w:rPr>
      </w:pPr>
      <w:r w:rsidRPr="00B450EB">
        <w:br w:type="page"/>
      </w:r>
    </w:p>
    <w:p w14:paraId="25E6DDBC" w14:textId="04B927BF" w:rsidR="004D474F" w:rsidRPr="00B450EB" w:rsidRDefault="004D474F" w:rsidP="004D474F">
      <w:pPr>
        <w:pStyle w:val="Descripcin"/>
        <w:rPr>
          <w:color w:val="auto"/>
          <w:lang w:val="es-ES"/>
        </w:rPr>
      </w:pPr>
      <w:bookmarkStart w:id="58" w:name="_Toc209462725"/>
      <w:r w:rsidRPr="00B450EB">
        <w:rPr>
          <w:color w:val="auto"/>
        </w:rPr>
        <w:lastRenderedPageBreak/>
        <w:t>Figura</w:t>
      </w:r>
      <w:r w:rsidR="088D5CD8" w:rsidRPr="00B450EB">
        <w:rPr>
          <w:color w:val="auto"/>
        </w:rPr>
        <w:t>.</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36</w:t>
      </w:r>
      <w:r w:rsidRPr="00B450EB">
        <w:rPr>
          <w:color w:val="auto"/>
        </w:rPr>
        <w:fldChar w:fldCharType="end"/>
      </w:r>
      <w:r w:rsidRPr="00B450EB">
        <w:rPr>
          <w:color w:val="auto"/>
        </w:rPr>
        <w:t xml:space="preserve"> </w:t>
      </w:r>
      <w:r w:rsidRPr="00B450EB">
        <w:rPr>
          <w:color w:val="auto"/>
          <w:lang w:val="es-ES"/>
        </w:rPr>
        <w:t>Izquierda: Trayectorias de los ríos atmosféricos de septiembre a octubre a lo largo de mapa de cobertura terrestre de Sudamérica de Eva et al. [2004]. Derecha: Distribución espacial de la precipitación media de septiembre a octubre y la energía potencial convectiva disponible (CAPE) a lo largo de las trayectorias SO2 y SO3. Los dos gráficos debajo de las figuras principales muestran secciones transversales de la cobertura terrestre y la topografía a lo largo de cada trayectoria.</w:t>
      </w:r>
      <w:bookmarkEnd w:id="58"/>
    </w:p>
    <w:p w14:paraId="24D540AD" w14:textId="77777777" w:rsidR="004D474F" w:rsidRPr="00B450EB" w:rsidRDefault="004D474F" w:rsidP="004D474F">
      <w:pPr>
        <w:spacing w:after="0"/>
        <w:rPr>
          <w:lang w:val="es-ES"/>
        </w:rPr>
      </w:pPr>
      <w:r w:rsidRPr="00B450EB">
        <w:rPr>
          <w:noProof/>
        </w:rPr>
        <w:drawing>
          <wp:inline distT="0" distB="0" distL="0" distR="0" wp14:anchorId="7A4DEC92" wp14:editId="74074A4A">
            <wp:extent cx="5612130" cy="3384550"/>
            <wp:effectExtent l="0" t="0" r="7620" b="6350"/>
            <wp:docPr id="372240319"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9898" name="Imagen 1" descr="Diagrama&#10;&#10;El contenido generado por IA puede ser incorrecto."/>
                    <pic:cNvPicPr/>
                  </pic:nvPicPr>
                  <pic:blipFill>
                    <a:blip r:embed="rId75" cstate="email">
                      <a:extLst>
                        <a:ext uri="{28A0092B-C50C-407E-A947-70E740481C1C}">
                          <a14:useLocalDpi xmlns:a14="http://schemas.microsoft.com/office/drawing/2010/main"/>
                        </a:ext>
                      </a:extLst>
                    </a:blip>
                    <a:stretch>
                      <a:fillRect/>
                    </a:stretch>
                  </pic:blipFill>
                  <pic:spPr>
                    <a:xfrm>
                      <a:off x="0" y="0"/>
                      <a:ext cx="5612130" cy="3384550"/>
                    </a:xfrm>
                    <a:prstGeom prst="rect">
                      <a:avLst/>
                    </a:prstGeom>
                  </pic:spPr>
                </pic:pic>
              </a:graphicData>
            </a:graphic>
          </wp:inline>
        </w:drawing>
      </w:r>
    </w:p>
    <w:p w14:paraId="241EFC59" w14:textId="77777777" w:rsidR="004D474F" w:rsidRPr="00B450EB" w:rsidRDefault="004D474F" w:rsidP="004D474F">
      <w:pPr>
        <w:jc w:val="center"/>
        <w:rPr>
          <w:sz w:val="18"/>
          <w:szCs w:val="18"/>
          <w:lang w:val="es-ES"/>
        </w:rPr>
      </w:pPr>
      <w:r w:rsidRPr="00B450EB">
        <w:rPr>
          <w:sz w:val="18"/>
          <w:szCs w:val="18"/>
          <w:lang w:val="es-ES"/>
        </w:rPr>
        <w:t xml:space="preserve">Fuente: </w:t>
      </w:r>
      <w:r w:rsidRPr="00B450EB">
        <w:rPr>
          <w:sz w:val="18"/>
          <w:szCs w:val="18"/>
        </w:rPr>
        <w:t>Poveda et al., 2014.</w:t>
      </w:r>
    </w:p>
    <w:p w14:paraId="53C3B175" w14:textId="77777777" w:rsidR="004D474F" w:rsidRPr="00B450EB" w:rsidRDefault="004D474F" w:rsidP="004D474F"/>
    <w:p w14:paraId="157BA827" w14:textId="77777777" w:rsidR="004D474F" w:rsidRPr="00B450EB" w:rsidRDefault="004D474F" w:rsidP="004D474F">
      <w:pPr>
        <w:rPr>
          <w:lang w:val="es-ES"/>
        </w:rPr>
      </w:pPr>
      <w:r w:rsidRPr="00B450EB">
        <w:rPr>
          <w:lang w:val="es-ES"/>
        </w:rPr>
        <w:t>Una de las conclusiones más importantes del citado estudio es que los flujos de agua terrestres están dominados por flujos biológicos (transpiración) en lugar de flujos físicos (evaporación), y que la actividad de la vegetación genera y aumenta el vapor de agua a escala continental.</w:t>
      </w:r>
    </w:p>
    <w:p w14:paraId="43EEA10E" w14:textId="77777777" w:rsidR="004D474F" w:rsidRPr="00B450EB" w:rsidRDefault="004D474F" w:rsidP="004D474F">
      <w:pPr>
        <w:rPr>
          <w:lang w:val="es-ES"/>
        </w:rPr>
      </w:pPr>
      <w:r w:rsidRPr="00B450EB">
        <w:t>El</w:t>
      </w:r>
      <w:r w:rsidRPr="00B450EB">
        <w:rPr>
          <w:lang w:val="es-ES"/>
        </w:rPr>
        <w:t xml:space="preserve"> mecanismo de la bomba biótica de humedad atmosférica (</w:t>
      </w:r>
      <w:proofErr w:type="spellStart"/>
      <w:r w:rsidRPr="00B450EB">
        <w:rPr>
          <w:lang w:val="es-ES"/>
        </w:rPr>
        <w:t>BiPAM</w:t>
      </w:r>
      <w:proofErr w:type="spellEnd"/>
      <w:r w:rsidRPr="00B450EB">
        <w:rPr>
          <w:lang w:val="es-ES"/>
        </w:rPr>
        <w:t>) podría contribuir a explicar la extraordinaria región lluviosa del occidente de Colombia, y que la propia existencia de la selva tropical del Amazonas potencia, sustenta y dirige ambos chorros (tanto el que viene del océano atlántico en la baja amazonia, como la que viene del pacifico) hacia sí misma. Esta teoría indica que “</w:t>
      </w:r>
      <w:r w:rsidRPr="00B450EB">
        <w:rPr>
          <w:i/>
          <w:iCs/>
          <w:lang w:val="es-ES"/>
        </w:rPr>
        <w:t>en las regiones cubiertas de bosques, la precipitación anual no disminuye con el aumento de la distancia al océano e incluso puede aumentar a medida que se avanza varios miles de kilómetros tierra adentro, mientras que, por el contrario, donde faltan bosques, la precipitación disminuye con una escala exponencial de unos pocos cientos de kilómetros</w:t>
      </w:r>
      <w:r w:rsidRPr="00B450EB">
        <w:rPr>
          <w:lang w:val="es-ES"/>
        </w:rPr>
        <w:t>”</w:t>
      </w:r>
    </w:p>
    <w:p w14:paraId="34A57B77" w14:textId="77777777" w:rsidR="004D474F" w:rsidRPr="00B450EB" w:rsidRDefault="004D474F" w:rsidP="004D474F">
      <w:r w:rsidRPr="00B450EB">
        <w:lastRenderedPageBreak/>
        <w:t>En la visualización realizada por Bock et. Al (2020), investigadores de la Universidad de Illinois en el periodo diciembre 2004 a marzo 2005, muestra el ciclo diurno de circulación de humedad en la Amazonia como un latido de corazón, del cual depende el suministro de agua de toda sur América.</w:t>
      </w:r>
    </w:p>
    <w:p w14:paraId="4B7E54DA" w14:textId="77777777" w:rsidR="004D474F" w:rsidRPr="00B450EB" w:rsidRDefault="004D474F" w:rsidP="004D474F">
      <w:pPr>
        <w:rPr>
          <w:lang w:val="es-ES"/>
        </w:rPr>
      </w:pPr>
      <w:r w:rsidRPr="00B450EB">
        <w:rPr>
          <w:lang w:val="es-ES"/>
        </w:rPr>
        <w:t>El estudio de trayectorias presentado anteriormente evidencia que el mecanismo se acopla hasta en un 64% de las trayectorias analizadas, lo que valida la teoría de la bomba biótica en el contexto del bosque amazónico.</w:t>
      </w:r>
    </w:p>
    <w:p w14:paraId="488A1A1E" w14:textId="10A4BE3F" w:rsidR="004D474F" w:rsidRPr="00B450EB" w:rsidRDefault="004D474F" w:rsidP="004D474F">
      <w:pPr>
        <w:rPr>
          <w:rFonts w:cs="Arial"/>
        </w:rPr>
      </w:pPr>
      <w:r w:rsidRPr="00B450EB">
        <w:rPr>
          <w:rFonts w:cs="Arial"/>
        </w:rPr>
        <w:t>Por otra parte, las partículas sobre las cuales se condensa el vapor de agua del bosque amazónico también han sido estudiadas. Los compuestos orgánicos volátiles biogénicos o BVOC</w:t>
      </w:r>
      <w:r w:rsidRPr="00B450EB">
        <w:rPr>
          <w:rStyle w:val="Refdenotaalpie"/>
          <w:rFonts w:cs="Arial"/>
        </w:rPr>
        <w:footnoteReference w:id="11"/>
      </w:r>
      <w:r w:rsidRPr="00B450EB">
        <w:rPr>
          <w:rFonts w:cs="Arial"/>
        </w:rPr>
        <w:t xml:space="preserve"> y los aerosoles biológicos poseen una fuerte relación con el bosque amazónico, debido a que este los libera y actúan como núcleos de condensación de nubes, favoreciendo la formación de lluvias según lo indicado por </w:t>
      </w:r>
      <w:sdt>
        <w:sdtPr>
          <w:id w:val="1695427361"/>
          <w:citation/>
        </w:sdtPr>
        <w:sdtContent>
          <w:r w:rsidRPr="00B450EB">
            <w:rPr>
              <w:rFonts w:cs="Arial"/>
            </w:rPr>
            <w:fldChar w:fldCharType="begin"/>
          </w:r>
          <w:r w:rsidRPr="00B450EB">
            <w:rPr>
              <w:rFonts w:cs="Arial"/>
              <w:lang w:val="es-ES"/>
            </w:rPr>
            <w:instrText xml:space="preserve"> CITATION Pöh12 \l 3082 </w:instrText>
          </w:r>
          <w:r w:rsidRPr="00B450EB">
            <w:rPr>
              <w:rFonts w:cs="Arial"/>
            </w:rPr>
            <w:fldChar w:fldCharType="separate"/>
          </w:r>
          <w:r w:rsidR="0077091E" w:rsidRPr="00B450EB">
            <w:rPr>
              <w:rFonts w:cs="Arial"/>
              <w:noProof/>
              <w:lang w:val="es-ES"/>
            </w:rPr>
            <w:t>(Pöhlker C, 2012)</w:t>
          </w:r>
          <w:r w:rsidRPr="00B450EB">
            <w:rPr>
              <w:rFonts w:cs="Arial"/>
            </w:rPr>
            <w:fldChar w:fldCharType="end"/>
          </w:r>
        </w:sdtContent>
      </w:sdt>
      <w:r w:rsidRPr="00B450EB">
        <w:rPr>
          <w:rFonts w:cs="Arial"/>
        </w:rPr>
        <w:t>.</w:t>
      </w:r>
    </w:p>
    <w:p w14:paraId="7518D274" w14:textId="77777777" w:rsidR="004D474F" w:rsidRPr="00B450EB" w:rsidRDefault="004D474F" w:rsidP="004D474F">
      <w:r w:rsidRPr="00B450EB">
        <w:t xml:space="preserve">Los BVOC actúan como mecanismos de defensa y comunicación entre plantas e insectos, contribuyendo a la adaptación de las especies frente a condiciones de estrés; mientras que los aerosoles biológicos favorecen la formación de nubes al generar núcleos de condensación, lo que incrementa la probabilidad de precipitación. </w:t>
      </w:r>
    </w:p>
    <w:p w14:paraId="544E9903" w14:textId="77777777" w:rsidR="004D474F" w:rsidRPr="00B450EB" w:rsidRDefault="004D474F" w:rsidP="004D474F">
      <w:pPr>
        <w:rPr>
          <w:rFonts w:cs="Arial"/>
        </w:rPr>
      </w:pPr>
      <w:r w:rsidRPr="00B450EB">
        <w:rPr>
          <w:rFonts w:cs="Arial"/>
        </w:rPr>
        <w:t xml:space="preserve">El bosque amazónico es el mayor emisor natural de Compuestos Orgánicos Volátiles Biogénicos (BVOC) del planeta, con una producción aproximada de 835 </w:t>
      </w:r>
      <w:proofErr w:type="spellStart"/>
      <w:r w:rsidRPr="00B450EB">
        <w:rPr>
          <w:rFonts w:cs="Arial"/>
        </w:rPr>
        <w:t>teragramos</w:t>
      </w:r>
      <w:proofErr w:type="spellEnd"/>
      <w:r w:rsidRPr="00B450EB">
        <w:rPr>
          <w:rFonts w:cs="Arial"/>
        </w:rPr>
        <w:t xml:space="preserve"> por año (</w:t>
      </w:r>
      <w:proofErr w:type="spellStart"/>
      <w:r w:rsidRPr="00B450EB">
        <w:rPr>
          <w:rFonts w:cs="Arial"/>
        </w:rPr>
        <w:t>Tg</w:t>
      </w:r>
      <w:proofErr w:type="spellEnd"/>
      <w:r w:rsidRPr="00B450EB">
        <w:rPr>
          <w:rFonts w:cs="Arial"/>
        </w:rPr>
        <w:t>/año), como se expuso en el componente atmosférico del medio abiótico de este documento. La relación entre el vapor de agua y la lluvia residual permite que los ríos voladores transporten humedad con elementos fundamentales para mantener el ciclo hídrico en Suramérica y favorecer la conservación de ecosistemas en regiones como la zona Andina, así como en áreas de Brasil, Uruguay y Argentina.</w:t>
      </w:r>
      <w:r w:rsidRPr="00B450EB">
        <w:t xml:space="preserve"> </w:t>
      </w:r>
      <w:r w:rsidRPr="00B450EB">
        <w:rPr>
          <w:rFonts w:cs="Arial"/>
        </w:rPr>
        <w:t>Esto valida que la conservación de la selva en condiciones naturales es esencial, ya que la formación de estos compuestos y aerosoles son el resultado de complejas interacciones bioquímicas desarrolladas durante largos procesos evolutivos. Dichos mecanismos son prácticamente imposibles de recrear artificialmente y, en caso de serlo, requerirían tiempos excesivos para recuperar los beneficios actuales.</w:t>
      </w:r>
    </w:p>
    <w:p w14:paraId="6650DF14" w14:textId="2B66FA60" w:rsidR="004D474F" w:rsidRPr="00B450EB" w:rsidRDefault="004D474F" w:rsidP="004D474F">
      <w:r w:rsidRPr="00B450EB">
        <w:rPr>
          <w:rFonts w:cs="Arial"/>
        </w:rPr>
        <w:t>Ahora bien, con respecto al Bioma Amazónico colombiano y su importancia para el ciclo hidrológico, el estudio de</w:t>
      </w:r>
      <w:sdt>
        <w:sdtPr>
          <w:rPr>
            <w:rFonts w:cs="Arial"/>
          </w:rPr>
          <w:id w:val="-350956738"/>
          <w:citation/>
        </w:sdtPr>
        <w:sdtContent>
          <w:r w:rsidRPr="00B450EB">
            <w:rPr>
              <w:rFonts w:cs="Arial"/>
            </w:rPr>
            <w:fldChar w:fldCharType="begin"/>
          </w:r>
          <w:r w:rsidRPr="00B450EB">
            <w:rPr>
              <w:rFonts w:cs="Arial"/>
            </w:rPr>
            <w:instrText xml:space="preserve"> CITATION UNA21 \l 9226 </w:instrText>
          </w:r>
          <w:r w:rsidRPr="00B450EB">
            <w:rPr>
              <w:rFonts w:cs="Arial"/>
            </w:rPr>
            <w:fldChar w:fldCharType="separate"/>
          </w:r>
          <w:r w:rsidR="0077091E" w:rsidRPr="00B450EB">
            <w:rPr>
              <w:rFonts w:cs="Arial"/>
              <w:noProof/>
            </w:rPr>
            <w:t xml:space="preserve"> (UNAL Medellín, 2021)</w:t>
          </w:r>
          <w:r w:rsidRPr="00B450EB">
            <w:rPr>
              <w:rFonts w:cs="Arial"/>
            </w:rPr>
            <w:fldChar w:fldCharType="end"/>
          </w:r>
        </w:sdtContent>
      </w:sdt>
      <w:r w:rsidRPr="00B450EB">
        <w:rPr>
          <w:rFonts w:cs="Arial"/>
        </w:rPr>
        <w:t xml:space="preserve"> </w:t>
      </w:r>
      <w:r w:rsidRPr="00B450EB">
        <w:t xml:space="preserve">resalta la importancia de los flujos de vapor de agua provenientes del Atlántico y que transitan por la Orinoquía y la selva Amazónica hacia el piedemonte de Los Andes. El fenómeno </w:t>
      </w:r>
      <w:r w:rsidRPr="00B450EB">
        <w:lastRenderedPageBreak/>
        <w:t>meteorológico de ríos voladores es fundamental para el suministro de agua de las grandes ciudades cercanas a la cordillera de Los Andes como lo son Bogotá, Lima, Quito y La Paz; así como el suministro a las ciudades del Sureste de Suramérica como Sao Paulo, Buenos Aires y Montevideo, afirma el estudio.</w:t>
      </w:r>
    </w:p>
    <w:p w14:paraId="478AFE0C" w14:textId="77777777" w:rsidR="004D474F" w:rsidRPr="00B450EB" w:rsidRDefault="004D474F" w:rsidP="004D474F">
      <w:r w:rsidRPr="00B450EB">
        <w:t>Sobre la dependencia del flujo de humedad de la selva amazónica relacionada con los páramos de Sumapaz y Chingaza, y el suministro de agua en la ciudad de Bogotá, Sánchez et. al (2024), concluyen que las principales fuentes de humedad para Chingaza son el Orinoco y el Amazonas aportando cerca del 50%, siendo el mayor aporte en la temporada de marzo a mayo y de junio a agosto, respectivamente, mientras que el Pacifico, Caribe y Andes son fuentes secundarias.  La siguiente figura presenta la variabilidad neta porcentual de contribución de las masas de vapor de agua según su origen entre 1980 y 2022.</w:t>
      </w:r>
    </w:p>
    <w:p w14:paraId="3A40EEE6" w14:textId="5F76F755" w:rsidR="004D474F" w:rsidRPr="00B450EB" w:rsidRDefault="004D474F" w:rsidP="004D474F">
      <w:pPr>
        <w:pStyle w:val="Descripcin"/>
        <w:rPr>
          <w:color w:val="auto"/>
        </w:rPr>
      </w:pPr>
      <w:bookmarkStart w:id="59" w:name="_Toc209462726"/>
      <w:r w:rsidRPr="00B450EB">
        <w:rPr>
          <w:color w:val="auto"/>
        </w:rPr>
        <w:t>Figura</w:t>
      </w:r>
      <w:r w:rsidR="7C57A0B3" w:rsidRPr="00B450EB">
        <w:rPr>
          <w:color w:val="auto"/>
        </w:rPr>
        <w:t>.</w:t>
      </w:r>
      <w:r w:rsidRPr="00B450EB">
        <w:rPr>
          <w:color w:val="auto"/>
        </w:rPr>
        <w:t xml:space="preserve"> Variabilidad</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37</w:t>
      </w:r>
      <w:r w:rsidRPr="00B450EB">
        <w:rPr>
          <w:color w:val="auto"/>
        </w:rPr>
        <w:fldChar w:fldCharType="end"/>
      </w:r>
      <w:r w:rsidRPr="00B450EB">
        <w:rPr>
          <w:color w:val="auto"/>
        </w:rPr>
        <w:t xml:space="preserve"> neta porcentual, sobre la contribución del Orinoco, Amazonia y Pacifico-Andina sobre el Páramo de Chingaza, Valores promedios multianuales del 1980-2022.</w:t>
      </w:r>
      <w:bookmarkEnd w:id="59"/>
    </w:p>
    <w:p w14:paraId="6819AD8B" w14:textId="77777777" w:rsidR="004D474F" w:rsidRPr="00B450EB" w:rsidRDefault="004D474F" w:rsidP="004D474F">
      <w:pPr>
        <w:spacing w:after="0"/>
        <w:jc w:val="center"/>
      </w:pPr>
      <w:r w:rsidRPr="00B450EB">
        <w:rPr>
          <w:noProof/>
        </w:rPr>
        <w:drawing>
          <wp:inline distT="0" distB="0" distL="0" distR="0" wp14:anchorId="4330EC46" wp14:editId="46E50735">
            <wp:extent cx="4511119" cy="2689860"/>
            <wp:effectExtent l="0" t="0" r="3810" b="0"/>
            <wp:docPr id="208058875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17411" cy="2693612"/>
                    </a:xfrm>
                    <a:prstGeom prst="rect">
                      <a:avLst/>
                    </a:prstGeom>
                    <a:noFill/>
                    <a:ln>
                      <a:noFill/>
                    </a:ln>
                  </pic:spPr>
                </pic:pic>
              </a:graphicData>
            </a:graphic>
          </wp:inline>
        </w:drawing>
      </w:r>
    </w:p>
    <w:p w14:paraId="3C238BFB" w14:textId="77777777" w:rsidR="004D474F" w:rsidRPr="00B450EB" w:rsidRDefault="004D474F" w:rsidP="004D474F">
      <w:pPr>
        <w:jc w:val="center"/>
        <w:rPr>
          <w:sz w:val="18"/>
          <w:szCs w:val="18"/>
        </w:rPr>
      </w:pPr>
      <w:r w:rsidRPr="00B450EB">
        <w:rPr>
          <w:sz w:val="18"/>
          <w:szCs w:val="18"/>
        </w:rPr>
        <w:t>Fuente: Sánchez et. Al., 2024.</w:t>
      </w:r>
    </w:p>
    <w:p w14:paraId="3ABDF7E5" w14:textId="77777777" w:rsidR="004D474F" w:rsidRPr="00B450EB" w:rsidRDefault="004D474F" w:rsidP="004D474F">
      <w:pPr>
        <w:rPr>
          <w:bCs/>
        </w:rPr>
      </w:pPr>
      <w:r w:rsidRPr="00B450EB">
        <w:t xml:space="preserve">En concordancia con lo anterior, </w:t>
      </w:r>
      <w:r w:rsidRPr="00B450EB">
        <w:rPr>
          <w:bCs/>
        </w:rPr>
        <w:t>Cifuentes y Cote (2022) indican que estos páramos abastecen de agua a la sabana de Bogotá (con aproximadamente 12 millones de habitantes). Por tanto, es importante hacer frente a la deforestación de la selva amazónica, debido a los efectos en la circulación de humedad a nivel regional y su impacto sobre los servicios ecosistémicos que pueden modificar la dinámica social y económica de las comunidades locales y afectar sus medios de vida.</w:t>
      </w:r>
    </w:p>
    <w:p w14:paraId="24DBF29F" w14:textId="12064CA5" w:rsidR="004D474F" w:rsidRPr="00B450EB" w:rsidRDefault="004D474F" w:rsidP="004D474F">
      <w:pPr>
        <w:rPr>
          <w:rFonts w:cs="Arial"/>
        </w:rPr>
      </w:pPr>
      <w:r w:rsidRPr="00B450EB">
        <w:rPr>
          <w:rFonts w:cs="Arial"/>
        </w:rPr>
        <w:lastRenderedPageBreak/>
        <w:t xml:space="preserve">Por su parte, el </w:t>
      </w:r>
      <w:sdt>
        <w:sdtPr>
          <w:rPr>
            <w:rFonts w:cs="Arial"/>
          </w:rPr>
          <w:id w:val="-501348355"/>
          <w:citation/>
        </w:sdtPr>
        <w:sdtContent>
          <w:r w:rsidRPr="00B450EB">
            <w:rPr>
              <w:rFonts w:cs="Arial"/>
            </w:rPr>
            <w:fldChar w:fldCharType="begin"/>
          </w:r>
          <w:r w:rsidRPr="00B450EB">
            <w:rPr>
              <w:rFonts w:cs="Arial"/>
              <w:lang w:val="es-ES"/>
            </w:rPr>
            <w:instrText xml:space="preserve"> CITATION IDE22 \l 3082 </w:instrText>
          </w:r>
          <w:r w:rsidRPr="00B450EB">
            <w:rPr>
              <w:rFonts w:cs="Arial"/>
            </w:rPr>
            <w:fldChar w:fldCharType="separate"/>
          </w:r>
          <w:r w:rsidR="0077091E" w:rsidRPr="00B450EB">
            <w:rPr>
              <w:rFonts w:cs="Arial"/>
              <w:noProof/>
              <w:lang w:val="es-ES"/>
            </w:rPr>
            <w:t>(IDEAM, Estudio Nacional del Agua, 2023)</w:t>
          </w:r>
          <w:r w:rsidRPr="00B450EB">
            <w:rPr>
              <w:rFonts w:cs="Arial"/>
            </w:rPr>
            <w:fldChar w:fldCharType="end"/>
          </w:r>
        </w:sdtContent>
      </w:sdt>
      <w:r w:rsidRPr="00B450EB">
        <w:rPr>
          <w:rFonts w:cs="Arial"/>
        </w:rPr>
        <w:t xml:space="preserve"> presentó resultados de isotopía</w:t>
      </w:r>
      <w:r w:rsidRPr="00B450EB">
        <w:rPr>
          <w:rStyle w:val="Refdenotaalpie"/>
          <w:rFonts w:cs="Arial"/>
        </w:rPr>
        <w:footnoteReference w:id="12"/>
      </w:r>
      <w:r w:rsidRPr="00B450EB">
        <w:rPr>
          <w:rFonts w:cs="Arial"/>
        </w:rPr>
        <w:t xml:space="preserve"> (composición y origen de la lluvia) para la región Andina, señalando que, con respecto a la caracterización efectuada para el país, la variabilidad isotópica de esta región es la más alta. El IDEAM señala que la huella isotópica de la lluvia depende de fenómenos atmosféricos, sinópticos, a </w:t>
      </w:r>
      <w:proofErr w:type="spellStart"/>
      <w:r w:rsidRPr="00B450EB">
        <w:rPr>
          <w:rFonts w:cs="Arial"/>
        </w:rPr>
        <w:t>mesoescala</w:t>
      </w:r>
      <w:proofErr w:type="spellEnd"/>
      <w:r w:rsidRPr="00B450EB">
        <w:rPr>
          <w:rFonts w:cs="Arial"/>
        </w:rPr>
        <w:t xml:space="preserve"> o locales (lo que muestra que este proceso está influenciado por las dinámicas de diferentes capas atmosféricas que van desde la superficie hasta los 20 km de altura). Por tanto, el contenido isotópico de la lluvia evidencia el historial de las trayectorias de las masas de aire que se precipitan, y la evaporación/condensación hasta el punto de observación. </w:t>
      </w:r>
    </w:p>
    <w:p w14:paraId="24F77CDA" w14:textId="77777777" w:rsidR="004D474F" w:rsidRPr="00B450EB" w:rsidRDefault="004D474F" w:rsidP="004D474F">
      <w:pPr>
        <w:rPr>
          <w:rFonts w:cs="Arial"/>
        </w:rPr>
      </w:pPr>
      <w:r w:rsidRPr="00B450EB">
        <w:rPr>
          <w:rFonts w:cs="Arial"/>
        </w:rPr>
        <w:t>Según el análisis del exceso de deuterio</w:t>
      </w:r>
      <w:r w:rsidRPr="00B450EB">
        <w:rPr>
          <w:rStyle w:val="Refdenotaalpie"/>
          <w:rFonts w:cs="Arial"/>
        </w:rPr>
        <w:footnoteReference w:id="13"/>
      </w:r>
      <w:r w:rsidRPr="00B450EB">
        <w:rPr>
          <w:rFonts w:cs="Arial"/>
        </w:rPr>
        <w:t xml:space="preserve">, en la región Andina a mayor altitud, las precipitaciones están más empobrecidas de isótopos pesados, esto puede indicar que las precipitaciones provienen de procesos convectivos de condensación y trasporte de agua que fraccionaron estos elementos y dan paso a una isotopía más ligera.  </w:t>
      </w:r>
    </w:p>
    <w:p w14:paraId="457D8EC9" w14:textId="038B41C5" w:rsidR="004D474F" w:rsidRPr="00B450EB" w:rsidRDefault="004D474F" w:rsidP="004D474F">
      <w:pPr>
        <w:rPr>
          <w:rFonts w:cs="Arial"/>
        </w:rPr>
      </w:pPr>
      <w:r w:rsidRPr="00B450EB">
        <w:rPr>
          <w:rFonts w:cs="Arial"/>
        </w:rPr>
        <w:t xml:space="preserve">Con base en los monitoreos de la Red Global de Isótopos en Precipitación (GNIP) descritos en </w:t>
      </w:r>
      <w:proofErr w:type="spellStart"/>
      <w:r w:rsidRPr="00B450EB">
        <w:rPr>
          <w:rFonts w:cs="Arial"/>
        </w:rPr>
        <w:t>el</w:t>
      </w:r>
      <w:proofErr w:type="spellEnd"/>
      <w:r w:rsidRPr="00B450EB">
        <w:rPr>
          <w:rFonts w:cs="Arial"/>
        </w:rPr>
        <w:t xml:space="preserve"> </w:t>
      </w:r>
      <w:sdt>
        <w:sdtPr>
          <w:rPr>
            <w:rFonts w:cs="Arial"/>
          </w:rPr>
          <w:id w:val="1710381172"/>
          <w:citation/>
        </w:sdtPr>
        <w:sdtContent>
          <w:r w:rsidRPr="00B450EB">
            <w:rPr>
              <w:rFonts w:cs="Arial"/>
            </w:rPr>
            <w:fldChar w:fldCharType="begin"/>
          </w:r>
          <w:r w:rsidRPr="00B450EB">
            <w:rPr>
              <w:rFonts w:cs="Arial"/>
              <w:lang w:val="es-ES"/>
            </w:rPr>
            <w:instrText xml:space="preserve"> CITATION IDE22 \l 3082 </w:instrText>
          </w:r>
          <w:r w:rsidRPr="00B450EB">
            <w:rPr>
              <w:rFonts w:cs="Arial"/>
            </w:rPr>
            <w:fldChar w:fldCharType="separate"/>
          </w:r>
          <w:r w:rsidR="0077091E" w:rsidRPr="00B450EB">
            <w:rPr>
              <w:rFonts w:cs="Arial"/>
              <w:noProof/>
              <w:lang w:val="es-ES"/>
            </w:rPr>
            <w:t>(IDEAM, Estudio Nacional del Agua, 2023)</w:t>
          </w:r>
          <w:r w:rsidRPr="00B450EB">
            <w:rPr>
              <w:rFonts w:cs="Arial"/>
            </w:rPr>
            <w:fldChar w:fldCharType="end"/>
          </w:r>
        </w:sdtContent>
      </w:sdt>
      <w:r w:rsidRPr="00B450EB">
        <w:rPr>
          <w:rFonts w:cs="Arial"/>
        </w:rPr>
        <w:t xml:space="preserve">, en un año hidrológico normal, los meses de julio y agosto representan el periodo de estiaje (caudales y precipitaciones mínimas) en una parte predominante del país; la ZCIT desde la posición del norte, facilita el ingreso al país de humedad proveniente del Atlántico Tropical a través de la selva Amazónica. </w:t>
      </w:r>
      <w:sdt>
        <w:sdtPr>
          <w:rPr>
            <w:rFonts w:cs="Arial"/>
          </w:rPr>
          <w:id w:val="1566527128"/>
          <w:citation/>
        </w:sdtPr>
        <w:sdtContent>
          <w:r w:rsidRPr="00B450EB">
            <w:rPr>
              <w:rFonts w:cs="Arial"/>
            </w:rPr>
            <w:fldChar w:fldCharType="begin"/>
          </w:r>
          <w:r w:rsidRPr="00B450EB">
            <w:rPr>
              <w:rFonts w:cs="Arial"/>
              <w:lang w:val="es-ES"/>
            </w:rPr>
            <w:instrText xml:space="preserve"> CITATION IDE22 \l 3082 </w:instrText>
          </w:r>
          <w:r w:rsidRPr="00B450EB">
            <w:rPr>
              <w:rFonts w:cs="Arial"/>
            </w:rPr>
            <w:fldChar w:fldCharType="separate"/>
          </w:r>
          <w:r w:rsidR="0077091E" w:rsidRPr="00B450EB">
            <w:rPr>
              <w:rFonts w:cs="Arial"/>
              <w:noProof/>
              <w:lang w:val="es-ES"/>
            </w:rPr>
            <w:t>(IDEAM, Estudio Nacional del Agua, 2023)</w:t>
          </w:r>
          <w:r w:rsidRPr="00B450EB">
            <w:rPr>
              <w:rFonts w:cs="Arial"/>
            </w:rPr>
            <w:fldChar w:fldCharType="end"/>
          </w:r>
        </w:sdtContent>
      </w:sdt>
      <w:r w:rsidRPr="00B450EB">
        <w:rPr>
          <w:rFonts w:cs="Arial"/>
        </w:rPr>
        <w:t xml:space="preserve"> explica como la humedad sobre Colombia genera una composición isotópica enriquecida entre enero y marzo, y empobrecida entre mayo y junio, y que el exceso de deuterio tiende a aumentar en parte por la presencia de humedad reciclada principalmente de la cuenca Amazónica.</w:t>
      </w:r>
    </w:p>
    <w:p w14:paraId="7CDB9BD1" w14:textId="77777777" w:rsidR="004D474F" w:rsidRPr="00B450EB" w:rsidRDefault="004D474F" w:rsidP="004D474F">
      <w:pPr>
        <w:rPr>
          <w:bCs/>
        </w:rPr>
      </w:pPr>
      <w:r w:rsidRPr="00B450EB">
        <w:rPr>
          <w:bCs/>
        </w:rPr>
        <w:t>Es así como se puede concluir que el transporte de masas de agua permite el intercambio de humedad, sedimentos y nutrientes, entre la Amazonía y los Andes, favorece la biodiversidad del bosque amazónico; además, alimenta el ciclo hidrológico de los grandes ríos de Suramérica, entre ellos los ríos colombianos que tienen su nacimiento en la cordillera de los Andes. (Poveda, 2024).</w:t>
      </w:r>
    </w:p>
    <w:p w14:paraId="0FF5A939" w14:textId="77777777" w:rsidR="004D474F" w:rsidRPr="00B450EB" w:rsidRDefault="004D474F" w:rsidP="00E81A22">
      <w:r w:rsidRPr="00B450EB">
        <w:lastRenderedPageBreak/>
        <w:t>Lo anterior demuestra la compleja relación entre el Bioma Amazónico y la Cordillera de Los Andes, debido que estas se interconectan favoreciendo los flujos hídricos aéreos y terrestres, asociados a los flujos de vapor de agua y las precipitaciones en el piedemonte que dan origen a los ríos que nacen en la Cordillera de Los Andes, y particularmente, los ríos que desembocan en el cauce principal del río Amazonas como el río Putumayo y el río Caquetá, entre otros.</w:t>
      </w:r>
    </w:p>
    <w:p w14:paraId="5E69B2C4" w14:textId="01C0EECB" w:rsidR="004D474F" w:rsidRPr="00B450EB" w:rsidRDefault="004D474F" w:rsidP="00E81A22">
      <w:pPr>
        <w:rPr>
          <w:rFonts w:cs="Arial"/>
        </w:rPr>
      </w:pPr>
      <w:r w:rsidRPr="00B450EB">
        <w:t>E</w:t>
      </w:r>
      <w:r w:rsidRPr="00B450EB">
        <w:rPr>
          <w:rFonts w:cs="Arial"/>
        </w:rPr>
        <w:t xml:space="preserve">n consecuencia, la preservación de la cuenca </w:t>
      </w:r>
      <w:proofErr w:type="spellStart"/>
      <w:r w:rsidRPr="00B450EB">
        <w:rPr>
          <w:rFonts w:cs="Arial"/>
        </w:rPr>
        <w:t>tranfronteriza</w:t>
      </w:r>
      <w:proofErr w:type="spellEnd"/>
      <w:r w:rsidRPr="00B450EB">
        <w:rPr>
          <w:rFonts w:cs="Arial"/>
        </w:rPr>
        <w:t xml:space="preserve"> Amazónica, y del Bioma Amazónico colombiano adquiere una relevancia estratégica, dado que sus funciones no pueden ser reemplazadas por monocultivos, y los procesos de reforestación difícilmente serían eficientes para restituir los servicios ambientales que hoy ofrece. Entre ellos se destacan la regulación del clima, el mantenimiento del ciclo hídrico que tiene una fuerte relación con el abastecimiento de agua y como fuente de energía para la generación de electricidad hidráulica</w:t>
      </w:r>
      <w:r w:rsidR="00C947DD" w:rsidRPr="00B450EB">
        <w:rPr>
          <w:rFonts w:cs="Arial"/>
        </w:rPr>
        <w:t xml:space="preserve"> </w:t>
      </w:r>
      <w:r w:rsidRPr="00B450EB">
        <w:rPr>
          <w:rFonts w:cs="Arial"/>
        </w:rPr>
        <w:t>a importantes poblaciones del territorio colombiano y la conservación de la biodiversidad tanto de la selva amazónica como de ecosistemas aledaños.</w:t>
      </w:r>
    </w:p>
    <w:p w14:paraId="17FBF8D9" w14:textId="77777777" w:rsidR="004D474F" w:rsidRPr="00B450EB" w:rsidRDefault="004D474F" w:rsidP="004D474F">
      <w:pPr>
        <w:rPr>
          <w:b/>
          <w:bCs/>
        </w:rPr>
      </w:pPr>
      <w:r w:rsidRPr="00B450EB">
        <w:rPr>
          <w:b/>
          <w:bCs/>
        </w:rPr>
        <w:t xml:space="preserve">El ciclo del agua en el Páramo de Chingaza </w:t>
      </w:r>
    </w:p>
    <w:p w14:paraId="38866909" w14:textId="77777777" w:rsidR="004D474F" w:rsidRPr="00B450EB" w:rsidRDefault="004D474F" w:rsidP="004D474F">
      <w:pPr>
        <w:spacing w:before="240" w:after="240"/>
        <w:ind w:left="66"/>
      </w:pPr>
      <w:r w:rsidRPr="00B450EB">
        <w:t xml:space="preserve">La relación descrita anteriormente entre la precipitación del piedemonte de Los Andes colombianos y el fenómeno de ríos voladores está siendo estudiado actualmente por el Servicio Geológico Colombiano (SGC) y Parques Nacionales Naturales (PNN), a través del monitoreo de las características isotópicas y fisicoquímicas del ciclo del agua en el Páramo de Chingaza con el objetivo de </w:t>
      </w:r>
      <w:r w:rsidRPr="00B450EB" w:rsidDel="00DE199B">
        <w:t>comprender a través de la aplicación de herramientas isotópicas y fisicoquímicas, el ciclo del agua en el Páramo de Chingaza, siendo este un ecosistema estratégico clave para el suministro de agua potable; dichas herramientas permiten</w:t>
      </w:r>
      <w:r w:rsidRPr="00B450EB">
        <w:t xml:space="preserve"> identificar el origen, circulación y transformación del agua en el área de estudio.</w:t>
      </w:r>
    </w:p>
    <w:p w14:paraId="17784DB2" w14:textId="77777777" w:rsidR="004D474F" w:rsidRPr="00B450EB" w:rsidRDefault="004D474F" w:rsidP="004D474F">
      <w:pPr>
        <w:spacing w:before="240" w:after="240"/>
        <w:ind w:left="66"/>
      </w:pPr>
      <w:r w:rsidRPr="00B450EB">
        <w:t>En tal sentido, para los análisis isotópicos de deuterio (²H) y oxígeno-18 (¹⁸O), se realizaron dos campañas de recolección de muestras, la primera en época seca (septiembre de 2024) y la segunda en temporada húmeda (junio de 2025), en ambas se tomaron más de veinte muestras en manantiales y más de cincuenta muestras en quebradas, ríos, lagunas y embalse.</w:t>
      </w:r>
    </w:p>
    <w:p w14:paraId="7D496DD1" w14:textId="77777777" w:rsidR="004D474F" w:rsidRPr="00B450EB" w:rsidRDefault="004D474F" w:rsidP="004D474F">
      <w:pPr>
        <w:spacing w:before="240" w:after="240"/>
        <w:ind w:left="66"/>
      </w:pPr>
      <w:r w:rsidRPr="00B450EB">
        <w:t xml:space="preserve">Complementariamente el estudio incluyó el modelado de los flujos de humedad que recaen al Paramo de Chingaza a partir de los datos de volumen de lluvia recolectados y el análisis de la humedad relativa final de las trayectorias de flujo de aire. De este, se concluyó que para el año 2024 los aportes cambiaron de fuente periódicamente, es así como los flujos amazónicos predominaron durante la </w:t>
      </w:r>
      <w:r w:rsidRPr="00B450EB">
        <w:lastRenderedPageBreak/>
        <w:t>temporada de lluvias, Orinoco aportó en mayor proporción al final e inicio del año, y los océanos Pacifico, Atlántico/mar caribe o flujos mixtos lo hicieron de manera puntual o en menor volumen.</w:t>
      </w:r>
    </w:p>
    <w:p w14:paraId="07E668FF" w14:textId="474DCB06" w:rsidR="00072A12" w:rsidRPr="00B450EB" w:rsidRDefault="00C947DD" w:rsidP="00C947DD">
      <w:pPr>
        <w:pStyle w:val="Descripcin"/>
        <w:keepNext/>
        <w:rPr>
          <w:color w:val="auto"/>
        </w:rPr>
      </w:pPr>
      <w:bookmarkStart w:id="60" w:name="_Toc209462727"/>
      <w:r w:rsidRPr="00B450EB">
        <w:rPr>
          <w:color w:val="auto"/>
        </w:rPr>
        <w:t>Figura</w:t>
      </w:r>
      <w:r w:rsidR="7FF86DF5" w:rsidRPr="00B450EB">
        <w:rPr>
          <w:color w:val="auto"/>
        </w:rPr>
        <w:t>.</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38</w:t>
      </w:r>
      <w:r w:rsidR="0045353A" w:rsidRPr="00B450EB">
        <w:rPr>
          <w:noProof/>
          <w:color w:val="auto"/>
        </w:rPr>
        <w:fldChar w:fldCharType="end"/>
      </w:r>
      <w:r w:rsidRPr="00B450EB">
        <w:rPr>
          <w:color w:val="auto"/>
        </w:rPr>
        <w:t xml:space="preserve"> Aportes de flujos de humedad año 2024</w:t>
      </w:r>
      <w:bookmarkEnd w:id="60"/>
    </w:p>
    <w:p w14:paraId="0506E80F" w14:textId="40729C63" w:rsidR="004D474F" w:rsidRPr="00B450EB" w:rsidRDefault="004D474F" w:rsidP="00C947DD">
      <w:pPr>
        <w:pStyle w:val="Descripcin"/>
        <w:keepNext/>
        <w:rPr>
          <w:color w:val="auto"/>
        </w:rPr>
      </w:pPr>
      <w:r w:rsidRPr="00B450EB">
        <w:rPr>
          <w:noProof/>
          <w:color w:val="auto"/>
        </w:rPr>
        <w:drawing>
          <wp:inline distT="0" distB="0" distL="0" distR="0" wp14:anchorId="5B52448F" wp14:editId="7E1D06A6">
            <wp:extent cx="3529309" cy="2880000"/>
            <wp:effectExtent l="0" t="0" r="0" b="0"/>
            <wp:docPr id="1758627559" name="Imagen 7" descr="Gráfico, Gráfico de barras&#10;&#10;El contenido generado por IA puede ser incorrecto.">
              <a:extLst xmlns:a="http://schemas.openxmlformats.org/drawingml/2006/main">
                <a:ext uri="{FF2B5EF4-FFF2-40B4-BE49-F238E27FC236}">
                  <a16:creationId xmlns:a16="http://schemas.microsoft.com/office/drawing/2014/main" id="{408A1492-087C-1CE8-E468-848301C87D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328975" name="Imagen 7" descr="Gráfico, Gráfico de barras&#10;&#10;El contenido generado por IA puede ser incorrecto.">
                      <a:extLst>
                        <a:ext uri="{FF2B5EF4-FFF2-40B4-BE49-F238E27FC236}">
                          <a16:creationId xmlns:a16="http://schemas.microsoft.com/office/drawing/2014/main" id="{408A1492-087C-1CE8-E468-848301C87D0F}"/>
                        </a:ext>
                      </a:extLst>
                    </pic:cNvPr>
                    <pic:cNvPicPr>
                      <a:picLocks noChangeAspect="1"/>
                    </pic:cNvPicPr>
                  </pic:nvPicPr>
                  <pic:blipFill>
                    <a:blip r:embed="rId77"/>
                    <a:stretch>
                      <a:fillRect/>
                    </a:stretch>
                  </pic:blipFill>
                  <pic:spPr>
                    <a:xfrm>
                      <a:off x="0" y="0"/>
                      <a:ext cx="3529309" cy="2880000"/>
                    </a:xfrm>
                    <a:prstGeom prst="rect">
                      <a:avLst/>
                    </a:prstGeom>
                  </pic:spPr>
                </pic:pic>
              </a:graphicData>
            </a:graphic>
          </wp:inline>
        </w:drawing>
      </w:r>
    </w:p>
    <w:p w14:paraId="7501481C" w14:textId="77777777" w:rsidR="004D474F" w:rsidRPr="00B450EB" w:rsidRDefault="004D474F" w:rsidP="004D474F">
      <w:pPr>
        <w:spacing w:after="240"/>
        <w:jc w:val="center"/>
        <w:rPr>
          <w:sz w:val="18"/>
          <w:szCs w:val="18"/>
        </w:rPr>
      </w:pPr>
      <w:r w:rsidRPr="00B450EB">
        <w:rPr>
          <w:sz w:val="18"/>
          <w:szCs w:val="18"/>
        </w:rPr>
        <w:t>Fuente: SGC -PNN, 2025.</w:t>
      </w:r>
    </w:p>
    <w:p w14:paraId="4D385102" w14:textId="77777777" w:rsidR="004D474F" w:rsidRPr="00B450EB" w:rsidRDefault="004D474F" w:rsidP="004D474F">
      <w:pPr>
        <w:spacing w:before="240" w:after="240"/>
        <w:ind w:left="66"/>
      </w:pPr>
      <w:r w:rsidRPr="00B450EB">
        <w:t xml:space="preserve">Del mismo modo, se realizó el modelado de flujos de humedad para el mismo ciclo de tiempo en el que se llevó a cabo el estudio isotópico entre octubre de 2024 y julio de 2025, confirmando la presencia de flujos procedentes del Orinoco entre los meses de octubre a febrero y el inicio de aporte de humedad desde el Amazonas, a través de los “ríos voladores” en el mes de marzo alcanzando este su máximo en los meses junio y julio (hasta del 90% para época de lluvias), siendo el mayor proveedor de humedad en el período analizado. </w:t>
      </w:r>
    </w:p>
    <w:p w14:paraId="07106DA9" w14:textId="39C33207" w:rsidR="004D474F" w:rsidRPr="00B450EB" w:rsidRDefault="00C947DD" w:rsidP="00C947DD">
      <w:pPr>
        <w:pStyle w:val="Descripcin"/>
        <w:keepNext/>
        <w:rPr>
          <w:color w:val="auto"/>
        </w:rPr>
      </w:pPr>
      <w:bookmarkStart w:id="61" w:name="_Toc209462728"/>
      <w:r w:rsidRPr="00B450EB">
        <w:rPr>
          <w:color w:val="auto"/>
        </w:rPr>
        <w:lastRenderedPageBreak/>
        <w:t>Figura</w:t>
      </w:r>
      <w:r w:rsidR="306520E7" w:rsidRPr="00B450EB">
        <w:rPr>
          <w:color w:val="auto"/>
        </w:rPr>
        <w:t>.</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39</w:t>
      </w:r>
      <w:r w:rsidR="0045353A" w:rsidRPr="00B450EB">
        <w:rPr>
          <w:noProof/>
          <w:color w:val="auto"/>
        </w:rPr>
        <w:fldChar w:fldCharType="end"/>
      </w:r>
      <w:r w:rsidRPr="00B450EB">
        <w:rPr>
          <w:color w:val="auto"/>
        </w:rPr>
        <w:t xml:space="preserve"> Aportes de flujos de humedad al páramo de Chingaza mediante modelos de flujos</w:t>
      </w:r>
      <w:r w:rsidR="004D474F" w:rsidRPr="00B450EB">
        <w:rPr>
          <w:noProof/>
          <w:color w:val="auto"/>
        </w:rPr>
        <w:drawing>
          <wp:inline distT="0" distB="0" distL="0" distR="0" wp14:anchorId="3A95134E" wp14:editId="13BABF0E">
            <wp:extent cx="4077525" cy="2874645"/>
            <wp:effectExtent l="0" t="0" r="0" b="1905"/>
            <wp:docPr id="1572788666" name="Imagen 9"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788666" name="Imagen 9" descr="Gráfico, Gráfico de barras&#10;&#10;El contenido generado por IA puede ser incorrecto."/>
                    <pic:cNvPicPr>
                      <a:picLocks noChangeAspect="1" noChangeArrowheads="1"/>
                    </pic:cNvPicPr>
                  </pic:nvPicPr>
                  <pic:blipFill rotWithShape="1">
                    <a:blip r:embed="rId78">
                      <a:extLst>
                        <a:ext uri="{28A0092B-C50C-407E-A947-70E740481C1C}">
                          <a14:useLocalDpi xmlns:a14="http://schemas.microsoft.com/office/drawing/2010/main" val="0"/>
                        </a:ext>
                      </a:extLst>
                    </a:blip>
                    <a:srcRect t="5332"/>
                    <a:stretch/>
                  </pic:blipFill>
                  <pic:spPr bwMode="auto">
                    <a:xfrm>
                      <a:off x="0" y="0"/>
                      <a:ext cx="4081304" cy="2877309"/>
                    </a:xfrm>
                    <a:prstGeom prst="rect">
                      <a:avLst/>
                    </a:prstGeom>
                    <a:noFill/>
                    <a:ln>
                      <a:noFill/>
                    </a:ln>
                    <a:extLst>
                      <a:ext uri="{53640926-AAD7-44D8-BBD7-CCE9431645EC}">
                        <a14:shadowObscured xmlns:a14="http://schemas.microsoft.com/office/drawing/2010/main"/>
                      </a:ext>
                    </a:extLst>
                  </pic:spPr>
                </pic:pic>
              </a:graphicData>
            </a:graphic>
          </wp:inline>
        </w:drawing>
      </w:r>
      <w:bookmarkEnd w:id="61"/>
    </w:p>
    <w:p w14:paraId="1C4BA9EA" w14:textId="77777777" w:rsidR="004D474F" w:rsidRPr="00B450EB" w:rsidRDefault="004D474F" w:rsidP="004D474F">
      <w:pPr>
        <w:spacing w:after="240"/>
        <w:jc w:val="center"/>
        <w:rPr>
          <w:sz w:val="18"/>
          <w:szCs w:val="18"/>
        </w:rPr>
      </w:pPr>
      <w:r w:rsidRPr="00B450EB">
        <w:rPr>
          <w:sz w:val="18"/>
          <w:szCs w:val="18"/>
        </w:rPr>
        <w:t>Fuente: SGC -PNN, 2025.</w:t>
      </w:r>
    </w:p>
    <w:p w14:paraId="1DC22E5B" w14:textId="77777777" w:rsidR="004D474F" w:rsidRPr="00B450EB" w:rsidRDefault="004D474F" w:rsidP="004D474F">
      <w:pPr>
        <w:spacing w:before="240" w:line="240" w:lineRule="auto"/>
        <w:ind w:left="66"/>
      </w:pPr>
      <w:r w:rsidRPr="00B450EB">
        <w:t>En total se identificaron ocho fuentes principales de humedad que recargan el páramo de Chingaza:</w:t>
      </w:r>
    </w:p>
    <w:p w14:paraId="3D792350" w14:textId="77777777" w:rsidR="004D474F" w:rsidRPr="00B450EB" w:rsidRDefault="004D474F" w:rsidP="004D474F">
      <w:pPr>
        <w:numPr>
          <w:ilvl w:val="0"/>
          <w:numId w:val="21"/>
        </w:numPr>
        <w:spacing w:after="0" w:line="240" w:lineRule="auto"/>
      </w:pPr>
      <w:r w:rsidRPr="00B450EB">
        <w:t>Fuentes Amazonia- Cuenca Orinoco.</w:t>
      </w:r>
    </w:p>
    <w:p w14:paraId="6B4C8E20" w14:textId="77777777" w:rsidR="004D474F" w:rsidRPr="00B450EB" w:rsidRDefault="004D474F" w:rsidP="004D474F">
      <w:pPr>
        <w:numPr>
          <w:ilvl w:val="0"/>
          <w:numId w:val="21"/>
        </w:numPr>
        <w:spacing w:after="0" w:line="240" w:lineRule="auto"/>
      </w:pPr>
      <w:r w:rsidRPr="00B450EB">
        <w:t>Fuentes Cuenca Orinoco.</w:t>
      </w:r>
    </w:p>
    <w:p w14:paraId="72F54833" w14:textId="77777777" w:rsidR="004D474F" w:rsidRPr="00B450EB" w:rsidRDefault="004D474F" w:rsidP="004D474F">
      <w:pPr>
        <w:numPr>
          <w:ilvl w:val="0"/>
          <w:numId w:val="21"/>
        </w:numPr>
        <w:spacing w:after="0" w:line="240" w:lineRule="auto"/>
      </w:pPr>
      <w:r w:rsidRPr="00B450EB">
        <w:t>Fuente Local (Andes/Llanos).</w:t>
      </w:r>
    </w:p>
    <w:p w14:paraId="46DFBFFE" w14:textId="77777777" w:rsidR="004D474F" w:rsidRPr="00B450EB" w:rsidRDefault="004D474F" w:rsidP="004D474F">
      <w:pPr>
        <w:numPr>
          <w:ilvl w:val="0"/>
          <w:numId w:val="21"/>
        </w:numPr>
        <w:spacing w:after="0" w:line="240" w:lineRule="auto"/>
      </w:pPr>
      <w:r w:rsidRPr="00B450EB">
        <w:t>Fuente mar Caribe - Cuenca Orinoco.</w:t>
      </w:r>
    </w:p>
    <w:p w14:paraId="10D549AB" w14:textId="77777777" w:rsidR="004D474F" w:rsidRPr="00B450EB" w:rsidRDefault="004D474F" w:rsidP="004D474F">
      <w:pPr>
        <w:numPr>
          <w:ilvl w:val="0"/>
          <w:numId w:val="21"/>
        </w:numPr>
        <w:spacing w:after="0" w:line="240" w:lineRule="auto"/>
      </w:pPr>
      <w:r w:rsidRPr="00B450EB">
        <w:t>Fuente océano Atlántico - Cuenca Orinoco.</w:t>
      </w:r>
    </w:p>
    <w:p w14:paraId="6177E927" w14:textId="77777777" w:rsidR="004D474F" w:rsidRPr="00B450EB" w:rsidRDefault="004D474F" w:rsidP="004D474F">
      <w:pPr>
        <w:numPr>
          <w:ilvl w:val="0"/>
          <w:numId w:val="21"/>
        </w:numPr>
        <w:spacing w:after="0" w:line="240" w:lineRule="auto"/>
      </w:pPr>
      <w:r w:rsidRPr="00B450EB">
        <w:t>Fuente océano Atlántico - Mar Caribe - Cuenca Orinoco.</w:t>
      </w:r>
    </w:p>
    <w:p w14:paraId="50387AAC" w14:textId="77777777" w:rsidR="004D474F" w:rsidRPr="00B450EB" w:rsidRDefault="004D474F" w:rsidP="004D474F">
      <w:pPr>
        <w:numPr>
          <w:ilvl w:val="0"/>
          <w:numId w:val="21"/>
        </w:numPr>
        <w:spacing w:after="0" w:line="240" w:lineRule="auto"/>
      </w:pPr>
      <w:r w:rsidRPr="00B450EB">
        <w:t>Fuente océano Atlántico Norte- mar Caribe - Cuenca Orinoco.</w:t>
      </w:r>
    </w:p>
    <w:p w14:paraId="21C6FBD7" w14:textId="77777777" w:rsidR="004D474F" w:rsidRPr="00B450EB" w:rsidRDefault="004D474F" w:rsidP="004D474F">
      <w:pPr>
        <w:numPr>
          <w:ilvl w:val="0"/>
          <w:numId w:val="21"/>
        </w:numPr>
        <w:spacing w:line="240" w:lineRule="auto"/>
      </w:pPr>
      <w:r w:rsidRPr="00B450EB">
        <w:t xml:space="preserve">Fuente </w:t>
      </w:r>
      <w:r w:rsidRPr="00B450EB">
        <w:rPr>
          <w:lang w:val="es-MX"/>
        </w:rPr>
        <w:t>Océano Pacifico - Cuenca Magdalena/Cauca.</w:t>
      </w:r>
    </w:p>
    <w:p w14:paraId="69B83B66" w14:textId="7D3A2498" w:rsidR="004D474F" w:rsidRPr="00B450EB" w:rsidRDefault="004D474F" w:rsidP="004D474F">
      <w:pPr>
        <w:spacing w:after="240" w:line="240" w:lineRule="auto"/>
      </w:pPr>
      <w:r w:rsidRPr="00B450EB">
        <w:t xml:space="preserve">Según el SGC – PNN (2025) </w:t>
      </w:r>
      <w:r w:rsidRPr="00B450EB">
        <w:rPr>
          <w:i/>
          <w:iCs/>
        </w:rPr>
        <w:t>“La humedad de la Amazonía, Caribe y Atlántico compite y se mezcla, siendo canalizada por corredores como el río Orinoco y los piedemontes llanero-amazónicos. Posteriormente, existe un aporte significativo de la humedad retenida y reciclada por los ecosistemas andinos”.</w:t>
      </w:r>
      <w:r w:rsidRPr="00B450EB">
        <w:t xml:space="preserve"> </w:t>
      </w:r>
      <w:sdt>
        <w:sdtPr>
          <w:id w:val="-458489485"/>
          <w:citation/>
        </w:sdtPr>
        <w:sdtContent>
          <w:r w:rsidRPr="00B450EB">
            <w:fldChar w:fldCharType="begin"/>
          </w:r>
          <w:r w:rsidRPr="00B450EB">
            <w:instrText xml:space="preserve"> CITATION SGC \l 9226 </w:instrText>
          </w:r>
          <w:r w:rsidRPr="00B450EB">
            <w:fldChar w:fldCharType="separate"/>
          </w:r>
          <w:r w:rsidR="0077091E" w:rsidRPr="00B450EB">
            <w:rPr>
              <w:noProof/>
            </w:rPr>
            <w:t>(SGC; PNN, 2025)</w:t>
          </w:r>
          <w:r w:rsidRPr="00B450EB">
            <w:fldChar w:fldCharType="end"/>
          </w:r>
        </w:sdtContent>
      </w:sdt>
    </w:p>
    <w:p w14:paraId="5BCB9F28" w14:textId="7C747F5B" w:rsidR="004D474F" w:rsidRPr="00B450EB" w:rsidRDefault="004D474F" w:rsidP="004D474F">
      <w:pPr>
        <w:spacing w:after="240"/>
        <w:ind w:left="66"/>
      </w:pPr>
      <w:r w:rsidRPr="00B450EB">
        <w:t xml:space="preserve">Posteriormente, se analizó la variación temporal del isotopo δ¹⁸O con el aporte por fuentes de humedad y la precipitación, identificando que cuanto más locales son los aportes (Orinoco – Atlántico) más enriquecidas son las relaciones isotópicas, en época seca entre los meses de diciembre y marzo, mientras que cuando predominan los aportes de humedad amazónicos, en temporada húmeda, la relación isotópica de la lluvia se empobrece; en palabras del autor: </w:t>
      </w:r>
      <w:r w:rsidRPr="00B450EB">
        <w:rPr>
          <w:i/>
          <w:iCs/>
        </w:rPr>
        <w:t xml:space="preserve">“Esto demuestra cómo el bosque amazónico y sus ecosistemas, interactúan con el agua, </w:t>
      </w:r>
      <w:r w:rsidRPr="00B450EB">
        <w:rPr>
          <w:i/>
          <w:iCs/>
        </w:rPr>
        <w:lastRenderedPageBreak/>
        <w:t>modificando su huella isotópica y liberando vapor más “ligero”, lo que facilita su transporte hacia las cordilleras a través de los ríos voladores”.</w:t>
      </w:r>
      <w:sdt>
        <w:sdtPr>
          <w:rPr>
            <w:i/>
            <w:iCs/>
          </w:rPr>
          <w:id w:val="830259983"/>
          <w:citation/>
        </w:sdtPr>
        <w:sdtContent>
          <w:r w:rsidRPr="00B450EB">
            <w:rPr>
              <w:i/>
              <w:iCs/>
            </w:rPr>
            <w:fldChar w:fldCharType="begin"/>
          </w:r>
          <w:r w:rsidRPr="00B450EB">
            <w:instrText xml:space="preserve"> CITATION SGC \l 9226 </w:instrText>
          </w:r>
          <w:r w:rsidRPr="00B450EB">
            <w:rPr>
              <w:i/>
              <w:iCs/>
            </w:rPr>
            <w:fldChar w:fldCharType="separate"/>
          </w:r>
          <w:r w:rsidR="0077091E" w:rsidRPr="00B450EB">
            <w:rPr>
              <w:noProof/>
            </w:rPr>
            <w:t xml:space="preserve"> (SGC; PNN, 2025)</w:t>
          </w:r>
          <w:r w:rsidRPr="00B450EB">
            <w:rPr>
              <w:i/>
              <w:iCs/>
            </w:rPr>
            <w:fldChar w:fldCharType="end"/>
          </w:r>
        </w:sdtContent>
      </w:sdt>
    </w:p>
    <w:p w14:paraId="6E2B3086" w14:textId="783FBCE8" w:rsidR="00C947DD" w:rsidRPr="00B450EB" w:rsidRDefault="00C947DD" w:rsidP="00C947DD">
      <w:pPr>
        <w:pStyle w:val="Descripcin"/>
        <w:keepNext/>
        <w:rPr>
          <w:color w:val="auto"/>
        </w:rPr>
      </w:pPr>
      <w:bookmarkStart w:id="62" w:name="_Toc209462729"/>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40</w:t>
      </w:r>
      <w:r w:rsidR="0045353A" w:rsidRPr="00B450EB">
        <w:rPr>
          <w:noProof/>
          <w:color w:val="auto"/>
        </w:rPr>
        <w:fldChar w:fldCharType="end"/>
      </w:r>
      <w:r w:rsidRPr="00B450EB">
        <w:rPr>
          <w:color w:val="auto"/>
        </w:rPr>
        <w:t>. Variación Temporal de δ¹⁸O y aporte de precipitación fuente</w:t>
      </w:r>
      <w:bookmarkEnd w:id="62"/>
    </w:p>
    <w:p w14:paraId="2DA598F9" w14:textId="77777777" w:rsidR="004D474F" w:rsidRPr="00B450EB" w:rsidRDefault="004D474F" w:rsidP="004D474F">
      <w:pPr>
        <w:spacing w:after="0"/>
        <w:ind w:left="66"/>
        <w:jc w:val="center"/>
      </w:pPr>
      <w:r w:rsidRPr="00B450EB">
        <w:rPr>
          <w:noProof/>
        </w:rPr>
        <w:drawing>
          <wp:inline distT="0" distB="0" distL="0" distR="0" wp14:anchorId="4F2E43D1" wp14:editId="5A6A99EB">
            <wp:extent cx="4344384" cy="2727325"/>
            <wp:effectExtent l="0" t="0" r="0" b="0"/>
            <wp:docPr id="2124107575" name="Imagen 10"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107575" name="Imagen 10" descr="Gráfico&#10;&#10;El contenido generado por IA puede ser incorrecto."/>
                    <pic:cNvPicPr>
                      <a:picLocks noChangeAspect="1" noChangeArrowheads="1"/>
                    </pic:cNvPicPr>
                  </pic:nvPicPr>
                  <pic:blipFill rotWithShape="1">
                    <a:blip r:embed="rId79">
                      <a:extLst>
                        <a:ext uri="{28A0092B-C50C-407E-A947-70E740481C1C}">
                          <a14:useLocalDpi xmlns:a14="http://schemas.microsoft.com/office/drawing/2010/main" val="0"/>
                        </a:ext>
                      </a:extLst>
                    </a:blip>
                    <a:srcRect t="5292"/>
                    <a:stretch/>
                  </pic:blipFill>
                  <pic:spPr bwMode="auto">
                    <a:xfrm>
                      <a:off x="0" y="0"/>
                      <a:ext cx="4344799" cy="2727585"/>
                    </a:xfrm>
                    <a:prstGeom prst="rect">
                      <a:avLst/>
                    </a:prstGeom>
                    <a:noFill/>
                    <a:ln>
                      <a:noFill/>
                    </a:ln>
                    <a:extLst>
                      <a:ext uri="{53640926-AAD7-44D8-BBD7-CCE9431645EC}">
                        <a14:shadowObscured xmlns:a14="http://schemas.microsoft.com/office/drawing/2010/main"/>
                      </a:ext>
                    </a:extLst>
                  </pic:spPr>
                </pic:pic>
              </a:graphicData>
            </a:graphic>
          </wp:inline>
        </w:drawing>
      </w:r>
    </w:p>
    <w:p w14:paraId="44EA6152" w14:textId="77777777" w:rsidR="004D474F" w:rsidRPr="00B450EB" w:rsidRDefault="004D474F" w:rsidP="004D474F">
      <w:pPr>
        <w:spacing w:after="240"/>
        <w:jc w:val="center"/>
        <w:rPr>
          <w:sz w:val="18"/>
          <w:szCs w:val="18"/>
        </w:rPr>
      </w:pPr>
      <w:r w:rsidRPr="00B450EB">
        <w:rPr>
          <w:sz w:val="18"/>
          <w:szCs w:val="18"/>
        </w:rPr>
        <w:t>Fuente: SGC -PNN, 2025.</w:t>
      </w:r>
    </w:p>
    <w:p w14:paraId="6EA470F6" w14:textId="77777777" w:rsidR="004D474F" w:rsidRPr="00B450EB" w:rsidRDefault="004D474F" w:rsidP="004D474F">
      <w:pPr>
        <w:spacing w:after="240"/>
        <w:ind w:left="66"/>
        <w:jc w:val="center"/>
      </w:pPr>
      <w:r w:rsidRPr="00B450EB">
        <w:rPr>
          <w:noProof/>
        </w:rPr>
        <w:drawing>
          <wp:inline distT="0" distB="0" distL="0" distR="0" wp14:anchorId="599D9CA6" wp14:editId="0E8F6CBE">
            <wp:extent cx="4341920" cy="2880000"/>
            <wp:effectExtent l="0" t="0" r="1905" b="0"/>
            <wp:docPr id="1443009595" name="Imagen 1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009595" name="Imagen 11" descr="Gráfico&#10;&#10;El contenido generado por IA puede ser incorrecto."/>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41920" cy="2880000"/>
                    </a:xfrm>
                    <a:prstGeom prst="rect">
                      <a:avLst/>
                    </a:prstGeom>
                    <a:noFill/>
                  </pic:spPr>
                </pic:pic>
              </a:graphicData>
            </a:graphic>
          </wp:inline>
        </w:drawing>
      </w:r>
    </w:p>
    <w:p w14:paraId="358E75F8" w14:textId="77777777" w:rsidR="004D474F" w:rsidRPr="00B450EB" w:rsidRDefault="004D474F" w:rsidP="004D474F">
      <w:pPr>
        <w:spacing w:after="240"/>
        <w:jc w:val="center"/>
        <w:rPr>
          <w:sz w:val="18"/>
          <w:szCs w:val="18"/>
        </w:rPr>
      </w:pPr>
      <w:r w:rsidRPr="00B450EB">
        <w:rPr>
          <w:sz w:val="18"/>
          <w:szCs w:val="18"/>
        </w:rPr>
        <w:t>Fuente: SGC -PNN, 2025.</w:t>
      </w:r>
    </w:p>
    <w:p w14:paraId="35507473" w14:textId="470E9234" w:rsidR="004D474F" w:rsidRPr="00B450EB" w:rsidRDefault="004D474F" w:rsidP="004D474F">
      <w:pPr>
        <w:spacing w:after="240"/>
        <w:rPr>
          <w:i/>
          <w:iCs/>
        </w:rPr>
      </w:pPr>
      <w:r w:rsidRPr="00B450EB">
        <w:t xml:space="preserve">Esa relación entre la respuesta isotópica de las muestras analizadas y las fuentes de humedad se confirmó con la línea meteórica local, en donde se observa claramente el enriquecimiento isotópico del agua tanto superficial como subterránea (manantiales) durante la época seca, período en el que los flujos de humedad </w:t>
      </w:r>
      <w:r w:rsidRPr="00B450EB">
        <w:lastRenderedPageBreak/>
        <w:t>provienen del Orinoco – Atlántico y su empobrecimiento durante la temporada húmeda cuando los flujos proceden del amazonas; en tal sentido el autor concluye que en el páramo de Chingaza el comportamiento de la señal isotópica y la cantidad de precipitación son dominados por las fuentes de humedad, es decir que “</w:t>
      </w:r>
      <w:r w:rsidRPr="00B450EB">
        <w:rPr>
          <w:i/>
          <w:iCs/>
        </w:rPr>
        <w:t>la recarga hídrica de Chingaza depende de los flujos de humedad estacionales”</w:t>
      </w:r>
      <w:r w:rsidRPr="00B450EB">
        <w:t xml:space="preserve"> </w:t>
      </w:r>
      <w:sdt>
        <w:sdtPr>
          <w:id w:val="-1028716292"/>
          <w:citation/>
        </w:sdtPr>
        <w:sdtContent>
          <w:r w:rsidRPr="00B450EB">
            <w:fldChar w:fldCharType="begin"/>
          </w:r>
          <w:r w:rsidRPr="00B450EB">
            <w:instrText xml:space="preserve"> CITATION SGC \l 9226 </w:instrText>
          </w:r>
          <w:r w:rsidRPr="00B450EB">
            <w:fldChar w:fldCharType="separate"/>
          </w:r>
          <w:r w:rsidR="0077091E" w:rsidRPr="00B450EB">
            <w:rPr>
              <w:noProof/>
            </w:rPr>
            <w:t>(SGC; PNN, 2025)</w:t>
          </w:r>
          <w:r w:rsidRPr="00B450EB">
            <w:fldChar w:fldCharType="end"/>
          </w:r>
        </w:sdtContent>
      </w:sdt>
    </w:p>
    <w:p w14:paraId="6A9032F2" w14:textId="774EC4A7" w:rsidR="004D474F" w:rsidRPr="00B450EB" w:rsidRDefault="00C947DD" w:rsidP="00C947DD">
      <w:pPr>
        <w:pStyle w:val="Descripcin"/>
        <w:keepNext/>
        <w:rPr>
          <w:color w:val="auto"/>
        </w:rPr>
      </w:pPr>
      <w:bookmarkStart w:id="63" w:name="_Toc209462730"/>
      <w:r w:rsidRPr="00B450EB">
        <w:rPr>
          <w:color w:val="auto"/>
        </w:rPr>
        <w:t>Figura</w:t>
      </w:r>
      <w:r w:rsidR="0EADEFEA" w:rsidRPr="00B450EB">
        <w:rPr>
          <w:color w:val="auto"/>
        </w:rPr>
        <w:t>.</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41</w:t>
      </w:r>
      <w:r w:rsidR="0045353A" w:rsidRPr="00B450EB">
        <w:rPr>
          <w:noProof/>
          <w:color w:val="auto"/>
        </w:rPr>
        <w:fldChar w:fldCharType="end"/>
      </w:r>
      <w:r w:rsidRPr="00B450EB">
        <w:rPr>
          <w:color w:val="auto"/>
        </w:rPr>
        <w:t xml:space="preserve"> Manantiales superficiales temporadas húmeda y seca</w:t>
      </w:r>
      <w:r w:rsidR="004D474F" w:rsidRPr="00B450EB">
        <w:rPr>
          <w:noProof/>
          <w:color w:val="auto"/>
        </w:rPr>
        <w:drawing>
          <wp:inline distT="0" distB="0" distL="0" distR="0" wp14:anchorId="2F4B5FBC" wp14:editId="79A4774D">
            <wp:extent cx="4924174" cy="2880000"/>
            <wp:effectExtent l="0" t="0" r="0" b="0"/>
            <wp:docPr id="1269425582" name="Imagen 12" descr="Gráfico, Gráfico de dispers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425582" name="Imagen 12" descr="Gráfico, Gráfico de dispersión&#10;&#10;El contenido generado por IA puede ser incorrecto."/>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24174" cy="2880000"/>
                    </a:xfrm>
                    <a:prstGeom prst="rect">
                      <a:avLst/>
                    </a:prstGeom>
                    <a:noFill/>
                  </pic:spPr>
                </pic:pic>
              </a:graphicData>
            </a:graphic>
          </wp:inline>
        </w:drawing>
      </w:r>
      <w:bookmarkEnd w:id="63"/>
    </w:p>
    <w:p w14:paraId="38FF5F95" w14:textId="77777777" w:rsidR="004D474F" w:rsidRPr="00B450EB" w:rsidRDefault="004D474F" w:rsidP="004D474F">
      <w:pPr>
        <w:spacing w:after="240"/>
        <w:jc w:val="center"/>
        <w:rPr>
          <w:sz w:val="18"/>
          <w:szCs w:val="18"/>
        </w:rPr>
      </w:pPr>
      <w:r w:rsidRPr="00B450EB">
        <w:rPr>
          <w:sz w:val="18"/>
          <w:szCs w:val="18"/>
        </w:rPr>
        <w:t>Fuente: SGC -PNN, 2025.</w:t>
      </w:r>
    </w:p>
    <w:p w14:paraId="38029FA9" w14:textId="77777777" w:rsidR="004D474F" w:rsidRPr="00B450EB" w:rsidRDefault="004D474F" w:rsidP="004D474F">
      <w:pPr>
        <w:spacing w:after="240"/>
      </w:pPr>
      <w:r w:rsidRPr="00B450EB">
        <w:t>Adicionalmente, el estudio analizó el comportamiento isotópico del agua lluvia en función la altura, encontrando una relación inversamente proporcional entre la concentración de δ¹⁸O y ascenso altitudinal de los flujos de humedad, es decir que a medida que ascienden hacia el páramo su huella isotópica se vuelve más ligera; condición que permite identificar las fuentes de recarga (Amazonas, Orinoco o Atlántico) según la influencia estacional, entendiendo como su trayectoria y ascenso modifican la composición isotópica.</w:t>
      </w:r>
    </w:p>
    <w:p w14:paraId="18E26182" w14:textId="32D7C21B" w:rsidR="00C947DD" w:rsidRPr="00B450EB" w:rsidRDefault="00C947DD" w:rsidP="00C947DD">
      <w:pPr>
        <w:pStyle w:val="Descripcin"/>
        <w:keepNext/>
        <w:rPr>
          <w:color w:val="auto"/>
        </w:rPr>
      </w:pPr>
      <w:bookmarkStart w:id="64" w:name="_Toc209462731"/>
      <w:r w:rsidRPr="00B450EB">
        <w:rPr>
          <w:color w:val="auto"/>
        </w:rPr>
        <w:lastRenderedPageBreak/>
        <w:t>Figura</w:t>
      </w:r>
      <w:r w:rsidR="78EDE18B" w:rsidRPr="00B450EB">
        <w:rPr>
          <w:color w:val="auto"/>
        </w:rPr>
        <w:t>.</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42</w:t>
      </w:r>
      <w:r w:rsidR="0045353A" w:rsidRPr="00B450EB">
        <w:rPr>
          <w:noProof/>
          <w:color w:val="auto"/>
        </w:rPr>
        <w:fldChar w:fldCharType="end"/>
      </w:r>
      <w:r w:rsidRPr="00B450EB">
        <w:rPr>
          <w:color w:val="auto"/>
        </w:rPr>
        <w:t xml:space="preserve"> Comportamiento isotópico del agua lluvia en función de su asenso</w:t>
      </w:r>
      <w:bookmarkEnd w:id="64"/>
    </w:p>
    <w:p w14:paraId="57B3E9A4" w14:textId="77777777" w:rsidR="004D474F" w:rsidRPr="00B450EB" w:rsidRDefault="004D474F" w:rsidP="004D474F">
      <w:pPr>
        <w:spacing w:after="0"/>
        <w:jc w:val="center"/>
      </w:pPr>
      <w:r w:rsidRPr="00B450EB">
        <w:rPr>
          <w:noProof/>
        </w:rPr>
        <w:drawing>
          <wp:inline distT="0" distB="0" distL="0" distR="0" wp14:anchorId="3581B42B" wp14:editId="4BE99E60">
            <wp:extent cx="4185748" cy="2880000"/>
            <wp:effectExtent l="0" t="0" r="5715" b="0"/>
            <wp:docPr id="71890280" name="Imagen 13" descr="Gráfico, Gráfico de dispers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0280" name="Imagen 13" descr="Gráfico, Gráfico de dispersión&#10;&#10;El contenido generado por IA puede ser incorrect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85748" cy="2880000"/>
                    </a:xfrm>
                    <a:prstGeom prst="rect">
                      <a:avLst/>
                    </a:prstGeom>
                    <a:noFill/>
                  </pic:spPr>
                </pic:pic>
              </a:graphicData>
            </a:graphic>
          </wp:inline>
        </w:drawing>
      </w:r>
    </w:p>
    <w:p w14:paraId="2C170ADA" w14:textId="77777777" w:rsidR="004D474F" w:rsidRPr="00B450EB" w:rsidRDefault="004D474F" w:rsidP="004D474F">
      <w:pPr>
        <w:spacing w:after="240"/>
        <w:jc w:val="center"/>
        <w:rPr>
          <w:sz w:val="18"/>
          <w:szCs w:val="18"/>
        </w:rPr>
      </w:pPr>
      <w:r w:rsidRPr="00B450EB">
        <w:rPr>
          <w:sz w:val="18"/>
          <w:szCs w:val="18"/>
        </w:rPr>
        <w:t>Fuente: SGC -PNN, 2025.</w:t>
      </w:r>
    </w:p>
    <w:p w14:paraId="0B08119C" w14:textId="67A9C706" w:rsidR="004D474F" w:rsidRPr="00B450EB" w:rsidRDefault="004D474F" w:rsidP="004D474F">
      <w:pPr>
        <w:spacing w:after="0"/>
      </w:pPr>
      <w:r w:rsidRPr="00B450EB">
        <w:t xml:space="preserve">Finalmente, SGC -PNN, (2025) hace la comparación entre registros isotópicos de los Andes Colombianos y registros de la Amazonia Peruana y Ecuatoriana para concluir que las dos regiones hacen parte de un mismo sistema climático, dado que han presentado comportamientos isócronos los últimos cien mil años. En tal sentido, los autores del estudio afirman: </w:t>
      </w:r>
      <w:r w:rsidRPr="00B450EB">
        <w:rPr>
          <w:i/>
          <w:iCs/>
        </w:rPr>
        <w:t xml:space="preserve">“Existe un efecto de modulación entre la Amazonia y los Andes desde hace más de 100.000 años. De manera que cuando hubo cambios en la Amazonía, ocurrieron también en los Andes” </w:t>
      </w:r>
      <w:sdt>
        <w:sdtPr>
          <w:id w:val="-670408394"/>
          <w:citation/>
        </w:sdtPr>
        <w:sdtContent>
          <w:r w:rsidRPr="00B450EB">
            <w:fldChar w:fldCharType="begin"/>
          </w:r>
          <w:r w:rsidRPr="00B450EB">
            <w:instrText xml:space="preserve"> CITATION SGC \l 9226 </w:instrText>
          </w:r>
          <w:r w:rsidRPr="00B450EB">
            <w:fldChar w:fldCharType="separate"/>
          </w:r>
          <w:r w:rsidR="0077091E" w:rsidRPr="00B450EB">
            <w:rPr>
              <w:noProof/>
            </w:rPr>
            <w:t>(SGC; PNN, 2025)</w:t>
          </w:r>
          <w:r w:rsidRPr="00B450EB">
            <w:fldChar w:fldCharType="end"/>
          </w:r>
        </w:sdtContent>
      </w:sdt>
      <w:sdt>
        <w:sdtPr>
          <w:id w:val="-73436835"/>
          <w:citation/>
        </w:sdtPr>
        <w:sdtContent>
          <w:r w:rsidRPr="00B450EB">
            <w:fldChar w:fldCharType="begin"/>
          </w:r>
          <w:r w:rsidRPr="00B450EB">
            <w:instrText xml:space="preserve"> CITATION SGC \l 9226 </w:instrText>
          </w:r>
          <w:r w:rsidRPr="00B450EB">
            <w:fldChar w:fldCharType="separate"/>
          </w:r>
          <w:r w:rsidR="0077091E" w:rsidRPr="00B450EB">
            <w:rPr>
              <w:noProof/>
            </w:rPr>
            <w:t xml:space="preserve"> (SGC; PNN, 2025)</w:t>
          </w:r>
          <w:r w:rsidRPr="00B450EB">
            <w:fldChar w:fldCharType="end"/>
          </w:r>
        </w:sdtContent>
      </w:sdt>
      <w:r w:rsidRPr="00B450EB">
        <w:rPr>
          <w:i/>
          <w:iCs/>
        </w:rPr>
        <w:t xml:space="preserve">. </w:t>
      </w:r>
    </w:p>
    <w:p w14:paraId="4F983AEE" w14:textId="77777777" w:rsidR="004D474F" w:rsidRPr="00B450EB" w:rsidRDefault="004D474F" w:rsidP="004D474F">
      <w:pPr>
        <w:spacing w:after="0"/>
      </w:pPr>
      <w:r w:rsidRPr="00B450EB">
        <w:t xml:space="preserve"> </w:t>
      </w:r>
    </w:p>
    <w:p w14:paraId="1E198B37" w14:textId="77777777" w:rsidR="004D474F" w:rsidRPr="00B450EB" w:rsidRDefault="004D474F" w:rsidP="004D474F">
      <w:pPr>
        <w:spacing w:after="0"/>
      </w:pPr>
      <w:r w:rsidRPr="00B450EB">
        <w:t>Con la anterior investigación se demuestra la estrecha relación de dependencia que existe entre el bioma amazónico y los andes colombianos, actuando el primero como regulador hídrico del segundo a través de los ríos voladores que, transformándose en lluvia en el ecosistema de alta montaña, mantienen su recarga hídrica, que a su vez es fundamental para el sostenimiento hídrico de ciudades como Bogotá.</w:t>
      </w:r>
    </w:p>
    <w:p w14:paraId="54FE6CC9" w14:textId="77777777" w:rsidR="004D474F" w:rsidRPr="00B450EB" w:rsidRDefault="004D474F" w:rsidP="004D474F">
      <w:pPr>
        <w:spacing w:after="0"/>
      </w:pPr>
    </w:p>
    <w:p w14:paraId="3FA03083" w14:textId="03D24B1B" w:rsidR="004D474F" w:rsidRPr="00B450EB" w:rsidRDefault="004D474F" w:rsidP="004D474F">
      <w:pPr>
        <w:spacing w:after="0"/>
      </w:pPr>
      <w:r w:rsidRPr="00B450EB">
        <w:t xml:space="preserve">Esto concuerda, por ejemplo, con lo planteado en un estudio de la revista </w:t>
      </w:r>
      <w:proofErr w:type="spellStart"/>
      <w:r w:rsidRPr="00B450EB">
        <w:t>Hydrological</w:t>
      </w:r>
      <w:proofErr w:type="spellEnd"/>
      <w:r w:rsidRPr="00B450EB">
        <w:t xml:space="preserve"> </w:t>
      </w:r>
      <w:proofErr w:type="spellStart"/>
      <w:r w:rsidRPr="00B450EB">
        <w:t>Processes</w:t>
      </w:r>
      <w:proofErr w:type="spellEnd"/>
      <w:r w:rsidRPr="00B450EB">
        <w:t xml:space="preserve"> </w:t>
      </w:r>
      <w:sdt>
        <w:sdtPr>
          <w:id w:val="-1311401185"/>
          <w:citation/>
        </w:sdtPr>
        <w:sdtContent>
          <w:r w:rsidRPr="00B450EB">
            <w:fldChar w:fldCharType="begin"/>
          </w:r>
          <w:r w:rsidRPr="00B450EB">
            <w:instrText xml:space="preserve"> CITATION Esc21 \l 9226 </w:instrText>
          </w:r>
          <w:r w:rsidRPr="00B450EB">
            <w:fldChar w:fldCharType="separate"/>
          </w:r>
          <w:r w:rsidR="0077091E" w:rsidRPr="00B450EB">
            <w:rPr>
              <w:noProof/>
            </w:rPr>
            <w:t>(Escobar, Hoyos, Villegas, &amp; Nieto, 2021)</w:t>
          </w:r>
          <w:r w:rsidRPr="00B450EB">
            <w:fldChar w:fldCharType="end"/>
          </w:r>
        </w:sdtContent>
      </w:sdt>
      <w:r w:rsidRPr="00B450EB">
        <w:t xml:space="preserve">, donde se señala que el transporte la humedad desde la Amazonia hacia la Región andina colombiana se da en escalas de tiempo de 6 a 7 días, indicativo de la conexión atmosférica directa; además, la investigación concluye que la Amazonia actúa como un proveedor importante de vapor de agua para los Andes colombianos, donde el </w:t>
      </w:r>
      <w:r w:rsidRPr="00B450EB">
        <w:lastRenderedPageBreak/>
        <w:t>análisis isotópico (δ¹⁸O, δ²H y d-</w:t>
      </w:r>
      <w:proofErr w:type="spellStart"/>
      <w:r w:rsidRPr="00B450EB">
        <w:t>excess</w:t>
      </w:r>
      <w:proofErr w:type="spellEnd"/>
      <w:r w:rsidRPr="00B450EB">
        <w:t>) permite rastrear ese transporte, mostrando cómo la interacción entre fuentes oceánicas y amazónicas definen la precipitación andina.</w:t>
      </w:r>
    </w:p>
    <w:p w14:paraId="3C21B5FF" w14:textId="77777777" w:rsidR="004D474F" w:rsidRPr="00B450EB" w:rsidRDefault="004D474F" w:rsidP="004D474F">
      <w:pPr>
        <w:spacing w:after="0"/>
      </w:pPr>
    </w:p>
    <w:p w14:paraId="744FB8F9" w14:textId="4B48F852" w:rsidR="004D474F" w:rsidRPr="00B450EB" w:rsidRDefault="004D474F" w:rsidP="004D474F">
      <w:pPr>
        <w:rPr>
          <w:rFonts w:cs="Arial"/>
        </w:rPr>
      </w:pPr>
      <w:r w:rsidRPr="00B450EB">
        <w:rPr>
          <w:rFonts w:cs="Arial"/>
        </w:rPr>
        <w:t xml:space="preserve">En complemento a lo expuesto a este punto sustentado principalmente en información bibliográfica e investigaciones desarrolladas alrededor del fenómeno meteorológico, donde la evidencia en detalle sobre la Amazonía colombiana aún es limitada, la ANLA a través del Grupo de Regionalización y Centro de Monitoreo desarrolló un estudio de trayectorias de masas de aire mediante el modelo HYSPLIT </w:t>
      </w:r>
      <w:r w:rsidR="001B35BE" w:rsidRPr="00B450EB">
        <w:t>(</w:t>
      </w:r>
      <w:proofErr w:type="spellStart"/>
      <w:r w:rsidR="001B35BE" w:rsidRPr="00B450EB">
        <w:t>Hybrid</w:t>
      </w:r>
      <w:proofErr w:type="spellEnd"/>
      <w:r w:rsidR="001B35BE" w:rsidRPr="00B450EB">
        <w:t xml:space="preserve"> Single-</w:t>
      </w:r>
      <w:proofErr w:type="spellStart"/>
      <w:r w:rsidR="001B35BE" w:rsidRPr="00B450EB">
        <w:t>Particle</w:t>
      </w:r>
      <w:proofErr w:type="spellEnd"/>
      <w:r w:rsidR="001B35BE" w:rsidRPr="00B450EB">
        <w:t xml:space="preserve"> </w:t>
      </w:r>
      <w:proofErr w:type="spellStart"/>
      <w:r w:rsidR="001B35BE" w:rsidRPr="00B450EB">
        <w:t>Lagrangian</w:t>
      </w:r>
      <w:proofErr w:type="spellEnd"/>
      <w:r w:rsidR="001B35BE" w:rsidRPr="00B450EB">
        <w:t xml:space="preserve"> </w:t>
      </w:r>
      <w:proofErr w:type="spellStart"/>
      <w:r w:rsidR="001B35BE" w:rsidRPr="00B450EB">
        <w:t>Integrated</w:t>
      </w:r>
      <w:proofErr w:type="spellEnd"/>
      <w:r w:rsidR="001B35BE" w:rsidRPr="00B450EB">
        <w:t xml:space="preserve"> </w:t>
      </w:r>
      <w:proofErr w:type="spellStart"/>
      <w:r w:rsidR="001B35BE" w:rsidRPr="00B450EB">
        <w:t>Trajectory</w:t>
      </w:r>
      <w:proofErr w:type="spellEnd"/>
      <w:r w:rsidR="001B35BE" w:rsidRPr="00B450EB">
        <w:t>) de la NOAA (</w:t>
      </w:r>
      <w:proofErr w:type="spellStart"/>
      <w:r w:rsidR="001B35BE" w:rsidRPr="00B450EB">
        <w:t>National</w:t>
      </w:r>
      <w:proofErr w:type="spellEnd"/>
      <w:r w:rsidR="001B35BE" w:rsidRPr="00B450EB">
        <w:t xml:space="preserve"> </w:t>
      </w:r>
      <w:proofErr w:type="spellStart"/>
      <w:r w:rsidR="001B35BE" w:rsidRPr="00B450EB">
        <w:t>Oceanic</w:t>
      </w:r>
      <w:proofErr w:type="spellEnd"/>
      <w:r w:rsidR="001B35BE" w:rsidRPr="00B450EB">
        <w:t xml:space="preserve"> and </w:t>
      </w:r>
      <w:proofErr w:type="spellStart"/>
      <w:r w:rsidR="001B35BE" w:rsidRPr="00B450EB">
        <w:t>Atmospheric</w:t>
      </w:r>
      <w:proofErr w:type="spellEnd"/>
      <w:r w:rsidR="001B35BE" w:rsidRPr="00B450EB">
        <w:t xml:space="preserve"> </w:t>
      </w:r>
      <w:proofErr w:type="spellStart"/>
      <w:r w:rsidR="001B35BE" w:rsidRPr="00B450EB">
        <w:t>Administration</w:t>
      </w:r>
      <w:proofErr w:type="spellEnd"/>
      <w:r w:rsidR="001B35BE" w:rsidRPr="00B450EB">
        <w:t>)</w:t>
      </w:r>
      <w:r w:rsidRPr="00B450EB">
        <w:rPr>
          <w:rFonts w:cs="Arial"/>
        </w:rPr>
        <w:t xml:space="preserve"> buscando demostrar, con mayor resolución y soporte numérico, la importancia del bosque amazónico en el ciclo del agua de Colombia.</w:t>
      </w:r>
    </w:p>
    <w:p w14:paraId="663BD57D" w14:textId="3A58C5EC" w:rsidR="004D474F" w:rsidRPr="00B450EB" w:rsidRDefault="004D474F" w:rsidP="004D474F">
      <w:pPr>
        <w:rPr>
          <w:rFonts w:cs="Arial"/>
        </w:rPr>
      </w:pPr>
      <w:r w:rsidRPr="00B450EB">
        <w:rPr>
          <w:rFonts w:cs="Arial"/>
        </w:rPr>
        <w:t>En concordancia con la relación existente entre el flujo de humedad de la selva amazónica y la cordillera de Los Andes, y específicamente haciendo alusión al estudio de Sánchez et. al (2024), relacionado con los páramos de Sumapaz y Chingaza y el suministro de agua en la ciudad de Bogotá, se comprobó a través de la modelación de HYSPLIT</w:t>
      </w:r>
      <w:r w:rsidR="00E719F0" w:rsidRPr="00B450EB">
        <w:t>,</w:t>
      </w:r>
      <w:r w:rsidRPr="00B450EB">
        <w:rPr>
          <w:rFonts w:cs="Arial"/>
        </w:rPr>
        <w:t xml:space="preserve"> que en el periodo junio, julio y agosto, para el año 2006 y 2024, la recarga hídrica mediante los flujos de masas de aire provenientes del bioma amazónico se encuentra alrededor del 50%, como se establece en la siguiente figura que indica entre el 70% y 49% corresponden a las masas de aire que vienen del sur del país.</w:t>
      </w:r>
    </w:p>
    <w:p w14:paraId="207A108D" w14:textId="3B1C824B" w:rsidR="004D474F" w:rsidRPr="00B450EB" w:rsidRDefault="004D474F" w:rsidP="004D474F">
      <w:pPr>
        <w:pStyle w:val="Descripcin"/>
        <w:rPr>
          <w:rFonts w:cs="Arial"/>
          <w:color w:val="auto"/>
        </w:rPr>
      </w:pPr>
      <w:bookmarkStart w:id="65" w:name="_Toc209462732"/>
      <w:r w:rsidRPr="00B450EB">
        <w:rPr>
          <w:color w:val="auto"/>
        </w:rPr>
        <w:t>Figura</w:t>
      </w:r>
      <w:r w:rsidR="79C4ED2B" w:rsidRPr="00B450EB">
        <w:rPr>
          <w:color w:val="auto"/>
        </w:rPr>
        <w:t>.</w:t>
      </w:r>
      <w:r w:rsidRPr="00B450EB">
        <w:rPr>
          <w:color w:val="auto"/>
        </w:rPr>
        <w:t xml:space="preserve"> Análisis</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43</w:t>
      </w:r>
      <w:r w:rsidR="0045353A" w:rsidRPr="00B450EB">
        <w:rPr>
          <w:noProof/>
          <w:color w:val="auto"/>
        </w:rPr>
        <w:fldChar w:fldCharType="end"/>
      </w:r>
      <w:r w:rsidRPr="00B450EB">
        <w:rPr>
          <w:color w:val="auto"/>
        </w:rPr>
        <w:t xml:space="preserve"> periodo junio – agosto ríos voladores páramo Chingaza.</w:t>
      </w:r>
      <w:bookmarkEnd w:id="65"/>
    </w:p>
    <w:tbl>
      <w:tblPr>
        <w:tblStyle w:val="Tablaconcuadrcula"/>
        <w:tblW w:w="0" w:type="auto"/>
        <w:tblLook w:val="04A0" w:firstRow="1" w:lastRow="0" w:firstColumn="1" w:lastColumn="0" w:noHBand="0" w:noVBand="1"/>
      </w:tblPr>
      <w:tblGrid>
        <w:gridCol w:w="4414"/>
        <w:gridCol w:w="4414"/>
      </w:tblGrid>
      <w:tr w:rsidR="00EF1937" w:rsidRPr="00B450EB" w14:paraId="3D530206" w14:textId="77777777" w:rsidTr="00024A81">
        <w:tc>
          <w:tcPr>
            <w:tcW w:w="4414" w:type="dxa"/>
          </w:tcPr>
          <w:p w14:paraId="05D9B988" w14:textId="77777777" w:rsidR="004D474F" w:rsidRPr="00B450EB" w:rsidRDefault="004D474F" w:rsidP="00024A81">
            <w:pPr>
              <w:jc w:val="center"/>
              <w:rPr>
                <w:rFonts w:cs="Arial"/>
              </w:rPr>
            </w:pPr>
            <w:r w:rsidRPr="00B450EB">
              <w:rPr>
                <w:rFonts w:cs="Arial"/>
              </w:rPr>
              <w:t>junio – agosto 2006</w:t>
            </w:r>
          </w:p>
        </w:tc>
        <w:tc>
          <w:tcPr>
            <w:tcW w:w="4414" w:type="dxa"/>
          </w:tcPr>
          <w:p w14:paraId="0CAF54C0" w14:textId="77777777" w:rsidR="004D474F" w:rsidRPr="00B450EB" w:rsidRDefault="004D474F" w:rsidP="00024A81">
            <w:pPr>
              <w:jc w:val="center"/>
              <w:rPr>
                <w:rFonts w:cs="Arial"/>
              </w:rPr>
            </w:pPr>
            <w:r w:rsidRPr="00B450EB">
              <w:rPr>
                <w:rFonts w:cs="Arial"/>
              </w:rPr>
              <w:t>junio – agosto 2024</w:t>
            </w:r>
          </w:p>
        </w:tc>
      </w:tr>
      <w:tr w:rsidR="00EF1937" w:rsidRPr="00B450EB" w14:paraId="20838AB6" w14:textId="77777777" w:rsidTr="00024A81">
        <w:tc>
          <w:tcPr>
            <w:tcW w:w="4414" w:type="dxa"/>
          </w:tcPr>
          <w:p w14:paraId="34816377" w14:textId="77777777" w:rsidR="004D474F" w:rsidRPr="00B450EB" w:rsidRDefault="004D474F" w:rsidP="00024A81">
            <w:pPr>
              <w:rPr>
                <w:rFonts w:cs="Arial"/>
              </w:rPr>
            </w:pPr>
            <w:r w:rsidRPr="00B450EB">
              <w:rPr>
                <w:noProof/>
              </w:rPr>
              <w:drawing>
                <wp:inline distT="0" distB="0" distL="0" distR="0" wp14:anchorId="5C6DB106" wp14:editId="772D1F73">
                  <wp:extent cx="2543648" cy="2160000"/>
                  <wp:effectExtent l="0" t="0" r="9525" b="0"/>
                  <wp:docPr id="875014541" name="Imagen 1" descr="Interfaz de usuario gráfica,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014541" name="Imagen 1" descr="Interfaz de usuario gráfica, Mapa&#10;&#10;El contenido generado por IA puede ser incorrecto."/>
                          <pic:cNvPicPr/>
                        </pic:nvPicPr>
                        <pic:blipFill>
                          <a:blip r:embed="rId83"/>
                          <a:stretch>
                            <a:fillRect/>
                          </a:stretch>
                        </pic:blipFill>
                        <pic:spPr>
                          <a:xfrm>
                            <a:off x="0" y="0"/>
                            <a:ext cx="2543648" cy="2160000"/>
                          </a:xfrm>
                          <a:prstGeom prst="rect">
                            <a:avLst/>
                          </a:prstGeom>
                        </pic:spPr>
                      </pic:pic>
                    </a:graphicData>
                  </a:graphic>
                </wp:inline>
              </w:drawing>
            </w:r>
          </w:p>
        </w:tc>
        <w:tc>
          <w:tcPr>
            <w:tcW w:w="4414" w:type="dxa"/>
          </w:tcPr>
          <w:p w14:paraId="62D1AA6A" w14:textId="77777777" w:rsidR="004D474F" w:rsidRPr="00B450EB" w:rsidRDefault="004D474F" w:rsidP="00024A81">
            <w:pPr>
              <w:rPr>
                <w:rFonts w:cs="Arial"/>
              </w:rPr>
            </w:pPr>
            <w:r w:rsidRPr="00B450EB">
              <w:rPr>
                <w:noProof/>
              </w:rPr>
              <w:drawing>
                <wp:inline distT="0" distB="0" distL="0" distR="0" wp14:anchorId="191C6AAD" wp14:editId="723537E6">
                  <wp:extent cx="2521807" cy="2160000"/>
                  <wp:effectExtent l="0" t="0" r="0" b="0"/>
                  <wp:docPr id="23227570" name="Imagen 1"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7570" name="Imagen 1" descr="Imagen que contiene Mapa&#10;&#10;El contenido generado por IA puede ser incorrecto."/>
                          <pic:cNvPicPr/>
                        </pic:nvPicPr>
                        <pic:blipFill>
                          <a:blip r:embed="rId84"/>
                          <a:stretch>
                            <a:fillRect/>
                          </a:stretch>
                        </pic:blipFill>
                        <pic:spPr>
                          <a:xfrm>
                            <a:off x="0" y="0"/>
                            <a:ext cx="2521807" cy="2160000"/>
                          </a:xfrm>
                          <a:prstGeom prst="rect">
                            <a:avLst/>
                          </a:prstGeom>
                        </pic:spPr>
                      </pic:pic>
                    </a:graphicData>
                  </a:graphic>
                </wp:inline>
              </w:drawing>
            </w:r>
          </w:p>
        </w:tc>
      </w:tr>
    </w:tbl>
    <w:p w14:paraId="716D38AA" w14:textId="77777777" w:rsidR="004D474F" w:rsidRPr="00B450EB" w:rsidRDefault="004D474F" w:rsidP="004D474F">
      <w:pPr>
        <w:jc w:val="center"/>
        <w:rPr>
          <w:rFonts w:cs="Arial"/>
        </w:rPr>
      </w:pPr>
      <w:r w:rsidRPr="00B450EB">
        <w:rPr>
          <w:sz w:val="18"/>
          <w:szCs w:val="18"/>
        </w:rPr>
        <w:t>Fuente: GRCM ANLA, 2025.</w:t>
      </w:r>
    </w:p>
    <w:p w14:paraId="0623B5B7" w14:textId="77777777" w:rsidR="004D474F" w:rsidRPr="00B450EB" w:rsidRDefault="004D474F" w:rsidP="004D474F">
      <w:pPr>
        <w:rPr>
          <w:rFonts w:cs="Arial"/>
        </w:rPr>
      </w:pPr>
      <w:r w:rsidRPr="00B450EB">
        <w:rPr>
          <w:rFonts w:cs="Arial"/>
        </w:rPr>
        <w:t xml:space="preserve">De igual forma partiendo de la evaluación de las trayectorias hacia donde van las masas de aire en los siguientes en escenarios, junio de 2024 (periodo bajas </w:t>
      </w:r>
      <w:r w:rsidRPr="00B450EB">
        <w:rPr>
          <w:rFonts w:cs="Arial"/>
        </w:rPr>
        <w:lastRenderedPageBreak/>
        <w:t>precipitaciones trapecio amazónico) y marzo de 2024 (periodo altas precipitaciones trapecio amazónico).</w:t>
      </w:r>
    </w:p>
    <w:p w14:paraId="22FEECF2" w14:textId="6AD878F5" w:rsidR="004D474F" w:rsidRPr="00B450EB" w:rsidRDefault="004D474F" w:rsidP="004D474F">
      <w:pPr>
        <w:pStyle w:val="Descripcin"/>
        <w:rPr>
          <w:rFonts w:cs="Arial"/>
          <w:color w:val="auto"/>
        </w:rPr>
      </w:pPr>
      <w:bookmarkStart w:id="66" w:name="_Toc209462733"/>
      <w:r w:rsidRPr="00B450EB">
        <w:rPr>
          <w:color w:val="auto"/>
        </w:rPr>
        <w:t>Figura 60</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44</w:t>
      </w:r>
      <w:r w:rsidR="0045353A" w:rsidRPr="00B450EB">
        <w:rPr>
          <w:noProof/>
          <w:color w:val="auto"/>
        </w:rPr>
        <w:fldChar w:fldCharType="end"/>
      </w:r>
      <w:r w:rsidRPr="00B450EB">
        <w:rPr>
          <w:color w:val="auto"/>
        </w:rPr>
        <w:t xml:space="preserve">.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45</w:t>
      </w:r>
      <w:r w:rsidR="0045353A" w:rsidRPr="00B450EB">
        <w:rPr>
          <w:noProof/>
          <w:color w:val="auto"/>
        </w:rPr>
        <w:fldChar w:fldCharType="end"/>
      </w:r>
      <w:r w:rsidRPr="00B450EB">
        <w:rPr>
          <w:color w:val="auto"/>
        </w:rPr>
        <w:t>Puntos modelación Bioma Amazónico HYSPLIT</w:t>
      </w:r>
      <w:bookmarkEnd w:id="66"/>
    </w:p>
    <w:p w14:paraId="28D4D3FC" w14:textId="77777777" w:rsidR="004D474F" w:rsidRPr="00B450EB" w:rsidRDefault="004D474F" w:rsidP="004D474F">
      <w:pPr>
        <w:jc w:val="center"/>
        <w:rPr>
          <w:rFonts w:cs="Arial"/>
        </w:rPr>
      </w:pPr>
      <w:r w:rsidRPr="00B450EB">
        <w:rPr>
          <w:rFonts w:cs="Arial"/>
          <w:noProof/>
        </w:rPr>
        <w:drawing>
          <wp:inline distT="0" distB="0" distL="0" distR="0" wp14:anchorId="7EAE7693" wp14:editId="5C3D81C8">
            <wp:extent cx="3737267" cy="3713259"/>
            <wp:effectExtent l="0" t="0" r="0" b="1905"/>
            <wp:docPr id="1983083923" name="Imagen 10"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83923" name="Imagen 10" descr="Mapa&#10;&#10;El contenido generado por IA puede ser incorrecto."/>
                    <pic:cNvPicPr/>
                  </pic:nvPicPr>
                  <pic:blipFill rotWithShape="1">
                    <a:blip r:embed="rId85" cstate="email">
                      <a:extLst>
                        <a:ext uri="{28A0092B-C50C-407E-A947-70E740481C1C}">
                          <a14:useLocalDpi xmlns:a14="http://schemas.microsoft.com/office/drawing/2010/main"/>
                        </a:ext>
                      </a:extLst>
                    </a:blip>
                    <a:srcRect/>
                    <a:stretch>
                      <a:fillRect/>
                    </a:stretch>
                  </pic:blipFill>
                  <pic:spPr bwMode="auto">
                    <a:xfrm>
                      <a:off x="0" y="0"/>
                      <a:ext cx="3838090" cy="3813434"/>
                    </a:xfrm>
                    <a:prstGeom prst="rect">
                      <a:avLst/>
                    </a:prstGeom>
                    <a:ln>
                      <a:noFill/>
                    </a:ln>
                    <a:extLst>
                      <a:ext uri="{53640926-AAD7-44D8-BBD7-CCE9431645EC}">
                        <a14:shadowObscured xmlns:a14="http://schemas.microsoft.com/office/drawing/2010/main"/>
                      </a:ext>
                    </a:extLst>
                  </pic:spPr>
                </pic:pic>
              </a:graphicData>
            </a:graphic>
          </wp:inline>
        </w:drawing>
      </w:r>
    </w:p>
    <w:p w14:paraId="07D53CBF" w14:textId="77777777" w:rsidR="004D474F" w:rsidRPr="00B450EB" w:rsidRDefault="004D474F" w:rsidP="004D474F">
      <w:pPr>
        <w:jc w:val="center"/>
        <w:rPr>
          <w:rFonts w:cs="Arial"/>
        </w:rPr>
      </w:pPr>
      <w:r w:rsidRPr="00B450EB">
        <w:rPr>
          <w:sz w:val="18"/>
          <w:szCs w:val="18"/>
        </w:rPr>
        <w:t>Fuente: GRCM ANLA, 2025.</w:t>
      </w:r>
    </w:p>
    <w:p w14:paraId="1A8828D5" w14:textId="42E3812E" w:rsidR="004D474F" w:rsidRPr="00B450EB" w:rsidRDefault="004D474F" w:rsidP="004D474F">
      <w:pPr>
        <w:rPr>
          <w:rFonts w:cs="Arial"/>
        </w:rPr>
      </w:pPr>
      <w:r w:rsidRPr="00B450EB">
        <w:rPr>
          <w:rFonts w:cs="Arial"/>
        </w:rPr>
        <w:t>Para evaluar estos escenarios criterios soportado con investigaciones científicas frente a la variabilidad climática, se configuro HYSPL</w:t>
      </w:r>
      <w:r w:rsidR="00773B88" w:rsidRPr="00B450EB">
        <w:rPr>
          <w:rFonts w:cs="Arial"/>
        </w:rPr>
        <w:t>I</w:t>
      </w:r>
      <w:r w:rsidRPr="00B450EB">
        <w:rPr>
          <w:rFonts w:cs="Arial"/>
        </w:rPr>
        <w:t>T con datos meteorológicos del GDAS de abril y marzo de 2024 con resolución global de 1° (≈111 km) y registros horarios de 360 horas (periodo quincenal), en cuarenta (40) puntos estratégicos en el bioma amazónico.</w:t>
      </w:r>
    </w:p>
    <w:p w14:paraId="749324C1" w14:textId="77777777" w:rsidR="004D474F" w:rsidRPr="00B450EB" w:rsidRDefault="004D474F" w:rsidP="004D474F">
      <w:pPr>
        <w:rPr>
          <w:rFonts w:cs="Arial"/>
        </w:rPr>
      </w:pPr>
      <w:r w:rsidRPr="00B450EB">
        <w:rPr>
          <w:rFonts w:cs="Arial"/>
        </w:rPr>
        <w:t>En ese sentido, las trayectorias de masas de aire modeladas con HYSPLIT para dos escenarios contrastantes de 2024 (alta precipitación en marzo y baja precipitación en junio) permitiendo evidenciar cómo la dirección y extensión de los vientos determinan la disponibilidad de humedad en el territorio.</w:t>
      </w:r>
    </w:p>
    <w:p w14:paraId="5467EA84" w14:textId="77777777" w:rsidR="00E81A22" w:rsidRPr="00B450EB" w:rsidRDefault="00E81A22" w:rsidP="004D474F">
      <w:pPr>
        <w:rPr>
          <w:rFonts w:cs="Arial"/>
        </w:rPr>
      </w:pPr>
    </w:p>
    <w:p w14:paraId="638EDA09" w14:textId="77777777" w:rsidR="00E81A22" w:rsidRPr="00B450EB" w:rsidRDefault="00E81A22" w:rsidP="004D474F">
      <w:pPr>
        <w:rPr>
          <w:rFonts w:cs="Arial"/>
        </w:rPr>
      </w:pPr>
    </w:p>
    <w:p w14:paraId="3A341694" w14:textId="77777777" w:rsidR="00E81A22" w:rsidRPr="00B450EB" w:rsidRDefault="00E81A22" w:rsidP="004D474F">
      <w:pPr>
        <w:rPr>
          <w:rFonts w:cs="Arial"/>
        </w:rPr>
      </w:pPr>
    </w:p>
    <w:p w14:paraId="3506174E" w14:textId="77777777" w:rsidR="00E81A22" w:rsidRPr="00B450EB" w:rsidRDefault="00E81A22" w:rsidP="004D474F">
      <w:pPr>
        <w:rPr>
          <w:rFonts w:cs="Arial"/>
        </w:rPr>
      </w:pPr>
    </w:p>
    <w:p w14:paraId="4BF5F4DA" w14:textId="3028C77C" w:rsidR="004D474F" w:rsidRPr="00B450EB" w:rsidRDefault="004D474F" w:rsidP="004D474F">
      <w:pPr>
        <w:pStyle w:val="Descripcin"/>
        <w:rPr>
          <w:color w:val="auto"/>
        </w:rPr>
      </w:pPr>
      <w:bookmarkStart w:id="67" w:name="_Toc209462734"/>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46</w:t>
      </w:r>
      <w:r w:rsidR="0045353A" w:rsidRPr="00B450EB">
        <w:rPr>
          <w:noProof/>
          <w:color w:val="auto"/>
        </w:rPr>
        <w:fldChar w:fldCharType="end"/>
      </w:r>
      <w:r w:rsidRPr="00B450EB">
        <w:rPr>
          <w:color w:val="auto"/>
        </w:rPr>
        <w:t>. Resultados modelación baja y alta precipitación HYSPLT.</w:t>
      </w:r>
      <w:bookmarkEnd w:id="67"/>
    </w:p>
    <w:tbl>
      <w:tblPr>
        <w:tblStyle w:val="Tablaconcuadrcula"/>
        <w:tblW w:w="0" w:type="auto"/>
        <w:tblLook w:val="04A0" w:firstRow="1" w:lastRow="0" w:firstColumn="1" w:lastColumn="0" w:noHBand="0" w:noVBand="1"/>
      </w:tblPr>
      <w:tblGrid>
        <w:gridCol w:w="4414"/>
        <w:gridCol w:w="4414"/>
      </w:tblGrid>
      <w:tr w:rsidR="00EF1937" w:rsidRPr="00B450EB" w14:paraId="01960FF2" w14:textId="77777777" w:rsidTr="00024A81">
        <w:tc>
          <w:tcPr>
            <w:tcW w:w="8828" w:type="dxa"/>
            <w:gridSpan w:val="2"/>
            <w:vAlign w:val="center"/>
          </w:tcPr>
          <w:p w14:paraId="35BF2909" w14:textId="77777777" w:rsidR="004D474F" w:rsidRPr="00B450EB" w:rsidRDefault="004D474F" w:rsidP="00024A81">
            <w:pPr>
              <w:jc w:val="center"/>
              <w:rPr>
                <w:sz w:val="18"/>
                <w:szCs w:val="18"/>
              </w:rPr>
            </w:pPr>
            <w:r w:rsidRPr="00B450EB">
              <w:rPr>
                <w:sz w:val="18"/>
                <w:szCs w:val="18"/>
              </w:rPr>
              <w:t>Escenario alta precipitación bioma amazónico - marzo 2024</w:t>
            </w:r>
          </w:p>
        </w:tc>
      </w:tr>
      <w:tr w:rsidR="00EF1937" w:rsidRPr="00B450EB" w14:paraId="68877995" w14:textId="77777777" w:rsidTr="00024A81">
        <w:trPr>
          <w:trHeight w:val="3989"/>
        </w:trPr>
        <w:tc>
          <w:tcPr>
            <w:tcW w:w="4414" w:type="dxa"/>
            <w:vAlign w:val="center"/>
          </w:tcPr>
          <w:p w14:paraId="74EE69F0" w14:textId="77777777" w:rsidR="004D474F" w:rsidRPr="00B450EB" w:rsidRDefault="004D474F" w:rsidP="00024A81">
            <w:pPr>
              <w:jc w:val="center"/>
              <w:rPr>
                <w:sz w:val="18"/>
                <w:szCs w:val="18"/>
              </w:rPr>
            </w:pPr>
            <w:r w:rsidRPr="00B450EB">
              <w:rPr>
                <w:noProof/>
                <w:sz w:val="18"/>
                <w:szCs w:val="18"/>
              </w:rPr>
              <w:drawing>
                <wp:inline distT="0" distB="0" distL="0" distR="0" wp14:anchorId="7850B96E" wp14:editId="4BE6B762">
                  <wp:extent cx="2488604" cy="2160000"/>
                  <wp:effectExtent l="0" t="0" r="6985" b="0"/>
                  <wp:docPr id="1110409762" name="Imagen 1" descr="Gráfico,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409762" name="Imagen 1" descr="Gráfico, Diagrama&#10;&#10;El contenido generado por IA puede ser incorrecto."/>
                          <pic:cNvPicPr/>
                        </pic:nvPicPr>
                        <pic:blipFill>
                          <a:blip r:embed="rId86"/>
                          <a:stretch>
                            <a:fillRect/>
                          </a:stretch>
                        </pic:blipFill>
                        <pic:spPr>
                          <a:xfrm>
                            <a:off x="0" y="0"/>
                            <a:ext cx="2488604" cy="2160000"/>
                          </a:xfrm>
                          <a:prstGeom prst="rect">
                            <a:avLst/>
                          </a:prstGeom>
                        </pic:spPr>
                      </pic:pic>
                    </a:graphicData>
                  </a:graphic>
                </wp:inline>
              </w:drawing>
            </w:r>
          </w:p>
        </w:tc>
        <w:tc>
          <w:tcPr>
            <w:tcW w:w="4414" w:type="dxa"/>
            <w:vAlign w:val="center"/>
          </w:tcPr>
          <w:p w14:paraId="796310C6" w14:textId="77777777" w:rsidR="004D474F" w:rsidRPr="00B450EB" w:rsidRDefault="004D474F" w:rsidP="00024A81">
            <w:pPr>
              <w:jc w:val="center"/>
              <w:rPr>
                <w:sz w:val="18"/>
                <w:szCs w:val="18"/>
              </w:rPr>
            </w:pPr>
            <w:r w:rsidRPr="00B450EB">
              <w:rPr>
                <w:noProof/>
                <w:sz w:val="18"/>
                <w:szCs w:val="18"/>
              </w:rPr>
              <w:drawing>
                <wp:inline distT="0" distB="0" distL="0" distR="0" wp14:anchorId="6D15FF58" wp14:editId="7FF1BD83">
                  <wp:extent cx="2504274" cy="2160000"/>
                  <wp:effectExtent l="0" t="0" r="0" b="0"/>
                  <wp:docPr id="1903934539" name="Imagen 1" descr="Gráfico,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34539" name="Imagen 1" descr="Gráfico, Diagrama&#10;&#10;El contenido generado por IA puede ser incorrecto."/>
                          <pic:cNvPicPr/>
                        </pic:nvPicPr>
                        <pic:blipFill>
                          <a:blip r:embed="rId87"/>
                          <a:stretch>
                            <a:fillRect/>
                          </a:stretch>
                        </pic:blipFill>
                        <pic:spPr>
                          <a:xfrm>
                            <a:off x="0" y="0"/>
                            <a:ext cx="2504274" cy="2160000"/>
                          </a:xfrm>
                          <a:prstGeom prst="rect">
                            <a:avLst/>
                          </a:prstGeom>
                        </pic:spPr>
                      </pic:pic>
                    </a:graphicData>
                  </a:graphic>
                </wp:inline>
              </w:drawing>
            </w:r>
          </w:p>
        </w:tc>
      </w:tr>
      <w:tr w:rsidR="00EF1937" w:rsidRPr="00B450EB" w14:paraId="10E0ED29" w14:textId="77777777" w:rsidTr="00024A81">
        <w:tc>
          <w:tcPr>
            <w:tcW w:w="8828" w:type="dxa"/>
            <w:gridSpan w:val="2"/>
            <w:vAlign w:val="center"/>
          </w:tcPr>
          <w:p w14:paraId="30503A7F" w14:textId="77777777" w:rsidR="004D474F" w:rsidRPr="00B450EB" w:rsidRDefault="004D474F" w:rsidP="00024A81">
            <w:pPr>
              <w:jc w:val="center"/>
              <w:rPr>
                <w:sz w:val="18"/>
                <w:szCs w:val="18"/>
              </w:rPr>
            </w:pPr>
            <w:r w:rsidRPr="00B450EB">
              <w:rPr>
                <w:sz w:val="18"/>
                <w:szCs w:val="18"/>
              </w:rPr>
              <w:t>Escenario baja precipitación bioma amazónico - junio 2024</w:t>
            </w:r>
          </w:p>
        </w:tc>
      </w:tr>
      <w:tr w:rsidR="00EF1937" w:rsidRPr="00B450EB" w14:paraId="0C1ACD09" w14:textId="77777777" w:rsidTr="00024A81">
        <w:tc>
          <w:tcPr>
            <w:tcW w:w="4414" w:type="dxa"/>
            <w:vAlign w:val="center"/>
          </w:tcPr>
          <w:p w14:paraId="1FF6FB43" w14:textId="77777777" w:rsidR="004D474F" w:rsidRPr="00B450EB" w:rsidRDefault="004D474F" w:rsidP="00024A81">
            <w:pPr>
              <w:jc w:val="center"/>
              <w:rPr>
                <w:sz w:val="18"/>
                <w:szCs w:val="18"/>
              </w:rPr>
            </w:pPr>
            <w:r w:rsidRPr="00B450EB">
              <w:rPr>
                <w:noProof/>
                <w:sz w:val="18"/>
                <w:szCs w:val="18"/>
              </w:rPr>
              <w:drawing>
                <wp:inline distT="0" distB="0" distL="0" distR="0" wp14:anchorId="7800562E" wp14:editId="3FF70BD6">
                  <wp:extent cx="2523474" cy="2160000"/>
                  <wp:effectExtent l="0" t="0" r="0" b="0"/>
                  <wp:docPr id="1480033825"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033825" name="Imagen 1" descr="Diagrama&#10;&#10;El contenido generado por IA puede ser incorrecto."/>
                          <pic:cNvPicPr/>
                        </pic:nvPicPr>
                        <pic:blipFill>
                          <a:blip r:embed="rId88"/>
                          <a:stretch>
                            <a:fillRect/>
                          </a:stretch>
                        </pic:blipFill>
                        <pic:spPr>
                          <a:xfrm>
                            <a:off x="0" y="0"/>
                            <a:ext cx="2523474" cy="2160000"/>
                          </a:xfrm>
                          <a:prstGeom prst="rect">
                            <a:avLst/>
                          </a:prstGeom>
                        </pic:spPr>
                      </pic:pic>
                    </a:graphicData>
                  </a:graphic>
                </wp:inline>
              </w:drawing>
            </w:r>
          </w:p>
        </w:tc>
        <w:tc>
          <w:tcPr>
            <w:tcW w:w="4414" w:type="dxa"/>
            <w:vAlign w:val="center"/>
          </w:tcPr>
          <w:p w14:paraId="61120A1C" w14:textId="77777777" w:rsidR="004D474F" w:rsidRPr="00B450EB" w:rsidRDefault="004D474F" w:rsidP="00024A81">
            <w:pPr>
              <w:jc w:val="center"/>
              <w:rPr>
                <w:sz w:val="18"/>
                <w:szCs w:val="18"/>
              </w:rPr>
            </w:pPr>
            <w:r w:rsidRPr="00B450EB">
              <w:rPr>
                <w:noProof/>
                <w:sz w:val="18"/>
                <w:szCs w:val="18"/>
              </w:rPr>
              <w:drawing>
                <wp:inline distT="0" distB="0" distL="0" distR="0" wp14:anchorId="038DE497" wp14:editId="75873225">
                  <wp:extent cx="2530834" cy="2160000"/>
                  <wp:effectExtent l="0" t="0" r="3175" b="0"/>
                  <wp:docPr id="875070758"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070758" name="Imagen 1" descr="Diagrama&#10;&#10;El contenido generado por IA puede ser incorrecto."/>
                          <pic:cNvPicPr/>
                        </pic:nvPicPr>
                        <pic:blipFill>
                          <a:blip r:embed="rId89"/>
                          <a:stretch>
                            <a:fillRect/>
                          </a:stretch>
                        </pic:blipFill>
                        <pic:spPr>
                          <a:xfrm>
                            <a:off x="0" y="0"/>
                            <a:ext cx="2530834" cy="2160000"/>
                          </a:xfrm>
                          <a:prstGeom prst="rect">
                            <a:avLst/>
                          </a:prstGeom>
                        </pic:spPr>
                      </pic:pic>
                    </a:graphicData>
                  </a:graphic>
                </wp:inline>
              </w:drawing>
            </w:r>
          </w:p>
        </w:tc>
      </w:tr>
    </w:tbl>
    <w:p w14:paraId="7B388538" w14:textId="77777777" w:rsidR="004D474F" w:rsidRPr="00B450EB" w:rsidRDefault="004D474F" w:rsidP="004D474F">
      <w:pPr>
        <w:jc w:val="center"/>
        <w:rPr>
          <w:sz w:val="18"/>
          <w:szCs w:val="18"/>
        </w:rPr>
      </w:pPr>
      <w:r w:rsidRPr="00B450EB">
        <w:rPr>
          <w:sz w:val="18"/>
          <w:szCs w:val="18"/>
        </w:rPr>
        <w:t>Fuente: GRCM ANLA, 2025.</w:t>
      </w:r>
    </w:p>
    <w:p w14:paraId="425BA2F7" w14:textId="77777777" w:rsidR="004D474F" w:rsidRPr="00B450EB" w:rsidRDefault="004D474F" w:rsidP="004D474F">
      <w:pPr>
        <w:rPr>
          <w:rFonts w:cs="Arial"/>
        </w:rPr>
      </w:pPr>
      <w:r w:rsidRPr="00B450EB">
        <w:rPr>
          <w:rFonts w:cs="Arial"/>
        </w:rPr>
        <w:t>En el escenario de alta precipitación de marzo de 2024, las trayectorias modeladas muestran un desplazamiento predominante de las masas de aire hacia el sur del continente y el occidente del país. Este patrón refleja que, durante dicho periodo, la influencia amazónica sobre la región andina es menos marcada, dado que los flujos de humedad no se canalizan de manera constante hacia esta zona.</w:t>
      </w:r>
    </w:p>
    <w:p w14:paraId="5087ADAE" w14:textId="77777777" w:rsidR="004D474F" w:rsidRPr="00B450EB" w:rsidRDefault="004D474F" w:rsidP="004D474F">
      <w:pPr>
        <w:rPr>
          <w:rFonts w:cs="Arial"/>
        </w:rPr>
      </w:pPr>
      <w:r w:rsidRPr="00B450EB">
        <w:rPr>
          <w:rFonts w:cs="Arial"/>
        </w:rPr>
        <w:t xml:space="preserve">En contraste, en el escenario de baja precipitación asociado al mes de junio de 2024, se observa un transporte más notorio de masas de aire provenientes de la Amazonía hacia el norte y noroccidente del país, especialmente en la primera quincena. Esta dinámica confirma que, en ciertos periodos del año, la Amazonía desempeña un papel fundamental en el transporte de humedad hacia los Andes, a través de corredores atmosféricos conocidos como “Ríos Voladores”, que resultan </w:t>
      </w:r>
      <w:r w:rsidRPr="00B450EB">
        <w:rPr>
          <w:rFonts w:cs="Arial"/>
        </w:rPr>
        <w:lastRenderedPageBreak/>
        <w:t>clave para la recarga hídrica de ecosistemas altoandinos y para la seguridad hídrica regional.</w:t>
      </w:r>
    </w:p>
    <w:p w14:paraId="001EBEC9" w14:textId="0074AD08" w:rsidR="004D474F" w:rsidRPr="00B450EB" w:rsidRDefault="004D474F" w:rsidP="004D474F">
      <w:pPr>
        <w:rPr>
          <w:rFonts w:cs="Arial"/>
        </w:rPr>
      </w:pPr>
      <w:r w:rsidRPr="00B450EB">
        <w:rPr>
          <w:rFonts w:cs="Arial"/>
        </w:rPr>
        <w:t xml:space="preserve">Por tanto, la influencia amazónica trasciende lo local y conecta dinámicas atmosféricas entre distintas regiones de Sudamérica, reforzando la idea de una interdependencia ecológica a escala continental a través de los llamados “Ríos Voladores” generados por la evapotranspiración del bosque amazónico. Este proceso se consolida como un servicio ecosistémico esencial, que sostiene la seguridad hídrica y energética de Colombia y de países vecinos. </w:t>
      </w:r>
    </w:p>
    <w:p w14:paraId="6727B83B" w14:textId="77777777" w:rsidR="004701F6" w:rsidRPr="00B450EB" w:rsidRDefault="004701F6" w:rsidP="004701F6">
      <w:pPr>
        <w:spacing w:after="0"/>
      </w:pPr>
      <w:r w:rsidRPr="00B450EB">
        <w:t>En ese orden de ideas, resulta evidente que la pérdida de la capacidad del bioma amazónico para generar y mantener los flujos de humedad hacia los páramos y cuencas andinas incrementa de manera significativa el riesgo de un déficit hídrico que impactaría directamente la disponibilidad de agua potable en gran parte del país; sin embargo, las consecuencias van mucho más allá de la sostenibilidad hídrica, teniendo en cuenta que se daría un efecto dominó en cuanto a la seguridad alimentaria, el incremento de eventos climáticos extremos producto de la perdida de la capacidad reguladora de la selva amazónica sobre el clima regional y una mayor presión sobre los acuíferos andinos, dado que ante la reducción de la recarga podrían entrar en una fase de sobreexplotación deteriorando con esto su calidad y disponibilidad a futuro.</w:t>
      </w:r>
    </w:p>
    <w:p w14:paraId="79D39FE6" w14:textId="77777777" w:rsidR="004701F6" w:rsidRPr="00B450EB" w:rsidRDefault="004701F6" w:rsidP="004701F6">
      <w:pPr>
        <w:spacing w:after="0"/>
      </w:pPr>
      <w:r w:rsidRPr="00B450EB">
        <w:t xml:space="preserve"> </w:t>
      </w:r>
    </w:p>
    <w:p w14:paraId="46AA2D0C" w14:textId="49057E82" w:rsidR="004701F6" w:rsidRPr="00B450EB" w:rsidRDefault="004701F6" w:rsidP="004701F6">
      <w:pPr>
        <w:spacing w:after="0"/>
        <w:rPr>
          <w:rFonts w:cs="Arial"/>
        </w:rPr>
      </w:pPr>
      <w:r w:rsidRPr="00B450EB">
        <w:t>En síntesis, la degradación amazónica, tal como se presenta actualmente, no solo compromete la disponibilidad del recurso hídrico tanto superficial como subterráneo, sino también el equilibrio ecológico y la estabilidad social y económica del país; por lo tanto, su protección se configura como un eje estratégico para la sostenibilidad de la vida y adaptación a la crisis climática global.</w:t>
      </w:r>
    </w:p>
    <w:p w14:paraId="7185CFAB" w14:textId="77777777" w:rsidR="004701F6" w:rsidRPr="00B450EB" w:rsidRDefault="004701F6" w:rsidP="004D474F">
      <w:pPr>
        <w:rPr>
          <w:rFonts w:cs="Arial"/>
        </w:rPr>
      </w:pPr>
    </w:p>
    <w:p w14:paraId="08934191" w14:textId="2FCC826A" w:rsidR="00D90ACC" w:rsidRPr="00B450EB" w:rsidRDefault="00920767" w:rsidP="00FA1A0E">
      <w:pPr>
        <w:pStyle w:val="Ttulo2"/>
        <w:numPr>
          <w:ilvl w:val="1"/>
          <w:numId w:val="16"/>
        </w:numPr>
      </w:pPr>
      <w:bookmarkStart w:id="68" w:name="_Toc209722921"/>
      <w:r w:rsidRPr="00B450EB">
        <w:t>MEDIO BIÓTICO</w:t>
      </w:r>
      <w:bookmarkEnd w:id="68"/>
    </w:p>
    <w:p w14:paraId="5E66DD61" w14:textId="0D7E31B2" w:rsidR="008C5248" w:rsidRPr="00B450EB" w:rsidRDefault="00344A81" w:rsidP="001C1081">
      <w:pPr>
        <w:pStyle w:val="Ttulo3"/>
        <w:numPr>
          <w:ilvl w:val="2"/>
          <w:numId w:val="16"/>
        </w:numPr>
        <w:tabs>
          <w:tab w:val="left" w:pos="1677"/>
        </w:tabs>
      </w:pPr>
      <w:bookmarkStart w:id="69" w:name="_Toc209722922"/>
      <w:r w:rsidRPr="00B450EB">
        <w:rPr>
          <w:rFonts w:cs="Arial"/>
          <w:szCs w:val="24"/>
        </w:rPr>
        <w:t>Características biogeográficas</w:t>
      </w:r>
      <w:bookmarkEnd w:id="69"/>
    </w:p>
    <w:p w14:paraId="2D4480F8" w14:textId="492018B1" w:rsidR="008C5248" w:rsidRPr="00B450EB" w:rsidRDefault="008C5248" w:rsidP="008C5248">
      <w:r w:rsidRPr="00B450EB">
        <w:t>En Colombia, la región amazónica incluye afluentes de las cuencas del Amazonas y del Orinoco, abarcando principalmente hábitats de tierras bajas que representan el núcleo del Neotrópico (</w:t>
      </w:r>
      <w:proofErr w:type="spellStart"/>
      <w:r w:rsidRPr="00B450EB">
        <w:t>Leite</w:t>
      </w:r>
      <w:proofErr w:type="spellEnd"/>
      <w:r w:rsidRPr="00B450EB">
        <w:t xml:space="preserve"> &amp; Rogers, 2013). </w:t>
      </w:r>
      <w:r w:rsidR="006A421F" w:rsidRPr="00B450EB">
        <w:rPr>
          <w:rFonts w:cs="Arial"/>
        </w:rPr>
        <w:t>Gracias a su ubicación ecuatorial y a la conservación de altos niveles de integridad ecosistémica, la Amazonía colombiana es hogar de una de las mayores diversidades de géneros y especies terrestres a nivel global, además de proporcionar servicios ecosistémicos cruciales para las comunidades humanas, tanto locales como globales (</w:t>
      </w:r>
      <w:proofErr w:type="spellStart"/>
      <w:r w:rsidR="006A421F" w:rsidRPr="00B450EB">
        <w:rPr>
          <w:rFonts w:cs="Arial"/>
        </w:rPr>
        <w:t>Killeen</w:t>
      </w:r>
      <w:proofErr w:type="spellEnd"/>
      <w:r w:rsidR="006A421F" w:rsidRPr="00B450EB">
        <w:rPr>
          <w:rFonts w:cs="Arial"/>
        </w:rPr>
        <w:t>, 2007).</w:t>
      </w:r>
    </w:p>
    <w:p w14:paraId="38147D31" w14:textId="228FF634" w:rsidR="008C5248" w:rsidRPr="00B450EB" w:rsidRDefault="008C5248" w:rsidP="008C5248">
      <w:r w:rsidRPr="00B450EB">
        <w:lastRenderedPageBreak/>
        <w:t xml:space="preserve">De acuerdo con estudios paleobotánicos, el ecosistema de bosques en la región Amazónica, así como otras selvas húmedas tropicales comenzaron probablemente en el Cretácico Inferior (aproximadamente 150 M. A), alcanzando gran importancia desde el Cretácico Superior (aprox. 100 M.A.), ya que, si bien su diversidad florística tenía un menor grado de complejidad, con posteriores extinciones y remplazos sucesivos, se fue acrecentando los cambios en su composición. De otro lado, se ha sugerido que los ecosistemas de bosques inundables, como por ejemplo las asociaciones de palma </w:t>
      </w:r>
      <w:proofErr w:type="spellStart"/>
      <w:r w:rsidRPr="00B450EB">
        <w:t>canangucha</w:t>
      </w:r>
      <w:proofErr w:type="spellEnd"/>
      <w:r w:rsidRPr="00B450EB">
        <w:t xml:space="preserve"> (</w:t>
      </w:r>
      <w:proofErr w:type="spellStart"/>
      <w:r w:rsidRPr="00B450EB">
        <w:rPr>
          <w:i/>
          <w:iCs/>
        </w:rPr>
        <w:t>Mauritia</w:t>
      </w:r>
      <w:proofErr w:type="spellEnd"/>
      <w:r w:rsidRPr="00B450EB">
        <w:rPr>
          <w:i/>
          <w:iCs/>
        </w:rPr>
        <w:t xml:space="preserve"> flexuosa</w:t>
      </w:r>
      <w:r w:rsidRPr="00B450EB">
        <w:t>), se originaron desde el paleoceno (aprox. 65 - 55 M.A.), teniendo en cuenta la presencia de polen del género de esta especie, con una amplia dispersión en el periodo terciario en la región de la Amazonía</w:t>
      </w:r>
      <w:r w:rsidR="003A1DB4" w:rsidRPr="00B450EB">
        <w:t xml:space="preserve"> (Hernández-Camacho </w:t>
      </w:r>
      <w:r w:rsidR="003A1DB4" w:rsidRPr="00B450EB">
        <w:rPr>
          <w:i/>
        </w:rPr>
        <w:t>et al</w:t>
      </w:r>
      <w:r w:rsidR="003A1DB4" w:rsidRPr="00B450EB">
        <w:t xml:space="preserve">. </w:t>
      </w:r>
      <w:r w:rsidR="00436C75" w:rsidRPr="00B450EB">
        <w:t>1992a)</w:t>
      </w:r>
      <w:r w:rsidRPr="00B450EB">
        <w:t xml:space="preserve">. </w:t>
      </w:r>
    </w:p>
    <w:p w14:paraId="05138524" w14:textId="3CE77249" w:rsidR="008C5248" w:rsidRPr="00B450EB" w:rsidRDefault="008C5248" w:rsidP="008C5248">
      <w:r w:rsidRPr="00B450EB">
        <w:t>Es importante mencionar que si bien han existido bosques húmedos desde estos periodos de tiempo</w:t>
      </w:r>
      <w:r w:rsidR="000D701C" w:rsidRPr="00B450EB">
        <w:t xml:space="preserve"> cretácico</w:t>
      </w:r>
      <w:r w:rsidRPr="00B450EB">
        <w:t>, desde el Pleistoceno se han presentado cambios alternados entre cobertura boscosa y cobertura herbácea de tipo sabana en los últimos 65.000 años coincidentes con múltiples periodos de glaciación, con reducción de temperaturas y de las lluvias, e incremento en incendios que condujeron al cambio de bosques a sabanas en diferentes momentos (</w:t>
      </w:r>
      <w:proofErr w:type="spellStart"/>
      <w:r w:rsidRPr="00B450EB">
        <w:t>sabanización</w:t>
      </w:r>
      <w:proofErr w:type="spellEnd"/>
      <w:r w:rsidRPr="00B450EB">
        <w:t>), pero que a la vez pudo consolidar algunos refugios climáticos que se hipotetiza se consolidaron como centros de especiación y endemismo</w:t>
      </w:r>
      <w:r w:rsidR="00FC56A0" w:rsidRPr="00B450EB">
        <w:t>, explicando la enorme biodiversidad que compone este bioma</w:t>
      </w:r>
      <w:r w:rsidR="0078361E" w:rsidRPr="00B450EB">
        <w:t xml:space="preserve"> (Hernández-Camacho et al. 1992a)</w:t>
      </w:r>
      <w:r w:rsidR="00FC56A0" w:rsidRPr="00B450EB">
        <w:t>.</w:t>
      </w:r>
      <w:r w:rsidRPr="00B450EB">
        <w:t xml:space="preserve"> </w:t>
      </w:r>
    </w:p>
    <w:p w14:paraId="361766AD" w14:textId="6D1A67F0" w:rsidR="0021456C" w:rsidRPr="00B450EB" w:rsidRDefault="008C5248" w:rsidP="008C5248">
      <w:r w:rsidRPr="00B450EB">
        <w:t>Otra</w:t>
      </w:r>
      <w:r w:rsidR="00FC56A0" w:rsidRPr="00B450EB">
        <w:t>s</w:t>
      </w:r>
      <w:r w:rsidRPr="00B450EB">
        <w:t xml:space="preserve"> </w:t>
      </w:r>
      <w:r w:rsidR="00FC56A0" w:rsidRPr="00B450EB">
        <w:t>posibles causas a estos</w:t>
      </w:r>
      <w:r w:rsidRPr="00B450EB">
        <w:t xml:space="preserve"> patrones </w:t>
      </w:r>
      <w:r w:rsidR="00FC56A0" w:rsidRPr="00B450EB">
        <w:t xml:space="preserve">únicos </w:t>
      </w:r>
      <w:r w:rsidRPr="00B450EB">
        <w:t xml:space="preserve">de distribución de biodiversidad actual en la Amazonía </w:t>
      </w:r>
      <w:r w:rsidR="00FC56A0" w:rsidRPr="00B450EB">
        <w:t>son</w:t>
      </w:r>
      <w:r w:rsidRPr="00B450EB">
        <w:t xml:space="preserve"> la</w:t>
      </w:r>
      <w:r w:rsidR="00FC56A0" w:rsidRPr="00B450EB">
        <w:t>s</w:t>
      </w:r>
      <w:r w:rsidRPr="00B450EB">
        <w:t xml:space="preserve"> de especiaciones con patrones vicariantes claros producidos por la formación de grandes ríos que actuaron como barreras alopátricas</w:t>
      </w:r>
      <w:r w:rsidR="00FC56A0" w:rsidRPr="00B450EB">
        <w:t xml:space="preserve">, </w:t>
      </w:r>
      <w:proofErr w:type="gramStart"/>
      <w:r w:rsidR="00D71028" w:rsidRPr="00B450EB">
        <w:t>o</w:t>
      </w:r>
      <w:proofErr w:type="gramEnd"/>
      <w:r w:rsidR="00D71028" w:rsidRPr="00B450EB">
        <w:t xml:space="preserve"> en otras palabras, que</w:t>
      </w:r>
      <w:r w:rsidR="00FC56A0" w:rsidRPr="00B450EB">
        <w:t xml:space="preserve"> separaban las poblaciones cortando así su flujo genético</w:t>
      </w:r>
      <w:r w:rsidR="00D71028" w:rsidRPr="00B450EB">
        <w:t xml:space="preserve"> y propiciando </w:t>
      </w:r>
      <w:proofErr w:type="spellStart"/>
      <w:r w:rsidR="00D71028" w:rsidRPr="00B450EB">
        <w:t>especi</w:t>
      </w:r>
      <w:r w:rsidR="00D71028" w:rsidRPr="00B450EB">
        <w:rPr>
          <w:lang w:val="es-ES"/>
        </w:rPr>
        <w:t>ación</w:t>
      </w:r>
      <w:proofErr w:type="spellEnd"/>
      <w:r w:rsidRPr="00B450EB">
        <w:t xml:space="preserve">. </w:t>
      </w:r>
      <w:r w:rsidR="00FC56A0" w:rsidRPr="00B450EB">
        <w:t>Una</w:t>
      </w:r>
      <w:r w:rsidRPr="00B450EB">
        <w:t xml:space="preserve"> hipótesis alterna</w:t>
      </w:r>
      <w:r w:rsidR="00FC56A0" w:rsidRPr="00B450EB">
        <w:t xml:space="preserve"> a la anterior</w:t>
      </w:r>
      <w:r w:rsidRPr="00B450EB">
        <w:t xml:space="preserve"> señala que existió un gran ‘lago amazónico' (</w:t>
      </w:r>
      <w:proofErr w:type="spellStart"/>
      <w:r w:rsidRPr="00B450EB">
        <w:t>Frailey</w:t>
      </w:r>
      <w:proofErr w:type="spellEnd"/>
      <w:r w:rsidRPr="00B450EB">
        <w:t xml:space="preserve"> et al., 1988) durante el pleistoceno tardío y holoceno temprano en cuyos márgenes se habrían producido disyunciones entre fragmentos de bosque, que se habrían constituido en centros de especiación.</w:t>
      </w:r>
      <w:r w:rsidR="00E763EB" w:rsidRPr="00B450EB">
        <w:t xml:space="preserve"> </w:t>
      </w:r>
      <w:r w:rsidRPr="00B450EB">
        <w:t xml:space="preserve"> </w:t>
      </w:r>
    </w:p>
    <w:p w14:paraId="58E75C5E" w14:textId="7C410842" w:rsidR="008C5248" w:rsidRPr="00B450EB" w:rsidRDefault="008C5248" w:rsidP="008C5248">
      <w:r w:rsidRPr="00B450EB">
        <w:t xml:space="preserve">Además de estas explicaciones biogeográficas, se han propuesto </w:t>
      </w:r>
      <w:r w:rsidR="001D6983" w:rsidRPr="00B450EB">
        <w:t>otras</w:t>
      </w:r>
      <w:r w:rsidRPr="00B450EB">
        <w:t xml:space="preserve"> hipótesis ecológicas que contribuyen a entender la gran diversidad de la región, incluyendo la especiación por adaptación a los tipos de suelo; interacciones biológicas (planta-polinizador, antagonismo herbívora-plantas, entre otras); dispersión de semillas a grandes distancias</w:t>
      </w:r>
      <w:r w:rsidR="007203C0" w:rsidRPr="00B450EB">
        <w:t xml:space="preserve"> por factores como el viento</w:t>
      </w:r>
      <w:r w:rsidRPr="00B450EB">
        <w:t>; la conservación de nicho ecológico en un escenario de estabilidad climática a largo plazo;</w:t>
      </w:r>
      <w:r w:rsidR="007203C0" w:rsidRPr="00B450EB">
        <w:t xml:space="preserve"> y finalmente</w:t>
      </w:r>
      <w:r w:rsidRPr="00B450EB">
        <w:t xml:space="preserve"> una edad evolutiva muy antigua</w:t>
      </w:r>
      <w:r w:rsidR="007203C0" w:rsidRPr="00B450EB">
        <w:t xml:space="preserve"> que permitiría mayor tiempo para producir especies</w:t>
      </w:r>
      <w:r w:rsidR="009F401A" w:rsidRPr="00B450EB">
        <w:t xml:space="preserve"> (Antonelli y </w:t>
      </w:r>
      <w:proofErr w:type="spellStart"/>
      <w:r w:rsidR="009F401A" w:rsidRPr="00B450EB">
        <w:t>Sanmartin</w:t>
      </w:r>
      <w:proofErr w:type="spellEnd"/>
      <w:r w:rsidR="009F401A" w:rsidRPr="00B450EB">
        <w:t xml:space="preserve"> 2011)</w:t>
      </w:r>
      <w:r w:rsidRPr="00B450EB">
        <w:t xml:space="preserve">. </w:t>
      </w:r>
    </w:p>
    <w:p w14:paraId="59DC16AD" w14:textId="5A26F32D" w:rsidR="00EC6708" w:rsidRPr="00B450EB" w:rsidRDefault="008C5248" w:rsidP="008C5248">
      <w:r w:rsidRPr="00B450EB">
        <w:lastRenderedPageBreak/>
        <w:t xml:space="preserve">La muy alta riqueza de especies en este bioma se ha caracterizado también a través de la identificación de las áreas de endemismo para la Amazonía colombiana. De acuerdo con González-Orozco (2021) la región amazónica de Colombia hace parte de la provincia biogeográfica Neotropical de la Amazonía o </w:t>
      </w:r>
      <w:proofErr w:type="spellStart"/>
      <w:r w:rsidRPr="00B450EB">
        <w:t>Imerí</w:t>
      </w:r>
      <w:proofErr w:type="spellEnd"/>
      <w:r w:rsidRPr="00B450EB">
        <w:t xml:space="preserve">, con subdivisiones de acuerdo con sus características geográficas de la Guayana, Napo y Amazonía (Hernández-Camacho 1992 y </w:t>
      </w:r>
      <w:proofErr w:type="spellStart"/>
      <w:r w:rsidRPr="00B450EB">
        <w:t>Morrone</w:t>
      </w:r>
      <w:proofErr w:type="spellEnd"/>
      <w:r w:rsidRPr="00B450EB">
        <w:t xml:space="preserve"> 2017). Según la propuesta de este autor, la región biogeográfica de la Amazonía (</w:t>
      </w:r>
      <w:proofErr w:type="spellStart"/>
      <w:r w:rsidRPr="00B450EB">
        <w:t>Imerí</w:t>
      </w:r>
      <w:proofErr w:type="spellEnd"/>
      <w:r w:rsidRPr="00B450EB">
        <w:t xml:space="preserve">) en Colombia presenta nueve (9) áreas de alto endemismo que incluyen: (1) el Alto Putumayo, (2) la Bota Caucana, (3) La Macarena-Caguán, (4) el Bajo Caquetá, (5) el </w:t>
      </w:r>
      <w:proofErr w:type="spellStart"/>
      <w:r w:rsidRPr="00B450EB">
        <w:t>Chauanari</w:t>
      </w:r>
      <w:proofErr w:type="spellEnd"/>
      <w:r w:rsidRPr="00B450EB">
        <w:t xml:space="preserve">-Pure, (6) Chiribiquete-Apaporis, (7) </w:t>
      </w:r>
      <w:proofErr w:type="spellStart"/>
      <w:r w:rsidRPr="00B450EB">
        <w:t>Papunaua</w:t>
      </w:r>
      <w:proofErr w:type="spellEnd"/>
      <w:r w:rsidRPr="00B450EB">
        <w:t>, (8) Puerto Colombia e (9) Inírida.</w:t>
      </w:r>
    </w:p>
    <w:p w14:paraId="32FD769C" w14:textId="0730A27A" w:rsidR="008C5248" w:rsidRPr="00B450EB" w:rsidRDefault="008C5248" w:rsidP="008C5248">
      <w:pPr>
        <w:pStyle w:val="Descripcin"/>
        <w:rPr>
          <w:rFonts w:eastAsia="Arial" w:cs="Arial"/>
          <w:color w:val="auto"/>
        </w:rPr>
      </w:pPr>
      <w:bookmarkStart w:id="70" w:name="_Toc209462735"/>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47</w:t>
      </w:r>
      <w:r w:rsidRPr="00B450EB">
        <w:rPr>
          <w:color w:val="auto"/>
        </w:rPr>
        <w:fldChar w:fldCharType="end"/>
      </w:r>
      <w:r w:rsidRPr="00B450EB">
        <w:rPr>
          <w:color w:val="auto"/>
        </w:rPr>
        <w:t>.</w:t>
      </w:r>
      <w:r w:rsidRPr="00B450EB">
        <w:rPr>
          <w:rFonts w:eastAsia="Arial" w:cs="Arial"/>
          <w:color w:val="auto"/>
        </w:rPr>
        <w:t>Áreas de endemismo para la Amazonía colombiana</w:t>
      </w:r>
      <w:bookmarkEnd w:id="70"/>
    </w:p>
    <w:p w14:paraId="40BC17B0" w14:textId="77777777" w:rsidR="008C5248" w:rsidRPr="00B450EB" w:rsidRDefault="008C5248" w:rsidP="008C5248">
      <w:pPr>
        <w:spacing w:after="0"/>
        <w:jc w:val="center"/>
      </w:pPr>
      <w:r w:rsidRPr="00B450EB">
        <w:rPr>
          <w:noProof/>
        </w:rPr>
        <w:drawing>
          <wp:inline distT="0" distB="0" distL="0" distR="0" wp14:anchorId="3D23FA50" wp14:editId="21381180">
            <wp:extent cx="5612130" cy="4667250"/>
            <wp:effectExtent l="0" t="0" r="7620" b="0"/>
            <wp:docPr id="1128191262" name="Picture 1" descr="A map of different colored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191262" name="Picture 1" descr="A map of different colored areas&#10;&#10;Description automatically generated"/>
                    <pic:cNvPicPr/>
                  </pic:nvPicPr>
                  <pic:blipFill>
                    <a:blip r:embed="rId90" cstate="email">
                      <a:extLst>
                        <a:ext uri="{28A0092B-C50C-407E-A947-70E740481C1C}">
                          <a14:useLocalDpi xmlns:a14="http://schemas.microsoft.com/office/drawing/2010/main"/>
                        </a:ext>
                      </a:extLst>
                    </a:blip>
                    <a:stretch>
                      <a:fillRect/>
                    </a:stretch>
                  </pic:blipFill>
                  <pic:spPr>
                    <a:xfrm>
                      <a:off x="0" y="0"/>
                      <a:ext cx="5612130" cy="4667250"/>
                    </a:xfrm>
                    <a:prstGeom prst="rect">
                      <a:avLst/>
                    </a:prstGeom>
                  </pic:spPr>
                </pic:pic>
              </a:graphicData>
            </a:graphic>
          </wp:inline>
        </w:drawing>
      </w:r>
    </w:p>
    <w:p w14:paraId="0AE58CB0" w14:textId="5F7ECCB6" w:rsidR="008C5248" w:rsidRPr="00B450EB" w:rsidRDefault="008C5248" w:rsidP="008C5248">
      <w:pPr>
        <w:jc w:val="center"/>
        <w:rPr>
          <w:sz w:val="18"/>
          <w:szCs w:val="18"/>
        </w:rPr>
      </w:pPr>
      <w:r w:rsidRPr="00B450EB">
        <w:rPr>
          <w:sz w:val="18"/>
          <w:szCs w:val="18"/>
        </w:rPr>
        <w:t xml:space="preserve">Fuente: </w:t>
      </w:r>
      <w:r w:rsidR="00E077C9" w:rsidRPr="00B450EB">
        <w:rPr>
          <w:sz w:val="18"/>
          <w:szCs w:val="18"/>
        </w:rPr>
        <w:t xml:space="preserve">Adaptado de </w:t>
      </w:r>
      <w:proofErr w:type="spellStart"/>
      <w:r w:rsidR="00B82DB6" w:rsidRPr="00B450EB">
        <w:rPr>
          <w:sz w:val="18"/>
          <w:szCs w:val="18"/>
        </w:rPr>
        <w:t>Gonz</w:t>
      </w:r>
      <w:proofErr w:type="spellEnd"/>
      <w:r w:rsidR="00DE5E91" w:rsidRPr="00B450EB">
        <w:rPr>
          <w:sz w:val="18"/>
          <w:szCs w:val="18"/>
          <w:lang w:val="es-ES"/>
        </w:rPr>
        <w:t>á</w:t>
      </w:r>
      <w:proofErr w:type="spellStart"/>
      <w:r w:rsidR="00B82DB6" w:rsidRPr="00B450EB">
        <w:rPr>
          <w:sz w:val="18"/>
          <w:szCs w:val="18"/>
        </w:rPr>
        <w:t>le</w:t>
      </w:r>
      <w:r w:rsidR="00327785" w:rsidRPr="00B450EB">
        <w:rPr>
          <w:sz w:val="18"/>
          <w:szCs w:val="18"/>
        </w:rPr>
        <w:t>z</w:t>
      </w:r>
      <w:proofErr w:type="spellEnd"/>
      <w:r w:rsidR="00E077C9" w:rsidRPr="00B450EB">
        <w:rPr>
          <w:sz w:val="18"/>
          <w:szCs w:val="18"/>
        </w:rPr>
        <w:t>-Orozco (2021)</w:t>
      </w:r>
      <w:r w:rsidR="00290EF9" w:rsidRPr="00B450EB">
        <w:rPr>
          <w:sz w:val="18"/>
          <w:szCs w:val="18"/>
        </w:rPr>
        <w:t>.</w:t>
      </w:r>
    </w:p>
    <w:p w14:paraId="17A8D94B" w14:textId="77777777" w:rsidR="007D6BC8" w:rsidRPr="00B450EB" w:rsidRDefault="007D6BC8" w:rsidP="008C5248">
      <w:pPr>
        <w:jc w:val="center"/>
        <w:rPr>
          <w:sz w:val="18"/>
          <w:szCs w:val="18"/>
        </w:rPr>
      </w:pPr>
    </w:p>
    <w:p w14:paraId="79DCF58B" w14:textId="5CFF413B" w:rsidR="00D533F6" w:rsidRPr="00B450EB" w:rsidRDefault="007244DA" w:rsidP="001C1081">
      <w:pPr>
        <w:pStyle w:val="Ttulo3"/>
        <w:numPr>
          <w:ilvl w:val="2"/>
          <w:numId w:val="16"/>
        </w:numPr>
        <w:tabs>
          <w:tab w:val="left" w:pos="1677"/>
        </w:tabs>
        <w:rPr>
          <w:rFonts w:cs="Arial"/>
          <w:szCs w:val="24"/>
        </w:rPr>
      </w:pPr>
      <w:bookmarkStart w:id="71" w:name="_Toc209722923"/>
      <w:r w:rsidRPr="00B450EB">
        <w:rPr>
          <w:rFonts w:cs="Arial"/>
          <w:szCs w:val="24"/>
        </w:rPr>
        <w:lastRenderedPageBreak/>
        <w:t xml:space="preserve">Dinámica de transformación de </w:t>
      </w:r>
      <w:r w:rsidR="00D533F6" w:rsidRPr="00B450EB">
        <w:rPr>
          <w:rFonts w:cs="Arial"/>
          <w:szCs w:val="24"/>
        </w:rPr>
        <w:t>Coberturas</w:t>
      </w:r>
      <w:r w:rsidR="002E2253" w:rsidRPr="00B450EB">
        <w:rPr>
          <w:rFonts w:cs="Arial"/>
          <w:szCs w:val="24"/>
        </w:rPr>
        <w:t xml:space="preserve"> </w:t>
      </w:r>
      <w:r w:rsidR="00D533F6" w:rsidRPr="00B450EB">
        <w:rPr>
          <w:rFonts w:cs="Arial"/>
          <w:szCs w:val="24"/>
        </w:rPr>
        <w:t>de la Tierra</w:t>
      </w:r>
      <w:bookmarkEnd w:id="71"/>
    </w:p>
    <w:p w14:paraId="70A26547" w14:textId="6B45DEF4" w:rsidR="00963B5E" w:rsidRPr="00B450EB" w:rsidRDefault="00103E6E" w:rsidP="007D6BC8">
      <w:pPr>
        <w:rPr>
          <w:rFonts w:eastAsia="Times New Roman" w:cs="Arial"/>
          <w:kern w:val="0"/>
          <w:lang w:eastAsia="es-CO"/>
          <w14:ligatures w14:val="none"/>
        </w:rPr>
      </w:pPr>
      <w:r w:rsidRPr="00B450EB">
        <w:t xml:space="preserve">Las coberturas naturales se tomaron de las capas cartográficas de coberturas y usos de la tierra levantadas por el SINCHI por regiones a escala 1:100.000 para el año 2024, la cual se actualizo de acuerdo con leyenda nacional de coberturas de la tierra – Colombia desarrollada por la metodología CORINE </w:t>
      </w:r>
      <w:proofErr w:type="spellStart"/>
      <w:r w:rsidRPr="00B450EB">
        <w:t>Land</w:t>
      </w:r>
      <w:proofErr w:type="spellEnd"/>
      <w:r w:rsidRPr="00B450EB">
        <w:t xml:space="preserve"> </w:t>
      </w:r>
      <w:proofErr w:type="spellStart"/>
      <w:r w:rsidRPr="00B450EB">
        <w:t>Cover</w:t>
      </w:r>
      <w:proofErr w:type="spellEnd"/>
      <w:r w:rsidRPr="00B450EB">
        <w:t xml:space="preserve"> para Colombia (IDEAM, 2010), así mismo se utilizó la capa del Mapa Nacional de coberturas 1:100.000 CORINE </w:t>
      </w:r>
      <w:proofErr w:type="spellStart"/>
      <w:r w:rsidRPr="00B450EB">
        <w:t>Land</w:t>
      </w:r>
      <w:proofErr w:type="spellEnd"/>
      <w:r w:rsidRPr="00B450EB">
        <w:t xml:space="preserve"> </w:t>
      </w:r>
      <w:proofErr w:type="spellStart"/>
      <w:r w:rsidRPr="00B450EB">
        <w:t>Cover</w:t>
      </w:r>
      <w:proofErr w:type="spellEnd"/>
      <w:r w:rsidRPr="00B450EB">
        <w:t xml:space="preserve"> 2022 (</w:t>
      </w:r>
      <w:proofErr w:type="spellStart"/>
      <w:r w:rsidRPr="00B450EB">
        <w:t>Ideam</w:t>
      </w:r>
      <w:proofErr w:type="spellEnd"/>
      <w:r w:rsidRPr="00B450EB">
        <w:t>, 2025)</w:t>
      </w:r>
      <w:r w:rsidR="00996131" w:rsidRPr="00B450EB">
        <w:t xml:space="preserve"> en la</w:t>
      </w:r>
      <w:r w:rsidR="00996131" w:rsidRPr="00B450EB">
        <w:rPr>
          <w:rFonts w:eastAsia="Times New Roman" w:cs="Arial"/>
          <w:kern w:val="0"/>
          <w:lang w:eastAsia="es-CO"/>
          <w14:ligatures w14:val="none"/>
        </w:rPr>
        <w:t xml:space="preserve"> </w:t>
      </w:r>
      <w:r w:rsidR="00F638F3" w:rsidRPr="00B450EB">
        <w:rPr>
          <w:rFonts w:eastAsia="Times New Roman" w:cs="Arial"/>
          <w:kern w:val="0"/>
          <w:lang w:eastAsia="es-CO"/>
          <w14:ligatures w14:val="none"/>
        </w:rPr>
        <w:fldChar w:fldCharType="begin"/>
      </w:r>
      <w:r w:rsidR="00F638F3" w:rsidRPr="00B450EB">
        <w:rPr>
          <w:rFonts w:eastAsia="Times New Roman" w:cs="Arial"/>
          <w:kern w:val="0"/>
          <w:lang w:eastAsia="es-CO"/>
          <w14:ligatures w14:val="none"/>
        </w:rPr>
        <w:instrText xml:space="preserve"> REF _Ref208924481 \h  \* MERGEFORMAT </w:instrText>
      </w:r>
      <w:r w:rsidR="00F638F3" w:rsidRPr="00B450EB">
        <w:rPr>
          <w:rFonts w:eastAsia="Times New Roman" w:cs="Arial"/>
          <w:kern w:val="0"/>
          <w:lang w:eastAsia="es-CO"/>
          <w14:ligatures w14:val="none"/>
        </w:rPr>
      </w:r>
      <w:r w:rsidR="00F638F3" w:rsidRPr="00B450EB">
        <w:rPr>
          <w:rFonts w:eastAsia="Times New Roman" w:cs="Arial"/>
          <w:kern w:val="0"/>
          <w:lang w:eastAsia="es-CO"/>
          <w14:ligatures w14:val="none"/>
        </w:rPr>
        <w:fldChar w:fldCharType="separate"/>
      </w:r>
      <w:r w:rsidR="00010D09" w:rsidRPr="00B450EB">
        <w:t xml:space="preserve">Figura </w:t>
      </w:r>
      <w:r w:rsidR="00010D09" w:rsidRPr="00B450EB">
        <w:rPr>
          <w:noProof/>
        </w:rPr>
        <w:t>48</w:t>
      </w:r>
      <w:r w:rsidR="00F638F3" w:rsidRPr="00B450EB">
        <w:rPr>
          <w:rFonts w:eastAsia="Times New Roman" w:cs="Arial"/>
          <w:kern w:val="0"/>
          <w:lang w:eastAsia="es-CO"/>
          <w14:ligatures w14:val="none"/>
        </w:rPr>
        <w:fldChar w:fldCharType="end"/>
      </w:r>
      <w:r w:rsidR="00996131" w:rsidRPr="00B450EB">
        <w:rPr>
          <w:rFonts w:eastAsia="Times New Roman" w:cs="Arial"/>
          <w:kern w:val="0"/>
          <w:lang w:eastAsia="es-CO"/>
          <w14:ligatures w14:val="none"/>
        </w:rPr>
        <w:t xml:space="preserve"> se presenta el detalle de las coberturas identificadas en el </w:t>
      </w:r>
      <w:r w:rsidR="00086A74" w:rsidRPr="00B450EB">
        <w:t>Bioma Amazónico</w:t>
      </w:r>
      <w:r w:rsidR="00086A74" w:rsidRPr="00B450EB">
        <w:rPr>
          <w:rFonts w:eastAsia="Times New Roman" w:cs="Arial"/>
          <w:kern w:val="0"/>
          <w:lang w:eastAsia="es-CO"/>
          <w14:ligatures w14:val="none"/>
        </w:rPr>
        <w:t xml:space="preserve"> </w:t>
      </w:r>
      <w:r w:rsidR="00996131" w:rsidRPr="00B450EB">
        <w:rPr>
          <w:rFonts w:eastAsia="Times New Roman" w:cs="Arial"/>
          <w:kern w:val="0"/>
          <w:lang w:eastAsia="es-CO"/>
          <w14:ligatures w14:val="none"/>
        </w:rPr>
        <w:t>en un nivel especifico (2) en el año 2022 (</w:t>
      </w:r>
      <w:proofErr w:type="spellStart"/>
      <w:r w:rsidR="00996131" w:rsidRPr="00B450EB">
        <w:rPr>
          <w:rFonts w:eastAsia="Times New Roman" w:cs="Arial"/>
          <w:kern w:val="0"/>
          <w:lang w:eastAsia="es-CO"/>
          <w14:ligatures w14:val="none"/>
        </w:rPr>
        <w:t>Ideam</w:t>
      </w:r>
      <w:proofErr w:type="spellEnd"/>
      <w:r w:rsidR="00996131" w:rsidRPr="00B450EB">
        <w:rPr>
          <w:rFonts w:eastAsia="Times New Roman" w:cs="Arial"/>
          <w:kern w:val="0"/>
          <w:lang w:eastAsia="es-CO"/>
          <w14:ligatures w14:val="none"/>
        </w:rPr>
        <w:t>, 2025) y año 2024 (SINCHI, 2024</w:t>
      </w:r>
      <w:r w:rsidRPr="00B450EB">
        <w:rPr>
          <w:rFonts w:eastAsia="Times New Roman" w:cs="Arial"/>
          <w:kern w:val="0"/>
          <w:lang w:eastAsia="es-CO"/>
          <w14:ligatures w14:val="none"/>
        </w:rPr>
        <w:t>).</w:t>
      </w:r>
      <w:r w:rsidR="008C5248" w:rsidRPr="00B450EB">
        <w:rPr>
          <w:rFonts w:eastAsia="Times New Roman" w:cs="Arial"/>
          <w:kern w:val="0"/>
          <w:lang w:eastAsia="es-CO"/>
          <w14:ligatures w14:val="none"/>
        </w:rPr>
        <w:t xml:space="preserve"> </w:t>
      </w:r>
    </w:p>
    <w:p w14:paraId="680BD37A" w14:textId="58CAB69A" w:rsidR="00796703" w:rsidRPr="00B450EB" w:rsidRDefault="004D112B" w:rsidP="00377AD7">
      <w:pPr>
        <w:pStyle w:val="Descripcin"/>
        <w:rPr>
          <w:color w:val="auto"/>
        </w:rPr>
      </w:pPr>
      <w:bookmarkStart w:id="72" w:name="_Ref208499263"/>
      <w:bookmarkStart w:id="73" w:name="_Ref208924481"/>
      <w:bookmarkStart w:id="74" w:name="_Toc209462736"/>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48</w:t>
      </w:r>
      <w:r w:rsidRPr="00B450EB">
        <w:rPr>
          <w:color w:val="auto"/>
        </w:rPr>
        <w:fldChar w:fldCharType="end"/>
      </w:r>
      <w:bookmarkEnd w:id="72"/>
      <w:bookmarkEnd w:id="73"/>
      <w:r w:rsidR="008343AE" w:rsidRPr="00B450EB">
        <w:rPr>
          <w:color w:val="auto"/>
        </w:rPr>
        <w:t>. Coberturas de la tierra 2022 (I</w:t>
      </w:r>
      <w:r w:rsidR="00CE79E3" w:rsidRPr="00B450EB">
        <w:rPr>
          <w:color w:val="auto"/>
        </w:rPr>
        <w:t>DEAM</w:t>
      </w:r>
      <w:r w:rsidR="008343AE" w:rsidRPr="00B450EB">
        <w:rPr>
          <w:color w:val="auto"/>
        </w:rPr>
        <w:t>, 2025)</w:t>
      </w:r>
      <w:r w:rsidR="00811FF8" w:rsidRPr="00B450EB">
        <w:rPr>
          <w:color w:val="auto"/>
        </w:rPr>
        <w:t>; 2024 (SINCHI, 2024)</w:t>
      </w:r>
      <w:r w:rsidR="008343AE" w:rsidRPr="00B450EB">
        <w:rPr>
          <w:color w:val="auto"/>
        </w:rPr>
        <w:t xml:space="preserve"> en</w:t>
      </w:r>
      <w:r w:rsidR="00811FF8" w:rsidRPr="00B450EB">
        <w:rPr>
          <w:color w:val="auto"/>
        </w:rPr>
        <w:t xml:space="preserve"> el bioma </w:t>
      </w:r>
      <w:r w:rsidR="00C0011D" w:rsidRPr="00B450EB">
        <w:rPr>
          <w:color w:val="auto"/>
        </w:rPr>
        <w:t>amazónico</w:t>
      </w:r>
      <w:r w:rsidR="00811FF8" w:rsidRPr="00B450EB">
        <w:rPr>
          <w:color w:val="auto"/>
        </w:rPr>
        <w:t>.</w:t>
      </w:r>
      <w:bookmarkEnd w:id="74"/>
    </w:p>
    <w:tbl>
      <w:tblPr>
        <w:tblStyle w:val="Tablaconcuadrcul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0"/>
        <w:gridCol w:w="4478"/>
      </w:tblGrid>
      <w:tr w:rsidR="008343AE" w:rsidRPr="00B450EB" w14:paraId="2EEDDA79" w14:textId="77777777" w:rsidTr="00B875EB">
        <w:trPr>
          <w:trHeight w:val="3707"/>
        </w:trPr>
        <w:tc>
          <w:tcPr>
            <w:tcW w:w="4414" w:type="dxa"/>
          </w:tcPr>
          <w:p w14:paraId="6E0627BC" w14:textId="1AF60876" w:rsidR="00BD2FA4" w:rsidRPr="00B450EB" w:rsidRDefault="000B64D9" w:rsidP="008343AE">
            <w:pPr>
              <w:jc w:val="center"/>
              <w:rPr>
                <w:sz w:val="18"/>
                <w:szCs w:val="18"/>
                <w:lang w:eastAsia="es-CO"/>
              </w:rPr>
            </w:pPr>
            <w:r w:rsidRPr="00B450EB">
              <w:rPr>
                <w:b/>
                <w:noProof/>
                <w:sz w:val="18"/>
                <w:szCs w:val="18"/>
                <w:lang w:eastAsia="es-CO"/>
              </w:rPr>
              <w:drawing>
                <wp:anchor distT="0" distB="0" distL="114300" distR="114300" simplePos="0" relativeHeight="251658242" behindDoc="0" locked="0" layoutInCell="1" allowOverlap="1" wp14:anchorId="547816EB" wp14:editId="6BAF5B50">
                  <wp:simplePos x="0" y="0"/>
                  <wp:positionH relativeFrom="column">
                    <wp:posOffset>-21590</wp:posOffset>
                  </wp:positionH>
                  <wp:positionV relativeFrom="paragraph">
                    <wp:posOffset>25400</wp:posOffset>
                  </wp:positionV>
                  <wp:extent cx="2647950" cy="2045335"/>
                  <wp:effectExtent l="0" t="0" r="0" b="0"/>
                  <wp:wrapSquare wrapText="bothSides"/>
                  <wp:docPr id="357344656" name="Imagen 1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344656" name="Imagen 13" descr="Mapa&#10;&#10;El contenido generado por IA puede ser incorrecto."/>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647950" cy="2045335"/>
                          </a:xfrm>
                          <a:prstGeom prst="rect">
                            <a:avLst/>
                          </a:prstGeom>
                        </pic:spPr>
                      </pic:pic>
                    </a:graphicData>
                  </a:graphic>
                  <wp14:sizeRelH relativeFrom="margin">
                    <wp14:pctWidth>0</wp14:pctWidth>
                  </wp14:sizeRelH>
                  <wp14:sizeRelV relativeFrom="margin">
                    <wp14:pctHeight>0</wp14:pctHeight>
                  </wp14:sizeRelV>
                </wp:anchor>
              </w:drawing>
            </w:r>
          </w:p>
          <w:p w14:paraId="36D0B1DF" w14:textId="7107530A" w:rsidR="008343AE" w:rsidRPr="00B450EB" w:rsidRDefault="008343AE" w:rsidP="008343AE">
            <w:pPr>
              <w:jc w:val="center"/>
              <w:rPr>
                <w:sz w:val="18"/>
                <w:szCs w:val="18"/>
              </w:rPr>
            </w:pPr>
            <w:r w:rsidRPr="00B450EB">
              <w:rPr>
                <w:b/>
                <w:sz w:val="18"/>
                <w:szCs w:val="18"/>
              </w:rPr>
              <w:t>Fuente:</w:t>
            </w:r>
            <w:r w:rsidRPr="00B450EB">
              <w:rPr>
                <w:sz w:val="18"/>
                <w:szCs w:val="18"/>
              </w:rPr>
              <w:t xml:space="preserve"> </w:t>
            </w:r>
            <w:r w:rsidR="007D37B9" w:rsidRPr="00B450EB">
              <w:rPr>
                <w:sz w:val="18"/>
                <w:szCs w:val="18"/>
              </w:rPr>
              <w:t>Elaboración propia</w:t>
            </w:r>
            <w:r w:rsidRPr="00B450EB">
              <w:rPr>
                <w:sz w:val="18"/>
                <w:szCs w:val="18"/>
              </w:rPr>
              <w:t xml:space="preserve"> a partir de </w:t>
            </w:r>
            <w:r w:rsidR="00806C1E" w:rsidRPr="00B450EB">
              <w:rPr>
                <w:sz w:val="18"/>
                <w:szCs w:val="18"/>
              </w:rPr>
              <w:t>IDEAM</w:t>
            </w:r>
            <w:r w:rsidRPr="00B450EB">
              <w:rPr>
                <w:sz w:val="18"/>
                <w:szCs w:val="18"/>
              </w:rPr>
              <w:t>, 2025</w:t>
            </w:r>
            <w:r w:rsidR="00884162" w:rsidRPr="00B450EB">
              <w:rPr>
                <w:sz w:val="18"/>
                <w:szCs w:val="18"/>
              </w:rPr>
              <w:t>.</w:t>
            </w:r>
          </w:p>
          <w:p w14:paraId="28A52BDB" w14:textId="35E93E55" w:rsidR="008343AE" w:rsidRPr="00B450EB" w:rsidRDefault="008343AE" w:rsidP="00103E6E"/>
        </w:tc>
        <w:tc>
          <w:tcPr>
            <w:tcW w:w="4414" w:type="dxa"/>
          </w:tcPr>
          <w:p w14:paraId="6390392A" w14:textId="24D7D530" w:rsidR="008343AE" w:rsidRPr="00B450EB" w:rsidRDefault="008343AE" w:rsidP="008343AE">
            <w:pPr>
              <w:jc w:val="center"/>
              <w:rPr>
                <w:sz w:val="18"/>
                <w:szCs w:val="18"/>
              </w:rPr>
            </w:pPr>
            <w:r w:rsidRPr="00B450EB">
              <w:rPr>
                <w:noProof/>
              </w:rPr>
              <w:drawing>
                <wp:anchor distT="0" distB="0" distL="114300" distR="114300" simplePos="0" relativeHeight="251658241" behindDoc="0" locked="0" layoutInCell="1" allowOverlap="1" wp14:anchorId="5153AD80" wp14:editId="3F15302E">
                  <wp:simplePos x="0" y="0"/>
                  <wp:positionH relativeFrom="column">
                    <wp:posOffset>-19050</wp:posOffset>
                  </wp:positionH>
                  <wp:positionV relativeFrom="paragraph">
                    <wp:posOffset>69850</wp:posOffset>
                  </wp:positionV>
                  <wp:extent cx="2730500" cy="2110740"/>
                  <wp:effectExtent l="0" t="0" r="0" b="3810"/>
                  <wp:wrapSquare wrapText="bothSides"/>
                  <wp:docPr id="10097836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783668"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730500" cy="2110740"/>
                          </a:xfrm>
                          <a:prstGeom prst="rect">
                            <a:avLst/>
                          </a:prstGeom>
                        </pic:spPr>
                      </pic:pic>
                    </a:graphicData>
                  </a:graphic>
                  <wp14:sizeRelH relativeFrom="margin">
                    <wp14:pctWidth>0</wp14:pctWidth>
                  </wp14:sizeRelH>
                  <wp14:sizeRelV relativeFrom="margin">
                    <wp14:pctHeight>0</wp14:pctHeight>
                  </wp14:sizeRelV>
                </wp:anchor>
              </w:drawing>
            </w:r>
            <w:r w:rsidRPr="00B450EB">
              <w:rPr>
                <w:b/>
                <w:bCs/>
                <w:sz w:val="18"/>
                <w:szCs w:val="18"/>
              </w:rPr>
              <w:t>Fuente:</w:t>
            </w:r>
            <w:r w:rsidRPr="00B450EB">
              <w:rPr>
                <w:sz w:val="18"/>
                <w:szCs w:val="18"/>
              </w:rPr>
              <w:t xml:space="preserve"> </w:t>
            </w:r>
            <w:r w:rsidR="007D37B9" w:rsidRPr="00B450EB">
              <w:rPr>
                <w:sz w:val="18"/>
                <w:szCs w:val="18"/>
              </w:rPr>
              <w:t>Elaboración propia</w:t>
            </w:r>
            <w:r w:rsidRPr="00B450EB">
              <w:rPr>
                <w:sz w:val="18"/>
                <w:szCs w:val="18"/>
              </w:rPr>
              <w:t xml:space="preserve"> a partir de SINCHI, 2024</w:t>
            </w:r>
            <w:r w:rsidR="00884162" w:rsidRPr="00B450EB">
              <w:rPr>
                <w:sz w:val="18"/>
                <w:szCs w:val="18"/>
              </w:rPr>
              <w:t>.</w:t>
            </w:r>
          </w:p>
        </w:tc>
      </w:tr>
    </w:tbl>
    <w:p w14:paraId="30F10450" w14:textId="77777777" w:rsidR="00796703" w:rsidRPr="00B450EB" w:rsidRDefault="00796703" w:rsidP="00377AD7">
      <w:pPr>
        <w:pStyle w:val="Descripcin"/>
        <w:rPr>
          <w:color w:val="auto"/>
        </w:rPr>
      </w:pPr>
    </w:p>
    <w:p w14:paraId="7D35E446" w14:textId="38EDE88E" w:rsidR="00C0011D" w:rsidRPr="00B450EB" w:rsidRDefault="00796703" w:rsidP="00377AD7">
      <w:pPr>
        <w:pStyle w:val="Descripcin"/>
        <w:rPr>
          <w:color w:val="auto"/>
        </w:rPr>
      </w:pPr>
      <w:bookmarkStart w:id="75" w:name="_Toc209722989"/>
      <w:r w:rsidRPr="00B450EB">
        <w:rPr>
          <w:color w:val="auto"/>
        </w:rPr>
        <w:t xml:space="preserve">Tabla </w:t>
      </w:r>
      <w:r w:rsidRPr="00B450EB">
        <w:rPr>
          <w:color w:val="auto"/>
        </w:rPr>
        <w:fldChar w:fldCharType="begin"/>
      </w:r>
      <w:r w:rsidRPr="00B450EB">
        <w:rPr>
          <w:b/>
          <w:i w:val="0"/>
          <w:color w:val="auto"/>
        </w:rPr>
        <w:instrText xml:space="preserve"> SEQ Tabla \* ARABIC </w:instrText>
      </w:r>
      <w:r w:rsidRPr="00B450EB">
        <w:rPr>
          <w:color w:val="auto"/>
        </w:rPr>
        <w:fldChar w:fldCharType="separate"/>
      </w:r>
      <w:r w:rsidR="009765C2" w:rsidRPr="00B450EB">
        <w:rPr>
          <w:b/>
          <w:i w:val="0"/>
          <w:noProof/>
          <w:color w:val="auto"/>
        </w:rPr>
        <w:t>6</w:t>
      </w:r>
      <w:r w:rsidRPr="00B450EB">
        <w:rPr>
          <w:color w:val="auto"/>
        </w:rPr>
        <w:fldChar w:fldCharType="end"/>
      </w:r>
      <w:r w:rsidRPr="00B450EB">
        <w:rPr>
          <w:color w:val="auto"/>
        </w:rPr>
        <w:t xml:space="preserve">. Comparación de las Coberturas de la tierra </w:t>
      </w:r>
      <w:r w:rsidR="00C0011D" w:rsidRPr="00B450EB">
        <w:rPr>
          <w:color w:val="auto"/>
        </w:rPr>
        <w:t>2022 (I</w:t>
      </w:r>
      <w:r w:rsidR="009C6414" w:rsidRPr="00B450EB">
        <w:rPr>
          <w:color w:val="auto"/>
        </w:rPr>
        <w:t>DEAM</w:t>
      </w:r>
      <w:r w:rsidR="00C0011D" w:rsidRPr="00B450EB">
        <w:rPr>
          <w:color w:val="auto"/>
        </w:rPr>
        <w:t>, 2025); 2024 (SINCHI, 2024) en el bioma amazónico.</w:t>
      </w:r>
      <w:bookmarkEnd w:id="75"/>
    </w:p>
    <w:tbl>
      <w:tblPr>
        <w:tblW w:w="8697" w:type="dxa"/>
        <w:tblCellMar>
          <w:left w:w="0" w:type="dxa"/>
          <w:right w:w="0" w:type="dxa"/>
        </w:tblCellMar>
        <w:tblLook w:val="04A0" w:firstRow="1" w:lastRow="0" w:firstColumn="1" w:lastColumn="0" w:noHBand="0" w:noVBand="1"/>
      </w:tblPr>
      <w:tblGrid>
        <w:gridCol w:w="2173"/>
        <w:gridCol w:w="760"/>
        <w:gridCol w:w="1454"/>
        <w:gridCol w:w="1428"/>
        <w:gridCol w:w="1454"/>
        <w:gridCol w:w="1428"/>
      </w:tblGrid>
      <w:tr w:rsidR="00EF1937" w:rsidRPr="00B450EB" w14:paraId="785B0913" w14:textId="77777777" w:rsidTr="00B322DC">
        <w:trPr>
          <w:trHeight w:val="234"/>
          <w:tblHeader/>
        </w:trPr>
        <w:tc>
          <w:tcPr>
            <w:tcW w:w="2188"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482FBC30" w14:textId="77777777" w:rsidR="00103E6E" w:rsidRPr="00B450EB" w:rsidRDefault="00103E6E" w:rsidP="00B322DC">
            <w:pPr>
              <w:spacing w:after="0" w:line="240" w:lineRule="auto"/>
              <w:jc w:val="center"/>
              <w:rPr>
                <w:sz w:val="18"/>
                <w:szCs w:val="18"/>
              </w:rPr>
            </w:pPr>
            <w:r w:rsidRPr="00B450EB">
              <w:rPr>
                <w:b/>
                <w:sz w:val="18"/>
                <w:szCs w:val="18"/>
              </w:rPr>
              <w:t>Nombre cobertura</w:t>
            </w:r>
          </w:p>
        </w:tc>
        <w:tc>
          <w:tcPr>
            <w:tcW w:w="713"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6A534AFC" w14:textId="77777777" w:rsidR="00103E6E" w:rsidRPr="00B450EB" w:rsidRDefault="00103E6E" w:rsidP="00B322DC">
            <w:pPr>
              <w:spacing w:after="0" w:line="240" w:lineRule="auto"/>
              <w:jc w:val="center"/>
              <w:rPr>
                <w:sz w:val="18"/>
                <w:szCs w:val="18"/>
              </w:rPr>
            </w:pPr>
            <w:r w:rsidRPr="00B450EB">
              <w:rPr>
                <w:b/>
                <w:sz w:val="18"/>
                <w:szCs w:val="18"/>
              </w:rPr>
              <w:t>Código nivel 2</w:t>
            </w:r>
          </w:p>
        </w:tc>
        <w:tc>
          <w:tcPr>
            <w:tcW w:w="1455"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1870A5AD" w14:textId="03D35332" w:rsidR="00103E6E" w:rsidRPr="00B450EB" w:rsidRDefault="00103E6E" w:rsidP="00B322DC">
            <w:pPr>
              <w:spacing w:after="0" w:line="240" w:lineRule="auto"/>
              <w:jc w:val="center"/>
              <w:rPr>
                <w:sz w:val="18"/>
                <w:szCs w:val="18"/>
              </w:rPr>
            </w:pPr>
            <w:r w:rsidRPr="00B450EB">
              <w:rPr>
                <w:b/>
                <w:sz w:val="18"/>
                <w:szCs w:val="18"/>
              </w:rPr>
              <w:t xml:space="preserve">Área (ha) </w:t>
            </w:r>
            <w:r w:rsidR="00B06711" w:rsidRPr="00B450EB">
              <w:rPr>
                <w:b/>
                <w:sz w:val="18"/>
                <w:szCs w:val="18"/>
              </w:rPr>
              <w:t>IDEAM</w:t>
            </w:r>
            <w:r w:rsidRPr="00B450EB">
              <w:rPr>
                <w:b/>
                <w:sz w:val="18"/>
                <w:szCs w:val="18"/>
              </w:rPr>
              <w:t xml:space="preserve"> (2022)</w:t>
            </w:r>
          </w:p>
        </w:tc>
        <w:tc>
          <w:tcPr>
            <w:tcW w:w="1443"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3490A88D" w14:textId="77777777" w:rsidR="00103E6E" w:rsidRPr="00B450EB" w:rsidRDefault="00103E6E" w:rsidP="00B322DC">
            <w:pPr>
              <w:spacing w:after="0" w:line="240" w:lineRule="auto"/>
              <w:jc w:val="center"/>
              <w:rPr>
                <w:sz w:val="18"/>
                <w:szCs w:val="18"/>
              </w:rPr>
            </w:pPr>
            <w:r w:rsidRPr="00B450EB">
              <w:rPr>
                <w:b/>
                <w:sz w:val="18"/>
                <w:szCs w:val="18"/>
              </w:rPr>
              <w:t>Área (%)</w:t>
            </w:r>
          </w:p>
        </w:tc>
        <w:tc>
          <w:tcPr>
            <w:tcW w:w="1455"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2C9F06BC" w14:textId="61594FBE" w:rsidR="00103E6E" w:rsidRPr="00B450EB" w:rsidRDefault="00103E6E" w:rsidP="00B322DC">
            <w:pPr>
              <w:spacing w:after="0" w:line="240" w:lineRule="auto"/>
              <w:jc w:val="center"/>
              <w:rPr>
                <w:sz w:val="18"/>
                <w:szCs w:val="18"/>
              </w:rPr>
            </w:pPr>
            <w:r w:rsidRPr="00B450EB">
              <w:rPr>
                <w:b/>
                <w:sz w:val="18"/>
                <w:szCs w:val="18"/>
              </w:rPr>
              <w:t xml:space="preserve">Área (ha) </w:t>
            </w:r>
            <w:r w:rsidR="00B06711" w:rsidRPr="00B450EB">
              <w:rPr>
                <w:b/>
                <w:sz w:val="18"/>
                <w:szCs w:val="18"/>
              </w:rPr>
              <w:t>SINCHI</w:t>
            </w:r>
            <w:r w:rsidRPr="00B450EB">
              <w:rPr>
                <w:b/>
                <w:sz w:val="18"/>
                <w:szCs w:val="18"/>
              </w:rPr>
              <w:t xml:space="preserve"> (2024)</w:t>
            </w:r>
          </w:p>
        </w:tc>
        <w:tc>
          <w:tcPr>
            <w:tcW w:w="1443"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6BD22825" w14:textId="77777777" w:rsidR="00103E6E" w:rsidRPr="00B450EB" w:rsidRDefault="00103E6E" w:rsidP="00B322DC">
            <w:pPr>
              <w:spacing w:after="0" w:line="240" w:lineRule="auto"/>
              <w:jc w:val="center"/>
              <w:rPr>
                <w:sz w:val="18"/>
                <w:szCs w:val="18"/>
              </w:rPr>
            </w:pPr>
            <w:r w:rsidRPr="00B450EB">
              <w:rPr>
                <w:b/>
                <w:sz w:val="18"/>
                <w:szCs w:val="18"/>
              </w:rPr>
              <w:t>Área (%)</w:t>
            </w:r>
          </w:p>
        </w:tc>
      </w:tr>
      <w:tr w:rsidR="00EF1937" w:rsidRPr="00B450EB" w14:paraId="7AE639FF"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FEFF75"/>
            <w:tcMar>
              <w:top w:w="15" w:type="dxa"/>
              <w:left w:w="70" w:type="dxa"/>
              <w:bottom w:w="0" w:type="dxa"/>
              <w:right w:w="70" w:type="dxa"/>
            </w:tcMar>
            <w:vAlign w:val="center"/>
            <w:hideMark/>
          </w:tcPr>
          <w:p w14:paraId="577824FF" w14:textId="77777777" w:rsidR="00103E6E" w:rsidRPr="00B450EB" w:rsidRDefault="00103E6E" w:rsidP="00B322DC">
            <w:pPr>
              <w:spacing w:after="0" w:line="240" w:lineRule="auto"/>
              <w:jc w:val="center"/>
              <w:rPr>
                <w:sz w:val="18"/>
                <w:szCs w:val="18"/>
              </w:rPr>
            </w:pPr>
            <w:r w:rsidRPr="00B450EB">
              <w:rPr>
                <w:sz w:val="18"/>
                <w:szCs w:val="18"/>
              </w:rPr>
              <w:t>Zonas urbanizadas</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73037A9" w14:textId="77777777" w:rsidR="00103E6E" w:rsidRPr="00B450EB" w:rsidRDefault="00103E6E" w:rsidP="00B322DC">
            <w:pPr>
              <w:spacing w:after="0" w:line="240" w:lineRule="auto"/>
              <w:jc w:val="center"/>
              <w:rPr>
                <w:sz w:val="18"/>
                <w:szCs w:val="18"/>
              </w:rPr>
            </w:pPr>
            <w:r w:rsidRPr="00B450EB">
              <w:rPr>
                <w:sz w:val="18"/>
                <w:szCs w:val="18"/>
              </w:rPr>
              <w:t>1.1</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4FD40CE2" w14:textId="0FC87178" w:rsidR="00103E6E" w:rsidRPr="00B450EB" w:rsidRDefault="00103E6E" w:rsidP="00B322DC">
            <w:pPr>
              <w:spacing w:after="0" w:line="240" w:lineRule="auto"/>
              <w:jc w:val="center"/>
              <w:rPr>
                <w:sz w:val="18"/>
                <w:szCs w:val="18"/>
              </w:rPr>
            </w:pPr>
            <w:r w:rsidRPr="00B450EB">
              <w:rPr>
                <w:sz w:val="18"/>
                <w:szCs w:val="18"/>
              </w:rPr>
              <w:t>12</w:t>
            </w:r>
            <w:r w:rsidR="00A71B28" w:rsidRPr="00B450EB">
              <w:rPr>
                <w:sz w:val="18"/>
                <w:szCs w:val="18"/>
              </w:rPr>
              <w:t>.</w:t>
            </w:r>
            <w:r w:rsidRPr="00B450EB">
              <w:rPr>
                <w:sz w:val="18"/>
                <w:szCs w:val="18"/>
              </w:rPr>
              <w:t>924</w:t>
            </w:r>
            <w:r w:rsidR="006F1491" w:rsidRPr="00B450EB">
              <w:rPr>
                <w:sz w:val="18"/>
                <w:szCs w:val="18"/>
              </w:rPr>
              <w:t>,</w:t>
            </w:r>
            <w:r w:rsidRPr="00B450EB">
              <w:rPr>
                <w:sz w:val="18"/>
                <w:szCs w:val="18"/>
              </w:rPr>
              <w:t>208</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4FF26AD" w14:textId="07FB0D3D"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03</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B7B75E5" w14:textId="3D2F5D96" w:rsidR="00103E6E" w:rsidRPr="00B450EB" w:rsidRDefault="00103E6E" w:rsidP="00B322DC">
            <w:pPr>
              <w:spacing w:after="0" w:line="240" w:lineRule="auto"/>
              <w:jc w:val="center"/>
              <w:rPr>
                <w:sz w:val="18"/>
                <w:szCs w:val="18"/>
              </w:rPr>
            </w:pPr>
            <w:r w:rsidRPr="00B450EB">
              <w:rPr>
                <w:sz w:val="18"/>
                <w:szCs w:val="18"/>
              </w:rPr>
              <w:t>14</w:t>
            </w:r>
            <w:r w:rsidR="00A71B28" w:rsidRPr="00B450EB">
              <w:rPr>
                <w:sz w:val="18"/>
                <w:szCs w:val="18"/>
              </w:rPr>
              <w:t>.</w:t>
            </w:r>
            <w:r w:rsidRPr="00B450EB">
              <w:rPr>
                <w:sz w:val="18"/>
                <w:szCs w:val="18"/>
              </w:rPr>
              <w:t>864.837</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6A668AC3" w14:textId="24614432"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03</w:t>
            </w:r>
          </w:p>
        </w:tc>
      </w:tr>
      <w:tr w:rsidR="00EF1937" w:rsidRPr="00B450EB" w14:paraId="4E74417F"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FEA97D"/>
            <w:tcMar>
              <w:top w:w="15" w:type="dxa"/>
              <w:left w:w="70" w:type="dxa"/>
              <w:bottom w:w="0" w:type="dxa"/>
              <w:right w:w="70" w:type="dxa"/>
            </w:tcMar>
            <w:vAlign w:val="center"/>
            <w:hideMark/>
          </w:tcPr>
          <w:p w14:paraId="6D4BDFB3" w14:textId="77777777" w:rsidR="00103E6E" w:rsidRPr="00B450EB" w:rsidRDefault="00103E6E" w:rsidP="00B322DC">
            <w:pPr>
              <w:spacing w:after="0" w:line="240" w:lineRule="auto"/>
              <w:jc w:val="center"/>
              <w:rPr>
                <w:sz w:val="18"/>
                <w:szCs w:val="18"/>
              </w:rPr>
            </w:pPr>
            <w:r w:rsidRPr="00B450EB">
              <w:rPr>
                <w:sz w:val="18"/>
                <w:szCs w:val="18"/>
              </w:rPr>
              <w:t>Zonas industriales o comerciales y redes de comunicación│</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2D1BDCE" w14:textId="77777777" w:rsidR="00103E6E" w:rsidRPr="00B450EB" w:rsidRDefault="00103E6E" w:rsidP="00B322DC">
            <w:pPr>
              <w:spacing w:after="0" w:line="240" w:lineRule="auto"/>
              <w:jc w:val="center"/>
              <w:rPr>
                <w:sz w:val="18"/>
                <w:szCs w:val="18"/>
              </w:rPr>
            </w:pPr>
            <w:r w:rsidRPr="00B450EB">
              <w:rPr>
                <w:sz w:val="18"/>
                <w:szCs w:val="18"/>
              </w:rPr>
              <w:t>1.2</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36B5158" w14:textId="32D74662" w:rsidR="00103E6E" w:rsidRPr="00B450EB" w:rsidRDefault="00103E6E" w:rsidP="00B322DC">
            <w:pPr>
              <w:spacing w:after="0" w:line="240" w:lineRule="auto"/>
              <w:jc w:val="center"/>
              <w:rPr>
                <w:sz w:val="18"/>
                <w:szCs w:val="18"/>
              </w:rPr>
            </w:pPr>
            <w:r w:rsidRPr="00B450EB">
              <w:rPr>
                <w:sz w:val="18"/>
                <w:szCs w:val="18"/>
              </w:rPr>
              <w:t>1</w:t>
            </w:r>
            <w:r w:rsidR="00A71B28" w:rsidRPr="00B450EB">
              <w:rPr>
                <w:sz w:val="18"/>
                <w:szCs w:val="18"/>
              </w:rPr>
              <w:t>.</w:t>
            </w:r>
            <w:r w:rsidRPr="00B450EB">
              <w:rPr>
                <w:sz w:val="18"/>
                <w:szCs w:val="18"/>
              </w:rPr>
              <w:t>883</w:t>
            </w:r>
            <w:r w:rsidR="006F1491" w:rsidRPr="00B450EB">
              <w:rPr>
                <w:sz w:val="18"/>
                <w:szCs w:val="18"/>
              </w:rPr>
              <w:t>,</w:t>
            </w:r>
            <w:r w:rsidRPr="00B450EB">
              <w:rPr>
                <w:sz w:val="18"/>
                <w:szCs w:val="18"/>
              </w:rPr>
              <w:t>293</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71C57B7" w14:textId="7E643E04"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00</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55DCA8B" w14:textId="775110F1" w:rsidR="00103E6E" w:rsidRPr="00B450EB" w:rsidRDefault="00103E6E" w:rsidP="00B322DC">
            <w:pPr>
              <w:spacing w:after="0" w:line="240" w:lineRule="auto"/>
              <w:jc w:val="center"/>
              <w:rPr>
                <w:sz w:val="18"/>
                <w:szCs w:val="18"/>
              </w:rPr>
            </w:pPr>
            <w:r w:rsidRPr="00B450EB">
              <w:rPr>
                <w:sz w:val="18"/>
                <w:szCs w:val="18"/>
              </w:rPr>
              <w:t>1</w:t>
            </w:r>
            <w:r w:rsidR="00A71B28" w:rsidRPr="00B450EB">
              <w:rPr>
                <w:sz w:val="18"/>
                <w:szCs w:val="18"/>
              </w:rPr>
              <w:t>.</w:t>
            </w:r>
            <w:r w:rsidRPr="00B450EB">
              <w:rPr>
                <w:sz w:val="18"/>
                <w:szCs w:val="18"/>
              </w:rPr>
              <w:t>923</w:t>
            </w:r>
            <w:r w:rsidR="00A71B28" w:rsidRPr="00B450EB">
              <w:rPr>
                <w:sz w:val="18"/>
                <w:szCs w:val="18"/>
              </w:rPr>
              <w:t>,</w:t>
            </w:r>
            <w:r w:rsidRPr="00B450EB">
              <w:rPr>
                <w:sz w:val="18"/>
                <w:szCs w:val="18"/>
              </w:rPr>
              <w:t>016</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6A2FFFC6" w14:textId="0D159D86"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00</w:t>
            </w:r>
          </w:p>
        </w:tc>
      </w:tr>
      <w:tr w:rsidR="00EF1937" w:rsidRPr="00B450EB" w14:paraId="53C13930"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FF7E80"/>
            <w:tcMar>
              <w:top w:w="15" w:type="dxa"/>
              <w:left w:w="70" w:type="dxa"/>
              <w:bottom w:w="0" w:type="dxa"/>
              <w:right w:w="70" w:type="dxa"/>
            </w:tcMar>
            <w:vAlign w:val="center"/>
            <w:hideMark/>
          </w:tcPr>
          <w:p w14:paraId="5D01748F" w14:textId="77777777" w:rsidR="00103E6E" w:rsidRPr="00B450EB" w:rsidRDefault="00103E6E" w:rsidP="00B322DC">
            <w:pPr>
              <w:spacing w:after="0" w:line="240" w:lineRule="auto"/>
              <w:jc w:val="center"/>
              <w:rPr>
                <w:sz w:val="18"/>
                <w:szCs w:val="18"/>
              </w:rPr>
            </w:pPr>
            <w:r w:rsidRPr="00B450EB">
              <w:rPr>
                <w:sz w:val="18"/>
                <w:szCs w:val="18"/>
              </w:rPr>
              <w:t>Zonas de extracción minera y escombreras</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BE18079" w14:textId="77777777" w:rsidR="00103E6E" w:rsidRPr="00B450EB" w:rsidRDefault="00103E6E" w:rsidP="00B322DC">
            <w:pPr>
              <w:spacing w:after="0" w:line="240" w:lineRule="auto"/>
              <w:jc w:val="center"/>
              <w:rPr>
                <w:sz w:val="18"/>
                <w:szCs w:val="18"/>
              </w:rPr>
            </w:pPr>
            <w:r w:rsidRPr="00B450EB">
              <w:rPr>
                <w:sz w:val="18"/>
                <w:szCs w:val="18"/>
              </w:rPr>
              <w:t>1.3</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50A525D" w14:textId="3461C73A" w:rsidR="00103E6E" w:rsidRPr="00B450EB" w:rsidRDefault="00103E6E" w:rsidP="00B322DC">
            <w:pPr>
              <w:spacing w:after="0" w:line="240" w:lineRule="auto"/>
              <w:jc w:val="center"/>
              <w:rPr>
                <w:sz w:val="18"/>
                <w:szCs w:val="18"/>
              </w:rPr>
            </w:pPr>
            <w:r w:rsidRPr="00B450EB">
              <w:rPr>
                <w:sz w:val="18"/>
                <w:szCs w:val="18"/>
              </w:rPr>
              <w:t>464</w:t>
            </w:r>
            <w:r w:rsidR="006F1491" w:rsidRPr="00B450EB">
              <w:rPr>
                <w:sz w:val="18"/>
                <w:szCs w:val="18"/>
              </w:rPr>
              <w:t>,</w:t>
            </w:r>
            <w:r w:rsidRPr="00B450EB">
              <w:rPr>
                <w:sz w:val="18"/>
                <w:szCs w:val="18"/>
              </w:rPr>
              <w:t>852</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68067A4C" w14:textId="71BABF0F"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00</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B8E9E82" w14:textId="0689D917" w:rsidR="00103E6E" w:rsidRPr="00B450EB" w:rsidRDefault="00103E6E" w:rsidP="00B322DC">
            <w:pPr>
              <w:spacing w:after="0" w:line="240" w:lineRule="auto"/>
              <w:jc w:val="center"/>
              <w:rPr>
                <w:sz w:val="18"/>
                <w:szCs w:val="18"/>
              </w:rPr>
            </w:pPr>
            <w:r w:rsidRPr="00B450EB">
              <w:rPr>
                <w:sz w:val="18"/>
                <w:szCs w:val="18"/>
              </w:rPr>
              <w:t>221</w:t>
            </w:r>
            <w:r w:rsidR="00A71B28" w:rsidRPr="00B450EB">
              <w:rPr>
                <w:sz w:val="18"/>
                <w:szCs w:val="18"/>
              </w:rPr>
              <w:t>,</w:t>
            </w:r>
            <w:r w:rsidRPr="00B450EB">
              <w:rPr>
                <w:sz w:val="18"/>
                <w:szCs w:val="18"/>
              </w:rPr>
              <w:t>682</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0963C675" w14:textId="32E88D8E"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00</w:t>
            </w:r>
          </w:p>
        </w:tc>
      </w:tr>
      <w:tr w:rsidR="00EF1937" w:rsidRPr="00B450EB" w14:paraId="0AAB3364"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FFEBB0"/>
            <w:tcMar>
              <w:top w:w="15" w:type="dxa"/>
              <w:left w:w="70" w:type="dxa"/>
              <w:bottom w:w="0" w:type="dxa"/>
              <w:right w:w="70" w:type="dxa"/>
            </w:tcMar>
            <w:vAlign w:val="center"/>
            <w:hideMark/>
          </w:tcPr>
          <w:p w14:paraId="36BBD99A" w14:textId="77777777" w:rsidR="00103E6E" w:rsidRPr="00B450EB" w:rsidRDefault="00103E6E" w:rsidP="00B322DC">
            <w:pPr>
              <w:spacing w:after="0" w:line="240" w:lineRule="auto"/>
              <w:jc w:val="center"/>
              <w:rPr>
                <w:sz w:val="18"/>
                <w:szCs w:val="18"/>
              </w:rPr>
            </w:pPr>
            <w:r w:rsidRPr="00B450EB">
              <w:rPr>
                <w:sz w:val="18"/>
                <w:szCs w:val="18"/>
              </w:rPr>
              <w:t>Cultivos transitorios</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F97C9C0" w14:textId="77777777" w:rsidR="00103E6E" w:rsidRPr="00B450EB" w:rsidRDefault="00103E6E" w:rsidP="00B322DC">
            <w:pPr>
              <w:spacing w:after="0" w:line="240" w:lineRule="auto"/>
              <w:jc w:val="center"/>
              <w:rPr>
                <w:sz w:val="18"/>
                <w:szCs w:val="18"/>
              </w:rPr>
            </w:pPr>
            <w:r w:rsidRPr="00B450EB">
              <w:rPr>
                <w:sz w:val="18"/>
                <w:szCs w:val="18"/>
              </w:rPr>
              <w:t>2.1</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D23BEAA" w14:textId="1D25C75D" w:rsidR="00103E6E" w:rsidRPr="00B450EB" w:rsidRDefault="00103E6E" w:rsidP="00B322DC">
            <w:pPr>
              <w:spacing w:after="0" w:line="240" w:lineRule="auto"/>
              <w:jc w:val="center"/>
              <w:rPr>
                <w:sz w:val="18"/>
                <w:szCs w:val="18"/>
              </w:rPr>
            </w:pPr>
            <w:r w:rsidRPr="00B450EB">
              <w:rPr>
                <w:sz w:val="18"/>
                <w:szCs w:val="18"/>
              </w:rPr>
              <w:t>7</w:t>
            </w:r>
            <w:r w:rsidR="00A71B28" w:rsidRPr="00B450EB">
              <w:rPr>
                <w:sz w:val="18"/>
                <w:szCs w:val="18"/>
              </w:rPr>
              <w:t>.</w:t>
            </w:r>
            <w:r w:rsidRPr="00B450EB">
              <w:rPr>
                <w:sz w:val="18"/>
                <w:szCs w:val="18"/>
              </w:rPr>
              <w:t>258</w:t>
            </w:r>
            <w:r w:rsidR="00A71B28" w:rsidRPr="00B450EB">
              <w:rPr>
                <w:sz w:val="18"/>
                <w:szCs w:val="18"/>
              </w:rPr>
              <w:t>,</w:t>
            </w:r>
            <w:r w:rsidRPr="00B450EB">
              <w:rPr>
                <w:sz w:val="18"/>
                <w:szCs w:val="18"/>
              </w:rPr>
              <w:t>635</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F565986" w14:textId="1E2EF762"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02</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6EB53461" w14:textId="18DBA797" w:rsidR="00103E6E" w:rsidRPr="00B450EB" w:rsidRDefault="00103E6E" w:rsidP="00B322DC">
            <w:pPr>
              <w:spacing w:after="0" w:line="240" w:lineRule="auto"/>
              <w:jc w:val="center"/>
              <w:rPr>
                <w:sz w:val="18"/>
                <w:szCs w:val="18"/>
              </w:rPr>
            </w:pPr>
            <w:r w:rsidRPr="00B450EB">
              <w:rPr>
                <w:sz w:val="18"/>
                <w:szCs w:val="18"/>
              </w:rPr>
              <w:t>11</w:t>
            </w:r>
            <w:r w:rsidR="00A71B28" w:rsidRPr="00B450EB">
              <w:rPr>
                <w:sz w:val="18"/>
                <w:szCs w:val="18"/>
              </w:rPr>
              <w:t>.</w:t>
            </w:r>
            <w:r w:rsidRPr="00B450EB">
              <w:rPr>
                <w:sz w:val="18"/>
                <w:szCs w:val="18"/>
              </w:rPr>
              <w:t>446</w:t>
            </w:r>
            <w:r w:rsidR="00A71B28" w:rsidRPr="00B450EB">
              <w:rPr>
                <w:sz w:val="18"/>
                <w:szCs w:val="18"/>
              </w:rPr>
              <w:t>,</w:t>
            </w:r>
            <w:r w:rsidRPr="00B450EB">
              <w:rPr>
                <w:sz w:val="18"/>
                <w:szCs w:val="18"/>
              </w:rPr>
              <w:t>674</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8A7711D" w14:textId="630A79EA"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02</w:t>
            </w:r>
          </w:p>
        </w:tc>
      </w:tr>
      <w:tr w:rsidR="00EF1937" w:rsidRPr="00B450EB" w14:paraId="3A7828BC"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FFD382"/>
            <w:tcMar>
              <w:top w:w="15" w:type="dxa"/>
              <w:left w:w="70" w:type="dxa"/>
              <w:bottom w:w="0" w:type="dxa"/>
              <w:right w:w="70" w:type="dxa"/>
            </w:tcMar>
            <w:vAlign w:val="center"/>
            <w:hideMark/>
          </w:tcPr>
          <w:p w14:paraId="64DF2C3D" w14:textId="77777777" w:rsidR="00103E6E" w:rsidRPr="00B450EB" w:rsidRDefault="00103E6E" w:rsidP="00B322DC">
            <w:pPr>
              <w:spacing w:after="0" w:line="240" w:lineRule="auto"/>
              <w:jc w:val="center"/>
              <w:rPr>
                <w:sz w:val="18"/>
                <w:szCs w:val="18"/>
              </w:rPr>
            </w:pPr>
            <w:r w:rsidRPr="00B450EB">
              <w:rPr>
                <w:sz w:val="18"/>
                <w:szCs w:val="18"/>
              </w:rPr>
              <w:t>Cultivos permanentes</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60B100BE" w14:textId="77777777" w:rsidR="00103E6E" w:rsidRPr="00B450EB" w:rsidRDefault="00103E6E" w:rsidP="00B322DC">
            <w:pPr>
              <w:spacing w:after="0" w:line="240" w:lineRule="auto"/>
              <w:jc w:val="center"/>
              <w:rPr>
                <w:sz w:val="18"/>
                <w:szCs w:val="18"/>
              </w:rPr>
            </w:pPr>
            <w:r w:rsidRPr="00B450EB">
              <w:rPr>
                <w:sz w:val="18"/>
                <w:szCs w:val="18"/>
              </w:rPr>
              <w:t>2.2</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01765809" w14:textId="2B50268F" w:rsidR="00103E6E" w:rsidRPr="00B450EB" w:rsidRDefault="00103E6E" w:rsidP="00B322DC">
            <w:pPr>
              <w:spacing w:after="0" w:line="240" w:lineRule="auto"/>
              <w:jc w:val="center"/>
              <w:rPr>
                <w:sz w:val="18"/>
                <w:szCs w:val="18"/>
              </w:rPr>
            </w:pPr>
            <w:r w:rsidRPr="00B450EB">
              <w:rPr>
                <w:sz w:val="18"/>
                <w:szCs w:val="18"/>
              </w:rPr>
              <w:t>5</w:t>
            </w:r>
            <w:r w:rsidR="00A71B28" w:rsidRPr="00B450EB">
              <w:rPr>
                <w:sz w:val="18"/>
                <w:szCs w:val="18"/>
              </w:rPr>
              <w:t>.</w:t>
            </w:r>
            <w:r w:rsidRPr="00B450EB">
              <w:rPr>
                <w:sz w:val="18"/>
                <w:szCs w:val="18"/>
              </w:rPr>
              <w:t>908</w:t>
            </w:r>
            <w:r w:rsidR="00A71B28" w:rsidRPr="00B450EB">
              <w:rPr>
                <w:sz w:val="18"/>
                <w:szCs w:val="18"/>
              </w:rPr>
              <w:t>,</w:t>
            </w:r>
            <w:r w:rsidRPr="00B450EB">
              <w:rPr>
                <w:sz w:val="18"/>
                <w:szCs w:val="18"/>
              </w:rPr>
              <w:t>400</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41C1109" w14:textId="2F70BA19"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01</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3C64FDA" w14:textId="7EEE5D1D" w:rsidR="00103E6E" w:rsidRPr="00B450EB" w:rsidRDefault="00103E6E" w:rsidP="00B322DC">
            <w:pPr>
              <w:spacing w:after="0" w:line="240" w:lineRule="auto"/>
              <w:jc w:val="center"/>
              <w:rPr>
                <w:sz w:val="18"/>
                <w:szCs w:val="18"/>
              </w:rPr>
            </w:pPr>
            <w:r w:rsidRPr="00B450EB">
              <w:rPr>
                <w:sz w:val="18"/>
                <w:szCs w:val="18"/>
              </w:rPr>
              <w:t>6</w:t>
            </w:r>
            <w:r w:rsidR="00A71B28" w:rsidRPr="00B450EB">
              <w:rPr>
                <w:sz w:val="18"/>
                <w:szCs w:val="18"/>
              </w:rPr>
              <w:t>.</w:t>
            </w:r>
            <w:r w:rsidRPr="00B450EB">
              <w:rPr>
                <w:sz w:val="18"/>
                <w:szCs w:val="18"/>
              </w:rPr>
              <w:t>914</w:t>
            </w:r>
            <w:r w:rsidR="00A71B28" w:rsidRPr="00B450EB">
              <w:rPr>
                <w:sz w:val="18"/>
                <w:szCs w:val="18"/>
              </w:rPr>
              <w:t>,</w:t>
            </w:r>
            <w:r w:rsidRPr="00B450EB">
              <w:rPr>
                <w:sz w:val="18"/>
                <w:szCs w:val="18"/>
              </w:rPr>
              <w:t>282</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9F22B68" w14:textId="60E496B7"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01</w:t>
            </w:r>
          </w:p>
        </w:tc>
      </w:tr>
      <w:tr w:rsidR="00EF1937" w:rsidRPr="00B450EB" w14:paraId="2A18F913"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FFFFBF"/>
            <w:tcMar>
              <w:top w:w="15" w:type="dxa"/>
              <w:left w:w="70" w:type="dxa"/>
              <w:bottom w:w="0" w:type="dxa"/>
              <w:right w:w="70" w:type="dxa"/>
            </w:tcMar>
            <w:vAlign w:val="center"/>
            <w:hideMark/>
          </w:tcPr>
          <w:p w14:paraId="2EBF7E54" w14:textId="77777777" w:rsidR="00103E6E" w:rsidRPr="00B450EB" w:rsidRDefault="00103E6E" w:rsidP="00B322DC">
            <w:pPr>
              <w:spacing w:after="0" w:line="240" w:lineRule="auto"/>
              <w:jc w:val="center"/>
              <w:rPr>
                <w:sz w:val="18"/>
                <w:szCs w:val="18"/>
              </w:rPr>
            </w:pPr>
            <w:r w:rsidRPr="00B450EB">
              <w:rPr>
                <w:sz w:val="18"/>
                <w:szCs w:val="18"/>
              </w:rPr>
              <w:t>Pastos</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035E21AE" w14:textId="77777777" w:rsidR="00103E6E" w:rsidRPr="00B450EB" w:rsidRDefault="00103E6E" w:rsidP="00B322DC">
            <w:pPr>
              <w:spacing w:after="0" w:line="240" w:lineRule="auto"/>
              <w:jc w:val="center"/>
              <w:rPr>
                <w:sz w:val="18"/>
                <w:szCs w:val="18"/>
              </w:rPr>
            </w:pPr>
            <w:r w:rsidRPr="00B450EB">
              <w:rPr>
                <w:sz w:val="18"/>
                <w:szCs w:val="18"/>
              </w:rPr>
              <w:t>2.3</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4D3EB66D" w14:textId="14897F0B" w:rsidR="00103E6E" w:rsidRPr="00B450EB" w:rsidRDefault="00103E6E" w:rsidP="00B322DC">
            <w:pPr>
              <w:spacing w:after="0" w:line="240" w:lineRule="auto"/>
              <w:jc w:val="center"/>
              <w:rPr>
                <w:sz w:val="18"/>
                <w:szCs w:val="18"/>
              </w:rPr>
            </w:pPr>
            <w:r w:rsidRPr="00B450EB">
              <w:rPr>
                <w:sz w:val="18"/>
                <w:szCs w:val="18"/>
              </w:rPr>
              <w:t>3</w:t>
            </w:r>
            <w:r w:rsidR="00A71B28" w:rsidRPr="00B450EB">
              <w:rPr>
                <w:sz w:val="18"/>
                <w:szCs w:val="18"/>
              </w:rPr>
              <w:t>.</w:t>
            </w:r>
            <w:r w:rsidRPr="00B450EB">
              <w:rPr>
                <w:sz w:val="18"/>
                <w:szCs w:val="18"/>
              </w:rPr>
              <w:t>020,433</w:t>
            </w:r>
            <w:r w:rsidR="00A71B28" w:rsidRPr="00B450EB">
              <w:rPr>
                <w:sz w:val="18"/>
                <w:szCs w:val="18"/>
              </w:rPr>
              <w:t>,</w:t>
            </w:r>
            <w:r w:rsidRPr="00B450EB">
              <w:rPr>
                <w:sz w:val="18"/>
                <w:szCs w:val="18"/>
              </w:rPr>
              <w:t>624</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79E93F7F" w14:textId="25CC4F36" w:rsidR="00103E6E" w:rsidRPr="00B450EB" w:rsidRDefault="00103E6E" w:rsidP="00B322DC">
            <w:pPr>
              <w:spacing w:after="0" w:line="240" w:lineRule="auto"/>
              <w:jc w:val="center"/>
              <w:rPr>
                <w:sz w:val="18"/>
                <w:szCs w:val="18"/>
              </w:rPr>
            </w:pPr>
            <w:r w:rsidRPr="00B450EB">
              <w:rPr>
                <w:sz w:val="18"/>
                <w:szCs w:val="18"/>
              </w:rPr>
              <w:t>6</w:t>
            </w:r>
            <w:r w:rsidR="006F1491" w:rsidRPr="00B450EB">
              <w:rPr>
                <w:sz w:val="18"/>
                <w:szCs w:val="18"/>
              </w:rPr>
              <w:t>,</w:t>
            </w:r>
            <w:r w:rsidRPr="00B450EB">
              <w:rPr>
                <w:sz w:val="18"/>
                <w:szCs w:val="18"/>
              </w:rPr>
              <w:t>77</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0435EB6B" w14:textId="0A6D2060" w:rsidR="00103E6E" w:rsidRPr="00B450EB" w:rsidRDefault="00103E6E" w:rsidP="00B322DC">
            <w:pPr>
              <w:spacing w:after="0" w:line="240" w:lineRule="auto"/>
              <w:jc w:val="center"/>
              <w:rPr>
                <w:sz w:val="18"/>
                <w:szCs w:val="18"/>
              </w:rPr>
            </w:pPr>
            <w:r w:rsidRPr="00B450EB">
              <w:rPr>
                <w:sz w:val="18"/>
                <w:szCs w:val="18"/>
              </w:rPr>
              <w:t>3</w:t>
            </w:r>
            <w:r w:rsidR="00A71B28" w:rsidRPr="00B450EB">
              <w:rPr>
                <w:sz w:val="18"/>
                <w:szCs w:val="18"/>
              </w:rPr>
              <w:t>.</w:t>
            </w:r>
            <w:r w:rsidRPr="00B450EB">
              <w:rPr>
                <w:sz w:val="18"/>
                <w:szCs w:val="18"/>
              </w:rPr>
              <w:t>281,418</w:t>
            </w:r>
            <w:r w:rsidR="00A71B28" w:rsidRPr="00B450EB">
              <w:rPr>
                <w:sz w:val="18"/>
                <w:szCs w:val="18"/>
              </w:rPr>
              <w:t>,</w:t>
            </w:r>
            <w:r w:rsidRPr="00B450EB">
              <w:rPr>
                <w:sz w:val="18"/>
                <w:szCs w:val="18"/>
              </w:rPr>
              <w:t>451</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23951A26" w14:textId="33DD6962" w:rsidR="00103E6E" w:rsidRPr="00B450EB" w:rsidRDefault="00103E6E" w:rsidP="00B322DC">
            <w:pPr>
              <w:spacing w:after="0" w:line="240" w:lineRule="auto"/>
              <w:jc w:val="center"/>
              <w:rPr>
                <w:sz w:val="18"/>
                <w:szCs w:val="18"/>
              </w:rPr>
            </w:pPr>
            <w:r w:rsidRPr="00B450EB">
              <w:rPr>
                <w:sz w:val="18"/>
                <w:szCs w:val="18"/>
              </w:rPr>
              <w:t>6</w:t>
            </w:r>
            <w:r w:rsidR="006F1491" w:rsidRPr="00B450EB">
              <w:rPr>
                <w:sz w:val="18"/>
                <w:szCs w:val="18"/>
              </w:rPr>
              <w:t>,</w:t>
            </w:r>
            <w:r w:rsidRPr="00B450EB">
              <w:rPr>
                <w:sz w:val="18"/>
                <w:szCs w:val="18"/>
              </w:rPr>
              <w:t>77</w:t>
            </w:r>
          </w:p>
        </w:tc>
      </w:tr>
      <w:tr w:rsidR="00EF1937" w:rsidRPr="00B450EB" w14:paraId="61099280"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A87001"/>
            <w:tcMar>
              <w:top w:w="15" w:type="dxa"/>
              <w:left w:w="70" w:type="dxa"/>
              <w:bottom w:w="0" w:type="dxa"/>
              <w:right w:w="70" w:type="dxa"/>
            </w:tcMar>
            <w:vAlign w:val="center"/>
            <w:hideMark/>
          </w:tcPr>
          <w:p w14:paraId="1B181C81" w14:textId="77777777" w:rsidR="00103E6E" w:rsidRPr="00B450EB" w:rsidRDefault="00103E6E" w:rsidP="00B322DC">
            <w:pPr>
              <w:spacing w:after="0" w:line="240" w:lineRule="auto"/>
              <w:jc w:val="center"/>
              <w:rPr>
                <w:sz w:val="18"/>
                <w:szCs w:val="18"/>
              </w:rPr>
            </w:pPr>
            <w:r w:rsidRPr="00B450EB">
              <w:rPr>
                <w:sz w:val="18"/>
                <w:szCs w:val="18"/>
              </w:rPr>
              <w:t>Áreas agrícolas heterogéneas</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070A4919" w14:textId="77777777" w:rsidR="00103E6E" w:rsidRPr="00B450EB" w:rsidRDefault="00103E6E" w:rsidP="00B322DC">
            <w:pPr>
              <w:spacing w:after="0" w:line="240" w:lineRule="auto"/>
              <w:jc w:val="center"/>
              <w:rPr>
                <w:sz w:val="18"/>
                <w:szCs w:val="18"/>
              </w:rPr>
            </w:pPr>
            <w:r w:rsidRPr="00B450EB">
              <w:rPr>
                <w:sz w:val="18"/>
                <w:szCs w:val="18"/>
              </w:rPr>
              <w:t>2.4</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0A2FB75" w14:textId="730C8D98" w:rsidR="00103E6E" w:rsidRPr="00B450EB" w:rsidRDefault="00103E6E" w:rsidP="00B322DC">
            <w:pPr>
              <w:spacing w:after="0" w:line="240" w:lineRule="auto"/>
              <w:jc w:val="center"/>
              <w:rPr>
                <w:sz w:val="18"/>
                <w:szCs w:val="18"/>
              </w:rPr>
            </w:pPr>
            <w:r w:rsidRPr="00B450EB">
              <w:rPr>
                <w:sz w:val="18"/>
                <w:szCs w:val="18"/>
              </w:rPr>
              <w:t>1</w:t>
            </w:r>
            <w:r w:rsidR="00A71B28" w:rsidRPr="00B450EB">
              <w:rPr>
                <w:sz w:val="18"/>
                <w:szCs w:val="18"/>
              </w:rPr>
              <w:t>.</w:t>
            </w:r>
            <w:r w:rsidRPr="00B450EB">
              <w:rPr>
                <w:sz w:val="18"/>
                <w:szCs w:val="18"/>
              </w:rPr>
              <w:t>470,446</w:t>
            </w:r>
            <w:r w:rsidR="00A71B28" w:rsidRPr="00B450EB">
              <w:rPr>
                <w:sz w:val="18"/>
                <w:szCs w:val="18"/>
              </w:rPr>
              <w:t>,</w:t>
            </w:r>
            <w:r w:rsidRPr="00B450EB">
              <w:rPr>
                <w:sz w:val="18"/>
                <w:szCs w:val="18"/>
              </w:rPr>
              <w:t>128</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779573E5" w14:textId="7D6BC5A7" w:rsidR="00103E6E" w:rsidRPr="00B450EB" w:rsidRDefault="00103E6E" w:rsidP="00B322DC">
            <w:pPr>
              <w:spacing w:after="0" w:line="240" w:lineRule="auto"/>
              <w:jc w:val="center"/>
              <w:rPr>
                <w:sz w:val="18"/>
                <w:szCs w:val="18"/>
              </w:rPr>
            </w:pPr>
            <w:r w:rsidRPr="00B450EB">
              <w:rPr>
                <w:sz w:val="18"/>
                <w:szCs w:val="18"/>
              </w:rPr>
              <w:t>3</w:t>
            </w:r>
            <w:r w:rsidR="006F1491" w:rsidRPr="00B450EB">
              <w:rPr>
                <w:sz w:val="18"/>
                <w:szCs w:val="18"/>
              </w:rPr>
              <w:t>,</w:t>
            </w:r>
            <w:r w:rsidRPr="00B450EB">
              <w:rPr>
                <w:sz w:val="18"/>
                <w:szCs w:val="18"/>
              </w:rPr>
              <w:t>25</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B8C0177" w14:textId="1B4C77CF" w:rsidR="00103E6E" w:rsidRPr="00B450EB" w:rsidRDefault="00103E6E" w:rsidP="00B322DC">
            <w:pPr>
              <w:spacing w:after="0" w:line="240" w:lineRule="auto"/>
              <w:jc w:val="center"/>
              <w:rPr>
                <w:sz w:val="18"/>
                <w:szCs w:val="18"/>
              </w:rPr>
            </w:pPr>
            <w:r w:rsidRPr="00B450EB">
              <w:rPr>
                <w:sz w:val="18"/>
                <w:szCs w:val="18"/>
              </w:rPr>
              <w:t>1</w:t>
            </w:r>
            <w:r w:rsidR="00A71B28" w:rsidRPr="00B450EB">
              <w:rPr>
                <w:sz w:val="18"/>
                <w:szCs w:val="18"/>
              </w:rPr>
              <w:t>.</w:t>
            </w:r>
            <w:r w:rsidRPr="00B450EB">
              <w:rPr>
                <w:sz w:val="18"/>
                <w:szCs w:val="18"/>
              </w:rPr>
              <w:t>574,218</w:t>
            </w:r>
            <w:r w:rsidR="00A71B28" w:rsidRPr="00B450EB">
              <w:rPr>
                <w:sz w:val="18"/>
                <w:szCs w:val="18"/>
              </w:rPr>
              <w:t>,</w:t>
            </w:r>
            <w:r w:rsidRPr="00B450EB">
              <w:rPr>
                <w:sz w:val="18"/>
                <w:szCs w:val="18"/>
              </w:rPr>
              <w:t>093</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05211404" w14:textId="1077DABC" w:rsidR="00103E6E" w:rsidRPr="00B450EB" w:rsidRDefault="00103E6E" w:rsidP="00B322DC">
            <w:pPr>
              <w:spacing w:after="0" w:line="240" w:lineRule="auto"/>
              <w:jc w:val="center"/>
              <w:rPr>
                <w:sz w:val="18"/>
                <w:szCs w:val="18"/>
              </w:rPr>
            </w:pPr>
            <w:r w:rsidRPr="00B450EB">
              <w:rPr>
                <w:sz w:val="18"/>
                <w:szCs w:val="18"/>
              </w:rPr>
              <w:t>3</w:t>
            </w:r>
            <w:r w:rsidR="006F1491" w:rsidRPr="00B450EB">
              <w:rPr>
                <w:sz w:val="18"/>
                <w:szCs w:val="18"/>
              </w:rPr>
              <w:t>,</w:t>
            </w:r>
            <w:r w:rsidRPr="00B450EB">
              <w:rPr>
                <w:sz w:val="18"/>
                <w:szCs w:val="18"/>
              </w:rPr>
              <w:t>25</w:t>
            </w:r>
          </w:p>
        </w:tc>
      </w:tr>
      <w:tr w:rsidR="00EF1937" w:rsidRPr="00B450EB" w14:paraId="00BBB252"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4C7300"/>
            <w:tcMar>
              <w:top w:w="15" w:type="dxa"/>
              <w:left w:w="70" w:type="dxa"/>
              <w:bottom w:w="0" w:type="dxa"/>
              <w:right w:w="70" w:type="dxa"/>
            </w:tcMar>
            <w:vAlign w:val="center"/>
            <w:hideMark/>
          </w:tcPr>
          <w:p w14:paraId="4746296B" w14:textId="77777777" w:rsidR="00103E6E" w:rsidRPr="00B450EB" w:rsidRDefault="00103E6E" w:rsidP="00B322DC">
            <w:pPr>
              <w:spacing w:after="0" w:line="240" w:lineRule="auto"/>
              <w:jc w:val="center"/>
              <w:rPr>
                <w:sz w:val="18"/>
                <w:szCs w:val="18"/>
              </w:rPr>
            </w:pPr>
            <w:r w:rsidRPr="00B450EB">
              <w:rPr>
                <w:sz w:val="18"/>
                <w:szCs w:val="18"/>
              </w:rPr>
              <w:t>Bosques</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69AFBD71" w14:textId="77777777" w:rsidR="00103E6E" w:rsidRPr="00B450EB" w:rsidRDefault="00103E6E" w:rsidP="00B322DC">
            <w:pPr>
              <w:spacing w:after="0" w:line="240" w:lineRule="auto"/>
              <w:jc w:val="center"/>
              <w:rPr>
                <w:sz w:val="18"/>
                <w:szCs w:val="18"/>
              </w:rPr>
            </w:pPr>
            <w:r w:rsidRPr="00B450EB">
              <w:rPr>
                <w:sz w:val="18"/>
                <w:szCs w:val="18"/>
              </w:rPr>
              <w:t>3.1</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6039482" w14:textId="10441BE2" w:rsidR="00103E6E" w:rsidRPr="00B450EB" w:rsidRDefault="00103E6E" w:rsidP="00B322DC">
            <w:pPr>
              <w:spacing w:after="0" w:line="240" w:lineRule="auto"/>
              <w:jc w:val="center"/>
              <w:rPr>
                <w:sz w:val="18"/>
                <w:szCs w:val="18"/>
              </w:rPr>
            </w:pPr>
            <w:r w:rsidRPr="00B450EB">
              <w:rPr>
                <w:sz w:val="18"/>
                <w:szCs w:val="18"/>
              </w:rPr>
              <w:t>39</w:t>
            </w:r>
            <w:r w:rsidR="00A71B28" w:rsidRPr="00B450EB">
              <w:rPr>
                <w:sz w:val="18"/>
                <w:szCs w:val="18"/>
              </w:rPr>
              <w:t>.</w:t>
            </w:r>
            <w:r w:rsidRPr="00B450EB">
              <w:rPr>
                <w:sz w:val="18"/>
                <w:szCs w:val="18"/>
              </w:rPr>
              <w:t>855,353</w:t>
            </w:r>
            <w:r w:rsidR="00A71B28" w:rsidRPr="00B450EB">
              <w:rPr>
                <w:sz w:val="18"/>
                <w:szCs w:val="18"/>
              </w:rPr>
              <w:t>,</w:t>
            </w:r>
            <w:r w:rsidRPr="00B450EB">
              <w:rPr>
                <w:sz w:val="18"/>
                <w:szCs w:val="18"/>
              </w:rPr>
              <w:t>234</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22650DC1" w14:textId="225B72E7" w:rsidR="00103E6E" w:rsidRPr="00B450EB" w:rsidRDefault="00103E6E" w:rsidP="00B322DC">
            <w:pPr>
              <w:spacing w:after="0" w:line="240" w:lineRule="auto"/>
              <w:jc w:val="center"/>
              <w:rPr>
                <w:sz w:val="18"/>
                <w:szCs w:val="18"/>
              </w:rPr>
            </w:pPr>
            <w:r w:rsidRPr="00B450EB">
              <w:rPr>
                <w:sz w:val="18"/>
                <w:szCs w:val="18"/>
              </w:rPr>
              <w:t>81</w:t>
            </w:r>
            <w:r w:rsidR="006F1491" w:rsidRPr="00B450EB">
              <w:rPr>
                <w:sz w:val="18"/>
                <w:szCs w:val="18"/>
              </w:rPr>
              <w:t>,</w:t>
            </w:r>
            <w:r w:rsidRPr="00B450EB">
              <w:rPr>
                <w:sz w:val="18"/>
                <w:szCs w:val="18"/>
              </w:rPr>
              <w:t>95</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9CD6661" w14:textId="22B5EB9A" w:rsidR="00103E6E" w:rsidRPr="00B450EB" w:rsidRDefault="00103E6E" w:rsidP="00B322DC">
            <w:pPr>
              <w:spacing w:after="0" w:line="240" w:lineRule="auto"/>
              <w:jc w:val="center"/>
              <w:rPr>
                <w:sz w:val="18"/>
                <w:szCs w:val="18"/>
              </w:rPr>
            </w:pPr>
            <w:r w:rsidRPr="00B450EB">
              <w:rPr>
                <w:sz w:val="18"/>
                <w:szCs w:val="18"/>
              </w:rPr>
              <w:t>39</w:t>
            </w:r>
            <w:r w:rsidR="00A71B28" w:rsidRPr="00B450EB">
              <w:rPr>
                <w:sz w:val="18"/>
                <w:szCs w:val="18"/>
              </w:rPr>
              <w:t>.</w:t>
            </w:r>
            <w:r w:rsidRPr="00B450EB">
              <w:rPr>
                <w:sz w:val="18"/>
                <w:szCs w:val="18"/>
              </w:rPr>
              <w:t>712,397</w:t>
            </w:r>
            <w:r w:rsidR="00A71B28" w:rsidRPr="00B450EB">
              <w:rPr>
                <w:sz w:val="18"/>
                <w:szCs w:val="18"/>
              </w:rPr>
              <w:t>,</w:t>
            </w:r>
            <w:r w:rsidRPr="00B450EB">
              <w:rPr>
                <w:sz w:val="18"/>
                <w:szCs w:val="18"/>
              </w:rPr>
              <w:t>825</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77DD52BA" w14:textId="1BFE3586" w:rsidR="00103E6E" w:rsidRPr="00B450EB" w:rsidRDefault="00103E6E" w:rsidP="00B322DC">
            <w:pPr>
              <w:spacing w:after="0" w:line="240" w:lineRule="auto"/>
              <w:jc w:val="center"/>
              <w:rPr>
                <w:sz w:val="18"/>
                <w:szCs w:val="18"/>
              </w:rPr>
            </w:pPr>
            <w:r w:rsidRPr="00B450EB">
              <w:rPr>
                <w:sz w:val="18"/>
                <w:szCs w:val="18"/>
              </w:rPr>
              <w:t>81</w:t>
            </w:r>
            <w:r w:rsidR="006F1491" w:rsidRPr="00B450EB">
              <w:rPr>
                <w:sz w:val="18"/>
                <w:szCs w:val="18"/>
              </w:rPr>
              <w:t>,</w:t>
            </w:r>
            <w:r w:rsidRPr="00B450EB">
              <w:rPr>
                <w:sz w:val="18"/>
                <w:szCs w:val="18"/>
              </w:rPr>
              <w:t>95</w:t>
            </w:r>
          </w:p>
        </w:tc>
      </w:tr>
      <w:tr w:rsidR="00EF1937" w:rsidRPr="00B450EB" w14:paraId="49E9AD7E"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A9A800"/>
            <w:tcMar>
              <w:top w:w="15" w:type="dxa"/>
              <w:left w:w="70" w:type="dxa"/>
              <w:bottom w:w="0" w:type="dxa"/>
              <w:right w:w="70" w:type="dxa"/>
            </w:tcMar>
            <w:vAlign w:val="center"/>
            <w:hideMark/>
          </w:tcPr>
          <w:p w14:paraId="3BB493EF" w14:textId="77777777" w:rsidR="00103E6E" w:rsidRPr="00B450EB" w:rsidRDefault="00103E6E" w:rsidP="00B322DC">
            <w:pPr>
              <w:spacing w:after="0" w:line="240" w:lineRule="auto"/>
              <w:jc w:val="center"/>
              <w:rPr>
                <w:sz w:val="18"/>
                <w:szCs w:val="18"/>
              </w:rPr>
            </w:pPr>
            <w:r w:rsidRPr="00B450EB">
              <w:rPr>
                <w:sz w:val="18"/>
                <w:szCs w:val="18"/>
              </w:rPr>
              <w:t>Áreas con vegetación herbácea y/o arbustiva</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99C0EBF" w14:textId="77777777" w:rsidR="00103E6E" w:rsidRPr="00B450EB" w:rsidRDefault="00103E6E" w:rsidP="00B322DC">
            <w:pPr>
              <w:spacing w:after="0" w:line="240" w:lineRule="auto"/>
              <w:jc w:val="center"/>
              <w:rPr>
                <w:sz w:val="18"/>
                <w:szCs w:val="18"/>
              </w:rPr>
            </w:pPr>
            <w:r w:rsidRPr="00B450EB">
              <w:rPr>
                <w:sz w:val="18"/>
                <w:szCs w:val="18"/>
              </w:rPr>
              <w:t>3.2</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2EE68F1" w14:textId="19EFDD6D" w:rsidR="00103E6E" w:rsidRPr="00B450EB" w:rsidRDefault="00103E6E" w:rsidP="00B322DC">
            <w:pPr>
              <w:spacing w:after="0" w:line="240" w:lineRule="auto"/>
              <w:jc w:val="center"/>
              <w:rPr>
                <w:sz w:val="18"/>
                <w:szCs w:val="18"/>
              </w:rPr>
            </w:pPr>
            <w:r w:rsidRPr="00B450EB">
              <w:rPr>
                <w:sz w:val="18"/>
                <w:szCs w:val="18"/>
              </w:rPr>
              <w:t>3</w:t>
            </w:r>
            <w:r w:rsidR="00A71B28" w:rsidRPr="00B450EB">
              <w:rPr>
                <w:sz w:val="18"/>
                <w:szCs w:val="18"/>
              </w:rPr>
              <w:t>.</w:t>
            </w:r>
            <w:r w:rsidRPr="00B450EB">
              <w:rPr>
                <w:sz w:val="18"/>
                <w:szCs w:val="18"/>
              </w:rPr>
              <w:t>237,261</w:t>
            </w:r>
            <w:r w:rsidR="00A71B28" w:rsidRPr="00B450EB">
              <w:rPr>
                <w:sz w:val="18"/>
                <w:szCs w:val="18"/>
              </w:rPr>
              <w:t>,</w:t>
            </w:r>
            <w:r w:rsidRPr="00B450EB">
              <w:rPr>
                <w:sz w:val="18"/>
                <w:szCs w:val="18"/>
              </w:rPr>
              <w:t>565</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F3C97D3" w14:textId="0C5D0276" w:rsidR="00103E6E" w:rsidRPr="00B450EB" w:rsidRDefault="00103E6E" w:rsidP="00B322DC">
            <w:pPr>
              <w:spacing w:after="0" w:line="240" w:lineRule="auto"/>
              <w:jc w:val="center"/>
              <w:rPr>
                <w:sz w:val="18"/>
                <w:szCs w:val="18"/>
              </w:rPr>
            </w:pPr>
            <w:r w:rsidRPr="00B450EB">
              <w:rPr>
                <w:sz w:val="18"/>
                <w:szCs w:val="18"/>
              </w:rPr>
              <w:t>6</w:t>
            </w:r>
            <w:r w:rsidR="006F1491" w:rsidRPr="00B450EB">
              <w:rPr>
                <w:sz w:val="18"/>
                <w:szCs w:val="18"/>
              </w:rPr>
              <w:t>,</w:t>
            </w:r>
            <w:r w:rsidRPr="00B450EB">
              <w:rPr>
                <w:sz w:val="18"/>
                <w:szCs w:val="18"/>
              </w:rPr>
              <w:t>63</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2997549" w14:textId="2B316C73" w:rsidR="00103E6E" w:rsidRPr="00B450EB" w:rsidRDefault="00103E6E" w:rsidP="00B322DC">
            <w:pPr>
              <w:spacing w:after="0" w:line="240" w:lineRule="auto"/>
              <w:jc w:val="center"/>
              <w:rPr>
                <w:sz w:val="18"/>
                <w:szCs w:val="18"/>
              </w:rPr>
            </w:pPr>
            <w:r w:rsidRPr="00B450EB">
              <w:rPr>
                <w:sz w:val="18"/>
                <w:szCs w:val="18"/>
              </w:rPr>
              <w:t>3</w:t>
            </w:r>
            <w:r w:rsidR="00A71B28" w:rsidRPr="00B450EB">
              <w:rPr>
                <w:sz w:val="18"/>
                <w:szCs w:val="18"/>
              </w:rPr>
              <w:t>.</w:t>
            </w:r>
            <w:r w:rsidRPr="00B450EB">
              <w:rPr>
                <w:sz w:val="18"/>
                <w:szCs w:val="18"/>
              </w:rPr>
              <w:t>213,049</w:t>
            </w:r>
            <w:r w:rsidR="00A71B28" w:rsidRPr="00B450EB">
              <w:rPr>
                <w:sz w:val="18"/>
                <w:szCs w:val="18"/>
              </w:rPr>
              <w:t>,</w:t>
            </w:r>
            <w:r w:rsidRPr="00B450EB">
              <w:rPr>
                <w:sz w:val="18"/>
                <w:szCs w:val="18"/>
              </w:rPr>
              <w:t>418</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4435401F" w14:textId="09245586" w:rsidR="00103E6E" w:rsidRPr="00B450EB" w:rsidRDefault="00103E6E" w:rsidP="00B322DC">
            <w:pPr>
              <w:spacing w:after="0" w:line="240" w:lineRule="auto"/>
              <w:jc w:val="center"/>
              <w:rPr>
                <w:sz w:val="18"/>
                <w:szCs w:val="18"/>
              </w:rPr>
            </w:pPr>
            <w:r w:rsidRPr="00B450EB">
              <w:rPr>
                <w:sz w:val="18"/>
                <w:szCs w:val="18"/>
              </w:rPr>
              <w:t>6</w:t>
            </w:r>
            <w:r w:rsidR="006F1491" w:rsidRPr="00B450EB">
              <w:rPr>
                <w:sz w:val="18"/>
                <w:szCs w:val="18"/>
              </w:rPr>
              <w:t>,</w:t>
            </w:r>
            <w:r w:rsidRPr="00B450EB">
              <w:rPr>
                <w:sz w:val="18"/>
                <w:szCs w:val="18"/>
              </w:rPr>
              <w:t>63</w:t>
            </w:r>
          </w:p>
        </w:tc>
      </w:tr>
      <w:tr w:rsidR="00EF1937" w:rsidRPr="00B450EB" w14:paraId="5BB223C2"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D3FEBD"/>
            <w:tcMar>
              <w:top w:w="15" w:type="dxa"/>
              <w:left w:w="70" w:type="dxa"/>
              <w:bottom w:w="0" w:type="dxa"/>
              <w:right w:w="70" w:type="dxa"/>
            </w:tcMar>
            <w:vAlign w:val="center"/>
            <w:hideMark/>
          </w:tcPr>
          <w:p w14:paraId="24B19883" w14:textId="77777777" w:rsidR="00103E6E" w:rsidRPr="00B450EB" w:rsidRDefault="00103E6E" w:rsidP="00B322DC">
            <w:pPr>
              <w:spacing w:after="0" w:line="240" w:lineRule="auto"/>
              <w:jc w:val="center"/>
              <w:rPr>
                <w:sz w:val="18"/>
                <w:szCs w:val="18"/>
              </w:rPr>
            </w:pPr>
            <w:r w:rsidRPr="00B450EB">
              <w:rPr>
                <w:sz w:val="18"/>
                <w:szCs w:val="18"/>
              </w:rPr>
              <w:t>Áreas abiertas, sin o con poca vegetación</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4C3495FB" w14:textId="77777777" w:rsidR="00103E6E" w:rsidRPr="00B450EB" w:rsidRDefault="00103E6E" w:rsidP="00B322DC">
            <w:pPr>
              <w:spacing w:after="0" w:line="240" w:lineRule="auto"/>
              <w:jc w:val="center"/>
              <w:rPr>
                <w:sz w:val="18"/>
                <w:szCs w:val="18"/>
              </w:rPr>
            </w:pPr>
            <w:r w:rsidRPr="00B450EB">
              <w:rPr>
                <w:sz w:val="18"/>
                <w:szCs w:val="18"/>
              </w:rPr>
              <w:t>3.3</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86AA776" w14:textId="1EAB23D2" w:rsidR="00103E6E" w:rsidRPr="00B450EB" w:rsidRDefault="00103E6E" w:rsidP="00B322DC">
            <w:pPr>
              <w:spacing w:after="0" w:line="240" w:lineRule="auto"/>
              <w:jc w:val="center"/>
              <w:rPr>
                <w:sz w:val="18"/>
                <w:szCs w:val="18"/>
              </w:rPr>
            </w:pPr>
            <w:r w:rsidRPr="00B450EB">
              <w:rPr>
                <w:sz w:val="18"/>
                <w:szCs w:val="18"/>
              </w:rPr>
              <w:t>229</w:t>
            </w:r>
            <w:r w:rsidR="00A71B28" w:rsidRPr="00B450EB">
              <w:rPr>
                <w:sz w:val="18"/>
                <w:szCs w:val="18"/>
              </w:rPr>
              <w:t>.</w:t>
            </w:r>
            <w:r w:rsidRPr="00B450EB">
              <w:rPr>
                <w:sz w:val="18"/>
                <w:szCs w:val="18"/>
              </w:rPr>
              <w:t>284</w:t>
            </w:r>
            <w:r w:rsidR="00A71B28" w:rsidRPr="00B450EB">
              <w:rPr>
                <w:sz w:val="18"/>
                <w:szCs w:val="18"/>
              </w:rPr>
              <w:t>,</w:t>
            </w:r>
            <w:r w:rsidRPr="00B450EB">
              <w:rPr>
                <w:sz w:val="18"/>
                <w:szCs w:val="18"/>
              </w:rPr>
              <w:t>620</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4EA71536" w14:textId="568BFDFE"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14</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7AE58D0F" w14:textId="666C4F8F" w:rsidR="00103E6E" w:rsidRPr="00B450EB" w:rsidRDefault="00103E6E" w:rsidP="00B322DC">
            <w:pPr>
              <w:spacing w:after="0" w:line="240" w:lineRule="auto"/>
              <w:jc w:val="center"/>
              <w:rPr>
                <w:sz w:val="18"/>
                <w:szCs w:val="18"/>
              </w:rPr>
            </w:pPr>
            <w:r w:rsidRPr="00B450EB">
              <w:rPr>
                <w:sz w:val="18"/>
                <w:szCs w:val="18"/>
              </w:rPr>
              <w:t>68</w:t>
            </w:r>
            <w:r w:rsidR="00A71B28" w:rsidRPr="00B450EB">
              <w:rPr>
                <w:sz w:val="18"/>
                <w:szCs w:val="18"/>
              </w:rPr>
              <w:t>.</w:t>
            </w:r>
            <w:r w:rsidRPr="00B450EB">
              <w:rPr>
                <w:sz w:val="18"/>
                <w:szCs w:val="18"/>
              </w:rPr>
              <w:t>545</w:t>
            </w:r>
            <w:r w:rsidR="00A71B28" w:rsidRPr="00B450EB">
              <w:rPr>
                <w:sz w:val="18"/>
                <w:szCs w:val="18"/>
              </w:rPr>
              <w:t>,</w:t>
            </w:r>
            <w:r w:rsidRPr="00B450EB">
              <w:rPr>
                <w:sz w:val="18"/>
                <w:szCs w:val="18"/>
              </w:rPr>
              <w:t>570</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3616D7D" w14:textId="3D0D820E"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14</w:t>
            </w:r>
          </w:p>
        </w:tc>
      </w:tr>
      <w:tr w:rsidR="00EF1937" w:rsidRPr="00B450EB" w14:paraId="2F46E72A"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71B3FF"/>
            <w:tcMar>
              <w:top w:w="15" w:type="dxa"/>
              <w:left w:w="70" w:type="dxa"/>
              <w:bottom w:w="0" w:type="dxa"/>
              <w:right w:w="70" w:type="dxa"/>
            </w:tcMar>
            <w:vAlign w:val="center"/>
            <w:hideMark/>
          </w:tcPr>
          <w:p w14:paraId="5C12B107" w14:textId="77777777" w:rsidR="00103E6E" w:rsidRPr="00B450EB" w:rsidRDefault="00103E6E" w:rsidP="00B322DC">
            <w:pPr>
              <w:spacing w:after="0" w:line="240" w:lineRule="auto"/>
              <w:jc w:val="center"/>
              <w:rPr>
                <w:sz w:val="18"/>
                <w:szCs w:val="18"/>
              </w:rPr>
            </w:pPr>
            <w:r w:rsidRPr="00B450EB">
              <w:rPr>
                <w:sz w:val="18"/>
                <w:szCs w:val="18"/>
              </w:rPr>
              <w:lastRenderedPageBreak/>
              <w:t>Áreas húmedas continentales</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41E346E" w14:textId="77777777" w:rsidR="00103E6E" w:rsidRPr="00B450EB" w:rsidRDefault="00103E6E" w:rsidP="00B322DC">
            <w:pPr>
              <w:spacing w:after="0" w:line="240" w:lineRule="auto"/>
              <w:jc w:val="center"/>
              <w:rPr>
                <w:sz w:val="18"/>
                <w:szCs w:val="18"/>
              </w:rPr>
            </w:pPr>
            <w:r w:rsidRPr="00B450EB">
              <w:rPr>
                <w:sz w:val="18"/>
                <w:szCs w:val="18"/>
              </w:rPr>
              <w:t>4.2</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25CE4677" w14:textId="159ECA6B" w:rsidR="00103E6E" w:rsidRPr="00B450EB" w:rsidRDefault="00103E6E" w:rsidP="00B322DC">
            <w:pPr>
              <w:spacing w:after="0" w:line="240" w:lineRule="auto"/>
              <w:jc w:val="center"/>
              <w:rPr>
                <w:sz w:val="18"/>
                <w:szCs w:val="18"/>
              </w:rPr>
            </w:pPr>
            <w:r w:rsidRPr="00B450EB">
              <w:rPr>
                <w:sz w:val="18"/>
                <w:szCs w:val="18"/>
              </w:rPr>
              <w:t>24</w:t>
            </w:r>
            <w:r w:rsidR="00A71B28" w:rsidRPr="00B450EB">
              <w:rPr>
                <w:sz w:val="18"/>
                <w:szCs w:val="18"/>
              </w:rPr>
              <w:t>.</w:t>
            </w:r>
            <w:r w:rsidRPr="00B450EB">
              <w:rPr>
                <w:sz w:val="18"/>
                <w:szCs w:val="18"/>
              </w:rPr>
              <w:t>180</w:t>
            </w:r>
            <w:r w:rsidR="00A71B28" w:rsidRPr="00B450EB">
              <w:rPr>
                <w:sz w:val="18"/>
                <w:szCs w:val="18"/>
              </w:rPr>
              <w:t>,</w:t>
            </w:r>
            <w:r w:rsidRPr="00B450EB">
              <w:rPr>
                <w:sz w:val="18"/>
                <w:szCs w:val="18"/>
              </w:rPr>
              <w:t>479</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75720949" w14:textId="1BF071DB"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05</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2DB2F5B" w14:textId="64A1CE36" w:rsidR="00103E6E" w:rsidRPr="00B450EB" w:rsidRDefault="00103E6E" w:rsidP="00B322DC">
            <w:pPr>
              <w:spacing w:after="0" w:line="240" w:lineRule="auto"/>
              <w:jc w:val="center"/>
              <w:rPr>
                <w:sz w:val="18"/>
                <w:szCs w:val="18"/>
              </w:rPr>
            </w:pPr>
            <w:r w:rsidRPr="00B450EB">
              <w:rPr>
                <w:sz w:val="18"/>
                <w:szCs w:val="18"/>
              </w:rPr>
              <w:t>25</w:t>
            </w:r>
            <w:r w:rsidR="00A71B28" w:rsidRPr="00B450EB">
              <w:rPr>
                <w:sz w:val="18"/>
                <w:szCs w:val="18"/>
              </w:rPr>
              <w:t>.</w:t>
            </w:r>
            <w:r w:rsidRPr="00B450EB">
              <w:rPr>
                <w:sz w:val="18"/>
                <w:szCs w:val="18"/>
              </w:rPr>
              <w:t>248</w:t>
            </w:r>
            <w:r w:rsidR="00A71B28" w:rsidRPr="00B450EB">
              <w:rPr>
                <w:sz w:val="18"/>
                <w:szCs w:val="18"/>
              </w:rPr>
              <w:t>,</w:t>
            </w:r>
            <w:r w:rsidRPr="00B450EB">
              <w:rPr>
                <w:sz w:val="18"/>
                <w:szCs w:val="18"/>
              </w:rPr>
              <w:t>622</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DB47706" w14:textId="0B4AF25D" w:rsidR="00103E6E" w:rsidRPr="00B450EB" w:rsidRDefault="00103E6E" w:rsidP="00B322DC">
            <w:pPr>
              <w:spacing w:after="0" w:line="240" w:lineRule="auto"/>
              <w:jc w:val="center"/>
              <w:rPr>
                <w:sz w:val="18"/>
                <w:szCs w:val="18"/>
              </w:rPr>
            </w:pPr>
            <w:r w:rsidRPr="00B450EB">
              <w:rPr>
                <w:sz w:val="18"/>
                <w:szCs w:val="18"/>
              </w:rPr>
              <w:t>0</w:t>
            </w:r>
            <w:r w:rsidR="006F1491" w:rsidRPr="00B450EB">
              <w:rPr>
                <w:sz w:val="18"/>
                <w:szCs w:val="18"/>
              </w:rPr>
              <w:t>,</w:t>
            </w:r>
            <w:r w:rsidRPr="00B450EB">
              <w:rPr>
                <w:sz w:val="18"/>
                <w:szCs w:val="18"/>
              </w:rPr>
              <w:t>05</w:t>
            </w:r>
          </w:p>
        </w:tc>
      </w:tr>
      <w:tr w:rsidR="00EF1937" w:rsidRPr="00B450EB" w14:paraId="1B0C22FA" w14:textId="77777777" w:rsidTr="00B322DC">
        <w:trPr>
          <w:trHeight w:val="222"/>
        </w:trPr>
        <w:tc>
          <w:tcPr>
            <w:tcW w:w="2188" w:type="dxa"/>
            <w:tcBorders>
              <w:top w:val="single" w:sz="8" w:space="0" w:color="000000"/>
              <w:left w:val="single" w:sz="8" w:space="0" w:color="000000"/>
              <w:bottom w:val="single" w:sz="8" w:space="0" w:color="000000"/>
              <w:right w:val="single" w:sz="8" w:space="0" w:color="000000"/>
            </w:tcBorders>
            <w:shd w:val="clear" w:color="auto" w:fill="0071FD"/>
            <w:tcMar>
              <w:top w:w="15" w:type="dxa"/>
              <w:left w:w="70" w:type="dxa"/>
              <w:bottom w:w="0" w:type="dxa"/>
              <w:right w:w="70" w:type="dxa"/>
            </w:tcMar>
            <w:vAlign w:val="center"/>
            <w:hideMark/>
          </w:tcPr>
          <w:p w14:paraId="4E1F02C2" w14:textId="77777777" w:rsidR="00103E6E" w:rsidRPr="00B450EB" w:rsidRDefault="00103E6E" w:rsidP="00B322DC">
            <w:pPr>
              <w:spacing w:after="0" w:line="240" w:lineRule="auto"/>
              <w:jc w:val="center"/>
              <w:rPr>
                <w:sz w:val="18"/>
                <w:szCs w:val="18"/>
              </w:rPr>
            </w:pPr>
            <w:r w:rsidRPr="00B450EB">
              <w:rPr>
                <w:sz w:val="18"/>
                <w:szCs w:val="18"/>
              </w:rPr>
              <w:t>Aguas continentales</w:t>
            </w:r>
          </w:p>
        </w:tc>
        <w:tc>
          <w:tcPr>
            <w:tcW w:w="71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16B9B7C7" w14:textId="77777777" w:rsidR="00103E6E" w:rsidRPr="00B450EB" w:rsidRDefault="00103E6E" w:rsidP="00B322DC">
            <w:pPr>
              <w:spacing w:after="0" w:line="240" w:lineRule="auto"/>
              <w:jc w:val="center"/>
              <w:rPr>
                <w:sz w:val="18"/>
                <w:szCs w:val="18"/>
              </w:rPr>
            </w:pPr>
            <w:r w:rsidRPr="00B450EB">
              <w:rPr>
                <w:sz w:val="18"/>
                <w:szCs w:val="18"/>
              </w:rPr>
              <w:t>5.1</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6DCC04F6" w14:textId="23666C53" w:rsidR="00103E6E" w:rsidRPr="00B450EB" w:rsidRDefault="00103E6E" w:rsidP="00B322DC">
            <w:pPr>
              <w:spacing w:after="0" w:line="240" w:lineRule="auto"/>
              <w:jc w:val="center"/>
              <w:rPr>
                <w:sz w:val="18"/>
                <w:szCs w:val="18"/>
              </w:rPr>
            </w:pPr>
            <w:r w:rsidRPr="00B450EB">
              <w:rPr>
                <w:sz w:val="18"/>
                <w:szCs w:val="18"/>
              </w:rPr>
              <w:t>454</w:t>
            </w:r>
            <w:r w:rsidR="00A71B28" w:rsidRPr="00B450EB">
              <w:rPr>
                <w:sz w:val="18"/>
                <w:szCs w:val="18"/>
              </w:rPr>
              <w:t>.</w:t>
            </w:r>
            <w:r w:rsidRPr="00B450EB">
              <w:rPr>
                <w:sz w:val="18"/>
                <w:szCs w:val="18"/>
              </w:rPr>
              <w:t>261</w:t>
            </w:r>
            <w:r w:rsidR="00A71B28" w:rsidRPr="00B450EB">
              <w:rPr>
                <w:sz w:val="18"/>
                <w:szCs w:val="18"/>
              </w:rPr>
              <w:t>,</w:t>
            </w:r>
            <w:r w:rsidRPr="00B450EB">
              <w:rPr>
                <w:sz w:val="18"/>
                <w:szCs w:val="18"/>
              </w:rPr>
              <w:t>390</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46E74FFF" w14:textId="01907228" w:rsidR="00103E6E" w:rsidRPr="00B450EB" w:rsidRDefault="00103E6E" w:rsidP="00B322DC">
            <w:pPr>
              <w:spacing w:after="0" w:line="240" w:lineRule="auto"/>
              <w:jc w:val="center"/>
              <w:rPr>
                <w:sz w:val="18"/>
                <w:szCs w:val="18"/>
              </w:rPr>
            </w:pPr>
            <w:r w:rsidRPr="00B450EB">
              <w:rPr>
                <w:sz w:val="18"/>
                <w:szCs w:val="18"/>
              </w:rPr>
              <w:t>1</w:t>
            </w:r>
            <w:r w:rsidR="006F1491" w:rsidRPr="00B450EB">
              <w:rPr>
                <w:sz w:val="18"/>
                <w:szCs w:val="18"/>
              </w:rPr>
              <w:t>,</w:t>
            </w:r>
            <w:r w:rsidRPr="00B450EB">
              <w:rPr>
                <w:sz w:val="18"/>
                <w:szCs w:val="18"/>
              </w:rPr>
              <w:t>14</w:t>
            </w:r>
          </w:p>
        </w:tc>
        <w:tc>
          <w:tcPr>
            <w:tcW w:w="145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2F4C294" w14:textId="38447DCE" w:rsidR="00103E6E" w:rsidRPr="00B450EB" w:rsidRDefault="00103E6E" w:rsidP="00B322DC">
            <w:pPr>
              <w:spacing w:after="0" w:line="240" w:lineRule="auto"/>
              <w:jc w:val="center"/>
              <w:rPr>
                <w:sz w:val="18"/>
                <w:szCs w:val="18"/>
              </w:rPr>
            </w:pPr>
            <w:r w:rsidRPr="00B450EB">
              <w:rPr>
                <w:sz w:val="18"/>
                <w:szCs w:val="18"/>
              </w:rPr>
              <w:t>550</w:t>
            </w:r>
            <w:r w:rsidR="00A71B28" w:rsidRPr="00B450EB">
              <w:rPr>
                <w:sz w:val="18"/>
                <w:szCs w:val="18"/>
              </w:rPr>
              <w:t>.</w:t>
            </w:r>
            <w:r w:rsidRPr="00B450EB">
              <w:rPr>
                <w:sz w:val="18"/>
                <w:szCs w:val="18"/>
              </w:rPr>
              <w:t>602</w:t>
            </w:r>
            <w:r w:rsidR="00A71B28" w:rsidRPr="00B450EB">
              <w:rPr>
                <w:sz w:val="18"/>
                <w:szCs w:val="18"/>
              </w:rPr>
              <w:t>,</w:t>
            </w:r>
            <w:r w:rsidRPr="00B450EB">
              <w:rPr>
                <w:sz w:val="18"/>
                <w:szCs w:val="18"/>
              </w:rPr>
              <w:t>410</w:t>
            </w:r>
          </w:p>
        </w:tc>
        <w:tc>
          <w:tcPr>
            <w:tcW w:w="1443"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72D9728B" w14:textId="28CE5122" w:rsidR="00103E6E" w:rsidRPr="00B450EB" w:rsidRDefault="00103E6E" w:rsidP="00B322DC">
            <w:pPr>
              <w:spacing w:after="0" w:line="240" w:lineRule="auto"/>
              <w:jc w:val="center"/>
              <w:rPr>
                <w:sz w:val="18"/>
                <w:szCs w:val="18"/>
              </w:rPr>
            </w:pPr>
            <w:r w:rsidRPr="00B450EB">
              <w:rPr>
                <w:sz w:val="18"/>
                <w:szCs w:val="18"/>
              </w:rPr>
              <w:t>1</w:t>
            </w:r>
            <w:r w:rsidR="006F1491" w:rsidRPr="00B450EB">
              <w:rPr>
                <w:sz w:val="18"/>
                <w:szCs w:val="18"/>
              </w:rPr>
              <w:t>,</w:t>
            </w:r>
            <w:r w:rsidRPr="00B450EB">
              <w:rPr>
                <w:sz w:val="18"/>
                <w:szCs w:val="18"/>
              </w:rPr>
              <w:t>14</w:t>
            </w:r>
          </w:p>
        </w:tc>
      </w:tr>
      <w:tr w:rsidR="00EF1937" w:rsidRPr="00B450EB" w14:paraId="60175DA1" w14:textId="77777777" w:rsidTr="00B322DC">
        <w:trPr>
          <w:trHeight w:val="234"/>
        </w:trPr>
        <w:tc>
          <w:tcPr>
            <w:tcW w:w="2901" w:type="dxa"/>
            <w:gridSpan w:val="2"/>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3BA69AA0" w14:textId="77777777" w:rsidR="00103E6E" w:rsidRPr="00B450EB" w:rsidRDefault="00103E6E" w:rsidP="00B322DC">
            <w:pPr>
              <w:spacing w:after="0" w:line="240" w:lineRule="auto"/>
              <w:jc w:val="center"/>
              <w:rPr>
                <w:sz w:val="18"/>
                <w:szCs w:val="18"/>
              </w:rPr>
            </w:pPr>
            <w:r w:rsidRPr="00B450EB">
              <w:rPr>
                <w:b/>
                <w:sz w:val="18"/>
                <w:szCs w:val="18"/>
              </w:rPr>
              <w:t>Total</w:t>
            </w:r>
          </w:p>
        </w:tc>
        <w:tc>
          <w:tcPr>
            <w:tcW w:w="1455"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0186C2BF" w14:textId="05DD8D78" w:rsidR="00103E6E" w:rsidRPr="00B450EB" w:rsidRDefault="00103E6E" w:rsidP="00B322DC">
            <w:pPr>
              <w:spacing w:after="0" w:line="240" w:lineRule="auto"/>
              <w:jc w:val="center"/>
              <w:rPr>
                <w:sz w:val="18"/>
                <w:szCs w:val="18"/>
              </w:rPr>
            </w:pPr>
            <w:r w:rsidRPr="00B450EB">
              <w:rPr>
                <w:b/>
                <w:sz w:val="18"/>
                <w:szCs w:val="18"/>
              </w:rPr>
              <w:t>48</w:t>
            </w:r>
            <w:r w:rsidR="00A71B28" w:rsidRPr="00B450EB">
              <w:rPr>
                <w:b/>
                <w:sz w:val="18"/>
                <w:szCs w:val="18"/>
              </w:rPr>
              <w:t>.</w:t>
            </w:r>
            <w:r w:rsidRPr="00B450EB">
              <w:rPr>
                <w:b/>
                <w:sz w:val="18"/>
                <w:szCs w:val="18"/>
              </w:rPr>
              <w:t>319</w:t>
            </w:r>
            <w:r w:rsidR="00A71B28" w:rsidRPr="00B450EB">
              <w:rPr>
                <w:b/>
                <w:sz w:val="18"/>
                <w:szCs w:val="18"/>
              </w:rPr>
              <w:t>.</w:t>
            </w:r>
            <w:r w:rsidRPr="00B450EB">
              <w:rPr>
                <w:b/>
                <w:sz w:val="18"/>
                <w:szCs w:val="18"/>
              </w:rPr>
              <w:t>660</w:t>
            </w:r>
            <w:r w:rsidR="00A71B28" w:rsidRPr="00B450EB">
              <w:rPr>
                <w:b/>
                <w:sz w:val="18"/>
                <w:szCs w:val="18"/>
              </w:rPr>
              <w:t>,</w:t>
            </w:r>
            <w:r w:rsidRPr="00B450EB">
              <w:rPr>
                <w:b/>
                <w:sz w:val="18"/>
                <w:szCs w:val="18"/>
              </w:rPr>
              <w:t>428</w:t>
            </w:r>
          </w:p>
        </w:tc>
        <w:tc>
          <w:tcPr>
            <w:tcW w:w="1443"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29E9CBF7" w14:textId="77777777" w:rsidR="00103E6E" w:rsidRPr="00B450EB" w:rsidRDefault="00103E6E" w:rsidP="00B322DC">
            <w:pPr>
              <w:spacing w:after="0" w:line="240" w:lineRule="auto"/>
              <w:jc w:val="center"/>
              <w:rPr>
                <w:sz w:val="18"/>
                <w:szCs w:val="18"/>
              </w:rPr>
            </w:pPr>
            <w:r w:rsidRPr="00B450EB">
              <w:rPr>
                <w:b/>
                <w:sz w:val="18"/>
                <w:szCs w:val="18"/>
              </w:rPr>
              <w:t>100</w:t>
            </w:r>
          </w:p>
        </w:tc>
        <w:tc>
          <w:tcPr>
            <w:tcW w:w="1455"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09428D84" w14:textId="02CD6159" w:rsidR="00103E6E" w:rsidRPr="00B450EB" w:rsidRDefault="00103E6E" w:rsidP="00B322DC">
            <w:pPr>
              <w:spacing w:after="0" w:line="240" w:lineRule="auto"/>
              <w:jc w:val="center"/>
              <w:rPr>
                <w:sz w:val="18"/>
                <w:szCs w:val="18"/>
              </w:rPr>
            </w:pPr>
            <w:r w:rsidRPr="00B450EB">
              <w:rPr>
                <w:b/>
                <w:sz w:val="18"/>
                <w:szCs w:val="18"/>
              </w:rPr>
              <w:t>48</w:t>
            </w:r>
            <w:r w:rsidR="00A71B28" w:rsidRPr="00B450EB">
              <w:rPr>
                <w:b/>
                <w:sz w:val="18"/>
                <w:szCs w:val="18"/>
              </w:rPr>
              <w:t>.</w:t>
            </w:r>
            <w:r w:rsidRPr="00B450EB">
              <w:rPr>
                <w:b/>
                <w:sz w:val="18"/>
                <w:szCs w:val="18"/>
              </w:rPr>
              <w:t>460</w:t>
            </w:r>
            <w:r w:rsidR="00A71B28" w:rsidRPr="00B450EB">
              <w:rPr>
                <w:b/>
                <w:sz w:val="18"/>
                <w:szCs w:val="18"/>
              </w:rPr>
              <w:t>.</w:t>
            </w:r>
            <w:r w:rsidRPr="00B450EB">
              <w:rPr>
                <w:b/>
                <w:sz w:val="18"/>
                <w:szCs w:val="18"/>
              </w:rPr>
              <w:t>850</w:t>
            </w:r>
            <w:r w:rsidR="00A71B28" w:rsidRPr="00B450EB">
              <w:rPr>
                <w:b/>
                <w:sz w:val="18"/>
                <w:szCs w:val="18"/>
              </w:rPr>
              <w:t>,</w:t>
            </w:r>
            <w:r w:rsidRPr="00B450EB">
              <w:rPr>
                <w:b/>
                <w:sz w:val="18"/>
                <w:szCs w:val="18"/>
              </w:rPr>
              <w:t>881</w:t>
            </w:r>
          </w:p>
        </w:tc>
        <w:tc>
          <w:tcPr>
            <w:tcW w:w="1443" w:type="dxa"/>
            <w:tcBorders>
              <w:top w:val="single" w:sz="8" w:space="0" w:color="000000"/>
              <w:left w:val="single" w:sz="8" w:space="0" w:color="000000"/>
              <w:bottom w:val="single" w:sz="8" w:space="0" w:color="000000"/>
              <w:right w:val="single" w:sz="8" w:space="0" w:color="000000"/>
            </w:tcBorders>
            <w:shd w:val="clear" w:color="auto" w:fill="D9F2D0"/>
            <w:tcMar>
              <w:top w:w="15" w:type="dxa"/>
              <w:left w:w="70" w:type="dxa"/>
              <w:bottom w:w="0" w:type="dxa"/>
              <w:right w:w="70" w:type="dxa"/>
            </w:tcMar>
            <w:vAlign w:val="center"/>
            <w:hideMark/>
          </w:tcPr>
          <w:p w14:paraId="593BA435" w14:textId="77777777" w:rsidR="00103E6E" w:rsidRPr="00B450EB" w:rsidRDefault="00103E6E" w:rsidP="00B322DC">
            <w:pPr>
              <w:spacing w:after="0" w:line="240" w:lineRule="auto"/>
              <w:jc w:val="center"/>
              <w:rPr>
                <w:sz w:val="18"/>
                <w:szCs w:val="18"/>
              </w:rPr>
            </w:pPr>
            <w:r w:rsidRPr="00B450EB">
              <w:rPr>
                <w:b/>
                <w:sz w:val="18"/>
                <w:szCs w:val="18"/>
              </w:rPr>
              <w:t>100</w:t>
            </w:r>
          </w:p>
        </w:tc>
      </w:tr>
    </w:tbl>
    <w:p w14:paraId="7B6FDFDF" w14:textId="0A61767B" w:rsidR="00103E6E" w:rsidRPr="00B450EB" w:rsidRDefault="00103E6E" w:rsidP="00796703">
      <w:pPr>
        <w:jc w:val="center"/>
        <w:rPr>
          <w:sz w:val="18"/>
          <w:szCs w:val="18"/>
        </w:rPr>
      </w:pPr>
      <w:r w:rsidRPr="00B450EB">
        <w:rPr>
          <w:sz w:val="18"/>
          <w:szCs w:val="18"/>
        </w:rPr>
        <w:t>Fuente</w:t>
      </w:r>
      <w:r w:rsidRPr="00B450EB">
        <w:rPr>
          <w:b/>
          <w:sz w:val="18"/>
          <w:szCs w:val="18"/>
        </w:rPr>
        <w:t>:</w:t>
      </w:r>
      <w:r w:rsidRPr="00B450EB">
        <w:rPr>
          <w:sz w:val="18"/>
          <w:szCs w:val="18"/>
        </w:rPr>
        <w:t xml:space="preserve"> </w:t>
      </w:r>
      <w:r w:rsidR="00CB4734" w:rsidRPr="00B450EB">
        <w:rPr>
          <w:sz w:val="18"/>
          <w:szCs w:val="18"/>
        </w:rPr>
        <w:t>Elaboración propia</w:t>
      </w:r>
      <w:r w:rsidRPr="00B450EB">
        <w:rPr>
          <w:sz w:val="18"/>
          <w:szCs w:val="18"/>
        </w:rPr>
        <w:t xml:space="preserve"> a partir de SINCHI, 2024; I</w:t>
      </w:r>
      <w:r w:rsidR="00455AEF" w:rsidRPr="00B450EB">
        <w:rPr>
          <w:sz w:val="18"/>
          <w:szCs w:val="18"/>
        </w:rPr>
        <w:t>DEAM</w:t>
      </w:r>
      <w:r w:rsidRPr="00B450EB">
        <w:rPr>
          <w:sz w:val="18"/>
          <w:szCs w:val="18"/>
        </w:rPr>
        <w:t>, 2025</w:t>
      </w:r>
      <w:r w:rsidR="00884162" w:rsidRPr="00B450EB">
        <w:rPr>
          <w:sz w:val="18"/>
          <w:szCs w:val="18"/>
        </w:rPr>
        <w:t>.</w:t>
      </w:r>
    </w:p>
    <w:p w14:paraId="169C3DE7" w14:textId="7AE0FFD7" w:rsidR="00C7048F" w:rsidRPr="00B450EB" w:rsidRDefault="00DF2036" w:rsidP="00F37535">
      <w:pPr>
        <w:rPr>
          <w:rFonts w:eastAsia="Arial" w:cs="Arial"/>
        </w:rPr>
      </w:pPr>
      <w:r w:rsidRPr="00B450EB">
        <w:t>L</w:t>
      </w:r>
      <w:r w:rsidR="00103E6E" w:rsidRPr="00B450EB">
        <w:t>a cobertura predominante corresponde a bosques con una contribución del 81</w:t>
      </w:r>
      <w:r w:rsidR="00E72328" w:rsidRPr="00B450EB">
        <w:t>,</w:t>
      </w:r>
      <w:r w:rsidR="00103E6E" w:rsidRPr="00B450EB">
        <w:t>95% equivalente 39</w:t>
      </w:r>
      <w:r w:rsidR="00E72328" w:rsidRPr="00B450EB">
        <w:t>.</w:t>
      </w:r>
      <w:r w:rsidR="00103E6E" w:rsidRPr="00B450EB">
        <w:t>855</w:t>
      </w:r>
      <w:r w:rsidR="00E72328" w:rsidRPr="00B450EB">
        <w:t>.</w:t>
      </w:r>
      <w:r w:rsidR="00103E6E" w:rsidRPr="00B450EB">
        <w:t>353</w:t>
      </w:r>
      <w:r w:rsidR="00E72328" w:rsidRPr="00B450EB">
        <w:t>,</w:t>
      </w:r>
      <w:r w:rsidR="00103E6E" w:rsidRPr="00B450EB">
        <w:t>234 hectáreas para el año 2022 (</w:t>
      </w:r>
      <w:r w:rsidR="00E02F0F" w:rsidRPr="00B450EB">
        <w:t>IDEAM</w:t>
      </w:r>
      <w:r w:rsidR="00103E6E" w:rsidRPr="00B450EB">
        <w:t>, 2025) mientras 2024 se reporta una representación similar 81</w:t>
      </w:r>
      <w:r w:rsidR="00E72328" w:rsidRPr="00B450EB">
        <w:t>,</w:t>
      </w:r>
      <w:r w:rsidR="00103E6E" w:rsidRPr="00B450EB">
        <w:t>9</w:t>
      </w:r>
      <w:r w:rsidR="08974A72" w:rsidRPr="00B450EB">
        <w:t>5</w:t>
      </w:r>
      <w:r w:rsidR="00103E6E" w:rsidRPr="00B450EB">
        <w:t>% equivalente a 39</w:t>
      </w:r>
      <w:r w:rsidR="00E72328" w:rsidRPr="00B450EB">
        <w:t>.</w:t>
      </w:r>
      <w:r w:rsidR="00103E6E" w:rsidRPr="00B450EB">
        <w:t>712</w:t>
      </w:r>
      <w:r w:rsidR="00E72328" w:rsidRPr="00B450EB">
        <w:t>.</w:t>
      </w:r>
      <w:r w:rsidR="00103E6E" w:rsidRPr="00B450EB">
        <w:t>397</w:t>
      </w:r>
      <w:r w:rsidR="00E72328" w:rsidRPr="00B450EB">
        <w:t>,</w:t>
      </w:r>
      <w:r w:rsidR="00103E6E" w:rsidRPr="00B450EB">
        <w:t xml:space="preserve">825 hectáreas (SINCHI, 2024), donde se </w:t>
      </w:r>
      <w:r w:rsidR="5B673AFE" w:rsidRPr="00B450EB">
        <w:t xml:space="preserve">observa </w:t>
      </w:r>
      <w:r w:rsidR="24DB92EE" w:rsidRPr="00B450EB">
        <w:t>reducción</w:t>
      </w:r>
      <w:r w:rsidR="675124EA" w:rsidRPr="00B450EB">
        <w:t xml:space="preserve"> de</w:t>
      </w:r>
      <w:r w:rsidR="5B673AFE" w:rsidRPr="00B450EB">
        <w:t xml:space="preserve"> a</w:t>
      </w:r>
      <w:r w:rsidR="6C50A331" w:rsidRPr="00B450EB">
        <w:t>lrededor</w:t>
      </w:r>
      <w:r w:rsidR="00103E6E" w:rsidRPr="00B450EB">
        <w:t xml:space="preserve"> de 142</w:t>
      </w:r>
      <w:r w:rsidR="5B673AFE" w:rsidRPr="00B450EB">
        <w:t>,</w:t>
      </w:r>
      <w:r w:rsidR="00103E6E" w:rsidRPr="00B450EB">
        <w:t>955</w:t>
      </w:r>
      <w:r w:rsidR="5B673AFE" w:rsidRPr="00B450EB">
        <w:t>.</w:t>
      </w:r>
      <w:r w:rsidR="00103E6E" w:rsidRPr="00B450EB">
        <w:t xml:space="preserve">409 </w:t>
      </w:r>
      <w:r w:rsidR="0B97D4D0" w:rsidRPr="00B450EB">
        <w:t>hectáreas</w:t>
      </w:r>
      <w:r w:rsidR="5B673AFE" w:rsidRPr="00B450EB">
        <w:t xml:space="preserve"> en bioma </w:t>
      </w:r>
      <w:r w:rsidR="5968E2F0" w:rsidRPr="00B450EB">
        <w:t>amazónico</w:t>
      </w:r>
      <w:r w:rsidR="22A23485" w:rsidRPr="00B450EB">
        <w:t xml:space="preserve">. En cuanto a la </w:t>
      </w:r>
      <w:r w:rsidR="00103E6E" w:rsidRPr="00B450EB">
        <w:t>categoría de pastos</w:t>
      </w:r>
      <w:r w:rsidR="5C6340FE" w:rsidRPr="00B450EB">
        <w:t>,</w:t>
      </w:r>
      <w:r w:rsidR="00103E6E" w:rsidRPr="00B450EB">
        <w:t xml:space="preserve"> para el año 2022 </w:t>
      </w:r>
      <w:r w:rsidR="5C6340FE" w:rsidRPr="00B450EB">
        <w:t xml:space="preserve">abarca un </w:t>
      </w:r>
      <w:r w:rsidR="00103E6E" w:rsidRPr="00B450EB">
        <w:t>6</w:t>
      </w:r>
      <w:r w:rsidR="00E72328" w:rsidRPr="00B450EB">
        <w:t>,</w:t>
      </w:r>
      <w:r w:rsidR="00103E6E" w:rsidRPr="00B450EB">
        <w:t xml:space="preserve">77% </w:t>
      </w:r>
      <w:r w:rsidR="5C6340FE" w:rsidRPr="00B450EB">
        <w:t xml:space="preserve">del total </w:t>
      </w:r>
      <w:r w:rsidR="00103E6E" w:rsidRPr="00B450EB">
        <w:t>(</w:t>
      </w:r>
      <w:r w:rsidR="00103E6E" w:rsidRPr="00B450EB">
        <w:rPr>
          <w:rFonts w:eastAsia="Times New Roman" w:cs="Arial"/>
          <w:lang w:eastAsia="es-CO"/>
        </w:rPr>
        <w:t>3.020.433</w:t>
      </w:r>
      <w:r w:rsidR="009676DB" w:rsidRPr="00B450EB">
        <w:rPr>
          <w:rFonts w:eastAsia="Times New Roman" w:cs="Arial"/>
          <w:lang w:eastAsia="es-CO"/>
        </w:rPr>
        <w:t>,</w:t>
      </w:r>
      <w:r w:rsidR="00103E6E" w:rsidRPr="00B450EB">
        <w:rPr>
          <w:rFonts w:eastAsia="Times New Roman" w:cs="Arial"/>
          <w:lang w:eastAsia="es-CO"/>
        </w:rPr>
        <w:t>624 ha</w:t>
      </w:r>
      <w:r w:rsidR="5C6340FE" w:rsidRPr="00B450EB">
        <w:rPr>
          <w:rFonts w:eastAsia="Times New Roman" w:cs="Arial"/>
          <w:lang w:eastAsia="es-CO"/>
        </w:rPr>
        <w:t>), mientras que</w:t>
      </w:r>
      <w:r w:rsidR="00103E6E" w:rsidRPr="00B450EB">
        <w:rPr>
          <w:rFonts w:eastAsia="Times New Roman" w:cs="Arial"/>
          <w:lang w:eastAsia="es-CO"/>
        </w:rPr>
        <w:t xml:space="preserve"> para el año 2024 </w:t>
      </w:r>
      <w:r w:rsidR="5C6340FE" w:rsidRPr="00B450EB">
        <w:rPr>
          <w:rFonts w:eastAsia="Times New Roman" w:cs="Arial"/>
          <w:lang w:eastAsia="es-CO"/>
        </w:rPr>
        <w:t xml:space="preserve">esta </w:t>
      </w:r>
      <w:r w:rsidR="44186153" w:rsidRPr="00B450EB">
        <w:rPr>
          <w:rFonts w:eastAsia="Times New Roman" w:cs="Arial"/>
          <w:lang w:eastAsia="es-CO"/>
        </w:rPr>
        <w:t>área</w:t>
      </w:r>
      <w:r w:rsidR="435CA304" w:rsidRPr="00B450EB">
        <w:rPr>
          <w:rFonts w:eastAsia="Times New Roman" w:cs="Arial"/>
          <w:lang w:eastAsia="es-CO"/>
        </w:rPr>
        <w:t xml:space="preserve"> incrementa a </w:t>
      </w:r>
      <w:r w:rsidR="00103E6E" w:rsidRPr="00B450EB">
        <w:rPr>
          <w:rFonts w:eastAsia="Times New Roman" w:cs="Arial"/>
          <w:lang w:eastAsia="es-CO"/>
        </w:rPr>
        <w:t>3</w:t>
      </w:r>
      <w:r w:rsidR="00E72328" w:rsidRPr="00B450EB">
        <w:rPr>
          <w:rFonts w:eastAsia="Times New Roman" w:cs="Arial"/>
          <w:lang w:eastAsia="es-CO"/>
        </w:rPr>
        <w:t>.</w:t>
      </w:r>
      <w:r w:rsidR="00103E6E" w:rsidRPr="00B450EB">
        <w:rPr>
          <w:rFonts w:eastAsia="Times New Roman" w:cs="Arial"/>
          <w:lang w:eastAsia="es-CO"/>
        </w:rPr>
        <w:t>281</w:t>
      </w:r>
      <w:r w:rsidR="00E72328" w:rsidRPr="00B450EB">
        <w:rPr>
          <w:rFonts w:eastAsia="Times New Roman" w:cs="Arial"/>
          <w:lang w:eastAsia="es-CO"/>
        </w:rPr>
        <w:t>.</w:t>
      </w:r>
      <w:r w:rsidR="00103E6E" w:rsidRPr="00B450EB">
        <w:rPr>
          <w:rFonts w:eastAsia="Times New Roman" w:cs="Arial"/>
          <w:lang w:eastAsia="es-CO"/>
        </w:rPr>
        <w:t>418</w:t>
      </w:r>
      <w:r w:rsidR="00E72328" w:rsidRPr="00B450EB">
        <w:rPr>
          <w:rFonts w:eastAsia="Times New Roman" w:cs="Arial"/>
          <w:lang w:eastAsia="es-CO"/>
        </w:rPr>
        <w:t>,</w:t>
      </w:r>
      <w:r w:rsidR="00103E6E" w:rsidRPr="00B450EB">
        <w:rPr>
          <w:rFonts w:eastAsia="Times New Roman" w:cs="Arial"/>
          <w:lang w:eastAsia="es-CO"/>
        </w:rPr>
        <w:t>451 ha</w:t>
      </w:r>
      <w:r w:rsidR="74C785A6" w:rsidRPr="00B450EB">
        <w:rPr>
          <w:rFonts w:eastAsia="Times New Roman" w:cs="Arial"/>
          <w:lang w:eastAsia="es-CO"/>
        </w:rPr>
        <w:t>,</w:t>
      </w:r>
      <w:r w:rsidR="00103E6E" w:rsidRPr="00B450EB">
        <w:rPr>
          <w:rFonts w:eastAsia="Times New Roman" w:cs="Arial"/>
          <w:lang w:eastAsia="es-CO"/>
        </w:rPr>
        <w:t xml:space="preserve"> mostrando un aumento aproximado de 260</w:t>
      </w:r>
      <w:r w:rsidR="00E72328" w:rsidRPr="00B450EB">
        <w:rPr>
          <w:rFonts w:eastAsia="Times New Roman" w:cs="Arial"/>
          <w:lang w:eastAsia="es-CO"/>
        </w:rPr>
        <w:t>.</w:t>
      </w:r>
      <w:r w:rsidR="00103E6E" w:rsidRPr="00B450EB">
        <w:rPr>
          <w:rFonts w:eastAsia="Times New Roman" w:cs="Arial"/>
          <w:lang w:eastAsia="es-CO"/>
        </w:rPr>
        <w:t>984</w:t>
      </w:r>
      <w:r w:rsidR="00E72328" w:rsidRPr="00B450EB">
        <w:rPr>
          <w:rFonts w:eastAsia="Times New Roman" w:cs="Arial"/>
          <w:lang w:eastAsia="es-CO"/>
        </w:rPr>
        <w:t>,</w:t>
      </w:r>
      <w:r w:rsidR="00103E6E" w:rsidRPr="00B450EB">
        <w:rPr>
          <w:rFonts w:eastAsia="Times New Roman" w:cs="Arial"/>
          <w:lang w:eastAsia="es-CO"/>
        </w:rPr>
        <w:t>828 ha</w:t>
      </w:r>
      <w:r w:rsidR="74C785A6" w:rsidRPr="00B450EB">
        <w:rPr>
          <w:rFonts w:eastAsia="Times New Roman" w:cs="Arial"/>
          <w:lang w:eastAsia="es-CO"/>
        </w:rPr>
        <w:t xml:space="preserve">. Seguidamente, </w:t>
      </w:r>
      <w:r w:rsidR="5DF065E5" w:rsidRPr="00B450EB">
        <w:rPr>
          <w:rFonts w:eastAsia="Times New Roman" w:cs="Arial"/>
          <w:lang w:eastAsia="es-CO"/>
        </w:rPr>
        <w:t>las áreas</w:t>
      </w:r>
      <w:r w:rsidR="00103E6E" w:rsidRPr="00B450EB">
        <w:rPr>
          <w:rFonts w:eastAsia="Times New Roman" w:cs="Arial"/>
          <w:lang w:eastAsia="es-CO"/>
        </w:rPr>
        <w:t xml:space="preserve"> con vegetación herbácea y/o arbustiva </w:t>
      </w:r>
      <w:r w:rsidR="5DF065E5" w:rsidRPr="00B450EB">
        <w:rPr>
          <w:rFonts w:eastAsia="Times New Roman" w:cs="Arial"/>
          <w:lang w:eastAsia="es-CO"/>
        </w:rPr>
        <w:t xml:space="preserve">representan el </w:t>
      </w:r>
      <w:r w:rsidR="00103E6E" w:rsidRPr="00B450EB">
        <w:rPr>
          <w:rFonts w:eastAsia="Times New Roman" w:cs="Arial"/>
          <w:lang w:eastAsia="es-CO"/>
        </w:rPr>
        <w:t>6</w:t>
      </w:r>
      <w:r w:rsidR="00E72328" w:rsidRPr="00B450EB">
        <w:rPr>
          <w:rFonts w:eastAsia="Times New Roman" w:cs="Arial"/>
          <w:lang w:eastAsia="es-CO"/>
        </w:rPr>
        <w:t>,</w:t>
      </w:r>
      <w:r w:rsidR="00103E6E" w:rsidRPr="00B450EB">
        <w:rPr>
          <w:rFonts w:eastAsia="Times New Roman" w:cs="Arial"/>
          <w:lang w:eastAsia="es-CO"/>
        </w:rPr>
        <w:t xml:space="preserve">63% del territorio para el </w:t>
      </w:r>
      <w:r w:rsidR="31E33B9C" w:rsidRPr="00B450EB">
        <w:rPr>
          <w:rFonts w:eastAsia="Times New Roman" w:cs="Arial"/>
          <w:lang w:eastAsia="es-CO"/>
        </w:rPr>
        <w:t xml:space="preserve">año </w:t>
      </w:r>
      <w:r w:rsidR="00103E6E" w:rsidRPr="00B450EB">
        <w:rPr>
          <w:rFonts w:eastAsia="Times New Roman" w:cs="Arial"/>
          <w:lang w:eastAsia="es-CO"/>
        </w:rPr>
        <w:t xml:space="preserve">2022 </w:t>
      </w:r>
      <w:r w:rsidR="17D2F637" w:rsidRPr="00B450EB">
        <w:rPr>
          <w:rFonts w:eastAsia="Times New Roman" w:cs="Arial"/>
          <w:lang w:eastAsia="es-CO"/>
        </w:rPr>
        <w:t>registrando</w:t>
      </w:r>
      <w:r w:rsidR="00103E6E" w:rsidRPr="00B450EB">
        <w:rPr>
          <w:rFonts w:eastAsia="Times New Roman" w:cs="Arial"/>
          <w:lang w:eastAsia="es-CO"/>
        </w:rPr>
        <w:t xml:space="preserve"> 3</w:t>
      </w:r>
      <w:r w:rsidR="00E72328" w:rsidRPr="00B450EB">
        <w:rPr>
          <w:rFonts w:eastAsia="Times New Roman" w:cs="Arial"/>
          <w:lang w:eastAsia="es-CO"/>
        </w:rPr>
        <w:t>.</w:t>
      </w:r>
      <w:r w:rsidR="00103E6E" w:rsidRPr="00B450EB">
        <w:rPr>
          <w:rFonts w:eastAsia="Times New Roman" w:cs="Arial"/>
          <w:lang w:eastAsia="es-CO"/>
        </w:rPr>
        <w:t>237</w:t>
      </w:r>
      <w:r w:rsidR="00E72328" w:rsidRPr="00B450EB">
        <w:rPr>
          <w:rFonts w:eastAsia="Times New Roman" w:cs="Arial"/>
          <w:lang w:eastAsia="es-CO"/>
        </w:rPr>
        <w:t>.</w:t>
      </w:r>
      <w:r w:rsidR="00103E6E" w:rsidRPr="00B450EB">
        <w:rPr>
          <w:rFonts w:eastAsia="Times New Roman" w:cs="Arial"/>
          <w:lang w:eastAsia="es-CO"/>
        </w:rPr>
        <w:t>261</w:t>
      </w:r>
      <w:r w:rsidR="00E72328" w:rsidRPr="00B450EB">
        <w:rPr>
          <w:rFonts w:eastAsia="Times New Roman" w:cs="Arial"/>
          <w:lang w:eastAsia="es-CO"/>
        </w:rPr>
        <w:t>,</w:t>
      </w:r>
      <w:r w:rsidR="00103E6E" w:rsidRPr="00B450EB">
        <w:rPr>
          <w:rFonts w:eastAsia="Times New Roman" w:cs="Arial"/>
          <w:lang w:eastAsia="es-CO"/>
        </w:rPr>
        <w:t>565 ha</w:t>
      </w:r>
      <w:r w:rsidR="17D2F637" w:rsidRPr="00B450EB">
        <w:rPr>
          <w:rFonts w:eastAsia="Times New Roman" w:cs="Arial"/>
          <w:lang w:eastAsia="es-CO"/>
        </w:rPr>
        <w:t>, sin embargo</w:t>
      </w:r>
      <w:r w:rsidR="3022F682" w:rsidRPr="00B450EB">
        <w:rPr>
          <w:rFonts w:eastAsia="Times New Roman" w:cs="Arial"/>
          <w:lang w:eastAsia="es-CO"/>
        </w:rPr>
        <w:t>,</w:t>
      </w:r>
      <w:r w:rsidR="17D2F637" w:rsidRPr="00B450EB">
        <w:rPr>
          <w:rFonts w:eastAsia="Times New Roman" w:cs="Arial"/>
          <w:lang w:eastAsia="es-CO"/>
        </w:rPr>
        <w:t xml:space="preserve"> para el año </w:t>
      </w:r>
      <w:r w:rsidR="00103E6E" w:rsidRPr="00B450EB">
        <w:rPr>
          <w:rFonts w:eastAsia="Times New Roman" w:cs="Arial"/>
          <w:lang w:eastAsia="es-CO"/>
        </w:rPr>
        <w:t xml:space="preserve">2024 </w:t>
      </w:r>
      <w:r w:rsidR="17D2F637" w:rsidRPr="00B450EB">
        <w:rPr>
          <w:rFonts w:eastAsia="Times New Roman" w:cs="Arial"/>
          <w:lang w:eastAsia="es-CO"/>
        </w:rPr>
        <w:t xml:space="preserve">disminuyen a </w:t>
      </w:r>
      <w:r w:rsidR="00103E6E" w:rsidRPr="00B450EB">
        <w:rPr>
          <w:rFonts w:eastAsia="Times New Roman" w:cs="Arial"/>
          <w:lang w:eastAsia="es-CO"/>
        </w:rPr>
        <w:t>3</w:t>
      </w:r>
      <w:r w:rsidR="00E72328" w:rsidRPr="00B450EB">
        <w:rPr>
          <w:rFonts w:eastAsia="Times New Roman" w:cs="Arial"/>
          <w:lang w:eastAsia="es-CO"/>
        </w:rPr>
        <w:t>.</w:t>
      </w:r>
      <w:r w:rsidR="00103E6E" w:rsidRPr="00B450EB">
        <w:rPr>
          <w:rFonts w:eastAsia="Times New Roman" w:cs="Arial"/>
          <w:lang w:eastAsia="es-CO"/>
        </w:rPr>
        <w:t>213</w:t>
      </w:r>
      <w:r w:rsidR="00E72328" w:rsidRPr="00B450EB">
        <w:rPr>
          <w:rFonts w:eastAsia="Times New Roman" w:cs="Arial"/>
          <w:lang w:eastAsia="es-CO"/>
        </w:rPr>
        <w:t>.</w:t>
      </w:r>
      <w:r w:rsidR="00103E6E" w:rsidRPr="00B450EB">
        <w:rPr>
          <w:rFonts w:eastAsia="Times New Roman" w:cs="Arial"/>
          <w:lang w:eastAsia="es-CO"/>
        </w:rPr>
        <w:t>049</w:t>
      </w:r>
      <w:r w:rsidR="00E72328" w:rsidRPr="00B450EB">
        <w:rPr>
          <w:rFonts w:eastAsia="Times New Roman" w:cs="Arial"/>
          <w:lang w:eastAsia="es-CO"/>
        </w:rPr>
        <w:t>,</w:t>
      </w:r>
      <w:r w:rsidR="00103E6E" w:rsidRPr="00B450EB">
        <w:rPr>
          <w:rFonts w:eastAsia="Times New Roman" w:cs="Arial"/>
          <w:lang w:eastAsia="es-CO"/>
        </w:rPr>
        <w:t xml:space="preserve">418 </w:t>
      </w:r>
      <w:r w:rsidR="17D2F637" w:rsidRPr="00B450EB">
        <w:rPr>
          <w:rFonts w:eastAsia="Times New Roman" w:cs="Arial"/>
          <w:lang w:eastAsia="es-CO"/>
        </w:rPr>
        <w:t xml:space="preserve">ha, lo cual </w:t>
      </w:r>
      <w:r w:rsidR="3F3E1FF6" w:rsidRPr="00B450EB">
        <w:rPr>
          <w:rFonts w:eastAsia="Times New Roman" w:cs="Arial"/>
          <w:lang w:eastAsia="es-CO"/>
        </w:rPr>
        <w:t>representa</w:t>
      </w:r>
      <w:r w:rsidR="00103E6E" w:rsidRPr="00B450EB">
        <w:rPr>
          <w:rFonts w:eastAsia="Times New Roman" w:cs="Arial"/>
          <w:lang w:eastAsia="es-CO"/>
        </w:rPr>
        <w:t xml:space="preserve"> una </w:t>
      </w:r>
      <w:r w:rsidR="3F3E1FF6" w:rsidRPr="00B450EB">
        <w:rPr>
          <w:rFonts w:eastAsia="Times New Roman" w:cs="Arial"/>
          <w:lang w:eastAsia="es-CO"/>
        </w:rPr>
        <w:t xml:space="preserve">pérdida de cerca de </w:t>
      </w:r>
      <w:r w:rsidR="00103E6E" w:rsidRPr="00B450EB">
        <w:rPr>
          <w:rFonts w:eastAsia="Times New Roman" w:cs="Arial"/>
          <w:lang w:eastAsia="es-CO"/>
        </w:rPr>
        <w:t>24</w:t>
      </w:r>
      <w:r w:rsidR="00E72328" w:rsidRPr="00B450EB">
        <w:rPr>
          <w:rFonts w:eastAsia="Times New Roman" w:cs="Arial"/>
          <w:lang w:eastAsia="es-CO"/>
        </w:rPr>
        <w:t>.</w:t>
      </w:r>
      <w:r w:rsidR="00103E6E" w:rsidRPr="00B450EB">
        <w:rPr>
          <w:rFonts w:eastAsia="Times New Roman" w:cs="Arial"/>
          <w:lang w:eastAsia="es-CO"/>
        </w:rPr>
        <w:t>212</w:t>
      </w:r>
      <w:r w:rsidR="00E72328" w:rsidRPr="00B450EB">
        <w:rPr>
          <w:rFonts w:eastAsia="Times New Roman" w:cs="Arial"/>
          <w:lang w:eastAsia="es-CO"/>
        </w:rPr>
        <w:t>,</w:t>
      </w:r>
      <w:r w:rsidR="00103E6E" w:rsidRPr="00B450EB">
        <w:rPr>
          <w:rFonts w:eastAsia="Times New Roman" w:cs="Arial"/>
          <w:lang w:eastAsia="es-CO"/>
        </w:rPr>
        <w:t xml:space="preserve">147 ha. Lo </w:t>
      </w:r>
      <w:r w:rsidR="79AC584E" w:rsidRPr="00B450EB">
        <w:rPr>
          <w:rFonts w:eastAsia="Times New Roman" w:cs="Arial"/>
          <w:lang w:eastAsia="es-CO"/>
        </w:rPr>
        <w:t>mencionado anteriormente muestra</w:t>
      </w:r>
      <w:r w:rsidR="00103E6E" w:rsidRPr="00B450EB">
        <w:rPr>
          <w:rFonts w:eastAsia="Times New Roman" w:cs="Arial"/>
          <w:lang w:eastAsia="es-CO"/>
        </w:rPr>
        <w:t xml:space="preserve"> la </w:t>
      </w:r>
      <w:r w:rsidR="79AC584E" w:rsidRPr="00B450EB">
        <w:rPr>
          <w:rFonts w:eastAsia="Times New Roman" w:cs="Arial"/>
          <w:lang w:eastAsia="es-CO"/>
        </w:rPr>
        <w:t xml:space="preserve">tendencia de </w:t>
      </w:r>
      <w:r w:rsidR="00103E6E" w:rsidRPr="00B450EB">
        <w:rPr>
          <w:rFonts w:eastAsia="Times New Roman" w:cs="Arial"/>
          <w:lang w:eastAsia="es-CO"/>
        </w:rPr>
        <w:t xml:space="preserve">perdida de </w:t>
      </w:r>
      <w:r w:rsidR="79AC584E" w:rsidRPr="00B450EB">
        <w:rPr>
          <w:rFonts w:eastAsia="Times New Roman" w:cs="Arial"/>
          <w:lang w:eastAsia="es-CO"/>
        </w:rPr>
        <w:t>coberturas</w:t>
      </w:r>
      <w:r w:rsidR="00103E6E" w:rsidRPr="00B450EB">
        <w:rPr>
          <w:rFonts w:eastAsia="Times New Roman" w:cs="Arial"/>
          <w:lang w:eastAsia="es-CO"/>
        </w:rPr>
        <w:t xml:space="preserve"> naturales y seminaturales (bosques, herbazales, arbustal, vegetación secundaria, entre otras) así como el aumento en </w:t>
      </w:r>
      <w:r w:rsidR="0D5D78BE" w:rsidRPr="00B450EB">
        <w:rPr>
          <w:rFonts w:eastAsia="Times New Roman" w:cs="Arial"/>
          <w:lang w:eastAsia="es-CO"/>
        </w:rPr>
        <w:t>categorías</w:t>
      </w:r>
      <w:r w:rsidR="00103E6E" w:rsidRPr="00B450EB">
        <w:rPr>
          <w:rFonts w:eastAsia="Times New Roman" w:cs="Arial"/>
          <w:lang w:eastAsia="es-CO"/>
        </w:rPr>
        <w:t xml:space="preserve"> agrícolas (pastos, cultivos transitorios y permanentes), </w:t>
      </w:r>
      <w:r w:rsidR="005E56E4" w:rsidRPr="00B450EB">
        <w:rPr>
          <w:rFonts w:eastAsia="Times New Roman" w:cs="Arial"/>
          <w:kern w:val="0"/>
          <w:lang w:eastAsia="es-CO"/>
          <w14:ligatures w14:val="none"/>
        </w:rPr>
        <w:t>en donde</w:t>
      </w:r>
      <w:r w:rsidR="00C47D5E" w:rsidRPr="00B450EB">
        <w:rPr>
          <w:rFonts w:eastAsia="Times New Roman" w:cs="Arial"/>
          <w:kern w:val="0"/>
          <w:lang w:eastAsia="es-CO"/>
          <w14:ligatures w14:val="none"/>
        </w:rPr>
        <w:t xml:space="preserve"> </w:t>
      </w:r>
      <w:r w:rsidR="00DC6A31" w:rsidRPr="00B450EB">
        <w:rPr>
          <w:rFonts w:eastAsia="Times New Roman" w:cs="Arial"/>
          <w:kern w:val="0"/>
          <w:lang w:eastAsia="es-CO"/>
          <w14:ligatures w14:val="none"/>
        </w:rPr>
        <w:t xml:space="preserve">el bioma amazónico colombiano </w:t>
      </w:r>
      <w:r w:rsidR="00562A5B" w:rsidRPr="00B450EB">
        <w:rPr>
          <w:rFonts w:eastAsia="Times New Roman" w:cs="Arial"/>
          <w:kern w:val="0"/>
          <w:lang w:eastAsia="es-CO"/>
          <w14:ligatures w14:val="none"/>
        </w:rPr>
        <w:t xml:space="preserve">se viene </w:t>
      </w:r>
      <w:r w:rsidR="005E56E4" w:rsidRPr="00B450EB">
        <w:rPr>
          <w:rFonts w:eastAsia="Times New Roman" w:cs="Arial"/>
          <w:kern w:val="0"/>
          <w:lang w:eastAsia="es-CO"/>
          <w14:ligatures w14:val="none"/>
        </w:rPr>
        <w:t xml:space="preserve">transformando de manera continua desde </w:t>
      </w:r>
      <w:r w:rsidR="00CB6FDB" w:rsidRPr="00B450EB">
        <w:rPr>
          <w:rFonts w:eastAsia="Times New Roman" w:cs="Arial"/>
          <w:kern w:val="0"/>
          <w:lang w:eastAsia="es-CO"/>
          <w14:ligatures w14:val="none"/>
        </w:rPr>
        <w:t xml:space="preserve">la mitad del siglo XX </w:t>
      </w:r>
      <w:r w:rsidR="004A6CDE" w:rsidRPr="00B450EB">
        <w:rPr>
          <w:rFonts w:eastAsia="Times New Roman" w:cs="Arial"/>
          <w:kern w:val="0"/>
          <w:lang w:eastAsia="es-CO"/>
          <w14:ligatures w14:val="none"/>
        </w:rPr>
        <w:t xml:space="preserve">encaminada a reemplazar </w:t>
      </w:r>
      <w:r w:rsidR="00466FFB" w:rsidRPr="00B450EB">
        <w:rPr>
          <w:rFonts w:eastAsia="Times New Roman" w:cs="Arial"/>
          <w:lang w:eastAsia="es-CO"/>
        </w:rPr>
        <w:t xml:space="preserve">bosques a pastizales como base de un modelo de </w:t>
      </w:r>
      <w:r w:rsidR="004C38BB" w:rsidRPr="00B450EB">
        <w:rPr>
          <w:rFonts w:eastAsia="Times New Roman" w:cs="Arial"/>
          <w:lang w:eastAsia="es-CO"/>
        </w:rPr>
        <w:t xml:space="preserve">ocupación y uso del </w:t>
      </w:r>
      <w:r w:rsidR="004C38BB" w:rsidRPr="00B450EB">
        <w:rPr>
          <w:rFonts w:eastAsia="Arial" w:cs="Arial"/>
        </w:rPr>
        <w:t>del territorio con ganadería extensiva</w:t>
      </w:r>
      <w:r w:rsidR="00C7048F" w:rsidRPr="00B450EB">
        <w:rPr>
          <w:rFonts w:eastAsia="Arial" w:cs="Arial"/>
        </w:rPr>
        <w:t xml:space="preserve"> (Murcia et al., 2023).</w:t>
      </w:r>
    </w:p>
    <w:p w14:paraId="61BA2972" w14:textId="0070CE42" w:rsidR="00AB3654" w:rsidRPr="00B450EB" w:rsidRDefault="00351C9B" w:rsidP="00AB3654">
      <w:pPr>
        <w:tabs>
          <w:tab w:val="left" w:pos="1677"/>
        </w:tabs>
      </w:pPr>
      <w:r w:rsidRPr="00B450EB">
        <w:rPr>
          <w:rFonts w:eastAsia="Times New Roman" w:cs="Arial"/>
          <w:kern w:val="0"/>
          <w:lang w:eastAsia="es-CO"/>
          <w14:ligatures w14:val="none"/>
        </w:rPr>
        <w:t xml:space="preserve">De esta manera </w:t>
      </w:r>
      <w:r w:rsidR="00AB3654" w:rsidRPr="00B450EB">
        <w:rPr>
          <w:rFonts w:eastAsia="Times New Roman" w:cs="Arial"/>
          <w:kern w:val="0"/>
          <w:lang w:eastAsia="es-CO"/>
          <w14:ligatures w14:val="none"/>
        </w:rPr>
        <w:t xml:space="preserve">entre </w:t>
      </w:r>
      <w:r w:rsidR="00AB3654" w:rsidRPr="00B450EB">
        <w:t>2020 y 2025, la Amazonía colombiana ha experimentado dinámicas contrastantes en la pérdida de cobertura vegetal, con avances notables en algunos periodos y retrocesos significativos en otros. La tendencia descendente observada en 2022 y 2023 marcó un hito histórico, con la cifra más baja de deforestación en más de dos décadas. Sin embargo, en 2024 se presentó un repunte preocupante, impulsado por factores climáticos extremos, incendios forestales, acaparamiento de tierras y la expansión de economías ilegales, lo que reveló la fragilidad de los logros alcanzados. En 2025, los primeros datos sugieren nuevamente una reducción importante, en especial en áreas protegidas, lo que refleja que las políticas de monitoreo, control y restauración pueden ser efectivas cuando se sostienen de manera consistente.</w:t>
      </w:r>
    </w:p>
    <w:p w14:paraId="166C25AD" w14:textId="4D715132" w:rsidR="001E1F65" w:rsidRPr="00B450EB" w:rsidRDefault="001E1F65" w:rsidP="001E1F65">
      <w:pPr>
        <w:spacing w:line="276" w:lineRule="auto"/>
        <w:rPr>
          <w:rFonts w:eastAsia="Arial" w:cs="Arial"/>
        </w:rPr>
      </w:pPr>
      <w:r w:rsidRPr="00B450EB">
        <w:rPr>
          <w:rFonts w:eastAsia="Arial" w:cs="Arial"/>
        </w:rPr>
        <w:t xml:space="preserve">Entre el 2016 y el 2023, la Amazonía colombiana perdió 788.313 hectáreas de bosque (60,49 % de la cobertura nacional total perdida) por actividades de deforestación (IDEAM, 2024). Los años más críticos fueron 2017 con 144.147 </w:t>
      </w:r>
      <w:r w:rsidRPr="00B450EB">
        <w:rPr>
          <w:rFonts w:eastAsia="Arial" w:cs="Arial"/>
        </w:rPr>
        <w:lastRenderedPageBreak/>
        <w:t xml:space="preserve">hectáreas y 2018 con 138.176 hectáreas perdidas de bosque natural (en su conjunto el 39 % del total deforestado en la Amazonía), que coinciden con la salida de </w:t>
      </w:r>
      <w:r w:rsidR="1EBB9BC1" w:rsidRPr="00B450EB">
        <w:rPr>
          <w:rFonts w:eastAsia="Arial" w:cs="Arial"/>
        </w:rPr>
        <w:t>los grupos al margen de la ley</w:t>
      </w:r>
      <w:r w:rsidRPr="00B450EB">
        <w:rPr>
          <w:rFonts w:eastAsia="Arial" w:cs="Arial"/>
        </w:rPr>
        <w:t xml:space="preserve"> de estos territorios por cuenta de la firma del acuerdo de paz en 2016.</w:t>
      </w:r>
    </w:p>
    <w:p w14:paraId="50961937" w14:textId="10EB98C8" w:rsidR="00B96134" w:rsidRPr="00B450EB" w:rsidRDefault="00B96134" w:rsidP="00E81A22">
      <w:pPr>
        <w:rPr>
          <w:rFonts w:cs="Arial"/>
        </w:rPr>
      </w:pPr>
      <w:r w:rsidRPr="00B450EB">
        <w:rPr>
          <w:rFonts w:cs="Arial"/>
        </w:rPr>
        <w:t>Estos procesos de deforestación no solo implican la pérdida de cobertura forestal, sino que también alteran la regulación climática, interrumpen los flujos biológicos entre las zonas andinas y amazónicas y comprometen la provisión de recursos esenciales para las comunidades locales (Poveda et al., 2009). Estudios recientes estiman que Colombia pierde en promedio 1.500 km² de bosque amazónico cada año, lo que debilita de manera significativa la conectividad ecológica entre la cordillera de los Andes y la Amazonía, un vínculo esencial para la persistencia de las especies y el mantenimiento de procesos ecológicos fundamentales (Vásquez, 2024).</w:t>
      </w:r>
    </w:p>
    <w:p w14:paraId="6F73CC4D" w14:textId="6FAB65BE" w:rsidR="00EC1667" w:rsidRPr="00B450EB" w:rsidRDefault="001E1F65" w:rsidP="00E81A22">
      <w:r w:rsidRPr="00B450EB">
        <w:rPr>
          <w:rFonts w:eastAsia="Arial" w:cs="Arial"/>
        </w:rPr>
        <w:t xml:space="preserve">Las áreas de manejo diferenciado para la conservación también se han visto afectadas por las talas en las últimas décadas: 13 de las 14 áreas </w:t>
      </w:r>
      <w:r w:rsidR="451FD601" w:rsidRPr="00B450EB">
        <w:rPr>
          <w:rFonts w:eastAsia="Arial" w:cs="Arial"/>
        </w:rPr>
        <w:t>de</w:t>
      </w:r>
      <w:r w:rsidR="1DF1DF5D" w:rsidRPr="00B450EB">
        <w:rPr>
          <w:rFonts w:eastAsia="Arial" w:cs="Arial"/>
        </w:rPr>
        <w:t xml:space="preserve"> </w:t>
      </w:r>
      <w:r w:rsidR="451FD601" w:rsidRPr="00B450EB">
        <w:rPr>
          <w:rFonts w:eastAsia="Arial" w:cs="Arial"/>
        </w:rPr>
        <w:t>P</w:t>
      </w:r>
      <w:r w:rsidR="7304DCF7" w:rsidRPr="00B450EB">
        <w:rPr>
          <w:rFonts w:eastAsia="Arial" w:cs="Arial"/>
        </w:rPr>
        <w:t xml:space="preserve">arques </w:t>
      </w:r>
      <w:r w:rsidR="451FD601" w:rsidRPr="00B450EB">
        <w:rPr>
          <w:rFonts w:eastAsia="Arial" w:cs="Arial"/>
        </w:rPr>
        <w:t>N</w:t>
      </w:r>
      <w:r w:rsidR="44E953EB" w:rsidRPr="00B450EB">
        <w:rPr>
          <w:rFonts w:eastAsia="Arial" w:cs="Arial"/>
        </w:rPr>
        <w:t xml:space="preserve">acionales </w:t>
      </w:r>
      <w:r w:rsidR="24390241" w:rsidRPr="00B450EB">
        <w:rPr>
          <w:rFonts w:eastAsia="Arial" w:cs="Arial"/>
        </w:rPr>
        <w:t>Naturales (PNN)</w:t>
      </w:r>
      <w:r w:rsidRPr="00B450EB">
        <w:rPr>
          <w:rFonts w:eastAsia="Arial" w:cs="Arial"/>
        </w:rPr>
        <w:t xml:space="preserve"> ubicadas en territorios amazónicos reflejan procesos de deforestación. El PNN </w:t>
      </w:r>
      <w:proofErr w:type="spellStart"/>
      <w:r w:rsidRPr="00B450EB">
        <w:rPr>
          <w:rFonts w:eastAsia="Arial" w:cs="Arial"/>
        </w:rPr>
        <w:t>Tinigua</w:t>
      </w:r>
      <w:proofErr w:type="spellEnd"/>
      <w:r w:rsidRPr="00B450EB">
        <w:rPr>
          <w:rFonts w:eastAsia="Arial" w:cs="Arial"/>
        </w:rPr>
        <w:t xml:space="preserve"> es el más deforestado del país y de Latinoamérica, tanto así que entre los años 2016 y 2023 perdió la mitad de su área en bosque (42.474 ha). Le sigue el PNN Sierra de la Macarena, con un acumulado de 21.290 hectáreas perdidas en el mismo periodo.</w:t>
      </w:r>
    </w:p>
    <w:p w14:paraId="3DD4DE25" w14:textId="6CAB0DD1" w:rsidR="00AB3654" w:rsidRPr="00B450EB" w:rsidRDefault="00AB3654" w:rsidP="00E81A22">
      <w:r w:rsidRPr="00B450EB">
        <w:t>La pérdida de cobertura vegetal no solo se expresa en la reducción de bosques primarios, sino también en la fragmentación y degradación de paisajes, lo cual compromete la conectividad ecológica, la regulación hídrica, la captura de carbono y la resiliencia frente al cambio climático. Además, el reemplazo de bosques por pasturas y cultivos extensivos genera procesos de erosión, pérdida de fertilidad de suelos y mayor vulnerabilidad a incendios, acentuando los impactos ambientales y socioeconómicos</w:t>
      </w:r>
      <w:r w:rsidR="00C6157D" w:rsidRPr="00B450EB">
        <w:t>, tales como</w:t>
      </w:r>
      <w:r w:rsidR="00C6157D" w:rsidRPr="00B450EB">
        <w:rPr>
          <w:rFonts w:eastAsia="Calibri" w:cs="Arial"/>
        </w:rPr>
        <w:t xml:space="preserve"> un </w:t>
      </w:r>
      <w:r w:rsidR="009271A1" w:rsidRPr="00B450EB">
        <w:rPr>
          <w:rFonts w:eastAsia="Calibri" w:cs="Arial"/>
        </w:rPr>
        <w:t>fuerte deterioro de las condiciones de vida y de pervivencia cultural de los pueblos indígenas, quienes ven restringido el acceso a los bienes comunes que sustentan su subsistencia.</w:t>
      </w:r>
      <w:sdt>
        <w:sdtPr>
          <w:rPr>
            <w:rFonts w:eastAsia="Calibri" w:cs="Arial"/>
          </w:rPr>
          <w:id w:val="-1915315056"/>
          <w:citation/>
        </w:sdtPr>
        <w:sdtContent>
          <w:r w:rsidR="009271A1" w:rsidRPr="00B450EB">
            <w:rPr>
              <w:rFonts w:eastAsia="Calibri" w:cs="Arial"/>
            </w:rPr>
            <w:fldChar w:fldCharType="begin"/>
          </w:r>
          <w:r w:rsidR="009271A1" w:rsidRPr="00B450EB">
            <w:rPr>
              <w:rFonts w:eastAsia="Calibri" w:cs="Arial"/>
              <w:lang w:val="es-ES"/>
            </w:rPr>
            <w:instrText xml:space="preserve"> CITATION Fun24 \l 3082 </w:instrText>
          </w:r>
          <w:r w:rsidR="009271A1" w:rsidRPr="00B450EB">
            <w:rPr>
              <w:rFonts w:eastAsia="Calibri" w:cs="Arial"/>
            </w:rPr>
            <w:fldChar w:fldCharType="separate"/>
          </w:r>
          <w:r w:rsidR="0077091E" w:rsidRPr="00B450EB">
            <w:rPr>
              <w:rFonts w:eastAsia="Calibri" w:cs="Arial"/>
              <w:noProof/>
              <w:lang w:val="es-ES"/>
            </w:rPr>
            <w:t xml:space="preserve"> (Fundación para la Conservación y el Desarrollo Sostenible (FCDS), 2024)</w:t>
          </w:r>
          <w:r w:rsidR="009271A1" w:rsidRPr="00B450EB">
            <w:rPr>
              <w:rFonts w:eastAsia="Calibri" w:cs="Arial"/>
            </w:rPr>
            <w:fldChar w:fldCharType="end"/>
          </w:r>
        </w:sdtContent>
      </w:sdt>
      <w:r w:rsidRPr="00B450EB">
        <w:rPr>
          <w:rFonts w:eastAsia="Calibri" w:cs="Arial"/>
        </w:rPr>
        <w:t>.</w:t>
      </w:r>
    </w:p>
    <w:p w14:paraId="0070CA7B" w14:textId="77777777" w:rsidR="00AB3654" w:rsidRPr="00B450EB" w:rsidRDefault="00AB3654" w:rsidP="00E81A22">
      <w:r w:rsidRPr="00B450EB">
        <w:t xml:space="preserve">De acuerdo con análisis espaciales desarrollados por Hansen </w:t>
      </w:r>
      <w:r w:rsidRPr="00B450EB">
        <w:rPr>
          <w:i/>
        </w:rPr>
        <w:t>et al</w:t>
      </w:r>
      <w:r w:rsidRPr="00B450EB">
        <w:t xml:space="preserve">. (Universidad de Maryland), con resolución de 30 metros, entre 2000 y 2024 se confirma la magnitud de la pérdida de cobertura arbórea en la región, información sistematizada en plataformas como </w:t>
      </w:r>
      <w:r w:rsidRPr="00B450EB">
        <w:rPr>
          <w:b/>
          <w:bCs/>
        </w:rPr>
        <w:t xml:space="preserve">Global Forest </w:t>
      </w:r>
      <w:proofErr w:type="spellStart"/>
      <w:r w:rsidRPr="00B450EB">
        <w:rPr>
          <w:b/>
          <w:bCs/>
        </w:rPr>
        <w:t>Watch</w:t>
      </w:r>
      <w:proofErr w:type="spellEnd"/>
      <w:r w:rsidRPr="00B450EB">
        <w:rPr>
          <w:b/>
          <w:bCs/>
        </w:rPr>
        <w:t xml:space="preserve"> (2024)</w:t>
      </w:r>
      <w:r w:rsidRPr="00B450EB">
        <w:t>.</w:t>
      </w:r>
    </w:p>
    <w:p w14:paraId="05677EC3" w14:textId="77777777" w:rsidR="00E81A22" w:rsidRPr="00B450EB" w:rsidRDefault="00E81A22" w:rsidP="00E81A22"/>
    <w:p w14:paraId="5DA3F021" w14:textId="77777777" w:rsidR="00E81A22" w:rsidRPr="00B450EB" w:rsidRDefault="00E81A22" w:rsidP="00E81A22"/>
    <w:p w14:paraId="021483A4" w14:textId="2B4DE44F" w:rsidR="00AB3654" w:rsidRPr="00B450EB" w:rsidRDefault="00AB3654" w:rsidP="007B245E">
      <w:pPr>
        <w:pStyle w:val="Descripcin"/>
        <w:rPr>
          <w:color w:val="auto"/>
        </w:rPr>
      </w:pPr>
      <w:bookmarkStart w:id="76" w:name="_Toc209462737"/>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49</w:t>
      </w:r>
      <w:r w:rsidR="0045353A" w:rsidRPr="00B450EB">
        <w:rPr>
          <w:noProof/>
          <w:color w:val="auto"/>
        </w:rPr>
        <w:fldChar w:fldCharType="end"/>
      </w:r>
      <w:r w:rsidR="007B245E" w:rsidRPr="00B450EB">
        <w:rPr>
          <w:color w:val="auto"/>
        </w:rPr>
        <w:t>.</w:t>
      </w:r>
      <w:r w:rsidRPr="00B450EB">
        <w:rPr>
          <w:color w:val="auto"/>
        </w:rPr>
        <w:t xml:space="preserve"> Perdida de Cobertura Arborea en la Amazonía colombiana</w:t>
      </w:r>
      <w:bookmarkEnd w:id="76"/>
    </w:p>
    <w:p w14:paraId="680ACB79" w14:textId="7EDF8B80" w:rsidR="00AB3654" w:rsidRPr="00B450EB" w:rsidRDefault="00AB3654" w:rsidP="00AB3654">
      <w:pPr>
        <w:spacing w:after="0"/>
        <w:jc w:val="center"/>
      </w:pPr>
      <w:r w:rsidRPr="00B450EB">
        <w:rPr>
          <w:noProof/>
        </w:rPr>
        <w:drawing>
          <wp:inline distT="0" distB="0" distL="0" distR="0" wp14:anchorId="73424571" wp14:editId="506EF1C1">
            <wp:extent cx="5353050" cy="2957787"/>
            <wp:effectExtent l="0" t="0" r="0" b="0"/>
            <wp:docPr id="2126946075" name="drawing"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946075" name="drawing" descr="Mapa&#10;&#10;El contenido generado por IA puede ser incorrecto."/>
                    <pic:cNvPicPr/>
                  </pic:nvPicPr>
                  <pic:blipFill>
                    <a:blip r:embed="rId93">
                      <a:extLst>
                        <a:ext uri="{28A0092B-C50C-407E-A947-70E740481C1C}">
                          <a14:useLocalDpi xmlns:a14="http://schemas.microsoft.com/office/drawing/2010/main" val="0"/>
                        </a:ext>
                      </a:extLst>
                    </a:blip>
                    <a:stretch>
                      <a:fillRect/>
                    </a:stretch>
                  </pic:blipFill>
                  <pic:spPr>
                    <a:xfrm>
                      <a:off x="0" y="0"/>
                      <a:ext cx="5358026" cy="2960537"/>
                    </a:xfrm>
                    <a:prstGeom prst="rect">
                      <a:avLst/>
                    </a:prstGeom>
                  </pic:spPr>
                </pic:pic>
              </a:graphicData>
            </a:graphic>
          </wp:inline>
        </w:drawing>
      </w:r>
    </w:p>
    <w:p w14:paraId="012CBC55" w14:textId="7C6D34E2" w:rsidR="00AB3654" w:rsidRPr="00B450EB" w:rsidRDefault="007B245E" w:rsidP="00AB3654">
      <w:pPr>
        <w:spacing w:line="240" w:lineRule="auto"/>
        <w:jc w:val="center"/>
        <w:rPr>
          <w:rFonts w:eastAsia="Arial" w:cs="Arial"/>
          <w:sz w:val="18"/>
          <w:szCs w:val="18"/>
        </w:rPr>
      </w:pPr>
      <w:r w:rsidRPr="00B450EB">
        <w:rPr>
          <w:rFonts w:eastAsia="Arial" w:cs="Arial"/>
          <w:sz w:val="18"/>
          <w:szCs w:val="18"/>
          <w:lang w:val="en-US"/>
        </w:rPr>
        <w:t xml:space="preserve">Fuente: </w:t>
      </w:r>
      <w:r w:rsidR="00AB3654" w:rsidRPr="00B450EB">
        <w:rPr>
          <w:rFonts w:eastAsia="Arial" w:cs="Arial"/>
          <w:sz w:val="18"/>
          <w:szCs w:val="18"/>
          <w:lang w:val="en-US"/>
        </w:rPr>
        <w:t xml:space="preserve">Global Forest Watch. (2024). *Interactive map of tree cover loss and gain (2015-2024) * [Interactive map]. </w:t>
      </w:r>
      <w:proofErr w:type="spellStart"/>
      <w:r w:rsidR="00AB3654" w:rsidRPr="00B450EB">
        <w:rPr>
          <w:rFonts w:eastAsia="Arial" w:cs="Arial"/>
          <w:sz w:val="18"/>
          <w:szCs w:val="18"/>
        </w:rPr>
        <w:t>World</w:t>
      </w:r>
      <w:proofErr w:type="spellEnd"/>
      <w:r w:rsidR="00AB3654" w:rsidRPr="00B450EB">
        <w:rPr>
          <w:rFonts w:eastAsia="Arial" w:cs="Arial"/>
          <w:sz w:val="18"/>
          <w:szCs w:val="18"/>
        </w:rPr>
        <w:t xml:space="preserve"> </w:t>
      </w:r>
      <w:proofErr w:type="spellStart"/>
      <w:r w:rsidR="00AB3654" w:rsidRPr="00B450EB">
        <w:rPr>
          <w:rFonts w:eastAsia="Arial" w:cs="Arial"/>
          <w:sz w:val="18"/>
          <w:szCs w:val="18"/>
        </w:rPr>
        <w:t>Resources</w:t>
      </w:r>
      <w:proofErr w:type="spellEnd"/>
      <w:r w:rsidR="00AB3654" w:rsidRPr="00B450EB">
        <w:rPr>
          <w:rFonts w:eastAsia="Arial" w:cs="Arial"/>
          <w:sz w:val="18"/>
          <w:szCs w:val="18"/>
        </w:rPr>
        <w:t xml:space="preserve"> </w:t>
      </w:r>
      <w:proofErr w:type="spellStart"/>
      <w:r w:rsidR="00AB3654" w:rsidRPr="00B450EB">
        <w:rPr>
          <w:rFonts w:eastAsia="Arial" w:cs="Arial"/>
          <w:sz w:val="18"/>
          <w:szCs w:val="18"/>
        </w:rPr>
        <w:t>Institute</w:t>
      </w:r>
      <w:proofErr w:type="spellEnd"/>
      <w:r w:rsidR="00AB3654" w:rsidRPr="00B450EB">
        <w:rPr>
          <w:rFonts w:eastAsia="Arial" w:cs="Arial"/>
          <w:sz w:val="18"/>
          <w:szCs w:val="18"/>
        </w:rPr>
        <w:t xml:space="preserve">.  </w:t>
      </w:r>
    </w:p>
    <w:p w14:paraId="5EF6E8A8" w14:textId="2C41CC2B" w:rsidR="00351C9B" w:rsidRPr="00B450EB" w:rsidRDefault="00351C9B" w:rsidP="00103E6E">
      <w:pPr>
        <w:spacing w:after="0" w:line="240" w:lineRule="auto"/>
        <w:rPr>
          <w:rFonts w:eastAsia="Times New Roman" w:cs="Arial"/>
          <w:kern w:val="0"/>
          <w:lang w:eastAsia="es-CO"/>
          <w14:ligatures w14:val="none"/>
        </w:rPr>
      </w:pPr>
    </w:p>
    <w:p w14:paraId="3DF86961" w14:textId="2016D0C0" w:rsidR="00E81A22" w:rsidRPr="00B450EB" w:rsidRDefault="00A70FC4" w:rsidP="00A70FC4">
      <w:pPr>
        <w:spacing w:line="276" w:lineRule="auto"/>
        <w:rPr>
          <w:rFonts w:eastAsia="Arial" w:cs="Arial"/>
        </w:rPr>
      </w:pPr>
      <w:r w:rsidRPr="00B450EB">
        <w:rPr>
          <w:rFonts w:eastAsia="Arial" w:cs="Arial"/>
        </w:rPr>
        <w:t xml:space="preserve">La pérdida de bosque natural en la Amazonía colombiana tiene un profundo trasfondo en la apropiación ilegal de tierras lo cual comprende: áreas protegidas, baldíos, territorios ancestrales indígenas y terrenos de comunidades locales. Se interrelaciona con actividades económicas como la construcción de infraestructura vial sin planificación, la ganadería y agroindustria, la </w:t>
      </w:r>
      <w:proofErr w:type="spellStart"/>
      <w:r w:rsidRPr="00B450EB">
        <w:rPr>
          <w:rFonts w:eastAsia="Arial" w:cs="Arial"/>
        </w:rPr>
        <w:t>praderización</w:t>
      </w:r>
      <w:proofErr w:type="spellEnd"/>
      <w:r w:rsidRPr="00B450EB">
        <w:rPr>
          <w:rFonts w:eastAsia="Arial" w:cs="Arial"/>
        </w:rPr>
        <w:t>, la extracción de madera, los cultivos de uso ilícito y la minería ilegal (</w:t>
      </w:r>
      <w:proofErr w:type="spellStart"/>
      <w:r w:rsidRPr="00B450EB">
        <w:rPr>
          <w:rFonts w:eastAsia="Arial" w:cs="Arial"/>
        </w:rPr>
        <w:t>Güiza</w:t>
      </w:r>
      <w:proofErr w:type="spellEnd"/>
      <w:r w:rsidRPr="00B450EB">
        <w:rPr>
          <w:rFonts w:eastAsia="Arial" w:cs="Arial"/>
        </w:rPr>
        <w:t xml:space="preserve"> Suárez et al., 2021)</w:t>
      </w:r>
      <w:r w:rsidR="00776976" w:rsidRPr="00B450EB">
        <w:rPr>
          <w:rFonts w:eastAsia="Arial" w:cs="Arial"/>
        </w:rPr>
        <w:t xml:space="preserve">, </w:t>
      </w:r>
      <w:r w:rsidR="005F21FE" w:rsidRPr="00B450EB">
        <w:rPr>
          <w:rFonts w:eastAsia="Calibri" w:cs="Arial"/>
        </w:rPr>
        <w:t>as</w:t>
      </w:r>
      <w:r w:rsidR="00653C71" w:rsidRPr="00B450EB">
        <w:rPr>
          <w:rFonts w:eastAsia="Calibri" w:cs="Arial"/>
        </w:rPr>
        <w:t>í como a</w:t>
      </w:r>
      <w:r w:rsidR="005F21FE" w:rsidRPr="00B450EB">
        <w:rPr>
          <w:rFonts w:eastAsia="Calibri" w:cs="Arial"/>
        </w:rPr>
        <w:t xml:space="preserve"> la lógica especulativa de la ocupación territorial, en la que la tala y quema de bosques se convierten en la principal estrategia para demostrar posesión y obtener valor económico de la tierra en mercados formales e informales.</w:t>
      </w:r>
      <w:r w:rsidR="00653C71" w:rsidRPr="00B450EB">
        <w:rPr>
          <w:rFonts w:eastAsia="Calibri" w:cs="Arial"/>
        </w:rPr>
        <w:t xml:space="preserve"> </w:t>
      </w:r>
      <w:r w:rsidR="00790C2C" w:rsidRPr="00B450EB">
        <w:rPr>
          <w:rFonts w:eastAsia="Arial" w:cs="Arial"/>
        </w:rPr>
        <w:t>Estos agentes en conjunto</w:t>
      </w:r>
      <w:r w:rsidR="00776976" w:rsidRPr="00B450EB">
        <w:rPr>
          <w:rFonts w:eastAsia="Arial" w:cs="Arial"/>
        </w:rPr>
        <w:t xml:space="preserve"> serán detallados en el </w:t>
      </w:r>
      <w:r w:rsidR="00132AB1" w:rsidRPr="00B450EB">
        <w:rPr>
          <w:rFonts w:eastAsia="Arial" w:cs="Arial"/>
        </w:rPr>
        <w:t>capítulo</w:t>
      </w:r>
      <w:r w:rsidR="00776976" w:rsidRPr="00B450EB">
        <w:rPr>
          <w:rFonts w:eastAsia="Arial" w:cs="Arial"/>
        </w:rPr>
        <w:t xml:space="preserve"> de </w:t>
      </w:r>
      <w:r w:rsidR="00132AB1" w:rsidRPr="00B450EB">
        <w:rPr>
          <w:rFonts w:eastAsia="Arial" w:cs="Arial"/>
        </w:rPr>
        <w:t>presiones y amenaza</w:t>
      </w:r>
      <w:r w:rsidRPr="00B450EB">
        <w:rPr>
          <w:rFonts w:eastAsia="Arial" w:cs="Arial"/>
        </w:rPr>
        <w:t>. Estos conflictos, han convertido a la Amazonía colombiana en la zona con mayor pérdida de árboles en el país.</w:t>
      </w:r>
      <w:r w:rsidR="001513D8" w:rsidRPr="00B450EB">
        <w:rPr>
          <w:rFonts w:eastAsia="Arial" w:cs="Arial"/>
        </w:rPr>
        <w:t xml:space="preserve"> </w:t>
      </w:r>
    </w:p>
    <w:p w14:paraId="48F1538C" w14:textId="77777777" w:rsidR="00E81A22" w:rsidRPr="00B450EB" w:rsidRDefault="00E81A22">
      <w:pPr>
        <w:jc w:val="left"/>
        <w:rPr>
          <w:rFonts w:eastAsia="Arial" w:cs="Arial"/>
        </w:rPr>
      </w:pPr>
      <w:r w:rsidRPr="00B450EB">
        <w:rPr>
          <w:rFonts w:eastAsia="Arial" w:cs="Arial"/>
        </w:rPr>
        <w:br w:type="page"/>
      </w:r>
    </w:p>
    <w:p w14:paraId="0D661742" w14:textId="1EF7AFA2" w:rsidR="00A70FC4" w:rsidRPr="00B450EB" w:rsidRDefault="00103E6E" w:rsidP="00377AD7">
      <w:pPr>
        <w:pStyle w:val="Descripcin"/>
        <w:rPr>
          <w:color w:val="auto"/>
        </w:rPr>
      </w:pPr>
      <w:bookmarkStart w:id="77" w:name="_Toc209462738"/>
      <w:r w:rsidRPr="00B450EB">
        <w:rPr>
          <w:color w:val="auto"/>
        </w:rPr>
        <w:lastRenderedPageBreak/>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50</w:t>
      </w:r>
      <w:r w:rsidRPr="00B450EB">
        <w:rPr>
          <w:color w:val="auto"/>
        </w:rPr>
        <w:fldChar w:fldCharType="end"/>
      </w:r>
      <w:r w:rsidR="00A70FC4" w:rsidRPr="00B450EB">
        <w:rPr>
          <w:color w:val="auto"/>
        </w:rPr>
        <w:t>. Perdida de Bosque</w:t>
      </w:r>
      <w:r w:rsidR="00B1455C" w:rsidRPr="00B450EB">
        <w:rPr>
          <w:color w:val="auto"/>
        </w:rPr>
        <w:t xml:space="preserve"> 2022-2024</w:t>
      </w:r>
      <w:r w:rsidR="00A81243" w:rsidRPr="00B450EB">
        <w:rPr>
          <w:color w:val="auto"/>
        </w:rPr>
        <w:t>. Escala 1:100.000</w:t>
      </w:r>
      <w:bookmarkEnd w:id="77"/>
    </w:p>
    <w:p w14:paraId="2096E63E" w14:textId="43C2FD76" w:rsidR="00A70FC4" w:rsidRPr="00B450EB" w:rsidRDefault="7122E87E" w:rsidP="00A70FC4">
      <w:pPr>
        <w:spacing w:after="0" w:line="276" w:lineRule="auto"/>
      </w:pPr>
      <w:r w:rsidRPr="00B450EB">
        <w:rPr>
          <w:noProof/>
        </w:rPr>
        <w:drawing>
          <wp:inline distT="0" distB="0" distL="0" distR="0" wp14:anchorId="2FC4A275" wp14:editId="56B9EF32">
            <wp:extent cx="5619750" cy="4343400"/>
            <wp:effectExtent l="0" t="0" r="0" b="0"/>
            <wp:docPr id="5576959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695913" name=""/>
                    <pic:cNvPicPr/>
                  </pic:nvPicPr>
                  <pic:blipFill>
                    <a:blip r:embed="rId94" cstate="email">
                      <a:extLst>
                        <a:ext uri="{28A0092B-C50C-407E-A947-70E740481C1C}">
                          <a14:useLocalDpi xmlns:a14="http://schemas.microsoft.com/office/drawing/2010/main"/>
                        </a:ext>
                      </a:extLst>
                    </a:blip>
                    <a:stretch>
                      <a:fillRect/>
                    </a:stretch>
                  </pic:blipFill>
                  <pic:spPr>
                    <a:xfrm>
                      <a:off x="0" y="0"/>
                      <a:ext cx="5619750" cy="4343400"/>
                    </a:xfrm>
                    <a:prstGeom prst="rect">
                      <a:avLst/>
                    </a:prstGeom>
                  </pic:spPr>
                </pic:pic>
              </a:graphicData>
            </a:graphic>
          </wp:inline>
        </w:drawing>
      </w:r>
    </w:p>
    <w:p w14:paraId="580B92E4" w14:textId="21BB6C0E" w:rsidR="00A70FC4" w:rsidRPr="00B450EB" w:rsidRDefault="00A70FC4" w:rsidP="00A70FC4">
      <w:pPr>
        <w:spacing w:line="276" w:lineRule="auto"/>
        <w:jc w:val="center"/>
        <w:rPr>
          <w:sz w:val="18"/>
          <w:szCs w:val="18"/>
        </w:rPr>
      </w:pPr>
      <w:r w:rsidRPr="00B450EB">
        <w:rPr>
          <w:sz w:val="18"/>
          <w:szCs w:val="18"/>
        </w:rPr>
        <w:t>Fuente: SINCHI</w:t>
      </w:r>
      <w:r w:rsidR="00A81243" w:rsidRPr="00B450EB">
        <w:rPr>
          <w:sz w:val="18"/>
          <w:szCs w:val="18"/>
        </w:rPr>
        <w:t>, 2025</w:t>
      </w:r>
      <w:r w:rsidR="00792F7B" w:rsidRPr="00B450EB">
        <w:rPr>
          <w:sz w:val="18"/>
          <w:szCs w:val="18"/>
        </w:rPr>
        <w:t>.</w:t>
      </w:r>
    </w:p>
    <w:p w14:paraId="3AC89B26" w14:textId="77777777" w:rsidR="00FC6D1F" w:rsidRPr="00B450EB" w:rsidRDefault="007244DA" w:rsidP="007244DA">
      <w:pPr>
        <w:spacing w:line="276" w:lineRule="auto"/>
        <w:rPr>
          <w:rFonts w:eastAsia="Calibri" w:cs="Arial"/>
        </w:rPr>
      </w:pPr>
      <w:r w:rsidRPr="00B450EB">
        <w:rPr>
          <w:rFonts w:eastAsia="Calibri" w:cs="Arial"/>
        </w:rPr>
        <w:t xml:space="preserve">El impacto ha sido particularmente fuerte en tierras públicas y de especial protección, donde se registraron 574.350 hectáreas deforestadas, incluyendo áreas de parques nacionales, resguardos indígenas y zonas de reserva forestal de la Ley 2ª. El Parque Nacional Natural (PNN) </w:t>
      </w:r>
      <w:proofErr w:type="spellStart"/>
      <w:r w:rsidRPr="00B450EB">
        <w:rPr>
          <w:rFonts w:eastAsia="Calibri" w:cs="Arial"/>
        </w:rPr>
        <w:t>Tinigua</w:t>
      </w:r>
      <w:proofErr w:type="spellEnd"/>
      <w:r w:rsidRPr="00B450EB">
        <w:rPr>
          <w:rFonts w:eastAsia="Calibri" w:cs="Arial"/>
        </w:rPr>
        <w:t xml:space="preserve"> perdió 42.475 hectáreas, el PNN Sierra de La Macarena registró 25.991 hectáreas deforestadas, mientras que en territorios colectivos como el Resguardo Llanos del </w:t>
      </w:r>
      <w:proofErr w:type="spellStart"/>
      <w:r w:rsidRPr="00B450EB">
        <w:rPr>
          <w:rFonts w:eastAsia="Calibri" w:cs="Arial"/>
        </w:rPr>
        <w:t>Yarí</w:t>
      </w:r>
      <w:proofErr w:type="spellEnd"/>
      <w:r w:rsidRPr="00B450EB">
        <w:rPr>
          <w:rFonts w:eastAsia="Calibri" w:cs="Arial"/>
        </w:rPr>
        <w:t>–Yaguará II y el Resguardo Nukak-</w:t>
      </w:r>
      <w:proofErr w:type="spellStart"/>
      <w:r w:rsidRPr="00B450EB">
        <w:rPr>
          <w:rFonts w:eastAsia="Calibri" w:cs="Arial"/>
        </w:rPr>
        <w:t>Makú</w:t>
      </w:r>
      <w:proofErr w:type="spellEnd"/>
      <w:r w:rsidRPr="00B450EB">
        <w:rPr>
          <w:rFonts w:eastAsia="Calibri" w:cs="Arial"/>
        </w:rPr>
        <w:t xml:space="preserve"> se reportaron 13.298 y 12.089 hectáreas, respectivamente. </w:t>
      </w:r>
    </w:p>
    <w:p w14:paraId="3F1AEB6F" w14:textId="05AACE2C" w:rsidR="00E81A22" w:rsidRPr="00B450EB" w:rsidRDefault="00C02C16" w:rsidP="007244DA">
      <w:pPr>
        <w:spacing w:line="276" w:lineRule="auto"/>
        <w:rPr>
          <w:rFonts w:eastAsia="Calibri" w:cs="Arial"/>
        </w:rPr>
      </w:pPr>
      <w:r w:rsidRPr="00B450EB">
        <w:rPr>
          <w:rFonts w:eastAsia="Calibri" w:cs="Arial"/>
        </w:rPr>
        <w:t xml:space="preserve">A continuación, se muestra </w:t>
      </w:r>
      <w:r w:rsidR="00FC6D1F" w:rsidRPr="00B450EB">
        <w:rPr>
          <w:rFonts w:eastAsia="Calibri" w:cs="Arial"/>
        </w:rPr>
        <w:t>el mapa detallado de deforestación histórica</w:t>
      </w:r>
      <w:r w:rsidR="00EF6691" w:rsidRPr="00B450EB">
        <w:rPr>
          <w:rFonts w:eastAsia="Calibri" w:cs="Arial"/>
        </w:rPr>
        <w:t xml:space="preserve"> desde </w:t>
      </w:r>
      <w:r w:rsidR="00975A40" w:rsidRPr="00B450EB">
        <w:rPr>
          <w:rFonts w:eastAsia="Calibri" w:cs="Arial"/>
        </w:rPr>
        <w:t>1990 hasta 2025</w:t>
      </w:r>
      <w:r w:rsidR="002330A1" w:rsidRPr="00B450EB">
        <w:rPr>
          <w:rFonts w:eastAsia="Calibri" w:cs="Arial"/>
        </w:rPr>
        <w:t>, consolidando todas las anteriores tendencias</w:t>
      </w:r>
      <w:r w:rsidR="004B5F7D" w:rsidRPr="00B450EB">
        <w:rPr>
          <w:rFonts w:eastAsia="Calibri" w:cs="Arial"/>
        </w:rPr>
        <w:t xml:space="preserve"> descritas.</w:t>
      </w:r>
    </w:p>
    <w:p w14:paraId="7BDE0377" w14:textId="77777777" w:rsidR="00E81A22" w:rsidRPr="00B450EB" w:rsidRDefault="00E81A22">
      <w:pPr>
        <w:jc w:val="left"/>
        <w:rPr>
          <w:rFonts w:eastAsia="Calibri" w:cs="Arial"/>
        </w:rPr>
      </w:pPr>
      <w:r w:rsidRPr="00B450EB">
        <w:rPr>
          <w:rFonts w:eastAsia="Calibri" w:cs="Arial"/>
        </w:rPr>
        <w:br w:type="page"/>
      </w:r>
    </w:p>
    <w:p w14:paraId="5D8FFD93" w14:textId="7C253FE6" w:rsidR="007244DA" w:rsidRPr="00B450EB" w:rsidRDefault="007244DA" w:rsidP="007244DA">
      <w:pPr>
        <w:spacing w:after="0" w:line="240" w:lineRule="auto"/>
        <w:jc w:val="center"/>
        <w:rPr>
          <w:rFonts w:eastAsia="Calibri" w:cs="Arial"/>
          <w:i/>
          <w:iCs/>
          <w:sz w:val="18"/>
          <w:szCs w:val="18"/>
        </w:rPr>
      </w:pPr>
      <w:bookmarkStart w:id="78" w:name="_Toc209462739"/>
      <w:r w:rsidRPr="00B450EB">
        <w:rPr>
          <w:rFonts w:eastAsia="Calibri" w:cs="Arial"/>
          <w:i/>
          <w:iCs/>
          <w:sz w:val="18"/>
          <w:szCs w:val="18"/>
        </w:rPr>
        <w:lastRenderedPageBreak/>
        <w:t xml:space="preserve">Figura </w:t>
      </w:r>
      <w:r w:rsidRPr="00B450EB">
        <w:rPr>
          <w:rFonts w:eastAsia="Calibri" w:cs="Arial"/>
          <w:i/>
          <w:iCs/>
          <w:sz w:val="18"/>
          <w:szCs w:val="18"/>
        </w:rPr>
        <w:fldChar w:fldCharType="begin"/>
      </w:r>
      <w:r w:rsidRPr="00B450EB">
        <w:rPr>
          <w:rFonts w:eastAsia="Calibri" w:cs="Arial"/>
          <w:i/>
          <w:iCs/>
          <w:sz w:val="18"/>
          <w:szCs w:val="18"/>
        </w:rPr>
        <w:instrText xml:space="preserve"> SEQ Figura \* ARABIC </w:instrText>
      </w:r>
      <w:r w:rsidRPr="00B450EB">
        <w:rPr>
          <w:rFonts w:eastAsia="Calibri" w:cs="Arial"/>
          <w:i/>
          <w:iCs/>
          <w:sz w:val="18"/>
          <w:szCs w:val="18"/>
        </w:rPr>
        <w:fldChar w:fldCharType="separate"/>
      </w:r>
      <w:r w:rsidR="00010D09" w:rsidRPr="00B450EB">
        <w:rPr>
          <w:rFonts w:eastAsia="Calibri" w:cs="Arial"/>
          <w:i/>
          <w:iCs/>
          <w:noProof/>
          <w:sz w:val="18"/>
          <w:szCs w:val="18"/>
        </w:rPr>
        <w:t>51</w:t>
      </w:r>
      <w:r w:rsidRPr="00B450EB">
        <w:rPr>
          <w:rFonts w:eastAsia="Calibri" w:cs="Arial"/>
          <w:i/>
          <w:iCs/>
          <w:sz w:val="18"/>
          <w:szCs w:val="18"/>
        </w:rPr>
        <w:fldChar w:fldCharType="end"/>
      </w:r>
      <w:r w:rsidRPr="00B450EB">
        <w:rPr>
          <w:rFonts w:eastAsia="Calibri" w:cs="Arial"/>
          <w:i/>
          <w:iCs/>
          <w:sz w:val="18"/>
          <w:szCs w:val="18"/>
        </w:rPr>
        <w:t>. Deforestación (Histórico de deforestación IDEAM)</w:t>
      </w:r>
      <w:bookmarkEnd w:id="78"/>
    </w:p>
    <w:p w14:paraId="6A313874" w14:textId="7040D354" w:rsidR="004425BB" w:rsidRPr="00B450EB" w:rsidRDefault="004425BB" w:rsidP="004425BB">
      <w:pPr>
        <w:spacing w:after="0" w:line="259" w:lineRule="auto"/>
        <w:jc w:val="center"/>
        <w:rPr>
          <w:rFonts w:eastAsia="Calibri" w:cs="Arial"/>
          <w:noProof/>
          <w:sz w:val="22"/>
          <w:szCs w:val="22"/>
        </w:rPr>
      </w:pPr>
      <w:r w:rsidRPr="00B450EB">
        <w:rPr>
          <w:rFonts w:eastAsia="Calibri" w:cs="Arial"/>
          <w:noProof/>
          <w:sz w:val="22"/>
          <w:szCs w:val="22"/>
        </w:rPr>
        <w:drawing>
          <wp:inline distT="0" distB="0" distL="0" distR="0" wp14:anchorId="24479BD0" wp14:editId="6930637F">
            <wp:extent cx="5124979" cy="3960000"/>
            <wp:effectExtent l="0" t="0" r="0" b="2540"/>
            <wp:docPr id="185944487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5124979" cy="3960000"/>
                    </a:xfrm>
                    <a:prstGeom prst="rect">
                      <a:avLst/>
                    </a:prstGeom>
                    <a:noFill/>
                    <a:ln>
                      <a:noFill/>
                    </a:ln>
                  </pic:spPr>
                </pic:pic>
              </a:graphicData>
            </a:graphic>
          </wp:inline>
        </w:drawing>
      </w:r>
    </w:p>
    <w:p w14:paraId="77FFD374" w14:textId="02092D30" w:rsidR="007244DA" w:rsidRPr="00B450EB" w:rsidRDefault="007244DA" w:rsidP="007244DA">
      <w:pPr>
        <w:spacing w:line="259" w:lineRule="auto"/>
        <w:jc w:val="center"/>
        <w:rPr>
          <w:rFonts w:eastAsia="Calibri" w:cs="Arial"/>
          <w:b/>
          <w:bCs/>
          <w:sz w:val="18"/>
          <w:szCs w:val="18"/>
        </w:rPr>
      </w:pPr>
      <w:r w:rsidRPr="00B450EB">
        <w:rPr>
          <w:rFonts w:eastAsia="Calibri" w:cs="Arial"/>
          <w:sz w:val="18"/>
          <w:szCs w:val="18"/>
        </w:rPr>
        <w:t xml:space="preserve">Fuente: </w:t>
      </w:r>
      <w:r w:rsidR="00474B88" w:rsidRPr="00B450EB">
        <w:rPr>
          <w:rFonts w:eastAsia="Calibri" w:cs="Arial"/>
          <w:sz w:val="18"/>
          <w:szCs w:val="18"/>
        </w:rPr>
        <w:t>Elaboración propia a partir de información del</w:t>
      </w:r>
      <w:r w:rsidRPr="00B450EB">
        <w:rPr>
          <w:rFonts w:eastAsia="Calibri" w:cs="Arial"/>
          <w:sz w:val="18"/>
          <w:szCs w:val="18"/>
        </w:rPr>
        <w:t xml:space="preserve"> </w:t>
      </w:r>
      <w:proofErr w:type="spellStart"/>
      <w:r w:rsidRPr="00B450EB">
        <w:rPr>
          <w:rFonts w:eastAsia="Calibri" w:cs="Arial"/>
          <w:sz w:val="18"/>
          <w:szCs w:val="18"/>
        </w:rPr>
        <w:t>Geovisor</w:t>
      </w:r>
      <w:proofErr w:type="spellEnd"/>
      <w:r w:rsidRPr="00B450EB">
        <w:rPr>
          <w:rFonts w:eastAsia="Calibri" w:cs="Arial"/>
          <w:sz w:val="18"/>
          <w:szCs w:val="18"/>
        </w:rPr>
        <w:t xml:space="preserve"> Conflictos Socioambientales, publicado por FCDS (Fundación para la Conservación y el Desarrollo Sostenible)</w:t>
      </w:r>
      <w:r w:rsidR="00474B88" w:rsidRPr="00B450EB">
        <w:rPr>
          <w:rFonts w:eastAsia="Calibri" w:cs="Arial"/>
          <w:sz w:val="18"/>
          <w:szCs w:val="18"/>
        </w:rPr>
        <w:t xml:space="preserve"> e IDEAM, 2025</w:t>
      </w:r>
      <w:r w:rsidR="009D19C9" w:rsidRPr="00B450EB">
        <w:rPr>
          <w:rFonts w:eastAsia="Calibri" w:cs="Arial"/>
          <w:sz w:val="18"/>
          <w:szCs w:val="18"/>
        </w:rPr>
        <w:t>.</w:t>
      </w:r>
    </w:p>
    <w:p w14:paraId="640D242D" w14:textId="29EF2247" w:rsidR="00344A81" w:rsidRPr="00B450EB" w:rsidRDefault="00395756" w:rsidP="001C1081">
      <w:pPr>
        <w:pStyle w:val="Ttulo3"/>
        <w:numPr>
          <w:ilvl w:val="2"/>
          <w:numId w:val="16"/>
        </w:numPr>
        <w:tabs>
          <w:tab w:val="left" w:pos="1677"/>
        </w:tabs>
        <w:rPr>
          <w:rFonts w:cs="Arial"/>
          <w:szCs w:val="24"/>
        </w:rPr>
      </w:pPr>
      <w:bookmarkStart w:id="79" w:name="_Toc209722924"/>
      <w:r w:rsidRPr="00B450EB">
        <w:rPr>
          <w:rFonts w:cs="Arial"/>
          <w:szCs w:val="24"/>
        </w:rPr>
        <w:t>Flora</w:t>
      </w:r>
      <w:bookmarkEnd w:id="79"/>
    </w:p>
    <w:p w14:paraId="3EE5F4F6" w14:textId="3927CE53" w:rsidR="00851522" w:rsidRPr="00B450EB" w:rsidRDefault="00FA57E9" w:rsidP="00F75CDB">
      <w:r w:rsidRPr="00B450EB">
        <w:t>En relación con la flora de la región amazónica</w:t>
      </w:r>
      <w:r w:rsidR="0021519C" w:rsidRPr="00B450EB">
        <w:t xml:space="preserve"> en Colombia</w:t>
      </w:r>
      <w:r w:rsidRPr="00B450EB">
        <w:t xml:space="preserve">, hacia el sector nororiental </w:t>
      </w:r>
      <w:r w:rsidR="00A9340C" w:rsidRPr="00B450EB">
        <w:t xml:space="preserve">que limita con la Orinoquía </w:t>
      </w:r>
      <w:r w:rsidRPr="00B450EB">
        <w:t>dominan la selva húmeda tropical, sabanas arbustivas, sabanas amazónicas, y zonas lacustres, mientras que hacia la zona sur domina la selva húmeda tropical. Es importante mencionar que, l</w:t>
      </w:r>
      <w:r w:rsidR="00063707" w:rsidRPr="00B450EB">
        <w:t>a flora de la región Amazónica</w:t>
      </w:r>
      <w:r w:rsidR="005E1F75" w:rsidRPr="00B450EB">
        <w:t xml:space="preserve"> est</w:t>
      </w:r>
      <w:r w:rsidR="009874C4" w:rsidRPr="00B450EB">
        <w:t>á</w:t>
      </w:r>
      <w:r w:rsidR="005E1F75" w:rsidRPr="00B450EB">
        <w:t xml:space="preserve"> altamente influenciada</w:t>
      </w:r>
      <w:r w:rsidR="009874C4" w:rsidRPr="00B450EB">
        <w:t xml:space="preserve"> por </w:t>
      </w:r>
      <w:r w:rsidR="00B514D6" w:rsidRPr="00B450EB">
        <w:t>los ríos</w:t>
      </w:r>
      <w:r w:rsidR="00085CF6" w:rsidRPr="00B450EB">
        <w:t xml:space="preserve"> </w:t>
      </w:r>
      <w:r w:rsidR="00D85B70" w:rsidRPr="00B450EB">
        <w:t>y sistema</w:t>
      </w:r>
      <w:r w:rsidR="008A0802" w:rsidRPr="00B450EB">
        <w:t>s</w:t>
      </w:r>
      <w:r w:rsidR="00D85B70" w:rsidRPr="00B450EB">
        <w:t xml:space="preserve"> hídrico</w:t>
      </w:r>
      <w:r w:rsidR="008A0802" w:rsidRPr="00B450EB">
        <w:t>s</w:t>
      </w:r>
      <w:r w:rsidR="00D85B70" w:rsidRPr="00B450EB">
        <w:t xml:space="preserve"> </w:t>
      </w:r>
      <w:r w:rsidR="00085CF6" w:rsidRPr="00B450EB">
        <w:t>que la componen</w:t>
      </w:r>
      <w:r w:rsidR="00420CB6" w:rsidRPr="00B450EB">
        <w:t xml:space="preserve">, formando </w:t>
      </w:r>
      <w:r w:rsidR="005A74C8" w:rsidRPr="00B450EB">
        <w:t>varios</w:t>
      </w:r>
      <w:r w:rsidR="00420CB6" w:rsidRPr="00B450EB">
        <w:t xml:space="preserve"> ambientes principales</w:t>
      </w:r>
      <w:r w:rsidR="003B38D3" w:rsidRPr="00B450EB">
        <w:t xml:space="preserve"> (Rangel 2008)</w:t>
      </w:r>
      <w:r w:rsidR="00420CB6" w:rsidRPr="00B450EB">
        <w:t xml:space="preserve">: </w:t>
      </w:r>
    </w:p>
    <w:p w14:paraId="02E1BA42" w14:textId="77777777" w:rsidR="00851522" w:rsidRPr="00B450EB" w:rsidRDefault="00420CB6" w:rsidP="00F75CDB">
      <w:r w:rsidRPr="00B450EB">
        <w:t>(1)</w:t>
      </w:r>
      <w:r w:rsidR="00226FCC" w:rsidRPr="00B450EB">
        <w:t xml:space="preserve"> La zona acuática</w:t>
      </w:r>
      <w:r w:rsidR="00DD7496" w:rsidRPr="00B450EB">
        <w:t xml:space="preserve"> con vegetación de plantas flotantes </w:t>
      </w:r>
      <w:r w:rsidR="00D64B0C" w:rsidRPr="00B450EB">
        <w:t>(p. ej.</w:t>
      </w:r>
      <w:r w:rsidR="00DD7496" w:rsidRPr="00B450EB">
        <w:t xml:space="preserve"> </w:t>
      </w:r>
      <w:proofErr w:type="spellStart"/>
      <w:r w:rsidR="000878B6" w:rsidRPr="00B450EB">
        <w:rPr>
          <w:i/>
        </w:rPr>
        <w:t>Eichhornia</w:t>
      </w:r>
      <w:proofErr w:type="spellEnd"/>
      <w:r w:rsidR="000878B6" w:rsidRPr="00B450EB">
        <w:rPr>
          <w:i/>
        </w:rPr>
        <w:t xml:space="preserve"> </w:t>
      </w:r>
      <w:proofErr w:type="spellStart"/>
      <w:r w:rsidR="000878B6" w:rsidRPr="00B450EB">
        <w:rPr>
          <w:i/>
        </w:rPr>
        <w:t>crassipes</w:t>
      </w:r>
      <w:proofErr w:type="spellEnd"/>
      <w:r w:rsidR="00D64B0C" w:rsidRPr="00B450EB">
        <w:t xml:space="preserve">) y </w:t>
      </w:r>
      <w:r w:rsidR="00DC2E8A" w:rsidRPr="00B450EB">
        <w:t>herbáceas</w:t>
      </w:r>
      <w:r w:rsidR="00D64B0C" w:rsidRPr="00B450EB">
        <w:t xml:space="preserve"> </w:t>
      </w:r>
      <w:r w:rsidR="00781D7E" w:rsidRPr="00B450EB">
        <w:t xml:space="preserve">(p. ej. </w:t>
      </w:r>
      <w:proofErr w:type="spellStart"/>
      <w:r w:rsidR="009218D3" w:rsidRPr="00B450EB">
        <w:rPr>
          <w:i/>
        </w:rPr>
        <w:t>Uttricularia</w:t>
      </w:r>
      <w:proofErr w:type="spellEnd"/>
      <w:r w:rsidR="009218D3" w:rsidRPr="00B450EB">
        <w:rPr>
          <w:i/>
        </w:rPr>
        <w:t xml:space="preserve"> </w:t>
      </w:r>
      <w:proofErr w:type="spellStart"/>
      <w:r w:rsidR="009218D3" w:rsidRPr="00B450EB">
        <w:rPr>
          <w:i/>
        </w:rPr>
        <w:t>neottioides</w:t>
      </w:r>
      <w:proofErr w:type="spellEnd"/>
      <w:r w:rsidR="009218D3" w:rsidRPr="00B450EB">
        <w:t>)</w:t>
      </w:r>
      <w:r w:rsidR="00851522" w:rsidRPr="00B450EB">
        <w:t>.</w:t>
      </w:r>
    </w:p>
    <w:p w14:paraId="551FCC3F" w14:textId="06CDEF73" w:rsidR="00851522" w:rsidRPr="00B450EB" w:rsidRDefault="00BA3157" w:rsidP="00F75CDB">
      <w:r w:rsidRPr="00B450EB">
        <w:t>(2)</w:t>
      </w:r>
      <w:r w:rsidR="00FD0854" w:rsidRPr="00B450EB">
        <w:t xml:space="preserve"> </w:t>
      </w:r>
      <w:r w:rsidR="00851522" w:rsidRPr="00B450EB">
        <w:t>La</w:t>
      </w:r>
      <w:r w:rsidR="00FD0854" w:rsidRPr="00B450EB">
        <w:t xml:space="preserve"> vegetación de pantano</w:t>
      </w:r>
      <w:r w:rsidR="00DC2E8A" w:rsidRPr="00B450EB">
        <w:t xml:space="preserve"> donde dominan </w:t>
      </w:r>
      <w:r w:rsidR="000961BE" w:rsidRPr="00B450EB">
        <w:t xml:space="preserve">ciperáceas y </w:t>
      </w:r>
      <w:proofErr w:type="spellStart"/>
      <w:r w:rsidR="000961BE" w:rsidRPr="00B450EB">
        <w:t>poaceas</w:t>
      </w:r>
      <w:proofErr w:type="spellEnd"/>
      <w:r w:rsidR="002D6D7B" w:rsidRPr="00B450EB">
        <w:t xml:space="preserve"> (p. ej. </w:t>
      </w:r>
      <w:proofErr w:type="spellStart"/>
      <w:r w:rsidR="00084D52" w:rsidRPr="00B450EB">
        <w:rPr>
          <w:i/>
        </w:rPr>
        <w:t>Hyme</w:t>
      </w:r>
      <w:r w:rsidR="00D87C8E" w:rsidRPr="00B450EB">
        <w:rPr>
          <w:i/>
        </w:rPr>
        <w:t>nachne</w:t>
      </w:r>
      <w:proofErr w:type="spellEnd"/>
      <w:r w:rsidR="00D87C8E" w:rsidRPr="00B450EB">
        <w:rPr>
          <w:i/>
        </w:rPr>
        <w:t xml:space="preserve"> </w:t>
      </w:r>
      <w:proofErr w:type="spellStart"/>
      <w:r w:rsidR="00D87C8E" w:rsidRPr="00B450EB">
        <w:rPr>
          <w:i/>
        </w:rPr>
        <w:t>amplexicualis</w:t>
      </w:r>
      <w:proofErr w:type="spellEnd"/>
      <w:r w:rsidR="00563491" w:rsidRPr="00B450EB">
        <w:t xml:space="preserve">, </w:t>
      </w:r>
      <w:proofErr w:type="spellStart"/>
      <w:r w:rsidR="00563491" w:rsidRPr="00B450EB">
        <w:rPr>
          <w:i/>
        </w:rPr>
        <w:t>Paspalum</w:t>
      </w:r>
      <w:proofErr w:type="spellEnd"/>
      <w:r w:rsidR="00563491" w:rsidRPr="00B450EB">
        <w:rPr>
          <w:i/>
        </w:rPr>
        <w:t xml:space="preserve"> </w:t>
      </w:r>
      <w:proofErr w:type="spellStart"/>
      <w:r w:rsidR="00563491" w:rsidRPr="00B450EB">
        <w:rPr>
          <w:i/>
        </w:rPr>
        <w:t>repens</w:t>
      </w:r>
      <w:proofErr w:type="spellEnd"/>
      <w:r w:rsidR="00D87C8E" w:rsidRPr="00B450EB">
        <w:t>)</w:t>
      </w:r>
      <w:r w:rsidR="000961BE" w:rsidRPr="00B450EB">
        <w:t xml:space="preserve">, </w:t>
      </w:r>
      <w:r w:rsidR="00BD0E80" w:rsidRPr="00B450EB">
        <w:t>y algunos arbustos y árboles bajos (p. ej</w:t>
      </w:r>
      <w:r w:rsidR="00F749FF" w:rsidRPr="00B450EB">
        <w:t>.</w:t>
      </w:r>
      <w:r w:rsidR="00BD0E80" w:rsidRPr="00B450EB">
        <w:t xml:space="preserve"> </w:t>
      </w:r>
      <w:proofErr w:type="spellStart"/>
      <w:r w:rsidR="00AC7F71" w:rsidRPr="00B450EB">
        <w:rPr>
          <w:i/>
        </w:rPr>
        <w:t>Cecropia</w:t>
      </w:r>
      <w:proofErr w:type="spellEnd"/>
      <w:r w:rsidR="00AC7F71" w:rsidRPr="00B450EB">
        <w:rPr>
          <w:i/>
        </w:rPr>
        <w:t xml:space="preserve"> </w:t>
      </w:r>
      <w:proofErr w:type="spellStart"/>
      <w:r w:rsidR="00AC7F71" w:rsidRPr="00B450EB">
        <w:rPr>
          <w:i/>
        </w:rPr>
        <w:t>membranacea</w:t>
      </w:r>
      <w:proofErr w:type="spellEnd"/>
      <w:r w:rsidR="001D2448" w:rsidRPr="00B450EB">
        <w:t xml:space="preserve">, </w:t>
      </w:r>
      <w:proofErr w:type="spellStart"/>
      <w:r w:rsidR="001634EA" w:rsidRPr="00B450EB">
        <w:rPr>
          <w:i/>
        </w:rPr>
        <w:t>Montrichardia</w:t>
      </w:r>
      <w:proofErr w:type="spellEnd"/>
      <w:r w:rsidR="00F749FF" w:rsidRPr="00B450EB">
        <w:rPr>
          <w:i/>
        </w:rPr>
        <w:t xml:space="preserve"> </w:t>
      </w:r>
      <w:proofErr w:type="spellStart"/>
      <w:r w:rsidR="00F749FF" w:rsidRPr="00B450EB">
        <w:rPr>
          <w:i/>
        </w:rPr>
        <w:t>arborescens</w:t>
      </w:r>
      <w:proofErr w:type="spellEnd"/>
      <w:r w:rsidR="00AC7F71" w:rsidRPr="00B450EB">
        <w:t>)</w:t>
      </w:r>
      <w:r w:rsidR="00227857" w:rsidRPr="00B450EB">
        <w:t>.</w:t>
      </w:r>
      <w:r w:rsidR="008860BF" w:rsidRPr="00B450EB">
        <w:t xml:space="preserve"> </w:t>
      </w:r>
    </w:p>
    <w:p w14:paraId="54CEA9A1" w14:textId="77777777" w:rsidR="00851522" w:rsidRPr="00B450EB" w:rsidRDefault="008860BF" w:rsidP="00F75CDB">
      <w:r w:rsidRPr="00B450EB">
        <w:t xml:space="preserve">(3) </w:t>
      </w:r>
      <w:r w:rsidR="00851522" w:rsidRPr="00B450EB">
        <w:t>La</w:t>
      </w:r>
      <w:r w:rsidRPr="00B450EB">
        <w:t xml:space="preserve"> vegetación de llanura aluvial </w:t>
      </w:r>
      <w:r w:rsidR="00240D48" w:rsidRPr="00B450EB">
        <w:t>en áreas inundables y</w:t>
      </w:r>
      <w:r w:rsidR="0098454F" w:rsidRPr="00B450EB">
        <w:t xml:space="preserve"> </w:t>
      </w:r>
      <w:r w:rsidR="00A5481A" w:rsidRPr="00B450EB">
        <w:t xml:space="preserve">que incluye bosques dominados por </w:t>
      </w:r>
      <w:r w:rsidR="00AF6907" w:rsidRPr="00B450EB">
        <w:t xml:space="preserve">especies como </w:t>
      </w:r>
      <w:r w:rsidR="00A5481A" w:rsidRPr="00B450EB">
        <w:rPr>
          <w:i/>
        </w:rPr>
        <w:t xml:space="preserve">Inga </w:t>
      </w:r>
      <w:proofErr w:type="spellStart"/>
      <w:r w:rsidR="00AF6907" w:rsidRPr="00B450EB">
        <w:rPr>
          <w:i/>
        </w:rPr>
        <w:t>nobilis</w:t>
      </w:r>
      <w:proofErr w:type="spellEnd"/>
      <w:r w:rsidR="00496F91" w:rsidRPr="00B450EB">
        <w:t xml:space="preserve"> y </w:t>
      </w:r>
      <w:proofErr w:type="spellStart"/>
      <w:r w:rsidR="00496F91" w:rsidRPr="00B450EB">
        <w:rPr>
          <w:i/>
        </w:rPr>
        <w:t>Aniba</w:t>
      </w:r>
      <w:proofErr w:type="spellEnd"/>
      <w:r w:rsidR="00496F91" w:rsidRPr="00B450EB">
        <w:rPr>
          <w:i/>
        </w:rPr>
        <w:t xml:space="preserve"> </w:t>
      </w:r>
      <w:proofErr w:type="spellStart"/>
      <w:r w:rsidR="00496F91" w:rsidRPr="00B450EB">
        <w:rPr>
          <w:i/>
        </w:rPr>
        <w:t>megaphylla</w:t>
      </w:r>
      <w:proofErr w:type="spellEnd"/>
      <w:r w:rsidR="0098454F" w:rsidRPr="00B450EB">
        <w:rPr>
          <w:i/>
        </w:rPr>
        <w:t xml:space="preserve"> </w:t>
      </w:r>
      <w:r w:rsidR="0098454F" w:rsidRPr="00B450EB">
        <w:t xml:space="preserve">y asociaciones </w:t>
      </w:r>
      <w:r w:rsidR="00210142" w:rsidRPr="00B450EB">
        <w:t xml:space="preserve">de palmares (p. ej. </w:t>
      </w:r>
      <w:proofErr w:type="spellStart"/>
      <w:r w:rsidR="00210142" w:rsidRPr="00B450EB">
        <w:rPr>
          <w:i/>
        </w:rPr>
        <w:t>Mauritia</w:t>
      </w:r>
      <w:proofErr w:type="spellEnd"/>
      <w:r w:rsidR="00210142" w:rsidRPr="00B450EB">
        <w:rPr>
          <w:i/>
        </w:rPr>
        <w:t xml:space="preserve"> flexuosa</w:t>
      </w:r>
      <w:r w:rsidR="00A57072" w:rsidRPr="00B450EB">
        <w:t xml:space="preserve"> y </w:t>
      </w:r>
      <w:proofErr w:type="spellStart"/>
      <w:r w:rsidR="00A57072" w:rsidRPr="00B450EB">
        <w:rPr>
          <w:i/>
        </w:rPr>
        <w:t>Mauritiell</w:t>
      </w:r>
      <w:r w:rsidR="00176E38" w:rsidRPr="00B450EB">
        <w:rPr>
          <w:i/>
        </w:rPr>
        <w:t>a</w:t>
      </w:r>
      <w:proofErr w:type="spellEnd"/>
      <w:r w:rsidR="00176E38" w:rsidRPr="00B450EB">
        <w:rPr>
          <w:i/>
        </w:rPr>
        <w:t xml:space="preserve"> </w:t>
      </w:r>
      <w:proofErr w:type="spellStart"/>
      <w:r w:rsidR="00176E38" w:rsidRPr="00B450EB">
        <w:rPr>
          <w:i/>
        </w:rPr>
        <w:t>aculeata</w:t>
      </w:r>
      <w:proofErr w:type="spellEnd"/>
      <w:r w:rsidR="00176E38" w:rsidRPr="00B450EB">
        <w:t>)</w:t>
      </w:r>
      <w:r w:rsidR="005A74C8" w:rsidRPr="00B450EB">
        <w:t xml:space="preserve">. </w:t>
      </w:r>
    </w:p>
    <w:p w14:paraId="35784629" w14:textId="3FDFAF63" w:rsidR="00063707" w:rsidRPr="00B450EB" w:rsidRDefault="005A74C8" w:rsidP="00F75CDB">
      <w:r w:rsidRPr="00B450EB">
        <w:lastRenderedPageBreak/>
        <w:t>(4)</w:t>
      </w:r>
      <w:r w:rsidR="00DC4C0A" w:rsidRPr="00B450EB">
        <w:t xml:space="preserve"> Los bosques de las terrazas bajas y zonas con drenaje imperfecto</w:t>
      </w:r>
      <w:r w:rsidR="00BB7443" w:rsidRPr="00B450EB">
        <w:t xml:space="preserve">, que presentan un dosel promedio de 30 m con comunidades de especies como </w:t>
      </w:r>
      <w:proofErr w:type="spellStart"/>
      <w:r w:rsidR="00BB7443" w:rsidRPr="00B450EB">
        <w:rPr>
          <w:i/>
        </w:rPr>
        <w:t>Oenocarpus</w:t>
      </w:r>
      <w:proofErr w:type="spellEnd"/>
      <w:r w:rsidR="00BB7443" w:rsidRPr="00B450EB">
        <w:rPr>
          <w:i/>
        </w:rPr>
        <w:t xml:space="preserve"> </w:t>
      </w:r>
      <w:proofErr w:type="spellStart"/>
      <w:r w:rsidR="00BB7443" w:rsidRPr="00B450EB">
        <w:rPr>
          <w:i/>
        </w:rPr>
        <w:t>bataua</w:t>
      </w:r>
      <w:proofErr w:type="spellEnd"/>
      <w:r w:rsidR="002E2194" w:rsidRPr="00B450EB">
        <w:t xml:space="preserve">, y los géneros </w:t>
      </w:r>
      <w:r w:rsidR="002E2194" w:rsidRPr="00B450EB">
        <w:rPr>
          <w:i/>
        </w:rPr>
        <w:t>Virola</w:t>
      </w:r>
      <w:r w:rsidR="002E2194" w:rsidRPr="00B450EB">
        <w:t xml:space="preserve">, </w:t>
      </w:r>
      <w:proofErr w:type="spellStart"/>
      <w:r w:rsidR="002E2194" w:rsidRPr="00B450EB">
        <w:rPr>
          <w:i/>
        </w:rPr>
        <w:t>Lecythis</w:t>
      </w:r>
      <w:proofErr w:type="spellEnd"/>
      <w:r w:rsidR="002E2194" w:rsidRPr="00B450EB">
        <w:rPr>
          <w:i/>
        </w:rPr>
        <w:t xml:space="preserve"> </w:t>
      </w:r>
      <w:r w:rsidR="002E2194" w:rsidRPr="00B450EB">
        <w:t xml:space="preserve">y </w:t>
      </w:r>
      <w:proofErr w:type="spellStart"/>
      <w:r w:rsidR="002E2194" w:rsidRPr="00B450EB">
        <w:rPr>
          <w:i/>
        </w:rPr>
        <w:t>Pouteria</w:t>
      </w:r>
      <w:proofErr w:type="spellEnd"/>
      <w:r w:rsidR="002E2194" w:rsidRPr="00B450EB">
        <w:t xml:space="preserve">. </w:t>
      </w:r>
    </w:p>
    <w:p w14:paraId="7D73725F" w14:textId="29F37D01" w:rsidR="00A81784" w:rsidRPr="00B450EB" w:rsidRDefault="00851522" w:rsidP="00A81784">
      <w:r w:rsidRPr="00B450EB">
        <w:t>(5) Los bosques de tierra firme</w:t>
      </w:r>
      <w:r w:rsidR="00551EFB" w:rsidRPr="00B450EB">
        <w:t xml:space="preserve">, en donde los niveles de inundación no ejercen una influencia marcada, </w:t>
      </w:r>
      <w:r w:rsidR="0082011C" w:rsidRPr="00B450EB">
        <w:t>y donde la riqueza de especies aumenta</w:t>
      </w:r>
      <w:r w:rsidR="00BA6725" w:rsidRPr="00B450EB">
        <w:t xml:space="preserve">, con comunidades de especies como </w:t>
      </w:r>
      <w:proofErr w:type="spellStart"/>
      <w:r w:rsidR="00220DCD" w:rsidRPr="00B450EB">
        <w:rPr>
          <w:i/>
        </w:rPr>
        <w:t>Dialium</w:t>
      </w:r>
      <w:proofErr w:type="spellEnd"/>
      <w:r w:rsidR="00220DCD" w:rsidRPr="00B450EB">
        <w:rPr>
          <w:i/>
        </w:rPr>
        <w:t xml:space="preserve"> </w:t>
      </w:r>
      <w:proofErr w:type="spellStart"/>
      <w:r w:rsidR="00220DCD" w:rsidRPr="00B450EB">
        <w:rPr>
          <w:i/>
        </w:rPr>
        <w:t>guianensis</w:t>
      </w:r>
      <w:proofErr w:type="spellEnd"/>
      <w:r w:rsidR="00FE2F86" w:rsidRPr="00B450EB">
        <w:t xml:space="preserve">, </w:t>
      </w:r>
      <w:proofErr w:type="spellStart"/>
      <w:r w:rsidR="00FE2F86" w:rsidRPr="00B450EB">
        <w:rPr>
          <w:i/>
        </w:rPr>
        <w:t>Goupia</w:t>
      </w:r>
      <w:proofErr w:type="spellEnd"/>
      <w:r w:rsidR="00FE2F86" w:rsidRPr="00B450EB">
        <w:rPr>
          <w:i/>
        </w:rPr>
        <w:t xml:space="preserve"> glabra</w:t>
      </w:r>
      <w:r w:rsidR="00FE2F86" w:rsidRPr="00B450EB">
        <w:t xml:space="preserve">, </w:t>
      </w:r>
      <w:r w:rsidR="00115BD3" w:rsidRPr="00B450EB">
        <w:rPr>
          <w:i/>
        </w:rPr>
        <w:t xml:space="preserve">Virola </w:t>
      </w:r>
      <w:proofErr w:type="spellStart"/>
      <w:r w:rsidR="00115BD3" w:rsidRPr="00B450EB">
        <w:rPr>
          <w:i/>
        </w:rPr>
        <w:t>duckei</w:t>
      </w:r>
      <w:proofErr w:type="spellEnd"/>
      <w:r w:rsidR="00115BD3" w:rsidRPr="00B450EB">
        <w:t xml:space="preserve">, </w:t>
      </w:r>
      <w:proofErr w:type="spellStart"/>
      <w:r w:rsidR="00115BD3" w:rsidRPr="00B450EB">
        <w:rPr>
          <w:i/>
        </w:rPr>
        <w:t>Swar</w:t>
      </w:r>
      <w:r w:rsidR="001B7283" w:rsidRPr="00B450EB">
        <w:rPr>
          <w:i/>
        </w:rPr>
        <w:t>tzia</w:t>
      </w:r>
      <w:proofErr w:type="spellEnd"/>
      <w:r w:rsidR="001B7283" w:rsidRPr="00B450EB">
        <w:rPr>
          <w:i/>
        </w:rPr>
        <w:t xml:space="preserve"> </w:t>
      </w:r>
      <w:proofErr w:type="spellStart"/>
      <w:r w:rsidR="001B7283" w:rsidRPr="00B450EB">
        <w:rPr>
          <w:i/>
        </w:rPr>
        <w:t>schom</w:t>
      </w:r>
      <w:r w:rsidR="00091A67" w:rsidRPr="00B450EB">
        <w:rPr>
          <w:i/>
        </w:rPr>
        <w:t>burgkii</w:t>
      </w:r>
      <w:proofErr w:type="spellEnd"/>
      <w:r w:rsidR="00091A67" w:rsidRPr="00B450EB">
        <w:t>, entre otras.</w:t>
      </w:r>
      <w:r w:rsidR="001468C3" w:rsidRPr="00B450EB">
        <w:t xml:space="preserve"> </w:t>
      </w:r>
      <w:r w:rsidR="002B6ACD" w:rsidRPr="00B450EB">
        <w:t>Asimismo, en esta</w:t>
      </w:r>
      <w:r w:rsidR="00BE4D1C" w:rsidRPr="00B450EB">
        <w:t>s zonas se puede presentar una gran variedad topográfica, de suelos y geofo</w:t>
      </w:r>
      <w:r w:rsidR="00E06DF5" w:rsidRPr="00B450EB">
        <w:t>r</w:t>
      </w:r>
      <w:r w:rsidR="00BE4D1C" w:rsidRPr="00B450EB">
        <w:t>mas, que influencian correspondientemente</w:t>
      </w:r>
      <w:r w:rsidR="002B6ACD" w:rsidRPr="00B450EB">
        <w:t xml:space="preserve"> </w:t>
      </w:r>
      <w:r w:rsidR="00555D64" w:rsidRPr="00B450EB">
        <w:t>su vegetación</w:t>
      </w:r>
      <w:r w:rsidR="00CF6605" w:rsidRPr="00B450EB">
        <w:t xml:space="preserve">, conformado </w:t>
      </w:r>
      <w:r w:rsidR="00E8217C" w:rsidRPr="00B450EB">
        <w:t>una multiplicidad</w:t>
      </w:r>
      <w:r w:rsidR="003F3E1C" w:rsidRPr="00B450EB">
        <w:t xml:space="preserve"> de </w:t>
      </w:r>
      <w:r w:rsidR="00F22DB8" w:rsidRPr="00B450EB">
        <w:t>ambientes</w:t>
      </w:r>
      <w:r w:rsidR="00282405" w:rsidRPr="00B450EB">
        <w:t xml:space="preserve"> </w:t>
      </w:r>
      <w:r w:rsidR="002C5666" w:rsidRPr="00B450EB">
        <w:t>definidos en términos de comunidades</w:t>
      </w:r>
      <w:r w:rsidR="00282405" w:rsidRPr="00B450EB">
        <w:t xml:space="preserve"> vegetales</w:t>
      </w:r>
      <w:r w:rsidR="00F172E6" w:rsidRPr="00B450EB">
        <w:t xml:space="preserve">: </w:t>
      </w:r>
      <w:r w:rsidR="00B91E66" w:rsidRPr="00B450EB">
        <w:t xml:space="preserve">tres (3) </w:t>
      </w:r>
      <w:r w:rsidR="00EA53B1" w:rsidRPr="00B450EB">
        <w:t xml:space="preserve">en vegetación acuática y flotante; </w:t>
      </w:r>
      <w:r w:rsidR="00A81784" w:rsidRPr="00B450EB">
        <w:t>siete (7) comunidades en las playas y pantanos; nueve (9) en los diques y barras-</w:t>
      </w:r>
      <w:proofErr w:type="spellStart"/>
      <w:r w:rsidR="00A81784" w:rsidRPr="00B450EB">
        <w:t>basines</w:t>
      </w:r>
      <w:proofErr w:type="spellEnd"/>
      <w:r w:rsidR="00A81784" w:rsidRPr="00B450EB">
        <w:t>; cinco (5) en las vegas de los ríos y áreas pantanosas mal drenadas cinco; 21 en la llanura de inundación frecuente</w:t>
      </w:r>
      <w:r w:rsidR="00216E2F" w:rsidRPr="00B450EB">
        <w:t>; 12</w:t>
      </w:r>
      <w:r w:rsidR="00A81784" w:rsidRPr="00B450EB">
        <w:t xml:space="preserve"> en la llanura de inundación</w:t>
      </w:r>
      <w:r w:rsidR="00216E2F" w:rsidRPr="00B450EB">
        <w:t xml:space="preserve"> </w:t>
      </w:r>
      <w:r w:rsidR="00A81784" w:rsidRPr="00B450EB">
        <w:t>permanente</w:t>
      </w:r>
      <w:r w:rsidR="00216E2F" w:rsidRPr="00B450EB">
        <w:t>, 20</w:t>
      </w:r>
      <w:r w:rsidR="00A81784" w:rsidRPr="00B450EB">
        <w:t xml:space="preserve"> en la zona de transición</w:t>
      </w:r>
      <w:r w:rsidR="00216E2F" w:rsidRPr="00B450EB">
        <w:t xml:space="preserve"> </w:t>
      </w:r>
      <w:r w:rsidR="00A81784" w:rsidRPr="00B450EB">
        <w:t xml:space="preserve">llanura de inundación-terrazas, </w:t>
      </w:r>
      <w:r w:rsidR="00216E2F" w:rsidRPr="00B450EB">
        <w:t>23</w:t>
      </w:r>
      <w:r w:rsidR="00A81784" w:rsidRPr="00B450EB">
        <w:t xml:space="preserve"> en las</w:t>
      </w:r>
      <w:r w:rsidR="00216E2F" w:rsidRPr="00B450EB">
        <w:t xml:space="preserve"> </w:t>
      </w:r>
      <w:r w:rsidR="00A81784" w:rsidRPr="00B450EB">
        <w:t>terrazas bajas y altas</w:t>
      </w:r>
      <w:r w:rsidR="00216E2F" w:rsidRPr="00B450EB">
        <w:t>; 9</w:t>
      </w:r>
      <w:r w:rsidR="00A81784" w:rsidRPr="00B450EB">
        <w:t xml:space="preserve"> en la tierra firme</w:t>
      </w:r>
      <w:r w:rsidR="00FA4358" w:rsidRPr="00B450EB">
        <w:t>; y para</w:t>
      </w:r>
      <w:r w:rsidR="00A81784" w:rsidRPr="00B450EB">
        <w:t xml:space="preserve"> las Serranías</w:t>
      </w:r>
      <w:r w:rsidR="00FA4358" w:rsidRPr="00B450EB">
        <w:t xml:space="preserve"> </w:t>
      </w:r>
      <w:r w:rsidR="00A81784" w:rsidRPr="00B450EB">
        <w:t xml:space="preserve">de Chiribiquete, </w:t>
      </w:r>
      <w:proofErr w:type="spellStart"/>
      <w:r w:rsidR="00A81784" w:rsidRPr="00B450EB">
        <w:t>Naquen-Taraira</w:t>
      </w:r>
      <w:proofErr w:type="spellEnd"/>
      <w:r w:rsidR="00A81784" w:rsidRPr="00B450EB">
        <w:t>, mesas</w:t>
      </w:r>
      <w:r w:rsidR="00FA4358" w:rsidRPr="00B450EB">
        <w:t xml:space="preserve"> </w:t>
      </w:r>
      <w:r w:rsidR="00A81784" w:rsidRPr="00B450EB">
        <w:t>de Araracuara, parte baja de la sierra de la</w:t>
      </w:r>
      <w:r w:rsidR="00FA4358" w:rsidRPr="00B450EB">
        <w:t xml:space="preserve"> </w:t>
      </w:r>
      <w:r w:rsidR="00A81784" w:rsidRPr="00B450EB">
        <w:t>Macarena, se tienen registros de herbazales</w:t>
      </w:r>
      <w:r w:rsidR="00282405" w:rsidRPr="00B450EB">
        <w:t xml:space="preserve"> </w:t>
      </w:r>
      <w:r w:rsidR="00A81784" w:rsidRPr="00B450EB">
        <w:t xml:space="preserve">(1), pastizal-herbazal (7), </w:t>
      </w:r>
      <w:proofErr w:type="spellStart"/>
      <w:r w:rsidR="00A81784" w:rsidRPr="00B450EB">
        <w:t>rosetales</w:t>
      </w:r>
      <w:proofErr w:type="spellEnd"/>
      <w:r w:rsidR="00A81784" w:rsidRPr="00B450EB">
        <w:t xml:space="preserve"> (3),</w:t>
      </w:r>
      <w:r w:rsidR="00E4695F" w:rsidRPr="00B450EB">
        <w:t xml:space="preserve"> </w:t>
      </w:r>
      <w:r w:rsidR="00A81784" w:rsidRPr="00B450EB">
        <w:t xml:space="preserve">matorrales (12) y bosques bajos (10). </w:t>
      </w:r>
    </w:p>
    <w:p w14:paraId="37ADEE3E" w14:textId="558F1189" w:rsidR="0004468B" w:rsidRPr="00B450EB" w:rsidRDefault="0004468B" w:rsidP="00640BB5">
      <w:pPr>
        <w:rPr>
          <w:i/>
          <w:u w:val="single"/>
        </w:rPr>
      </w:pPr>
      <w:r w:rsidRPr="00B450EB">
        <w:rPr>
          <w:i/>
          <w:u w:val="single"/>
        </w:rPr>
        <w:t>Riqueza de flora</w:t>
      </w:r>
    </w:p>
    <w:p w14:paraId="51E60F71" w14:textId="7408E897" w:rsidR="00640BB5" w:rsidRPr="00B450EB" w:rsidRDefault="00640BB5" w:rsidP="00640BB5">
      <w:r w:rsidRPr="00B450EB">
        <w:t xml:space="preserve">En cuanto a la revisión de flora presente en los departamentos del </w:t>
      </w:r>
      <w:r w:rsidR="0076416E" w:rsidRPr="00B450EB">
        <w:t xml:space="preserve">Bioma Amazónico colombiano </w:t>
      </w:r>
      <w:r w:rsidRPr="00B450EB">
        <w:t>se utilizó el Sistema de Información de Biodiversidad (SIB), donde se hallaron un total de 856</w:t>
      </w:r>
      <w:r w:rsidR="00D85B70" w:rsidRPr="00B450EB">
        <w:t>.</w:t>
      </w:r>
      <w:r w:rsidRPr="00B450EB">
        <w:t xml:space="preserve">478 registros, en la siguiente </w:t>
      </w:r>
      <w:r w:rsidRPr="00B450EB">
        <w:fldChar w:fldCharType="begin"/>
      </w:r>
      <w:r w:rsidRPr="00B450EB">
        <w:instrText xml:space="preserve"> REF _Ref208334015 \h  \* MERGEFORMAT </w:instrText>
      </w:r>
      <w:r w:rsidRPr="00B450EB">
        <w:fldChar w:fldCharType="separate"/>
      </w:r>
      <w:r w:rsidR="00010D09" w:rsidRPr="00B450EB">
        <w:rPr>
          <w:b/>
        </w:rPr>
        <w:t xml:space="preserve">Tabla </w:t>
      </w:r>
      <w:r w:rsidR="00010D09" w:rsidRPr="00B450EB">
        <w:rPr>
          <w:b/>
          <w:bCs/>
          <w:noProof/>
        </w:rPr>
        <w:t>7</w:t>
      </w:r>
      <w:r w:rsidRPr="00B450EB">
        <w:fldChar w:fldCharType="end"/>
      </w:r>
      <w:r w:rsidRPr="00B450EB">
        <w:t xml:space="preserve"> se presenta el listado de las familias que presenta mayor número de especies por departamento reportados en el SIB para </w:t>
      </w:r>
      <w:r w:rsidR="0076416E" w:rsidRPr="00B450EB">
        <w:t>esta zona</w:t>
      </w:r>
      <w:r w:rsidRPr="00B450EB">
        <w:t xml:space="preserve">, en donde se destaca la familia </w:t>
      </w:r>
      <w:proofErr w:type="spellStart"/>
      <w:r w:rsidRPr="00B450EB">
        <w:t>Fabaceae</w:t>
      </w:r>
      <w:proofErr w:type="spellEnd"/>
      <w:r w:rsidRPr="00B450EB">
        <w:t xml:space="preserve"> la cual registra 738 especies seguido de la familia </w:t>
      </w:r>
      <w:proofErr w:type="spellStart"/>
      <w:r w:rsidRPr="00B450EB">
        <w:t>Rubiaceae</w:t>
      </w:r>
      <w:proofErr w:type="spellEnd"/>
      <w:r w:rsidRPr="00B450EB">
        <w:t xml:space="preserve"> con 599 especies, la familia </w:t>
      </w:r>
      <w:proofErr w:type="spellStart"/>
      <w:r w:rsidRPr="00B450EB">
        <w:t>Orchidaceae</w:t>
      </w:r>
      <w:proofErr w:type="spellEnd"/>
      <w:r w:rsidRPr="00B450EB">
        <w:t xml:space="preserve"> (463 especies), </w:t>
      </w:r>
      <w:proofErr w:type="spellStart"/>
      <w:r w:rsidRPr="00B450EB">
        <w:t>Asteraceae</w:t>
      </w:r>
      <w:proofErr w:type="spellEnd"/>
      <w:r w:rsidRPr="00B450EB">
        <w:t xml:space="preserve"> (444 especies)</w:t>
      </w:r>
      <w:r w:rsidR="00AA09DB" w:rsidRPr="00B450EB">
        <w:t>;</w:t>
      </w:r>
      <w:r w:rsidRPr="00B450EB">
        <w:t xml:space="preserve"> </w:t>
      </w:r>
      <w:proofErr w:type="spellStart"/>
      <w:r w:rsidR="00BE0389" w:rsidRPr="00B450EB">
        <w:t>Melastomataceae</w:t>
      </w:r>
      <w:proofErr w:type="spellEnd"/>
      <w:r w:rsidR="00BE0389" w:rsidRPr="00B450EB">
        <w:t xml:space="preserve"> (</w:t>
      </w:r>
      <w:r w:rsidR="009109AE" w:rsidRPr="00B450EB">
        <w:t xml:space="preserve">391 especies); </w:t>
      </w:r>
      <w:proofErr w:type="spellStart"/>
      <w:r w:rsidR="009109AE" w:rsidRPr="00B450EB">
        <w:t>Poaceae</w:t>
      </w:r>
      <w:proofErr w:type="spellEnd"/>
      <w:r w:rsidR="009109AE" w:rsidRPr="00B450EB">
        <w:t xml:space="preserve"> (308 especies); </w:t>
      </w:r>
      <w:proofErr w:type="spellStart"/>
      <w:r w:rsidR="005E2636" w:rsidRPr="00B450EB">
        <w:t>Piperacea</w:t>
      </w:r>
      <w:proofErr w:type="spellEnd"/>
      <w:r w:rsidR="005E2636" w:rsidRPr="00B450EB">
        <w:t xml:space="preserve"> (225).</w:t>
      </w:r>
    </w:p>
    <w:p w14:paraId="01EB487B" w14:textId="5798DA79" w:rsidR="00640BB5" w:rsidRPr="00B450EB" w:rsidRDefault="00640BB5" w:rsidP="0076416E">
      <w:pPr>
        <w:pStyle w:val="Descripcin"/>
        <w:rPr>
          <w:color w:val="auto"/>
        </w:rPr>
      </w:pPr>
      <w:bookmarkStart w:id="80" w:name="_Ref208334015"/>
      <w:bookmarkStart w:id="81" w:name="_Toc209722990"/>
      <w:r w:rsidRPr="00B450EB">
        <w:rPr>
          <w:color w:val="auto"/>
        </w:rPr>
        <w:t xml:space="preserve">Tabla </w:t>
      </w:r>
      <w:r w:rsidR="0045353A" w:rsidRPr="00B450EB">
        <w:rPr>
          <w:color w:val="auto"/>
        </w:rPr>
        <w:fldChar w:fldCharType="begin"/>
      </w:r>
      <w:r w:rsidR="0045353A" w:rsidRPr="00B450EB">
        <w:rPr>
          <w:color w:val="auto"/>
        </w:rPr>
        <w:instrText xml:space="preserve"> SEQ Tabla \* ARABIC </w:instrText>
      </w:r>
      <w:r w:rsidR="0045353A" w:rsidRPr="00B450EB">
        <w:rPr>
          <w:color w:val="auto"/>
        </w:rPr>
        <w:fldChar w:fldCharType="separate"/>
      </w:r>
      <w:r w:rsidR="009765C2" w:rsidRPr="00B450EB">
        <w:rPr>
          <w:noProof/>
          <w:color w:val="auto"/>
        </w:rPr>
        <w:t>7</w:t>
      </w:r>
      <w:r w:rsidR="0045353A" w:rsidRPr="00B450EB">
        <w:rPr>
          <w:noProof/>
          <w:color w:val="auto"/>
        </w:rPr>
        <w:fldChar w:fldCharType="end"/>
      </w:r>
      <w:bookmarkEnd w:id="80"/>
      <w:r w:rsidRPr="00B450EB">
        <w:rPr>
          <w:color w:val="auto"/>
        </w:rPr>
        <w:t xml:space="preserve">. Riqueza por departamento del </w:t>
      </w:r>
      <w:r w:rsidR="0076416E" w:rsidRPr="00B450EB">
        <w:rPr>
          <w:color w:val="auto"/>
        </w:rPr>
        <w:t>Bioma Amazónico</w:t>
      </w:r>
      <w:bookmarkEnd w:id="81"/>
    </w:p>
    <w:tbl>
      <w:tblPr>
        <w:tblW w:w="8941" w:type="dxa"/>
        <w:tblCellMar>
          <w:left w:w="70" w:type="dxa"/>
          <w:right w:w="70" w:type="dxa"/>
        </w:tblCellMar>
        <w:tblLook w:val="04A0" w:firstRow="1" w:lastRow="0" w:firstColumn="1" w:lastColumn="0" w:noHBand="0" w:noVBand="1"/>
      </w:tblPr>
      <w:tblGrid>
        <w:gridCol w:w="1641"/>
        <w:gridCol w:w="1041"/>
        <w:gridCol w:w="851"/>
        <w:gridCol w:w="681"/>
        <w:gridCol w:w="801"/>
        <w:gridCol w:w="911"/>
        <w:gridCol w:w="551"/>
        <w:gridCol w:w="711"/>
        <w:gridCol w:w="1011"/>
        <w:gridCol w:w="881"/>
      </w:tblGrid>
      <w:tr w:rsidR="00EF1937" w:rsidRPr="00B450EB" w14:paraId="5D90401F" w14:textId="77777777" w:rsidTr="00295AAA">
        <w:trPr>
          <w:trHeight w:val="288"/>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D9F2D0" w:themeFill="accent6" w:themeFillTint="33"/>
            <w:noWrap/>
            <w:vAlign w:val="center"/>
            <w:hideMark/>
          </w:tcPr>
          <w:p w14:paraId="3A4855C6"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Familia</w:t>
            </w:r>
          </w:p>
        </w:tc>
        <w:tc>
          <w:tcPr>
            <w:tcW w:w="7331" w:type="dxa"/>
            <w:gridSpan w:val="9"/>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040F6487"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Riqueza por departamento</w:t>
            </w:r>
          </w:p>
        </w:tc>
      </w:tr>
      <w:tr w:rsidR="00EF1937" w:rsidRPr="00B450EB" w14:paraId="5FFC8504" w14:textId="77777777" w:rsidTr="007B2ACD">
        <w:trPr>
          <w:trHeight w:val="288"/>
        </w:trPr>
        <w:tc>
          <w:tcPr>
            <w:tcW w:w="0" w:type="auto"/>
            <w:vMerge/>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hideMark/>
          </w:tcPr>
          <w:p w14:paraId="01F8BE21" w14:textId="77777777" w:rsidR="00640BB5" w:rsidRPr="00B450EB" w:rsidRDefault="00640BB5">
            <w:pPr>
              <w:spacing w:after="0" w:line="240" w:lineRule="auto"/>
              <w:jc w:val="center"/>
              <w:rPr>
                <w:rFonts w:eastAsia="Times New Roman" w:cs="Arial"/>
                <w:b/>
                <w:bCs/>
                <w:kern w:val="0"/>
                <w:sz w:val="18"/>
                <w:szCs w:val="18"/>
                <w:lang w:eastAsia="es-CO"/>
                <w14:ligatures w14:val="none"/>
              </w:rPr>
            </w:pPr>
          </w:p>
        </w:tc>
        <w:tc>
          <w:tcPr>
            <w:tcW w:w="0" w:type="auto"/>
            <w:tcBorders>
              <w:top w:val="nil"/>
              <w:left w:val="nil"/>
              <w:bottom w:val="single" w:sz="4" w:space="0" w:color="auto"/>
              <w:right w:val="single" w:sz="4" w:space="0" w:color="auto"/>
            </w:tcBorders>
            <w:shd w:val="clear" w:color="auto" w:fill="D9F2D0" w:themeFill="accent6" w:themeFillTint="33"/>
            <w:noWrap/>
            <w:vAlign w:val="center"/>
            <w:hideMark/>
          </w:tcPr>
          <w:p w14:paraId="3EA2BBCC"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Amazonas</w:t>
            </w:r>
          </w:p>
        </w:tc>
        <w:tc>
          <w:tcPr>
            <w:tcW w:w="0" w:type="auto"/>
            <w:tcBorders>
              <w:top w:val="nil"/>
              <w:left w:val="nil"/>
              <w:bottom w:val="single" w:sz="4" w:space="0" w:color="auto"/>
              <w:right w:val="single" w:sz="4" w:space="0" w:color="auto"/>
            </w:tcBorders>
            <w:shd w:val="clear" w:color="auto" w:fill="D9F2D0" w:themeFill="accent6" w:themeFillTint="33"/>
            <w:noWrap/>
            <w:vAlign w:val="center"/>
            <w:hideMark/>
          </w:tcPr>
          <w:p w14:paraId="040B69B7"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Caquetá</w:t>
            </w:r>
          </w:p>
        </w:tc>
        <w:tc>
          <w:tcPr>
            <w:tcW w:w="0" w:type="auto"/>
            <w:tcBorders>
              <w:top w:val="nil"/>
              <w:left w:val="nil"/>
              <w:bottom w:val="single" w:sz="4" w:space="0" w:color="auto"/>
              <w:right w:val="single" w:sz="4" w:space="0" w:color="auto"/>
            </w:tcBorders>
            <w:shd w:val="clear" w:color="auto" w:fill="D9F2D0" w:themeFill="accent6" w:themeFillTint="33"/>
            <w:noWrap/>
            <w:vAlign w:val="center"/>
            <w:hideMark/>
          </w:tcPr>
          <w:p w14:paraId="44E34B7A"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Cauca</w:t>
            </w:r>
          </w:p>
        </w:tc>
        <w:tc>
          <w:tcPr>
            <w:tcW w:w="0" w:type="auto"/>
            <w:tcBorders>
              <w:top w:val="nil"/>
              <w:left w:val="nil"/>
              <w:bottom w:val="single" w:sz="4" w:space="0" w:color="auto"/>
              <w:right w:val="single" w:sz="4" w:space="0" w:color="auto"/>
            </w:tcBorders>
            <w:shd w:val="clear" w:color="auto" w:fill="D9F2D0" w:themeFill="accent6" w:themeFillTint="33"/>
            <w:noWrap/>
            <w:vAlign w:val="center"/>
            <w:hideMark/>
          </w:tcPr>
          <w:p w14:paraId="5ED3516C"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Guainía</w:t>
            </w:r>
          </w:p>
        </w:tc>
        <w:tc>
          <w:tcPr>
            <w:tcW w:w="0" w:type="auto"/>
            <w:tcBorders>
              <w:top w:val="nil"/>
              <w:left w:val="nil"/>
              <w:bottom w:val="single" w:sz="4" w:space="0" w:color="auto"/>
              <w:right w:val="single" w:sz="4" w:space="0" w:color="auto"/>
            </w:tcBorders>
            <w:shd w:val="clear" w:color="auto" w:fill="D9F2D0" w:themeFill="accent6" w:themeFillTint="33"/>
            <w:noWrap/>
            <w:vAlign w:val="center"/>
            <w:hideMark/>
          </w:tcPr>
          <w:p w14:paraId="6BE78EB9"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Guaviare</w:t>
            </w:r>
          </w:p>
        </w:tc>
        <w:tc>
          <w:tcPr>
            <w:tcW w:w="0" w:type="auto"/>
            <w:tcBorders>
              <w:top w:val="nil"/>
              <w:left w:val="nil"/>
              <w:bottom w:val="single" w:sz="4" w:space="0" w:color="auto"/>
              <w:right w:val="single" w:sz="4" w:space="0" w:color="auto"/>
            </w:tcBorders>
            <w:shd w:val="clear" w:color="auto" w:fill="D9F2D0" w:themeFill="accent6" w:themeFillTint="33"/>
            <w:noWrap/>
            <w:vAlign w:val="center"/>
            <w:hideMark/>
          </w:tcPr>
          <w:p w14:paraId="2D5B3E07"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Meta</w:t>
            </w:r>
          </w:p>
        </w:tc>
        <w:tc>
          <w:tcPr>
            <w:tcW w:w="0" w:type="auto"/>
            <w:tcBorders>
              <w:top w:val="nil"/>
              <w:left w:val="nil"/>
              <w:bottom w:val="single" w:sz="4" w:space="0" w:color="auto"/>
              <w:right w:val="single" w:sz="4" w:space="0" w:color="auto"/>
            </w:tcBorders>
            <w:shd w:val="clear" w:color="auto" w:fill="D9F2D0" w:themeFill="accent6" w:themeFillTint="33"/>
            <w:noWrap/>
            <w:vAlign w:val="center"/>
            <w:hideMark/>
          </w:tcPr>
          <w:p w14:paraId="20675EE6"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Nariño</w:t>
            </w:r>
          </w:p>
        </w:tc>
        <w:tc>
          <w:tcPr>
            <w:tcW w:w="0" w:type="auto"/>
            <w:tcBorders>
              <w:top w:val="nil"/>
              <w:left w:val="nil"/>
              <w:bottom w:val="single" w:sz="4" w:space="0" w:color="auto"/>
              <w:right w:val="single" w:sz="4" w:space="0" w:color="auto"/>
            </w:tcBorders>
            <w:shd w:val="clear" w:color="auto" w:fill="D9F2D0" w:themeFill="accent6" w:themeFillTint="33"/>
            <w:noWrap/>
            <w:vAlign w:val="center"/>
            <w:hideMark/>
          </w:tcPr>
          <w:p w14:paraId="38B0548E"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Putumayo</w:t>
            </w:r>
          </w:p>
        </w:tc>
        <w:tc>
          <w:tcPr>
            <w:tcW w:w="881" w:type="dxa"/>
            <w:tcBorders>
              <w:top w:val="nil"/>
              <w:left w:val="nil"/>
              <w:bottom w:val="single" w:sz="4" w:space="0" w:color="auto"/>
              <w:right w:val="single" w:sz="4" w:space="0" w:color="auto"/>
            </w:tcBorders>
            <w:shd w:val="clear" w:color="auto" w:fill="D9F2D0" w:themeFill="accent6" w:themeFillTint="33"/>
            <w:noWrap/>
            <w:vAlign w:val="center"/>
            <w:hideMark/>
          </w:tcPr>
          <w:p w14:paraId="5FA88B80"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Vaupés</w:t>
            </w:r>
          </w:p>
        </w:tc>
      </w:tr>
      <w:tr w:rsidR="00EF1937" w:rsidRPr="00B450EB" w14:paraId="5603479B"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7587CA49"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Annonaceae</w:t>
            </w:r>
            <w:proofErr w:type="spellEnd"/>
          </w:p>
        </w:tc>
        <w:tc>
          <w:tcPr>
            <w:tcW w:w="0" w:type="auto"/>
            <w:tcBorders>
              <w:top w:val="nil"/>
              <w:left w:val="nil"/>
              <w:bottom w:val="nil"/>
              <w:right w:val="nil"/>
            </w:tcBorders>
            <w:noWrap/>
            <w:vAlign w:val="center"/>
            <w:hideMark/>
          </w:tcPr>
          <w:p w14:paraId="7568389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216</w:t>
            </w:r>
          </w:p>
        </w:tc>
        <w:tc>
          <w:tcPr>
            <w:tcW w:w="0" w:type="auto"/>
            <w:tcBorders>
              <w:top w:val="nil"/>
              <w:left w:val="single" w:sz="4" w:space="0" w:color="auto"/>
              <w:bottom w:val="single" w:sz="4" w:space="0" w:color="auto"/>
              <w:right w:val="single" w:sz="4" w:space="0" w:color="auto"/>
            </w:tcBorders>
            <w:noWrap/>
            <w:vAlign w:val="center"/>
            <w:hideMark/>
          </w:tcPr>
          <w:p w14:paraId="3A4F222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75</w:t>
            </w:r>
          </w:p>
        </w:tc>
        <w:tc>
          <w:tcPr>
            <w:tcW w:w="0" w:type="auto"/>
            <w:tcBorders>
              <w:top w:val="nil"/>
              <w:left w:val="nil"/>
              <w:bottom w:val="single" w:sz="4" w:space="0" w:color="auto"/>
              <w:right w:val="single" w:sz="4" w:space="0" w:color="auto"/>
            </w:tcBorders>
            <w:noWrap/>
            <w:vAlign w:val="center"/>
            <w:hideMark/>
          </w:tcPr>
          <w:p w14:paraId="08DE791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25</w:t>
            </w:r>
          </w:p>
        </w:tc>
        <w:tc>
          <w:tcPr>
            <w:tcW w:w="0" w:type="auto"/>
            <w:tcBorders>
              <w:top w:val="nil"/>
              <w:left w:val="nil"/>
              <w:bottom w:val="single" w:sz="4" w:space="0" w:color="auto"/>
              <w:right w:val="single" w:sz="4" w:space="0" w:color="auto"/>
            </w:tcBorders>
            <w:noWrap/>
            <w:vAlign w:val="center"/>
            <w:hideMark/>
          </w:tcPr>
          <w:p w14:paraId="59D8BE1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87</w:t>
            </w:r>
          </w:p>
        </w:tc>
        <w:tc>
          <w:tcPr>
            <w:tcW w:w="0" w:type="auto"/>
            <w:tcBorders>
              <w:top w:val="nil"/>
              <w:left w:val="nil"/>
              <w:bottom w:val="single" w:sz="4" w:space="0" w:color="auto"/>
              <w:right w:val="single" w:sz="4" w:space="0" w:color="auto"/>
            </w:tcBorders>
            <w:noWrap/>
            <w:vAlign w:val="center"/>
            <w:hideMark/>
          </w:tcPr>
          <w:p w14:paraId="6B01B53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62</w:t>
            </w:r>
          </w:p>
        </w:tc>
        <w:tc>
          <w:tcPr>
            <w:tcW w:w="0" w:type="auto"/>
            <w:tcBorders>
              <w:top w:val="nil"/>
              <w:left w:val="nil"/>
              <w:bottom w:val="single" w:sz="4" w:space="0" w:color="auto"/>
              <w:right w:val="single" w:sz="4" w:space="0" w:color="auto"/>
            </w:tcBorders>
            <w:noWrap/>
            <w:vAlign w:val="center"/>
            <w:hideMark/>
          </w:tcPr>
          <w:p w14:paraId="3B932ED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103</w:t>
            </w:r>
          </w:p>
        </w:tc>
        <w:tc>
          <w:tcPr>
            <w:tcW w:w="0" w:type="auto"/>
            <w:tcBorders>
              <w:top w:val="nil"/>
              <w:left w:val="nil"/>
              <w:bottom w:val="single" w:sz="4" w:space="0" w:color="auto"/>
              <w:right w:val="single" w:sz="4" w:space="0" w:color="auto"/>
            </w:tcBorders>
            <w:noWrap/>
            <w:vAlign w:val="center"/>
            <w:hideMark/>
          </w:tcPr>
          <w:p w14:paraId="1879D39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30</w:t>
            </w:r>
          </w:p>
        </w:tc>
        <w:tc>
          <w:tcPr>
            <w:tcW w:w="0" w:type="auto"/>
            <w:tcBorders>
              <w:top w:val="nil"/>
              <w:left w:val="nil"/>
              <w:bottom w:val="single" w:sz="4" w:space="0" w:color="auto"/>
              <w:right w:val="single" w:sz="4" w:space="0" w:color="auto"/>
            </w:tcBorders>
            <w:noWrap/>
            <w:vAlign w:val="center"/>
            <w:hideMark/>
          </w:tcPr>
          <w:p w14:paraId="14B712A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107</w:t>
            </w:r>
          </w:p>
        </w:tc>
        <w:tc>
          <w:tcPr>
            <w:tcW w:w="881" w:type="dxa"/>
            <w:tcBorders>
              <w:top w:val="nil"/>
              <w:left w:val="nil"/>
              <w:bottom w:val="single" w:sz="4" w:space="0" w:color="auto"/>
              <w:right w:val="single" w:sz="4" w:space="0" w:color="auto"/>
            </w:tcBorders>
            <w:noWrap/>
            <w:vAlign w:val="center"/>
            <w:hideMark/>
          </w:tcPr>
          <w:p w14:paraId="4E52B55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107</w:t>
            </w:r>
          </w:p>
        </w:tc>
      </w:tr>
      <w:tr w:rsidR="00EF1937" w:rsidRPr="00B450EB" w14:paraId="551A4C78"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56DEFB52"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Apocynaceae</w:t>
            </w:r>
            <w:proofErr w:type="spellEnd"/>
          </w:p>
        </w:tc>
        <w:tc>
          <w:tcPr>
            <w:tcW w:w="0" w:type="auto"/>
            <w:tcBorders>
              <w:top w:val="single" w:sz="4" w:space="0" w:color="auto"/>
              <w:left w:val="nil"/>
              <w:bottom w:val="single" w:sz="4" w:space="0" w:color="auto"/>
              <w:right w:val="single" w:sz="4" w:space="0" w:color="auto"/>
            </w:tcBorders>
            <w:noWrap/>
            <w:vAlign w:val="center"/>
            <w:hideMark/>
          </w:tcPr>
          <w:p w14:paraId="435C55D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181</w:t>
            </w:r>
          </w:p>
        </w:tc>
        <w:tc>
          <w:tcPr>
            <w:tcW w:w="0" w:type="auto"/>
            <w:tcBorders>
              <w:top w:val="nil"/>
              <w:left w:val="nil"/>
              <w:bottom w:val="single" w:sz="4" w:space="0" w:color="auto"/>
              <w:right w:val="single" w:sz="4" w:space="0" w:color="auto"/>
            </w:tcBorders>
            <w:noWrap/>
            <w:vAlign w:val="center"/>
            <w:hideMark/>
          </w:tcPr>
          <w:p w14:paraId="4856569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55</w:t>
            </w:r>
          </w:p>
        </w:tc>
        <w:tc>
          <w:tcPr>
            <w:tcW w:w="0" w:type="auto"/>
            <w:tcBorders>
              <w:top w:val="nil"/>
              <w:left w:val="nil"/>
              <w:bottom w:val="single" w:sz="4" w:space="0" w:color="auto"/>
              <w:right w:val="single" w:sz="4" w:space="0" w:color="auto"/>
            </w:tcBorders>
            <w:noWrap/>
            <w:vAlign w:val="center"/>
            <w:hideMark/>
          </w:tcPr>
          <w:p w14:paraId="3345139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42</w:t>
            </w:r>
          </w:p>
        </w:tc>
        <w:tc>
          <w:tcPr>
            <w:tcW w:w="0" w:type="auto"/>
            <w:tcBorders>
              <w:top w:val="nil"/>
              <w:left w:val="nil"/>
              <w:bottom w:val="single" w:sz="4" w:space="0" w:color="auto"/>
              <w:right w:val="single" w:sz="4" w:space="0" w:color="auto"/>
            </w:tcBorders>
            <w:noWrap/>
            <w:vAlign w:val="center"/>
            <w:hideMark/>
          </w:tcPr>
          <w:p w14:paraId="7C0D197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106</w:t>
            </w:r>
          </w:p>
        </w:tc>
        <w:tc>
          <w:tcPr>
            <w:tcW w:w="0" w:type="auto"/>
            <w:tcBorders>
              <w:top w:val="nil"/>
              <w:left w:val="nil"/>
              <w:bottom w:val="single" w:sz="4" w:space="0" w:color="auto"/>
              <w:right w:val="single" w:sz="4" w:space="0" w:color="auto"/>
            </w:tcBorders>
            <w:noWrap/>
            <w:vAlign w:val="center"/>
            <w:hideMark/>
          </w:tcPr>
          <w:p w14:paraId="1D96B80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82</w:t>
            </w:r>
          </w:p>
        </w:tc>
        <w:tc>
          <w:tcPr>
            <w:tcW w:w="0" w:type="auto"/>
            <w:tcBorders>
              <w:top w:val="nil"/>
              <w:left w:val="nil"/>
              <w:bottom w:val="single" w:sz="4" w:space="0" w:color="auto"/>
              <w:right w:val="single" w:sz="4" w:space="0" w:color="auto"/>
            </w:tcBorders>
            <w:noWrap/>
            <w:vAlign w:val="center"/>
            <w:hideMark/>
          </w:tcPr>
          <w:p w14:paraId="3A1DED2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127</w:t>
            </w:r>
          </w:p>
        </w:tc>
        <w:tc>
          <w:tcPr>
            <w:tcW w:w="0" w:type="auto"/>
            <w:tcBorders>
              <w:top w:val="nil"/>
              <w:left w:val="nil"/>
              <w:bottom w:val="single" w:sz="4" w:space="0" w:color="auto"/>
              <w:right w:val="single" w:sz="4" w:space="0" w:color="auto"/>
            </w:tcBorders>
            <w:noWrap/>
            <w:vAlign w:val="center"/>
            <w:hideMark/>
          </w:tcPr>
          <w:p w14:paraId="2920F05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62</w:t>
            </w:r>
          </w:p>
        </w:tc>
        <w:tc>
          <w:tcPr>
            <w:tcW w:w="0" w:type="auto"/>
            <w:tcBorders>
              <w:top w:val="nil"/>
              <w:left w:val="nil"/>
              <w:bottom w:val="single" w:sz="4" w:space="0" w:color="auto"/>
              <w:right w:val="single" w:sz="4" w:space="0" w:color="auto"/>
            </w:tcBorders>
            <w:noWrap/>
            <w:vAlign w:val="center"/>
            <w:hideMark/>
          </w:tcPr>
          <w:p w14:paraId="6FB1831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114</w:t>
            </w:r>
          </w:p>
        </w:tc>
        <w:tc>
          <w:tcPr>
            <w:tcW w:w="881" w:type="dxa"/>
            <w:tcBorders>
              <w:top w:val="nil"/>
              <w:left w:val="nil"/>
              <w:bottom w:val="single" w:sz="4" w:space="0" w:color="auto"/>
              <w:right w:val="single" w:sz="4" w:space="0" w:color="auto"/>
            </w:tcBorders>
            <w:noWrap/>
            <w:vAlign w:val="center"/>
            <w:hideMark/>
          </w:tcPr>
          <w:p w14:paraId="07FECD6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114</w:t>
            </w:r>
          </w:p>
        </w:tc>
      </w:tr>
      <w:tr w:rsidR="00EF1937" w:rsidRPr="00B450EB" w14:paraId="2400C03C"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6CF47AF2"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Araceae</w:t>
            </w:r>
            <w:proofErr w:type="spellEnd"/>
          </w:p>
        </w:tc>
        <w:tc>
          <w:tcPr>
            <w:tcW w:w="0" w:type="auto"/>
            <w:tcBorders>
              <w:top w:val="nil"/>
              <w:left w:val="nil"/>
              <w:bottom w:val="nil"/>
              <w:right w:val="nil"/>
            </w:tcBorders>
            <w:noWrap/>
            <w:vAlign w:val="center"/>
            <w:hideMark/>
          </w:tcPr>
          <w:p w14:paraId="7A1D909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236</w:t>
            </w:r>
          </w:p>
        </w:tc>
        <w:tc>
          <w:tcPr>
            <w:tcW w:w="0" w:type="auto"/>
            <w:tcBorders>
              <w:top w:val="nil"/>
              <w:left w:val="single" w:sz="4" w:space="0" w:color="auto"/>
              <w:bottom w:val="single" w:sz="4" w:space="0" w:color="auto"/>
              <w:right w:val="single" w:sz="4" w:space="0" w:color="auto"/>
            </w:tcBorders>
            <w:noWrap/>
            <w:vAlign w:val="center"/>
            <w:hideMark/>
          </w:tcPr>
          <w:p w14:paraId="5B40183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177</w:t>
            </w:r>
          </w:p>
        </w:tc>
        <w:tc>
          <w:tcPr>
            <w:tcW w:w="0" w:type="auto"/>
            <w:tcBorders>
              <w:top w:val="nil"/>
              <w:left w:val="nil"/>
              <w:bottom w:val="single" w:sz="4" w:space="0" w:color="auto"/>
              <w:right w:val="single" w:sz="4" w:space="0" w:color="auto"/>
            </w:tcBorders>
            <w:noWrap/>
            <w:vAlign w:val="center"/>
            <w:hideMark/>
          </w:tcPr>
          <w:p w14:paraId="44EDD47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173</w:t>
            </w:r>
          </w:p>
        </w:tc>
        <w:tc>
          <w:tcPr>
            <w:tcW w:w="0" w:type="auto"/>
            <w:tcBorders>
              <w:top w:val="nil"/>
              <w:left w:val="nil"/>
              <w:bottom w:val="single" w:sz="4" w:space="0" w:color="auto"/>
              <w:right w:val="single" w:sz="4" w:space="0" w:color="auto"/>
            </w:tcBorders>
            <w:noWrap/>
            <w:vAlign w:val="center"/>
            <w:hideMark/>
          </w:tcPr>
          <w:p w14:paraId="72FCB4F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64</w:t>
            </w:r>
          </w:p>
        </w:tc>
        <w:tc>
          <w:tcPr>
            <w:tcW w:w="0" w:type="auto"/>
            <w:tcBorders>
              <w:top w:val="nil"/>
              <w:left w:val="nil"/>
              <w:bottom w:val="single" w:sz="4" w:space="0" w:color="auto"/>
              <w:right w:val="single" w:sz="4" w:space="0" w:color="auto"/>
            </w:tcBorders>
            <w:noWrap/>
            <w:vAlign w:val="center"/>
            <w:hideMark/>
          </w:tcPr>
          <w:p w14:paraId="63B667F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69</w:t>
            </w:r>
          </w:p>
        </w:tc>
        <w:tc>
          <w:tcPr>
            <w:tcW w:w="0" w:type="auto"/>
            <w:tcBorders>
              <w:top w:val="nil"/>
              <w:left w:val="nil"/>
              <w:bottom w:val="single" w:sz="4" w:space="0" w:color="auto"/>
              <w:right w:val="single" w:sz="4" w:space="0" w:color="auto"/>
            </w:tcBorders>
            <w:noWrap/>
            <w:vAlign w:val="center"/>
            <w:hideMark/>
          </w:tcPr>
          <w:p w14:paraId="67BFC75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140</w:t>
            </w:r>
          </w:p>
        </w:tc>
        <w:tc>
          <w:tcPr>
            <w:tcW w:w="0" w:type="auto"/>
            <w:tcBorders>
              <w:top w:val="nil"/>
              <w:left w:val="nil"/>
              <w:bottom w:val="single" w:sz="4" w:space="0" w:color="auto"/>
              <w:right w:val="single" w:sz="4" w:space="0" w:color="auto"/>
            </w:tcBorders>
            <w:noWrap/>
            <w:vAlign w:val="center"/>
            <w:hideMark/>
          </w:tcPr>
          <w:p w14:paraId="434F7FE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295</w:t>
            </w:r>
          </w:p>
        </w:tc>
        <w:tc>
          <w:tcPr>
            <w:tcW w:w="0" w:type="auto"/>
            <w:tcBorders>
              <w:top w:val="nil"/>
              <w:left w:val="nil"/>
              <w:bottom w:val="single" w:sz="4" w:space="0" w:color="auto"/>
              <w:right w:val="single" w:sz="4" w:space="0" w:color="auto"/>
            </w:tcBorders>
            <w:noWrap/>
            <w:vAlign w:val="center"/>
            <w:hideMark/>
          </w:tcPr>
          <w:p w14:paraId="5BEA308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124</w:t>
            </w:r>
          </w:p>
        </w:tc>
        <w:tc>
          <w:tcPr>
            <w:tcW w:w="881" w:type="dxa"/>
            <w:tcBorders>
              <w:top w:val="nil"/>
              <w:left w:val="nil"/>
              <w:bottom w:val="single" w:sz="4" w:space="0" w:color="auto"/>
              <w:right w:val="single" w:sz="4" w:space="0" w:color="auto"/>
            </w:tcBorders>
            <w:noWrap/>
            <w:vAlign w:val="center"/>
            <w:hideMark/>
          </w:tcPr>
          <w:p w14:paraId="4253CD8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124</w:t>
            </w:r>
          </w:p>
        </w:tc>
      </w:tr>
      <w:tr w:rsidR="00EF1937" w:rsidRPr="00B450EB" w14:paraId="315CD66A"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4BDB91DE"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Arecaceae</w:t>
            </w:r>
            <w:proofErr w:type="spellEnd"/>
          </w:p>
        </w:tc>
        <w:tc>
          <w:tcPr>
            <w:tcW w:w="0" w:type="auto"/>
            <w:tcBorders>
              <w:top w:val="single" w:sz="4" w:space="0" w:color="auto"/>
              <w:left w:val="nil"/>
              <w:bottom w:val="single" w:sz="4" w:space="0" w:color="auto"/>
              <w:right w:val="single" w:sz="4" w:space="0" w:color="auto"/>
            </w:tcBorders>
            <w:noWrap/>
            <w:vAlign w:val="center"/>
            <w:hideMark/>
          </w:tcPr>
          <w:p w14:paraId="4177C3D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182</w:t>
            </w:r>
          </w:p>
        </w:tc>
        <w:tc>
          <w:tcPr>
            <w:tcW w:w="0" w:type="auto"/>
            <w:tcBorders>
              <w:top w:val="nil"/>
              <w:left w:val="nil"/>
              <w:bottom w:val="single" w:sz="4" w:space="0" w:color="auto"/>
              <w:right w:val="single" w:sz="4" w:space="0" w:color="auto"/>
            </w:tcBorders>
            <w:noWrap/>
            <w:vAlign w:val="center"/>
            <w:hideMark/>
          </w:tcPr>
          <w:p w14:paraId="2AA1194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110</w:t>
            </w:r>
          </w:p>
        </w:tc>
        <w:tc>
          <w:tcPr>
            <w:tcW w:w="0" w:type="auto"/>
            <w:tcBorders>
              <w:top w:val="nil"/>
              <w:left w:val="nil"/>
              <w:bottom w:val="single" w:sz="4" w:space="0" w:color="auto"/>
              <w:right w:val="single" w:sz="4" w:space="0" w:color="auto"/>
            </w:tcBorders>
            <w:noWrap/>
            <w:vAlign w:val="center"/>
            <w:hideMark/>
          </w:tcPr>
          <w:p w14:paraId="01536A2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67</w:t>
            </w:r>
          </w:p>
        </w:tc>
        <w:tc>
          <w:tcPr>
            <w:tcW w:w="0" w:type="auto"/>
            <w:tcBorders>
              <w:top w:val="nil"/>
              <w:left w:val="nil"/>
              <w:bottom w:val="single" w:sz="4" w:space="0" w:color="auto"/>
              <w:right w:val="single" w:sz="4" w:space="0" w:color="auto"/>
            </w:tcBorders>
            <w:noWrap/>
            <w:vAlign w:val="center"/>
            <w:hideMark/>
          </w:tcPr>
          <w:p w14:paraId="781CE85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77</w:t>
            </w:r>
          </w:p>
        </w:tc>
        <w:tc>
          <w:tcPr>
            <w:tcW w:w="0" w:type="auto"/>
            <w:tcBorders>
              <w:top w:val="nil"/>
              <w:left w:val="nil"/>
              <w:bottom w:val="single" w:sz="4" w:space="0" w:color="auto"/>
              <w:right w:val="single" w:sz="4" w:space="0" w:color="auto"/>
            </w:tcBorders>
            <w:noWrap/>
            <w:vAlign w:val="center"/>
            <w:hideMark/>
          </w:tcPr>
          <w:p w14:paraId="080AEB1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54</w:t>
            </w:r>
          </w:p>
        </w:tc>
        <w:tc>
          <w:tcPr>
            <w:tcW w:w="0" w:type="auto"/>
            <w:tcBorders>
              <w:top w:val="nil"/>
              <w:left w:val="nil"/>
              <w:bottom w:val="single" w:sz="4" w:space="0" w:color="auto"/>
              <w:right w:val="single" w:sz="4" w:space="0" w:color="auto"/>
            </w:tcBorders>
            <w:noWrap/>
            <w:vAlign w:val="center"/>
            <w:hideMark/>
          </w:tcPr>
          <w:p w14:paraId="25EA86E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102</w:t>
            </w:r>
          </w:p>
        </w:tc>
        <w:tc>
          <w:tcPr>
            <w:tcW w:w="0" w:type="auto"/>
            <w:tcBorders>
              <w:top w:val="nil"/>
              <w:left w:val="nil"/>
              <w:bottom w:val="single" w:sz="4" w:space="0" w:color="auto"/>
              <w:right w:val="single" w:sz="4" w:space="0" w:color="auto"/>
            </w:tcBorders>
            <w:noWrap/>
            <w:vAlign w:val="center"/>
            <w:hideMark/>
          </w:tcPr>
          <w:p w14:paraId="314573A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84</w:t>
            </w:r>
          </w:p>
        </w:tc>
        <w:tc>
          <w:tcPr>
            <w:tcW w:w="0" w:type="auto"/>
            <w:tcBorders>
              <w:top w:val="nil"/>
              <w:left w:val="nil"/>
              <w:bottom w:val="single" w:sz="4" w:space="0" w:color="auto"/>
              <w:right w:val="single" w:sz="4" w:space="0" w:color="auto"/>
            </w:tcBorders>
            <w:noWrap/>
            <w:vAlign w:val="center"/>
            <w:hideMark/>
          </w:tcPr>
          <w:p w14:paraId="5072A88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89</w:t>
            </w:r>
          </w:p>
        </w:tc>
        <w:tc>
          <w:tcPr>
            <w:tcW w:w="881" w:type="dxa"/>
            <w:tcBorders>
              <w:top w:val="nil"/>
              <w:left w:val="nil"/>
              <w:bottom w:val="single" w:sz="4" w:space="0" w:color="auto"/>
              <w:right w:val="single" w:sz="4" w:space="0" w:color="auto"/>
            </w:tcBorders>
            <w:noWrap/>
            <w:vAlign w:val="center"/>
            <w:hideMark/>
          </w:tcPr>
          <w:p w14:paraId="59B9361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89</w:t>
            </w:r>
          </w:p>
        </w:tc>
      </w:tr>
      <w:tr w:rsidR="00EF1937" w:rsidRPr="00B450EB" w14:paraId="2B719512"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519A73FA"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Asteraceae</w:t>
            </w:r>
            <w:proofErr w:type="spellEnd"/>
          </w:p>
        </w:tc>
        <w:tc>
          <w:tcPr>
            <w:tcW w:w="0" w:type="auto"/>
            <w:tcBorders>
              <w:top w:val="nil"/>
              <w:left w:val="nil"/>
              <w:bottom w:val="single" w:sz="4" w:space="0" w:color="auto"/>
              <w:right w:val="single" w:sz="4" w:space="0" w:color="auto"/>
            </w:tcBorders>
            <w:noWrap/>
            <w:vAlign w:val="center"/>
            <w:hideMark/>
          </w:tcPr>
          <w:p w14:paraId="2D6024F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115</w:t>
            </w:r>
          </w:p>
        </w:tc>
        <w:tc>
          <w:tcPr>
            <w:tcW w:w="0" w:type="auto"/>
            <w:tcBorders>
              <w:top w:val="nil"/>
              <w:left w:val="nil"/>
              <w:bottom w:val="single" w:sz="4" w:space="0" w:color="auto"/>
              <w:right w:val="single" w:sz="4" w:space="0" w:color="auto"/>
            </w:tcBorders>
            <w:noWrap/>
            <w:vAlign w:val="center"/>
            <w:hideMark/>
          </w:tcPr>
          <w:p w14:paraId="5C78290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168</w:t>
            </w:r>
          </w:p>
        </w:tc>
        <w:tc>
          <w:tcPr>
            <w:tcW w:w="0" w:type="auto"/>
            <w:tcBorders>
              <w:top w:val="nil"/>
              <w:left w:val="nil"/>
              <w:bottom w:val="single" w:sz="4" w:space="0" w:color="auto"/>
              <w:right w:val="single" w:sz="4" w:space="0" w:color="auto"/>
            </w:tcBorders>
            <w:noWrap/>
            <w:vAlign w:val="center"/>
            <w:hideMark/>
          </w:tcPr>
          <w:p w14:paraId="08CB861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296</w:t>
            </w:r>
          </w:p>
        </w:tc>
        <w:tc>
          <w:tcPr>
            <w:tcW w:w="0" w:type="auto"/>
            <w:tcBorders>
              <w:top w:val="nil"/>
              <w:left w:val="nil"/>
              <w:bottom w:val="single" w:sz="4" w:space="0" w:color="auto"/>
              <w:right w:val="single" w:sz="4" w:space="0" w:color="auto"/>
            </w:tcBorders>
            <w:noWrap/>
            <w:vAlign w:val="center"/>
            <w:hideMark/>
          </w:tcPr>
          <w:p w14:paraId="02E47DF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42</w:t>
            </w:r>
          </w:p>
        </w:tc>
        <w:tc>
          <w:tcPr>
            <w:tcW w:w="0" w:type="auto"/>
            <w:tcBorders>
              <w:top w:val="nil"/>
              <w:left w:val="nil"/>
              <w:bottom w:val="single" w:sz="4" w:space="0" w:color="auto"/>
              <w:right w:val="single" w:sz="4" w:space="0" w:color="auto"/>
            </w:tcBorders>
            <w:noWrap/>
            <w:vAlign w:val="center"/>
            <w:hideMark/>
          </w:tcPr>
          <w:p w14:paraId="12C25E5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66</w:t>
            </w:r>
          </w:p>
        </w:tc>
        <w:tc>
          <w:tcPr>
            <w:tcW w:w="0" w:type="auto"/>
            <w:tcBorders>
              <w:top w:val="nil"/>
              <w:left w:val="nil"/>
              <w:bottom w:val="single" w:sz="4" w:space="0" w:color="auto"/>
              <w:right w:val="single" w:sz="4" w:space="0" w:color="auto"/>
            </w:tcBorders>
            <w:noWrap/>
            <w:vAlign w:val="center"/>
            <w:hideMark/>
          </w:tcPr>
          <w:p w14:paraId="45AA7DC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380</w:t>
            </w:r>
          </w:p>
        </w:tc>
        <w:tc>
          <w:tcPr>
            <w:tcW w:w="0" w:type="auto"/>
            <w:tcBorders>
              <w:top w:val="nil"/>
              <w:left w:val="nil"/>
              <w:bottom w:val="single" w:sz="4" w:space="0" w:color="auto"/>
              <w:right w:val="single" w:sz="4" w:space="0" w:color="auto"/>
            </w:tcBorders>
            <w:noWrap/>
            <w:vAlign w:val="center"/>
            <w:hideMark/>
          </w:tcPr>
          <w:p w14:paraId="38A95A3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444</w:t>
            </w:r>
          </w:p>
        </w:tc>
        <w:tc>
          <w:tcPr>
            <w:tcW w:w="0" w:type="auto"/>
            <w:tcBorders>
              <w:top w:val="nil"/>
              <w:left w:val="nil"/>
              <w:bottom w:val="single" w:sz="4" w:space="0" w:color="auto"/>
              <w:right w:val="single" w:sz="4" w:space="0" w:color="auto"/>
            </w:tcBorders>
            <w:noWrap/>
            <w:vAlign w:val="center"/>
            <w:hideMark/>
          </w:tcPr>
          <w:p w14:paraId="53F7F9E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44</w:t>
            </w:r>
          </w:p>
        </w:tc>
        <w:tc>
          <w:tcPr>
            <w:tcW w:w="881" w:type="dxa"/>
            <w:tcBorders>
              <w:top w:val="nil"/>
              <w:left w:val="nil"/>
              <w:bottom w:val="single" w:sz="4" w:space="0" w:color="auto"/>
              <w:right w:val="single" w:sz="4" w:space="0" w:color="auto"/>
            </w:tcBorders>
            <w:noWrap/>
            <w:vAlign w:val="center"/>
            <w:hideMark/>
          </w:tcPr>
          <w:p w14:paraId="6B3A022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44</w:t>
            </w:r>
          </w:p>
        </w:tc>
      </w:tr>
      <w:tr w:rsidR="00EF1937" w:rsidRPr="00B450EB" w14:paraId="7205E082"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3F70939A"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Bignoniaceae</w:t>
            </w:r>
            <w:proofErr w:type="spellEnd"/>
          </w:p>
        </w:tc>
        <w:tc>
          <w:tcPr>
            <w:tcW w:w="0" w:type="auto"/>
            <w:tcBorders>
              <w:top w:val="nil"/>
              <w:left w:val="nil"/>
              <w:bottom w:val="single" w:sz="4" w:space="0" w:color="auto"/>
              <w:right w:val="single" w:sz="4" w:space="0" w:color="auto"/>
            </w:tcBorders>
            <w:noWrap/>
            <w:vAlign w:val="center"/>
            <w:hideMark/>
          </w:tcPr>
          <w:p w14:paraId="5CDB606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157</w:t>
            </w:r>
          </w:p>
        </w:tc>
        <w:tc>
          <w:tcPr>
            <w:tcW w:w="0" w:type="auto"/>
            <w:tcBorders>
              <w:top w:val="nil"/>
              <w:left w:val="nil"/>
              <w:bottom w:val="single" w:sz="4" w:space="0" w:color="auto"/>
              <w:right w:val="single" w:sz="4" w:space="0" w:color="auto"/>
            </w:tcBorders>
            <w:noWrap/>
            <w:vAlign w:val="center"/>
            <w:hideMark/>
          </w:tcPr>
          <w:p w14:paraId="670E00A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39</w:t>
            </w:r>
          </w:p>
        </w:tc>
        <w:tc>
          <w:tcPr>
            <w:tcW w:w="0" w:type="auto"/>
            <w:tcBorders>
              <w:top w:val="nil"/>
              <w:left w:val="nil"/>
              <w:bottom w:val="single" w:sz="4" w:space="0" w:color="auto"/>
              <w:right w:val="single" w:sz="4" w:space="0" w:color="auto"/>
            </w:tcBorders>
            <w:noWrap/>
            <w:vAlign w:val="center"/>
            <w:hideMark/>
          </w:tcPr>
          <w:p w14:paraId="1F3BA0B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27</w:t>
            </w:r>
          </w:p>
        </w:tc>
        <w:tc>
          <w:tcPr>
            <w:tcW w:w="0" w:type="auto"/>
            <w:tcBorders>
              <w:top w:val="nil"/>
              <w:left w:val="nil"/>
              <w:bottom w:val="single" w:sz="4" w:space="0" w:color="auto"/>
              <w:right w:val="single" w:sz="4" w:space="0" w:color="auto"/>
            </w:tcBorders>
            <w:noWrap/>
            <w:vAlign w:val="center"/>
            <w:hideMark/>
          </w:tcPr>
          <w:p w14:paraId="4D927AF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48</w:t>
            </w:r>
          </w:p>
        </w:tc>
        <w:tc>
          <w:tcPr>
            <w:tcW w:w="0" w:type="auto"/>
            <w:tcBorders>
              <w:top w:val="nil"/>
              <w:left w:val="nil"/>
              <w:bottom w:val="single" w:sz="4" w:space="0" w:color="auto"/>
              <w:right w:val="single" w:sz="4" w:space="0" w:color="auto"/>
            </w:tcBorders>
            <w:noWrap/>
            <w:vAlign w:val="center"/>
            <w:hideMark/>
          </w:tcPr>
          <w:p w14:paraId="0783CBF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66</w:t>
            </w:r>
          </w:p>
        </w:tc>
        <w:tc>
          <w:tcPr>
            <w:tcW w:w="0" w:type="auto"/>
            <w:tcBorders>
              <w:top w:val="nil"/>
              <w:left w:val="nil"/>
              <w:bottom w:val="single" w:sz="4" w:space="0" w:color="auto"/>
              <w:right w:val="single" w:sz="4" w:space="0" w:color="auto"/>
            </w:tcBorders>
            <w:noWrap/>
            <w:vAlign w:val="center"/>
            <w:hideMark/>
          </w:tcPr>
          <w:p w14:paraId="6635919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106</w:t>
            </w:r>
          </w:p>
        </w:tc>
        <w:tc>
          <w:tcPr>
            <w:tcW w:w="0" w:type="auto"/>
            <w:tcBorders>
              <w:top w:val="nil"/>
              <w:left w:val="nil"/>
              <w:bottom w:val="single" w:sz="4" w:space="0" w:color="auto"/>
              <w:right w:val="single" w:sz="4" w:space="0" w:color="auto"/>
            </w:tcBorders>
            <w:noWrap/>
            <w:vAlign w:val="center"/>
            <w:hideMark/>
          </w:tcPr>
          <w:p w14:paraId="301EF7D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30</w:t>
            </w:r>
          </w:p>
        </w:tc>
        <w:tc>
          <w:tcPr>
            <w:tcW w:w="0" w:type="auto"/>
            <w:tcBorders>
              <w:top w:val="nil"/>
              <w:left w:val="nil"/>
              <w:bottom w:val="single" w:sz="4" w:space="0" w:color="auto"/>
              <w:right w:val="single" w:sz="4" w:space="0" w:color="auto"/>
            </w:tcBorders>
            <w:noWrap/>
            <w:vAlign w:val="center"/>
            <w:hideMark/>
          </w:tcPr>
          <w:p w14:paraId="2F15DBF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59</w:t>
            </w:r>
          </w:p>
        </w:tc>
        <w:tc>
          <w:tcPr>
            <w:tcW w:w="881" w:type="dxa"/>
            <w:tcBorders>
              <w:top w:val="nil"/>
              <w:left w:val="nil"/>
              <w:bottom w:val="single" w:sz="4" w:space="0" w:color="auto"/>
              <w:right w:val="single" w:sz="4" w:space="0" w:color="auto"/>
            </w:tcBorders>
            <w:noWrap/>
            <w:vAlign w:val="center"/>
            <w:hideMark/>
          </w:tcPr>
          <w:p w14:paraId="74A4D17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59</w:t>
            </w:r>
          </w:p>
        </w:tc>
      </w:tr>
      <w:tr w:rsidR="00EF1937" w:rsidRPr="00B450EB" w14:paraId="3F28A535"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6682C04E"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Bromeliaceae</w:t>
            </w:r>
            <w:proofErr w:type="spellEnd"/>
          </w:p>
        </w:tc>
        <w:tc>
          <w:tcPr>
            <w:tcW w:w="0" w:type="auto"/>
            <w:tcBorders>
              <w:top w:val="nil"/>
              <w:left w:val="nil"/>
              <w:bottom w:val="single" w:sz="4" w:space="0" w:color="auto"/>
              <w:right w:val="single" w:sz="4" w:space="0" w:color="auto"/>
            </w:tcBorders>
            <w:noWrap/>
            <w:vAlign w:val="center"/>
            <w:hideMark/>
          </w:tcPr>
          <w:p w14:paraId="41184B8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105</w:t>
            </w:r>
          </w:p>
        </w:tc>
        <w:tc>
          <w:tcPr>
            <w:tcW w:w="0" w:type="auto"/>
            <w:tcBorders>
              <w:top w:val="nil"/>
              <w:left w:val="nil"/>
              <w:bottom w:val="single" w:sz="4" w:space="0" w:color="auto"/>
              <w:right w:val="single" w:sz="4" w:space="0" w:color="auto"/>
            </w:tcBorders>
            <w:noWrap/>
            <w:vAlign w:val="center"/>
            <w:hideMark/>
          </w:tcPr>
          <w:p w14:paraId="5C162FB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88</w:t>
            </w:r>
          </w:p>
        </w:tc>
        <w:tc>
          <w:tcPr>
            <w:tcW w:w="0" w:type="auto"/>
            <w:tcBorders>
              <w:top w:val="nil"/>
              <w:left w:val="nil"/>
              <w:bottom w:val="single" w:sz="4" w:space="0" w:color="auto"/>
              <w:right w:val="single" w:sz="4" w:space="0" w:color="auto"/>
            </w:tcBorders>
            <w:noWrap/>
            <w:vAlign w:val="center"/>
            <w:hideMark/>
          </w:tcPr>
          <w:p w14:paraId="5A30753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79</w:t>
            </w:r>
          </w:p>
        </w:tc>
        <w:tc>
          <w:tcPr>
            <w:tcW w:w="0" w:type="auto"/>
            <w:tcBorders>
              <w:top w:val="nil"/>
              <w:left w:val="nil"/>
              <w:bottom w:val="single" w:sz="4" w:space="0" w:color="auto"/>
              <w:right w:val="single" w:sz="4" w:space="0" w:color="auto"/>
            </w:tcBorders>
            <w:noWrap/>
            <w:vAlign w:val="center"/>
            <w:hideMark/>
          </w:tcPr>
          <w:p w14:paraId="100E7A2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45</w:t>
            </w:r>
          </w:p>
        </w:tc>
        <w:tc>
          <w:tcPr>
            <w:tcW w:w="0" w:type="auto"/>
            <w:tcBorders>
              <w:top w:val="nil"/>
              <w:left w:val="nil"/>
              <w:bottom w:val="single" w:sz="4" w:space="0" w:color="auto"/>
              <w:right w:val="single" w:sz="4" w:space="0" w:color="auto"/>
            </w:tcBorders>
            <w:noWrap/>
            <w:vAlign w:val="center"/>
            <w:hideMark/>
          </w:tcPr>
          <w:p w14:paraId="16701D1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48</w:t>
            </w:r>
          </w:p>
        </w:tc>
        <w:tc>
          <w:tcPr>
            <w:tcW w:w="0" w:type="auto"/>
            <w:tcBorders>
              <w:top w:val="nil"/>
              <w:left w:val="nil"/>
              <w:bottom w:val="single" w:sz="4" w:space="0" w:color="auto"/>
              <w:right w:val="single" w:sz="4" w:space="0" w:color="auto"/>
            </w:tcBorders>
            <w:noWrap/>
            <w:vAlign w:val="center"/>
            <w:hideMark/>
          </w:tcPr>
          <w:p w14:paraId="661860F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112</w:t>
            </w:r>
          </w:p>
        </w:tc>
        <w:tc>
          <w:tcPr>
            <w:tcW w:w="0" w:type="auto"/>
            <w:tcBorders>
              <w:top w:val="nil"/>
              <w:left w:val="nil"/>
              <w:bottom w:val="single" w:sz="4" w:space="0" w:color="auto"/>
              <w:right w:val="single" w:sz="4" w:space="0" w:color="auto"/>
            </w:tcBorders>
            <w:noWrap/>
            <w:vAlign w:val="center"/>
            <w:hideMark/>
          </w:tcPr>
          <w:p w14:paraId="504D596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112</w:t>
            </w:r>
          </w:p>
        </w:tc>
        <w:tc>
          <w:tcPr>
            <w:tcW w:w="0" w:type="auto"/>
            <w:tcBorders>
              <w:top w:val="nil"/>
              <w:left w:val="nil"/>
              <w:bottom w:val="single" w:sz="4" w:space="0" w:color="auto"/>
              <w:right w:val="single" w:sz="4" w:space="0" w:color="auto"/>
            </w:tcBorders>
            <w:noWrap/>
            <w:vAlign w:val="center"/>
            <w:hideMark/>
          </w:tcPr>
          <w:p w14:paraId="426C4EB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85</w:t>
            </w:r>
          </w:p>
        </w:tc>
        <w:tc>
          <w:tcPr>
            <w:tcW w:w="881" w:type="dxa"/>
            <w:tcBorders>
              <w:top w:val="nil"/>
              <w:left w:val="nil"/>
              <w:bottom w:val="single" w:sz="4" w:space="0" w:color="auto"/>
              <w:right w:val="single" w:sz="4" w:space="0" w:color="auto"/>
            </w:tcBorders>
            <w:noWrap/>
            <w:vAlign w:val="center"/>
            <w:hideMark/>
          </w:tcPr>
          <w:p w14:paraId="50148B1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85</w:t>
            </w:r>
          </w:p>
        </w:tc>
      </w:tr>
      <w:tr w:rsidR="00EF1937" w:rsidRPr="00B450EB" w14:paraId="64B6FBDF"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1556B068"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Chrysobalanaceae</w:t>
            </w:r>
            <w:proofErr w:type="spellEnd"/>
          </w:p>
        </w:tc>
        <w:tc>
          <w:tcPr>
            <w:tcW w:w="0" w:type="auto"/>
            <w:tcBorders>
              <w:top w:val="nil"/>
              <w:left w:val="nil"/>
              <w:bottom w:val="single" w:sz="4" w:space="0" w:color="auto"/>
              <w:right w:val="single" w:sz="4" w:space="0" w:color="auto"/>
            </w:tcBorders>
            <w:noWrap/>
            <w:vAlign w:val="center"/>
            <w:hideMark/>
          </w:tcPr>
          <w:p w14:paraId="39BA4A9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150</w:t>
            </w:r>
          </w:p>
        </w:tc>
        <w:tc>
          <w:tcPr>
            <w:tcW w:w="0" w:type="auto"/>
            <w:tcBorders>
              <w:top w:val="nil"/>
              <w:left w:val="nil"/>
              <w:bottom w:val="single" w:sz="4" w:space="0" w:color="auto"/>
              <w:right w:val="single" w:sz="4" w:space="0" w:color="auto"/>
            </w:tcBorders>
            <w:noWrap/>
            <w:vAlign w:val="center"/>
            <w:hideMark/>
          </w:tcPr>
          <w:p w14:paraId="3ACB6CC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41</w:t>
            </w:r>
          </w:p>
        </w:tc>
        <w:tc>
          <w:tcPr>
            <w:tcW w:w="0" w:type="auto"/>
            <w:tcBorders>
              <w:top w:val="nil"/>
              <w:left w:val="nil"/>
              <w:bottom w:val="single" w:sz="4" w:space="0" w:color="auto"/>
              <w:right w:val="single" w:sz="4" w:space="0" w:color="auto"/>
            </w:tcBorders>
            <w:noWrap/>
            <w:vAlign w:val="center"/>
            <w:hideMark/>
          </w:tcPr>
          <w:p w14:paraId="2918C87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p>
        </w:tc>
        <w:tc>
          <w:tcPr>
            <w:tcW w:w="0" w:type="auto"/>
            <w:tcBorders>
              <w:top w:val="nil"/>
              <w:left w:val="nil"/>
              <w:bottom w:val="single" w:sz="4" w:space="0" w:color="auto"/>
              <w:right w:val="single" w:sz="4" w:space="0" w:color="auto"/>
            </w:tcBorders>
            <w:noWrap/>
            <w:vAlign w:val="center"/>
            <w:hideMark/>
          </w:tcPr>
          <w:p w14:paraId="36CE48B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75</w:t>
            </w:r>
          </w:p>
        </w:tc>
        <w:tc>
          <w:tcPr>
            <w:tcW w:w="0" w:type="auto"/>
            <w:tcBorders>
              <w:top w:val="nil"/>
              <w:left w:val="nil"/>
              <w:bottom w:val="single" w:sz="4" w:space="0" w:color="auto"/>
              <w:right w:val="single" w:sz="4" w:space="0" w:color="auto"/>
            </w:tcBorders>
            <w:noWrap/>
            <w:vAlign w:val="center"/>
            <w:hideMark/>
          </w:tcPr>
          <w:p w14:paraId="22C8F1D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40</w:t>
            </w:r>
          </w:p>
        </w:tc>
        <w:tc>
          <w:tcPr>
            <w:tcW w:w="0" w:type="auto"/>
            <w:tcBorders>
              <w:top w:val="nil"/>
              <w:left w:val="nil"/>
              <w:bottom w:val="single" w:sz="4" w:space="0" w:color="auto"/>
              <w:right w:val="single" w:sz="4" w:space="0" w:color="auto"/>
            </w:tcBorders>
            <w:noWrap/>
            <w:vAlign w:val="center"/>
            <w:hideMark/>
          </w:tcPr>
          <w:p w14:paraId="11F1CE7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63</w:t>
            </w:r>
          </w:p>
        </w:tc>
        <w:tc>
          <w:tcPr>
            <w:tcW w:w="0" w:type="auto"/>
            <w:tcBorders>
              <w:top w:val="nil"/>
              <w:left w:val="nil"/>
              <w:bottom w:val="single" w:sz="4" w:space="0" w:color="auto"/>
              <w:right w:val="single" w:sz="4" w:space="0" w:color="auto"/>
            </w:tcBorders>
            <w:noWrap/>
            <w:vAlign w:val="center"/>
            <w:hideMark/>
          </w:tcPr>
          <w:p w14:paraId="048BA36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w:t>
            </w:r>
          </w:p>
        </w:tc>
        <w:tc>
          <w:tcPr>
            <w:tcW w:w="0" w:type="auto"/>
            <w:tcBorders>
              <w:top w:val="nil"/>
              <w:left w:val="nil"/>
              <w:bottom w:val="single" w:sz="4" w:space="0" w:color="auto"/>
              <w:right w:val="single" w:sz="4" w:space="0" w:color="auto"/>
            </w:tcBorders>
            <w:noWrap/>
            <w:vAlign w:val="center"/>
            <w:hideMark/>
          </w:tcPr>
          <w:p w14:paraId="7C07470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87</w:t>
            </w:r>
          </w:p>
        </w:tc>
        <w:tc>
          <w:tcPr>
            <w:tcW w:w="881" w:type="dxa"/>
            <w:tcBorders>
              <w:top w:val="nil"/>
              <w:left w:val="nil"/>
              <w:bottom w:val="single" w:sz="4" w:space="0" w:color="auto"/>
              <w:right w:val="single" w:sz="4" w:space="0" w:color="auto"/>
            </w:tcBorders>
            <w:noWrap/>
            <w:vAlign w:val="center"/>
            <w:hideMark/>
          </w:tcPr>
          <w:p w14:paraId="3E3DD23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87</w:t>
            </w:r>
          </w:p>
        </w:tc>
      </w:tr>
      <w:tr w:rsidR="00EF1937" w:rsidRPr="00B450EB" w14:paraId="34778115"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5AE97D11"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Clusiaceae</w:t>
            </w:r>
            <w:proofErr w:type="spellEnd"/>
          </w:p>
        </w:tc>
        <w:tc>
          <w:tcPr>
            <w:tcW w:w="0" w:type="auto"/>
            <w:tcBorders>
              <w:top w:val="nil"/>
              <w:left w:val="nil"/>
              <w:bottom w:val="single" w:sz="4" w:space="0" w:color="auto"/>
              <w:right w:val="single" w:sz="4" w:space="0" w:color="auto"/>
            </w:tcBorders>
            <w:noWrap/>
            <w:vAlign w:val="center"/>
            <w:hideMark/>
          </w:tcPr>
          <w:p w14:paraId="4A6FD3F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126</w:t>
            </w:r>
          </w:p>
        </w:tc>
        <w:tc>
          <w:tcPr>
            <w:tcW w:w="0" w:type="auto"/>
            <w:tcBorders>
              <w:top w:val="nil"/>
              <w:left w:val="nil"/>
              <w:bottom w:val="single" w:sz="4" w:space="0" w:color="auto"/>
              <w:right w:val="single" w:sz="4" w:space="0" w:color="auto"/>
            </w:tcBorders>
            <w:noWrap/>
            <w:vAlign w:val="center"/>
            <w:hideMark/>
          </w:tcPr>
          <w:p w14:paraId="3F23559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55</w:t>
            </w:r>
          </w:p>
        </w:tc>
        <w:tc>
          <w:tcPr>
            <w:tcW w:w="0" w:type="auto"/>
            <w:tcBorders>
              <w:top w:val="nil"/>
              <w:left w:val="nil"/>
              <w:bottom w:val="single" w:sz="4" w:space="0" w:color="auto"/>
              <w:right w:val="single" w:sz="4" w:space="0" w:color="auto"/>
            </w:tcBorders>
            <w:noWrap/>
            <w:vAlign w:val="center"/>
            <w:hideMark/>
          </w:tcPr>
          <w:p w14:paraId="499757C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52</w:t>
            </w:r>
          </w:p>
        </w:tc>
        <w:tc>
          <w:tcPr>
            <w:tcW w:w="0" w:type="auto"/>
            <w:tcBorders>
              <w:top w:val="nil"/>
              <w:left w:val="nil"/>
              <w:bottom w:val="single" w:sz="4" w:space="0" w:color="auto"/>
              <w:right w:val="single" w:sz="4" w:space="0" w:color="auto"/>
            </w:tcBorders>
            <w:noWrap/>
            <w:vAlign w:val="center"/>
            <w:hideMark/>
          </w:tcPr>
          <w:p w14:paraId="4E10140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46</w:t>
            </w:r>
          </w:p>
        </w:tc>
        <w:tc>
          <w:tcPr>
            <w:tcW w:w="0" w:type="auto"/>
            <w:tcBorders>
              <w:top w:val="nil"/>
              <w:left w:val="nil"/>
              <w:bottom w:val="single" w:sz="4" w:space="0" w:color="auto"/>
              <w:right w:val="single" w:sz="4" w:space="0" w:color="auto"/>
            </w:tcBorders>
            <w:noWrap/>
            <w:vAlign w:val="center"/>
            <w:hideMark/>
          </w:tcPr>
          <w:p w14:paraId="59DE735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34</w:t>
            </w:r>
          </w:p>
        </w:tc>
        <w:tc>
          <w:tcPr>
            <w:tcW w:w="0" w:type="auto"/>
            <w:tcBorders>
              <w:top w:val="nil"/>
              <w:left w:val="nil"/>
              <w:bottom w:val="single" w:sz="4" w:space="0" w:color="auto"/>
              <w:right w:val="single" w:sz="4" w:space="0" w:color="auto"/>
            </w:tcBorders>
            <w:noWrap/>
            <w:vAlign w:val="center"/>
            <w:hideMark/>
          </w:tcPr>
          <w:p w14:paraId="45FACB8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75</w:t>
            </w:r>
          </w:p>
        </w:tc>
        <w:tc>
          <w:tcPr>
            <w:tcW w:w="0" w:type="auto"/>
            <w:tcBorders>
              <w:top w:val="nil"/>
              <w:left w:val="nil"/>
              <w:bottom w:val="single" w:sz="4" w:space="0" w:color="auto"/>
              <w:right w:val="single" w:sz="4" w:space="0" w:color="auto"/>
            </w:tcBorders>
            <w:noWrap/>
            <w:vAlign w:val="center"/>
            <w:hideMark/>
          </w:tcPr>
          <w:p w14:paraId="415F09D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67</w:t>
            </w:r>
          </w:p>
        </w:tc>
        <w:tc>
          <w:tcPr>
            <w:tcW w:w="0" w:type="auto"/>
            <w:tcBorders>
              <w:top w:val="nil"/>
              <w:left w:val="nil"/>
              <w:bottom w:val="single" w:sz="4" w:space="0" w:color="auto"/>
              <w:right w:val="single" w:sz="4" w:space="0" w:color="auto"/>
            </w:tcBorders>
            <w:noWrap/>
            <w:vAlign w:val="center"/>
            <w:hideMark/>
          </w:tcPr>
          <w:p w14:paraId="7608F9A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69</w:t>
            </w:r>
          </w:p>
        </w:tc>
        <w:tc>
          <w:tcPr>
            <w:tcW w:w="881" w:type="dxa"/>
            <w:tcBorders>
              <w:top w:val="nil"/>
              <w:left w:val="nil"/>
              <w:bottom w:val="single" w:sz="4" w:space="0" w:color="auto"/>
              <w:right w:val="single" w:sz="4" w:space="0" w:color="auto"/>
            </w:tcBorders>
            <w:noWrap/>
            <w:vAlign w:val="center"/>
            <w:hideMark/>
          </w:tcPr>
          <w:p w14:paraId="515E949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69</w:t>
            </w:r>
          </w:p>
        </w:tc>
      </w:tr>
      <w:tr w:rsidR="00EF1937" w:rsidRPr="00B450EB" w14:paraId="798C5261"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679FD1C0"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lastRenderedPageBreak/>
              <w:t>Cyperaceae</w:t>
            </w:r>
            <w:proofErr w:type="spellEnd"/>
          </w:p>
        </w:tc>
        <w:tc>
          <w:tcPr>
            <w:tcW w:w="0" w:type="auto"/>
            <w:tcBorders>
              <w:top w:val="nil"/>
              <w:left w:val="nil"/>
              <w:bottom w:val="single" w:sz="4" w:space="0" w:color="auto"/>
              <w:right w:val="single" w:sz="4" w:space="0" w:color="auto"/>
            </w:tcBorders>
            <w:noWrap/>
            <w:vAlign w:val="center"/>
            <w:hideMark/>
          </w:tcPr>
          <w:p w14:paraId="793EABC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119</w:t>
            </w:r>
          </w:p>
        </w:tc>
        <w:tc>
          <w:tcPr>
            <w:tcW w:w="0" w:type="auto"/>
            <w:tcBorders>
              <w:top w:val="nil"/>
              <w:left w:val="nil"/>
              <w:bottom w:val="single" w:sz="4" w:space="0" w:color="auto"/>
              <w:right w:val="single" w:sz="4" w:space="0" w:color="auto"/>
            </w:tcBorders>
            <w:noWrap/>
            <w:vAlign w:val="center"/>
            <w:hideMark/>
          </w:tcPr>
          <w:p w14:paraId="745018B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52</w:t>
            </w:r>
          </w:p>
        </w:tc>
        <w:tc>
          <w:tcPr>
            <w:tcW w:w="0" w:type="auto"/>
            <w:tcBorders>
              <w:top w:val="nil"/>
              <w:left w:val="nil"/>
              <w:bottom w:val="single" w:sz="4" w:space="0" w:color="auto"/>
              <w:right w:val="single" w:sz="4" w:space="0" w:color="auto"/>
            </w:tcBorders>
            <w:noWrap/>
            <w:vAlign w:val="center"/>
            <w:hideMark/>
          </w:tcPr>
          <w:p w14:paraId="3FD17D1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53</w:t>
            </w:r>
          </w:p>
        </w:tc>
        <w:tc>
          <w:tcPr>
            <w:tcW w:w="0" w:type="auto"/>
            <w:tcBorders>
              <w:top w:val="nil"/>
              <w:left w:val="nil"/>
              <w:bottom w:val="single" w:sz="4" w:space="0" w:color="auto"/>
              <w:right w:val="single" w:sz="4" w:space="0" w:color="auto"/>
            </w:tcBorders>
            <w:noWrap/>
            <w:vAlign w:val="center"/>
            <w:hideMark/>
          </w:tcPr>
          <w:p w14:paraId="62B906B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94</w:t>
            </w:r>
          </w:p>
        </w:tc>
        <w:tc>
          <w:tcPr>
            <w:tcW w:w="0" w:type="auto"/>
            <w:tcBorders>
              <w:top w:val="nil"/>
              <w:left w:val="nil"/>
              <w:bottom w:val="single" w:sz="4" w:space="0" w:color="auto"/>
              <w:right w:val="single" w:sz="4" w:space="0" w:color="auto"/>
            </w:tcBorders>
            <w:noWrap/>
            <w:vAlign w:val="center"/>
            <w:hideMark/>
          </w:tcPr>
          <w:p w14:paraId="6F43842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79</w:t>
            </w:r>
          </w:p>
        </w:tc>
        <w:tc>
          <w:tcPr>
            <w:tcW w:w="0" w:type="auto"/>
            <w:tcBorders>
              <w:top w:val="nil"/>
              <w:left w:val="nil"/>
              <w:bottom w:val="single" w:sz="4" w:space="0" w:color="auto"/>
              <w:right w:val="single" w:sz="4" w:space="0" w:color="auto"/>
            </w:tcBorders>
            <w:noWrap/>
            <w:vAlign w:val="center"/>
            <w:hideMark/>
          </w:tcPr>
          <w:p w14:paraId="0C30C42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158</w:t>
            </w:r>
          </w:p>
        </w:tc>
        <w:tc>
          <w:tcPr>
            <w:tcW w:w="0" w:type="auto"/>
            <w:tcBorders>
              <w:top w:val="nil"/>
              <w:left w:val="nil"/>
              <w:bottom w:val="single" w:sz="4" w:space="0" w:color="auto"/>
              <w:right w:val="single" w:sz="4" w:space="0" w:color="auto"/>
            </w:tcBorders>
            <w:noWrap/>
            <w:vAlign w:val="center"/>
            <w:hideMark/>
          </w:tcPr>
          <w:p w14:paraId="45E2B24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81</w:t>
            </w:r>
          </w:p>
        </w:tc>
        <w:tc>
          <w:tcPr>
            <w:tcW w:w="0" w:type="auto"/>
            <w:tcBorders>
              <w:top w:val="nil"/>
              <w:left w:val="nil"/>
              <w:bottom w:val="single" w:sz="4" w:space="0" w:color="auto"/>
              <w:right w:val="single" w:sz="4" w:space="0" w:color="auto"/>
            </w:tcBorders>
            <w:noWrap/>
            <w:vAlign w:val="center"/>
            <w:hideMark/>
          </w:tcPr>
          <w:p w14:paraId="24DD8BD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89</w:t>
            </w:r>
          </w:p>
        </w:tc>
        <w:tc>
          <w:tcPr>
            <w:tcW w:w="881" w:type="dxa"/>
            <w:tcBorders>
              <w:top w:val="nil"/>
              <w:left w:val="nil"/>
              <w:bottom w:val="single" w:sz="4" w:space="0" w:color="auto"/>
              <w:right w:val="single" w:sz="4" w:space="0" w:color="auto"/>
            </w:tcBorders>
            <w:noWrap/>
            <w:vAlign w:val="center"/>
            <w:hideMark/>
          </w:tcPr>
          <w:p w14:paraId="624B306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89</w:t>
            </w:r>
          </w:p>
        </w:tc>
      </w:tr>
      <w:tr w:rsidR="00EF1937" w:rsidRPr="00B450EB" w14:paraId="6668CBC1"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17413C37"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0" w:type="auto"/>
            <w:tcBorders>
              <w:top w:val="nil"/>
              <w:left w:val="nil"/>
              <w:bottom w:val="single" w:sz="4" w:space="0" w:color="auto"/>
              <w:right w:val="single" w:sz="4" w:space="0" w:color="auto"/>
            </w:tcBorders>
            <w:noWrap/>
            <w:vAlign w:val="center"/>
            <w:hideMark/>
          </w:tcPr>
          <w:p w14:paraId="3CAFCFE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w:t>
            </w:r>
          </w:p>
        </w:tc>
        <w:tc>
          <w:tcPr>
            <w:tcW w:w="0" w:type="auto"/>
            <w:tcBorders>
              <w:top w:val="nil"/>
              <w:left w:val="nil"/>
              <w:bottom w:val="single" w:sz="4" w:space="0" w:color="auto"/>
              <w:right w:val="single" w:sz="4" w:space="0" w:color="auto"/>
            </w:tcBorders>
            <w:noWrap/>
            <w:vAlign w:val="center"/>
            <w:hideMark/>
          </w:tcPr>
          <w:p w14:paraId="3FC7235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45</w:t>
            </w:r>
          </w:p>
        </w:tc>
        <w:tc>
          <w:tcPr>
            <w:tcW w:w="0" w:type="auto"/>
            <w:tcBorders>
              <w:top w:val="nil"/>
              <w:left w:val="nil"/>
              <w:bottom w:val="single" w:sz="4" w:space="0" w:color="auto"/>
              <w:right w:val="single" w:sz="4" w:space="0" w:color="auto"/>
            </w:tcBorders>
            <w:noWrap/>
            <w:vAlign w:val="center"/>
            <w:hideMark/>
          </w:tcPr>
          <w:p w14:paraId="55A46FD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126</w:t>
            </w:r>
          </w:p>
        </w:tc>
        <w:tc>
          <w:tcPr>
            <w:tcW w:w="0" w:type="auto"/>
            <w:tcBorders>
              <w:top w:val="nil"/>
              <w:left w:val="nil"/>
              <w:bottom w:val="single" w:sz="4" w:space="0" w:color="auto"/>
              <w:right w:val="single" w:sz="4" w:space="0" w:color="auto"/>
            </w:tcBorders>
            <w:noWrap/>
            <w:vAlign w:val="center"/>
            <w:hideMark/>
          </w:tcPr>
          <w:p w14:paraId="206368C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14</w:t>
            </w:r>
          </w:p>
        </w:tc>
        <w:tc>
          <w:tcPr>
            <w:tcW w:w="0" w:type="auto"/>
            <w:tcBorders>
              <w:top w:val="nil"/>
              <w:left w:val="nil"/>
              <w:bottom w:val="single" w:sz="4" w:space="0" w:color="auto"/>
              <w:right w:val="single" w:sz="4" w:space="0" w:color="auto"/>
            </w:tcBorders>
            <w:noWrap/>
            <w:vAlign w:val="center"/>
            <w:hideMark/>
          </w:tcPr>
          <w:p w14:paraId="20B702F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0" w:type="auto"/>
            <w:tcBorders>
              <w:top w:val="nil"/>
              <w:left w:val="nil"/>
              <w:bottom w:val="single" w:sz="4" w:space="0" w:color="auto"/>
              <w:right w:val="single" w:sz="4" w:space="0" w:color="auto"/>
            </w:tcBorders>
            <w:noWrap/>
            <w:vAlign w:val="center"/>
            <w:hideMark/>
          </w:tcPr>
          <w:p w14:paraId="27FA914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68</w:t>
            </w:r>
          </w:p>
        </w:tc>
        <w:tc>
          <w:tcPr>
            <w:tcW w:w="0" w:type="auto"/>
            <w:tcBorders>
              <w:top w:val="nil"/>
              <w:left w:val="nil"/>
              <w:bottom w:val="single" w:sz="4" w:space="0" w:color="auto"/>
              <w:right w:val="single" w:sz="4" w:space="0" w:color="auto"/>
            </w:tcBorders>
            <w:noWrap/>
            <w:vAlign w:val="center"/>
            <w:hideMark/>
          </w:tcPr>
          <w:p w14:paraId="52A53EA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144</w:t>
            </w:r>
          </w:p>
        </w:tc>
        <w:tc>
          <w:tcPr>
            <w:tcW w:w="0" w:type="auto"/>
            <w:tcBorders>
              <w:top w:val="nil"/>
              <w:left w:val="nil"/>
              <w:bottom w:val="single" w:sz="4" w:space="0" w:color="auto"/>
              <w:right w:val="single" w:sz="4" w:space="0" w:color="auto"/>
            </w:tcBorders>
            <w:noWrap/>
            <w:vAlign w:val="center"/>
            <w:hideMark/>
          </w:tcPr>
          <w:p w14:paraId="2861FE1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w:t>
            </w:r>
          </w:p>
        </w:tc>
        <w:tc>
          <w:tcPr>
            <w:tcW w:w="881" w:type="dxa"/>
            <w:tcBorders>
              <w:top w:val="nil"/>
              <w:left w:val="nil"/>
              <w:bottom w:val="single" w:sz="4" w:space="0" w:color="auto"/>
              <w:right w:val="single" w:sz="4" w:space="0" w:color="auto"/>
            </w:tcBorders>
            <w:noWrap/>
            <w:vAlign w:val="center"/>
            <w:hideMark/>
          </w:tcPr>
          <w:p w14:paraId="525D754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w:t>
            </w:r>
          </w:p>
        </w:tc>
      </w:tr>
      <w:tr w:rsidR="00EF1937" w:rsidRPr="00B450EB" w14:paraId="5DDFA6F2"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5D5D9656"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Euphorbiaceae</w:t>
            </w:r>
            <w:proofErr w:type="spellEnd"/>
          </w:p>
        </w:tc>
        <w:tc>
          <w:tcPr>
            <w:tcW w:w="0" w:type="auto"/>
            <w:tcBorders>
              <w:top w:val="nil"/>
              <w:left w:val="nil"/>
              <w:bottom w:val="single" w:sz="4" w:space="0" w:color="auto"/>
              <w:right w:val="single" w:sz="4" w:space="0" w:color="auto"/>
            </w:tcBorders>
            <w:noWrap/>
            <w:vAlign w:val="center"/>
            <w:hideMark/>
          </w:tcPr>
          <w:p w14:paraId="6A5D384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189</w:t>
            </w:r>
          </w:p>
        </w:tc>
        <w:tc>
          <w:tcPr>
            <w:tcW w:w="0" w:type="auto"/>
            <w:tcBorders>
              <w:top w:val="nil"/>
              <w:left w:val="nil"/>
              <w:bottom w:val="single" w:sz="4" w:space="0" w:color="auto"/>
              <w:right w:val="single" w:sz="4" w:space="0" w:color="auto"/>
            </w:tcBorders>
            <w:noWrap/>
            <w:vAlign w:val="center"/>
            <w:hideMark/>
          </w:tcPr>
          <w:p w14:paraId="15460B1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99</w:t>
            </w:r>
          </w:p>
        </w:tc>
        <w:tc>
          <w:tcPr>
            <w:tcW w:w="0" w:type="auto"/>
            <w:tcBorders>
              <w:top w:val="nil"/>
              <w:left w:val="nil"/>
              <w:bottom w:val="single" w:sz="4" w:space="0" w:color="auto"/>
              <w:right w:val="single" w:sz="4" w:space="0" w:color="auto"/>
            </w:tcBorders>
            <w:noWrap/>
            <w:vAlign w:val="center"/>
            <w:hideMark/>
          </w:tcPr>
          <w:p w14:paraId="3B24236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83</w:t>
            </w:r>
          </w:p>
        </w:tc>
        <w:tc>
          <w:tcPr>
            <w:tcW w:w="0" w:type="auto"/>
            <w:tcBorders>
              <w:top w:val="nil"/>
              <w:left w:val="nil"/>
              <w:bottom w:val="single" w:sz="4" w:space="0" w:color="auto"/>
              <w:right w:val="single" w:sz="4" w:space="0" w:color="auto"/>
            </w:tcBorders>
            <w:noWrap/>
            <w:vAlign w:val="center"/>
            <w:hideMark/>
          </w:tcPr>
          <w:p w14:paraId="746F338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71</w:t>
            </w:r>
          </w:p>
        </w:tc>
        <w:tc>
          <w:tcPr>
            <w:tcW w:w="0" w:type="auto"/>
            <w:tcBorders>
              <w:top w:val="nil"/>
              <w:left w:val="nil"/>
              <w:bottom w:val="single" w:sz="4" w:space="0" w:color="auto"/>
              <w:right w:val="single" w:sz="4" w:space="0" w:color="auto"/>
            </w:tcBorders>
            <w:noWrap/>
            <w:vAlign w:val="center"/>
            <w:hideMark/>
          </w:tcPr>
          <w:p w14:paraId="6917DD3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78</w:t>
            </w:r>
          </w:p>
        </w:tc>
        <w:tc>
          <w:tcPr>
            <w:tcW w:w="0" w:type="auto"/>
            <w:tcBorders>
              <w:top w:val="nil"/>
              <w:left w:val="nil"/>
              <w:bottom w:val="single" w:sz="4" w:space="0" w:color="auto"/>
              <w:right w:val="single" w:sz="4" w:space="0" w:color="auto"/>
            </w:tcBorders>
            <w:noWrap/>
            <w:vAlign w:val="center"/>
            <w:hideMark/>
          </w:tcPr>
          <w:p w14:paraId="538D680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170</w:t>
            </w:r>
          </w:p>
        </w:tc>
        <w:tc>
          <w:tcPr>
            <w:tcW w:w="0" w:type="auto"/>
            <w:tcBorders>
              <w:top w:val="nil"/>
              <w:left w:val="nil"/>
              <w:bottom w:val="single" w:sz="4" w:space="0" w:color="auto"/>
              <w:right w:val="single" w:sz="4" w:space="0" w:color="auto"/>
            </w:tcBorders>
            <w:noWrap/>
            <w:vAlign w:val="center"/>
            <w:hideMark/>
          </w:tcPr>
          <w:p w14:paraId="72DDD75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87</w:t>
            </w:r>
          </w:p>
        </w:tc>
        <w:tc>
          <w:tcPr>
            <w:tcW w:w="0" w:type="auto"/>
            <w:tcBorders>
              <w:top w:val="nil"/>
              <w:left w:val="nil"/>
              <w:bottom w:val="single" w:sz="4" w:space="0" w:color="auto"/>
              <w:right w:val="single" w:sz="4" w:space="0" w:color="auto"/>
            </w:tcBorders>
            <w:noWrap/>
            <w:vAlign w:val="center"/>
            <w:hideMark/>
          </w:tcPr>
          <w:p w14:paraId="439A56C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84</w:t>
            </w:r>
          </w:p>
        </w:tc>
        <w:tc>
          <w:tcPr>
            <w:tcW w:w="881" w:type="dxa"/>
            <w:tcBorders>
              <w:top w:val="nil"/>
              <w:left w:val="nil"/>
              <w:bottom w:val="single" w:sz="4" w:space="0" w:color="auto"/>
              <w:right w:val="single" w:sz="4" w:space="0" w:color="auto"/>
            </w:tcBorders>
            <w:noWrap/>
            <w:vAlign w:val="center"/>
            <w:hideMark/>
          </w:tcPr>
          <w:p w14:paraId="12FF0E9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84</w:t>
            </w:r>
          </w:p>
        </w:tc>
      </w:tr>
      <w:tr w:rsidR="00EF1937" w:rsidRPr="00B450EB" w14:paraId="228BC288"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681487ED"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Fabaceae</w:t>
            </w:r>
            <w:proofErr w:type="spellEnd"/>
          </w:p>
        </w:tc>
        <w:tc>
          <w:tcPr>
            <w:tcW w:w="0" w:type="auto"/>
            <w:tcBorders>
              <w:top w:val="nil"/>
              <w:left w:val="nil"/>
              <w:bottom w:val="single" w:sz="4" w:space="0" w:color="auto"/>
              <w:right w:val="single" w:sz="4" w:space="0" w:color="auto"/>
            </w:tcBorders>
            <w:noWrap/>
            <w:vAlign w:val="center"/>
            <w:hideMark/>
          </w:tcPr>
          <w:p w14:paraId="76AF6C2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738</w:t>
            </w:r>
          </w:p>
        </w:tc>
        <w:tc>
          <w:tcPr>
            <w:tcW w:w="0" w:type="auto"/>
            <w:tcBorders>
              <w:top w:val="nil"/>
              <w:left w:val="nil"/>
              <w:bottom w:val="single" w:sz="4" w:space="0" w:color="auto"/>
              <w:right w:val="single" w:sz="4" w:space="0" w:color="auto"/>
            </w:tcBorders>
            <w:noWrap/>
            <w:vAlign w:val="center"/>
            <w:hideMark/>
          </w:tcPr>
          <w:p w14:paraId="42D52B4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290</w:t>
            </w:r>
          </w:p>
        </w:tc>
        <w:tc>
          <w:tcPr>
            <w:tcW w:w="0" w:type="auto"/>
            <w:tcBorders>
              <w:top w:val="nil"/>
              <w:left w:val="nil"/>
              <w:bottom w:val="single" w:sz="4" w:space="0" w:color="auto"/>
              <w:right w:val="single" w:sz="4" w:space="0" w:color="auto"/>
            </w:tcBorders>
            <w:noWrap/>
            <w:vAlign w:val="center"/>
            <w:hideMark/>
          </w:tcPr>
          <w:p w14:paraId="06EAEAB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222</w:t>
            </w:r>
          </w:p>
        </w:tc>
        <w:tc>
          <w:tcPr>
            <w:tcW w:w="0" w:type="auto"/>
            <w:tcBorders>
              <w:top w:val="nil"/>
              <w:left w:val="nil"/>
              <w:bottom w:val="single" w:sz="4" w:space="0" w:color="auto"/>
              <w:right w:val="single" w:sz="4" w:space="0" w:color="auto"/>
            </w:tcBorders>
            <w:noWrap/>
            <w:vAlign w:val="center"/>
            <w:hideMark/>
          </w:tcPr>
          <w:p w14:paraId="7D3A20E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300</w:t>
            </w:r>
          </w:p>
        </w:tc>
        <w:tc>
          <w:tcPr>
            <w:tcW w:w="0" w:type="auto"/>
            <w:tcBorders>
              <w:top w:val="nil"/>
              <w:left w:val="nil"/>
              <w:bottom w:val="single" w:sz="4" w:space="0" w:color="auto"/>
              <w:right w:val="single" w:sz="4" w:space="0" w:color="auto"/>
            </w:tcBorders>
            <w:noWrap/>
            <w:vAlign w:val="center"/>
            <w:hideMark/>
          </w:tcPr>
          <w:p w14:paraId="3A0C216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328</w:t>
            </w:r>
          </w:p>
        </w:tc>
        <w:tc>
          <w:tcPr>
            <w:tcW w:w="0" w:type="auto"/>
            <w:tcBorders>
              <w:top w:val="nil"/>
              <w:left w:val="nil"/>
              <w:bottom w:val="single" w:sz="4" w:space="0" w:color="auto"/>
              <w:right w:val="single" w:sz="4" w:space="0" w:color="auto"/>
            </w:tcBorders>
            <w:noWrap/>
            <w:vAlign w:val="center"/>
            <w:hideMark/>
          </w:tcPr>
          <w:p w14:paraId="7E69E87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646</w:t>
            </w:r>
          </w:p>
        </w:tc>
        <w:tc>
          <w:tcPr>
            <w:tcW w:w="0" w:type="auto"/>
            <w:tcBorders>
              <w:top w:val="nil"/>
              <w:left w:val="nil"/>
              <w:bottom w:val="single" w:sz="4" w:space="0" w:color="auto"/>
              <w:right w:val="single" w:sz="4" w:space="0" w:color="auto"/>
            </w:tcBorders>
            <w:noWrap/>
            <w:vAlign w:val="center"/>
            <w:hideMark/>
          </w:tcPr>
          <w:p w14:paraId="4007459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197</w:t>
            </w:r>
          </w:p>
        </w:tc>
        <w:tc>
          <w:tcPr>
            <w:tcW w:w="0" w:type="auto"/>
            <w:tcBorders>
              <w:top w:val="nil"/>
              <w:left w:val="nil"/>
              <w:bottom w:val="single" w:sz="4" w:space="0" w:color="auto"/>
              <w:right w:val="single" w:sz="4" w:space="0" w:color="auto"/>
            </w:tcBorders>
            <w:noWrap/>
            <w:vAlign w:val="center"/>
            <w:hideMark/>
          </w:tcPr>
          <w:p w14:paraId="720491B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358</w:t>
            </w:r>
          </w:p>
        </w:tc>
        <w:tc>
          <w:tcPr>
            <w:tcW w:w="881" w:type="dxa"/>
            <w:tcBorders>
              <w:top w:val="nil"/>
              <w:left w:val="nil"/>
              <w:bottom w:val="single" w:sz="4" w:space="0" w:color="auto"/>
              <w:right w:val="single" w:sz="4" w:space="0" w:color="auto"/>
            </w:tcBorders>
            <w:noWrap/>
            <w:vAlign w:val="center"/>
            <w:hideMark/>
          </w:tcPr>
          <w:p w14:paraId="3457ACC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358</w:t>
            </w:r>
          </w:p>
        </w:tc>
      </w:tr>
      <w:tr w:rsidR="00EF1937" w:rsidRPr="00B450EB" w14:paraId="30410BCB"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66B2A163"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Gesneriaceae</w:t>
            </w:r>
            <w:proofErr w:type="spellEnd"/>
          </w:p>
        </w:tc>
        <w:tc>
          <w:tcPr>
            <w:tcW w:w="0" w:type="auto"/>
            <w:tcBorders>
              <w:top w:val="nil"/>
              <w:left w:val="nil"/>
              <w:bottom w:val="single" w:sz="4" w:space="0" w:color="auto"/>
              <w:right w:val="single" w:sz="4" w:space="0" w:color="auto"/>
            </w:tcBorders>
            <w:noWrap/>
            <w:vAlign w:val="center"/>
            <w:hideMark/>
          </w:tcPr>
          <w:p w14:paraId="6DE645D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75</w:t>
            </w:r>
          </w:p>
        </w:tc>
        <w:tc>
          <w:tcPr>
            <w:tcW w:w="0" w:type="auto"/>
            <w:tcBorders>
              <w:top w:val="nil"/>
              <w:left w:val="nil"/>
              <w:bottom w:val="single" w:sz="4" w:space="0" w:color="auto"/>
              <w:right w:val="single" w:sz="4" w:space="0" w:color="auto"/>
            </w:tcBorders>
            <w:noWrap/>
            <w:vAlign w:val="center"/>
            <w:hideMark/>
          </w:tcPr>
          <w:p w14:paraId="3611C15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101</w:t>
            </w:r>
          </w:p>
        </w:tc>
        <w:tc>
          <w:tcPr>
            <w:tcW w:w="0" w:type="auto"/>
            <w:tcBorders>
              <w:top w:val="nil"/>
              <w:left w:val="nil"/>
              <w:bottom w:val="single" w:sz="4" w:space="0" w:color="auto"/>
              <w:right w:val="single" w:sz="4" w:space="0" w:color="auto"/>
            </w:tcBorders>
            <w:noWrap/>
            <w:vAlign w:val="center"/>
            <w:hideMark/>
          </w:tcPr>
          <w:p w14:paraId="6231F81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110</w:t>
            </w:r>
          </w:p>
        </w:tc>
        <w:tc>
          <w:tcPr>
            <w:tcW w:w="0" w:type="auto"/>
            <w:tcBorders>
              <w:top w:val="nil"/>
              <w:left w:val="nil"/>
              <w:bottom w:val="single" w:sz="4" w:space="0" w:color="auto"/>
              <w:right w:val="single" w:sz="4" w:space="0" w:color="auto"/>
            </w:tcBorders>
            <w:noWrap/>
            <w:vAlign w:val="center"/>
            <w:hideMark/>
          </w:tcPr>
          <w:p w14:paraId="3207AF5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22</w:t>
            </w:r>
          </w:p>
        </w:tc>
        <w:tc>
          <w:tcPr>
            <w:tcW w:w="0" w:type="auto"/>
            <w:tcBorders>
              <w:top w:val="nil"/>
              <w:left w:val="nil"/>
              <w:bottom w:val="single" w:sz="4" w:space="0" w:color="auto"/>
              <w:right w:val="single" w:sz="4" w:space="0" w:color="auto"/>
            </w:tcBorders>
            <w:noWrap/>
            <w:vAlign w:val="center"/>
            <w:hideMark/>
          </w:tcPr>
          <w:p w14:paraId="6BDEC21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24</w:t>
            </w:r>
          </w:p>
        </w:tc>
        <w:tc>
          <w:tcPr>
            <w:tcW w:w="0" w:type="auto"/>
            <w:tcBorders>
              <w:top w:val="nil"/>
              <w:left w:val="nil"/>
              <w:bottom w:val="single" w:sz="4" w:space="0" w:color="auto"/>
              <w:right w:val="single" w:sz="4" w:space="0" w:color="auto"/>
            </w:tcBorders>
            <w:noWrap/>
            <w:vAlign w:val="center"/>
            <w:hideMark/>
          </w:tcPr>
          <w:p w14:paraId="5BCA027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99</w:t>
            </w:r>
          </w:p>
        </w:tc>
        <w:tc>
          <w:tcPr>
            <w:tcW w:w="0" w:type="auto"/>
            <w:tcBorders>
              <w:top w:val="nil"/>
              <w:left w:val="nil"/>
              <w:bottom w:val="single" w:sz="4" w:space="0" w:color="auto"/>
              <w:right w:val="single" w:sz="4" w:space="0" w:color="auto"/>
            </w:tcBorders>
            <w:noWrap/>
            <w:vAlign w:val="center"/>
            <w:hideMark/>
          </w:tcPr>
          <w:p w14:paraId="6FCD7BF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143</w:t>
            </w:r>
          </w:p>
        </w:tc>
        <w:tc>
          <w:tcPr>
            <w:tcW w:w="0" w:type="auto"/>
            <w:tcBorders>
              <w:top w:val="nil"/>
              <w:left w:val="nil"/>
              <w:bottom w:val="single" w:sz="4" w:space="0" w:color="auto"/>
              <w:right w:val="single" w:sz="4" w:space="0" w:color="auto"/>
            </w:tcBorders>
            <w:noWrap/>
            <w:vAlign w:val="center"/>
            <w:hideMark/>
          </w:tcPr>
          <w:p w14:paraId="3919089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42</w:t>
            </w:r>
          </w:p>
        </w:tc>
        <w:tc>
          <w:tcPr>
            <w:tcW w:w="881" w:type="dxa"/>
            <w:tcBorders>
              <w:top w:val="nil"/>
              <w:left w:val="nil"/>
              <w:bottom w:val="single" w:sz="4" w:space="0" w:color="auto"/>
              <w:right w:val="single" w:sz="4" w:space="0" w:color="auto"/>
            </w:tcBorders>
            <w:noWrap/>
            <w:vAlign w:val="center"/>
            <w:hideMark/>
          </w:tcPr>
          <w:p w14:paraId="106C929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42</w:t>
            </w:r>
          </w:p>
        </w:tc>
      </w:tr>
      <w:tr w:rsidR="00EF1937" w:rsidRPr="00B450EB" w14:paraId="41AE3B09"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4A6E2929"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Lamiaceae</w:t>
            </w:r>
            <w:proofErr w:type="spellEnd"/>
          </w:p>
        </w:tc>
        <w:tc>
          <w:tcPr>
            <w:tcW w:w="0" w:type="auto"/>
            <w:tcBorders>
              <w:top w:val="nil"/>
              <w:left w:val="nil"/>
              <w:bottom w:val="single" w:sz="4" w:space="0" w:color="auto"/>
              <w:right w:val="single" w:sz="4" w:space="0" w:color="auto"/>
            </w:tcBorders>
            <w:noWrap/>
            <w:vAlign w:val="center"/>
            <w:hideMark/>
          </w:tcPr>
          <w:p w14:paraId="7F2DEF7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67</w:t>
            </w:r>
          </w:p>
        </w:tc>
        <w:tc>
          <w:tcPr>
            <w:tcW w:w="0" w:type="auto"/>
            <w:tcBorders>
              <w:top w:val="nil"/>
              <w:left w:val="nil"/>
              <w:bottom w:val="single" w:sz="4" w:space="0" w:color="auto"/>
              <w:right w:val="single" w:sz="4" w:space="0" w:color="auto"/>
            </w:tcBorders>
            <w:noWrap/>
            <w:vAlign w:val="center"/>
            <w:hideMark/>
          </w:tcPr>
          <w:p w14:paraId="2049C0A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52</w:t>
            </w:r>
          </w:p>
        </w:tc>
        <w:tc>
          <w:tcPr>
            <w:tcW w:w="0" w:type="auto"/>
            <w:tcBorders>
              <w:top w:val="nil"/>
              <w:left w:val="nil"/>
              <w:bottom w:val="single" w:sz="4" w:space="0" w:color="auto"/>
              <w:right w:val="single" w:sz="4" w:space="0" w:color="auto"/>
            </w:tcBorders>
            <w:noWrap/>
            <w:vAlign w:val="center"/>
            <w:hideMark/>
          </w:tcPr>
          <w:p w14:paraId="4871186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69</w:t>
            </w:r>
          </w:p>
        </w:tc>
        <w:tc>
          <w:tcPr>
            <w:tcW w:w="0" w:type="auto"/>
            <w:tcBorders>
              <w:top w:val="nil"/>
              <w:left w:val="nil"/>
              <w:bottom w:val="single" w:sz="4" w:space="0" w:color="auto"/>
              <w:right w:val="single" w:sz="4" w:space="0" w:color="auto"/>
            </w:tcBorders>
            <w:noWrap/>
            <w:vAlign w:val="center"/>
            <w:hideMark/>
          </w:tcPr>
          <w:p w14:paraId="35C19DF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w:t>
            </w:r>
          </w:p>
        </w:tc>
        <w:tc>
          <w:tcPr>
            <w:tcW w:w="0" w:type="auto"/>
            <w:tcBorders>
              <w:top w:val="nil"/>
              <w:left w:val="nil"/>
              <w:bottom w:val="single" w:sz="4" w:space="0" w:color="auto"/>
              <w:right w:val="single" w:sz="4" w:space="0" w:color="auto"/>
            </w:tcBorders>
            <w:noWrap/>
            <w:vAlign w:val="center"/>
            <w:hideMark/>
          </w:tcPr>
          <w:p w14:paraId="5FD65E0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30</w:t>
            </w:r>
          </w:p>
        </w:tc>
        <w:tc>
          <w:tcPr>
            <w:tcW w:w="0" w:type="auto"/>
            <w:tcBorders>
              <w:top w:val="nil"/>
              <w:left w:val="nil"/>
              <w:bottom w:val="single" w:sz="4" w:space="0" w:color="auto"/>
              <w:right w:val="single" w:sz="4" w:space="0" w:color="auto"/>
            </w:tcBorders>
            <w:noWrap/>
            <w:vAlign w:val="center"/>
            <w:hideMark/>
          </w:tcPr>
          <w:p w14:paraId="3DE1329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101</w:t>
            </w:r>
          </w:p>
        </w:tc>
        <w:tc>
          <w:tcPr>
            <w:tcW w:w="0" w:type="auto"/>
            <w:tcBorders>
              <w:top w:val="nil"/>
              <w:left w:val="nil"/>
              <w:bottom w:val="single" w:sz="4" w:space="0" w:color="auto"/>
              <w:right w:val="single" w:sz="4" w:space="0" w:color="auto"/>
            </w:tcBorders>
            <w:noWrap/>
            <w:vAlign w:val="center"/>
            <w:hideMark/>
          </w:tcPr>
          <w:p w14:paraId="035DB53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114</w:t>
            </w:r>
          </w:p>
        </w:tc>
        <w:tc>
          <w:tcPr>
            <w:tcW w:w="0" w:type="auto"/>
            <w:tcBorders>
              <w:top w:val="nil"/>
              <w:left w:val="nil"/>
              <w:bottom w:val="single" w:sz="4" w:space="0" w:color="auto"/>
              <w:right w:val="single" w:sz="4" w:space="0" w:color="auto"/>
            </w:tcBorders>
            <w:noWrap/>
            <w:vAlign w:val="center"/>
            <w:hideMark/>
          </w:tcPr>
          <w:p w14:paraId="3CFE2FA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26</w:t>
            </w:r>
          </w:p>
        </w:tc>
        <w:tc>
          <w:tcPr>
            <w:tcW w:w="881" w:type="dxa"/>
            <w:tcBorders>
              <w:top w:val="nil"/>
              <w:left w:val="nil"/>
              <w:bottom w:val="single" w:sz="4" w:space="0" w:color="auto"/>
              <w:right w:val="single" w:sz="4" w:space="0" w:color="auto"/>
            </w:tcBorders>
            <w:noWrap/>
            <w:vAlign w:val="center"/>
            <w:hideMark/>
          </w:tcPr>
          <w:p w14:paraId="7E774C1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26</w:t>
            </w:r>
          </w:p>
        </w:tc>
      </w:tr>
      <w:tr w:rsidR="00EF1937" w:rsidRPr="00B450EB" w14:paraId="1514245F"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541BA2B5"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Lauraceae</w:t>
            </w:r>
            <w:proofErr w:type="spellEnd"/>
          </w:p>
        </w:tc>
        <w:tc>
          <w:tcPr>
            <w:tcW w:w="0" w:type="auto"/>
            <w:tcBorders>
              <w:top w:val="nil"/>
              <w:left w:val="nil"/>
              <w:bottom w:val="single" w:sz="4" w:space="0" w:color="auto"/>
              <w:right w:val="single" w:sz="4" w:space="0" w:color="auto"/>
            </w:tcBorders>
            <w:noWrap/>
            <w:vAlign w:val="center"/>
            <w:hideMark/>
          </w:tcPr>
          <w:p w14:paraId="433DDCC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171</w:t>
            </w:r>
          </w:p>
        </w:tc>
        <w:tc>
          <w:tcPr>
            <w:tcW w:w="0" w:type="auto"/>
            <w:tcBorders>
              <w:top w:val="nil"/>
              <w:left w:val="nil"/>
              <w:bottom w:val="single" w:sz="4" w:space="0" w:color="auto"/>
              <w:right w:val="single" w:sz="4" w:space="0" w:color="auto"/>
            </w:tcBorders>
            <w:noWrap/>
            <w:vAlign w:val="center"/>
            <w:hideMark/>
          </w:tcPr>
          <w:p w14:paraId="374CCFF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115</w:t>
            </w:r>
          </w:p>
        </w:tc>
        <w:tc>
          <w:tcPr>
            <w:tcW w:w="0" w:type="auto"/>
            <w:tcBorders>
              <w:top w:val="nil"/>
              <w:left w:val="nil"/>
              <w:bottom w:val="single" w:sz="4" w:space="0" w:color="auto"/>
              <w:right w:val="single" w:sz="4" w:space="0" w:color="auto"/>
            </w:tcBorders>
            <w:noWrap/>
            <w:vAlign w:val="center"/>
            <w:hideMark/>
          </w:tcPr>
          <w:p w14:paraId="18D3C7C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47</w:t>
            </w:r>
          </w:p>
        </w:tc>
        <w:tc>
          <w:tcPr>
            <w:tcW w:w="0" w:type="auto"/>
            <w:tcBorders>
              <w:top w:val="nil"/>
              <w:left w:val="nil"/>
              <w:bottom w:val="single" w:sz="4" w:space="0" w:color="auto"/>
              <w:right w:val="single" w:sz="4" w:space="0" w:color="auto"/>
            </w:tcBorders>
            <w:noWrap/>
            <w:vAlign w:val="center"/>
            <w:hideMark/>
          </w:tcPr>
          <w:p w14:paraId="0FA3A68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64</w:t>
            </w:r>
          </w:p>
        </w:tc>
        <w:tc>
          <w:tcPr>
            <w:tcW w:w="0" w:type="auto"/>
            <w:tcBorders>
              <w:top w:val="nil"/>
              <w:left w:val="nil"/>
              <w:bottom w:val="single" w:sz="4" w:space="0" w:color="auto"/>
              <w:right w:val="single" w:sz="4" w:space="0" w:color="auto"/>
            </w:tcBorders>
            <w:noWrap/>
            <w:vAlign w:val="center"/>
            <w:hideMark/>
          </w:tcPr>
          <w:p w14:paraId="1437B02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62</w:t>
            </w:r>
          </w:p>
        </w:tc>
        <w:tc>
          <w:tcPr>
            <w:tcW w:w="0" w:type="auto"/>
            <w:tcBorders>
              <w:top w:val="nil"/>
              <w:left w:val="nil"/>
              <w:bottom w:val="single" w:sz="4" w:space="0" w:color="auto"/>
              <w:right w:val="single" w:sz="4" w:space="0" w:color="auto"/>
            </w:tcBorders>
            <w:noWrap/>
            <w:vAlign w:val="center"/>
            <w:hideMark/>
          </w:tcPr>
          <w:p w14:paraId="376E9E3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112</w:t>
            </w:r>
          </w:p>
        </w:tc>
        <w:tc>
          <w:tcPr>
            <w:tcW w:w="0" w:type="auto"/>
            <w:tcBorders>
              <w:top w:val="nil"/>
              <w:left w:val="nil"/>
              <w:bottom w:val="single" w:sz="4" w:space="0" w:color="auto"/>
              <w:right w:val="single" w:sz="4" w:space="0" w:color="auto"/>
            </w:tcBorders>
            <w:noWrap/>
            <w:vAlign w:val="center"/>
            <w:hideMark/>
          </w:tcPr>
          <w:p w14:paraId="29B8851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80</w:t>
            </w:r>
          </w:p>
        </w:tc>
        <w:tc>
          <w:tcPr>
            <w:tcW w:w="0" w:type="auto"/>
            <w:tcBorders>
              <w:top w:val="nil"/>
              <w:left w:val="nil"/>
              <w:bottom w:val="single" w:sz="4" w:space="0" w:color="auto"/>
              <w:right w:val="single" w:sz="4" w:space="0" w:color="auto"/>
            </w:tcBorders>
            <w:noWrap/>
            <w:vAlign w:val="center"/>
            <w:hideMark/>
          </w:tcPr>
          <w:p w14:paraId="26D6866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90</w:t>
            </w:r>
          </w:p>
        </w:tc>
        <w:tc>
          <w:tcPr>
            <w:tcW w:w="881" w:type="dxa"/>
            <w:tcBorders>
              <w:top w:val="nil"/>
              <w:left w:val="nil"/>
              <w:bottom w:val="single" w:sz="4" w:space="0" w:color="auto"/>
              <w:right w:val="single" w:sz="4" w:space="0" w:color="auto"/>
            </w:tcBorders>
            <w:noWrap/>
            <w:vAlign w:val="center"/>
            <w:hideMark/>
          </w:tcPr>
          <w:p w14:paraId="0EEF802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90</w:t>
            </w:r>
          </w:p>
        </w:tc>
      </w:tr>
      <w:tr w:rsidR="00EF1937" w:rsidRPr="00B450EB" w14:paraId="4EEF840D"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40C41FF0"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Malvaceae</w:t>
            </w:r>
            <w:proofErr w:type="spellEnd"/>
          </w:p>
        </w:tc>
        <w:tc>
          <w:tcPr>
            <w:tcW w:w="0" w:type="auto"/>
            <w:tcBorders>
              <w:top w:val="nil"/>
              <w:left w:val="nil"/>
              <w:bottom w:val="single" w:sz="4" w:space="0" w:color="auto"/>
              <w:right w:val="single" w:sz="4" w:space="0" w:color="auto"/>
            </w:tcBorders>
            <w:noWrap/>
            <w:vAlign w:val="center"/>
            <w:hideMark/>
          </w:tcPr>
          <w:p w14:paraId="3F0A025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185</w:t>
            </w:r>
          </w:p>
        </w:tc>
        <w:tc>
          <w:tcPr>
            <w:tcW w:w="0" w:type="auto"/>
            <w:tcBorders>
              <w:top w:val="nil"/>
              <w:left w:val="nil"/>
              <w:bottom w:val="single" w:sz="4" w:space="0" w:color="auto"/>
              <w:right w:val="single" w:sz="4" w:space="0" w:color="auto"/>
            </w:tcBorders>
            <w:noWrap/>
            <w:vAlign w:val="center"/>
            <w:hideMark/>
          </w:tcPr>
          <w:p w14:paraId="7E08C0B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124</w:t>
            </w:r>
          </w:p>
        </w:tc>
        <w:tc>
          <w:tcPr>
            <w:tcW w:w="0" w:type="auto"/>
            <w:tcBorders>
              <w:top w:val="nil"/>
              <w:left w:val="nil"/>
              <w:bottom w:val="single" w:sz="4" w:space="0" w:color="auto"/>
              <w:right w:val="single" w:sz="4" w:space="0" w:color="auto"/>
            </w:tcBorders>
            <w:noWrap/>
            <w:vAlign w:val="center"/>
            <w:hideMark/>
          </w:tcPr>
          <w:p w14:paraId="30D6D32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87</w:t>
            </w:r>
          </w:p>
        </w:tc>
        <w:tc>
          <w:tcPr>
            <w:tcW w:w="0" w:type="auto"/>
            <w:tcBorders>
              <w:top w:val="nil"/>
              <w:left w:val="nil"/>
              <w:bottom w:val="single" w:sz="4" w:space="0" w:color="auto"/>
              <w:right w:val="single" w:sz="4" w:space="0" w:color="auto"/>
            </w:tcBorders>
            <w:noWrap/>
            <w:vAlign w:val="center"/>
            <w:hideMark/>
          </w:tcPr>
          <w:p w14:paraId="3C7027F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56</w:t>
            </w:r>
          </w:p>
        </w:tc>
        <w:tc>
          <w:tcPr>
            <w:tcW w:w="0" w:type="auto"/>
            <w:tcBorders>
              <w:top w:val="nil"/>
              <w:left w:val="nil"/>
              <w:bottom w:val="single" w:sz="4" w:space="0" w:color="auto"/>
              <w:right w:val="single" w:sz="4" w:space="0" w:color="auto"/>
            </w:tcBorders>
            <w:noWrap/>
            <w:vAlign w:val="center"/>
            <w:hideMark/>
          </w:tcPr>
          <w:p w14:paraId="35B9CE3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88</w:t>
            </w:r>
          </w:p>
        </w:tc>
        <w:tc>
          <w:tcPr>
            <w:tcW w:w="0" w:type="auto"/>
            <w:tcBorders>
              <w:top w:val="nil"/>
              <w:left w:val="nil"/>
              <w:bottom w:val="single" w:sz="4" w:space="0" w:color="auto"/>
              <w:right w:val="single" w:sz="4" w:space="0" w:color="auto"/>
            </w:tcBorders>
            <w:noWrap/>
            <w:vAlign w:val="center"/>
            <w:hideMark/>
          </w:tcPr>
          <w:p w14:paraId="34285F7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178</w:t>
            </w:r>
          </w:p>
        </w:tc>
        <w:tc>
          <w:tcPr>
            <w:tcW w:w="0" w:type="auto"/>
            <w:tcBorders>
              <w:top w:val="nil"/>
              <w:left w:val="nil"/>
              <w:bottom w:val="single" w:sz="4" w:space="0" w:color="auto"/>
              <w:right w:val="single" w:sz="4" w:space="0" w:color="auto"/>
            </w:tcBorders>
            <w:noWrap/>
            <w:vAlign w:val="center"/>
            <w:hideMark/>
          </w:tcPr>
          <w:p w14:paraId="0BE2D8A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123</w:t>
            </w:r>
          </w:p>
        </w:tc>
        <w:tc>
          <w:tcPr>
            <w:tcW w:w="0" w:type="auto"/>
            <w:tcBorders>
              <w:top w:val="nil"/>
              <w:left w:val="nil"/>
              <w:bottom w:val="single" w:sz="4" w:space="0" w:color="auto"/>
              <w:right w:val="single" w:sz="4" w:space="0" w:color="auto"/>
            </w:tcBorders>
            <w:noWrap/>
            <w:vAlign w:val="center"/>
            <w:hideMark/>
          </w:tcPr>
          <w:p w14:paraId="189F688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63</w:t>
            </w:r>
          </w:p>
        </w:tc>
        <w:tc>
          <w:tcPr>
            <w:tcW w:w="881" w:type="dxa"/>
            <w:tcBorders>
              <w:top w:val="nil"/>
              <w:left w:val="nil"/>
              <w:bottom w:val="single" w:sz="4" w:space="0" w:color="auto"/>
              <w:right w:val="single" w:sz="4" w:space="0" w:color="auto"/>
            </w:tcBorders>
            <w:noWrap/>
            <w:vAlign w:val="center"/>
            <w:hideMark/>
          </w:tcPr>
          <w:p w14:paraId="3678AF7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63</w:t>
            </w:r>
          </w:p>
        </w:tc>
      </w:tr>
      <w:tr w:rsidR="00EF1937" w:rsidRPr="00B450EB" w14:paraId="6297095C"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55A9C62E"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Melastomataceae</w:t>
            </w:r>
            <w:proofErr w:type="spellEnd"/>
          </w:p>
        </w:tc>
        <w:tc>
          <w:tcPr>
            <w:tcW w:w="0" w:type="auto"/>
            <w:tcBorders>
              <w:top w:val="nil"/>
              <w:left w:val="nil"/>
              <w:bottom w:val="single" w:sz="4" w:space="0" w:color="auto"/>
              <w:right w:val="single" w:sz="4" w:space="0" w:color="auto"/>
            </w:tcBorders>
            <w:noWrap/>
            <w:vAlign w:val="center"/>
            <w:hideMark/>
          </w:tcPr>
          <w:p w14:paraId="6D24BC4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374</w:t>
            </w:r>
          </w:p>
        </w:tc>
        <w:tc>
          <w:tcPr>
            <w:tcW w:w="0" w:type="auto"/>
            <w:tcBorders>
              <w:top w:val="nil"/>
              <w:left w:val="nil"/>
              <w:bottom w:val="single" w:sz="4" w:space="0" w:color="auto"/>
              <w:right w:val="single" w:sz="4" w:space="0" w:color="auto"/>
            </w:tcBorders>
            <w:noWrap/>
            <w:vAlign w:val="center"/>
            <w:hideMark/>
          </w:tcPr>
          <w:p w14:paraId="355813B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334</w:t>
            </w:r>
          </w:p>
        </w:tc>
        <w:tc>
          <w:tcPr>
            <w:tcW w:w="0" w:type="auto"/>
            <w:tcBorders>
              <w:top w:val="nil"/>
              <w:left w:val="nil"/>
              <w:bottom w:val="single" w:sz="4" w:space="0" w:color="auto"/>
              <w:right w:val="single" w:sz="4" w:space="0" w:color="auto"/>
            </w:tcBorders>
            <w:noWrap/>
            <w:vAlign w:val="center"/>
            <w:hideMark/>
          </w:tcPr>
          <w:p w14:paraId="0EF9FDA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303</w:t>
            </w:r>
          </w:p>
        </w:tc>
        <w:tc>
          <w:tcPr>
            <w:tcW w:w="0" w:type="auto"/>
            <w:tcBorders>
              <w:top w:val="nil"/>
              <w:left w:val="nil"/>
              <w:bottom w:val="single" w:sz="4" w:space="0" w:color="auto"/>
              <w:right w:val="single" w:sz="4" w:space="0" w:color="auto"/>
            </w:tcBorders>
            <w:noWrap/>
            <w:vAlign w:val="center"/>
            <w:hideMark/>
          </w:tcPr>
          <w:p w14:paraId="27838CF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197</w:t>
            </w:r>
          </w:p>
        </w:tc>
        <w:tc>
          <w:tcPr>
            <w:tcW w:w="0" w:type="auto"/>
            <w:tcBorders>
              <w:top w:val="nil"/>
              <w:left w:val="nil"/>
              <w:bottom w:val="single" w:sz="4" w:space="0" w:color="auto"/>
              <w:right w:val="single" w:sz="4" w:space="0" w:color="auto"/>
            </w:tcBorders>
            <w:noWrap/>
            <w:vAlign w:val="center"/>
            <w:hideMark/>
          </w:tcPr>
          <w:p w14:paraId="7CC2944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196</w:t>
            </w:r>
          </w:p>
        </w:tc>
        <w:tc>
          <w:tcPr>
            <w:tcW w:w="0" w:type="auto"/>
            <w:tcBorders>
              <w:top w:val="nil"/>
              <w:left w:val="nil"/>
              <w:bottom w:val="single" w:sz="4" w:space="0" w:color="auto"/>
              <w:right w:val="single" w:sz="4" w:space="0" w:color="auto"/>
            </w:tcBorders>
            <w:noWrap/>
            <w:vAlign w:val="center"/>
            <w:hideMark/>
          </w:tcPr>
          <w:p w14:paraId="4FC021E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391</w:t>
            </w:r>
          </w:p>
        </w:tc>
        <w:tc>
          <w:tcPr>
            <w:tcW w:w="0" w:type="auto"/>
            <w:tcBorders>
              <w:top w:val="nil"/>
              <w:left w:val="nil"/>
              <w:bottom w:val="single" w:sz="4" w:space="0" w:color="auto"/>
              <w:right w:val="single" w:sz="4" w:space="0" w:color="auto"/>
            </w:tcBorders>
            <w:noWrap/>
            <w:vAlign w:val="center"/>
            <w:hideMark/>
          </w:tcPr>
          <w:p w14:paraId="18E1127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384</w:t>
            </w:r>
          </w:p>
        </w:tc>
        <w:tc>
          <w:tcPr>
            <w:tcW w:w="0" w:type="auto"/>
            <w:tcBorders>
              <w:top w:val="nil"/>
              <w:left w:val="nil"/>
              <w:bottom w:val="single" w:sz="4" w:space="0" w:color="auto"/>
              <w:right w:val="single" w:sz="4" w:space="0" w:color="auto"/>
            </w:tcBorders>
            <w:noWrap/>
            <w:vAlign w:val="center"/>
            <w:hideMark/>
          </w:tcPr>
          <w:p w14:paraId="0D8DB1D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257</w:t>
            </w:r>
          </w:p>
        </w:tc>
        <w:tc>
          <w:tcPr>
            <w:tcW w:w="881" w:type="dxa"/>
            <w:tcBorders>
              <w:top w:val="nil"/>
              <w:left w:val="nil"/>
              <w:bottom w:val="single" w:sz="4" w:space="0" w:color="auto"/>
              <w:right w:val="single" w:sz="4" w:space="0" w:color="auto"/>
            </w:tcBorders>
            <w:noWrap/>
            <w:vAlign w:val="center"/>
            <w:hideMark/>
          </w:tcPr>
          <w:p w14:paraId="0FEBC2A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257</w:t>
            </w:r>
          </w:p>
        </w:tc>
      </w:tr>
      <w:tr w:rsidR="00EF1937" w:rsidRPr="00B450EB" w14:paraId="6278AB89"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574EEAF5"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Moraceae</w:t>
            </w:r>
            <w:proofErr w:type="spellEnd"/>
          </w:p>
        </w:tc>
        <w:tc>
          <w:tcPr>
            <w:tcW w:w="0" w:type="auto"/>
            <w:tcBorders>
              <w:top w:val="nil"/>
              <w:left w:val="nil"/>
              <w:bottom w:val="single" w:sz="4" w:space="0" w:color="auto"/>
              <w:right w:val="single" w:sz="4" w:space="0" w:color="auto"/>
            </w:tcBorders>
            <w:noWrap/>
            <w:vAlign w:val="center"/>
            <w:hideMark/>
          </w:tcPr>
          <w:p w14:paraId="09989F5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159</w:t>
            </w:r>
          </w:p>
        </w:tc>
        <w:tc>
          <w:tcPr>
            <w:tcW w:w="0" w:type="auto"/>
            <w:tcBorders>
              <w:top w:val="nil"/>
              <w:left w:val="nil"/>
              <w:bottom w:val="single" w:sz="4" w:space="0" w:color="auto"/>
              <w:right w:val="single" w:sz="4" w:space="0" w:color="auto"/>
            </w:tcBorders>
            <w:noWrap/>
            <w:vAlign w:val="center"/>
            <w:hideMark/>
          </w:tcPr>
          <w:p w14:paraId="3F26448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87</w:t>
            </w:r>
          </w:p>
        </w:tc>
        <w:tc>
          <w:tcPr>
            <w:tcW w:w="0" w:type="auto"/>
            <w:tcBorders>
              <w:top w:val="nil"/>
              <w:left w:val="nil"/>
              <w:bottom w:val="single" w:sz="4" w:space="0" w:color="auto"/>
              <w:right w:val="single" w:sz="4" w:space="0" w:color="auto"/>
            </w:tcBorders>
            <w:noWrap/>
            <w:vAlign w:val="center"/>
            <w:hideMark/>
          </w:tcPr>
          <w:p w14:paraId="3A20643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42</w:t>
            </w:r>
          </w:p>
        </w:tc>
        <w:tc>
          <w:tcPr>
            <w:tcW w:w="0" w:type="auto"/>
            <w:tcBorders>
              <w:top w:val="nil"/>
              <w:left w:val="nil"/>
              <w:bottom w:val="single" w:sz="4" w:space="0" w:color="auto"/>
              <w:right w:val="single" w:sz="4" w:space="0" w:color="auto"/>
            </w:tcBorders>
            <w:noWrap/>
            <w:vAlign w:val="center"/>
            <w:hideMark/>
          </w:tcPr>
          <w:p w14:paraId="07B12BA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49</w:t>
            </w:r>
          </w:p>
        </w:tc>
        <w:tc>
          <w:tcPr>
            <w:tcW w:w="0" w:type="auto"/>
            <w:tcBorders>
              <w:top w:val="nil"/>
              <w:left w:val="nil"/>
              <w:bottom w:val="single" w:sz="4" w:space="0" w:color="auto"/>
              <w:right w:val="single" w:sz="4" w:space="0" w:color="auto"/>
            </w:tcBorders>
            <w:noWrap/>
            <w:vAlign w:val="center"/>
            <w:hideMark/>
          </w:tcPr>
          <w:p w14:paraId="32E597A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74</w:t>
            </w:r>
          </w:p>
        </w:tc>
        <w:tc>
          <w:tcPr>
            <w:tcW w:w="0" w:type="auto"/>
            <w:tcBorders>
              <w:top w:val="nil"/>
              <w:left w:val="nil"/>
              <w:bottom w:val="single" w:sz="4" w:space="0" w:color="auto"/>
              <w:right w:val="single" w:sz="4" w:space="0" w:color="auto"/>
            </w:tcBorders>
            <w:noWrap/>
            <w:vAlign w:val="center"/>
            <w:hideMark/>
          </w:tcPr>
          <w:p w14:paraId="2CF82C5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120</w:t>
            </w:r>
          </w:p>
        </w:tc>
        <w:tc>
          <w:tcPr>
            <w:tcW w:w="0" w:type="auto"/>
            <w:tcBorders>
              <w:top w:val="nil"/>
              <w:left w:val="nil"/>
              <w:bottom w:val="single" w:sz="4" w:space="0" w:color="auto"/>
              <w:right w:val="single" w:sz="4" w:space="0" w:color="auto"/>
            </w:tcBorders>
            <w:noWrap/>
            <w:vAlign w:val="center"/>
            <w:hideMark/>
          </w:tcPr>
          <w:p w14:paraId="47CA392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72</w:t>
            </w:r>
          </w:p>
        </w:tc>
        <w:tc>
          <w:tcPr>
            <w:tcW w:w="0" w:type="auto"/>
            <w:tcBorders>
              <w:top w:val="nil"/>
              <w:left w:val="nil"/>
              <w:bottom w:val="single" w:sz="4" w:space="0" w:color="auto"/>
              <w:right w:val="single" w:sz="4" w:space="0" w:color="auto"/>
            </w:tcBorders>
            <w:noWrap/>
            <w:vAlign w:val="center"/>
            <w:hideMark/>
          </w:tcPr>
          <w:p w14:paraId="33FEAF4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84</w:t>
            </w:r>
          </w:p>
        </w:tc>
        <w:tc>
          <w:tcPr>
            <w:tcW w:w="881" w:type="dxa"/>
            <w:tcBorders>
              <w:top w:val="nil"/>
              <w:left w:val="nil"/>
              <w:bottom w:val="single" w:sz="4" w:space="0" w:color="auto"/>
              <w:right w:val="single" w:sz="4" w:space="0" w:color="auto"/>
            </w:tcBorders>
            <w:noWrap/>
            <w:vAlign w:val="center"/>
            <w:hideMark/>
          </w:tcPr>
          <w:p w14:paraId="4C97468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84</w:t>
            </w:r>
          </w:p>
        </w:tc>
      </w:tr>
      <w:tr w:rsidR="00EF1937" w:rsidRPr="00B450EB" w14:paraId="4C31D9D8"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4A599D75"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Myrtaceae</w:t>
            </w:r>
            <w:proofErr w:type="spellEnd"/>
          </w:p>
        </w:tc>
        <w:tc>
          <w:tcPr>
            <w:tcW w:w="0" w:type="auto"/>
            <w:tcBorders>
              <w:top w:val="nil"/>
              <w:left w:val="nil"/>
              <w:bottom w:val="single" w:sz="4" w:space="0" w:color="auto"/>
              <w:right w:val="single" w:sz="4" w:space="0" w:color="auto"/>
            </w:tcBorders>
            <w:noWrap/>
            <w:vAlign w:val="center"/>
            <w:hideMark/>
          </w:tcPr>
          <w:p w14:paraId="6AFA608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133</w:t>
            </w:r>
          </w:p>
        </w:tc>
        <w:tc>
          <w:tcPr>
            <w:tcW w:w="0" w:type="auto"/>
            <w:tcBorders>
              <w:top w:val="nil"/>
              <w:left w:val="nil"/>
              <w:bottom w:val="single" w:sz="4" w:space="0" w:color="auto"/>
              <w:right w:val="single" w:sz="4" w:space="0" w:color="auto"/>
            </w:tcBorders>
            <w:noWrap/>
            <w:vAlign w:val="center"/>
            <w:hideMark/>
          </w:tcPr>
          <w:p w14:paraId="2256F34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51</w:t>
            </w:r>
          </w:p>
        </w:tc>
        <w:tc>
          <w:tcPr>
            <w:tcW w:w="0" w:type="auto"/>
            <w:tcBorders>
              <w:top w:val="nil"/>
              <w:left w:val="nil"/>
              <w:bottom w:val="single" w:sz="4" w:space="0" w:color="auto"/>
              <w:right w:val="single" w:sz="4" w:space="0" w:color="auto"/>
            </w:tcBorders>
            <w:noWrap/>
            <w:vAlign w:val="center"/>
            <w:hideMark/>
          </w:tcPr>
          <w:p w14:paraId="7CBF3CD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40</w:t>
            </w:r>
          </w:p>
        </w:tc>
        <w:tc>
          <w:tcPr>
            <w:tcW w:w="0" w:type="auto"/>
            <w:tcBorders>
              <w:top w:val="nil"/>
              <w:left w:val="nil"/>
              <w:bottom w:val="single" w:sz="4" w:space="0" w:color="auto"/>
              <w:right w:val="single" w:sz="4" w:space="0" w:color="auto"/>
            </w:tcBorders>
            <w:noWrap/>
            <w:vAlign w:val="center"/>
            <w:hideMark/>
          </w:tcPr>
          <w:p w14:paraId="4F8EB6D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66</w:t>
            </w:r>
          </w:p>
        </w:tc>
        <w:tc>
          <w:tcPr>
            <w:tcW w:w="0" w:type="auto"/>
            <w:tcBorders>
              <w:top w:val="nil"/>
              <w:left w:val="nil"/>
              <w:bottom w:val="single" w:sz="4" w:space="0" w:color="auto"/>
              <w:right w:val="single" w:sz="4" w:space="0" w:color="auto"/>
            </w:tcBorders>
            <w:noWrap/>
            <w:vAlign w:val="center"/>
            <w:hideMark/>
          </w:tcPr>
          <w:p w14:paraId="310A085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65</w:t>
            </w:r>
          </w:p>
        </w:tc>
        <w:tc>
          <w:tcPr>
            <w:tcW w:w="0" w:type="auto"/>
            <w:tcBorders>
              <w:top w:val="nil"/>
              <w:left w:val="nil"/>
              <w:bottom w:val="single" w:sz="4" w:space="0" w:color="auto"/>
              <w:right w:val="single" w:sz="4" w:space="0" w:color="auto"/>
            </w:tcBorders>
            <w:noWrap/>
            <w:vAlign w:val="center"/>
            <w:hideMark/>
          </w:tcPr>
          <w:p w14:paraId="68EEB31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92</w:t>
            </w:r>
          </w:p>
        </w:tc>
        <w:tc>
          <w:tcPr>
            <w:tcW w:w="0" w:type="auto"/>
            <w:tcBorders>
              <w:top w:val="nil"/>
              <w:left w:val="nil"/>
              <w:bottom w:val="single" w:sz="4" w:space="0" w:color="auto"/>
              <w:right w:val="single" w:sz="4" w:space="0" w:color="auto"/>
            </w:tcBorders>
            <w:noWrap/>
            <w:vAlign w:val="center"/>
            <w:hideMark/>
          </w:tcPr>
          <w:p w14:paraId="2859701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52</w:t>
            </w:r>
          </w:p>
        </w:tc>
        <w:tc>
          <w:tcPr>
            <w:tcW w:w="0" w:type="auto"/>
            <w:tcBorders>
              <w:top w:val="nil"/>
              <w:left w:val="nil"/>
              <w:bottom w:val="single" w:sz="4" w:space="0" w:color="auto"/>
              <w:right w:val="single" w:sz="4" w:space="0" w:color="auto"/>
            </w:tcBorders>
            <w:noWrap/>
            <w:vAlign w:val="center"/>
            <w:hideMark/>
          </w:tcPr>
          <w:p w14:paraId="0A2F04E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61</w:t>
            </w:r>
          </w:p>
        </w:tc>
        <w:tc>
          <w:tcPr>
            <w:tcW w:w="881" w:type="dxa"/>
            <w:tcBorders>
              <w:top w:val="nil"/>
              <w:left w:val="nil"/>
              <w:bottom w:val="single" w:sz="4" w:space="0" w:color="auto"/>
              <w:right w:val="single" w:sz="4" w:space="0" w:color="auto"/>
            </w:tcBorders>
            <w:noWrap/>
            <w:vAlign w:val="center"/>
            <w:hideMark/>
          </w:tcPr>
          <w:p w14:paraId="48DC72E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61</w:t>
            </w:r>
          </w:p>
        </w:tc>
      </w:tr>
      <w:tr w:rsidR="00EF1937" w:rsidRPr="00B450EB" w14:paraId="50E7E409"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2F7F14F4"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Orchidaceae</w:t>
            </w:r>
            <w:proofErr w:type="spellEnd"/>
          </w:p>
        </w:tc>
        <w:tc>
          <w:tcPr>
            <w:tcW w:w="0" w:type="auto"/>
            <w:tcBorders>
              <w:top w:val="nil"/>
              <w:left w:val="nil"/>
              <w:bottom w:val="single" w:sz="4" w:space="0" w:color="auto"/>
              <w:right w:val="single" w:sz="4" w:space="0" w:color="auto"/>
            </w:tcBorders>
            <w:noWrap/>
            <w:vAlign w:val="center"/>
            <w:hideMark/>
          </w:tcPr>
          <w:p w14:paraId="3953942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242</w:t>
            </w:r>
          </w:p>
        </w:tc>
        <w:tc>
          <w:tcPr>
            <w:tcW w:w="0" w:type="auto"/>
            <w:tcBorders>
              <w:top w:val="nil"/>
              <w:left w:val="nil"/>
              <w:bottom w:val="single" w:sz="4" w:space="0" w:color="auto"/>
              <w:right w:val="single" w:sz="4" w:space="0" w:color="auto"/>
            </w:tcBorders>
            <w:noWrap/>
            <w:vAlign w:val="center"/>
            <w:hideMark/>
          </w:tcPr>
          <w:p w14:paraId="566883B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299</w:t>
            </w:r>
          </w:p>
        </w:tc>
        <w:tc>
          <w:tcPr>
            <w:tcW w:w="0" w:type="auto"/>
            <w:tcBorders>
              <w:top w:val="nil"/>
              <w:left w:val="nil"/>
              <w:bottom w:val="single" w:sz="4" w:space="0" w:color="auto"/>
              <w:right w:val="single" w:sz="4" w:space="0" w:color="auto"/>
            </w:tcBorders>
            <w:noWrap/>
            <w:vAlign w:val="center"/>
            <w:hideMark/>
          </w:tcPr>
          <w:p w14:paraId="02932AD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407</w:t>
            </w:r>
          </w:p>
        </w:tc>
        <w:tc>
          <w:tcPr>
            <w:tcW w:w="0" w:type="auto"/>
            <w:tcBorders>
              <w:top w:val="nil"/>
              <w:left w:val="nil"/>
              <w:bottom w:val="single" w:sz="4" w:space="0" w:color="auto"/>
              <w:right w:val="single" w:sz="4" w:space="0" w:color="auto"/>
            </w:tcBorders>
            <w:noWrap/>
            <w:vAlign w:val="center"/>
            <w:hideMark/>
          </w:tcPr>
          <w:p w14:paraId="62DEC4D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96</w:t>
            </w:r>
          </w:p>
        </w:tc>
        <w:tc>
          <w:tcPr>
            <w:tcW w:w="0" w:type="auto"/>
            <w:tcBorders>
              <w:top w:val="nil"/>
              <w:left w:val="nil"/>
              <w:bottom w:val="single" w:sz="4" w:space="0" w:color="auto"/>
              <w:right w:val="single" w:sz="4" w:space="0" w:color="auto"/>
            </w:tcBorders>
            <w:noWrap/>
            <w:vAlign w:val="center"/>
            <w:hideMark/>
          </w:tcPr>
          <w:p w14:paraId="1731F39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87</w:t>
            </w:r>
          </w:p>
        </w:tc>
        <w:tc>
          <w:tcPr>
            <w:tcW w:w="0" w:type="auto"/>
            <w:tcBorders>
              <w:top w:val="nil"/>
              <w:left w:val="nil"/>
              <w:bottom w:val="single" w:sz="4" w:space="0" w:color="auto"/>
              <w:right w:val="single" w:sz="4" w:space="0" w:color="auto"/>
            </w:tcBorders>
            <w:noWrap/>
            <w:vAlign w:val="center"/>
            <w:hideMark/>
          </w:tcPr>
          <w:p w14:paraId="725B2BB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402</w:t>
            </w:r>
          </w:p>
        </w:tc>
        <w:tc>
          <w:tcPr>
            <w:tcW w:w="0" w:type="auto"/>
            <w:tcBorders>
              <w:top w:val="nil"/>
              <w:left w:val="nil"/>
              <w:bottom w:val="single" w:sz="4" w:space="0" w:color="auto"/>
              <w:right w:val="single" w:sz="4" w:space="0" w:color="auto"/>
            </w:tcBorders>
            <w:noWrap/>
            <w:vAlign w:val="center"/>
            <w:hideMark/>
          </w:tcPr>
          <w:p w14:paraId="2EA9045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463</w:t>
            </w:r>
          </w:p>
        </w:tc>
        <w:tc>
          <w:tcPr>
            <w:tcW w:w="0" w:type="auto"/>
            <w:tcBorders>
              <w:top w:val="nil"/>
              <w:left w:val="nil"/>
              <w:bottom w:val="single" w:sz="4" w:space="0" w:color="auto"/>
              <w:right w:val="single" w:sz="4" w:space="0" w:color="auto"/>
            </w:tcBorders>
            <w:noWrap/>
            <w:vAlign w:val="center"/>
            <w:hideMark/>
          </w:tcPr>
          <w:p w14:paraId="251856F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163</w:t>
            </w:r>
          </w:p>
        </w:tc>
        <w:tc>
          <w:tcPr>
            <w:tcW w:w="881" w:type="dxa"/>
            <w:tcBorders>
              <w:top w:val="nil"/>
              <w:left w:val="nil"/>
              <w:bottom w:val="single" w:sz="4" w:space="0" w:color="auto"/>
              <w:right w:val="single" w:sz="4" w:space="0" w:color="auto"/>
            </w:tcBorders>
            <w:noWrap/>
            <w:vAlign w:val="center"/>
            <w:hideMark/>
          </w:tcPr>
          <w:p w14:paraId="31CE42D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163</w:t>
            </w:r>
          </w:p>
        </w:tc>
      </w:tr>
      <w:tr w:rsidR="00EF1937" w:rsidRPr="00B450EB" w14:paraId="37BC4371"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6B241F9C"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Piperaceae</w:t>
            </w:r>
            <w:proofErr w:type="spellEnd"/>
          </w:p>
        </w:tc>
        <w:tc>
          <w:tcPr>
            <w:tcW w:w="0" w:type="auto"/>
            <w:tcBorders>
              <w:top w:val="nil"/>
              <w:left w:val="nil"/>
              <w:bottom w:val="single" w:sz="4" w:space="0" w:color="auto"/>
              <w:right w:val="single" w:sz="4" w:space="0" w:color="auto"/>
            </w:tcBorders>
            <w:noWrap/>
            <w:vAlign w:val="center"/>
            <w:hideMark/>
          </w:tcPr>
          <w:p w14:paraId="63DD848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130</w:t>
            </w:r>
          </w:p>
        </w:tc>
        <w:tc>
          <w:tcPr>
            <w:tcW w:w="0" w:type="auto"/>
            <w:tcBorders>
              <w:top w:val="nil"/>
              <w:left w:val="nil"/>
              <w:bottom w:val="single" w:sz="4" w:space="0" w:color="auto"/>
              <w:right w:val="single" w:sz="4" w:space="0" w:color="auto"/>
            </w:tcBorders>
            <w:noWrap/>
            <w:vAlign w:val="center"/>
            <w:hideMark/>
          </w:tcPr>
          <w:p w14:paraId="4433102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155</w:t>
            </w:r>
          </w:p>
        </w:tc>
        <w:tc>
          <w:tcPr>
            <w:tcW w:w="0" w:type="auto"/>
            <w:tcBorders>
              <w:top w:val="nil"/>
              <w:left w:val="nil"/>
              <w:bottom w:val="single" w:sz="4" w:space="0" w:color="auto"/>
              <w:right w:val="single" w:sz="4" w:space="0" w:color="auto"/>
            </w:tcBorders>
            <w:noWrap/>
            <w:vAlign w:val="center"/>
            <w:hideMark/>
          </w:tcPr>
          <w:p w14:paraId="7600915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175</w:t>
            </w:r>
          </w:p>
        </w:tc>
        <w:tc>
          <w:tcPr>
            <w:tcW w:w="0" w:type="auto"/>
            <w:tcBorders>
              <w:top w:val="nil"/>
              <w:left w:val="nil"/>
              <w:bottom w:val="single" w:sz="4" w:space="0" w:color="auto"/>
              <w:right w:val="single" w:sz="4" w:space="0" w:color="auto"/>
            </w:tcBorders>
            <w:noWrap/>
            <w:vAlign w:val="center"/>
            <w:hideMark/>
          </w:tcPr>
          <w:p w14:paraId="0ED3E41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27</w:t>
            </w:r>
          </w:p>
        </w:tc>
        <w:tc>
          <w:tcPr>
            <w:tcW w:w="0" w:type="auto"/>
            <w:tcBorders>
              <w:top w:val="nil"/>
              <w:left w:val="nil"/>
              <w:bottom w:val="single" w:sz="4" w:space="0" w:color="auto"/>
              <w:right w:val="single" w:sz="4" w:space="0" w:color="auto"/>
            </w:tcBorders>
            <w:noWrap/>
            <w:vAlign w:val="center"/>
            <w:hideMark/>
          </w:tcPr>
          <w:p w14:paraId="71E2E09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71</w:t>
            </w:r>
          </w:p>
        </w:tc>
        <w:tc>
          <w:tcPr>
            <w:tcW w:w="0" w:type="auto"/>
            <w:tcBorders>
              <w:top w:val="nil"/>
              <w:left w:val="nil"/>
              <w:bottom w:val="single" w:sz="4" w:space="0" w:color="auto"/>
              <w:right w:val="single" w:sz="4" w:space="0" w:color="auto"/>
            </w:tcBorders>
            <w:noWrap/>
            <w:vAlign w:val="center"/>
            <w:hideMark/>
          </w:tcPr>
          <w:p w14:paraId="27CFA3B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190</w:t>
            </w:r>
          </w:p>
        </w:tc>
        <w:tc>
          <w:tcPr>
            <w:tcW w:w="0" w:type="auto"/>
            <w:tcBorders>
              <w:top w:val="nil"/>
              <w:left w:val="nil"/>
              <w:bottom w:val="single" w:sz="4" w:space="0" w:color="auto"/>
              <w:right w:val="single" w:sz="4" w:space="0" w:color="auto"/>
            </w:tcBorders>
            <w:noWrap/>
            <w:vAlign w:val="center"/>
            <w:hideMark/>
          </w:tcPr>
          <w:p w14:paraId="63C8F58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225</w:t>
            </w:r>
          </w:p>
        </w:tc>
        <w:tc>
          <w:tcPr>
            <w:tcW w:w="0" w:type="auto"/>
            <w:tcBorders>
              <w:top w:val="nil"/>
              <w:left w:val="nil"/>
              <w:bottom w:val="single" w:sz="4" w:space="0" w:color="auto"/>
              <w:right w:val="single" w:sz="4" w:space="0" w:color="auto"/>
            </w:tcBorders>
            <w:noWrap/>
            <w:vAlign w:val="center"/>
            <w:hideMark/>
          </w:tcPr>
          <w:p w14:paraId="2F7F350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55</w:t>
            </w:r>
          </w:p>
        </w:tc>
        <w:tc>
          <w:tcPr>
            <w:tcW w:w="881" w:type="dxa"/>
            <w:tcBorders>
              <w:top w:val="nil"/>
              <w:left w:val="nil"/>
              <w:bottom w:val="single" w:sz="4" w:space="0" w:color="auto"/>
              <w:right w:val="single" w:sz="4" w:space="0" w:color="auto"/>
            </w:tcBorders>
            <w:noWrap/>
            <w:vAlign w:val="center"/>
            <w:hideMark/>
          </w:tcPr>
          <w:p w14:paraId="3E21F4E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55</w:t>
            </w:r>
          </w:p>
        </w:tc>
      </w:tr>
      <w:tr w:rsidR="00EF1937" w:rsidRPr="00B450EB" w14:paraId="1419C023"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4C740883"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Poaceae</w:t>
            </w:r>
            <w:proofErr w:type="spellEnd"/>
          </w:p>
        </w:tc>
        <w:tc>
          <w:tcPr>
            <w:tcW w:w="0" w:type="auto"/>
            <w:tcBorders>
              <w:top w:val="nil"/>
              <w:left w:val="nil"/>
              <w:bottom w:val="single" w:sz="4" w:space="0" w:color="auto"/>
              <w:right w:val="single" w:sz="4" w:space="0" w:color="auto"/>
            </w:tcBorders>
            <w:noWrap/>
            <w:vAlign w:val="center"/>
            <w:hideMark/>
          </w:tcPr>
          <w:p w14:paraId="1A7767D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142</w:t>
            </w:r>
          </w:p>
        </w:tc>
        <w:tc>
          <w:tcPr>
            <w:tcW w:w="0" w:type="auto"/>
            <w:tcBorders>
              <w:top w:val="nil"/>
              <w:left w:val="nil"/>
              <w:bottom w:val="single" w:sz="4" w:space="0" w:color="auto"/>
              <w:right w:val="single" w:sz="4" w:space="0" w:color="auto"/>
            </w:tcBorders>
            <w:noWrap/>
            <w:vAlign w:val="center"/>
            <w:hideMark/>
          </w:tcPr>
          <w:p w14:paraId="71D7DD0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89</w:t>
            </w:r>
          </w:p>
        </w:tc>
        <w:tc>
          <w:tcPr>
            <w:tcW w:w="0" w:type="auto"/>
            <w:tcBorders>
              <w:top w:val="nil"/>
              <w:left w:val="nil"/>
              <w:bottom w:val="single" w:sz="4" w:space="0" w:color="auto"/>
              <w:right w:val="single" w:sz="4" w:space="0" w:color="auto"/>
            </w:tcBorders>
            <w:noWrap/>
            <w:vAlign w:val="center"/>
            <w:hideMark/>
          </w:tcPr>
          <w:p w14:paraId="01463BC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142</w:t>
            </w:r>
          </w:p>
        </w:tc>
        <w:tc>
          <w:tcPr>
            <w:tcW w:w="0" w:type="auto"/>
            <w:tcBorders>
              <w:top w:val="nil"/>
              <w:left w:val="nil"/>
              <w:bottom w:val="single" w:sz="4" w:space="0" w:color="auto"/>
              <w:right w:val="single" w:sz="4" w:space="0" w:color="auto"/>
            </w:tcBorders>
            <w:noWrap/>
            <w:vAlign w:val="center"/>
            <w:hideMark/>
          </w:tcPr>
          <w:p w14:paraId="7E7098B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90</w:t>
            </w:r>
          </w:p>
        </w:tc>
        <w:tc>
          <w:tcPr>
            <w:tcW w:w="0" w:type="auto"/>
            <w:tcBorders>
              <w:top w:val="nil"/>
              <w:left w:val="nil"/>
              <w:bottom w:val="single" w:sz="4" w:space="0" w:color="auto"/>
              <w:right w:val="single" w:sz="4" w:space="0" w:color="auto"/>
            </w:tcBorders>
            <w:noWrap/>
            <w:vAlign w:val="center"/>
            <w:hideMark/>
          </w:tcPr>
          <w:p w14:paraId="409F604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142</w:t>
            </w:r>
          </w:p>
        </w:tc>
        <w:tc>
          <w:tcPr>
            <w:tcW w:w="0" w:type="auto"/>
            <w:tcBorders>
              <w:top w:val="nil"/>
              <w:left w:val="nil"/>
              <w:bottom w:val="single" w:sz="4" w:space="0" w:color="auto"/>
              <w:right w:val="single" w:sz="4" w:space="0" w:color="auto"/>
            </w:tcBorders>
            <w:noWrap/>
            <w:vAlign w:val="center"/>
            <w:hideMark/>
          </w:tcPr>
          <w:p w14:paraId="3D3D40D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380</w:t>
            </w:r>
          </w:p>
        </w:tc>
        <w:tc>
          <w:tcPr>
            <w:tcW w:w="0" w:type="auto"/>
            <w:tcBorders>
              <w:top w:val="nil"/>
              <w:left w:val="nil"/>
              <w:bottom w:val="single" w:sz="4" w:space="0" w:color="auto"/>
              <w:right w:val="single" w:sz="4" w:space="0" w:color="auto"/>
            </w:tcBorders>
            <w:noWrap/>
            <w:vAlign w:val="center"/>
            <w:hideMark/>
          </w:tcPr>
          <w:p w14:paraId="71EE132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178</w:t>
            </w:r>
          </w:p>
        </w:tc>
        <w:tc>
          <w:tcPr>
            <w:tcW w:w="0" w:type="auto"/>
            <w:tcBorders>
              <w:top w:val="nil"/>
              <w:left w:val="nil"/>
              <w:bottom w:val="single" w:sz="4" w:space="0" w:color="auto"/>
              <w:right w:val="single" w:sz="4" w:space="0" w:color="auto"/>
            </w:tcBorders>
            <w:noWrap/>
            <w:vAlign w:val="center"/>
            <w:hideMark/>
          </w:tcPr>
          <w:p w14:paraId="5562D50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50</w:t>
            </w:r>
          </w:p>
        </w:tc>
        <w:tc>
          <w:tcPr>
            <w:tcW w:w="881" w:type="dxa"/>
            <w:tcBorders>
              <w:top w:val="nil"/>
              <w:left w:val="nil"/>
              <w:bottom w:val="single" w:sz="4" w:space="0" w:color="auto"/>
              <w:right w:val="single" w:sz="4" w:space="0" w:color="auto"/>
            </w:tcBorders>
            <w:noWrap/>
            <w:vAlign w:val="center"/>
            <w:hideMark/>
          </w:tcPr>
          <w:p w14:paraId="4B9451F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50</w:t>
            </w:r>
          </w:p>
        </w:tc>
      </w:tr>
      <w:tr w:rsidR="00EF1937" w:rsidRPr="00B450EB" w14:paraId="35202F86"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3AECA9CD"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Polypodiaceae</w:t>
            </w:r>
            <w:proofErr w:type="spellEnd"/>
          </w:p>
        </w:tc>
        <w:tc>
          <w:tcPr>
            <w:tcW w:w="0" w:type="auto"/>
            <w:tcBorders>
              <w:top w:val="nil"/>
              <w:left w:val="nil"/>
              <w:bottom w:val="single" w:sz="4" w:space="0" w:color="auto"/>
              <w:right w:val="single" w:sz="4" w:space="0" w:color="auto"/>
            </w:tcBorders>
            <w:noWrap/>
            <w:vAlign w:val="center"/>
            <w:hideMark/>
          </w:tcPr>
          <w:p w14:paraId="243AE1F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61</w:t>
            </w:r>
          </w:p>
        </w:tc>
        <w:tc>
          <w:tcPr>
            <w:tcW w:w="0" w:type="auto"/>
            <w:tcBorders>
              <w:top w:val="nil"/>
              <w:left w:val="nil"/>
              <w:bottom w:val="single" w:sz="4" w:space="0" w:color="auto"/>
              <w:right w:val="single" w:sz="4" w:space="0" w:color="auto"/>
            </w:tcBorders>
            <w:noWrap/>
            <w:vAlign w:val="center"/>
            <w:hideMark/>
          </w:tcPr>
          <w:p w14:paraId="01FB4E9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57</w:t>
            </w:r>
          </w:p>
        </w:tc>
        <w:tc>
          <w:tcPr>
            <w:tcW w:w="0" w:type="auto"/>
            <w:tcBorders>
              <w:top w:val="nil"/>
              <w:left w:val="nil"/>
              <w:bottom w:val="single" w:sz="4" w:space="0" w:color="auto"/>
              <w:right w:val="single" w:sz="4" w:space="0" w:color="auto"/>
            </w:tcBorders>
            <w:noWrap/>
            <w:vAlign w:val="center"/>
            <w:hideMark/>
          </w:tcPr>
          <w:p w14:paraId="2102E7D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91</w:t>
            </w:r>
          </w:p>
        </w:tc>
        <w:tc>
          <w:tcPr>
            <w:tcW w:w="0" w:type="auto"/>
            <w:tcBorders>
              <w:top w:val="nil"/>
              <w:left w:val="nil"/>
              <w:bottom w:val="single" w:sz="4" w:space="0" w:color="auto"/>
              <w:right w:val="single" w:sz="4" w:space="0" w:color="auto"/>
            </w:tcBorders>
            <w:noWrap/>
            <w:vAlign w:val="center"/>
            <w:hideMark/>
          </w:tcPr>
          <w:p w14:paraId="07854661"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w:t>
            </w:r>
          </w:p>
        </w:tc>
        <w:tc>
          <w:tcPr>
            <w:tcW w:w="0" w:type="auto"/>
            <w:tcBorders>
              <w:top w:val="nil"/>
              <w:left w:val="nil"/>
              <w:bottom w:val="single" w:sz="4" w:space="0" w:color="auto"/>
              <w:right w:val="single" w:sz="4" w:space="0" w:color="auto"/>
            </w:tcBorders>
            <w:noWrap/>
            <w:vAlign w:val="center"/>
            <w:hideMark/>
          </w:tcPr>
          <w:p w14:paraId="1EE9B9D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23</w:t>
            </w:r>
          </w:p>
        </w:tc>
        <w:tc>
          <w:tcPr>
            <w:tcW w:w="0" w:type="auto"/>
            <w:tcBorders>
              <w:top w:val="nil"/>
              <w:left w:val="nil"/>
              <w:bottom w:val="single" w:sz="4" w:space="0" w:color="auto"/>
              <w:right w:val="single" w:sz="4" w:space="0" w:color="auto"/>
            </w:tcBorders>
            <w:noWrap/>
            <w:vAlign w:val="center"/>
            <w:hideMark/>
          </w:tcPr>
          <w:p w14:paraId="078BA60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117</w:t>
            </w:r>
          </w:p>
        </w:tc>
        <w:tc>
          <w:tcPr>
            <w:tcW w:w="0" w:type="auto"/>
            <w:tcBorders>
              <w:top w:val="nil"/>
              <w:left w:val="nil"/>
              <w:bottom w:val="single" w:sz="4" w:space="0" w:color="auto"/>
              <w:right w:val="single" w:sz="4" w:space="0" w:color="auto"/>
            </w:tcBorders>
            <w:noWrap/>
            <w:vAlign w:val="center"/>
            <w:hideMark/>
          </w:tcPr>
          <w:p w14:paraId="136D3F7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104</w:t>
            </w:r>
          </w:p>
        </w:tc>
        <w:tc>
          <w:tcPr>
            <w:tcW w:w="0" w:type="auto"/>
            <w:tcBorders>
              <w:top w:val="nil"/>
              <w:left w:val="nil"/>
              <w:bottom w:val="single" w:sz="4" w:space="0" w:color="auto"/>
              <w:right w:val="single" w:sz="4" w:space="0" w:color="auto"/>
            </w:tcBorders>
            <w:noWrap/>
            <w:vAlign w:val="center"/>
            <w:hideMark/>
          </w:tcPr>
          <w:p w14:paraId="6128D22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22</w:t>
            </w:r>
          </w:p>
        </w:tc>
        <w:tc>
          <w:tcPr>
            <w:tcW w:w="881" w:type="dxa"/>
            <w:tcBorders>
              <w:top w:val="nil"/>
              <w:left w:val="nil"/>
              <w:bottom w:val="single" w:sz="4" w:space="0" w:color="auto"/>
              <w:right w:val="single" w:sz="4" w:space="0" w:color="auto"/>
            </w:tcBorders>
            <w:noWrap/>
            <w:vAlign w:val="center"/>
            <w:hideMark/>
          </w:tcPr>
          <w:p w14:paraId="76123FA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22</w:t>
            </w:r>
          </w:p>
        </w:tc>
      </w:tr>
      <w:tr w:rsidR="00EF1937" w:rsidRPr="00B450EB" w14:paraId="29909BD0"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2ECC0352"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Rubiaceae</w:t>
            </w:r>
            <w:proofErr w:type="spellEnd"/>
          </w:p>
        </w:tc>
        <w:tc>
          <w:tcPr>
            <w:tcW w:w="0" w:type="auto"/>
            <w:tcBorders>
              <w:top w:val="nil"/>
              <w:left w:val="nil"/>
              <w:bottom w:val="single" w:sz="4" w:space="0" w:color="auto"/>
              <w:right w:val="single" w:sz="4" w:space="0" w:color="auto"/>
            </w:tcBorders>
            <w:noWrap/>
            <w:vAlign w:val="center"/>
            <w:hideMark/>
          </w:tcPr>
          <w:p w14:paraId="63A819E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599</w:t>
            </w:r>
          </w:p>
        </w:tc>
        <w:tc>
          <w:tcPr>
            <w:tcW w:w="0" w:type="auto"/>
            <w:tcBorders>
              <w:top w:val="nil"/>
              <w:left w:val="nil"/>
              <w:bottom w:val="single" w:sz="4" w:space="0" w:color="auto"/>
              <w:right w:val="single" w:sz="4" w:space="0" w:color="auto"/>
            </w:tcBorders>
            <w:noWrap/>
            <w:vAlign w:val="center"/>
            <w:hideMark/>
          </w:tcPr>
          <w:p w14:paraId="42F5DCAD"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416</w:t>
            </w:r>
          </w:p>
        </w:tc>
        <w:tc>
          <w:tcPr>
            <w:tcW w:w="0" w:type="auto"/>
            <w:tcBorders>
              <w:top w:val="nil"/>
              <w:left w:val="nil"/>
              <w:bottom w:val="single" w:sz="4" w:space="0" w:color="auto"/>
              <w:right w:val="single" w:sz="4" w:space="0" w:color="auto"/>
            </w:tcBorders>
            <w:noWrap/>
            <w:vAlign w:val="center"/>
            <w:hideMark/>
          </w:tcPr>
          <w:p w14:paraId="6D1FB01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316</w:t>
            </w:r>
          </w:p>
        </w:tc>
        <w:tc>
          <w:tcPr>
            <w:tcW w:w="0" w:type="auto"/>
            <w:tcBorders>
              <w:top w:val="nil"/>
              <w:left w:val="nil"/>
              <w:bottom w:val="single" w:sz="4" w:space="0" w:color="auto"/>
              <w:right w:val="single" w:sz="4" w:space="0" w:color="auto"/>
            </w:tcBorders>
            <w:noWrap/>
            <w:vAlign w:val="center"/>
            <w:hideMark/>
          </w:tcPr>
          <w:p w14:paraId="73B24022"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223</w:t>
            </w:r>
          </w:p>
        </w:tc>
        <w:tc>
          <w:tcPr>
            <w:tcW w:w="0" w:type="auto"/>
            <w:tcBorders>
              <w:top w:val="nil"/>
              <w:left w:val="nil"/>
              <w:bottom w:val="single" w:sz="4" w:space="0" w:color="auto"/>
              <w:right w:val="single" w:sz="4" w:space="0" w:color="auto"/>
            </w:tcBorders>
            <w:noWrap/>
            <w:vAlign w:val="center"/>
            <w:hideMark/>
          </w:tcPr>
          <w:p w14:paraId="18534EF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226</w:t>
            </w:r>
          </w:p>
        </w:tc>
        <w:tc>
          <w:tcPr>
            <w:tcW w:w="0" w:type="auto"/>
            <w:tcBorders>
              <w:top w:val="nil"/>
              <w:left w:val="nil"/>
              <w:bottom w:val="single" w:sz="4" w:space="0" w:color="auto"/>
              <w:right w:val="single" w:sz="4" w:space="0" w:color="auto"/>
            </w:tcBorders>
            <w:noWrap/>
            <w:vAlign w:val="center"/>
            <w:hideMark/>
          </w:tcPr>
          <w:p w14:paraId="4F0921E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467</w:t>
            </w:r>
          </w:p>
        </w:tc>
        <w:tc>
          <w:tcPr>
            <w:tcW w:w="0" w:type="auto"/>
            <w:tcBorders>
              <w:top w:val="nil"/>
              <w:left w:val="nil"/>
              <w:bottom w:val="single" w:sz="4" w:space="0" w:color="auto"/>
              <w:right w:val="single" w:sz="4" w:space="0" w:color="auto"/>
            </w:tcBorders>
            <w:noWrap/>
            <w:vAlign w:val="center"/>
            <w:hideMark/>
          </w:tcPr>
          <w:p w14:paraId="2C65D83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425</w:t>
            </w:r>
          </w:p>
        </w:tc>
        <w:tc>
          <w:tcPr>
            <w:tcW w:w="0" w:type="auto"/>
            <w:tcBorders>
              <w:top w:val="nil"/>
              <w:left w:val="nil"/>
              <w:bottom w:val="single" w:sz="4" w:space="0" w:color="auto"/>
              <w:right w:val="single" w:sz="4" w:space="0" w:color="auto"/>
            </w:tcBorders>
            <w:noWrap/>
            <w:vAlign w:val="center"/>
            <w:hideMark/>
          </w:tcPr>
          <w:p w14:paraId="5A25364F"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298</w:t>
            </w:r>
          </w:p>
        </w:tc>
        <w:tc>
          <w:tcPr>
            <w:tcW w:w="881" w:type="dxa"/>
            <w:tcBorders>
              <w:top w:val="nil"/>
              <w:left w:val="nil"/>
              <w:bottom w:val="single" w:sz="4" w:space="0" w:color="auto"/>
              <w:right w:val="single" w:sz="4" w:space="0" w:color="auto"/>
            </w:tcBorders>
            <w:noWrap/>
            <w:vAlign w:val="center"/>
            <w:hideMark/>
          </w:tcPr>
          <w:p w14:paraId="60A15D9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298</w:t>
            </w:r>
          </w:p>
        </w:tc>
      </w:tr>
      <w:tr w:rsidR="00EF1937" w:rsidRPr="00B450EB" w14:paraId="37FDA914"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2BB63D40"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Sapotaceae</w:t>
            </w:r>
            <w:proofErr w:type="spellEnd"/>
          </w:p>
        </w:tc>
        <w:tc>
          <w:tcPr>
            <w:tcW w:w="0" w:type="auto"/>
            <w:tcBorders>
              <w:top w:val="nil"/>
              <w:left w:val="nil"/>
              <w:bottom w:val="single" w:sz="4" w:space="0" w:color="auto"/>
              <w:right w:val="single" w:sz="4" w:space="0" w:color="auto"/>
            </w:tcBorders>
            <w:noWrap/>
            <w:vAlign w:val="center"/>
            <w:hideMark/>
          </w:tcPr>
          <w:p w14:paraId="09588D0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122</w:t>
            </w:r>
          </w:p>
        </w:tc>
        <w:tc>
          <w:tcPr>
            <w:tcW w:w="0" w:type="auto"/>
            <w:tcBorders>
              <w:top w:val="nil"/>
              <w:left w:val="nil"/>
              <w:bottom w:val="single" w:sz="4" w:space="0" w:color="auto"/>
              <w:right w:val="single" w:sz="4" w:space="0" w:color="auto"/>
            </w:tcBorders>
            <w:noWrap/>
            <w:vAlign w:val="center"/>
            <w:hideMark/>
          </w:tcPr>
          <w:p w14:paraId="25280C8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61</w:t>
            </w:r>
          </w:p>
        </w:tc>
        <w:tc>
          <w:tcPr>
            <w:tcW w:w="0" w:type="auto"/>
            <w:tcBorders>
              <w:top w:val="nil"/>
              <w:left w:val="nil"/>
              <w:bottom w:val="single" w:sz="4" w:space="0" w:color="auto"/>
              <w:right w:val="single" w:sz="4" w:space="0" w:color="auto"/>
            </w:tcBorders>
            <w:noWrap/>
            <w:vAlign w:val="center"/>
            <w:hideMark/>
          </w:tcPr>
          <w:p w14:paraId="0C758AF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w:t>
            </w:r>
          </w:p>
        </w:tc>
        <w:tc>
          <w:tcPr>
            <w:tcW w:w="0" w:type="auto"/>
            <w:tcBorders>
              <w:top w:val="nil"/>
              <w:left w:val="nil"/>
              <w:bottom w:val="single" w:sz="4" w:space="0" w:color="auto"/>
              <w:right w:val="single" w:sz="4" w:space="0" w:color="auto"/>
            </w:tcBorders>
            <w:noWrap/>
            <w:vAlign w:val="center"/>
            <w:hideMark/>
          </w:tcPr>
          <w:p w14:paraId="1460B2C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64</w:t>
            </w:r>
          </w:p>
        </w:tc>
        <w:tc>
          <w:tcPr>
            <w:tcW w:w="0" w:type="auto"/>
            <w:tcBorders>
              <w:top w:val="nil"/>
              <w:left w:val="nil"/>
              <w:bottom w:val="single" w:sz="4" w:space="0" w:color="auto"/>
              <w:right w:val="single" w:sz="4" w:space="0" w:color="auto"/>
            </w:tcBorders>
            <w:noWrap/>
            <w:vAlign w:val="center"/>
            <w:hideMark/>
          </w:tcPr>
          <w:p w14:paraId="5CB6FA45"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41</w:t>
            </w:r>
          </w:p>
        </w:tc>
        <w:tc>
          <w:tcPr>
            <w:tcW w:w="0" w:type="auto"/>
            <w:tcBorders>
              <w:top w:val="nil"/>
              <w:left w:val="nil"/>
              <w:bottom w:val="single" w:sz="4" w:space="0" w:color="auto"/>
              <w:right w:val="single" w:sz="4" w:space="0" w:color="auto"/>
            </w:tcBorders>
            <w:noWrap/>
            <w:vAlign w:val="center"/>
            <w:hideMark/>
          </w:tcPr>
          <w:p w14:paraId="72AC069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53</w:t>
            </w:r>
          </w:p>
        </w:tc>
        <w:tc>
          <w:tcPr>
            <w:tcW w:w="0" w:type="auto"/>
            <w:tcBorders>
              <w:top w:val="nil"/>
              <w:left w:val="nil"/>
              <w:bottom w:val="single" w:sz="4" w:space="0" w:color="auto"/>
              <w:right w:val="single" w:sz="4" w:space="0" w:color="auto"/>
            </w:tcBorders>
            <w:noWrap/>
            <w:vAlign w:val="center"/>
            <w:hideMark/>
          </w:tcPr>
          <w:p w14:paraId="4C85299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21</w:t>
            </w:r>
          </w:p>
        </w:tc>
        <w:tc>
          <w:tcPr>
            <w:tcW w:w="0" w:type="auto"/>
            <w:tcBorders>
              <w:top w:val="nil"/>
              <w:left w:val="nil"/>
              <w:bottom w:val="single" w:sz="4" w:space="0" w:color="auto"/>
              <w:right w:val="single" w:sz="4" w:space="0" w:color="auto"/>
            </w:tcBorders>
            <w:noWrap/>
            <w:vAlign w:val="center"/>
            <w:hideMark/>
          </w:tcPr>
          <w:p w14:paraId="2B9A61C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65</w:t>
            </w:r>
          </w:p>
        </w:tc>
        <w:tc>
          <w:tcPr>
            <w:tcW w:w="881" w:type="dxa"/>
            <w:tcBorders>
              <w:top w:val="nil"/>
              <w:left w:val="nil"/>
              <w:bottom w:val="single" w:sz="4" w:space="0" w:color="auto"/>
              <w:right w:val="single" w:sz="4" w:space="0" w:color="auto"/>
            </w:tcBorders>
            <w:noWrap/>
            <w:vAlign w:val="center"/>
            <w:hideMark/>
          </w:tcPr>
          <w:p w14:paraId="5CA4C3F0"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65</w:t>
            </w:r>
          </w:p>
        </w:tc>
      </w:tr>
      <w:tr w:rsidR="00EF1937" w:rsidRPr="00B450EB" w14:paraId="2645CEF5" w14:textId="77777777">
        <w:trPr>
          <w:trHeight w:val="288"/>
        </w:trPr>
        <w:tc>
          <w:tcPr>
            <w:tcW w:w="0" w:type="auto"/>
            <w:tcBorders>
              <w:top w:val="nil"/>
              <w:left w:val="single" w:sz="4" w:space="0" w:color="auto"/>
              <w:bottom w:val="single" w:sz="4" w:space="0" w:color="auto"/>
              <w:right w:val="single" w:sz="4" w:space="0" w:color="auto"/>
            </w:tcBorders>
            <w:noWrap/>
            <w:vAlign w:val="center"/>
            <w:hideMark/>
          </w:tcPr>
          <w:p w14:paraId="194C2468" w14:textId="77777777" w:rsidR="00640BB5" w:rsidRPr="00B450EB" w:rsidRDefault="00640BB5">
            <w:pPr>
              <w:spacing w:after="0" w:line="240" w:lineRule="auto"/>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Solanaceae</w:t>
            </w:r>
            <w:proofErr w:type="spellEnd"/>
          </w:p>
        </w:tc>
        <w:tc>
          <w:tcPr>
            <w:tcW w:w="0" w:type="auto"/>
            <w:tcBorders>
              <w:top w:val="nil"/>
              <w:left w:val="nil"/>
              <w:bottom w:val="single" w:sz="4" w:space="0" w:color="auto"/>
              <w:right w:val="single" w:sz="4" w:space="0" w:color="auto"/>
            </w:tcBorders>
            <w:noWrap/>
            <w:vAlign w:val="center"/>
            <w:hideMark/>
          </w:tcPr>
          <w:p w14:paraId="191D6FD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117</w:t>
            </w:r>
          </w:p>
        </w:tc>
        <w:tc>
          <w:tcPr>
            <w:tcW w:w="0" w:type="auto"/>
            <w:tcBorders>
              <w:top w:val="nil"/>
              <w:left w:val="nil"/>
              <w:bottom w:val="single" w:sz="4" w:space="0" w:color="auto"/>
              <w:right w:val="single" w:sz="4" w:space="0" w:color="auto"/>
            </w:tcBorders>
            <w:noWrap/>
            <w:vAlign w:val="center"/>
            <w:hideMark/>
          </w:tcPr>
          <w:p w14:paraId="19585E94"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155</w:t>
            </w:r>
          </w:p>
        </w:tc>
        <w:tc>
          <w:tcPr>
            <w:tcW w:w="0" w:type="auto"/>
            <w:tcBorders>
              <w:top w:val="nil"/>
              <w:left w:val="nil"/>
              <w:bottom w:val="single" w:sz="4" w:space="0" w:color="auto"/>
              <w:right w:val="single" w:sz="4" w:space="0" w:color="auto"/>
            </w:tcBorders>
            <w:noWrap/>
            <w:vAlign w:val="center"/>
            <w:hideMark/>
          </w:tcPr>
          <w:p w14:paraId="6E31149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155</w:t>
            </w:r>
          </w:p>
        </w:tc>
        <w:tc>
          <w:tcPr>
            <w:tcW w:w="0" w:type="auto"/>
            <w:tcBorders>
              <w:top w:val="nil"/>
              <w:left w:val="nil"/>
              <w:bottom w:val="single" w:sz="4" w:space="0" w:color="auto"/>
              <w:right w:val="single" w:sz="4" w:space="0" w:color="auto"/>
            </w:tcBorders>
            <w:noWrap/>
            <w:vAlign w:val="center"/>
            <w:hideMark/>
          </w:tcPr>
          <w:p w14:paraId="6BEF502C"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21</w:t>
            </w:r>
          </w:p>
        </w:tc>
        <w:tc>
          <w:tcPr>
            <w:tcW w:w="0" w:type="auto"/>
            <w:tcBorders>
              <w:top w:val="nil"/>
              <w:left w:val="nil"/>
              <w:bottom w:val="single" w:sz="4" w:space="0" w:color="auto"/>
              <w:right w:val="single" w:sz="4" w:space="0" w:color="auto"/>
            </w:tcBorders>
            <w:noWrap/>
            <w:vAlign w:val="center"/>
            <w:hideMark/>
          </w:tcPr>
          <w:p w14:paraId="56E3A31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45</w:t>
            </w:r>
          </w:p>
        </w:tc>
        <w:tc>
          <w:tcPr>
            <w:tcW w:w="0" w:type="auto"/>
            <w:tcBorders>
              <w:top w:val="nil"/>
              <w:left w:val="nil"/>
              <w:bottom w:val="single" w:sz="4" w:space="0" w:color="auto"/>
              <w:right w:val="single" w:sz="4" w:space="0" w:color="auto"/>
            </w:tcBorders>
            <w:noWrap/>
            <w:vAlign w:val="center"/>
            <w:hideMark/>
          </w:tcPr>
          <w:p w14:paraId="75F493F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155</w:t>
            </w:r>
          </w:p>
        </w:tc>
        <w:tc>
          <w:tcPr>
            <w:tcW w:w="0" w:type="auto"/>
            <w:tcBorders>
              <w:top w:val="nil"/>
              <w:left w:val="nil"/>
              <w:bottom w:val="single" w:sz="4" w:space="0" w:color="auto"/>
              <w:right w:val="single" w:sz="4" w:space="0" w:color="auto"/>
            </w:tcBorders>
            <w:noWrap/>
            <w:vAlign w:val="center"/>
            <w:hideMark/>
          </w:tcPr>
          <w:p w14:paraId="42DDC9D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211</w:t>
            </w:r>
          </w:p>
        </w:tc>
        <w:tc>
          <w:tcPr>
            <w:tcW w:w="0" w:type="auto"/>
            <w:tcBorders>
              <w:top w:val="nil"/>
              <w:left w:val="nil"/>
              <w:bottom w:val="single" w:sz="4" w:space="0" w:color="auto"/>
              <w:right w:val="single" w:sz="4" w:space="0" w:color="auto"/>
            </w:tcBorders>
            <w:noWrap/>
            <w:vAlign w:val="center"/>
            <w:hideMark/>
          </w:tcPr>
          <w:p w14:paraId="519620C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37</w:t>
            </w:r>
          </w:p>
        </w:tc>
        <w:tc>
          <w:tcPr>
            <w:tcW w:w="881" w:type="dxa"/>
            <w:tcBorders>
              <w:top w:val="nil"/>
              <w:left w:val="nil"/>
              <w:bottom w:val="single" w:sz="4" w:space="0" w:color="auto"/>
              <w:right w:val="single" w:sz="4" w:space="0" w:color="auto"/>
            </w:tcBorders>
            <w:noWrap/>
            <w:vAlign w:val="center"/>
            <w:hideMark/>
          </w:tcPr>
          <w:p w14:paraId="0774C8BE"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37</w:t>
            </w:r>
          </w:p>
        </w:tc>
      </w:tr>
    </w:tbl>
    <w:p w14:paraId="5F214DBE" w14:textId="5C49254D" w:rsidR="00640BB5" w:rsidRPr="00B450EB" w:rsidRDefault="00640BB5" w:rsidP="00640BB5">
      <w:pPr>
        <w:tabs>
          <w:tab w:val="left" w:pos="5040"/>
        </w:tabs>
        <w:jc w:val="center"/>
      </w:pPr>
      <w:r w:rsidRPr="00B450EB">
        <w:rPr>
          <w:sz w:val="18"/>
          <w:szCs w:val="18"/>
        </w:rPr>
        <w:t>Fuente</w:t>
      </w:r>
      <w:r w:rsidRPr="00B450EB">
        <w:rPr>
          <w:b/>
          <w:sz w:val="18"/>
          <w:szCs w:val="18"/>
        </w:rPr>
        <w:t>:</w:t>
      </w:r>
      <w:r w:rsidRPr="00B450EB">
        <w:rPr>
          <w:sz w:val="18"/>
          <w:szCs w:val="18"/>
        </w:rPr>
        <w:t xml:space="preserve"> </w:t>
      </w:r>
      <w:r w:rsidR="00C951FE" w:rsidRPr="00B450EB">
        <w:rPr>
          <w:sz w:val="18"/>
          <w:szCs w:val="18"/>
        </w:rPr>
        <w:t>Elaboración propia</w:t>
      </w:r>
      <w:r w:rsidRPr="00B450EB">
        <w:rPr>
          <w:sz w:val="18"/>
          <w:szCs w:val="18"/>
        </w:rPr>
        <w:t xml:space="preserve"> a partir de SIB, 2025</w:t>
      </w:r>
      <w:r w:rsidR="000B7264" w:rsidRPr="00B450EB">
        <w:rPr>
          <w:sz w:val="18"/>
          <w:szCs w:val="18"/>
        </w:rPr>
        <w:t>.</w:t>
      </w:r>
    </w:p>
    <w:p w14:paraId="54FF3318" w14:textId="50B379F2" w:rsidR="00640BB5" w:rsidRPr="00B450EB" w:rsidRDefault="06D8CDE2" w:rsidP="00640BB5">
      <w:pPr>
        <w:tabs>
          <w:tab w:val="left" w:pos="5040"/>
        </w:tabs>
        <w:rPr>
          <w:rFonts w:eastAsia="Times New Roman" w:cs="Arial"/>
          <w:kern w:val="0"/>
          <w:lang w:eastAsia="es-CO"/>
          <w14:ligatures w14:val="none"/>
        </w:rPr>
      </w:pPr>
      <w:r w:rsidRPr="00B450EB">
        <w:t>En</w:t>
      </w:r>
      <w:r w:rsidR="00640BB5" w:rsidRPr="00B450EB">
        <w:t xml:space="preserve"> total </w:t>
      </w:r>
      <w:r w:rsidR="2D017461" w:rsidRPr="00B450EB">
        <w:t xml:space="preserve">se registraron </w:t>
      </w:r>
      <w:r w:rsidR="00640BB5" w:rsidRPr="00B450EB">
        <w:rPr>
          <w:b/>
          <w:bCs/>
        </w:rPr>
        <w:t>16</w:t>
      </w:r>
      <w:r w:rsidR="00EE0898" w:rsidRPr="00B450EB">
        <w:rPr>
          <w:b/>
          <w:bCs/>
        </w:rPr>
        <w:t>.</w:t>
      </w:r>
      <w:r w:rsidR="00640BB5" w:rsidRPr="00B450EB">
        <w:rPr>
          <w:b/>
          <w:bCs/>
        </w:rPr>
        <w:t>541</w:t>
      </w:r>
      <w:r w:rsidR="00640BB5" w:rsidRPr="00B450EB">
        <w:rPr>
          <w:b/>
        </w:rPr>
        <w:t xml:space="preserve"> </w:t>
      </w:r>
      <w:r w:rsidR="00640BB5" w:rsidRPr="00B450EB">
        <w:t xml:space="preserve">especies reportados en el SIB Colombia, </w:t>
      </w:r>
      <w:r w:rsidR="7BCAD2CE" w:rsidRPr="00B450EB">
        <w:t>l</w:t>
      </w:r>
      <w:r w:rsidR="4DD86C97" w:rsidRPr="00B450EB">
        <w:t>a</w:t>
      </w:r>
      <w:r w:rsidR="7BCAD2CE" w:rsidRPr="00B450EB">
        <w:t xml:space="preserve">s cuales </w:t>
      </w:r>
      <w:r w:rsidR="66EEC86E" w:rsidRPr="00B450EB">
        <w:t>están</w:t>
      </w:r>
      <w:r w:rsidR="7BCAD2CE" w:rsidRPr="00B450EB">
        <w:t xml:space="preserve"> distribuidas</w:t>
      </w:r>
      <w:r w:rsidR="00640BB5" w:rsidRPr="00B450EB">
        <w:t xml:space="preserve"> en los </w:t>
      </w:r>
      <w:r w:rsidR="2A1E05B8" w:rsidRPr="00B450EB">
        <w:t>distintos</w:t>
      </w:r>
      <w:r w:rsidR="00640BB5" w:rsidRPr="00B450EB">
        <w:t xml:space="preserve"> departamentos del </w:t>
      </w:r>
      <w:r w:rsidR="313E8C95" w:rsidRPr="00B450EB">
        <w:t xml:space="preserve">bioma </w:t>
      </w:r>
      <w:r w:rsidR="57FE62AE" w:rsidRPr="00B450EB">
        <w:t>amazónico</w:t>
      </w:r>
      <w:r w:rsidR="7746638D" w:rsidRPr="00B450EB">
        <w:t>, l</w:t>
      </w:r>
      <w:r w:rsidR="313E8C95" w:rsidRPr="00B450EB">
        <w:t xml:space="preserve">a </w:t>
      </w:r>
      <w:r w:rsidR="4418550F" w:rsidRPr="00B450EB">
        <w:t>información</w:t>
      </w:r>
      <w:r w:rsidR="313E8C95" w:rsidRPr="00B450EB">
        <w:t xml:space="preserve"> detallada</w:t>
      </w:r>
      <w:r w:rsidR="00640BB5" w:rsidRPr="00B450EB">
        <w:t xml:space="preserve"> se </w:t>
      </w:r>
      <w:r w:rsidR="313E8C95" w:rsidRPr="00B450EB">
        <w:t>presenta</w:t>
      </w:r>
      <w:r w:rsidR="00640BB5" w:rsidRPr="00B450EB">
        <w:t xml:space="preserve"> en la </w:t>
      </w:r>
      <w:r w:rsidR="00016B97" w:rsidRPr="00B450EB">
        <w:t xml:space="preserve">siguiente </w:t>
      </w:r>
      <w:r w:rsidR="009F02FA" w:rsidRPr="00B450EB">
        <w:t>Tabla</w:t>
      </w:r>
      <w:r w:rsidR="00640BB5" w:rsidRPr="00B450EB">
        <w:rPr>
          <w:rFonts w:eastAsia="Times New Roman" w:cs="Arial"/>
          <w:kern w:val="0"/>
          <w:lang w:eastAsia="es-CO"/>
          <w14:ligatures w14:val="none"/>
        </w:rPr>
        <w:t>.</w:t>
      </w:r>
    </w:p>
    <w:p w14:paraId="5D5809E4" w14:textId="50343EF1" w:rsidR="00640BB5" w:rsidRPr="00B450EB" w:rsidRDefault="00640BB5" w:rsidP="00377AD7">
      <w:pPr>
        <w:pStyle w:val="Descripcin"/>
        <w:rPr>
          <w:color w:val="auto"/>
        </w:rPr>
      </w:pPr>
      <w:bookmarkStart w:id="82" w:name="_Ref208391931"/>
      <w:bookmarkStart w:id="83" w:name="_Toc209722991"/>
      <w:r w:rsidRPr="00B450EB">
        <w:rPr>
          <w:color w:val="auto"/>
        </w:rPr>
        <w:t xml:space="preserve">Tabla </w:t>
      </w:r>
      <w:r w:rsidRPr="00B450EB">
        <w:rPr>
          <w:color w:val="auto"/>
        </w:rPr>
        <w:fldChar w:fldCharType="begin"/>
      </w:r>
      <w:r w:rsidRPr="00B450EB">
        <w:rPr>
          <w:i w:val="0"/>
          <w:color w:val="auto"/>
        </w:rPr>
        <w:instrText xml:space="preserve"> SEQ Tabla \* ARABIC </w:instrText>
      </w:r>
      <w:r w:rsidRPr="00B450EB">
        <w:rPr>
          <w:color w:val="auto"/>
        </w:rPr>
        <w:fldChar w:fldCharType="separate"/>
      </w:r>
      <w:r w:rsidR="009765C2" w:rsidRPr="00B450EB">
        <w:rPr>
          <w:i w:val="0"/>
          <w:noProof/>
          <w:color w:val="auto"/>
        </w:rPr>
        <w:t>8</w:t>
      </w:r>
      <w:r w:rsidRPr="00B450EB">
        <w:rPr>
          <w:color w:val="auto"/>
        </w:rPr>
        <w:fldChar w:fldCharType="end"/>
      </w:r>
      <w:bookmarkEnd w:id="82"/>
      <w:r w:rsidRPr="00B450EB">
        <w:rPr>
          <w:color w:val="auto"/>
        </w:rPr>
        <w:t xml:space="preserve">. </w:t>
      </w:r>
      <w:bookmarkStart w:id="84" w:name="_Ref208391904"/>
      <w:r w:rsidRPr="00B450EB">
        <w:rPr>
          <w:color w:val="auto"/>
        </w:rPr>
        <w:t>Número de especies por departamento</w:t>
      </w:r>
      <w:bookmarkEnd w:id="83"/>
      <w:bookmarkEnd w:id="84"/>
    </w:p>
    <w:tbl>
      <w:tblPr>
        <w:tblW w:w="3823" w:type="dxa"/>
        <w:jc w:val="center"/>
        <w:tblCellMar>
          <w:left w:w="70" w:type="dxa"/>
          <w:right w:w="70" w:type="dxa"/>
        </w:tblCellMar>
        <w:tblLook w:val="04A0" w:firstRow="1" w:lastRow="0" w:firstColumn="1" w:lastColumn="0" w:noHBand="0" w:noVBand="1"/>
      </w:tblPr>
      <w:tblGrid>
        <w:gridCol w:w="1459"/>
        <w:gridCol w:w="2364"/>
      </w:tblGrid>
      <w:tr w:rsidR="00EF1937" w:rsidRPr="00B450EB" w14:paraId="17B61F99" w14:textId="77777777" w:rsidTr="00F24545">
        <w:trPr>
          <w:trHeight w:val="288"/>
          <w:tblHeader/>
          <w:jc w:val="center"/>
        </w:trPr>
        <w:tc>
          <w:tcPr>
            <w:tcW w:w="1459" w:type="dxa"/>
            <w:tcBorders>
              <w:top w:val="single" w:sz="4" w:space="0" w:color="auto"/>
              <w:left w:val="single" w:sz="4" w:space="0" w:color="auto"/>
              <w:bottom w:val="single" w:sz="4" w:space="0" w:color="auto"/>
              <w:right w:val="single" w:sz="4" w:space="0" w:color="auto"/>
            </w:tcBorders>
            <w:shd w:val="clear" w:color="auto" w:fill="D9F2D0" w:themeFill="accent6" w:themeFillTint="33"/>
            <w:noWrap/>
            <w:vAlign w:val="center"/>
            <w:hideMark/>
          </w:tcPr>
          <w:p w14:paraId="1580586E"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Departamento</w:t>
            </w:r>
          </w:p>
        </w:tc>
        <w:tc>
          <w:tcPr>
            <w:tcW w:w="2364"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77CD3D50" w14:textId="77777777" w:rsidR="00640BB5" w:rsidRPr="00B450EB" w:rsidRDefault="00640BB5">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Número de especie</w:t>
            </w:r>
          </w:p>
        </w:tc>
      </w:tr>
      <w:tr w:rsidR="00EF1937" w:rsidRPr="00B450EB" w14:paraId="0BB20CAB" w14:textId="77777777">
        <w:trPr>
          <w:trHeight w:val="288"/>
          <w:jc w:val="center"/>
        </w:trPr>
        <w:tc>
          <w:tcPr>
            <w:tcW w:w="1459" w:type="dxa"/>
            <w:tcBorders>
              <w:top w:val="nil"/>
              <w:left w:val="single" w:sz="4" w:space="0" w:color="auto"/>
              <w:bottom w:val="single" w:sz="4" w:space="0" w:color="auto"/>
              <w:right w:val="single" w:sz="4" w:space="0" w:color="auto"/>
            </w:tcBorders>
            <w:noWrap/>
            <w:vAlign w:val="bottom"/>
            <w:hideMark/>
          </w:tcPr>
          <w:p w14:paraId="40E6FC09"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Amazonas</w:t>
            </w:r>
          </w:p>
        </w:tc>
        <w:tc>
          <w:tcPr>
            <w:tcW w:w="2364" w:type="dxa"/>
            <w:tcBorders>
              <w:top w:val="nil"/>
              <w:left w:val="nil"/>
              <w:bottom w:val="single" w:sz="4" w:space="0" w:color="auto"/>
              <w:right w:val="single" w:sz="4" w:space="0" w:color="auto"/>
            </w:tcBorders>
            <w:noWrap/>
            <w:vAlign w:val="bottom"/>
            <w:hideMark/>
          </w:tcPr>
          <w:p w14:paraId="785FBBBC" w14:textId="310D874A"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w:t>
            </w:r>
            <w:r w:rsidR="009F02FA" w:rsidRPr="00B450EB">
              <w:rPr>
                <w:rFonts w:eastAsia="Times New Roman" w:cs="Arial"/>
                <w:kern w:val="0"/>
                <w:sz w:val="18"/>
                <w:szCs w:val="18"/>
                <w:lang w:eastAsia="es-CO"/>
                <w14:ligatures w14:val="none"/>
              </w:rPr>
              <w:t>.</w:t>
            </w:r>
            <w:r w:rsidRPr="00B450EB">
              <w:rPr>
                <w:rFonts w:eastAsia="Times New Roman" w:cs="Arial"/>
                <w:kern w:val="0"/>
                <w:sz w:val="18"/>
                <w:szCs w:val="18"/>
                <w:lang w:eastAsia="es-CO"/>
                <w14:ligatures w14:val="none"/>
              </w:rPr>
              <w:t>266</w:t>
            </w:r>
          </w:p>
        </w:tc>
      </w:tr>
      <w:tr w:rsidR="00EF1937" w:rsidRPr="00B450EB" w14:paraId="41E426D8" w14:textId="77777777">
        <w:trPr>
          <w:trHeight w:val="288"/>
          <w:jc w:val="center"/>
        </w:trPr>
        <w:tc>
          <w:tcPr>
            <w:tcW w:w="1459" w:type="dxa"/>
            <w:tcBorders>
              <w:top w:val="nil"/>
              <w:left w:val="single" w:sz="4" w:space="0" w:color="auto"/>
              <w:bottom w:val="single" w:sz="4" w:space="0" w:color="auto"/>
              <w:right w:val="single" w:sz="4" w:space="0" w:color="auto"/>
            </w:tcBorders>
            <w:noWrap/>
            <w:vAlign w:val="bottom"/>
            <w:hideMark/>
          </w:tcPr>
          <w:p w14:paraId="489CA8DA"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Caquetá</w:t>
            </w:r>
          </w:p>
        </w:tc>
        <w:tc>
          <w:tcPr>
            <w:tcW w:w="2364" w:type="dxa"/>
            <w:tcBorders>
              <w:top w:val="nil"/>
              <w:left w:val="nil"/>
              <w:bottom w:val="single" w:sz="4" w:space="0" w:color="auto"/>
              <w:right w:val="single" w:sz="4" w:space="0" w:color="auto"/>
            </w:tcBorders>
            <w:noWrap/>
            <w:vAlign w:val="bottom"/>
            <w:hideMark/>
          </w:tcPr>
          <w:p w14:paraId="3D069DE5" w14:textId="2D4AB002"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w:t>
            </w:r>
            <w:r w:rsidR="009F02FA" w:rsidRPr="00B450EB">
              <w:rPr>
                <w:rFonts w:eastAsia="Times New Roman" w:cs="Arial"/>
                <w:kern w:val="0"/>
                <w:sz w:val="18"/>
                <w:szCs w:val="18"/>
                <w:lang w:eastAsia="es-CO"/>
                <w14:ligatures w14:val="none"/>
              </w:rPr>
              <w:t>.</w:t>
            </w:r>
            <w:r w:rsidRPr="00B450EB">
              <w:rPr>
                <w:rFonts w:eastAsia="Times New Roman" w:cs="Arial"/>
                <w:kern w:val="0"/>
                <w:sz w:val="18"/>
                <w:szCs w:val="18"/>
                <w:lang w:eastAsia="es-CO"/>
                <w14:ligatures w14:val="none"/>
              </w:rPr>
              <w:t>472</w:t>
            </w:r>
          </w:p>
        </w:tc>
      </w:tr>
      <w:tr w:rsidR="00EF1937" w:rsidRPr="00B450EB" w14:paraId="66695C11" w14:textId="77777777">
        <w:trPr>
          <w:trHeight w:val="288"/>
          <w:jc w:val="center"/>
        </w:trPr>
        <w:tc>
          <w:tcPr>
            <w:tcW w:w="1459" w:type="dxa"/>
            <w:tcBorders>
              <w:top w:val="nil"/>
              <w:left w:val="single" w:sz="4" w:space="0" w:color="auto"/>
              <w:bottom w:val="single" w:sz="4" w:space="0" w:color="auto"/>
              <w:right w:val="single" w:sz="4" w:space="0" w:color="auto"/>
            </w:tcBorders>
            <w:noWrap/>
            <w:vAlign w:val="bottom"/>
            <w:hideMark/>
          </w:tcPr>
          <w:p w14:paraId="68B2FF5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Cauca</w:t>
            </w:r>
          </w:p>
        </w:tc>
        <w:tc>
          <w:tcPr>
            <w:tcW w:w="2364" w:type="dxa"/>
            <w:tcBorders>
              <w:top w:val="nil"/>
              <w:left w:val="nil"/>
              <w:bottom w:val="single" w:sz="4" w:space="0" w:color="auto"/>
              <w:right w:val="single" w:sz="4" w:space="0" w:color="auto"/>
            </w:tcBorders>
            <w:noWrap/>
            <w:vAlign w:val="bottom"/>
            <w:hideMark/>
          </w:tcPr>
          <w:p w14:paraId="35FA8266" w14:textId="254EFEAA"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w:t>
            </w:r>
            <w:r w:rsidR="009F02FA" w:rsidRPr="00B450EB">
              <w:rPr>
                <w:rFonts w:eastAsia="Times New Roman" w:cs="Arial"/>
                <w:kern w:val="0"/>
                <w:sz w:val="18"/>
                <w:szCs w:val="18"/>
                <w:lang w:eastAsia="es-CO"/>
                <w14:ligatures w14:val="none"/>
              </w:rPr>
              <w:t>.</w:t>
            </w:r>
            <w:r w:rsidRPr="00B450EB">
              <w:rPr>
                <w:rFonts w:eastAsia="Times New Roman" w:cs="Arial"/>
                <w:kern w:val="0"/>
                <w:sz w:val="18"/>
                <w:szCs w:val="18"/>
                <w:lang w:eastAsia="es-CO"/>
                <w14:ligatures w14:val="none"/>
              </w:rPr>
              <w:t>496</w:t>
            </w:r>
          </w:p>
        </w:tc>
      </w:tr>
      <w:tr w:rsidR="00EF1937" w:rsidRPr="00B450EB" w14:paraId="4F4681FE" w14:textId="77777777">
        <w:trPr>
          <w:trHeight w:val="288"/>
          <w:jc w:val="center"/>
        </w:trPr>
        <w:tc>
          <w:tcPr>
            <w:tcW w:w="1459" w:type="dxa"/>
            <w:tcBorders>
              <w:top w:val="nil"/>
              <w:left w:val="single" w:sz="4" w:space="0" w:color="auto"/>
              <w:bottom w:val="single" w:sz="4" w:space="0" w:color="auto"/>
              <w:right w:val="single" w:sz="4" w:space="0" w:color="auto"/>
            </w:tcBorders>
            <w:noWrap/>
            <w:vAlign w:val="bottom"/>
            <w:hideMark/>
          </w:tcPr>
          <w:p w14:paraId="72FDF048"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Guainía</w:t>
            </w:r>
          </w:p>
        </w:tc>
        <w:tc>
          <w:tcPr>
            <w:tcW w:w="2364" w:type="dxa"/>
            <w:tcBorders>
              <w:top w:val="nil"/>
              <w:left w:val="nil"/>
              <w:bottom w:val="single" w:sz="4" w:space="0" w:color="auto"/>
              <w:right w:val="single" w:sz="4" w:space="0" w:color="auto"/>
            </w:tcBorders>
            <w:noWrap/>
            <w:vAlign w:val="bottom"/>
            <w:hideMark/>
          </w:tcPr>
          <w:p w14:paraId="12F800E1" w14:textId="628C939A"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r w:rsidR="009F02FA" w:rsidRPr="00B450EB">
              <w:rPr>
                <w:rFonts w:eastAsia="Times New Roman" w:cs="Arial"/>
                <w:kern w:val="0"/>
                <w:sz w:val="18"/>
                <w:szCs w:val="18"/>
                <w:lang w:eastAsia="es-CO"/>
                <w14:ligatures w14:val="none"/>
              </w:rPr>
              <w:t>.</w:t>
            </w:r>
            <w:r w:rsidRPr="00B450EB">
              <w:rPr>
                <w:rFonts w:eastAsia="Times New Roman" w:cs="Arial"/>
                <w:kern w:val="0"/>
                <w:sz w:val="18"/>
                <w:szCs w:val="18"/>
                <w:lang w:eastAsia="es-CO"/>
                <w14:ligatures w14:val="none"/>
              </w:rPr>
              <w:t>577</w:t>
            </w:r>
          </w:p>
        </w:tc>
      </w:tr>
      <w:tr w:rsidR="00EF1937" w:rsidRPr="00B450EB" w14:paraId="43448951" w14:textId="77777777">
        <w:trPr>
          <w:trHeight w:val="288"/>
          <w:jc w:val="center"/>
        </w:trPr>
        <w:tc>
          <w:tcPr>
            <w:tcW w:w="1459" w:type="dxa"/>
            <w:tcBorders>
              <w:top w:val="nil"/>
              <w:left w:val="single" w:sz="4" w:space="0" w:color="auto"/>
              <w:bottom w:val="single" w:sz="4" w:space="0" w:color="auto"/>
              <w:right w:val="single" w:sz="4" w:space="0" w:color="auto"/>
            </w:tcBorders>
            <w:noWrap/>
            <w:vAlign w:val="bottom"/>
            <w:hideMark/>
          </w:tcPr>
          <w:p w14:paraId="5EF5C756"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Guaviare</w:t>
            </w:r>
          </w:p>
        </w:tc>
        <w:tc>
          <w:tcPr>
            <w:tcW w:w="2364" w:type="dxa"/>
            <w:tcBorders>
              <w:top w:val="nil"/>
              <w:left w:val="nil"/>
              <w:bottom w:val="single" w:sz="4" w:space="0" w:color="auto"/>
              <w:right w:val="single" w:sz="4" w:space="0" w:color="auto"/>
            </w:tcBorders>
            <w:noWrap/>
            <w:vAlign w:val="bottom"/>
            <w:hideMark/>
          </w:tcPr>
          <w:p w14:paraId="15ED14D2" w14:textId="46075E9A"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r w:rsidR="009F02FA" w:rsidRPr="00B450EB">
              <w:rPr>
                <w:rFonts w:eastAsia="Times New Roman" w:cs="Arial"/>
                <w:kern w:val="0"/>
                <w:sz w:val="18"/>
                <w:szCs w:val="18"/>
                <w:lang w:eastAsia="es-CO"/>
                <w14:ligatures w14:val="none"/>
              </w:rPr>
              <w:t>.</w:t>
            </w:r>
            <w:r w:rsidRPr="00B450EB">
              <w:rPr>
                <w:rFonts w:eastAsia="Times New Roman" w:cs="Arial"/>
                <w:kern w:val="0"/>
                <w:sz w:val="18"/>
                <w:szCs w:val="18"/>
                <w:lang w:eastAsia="es-CO"/>
                <w14:ligatures w14:val="none"/>
              </w:rPr>
              <w:t>814</w:t>
            </w:r>
          </w:p>
        </w:tc>
      </w:tr>
      <w:tr w:rsidR="00EF1937" w:rsidRPr="00B450EB" w14:paraId="51075F92" w14:textId="77777777">
        <w:trPr>
          <w:trHeight w:val="288"/>
          <w:jc w:val="center"/>
        </w:trPr>
        <w:tc>
          <w:tcPr>
            <w:tcW w:w="1459" w:type="dxa"/>
            <w:tcBorders>
              <w:top w:val="nil"/>
              <w:left w:val="single" w:sz="4" w:space="0" w:color="auto"/>
              <w:bottom w:val="single" w:sz="4" w:space="0" w:color="auto"/>
              <w:right w:val="single" w:sz="4" w:space="0" w:color="auto"/>
            </w:tcBorders>
            <w:noWrap/>
            <w:vAlign w:val="bottom"/>
            <w:hideMark/>
          </w:tcPr>
          <w:p w14:paraId="3754B7C7"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Meta</w:t>
            </w:r>
          </w:p>
        </w:tc>
        <w:tc>
          <w:tcPr>
            <w:tcW w:w="2364" w:type="dxa"/>
            <w:tcBorders>
              <w:top w:val="nil"/>
              <w:left w:val="nil"/>
              <w:bottom w:val="single" w:sz="4" w:space="0" w:color="auto"/>
              <w:right w:val="single" w:sz="4" w:space="0" w:color="auto"/>
            </w:tcBorders>
            <w:noWrap/>
            <w:vAlign w:val="bottom"/>
            <w:hideMark/>
          </w:tcPr>
          <w:p w14:paraId="481B0E7B" w14:textId="23C503C0"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w:t>
            </w:r>
            <w:r w:rsidR="009F02FA" w:rsidRPr="00B450EB">
              <w:rPr>
                <w:rFonts w:eastAsia="Times New Roman" w:cs="Arial"/>
                <w:kern w:val="0"/>
                <w:sz w:val="18"/>
                <w:szCs w:val="18"/>
                <w:lang w:eastAsia="es-CO"/>
                <w14:ligatures w14:val="none"/>
              </w:rPr>
              <w:t>.</w:t>
            </w:r>
            <w:r w:rsidRPr="00B450EB">
              <w:rPr>
                <w:rFonts w:eastAsia="Times New Roman" w:cs="Arial"/>
                <w:kern w:val="0"/>
                <w:sz w:val="18"/>
                <w:szCs w:val="18"/>
                <w:lang w:eastAsia="es-CO"/>
                <w14:ligatures w14:val="none"/>
              </w:rPr>
              <w:t>639</w:t>
            </w:r>
          </w:p>
        </w:tc>
      </w:tr>
      <w:tr w:rsidR="00EF1937" w:rsidRPr="00B450EB" w14:paraId="0BC9270F" w14:textId="77777777">
        <w:trPr>
          <w:trHeight w:val="288"/>
          <w:jc w:val="center"/>
        </w:trPr>
        <w:tc>
          <w:tcPr>
            <w:tcW w:w="1459" w:type="dxa"/>
            <w:tcBorders>
              <w:top w:val="nil"/>
              <w:left w:val="single" w:sz="4" w:space="0" w:color="auto"/>
              <w:bottom w:val="single" w:sz="4" w:space="0" w:color="auto"/>
              <w:right w:val="single" w:sz="4" w:space="0" w:color="auto"/>
            </w:tcBorders>
            <w:noWrap/>
            <w:vAlign w:val="bottom"/>
            <w:hideMark/>
          </w:tcPr>
          <w:p w14:paraId="22EA4A8B"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Nariño</w:t>
            </w:r>
          </w:p>
        </w:tc>
        <w:tc>
          <w:tcPr>
            <w:tcW w:w="2364" w:type="dxa"/>
            <w:tcBorders>
              <w:top w:val="nil"/>
              <w:left w:val="nil"/>
              <w:bottom w:val="single" w:sz="4" w:space="0" w:color="auto"/>
              <w:right w:val="single" w:sz="4" w:space="0" w:color="auto"/>
            </w:tcBorders>
            <w:noWrap/>
            <w:vAlign w:val="bottom"/>
            <w:hideMark/>
          </w:tcPr>
          <w:p w14:paraId="113A7C8F" w14:textId="582DB35E"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r w:rsidR="009F02FA" w:rsidRPr="00B450EB">
              <w:rPr>
                <w:rFonts w:eastAsia="Times New Roman" w:cs="Arial"/>
                <w:kern w:val="0"/>
                <w:sz w:val="18"/>
                <w:szCs w:val="18"/>
                <w:lang w:eastAsia="es-CO"/>
                <w14:ligatures w14:val="none"/>
              </w:rPr>
              <w:t>.</w:t>
            </w:r>
            <w:r w:rsidRPr="00B450EB">
              <w:rPr>
                <w:rFonts w:eastAsia="Times New Roman" w:cs="Arial"/>
                <w:kern w:val="0"/>
                <w:sz w:val="18"/>
                <w:szCs w:val="18"/>
                <w:lang w:eastAsia="es-CO"/>
                <w14:ligatures w14:val="none"/>
              </w:rPr>
              <w:t>718</w:t>
            </w:r>
          </w:p>
        </w:tc>
      </w:tr>
      <w:tr w:rsidR="00EF1937" w:rsidRPr="00B450EB" w14:paraId="3118A57F" w14:textId="77777777">
        <w:trPr>
          <w:trHeight w:val="288"/>
          <w:jc w:val="center"/>
        </w:trPr>
        <w:tc>
          <w:tcPr>
            <w:tcW w:w="1459" w:type="dxa"/>
            <w:tcBorders>
              <w:top w:val="nil"/>
              <w:left w:val="single" w:sz="4" w:space="0" w:color="auto"/>
              <w:bottom w:val="single" w:sz="4" w:space="0" w:color="auto"/>
              <w:right w:val="single" w:sz="4" w:space="0" w:color="auto"/>
            </w:tcBorders>
            <w:noWrap/>
            <w:vAlign w:val="bottom"/>
            <w:hideMark/>
          </w:tcPr>
          <w:p w14:paraId="3EEC2B4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Putumayo</w:t>
            </w:r>
          </w:p>
        </w:tc>
        <w:tc>
          <w:tcPr>
            <w:tcW w:w="2364" w:type="dxa"/>
            <w:tcBorders>
              <w:top w:val="nil"/>
              <w:left w:val="nil"/>
              <w:bottom w:val="single" w:sz="4" w:space="0" w:color="auto"/>
              <w:right w:val="single" w:sz="4" w:space="0" w:color="auto"/>
            </w:tcBorders>
            <w:noWrap/>
            <w:vAlign w:val="bottom"/>
            <w:hideMark/>
          </w:tcPr>
          <w:p w14:paraId="054487C1" w14:textId="6C46F616"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r w:rsidR="009F02FA" w:rsidRPr="00B450EB">
              <w:rPr>
                <w:rFonts w:eastAsia="Times New Roman" w:cs="Arial"/>
                <w:kern w:val="0"/>
                <w:sz w:val="18"/>
                <w:szCs w:val="18"/>
                <w:lang w:eastAsia="es-CO"/>
                <w14:ligatures w14:val="none"/>
              </w:rPr>
              <w:t>.</w:t>
            </w:r>
            <w:r w:rsidRPr="00B450EB">
              <w:rPr>
                <w:rFonts w:eastAsia="Times New Roman" w:cs="Arial"/>
                <w:kern w:val="0"/>
                <w:sz w:val="18"/>
                <w:szCs w:val="18"/>
                <w:lang w:eastAsia="es-CO"/>
                <w14:ligatures w14:val="none"/>
              </w:rPr>
              <w:t>437</w:t>
            </w:r>
          </w:p>
        </w:tc>
      </w:tr>
      <w:tr w:rsidR="00EF1937" w:rsidRPr="00B450EB" w14:paraId="5F1E3AC2" w14:textId="77777777">
        <w:trPr>
          <w:trHeight w:val="288"/>
          <w:jc w:val="center"/>
        </w:trPr>
        <w:tc>
          <w:tcPr>
            <w:tcW w:w="1459" w:type="dxa"/>
            <w:tcBorders>
              <w:top w:val="nil"/>
              <w:left w:val="single" w:sz="4" w:space="0" w:color="auto"/>
              <w:bottom w:val="single" w:sz="4" w:space="0" w:color="auto"/>
              <w:right w:val="single" w:sz="4" w:space="0" w:color="auto"/>
            </w:tcBorders>
            <w:noWrap/>
            <w:vAlign w:val="bottom"/>
            <w:hideMark/>
          </w:tcPr>
          <w:p w14:paraId="1991BD53" w14:textId="77777777"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Vaupés</w:t>
            </w:r>
          </w:p>
        </w:tc>
        <w:tc>
          <w:tcPr>
            <w:tcW w:w="2364" w:type="dxa"/>
            <w:tcBorders>
              <w:top w:val="nil"/>
              <w:left w:val="nil"/>
              <w:bottom w:val="single" w:sz="4" w:space="0" w:color="auto"/>
              <w:right w:val="single" w:sz="4" w:space="0" w:color="auto"/>
            </w:tcBorders>
            <w:noWrap/>
            <w:vAlign w:val="bottom"/>
            <w:hideMark/>
          </w:tcPr>
          <w:p w14:paraId="0718D7DF" w14:textId="795B9B21" w:rsidR="00640BB5" w:rsidRPr="00B450EB" w:rsidRDefault="00640BB5">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r w:rsidR="009F02FA" w:rsidRPr="00B450EB">
              <w:rPr>
                <w:rFonts w:eastAsia="Times New Roman" w:cs="Arial"/>
                <w:kern w:val="0"/>
                <w:sz w:val="18"/>
                <w:szCs w:val="18"/>
                <w:lang w:eastAsia="es-CO"/>
                <w14:ligatures w14:val="none"/>
              </w:rPr>
              <w:t>.</w:t>
            </w:r>
            <w:r w:rsidRPr="00B450EB">
              <w:rPr>
                <w:rFonts w:eastAsia="Times New Roman" w:cs="Arial"/>
                <w:kern w:val="0"/>
                <w:sz w:val="18"/>
                <w:szCs w:val="18"/>
                <w:lang w:eastAsia="es-CO"/>
                <w14:ligatures w14:val="none"/>
              </w:rPr>
              <w:t>437</w:t>
            </w:r>
          </w:p>
        </w:tc>
      </w:tr>
    </w:tbl>
    <w:p w14:paraId="5CF7F5B5" w14:textId="37E3B0AB" w:rsidR="00640BB5" w:rsidRPr="00B450EB" w:rsidRDefault="00640BB5" w:rsidP="00DB4EFD">
      <w:pPr>
        <w:tabs>
          <w:tab w:val="left" w:pos="5040"/>
        </w:tabs>
        <w:jc w:val="center"/>
        <w:rPr>
          <w:sz w:val="18"/>
          <w:szCs w:val="18"/>
        </w:rPr>
      </w:pPr>
      <w:r w:rsidRPr="00B450EB">
        <w:rPr>
          <w:sz w:val="18"/>
          <w:szCs w:val="18"/>
        </w:rPr>
        <w:t xml:space="preserve">Fuente: </w:t>
      </w:r>
      <w:r w:rsidR="00C951FE" w:rsidRPr="00B450EB">
        <w:rPr>
          <w:sz w:val="18"/>
          <w:szCs w:val="18"/>
        </w:rPr>
        <w:t>Elaboración propia</w:t>
      </w:r>
      <w:r w:rsidRPr="00B450EB">
        <w:rPr>
          <w:sz w:val="18"/>
          <w:szCs w:val="18"/>
        </w:rPr>
        <w:t xml:space="preserve"> a partir de SIB, 2025</w:t>
      </w:r>
      <w:r w:rsidR="003F3DF3" w:rsidRPr="00B450EB">
        <w:rPr>
          <w:sz w:val="18"/>
          <w:szCs w:val="18"/>
        </w:rPr>
        <w:t>.</w:t>
      </w:r>
    </w:p>
    <w:p w14:paraId="2B7EB3ED" w14:textId="77777777" w:rsidR="009F02FA" w:rsidRPr="00B450EB" w:rsidRDefault="009F02FA" w:rsidP="00DB4EFD">
      <w:pPr>
        <w:tabs>
          <w:tab w:val="left" w:pos="5040"/>
        </w:tabs>
        <w:jc w:val="center"/>
        <w:rPr>
          <w:sz w:val="18"/>
          <w:szCs w:val="18"/>
        </w:rPr>
      </w:pPr>
    </w:p>
    <w:p w14:paraId="1CA2D056" w14:textId="77777777" w:rsidR="00E81A22" w:rsidRPr="00B450EB" w:rsidRDefault="00E81A22" w:rsidP="00DB4EFD">
      <w:pPr>
        <w:tabs>
          <w:tab w:val="left" w:pos="5040"/>
        </w:tabs>
        <w:jc w:val="center"/>
        <w:rPr>
          <w:sz w:val="18"/>
          <w:szCs w:val="18"/>
        </w:rPr>
      </w:pPr>
    </w:p>
    <w:p w14:paraId="741A2085" w14:textId="77777777" w:rsidR="00E81A22" w:rsidRPr="00B450EB" w:rsidRDefault="00E81A22" w:rsidP="00DB4EFD">
      <w:pPr>
        <w:tabs>
          <w:tab w:val="left" w:pos="5040"/>
        </w:tabs>
        <w:jc w:val="center"/>
        <w:rPr>
          <w:sz w:val="18"/>
          <w:szCs w:val="18"/>
        </w:rPr>
      </w:pPr>
    </w:p>
    <w:p w14:paraId="550B5445" w14:textId="0A3622DA" w:rsidR="00EB3741" w:rsidRPr="00B450EB" w:rsidRDefault="00EB3741" w:rsidP="00EB3741">
      <w:pPr>
        <w:rPr>
          <w:i/>
          <w:u w:val="single"/>
        </w:rPr>
      </w:pPr>
      <w:r w:rsidRPr="00B450EB">
        <w:rPr>
          <w:i/>
          <w:u w:val="single"/>
        </w:rPr>
        <w:lastRenderedPageBreak/>
        <w:t>Flora endémica</w:t>
      </w:r>
    </w:p>
    <w:p w14:paraId="01B2F622" w14:textId="17F4C9B5" w:rsidR="00DB4EFD" w:rsidRPr="00B450EB" w:rsidRDefault="00EB3741" w:rsidP="00D05DF1">
      <w:r w:rsidRPr="00B450EB">
        <w:t>De acuerdo con el SINCHI</w:t>
      </w:r>
      <w:r w:rsidR="001D7017" w:rsidRPr="00B450EB">
        <w:t xml:space="preserve"> (2019)</w:t>
      </w:r>
      <w:r w:rsidRPr="00B450EB">
        <w:t xml:space="preserve">, en la Amazonia colombiana sobresalen </w:t>
      </w:r>
      <w:r w:rsidRPr="00B450EB">
        <w:rPr>
          <w:b/>
        </w:rPr>
        <w:t>280 especies endémicas</w:t>
      </w:r>
      <w:r w:rsidRPr="00B450EB">
        <w:t xml:space="preserve">, las cuales están agrupadas en 68 familias y 185 géneros. Las familias con mayor número de especies son </w:t>
      </w:r>
      <w:proofErr w:type="spellStart"/>
      <w:r w:rsidRPr="00B450EB">
        <w:t>Orchidaceae</w:t>
      </w:r>
      <w:proofErr w:type="spellEnd"/>
      <w:r w:rsidRPr="00B450EB">
        <w:t xml:space="preserve"> (35), </w:t>
      </w:r>
      <w:proofErr w:type="spellStart"/>
      <w:r w:rsidRPr="00B450EB">
        <w:t>Bromeliaceae</w:t>
      </w:r>
      <w:proofErr w:type="spellEnd"/>
      <w:r w:rsidRPr="00B450EB">
        <w:t xml:space="preserve"> (25), </w:t>
      </w:r>
      <w:proofErr w:type="spellStart"/>
      <w:r w:rsidRPr="00B450EB">
        <w:t>Acanthaceae</w:t>
      </w:r>
      <w:proofErr w:type="spellEnd"/>
      <w:r w:rsidRPr="00B450EB">
        <w:t xml:space="preserve"> (25), </w:t>
      </w:r>
      <w:proofErr w:type="spellStart"/>
      <w:r w:rsidRPr="00B450EB">
        <w:t>Fabaceae</w:t>
      </w:r>
      <w:proofErr w:type="spellEnd"/>
      <w:r w:rsidRPr="00B450EB">
        <w:t xml:space="preserve"> (16), </w:t>
      </w:r>
      <w:proofErr w:type="spellStart"/>
      <w:r w:rsidRPr="00B450EB">
        <w:t>Melastomataceae</w:t>
      </w:r>
      <w:proofErr w:type="spellEnd"/>
      <w:r w:rsidRPr="00B450EB">
        <w:t xml:space="preserve"> (14), </w:t>
      </w:r>
      <w:proofErr w:type="spellStart"/>
      <w:r w:rsidRPr="00B450EB">
        <w:t>Piperaceae</w:t>
      </w:r>
      <w:proofErr w:type="spellEnd"/>
      <w:r w:rsidRPr="00B450EB">
        <w:t xml:space="preserve"> (13) y </w:t>
      </w:r>
      <w:proofErr w:type="spellStart"/>
      <w:r w:rsidRPr="00B450EB">
        <w:t>Araceae</w:t>
      </w:r>
      <w:proofErr w:type="spellEnd"/>
      <w:r w:rsidRPr="00B450EB">
        <w:t xml:space="preserve"> (12). Los géneros con mayor número de especies son </w:t>
      </w:r>
      <w:r w:rsidRPr="00B450EB">
        <w:rPr>
          <w:i/>
        </w:rPr>
        <w:t>Justicia</w:t>
      </w:r>
      <w:r w:rsidRPr="00B450EB">
        <w:t xml:space="preserve"> (12), </w:t>
      </w:r>
      <w:r w:rsidRPr="00B450EB">
        <w:rPr>
          <w:i/>
        </w:rPr>
        <w:t xml:space="preserve">Piper </w:t>
      </w:r>
      <w:r w:rsidRPr="00B450EB">
        <w:t xml:space="preserve">(11), </w:t>
      </w:r>
      <w:r w:rsidRPr="00B450EB">
        <w:rPr>
          <w:i/>
        </w:rPr>
        <w:t>Navia</w:t>
      </w:r>
      <w:r w:rsidRPr="00B450EB">
        <w:t xml:space="preserve"> (10) y </w:t>
      </w:r>
      <w:proofErr w:type="spellStart"/>
      <w:r w:rsidRPr="00B450EB">
        <w:rPr>
          <w:i/>
        </w:rPr>
        <w:t>Epistephium</w:t>
      </w:r>
      <w:proofErr w:type="spellEnd"/>
      <w:r w:rsidRPr="00B450EB">
        <w:t xml:space="preserve"> (6) (COAH 2020). Algunas de las especies endémicas de la región amazónica son: </w:t>
      </w:r>
      <w:proofErr w:type="spellStart"/>
      <w:r w:rsidRPr="00B450EB">
        <w:rPr>
          <w:i/>
        </w:rPr>
        <w:t>Astrocaryum</w:t>
      </w:r>
      <w:proofErr w:type="spellEnd"/>
      <w:r w:rsidRPr="00B450EB">
        <w:rPr>
          <w:i/>
        </w:rPr>
        <w:t xml:space="preserve"> </w:t>
      </w:r>
      <w:proofErr w:type="spellStart"/>
      <w:r w:rsidRPr="00B450EB">
        <w:rPr>
          <w:i/>
        </w:rPr>
        <w:t>cuatrecasasianum</w:t>
      </w:r>
      <w:proofErr w:type="spellEnd"/>
      <w:r w:rsidRPr="00B450EB">
        <w:rPr>
          <w:i/>
        </w:rPr>
        <w:t xml:space="preserve">, </w:t>
      </w:r>
      <w:proofErr w:type="spellStart"/>
      <w:r w:rsidRPr="00B450EB">
        <w:rPr>
          <w:i/>
        </w:rPr>
        <w:t>Oenocarpus</w:t>
      </w:r>
      <w:proofErr w:type="spellEnd"/>
      <w:r w:rsidRPr="00B450EB">
        <w:rPr>
          <w:i/>
        </w:rPr>
        <w:t xml:space="preserve"> </w:t>
      </w:r>
      <w:proofErr w:type="spellStart"/>
      <w:r w:rsidRPr="00B450EB">
        <w:rPr>
          <w:i/>
        </w:rPr>
        <w:t>circumtextus</w:t>
      </w:r>
      <w:proofErr w:type="spellEnd"/>
      <w:r w:rsidRPr="00B450EB">
        <w:rPr>
          <w:i/>
        </w:rPr>
        <w:t xml:space="preserve">, </w:t>
      </w:r>
      <w:proofErr w:type="spellStart"/>
      <w:r w:rsidRPr="00B450EB">
        <w:rPr>
          <w:i/>
        </w:rPr>
        <w:t>Gongylolepis</w:t>
      </w:r>
      <w:proofErr w:type="spellEnd"/>
      <w:r w:rsidRPr="00B450EB">
        <w:rPr>
          <w:i/>
        </w:rPr>
        <w:t xml:space="preserve"> </w:t>
      </w:r>
      <w:proofErr w:type="spellStart"/>
      <w:r w:rsidRPr="00B450EB">
        <w:rPr>
          <w:i/>
        </w:rPr>
        <w:t>cortesii</w:t>
      </w:r>
      <w:proofErr w:type="spellEnd"/>
      <w:r w:rsidRPr="00B450EB">
        <w:rPr>
          <w:i/>
        </w:rPr>
        <w:t xml:space="preserve">, </w:t>
      </w:r>
      <w:proofErr w:type="spellStart"/>
      <w:r w:rsidRPr="00B450EB">
        <w:rPr>
          <w:i/>
        </w:rPr>
        <w:t>Steyerbromelia</w:t>
      </w:r>
      <w:proofErr w:type="spellEnd"/>
      <w:r w:rsidRPr="00B450EB">
        <w:rPr>
          <w:i/>
        </w:rPr>
        <w:t xml:space="preserve"> </w:t>
      </w:r>
      <w:proofErr w:type="spellStart"/>
      <w:r w:rsidRPr="00B450EB">
        <w:rPr>
          <w:i/>
        </w:rPr>
        <w:t>naquenensis</w:t>
      </w:r>
      <w:proofErr w:type="spellEnd"/>
      <w:r w:rsidRPr="00B450EB">
        <w:rPr>
          <w:i/>
        </w:rPr>
        <w:t xml:space="preserve">, </w:t>
      </w:r>
      <w:proofErr w:type="spellStart"/>
      <w:r w:rsidRPr="00B450EB">
        <w:rPr>
          <w:i/>
        </w:rPr>
        <w:t>Miconia</w:t>
      </w:r>
      <w:proofErr w:type="spellEnd"/>
      <w:r w:rsidRPr="00B450EB">
        <w:rPr>
          <w:i/>
        </w:rPr>
        <w:t xml:space="preserve"> </w:t>
      </w:r>
      <w:proofErr w:type="spellStart"/>
      <w:r w:rsidRPr="00B450EB">
        <w:rPr>
          <w:i/>
        </w:rPr>
        <w:t>daironii</w:t>
      </w:r>
      <w:proofErr w:type="spellEnd"/>
      <w:r w:rsidRPr="00B450EB">
        <w:rPr>
          <w:i/>
        </w:rPr>
        <w:t xml:space="preserve">, </w:t>
      </w:r>
      <w:proofErr w:type="spellStart"/>
      <w:r w:rsidRPr="00B450EB">
        <w:rPr>
          <w:i/>
        </w:rPr>
        <w:t>Schoenocephalium</w:t>
      </w:r>
      <w:proofErr w:type="spellEnd"/>
      <w:r w:rsidRPr="00B450EB">
        <w:rPr>
          <w:i/>
        </w:rPr>
        <w:t xml:space="preserve"> </w:t>
      </w:r>
      <w:proofErr w:type="spellStart"/>
      <w:r w:rsidRPr="00B450EB">
        <w:rPr>
          <w:i/>
        </w:rPr>
        <w:t>martianum</w:t>
      </w:r>
      <w:proofErr w:type="spellEnd"/>
      <w:r w:rsidRPr="00B450EB">
        <w:rPr>
          <w:i/>
        </w:rPr>
        <w:t> </w:t>
      </w:r>
      <w:r w:rsidRPr="00B450EB">
        <w:t>y</w:t>
      </w:r>
      <w:r w:rsidRPr="00B450EB">
        <w:rPr>
          <w:i/>
        </w:rPr>
        <w:t> </w:t>
      </w:r>
      <w:proofErr w:type="spellStart"/>
      <w:r w:rsidRPr="00B450EB">
        <w:rPr>
          <w:i/>
        </w:rPr>
        <w:t>Pseudomonotes</w:t>
      </w:r>
      <w:proofErr w:type="spellEnd"/>
      <w:r w:rsidRPr="00B450EB">
        <w:rPr>
          <w:i/>
        </w:rPr>
        <w:t xml:space="preserve"> </w:t>
      </w:r>
      <w:proofErr w:type="spellStart"/>
      <w:r w:rsidRPr="00B450EB">
        <w:rPr>
          <w:i/>
        </w:rPr>
        <w:t>tropenbosii</w:t>
      </w:r>
      <w:proofErr w:type="spellEnd"/>
      <w:r w:rsidRPr="00B450EB">
        <w:rPr>
          <w:i/>
        </w:rPr>
        <w:t>,</w:t>
      </w:r>
      <w:r w:rsidRPr="00B450EB">
        <w:t xml:space="preserve"> y </w:t>
      </w:r>
      <w:r w:rsidRPr="00B450EB">
        <w:rPr>
          <w:i/>
        </w:rPr>
        <w:t xml:space="preserve">Piper </w:t>
      </w:r>
      <w:proofErr w:type="spellStart"/>
      <w:r w:rsidRPr="00B450EB">
        <w:rPr>
          <w:i/>
        </w:rPr>
        <w:t>cicatriculosum</w:t>
      </w:r>
      <w:proofErr w:type="spellEnd"/>
      <w:r w:rsidRPr="00B450EB">
        <w:t xml:space="preserve"> (</w:t>
      </w:r>
      <w:proofErr w:type="spellStart"/>
      <w:r w:rsidRPr="00B450EB">
        <w:t>Piperaceae</w:t>
      </w:r>
      <w:proofErr w:type="spellEnd"/>
      <w:r w:rsidRPr="00B450EB">
        <w:t>) entre otros. Para algunos centros de endemismos como el de Chiribiquete-Apaporis, estudios para la flora de la cuenca media y alta del río Apaporis (</w:t>
      </w:r>
      <w:r w:rsidR="00076A32" w:rsidRPr="00B450EB">
        <w:t>Osorno-</w:t>
      </w:r>
      <w:r w:rsidR="00371D53" w:rsidRPr="00B450EB">
        <w:t xml:space="preserve">Muñoz </w:t>
      </w:r>
      <w:r w:rsidRPr="00B450EB">
        <w:t xml:space="preserve">2022) reportan 51 especies endémicas de plantas para esa superficie, 45 para la cuenca baja del río </w:t>
      </w:r>
      <w:proofErr w:type="spellStart"/>
      <w:r w:rsidRPr="00B450EB">
        <w:t>Apoporis</w:t>
      </w:r>
      <w:proofErr w:type="spellEnd"/>
      <w:r w:rsidRPr="00B450EB">
        <w:t xml:space="preserve"> (2009) y 67 para el Parque Nacional Natural Serranía de Chiribiquete (</w:t>
      </w:r>
      <w:r w:rsidR="007C35B3" w:rsidRPr="00B450EB">
        <w:t>Cá</w:t>
      </w:r>
      <w:r w:rsidR="00FB6714" w:rsidRPr="00B450EB">
        <w:t xml:space="preserve">rdenas </w:t>
      </w:r>
      <w:r w:rsidR="00FB6714" w:rsidRPr="00B450EB">
        <w:rPr>
          <w:i/>
        </w:rPr>
        <w:t>et al</w:t>
      </w:r>
      <w:r w:rsidR="00FB6714" w:rsidRPr="00B450EB">
        <w:t xml:space="preserve">. </w:t>
      </w:r>
      <w:r w:rsidRPr="00B450EB">
        <w:t xml:space="preserve">2017). </w:t>
      </w:r>
    </w:p>
    <w:p w14:paraId="12E1AF18" w14:textId="775B2D7B" w:rsidR="00477558" w:rsidRPr="00B450EB" w:rsidRDefault="00477558" w:rsidP="00477558">
      <w:pPr>
        <w:rPr>
          <w:i/>
          <w:u w:val="single"/>
        </w:rPr>
      </w:pPr>
      <w:r w:rsidRPr="00B450EB">
        <w:rPr>
          <w:i/>
          <w:u w:val="single"/>
        </w:rPr>
        <w:t>Flora en amenaza</w:t>
      </w:r>
    </w:p>
    <w:p w14:paraId="74964F59" w14:textId="4EC9AC67" w:rsidR="00EB36B4" w:rsidRPr="00B450EB" w:rsidRDefault="00EB36B4" w:rsidP="00EB36B4">
      <w:r w:rsidRPr="00B450EB">
        <w:t>Con respecto a las especies de plantas en alguna categoría de amenaza (CR- En peligro crítico; EN-En peligro; VU-Vulnerable), según el Sistema de Información de Biodiversidad -SIB- seguido de la verificación en la Resolución 0126 de 2024 expedida por el Ministerio de Ambiente y Desarrollo Sostenible (Lista de especies silvestres amenazadas de la diversidad biológica continental y marino-costera de Colombia), para el Bioma Amazónico se registraron 119 especies en alguna categoría de amenaza (</w:t>
      </w:r>
      <w:r w:rsidR="0006312B" w:rsidRPr="00B450EB">
        <w:fldChar w:fldCharType="begin"/>
      </w:r>
      <w:r w:rsidR="0006312B" w:rsidRPr="00B450EB">
        <w:instrText xml:space="preserve"> REF _Ref209065904 \h </w:instrText>
      </w:r>
      <w:r w:rsidR="006E0BC8" w:rsidRPr="00B450EB">
        <w:instrText xml:space="preserve"> \* MERGEFORMAT </w:instrText>
      </w:r>
      <w:r w:rsidR="0006312B" w:rsidRPr="00B450EB">
        <w:fldChar w:fldCharType="separate"/>
      </w:r>
      <w:r w:rsidR="00010D09" w:rsidRPr="00B450EB">
        <w:t xml:space="preserve">Tabla </w:t>
      </w:r>
      <w:r w:rsidR="00010D09" w:rsidRPr="00B450EB">
        <w:rPr>
          <w:i/>
          <w:iCs/>
          <w:noProof/>
        </w:rPr>
        <w:t>9</w:t>
      </w:r>
      <w:r w:rsidR="0006312B" w:rsidRPr="00B450EB">
        <w:fldChar w:fldCharType="end"/>
      </w:r>
      <w:r w:rsidRPr="00B450EB">
        <w:t>).</w:t>
      </w:r>
    </w:p>
    <w:p w14:paraId="456F0962" w14:textId="0BEEFEB4" w:rsidR="00EB36B4" w:rsidRPr="00B450EB" w:rsidRDefault="00EB36B4" w:rsidP="0006312B">
      <w:pPr>
        <w:pStyle w:val="Descripcin"/>
        <w:rPr>
          <w:color w:val="auto"/>
        </w:rPr>
      </w:pPr>
      <w:bookmarkStart w:id="85" w:name="_Ref209065904"/>
      <w:bookmarkStart w:id="86" w:name="_Toc209722992"/>
      <w:r w:rsidRPr="00B450EB">
        <w:rPr>
          <w:color w:val="auto"/>
        </w:rPr>
        <w:t xml:space="preserve">Tabla </w:t>
      </w:r>
      <w:r w:rsidRPr="00B450EB">
        <w:rPr>
          <w:color w:val="auto"/>
        </w:rPr>
        <w:fldChar w:fldCharType="begin"/>
      </w:r>
      <w:r w:rsidRPr="00B450EB">
        <w:rPr>
          <w:i w:val="0"/>
          <w:iCs w:val="0"/>
          <w:color w:val="auto"/>
        </w:rPr>
        <w:instrText xml:space="preserve"> SEQ Tabla \* ARABIC </w:instrText>
      </w:r>
      <w:r w:rsidRPr="00B450EB">
        <w:rPr>
          <w:color w:val="auto"/>
        </w:rPr>
        <w:fldChar w:fldCharType="separate"/>
      </w:r>
      <w:r w:rsidR="009765C2" w:rsidRPr="00B450EB">
        <w:rPr>
          <w:i w:val="0"/>
          <w:iCs w:val="0"/>
          <w:noProof/>
          <w:color w:val="auto"/>
        </w:rPr>
        <w:t>9</w:t>
      </w:r>
      <w:r w:rsidRPr="00B450EB">
        <w:rPr>
          <w:color w:val="auto"/>
        </w:rPr>
        <w:fldChar w:fldCharType="end"/>
      </w:r>
      <w:bookmarkEnd w:id="85"/>
      <w:r w:rsidRPr="00B450EB">
        <w:rPr>
          <w:color w:val="auto"/>
        </w:rPr>
        <w:t>. Número de especies registradas en categoría de amenaza flora</w:t>
      </w:r>
      <w:bookmarkEnd w:id="86"/>
    </w:p>
    <w:tbl>
      <w:tblPr>
        <w:tblW w:w="6080" w:type="dxa"/>
        <w:jc w:val="center"/>
        <w:tblCellMar>
          <w:left w:w="70" w:type="dxa"/>
          <w:right w:w="70" w:type="dxa"/>
        </w:tblCellMar>
        <w:tblLook w:val="04A0" w:firstRow="1" w:lastRow="0" w:firstColumn="1" w:lastColumn="0" w:noHBand="0" w:noVBand="1"/>
      </w:tblPr>
      <w:tblGrid>
        <w:gridCol w:w="2100"/>
        <w:gridCol w:w="3980"/>
      </w:tblGrid>
      <w:tr w:rsidR="00EF1937" w:rsidRPr="00B450EB" w14:paraId="20643CC3" w14:textId="77777777">
        <w:trPr>
          <w:trHeight w:val="288"/>
          <w:jc w:val="center"/>
        </w:trPr>
        <w:tc>
          <w:tcPr>
            <w:tcW w:w="2100" w:type="dxa"/>
            <w:tcBorders>
              <w:top w:val="single" w:sz="4" w:space="0" w:color="auto"/>
              <w:left w:val="single" w:sz="4" w:space="0" w:color="auto"/>
              <w:bottom w:val="single" w:sz="4" w:space="0" w:color="auto"/>
              <w:right w:val="single" w:sz="4" w:space="0" w:color="auto"/>
            </w:tcBorders>
            <w:shd w:val="clear" w:color="auto" w:fill="D9F2D0" w:themeFill="accent6" w:themeFillTint="33"/>
            <w:noWrap/>
            <w:vAlign w:val="center"/>
            <w:hideMark/>
          </w:tcPr>
          <w:p w14:paraId="4FC7DEC6" w14:textId="77777777" w:rsidR="00EB36B4" w:rsidRPr="00B450EB" w:rsidRDefault="00EB36B4">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Categoría de amenaza</w:t>
            </w:r>
          </w:p>
        </w:tc>
        <w:tc>
          <w:tcPr>
            <w:tcW w:w="398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41BA3A88" w14:textId="77777777" w:rsidR="00EB36B4" w:rsidRPr="00B450EB" w:rsidRDefault="00EB36B4">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Número de especies en categoría amenaza</w:t>
            </w:r>
          </w:p>
        </w:tc>
      </w:tr>
      <w:tr w:rsidR="00EF1937" w:rsidRPr="00B450EB" w14:paraId="1DD40939" w14:textId="77777777">
        <w:trPr>
          <w:trHeight w:val="288"/>
          <w:jc w:val="center"/>
        </w:trPr>
        <w:tc>
          <w:tcPr>
            <w:tcW w:w="2100" w:type="dxa"/>
            <w:tcBorders>
              <w:top w:val="nil"/>
              <w:left w:val="single" w:sz="4" w:space="0" w:color="auto"/>
              <w:bottom w:val="single" w:sz="4" w:space="0" w:color="auto"/>
              <w:right w:val="single" w:sz="4" w:space="0" w:color="auto"/>
            </w:tcBorders>
            <w:noWrap/>
            <w:vAlign w:val="center"/>
            <w:hideMark/>
          </w:tcPr>
          <w:p w14:paraId="407BD803" w14:textId="77777777" w:rsidR="00EB36B4" w:rsidRPr="00B450EB" w:rsidRDefault="00EB36B4">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3980" w:type="dxa"/>
            <w:tcBorders>
              <w:top w:val="nil"/>
              <w:left w:val="nil"/>
              <w:bottom w:val="single" w:sz="4" w:space="0" w:color="auto"/>
              <w:right w:val="single" w:sz="4" w:space="0" w:color="auto"/>
            </w:tcBorders>
            <w:noWrap/>
            <w:vAlign w:val="center"/>
            <w:hideMark/>
          </w:tcPr>
          <w:p w14:paraId="6A1AB664" w14:textId="77777777" w:rsidR="00EB36B4" w:rsidRPr="00B450EB" w:rsidRDefault="00EB36B4">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24</w:t>
            </w:r>
          </w:p>
        </w:tc>
      </w:tr>
      <w:tr w:rsidR="00EF1937" w:rsidRPr="00B450EB" w14:paraId="6447A16A" w14:textId="77777777">
        <w:trPr>
          <w:trHeight w:val="288"/>
          <w:jc w:val="center"/>
        </w:trPr>
        <w:tc>
          <w:tcPr>
            <w:tcW w:w="2100" w:type="dxa"/>
            <w:tcBorders>
              <w:top w:val="nil"/>
              <w:left w:val="single" w:sz="4" w:space="0" w:color="auto"/>
              <w:bottom w:val="single" w:sz="4" w:space="0" w:color="auto"/>
              <w:right w:val="single" w:sz="4" w:space="0" w:color="auto"/>
            </w:tcBorders>
            <w:noWrap/>
            <w:vAlign w:val="center"/>
            <w:hideMark/>
          </w:tcPr>
          <w:p w14:paraId="6A72A2F3" w14:textId="77777777" w:rsidR="00EB36B4" w:rsidRPr="00B450EB" w:rsidRDefault="00EB36B4">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3980" w:type="dxa"/>
            <w:tcBorders>
              <w:top w:val="nil"/>
              <w:left w:val="nil"/>
              <w:bottom w:val="single" w:sz="4" w:space="0" w:color="auto"/>
              <w:right w:val="single" w:sz="4" w:space="0" w:color="auto"/>
            </w:tcBorders>
            <w:noWrap/>
            <w:vAlign w:val="center"/>
            <w:hideMark/>
          </w:tcPr>
          <w:p w14:paraId="4AE23CE9" w14:textId="77777777" w:rsidR="00EB36B4" w:rsidRPr="00B450EB" w:rsidRDefault="00EB36B4">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51</w:t>
            </w:r>
          </w:p>
        </w:tc>
      </w:tr>
      <w:tr w:rsidR="00EF1937" w:rsidRPr="00B450EB" w14:paraId="0406BBDA" w14:textId="77777777">
        <w:trPr>
          <w:trHeight w:val="288"/>
          <w:jc w:val="center"/>
        </w:trPr>
        <w:tc>
          <w:tcPr>
            <w:tcW w:w="2100" w:type="dxa"/>
            <w:tcBorders>
              <w:top w:val="nil"/>
              <w:left w:val="single" w:sz="4" w:space="0" w:color="auto"/>
              <w:bottom w:val="single" w:sz="4" w:space="0" w:color="auto"/>
              <w:right w:val="single" w:sz="4" w:space="0" w:color="auto"/>
            </w:tcBorders>
            <w:noWrap/>
            <w:vAlign w:val="center"/>
            <w:hideMark/>
          </w:tcPr>
          <w:p w14:paraId="2B08597E" w14:textId="77777777" w:rsidR="00EB36B4" w:rsidRPr="00B450EB" w:rsidRDefault="00EB36B4">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3980" w:type="dxa"/>
            <w:tcBorders>
              <w:top w:val="nil"/>
              <w:left w:val="nil"/>
              <w:bottom w:val="single" w:sz="4" w:space="0" w:color="auto"/>
              <w:right w:val="single" w:sz="4" w:space="0" w:color="auto"/>
            </w:tcBorders>
            <w:noWrap/>
            <w:vAlign w:val="center"/>
            <w:hideMark/>
          </w:tcPr>
          <w:p w14:paraId="7A5E0585" w14:textId="77777777" w:rsidR="00EB36B4" w:rsidRPr="00B450EB" w:rsidRDefault="00EB36B4">
            <w:pPr>
              <w:spacing w:after="0" w:line="240" w:lineRule="auto"/>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44</w:t>
            </w:r>
          </w:p>
        </w:tc>
      </w:tr>
      <w:tr w:rsidR="00EF1937" w:rsidRPr="00B450EB" w14:paraId="017F5B0C" w14:textId="77777777">
        <w:trPr>
          <w:trHeight w:val="288"/>
          <w:jc w:val="center"/>
        </w:trPr>
        <w:tc>
          <w:tcPr>
            <w:tcW w:w="2100" w:type="dxa"/>
            <w:tcBorders>
              <w:top w:val="nil"/>
              <w:left w:val="single" w:sz="4" w:space="0" w:color="auto"/>
              <w:bottom w:val="single" w:sz="4" w:space="0" w:color="auto"/>
              <w:right w:val="single" w:sz="4" w:space="0" w:color="auto"/>
            </w:tcBorders>
            <w:noWrap/>
            <w:vAlign w:val="center"/>
            <w:hideMark/>
          </w:tcPr>
          <w:p w14:paraId="1161497A" w14:textId="77777777" w:rsidR="00EB36B4" w:rsidRPr="00B450EB" w:rsidRDefault="00EB36B4">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Total</w:t>
            </w:r>
          </w:p>
        </w:tc>
        <w:tc>
          <w:tcPr>
            <w:tcW w:w="3980" w:type="dxa"/>
            <w:tcBorders>
              <w:top w:val="nil"/>
              <w:left w:val="nil"/>
              <w:bottom w:val="single" w:sz="4" w:space="0" w:color="auto"/>
              <w:right w:val="single" w:sz="4" w:space="0" w:color="auto"/>
            </w:tcBorders>
            <w:noWrap/>
            <w:vAlign w:val="center"/>
            <w:hideMark/>
          </w:tcPr>
          <w:p w14:paraId="5C4C9866" w14:textId="77777777" w:rsidR="00EB36B4" w:rsidRPr="00B450EB" w:rsidRDefault="00EB36B4">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119</w:t>
            </w:r>
          </w:p>
        </w:tc>
      </w:tr>
    </w:tbl>
    <w:p w14:paraId="2763ADE7" w14:textId="77777777" w:rsidR="00614468" w:rsidRPr="00B450EB" w:rsidRDefault="00614468" w:rsidP="00614468">
      <w:pPr>
        <w:pStyle w:val="Prrafodelista"/>
        <w:tabs>
          <w:tab w:val="left" w:pos="5040"/>
        </w:tabs>
        <w:ind w:left="360"/>
        <w:jc w:val="center"/>
        <w:rPr>
          <w:sz w:val="18"/>
          <w:szCs w:val="18"/>
        </w:rPr>
      </w:pPr>
      <w:r w:rsidRPr="00B450EB">
        <w:rPr>
          <w:sz w:val="18"/>
          <w:szCs w:val="18"/>
        </w:rPr>
        <w:t>Nota: CR: Peligro Crítico, EN: En Peligro, VU: Vulnerable.</w:t>
      </w:r>
    </w:p>
    <w:p w14:paraId="524D1C77" w14:textId="77777777" w:rsidR="00244C85" w:rsidRPr="00B450EB" w:rsidRDefault="00EB36B4" w:rsidP="00EB36B4">
      <w:pPr>
        <w:pStyle w:val="Prrafodelista"/>
        <w:tabs>
          <w:tab w:val="left" w:pos="5040"/>
        </w:tabs>
        <w:ind w:left="360"/>
        <w:jc w:val="center"/>
        <w:rPr>
          <w:sz w:val="18"/>
          <w:szCs w:val="18"/>
        </w:rPr>
      </w:pPr>
      <w:r w:rsidRPr="00B450EB">
        <w:rPr>
          <w:sz w:val="18"/>
          <w:szCs w:val="18"/>
        </w:rPr>
        <w:t xml:space="preserve">Fuente: Elaboración propia a partir de SIB, 2025; Resolución 0126 de 2024. </w:t>
      </w:r>
    </w:p>
    <w:p w14:paraId="65CA9126" w14:textId="3546B624" w:rsidR="0089119D" w:rsidRPr="00B450EB" w:rsidRDefault="0089119D" w:rsidP="0089119D">
      <w:pPr>
        <w:pStyle w:val="Descripcin"/>
        <w:rPr>
          <w:i w:val="0"/>
          <w:iCs w:val="0"/>
          <w:color w:val="auto"/>
        </w:rPr>
      </w:pPr>
      <w:bookmarkStart w:id="87" w:name="_Toc209722993"/>
      <w:r w:rsidRPr="00B450EB">
        <w:rPr>
          <w:i w:val="0"/>
          <w:iCs w:val="0"/>
          <w:color w:val="auto"/>
        </w:rPr>
        <w:t xml:space="preserve">Tabla </w:t>
      </w:r>
      <w:r w:rsidRPr="00B450EB">
        <w:rPr>
          <w:i w:val="0"/>
          <w:iCs w:val="0"/>
          <w:color w:val="auto"/>
        </w:rPr>
        <w:fldChar w:fldCharType="begin"/>
      </w:r>
      <w:r w:rsidRPr="00B450EB">
        <w:rPr>
          <w:i w:val="0"/>
          <w:iCs w:val="0"/>
          <w:color w:val="auto"/>
        </w:rPr>
        <w:instrText xml:space="preserve"> SEQ Tabla \* ARABIC </w:instrText>
      </w:r>
      <w:r w:rsidRPr="00B450EB">
        <w:rPr>
          <w:i w:val="0"/>
          <w:iCs w:val="0"/>
          <w:color w:val="auto"/>
        </w:rPr>
        <w:fldChar w:fldCharType="separate"/>
      </w:r>
      <w:r w:rsidR="009765C2" w:rsidRPr="00B450EB">
        <w:rPr>
          <w:i w:val="0"/>
          <w:iCs w:val="0"/>
          <w:noProof/>
          <w:color w:val="auto"/>
        </w:rPr>
        <w:t>10</w:t>
      </w:r>
      <w:r w:rsidRPr="00B450EB">
        <w:rPr>
          <w:i w:val="0"/>
          <w:iCs w:val="0"/>
          <w:color w:val="auto"/>
        </w:rPr>
        <w:fldChar w:fldCharType="end"/>
      </w:r>
      <w:r w:rsidRPr="00B450EB">
        <w:rPr>
          <w:i w:val="0"/>
          <w:iCs w:val="0"/>
          <w:color w:val="auto"/>
        </w:rPr>
        <w:t>. Especies de flora en categoría de amenaza en bioma amazónico.</w:t>
      </w:r>
      <w:bookmarkEnd w:id="87"/>
    </w:p>
    <w:tbl>
      <w:tblPr>
        <w:tblStyle w:val="Tablaconcuadrculaclara"/>
        <w:tblW w:w="5457" w:type="pct"/>
        <w:tblLayout w:type="fixed"/>
        <w:tblLook w:val="04A0" w:firstRow="1" w:lastRow="0" w:firstColumn="1" w:lastColumn="0" w:noHBand="0" w:noVBand="1"/>
      </w:tblPr>
      <w:tblGrid>
        <w:gridCol w:w="2268"/>
        <w:gridCol w:w="1696"/>
        <w:gridCol w:w="713"/>
        <w:gridCol w:w="2268"/>
        <w:gridCol w:w="1842"/>
        <w:gridCol w:w="848"/>
      </w:tblGrid>
      <w:tr w:rsidR="00EF1937" w:rsidRPr="00B450EB" w14:paraId="0A352630" w14:textId="77777777" w:rsidTr="00753D7C">
        <w:trPr>
          <w:trHeight w:val="288"/>
          <w:tblHeader/>
        </w:trPr>
        <w:tc>
          <w:tcPr>
            <w:tcW w:w="1177" w:type="pct"/>
            <w:shd w:val="clear" w:color="auto" w:fill="D9F2D0" w:themeFill="accent6" w:themeFillTint="33"/>
            <w:noWrap/>
            <w:vAlign w:val="center"/>
            <w:hideMark/>
          </w:tcPr>
          <w:p w14:paraId="323B5387" w14:textId="77777777" w:rsidR="0089119D" w:rsidRPr="00B450EB" w:rsidRDefault="0089119D" w:rsidP="00751668">
            <w:pPr>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Nombre de la especie</w:t>
            </w:r>
          </w:p>
        </w:tc>
        <w:tc>
          <w:tcPr>
            <w:tcW w:w="880" w:type="pct"/>
            <w:shd w:val="clear" w:color="auto" w:fill="D9F2D0" w:themeFill="accent6" w:themeFillTint="33"/>
            <w:noWrap/>
            <w:vAlign w:val="center"/>
            <w:hideMark/>
          </w:tcPr>
          <w:p w14:paraId="29003584" w14:textId="77777777" w:rsidR="0089119D" w:rsidRPr="00B450EB" w:rsidRDefault="0089119D" w:rsidP="00751668">
            <w:pPr>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Familia</w:t>
            </w:r>
          </w:p>
        </w:tc>
        <w:tc>
          <w:tcPr>
            <w:tcW w:w="370" w:type="pct"/>
            <w:shd w:val="clear" w:color="auto" w:fill="D9F2D0" w:themeFill="accent6" w:themeFillTint="33"/>
            <w:noWrap/>
            <w:vAlign w:val="center"/>
            <w:hideMark/>
          </w:tcPr>
          <w:p w14:paraId="0811C9C5" w14:textId="0CA6C8AB" w:rsidR="0089119D" w:rsidRPr="00B450EB" w:rsidRDefault="0089119D" w:rsidP="00751668">
            <w:pPr>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C. amenaza</w:t>
            </w:r>
          </w:p>
        </w:tc>
        <w:tc>
          <w:tcPr>
            <w:tcW w:w="1177" w:type="pct"/>
            <w:shd w:val="clear" w:color="auto" w:fill="D9F2D0" w:themeFill="accent6" w:themeFillTint="33"/>
            <w:noWrap/>
            <w:vAlign w:val="center"/>
            <w:hideMark/>
          </w:tcPr>
          <w:p w14:paraId="2D76429D" w14:textId="77777777" w:rsidR="0089119D" w:rsidRPr="00B450EB" w:rsidRDefault="0089119D" w:rsidP="00751668">
            <w:pPr>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Nombre de la especie</w:t>
            </w:r>
          </w:p>
        </w:tc>
        <w:tc>
          <w:tcPr>
            <w:tcW w:w="956" w:type="pct"/>
            <w:shd w:val="clear" w:color="auto" w:fill="D9F2D0" w:themeFill="accent6" w:themeFillTint="33"/>
            <w:noWrap/>
            <w:vAlign w:val="center"/>
            <w:hideMark/>
          </w:tcPr>
          <w:p w14:paraId="2CE655C8" w14:textId="77777777" w:rsidR="0089119D" w:rsidRPr="00B450EB" w:rsidRDefault="0089119D" w:rsidP="00751668">
            <w:pPr>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Familia</w:t>
            </w:r>
          </w:p>
        </w:tc>
        <w:tc>
          <w:tcPr>
            <w:tcW w:w="440" w:type="pct"/>
            <w:shd w:val="clear" w:color="auto" w:fill="D9F2D0" w:themeFill="accent6" w:themeFillTint="33"/>
            <w:noWrap/>
            <w:vAlign w:val="center"/>
            <w:hideMark/>
          </w:tcPr>
          <w:p w14:paraId="1B759DD8" w14:textId="3A709E70" w:rsidR="0089119D" w:rsidRPr="00B450EB" w:rsidRDefault="0089119D" w:rsidP="00751668">
            <w:pPr>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C. amenaza</w:t>
            </w:r>
          </w:p>
        </w:tc>
      </w:tr>
      <w:tr w:rsidR="00EF1937" w:rsidRPr="00B450EB" w14:paraId="6D5E753E" w14:textId="77777777" w:rsidTr="00751668">
        <w:trPr>
          <w:trHeight w:val="288"/>
        </w:trPr>
        <w:tc>
          <w:tcPr>
            <w:tcW w:w="1177" w:type="pct"/>
            <w:noWrap/>
            <w:vAlign w:val="center"/>
            <w:hideMark/>
          </w:tcPr>
          <w:p w14:paraId="3406B430"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Aiphanes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duquei</w:t>
            </w:r>
            <w:proofErr w:type="spellEnd"/>
          </w:p>
        </w:tc>
        <w:tc>
          <w:tcPr>
            <w:tcW w:w="880" w:type="pct"/>
            <w:noWrap/>
            <w:vAlign w:val="center"/>
            <w:hideMark/>
          </w:tcPr>
          <w:p w14:paraId="003B6A7C"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Arecaceae</w:t>
            </w:r>
            <w:proofErr w:type="spellEnd"/>
          </w:p>
        </w:tc>
        <w:tc>
          <w:tcPr>
            <w:tcW w:w="370" w:type="pct"/>
            <w:noWrap/>
            <w:vAlign w:val="center"/>
            <w:hideMark/>
          </w:tcPr>
          <w:p w14:paraId="0270D0B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3D04DD9F"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Magnolia </w:t>
            </w:r>
            <w:proofErr w:type="spellStart"/>
            <w:r w:rsidRPr="00B450EB">
              <w:rPr>
                <w:rFonts w:eastAsia="Times New Roman" w:cs="Arial"/>
                <w:i/>
                <w:iCs/>
                <w:kern w:val="0"/>
                <w:sz w:val="18"/>
                <w:szCs w:val="18"/>
                <w:lang w:eastAsia="es-CO"/>
                <w14:ligatures w14:val="none"/>
              </w:rPr>
              <w:t>virolinensis</w:t>
            </w:r>
            <w:proofErr w:type="spellEnd"/>
          </w:p>
        </w:tc>
        <w:tc>
          <w:tcPr>
            <w:tcW w:w="956" w:type="pct"/>
            <w:noWrap/>
            <w:vAlign w:val="center"/>
            <w:hideMark/>
          </w:tcPr>
          <w:p w14:paraId="7EB6E161"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Magnoliaceae</w:t>
            </w:r>
            <w:proofErr w:type="spellEnd"/>
          </w:p>
        </w:tc>
        <w:tc>
          <w:tcPr>
            <w:tcW w:w="440" w:type="pct"/>
            <w:noWrap/>
            <w:vAlign w:val="center"/>
            <w:hideMark/>
          </w:tcPr>
          <w:p w14:paraId="48F15534"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4C102F5E" w14:textId="77777777" w:rsidTr="00751668">
        <w:trPr>
          <w:trHeight w:val="288"/>
        </w:trPr>
        <w:tc>
          <w:tcPr>
            <w:tcW w:w="1177" w:type="pct"/>
            <w:noWrap/>
            <w:vAlign w:val="center"/>
            <w:hideMark/>
          </w:tcPr>
          <w:p w14:paraId="5BC4C50E"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Aiphanes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lindeniana</w:t>
            </w:r>
            <w:proofErr w:type="spellEnd"/>
          </w:p>
        </w:tc>
        <w:tc>
          <w:tcPr>
            <w:tcW w:w="880" w:type="pct"/>
            <w:noWrap/>
            <w:vAlign w:val="center"/>
            <w:hideMark/>
          </w:tcPr>
          <w:p w14:paraId="26C89BE7"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Arecaceae</w:t>
            </w:r>
            <w:proofErr w:type="spellEnd"/>
          </w:p>
        </w:tc>
        <w:tc>
          <w:tcPr>
            <w:tcW w:w="370" w:type="pct"/>
            <w:noWrap/>
            <w:vAlign w:val="center"/>
            <w:hideMark/>
          </w:tcPr>
          <w:p w14:paraId="7911C362"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398177F8"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Malouetia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cuatrecasatis</w:t>
            </w:r>
            <w:proofErr w:type="spellEnd"/>
          </w:p>
        </w:tc>
        <w:tc>
          <w:tcPr>
            <w:tcW w:w="956" w:type="pct"/>
            <w:noWrap/>
            <w:vAlign w:val="center"/>
            <w:hideMark/>
          </w:tcPr>
          <w:p w14:paraId="36E43831"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Apocynaceae</w:t>
            </w:r>
            <w:proofErr w:type="spellEnd"/>
          </w:p>
        </w:tc>
        <w:tc>
          <w:tcPr>
            <w:tcW w:w="440" w:type="pct"/>
            <w:noWrap/>
            <w:vAlign w:val="center"/>
            <w:hideMark/>
          </w:tcPr>
          <w:p w14:paraId="6C4C7422"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7F42D4BD" w14:textId="77777777" w:rsidTr="00751668">
        <w:trPr>
          <w:trHeight w:val="288"/>
        </w:trPr>
        <w:tc>
          <w:tcPr>
            <w:tcW w:w="1177" w:type="pct"/>
            <w:noWrap/>
            <w:vAlign w:val="center"/>
            <w:hideMark/>
          </w:tcPr>
          <w:p w14:paraId="23F5FC19"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Aiphanes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pilaris</w:t>
            </w:r>
            <w:proofErr w:type="spellEnd"/>
          </w:p>
        </w:tc>
        <w:tc>
          <w:tcPr>
            <w:tcW w:w="880" w:type="pct"/>
            <w:noWrap/>
            <w:vAlign w:val="center"/>
            <w:hideMark/>
          </w:tcPr>
          <w:p w14:paraId="2ED5017B"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Arecaceae</w:t>
            </w:r>
            <w:proofErr w:type="spellEnd"/>
          </w:p>
        </w:tc>
        <w:tc>
          <w:tcPr>
            <w:tcW w:w="370" w:type="pct"/>
            <w:noWrap/>
            <w:vAlign w:val="center"/>
            <w:hideMark/>
          </w:tcPr>
          <w:p w14:paraId="3CA6A094"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5F6B1FE3"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Masdevallia</w:t>
            </w:r>
            <w:proofErr w:type="spellEnd"/>
            <w:r w:rsidRPr="00B450EB">
              <w:rPr>
                <w:rFonts w:eastAsia="Times New Roman" w:cs="Arial"/>
                <w:i/>
                <w:iCs/>
                <w:kern w:val="0"/>
                <w:sz w:val="18"/>
                <w:szCs w:val="18"/>
                <w:lang w:eastAsia="es-CO"/>
                <w14:ligatures w14:val="none"/>
              </w:rPr>
              <w:t xml:space="preserve"> racemosa</w:t>
            </w:r>
          </w:p>
        </w:tc>
        <w:tc>
          <w:tcPr>
            <w:tcW w:w="956" w:type="pct"/>
            <w:noWrap/>
            <w:vAlign w:val="center"/>
            <w:hideMark/>
          </w:tcPr>
          <w:p w14:paraId="2BB3244D"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Orchidaceae</w:t>
            </w:r>
            <w:proofErr w:type="spellEnd"/>
          </w:p>
        </w:tc>
        <w:tc>
          <w:tcPr>
            <w:tcW w:w="440" w:type="pct"/>
            <w:noWrap/>
            <w:vAlign w:val="center"/>
            <w:hideMark/>
          </w:tcPr>
          <w:p w14:paraId="128479D6"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418DDAC7" w14:textId="77777777" w:rsidTr="00751668">
        <w:trPr>
          <w:trHeight w:val="288"/>
        </w:trPr>
        <w:tc>
          <w:tcPr>
            <w:tcW w:w="1177" w:type="pct"/>
            <w:noWrap/>
            <w:vAlign w:val="center"/>
            <w:hideMark/>
          </w:tcPr>
          <w:p w14:paraId="41E85A3C"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Aniba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perutilis</w:t>
            </w:r>
            <w:proofErr w:type="spellEnd"/>
          </w:p>
        </w:tc>
        <w:tc>
          <w:tcPr>
            <w:tcW w:w="880" w:type="pct"/>
            <w:noWrap/>
            <w:vAlign w:val="center"/>
            <w:hideMark/>
          </w:tcPr>
          <w:p w14:paraId="09DA8824"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Lauraceae</w:t>
            </w:r>
            <w:proofErr w:type="spellEnd"/>
          </w:p>
        </w:tc>
        <w:tc>
          <w:tcPr>
            <w:tcW w:w="370" w:type="pct"/>
            <w:noWrap/>
            <w:vAlign w:val="center"/>
            <w:hideMark/>
          </w:tcPr>
          <w:p w14:paraId="1FA5867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2C24AF0B"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Mespilodaphne</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quixos</w:t>
            </w:r>
            <w:proofErr w:type="spellEnd"/>
          </w:p>
        </w:tc>
        <w:tc>
          <w:tcPr>
            <w:tcW w:w="956" w:type="pct"/>
            <w:noWrap/>
            <w:vAlign w:val="center"/>
            <w:hideMark/>
          </w:tcPr>
          <w:p w14:paraId="165BFFBB"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Lauraceae</w:t>
            </w:r>
            <w:proofErr w:type="spellEnd"/>
          </w:p>
        </w:tc>
        <w:tc>
          <w:tcPr>
            <w:tcW w:w="440" w:type="pct"/>
            <w:noWrap/>
            <w:vAlign w:val="center"/>
            <w:hideMark/>
          </w:tcPr>
          <w:p w14:paraId="626E6E64"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2203E9F1" w14:textId="77777777" w:rsidTr="00751668">
        <w:trPr>
          <w:trHeight w:val="288"/>
        </w:trPr>
        <w:tc>
          <w:tcPr>
            <w:tcW w:w="1177" w:type="pct"/>
            <w:noWrap/>
            <w:vAlign w:val="center"/>
            <w:hideMark/>
          </w:tcPr>
          <w:p w14:paraId="7A0EE612"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lastRenderedPageBreak/>
              <w:t>Arachnothryx</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educta</w:t>
            </w:r>
            <w:proofErr w:type="spellEnd"/>
          </w:p>
        </w:tc>
        <w:tc>
          <w:tcPr>
            <w:tcW w:w="880" w:type="pct"/>
            <w:noWrap/>
            <w:vAlign w:val="center"/>
            <w:hideMark/>
          </w:tcPr>
          <w:p w14:paraId="289D4251"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Rubiaceae</w:t>
            </w:r>
            <w:proofErr w:type="spellEnd"/>
          </w:p>
        </w:tc>
        <w:tc>
          <w:tcPr>
            <w:tcW w:w="370" w:type="pct"/>
            <w:noWrap/>
            <w:vAlign w:val="center"/>
            <w:hideMark/>
          </w:tcPr>
          <w:p w14:paraId="3405E7FB"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61A157C1"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Miconia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annulata</w:t>
            </w:r>
            <w:proofErr w:type="spellEnd"/>
          </w:p>
        </w:tc>
        <w:tc>
          <w:tcPr>
            <w:tcW w:w="956" w:type="pct"/>
            <w:noWrap/>
            <w:vAlign w:val="center"/>
            <w:hideMark/>
          </w:tcPr>
          <w:p w14:paraId="05B08393"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Melastomataceae</w:t>
            </w:r>
            <w:proofErr w:type="spellEnd"/>
          </w:p>
        </w:tc>
        <w:tc>
          <w:tcPr>
            <w:tcW w:w="440" w:type="pct"/>
            <w:noWrap/>
            <w:vAlign w:val="center"/>
            <w:hideMark/>
          </w:tcPr>
          <w:p w14:paraId="5FB4469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1AFB4F33" w14:textId="77777777" w:rsidTr="00751668">
        <w:trPr>
          <w:trHeight w:val="288"/>
        </w:trPr>
        <w:tc>
          <w:tcPr>
            <w:tcW w:w="1177" w:type="pct"/>
            <w:noWrap/>
            <w:vAlign w:val="center"/>
            <w:hideMark/>
          </w:tcPr>
          <w:p w14:paraId="0B327E0C"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Arachnothryx</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euryphylla</w:t>
            </w:r>
            <w:proofErr w:type="spellEnd"/>
          </w:p>
        </w:tc>
        <w:tc>
          <w:tcPr>
            <w:tcW w:w="880" w:type="pct"/>
            <w:noWrap/>
            <w:vAlign w:val="center"/>
            <w:hideMark/>
          </w:tcPr>
          <w:p w14:paraId="2B1A4E61"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Rubiaceae</w:t>
            </w:r>
            <w:proofErr w:type="spellEnd"/>
          </w:p>
        </w:tc>
        <w:tc>
          <w:tcPr>
            <w:tcW w:w="370" w:type="pct"/>
            <w:noWrap/>
            <w:vAlign w:val="center"/>
            <w:hideMark/>
          </w:tcPr>
          <w:p w14:paraId="2B3DA5AC"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7709876E"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Miconia</w:t>
            </w:r>
            <w:proofErr w:type="spellEnd"/>
            <w:r w:rsidRPr="00B450EB">
              <w:rPr>
                <w:rFonts w:eastAsia="Times New Roman" w:cs="Arial"/>
                <w:i/>
                <w:iCs/>
                <w:kern w:val="0"/>
                <w:sz w:val="18"/>
                <w:szCs w:val="18"/>
                <w:lang w:eastAsia="es-CO"/>
                <w14:ligatures w14:val="none"/>
              </w:rPr>
              <w:t xml:space="preserve"> bella</w:t>
            </w:r>
          </w:p>
        </w:tc>
        <w:tc>
          <w:tcPr>
            <w:tcW w:w="956" w:type="pct"/>
            <w:noWrap/>
            <w:vAlign w:val="center"/>
            <w:hideMark/>
          </w:tcPr>
          <w:p w14:paraId="439D7FE5"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Melastomataceae</w:t>
            </w:r>
            <w:proofErr w:type="spellEnd"/>
          </w:p>
        </w:tc>
        <w:tc>
          <w:tcPr>
            <w:tcW w:w="440" w:type="pct"/>
            <w:noWrap/>
            <w:vAlign w:val="center"/>
            <w:hideMark/>
          </w:tcPr>
          <w:p w14:paraId="0C4054A1"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5D0995AA" w14:textId="77777777" w:rsidTr="00751668">
        <w:trPr>
          <w:trHeight w:val="288"/>
        </w:trPr>
        <w:tc>
          <w:tcPr>
            <w:tcW w:w="1177" w:type="pct"/>
            <w:noWrap/>
            <w:vAlign w:val="center"/>
            <w:hideMark/>
          </w:tcPr>
          <w:p w14:paraId="361A1F89"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Aragoa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corrugatifolia</w:t>
            </w:r>
            <w:proofErr w:type="spellEnd"/>
          </w:p>
        </w:tc>
        <w:tc>
          <w:tcPr>
            <w:tcW w:w="880" w:type="pct"/>
            <w:noWrap/>
            <w:vAlign w:val="center"/>
            <w:hideMark/>
          </w:tcPr>
          <w:p w14:paraId="2338939A"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Plantaginaceae</w:t>
            </w:r>
            <w:proofErr w:type="spellEnd"/>
          </w:p>
        </w:tc>
        <w:tc>
          <w:tcPr>
            <w:tcW w:w="370" w:type="pct"/>
            <w:noWrap/>
            <w:vAlign w:val="center"/>
            <w:hideMark/>
          </w:tcPr>
          <w:p w14:paraId="4C8343B3"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62C9122D"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Miconia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blakeifolia</w:t>
            </w:r>
            <w:proofErr w:type="spellEnd"/>
          </w:p>
        </w:tc>
        <w:tc>
          <w:tcPr>
            <w:tcW w:w="956" w:type="pct"/>
            <w:noWrap/>
            <w:vAlign w:val="center"/>
            <w:hideMark/>
          </w:tcPr>
          <w:p w14:paraId="56CB349E"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Melastomataceae</w:t>
            </w:r>
            <w:proofErr w:type="spellEnd"/>
          </w:p>
        </w:tc>
        <w:tc>
          <w:tcPr>
            <w:tcW w:w="440" w:type="pct"/>
            <w:noWrap/>
            <w:vAlign w:val="center"/>
            <w:hideMark/>
          </w:tcPr>
          <w:p w14:paraId="4CAE7D4B"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6CE6C2CE" w14:textId="77777777" w:rsidTr="00751668">
        <w:trPr>
          <w:trHeight w:val="288"/>
        </w:trPr>
        <w:tc>
          <w:tcPr>
            <w:tcW w:w="1177" w:type="pct"/>
            <w:noWrap/>
            <w:vAlign w:val="center"/>
            <w:hideMark/>
          </w:tcPr>
          <w:p w14:paraId="53BF786B"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Aragoa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cupressina</w:t>
            </w:r>
            <w:proofErr w:type="spellEnd"/>
          </w:p>
        </w:tc>
        <w:tc>
          <w:tcPr>
            <w:tcW w:w="880" w:type="pct"/>
            <w:noWrap/>
            <w:vAlign w:val="center"/>
            <w:hideMark/>
          </w:tcPr>
          <w:p w14:paraId="737B7CA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Plantaginaceae</w:t>
            </w:r>
            <w:proofErr w:type="spellEnd"/>
          </w:p>
        </w:tc>
        <w:tc>
          <w:tcPr>
            <w:tcW w:w="370" w:type="pct"/>
            <w:noWrap/>
            <w:vAlign w:val="center"/>
            <w:hideMark/>
          </w:tcPr>
          <w:p w14:paraId="636A266D"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7A5104ED"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Miconia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majalis</w:t>
            </w:r>
            <w:proofErr w:type="spellEnd"/>
          </w:p>
        </w:tc>
        <w:tc>
          <w:tcPr>
            <w:tcW w:w="956" w:type="pct"/>
            <w:noWrap/>
            <w:vAlign w:val="center"/>
            <w:hideMark/>
          </w:tcPr>
          <w:p w14:paraId="1136F66E"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Melastomataceae</w:t>
            </w:r>
            <w:proofErr w:type="spellEnd"/>
          </w:p>
        </w:tc>
        <w:tc>
          <w:tcPr>
            <w:tcW w:w="440" w:type="pct"/>
            <w:noWrap/>
            <w:vAlign w:val="center"/>
            <w:hideMark/>
          </w:tcPr>
          <w:p w14:paraId="0498970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42BC3842" w14:textId="77777777" w:rsidTr="00751668">
        <w:trPr>
          <w:trHeight w:val="288"/>
        </w:trPr>
        <w:tc>
          <w:tcPr>
            <w:tcW w:w="1177" w:type="pct"/>
            <w:noWrap/>
            <w:vAlign w:val="center"/>
            <w:hideMark/>
          </w:tcPr>
          <w:p w14:paraId="6BCC3BD0"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Aspidosperma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polyneuron</w:t>
            </w:r>
            <w:proofErr w:type="spellEnd"/>
          </w:p>
        </w:tc>
        <w:tc>
          <w:tcPr>
            <w:tcW w:w="880" w:type="pct"/>
            <w:noWrap/>
            <w:vAlign w:val="center"/>
            <w:hideMark/>
          </w:tcPr>
          <w:p w14:paraId="151F98D2"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Apocynaceae</w:t>
            </w:r>
            <w:proofErr w:type="spellEnd"/>
          </w:p>
        </w:tc>
        <w:tc>
          <w:tcPr>
            <w:tcW w:w="370" w:type="pct"/>
            <w:noWrap/>
            <w:vAlign w:val="center"/>
            <w:hideMark/>
          </w:tcPr>
          <w:p w14:paraId="7836664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59FFE37A"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Miconia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parvifolia</w:t>
            </w:r>
            <w:proofErr w:type="spellEnd"/>
          </w:p>
        </w:tc>
        <w:tc>
          <w:tcPr>
            <w:tcW w:w="956" w:type="pct"/>
            <w:noWrap/>
            <w:vAlign w:val="center"/>
            <w:hideMark/>
          </w:tcPr>
          <w:p w14:paraId="48C6A60C"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Melastomataceae</w:t>
            </w:r>
            <w:proofErr w:type="spellEnd"/>
          </w:p>
        </w:tc>
        <w:tc>
          <w:tcPr>
            <w:tcW w:w="440" w:type="pct"/>
            <w:noWrap/>
            <w:vAlign w:val="center"/>
            <w:hideMark/>
          </w:tcPr>
          <w:p w14:paraId="07DCF553"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54D077DF" w14:textId="77777777" w:rsidTr="00751668">
        <w:trPr>
          <w:trHeight w:val="288"/>
        </w:trPr>
        <w:tc>
          <w:tcPr>
            <w:tcW w:w="1177" w:type="pct"/>
            <w:noWrap/>
            <w:vAlign w:val="center"/>
            <w:hideMark/>
          </w:tcPr>
          <w:p w14:paraId="49C72447"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Ayenia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klugii</w:t>
            </w:r>
            <w:proofErr w:type="spellEnd"/>
          </w:p>
        </w:tc>
        <w:tc>
          <w:tcPr>
            <w:tcW w:w="880" w:type="pct"/>
            <w:noWrap/>
            <w:vAlign w:val="center"/>
            <w:hideMark/>
          </w:tcPr>
          <w:p w14:paraId="77C78BA2"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Malvaceae</w:t>
            </w:r>
            <w:proofErr w:type="spellEnd"/>
          </w:p>
        </w:tc>
        <w:tc>
          <w:tcPr>
            <w:tcW w:w="370" w:type="pct"/>
            <w:noWrap/>
            <w:vAlign w:val="center"/>
            <w:hideMark/>
          </w:tcPr>
          <w:p w14:paraId="3D44CFD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13E767F8"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Miconia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pastoensis</w:t>
            </w:r>
            <w:proofErr w:type="spellEnd"/>
          </w:p>
        </w:tc>
        <w:tc>
          <w:tcPr>
            <w:tcW w:w="956" w:type="pct"/>
            <w:noWrap/>
            <w:vAlign w:val="center"/>
            <w:hideMark/>
          </w:tcPr>
          <w:p w14:paraId="2F8C534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Melastomataceae</w:t>
            </w:r>
            <w:proofErr w:type="spellEnd"/>
          </w:p>
        </w:tc>
        <w:tc>
          <w:tcPr>
            <w:tcW w:w="440" w:type="pct"/>
            <w:noWrap/>
            <w:vAlign w:val="center"/>
            <w:hideMark/>
          </w:tcPr>
          <w:p w14:paraId="3563E83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4641ABF3" w14:textId="77777777" w:rsidTr="00751668">
        <w:trPr>
          <w:trHeight w:val="288"/>
        </w:trPr>
        <w:tc>
          <w:tcPr>
            <w:tcW w:w="1177" w:type="pct"/>
            <w:noWrap/>
            <w:vAlign w:val="center"/>
            <w:hideMark/>
          </w:tcPr>
          <w:p w14:paraId="5C938372"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Bertholletia</w:t>
            </w:r>
            <w:proofErr w:type="spellEnd"/>
            <w:r w:rsidRPr="00B450EB">
              <w:rPr>
                <w:rFonts w:eastAsia="Times New Roman" w:cs="Arial"/>
                <w:i/>
                <w:iCs/>
                <w:kern w:val="0"/>
                <w:sz w:val="18"/>
                <w:szCs w:val="18"/>
                <w:lang w:eastAsia="es-CO"/>
                <w14:ligatures w14:val="none"/>
              </w:rPr>
              <w:t xml:space="preserve"> excelsa</w:t>
            </w:r>
          </w:p>
        </w:tc>
        <w:tc>
          <w:tcPr>
            <w:tcW w:w="880" w:type="pct"/>
            <w:noWrap/>
            <w:vAlign w:val="center"/>
            <w:hideMark/>
          </w:tcPr>
          <w:p w14:paraId="222699A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Lecythidaceae</w:t>
            </w:r>
            <w:proofErr w:type="spellEnd"/>
          </w:p>
        </w:tc>
        <w:tc>
          <w:tcPr>
            <w:tcW w:w="370" w:type="pct"/>
            <w:noWrap/>
            <w:vAlign w:val="center"/>
            <w:hideMark/>
          </w:tcPr>
          <w:p w14:paraId="3DE1BBC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17EE1498"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Miconia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rigens</w:t>
            </w:r>
            <w:proofErr w:type="spellEnd"/>
          </w:p>
        </w:tc>
        <w:tc>
          <w:tcPr>
            <w:tcW w:w="956" w:type="pct"/>
            <w:noWrap/>
            <w:vAlign w:val="center"/>
            <w:hideMark/>
          </w:tcPr>
          <w:p w14:paraId="2398C763"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Melastomataceae</w:t>
            </w:r>
            <w:proofErr w:type="spellEnd"/>
          </w:p>
        </w:tc>
        <w:tc>
          <w:tcPr>
            <w:tcW w:w="440" w:type="pct"/>
            <w:noWrap/>
            <w:vAlign w:val="center"/>
            <w:hideMark/>
          </w:tcPr>
          <w:p w14:paraId="3725F556"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59ABC8BC" w14:textId="77777777" w:rsidTr="00751668">
        <w:trPr>
          <w:trHeight w:val="288"/>
        </w:trPr>
        <w:tc>
          <w:tcPr>
            <w:tcW w:w="1177" w:type="pct"/>
            <w:noWrap/>
            <w:vAlign w:val="center"/>
            <w:hideMark/>
          </w:tcPr>
          <w:p w14:paraId="606E5C99"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Bertholletia</w:t>
            </w:r>
            <w:proofErr w:type="spellEnd"/>
            <w:r w:rsidRPr="00B450EB">
              <w:rPr>
                <w:rFonts w:eastAsia="Times New Roman" w:cs="Arial"/>
                <w:i/>
                <w:iCs/>
                <w:kern w:val="0"/>
                <w:sz w:val="18"/>
                <w:szCs w:val="18"/>
                <w:lang w:eastAsia="es-CO"/>
                <w14:ligatures w14:val="none"/>
              </w:rPr>
              <w:t xml:space="preserve"> excelsa</w:t>
            </w:r>
          </w:p>
        </w:tc>
        <w:tc>
          <w:tcPr>
            <w:tcW w:w="880" w:type="pct"/>
            <w:noWrap/>
            <w:vAlign w:val="center"/>
            <w:hideMark/>
          </w:tcPr>
          <w:p w14:paraId="04E332D3"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Lecythidaceae</w:t>
            </w:r>
            <w:proofErr w:type="spellEnd"/>
          </w:p>
        </w:tc>
        <w:tc>
          <w:tcPr>
            <w:tcW w:w="370" w:type="pct"/>
            <w:noWrap/>
            <w:vAlign w:val="center"/>
            <w:hideMark/>
          </w:tcPr>
          <w:p w14:paraId="1B2188F2"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708F598B"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Miconia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setosa</w:t>
            </w:r>
            <w:proofErr w:type="spellEnd"/>
          </w:p>
        </w:tc>
        <w:tc>
          <w:tcPr>
            <w:tcW w:w="956" w:type="pct"/>
            <w:noWrap/>
            <w:vAlign w:val="center"/>
            <w:hideMark/>
          </w:tcPr>
          <w:p w14:paraId="466B1B1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Melastomataceae</w:t>
            </w:r>
            <w:proofErr w:type="spellEnd"/>
          </w:p>
        </w:tc>
        <w:tc>
          <w:tcPr>
            <w:tcW w:w="440" w:type="pct"/>
            <w:noWrap/>
            <w:vAlign w:val="center"/>
            <w:hideMark/>
          </w:tcPr>
          <w:p w14:paraId="15FB02EC"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4CB8385F" w14:textId="77777777" w:rsidTr="00751668">
        <w:trPr>
          <w:trHeight w:val="288"/>
        </w:trPr>
        <w:tc>
          <w:tcPr>
            <w:tcW w:w="1177" w:type="pct"/>
            <w:noWrap/>
            <w:vAlign w:val="center"/>
            <w:hideMark/>
          </w:tcPr>
          <w:p w14:paraId="2E40CC8F"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Brunellia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macrophylla</w:t>
            </w:r>
            <w:proofErr w:type="spellEnd"/>
          </w:p>
        </w:tc>
        <w:tc>
          <w:tcPr>
            <w:tcW w:w="880" w:type="pct"/>
            <w:noWrap/>
            <w:vAlign w:val="center"/>
            <w:hideMark/>
          </w:tcPr>
          <w:p w14:paraId="06F451E2"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Brunelliaceae</w:t>
            </w:r>
            <w:proofErr w:type="spellEnd"/>
          </w:p>
        </w:tc>
        <w:tc>
          <w:tcPr>
            <w:tcW w:w="370" w:type="pct"/>
            <w:noWrap/>
            <w:vAlign w:val="center"/>
            <w:hideMark/>
          </w:tcPr>
          <w:p w14:paraId="65F60CF6"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2B5C2C9C"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Mimosa </w:t>
            </w:r>
            <w:proofErr w:type="spellStart"/>
            <w:r w:rsidRPr="00B450EB">
              <w:rPr>
                <w:rFonts w:eastAsia="Times New Roman" w:cs="Arial"/>
                <w:i/>
                <w:iCs/>
                <w:kern w:val="0"/>
                <w:sz w:val="18"/>
                <w:szCs w:val="18"/>
                <w:lang w:eastAsia="es-CO"/>
                <w14:ligatures w14:val="none"/>
              </w:rPr>
              <w:t>trianae</w:t>
            </w:r>
            <w:proofErr w:type="spellEnd"/>
          </w:p>
        </w:tc>
        <w:tc>
          <w:tcPr>
            <w:tcW w:w="956" w:type="pct"/>
            <w:noWrap/>
            <w:vAlign w:val="center"/>
            <w:hideMark/>
          </w:tcPr>
          <w:p w14:paraId="0A281E1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Fabaceae</w:t>
            </w:r>
            <w:proofErr w:type="spellEnd"/>
          </w:p>
        </w:tc>
        <w:tc>
          <w:tcPr>
            <w:tcW w:w="440" w:type="pct"/>
            <w:noWrap/>
            <w:vAlign w:val="center"/>
            <w:hideMark/>
          </w:tcPr>
          <w:p w14:paraId="4016FB6C"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7D8A5416" w14:textId="77777777" w:rsidTr="00751668">
        <w:trPr>
          <w:trHeight w:val="288"/>
        </w:trPr>
        <w:tc>
          <w:tcPr>
            <w:tcW w:w="1177" w:type="pct"/>
            <w:noWrap/>
            <w:vAlign w:val="center"/>
            <w:hideMark/>
          </w:tcPr>
          <w:p w14:paraId="5257820E"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Brunellia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stuebelii</w:t>
            </w:r>
            <w:proofErr w:type="spellEnd"/>
          </w:p>
        </w:tc>
        <w:tc>
          <w:tcPr>
            <w:tcW w:w="880" w:type="pct"/>
            <w:noWrap/>
            <w:vAlign w:val="center"/>
            <w:hideMark/>
          </w:tcPr>
          <w:p w14:paraId="0225425C"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Brunelliaceae</w:t>
            </w:r>
            <w:proofErr w:type="spellEnd"/>
          </w:p>
        </w:tc>
        <w:tc>
          <w:tcPr>
            <w:tcW w:w="370" w:type="pct"/>
            <w:noWrap/>
            <w:vAlign w:val="center"/>
            <w:hideMark/>
          </w:tcPr>
          <w:p w14:paraId="6A6F6CC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4FAD18B0"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Mora </w:t>
            </w:r>
            <w:proofErr w:type="spellStart"/>
            <w:r w:rsidRPr="00B450EB">
              <w:rPr>
                <w:rFonts w:eastAsia="Times New Roman" w:cs="Arial"/>
                <w:i/>
                <w:iCs/>
                <w:kern w:val="0"/>
                <w:sz w:val="18"/>
                <w:szCs w:val="18"/>
                <w:lang w:eastAsia="es-CO"/>
                <w14:ligatures w14:val="none"/>
              </w:rPr>
              <w:t>oleifera</w:t>
            </w:r>
            <w:proofErr w:type="spellEnd"/>
          </w:p>
        </w:tc>
        <w:tc>
          <w:tcPr>
            <w:tcW w:w="956" w:type="pct"/>
            <w:noWrap/>
            <w:vAlign w:val="center"/>
            <w:hideMark/>
          </w:tcPr>
          <w:p w14:paraId="3E98F53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Fabaceae</w:t>
            </w:r>
            <w:proofErr w:type="spellEnd"/>
          </w:p>
        </w:tc>
        <w:tc>
          <w:tcPr>
            <w:tcW w:w="440" w:type="pct"/>
            <w:noWrap/>
            <w:vAlign w:val="center"/>
            <w:hideMark/>
          </w:tcPr>
          <w:p w14:paraId="0D046B05"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1A2A9ABE" w14:textId="77777777" w:rsidTr="00751668">
        <w:trPr>
          <w:trHeight w:val="288"/>
        </w:trPr>
        <w:tc>
          <w:tcPr>
            <w:tcW w:w="1177" w:type="pct"/>
            <w:noWrap/>
            <w:vAlign w:val="center"/>
            <w:hideMark/>
          </w:tcPr>
          <w:p w14:paraId="3EC8D5D1"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Cavendishia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jardinensis</w:t>
            </w:r>
            <w:proofErr w:type="spellEnd"/>
          </w:p>
        </w:tc>
        <w:tc>
          <w:tcPr>
            <w:tcW w:w="880" w:type="pct"/>
            <w:noWrap/>
            <w:vAlign w:val="center"/>
            <w:hideMark/>
          </w:tcPr>
          <w:p w14:paraId="39BF764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370" w:type="pct"/>
            <w:noWrap/>
            <w:vAlign w:val="center"/>
            <w:hideMark/>
          </w:tcPr>
          <w:p w14:paraId="0129B3AD"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37DEAF91"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Oncidium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decorum</w:t>
            </w:r>
            <w:proofErr w:type="spellEnd"/>
          </w:p>
        </w:tc>
        <w:tc>
          <w:tcPr>
            <w:tcW w:w="956" w:type="pct"/>
            <w:noWrap/>
            <w:vAlign w:val="center"/>
            <w:hideMark/>
          </w:tcPr>
          <w:p w14:paraId="75021E9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Orchidaceae</w:t>
            </w:r>
            <w:proofErr w:type="spellEnd"/>
          </w:p>
        </w:tc>
        <w:tc>
          <w:tcPr>
            <w:tcW w:w="440" w:type="pct"/>
            <w:noWrap/>
            <w:vAlign w:val="center"/>
            <w:hideMark/>
          </w:tcPr>
          <w:p w14:paraId="6D5CBF7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414A09B8" w14:textId="77777777" w:rsidTr="00751668">
        <w:trPr>
          <w:trHeight w:val="288"/>
        </w:trPr>
        <w:tc>
          <w:tcPr>
            <w:tcW w:w="1177" w:type="pct"/>
            <w:noWrap/>
            <w:vAlign w:val="center"/>
            <w:hideMark/>
          </w:tcPr>
          <w:p w14:paraId="6F7F2265"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Cavendishia</w:t>
            </w:r>
            <w:proofErr w:type="spellEnd"/>
            <w:r w:rsidRPr="00B450EB">
              <w:rPr>
                <w:rFonts w:eastAsia="Times New Roman" w:cs="Arial"/>
                <w:i/>
                <w:iCs/>
                <w:kern w:val="0"/>
                <w:sz w:val="18"/>
                <w:szCs w:val="18"/>
                <w:lang w:eastAsia="es-CO"/>
                <w14:ligatures w14:val="none"/>
              </w:rPr>
              <w:t xml:space="preserve"> nuda</w:t>
            </w:r>
          </w:p>
        </w:tc>
        <w:tc>
          <w:tcPr>
            <w:tcW w:w="880" w:type="pct"/>
            <w:noWrap/>
            <w:vAlign w:val="center"/>
            <w:hideMark/>
          </w:tcPr>
          <w:p w14:paraId="7B575F72"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370" w:type="pct"/>
            <w:noWrap/>
            <w:vAlign w:val="center"/>
            <w:hideMark/>
          </w:tcPr>
          <w:p w14:paraId="61F581D6"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2282DE76"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Oreopanax</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niger</w:t>
            </w:r>
            <w:proofErr w:type="spellEnd"/>
          </w:p>
        </w:tc>
        <w:tc>
          <w:tcPr>
            <w:tcW w:w="956" w:type="pct"/>
            <w:noWrap/>
            <w:vAlign w:val="center"/>
            <w:hideMark/>
          </w:tcPr>
          <w:p w14:paraId="119D280A"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Araliaceae</w:t>
            </w:r>
            <w:proofErr w:type="spellEnd"/>
          </w:p>
        </w:tc>
        <w:tc>
          <w:tcPr>
            <w:tcW w:w="440" w:type="pct"/>
            <w:noWrap/>
            <w:vAlign w:val="center"/>
            <w:hideMark/>
          </w:tcPr>
          <w:p w14:paraId="5515D2E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7AB684BD" w14:textId="77777777" w:rsidTr="00751668">
        <w:trPr>
          <w:trHeight w:val="288"/>
        </w:trPr>
        <w:tc>
          <w:tcPr>
            <w:tcW w:w="1177" w:type="pct"/>
            <w:noWrap/>
            <w:vAlign w:val="center"/>
            <w:hideMark/>
          </w:tcPr>
          <w:p w14:paraId="5063AB17"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Cecropia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multisecta</w:t>
            </w:r>
            <w:proofErr w:type="spellEnd"/>
          </w:p>
        </w:tc>
        <w:tc>
          <w:tcPr>
            <w:tcW w:w="880" w:type="pct"/>
            <w:noWrap/>
            <w:vAlign w:val="center"/>
            <w:hideMark/>
          </w:tcPr>
          <w:p w14:paraId="1AA763A1"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Urticaceae</w:t>
            </w:r>
            <w:proofErr w:type="spellEnd"/>
          </w:p>
        </w:tc>
        <w:tc>
          <w:tcPr>
            <w:tcW w:w="370" w:type="pct"/>
            <w:noWrap/>
            <w:vAlign w:val="center"/>
            <w:hideMark/>
          </w:tcPr>
          <w:p w14:paraId="22A5DBE6"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4FF1DA2D"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Palicourea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killipii</w:t>
            </w:r>
            <w:proofErr w:type="spellEnd"/>
          </w:p>
        </w:tc>
        <w:tc>
          <w:tcPr>
            <w:tcW w:w="956" w:type="pct"/>
            <w:noWrap/>
            <w:vAlign w:val="center"/>
            <w:hideMark/>
          </w:tcPr>
          <w:p w14:paraId="0C4BBF1A"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Rubiaceae</w:t>
            </w:r>
            <w:proofErr w:type="spellEnd"/>
          </w:p>
        </w:tc>
        <w:tc>
          <w:tcPr>
            <w:tcW w:w="440" w:type="pct"/>
            <w:noWrap/>
            <w:vAlign w:val="center"/>
            <w:hideMark/>
          </w:tcPr>
          <w:p w14:paraId="50EEF84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782A57C0" w14:textId="77777777" w:rsidTr="00751668">
        <w:trPr>
          <w:trHeight w:val="288"/>
        </w:trPr>
        <w:tc>
          <w:tcPr>
            <w:tcW w:w="1177" w:type="pct"/>
            <w:noWrap/>
            <w:vAlign w:val="center"/>
            <w:hideMark/>
          </w:tcPr>
          <w:p w14:paraId="470F5087"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Cedrela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odorata</w:t>
            </w:r>
            <w:proofErr w:type="spellEnd"/>
          </w:p>
        </w:tc>
        <w:tc>
          <w:tcPr>
            <w:tcW w:w="880" w:type="pct"/>
            <w:noWrap/>
            <w:vAlign w:val="center"/>
            <w:hideMark/>
          </w:tcPr>
          <w:p w14:paraId="31912D4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Meliaceae</w:t>
            </w:r>
            <w:proofErr w:type="spellEnd"/>
          </w:p>
        </w:tc>
        <w:tc>
          <w:tcPr>
            <w:tcW w:w="370" w:type="pct"/>
            <w:noWrap/>
            <w:vAlign w:val="center"/>
            <w:hideMark/>
          </w:tcPr>
          <w:p w14:paraId="2982B54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1671B014"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Passiflora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erythrophylla</w:t>
            </w:r>
            <w:proofErr w:type="spellEnd"/>
          </w:p>
        </w:tc>
        <w:tc>
          <w:tcPr>
            <w:tcW w:w="956" w:type="pct"/>
            <w:noWrap/>
            <w:vAlign w:val="center"/>
            <w:hideMark/>
          </w:tcPr>
          <w:p w14:paraId="227C9ABA"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Passifloraceae</w:t>
            </w:r>
            <w:proofErr w:type="spellEnd"/>
          </w:p>
        </w:tc>
        <w:tc>
          <w:tcPr>
            <w:tcW w:w="440" w:type="pct"/>
            <w:noWrap/>
            <w:vAlign w:val="center"/>
            <w:hideMark/>
          </w:tcPr>
          <w:p w14:paraId="21489289"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2BCC677D" w14:textId="77777777" w:rsidTr="00751668">
        <w:trPr>
          <w:trHeight w:val="288"/>
        </w:trPr>
        <w:tc>
          <w:tcPr>
            <w:tcW w:w="1177" w:type="pct"/>
            <w:noWrap/>
            <w:vAlign w:val="center"/>
            <w:hideMark/>
          </w:tcPr>
          <w:p w14:paraId="0B75539E"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Ceroxylon</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quindiuense</w:t>
            </w:r>
            <w:proofErr w:type="spellEnd"/>
          </w:p>
        </w:tc>
        <w:tc>
          <w:tcPr>
            <w:tcW w:w="880" w:type="pct"/>
            <w:noWrap/>
            <w:vAlign w:val="center"/>
            <w:hideMark/>
          </w:tcPr>
          <w:p w14:paraId="2F15996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Arecaceae</w:t>
            </w:r>
            <w:proofErr w:type="spellEnd"/>
          </w:p>
        </w:tc>
        <w:tc>
          <w:tcPr>
            <w:tcW w:w="370" w:type="pct"/>
            <w:noWrap/>
            <w:vAlign w:val="center"/>
            <w:hideMark/>
          </w:tcPr>
          <w:p w14:paraId="6AAB0FC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3F89662A"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Pentacalia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ricoensis</w:t>
            </w:r>
            <w:proofErr w:type="spellEnd"/>
          </w:p>
        </w:tc>
        <w:tc>
          <w:tcPr>
            <w:tcW w:w="956" w:type="pct"/>
            <w:noWrap/>
            <w:vAlign w:val="center"/>
            <w:hideMark/>
          </w:tcPr>
          <w:p w14:paraId="1521326D"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Asteraceae</w:t>
            </w:r>
            <w:proofErr w:type="spellEnd"/>
          </w:p>
        </w:tc>
        <w:tc>
          <w:tcPr>
            <w:tcW w:w="440" w:type="pct"/>
            <w:noWrap/>
            <w:vAlign w:val="center"/>
            <w:hideMark/>
          </w:tcPr>
          <w:p w14:paraId="359838EB"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08C3EF9C" w14:textId="77777777" w:rsidTr="00751668">
        <w:trPr>
          <w:trHeight w:val="288"/>
        </w:trPr>
        <w:tc>
          <w:tcPr>
            <w:tcW w:w="1177" w:type="pct"/>
            <w:noWrap/>
            <w:vAlign w:val="center"/>
            <w:hideMark/>
          </w:tcPr>
          <w:p w14:paraId="5BAAF143"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Citronella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silvatica</w:t>
            </w:r>
            <w:proofErr w:type="spellEnd"/>
          </w:p>
        </w:tc>
        <w:tc>
          <w:tcPr>
            <w:tcW w:w="880" w:type="pct"/>
            <w:noWrap/>
            <w:vAlign w:val="center"/>
            <w:hideMark/>
          </w:tcPr>
          <w:p w14:paraId="47F682C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Cardiopteridaceae</w:t>
            </w:r>
            <w:proofErr w:type="spellEnd"/>
          </w:p>
        </w:tc>
        <w:tc>
          <w:tcPr>
            <w:tcW w:w="370" w:type="pct"/>
            <w:noWrap/>
            <w:vAlign w:val="center"/>
            <w:hideMark/>
          </w:tcPr>
          <w:p w14:paraId="570444FD"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59D7944C"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Perrottetia</w:t>
            </w:r>
            <w:proofErr w:type="spellEnd"/>
            <w:r w:rsidRPr="00B450EB">
              <w:rPr>
                <w:rFonts w:eastAsia="Times New Roman" w:cs="Arial"/>
                <w:i/>
                <w:iCs/>
                <w:kern w:val="0"/>
                <w:sz w:val="18"/>
                <w:szCs w:val="18"/>
                <w:lang w:eastAsia="es-CO"/>
                <w14:ligatures w14:val="none"/>
              </w:rPr>
              <w:t xml:space="preserve"> calva</w:t>
            </w:r>
          </w:p>
        </w:tc>
        <w:tc>
          <w:tcPr>
            <w:tcW w:w="956" w:type="pct"/>
            <w:noWrap/>
            <w:vAlign w:val="center"/>
            <w:hideMark/>
          </w:tcPr>
          <w:p w14:paraId="3E61012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Dipentodontaceae</w:t>
            </w:r>
            <w:proofErr w:type="spellEnd"/>
          </w:p>
        </w:tc>
        <w:tc>
          <w:tcPr>
            <w:tcW w:w="440" w:type="pct"/>
            <w:noWrap/>
            <w:vAlign w:val="center"/>
            <w:hideMark/>
          </w:tcPr>
          <w:p w14:paraId="2A75EAF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6E1A1FED" w14:textId="77777777" w:rsidTr="00751668">
        <w:trPr>
          <w:trHeight w:val="288"/>
        </w:trPr>
        <w:tc>
          <w:tcPr>
            <w:tcW w:w="1177" w:type="pct"/>
            <w:noWrap/>
            <w:vAlign w:val="center"/>
            <w:hideMark/>
          </w:tcPr>
          <w:p w14:paraId="5FCBDA09"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Clusia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hachensis</w:t>
            </w:r>
            <w:proofErr w:type="spellEnd"/>
          </w:p>
        </w:tc>
        <w:tc>
          <w:tcPr>
            <w:tcW w:w="880" w:type="pct"/>
            <w:noWrap/>
            <w:vAlign w:val="center"/>
            <w:hideMark/>
          </w:tcPr>
          <w:p w14:paraId="2A78651C"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Clusiaceae</w:t>
            </w:r>
            <w:proofErr w:type="spellEnd"/>
          </w:p>
        </w:tc>
        <w:tc>
          <w:tcPr>
            <w:tcW w:w="370" w:type="pct"/>
            <w:noWrap/>
            <w:vAlign w:val="center"/>
            <w:hideMark/>
          </w:tcPr>
          <w:p w14:paraId="67CBB4D7"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0CE59BDD"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Persea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chrysophylla</w:t>
            </w:r>
            <w:proofErr w:type="spellEnd"/>
          </w:p>
        </w:tc>
        <w:tc>
          <w:tcPr>
            <w:tcW w:w="956" w:type="pct"/>
            <w:noWrap/>
            <w:vAlign w:val="center"/>
            <w:hideMark/>
          </w:tcPr>
          <w:p w14:paraId="5F991525"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Lauraceae</w:t>
            </w:r>
            <w:proofErr w:type="spellEnd"/>
          </w:p>
        </w:tc>
        <w:tc>
          <w:tcPr>
            <w:tcW w:w="440" w:type="pct"/>
            <w:noWrap/>
            <w:vAlign w:val="center"/>
            <w:hideMark/>
          </w:tcPr>
          <w:p w14:paraId="0ECD1E8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45EA687A" w14:textId="77777777" w:rsidTr="00751668">
        <w:trPr>
          <w:trHeight w:val="288"/>
        </w:trPr>
        <w:tc>
          <w:tcPr>
            <w:tcW w:w="1177" w:type="pct"/>
            <w:noWrap/>
            <w:vAlign w:val="center"/>
            <w:hideMark/>
          </w:tcPr>
          <w:p w14:paraId="7B47A7FA"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Clusia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rubescens</w:t>
            </w:r>
            <w:proofErr w:type="spellEnd"/>
          </w:p>
        </w:tc>
        <w:tc>
          <w:tcPr>
            <w:tcW w:w="880" w:type="pct"/>
            <w:noWrap/>
            <w:vAlign w:val="center"/>
            <w:hideMark/>
          </w:tcPr>
          <w:p w14:paraId="07041CC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Clusiaceae</w:t>
            </w:r>
            <w:proofErr w:type="spellEnd"/>
          </w:p>
        </w:tc>
        <w:tc>
          <w:tcPr>
            <w:tcW w:w="370" w:type="pct"/>
            <w:noWrap/>
            <w:vAlign w:val="center"/>
            <w:hideMark/>
          </w:tcPr>
          <w:p w14:paraId="43D0DAFB"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3E6D9D1C"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Phragmipedium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schlimii</w:t>
            </w:r>
            <w:proofErr w:type="spellEnd"/>
          </w:p>
        </w:tc>
        <w:tc>
          <w:tcPr>
            <w:tcW w:w="956" w:type="pct"/>
            <w:noWrap/>
            <w:vAlign w:val="center"/>
            <w:hideMark/>
          </w:tcPr>
          <w:p w14:paraId="0E31116B"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Orchidaceae</w:t>
            </w:r>
            <w:proofErr w:type="spellEnd"/>
          </w:p>
        </w:tc>
        <w:tc>
          <w:tcPr>
            <w:tcW w:w="440" w:type="pct"/>
            <w:noWrap/>
            <w:vAlign w:val="center"/>
            <w:hideMark/>
          </w:tcPr>
          <w:p w14:paraId="0B75EBF9"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5BBA0852" w14:textId="77777777" w:rsidTr="00751668">
        <w:trPr>
          <w:trHeight w:val="288"/>
        </w:trPr>
        <w:tc>
          <w:tcPr>
            <w:tcW w:w="1177" w:type="pct"/>
            <w:noWrap/>
            <w:vAlign w:val="center"/>
            <w:hideMark/>
          </w:tcPr>
          <w:p w14:paraId="4CB6F2ED"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Clusia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volubilis</w:t>
            </w:r>
            <w:proofErr w:type="spellEnd"/>
          </w:p>
        </w:tc>
        <w:tc>
          <w:tcPr>
            <w:tcW w:w="880" w:type="pct"/>
            <w:noWrap/>
            <w:vAlign w:val="center"/>
            <w:hideMark/>
          </w:tcPr>
          <w:p w14:paraId="21924970"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Clusiaceae</w:t>
            </w:r>
            <w:proofErr w:type="spellEnd"/>
          </w:p>
        </w:tc>
        <w:tc>
          <w:tcPr>
            <w:tcW w:w="370" w:type="pct"/>
            <w:noWrap/>
            <w:vAlign w:val="center"/>
            <w:hideMark/>
          </w:tcPr>
          <w:p w14:paraId="04181147"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2A5B7E20"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Phytelephas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tumacana</w:t>
            </w:r>
            <w:proofErr w:type="spellEnd"/>
          </w:p>
        </w:tc>
        <w:tc>
          <w:tcPr>
            <w:tcW w:w="956" w:type="pct"/>
            <w:noWrap/>
            <w:vAlign w:val="center"/>
            <w:hideMark/>
          </w:tcPr>
          <w:p w14:paraId="1302675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Arecaceae</w:t>
            </w:r>
            <w:proofErr w:type="spellEnd"/>
          </w:p>
        </w:tc>
        <w:tc>
          <w:tcPr>
            <w:tcW w:w="440" w:type="pct"/>
            <w:noWrap/>
            <w:vAlign w:val="center"/>
            <w:hideMark/>
          </w:tcPr>
          <w:p w14:paraId="5E436D04"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44CC5B6A" w14:textId="77777777" w:rsidTr="00751668">
        <w:trPr>
          <w:trHeight w:val="288"/>
        </w:trPr>
        <w:tc>
          <w:tcPr>
            <w:tcW w:w="1177" w:type="pct"/>
            <w:noWrap/>
            <w:vAlign w:val="center"/>
            <w:hideMark/>
          </w:tcPr>
          <w:p w14:paraId="0ADE11C7"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Conceveiba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santanderensis</w:t>
            </w:r>
            <w:proofErr w:type="spellEnd"/>
          </w:p>
        </w:tc>
        <w:tc>
          <w:tcPr>
            <w:tcW w:w="880" w:type="pct"/>
            <w:noWrap/>
            <w:vAlign w:val="center"/>
            <w:hideMark/>
          </w:tcPr>
          <w:p w14:paraId="045CA68F"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Euphorbiaceae</w:t>
            </w:r>
            <w:proofErr w:type="spellEnd"/>
          </w:p>
        </w:tc>
        <w:tc>
          <w:tcPr>
            <w:tcW w:w="370" w:type="pct"/>
            <w:noWrap/>
            <w:vAlign w:val="center"/>
            <w:hideMark/>
          </w:tcPr>
          <w:p w14:paraId="716E7651"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35BDEE5F"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Pitcairnia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altoatratoensis</w:t>
            </w:r>
            <w:proofErr w:type="spellEnd"/>
          </w:p>
        </w:tc>
        <w:tc>
          <w:tcPr>
            <w:tcW w:w="956" w:type="pct"/>
            <w:noWrap/>
            <w:vAlign w:val="center"/>
            <w:hideMark/>
          </w:tcPr>
          <w:p w14:paraId="526E908C"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Bromeliaceae</w:t>
            </w:r>
            <w:proofErr w:type="spellEnd"/>
          </w:p>
        </w:tc>
        <w:tc>
          <w:tcPr>
            <w:tcW w:w="440" w:type="pct"/>
            <w:noWrap/>
            <w:vAlign w:val="center"/>
            <w:hideMark/>
          </w:tcPr>
          <w:p w14:paraId="76AC231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7866C3D4" w14:textId="77777777" w:rsidTr="00751668">
        <w:trPr>
          <w:trHeight w:val="288"/>
        </w:trPr>
        <w:tc>
          <w:tcPr>
            <w:tcW w:w="1177" w:type="pct"/>
            <w:noWrap/>
            <w:vAlign w:val="center"/>
            <w:hideMark/>
          </w:tcPr>
          <w:p w14:paraId="6EDBD4C9"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Daphnopsis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anomala</w:t>
            </w:r>
            <w:proofErr w:type="spellEnd"/>
          </w:p>
        </w:tc>
        <w:tc>
          <w:tcPr>
            <w:tcW w:w="880" w:type="pct"/>
            <w:noWrap/>
            <w:vAlign w:val="center"/>
            <w:hideMark/>
          </w:tcPr>
          <w:p w14:paraId="027F16B7"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Thymelaeaceae</w:t>
            </w:r>
            <w:proofErr w:type="spellEnd"/>
          </w:p>
        </w:tc>
        <w:tc>
          <w:tcPr>
            <w:tcW w:w="370" w:type="pct"/>
            <w:noWrap/>
            <w:vAlign w:val="center"/>
            <w:hideMark/>
          </w:tcPr>
          <w:p w14:paraId="609708F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1D4035E4"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Pitcairnia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barrigae</w:t>
            </w:r>
            <w:proofErr w:type="spellEnd"/>
          </w:p>
        </w:tc>
        <w:tc>
          <w:tcPr>
            <w:tcW w:w="956" w:type="pct"/>
            <w:noWrap/>
            <w:vAlign w:val="center"/>
            <w:hideMark/>
          </w:tcPr>
          <w:p w14:paraId="436038DB"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Bromeliaceae</w:t>
            </w:r>
            <w:proofErr w:type="spellEnd"/>
          </w:p>
        </w:tc>
        <w:tc>
          <w:tcPr>
            <w:tcW w:w="440" w:type="pct"/>
            <w:noWrap/>
            <w:vAlign w:val="center"/>
            <w:hideMark/>
          </w:tcPr>
          <w:p w14:paraId="5D71F8E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63AB8EC8" w14:textId="77777777" w:rsidTr="00751668">
        <w:trPr>
          <w:trHeight w:val="288"/>
        </w:trPr>
        <w:tc>
          <w:tcPr>
            <w:tcW w:w="1177" w:type="pct"/>
            <w:noWrap/>
            <w:vAlign w:val="center"/>
            <w:hideMark/>
          </w:tcPr>
          <w:p w14:paraId="19739D45"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Dendropanax</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glaberrimus</w:t>
            </w:r>
            <w:proofErr w:type="spellEnd"/>
          </w:p>
        </w:tc>
        <w:tc>
          <w:tcPr>
            <w:tcW w:w="880" w:type="pct"/>
            <w:noWrap/>
            <w:vAlign w:val="center"/>
            <w:hideMark/>
          </w:tcPr>
          <w:p w14:paraId="0365204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Araliaceae</w:t>
            </w:r>
            <w:proofErr w:type="spellEnd"/>
          </w:p>
        </w:tc>
        <w:tc>
          <w:tcPr>
            <w:tcW w:w="370" w:type="pct"/>
            <w:noWrap/>
            <w:vAlign w:val="center"/>
            <w:hideMark/>
          </w:tcPr>
          <w:p w14:paraId="5994372E"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2615D56D"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Pitcairnia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petraea</w:t>
            </w:r>
            <w:proofErr w:type="spellEnd"/>
          </w:p>
        </w:tc>
        <w:tc>
          <w:tcPr>
            <w:tcW w:w="956" w:type="pct"/>
            <w:noWrap/>
            <w:vAlign w:val="center"/>
            <w:hideMark/>
          </w:tcPr>
          <w:p w14:paraId="2EA977C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Bromeliaceae</w:t>
            </w:r>
            <w:proofErr w:type="spellEnd"/>
          </w:p>
        </w:tc>
        <w:tc>
          <w:tcPr>
            <w:tcW w:w="440" w:type="pct"/>
            <w:noWrap/>
            <w:vAlign w:val="center"/>
            <w:hideMark/>
          </w:tcPr>
          <w:p w14:paraId="366534E9"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080292F5" w14:textId="77777777" w:rsidTr="00751668">
        <w:trPr>
          <w:trHeight w:val="288"/>
        </w:trPr>
        <w:tc>
          <w:tcPr>
            <w:tcW w:w="1177" w:type="pct"/>
            <w:noWrap/>
            <w:vAlign w:val="center"/>
            <w:hideMark/>
          </w:tcPr>
          <w:p w14:paraId="47917B14"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Dendropanax</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lehmannii</w:t>
            </w:r>
            <w:proofErr w:type="spellEnd"/>
          </w:p>
        </w:tc>
        <w:tc>
          <w:tcPr>
            <w:tcW w:w="880" w:type="pct"/>
            <w:noWrap/>
            <w:vAlign w:val="center"/>
            <w:hideMark/>
          </w:tcPr>
          <w:p w14:paraId="332B81BD"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Araliaceae</w:t>
            </w:r>
            <w:proofErr w:type="spellEnd"/>
          </w:p>
        </w:tc>
        <w:tc>
          <w:tcPr>
            <w:tcW w:w="370" w:type="pct"/>
            <w:noWrap/>
            <w:vAlign w:val="center"/>
            <w:hideMark/>
          </w:tcPr>
          <w:p w14:paraId="271CF07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1C42305F"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Pitcairnia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sylvestris</w:t>
            </w:r>
            <w:proofErr w:type="spellEnd"/>
          </w:p>
        </w:tc>
        <w:tc>
          <w:tcPr>
            <w:tcW w:w="956" w:type="pct"/>
            <w:noWrap/>
            <w:vAlign w:val="center"/>
            <w:hideMark/>
          </w:tcPr>
          <w:p w14:paraId="32465AE5"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Bromeliaceae</w:t>
            </w:r>
            <w:proofErr w:type="spellEnd"/>
          </w:p>
        </w:tc>
        <w:tc>
          <w:tcPr>
            <w:tcW w:w="440" w:type="pct"/>
            <w:noWrap/>
            <w:vAlign w:val="center"/>
            <w:hideMark/>
          </w:tcPr>
          <w:p w14:paraId="5019C76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764EBB49" w14:textId="77777777" w:rsidTr="00751668">
        <w:trPr>
          <w:trHeight w:val="288"/>
        </w:trPr>
        <w:tc>
          <w:tcPr>
            <w:tcW w:w="1177" w:type="pct"/>
            <w:noWrap/>
            <w:vAlign w:val="center"/>
            <w:hideMark/>
          </w:tcPr>
          <w:p w14:paraId="65CC75C0"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Dendropanax</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pachypodus</w:t>
            </w:r>
            <w:proofErr w:type="spellEnd"/>
          </w:p>
        </w:tc>
        <w:tc>
          <w:tcPr>
            <w:tcW w:w="880" w:type="pct"/>
            <w:noWrap/>
            <w:vAlign w:val="center"/>
            <w:hideMark/>
          </w:tcPr>
          <w:p w14:paraId="6FCE422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Araliaceae</w:t>
            </w:r>
            <w:proofErr w:type="spellEnd"/>
          </w:p>
        </w:tc>
        <w:tc>
          <w:tcPr>
            <w:tcW w:w="370" w:type="pct"/>
            <w:noWrap/>
            <w:vAlign w:val="center"/>
            <w:hideMark/>
          </w:tcPr>
          <w:p w14:paraId="56CCD897"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0B9DED9A"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Pleurothallis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killipii</w:t>
            </w:r>
            <w:proofErr w:type="spellEnd"/>
          </w:p>
        </w:tc>
        <w:tc>
          <w:tcPr>
            <w:tcW w:w="956" w:type="pct"/>
            <w:noWrap/>
            <w:vAlign w:val="center"/>
            <w:hideMark/>
          </w:tcPr>
          <w:p w14:paraId="44B0F121"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Orchidaceae</w:t>
            </w:r>
            <w:proofErr w:type="spellEnd"/>
          </w:p>
        </w:tc>
        <w:tc>
          <w:tcPr>
            <w:tcW w:w="440" w:type="pct"/>
            <w:noWrap/>
            <w:vAlign w:val="center"/>
            <w:hideMark/>
          </w:tcPr>
          <w:p w14:paraId="531F6411"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443D6A68" w14:textId="77777777" w:rsidTr="00751668">
        <w:trPr>
          <w:trHeight w:val="288"/>
        </w:trPr>
        <w:tc>
          <w:tcPr>
            <w:tcW w:w="1177" w:type="pct"/>
            <w:noWrap/>
            <w:vAlign w:val="center"/>
            <w:hideMark/>
          </w:tcPr>
          <w:p w14:paraId="4573DAED"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Duguetia</w:t>
            </w:r>
            <w:proofErr w:type="spellEnd"/>
            <w:r w:rsidRPr="00B450EB">
              <w:rPr>
                <w:rFonts w:eastAsia="Times New Roman" w:cs="Arial"/>
                <w:i/>
                <w:iCs/>
                <w:kern w:val="0"/>
                <w:sz w:val="18"/>
                <w:szCs w:val="18"/>
                <w:lang w:eastAsia="es-CO"/>
                <w14:ligatures w14:val="none"/>
              </w:rPr>
              <w:t xml:space="preserve"> colombiana</w:t>
            </w:r>
          </w:p>
        </w:tc>
        <w:tc>
          <w:tcPr>
            <w:tcW w:w="880" w:type="pct"/>
            <w:noWrap/>
            <w:vAlign w:val="center"/>
            <w:hideMark/>
          </w:tcPr>
          <w:p w14:paraId="08A2963C"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Annonaceae</w:t>
            </w:r>
            <w:proofErr w:type="spellEnd"/>
          </w:p>
        </w:tc>
        <w:tc>
          <w:tcPr>
            <w:tcW w:w="370" w:type="pct"/>
            <w:noWrap/>
            <w:vAlign w:val="center"/>
            <w:hideMark/>
          </w:tcPr>
          <w:p w14:paraId="606A30F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64E67F20"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Plutarchia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guascensis</w:t>
            </w:r>
            <w:proofErr w:type="spellEnd"/>
          </w:p>
        </w:tc>
        <w:tc>
          <w:tcPr>
            <w:tcW w:w="956" w:type="pct"/>
            <w:noWrap/>
            <w:vAlign w:val="center"/>
            <w:hideMark/>
          </w:tcPr>
          <w:p w14:paraId="79A7DC51"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440" w:type="pct"/>
            <w:noWrap/>
            <w:vAlign w:val="center"/>
            <w:hideMark/>
          </w:tcPr>
          <w:p w14:paraId="37BC0CA2"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078963F1" w14:textId="77777777" w:rsidTr="00751668">
        <w:trPr>
          <w:trHeight w:val="288"/>
        </w:trPr>
        <w:tc>
          <w:tcPr>
            <w:tcW w:w="1177" w:type="pct"/>
            <w:noWrap/>
            <w:vAlign w:val="center"/>
            <w:hideMark/>
          </w:tcPr>
          <w:p w14:paraId="03280388"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Epidendrum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magnibracteum</w:t>
            </w:r>
            <w:proofErr w:type="spellEnd"/>
          </w:p>
        </w:tc>
        <w:tc>
          <w:tcPr>
            <w:tcW w:w="880" w:type="pct"/>
            <w:noWrap/>
            <w:vAlign w:val="center"/>
            <w:hideMark/>
          </w:tcPr>
          <w:p w14:paraId="311C3387"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Orchidaceae</w:t>
            </w:r>
            <w:proofErr w:type="spellEnd"/>
          </w:p>
        </w:tc>
        <w:tc>
          <w:tcPr>
            <w:tcW w:w="370" w:type="pct"/>
            <w:noWrap/>
            <w:vAlign w:val="center"/>
            <w:hideMark/>
          </w:tcPr>
          <w:p w14:paraId="21F18196"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4905232B"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Plutarchia</w:t>
            </w:r>
            <w:proofErr w:type="spellEnd"/>
            <w:r w:rsidRPr="00B450EB">
              <w:rPr>
                <w:rFonts w:eastAsia="Times New Roman" w:cs="Arial"/>
                <w:i/>
                <w:iCs/>
                <w:kern w:val="0"/>
                <w:sz w:val="18"/>
                <w:szCs w:val="18"/>
                <w:lang w:eastAsia="es-CO"/>
                <w14:ligatures w14:val="none"/>
              </w:rPr>
              <w:t xml:space="preserve"> miranda</w:t>
            </w:r>
          </w:p>
        </w:tc>
        <w:tc>
          <w:tcPr>
            <w:tcW w:w="956" w:type="pct"/>
            <w:noWrap/>
            <w:vAlign w:val="center"/>
            <w:hideMark/>
          </w:tcPr>
          <w:p w14:paraId="652313FE"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440" w:type="pct"/>
            <w:noWrap/>
            <w:vAlign w:val="center"/>
            <w:hideMark/>
          </w:tcPr>
          <w:p w14:paraId="0DC2DC4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5A277F8A" w14:textId="77777777" w:rsidTr="00751668">
        <w:trPr>
          <w:trHeight w:val="288"/>
        </w:trPr>
        <w:tc>
          <w:tcPr>
            <w:tcW w:w="1177" w:type="pct"/>
            <w:noWrap/>
            <w:vAlign w:val="center"/>
            <w:hideMark/>
          </w:tcPr>
          <w:p w14:paraId="3CCBC75A"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Epidendrum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uribei</w:t>
            </w:r>
            <w:proofErr w:type="spellEnd"/>
          </w:p>
        </w:tc>
        <w:tc>
          <w:tcPr>
            <w:tcW w:w="880" w:type="pct"/>
            <w:noWrap/>
            <w:vAlign w:val="center"/>
            <w:hideMark/>
          </w:tcPr>
          <w:p w14:paraId="70ABA760"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Orchidaceae</w:t>
            </w:r>
            <w:proofErr w:type="spellEnd"/>
          </w:p>
        </w:tc>
        <w:tc>
          <w:tcPr>
            <w:tcW w:w="370" w:type="pct"/>
            <w:noWrap/>
            <w:vAlign w:val="center"/>
            <w:hideMark/>
          </w:tcPr>
          <w:p w14:paraId="04410C5C"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4E83C9E9"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Plutarchia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pubiflora</w:t>
            </w:r>
            <w:proofErr w:type="spellEnd"/>
          </w:p>
        </w:tc>
        <w:tc>
          <w:tcPr>
            <w:tcW w:w="956" w:type="pct"/>
            <w:noWrap/>
            <w:vAlign w:val="center"/>
            <w:hideMark/>
          </w:tcPr>
          <w:p w14:paraId="30E5DB1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440" w:type="pct"/>
            <w:noWrap/>
            <w:vAlign w:val="center"/>
            <w:hideMark/>
          </w:tcPr>
          <w:p w14:paraId="7D12ED53"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4A0C09F2" w14:textId="77777777" w:rsidTr="00751668">
        <w:trPr>
          <w:trHeight w:val="288"/>
        </w:trPr>
        <w:tc>
          <w:tcPr>
            <w:tcW w:w="1177" w:type="pct"/>
            <w:noWrap/>
            <w:vAlign w:val="center"/>
            <w:hideMark/>
          </w:tcPr>
          <w:p w14:paraId="3854AAAC"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Erythroxylum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cassinoides</w:t>
            </w:r>
            <w:proofErr w:type="spellEnd"/>
          </w:p>
        </w:tc>
        <w:tc>
          <w:tcPr>
            <w:tcW w:w="880" w:type="pct"/>
            <w:noWrap/>
            <w:vAlign w:val="center"/>
            <w:hideMark/>
          </w:tcPr>
          <w:p w14:paraId="232464A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Erythroxylaceae</w:t>
            </w:r>
            <w:proofErr w:type="spellEnd"/>
          </w:p>
        </w:tc>
        <w:tc>
          <w:tcPr>
            <w:tcW w:w="370" w:type="pct"/>
            <w:noWrap/>
            <w:vAlign w:val="center"/>
            <w:hideMark/>
          </w:tcPr>
          <w:p w14:paraId="4635F7D1"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1F70D9A8"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Plutarchia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rigida</w:t>
            </w:r>
            <w:proofErr w:type="spellEnd"/>
          </w:p>
        </w:tc>
        <w:tc>
          <w:tcPr>
            <w:tcW w:w="956" w:type="pct"/>
            <w:noWrap/>
            <w:vAlign w:val="center"/>
            <w:hideMark/>
          </w:tcPr>
          <w:p w14:paraId="475AB582"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440" w:type="pct"/>
            <w:noWrap/>
            <w:vAlign w:val="center"/>
            <w:hideMark/>
          </w:tcPr>
          <w:p w14:paraId="7DF20DE5"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7AC9E1BD" w14:textId="77777777" w:rsidTr="00751668">
        <w:trPr>
          <w:trHeight w:val="288"/>
        </w:trPr>
        <w:tc>
          <w:tcPr>
            <w:tcW w:w="1177" w:type="pct"/>
            <w:noWrap/>
            <w:vAlign w:val="center"/>
            <w:hideMark/>
          </w:tcPr>
          <w:p w14:paraId="4AE65737"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Eschweilera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bogotensis</w:t>
            </w:r>
            <w:proofErr w:type="spellEnd"/>
          </w:p>
        </w:tc>
        <w:tc>
          <w:tcPr>
            <w:tcW w:w="880" w:type="pct"/>
            <w:noWrap/>
            <w:vAlign w:val="center"/>
            <w:hideMark/>
          </w:tcPr>
          <w:p w14:paraId="01ACABB5"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Lecythidaceae</w:t>
            </w:r>
            <w:proofErr w:type="spellEnd"/>
          </w:p>
        </w:tc>
        <w:tc>
          <w:tcPr>
            <w:tcW w:w="370" w:type="pct"/>
            <w:noWrap/>
            <w:vAlign w:val="center"/>
            <w:hideMark/>
          </w:tcPr>
          <w:p w14:paraId="5843E03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3EFEB225"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Prionolejeunea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magnistipula</w:t>
            </w:r>
            <w:proofErr w:type="spellEnd"/>
          </w:p>
        </w:tc>
        <w:tc>
          <w:tcPr>
            <w:tcW w:w="956" w:type="pct"/>
            <w:noWrap/>
            <w:vAlign w:val="center"/>
            <w:hideMark/>
          </w:tcPr>
          <w:p w14:paraId="4C051D71"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Lejeuneaceae</w:t>
            </w:r>
            <w:proofErr w:type="spellEnd"/>
          </w:p>
        </w:tc>
        <w:tc>
          <w:tcPr>
            <w:tcW w:w="440" w:type="pct"/>
            <w:noWrap/>
            <w:vAlign w:val="center"/>
            <w:hideMark/>
          </w:tcPr>
          <w:p w14:paraId="7B475662"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20764E33" w14:textId="77777777" w:rsidTr="00751668">
        <w:trPr>
          <w:trHeight w:val="288"/>
        </w:trPr>
        <w:tc>
          <w:tcPr>
            <w:tcW w:w="1177" w:type="pct"/>
            <w:noWrap/>
            <w:vAlign w:val="center"/>
            <w:hideMark/>
          </w:tcPr>
          <w:p w14:paraId="2DE5FE7B"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Eschweilera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cabrerana</w:t>
            </w:r>
            <w:proofErr w:type="spellEnd"/>
          </w:p>
        </w:tc>
        <w:tc>
          <w:tcPr>
            <w:tcW w:w="880" w:type="pct"/>
            <w:noWrap/>
            <w:vAlign w:val="center"/>
            <w:hideMark/>
          </w:tcPr>
          <w:p w14:paraId="6B60810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Lecythidaceae</w:t>
            </w:r>
            <w:proofErr w:type="spellEnd"/>
          </w:p>
        </w:tc>
        <w:tc>
          <w:tcPr>
            <w:tcW w:w="370" w:type="pct"/>
            <w:noWrap/>
            <w:vAlign w:val="center"/>
            <w:hideMark/>
          </w:tcPr>
          <w:p w14:paraId="704313A1"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5854EDEA"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Puya </w:t>
            </w:r>
            <w:proofErr w:type="spellStart"/>
            <w:r w:rsidRPr="00B450EB">
              <w:rPr>
                <w:rFonts w:eastAsia="Times New Roman" w:cs="Arial"/>
                <w:i/>
                <w:iCs/>
                <w:kern w:val="0"/>
                <w:sz w:val="18"/>
                <w:szCs w:val="18"/>
                <w:lang w:eastAsia="es-CO"/>
                <w14:ligatures w14:val="none"/>
              </w:rPr>
              <w:t>boyacana</w:t>
            </w:r>
            <w:proofErr w:type="spellEnd"/>
          </w:p>
        </w:tc>
        <w:tc>
          <w:tcPr>
            <w:tcW w:w="956" w:type="pct"/>
            <w:noWrap/>
            <w:vAlign w:val="center"/>
            <w:hideMark/>
          </w:tcPr>
          <w:p w14:paraId="4D380F8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Bromeliaceae</w:t>
            </w:r>
            <w:proofErr w:type="spellEnd"/>
          </w:p>
        </w:tc>
        <w:tc>
          <w:tcPr>
            <w:tcW w:w="440" w:type="pct"/>
            <w:noWrap/>
            <w:vAlign w:val="center"/>
            <w:hideMark/>
          </w:tcPr>
          <w:p w14:paraId="7AB8D953"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5B25B827" w14:textId="77777777" w:rsidTr="00751668">
        <w:trPr>
          <w:trHeight w:val="288"/>
        </w:trPr>
        <w:tc>
          <w:tcPr>
            <w:tcW w:w="1177" w:type="pct"/>
            <w:noWrap/>
            <w:vAlign w:val="center"/>
            <w:hideMark/>
          </w:tcPr>
          <w:p w14:paraId="75A2B68B"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Eschweilera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integricalyx</w:t>
            </w:r>
            <w:proofErr w:type="spellEnd"/>
          </w:p>
        </w:tc>
        <w:tc>
          <w:tcPr>
            <w:tcW w:w="880" w:type="pct"/>
            <w:noWrap/>
            <w:vAlign w:val="center"/>
            <w:hideMark/>
          </w:tcPr>
          <w:p w14:paraId="7E41DF4A"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Lecythidaceae</w:t>
            </w:r>
            <w:proofErr w:type="spellEnd"/>
          </w:p>
        </w:tc>
        <w:tc>
          <w:tcPr>
            <w:tcW w:w="370" w:type="pct"/>
            <w:noWrap/>
            <w:vAlign w:val="center"/>
            <w:hideMark/>
          </w:tcPr>
          <w:p w14:paraId="40201032"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291A20D0"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Puya </w:t>
            </w:r>
            <w:proofErr w:type="spellStart"/>
            <w:r w:rsidRPr="00B450EB">
              <w:rPr>
                <w:rFonts w:eastAsia="Times New Roman" w:cs="Arial"/>
                <w:i/>
                <w:iCs/>
                <w:kern w:val="0"/>
                <w:sz w:val="18"/>
                <w:szCs w:val="18"/>
                <w:lang w:eastAsia="es-CO"/>
                <w14:ligatures w14:val="none"/>
              </w:rPr>
              <w:t>cuatrecasasii</w:t>
            </w:r>
            <w:proofErr w:type="spellEnd"/>
          </w:p>
        </w:tc>
        <w:tc>
          <w:tcPr>
            <w:tcW w:w="956" w:type="pct"/>
            <w:noWrap/>
            <w:vAlign w:val="center"/>
            <w:hideMark/>
          </w:tcPr>
          <w:p w14:paraId="6A698C73"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Bromeliaceae</w:t>
            </w:r>
            <w:proofErr w:type="spellEnd"/>
          </w:p>
        </w:tc>
        <w:tc>
          <w:tcPr>
            <w:tcW w:w="440" w:type="pct"/>
            <w:noWrap/>
            <w:vAlign w:val="center"/>
            <w:hideMark/>
          </w:tcPr>
          <w:p w14:paraId="6E3DFD27"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53F995DC" w14:textId="77777777" w:rsidTr="00751668">
        <w:trPr>
          <w:trHeight w:val="288"/>
        </w:trPr>
        <w:tc>
          <w:tcPr>
            <w:tcW w:w="1177" w:type="pct"/>
            <w:noWrap/>
            <w:vAlign w:val="center"/>
            <w:hideMark/>
          </w:tcPr>
          <w:p w14:paraId="51169B17"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Espeletia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idroboi</w:t>
            </w:r>
            <w:proofErr w:type="spellEnd"/>
          </w:p>
        </w:tc>
        <w:tc>
          <w:tcPr>
            <w:tcW w:w="880" w:type="pct"/>
            <w:noWrap/>
            <w:vAlign w:val="center"/>
            <w:hideMark/>
          </w:tcPr>
          <w:p w14:paraId="6B48A2E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Asteraceae</w:t>
            </w:r>
            <w:proofErr w:type="spellEnd"/>
          </w:p>
        </w:tc>
        <w:tc>
          <w:tcPr>
            <w:tcW w:w="370" w:type="pct"/>
            <w:noWrap/>
            <w:vAlign w:val="center"/>
            <w:hideMark/>
          </w:tcPr>
          <w:p w14:paraId="5C9EB184"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4F0CEBF2"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Salvia </w:t>
            </w:r>
            <w:proofErr w:type="spellStart"/>
            <w:r w:rsidRPr="00B450EB">
              <w:rPr>
                <w:rFonts w:eastAsia="Times New Roman" w:cs="Arial"/>
                <w:i/>
                <w:iCs/>
                <w:kern w:val="0"/>
                <w:sz w:val="18"/>
                <w:szCs w:val="18"/>
                <w:lang w:eastAsia="es-CO"/>
                <w14:ligatures w14:val="none"/>
              </w:rPr>
              <w:t>nubigena</w:t>
            </w:r>
            <w:proofErr w:type="spellEnd"/>
          </w:p>
        </w:tc>
        <w:tc>
          <w:tcPr>
            <w:tcW w:w="956" w:type="pct"/>
            <w:noWrap/>
            <w:vAlign w:val="center"/>
            <w:hideMark/>
          </w:tcPr>
          <w:p w14:paraId="3DC47855"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Lamiaceae</w:t>
            </w:r>
            <w:proofErr w:type="spellEnd"/>
          </w:p>
        </w:tc>
        <w:tc>
          <w:tcPr>
            <w:tcW w:w="440" w:type="pct"/>
            <w:noWrap/>
            <w:vAlign w:val="center"/>
            <w:hideMark/>
          </w:tcPr>
          <w:p w14:paraId="3549316B"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00118AA7" w14:textId="77777777" w:rsidTr="00751668">
        <w:trPr>
          <w:trHeight w:val="288"/>
        </w:trPr>
        <w:tc>
          <w:tcPr>
            <w:tcW w:w="1177" w:type="pct"/>
            <w:noWrap/>
            <w:vAlign w:val="center"/>
            <w:hideMark/>
          </w:tcPr>
          <w:p w14:paraId="28F6F768"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Espeletia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miradorensis</w:t>
            </w:r>
            <w:proofErr w:type="spellEnd"/>
          </w:p>
        </w:tc>
        <w:tc>
          <w:tcPr>
            <w:tcW w:w="880" w:type="pct"/>
            <w:noWrap/>
            <w:vAlign w:val="center"/>
            <w:hideMark/>
          </w:tcPr>
          <w:p w14:paraId="257E2C7F"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Asteraceae</w:t>
            </w:r>
            <w:proofErr w:type="spellEnd"/>
          </w:p>
        </w:tc>
        <w:tc>
          <w:tcPr>
            <w:tcW w:w="370" w:type="pct"/>
            <w:noWrap/>
            <w:vAlign w:val="center"/>
            <w:hideMark/>
          </w:tcPr>
          <w:p w14:paraId="747DC433"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17DCBDFC"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Saurauia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micayensis</w:t>
            </w:r>
            <w:proofErr w:type="spellEnd"/>
          </w:p>
        </w:tc>
        <w:tc>
          <w:tcPr>
            <w:tcW w:w="956" w:type="pct"/>
            <w:noWrap/>
            <w:vAlign w:val="center"/>
            <w:hideMark/>
          </w:tcPr>
          <w:p w14:paraId="0A711DEE"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Actinidiaceae</w:t>
            </w:r>
            <w:proofErr w:type="spellEnd"/>
          </w:p>
        </w:tc>
        <w:tc>
          <w:tcPr>
            <w:tcW w:w="440" w:type="pct"/>
            <w:noWrap/>
            <w:vAlign w:val="center"/>
            <w:hideMark/>
          </w:tcPr>
          <w:p w14:paraId="3095DB79"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65B5B157" w14:textId="77777777" w:rsidTr="00751668">
        <w:trPr>
          <w:trHeight w:val="288"/>
        </w:trPr>
        <w:tc>
          <w:tcPr>
            <w:tcW w:w="1177" w:type="pct"/>
            <w:noWrap/>
            <w:vAlign w:val="center"/>
            <w:hideMark/>
          </w:tcPr>
          <w:p w14:paraId="3C00C60A"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Espeletia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schultesiana</w:t>
            </w:r>
            <w:proofErr w:type="spellEnd"/>
          </w:p>
        </w:tc>
        <w:tc>
          <w:tcPr>
            <w:tcW w:w="880" w:type="pct"/>
            <w:noWrap/>
            <w:vAlign w:val="center"/>
            <w:hideMark/>
          </w:tcPr>
          <w:p w14:paraId="04BA4F45"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Asteraceae</w:t>
            </w:r>
            <w:proofErr w:type="spellEnd"/>
          </w:p>
        </w:tc>
        <w:tc>
          <w:tcPr>
            <w:tcW w:w="370" w:type="pct"/>
            <w:noWrap/>
            <w:vAlign w:val="center"/>
            <w:hideMark/>
          </w:tcPr>
          <w:p w14:paraId="7A7FBED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11C82CF9"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Semiramisia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pulcherrima</w:t>
            </w:r>
            <w:proofErr w:type="spellEnd"/>
          </w:p>
        </w:tc>
        <w:tc>
          <w:tcPr>
            <w:tcW w:w="956" w:type="pct"/>
            <w:noWrap/>
            <w:vAlign w:val="center"/>
            <w:hideMark/>
          </w:tcPr>
          <w:p w14:paraId="4772063A"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440" w:type="pct"/>
            <w:noWrap/>
            <w:vAlign w:val="center"/>
            <w:hideMark/>
          </w:tcPr>
          <w:p w14:paraId="7C65BAA1"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29770C77" w14:textId="77777777" w:rsidTr="00751668">
        <w:trPr>
          <w:trHeight w:val="288"/>
        </w:trPr>
        <w:tc>
          <w:tcPr>
            <w:tcW w:w="1177" w:type="pct"/>
            <w:noWrap/>
            <w:vAlign w:val="center"/>
            <w:hideMark/>
          </w:tcPr>
          <w:p w14:paraId="06614461"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Espeletia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summapacis</w:t>
            </w:r>
            <w:proofErr w:type="spellEnd"/>
          </w:p>
        </w:tc>
        <w:tc>
          <w:tcPr>
            <w:tcW w:w="880" w:type="pct"/>
            <w:noWrap/>
            <w:vAlign w:val="center"/>
            <w:hideMark/>
          </w:tcPr>
          <w:p w14:paraId="5C88F4AF"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Asteraceae</w:t>
            </w:r>
            <w:proofErr w:type="spellEnd"/>
          </w:p>
        </w:tc>
        <w:tc>
          <w:tcPr>
            <w:tcW w:w="370" w:type="pct"/>
            <w:noWrap/>
            <w:vAlign w:val="center"/>
            <w:hideMark/>
          </w:tcPr>
          <w:p w14:paraId="0D1FC74D"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172D93C4"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Siparuna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lozaniana</w:t>
            </w:r>
            <w:proofErr w:type="spellEnd"/>
          </w:p>
        </w:tc>
        <w:tc>
          <w:tcPr>
            <w:tcW w:w="956" w:type="pct"/>
            <w:noWrap/>
            <w:vAlign w:val="center"/>
            <w:hideMark/>
          </w:tcPr>
          <w:p w14:paraId="4A8A81EC"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Siparunaceae</w:t>
            </w:r>
            <w:proofErr w:type="spellEnd"/>
          </w:p>
        </w:tc>
        <w:tc>
          <w:tcPr>
            <w:tcW w:w="440" w:type="pct"/>
            <w:noWrap/>
            <w:vAlign w:val="center"/>
            <w:hideMark/>
          </w:tcPr>
          <w:p w14:paraId="3EA70BA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6F66EAEE" w14:textId="77777777" w:rsidTr="00751668">
        <w:trPr>
          <w:trHeight w:val="288"/>
        </w:trPr>
        <w:tc>
          <w:tcPr>
            <w:tcW w:w="1177" w:type="pct"/>
            <w:noWrap/>
            <w:vAlign w:val="center"/>
            <w:hideMark/>
          </w:tcPr>
          <w:p w14:paraId="5726024D"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Eugenia </w:t>
            </w:r>
            <w:proofErr w:type="spellStart"/>
            <w:r w:rsidRPr="00B450EB">
              <w:rPr>
                <w:rFonts w:eastAsia="Times New Roman" w:cs="Arial"/>
                <w:i/>
                <w:iCs/>
                <w:kern w:val="0"/>
                <w:sz w:val="18"/>
                <w:szCs w:val="18"/>
                <w:lang w:eastAsia="es-CO"/>
                <w14:ligatures w14:val="none"/>
              </w:rPr>
              <w:t>variareolata</w:t>
            </w:r>
            <w:proofErr w:type="spellEnd"/>
          </w:p>
        </w:tc>
        <w:tc>
          <w:tcPr>
            <w:tcW w:w="880" w:type="pct"/>
            <w:noWrap/>
            <w:vAlign w:val="center"/>
            <w:hideMark/>
          </w:tcPr>
          <w:p w14:paraId="68333257"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Myrtaceae</w:t>
            </w:r>
            <w:proofErr w:type="spellEnd"/>
          </w:p>
        </w:tc>
        <w:tc>
          <w:tcPr>
            <w:tcW w:w="370" w:type="pct"/>
            <w:noWrap/>
            <w:vAlign w:val="center"/>
            <w:hideMark/>
          </w:tcPr>
          <w:p w14:paraId="0F1F22CD"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3886DB3B"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Sphagnum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sonsonense</w:t>
            </w:r>
            <w:proofErr w:type="spellEnd"/>
          </w:p>
        </w:tc>
        <w:tc>
          <w:tcPr>
            <w:tcW w:w="956" w:type="pct"/>
            <w:noWrap/>
            <w:vAlign w:val="center"/>
            <w:hideMark/>
          </w:tcPr>
          <w:p w14:paraId="2895283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Sphagnaceae</w:t>
            </w:r>
            <w:proofErr w:type="spellEnd"/>
          </w:p>
        </w:tc>
        <w:tc>
          <w:tcPr>
            <w:tcW w:w="440" w:type="pct"/>
            <w:noWrap/>
            <w:vAlign w:val="center"/>
            <w:hideMark/>
          </w:tcPr>
          <w:p w14:paraId="7D34D89D"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7C75253A" w14:textId="77777777" w:rsidTr="00751668">
        <w:trPr>
          <w:trHeight w:val="288"/>
        </w:trPr>
        <w:tc>
          <w:tcPr>
            <w:tcW w:w="1177" w:type="pct"/>
            <w:noWrap/>
            <w:vAlign w:val="center"/>
            <w:hideMark/>
          </w:tcPr>
          <w:p w14:paraId="5A4F9BE1"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lastRenderedPageBreak/>
              <w:t xml:space="preserve">Ficus </w:t>
            </w:r>
            <w:proofErr w:type="spellStart"/>
            <w:r w:rsidRPr="00B450EB">
              <w:rPr>
                <w:rFonts w:eastAsia="Times New Roman" w:cs="Arial"/>
                <w:i/>
                <w:iCs/>
                <w:kern w:val="0"/>
                <w:sz w:val="18"/>
                <w:szCs w:val="18"/>
                <w:lang w:eastAsia="es-CO"/>
                <w14:ligatures w14:val="none"/>
              </w:rPr>
              <w:t>guatiquiae</w:t>
            </w:r>
            <w:proofErr w:type="spellEnd"/>
          </w:p>
        </w:tc>
        <w:tc>
          <w:tcPr>
            <w:tcW w:w="880" w:type="pct"/>
            <w:noWrap/>
            <w:vAlign w:val="center"/>
            <w:hideMark/>
          </w:tcPr>
          <w:p w14:paraId="3B1BE47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Moraceae</w:t>
            </w:r>
            <w:proofErr w:type="spellEnd"/>
          </w:p>
        </w:tc>
        <w:tc>
          <w:tcPr>
            <w:tcW w:w="370" w:type="pct"/>
            <w:noWrap/>
            <w:vAlign w:val="center"/>
            <w:hideMark/>
          </w:tcPr>
          <w:p w14:paraId="3818D8B7"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2C3EA765"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Stephanopodium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cuspidatum</w:t>
            </w:r>
            <w:proofErr w:type="spellEnd"/>
          </w:p>
        </w:tc>
        <w:tc>
          <w:tcPr>
            <w:tcW w:w="956" w:type="pct"/>
            <w:noWrap/>
            <w:vAlign w:val="center"/>
            <w:hideMark/>
          </w:tcPr>
          <w:p w14:paraId="7AA8890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Dichapetalaceae</w:t>
            </w:r>
            <w:proofErr w:type="spellEnd"/>
          </w:p>
        </w:tc>
        <w:tc>
          <w:tcPr>
            <w:tcW w:w="440" w:type="pct"/>
            <w:noWrap/>
            <w:vAlign w:val="center"/>
            <w:hideMark/>
          </w:tcPr>
          <w:p w14:paraId="2E9DF2B7"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36CB9FCF" w14:textId="77777777" w:rsidTr="00751668">
        <w:trPr>
          <w:trHeight w:val="288"/>
        </w:trPr>
        <w:tc>
          <w:tcPr>
            <w:tcW w:w="1177" w:type="pct"/>
            <w:noWrap/>
            <w:vAlign w:val="center"/>
            <w:hideMark/>
          </w:tcPr>
          <w:p w14:paraId="35221E9A"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Ficus </w:t>
            </w:r>
            <w:proofErr w:type="spellStart"/>
            <w:r w:rsidRPr="00B450EB">
              <w:rPr>
                <w:rFonts w:eastAsia="Times New Roman" w:cs="Arial"/>
                <w:i/>
                <w:iCs/>
                <w:kern w:val="0"/>
                <w:sz w:val="18"/>
                <w:szCs w:val="18"/>
                <w:lang w:eastAsia="es-CO"/>
                <w14:ligatures w14:val="none"/>
              </w:rPr>
              <w:t>tequendamae</w:t>
            </w:r>
            <w:proofErr w:type="spellEnd"/>
          </w:p>
        </w:tc>
        <w:tc>
          <w:tcPr>
            <w:tcW w:w="880" w:type="pct"/>
            <w:noWrap/>
            <w:vAlign w:val="center"/>
            <w:hideMark/>
          </w:tcPr>
          <w:p w14:paraId="78FCCF9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Moraceae</w:t>
            </w:r>
            <w:proofErr w:type="spellEnd"/>
          </w:p>
        </w:tc>
        <w:tc>
          <w:tcPr>
            <w:tcW w:w="370" w:type="pct"/>
            <w:noWrap/>
            <w:vAlign w:val="center"/>
            <w:hideMark/>
          </w:tcPr>
          <w:p w14:paraId="15B49EF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4D4210F6"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Steyerbromelia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naquenensis</w:t>
            </w:r>
            <w:proofErr w:type="spellEnd"/>
          </w:p>
        </w:tc>
        <w:tc>
          <w:tcPr>
            <w:tcW w:w="956" w:type="pct"/>
            <w:noWrap/>
            <w:vAlign w:val="center"/>
            <w:hideMark/>
          </w:tcPr>
          <w:p w14:paraId="7A919AE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Bromeliaceae</w:t>
            </w:r>
            <w:proofErr w:type="spellEnd"/>
          </w:p>
        </w:tc>
        <w:tc>
          <w:tcPr>
            <w:tcW w:w="440" w:type="pct"/>
            <w:noWrap/>
            <w:vAlign w:val="center"/>
            <w:hideMark/>
          </w:tcPr>
          <w:p w14:paraId="3EF0CBE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0A3999D0" w14:textId="77777777" w:rsidTr="00751668">
        <w:trPr>
          <w:trHeight w:val="288"/>
        </w:trPr>
        <w:tc>
          <w:tcPr>
            <w:tcW w:w="1177" w:type="pct"/>
            <w:noWrap/>
            <w:vAlign w:val="center"/>
            <w:hideMark/>
          </w:tcPr>
          <w:p w14:paraId="3CBE8CD6"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Geissanthus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cestrifolius</w:t>
            </w:r>
            <w:proofErr w:type="spellEnd"/>
          </w:p>
        </w:tc>
        <w:tc>
          <w:tcPr>
            <w:tcW w:w="880" w:type="pct"/>
            <w:noWrap/>
            <w:vAlign w:val="center"/>
            <w:hideMark/>
          </w:tcPr>
          <w:p w14:paraId="752DAFE7"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Primulaceae</w:t>
            </w:r>
            <w:proofErr w:type="spellEnd"/>
          </w:p>
        </w:tc>
        <w:tc>
          <w:tcPr>
            <w:tcW w:w="370" w:type="pct"/>
            <w:noWrap/>
            <w:vAlign w:val="center"/>
            <w:hideMark/>
          </w:tcPr>
          <w:p w14:paraId="74C219A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555F8C90"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Swartzia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magdalenae</w:t>
            </w:r>
            <w:proofErr w:type="spellEnd"/>
          </w:p>
        </w:tc>
        <w:tc>
          <w:tcPr>
            <w:tcW w:w="956" w:type="pct"/>
            <w:noWrap/>
            <w:vAlign w:val="center"/>
            <w:hideMark/>
          </w:tcPr>
          <w:p w14:paraId="4DA04940"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Fabaceae</w:t>
            </w:r>
            <w:proofErr w:type="spellEnd"/>
          </w:p>
        </w:tc>
        <w:tc>
          <w:tcPr>
            <w:tcW w:w="440" w:type="pct"/>
            <w:noWrap/>
            <w:vAlign w:val="center"/>
            <w:hideMark/>
          </w:tcPr>
          <w:p w14:paraId="19270D65"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0F091C18" w14:textId="77777777" w:rsidTr="00751668">
        <w:trPr>
          <w:trHeight w:val="288"/>
        </w:trPr>
        <w:tc>
          <w:tcPr>
            <w:tcW w:w="1177" w:type="pct"/>
            <w:noWrap/>
            <w:vAlign w:val="center"/>
            <w:hideMark/>
          </w:tcPr>
          <w:p w14:paraId="5ECE63ED"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Geissanthus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goudotianus</w:t>
            </w:r>
            <w:proofErr w:type="spellEnd"/>
          </w:p>
        </w:tc>
        <w:tc>
          <w:tcPr>
            <w:tcW w:w="880" w:type="pct"/>
            <w:noWrap/>
            <w:vAlign w:val="center"/>
            <w:hideMark/>
          </w:tcPr>
          <w:p w14:paraId="2EDC711C"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Primulaceae</w:t>
            </w:r>
            <w:proofErr w:type="spellEnd"/>
          </w:p>
        </w:tc>
        <w:tc>
          <w:tcPr>
            <w:tcW w:w="370" w:type="pct"/>
            <w:noWrap/>
            <w:vAlign w:val="center"/>
            <w:hideMark/>
          </w:tcPr>
          <w:p w14:paraId="59EC1C3B"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5203F433"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Swietenia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macrophylla</w:t>
            </w:r>
            <w:proofErr w:type="spellEnd"/>
          </w:p>
        </w:tc>
        <w:tc>
          <w:tcPr>
            <w:tcW w:w="956" w:type="pct"/>
            <w:noWrap/>
            <w:vAlign w:val="center"/>
            <w:hideMark/>
          </w:tcPr>
          <w:p w14:paraId="7CBC308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Meliaceae</w:t>
            </w:r>
            <w:proofErr w:type="spellEnd"/>
          </w:p>
        </w:tc>
        <w:tc>
          <w:tcPr>
            <w:tcW w:w="440" w:type="pct"/>
            <w:noWrap/>
            <w:vAlign w:val="center"/>
            <w:hideMark/>
          </w:tcPr>
          <w:p w14:paraId="5A9E896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43E366B9" w14:textId="77777777" w:rsidTr="00751668">
        <w:trPr>
          <w:trHeight w:val="288"/>
        </w:trPr>
        <w:tc>
          <w:tcPr>
            <w:tcW w:w="1177" w:type="pct"/>
            <w:noWrap/>
            <w:vAlign w:val="center"/>
            <w:hideMark/>
          </w:tcPr>
          <w:p w14:paraId="6B876DA1"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Geissanthus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kalbreyeri</w:t>
            </w:r>
            <w:proofErr w:type="spellEnd"/>
          </w:p>
        </w:tc>
        <w:tc>
          <w:tcPr>
            <w:tcW w:w="880" w:type="pct"/>
            <w:noWrap/>
            <w:vAlign w:val="center"/>
            <w:hideMark/>
          </w:tcPr>
          <w:p w14:paraId="45859A12"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Primulaceae</w:t>
            </w:r>
            <w:proofErr w:type="spellEnd"/>
          </w:p>
        </w:tc>
        <w:tc>
          <w:tcPr>
            <w:tcW w:w="370" w:type="pct"/>
            <w:noWrap/>
            <w:vAlign w:val="center"/>
            <w:hideMark/>
          </w:tcPr>
          <w:p w14:paraId="317483A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5DEA57DB"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Symplocos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trianae</w:t>
            </w:r>
            <w:proofErr w:type="spellEnd"/>
          </w:p>
        </w:tc>
        <w:tc>
          <w:tcPr>
            <w:tcW w:w="956" w:type="pct"/>
            <w:noWrap/>
            <w:vAlign w:val="center"/>
            <w:hideMark/>
          </w:tcPr>
          <w:p w14:paraId="02395862"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Symplocaceae</w:t>
            </w:r>
            <w:proofErr w:type="spellEnd"/>
          </w:p>
        </w:tc>
        <w:tc>
          <w:tcPr>
            <w:tcW w:w="440" w:type="pct"/>
            <w:noWrap/>
            <w:vAlign w:val="center"/>
            <w:hideMark/>
          </w:tcPr>
          <w:p w14:paraId="6D0069B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06B66600" w14:textId="77777777" w:rsidTr="00751668">
        <w:trPr>
          <w:trHeight w:val="288"/>
        </w:trPr>
        <w:tc>
          <w:tcPr>
            <w:tcW w:w="1177" w:type="pct"/>
            <w:noWrap/>
            <w:vAlign w:val="center"/>
            <w:hideMark/>
          </w:tcPr>
          <w:p w14:paraId="05E89343"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Guaiacum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officinale</w:t>
            </w:r>
            <w:proofErr w:type="spellEnd"/>
          </w:p>
        </w:tc>
        <w:tc>
          <w:tcPr>
            <w:tcW w:w="880" w:type="pct"/>
            <w:noWrap/>
            <w:vAlign w:val="center"/>
            <w:hideMark/>
          </w:tcPr>
          <w:p w14:paraId="466632D4"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Zygophyllaceae</w:t>
            </w:r>
            <w:proofErr w:type="spellEnd"/>
          </w:p>
        </w:tc>
        <w:tc>
          <w:tcPr>
            <w:tcW w:w="370" w:type="pct"/>
            <w:noWrap/>
            <w:vAlign w:val="center"/>
            <w:hideMark/>
          </w:tcPr>
          <w:p w14:paraId="59B8BF6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1F941B87"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Symplocos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venulosa</w:t>
            </w:r>
            <w:proofErr w:type="spellEnd"/>
          </w:p>
        </w:tc>
        <w:tc>
          <w:tcPr>
            <w:tcW w:w="956" w:type="pct"/>
            <w:noWrap/>
            <w:vAlign w:val="center"/>
            <w:hideMark/>
          </w:tcPr>
          <w:p w14:paraId="0FF0D19A"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Symplocaceae</w:t>
            </w:r>
            <w:proofErr w:type="spellEnd"/>
          </w:p>
        </w:tc>
        <w:tc>
          <w:tcPr>
            <w:tcW w:w="440" w:type="pct"/>
            <w:noWrap/>
            <w:vAlign w:val="center"/>
            <w:hideMark/>
          </w:tcPr>
          <w:p w14:paraId="24A5C655"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56C2E607" w14:textId="77777777" w:rsidTr="00751668">
        <w:trPr>
          <w:trHeight w:val="288"/>
        </w:trPr>
        <w:tc>
          <w:tcPr>
            <w:tcW w:w="1177" w:type="pct"/>
            <w:noWrap/>
            <w:vAlign w:val="center"/>
            <w:hideMark/>
          </w:tcPr>
          <w:p w14:paraId="1E73CD8B"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Huberodendron</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patinoi</w:t>
            </w:r>
            <w:proofErr w:type="spellEnd"/>
          </w:p>
        </w:tc>
        <w:tc>
          <w:tcPr>
            <w:tcW w:w="880" w:type="pct"/>
            <w:noWrap/>
            <w:vAlign w:val="center"/>
            <w:hideMark/>
          </w:tcPr>
          <w:p w14:paraId="5BA1022B"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Malvaceae</w:t>
            </w:r>
            <w:proofErr w:type="spellEnd"/>
          </w:p>
        </w:tc>
        <w:tc>
          <w:tcPr>
            <w:tcW w:w="370" w:type="pct"/>
            <w:noWrap/>
            <w:vAlign w:val="center"/>
            <w:hideMark/>
          </w:tcPr>
          <w:p w14:paraId="4ADD200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2023C3A1"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Themistoclesia</w:t>
            </w:r>
            <w:proofErr w:type="spellEnd"/>
            <w:r w:rsidRPr="00B450EB">
              <w:rPr>
                <w:rFonts w:eastAsia="Times New Roman" w:cs="Arial"/>
                <w:i/>
                <w:iCs/>
                <w:kern w:val="0"/>
                <w:sz w:val="18"/>
                <w:szCs w:val="18"/>
                <w:lang w:eastAsia="es-CO"/>
                <w14:ligatures w14:val="none"/>
              </w:rPr>
              <w:t xml:space="preserve"> mucronata</w:t>
            </w:r>
          </w:p>
        </w:tc>
        <w:tc>
          <w:tcPr>
            <w:tcW w:w="956" w:type="pct"/>
            <w:noWrap/>
            <w:vAlign w:val="center"/>
            <w:hideMark/>
          </w:tcPr>
          <w:p w14:paraId="1714CBB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440" w:type="pct"/>
            <w:noWrap/>
            <w:vAlign w:val="center"/>
            <w:hideMark/>
          </w:tcPr>
          <w:p w14:paraId="13D7BEE4"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7FCC62E7" w14:textId="77777777" w:rsidTr="00751668">
        <w:trPr>
          <w:trHeight w:val="288"/>
        </w:trPr>
        <w:tc>
          <w:tcPr>
            <w:tcW w:w="1177" w:type="pct"/>
            <w:noWrap/>
            <w:vAlign w:val="center"/>
            <w:hideMark/>
          </w:tcPr>
          <w:p w14:paraId="0DFF7309"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Humiriastrum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procerum</w:t>
            </w:r>
            <w:proofErr w:type="spellEnd"/>
          </w:p>
        </w:tc>
        <w:tc>
          <w:tcPr>
            <w:tcW w:w="880" w:type="pct"/>
            <w:noWrap/>
            <w:vAlign w:val="center"/>
            <w:hideMark/>
          </w:tcPr>
          <w:p w14:paraId="1BECE79B"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Humiriaceae</w:t>
            </w:r>
            <w:proofErr w:type="spellEnd"/>
          </w:p>
        </w:tc>
        <w:tc>
          <w:tcPr>
            <w:tcW w:w="370" w:type="pct"/>
            <w:noWrap/>
            <w:vAlign w:val="center"/>
            <w:hideMark/>
          </w:tcPr>
          <w:p w14:paraId="6A7DD5C9"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787F6DDC"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Themistoclesia</w:t>
            </w:r>
            <w:proofErr w:type="spellEnd"/>
            <w:r w:rsidRPr="00B450EB">
              <w:rPr>
                <w:rFonts w:eastAsia="Times New Roman" w:cs="Arial"/>
                <w:i/>
                <w:iCs/>
                <w:kern w:val="0"/>
                <w:sz w:val="18"/>
                <w:szCs w:val="18"/>
                <w:lang w:eastAsia="es-CO"/>
                <w14:ligatures w14:val="none"/>
              </w:rPr>
              <w:t xml:space="preserve"> recurva</w:t>
            </w:r>
          </w:p>
        </w:tc>
        <w:tc>
          <w:tcPr>
            <w:tcW w:w="956" w:type="pct"/>
            <w:noWrap/>
            <w:vAlign w:val="center"/>
            <w:hideMark/>
          </w:tcPr>
          <w:p w14:paraId="4BA69C10"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440" w:type="pct"/>
            <w:noWrap/>
            <w:vAlign w:val="center"/>
            <w:hideMark/>
          </w:tcPr>
          <w:p w14:paraId="51BDF77D"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0D1BF77E" w14:textId="77777777" w:rsidTr="00751668">
        <w:trPr>
          <w:trHeight w:val="288"/>
        </w:trPr>
        <w:tc>
          <w:tcPr>
            <w:tcW w:w="1177" w:type="pct"/>
            <w:noWrap/>
            <w:vAlign w:val="center"/>
            <w:hideMark/>
          </w:tcPr>
          <w:p w14:paraId="5EFB38B8"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Hypericum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pimeleoides</w:t>
            </w:r>
            <w:proofErr w:type="spellEnd"/>
          </w:p>
        </w:tc>
        <w:tc>
          <w:tcPr>
            <w:tcW w:w="880" w:type="pct"/>
            <w:noWrap/>
            <w:vAlign w:val="center"/>
            <w:hideMark/>
          </w:tcPr>
          <w:p w14:paraId="66BBCDF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Hypericaceae</w:t>
            </w:r>
            <w:proofErr w:type="spellEnd"/>
          </w:p>
        </w:tc>
        <w:tc>
          <w:tcPr>
            <w:tcW w:w="370" w:type="pct"/>
            <w:noWrap/>
            <w:vAlign w:val="center"/>
            <w:hideMark/>
          </w:tcPr>
          <w:p w14:paraId="4DD9AF36"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332377B8"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Thibaudia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fallax</w:t>
            </w:r>
            <w:proofErr w:type="spellEnd"/>
          </w:p>
        </w:tc>
        <w:tc>
          <w:tcPr>
            <w:tcW w:w="956" w:type="pct"/>
            <w:noWrap/>
            <w:vAlign w:val="center"/>
            <w:hideMark/>
          </w:tcPr>
          <w:p w14:paraId="72B4A42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440" w:type="pct"/>
            <w:noWrap/>
            <w:vAlign w:val="center"/>
            <w:hideMark/>
          </w:tcPr>
          <w:p w14:paraId="170A9C54"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185E3FB5" w14:textId="77777777" w:rsidTr="00751668">
        <w:trPr>
          <w:trHeight w:val="288"/>
        </w:trPr>
        <w:tc>
          <w:tcPr>
            <w:tcW w:w="1177" w:type="pct"/>
            <w:noWrap/>
            <w:vAlign w:val="center"/>
            <w:hideMark/>
          </w:tcPr>
          <w:p w14:paraId="04F2605D"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Ilex</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bullata</w:t>
            </w:r>
            <w:proofErr w:type="spellEnd"/>
          </w:p>
        </w:tc>
        <w:tc>
          <w:tcPr>
            <w:tcW w:w="880" w:type="pct"/>
            <w:noWrap/>
            <w:vAlign w:val="center"/>
            <w:hideMark/>
          </w:tcPr>
          <w:p w14:paraId="61677D1D"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Aquifoliaceae</w:t>
            </w:r>
            <w:proofErr w:type="spellEnd"/>
          </w:p>
        </w:tc>
        <w:tc>
          <w:tcPr>
            <w:tcW w:w="370" w:type="pct"/>
            <w:noWrap/>
            <w:vAlign w:val="center"/>
            <w:hideMark/>
          </w:tcPr>
          <w:p w14:paraId="5A37BD9D"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27722872"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Tillandsia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engleriana</w:t>
            </w:r>
            <w:proofErr w:type="spellEnd"/>
          </w:p>
        </w:tc>
        <w:tc>
          <w:tcPr>
            <w:tcW w:w="956" w:type="pct"/>
            <w:noWrap/>
            <w:vAlign w:val="center"/>
            <w:hideMark/>
          </w:tcPr>
          <w:p w14:paraId="6186734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Bromeliaceae</w:t>
            </w:r>
            <w:proofErr w:type="spellEnd"/>
          </w:p>
        </w:tc>
        <w:tc>
          <w:tcPr>
            <w:tcW w:w="440" w:type="pct"/>
            <w:noWrap/>
            <w:vAlign w:val="center"/>
            <w:hideMark/>
          </w:tcPr>
          <w:p w14:paraId="7E017123"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r>
      <w:tr w:rsidR="00EF1937" w:rsidRPr="00B450EB" w14:paraId="2A6D54BD" w14:textId="77777777" w:rsidTr="00751668">
        <w:trPr>
          <w:trHeight w:val="288"/>
        </w:trPr>
        <w:tc>
          <w:tcPr>
            <w:tcW w:w="1177" w:type="pct"/>
            <w:noWrap/>
            <w:vAlign w:val="center"/>
            <w:hideMark/>
          </w:tcPr>
          <w:p w14:paraId="72BEBD1F"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Jalcophila</w:t>
            </w:r>
            <w:proofErr w:type="spellEnd"/>
            <w:r w:rsidRPr="00B450EB">
              <w:rPr>
                <w:rFonts w:eastAsia="Times New Roman" w:cs="Arial"/>
                <w:i/>
                <w:iCs/>
                <w:kern w:val="0"/>
                <w:sz w:val="18"/>
                <w:szCs w:val="18"/>
                <w:lang w:eastAsia="es-CO"/>
                <w14:ligatures w14:val="none"/>
              </w:rPr>
              <w:t xml:space="preserve"> colombiana</w:t>
            </w:r>
          </w:p>
        </w:tc>
        <w:tc>
          <w:tcPr>
            <w:tcW w:w="880" w:type="pct"/>
            <w:noWrap/>
            <w:vAlign w:val="center"/>
            <w:hideMark/>
          </w:tcPr>
          <w:p w14:paraId="1A6A3B3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Asteraceae</w:t>
            </w:r>
            <w:proofErr w:type="spellEnd"/>
          </w:p>
        </w:tc>
        <w:tc>
          <w:tcPr>
            <w:tcW w:w="370" w:type="pct"/>
            <w:noWrap/>
            <w:vAlign w:val="center"/>
            <w:hideMark/>
          </w:tcPr>
          <w:p w14:paraId="786E3E49"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38587526"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Triplaris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purdiei</w:t>
            </w:r>
            <w:proofErr w:type="spellEnd"/>
          </w:p>
        </w:tc>
        <w:tc>
          <w:tcPr>
            <w:tcW w:w="956" w:type="pct"/>
            <w:noWrap/>
            <w:vAlign w:val="center"/>
            <w:hideMark/>
          </w:tcPr>
          <w:p w14:paraId="34930BBF"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Polygonaceae</w:t>
            </w:r>
            <w:proofErr w:type="spellEnd"/>
          </w:p>
        </w:tc>
        <w:tc>
          <w:tcPr>
            <w:tcW w:w="440" w:type="pct"/>
            <w:noWrap/>
            <w:vAlign w:val="center"/>
            <w:hideMark/>
          </w:tcPr>
          <w:p w14:paraId="0836692B"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3EF6E38A" w14:textId="77777777" w:rsidTr="00751668">
        <w:trPr>
          <w:trHeight w:val="288"/>
        </w:trPr>
        <w:tc>
          <w:tcPr>
            <w:tcW w:w="1177" w:type="pct"/>
            <w:noWrap/>
            <w:vAlign w:val="center"/>
            <w:hideMark/>
          </w:tcPr>
          <w:p w14:paraId="3F58A064"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Juglans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neotropica</w:t>
            </w:r>
            <w:proofErr w:type="spellEnd"/>
          </w:p>
        </w:tc>
        <w:tc>
          <w:tcPr>
            <w:tcW w:w="880" w:type="pct"/>
            <w:noWrap/>
            <w:vAlign w:val="center"/>
            <w:hideMark/>
          </w:tcPr>
          <w:p w14:paraId="460DEBFA"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Juglandaceae</w:t>
            </w:r>
            <w:proofErr w:type="spellEnd"/>
          </w:p>
        </w:tc>
        <w:tc>
          <w:tcPr>
            <w:tcW w:w="370" w:type="pct"/>
            <w:noWrap/>
            <w:vAlign w:val="center"/>
            <w:hideMark/>
          </w:tcPr>
          <w:p w14:paraId="1F22B2E2"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11355282"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Varronia</w:t>
            </w:r>
            <w:proofErr w:type="spellEnd"/>
            <w:r w:rsidRPr="00B450EB">
              <w:rPr>
                <w:rFonts w:eastAsia="Times New Roman" w:cs="Arial"/>
                <w:i/>
                <w:iCs/>
                <w:kern w:val="0"/>
                <w:sz w:val="18"/>
                <w:szCs w:val="18"/>
                <w:lang w:eastAsia="es-CO"/>
                <w14:ligatures w14:val="none"/>
              </w:rPr>
              <w:t xml:space="preserve"> acuta</w:t>
            </w:r>
          </w:p>
        </w:tc>
        <w:tc>
          <w:tcPr>
            <w:tcW w:w="956" w:type="pct"/>
            <w:noWrap/>
            <w:vAlign w:val="center"/>
            <w:hideMark/>
          </w:tcPr>
          <w:p w14:paraId="45AB06DD"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Cordiaceae</w:t>
            </w:r>
            <w:proofErr w:type="spellEnd"/>
          </w:p>
        </w:tc>
        <w:tc>
          <w:tcPr>
            <w:tcW w:w="440" w:type="pct"/>
            <w:noWrap/>
            <w:vAlign w:val="center"/>
            <w:hideMark/>
          </w:tcPr>
          <w:p w14:paraId="4D332A9F"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2F16056D" w14:textId="77777777" w:rsidTr="00751668">
        <w:trPr>
          <w:trHeight w:val="288"/>
        </w:trPr>
        <w:tc>
          <w:tcPr>
            <w:tcW w:w="1177" w:type="pct"/>
            <w:noWrap/>
            <w:vAlign w:val="center"/>
            <w:hideMark/>
          </w:tcPr>
          <w:p w14:paraId="2083ED71"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Lepanthes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arbuscula</w:t>
            </w:r>
            <w:proofErr w:type="spellEnd"/>
          </w:p>
        </w:tc>
        <w:tc>
          <w:tcPr>
            <w:tcW w:w="880" w:type="pct"/>
            <w:noWrap/>
            <w:vAlign w:val="center"/>
            <w:hideMark/>
          </w:tcPr>
          <w:p w14:paraId="0038C665"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Orchidaceae</w:t>
            </w:r>
            <w:proofErr w:type="spellEnd"/>
          </w:p>
        </w:tc>
        <w:tc>
          <w:tcPr>
            <w:tcW w:w="370" w:type="pct"/>
            <w:noWrap/>
            <w:vAlign w:val="center"/>
            <w:hideMark/>
          </w:tcPr>
          <w:p w14:paraId="1D1FC8F7"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676D6F04"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Viburnum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lehmannii</w:t>
            </w:r>
            <w:proofErr w:type="spellEnd"/>
          </w:p>
        </w:tc>
        <w:tc>
          <w:tcPr>
            <w:tcW w:w="956" w:type="pct"/>
            <w:noWrap/>
            <w:vAlign w:val="center"/>
            <w:hideMark/>
          </w:tcPr>
          <w:p w14:paraId="6C48D906"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Viburnaceae</w:t>
            </w:r>
            <w:proofErr w:type="spellEnd"/>
          </w:p>
        </w:tc>
        <w:tc>
          <w:tcPr>
            <w:tcW w:w="440" w:type="pct"/>
            <w:noWrap/>
            <w:vAlign w:val="center"/>
            <w:hideMark/>
          </w:tcPr>
          <w:p w14:paraId="41BA9C96"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3F233585" w14:textId="77777777" w:rsidTr="00751668">
        <w:trPr>
          <w:trHeight w:val="288"/>
        </w:trPr>
        <w:tc>
          <w:tcPr>
            <w:tcW w:w="1177" w:type="pct"/>
            <w:noWrap/>
            <w:vAlign w:val="center"/>
            <w:hideMark/>
          </w:tcPr>
          <w:p w14:paraId="7ADB05C1"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Lepanthes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osiris</w:t>
            </w:r>
            <w:proofErr w:type="spellEnd"/>
          </w:p>
        </w:tc>
        <w:tc>
          <w:tcPr>
            <w:tcW w:w="880" w:type="pct"/>
            <w:noWrap/>
            <w:vAlign w:val="center"/>
            <w:hideMark/>
          </w:tcPr>
          <w:p w14:paraId="3F78B12D"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Orchidaceae</w:t>
            </w:r>
            <w:proofErr w:type="spellEnd"/>
          </w:p>
        </w:tc>
        <w:tc>
          <w:tcPr>
            <w:tcW w:w="370" w:type="pct"/>
            <w:noWrap/>
            <w:vAlign w:val="center"/>
            <w:hideMark/>
          </w:tcPr>
          <w:p w14:paraId="1431F32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5B48DC0E"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Vochysia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artantha</w:t>
            </w:r>
            <w:proofErr w:type="spellEnd"/>
          </w:p>
        </w:tc>
        <w:tc>
          <w:tcPr>
            <w:tcW w:w="956" w:type="pct"/>
            <w:noWrap/>
            <w:vAlign w:val="center"/>
            <w:hideMark/>
          </w:tcPr>
          <w:p w14:paraId="152EDF3A"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Vochysiaceae</w:t>
            </w:r>
            <w:proofErr w:type="spellEnd"/>
          </w:p>
        </w:tc>
        <w:tc>
          <w:tcPr>
            <w:tcW w:w="440" w:type="pct"/>
            <w:noWrap/>
            <w:vAlign w:val="center"/>
            <w:hideMark/>
          </w:tcPr>
          <w:p w14:paraId="42367B41"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7B5A7872" w14:textId="77777777" w:rsidTr="00751668">
        <w:trPr>
          <w:trHeight w:val="288"/>
        </w:trPr>
        <w:tc>
          <w:tcPr>
            <w:tcW w:w="1177" w:type="pct"/>
            <w:noWrap/>
            <w:vAlign w:val="center"/>
            <w:hideMark/>
          </w:tcPr>
          <w:p w14:paraId="44C8FF0A"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Linochilus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chrysotrichus</w:t>
            </w:r>
            <w:proofErr w:type="spellEnd"/>
          </w:p>
        </w:tc>
        <w:tc>
          <w:tcPr>
            <w:tcW w:w="880" w:type="pct"/>
            <w:noWrap/>
            <w:vAlign w:val="center"/>
            <w:hideMark/>
          </w:tcPr>
          <w:p w14:paraId="6DED06A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Asteraceae</w:t>
            </w:r>
            <w:proofErr w:type="spellEnd"/>
          </w:p>
        </w:tc>
        <w:tc>
          <w:tcPr>
            <w:tcW w:w="370" w:type="pct"/>
            <w:noWrap/>
            <w:vAlign w:val="center"/>
            <w:hideMark/>
          </w:tcPr>
          <w:p w14:paraId="39256E0B"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6BFB5E28"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Weinmannia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tolimensis</w:t>
            </w:r>
            <w:proofErr w:type="spellEnd"/>
          </w:p>
        </w:tc>
        <w:tc>
          <w:tcPr>
            <w:tcW w:w="956" w:type="pct"/>
            <w:noWrap/>
            <w:vAlign w:val="center"/>
            <w:hideMark/>
          </w:tcPr>
          <w:p w14:paraId="25580D4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Cunoniaceae</w:t>
            </w:r>
            <w:proofErr w:type="spellEnd"/>
          </w:p>
        </w:tc>
        <w:tc>
          <w:tcPr>
            <w:tcW w:w="440" w:type="pct"/>
            <w:noWrap/>
            <w:vAlign w:val="center"/>
            <w:hideMark/>
          </w:tcPr>
          <w:p w14:paraId="3E025A99"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5E6EF22B" w14:textId="77777777" w:rsidTr="00751668">
        <w:trPr>
          <w:trHeight w:val="288"/>
        </w:trPr>
        <w:tc>
          <w:tcPr>
            <w:tcW w:w="1177" w:type="pct"/>
            <w:noWrap/>
            <w:vAlign w:val="center"/>
            <w:hideMark/>
          </w:tcPr>
          <w:p w14:paraId="58CB9796"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Lupinus</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colombiensis</w:t>
            </w:r>
            <w:proofErr w:type="spellEnd"/>
          </w:p>
        </w:tc>
        <w:tc>
          <w:tcPr>
            <w:tcW w:w="880" w:type="pct"/>
            <w:noWrap/>
            <w:vAlign w:val="center"/>
            <w:hideMark/>
          </w:tcPr>
          <w:p w14:paraId="15833E2C"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Fabaceae</w:t>
            </w:r>
            <w:proofErr w:type="spellEnd"/>
          </w:p>
        </w:tc>
        <w:tc>
          <w:tcPr>
            <w:tcW w:w="370" w:type="pct"/>
            <w:noWrap/>
            <w:vAlign w:val="center"/>
            <w:hideMark/>
          </w:tcPr>
          <w:p w14:paraId="66F4C7F1"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57A75DF6"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Zamia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melanorrhachis</w:t>
            </w:r>
            <w:proofErr w:type="spellEnd"/>
          </w:p>
        </w:tc>
        <w:tc>
          <w:tcPr>
            <w:tcW w:w="956" w:type="pct"/>
            <w:noWrap/>
            <w:vAlign w:val="center"/>
            <w:hideMark/>
          </w:tcPr>
          <w:p w14:paraId="4ACC986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Zamiaceae</w:t>
            </w:r>
            <w:proofErr w:type="spellEnd"/>
          </w:p>
        </w:tc>
        <w:tc>
          <w:tcPr>
            <w:tcW w:w="440" w:type="pct"/>
            <w:noWrap/>
            <w:vAlign w:val="center"/>
            <w:hideMark/>
          </w:tcPr>
          <w:p w14:paraId="25FFB92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r>
      <w:tr w:rsidR="00EF1937" w:rsidRPr="00B450EB" w14:paraId="58BEB450" w14:textId="77777777" w:rsidTr="00751668">
        <w:trPr>
          <w:trHeight w:val="288"/>
        </w:trPr>
        <w:tc>
          <w:tcPr>
            <w:tcW w:w="1177" w:type="pct"/>
            <w:noWrap/>
            <w:vAlign w:val="center"/>
            <w:hideMark/>
          </w:tcPr>
          <w:p w14:paraId="614D5621"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Macleania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crassa</w:t>
            </w:r>
            <w:proofErr w:type="spellEnd"/>
          </w:p>
        </w:tc>
        <w:tc>
          <w:tcPr>
            <w:tcW w:w="880" w:type="pct"/>
            <w:noWrap/>
            <w:vAlign w:val="center"/>
            <w:hideMark/>
          </w:tcPr>
          <w:p w14:paraId="6EEE0927"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370" w:type="pct"/>
            <w:noWrap/>
            <w:vAlign w:val="center"/>
            <w:hideMark/>
          </w:tcPr>
          <w:p w14:paraId="3CE1FCD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44AE0F63"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Zanthoxylum</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gentryi</w:t>
            </w:r>
            <w:proofErr w:type="spellEnd"/>
          </w:p>
        </w:tc>
        <w:tc>
          <w:tcPr>
            <w:tcW w:w="956" w:type="pct"/>
            <w:noWrap/>
            <w:vAlign w:val="center"/>
            <w:hideMark/>
          </w:tcPr>
          <w:p w14:paraId="64911AC9"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Rutaceae</w:t>
            </w:r>
            <w:proofErr w:type="spellEnd"/>
          </w:p>
        </w:tc>
        <w:tc>
          <w:tcPr>
            <w:tcW w:w="440" w:type="pct"/>
            <w:noWrap/>
            <w:vAlign w:val="center"/>
            <w:hideMark/>
          </w:tcPr>
          <w:p w14:paraId="2DBD7859"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736E7C98" w14:textId="77777777" w:rsidTr="00751668">
        <w:trPr>
          <w:trHeight w:val="288"/>
        </w:trPr>
        <w:tc>
          <w:tcPr>
            <w:tcW w:w="1177" w:type="pct"/>
            <w:noWrap/>
            <w:vAlign w:val="center"/>
            <w:hideMark/>
          </w:tcPr>
          <w:p w14:paraId="271853EE"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Macleania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pubiflora</w:t>
            </w:r>
            <w:proofErr w:type="spellEnd"/>
          </w:p>
        </w:tc>
        <w:tc>
          <w:tcPr>
            <w:tcW w:w="880" w:type="pct"/>
            <w:noWrap/>
            <w:vAlign w:val="center"/>
            <w:hideMark/>
          </w:tcPr>
          <w:p w14:paraId="6B589665"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Ericaceae</w:t>
            </w:r>
            <w:proofErr w:type="spellEnd"/>
          </w:p>
        </w:tc>
        <w:tc>
          <w:tcPr>
            <w:tcW w:w="370" w:type="pct"/>
            <w:noWrap/>
            <w:vAlign w:val="center"/>
            <w:hideMark/>
          </w:tcPr>
          <w:p w14:paraId="408E7EBA"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c>
          <w:tcPr>
            <w:tcW w:w="1177" w:type="pct"/>
            <w:noWrap/>
            <w:vAlign w:val="center"/>
            <w:hideMark/>
          </w:tcPr>
          <w:p w14:paraId="35A07DE9" w14:textId="77777777" w:rsidR="0089119D" w:rsidRPr="00B450EB" w:rsidRDefault="0089119D" w:rsidP="00751668">
            <w:pPr>
              <w:jc w:val="center"/>
              <w:rPr>
                <w:rFonts w:eastAsia="Times New Roman" w:cs="Arial"/>
                <w:i/>
                <w:iCs/>
                <w:kern w:val="0"/>
                <w:sz w:val="18"/>
                <w:szCs w:val="18"/>
                <w:lang w:eastAsia="es-CO"/>
                <w14:ligatures w14:val="none"/>
              </w:rPr>
            </w:pPr>
            <w:proofErr w:type="spellStart"/>
            <w:r w:rsidRPr="00B450EB">
              <w:rPr>
                <w:rFonts w:eastAsia="Times New Roman" w:cs="Arial"/>
                <w:i/>
                <w:iCs/>
                <w:kern w:val="0"/>
                <w:sz w:val="18"/>
                <w:szCs w:val="18"/>
                <w:lang w:eastAsia="es-CO"/>
                <w14:ligatures w14:val="none"/>
              </w:rPr>
              <w:t>Zygia</w:t>
            </w:r>
            <w:proofErr w:type="spellEnd"/>
            <w:r w:rsidRPr="00B450EB">
              <w:rPr>
                <w:rFonts w:eastAsia="Times New Roman" w:cs="Arial"/>
                <w:i/>
                <w:iCs/>
                <w:kern w:val="0"/>
                <w:sz w:val="18"/>
                <w:szCs w:val="18"/>
                <w:lang w:eastAsia="es-CO"/>
                <w14:ligatures w14:val="none"/>
              </w:rPr>
              <w:t xml:space="preserve"> </w:t>
            </w:r>
            <w:proofErr w:type="spellStart"/>
            <w:r w:rsidRPr="00B450EB">
              <w:rPr>
                <w:rFonts w:eastAsia="Times New Roman" w:cs="Arial"/>
                <w:i/>
                <w:iCs/>
                <w:kern w:val="0"/>
                <w:sz w:val="18"/>
                <w:szCs w:val="18"/>
                <w:lang w:eastAsia="es-CO"/>
                <w14:ligatures w14:val="none"/>
              </w:rPr>
              <w:t>lehmannii</w:t>
            </w:r>
            <w:proofErr w:type="spellEnd"/>
          </w:p>
        </w:tc>
        <w:tc>
          <w:tcPr>
            <w:tcW w:w="956" w:type="pct"/>
            <w:noWrap/>
            <w:vAlign w:val="center"/>
            <w:hideMark/>
          </w:tcPr>
          <w:p w14:paraId="690B3367"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Fabaceae</w:t>
            </w:r>
            <w:proofErr w:type="spellEnd"/>
          </w:p>
        </w:tc>
        <w:tc>
          <w:tcPr>
            <w:tcW w:w="440" w:type="pct"/>
            <w:noWrap/>
            <w:vAlign w:val="center"/>
            <w:hideMark/>
          </w:tcPr>
          <w:p w14:paraId="6DBFD580"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VU</w:t>
            </w:r>
          </w:p>
        </w:tc>
      </w:tr>
      <w:tr w:rsidR="00EF1937" w:rsidRPr="00B450EB" w14:paraId="2C10AE43" w14:textId="77777777" w:rsidTr="00751668">
        <w:trPr>
          <w:trHeight w:val="288"/>
        </w:trPr>
        <w:tc>
          <w:tcPr>
            <w:tcW w:w="1177" w:type="pct"/>
            <w:noWrap/>
            <w:vAlign w:val="center"/>
            <w:hideMark/>
          </w:tcPr>
          <w:p w14:paraId="70AEBF0A"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Magnolia </w:t>
            </w:r>
            <w:proofErr w:type="spellStart"/>
            <w:r w:rsidRPr="00B450EB">
              <w:rPr>
                <w:rFonts w:eastAsia="Times New Roman" w:cs="Arial"/>
                <w:i/>
                <w:iCs/>
                <w:kern w:val="0"/>
                <w:sz w:val="18"/>
                <w:szCs w:val="18"/>
                <w:lang w:eastAsia="es-CO"/>
                <w14:ligatures w14:val="none"/>
              </w:rPr>
              <w:t>calophylla</w:t>
            </w:r>
            <w:proofErr w:type="spellEnd"/>
          </w:p>
        </w:tc>
        <w:tc>
          <w:tcPr>
            <w:tcW w:w="880" w:type="pct"/>
            <w:noWrap/>
            <w:vAlign w:val="center"/>
            <w:hideMark/>
          </w:tcPr>
          <w:p w14:paraId="7AE3CB28"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Magnoliaceae</w:t>
            </w:r>
            <w:proofErr w:type="spellEnd"/>
          </w:p>
        </w:tc>
        <w:tc>
          <w:tcPr>
            <w:tcW w:w="370" w:type="pct"/>
            <w:noWrap/>
            <w:vAlign w:val="center"/>
            <w:hideMark/>
          </w:tcPr>
          <w:p w14:paraId="0FF5A65C"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5DFBCF64" w14:textId="77777777" w:rsidR="0089119D" w:rsidRPr="00B450EB" w:rsidRDefault="0089119D" w:rsidP="00751668">
            <w:pPr>
              <w:jc w:val="center"/>
              <w:rPr>
                <w:rFonts w:eastAsia="Times New Roman" w:cs="Arial"/>
                <w:kern w:val="0"/>
                <w:sz w:val="18"/>
                <w:szCs w:val="18"/>
                <w:lang w:eastAsia="es-CO"/>
                <w14:ligatures w14:val="none"/>
              </w:rPr>
            </w:pPr>
          </w:p>
        </w:tc>
        <w:tc>
          <w:tcPr>
            <w:tcW w:w="956" w:type="pct"/>
            <w:noWrap/>
            <w:vAlign w:val="center"/>
            <w:hideMark/>
          </w:tcPr>
          <w:p w14:paraId="20502378" w14:textId="77777777" w:rsidR="0089119D" w:rsidRPr="00B450EB" w:rsidRDefault="0089119D" w:rsidP="00751668">
            <w:pPr>
              <w:jc w:val="center"/>
              <w:rPr>
                <w:rFonts w:ascii="Times New Roman" w:eastAsia="Times New Roman" w:hAnsi="Times New Roman" w:cs="Times New Roman"/>
                <w:kern w:val="0"/>
                <w:sz w:val="20"/>
                <w:szCs w:val="20"/>
                <w:lang w:eastAsia="es-CO"/>
                <w14:ligatures w14:val="none"/>
              </w:rPr>
            </w:pPr>
          </w:p>
        </w:tc>
        <w:tc>
          <w:tcPr>
            <w:tcW w:w="440" w:type="pct"/>
            <w:noWrap/>
            <w:vAlign w:val="center"/>
            <w:hideMark/>
          </w:tcPr>
          <w:p w14:paraId="3D6D7AE6" w14:textId="77777777" w:rsidR="0089119D" w:rsidRPr="00B450EB" w:rsidRDefault="0089119D" w:rsidP="00751668">
            <w:pPr>
              <w:jc w:val="center"/>
              <w:rPr>
                <w:rFonts w:ascii="Times New Roman" w:eastAsia="Times New Roman" w:hAnsi="Times New Roman" w:cs="Times New Roman"/>
                <w:kern w:val="0"/>
                <w:sz w:val="20"/>
                <w:szCs w:val="20"/>
                <w:lang w:eastAsia="es-CO"/>
                <w14:ligatures w14:val="none"/>
              </w:rPr>
            </w:pPr>
          </w:p>
        </w:tc>
      </w:tr>
      <w:tr w:rsidR="00EF1937" w:rsidRPr="00B450EB" w14:paraId="7D1AB18A" w14:textId="77777777" w:rsidTr="00751668">
        <w:trPr>
          <w:trHeight w:val="288"/>
        </w:trPr>
        <w:tc>
          <w:tcPr>
            <w:tcW w:w="1177" w:type="pct"/>
            <w:noWrap/>
            <w:vAlign w:val="center"/>
            <w:hideMark/>
          </w:tcPr>
          <w:p w14:paraId="16F9F89D"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Magnolia </w:t>
            </w:r>
            <w:proofErr w:type="spellStart"/>
            <w:r w:rsidRPr="00B450EB">
              <w:rPr>
                <w:rFonts w:eastAsia="Times New Roman" w:cs="Arial"/>
                <w:i/>
                <w:iCs/>
                <w:kern w:val="0"/>
                <w:sz w:val="18"/>
                <w:szCs w:val="18"/>
                <w:lang w:eastAsia="es-CO"/>
                <w14:ligatures w14:val="none"/>
              </w:rPr>
              <w:t>narinensis</w:t>
            </w:r>
            <w:proofErr w:type="spellEnd"/>
          </w:p>
        </w:tc>
        <w:tc>
          <w:tcPr>
            <w:tcW w:w="880" w:type="pct"/>
            <w:noWrap/>
            <w:vAlign w:val="center"/>
            <w:hideMark/>
          </w:tcPr>
          <w:p w14:paraId="0EC36253"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Magnoliaceae</w:t>
            </w:r>
            <w:proofErr w:type="spellEnd"/>
          </w:p>
        </w:tc>
        <w:tc>
          <w:tcPr>
            <w:tcW w:w="370" w:type="pct"/>
            <w:noWrap/>
            <w:vAlign w:val="center"/>
            <w:hideMark/>
          </w:tcPr>
          <w:p w14:paraId="789FC1F9"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CR</w:t>
            </w:r>
          </w:p>
        </w:tc>
        <w:tc>
          <w:tcPr>
            <w:tcW w:w="1177" w:type="pct"/>
            <w:noWrap/>
            <w:vAlign w:val="center"/>
            <w:hideMark/>
          </w:tcPr>
          <w:p w14:paraId="23E153A9" w14:textId="77777777" w:rsidR="0089119D" w:rsidRPr="00B450EB" w:rsidRDefault="0089119D" w:rsidP="00751668">
            <w:pPr>
              <w:jc w:val="center"/>
              <w:rPr>
                <w:rFonts w:eastAsia="Times New Roman" w:cs="Arial"/>
                <w:kern w:val="0"/>
                <w:sz w:val="18"/>
                <w:szCs w:val="18"/>
                <w:lang w:eastAsia="es-CO"/>
                <w14:ligatures w14:val="none"/>
              </w:rPr>
            </w:pPr>
          </w:p>
        </w:tc>
        <w:tc>
          <w:tcPr>
            <w:tcW w:w="956" w:type="pct"/>
            <w:noWrap/>
            <w:vAlign w:val="center"/>
            <w:hideMark/>
          </w:tcPr>
          <w:p w14:paraId="16534AF2" w14:textId="77777777" w:rsidR="0089119D" w:rsidRPr="00B450EB" w:rsidRDefault="0089119D" w:rsidP="00751668">
            <w:pPr>
              <w:jc w:val="center"/>
              <w:rPr>
                <w:rFonts w:ascii="Times New Roman" w:eastAsia="Times New Roman" w:hAnsi="Times New Roman" w:cs="Times New Roman"/>
                <w:kern w:val="0"/>
                <w:sz w:val="20"/>
                <w:szCs w:val="20"/>
                <w:lang w:eastAsia="es-CO"/>
                <w14:ligatures w14:val="none"/>
              </w:rPr>
            </w:pPr>
          </w:p>
        </w:tc>
        <w:tc>
          <w:tcPr>
            <w:tcW w:w="440" w:type="pct"/>
            <w:noWrap/>
            <w:vAlign w:val="center"/>
            <w:hideMark/>
          </w:tcPr>
          <w:p w14:paraId="146EE382" w14:textId="77777777" w:rsidR="0089119D" w:rsidRPr="00B450EB" w:rsidRDefault="0089119D" w:rsidP="00751668">
            <w:pPr>
              <w:jc w:val="center"/>
              <w:rPr>
                <w:rFonts w:ascii="Times New Roman" w:eastAsia="Times New Roman" w:hAnsi="Times New Roman" w:cs="Times New Roman"/>
                <w:kern w:val="0"/>
                <w:sz w:val="20"/>
                <w:szCs w:val="20"/>
                <w:lang w:eastAsia="es-CO"/>
                <w14:ligatures w14:val="none"/>
              </w:rPr>
            </w:pPr>
          </w:p>
        </w:tc>
      </w:tr>
      <w:tr w:rsidR="00EF1937" w:rsidRPr="00B450EB" w14:paraId="5E87AB6D" w14:textId="77777777" w:rsidTr="00751668">
        <w:trPr>
          <w:trHeight w:val="288"/>
        </w:trPr>
        <w:tc>
          <w:tcPr>
            <w:tcW w:w="1177" w:type="pct"/>
            <w:noWrap/>
            <w:vAlign w:val="center"/>
            <w:hideMark/>
          </w:tcPr>
          <w:p w14:paraId="0419E7A2" w14:textId="77777777" w:rsidR="0089119D" w:rsidRPr="00B450EB" w:rsidRDefault="0089119D" w:rsidP="00751668">
            <w:pPr>
              <w:jc w:val="center"/>
              <w:rPr>
                <w:rFonts w:eastAsia="Times New Roman" w:cs="Arial"/>
                <w:i/>
                <w:iCs/>
                <w:kern w:val="0"/>
                <w:sz w:val="18"/>
                <w:szCs w:val="18"/>
                <w:lang w:eastAsia="es-CO"/>
                <w14:ligatures w14:val="none"/>
              </w:rPr>
            </w:pPr>
            <w:r w:rsidRPr="00B450EB">
              <w:rPr>
                <w:rFonts w:eastAsia="Times New Roman" w:cs="Arial"/>
                <w:i/>
                <w:iCs/>
                <w:kern w:val="0"/>
                <w:sz w:val="18"/>
                <w:szCs w:val="18"/>
                <w:lang w:eastAsia="es-CO"/>
                <w14:ligatures w14:val="none"/>
              </w:rPr>
              <w:t xml:space="preserve">Magnolia </w:t>
            </w:r>
            <w:proofErr w:type="spellStart"/>
            <w:r w:rsidRPr="00B450EB">
              <w:rPr>
                <w:rFonts w:eastAsia="Times New Roman" w:cs="Arial"/>
                <w:i/>
                <w:iCs/>
                <w:kern w:val="0"/>
                <w:sz w:val="18"/>
                <w:szCs w:val="18"/>
                <w:lang w:eastAsia="es-CO"/>
                <w14:ligatures w14:val="none"/>
              </w:rPr>
              <w:t>striatifolia</w:t>
            </w:r>
            <w:proofErr w:type="spellEnd"/>
          </w:p>
        </w:tc>
        <w:tc>
          <w:tcPr>
            <w:tcW w:w="880" w:type="pct"/>
            <w:noWrap/>
            <w:vAlign w:val="center"/>
            <w:hideMark/>
          </w:tcPr>
          <w:p w14:paraId="70D7E5ED" w14:textId="77777777" w:rsidR="0089119D" w:rsidRPr="00B450EB" w:rsidRDefault="0089119D" w:rsidP="00751668">
            <w:pPr>
              <w:jc w:val="center"/>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Magnoliaceae</w:t>
            </w:r>
            <w:proofErr w:type="spellEnd"/>
          </w:p>
        </w:tc>
        <w:tc>
          <w:tcPr>
            <w:tcW w:w="370" w:type="pct"/>
            <w:noWrap/>
            <w:vAlign w:val="center"/>
            <w:hideMark/>
          </w:tcPr>
          <w:p w14:paraId="259C9828" w14:textId="77777777" w:rsidR="0089119D" w:rsidRPr="00B450EB" w:rsidRDefault="0089119D" w:rsidP="00751668">
            <w:pPr>
              <w:jc w:val="center"/>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EN</w:t>
            </w:r>
          </w:p>
        </w:tc>
        <w:tc>
          <w:tcPr>
            <w:tcW w:w="1177" w:type="pct"/>
            <w:noWrap/>
            <w:vAlign w:val="center"/>
            <w:hideMark/>
          </w:tcPr>
          <w:p w14:paraId="0385EF1B" w14:textId="77777777" w:rsidR="0089119D" w:rsidRPr="00B450EB" w:rsidRDefault="0089119D" w:rsidP="00751668">
            <w:pPr>
              <w:jc w:val="center"/>
              <w:rPr>
                <w:rFonts w:eastAsia="Times New Roman" w:cs="Arial"/>
                <w:kern w:val="0"/>
                <w:sz w:val="18"/>
                <w:szCs w:val="18"/>
                <w:lang w:eastAsia="es-CO"/>
                <w14:ligatures w14:val="none"/>
              </w:rPr>
            </w:pPr>
          </w:p>
        </w:tc>
        <w:tc>
          <w:tcPr>
            <w:tcW w:w="956" w:type="pct"/>
            <w:noWrap/>
            <w:vAlign w:val="center"/>
            <w:hideMark/>
          </w:tcPr>
          <w:p w14:paraId="4432979B" w14:textId="77777777" w:rsidR="0089119D" w:rsidRPr="00B450EB" w:rsidRDefault="0089119D" w:rsidP="00751668">
            <w:pPr>
              <w:jc w:val="center"/>
              <w:rPr>
                <w:rFonts w:ascii="Times New Roman" w:eastAsia="Times New Roman" w:hAnsi="Times New Roman" w:cs="Times New Roman"/>
                <w:kern w:val="0"/>
                <w:sz w:val="20"/>
                <w:szCs w:val="20"/>
                <w:lang w:eastAsia="es-CO"/>
                <w14:ligatures w14:val="none"/>
              </w:rPr>
            </w:pPr>
          </w:p>
        </w:tc>
        <w:tc>
          <w:tcPr>
            <w:tcW w:w="440" w:type="pct"/>
            <w:noWrap/>
            <w:vAlign w:val="center"/>
            <w:hideMark/>
          </w:tcPr>
          <w:p w14:paraId="63EEE302" w14:textId="77777777" w:rsidR="0089119D" w:rsidRPr="00B450EB" w:rsidRDefault="0089119D" w:rsidP="00751668">
            <w:pPr>
              <w:jc w:val="center"/>
              <w:rPr>
                <w:rFonts w:ascii="Times New Roman" w:eastAsia="Times New Roman" w:hAnsi="Times New Roman" w:cs="Times New Roman"/>
                <w:kern w:val="0"/>
                <w:sz w:val="20"/>
                <w:szCs w:val="20"/>
                <w:lang w:eastAsia="es-CO"/>
                <w14:ligatures w14:val="none"/>
              </w:rPr>
            </w:pPr>
          </w:p>
        </w:tc>
      </w:tr>
    </w:tbl>
    <w:p w14:paraId="15524ED3" w14:textId="77777777" w:rsidR="00614468" w:rsidRPr="00B450EB" w:rsidRDefault="00614468" w:rsidP="00614468">
      <w:pPr>
        <w:tabs>
          <w:tab w:val="left" w:pos="5040"/>
        </w:tabs>
        <w:jc w:val="left"/>
        <w:rPr>
          <w:sz w:val="18"/>
          <w:szCs w:val="18"/>
        </w:rPr>
      </w:pPr>
      <w:r w:rsidRPr="00B450EB">
        <w:rPr>
          <w:sz w:val="18"/>
          <w:szCs w:val="18"/>
        </w:rPr>
        <w:t>Nota: CR: Peligro Crítico, EN: En Peligro, VU: Vulnerable. *C. amenaza: categoría de amenaza.</w:t>
      </w:r>
    </w:p>
    <w:p w14:paraId="0CB37AFD" w14:textId="77777777" w:rsidR="00244C85" w:rsidRPr="00B450EB" w:rsidRDefault="0089119D" w:rsidP="00751668">
      <w:pPr>
        <w:tabs>
          <w:tab w:val="left" w:pos="5040"/>
        </w:tabs>
        <w:jc w:val="center"/>
        <w:rPr>
          <w:sz w:val="18"/>
          <w:szCs w:val="18"/>
        </w:rPr>
      </w:pPr>
      <w:r w:rsidRPr="00B450EB">
        <w:rPr>
          <w:sz w:val="18"/>
          <w:szCs w:val="18"/>
        </w:rPr>
        <w:t>Fuente: Elaboración propia</w:t>
      </w:r>
      <w:r w:rsidR="00244C85" w:rsidRPr="00B450EB">
        <w:rPr>
          <w:sz w:val="18"/>
          <w:szCs w:val="18"/>
        </w:rPr>
        <w:t xml:space="preserve"> </w:t>
      </w:r>
      <w:r w:rsidRPr="00B450EB">
        <w:rPr>
          <w:sz w:val="18"/>
          <w:szCs w:val="18"/>
        </w:rPr>
        <w:t xml:space="preserve">a partir de SIB, 2025; Resolución 0126 de 2024. </w:t>
      </w:r>
    </w:p>
    <w:p w14:paraId="1DEA3525" w14:textId="65B114C6" w:rsidR="008B1B71" w:rsidRPr="00B450EB" w:rsidRDefault="008B1B71" w:rsidP="004B5F7D">
      <w:pPr>
        <w:tabs>
          <w:tab w:val="left" w:pos="5040"/>
        </w:tabs>
      </w:pPr>
      <w:r w:rsidRPr="00B450EB">
        <w:t>Adicionalmente en la siguiente tabla se describe las características de amenaza de especie de flora del bioma amazónico:</w:t>
      </w:r>
    </w:p>
    <w:p w14:paraId="17766E45" w14:textId="371F3D13" w:rsidR="00667117" w:rsidRPr="00B450EB" w:rsidRDefault="00667117" w:rsidP="00667117">
      <w:pPr>
        <w:pStyle w:val="Descripcin"/>
        <w:rPr>
          <w:i w:val="0"/>
          <w:iCs w:val="0"/>
          <w:color w:val="auto"/>
        </w:rPr>
      </w:pPr>
      <w:bookmarkStart w:id="88" w:name="_Toc209722994"/>
      <w:r w:rsidRPr="00B450EB">
        <w:rPr>
          <w:i w:val="0"/>
          <w:iCs w:val="0"/>
          <w:color w:val="auto"/>
        </w:rPr>
        <w:t xml:space="preserve">Tabla </w:t>
      </w:r>
      <w:r w:rsidRPr="00B450EB">
        <w:rPr>
          <w:i w:val="0"/>
          <w:iCs w:val="0"/>
          <w:color w:val="auto"/>
        </w:rPr>
        <w:fldChar w:fldCharType="begin"/>
      </w:r>
      <w:r w:rsidRPr="00B450EB">
        <w:rPr>
          <w:i w:val="0"/>
          <w:iCs w:val="0"/>
          <w:color w:val="auto"/>
        </w:rPr>
        <w:instrText xml:space="preserve"> SEQ Tabla \* ARABIC </w:instrText>
      </w:r>
      <w:r w:rsidRPr="00B450EB">
        <w:rPr>
          <w:i w:val="0"/>
          <w:iCs w:val="0"/>
          <w:color w:val="auto"/>
        </w:rPr>
        <w:fldChar w:fldCharType="separate"/>
      </w:r>
      <w:r w:rsidR="009765C2" w:rsidRPr="00B450EB">
        <w:rPr>
          <w:i w:val="0"/>
          <w:iCs w:val="0"/>
          <w:noProof/>
          <w:color w:val="auto"/>
        </w:rPr>
        <w:t>11</w:t>
      </w:r>
      <w:r w:rsidRPr="00B450EB">
        <w:rPr>
          <w:i w:val="0"/>
          <w:iCs w:val="0"/>
          <w:color w:val="auto"/>
        </w:rPr>
        <w:fldChar w:fldCharType="end"/>
      </w:r>
      <w:r w:rsidRPr="00B450EB">
        <w:rPr>
          <w:i w:val="0"/>
          <w:iCs w:val="0"/>
          <w:color w:val="auto"/>
        </w:rPr>
        <w:t xml:space="preserve">. </w:t>
      </w:r>
      <w:r w:rsidR="008B1B71" w:rsidRPr="00B450EB">
        <w:rPr>
          <w:i w:val="0"/>
          <w:iCs w:val="0"/>
          <w:color w:val="auto"/>
        </w:rPr>
        <w:t>Características de amenaza de especies En Peligro Critico bioma amazónico.</w:t>
      </w:r>
      <w:bookmarkEnd w:id="88"/>
    </w:p>
    <w:tbl>
      <w:tblPr>
        <w:tblW w:w="5537" w:type="pct"/>
        <w:tblLook w:val="06A0" w:firstRow="1" w:lastRow="0" w:firstColumn="1" w:lastColumn="0" w:noHBand="1" w:noVBand="1"/>
      </w:tblPr>
      <w:tblGrid>
        <w:gridCol w:w="2405"/>
        <w:gridCol w:w="1073"/>
        <w:gridCol w:w="954"/>
        <w:gridCol w:w="4069"/>
        <w:gridCol w:w="1275"/>
      </w:tblGrid>
      <w:tr w:rsidR="00EF1937" w:rsidRPr="00B450EB" w14:paraId="5C0E49AB" w14:textId="77777777" w:rsidTr="00753D7C">
        <w:trPr>
          <w:trHeight w:val="570"/>
          <w:tblHeader/>
        </w:trPr>
        <w:tc>
          <w:tcPr>
            <w:tcW w:w="1230" w:type="pct"/>
            <w:tcBorders>
              <w:top w:val="single" w:sz="4" w:space="0" w:color="auto"/>
              <w:left w:val="single" w:sz="4" w:space="0" w:color="auto"/>
              <w:bottom w:val="single" w:sz="4" w:space="0" w:color="auto"/>
              <w:right w:val="single" w:sz="4" w:space="0" w:color="auto"/>
            </w:tcBorders>
            <w:shd w:val="clear" w:color="auto" w:fill="DAF2D0"/>
            <w:tcMar>
              <w:top w:w="15" w:type="dxa"/>
              <w:left w:w="15" w:type="dxa"/>
              <w:right w:w="15" w:type="dxa"/>
            </w:tcMar>
            <w:vAlign w:val="center"/>
          </w:tcPr>
          <w:p w14:paraId="48FAB17D" w14:textId="3427774B" w:rsidR="42C1360B" w:rsidRPr="00B450EB" w:rsidRDefault="42C1360B" w:rsidP="42C1360B">
            <w:pPr>
              <w:spacing w:after="0"/>
              <w:jc w:val="center"/>
            </w:pPr>
            <w:r w:rsidRPr="00B450EB">
              <w:rPr>
                <w:rFonts w:eastAsia="Arial" w:cs="Arial"/>
                <w:b/>
                <w:bCs/>
                <w:sz w:val="18"/>
                <w:szCs w:val="18"/>
              </w:rPr>
              <w:t>Nombre de la especie</w:t>
            </w:r>
          </w:p>
        </w:tc>
        <w:tc>
          <w:tcPr>
            <w:tcW w:w="549" w:type="pct"/>
            <w:tcBorders>
              <w:top w:val="single" w:sz="4" w:space="0" w:color="auto"/>
              <w:left w:val="single" w:sz="4" w:space="0" w:color="auto"/>
              <w:bottom w:val="single" w:sz="4" w:space="0" w:color="auto"/>
              <w:right w:val="single" w:sz="4" w:space="0" w:color="auto"/>
            </w:tcBorders>
            <w:shd w:val="clear" w:color="auto" w:fill="DAF2D0"/>
            <w:tcMar>
              <w:top w:w="15" w:type="dxa"/>
              <w:left w:w="15" w:type="dxa"/>
              <w:right w:w="15" w:type="dxa"/>
            </w:tcMar>
            <w:vAlign w:val="center"/>
          </w:tcPr>
          <w:p w14:paraId="048B673F" w14:textId="0516A1AF" w:rsidR="42C1360B" w:rsidRPr="00B450EB" w:rsidRDefault="42C1360B" w:rsidP="42C1360B">
            <w:pPr>
              <w:spacing w:after="0"/>
              <w:jc w:val="center"/>
            </w:pPr>
            <w:r w:rsidRPr="00B450EB">
              <w:rPr>
                <w:rFonts w:eastAsia="Arial" w:cs="Arial"/>
                <w:b/>
                <w:bCs/>
                <w:sz w:val="18"/>
                <w:szCs w:val="18"/>
              </w:rPr>
              <w:t>Habito de crecimiento</w:t>
            </w:r>
          </w:p>
        </w:tc>
        <w:tc>
          <w:tcPr>
            <w:tcW w:w="488" w:type="pct"/>
            <w:tcBorders>
              <w:top w:val="single" w:sz="4" w:space="0" w:color="auto"/>
              <w:left w:val="single" w:sz="4" w:space="0" w:color="auto"/>
              <w:bottom w:val="single" w:sz="4" w:space="0" w:color="auto"/>
              <w:right w:val="single" w:sz="4" w:space="0" w:color="auto"/>
            </w:tcBorders>
            <w:shd w:val="clear" w:color="auto" w:fill="DAF2D0"/>
            <w:tcMar>
              <w:top w:w="15" w:type="dxa"/>
              <w:left w:w="15" w:type="dxa"/>
              <w:right w:w="15" w:type="dxa"/>
            </w:tcMar>
            <w:vAlign w:val="center"/>
          </w:tcPr>
          <w:p w14:paraId="1860AAB8" w14:textId="738949D4" w:rsidR="42C1360B" w:rsidRPr="00B450EB" w:rsidRDefault="42C1360B" w:rsidP="42C1360B">
            <w:pPr>
              <w:spacing w:after="0"/>
              <w:jc w:val="center"/>
            </w:pPr>
            <w:r w:rsidRPr="00B450EB">
              <w:rPr>
                <w:rFonts w:eastAsia="Arial" w:cs="Arial"/>
                <w:b/>
                <w:bCs/>
                <w:sz w:val="18"/>
                <w:szCs w:val="18"/>
              </w:rPr>
              <w:t>Rango altitudinal</w:t>
            </w:r>
            <w:r w:rsidR="00207869" w:rsidRPr="00B450EB">
              <w:rPr>
                <w:rFonts w:eastAsia="Arial" w:cs="Arial"/>
                <w:b/>
                <w:bCs/>
                <w:sz w:val="18"/>
                <w:szCs w:val="18"/>
              </w:rPr>
              <w:t xml:space="preserve"> (msnm)</w:t>
            </w:r>
          </w:p>
        </w:tc>
        <w:tc>
          <w:tcPr>
            <w:tcW w:w="2081" w:type="pct"/>
            <w:tcBorders>
              <w:top w:val="single" w:sz="4" w:space="0" w:color="auto"/>
              <w:left w:val="single" w:sz="4" w:space="0" w:color="auto"/>
              <w:bottom w:val="single" w:sz="4" w:space="0" w:color="auto"/>
              <w:right w:val="single" w:sz="4" w:space="0" w:color="auto"/>
            </w:tcBorders>
            <w:shd w:val="clear" w:color="auto" w:fill="DAF2D0"/>
            <w:tcMar>
              <w:top w:w="15" w:type="dxa"/>
              <w:left w:w="15" w:type="dxa"/>
              <w:right w:w="15" w:type="dxa"/>
            </w:tcMar>
            <w:vAlign w:val="center"/>
          </w:tcPr>
          <w:p w14:paraId="766DB0DC" w14:textId="7055B771" w:rsidR="42C1360B" w:rsidRPr="00B450EB" w:rsidRDefault="008B1B71" w:rsidP="42C1360B">
            <w:pPr>
              <w:spacing w:after="0"/>
              <w:jc w:val="center"/>
            </w:pPr>
            <w:r w:rsidRPr="00B450EB">
              <w:rPr>
                <w:rFonts w:eastAsia="Arial" w:cs="Arial"/>
                <w:b/>
                <w:bCs/>
                <w:sz w:val="18"/>
                <w:szCs w:val="18"/>
              </w:rPr>
              <w:t>Característica</w:t>
            </w:r>
            <w:r w:rsidR="42C1360B" w:rsidRPr="00B450EB">
              <w:rPr>
                <w:rFonts w:eastAsia="Arial" w:cs="Arial"/>
                <w:b/>
                <w:bCs/>
                <w:sz w:val="18"/>
                <w:szCs w:val="18"/>
              </w:rPr>
              <w:t xml:space="preserve"> de la amenaza</w:t>
            </w:r>
          </w:p>
        </w:tc>
        <w:tc>
          <w:tcPr>
            <w:tcW w:w="653" w:type="pct"/>
            <w:tcBorders>
              <w:top w:val="single" w:sz="4" w:space="0" w:color="auto"/>
              <w:left w:val="single" w:sz="4" w:space="0" w:color="auto"/>
              <w:bottom w:val="single" w:sz="4" w:space="0" w:color="auto"/>
              <w:right w:val="single" w:sz="4" w:space="0" w:color="auto"/>
            </w:tcBorders>
            <w:shd w:val="clear" w:color="auto" w:fill="DAF2D0"/>
            <w:tcMar>
              <w:top w:w="15" w:type="dxa"/>
              <w:left w:w="15" w:type="dxa"/>
              <w:right w:w="15" w:type="dxa"/>
            </w:tcMar>
            <w:vAlign w:val="center"/>
          </w:tcPr>
          <w:p w14:paraId="129CBBAF" w14:textId="39701669" w:rsidR="42C1360B" w:rsidRPr="00B450EB" w:rsidRDefault="42C1360B" w:rsidP="42C1360B">
            <w:pPr>
              <w:spacing w:after="0"/>
              <w:jc w:val="center"/>
            </w:pPr>
            <w:r w:rsidRPr="00B450EB">
              <w:rPr>
                <w:rFonts w:eastAsia="Arial" w:cs="Arial"/>
                <w:b/>
                <w:bCs/>
                <w:sz w:val="18"/>
                <w:szCs w:val="18"/>
              </w:rPr>
              <w:t>Fuente</w:t>
            </w:r>
          </w:p>
        </w:tc>
      </w:tr>
      <w:tr w:rsidR="00EF1937" w:rsidRPr="00B450EB" w14:paraId="186B17FE" w14:textId="77777777" w:rsidTr="00667117">
        <w:trPr>
          <w:trHeight w:val="45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F1E801" w14:textId="6F21BCCD" w:rsidR="42C1360B" w:rsidRPr="00B450EB" w:rsidRDefault="42C1360B" w:rsidP="42C1360B">
            <w:pPr>
              <w:spacing w:after="0"/>
              <w:jc w:val="center"/>
            </w:pPr>
            <w:proofErr w:type="spellStart"/>
            <w:r w:rsidRPr="00B450EB">
              <w:rPr>
                <w:rFonts w:eastAsia="Arial" w:cs="Arial"/>
                <w:i/>
                <w:iCs/>
                <w:sz w:val="18"/>
                <w:szCs w:val="18"/>
              </w:rPr>
              <w:t>Aiphanes</w:t>
            </w:r>
            <w:proofErr w:type="spellEnd"/>
            <w:r w:rsidRPr="00B450EB">
              <w:rPr>
                <w:rFonts w:eastAsia="Arial" w:cs="Arial"/>
                <w:i/>
                <w:iCs/>
                <w:sz w:val="18"/>
                <w:szCs w:val="18"/>
              </w:rPr>
              <w:t xml:space="preserve"> </w:t>
            </w:r>
            <w:proofErr w:type="spellStart"/>
            <w:r w:rsidRPr="00B450EB">
              <w:rPr>
                <w:rFonts w:eastAsia="Arial" w:cs="Arial"/>
                <w:i/>
                <w:iCs/>
                <w:sz w:val="18"/>
                <w:szCs w:val="18"/>
              </w:rPr>
              <w:t>pilaris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C2F968F" w14:textId="7AB141E6" w:rsidR="42C1360B" w:rsidRPr="00B450EB" w:rsidRDefault="42C1360B" w:rsidP="42C1360B">
            <w:pPr>
              <w:spacing w:after="0"/>
              <w:jc w:val="center"/>
            </w:pPr>
            <w:r w:rsidRPr="00B450EB">
              <w:rPr>
                <w:rFonts w:eastAsia="Arial" w:cs="Arial"/>
                <w:sz w:val="18"/>
                <w:szCs w:val="18"/>
              </w:rPr>
              <w:t>Palma</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BA0233" w14:textId="461E84BB" w:rsidR="42C1360B" w:rsidRPr="00B450EB" w:rsidRDefault="42C1360B" w:rsidP="42C1360B">
            <w:pPr>
              <w:spacing w:after="0"/>
              <w:jc w:val="center"/>
            </w:pPr>
            <w:r w:rsidRPr="00B450EB">
              <w:rPr>
                <w:rFonts w:eastAsia="Arial" w:cs="Arial"/>
                <w:sz w:val="18"/>
                <w:szCs w:val="18"/>
              </w:rPr>
              <w:t>2580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96B1F7" w14:textId="65EB6A63" w:rsidR="42C1360B" w:rsidRPr="00B450EB" w:rsidRDefault="008B1B71" w:rsidP="42C1360B">
            <w:pPr>
              <w:spacing w:after="0"/>
              <w:jc w:val="center"/>
            </w:pPr>
            <w:r w:rsidRPr="00B450EB">
              <w:rPr>
                <w:rFonts w:eastAsia="Arial" w:cs="Arial"/>
                <w:sz w:val="18"/>
                <w:szCs w:val="18"/>
              </w:rPr>
              <w:t>hábitat</w:t>
            </w:r>
            <w:r w:rsidR="42C1360B" w:rsidRPr="00B450EB">
              <w:rPr>
                <w:rFonts w:eastAsia="Arial" w:cs="Arial"/>
                <w:sz w:val="18"/>
                <w:szCs w:val="18"/>
              </w:rPr>
              <w:t xml:space="preserve"> en áreas </w:t>
            </w:r>
            <w:r w:rsidRPr="00B450EB">
              <w:rPr>
                <w:rFonts w:eastAsia="Arial" w:cs="Arial"/>
                <w:sz w:val="18"/>
                <w:szCs w:val="18"/>
              </w:rPr>
              <w:t>restringidas</w:t>
            </w:r>
            <w:r w:rsidR="42C1360B" w:rsidRPr="00B450EB">
              <w:rPr>
                <w:rFonts w:eastAsia="Arial" w:cs="Arial"/>
                <w:sz w:val="18"/>
                <w:szCs w:val="18"/>
              </w:rPr>
              <w:t xml:space="preserve">, pocos individuos registrados (siete </w:t>
            </w:r>
            <w:proofErr w:type="spellStart"/>
            <w:r w:rsidR="42C1360B" w:rsidRPr="00B450EB">
              <w:rPr>
                <w:rFonts w:eastAsia="Arial" w:cs="Arial"/>
                <w:sz w:val="18"/>
                <w:szCs w:val="18"/>
              </w:rPr>
              <w:t>ind</w:t>
            </w:r>
            <w:proofErr w:type="spellEnd"/>
            <w:r w:rsidR="42C1360B" w:rsidRPr="00B450EB">
              <w:rPr>
                <w:rFonts w:eastAsia="Arial" w:cs="Arial"/>
                <w:sz w:val="18"/>
                <w:szCs w:val="18"/>
              </w:rPr>
              <w:t>)</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35A6FE" w14:textId="6CD12F28" w:rsidR="42C1360B" w:rsidRPr="00B450EB" w:rsidRDefault="42C1360B" w:rsidP="42C1360B">
            <w:pPr>
              <w:spacing w:after="0"/>
              <w:jc w:val="center"/>
            </w:pPr>
            <w:r w:rsidRPr="00B450EB">
              <w:rPr>
                <w:rFonts w:eastAsia="Arial" w:cs="Arial"/>
                <w:sz w:val="18"/>
                <w:szCs w:val="18"/>
              </w:rPr>
              <w:t>Galeano &amp; Bernal (2010)</w:t>
            </w:r>
          </w:p>
        </w:tc>
      </w:tr>
      <w:tr w:rsidR="00EF1937" w:rsidRPr="00B450EB" w14:paraId="6921AE0E" w14:textId="77777777" w:rsidTr="008B1B71">
        <w:trPr>
          <w:trHeight w:val="1878"/>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47CBED8" w14:textId="19458483" w:rsidR="42C1360B" w:rsidRPr="00B450EB" w:rsidRDefault="42C1360B" w:rsidP="42C1360B">
            <w:pPr>
              <w:spacing w:after="0"/>
              <w:jc w:val="center"/>
            </w:pPr>
            <w:proofErr w:type="spellStart"/>
            <w:r w:rsidRPr="00B450EB">
              <w:rPr>
                <w:rFonts w:eastAsia="Arial" w:cs="Arial"/>
                <w:i/>
                <w:iCs/>
                <w:sz w:val="18"/>
                <w:szCs w:val="18"/>
              </w:rPr>
              <w:t>Aniba</w:t>
            </w:r>
            <w:proofErr w:type="spellEnd"/>
            <w:r w:rsidRPr="00B450EB">
              <w:rPr>
                <w:rFonts w:eastAsia="Arial" w:cs="Arial"/>
                <w:i/>
                <w:iCs/>
                <w:sz w:val="18"/>
                <w:szCs w:val="18"/>
              </w:rPr>
              <w:t xml:space="preserve"> </w:t>
            </w:r>
            <w:proofErr w:type="spellStart"/>
            <w:r w:rsidRPr="00B450EB">
              <w:rPr>
                <w:rFonts w:eastAsia="Arial" w:cs="Arial"/>
                <w:i/>
                <w:iCs/>
                <w:sz w:val="18"/>
                <w:szCs w:val="18"/>
              </w:rPr>
              <w:t>perutilis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E94C0A5" w14:textId="0F9DAE60"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58EC5D" w14:textId="12B5EA47" w:rsidR="42C1360B" w:rsidRPr="00B450EB" w:rsidRDefault="42C1360B" w:rsidP="42C1360B">
            <w:pPr>
              <w:spacing w:after="0"/>
              <w:jc w:val="center"/>
            </w:pPr>
            <w:r w:rsidRPr="00B450EB">
              <w:rPr>
                <w:rFonts w:eastAsia="Arial" w:cs="Arial"/>
                <w:sz w:val="18"/>
                <w:szCs w:val="18"/>
              </w:rPr>
              <w:t>100-2600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B3382D" w14:textId="7E61FE5A" w:rsidR="42C1360B" w:rsidRPr="00B450EB" w:rsidRDefault="42C1360B" w:rsidP="42C1360B">
            <w:pPr>
              <w:spacing w:after="0"/>
              <w:jc w:val="center"/>
            </w:pPr>
            <w:r w:rsidRPr="00B450EB">
              <w:rPr>
                <w:rFonts w:eastAsia="Arial" w:cs="Arial"/>
                <w:sz w:val="18"/>
                <w:szCs w:val="18"/>
              </w:rPr>
              <w:t>Aproximadamente 85</w:t>
            </w:r>
            <w:r w:rsidR="008B1B71" w:rsidRPr="00B450EB">
              <w:rPr>
                <w:rFonts w:eastAsia="Arial" w:cs="Arial"/>
                <w:sz w:val="18"/>
                <w:szCs w:val="18"/>
              </w:rPr>
              <w:t>% de</w:t>
            </w:r>
            <w:r w:rsidRPr="00B450EB">
              <w:rPr>
                <w:rFonts w:eastAsia="Arial" w:cs="Arial"/>
                <w:sz w:val="18"/>
                <w:szCs w:val="18"/>
              </w:rPr>
              <w:t xml:space="preserve"> las poblaciones han </w:t>
            </w:r>
            <w:r w:rsidR="008B1B71" w:rsidRPr="00B450EB">
              <w:rPr>
                <w:rFonts w:eastAsia="Arial" w:cs="Arial"/>
                <w:sz w:val="18"/>
                <w:szCs w:val="18"/>
              </w:rPr>
              <w:t>sido sometidas</w:t>
            </w:r>
            <w:r w:rsidRPr="00B450EB">
              <w:rPr>
                <w:rFonts w:eastAsia="Arial" w:cs="Arial"/>
                <w:sz w:val="18"/>
                <w:szCs w:val="18"/>
              </w:rPr>
              <w:t xml:space="preserve"> explotación maderera </w:t>
            </w:r>
            <w:r w:rsidR="008B1B71" w:rsidRPr="00B450EB">
              <w:rPr>
                <w:rFonts w:eastAsia="Arial" w:cs="Arial"/>
                <w:sz w:val="18"/>
                <w:szCs w:val="18"/>
              </w:rPr>
              <w:t>de acuerdo con</w:t>
            </w:r>
            <w:r w:rsidRPr="00B450EB">
              <w:rPr>
                <w:rFonts w:eastAsia="Arial" w:cs="Arial"/>
                <w:sz w:val="18"/>
                <w:szCs w:val="18"/>
              </w:rPr>
              <w:t xml:space="preserve"> reportes de la Corporaciones autónomas regionales, especie vedada CDMB- Corporación para la Defe</w:t>
            </w:r>
            <w:r w:rsidR="008B1B71" w:rsidRPr="00B450EB">
              <w:rPr>
                <w:rFonts w:eastAsia="Arial" w:cs="Arial"/>
                <w:sz w:val="18"/>
                <w:szCs w:val="18"/>
              </w:rPr>
              <w:t>n</w:t>
            </w:r>
            <w:r w:rsidRPr="00B450EB">
              <w:rPr>
                <w:rFonts w:eastAsia="Arial" w:cs="Arial"/>
                <w:sz w:val="18"/>
                <w:szCs w:val="18"/>
              </w:rPr>
              <w:t>sa de la Meseta de Bucaramanga; CARDER-</w:t>
            </w:r>
            <w:r w:rsidR="008B1B71" w:rsidRPr="00B450EB">
              <w:rPr>
                <w:rFonts w:eastAsia="Arial" w:cs="Arial"/>
                <w:sz w:val="18"/>
                <w:szCs w:val="18"/>
              </w:rPr>
              <w:t>Corporación</w:t>
            </w:r>
            <w:r w:rsidRPr="00B450EB">
              <w:rPr>
                <w:rFonts w:eastAsia="Arial" w:cs="Arial"/>
                <w:sz w:val="18"/>
                <w:szCs w:val="18"/>
              </w:rPr>
              <w:t xml:space="preserve"> Autónoma Regional de </w:t>
            </w:r>
            <w:r w:rsidR="008B1B71" w:rsidRPr="00B450EB">
              <w:rPr>
                <w:rFonts w:eastAsia="Arial" w:cs="Arial"/>
                <w:sz w:val="18"/>
                <w:szCs w:val="18"/>
              </w:rPr>
              <w:t>Risaralda</w:t>
            </w:r>
            <w:r w:rsidRPr="00B450EB">
              <w:rPr>
                <w:rFonts w:eastAsia="Arial" w:cs="Arial"/>
                <w:sz w:val="18"/>
                <w:szCs w:val="18"/>
              </w:rPr>
              <w:t xml:space="preserve">; CORANTIOQUIA, CORPOURABÁ. Dificulta en la germinación de semillas </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8BFE91" w14:textId="4DF76969" w:rsidR="42C1360B" w:rsidRPr="00B450EB" w:rsidRDefault="008B1B71" w:rsidP="42C1360B">
            <w:pPr>
              <w:spacing w:after="0"/>
              <w:jc w:val="center"/>
            </w:pPr>
            <w:r w:rsidRPr="00B450EB">
              <w:rPr>
                <w:rFonts w:eastAsia="Arial" w:cs="Arial"/>
                <w:sz w:val="18"/>
                <w:szCs w:val="18"/>
              </w:rPr>
              <w:t>Cárdenas</w:t>
            </w:r>
            <w:r w:rsidR="42C1360B" w:rsidRPr="00B450EB">
              <w:rPr>
                <w:rFonts w:eastAsia="Arial" w:cs="Arial"/>
                <w:sz w:val="18"/>
                <w:szCs w:val="18"/>
              </w:rPr>
              <w:t xml:space="preserve"> &amp; Salinas (2007)</w:t>
            </w:r>
          </w:p>
        </w:tc>
      </w:tr>
      <w:tr w:rsidR="00EF1937" w:rsidRPr="00B450EB" w14:paraId="3E93885F" w14:textId="77777777" w:rsidTr="008B1B71">
        <w:trPr>
          <w:trHeight w:val="361"/>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556E31" w14:textId="5F5E7DA6" w:rsidR="42C1360B" w:rsidRPr="00B450EB" w:rsidRDefault="42C1360B" w:rsidP="42C1360B">
            <w:pPr>
              <w:spacing w:after="0"/>
              <w:jc w:val="center"/>
            </w:pPr>
            <w:proofErr w:type="spellStart"/>
            <w:r w:rsidRPr="00B450EB">
              <w:rPr>
                <w:rFonts w:eastAsia="Arial" w:cs="Arial"/>
                <w:i/>
                <w:iCs/>
                <w:sz w:val="18"/>
                <w:szCs w:val="18"/>
              </w:rPr>
              <w:lastRenderedPageBreak/>
              <w:t>Ayenia</w:t>
            </w:r>
            <w:proofErr w:type="spellEnd"/>
            <w:r w:rsidRPr="00B450EB">
              <w:rPr>
                <w:rFonts w:eastAsia="Arial" w:cs="Arial"/>
                <w:i/>
                <w:iCs/>
                <w:sz w:val="18"/>
                <w:szCs w:val="18"/>
              </w:rPr>
              <w:t xml:space="preserve"> </w:t>
            </w:r>
            <w:proofErr w:type="spellStart"/>
            <w:r w:rsidRPr="00B450EB">
              <w:rPr>
                <w:rFonts w:eastAsia="Arial" w:cs="Arial"/>
                <w:i/>
                <w:iCs/>
                <w:sz w:val="18"/>
                <w:szCs w:val="18"/>
              </w:rPr>
              <w:t>klugii</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B9D516" w14:textId="66783B40" w:rsidR="42C1360B" w:rsidRPr="00B450EB" w:rsidRDefault="42C1360B" w:rsidP="42C1360B">
            <w:pPr>
              <w:spacing w:after="0"/>
              <w:jc w:val="center"/>
            </w:pPr>
            <w:r w:rsidRPr="00B450EB">
              <w:rPr>
                <w:rFonts w:eastAsia="Arial" w:cs="Arial"/>
                <w:sz w:val="18"/>
                <w:szCs w:val="18"/>
              </w:rPr>
              <w:t>Arbolito</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3D44FF" w14:textId="317850D3" w:rsidR="42C1360B" w:rsidRPr="00B450EB" w:rsidRDefault="42C1360B" w:rsidP="42C1360B">
            <w:pPr>
              <w:spacing w:after="0"/>
              <w:jc w:val="center"/>
            </w:pPr>
            <w:r w:rsidRPr="00B450EB">
              <w:rPr>
                <w:rFonts w:eastAsia="Arial" w:cs="Arial"/>
                <w:sz w:val="18"/>
                <w:szCs w:val="18"/>
              </w:rPr>
              <w:t>325</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443CEF3" w14:textId="4A98EFF7" w:rsidR="42C1360B" w:rsidRPr="00B450EB" w:rsidRDefault="42C1360B" w:rsidP="008B1B71">
            <w:pPr>
              <w:spacing w:after="0"/>
            </w:pPr>
            <w:r w:rsidRPr="00B450EB">
              <w:rPr>
                <w:rFonts w:eastAsia="Arial" w:cs="Arial"/>
                <w:sz w:val="18"/>
                <w:szCs w:val="18"/>
              </w:rPr>
              <w:t>Población gravemente fragmentada, tendencia poblacional actualmente disminuye</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1EF46F" w14:textId="0FC67088" w:rsidR="42C1360B" w:rsidRPr="00B450EB" w:rsidRDefault="008B1B71" w:rsidP="42C1360B">
            <w:pPr>
              <w:spacing w:after="0"/>
              <w:jc w:val="center"/>
            </w:pPr>
            <w:r w:rsidRPr="00B450EB">
              <w:rPr>
                <w:rFonts w:eastAsia="Arial" w:cs="Arial"/>
                <w:sz w:val="18"/>
                <w:szCs w:val="18"/>
              </w:rPr>
              <w:t>López</w:t>
            </w:r>
            <w:r w:rsidR="42C1360B" w:rsidRPr="00B450EB">
              <w:rPr>
                <w:rFonts w:eastAsia="Arial" w:cs="Arial"/>
                <w:sz w:val="18"/>
                <w:szCs w:val="18"/>
              </w:rPr>
              <w:t>-</w:t>
            </w:r>
            <w:r w:rsidRPr="00B450EB">
              <w:rPr>
                <w:rFonts w:eastAsia="Arial" w:cs="Arial"/>
                <w:sz w:val="18"/>
                <w:szCs w:val="18"/>
              </w:rPr>
              <w:t>gallego</w:t>
            </w:r>
            <w:r w:rsidR="42C1360B" w:rsidRPr="00B450EB">
              <w:rPr>
                <w:rFonts w:eastAsia="Arial" w:cs="Arial"/>
                <w:sz w:val="18"/>
                <w:szCs w:val="18"/>
              </w:rPr>
              <w:t xml:space="preserve"> &amp; Morales (2020)</w:t>
            </w:r>
          </w:p>
        </w:tc>
      </w:tr>
      <w:tr w:rsidR="00EF1937" w:rsidRPr="00B450EB" w14:paraId="5E858012" w14:textId="77777777" w:rsidTr="008B1B71">
        <w:trPr>
          <w:trHeight w:val="40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3FEE86" w14:textId="207E77D4" w:rsidR="42C1360B" w:rsidRPr="00B450EB" w:rsidRDefault="42C1360B" w:rsidP="42C1360B">
            <w:pPr>
              <w:spacing w:after="0"/>
              <w:jc w:val="center"/>
            </w:pPr>
            <w:proofErr w:type="spellStart"/>
            <w:r w:rsidRPr="00B450EB">
              <w:rPr>
                <w:rFonts w:eastAsia="Arial" w:cs="Arial"/>
                <w:i/>
                <w:iCs/>
                <w:sz w:val="18"/>
                <w:szCs w:val="18"/>
              </w:rPr>
              <w:t>Cavendishia</w:t>
            </w:r>
            <w:proofErr w:type="spellEnd"/>
            <w:r w:rsidRPr="00B450EB">
              <w:rPr>
                <w:rFonts w:eastAsia="Arial" w:cs="Arial"/>
                <w:i/>
                <w:iCs/>
                <w:sz w:val="18"/>
                <w:szCs w:val="18"/>
              </w:rPr>
              <w:t xml:space="preserve"> </w:t>
            </w:r>
            <w:proofErr w:type="spellStart"/>
            <w:r w:rsidRPr="00B450EB">
              <w:rPr>
                <w:rFonts w:eastAsia="Arial" w:cs="Arial"/>
                <w:i/>
                <w:iCs/>
                <w:sz w:val="18"/>
                <w:szCs w:val="18"/>
              </w:rPr>
              <w:t>jardinensis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DBCDFB" w14:textId="1883E02A" w:rsidR="42C1360B" w:rsidRPr="00B450EB" w:rsidRDefault="42C1360B" w:rsidP="42C1360B">
            <w:pPr>
              <w:spacing w:after="0"/>
              <w:jc w:val="center"/>
            </w:pPr>
            <w:r w:rsidRPr="00B450EB">
              <w:rPr>
                <w:rFonts w:eastAsia="Arial" w:cs="Arial"/>
                <w:sz w:val="18"/>
                <w:szCs w:val="18"/>
              </w:rPr>
              <w:t>Arbustos, epífita</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55C854" w14:textId="4196E8F7" w:rsidR="42C1360B" w:rsidRPr="00B450EB" w:rsidRDefault="42C1360B" w:rsidP="42C1360B">
            <w:pPr>
              <w:spacing w:after="0"/>
              <w:jc w:val="center"/>
            </w:pPr>
            <w:r w:rsidRPr="00B450EB">
              <w:rPr>
                <w:rFonts w:eastAsia="Arial" w:cs="Arial"/>
                <w:sz w:val="18"/>
                <w:szCs w:val="18"/>
              </w:rPr>
              <w:t>2100-2900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416EDD" w14:textId="21FBCB6A" w:rsidR="42C1360B" w:rsidRPr="00B450EB" w:rsidRDefault="42C1360B" w:rsidP="42C1360B">
            <w:pPr>
              <w:spacing w:after="0"/>
              <w:jc w:val="center"/>
            </w:pPr>
            <w:r w:rsidRPr="00B450EB">
              <w:rPr>
                <w:rFonts w:eastAsia="Arial" w:cs="Arial"/>
                <w:sz w:val="18"/>
                <w:szCs w:val="18"/>
              </w:rPr>
              <w:t>Especie endémica de Colombia, se conoce del sitio colecta en el departamento de Antioquia.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666929" w14:textId="74E320B8" w:rsidR="42C1360B" w:rsidRPr="00B450EB" w:rsidRDefault="42C1360B" w:rsidP="42C1360B">
            <w:pPr>
              <w:spacing w:after="0"/>
              <w:jc w:val="center"/>
            </w:pPr>
            <w:r w:rsidRPr="00B450EB">
              <w:rPr>
                <w:rFonts w:eastAsia="Arial" w:cs="Arial"/>
                <w:sz w:val="18"/>
                <w:szCs w:val="18"/>
              </w:rPr>
              <w:t>IUCN (2019)</w:t>
            </w:r>
          </w:p>
        </w:tc>
      </w:tr>
      <w:tr w:rsidR="00EF1937" w:rsidRPr="00B450EB" w14:paraId="46FDE34E" w14:textId="77777777" w:rsidTr="008B1B71">
        <w:trPr>
          <w:trHeight w:val="948"/>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F24A34" w14:textId="571B2E9A" w:rsidR="42C1360B" w:rsidRPr="00B450EB" w:rsidRDefault="42C1360B" w:rsidP="42C1360B">
            <w:pPr>
              <w:spacing w:after="0"/>
              <w:jc w:val="center"/>
            </w:pPr>
            <w:proofErr w:type="spellStart"/>
            <w:r w:rsidRPr="00B450EB">
              <w:rPr>
                <w:rFonts w:eastAsia="Arial" w:cs="Arial"/>
                <w:i/>
                <w:iCs/>
                <w:sz w:val="18"/>
                <w:szCs w:val="18"/>
              </w:rPr>
              <w:t>Cavendishia</w:t>
            </w:r>
            <w:proofErr w:type="spellEnd"/>
            <w:r w:rsidRPr="00B450EB">
              <w:rPr>
                <w:rFonts w:eastAsia="Arial" w:cs="Arial"/>
                <w:i/>
                <w:iCs/>
                <w:sz w:val="18"/>
                <w:szCs w:val="18"/>
              </w:rPr>
              <w:t xml:space="preserve"> nuda</w:t>
            </w:r>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9F143F" w14:textId="78A93097" w:rsidR="42C1360B" w:rsidRPr="00B450EB" w:rsidRDefault="42C1360B" w:rsidP="42C1360B">
            <w:pPr>
              <w:spacing w:after="0"/>
              <w:jc w:val="center"/>
            </w:pPr>
            <w:r w:rsidRPr="00B450EB">
              <w:rPr>
                <w:rFonts w:eastAsia="Arial" w:cs="Arial"/>
                <w:sz w:val="18"/>
                <w:szCs w:val="18"/>
              </w:rPr>
              <w:t>Arbusto</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C93B2D" w14:textId="10E4843E" w:rsidR="42C1360B" w:rsidRPr="00B450EB" w:rsidRDefault="42C1360B" w:rsidP="42C1360B">
            <w:pPr>
              <w:spacing w:after="0"/>
              <w:jc w:val="center"/>
            </w:pPr>
            <w:r w:rsidRPr="00B450EB">
              <w:rPr>
                <w:rFonts w:eastAsia="Arial" w:cs="Arial"/>
                <w:sz w:val="18"/>
                <w:szCs w:val="18"/>
              </w:rPr>
              <w:t>2300-2900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F6CF86" w14:textId="7D93CD04" w:rsidR="42C1360B" w:rsidRPr="00B450EB" w:rsidRDefault="42C1360B" w:rsidP="42C1360B">
            <w:pPr>
              <w:spacing w:after="0"/>
              <w:jc w:val="center"/>
            </w:pPr>
            <w:r w:rsidRPr="00B450EB">
              <w:rPr>
                <w:rFonts w:eastAsia="Arial" w:cs="Arial"/>
                <w:sz w:val="18"/>
                <w:szCs w:val="18"/>
              </w:rPr>
              <w:t xml:space="preserve">Presenta distribución restringida en la </w:t>
            </w:r>
            <w:r w:rsidR="008B1B71" w:rsidRPr="00B450EB">
              <w:rPr>
                <w:rFonts w:eastAsia="Arial" w:cs="Arial"/>
                <w:sz w:val="18"/>
                <w:szCs w:val="18"/>
              </w:rPr>
              <w:t>cordillera</w:t>
            </w:r>
            <w:r w:rsidRPr="00B450EB">
              <w:rPr>
                <w:rFonts w:eastAsia="Arial" w:cs="Arial"/>
                <w:sz w:val="18"/>
                <w:szCs w:val="18"/>
              </w:rPr>
              <w:t xml:space="preserve"> Occidental de Colombia, </w:t>
            </w:r>
            <w:r w:rsidR="008B1B71" w:rsidRPr="00B450EB">
              <w:rPr>
                <w:rFonts w:eastAsia="Arial" w:cs="Arial"/>
                <w:sz w:val="18"/>
                <w:szCs w:val="18"/>
              </w:rPr>
              <w:t>disminución</w:t>
            </w:r>
            <w:r w:rsidRPr="00B450EB">
              <w:rPr>
                <w:rFonts w:eastAsia="Arial" w:cs="Arial"/>
                <w:sz w:val="18"/>
                <w:szCs w:val="18"/>
              </w:rPr>
              <w:t xml:space="preserve"> continua en calidad y extensión del </w:t>
            </w:r>
            <w:r w:rsidR="008B1B71" w:rsidRPr="00B450EB">
              <w:rPr>
                <w:rFonts w:eastAsia="Arial" w:cs="Arial"/>
                <w:sz w:val="18"/>
                <w:szCs w:val="18"/>
              </w:rPr>
              <w:t>hábitat</w:t>
            </w:r>
            <w:r w:rsidRPr="00B450EB">
              <w:rPr>
                <w:rFonts w:eastAsia="Arial" w:cs="Arial"/>
                <w:sz w:val="18"/>
                <w:szCs w:val="18"/>
              </w:rPr>
              <w:t xml:space="preserve"> procesos de </w:t>
            </w:r>
            <w:r w:rsidR="008B1B71" w:rsidRPr="00B450EB">
              <w:rPr>
                <w:rFonts w:eastAsia="Arial" w:cs="Arial"/>
                <w:sz w:val="18"/>
                <w:szCs w:val="18"/>
              </w:rPr>
              <w:t>ganadería</w:t>
            </w:r>
            <w:r w:rsidRPr="00B450EB">
              <w:rPr>
                <w:rFonts w:eastAsia="Arial" w:cs="Arial"/>
                <w:sz w:val="18"/>
                <w:szCs w:val="18"/>
              </w:rPr>
              <w:t xml:space="preserve"> y actividades extractivas. Especie endémica de Colombia.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1268772" w14:textId="0343E4B7" w:rsidR="42C1360B" w:rsidRPr="00B450EB" w:rsidRDefault="42C1360B" w:rsidP="42C1360B">
            <w:pPr>
              <w:spacing w:after="0"/>
              <w:jc w:val="center"/>
            </w:pPr>
            <w:r w:rsidRPr="00B450EB">
              <w:rPr>
                <w:rFonts w:eastAsia="Arial" w:cs="Arial"/>
                <w:sz w:val="18"/>
                <w:szCs w:val="18"/>
              </w:rPr>
              <w:t>IUCN (2019)</w:t>
            </w:r>
          </w:p>
        </w:tc>
      </w:tr>
      <w:tr w:rsidR="00EF1937" w:rsidRPr="00B450EB" w14:paraId="177DD91E" w14:textId="77777777" w:rsidTr="008B1B71">
        <w:trPr>
          <w:trHeight w:val="758"/>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600CB44" w14:textId="7D7CFE26" w:rsidR="42C1360B" w:rsidRPr="00B450EB" w:rsidRDefault="42C1360B" w:rsidP="42C1360B">
            <w:pPr>
              <w:spacing w:after="0"/>
              <w:jc w:val="center"/>
            </w:pPr>
            <w:proofErr w:type="spellStart"/>
            <w:r w:rsidRPr="00B450EB">
              <w:rPr>
                <w:rFonts w:eastAsia="Arial" w:cs="Arial"/>
                <w:i/>
                <w:iCs/>
                <w:sz w:val="18"/>
                <w:szCs w:val="18"/>
              </w:rPr>
              <w:t>Clusia</w:t>
            </w:r>
            <w:proofErr w:type="spellEnd"/>
            <w:r w:rsidRPr="00B450EB">
              <w:rPr>
                <w:rFonts w:eastAsia="Arial" w:cs="Arial"/>
                <w:i/>
                <w:iCs/>
                <w:sz w:val="18"/>
                <w:szCs w:val="18"/>
              </w:rPr>
              <w:t xml:space="preserve"> </w:t>
            </w:r>
            <w:proofErr w:type="spellStart"/>
            <w:r w:rsidRPr="00B450EB">
              <w:rPr>
                <w:rFonts w:eastAsia="Arial" w:cs="Arial"/>
                <w:i/>
                <w:iCs/>
                <w:sz w:val="18"/>
                <w:szCs w:val="18"/>
              </w:rPr>
              <w:t>rubescens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139F3F" w14:textId="7A6C97AD"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4918B9" w14:textId="00D2AB64" w:rsidR="42C1360B" w:rsidRPr="00B450EB" w:rsidRDefault="42C1360B" w:rsidP="42C1360B">
            <w:pPr>
              <w:spacing w:after="0"/>
              <w:jc w:val="center"/>
            </w:pPr>
            <w:r w:rsidRPr="00B450EB">
              <w:rPr>
                <w:rFonts w:eastAsia="Arial" w:cs="Arial"/>
                <w:sz w:val="18"/>
                <w:szCs w:val="18"/>
              </w:rPr>
              <w:t>1500-2000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28F88B" w14:textId="02577181" w:rsidR="42C1360B" w:rsidRPr="00B450EB" w:rsidRDefault="42C1360B" w:rsidP="42C1360B">
            <w:pPr>
              <w:spacing w:after="0"/>
              <w:jc w:val="center"/>
            </w:pPr>
            <w:r w:rsidRPr="00B450EB">
              <w:rPr>
                <w:rFonts w:eastAsia="Arial" w:cs="Arial"/>
                <w:sz w:val="18"/>
                <w:szCs w:val="18"/>
              </w:rPr>
              <w:t>Especie endémica para Colombia, se conoce solamente de una localidad del Cauca, la subpoblación presenta un hábitat degradado</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47BF33" w14:textId="78E3037C" w:rsidR="42C1360B" w:rsidRPr="00B450EB" w:rsidRDefault="42C1360B" w:rsidP="42C1360B">
            <w:pPr>
              <w:spacing w:after="0"/>
              <w:jc w:val="center"/>
            </w:pPr>
            <w:r w:rsidRPr="00B450EB">
              <w:rPr>
                <w:rFonts w:eastAsia="Arial" w:cs="Arial"/>
                <w:sz w:val="18"/>
                <w:szCs w:val="18"/>
              </w:rPr>
              <w:t>IUCN (2020)</w:t>
            </w:r>
          </w:p>
        </w:tc>
      </w:tr>
      <w:tr w:rsidR="00EF1937" w:rsidRPr="00B450EB" w14:paraId="72FEC147" w14:textId="77777777" w:rsidTr="008B1B71">
        <w:trPr>
          <w:trHeight w:val="1015"/>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418BB5" w14:textId="06069047" w:rsidR="42C1360B" w:rsidRPr="00B450EB" w:rsidRDefault="42C1360B" w:rsidP="42C1360B">
            <w:pPr>
              <w:spacing w:after="0"/>
              <w:jc w:val="center"/>
            </w:pPr>
            <w:proofErr w:type="spellStart"/>
            <w:r w:rsidRPr="00B450EB">
              <w:rPr>
                <w:rFonts w:eastAsia="Arial" w:cs="Arial"/>
                <w:i/>
                <w:iCs/>
                <w:sz w:val="18"/>
                <w:szCs w:val="18"/>
              </w:rPr>
              <w:t>Dendropanax</w:t>
            </w:r>
            <w:proofErr w:type="spellEnd"/>
            <w:r w:rsidRPr="00B450EB">
              <w:rPr>
                <w:rFonts w:eastAsia="Arial" w:cs="Arial"/>
                <w:i/>
                <w:iCs/>
                <w:sz w:val="18"/>
                <w:szCs w:val="18"/>
              </w:rPr>
              <w:t xml:space="preserve"> </w:t>
            </w:r>
            <w:proofErr w:type="spellStart"/>
            <w:r w:rsidRPr="00B450EB">
              <w:rPr>
                <w:rFonts w:eastAsia="Arial" w:cs="Arial"/>
                <w:i/>
                <w:iCs/>
                <w:sz w:val="18"/>
                <w:szCs w:val="18"/>
              </w:rPr>
              <w:t>glaberrimus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C79205" w14:textId="09609655"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096C55" w14:textId="419075C3" w:rsidR="42C1360B" w:rsidRPr="00B450EB" w:rsidRDefault="42C1360B" w:rsidP="42C1360B">
            <w:pPr>
              <w:spacing w:after="0"/>
              <w:jc w:val="center"/>
            </w:pPr>
            <w:r w:rsidRPr="00B450EB">
              <w:rPr>
                <w:rFonts w:eastAsia="Arial" w:cs="Arial"/>
                <w:sz w:val="18"/>
                <w:szCs w:val="18"/>
              </w:rPr>
              <w:t>1900-2025</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36965F" w14:textId="7AC19A37" w:rsidR="42C1360B" w:rsidRPr="00B450EB" w:rsidRDefault="42C1360B" w:rsidP="42C1360B">
            <w:pPr>
              <w:spacing w:after="0"/>
              <w:jc w:val="center"/>
            </w:pPr>
            <w:r w:rsidRPr="00B450EB">
              <w:rPr>
                <w:rFonts w:eastAsia="Arial" w:cs="Arial"/>
                <w:sz w:val="18"/>
                <w:szCs w:val="18"/>
              </w:rPr>
              <w:t xml:space="preserve">Especie endémica para Colombia, la especie solamente tiene una localidad conocida y su </w:t>
            </w:r>
            <w:r w:rsidR="008B1B71" w:rsidRPr="00B450EB">
              <w:rPr>
                <w:rFonts w:eastAsia="Arial" w:cs="Arial"/>
                <w:sz w:val="18"/>
                <w:szCs w:val="18"/>
              </w:rPr>
              <w:t>hábitat</w:t>
            </w:r>
            <w:r w:rsidRPr="00B450EB">
              <w:rPr>
                <w:rFonts w:eastAsia="Arial" w:cs="Arial"/>
                <w:sz w:val="18"/>
                <w:szCs w:val="18"/>
              </w:rPr>
              <w:t xml:space="preserve"> </w:t>
            </w:r>
            <w:r w:rsidR="008B1B71" w:rsidRPr="00B450EB">
              <w:rPr>
                <w:rFonts w:eastAsia="Arial" w:cs="Arial"/>
                <w:sz w:val="18"/>
                <w:szCs w:val="18"/>
              </w:rPr>
              <w:t>está</w:t>
            </w:r>
            <w:r w:rsidRPr="00B450EB">
              <w:rPr>
                <w:rFonts w:eastAsia="Arial" w:cs="Arial"/>
                <w:sz w:val="18"/>
                <w:szCs w:val="18"/>
              </w:rPr>
              <w:t xml:space="preserve"> siendo degradado por actividades humanas (ampliación de la frontera agropecuaria)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FA3D75" w14:textId="0590664A" w:rsidR="42C1360B" w:rsidRPr="00B450EB" w:rsidRDefault="42C1360B" w:rsidP="42C1360B">
            <w:pPr>
              <w:spacing w:after="0"/>
              <w:jc w:val="center"/>
            </w:pPr>
            <w:r w:rsidRPr="00B450EB">
              <w:rPr>
                <w:rFonts w:eastAsia="Arial" w:cs="Arial"/>
                <w:sz w:val="18"/>
                <w:szCs w:val="18"/>
              </w:rPr>
              <w:t>IUCN (2020)</w:t>
            </w:r>
          </w:p>
        </w:tc>
      </w:tr>
      <w:tr w:rsidR="00EF1937" w:rsidRPr="00B450EB" w14:paraId="56E3F667" w14:textId="77777777" w:rsidTr="00667117">
        <w:trPr>
          <w:trHeight w:val="45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3C9538" w14:textId="706F4D80" w:rsidR="42C1360B" w:rsidRPr="00B450EB" w:rsidRDefault="42C1360B" w:rsidP="42C1360B">
            <w:pPr>
              <w:spacing w:after="0"/>
              <w:jc w:val="center"/>
            </w:pPr>
            <w:proofErr w:type="spellStart"/>
            <w:r w:rsidRPr="00B450EB">
              <w:rPr>
                <w:rFonts w:eastAsia="Arial" w:cs="Arial"/>
                <w:i/>
                <w:iCs/>
                <w:sz w:val="18"/>
                <w:szCs w:val="18"/>
              </w:rPr>
              <w:t>Epidendrum</w:t>
            </w:r>
            <w:proofErr w:type="spellEnd"/>
            <w:r w:rsidRPr="00B450EB">
              <w:rPr>
                <w:rFonts w:eastAsia="Arial" w:cs="Arial"/>
                <w:i/>
                <w:iCs/>
                <w:sz w:val="18"/>
                <w:szCs w:val="18"/>
              </w:rPr>
              <w:t xml:space="preserve"> </w:t>
            </w:r>
            <w:proofErr w:type="spellStart"/>
            <w:r w:rsidRPr="00B450EB">
              <w:rPr>
                <w:rFonts w:eastAsia="Arial" w:cs="Arial"/>
                <w:i/>
                <w:iCs/>
                <w:sz w:val="18"/>
                <w:szCs w:val="18"/>
              </w:rPr>
              <w:t>uribei</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3E7C95" w14:textId="3B04DDE4" w:rsidR="42C1360B" w:rsidRPr="00B450EB" w:rsidRDefault="42C1360B" w:rsidP="42C1360B">
            <w:pPr>
              <w:spacing w:after="0"/>
              <w:jc w:val="center"/>
            </w:pPr>
            <w:r w:rsidRPr="00B450EB">
              <w:rPr>
                <w:rFonts w:eastAsia="Arial" w:cs="Arial"/>
                <w:sz w:val="18"/>
                <w:szCs w:val="18"/>
              </w:rPr>
              <w:t>Epífita</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618E54" w14:textId="0BA3EE88" w:rsidR="42C1360B" w:rsidRPr="00B450EB" w:rsidRDefault="42C1360B" w:rsidP="42C1360B">
            <w:pPr>
              <w:spacing w:after="0"/>
              <w:jc w:val="center"/>
            </w:pPr>
            <w:r w:rsidRPr="00B450EB">
              <w:rPr>
                <w:rFonts w:eastAsia="Arial" w:cs="Arial"/>
                <w:sz w:val="18"/>
                <w:szCs w:val="18"/>
              </w:rPr>
              <w:t>2500-3100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4FE704" w14:textId="06833B70" w:rsidR="42C1360B" w:rsidRPr="00B450EB" w:rsidRDefault="42C1360B" w:rsidP="42C1360B">
            <w:pPr>
              <w:spacing w:after="0"/>
              <w:jc w:val="center"/>
            </w:pPr>
            <w:r w:rsidRPr="00B450EB">
              <w:rPr>
                <w:rFonts w:eastAsia="Arial" w:cs="Arial"/>
                <w:sz w:val="18"/>
                <w:szCs w:val="18"/>
              </w:rPr>
              <w:t>Especie endémica para Colombia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3AB660" w14:textId="0F4248D2" w:rsidR="42C1360B" w:rsidRPr="00B450EB" w:rsidRDefault="42C1360B" w:rsidP="42C1360B">
            <w:pPr>
              <w:spacing w:after="0"/>
              <w:jc w:val="center"/>
            </w:pPr>
            <w:proofErr w:type="spellStart"/>
            <w:r w:rsidRPr="00B450EB">
              <w:rPr>
                <w:rFonts w:eastAsia="Arial" w:cs="Arial"/>
                <w:sz w:val="18"/>
                <w:szCs w:val="18"/>
              </w:rPr>
              <w:t>NatutalistaCO</w:t>
            </w:r>
            <w:proofErr w:type="spellEnd"/>
            <w:r w:rsidRPr="00B450EB">
              <w:rPr>
                <w:rFonts w:eastAsia="Arial" w:cs="Arial"/>
                <w:sz w:val="18"/>
                <w:szCs w:val="18"/>
              </w:rPr>
              <w:t xml:space="preserve"> (2025)</w:t>
            </w:r>
          </w:p>
        </w:tc>
      </w:tr>
      <w:tr w:rsidR="00EF1937" w:rsidRPr="00B450EB" w14:paraId="24C0BA02" w14:textId="77777777" w:rsidTr="008B1B71">
        <w:trPr>
          <w:trHeight w:val="373"/>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14D6ED" w14:textId="7320191E" w:rsidR="42C1360B" w:rsidRPr="00B450EB" w:rsidRDefault="42C1360B" w:rsidP="42C1360B">
            <w:pPr>
              <w:spacing w:after="0"/>
              <w:jc w:val="center"/>
            </w:pPr>
            <w:proofErr w:type="spellStart"/>
            <w:r w:rsidRPr="00B450EB">
              <w:rPr>
                <w:rFonts w:eastAsia="Arial" w:cs="Arial"/>
                <w:i/>
                <w:iCs/>
                <w:sz w:val="18"/>
                <w:szCs w:val="18"/>
              </w:rPr>
              <w:t>Espeletia</w:t>
            </w:r>
            <w:proofErr w:type="spellEnd"/>
            <w:r w:rsidRPr="00B450EB">
              <w:rPr>
                <w:rFonts w:eastAsia="Arial" w:cs="Arial"/>
                <w:i/>
                <w:iCs/>
                <w:sz w:val="18"/>
                <w:szCs w:val="18"/>
              </w:rPr>
              <w:t xml:space="preserve"> </w:t>
            </w:r>
            <w:proofErr w:type="spellStart"/>
            <w:r w:rsidRPr="00B450EB">
              <w:rPr>
                <w:rFonts w:eastAsia="Arial" w:cs="Arial"/>
                <w:i/>
                <w:iCs/>
                <w:sz w:val="18"/>
                <w:szCs w:val="18"/>
              </w:rPr>
              <w:t>miradorensis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8EBA6D" w14:textId="16DA1890" w:rsidR="42C1360B" w:rsidRPr="00B450EB" w:rsidRDefault="42C1360B" w:rsidP="42C1360B">
            <w:pPr>
              <w:spacing w:after="0"/>
              <w:jc w:val="center"/>
            </w:pPr>
            <w:r w:rsidRPr="00B450EB">
              <w:rPr>
                <w:rFonts w:eastAsia="Arial" w:cs="Arial"/>
                <w:sz w:val="18"/>
                <w:szCs w:val="18"/>
              </w:rPr>
              <w:t>Hierba terrestre</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17F6C02" w14:textId="4ADDBE3C" w:rsidR="42C1360B" w:rsidRPr="00B450EB" w:rsidRDefault="42C1360B" w:rsidP="42C1360B">
            <w:pPr>
              <w:spacing w:after="0"/>
              <w:jc w:val="center"/>
            </w:pPr>
            <w:r w:rsidRPr="00B450EB">
              <w:rPr>
                <w:rFonts w:eastAsia="Arial" w:cs="Arial"/>
                <w:sz w:val="18"/>
                <w:szCs w:val="18"/>
              </w:rPr>
              <w:t>3560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797C30" w14:textId="0FB65832" w:rsidR="42C1360B" w:rsidRPr="00B450EB" w:rsidRDefault="42C1360B" w:rsidP="42C1360B">
            <w:pPr>
              <w:spacing w:after="0"/>
              <w:jc w:val="center"/>
            </w:pPr>
            <w:r w:rsidRPr="00B450EB">
              <w:rPr>
                <w:rFonts w:eastAsia="Arial" w:cs="Arial"/>
                <w:sz w:val="18"/>
                <w:szCs w:val="18"/>
              </w:rPr>
              <w:t xml:space="preserve">Especie </w:t>
            </w:r>
            <w:r w:rsidR="008B1B71" w:rsidRPr="00B450EB">
              <w:rPr>
                <w:rFonts w:eastAsia="Arial" w:cs="Arial"/>
                <w:sz w:val="18"/>
                <w:szCs w:val="18"/>
              </w:rPr>
              <w:t>con</w:t>
            </w:r>
            <w:r w:rsidRPr="00B450EB">
              <w:rPr>
                <w:rFonts w:eastAsia="Arial" w:cs="Arial"/>
                <w:sz w:val="18"/>
                <w:szCs w:val="18"/>
              </w:rPr>
              <w:t xml:space="preserve"> distribución restringida en los andes de Colombia, Cordillera Oriental</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3E736E" w14:textId="6F973F09" w:rsidR="42C1360B" w:rsidRPr="00B450EB" w:rsidRDefault="42C1360B" w:rsidP="42C1360B">
            <w:pPr>
              <w:spacing w:after="0"/>
              <w:jc w:val="center"/>
            </w:pPr>
            <w:r w:rsidRPr="00B450EB">
              <w:rPr>
                <w:rFonts w:eastAsia="Arial" w:cs="Arial"/>
                <w:sz w:val="18"/>
                <w:szCs w:val="18"/>
              </w:rPr>
              <w:t>IUCN (2020)</w:t>
            </w:r>
          </w:p>
        </w:tc>
      </w:tr>
      <w:tr w:rsidR="00EF1937" w:rsidRPr="00B450EB" w14:paraId="7F1A7E1A" w14:textId="77777777" w:rsidTr="00667117">
        <w:trPr>
          <w:trHeight w:val="69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F2DB6E" w14:textId="7E4E1554" w:rsidR="42C1360B" w:rsidRPr="00B450EB" w:rsidRDefault="42C1360B" w:rsidP="42C1360B">
            <w:pPr>
              <w:spacing w:after="0"/>
              <w:jc w:val="center"/>
            </w:pPr>
            <w:proofErr w:type="spellStart"/>
            <w:r w:rsidRPr="00B450EB">
              <w:rPr>
                <w:rFonts w:eastAsia="Arial" w:cs="Arial"/>
                <w:i/>
                <w:iCs/>
                <w:sz w:val="18"/>
                <w:szCs w:val="18"/>
              </w:rPr>
              <w:t>Guaiacum</w:t>
            </w:r>
            <w:proofErr w:type="spellEnd"/>
            <w:r w:rsidRPr="00B450EB">
              <w:rPr>
                <w:rFonts w:eastAsia="Arial" w:cs="Arial"/>
                <w:i/>
                <w:iCs/>
                <w:sz w:val="18"/>
                <w:szCs w:val="18"/>
              </w:rPr>
              <w:t xml:space="preserve"> </w:t>
            </w:r>
            <w:proofErr w:type="spellStart"/>
            <w:r w:rsidRPr="00B450EB">
              <w:rPr>
                <w:rFonts w:eastAsia="Arial" w:cs="Arial"/>
                <w:i/>
                <w:iCs/>
                <w:sz w:val="18"/>
                <w:szCs w:val="18"/>
              </w:rPr>
              <w:t>officinale</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74E92E" w14:textId="328EE159"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1C77046" w14:textId="6D33E2A8" w:rsidR="42C1360B" w:rsidRPr="00B450EB" w:rsidRDefault="42C1360B" w:rsidP="42C1360B">
            <w:pPr>
              <w:spacing w:after="0"/>
              <w:jc w:val="center"/>
            </w:pPr>
            <w:r w:rsidRPr="00B450EB">
              <w:rPr>
                <w:rFonts w:eastAsia="Arial" w:cs="Arial"/>
                <w:sz w:val="18"/>
                <w:szCs w:val="18"/>
              </w:rPr>
              <w:t>30-1050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4E4B36D" w14:textId="417FF60F" w:rsidR="42C1360B" w:rsidRPr="00B450EB" w:rsidRDefault="42C1360B" w:rsidP="42C1360B">
            <w:pPr>
              <w:spacing w:after="0"/>
              <w:jc w:val="center"/>
            </w:pPr>
            <w:r w:rsidRPr="00B450EB">
              <w:rPr>
                <w:rFonts w:eastAsia="Arial" w:cs="Arial"/>
                <w:sz w:val="18"/>
                <w:szCs w:val="18"/>
              </w:rPr>
              <w:t>La madera fue usada en medicina artesanal, con alta dureza, se encuentra con restricción en CITES</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0255ED" w14:textId="42AD747E" w:rsidR="42C1360B" w:rsidRPr="00B450EB" w:rsidRDefault="42C1360B" w:rsidP="42C1360B">
            <w:pPr>
              <w:spacing w:after="0"/>
              <w:jc w:val="center"/>
            </w:pPr>
            <w:r w:rsidRPr="00B450EB">
              <w:rPr>
                <w:rFonts w:eastAsia="Arial" w:cs="Arial"/>
                <w:sz w:val="18"/>
                <w:szCs w:val="18"/>
              </w:rPr>
              <w:t>IUCN (2019)</w:t>
            </w:r>
          </w:p>
        </w:tc>
      </w:tr>
      <w:tr w:rsidR="00EF1937" w:rsidRPr="00B450EB" w14:paraId="4E3FA82C" w14:textId="77777777" w:rsidTr="00667117">
        <w:trPr>
          <w:trHeight w:val="45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5169159" w14:textId="2E2DB2E6" w:rsidR="42C1360B" w:rsidRPr="00B450EB" w:rsidRDefault="42C1360B" w:rsidP="42C1360B">
            <w:pPr>
              <w:spacing w:after="0"/>
              <w:jc w:val="center"/>
            </w:pPr>
            <w:proofErr w:type="spellStart"/>
            <w:r w:rsidRPr="00B450EB">
              <w:rPr>
                <w:rFonts w:eastAsia="Arial" w:cs="Arial"/>
                <w:i/>
                <w:iCs/>
                <w:sz w:val="18"/>
                <w:szCs w:val="18"/>
              </w:rPr>
              <w:t>Humiriastrum</w:t>
            </w:r>
            <w:proofErr w:type="spellEnd"/>
            <w:r w:rsidRPr="00B450EB">
              <w:rPr>
                <w:rFonts w:eastAsia="Arial" w:cs="Arial"/>
                <w:i/>
                <w:iCs/>
                <w:sz w:val="18"/>
                <w:szCs w:val="18"/>
              </w:rPr>
              <w:t xml:space="preserve"> </w:t>
            </w:r>
            <w:proofErr w:type="spellStart"/>
            <w:r w:rsidRPr="00B450EB">
              <w:rPr>
                <w:rFonts w:eastAsia="Arial" w:cs="Arial"/>
                <w:i/>
                <w:iCs/>
                <w:sz w:val="18"/>
                <w:szCs w:val="18"/>
              </w:rPr>
              <w:t>procerum</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84E8F4" w14:textId="551CD7EF"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E0265E" w14:textId="39424EA9" w:rsidR="42C1360B" w:rsidRPr="00B450EB" w:rsidRDefault="42C1360B" w:rsidP="42C1360B">
            <w:pPr>
              <w:spacing w:after="0"/>
              <w:jc w:val="center"/>
            </w:pPr>
            <w:r w:rsidRPr="00B450EB">
              <w:rPr>
                <w:rFonts w:eastAsia="Arial" w:cs="Arial"/>
                <w:sz w:val="18"/>
                <w:szCs w:val="18"/>
              </w:rPr>
              <w:t>5-100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D0F209" w14:textId="72F508E3" w:rsidR="42C1360B" w:rsidRPr="00B450EB" w:rsidRDefault="42C1360B" w:rsidP="42C1360B">
            <w:pPr>
              <w:spacing w:after="0"/>
              <w:jc w:val="center"/>
            </w:pPr>
            <w:r w:rsidRPr="00B450EB">
              <w:rPr>
                <w:rFonts w:eastAsia="Arial" w:cs="Arial"/>
                <w:sz w:val="18"/>
                <w:szCs w:val="18"/>
              </w:rPr>
              <w:t>La población disminuye por la explotación de la madera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C26E56" w14:textId="34DC4062" w:rsidR="42C1360B" w:rsidRPr="00B450EB" w:rsidRDefault="42C1360B" w:rsidP="42C1360B">
            <w:pPr>
              <w:spacing w:after="0"/>
              <w:jc w:val="center"/>
            </w:pPr>
            <w:r w:rsidRPr="00B450EB">
              <w:rPr>
                <w:rFonts w:eastAsia="Arial" w:cs="Arial"/>
                <w:sz w:val="18"/>
                <w:szCs w:val="18"/>
              </w:rPr>
              <w:t>IUCN (2019)</w:t>
            </w:r>
          </w:p>
        </w:tc>
      </w:tr>
      <w:tr w:rsidR="00EF1937" w:rsidRPr="00B450EB" w14:paraId="226C7D27" w14:textId="77777777" w:rsidTr="00667117">
        <w:trPr>
          <w:trHeight w:val="285"/>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0B11C2" w14:textId="65B8A17A" w:rsidR="42C1360B" w:rsidRPr="00B450EB" w:rsidRDefault="42C1360B" w:rsidP="42C1360B">
            <w:pPr>
              <w:spacing w:after="0"/>
              <w:jc w:val="center"/>
            </w:pPr>
            <w:proofErr w:type="spellStart"/>
            <w:r w:rsidRPr="00B450EB">
              <w:rPr>
                <w:rFonts w:eastAsia="Arial" w:cs="Arial"/>
                <w:i/>
                <w:iCs/>
                <w:sz w:val="18"/>
                <w:szCs w:val="18"/>
              </w:rPr>
              <w:t>Ilex</w:t>
            </w:r>
            <w:proofErr w:type="spellEnd"/>
            <w:r w:rsidRPr="00B450EB">
              <w:rPr>
                <w:rFonts w:eastAsia="Arial" w:cs="Arial"/>
                <w:i/>
                <w:iCs/>
                <w:sz w:val="18"/>
                <w:szCs w:val="18"/>
              </w:rPr>
              <w:t xml:space="preserve"> </w:t>
            </w:r>
            <w:proofErr w:type="spellStart"/>
            <w:r w:rsidRPr="00B450EB">
              <w:rPr>
                <w:rFonts w:eastAsia="Arial" w:cs="Arial"/>
                <w:i/>
                <w:iCs/>
                <w:sz w:val="18"/>
                <w:szCs w:val="18"/>
              </w:rPr>
              <w:t>bullata</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CF496C" w14:textId="4B063EDF"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3DEA8D" w14:textId="7C246F97" w:rsidR="42C1360B" w:rsidRPr="00B450EB" w:rsidRDefault="42C1360B" w:rsidP="42C1360B">
            <w:pPr>
              <w:spacing w:after="0"/>
              <w:jc w:val="center"/>
            </w:pPr>
            <w:r w:rsidRPr="00B450EB">
              <w:rPr>
                <w:rFonts w:eastAsia="Arial" w:cs="Arial"/>
                <w:sz w:val="18"/>
                <w:szCs w:val="18"/>
              </w:rPr>
              <w:t>1300-1500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D45F3EA" w14:textId="74471F60" w:rsidR="42C1360B" w:rsidRPr="00B450EB" w:rsidRDefault="42C1360B" w:rsidP="42C1360B">
            <w:pPr>
              <w:spacing w:after="0"/>
              <w:jc w:val="center"/>
            </w:pPr>
            <w:r w:rsidRPr="00B450EB">
              <w:rPr>
                <w:rFonts w:eastAsia="Arial" w:cs="Arial"/>
                <w:sz w:val="18"/>
                <w:szCs w:val="18"/>
              </w:rPr>
              <w:t>Especie endémica para Colombia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E251948" w14:textId="1363123E" w:rsidR="42C1360B" w:rsidRPr="00B450EB" w:rsidRDefault="42C1360B" w:rsidP="42C1360B">
            <w:pPr>
              <w:spacing w:after="0"/>
              <w:jc w:val="center"/>
            </w:pPr>
            <w:r w:rsidRPr="00B450EB">
              <w:rPr>
                <w:rFonts w:eastAsia="Arial" w:cs="Arial"/>
                <w:sz w:val="18"/>
                <w:szCs w:val="18"/>
              </w:rPr>
              <w:t>IUCN (2019)</w:t>
            </w:r>
          </w:p>
        </w:tc>
      </w:tr>
      <w:tr w:rsidR="00EF1937" w:rsidRPr="00B450EB" w14:paraId="043795D1" w14:textId="77777777" w:rsidTr="00667117">
        <w:trPr>
          <w:trHeight w:val="45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9BF01E2" w14:textId="4184F6B4" w:rsidR="42C1360B" w:rsidRPr="00B450EB" w:rsidRDefault="42C1360B" w:rsidP="42C1360B">
            <w:pPr>
              <w:spacing w:after="0"/>
              <w:jc w:val="center"/>
            </w:pPr>
            <w:proofErr w:type="spellStart"/>
            <w:r w:rsidRPr="00B450EB">
              <w:rPr>
                <w:rFonts w:eastAsia="Arial" w:cs="Arial"/>
                <w:i/>
                <w:iCs/>
                <w:sz w:val="18"/>
                <w:szCs w:val="18"/>
              </w:rPr>
              <w:t>Linochilus</w:t>
            </w:r>
            <w:proofErr w:type="spellEnd"/>
            <w:r w:rsidRPr="00B450EB">
              <w:rPr>
                <w:rFonts w:eastAsia="Arial" w:cs="Arial"/>
                <w:i/>
                <w:iCs/>
                <w:sz w:val="18"/>
                <w:szCs w:val="18"/>
              </w:rPr>
              <w:t xml:space="preserve"> </w:t>
            </w:r>
            <w:proofErr w:type="spellStart"/>
            <w:r w:rsidRPr="00B450EB">
              <w:rPr>
                <w:rFonts w:eastAsia="Arial" w:cs="Arial"/>
                <w:i/>
                <w:iCs/>
                <w:sz w:val="18"/>
                <w:szCs w:val="18"/>
              </w:rPr>
              <w:t>chrysotrichus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BB8750" w14:textId="11CC12FB" w:rsidR="42C1360B" w:rsidRPr="00B450EB" w:rsidRDefault="42C1360B" w:rsidP="42C1360B">
            <w:pPr>
              <w:spacing w:after="0"/>
              <w:jc w:val="center"/>
            </w:pPr>
            <w:r w:rsidRPr="00B450EB">
              <w:rPr>
                <w:rFonts w:eastAsia="Arial" w:cs="Arial"/>
                <w:sz w:val="18"/>
                <w:szCs w:val="18"/>
              </w:rPr>
              <w:t>Arbusto</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7EC250" w14:textId="79ED83AA" w:rsidR="42C1360B" w:rsidRPr="00B450EB" w:rsidRDefault="42C1360B" w:rsidP="42C1360B">
            <w:pPr>
              <w:spacing w:after="0"/>
              <w:jc w:val="center"/>
            </w:pPr>
            <w:r w:rsidRPr="00B450EB">
              <w:rPr>
                <w:rFonts w:eastAsia="Arial" w:cs="Arial"/>
                <w:sz w:val="18"/>
                <w:szCs w:val="18"/>
              </w:rPr>
              <w:t>3640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CF4BF6" w14:textId="25198C61" w:rsidR="42C1360B" w:rsidRPr="00B450EB" w:rsidRDefault="42C1360B" w:rsidP="42C1360B">
            <w:pPr>
              <w:spacing w:after="0"/>
              <w:jc w:val="center"/>
            </w:pPr>
            <w:r w:rsidRPr="00B450EB">
              <w:rPr>
                <w:rFonts w:eastAsia="Arial" w:cs="Arial"/>
                <w:sz w:val="18"/>
                <w:szCs w:val="18"/>
              </w:rPr>
              <w:t xml:space="preserve">Distribución </w:t>
            </w:r>
            <w:r w:rsidR="008B1B71" w:rsidRPr="00B450EB">
              <w:rPr>
                <w:rFonts w:eastAsia="Arial" w:cs="Arial"/>
                <w:sz w:val="18"/>
                <w:szCs w:val="18"/>
              </w:rPr>
              <w:t>restringida</w:t>
            </w:r>
            <w:r w:rsidRPr="00B450EB">
              <w:rPr>
                <w:rFonts w:eastAsia="Arial" w:cs="Arial"/>
                <w:sz w:val="18"/>
                <w:szCs w:val="18"/>
              </w:rPr>
              <w:t xml:space="preserve"> a los andes, Especie endémica para Colombia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2DFC6E" w14:textId="7E310100" w:rsidR="42C1360B" w:rsidRPr="00B450EB" w:rsidRDefault="42C1360B" w:rsidP="42C1360B">
            <w:pPr>
              <w:spacing w:after="0"/>
              <w:jc w:val="center"/>
            </w:pPr>
            <w:r w:rsidRPr="00B450EB">
              <w:rPr>
                <w:rFonts w:eastAsia="Arial" w:cs="Arial"/>
                <w:sz w:val="18"/>
                <w:szCs w:val="18"/>
              </w:rPr>
              <w:t>IUCN (2019)</w:t>
            </w:r>
          </w:p>
        </w:tc>
      </w:tr>
      <w:tr w:rsidR="00EF1937" w:rsidRPr="00B450EB" w14:paraId="762E9AA0" w14:textId="77777777" w:rsidTr="008B1B71">
        <w:trPr>
          <w:trHeight w:val="1319"/>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7837AB" w14:textId="5A8F3613" w:rsidR="42C1360B" w:rsidRPr="00B450EB" w:rsidRDefault="42C1360B" w:rsidP="42C1360B">
            <w:pPr>
              <w:spacing w:after="0"/>
              <w:jc w:val="center"/>
            </w:pPr>
            <w:r w:rsidRPr="00B450EB">
              <w:rPr>
                <w:rFonts w:eastAsia="Arial" w:cs="Arial"/>
                <w:i/>
                <w:iCs/>
                <w:sz w:val="18"/>
                <w:szCs w:val="18"/>
              </w:rPr>
              <w:t xml:space="preserve">Magnolia </w:t>
            </w:r>
            <w:proofErr w:type="spellStart"/>
            <w:r w:rsidRPr="00B450EB">
              <w:rPr>
                <w:rFonts w:eastAsia="Arial" w:cs="Arial"/>
                <w:i/>
                <w:iCs/>
                <w:sz w:val="18"/>
                <w:szCs w:val="18"/>
              </w:rPr>
              <w:t>narinensis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4548A70" w14:textId="579D88CD"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DD2A18" w14:textId="00B497CA" w:rsidR="42C1360B" w:rsidRPr="00B450EB" w:rsidRDefault="42C1360B" w:rsidP="42C1360B">
            <w:pPr>
              <w:spacing w:after="0"/>
              <w:jc w:val="center"/>
            </w:pPr>
            <w:r w:rsidRPr="00B450EB">
              <w:rPr>
                <w:rFonts w:eastAsia="Arial" w:cs="Arial"/>
                <w:sz w:val="18"/>
                <w:szCs w:val="18"/>
              </w:rPr>
              <w:t>0-100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388CAB6" w14:textId="4DCD9426" w:rsidR="42C1360B" w:rsidRPr="00B450EB" w:rsidRDefault="42C1360B" w:rsidP="42C1360B">
            <w:pPr>
              <w:spacing w:after="0"/>
              <w:jc w:val="center"/>
            </w:pPr>
            <w:r w:rsidRPr="00B450EB">
              <w:rPr>
                <w:rFonts w:eastAsia="Arial" w:cs="Arial"/>
                <w:sz w:val="18"/>
                <w:szCs w:val="18"/>
              </w:rPr>
              <w:t xml:space="preserve">Presenta una extensión menor de 100 km2 y se conoce una sola localidad, el </w:t>
            </w:r>
            <w:r w:rsidR="008B1B71" w:rsidRPr="00B450EB">
              <w:rPr>
                <w:rFonts w:eastAsia="Arial" w:cs="Arial"/>
                <w:sz w:val="18"/>
                <w:szCs w:val="18"/>
              </w:rPr>
              <w:t>hábitat</w:t>
            </w:r>
            <w:r w:rsidRPr="00B450EB">
              <w:rPr>
                <w:rFonts w:eastAsia="Arial" w:cs="Arial"/>
                <w:sz w:val="18"/>
                <w:szCs w:val="18"/>
              </w:rPr>
              <w:t xml:space="preserve"> viene siendo degradados principalmente por la </w:t>
            </w:r>
            <w:r w:rsidR="008B1B71" w:rsidRPr="00B450EB">
              <w:rPr>
                <w:rFonts w:eastAsia="Arial" w:cs="Arial"/>
                <w:sz w:val="18"/>
                <w:szCs w:val="18"/>
              </w:rPr>
              <w:t>extracción</w:t>
            </w:r>
            <w:r w:rsidRPr="00B450EB">
              <w:rPr>
                <w:rFonts w:eastAsia="Arial" w:cs="Arial"/>
                <w:sz w:val="18"/>
                <w:szCs w:val="18"/>
              </w:rPr>
              <w:t xml:space="preserve"> de madera de forma </w:t>
            </w:r>
            <w:r w:rsidR="008B1B71" w:rsidRPr="00B450EB">
              <w:rPr>
                <w:rFonts w:eastAsia="Arial" w:cs="Arial"/>
                <w:sz w:val="18"/>
                <w:szCs w:val="18"/>
              </w:rPr>
              <w:t>indiscriminada</w:t>
            </w:r>
            <w:r w:rsidRPr="00B450EB">
              <w:rPr>
                <w:rFonts w:eastAsia="Arial" w:cs="Arial"/>
                <w:sz w:val="18"/>
                <w:szCs w:val="18"/>
              </w:rPr>
              <w:t xml:space="preserve"> y problemática de cultivos ilícitos</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8AE82CF" w14:textId="5BFE53A5" w:rsidR="42C1360B" w:rsidRPr="00B450EB" w:rsidRDefault="42C1360B" w:rsidP="42C1360B">
            <w:pPr>
              <w:spacing w:after="0"/>
              <w:jc w:val="center"/>
            </w:pPr>
            <w:r w:rsidRPr="00B450EB">
              <w:rPr>
                <w:rFonts w:eastAsia="Arial" w:cs="Arial"/>
                <w:sz w:val="18"/>
                <w:szCs w:val="18"/>
              </w:rPr>
              <w:t>García (2007)</w:t>
            </w:r>
          </w:p>
        </w:tc>
      </w:tr>
      <w:tr w:rsidR="00EF1937" w:rsidRPr="00B450EB" w14:paraId="0D848B00" w14:textId="77777777" w:rsidTr="008B1B71">
        <w:trPr>
          <w:trHeight w:val="1282"/>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1D61E6" w14:textId="02DA93C5" w:rsidR="42C1360B" w:rsidRPr="00B450EB" w:rsidRDefault="42C1360B" w:rsidP="42C1360B">
            <w:pPr>
              <w:spacing w:after="0"/>
              <w:jc w:val="center"/>
            </w:pPr>
            <w:r w:rsidRPr="00B450EB">
              <w:rPr>
                <w:rFonts w:eastAsia="Arial" w:cs="Arial"/>
                <w:i/>
                <w:iCs/>
                <w:sz w:val="18"/>
                <w:szCs w:val="18"/>
              </w:rPr>
              <w:t xml:space="preserve">Magnolia </w:t>
            </w:r>
            <w:proofErr w:type="spellStart"/>
            <w:r w:rsidRPr="00B450EB">
              <w:rPr>
                <w:rFonts w:eastAsia="Arial" w:cs="Arial"/>
                <w:i/>
                <w:iCs/>
                <w:sz w:val="18"/>
                <w:szCs w:val="18"/>
              </w:rPr>
              <w:t>virolinensis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B078AD3" w14:textId="0AF41AFD"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21C5F5" w14:textId="368EBE8F" w:rsidR="42C1360B" w:rsidRPr="00B450EB" w:rsidRDefault="42C1360B" w:rsidP="42C1360B">
            <w:pPr>
              <w:spacing w:after="0"/>
              <w:jc w:val="center"/>
            </w:pPr>
            <w:r w:rsidRPr="00B450EB">
              <w:rPr>
                <w:rFonts w:eastAsia="Arial" w:cs="Arial"/>
                <w:sz w:val="18"/>
                <w:szCs w:val="18"/>
              </w:rPr>
              <w:t>2500-2650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9CAB0C" w14:textId="035F904D" w:rsidR="42C1360B" w:rsidRPr="00B450EB" w:rsidRDefault="42C1360B" w:rsidP="42C1360B">
            <w:pPr>
              <w:spacing w:after="0"/>
              <w:jc w:val="center"/>
            </w:pPr>
            <w:r w:rsidRPr="00B450EB">
              <w:rPr>
                <w:rFonts w:eastAsia="Arial" w:cs="Arial"/>
                <w:sz w:val="18"/>
                <w:szCs w:val="18"/>
              </w:rPr>
              <w:t xml:space="preserve">Estado de </w:t>
            </w:r>
            <w:r w:rsidR="008B1B71" w:rsidRPr="00B450EB">
              <w:rPr>
                <w:rFonts w:eastAsia="Arial" w:cs="Arial"/>
                <w:sz w:val="18"/>
                <w:szCs w:val="18"/>
              </w:rPr>
              <w:t>amenaza</w:t>
            </w:r>
            <w:r w:rsidRPr="00B450EB">
              <w:rPr>
                <w:rFonts w:eastAsia="Arial" w:cs="Arial"/>
                <w:sz w:val="18"/>
                <w:szCs w:val="18"/>
              </w:rPr>
              <w:t xml:space="preserve"> </w:t>
            </w:r>
            <w:r w:rsidR="008B1B71" w:rsidRPr="00B450EB">
              <w:rPr>
                <w:rFonts w:eastAsia="Arial" w:cs="Arial"/>
                <w:sz w:val="18"/>
                <w:szCs w:val="18"/>
              </w:rPr>
              <w:t>porque</w:t>
            </w:r>
            <w:r w:rsidRPr="00B450EB">
              <w:rPr>
                <w:rFonts w:eastAsia="Arial" w:cs="Arial"/>
                <w:sz w:val="18"/>
                <w:szCs w:val="18"/>
              </w:rPr>
              <w:t xml:space="preserve"> tiene una extensión de presencia menor de100 km2 y se conoce una sola localidad, se encuentra en </w:t>
            </w:r>
            <w:r w:rsidR="008B1B71" w:rsidRPr="00B450EB">
              <w:rPr>
                <w:rFonts w:eastAsia="Arial" w:cs="Arial"/>
                <w:sz w:val="18"/>
                <w:szCs w:val="18"/>
              </w:rPr>
              <w:t>pequeños</w:t>
            </w:r>
            <w:r w:rsidRPr="00B450EB">
              <w:rPr>
                <w:rFonts w:eastAsia="Arial" w:cs="Arial"/>
                <w:sz w:val="18"/>
                <w:szCs w:val="18"/>
              </w:rPr>
              <w:t xml:space="preserve"> </w:t>
            </w:r>
            <w:r w:rsidR="008B1B71" w:rsidRPr="00B450EB">
              <w:rPr>
                <w:rFonts w:eastAsia="Arial" w:cs="Arial"/>
                <w:sz w:val="18"/>
                <w:szCs w:val="18"/>
              </w:rPr>
              <w:t>fragmentos</w:t>
            </w:r>
            <w:r w:rsidRPr="00B450EB">
              <w:rPr>
                <w:rFonts w:eastAsia="Arial" w:cs="Arial"/>
                <w:sz w:val="18"/>
                <w:szCs w:val="18"/>
              </w:rPr>
              <w:t xml:space="preserve"> de bosques ubicados en las cumbres de </w:t>
            </w:r>
            <w:r w:rsidR="008B1B71" w:rsidRPr="00B450EB">
              <w:rPr>
                <w:rFonts w:eastAsia="Arial" w:cs="Arial"/>
                <w:sz w:val="18"/>
                <w:szCs w:val="18"/>
              </w:rPr>
              <w:t>montañas</w:t>
            </w:r>
            <w:r w:rsidRPr="00B450EB">
              <w:rPr>
                <w:rFonts w:eastAsia="Arial" w:cs="Arial"/>
                <w:sz w:val="18"/>
                <w:szCs w:val="18"/>
              </w:rPr>
              <w:t xml:space="preserve"> aislados por potreros, cultivos y </w:t>
            </w:r>
            <w:r w:rsidR="008B1B71" w:rsidRPr="00B450EB">
              <w:rPr>
                <w:rFonts w:eastAsia="Arial" w:cs="Arial"/>
                <w:sz w:val="18"/>
                <w:szCs w:val="18"/>
              </w:rPr>
              <w:t>vías</w:t>
            </w:r>
            <w:r w:rsidRPr="00B450EB">
              <w:rPr>
                <w:rFonts w:eastAsia="Arial" w:cs="Arial"/>
                <w:sz w:val="18"/>
                <w:szCs w:val="18"/>
              </w:rPr>
              <w:t>.</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7D44EB" w14:textId="24D7333E" w:rsidR="42C1360B" w:rsidRPr="00B450EB" w:rsidRDefault="42C1360B" w:rsidP="42C1360B">
            <w:pPr>
              <w:spacing w:after="0"/>
              <w:jc w:val="center"/>
            </w:pPr>
            <w:r w:rsidRPr="00B450EB">
              <w:rPr>
                <w:rFonts w:eastAsia="Arial" w:cs="Arial"/>
                <w:sz w:val="18"/>
                <w:szCs w:val="18"/>
              </w:rPr>
              <w:t>García (2007)</w:t>
            </w:r>
          </w:p>
        </w:tc>
      </w:tr>
      <w:tr w:rsidR="00EF1937" w:rsidRPr="00B450EB" w14:paraId="5665435B" w14:textId="77777777" w:rsidTr="00667117">
        <w:trPr>
          <w:trHeight w:val="69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6193E4" w14:textId="124FDBFC" w:rsidR="42C1360B" w:rsidRPr="00B450EB" w:rsidRDefault="42C1360B" w:rsidP="42C1360B">
            <w:pPr>
              <w:spacing w:after="0"/>
              <w:jc w:val="center"/>
            </w:pPr>
            <w:proofErr w:type="spellStart"/>
            <w:r w:rsidRPr="00B450EB">
              <w:rPr>
                <w:rFonts w:eastAsia="Arial" w:cs="Arial"/>
                <w:i/>
                <w:iCs/>
                <w:sz w:val="18"/>
                <w:szCs w:val="18"/>
              </w:rPr>
              <w:t>Oreopanax</w:t>
            </w:r>
            <w:proofErr w:type="spellEnd"/>
            <w:r w:rsidRPr="00B450EB">
              <w:rPr>
                <w:rFonts w:eastAsia="Arial" w:cs="Arial"/>
                <w:i/>
                <w:iCs/>
                <w:sz w:val="18"/>
                <w:szCs w:val="18"/>
              </w:rPr>
              <w:t xml:space="preserve"> </w:t>
            </w:r>
            <w:proofErr w:type="spellStart"/>
            <w:r w:rsidRPr="00B450EB">
              <w:rPr>
                <w:rFonts w:eastAsia="Arial" w:cs="Arial"/>
                <w:i/>
                <w:iCs/>
                <w:sz w:val="18"/>
                <w:szCs w:val="18"/>
              </w:rPr>
              <w:t>niger</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E7D3DC" w14:textId="5057B5F8" w:rsidR="42C1360B" w:rsidRPr="00B450EB" w:rsidRDefault="42C1360B" w:rsidP="42C1360B">
            <w:pPr>
              <w:spacing w:after="0"/>
              <w:jc w:val="center"/>
            </w:pPr>
            <w:r w:rsidRPr="00B450EB">
              <w:rPr>
                <w:rFonts w:eastAsia="Arial" w:cs="Arial"/>
                <w:sz w:val="18"/>
                <w:szCs w:val="18"/>
              </w:rPr>
              <w:t>Arbusto</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8F181E" w14:textId="4089CF13" w:rsidR="42C1360B" w:rsidRPr="00B450EB" w:rsidRDefault="42C1360B" w:rsidP="42C1360B">
            <w:pPr>
              <w:spacing w:after="0"/>
              <w:jc w:val="center"/>
            </w:pPr>
            <w:r w:rsidRPr="00B450EB">
              <w:rPr>
                <w:rFonts w:eastAsia="Arial" w:cs="Arial"/>
                <w:sz w:val="18"/>
                <w:szCs w:val="18"/>
              </w:rPr>
              <w:t>3250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62FB199" w14:textId="721E6DDA" w:rsidR="42C1360B" w:rsidRPr="00B450EB" w:rsidRDefault="42C1360B" w:rsidP="42C1360B">
            <w:pPr>
              <w:spacing w:after="0"/>
              <w:jc w:val="center"/>
            </w:pPr>
            <w:r w:rsidRPr="00B450EB">
              <w:rPr>
                <w:rFonts w:eastAsia="Arial" w:cs="Arial"/>
                <w:sz w:val="18"/>
                <w:szCs w:val="18"/>
              </w:rPr>
              <w:t>Presente solo en una localidad, hábitat degradado, Especie endémica para Colombia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D23B7EA" w14:textId="59464F30" w:rsidR="42C1360B" w:rsidRPr="00B450EB" w:rsidRDefault="42C1360B" w:rsidP="42C1360B">
            <w:pPr>
              <w:spacing w:after="0"/>
              <w:jc w:val="center"/>
            </w:pPr>
            <w:r w:rsidRPr="00B450EB">
              <w:rPr>
                <w:rFonts w:eastAsia="Arial" w:cs="Arial"/>
                <w:sz w:val="18"/>
                <w:szCs w:val="18"/>
              </w:rPr>
              <w:t>IUCN (2020)</w:t>
            </w:r>
          </w:p>
        </w:tc>
      </w:tr>
      <w:tr w:rsidR="00EF1937" w:rsidRPr="00B450EB" w14:paraId="517D4E15" w14:textId="77777777" w:rsidTr="00667117">
        <w:trPr>
          <w:trHeight w:val="915"/>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24E7D3" w14:textId="7C0FD06B" w:rsidR="42C1360B" w:rsidRPr="00B450EB" w:rsidRDefault="42C1360B" w:rsidP="42C1360B">
            <w:pPr>
              <w:spacing w:after="0"/>
              <w:jc w:val="center"/>
            </w:pPr>
            <w:proofErr w:type="spellStart"/>
            <w:r w:rsidRPr="00B450EB">
              <w:rPr>
                <w:rFonts w:eastAsia="Arial" w:cs="Arial"/>
                <w:i/>
                <w:iCs/>
                <w:sz w:val="18"/>
                <w:szCs w:val="18"/>
              </w:rPr>
              <w:lastRenderedPageBreak/>
              <w:t>Pitcairnia</w:t>
            </w:r>
            <w:proofErr w:type="spellEnd"/>
            <w:r w:rsidRPr="00B450EB">
              <w:rPr>
                <w:rFonts w:eastAsia="Arial" w:cs="Arial"/>
                <w:i/>
                <w:iCs/>
                <w:sz w:val="18"/>
                <w:szCs w:val="18"/>
              </w:rPr>
              <w:t xml:space="preserve"> </w:t>
            </w:r>
            <w:proofErr w:type="spellStart"/>
            <w:r w:rsidRPr="00B450EB">
              <w:rPr>
                <w:rFonts w:eastAsia="Arial" w:cs="Arial"/>
                <w:i/>
                <w:iCs/>
                <w:sz w:val="18"/>
                <w:szCs w:val="18"/>
              </w:rPr>
              <w:t>altoatratoensis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CE2C7D" w14:textId="54A622AB" w:rsidR="42C1360B" w:rsidRPr="00B450EB" w:rsidRDefault="42C1360B" w:rsidP="42C1360B">
            <w:pPr>
              <w:spacing w:after="0"/>
              <w:jc w:val="center"/>
            </w:pPr>
            <w:r w:rsidRPr="00B450EB">
              <w:rPr>
                <w:rFonts w:eastAsia="Arial" w:cs="Arial"/>
                <w:sz w:val="18"/>
                <w:szCs w:val="18"/>
              </w:rPr>
              <w:t xml:space="preserve">Hierba terrestre </w:t>
            </w:r>
            <w:r w:rsidR="008B1B71" w:rsidRPr="00B450EB">
              <w:rPr>
                <w:rFonts w:eastAsia="Arial" w:cs="Arial"/>
                <w:sz w:val="18"/>
                <w:szCs w:val="18"/>
              </w:rPr>
              <w:t>arrosetada</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EA3134" w14:textId="50A5E18A" w:rsidR="42C1360B" w:rsidRPr="00B450EB" w:rsidRDefault="42C1360B" w:rsidP="42C1360B">
            <w:pPr>
              <w:spacing w:after="0"/>
              <w:jc w:val="center"/>
            </w:pPr>
            <w:r w:rsidRPr="00B450EB">
              <w:rPr>
                <w:rFonts w:eastAsia="Arial" w:cs="Arial"/>
                <w:sz w:val="18"/>
                <w:szCs w:val="18"/>
              </w:rPr>
              <w:t>520-620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24C7EE" w14:textId="68FC0A9A" w:rsidR="42C1360B" w:rsidRPr="00B450EB" w:rsidRDefault="42C1360B" w:rsidP="42C1360B">
            <w:pPr>
              <w:spacing w:after="0"/>
              <w:jc w:val="center"/>
            </w:pPr>
            <w:r w:rsidRPr="00B450EB">
              <w:rPr>
                <w:rFonts w:eastAsia="Arial" w:cs="Arial"/>
                <w:sz w:val="18"/>
                <w:szCs w:val="18"/>
              </w:rPr>
              <w:t xml:space="preserve">Presenta distribución restringida en la </w:t>
            </w:r>
            <w:r w:rsidR="008B1B71" w:rsidRPr="00B450EB">
              <w:rPr>
                <w:rFonts w:eastAsia="Arial" w:cs="Arial"/>
                <w:sz w:val="18"/>
                <w:szCs w:val="18"/>
              </w:rPr>
              <w:t>vertiente</w:t>
            </w:r>
            <w:r w:rsidRPr="00B450EB">
              <w:rPr>
                <w:rFonts w:eastAsia="Arial" w:cs="Arial"/>
                <w:sz w:val="18"/>
                <w:szCs w:val="18"/>
              </w:rPr>
              <w:t xml:space="preserve"> pacifica de la </w:t>
            </w:r>
            <w:r w:rsidR="008B1B71" w:rsidRPr="00B450EB">
              <w:rPr>
                <w:rFonts w:eastAsia="Arial" w:cs="Arial"/>
                <w:sz w:val="18"/>
                <w:szCs w:val="18"/>
              </w:rPr>
              <w:t>cordillera</w:t>
            </w:r>
            <w:r w:rsidRPr="00B450EB">
              <w:rPr>
                <w:rFonts w:eastAsia="Arial" w:cs="Arial"/>
                <w:sz w:val="18"/>
                <w:szCs w:val="18"/>
              </w:rPr>
              <w:t xml:space="preserve"> </w:t>
            </w:r>
            <w:r w:rsidR="008B1B71" w:rsidRPr="00B450EB">
              <w:rPr>
                <w:rFonts w:eastAsia="Arial" w:cs="Arial"/>
                <w:sz w:val="18"/>
                <w:szCs w:val="18"/>
              </w:rPr>
              <w:t>Occidental, Especie</w:t>
            </w:r>
            <w:r w:rsidRPr="00B450EB">
              <w:rPr>
                <w:rFonts w:eastAsia="Arial" w:cs="Arial"/>
                <w:sz w:val="18"/>
                <w:szCs w:val="18"/>
              </w:rPr>
              <w:t xml:space="preserve"> endémica para Colombia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398DDD" w14:textId="34089ED0" w:rsidR="42C1360B" w:rsidRPr="00B450EB" w:rsidRDefault="42C1360B" w:rsidP="42C1360B">
            <w:pPr>
              <w:spacing w:after="0"/>
              <w:jc w:val="center"/>
            </w:pPr>
            <w:r w:rsidRPr="00B450EB">
              <w:rPr>
                <w:rFonts w:eastAsia="Arial" w:cs="Arial"/>
                <w:sz w:val="18"/>
                <w:szCs w:val="18"/>
              </w:rPr>
              <w:t>IUCN (2020)</w:t>
            </w:r>
          </w:p>
        </w:tc>
      </w:tr>
      <w:tr w:rsidR="00EF1937" w:rsidRPr="00B450EB" w14:paraId="11A5F62E" w14:textId="77777777" w:rsidTr="008B1B71">
        <w:trPr>
          <w:trHeight w:val="311"/>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BB8DCA" w14:textId="278CE017" w:rsidR="42C1360B" w:rsidRPr="00B450EB" w:rsidRDefault="42C1360B" w:rsidP="42C1360B">
            <w:pPr>
              <w:spacing w:after="0"/>
              <w:jc w:val="center"/>
            </w:pPr>
            <w:proofErr w:type="spellStart"/>
            <w:r w:rsidRPr="00B450EB">
              <w:rPr>
                <w:rFonts w:eastAsia="Arial" w:cs="Arial"/>
                <w:i/>
                <w:iCs/>
                <w:sz w:val="18"/>
                <w:szCs w:val="18"/>
              </w:rPr>
              <w:t>Pitcairnia</w:t>
            </w:r>
            <w:proofErr w:type="spellEnd"/>
            <w:r w:rsidRPr="00B450EB">
              <w:rPr>
                <w:rFonts w:eastAsia="Arial" w:cs="Arial"/>
                <w:i/>
                <w:iCs/>
                <w:sz w:val="18"/>
                <w:szCs w:val="18"/>
              </w:rPr>
              <w:t xml:space="preserve"> </w:t>
            </w:r>
            <w:proofErr w:type="spellStart"/>
            <w:r w:rsidRPr="00B450EB">
              <w:rPr>
                <w:rFonts w:eastAsia="Arial" w:cs="Arial"/>
                <w:i/>
                <w:iCs/>
                <w:sz w:val="18"/>
                <w:szCs w:val="18"/>
              </w:rPr>
              <w:t>barrigae</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7BCA48" w14:textId="6C818E77" w:rsidR="42C1360B" w:rsidRPr="00B450EB" w:rsidRDefault="42C1360B" w:rsidP="42C1360B">
            <w:pPr>
              <w:spacing w:after="0"/>
              <w:jc w:val="center"/>
            </w:pPr>
            <w:r w:rsidRPr="00B450EB">
              <w:rPr>
                <w:rFonts w:eastAsia="Arial" w:cs="Arial"/>
                <w:sz w:val="18"/>
                <w:szCs w:val="18"/>
              </w:rPr>
              <w:t xml:space="preserve">Hierba terrestre </w:t>
            </w:r>
            <w:r w:rsidR="008B1B71" w:rsidRPr="00B450EB">
              <w:rPr>
                <w:rFonts w:eastAsia="Arial" w:cs="Arial"/>
                <w:sz w:val="18"/>
                <w:szCs w:val="18"/>
              </w:rPr>
              <w:t>arrosetada</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92D134" w14:textId="38F772C0" w:rsidR="42C1360B" w:rsidRPr="00B450EB" w:rsidRDefault="42C1360B" w:rsidP="42C1360B">
            <w:pPr>
              <w:spacing w:after="0"/>
              <w:jc w:val="center"/>
            </w:pPr>
            <w:r w:rsidRPr="00B450EB">
              <w:rPr>
                <w:rFonts w:eastAsia="Arial" w:cs="Arial"/>
                <w:sz w:val="18"/>
                <w:szCs w:val="18"/>
              </w:rPr>
              <w:t>500-700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229D0B" w14:textId="1A42390A" w:rsidR="42C1360B" w:rsidRPr="00B450EB" w:rsidRDefault="42C1360B" w:rsidP="42C1360B">
            <w:pPr>
              <w:spacing w:after="0"/>
              <w:jc w:val="center"/>
            </w:pPr>
            <w:r w:rsidRPr="00B450EB">
              <w:rPr>
                <w:rFonts w:eastAsia="Arial" w:cs="Arial"/>
                <w:sz w:val="18"/>
                <w:szCs w:val="18"/>
              </w:rPr>
              <w:t xml:space="preserve">Especie endémica Colombia, </w:t>
            </w:r>
            <w:r w:rsidR="008B1B71" w:rsidRPr="00B450EB">
              <w:rPr>
                <w:rFonts w:eastAsia="Arial" w:cs="Arial"/>
                <w:sz w:val="18"/>
                <w:szCs w:val="18"/>
              </w:rPr>
              <w:t>disminución</w:t>
            </w:r>
            <w:r w:rsidRPr="00B450EB">
              <w:rPr>
                <w:rFonts w:eastAsia="Arial" w:cs="Arial"/>
                <w:sz w:val="18"/>
                <w:szCs w:val="18"/>
              </w:rPr>
              <w:t xml:space="preserve"> continua de la calidad y </w:t>
            </w:r>
            <w:r w:rsidR="008B1B71" w:rsidRPr="00B450EB">
              <w:rPr>
                <w:rFonts w:eastAsia="Arial" w:cs="Arial"/>
                <w:sz w:val="18"/>
                <w:szCs w:val="18"/>
              </w:rPr>
              <w:t>extensión</w:t>
            </w:r>
            <w:r w:rsidRPr="00B450EB">
              <w:rPr>
                <w:rFonts w:eastAsia="Arial" w:cs="Arial"/>
                <w:sz w:val="18"/>
                <w:szCs w:val="18"/>
              </w:rPr>
              <w:t xml:space="preserve"> de </w:t>
            </w:r>
            <w:r w:rsidR="008B1B71" w:rsidRPr="00B450EB">
              <w:rPr>
                <w:rFonts w:eastAsia="Arial" w:cs="Arial"/>
                <w:sz w:val="18"/>
                <w:szCs w:val="18"/>
              </w:rPr>
              <w:t>hábitat</w:t>
            </w:r>
            <w:r w:rsidRPr="00B450EB">
              <w:rPr>
                <w:rFonts w:eastAsia="Arial" w:cs="Arial"/>
                <w:sz w:val="18"/>
                <w:szCs w:val="18"/>
              </w:rPr>
              <w:t xml:space="preserve"> </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9F23E4" w14:textId="22F91869" w:rsidR="42C1360B" w:rsidRPr="00B450EB" w:rsidRDefault="42C1360B" w:rsidP="42C1360B">
            <w:pPr>
              <w:spacing w:after="0"/>
              <w:jc w:val="center"/>
            </w:pPr>
            <w:r w:rsidRPr="00B450EB">
              <w:rPr>
                <w:rFonts w:eastAsia="Arial" w:cs="Arial"/>
                <w:sz w:val="18"/>
                <w:szCs w:val="18"/>
              </w:rPr>
              <w:t>IUCN (2020)</w:t>
            </w:r>
          </w:p>
        </w:tc>
      </w:tr>
      <w:tr w:rsidR="00EF1937" w:rsidRPr="00B450EB" w14:paraId="517B2023" w14:textId="77777777" w:rsidTr="008B1B71">
        <w:trPr>
          <w:trHeight w:val="686"/>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E8F6F0" w14:textId="67C2D26A" w:rsidR="42C1360B" w:rsidRPr="00B450EB" w:rsidRDefault="42C1360B" w:rsidP="42C1360B">
            <w:pPr>
              <w:spacing w:after="0"/>
              <w:jc w:val="center"/>
            </w:pPr>
            <w:r w:rsidRPr="00B450EB">
              <w:rPr>
                <w:rFonts w:eastAsia="Arial" w:cs="Arial"/>
                <w:i/>
                <w:iCs/>
                <w:sz w:val="18"/>
                <w:szCs w:val="18"/>
              </w:rPr>
              <w:t xml:space="preserve">Puya </w:t>
            </w:r>
            <w:proofErr w:type="spellStart"/>
            <w:r w:rsidRPr="00B450EB">
              <w:rPr>
                <w:rFonts w:eastAsia="Arial" w:cs="Arial"/>
                <w:i/>
                <w:iCs/>
                <w:sz w:val="18"/>
                <w:szCs w:val="18"/>
              </w:rPr>
              <w:t>boyacana</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578A73" w14:textId="4AD91DE9" w:rsidR="42C1360B" w:rsidRPr="00B450EB" w:rsidRDefault="42C1360B" w:rsidP="42C1360B">
            <w:pPr>
              <w:spacing w:after="0"/>
              <w:jc w:val="center"/>
            </w:pPr>
            <w:r w:rsidRPr="00B450EB">
              <w:rPr>
                <w:rFonts w:eastAsia="Arial" w:cs="Arial"/>
                <w:sz w:val="18"/>
                <w:szCs w:val="18"/>
              </w:rPr>
              <w:t xml:space="preserve">Hierba terrestre </w:t>
            </w:r>
            <w:r w:rsidR="008B1B71" w:rsidRPr="00B450EB">
              <w:rPr>
                <w:rFonts w:eastAsia="Arial" w:cs="Arial"/>
                <w:sz w:val="18"/>
                <w:szCs w:val="18"/>
              </w:rPr>
              <w:t>arrosetada</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4F8624" w14:textId="0346F7B4" w:rsidR="42C1360B" w:rsidRPr="00B450EB" w:rsidRDefault="42C1360B" w:rsidP="42C1360B">
            <w:pPr>
              <w:spacing w:after="0"/>
              <w:jc w:val="center"/>
            </w:pPr>
            <w:r w:rsidRPr="00B450EB">
              <w:rPr>
                <w:rFonts w:eastAsia="Arial" w:cs="Arial"/>
                <w:sz w:val="18"/>
                <w:szCs w:val="18"/>
              </w:rPr>
              <w:t>3300-3400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FEE8CF" w14:textId="1A1334FA" w:rsidR="42C1360B" w:rsidRPr="00B450EB" w:rsidRDefault="42C1360B" w:rsidP="42C1360B">
            <w:pPr>
              <w:spacing w:after="0"/>
              <w:jc w:val="center"/>
            </w:pPr>
            <w:r w:rsidRPr="00B450EB">
              <w:rPr>
                <w:rFonts w:eastAsia="Arial" w:cs="Arial"/>
                <w:sz w:val="18"/>
                <w:szCs w:val="18"/>
              </w:rPr>
              <w:t>Especie endémica de la cordillera Oriental, Presencia de extensión menor de 100 km2, solo se conoce por la colección tipo, proviene de áreas con alteración agropecuaria.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2B3266" w14:textId="16DB40A3" w:rsidR="42C1360B" w:rsidRPr="00B450EB" w:rsidRDefault="42C1360B" w:rsidP="42C1360B">
            <w:pPr>
              <w:spacing w:after="0"/>
              <w:jc w:val="center"/>
            </w:pPr>
            <w:r w:rsidRPr="00B450EB">
              <w:rPr>
                <w:rFonts w:eastAsia="Arial" w:cs="Arial"/>
                <w:sz w:val="18"/>
                <w:szCs w:val="18"/>
              </w:rPr>
              <w:t>García &amp; Galeano (2006)</w:t>
            </w:r>
          </w:p>
        </w:tc>
      </w:tr>
      <w:tr w:rsidR="00EF1937" w:rsidRPr="00B450EB" w14:paraId="1F1A2FC0" w14:textId="77777777" w:rsidTr="00667117">
        <w:trPr>
          <w:trHeight w:val="69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6EB6BFF" w14:textId="5B73BC59" w:rsidR="42C1360B" w:rsidRPr="00B450EB" w:rsidRDefault="42C1360B" w:rsidP="42C1360B">
            <w:pPr>
              <w:spacing w:after="0"/>
              <w:jc w:val="center"/>
            </w:pPr>
            <w:proofErr w:type="spellStart"/>
            <w:r w:rsidRPr="00B450EB">
              <w:rPr>
                <w:rFonts w:eastAsia="Arial" w:cs="Arial"/>
                <w:i/>
                <w:iCs/>
                <w:sz w:val="18"/>
                <w:szCs w:val="18"/>
              </w:rPr>
              <w:t>Steyerbromelia</w:t>
            </w:r>
            <w:proofErr w:type="spellEnd"/>
            <w:r w:rsidRPr="00B450EB">
              <w:rPr>
                <w:rFonts w:eastAsia="Arial" w:cs="Arial"/>
                <w:i/>
                <w:iCs/>
                <w:sz w:val="18"/>
                <w:szCs w:val="18"/>
              </w:rPr>
              <w:t xml:space="preserve"> </w:t>
            </w:r>
            <w:proofErr w:type="spellStart"/>
            <w:r w:rsidRPr="00B450EB">
              <w:rPr>
                <w:rFonts w:eastAsia="Arial" w:cs="Arial"/>
                <w:i/>
                <w:iCs/>
                <w:sz w:val="18"/>
                <w:szCs w:val="18"/>
              </w:rPr>
              <w:t>naquenensis</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9C6C41" w14:textId="10B0A74B" w:rsidR="42C1360B" w:rsidRPr="00B450EB" w:rsidRDefault="42C1360B" w:rsidP="42C1360B">
            <w:pPr>
              <w:spacing w:after="0"/>
              <w:jc w:val="center"/>
            </w:pPr>
            <w:r w:rsidRPr="00B450EB">
              <w:rPr>
                <w:rFonts w:eastAsia="Arial" w:cs="Arial"/>
                <w:sz w:val="18"/>
                <w:szCs w:val="18"/>
              </w:rPr>
              <w:t>Hierba terrestre</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329B7E" w14:textId="160D7F36" w:rsidR="42C1360B" w:rsidRPr="00B450EB" w:rsidRDefault="42C1360B" w:rsidP="42C1360B">
            <w:pPr>
              <w:spacing w:after="0"/>
              <w:jc w:val="center"/>
            </w:pPr>
            <w:r w:rsidRPr="00B450EB">
              <w:rPr>
                <w:rFonts w:eastAsia="Arial" w:cs="Arial"/>
                <w:sz w:val="18"/>
                <w:szCs w:val="18"/>
              </w:rPr>
              <w:t>300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FDCDAB" w14:textId="4B50E5D9" w:rsidR="42C1360B" w:rsidRPr="00B450EB" w:rsidRDefault="42C1360B" w:rsidP="42C1360B">
            <w:pPr>
              <w:spacing w:after="0"/>
              <w:jc w:val="center"/>
            </w:pPr>
            <w:r w:rsidRPr="00B450EB">
              <w:rPr>
                <w:rFonts w:eastAsia="Arial" w:cs="Arial"/>
                <w:sz w:val="18"/>
                <w:szCs w:val="18"/>
              </w:rPr>
              <w:t>Especie con distribución restringida en la vertiente pacífica de la cordillera Occidental</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8246F5" w14:textId="00AC6E74" w:rsidR="42C1360B" w:rsidRPr="00B450EB" w:rsidRDefault="42C1360B" w:rsidP="42C1360B">
            <w:pPr>
              <w:spacing w:after="0"/>
              <w:jc w:val="center"/>
            </w:pPr>
            <w:r w:rsidRPr="00B450EB">
              <w:rPr>
                <w:rFonts w:eastAsia="Arial" w:cs="Arial"/>
                <w:sz w:val="18"/>
                <w:szCs w:val="18"/>
              </w:rPr>
              <w:t>IUCN (2020)</w:t>
            </w:r>
          </w:p>
        </w:tc>
      </w:tr>
      <w:tr w:rsidR="00EF1937" w:rsidRPr="00B450EB" w14:paraId="4F0C2603" w14:textId="77777777" w:rsidTr="00667117">
        <w:trPr>
          <w:trHeight w:val="45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CD80A5F" w14:textId="42C19FFA" w:rsidR="42C1360B" w:rsidRPr="00B450EB" w:rsidRDefault="42C1360B" w:rsidP="42C1360B">
            <w:pPr>
              <w:spacing w:after="0"/>
              <w:jc w:val="center"/>
            </w:pPr>
            <w:proofErr w:type="spellStart"/>
            <w:r w:rsidRPr="00B450EB">
              <w:rPr>
                <w:rFonts w:eastAsia="Arial" w:cs="Arial"/>
                <w:i/>
                <w:iCs/>
                <w:sz w:val="18"/>
                <w:szCs w:val="18"/>
              </w:rPr>
              <w:t>Swartzia</w:t>
            </w:r>
            <w:proofErr w:type="spellEnd"/>
            <w:r w:rsidRPr="00B450EB">
              <w:rPr>
                <w:rFonts w:eastAsia="Arial" w:cs="Arial"/>
                <w:i/>
                <w:iCs/>
                <w:sz w:val="18"/>
                <w:szCs w:val="18"/>
              </w:rPr>
              <w:t xml:space="preserve"> </w:t>
            </w:r>
            <w:proofErr w:type="spellStart"/>
            <w:r w:rsidRPr="00B450EB">
              <w:rPr>
                <w:rFonts w:eastAsia="Arial" w:cs="Arial"/>
                <w:i/>
                <w:iCs/>
                <w:sz w:val="18"/>
                <w:szCs w:val="18"/>
              </w:rPr>
              <w:t>magdalenae</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A41D4D" w14:textId="1BEE854C"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55DF5AD" w14:textId="79DFB611" w:rsidR="42C1360B" w:rsidRPr="00B450EB" w:rsidRDefault="42C1360B" w:rsidP="42C1360B">
            <w:pPr>
              <w:spacing w:after="0"/>
              <w:jc w:val="center"/>
            </w:pPr>
            <w:r w:rsidRPr="00B450EB">
              <w:rPr>
                <w:rFonts w:eastAsia="Arial" w:cs="Arial"/>
                <w:sz w:val="18"/>
                <w:szCs w:val="18"/>
              </w:rPr>
              <w:t>450-1300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7C513B" w14:textId="1A1E25CF" w:rsidR="42C1360B" w:rsidRPr="00B450EB" w:rsidRDefault="42C1360B" w:rsidP="42C1360B">
            <w:pPr>
              <w:spacing w:after="0"/>
              <w:jc w:val="center"/>
            </w:pPr>
            <w:r w:rsidRPr="00B450EB">
              <w:rPr>
                <w:rFonts w:eastAsia="Arial" w:cs="Arial"/>
                <w:sz w:val="18"/>
                <w:szCs w:val="18"/>
              </w:rPr>
              <w:t>Especie endémica Colombia, solo se registra especie tipo</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FB6C39" w14:textId="7F981474" w:rsidR="42C1360B" w:rsidRPr="00B450EB" w:rsidRDefault="42C1360B" w:rsidP="42C1360B">
            <w:pPr>
              <w:spacing w:after="0"/>
              <w:jc w:val="center"/>
            </w:pPr>
            <w:r w:rsidRPr="00B450EB">
              <w:rPr>
                <w:rFonts w:eastAsia="Arial" w:cs="Arial"/>
                <w:sz w:val="18"/>
                <w:szCs w:val="18"/>
              </w:rPr>
              <w:t>IUCN (2020)</w:t>
            </w:r>
          </w:p>
        </w:tc>
      </w:tr>
      <w:tr w:rsidR="00EF1937" w:rsidRPr="00B450EB" w14:paraId="631E7B66" w14:textId="77777777" w:rsidTr="008B1B71">
        <w:trPr>
          <w:trHeight w:val="1469"/>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8E2D09" w14:textId="413EC596" w:rsidR="42C1360B" w:rsidRPr="00B450EB" w:rsidRDefault="42C1360B" w:rsidP="42C1360B">
            <w:pPr>
              <w:spacing w:after="0"/>
              <w:jc w:val="center"/>
            </w:pPr>
            <w:proofErr w:type="spellStart"/>
            <w:r w:rsidRPr="00B450EB">
              <w:rPr>
                <w:rFonts w:eastAsia="Arial" w:cs="Arial"/>
                <w:i/>
                <w:iCs/>
                <w:sz w:val="18"/>
                <w:szCs w:val="18"/>
              </w:rPr>
              <w:t>Swietenia</w:t>
            </w:r>
            <w:proofErr w:type="spellEnd"/>
            <w:r w:rsidRPr="00B450EB">
              <w:rPr>
                <w:rFonts w:eastAsia="Arial" w:cs="Arial"/>
                <w:i/>
                <w:iCs/>
                <w:sz w:val="18"/>
                <w:szCs w:val="18"/>
              </w:rPr>
              <w:t xml:space="preserve"> </w:t>
            </w:r>
            <w:proofErr w:type="spellStart"/>
            <w:r w:rsidRPr="00B450EB">
              <w:rPr>
                <w:rFonts w:eastAsia="Arial" w:cs="Arial"/>
                <w:i/>
                <w:iCs/>
                <w:sz w:val="18"/>
                <w:szCs w:val="18"/>
              </w:rPr>
              <w:t>macrophylla</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5CAC9D" w14:textId="3B26D587" w:rsidR="42C1360B" w:rsidRPr="00B450EB" w:rsidRDefault="42C1360B" w:rsidP="42C1360B">
            <w:pPr>
              <w:spacing w:after="0"/>
              <w:jc w:val="center"/>
            </w:pPr>
            <w:r w:rsidRPr="00B450EB">
              <w:rPr>
                <w:rFonts w:eastAsia="Arial" w:cs="Arial"/>
                <w:sz w:val="18"/>
                <w:szCs w:val="18"/>
              </w:rPr>
              <w:t>Árbol</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C7C0F3" w14:textId="7CEC9039" w:rsidR="42C1360B" w:rsidRPr="00B450EB" w:rsidRDefault="42C1360B" w:rsidP="42C1360B">
            <w:pPr>
              <w:spacing w:after="0"/>
              <w:jc w:val="center"/>
            </w:pPr>
            <w:r w:rsidRPr="00B450EB">
              <w:rPr>
                <w:rFonts w:eastAsia="Arial" w:cs="Arial"/>
                <w:sz w:val="18"/>
                <w:szCs w:val="18"/>
              </w:rPr>
              <w:t>200-500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686D305" w14:textId="43E42767" w:rsidR="42C1360B" w:rsidRPr="00B450EB" w:rsidRDefault="42C1360B" w:rsidP="42C1360B">
            <w:pPr>
              <w:spacing w:after="0"/>
              <w:jc w:val="center"/>
            </w:pPr>
            <w:r w:rsidRPr="00B450EB">
              <w:rPr>
                <w:rFonts w:eastAsia="Arial" w:cs="Arial"/>
                <w:sz w:val="18"/>
                <w:szCs w:val="18"/>
              </w:rPr>
              <w:t xml:space="preserve">La madera comercialmente más valiosa e </w:t>
            </w:r>
            <w:r w:rsidR="008B1B71" w:rsidRPr="00B450EB">
              <w:rPr>
                <w:rFonts w:eastAsia="Arial" w:cs="Arial"/>
                <w:sz w:val="18"/>
                <w:szCs w:val="18"/>
              </w:rPr>
              <w:t>intensamente</w:t>
            </w:r>
            <w:r w:rsidRPr="00B450EB">
              <w:rPr>
                <w:rFonts w:eastAsia="Arial" w:cs="Arial"/>
                <w:sz w:val="18"/>
                <w:szCs w:val="18"/>
              </w:rPr>
              <w:t xml:space="preserve"> explotada en el </w:t>
            </w:r>
            <w:r w:rsidR="008B1B71" w:rsidRPr="00B450EB">
              <w:rPr>
                <w:rFonts w:eastAsia="Arial" w:cs="Arial"/>
                <w:sz w:val="18"/>
                <w:szCs w:val="18"/>
              </w:rPr>
              <w:t>trópico</w:t>
            </w:r>
            <w:r w:rsidRPr="00B450EB">
              <w:rPr>
                <w:rFonts w:eastAsia="Arial" w:cs="Arial"/>
                <w:sz w:val="18"/>
                <w:szCs w:val="18"/>
              </w:rPr>
              <w:t xml:space="preserve"> </w:t>
            </w:r>
            <w:r w:rsidR="008B1B71" w:rsidRPr="00B450EB">
              <w:rPr>
                <w:rFonts w:eastAsia="Arial" w:cs="Arial"/>
                <w:sz w:val="18"/>
                <w:szCs w:val="18"/>
              </w:rPr>
              <w:t>americano</w:t>
            </w:r>
            <w:r w:rsidRPr="00B450EB">
              <w:rPr>
                <w:rFonts w:eastAsia="Arial" w:cs="Arial"/>
                <w:sz w:val="18"/>
                <w:szCs w:val="18"/>
              </w:rPr>
              <w:t xml:space="preserve">, muebles finos, ebanistería, artesanías, decoración. Objeto de intensa explotación maderera durante el último siglo, reduciendo las poblaciones naturales es </w:t>
            </w:r>
            <w:r w:rsidR="008B1B71" w:rsidRPr="00B450EB">
              <w:rPr>
                <w:rFonts w:eastAsia="Arial" w:cs="Arial"/>
                <w:sz w:val="18"/>
                <w:szCs w:val="18"/>
              </w:rPr>
              <w:t>más</w:t>
            </w:r>
            <w:r w:rsidRPr="00B450EB">
              <w:rPr>
                <w:rFonts w:eastAsia="Arial" w:cs="Arial"/>
                <w:sz w:val="18"/>
                <w:szCs w:val="18"/>
              </w:rPr>
              <w:t xml:space="preserve"> del 80%, CITES apéndice II, vedas de aprovechamiento CARDER, CORPOURABA, CDMB</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4FC805" w14:textId="4CF7F8F7" w:rsidR="42C1360B" w:rsidRPr="00B450EB" w:rsidRDefault="42C1360B" w:rsidP="42C1360B">
            <w:pPr>
              <w:spacing w:after="0"/>
              <w:jc w:val="center"/>
            </w:pPr>
            <w:r w:rsidRPr="00B450EB">
              <w:rPr>
                <w:rFonts w:eastAsia="Arial" w:cs="Arial"/>
                <w:sz w:val="18"/>
                <w:szCs w:val="18"/>
              </w:rPr>
              <w:t>Cárdenas &amp; Salinas (2007)</w:t>
            </w:r>
          </w:p>
        </w:tc>
      </w:tr>
      <w:tr w:rsidR="00EF1937" w:rsidRPr="00B450EB" w14:paraId="309DED39" w14:textId="77777777" w:rsidTr="008B1B71">
        <w:trPr>
          <w:trHeight w:val="391"/>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E1431E" w14:textId="529C2A49" w:rsidR="42C1360B" w:rsidRPr="00B450EB" w:rsidRDefault="42C1360B" w:rsidP="42C1360B">
            <w:pPr>
              <w:spacing w:after="0"/>
              <w:jc w:val="center"/>
            </w:pPr>
            <w:proofErr w:type="spellStart"/>
            <w:r w:rsidRPr="00B450EB">
              <w:rPr>
                <w:rFonts w:eastAsia="Arial" w:cs="Arial"/>
                <w:i/>
                <w:iCs/>
                <w:sz w:val="18"/>
                <w:szCs w:val="18"/>
              </w:rPr>
              <w:t>Thibaudia</w:t>
            </w:r>
            <w:proofErr w:type="spellEnd"/>
            <w:r w:rsidRPr="00B450EB">
              <w:rPr>
                <w:rFonts w:eastAsia="Arial" w:cs="Arial"/>
                <w:i/>
                <w:iCs/>
                <w:sz w:val="18"/>
                <w:szCs w:val="18"/>
              </w:rPr>
              <w:t xml:space="preserve"> </w:t>
            </w:r>
            <w:proofErr w:type="spellStart"/>
            <w:r w:rsidRPr="00B450EB">
              <w:rPr>
                <w:rFonts w:eastAsia="Arial" w:cs="Arial"/>
                <w:i/>
                <w:iCs/>
                <w:sz w:val="18"/>
                <w:szCs w:val="18"/>
              </w:rPr>
              <w:t>fallax</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582C6B" w14:textId="37C86F67" w:rsidR="42C1360B" w:rsidRPr="00B450EB" w:rsidRDefault="42C1360B" w:rsidP="42C1360B">
            <w:pPr>
              <w:spacing w:after="0"/>
              <w:jc w:val="center"/>
            </w:pPr>
            <w:r w:rsidRPr="00B450EB">
              <w:rPr>
                <w:rFonts w:eastAsia="Arial" w:cs="Arial"/>
                <w:sz w:val="18"/>
                <w:szCs w:val="18"/>
              </w:rPr>
              <w:t>Hierba, arbusto</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D333C7" w14:textId="39A92D9C" w:rsidR="42C1360B" w:rsidRPr="00B450EB" w:rsidRDefault="42C1360B" w:rsidP="42C1360B">
            <w:pPr>
              <w:spacing w:after="0"/>
              <w:jc w:val="center"/>
            </w:pPr>
            <w:r w:rsidRPr="00B450EB">
              <w:rPr>
                <w:rFonts w:eastAsia="Arial" w:cs="Arial"/>
                <w:sz w:val="18"/>
                <w:szCs w:val="18"/>
              </w:rPr>
              <w:t>3050-3500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587CBC" w14:textId="4DAE91EB" w:rsidR="42C1360B" w:rsidRPr="00B450EB" w:rsidRDefault="42C1360B" w:rsidP="42C1360B">
            <w:pPr>
              <w:spacing w:after="0"/>
              <w:jc w:val="center"/>
            </w:pPr>
            <w:r w:rsidRPr="00B450EB">
              <w:rPr>
                <w:rFonts w:eastAsia="Arial" w:cs="Arial"/>
                <w:sz w:val="18"/>
                <w:szCs w:val="18"/>
              </w:rPr>
              <w:t>Especie endémica Colombia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9642C8" w14:textId="47915E95" w:rsidR="42C1360B" w:rsidRPr="00B450EB" w:rsidRDefault="42C1360B" w:rsidP="42C1360B">
            <w:pPr>
              <w:spacing w:after="0"/>
              <w:jc w:val="center"/>
            </w:pPr>
            <w:r w:rsidRPr="00B450EB">
              <w:rPr>
                <w:rFonts w:eastAsia="Arial" w:cs="Arial"/>
                <w:sz w:val="18"/>
                <w:szCs w:val="18"/>
              </w:rPr>
              <w:t>IUCN (2020)</w:t>
            </w:r>
          </w:p>
        </w:tc>
      </w:tr>
      <w:tr w:rsidR="00EF1937" w:rsidRPr="00B450EB" w14:paraId="50531A08" w14:textId="77777777" w:rsidTr="00667117">
        <w:trPr>
          <w:trHeight w:val="690"/>
        </w:trPr>
        <w:tc>
          <w:tcPr>
            <w:tcW w:w="123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368DF2" w14:textId="263B7117" w:rsidR="42C1360B" w:rsidRPr="00B450EB" w:rsidRDefault="42C1360B" w:rsidP="42C1360B">
            <w:pPr>
              <w:spacing w:after="0"/>
              <w:jc w:val="center"/>
            </w:pPr>
            <w:proofErr w:type="spellStart"/>
            <w:r w:rsidRPr="00B450EB">
              <w:rPr>
                <w:rFonts w:eastAsia="Arial" w:cs="Arial"/>
                <w:i/>
                <w:iCs/>
                <w:sz w:val="18"/>
                <w:szCs w:val="18"/>
              </w:rPr>
              <w:t>Tillandsia</w:t>
            </w:r>
            <w:proofErr w:type="spellEnd"/>
            <w:r w:rsidRPr="00B450EB">
              <w:rPr>
                <w:rFonts w:eastAsia="Arial" w:cs="Arial"/>
                <w:i/>
                <w:iCs/>
                <w:sz w:val="18"/>
                <w:szCs w:val="18"/>
              </w:rPr>
              <w:t xml:space="preserve"> </w:t>
            </w:r>
            <w:proofErr w:type="spellStart"/>
            <w:r w:rsidRPr="00B450EB">
              <w:rPr>
                <w:rFonts w:eastAsia="Arial" w:cs="Arial"/>
                <w:i/>
                <w:iCs/>
                <w:sz w:val="18"/>
                <w:szCs w:val="18"/>
              </w:rPr>
              <w:t>engleriana</w:t>
            </w:r>
            <w:proofErr w:type="spellEnd"/>
          </w:p>
        </w:tc>
        <w:tc>
          <w:tcPr>
            <w:tcW w:w="549"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565EBB" w14:textId="10C5A071" w:rsidR="42C1360B" w:rsidRPr="00B450EB" w:rsidRDefault="42C1360B" w:rsidP="42C1360B">
            <w:pPr>
              <w:spacing w:after="0"/>
              <w:jc w:val="center"/>
            </w:pPr>
            <w:r w:rsidRPr="00B450EB">
              <w:rPr>
                <w:rFonts w:eastAsia="Arial" w:cs="Arial"/>
                <w:sz w:val="18"/>
                <w:szCs w:val="18"/>
              </w:rPr>
              <w:t xml:space="preserve">Hierba terrestre </w:t>
            </w:r>
            <w:r w:rsidR="008B1B71" w:rsidRPr="00B450EB">
              <w:rPr>
                <w:rFonts w:eastAsia="Arial" w:cs="Arial"/>
                <w:sz w:val="18"/>
                <w:szCs w:val="18"/>
              </w:rPr>
              <w:t>arrosetada</w:t>
            </w:r>
          </w:p>
        </w:tc>
        <w:tc>
          <w:tcPr>
            <w:tcW w:w="488"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3A060C" w14:textId="2F4E4100" w:rsidR="42C1360B" w:rsidRPr="00B450EB" w:rsidRDefault="42C1360B" w:rsidP="42C1360B">
            <w:pPr>
              <w:spacing w:after="0"/>
              <w:jc w:val="center"/>
            </w:pPr>
            <w:r w:rsidRPr="00B450EB">
              <w:rPr>
                <w:rFonts w:eastAsia="Arial" w:cs="Arial"/>
                <w:sz w:val="18"/>
                <w:szCs w:val="18"/>
              </w:rPr>
              <w:t>2000</w:t>
            </w:r>
          </w:p>
        </w:tc>
        <w:tc>
          <w:tcPr>
            <w:tcW w:w="2081"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A8FC1FB" w14:textId="2D86340A" w:rsidR="42C1360B" w:rsidRPr="00B450EB" w:rsidRDefault="42C1360B" w:rsidP="42C1360B">
            <w:pPr>
              <w:spacing w:after="0"/>
              <w:jc w:val="center"/>
            </w:pPr>
            <w:r w:rsidRPr="00B450EB">
              <w:rPr>
                <w:rFonts w:eastAsia="Arial" w:cs="Arial"/>
                <w:sz w:val="18"/>
                <w:szCs w:val="18"/>
              </w:rPr>
              <w:t>Especie endémica Colombia, distribución restringida</w:t>
            </w:r>
          </w:p>
        </w:tc>
        <w:tc>
          <w:tcPr>
            <w:tcW w:w="65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C67A9D" w14:textId="4E03A6ED" w:rsidR="42C1360B" w:rsidRPr="00B450EB" w:rsidRDefault="42C1360B" w:rsidP="42C1360B">
            <w:pPr>
              <w:spacing w:after="0"/>
              <w:jc w:val="center"/>
            </w:pPr>
            <w:r w:rsidRPr="00B450EB">
              <w:rPr>
                <w:rFonts w:eastAsia="Arial" w:cs="Arial"/>
                <w:sz w:val="18"/>
                <w:szCs w:val="18"/>
              </w:rPr>
              <w:t>IUCN (2020)</w:t>
            </w:r>
          </w:p>
        </w:tc>
      </w:tr>
    </w:tbl>
    <w:p w14:paraId="07DE361A" w14:textId="58F44E0A" w:rsidR="005E2636" w:rsidRPr="00B450EB" w:rsidRDefault="00411DEB" w:rsidP="0310CDAE">
      <w:pPr>
        <w:tabs>
          <w:tab w:val="left" w:pos="5040"/>
        </w:tabs>
        <w:ind w:left="360"/>
        <w:jc w:val="center"/>
        <w:rPr>
          <w:sz w:val="18"/>
          <w:szCs w:val="18"/>
        </w:rPr>
      </w:pPr>
      <w:proofErr w:type="spellStart"/>
      <w:proofErr w:type="gramStart"/>
      <w:r w:rsidRPr="00B450EB">
        <w:rPr>
          <w:sz w:val="18"/>
          <w:szCs w:val="18"/>
        </w:rPr>
        <w:t>Fuente</w:t>
      </w:r>
      <w:r w:rsidR="001D2638" w:rsidRPr="00B450EB">
        <w:rPr>
          <w:sz w:val="18"/>
          <w:szCs w:val="18"/>
        </w:rPr>
        <w:t>:</w:t>
      </w:r>
      <w:r w:rsidR="56DC9C60" w:rsidRPr="00B450EB">
        <w:rPr>
          <w:sz w:val="18"/>
          <w:szCs w:val="18"/>
        </w:rPr>
        <w:t>Elaboración</w:t>
      </w:r>
      <w:proofErr w:type="spellEnd"/>
      <w:proofErr w:type="gramEnd"/>
      <w:r w:rsidR="56DC9C60" w:rsidRPr="00B450EB">
        <w:rPr>
          <w:sz w:val="18"/>
          <w:szCs w:val="18"/>
        </w:rPr>
        <w:t xml:space="preserve"> propia a partir de SIB, 2025.</w:t>
      </w:r>
    </w:p>
    <w:p w14:paraId="5CF8B7A6" w14:textId="372EC457" w:rsidR="005E2636" w:rsidRPr="00B450EB" w:rsidRDefault="005E2636" w:rsidP="00751668">
      <w:pPr>
        <w:tabs>
          <w:tab w:val="left" w:pos="5040"/>
        </w:tabs>
        <w:jc w:val="center"/>
        <w:rPr>
          <w:sz w:val="18"/>
          <w:szCs w:val="18"/>
        </w:rPr>
      </w:pPr>
    </w:p>
    <w:p w14:paraId="3ED03A31" w14:textId="726D1ECF" w:rsidR="00395756" w:rsidRPr="00B450EB" w:rsidRDefault="00395756" w:rsidP="001C1081">
      <w:pPr>
        <w:pStyle w:val="Ttulo3"/>
        <w:numPr>
          <w:ilvl w:val="2"/>
          <w:numId w:val="16"/>
        </w:numPr>
        <w:tabs>
          <w:tab w:val="left" w:pos="1677"/>
        </w:tabs>
        <w:rPr>
          <w:rFonts w:cs="Arial"/>
          <w:szCs w:val="24"/>
        </w:rPr>
      </w:pPr>
      <w:bookmarkStart w:id="89" w:name="_Toc209722925"/>
      <w:r w:rsidRPr="00B450EB">
        <w:rPr>
          <w:rFonts w:cs="Arial"/>
          <w:szCs w:val="24"/>
        </w:rPr>
        <w:t>Fauna</w:t>
      </w:r>
      <w:bookmarkEnd w:id="89"/>
    </w:p>
    <w:p w14:paraId="6820541E" w14:textId="5DAE61AA" w:rsidR="00CB4181" w:rsidRPr="00B450EB" w:rsidRDefault="002E461A" w:rsidP="00BD42F2">
      <w:pPr>
        <w:rPr>
          <w:rFonts w:eastAsiaTheme="minorEastAsia" w:cs="Arial"/>
        </w:rPr>
      </w:pPr>
      <w:r w:rsidRPr="00B450EB">
        <w:rPr>
          <w:rFonts w:eastAsiaTheme="minorEastAsia" w:cs="Arial"/>
        </w:rPr>
        <w:t xml:space="preserve">El bioma </w:t>
      </w:r>
      <w:r w:rsidR="000B159B" w:rsidRPr="00B450EB">
        <w:rPr>
          <w:rFonts w:eastAsiaTheme="minorEastAsia" w:cs="Arial"/>
        </w:rPr>
        <w:t>amazónico</w:t>
      </w:r>
      <w:r w:rsidR="005751ED" w:rsidRPr="00B450EB">
        <w:rPr>
          <w:rFonts w:eastAsiaTheme="minorEastAsia" w:cs="Arial"/>
        </w:rPr>
        <w:t xml:space="preserve"> </w:t>
      </w:r>
      <w:r w:rsidR="00302F67" w:rsidRPr="00B450EB">
        <w:rPr>
          <w:rFonts w:eastAsiaTheme="minorEastAsia" w:cs="Arial"/>
        </w:rPr>
        <w:t>se reconoce como</w:t>
      </w:r>
      <w:r w:rsidR="005751ED" w:rsidRPr="00B450EB">
        <w:rPr>
          <w:rFonts w:eastAsiaTheme="minorEastAsia" w:cs="Arial"/>
        </w:rPr>
        <w:t xml:space="preserve"> una de las </w:t>
      </w:r>
      <w:r w:rsidR="00302F67" w:rsidRPr="00B450EB">
        <w:rPr>
          <w:rFonts w:eastAsiaTheme="minorEastAsia" w:cs="Arial"/>
        </w:rPr>
        <w:t>regiones con mayor biodiversidad a nivel mundial en</w:t>
      </w:r>
      <w:r w:rsidR="005751ED" w:rsidRPr="00B450EB">
        <w:rPr>
          <w:rFonts w:eastAsiaTheme="minorEastAsia" w:cs="Arial"/>
        </w:rPr>
        <w:t xml:space="preserve"> la mayoría de los grupos taxonómicos. La diversidad varía geográficamente, con algunos grupos siendo más diversos en las tierras bajas amazónicas, mientras que otros prosperan en los Andes. </w:t>
      </w:r>
      <w:r w:rsidR="00BD42F2" w:rsidRPr="00B450EB">
        <w:rPr>
          <w:rFonts w:eastAsiaTheme="minorEastAsia" w:cs="Arial"/>
        </w:rPr>
        <w:t xml:space="preserve">En el </w:t>
      </w:r>
      <w:r w:rsidR="00301A7E" w:rsidRPr="00B450EB">
        <w:rPr>
          <w:rFonts w:eastAsiaTheme="minorEastAsia" w:cs="Arial"/>
        </w:rPr>
        <w:t>A</w:t>
      </w:r>
      <w:r w:rsidR="00BD42F2" w:rsidRPr="00B450EB">
        <w:rPr>
          <w:rFonts w:eastAsiaTheme="minorEastAsia" w:cs="Arial"/>
        </w:rPr>
        <w:t xml:space="preserve">mazonas colombiano se han registrado hasta el momento </w:t>
      </w:r>
      <w:r w:rsidR="009361F5" w:rsidRPr="00B450EB">
        <w:rPr>
          <w:rFonts w:eastAsiaTheme="minorEastAsia" w:cs="Arial"/>
        </w:rPr>
        <w:t xml:space="preserve">6.206 especies de artrópodos y </w:t>
      </w:r>
      <w:r w:rsidR="00BD42F2" w:rsidRPr="00B450EB">
        <w:rPr>
          <w:rFonts w:eastAsiaTheme="minorEastAsia" w:cs="Arial"/>
        </w:rPr>
        <w:t xml:space="preserve">3.281 especies de vertebrados, correspondientes a </w:t>
      </w:r>
      <w:r w:rsidR="00353BF5" w:rsidRPr="00B450EB">
        <w:rPr>
          <w:rFonts w:eastAsiaTheme="minorEastAsia" w:cs="Arial"/>
        </w:rPr>
        <w:t xml:space="preserve">peces, </w:t>
      </w:r>
      <w:r w:rsidR="00BD42F2" w:rsidRPr="00B450EB">
        <w:rPr>
          <w:rFonts w:eastAsiaTheme="minorEastAsia" w:cs="Arial"/>
        </w:rPr>
        <w:t xml:space="preserve">anfibios, reptiles, aves y mamíferos. De ellas, actualmente se cuenta con un reporte de 1.104 especies de peces, 269 especies de </w:t>
      </w:r>
      <w:proofErr w:type="spellStart"/>
      <w:r w:rsidR="00BD42F2" w:rsidRPr="00B450EB">
        <w:rPr>
          <w:rFonts w:eastAsiaTheme="minorEastAsia" w:cs="Arial"/>
        </w:rPr>
        <w:t>herpetofauna</w:t>
      </w:r>
      <w:proofErr w:type="spellEnd"/>
      <w:r w:rsidR="00BD42F2" w:rsidRPr="00B450EB">
        <w:rPr>
          <w:rFonts w:eastAsiaTheme="minorEastAsia" w:cs="Arial"/>
        </w:rPr>
        <w:t xml:space="preserve">, 1.500 de aves y 265 de mamíferos, lo que da cuenta de la alta diversidad de la región. Al menos 111 especies de vertebrados </w:t>
      </w:r>
      <w:r w:rsidR="00BD42F2" w:rsidRPr="00B450EB">
        <w:rPr>
          <w:rFonts w:eastAsiaTheme="minorEastAsia" w:cs="Arial"/>
        </w:rPr>
        <w:lastRenderedPageBreak/>
        <w:t xml:space="preserve">poseen valor de uso para consumo por parte de las comunidades locales, lo que resalta su importancia </w:t>
      </w:r>
      <w:r w:rsidR="00393497" w:rsidRPr="00B450EB">
        <w:rPr>
          <w:rFonts w:eastAsiaTheme="minorEastAsia" w:cs="Arial"/>
        </w:rPr>
        <w:t>socio ecológica</w:t>
      </w:r>
      <w:r w:rsidR="00351FB4" w:rsidRPr="00B450EB">
        <w:rPr>
          <w:rFonts w:eastAsiaTheme="minorEastAsia" w:cs="Arial"/>
        </w:rPr>
        <w:t xml:space="preserve"> (Mantilla </w:t>
      </w:r>
      <w:proofErr w:type="spellStart"/>
      <w:r w:rsidR="00351FB4" w:rsidRPr="00B450EB">
        <w:rPr>
          <w:rFonts w:eastAsiaTheme="minorEastAsia" w:cs="Arial"/>
        </w:rPr>
        <w:t>Cardenas</w:t>
      </w:r>
      <w:proofErr w:type="spellEnd"/>
      <w:r w:rsidR="00351FB4" w:rsidRPr="00B450EB">
        <w:rPr>
          <w:rFonts w:eastAsiaTheme="minorEastAsia" w:cs="Arial"/>
        </w:rPr>
        <w:t>, 2021)</w:t>
      </w:r>
      <w:r w:rsidR="00BD42F2" w:rsidRPr="00B450EB">
        <w:rPr>
          <w:rFonts w:eastAsiaTheme="minorEastAsia" w:cs="Arial"/>
        </w:rPr>
        <w:t xml:space="preserve"> </w:t>
      </w:r>
    </w:p>
    <w:p w14:paraId="21F7A9EC" w14:textId="7C21E406" w:rsidR="00BD42F2" w:rsidRPr="00B450EB" w:rsidRDefault="00BD42F2" w:rsidP="00BD42F2">
      <w:pPr>
        <w:rPr>
          <w:rFonts w:eastAsiaTheme="minorEastAsia" w:cs="Arial"/>
        </w:rPr>
      </w:pPr>
      <w:r w:rsidRPr="00B450EB">
        <w:rPr>
          <w:rFonts w:eastAsiaTheme="minorEastAsia" w:cs="Arial"/>
        </w:rPr>
        <w:t>En términos de aportes al conocimiento, en los últimos años en la región se han registrado 17 nuevos reportes de anfibios, 2 de reptiles y 4 de aves para el país, además de la descripción de una nueva especie de serpiente (</w:t>
      </w:r>
      <w:proofErr w:type="spellStart"/>
      <w:r w:rsidRPr="00B450EB">
        <w:rPr>
          <w:rFonts w:eastAsiaTheme="minorEastAsia" w:cs="Arial"/>
          <w:i/>
        </w:rPr>
        <w:t>Thamnodynastes</w:t>
      </w:r>
      <w:proofErr w:type="spellEnd"/>
      <w:r w:rsidRPr="00B450EB">
        <w:rPr>
          <w:rFonts w:eastAsiaTheme="minorEastAsia" w:cs="Arial"/>
          <w:i/>
        </w:rPr>
        <w:t xml:space="preserve"> </w:t>
      </w:r>
      <w:proofErr w:type="spellStart"/>
      <w:r w:rsidRPr="00B450EB">
        <w:rPr>
          <w:rFonts w:eastAsiaTheme="minorEastAsia" w:cs="Arial"/>
          <w:i/>
        </w:rPr>
        <w:t>silvai</w:t>
      </w:r>
      <w:proofErr w:type="spellEnd"/>
      <w:r w:rsidRPr="00B450EB">
        <w:rPr>
          <w:rFonts w:eastAsiaTheme="minorEastAsia" w:cs="Arial"/>
        </w:rPr>
        <w:t>) y dos nuevas especies de murciélagos (</w:t>
      </w:r>
      <w:proofErr w:type="spellStart"/>
      <w:r w:rsidRPr="00B450EB">
        <w:rPr>
          <w:rFonts w:eastAsiaTheme="minorEastAsia" w:cs="Arial"/>
        </w:rPr>
        <w:t>V</w:t>
      </w:r>
      <w:r w:rsidRPr="00B450EB">
        <w:rPr>
          <w:rFonts w:eastAsiaTheme="minorEastAsia" w:cs="Arial"/>
          <w:i/>
        </w:rPr>
        <w:t>ampyressa</w:t>
      </w:r>
      <w:proofErr w:type="spellEnd"/>
      <w:r w:rsidRPr="00B450EB">
        <w:rPr>
          <w:rFonts w:eastAsiaTheme="minorEastAsia" w:cs="Arial"/>
          <w:i/>
        </w:rPr>
        <w:t xml:space="preserve"> </w:t>
      </w:r>
      <w:proofErr w:type="spellStart"/>
      <w:r w:rsidRPr="00B450EB">
        <w:rPr>
          <w:rFonts w:eastAsiaTheme="minorEastAsia" w:cs="Arial"/>
          <w:i/>
        </w:rPr>
        <w:t>voragine</w:t>
      </w:r>
      <w:proofErr w:type="spellEnd"/>
      <w:r w:rsidRPr="00B450EB">
        <w:rPr>
          <w:rFonts w:eastAsiaTheme="minorEastAsia" w:cs="Arial"/>
          <w:i/>
        </w:rPr>
        <w:t xml:space="preserve"> y </w:t>
      </w:r>
      <w:proofErr w:type="spellStart"/>
      <w:r w:rsidRPr="00B450EB">
        <w:rPr>
          <w:rFonts w:eastAsiaTheme="minorEastAsia" w:cs="Arial"/>
          <w:i/>
        </w:rPr>
        <w:t>Eptesicus</w:t>
      </w:r>
      <w:proofErr w:type="spellEnd"/>
      <w:r w:rsidRPr="00B450EB">
        <w:rPr>
          <w:rFonts w:eastAsiaTheme="minorEastAsia" w:cs="Arial"/>
          <w:i/>
        </w:rPr>
        <w:t xml:space="preserve"> </w:t>
      </w:r>
      <w:proofErr w:type="spellStart"/>
      <w:r w:rsidRPr="00B450EB">
        <w:rPr>
          <w:rFonts w:eastAsiaTheme="minorEastAsia" w:cs="Arial"/>
          <w:i/>
        </w:rPr>
        <w:t>orinocensis</w:t>
      </w:r>
      <w:proofErr w:type="spellEnd"/>
      <w:r w:rsidRPr="00B450EB">
        <w:rPr>
          <w:rFonts w:eastAsiaTheme="minorEastAsia" w:cs="Arial"/>
        </w:rPr>
        <w:t xml:space="preserve">) (Mantilla </w:t>
      </w:r>
      <w:proofErr w:type="spellStart"/>
      <w:r w:rsidRPr="00B450EB">
        <w:rPr>
          <w:rFonts w:eastAsiaTheme="minorEastAsia" w:cs="Arial"/>
        </w:rPr>
        <w:t>Cardenas</w:t>
      </w:r>
      <w:proofErr w:type="spellEnd"/>
      <w:r w:rsidRPr="00B450EB">
        <w:rPr>
          <w:rFonts w:eastAsiaTheme="minorEastAsia" w:cs="Arial"/>
        </w:rPr>
        <w:t xml:space="preserve">, 2021, 2022 y 2023). En cuanto al estado de conservación, se han documentado 36 especies con alguna categoría de amenaza según la UICN (2021) y </w:t>
      </w:r>
      <w:r w:rsidR="00C10A63" w:rsidRPr="00B450EB">
        <w:rPr>
          <w:rFonts w:eastAsiaTheme="minorEastAsia" w:cs="Arial"/>
        </w:rPr>
        <w:t>31</w:t>
      </w:r>
      <w:r w:rsidRPr="00B450EB">
        <w:rPr>
          <w:rFonts w:eastAsiaTheme="minorEastAsia" w:cs="Arial"/>
        </w:rPr>
        <w:t xml:space="preserve"> especies con categoría de amenaza </w:t>
      </w:r>
      <w:r w:rsidR="00C10A63" w:rsidRPr="00B450EB">
        <w:rPr>
          <w:rFonts w:eastAsiaTheme="minorEastAsia" w:cs="Arial"/>
        </w:rPr>
        <w:t>a nivel nacional</w:t>
      </w:r>
      <w:r w:rsidRPr="00B450EB">
        <w:rPr>
          <w:rFonts w:eastAsiaTheme="minorEastAsia" w:cs="Arial"/>
        </w:rPr>
        <w:t xml:space="preserve"> según la Resolución 0126 (MADS, 2024); en ambos casos, estas corresponden principalmente a reptiles, aves y mamíferos, incluyendo especies evaluadas hace varios años y cuyas poblaciones actualmente se consideran amenazadas en su rango de distribución.</w:t>
      </w:r>
    </w:p>
    <w:p w14:paraId="094F65DF" w14:textId="77777777" w:rsidR="00BD42F2" w:rsidRPr="00B450EB" w:rsidRDefault="00FC444C" w:rsidP="001C1081">
      <w:pPr>
        <w:pStyle w:val="Ttulo3"/>
        <w:numPr>
          <w:ilvl w:val="3"/>
          <w:numId w:val="16"/>
        </w:numPr>
        <w:tabs>
          <w:tab w:val="left" w:pos="1677"/>
        </w:tabs>
        <w:rPr>
          <w:rFonts w:cs="Arial"/>
          <w:szCs w:val="24"/>
        </w:rPr>
      </w:pPr>
      <w:bookmarkStart w:id="90" w:name="_Toc209722926"/>
      <w:proofErr w:type="spellStart"/>
      <w:r w:rsidRPr="00B450EB">
        <w:rPr>
          <w:rFonts w:cs="Arial"/>
        </w:rPr>
        <w:t>Artropofauna</w:t>
      </w:r>
      <w:bookmarkEnd w:id="90"/>
      <w:proofErr w:type="spellEnd"/>
    </w:p>
    <w:p w14:paraId="78C06C3E" w14:textId="6FE4963C" w:rsidR="00755CF3" w:rsidRPr="00B450EB" w:rsidRDefault="001729A3" w:rsidP="001843EA">
      <w:pPr>
        <w:rPr>
          <w:rFonts w:cs="Arial"/>
        </w:rPr>
      </w:pPr>
      <w:r w:rsidRPr="00B450EB">
        <w:rPr>
          <w:rFonts w:cs="Arial"/>
        </w:rPr>
        <w:t xml:space="preserve">Si bien los </w:t>
      </w:r>
      <w:r w:rsidR="006B2678" w:rsidRPr="00B450EB">
        <w:rPr>
          <w:rFonts w:cs="Arial"/>
        </w:rPr>
        <w:t>artrópodos</w:t>
      </w:r>
      <w:r w:rsidRPr="00B450EB">
        <w:rPr>
          <w:rFonts w:cs="Arial"/>
        </w:rPr>
        <w:t xml:space="preserve"> dominan los ecosistemas terrestres en términos de número de especies y biomasa, su diversidad en la región amazónica permanece prácticamente desconocida (</w:t>
      </w:r>
      <w:proofErr w:type="spellStart"/>
      <w:r w:rsidRPr="00B450EB">
        <w:rPr>
          <w:rFonts w:cs="Arial"/>
        </w:rPr>
        <w:t>Adis</w:t>
      </w:r>
      <w:proofErr w:type="spellEnd"/>
      <w:r w:rsidRPr="00B450EB">
        <w:rPr>
          <w:rFonts w:cs="Arial"/>
        </w:rPr>
        <w:t xml:space="preserve">, 2007; Hanson &amp; </w:t>
      </w:r>
      <w:proofErr w:type="spellStart"/>
      <w:r w:rsidRPr="00B450EB">
        <w:rPr>
          <w:rFonts w:cs="Arial"/>
        </w:rPr>
        <w:t>Nishida</w:t>
      </w:r>
      <w:proofErr w:type="spellEnd"/>
      <w:r w:rsidRPr="00B450EB">
        <w:rPr>
          <w:rFonts w:cs="Arial"/>
        </w:rPr>
        <w:t xml:space="preserve">, 2016). </w:t>
      </w:r>
      <w:r w:rsidR="48E438FA" w:rsidRPr="00B450EB">
        <w:rPr>
          <w:rFonts w:cs="Arial"/>
        </w:rPr>
        <w:t xml:space="preserve">En la zona de estudio se </w:t>
      </w:r>
      <w:r w:rsidR="00C06CDF" w:rsidRPr="00B450EB">
        <w:rPr>
          <w:rFonts w:cs="Arial"/>
        </w:rPr>
        <w:t>han registrado al menos</w:t>
      </w:r>
      <w:r w:rsidR="48E438FA" w:rsidRPr="00B450EB">
        <w:rPr>
          <w:rFonts w:cs="Arial"/>
        </w:rPr>
        <w:t xml:space="preserve"> </w:t>
      </w:r>
      <w:r w:rsidR="003F75D5" w:rsidRPr="00B450EB">
        <w:rPr>
          <w:rFonts w:cs="Arial"/>
          <w:b/>
        </w:rPr>
        <w:t>6.206</w:t>
      </w:r>
      <w:r w:rsidR="48E438FA" w:rsidRPr="00B450EB">
        <w:rPr>
          <w:rFonts w:cs="Arial"/>
          <w:b/>
        </w:rPr>
        <w:t xml:space="preserve"> especies</w:t>
      </w:r>
      <w:r w:rsidR="48E438FA" w:rsidRPr="00B450EB">
        <w:rPr>
          <w:rFonts w:cs="Arial"/>
        </w:rPr>
        <w:t xml:space="preserve"> de </w:t>
      </w:r>
      <w:r w:rsidR="00AF192C" w:rsidRPr="00B450EB">
        <w:rPr>
          <w:rFonts w:cs="Arial"/>
        </w:rPr>
        <w:t xml:space="preserve">las clases </w:t>
      </w:r>
      <w:proofErr w:type="spellStart"/>
      <w:r w:rsidR="00AF192C" w:rsidRPr="00B450EB">
        <w:rPr>
          <w:rFonts w:cs="Arial"/>
        </w:rPr>
        <w:t>Malacostraca</w:t>
      </w:r>
      <w:proofErr w:type="spellEnd"/>
      <w:r w:rsidR="00AF192C" w:rsidRPr="00B450EB">
        <w:rPr>
          <w:rFonts w:cs="Arial"/>
        </w:rPr>
        <w:t xml:space="preserve">, </w:t>
      </w:r>
      <w:proofErr w:type="spellStart"/>
      <w:r w:rsidR="00AF192C" w:rsidRPr="00B450EB">
        <w:rPr>
          <w:rFonts w:cs="Arial"/>
        </w:rPr>
        <w:t>Insecta</w:t>
      </w:r>
      <w:proofErr w:type="spellEnd"/>
      <w:r w:rsidR="00AF192C" w:rsidRPr="00B450EB">
        <w:rPr>
          <w:rFonts w:cs="Arial"/>
        </w:rPr>
        <w:t xml:space="preserve">, </w:t>
      </w:r>
      <w:proofErr w:type="spellStart"/>
      <w:r w:rsidR="00AF192C" w:rsidRPr="00B450EB">
        <w:rPr>
          <w:rFonts w:cs="Arial"/>
        </w:rPr>
        <w:t>Branchiopoda</w:t>
      </w:r>
      <w:proofErr w:type="spellEnd"/>
      <w:r w:rsidR="00AF192C" w:rsidRPr="00B450EB">
        <w:rPr>
          <w:rFonts w:cs="Arial"/>
        </w:rPr>
        <w:t xml:space="preserve">, </w:t>
      </w:r>
      <w:proofErr w:type="spellStart"/>
      <w:r w:rsidR="00AF192C" w:rsidRPr="00B450EB">
        <w:rPr>
          <w:rFonts w:cs="Arial"/>
        </w:rPr>
        <w:t>Copepoda</w:t>
      </w:r>
      <w:proofErr w:type="spellEnd"/>
      <w:r w:rsidR="00AF192C" w:rsidRPr="00B450EB">
        <w:rPr>
          <w:rFonts w:cs="Arial"/>
        </w:rPr>
        <w:t xml:space="preserve">, </w:t>
      </w:r>
      <w:proofErr w:type="spellStart"/>
      <w:r w:rsidR="00AF192C" w:rsidRPr="00B450EB">
        <w:rPr>
          <w:rFonts w:cs="Arial"/>
        </w:rPr>
        <w:t>Arac</w:t>
      </w:r>
      <w:r w:rsidR="000C3D8C" w:rsidRPr="00B450EB">
        <w:rPr>
          <w:rFonts w:cs="Arial"/>
        </w:rPr>
        <w:t>h</w:t>
      </w:r>
      <w:r w:rsidR="00AF192C" w:rsidRPr="00B450EB">
        <w:rPr>
          <w:rFonts w:cs="Arial"/>
        </w:rPr>
        <w:t>nida</w:t>
      </w:r>
      <w:proofErr w:type="spellEnd"/>
      <w:r w:rsidR="00AF192C" w:rsidRPr="00B450EB">
        <w:rPr>
          <w:rFonts w:cs="Arial"/>
        </w:rPr>
        <w:t xml:space="preserve">, </w:t>
      </w:r>
      <w:proofErr w:type="spellStart"/>
      <w:r w:rsidR="00AF192C" w:rsidRPr="00B450EB">
        <w:rPr>
          <w:rFonts w:cs="Arial"/>
        </w:rPr>
        <w:t>Ostracoda</w:t>
      </w:r>
      <w:proofErr w:type="spellEnd"/>
      <w:r w:rsidR="00AF192C" w:rsidRPr="00B450EB">
        <w:rPr>
          <w:rFonts w:cs="Arial"/>
        </w:rPr>
        <w:t xml:space="preserve">, </w:t>
      </w:r>
      <w:proofErr w:type="spellStart"/>
      <w:r w:rsidR="00AF192C" w:rsidRPr="00B450EB">
        <w:rPr>
          <w:rFonts w:cs="Arial"/>
        </w:rPr>
        <w:t>Chilopoda</w:t>
      </w:r>
      <w:proofErr w:type="spellEnd"/>
      <w:r w:rsidR="00AF192C" w:rsidRPr="00B450EB">
        <w:rPr>
          <w:rFonts w:cs="Arial"/>
        </w:rPr>
        <w:t xml:space="preserve">, </w:t>
      </w:r>
      <w:proofErr w:type="spellStart"/>
      <w:r w:rsidR="00AF192C" w:rsidRPr="00B450EB">
        <w:rPr>
          <w:rFonts w:cs="Arial"/>
        </w:rPr>
        <w:t>Diplopoda</w:t>
      </w:r>
      <w:proofErr w:type="spellEnd"/>
      <w:r w:rsidR="00AF192C" w:rsidRPr="00B450EB">
        <w:rPr>
          <w:rFonts w:cs="Arial"/>
        </w:rPr>
        <w:t xml:space="preserve">, </w:t>
      </w:r>
      <w:proofErr w:type="spellStart"/>
      <w:r w:rsidR="00AF192C" w:rsidRPr="00B450EB">
        <w:rPr>
          <w:rFonts w:cs="Arial"/>
        </w:rPr>
        <w:t>Collembola</w:t>
      </w:r>
      <w:proofErr w:type="spellEnd"/>
      <w:r w:rsidR="00AF192C" w:rsidRPr="00B450EB">
        <w:rPr>
          <w:rFonts w:cs="Arial"/>
        </w:rPr>
        <w:t xml:space="preserve">, </w:t>
      </w:r>
      <w:proofErr w:type="spellStart"/>
      <w:r w:rsidR="00AF192C" w:rsidRPr="00B450EB">
        <w:rPr>
          <w:rFonts w:cs="Arial"/>
        </w:rPr>
        <w:t>Symphyla</w:t>
      </w:r>
      <w:proofErr w:type="spellEnd"/>
      <w:r w:rsidR="00AF192C" w:rsidRPr="00B450EB">
        <w:rPr>
          <w:rFonts w:cs="Arial"/>
        </w:rPr>
        <w:t xml:space="preserve"> y </w:t>
      </w:r>
      <w:proofErr w:type="spellStart"/>
      <w:r w:rsidR="00AF192C" w:rsidRPr="00B450EB">
        <w:rPr>
          <w:rFonts w:cs="Arial"/>
        </w:rPr>
        <w:t>Trilobita</w:t>
      </w:r>
      <w:proofErr w:type="spellEnd"/>
      <w:r w:rsidR="001E3E91" w:rsidRPr="00B450EB">
        <w:rPr>
          <w:rFonts w:cs="Arial"/>
        </w:rPr>
        <w:t xml:space="preserve"> de acuerdo con la información disponible</w:t>
      </w:r>
      <w:r w:rsidR="001C0D14" w:rsidRPr="00B450EB">
        <w:rPr>
          <w:rFonts w:cs="Arial"/>
        </w:rPr>
        <w:t xml:space="preserve"> en portales de datos abiertos como GBIF</w:t>
      </w:r>
      <w:r w:rsidR="00EA43F5" w:rsidRPr="00B450EB">
        <w:rPr>
          <w:rFonts w:cs="Arial"/>
        </w:rPr>
        <w:t xml:space="preserve">. </w:t>
      </w:r>
      <w:r w:rsidR="0098434D" w:rsidRPr="00B450EB">
        <w:rPr>
          <w:rFonts w:cs="Arial"/>
        </w:rPr>
        <w:t xml:space="preserve">Así entonces se cuenta con la presencia en la región de </w:t>
      </w:r>
      <w:r w:rsidR="00EA43F5" w:rsidRPr="00B450EB">
        <w:rPr>
          <w:rFonts w:cs="Arial"/>
        </w:rPr>
        <w:t>al menos</w:t>
      </w:r>
      <w:r w:rsidR="0098434D" w:rsidRPr="00B450EB">
        <w:rPr>
          <w:rFonts w:cs="Arial"/>
        </w:rPr>
        <w:t xml:space="preserve"> </w:t>
      </w:r>
      <w:r w:rsidR="0098434D" w:rsidRPr="00B450EB">
        <w:rPr>
          <w:rFonts w:cs="Arial"/>
          <w:b/>
        </w:rPr>
        <w:t>33</w:t>
      </w:r>
      <w:r w:rsidR="0098434D" w:rsidRPr="00B450EB">
        <w:rPr>
          <w:rFonts w:cs="Arial"/>
        </w:rPr>
        <w:t xml:space="preserve"> </w:t>
      </w:r>
      <w:r w:rsidR="00064870" w:rsidRPr="00B450EB">
        <w:rPr>
          <w:rFonts w:cs="Arial"/>
        </w:rPr>
        <w:t xml:space="preserve">especies de </w:t>
      </w:r>
      <w:r w:rsidR="0098434D" w:rsidRPr="00B450EB">
        <w:rPr>
          <w:rFonts w:cs="Arial"/>
          <w:b/>
        </w:rPr>
        <w:t>miriápodos</w:t>
      </w:r>
      <w:r w:rsidR="0098434D" w:rsidRPr="00B450EB">
        <w:rPr>
          <w:rFonts w:cs="Arial"/>
        </w:rPr>
        <w:t xml:space="preserve">, </w:t>
      </w:r>
      <w:r w:rsidR="00B4672C" w:rsidRPr="00B450EB">
        <w:rPr>
          <w:rFonts w:cs="Arial"/>
          <w:b/>
        </w:rPr>
        <w:t>72</w:t>
      </w:r>
      <w:r w:rsidR="00064870" w:rsidRPr="00B450EB">
        <w:rPr>
          <w:rFonts w:cs="Arial"/>
        </w:rPr>
        <w:t xml:space="preserve"> de </w:t>
      </w:r>
      <w:r w:rsidR="00064870" w:rsidRPr="00B450EB">
        <w:rPr>
          <w:rFonts w:cs="Arial"/>
          <w:b/>
        </w:rPr>
        <w:t>crustáceos</w:t>
      </w:r>
      <w:r w:rsidR="0098434D" w:rsidRPr="00B450EB">
        <w:rPr>
          <w:rFonts w:cs="Arial"/>
        </w:rPr>
        <w:t xml:space="preserve">, </w:t>
      </w:r>
      <w:r w:rsidR="0098434D" w:rsidRPr="00B450EB">
        <w:rPr>
          <w:rFonts w:cs="Arial"/>
          <w:b/>
        </w:rPr>
        <w:t>495</w:t>
      </w:r>
      <w:r w:rsidR="0098434D" w:rsidRPr="00B450EB">
        <w:rPr>
          <w:rFonts w:cs="Arial"/>
        </w:rPr>
        <w:t xml:space="preserve"> </w:t>
      </w:r>
      <w:r w:rsidR="00A11CB9" w:rsidRPr="00B450EB">
        <w:rPr>
          <w:rFonts w:cs="Arial"/>
        </w:rPr>
        <w:t xml:space="preserve">de </w:t>
      </w:r>
      <w:r w:rsidR="48E438FA" w:rsidRPr="00B450EB">
        <w:rPr>
          <w:rFonts w:cs="Arial"/>
          <w:b/>
        </w:rPr>
        <w:t>arácnidos</w:t>
      </w:r>
      <w:r w:rsidR="000C3D8C" w:rsidRPr="00B450EB">
        <w:rPr>
          <w:rFonts w:cs="Arial"/>
        </w:rPr>
        <w:t xml:space="preserve"> y </w:t>
      </w:r>
      <w:r w:rsidR="006F00CB" w:rsidRPr="00B450EB">
        <w:rPr>
          <w:rFonts w:cs="Arial"/>
          <w:b/>
        </w:rPr>
        <w:t>5.594</w:t>
      </w:r>
      <w:r w:rsidR="006F00CB" w:rsidRPr="00B450EB">
        <w:rPr>
          <w:rFonts w:cs="Arial"/>
        </w:rPr>
        <w:t xml:space="preserve"> </w:t>
      </w:r>
      <w:r w:rsidR="00A11CB9" w:rsidRPr="00B450EB">
        <w:rPr>
          <w:rFonts w:cs="Arial"/>
        </w:rPr>
        <w:t xml:space="preserve">de </w:t>
      </w:r>
      <w:r w:rsidR="006F00CB" w:rsidRPr="00B450EB">
        <w:rPr>
          <w:rFonts w:cs="Arial"/>
          <w:b/>
        </w:rPr>
        <w:t>insectos</w:t>
      </w:r>
      <w:r w:rsidR="006F00CB" w:rsidRPr="00B450EB">
        <w:rPr>
          <w:rFonts w:cs="Arial"/>
        </w:rPr>
        <w:t xml:space="preserve">. </w:t>
      </w:r>
    </w:p>
    <w:p w14:paraId="77EE5FCE" w14:textId="0887D3AF" w:rsidR="00843C36" w:rsidRPr="00B450EB" w:rsidRDefault="006F00CB" w:rsidP="00E81A22">
      <w:pPr>
        <w:rPr>
          <w:rFonts w:cs="Arial"/>
        </w:rPr>
      </w:pPr>
      <w:r w:rsidRPr="00B450EB">
        <w:rPr>
          <w:rFonts w:cs="Arial"/>
        </w:rPr>
        <w:t>Dentro de los arácnidos,</w:t>
      </w:r>
      <w:r w:rsidR="000C3D8C" w:rsidRPr="00B450EB">
        <w:rPr>
          <w:rFonts w:cs="Arial"/>
        </w:rPr>
        <w:t xml:space="preserve"> se han </w:t>
      </w:r>
      <w:r w:rsidR="48E438FA" w:rsidRPr="00B450EB">
        <w:rPr>
          <w:rFonts w:cs="Arial"/>
        </w:rPr>
        <w:t>identifica</w:t>
      </w:r>
      <w:r w:rsidR="000C3D8C" w:rsidRPr="00B450EB">
        <w:rPr>
          <w:rFonts w:cs="Arial"/>
        </w:rPr>
        <w:t>do</w:t>
      </w:r>
      <w:r w:rsidR="48E438FA" w:rsidRPr="00B450EB">
        <w:rPr>
          <w:rFonts w:cs="Arial"/>
        </w:rPr>
        <w:t xml:space="preserve"> 14 posibles especies nuevas</w:t>
      </w:r>
      <w:r w:rsidR="00E85C34" w:rsidRPr="00B450EB">
        <w:rPr>
          <w:rFonts w:cs="Arial"/>
        </w:rPr>
        <w:t xml:space="preserve"> y al menos</w:t>
      </w:r>
      <w:r w:rsidR="48E438FA" w:rsidRPr="00B450EB">
        <w:rPr>
          <w:rFonts w:cs="Arial"/>
        </w:rPr>
        <w:t xml:space="preserve"> una fracción de la diversidad registrada en la región amazónica colombiana, donde se han documentado </w:t>
      </w:r>
      <w:r w:rsidR="00CD642F" w:rsidRPr="00B450EB">
        <w:rPr>
          <w:rFonts w:cs="Arial"/>
        </w:rPr>
        <w:t>361</w:t>
      </w:r>
      <w:r w:rsidR="48E438FA" w:rsidRPr="00B450EB">
        <w:rPr>
          <w:rFonts w:cs="Arial"/>
        </w:rPr>
        <w:t xml:space="preserve"> especies de arañas, </w:t>
      </w:r>
      <w:r w:rsidR="00F65893" w:rsidRPr="00B450EB">
        <w:rPr>
          <w:rFonts w:cs="Arial"/>
        </w:rPr>
        <w:t>24</w:t>
      </w:r>
      <w:r w:rsidR="48E438FA" w:rsidRPr="00B450EB">
        <w:rPr>
          <w:rFonts w:cs="Arial"/>
        </w:rPr>
        <w:t xml:space="preserve"> escorpiones, </w:t>
      </w:r>
      <w:r w:rsidR="00F65893" w:rsidRPr="00B450EB">
        <w:rPr>
          <w:rFonts w:cs="Arial"/>
        </w:rPr>
        <w:t>28</w:t>
      </w:r>
      <w:r w:rsidR="48E438FA" w:rsidRPr="00B450EB">
        <w:rPr>
          <w:rFonts w:cs="Arial"/>
        </w:rPr>
        <w:t xml:space="preserve"> opiliones, </w:t>
      </w:r>
      <w:r w:rsidR="00F65893" w:rsidRPr="00B450EB">
        <w:rPr>
          <w:rFonts w:cs="Arial"/>
        </w:rPr>
        <w:t>42</w:t>
      </w:r>
      <w:r w:rsidR="48E438FA" w:rsidRPr="00B450EB">
        <w:rPr>
          <w:rFonts w:cs="Arial"/>
        </w:rPr>
        <w:t xml:space="preserve"> ácaros, tres </w:t>
      </w:r>
      <w:proofErr w:type="spellStart"/>
      <w:r w:rsidR="48E438FA" w:rsidRPr="00B450EB">
        <w:rPr>
          <w:rFonts w:cs="Arial"/>
        </w:rPr>
        <w:t>ricinuleidos</w:t>
      </w:r>
      <w:proofErr w:type="spellEnd"/>
      <w:r w:rsidR="48E438FA" w:rsidRPr="00B450EB">
        <w:rPr>
          <w:rFonts w:cs="Arial"/>
        </w:rPr>
        <w:t xml:space="preserve">, </w:t>
      </w:r>
      <w:r w:rsidR="008B72A7" w:rsidRPr="00B450EB">
        <w:rPr>
          <w:rFonts w:cs="Arial"/>
        </w:rPr>
        <w:t>19</w:t>
      </w:r>
      <w:r w:rsidR="48E438FA" w:rsidRPr="00B450EB">
        <w:rPr>
          <w:rFonts w:cs="Arial"/>
        </w:rPr>
        <w:t xml:space="preserve"> seudoescorpiones</w:t>
      </w:r>
      <w:r w:rsidR="008B72A7" w:rsidRPr="00B450EB">
        <w:rPr>
          <w:rFonts w:cs="Arial"/>
        </w:rPr>
        <w:t>, cinco</w:t>
      </w:r>
      <w:r w:rsidR="48E438FA" w:rsidRPr="00B450EB">
        <w:rPr>
          <w:rFonts w:cs="Arial"/>
        </w:rPr>
        <w:t xml:space="preserve"> </w:t>
      </w:r>
      <w:proofErr w:type="spellStart"/>
      <w:r w:rsidR="48E438FA" w:rsidRPr="00B450EB">
        <w:rPr>
          <w:rFonts w:cs="Arial"/>
        </w:rPr>
        <w:t>esquizómido</w:t>
      </w:r>
      <w:r w:rsidR="008B72A7" w:rsidRPr="00B450EB">
        <w:rPr>
          <w:rFonts w:cs="Arial"/>
        </w:rPr>
        <w:t>s</w:t>
      </w:r>
      <w:proofErr w:type="spellEnd"/>
      <w:r w:rsidR="009A17FC" w:rsidRPr="00B450EB">
        <w:rPr>
          <w:rFonts w:cs="Arial"/>
        </w:rPr>
        <w:t>, ocho</w:t>
      </w:r>
      <w:r w:rsidR="48E438FA" w:rsidRPr="00B450EB">
        <w:rPr>
          <w:rFonts w:cs="Arial"/>
        </w:rPr>
        <w:t xml:space="preserve"> </w:t>
      </w:r>
      <w:proofErr w:type="spellStart"/>
      <w:r w:rsidR="48E438FA" w:rsidRPr="00B450EB">
        <w:rPr>
          <w:rFonts w:cs="Arial"/>
        </w:rPr>
        <w:t>amblipígido</w:t>
      </w:r>
      <w:r w:rsidR="009A17FC" w:rsidRPr="00B450EB">
        <w:rPr>
          <w:rFonts w:cs="Arial"/>
        </w:rPr>
        <w:t>s</w:t>
      </w:r>
      <w:proofErr w:type="spellEnd"/>
      <w:r w:rsidR="48E438FA" w:rsidRPr="00B450EB">
        <w:rPr>
          <w:rFonts w:cs="Arial"/>
        </w:rPr>
        <w:t xml:space="preserve"> y </w:t>
      </w:r>
      <w:r w:rsidR="009A17FC" w:rsidRPr="00B450EB">
        <w:rPr>
          <w:rFonts w:cs="Arial"/>
        </w:rPr>
        <w:t xml:space="preserve">1 </w:t>
      </w:r>
      <w:proofErr w:type="spellStart"/>
      <w:r w:rsidR="009A17FC" w:rsidRPr="00B450EB">
        <w:rPr>
          <w:rFonts w:cs="Arial"/>
        </w:rPr>
        <w:t>uropygido</w:t>
      </w:r>
      <w:proofErr w:type="spellEnd"/>
      <w:r w:rsidR="48E438FA" w:rsidRPr="00B450EB">
        <w:rPr>
          <w:rFonts w:cs="Arial"/>
        </w:rPr>
        <w:t xml:space="preserve">, lo que equivale a </w:t>
      </w:r>
      <w:r w:rsidR="00826B4E" w:rsidRPr="00B450EB">
        <w:rPr>
          <w:rFonts w:cs="Arial"/>
        </w:rPr>
        <w:t>cerca</w:t>
      </w:r>
      <w:r w:rsidR="48E438FA" w:rsidRPr="00B450EB">
        <w:rPr>
          <w:rFonts w:cs="Arial"/>
        </w:rPr>
        <w:t xml:space="preserve"> del </w:t>
      </w:r>
      <w:r w:rsidR="00826B4E" w:rsidRPr="00B450EB">
        <w:rPr>
          <w:rFonts w:cs="Arial"/>
        </w:rPr>
        <w:t>20</w:t>
      </w:r>
      <w:r w:rsidR="48E438FA" w:rsidRPr="00B450EB">
        <w:rPr>
          <w:rFonts w:cs="Arial"/>
        </w:rPr>
        <w:t>% de los arácnidos reportados para Colombia</w:t>
      </w:r>
      <w:r w:rsidR="00656227" w:rsidRPr="00B450EB">
        <w:rPr>
          <w:rFonts w:cs="Arial"/>
        </w:rPr>
        <w:t xml:space="preserve"> (</w:t>
      </w:r>
      <w:r w:rsidR="00656227" w:rsidRPr="00B450EB">
        <w:t>López Miranda, Tovar Márquez y Álvarez García, 2023)</w:t>
      </w:r>
      <w:r w:rsidR="48E438FA" w:rsidRPr="00B450EB">
        <w:rPr>
          <w:rFonts w:cs="Arial"/>
        </w:rPr>
        <w:t>. A escala más amplia, la Amazonía alberga alrededor del 2% de las especies de arácnidos del mundo, con presencia de los 13 órdenes actuales y más de 1</w:t>
      </w:r>
      <w:r w:rsidR="001C0D14" w:rsidRPr="00B450EB">
        <w:rPr>
          <w:rFonts w:cs="Arial"/>
        </w:rPr>
        <w:t>.</w:t>
      </w:r>
      <w:r w:rsidR="48E438FA" w:rsidRPr="00B450EB">
        <w:rPr>
          <w:rFonts w:cs="Arial"/>
        </w:rPr>
        <w:t>592 especies descritas. Entre las especies registradas en el área, destacan aquellas en proceso de descripción como nuevas para la ciencia, lo que resalta la importancia de la zona para el conocimiento y conservación de la biodiversidad regional</w:t>
      </w:r>
      <w:r w:rsidR="00DE5F21" w:rsidRPr="00B450EB">
        <w:rPr>
          <w:rFonts w:cs="Arial"/>
        </w:rPr>
        <w:t xml:space="preserve"> (Luna Sarmiento, 2023)</w:t>
      </w:r>
      <w:r w:rsidR="48E438FA" w:rsidRPr="00B450EB">
        <w:rPr>
          <w:rFonts w:cs="Arial"/>
        </w:rPr>
        <w:t>.</w:t>
      </w:r>
      <w:r w:rsidR="00A80C03" w:rsidRPr="00B450EB">
        <w:rPr>
          <w:rFonts w:cs="Arial"/>
        </w:rPr>
        <w:t xml:space="preserve"> A pesar de lo anterior, muchos de los esfuerzos de muestreo se han concentrado en unas pocas zonas dentro de la Amazonía, </w:t>
      </w:r>
      <w:r w:rsidR="00182E3A" w:rsidRPr="00B450EB">
        <w:rPr>
          <w:rFonts w:cs="Arial"/>
        </w:rPr>
        <w:t xml:space="preserve">lo cual se refleja en la </w:t>
      </w:r>
      <w:r w:rsidR="000E43B0" w:rsidRPr="00B450EB">
        <w:rPr>
          <w:rFonts w:cs="Arial"/>
        </w:rPr>
        <w:t>disparidad</w:t>
      </w:r>
      <w:r w:rsidR="00182E3A" w:rsidRPr="00B450EB">
        <w:rPr>
          <w:rFonts w:cs="Arial"/>
        </w:rPr>
        <w:t xml:space="preserve"> de especies reportadas y reconocidas por zonas dentro de la región, </w:t>
      </w:r>
      <w:r w:rsidR="00182E3A" w:rsidRPr="00B450EB">
        <w:rPr>
          <w:rFonts w:cs="Arial"/>
        </w:rPr>
        <w:lastRenderedPageBreak/>
        <w:t xml:space="preserve">con variaciones </w:t>
      </w:r>
      <w:r w:rsidR="000E43B0" w:rsidRPr="00B450EB">
        <w:rPr>
          <w:rFonts w:cs="Arial"/>
        </w:rPr>
        <w:t>de entre una y 489 especies por unidad de área (</w:t>
      </w:r>
      <w:r w:rsidR="00381485" w:rsidRPr="00B450EB">
        <w:rPr>
          <w:rFonts w:cs="Arial"/>
        </w:rPr>
        <w:fldChar w:fldCharType="begin"/>
      </w:r>
      <w:r w:rsidR="00381485" w:rsidRPr="00B450EB">
        <w:rPr>
          <w:rFonts w:cs="Arial"/>
        </w:rPr>
        <w:instrText xml:space="preserve"> REF _Ref209013759 \h </w:instrText>
      </w:r>
      <w:r w:rsidR="0005212B" w:rsidRPr="00B450EB">
        <w:rPr>
          <w:rFonts w:cs="Arial"/>
        </w:rPr>
        <w:instrText xml:space="preserve"> \* MERGEFORMAT </w:instrText>
      </w:r>
      <w:r w:rsidR="00381485" w:rsidRPr="00B450EB">
        <w:rPr>
          <w:rFonts w:cs="Arial"/>
        </w:rPr>
      </w:r>
      <w:r w:rsidR="00381485" w:rsidRPr="00B450EB">
        <w:rPr>
          <w:rFonts w:cs="Arial"/>
        </w:rPr>
        <w:fldChar w:fldCharType="separate"/>
      </w:r>
      <w:r w:rsidR="00010D09" w:rsidRPr="00B450EB">
        <w:t>Figura</w:t>
      </w:r>
      <w:r w:rsidR="00381485" w:rsidRPr="00B450EB">
        <w:rPr>
          <w:rFonts w:cs="Arial"/>
        </w:rPr>
        <w:fldChar w:fldCharType="end"/>
      </w:r>
      <w:r w:rsidR="00F33407" w:rsidRPr="00B450EB">
        <w:rPr>
          <w:rFonts w:cs="Arial"/>
        </w:rPr>
        <w:t xml:space="preserve"> ). </w:t>
      </w:r>
      <w:r w:rsidR="00062821" w:rsidRPr="00B450EB">
        <w:rPr>
          <w:rFonts w:cs="Arial"/>
        </w:rPr>
        <w:t xml:space="preserve">En todas estas áreas, la presencia de arácnidos </w:t>
      </w:r>
      <w:r w:rsidR="00064C67" w:rsidRPr="00B450EB">
        <w:rPr>
          <w:rFonts w:cs="Arial"/>
        </w:rPr>
        <w:t xml:space="preserve">es fundamental, ya que </w:t>
      </w:r>
      <w:r w:rsidR="00062821" w:rsidRPr="00B450EB">
        <w:rPr>
          <w:rFonts w:cs="Arial"/>
        </w:rPr>
        <w:t xml:space="preserve">actúan como </w:t>
      </w:r>
      <w:r w:rsidR="00062821" w:rsidRPr="00B450EB">
        <w:rPr>
          <w:rFonts w:cs="Arial"/>
          <w:b/>
        </w:rPr>
        <w:t xml:space="preserve">controladores naturales de poblaciones </w:t>
      </w:r>
      <w:r w:rsidR="00064C67" w:rsidRPr="00B450EB">
        <w:rPr>
          <w:rFonts w:cs="Arial"/>
          <w:b/>
        </w:rPr>
        <w:t>de</w:t>
      </w:r>
      <w:r w:rsidR="00062821" w:rsidRPr="00B450EB">
        <w:rPr>
          <w:rFonts w:cs="Arial"/>
          <w:b/>
        </w:rPr>
        <w:t xml:space="preserve"> insectos</w:t>
      </w:r>
      <w:r w:rsidR="00062821" w:rsidRPr="00B450EB">
        <w:rPr>
          <w:rFonts w:cs="Arial"/>
        </w:rPr>
        <w:t xml:space="preserve">, contribuyendo así a la regulación de especies que pueden ser </w:t>
      </w:r>
      <w:r w:rsidR="00062821" w:rsidRPr="00B450EB">
        <w:rPr>
          <w:rFonts w:cs="Arial"/>
          <w:b/>
        </w:rPr>
        <w:t>plagas o vectores de enfermedades como el dengue y la malaria.</w:t>
      </w:r>
      <w:r w:rsidR="00F33407" w:rsidRPr="00B450EB">
        <w:rPr>
          <w:rFonts w:cs="Arial"/>
        </w:rPr>
        <w:t xml:space="preserve"> </w:t>
      </w:r>
    </w:p>
    <w:p w14:paraId="54576A99" w14:textId="77777777" w:rsidR="008F28E9" w:rsidRPr="00B450EB" w:rsidRDefault="008F28E9" w:rsidP="008F28E9">
      <w:pPr>
        <w:spacing w:after="0" w:line="240" w:lineRule="auto"/>
        <w:rPr>
          <w:rFonts w:cs="Arial"/>
        </w:rPr>
      </w:pPr>
    </w:p>
    <w:p w14:paraId="4A2765CD" w14:textId="18A1DCF2" w:rsidR="006043D7" w:rsidRPr="00B450EB" w:rsidRDefault="006043D7" w:rsidP="00377AD7">
      <w:pPr>
        <w:pStyle w:val="Descripcin"/>
        <w:rPr>
          <w:color w:val="auto"/>
        </w:rPr>
      </w:pPr>
      <w:bookmarkStart w:id="91" w:name="_Ref209013759"/>
      <w:bookmarkStart w:id="92" w:name="_Toc209462740"/>
      <w:r w:rsidRPr="00B450EB">
        <w:rPr>
          <w:color w:val="auto"/>
        </w:rPr>
        <w:t>Figura</w:t>
      </w:r>
      <w:bookmarkEnd w:id="91"/>
      <w:r w:rsidRPr="00B450EB">
        <w:rPr>
          <w:color w:val="auto"/>
        </w:rPr>
        <w:t xml:space="preserve">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52</w:t>
      </w:r>
      <w:r w:rsidRPr="00B450EB">
        <w:rPr>
          <w:color w:val="auto"/>
        </w:rPr>
        <w:fldChar w:fldCharType="end"/>
      </w:r>
      <w:r w:rsidR="009D7DB4" w:rsidRPr="00B450EB">
        <w:rPr>
          <w:color w:val="auto"/>
        </w:rPr>
        <w:t xml:space="preserve"> Patrón espacial de riqueza de artrópodos en el bioma amazónico</w:t>
      </w:r>
      <w:bookmarkEnd w:id="92"/>
    </w:p>
    <w:p w14:paraId="3A24859F" w14:textId="412789F0" w:rsidR="00997A8C" w:rsidRPr="00B450EB" w:rsidRDefault="00997A8C" w:rsidP="00C7465A">
      <w:pPr>
        <w:spacing w:after="0"/>
        <w:jc w:val="center"/>
        <w:rPr>
          <w:rFonts w:cs="Arial"/>
        </w:rPr>
      </w:pPr>
      <w:r w:rsidRPr="00B450EB">
        <w:rPr>
          <w:rFonts w:cs="Arial"/>
          <w:noProof/>
        </w:rPr>
        <w:drawing>
          <wp:inline distT="0" distB="0" distL="0" distR="0" wp14:anchorId="24E3865E" wp14:editId="0065E2B8">
            <wp:extent cx="4937760" cy="3815340"/>
            <wp:effectExtent l="0" t="0" r="0" b="0"/>
            <wp:docPr id="1505136815" name="Imagen 10"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136815" name="Imagen 10" descr="Mapa&#10;&#10;El contenido generado por IA puede ser incorrecto."/>
                    <pic:cNvPicPr/>
                  </pic:nvPicPr>
                  <pic:blipFill>
                    <a:blip r:embed="rId96" cstate="email">
                      <a:extLst>
                        <a:ext uri="{28A0092B-C50C-407E-A947-70E740481C1C}">
                          <a14:useLocalDpi xmlns:a14="http://schemas.microsoft.com/office/drawing/2010/main"/>
                        </a:ext>
                      </a:extLst>
                    </a:blip>
                    <a:stretch>
                      <a:fillRect/>
                    </a:stretch>
                  </pic:blipFill>
                  <pic:spPr>
                    <a:xfrm>
                      <a:off x="0" y="0"/>
                      <a:ext cx="4966309" cy="3837400"/>
                    </a:xfrm>
                    <a:prstGeom prst="rect">
                      <a:avLst/>
                    </a:prstGeom>
                  </pic:spPr>
                </pic:pic>
              </a:graphicData>
            </a:graphic>
          </wp:inline>
        </w:drawing>
      </w:r>
    </w:p>
    <w:p w14:paraId="7ECE2DF3" w14:textId="75E116E4" w:rsidR="009D7DB4" w:rsidRPr="00B450EB" w:rsidRDefault="009D7DB4" w:rsidP="004B2BF2">
      <w:pPr>
        <w:jc w:val="center"/>
        <w:rPr>
          <w:sz w:val="18"/>
          <w:szCs w:val="18"/>
        </w:rPr>
      </w:pPr>
      <w:r w:rsidRPr="00B450EB">
        <w:rPr>
          <w:sz w:val="18"/>
          <w:szCs w:val="18"/>
        </w:rPr>
        <w:t>Fuente: Elaboración propia partir de los registros de GBIF</w:t>
      </w:r>
      <w:r w:rsidR="005B0838" w:rsidRPr="00B450EB">
        <w:rPr>
          <w:sz w:val="18"/>
          <w:szCs w:val="18"/>
        </w:rPr>
        <w:t>, 2025</w:t>
      </w:r>
      <w:r w:rsidRPr="00B450EB">
        <w:rPr>
          <w:sz w:val="18"/>
          <w:szCs w:val="18"/>
        </w:rPr>
        <w:t>.</w:t>
      </w:r>
    </w:p>
    <w:p w14:paraId="23E0B5C2" w14:textId="77777777" w:rsidR="00A341D9" w:rsidRPr="00B450EB" w:rsidRDefault="00D47CA3" w:rsidP="00875012">
      <w:pPr>
        <w:rPr>
          <w:rFonts w:cs="Arial"/>
        </w:rPr>
      </w:pPr>
      <w:r w:rsidRPr="00B450EB">
        <w:rPr>
          <w:rFonts w:cs="Arial"/>
        </w:rPr>
        <w:t xml:space="preserve">La </w:t>
      </w:r>
      <w:proofErr w:type="spellStart"/>
      <w:r w:rsidRPr="00B450EB">
        <w:rPr>
          <w:rFonts w:cs="Arial"/>
        </w:rPr>
        <w:t>entomofauna</w:t>
      </w:r>
      <w:proofErr w:type="spellEnd"/>
      <w:r w:rsidRPr="00B450EB">
        <w:rPr>
          <w:rFonts w:cs="Arial"/>
        </w:rPr>
        <w:t xml:space="preserve"> de la Amazonia se caracteriza por una extraordinaria riqueza en todos los estratos verticales del bosque, y se prevé que los patrones de distribución a gran escala espacial no sean homogéneos en toda la región (Lucky et al., 2002; Erwin et al., 2005). Los insectos amazónicos presentan tanto una elevada diversidad de especies como altas densidades poblacionales, particularmente aquellos asociados al dosel (</w:t>
      </w:r>
      <w:proofErr w:type="spellStart"/>
      <w:r w:rsidRPr="00B450EB">
        <w:rPr>
          <w:rFonts w:cs="Arial"/>
        </w:rPr>
        <w:t>Adis</w:t>
      </w:r>
      <w:proofErr w:type="spellEnd"/>
      <w:r w:rsidRPr="00B450EB">
        <w:rPr>
          <w:rFonts w:cs="Arial"/>
        </w:rPr>
        <w:t xml:space="preserve"> et al., 1998; Erwin, 1998).</w:t>
      </w:r>
      <w:r w:rsidR="00E94809" w:rsidRPr="00B450EB">
        <w:rPr>
          <w:rFonts w:cs="Arial"/>
        </w:rPr>
        <w:t xml:space="preserve"> </w:t>
      </w:r>
    </w:p>
    <w:p w14:paraId="4ABC08F7" w14:textId="274F65CC" w:rsidR="00875012" w:rsidRPr="00B450EB" w:rsidRDefault="008027E8" w:rsidP="00875012">
      <w:pPr>
        <w:rPr>
          <w:rFonts w:cs="Arial"/>
        </w:rPr>
      </w:pPr>
      <w:r w:rsidRPr="00B450EB">
        <w:rPr>
          <w:rFonts w:cs="Arial"/>
        </w:rPr>
        <w:t>De l</w:t>
      </w:r>
      <w:r w:rsidR="002543D2" w:rsidRPr="00B450EB">
        <w:rPr>
          <w:rFonts w:cs="Arial"/>
        </w:rPr>
        <w:t>a</w:t>
      </w:r>
      <w:r w:rsidRPr="00B450EB">
        <w:rPr>
          <w:rFonts w:cs="Arial"/>
        </w:rPr>
        <w:t xml:space="preserve">s </w:t>
      </w:r>
      <w:r w:rsidR="00875012" w:rsidRPr="00B450EB">
        <w:rPr>
          <w:rFonts w:cs="Arial"/>
        </w:rPr>
        <w:t>5</w:t>
      </w:r>
      <w:r w:rsidRPr="00B450EB">
        <w:rPr>
          <w:rFonts w:cs="Arial"/>
        </w:rPr>
        <w:t>.</w:t>
      </w:r>
      <w:r w:rsidR="00875012" w:rsidRPr="00B450EB">
        <w:rPr>
          <w:rFonts w:cs="Arial"/>
        </w:rPr>
        <w:t xml:space="preserve">594 </w:t>
      </w:r>
      <w:r w:rsidR="002543D2" w:rsidRPr="00B450EB">
        <w:rPr>
          <w:rFonts w:cs="Arial"/>
        </w:rPr>
        <w:t xml:space="preserve">especies </w:t>
      </w:r>
      <w:r w:rsidRPr="00B450EB">
        <w:rPr>
          <w:rFonts w:cs="Arial"/>
        </w:rPr>
        <w:t>registr</w:t>
      </w:r>
      <w:r w:rsidR="002543D2" w:rsidRPr="00B450EB">
        <w:rPr>
          <w:rFonts w:cs="Arial"/>
        </w:rPr>
        <w:t>ada</w:t>
      </w:r>
      <w:r w:rsidR="00875012" w:rsidRPr="00B450EB">
        <w:rPr>
          <w:rFonts w:cs="Arial"/>
        </w:rPr>
        <w:t>s</w:t>
      </w:r>
      <w:r w:rsidRPr="00B450EB">
        <w:rPr>
          <w:rFonts w:cs="Arial"/>
        </w:rPr>
        <w:t xml:space="preserve">, los </w:t>
      </w:r>
      <w:proofErr w:type="spellStart"/>
      <w:r w:rsidRPr="00B450EB">
        <w:rPr>
          <w:rFonts w:cs="Arial"/>
          <w:b/>
        </w:rPr>
        <w:t>Lepidopteros</w:t>
      </w:r>
      <w:proofErr w:type="spellEnd"/>
      <w:r w:rsidRPr="00B450EB">
        <w:rPr>
          <w:rFonts w:cs="Arial"/>
        </w:rPr>
        <w:t xml:space="preserve"> cuentan con </w:t>
      </w:r>
      <w:r w:rsidRPr="00B450EB">
        <w:rPr>
          <w:rFonts w:cs="Arial"/>
          <w:b/>
        </w:rPr>
        <w:t>1.903 especies</w:t>
      </w:r>
      <w:r w:rsidRPr="00B450EB">
        <w:rPr>
          <w:rFonts w:cs="Arial"/>
        </w:rPr>
        <w:t xml:space="preserve">, seguidos por </w:t>
      </w:r>
      <w:proofErr w:type="spellStart"/>
      <w:r w:rsidRPr="00B450EB">
        <w:rPr>
          <w:rFonts w:cs="Arial"/>
          <w:b/>
        </w:rPr>
        <w:t>Coleopteros</w:t>
      </w:r>
      <w:proofErr w:type="spellEnd"/>
      <w:r w:rsidRPr="00B450EB">
        <w:rPr>
          <w:rFonts w:cs="Arial"/>
          <w:b/>
        </w:rPr>
        <w:t xml:space="preserve"> </w:t>
      </w:r>
      <w:r w:rsidRPr="00B450EB">
        <w:rPr>
          <w:rFonts w:cs="Arial"/>
        </w:rPr>
        <w:t>e</w:t>
      </w:r>
      <w:r w:rsidRPr="00B450EB">
        <w:rPr>
          <w:rFonts w:cs="Arial"/>
          <w:b/>
        </w:rPr>
        <w:t xml:space="preserve"> </w:t>
      </w:r>
      <w:proofErr w:type="spellStart"/>
      <w:r w:rsidRPr="00B450EB">
        <w:rPr>
          <w:rFonts w:cs="Arial"/>
          <w:b/>
        </w:rPr>
        <w:t>Hymenopteros</w:t>
      </w:r>
      <w:proofErr w:type="spellEnd"/>
      <w:r w:rsidRPr="00B450EB">
        <w:rPr>
          <w:rFonts w:cs="Arial"/>
          <w:b/>
        </w:rPr>
        <w:t xml:space="preserve"> </w:t>
      </w:r>
      <w:r w:rsidRPr="00B450EB">
        <w:rPr>
          <w:rFonts w:cs="Arial"/>
        </w:rPr>
        <w:t>con</w:t>
      </w:r>
      <w:r w:rsidRPr="00B450EB">
        <w:rPr>
          <w:rFonts w:cs="Arial"/>
          <w:b/>
        </w:rPr>
        <w:t xml:space="preserve"> </w:t>
      </w:r>
      <w:r w:rsidR="00027756" w:rsidRPr="00B450EB">
        <w:rPr>
          <w:rFonts w:cs="Arial"/>
        </w:rPr>
        <w:t>más de</w:t>
      </w:r>
      <w:r w:rsidR="00027756" w:rsidRPr="00B450EB">
        <w:rPr>
          <w:rFonts w:cs="Arial"/>
          <w:b/>
        </w:rPr>
        <w:t xml:space="preserve"> 95</w:t>
      </w:r>
      <w:r w:rsidR="00F3711A" w:rsidRPr="00B450EB">
        <w:rPr>
          <w:rFonts w:cs="Arial"/>
          <w:b/>
        </w:rPr>
        <w:t>0</w:t>
      </w:r>
      <w:r w:rsidR="00027756" w:rsidRPr="00B450EB">
        <w:rPr>
          <w:rFonts w:cs="Arial"/>
          <w:b/>
        </w:rPr>
        <w:t xml:space="preserve"> especies</w:t>
      </w:r>
      <w:r w:rsidR="00027756" w:rsidRPr="00B450EB">
        <w:rPr>
          <w:rFonts w:cs="Arial"/>
        </w:rPr>
        <w:t xml:space="preserve"> cada uno, </w:t>
      </w:r>
      <w:proofErr w:type="spellStart"/>
      <w:r w:rsidR="00027756" w:rsidRPr="00B450EB">
        <w:rPr>
          <w:rFonts w:cs="Arial"/>
        </w:rPr>
        <w:t>Hemiptera</w:t>
      </w:r>
      <w:proofErr w:type="spellEnd"/>
      <w:r w:rsidR="00027756" w:rsidRPr="00B450EB">
        <w:rPr>
          <w:rFonts w:cs="Arial"/>
        </w:rPr>
        <w:t xml:space="preserve"> y </w:t>
      </w:r>
      <w:proofErr w:type="spellStart"/>
      <w:r w:rsidR="00027756" w:rsidRPr="00B450EB">
        <w:rPr>
          <w:rFonts w:cs="Arial"/>
        </w:rPr>
        <w:t>Diptera</w:t>
      </w:r>
      <w:proofErr w:type="spellEnd"/>
      <w:r w:rsidR="00027756" w:rsidRPr="00B450EB">
        <w:rPr>
          <w:rFonts w:cs="Arial"/>
        </w:rPr>
        <w:t xml:space="preserve"> con más de 500 especies reportadas</w:t>
      </w:r>
      <w:r w:rsidR="00E10ED8" w:rsidRPr="00B450EB">
        <w:rPr>
          <w:rFonts w:cs="Arial"/>
        </w:rPr>
        <w:t xml:space="preserve">, </w:t>
      </w:r>
      <w:proofErr w:type="spellStart"/>
      <w:r w:rsidR="00E10ED8" w:rsidRPr="00B450EB">
        <w:rPr>
          <w:rFonts w:cs="Arial"/>
        </w:rPr>
        <w:t>Bl</w:t>
      </w:r>
      <w:r w:rsidR="000E4EC7" w:rsidRPr="00B450EB">
        <w:rPr>
          <w:rFonts w:cs="Arial"/>
        </w:rPr>
        <w:t>a</w:t>
      </w:r>
      <w:r w:rsidR="00E10ED8" w:rsidRPr="00B450EB">
        <w:rPr>
          <w:rFonts w:cs="Arial"/>
        </w:rPr>
        <w:t>ttode</w:t>
      </w:r>
      <w:r w:rsidR="000E4EC7" w:rsidRPr="00B450EB">
        <w:rPr>
          <w:rFonts w:cs="Arial"/>
        </w:rPr>
        <w:t>a</w:t>
      </w:r>
      <w:proofErr w:type="spellEnd"/>
      <w:r w:rsidR="00E10ED8" w:rsidRPr="00B450EB">
        <w:rPr>
          <w:rFonts w:cs="Arial"/>
        </w:rPr>
        <w:t xml:space="preserve"> y </w:t>
      </w:r>
      <w:proofErr w:type="spellStart"/>
      <w:r w:rsidR="00E10ED8" w:rsidRPr="00B450EB">
        <w:rPr>
          <w:rFonts w:cs="Arial"/>
        </w:rPr>
        <w:t>Odonotada</w:t>
      </w:r>
      <w:proofErr w:type="spellEnd"/>
      <w:r w:rsidR="00E10ED8" w:rsidRPr="00B450EB">
        <w:rPr>
          <w:rFonts w:cs="Arial"/>
        </w:rPr>
        <w:t xml:space="preserve"> con alrededor de 200 especies y </w:t>
      </w:r>
      <w:r w:rsidR="00855A84" w:rsidRPr="00B450EB">
        <w:rPr>
          <w:rFonts w:cs="Arial"/>
        </w:rPr>
        <w:t xml:space="preserve">menos de 100 </w:t>
      </w:r>
      <w:proofErr w:type="spellStart"/>
      <w:r w:rsidR="008E310A" w:rsidRPr="00B450EB">
        <w:rPr>
          <w:rFonts w:cs="Arial"/>
        </w:rPr>
        <w:t>espcies</w:t>
      </w:r>
      <w:proofErr w:type="spellEnd"/>
      <w:r w:rsidR="008E310A" w:rsidRPr="00B450EB">
        <w:rPr>
          <w:rFonts w:cs="Arial"/>
        </w:rPr>
        <w:t xml:space="preserve"> </w:t>
      </w:r>
      <w:r w:rsidR="00855A84" w:rsidRPr="00B450EB">
        <w:rPr>
          <w:rFonts w:cs="Arial"/>
        </w:rPr>
        <w:t>registr</w:t>
      </w:r>
      <w:r w:rsidR="008E310A" w:rsidRPr="00B450EB">
        <w:rPr>
          <w:rFonts w:cs="Arial"/>
        </w:rPr>
        <w:t>ada</w:t>
      </w:r>
      <w:r w:rsidR="00855A84" w:rsidRPr="00B450EB">
        <w:rPr>
          <w:rFonts w:cs="Arial"/>
        </w:rPr>
        <w:t xml:space="preserve">s de otros ordenes como </w:t>
      </w:r>
      <w:proofErr w:type="spellStart"/>
      <w:r w:rsidR="00855A84" w:rsidRPr="00B450EB">
        <w:rPr>
          <w:rFonts w:cs="Arial"/>
        </w:rPr>
        <w:t>Dermaptera</w:t>
      </w:r>
      <w:proofErr w:type="spellEnd"/>
      <w:r w:rsidR="00855A84" w:rsidRPr="00B450EB">
        <w:rPr>
          <w:rFonts w:cs="Arial"/>
        </w:rPr>
        <w:t xml:space="preserve">, </w:t>
      </w:r>
      <w:proofErr w:type="spellStart"/>
      <w:r w:rsidR="00855A84" w:rsidRPr="00B450EB">
        <w:rPr>
          <w:rFonts w:cs="Arial"/>
        </w:rPr>
        <w:t>Ephemeroptera</w:t>
      </w:r>
      <w:proofErr w:type="spellEnd"/>
      <w:r w:rsidR="00855A84" w:rsidRPr="00B450EB">
        <w:rPr>
          <w:rFonts w:cs="Arial"/>
        </w:rPr>
        <w:t xml:space="preserve">, </w:t>
      </w:r>
      <w:proofErr w:type="spellStart"/>
      <w:r w:rsidR="00855A84" w:rsidRPr="00B450EB">
        <w:rPr>
          <w:rFonts w:cs="Arial"/>
        </w:rPr>
        <w:t>Mantodea</w:t>
      </w:r>
      <w:proofErr w:type="spellEnd"/>
      <w:r w:rsidR="00855A84" w:rsidRPr="00B450EB">
        <w:rPr>
          <w:rFonts w:cs="Arial"/>
        </w:rPr>
        <w:t xml:space="preserve">, </w:t>
      </w:r>
      <w:proofErr w:type="spellStart"/>
      <w:r w:rsidR="00855A84" w:rsidRPr="00B450EB">
        <w:rPr>
          <w:rFonts w:cs="Arial"/>
        </w:rPr>
        <w:t>Mecoptera</w:t>
      </w:r>
      <w:proofErr w:type="spellEnd"/>
      <w:r w:rsidR="00855A84" w:rsidRPr="00B450EB">
        <w:rPr>
          <w:rFonts w:cs="Arial"/>
        </w:rPr>
        <w:t xml:space="preserve">, </w:t>
      </w:r>
      <w:proofErr w:type="spellStart"/>
      <w:r w:rsidR="00855A84" w:rsidRPr="00B450EB">
        <w:rPr>
          <w:rFonts w:cs="Arial"/>
        </w:rPr>
        <w:t>Megaloptera</w:t>
      </w:r>
      <w:proofErr w:type="spellEnd"/>
      <w:r w:rsidR="00855A84" w:rsidRPr="00B450EB">
        <w:rPr>
          <w:rFonts w:cs="Arial"/>
        </w:rPr>
        <w:t xml:space="preserve">, </w:t>
      </w:r>
      <w:proofErr w:type="spellStart"/>
      <w:r w:rsidR="00855A84" w:rsidRPr="00B450EB">
        <w:rPr>
          <w:rFonts w:cs="Arial"/>
        </w:rPr>
        <w:lastRenderedPageBreak/>
        <w:t>Neuroptera</w:t>
      </w:r>
      <w:proofErr w:type="spellEnd"/>
      <w:r w:rsidR="00855A84" w:rsidRPr="00B450EB">
        <w:rPr>
          <w:rFonts w:cs="Arial"/>
        </w:rPr>
        <w:t xml:space="preserve">, </w:t>
      </w:r>
      <w:proofErr w:type="spellStart"/>
      <w:r w:rsidR="00855A84" w:rsidRPr="00B450EB">
        <w:rPr>
          <w:rFonts w:cs="Arial"/>
        </w:rPr>
        <w:t>Orthoptera</w:t>
      </w:r>
      <w:proofErr w:type="spellEnd"/>
      <w:r w:rsidR="00855A84" w:rsidRPr="00B450EB">
        <w:rPr>
          <w:rFonts w:cs="Arial"/>
        </w:rPr>
        <w:t xml:space="preserve">, </w:t>
      </w:r>
      <w:proofErr w:type="spellStart"/>
      <w:r w:rsidR="00855A84" w:rsidRPr="00B450EB">
        <w:rPr>
          <w:rFonts w:cs="Arial"/>
        </w:rPr>
        <w:t>Phasmida</w:t>
      </w:r>
      <w:proofErr w:type="spellEnd"/>
      <w:r w:rsidR="00855A84" w:rsidRPr="00B450EB">
        <w:rPr>
          <w:rFonts w:cs="Arial"/>
        </w:rPr>
        <w:t xml:space="preserve">, </w:t>
      </w:r>
      <w:proofErr w:type="spellStart"/>
      <w:r w:rsidR="00855A84" w:rsidRPr="00B450EB">
        <w:rPr>
          <w:rFonts w:cs="Arial"/>
        </w:rPr>
        <w:t>Plecoptera</w:t>
      </w:r>
      <w:proofErr w:type="spellEnd"/>
      <w:r w:rsidR="00855A84" w:rsidRPr="00B450EB">
        <w:rPr>
          <w:rFonts w:cs="Arial"/>
        </w:rPr>
        <w:t xml:space="preserve">, </w:t>
      </w:r>
      <w:proofErr w:type="spellStart"/>
      <w:r w:rsidR="00855A84" w:rsidRPr="00B450EB">
        <w:rPr>
          <w:rFonts w:cs="Arial"/>
        </w:rPr>
        <w:t>Psocodea</w:t>
      </w:r>
      <w:proofErr w:type="spellEnd"/>
      <w:r w:rsidR="00855A84" w:rsidRPr="00B450EB">
        <w:rPr>
          <w:rFonts w:cs="Arial"/>
        </w:rPr>
        <w:t xml:space="preserve">, </w:t>
      </w:r>
      <w:proofErr w:type="spellStart"/>
      <w:r w:rsidR="00855A84" w:rsidRPr="00B450EB">
        <w:rPr>
          <w:rFonts w:cs="Arial"/>
        </w:rPr>
        <w:t>Siphonaptera</w:t>
      </w:r>
      <w:proofErr w:type="spellEnd"/>
      <w:r w:rsidR="00855A84" w:rsidRPr="00B450EB">
        <w:rPr>
          <w:rFonts w:cs="Arial"/>
        </w:rPr>
        <w:t xml:space="preserve"> y </w:t>
      </w:r>
      <w:proofErr w:type="spellStart"/>
      <w:r w:rsidR="00855A84" w:rsidRPr="00B450EB">
        <w:rPr>
          <w:rFonts w:cs="Arial"/>
        </w:rPr>
        <w:t>Trichoptera</w:t>
      </w:r>
      <w:proofErr w:type="spellEnd"/>
      <w:r w:rsidR="00855A84" w:rsidRPr="00B450EB">
        <w:rPr>
          <w:rFonts w:cs="Arial"/>
        </w:rPr>
        <w:t>.</w:t>
      </w:r>
    </w:p>
    <w:p w14:paraId="61BB2DA0" w14:textId="4FB102FF" w:rsidR="1C498344" w:rsidRPr="00B450EB" w:rsidRDefault="48E438FA" w:rsidP="001843EA">
      <w:pPr>
        <w:rPr>
          <w:rFonts w:eastAsiaTheme="minorEastAsia" w:cs="Arial"/>
        </w:rPr>
      </w:pPr>
      <w:r w:rsidRPr="00B450EB">
        <w:rPr>
          <w:rFonts w:cs="Arial"/>
        </w:rPr>
        <w:t xml:space="preserve">En cuanto a lepidópteros, </w:t>
      </w:r>
      <w:r w:rsidR="00D45FCD" w:rsidRPr="00B450EB">
        <w:rPr>
          <w:rFonts w:eastAsiaTheme="minorEastAsia" w:cs="Arial"/>
        </w:rPr>
        <w:t xml:space="preserve">los géneros </w:t>
      </w:r>
      <w:proofErr w:type="spellStart"/>
      <w:r w:rsidR="00D45FCD" w:rsidRPr="00B450EB">
        <w:rPr>
          <w:rFonts w:eastAsiaTheme="minorEastAsia" w:cs="Arial"/>
          <w:i/>
        </w:rPr>
        <w:t>Automeris</w:t>
      </w:r>
      <w:proofErr w:type="spellEnd"/>
      <w:r w:rsidR="00D45FCD" w:rsidRPr="00B450EB">
        <w:rPr>
          <w:rFonts w:eastAsiaTheme="minorEastAsia" w:cs="Arial"/>
          <w:i/>
        </w:rPr>
        <w:t xml:space="preserve">, </w:t>
      </w:r>
      <w:proofErr w:type="spellStart"/>
      <w:r w:rsidR="00D45FCD" w:rsidRPr="00B450EB">
        <w:rPr>
          <w:rFonts w:eastAsiaTheme="minorEastAsia" w:cs="Arial"/>
          <w:i/>
        </w:rPr>
        <w:t>Rothschildia</w:t>
      </w:r>
      <w:proofErr w:type="spellEnd"/>
      <w:r w:rsidR="00D45FCD" w:rsidRPr="00B450EB">
        <w:rPr>
          <w:rFonts w:eastAsiaTheme="minorEastAsia" w:cs="Arial"/>
          <w:i/>
        </w:rPr>
        <w:t xml:space="preserve">, </w:t>
      </w:r>
      <w:proofErr w:type="spellStart"/>
      <w:r w:rsidR="00D45FCD" w:rsidRPr="00B450EB">
        <w:rPr>
          <w:rFonts w:eastAsiaTheme="minorEastAsia" w:cs="Arial"/>
          <w:i/>
        </w:rPr>
        <w:t>Hylesia</w:t>
      </w:r>
      <w:proofErr w:type="spellEnd"/>
      <w:r w:rsidR="00D45FCD" w:rsidRPr="00B450EB">
        <w:rPr>
          <w:rFonts w:eastAsiaTheme="minorEastAsia" w:cs="Arial"/>
          <w:i/>
        </w:rPr>
        <w:t xml:space="preserve">, </w:t>
      </w:r>
      <w:proofErr w:type="spellStart"/>
      <w:r w:rsidR="00D45FCD" w:rsidRPr="00B450EB">
        <w:rPr>
          <w:rFonts w:eastAsiaTheme="minorEastAsia" w:cs="Arial"/>
          <w:i/>
        </w:rPr>
        <w:t>Lonomia</w:t>
      </w:r>
      <w:proofErr w:type="spellEnd"/>
      <w:r w:rsidR="00D45FCD" w:rsidRPr="00B450EB">
        <w:rPr>
          <w:rFonts w:eastAsiaTheme="minorEastAsia" w:cs="Arial"/>
          <w:i/>
        </w:rPr>
        <w:t xml:space="preserve"> </w:t>
      </w:r>
      <w:r w:rsidR="00D45FCD" w:rsidRPr="00B450EB">
        <w:rPr>
          <w:rFonts w:eastAsiaTheme="minorEastAsia" w:cs="Arial"/>
        </w:rPr>
        <w:t>y</w:t>
      </w:r>
      <w:r w:rsidR="00D45FCD" w:rsidRPr="00B450EB">
        <w:rPr>
          <w:rFonts w:eastAsiaTheme="minorEastAsia" w:cs="Arial"/>
          <w:i/>
        </w:rPr>
        <w:t xml:space="preserve"> </w:t>
      </w:r>
      <w:proofErr w:type="spellStart"/>
      <w:r w:rsidR="00D45FCD" w:rsidRPr="00B450EB">
        <w:rPr>
          <w:rFonts w:eastAsiaTheme="minorEastAsia" w:cs="Arial"/>
          <w:i/>
        </w:rPr>
        <w:t>Xylophanes</w:t>
      </w:r>
      <w:proofErr w:type="spellEnd"/>
      <w:r w:rsidR="00D45FCD" w:rsidRPr="00B450EB">
        <w:rPr>
          <w:rFonts w:eastAsiaTheme="minorEastAsia" w:cs="Arial"/>
        </w:rPr>
        <w:t xml:space="preserve">, entre otros registrados en la zona, representan un grupo de alta diversidad </w:t>
      </w:r>
      <w:r w:rsidR="00830BDD" w:rsidRPr="00B450EB">
        <w:rPr>
          <w:rFonts w:eastAsiaTheme="minorEastAsia" w:cs="Arial"/>
        </w:rPr>
        <w:t>e</w:t>
      </w:r>
      <w:r w:rsidR="00D45FCD" w:rsidRPr="00B450EB">
        <w:rPr>
          <w:rFonts w:eastAsiaTheme="minorEastAsia" w:cs="Arial"/>
        </w:rPr>
        <w:t xml:space="preserve"> importancia ecológica. Estas especies, tanto en su estadio larval (oruga) como en el adulto, mantienen </w:t>
      </w:r>
      <w:r w:rsidR="00D45FCD" w:rsidRPr="00B450EB">
        <w:rPr>
          <w:rFonts w:eastAsiaTheme="minorEastAsia" w:cs="Arial"/>
          <w:b/>
        </w:rPr>
        <w:t>relaciones estrechas y dependientes con plantas</w:t>
      </w:r>
      <w:r w:rsidR="00D45FCD" w:rsidRPr="00B450EB">
        <w:rPr>
          <w:rFonts w:eastAsiaTheme="minorEastAsia" w:cs="Arial"/>
        </w:rPr>
        <w:t xml:space="preserve">, ya que las orugas consumen hojas específicas que les sirven de alimento y refugio, mientras que los adultos </w:t>
      </w:r>
      <w:r w:rsidR="00CB6C7C" w:rsidRPr="00B450EB">
        <w:rPr>
          <w:rFonts w:eastAsiaTheme="minorEastAsia" w:cs="Arial"/>
        </w:rPr>
        <w:t>actúan</w:t>
      </w:r>
      <w:r w:rsidR="00D45FCD" w:rsidRPr="00B450EB">
        <w:rPr>
          <w:rFonts w:eastAsiaTheme="minorEastAsia" w:cs="Arial"/>
        </w:rPr>
        <w:t xml:space="preserve"> como polinizadores</w:t>
      </w:r>
      <w:r w:rsidR="003053D0" w:rsidRPr="00B450EB">
        <w:rPr>
          <w:rFonts w:eastAsiaTheme="minorEastAsia" w:cs="Arial"/>
        </w:rPr>
        <w:t xml:space="preserve"> (</w:t>
      </w:r>
      <w:r w:rsidR="003053D0" w:rsidRPr="00B450EB">
        <w:t>Ramos-Artunduaga et al., 2021)</w:t>
      </w:r>
      <w:r w:rsidR="00D45FCD" w:rsidRPr="00B450EB">
        <w:rPr>
          <w:rFonts w:eastAsiaTheme="minorEastAsia" w:cs="Arial"/>
        </w:rPr>
        <w:t>.</w:t>
      </w:r>
      <w:r w:rsidR="0016015F" w:rsidRPr="00B450EB">
        <w:rPr>
          <w:rFonts w:eastAsiaTheme="minorEastAsia" w:cs="Arial"/>
        </w:rPr>
        <w:t xml:space="preserve"> Las mariposas </w:t>
      </w:r>
      <w:r w:rsidRPr="00B450EB">
        <w:rPr>
          <w:rFonts w:eastAsiaTheme="minorEastAsia" w:cs="Arial"/>
        </w:rPr>
        <w:t xml:space="preserve">se </w:t>
      </w:r>
      <w:r w:rsidR="0016015F" w:rsidRPr="00B450EB">
        <w:rPr>
          <w:rFonts w:eastAsiaTheme="minorEastAsia" w:cs="Arial"/>
        </w:rPr>
        <w:t>consideran bioindicadores valiosos del estado de conservación de los ecosistemas porque su</w:t>
      </w:r>
      <w:r w:rsidR="001D603E" w:rsidRPr="00B450EB">
        <w:rPr>
          <w:rFonts w:eastAsiaTheme="minorEastAsia" w:cs="Arial"/>
        </w:rPr>
        <w:t xml:space="preserve"> presencia</w:t>
      </w:r>
      <w:r w:rsidR="0016015F" w:rsidRPr="00B450EB">
        <w:rPr>
          <w:rFonts w:eastAsiaTheme="minorEastAsia" w:cs="Arial"/>
        </w:rPr>
        <w:t xml:space="preserve">, riqueza y abundancia reflejan la calidad ambiental y el grado de conservación o alteración de los hábitats, </w:t>
      </w:r>
      <w:r w:rsidR="001D603E" w:rsidRPr="00B450EB">
        <w:rPr>
          <w:rFonts w:eastAsiaTheme="minorEastAsia" w:cs="Arial"/>
        </w:rPr>
        <w:t xml:space="preserve">por lo </w:t>
      </w:r>
      <w:r w:rsidR="0016015F" w:rsidRPr="00B450EB">
        <w:rPr>
          <w:rFonts w:eastAsiaTheme="minorEastAsia" w:cs="Arial"/>
        </w:rPr>
        <w:t>que s</w:t>
      </w:r>
      <w:r w:rsidR="00966AE0" w:rsidRPr="00B450EB">
        <w:rPr>
          <w:rFonts w:eastAsiaTheme="minorEastAsia" w:cs="Arial"/>
        </w:rPr>
        <w:t xml:space="preserve">u riqueza en la </w:t>
      </w:r>
      <w:r w:rsidR="000F3F3F" w:rsidRPr="00B450EB">
        <w:rPr>
          <w:rFonts w:eastAsiaTheme="minorEastAsia" w:cs="Arial"/>
        </w:rPr>
        <w:t>Amazonía</w:t>
      </w:r>
      <w:r w:rsidR="00966AE0" w:rsidRPr="00B450EB">
        <w:rPr>
          <w:rFonts w:eastAsiaTheme="minorEastAsia" w:cs="Arial"/>
        </w:rPr>
        <w:t xml:space="preserve"> colombiana</w:t>
      </w:r>
      <w:r w:rsidR="000F3349" w:rsidRPr="00B450EB">
        <w:rPr>
          <w:rFonts w:eastAsiaTheme="minorEastAsia" w:cs="Arial"/>
        </w:rPr>
        <w:t xml:space="preserve"> da cuenta de las funciones ecológicas que se mantienen con su presencia al formar parte de las cadenas tróficas, sirviendo como alimento para aves, murciélagos y otros insectívoros, </w:t>
      </w:r>
      <w:r w:rsidR="00631F95" w:rsidRPr="00B450EB">
        <w:rPr>
          <w:rFonts w:eastAsiaTheme="minorEastAsia" w:cs="Arial"/>
        </w:rPr>
        <w:t xml:space="preserve">así como </w:t>
      </w:r>
      <w:r w:rsidR="000F3349" w:rsidRPr="00B450EB">
        <w:rPr>
          <w:rFonts w:eastAsiaTheme="minorEastAsia" w:cs="Arial"/>
        </w:rPr>
        <w:t>contribu</w:t>
      </w:r>
      <w:r w:rsidR="00631F95" w:rsidRPr="00B450EB">
        <w:rPr>
          <w:rFonts w:eastAsiaTheme="minorEastAsia" w:cs="Arial"/>
        </w:rPr>
        <w:t>ir</w:t>
      </w:r>
      <w:r w:rsidR="000F3349" w:rsidRPr="00B450EB">
        <w:rPr>
          <w:rFonts w:eastAsiaTheme="minorEastAsia" w:cs="Arial"/>
        </w:rPr>
        <w:t xml:space="preserve"> significativamente a la polinización, facilitando la </w:t>
      </w:r>
      <w:r w:rsidR="000F3349" w:rsidRPr="00B450EB">
        <w:rPr>
          <w:rFonts w:eastAsiaTheme="minorEastAsia" w:cs="Arial"/>
          <w:b/>
        </w:rPr>
        <w:t>reproducción de muchas plantas nativas y cultivadas</w:t>
      </w:r>
      <w:r w:rsidR="00A050AA" w:rsidRPr="00B450EB">
        <w:rPr>
          <w:rFonts w:eastAsiaTheme="minorEastAsia" w:cs="Arial"/>
          <w:b/>
        </w:rPr>
        <w:t xml:space="preserve"> </w:t>
      </w:r>
      <w:r w:rsidR="00A050AA" w:rsidRPr="00B450EB">
        <w:rPr>
          <w:rFonts w:eastAsiaTheme="minorEastAsia" w:cs="Arial"/>
          <w:bCs/>
        </w:rPr>
        <w:t>(</w:t>
      </w:r>
      <w:r w:rsidR="004A0180" w:rsidRPr="00B450EB">
        <w:rPr>
          <w:rFonts w:eastAsiaTheme="minorEastAsia" w:cs="Arial"/>
          <w:bCs/>
        </w:rPr>
        <w:t xml:space="preserve">Fagua et al., 1999; </w:t>
      </w:r>
      <w:r w:rsidR="00A050AA" w:rsidRPr="00B450EB">
        <w:rPr>
          <w:bCs/>
        </w:rPr>
        <w:t>Santos-Heredia</w:t>
      </w:r>
      <w:r w:rsidR="007800C1" w:rsidRPr="00B450EB">
        <w:rPr>
          <w:bCs/>
        </w:rPr>
        <w:t xml:space="preserve"> et al., 2024</w:t>
      </w:r>
      <w:r w:rsidR="007800C1" w:rsidRPr="00B450EB">
        <w:t>)</w:t>
      </w:r>
      <w:r w:rsidR="000F3349" w:rsidRPr="00B450EB">
        <w:rPr>
          <w:rFonts w:eastAsiaTheme="minorEastAsia" w:cs="Arial"/>
        </w:rPr>
        <w:t xml:space="preserve">. </w:t>
      </w:r>
      <w:r w:rsidR="00631F95" w:rsidRPr="00B450EB">
        <w:rPr>
          <w:rFonts w:eastAsiaTheme="minorEastAsia" w:cs="Arial"/>
        </w:rPr>
        <w:t xml:space="preserve">En ciertas zonas del bioma amazónico colombiano </w:t>
      </w:r>
      <w:r w:rsidRPr="00B450EB">
        <w:rPr>
          <w:rFonts w:eastAsiaTheme="minorEastAsia" w:cs="Arial"/>
        </w:rPr>
        <w:t xml:space="preserve">se </w:t>
      </w:r>
      <w:r w:rsidR="00631F95" w:rsidRPr="00B450EB">
        <w:rPr>
          <w:rFonts w:eastAsiaTheme="minorEastAsia" w:cs="Arial"/>
        </w:rPr>
        <w:t>han llegado a registrar hasta</w:t>
      </w:r>
      <w:r w:rsidRPr="00B450EB">
        <w:rPr>
          <w:rFonts w:eastAsiaTheme="minorEastAsia" w:cs="Arial"/>
        </w:rPr>
        <w:t xml:space="preserve"> </w:t>
      </w:r>
      <w:r w:rsidRPr="00B450EB">
        <w:rPr>
          <w:rFonts w:cs="Arial"/>
        </w:rPr>
        <w:t xml:space="preserve">160 especies de mariposas diurnas </w:t>
      </w:r>
      <w:r w:rsidR="00631F2D" w:rsidRPr="00B450EB">
        <w:rPr>
          <w:rFonts w:cs="Arial"/>
        </w:rPr>
        <w:t>simpátricas</w:t>
      </w:r>
      <w:r w:rsidRPr="00B450EB">
        <w:rPr>
          <w:rFonts w:cs="Arial"/>
        </w:rPr>
        <w:t>,</w:t>
      </w:r>
      <w:r w:rsidR="00631F2D" w:rsidRPr="00B450EB">
        <w:rPr>
          <w:rFonts w:cs="Arial"/>
        </w:rPr>
        <w:t xml:space="preserve"> incluyendo a</w:t>
      </w:r>
      <w:r w:rsidRPr="00B450EB">
        <w:rPr>
          <w:rFonts w:cs="Arial"/>
        </w:rPr>
        <w:t xml:space="preserve"> </w:t>
      </w:r>
      <w:r w:rsidRPr="00B450EB">
        <w:rPr>
          <w:rFonts w:eastAsiaTheme="minorEastAsia" w:cs="Arial"/>
          <w:i/>
        </w:rPr>
        <w:t xml:space="preserve">Urania </w:t>
      </w:r>
      <w:proofErr w:type="spellStart"/>
      <w:r w:rsidRPr="00B450EB">
        <w:rPr>
          <w:rFonts w:eastAsiaTheme="minorEastAsia" w:cs="Arial"/>
          <w:i/>
        </w:rPr>
        <w:t>leilus</w:t>
      </w:r>
      <w:proofErr w:type="spellEnd"/>
      <w:r w:rsidRPr="00B450EB">
        <w:rPr>
          <w:rFonts w:eastAsiaTheme="minorEastAsia" w:cs="Arial"/>
        </w:rPr>
        <w:t xml:space="preserve">, una polilla diurna migratoria local en la región amazónica, reconocida por su gran tamaño y notable belleza, considerada de relevancia ecológica y paisajística. </w:t>
      </w:r>
    </w:p>
    <w:p w14:paraId="062F1F85" w14:textId="7B504E1F" w:rsidR="009865B7" w:rsidRPr="00B450EB" w:rsidRDefault="00C67BE9" w:rsidP="00B91EEE">
      <w:pPr>
        <w:rPr>
          <w:rFonts w:cs="Arial"/>
        </w:rPr>
      </w:pPr>
      <w:r w:rsidRPr="00B450EB">
        <w:rPr>
          <w:rFonts w:cs="Arial"/>
        </w:rPr>
        <w:t>E</w:t>
      </w:r>
      <w:r w:rsidR="009865B7" w:rsidRPr="00B450EB">
        <w:rPr>
          <w:rFonts w:cs="Arial"/>
        </w:rPr>
        <w:t xml:space="preserve">ntre los </w:t>
      </w:r>
      <w:r w:rsidRPr="00B450EB">
        <w:rPr>
          <w:rFonts w:cs="Arial"/>
        </w:rPr>
        <w:t>coleópteros registrados en el bioma amazónico colombiano</w:t>
      </w:r>
      <w:r w:rsidR="009865B7" w:rsidRPr="00B450EB">
        <w:rPr>
          <w:rFonts w:cs="Arial"/>
        </w:rPr>
        <w:t xml:space="preserve"> se destacan varias especies de escarabajos rinoceronte como </w:t>
      </w:r>
      <w:proofErr w:type="spellStart"/>
      <w:r w:rsidR="009865B7" w:rsidRPr="00B450EB">
        <w:rPr>
          <w:rFonts w:cs="Arial"/>
          <w:i/>
        </w:rPr>
        <w:t>Megasoma</w:t>
      </w:r>
      <w:proofErr w:type="spellEnd"/>
      <w:r w:rsidR="009865B7" w:rsidRPr="00B450EB">
        <w:rPr>
          <w:rFonts w:cs="Arial"/>
          <w:i/>
        </w:rPr>
        <w:t xml:space="preserve"> </w:t>
      </w:r>
      <w:proofErr w:type="spellStart"/>
      <w:r w:rsidR="009865B7" w:rsidRPr="00B450EB">
        <w:rPr>
          <w:rFonts w:cs="Arial"/>
          <w:i/>
        </w:rPr>
        <w:t>mars</w:t>
      </w:r>
      <w:proofErr w:type="spellEnd"/>
      <w:r w:rsidR="009865B7" w:rsidRPr="00B450EB">
        <w:rPr>
          <w:rFonts w:cs="Arial"/>
          <w:i/>
        </w:rPr>
        <w:t xml:space="preserve"> y </w:t>
      </w:r>
      <w:proofErr w:type="spellStart"/>
      <w:r w:rsidR="009865B7" w:rsidRPr="00B450EB">
        <w:rPr>
          <w:rFonts w:cs="Arial"/>
          <w:i/>
        </w:rPr>
        <w:t>Megasoma</w:t>
      </w:r>
      <w:proofErr w:type="spellEnd"/>
      <w:r w:rsidR="009865B7" w:rsidRPr="00B450EB">
        <w:rPr>
          <w:rFonts w:cs="Arial"/>
          <w:i/>
        </w:rPr>
        <w:t xml:space="preserve"> </w:t>
      </w:r>
      <w:proofErr w:type="spellStart"/>
      <w:r w:rsidR="009865B7" w:rsidRPr="00B450EB">
        <w:rPr>
          <w:rFonts w:cs="Arial"/>
          <w:i/>
        </w:rPr>
        <w:t>actaeon</w:t>
      </w:r>
      <w:proofErr w:type="spellEnd"/>
      <w:r w:rsidR="009865B7" w:rsidRPr="00B450EB">
        <w:rPr>
          <w:rFonts w:cs="Arial"/>
        </w:rPr>
        <w:t>, conocidos por su gran tamaño y relevancia en estudios de biodiversidad y evolución</w:t>
      </w:r>
      <w:r w:rsidR="004E2A81" w:rsidRPr="00B450EB">
        <w:rPr>
          <w:rFonts w:cs="Arial"/>
        </w:rPr>
        <w:t xml:space="preserve">, así como </w:t>
      </w:r>
      <w:r w:rsidR="009865B7" w:rsidRPr="00B450EB">
        <w:rPr>
          <w:rFonts w:cs="Arial"/>
        </w:rPr>
        <w:t>el escarabajo Hércules (</w:t>
      </w:r>
      <w:proofErr w:type="spellStart"/>
      <w:r w:rsidR="009865B7" w:rsidRPr="00B450EB">
        <w:rPr>
          <w:rFonts w:cs="Arial"/>
          <w:i/>
        </w:rPr>
        <w:t>Dynastes</w:t>
      </w:r>
      <w:proofErr w:type="spellEnd"/>
      <w:r w:rsidR="009865B7" w:rsidRPr="00B450EB">
        <w:rPr>
          <w:rFonts w:cs="Arial"/>
          <w:i/>
        </w:rPr>
        <w:t xml:space="preserve"> </w:t>
      </w:r>
      <w:proofErr w:type="spellStart"/>
      <w:r w:rsidR="009865B7" w:rsidRPr="00B450EB">
        <w:rPr>
          <w:rFonts w:cs="Arial"/>
          <w:i/>
        </w:rPr>
        <w:t>hercules</w:t>
      </w:r>
      <w:proofErr w:type="spellEnd"/>
      <w:r w:rsidR="009865B7" w:rsidRPr="00B450EB">
        <w:rPr>
          <w:rFonts w:cs="Arial"/>
        </w:rPr>
        <w:t>), uno de los más grandes del mundo</w:t>
      </w:r>
      <w:r w:rsidR="00033D95" w:rsidRPr="00B450EB">
        <w:rPr>
          <w:rFonts w:cs="Arial"/>
        </w:rPr>
        <w:t xml:space="preserve">. También se ha registrado </w:t>
      </w:r>
      <w:r w:rsidR="009865B7" w:rsidRPr="00B450EB">
        <w:rPr>
          <w:rFonts w:cs="Arial"/>
        </w:rPr>
        <w:t>el escarabajo joya (</w:t>
      </w:r>
      <w:proofErr w:type="spellStart"/>
      <w:r w:rsidR="009865B7" w:rsidRPr="00B450EB">
        <w:rPr>
          <w:rFonts w:cs="Arial"/>
          <w:i/>
        </w:rPr>
        <w:t>Euchroma</w:t>
      </w:r>
      <w:proofErr w:type="spellEnd"/>
      <w:r w:rsidR="009865B7" w:rsidRPr="00B450EB">
        <w:rPr>
          <w:rFonts w:cs="Arial"/>
          <w:i/>
        </w:rPr>
        <w:t xml:space="preserve"> </w:t>
      </w:r>
      <w:proofErr w:type="spellStart"/>
      <w:r w:rsidR="009865B7" w:rsidRPr="00B450EB">
        <w:rPr>
          <w:rFonts w:cs="Arial"/>
          <w:i/>
        </w:rPr>
        <w:t>giganteum</w:t>
      </w:r>
      <w:proofErr w:type="spellEnd"/>
      <w:r w:rsidR="009865B7" w:rsidRPr="00B450EB">
        <w:rPr>
          <w:rFonts w:cs="Arial"/>
        </w:rPr>
        <w:t>), reconocido por su brillo iridiscente</w:t>
      </w:r>
      <w:r w:rsidR="00033D95" w:rsidRPr="00B450EB">
        <w:rPr>
          <w:rFonts w:cs="Arial"/>
        </w:rPr>
        <w:t xml:space="preserve"> y utilizado en</w:t>
      </w:r>
      <w:r w:rsidRPr="00B450EB">
        <w:rPr>
          <w:rFonts w:cs="Arial"/>
        </w:rPr>
        <w:t xml:space="preserve"> estudios</w:t>
      </w:r>
      <w:r w:rsidR="009865B7" w:rsidRPr="00B450EB">
        <w:rPr>
          <w:rFonts w:cs="Arial"/>
        </w:rPr>
        <w:t xml:space="preserve"> de </w:t>
      </w:r>
      <w:r w:rsidRPr="00B450EB">
        <w:rPr>
          <w:rFonts w:cs="Arial"/>
        </w:rPr>
        <w:t>bioluminiscencia y estructura</w:t>
      </w:r>
      <w:r w:rsidR="009865B7" w:rsidRPr="00B450EB">
        <w:rPr>
          <w:rFonts w:cs="Arial"/>
        </w:rPr>
        <w:t xml:space="preserve"> de </w:t>
      </w:r>
      <w:r w:rsidRPr="00B450EB">
        <w:rPr>
          <w:rFonts w:cs="Arial"/>
        </w:rPr>
        <w:t>exoesqueleto.</w:t>
      </w:r>
      <w:r w:rsidR="009865B7" w:rsidRPr="00B450EB">
        <w:rPr>
          <w:rFonts w:cs="Arial"/>
        </w:rPr>
        <w:t xml:space="preserve"> </w:t>
      </w:r>
      <w:r w:rsidR="00862628" w:rsidRPr="00B450EB">
        <w:rPr>
          <w:rFonts w:cs="Arial"/>
        </w:rPr>
        <w:t xml:space="preserve">Así mismo, destaca la presencia de </w:t>
      </w:r>
      <w:r w:rsidR="00DF7276" w:rsidRPr="00B450EB">
        <w:rPr>
          <w:rFonts w:cs="Arial"/>
        </w:rPr>
        <w:t>escarabajos estercoleros (</w:t>
      </w:r>
      <w:r w:rsidR="009865B7" w:rsidRPr="00B450EB">
        <w:rPr>
          <w:rFonts w:cs="Arial"/>
        </w:rPr>
        <w:t xml:space="preserve">géneros </w:t>
      </w:r>
      <w:proofErr w:type="spellStart"/>
      <w:r w:rsidR="009865B7" w:rsidRPr="00B450EB">
        <w:rPr>
          <w:rFonts w:cs="Arial"/>
          <w:i/>
        </w:rPr>
        <w:t>Coprophanaeus</w:t>
      </w:r>
      <w:proofErr w:type="spellEnd"/>
      <w:r w:rsidR="009865B7" w:rsidRPr="00B450EB">
        <w:rPr>
          <w:rFonts w:cs="Arial"/>
          <w:i/>
        </w:rPr>
        <w:t xml:space="preserve">, </w:t>
      </w:r>
      <w:proofErr w:type="spellStart"/>
      <w:r w:rsidR="009865B7" w:rsidRPr="00B450EB">
        <w:rPr>
          <w:rFonts w:cs="Arial"/>
          <w:i/>
        </w:rPr>
        <w:t>Canthon</w:t>
      </w:r>
      <w:proofErr w:type="spellEnd"/>
      <w:r w:rsidR="009865B7" w:rsidRPr="00B450EB">
        <w:rPr>
          <w:rFonts w:cs="Arial"/>
          <w:i/>
        </w:rPr>
        <w:t xml:space="preserve">, </w:t>
      </w:r>
      <w:proofErr w:type="spellStart"/>
      <w:r w:rsidR="009865B7" w:rsidRPr="00B450EB">
        <w:rPr>
          <w:rFonts w:cs="Arial"/>
          <w:i/>
        </w:rPr>
        <w:t>Onthophagus</w:t>
      </w:r>
      <w:proofErr w:type="spellEnd"/>
      <w:r w:rsidR="009865B7" w:rsidRPr="00B450EB">
        <w:rPr>
          <w:rFonts w:cs="Arial"/>
          <w:i/>
        </w:rPr>
        <w:t xml:space="preserve"> </w:t>
      </w:r>
      <w:r w:rsidR="009865B7" w:rsidRPr="00B450EB">
        <w:rPr>
          <w:rFonts w:cs="Arial"/>
        </w:rPr>
        <w:t>y</w:t>
      </w:r>
      <w:r w:rsidR="009865B7" w:rsidRPr="00B450EB">
        <w:rPr>
          <w:rFonts w:cs="Arial"/>
          <w:i/>
        </w:rPr>
        <w:t xml:space="preserve"> </w:t>
      </w:r>
      <w:proofErr w:type="spellStart"/>
      <w:r w:rsidR="009865B7" w:rsidRPr="00B450EB">
        <w:rPr>
          <w:rFonts w:cs="Arial"/>
          <w:i/>
        </w:rPr>
        <w:t>Ateuchus</w:t>
      </w:r>
      <w:proofErr w:type="spellEnd"/>
      <w:r w:rsidR="00DF7276" w:rsidRPr="00B450EB">
        <w:rPr>
          <w:rFonts w:cs="Arial"/>
        </w:rPr>
        <w:t>), quienes</w:t>
      </w:r>
      <w:r w:rsidR="009865B7" w:rsidRPr="00B450EB">
        <w:rPr>
          <w:rFonts w:cs="Arial"/>
        </w:rPr>
        <w:t xml:space="preserve"> cumplen funciones ecológicas vitales como el </w:t>
      </w:r>
      <w:r w:rsidR="009865B7" w:rsidRPr="00B450EB">
        <w:rPr>
          <w:rFonts w:cs="Arial"/>
          <w:b/>
        </w:rPr>
        <w:t>reciclaje de nutrientes, la mejora de la calidad del suelo, la reducción de parásitos y la regulación hídrica</w:t>
      </w:r>
      <w:r w:rsidR="007800C1" w:rsidRPr="00B450EB">
        <w:rPr>
          <w:rFonts w:cs="Arial"/>
          <w:b/>
        </w:rPr>
        <w:t xml:space="preserve"> </w:t>
      </w:r>
      <w:r w:rsidR="007800C1" w:rsidRPr="00B450EB">
        <w:rPr>
          <w:rFonts w:eastAsiaTheme="minorEastAsia" w:cs="Arial"/>
          <w:bCs/>
        </w:rPr>
        <w:t>(</w:t>
      </w:r>
      <w:r w:rsidR="00783D6F" w:rsidRPr="00B450EB">
        <w:t xml:space="preserve">Holter y </w:t>
      </w:r>
      <w:proofErr w:type="spellStart"/>
      <w:r w:rsidR="00783D6F" w:rsidRPr="00B450EB">
        <w:t>Scholtz</w:t>
      </w:r>
      <w:proofErr w:type="spellEnd"/>
      <w:r w:rsidR="00783D6F" w:rsidRPr="00B450EB">
        <w:t xml:space="preserve">, 2007; </w:t>
      </w:r>
      <w:r w:rsidR="007800C1" w:rsidRPr="00B450EB">
        <w:rPr>
          <w:bCs/>
        </w:rPr>
        <w:t>Santos-Heredia et al., 2024</w:t>
      </w:r>
      <w:r w:rsidR="007800C1" w:rsidRPr="00B450EB">
        <w:t>)</w:t>
      </w:r>
      <w:r w:rsidR="009865B7" w:rsidRPr="00B450EB">
        <w:rPr>
          <w:rFonts w:cs="Arial"/>
        </w:rPr>
        <w:t xml:space="preserve">. </w:t>
      </w:r>
      <w:r w:rsidR="008B76DB" w:rsidRPr="00B450EB">
        <w:rPr>
          <w:rFonts w:cs="Arial"/>
        </w:rPr>
        <w:t>De igual manera, la presencia</w:t>
      </w:r>
      <w:r w:rsidR="009865B7" w:rsidRPr="00B450EB">
        <w:rPr>
          <w:rFonts w:cs="Arial"/>
        </w:rPr>
        <w:t xml:space="preserve"> de </w:t>
      </w:r>
      <w:r w:rsidR="008B76DB" w:rsidRPr="00B450EB">
        <w:rPr>
          <w:rFonts w:cs="Arial"/>
        </w:rPr>
        <w:t>v</w:t>
      </w:r>
      <w:r w:rsidR="009865B7" w:rsidRPr="00B450EB">
        <w:rPr>
          <w:rFonts w:cs="Arial"/>
        </w:rPr>
        <w:t xml:space="preserve">arias especies de </w:t>
      </w:r>
      <w:proofErr w:type="spellStart"/>
      <w:r w:rsidR="009865B7" w:rsidRPr="00B450EB">
        <w:rPr>
          <w:rFonts w:cs="Arial"/>
        </w:rPr>
        <w:t>Cerambícidos</w:t>
      </w:r>
      <w:proofErr w:type="spellEnd"/>
      <w:r w:rsidR="009865B7" w:rsidRPr="00B450EB">
        <w:rPr>
          <w:rFonts w:cs="Arial"/>
        </w:rPr>
        <w:t xml:space="preserve"> y otros escarabajos de madera también </w:t>
      </w:r>
      <w:r w:rsidR="008B76DB" w:rsidRPr="00B450EB">
        <w:rPr>
          <w:rFonts w:cs="Arial"/>
        </w:rPr>
        <w:t xml:space="preserve">es </w:t>
      </w:r>
      <w:r w:rsidR="009865B7" w:rsidRPr="00B450EB">
        <w:rPr>
          <w:rFonts w:cs="Arial"/>
        </w:rPr>
        <w:t>importante por su papel en la descomposición de la materia orgánica, contribuyendo a la dinámica forestal</w:t>
      </w:r>
      <w:r w:rsidR="00783D6F" w:rsidRPr="00B450EB">
        <w:rPr>
          <w:rFonts w:cs="Arial"/>
        </w:rPr>
        <w:t xml:space="preserve"> (</w:t>
      </w:r>
      <w:r w:rsidR="00BD36BC" w:rsidRPr="00B450EB">
        <w:t>Nichols et al.</w:t>
      </w:r>
      <w:r w:rsidR="00783D6F" w:rsidRPr="00B450EB">
        <w:t>, 2007).</w:t>
      </w:r>
    </w:p>
    <w:p w14:paraId="6B09F03D" w14:textId="12BE47F8" w:rsidR="00416C0D" w:rsidRPr="00B450EB" w:rsidRDefault="00AB7468" w:rsidP="001843EA">
      <w:pPr>
        <w:rPr>
          <w:rFonts w:eastAsiaTheme="minorEastAsia" w:cs="Arial"/>
        </w:rPr>
      </w:pPr>
      <w:r w:rsidRPr="00B450EB">
        <w:rPr>
          <w:rFonts w:cs="Arial"/>
        </w:rPr>
        <w:t xml:space="preserve">De las 900 especies de </w:t>
      </w:r>
      <w:proofErr w:type="spellStart"/>
      <w:r w:rsidRPr="00B450EB">
        <w:rPr>
          <w:rFonts w:cs="Arial"/>
        </w:rPr>
        <w:t>hymenopteros</w:t>
      </w:r>
      <w:proofErr w:type="spellEnd"/>
      <w:r w:rsidR="009B12C4" w:rsidRPr="00B450EB">
        <w:rPr>
          <w:rFonts w:cs="Arial"/>
        </w:rPr>
        <w:t xml:space="preserve"> registradas </w:t>
      </w:r>
      <w:r w:rsidRPr="00B450EB">
        <w:rPr>
          <w:rFonts w:cs="Arial"/>
        </w:rPr>
        <w:t>en el país</w:t>
      </w:r>
      <w:r w:rsidR="009B12C4" w:rsidRPr="00B450EB">
        <w:rPr>
          <w:rFonts w:cs="Arial"/>
        </w:rPr>
        <w:t xml:space="preserve"> para el 2000</w:t>
      </w:r>
      <w:r w:rsidRPr="00B450EB">
        <w:rPr>
          <w:rFonts w:cs="Arial"/>
        </w:rPr>
        <w:t xml:space="preserve"> (</w:t>
      </w:r>
      <w:proofErr w:type="spellStart"/>
      <w:r w:rsidRPr="00B450EB">
        <w:rPr>
          <w:rFonts w:cs="Arial"/>
        </w:rPr>
        <w:t>PRiBES</w:t>
      </w:r>
      <w:proofErr w:type="spellEnd"/>
      <w:r w:rsidRPr="00B450EB">
        <w:rPr>
          <w:rFonts w:cs="Arial"/>
        </w:rPr>
        <w:t>, 2000</w:t>
      </w:r>
      <w:r w:rsidR="009B12C4" w:rsidRPr="00B450EB">
        <w:rPr>
          <w:rFonts w:cs="Arial"/>
        </w:rPr>
        <w:t>), hoy se</w:t>
      </w:r>
      <w:r w:rsidR="002F233D" w:rsidRPr="00B450EB">
        <w:rPr>
          <w:rFonts w:cs="Arial"/>
        </w:rPr>
        <w:t xml:space="preserve"> encuentran en la </w:t>
      </w:r>
      <w:proofErr w:type="spellStart"/>
      <w:r w:rsidR="002F233D" w:rsidRPr="00B450EB">
        <w:rPr>
          <w:rFonts w:cs="Arial"/>
        </w:rPr>
        <w:t>amazonía</w:t>
      </w:r>
      <w:proofErr w:type="spellEnd"/>
      <w:r w:rsidR="002F233D" w:rsidRPr="00B450EB">
        <w:rPr>
          <w:rFonts w:cs="Arial"/>
        </w:rPr>
        <w:t xml:space="preserve"> colombiana poco m</w:t>
      </w:r>
      <w:r w:rsidR="00A834C0" w:rsidRPr="00B450EB">
        <w:rPr>
          <w:rFonts w:cs="Arial"/>
        </w:rPr>
        <w:t>á</w:t>
      </w:r>
      <w:r w:rsidR="002F233D" w:rsidRPr="00B450EB">
        <w:rPr>
          <w:rFonts w:cs="Arial"/>
        </w:rPr>
        <w:t xml:space="preserve">s de 100 especies de abejas, 250 avispas y cerca de 600 especies de hormigas. </w:t>
      </w:r>
      <w:r w:rsidR="003C1642" w:rsidRPr="00B450EB">
        <w:rPr>
          <w:rFonts w:eastAsiaTheme="minorEastAsia" w:cs="Arial"/>
        </w:rPr>
        <w:t xml:space="preserve">Las hormigas, como </w:t>
      </w:r>
      <w:r w:rsidR="003C1642" w:rsidRPr="00B450EB">
        <w:rPr>
          <w:rFonts w:eastAsiaTheme="minorEastAsia" w:cs="Arial"/>
        </w:rPr>
        <w:lastRenderedPageBreak/>
        <w:t>las de</w:t>
      </w:r>
      <w:r w:rsidR="0060763B" w:rsidRPr="00B450EB">
        <w:rPr>
          <w:rFonts w:eastAsiaTheme="minorEastAsia" w:cs="Arial"/>
        </w:rPr>
        <w:t xml:space="preserve"> los</w:t>
      </w:r>
      <w:r w:rsidR="003C1642" w:rsidRPr="00B450EB">
        <w:rPr>
          <w:rFonts w:eastAsiaTheme="minorEastAsia" w:cs="Arial"/>
        </w:rPr>
        <w:t xml:space="preserve"> género</w:t>
      </w:r>
      <w:r w:rsidR="0060763B" w:rsidRPr="00B450EB">
        <w:rPr>
          <w:rFonts w:eastAsiaTheme="minorEastAsia" w:cs="Arial"/>
        </w:rPr>
        <w:t>s</w:t>
      </w:r>
      <w:r w:rsidR="003C1642" w:rsidRPr="00B450EB">
        <w:rPr>
          <w:rFonts w:eastAsiaTheme="minorEastAsia" w:cs="Arial"/>
        </w:rPr>
        <w:t xml:space="preserve"> </w:t>
      </w:r>
      <w:proofErr w:type="spellStart"/>
      <w:r w:rsidR="003C1642" w:rsidRPr="00B450EB">
        <w:rPr>
          <w:rFonts w:eastAsiaTheme="minorEastAsia" w:cs="Arial"/>
          <w:i/>
          <w:iCs/>
        </w:rPr>
        <w:t>Pseudomyrmex</w:t>
      </w:r>
      <w:proofErr w:type="spellEnd"/>
      <w:r w:rsidR="003C1642" w:rsidRPr="00B450EB">
        <w:rPr>
          <w:rFonts w:eastAsiaTheme="minorEastAsia" w:cs="Arial"/>
          <w:i/>
          <w:iCs/>
        </w:rPr>
        <w:t xml:space="preserve">, </w:t>
      </w:r>
      <w:proofErr w:type="spellStart"/>
      <w:r w:rsidR="003C1642" w:rsidRPr="00B450EB">
        <w:rPr>
          <w:rFonts w:eastAsiaTheme="minorEastAsia" w:cs="Arial"/>
          <w:i/>
          <w:iCs/>
        </w:rPr>
        <w:t>Cephalotes</w:t>
      </w:r>
      <w:proofErr w:type="spellEnd"/>
      <w:r w:rsidR="003C1642" w:rsidRPr="00B450EB">
        <w:rPr>
          <w:rFonts w:eastAsiaTheme="minorEastAsia" w:cs="Arial"/>
          <w:i/>
          <w:iCs/>
        </w:rPr>
        <w:t xml:space="preserve">, </w:t>
      </w:r>
      <w:proofErr w:type="spellStart"/>
      <w:r w:rsidR="003C1642" w:rsidRPr="00B450EB">
        <w:rPr>
          <w:rFonts w:eastAsiaTheme="minorEastAsia" w:cs="Arial"/>
          <w:i/>
          <w:iCs/>
        </w:rPr>
        <w:t>Camponotus</w:t>
      </w:r>
      <w:proofErr w:type="spellEnd"/>
      <w:r w:rsidR="0060763B" w:rsidRPr="00B450EB">
        <w:rPr>
          <w:rFonts w:eastAsiaTheme="minorEastAsia" w:cs="Arial"/>
        </w:rPr>
        <w:t>, entre</w:t>
      </w:r>
      <w:r w:rsidR="001C7987" w:rsidRPr="00B450EB">
        <w:rPr>
          <w:rFonts w:eastAsiaTheme="minorEastAsia" w:cs="Arial"/>
        </w:rPr>
        <w:t xml:space="preserve"> </w:t>
      </w:r>
      <w:r w:rsidR="003C1642" w:rsidRPr="00B450EB">
        <w:rPr>
          <w:rFonts w:eastAsiaTheme="minorEastAsia" w:cs="Arial"/>
        </w:rPr>
        <w:t>otras, son importantes ingenieras del suelo y agentes clave del control biológico</w:t>
      </w:r>
      <w:r w:rsidR="0060763B" w:rsidRPr="00B450EB">
        <w:rPr>
          <w:rFonts w:eastAsiaTheme="minorEastAsia" w:cs="Arial"/>
        </w:rPr>
        <w:t xml:space="preserve"> al </w:t>
      </w:r>
      <w:r w:rsidR="003C1642" w:rsidRPr="00B450EB">
        <w:rPr>
          <w:rFonts w:eastAsiaTheme="minorEastAsia" w:cs="Arial"/>
        </w:rPr>
        <w:t>participa</w:t>
      </w:r>
      <w:r w:rsidR="0060763B" w:rsidRPr="00B450EB">
        <w:rPr>
          <w:rFonts w:eastAsiaTheme="minorEastAsia" w:cs="Arial"/>
        </w:rPr>
        <w:t>r</w:t>
      </w:r>
      <w:r w:rsidR="003C1642" w:rsidRPr="00B450EB">
        <w:rPr>
          <w:rFonts w:eastAsiaTheme="minorEastAsia" w:cs="Arial"/>
        </w:rPr>
        <w:t xml:space="preserve"> en la </w:t>
      </w:r>
      <w:r w:rsidR="003C1642" w:rsidRPr="00B450EB">
        <w:rPr>
          <w:rFonts w:eastAsiaTheme="minorEastAsia" w:cs="Arial"/>
          <w:b/>
        </w:rPr>
        <w:t>descomposición de materia orgánica, aireación del suelo, reciclaje de nutrientes y reducción de plagas</w:t>
      </w:r>
      <w:r w:rsidR="003C1642" w:rsidRPr="00B450EB">
        <w:rPr>
          <w:rFonts w:eastAsiaTheme="minorEastAsia" w:cs="Arial"/>
        </w:rPr>
        <w:t xml:space="preserve">. Las hormigas cortadoras de hojas del género </w:t>
      </w:r>
      <w:r w:rsidR="003C1642" w:rsidRPr="00B450EB">
        <w:rPr>
          <w:rFonts w:eastAsiaTheme="minorEastAsia" w:cs="Arial"/>
          <w:i/>
          <w:iCs/>
        </w:rPr>
        <w:t>Atta</w:t>
      </w:r>
      <w:r w:rsidR="003C1642" w:rsidRPr="00B450EB">
        <w:rPr>
          <w:rFonts w:eastAsiaTheme="minorEastAsia" w:cs="Arial"/>
        </w:rPr>
        <w:t xml:space="preserve">, por ejemplo, son reconocidas por su complejo papel en la agricultura natural al cultivar hongos como fuente de alimento y al modificar la estructura del suelo. Otras hormigas, como </w:t>
      </w:r>
      <w:proofErr w:type="spellStart"/>
      <w:r w:rsidR="003C1642" w:rsidRPr="00B450EB">
        <w:rPr>
          <w:rFonts w:eastAsiaTheme="minorEastAsia" w:cs="Arial"/>
          <w:i/>
          <w:iCs/>
        </w:rPr>
        <w:t>Eciton</w:t>
      </w:r>
      <w:proofErr w:type="spellEnd"/>
      <w:r w:rsidR="003C1642" w:rsidRPr="00B450EB">
        <w:rPr>
          <w:rFonts w:eastAsiaTheme="minorEastAsia" w:cs="Arial"/>
          <w:i/>
          <w:iCs/>
        </w:rPr>
        <w:t xml:space="preserve"> </w:t>
      </w:r>
      <w:r w:rsidR="003C1642" w:rsidRPr="00B450EB">
        <w:rPr>
          <w:rFonts w:eastAsiaTheme="minorEastAsia" w:cs="Arial"/>
        </w:rPr>
        <w:t>y</w:t>
      </w:r>
      <w:r w:rsidR="003C1642" w:rsidRPr="00B450EB">
        <w:rPr>
          <w:rFonts w:eastAsiaTheme="minorEastAsia" w:cs="Arial"/>
          <w:i/>
          <w:iCs/>
        </w:rPr>
        <w:t xml:space="preserve"> </w:t>
      </w:r>
      <w:proofErr w:type="spellStart"/>
      <w:r w:rsidR="003C1642" w:rsidRPr="00B450EB">
        <w:rPr>
          <w:rFonts w:eastAsiaTheme="minorEastAsia" w:cs="Arial"/>
          <w:i/>
          <w:iCs/>
        </w:rPr>
        <w:t>Neivamyrmex</w:t>
      </w:r>
      <w:proofErr w:type="spellEnd"/>
      <w:r w:rsidR="003C1642" w:rsidRPr="00B450EB">
        <w:rPr>
          <w:rFonts w:eastAsiaTheme="minorEastAsia" w:cs="Arial"/>
        </w:rPr>
        <w:t xml:space="preserve">, son depredadoras que mantienen el equilibrio trófico y contribuyen a la biodiversidad. </w:t>
      </w:r>
      <w:r w:rsidR="00BF317A" w:rsidRPr="00B450EB">
        <w:rPr>
          <w:rFonts w:eastAsiaTheme="minorEastAsia" w:cs="Arial"/>
        </w:rPr>
        <w:t>Por su parte, l</w:t>
      </w:r>
      <w:r w:rsidR="003C1642" w:rsidRPr="00B450EB">
        <w:rPr>
          <w:rFonts w:eastAsiaTheme="minorEastAsia" w:cs="Arial"/>
        </w:rPr>
        <w:t xml:space="preserve">as abejas </w:t>
      </w:r>
      <w:r w:rsidR="00BF317A" w:rsidRPr="00B450EB">
        <w:rPr>
          <w:rFonts w:eastAsiaTheme="minorEastAsia" w:cs="Arial"/>
        </w:rPr>
        <w:t xml:space="preserve">de los </w:t>
      </w:r>
      <w:r w:rsidRPr="00B450EB">
        <w:rPr>
          <w:rFonts w:eastAsiaTheme="minorEastAsia" w:cs="Arial"/>
        </w:rPr>
        <w:t>géneros</w:t>
      </w:r>
      <w:r w:rsidR="003C1642" w:rsidRPr="00B450EB">
        <w:rPr>
          <w:rFonts w:eastAsiaTheme="minorEastAsia" w:cs="Arial"/>
        </w:rPr>
        <w:t xml:space="preserve"> </w:t>
      </w:r>
      <w:proofErr w:type="spellStart"/>
      <w:r w:rsidR="003C1642" w:rsidRPr="00B450EB">
        <w:rPr>
          <w:rFonts w:eastAsiaTheme="minorEastAsia" w:cs="Arial"/>
          <w:i/>
          <w:iCs/>
        </w:rPr>
        <w:t>Euglossa</w:t>
      </w:r>
      <w:proofErr w:type="spellEnd"/>
      <w:r w:rsidR="003C1642" w:rsidRPr="00B450EB">
        <w:rPr>
          <w:rFonts w:eastAsiaTheme="minorEastAsia" w:cs="Arial"/>
          <w:i/>
          <w:iCs/>
        </w:rPr>
        <w:t xml:space="preserve">, </w:t>
      </w:r>
      <w:proofErr w:type="spellStart"/>
      <w:r w:rsidR="003C1642" w:rsidRPr="00B450EB">
        <w:rPr>
          <w:rFonts w:eastAsiaTheme="minorEastAsia" w:cs="Arial"/>
          <w:i/>
          <w:iCs/>
        </w:rPr>
        <w:t>Melipona</w:t>
      </w:r>
      <w:proofErr w:type="spellEnd"/>
      <w:r w:rsidR="003C1642" w:rsidRPr="00B450EB">
        <w:rPr>
          <w:rFonts w:eastAsiaTheme="minorEastAsia" w:cs="Arial"/>
          <w:i/>
          <w:iCs/>
        </w:rPr>
        <w:t xml:space="preserve">, </w:t>
      </w:r>
      <w:proofErr w:type="spellStart"/>
      <w:r w:rsidR="003C1642" w:rsidRPr="00B450EB">
        <w:rPr>
          <w:rFonts w:eastAsiaTheme="minorEastAsia" w:cs="Arial"/>
          <w:i/>
          <w:iCs/>
        </w:rPr>
        <w:t>Eulaema</w:t>
      </w:r>
      <w:proofErr w:type="spellEnd"/>
      <w:r w:rsidR="003C1642" w:rsidRPr="00B450EB">
        <w:rPr>
          <w:rFonts w:eastAsiaTheme="minorEastAsia" w:cs="Arial"/>
          <w:i/>
          <w:iCs/>
        </w:rPr>
        <w:t xml:space="preserve"> </w:t>
      </w:r>
      <w:r w:rsidR="003C1642" w:rsidRPr="00B450EB">
        <w:rPr>
          <w:rFonts w:eastAsiaTheme="minorEastAsia" w:cs="Arial"/>
        </w:rPr>
        <w:t>y</w:t>
      </w:r>
      <w:r w:rsidR="003C1642" w:rsidRPr="00B450EB">
        <w:rPr>
          <w:rFonts w:eastAsiaTheme="minorEastAsia" w:cs="Arial"/>
          <w:i/>
          <w:iCs/>
        </w:rPr>
        <w:t xml:space="preserve"> </w:t>
      </w:r>
      <w:proofErr w:type="spellStart"/>
      <w:r w:rsidR="003C1642" w:rsidRPr="00B450EB">
        <w:rPr>
          <w:rFonts w:eastAsiaTheme="minorEastAsia" w:cs="Arial"/>
          <w:i/>
          <w:iCs/>
        </w:rPr>
        <w:t>Bombus</w:t>
      </w:r>
      <w:proofErr w:type="spellEnd"/>
      <w:r w:rsidR="003C1642" w:rsidRPr="00B450EB">
        <w:rPr>
          <w:rFonts w:eastAsiaTheme="minorEastAsia" w:cs="Arial"/>
        </w:rPr>
        <w:t xml:space="preserve"> son polinizadoras esenciales que garantizan la reproducción de muchas plantas nativas y cultivadas, lo que es fundamental para la </w:t>
      </w:r>
      <w:r w:rsidR="003C1642" w:rsidRPr="00B450EB">
        <w:rPr>
          <w:rFonts w:eastAsiaTheme="minorEastAsia" w:cs="Arial"/>
          <w:b/>
        </w:rPr>
        <w:t>conservación de la diversidad biológica y la producción agrícola</w:t>
      </w:r>
      <w:r w:rsidR="007800C1" w:rsidRPr="00B450EB">
        <w:rPr>
          <w:rFonts w:eastAsiaTheme="minorEastAsia" w:cs="Arial"/>
          <w:b/>
        </w:rPr>
        <w:t xml:space="preserve"> </w:t>
      </w:r>
      <w:r w:rsidR="007800C1" w:rsidRPr="00B450EB">
        <w:rPr>
          <w:rFonts w:eastAsiaTheme="minorEastAsia" w:cs="Arial"/>
          <w:bCs/>
        </w:rPr>
        <w:t>(</w:t>
      </w:r>
      <w:proofErr w:type="spellStart"/>
      <w:r w:rsidR="007038C3" w:rsidRPr="00B450EB">
        <w:t>Roubik</w:t>
      </w:r>
      <w:proofErr w:type="spellEnd"/>
      <w:r w:rsidR="007038C3" w:rsidRPr="00B450EB">
        <w:t xml:space="preserve"> y Hanson, 2004; </w:t>
      </w:r>
      <w:r w:rsidR="007800C1" w:rsidRPr="00B450EB">
        <w:rPr>
          <w:bCs/>
        </w:rPr>
        <w:t>Santos-Heredia et al., 2024</w:t>
      </w:r>
      <w:r w:rsidR="007800C1" w:rsidRPr="00B450EB">
        <w:t>)</w:t>
      </w:r>
      <w:r w:rsidR="003C1642" w:rsidRPr="00B450EB">
        <w:rPr>
          <w:rFonts w:eastAsiaTheme="minorEastAsia" w:cs="Arial"/>
          <w:b/>
        </w:rPr>
        <w:t>.</w:t>
      </w:r>
      <w:r w:rsidR="003C1642" w:rsidRPr="00B450EB">
        <w:rPr>
          <w:rFonts w:eastAsiaTheme="minorEastAsia" w:cs="Arial"/>
        </w:rPr>
        <w:t xml:space="preserve"> </w:t>
      </w:r>
    </w:p>
    <w:p w14:paraId="24D64E82" w14:textId="5BDE0795" w:rsidR="003D5110" w:rsidRPr="00B450EB" w:rsidRDefault="668105CC" w:rsidP="001C1081">
      <w:pPr>
        <w:pStyle w:val="Ttulo3"/>
        <w:numPr>
          <w:ilvl w:val="3"/>
          <w:numId w:val="16"/>
        </w:numPr>
        <w:tabs>
          <w:tab w:val="left" w:pos="1677"/>
        </w:tabs>
      </w:pPr>
      <w:bookmarkStart w:id="93" w:name="_Toc209722927"/>
      <w:r w:rsidRPr="00B450EB">
        <w:rPr>
          <w:rFonts w:cs="Arial"/>
        </w:rPr>
        <w:t>Ictiofauna</w:t>
      </w:r>
      <w:bookmarkEnd w:id="93"/>
      <w:r w:rsidR="4C71265A" w:rsidRPr="00B450EB">
        <w:rPr>
          <w:rFonts w:cs="Arial"/>
        </w:rPr>
        <w:t xml:space="preserve"> </w:t>
      </w:r>
    </w:p>
    <w:p w14:paraId="3B6AB87D" w14:textId="45D885DA" w:rsidR="52DF2C7D" w:rsidRPr="00B450EB" w:rsidRDefault="2EA4090D" w:rsidP="3B697B80">
      <w:pPr>
        <w:spacing w:line="276" w:lineRule="auto"/>
        <w:rPr>
          <w:rFonts w:cs="Arial"/>
        </w:rPr>
      </w:pPr>
      <w:r w:rsidRPr="00B450EB">
        <w:rPr>
          <w:rFonts w:eastAsia="Arial" w:cs="Arial"/>
        </w:rPr>
        <w:t xml:space="preserve">La región </w:t>
      </w:r>
      <w:r w:rsidR="00103A91" w:rsidRPr="00B450EB">
        <w:rPr>
          <w:rFonts w:eastAsia="Arial" w:cs="Arial"/>
        </w:rPr>
        <w:t>de la Amazonía</w:t>
      </w:r>
      <w:r w:rsidRPr="00B450EB">
        <w:rPr>
          <w:rFonts w:eastAsia="Arial" w:cs="Arial"/>
        </w:rPr>
        <w:t xml:space="preserve"> colombiana </w:t>
      </w:r>
      <w:r w:rsidR="00103A91" w:rsidRPr="00B450EB">
        <w:rPr>
          <w:rFonts w:eastAsia="Arial" w:cs="Arial"/>
        </w:rPr>
        <w:t xml:space="preserve">alberga </w:t>
      </w:r>
      <w:r w:rsidRPr="00B450EB">
        <w:rPr>
          <w:rFonts w:eastAsia="Arial" w:cs="Arial"/>
        </w:rPr>
        <w:t xml:space="preserve">una </w:t>
      </w:r>
      <w:r w:rsidR="00103A91" w:rsidRPr="00B450EB">
        <w:rPr>
          <w:rFonts w:eastAsia="Arial" w:cs="Arial"/>
        </w:rPr>
        <w:t>gran variedad de</w:t>
      </w:r>
      <w:r w:rsidRPr="00B450EB">
        <w:rPr>
          <w:rFonts w:eastAsia="Arial" w:cs="Arial"/>
        </w:rPr>
        <w:t xml:space="preserve"> ecosistemas acuáticos complejos —ríos, arroyos, lagos y llanuras de inundación— que conforman la base ecológica de la vida amazónica. Estos sistemas se nutren de cabeceras andinas, suelos erosionados de bosques tropicales y formaciones del escudo guayanés, constituyendo una red fluvial densa y dinámica que sostiene la conectividad ecológica y la diversidad íctica de la región (Bogotá-Gregory et al., 2022).</w:t>
      </w:r>
    </w:p>
    <w:p w14:paraId="18939F59" w14:textId="2957AAC4" w:rsidR="00E81A22" w:rsidRPr="00B450EB" w:rsidRDefault="2EA4090D" w:rsidP="3B697B80">
      <w:pPr>
        <w:spacing w:line="276" w:lineRule="auto"/>
        <w:rPr>
          <w:rFonts w:eastAsia="Arial" w:cs="Arial"/>
        </w:rPr>
      </w:pPr>
      <w:r w:rsidRPr="00B450EB">
        <w:rPr>
          <w:rFonts w:eastAsia="Arial" w:cs="Arial"/>
        </w:rPr>
        <w:t xml:space="preserve">En este contexto, la Amazonia colombiana concentra el 68 % de los peces de agua dulce del país, con un total de </w:t>
      </w:r>
      <w:r w:rsidRPr="00B450EB">
        <w:rPr>
          <w:rFonts w:eastAsia="Arial" w:cs="Arial"/>
          <w:b/>
        </w:rPr>
        <w:t>1.104 especies</w:t>
      </w:r>
      <w:r w:rsidRPr="00B450EB">
        <w:rPr>
          <w:rFonts w:eastAsia="Arial" w:cs="Arial"/>
        </w:rPr>
        <w:t xml:space="preserve"> distribuidas en 375 géneros, 53 familias y 16 órdenes</w:t>
      </w:r>
      <w:r w:rsidR="00CA50A3" w:rsidRPr="00B450EB">
        <w:rPr>
          <w:rFonts w:eastAsia="Arial" w:cs="Arial"/>
        </w:rPr>
        <w:t xml:space="preserve"> (</w:t>
      </w:r>
      <w:r w:rsidR="00C7465A" w:rsidRPr="00B450EB">
        <w:rPr>
          <w:rFonts w:eastAsia="Arial" w:cs="Arial"/>
        </w:rPr>
        <w:fldChar w:fldCharType="begin"/>
      </w:r>
      <w:r w:rsidR="00C7465A" w:rsidRPr="00B450EB">
        <w:rPr>
          <w:rFonts w:eastAsia="Arial" w:cs="Arial"/>
        </w:rPr>
        <w:instrText xml:space="preserve"> REF _Ref209065981 \h </w:instrText>
      </w:r>
      <w:r w:rsidR="006E0BC8" w:rsidRPr="00B450EB">
        <w:rPr>
          <w:rFonts w:eastAsia="Arial" w:cs="Arial"/>
        </w:rPr>
        <w:instrText xml:space="preserve"> \* MERGEFORMAT </w:instrText>
      </w:r>
      <w:r w:rsidR="00C7465A" w:rsidRPr="00B450EB">
        <w:rPr>
          <w:rFonts w:eastAsia="Arial" w:cs="Arial"/>
        </w:rPr>
      </w:r>
      <w:r w:rsidR="00C7465A" w:rsidRPr="00B450EB">
        <w:rPr>
          <w:rFonts w:eastAsia="Arial" w:cs="Arial"/>
        </w:rPr>
        <w:fldChar w:fldCharType="separate"/>
      </w:r>
      <w:r w:rsidR="00010D09" w:rsidRPr="00B450EB">
        <w:t xml:space="preserve">Figura </w:t>
      </w:r>
      <w:r w:rsidR="00010D09" w:rsidRPr="00B450EB">
        <w:rPr>
          <w:noProof/>
        </w:rPr>
        <w:t>53</w:t>
      </w:r>
      <w:r w:rsidR="00C7465A" w:rsidRPr="00B450EB">
        <w:rPr>
          <w:rFonts w:eastAsia="Arial" w:cs="Arial"/>
        </w:rPr>
        <w:fldChar w:fldCharType="end"/>
      </w:r>
      <w:r w:rsidR="00CA50A3" w:rsidRPr="00B450EB">
        <w:rPr>
          <w:rFonts w:eastAsia="Arial" w:cs="Arial"/>
        </w:rPr>
        <w:t>)</w:t>
      </w:r>
      <w:r w:rsidRPr="00B450EB">
        <w:rPr>
          <w:rFonts w:eastAsia="Arial" w:cs="Arial"/>
        </w:rPr>
        <w:t xml:space="preserve">. De ellas, 404 se encuentran tanto en la cuenca del Amazonas como en la del Orinoco. Esta cifra equivale a una quinta parte de la ictiofauna neotropical y a aproximadamente un tercio de la diversidad de la cuenca amazónica regional (Bogotá-Gregory et al., 2022; SINCHI, 2023). </w:t>
      </w:r>
      <w:r w:rsidR="00515545" w:rsidRPr="00B450EB">
        <w:rPr>
          <w:rFonts w:eastAsia="Arial" w:cs="Arial"/>
        </w:rPr>
        <w:t xml:space="preserve">Asimismo, el </w:t>
      </w:r>
      <w:r w:rsidR="001A6297" w:rsidRPr="00B450EB">
        <w:rPr>
          <w:rFonts w:eastAsia="Arial" w:cs="Arial"/>
        </w:rPr>
        <w:t>inventario</w:t>
      </w:r>
      <w:r w:rsidR="00515545" w:rsidRPr="00B450EB">
        <w:rPr>
          <w:rFonts w:eastAsia="Arial" w:cs="Arial"/>
        </w:rPr>
        <w:t xml:space="preserve"> incluye </w:t>
      </w:r>
      <w:r w:rsidR="001A6297" w:rsidRPr="00B450EB">
        <w:rPr>
          <w:rFonts w:eastAsia="Arial" w:cs="Arial"/>
        </w:rPr>
        <w:t>19 especies categorizadas como amenazadas (Mojica et al., 2012), 82 con comportamiento migratorio (Usma et al., 2009) y 426 de importancia comercial, de las cuales 88 se destinan al consumo humano y 365 tienen valor en el mercado ornamental.</w:t>
      </w:r>
    </w:p>
    <w:p w14:paraId="6243C739" w14:textId="77777777" w:rsidR="00E81A22" w:rsidRPr="00B450EB" w:rsidRDefault="00E81A22">
      <w:pPr>
        <w:jc w:val="left"/>
        <w:rPr>
          <w:rFonts w:eastAsia="Arial" w:cs="Arial"/>
        </w:rPr>
      </w:pPr>
      <w:r w:rsidRPr="00B450EB">
        <w:rPr>
          <w:rFonts w:eastAsia="Arial" w:cs="Arial"/>
        </w:rPr>
        <w:br w:type="page"/>
      </w:r>
    </w:p>
    <w:p w14:paraId="2A600923" w14:textId="0FB63B8E" w:rsidR="00FC444C" w:rsidRPr="00B450EB" w:rsidRDefault="00C951FE" w:rsidP="00377AD7">
      <w:pPr>
        <w:pStyle w:val="Descripcin"/>
        <w:rPr>
          <w:rFonts w:eastAsia="Arial" w:cs="Arial"/>
          <w:color w:val="auto"/>
        </w:rPr>
      </w:pPr>
      <w:bookmarkStart w:id="94" w:name="_Ref209065981"/>
      <w:bookmarkStart w:id="95" w:name="_Toc209462741"/>
      <w:r w:rsidRPr="00B450EB">
        <w:rPr>
          <w:color w:val="auto"/>
        </w:rPr>
        <w:lastRenderedPageBreak/>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53</w:t>
      </w:r>
      <w:r w:rsidRPr="00B450EB">
        <w:rPr>
          <w:color w:val="auto"/>
        </w:rPr>
        <w:fldChar w:fldCharType="end"/>
      </w:r>
      <w:bookmarkEnd w:id="94"/>
      <w:r w:rsidR="00FC444C" w:rsidRPr="00B450EB">
        <w:rPr>
          <w:color w:val="auto"/>
        </w:rPr>
        <w:t xml:space="preserve"> Riqueza </w:t>
      </w:r>
      <w:r w:rsidR="00875FFD" w:rsidRPr="00B450EB">
        <w:rPr>
          <w:color w:val="auto"/>
        </w:rPr>
        <w:t xml:space="preserve">y número </w:t>
      </w:r>
      <w:r w:rsidR="00FC444C" w:rsidRPr="00B450EB">
        <w:rPr>
          <w:color w:val="auto"/>
        </w:rPr>
        <w:t xml:space="preserve">de especies </w:t>
      </w:r>
      <w:r w:rsidR="00875FFD" w:rsidRPr="00B450EB">
        <w:rPr>
          <w:color w:val="auto"/>
        </w:rPr>
        <w:t>endémicas</w:t>
      </w:r>
      <w:r w:rsidR="00FC444C" w:rsidRPr="00B450EB">
        <w:rPr>
          <w:color w:val="auto"/>
        </w:rPr>
        <w:t xml:space="preserve"> de peces en el bioma amazónico por subzona hidrográfica</w:t>
      </w:r>
      <w:bookmarkEnd w:id="95"/>
      <w:r w:rsidR="00FC444C" w:rsidRPr="00B450EB">
        <w:rPr>
          <w:color w:val="auto"/>
        </w:rPr>
        <w:t xml:space="preserve"> </w:t>
      </w:r>
    </w:p>
    <w:p w14:paraId="61A3BD1E" w14:textId="7CA7638C" w:rsidR="002B643B" w:rsidRPr="00B450EB" w:rsidRDefault="009447BC" w:rsidP="00FC444C">
      <w:pPr>
        <w:spacing w:after="0" w:line="276" w:lineRule="auto"/>
        <w:jc w:val="center"/>
        <w:rPr>
          <w:rFonts w:cs="Arial"/>
        </w:rPr>
      </w:pPr>
      <w:r w:rsidRPr="00B450EB">
        <w:rPr>
          <w:rFonts w:cs="Arial"/>
          <w:noProof/>
        </w:rPr>
        <w:drawing>
          <wp:inline distT="0" distB="0" distL="0" distR="0" wp14:anchorId="34C8E631" wp14:editId="21ED4419">
            <wp:extent cx="2703444" cy="2088915"/>
            <wp:effectExtent l="0" t="0" r="1905" b="6985"/>
            <wp:docPr id="1289942087" name="Imagen 10"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42087" name="Imagen 10" descr="Imagen que contiene Mapa&#10;&#10;El contenido generado por IA puede ser incorrecto."/>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756779" cy="2130126"/>
                    </a:xfrm>
                    <a:prstGeom prst="rect">
                      <a:avLst/>
                    </a:prstGeom>
                  </pic:spPr>
                </pic:pic>
              </a:graphicData>
            </a:graphic>
          </wp:inline>
        </w:drawing>
      </w:r>
      <w:r w:rsidR="004B2BF2" w:rsidRPr="00B450EB">
        <w:rPr>
          <w:rFonts w:cs="Arial"/>
          <w:noProof/>
        </w:rPr>
        <w:drawing>
          <wp:inline distT="0" distB="0" distL="0" distR="0" wp14:anchorId="3CA2F5A9" wp14:editId="3DAF0BD7">
            <wp:extent cx="2716078" cy="2098675"/>
            <wp:effectExtent l="0" t="0" r="8255" b="0"/>
            <wp:docPr id="1965923765" name="Imagen 1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23765" name="Imagen 11" descr="Mapa&#10;&#10;El contenido generado por IA puede ser incorrecto."/>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762557" cy="2134589"/>
                    </a:xfrm>
                    <a:prstGeom prst="rect">
                      <a:avLst/>
                    </a:prstGeom>
                  </pic:spPr>
                </pic:pic>
              </a:graphicData>
            </a:graphic>
          </wp:inline>
        </w:drawing>
      </w:r>
    </w:p>
    <w:p w14:paraId="7FA20CAC" w14:textId="15F30F04" w:rsidR="00FC444C" w:rsidRPr="00B450EB" w:rsidRDefault="00FC444C" w:rsidP="00FC444C">
      <w:pPr>
        <w:spacing w:line="276" w:lineRule="auto"/>
        <w:jc w:val="center"/>
        <w:rPr>
          <w:rFonts w:eastAsiaTheme="minorEastAsia" w:cs="Arial"/>
          <w:sz w:val="18"/>
          <w:szCs w:val="18"/>
        </w:rPr>
      </w:pPr>
      <w:r w:rsidRPr="00B450EB">
        <w:rPr>
          <w:rFonts w:eastAsiaTheme="minorEastAsia" w:cs="Arial"/>
          <w:sz w:val="18"/>
          <w:szCs w:val="18"/>
        </w:rPr>
        <w:t xml:space="preserve">Fuente: Elaboración propia a </w:t>
      </w:r>
      <w:r w:rsidR="0052017B" w:rsidRPr="00B450EB">
        <w:rPr>
          <w:rFonts w:eastAsiaTheme="minorEastAsia" w:cs="Arial"/>
          <w:sz w:val="18"/>
          <w:szCs w:val="18"/>
        </w:rPr>
        <w:t>partir de</w:t>
      </w:r>
      <w:r w:rsidR="002B643B" w:rsidRPr="00B450EB">
        <w:rPr>
          <w:rFonts w:eastAsiaTheme="minorEastAsia" w:cs="Arial"/>
          <w:sz w:val="18"/>
          <w:szCs w:val="18"/>
        </w:rPr>
        <w:t xml:space="preserve"> Bogotá-Gregory et al., 2022</w:t>
      </w:r>
      <w:r w:rsidR="008641F4" w:rsidRPr="00B450EB">
        <w:rPr>
          <w:rFonts w:eastAsiaTheme="minorEastAsia" w:cs="Arial"/>
          <w:sz w:val="18"/>
          <w:szCs w:val="18"/>
        </w:rPr>
        <w:t xml:space="preserve">, JÉZÉQUEL, C. </w:t>
      </w:r>
      <w:r w:rsidR="008641F4" w:rsidRPr="00B450EB">
        <w:rPr>
          <w:rFonts w:eastAsiaTheme="minorEastAsia" w:cs="Arial"/>
          <w:i/>
          <w:iCs/>
          <w:sz w:val="18"/>
          <w:szCs w:val="18"/>
        </w:rPr>
        <w:t>et al</w:t>
      </w:r>
      <w:r w:rsidR="008641F4" w:rsidRPr="00B450EB">
        <w:rPr>
          <w:rFonts w:eastAsiaTheme="minorEastAsia" w:cs="Arial"/>
          <w:sz w:val="18"/>
          <w:szCs w:val="18"/>
        </w:rPr>
        <w:t xml:space="preserve">. 2020 y </w:t>
      </w:r>
      <w:proofErr w:type="spellStart"/>
      <w:r w:rsidR="00064A37" w:rsidRPr="00B450EB">
        <w:rPr>
          <w:rFonts w:eastAsiaTheme="minorEastAsia" w:cs="Arial"/>
          <w:sz w:val="18"/>
          <w:szCs w:val="18"/>
        </w:rPr>
        <w:t>DoNascimiento</w:t>
      </w:r>
      <w:proofErr w:type="spellEnd"/>
      <w:r w:rsidR="00064A37" w:rsidRPr="00B450EB">
        <w:rPr>
          <w:rFonts w:eastAsiaTheme="minorEastAsia" w:cs="Arial"/>
          <w:sz w:val="18"/>
          <w:szCs w:val="18"/>
        </w:rPr>
        <w:t> </w:t>
      </w:r>
      <w:r w:rsidR="00064A37" w:rsidRPr="00B450EB">
        <w:rPr>
          <w:rFonts w:eastAsiaTheme="minorEastAsia" w:cs="Arial"/>
          <w:i/>
          <w:iCs/>
          <w:sz w:val="18"/>
          <w:szCs w:val="18"/>
        </w:rPr>
        <w:t>et. al</w:t>
      </w:r>
      <w:r w:rsidR="00064A37" w:rsidRPr="00B450EB">
        <w:rPr>
          <w:rFonts w:eastAsiaTheme="minorEastAsia" w:cs="Arial"/>
          <w:sz w:val="18"/>
          <w:szCs w:val="18"/>
        </w:rPr>
        <w:t>.2024</w:t>
      </w:r>
      <w:r w:rsidR="005B0838" w:rsidRPr="00B450EB">
        <w:rPr>
          <w:rFonts w:eastAsiaTheme="minorEastAsia" w:cs="Arial"/>
          <w:sz w:val="18"/>
          <w:szCs w:val="18"/>
        </w:rPr>
        <w:t>, 2025.</w:t>
      </w:r>
    </w:p>
    <w:p w14:paraId="280A02A7" w14:textId="77777777" w:rsidR="00D43E46" w:rsidRPr="00B450EB" w:rsidRDefault="001C2511" w:rsidP="3B697B80">
      <w:pPr>
        <w:spacing w:line="276" w:lineRule="auto"/>
        <w:rPr>
          <w:rFonts w:eastAsia="Arial" w:cs="Arial"/>
        </w:rPr>
      </w:pPr>
      <w:r w:rsidRPr="00B450EB">
        <w:rPr>
          <w:rFonts w:eastAsia="Arial" w:cs="Arial"/>
        </w:rPr>
        <w:t xml:space="preserve">Más allá de la magnitud numérica, la relevancia ecológica de esta ictiofauna radica en su diversidad funcional, entendida como la amplitud de rasgos y estrategias que presentan las especies y el grado de redundancia entre ellas. Estos aspectos son fundamentales para la estabilidad, el funcionamiento y la resiliencia de los ecosistemas amazónicos (Flynn et al., 2009; </w:t>
      </w:r>
      <w:proofErr w:type="spellStart"/>
      <w:r w:rsidRPr="00B450EB">
        <w:rPr>
          <w:rFonts w:eastAsia="Arial" w:cs="Arial"/>
        </w:rPr>
        <w:t>Mouillot</w:t>
      </w:r>
      <w:proofErr w:type="spellEnd"/>
      <w:r w:rsidRPr="00B450EB">
        <w:rPr>
          <w:rFonts w:eastAsia="Arial" w:cs="Arial"/>
        </w:rPr>
        <w:t xml:space="preserve"> et al., 2013; Kelley et al., 2018). La cuenca amazónica no solo alberga la mayor diversidad de peces de agua dulce del planeta, sino también la más alta diversidad funcional registrada, un patrón que supera lo esperado a partir de su ya excepcional riqueza taxonómica (</w:t>
      </w:r>
      <w:proofErr w:type="spellStart"/>
      <w:r w:rsidRPr="00B450EB">
        <w:rPr>
          <w:rFonts w:eastAsia="Arial" w:cs="Arial"/>
        </w:rPr>
        <w:t>Toussaint</w:t>
      </w:r>
      <w:proofErr w:type="spellEnd"/>
      <w:r w:rsidRPr="00B450EB">
        <w:rPr>
          <w:rFonts w:eastAsia="Arial" w:cs="Arial"/>
        </w:rPr>
        <w:t xml:space="preserve"> et al., 2016). Este fenómeno refleja la extraordinaria variabilidad de condiciones ambientales locales que estructuran los ensamblajes de especies (</w:t>
      </w:r>
      <w:proofErr w:type="spellStart"/>
      <w:r w:rsidRPr="00B450EB">
        <w:rPr>
          <w:rFonts w:eastAsia="Arial" w:cs="Arial"/>
        </w:rPr>
        <w:t>Leitão</w:t>
      </w:r>
      <w:proofErr w:type="spellEnd"/>
      <w:r w:rsidRPr="00B450EB">
        <w:rPr>
          <w:rFonts w:eastAsia="Arial" w:cs="Arial"/>
        </w:rPr>
        <w:t xml:space="preserve"> et al., 2018; </w:t>
      </w:r>
      <w:proofErr w:type="spellStart"/>
      <w:r w:rsidRPr="00B450EB">
        <w:rPr>
          <w:rFonts w:eastAsia="Arial" w:cs="Arial"/>
        </w:rPr>
        <w:t>Benone</w:t>
      </w:r>
      <w:proofErr w:type="spellEnd"/>
      <w:r w:rsidRPr="00B450EB">
        <w:rPr>
          <w:rFonts w:eastAsia="Arial" w:cs="Arial"/>
        </w:rPr>
        <w:t xml:space="preserve"> et al., 2020).</w:t>
      </w:r>
    </w:p>
    <w:p w14:paraId="1CC325C2" w14:textId="46B4FAE5" w:rsidR="52DF2C7D" w:rsidRPr="00B450EB" w:rsidRDefault="2EA4090D" w:rsidP="3B697B80">
      <w:pPr>
        <w:spacing w:line="276" w:lineRule="auto"/>
        <w:rPr>
          <w:rFonts w:cs="Arial"/>
        </w:rPr>
      </w:pPr>
      <w:r w:rsidRPr="00B450EB">
        <w:rPr>
          <w:rFonts w:eastAsia="Arial" w:cs="Arial"/>
        </w:rPr>
        <w:t xml:space="preserve">Las causas de esta diversidad se remontan a la historia geológica de la cuenca. El levantamiento de los Andes y los procesos paleo hidrológicos asociados </w:t>
      </w:r>
      <w:r w:rsidR="00247B30" w:rsidRPr="00B450EB">
        <w:rPr>
          <w:rFonts w:eastAsia="Arial" w:cs="Arial"/>
        </w:rPr>
        <w:t xml:space="preserve">que </w:t>
      </w:r>
      <w:r w:rsidRPr="00B450EB">
        <w:rPr>
          <w:rFonts w:eastAsia="Arial" w:cs="Arial"/>
        </w:rPr>
        <w:t>configuraron la actual cuenca amazónica y favorecieron intercambios intermitentes con la cuenca del Orinoco. Estos eventos facilitaron tanto la mezcla como el aislamiento de linajes ícticos, impulsando la especiación y el endemismo (Mojica et al., 2006). La magnitud inigualable del sistema hidrográfico, sumada a su carácter abierto con conexiones hacia el norte y el sur del continente, ha creado un escenario evolutivo único que explica por qué la Amazonia es considerada un epicentro de diversidad íctica a nivel mundial (Val &amp; Almeida-Val, 1995).</w:t>
      </w:r>
    </w:p>
    <w:p w14:paraId="006FEADD" w14:textId="77777777" w:rsidR="006F160F" w:rsidRPr="00B450EB" w:rsidRDefault="006F160F" w:rsidP="3B697B80">
      <w:pPr>
        <w:spacing w:line="276" w:lineRule="auto"/>
        <w:rPr>
          <w:rFonts w:eastAsia="Arial" w:cs="Arial"/>
        </w:rPr>
      </w:pPr>
      <w:r w:rsidRPr="00B450EB">
        <w:rPr>
          <w:rFonts w:eastAsia="Arial" w:cs="Arial"/>
        </w:rPr>
        <w:t>Un factor esencial en la diversificación de los peces amazónicos es la heterogeneidad de sus aguas, que se dividen en tres grandes tipos según su origen, composición química y procesos geológicos: aguas blancas, aguas negras y aguas claras (</w:t>
      </w:r>
      <w:proofErr w:type="spellStart"/>
      <w:r w:rsidRPr="00B450EB">
        <w:rPr>
          <w:rFonts w:eastAsia="Arial" w:cs="Arial"/>
        </w:rPr>
        <w:t>Sioli</w:t>
      </w:r>
      <w:proofErr w:type="spellEnd"/>
      <w:r w:rsidRPr="00B450EB">
        <w:rPr>
          <w:rFonts w:eastAsia="Arial" w:cs="Arial"/>
        </w:rPr>
        <w:t xml:space="preserve">, 1984; </w:t>
      </w:r>
      <w:proofErr w:type="spellStart"/>
      <w:r w:rsidRPr="00B450EB">
        <w:rPr>
          <w:rFonts w:eastAsia="Arial" w:cs="Arial"/>
        </w:rPr>
        <w:t>Junk</w:t>
      </w:r>
      <w:proofErr w:type="spellEnd"/>
      <w:r w:rsidRPr="00B450EB">
        <w:rPr>
          <w:rFonts w:eastAsia="Arial" w:cs="Arial"/>
        </w:rPr>
        <w:t xml:space="preserve"> &amp; </w:t>
      </w:r>
      <w:proofErr w:type="spellStart"/>
      <w:r w:rsidRPr="00B450EB">
        <w:rPr>
          <w:rFonts w:eastAsia="Arial" w:cs="Arial"/>
        </w:rPr>
        <w:t>Furch</w:t>
      </w:r>
      <w:proofErr w:type="spellEnd"/>
      <w:r w:rsidRPr="00B450EB">
        <w:rPr>
          <w:rFonts w:eastAsia="Arial" w:cs="Arial"/>
        </w:rPr>
        <w:t xml:space="preserve">, 1985 en Duque et al., 1997; Val, 2019). Las aguas </w:t>
      </w:r>
      <w:r w:rsidRPr="00B450EB">
        <w:rPr>
          <w:rFonts w:eastAsia="Arial" w:cs="Arial"/>
        </w:rPr>
        <w:lastRenderedPageBreak/>
        <w:t>blancas, provenientes de los Andes, se caracterizan por su alta carga de sedimentos y nutrientes, baja transparencia y pH cercano a la neutralidad, alcanzando hasta metro y medio de sedimentación por ciclo de inundación (</w:t>
      </w:r>
      <w:proofErr w:type="spellStart"/>
      <w:r w:rsidRPr="00B450EB">
        <w:rPr>
          <w:rFonts w:eastAsia="Arial" w:cs="Arial"/>
        </w:rPr>
        <w:t>Padoch</w:t>
      </w:r>
      <w:proofErr w:type="spellEnd"/>
      <w:r w:rsidRPr="00B450EB">
        <w:rPr>
          <w:rFonts w:eastAsia="Arial" w:cs="Arial"/>
        </w:rPr>
        <w:t xml:space="preserve"> et al., 1999). Estas crecidas periódicas dan origen a los bosques de </w:t>
      </w:r>
      <w:proofErr w:type="spellStart"/>
      <w:r w:rsidRPr="00B450EB">
        <w:rPr>
          <w:rFonts w:eastAsia="Arial" w:cs="Arial"/>
        </w:rPr>
        <w:t>várzea</w:t>
      </w:r>
      <w:proofErr w:type="spellEnd"/>
      <w:r w:rsidRPr="00B450EB">
        <w:rPr>
          <w:rFonts w:eastAsia="Arial" w:cs="Arial"/>
        </w:rPr>
        <w:t xml:space="preserve">, ecosistemas </w:t>
      </w:r>
      <w:proofErr w:type="spellStart"/>
      <w:r w:rsidRPr="00B450EB">
        <w:rPr>
          <w:rFonts w:eastAsia="Arial" w:cs="Arial"/>
        </w:rPr>
        <w:t>riparios</w:t>
      </w:r>
      <w:proofErr w:type="spellEnd"/>
      <w:r w:rsidRPr="00B450EB">
        <w:rPr>
          <w:rFonts w:eastAsia="Arial" w:cs="Arial"/>
        </w:rPr>
        <w:t xml:space="preserve"> inundables altamente productivos (Wittmann et al., 2006 en </w:t>
      </w:r>
      <w:proofErr w:type="spellStart"/>
      <w:r w:rsidRPr="00B450EB">
        <w:rPr>
          <w:rFonts w:eastAsia="Arial" w:cs="Arial"/>
        </w:rPr>
        <w:t>Mostacedo</w:t>
      </w:r>
      <w:proofErr w:type="spellEnd"/>
      <w:r w:rsidRPr="00B450EB">
        <w:rPr>
          <w:rFonts w:eastAsia="Arial" w:cs="Arial"/>
        </w:rPr>
        <w:t xml:space="preserve"> et al., 2006). En contraste, las aguas negras, de tonalidad oscura por el alto contenido de carbono orgánico disuelto en forma de ácidos húmicos, son pobres en nutrientes, con baja sedimentación y pH ácido, formando durante sus inundaciones los bosques de </w:t>
      </w:r>
      <w:proofErr w:type="spellStart"/>
      <w:r w:rsidRPr="00B450EB">
        <w:rPr>
          <w:rFonts w:eastAsia="Arial" w:cs="Arial"/>
        </w:rPr>
        <w:t>igapó</w:t>
      </w:r>
      <w:proofErr w:type="spellEnd"/>
      <w:r w:rsidRPr="00B450EB">
        <w:rPr>
          <w:rFonts w:eastAsia="Arial" w:cs="Arial"/>
        </w:rPr>
        <w:t xml:space="preserve"> (Ayres, 1995 en </w:t>
      </w:r>
      <w:proofErr w:type="spellStart"/>
      <w:r w:rsidRPr="00B450EB">
        <w:rPr>
          <w:rFonts w:eastAsia="Arial" w:cs="Arial"/>
        </w:rPr>
        <w:t>Mostacedo</w:t>
      </w:r>
      <w:proofErr w:type="spellEnd"/>
      <w:r w:rsidRPr="00B450EB">
        <w:rPr>
          <w:rFonts w:eastAsia="Arial" w:cs="Arial"/>
        </w:rPr>
        <w:t xml:space="preserve"> et al., 2006; Lewis, 2008). Por su parte, las aguas claras, originadas en el escudo guayanés, se distinguen por su transparencia, baja carga de sedimentos, fertilidad limitada y pH ligeramente ácido, debido a la retención de solutos húmicos por minerales arcillosos (</w:t>
      </w:r>
      <w:proofErr w:type="spellStart"/>
      <w:r w:rsidRPr="00B450EB">
        <w:rPr>
          <w:rFonts w:eastAsia="Arial" w:cs="Arial"/>
        </w:rPr>
        <w:t>Leenheen</w:t>
      </w:r>
      <w:proofErr w:type="spellEnd"/>
      <w:r w:rsidRPr="00B450EB">
        <w:rPr>
          <w:rFonts w:eastAsia="Arial" w:cs="Arial"/>
        </w:rPr>
        <w:t>, 1980 en Duque et al., 1997). Estas diferencias fisicoquímicas generan hábitats contrastantes que permiten la especialización y coexistencia de múltiples especies, promoviendo procesos de especiación y endemismo. En Colombia, los ríos Putumayo y Caquetá, ambos de aguas blancas, representan corredores biológicos fundamentales que sostienen una gran riqueza íctica gracias a su elevada productividad.</w:t>
      </w:r>
    </w:p>
    <w:p w14:paraId="17D7B988" w14:textId="77777777" w:rsidR="009F0083" w:rsidRPr="00B450EB" w:rsidRDefault="2EA4090D" w:rsidP="3B697B80">
      <w:pPr>
        <w:spacing w:line="276" w:lineRule="auto"/>
        <w:rPr>
          <w:rFonts w:eastAsia="Arial" w:cs="Arial"/>
        </w:rPr>
      </w:pPr>
      <w:r w:rsidRPr="00B450EB">
        <w:rPr>
          <w:rFonts w:eastAsia="Arial" w:cs="Arial"/>
        </w:rPr>
        <w:t xml:space="preserve">La dinámica hidrológica de la región también juega un papel crucial. El </w:t>
      </w:r>
      <w:r w:rsidRPr="00B450EB">
        <w:rPr>
          <w:rFonts w:eastAsia="Arial" w:cs="Arial"/>
          <w:i/>
          <w:iCs/>
        </w:rPr>
        <w:t>pulso de inundación</w:t>
      </w:r>
      <w:r w:rsidRPr="00B450EB">
        <w:rPr>
          <w:rFonts w:eastAsia="Arial" w:cs="Arial"/>
        </w:rPr>
        <w:t xml:space="preserve">, descrito por </w:t>
      </w:r>
      <w:proofErr w:type="spellStart"/>
      <w:r w:rsidRPr="00B450EB">
        <w:rPr>
          <w:rFonts w:eastAsia="Arial" w:cs="Arial"/>
        </w:rPr>
        <w:t>Junk</w:t>
      </w:r>
      <w:proofErr w:type="spellEnd"/>
      <w:r w:rsidRPr="00B450EB">
        <w:rPr>
          <w:rFonts w:eastAsia="Arial" w:cs="Arial"/>
        </w:rPr>
        <w:t xml:space="preserve">, </w:t>
      </w:r>
      <w:proofErr w:type="spellStart"/>
      <w:r w:rsidRPr="00B450EB">
        <w:rPr>
          <w:rFonts w:eastAsia="Arial" w:cs="Arial"/>
        </w:rPr>
        <w:t>Bayley</w:t>
      </w:r>
      <w:proofErr w:type="spellEnd"/>
      <w:r w:rsidRPr="00B450EB">
        <w:rPr>
          <w:rFonts w:eastAsia="Arial" w:cs="Arial"/>
        </w:rPr>
        <w:t xml:space="preserve"> y </w:t>
      </w:r>
      <w:proofErr w:type="spellStart"/>
      <w:r w:rsidRPr="00B450EB">
        <w:rPr>
          <w:rFonts w:eastAsia="Arial" w:cs="Arial"/>
        </w:rPr>
        <w:t>Sparks</w:t>
      </w:r>
      <w:proofErr w:type="spellEnd"/>
      <w:r w:rsidRPr="00B450EB">
        <w:rPr>
          <w:rFonts w:eastAsia="Arial" w:cs="Arial"/>
        </w:rPr>
        <w:t xml:space="preserve"> (1989), conecta de manera cíclica los ríos con los bosques. Durante las crecientes, vastas áreas de selva se inundan y se convierten en zonas de reproducción, crianza y alimentación para los peces, quienes aprovechan la abundancia de frutos, hojas e invertebrados que el bosque aporta. En época de aguas bajas, las especies se concentran en cauces principales y lagunas aisladas, enfrentando mayor vulnerabilidad (Mojica et al., 2006; </w:t>
      </w:r>
      <w:proofErr w:type="spellStart"/>
      <w:r w:rsidRPr="00B450EB">
        <w:rPr>
          <w:rFonts w:eastAsia="Arial" w:cs="Arial"/>
        </w:rPr>
        <w:t>Junk</w:t>
      </w:r>
      <w:proofErr w:type="spellEnd"/>
      <w:r w:rsidRPr="00B450EB">
        <w:rPr>
          <w:rFonts w:eastAsia="Arial" w:cs="Arial"/>
        </w:rPr>
        <w:t xml:space="preserve"> et al., 2023). Esta dinámica ha dado lugar a una coevolución entre peces y bosque: numerosas especies ícticas son frugívoras y actúan como dispersoras de semillas, contribuyendo a la regeneración forestal (Anderson et al., 2009). </w:t>
      </w:r>
    </w:p>
    <w:p w14:paraId="36F61FF5" w14:textId="57274039" w:rsidR="00A108CD" w:rsidRPr="00B450EB" w:rsidRDefault="00A108CD" w:rsidP="3B697B80">
      <w:pPr>
        <w:spacing w:line="276" w:lineRule="auto"/>
        <w:rPr>
          <w:rFonts w:eastAsia="Arial" w:cs="Arial"/>
        </w:rPr>
      </w:pPr>
      <w:r w:rsidRPr="00B450EB">
        <w:rPr>
          <w:rFonts w:eastAsia="Arial" w:cs="Arial"/>
        </w:rPr>
        <w:t>Entre estos, muchas especies migratorias han desarrollado una relación simbiótica con el bosque amazónico. Durante las crecientes, ingresan al bosque inundado para alimentarse de frutos caídos al agua, dispersando semillas a largas distancias y favoreciendo su germinación (</w:t>
      </w:r>
      <w:proofErr w:type="spellStart"/>
      <w:r w:rsidRPr="00B450EB">
        <w:rPr>
          <w:rFonts w:eastAsia="Arial" w:cs="Arial"/>
        </w:rPr>
        <w:t>Goulding</w:t>
      </w:r>
      <w:proofErr w:type="spellEnd"/>
      <w:r w:rsidRPr="00B450EB">
        <w:rPr>
          <w:rFonts w:eastAsia="Arial" w:cs="Arial"/>
        </w:rPr>
        <w:t xml:space="preserve">, 1980; Correa &amp; </w:t>
      </w:r>
      <w:proofErr w:type="spellStart"/>
      <w:r w:rsidRPr="00B450EB">
        <w:rPr>
          <w:rFonts w:eastAsia="Arial" w:cs="Arial"/>
        </w:rPr>
        <w:t>Winemiller</w:t>
      </w:r>
      <w:proofErr w:type="spellEnd"/>
      <w:r w:rsidRPr="00B450EB">
        <w:rPr>
          <w:rFonts w:eastAsia="Arial" w:cs="Arial"/>
        </w:rPr>
        <w:t>, 2014; Correa et al., 2015a). Se estima que en la cuenca amazónica habitan la mayoría de las aproximadamente 150 especies de peces frugívoros descritas en los Neotrópicos, pertenecientes a 17 familias y 6 órdenes (</w:t>
      </w:r>
      <w:proofErr w:type="spellStart"/>
      <w:r w:rsidRPr="00B450EB">
        <w:rPr>
          <w:rFonts w:eastAsia="Arial" w:cs="Arial"/>
        </w:rPr>
        <w:t>Horn</w:t>
      </w:r>
      <w:proofErr w:type="spellEnd"/>
      <w:r w:rsidRPr="00B450EB">
        <w:rPr>
          <w:rFonts w:eastAsia="Arial" w:cs="Arial"/>
        </w:rPr>
        <w:t xml:space="preserve"> et al., 2011). Estas especies consumen al menos 566 tipos de frutos y semillas de 82 familias de plantas, desempeñando un papel esencial en la dinámica de dispersión vegetal y en el mantenimiento de la biodiversidad del bosque (Correa et al., 2015a).</w:t>
      </w:r>
    </w:p>
    <w:p w14:paraId="7999710F" w14:textId="1F9EB430" w:rsidR="52DF2C7D" w:rsidRPr="00B450EB" w:rsidRDefault="2EA4090D" w:rsidP="3B697B80">
      <w:pPr>
        <w:spacing w:line="276" w:lineRule="auto"/>
        <w:rPr>
          <w:rFonts w:cs="Arial"/>
        </w:rPr>
      </w:pPr>
      <w:r w:rsidRPr="00B450EB">
        <w:rPr>
          <w:rFonts w:eastAsia="Arial" w:cs="Arial"/>
        </w:rPr>
        <w:lastRenderedPageBreak/>
        <w:t>De igual manera, el pulso regula los ciclos migratorios de especies emblemáticas como los grandes bagres (</w:t>
      </w:r>
      <w:proofErr w:type="spellStart"/>
      <w:r w:rsidRPr="00B450EB">
        <w:rPr>
          <w:rFonts w:eastAsia="Arial" w:cs="Arial"/>
          <w:i/>
          <w:iCs/>
        </w:rPr>
        <w:t>Brachyplatystoma</w:t>
      </w:r>
      <w:proofErr w:type="spellEnd"/>
      <w:r w:rsidRPr="00B450EB">
        <w:rPr>
          <w:rFonts w:eastAsia="Arial" w:cs="Arial"/>
        </w:rPr>
        <w:t xml:space="preserve"> </w:t>
      </w:r>
      <w:proofErr w:type="spellStart"/>
      <w:r w:rsidRPr="00B450EB">
        <w:rPr>
          <w:rFonts w:eastAsia="Arial" w:cs="Arial"/>
        </w:rPr>
        <w:t>spp</w:t>
      </w:r>
      <w:proofErr w:type="spellEnd"/>
      <w:r w:rsidRPr="00B450EB">
        <w:rPr>
          <w:rFonts w:eastAsia="Arial" w:cs="Arial"/>
        </w:rPr>
        <w:t xml:space="preserve">.) y varios </w:t>
      </w:r>
      <w:proofErr w:type="spellStart"/>
      <w:r w:rsidRPr="00B450EB">
        <w:rPr>
          <w:rFonts w:eastAsia="Arial" w:cs="Arial"/>
        </w:rPr>
        <w:t>carácidos</w:t>
      </w:r>
      <w:proofErr w:type="spellEnd"/>
      <w:r w:rsidRPr="00B450EB">
        <w:rPr>
          <w:rFonts w:eastAsia="Arial" w:cs="Arial"/>
        </w:rPr>
        <w:t>, cuya supervivencia depende de la conectividad del sistema.</w:t>
      </w:r>
      <w:r w:rsidR="00091A0C" w:rsidRPr="00B450EB">
        <w:rPr>
          <w:rFonts w:cs="Arial"/>
        </w:rPr>
        <w:t xml:space="preserve"> </w:t>
      </w:r>
      <w:r w:rsidRPr="00B450EB">
        <w:rPr>
          <w:rFonts w:eastAsia="Arial" w:cs="Arial"/>
        </w:rPr>
        <w:t>Más allá de su importancia ecológica, los peces amazónicos cumplen un papel central en la seguridad alimentaria y cultural de las comunidades indígenas, ribereñas y campesinas que dependen de la pesca como fuente primaria de proteína. La ictiofauna amazónica forma parte de la identidad biocultural de la región, y especies como el dorado (</w:t>
      </w:r>
      <w:proofErr w:type="spellStart"/>
      <w:r w:rsidRPr="00B450EB">
        <w:rPr>
          <w:rFonts w:eastAsia="Arial" w:cs="Arial"/>
          <w:i/>
          <w:iCs/>
        </w:rPr>
        <w:t>Brachyplatystoma</w:t>
      </w:r>
      <w:proofErr w:type="spellEnd"/>
      <w:r w:rsidRPr="00B450EB">
        <w:rPr>
          <w:rFonts w:eastAsia="Arial" w:cs="Arial"/>
          <w:i/>
          <w:iCs/>
        </w:rPr>
        <w:t xml:space="preserve"> </w:t>
      </w:r>
      <w:proofErr w:type="spellStart"/>
      <w:r w:rsidRPr="00B450EB">
        <w:rPr>
          <w:rFonts w:eastAsia="Arial" w:cs="Arial"/>
          <w:i/>
          <w:iCs/>
        </w:rPr>
        <w:t>rousseauxii</w:t>
      </w:r>
      <w:proofErr w:type="spellEnd"/>
      <w:r w:rsidRPr="00B450EB">
        <w:rPr>
          <w:rFonts w:eastAsia="Arial" w:cs="Arial"/>
        </w:rPr>
        <w:t>) son consideradas centinelas de la salud ecológica del sistema, además de poseer un alto valor simbólico y comercial (Aguas Amazónicas, 2023).</w:t>
      </w:r>
    </w:p>
    <w:p w14:paraId="7AFE0975" w14:textId="6015C50F" w:rsidR="7459622A" w:rsidRPr="00B450EB" w:rsidRDefault="2EA4090D" w:rsidP="008343EF">
      <w:r w:rsidRPr="00B450EB">
        <w:rPr>
          <w:rFonts w:eastAsia="Arial" w:cs="Arial"/>
        </w:rPr>
        <w:t xml:space="preserve">En síntesis, la diversidad de peces del bioma amazónico colombiano es el resultado de la interacción entre procesos geológicos, un sistema hidrográfico de enorme escala, la heterogeneidad de aguas y hábitats, y el régimen natural de pulsos de inundación. </w:t>
      </w:r>
    </w:p>
    <w:p w14:paraId="4EDC4189" w14:textId="59F9C05D" w:rsidR="7459622A" w:rsidRPr="00B450EB" w:rsidRDefault="68E0F8ED" w:rsidP="001C1081">
      <w:pPr>
        <w:pStyle w:val="Ttulo3"/>
        <w:numPr>
          <w:ilvl w:val="3"/>
          <w:numId w:val="16"/>
        </w:numPr>
        <w:tabs>
          <w:tab w:val="left" w:pos="1677"/>
        </w:tabs>
      </w:pPr>
      <w:bookmarkStart w:id="96" w:name="_Toc209722928"/>
      <w:proofErr w:type="spellStart"/>
      <w:r w:rsidRPr="00B450EB">
        <w:t>Herpetofauna</w:t>
      </w:r>
      <w:bookmarkEnd w:id="96"/>
      <w:proofErr w:type="spellEnd"/>
    </w:p>
    <w:p w14:paraId="770A1E97" w14:textId="3B949D02" w:rsidR="00E81A22" w:rsidRPr="00B450EB" w:rsidRDefault="68E0F8ED" w:rsidP="7459622A">
      <w:pPr>
        <w:spacing w:line="276" w:lineRule="auto"/>
        <w:rPr>
          <w:rFonts w:eastAsiaTheme="minorEastAsia" w:cs="Arial"/>
        </w:rPr>
      </w:pPr>
      <w:bookmarkStart w:id="97" w:name="_Ref209014145"/>
      <w:r w:rsidRPr="00B450EB">
        <w:rPr>
          <w:rFonts w:eastAsiaTheme="minorEastAsia" w:cs="Arial"/>
        </w:rPr>
        <w:t xml:space="preserve">En el área se han registrado al menos </w:t>
      </w:r>
      <w:r w:rsidR="352AC9FE" w:rsidRPr="00B450EB">
        <w:rPr>
          <w:rFonts w:eastAsiaTheme="minorEastAsia" w:cs="Arial"/>
        </w:rPr>
        <w:t>183</w:t>
      </w:r>
      <w:r w:rsidRPr="00B450EB">
        <w:rPr>
          <w:rFonts w:eastAsiaTheme="minorEastAsia" w:cs="Arial"/>
        </w:rPr>
        <w:t xml:space="preserve"> especies de anfibios dentro de los cuales destaca la presencia de dos especies de ranas aún no descritas para la ciencia, una del género </w:t>
      </w:r>
      <w:proofErr w:type="spellStart"/>
      <w:r w:rsidRPr="00B450EB">
        <w:rPr>
          <w:rFonts w:eastAsiaTheme="minorEastAsia" w:cs="Arial"/>
          <w:i/>
        </w:rPr>
        <w:t>Ceuthomantis</w:t>
      </w:r>
      <w:proofErr w:type="spellEnd"/>
      <w:r w:rsidRPr="00B450EB">
        <w:rPr>
          <w:rFonts w:eastAsiaTheme="minorEastAsia" w:cs="Arial"/>
          <w:i/>
        </w:rPr>
        <w:t xml:space="preserve"> </w:t>
      </w:r>
      <w:r w:rsidRPr="00B450EB">
        <w:rPr>
          <w:rFonts w:eastAsiaTheme="minorEastAsia" w:cs="Arial"/>
        </w:rPr>
        <w:t xml:space="preserve">y otra del género </w:t>
      </w:r>
      <w:proofErr w:type="spellStart"/>
      <w:r w:rsidRPr="00B450EB">
        <w:rPr>
          <w:rFonts w:eastAsiaTheme="minorEastAsia" w:cs="Arial"/>
          <w:i/>
        </w:rPr>
        <w:t>Pristimantis</w:t>
      </w:r>
      <w:proofErr w:type="spellEnd"/>
      <w:r w:rsidRPr="00B450EB">
        <w:rPr>
          <w:rFonts w:eastAsiaTheme="minorEastAsia" w:cs="Arial"/>
          <w:i/>
        </w:rPr>
        <w:t>.</w:t>
      </w:r>
      <w:r w:rsidRPr="00B450EB">
        <w:rPr>
          <w:rFonts w:eastAsiaTheme="minorEastAsia" w:cs="Arial"/>
        </w:rPr>
        <w:t xml:space="preserve"> </w:t>
      </w:r>
      <w:r w:rsidR="0045484D" w:rsidRPr="00B450EB">
        <w:rPr>
          <w:rFonts w:eastAsiaTheme="minorEastAsia" w:cs="Arial"/>
        </w:rPr>
        <w:t>La</w:t>
      </w:r>
      <w:r w:rsidR="00827C9C" w:rsidRPr="00B450EB">
        <w:rPr>
          <w:rFonts w:eastAsiaTheme="minorEastAsia" w:cs="Arial"/>
        </w:rPr>
        <w:t xml:space="preserve"> gran diversidad de anfibios, muchos con características únicas adaptadas al ecosistema, es un indicativo de la salud ambiental y riqueza genética</w:t>
      </w:r>
      <w:r w:rsidR="0045484D" w:rsidRPr="00B450EB">
        <w:rPr>
          <w:rFonts w:eastAsiaTheme="minorEastAsia" w:cs="Arial"/>
        </w:rPr>
        <w:t xml:space="preserve"> del ecosistema</w:t>
      </w:r>
      <w:r w:rsidR="00370CAE" w:rsidRPr="00B450EB">
        <w:rPr>
          <w:rFonts w:eastAsiaTheme="minorEastAsia" w:cs="Arial"/>
        </w:rPr>
        <w:t xml:space="preserve"> que de no ser preservada podría perderse aún antes de conocerse</w:t>
      </w:r>
      <w:r w:rsidR="00DE3CF9" w:rsidRPr="00B450EB">
        <w:rPr>
          <w:rFonts w:eastAsiaTheme="minorEastAsia" w:cs="Arial"/>
        </w:rPr>
        <w:t xml:space="preserve"> (</w:t>
      </w:r>
      <w:proofErr w:type="spellStart"/>
      <w:r w:rsidR="00DE3CF9" w:rsidRPr="00B450EB">
        <w:rPr>
          <w:rFonts w:eastAsiaTheme="minorEastAsia" w:cs="Arial"/>
        </w:rPr>
        <w:t>Denevan</w:t>
      </w:r>
      <w:proofErr w:type="spellEnd"/>
      <w:r w:rsidR="00DE3CF9" w:rsidRPr="00B450EB">
        <w:rPr>
          <w:rFonts w:eastAsiaTheme="minorEastAsia" w:cs="Arial"/>
        </w:rPr>
        <w:t>, 1974)</w:t>
      </w:r>
      <w:r w:rsidR="0045484D" w:rsidRPr="00B450EB">
        <w:rPr>
          <w:rFonts w:eastAsiaTheme="minorEastAsia" w:cs="Arial"/>
        </w:rPr>
        <w:t xml:space="preserve">. </w:t>
      </w:r>
      <w:r w:rsidR="0077751E" w:rsidRPr="00B450EB">
        <w:rPr>
          <w:rFonts w:eastAsiaTheme="minorEastAsia" w:cs="Arial"/>
        </w:rPr>
        <w:t xml:space="preserve">Adicionalmente, debe reconocerse el papel ecológico que mantienen los anfibios al ser </w:t>
      </w:r>
      <w:r w:rsidR="0077751E" w:rsidRPr="00B450EB">
        <w:rPr>
          <w:rFonts w:eastAsiaTheme="minorEastAsia" w:cs="Arial"/>
          <w:b/>
          <w:bCs/>
        </w:rPr>
        <w:t>controladores de plagas, reguladores de ecosistemas acuáticos y terrestres</w:t>
      </w:r>
      <w:r w:rsidR="0077751E" w:rsidRPr="00B450EB">
        <w:rPr>
          <w:rFonts w:eastAsiaTheme="minorEastAsia" w:cs="Arial"/>
        </w:rPr>
        <w:t xml:space="preserve">, y parte fundamental de la cadena alimenticia, siendo </w:t>
      </w:r>
      <w:r w:rsidR="0077751E" w:rsidRPr="00B450EB">
        <w:rPr>
          <w:rFonts w:eastAsiaTheme="minorEastAsia" w:cs="Arial"/>
          <w:b/>
          <w:bCs/>
        </w:rPr>
        <w:t>presas</w:t>
      </w:r>
      <w:r w:rsidR="0077751E" w:rsidRPr="00B450EB">
        <w:rPr>
          <w:rFonts w:eastAsiaTheme="minorEastAsia" w:cs="Arial"/>
        </w:rPr>
        <w:t xml:space="preserve"> de aves, mamíferos, peces y reptiles</w:t>
      </w:r>
      <w:r w:rsidR="00E55CC7" w:rsidRPr="00B450EB">
        <w:rPr>
          <w:rFonts w:eastAsiaTheme="minorEastAsia" w:cs="Arial"/>
        </w:rPr>
        <w:t xml:space="preserve"> (</w:t>
      </w:r>
      <w:proofErr w:type="spellStart"/>
      <w:r w:rsidR="00E55CC7" w:rsidRPr="00B450EB">
        <w:t>Cortéz</w:t>
      </w:r>
      <w:proofErr w:type="spellEnd"/>
      <w:r w:rsidR="00E55CC7" w:rsidRPr="00B450EB">
        <w:t xml:space="preserve">-Gómez </w:t>
      </w:r>
      <w:r w:rsidR="00E55CC7" w:rsidRPr="00B450EB">
        <w:rPr>
          <w:i/>
          <w:iCs/>
        </w:rPr>
        <w:t>et al</w:t>
      </w:r>
      <w:r w:rsidR="009A5C96" w:rsidRPr="00B450EB">
        <w:rPr>
          <w:i/>
          <w:iCs/>
        </w:rPr>
        <w:t>,</w:t>
      </w:r>
      <w:r w:rsidR="00E55CC7" w:rsidRPr="00B450EB">
        <w:t xml:space="preserve"> 2015)</w:t>
      </w:r>
      <w:r w:rsidR="0077751E" w:rsidRPr="00B450EB">
        <w:rPr>
          <w:rFonts w:eastAsiaTheme="minorEastAsia" w:cs="Arial"/>
        </w:rPr>
        <w:t xml:space="preserve">. </w:t>
      </w:r>
      <w:r w:rsidRPr="00B450EB">
        <w:rPr>
          <w:rFonts w:eastAsiaTheme="minorEastAsia" w:cs="Arial"/>
        </w:rPr>
        <w:t xml:space="preserve">De las especies registradas, </w:t>
      </w:r>
      <w:proofErr w:type="spellStart"/>
      <w:r w:rsidRPr="00B450EB">
        <w:rPr>
          <w:rFonts w:eastAsiaTheme="minorEastAsia" w:cs="Arial"/>
          <w:i/>
        </w:rPr>
        <w:t>Pristimantis</w:t>
      </w:r>
      <w:proofErr w:type="spellEnd"/>
      <w:r w:rsidRPr="00B450EB">
        <w:rPr>
          <w:rFonts w:eastAsiaTheme="minorEastAsia" w:cs="Arial"/>
          <w:i/>
        </w:rPr>
        <w:t xml:space="preserve"> </w:t>
      </w:r>
      <w:proofErr w:type="spellStart"/>
      <w:r w:rsidRPr="00B450EB">
        <w:rPr>
          <w:rFonts w:eastAsiaTheme="minorEastAsia" w:cs="Arial"/>
          <w:i/>
        </w:rPr>
        <w:t>aff</w:t>
      </w:r>
      <w:proofErr w:type="spellEnd"/>
      <w:r w:rsidRPr="00B450EB">
        <w:rPr>
          <w:rFonts w:eastAsiaTheme="minorEastAsia" w:cs="Arial"/>
          <w:i/>
        </w:rPr>
        <w:t xml:space="preserve">. </w:t>
      </w:r>
      <w:proofErr w:type="spellStart"/>
      <w:r w:rsidRPr="00B450EB">
        <w:rPr>
          <w:rFonts w:eastAsiaTheme="minorEastAsia" w:cs="Arial"/>
          <w:i/>
        </w:rPr>
        <w:t>ockendeni</w:t>
      </w:r>
      <w:proofErr w:type="spellEnd"/>
      <w:r w:rsidRPr="00B450EB">
        <w:rPr>
          <w:rFonts w:eastAsiaTheme="minorEastAsia" w:cs="Arial"/>
          <w:i/>
        </w:rPr>
        <w:t xml:space="preserve">, </w:t>
      </w:r>
      <w:proofErr w:type="spellStart"/>
      <w:r w:rsidRPr="00B450EB">
        <w:rPr>
          <w:rFonts w:eastAsiaTheme="minorEastAsia" w:cs="Arial"/>
          <w:i/>
        </w:rPr>
        <w:t>Ceuthomantis</w:t>
      </w:r>
      <w:proofErr w:type="spellEnd"/>
      <w:r w:rsidRPr="00B450EB">
        <w:rPr>
          <w:rFonts w:eastAsiaTheme="minorEastAsia" w:cs="Arial"/>
          <w:i/>
        </w:rPr>
        <w:t xml:space="preserve"> </w:t>
      </w:r>
      <w:proofErr w:type="spellStart"/>
      <w:r w:rsidRPr="00B450EB">
        <w:rPr>
          <w:rFonts w:eastAsiaTheme="minorEastAsia" w:cs="Arial"/>
          <w:i/>
        </w:rPr>
        <w:t>sp</w:t>
      </w:r>
      <w:proofErr w:type="spellEnd"/>
      <w:r w:rsidRPr="00B450EB">
        <w:rPr>
          <w:rFonts w:eastAsiaTheme="minorEastAsia" w:cs="Arial"/>
          <w:i/>
        </w:rPr>
        <w:t xml:space="preserve">. y </w:t>
      </w:r>
      <w:proofErr w:type="spellStart"/>
      <w:r w:rsidRPr="00B450EB">
        <w:rPr>
          <w:rFonts w:eastAsiaTheme="minorEastAsia" w:cs="Arial"/>
          <w:i/>
        </w:rPr>
        <w:t>Rhinella</w:t>
      </w:r>
      <w:proofErr w:type="spellEnd"/>
      <w:r w:rsidRPr="00B450EB">
        <w:rPr>
          <w:rFonts w:eastAsiaTheme="minorEastAsia" w:cs="Arial"/>
          <w:i/>
        </w:rPr>
        <w:t xml:space="preserve"> </w:t>
      </w:r>
      <w:proofErr w:type="spellStart"/>
      <w:r w:rsidRPr="00B450EB">
        <w:rPr>
          <w:rFonts w:eastAsiaTheme="minorEastAsia" w:cs="Arial"/>
          <w:i/>
        </w:rPr>
        <w:t>sp</w:t>
      </w:r>
      <w:proofErr w:type="spellEnd"/>
      <w:r w:rsidRPr="00B450EB">
        <w:rPr>
          <w:rFonts w:eastAsiaTheme="minorEastAsia" w:cs="Arial"/>
        </w:rPr>
        <w:t>., presentan actualmente la categoría de Datos Insuficientes (DD) en la UICN, indicando que falta información suficiente para evaluar su riesgo de extinción. Estas especies suelen ser recién descritas o poco estudiadas, y muchas requieren revisiones taxonómicas para clarificar su estatus</w:t>
      </w:r>
      <w:r w:rsidR="00FF1AB5" w:rsidRPr="00B450EB">
        <w:rPr>
          <w:rFonts w:eastAsiaTheme="minorEastAsia" w:cs="Arial"/>
        </w:rPr>
        <w:t xml:space="preserve">, sin embargo, la tendencia de muestreo hacia capitales departamentales </w:t>
      </w:r>
      <w:r w:rsidR="0016400F" w:rsidRPr="00B450EB">
        <w:rPr>
          <w:rFonts w:eastAsiaTheme="minorEastAsia" w:cs="Arial"/>
        </w:rPr>
        <w:t xml:space="preserve">y la baja exploración científica de otras zonas </w:t>
      </w:r>
      <w:r w:rsidR="00C0163C" w:rsidRPr="00B450EB">
        <w:rPr>
          <w:rFonts w:eastAsiaTheme="minorEastAsia" w:cs="Arial"/>
        </w:rPr>
        <w:t xml:space="preserve">dentro de la Amazonía refuerza la necesidad de acciones de conservación </w:t>
      </w:r>
      <w:r w:rsidR="00AD54F4" w:rsidRPr="00B450EB">
        <w:rPr>
          <w:rFonts w:eastAsiaTheme="minorEastAsia" w:cs="Arial"/>
        </w:rPr>
        <w:t xml:space="preserve">que permitan el mantenimiento de poblaciones </w:t>
      </w:r>
      <w:r w:rsidR="0045434D" w:rsidRPr="00B450EB">
        <w:rPr>
          <w:rFonts w:eastAsiaTheme="minorEastAsia" w:cs="Arial"/>
        </w:rPr>
        <w:t xml:space="preserve">de especies de anfibios cuya riqueza </w:t>
      </w:r>
      <w:r w:rsidR="005F1196" w:rsidRPr="00B450EB">
        <w:rPr>
          <w:rFonts w:eastAsiaTheme="minorEastAsia" w:cs="Arial"/>
        </w:rPr>
        <w:t>varia drásticamente de una a más de 50 especies en las zonas muestreadas  (</w:t>
      </w:r>
      <w:r w:rsidR="00A311CC" w:rsidRPr="00B450EB">
        <w:rPr>
          <w:rFonts w:eastAsiaTheme="minorEastAsia" w:cs="Arial"/>
        </w:rPr>
        <w:fldChar w:fldCharType="begin"/>
      </w:r>
      <w:r w:rsidR="00A311CC" w:rsidRPr="00B450EB">
        <w:rPr>
          <w:rFonts w:eastAsiaTheme="minorEastAsia" w:cs="Arial"/>
        </w:rPr>
        <w:instrText xml:space="preserve"> REF _Ref209066049 \h </w:instrText>
      </w:r>
      <w:r w:rsidR="006E0BC8" w:rsidRPr="00B450EB">
        <w:rPr>
          <w:rFonts w:eastAsiaTheme="minorEastAsia" w:cs="Arial"/>
        </w:rPr>
        <w:instrText xml:space="preserve"> \* MERGEFORMAT </w:instrText>
      </w:r>
      <w:r w:rsidR="00A311CC" w:rsidRPr="00B450EB">
        <w:rPr>
          <w:rFonts w:eastAsiaTheme="minorEastAsia" w:cs="Arial"/>
        </w:rPr>
      </w:r>
      <w:r w:rsidR="00A311CC" w:rsidRPr="00B450EB">
        <w:rPr>
          <w:rFonts w:eastAsiaTheme="minorEastAsia" w:cs="Arial"/>
        </w:rPr>
        <w:fldChar w:fldCharType="separate"/>
      </w:r>
      <w:r w:rsidR="00010D09" w:rsidRPr="00B450EB">
        <w:t xml:space="preserve">Figura </w:t>
      </w:r>
      <w:r w:rsidR="00010D09" w:rsidRPr="00B450EB">
        <w:rPr>
          <w:noProof/>
        </w:rPr>
        <w:t>54</w:t>
      </w:r>
      <w:r w:rsidR="00A311CC" w:rsidRPr="00B450EB">
        <w:rPr>
          <w:rFonts w:eastAsiaTheme="minorEastAsia" w:cs="Arial"/>
        </w:rPr>
        <w:fldChar w:fldCharType="end"/>
      </w:r>
      <w:r w:rsidR="005F1196" w:rsidRPr="00B450EB">
        <w:rPr>
          <w:rFonts w:eastAsiaTheme="minorEastAsia" w:cs="Arial"/>
        </w:rPr>
        <w:t xml:space="preserve">). </w:t>
      </w:r>
    </w:p>
    <w:p w14:paraId="22576619" w14:textId="77777777" w:rsidR="00E81A22" w:rsidRPr="00B450EB" w:rsidRDefault="00E81A22">
      <w:pPr>
        <w:jc w:val="left"/>
        <w:rPr>
          <w:rFonts w:eastAsiaTheme="minorEastAsia" w:cs="Arial"/>
        </w:rPr>
      </w:pPr>
      <w:r w:rsidRPr="00B450EB">
        <w:rPr>
          <w:rFonts w:eastAsiaTheme="minorEastAsia" w:cs="Arial"/>
        </w:rPr>
        <w:br w:type="page"/>
      </w:r>
    </w:p>
    <w:p w14:paraId="02B82259" w14:textId="264F8022" w:rsidR="006043D7" w:rsidRPr="00B450EB" w:rsidRDefault="006043D7" w:rsidP="00377AD7">
      <w:pPr>
        <w:pStyle w:val="Descripcin"/>
        <w:rPr>
          <w:color w:val="auto"/>
        </w:rPr>
      </w:pPr>
      <w:bookmarkStart w:id="98" w:name="_Ref209014164"/>
      <w:bookmarkStart w:id="99" w:name="_Ref209066049"/>
      <w:bookmarkStart w:id="100" w:name="_Toc209462742"/>
      <w:r w:rsidRPr="00B450EB">
        <w:rPr>
          <w:color w:val="auto"/>
        </w:rPr>
        <w:lastRenderedPageBreak/>
        <w:t>Figura</w:t>
      </w:r>
      <w:bookmarkEnd w:id="97"/>
      <w:bookmarkEnd w:id="98"/>
      <w:r w:rsidRPr="00B450EB">
        <w:rPr>
          <w:color w:val="auto"/>
        </w:rPr>
        <w:t xml:space="preserve">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54</w:t>
      </w:r>
      <w:r w:rsidRPr="00B450EB">
        <w:rPr>
          <w:color w:val="auto"/>
        </w:rPr>
        <w:fldChar w:fldCharType="end"/>
      </w:r>
      <w:bookmarkEnd w:id="99"/>
      <w:r w:rsidR="009F2BD1" w:rsidRPr="00B450EB">
        <w:rPr>
          <w:color w:val="auto"/>
        </w:rPr>
        <w:t xml:space="preserve"> . Patrón espacial de riqueza de anfibios</w:t>
      </w:r>
      <w:r w:rsidR="00090FB4" w:rsidRPr="00B450EB">
        <w:rPr>
          <w:color w:val="auto"/>
        </w:rPr>
        <w:t xml:space="preserve"> (izquierda) y reptiles (derecha) en</w:t>
      </w:r>
      <w:r w:rsidR="009F2BD1" w:rsidRPr="00B450EB">
        <w:rPr>
          <w:color w:val="auto"/>
        </w:rPr>
        <w:t xml:space="preserve"> el bioma amazónico</w:t>
      </w:r>
      <w:r w:rsidR="00090FB4" w:rsidRPr="00B450EB">
        <w:rPr>
          <w:color w:val="auto"/>
        </w:rPr>
        <w:t>.</w:t>
      </w:r>
      <w:bookmarkEnd w:id="100"/>
    </w:p>
    <w:p w14:paraId="2E59C3C1" w14:textId="7CA82272" w:rsidR="00461785" w:rsidRPr="00B450EB" w:rsidRDefault="00461785" w:rsidP="00A311CC">
      <w:pPr>
        <w:spacing w:after="0" w:line="276" w:lineRule="auto"/>
        <w:jc w:val="center"/>
        <w:rPr>
          <w:rFonts w:eastAsiaTheme="minorEastAsia" w:cs="Arial"/>
        </w:rPr>
      </w:pPr>
      <w:r w:rsidRPr="00B450EB">
        <w:rPr>
          <w:rFonts w:eastAsiaTheme="minorEastAsia" w:cs="Arial"/>
          <w:noProof/>
        </w:rPr>
        <w:drawing>
          <wp:inline distT="0" distB="0" distL="0" distR="0" wp14:anchorId="0836DF51" wp14:editId="361A23D0">
            <wp:extent cx="2799010" cy="2162755"/>
            <wp:effectExtent l="0" t="0" r="1905" b="9525"/>
            <wp:docPr id="235060074" name="Imagen 1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060074" name="Imagen 11" descr="Mapa&#10;&#10;El contenido generado por IA puede ser incorrecto."/>
                    <pic:cNvPicPr/>
                  </pic:nvPicPr>
                  <pic:blipFill>
                    <a:blip r:embed="rId99" cstate="email">
                      <a:extLst>
                        <a:ext uri="{28A0092B-C50C-407E-A947-70E740481C1C}">
                          <a14:useLocalDpi xmlns:a14="http://schemas.microsoft.com/office/drawing/2010/main"/>
                        </a:ext>
                      </a:extLst>
                    </a:blip>
                    <a:stretch>
                      <a:fillRect/>
                    </a:stretch>
                  </pic:blipFill>
                  <pic:spPr>
                    <a:xfrm>
                      <a:off x="0" y="0"/>
                      <a:ext cx="2814111" cy="2174423"/>
                    </a:xfrm>
                    <a:prstGeom prst="rect">
                      <a:avLst/>
                    </a:prstGeom>
                  </pic:spPr>
                </pic:pic>
              </a:graphicData>
            </a:graphic>
          </wp:inline>
        </w:drawing>
      </w:r>
      <w:r w:rsidRPr="00B450EB">
        <w:rPr>
          <w:rFonts w:eastAsiaTheme="minorEastAsia" w:cs="Arial"/>
          <w:noProof/>
        </w:rPr>
        <w:drawing>
          <wp:inline distT="0" distB="0" distL="0" distR="0" wp14:anchorId="593E6161" wp14:editId="23DCA374">
            <wp:extent cx="2806810" cy="2168783"/>
            <wp:effectExtent l="0" t="0" r="0" b="3175"/>
            <wp:docPr id="329518568" name="Imagen 1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18568" name="Imagen 12" descr="Mapa&#10;&#10;El contenido generado por IA puede ser incorrecto."/>
                    <pic:cNvPicPr/>
                  </pic:nvPicPr>
                  <pic:blipFill>
                    <a:blip r:embed="rId100" cstate="email">
                      <a:extLst>
                        <a:ext uri="{28A0092B-C50C-407E-A947-70E740481C1C}">
                          <a14:useLocalDpi xmlns:a14="http://schemas.microsoft.com/office/drawing/2010/main"/>
                        </a:ext>
                      </a:extLst>
                    </a:blip>
                    <a:stretch>
                      <a:fillRect/>
                    </a:stretch>
                  </pic:blipFill>
                  <pic:spPr>
                    <a:xfrm>
                      <a:off x="0" y="0"/>
                      <a:ext cx="2818235" cy="2177611"/>
                    </a:xfrm>
                    <a:prstGeom prst="rect">
                      <a:avLst/>
                    </a:prstGeom>
                  </pic:spPr>
                </pic:pic>
              </a:graphicData>
            </a:graphic>
          </wp:inline>
        </w:drawing>
      </w:r>
    </w:p>
    <w:p w14:paraId="79D56A71" w14:textId="195E15E9" w:rsidR="00090FB4" w:rsidRPr="00B450EB" w:rsidRDefault="00090FB4" w:rsidP="00377AD7">
      <w:pPr>
        <w:pStyle w:val="Descripcin"/>
        <w:rPr>
          <w:i w:val="0"/>
          <w:color w:val="auto"/>
        </w:rPr>
      </w:pPr>
      <w:r w:rsidRPr="00B450EB">
        <w:rPr>
          <w:rFonts w:eastAsiaTheme="minorEastAsia" w:cs="Arial"/>
          <w:i w:val="0"/>
          <w:color w:val="auto"/>
        </w:rPr>
        <w:t xml:space="preserve">Fuente: Elaboración propia </w:t>
      </w:r>
      <w:r w:rsidRPr="00B450EB">
        <w:rPr>
          <w:i w:val="0"/>
          <w:color w:val="auto"/>
        </w:rPr>
        <w:t>partir de los registros de GBIF</w:t>
      </w:r>
      <w:r w:rsidR="005B0838" w:rsidRPr="00B450EB">
        <w:rPr>
          <w:i w:val="0"/>
          <w:color w:val="auto"/>
        </w:rPr>
        <w:t>, 2025</w:t>
      </w:r>
      <w:r w:rsidRPr="00B450EB">
        <w:rPr>
          <w:i w:val="0"/>
          <w:color w:val="auto"/>
        </w:rPr>
        <w:t>.</w:t>
      </w:r>
    </w:p>
    <w:p w14:paraId="4E47BCA9" w14:textId="77777777" w:rsidR="00A311CC" w:rsidRPr="00B450EB" w:rsidRDefault="00A311CC" w:rsidP="00A311CC"/>
    <w:p w14:paraId="140A9843" w14:textId="06828F3D" w:rsidR="7459622A" w:rsidRPr="00B450EB" w:rsidRDefault="68E0F8ED" w:rsidP="00A311CC">
      <w:pPr>
        <w:rPr>
          <w:rFonts w:eastAsiaTheme="minorEastAsia" w:cs="Arial"/>
        </w:rPr>
      </w:pPr>
      <w:r w:rsidRPr="00B450EB">
        <w:rPr>
          <w:rFonts w:eastAsiaTheme="minorEastAsia" w:cs="Arial"/>
        </w:rPr>
        <w:t>En cuanto a reptiles</w:t>
      </w:r>
      <w:r w:rsidR="00D22BF8" w:rsidRPr="00B450EB">
        <w:rPr>
          <w:rFonts w:eastAsiaTheme="minorEastAsia" w:cs="Arial"/>
        </w:rPr>
        <w:t>,</w:t>
      </w:r>
      <w:r w:rsidRPr="00B450EB">
        <w:rPr>
          <w:rFonts w:eastAsiaTheme="minorEastAsia" w:cs="Arial"/>
        </w:rPr>
        <w:t xml:space="preserve"> han sido registradas 4 especies de </w:t>
      </w:r>
      <w:proofErr w:type="spellStart"/>
      <w:r w:rsidRPr="00B450EB">
        <w:rPr>
          <w:rFonts w:eastAsiaTheme="minorEastAsia" w:cs="Arial"/>
        </w:rPr>
        <w:t>cocodrílidos</w:t>
      </w:r>
      <w:proofErr w:type="spellEnd"/>
      <w:r w:rsidRPr="00B450EB">
        <w:rPr>
          <w:rFonts w:eastAsiaTheme="minorEastAsia" w:cs="Arial"/>
        </w:rPr>
        <w:t xml:space="preserve">, 15 de tortugas y 210 especies de </w:t>
      </w:r>
      <w:proofErr w:type="spellStart"/>
      <w:r w:rsidRPr="00B450EB">
        <w:rPr>
          <w:rFonts w:eastAsiaTheme="minorEastAsia" w:cs="Arial"/>
        </w:rPr>
        <w:t>Squamata</w:t>
      </w:r>
      <w:proofErr w:type="spellEnd"/>
      <w:r w:rsidRPr="00B450EB">
        <w:rPr>
          <w:rFonts w:eastAsiaTheme="minorEastAsia" w:cs="Arial"/>
        </w:rPr>
        <w:t xml:space="preserve"> (serpientes, lagartos y tatacoas), lo que convierte a esta región en la de mayor diversidad de reptiles en el país. Entre los registros del área se destaca la abundancia del lagarto </w:t>
      </w:r>
      <w:proofErr w:type="spellStart"/>
      <w:r w:rsidRPr="00B450EB">
        <w:rPr>
          <w:rFonts w:eastAsiaTheme="minorEastAsia" w:cs="Arial"/>
          <w:i/>
        </w:rPr>
        <w:t>Neusticurus</w:t>
      </w:r>
      <w:proofErr w:type="spellEnd"/>
      <w:r w:rsidRPr="00B450EB">
        <w:rPr>
          <w:rFonts w:eastAsiaTheme="minorEastAsia" w:cs="Arial"/>
          <w:i/>
        </w:rPr>
        <w:t xml:space="preserve"> </w:t>
      </w:r>
      <w:proofErr w:type="spellStart"/>
      <w:r w:rsidRPr="00B450EB">
        <w:rPr>
          <w:rFonts w:eastAsiaTheme="minorEastAsia" w:cs="Arial"/>
          <w:i/>
        </w:rPr>
        <w:t>medemi</w:t>
      </w:r>
      <w:proofErr w:type="spellEnd"/>
      <w:r w:rsidRPr="00B450EB">
        <w:rPr>
          <w:rFonts w:eastAsiaTheme="minorEastAsia" w:cs="Arial"/>
        </w:rPr>
        <w:t xml:space="preserve">, así como la presencia de </w:t>
      </w:r>
      <w:proofErr w:type="spellStart"/>
      <w:r w:rsidRPr="00B450EB">
        <w:rPr>
          <w:rFonts w:eastAsiaTheme="minorEastAsia" w:cs="Arial"/>
          <w:i/>
        </w:rPr>
        <w:t>Bachia</w:t>
      </w:r>
      <w:proofErr w:type="spellEnd"/>
      <w:r w:rsidRPr="00B450EB">
        <w:rPr>
          <w:rFonts w:eastAsiaTheme="minorEastAsia" w:cs="Arial"/>
          <w:i/>
        </w:rPr>
        <w:t xml:space="preserve"> </w:t>
      </w:r>
      <w:proofErr w:type="spellStart"/>
      <w:r w:rsidRPr="00B450EB">
        <w:rPr>
          <w:rFonts w:eastAsiaTheme="minorEastAsia" w:cs="Arial"/>
          <w:i/>
        </w:rPr>
        <w:t>pyburni</w:t>
      </w:r>
      <w:proofErr w:type="spellEnd"/>
      <w:r w:rsidRPr="00B450EB">
        <w:rPr>
          <w:rFonts w:eastAsiaTheme="minorEastAsia" w:cs="Arial"/>
          <w:i/>
        </w:rPr>
        <w:t xml:space="preserve">, </w:t>
      </w:r>
      <w:proofErr w:type="spellStart"/>
      <w:r w:rsidRPr="00B450EB">
        <w:rPr>
          <w:rFonts w:eastAsiaTheme="minorEastAsia" w:cs="Arial"/>
          <w:i/>
        </w:rPr>
        <w:t>Helicops</w:t>
      </w:r>
      <w:proofErr w:type="spellEnd"/>
      <w:r w:rsidRPr="00B450EB">
        <w:rPr>
          <w:rFonts w:eastAsiaTheme="minorEastAsia" w:cs="Arial"/>
          <w:i/>
        </w:rPr>
        <w:t xml:space="preserve"> </w:t>
      </w:r>
      <w:proofErr w:type="spellStart"/>
      <w:r w:rsidRPr="00B450EB">
        <w:rPr>
          <w:rFonts w:eastAsiaTheme="minorEastAsia" w:cs="Arial"/>
          <w:i/>
        </w:rPr>
        <w:t>hagmanni</w:t>
      </w:r>
      <w:proofErr w:type="spellEnd"/>
      <w:r w:rsidRPr="00B450EB">
        <w:rPr>
          <w:rFonts w:eastAsiaTheme="minorEastAsia" w:cs="Arial"/>
          <w:i/>
        </w:rPr>
        <w:t xml:space="preserve"> y </w:t>
      </w:r>
      <w:proofErr w:type="spellStart"/>
      <w:r w:rsidRPr="00B450EB">
        <w:rPr>
          <w:rFonts w:eastAsiaTheme="minorEastAsia" w:cs="Arial"/>
          <w:i/>
        </w:rPr>
        <w:t>Micrurus</w:t>
      </w:r>
      <w:proofErr w:type="spellEnd"/>
      <w:r w:rsidRPr="00B450EB">
        <w:rPr>
          <w:rFonts w:eastAsiaTheme="minorEastAsia" w:cs="Arial"/>
          <w:i/>
        </w:rPr>
        <w:t xml:space="preserve"> </w:t>
      </w:r>
      <w:proofErr w:type="spellStart"/>
      <w:r w:rsidRPr="00B450EB">
        <w:rPr>
          <w:rFonts w:eastAsiaTheme="minorEastAsia" w:cs="Arial"/>
          <w:i/>
        </w:rPr>
        <w:t>filiformis</w:t>
      </w:r>
      <w:proofErr w:type="spellEnd"/>
      <w:r w:rsidRPr="00B450EB">
        <w:rPr>
          <w:rFonts w:eastAsiaTheme="minorEastAsia" w:cs="Arial"/>
        </w:rPr>
        <w:t>, dando gran relevancia a la zona para la conservación y el conocimiento herpetológico.</w:t>
      </w:r>
      <w:r w:rsidR="00F760B7" w:rsidRPr="00B450EB">
        <w:rPr>
          <w:rFonts w:eastAsiaTheme="minorEastAsia" w:cs="Arial"/>
        </w:rPr>
        <w:t xml:space="preserve"> Adicionalmente se cuenta con la presencia de la anaconda verde (</w:t>
      </w:r>
      <w:proofErr w:type="spellStart"/>
      <w:r w:rsidR="00F760B7" w:rsidRPr="00B450EB">
        <w:rPr>
          <w:rFonts w:eastAsiaTheme="minorEastAsia" w:cs="Arial"/>
          <w:i/>
          <w:iCs/>
        </w:rPr>
        <w:t>Eunectes</w:t>
      </w:r>
      <w:proofErr w:type="spellEnd"/>
      <w:r w:rsidR="00F760B7" w:rsidRPr="00B450EB">
        <w:rPr>
          <w:rFonts w:eastAsiaTheme="minorEastAsia" w:cs="Arial"/>
          <w:i/>
          <w:iCs/>
        </w:rPr>
        <w:t xml:space="preserve"> </w:t>
      </w:r>
      <w:proofErr w:type="spellStart"/>
      <w:r w:rsidR="00F760B7" w:rsidRPr="00B450EB">
        <w:rPr>
          <w:rFonts w:eastAsiaTheme="minorEastAsia" w:cs="Arial"/>
          <w:i/>
          <w:iCs/>
        </w:rPr>
        <w:t>murinus</w:t>
      </w:r>
      <w:proofErr w:type="spellEnd"/>
      <w:r w:rsidR="00F760B7" w:rsidRPr="00B450EB">
        <w:rPr>
          <w:rFonts w:eastAsiaTheme="minorEastAsia" w:cs="Arial"/>
        </w:rPr>
        <w:t xml:space="preserve">), que es la serpiente más grande del mundo y la cual juega un rol importante en la </w:t>
      </w:r>
      <w:r w:rsidR="00F760B7" w:rsidRPr="00B450EB">
        <w:rPr>
          <w:rFonts w:eastAsiaTheme="minorEastAsia" w:cs="Arial"/>
          <w:b/>
        </w:rPr>
        <w:t>cadena alimentaria</w:t>
      </w:r>
      <w:r w:rsidR="00F760B7" w:rsidRPr="00B450EB">
        <w:rPr>
          <w:rFonts w:eastAsiaTheme="minorEastAsia" w:cs="Arial"/>
        </w:rPr>
        <w:t xml:space="preserve"> como</w:t>
      </w:r>
      <w:r w:rsidR="00BE5D71" w:rsidRPr="00B450EB">
        <w:rPr>
          <w:rFonts w:eastAsiaTheme="minorEastAsia" w:cs="Arial"/>
        </w:rPr>
        <w:t xml:space="preserve"> uno de los</w:t>
      </w:r>
      <w:r w:rsidR="00F760B7" w:rsidRPr="00B450EB">
        <w:rPr>
          <w:rFonts w:eastAsiaTheme="minorEastAsia" w:cs="Arial"/>
        </w:rPr>
        <w:t xml:space="preserve"> </w:t>
      </w:r>
      <w:r w:rsidR="00F760B7" w:rsidRPr="00B450EB">
        <w:rPr>
          <w:rFonts w:eastAsiaTheme="minorEastAsia" w:cs="Arial"/>
          <w:b/>
        </w:rPr>
        <w:t>predador</w:t>
      </w:r>
      <w:r w:rsidR="00BE5D71" w:rsidRPr="00B450EB">
        <w:rPr>
          <w:rFonts w:eastAsiaTheme="minorEastAsia" w:cs="Arial"/>
          <w:b/>
        </w:rPr>
        <w:t>es</w:t>
      </w:r>
      <w:r w:rsidR="00F760B7" w:rsidRPr="00B450EB">
        <w:rPr>
          <w:rFonts w:eastAsiaTheme="minorEastAsia" w:cs="Arial"/>
          <w:b/>
        </w:rPr>
        <w:t xml:space="preserve"> tope</w:t>
      </w:r>
      <w:r w:rsidR="00F760B7" w:rsidRPr="00B450EB">
        <w:rPr>
          <w:rFonts w:eastAsiaTheme="minorEastAsia" w:cs="Arial"/>
        </w:rPr>
        <w:t xml:space="preserve"> del ecosistema</w:t>
      </w:r>
      <w:r w:rsidR="00E55CC7" w:rsidRPr="00B450EB">
        <w:rPr>
          <w:rFonts w:eastAsiaTheme="minorEastAsia" w:cs="Arial"/>
        </w:rPr>
        <w:t xml:space="preserve"> (</w:t>
      </w:r>
      <w:proofErr w:type="spellStart"/>
      <w:r w:rsidR="00E55CC7" w:rsidRPr="00B450EB">
        <w:t>Cortéz</w:t>
      </w:r>
      <w:proofErr w:type="spellEnd"/>
      <w:r w:rsidR="00E55CC7" w:rsidRPr="00B450EB">
        <w:t>-Gómez et al., 2015)</w:t>
      </w:r>
      <w:r w:rsidR="00F760B7" w:rsidRPr="00B450EB">
        <w:rPr>
          <w:rFonts w:eastAsiaTheme="minorEastAsia" w:cs="Arial"/>
        </w:rPr>
        <w:t xml:space="preserve">. </w:t>
      </w:r>
      <w:r w:rsidR="006168F4" w:rsidRPr="00B450EB">
        <w:rPr>
          <w:rFonts w:eastAsiaTheme="minorEastAsia" w:cs="Arial"/>
        </w:rPr>
        <w:t>Al igual que en los artrópodos y anfibios, la riqueza reportada de reptiles en el bioma amazónico se ve fuertemente influenciada por los esfuerzos de muestreo</w:t>
      </w:r>
      <w:r w:rsidR="00E06028" w:rsidRPr="00B450EB">
        <w:rPr>
          <w:rFonts w:eastAsiaTheme="minorEastAsia" w:cs="Arial"/>
        </w:rPr>
        <w:t>.</w:t>
      </w:r>
      <w:r w:rsidR="009921D9" w:rsidRPr="00B450EB">
        <w:rPr>
          <w:rFonts w:eastAsiaTheme="minorEastAsia" w:cs="Arial"/>
        </w:rPr>
        <w:t xml:space="preserve"> </w:t>
      </w:r>
    </w:p>
    <w:p w14:paraId="2864850C" w14:textId="638CE5D1" w:rsidR="7459622A" w:rsidRPr="00B450EB" w:rsidRDefault="68E0F8ED" w:rsidP="001C1081">
      <w:pPr>
        <w:pStyle w:val="Ttulo3"/>
        <w:numPr>
          <w:ilvl w:val="3"/>
          <w:numId w:val="16"/>
        </w:numPr>
        <w:tabs>
          <w:tab w:val="left" w:pos="1677"/>
        </w:tabs>
      </w:pPr>
      <w:bookmarkStart w:id="101" w:name="_Toc209722929"/>
      <w:r w:rsidRPr="00B450EB">
        <w:t>Aves</w:t>
      </w:r>
      <w:bookmarkEnd w:id="101"/>
      <w:r w:rsidRPr="00B450EB">
        <w:t xml:space="preserve"> </w:t>
      </w:r>
    </w:p>
    <w:p w14:paraId="14061E5E" w14:textId="55ABA489" w:rsidR="68E0F8ED" w:rsidRPr="00B450EB" w:rsidRDefault="00D42A4F" w:rsidP="00A311CC">
      <w:r w:rsidRPr="00B450EB">
        <w:t>L</w:t>
      </w:r>
      <w:r w:rsidR="00F549CF" w:rsidRPr="00B450EB">
        <w:t>a</w:t>
      </w:r>
      <w:r w:rsidR="68E0F8ED" w:rsidRPr="00B450EB">
        <w:t xml:space="preserve"> Amazonía colombiana </w:t>
      </w:r>
      <w:r w:rsidRPr="00B450EB">
        <w:t>cuenta con especies emblemáticas como el guacamayo rojo,</w:t>
      </w:r>
      <w:r w:rsidR="0042434C" w:rsidRPr="00B450EB">
        <w:t xml:space="preserve"> el</w:t>
      </w:r>
      <w:r w:rsidRPr="00B450EB">
        <w:t xml:space="preserve"> águila arpía</w:t>
      </w:r>
      <w:r w:rsidR="0042434C" w:rsidRPr="00B450EB">
        <w:t xml:space="preserve"> y diferentes tucanes, los cuales actúan </w:t>
      </w:r>
      <w:r w:rsidRPr="00B450EB">
        <w:t xml:space="preserve">como </w:t>
      </w:r>
      <w:r w:rsidRPr="00B450EB">
        <w:rPr>
          <w:b/>
        </w:rPr>
        <w:t>dispersores de semillas y controladores de poblaciones de pequeños animales</w:t>
      </w:r>
      <w:r w:rsidR="00BC34BB" w:rsidRPr="00B450EB">
        <w:rPr>
          <w:b/>
        </w:rPr>
        <w:t xml:space="preserve"> </w:t>
      </w:r>
      <w:r w:rsidR="00BC34BB" w:rsidRPr="00B450EB">
        <w:rPr>
          <w:bCs/>
        </w:rPr>
        <w:t>(</w:t>
      </w:r>
      <w:r w:rsidR="00BC34BB" w:rsidRPr="00B450EB">
        <w:t>Díaz-</w:t>
      </w:r>
      <w:proofErr w:type="spellStart"/>
      <w:r w:rsidR="00BC34BB" w:rsidRPr="00B450EB">
        <w:t>Cháux</w:t>
      </w:r>
      <w:proofErr w:type="spellEnd"/>
      <w:r w:rsidR="00BC34BB" w:rsidRPr="00B450EB">
        <w:t xml:space="preserve"> et al., 2025)</w:t>
      </w:r>
      <w:r w:rsidRPr="00B450EB">
        <w:t>.</w:t>
      </w:r>
      <w:r w:rsidR="0042434C" w:rsidRPr="00B450EB">
        <w:t xml:space="preserve"> </w:t>
      </w:r>
      <w:r w:rsidR="00EF348F" w:rsidRPr="00B450EB">
        <w:t>S</w:t>
      </w:r>
      <w:r w:rsidR="68E0F8ED" w:rsidRPr="00B450EB">
        <w:t>e han registrado al menos 800 especies de aves</w:t>
      </w:r>
      <w:r w:rsidR="009C3189" w:rsidRPr="00B450EB">
        <w:t xml:space="preserve">, aunque </w:t>
      </w:r>
      <w:r w:rsidR="68E0F8ED" w:rsidRPr="00B450EB">
        <w:t>se estima la presencia de 1.300 a 1.500, lo que equivale a cerca del 75% de la avifauna nacional</w:t>
      </w:r>
      <w:r w:rsidR="00717BE0" w:rsidRPr="00B450EB">
        <w:t>, que</w:t>
      </w:r>
      <w:r w:rsidR="68E0F8ED" w:rsidRPr="00B450EB">
        <w:t xml:space="preserve"> en el contexto global es la de mayor riqueza a nivel global al alberga</w:t>
      </w:r>
      <w:r w:rsidR="009C3189" w:rsidRPr="00B450EB">
        <w:t>r</w:t>
      </w:r>
      <w:r w:rsidR="68E0F8ED" w:rsidRPr="00B450EB">
        <w:t xml:space="preserve"> cerca de 2.000 especies de aves de las aproximadamente 10.000 descritas en el mundo.</w:t>
      </w:r>
      <w:r w:rsidRPr="00B450EB">
        <w:t xml:space="preserve"> </w:t>
      </w:r>
      <w:r w:rsidR="00374F32" w:rsidRPr="00B450EB">
        <w:t>En el bioma amazónico se observa</w:t>
      </w:r>
      <w:r w:rsidR="00CD4600" w:rsidRPr="00B450EB">
        <w:t xml:space="preserve"> la presencia promedio de más de 3</w:t>
      </w:r>
      <w:r w:rsidR="00B6506B" w:rsidRPr="00B450EB">
        <w:t>0</w:t>
      </w:r>
      <w:r w:rsidR="00CD4600" w:rsidRPr="00B450EB">
        <w:t xml:space="preserve"> especies por unidad de área</w:t>
      </w:r>
      <w:r w:rsidR="00806375" w:rsidRPr="00B450EB">
        <w:t>, pudiendo llegar a</w:t>
      </w:r>
      <w:r w:rsidR="001461E9" w:rsidRPr="00B450EB">
        <w:t xml:space="preserve"> obtenerse </w:t>
      </w:r>
      <w:r w:rsidR="00B6506B" w:rsidRPr="00B450EB">
        <w:t>hasta cerca de 1.00</w:t>
      </w:r>
      <w:r w:rsidR="0063000B" w:rsidRPr="00B450EB">
        <w:t>0</w:t>
      </w:r>
      <w:r w:rsidR="00B6506B" w:rsidRPr="00B450EB">
        <w:t xml:space="preserve"> especies en una misma unida</w:t>
      </w:r>
      <w:r w:rsidR="0063000B" w:rsidRPr="00B450EB">
        <w:t>d (</w:t>
      </w:r>
      <w:r w:rsidR="0063000B" w:rsidRPr="00B450EB">
        <w:fldChar w:fldCharType="begin"/>
      </w:r>
      <w:r w:rsidR="0063000B" w:rsidRPr="00B450EB">
        <w:instrText xml:space="preserve"> REF _Ref209014565 \h </w:instrText>
      </w:r>
      <w:r w:rsidR="006E0BC8" w:rsidRPr="00B450EB">
        <w:instrText xml:space="preserve"> \* MERGEFORMAT </w:instrText>
      </w:r>
      <w:r w:rsidR="0063000B" w:rsidRPr="00B450EB">
        <w:fldChar w:fldCharType="separate"/>
      </w:r>
      <w:r w:rsidR="00010D09" w:rsidRPr="00B450EB">
        <w:t xml:space="preserve">Figura </w:t>
      </w:r>
      <w:r w:rsidR="00010D09" w:rsidRPr="00B450EB">
        <w:rPr>
          <w:noProof/>
        </w:rPr>
        <w:t>55</w:t>
      </w:r>
      <w:r w:rsidR="0063000B" w:rsidRPr="00B450EB">
        <w:fldChar w:fldCharType="end"/>
      </w:r>
      <w:r w:rsidR="0063000B" w:rsidRPr="00B450EB">
        <w:t xml:space="preserve">), lo cual da cuenta de la </w:t>
      </w:r>
      <w:r w:rsidR="00F8334E" w:rsidRPr="00B450EB">
        <w:t>importancia que tiene este bioma para el mantenimiento de la avifauna nacional y global</w:t>
      </w:r>
      <w:r w:rsidR="009968C9" w:rsidRPr="00B450EB">
        <w:t xml:space="preserve">, aún más </w:t>
      </w:r>
      <w:r w:rsidR="009968C9" w:rsidRPr="00B450EB">
        <w:lastRenderedPageBreak/>
        <w:t xml:space="preserve">considerando la presencia de especies tanto residentes como migratorias por unidades de tiempo, afectando así no solo procesos regionales </w:t>
      </w:r>
      <w:r w:rsidR="005428BF" w:rsidRPr="00B450EB">
        <w:t xml:space="preserve">sino continentales. </w:t>
      </w:r>
    </w:p>
    <w:p w14:paraId="1E19EB75" w14:textId="120A5BA4" w:rsidR="00DF14D6" w:rsidRPr="00B450EB" w:rsidRDefault="00DF14D6" w:rsidP="00377AD7">
      <w:pPr>
        <w:pStyle w:val="Descripcin"/>
        <w:rPr>
          <w:color w:val="auto"/>
        </w:rPr>
      </w:pPr>
      <w:bookmarkStart w:id="102" w:name="_Ref209014565"/>
      <w:bookmarkStart w:id="103" w:name="_Toc209462743"/>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55</w:t>
      </w:r>
      <w:r w:rsidRPr="00B450EB">
        <w:rPr>
          <w:color w:val="auto"/>
        </w:rPr>
        <w:fldChar w:fldCharType="end"/>
      </w:r>
      <w:bookmarkEnd w:id="102"/>
      <w:r w:rsidR="0030270E" w:rsidRPr="00B450EB">
        <w:rPr>
          <w:color w:val="auto"/>
        </w:rPr>
        <w:t xml:space="preserve"> Patrón espacial de riqueza de aves en el bioma amazónico</w:t>
      </w:r>
      <w:bookmarkEnd w:id="103"/>
    </w:p>
    <w:p w14:paraId="0EE5338A" w14:textId="4EDCDC76" w:rsidR="006300C0" w:rsidRPr="00B450EB" w:rsidRDefault="00DF14D6" w:rsidP="00A311CC">
      <w:pPr>
        <w:tabs>
          <w:tab w:val="left" w:pos="1677"/>
        </w:tabs>
        <w:spacing w:after="0"/>
        <w:jc w:val="center"/>
      </w:pPr>
      <w:r w:rsidRPr="00B450EB">
        <w:rPr>
          <w:noProof/>
        </w:rPr>
        <w:drawing>
          <wp:inline distT="0" distB="0" distL="0" distR="0" wp14:anchorId="0A0273A9" wp14:editId="5FB76FAE">
            <wp:extent cx="4713037" cy="3641698"/>
            <wp:effectExtent l="0" t="0" r="0" b="0"/>
            <wp:docPr id="11296560" name="Imagen 1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6560" name="Imagen 15" descr="Mapa&#10;&#10;El contenido generado por IA puede ser incorrecto."/>
                    <pic:cNvPicPr/>
                  </pic:nvPicPr>
                  <pic:blipFill>
                    <a:blip r:embed="rId101" cstate="email">
                      <a:extLst>
                        <a:ext uri="{28A0092B-C50C-407E-A947-70E740481C1C}">
                          <a14:useLocalDpi xmlns:a14="http://schemas.microsoft.com/office/drawing/2010/main"/>
                        </a:ext>
                      </a:extLst>
                    </a:blip>
                    <a:stretch>
                      <a:fillRect/>
                    </a:stretch>
                  </pic:blipFill>
                  <pic:spPr>
                    <a:xfrm>
                      <a:off x="0" y="0"/>
                      <a:ext cx="4720425" cy="3647407"/>
                    </a:xfrm>
                    <a:prstGeom prst="rect">
                      <a:avLst/>
                    </a:prstGeom>
                  </pic:spPr>
                </pic:pic>
              </a:graphicData>
            </a:graphic>
          </wp:inline>
        </w:drawing>
      </w:r>
    </w:p>
    <w:p w14:paraId="09E1FE8A" w14:textId="3F333F03" w:rsidR="0030270E" w:rsidRPr="00B450EB" w:rsidRDefault="0030270E" w:rsidP="00377AD7">
      <w:pPr>
        <w:pStyle w:val="Descripcin"/>
        <w:rPr>
          <w:i w:val="0"/>
          <w:color w:val="auto"/>
        </w:rPr>
      </w:pPr>
      <w:r w:rsidRPr="00B450EB">
        <w:rPr>
          <w:rFonts w:eastAsiaTheme="minorEastAsia" w:cs="Arial"/>
          <w:i w:val="0"/>
          <w:color w:val="auto"/>
        </w:rPr>
        <w:t xml:space="preserve">Fuente: Elaboración propia </w:t>
      </w:r>
      <w:r w:rsidRPr="00B450EB">
        <w:rPr>
          <w:i w:val="0"/>
          <w:color w:val="auto"/>
        </w:rPr>
        <w:t>partir de los registros de GBIF</w:t>
      </w:r>
      <w:r w:rsidR="000E1E58" w:rsidRPr="00B450EB">
        <w:rPr>
          <w:i w:val="0"/>
          <w:color w:val="auto"/>
        </w:rPr>
        <w:t>, 2025</w:t>
      </w:r>
      <w:r w:rsidRPr="00B450EB">
        <w:rPr>
          <w:i w:val="0"/>
          <w:color w:val="auto"/>
        </w:rPr>
        <w:t>.</w:t>
      </w:r>
    </w:p>
    <w:p w14:paraId="12220575" w14:textId="77777777" w:rsidR="00A311CC" w:rsidRPr="00B450EB" w:rsidRDefault="00A311CC" w:rsidP="00A311CC"/>
    <w:p w14:paraId="1CA82BA8" w14:textId="01E499CC" w:rsidR="68E0F8ED" w:rsidRPr="00B450EB" w:rsidRDefault="68E0F8ED" w:rsidP="7459622A">
      <w:pPr>
        <w:tabs>
          <w:tab w:val="left" w:pos="1677"/>
        </w:tabs>
      </w:pPr>
      <w:r w:rsidRPr="00B450EB">
        <w:t>Entre las especies de mayor relevancia para la conservación en el área destacan el paujil negro (</w:t>
      </w:r>
      <w:proofErr w:type="spellStart"/>
      <w:r w:rsidRPr="00B450EB">
        <w:rPr>
          <w:i/>
        </w:rPr>
        <w:t>Crax</w:t>
      </w:r>
      <w:proofErr w:type="spellEnd"/>
      <w:r w:rsidRPr="00B450EB">
        <w:rPr>
          <w:i/>
        </w:rPr>
        <w:t xml:space="preserve"> </w:t>
      </w:r>
      <w:proofErr w:type="spellStart"/>
      <w:r w:rsidRPr="00B450EB">
        <w:rPr>
          <w:i/>
        </w:rPr>
        <w:t>alector</w:t>
      </w:r>
      <w:proofErr w:type="spellEnd"/>
      <w:r w:rsidRPr="00B450EB">
        <w:t xml:space="preserve">), el paujil </w:t>
      </w:r>
      <w:proofErr w:type="spellStart"/>
      <w:r w:rsidRPr="00B450EB">
        <w:t>culicastaño</w:t>
      </w:r>
      <w:proofErr w:type="spellEnd"/>
      <w:r w:rsidRPr="00B450EB">
        <w:t xml:space="preserve"> (</w:t>
      </w:r>
      <w:proofErr w:type="spellStart"/>
      <w:r w:rsidRPr="00B450EB">
        <w:rPr>
          <w:i/>
        </w:rPr>
        <w:t>Mitu</w:t>
      </w:r>
      <w:proofErr w:type="spellEnd"/>
      <w:r w:rsidRPr="00B450EB">
        <w:rPr>
          <w:i/>
        </w:rPr>
        <w:t xml:space="preserve"> </w:t>
      </w:r>
      <w:proofErr w:type="spellStart"/>
      <w:r w:rsidRPr="00B450EB">
        <w:rPr>
          <w:i/>
        </w:rPr>
        <w:t>tomentosum</w:t>
      </w:r>
      <w:proofErr w:type="spellEnd"/>
      <w:r w:rsidRPr="00B450EB">
        <w:t>) y el tucán silbador (</w:t>
      </w:r>
      <w:proofErr w:type="spellStart"/>
      <w:r w:rsidRPr="00B450EB">
        <w:rPr>
          <w:i/>
        </w:rPr>
        <w:t>Ramphastos</w:t>
      </w:r>
      <w:proofErr w:type="spellEnd"/>
      <w:r w:rsidRPr="00B450EB">
        <w:rPr>
          <w:i/>
        </w:rPr>
        <w:t xml:space="preserve"> </w:t>
      </w:r>
      <w:proofErr w:type="spellStart"/>
      <w:r w:rsidRPr="00B450EB">
        <w:rPr>
          <w:i/>
        </w:rPr>
        <w:t>tucanus</w:t>
      </w:r>
      <w:proofErr w:type="spellEnd"/>
      <w:r w:rsidRPr="00B450EB">
        <w:t xml:space="preserve">), todas bajo alguna categoría de amenaza global, cuya protección resulta prioritaria para las comunidades locales y las iniciativas de </w:t>
      </w:r>
      <w:proofErr w:type="spellStart"/>
      <w:r w:rsidRPr="00B450EB">
        <w:rPr>
          <w:b/>
        </w:rPr>
        <w:t>aviturismo</w:t>
      </w:r>
      <w:proofErr w:type="spellEnd"/>
      <w:r w:rsidRPr="00B450EB">
        <w:t>. Asimismo, resalta el esmeralda de Chiribiquete (</w:t>
      </w:r>
      <w:proofErr w:type="spellStart"/>
      <w:r w:rsidRPr="00B450EB">
        <w:t>C</w:t>
      </w:r>
      <w:r w:rsidRPr="00B450EB">
        <w:rPr>
          <w:i/>
        </w:rPr>
        <w:t>hlorostilbon</w:t>
      </w:r>
      <w:proofErr w:type="spellEnd"/>
      <w:r w:rsidRPr="00B450EB">
        <w:rPr>
          <w:i/>
        </w:rPr>
        <w:t xml:space="preserve"> </w:t>
      </w:r>
      <w:proofErr w:type="spellStart"/>
      <w:r w:rsidRPr="00B450EB">
        <w:rPr>
          <w:i/>
        </w:rPr>
        <w:t>olivaresi</w:t>
      </w:r>
      <w:proofErr w:type="spellEnd"/>
      <w:r w:rsidRPr="00B450EB">
        <w:t>), única ave endémica de la Amazonia colombiana, y el hormiguero colorado (</w:t>
      </w:r>
      <w:proofErr w:type="spellStart"/>
      <w:r w:rsidRPr="00B450EB">
        <w:rPr>
          <w:i/>
        </w:rPr>
        <w:t>Myrmeciza</w:t>
      </w:r>
      <w:proofErr w:type="spellEnd"/>
      <w:r w:rsidRPr="00B450EB">
        <w:rPr>
          <w:i/>
        </w:rPr>
        <w:t xml:space="preserve"> </w:t>
      </w:r>
      <w:proofErr w:type="spellStart"/>
      <w:r w:rsidRPr="00B450EB">
        <w:rPr>
          <w:i/>
        </w:rPr>
        <w:t>castanea</w:t>
      </w:r>
      <w:proofErr w:type="spellEnd"/>
      <w:r w:rsidRPr="00B450EB">
        <w:t xml:space="preserve">), especie prácticamente restringida a esta región del país. A estas se suman otras especies de gran atractivo para observadores de aves, como águilas, </w:t>
      </w:r>
      <w:proofErr w:type="spellStart"/>
      <w:r w:rsidRPr="00B450EB">
        <w:t>trogones</w:t>
      </w:r>
      <w:proofErr w:type="spellEnd"/>
      <w:r w:rsidRPr="00B450EB">
        <w:t xml:space="preserve"> y jacamares, que refuerzan la importancia del área tanto para la conservación como para el turismo de naturaleza. </w:t>
      </w:r>
    </w:p>
    <w:p w14:paraId="75CC5066" w14:textId="1EA1EC91" w:rsidR="7459622A" w:rsidRPr="00B450EB" w:rsidRDefault="68E0F8ED" w:rsidP="001C1081">
      <w:pPr>
        <w:pStyle w:val="Ttulo3"/>
        <w:numPr>
          <w:ilvl w:val="3"/>
          <w:numId w:val="16"/>
        </w:numPr>
        <w:tabs>
          <w:tab w:val="left" w:pos="1677"/>
        </w:tabs>
      </w:pPr>
      <w:bookmarkStart w:id="104" w:name="_Toc209722930"/>
      <w:proofErr w:type="spellStart"/>
      <w:r w:rsidRPr="00B450EB">
        <w:t>Mastofauna</w:t>
      </w:r>
      <w:bookmarkEnd w:id="104"/>
      <w:proofErr w:type="spellEnd"/>
    </w:p>
    <w:p w14:paraId="66C9EEEB" w14:textId="411E15DA" w:rsidR="00392236" w:rsidRPr="00B450EB" w:rsidRDefault="68E0F8ED" w:rsidP="008343EF">
      <w:pPr>
        <w:spacing w:line="276" w:lineRule="auto"/>
        <w:rPr>
          <w:rFonts w:eastAsiaTheme="minorEastAsia" w:cs="Arial"/>
        </w:rPr>
      </w:pPr>
      <w:r w:rsidRPr="00B450EB">
        <w:rPr>
          <w:rFonts w:eastAsiaTheme="minorEastAsia" w:cs="Arial"/>
        </w:rPr>
        <w:t xml:space="preserve">En Colombia se han registrado hasta el momento 553 especies de mamíferos, lo que sitúa al país en el sexto lugar en riqueza de especies a nivel mundial y en el cuarto en el continente americano, después de Brasil (Ramírez-Chaves et al. 2016). De estas, en la Amazonía colombiana se han documentado </w:t>
      </w:r>
      <w:r w:rsidRPr="00B450EB">
        <w:rPr>
          <w:rFonts w:eastAsiaTheme="minorEastAsia" w:cs="Arial"/>
          <w:b/>
        </w:rPr>
        <w:t>265 especies</w:t>
      </w:r>
      <w:r w:rsidRPr="00B450EB">
        <w:rPr>
          <w:rFonts w:eastAsiaTheme="minorEastAsia" w:cs="Arial"/>
        </w:rPr>
        <w:t xml:space="preserve">, lo que </w:t>
      </w:r>
      <w:r w:rsidRPr="00B450EB">
        <w:rPr>
          <w:rFonts w:eastAsiaTheme="minorEastAsia" w:cs="Arial"/>
        </w:rPr>
        <w:lastRenderedPageBreak/>
        <w:t>corresponde a cerca del 50 % de la riqueza nacional, aunque se considera que esta cifra está subestimada debido a la limitada exploración y la existencia de vastas áreas sin muestreos sistemáticos</w:t>
      </w:r>
      <w:r w:rsidR="00412F08" w:rsidRPr="00B450EB">
        <w:rPr>
          <w:rFonts w:eastAsiaTheme="minorEastAsia" w:cs="Arial"/>
        </w:rPr>
        <w:t xml:space="preserve"> (Morales Martínez, et al., 2019)</w:t>
      </w:r>
      <w:r w:rsidRPr="00B450EB">
        <w:rPr>
          <w:rFonts w:eastAsiaTheme="minorEastAsia" w:cs="Arial"/>
        </w:rPr>
        <w:t xml:space="preserve">. </w:t>
      </w:r>
      <w:r w:rsidR="00CC207B" w:rsidRPr="00B450EB">
        <w:rPr>
          <w:rFonts w:eastAsiaTheme="minorEastAsia" w:cs="Arial"/>
        </w:rPr>
        <w:t xml:space="preserve">A pesar de esto, plataformas </w:t>
      </w:r>
      <w:r w:rsidR="00BD2552" w:rsidRPr="00B450EB">
        <w:rPr>
          <w:rFonts w:eastAsiaTheme="minorEastAsia" w:cs="Arial"/>
        </w:rPr>
        <w:t xml:space="preserve">de acceso a datos abiertos como GBIF, cuenta con registros de hasta 106 especies simpátricas en áreas con </w:t>
      </w:r>
      <w:r w:rsidR="0031370F" w:rsidRPr="00B450EB">
        <w:rPr>
          <w:rFonts w:eastAsiaTheme="minorEastAsia" w:cs="Arial"/>
        </w:rPr>
        <w:t xml:space="preserve">mayores esfuerzos de </w:t>
      </w:r>
      <w:r w:rsidR="00BD2552" w:rsidRPr="00B450EB">
        <w:rPr>
          <w:rFonts w:eastAsiaTheme="minorEastAsia" w:cs="Arial"/>
        </w:rPr>
        <w:t>muestreo</w:t>
      </w:r>
      <w:r w:rsidR="0031370F" w:rsidRPr="00B450EB">
        <w:rPr>
          <w:rFonts w:eastAsiaTheme="minorEastAsia" w:cs="Arial"/>
        </w:rPr>
        <w:t xml:space="preserve"> (</w:t>
      </w:r>
      <w:r w:rsidR="00EE7AE0" w:rsidRPr="00B450EB">
        <w:rPr>
          <w:rFonts w:eastAsiaTheme="minorEastAsia" w:cs="Arial"/>
        </w:rPr>
        <w:fldChar w:fldCharType="begin"/>
      </w:r>
      <w:r w:rsidR="00EE7AE0" w:rsidRPr="00B450EB">
        <w:rPr>
          <w:rFonts w:eastAsiaTheme="minorEastAsia" w:cs="Arial"/>
        </w:rPr>
        <w:instrText xml:space="preserve"> REF _Ref209066131 \h </w:instrText>
      </w:r>
      <w:r w:rsidR="006E0BC8" w:rsidRPr="00B450EB">
        <w:rPr>
          <w:rFonts w:eastAsiaTheme="minorEastAsia" w:cs="Arial"/>
        </w:rPr>
        <w:instrText xml:space="preserve"> \* MERGEFORMAT </w:instrText>
      </w:r>
      <w:r w:rsidR="00EE7AE0" w:rsidRPr="00B450EB">
        <w:rPr>
          <w:rFonts w:eastAsiaTheme="minorEastAsia" w:cs="Arial"/>
        </w:rPr>
      </w:r>
      <w:r w:rsidR="00EE7AE0" w:rsidRPr="00B450EB">
        <w:rPr>
          <w:rFonts w:eastAsiaTheme="minorEastAsia" w:cs="Arial"/>
        </w:rPr>
        <w:fldChar w:fldCharType="separate"/>
      </w:r>
      <w:r w:rsidR="00010D09" w:rsidRPr="00B450EB">
        <w:t xml:space="preserve">Figura </w:t>
      </w:r>
      <w:r w:rsidR="00010D09" w:rsidRPr="00B450EB">
        <w:rPr>
          <w:noProof/>
        </w:rPr>
        <w:t>56</w:t>
      </w:r>
      <w:r w:rsidR="00EE7AE0" w:rsidRPr="00B450EB">
        <w:rPr>
          <w:rFonts w:eastAsiaTheme="minorEastAsia" w:cs="Arial"/>
        </w:rPr>
        <w:fldChar w:fldCharType="end"/>
      </w:r>
      <w:r w:rsidR="0031370F" w:rsidRPr="00B450EB">
        <w:rPr>
          <w:rFonts w:eastAsiaTheme="minorEastAsia" w:cs="Arial"/>
        </w:rPr>
        <w:t xml:space="preserve">). </w:t>
      </w:r>
    </w:p>
    <w:p w14:paraId="7E318D0A" w14:textId="234EB919" w:rsidR="00F729A4" w:rsidRPr="00B450EB" w:rsidRDefault="00F729A4" w:rsidP="00377AD7">
      <w:pPr>
        <w:pStyle w:val="Descripcin"/>
        <w:rPr>
          <w:color w:val="auto"/>
        </w:rPr>
      </w:pPr>
      <w:bookmarkStart w:id="105" w:name="_Ref209015215"/>
      <w:bookmarkStart w:id="106" w:name="_Ref209066131"/>
      <w:bookmarkStart w:id="107" w:name="_Toc209462744"/>
      <w:r w:rsidRPr="00B450EB">
        <w:rPr>
          <w:color w:val="auto"/>
        </w:rPr>
        <w:t>Figura</w:t>
      </w:r>
      <w:bookmarkEnd w:id="105"/>
      <w:r w:rsidRPr="00B450EB">
        <w:rPr>
          <w:color w:val="auto"/>
        </w:rPr>
        <w:t xml:space="preserve">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56</w:t>
      </w:r>
      <w:r w:rsidR="0045353A" w:rsidRPr="00B450EB">
        <w:rPr>
          <w:noProof/>
          <w:color w:val="auto"/>
        </w:rPr>
        <w:fldChar w:fldCharType="end"/>
      </w:r>
      <w:bookmarkEnd w:id="106"/>
      <w:r w:rsidR="00CE115A" w:rsidRPr="00B450EB">
        <w:rPr>
          <w:color w:val="auto"/>
        </w:rPr>
        <w:t xml:space="preserve"> </w:t>
      </w:r>
      <w:r w:rsidR="00891EB0" w:rsidRPr="00B450EB">
        <w:rPr>
          <w:color w:val="auto"/>
        </w:rPr>
        <w:t>. Patrón espacial de riqueza de mamíferos en el bioma amazónico</w:t>
      </w:r>
      <w:bookmarkEnd w:id="107"/>
    </w:p>
    <w:p w14:paraId="3FA881CA" w14:textId="01850CA7" w:rsidR="00461785" w:rsidRPr="00B450EB" w:rsidRDefault="00461785" w:rsidP="00EE7AE0">
      <w:pPr>
        <w:spacing w:after="0" w:line="276" w:lineRule="auto"/>
        <w:jc w:val="center"/>
        <w:rPr>
          <w:rFonts w:eastAsiaTheme="minorEastAsia" w:cs="Arial"/>
        </w:rPr>
      </w:pPr>
      <w:r w:rsidRPr="00B450EB">
        <w:rPr>
          <w:rFonts w:eastAsiaTheme="minorEastAsia" w:cs="Arial"/>
          <w:noProof/>
        </w:rPr>
        <w:drawing>
          <wp:inline distT="0" distB="0" distL="0" distR="0" wp14:anchorId="6843043C" wp14:editId="1B4440F4">
            <wp:extent cx="4659072" cy="3600000"/>
            <wp:effectExtent l="0" t="0" r="8255" b="635"/>
            <wp:docPr id="503218116" name="Imagen 1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218116" name="Imagen 13" descr="Mapa&#10;&#10;El contenido generado por IA puede ser incorrecto."/>
                    <pic:cNvPicPr/>
                  </pic:nvPicPr>
                  <pic:blipFill>
                    <a:blip r:embed="rId102" cstate="email">
                      <a:extLst>
                        <a:ext uri="{28A0092B-C50C-407E-A947-70E740481C1C}">
                          <a14:useLocalDpi xmlns:a14="http://schemas.microsoft.com/office/drawing/2010/main"/>
                        </a:ext>
                      </a:extLst>
                    </a:blip>
                    <a:stretch>
                      <a:fillRect/>
                    </a:stretch>
                  </pic:blipFill>
                  <pic:spPr>
                    <a:xfrm>
                      <a:off x="0" y="0"/>
                      <a:ext cx="4659072" cy="3600000"/>
                    </a:xfrm>
                    <a:prstGeom prst="rect">
                      <a:avLst/>
                    </a:prstGeom>
                  </pic:spPr>
                </pic:pic>
              </a:graphicData>
            </a:graphic>
          </wp:inline>
        </w:drawing>
      </w:r>
    </w:p>
    <w:p w14:paraId="56CEEF99" w14:textId="28567B8B" w:rsidR="00090FB4" w:rsidRPr="00B450EB" w:rsidRDefault="00090FB4" w:rsidP="00377AD7">
      <w:pPr>
        <w:pStyle w:val="Descripcin"/>
        <w:rPr>
          <w:i w:val="0"/>
          <w:color w:val="auto"/>
        </w:rPr>
      </w:pPr>
      <w:r w:rsidRPr="00B450EB">
        <w:rPr>
          <w:rFonts w:eastAsiaTheme="minorEastAsia" w:cs="Arial"/>
          <w:i w:val="0"/>
          <w:color w:val="auto"/>
        </w:rPr>
        <w:t xml:space="preserve">Fuente: Elaboración propia </w:t>
      </w:r>
      <w:r w:rsidRPr="00B450EB">
        <w:rPr>
          <w:i w:val="0"/>
          <w:color w:val="auto"/>
        </w:rPr>
        <w:t>partir de los registros de GBIF</w:t>
      </w:r>
      <w:r w:rsidR="000E1E58" w:rsidRPr="00B450EB">
        <w:rPr>
          <w:i w:val="0"/>
          <w:color w:val="auto"/>
        </w:rPr>
        <w:t>, 2025</w:t>
      </w:r>
      <w:r w:rsidRPr="00B450EB">
        <w:rPr>
          <w:i w:val="0"/>
          <w:color w:val="auto"/>
        </w:rPr>
        <w:t>.</w:t>
      </w:r>
    </w:p>
    <w:p w14:paraId="3D3B5956" w14:textId="77777777" w:rsidR="00EE7AE0" w:rsidRPr="00B450EB" w:rsidRDefault="00EE7AE0" w:rsidP="00EE7AE0"/>
    <w:p w14:paraId="4F21D14F" w14:textId="71FBF76F" w:rsidR="00EE7AE0" w:rsidRPr="00B450EB" w:rsidRDefault="00EA7428" w:rsidP="008343EF">
      <w:pPr>
        <w:spacing w:line="276" w:lineRule="auto"/>
        <w:rPr>
          <w:rFonts w:eastAsiaTheme="minorEastAsia" w:cs="Arial"/>
          <w:iCs/>
        </w:rPr>
      </w:pPr>
      <w:r w:rsidRPr="00B450EB">
        <w:rPr>
          <w:rFonts w:eastAsiaTheme="minorEastAsia" w:cs="Arial"/>
          <w:iCs/>
        </w:rPr>
        <w:t>La presencia de diferentes</w:t>
      </w:r>
      <w:r w:rsidR="00920EE8" w:rsidRPr="00B450EB">
        <w:rPr>
          <w:rFonts w:eastAsiaTheme="minorEastAsia" w:cs="Arial"/>
          <w:iCs/>
        </w:rPr>
        <w:t xml:space="preserve"> especies de </w:t>
      </w:r>
      <w:r w:rsidR="007A792A" w:rsidRPr="00B450EB">
        <w:rPr>
          <w:rFonts w:eastAsiaTheme="minorEastAsia" w:cs="Arial"/>
          <w:iCs/>
        </w:rPr>
        <w:t>mamíferos (</w:t>
      </w:r>
      <w:r w:rsidR="00920EE8" w:rsidRPr="00B450EB">
        <w:rPr>
          <w:rFonts w:eastAsiaTheme="minorEastAsia" w:cs="Arial"/>
          <w:iCs/>
        </w:rPr>
        <w:t>primates</w:t>
      </w:r>
      <w:r w:rsidR="007A792A" w:rsidRPr="00B450EB">
        <w:rPr>
          <w:rFonts w:eastAsiaTheme="minorEastAsia" w:cs="Arial"/>
          <w:iCs/>
        </w:rPr>
        <w:t>, carnívoros, perezosos, murciélagos, etc</w:t>
      </w:r>
      <w:r w:rsidR="006A096F" w:rsidRPr="00B450EB">
        <w:rPr>
          <w:rFonts w:eastAsiaTheme="minorEastAsia" w:cs="Arial"/>
          <w:iCs/>
        </w:rPr>
        <w:t>.</w:t>
      </w:r>
      <w:r w:rsidR="007A792A" w:rsidRPr="00B450EB">
        <w:rPr>
          <w:rFonts w:eastAsiaTheme="minorEastAsia" w:cs="Arial"/>
          <w:iCs/>
        </w:rPr>
        <w:t>)</w:t>
      </w:r>
      <w:r w:rsidR="00920EE8" w:rsidRPr="00B450EB">
        <w:rPr>
          <w:rFonts w:eastAsiaTheme="minorEastAsia" w:cs="Arial"/>
          <w:iCs/>
        </w:rPr>
        <w:t xml:space="preserve"> </w:t>
      </w:r>
      <w:r w:rsidR="00C25D5C" w:rsidRPr="00B450EB">
        <w:rPr>
          <w:rFonts w:eastAsiaTheme="minorEastAsia" w:cs="Arial"/>
          <w:iCs/>
        </w:rPr>
        <w:t xml:space="preserve">influye fuertemente en </w:t>
      </w:r>
      <w:r w:rsidR="00920EE8" w:rsidRPr="00B450EB">
        <w:rPr>
          <w:rFonts w:eastAsiaTheme="minorEastAsia" w:cs="Arial"/>
          <w:iCs/>
        </w:rPr>
        <w:t xml:space="preserve">el </w:t>
      </w:r>
      <w:r w:rsidR="00C25D5C" w:rsidRPr="00B450EB">
        <w:rPr>
          <w:rFonts w:eastAsiaTheme="minorEastAsia" w:cs="Arial"/>
          <w:iCs/>
        </w:rPr>
        <w:t>cumplimiento de</w:t>
      </w:r>
      <w:r w:rsidR="00920EE8" w:rsidRPr="00B450EB">
        <w:rPr>
          <w:rFonts w:eastAsiaTheme="minorEastAsia" w:cs="Arial"/>
          <w:iCs/>
        </w:rPr>
        <w:t xml:space="preserve"> funciones importantes </w:t>
      </w:r>
      <w:r w:rsidR="00C25D5C" w:rsidRPr="00B450EB">
        <w:rPr>
          <w:rFonts w:eastAsiaTheme="minorEastAsia" w:cs="Arial"/>
          <w:iCs/>
        </w:rPr>
        <w:t xml:space="preserve">para este ecosistema como </w:t>
      </w:r>
      <w:r w:rsidR="00920EE8" w:rsidRPr="00B450EB">
        <w:rPr>
          <w:rFonts w:eastAsiaTheme="minorEastAsia" w:cs="Arial"/>
          <w:iCs/>
        </w:rPr>
        <w:t xml:space="preserve">la </w:t>
      </w:r>
      <w:r w:rsidR="00920EE8" w:rsidRPr="00B450EB">
        <w:rPr>
          <w:rFonts w:eastAsiaTheme="minorEastAsia" w:cs="Arial"/>
          <w:b/>
        </w:rPr>
        <w:t>dispersión de semillas</w:t>
      </w:r>
      <w:r w:rsidR="00C25D5C" w:rsidRPr="00B450EB">
        <w:rPr>
          <w:rFonts w:eastAsiaTheme="minorEastAsia" w:cs="Arial"/>
          <w:b/>
        </w:rPr>
        <w:t>, el control de poblaciones de insectos y pequeños vertebrados</w:t>
      </w:r>
      <w:r w:rsidR="00131EA2" w:rsidRPr="00B450EB">
        <w:rPr>
          <w:rFonts w:eastAsiaTheme="minorEastAsia" w:cs="Arial"/>
          <w:b/>
        </w:rPr>
        <w:t xml:space="preserve"> y el </w:t>
      </w:r>
      <w:proofErr w:type="spellStart"/>
      <w:r w:rsidR="00131EA2" w:rsidRPr="00B450EB">
        <w:rPr>
          <w:rFonts w:eastAsiaTheme="minorEastAsia" w:cs="Arial"/>
          <w:b/>
        </w:rPr>
        <w:t>ciclaje</w:t>
      </w:r>
      <w:proofErr w:type="spellEnd"/>
      <w:r w:rsidR="00131EA2" w:rsidRPr="00B450EB">
        <w:rPr>
          <w:rFonts w:eastAsiaTheme="minorEastAsia" w:cs="Arial"/>
          <w:b/>
        </w:rPr>
        <w:t xml:space="preserve"> </w:t>
      </w:r>
      <w:r w:rsidR="00920EE8" w:rsidRPr="00B450EB">
        <w:rPr>
          <w:rFonts w:eastAsiaTheme="minorEastAsia" w:cs="Arial"/>
          <w:b/>
        </w:rPr>
        <w:t>de nutrientes</w:t>
      </w:r>
      <w:r w:rsidR="006338CD" w:rsidRPr="00B450EB">
        <w:rPr>
          <w:rFonts w:eastAsiaTheme="minorEastAsia" w:cs="Arial"/>
          <w:b/>
        </w:rPr>
        <w:t xml:space="preserve"> </w:t>
      </w:r>
      <w:r w:rsidR="006338CD" w:rsidRPr="00B450EB">
        <w:rPr>
          <w:rFonts w:eastAsiaTheme="minorEastAsia" w:cs="Arial"/>
          <w:bCs/>
        </w:rPr>
        <w:t>(</w:t>
      </w:r>
      <w:proofErr w:type="spellStart"/>
      <w:r w:rsidR="006338CD" w:rsidRPr="00B450EB">
        <w:t>Lacher</w:t>
      </w:r>
      <w:proofErr w:type="spellEnd"/>
      <w:r w:rsidR="006338CD" w:rsidRPr="00B450EB">
        <w:t xml:space="preserve"> et al., 2019)</w:t>
      </w:r>
      <w:r w:rsidR="00C91339" w:rsidRPr="00B450EB">
        <w:rPr>
          <w:rFonts w:eastAsiaTheme="minorEastAsia" w:cs="Arial"/>
          <w:iCs/>
        </w:rPr>
        <w:t>.</w:t>
      </w:r>
      <w:r w:rsidR="00A44CE1" w:rsidRPr="00B450EB">
        <w:rPr>
          <w:rFonts w:eastAsiaTheme="minorEastAsia" w:cs="Arial"/>
          <w:iCs/>
        </w:rPr>
        <w:t xml:space="preserve"> </w:t>
      </w:r>
      <w:r w:rsidR="00376E15" w:rsidRPr="00B450EB">
        <w:rPr>
          <w:rFonts w:eastAsiaTheme="minorEastAsia" w:cs="Arial"/>
          <w:iCs/>
        </w:rPr>
        <w:t>La</w:t>
      </w:r>
      <w:r w:rsidR="00A44CE1" w:rsidRPr="00B450EB">
        <w:rPr>
          <w:rFonts w:eastAsiaTheme="minorEastAsia" w:cs="Arial"/>
          <w:iCs/>
        </w:rPr>
        <w:t xml:space="preserve"> alta riqueza de algunos grupos refleja </w:t>
      </w:r>
      <w:r w:rsidR="00FA1E30" w:rsidRPr="00B450EB">
        <w:rPr>
          <w:rFonts w:eastAsiaTheme="minorEastAsia" w:cs="Arial"/>
          <w:iCs/>
        </w:rPr>
        <w:t xml:space="preserve">la variedad de oferta de hábitats </w:t>
      </w:r>
      <w:r w:rsidR="0033058D" w:rsidRPr="00B450EB">
        <w:rPr>
          <w:rFonts w:eastAsiaTheme="minorEastAsia" w:cs="Arial"/>
          <w:iCs/>
        </w:rPr>
        <w:t>que mantiene la zona y permite</w:t>
      </w:r>
      <w:r w:rsidR="00D352E3" w:rsidRPr="00B450EB">
        <w:rPr>
          <w:rFonts w:eastAsiaTheme="minorEastAsia" w:cs="Arial"/>
          <w:iCs/>
        </w:rPr>
        <w:t xml:space="preserve"> la simpatría de diferentes especies </w:t>
      </w:r>
      <w:r w:rsidR="00802AA2" w:rsidRPr="00B450EB">
        <w:rPr>
          <w:rFonts w:eastAsiaTheme="minorEastAsia" w:cs="Arial"/>
          <w:iCs/>
        </w:rPr>
        <w:t>en la zona (</w:t>
      </w:r>
      <w:r w:rsidR="00D149F7" w:rsidRPr="00B450EB">
        <w:rPr>
          <w:rFonts w:eastAsiaTheme="minorEastAsia" w:cs="Arial"/>
          <w:iCs/>
        </w:rPr>
        <w:fldChar w:fldCharType="begin"/>
      </w:r>
      <w:r w:rsidR="00D149F7" w:rsidRPr="00B450EB">
        <w:rPr>
          <w:rFonts w:eastAsiaTheme="minorEastAsia" w:cs="Arial"/>
          <w:iCs/>
        </w:rPr>
        <w:instrText xml:space="preserve"> REF _Ref208841480 \h </w:instrText>
      </w:r>
      <w:r w:rsidR="006E0BC8" w:rsidRPr="00B450EB">
        <w:rPr>
          <w:rFonts w:eastAsiaTheme="minorEastAsia" w:cs="Arial"/>
          <w:iCs/>
        </w:rPr>
        <w:instrText xml:space="preserve"> \* MERGEFORMAT </w:instrText>
      </w:r>
      <w:r w:rsidR="00D149F7" w:rsidRPr="00B450EB">
        <w:rPr>
          <w:rFonts w:eastAsiaTheme="minorEastAsia" w:cs="Arial"/>
          <w:iCs/>
        </w:rPr>
      </w:r>
      <w:r w:rsidR="00D149F7" w:rsidRPr="00B450EB">
        <w:rPr>
          <w:rFonts w:eastAsiaTheme="minorEastAsia" w:cs="Arial"/>
          <w:iCs/>
        </w:rPr>
        <w:fldChar w:fldCharType="separate"/>
      </w:r>
      <w:r w:rsidR="00010D09" w:rsidRPr="00B450EB">
        <w:t xml:space="preserve">Figura </w:t>
      </w:r>
      <w:r w:rsidR="00010D09" w:rsidRPr="00B450EB">
        <w:rPr>
          <w:noProof/>
        </w:rPr>
        <w:t>57</w:t>
      </w:r>
      <w:r w:rsidR="00D149F7" w:rsidRPr="00B450EB">
        <w:rPr>
          <w:rFonts w:eastAsiaTheme="minorEastAsia" w:cs="Arial"/>
          <w:iCs/>
        </w:rPr>
        <w:fldChar w:fldCharType="end"/>
      </w:r>
      <w:r w:rsidR="00D149F7" w:rsidRPr="00B450EB">
        <w:rPr>
          <w:rFonts w:eastAsiaTheme="minorEastAsia" w:cs="Arial"/>
          <w:iCs/>
        </w:rPr>
        <w:t xml:space="preserve">). </w:t>
      </w:r>
      <w:r w:rsidR="00957FD7" w:rsidRPr="00B450EB">
        <w:rPr>
          <w:rFonts w:eastAsiaTheme="minorEastAsia" w:cs="Arial"/>
          <w:iCs/>
        </w:rPr>
        <w:t xml:space="preserve">Por ejemplo, </w:t>
      </w:r>
      <w:r w:rsidR="00521061" w:rsidRPr="00B450EB">
        <w:rPr>
          <w:rFonts w:eastAsiaTheme="minorEastAsia" w:cs="Arial"/>
          <w:iCs/>
        </w:rPr>
        <w:t>para Colombia</w:t>
      </w:r>
      <w:r w:rsidR="00957FD7" w:rsidRPr="00B450EB">
        <w:rPr>
          <w:rFonts w:eastAsiaTheme="minorEastAsia" w:cs="Arial"/>
          <w:iCs/>
        </w:rPr>
        <w:t xml:space="preserve">, el bioma amazónico colombiano </w:t>
      </w:r>
      <w:r w:rsidR="00521061" w:rsidRPr="00B450EB">
        <w:rPr>
          <w:rFonts w:eastAsiaTheme="minorEastAsia" w:cs="Arial"/>
          <w:iCs/>
        </w:rPr>
        <w:t xml:space="preserve">es aquel que concentra el mayor número de especies de primates, por lo cual </w:t>
      </w:r>
      <w:r w:rsidR="0013640E" w:rsidRPr="00B450EB">
        <w:rPr>
          <w:rFonts w:eastAsiaTheme="minorEastAsia" w:cs="Arial"/>
          <w:iCs/>
        </w:rPr>
        <w:t>es probable que la región haya jugado un rol importante en la diversificación</w:t>
      </w:r>
      <w:r w:rsidR="000D1936" w:rsidRPr="00B450EB">
        <w:rPr>
          <w:rFonts w:eastAsiaTheme="minorEastAsia" w:cs="Arial"/>
          <w:iCs/>
        </w:rPr>
        <w:t xml:space="preserve"> evolutiva y especiación</w:t>
      </w:r>
      <w:r w:rsidR="0013640E" w:rsidRPr="00B450EB">
        <w:rPr>
          <w:rFonts w:eastAsiaTheme="minorEastAsia" w:cs="Arial"/>
          <w:iCs/>
        </w:rPr>
        <w:t xml:space="preserve"> del grupo</w:t>
      </w:r>
      <w:r w:rsidR="00090608" w:rsidRPr="00B450EB">
        <w:rPr>
          <w:rFonts w:eastAsiaTheme="minorEastAsia" w:cs="Arial"/>
          <w:iCs/>
        </w:rPr>
        <w:t>.</w:t>
      </w:r>
      <w:r w:rsidR="0013640E" w:rsidRPr="00B450EB">
        <w:rPr>
          <w:rFonts w:eastAsiaTheme="minorEastAsia" w:cs="Arial"/>
          <w:iCs/>
        </w:rPr>
        <w:t xml:space="preserve"> </w:t>
      </w:r>
      <w:r w:rsidR="000D1936" w:rsidRPr="00B450EB">
        <w:rPr>
          <w:rFonts w:eastAsiaTheme="minorEastAsia" w:cs="Arial"/>
          <w:iCs/>
        </w:rPr>
        <w:t>Como se observa la siguiente figura, la mayor riqueza en términos de la distribución potencial de especies de primates se encuentra en los departamentos de Putumayo, Caquetá y Amazonas</w:t>
      </w:r>
      <w:r w:rsidR="00226C55" w:rsidRPr="00B450EB">
        <w:rPr>
          <w:rFonts w:eastAsiaTheme="minorEastAsia" w:cs="Arial"/>
          <w:iCs/>
        </w:rPr>
        <w:t>, seguidos de Vaup</w:t>
      </w:r>
      <w:r w:rsidR="00786E0A" w:rsidRPr="00B450EB">
        <w:rPr>
          <w:rFonts w:eastAsiaTheme="minorEastAsia" w:cs="Arial"/>
          <w:iCs/>
        </w:rPr>
        <w:t>és, Guaviare y Guainía</w:t>
      </w:r>
      <w:r w:rsidR="000D1936" w:rsidRPr="00B450EB">
        <w:rPr>
          <w:rFonts w:eastAsiaTheme="minorEastAsia" w:cs="Arial"/>
          <w:iCs/>
        </w:rPr>
        <w:t>.</w:t>
      </w:r>
    </w:p>
    <w:p w14:paraId="106AC4C1" w14:textId="55854554" w:rsidR="00D149F7" w:rsidRPr="00B450EB" w:rsidRDefault="00D149F7" w:rsidP="00377AD7">
      <w:pPr>
        <w:pStyle w:val="Descripcin"/>
        <w:rPr>
          <w:color w:val="auto"/>
        </w:rPr>
      </w:pPr>
      <w:bookmarkStart w:id="108" w:name="_Ref208841480"/>
      <w:bookmarkStart w:id="109" w:name="_Toc209462745"/>
      <w:r w:rsidRPr="00B450EB">
        <w:rPr>
          <w:color w:val="auto"/>
        </w:rPr>
        <w:lastRenderedPageBreak/>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57</w:t>
      </w:r>
      <w:r w:rsidRPr="00B450EB">
        <w:rPr>
          <w:color w:val="auto"/>
        </w:rPr>
        <w:fldChar w:fldCharType="end"/>
      </w:r>
      <w:bookmarkEnd w:id="108"/>
      <w:r w:rsidRPr="00B450EB">
        <w:rPr>
          <w:color w:val="auto"/>
        </w:rPr>
        <w:t>. Riqueza de especies de primates en la Amazonía colombiana</w:t>
      </w:r>
      <w:bookmarkEnd w:id="109"/>
    </w:p>
    <w:p w14:paraId="628DD819" w14:textId="089CB1D0" w:rsidR="00FC444C" w:rsidRPr="00B450EB" w:rsidRDefault="006330C0" w:rsidP="00EE7AE0">
      <w:pPr>
        <w:spacing w:after="0" w:line="276" w:lineRule="auto"/>
        <w:jc w:val="center"/>
        <w:rPr>
          <w:rFonts w:eastAsiaTheme="minorEastAsia" w:cs="Arial"/>
          <w:i/>
        </w:rPr>
      </w:pPr>
      <w:r w:rsidRPr="00B450EB">
        <w:rPr>
          <w:noProof/>
        </w:rPr>
        <w:drawing>
          <wp:inline distT="0" distB="0" distL="0" distR="0" wp14:anchorId="10048C27" wp14:editId="43AA08D0">
            <wp:extent cx="5612130" cy="4336415"/>
            <wp:effectExtent l="0" t="0" r="7620" b="6985"/>
            <wp:docPr id="1566942648"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942648" name="Imagen 1" descr="Mapa&#10;&#10;El contenido generado por IA puede ser incorrecto."/>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5612130" cy="4336415"/>
                    </a:xfrm>
                    <a:prstGeom prst="rect">
                      <a:avLst/>
                    </a:prstGeom>
                    <a:noFill/>
                    <a:ln>
                      <a:noFill/>
                    </a:ln>
                  </pic:spPr>
                </pic:pic>
              </a:graphicData>
            </a:graphic>
          </wp:inline>
        </w:drawing>
      </w:r>
    </w:p>
    <w:p w14:paraId="7BDA3925" w14:textId="1717EAA8" w:rsidR="003A2A36" w:rsidRPr="00B450EB" w:rsidRDefault="003A2A36" w:rsidP="00FC444C">
      <w:pPr>
        <w:spacing w:line="276" w:lineRule="auto"/>
        <w:jc w:val="center"/>
        <w:rPr>
          <w:sz w:val="18"/>
          <w:szCs w:val="18"/>
        </w:rPr>
      </w:pPr>
      <w:r w:rsidRPr="00B450EB">
        <w:rPr>
          <w:sz w:val="18"/>
          <w:szCs w:val="18"/>
        </w:rPr>
        <w:t xml:space="preserve">Fuente: </w:t>
      </w:r>
      <w:proofErr w:type="spellStart"/>
      <w:r w:rsidRPr="00B450EB">
        <w:rPr>
          <w:sz w:val="18"/>
          <w:szCs w:val="18"/>
        </w:rPr>
        <w:t>Biomodelos</w:t>
      </w:r>
      <w:proofErr w:type="spellEnd"/>
      <w:r w:rsidRPr="00B450EB">
        <w:rPr>
          <w:sz w:val="18"/>
          <w:szCs w:val="18"/>
        </w:rPr>
        <w:t xml:space="preserve"> del </w:t>
      </w:r>
      <w:proofErr w:type="spellStart"/>
      <w:r w:rsidRPr="00B450EB">
        <w:rPr>
          <w:sz w:val="18"/>
          <w:szCs w:val="18"/>
        </w:rPr>
        <w:t>I</w:t>
      </w:r>
      <w:r w:rsidR="00BC70B0" w:rsidRPr="00B450EB">
        <w:rPr>
          <w:sz w:val="18"/>
          <w:szCs w:val="18"/>
        </w:rPr>
        <w:t>A</w:t>
      </w:r>
      <w:r w:rsidRPr="00B450EB">
        <w:rPr>
          <w:sz w:val="18"/>
          <w:szCs w:val="18"/>
        </w:rPr>
        <w:t>vH</w:t>
      </w:r>
      <w:proofErr w:type="spellEnd"/>
      <w:r w:rsidR="000E1E58" w:rsidRPr="00B450EB">
        <w:rPr>
          <w:sz w:val="18"/>
          <w:szCs w:val="18"/>
        </w:rPr>
        <w:t>, 2025.</w:t>
      </w:r>
    </w:p>
    <w:p w14:paraId="23F697AF" w14:textId="77777777" w:rsidR="008F443B" w:rsidRPr="00B450EB" w:rsidRDefault="008F443B" w:rsidP="00FC444C">
      <w:pPr>
        <w:spacing w:line="276" w:lineRule="auto"/>
        <w:jc w:val="center"/>
        <w:rPr>
          <w:i/>
          <w:iCs/>
          <w:sz w:val="18"/>
          <w:szCs w:val="18"/>
        </w:rPr>
      </w:pPr>
    </w:p>
    <w:p w14:paraId="76A8327C" w14:textId="77777777" w:rsidR="00FC444C" w:rsidRPr="00B450EB" w:rsidRDefault="00FC444C" w:rsidP="00FC444C">
      <w:pPr>
        <w:rPr>
          <w:i/>
          <w:u w:val="single"/>
        </w:rPr>
      </w:pPr>
      <w:r w:rsidRPr="00B450EB">
        <w:rPr>
          <w:i/>
          <w:u w:val="single"/>
        </w:rPr>
        <w:t>Fauna terrestre endémica</w:t>
      </w:r>
    </w:p>
    <w:p w14:paraId="2DA5C578" w14:textId="77777777" w:rsidR="00FC444C" w:rsidRPr="00B450EB" w:rsidRDefault="00FC444C" w:rsidP="00FC444C">
      <w:r w:rsidRPr="00B450EB">
        <w:t>La siguiente lista muestra algunas de las especies endémicas de Colombia, ya sea con distribución exclusiva en la región de la Amazonía, o con presencia en esta región. Si bien la región Amazónica de Colombia presenta gran riqueza de especies, la mayoría de los endemismos en términos de fauna tienden a ser para todo el ecosistema amazónico que incluyen otros países como Brasil, Ecuador y Perú, por lo cual los endemismos exclusivos para el país son puntuales:</w:t>
      </w:r>
    </w:p>
    <w:p w14:paraId="37F1224F" w14:textId="5E326FAD" w:rsidR="00EB3741" w:rsidRPr="00B450EB" w:rsidRDefault="00EB3741" w:rsidP="007852AB">
      <w:pPr>
        <w:pStyle w:val="Descripcin"/>
        <w:jc w:val="both"/>
        <w:rPr>
          <w:color w:val="auto"/>
        </w:rPr>
      </w:pPr>
    </w:p>
    <w:p w14:paraId="71B80537" w14:textId="090DFDA2" w:rsidR="007852AB" w:rsidRPr="00B450EB" w:rsidRDefault="007852AB" w:rsidP="007852AB">
      <w:pPr>
        <w:pStyle w:val="Descripcin"/>
        <w:rPr>
          <w:color w:val="auto"/>
        </w:rPr>
      </w:pPr>
      <w:bookmarkStart w:id="110" w:name="_Toc209722995"/>
      <w:r w:rsidRPr="00B450EB">
        <w:rPr>
          <w:color w:val="auto"/>
        </w:rPr>
        <w:t xml:space="preserve">Tabla </w:t>
      </w:r>
      <w:r w:rsidR="0045353A" w:rsidRPr="00B450EB">
        <w:rPr>
          <w:color w:val="auto"/>
        </w:rPr>
        <w:fldChar w:fldCharType="begin"/>
      </w:r>
      <w:r w:rsidR="0045353A" w:rsidRPr="00B450EB">
        <w:rPr>
          <w:color w:val="auto"/>
        </w:rPr>
        <w:instrText xml:space="preserve"> SEQ Tabla \* ARABIC </w:instrText>
      </w:r>
      <w:r w:rsidR="0045353A" w:rsidRPr="00B450EB">
        <w:rPr>
          <w:color w:val="auto"/>
        </w:rPr>
        <w:fldChar w:fldCharType="separate"/>
      </w:r>
      <w:r w:rsidR="009765C2" w:rsidRPr="00B450EB">
        <w:rPr>
          <w:noProof/>
          <w:color w:val="auto"/>
        </w:rPr>
        <w:t>12</w:t>
      </w:r>
      <w:r w:rsidR="0045353A" w:rsidRPr="00B450EB">
        <w:rPr>
          <w:noProof/>
          <w:color w:val="auto"/>
        </w:rPr>
        <w:fldChar w:fldCharType="end"/>
      </w:r>
      <w:r w:rsidRPr="00B450EB">
        <w:rPr>
          <w:color w:val="auto"/>
        </w:rPr>
        <w:t xml:space="preserve"> Especies de fauna terrestre registradas como endémicas para Colombia</w:t>
      </w:r>
      <w:bookmarkEnd w:id="110"/>
    </w:p>
    <w:tbl>
      <w:tblPr>
        <w:tblW w:w="7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3405"/>
        <w:gridCol w:w="2575"/>
      </w:tblGrid>
      <w:tr w:rsidR="00EF1937" w:rsidRPr="00B450EB" w14:paraId="1C2A633B" w14:textId="77777777">
        <w:trPr>
          <w:trHeight w:val="300"/>
          <w:tblHeader/>
          <w:jc w:val="center"/>
        </w:trPr>
        <w:tc>
          <w:tcPr>
            <w:tcW w:w="1780" w:type="dxa"/>
            <w:shd w:val="clear" w:color="auto" w:fill="D9F2D0" w:themeFill="accent6" w:themeFillTint="33"/>
            <w:noWrap/>
            <w:vAlign w:val="center"/>
            <w:hideMark/>
          </w:tcPr>
          <w:p w14:paraId="3CC40ACA" w14:textId="77777777" w:rsidR="00FC444C" w:rsidRPr="00B450EB" w:rsidRDefault="00FC444C">
            <w:pPr>
              <w:spacing w:after="0" w:line="240" w:lineRule="auto"/>
              <w:jc w:val="center"/>
              <w:rPr>
                <w:rFonts w:eastAsia="Times New Roman" w:cs="Arial"/>
                <w:b/>
                <w:kern w:val="0"/>
                <w:sz w:val="18"/>
                <w:szCs w:val="18"/>
                <w:lang w:val="en-US" w:eastAsia="en-GB"/>
                <w14:ligatures w14:val="none"/>
              </w:rPr>
            </w:pPr>
            <w:r w:rsidRPr="00B450EB">
              <w:rPr>
                <w:rFonts w:eastAsia="Times New Roman" w:cs="Arial"/>
                <w:b/>
                <w:kern w:val="0"/>
                <w:sz w:val="18"/>
                <w:szCs w:val="18"/>
                <w:lang w:val="en-US" w:eastAsia="en-GB"/>
                <w14:ligatures w14:val="none"/>
              </w:rPr>
              <w:t>Departamento</w:t>
            </w:r>
          </w:p>
        </w:tc>
        <w:tc>
          <w:tcPr>
            <w:tcW w:w="3405" w:type="dxa"/>
            <w:shd w:val="clear" w:color="auto" w:fill="D9F2D0" w:themeFill="accent6" w:themeFillTint="33"/>
            <w:noWrap/>
            <w:vAlign w:val="center"/>
            <w:hideMark/>
          </w:tcPr>
          <w:p w14:paraId="47DECC76" w14:textId="77777777" w:rsidR="00FC444C" w:rsidRPr="00B450EB" w:rsidRDefault="00FC444C">
            <w:pPr>
              <w:spacing w:after="0" w:line="240" w:lineRule="auto"/>
              <w:jc w:val="center"/>
              <w:rPr>
                <w:rFonts w:eastAsia="Times New Roman" w:cs="Arial"/>
                <w:b/>
                <w:kern w:val="0"/>
                <w:sz w:val="18"/>
                <w:szCs w:val="18"/>
                <w:lang w:val="en-US" w:eastAsia="en-GB"/>
                <w14:ligatures w14:val="none"/>
              </w:rPr>
            </w:pPr>
            <w:proofErr w:type="spellStart"/>
            <w:r w:rsidRPr="00B450EB">
              <w:rPr>
                <w:rFonts w:eastAsia="Times New Roman" w:cs="Arial"/>
                <w:b/>
                <w:kern w:val="0"/>
                <w:sz w:val="18"/>
                <w:szCs w:val="18"/>
                <w:lang w:val="en-US" w:eastAsia="en-GB"/>
                <w14:ligatures w14:val="none"/>
              </w:rPr>
              <w:t>Especie</w:t>
            </w:r>
            <w:proofErr w:type="spellEnd"/>
          </w:p>
        </w:tc>
        <w:tc>
          <w:tcPr>
            <w:tcW w:w="2575" w:type="dxa"/>
            <w:shd w:val="clear" w:color="auto" w:fill="D9F2D0" w:themeFill="accent6" w:themeFillTint="33"/>
            <w:noWrap/>
            <w:vAlign w:val="center"/>
            <w:hideMark/>
          </w:tcPr>
          <w:p w14:paraId="4956A5FB" w14:textId="77777777" w:rsidR="00FC444C" w:rsidRPr="00B450EB" w:rsidRDefault="00FC444C">
            <w:pPr>
              <w:spacing w:after="0" w:line="240" w:lineRule="auto"/>
              <w:jc w:val="center"/>
              <w:rPr>
                <w:rFonts w:eastAsia="Times New Roman" w:cs="Arial"/>
                <w:b/>
                <w:kern w:val="0"/>
                <w:sz w:val="18"/>
                <w:szCs w:val="18"/>
                <w:lang w:val="en-US" w:eastAsia="en-GB"/>
                <w14:ligatures w14:val="none"/>
              </w:rPr>
            </w:pPr>
            <w:r w:rsidRPr="00B450EB">
              <w:rPr>
                <w:rFonts w:eastAsia="Times New Roman" w:cs="Arial"/>
                <w:b/>
                <w:kern w:val="0"/>
                <w:sz w:val="18"/>
                <w:szCs w:val="18"/>
                <w:lang w:val="en-US" w:eastAsia="en-GB"/>
                <w14:ligatures w14:val="none"/>
              </w:rPr>
              <w:t>Grupo</w:t>
            </w:r>
          </w:p>
        </w:tc>
      </w:tr>
      <w:tr w:rsidR="00EF1937" w:rsidRPr="00B450EB" w14:paraId="1A57CDFC" w14:textId="77777777">
        <w:trPr>
          <w:trHeight w:val="300"/>
          <w:jc w:val="center"/>
        </w:trPr>
        <w:tc>
          <w:tcPr>
            <w:tcW w:w="1780" w:type="dxa"/>
            <w:noWrap/>
            <w:vAlign w:val="center"/>
            <w:hideMark/>
          </w:tcPr>
          <w:p w14:paraId="212D8821" w14:textId="77777777" w:rsidR="00FC444C" w:rsidRPr="00B450EB" w:rsidRDefault="00FC444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Vichada, Amazonas</w:t>
            </w:r>
          </w:p>
        </w:tc>
        <w:tc>
          <w:tcPr>
            <w:tcW w:w="3405" w:type="dxa"/>
            <w:noWrap/>
            <w:vAlign w:val="center"/>
            <w:hideMark/>
          </w:tcPr>
          <w:p w14:paraId="6ACC2E94" w14:textId="77777777" w:rsidR="00FC444C" w:rsidRPr="00B450EB" w:rsidRDefault="00FC444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val="en-US" w:eastAsia="en-GB"/>
                <w14:ligatures w14:val="none"/>
              </w:rPr>
              <w:t>Hyloxalus</w:t>
            </w:r>
            <w:proofErr w:type="spellEnd"/>
            <w:r w:rsidRPr="00B450EB">
              <w:rPr>
                <w:rFonts w:eastAsia="Times New Roman" w:cs="Arial"/>
                <w:i/>
                <w:kern w:val="0"/>
                <w:sz w:val="18"/>
                <w:szCs w:val="18"/>
                <w:lang w:val="en-US" w:eastAsia="en-GB"/>
                <w14:ligatures w14:val="none"/>
              </w:rPr>
              <w:t xml:space="preserve"> </w:t>
            </w:r>
            <w:proofErr w:type="spellStart"/>
            <w:r w:rsidRPr="00B450EB">
              <w:rPr>
                <w:rFonts w:eastAsia="Times New Roman" w:cs="Arial"/>
                <w:i/>
                <w:kern w:val="0"/>
                <w:sz w:val="18"/>
                <w:szCs w:val="18"/>
                <w:lang w:val="en-US" w:eastAsia="en-GB"/>
                <w14:ligatures w14:val="none"/>
              </w:rPr>
              <w:t>faciopunctulatus</w:t>
            </w:r>
            <w:proofErr w:type="spellEnd"/>
          </w:p>
        </w:tc>
        <w:tc>
          <w:tcPr>
            <w:tcW w:w="2575" w:type="dxa"/>
            <w:noWrap/>
            <w:vAlign w:val="center"/>
            <w:hideMark/>
          </w:tcPr>
          <w:p w14:paraId="3623E6BE" w14:textId="77777777" w:rsidR="00FC444C" w:rsidRPr="00B450EB" w:rsidRDefault="00FC444C">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Anfibio</w:t>
            </w:r>
            <w:proofErr w:type="spellEnd"/>
          </w:p>
        </w:tc>
      </w:tr>
      <w:tr w:rsidR="00EF1937" w:rsidRPr="00B450EB" w14:paraId="3957CD23" w14:textId="77777777">
        <w:trPr>
          <w:trHeight w:val="300"/>
          <w:jc w:val="center"/>
        </w:trPr>
        <w:tc>
          <w:tcPr>
            <w:tcW w:w="1780" w:type="dxa"/>
            <w:noWrap/>
            <w:vAlign w:val="center"/>
            <w:hideMark/>
          </w:tcPr>
          <w:p w14:paraId="3585F08C" w14:textId="77777777" w:rsidR="00FC444C" w:rsidRPr="00B450EB" w:rsidRDefault="00FC444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Vaupes, Meta</w:t>
            </w:r>
          </w:p>
        </w:tc>
        <w:tc>
          <w:tcPr>
            <w:tcW w:w="3405" w:type="dxa"/>
            <w:noWrap/>
            <w:vAlign w:val="center"/>
            <w:hideMark/>
          </w:tcPr>
          <w:p w14:paraId="6E6A06F2" w14:textId="77777777" w:rsidR="00FC444C" w:rsidRPr="00B450EB" w:rsidRDefault="00FC444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val="en-US" w:eastAsia="en-GB"/>
                <w14:ligatures w14:val="none"/>
              </w:rPr>
              <w:t>Scinax</w:t>
            </w:r>
            <w:proofErr w:type="spellEnd"/>
            <w:r w:rsidRPr="00B450EB">
              <w:rPr>
                <w:rFonts w:eastAsia="Times New Roman" w:cs="Arial"/>
                <w:i/>
                <w:kern w:val="0"/>
                <w:sz w:val="18"/>
                <w:szCs w:val="18"/>
                <w:lang w:val="en-US" w:eastAsia="en-GB"/>
                <w14:ligatures w14:val="none"/>
              </w:rPr>
              <w:t xml:space="preserve"> </w:t>
            </w:r>
            <w:proofErr w:type="spellStart"/>
            <w:r w:rsidRPr="00B450EB">
              <w:rPr>
                <w:rFonts w:eastAsia="Times New Roman" w:cs="Arial"/>
                <w:i/>
                <w:kern w:val="0"/>
                <w:sz w:val="18"/>
                <w:szCs w:val="18"/>
                <w:lang w:val="en-US" w:eastAsia="en-GB"/>
                <w14:ligatures w14:val="none"/>
              </w:rPr>
              <w:t>karenanneae</w:t>
            </w:r>
            <w:proofErr w:type="spellEnd"/>
          </w:p>
        </w:tc>
        <w:tc>
          <w:tcPr>
            <w:tcW w:w="2575" w:type="dxa"/>
            <w:noWrap/>
            <w:vAlign w:val="center"/>
            <w:hideMark/>
          </w:tcPr>
          <w:p w14:paraId="749954D1" w14:textId="77777777" w:rsidR="00FC444C" w:rsidRPr="00B450EB" w:rsidRDefault="00FC444C">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Anfibio</w:t>
            </w:r>
            <w:proofErr w:type="spellEnd"/>
          </w:p>
        </w:tc>
      </w:tr>
      <w:tr w:rsidR="00EF1937" w:rsidRPr="00B450EB" w14:paraId="5915B92E" w14:textId="77777777">
        <w:trPr>
          <w:trHeight w:val="300"/>
          <w:jc w:val="center"/>
        </w:trPr>
        <w:tc>
          <w:tcPr>
            <w:tcW w:w="1780" w:type="dxa"/>
            <w:noWrap/>
            <w:vAlign w:val="center"/>
          </w:tcPr>
          <w:p w14:paraId="479F6BB7" w14:textId="33495175" w:rsidR="00044250" w:rsidRPr="00B450EB" w:rsidRDefault="008169D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Vaupes</w:t>
            </w:r>
          </w:p>
        </w:tc>
        <w:tc>
          <w:tcPr>
            <w:tcW w:w="3405" w:type="dxa"/>
            <w:noWrap/>
            <w:vAlign w:val="center"/>
          </w:tcPr>
          <w:p w14:paraId="49F42B8A" w14:textId="62BE2E6E" w:rsidR="00044250" w:rsidRPr="00B450EB" w:rsidRDefault="008169D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eastAsia="en-GB"/>
                <w14:ligatures w14:val="none"/>
              </w:rPr>
              <w:t>Caecilia</w:t>
            </w:r>
            <w:proofErr w:type="spellEnd"/>
            <w:r w:rsidRPr="00B450EB">
              <w:rPr>
                <w:rFonts w:eastAsia="Times New Roman" w:cs="Arial"/>
                <w:i/>
                <w:kern w:val="0"/>
                <w:sz w:val="18"/>
                <w:szCs w:val="18"/>
                <w:lang w:eastAsia="en-GB"/>
                <w14:ligatures w14:val="none"/>
              </w:rPr>
              <w:t xml:space="preserve"> </w:t>
            </w:r>
            <w:proofErr w:type="spellStart"/>
            <w:r w:rsidRPr="00B450EB">
              <w:rPr>
                <w:rFonts w:eastAsia="Times New Roman" w:cs="Arial"/>
                <w:i/>
                <w:kern w:val="0"/>
                <w:sz w:val="18"/>
                <w:szCs w:val="18"/>
                <w:lang w:eastAsia="en-GB"/>
                <w14:ligatures w14:val="none"/>
              </w:rPr>
              <w:t>yaigoje</w:t>
            </w:r>
            <w:proofErr w:type="spellEnd"/>
          </w:p>
        </w:tc>
        <w:tc>
          <w:tcPr>
            <w:tcW w:w="2575" w:type="dxa"/>
            <w:noWrap/>
            <w:vAlign w:val="center"/>
          </w:tcPr>
          <w:p w14:paraId="373721BA" w14:textId="57B2C2DB" w:rsidR="00044250" w:rsidRPr="00B450EB" w:rsidRDefault="00675444">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Anfibio</w:t>
            </w:r>
            <w:proofErr w:type="spellEnd"/>
          </w:p>
        </w:tc>
      </w:tr>
      <w:tr w:rsidR="00EF1937" w:rsidRPr="00B450EB" w14:paraId="55D293C5" w14:textId="77777777">
        <w:trPr>
          <w:trHeight w:val="300"/>
          <w:jc w:val="center"/>
        </w:trPr>
        <w:tc>
          <w:tcPr>
            <w:tcW w:w="1780" w:type="dxa"/>
            <w:noWrap/>
            <w:vAlign w:val="center"/>
          </w:tcPr>
          <w:p w14:paraId="37CC4C23" w14:textId="642525EC" w:rsidR="00044250" w:rsidRPr="00B450EB" w:rsidRDefault="008169D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lastRenderedPageBreak/>
              <w:t>Amazonas</w:t>
            </w:r>
          </w:p>
        </w:tc>
        <w:tc>
          <w:tcPr>
            <w:tcW w:w="3405" w:type="dxa"/>
            <w:noWrap/>
            <w:vAlign w:val="center"/>
          </w:tcPr>
          <w:p w14:paraId="3391AE1C" w14:textId="38F95A13" w:rsidR="00044250" w:rsidRPr="00B450EB" w:rsidRDefault="008169D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eastAsia="en-GB"/>
                <w14:ligatures w14:val="none"/>
              </w:rPr>
              <w:t>Synapturanus</w:t>
            </w:r>
            <w:proofErr w:type="spellEnd"/>
            <w:r w:rsidRPr="00B450EB">
              <w:rPr>
                <w:rFonts w:eastAsia="Times New Roman" w:cs="Arial"/>
                <w:i/>
                <w:kern w:val="0"/>
                <w:sz w:val="18"/>
                <w:szCs w:val="18"/>
                <w:lang w:eastAsia="en-GB"/>
                <w14:ligatures w14:val="none"/>
              </w:rPr>
              <w:t xml:space="preserve"> </w:t>
            </w:r>
            <w:proofErr w:type="spellStart"/>
            <w:r w:rsidRPr="00B450EB">
              <w:rPr>
                <w:rFonts w:eastAsia="Times New Roman" w:cs="Arial"/>
                <w:i/>
                <w:kern w:val="0"/>
                <w:sz w:val="18"/>
                <w:szCs w:val="18"/>
                <w:lang w:eastAsia="en-GB"/>
                <w14:ligatures w14:val="none"/>
              </w:rPr>
              <w:t>sacratus</w:t>
            </w:r>
            <w:proofErr w:type="spellEnd"/>
          </w:p>
        </w:tc>
        <w:tc>
          <w:tcPr>
            <w:tcW w:w="2575" w:type="dxa"/>
            <w:noWrap/>
            <w:vAlign w:val="center"/>
          </w:tcPr>
          <w:p w14:paraId="76D14860" w14:textId="1F03CE8E" w:rsidR="00044250" w:rsidRPr="00B450EB" w:rsidRDefault="00675444">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Anfibio</w:t>
            </w:r>
            <w:proofErr w:type="spellEnd"/>
          </w:p>
        </w:tc>
      </w:tr>
      <w:tr w:rsidR="00EF1937" w:rsidRPr="00B450EB" w14:paraId="3AC6892D" w14:textId="77777777">
        <w:trPr>
          <w:trHeight w:val="300"/>
          <w:jc w:val="center"/>
        </w:trPr>
        <w:tc>
          <w:tcPr>
            <w:tcW w:w="1780" w:type="dxa"/>
            <w:noWrap/>
            <w:vAlign w:val="center"/>
          </w:tcPr>
          <w:p w14:paraId="66519A12" w14:textId="6D7E74AA" w:rsidR="00044250" w:rsidRPr="00B450EB" w:rsidRDefault="007473C9">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Amazonas</w:t>
            </w:r>
          </w:p>
        </w:tc>
        <w:tc>
          <w:tcPr>
            <w:tcW w:w="3405" w:type="dxa"/>
            <w:noWrap/>
            <w:vAlign w:val="center"/>
          </w:tcPr>
          <w:p w14:paraId="63909BC0" w14:textId="7D4180C0" w:rsidR="00044250" w:rsidRPr="00B450EB" w:rsidRDefault="003C3406">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iCs/>
                <w:kern w:val="0"/>
                <w:sz w:val="18"/>
                <w:szCs w:val="18"/>
                <w:lang w:eastAsia="en-GB"/>
                <w14:ligatures w14:val="none"/>
              </w:rPr>
              <w:t>Synapturanus</w:t>
            </w:r>
            <w:proofErr w:type="spellEnd"/>
            <w:r w:rsidRPr="00B450EB">
              <w:rPr>
                <w:rFonts w:eastAsia="Times New Roman" w:cs="Arial"/>
                <w:i/>
                <w:iCs/>
                <w:kern w:val="0"/>
                <w:sz w:val="18"/>
                <w:szCs w:val="18"/>
                <w:lang w:eastAsia="en-GB"/>
                <w14:ligatures w14:val="none"/>
              </w:rPr>
              <w:t xml:space="preserve"> </w:t>
            </w:r>
            <w:proofErr w:type="spellStart"/>
            <w:r w:rsidRPr="00B450EB">
              <w:rPr>
                <w:rFonts w:eastAsia="Times New Roman" w:cs="Arial"/>
                <w:i/>
                <w:iCs/>
                <w:kern w:val="0"/>
                <w:sz w:val="18"/>
                <w:szCs w:val="18"/>
                <w:lang w:eastAsia="en-GB"/>
                <w14:ligatures w14:val="none"/>
              </w:rPr>
              <w:t>artifex</w:t>
            </w:r>
            <w:proofErr w:type="spellEnd"/>
          </w:p>
        </w:tc>
        <w:tc>
          <w:tcPr>
            <w:tcW w:w="2575" w:type="dxa"/>
            <w:noWrap/>
            <w:vAlign w:val="center"/>
          </w:tcPr>
          <w:p w14:paraId="3DB3EE37" w14:textId="3850BAED" w:rsidR="00044250" w:rsidRPr="00B450EB" w:rsidRDefault="00675444">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Anfibio</w:t>
            </w:r>
            <w:proofErr w:type="spellEnd"/>
          </w:p>
        </w:tc>
      </w:tr>
      <w:tr w:rsidR="00EF1937" w:rsidRPr="00B450EB" w14:paraId="4E8F8A61" w14:textId="77777777">
        <w:trPr>
          <w:trHeight w:val="300"/>
          <w:jc w:val="center"/>
        </w:trPr>
        <w:tc>
          <w:tcPr>
            <w:tcW w:w="1780" w:type="dxa"/>
            <w:noWrap/>
            <w:vAlign w:val="center"/>
          </w:tcPr>
          <w:p w14:paraId="0FDC4C49" w14:textId="74FCDD09" w:rsidR="007473C9" w:rsidRPr="00B450EB" w:rsidRDefault="00675444">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Caquetá</w:t>
            </w:r>
          </w:p>
        </w:tc>
        <w:tc>
          <w:tcPr>
            <w:tcW w:w="3405" w:type="dxa"/>
            <w:noWrap/>
            <w:vAlign w:val="center"/>
          </w:tcPr>
          <w:p w14:paraId="116750EF" w14:textId="402F8A3C" w:rsidR="007473C9" w:rsidRPr="00B450EB" w:rsidRDefault="00675444">
            <w:pPr>
              <w:spacing w:after="0" w:line="240" w:lineRule="auto"/>
              <w:jc w:val="left"/>
              <w:rPr>
                <w:rFonts w:eastAsia="Times New Roman" w:cs="Arial"/>
                <w:i/>
                <w:iCs/>
                <w:kern w:val="0"/>
                <w:sz w:val="18"/>
                <w:szCs w:val="18"/>
                <w:lang w:eastAsia="en-GB"/>
                <w14:ligatures w14:val="none"/>
              </w:rPr>
            </w:pPr>
            <w:proofErr w:type="spellStart"/>
            <w:r w:rsidRPr="00B450EB">
              <w:rPr>
                <w:rFonts w:eastAsia="Times New Roman" w:cs="Arial"/>
                <w:i/>
                <w:iCs/>
                <w:kern w:val="0"/>
                <w:sz w:val="18"/>
                <w:szCs w:val="18"/>
                <w:lang w:eastAsia="en-GB"/>
                <w14:ligatures w14:val="none"/>
              </w:rPr>
              <w:t>Synapturanus</w:t>
            </w:r>
            <w:proofErr w:type="spellEnd"/>
            <w:r w:rsidRPr="00B450EB">
              <w:rPr>
                <w:rFonts w:eastAsia="Times New Roman" w:cs="Arial"/>
                <w:i/>
                <w:iCs/>
                <w:kern w:val="0"/>
                <w:sz w:val="18"/>
                <w:szCs w:val="18"/>
                <w:lang w:eastAsia="en-GB"/>
                <w14:ligatures w14:val="none"/>
              </w:rPr>
              <w:t xml:space="preserve"> </w:t>
            </w:r>
            <w:proofErr w:type="spellStart"/>
            <w:r w:rsidRPr="00B450EB">
              <w:rPr>
                <w:rFonts w:eastAsia="Times New Roman" w:cs="Arial"/>
                <w:i/>
                <w:iCs/>
                <w:kern w:val="0"/>
                <w:sz w:val="18"/>
                <w:szCs w:val="18"/>
                <w:lang w:eastAsia="en-GB"/>
                <w14:ligatures w14:val="none"/>
              </w:rPr>
              <w:t>latebrosus</w:t>
            </w:r>
            <w:proofErr w:type="spellEnd"/>
          </w:p>
        </w:tc>
        <w:tc>
          <w:tcPr>
            <w:tcW w:w="2575" w:type="dxa"/>
            <w:noWrap/>
            <w:vAlign w:val="center"/>
          </w:tcPr>
          <w:p w14:paraId="43988E15" w14:textId="513BF93C" w:rsidR="007473C9" w:rsidRPr="00B450EB" w:rsidRDefault="00675444">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Anfibio</w:t>
            </w:r>
            <w:proofErr w:type="spellEnd"/>
          </w:p>
        </w:tc>
      </w:tr>
      <w:tr w:rsidR="00EF1937" w:rsidRPr="00B450EB" w14:paraId="1CBE8262" w14:textId="77777777">
        <w:trPr>
          <w:trHeight w:val="300"/>
          <w:jc w:val="center"/>
        </w:trPr>
        <w:tc>
          <w:tcPr>
            <w:tcW w:w="1780" w:type="dxa"/>
            <w:noWrap/>
            <w:vAlign w:val="center"/>
            <w:hideMark/>
          </w:tcPr>
          <w:p w14:paraId="78659140" w14:textId="77777777" w:rsidR="00FC444C" w:rsidRPr="00B450EB" w:rsidRDefault="00FC444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Vaupes, Amazonas</w:t>
            </w:r>
          </w:p>
        </w:tc>
        <w:tc>
          <w:tcPr>
            <w:tcW w:w="3405" w:type="dxa"/>
            <w:noWrap/>
            <w:vAlign w:val="center"/>
            <w:hideMark/>
          </w:tcPr>
          <w:p w14:paraId="6B8246C6" w14:textId="77777777" w:rsidR="00FC444C" w:rsidRPr="00B450EB" w:rsidRDefault="00FC444C">
            <w:pPr>
              <w:spacing w:after="0" w:line="240" w:lineRule="auto"/>
              <w:jc w:val="left"/>
              <w:rPr>
                <w:rFonts w:eastAsia="Times New Roman" w:cs="Arial"/>
                <w:i/>
                <w:kern w:val="0"/>
                <w:sz w:val="18"/>
                <w:szCs w:val="18"/>
                <w:lang w:val="en-US" w:eastAsia="en-GB"/>
                <w14:ligatures w14:val="none"/>
              </w:rPr>
            </w:pPr>
            <w:r w:rsidRPr="00B450EB">
              <w:rPr>
                <w:rFonts w:eastAsia="Times New Roman" w:cs="Arial"/>
                <w:i/>
                <w:kern w:val="0"/>
                <w:sz w:val="18"/>
                <w:szCs w:val="18"/>
                <w:lang w:val="en-US" w:eastAsia="en-GB"/>
                <w14:ligatures w14:val="none"/>
              </w:rPr>
              <w:t xml:space="preserve">Anolis </w:t>
            </w:r>
            <w:proofErr w:type="spellStart"/>
            <w:r w:rsidRPr="00B450EB">
              <w:rPr>
                <w:rFonts w:eastAsia="Times New Roman" w:cs="Arial"/>
                <w:i/>
                <w:kern w:val="0"/>
                <w:sz w:val="18"/>
                <w:szCs w:val="18"/>
                <w:lang w:val="en-US" w:eastAsia="en-GB"/>
                <w14:ligatures w14:val="none"/>
              </w:rPr>
              <w:t>vaupesianus</w:t>
            </w:r>
            <w:proofErr w:type="spellEnd"/>
          </w:p>
        </w:tc>
        <w:tc>
          <w:tcPr>
            <w:tcW w:w="2575" w:type="dxa"/>
            <w:noWrap/>
            <w:vAlign w:val="center"/>
            <w:hideMark/>
          </w:tcPr>
          <w:p w14:paraId="7FE203F3" w14:textId="77777777" w:rsidR="00FC444C" w:rsidRPr="00B450EB" w:rsidRDefault="00FC444C">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Reptil</w:t>
            </w:r>
            <w:proofErr w:type="spellEnd"/>
          </w:p>
        </w:tc>
      </w:tr>
      <w:tr w:rsidR="00EF1937" w:rsidRPr="00B450EB" w14:paraId="05AAE9C0" w14:textId="77777777">
        <w:trPr>
          <w:trHeight w:val="300"/>
          <w:jc w:val="center"/>
        </w:trPr>
        <w:tc>
          <w:tcPr>
            <w:tcW w:w="1780" w:type="dxa"/>
            <w:noWrap/>
            <w:vAlign w:val="center"/>
          </w:tcPr>
          <w:p w14:paraId="539C9BE1" w14:textId="77777777" w:rsidR="00FC444C" w:rsidRPr="00B450EB" w:rsidRDefault="00FC444C">
            <w:pPr>
              <w:spacing w:after="0" w:line="240" w:lineRule="auto"/>
              <w:jc w:val="left"/>
              <w:rPr>
                <w:rFonts w:eastAsia="Times New Roman" w:cs="Arial"/>
                <w:kern w:val="0"/>
                <w:sz w:val="18"/>
                <w:szCs w:val="18"/>
                <w:lang w:val="es-ES" w:eastAsia="en-GB"/>
                <w14:ligatures w14:val="none"/>
              </w:rPr>
            </w:pPr>
            <w:r w:rsidRPr="00B450EB">
              <w:rPr>
                <w:rFonts w:eastAsia="Times New Roman" w:cs="Arial"/>
                <w:kern w:val="0"/>
                <w:sz w:val="18"/>
                <w:szCs w:val="18"/>
                <w:lang w:val="en-US" w:eastAsia="en-GB"/>
                <w14:ligatures w14:val="none"/>
              </w:rPr>
              <w:t xml:space="preserve">Guaviare, </w:t>
            </w:r>
            <w:proofErr w:type="spellStart"/>
            <w:r w:rsidRPr="00B450EB">
              <w:rPr>
                <w:rFonts w:eastAsia="Times New Roman" w:cs="Arial"/>
                <w:kern w:val="0"/>
                <w:sz w:val="18"/>
                <w:szCs w:val="18"/>
                <w:lang w:val="en-US" w:eastAsia="en-GB"/>
                <w14:ligatures w14:val="none"/>
              </w:rPr>
              <w:t>Caquet</w:t>
            </w:r>
            <w:proofErr w:type="spellEnd"/>
            <w:r w:rsidRPr="00B450EB">
              <w:rPr>
                <w:rFonts w:eastAsia="Times New Roman" w:cs="Arial"/>
                <w:kern w:val="0"/>
                <w:sz w:val="18"/>
                <w:szCs w:val="18"/>
                <w:lang w:val="es-ES" w:eastAsia="en-GB"/>
                <w14:ligatures w14:val="none"/>
              </w:rPr>
              <w:t>á</w:t>
            </w:r>
          </w:p>
        </w:tc>
        <w:tc>
          <w:tcPr>
            <w:tcW w:w="3405" w:type="dxa"/>
            <w:noWrap/>
            <w:vAlign w:val="center"/>
          </w:tcPr>
          <w:p w14:paraId="3A14DC02" w14:textId="77777777" w:rsidR="00FC444C" w:rsidRPr="00B450EB" w:rsidRDefault="00FC444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val="en-US" w:eastAsia="en-GB"/>
                <w14:ligatures w14:val="none"/>
              </w:rPr>
              <w:t>Chlorostilbon</w:t>
            </w:r>
            <w:proofErr w:type="spellEnd"/>
            <w:r w:rsidRPr="00B450EB">
              <w:rPr>
                <w:rFonts w:eastAsia="Times New Roman" w:cs="Arial"/>
                <w:i/>
                <w:kern w:val="0"/>
                <w:sz w:val="18"/>
                <w:szCs w:val="18"/>
                <w:lang w:val="en-US" w:eastAsia="en-GB"/>
                <w14:ligatures w14:val="none"/>
              </w:rPr>
              <w:t xml:space="preserve"> </w:t>
            </w:r>
            <w:proofErr w:type="spellStart"/>
            <w:r w:rsidRPr="00B450EB">
              <w:rPr>
                <w:rFonts w:eastAsia="Times New Roman" w:cs="Arial"/>
                <w:i/>
                <w:kern w:val="0"/>
                <w:sz w:val="18"/>
                <w:szCs w:val="18"/>
                <w:lang w:val="en-US" w:eastAsia="en-GB"/>
                <w14:ligatures w14:val="none"/>
              </w:rPr>
              <w:t>olivaresi</w:t>
            </w:r>
            <w:proofErr w:type="spellEnd"/>
          </w:p>
        </w:tc>
        <w:tc>
          <w:tcPr>
            <w:tcW w:w="2575" w:type="dxa"/>
            <w:noWrap/>
            <w:vAlign w:val="center"/>
          </w:tcPr>
          <w:p w14:paraId="4D490753" w14:textId="77777777" w:rsidR="00FC444C" w:rsidRPr="00B450EB" w:rsidRDefault="00FC444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Ave</w:t>
            </w:r>
          </w:p>
        </w:tc>
      </w:tr>
      <w:tr w:rsidR="00EF1937" w:rsidRPr="00B450EB" w14:paraId="17476D48" w14:textId="77777777">
        <w:trPr>
          <w:trHeight w:val="300"/>
          <w:jc w:val="center"/>
        </w:trPr>
        <w:tc>
          <w:tcPr>
            <w:tcW w:w="1780" w:type="dxa"/>
            <w:noWrap/>
            <w:vAlign w:val="center"/>
          </w:tcPr>
          <w:p w14:paraId="08D62220" w14:textId="77777777" w:rsidR="00FC444C" w:rsidRPr="00B450EB" w:rsidRDefault="00FC444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Putumayo</w:t>
            </w:r>
          </w:p>
        </w:tc>
        <w:tc>
          <w:tcPr>
            <w:tcW w:w="3405" w:type="dxa"/>
            <w:noWrap/>
            <w:vAlign w:val="center"/>
          </w:tcPr>
          <w:p w14:paraId="19E7E205" w14:textId="77777777" w:rsidR="00FC444C" w:rsidRPr="00B450EB" w:rsidRDefault="00FC444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val="en-US" w:eastAsia="en-GB"/>
                <w14:ligatures w14:val="none"/>
              </w:rPr>
              <w:t>Cheracebus</w:t>
            </w:r>
            <w:proofErr w:type="spellEnd"/>
            <w:r w:rsidRPr="00B450EB">
              <w:rPr>
                <w:rFonts w:eastAsia="Times New Roman" w:cs="Arial"/>
                <w:i/>
                <w:kern w:val="0"/>
                <w:sz w:val="18"/>
                <w:szCs w:val="18"/>
                <w:lang w:val="en-US" w:eastAsia="en-GB"/>
                <w14:ligatures w14:val="none"/>
              </w:rPr>
              <w:t xml:space="preserve"> </w:t>
            </w:r>
            <w:proofErr w:type="spellStart"/>
            <w:r w:rsidRPr="00B450EB">
              <w:rPr>
                <w:rFonts w:eastAsia="Times New Roman" w:cs="Arial"/>
                <w:i/>
                <w:kern w:val="0"/>
                <w:sz w:val="18"/>
                <w:szCs w:val="18"/>
                <w:lang w:val="en-US" w:eastAsia="en-GB"/>
                <w14:ligatures w14:val="none"/>
              </w:rPr>
              <w:t>medemi</w:t>
            </w:r>
            <w:proofErr w:type="spellEnd"/>
          </w:p>
        </w:tc>
        <w:tc>
          <w:tcPr>
            <w:tcW w:w="2575" w:type="dxa"/>
            <w:noWrap/>
            <w:vAlign w:val="center"/>
          </w:tcPr>
          <w:p w14:paraId="6FD69CBA" w14:textId="77777777" w:rsidR="00FC444C" w:rsidRPr="00B450EB" w:rsidRDefault="00FC444C">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Mamífero</w:t>
            </w:r>
            <w:proofErr w:type="spellEnd"/>
            <w:r w:rsidRPr="00B450EB">
              <w:rPr>
                <w:rFonts w:eastAsia="Times New Roman" w:cs="Arial"/>
                <w:kern w:val="0"/>
                <w:sz w:val="18"/>
                <w:szCs w:val="18"/>
                <w:lang w:val="en-US" w:eastAsia="en-GB"/>
                <w14:ligatures w14:val="none"/>
              </w:rPr>
              <w:t xml:space="preserve"> (primate)</w:t>
            </w:r>
          </w:p>
        </w:tc>
      </w:tr>
      <w:tr w:rsidR="00EF1937" w:rsidRPr="00B450EB" w14:paraId="4D03AE2A" w14:textId="77777777">
        <w:trPr>
          <w:trHeight w:val="300"/>
          <w:jc w:val="center"/>
        </w:trPr>
        <w:tc>
          <w:tcPr>
            <w:tcW w:w="1780" w:type="dxa"/>
            <w:noWrap/>
            <w:vAlign w:val="center"/>
          </w:tcPr>
          <w:p w14:paraId="2A38113D" w14:textId="77777777" w:rsidR="00FC444C" w:rsidRPr="00B450EB" w:rsidRDefault="00FC444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Caquetá, Putumayo</w:t>
            </w:r>
          </w:p>
        </w:tc>
        <w:tc>
          <w:tcPr>
            <w:tcW w:w="3405" w:type="dxa"/>
            <w:noWrap/>
            <w:vAlign w:val="center"/>
          </w:tcPr>
          <w:p w14:paraId="43FA1FD6" w14:textId="77777777" w:rsidR="00FC444C" w:rsidRPr="00B450EB" w:rsidRDefault="00FC444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val="en-US" w:eastAsia="en-GB"/>
                <w14:ligatures w14:val="none"/>
              </w:rPr>
              <w:t>Plecturocebus</w:t>
            </w:r>
            <w:proofErr w:type="spellEnd"/>
            <w:r w:rsidRPr="00B450EB">
              <w:rPr>
                <w:rFonts w:eastAsia="Times New Roman" w:cs="Arial"/>
                <w:i/>
                <w:kern w:val="0"/>
                <w:sz w:val="18"/>
                <w:szCs w:val="18"/>
                <w:lang w:val="en-US" w:eastAsia="en-GB"/>
                <w14:ligatures w14:val="none"/>
              </w:rPr>
              <w:t xml:space="preserve"> </w:t>
            </w:r>
            <w:proofErr w:type="spellStart"/>
            <w:r w:rsidRPr="00B450EB">
              <w:rPr>
                <w:rFonts w:eastAsia="Times New Roman" w:cs="Arial"/>
                <w:i/>
                <w:kern w:val="0"/>
                <w:sz w:val="18"/>
                <w:szCs w:val="18"/>
                <w:lang w:val="en-US" w:eastAsia="en-GB"/>
                <w14:ligatures w14:val="none"/>
              </w:rPr>
              <w:t>caquetensis</w:t>
            </w:r>
            <w:proofErr w:type="spellEnd"/>
          </w:p>
        </w:tc>
        <w:tc>
          <w:tcPr>
            <w:tcW w:w="2575" w:type="dxa"/>
            <w:noWrap/>
            <w:vAlign w:val="center"/>
          </w:tcPr>
          <w:p w14:paraId="6DA423F0" w14:textId="77777777" w:rsidR="00FC444C" w:rsidRPr="00B450EB" w:rsidRDefault="00FC444C">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Mamífero</w:t>
            </w:r>
            <w:proofErr w:type="spellEnd"/>
            <w:r w:rsidRPr="00B450EB">
              <w:rPr>
                <w:rFonts w:eastAsia="Times New Roman" w:cs="Arial"/>
                <w:kern w:val="0"/>
                <w:sz w:val="18"/>
                <w:szCs w:val="18"/>
                <w:lang w:val="en-US" w:eastAsia="en-GB"/>
                <w14:ligatures w14:val="none"/>
              </w:rPr>
              <w:t xml:space="preserve"> (primate)</w:t>
            </w:r>
          </w:p>
        </w:tc>
      </w:tr>
      <w:tr w:rsidR="00EF1937" w:rsidRPr="00B450EB" w14:paraId="461D643B" w14:textId="77777777">
        <w:trPr>
          <w:trHeight w:val="300"/>
          <w:jc w:val="center"/>
        </w:trPr>
        <w:tc>
          <w:tcPr>
            <w:tcW w:w="1780" w:type="dxa"/>
            <w:noWrap/>
            <w:vAlign w:val="center"/>
          </w:tcPr>
          <w:p w14:paraId="213D6464" w14:textId="77777777" w:rsidR="00FC444C" w:rsidRPr="00B450EB" w:rsidRDefault="00FC444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Caquetá, Guaviare</w:t>
            </w:r>
          </w:p>
        </w:tc>
        <w:tc>
          <w:tcPr>
            <w:tcW w:w="3405" w:type="dxa"/>
            <w:noWrap/>
            <w:vAlign w:val="center"/>
          </w:tcPr>
          <w:p w14:paraId="4B410FB8" w14:textId="77777777" w:rsidR="00FC444C" w:rsidRPr="00B450EB" w:rsidRDefault="00FC444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val="en-US" w:eastAsia="en-GB"/>
                <w14:ligatures w14:val="none"/>
              </w:rPr>
              <w:t>Lonchorhina</w:t>
            </w:r>
            <w:proofErr w:type="spellEnd"/>
            <w:r w:rsidRPr="00B450EB">
              <w:rPr>
                <w:rFonts w:eastAsia="Times New Roman" w:cs="Arial"/>
                <w:i/>
                <w:kern w:val="0"/>
                <w:sz w:val="18"/>
                <w:szCs w:val="18"/>
                <w:lang w:val="en-US" w:eastAsia="en-GB"/>
                <w14:ligatures w14:val="none"/>
              </w:rPr>
              <w:t xml:space="preserve"> </w:t>
            </w:r>
            <w:proofErr w:type="spellStart"/>
            <w:r w:rsidRPr="00B450EB">
              <w:rPr>
                <w:rFonts w:eastAsia="Times New Roman" w:cs="Arial"/>
                <w:i/>
                <w:kern w:val="0"/>
                <w:sz w:val="18"/>
                <w:szCs w:val="18"/>
                <w:lang w:val="en-US" w:eastAsia="en-GB"/>
                <w14:ligatures w14:val="none"/>
              </w:rPr>
              <w:t>marinkellei</w:t>
            </w:r>
            <w:proofErr w:type="spellEnd"/>
          </w:p>
        </w:tc>
        <w:tc>
          <w:tcPr>
            <w:tcW w:w="2575" w:type="dxa"/>
            <w:noWrap/>
            <w:vAlign w:val="center"/>
          </w:tcPr>
          <w:p w14:paraId="1A04D2F3" w14:textId="77777777" w:rsidR="00FC444C" w:rsidRPr="00B450EB" w:rsidRDefault="00FC444C">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Mamífero</w:t>
            </w:r>
            <w:proofErr w:type="spellEnd"/>
            <w:r w:rsidRPr="00B450EB">
              <w:rPr>
                <w:rFonts w:eastAsia="Times New Roman" w:cs="Arial"/>
                <w:kern w:val="0"/>
                <w:sz w:val="18"/>
                <w:szCs w:val="18"/>
                <w:lang w:val="en-US" w:eastAsia="en-GB"/>
                <w14:ligatures w14:val="none"/>
              </w:rPr>
              <w:t xml:space="preserve"> (</w:t>
            </w:r>
            <w:proofErr w:type="spellStart"/>
            <w:r w:rsidRPr="00B450EB">
              <w:rPr>
                <w:rFonts w:eastAsia="Times New Roman" w:cs="Arial"/>
                <w:kern w:val="0"/>
                <w:sz w:val="18"/>
                <w:szCs w:val="18"/>
                <w:lang w:val="en-US" w:eastAsia="en-GB"/>
                <w14:ligatures w14:val="none"/>
              </w:rPr>
              <w:t>Murciélago</w:t>
            </w:r>
            <w:proofErr w:type="spellEnd"/>
            <w:r w:rsidRPr="00B450EB">
              <w:rPr>
                <w:rFonts w:eastAsia="Times New Roman" w:cs="Arial"/>
                <w:kern w:val="0"/>
                <w:sz w:val="18"/>
                <w:szCs w:val="18"/>
                <w:lang w:val="en-US" w:eastAsia="en-GB"/>
                <w14:ligatures w14:val="none"/>
              </w:rPr>
              <w:t>)</w:t>
            </w:r>
          </w:p>
        </w:tc>
      </w:tr>
      <w:tr w:rsidR="00EF1937" w:rsidRPr="00B450EB" w14:paraId="6C32DFA9" w14:textId="77777777">
        <w:trPr>
          <w:trHeight w:val="300"/>
          <w:jc w:val="center"/>
        </w:trPr>
        <w:tc>
          <w:tcPr>
            <w:tcW w:w="1780" w:type="dxa"/>
            <w:noWrap/>
            <w:vAlign w:val="center"/>
          </w:tcPr>
          <w:p w14:paraId="709B0EDC" w14:textId="77777777" w:rsidR="00FC444C" w:rsidRPr="00B450EB" w:rsidRDefault="00FC444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Caquetá (</w:t>
            </w:r>
            <w:proofErr w:type="spellStart"/>
            <w:r w:rsidRPr="00B450EB">
              <w:rPr>
                <w:rFonts w:eastAsia="Times New Roman" w:cs="Arial"/>
                <w:kern w:val="0"/>
                <w:sz w:val="18"/>
                <w:szCs w:val="18"/>
                <w:lang w:val="en-US" w:eastAsia="en-GB"/>
                <w14:ligatures w14:val="none"/>
              </w:rPr>
              <w:t>serranía</w:t>
            </w:r>
            <w:proofErr w:type="spellEnd"/>
            <w:r w:rsidRPr="00B450EB">
              <w:rPr>
                <w:rFonts w:eastAsia="Times New Roman" w:cs="Arial"/>
                <w:kern w:val="0"/>
                <w:sz w:val="18"/>
                <w:szCs w:val="18"/>
                <w:lang w:val="en-US" w:eastAsia="en-GB"/>
                <w14:ligatures w14:val="none"/>
              </w:rPr>
              <w:t xml:space="preserve"> de </w:t>
            </w:r>
            <w:proofErr w:type="spellStart"/>
            <w:r w:rsidRPr="00B450EB">
              <w:rPr>
                <w:rFonts w:eastAsia="Times New Roman" w:cs="Arial"/>
                <w:kern w:val="0"/>
                <w:sz w:val="18"/>
                <w:szCs w:val="18"/>
                <w:lang w:val="en-US" w:eastAsia="en-GB"/>
                <w14:ligatures w14:val="none"/>
              </w:rPr>
              <w:t>Chiribiquete</w:t>
            </w:r>
            <w:proofErr w:type="spellEnd"/>
            <w:r w:rsidRPr="00B450EB">
              <w:rPr>
                <w:rFonts w:eastAsia="Times New Roman" w:cs="Arial"/>
                <w:kern w:val="0"/>
                <w:sz w:val="18"/>
                <w:szCs w:val="18"/>
                <w:lang w:val="en-US" w:eastAsia="en-GB"/>
                <w14:ligatures w14:val="none"/>
              </w:rPr>
              <w:t>)</w:t>
            </w:r>
          </w:p>
        </w:tc>
        <w:tc>
          <w:tcPr>
            <w:tcW w:w="3405" w:type="dxa"/>
            <w:noWrap/>
            <w:vAlign w:val="center"/>
          </w:tcPr>
          <w:p w14:paraId="07960F8D" w14:textId="77777777" w:rsidR="00FC444C" w:rsidRPr="00B450EB" w:rsidRDefault="00FC444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val="en-US" w:eastAsia="en-GB"/>
                <w14:ligatures w14:val="none"/>
              </w:rPr>
              <w:t>Lonchorhina</w:t>
            </w:r>
            <w:proofErr w:type="spellEnd"/>
            <w:r w:rsidRPr="00B450EB">
              <w:rPr>
                <w:rFonts w:eastAsia="Times New Roman" w:cs="Arial"/>
                <w:i/>
                <w:kern w:val="0"/>
                <w:sz w:val="18"/>
                <w:szCs w:val="18"/>
                <w:lang w:val="en-US" w:eastAsia="en-GB"/>
                <w14:ligatures w14:val="none"/>
              </w:rPr>
              <w:t xml:space="preserve"> </w:t>
            </w:r>
            <w:proofErr w:type="spellStart"/>
            <w:r w:rsidRPr="00B450EB">
              <w:rPr>
                <w:rFonts w:eastAsia="Times New Roman" w:cs="Arial"/>
                <w:i/>
                <w:kern w:val="0"/>
                <w:sz w:val="18"/>
                <w:szCs w:val="18"/>
                <w:lang w:val="en-US" w:eastAsia="en-GB"/>
                <w14:ligatures w14:val="none"/>
              </w:rPr>
              <w:t>mankomara</w:t>
            </w:r>
            <w:proofErr w:type="spellEnd"/>
          </w:p>
        </w:tc>
        <w:tc>
          <w:tcPr>
            <w:tcW w:w="2575" w:type="dxa"/>
            <w:noWrap/>
            <w:vAlign w:val="center"/>
          </w:tcPr>
          <w:p w14:paraId="22DF50FE" w14:textId="77777777" w:rsidR="00FC444C" w:rsidRPr="00B450EB" w:rsidRDefault="00FC444C">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Mamífero</w:t>
            </w:r>
            <w:proofErr w:type="spellEnd"/>
            <w:r w:rsidRPr="00B450EB">
              <w:rPr>
                <w:rFonts w:eastAsia="Times New Roman" w:cs="Arial"/>
                <w:kern w:val="0"/>
                <w:sz w:val="18"/>
                <w:szCs w:val="18"/>
                <w:lang w:val="en-US" w:eastAsia="en-GB"/>
                <w14:ligatures w14:val="none"/>
              </w:rPr>
              <w:t xml:space="preserve"> (</w:t>
            </w:r>
            <w:proofErr w:type="spellStart"/>
            <w:r w:rsidRPr="00B450EB">
              <w:rPr>
                <w:rFonts w:eastAsia="Times New Roman" w:cs="Arial"/>
                <w:kern w:val="0"/>
                <w:sz w:val="18"/>
                <w:szCs w:val="18"/>
                <w:lang w:val="en-US" w:eastAsia="en-GB"/>
                <w14:ligatures w14:val="none"/>
              </w:rPr>
              <w:t>Murciélago</w:t>
            </w:r>
            <w:proofErr w:type="spellEnd"/>
            <w:r w:rsidRPr="00B450EB">
              <w:rPr>
                <w:rFonts w:eastAsia="Times New Roman" w:cs="Arial"/>
                <w:kern w:val="0"/>
                <w:sz w:val="18"/>
                <w:szCs w:val="18"/>
                <w:lang w:val="en-US" w:eastAsia="en-GB"/>
                <w14:ligatures w14:val="none"/>
              </w:rPr>
              <w:t>)</w:t>
            </w:r>
          </w:p>
        </w:tc>
      </w:tr>
      <w:tr w:rsidR="00EF1937" w:rsidRPr="00B450EB" w14:paraId="4D347BE1" w14:textId="77777777">
        <w:trPr>
          <w:trHeight w:val="300"/>
          <w:jc w:val="center"/>
        </w:trPr>
        <w:tc>
          <w:tcPr>
            <w:tcW w:w="1780" w:type="dxa"/>
            <w:noWrap/>
            <w:vAlign w:val="center"/>
          </w:tcPr>
          <w:p w14:paraId="76BB49DB" w14:textId="77777777" w:rsidR="00FC444C" w:rsidRPr="00B450EB" w:rsidRDefault="00FC444C">
            <w:pPr>
              <w:spacing w:after="0" w:line="240" w:lineRule="auto"/>
              <w:jc w:val="left"/>
              <w:rPr>
                <w:rFonts w:eastAsia="Times New Roman" w:cs="Arial"/>
                <w:kern w:val="0"/>
                <w:sz w:val="18"/>
                <w:szCs w:val="18"/>
                <w:lang w:val="en-US" w:eastAsia="en-GB"/>
                <w14:ligatures w14:val="none"/>
              </w:rPr>
            </w:pPr>
            <w:r w:rsidRPr="00B450EB">
              <w:rPr>
                <w:rFonts w:eastAsia="Times New Roman" w:cs="Arial"/>
                <w:kern w:val="0"/>
                <w:sz w:val="18"/>
                <w:szCs w:val="18"/>
                <w:lang w:val="en-US" w:eastAsia="en-GB"/>
                <w14:ligatures w14:val="none"/>
              </w:rPr>
              <w:t>Caquetá</w:t>
            </w:r>
          </w:p>
        </w:tc>
        <w:tc>
          <w:tcPr>
            <w:tcW w:w="3405" w:type="dxa"/>
            <w:noWrap/>
            <w:vAlign w:val="center"/>
          </w:tcPr>
          <w:p w14:paraId="0A0D5351" w14:textId="77777777" w:rsidR="00FC444C" w:rsidRPr="00B450EB" w:rsidRDefault="00FC444C">
            <w:pPr>
              <w:spacing w:after="0" w:line="240" w:lineRule="auto"/>
              <w:jc w:val="left"/>
              <w:rPr>
                <w:rFonts w:eastAsia="Times New Roman" w:cs="Arial"/>
                <w:i/>
                <w:kern w:val="0"/>
                <w:sz w:val="18"/>
                <w:szCs w:val="18"/>
                <w:lang w:val="en-US" w:eastAsia="en-GB"/>
                <w14:ligatures w14:val="none"/>
              </w:rPr>
            </w:pPr>
            <w:proofErr w:type="spellStart"/>
            <w:r w:rsidRPr="00B450EB">
              <w:rPr>
                <w:rFonts w:eastAsia="Times New Roman" w:cs="Arial"/>
                <w:i/>
                <w:kern w:val="0"/>
                <w:sz w:val="18"/>
                <w:szCs w:val="18"/>
                <w:lang w:val="en-US" w:eastAsia="en-GB"/>
                <w14:ligatures w14:val="none"/>
              </w:rPr>
              <w:t>Carollia</w:t>
            </w:r>
            <w:proofErr w:type="spellEnd"/>
            <w:r w:rsidRPr="00B450EB">
              <w:rPr>
                <w:rFonts w:eastAsia="Times New Roman" w:cs="Arial"/>
                <w:i/>
                <w:kern w:val="0"/>
                <w:sz w:val="18"/>
                <w:szCs w:val="18"/>
                <w:lang w:val="en-US" w:eastAsia="en-GB"/>
                <w14:ligatures w14:val="none"/>
              </w:rPr>
              <w:t xml:space="preserve"> </w:t>
            </w:r>
            <w:proofErr w:type="spellStart"/>
            <w:r w:rsidRPr="00B450EB">
              <w:rPr>
                <w:rFonts w:eastAsia="Times New Roman" w:cs="Arial"/>
                <w:i/>
                <w:kern w:val="0"/>
                <w:sz w:val="18"/>
                <w:szCs w:val="18"/>
                <w:lang w:val="en-US" w:eastAsia="en-GB"/>
                <w14:ligatures w14:val="none"/>
              </w:rPr>
              <w:t>monohernandezi</w:t>
            </w:r>
            <w:proofErr w:type="spellEnd"/>
          </w:p>
        </w:tc>
        <w:tc>
          <w:tcPr>
            <w:tcW w:w="2575" w:type="dxa"/>
            <w:noWrap/>
            <w:vAlign w:val="center"/>
          </w:tcPr>
          <w:p w14:paraId="3C420E89" w14:textId="77777777" w:rsidR="00FC444C" w:rsidRPr="00B450EB" w:rsidRDefault="00FC444C">
            <w:pPr>
              <w:spacing w:after="0" w:line="240" w:lineRule="auto"/>
              <w:jc w:val="left"/>
              <w:rPr>
                <w:rFonts w:eastAsia="Times New Roman" w:cs="Arial"/>
                <w:kern w:val="0"/>
                <w:sz w:val="18"/>
                <w:szCs w:val="18"/>
                <w:lang w:val="en-US" w:eastAsia="en-GB"/>
                <w14:ligatures w14:val="none"/>
              </w:rPr>
            </w:pPr>
            <w:proofErr w:type="spellStart"/>
            <w:r w:rsidRPr="00B450EB">
              <w:rPr>
                <w:rFonts w:eastAsia="Times New Roman" w:cs="Arial"/>
                <w:kern w:val="0"/>
                <w:sz w:val="18"/>
                <w:szCs w:val="18"/>
                <w:lang w:val="en-US" w:eastAsia="en-GB"/>
                <w14:ligatures w14:val="none"/>
              </w:rPr>
              <w:t>Mamífero</w:t>
            </w:r>
            <w:proofErr w:type="spellEnd"/>
            <w:r w:rsidRPr="00B450EB">
              <w:rPr>
                <w:rFonts w:eastAsia="Times New Roman" w:cs="Arial"/>
                <w:kern w:val="0"/>
                <w:sz w:val="18"/>
                <w:szCs w:val="18"/>
                <w:lang w:val="en-US" w:eastAsia="en-GB"/>
                <w14:ligatures w14:val="none"/>
              </w:rPr>
              <w:t xml:space="preserve"> (</w:t>
            </w:r>
            <w:proofErr w:type="spellStart"/>
            <w:r w:rsidRPr="00B450EB">
              <w:rPr>
                <w:rFonts w:eastAsia="Times New Roman" w:cs="Arial"/>
                <w:kern w:val="0"/>
                <w:sz w:val="18"/>
                <w:szCs w:val="18"/>
                <w:lang w:val="en-US" w:eastAsia="en-GB"/>
                <w14:ligatures w14:val="none"/>
              </w:rPr>
              <w:t>Murciélago</w:t>
            </w:r>
            <w:proofErr w:type="spellEnd"/>
            <w:r w:rsidRPr="00B450EB">
              <w:rPr>
                <w:rFonts w:eastAsia="Times New Roman" w:cs="Arial"/>
                <w:kern w:val="0"/>
                <w:sz w:val="18"/>
                <w:szCs w:val="18"/>
                <w:lang w:val="en-US" w:eastAsia="en-GB"/>
                <w14:ligatures w14:val="none"/>
              </w:rPr>
              <w:t>)</w:t>
            </w:r>
          </w:p>
        </w:tc>
      </w:tr>
    </w:tbl>
    <w:p w14:paraId="0B96ECB5" w14:textId="188A5D94" w:rsidR="00EB3741" w:rsidRPr="00B450EB" w:rsidRDefault="0006218C" w:rsidP="0006218C">
      <w:pPr>
        <w:spacing w:line="276" w:lineRule="auto"/>
        <w:jc w:val="center"/>
        <w:rPr>
          <w:rFonts w:eastAsiaTheme="minorEastAsia" w:cs="Arial"/>
          <w:sz w:val="18"/>
          <w:szCs w:val="18"/>
        </w:rPr>
      </w:pPr>
      <w:r w:rsidRPr="00B450EB">
        <w:rPr>
          <w:rFonts w:eastAsiaTheme="minorEastAsia" w:cs="Arial"/>
          <w:sz w:val="18"/>
          <w:szCs w:val="18"/>
        </w:rPr>
        <w:t>Fuente:</w:t>
      </w:r>
      <w:r w:rsidR="009503F1" w:rsidRPr="00B450EB">
        <w:rPr>
          <w:rFonts w:eastAsiaTheme="minorEastAsia" w:cs="Arial"/>
          <w:sz w:val="18"/>
          <w:szCs w:val="18"/>
        </w:rPr>
        <w:t xml:space="preserve"> </w:t>
      </w:r>
      <w:proofErr w:type="spellStart"/>
      <w:r w:rsidR="009503F1" w:rsidRPr="00B450EB">
        <w:rPr>
          <w:rFonts w:eastAsiaTheme="minorEastAsia" w:cs="Arial"/>
          <w:sz w:val="18"/>
          <w:szCs w:val="18"/>
        </w:rPr>
        <w:t>SiB</w:t>
      </w:r>
      <w:proofErr w:type="spellEnd"/>
      <w:r w:rsidR="00A44B73" w:rsidRPr="00B450EB">
        <w:rPr>
          <w:rFonts w:eastAsiaTheme="minorEastAsia" w:cs="Arial"/>
          <w:sz w:val="18"/>
          <w:szCs w:val="18"/>
        </w:rPr>
        <w:t>, Colombia</w:t>
      </w:r>
      <w:r w:rsidR="00614468" w:rsidRPr="00B450EB">
        <w:rPr>
          <w:rFonts w:eastAsiaTheme="minorEastAsia" w:cs="Arial"/>
          <w:sz w:val="18"/>
          <w:szCs w:val="18"/>
        </w:rPr>
        <w:t>,</w:t>
      </w:r>
      <w:r w:rsidR="00A44B73" w:rsidRPr="00B450EB">
        <w:rPr>
          <w:rFonts w:eastAsiaTheme="minorEastAsia" w:cs="Arial"/>
          <w:sz w:val="18"/>
          <w:szCs w:val="18"/>
        </w:rPr>
        <w:t xml:space="preserve"> 2025.</w:t>
      </w:r>
    </w:p>
    <w:p w14:paraId="159E29F9" w14:textId="040AA266" w:rsidR="00372E40" w:rsidRPr="00B450EB" w:rsidRDefault="009503F1" w:rsidP="00EE7AE0">
      <w:pPr>
        <w:pStyle w:val="Descripcin"/>
        <w:rPr>
          <w:color w:val="auto"/>
        </w:rPr>
      </w:pPr>
      <w:bookmarkStart w:id="111" w:name="_Toc209462746"/>
      <w:r w:rsidRPr="00B450EB">
        <w:rPr>
          <w:color w:val="auto"/>
        </w:rPr>
        <w:t>Figura</w:t>
      </w:r>
      <w:r w:rsidR="00EE7AE0" w:rsidRPr="00B450EB">
        <w:rPr>
          <w:color w:val="auto"/>
        </w:rPr>
        <w:t xml:space="preserve">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58</w:t>
      </w:r>
      <w:r w:rsidRPr="00B450EB">
        <w:rPr>
          <w:color w:val="auto"/>
        </w:rPr>
        <w:fldChar w:fldCharType="end"/>
      </w:r>
      <w:r w:rsidR="00EE7AE0" w:rsidRPr="00B450EB">
        <w:rPr>
          <w:color w:val="auto"/>
        </w:rPr>
        <w:t>.</w:t>
      </w:r>
      <w:r w:rsidRPr="00B450EB">
        <w:rPr>
          <w:color w:val="auto"/>
        </w:rPr>
        <w:t xml:space="preserve"> </w:t>
      </w:r>
      <w:r w:rsidR="001565D1" w:rsidRPr="00B450EB">
        <w:rPr>
          <w:color w:val="auto"/>
        </w:rPr>
        <w:t xml:space="preserve">Ocurrencia de algunas especies </w:t>
      </w:r>
      <w:r w:rsidRPr="00B450EB">
        <w:rPr>
          <w:color w:val="auto"/>
        </w:rPr>
        <w:t>registradas como endémicas para Colombia y con distribución amazónica</w:t>
      </w:r>
      <w:bookmarkEnd w:id="111"/>
    </w:p>
    <w:p w14:paraId="07663621" w14:textId="77777777" w:rsidR="00FC444C" w:rsidRPr="00B450EB" w:rsidRDefault="00FC444C" w:rsidP="00EE7AE0">
      <w:pPr>
        <w:spacing w:after="0" w:line="276" w:lineRule="auto"/>
        <w:jc w:val="center"/>
        <w:rPr>
          <w:rFonts w:eastAsiaTheme="minorEastAsia" w:cs="Arial"/>
          <w:sz w:val="18"/>
          <w:szCs w:val="18"/>
        </w:rPr>
      </w:pPr>
      <w:r w:rsidRPr="00B450EB">
        <w:rPr>
          <w:noProof/>
        </w:rPr>
        <w:drawing>
          <wp:inline distT="0" distB="0" distL="0" distR="0" wp14:anchorId="2C4D1AF4" wp14:editId="62775827">
            <wp:extent cx="5114953" cy="4070350"/>
            <wp:effectExtent l="0" t="0" r="9525" b="6350"/>
            <wp:docPr id="437628714" name="Imagen 10"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28714" name="Imagen 10" descr="Mapa&#10;&#10;El contenido generado por IA puede ser incorrecto."/>
                    <pic:cNvPicPr>
                      <a:picLocks noChangeAspect="1" noChangeArrowheads="1"/>
                    </pic:cNvPicPr>
                  </pic:nvPicPr>
                  <pic:blipFill rotWithShape="1">
                    <a:blip r:embed="rId104" cstate="email">
                      <a:extLst>
                        <a:ext uri="{28A0092B-C50C-407E-A947-70E740481C1C}">
                          <a14:useLocalDpi xmlns:a14="http://schemas.microsoft.com/office/drawing/2010/main"/>
                        </a:ext>
                      </a:extLst>
                    </a:blip>
                    <a:srcRect/>
                    <a:stretch>
                      <a:fillRect/>
                    </a:stretch>
                  </pic:blipFill>
                  <pic:spPr bwMode="auto">
                    <a:xfrm>
                      <a:off x="0" y="0"/>
                      <a:ext cx="5122398" cy="4076275"/>
                    </a:xfrm>
                    <a:prstGeom prst="rect">
                      <a:avLst/>
                    </a:prstGeom>
                    <a:noFill/>
                    <a:ln>
                      <a:noFill/>
                    </a:ln>
                    <a:extLst>
                      <a:ext uri="{53640926-AAD7-44D8-BBD7-CCE9431645EC}">
                        <a14:shadowObscured xmlns:a14="http://schemas.microsoft.com/office/drawing/2010/main"/>
                      </a:ext>
                    </a:extLst>
                  </pic:spPr>
                </pic:pic>
              </a:graphicData>
            </a:graphic>
          </wp:inline>
        </w:drawing>
      </w:r>
    </w:p>
    <w:p w14:paraId="771B0236" w14:textId="74EF219D" w:rsidR="009503F1" w:rsidRPr="00B450EB" w:rsidRDefault="009503F1" w:rsidP="009503F1">
      <w:pPr>
        <w:spacing w:line="276" w:lineRule="auto"/>
        <w:jc w:val="center"/>
        <w:rPr>
          <w:rFonts w:eastAsiaTheme="minorEastAsia" w:cs="Arial"/>
          <w:sz w:val="18"/>
          <w:szCs w:val="18"/>
        </w:rPr>
      </w:pPr>
      <w:r w:rsidRPr="00B450EB">
        <w:rPr>
          <w:rFonts w:eastAsiaTheme="minorEastAsia" w:cs="Arial"/>
          <w:sz w:val="18"/>
          <w:szCs w:val="18"/>
        </w:rPr>
        <w:t>Fuente:</w:t>
      </w:r>
      <w:r w:rsidR="00A44B73" w:rsidRPr="00B450EB">
        <w:rPr>
          <w:rFonts w:eastAsiaTheme="minorEastAsia" w:cs="Arial"/>
          <w:sz w:val="18"/>
          <w:szCs w:val="18"/>
        </w:rPr>
        <w:t xml:space="preserve"> GBIF</w:t>
      </w:r>
      <w:r w:rsidR="00614468" w:rsidRPr="00B450EB">
        <w:rPr>
          <w:rFonts w:eastAsiaTheme="minorEastAsia" w:cs="Arial"/>
          <w:sz w:val="18"/>
          <w:szCs w:val="18"/>
        </w:rPr>
        <w:t>,</w:t>
      </w:r>
      <w:r w:rsidR="0047136B" w:rsidRPr="00B450EB">
        <w:rPr>
          <w:rFonts w:eastAsiaTheme="minorEastAsia" w:cs="Arial"/>
          <w:sz w:val="18"/>
          <w:szCs w:val="18"/>
        </w:rPr>
        <w:t xml:space="preserve"> 2025.</w:t>
      </w:r>
    </w:p>
    <w:p w14:paraId="1050640D" w14:textId="77777777" w:rsidR="009503F1" w:rsidRPr="00B450EB" w:rsidRDefault="009503F1" w:rsidP="0006218C">
      <w:pPr>
        <w:spacing w:line="276" w:lineRule="auto"/>
        <w:jc w:val="center"/>
        <w:rPr>
          <w:rFonts w:eastAsiaTheme="minorEastAsia" w:cs="Arial"/>
          <w:sz w:val="18"/>
          <w:szCs w:val="18"/>
        </w:rPr>
      </w:pPr>
    </w:p>
    <w:p w14:paraId="05CE105F" w14:textId="77777777" w:rsidR="00466DC8" w:rsidRPr="00B450EB" w:rsidRDefault="00466DC8" w:rsidP="0006218C">
      <w:pPr>
        <w:spacing w:line="276" w:lineRule="auto"/>
        <w:jc w:val="center"/>
        <w:rPr>
          <w:rFonts w:eastAsiaTheme="minorEastAsia" w:cs="Arial"/>
          <w:sz w:val="18"/>
          <w:szCs w:val="18"/>
        </w:rPr>
      </w:pPr>
    </w:p>
    <w:p w14:paraId="11EB1749" w14:textId="77777777" w:rsidR="00466DC8" w:rsidRPr="00B450EB" w:rsidRDefault="00466DC8" w:rsidP="0006218C">
      <w:pPr>
        <w:spacing w:line="276" w:lineRule="auto"/>
        <w:jc w:val="center"/>
        <w:rPr>
          <w:rFonts w:eastAsiaTheme="minorEastAsia" w:cs="Arial"/>
          <w:sz w:val="18"/>
          <w:szCs w:val="18"/>
        </w:rPr>
      </w:pPr>
    </w:p>
    <w:p w14:paraId="4445CD8B" w14:textId="241F5765" w:rsidR="007F45BE" w:rsidRPr="00B450EB" w:rsidRDefault="007F45BE" w:rsidP="007F45BE">
      <w:pPr>
        <w:rPr>
          <w:i/>
          <w:u w:val="single"/>
        </w:rPr>
      </w:pPr>
      <w:r w:rsidRPr="00B450EB">
        <w:rPr>
          <w:i/>
          <w:u w:val="single"/>
        </w:rPr>
        <w:lastRenderedPageBreak/>
        <w:t xml:space="preserve">Fauna </w:t>
      </w:r>
      <w:r w:rsidR="00BD2587" w:rsidRPr="00B450EB">
        <w:rPr>
          <w:i/>
          <w:u w:val="single"/>
        </w:rPr>
        <w:t>amenazada</w:t>
      </w:r>
    </w:p>
    <w:p w14:paraId="392C13F5" w14:textId="2F0C6E23" w:rsidR="00D55BB5" w:rsidRPr="00B450EB" w:rsidRDefault="00D55BB5" w:rsidP="007F45BE">
      <w:pPr>
        <w:rPr>
          <w:iCs/>
        </w:rPr>
      </w:pPr>
      <w:bookmarkStart w:id="112" w:name="_Ref209016415"/>
      <w:r w:rsidRPr="00B450EB">
        <w:rPr>
          <w:iCs/>
        </w:rPr>
        <w:t xml:space="preserve">Dada la falta de información para </w:t>
      </w:r>
      <w:r w:rsidR="00C8289C" w:rsidRPr="00B450EB">
        <w:rPr>
          <w:iCs/>
        </w:rPr>
        <w:t>muchas de la</w:t>
      </w:r>
      <w:r w:rsidRPr="00B450EB">
        <w:rPr>
          <w:iCs/>
        </w:rPr>
        <w:t>s especies</w:t>
      </w:r>
      <w:r w:rsidR="00C8289C" w:rsidRPr="00B450EB">
        <w:rPr>
          <w:iCs/>
        </w:rPr>
        <w:t xml:space="preserve"> </w:t>
      </w:r>
      <w:r w:rsidR="00183143" w:rsidRPr="00B450EB">
        <w:rPr>
          <w:iCs/>
        </w:rPr>
        <w:t xml:space="preserve">y </w:t>
      </w:r>
      <w:r w:rsidR="00642520" w:rsidRPr="00B450EB">
        <w:rPr>
          <w:iCs/>
        </w:rPr>
        <w:t>la ausencia de muestreos en gran parte del bioma</w:t>
      </w:r>
      <w:r w:rsidR="00183143" w:rsidRPr="00B450EB">
        <w:rPr>
          <w:iCs/>
        </w:rPr>
        <w:t xml:space="preserve">, </w:t>
      </w:r>
      <w:r w:rsidR="00C07F05" w:rsidRPr="00B450EB">
        <w:rPr>
          <w:iCs/>
        </w:rPr>
        <w:t>la mayoría</w:t>
      </w:r>
      <w:r w:rsidR="00183143" w:rsidRPr="00B450EB">
        <w:rPr>
          <w:iCs/>
        </w:rPr>
        <w:t xml:space="preserve"> de la fauna no ha sido categorizada por organismos internacionales ni nacionales frente a su riesgo a la extensión. Sin embargo, se tiene conocimiento de </w:t>
      </w:r>
      <w:r w:rsidR="00634CC6" w:rsidRPr="00B450EB">
        <w:rPr>
          <w:iCs/>
        </w:rPr>
        <w:t xml:space="preserve">diferentes especies en </w:t>
      </w:r>
      <w:r w:rsidR="00EA3185" w:rsidRPr="00B450EB">
        <w:rPr>
          <w:iCs/>
        </w:rPr>
        <w:t>categorías de am</w:t>
      </w:r>
      <w:r w:rsidR="00C07F05" w:rsidRPr="00B450EB">
        <w:rPr>
          <w:iCs/>
        </w:rPr>
        <w:t>en</w:t>
      </w:r>
      <w:r w:rsidR="00EA3185" w:rsidRPr="00B450EB">
        <w:rPr>
          <w:iCs/>
        </w:rPr>
        <w:t>aza</w:t>
      </w:r>
      <w:r w:rsidR="00C07F05" w:rsidRPr="00B450EB">
        <w:rPr>
          <w:iCs/>
        </w:rPr>
        <w:t xml:space="preserve"> para todos los grupos faunísticos, y como </w:t>
      </w:r>
      <w:r w:rsidR="00BA2766" w:rsidRPr="00B450EB">
        <w:rPr>
          <w:iCs/>
        </w:rPr>
        <w:t>está</w:t>
      </w:r>
      <w:r w:rsidR="00C07F05" w:rsidRPr="00B450EB">
        <w:rPr>
          <w:iCs/>
        </w:rPr>
        <w:t xml:space="preserve"> categorización ha ido cambiando a lo largo de los años, añadiendo especies</w:t>
      </w:r>
      <w:r w:rsidR="00C3632D" w:rsidRPr="00B450EB">
        <w:rPr>
          <w:iCs/>
        </w:rPr>
        <w:t xml:space="preserve"> y aumentando la criticidad de la amenaza</w:t>
      </w:r>
      <w:r w:rsidR="0020041F" w:rsidRPr="00B450EB">
        <w:rPr>
          <w:iCs/>
        </w:rPr>
        <w:t xml:space="preserve"> tanto a nivel global como</w:t>
      </w:r>
      <w:r w:rsidR="00AC3440" w:rsidRPr="00B450EB">
        <w:rPr>
          <w:iCs/>
        </w:rPr>
        <w:t xml:space="preserve"> nacional.</w:t>
      </w:r>
      <w:r w:rsidR="00291A9E" w:rsidRPr="00B450EB">
        <w:rPr>
          <w:iCs/>
        </w:rPr>
        <w:t xml:space="preserve"> Así entonces se tiene que para el 2010 al menos 30 especies de fauna </w:t>
      </w:r>
      <w:r w:rsidR="0020041F" w:rsidRPr="00B450EB">
        <w:rPr>
          <w:iCs/>
        </w:rPr>
        <w:t xml:space="preserve">vertebrada </w:t>
      </w:r>
      <w:r w:rsidR="00291A9E" w:rsidRPr="00B450EB">
        <w:rPr>
          <w:iCs/>
        </w:rPr>
        <w:t xml:space="preserve">se encontraban reportadas </w:t>
      </w:r>
      <w:r w:rsidR="000D50DE" w:rsidRPr="00B450EB">
        <w:rPr>
          <w:iCs/>
        </w:rPr>
        <w:t>en los libros rojos de Colombia, que para el 2021</w:t>
      </w:r>
      <w:r w:rsidR="001D015E" w:rsidRPr="00B450EB">
        <w:rPr>
          <w:iCs/>
        </w:rPr>
        <w:t>,</w:t>
      </w:r>
      <w:r w:rsidR="000D50DE" w:rsidRPr="00B450EB">
        <w:rPr>
          <w:iCs/>
        </w:rPr>
        <w:t xml:space="preserve"> 39 especies presentes en el bioma amazónico </w:t>
      </w:r>
      <w:r w:rsidR="001D015E" w:rsidRPr="00B450EB">
        <w:rPr>
          <w:iCs/>
        </w:rPr>
        <w:t xml:space="preserve">colombiano </w:t>
      </w:r>
      <w:r w:rsidR="000D50DE" w:rsidRPr="00B450EB">
        <w:rPr>
          <w:iCs/>
        </w:rPr>
        <w:t>estaban amenazadas a nivel global</w:t>
      </w:r>
      <w:r w:rsidR="001D015E" w:rsidRPr="00B450EB">
        <w:rPr>
          <w:iCs/>
        </w:rPr>
        <w:t xml:space="preserve"> y 23 de estas lo estaban también a nivel nacional para el 2024</w:t>
      </w:r>
      <w:r w:rsidR="00073F3D" w:rsidRPr="00B450EB">
        <w:rPr>
          <w:iCs/>
        </w:rPr>
        <w:t xml:space="preserve"> (</w:t>
      </w:r>
      <w:r w:rsidR="002E3C13" w:rsidRPr="00B450EB">
        <w:rPr>
          <w:iCs/>
        </w:rPr>
        <w:t xml:space="preserve">siguiente </w:t>
      </w:r>
      <w:r w:rsidR="00CB5FEB" w:rsidRPr="00B450EB">
        <w:rPr>
          <w:iCs/>
        </w:rPr>
        <w:fldChar w:fldCharType="begin"/>
      </w:r>
      <w:r w:rsidR="00CB5FEB" w:rsidRPr="00B450EB">
        <w:rPr>
          <w:iCs/>
        </w:rPr>
        <w:instrText xml:space="preserve"> REF _Ref209016425 \h </w:instrText>
      </w:r>
      <w:r w:rsidR="006E0BC8" w:rsidRPr="00B450EB">
        <w:rPr>
          <w:iCs/>
        </w:rPr>
        <w:instrText xml:space="preserve"> \* MERGEFORMAT </w:instrText>
      </w:r>
      <w:r w:rsidR="00CB5FEB" w:rsidRPr="00B450EB">
        <w:rPr>
          <w:iCs/>
        </w:rPr>
      </w:r>
      <w:r w:rsidR="00CB5FEB" w:rsidRPr="00B450EB">
        <w:rPr>
          <w:iCs/>
        </w:rPr>
        <w:fldChar w:fldCharType="separate"/>
      </w:r>
      <w:r w:rsidR="00010D09" w:rsidRPr="00B450EB">
        <w:t>Tabla</w:t>
      </w:r>
      <w:r w:rsidR="00CB5FEB" w:rsidRPr="00B450EB">
        <w:rPr>
          <w:iCs/>
        </w:rPr>
        <w:fldChar w:fldCharType="end"/>
      </w:r>
      <w:r w:rsidR="00CB5FEB" w:rsidRPr="00B450EB">
        <w:rPr>
          <w:iCs/>
        </w:rPr>
        <w:t xml:space="preserve">). </w:t>
      </w:r>
    </w:p>
    <w:p w14:paraId="3213BE14" w14:textId="2A8D6405" w:rsidR="00962971" w:rsidRPr="00B450EB" w:rsidRDefault="00962971" w:rsidP="00377AD7">
      <w:pPr>
        <w:pStyle w:val="Descripcin"/>
        <w:rPr>
          <w:color w:val="auto"/>
        </w:rPr>
      </w:pPr>
      <w:bookmarkStart w:id="113" w:name="_Ref209016425"/>
      <w:bookmarkStart w:id="114" w:name="_Toc209722996"/>
      <w:r w:rsidRPr="00B450EB">
        <w:rPr>
          <w:color w:val="auto"/>
        </w:rPr>
        <w:t>Tabla</w:t>
      </w:r>
      <w:bookmarkEnd w:id="112"/>
      <w:bookmarkEnd w:id="113"/>
      <w:r w:rsidRPr="00B450EB">
        <w:rPr>
          <w:color w:val="auto"/>
        </w:rPr>
        <w:t xml:space="preserve"> </w:t>
      </w:r>
      <w:r w:rsidRPr="00B450EB">
        <w:rPr>
          <w:color w:val="auto"/>
        </w:rPr>
        <w:fldChar w:fldCharType="begin"/>
      </w:r>
      <w:r w:rsidRPr="00B450EB">
        <w:rPr>
          <w:i w:val="0"/>
          <w:color w:val="auto"/>
        </w:rPr>
        <w:instrText xml:space="preserve"> SEQ Tabla \* ARABIC </w:instrText>
      </w:r>
      <w:r w:rsidRPr="00B450EB">
        <w:rPr>
          <w:color w:val="auto"/>
        </w:rPr>
        <w:fldChar w:fldCharType="separate"/>
      </w:r>
      <w:r w:rsidR="009765C2" w:rsidRPr="00B450EB">
        <w:rPr>
          <w:i w:val="0"/>
          <w:noProof/>
          <w:color w:val="auto"/>
        </w:rPr>
        <w:t>13</w:t>
      </w:r>
      <w:r w:rsidRPr="00B450EB">
        <w:rPr>
          <w:color w:val="auto"/>
        </w:rPr>
        <w:fldChar w:fldCharType="end"/>
      </w:r>
      <w:r w:rsidRPr="00B450EB">
        <w:rPr>
          <w:color w:val="auto"/>
        </w:rPr>
        <w:t>. Especies de fauna registradas en la Amazonía colombiana y categoría de amenaza global y nacional</w:t>
      </w:r>
      <w:bookmarkEnd w:id="114"/>
    </w:p>
    <w:tbl>
      <w:tblPr>
        <w:tblW w:w="5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1261"/>
        <w:gridCol w:w="1086"/>
        <w:gridCol w:w="1205"/>
        <w:gridCol w:w="1220"/>
        <w:gridCol w:w="2429"/>
        <w:gridCol w:w="1259"/>
      </w:tblGrid>
      <w:tr w:rsidR="00EF1937" w:rsidRPr="00B450EB" w14:paraId="27B33BCF" w14:textId="77777777" w:rsidTr="00562C7A">
        <w:trPr>
          <w:trHeight w:val="20"/>
          <w:tblHeader/>
          <w:jc w:val="center"/>
        </w:trPr>
        <w:tc>
          <w:tcPr>
            <w:tcW w:w="645" w:type="pct"/>
            <w:vMerge w:val="restart"/>
            <w:shd w:val="clear" w:color="auto" w:fill="D9F2D0" w:themeFill="accent6" w:themeFillTint="33"/>
            <w:vAlign w:val="center"/>
          </w:tcPr>
          <w:p w14:paraId="4AE3BBCB" w14:textId="16AD187A" w:rsidR="00D203BB" w:rsidRPr="00B450EB" w:rsidRDefault="00D203BB" w:rsidP="00F97ADE">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Grupo faunístico</w:t>
            </w:r>
          </w:p>
        </w:tc>
        <w:tc>
          <w:tcPr>
            <w:tcW w:w="649" w:type="pct"/>
            <w:vMerge w:val="restart"/>
            <w:shd w:val="clear" w:color="auto" w:fill="D9F2D0" w:themeFill="accent6" w:themeFillTint="33"/>
            <w:vAlign w:val="center"/>
          </w:tcPr>
          <w:p w14:paraId="1708659A" w14:textId="77777777" w:rsidR="00D203BB" w:rsidRPr="00B450EB" w:rsidRDefault="00D203BB" w:rsidP="00F97ADE">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Número de especies registradas</w:t>
            </w:r>
          </w:p>
          <w:p w14:paraId="1DA8478B" w14:textId="77777777" w:rsidR="00D203BB" w:rsidRPr="00B450EB" w:rsidRDefault="00D203BB" w:rsidP="00F97ADE">
            <w:pPr>
              <w:spacing w:after="0" w:line="240" w:lineRule="auto"/>
              <w:jc w:val="center"/>
              <w:rPr>
                <w:rFonts w:eastAsia="Times New Roman" w:cs="Arial"/>
                <w:b/>
                <w:sz w:val="16"/>
                <w:szCs w:val="16"/>
                <w:lang w:eastAsia="es-CO"/>
              </w:rPr>
            </w:pPr>
          </w:p>
        </w:tc>
        <w:tc>
          <w:tcPr>
            <w:tcW w:w="1807" w:type="pct"/>
            <w:gridSpan w:val="3"/>
            <w:shd w:val="clear" w:color="auto" w:fill="D9F2D0" w:themeFill="accent6" w:themeFillTint="33"/>
            <w:vAlign w:val="center"/>
          </w:tcPr>
          <w:p w14:paraId="7598B5D4" w14:textId="610ADC82" w:rsidR="00D203BB" w:rsidRPr="00B450EB" w:rsidRDefault="00D203BB" w:rsidP="00F97ADE">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Número de especies en categoría de amenaza</w:t>
            </w:r>
          </w:p>
        </w:tc>
        <w:tc>
          <w:tcPr>
            <w:tcW w:w="1250" w:type="pct"/>
            <w:vMerge w:val="restart"/>
            <w:shd w:val="clear" w:color="auto" w:fill="D9F2D0" w:themeFill="accent6" w:themeFillTint="33"/>
            <w:vAlign w:val="center"/>
          </w:tcPr>
          <w:p w14:paraId="7E846F96" w14:textId="2CDA1E48" w:rsidR="00D203BB" w:rsidRPr="00B450EB" w:rsidRDefault="00D203BB" w:rsidP="00F97ADE">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Especies históricamente amenazadas</w:t>
            </w:r>
          </w:p>
        </w:tc>
        <w:tc>
          <w:tcPr>
            <w:tcW w:w="648" w:type="pct"/>
            <w:vMerge w:val="restart"/>
            <w:shd w:val="clear" w:color="auto" w:fill="D9F2D0" w:themeFill="accent6" w:themeFillTint="33"/>
            <w:vAlign w:val="center"/>
          </w:tcPr>
          <w:p w14:paraId="39B9CB26" w14:textId="28A51FE1" w:rsidR="00D203BB" w:rsidRPr="00B450EB" w:rsidRDefault="00D203BB" w:rsidP="00F97ADE">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Principales amenazas</w:t>
            </w:r>
          </w:p>
        </w:tc>
      </w:tr>
      <w:tr w:rsidR="00EF1937" w:rsidRPr="00B450EB" w14:paraId="2C7B79EB" w14:textId="0DD18B18" w:rsidTr="00562C7A">
        <w:trPr>
          <w:trHeight w:val="20"/>
          <w:tblHeader/>
          <w:jc w:val="center"/>
        </w:trPr>
        <w:tc>
          <w:tcPr>
            <w:tcW w:w="645" w:type="pct"/>
            <w:vMerge/>
            <w:vAlign w:val="center"/>
          </w:tcPr>
          <w:p w14:paraId="6B408DDD" w14:textId="6EBE34A9" w:rsidR="00D203BB" w:rsidRPr="00B450EB" w:rsidRDefault="00D203BB" w:rsidP="00C62587">
            <w:pPr>
              <w:spacing w:after="0" w:line="240" w:lineRule="auto"/>
              <w:jc w:val="center"/>
              <w:rPr>
                <w:rFonts w:eastAsia="Times New Roman" w:cs="Arial"/>
                <w:b/>
                <w:sz w:val="16"/>
                <w:szCs w:val="16"/>
                <w:lang w:eastAsia="es-CO"/>
              </w:rPr>
            </w:pPr>
          </w:p>
        </w:tc>
        <w:tc>
          <w:tcPr>
            <w:tcW w:w="649" w:type="pct"/>
            <w:vMerge/>
            <w:vAlign w:val="center"/>
          </w:tcPr>
          <w:p w14:paraId="268F5A09" w14:textId="77777777" w:rsidR="00D203BB" w:rsidRPr="00B450EB" w:rsidRDefault="00D203BB" w:rsidP="00C62587">
            <w:pPr>
              <w:spacing w:after="0" w:line="240" w:lineRule="auto"/>
              <w:jc w:val="center"/>
              <w:rPr>
                <w:rFonts w:eastAsia="Times New Roman" w:cs="Arial"/>
                <w:b/>
                <w:sz w:val="16"/>
                <w:szCs w:val="16"/>
                <w:lang w:eastAsia="es-CO"/>
              </w:rPr>
            </w:pPr>
          </w:p>
        </w:tc>
        <w:tc>
          <w:tcPr>
            <w:tcW w:w="559" w:type="pct"/>
            <w:shd w:val="clear" w:color="auto" w:fill="D9F2D0" w:themeFill="accent6" w:themeFillTint="33"/>
            <w:vAlign w:val="center"/>
          </w:tcPr>
          <w:p w14:paraId="4D0AEC9D" w14:textId="1AFB20EC" w:rsidR="00D203BB" w:rsidRPr="00B450EB" w:rsidRDefault="00D203BB" w:rsidP="00C62587">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Libros rojos para Colombia</w:t>
            </w:r>
          </w:p>
          <w:p w14:paraId="647DE3C2" w14:textId="372421E5" w:rsidR="00D203BB" w:rsidRPr="00B450EB" w:rsidRDefault="00D203BB" w:rsidP="00C62587">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w:t>
            </w:r>
            <w:proofErr w:type="spellStart"/>
            <w:r w:rsidRPr="00B450EB">
              <w:rPr>
                <w:rFonts w:eastAsia="Times New Roman" w:cs="Arial"/>
                <w:b/>
                <w:sz w:val="16"/>
                <w:szCs w:val="16"/>
                <w:lang w:eastAsia="es-CO"/>
              </w:rPr>
              <w:t>IAvH</w:t>
            </w:r>
            <w:proofErr w:type="spellEnd"/>
            <w:r w:rsidRPr="00B450EB">
              <w:rPr>
                <w:rFonts w:eastAsia="Times New Roman" w:cs="Arial"/>
                <w:b/>
                <w:sz w:val="16"/>
                <w:szCs w:val="16"/>
                <w:lang w:eastAsia="es-CO"/>
              </w:rPr>
              <w:t>, 2010)</w:t>
            </w:r>
          </w:p>
        </w:tc>
        <w:tc>
          <w:tcPr>
            <w:tcW w:w="620" w:type="pct"/>
            <w:shd w:val="clear" w:color="auto" w:fill="D9F2D0" w:themeFill="accent6" w:themeFillTint="33"/>
            <w:vAlign w:val="center"/>
          </w:tcPr>
          <w:p w14:paraId="4C97772C" w14:textId="4C0643BF" w:rsidR="00D203BB" w:rsidRPr="00B450EB" w:rsidRDefault="00D203BB" w:rsidP="00C62587">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 xml:space="preserve">la Unión Internacional para la Conservación de la Naturaleza </w:t>
            </w:r>
            <w:r w:rsidRPr="00B450EB">
              <w:rPr>
                <w:rFonts w:eastAsia="Times New Roman" w:cs="Arial"/>
                <w:b/>
                <w:sz w:val="16"/>
                <w:szCs w:val="16"/>
                <w:lang w:eastAsia="es-CO"/>
              </w:rPr>
              <w:br/>
              <w:t>(UICN, 2021)</w:t>
            </w:r>
          </w:p>
        </w:tc>
        <w:tc>
          <w:tcPr>
            <w:tcW w:w="628" w:type="pct"/>
            <w:shd w:val="clear" w:color="auto" w:fill="D9F2D0" w:themeFill="accent6" w:themeFillTint="33"/>
            <w:vAlign w:val="center"/>
          </w:tcPr>
          <w:p w14:paraId="59D46379" w14:textId="2761CBCF" w:rsidR="00D203BB" w:rsidRPr="00B450EB" w:rsidRDefault="00D203BB" w:rsidP="00C62587">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 xml:space="preserve">Ministerio de Ambiente y Desarrollo Sostenible </w:t>
            </w:r>
          </w:p>
          <w:p w14:paraId="43F8FBF0" w14:textId="77777777" w:rsidR="00D203BB" w:rsidRPr="00B450EB" w:rsidRDefault="00D203BB" w:rsidP="00C62587">
            <w:pPr>
              <w:spacing w:after="0" w:line="240" w:lineRule="auto"/>
              <w:jc w:val="center"/>
              <w:rPr>
                <w:rFonts w:eastAsia="Times New Roman" w:cs="Arial"/>
                <w:b/>
                <w:sz w:val="16"/>
                <w:szCs w:val="16"/>
                <w:lang w:eastAsia="es-CO"/>
              </w:rPr>
            </w:pPr>
            <w:r w:rsidRPr="00B450EB">
              <w:rPr>
                <w:rFonts w:eastAsia="Times New Roman" w:cs="Arial"/>
                <w:b/>
                <w:sz w:val="16"/>
                <w:szCs w:val="16"/>
                <w:lang w:eastAsia="es-CO"/>
              </w:rPr>
              <w:t>(MADS, 2024)</w:t>
            </w:r>
          </w:p>
          <w:p w14:paraId="69C3A9D3" w14:textId="77777777" w:rsidR="00D203BB" w:rsidRPr="00B450EB" w:rsidRDefault="00D203BB" w:rsidP="00C62587">
            <w:pPr>
              <w:spacing w:after="0" w:line="240" w:lineRule="auto"/>
              <w:jc w:val="center"/>
              <w:rPr>
                <w:rFonts w:eastAsia="Times New Roman" w:cs="Arial"/>
                <w:b/>
                <w:sz w:val="16"/>
                <w:szCs w:val="16"/>
                <w:lang w:eastAsia="es-CO"/>
              </w:rPr>
            </w:pPr>
          </w:p>
        </w:tc>
        <w:tc>
          <w:tcPr>
            <w:tcW w:w="1250" w:type="pct"/>
            <w:vMerge/>
            <w:vAlign w:val="center"/>
          </w:tcPr>
          <w:p w14:paraId="1256F180" w14:textId="35D549A5" w:rsidR="00D203BB" w:rsidRPr="00B450EB" w:rsidRDefault="00D203BB" w:rsidP="00C62587">
            <w:pPr>
              <w:spacing w:after="0" w:line="240" w:lineRule="auto"/>
              <w:jc w:val="center"/>
              <w:rPr>
                <w:rFonts w:eastAsia="Times New Roman" w:cs="Arial"/>
                <w:sz w:val="16"/>
                <w:szCs w:val="16"/>
                <w:lang w:eastAsia="es-CO"/>
              </w:rPr>
            </w:pPr>
          </w:p>
        </w:tc>
        <w:tc>
          <w:tcPr>
            <w:tcW w:w="648" w:type="pct"/>
            <w:vMerge/>
            <w:vAlign w:val="center"/>
          </w:tcPr>
          <w:p w14:paraId="3AD1D72F" w14:textId="0F4D369C" w:rsidR="00D203BB" w:rsidRPr="00B450EB" w:rsidRDefault="00D203BB" w:rsidP="00C62587">
            <w:pPr>
              <w:spacing w:after="0" w:line="240" w:lineRule="auto"/>
              <w:jc w:val="center"/>
              <w:rPr>
                <w:rFonts w:eastAsia="Times New Roman" w:cs="Arial"/>
                <w:sz w:val="16"/>
                <w:szCs w:val="16"/>
                <w:lang w:eastAsia="es-CO"/>
              </w:rPr>
            </w:pPr>
          </w:p>
        </w:tc>
      </w:tr>
      <w:tr w:rsidR="00EF1937" w:rsidRPr="00B450EB" w14:paraId="5549BAF5" w14:textId="281BA09E" w:rsidTr="00562C7A">
        <w:trPr>
          <w:trHeight w:val="20"/>
          <w:jc w:val="center"/>
        </w:trPr>
        <w:tc>
          <w:tcPr>
            <w:tcW w:w="645" w:type="pct"/>
            <w:vAlign w:val="center"/>
          </w:tcPr>
          <w:p w14:paraId="7B6D97F3" w14:textId="77777777" w:rsidR="00C62587" w:rsidRPr="00B450EB" w:rsidRDefault="00C62587" w:rsidP="00C62587">
            <w:pPr>
              <w:spacing w:after="0" w:line="240" w:lineRule="auto"/>
              <w:jc w:val="center"/>
              <w:rPr>
                <w:rFonts w:eastAsia="Times New Roman" w:cs="Arial"/>
                <w:sz w:val="16"/>
                <w:szCs w:val="16"/>
                <w:lang w:eastAsia="es-CO"/>
              </w:rPr>
            </w:pPr>
            <w:proofErr w:type="spellStart"/>
            <w:r w:rsidRPr="00B450EB">
              <w:rPr>
                <w:rFonts w:eastAsia="Times New Roman" w:cs="Arial"/>
                <w:sz w:val="16"/>
                <w:szCs w:val="16"/>
                <w:lang w:eastAsia="es-CO"/>
              </w:rPr>
              <w:t>Artropofauna</w:t>
            </w:r>
            <w:proofErr w:type="spellEnd"/>
          </w:p>
        </w:tc>
        <w:tc>
          <w:tcPr>
            <w:tcW w:w="649" w:type="pct"/>
            <w:vAlign w:val="center"/>
          </w:tcPr>
          <w:p w14:paraId="366B5212" w14:textId="5212B181" w:rsidR="00C62587" w:rsidRPr="00B450EB" w:rsidRDefault="00C62587" w:rsidP="00C62587">
            <w:pPr>
              <w:spacing w:after="0" w:line="240" w:lineRule="auto"/>
              <w:jc w:val="center"/>
              <w:rPr>
                <w:rFonts w:eastAsia="Times New Roman" w:cs="Arial"/>
                <w:sz w:val="16"/>
                <w:szCs w:val="16"/>
                <w:lang w:eastAsia="es-CO"/>
              </w:rPr>
            </w:pPr>
            <w:r w:rsidRPr="00B450EB">
              <w:rPr>
                <w:rFonts w:eastAsia="Times New Roman" w:cs="Arial"/>
                <w:sz w:val="16"/>
                <w:szCs w:val="16"/>
                <w:lang w:eastAsia="es-CO"/>
              </w:rPr>
              <w:t>6.206</w:t>
            </w:r>
          </w:p>
        </w:tc>
        <w:tc>
          <w:tcPr>
            <w:tcW w:w="559" w:type="pct"/>
            <w:vAlign w:val="center"/>
          </w:tcPr>
          <w:p w14:paraId="0FACA375" w14:textId="77777777" w:rsidR="00C62587" w:rsidRPr="00B450EB" w:rsidRDefault="006B6D63"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1 NT</w:t>
            </w:r>
          </w:p>
          <w:p w14:paraId="25D91342" w14:textId="397DA6BF" w:rsidR="006B6D63" w:rsidRPr="00B450EB" w:rsidRDefault="00814C33"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2</w:t>
            </w:r>
            <w:r w:rsidR="006B6D63" w:rsidRPr="00B450EB">
              <w:rPr>
                <w:rFonts w:eastAsia="Times New Roman" w:cs="Arial"/>
                <w:sz w:val="16"/>
                <w:szCs w:val="16"/>
                <w:lang w:eastAsia="es-CO"/>
              </w:rPr>
              <w:t xml:space="preserve"> EN</w:t>
            </w:r>
          </w:p>
          <w:p w14:paraId="7B34F972" w14:textId="18729DE6" w:rsidR="00C63A63" w:rsidRPr="00B450EB" w:rsidRDefault="00057760"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4</w:t>
            </w:r>
            <w:r w:rsidR="00C63A63" w:rsidRPr="00B450EB">
              <w:rPr>
                <w:rFonts w:eastAsia="Times New Roman" w:cs="Arial"/>
                <w:sz w:val="16"/>
                <w:szCs w:val="16"/>
                <w:lang w:eastAsia="es-CO"/>
              </w:rPr>
              <w:t xml:space="preserve"> VU</w:t>
            </w:r>
          </w:p>
        </w:tc>
        <w:tc>
          <w:tcPr>
            <w:tcW w:w="620" w:type="pct"/>
            <w:vAlign w:val="center"/>
          </w:tcPr>
          <w:p w14:paraId="4E383BB4" w14:textId="7D1DCC56"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3 NE</w:t>
            </w:r>
          </w:p>
        </w:tc>
        <w:tc>
          <w:tcPr>
            <w:tcW w:w="628" w:type="pct"/>
            <w:vAlign w:val="center"/>
          </w:tcPr>
          <w:p w14:paraId="48108655" w14:textId="77777777" w:rsidR="00E853E4" w:rsidRPr="00B450EB" w:rsidRDefault="00E853E4"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 xml:space="preserve">1NT </w:t>
            </w:r>
          </w:p>
          <w:p w14:paraId="55E1BACE" w14:textId="33726EC7" w:rsidR="00E853E4" w:rsidRPr="00B450EB" w:rsidRDefault="00E853E4"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3</w:t>
            </w:r>
            <w:r w:rsidR="00C62587" w:rsidRPr="00B450EB">
              <w:rPr>
                <w:rFonts w:eastAsia="Times New Roman" w:cs="Arial"/>
                <w:sz w:val="16"/>
                <w:szCs w:val="16"/>
                <w:lang w:eastAsia="es-CO"/>
              </w:rPr>
              <w:t xml:space="preserve"> EN </w:t>
            </w:r>
          </w:p>
          <w:p w14:paraId="5E5746F3" w14:textId="64D4E1A7" w:rsidR="00C62587" w:rsidRPr="00B450EB" w:rsidRDefault="00E853E4"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5</w:t>
            </w:r>
            <w:r w:rsidR="00C62587" w:rsidRPr="00B450EB">
              <w:rPr>
                <w:rFonts w:eastAsia="Times New Roman" w:cs="Arial"/>
                <w:sz w:val="16"/>
                <w:szCs w:val="16"/>
                <w:lang w:eastAsia="es-CO"/>
              </w:rPr>
              <w:t xml:space="preserve"> VU</w:t>
            </w:r>
          </w:p>
        </w:tc>
        <w:tc>
          <w:tcPr>
            <w:tcW w:w="1250" w:type="pct"/>
          </w:tcPr>
          <w:p w14:paraId="4BD1FCAE" w14:textId="77777777" w:rsidR="00C62587" w:rsidRPr="00B450EB" w:rsidRDefault="00C62587" w:rsidP="001C1081">
            <w:pPr>
              <w:pStyle w:val="Prrafodelista"/>
              <w:numPr>
                <w:ilvl w:val="0"/>
                <w:numId w:val="18"/>
              </w:numPr>
              <w:spacing w:line="240" w:lineRule="auto"/>
              <w:ind w:left="183" w:hanging="141"/>
              <w:jc w:val="left"/>
              <w:rPr>
                <w:rFonts w:eastAsia="Times New Roman" w:cs="Arial"/>
                <w:sz w:val="16"/>
                <w:szCs w:val="16"/>
                <w:lang w:eastAsia="es-CO"/>
              </w:rPr>
            </w:pPr>
            <w:proofErr w:type="spellStart"/>
            <w:r w:rsidRPr="00B450EB">
              <w:rPr>
                <w:rFonts w:eastAsia="Times New Roman" w:cs="Arial"/>
                <w:i/>
                <w:sz w:val="16"/>
                <w:szCs w:val="16"/>
                <w:lang w:eastAsia="es-CO"/>
              </w:rPr>
              <w:t>Tityus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sp</w:t>
            </w:r>
            <w:proofErr w:type="spellEnd"/>
          </w:p>
          <w:p w14:paraId="24C49704" w14:textId="77777777" w:rsidR="00C62587" w:rsidRPr="00B450EB" w:rsidRDefault="00C62587" w:rsidP="001C1081">
            <w:pPr>
              <w:pStyle w:val="Prrafodelista"/>
              <w:numPr>
                <w:ilvl w:val="0"/>
                <w:numId w:val="18"/>
              </w:numPr>
              <w:spacing w:line="240" w:lineRule="auto"/>
              <w:ind w:left="183" w:hanging="141"/>
              <w:jc w:val="left"/>
              <w:rPr>
                <w:rFonts w:eastAsia="Times New Roman" w:cs="Arial"/>
                <w:sz w:val="16"/>
                <w:szCs w:val="16"/>
                <w:lang w:eastAsia="es-CO"/>
              </w:rPr>
            </w:pPr>
            <w:proofErr w:type="spellStart"/>
            <w:r w:rsidRPr="00B450EB">
              <w:rPr>
                <w:rFonts w:eastAsia="Times New Roman" w:cs="Arial"/>
                <w:i/>
                <w:sz w:val="16"/>
                <w:szCs w:val="16"/>
                <w:lang w:eastAsia="es-CO"/>
              </w:rPr>
              <w:t>Panphobetus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sp</w:t>
            </w:r>
            <w:proofErr w:type="spellEnd"/>
            <w:r w:rsidR="00FC2223" w:rsidRPr="00B450EB">
              <w:rPr>
                <w:rFonts w:eastAsia="Times New Roman" w:cs="Arial"/>
                <w:i/>
                <w:sz w:val="16"/>
                <w:szCs w:val="16"/>
                <w:lang w:eastAsia="es-CO"/>
              </w:rPr>
              <w:t>.</w:t>
            </w:r>
          </w:p>
          <w:p w14:paraId="4C27EF99" w14:textId="77777777" w:rsidR="00FC2223" w:rsidRPr="00B450EB" w:rsidRDefault="006D2330" w:rsidP="001C1081">
            <w:pPr>
              <w:pStyle w:val="Prrafodelista"/>
              <w:numPr>
                <w:ilvl w:val="0"/>
                <w:numId w:val="18"/>
              </w:numPr>
              <w:spacing w:line="240" w:lineRule="auto"/>
              <w:ind w:left="183" w:hanging="141"/>
              <w:jc w:val="left"/>
              <w:rPr>
                <w:rFonts w:eastAsia="Times New Roman" w:cs="Arial"/>
                <w:i/>
                <w:iCs/>
                <w:sz w:val="16"/>
                <w:szCs w:val="16"/>
                <w:lang w:eastAsia="es-CO"/>
              </w:rPr>
            </w:pPr>
            <w:proofErr w:type="spellStart"/>
            <w:r w:rsidRPr="00B450EB">
              <w:rPr>
                <w:rFonts w:eastAsia="Times New Roman" w:cs="Arial"/>
                <w:i/>
                <w:iCs/>
                <w:sz w:val="16"/>
                <w:szCs w:val="16"/>
                <w:lang w:eastAsia="es-CO"/>
              </w:rPr>
              <w:t>Macrodontia</w:t>
            </w:r>
            <w:proofErr w:type="spellEnd"/>
            <w:r w:rsidRPr="00B450EB">
              <w:rPr>
                <w:rFonts w:eastAsia="Times New Roman" w:cs="Arial"/>
                <w:i/>
                <w:iCs/>
                <w:sz w:val="16"/>
                <w:szCs w:val="16"/>
                <w:lang w:eastAsia="es-CO"/>
              </w:rPr>
              <w:t xml:space="preserve"> </w:t>
            </w:r>
            <w:proofErr w:type="spellStart"/>
            <w:r w:rsidRPr="00B450EB">
              <w:rPr>
                <w:rFonts w:eastAsia="Times New Roman" w:cs="Arial"/>
                <w:i/>
                <w:iCs/>
                <w:sz w:val="16"/>
                <w:szCs w:val="16"/>
                <w:lang w:eastAsia="es-CO"/>
              </w:rPr>
              <w:t>cervicornis</w:t>
            </w:r>
            <w:proofErr w:type="spellEnd"/>
          </w:p>
          <w:p w14:paraId="09CA6BA0" w14:textId="77777777" w:rsidR="006B6D63" w:rsidRPr="00B450EB" w:rsidRDefault="006B6D63" w:rsidP="001C1081">
            <w:pPr>
              <w:pStyle w:val="Prrafodelista"/>
              <w:numPr>
                <w:ilvl w:val="0"/>
                <w:numId w:val="18"/>
              </w:numPr>
              <w:spacing w:line="240" w:lineRule="auto"/>
              <w:ind w:left="183" w:hanging="141"/>
              <w:jc w:val="left"/>
              <w:rPr>
                <w:rFonts w:eastAsia="Times New Roman" w:cs="Arial"/>
                <w:i/>
                <w:iCs/>
                <w:sz w:val="16"/>
                <w:szCs w:val="16"/>
                <w:lang w:eastAsia="es-CO"/>
              </w:rPr>
            </w:pPr>
            <w:proofErr w:type="spellStart"/>
            <w:r w:rsidRPr="00B450EB">
              <w:rPr>
                <w:rFonts w:eastAsia="Times New Roman" w:cs="Arial"/>
                <w:i/>
                <w:iCs/>
                <w:sz w:val="16"/>
                <w:szCs w:val="16"/>
                <w:lang w:eastAsia="es-CO"/>
              </w:rPr>
              <w:t>Megasoma</w:t>
            </w:r>
            <w:proofErr w:type="spellEnd"/>
            <w:r w:rsidRPr="00B450EB">
              <w:rPr>
                <w:rFonts w:eastAsia="Times New Roman" w:cs="Arial"/>
                <w:i/>
                <w:iCs/>
                <w:sz w:val="16"/>
                <w:szCs w:val="16"/>
                <w:lang w:eastAsia="es-CO"/>
              </w:rPr>
              <w:t xml:space="preserve"> </w:t>
            </w:r>
            <w:proofErr w:type="spellStart"/>
            <w:r w:rsidRPr="00B450EB">
              <w:rPr>
                <w:rFonts w:eastAsia="Times New Roman" w:cs="Arial"/>
                <w:i/>
                <w:iCs/>
                <w:sz w:val="16"/>
                <w:szCs w:val="16"/>
                <w:lang w:eastAsia="es-CO"/>
              </w:rPr>
              <w:t>mars</w:t>
            </w:r>
            <w:proofErr w:type="spellEnd"/>
          </w:p>
          <w:p w14:paraId="1728B9F6" w14:textId="77777777" w:rsidR="00673620" w:rsidRPr="00B450EB" w:rsidRDefault="00C63A63" w:rsidP="001C1081">
            <w:pPr>
              <w:pStyle w:val="Prrafodelista"/>
              <w:numPr>
                <w:ilvl w:val="0"/>
                <w:numId w:val="18"/>
              </w:numPr>
              <w:spacing w:line="240" w:lineRule="auto"/>
              <w:ind w:left="183" w:hanging="141"/>
              <w:jc w:val="left"/>
              <w:rPr>
                <w:rFonts w:eastAsia="Times New Roman" w:cs="Arial"/>
                <w:i/>
                <w:iCs/>
                <w:sz w:val="16"/>
                <w:szCs w:val="16"/>
                <w:lang w:eastAsia="es-CO"/>
              </w:rPr>
            </w:pPr>
            <w:proofErr w:type="spellStart"/>
            <w:r w:rsidRPr="00B450EB">
              <w:rPr>
                <w:rFonts w:eastAsia="Times New Roman" w:cs="Arial"/>
                <w:i/>
                <w:iCs/>
                <w:sz w:val="16"/>
                <w:szCs w:val="16"/>
                <w:lang w:eastAsia="es-CO"/>
              </w:rPr>
              <w:t>Titanus</w:t>
            </w:r>
            <w:proofErr w:type="spellEnd"/>
            <w:r w:rsidRPr="00B450EB">
              <w:rPr>
                <w:rFonts w:eastAsia="Times New Roman" w:cs="Arial"/>
                <w:i/>
                <w:iCs/>
                <w:sz w:val="16"/>
                <w:szCs w:val="16"/>
                <w:lang w:eastAsia="es-CO"/>
              </w:rPr>
              <w:tab/>
              <w:t xml:space="preserve"> </w:t>
            </w:r>
            <w:proofErr w:type="spellStart"/>
            <w:r w:rsidRPr="00B450EB">
              <w:rPr>
                <w:rFonts w:eastAsia="Times New Roman" w:cs="Arial"/>
                <w:i/>
                <w:iCs/>
                <w:sz w:val="16"/>
                <w:szCs w:val="16"/>
                <w:lang w:eastAsia="es-CO"/>
              </w:rPr>
              <w:t>giganteus</w:t>
            </w:r>
            <w:proofErr w:type="spellEnd"/>
          </w:p>
          <w:p w14:paraId="1C409E12" w14:textId="77777777" w:rsidR="00344FBF" w:rsidRPr="00B450EB" w:rsidRDefault="00673620" w:rsidP="001C1081">
            <w:pPr>
              <w:pStyle w:val="Prrafodelista"/>
              <w:numPr>
                <w:ilvl w:val="0"/>
                <w:numId w:val="18"/>
              </w:numPr>
              <w:spacing w:line="240" w:lineRule="auto"/>
              <w:ind w:left="183" w:hanging="141"/>
              <w:jc w:val="left"/>
              <w:rPr>
                <w:rFonts w:eastAsia="Times New Roman" w:cs="Arial"/>
                <w:i/>
                <w:iCs/>
                <w:sz w:val="16"/>
                <w:szCs w:val="16"/>
                <w:lang w:eastAsia="es-CO"/>
              </w:rPr>
            </w:pPr>
            <w:proofErr w:type="spellStart"/>
            <w:r w:rsidRPr="00B450EB">
              <w:rPr>
                <w:rFonts w:eastAsia="Times New Roman" w:cs="Arial"/>
                <w:i/>
                <w:iCs/>
                <w:sz w:val="16"/>
                <w:szCs w:val="16"/>
                <w:lang w:eastAsia="es-CO"/>
              </w:rPr>
              <w:t>Melipina</w:t>
            </w:r>
            <w:proofErr w:type="spellEnd"/>
            <w:r w:rsidRPr="00B450EB">
              <w:rPr>
                <w:rFonts w:eastAsia="Times New Roman" w:cs="Arial"/>
                <w:i/>
                <w:iCs/>
                <w:sz w:val="16"/>
                <w:szCs w:val="16"/>
                <w:lang w:eastAsia="es-CO"/>
              </w:rPr>
              <w:t xml:space="preserve"> </w:t>
            </w:r>
            <w:proofErr w:type="spellStart"/>
            <w:r w:rsidRPr="00B450EB">
              <w:rPr>
                <w:rFonts w:eastAsia="Times New Roman" w:cs="Arial"/>
                <w:i/>
                <w:iCs/>
                <w:sz w:val="16"/>
                <w:szCs w:val="16"/>
                <w:lang w:eastAsia="es-CO"/>
              </w:rPr>
              <w:t>eburnea</w:t>
            </w:r>
            <w:proofErr w:type="spellEnd"/>
            <w:r w:rsidR="00C63A63" w:rsidRPr="00B450EB">
              <w:rPr>
                <w:rFonts w:eastAsia="Times New Roman" w:cs="Arial"/>
                <w:i/>
                <w:iCs/>
                <w:sz w:val="16"/>
                <w:szCs w:val="16"/>
                <w:lang w:eastAsia="es-CO"/>
              </w:rPr>
              <w:tab/>
            </w:r>
          </w:p>
          <w:p w14:paraId="30EC1780" w14:textId="77777777" w:rsidR="00344FBF" w:rsidRPr="00B450EB" w:rsidRDefault="00344FBF" w:rsidP="001C1081">
            <w:pPr>
              <w:pStyle w:val="Prrafodelista"/>
              <w:numPr>
                <w:ilvl w:val="0"/>
                <w:numId w:val="18"/>
              </w:numPr>
              <w:spacing w:line="240" w:lineRule="auto"/>
              <w:ind w:left="183" w:hanging="141"/>
              <w:jc w:val="left"/>
              <w:rPr>
                <w:rFonts w:eastAsia="Times New Roman" w:cs="Arial"/>
                <w:i/>
                <w:iCs/>
                <w:sz w:val="16"/>
                <w:szCs w:val="16"/>
                <w:lang w:eastAsia="es-CO"/>
              </w:rPr>
            </w:pPr>
            <w:proofErr w:type="spellStart"/>
            <w:r w:rsidRPr="00B450EB">
              <w:rPr>
                <w:rFonts w:eastAsia="Times New Roman" w:cs="Arial"/>
                <w:i/>
                <w:iCs/>
                <w:sz w:val="16"/>
                <w:szCs w:val="16"/>
                <w:lang w:eastAsia="es-CO"/>
              </w:rPr>
              <w:t>Aglae</w:t>
            </w:r>
            <w:proofErr w:type="spellEnd"/>
            <w:r w:rsidRPr="00B450EB">
              <w:rPr>
                <w:rFonts w:eastAsia="Times New Roman" w:cs="Arial"/>
                <w:i/>
                <w:iCs/>
                <w:sz w:val="16"/>
                <w:szCs w:val="16"/>
                <w:lang w:eastAsia="es-CO"/>
              </w:rPr>
              <w:t xml:space="preserve"> </w:t>
            </w:r>
            <w:proofErr w:type="spellStart"/>
            <w:r w:rsidRPr="00B450EB">
              <w:rPr>
                <w:rFonts w:eastAsia="Times New Roman" w:cs="Arial"/>
                <w:i/>
                <w:iCs/>
                <w:sz w:val="16"/>
                <w:szCs w:val="16"/>
                <w:lang w:eastAsia="es-CO"/>
              </w:rPr>
              <w:t>caerulea</w:t>
            </w:r>
            <w:proofErr w:type="spellEnd"/>
          </w:p>
          <w:p w14:paraId="7D4AD19D" w14:textId="77777777" w:rsidR="00057760" w:rsidRPr="00B450EB" w:rsidRDefault="00344FBF" w:rsidP="001C1081">
            <w:pPr>
              <w:pStyle w:val="Prrafodelista"/>
              <w:numPr>
                <w:ilvl w:val="0"/>
                <w:numId w:val="18"/>
              </w:numPr>
              <w:spacing w:line="240" w:lineRule="auto"/>
              <w:ind w:left="183" w:hanging="141"/>
              <w:jc w:val="left"/>
              <w:rPr>
                <w:rFonts w:eastAsia="Times New Roman" w:cs="Arial"/>
                <w:i/>
                <w:iCs/>
                <w:sz w:val="16"/>
                <w:szCs w:val="16"/>
                <w:lang w:eastAsia="es-CO"/>
              </w:rPr>
            </w:pPr>
            <w:proofErr w:type="spellStart"/>
            <w:r w:rsidRPr="00B450EB">
              <w:rPr>
                <w:rFonts w:eastAsia="Times New Roman" w:cs="Arial"/>
                <w:i/>
                <w:iCs/>
                <w:sz w:val="16"/>
                <w:szCs w:val="16"/>
                <w:lang w:eastAsia="es-CO"/>
              </w:rPr>
              <w:t>Eufriesea</w:t>
            </w:r>
            <w:proofErr w:type="spellEnd"/>
            <w:r w:rsidRPr="00B450EB">
              <w:rPr>
                <w:rFonts w:eastAsia="Times New Roman" w:cs="Arial"/>
                <w:i/>
                <w:iCs/>
                <w:sz w:val="16"/>
                <w:szCs w:val="16"/>
                <w:lang w:eastAsia="es-CO"/>
              </w:rPr>
              <w:t xml:space="preserve"> </w:t>
            </w:r>
            <w:proofErr w:type="spellStart"/>
            <w:r w:rsidRPr="00B450EB">
              <w:rPr>
                <w:rFonts w:eastAsia="Times New Roman" w:cs="Arial"/>
                <w:i/>
                <w:iCs/>
                <w:sz w:val="16"/>
                <w:szCs w:val="16"/>
                <w:lang w:eastAsia="es-CO"/>
              </w:rPr>
              <w:t>auripes</w:t>
            </w:r>
            <w:proofErr w:type="spellEnd"/>
          </w:p>
          <w:p w14:paraId="33CF7955" w14:textId="34F64D81" w:rsidR="00C63A63" w:rsidRPr="00B450EB" w:rsidRDefault="00057760" w:rsidP="001C1081">
            <w:pPr>
              <w:pStyle w:val="Prrafodelista"/>
              <w:numPr>
                <w:ilvl w:val="0"/>
                <w:numId w:val="18"/>
              </w:numPr>
              <w:spacing w:line="240" w:lineRule="auto"/>
              <w:ind w:left="183" w:hanging="141"/>
              <w:jc w:val="left"/>
              <w:rPr>
                <w:rFonts w:eastAsia="Times New Roman" w:cs="Arial"/>
                <w:i/>
                <w:iCs/>
                <w:sz w:val="16"/>
                <w:szCs w:val="16"/>
                <w:lang w:eastAsia="es-CO"/>
              </w:rPr>
            </w:pPr>
            <w:proofErr w:type="spellStart"/>
            <w:r w:rsidRPr="00B450EB">
              <w:rPr>
                <w:rFonts w:eastAsia="Times New Roman" w:cs="Arial"/>
                <w:i/>
                <w:iCs/>
                <w:sz w:val="16"/>
                <w:szCs w:val="16"/>
                <w:lang w:eastAsia="es-CO"/>
              </w:rPr>
              <w:t>Editha</w:t>
            </w:r>
            <w:proofErr w:type="spellEnd"/>
            <w:r w:rsidRPr="00B450EB">
              <w:rPr>
                <w:rFonts w:eastAsia="Times New Roman" w:cs="Arial"/>
                <w:i/>
                <w:iCs/>
                <w:sz w:val="16"/>
                <w:szCs w:val="16"/>
                <w:lang w:eastAsia="es-CO"/>
              </w:rPr>
              <w:t xml:space="preserve"> magnifica</w:t>
            </w:r>
            <w:r w:rsidR="00C63A63" w:rsidRPr="00B450EB">
              <w:rPr>
                <w:rFonts w:eastAsia="Times New Roman" w:cs="Arial"/>
                <w:i/>
                <w:iCs/>
                <w:sz w:val="16"/>
                <w:szCs w:val="16"/>
                <w:lang w:eastAsia="es-CO"/>
              </w:rPr>
              <w:tab/>
            </w:r>
            <w:r w:rsidR="00C63A63" w:rsidRPr="00B450EB">
              <w:rPr>
                <w:rFonts w:eastAsia="Times New Roman" w:cs="Arial"/>
                <w:i/>
                <w:iCs/>
                <w:sz w:val="16"/>
                <w:szCs w:val="16"/>
                <w:lang w:eastAsia="es-CO"/>
              </w:rPr>
              <w:tab/>
            </w:r>
          </w:p>
        </w:tc>
        <w:tc>
          <w:tcPr>
            <w:tcW w:w="648" w:type="pct"/>
            <w:vAlign w:val="center"/>
          </w:tcPr>
          <w:p w14:paraId="6222EB8E" w14:textId="538ED645" w:rsidR="00C62587" w:rsidRPr="00B450EB" w:rsidRDefault="00C62587" w:rsidP="00C62587">
            <w:pPr>
              <w:spacing w:line="240" w:lineRule="auto"/>
              <w:jc w:val="center"/>
              <w:rPr>
                <w:rFonts w:eastAsia="Times New Roman" w:cs="Arial"/>
                <w:iCs/>
                <w:sz w:val="16"/>
                <w:szCs w:val="16"/>
                <w:lang w:eastAsia="es-CO"/>
              </w:rPr>
            </w:pPr>
            <w:r w:rsidRPr="00B450EB">
              <w:rPr>
                <w:rFonts w:eastAsia="Times New Roman" w:cs="Arial"/>
                <w:iCs/>
                <w:sz w:val="16"/>
                <w:szCs w:val="16"/>
                <w:lang w:eastAsia="es-CO"/>
              </w:rPr>
              <w:t xml:space="preserve">Perdida y degradación de </w:t>
            </w:r>
            <w:r w:rsidR="00644F38" w:rsidRPr="00B450EB">
              <w:rPr>
                <w:rFonts w:eastAsia="Times New Roman" w:cs="Arial"/>
                <w:iCs/>
                <w:sz w:val="16"/>
                <w:szCs w:val="16"/>
                <w:lang w:eastAsia="es-CO"/>
              </w:rPr>
              <w:t>hábitat</w:t>
            </w:r>
          </w:p>
        </w:tc>
      </w:tr>
      <w:tr w:rsidR="00EF1937" w:rsidRPr="00B450EB" w14:paraId="7EEAB9BC" w14:textId="51879977" w:rsidTr="00562C7A">
        <w:trPr>
          <w:trHeight w:val="20"/>
          <w:jc w:val="center"/>
        </w:trPr>
        <w:tc>
          <w:tcPr>
            <w:tcW w:w="645" w:type="pct"/>
            <w:vAlign w:val="center"/>
          </w:tcPr>
          <w:p w14:paraId="08962B50" w14:textId="18A5BF69" w:rsidR="00C62587" w:rsidRPr="00B450EB" w:rsidRDefault="00C62587" w:rsidP="00C62587">
            <w:pPr>
              <w:spacing w:after="0" w:line="240" w:lineRule="auto"/>
              <w:jc w:val="center"/>
              <w:rPr>
                <w:rFonts w:eastAsia="Times New Roman" w:cs="Arial"/>
                <w:sz w:val="16"/>
                <w:szCs w:val="16"/>
                <w:lang w:eastAsia="es-CO"/>
              </w:rPr>
            </w:pPr>
            <w:r w:rsidRPr="00B450EB">
              <w:rPr>
                <w:rFonts w:eastAsia="Times New Roman" w:cs="Arial"/>
                <w:sz w:val="16"/>
                <w:szCs w:val="16"/>
                <w:lang w:eastAsia="es-CO"/>
              </w:rPr>
              <w:t>Ictiofauna</w:t>
            </w:r>
          </w:p>
        </w:tc>
        <w:tc>
          <w:tcPr>
            <w:tcW w:w="649" w:type="pct"/>
            <w:vAlign w:val="center"/>
          </w:tcPr>
          <w:p w14:paraId="04085B88" w14:textId="77777777" w:rsidR="00C62587" w:rsidRPr="00B450EB" w:rsidRDefault="00C62587" w:rsidP="00C62587">
            <w:pPr>
              <w:spacing w:after="0" w:line="240" w:lineRule="auto"/>
              <w:jc w:val="center"/>
              <w:rPr>
                <w:rFonts w:eastAsia="Times New Roman" w:cs="Arial"/>
                <w:sz w:val="16"/>
                <w:szCs w:val="16"/>
                <w:lang w:eastAsia="es-CO"/>
              </w:rPr>
            </w:pPr>
            <w:r w:rsidRPr="00B450EB">
              <w:rPr>
                <w:rFonts w:eastAsia="Times New Roman" w:cs="Arial"/>
                <w:sz w:val="16"/>
                <w:szCs w:val="16"/>
                <w:lang w:eastAsia="es-CO"/>
              </w:rPr>
              <w:t>1.104</w:t>
            </w:r>
          </w:p>
        </w:tc>
        <w:tc>
          <w:tcPr>
            <w:tcW w:w="559" w:type="pct"/>
            <w:vAlign w:val="center"/>
          </w:tcPr>
          <w:p w14:paraId="6B3B88FB" w14:textId="7DD69C3B"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10 NE</w:t>
            </w:r>
          </w:p>
          <w:p w14:paraId="7489936B" w14:textId="15C06825"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13 VU</w:t>
            </w:r>
            <w:r w:rsidRPr="00B450EB">
              <w:rPr>
                <w:rStyle w:val="Refdenotaalpie"/>
                <w:rFonts w:eastAsia="Times New Roman" w:cs="Arial"/>
                <w:sz w:val="16"/>
                <w:szCs w:val="16"/>
                <w:lang w:eastAsia="es-CO"/>
              </w:rPr>
              <w:footnoteReference w:id="14"/>
            </w:r>
          </w:p>
          <w:p w14:paraId="3FEF2558" w14:textId="1DDA99F9"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6 NT</w:t>
            </w:r>
            <w:r w:rsidRPr="00B450EB">
              <w:rPr>
                <w:rFonts w:eastAsia="Times New Roman" w:cs="Arial"/>
                <w:sz w:val="16"/>
                <w:szCs w:val="16"/>
                <w:vertAlign w:val="superscript"/>
                <w:lang w:eastAsia="es-CO"/>
              </w:rPr>
              <w:t>2</w:t>
            </w:r>
          </w:p>
        </w:tc>
        <w:tc>
          <w:tcPr>
            <w:tcW w:w="620" w:type="pct"/>
            <w:vAlign w:val="center"/>
          </w:tcPr>
          <w:p w14:paraId="4FAC1E1D" w14:textId="6AF2B020"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w:t>
            </w:r>
          </w:p>
        </w:tc>
        <w:tc>
          <w:tcPr>
            <w:tcW w:w="628" w:type="pct"/>
            <w:vAlign w:val="center"/>
          </w:tcPr>
          <w:p w14:paraId="190C10BC" w14:textId="0B0EDFD6"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8 VU</w:t>
            </w:r>
          </w:p>
        </w:tc>
        <w:tc>
          <w:tcPr>
            <w:tcW w:w="1250" w:type="pct"/>
          </w:tcPr>
          <w:p w14:paraId="4EC9EECE" w14:textId="77777777" w:rsidR="00C62587" w:rsidRPr="00B450EB" w:rsidRDefault="00C62587" w:rsidP="001C1081">
            <w:pPr>
              <w:pStyle w:val="Prrafodelista"/>
              <w:numPr>
                <w:ilvl w:val="0"/>
                <w:numId w:val="18"/>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Brachyplatystoma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filamentosum</w:t>
            </w:r>
            <w:proofErr w:type="spellEnd"/>
          </w:p>
          <w:p w14:paraId="33DB40BC" w14:textId="77777777" w:rsidR="00C62587" w:rsidRPr="00B450EB" w:rsidRDefault="00C62587" w:rsidP="001C1081">
            <w:pPr>
              <w:pStyle w:val="Prrafodelista"/>
              <w:numPr>
                <w:ilvl w:val="0"/>
                <w:numId w:val="18"/>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Brachyplatystoma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juruense</w:t>
            </w:r>
            <w:proofErr w:type="spellEnd"/>
          </w:p>
          <w:p w14:paraId="7D4F3559" w14:textId="77777777" w:rsidR="00C62587" w:rsidRPr="00B450EB" w:rsidRDefault="00C62587" w:rsidP="001C1081">
            <w:pPr>
              <w:pStyle w:val="Prrafodelista"/>
              <w:numPr>
                <w:ilvl w:val="0"/>
                <w:numId w:val="18"/>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Brachyplatystoma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platynemum</w:t>
            </w:r>
            <w:proofErr w:type="spellEnd"/>
          </w:p>
          <w:p w14:paraId="62BE9B5B" w14:textId="77777777" w:rsidR="00C62587" w:rsidRPr="00B450EB" w:rsidRDefault="00C62587" w:rsidP="001C1081">
            <w:pPr>
              <w:pStyle w:val="Prrafodelista"/>
              <w:numPr>
                <w:ilvl w:val="0"/>
                <w:numId w:val="18"/>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Brachyplatystoma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rousseauxii</w:t>
            </w:r>
            <w:proofErr w:type="spellEnd"/>
          </w:p>
          <w:p w14:paraId="455ACDFF" w14:textId="77777777" w:rsidR="00C62587" w:rsidRPr="00B450EB" w:rsidRDefault="00C62587" w:rsidP="001C1081">
            <w:pPr>
              <w:pStyle w:val="Prrafodelista"/>
              <w:numPr>
                <w:ilvl w:val="0"/>
                <w:numId w:val="18"/>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Brachyplatystoma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vaillantii</w:t>
            </w:r>
            <w:proofErr w:type="spellEnd"/>
          </w:p>
          <w:p w14:paraId="479D849B" w14:textId="77777777" w:rsidR="00C62587" w:rsidRPr="00B450EB" w:rsidRDefault="00C62587" w:rsidP="001C1081">
            <w:pPr>
              <w:pStyle w:val="Prrafodelista"/>
              <w:numPr>
                <w:ilvl w:val="0"/>
                <w:numId w:val="18"/>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Pseudoplatystoma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punctifer</w:t>
            </w:r>
            <w:proofErr w:type="spellEnd"/>
          </w:p>
          <w:p w14:paraId="00F50767" w14:textId="77777777" w:rsidR="00C62587" w:rsidRPr="00B450EB" w:rsidRDefault="00C62587" w:rsidP="001C1081">
            <w:pPr>
              <w:pStyle w:val="Prrafodelista"/>
              <w:numPr>
                <w:ilvl w:val="0"/>
                <w:numId w:val="18"/>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Pseudoplatystoma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tigrinum</w:t>
            </w:r>
            <w:proofErr w:type="spellEnd"/>
          </w:p>
          <w:p w14:paraId="4ED58249" w14:textId="5329ACC5" w:rsidR="00C62587" w:rsidRPr="00B450EB" w:rsidRDefault="00C62587" w:rsidP="001C1081">
            <w:pPr>
              <w:pStyle w:val="Prrafodelista"/>
              <w:numPr>
                <w:ilvl w:val="0"/>
                <w:numId w:val="18"/>
              </w:numPr>
              <w:spacing w:line="240" w:lineRule="auto"/>
              <w:ind w:left="183" w:hanging="141"/>
              <w:jc w:val="left"/>
              <w:rPr>
                <w:rFonts w:eastAsia="Times New Roman" w:cs="Arial"/>
                <w:sz w:val="16"/>
                <w:szCs w:val="16"/>
                <w:lang w:eastAsia="es-CO"/>
              </w:rPr>
            </w:pPr>
            <w:proofErr w:type="spellStart"/>
            <w:r w:rsidRPr="00B450EB">
              <w:rPr>
                <w:rFonts w:eastAsia="Times New Roman" w:cs="Arial"/>
                <w:i/>
                <w:sz w:val="16"/>
                <w:szCs w:val="16"/>
                <w:lang w:eastAsia="es-CO"/>
              </w:rPr>
              <w:t>Zungaro</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zungaro</w:t>
            </w:r>
            <w:proofErr w:type="spellEnd"/>
          </w:p>
        </w:tc>
        <w:tc>
          <w:tcPr>
            <w:tcW w:w="648" w:type="pct"/>
            <w:vAlign w:val="center"/>
          </w:tcPr>
          <w:p w14:paraId="5BE23E64" w14:textId="02CB224C" w:rsidR="00C62587" w:rsidRPr="00B450EB" w:rsidRDefault="00C62587" w:rsidP="00C62587">
            <w:pPr>
              <w:spacing w:line="240" w:lineRule="auto"/>
              <w:ind w:left="-141"/>
              <w:jc w:val="center"/>
              <w:rPr>
                <w:rFonts w:eastAsia="Times New Roman" w:cs="Arial"/>
                <w:iCs/>
                <w:sz w:val="16"/>
                <w:szCs w:val="16"/>
                <w:lang w:eastAsia="es-CO"/>
              </w:rPr>
            </w:pPr>
            <w:r w:rsidRPr="00B450EB">
              <w:rPr>
                <w:rFonts w:eastAsia="Times New Roman" w:cs="Arial"/>
                <w:iCs/>
                <w:sz w:val="16"/>
                <w:szCs w:val="16"/>
                <w:lang w:eastAsia="es-CO"/>
              </w:rPr>
              <w:t>Sobrepesca</w:t>
            </w:r>
            <w:r w:rsidR="001C7A05" w:rsidRPr="00B450EB">
              <w:rPr>
                <w:rFonts w:eastAsia="Times New Roman" w:cs="Arial"/>
                <w:iCs/>
                <w:sz w:val="16"/>
                <w:szCs w:val="16"/>
                <w:lang w:eastAsia="es-CO"/>
              </w:rPr>
              <w:t>, Deforestación y cambio en el uso del suelo</w:t>
            </w:r>
          </w:p>
        </w:tc>
      </w:tr>
      <w:tr w:rsidR="00EF1937" w:rsidRPr="00B450EB" w14:paraId="14B72A12" w14:textId="4C9B83F5" w:rsidTr="00562C7A">
        <w:trPr>
          <w:trHeight w:val="20"/>
          <w:jc w:val="center"/>
        </w:trPr>
        <w:tc>
          <w:tcPr>
            <w:tcW w:w="645" w:type="pct"/>
            <w:vAlign w:val="center"/>
          </w:tcPr>
          <w:p w14:paraId="0DE45F68" w14:textId="77777777" w:rsidR="00C62587" w:rsidRPr="00B450EB" w:rsidRDefault="00C62587" w:rsidP="00C62587">
            <w:pPr>
              <w:spacing w:after="0" w:line="240" w:lineRule="auto"/>
              <w:jc w:val="center"/>
              <w:rPr>
                <w:rFonts w:eastAsia="Times New Roman" w:cs="Arial"/>
                <w:sz w:val="16"/>
                <w:szCs w:val="16"/>
                <w:lang w:eastAsia="es-CO"/>
              </w:rPr>
            </w:pPr>
            <w:proofErr w:type="spellStart"/>
            <w:r w:rsidRPr="00B450EB">
              <w:rPr>
                <w:rFonts w:eastAsia="Times New Roman" w:cs="Arial"/>
                <w:sz w:val="16"/>
                <w:szCs w:val="16"/>
                <w:lang w:eastAsia="es-CO"/>
              </w:rPr>
              <w:t>Herpetofauna</w:t>
            </w:r>
            <w:proofErr w:type="spellEnd"/>
          </w:p>
        </w:tc>
        <w:tc>
          <w:tcPr>
            <w:tcW w:w="649" w:type="pct"/>
            <w:vAlign w:val="center"/>
          </w:tcPr>
          <w:p w14:paraId="0D2CC0DF" w14:textId="77777777" w:rsidR="00C62587" w:rsidRPr="00B450EB" w:rsidRDefault="00C62587" w:rsidP="00C62587">
            <w:pPr>
              <w:spacing w:after="0" w:line="240" w:lineRule="auto"/>
              <w:jc w:val="center"/>
              <w:rPr>
                <w:rFonts w:eastAsia="Times New Roman" w:cs="Arial"/>
                <w:sz w:val="16"/>
                <w:szCs w:val="16"/>
                <w:lang w:eastAsia="es-CO"/>
              </w:rPr>
            </w:pPr>
            <w:r w:rsidRPr="00B450EB">
              <w:rPr>
                <w:rFonts w:eastAsia="Times New Roman" w:cs="Arial"/>
                <w:sz w:val="16"/>
                <w:szCs w:val="16"/>
                <w:lang w:eastAsia="es-CO"/>
              </w:rPr>
              <w:t>412</w:t>
            </w:r>
          </w:p>
        </w:tc>
        <w:tc>
          <w:tcPr>
            <w:tcW w:w="559" w:type="pct"/>
            <w:vAlign w:val="center"/>
          </w:tcPr>
          <w:p w14:paraId="6AF28892" w14:textId="353A1F15"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1 NT</w:t>
            </w:r>
            <w:r w:rsidRPr="00B450EB">
              <w:rPr>
                <w:rFonts w:eastAsia="Times New Roman" w:cs="Arial"/>
                <w:sz w:val="16"/>
                <w:szCs w:val="16"/>
                <w:lang w:eastAsia="es-CO"/>
              </w:rPr>
              <w:br/>
              <w:t>2 VU</w:t>
            </w:r>
            <w:r w:rsidRPr="00B450EB">
              <w:rPr>
                <w:rFonts w:eastAsia="Times New Roman" w:cs="Arial"/>
                <w:sz w:val="16"/>
                <w:szCs w:val="16"/>
                <w:lang w:eastAsia="es-CO"/>
              </w:rPr>
              <w:br/>
              <w:t>1 EN</w:t>
            </w:r>
            <w:r w:rsidRPr="00B450EB">
              <w:rPr>
                <w:rFonts w:eastAsia="Times New Roman" w:cs="Arial"/>
                <w:sz w:val="16"/>
                <w:szCs w:val="16"/>
                <w:lang w:eastAsia="es-CO"/>
              </w:rPr>
              <w:br/>
              <w:t>1 CR</w:t>
            </w:r>
          </w:p>
        </w:tc>
        <w:tc>
          <w:tcPr>
            <w:tcW w:w="620" w:type="pct"/>
            <w:vAlign w:val="center"/>
          </w:tcPr>
          <w:p w14:paraId="08EFE54F" w14:textId="064C8B8B"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2 VU</w:t>
            </w:r>
            <w:r w:rsidRPr="00B450EB">
              <w:rPr>
                <w:rFonts w:eastAsia="Times New Roman" w:cs="Arial"/>
                <w:sz w:val="16"/>
                <w:szCs w:val="16"/>
                <w:lang w:eastAsia="es-CO"/>
              </w:rPr>
              <w:br/>
              <w:t>4 EN</w:t>
            </w:r>
          </w:p>
        </w:tc>
        <w:tc>
          <w:tcPr>
            <w:tcW w:w="628" w:type="pct"/>
            <w:vAlign w:val="center"/>
          </w:tcPr>
          <w:p w14:paraId="763CC74F" w14:textId="257AF35D"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 xml:space="preserve">1 VU  </w:t>
            </w:r>
            <w:r w:rsidRPr="00B450EB">
              <w:rPr>
                <w:rFonts w:eastAsia="Times New Roman" w:cs="Arial"/>
                <w:sz w:val="16"/>
                <w:szCs w:val="16"/>
                <w:lang w:eastAsia="es-CO"/>
              </w:rPr>
              <w:br/>
              <w:t>2 EN</w:t>
            </w:r>
          </w:p>
        </w:tc>
        <w:tc>
          <w:tcPr>
            <w:tcW w:w="1250" w:type="pct"/>
          </w:tcPr>
          <w:p w14:paraId="5A1818B3" w14:textId="15595AB5" w:rsidR="00C62587" w:rsidRPr="00B450EB" w:rsidRDefault="00C62587" w:rsidP="001C1081">
            <w:pPr>
              <w:pStyle w:val="Prrafodelista"/>
              <w:numPr>
                <w:ilvl w:val="0"/>
                <w:numId w:val="17"/>
              </w:numPr>
              <w:ind w:left="183" w:hanging="141"/>
              <w:rPr>
                <w:rFonts w:eastAsia="Times New Roman" w:cs="Arial"/>
                <w:i/>
                <w:sz w:val="16"/>
                <w:szCs w:val="16"/>
                <w:lang w:eastAsia="es-CO"/>
              </w:rPr>
            </w:pPr>
            <w:proofErr w:type="spellStart"/>
            <w:r w:rsidRPr="00B450EB">
              <w:rPr>
                <w:rFonts w:eastAsia="Times New Roman" w:cs="Arial"/>
                <w:i/>
                <w:sz w:val="16"/>
                <w:szCs w:val="16"/>
                <w:lang w:eastAsia="es-CO"/>
              </w:rPr>
              <w:t>Epipedobates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ingeri</w:t>
            </w:r>
            <w:proofErr w:type="spellEnd"/>
          </w:p>
          <w:p w14:paraId="04B816AD" w14:textId="77777777" w:rsidR="00C62587" w:rsidRPr="00B450EB" w:rsidRDefault="00C62587" w:rsidP="001C1081">
            <w:pPr>
              <w:pStyle w:val="Prrafodelista"/>
              <w:numPr>
                <w:ilvl w:val="0"/>
                <w:numId w:val="17"/>
              </w:numPr>
              <w:ind w:left="183" w:hanging="141"/>
              <w:rPr>
                <w:rFonts w:eastAsia="Times New Roman" w:cs="Arial"/>
                <w:i/>
                <w:sz w:val="16"/>
                <w:szCs w:val="16"/>
                <w:lang w:eastAsia="es-CO"/>
              </w:rPr>
            </w:pPr>
            <w:proofErr w:type="spellStart"/>
            <w:r w:rsidRPr="00B450EB">
              <w:rPr>
                <w:rFonts w:eastAsia="Times New Roman" w:cs="Arial"/>
                <w:i/>
                <w:sz w:val="16"/>
                <w:szCs w:val="16"/>
                <w:lang w:eastAsia="es-CO"/>
              </w:rPr>
              <w:t>Hemiphractus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johnsoni</w:t>
            </w:r>
            <w:proofErr w:type="spellEnd"/>
          </w:p>
          <w:p w14:paraId="385EEC72" w14:textId="77777777" w:rsidR="00C62587" w:rsidRPr="00B450EB" w:rsidRDefault="00C62587" w:rsidP="001C1081">
            <w:pPr>
              <w:pStyle w:val="Prrafodelista"/>
              <w:numPr>
                <w:ilvl w:val="0"/>
                <w:numId w:val="17"/>
              </w:numPr>
              <w:ind w:left="183" w:hanging="141"/>
              <w:rPr>
                <w:rFonts w:eastAsia="Times New Roman" w:cs="Arial"/>
                <w:i/>
                <w:sz w:val="16"/>
                <w:szCs w:val="16"/>
                <w:lang w:eastAsia="es-CO"/>
              </w:rPr>
            </w:pPr>
            <w:proofErr w:type="spellStart"/>
            <w:r w:rsidRPr="00B450EB">
              <w:rPr>
                <w:rFonts w:eastAsia="Times New Roman" w:cs="Arial"/>
                <w:i/>
                <w:sz w:val="16"/>
                <w:szCs w:val="16"/>
                <w:lang w:eastAsia="es-CO"/>
              </w:rPr>
              <w:t>Peltocephalus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dumerilianus</w:t>
            </w:r>
            <w:proofErr w:type="spellEnd"/>
          </w:p>
          <w:p w14:paraId="084642D8" w14:textId="77777777" w:rsidR="00C62587" w:rsidRPr="00B450EB" w:rsidRDefault="00C62587" w:rsidP="001C1081">
            <w:pPr>
              <w:pStyle w:val="Prrafodelista"/>
              <w:numPr>
                <w:ilvl w:val="0"/>
                <w:numId w:val="17"/>
              </w:numPr>
              <w:ind w:left="183" w:hanging="141"/>
              <w:rPr>
                <w:rFonts w:eastAsia="Times New Roman" w:cs="Arial"/>
                <w:i/>
                <w:sz w:val="16"/>
                <w:szCs w:val="16"/>
                <w:lang w:eastAsia="es-CO"/>
              </w:rPr>
            </w:pPr>
            <w:proofErr w:type="spellStart"/>
            <w:r w:rsidRPr="00B450EB">
              <w:rPr>
                <w:rFonts w:eastAsia="Times New Roman" w:cs="Arial"/>
                <w:i/>
                <w:sz w:val="16"/>
                <w:szCs w:val="16"/>
                <w:lang w:eastAsia="es-CO"/>
              </w:rPr>
              <w:t>Podocnemis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erythrocephala</w:t>
            </w:r>
            <w:proofErr w:type="spellEnd"/>
          </w:p>
          <w:p w14:paraId="71783EED" w14:textId="2109992E" w:rsidR="00C62587" w:rsidRPr="00B450EB" w:rsidRDefault="00C62587" w:rsidP="003F3402">
            <w:pPr>
              <w:pStyle w:val="Prrafodelista"/>
              <w:numPr>
                <w:ilvl w:val="0"/>
                <w:numId w:val="17"/>
              </w:numPr>
              <w:spacing w:after="0"/>
              <w:ind w:left="183" w:hanging="141"/>
              <w:rPr>
                <w:rFonts w:eastAsia="Times New Roman" w:cs="Arial"/>
                <w:i/>
                <w:sz w:val="16"/>
                <w:szCs w:val="16"/>
                <w:lang w:eastAsia="es-CO"/>
              </w:rPr>
            </w:pPr>
            <w:proofErr w:type="spellStart"/>
            <w:r w:rsidRPr="00B450EB">
              <w:rPr>
                <w:rFonts w:eastAsia="Times New Roman" w:cs="Arial"/>
                <w:i/>
                <w:sz w:val="16"/>
                <w:szCs w:val="16"/>
                <w:lang w:eastAsia="es-CO"/>
              </w:rPr>
              <w:t>Rhinemys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rufipes</w:t>
            </w:r>
            <w:proofErr w:type="spellEnd"/>
          </w:p>
        </w:tc>
        <w:tc>
          <w:tcPr>
            <w:tcW w:w="648" w:type="pct"/>
            <w:vAlign w:val="center"/>
          </w:tcPr>
          <w:p w14:paraId="342D1BA6" w14:textId="661B0FDE" w:rsidR="00C62587" w:rsidRPr="00B450EB" w:rsidRDefault="00C62587" w:rsidP="00C62587">
            <w:pPr>
              <w:spacing w:line="240" w:lineRule="auto"/>
              <w:jc w:val="center"/>
              <w:rPr>
                <w:rFonts w:eastAsia="Times New Roman" w:cs="Arial"/>
                <w:iCs/>
                <w:sz w:val="16"/>
                <w:szCs w:val="16"/>
                <w:lang w:eastAsia="es-CO"/>
              </w:rPr>
            </w:pPr>
            <w:r w:rsidRPr="00B450EB">
              <w:rPr>
                <w:rFonts w:eastAsia="Times New Roman" w:cs="Arial"/>
                <w:iCs/>
                <w:sz w:val="16"/>
                <w:szCs w:val="16"/>
                <w:lang w:eastAsia="es-CO"/>
              </w:rPr>
              <w:t>Perdida de hábitat por cambio en el uso del suelo</w:t>
            </w:r>
          </w:p>
        </w:tc>
      </w:tr>
      <w:tr w:rsidR="00EF1937" w:rsidRPr="00B450EB" w14:paraId="0D5878AA" w14:textId="0C13C849" w:rsidTr="00562C7A">
        <w:trPr>
          <w:trHeight w:val="20"/>
          <w:jc w:val="center"/>
        </w:trPr>
        <w:tc>
          <w:tcPr>
            <w:tcW w:w="645" w:type="pct"/>
            <w:vAlign w:val="center"/>
          </w:tcPr>
          <w:p w14:paraId="51D5BE7E" w14:textId="77777777" w:rsidR="00C62587" w:rsidRPr="00B450EB" w:rsidRDefault="00C62587" w:rsidP="00C62587">
            <w:pPr>
              <w:spacing w:after="0" w:line="240" w:lineRule="auto"/>
              <w:jc w:val="center"/>
              <w:rPr>
                <w:rFonts w:eastAsia="Times New Roman" w:cs="Arial"/>
                <w:sz w:val="16"/>
                <w:szCs w:val="16"/>
                <w:lang w:eastAsia="es-CO"/>
              </w:rPr>
            </w:pPr>
            <w:r w:rsidRPr="00B450EB">
              <w:rPr>
                <w:rFonts w:eastAsia="Times New Roman" w:cs="Arial"/>
                <w:sz w:val="16"/>
                <w:szCs w:val="16"/>
                <w:lang w:eastAsia="es-CO"/>
              </w:rPr>
              <w:lastRenderedPageBreak/>
              <w:t>Avifauna</w:t>
            </w:r>
          </w:p>
        </w:tc>
        <w:tc>
          <w:tcPr>
            <w:tcW w:w="649" w:type="pct"/>
            <w:vAlign w:val="center"/>
          </w:tcPr>
          <w:p w14:paraId="0FF9CC55" w14:textId="77777777" w:rsidR="00C62587" w:rsidRPr="00B450EB" w:rsidRDefault="00C62587" w:rsidP="00C62587">
            <w:pPr>
              <w:spacing w:after="0" w:line="240" w:lineRule="auto"/>
              <w:jc w:val="center"/>
              <w:rPr>
                <w:rFonts w:eastAsia="Times New Roman" w:cs="Arial"/>
                <w:sz w:val="16"/>
                <w:szCs w:val="16"/>
                <w:lang w:eastAsia="es-CO"/>
              </w:rPr>
            </w:pPr>
            <w:r w:rsidRPr="00B450EB">
              <w:rPr>
                <w:rFonts w:eastAsia="Times New Roman" w:cs="Arial"/>
                <w:sz w:val="16"/>
                <w:szCs w:val="16"/>
                <w:lang w:eastAsia="es-CO"/>
              </w:rPr>
              <w:t>1500</w:t>
            </w:r>
          </w:p>
        </w:tc>
        <w:tc>
          <w:tcPr>
            <w:tcW w:w="559" w:type="pct"/>
            <w:vAlign w:val="center"/>
          </w:tcPr>
          <w:p w14:paraId="7DAFF3C1" w14:textId="7CAB27B3"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1 NT</w:t>
            </w:r>
            <w:r w:rsidRPr="00B450EB">
              <w:rPr>
                <w:rFonts w:eastAsia="Times New Roman" w:cs="Arial"/>
                <w:sz w:val="16"/>
                <w:szCs w:val="16"/>
                <w:lang w:eastAsia="es-CO"/>
              </w:rPr>
              <w:br/>
              <w:t>1 VU</w:t>
            </w:r>
          </w:p>
        </w:tc>
        <w:tc>
          <w:tcPr>
            <w:tcW w:w="620" w:type="pct"/>
            <w:vAlign w:val="center"/>
          </w:tcPr>
          <w:p w14:paraId="7D208336" w14:textId="374F7107"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16 VU</w:t>
            </w:r>
          </w:p>
        </w:tc>
        <w:tc>
          <w:tcPr>
            <w:tcW w:w="628" w:type="pct"/>
            <w:vAlign w:val="center"/>
          </w:tcPr>
          <w:p w14:paraId="6356A082" w14:textId="78D70BE7"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 xml:space="preserve">9 VU </w:t>
            </w:r>
            <w:r w:rsidRPr="00B450EB">
              <w:rPr>
                <w:rFonts w:eastAsia="Times New Roman" w:cs="Arial"/>
                <w:sz w:val="16"/>
                <w:szCs w:val="16"/>
                <w:lang w:eastAsia="es-CO"/>
              </w:rPr>
              <w:br/>
              <w:t>1 EN</w:t>
            </w:r>
          </w:p>
        </w:tc>
        <w:tc>
          <w:tcPr>
            <w:tcW w:w="1250" w:type="pct"/>
          </w:tcPr>
          <w:p w14:paraId="51B46D1C"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Harpia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harpyja</w:t>
            </w:r>
            <w:proofErr w:type="spellEnd"/>
          </w:p>
          <w:p w14:paraId="28C5F25C" w14:textId="11CA9A13" w:rsidR="00C62587" w:rsidRPr="00B450EB" w:rsidRDefault="00C62587" w:rsidP="001C1081">
            <w:pPr>
              <w:pStyle w:val="Prrafodelista"/>
              <w:numPr>
                <w:ilvl w:val="0"/>
                <w:numId w:val="19"/>
              </w:numPr>
              <w:spacing w:line="240" w:lineRule="auto"/>
              <w:ind w:left="183" w:hanging="141"/>
              <w:jc w:val="left"/>
              <w:rPr>
                <w:rFonts w:eastAsia="Times New Roman" w:cs="Arial"/>
                <w:sz w:val="16"/>
                <w:szCs w:val="16"/>
                <w:lang w:eastAsia="es-CO"/>
              </w:rPr>
            </w:pPr>
            <w:r w:rsidRPr="00B450EB">
              <w:rPr>
                <w:rFonts w:eastAsia="Times New Roman" w:cs="Arial"/>
                <w:i/>
                <w:sz w:val="16"/>
                <w:szCs w:val="16"/>
                <w:lang w:eastAsia="es-CO"/>
              </w:rPr>
              <w:t xml:space="preserve">Ara </w:t>
            </w:r>
            <w:proofErr w:type="spellStart"/>
            <w:r w:rsidRPr="00B450EB">
              <w:rPr>
                <w:rFonts w:eastAsia="Times New Roman" w:cs="Arial"/>
                <w:i/>
                <w:sz w:val="16"/>
                <w:szCs w:val="16"/>
                <w:lang w:eastAsia="es-CO"/>
              </w:rPr>
              <w:t>militaris</w:t>
            </w:r>
            <w:proofErr w:type="spellEnd"/>
          </w:p>
        </w:tc>
        <w:tc>
          <w:tcPr>
            <w:tcW w:w="648" w:type="pct"/>
            <w:vAlign w:val="center"/>
          </w:tcPr>
          <w:p w14:paraId="7C4A3F8D" w14:textId="5CC89693" w:rsidR="00C62587" w:rsidRPr="00B450EB" w:rsidRDefault="00C62587" w:rsidP="00C62587">
            <w:pPr>
              <w:spacing w:line="240" w:lineRule="auto"/>
              <w:jc w:val="center"/>
              <w:rPr>
                <w:rFonts w:eastAsia="Times New Roman" w:cs="Arial"/>
                <w:iCs/>
                <w:sz w:val="16"/>
                <w:szCs w:val="16"/>
                <w:lang w:eastAsia="es-CO"/>
              </w:rPr>
            </w:pPr>
            <w:r w:rsidRPr="00B450EB">
              <w:rPr>
                <w:rFonts w:eastAsia="Times New Roman" w:cs="Arial"/>
                <w:iCs/>
                <w:sz w:val="16"/>
                <w:szCs w:val="16"/>
                <w:lang w:eastAsia="es-CO"/>
              </w:rPr>
              <w:t>Deforestación y cambio en el uso del suelo</w:t>
            </w:r>
          </w:p>
        </w:tc>
      </w:tr>
      <w:tr w:rsidR="00EF1937" w:rsidRPr="00B450EB" w14:paraId="23F35D41" w14:textId="394059E5" w:rsidTr="00562C7A">
        <w:trPr>
          <w:trHeight w:val="20"/>
          <w:jc w:val="center"/>
        </w:trPr>
        <w:tc>
          <w:tcPr>
            <w:tcW w:w="645" w:type="pct"/>
            <w:vAlign w:val="center"/>
          </w:tcPr>
          <w:p w14:paraId="1619D8A5" w14:textId="77777777" w:rsidR="00C62587" w:rsidRPr="00B450EB" w:rsidRDefault="00C62587" w:rsidP="00C62587">
            <w:pPr>
              <w:spacing w:line="240" w:lineRule="auto"/>
              <w:jc w:val="center"/>
              <w:rPr>
                <w:rFonts w:eastAsia="Times New Roman" w:cs="Arial"/>
                <w:sz w:val="16"/>
                <w:szCs w:val="16"/>
                <w:lang w:eastAsia="es-CO"/>
              </w:rPr>
            </w:pPr>
            <w:proofErr w:type="spellStart"/>
            <w:r w:rsidRPr="00B450EB">
              <w:rPr>
                <w:rFonts w:eastAsia="Times New Roman" w:cs="Arial"/>
                <w:sz w:val="16"/>
                <w:szCs w:val="16"/>
                <w:lang w:eastAsia="es-CO"/>
              </w:rPr>
              <w:t>Mastofauna</w:t>
            </w:r>
            <w:proofErr w:type="spellEnd"/>
          </w:p>
        </w:tc>
        <w:tc>
          <w:tcPr>
            <w:tcW w:w="649" w:type="pct"/>
            <w:vAlign w:val="center"/>
          </w:tcPr>
          <w:p w14:paraId="7898DEF8" w14:textId="77777777"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265</w:t>
            </w:r>
          </w:p>
        </w:tc>
        <w:tc>
          <w:tcPr>
            <w:tcW w:w="559" w:type="pct"/>
            <w:vAlign w:val="center"/>
          </w:tcPr>
          <w:p w14:paraId="64910E70" w14:textId="718A0991"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1 NE</w:t>
            </w:r>
            <w:r w:rsidRPr="00B450EB">
              <w:rPr>
                <w:rFonts w:eastAsia="Times New Roman" w:cs="Arial"/>
                <w:sz w:val="16"/>
                <w:szCs w:val="16"/>
                <w:lang w:eastAsia="es-CO"/>
              </w:rPr>
              <w:br/>
              <w:t>4 DD</w:t>
            </w:r>
            <w:r w:rsidRPr="00B450EB">
              <w:rPr>
                <w:rFonts w:eastAsia="Times New Roman" w:cs="Arial"/>
                <w:sz w:val="16"/>
                <w:szCs w:val="16"/>
                <w:lang w:eastAsia="es-CO"/>
              </w:rPr>
              <w:br/>
              <w:t>5 VU</w:t>
            </w:r>
            <w:r w:rsidRPr="00B450EB">
              <w:rPr>
                <w:rFonts w:eastAsia="Times New Roman" w:cs="Arial"/>
                <w:sz w:val="16"/>
                <w:szCs w:val="16"/>
                <w:lang w:eastAsia="es-CO"/>
              </w:rPr>
              <w:br/>
              <w:t>2 EN</w:t>
            </w:r>
            <w:r w:rsidRPr="00B450EB">
              <w:rPr>
                <w:rFonts w:eastAsia="Times New Roman" w:cs="Arial"/>
                <w:sz w:val="16"/>
                <w:szCs w:val="16"/>
                <w:lang w:eastAsia="es-CO"/>
              </w:rPr>
              <w:br/>
              <w:t>2 CR</w:t>
            </w:r>
          </w:p>
        </w:tc>
        <w:tc>
          <w:tcPr>
            <w:tcW w:w="620" w:type="pct"/>
            <w:vAlign w:val="center"/>
          </w:tcPr>
          <w:p w14:paraId="1BAED6AB" w14:textId="15842699"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11 VU</w:t>
            </w:r>
            <w:r w:rsidRPr="00B450EB">
              <w:rPr>
                <w:rFonts w:eastAsia="Times New Roman" w:cs="Arial"/>
                <w:sz w:val="16"/>
                <w:szCs w:val="16"/>
                <w:lang w:eastAsia="es-CO"/>
              </w:rPr>
              <w:br/>
              <w:t>3 EN</w:t>
            </w:r>
          </w:p>
        </w:tc>
        <w:tc>
          <w:tcPr>
            <w:tcW w:w="628" w:type="pct"/>
            <w:vAlign w:val="center"/>
          </w:tcPr>
          <w:p w14:paraId="1D6E1A4A" w14:textId="6CF083F1" w:rsidR="00C62587" w:rsidRPr="00B450EB" w:rsidRDefault="00C62587" w:rsidP="00C62587">
            <w:pPr>
              <w:spacing w:line="240" w:lineRule="auto"/>
              <w:jc w:val="center"/>
              <w:rPr>
                <w:rFonts w:eastAsia="Times New Roman" w:cs="Arial"/>
                <w:sz w:val="16"/>
                <w:szCs w:val="16"/>
                <w:lang w:eastAsia="es-CO"/>
              </w:rPr>
            </w:pPr>
            <w:r w:rsidRPr="00B450EB">
              <w:rPr>
                <w:rFonts w:eastAsia="Times New Roman" w:cs="Arial"/>
                <w:sz w:val="16"/>
                <w:szCs w:val="16"/>
                <w:lang w:eastAsia="es-CO"/>
              </w:rPr>
              <w:t>6 VU</w:t>
            </w:r>
            <w:r w:rsidRPr="00B450EB">
              <w:rPr>
                <w:rFonts w:eastAsia="Times New Roman" w:cs="Arial"/>
                <w:sz w:val="16"/>
                <w:szCs w:val="16"/>
                <w:lang w:eastAsia="es-CO"/>
              </w:rPr>
              <w:br/>
              <w:t>2 EN</w:t>
            </w:r>
          </w:p>
        </w:tc>
        <w:tc>
          <w:tcPr>
            <w:tcW w:w="1250" w:type="pct"/>
          </w:tcPr>
          <w:p w14:paraId="2BF13918"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Callicebus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cupreus</w:t>
            </w:r>
            <w:proofErr w:type="spellEnd"/>
          </w:p>
          <w:p w14:paraId="60281B1E"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Cebus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albifrons</w:t>
            </w:r>
            <w:proofErr w:type="spellEnd"/>
          </w:p>
          <w:p w14:paraId="7DA54016"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Dinomys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branickii</w:t>
            </w:r>
            <w:proofErr w:type="spellEnd"/>
          </w:p>
          <w:p w14:paraId="4798854D"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Inia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geoffrensis</w:t>
            </w:r>
            <w:proofErr w:type="spellEnd"/>
          </w:p>
          <w:p w14:paraId="413EB7CF"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Lagothrix</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lagothricha</w:t>
            </w:r>
            <w:proofErr w:type="spellEnd"/>
          </w:p>
          <w:p w14:paraId="1E1E5C10"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Trichechus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manatus</w:t>
            </w:r>
            <w:proofErr w:type="spellEnd"/>
          </w:p>
          <w:p w14:paraId="0DBE9FD1"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r w:rsidRPr="00B450EB">
              <w:rPr>
                <w:rFonts w:eastAsia="Times New Roman" w:cs="Arial"/>
                <w:i/>
                <w:sz w:val="16"/>
                <w:szCs w:val="16"/>
                <w:lang w:eastAsia="es-CO"/>
              </w:rPr>
              <w:t xml:space="preserve">Mustela </w:t>
            </w:r>
            <w:proofErr w:type="spellStart"/>
            <w:r w:rsidRPr="00B450EB">
              <w:rPr>
                <w:rFonts w:eastAsia="Times New Roman" w:cs="Arial"/>
                <w:i/>
                <w:sz w:val="16"/>
                <w:szCs w:val="16"/>
                <w:lang w:eastAsia="es-CO"/>
              </w:rPr>
              <w:t>felipei</w:t>
            </w:r>
            <w:proofErr w:type="spellEnd"/>
          </w:p>
          <w:p w14:paraId="6505CBC5"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Balaenoptera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borealis</w:t>
            </w:r>
            <w:proofErr w:type="spellEnd"/>
          </w:p>
          <w:p w14:paraId="2A674346"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Balaenoptera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physalus</w:t>
            </w:r>
            <w:proofErr w:type="spellEnd"/>
          </w:p>
          <w:p w14:paraId="568C8DD3"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Saguinus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oedipus</w:t>
            </w:r>
            <w:proofErr w:type="spellEnd"/>
          </w:p>
          <w:p w14:paraId="6929B6BC"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Alouatta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palliata</w:t>
            </w:r>
            <w:proofErr w:type="spellEnd"/>
          </w:p>
          <w:p w14:paraId="00543766"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Pithecia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monachus</w:t>
            </w:r>
            <w:proofErr w:type="spellEnd"/>
          </w:p>
          <w:p w14:paraId="39DDE327"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Lycalopex</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culpaeus</w:t>
            </w:r>
            <w:proofErr w:type="spellEnd"/>
          </w:p>
          <w:p w14:paraId="10601142"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Megaptera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novaeangliae</w:t>
            </w:r>
            <w:proofErr w:type="spellEnd"/>
          </w:p>
          <w:p w14:paraId="5082DAC8"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Sotalia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fluviatilis</w:t>
            </w:r>
            <w:proofErr w:type="spellEnd"/>
          </w:p>
          <w:p w14:paraId="47100146"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Physeter</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catodon</w:t>
            </w:r>
            <w:proofErr w:type="spellEnd"/>
          </w:p>
          <w:p w14:paraId="4C0DB35F"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Coendou</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vestitus</w:t>
            </w:r>
            <w:proofErr w:type="spellEnd"/>
          </w:p>
          <w:p w14:paraId="44A70E4A"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Cacajao</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melanocephalus</w:t>
            </w:r>
            <w:proofErr w:type="spellEnd"/>
          </w:p>
          <w:p w14:paraId="57DC115C"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Orcinus</w:t>
            </w:r>
            <w:proofErr w:type="spellEnd"/>
            <w:r w:rsidRPr="00B450EB">
              <w:rPr>
                <w:rFonts w:eastAsia="Times New Roman" w:cs="Arial"/>
                <w:i/>
                <w:sz w:val="16"/>
                <w:szCs w:val="16"/>
                <w:lang w:eastAsia="es-CO"/>
              </w:rPr>
              <w:t xml:space="preserve"> orca</w:t>
            </w:r>
          </w:p>
          <w:p w14:paraId="3092E684"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Stenella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coeruleoalba</w:t>
            </w:r>
            <w:proofErr w:type="spellEnd"/>
          </w:p>
          <w:p w14:paraId="0EA2259B" w14:textId="77777777"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Stenella</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longirostris</w:t>
            </w:r>
            <w:proofErr w:type="spellEnd"/>
          </w:p>
          <w:p w14:paraId="732D2C8F" w14:textId="7D896201" w:rsidR="00C62587" w:rsidRPr="00B450EB" w:rsidRDefault="00C62587" w:rsidP="001C1081">
            <w:pPr>
              <w:pStyle w:val="Prrafodelista"/>
              <w:numPr>
                <w:ilvl w:val="0"/>
                <w:numId w:val="19"/>
              </w:numPr>
              <w:spacing w:line="240" w:lineRule="auto"/>
              <w:ind w:left="183" w:hanging="141"/>
              <w:jc w:val="left"/>
              <w:rPr>
                <w:rFonts w:eastAsia="Times New Roman" w:cs="Arial"/>
                <w:i/>
                <w:sz w:val="16"/>
                <w:szCs w:val="16"/>
                <w:lang w:eastAsia="es-CO"/>
              </w:rPr>
            </w:pPr>
            <w:proofErr w:type="spellStart"/>
            <w:r w:rsidRPr="00B450EB">
              <w:rPr>
                <w:rFonts w:eastAsia="Times New Roman" w:cs="Arial"/>
                <w:i/>
                <w:sz w:val="16"/>
                <w:szCs w:val="16"/>
                <w:lang w:eastAsia="es-CO"/>
              </w:rPr>
              <w:t>Tursiops</w:t>
            </w:r>
            <w:proofErr w:type="spellEnd"/>
            <w:r w:rsidRPr="00B450EB">
              <w:rPr>
                <w:rFonts w:eastAsia="Times New Roman" w:cs="Arial"/>
                <w:i/>
                <w:sz w:val="16"/>
                <w:szCs w:val="16"/>
                <w:lang w:eastAsia="es-CO"/>
              </w:rPr>
              <w:t xml:space="preserve"> </w:t>
            </w:r>
            <w:proofErr w:type="spellStart"/>
            <w:r w:rsidRPr="00B450EB">
              <w:rPr>
                <w:rFonts w:eastAsia="Times New Roman" w:cs="Arial"/>
                <w:i/>
                <w:sz w:val="16"/>
                <w:szCs w:val="16"/>
                <w:lang w:eastAsia="es-CO"/>
              </w:rPr>
              <w:t>truncatus</w:t>
            </w:r>
            <w:proofErr w:type="spellEnd"/>
          </w:p>
        </w:tc>
        <w:tc>
          <w:tcPr>
            <w:tcW w:w="648" w:type="pct"/>
            <w:vAlign w:val="center"/>
          </w:tcPr>
          <w:p w14:paraId="335D3EBA" w14:textId="391AD420" w:rsidR="00C62587" w:rsidRPr="00B450EB" w:rsidRDefault="00C62587" w:rsidP="00C62587">
            <w:pPr>
              <w:spacing w:line="240" w:lineRule="auto"/>
              <w:jc w:val="center"/>
              <w:rPr>
                <w:rFonts w:eastAsia="Times New Roman" w:cs="Arial"/>
                <w:iCs/>
                <w:sz w:val="16"/>
                <w:szCs w:val="16"/>
                <w:lang w:eastAsia="es-CO"/>
              </w:rPr>
            </w:pPr>
            <w:r w:rsidRPr="00B450EB">
              <w:rPr>
                <w:rFonts w:eastAsia="Times New Roman" w:cs="Arial"/>
                <w:iCs/>
                <w:sz w:val="16"/>
                <w:szCs w:val="16"/>
                <w:lang w:eastAsia="es-CO"/>
              </w:rPr>
              <w:t>Caza ilegal y destrucción del hábitat</w:t>
            </w:r>
          </w:p>
        </w:tc>
      </w:tr>
    </w:tbl>
    <w:p w14:paraId="4A4D4E52" w14:textId="385B0C8D" w:rsidR="00962971" w:rsidRPr="00B450EB" w:rsidRDefault="00962971" w:rsidP="00962971">
      <w:pPr>
        <w:spacing w:line="276" w:lineRule="auto"/>
        <w:jc w:val="center"/>
        <w:rPr>
          <w:rFonts w:eastAsiaTheme="minorEastAsia" w:cs="Arial"/>
          <w:sz w:val="18"/>
          <w:szCs w:val="18"/>
        </w:rPr>
      </w:pPr>
      <w:r w:rsidRPr="00B450EB">
        <w:rPr>
          <w:rFonts w:eastAsiaTheme="minorEastAsia" w:cs="Arial"/>
          <w:sz w:val="16"/>
          <w:szCs w:val="16"/>
        </w:rPr>
        <w:t xml:space="preserve">NE: No evaluada, </w:t>
      </w:r>
      <w:r w:rsidR="00B3477C" w:rsidRPr="00B450EB">
        <w:rPr>
          <w:rFonts w:eastAsiaTheme="minorEastAsia" w:cs="Arial"/>
          <w:sz w:val="16"/>
          <w:szCs w:val="16"/>
        </w:rPr>
        <w:t xml:space="preserve">DD: Datos </w:t>
      </w:r>
      <w:r w:rsidR="00AB7FB3" w:rsidRPr="00B450EB">
        <w:rPr>
          <w:rFonts w:eastAsiaTheme="minorEastAsia" w:cs="Arial"/>
          <w:sz w:val="16"/>
          <w:szCs w:val="16"/>
        </w:rPr>
        <w:t>deficientes</w:t>
      </w:r>
      <w:r w:rsidR="0028266F" w:rsidRPr="00B450EB">
        <w:rPr>
          <w:rFonts w:eastAsiaTheme="minorEastAsia" w:cs="Arial"/>
          <w:sz w:val="16"/>
          <w:szCs w:val="16"/>
        </w:rPr>
        <w:t>,</w:t>
      </w:r>
      <w:r w:rsidR="00AB7FB3" w:rsidRPr="00B450EB">
        <w:rPr>
          <w:rFonts w:eastAsiaTheme="minorEastAsia" w:cs="Arial"/>
          <w:sz w:val="16"/>
          <w:szCs w:val="16"/>
        </w:rPr>
        <w:t xml:space="preserve"> NT: Casi amenazado</w:t>
      </w:r>
      <w:r w:rsidR="0028266F" w:rsidRPr="00B450EB">
        <w:rPr>
          <w:rFonts w:eastAsiaTheme="minorEastAsia" w:cs="Arial"/>
          <w:sz w:val="16"/>
          <w:szCs w:val="16"/>
        </w:rPr>
        <w:t>,</w:t>
      </w:r>
      <w:r w:rsidRPr="00B450EB">
        <w:rPr>
          <w:rFonts w:eastAsiaTheme="minorEastAsia" w:cs="Arial"/>
          <w:sz w:val="16"/>
          <w:szCs w:val="16"/>
        </w:rPr>
        <w:t xml:space="preserve"> VU: Vulnerable</w:t>
      </w:r>
      <w:r w:rsidR="00AB7FB3" w:rsidRPr="00B450EB">
        <w:rPr>
          <w:rFonts w:eastAsiaTheme="minorEastAsia" w:cs="Arial"/>
          <w:sz w:val="16"/>
          <w:szCs w:val="16"/>
        </w:rPr>
        <w:t xml:space="preserve">, </w:t>
      </w:r>
      <w:r w:rsidRPr="00B450EB">
        <w:rPr>
          <w:rFonts w:eastAsiaTheme="minorEastAsia" w:cs="Arial"/>
          <w:sz w:val="16"/>
          <w:szCs w:val="16"/>
        </w:rPr>
        <w:t xml:space="preserve">EN: En peligro, </w:t>
      </w:r>
      <w:r w:rsidR="00AB7FB3" w:rsidRPr="00B450EB">
        <w:rPr>
          <w:rFonts w:eastAsiaTheme="minorEastAsia" w:cs="Arial"/>
          <w:sz w:val="16"/>
          <w:szCs w:val="16"/>
        </w:rPr>
        <w:t>CR: Peligro crítico.</w:t>
      </w:r>
      <w:r w:rsidRPr="00B450EB">
        <w:rPr>
          <w:rFonts w:eastAsiaTheme="minorEastAsia" w:cs="Arial"/>
          <w:sz w:val="18"/>
          <w:szCs w:val="18"/>
        </w:rPr>
        <w:br/>
        <w:t xml:space="preserve">Fuente: Elaboración propia a partir de </w:t>
      </w:r>
      <w:proofErr w:type="spellStart"/>
      <w:r w:rsidR="00356D57" w:rsidRPr="00B450EB">
        <w:rPr>
          <w:rFonts w:eastAsiaTheme="minorEastAsia" w:cs="Arial"/>
          <w:sz w:val="18"/>
          <w:szCs w:val="18"/>
        </w:rPr>
        <w:t>IAvH</w:t>
      </w:r>
      <w:proofErr w:type="spellEnd"/>
      <w:r w:rsidR="00356D57" w:rsidRPr="00B450EB">
        <w:rPr>
          <w:rFonts w:eastAsiaTheme="minorEastAsia" w:cs="Arial"/>
          <w:sz w:val="18"/>
          <w:szCs w:val="18"/>
        </w:rPr>
        <w:t>, 2016</w:t>
      </w:r>
      <w:r w:rsidR="00525E94" w:rsidRPr="00B450EB">
        <w:rPr>
          <w:rFonts w:eastAsiaTheme="minorEastAsia" w:cs="Arial"/>
          <w:sz w:val="18"/>
          <w:szCs w:val="18"/>
        </w:rPr>
        <w:t xml:space="preserve">; </w:t>
      </w:r>
      <w:r w:rsidRPr="00B450EB">
        <w:rPr>
          <w:rFonts w:eastAsiaTheme="minorEastAsia" w:cs="Arial"/>
          <w:sz w:val="18"/>
          <w:szCs w:val="18"/>
        </w:rPr>
        <w:t>Mantilla Cárdenas, 2019</w:t>
      </w:r>
      <w:r w:rsidR="00323FC8" w:rsidRPr="00B450EB">
        <w:rPr>
          <w:rFonts w:eastAsiaTheme="minorEastAsia" w:cs="Arial"/>
          <w:sz w:val="18"/>
          <w:szCs w:val="18"/>
        </w:rPr>
        <w:t xml:space="preserve"> y </w:t>
      </w:r>
      <w:r w:rsidRPr="00B450EB">
        <w:rPr>
          <w:rFonts w:eastAsiaTheme="minorEastAsia" w:cs="Arial"/>
          <w:sz w:val="18"/>
          <w:szCs w:val="18"/>
        </w:rPr>
        <w:t>20</w:t>
      </w:r>
      <w:r w:rsidR="00323FC8" w:rsidRPr="00B450EB">
        <w:rPr>
          <w:rFonts w:eastAsiaTheme="minorEastAsia" w:cs="Arial"/>
          <w:sz w:val="18"/>
          <w:szCs w:val="18"/>
        </w:rPr>
        <w:t>21; MADS, 2024.</w:t>
      </w:r>
      <w:r w:rsidR="00614468" w:rsidRPr="00B450EB">
        <w:rPr>
          <w:rFonts w:eastAsiaTheme="minorEastAsia" w:cs="Arial"/>
          <w:sz w:val="18"/>
          <w:szCs w:val="18"/>
        </w:rPr>
        <w:t>, 2025.</w:t>
      </w:r>
    </w:p>
    <w:p w14:paraId="12C2731D" w14:textId="77777777" w:rsidR="00962971" w:rsidRPr="00B450EB" w:rsidRDefault="00962971" w:rsidP="005A3219">
      <w:pPr>
        <w:rPr>
          <w:rFonts w:eastAsiaTheme="minorEastAsia" w:cs="Arial"/>
        </w:rPr>
      </w:pPr>
      <w:r w:rsidRPr="00B450EB">
        <w:t>Es importante considerar que la fauna silvestre amazónica es fuente de conocimiento científico valioso para la biología, la medicina y la conservación, con muchas especies aún no descritas o poco estudiadas (Mantilla Cárdenas, 2022). Por ejemplo</w:t>
      </w:r>
      <w:r w:rsidRPr="00B450EB">
        <w:rPr>
          <w:rFonts w:eastAsiaTheme="minorEastAsia" w:cs="Arial"/>
        </w:rPr>
        <w:t xml:space="preserve">, muchas especies invertebradas no cuentan con evaluaciones formales por la UICN, sin embargo, dentro de las especies registradas, arañas del género </w:t>
      </w:r>
      <w:proofErr w:type="spellStart"/>
      <w:r w:rsidRPr="00B450EB">
        <w:rPr>
          <w:rFonts w:eastAsiaTheme="minorEastAsia" w:cs="Arial"/>
          <w:i/>
        </w:rPr>
        <w:t>Eustala</w:t>
      </w:r>
      <w:proofErr w:type="spellEnd"/>
      <w:r w:rsidRPr="00B450EB">
        <w:rPr>
          <w:rFonts w:eastAsiaTheme="minorEastAsia" w:cs="Arial"/>
          <w:i/>
        </w:rPr>
        <w:t xml:space="preserve"> y </w:t>
      </w:r>
      <w:proofErr w:type="spellStart"/>
      <w:r w:rsidRPr="00B450EB">
        <w:rPr>
          <w:rFonts w:eastAsiaTheme="minorEastAsia" w:cs="Arial"/>
          <w:i/>
        </w:rPr>
        <w:t>Heterophrynus</w:t>
      </w:r>
      <w:proofErr w:type="spellEnd"/>
      <w:r w:rsidRPr="00B450EB">
        <w:rPr>
          <w:rFonts w:eastAsiaTheme="minorEastAsia" w:cs="Arial"/>
          <w:i/>
        </w:rPr>
        <w:t xml:space="preserve"> </w:t>
      </w:r>
      <w:r w:rsidRPr="00B450EB">
        <w:rPr>
          <w:rFonts w:eastAsiaTheme="minorEastAsia" w:cs="Arial"/>
        </w:rPr>
        <w:t xml:space="preserve">(araña látigo), así como </w:t>
      </w:r>
      <w:proofErr w:type="spellStart"/>
      <w:r w:rsidRPr="00B450EB">
        <w:rPr>
          <w:rFonts w:eastAsiaTheme="minorEastAsia" w:cs="Arial"/>
          <w:i/>
        </w:rPr>
        <w:t>Phoneutria</w:t>
      </w:r>
      <w:proofErr w:type="spellEnd"/>
      <w:r w:rsidRPr="00B450EB">
        <w:rPr>
          <w:rFonts w:eastAsiaTheme="minorEastAsia" w:cs="Arial"/>
          <w:i/>
        </w:rPr>
        <w:t xml:space="preserve"> </w:t>
      </w:r>
      <w:proofErr w:type="spellStart"/>
      <w:r w:rsidRPr="00B450EB">
        <w:rPr>
          <w:rFonts w:eastAsiaTheme="minorEastAsia" w:cs="Arial"/>
          <w:i/>
        </w:rPr>
        <w:t>fera</w:t>
      </w:r>
      <w:proofErr w:type="spellEnd"/>
      <w:r w:rsidRPr="00B450EB">
        <w:rPr>
          <w:rFonts w:eastAsiaTheme="minorEastAsia" w:cs="Arial"/>
        </w:rPr>
        <w:t xml:space="preserve"> (araña bananera), registran como no evaluadas (NE). </w:t>
      </w:r>
    </w:p>
    <w:p w14:paraId="48C6D269" w14:textId="77777777" w:rsidR="00962971" w:rsidRPr="00B450EB" w:rsidRDefault="00962971" w:rsidP="00962971">
      <w:pPr>
        <w:tabs>
          <w:tab w:val="left" w:pos="1677"/>
        </w:tabs>
        <w:rPr>
          <w:rFonts w:eastAsiaTheme="minorEastAsia" w:cs="Arial"/>
        </w:rPr>
      </w:pPr>
      <w:r w:rsidRPr="00B450EB">
        <w:rPr>
          <w:rFonts w:eastAsiaTheme="minorEastAsia" w:cs="Arial"/>
        </w:rPr>
        <w:t xml:space="preserve">Dentro de la </w:t>
      </w:r>
      <w:proofErr w:type="spellStart"/>
      <w:r w:rsidRPr="00B450EB">
        <w:rPr>
          <w:rFonts w:eastAsiaTheme="minorEastAsia" w:cs="Arial"/>
        </w:rPr>
        <w:t>artropofauna</w:t>
      </w:r>
      <w:proofErr w:type="spellEnd"/>
      <w:r w:rsidRPr="00B450EB">
        <w:rPr>
          <w:rFonts w:eastAsiaTheme="minorEastAsia" w:cs="Arial"/>
        </w:rPr>
        <w:t xml:space="preserve"> de la región, </w:t>
      </w:r>
      <w:r w:rsidRPr="00B450EB">
        <w:rPr>
          <w:rFonts w:eastAsiaTheme="minorEastAsia" w:cs="Arial"/>
          <w:bCs/>
        </w:rPr>
        <w:t xml:space="preserve">resalta también la presencia de dos especies, </w:t>
      </w:r>
      <w:proofErr w:type="spellStart"/>
      <w:r w:rsidRPr="00B450EB">
        <w:rPr>
          <w:rFonts w:eastAsiaTheme="minorEastAsia" w:cs="Arial"/>
          <w:bCs/>
          <w:i/>
          <w:iCs/>
        </w:rPr>
        <w:t>Panphobetus</w:t>
      </w:r>
      <w:proofErr w:type="spellEnd"/>
      <w:r w:rsidRPr="00B450EB">
        <w:rPr>
          <w:rFonts w:eastAsiaTheme="minorEastAsia" w:cs="Arial"/>
          <w:bCs/>
        </w:rPr>
        <w:t xml:space="preserve"> </w:t>
      </w:r>
      <w:proofErr w:type="spellStart"/>
      <w:r w:rsidRPr="00B450EB">
        <w:rPr>
          <w:rFonts w:eastAsiaTheme="minorEastAsia" w:cs="Arial"/>
          <w:bCs/>
        </w:rPr>
        <w:t>sp</w:t>
      </w:r>
      <w:proofErr w:type="spellEnd"/>
      <w:r w:rsidRPr="00B450EB">
        <w:rPr>
          <w:rFonts w:eastAsiaTheme="minorEastAsia" w:cs="Arial"/>
          <w:bCs/>
        </w:rPr>
        <w:t xml:space="preserve"> (</w:t>
      </w:r>
      <w:proofErr w:type="spellStart"/>
      <w:r w:rsidRPr="00B450EB">
        <w:rPr>
          <w:rFonts w:eastAsiaTheme="minorEastAsia" w:cs="Arial"/>
          <w:bCs/>
        </w:rPr>
        <w:t>Tarantula</w:t>
      </w:r>
      <w:proofErr w:type="spellEnd"/>
      <w:r w:rsidRPr="00B450EB">
        <w:rPr>
          <w:rFonts w:eastAsiaTheme="minorEastAsia" w:cs="Arial"/>
          <w:bCs/>
        </w:rPr>
        <w:t xml:space="preserve">) y </w:t>
      </w:r>
      <w:proofErr w:type="spellStart"/>
      <w:r w:rsidRPr="00B450EB">
        <w:rPr>
          <w:rFonts w:eastAsiaTheme="minorEastAsia" w:cs="Arial"/>
          <w:bCs/>
          <w:i/>
          <w:iCs/>
        </w:rPr>
        <w:t>Tityus</w:t>
      </w:r>
      <w:proofErr w:type="spellEnd"/>
      <w:r w:rsidRPr="00B450EB">
        <w:rPr>
          <w:rFonts w:eastAsiaTheme="minorEastAsia" w:cs="Arial"/>
          <w:bCs/>
        </w:rPr>
        <w:t xml:space="preserve"> </w:t>
      </w:r>
      <w:proofErr w:type="spellStart"/>
      <w:r w:rsidRPr="00B450EB">
        <w:rPr>
          <w:rFonts w:eastAsiaTheme="minorEastAsia" w:cs="Arial"/>
          <w:bCs/>
        </w:rPr>
        <w:t>sp</w:t>
      </w:r>
      <w:proofErr w:type="spellEnd"/>
      <w:r w:rsidRPr="00B450EB">
        <w:rPr>
          <w:rFonts w:eastAsiaTheme="minorEastAsia" w:cs="Arial"/>
          <w:bCs/>
        </w:rPr>
        <w:t xml:space="preserve"> (Escorpión), con presencia de congéneres categorizados como vulnerables VU para la Resolución 0126. Así mismo, es importante destacar que </w:t>
      </w:r>
      <w:r w:rsidRPr="00B450EB">
        <w:rPr>
          <w:rFonts w:eastAsiaTheme="minorEastAsia" w:cs="Arial"/>
        </w:rPr>
        <w:t xml:space="preserve">muchas especies habitan en zonas con alta presión antropogénica, lo que hace necesario un mayor esfuerzo en investigación y monitoreo para su correcta evaluación y conservación. Tal es el caso, de especies como </w:t>
      </w:r>
      <w:proofErr w:type="spellStart"/>
      <w:r w:rsidRPr="00B450EB">
        <w:rPr>
          <w:rFonts w:eastAsiaTheme="minorEastAsia" w:cs="Arial"/>
          <w:i/>
        </w:rPr>
        <w:t>Rhinella</w:t>
      </w:r>
      <w:proofErr w:type="spellEnd"/>
      <w:r w:rsidRPr="00B450EB">
        <w:rPr>
          <w:rFonts w:eastAsiaTheme="minorEastAsia" w:cs="Arial"/>
          <w:i/>
        </w:rPr>
        <w:t xml:space="preserve"> </w:t>
      </w:r>
      <w:proofErr w:type="spellStart"/>
      <w:r w:rsidRPr="00B450EB">
        <w:rPr>
          <w:rFonts w:eastAsiaTheme="minorEastAsia" w:cs="Arial"/>
        </w:rPr>
        <w:t>sp</w:t>
      </w:r>
      <w:proofErr w:type="spellEnd"/>
      <w:r w:rsidRPr="00B450EB">
        <w:rPr>
          <w:rFonts w:eastAsiaTheme="minorEastAsia" w:cs="Arial"/>
          <w:i/>
        </w:rPr>
        <w:t xml:space="preserve">. </w:t>
      </w:r>
      <w:r w:rsidRPr="00B450EB">
        <w:rPr>
          <w:rFonts w:eastAsiaTheme="minorEastAsia" w:cs="Arial"/>
        </w:rPr>
        <w:t xml:space="preserve">quién tiene ocho especies hermanas categorizadas como vulnerables en la Resolución 0126, dando cuenta de la necesidad de estudios más </w:t>
      </w:r>
      <w:r w:rsidRPr="00B450EB">
        <w:rPr>
          <w:rFonts w:eastAsiaTheme="minorEastAsia" w:cs="Arial"/>
        </w:rPr>
        <w:lastRenderedPageBreak/>
        <w:t xml:space="preserve">profundos que permitan realizar las respectivas identificaciones taxonómicas y emprender las acciones necesarias para la conservación de cada entidad biológica. </w:t>
      </w:r>
    </w:p>
    <w:p w14:paraId="68ED41D1" w14:textId="76F2DB35" w:rsidR="005E04DB" w:rsidRPr="00B450EB" w:rsidRDefault="00BA60D0" w:rsidP="005E04DB">
      <w:r w:rsidRPr="00B450EB">
        <w:t xml:space="preserve">En relación con la </w:t>
      </w:r>
      <w:r w:rsidR="00776506" w:rsidRPr="00B450EB">
        <w:t>ictiofauna,</w:t>
      </w:r>
      <w:r w:rsidR="00A45BE3" w:rsidRPr="00B450EB">
        <w:t xml:space="preserve"> por departamento</w:t>
      </w:r>
      <w:r w:rsidR="00221427" w:rsidRPr="00B450EB">
        <w:t xml:space="preserve"> la distribución de especies en amenaza es la siguiente</w:t>
      </w:r>
      <w:r w:rsidR="00A45BE3" w:rsidRPr="00B450EB">
        <w:t xml:space="preserve">, </w:t>
      </w:r>
      <w:r w:rsidR="00221427" w:rsidRPr="00B450EB">
        <w:t xml:space="preserve">Guainía con siete (7) en Vulnerable y </w:t>
      </w:r>
      <w:r w:rsidR="00C94BEB" w:rsidRPr="00B450EB">
        <w:t>una (</w:t>
      </w:r>
      <w:r w:rsidR="00221427" w:rsidRPr="00B450EB">
        <w:t>1</w:t>
      </w:r>
      <w:r w:rsidR="00C94BEB" w:rsidRPr="00B450EB">
        <w:t>)</w:t>
      </w:r>
      <w:r w:rsidR="00221427" w:rsidRPr="00B450EB">
        <w:t xml:space="preserve"> En Peligro Crítico, Putumayo</w:t>
      </w:r>
      <w:r w:rsidR="009E067B" w:rsidRPr="00B450EB">
        <w:t xml:space="preserve"> </w:t>
      </w:r>
      <w:r w:rsidR="00C94BEB" w:rsidRPr="00B450EB">
        <w:t>con</w:t>
      </w:r>
      <w:r w:rsidR="009E067B" w:rsidRPr="00B450EB">
        <w:t xml:space="preserve"> </w:t>
      </w:r>
      <w:r w:rsidR="00365911" w:rsidRPr="00B450EB">
        <w:t>siete (7)</w:t>
      </w:r>
      <w:r w:rsidR="009E067B" w:rsidRPr="00B450EB">
        <w:t xml:space="preserve"> especies en categoría Vulnerable, </w:t>
      </w:r>
      <w:r w:rsidR="00365911" w:rsidRPr="00B450EB">
        <w:t>Caquetá</w:t>
      </w:r>
      <w:r w:rsidR="002A20DF" w:rsidRPr="00B450EB">
        <w:t xml:space="preserve"> con </w:t>
      </w:r>
      <w:r w:rsidR="00C94BEB" w:rsidRPr="00B450EB">
        <w:t>seis (</w:t>
      </w:r>
      <w:r w:rsidR="002A20DF" w:rsidRPr="00B450EB">
        <w:t>6</w:t>
      </w:r>
      <w:r w:rsidR="00C94BEB" w:rsidRPr="00B450EB">
        <w:t>)</w:t>
      </w:r>
      <w:r w:rsidR="002A20DF" w:rsidRPr="00B450EB">
        <w:t xml:space="preserve"> especies Vulnerable y </w:t>
      </w:r>
      <w:r w:rsidR="00C94BEB" w:rsidRPr="00B450EB">
        <w:t>una (</w:t>
      </w:r>
      <w:r w:rsidR="002A20DF" w:rsidRPr="00B450EB">
        <w:t>1</w:t>
      </w:r>
      <w:r w:rsidR="00C94BEB" w:rsidRPr="00B450EB">
        <w:t>)</w:t>
      </w:r>
      <w:r w:rsidR="002A20DF" w:rsidRPr="00B450EB">
        <w:t xml:space="preserve"> en Peligro Crítico, </w:t>
      </w:r>
      <w:r w:rsidR="00C94BEB" w:rsidRPr="00B450EB">
        <w:t>Guaviare con seis (6) en Vulnerable, y Vaupés con tres (3) en Vulnerable.</w:t>
      </w:r>
    </w:p>
    <w:p w14:paraId="0C00310A" w14:textId="5034DD31" w:rsidR="00962971" w:rsidRPr="00B450EB" w:rsidRDefault="00E06DA8" w:rsidP="00562C7A">
      <w:pPr>
        <w:tabs>
          <w:tab w:val="left" w:pos="1677"/>
        </w:tabs>
        <w:rPr>
          <w:rFonts w:eastAsia="Arial" w:cs="Arial"/>
        </w:rPr>
      </w:pPr>
      <w:r w:rsidRPr="00B450EB">
        <w:t xml:space="preserve">Entre las aves listadas en el área, en los últimos años el riesgo de extinción de ha aumentado con un número creciente de especies en categorías de amenaza por deforestación y cambios en el uso del suelo. Tal es el caso de especies además endémicas como </w:t>
      </w:r>
      <w:proofErr w:type="spellStart"/>
      <w:r w:rsidRPr="00B450EB">
        <w:rPr>
          <w:i/>
          <w:iCs/>
        </w:rPr>
        <w:t>Atlapetes</w:t>
      </w:r>
      <w:proofErr w:type="spellEnd"/>
      <w:r w:rsidRPr="00B450EB">
        <w:rPr>
          <w:i/>
          <w:iCs/>
        </w:rPr>
        <w:t xml:space="preserve"> </w:t>
      </w:r>
      <w:proofErr w:type="spellStart"/>
      <w:r w:rsidRPr="00B450EB">
        <w:rPr>
          <w:i/>
          <w:iCs/>
        </w:rPr>
        <w:t>fuscoolivaceus</w:t>
      </w:r>
      <w:proofErr w:type="spellEnd"/>
      <w:r w:rsidRPr="00B450EB">
        <w:rPr>
          <w:i/>
          <w:iCs/>
        </w:rPr>
        <w:t xml:space="preserve">, </w:t>
      </w:r>
      <w:proofErr w:type="spellStart"/>
      <w:r w:rsidRPr="00B450EB">
        <w:rPr>
          <w:i/>
          <w:iCs/>
        </w:rPr>
        <w:t>Hypopyrrhus</w:t>
      </w:r>
      <w:proofErr w:type="spellEnd"/>
      <w:r w:rsidRPr="00B450EB">
        <w:rPr>
          <w:i/>
          <w:iCs/>
        </w:rPr>
        <w:t xml:space="preserve"> </w:t>
      </w:r>
      <w:proofErr w:type="spellStart"/>
      <w:r w:rsidRPr="00B450EB">
        <w:rPr>
          <w:i/>
          <w:iCs/>
        </w:rPr>
        <w:t>pyrohypogaster</w:t>
      </w:r>
      <w:proofErr w:type="spellEnd"/>
      <w:r w:rsidRPr="00B450EB">
        <w:rPr>
          <w:i/>
          <w:iCs/>
        </w:rPr>
        <w:t xml:space="preserve"> </w:t>
      </w:r>
      <w:r w:rsidRPr="00B450EB">
        <w:t>y</w:t>
      </w:r>
      <w:r w:rsidRPr="00B450EB">
        <w:rPr>
          <w:i/>
          <w:iCs/>
        </w:rPr>
        <w:t xml:space="preserve"> </w:t>
      </w:r>
      <w:proofErr w:type="spellStart"/>
      <w:r w:rsidRPr="00B450EB">
        <w:rPr>
          <w:i/>
          <w:iCs/>
        </w:rPr>
        <w:t>Scytalopus</w:t>
      </w:r>
      <w:proofErr w:type="spellEnd"/>
      <w:r w:rsidRPr="00B450EB">
        <w:rPr>
          <w:i/>
          <w:iCs/>
        </w:rPr>
        <w:t xml:space="preserve"> </w:t>
      </w:r>
      <w:proofErr w:type="spellStart"/>
      <w:r w:rsidRPr="00B450EB">
        <w:rPr>
          <w:i/>
          <w:iCs/>
        </w:rPr>
        <w:t>rodriguezi</w:t>
      </w:r>
      <w:proofErr w:type="spellEnd"/>
      <w:r w:rsidRPr="00B450EB">
        <w:rPr>
          <w:i/>
          <w:iCs/>
        </w:rPr>
        <w:t xml:space="preserve"> </w:t>
      </w:r>
      <w:r w:rsidRPr="00B450EB">
        <w:t>(</w:t>
      </w:r>
      <w:r w:rsidR="005A3219" w:rsidRPr="00B450EB">
        <w:fldChar w:fldCharType="begin"/>
      </w:r>
      <w:r w:rsidR="005A3219" w:rsidRPr="00B450EB">
        <w:instrText xml:space="preserve"> REF _Ref209066316 \h </w:instrText>
      </w:r>
      <w:r w:rsidR="006E0BC8" w:rsidRPr="00B450EB">
        <w:instrText xml:space="preserve"> \* MERGEFORMAT </w:instrText>
      </w:r>
      <w:r w:rsidR="005A3219" w:rsidRPr="00B450EB">
        <w:fldChar w:fldCharType="separate"/>
      </w:r>
      <w:r w:rsidR="00010D09" w:rsidRPr="00B450EB">
        <w:t xml:space="preserve">Figura </w:t>
      </w:r>
      <w:r w:rsidR="00010D09" w:rsidRPr="00B450EB">
        <w:rPr>
          <w:noProof/>
        </w:rPr>
        <w:t>59</w:t>
      </w:r>
      <w:r w:rsidR="005A3219" w:rsidRPr="00B450EB">
        <w:fldChar w:fldCharType="end"/>
      </w:r>
      <w:r w:rsidRPr="00B450EB">
        <w:t xml:space="preserve">). Adicionalmente, aunque muchas de las especies se encuentran clasificadas como de Preocupación Menor (LC) en la UICN, varias especies emblemáticas, como </w:t>
      </w:r>
      <w:r w:rsidRPr="00B450EB">
        <w:rPr>
          <w:i/>
          <w:iCs/>
        </w:rPr>
        <w:t xml:space="preserve">Amazona farinosa </w:t>
      </w:r>
      <w:r w:rsidRPr="00B450EB">
        <w:t>y</w:t>
      </w:r>
      <w:r w:rsidRPr="00B450EB">
        <w:rPr>
          <w:i/>
          <w:iCs/>
        </w:rPr>
        <w:t xml:space="preserve"> Ara macao</w:t>
      </w:r>
      <w:r w:rsidRPr="00B450EB">
        <w:t xml:space="preserve"> (guacamayo rojo), están bajo declive poblacional y protegidas por la CITES en Apéndice I debido al comercio ilegal. </w:t>
      </w:r>
    </w:p>
    <w:p w14:paraId="7E660E31" w14:textId="20A22D5F" w:rsidR="00962971" w:rsidRPr="00B450EB" w:rsidRDefault="00962971" w:rsidP="00377AD7">
      <w:pPr>
        <w:pStyle w:val="Descripcin"/>
        <w:rPr>
          <w:color w:val="auto"/>
        </w:rPr>
      </w:pPr>
      <w:bookmarkStart w:id="115" w:name="_Ref209066316"/>
      <w:bookmarkStart w:id="116" w:name="_Toc209462747"/>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59</w:t>
      </w:r>
      <w:r w:rsidRPr="00B450EB">
        <w:rPr>
          <w:color w:val="auto"/>
        </w:rPr>
        <w:fldChar w:fldCharType="end"/>
      </w:r>
      <w:bookmarkEnd w:id="115"/>
      <w:r w:rsidRPr="00B450EB">
        <w:rPr>
          <w:color w:val="auto"/>
        </w:rPr>
        <w:t xml:space="preserve">. Distribución potencial de aves presentes en la Amazonía colombiana en categoría de amenaza con </w:t>
      </w:r>
      <w:proofErr w:type="spellStart"/>
      <w:r w:rsidRPr="00B450EB">
        <w:rPr>
          <w:color w:val="auto"/>
        </w:rPr>
        <w:t>biomodelos</w:t>
      </w:r>
      <w:proofErr w:type="spellEnd"/>
      <w:r w:rsidRPr="00B450EB">
        <w:rPr>
          <w:color w:val="auto"/>
        </w:rPr>
        <w:t xml:space="preserve"> del Instituto Alexander </w:t>
      </w:r>
      <w:proofErr w:type="spellStart"/>
      <w:r w:rsidRPr="00B450EB">
        <w:rPr>
          <w:color w:val="auto"/>
        </w:rPr>
        <w:t>von</w:t>
      </w:r>
      <w:proofErr w:type="spellEnd"/>
      <w:r w:rsidRPr="00B450EB">
        <w:rPr>
          <w:color w:val="auto"/>
        </w:rPr>
        <w:t xml:space="preserve"> Humboldt</w:t>
      </w:r>
      <w:bookmarkEnd w:id="116"/>
    </w:p>
    <w:p w14:paraId="2C3B6B88" w14:textId="77777777" w:rsidR="00962971" w:rsidRPr="00B450EB" w:rsidRDefault="00962971" w:rsidP="003F3402">
      <w:pPr>
        <w:spacing w:after="0"/>
        <w:jc w:val="center"/>
        <w:rPr>
          <w:rFonts w:eastAsiaTheme="minorEastAsia" w:cs="Arial"/>
          <w:bCs/>
        </w:rPr>
      </w:pPr>
      <w:r w:rsidRPr="00B450EB">
        <w:rPr>
          <w:noProof/>
        </w:rPr>
        <w:drawing>
          <wp:inline distT="0" distB="0" distL="0" distR="0" wp14:anchorId="5165C202" wp14:editId="177DC728">
            <wp:extent cx="4317353" cy="3592286"/>
            <wp:effectExtent l="0" t="0" r="7620" b="8255"/>
            <wp:docPr id="1137844805" name="Imagen 1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44805" name="Imagen 12" descr="Mapa&#10;&#10;El contenido generado por IA puede ser incorrecto."/>
                    <pic:cNvPicPr>
                      <a:picLocks noChangeAspect="1" noChangeArrowheads="1"/>
                    </pic:cNvPicPr>
                  </pic:nvPicPr>
                  <pic:blipFill rotWithShape="1">
                    <a:blip r:embed="rId105" cstate="email">
                      <a:extLst>
                        <a:ext uri="{28A0092B-C50C-407E-A947-70E740481C1C}">
                          <a14:useLocalDpi xmlns:a14="http://schemas.microsoft.com/office/drawing/2010/main"/>
                        </a:ext>
                      </a:extLst>
                    </a:blip>
                    <a:srcRect/>
                    <a:stretch/>
                  </pic:blipFill>
                  <pic:spPr bwMode="auto">
                    <a:xfrm>
                      <a:off x="0" y="0"/>
                      <a:ext cx="4324124" cy="3597920"/>
                    </a:xfrm>
                    <a:prstGeom prst="rect">
                      <a:avLst/>
                    </a:prstGeom>
                    <a:noFill/>
                    <a:ln>
                      <a:noFill/>
                    </a:ln>
                    <a:extLst>
                      <a:ext uri="{53640926-AAD7-44D8-BBD7-CCE9431645EC}">
                        <a14:shadowObscured xmlns:a14="http://schemas.microsoft.com/office/drawing/2010/main"/>
                      </a:ext>
                    </a:extLst>
                  </pic:spPr>
                </pic:pic>
              </a:graphicData>
            </a:graphic>
          </wp:inline>
        </w:drawing>
      </w:r>
    </w:p>
    <w:p w14:paraId="1B4ACB3F" w14:textId="6A70AD6C" w:rsidR="00846629" w:rsidRPr="00B450EB" w:rsidRDefault="00846629" w:rsidP="00962971">
      <w:pPr>
        <w:jc w:val="center"/>
        <w:rPr>
          <w:rFonts w:eastAsiaTheme="minorEastAsia" w:cs="Arial"/>
          <w:bCs/>
        </w:rPr>
      </w:pPr>
      <w:r w:rsidRPr="00B450EB">
        <w:rPr>
          <w:rFonts w:eastAsiaTheme="minorEastAsia" w:cs="Arial"/>
          <w:sz w:val="18"/>
          <w:szCs w:val="18"/>
        </w:rPr>
        <w:t xml:space="preserve">Fuente: Elaboración propia a partir de </w:t>
      </w:r>
      <w:proofErr w:type="spellStart"/>
      <w:r w:rsidRPr="00B450EB">
        <w:rPr>
          <w:rFonts w:eastAsiaTheme="minorEastAsia" w:cs="Arial"/>
          <w:sz w:val="18"/>
          <w:szCs w:val="18"/>
        </w:rPr>
        <w:t>biomodelos</w:t>
      </w:r>
      <w:proofErr w:type="spellEnd"/>
      <w:r w:rsidRPr="00B450EB">
        <w:rPr>
          <w:rFonts w:eastAsiaTheme="minorEastAsia" w:cs="Arial"/>
          <w:sz w:val="18"/>
          <w:szCs w:val="18"/>
        </w:rPr>
        <w:t xml:space="preserve"> del </w:t>
      </w:r>
      <w:proofErr w:type="spellStart"/>
      <w:r w:rsidRPr="00B450EB">
        <w:rPr>
          <w:rFonts w:eastAsiaTheme="minorEastAsia" w:cs="Arial"/>
          <w:sz w:val="18"/>
          <w:szCs w:val="18"/>
        </w:rPr>
        <w:t>IAvH</w:t>
      </w:r>
      <w:proofErr w:type="spellEnd"/>
      <w:r w:rsidR="00614468" w:rsidRPr="00B450EB">
        <w:rPr>
          <w:rFonts w:eastAsiaTheme="minorEastAsia" w:cs="Arial"/>
          <w:sz w:val="18"/>
          <w:szCs w:val="18"/>
        </w:rPr>
        <w:t>, 2025.</w:t>
      </w:r>
    </w:p>
    <w:p w14:paraId="7E991273" w14:textId="31B191B5" w:rsidR="00962971" w:rsidRPr="00B450EB" w:rsidRDefault="00962971" w:rsidP="00962971">
      <w:pPr>
        <w:rPr>
          <w:rFonts w:eastAsiaTheme="minorEastAsia" w:cs="Arial"/>
          <w:i/>
        </w:rPr>
      </w:pPr>
      <w:r w:rsidRPr="00B450EB">
        <w:rPr>
          <w:rFonts w:eastAsiaTheme="minorEastAsia" w:cs="Arial"/>
        </w:rPr>
        <w:lastRenderedPageBreak/>
        <w:t>Dentro de los especies de mamíferos, las amenazas frente a la extinción a nivel nacional y global se dan mayormente por la caza ilegal y la destrucción creciente de sus hábitat, como en el caso de la nutría de río (</w:t>
      </w:r>
      <w:proofErr w:type="spellStart"/>
      <w:r w:rsidRPr="00B450EB">
        <w:rPr>
          <w:rFonts w:eastAsiaTheme="minorEastAsia" w:cs="Arial"/>
          <w:i/>
        </w:rPr>
        <w:t>Lontra</w:t>
      </w:r>
      <w:proofErr w:type="spellEnd"/>
      <w:r w:rsidRPr="00B450EB">
        <w:rPr>
          <w:rFonts w:eastAsiaTheme="minorEastAsia" w:cs="Arial"/>
          <w:i/>
        </w:rPr>
        <w:t xml:space="preserve"> </w:t>
      </w:r>
      <w:proofErr w:type="spellStart"/>
      <w:r w:rsidRPr="00B450EB">
        <w:rPr>
          <w:rFonts w:eastAsiaTheme="minorEastAsia" w:cs="Arial"/>
          <w:i/>
        </w:rPr>
        <w:t>longicaudis</w:t>
      </w:r>
      <w:proofErr w:type="spellEnd"/>
      <w:r w:rsidRPr="00B450EB">
        <w:rPr>
          <w:rFonts w:eastAsiaTheme="minorEastAsia" w:cs="Arial"/>
          <w:i/>
        </w:rPr>
        <w:t xml:space="preserve"> </w:t>
      </w:r>
      <w:r w:rsidRPr="00B450EB">
        <w:rPr>
          <w:rFonts w:eastAsiaTheme="minorEastAsia" w:cs="Arial"/>
          <w:iCs/>
        </w:rPr>
        <w:t>– NT global, VU nacional</w:t>
      </w:r>
      <w:r w:rsidRPr="00B450EB">
        <w:rPr>
          <w:rFonts w:eastAsiaTheme="minorEastAsia" w:cs="Arial"/>
        </w:rPr>
        <w:t>), la nutria gigante (</w:t>
      </w:r>
      <w:proofErr w:type="spellStart"/>
      <w:r w:rsidRPr="00B450EB">
        <w:rPr>
          <w:rFonts w:eastAsiaTheme="minorEastAsia" w:cs="Arial"/>
          <w:i/>
        </w:rPr>
        <w:t>Pteronura</w:t>
      </w:r>
      <w:proofErr w:type="spellEnd"/>
      <w:r w:rsidRPr="00B450EB">
        <w:rPr>
          <w:rFonts w:eastAsiaTheme="minorEastAsia" w:cs="Arial"/>
          <w:i/>
        </w:rPr>
        <w:t xml:space="preserve"> </w:t>
      </w:r>
      <w:proofErr w:type="spellStart"/>
      <w:r w:rsidRPr="00B450EB">
        <w:rPr>
          <w:rFonts w:eastAsiaTheme="minorEastAsia" w:cs="Arial"/>
          <w:i/>
        </w:rPr>
        <w:t>brasiliensis</w:t>
      </w:r>
      <w:proofErr w:type="spellEnd"/>
      <w:r w:rsidRPr="00B450EB">
        <w:rPr>
          <w:rFonts w:eastAsiaTheme="minorEastAsia" w:cs="Arial"/>
          <w:iCs/>
        </w:rPr>
        <w:t xml:space="preserve"> – EN global y nacional</w:t>
      </w:r>
      <w:r w:rsidRPr="00B450EB">
        <w:rPr>
          <w:rFonts w:eastAsiaTheme="minorEastAsia" w:cs="Arial"/>
        </w:rPr>
        <w:t>), el delfín rosado (</w:t>
      </w:r>
      <w:proofErr w:type="spellStart"/>
      <w:r w:rsidRPr="00B450EB">
        <w:rPr>
          <w:rFonts w:eastAsiaTheme="minorEastAsia" w:cs="Arial"/>
          <w:i/>
          <w:iCs/>
        </w:rPr>
        <w:t>Inia</w:t>
      </w:r>
      <w:proofErr w:type="spellEnd"/>
      <w:r w:rsidRPr="00B450EB">
        <w:rPr>
          <w:rFonts w:eastAsiaTheme="minorEastAsia" w:cs="Arial"/>
          <w:i/>
          <w:iCs/>
        </w:rPr>
        <w:t xml:space="preserve"> </w:t>
      </w:r>
      <w:proofErr w:type="spellStart"/>
      <w:r w:rsidRPr="00B450EB">
        <w:rPr>
          <w:rFonts w:eastAsiaTheme="minorEastAsia" w:cs="Arial"/>
          <w:i/>
          <w:iCs/>
        </w:rPr>
        <w:t>geoffrensis</w:t>
      </w:r>
      <w:proofErr w:type="spellEnd"/>
      <w:r w:rsidRPr="00B450EB">
        <w:rPr>
          <w:rFonts w:eastAsiaTheme="minorEastAsia" w:cs="Arial"/>
        </w:rPr>
        <w:t xml:space="preserve"> – EN global y nacional), el mono churuco (</w:t>
      </w:r>
      <w:proofErr w:type="spellStart"/>
      <w:r w:rsidRPr="00B450EB">
        <w:rPr>
          <w:rFonts w:eastAsiaTheme="minorEastAsia" w:cs="Arial"/>
          <w:i/>
        </w:rPr>
        <w:t>Lagothrix</w:t>
      </w:r>
      <w:proofErr w:type="spellEnd"/>
      <w:r w:rsidRPr="00B450EB">
        <w:rPr>
          <w:rFonts w:eastAsiaTheme="minorEastAsia" w:cs="Arial"/>
          <w:i/>
        </w:rPr>
        <w:t xml:space="preserve"> </w:t>
      </w:r>
      <w:proofErr w:type="spellStart"/>
      <w:r w:rsidRPr="00B450EB">
        <w:rPr>
          <w:rFonts w:eastAsiaTheme="minorEastAsia" w:cs="Arial"/>
          <w:i/>
        </w:rPr>
        <w:t>lagothricha</w:t>
      </w:r>
      <w:proofErr w:type="spellEnd"/>
      <w:r w:rsidRPr="00B450EB">
        <w:rPr>
          <w:rFonts w:eastAsiaTheme="minorEastAsia" w:cs="Arial"/>
          <w:i/>
        </w:rPr>
        <w:t xml:space="preserve"> </w:t>
      </w:r>
      <w:r w:rsidRPr="00B450EB">
        <w:rPr>
          <w:rFonts w:eastAsiaTheme="minorEastAsia" w:cs="Arial"/>
          <w:iCs/>
        </w:rPr>
        <w:t>– VU global y nacional</w:t>
      </w:r>
      <w:r w:rsidRPr="00B450EB">
        <w:rPr>
          <w:rFonts w:eastAsiaTheme="minorEastAsia" w:cs="Arial"/>
        </w:rPr>
        <w:t>) y la danta (</w:t>
      </w:r>
      <w:proofErr w:type="spellStart"/>
      <w:r w:rsidRPr="00B450EB">
        <w:rPr>
          <w:rFonts w:eastAsiaTheme="minorEastAsia" w:cs="Arial"/>
        </w:rPr>
        <w:t>T</w:t>
      </w:r>
      <w:r w:rsidRPr="00B450EB">
        <w:rPr>
          <w:rFonts w:eastAsiaTheme="minorEastAsia" w:cs="Arial"/>
          <w:i/>
        </w:rPr>
        <w:t>apirus</w:t>
      </w:r>
      <w:proofErr w:type="spellEnd"/>
      <w:r w:rsidRPr="00B450EB">
        <w:rPr>
          <w:rFonts w:eastAsiaTheme="minorEastAsia" w:cs="Arial"/>
          <w:i/>
        </w:rPr>
        <w:t xml:space="preserve"> terrestres </w:t>
      </w:r>
      <w:r w:rsidRPr="00B450EB">
        <w:rPr>
          <w:rFonts w:eastAsiaTheme="minorEastAsia" w:cs="Arial"/>
          <w:iCs/>
        </w:rPr>
        <w:t>– VU global y nacional</w:t>
      </w:r>
      <w:r w:rsidRPr="00B450EB">
        <w:rPr>
          <w:rFonts w:eastAsiaTheme="minorEastAsia" w:cs="Arial"/>
        </w:rPr>
        <w:t>). También habitan en la zona especies emblemáticas, amenazadas y culturalmente significativas como el jaguar (</w:t>
      </w:r>
      <w:r w:rsidRPr="00B450EB">
        <w:rPr>
          <w:rFonts w:eastAsiaTheme="minorEastAsia" w:cs="Arial"/>
          <w:i/>
        </w:rPr>
        <w:t xml:space="preserve">Panthera </w:t>
      </w:r>
      <w:proofErr w:type="spellStart"/>
      <w:r w:rsidRPr="00B450EB">
        <w:rPr>
          <w:rFonts w:eastAsiaTheme="minorEastAsia" w:cs="Arial"/>
          <w:i/>
        </w:rPr>
        <w:t>onca</w:t>
      </w:r>
      <w:proofErr w:type="spellEnd"/>
      <w:r w:rsidRPr="00B450EB">
        <w:rPr>
          <w:rFonts w:eastAsiaTheme="minorEastAsia" w:cs="Arial"/>
          <w:i/>
        </w:rPr>
        <w:t xml:space="preserve"> - </w:t>
      </w:r>
      <w:r w:rsidRPr="00B450EB">
        <w:rPr>
          <w:rFonts w:eastAsiaTheme="minorEastAsia" w:cs="Arial"/>
        </w:rPr>
        <w:t>NT global, VU nacional</w:t>
      </w:r>
      <w:r w:rsidRPr="00B450EB">
        <w:rPr>
          <w:rFonts w:eastAsiaTheme="minorEastAsia" w:cs="Arial"/>
          <w:i/>
        </w:rPr>
        <w:t>)</w:t>
      </w:r>
      <w:r w:rsidRPr="00B450EB">
        <w:rPr>
          <w:rFonts w:eastAsiaTheme="minorEastAsia" w:cs="Arial"/>
        </w:rPr>
        <w:t xml:space="preserve">, quien es uno de los </w:t>
      </w:r>
      <w:r w:rsidRPr="00B450EB">
        <w:rPr>
          <w:rFonts w:eastAsiaTheme="minorEastAsia" w:cs="Arial"/>
          <w:iCs/>
        </w:rPr>
        <w:t>mamíferos más icónicos y clave para el equilibrio del ecosistema al ser un depredador tope que regula las poblaciones de otras especies y mantiene la salud del ecosistema.</w:t>
      </w:r>
      <w:r w:rsidRPr="00B450EB">
        <w:rPr>
          <w:rFonts w:eastAsiaTheme="minorEastAsia" w:cs="Arial"/>
        </w:rPr>
        <w:t xml:space="preserve"> Adicionalmente, se han documentado especies raras de murciélagos como</w:t>
      </w:r>
      <w:r w:rsidRPr="00B450EB">
        <w:rPr>
          <w:rFonts w:eastAsiaTheme="minorEastAsia" w:cs="Arial"/>
          <w:i/>
        </w:rPr>
        <w:t xml:space="preserve"> </w:t>
      </w:r>
      <w:proofErr w:type="spellStart"/>
      <w:r w:rsidRPr="00B450EB">
        <w:rPr>
          <w:rFonts w:eastAsiaTheme="minorEastAsia" w:cs="Arial"/>
          <w:i/>
        </w:rPr>
        <w:t>Nyctinomops</w:t>
      </w:r>
      <w:proofErr w:type="spellEnd"/>
      <w:r w:rsidRPr="00B450EB">
        <w:rPr>
          <w:rFonts w:eastAsiaTheme="minorEastAsia" w:cs="Arial"/>
          <w:i/>
        </w:rPr>
        <w:t xml:space="preserve"> </w:t>
      </w:r>
      <w:proofErr w:type="spellStart"/>
      <w:r w:rsidRPr="00B450EB">
        <w:rPr>
          <w:rFonts w:eastAsiaTheme="minorEastAsia" w:cs="Arial"/>
          <w:i/>
        </w:rPr>
        <w:t>laticaudatus</w:t>
      </w:r>
      <w:proofErr w:type="spellEnd"/>
      <w:r w:rsidRPr="00B450EB">
        <w:rPr>
          <w:rFonts w:eastAsiaTheme="minorEastAsia" w:cs="Arial"/>
          <w:i/>
        </w:rPr>
        <w:t xml:space="preserve"> </w:t>
      </w:r>
      <w:r w:rsidRPr="00B450EB">
        <w:rPr>
          <w:rFonts w:eastAsiaTheme="minorEastAsia" w:cs="Arial"/>
        </w:rPr>
        <w:t>y</w:t>
      </w:r>
      <w:r w:rsidRPr="00B450EB">
        <w:rPr>
          <w:rFonts w:eastAsiaTheme="minorEastAsia" w:cs="Arial"/>
          <w:i/>
        </w:rPr>
        <w:t xml:space="preserve"> </w:t>
      </w:r>
      <w:proofErr w:type="spellStart"/>
      <w:r w:rsidRPr="00B450EB">
        <w:rPr>
          <w:rFonts w:eastAsiaTheme="minorEastAsia" w:cs="Arial"/>
          <w:i/>
        </w:rPr>
        <w:t>Vampyriscus</w:t>
      </w:r>
      <w:proofErr w:type="spellEnd"/>
      <w:r w:rsidRPr="00B450EB">
        <w:rPr>
          <w:rFonts w:eastAsiaTheme="minorEastAsia" w:cs="Arial"/>
          <w:i/>
        </w:rPr>
        <w:t xml:space="preserve"> </w:t>
      </w:r>
      <w:proofErr w:type="spellStart"/>
      <w:r w:rsidRPr="00B450EB">
        <w:rPr>
          <w:rFonts w:eastAsiaTheme="minorEastAsia" w:cs="Arial"/>
          <w:i/>
        </w:rPr>
        <w:t>brocki</w:t>
      </w:r>
      <w:proofErr w:type="spellEnd"/>
      <w:r w:rsidRPr="00B450EB">
        <w:rPr>
          <w:rFonts w:eastAsiaTheme="minorEastAsia" w:cs="Arial"/>
        </w:rPr>
        <w:t xml:space="preserve">, así como la especie considerada vulnerable </w:t>
      </w:r>
      <w:proofErr w:type="spellStart"/>
      <w:r w:rsidRPr="00B450EB">
        <w:rPr>
          <w:rFonts w:eastAsiaTheme="minorEastAsia" w:cs="Arial"/>
          <w:i/>
        </w:rPr>
        <w:t>Lonchorhina</w:t>
      </w:r>
      <w:proofErr w:type="spellEnd"/>
      <w:r w:rsidRPr="00B450EB">
        <w:rPr>
          <w:rFonts w:eastAsiaTheme="minorEastAsia" w:cs="Arial"/>
          <w:i/>
        </w:rPr>
        <w:t xml:space="preserve"> </w:t>
      </w:r>
      <w:proofErr w:type="spellStart"/>
      <w:r w:rsidRPr="00B450EB">
        <w:rPr>
          <w:rFonts w:eastAsiaTheme="minorEastAsia" w:cs="Arial"/>
          <w:i/>
        </w:rPr>
        <w:t>orinocensis</w:t>
      </w:r>
      <w:proofErr w:type="spellEnd"/>
      <w:r w:rsidRPr="00B450EB">
        <w:rPr>
          <w:rFonts w:eastAsiaTheme="minorEastAsia" w:cs="Arial"/>
          <w:i/>
        </w:rPr>
        <w:t xml:space="preserve"> </w:t>
      </w:r>
      <w:r w:rsidRPr="00B450EB">
        <w:rPr>
          <w:rFonts w:eastAsiaTheme="minorEastAsia" w:cs="Arial"/>
          <w:iCs/>
        </w:rPr>
        <w:t>(VU global y nacional)</w:t>
      </w:r>
      <w:r w:rsidR="002A1CE2" w:rsidRPr="00B450EB">
        <w:rPr>
          <w:rFonts w:eastAsiaTheme="minorEastAsia" w:cs="Arial"/>
          <w:iCs/>
        </w:rPr>
        <w:t>.</w:t>
      </w:r>
    </w:p>
    <w:p w14:paraId="64DD5719" w14:textId="0E641E38" w:rsidR="00DA2A2F" w:rsidRPr="00B450EB" w:rsidRDefault="00443794" w:rsidP="00DA2A2F">
      <w:pPr>
        <w:rPr>
          <w:i/>
          <w:iCs/>
        </w:rPr>
      </w:pPr>
      <w:r w:rsidRPr="00B450EB">
        <w:t xml:space="preserve">De las anteriores especies de mamíferos en amenaza, es importante mencionar que el peligro no solo se concentra en la pérdida de sus poblaciones, sino que a la vez afecta la cadena trófica </w:t>
      </w:r>
      <w:r w:rsidR="00372E40" w:rsidRPr="00B450EB">
        <w:t xml:space="preserve">y red funcional del ecosistema. </w:t>
      </w:r>
      <w:r w:rsidR="00DA2A2F" w:rsidRPr="00B450EB">
        <w:t>Por ejemplo, las funciones que mantienen grandes depredadores de pequeños y medianos vertebrados, como el jaguar y la nutria de rio, con distribuciones mucho más allá de la Amazonía, en simpatría con especies con una distribución más concentrada a las vertientes orino-amazónicas, como la nutria gigante, y pequeños roedores herbívoros de distribución restringida a la confluencia andino-amazónica que a su vez son presa de la fauna silvestre y del hombre como la guagua loba.</w:t>
      </w:r>
      <w:r w:rsidR="00372E40" w:rsidRPr="00B450EB">
        <w:t xml:space="preserve"> A continuación</w:t>
      </w:r>
      <w:r w:rsidR="001D1E1E" w:rsidRPr="00B450EB">
        <w:t>,</w:t>
      </w:r>
      <w:r w:rsidR="00372E40" w:rsidRPr="00B450EB">
        <w:t xml:space="preserve"> se presenta la distribución potencial de algunas especies de mamíferos en categoría de amenaza de acuerdo con los </w:t>
      </w:r>
      <w:proofErr w:type="spellStart"/>
      <w:r w:rsidR="00372E40" w:rsidRPr="00B450EB">
        <w:t>biomodelos</w:t>
      </w:r>
      <w:proofErr w:type="spellEnd"/>
      <w:r w:rsidR="00372E40" w:rsidRPr="00B450EB">
        <w:t xml:space="preserve"> publicados por el Instituto Alexander </w:t>
      </w:r>
      <w:r w:rsidR="001D1E1E" w:rsidRPr="00B450EB">
        <w:t>van</w:t>
      </w:r>
      <w:r w:rsidR="00372E40" w:rsidRPr="00B450EB">
        <w:t xml:space="preserve"> Humboldt.</w:t>
      </w:r>
    </w:p>
    <w:p w14:paraId="6FD93C35" w14:textId="191ED57D" w:rsidR="00DA2A2F" w:rsidRPr="00B450EB" w:rsidRDefault="00DA2A2F" w:rsidP="00377AD7">
      <w:pPr>
        <w:pStyle w:val="Descripcin"/>
        <w:rPr>
          <w:color w:val="auto"/>
        </w:rPr>
      </w:pPr>
      <w:bookmarkStart w:id="117" w:name="_Toc209462748"/>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60</w:t>
      </w:r>
      <w:r w:rsidRPr="00B450EB">
        <w:rPr>
          <w:color w:val="auto"/>
        </w:rPr>
        <w:fldChar w:fldCharType="end"/>
      </w:r>
      <w:r w:rsidRPr="00B450EB">
        <w:rPr>
          <w:color w:val="auto"/>
        </w:rPr>
        <w:t>. Distribución potencial de especies de fauna amenazada que coexiste en la Amazonía colombiana</w:t>
      </w:r>
      <w:bookmarkEnd w:id="117"/>
    </w:p>
    <w:p w14:paraId="7BE7AFF7" w14:textId="77777777" w:rsidR="00DA2A2F" w:rsidRPr="00B450EB" w:rsidRDefault="00DA2A2F" w:rsidP="00DA2A2F">
      <w:pPr>
        <w:jc w:val="center"/>
      </w:pPr>
      <w:r w:rsidRPr="00B450EB">
        <w:rPr>
          <w:noProof/>
        </w:rPr>
        <w:drawing>
          <wp:inline distT="0" distB="0" distL="0" distR="0" wp14:anchorId="02569A89" wp14:editId="4F4E0E17">
            <wp:extent cx="4446270" cy="1807029"/>
            <wp:effectExtent l="0" t="0" r="0" b="3175"/>
            <wp:docPr id="377196861"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196861" name="Imagen 1" descr="Mapa&#10;&#10;El contenido generado por IA puede ser incorrecto."/>
                    <pic:cNvPicPr>
                      <a:picLocks noChangeAspect="1" noChangeArrowheads="1"/>
                    </pic:cNvPicPr>
                  </pic:nvPicPr>
                  <pic:blipFill rotWithShape="1">
                    <a:blip r:embed="rId106" cstate="email">
                      <a:extLst>
                        <a:ext uri="{28A0092B-C50C-407E-A947-70E740481C1C}">
                          <a14:useLocalDpi xmlns:a14="http://schemas.microsoft.com/office/drawing/2010/main"/>
                        </a:ext>
                      </a:extLst>
                    </a:blip>
                    <a:srcRect/>
                    <a:stretch/>
                  </pic:blipFill>
                  <pic:spPr bwMode="auto">
                    <a:xfrm>
                      <a:off x="0" y="0"/>
                      <a:ext cx="4450812" cy="1808875"/>
                    </a:xfrm>
                    <a:prstGeom prst="rect">
                      <a:avLst/>
                    </a:prstGeom>
                    <a:noFill/>
                    <a:ln>
                      <a:noFill/>
                    </a:ln>
                    <a:extLst>
                      <a:ext uri="{53640926-AAD7-44D8-BBD7-CCE9431645EC}">
                        <a14:shadowObscured xmlns:a14="http://schemas.microsoft.com/office/drawing/2010/main"/>
                      </a:ext>
                    </a:extLst>
                  </pic:spPr>
                </pic:pic>
              </a:graphicData>
            </a:graphic>
          </wp:inline>
        </w:drawing>
      </w:r>
    </w:p>
    <w:p w14:paraId="7602308D" w14:textId="4D0D8FA0" w:rsidR="00D203BB" w:rsidRPr="00B450EB" w:rsidRDefault="00D203BB" w:rsidP="00DA2A2F">
      <w:pPr>
        <w:spacing w:after="0"/>
        <w:jc w:val="center"/>
      </w:pPr>
      <w:r w:rsidRPr="00B450EB">
        <w:rPr>
          <w:noProof/>
        </w:rPr>
        <w:lastRenderedPageBreak/>
        <w:drawing>
          <wp:inline distT="0" distB="0" distL="0" distR="0" wp14:anchorId="1C4BD773" wp14:editId="007F69EB">
            <wp:extent cx="4446270" cy="1850227"/>
            <wp:effectExtent l="0" t="0" r="0" b="0"/>
            <wp:docPr id="1636486112"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196861" name="Imagen 1" descr="Mapa&#10;&#10;El contenido generado por IA puede ser incorrecto."/>
                    <pic:cNvPicPr>
                      <a:picLocks noChangeAspect="1" noChangeArrowheads="1"/>
                    </pic:cNvPicPr>
                  </pic:nvPicPr>
                  <pic:blipFill rotWithShape="1">
                    <a:blip r:embed="rId107" cstate="email">
                      <a:extLst>
                        <a:ext uri="{28A0092B-C50C-407E-A947-70E740481C1C}">
                          <a14:useLocalDpi xmlns:a14="http://schemas.microsoft.com/office/drawing/2010/main"/>
                        </a:ext>
                      </a:extLst>
                    </a:blip>
                    <a:srcRect/>
                    <a:stretch/>
                  </pic:blipFill>
                  <pic:spPr bwMode="auto">
                    <a:xfrm>
                      <a:off x="0" y="0"/>
                      <a:ext cx="4450812" cy="1852117"/>
                    </a:xfrm>
                    <a:prstGeom prst="rect">
                      <a:avLst/>
                    </a:prstGeom>
                    <a:noFill/>
                    <a:ln>
                      <a:noFill/>
                    </a:ln>
                    <a:extLst>
                      <a:ext uri="{53640926-AAD7-44D8-BBD7-CCE9431645EC}">
                        <a14:shadowObscured xmlns:a14="http://schemas.microsoft.com/office/drawing/2010/main"/>
                      </a:ext>
                    </a:extLst>
                  </pic:spPr>
                </pic:pic>
              </a:graphicData>
            </a:graphic>
          </wp:inline>
        </w:drawing>
      </w:r>
    </w:p>
    <w:p w14:paraId="3560620C" w14:textId="6B111F37" w:rsidR="00E82C7A" w:rsidRPr="00B450EB" w:rsidRDefault="00846629" w:rsidP="005B67B2">
      <w:pPr>
        <w:jc w:val="center"/>
        <w:rPr>
          <w:rFonts w:cs="Arial"/>
        </w:rPr>
      </w:pPr>
      <w:r w:rsidRPr="00B450EB">
        <w:rPr>
          <w:rFonts w:eastAsiaTheme="minorEastAsia" w:cs="Arial"/>
          <w:sz w:val="18"/>
          <w:szCs w:val="18"/>
        </w:rPr>
        <w:t xml:space="preserve">Fuente: Elaboración propia a partir de </w:t>
      </w:r>
      <w:proofErr w:type="spellStart"/>
      <w:r w:rsidRPr="00B450EB">
        <w:rPr>
          <w:rFonts w:eastAsiaTheme="minorEastAsia" w:cs="Arial"/>
          <w:sz w:val="18"/>
          <w:szCs w:val="18"/>
        </w:rPr>
        <w:t>biomodelos</w:t>
      </w:r>
      <w:proofErr w:type="spellEnd"/>
      <w:r w:rsidRPr="00B450EB">
        <w:rPr>
          <w:rFonts w:eastAsiaTheme="minorEastAsia" w:cs="Arial"/>
          <w:sz w:val="18"/>
          <w:szCs w:val="18"/>
        </w:rPr>
        <w:t xml:space="preserve"> del </w:t>
      </w:r>
      <w:proofErr w:type="spellStart"/>
      <w:r w:rsidRPr="00B450EB">
        <w:rPr>
          <w:rFonts w:eastAsiaTheme="minorEastAsia" w:cs="Arial"/>
          <w:sz w:val="18"/>
          <w:szCs w:val="18"/>
        </w:rPr>
        <w:t>IAvH</w:t>
      </w:r>
      <w:proofErr w:type="spellEnd"/>
      <w:r w:rsidR="00614468" w:rsidRPr="00B450EB">
        <w:rPr>
          <w:rFonts w:eastAsiaTheme="minorEastAsia" w:cs="Arial"/>
          <w:sz w:val="18"/>
          <w:szCs w:val="18"/>
        </w:rPr>
        <w:t>, 2025.</w:t>
      </w:r>
    </w:p>
    <w:p w14:paraId="382B38CC" w14:textId="39FEE3CC" w:rsidR="004B57EB" w:rsidRPr="00B450EB" w:rsidRDefault="00E57E56" w:rsidP="00A46BFF">
      <w:pPr>
        <w:pStyle w:val="Ttulo3"/>
        <w:numPr>
          <w:ilvl w:val="2"/>
          <w:numId w:val="16"/>
        </w:numPr>
        <w:tabs>
          <w:tab w:val="left" w:pos="1677"/>
        </w:tabs>
        <w:rPr>
          <w:rFonts w:cs="Arial"/>
          <w:iCs/>
        </w:rPr>
      </w:pPr>
      <w:bookmarkStart w:id="118" w:name="_Toc209722931"/>
      <w:r w:rsidRPr="00B450EB">
        <w:rPr>
          <w:rFonts w:cs="Arial"/>
        </w:rPr>
        <w:t xml:space="preserve">Consolidado de riqueza y </w:t>
      </w:r>
      <w:r w:rsidR="009B1237" w:rsidRPr="00B450EB">
        <w:rPr>
          <w:rFonts w:cs="Arial"/>
        </w:rPr>
        <w:t xml:space="preserve">amenaza de </w:t>
      </w:r>
      <w:r w:rsidRPr="00B450EB">
        <w:rPr>
          <w:rFonts w:cs="Arial"/>
        </w:rPr>
        <w:t>Flora y fauna en la Amazonía colombiana</w:t>
      </w:r>
      <w:bookmarkEnd w:id="118"/>
    </w:p>
    <w:p w14:paraId="2CD03A6C" w14:textId="3CB30312" w:rsidR="00950703" w:rsidRPr="00B450EB" w:rsidRDefault="00950703" w:rsidP="00950703">
      <w:pPr>
        <w:rPr>
          <w:i/>
          <w:iCs/>
          <w:u w:val="single"/>
        </w:rPr>
      </w:pPr>
      <w:r w:rsidRPr="00B450EB">
        <w:rPr>
          <w:i/>
          <w:iCs/>
          <w:u w:val="single"/>
        </w:rPr>
        <w:t>Riqueza total de especies</w:t>
      </w:r>
    </w:p>
    <w:p w14:paraId="2AB958EA" w14:textId="2373DDA5" w:rsidR="00950703" w:rsidRPr="00B450EB" w:rsidRDefault="00950703" w:rsidP="00950703">
      <w:pPr>
        <w:rPr>
          <w:rFonts w:cs="Arial"/>
          <w:iCs/>
        </w:rPr>
      </w:pPr>
      <w:r w:rsidRPr="00B450EB">
        <w:rPr>
          <w:rFonts w:cs="Arial"/>
          <w:iCs/>
        </w:rPr>
        <w:t>La vasta diversidad que presenta el bioma amazónico en Colombia se traduce en una alta concentración de modelos de distribución de especies de fauna y flora terrestres. Estos modelos evidencian cómo el Amazonas es uno de los territorios con mayor riqueza biológica del país, vital para la conservación y el equilibrio ecológico de la región y del planeta</w:t>
      </w:r>
      <w:r w:rsidRPr="00B450EB">
        <w:rPr>
          <w:rFonts w:cs="Arial"/>
        </w:rPr>
        <w:t xml:space="preserve"> (</w:t>
      </w:r>
      <w:r w:rsidRPr="00B450EB">
        <w:rPr>
          <w:rFonts w:cs="Arial"/>
        </w:rPr>
        <w:fldChar w:fldCharType="begin"/>
      </w:r>
      <w:r w:rsidRPr="00B450EB">
        <w:rPr>
          <w:rFonts w:cs="Arial"/>
        </w:rPr>
        <w:instrText xml:space="preserve"> REF _Ref209204740 \h  \* MERGEFORMAT </w:instrText>
      </w:r>
      <w:r w:rsidRPr="00B450EB">
        <w:rPr>
          <w:rFonts w:cs="Arial"/>
        </w:rPr>
      </w:r>
      <w:r w:rsidRPr="00B450EB">
        <w:rPr>
          <w:rFonts w:cs="Arial"/>
        </w:rPr>
        <w:fldChar w:fldCharType="separate"/>
      </w:r>
      <w:r w:rsidR="00010D09" w:rsidRPr="00B450EB">
        <w:t xml:space="preserve">Figura </w:t>
      </w:r>
      <w:r w:rsidR="00010D09" w:rsidRPr="00B450EB">
        <w:rPr>
          <w:noProof/>
        </w:rPr>
        <w:t>61</w:t>
      </w:r>
      <w:r w:rsidRPr="00B450EB">
        <w:rPr>
          <w:rFonts w:cs="Arial"/>
        </w:rPr>
        <w:fldChar w:fldCharType="end"/>
      </w:r>
      <w:r w:rsidRPr="00B450EB">
        <w:rPr>
          <w:rFonts w:cs="Arial"/>
        </w:rPr>
        <w:t xml:space="preserve">). </w:t>
      </w:r>
    </w:p>
    <w:p w14:paraId="2394D031" w14:textId="07A1FD2A" w:rsidR="00950703" w:rsidRPr="00B450EB" w:rsidRDefault="00950703" w:rsidP="00950703">
      <w:pPr>
        <w:pStyle w:val="Descripcin"/>
        <w:keepNext/>
        <w:rPr>
          <w:color w:val="auto"/>
        </w:rPr>
      </w:pPr>
      <w:bookmarkStart w:id="119" w:name="_Ref209204740"/>
      <w:bookmarkStart w:id="120" w:name="_Toc209462749"/>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61</w:t>
      </w:r>
      <w:r w:rsidR="0045353A" w:rsidRPr="00B450EB">
        <w:rPr>
          <w:noProof/>
          <w:color w:val="auto"/>
        </w:rPr>
        <w:fldChar w:fldCharType="end"/>
      </w:r>
      <w:bookmarkEnd w:id="119"/>
      <w:r w:rsidRPr="00B450EB">
        <w:rPr>
          <w:color w:val="auto"/>
        </w:rPr>
        <w:t>. Modelo de distribución de especies de fauna y flora terrestres en Colombia</w:t>
      </w:r>
      <w:r w:rsidRPr="00B450EB">
        <w:rPr>
          <w:noProof/>
          <w:color w:val="auto"/>
        </w:rPr>
        <w:t xml:space="preserve"> consolidado de los bio-modelos del Instituto Alexander von Humboldt</w:t>
      </w:r>
      <w:bookmarkEnd w:id="120"/>
    </w:p>
    <w:p w14:paraId="1F03B0B5" w14:textId="0D9448B2" w:rsidR="00950703" w:rsidRPr="00B450EB" w:rsidRDefault="004A3BD3" w:rsidP="003F3402">
      <w:pPr>
        <w:spacing w:after="0"/>
        <w:jc w:val="center"/>
        <w:rPr>
          <w:rFonts w:cs="Arial"/>
          <w:iCs/>
        </w:rPr>
      </w:pPr>
      <w:r w:rsidRPr="00B450EB">
        <w:rPr>
          <w:rFonts w:cs="Arial"/>
          <w:iCs/>
          <w:noProof/>
        </w:rPr>
        <w:drawing>
          <wp:inline distT="0" distB="0" distL="0" distR="0" wp14:anchorId="0CB5890B" wp14:editId="330EFC84">
            <wp:extent cx="4265457" cy="3295859"/>
            <wp:effectExtent l="0" t="0" r="1905" b="0"/>
            <wp:docPr id="1883164800"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164800" name="Imagen 2" descr="Mapa&#10;&#10;El contenido generado por IA puede ser incorrecto."/>
                    <pic:cNvPicPr/>
                  </pic:nvPicPr>
                  <pic:blipFill>
                    <a:blip r:embed="rId108" cstate="email">
                      <a:extLst>
                        <a:ext uri="{28A0092B-C50C-407E-A947-70E740481C1C}">
                          <a14:useLocalDpi xmlns:a14="http://schemas.microsoft.com/office/drawing/2010/main"/>
                        </a:ext>
                      </a:extLst>
                    </a:blip>
                    <a:stretch>
                      <a:fillRect/>
                    </a:stretch>
                  </pic:blipFill>
                  <pic:spPr>
                    <a:xfrm>
                      <a:off x="0" y="0"/>
                      <a:ext cx="4273061" cy="3301734"/>
                    </a:xfrm>
                    <a:prstGeom prst="rect">
                      <a:avLst/>
                    </a:prstGeom>
                  </pic:spPr>
                </pic:pic>
              </a:graphicData>
            </a:graphic>
          </wp:inline>
        </w:drawing>
      </w:r>
    </w:p>
    <w:p w14:paraId="79237AE1" w14:textId="4131229A" w:rsidR="002B315E" w:rsidRPr="00B450EB" w:rsidRDefault="00950703" w:rsidP="004A3BD3">
      <w:pPr>
        <w:jc w:val="center"/>
        <w:rPr>
          <w:rFonts w:cs="Arial"/>
          <w:iCs/>
          <w:sz w:val="20"/>
          <w:szCs w:val="20"/>
        </w:rPr>
      </w:pPr>
      <w:r w:rsidRPr="00B450EB">
        <w:rPr>
          <w:rFonts w:cs="Arial"/>
          <w:iCs/>
          <w:sz w:val="18"/>
          <w:szCs w:val="18"/>
        </w:rPr>
        <w:t xml:space="preserve">Fuente: Bio-modelos </w:t>
      </w:r>
      <w:proofErr w:type="spellStart"/>
      <w:r w:rsidRPr="00B450EB">
        <w:rPr>
          <w:rFonts w:cs="Arial"/>
          <w:iCs/>
          <w:sz w:val="18"/>
          <w:szCs w:val="18"/>
        </w:rPr>
        <w:t>IAvH</w:t>
      </w:r>
      <w:proofErr w:type="spellEnd"/>
      <w:r w:rsidRPr="00B450EB">
        <w:rPr>
          <w:rFonts w:cs="Arial"/>
          <w:iCs/>
          <w:sz w:val="18"/>
          <w:szCs w:val="18"/>
        </w:rPr>
        <w:t>, 2025</w:t>
      </w:r>
    </w:p>
    <w:p w14:paraId="0F1B9BA8" w14:textId="63CF6980" w:rsidR="00051300" w:rsidRPr="00B450EB" w:rsidRDefault="00051300" w:rsidP="00051300">
      <w:pPr>
        <w:rPr>
          <w:i/>
          <w:iCs/>
          <w:u w:val="single"/>
        </w:rPr>
      </w:pPr>
      <w:proofErr w:type="gramStart"/>
      <w:r w:rsidRPr="00B450EB">
        <w:rPr>
          <w:i/>
          <w:iCs/>
          <w:u w:val="single"/>
        </w:rPr>
        <w:lastRenderedPageBreak/>
        <w:t>Total</w:t>
      </w:r>
      <w:proofErr w:type="gramEnd"/>
      <w:r w:rsidRPr="00B450EB">
        <w:rPr>
          <w:i/>
          <w:iCs/>
          <w:u w:val="single"/>
        </w:rPr>
        <w:t xml:space="preserve"> de especies amenazadas por departamento</w:t>
      </w:r>
    </w:p>
    <w:p w14:paraId="23F0151A" w14:textId="77777777" w:rsidR="00C43FD9" w:rsidRPr="00B450EB" w:rsidRDefault="00C43FD9" w:rsidP="00C43FD9">
      <w:pPr>
        <w:rPr>
          <w:rFonts w:cs="Arial"/>
          <w:i/>
        </w:rPr>
      </w:pPr>
      <w:r w:rsidRPr="00B450EB">
        <w:rPr>
          <w:rFonts w:cs="Arial"/>
          <w:i/>
        </w:rPr>
        <w:t>Departamento de Amazonas</w:t>
      </w:r>
    </w:p>
    <w:p w14:paraId="08AC25B4" w14:textId="6C804009" w:rsidR="00C43FD9" w:rsidRPr="00B450EB" w:rsidRDefault="00C43FD9" w:rsidP="00C43FD9">
      <w:pPr>
        <w:rPr>
          <w:rFonts w:cs="Arial"/>
        </w:rPr>
      </w:pPr>
      <w:r w:rsidRPr="00B450EB">
        <w:rPr>
          <w:rFonts w:cs="Arial"/>
        </w:rPr>
        <w:t>De las 79.828 especies observadas en Colombia, el departamento de Amazonas aporta 11.382 especies, equivalentes al 14.3%</w:t>
      </w:r>
      <w:r w:rsidR="00F60306" w:rsidRPr="00B450EB">
        <w:rPr>
          <w:rFonts w:cs="Arial"/>
        </w:rPr>
        <w:t>, de las cuales</w:t>
      </w:r>
      <w:r w:rsidRPr="00B450EB">
        <w:rPr>
          <w:rFonts w:cs="Arial"/>
        </w:rPr>
        <w:t xml:space="preserve"> 176 especies son endémicas</w:t>
      </w:r>
      <w:r w:rsidR="00F60306" w:rsidRPr="00B450EB">
        <w:rPr>
          <w:rFonts w:cs="Arial"/>
        </w:rPr>
        <w:t xml:space="preserve">. </w:t>
      </w:r>
      <w:r w:rsidRPr="00B450EB">
        <w:rPr>
          <w:rFonts w:cs="Arial"/>
        </w:rPr>
        <w:t xml:space="preserve">Adicionalmente y de conformidad con la Resolución </w:t>
      </w:r>
      <w:r w:rsidR="00251A25" w:rsidRPr="00B450EB">
        <w:rPr>
          <w:rFonts w:cs="Arial"/>
        </w:rPr>
        <w:t>0</w:t>
      </w:r>
      <w:r w:rsidRPr="00B450EB">
        <w:rPr>
          <w:rFonts w:cs="Arial"/>
        </w:rPr>
        <w:t>126 de 20</w:t>
      </w:r>
      <w:r w:rsidR="00251A25" w:rsidRPr="00B450EB">
        <w:rPr>
          <w:rFonts w:cs="Arial"/>
        </w:rPr>
        <w:t>2</w:t>
      </w:r>
      <w:r w:rsidRPr="00B450EB">
        <w:rPr>
          <w:rFonts w:cs="Arial"/>
        </w:rPr>
        <w:t xml:space="preserve">4 por medio de la cual se definió el listado de especies amenazadas para Colombia, 67 especies se encuentran en categoría de amenaza, encontrándose 5 especies en categoría Critica (CR), 18 En Peligro </w:t>
      </w:r>
      <w:r w:rsidR="00DA4863" w:rsidRPr="00B450EB">
        <w:rPr>
          <w:rFonts w:cs="Arial"/>
        </w:rPr>
        <w:t xml:space="preserve">(EN) </w:t>
      </w:r>
      <w:r w:rsidRPr="00B450EB">
        <w:rPr>
          <w:rFonts w:cs="Arial"/>
        </w:rPr>
        <w:t>y 44 en categoría Vulnerable</w:t>
      </w:r>
      <w:r w:rsidR="00DA4863" w:rsidRPr="00B450EB">
        <w:rPr>
          <w:rFonts w:cs="Arial"/>
        </w:rPr>
        <w:t xml:space="preserve"> (VU)</w:t>
      </w:r>
      <w:r w:rsidR="00064FF5" w:rsidRPr="00B450EB">
        <w:rPr>
          <w:rFonts w:cs="Arial"/>
        </w:rPr>
        <w:t>.</w:t>
      </w:r>
      <w:r w:rsidRPr="00B450EB">
        <w:rPr>
          <w:rFonts w:cs="Arial"/>
        </w:rPr>
        <w:t xml:space="preserve"> </w:t>
      </w:r>
    </w:p>
    <w:p w14:paraId="09AAEEC0" w14:textId="13F125CA" w:rsidR="00C43FD9" w:rsidRPr="00B450EB" w:rsidRDefault="00C43FD9" w:rsidP="00C43FD9">
      <w:pPr>
        <w:rPr>
          <w:rFonts w:cs="Arial"/>
        </w:rPr>
      </w:pPr>
      <w:r w:rsidRPr="00B450EB">
        <w:rPr>
          <w:rFonts w:cs="Arial"/>
        </w:rPr>
        <w:t xml:space="preserve">Por otra parte, según el Sistema de Información en Biodiversidad </w:t>
      </w:r>
      <w:r w:rsidR="001E303B" w:rsidRPr="00B450EB">
        <w:rPr>
          <w:rFonts w:cs="Arial"/>
        </w:rPr>
        <w:t xml:space="preserve">(SIB) </w:t>
      </w:r>
      <w:r w:rsidRPr="00B450EB">
        <w:rPr>
          <w:rFonts w:cs="Arial"/>
        </w:rPr>
        <w:t xml:space="preserve">se han reportado 304 especies en alguno de los apéndices de la Convención CITES 17 especies en Apéndice I, 274 especies en Apéndice II y 13 especies en apéndice III. La alta biodiversidad puede ser evidenciada en 71 especies de aves migratorias de conformidad al reporte del Sistema de información en Biodiversidad. </w:t>
      </w:r>
      <w:r w:rsidR="00DB2756" w:rsidRPr="00B450EB">
        <w:rPr>
          <w:rFonts w:cs="Arial"/>
        </w:rPr>
        <w:t>También</w:t>
      </w:r>
      <w:r w:rsidRPr="00B450EB">
        <w:rPr>
          <w:rFonts w:cs="Arial"/>
        </w:rPr>
        <w:t xml:space="preserve"> resalta la presencia en el departamento de 193 especies exóticas observadas, las cuales representan un grupo de especies que requieren de un análisis y manejo diferencial por los riesgos y competencia que pueden desarrollar en ecosistemas naturales. </w:t>
      </w:r>
    </w:p>
    <w:p w14:paraId="7E9F57DD" w14:textId="77777777" w:rsidR="00C43FD9" w:rsidRPr="00B450EB" w:rsidRDefault="00C43FD9" w:rsidP="00C43FD9">
      <w:pPr>
        <w:rPr>
          <w:rFonts w:cs="Arial"/>
          <w:i/>
        </w:rPr>
      </w:pPr>
      <w:r w:rsidRPr="00B450EB">
        <w:rPr>
          <w:rFonts w:cs="Arial"/>
          <w:i/>
        </w:rPr>
        <w:t>Departamento de Caquetá</w:t>
      </w:r>
    </w:p>
    <w:p w14:paraId="561E1F2E" w14:textId="309667FC" w:rsidR="00C43FD9" w:rsidRPr="00B450EB" w:rsidRDefault="001E303B" w:rsidP="00C43FD9">
      <w:pPr>
        <w:rPr>
          <w:rFonts w:cs="Arial"/>
        </w:rPr>
      </w:pPr>
      <w:r w:rsidRPr="00B450EB">
        <w:rPr>
          <w:rFonts w:cs="Arial"/>
        </w:rPr>
        <w:t xml:space="preserve">Las </w:t>
      </w:r>
      <w:r w:rsidR="00C43FD9" w:rsidRPr="00B450EB">
        <w:rPr>
          <w:rFonts w:cs="Arial"/>
        </w:rPr>
        <w:t>11</w:t>
      </w:r>
      <w:r w:rsidR="00A809AF" w:rsidRPr="00B450EB">
        <w:rPr>
          <w:rFonts w:cs="Arial"/>
        </w:rPr>
        <w:t>.</w:t>
      </w:r>
      <w:r w:rsidR="00C43FD9" w:rsidRPr="00B450EB">
        <w:rPr>
          <w:rFonts w:cs="Arial"/>
        </w:rPr>
        <w:t xml:space="preserve">105 especies registradas </w:t>
      </w:r>
      <w:r w:rsidRPr="00B450EB">
        <w:rPr>
          <w:rFonts w:cs="Arial"/>
        </w:rPr>
        <w:t xml:space="preserve">contenidos en el SIB </w:t>
      </w:r>
      <w:r w:rsidR="00C43FD9" w:rsidRPr="00B450EB">
        <w:rPr>
          <w:rFonts w:cs="Arial"/>
        </w:rPr>
        <w:t>equivalen al 13.9% de</w:t>
      </w:r>
      <w:r w:rsidR="00C06755" w:rsidRPr="00B450EB">
        <w:rPr>
          <w:rFonts w:cs="Arial"/>
        </w:rPr>
        <w:t xml:space="preserve">l observado nacional, y </w:t>
      </w:r>
      <w:r w:rsidR="00C43FD9" w:rsidRPr="00B450EB">
        <w:rPr>
          <w:rFonts w:cs="Arial"/>
        </w:rPr>
        <w:t>de estas</w:t>
      </w:r>
      <w:r w:rsidR="00C06755" w:rsidRPr="00B450EB">
        <w:rPr>
          <w:rFonts w:cs="Arial"/>
        </w:rPr>
        <w:t>,</w:t>
      </w:r>
      <w:r w:rsidR="00C43FD9" w:rsidRPr="00B450EB">
        <w:rPr>
          <w:rFonts w:cs="Arial"/>
        </w:rPr>
        <w:t xml:space="preserve"> 371 especies son endémicas. </w:t>
      </w:r>
      <w:r w:rsidR="00F61E3B" w:rsidRPr="00B450EB">
        <w:rPr>
          <w:rFonts w:cs="Arial"/>
        </w:rPr>
        <w:t>Con respecto a e</w:t>
      </w:r>
      <w:r w:rsidR="00C43FD9" w:rsidRPr="00B450EB">
        <w:rPr>
          <w:rFonts w:cs="Arial"/>
        </w:rPr>
        <w:t>species amenazadas</w:t>
      </w:r>
      <w:r w:rsidR="00F61E3B" w:rsidRPr="00B450EB">
        <w:rPr>
          <w:rFonts w:cs="Arial"/>
        </w:rPr>
        <w:t>,</w:t>
      </w:r>
      <w:r w:rsidR="00C43FD9" w:rsidRPr="00B450EB">
        <w:rPr>
          <w:rFonts w:cs="Arial"/>
        </w:rPr>
        <w:t xml:space="preserve"> 18 especies se encuentran en peligro de crítico, 35 especies en peligro y 54 especies en categoría Vulnerable. Por otra parte, se encuentran registradas 379 especies en alguno de los apéndices de la </w:t>
      </w:r>
      <w:r w:rsidR="00974261" w:rsidRPr="00B450EB">
        <w:rPr>
          <w:rFonts w:cs="Arial"/>
        </w:rPr>
        <w:t>convención</w:t>
      </w:r>
      <w:r w:rsidR="00C43FD9" w:rsidRPr="00B450EB">
        <w:rPr>
          <w:rFonts w:cs="Arial"/>
        </w:rPr>
        <w:t xml:space="preserve"> </w:t>
      </w:r>
      <w:r w:rsidR="00F61E3B" w:rsidRPr="00B450EB">
        <w:rPr>
          <w:rFonts w:cs="Arial"/>
        </w:rPr>
        <w:t>CITES</w:t>
      </w:r>
      <w:r w:rsidR="00A622FA" w:rsidRPr="00B450EB">
        <w:rPr>
          <w:rFonts w:cs="Arial"/>
        </w:rPr>
        <w:t>, así como</w:t>
      </w:r>
      <w:r w:rsidR="00C43FD9" w:rsidRPr="00B450EB">
        <w:rPr>
          <w:rFonts w:cs="Arial"/>
        </w:rPr>
        <w:t xml:space="preserve"> 236 especies ex</w:t>
      </w:r>
      <w:r w:rsidR="00A622FA" w:rsidRPr="00B450EB">
        <w:rPr>
          <w:rFonts w:cs="Arial"/>
        </w:rPr>
        <w:t>ó</w:t>
      </w:r>
      <w:r w:rsidR="00C43FD9" w:rsidRPr="00B450EB">
        <w:rPr>
          <w:rFonts w:cs="Arial"/>
        </w:rPr>
        <w:t xml:space="preserve">ticas. </w:t>
      </w:r>
    </w:p>
    <w:p w14:paraId="53AC1D35" w14:textId="3E4E7341" w:rsidR="00C43FD9" w:rsidRPr="00B450EB" w:rsidRDefault="00C43FD9" w:rsidP="003F3402">
      <w:pPr>
        <w:rPr>
          <w:rFonts w:cs="Arial"/>
          <w:i/>
        </w:rPr>
      </w:pPr>
      <w:r w:rsidRPr="00B450EB">
        <w:rPr>
          <w:rFonts w:cs="Arial"/>
          <w:i/>
        </w:rPr>
        <w:t>Departamento del Guainía</w:t>
      </w:r>
    </w:p>
    <w:p w14:paraId="4435DF6E" w14:textId="5FFDDBC2" w:rsidR="00C43FD9" w:rsidRPr="00B450EB" w:rsidRDefault="00C43FD9" w:rsidP="00C43FD9">
      <w:pPr>
        <w:rPr>
          <w:rFonts w:cs="Arial"/>
        </w:rPr>
      </w:pPr>
      <w:r w:rsidRPr="00B450EB">
        <w:rPr>
          <w:rFonts w:cs="Arial"/>
        </w:rPr>
        <w:t>E</w:t>
      </w:r>
      <w:r w:rsidR="00D1514B" w:rsidRPr="00B450EB">
        <w:rPr>
          <w:rFonts w:cs="Arial"/>
        </w:rPr>
        <w:t>n el d</w:t>
      </w:r>
      <w:r w:rsidRPr="00B450EB">
        <w:rPr>
          <w:rFonts w:cs="Arial"/>
        </w:rPr>
        <w:t>epartamento del Guain</w:t>
      </w:r>
      <w:r w:rsidR="00D1514B" w:rsidRPr="00B450EB">
        <w:rPr>
          <w:rFonts w:cs="Arial"/>
        </w:rPr>
        <w:t>í</w:t>
      </w:r>
      <w:r w:rsidRPr="00B450EB">
        <w:rPr>
          <w:rFonts w:cs="Arial"/>
        </w:rPr>
        <w:t xml:space="preserve">a </w:t>
      </w:r>
      <w:r w:rsidR="00D1514B" w:rsidRPr="00B450EB">
        <w:rPr>
          <w:rFonts w:cs="Arial"/>
        </w:rPr>
        <w:t>se han reportado</w:t>
      </w:r>
      <w:r w:rsidRPr="00B450EB">
        <w:rPr>
          <w:rFonts w:cs="Arial"/>
        </w:rPr>
        <w:t xml:space="preserve"> 4</w:t>
      </w:r>
      <w:r w:rsidR="002427BC" w:rsidRPr="00B450EB">
        <w:rPr>
          <w:rFonts w:cs="Arial"/>
        </w:rPr>
        <w:t>.</w:t>
      </w:r>
      <w:r w:rsidRPr="00B450EB">
        <w:rPr>
          <w:rFonts w:cs="Arial"/>
        </w:rPr>
        <w:t xml:space="preserve">223 especies </w:t>
      </w:r>
      <w:r w:rsidR="00D1514B" w:rsidRPr="00B450EB">
        <w:rPr>
          <w:rFonts w:cs="Arial"/>
        </w:rPr>
        <w:t>que constituyen el 5.3% de</w:t>
      </w:r>
      <w:r w:rsidRPr="00B450EB">
        <w:rPr>
          <w:rFonts w:cs="Arial"/>
        </w:rPr>
        <w:t xml:space="preserve">l total </w:t>
      </w:r>
      <w:r w:rsidR="00D1514B" w:rsidRPr="00B450EB">
        <w:rPr>
          <w:rFonts w:cs="Arial"/>
        </w:rPr>
        <w:t xml:space="preserve">nacional y </w:t>
      </w:r>
      <w:r w:rsidRPr="00B450EB">
        <w:rPr>
          <w:rFonts w:cs="Arial"/>
        </w:rPr>
        <w:t>de las cuales 44 son especies endémicas. Se ha</w:t>
      </w:r>
      <w:r w:rsidR="00D1514B" w:rsidRPr="00B450EB">
        <w:rPr>
          <w:rFonts w:cs="Arial"/>
        </w:rPr>
        <w:t>n</w:t>
      </w:r>
      <w:r w:rsidRPr="00B450EB">
        <w:rPr>
          <w:rFonts w:cs="Arial"/>
        </w:rPr>
        <w:t xml:space="preserve"> registrado a </w:t>
      </w:r>
      <w:r w:rsidR="00D1514B" w:rsidRPr="00B450EB">
        <w:rPr>
          <w:rFonts w:cs="Arial"/>
        </w:rPr>
        <w:t>través</w:t>
      </w:r>
      <w:r w:rsidRPr="00B450EB">
        <w:rPr>
          <w:rFonts w:cs="Arial"/>
        </w:rPr>
        <w:t xml:space="preserve"> del </w:t>
      </w:r>
      <w:proofErr w:type="spellStart"/>
      <w:r w:rsidRPr="00B450EB">
        <w:rPr>
          <w:rFonts w:cs="Arial"/>
        </w:rPr>
        <w:t>Si</w:t>
      </w:r>
      <w:r w:rsidR="00F61E3B" w:rsidRPr="00B450EB">
        <w:rPr>
          <w:rFonts w:cs="Arial"/>
        </w:rPr>
        <w:t>B</w:t>
      </w:r>
      <w:proofErr w:type="spellEnd"/>
      <w:r w:rsidRPr="00B450EB">
        <w:rPr>
          <w:rFonts w:cs="Arial"/>
        </w:rPr>
        <w:t xml:space="preserve"> Colombia 27 especies amenazadas a nivel nacional</w:t>
      </w:r>
      <w:r w:rsidR="00D1514B" w:rsidRPr="00B450EB">
        <w:rPr>
          <w:rFonts w:cs="Arial"/>
        </w:rPr>
        <w:t xml:space="preserve"> </w:t>
      </w:r>
      <w:r w:rsidR="00915DAF" w:rsidRPr="00B450EB">
        <w:rPr>
          <w:rFonts w:cs="Arial"/>
        </w:rPr>
        <w:t>(</w:t>
      </w:r>
      <w:r w:rsidRPr="00B450EB">
        <w:rPr>
          <w:rFonts w:cs="Arial"/>
        </w:rPr>
        <w:t xml:space="preserve">4 estado </w:t>
      </w:r>
      <w:r w:rsidR="00915DAF" w:rsidRPr="00B450EB">
        <w:rPr>
          <w:rFonts w:cs="Arial"/>
        </w:rPr>
        <w:t>crítico</w:t>
      </w:r>
      <w:r w:rsidRPr="00B450EB">
        <w:rPr>
          <w:rFonts w:cs="Arial"/>
        </w:rPr>
        <w:t xml:space="preserve">, 6 en peligro y 17 </w:t>
      </w:r>
      <w:r w:rsidR="00915DAF" w:rsidRPr="00B450EB">
        <w:rPr>
          <w:rFonts w:cs="Arial"/>
        </w:rPr>
        <w:t>v</w:t>
      </w:r>
      <w:r w:rsidRPr="00B450EB">
        <w:rPr>
          <w:rFonts w:cs="Arial"/>
        </w:rPr>
        <w:t>ulnerable</w:t>
      </w:r>
      <w:r w:rsidR="00915DAF" w:rsidRPr="00B450EB">
        <w:rPr>
          <w:rFonts w:cs="Arial"/>
        </w:rPr>
        <w:t>s)</w:t>
      </w:r>
      <w:r w:rsidRPr="00B450EB">
        <w:rPr>
          <w:rFonts w:cs="Arial"/>
        </w:rPr>
        <w:t>. As</w:t>
      </w:r>
      <w:r w:rsidR="00915DAF" w:rsidRPr="00B450EB">
        <w:rPr>
          <w:rFonts w:cs="Arial"/>
        </w:rPr>
        <w:t>í</w:t>
      </w:r>
      <w:r w:rsidRPr="00B450EB">
        <w:rPr>
          <w:rFonts w:cs="Arial"/>
        </w:rPr>
        <w:t xml:space="preserve"> mismo</w:t>
      </w:r>
      <w:r w:rsidR="00915DAF" w:rsidRPr="00B450EB">
        <w:rPr>
          <w:rFonts w:cs="Arial"/>
        </w:rPr>
        <w:t>,</w:t>
      </w:r>
      <w:r w:rsidRPr="00B450EB">
        <w:rPr>
          <w:rFonts w:cs="Arial"/>
        </w:rPr>
        <w:t xml:space="preserve"> se han observado 187 especies CITES y 62 especies exóticas. </w:t>
      </w:r>
    </w:p>
    <w:p w14:paraId="61C96862" w14:textId="77777777" w:rsidR="00C43FD9" w:rsidRPr="00B450EB" w:rsidRDefault="00C43FD9" w:rsidP="00C43FD9">
      <w:pPr>
        <w:pStyle w:val="Textoindependiente"/>
        <w:rPr>
          <w:rFonts w:ascii="Arial" w:hAnsi="Arial" w:cs="Arial"/>
          <w:i/>
          <w:sz w:val="24"/>
          <w:szCs w:val="24"/>
        </w:rPr>
      </w:pPr>
      <w:r w:rsidRPr="00B450EB">
        <w:rPr>
          <w:rFonts w:ascii="Arial" w:hAnsi="Arial" w:cs="Arial"/>
          <w:i/>
          <w:sz w:val="24"/>
          <w:szCs w:val="24"/>
        </w:rPr>
        <w:t>Departamento del Guaviare</w:t>
      </w:r>
    </w:p>
    <w:p w14:paraId="06B66740" w14:textId="77777777" w:rsidR="00C43FD9" w:rsidRPr="00B450EB" w:rsidRDefault="00C43FD9" w:rsidP="00C43FD9">
      <w:pPr>
        <w:pStyle w:val="Textoindependiente"/>
        <w:rPr>
          <w:rFonts w:ascii="Arial" w:hAnsi="Arial" w:cs="Arial"/>
          <w:b/>
          <w:sz w:val="24"/>
          <w:szCs w:val="24"/>
        </w:rPr>
      </w:pPr>
    </w:p>
    <w:p w14:paraId="1EA3A817" w14:textId="1D310EEF" w:rsidR="00C43FD9" w:rsidRPr="00B450EB" w:rsidRDefault="00C43FD9" w:rsidP="003F3402">
      <w:r w:rsidRPr="00B450EB">
        <w:t>El Departamento aporta 4</w:t>
      </w:r>
      <w:r w:rsidR="002427BC" w:rsidRPr="00B450EB">
        <w:t>.</w:t>
      </w:r>
      <w:r w:rsidRPr="00B450EB">
        <w:t>639 especies observadas</w:t>
      </w:r>
      <w:r w:rsidR="002427BC" w:rsidRPr="00B450EB">
        <w:t>,</w:t>
      </w:r>
      <w:r w:rsidRPr="00B450EB">
        <w:t xml:space="preserve"> correspondiente</w:t>
      </w:r>
      <w:r w:rsidR="002427BC" w:rsidRPr="00B450EB">
        <w:t>s</w:t>
      </w:r>
      <w:r w:rsidRPr="00B450EB">
        <w:t xml:space="preserve"> a un 5.8% del total de las especies reportadas para el país</w:t>
      </w:r>
      <w:r w:rsidR="00BB4640" w:rsidRPr="00B450EB">
        <w:t xml:space="preserve"> y</w:t>
      </w:r>
      <w:r w:rsidRPr="00B450EB">
        <w:t xml:space="preserve"> de </w:t>
      </w:r>
      <w:r w:rsidR="00BB4640" w:rsidRPr="00B450EB">
        <w:t>las cuales</w:t>
      </w:r>
      <w:r w:rsidRPr="00B450EB">
        <w:t xml:space="preserve"> 87 especies son </w:t>
      </w:r>
      <w:r w:rsidRPr="00B450EB">
        <w:lastRenderedPageBreak/>
        <w:t>end</w:t>
      </w:r>
      <w:r w:rsidR="00F61E3B" w:rsidRPr="00B450EB">
        <w:t>é</w:t>
      </w:r>
      <w:r w:rsidRPr="00B450EB">
        <w:t>micas</w:t>
      </w:r>
      <w:r w:rsidR="00BB4640" w:rsidRPr="00B450EB">
        <w:t>,</w:t>
      </w:r>
      <w:r w:rsidRPr="00B450EB">
        <w:t xml:space="preserve"> 31 </w:t>
      </w:r>
      <w:r w:rsidR="00BB4640" w:rsidRPr="00B450EB">
        <w:t>están</w:t>
      </w:r>
      <w:r w:rsidRPr="00B450EB">
        <w:t xml:space="preserve"> amenazadas a nivel nacional (3 CR</w:t>
      </w:r>
      <w:r w:rsidR="00BB4640" w:rsidRPr="00B450EB">
        <w:t>,</w:t>
      </w:r>
      <w:r w:rsidRPr="00B450EB">
        <w:t xml:space="preserve"> 7 EN</w:t>
      </w:r>
      <w:r w:rsidR="00BB4640" w:rsidRPr="00B450EB">
        <w:t>,</w:t>
      </w:r>
      <w:r w:rsidRPr="00B450EB">
        <w:t xml:space="preserve"> 21 VU), 182 </w:t>
      </w:r>
      <w:r w:rsidR="00BB4640" w:rsidRPr="00B450EB">
        <w:t>est</w:t>
      </w:r>
      <w:r w:rsidR="00064FF5" w:rsidRPr="00B450EB">
        <w:t>á</w:t>
      </w:r>
      <w:r w:rsidR="00BB4640" w:rsidRPr="00B450EB">
        <w:t>n</w:t>
      </w:r>
      <w:r w:rsidRPr="00B450EB">
        <w:t xml:space="preserve"> registradas </w:t>
      </w:r>
      <w:r w:rsidR="00BB4640" w:rsidRPr="00B450EB">
        <w:t>en</w:t>
      </w:r>
      <w:r w:rsidRPr="00B450EB">
        <w:t xml:space="preserve"> Cites y 91 </w:t>
      </w:r>
      <w:r w:rsidR="00BB4640" w:rsidRPr="00B450EB">
        <w:t>son</w:t>
      </w:r>
      <w:r w:rsidRPr="00B450EB">
        <w:t xml:space="preserve"> exóticas. </w:t>
      </w:r>
    </w:p>
    <w:p w14:paraId="5E460126" w14:textId="5B8C0A83" w:rsidR="00F924CA" w:rsidRPr="00B450EB" w:rsidRDefault="00F924CA" w:rsidP="00F924CA">
      <w:pPr>
        <w:rPr>
          <w:rFonts w:cs="Arial"/>
          <w:i/>
        </w:rPr>
      </w:pPr>
      <w:r w:rsidRPr="00B450EB">
        <w:rPr>
          <w:rFonts w:cs="Arial"/>
          <w:i/>
        </w:rPr>
        <w:t xml:space="preserve">Departamento del Putumayo </w:t>
      </w:r>
    </w:p>
    <w:p w14:paraId="3EA6EDAB" w14:textId="77777777" w:rsidR="00F924CA" w:rsidRPr="00B450EB" w:rsidRDefault="00F924CA" w:rsidP="00F924CA">
      <w:pPr>
        <w:rPr>
          <w:rFonts w:cs="Arial"/>
        </w:rPr>
      </w:pPr>
      <w:r w:rsidRPr="00B450EB">
        <w:rPr>
          <w:rFonts w:cs="Arial"/>
        </w:rPr>
        <w:t xml:space="preserve">Del conteo nacional (79.828 especies de flora y fauna), el departamento de Putumayo aporta 8.763 equivalentes a 11% y de las cuales 345 especies son endémicas. Para el departamento se encuentran reportadas 131 especies en alguna categoría de amenaza, (15 CR, 44 EN y 72 VU), 442 especies están en CITES y 215 especies son exóticas. </w:t>
      </w:r>
    </w:p>
    <w:p w14:paraId="50006464" w14:textId="5D60130D" w:rsidR="00C43FD9" w:rsidRPr="00B450EB" w:rsidRDefault="00C43FD9" w:rsidP="00C43FD9">
      <w:pPr>
        <w:rPr>
          <w:rFonts w:cs="Arial"/>
          <w:i/>
        </w:rPr>
      </w:pPr>
      <w:r w:rsidRPr="00B450EB">
        <w:rPr>
          <w:rFonts w:cs="Arial"/>
          <w:i/>
        </w:rPr>
        <w:t>Departamento del Vaupés</w:t>
      </w:r>
    </w:p>
    <w:p w14:paraId="3A18394E" w14:textId="2F3AEA14" w:rsidR="00C43FD9" w:rsidRPr="00B450EB" w:rsidRDefault="00C43FD9" w:rsidP="00C43FD9">
      <w:pPr>
        <w:rPr>
          <w:rFonts w:cs="Arial"/>
        </w:rPr>
      </w:pPr>
      <w:r w:rsidRPr="00B450EB">
        <w:rPr>
          <w:rFonts w:cs="Arial"/>
        </w:rPr>
        <w:t>El departamento</w:t>
      </w:r>
      <w:r w:rsidR="00064FF5" w:rsidRPr="00B450EB">
        <w:rPr>
          <w:rFonts w:cs="Arial"/>
        </w:rPr>
        <w:t xml:space="preserve"> del Vaupés</w:t>
      </w:r>
      <w:r w:rsidRPr="00B450EB">
        <w:rPr>
          <w:rFonts w:cs="Arial"/>
        </w:rPr>
        <w:t xml:space="preserve"> aporta 6520 especies, equivalentes a</w:t>
      </w:r>
      <w:r w:rsidR="00951CD6" w:rsidRPr="00B450EB">
        <w:rPr>
          <w:rFonts w:cs="Arial"/>
        </w:rPr>
        <w:t>l</w:t>
      </w:r>
      <w:r w:rsidRPr="00B450EB">
        <w:rPr>
          <w:rFonts w:cs="Arial"/>
        </w:rPr>
        <w:t xml:space="preserve"> 8.2% de </w:t>
      </w:r>
      <w:r w:rsidR="00951CD6" w:rsidRPr="00B450EB">
        <w:rPr>
          <w:rFonts w:cs="Arial"/>
        </w:rPr>
        <w:t>las especies a nivel nacional, con</w:t>
      </w:r>
      <w:r w:rsidRPr="00B450EB">
        <w:rPr>
          <w:rFonts w:cs="Arial"/>
        </w:rPr>
        <w:t xml:space="preserve"> 152 especies </w:t>
      </w:r>
      <w:r w:rsidR="003F1419" w:rsidRPr="00B450EB">
        <w:rPr>
          <w:rFonts w:cs="Arial"/>
        </w:rPr>
        <w:t>endémicas</w:t>
      </w:r>
      <w:r w:rsidRPr="00B450EB">
        <w:rPr>
          <w:rFonts w:cs="Arial"/>
        </w:rPr>
        <w:t>, 30 especies amenazadas (4 CR, 6 E</w:t>
      </w:r>
      <w:r w:rsidR="00951CD6" w:rsidRPr="00B450EB">
        <w:rPr>
          <w:rFonts w:cs="Arial"/>
        </w:rPr>
        <w:t>N</w:t>
      </w:r>
      <w:r w:rsidRPr="00B450EB">
        <w:rPr>
          <w:rFonts w:cs="Arial"/>
        </w:rPr>
        <w:t xml:space="preserve"> y 20 VU), 239 especies CITES y 79 especies </w:t>
      </w:r>
      <w:r w:rsidR="003F1419" w:rsidRPr="00B450EB">
        <w:rPr>
          <w:rFonts w:cs="Arial"/>
        </w:rPr>
        <w:t>exóticas</w:t>
      </w:r>
      <w:r w:rsidRPr="00B450EB">
        <w:rPr>
          <w:rFonts w:cs="Arial"/>
        </w:rPr>
        <w:t xml:space="preserve">. </w:t>
      </w:r>
    </w:p>
    <w:p w14:paraId="5781CEF1" w14:textId="77777777" w:rsidR="0094244E" w:rsidRPr="00B450EB" w:rsidRDefault="0094244E" w:rsidP="0094244E">
      <w:pPr>
        <w:rPr>
          <w:rFonts w:cs="Arial"/>
          <w:i/>
        </w:rPr>
      </w:pPr>
      <w:r w:rsidRPr="00B450EB">
        <w:rPr>
          <w:rFonts w:cs="Arial"/>
          <w:i/>
        </w:rPr>
        <w:t>Departamento del Vichada</w:t>
      </w:r>
    </w:p>
    <w:p w14:paraId="4C1B89C9" w14:textId="1DD01B90" w:rsidR="0094244E" w:rsidRPr="00B450EB" w:rsidRDefault="0094244E" w:rsidP="00C43FD9">
      <w:pPr>
        <w:rPr>
          <w:rFonts w:cs="Arial"/>
        </w:rPr>
      </w:pPr>
      <w:r w:rsidRPr="00B450EB">
        <w:t>El departamento aporta 4814 especies, equivalentes al 6 % de estas 68 son especies endémicas, se registran 37 especies amenazadas (2 (CR), 10 (En) y 25 (VU)), de igual forma se han reportado 208 especies CITES y 91 especies exóticas.</w:t>
      </w:r>
    </w:p>
    <w:p w14:paraId="06DB8C67" w14:textId="6C8C2939" w:rsidR="006B345A" w:rsidRPr="00B450EB" w:rsidRDefault="006B345A" w:rsidP="00C43FD9">
      <w:pPr>
        <w:rPr>
          <w:rFonts w:cs="Arial"/>
        </w:rPr>
      </w:pPr>
      <w:r w:rsidRPr="00B450EB">
        <w:rPr>
          <w:rFonts w:cs="Arial"/>
        </w:rPr>
        <w:t xml:space="preserve">Basados </w:t>
      </w:r>
      <w:r w:rsidR="00155457" w:rsidRPr="00B450EB">
        <w:rPr>
          <w:rFonts w:cs="Arial"/>
        </w:rPr>
        <w:t>en las cifras por departamento, se evidencia una mayor cantidad de especies endémi</w:t>
      </w:r>
      <w:r w:rsidR="00CE1F4A" w:rsidRPr="00B450EB">
        <w:rPr>
          <w:rFonts w:cs="Arial"/>
        </w:rPr>
        <w:t xml:space="preserve">cas y amenazadas hacia el Caquetá y Putumayo, </w:t>
      </w:r>
      <w:r w:rsidR="00385229" w:rsidRPr="00B450EB">
        <w:rPr>
          <w:rFonts w:cs="Arial"/>
        </w:rPr>
        <w:t>aun por encima del Amazonas (departamento), a pesar de su mayor número de especies presentes, lo cual refuerza la necesidad de tomar acciones</w:t>
      </w:r>
      <w:r w:rsidR="001544CE" w:rsidRPr="00B450EB">
        <w:rPr>
          <w:rFonts w:cs="Arial"/>
        </w:rPr>
        <w:t xml:space="preserve"> considerando la totalidad del bioma. Esto incrementa, si se tiene en cuenta que el efecto de muestreo puede estar incidiendo en las cifras reportadas para departamentos con áreas</w:t>
      </w:r>
      <w:r w:rsidR="00077FFB" w:rsidRPr="00B450EB">
        <w:rPr>
          <w:rFonts w:cs="Arial"/>
        </w:rPr>
        <w:t xml:space="preserve"> de más difícil acceso y menos exploradas como Guainía, Guaviare y Vaupés (</w:t>
      </w:r>
      <w:r w:rsidR="00190E4A" w:rsidRPr="00B450EB">
        <w:rPr>
          <w:rFonts w:cs="Arial"/>
        </w:rPr>
        <w:fldChar w:fldCharType="begin"/>
      </w:r>
      <w:r w:rsidR="00190E4A" w:rsidRPr="00B450EB">
        <w:rPr>
          <w:rFonts w:cs="Arial"/>
        </w:rPr>
        <w:instrText xml:space="preserve"> REF _Ref209116380 \h </w:instrText>
      </w:r>
      <w:r w:rsidR="00A46BFF" w:rsidRPr="00B450EB">
        <w:rPr>
          <w:rFonts w:cs="Arial"/>
        </w:rPr>
        <w:instrText xml:space="preserve"> \* MERGEFORMAT </w:instrText>
      </w:r>
      <w:r w:rsidR="00190E4A" w:rsidRPr="00B450EB">
        <w:rPr>
          <w:rFonts w:cs="Arial"/>
        </w:rPr>
      </w:r>
      <w:r w:rsidR="00190E4A" w:rsidRPr="00B450EB">
        <w:rPr>
          <w:rFonts w:cs="Arial"/>
        </w:rPr>
        <w:fldChar w:fldCharType="separate"/>
      </w:r>
      <w:r w:rsidR="00010D09" w:rsidRPr="00B450EB">
        <w:t xml:space="preserve">Figura </w:t>
      </w:r>
      <w:r w:rsidR="00010D09" w:rsidRPr="00B450EB">
        <w:rPr>
          <w:noProof/>
        </w:rPr>
        <w:t>62</w:t>
      </w:r>
      <w:r w:rsidR="00190E4A" w:rsidRPr="00B450EB">
        <w:rPr>
          <w:rFonts w:cs="Arial"/>
        </w:rPr>
        <w:fldChar w:fldCharType="end"/>
      </w:r>
      <w:r w:rsidR="00190E4A" w:rsidRPr="00B450EB">
        <w:rPr>
          <w:rFonts w:cs="Arial"/>
        </w:rPr>
        <w:t xml:space="preserve">). </w:t>
      </w:r>
    </w:p>
    <w:p w14:paraId="123345AE" w14:textId="152172DB" w:rsidR="00077FFB" w:rsidRPr="00B450EB" w:rsidRDefault="00077FFB" w:rsidP="00190E4A">
      <w:pPr>
        <w:pStyle w:val="Descripcin"/>
        <w:keepNext/>
        <w:rPr>
          <w:color w:val="auto"/>
        </w:rPr>
      </w:pPr>
      <w:bookmarkStart w:id="121" w:name="_Ref209116380"/>
      <w:bookmarkStart w:id="122" w:name="_Toc209462750"/>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62</w:t>
      </w:r>
      <w:r w:rsidR="0045353A" w:rsidRPr="00B450EB">
        <w:rPr>
          <w:noProof/>
          <w:color w:val="auto"/>
        </w:rPr>
        <w:fldChar w:fldCharType="end"/>
      </w:r>
      <w:bookmarkEnd w:id="121"/>
      <w:r w:rsidRPr="00B450EB">
        <w:rPr>
          <w:color w:val="auto"/>
        </w:rPr>
        <w:t>. Especies de fauna y flora endémicas, exóticas, amenazadas y en CITES por departamen</w:t>
      </w:r>
      <w:r w:rsidR="00190E4A" w:rsidRPr="00B450EB">
        <w:rPr>
          <w:color w:val="auto"/>
        </w:rPr>
        <w:t>t</w:t>
      </w:r>
      <w:r w:rsidRPr="00B450EB">
        <w:rPr>
          <w:color w:val="auto"/>
        </w:rPr>
        <w:t>o de la Amazonía colombiana</w:t>
      </w:r>
      <w:bookmarkEnd w:id="122"/>
    </w:p>
    <w:p w14:paraId="1934613E" w14:textId="784E7922" w:rsidR="00DD005A" w:rsidRPr="00B450EB" w:rsidRDefault="006B345A" w:rsidP="00C43FD9">
      <w:pPr>
        <w:rPr>
          <w:rFonts w:cs="Arial"/>
        </w:rPr>
      </w:pPr>
      <w:r w:rsidRPr="00B450EB">
        <w:rPr>
          <w:rFonts w:cs="Arial"/>
          <w:noProof/>
        </w:rPr>
        <w:drawing>
          <wp:inline distT="0" distB="0" distL="0" distR="0" wp14:anchorId="45F98F0B" wp14:editId="60FA2ADF">
            <wp:extent cx="5761355" cy="1823085"/>
            <wp:effectExtent l="0" t="0" r="0" b="5715"/>
            <wp:docPr id="13489155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5761355" cy="1823085"/>
                    </a:xfrm>
                    <a:prstGeom prst="rect">
                      <a:avLst/>
                    </a:prstGeom>
                    <a:noFill/>
                  </pic:spPr>
                </pic:pic>
              </a:graphicData>
            </a:graphic>
          </wp:inline>
        </w:drawing>
      </w:r>
    </w:p>
    <w:p w14:paraId="66089FB0" w14:textId="33C5A2F6" w:rsidR="00325CAF" w:rsidRPr="00B450EB" w:rsidRDefault="003C3100" w:rsidP="00325CAF">
      <w:r w:rsidRPr="00B450EB">
        <w:lastRenderedPageBreak/>
        <w:t>Todo lo</w:t>
      </w:r>
      <w:r w:rsidR="00BC1050" w:rsidRPr="00B450EB">
        <w:t xml:space="preserve"> anterior</w:t>
      </w:r>
      <w:r w:rsidRPr="00B450EB">
        <w:t xml:space="preserve">mente </w:t>
      </w:r>
      <w:r w:rsidR="00BC1050" w:rsidRPr="00B450EB">
        <w:t>descri</w:t>
      </w:r>
      <w:r w:rsidRPr="00B450EB">
        <w:t>to</w:t>
      </w:r>
      <w:r w:rsidR="00BC1050" w:rsidRPr="00B450EB">
        <w:t>, demuestra que</w:t>
      </w:r>
      <w:r w:rsidR="00325CAF" w:rsidRPr="00B450EB">
        <w:t xml:space="preserve"> la fauna</w:t>
      </w:r>
      <w:r w:rsidR="00D91823" w:rsidRPr="00B450EB">
        <w:t xml:space="preserve"> y flora</w:t>
      </w:r>
      <w:r w:rsidR="00325CAF" w:rsidRPr="00B450EB">
        <w:t xml:space="preserve"> del Amazonas constituye un patrimonio natural de incalculable valor ecológico, evolutivo y científico, que justifica la necesidad de unas mayores figuras de protección para la región como reserva integral de sus hábitats y procesos ecológicos de forma tal que se garantice la supervivencia de las especies que allí habitan y la continuidad de las funciones ecosistémicas. </w:t>
      </w:r>
    </w:p>
    <w:p w14:paraId="6396457B" w14:textId="6820B02C" w:rsidR="00981487" w:rsidRPr="00B450EB" w:rsidRDefault="00D533F6" w:rsidP="001C1081">
      <w:pPr>
        <w:pStyle w:val="Ttulo3"/>
        <w:numPr>
          <w:ilvl w:val="2"/>
          <w:numId w:val="16"/>
        </w:numPr>
        <w:tabs>
          <w:tab w:val="left" w:pos="1677"/>
        </w:tabs>
        <w:rPr>
          <w:rFonts w:cs="Arial"/>
          <w:szCs w:val="24"/>
        </w:rPr>
      </w:pPr>
      <w:bookmarkStart w:id="123" w:name="_Toc209722932"/>
      <w:r w:rsidRPr="00B450EB">
        <w:rPr>
          <w:rFonts w:cs="Arial"/>
          <w:szCs w:val="24"/>
        </w:rPr>
        <w:t>Conectividad Ecológica</w:t>
      </w:r>
      <w:bookmarkEnd w:id="123"/>
      <w:r w:rsidRPr="00B450EB">
        <w:rPr>
          <w:rFonts w:cs="Arial"/>
        </w:rPr>
        <w:t xml:space="preserve"> </w:t>
      </w:r>
    </w:p>
    <w:p w14:paraId="75A6F848" w14:textId="24EC21BF" w:rsidR="00641781" w:rsidRPr="00B450EB" w:rsidRDefault="00641781" w:rsidP="00641781">
      <w:pPr>
        <w:rPr>
          <w:rFonts w:cs="Arial"/>
        </w:rPr>
      </w:pPr>
      <w:r w:rsidRPr="00B450EB">
        <w:rPr>
          <w:rFonts w:cs="Arial"/>
        </w:rPr>
        <w:t xml:space="preserve">En el contexto colombiano, la Amazonía actúa como un nodo de conexión entre Sur y Centroamérica, enlazándose al noroeste con el complejo andino y hasta el Darién, al oeste con el piedemonte andino-amazónico, y al sur con el </w:t>
      </w:r>
      <w:r w:rsidR="00873CB2" w:rsidRPr="00B450EB">
        <w:rPr>
          <w:rFonts w:cs="Arial"/>
        </w:rPr>
        <w:t>p</w:t>
      </w:r>
      <w:r w:rsidRPr="00B450EB">
        <w:rPr>
          <w:rFonts w:cs="Arial"/>
        </w:rPr>
        <w:t>antanal y la sabana brasileña. Esta continuidad ecológica facilita el mantenimiento de flujos genéticos y ecológicos entre regiones, garantizando la persistencia de poblaciones silvestres y la provisión de servicios ecosistémicos que trascienden las fronteras nacionales (Pan et al., 2011). Sin embargo, el bioma amazónico enfrenta presiones crecientes debido a la expansión de la frontera agrícola y ganadera, la extracción de recursos madereros, la minería, la exploración de hidrocarburos y la expansión de cultivos ilícitos. Estas actividades han acelerado la deforestación y la fragmentación de los hábitats (</w:t>
      </w:r>
      <w:proofErr w:type="spellStart"/>
      <w:r w:rsidRPr="00B450EB">
        <w:rPr>
          <w:rFonts w:cs="Arial"/>
        </w:rPr>
        <w:t>Painter</w:t>
      </w:r>
      <w:proofErr w:type="spellEnd"/>
      <w:r w:rsidRPr="00B450EB">
        <w:rPr>
          <w:rFonts w:cs="Arial"/>
        </w:rPr>
        <w:t xml:space="preserve"> et al., 2008; Broadbent et al., 2008; Dávalos et al., 2011).</w:t>
      </w:r>
    </w:p>
    <w:p w14:paraId="28C34B8C" w14:textId="44A57CC5" w:rsidR="00641781" w:rsidRPr="00B450EB" w:rsidRDefault="00641781" w:rsidP="00641781">
      <w:pPr>
        <w:rPr>
          <w:rFonts w:cs="Arial"/>
        </w:rPr>
      </w:pPr>
      <w:r w:rsidRPr="00B450EB">
        <w:rPr>
          <w:rFonts w:cs="Arial"/>
        </w:rPr>
        <w:t>La conectividad ecológica es un principio fundamental en la planificación de la conservación. Desde un enfoque estructural, se refiere a la disposición espacial de los elementos del paisaje y la continuidad entre ellos, determinada por factores como la extensión, la distancia entre los parches de hábitat y la presencia de corredores naturales (Bennett, 1999). Por otro lado, la conectividad funcional está vinculada a la capacidad de dispersión y movimiento de las especies, sus necesidades de hábitat, su tolerancia a los disturbios y la escala a la que perciben el entorno (Bennett, 1999; Theobald, 2006). La interacción entre estas dos dimensiones es clave para mantener los flujos de organismos, energía e información a través del territorio (Saura et al., 2014).</w:t>
      </w:r>
    </w:p>
    <w:p w14:paraId="6735F8A6" w14:textId="77777777" w:rsidR="00641781" w:rsidRPr="00B450EB" w:rsidRDefault="00641781" w:rsidP="00641781">
      <w:pPr>
        <w:rPr>
          <w:rFonts w:cs="Arial"/>
        </w:rPr>
      </w:pPr>
      <w:r w:rsidRPr="00B450EB">
        <w:rPr>
          <w:rFonts w:cs="Arial"/>
        </w:rPr>
        <w:t xml:space="preserve">Los análisis de conectividad del paisaje son herramientas esenciales para evaluar la funcionalidad ecológica, identificar barreras al movimiento y señalar áreas prioritarias para la conservación. Un enfoque basado en las especies permite delimitar hábitats críticos y diseñar estrategias que faciliten la dispersión y el movimiento en paisajes fragmentados (Forman, 1995; </w:t>
      </w:r>
      <w:proofErr w:type="spellStart"/>
      <w:r w:rsidRPr="00B450EB">
        <w:rPr>
          <w:rFonts w:cs="Arial"/>
        </w:rPr>
        <w:t>Noss</w:t>
      </w:r>
      <w:proofErr w:type="spellEnd"/>
      <w:r w:rsidRPr="00B450EB">
        <w:rPr>
          <w:rFonts w:cs="Arial"/>
        </w:rPr>
        <w:t xml:space="preserve">, 1991; </w:t>
      </w:r>
      <w:proofErr w:type="spellStart"/>
      <w:r w:rsidRPr="00B450EB">
        <w:rPr>
          <w:rFonts w:cs="Arial"/>
        </w:rPr>
        <w:t>Noss</w:t>
      </w:r>
      <w:proofErr w:type="spellEnd"/>
      <w:r w:rsidRPr="00B450EB">
        <w:rPr>
          <w:rFonts w:cs="Arial"/>
        </w:rPr>
        <w:t xml:space="preserve"> &amp; </w:t>
      </w:r>
      <w:proofErr w:type="spellStart"/>
      <w:r w:rsidRPr="00B450EB">
        <w:rPr>
          <w:rFonts w:cs="Arial"/>
        </w:rPr>
        <w:t>Cooperrider</w:t>
      </w:r>
      <w:proofErr w:type="spellEnd"/>
      <w:r w:rsidRPr="00B450EB">
        <w:rPr>
          <w:rFonts w:cs="Arial"/>
        </w:rPr>
        <w:t xml:space="preserve">, 1994). En la Amazonía colombiana, iniciativas como el Corredor Andes–Amazonas–Atlántico (AAA) y el Corredor Jaguar buscan mantener y restaurar la conectividad interregional, asegurando tanto la integridad genética de </w:t>
      </w:r>
      <w:r w:rsidRPr="00B450EB">
        <w:rPr>
          <w:rFonts w:cs="Arial"/>
        </w:rPr>
        <w:lastRenderedPageBreak/>
        <w:t>especies clave como la provisión de servicios ecosistémicos de gran escala (Poveda et al., 2009).</w:t>
      </w:r>
    </w:p>
    <w:p w14:paraId="1C90DA63" w14:textId="77777777" w:rsidR="00641781" w:rsidRPr="00B450EB" w:rsidRDefault="00641781" w:rsidP="00641781">
      <w:pPr>
        <w:rPr>
          <w:rFonts w:cs="Arial"/>
        </w:rPr>
      </w:pPr>
      <w:r w:rsidRPr="00B450EB">
        <w:rPr>
          <w:rFonts w:cs="Arial"/>
        </w:rPr>
        <w:t>A pesar de estos esfuerzos, existen importantes vacíos en la investigación. La mayoría de los estudios se han centrado en los procesos de deforestación y sus motores (SINCHI, 2016; TNC, 2016; FCDS, 2017), mientras que los análisis de conectividad funcional, especialmente aquellos relacionados con la ecología del movimiento y la dinámica poblacional de las especies amazónicas, siguen siendo limitados (Vanegas, 2017).</w:t>
      </w:r>
    </w:p>
    <w:p w14:paraId="7C16D8E2" w14:textId="77777777" w:rsidR="00641781" w:rsidRPr="00B450EB" w:rsidRDefault="00641781" w:rsidP="00641781">
      <w:pPr>
        <w:rPr>
          <w:rFonts w:cs="Arial"/>
        </w:rPr>
      </w:pPr>
      <w:r w:rsidRPr="00B450EB">
        <w:rPr>
          <w:rFonts w:cs="Arial"/>
        </w:rPr>
        <w:t>Al comparar los enfoques estructurales y funcionales en los estudios de conectividad, se observa que los primeros, centrados en la configuración espacial de las coberturas naturales, son mucho más comunes. En contraste, los estudios de conectividad funcional son menos frecuentes, lo que probablemente se debe al conocimiento aún limitado sobre el comportamiento de las especies frente a la fragmentación del hábitat y la falta de datos empíricos que permitan modelar su movilidad real (Vanegas, 2017).</w:t>
      </w:r>
    </w:p>
    <w:p w14:paraId="138B5CE7" w14:textId="77777777" w:rsidR="00641781" w:rsidRPr="00B450EB" w:rsidRDefault="00641781" w:rsidP="00641781">
      <w:pPr>
        <w:rPr>
          <w:rFonts w:cs="Arial"/>
        </w:rPr>
      </w:pPr>
      <w:r w:rsidRPr="00B450EB">
        <w:rPr>
          <w:rFonts w:cs="Arial"/>
          <w:b/>
          <w:bCs/>
        </w:rPr>
        <w:t>Evaluaciones metodológicas recientes de la conectividad ecológica en la Amazonía colombiana</w:t>
      </w:r>
    </w:p>
    <w:p w14:paraId="6477B4B3" w14:textId="77777777" w:rsidR="00641781" w:rsidRPr="00B450EB" w:rsidRDefault="00641781" w:rsidP="00641781">
      <w:pPr>
        <w:rPr>
          <w:rFonts w:cs="Arial"/>
        </w:rPr>
      </w:pPr>
      <w:r w:rsidRPr="00B450EB">
        <w:rPr>
          <w:rFonts w:cs="Arial"/>
        </w:rPr>
        <w:t>Para evaluar y gestionar la conectividad ecológica en la Amazonía colombiana, se han desarrollado diversas metodologías, que abarcan desde escalas locales hasta regionales, con enfoques complementarios y diferenciados. En general, los estudios analizados han considerado áreas dentro del Sistema Nacional de Áreas Protegidas. La amplitud y el nivel de detalle de estos análisis han estado directamente relacionados con la calidad de los datos disponibles. Así, los trabajos con mayor alcance espacial han empleado información a escala 1:100,000 (FCDS, 2017; SINCHI, 2015; Rojas et al., 2014), mientras que aquellos enfocados en áreas específicas de la región han utilizado información a escala 1:25,000 (FCDS, 2017; Vanegas, 2017; FPR, 2015). Este patrón refleja, probablemente, la escasa disponibilidad de cartografía a escala 1:25,000, que generalmente se ha generado de forma particular para cada proyecto.</w:t>
      </w:r>
    </w:p>
    <w:p w14:paraId="5F5C2C5D" w14:textId="47465A34" w:rsidR="00641781" w:rsidRPr="00B450EB" w:rsidRDefault="00641781" w:rsidP="00377AD7">
      <w:pPr>
        <w:pStyle w:val="Descripcin"/>
        <w:rPr>
          <w:rFonts w:cs="Arial"/>
          <w:color w:val="auto"/>
        </w:rPr>
      </w:pPr>
      <w:bookmarkStart w:id="124" w:name="_Toc209722997"/>
      <w:r w:rsidRPr="00B450EB">
        <w:rPr>
          <w:rFonts w:cs="Arial"/>
          <w:color w:val="auto"/>
        </w:rPr>
        <w:t xml:space="preserve">Tabla </w:t>
      </w:r>
      <w:r w:rsidRPr="00B450EB">
        <w:rPr>
          <w:color w:val="auto"/>
        </w:rPr>
        <w:fldChar w:fldCharType="begin"/>
      </w:r>
      <w:r w:rsidRPr="00B450EB">
        <w:rPr>
          <w:color w:val="auto"/>
        </w:rPr>
        <w:instrText>SEQ Tabla \* ARABIC</w:instrText>
      </w:r>
      <w:r w:rsidRPr="00B450EB">
        <w:rPr>
          <w:color w:val="auto"/>
        </w:rPr>
        <w:fldChar w:fldCharType="separate"/>
      </w:r>
      <w:r w:rsidR="009765C2" w:rsidRPr="00B450EB">
        <w:rPr>
          <w:noProof/>
          <w:color w:val="auto"/>
        </w:rPr>
        <w:t>14</w:t>
      </w:r>
      <w:r w:rsidRPr="00B450EB">
        <w:rPr>
          <w:color w:val="auto"/>
        </w:rPr>
        <w:fldChar w:fldCharType="end"/>
      </w:r>
      <w:r w:rsidR="00C951FE" w:rsidRPr="00B450EB">
        <w:rPr>
          <w:color w:val="auto"/>
        </w:rPr>
        <w:t>.</w:t>
      </w:r>
      <w:r w:rsidRPr="00B450EB">
        <w:rPr>
          <w:rFonts w:cs="Arial"/>
          <w:color w:val="auto"/>
        </w:rPr>
        <w:t xml:space="preserve"> Estudios revisados de conectividad ecológica en la Amazonía colombiana</w:t>
      </w:r>
      <w:bookmarkEnd w:id="124"/>
    </w:p>
    <w:tbl>
      <w:tblPr>
        <w:tblStyle w:val="Tabladecuadrcula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949"/>
        <w:gridCol w:w="2126"/>
        <w:gridCol w:w="753"/>
      </w:tblGrid>
      <w:tr w:rsidR="00EF1937" w:rsidRPr="00B450EB" w14:paraId="609C265C" w14:textId="77777777" w:rsidTr="00C01986">
        <w:trPr>
          <w:cnfStyle w:val="100000000000" w:firstRow="1" w:lastRow="0" w:firstColumn="0" w:lastColumn="0" w:oddVBand="0" w:evenVBand="0" w:oddHBand="0" w:evenHBand="0" w:firstRowFirstColumn="0" w:firstRowLastColumn="0" w:lastRowFirstColumn="0" w:lastRowLastColumn="0"/>
          <w:tblHeader/>
        </w:trPr>
        <w:tc>
          <w:tcPr>
            <w:tcW w:w="5949" w:type="dxa"/>
            <w:shd w:val="clear" w:color="auto" w:fill="D9F2D0" w:themeFill="accent6" w:themeFillTint="33"/>
            <w:vAlign w:val="center"/>
            <w:hideMark/>
          </w:tcPr>
          <w:p w14:paraId="6E1ED6DB" w14:textId="77777777" w:rsidR="00641781" w:rsidRPr="00B450EB" w:rsidRDefault="00641781" w:rsidP="007D2A8D">
            <w:pPr>
              <w:spacing w:line="278" w:lineRule="auto"/>
              <w:jc w:val="center"/>
              <w:rPr>
                <w:rFonts w:cs="Arial"/>
                <w:sz w:val="18"/>
                <w:szCs w:val="18"/>
                <w:lang w:val="es-419"/>
              </w:rPr>
            </w:pPr>
            <w:r w:rsidRPr="00B450EB">
              <w:rPr>
                <w:rFonts w:cs="Arial"/>
                <w:sz w:val="18"/>
                <w:szCs w:val="18"/>
                <w:lang w:val="es-419"/>
              </w:rPr>
              <w:t>Documento</w:t>
            </w:r>
          </w:p>
        </w:tc>
        <w:tc>
          <w:tcPr>
            <w:tcW w:w="2126" w:type="dxa"/>
            <w:shd w:val="clear" w:color="auto" w:fill="D9F2D0" w:themeFill="accent6" w:themeFillTint="33"/>
            <w:vAlign w:val="center"/>
            <w:hideMark/>
          </w:tcPr>
          <w:p w14:paraId="30257F0E" w14:textId="77777777" w:rsidR="00641781" w:rsidRPr="00B450EB" w:rsidRDefault="00641781" w:rsidP="007D2A8D">
            <w:pPr>
              <w:spacing w:line="278" w:lineRule="auto"/>
              <w:jc w:val="center"/>
              <w:rPr>
                <w:rFonts w:cs="Arial"/>
                <w:sz w:val="18"/>
                <w:szCs w:val="18"/>
                <w:lang w:val="es-419"/>
              </w:rPr>
            </w:pPr>
            <w:r w:rsidRPr="00B450EB">
              <w:rPr>
                <w:rFonts w:cs="Arial"/>
                <w:sz w:val="18"/>
                <w:szCs w:val="18"/>
                <w:lang w:val="es-419"/>
              </w:rPr>
              <w:t>Institución</w:t>
            </w:r>
          </w:p>
        </w:tc>
        <w:tc>
          <w:tcPr>
            <w:tcW w:w="753" w:type="dxa"/>
            <w:shd w:val="clear" w:color="auto" w:fill="D9F2D0" w:themeFill="accent6" w:themeFillTint="33"/>
            <w:vAlign w:val="center"/>
            <w:hideMark/>
          </w:tcPr>
          <w:p w14:paraId="2987FA5A" w14:textId="77777777" w:rsidR="00641781" w:rsidRPr="00B450EB" w:rsidRDefault="00641781" w:rsidP="007D2A8D">
            <w:pPr>
              <w:spacing w:line="278" w:lineRule="auto"/>
              <w:jc w:val="center"/>
              <w:rPr>
                <w:rFonts w:cs="Arial"/>
                <w:sz w:val="18"/>
                <w:szCs w:val="18"/>
                <w:lang w:val="es-419"/>
              </w:rPr>
            </w:pPr>
            <w:r w:rsidRPr="00B450EB">
              <w:rPr>
                <w:rFonts w:cs="Arial"/>
                <w:sz w:val="18"/>
                <w:szCs w:val="18"/>
                <w:lang w:val="es-419"/>
              </w:rPr>
              <w:t>Año</w:t>
            </w:r>
          </w:p>
        </w:tc>
      </w:tr>
      <w:tr w:rsidR="00EF1937" w:rsidRPr="00B450EB" w14:paraId="41881FD8" w14:textId="77777777" w:rsidTr="00BF62BA">
        <w:tc>
          <w:tcPr>
            <w:tcW w:w="5949" w:type="dxa"/>
            <w:vAlign w:val="center"/>
            <w:hideMark/>
          </w:tcPr>
          <w:p w14:paraId="61788531"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Corredores biológicos en la Amazonía colombiana: Estado actual, amenazas y conectividad</w:t>
            </w:r>
          </w:p>
        </w:tc>
        <w:tc>
          <w:tcPr>
            <w:tcW w:w="2126" w:type="dxa"/>
            <w:vAlign w:val="center"/>
            <w:hideMark/>
          </w:tcPr>
          <w:p w14:paraId="679A869C"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CEPAL / Patrimonio</w:t>
            </w:r>
          </w:p>
        </w:tc>
        <w:tc>
          <w:tcPr>
            <w:tcW w:w="753" w:type="dxa"/>
            <w:vAlign w:val="center"/>
            <w:hideMark/>
          </w:tcPr>
          <w:p w14:paraId="2E2AF866"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2012</w:t>
            </w:r>
          </w:p>
        </w:tc>
      </w:tr>
      <w:tr w:rsidR="00EF1937" w:rsidRPr="00B450EB" w14:paraId="5E8ED272" w14:textId="77777777" w:rsidTr="00BF62BA">
        <w:tc>
          <w:tcPr>
            <w:tcW w:w="5949" w:type="dxa"/>
            <w:vAlign w:val="center"/>
            <w:hideMark/>
          </w:tcPr>
          <w:p w14:paraId="1E3A838D"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Ordenamiento territorial para la zona de influencia del PNN Serranía de Chiribiquete</w:t>
            </w:r>
          </w:p>
        </w:tc>
        <w:tc>
          <w:tcPr>
            <w:tcW w:w="2126" w:type="dxa"/>
            <w:vAlign w:val="center"/>
            <w:hideMark/>
          </w:tcPr>
          <w:p w14:paraId="45D58925"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FCDS</w:t>
            </w:r>
          </w:p>
        </w:tc>
        <w:tc>
          <w:tcPr>
            <w:tcW w:w="753" w:type="dxa"/>
            <w:vAlign w:val="center"/>
            <w:hideMark/>
          </w:tcPr>
          <w:p w14:paraId="2BFB30E0"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2014</w:t>
            </w:r>
          </w:p>
        </w:tc>
      </w:tr>
      <w:tr w:rsidR="00EF1937" w:rsidRPr="00B450EB" w14:paraId="7005F96D" w14:textId="77777777" w:rsidTr="00BF62BA">
        <w:tc>
          <w:tcPr>
            <w:tcW w:w="5949" w:type="dxa"/>
            <w:vAlign w:val="center"/>
            <w:hideMark/>
          </w:tcPr>
          <w:p w14:paraId="282C4DC9"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Conexión Macarena - Chiribiquete (Documento Síntesis)</w:t>
            </w:r>
          </w:p>
        </w:tc>
        <w:tc>
          <w:tcPr>
            <w:tcW w:w="2126" w:type="dxa"/>
            <w:vAlign w:val="center"/>
            <w:hideMark/>
          </w:tcPr>
          <w:p w14:paraId="46B0E0DA"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FPR</w:t>
            </w:r>
          </w:p>
        </w:tc>
        <w:tc>
          <w:tcPr>
            <w:tcW w:w="753" w:type="dxa"/>
            <w:vAlign w:val="center"/>
            <w:hideMark/>
          </w:tcPr>
          <w:p w14:paraId="0AAED3F4"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2015</w:t>
            </w:r>
          </w:p>
        </w:tc>
      </w:tr>
      <w:tr w:rsidR="00EF1937" w:rsidRPr="00B450EB" w14:paraId="19C96D90" w14:textId="77777777" w:rsidTr="00BF62BA">
        <w:tc>
          <w:tcPr>
            <w:tcW w:w="5949" w:type="dxa"/>
            <w:vAlign w:val="center"/>
            <w:hideMark/>
          </w:tcPr>
          <w:p w14:paraId="303EB6DF"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Zonificación de áreas prioritarias para restauración en Caquetá, Putumayo, Guaviare y Meta</w:t>
            </w:r>
          </w:p>
        </w:tc>
        <w:tc>
          <w:tcPr>
            <w:tcW w:w="2126" w:type="dxa"/>
            <w:vAlign w:val="center"/>
            <w:hideMark/>
          </w:tcPr>
          <w:p w14:paraId="70FA4E9E"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SINCHI</w:t>
            </w:r>
          </w:p>
        </w:tc>
        <w:tc>
          <w:tcPr>
            <w:tcW w:w="753" w:type="dxa"/>
            <w:vAlign w:val="center"/>
            <w:hideMark/>
          </w:tcPr>
          <w:p w14:paraId="4DA6F9C9"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2015</w:t>
            </w:r>
          </w:p>
        </w:tc>
      </w:tr>
      <w:tr w:rsidR="00EF1937" w:rsidRPr="00B450EB" w14:paraId="67F725D4" w14:textId="77777777" w:rsidTr="00BF62BA">
        <w:tc>
          <w:tcPr>
            <w:tcW w:w="5949" w:type="dxa"/>
            <w:vAlign w:val="center"/>
            <w:hideMark/>
          </w:tcPr>
          <w:p w14:paraId="5F7CE31C"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lastRenderedPageBreak/>
              <w:t>Análisis de conectividad en Guaviare y Caquetá</w:t>
            </w:r>
          </w:p>
        </w:tc>
        <w:tc>
          <w:tcPr>
            <w:tcW w:w="2126" w:type="dxa"/>
            <w:vAlign w:val="center"/>
            <w:hideMark/>
          </w:tcPr>
          <w:p w14:paraId="5521930B"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SINCHI</w:t>
            </w:r>
          </w:p>
        </w:tc>
        <w:tc>
          <w:tcPr>
            <w:tcW w:w="753" w:type="dxa"/>
            <w:vAlign w:val="center"/>
            <w:hideMark/>
          </w:tcPr>
          <w:p w14:paraId="04130017"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2017</w:t>
            </w:r>
          </w:p>
        </w:tc>
      </w:tr>
      <w:tr w:rsidR="00EF1937" w:rsidRPr="00B450EB" w14:paraId="0E72E498" w14:textId="77777777" w:rsidTr="00BF62BA">
        <w:tc>
          <w:tcPr>
            <w:tcW w:w="5949" w:type="dxa"/>
            <w:vAlign w:val="center"/>
            <w:hideMark/>
          </w:tcPr>
          <w:p w14:paraId="0F732E0E"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Corredores de conectividad ecológica en el proyecto Marginal de la Selva</w:t>
            </w:r>
          </w:p>
        </w:tc>
        <w:tc>
          <w:tcPr>
            <w:tcW w:w="2126" w:type="dxa"/>
            <w:vAlign w:val="center"/>
            <w:hideMark/>
          </w:tcPr>
          <w:p w14:paraId="50BA821D"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FCDS</w:t>
            </w:r>
          </w:p>
        </w:tc>
        <w:tc>
          <w:tcPr>
            <w:tcW w:w="753" w:type="dxa"/>
            <w:vAlign w:val="center"/>
            <w:hideMark/>
          </w:tcPr>
          <w:p w14:paraId="1E1E60C3"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2017</w:t>
            </w:r>
          </w:p>
        </w:tc>
      </w:tr>
      <w:tr w:rsidR="00EF1937" w:rsidRPr="00B450EB" w14:paraId="4A724762" w14:textId="77777777" w:rsidTr="00BF62BA">
        <w:tc>
          <w:tcPr>
            <w:tcW w:w="5949" w:type="dxa"/>
            <w:vAlign w:val="center"/>
            <w:hideMark/>
          </w:tcPr>
          <w:p w14:paraId="68B86732"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Estudio de conectividad como aproximación a la integridad del paisaje</w:t>
            </w:r>
          </w:p>
        </w:tc>
        <w:tc>
          <w:tcPr>
            <w:tcW w:w="2126" w:type="dxa"/>
            <w:vAlign w:val="center"/>
            <w:hideMark/>
          </w:tcPr>
          <w:p w14:paraId="055BCA0D"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TNC</w:t>
            </w:r>
          </w:p>
        </w:tc>
        <w:tc>
          <w:tcPr>
            <w:tcW w:w="753" w:type="dxa"/>
            <w:vAlign w:val="center"/>
            <w:hideMark/>
          </w:tcPr>
          <w:p w14:paraId="2D6302E1"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2017</w:t>
            </w:r>
          </w:p>
        </w:tc>
      </w:tr>
      <w:tr w:rsidR="00EF1937" w:rsidRPr="00B450EB" w14:paraId="0D5D71DE" w14:textId="77777777" w:rsidTr="00BF62BA">
        <w:tc>
          <w:tcPr>
            <w:tcW w:w="5949" w:type="dxa"/>
            <w:vAlign w:val="center"/>
            <w:hideMark/>
          </w:tcPr>
          <w:p w14:paraId="1D2945AF"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Prioridades de conservación de corredores de conectividad</w:t>
            </w:r>
          </w:p>
        </w:tc>
        <w:tc>
          <w:tcPr>
            <w:tcW w:w="2126" w:type="dxa"/>
            <w:vAlign w:val="center"/>
            <w:hideMark/>
          </w:tcPr>
          <w:p w14:paraId="5362FE33"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SINCHI</w:t>
            </w:r>
          </w:p>
        </w:tc>
        <w:tc>
          <w:tcPr>
            <w:tcW w:w="753" w:type="dxa"/>
            <w:vAlign w:val="center"/>
            <w:hideMark/>
          </w:tcPr>
          <w:p w14:paraId="17BECA23"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2019</w:t>
            </w:r>
          </w:p>
        </w:tc>
      </w:tr>
      <w:tr w:rsidR="00EF1937" w:rsidRPr="00B450EB" w14:paraId="0DD2E7D4" w14:textId="77777777" w:rsidTr="00BF62BA">
        <w:tc>
          <w:tcPr>
            <w:tcW w:w="5949" w:type="dxa"/>
            <w:vAlign w:val="center"/>
            <w:hideMark/>
          </w:tcPr>
          <w:p w14:paraId="54E5FA42"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Conectividad y probabilidad de deforestación en Putumayo</w:t>
            </w:r>
          </w:p>
        </w:tc>
        <w:tc>
          <w:tcPr>
            <w:tcW w:w="2126" w:type="dxa"/>
            <w:vAlign w:val="center"/>
            <w:hideMark/>
          </w:tcPr>
          <w:p w14:paraId="15BEA10D"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ANH / HUMBOLDT</w:t>
            </w:r>
          </w:p>
        </w:tc>
        <w:tc>
          <w:tcPr>
            <w:tcW w:w="753" w:type="dxa"/>
            <w:vAlign w:val="center"/>
            <w:hideMark/>
          </w:tcPr>
          <w:p w14:paraId="4D3538DA"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2020</w:t>
            </w:r>
          </w:p>
        </w:tc>
      </w:tr>
      <w:tr w:rsidR="00EF1937" w:rsidRPr="00B450EB" w14:paraId="78856720" w14:textId="77777777" w:rsidTr="00BF62BA">
        <w:tc>
          <w:tcPr>
            <w:tcW w:w="5949" w:type="dxa"/>
            <w:vAlign w:val="center"/>
            <w:hideMark/>
          </w:tcPr>
          <w:p w14:paraId="6F146151" w14:textId="77777777" w:rsidR="00641781" w:rsidRPr="00B450EB" w:rsidRDefault="00641781" w:rsidP="00BF62BA">
            <w:pPr>
              <w:spacing w:line="278" w:lineRule="auto"/>
              <w:jc w:val="left"/>
              <w:rPr>
                <w:rFonts w:cs="Arial"/>
                <w:sz w:val="18"/>
                <w:szCs w:val="18"/>
                <w:lang w:val="en-US"/>
              </w:rPr>
            </w:pPr>
            <w:r w:rsidRPr="00B450EB">
              <w:rPr>
                <w:rFonts w:cs="Arial"/>
                <w:sz w:val="18"/>
                <w:szCs w:val="18"/>
                <w:lang w:val="en-US"/>
              </w:rPr>
              <w:t>Rapid loss in landscape connectivity after the peace agreement</w:t>
            </w:r>
          </w:p>
        </w:tc>
        <w:tc>
          <w:tcPr>
            <w:tcW w:w="2126" w:type="dxa"/>
            <w:vAlign w:val="center"/>
            <w:hideMark/>
          </w:tcPr>
          <w:p w14:paraId="7BE64E31"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Murillo-Sandoval et al.</w:t>
            </w:r>
          </w:p>
        </w:tc>
        <w:tc>
          <w:tcPr>
            <w:tcW w:w="753" w:type="dxa"/>
            <w:vAlign w:val="center"/>
            <w:hideMark/>
          </w:tcPr>
          <w:p w14:paraId="4D52B20C"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2022</w:t>
            </w:r>
          </w:p>
        </w:tc>
      </w:tr>
      <w:tr w:rsidR="00EF1937" w:rsidRPr="00B450EB" w14:paraId="7C90BC3E" w14:textId="77777777" w:rsidTr="00BF62BA">
        <w:tc>
          <w:tcPr>
            <w:tcW w:w="5949" w:type="dxa"/>
            <w:vAlign w:val="center"/>
            <w:hideMark/>
          </w:tcPr>
          <w:p w14:paraId="30D21EA0" w14:textId="77777777" w:rsidR="00641781" w:rsidRPr="00B450EB" w:rsidRDefault="00641781" w:rsidP="00BF62BA">
            <w:pPr>
              <w:spacing w:line="278" w:lineRule="auto"/>
              <w:jc w:val="left"/>
              <w:rPr>
                <w:rFonts w:cs="Arial"/>
                <w:sz w:val="18"/>
                <w:szCs w:val="18"/>
                <w:lang w:val="en-US"/>
              </w:rPr>
            </w:pPr>
            <w:r w:rsidRPr="00B450EB">
              <w:rPr>
                <w:rFonts w:cs="Arial"/>
                <w:sz w:val="18"/>
                <w:szCs w:val="18"/>
                <w:lang w:val="en-US"/>
              </w:rPr>
              <w:t>Landscape connectivity loss after the de-escalation of armed conflict</w:t>
            </w:r>
          </w:p>
        </w:tc>
        <w:tc>
          <w:tcPr>
            <w:tcW w:w="2126" w:type="dxa"/>
            <w:vAlign w:val="center"/>
            <w:hideMark/>
          </w:tcPr>
          <w:p w14:paraId="07EDBE77"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López et al.</w:t>
            </w:r>
          </w:p>
        </w:tc>
        <w:tc>
          <w:tcPr>
            <w:tcW w:w="753" w:type="dxa"/>
            <w:vAlign w:val="center"/>
            <w:hideMark/>
          </w:tcPr>
          <w:p w14:paraId="46B082A5"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2024</w:t>
            </w:r>
          </w:p>
        </w:tc>
      </w:tr>
      <w:tr w:rsidR="00EF1937" w:rsidRPr="00B450EB" w14:paraId="6352EAA2" w14:textId="77777777" w:rsidTr="00BF62BA">
        <w:tc>
          <w:tcPr>
            <w:tcW w:w="5949" w:type="dxa"/>
            <w:vAlign w:val="center"/>
            <w:hideMark/>
          </w:tcPr>
          <w:p w14:paraId="5792A197" w14:textId="77777777" w:rsidR="00641781" w:rsidRPr="00B450EB" w:rsidRDefault="00641781" w:rsidP="00BF62BA">
            <w:pPr>
              <w:spacing w:line="278" w:lineRule="auto"/>
              <w:jc w:val="left"/>
              <w:rPr>
                <w:rFonts w:cs="Arial"/>
                <w:sz w:val="18"/>
                <w:szCs w:val="18"/>
                <w:lang w:val="es-419"/>
              </w:rPr>
            </w:pPr>
            <w:proofErr w:type="spellStart"/>
            <w:r w:rsidRPr="00B450EB">
              <w:rPr>
                <w:rFonts w:cs="Arial"/>
                <w:sz w:val="18"/>
                <w:szCs w:val="18"/>
                <w:lang w:val="es-419"/>
              </w:rPr>
              <w:t>Multi-species</w:t>
            </w:r>
            <w:proofErr w:type="spellEnd"/>
            <w:r w:rsidRPr="00B450EB">
              <w:rPr>
                <w:rFonts w:cs="Arial"/>
                <w:sz w:val="18"/>
                <w:szCs w:val="18"/>
                <w:lang w:val="es-419"/>
              </w:rPr>
              <w:t xml:space="preserve"> </w:t>
            </w:r>
            <w:proofErr w:type="spellStart"/>
            <w:r w:rsidRPr="00B450EB">
              <w:rPr>
                <w:rFonts w:cs="Arial"/>
                <w:sz w:val="18"/>
                <w:szCs w:val="18"/>
                <w:lang w:val="es-419"/>
              </w:rPr>
              <w:t>corridor</w:t>
            </w:r>
            <w:proofErr w:type="spellEnd"/>
            <w:r w:rsidRPr="00B450EB">
              <w:rPr>
                <w:rFonts w:cs="Arial"/>
                <w:sz w:val="18"/>
                <w:szCs w:val="18"/>
                <w:lang w:val="es-419"/>
              </w:rPr>
              <w:t xml:space="preserve"> </w:t>
            </w:r>
            <w:proofErr w:type="spellStart"/>
            <w:r w:rsidRPr="00B450EB">
              <w:rPr>
                <w:rFonts w:cs="Arial"/>
                <w:sz w:val="18"/>
                <w:szCs w:val="18"/>
                <w:lang w:val="es-419"/>
              </w:rPr>
              <w:t>for</w:t>
            </w:r>
            <w:proofErr w:type="spellEnd"/>
            <w:r w:rsidRPr="00B450EB">
              <w:rPr>
                <w:rFonts w:cs="Arial"/>
                <w:sz w:val="18"/>
                <w:szCs w:val="18"/>
                <w:lang w:val="es-419"/>
              </w:rPr>
              <w:t xml:space="preserve"> jaguar and </w:t>
            </w:r>
            <w:proofErr w:type="spellStart"/>
            <w:r w:rsidRPr="00B450EB">
              <w:rPr>
                <w:rFonts w:cs="Arial"/>
                <w:sz w:val="18"/>
                <w:szCs w:val="18"/>
                <w:lang w:val="es-419"/>
              </w:rPr>
              <w:t>ungulates</w:t>
            </w:r>
            <w:proofErr w:type="spellEnd"/>
          </w:p>
        </w:tc>
        <w:tc>
          <w:tcPr>
            <w:tcW w:w="2126" w:type="dxa"/>
            <w:vAlign w:val="center"/>
            <w:hideMark/>
          </w:tcPr>
          <w:p w14:paraId="2F4DFC7E"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Mosquera-Guerra et al.</w:t>
            </w:r>
          </w:p>
        </w:tc>
        <w:tc>
          <w:tcPr>
            <w:tcW w:w="753" w:type="dxa"/>
            <w:vAlign w:val="center"/>
            <w:hideMark/>
          </w:tcPr>
          <w:p w14:paraId="5DDC310F"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2025</w:t>
            </w:r>
          </w:p>
        </w:tc>
      </w:tr>
      <w:tr w:rsidR="00EF1937" w:rsidRPr="00B450EB" w14:paraId="705DC262" w14:textId="77777777" w:rsidTr="00BF62BA">
        <w:tc>
          <w:tcPr>
            <w:tcW w:w="5949" w:type="dxa"/>
            <w:vAlign w:val="center"/>
            <w:hideMark/>
          </w:tcPr>
          <w:p w14:paraId="7F002F0D" w14:textId="68BBAAA9" w:rsidR="00641781" w:rsidRPr="00B450EB" w:rsidRDefault="00641781" w:rsidP="00BF62BA">
            <w:pPr>
              <w:spacing w:line="278" w:lineRule="auto"/>
              <w:jc w:val="left"/>
              <w:rPr>
                <w:rFonts w:cs="Arial"/>
                <w:sz w:val="18"/>
                <w:szCs w:val="18"/>
                <w:lang w:val="en-US"/>
              </w:rPr>
            </w:pPr>
            <w:r w:rsidRPr="00B450EB">
              <w:rPr>
                <w:rFonts w:cs="Arial"/>
                <w:sz w:val="18"/>
                <w:szCs w:val="18"/>
                <w:lang w:val="en-US"/>
              </w:rPr>
              <w:t xml:space="preserve">Indigenous territories and protected </w:t>
            </w:r>
            <w:proofErr w:type="spellStart"/>
            <w:r w:rsidR="00C5683D" w:rsidRPr="00B450EB">
              <w:rPr>
                <w:rFonts w:cs="Arial"/>
                <w:sz w:val="18"/>
                <w:szCs w:val="18"/>
                <w:lang w:val="en-US"/>
              </w:rPr>
              <w:t>Área</w:t>
            </w:r>
            <w:r w:rsidRPr="00B450EB">
              <w:rPr>
                <w:rFonts w:cs="Arial"/>
                <w:sz w:val="18"/>
                <w:szCs w:val="18"/>
                <w:lang w:val="en-US"/>
              </w:rPr>
              <w:t>s</w:t>
            </w:r>
            <w:proofErr w:type="spellEnd"/>
            <w:r w:rsidRPr="00B450EB">
              <w:rPr>
                <w:rFonts w:cs="Arial"/>
                <w:sz w:val="18"/>
                <w:szCs w:val="18"/>
                <w:lang w:val="en-US"/>
              </w:rPr>
              <w:t xml:space="preserve"> for ecosystem connectivity</w:t>
            </w:r>
          </w:p>
        </w:tc>
        <w:tc>
          <w:tcPr>
            <w:tcW w:w="2126" w:type="dxa"/>
            <w:vAlign w:val="center"/>
            <w:hideMark/>
          </w:tcPr>
          <w:p w14:paraId="4519FCA2"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Duarte-Ritter et al.</w:t>
            </w:r>
          </w:p>
        </w:tc>
        <w:tc>
          <w:tcPr>
            <w:tcW w:w="753" w:type="dxa"/>
            <w:vAlign w:val="center"/>
            <w:hideMark/>
          </w:tcPr>
          <w:p w14:paraId="10FDB6E2" w14:textId="77777777" w:rsidR="00641781" w:rsidRPr="00B450EB" w:rsidRDefault="00641781" w:rsidP="00BF62BA">
            <w:pPr>
              <w:spacing w:line="278" w:lineRule="auto"/>
              <w:jc w:val="left"/>
              <w:rPr>
                <w:rFonts w:cs="Arial"/>
                <w:sz w:val="18"/>
                <w:szCs w:val="18"/>
                <w:lang w:val="es-419"/>
              </w:rPr>
            </w:pPr>
            <w:r w:rsidRPr="00B450EB">
              <w:rPr>
                <w:rFonts w:cs="Arial"/>
                <w:sz w:val="18"/>
                <w:szCs w:val="18"/>
                <w:lang w:val="es-419"/>
              </w:rPr>
              <w:t>2025</w:t>
            </w:r>
          </w:p>
        </w:tc>
      </w:tr>
    </w:tbl>
    <w:p w14:paraId="47F1A6C6" w14:textId="2E784332" w:rsidR="00BF62BA" w:rsidRPr="00B450EB" w:rsidRDefault="00BF62BA" w:rsidP="00BF62BA">
      <w:pPr>
        <w:spacing w:line="276" w:lineRule="auto"/>
        <w:jc w:val="center"/>
        <w:rPr>
          <w:rFonts w:eastAsiaTheme="minorEastAsia" w:cs="Arial"/>
          <w:sz w:val="18"/>
          <w:szCs w:val="18"/>
        </w:rPr>
      </w:pPr>
      <w:r w:rsidRPr="00B450EB">
        <w:rPr>
          <w:rFonts w:eastAsiaTheme="minorEastAsia" w:cs="Arial"/>
          <w:sz w:val="18"/>
          <w:szCs w:val="18"/>
        </w:rPr>
        <w:t>Fuente: Elaboración propia, 2025</w:t>
      </w:r>
      <w:r w:rsidR="00614468" w:rsidRPr="00B450EB">
        <w:rPr>
          <w:rFonts w:eastAsiaTheme="minorEastAsia" w:cs="Arial"/>
          <w:sz w:val="18"/>
          <w:szCs w:val="18"/>
        </w:rPr>
        <w:t>.</w:t>
      </w:r>
    </w:p>
    <w:p w14:paraId="3C797EB5" w14:textId="77777777" w:rsidR="00641781" w:rsidRPr="00B450EB" w:rsidRDefault="00641781" w:rsidP="00641781">
      <w:pPr>
        <w:rPr>
          <w:rFonts w:cs="Arial"/>
        </w:rPr>
      </w:pPr>
      <w:r w:rsidRPr="00B450EB">
        <w:rPr>
          <w:rFonts w:cs="Arial"/>
        </w:rPr>
        <w:t xml:space="preserve">Al comparar los enfoques estructurales y funcionales en los estudios revisados, se observa que los primeros son mucho más frecuentes. Esto está relacionado con el conocimiento limitado sobre los efectos de las actividades humanas y la transformación de los paisajes en la movilidad de las especies, así como con la escasez de datos empíricos que permitan modelar de manera precisa su comportamiento en paisajes fragmentados. De hecho, solo un estudio ha basado su análisis en las características ecológicas de especies específicas, considerando su capacidad de desplazamiento y los requerimientos mínimos de hábitat (Vanegas, 2017). Otro enfoque funcional, aunque no basado en datos cuantitativos sobre especies particulares, propone escenarios de conectividad a partir de categorías generales de organismos con diferentes características ecológicas (por ejemplo, FPR, 2015). Este panorama subraya la urgente necesidad de generar conocimiento científico en áreas como la ecología funcional del paisaje y la ecología del movimiento, especialmente en contextos </w:t>
      </w:r>
      <w:proofErr w:type="spellStart"/>
      <w:r w:rsidRPr="00B450EB">
        <w:rPr>
          <w:rFonts w:cs="Arial"/>
        </w:rPr>
        <w:t>antropizados</w:t>
      </w:r>
      <w:proofErr w:type="spellEnd"/>
      <w:r w:rsidRPr="00B450EB">
        <w:rPr>
          <w:rFonts w:cs="Arial"/>
        </w:rPr>
        <w:t>.</w:t>
      </w:r>
    </w:p>
    <w:p w14:paraId="1BFECC42" w14:textId="77777777" w:rsidR="00641781" w:rsidRPr="00B450EB" w:rsidRDefault="00641781" w:rsidP="00641781">
      <w:pPr>
        <w:rPr>
          <w:rFonts w:cs="Arial"/>
          <w:i/>
        </w:rPr>
      </w:pPr>
      <w:r w:rsidRPr="00B450EB">
        <w:rPr>
          <w:rFonts w:cs="Arial"/>
          <w:i/>
        </w:rPr>
        <w:t>Patrones de conectividad ecológica en la Amazonía colombiana</w:t>
      </w:r>
    </w:p>
    <w:p w14:paraId="18EEC60A" w14:textId="6B982437" w:rsidR="00641781" w:rsidRPr="00B450EB" w:rsidRDefault="00641781" w:rsidP="00641781">
      <w:pPr>
        <w:rPr>
          <w:rFonts w:cs="Arial"/>
        </w:rPr>
      </w:pPr>
      <w:r w:rsidRPr="00B450EB">
        <w:rPr>
          <w:rFonts w:cs="Arial"/>
        </w:rPr>
        <w:t xml:space="preserve">Tres enfoques metodológicos recientes destacan por su rigurosidad, relevancia ecológica y utilidad para la planificación territorial: el enfoque </w:t>
      </w:r>
      <w:proofErr w:type="spellStart"/>
      <w:r w:rsidRPr="00B450EB">
        <w:rPr>
          <w:rFonts w:cs="Arial"/>
        </w:rPr>
        <w:t>multiespecie</w:t>
      </w:r>
      <w:proofErr w:type="spellEnd"/>
      <w:r w:rsidRPr="00B450EB">
        <w:rPr>
          <w:rFonts w:cs="Arial"/>
        </w:rPr>
        <w:t xml:space="preserve"> del Instituto SINCHI, los corredores del jaguar y los corredores </w:t>
      </w:r>
      <w:r w:rsidR="009613EC" w:rsidRPr="00B450EB">
        <w:rPr>
          <w:rFonts w:cs="Arial"/>
        </w:rPr>
        <w:t>con un enfoque funcional para aves</w:t>
      </w:r>
      <w:r w:rsidRPr="00B450EB">
        <w:rPr>
          <w:rFonts w:cs="Arial"/>
        </w:rPr>
        <w:t xml:space="preserve"> entre parques naturales.</w:t>
      </w:r>
    </w:p>
    <w:p w14:paraId="33BE3210" w14:textId="22934C48" w:rsidR="0071460A" w:rsidRPr="00B450EB" w:rsidRDefault="00641781" w:rsidP="001C1081">
      <w:pPr>
        <w:pStyle w:val="Prrafodelista"/>
        <w:numPr>
          <w:ilvl w:val="0"/>
          <w:numId w:val="7"/>
        </w:numPr>
        <w:rPr>
          <w:rFonts w:cs="Arial"/>
        </w:rPr>
      </w:pPr>
      <w:r w:rsidRPr="00B450EB">
        <w:rPr>
          <w:rFonts w:cs="Arial"/>
        </w:rPr>
        <w:t>El enfoque del Instituto SINCHI</w:t>
      </w:r>
    </w:p>
    <w:p w14:paraId="716D5703" w14:textId="77777777" w:rsidR="009359B7" w:rsidRPr="00B450EB" w:rsidRDefault="009359B7" w:rsidP="005A3219">
      <w:r w:rsidRPr="00B450EB">
        <w:t>El Instituto Amazónico de Investigaciones Científicas (SINCHI) ha liderado importantes esfuerzos para evaluar la conectividad ecológica, basándose en especies focales con diferentes capacidades de dispersión (SINCHI, 2018). Este enfoque incluyó especies de dispersión corta, como el armadillo (</w:t>
      </w:r>
      <w:proofErr w:type="spellStart"/>
      <w:r w:rsidRPr="00B450EB">
        <w:t>Dasypus</w:t>
      </w:r>
      <w:proofErr w:type="spellEnd"/>
      <w:r w:rsidRPr="00B450EB">
        <w:t xml:space="preserve"> </w:t>
      </w:r>
      <w:proofErr w:type="spellStart"/>
      <w:r w:rsidRPr="00B450EB">
        <w:t>novemcinctus</w:t>
      </w:r>
      <w:proofErr w:type="spellEnd"/>
      <w:r w:rsidRPr="00B450EB">
        <w:t>) y la lapa (</w:t>
      </w:r>
      <w:proofErr w:type="spellStart"/>
      <w:r w:rsidRPr="00B450EB">
        <w:t>Cuniculus</w:t>
      </w:r>
      <w:proofErr w:type="spellEnd"/>
      <w:r w:rsidRPr="00B450EB">
        <w:t xml:space="preserve"> paca); de dispersión media, como el zaíno (</w:t>
      </w:r>
      <w:proofErr w:type="spellStart"/>
      <w:r w:rsidRPr="00B450EB">
        <w:t>Pecari</w:t>
      </w:r>
      <w:proofErr w:type="spellEnd"/>
      <w:r w:rsidRPr="00B450EB">
        <w:t xml:space="preserve"> </w:t>
      </w:r>
      <w:proofErr w:type="spellStart"/>
      <w:r w:rsidRPr="00B450EB">
        <w:t>tajacu</w:t>
      </w:r>
      <w:proofErr w:type="spellEnd"/>
      <w:r w:rsidRPr="00B450EB">
        <w:t>) y el mico maicero (</w:t>
      </w:r>
      <w:proofErr w:type="spellStart"/>
      <w:r w:rsidRPr="00B450EB">
        <w:t>Sapajus</w:t>
      </w:r>
      <w:proofErr w:type="spellEnd"/>
      <w:r w:rsidRPr="00B450EB">
        <w:t xml:space="preserve"> apella); y de dispersión larga, como el </w:t>
      </w:r>
      <w:proofErr w:type="spellStart"/>
      <w:r w:rsidRPr="00B450EB">
        <w:t>cajuche</w:t>
      </w:r>
      <w:proofErr w:type="spellEnd"/>
      <w:r w:rsidRPr="00B450EB">
        <w:t xml:space="preserve"> (</w:t>
      </w:r>
      <w:proofErr w:type="spellStart"/>
      <w:r w:rsidRPr="00B450EB">
        <w:t>Tayassu</w:t>
      </w:r>
      <w:proofErr w:type="spellEnd"/>
      <w:r w:rsidRPr="00B450EB">
        <w:t xml:space="preserve"> </w:t>
      </w:r>
      <w:proofErr w:type="spellStart"/>
      <w:r w:rsidRPr="00B450EB">
        <w:t>pecari</w:t>
      </w:r>
      <w:proofErr w:type="spellEnd"/>
      <w:r w:rsidRPr="00B450EB">
        <w:t xml:space="preserve">). La metodología consistió en modelar el movimiento </w:t>
      </w:r>
      <w:r w:rsidRPr="00B450EB">
        <w:lastRenderedPageBreak/>
        <w:t>potencial de estas especies a través de paisajes heterogéneos, integrando la resistencia de diferentes tipos de cobertura y uso del suelo.</w:t>
      </w:r>
    </w:p>
    <w:p w14:paraId="0AAFFB90" w14:textId="77777777" w:rsidR="009359B7" w:rsidRPr="00B450EB" w:rsidRDefault="009359B7" w:rsidP="005A3219">
      <w:r w:rsidRPr="00B450EB">
        <w:t>Como resultado, se identificaron once áreas prioritarias para la conservación de corredores ecológicos, que abarcan más de 51.489 km². Estas zonas se concentran en municipios de los departamentos de Amazonas, Caquetá, Guaviare, Guainía, Putumayo y Vaupés, y cumplen un papel estratégico al garantizar la conectividad entre áreas núcleo de conservación y territorios indígenas. Además, permiten mantener el flujo genético de especies con distintas capacidades de dispersión, reducir los efectos del aislamiento poblacional y sostener procesos ecológicos esenciales.</w:t>
      </w:r>
    </w:p>
    <w:p w14:paraId="1C528554" w14:textId="77777777" w:rsidR="009359B7" w:rsidRPr="00B450EB" w:rsidRDefault="009359B7" w:rsidP="005A3219">
      <w:r w:rsidRPr="00B450EB">
        <w:t>Este estudio evidenció que la conectividad ecológica no es homogénea en la Amazonía, sino que depende de la interacción entre las características del paisaje y las necesidades biológicas de las especies. Asimismo, resaltó que la presión por deforestación, expansión de la frontera agropecuaria e infraestructura amenaza estos corredores, por lo que su conservación y gestión integrada son fundamentales para sostener la biodiversidad y la resiliencia del bioma amazónico colombiano</w:t>
      </w:r>
    </w:p>
    <w:p w14:paraId="29FD1091" w14:textId="663FE7B7" w:rsidR="00556F57" w:rsidRPr="00B450EB" w:rsidRDefault="00556F57" w:rsidP="00556F57">
      <w:pPr>
        <w:pStyle w:val="Descripcin"/>
        <w:rPr>
          <w:color w:val="auto"/>
        </w:rPr>
      </w:pPr>
      <w:bookmarkStart w:id="125" w:name="_Toc209462751"/>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63</w:t>
      </w:r>
      <w:r w:rsidR="0045353A" w:rsidRPr="00B450EB">
        <w:rPr>
          <w:noProof/>
          <w:color w:val="auto"/>
        </w:rPr>
        <w:fldChar w:fldCharType="end"/>
      </w:r>
      <w:r w:rsidRPr="00B450EB">
        <w:rPr>
          <w:color w:val="auto"/>
        </w:rPr>
        <w:t xml:space="preserve"> Corredores de conectividad priorizados para mantener la conexión Andes-Amazonia-Orinoquia</w:t>
      </w:r>
      <w:bookmarkEnd w:id="125"/>
    </w:p>
    <w:p w14:paraId="5A2BEB79" w14:textId="52ED5F6D" w:rsidR="0032048F" w:rsidRPr="00B450EB" w:rsidRDefault="004540A4" w:rsidP="005F7C85">
      <w:pPr>
        <w:spacing w:after="0"/>
        <w:jc w:val="center"/>
        <w:rPr>
          <w:rFonts w:cs="Arial"/>
        </w:rPr>
      </w:pPr>
      <w:r w:rsidRPr="00B450EB">
        <w:rPr>
          <w:rFonts w:cs="Arial"/>
          <w:noProof/>
        </w:rPr>
        <w:drawing>
          <wp:inline distT="0" distB="0" distL="0" distR="0" wp14:anchorId="1B0A1BE4" wp14:editId="784B86F6">
            <wp:extent cx="5124979" cy="3960000"/>
            <wp:effectExtent l="0" t="0" r="0" b="2540"/>
            <wp:docPr id="86754495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544950" name="Imagen 867544950"/>
                    <pic:cNvPicPr/>
                  </pic:nvPicPr>
                  <pic:blipFill>
                    <a:blip r:embed="rId110" cstate="email">
                      <a:extLst>
                        <a:ext uri="{28A0092B-C50C-407E-A947-70E740481C1C}">
                          <a14:useLocalDpi xmlns:a14="http://schemas.microsoft.com/office/drawing/2010/main"/>
                        </a:ext>
                      </a:extLst>
                    </a:blip>
                    <a:stretch>
                      <a:fillRect/>
                    </a:stretch>
                  </pic:blipFill>
                  <pic:spPr>
                    <a:xfrm>
                      <a:off x="0" y="0"/>
                      <a:ext cx="5124979" cy="3960000"/>
                    </a:xfrm>
                    <a:prstGeom prst="rect">
                      <a:avLst/>
                    </a:prstGeom>
                  </pic:spPr>
                </pic:pic>
              </a:graphicData>
            </a:graphic>
          </wp:inline>
        </w:drawing>
      </w:r>
    </w:p>
    <w:p w14:paraId="5ADBC32F" w14:textId="56B692FB" w:rsidR="002913F5" w:rsidRPr="00B450EB" w:rsidRDefault="002913F5" w:rsidP="005F7C85">
      <w:pPr>
        <w:spacing w:after="0"/>
        <w:jc w:val="center"/>
        <w:rPr>
          <w:sz w:val="18"/>
          <w:szCs w:val="18"/>
        </w:rPr>
      </w:pPr>
      <w:r w:rsidRPr="00B450EB">
        <w:rPr>
          <w:sz w:val="18"/>
          <w:szCs w:val="18"/>
        </w:rPr>
        <w:t>Fuente: SINCHI, 2019</w:t>
      </w:r>
      <w:r w:rsidR="00614468" w:rsidRPr="00B450EB">
        <w:rPr>
          <w:sz w:val="18"/>
          <w:szCs w:val="18"/>
        </w:rPr>
        <w:t>.</w:t>
      </w:r>
    </w:p>
    <w:p w14:paraId="3839F388" w14:textId="77777777" w:rsidR="005F7C85" w:rsidRPr="00B450EB" w:rsidRDefault="005F7C85" w:rsidP="005F7C85">
      <w:pPr>
        <w:spacing w:after="0"/>
        <w:rPr>
          <w:sz w:val="18"/>
          <w:szCs w:val="18"/>
        </w:rPr>
      </w:pPr>
    </w:p>
    <w:p w14:paraId="06CAF7FF" w14:textId="33989860" w:rsidR="0071460A" w:rsidRPr="00B450EB" w:rsidRDefault="00641781" w:rsidP="001C1081">
      <w:pPr>
        <w:pStyle w:val="Prrafodelista"/>
        <w:numPr>
          <w:ilvl w:val="0"/>
          <w:numId w:val="7"/>
        </w:numPr>
        <w:rPr>
          <w:rFonts w:cs="Arial"/>
        </w:rPr>
      </w:pPr>
      <w:r w:rsidRPr="00B450EB">
        <w:rPr>
          <w:rFonts w:cs="Arial"/>
        </w:rPr>
        <w:t>El corredor del jaguar</w:t>
      </w:r>
    </w:p>
    <w:p w14:paraId="496D0B5F" w14:textId="56FD449F" w:rsidR="00FF5242" w:rsidRPr="00B450EB" w:rsidRDefault="00641781" w:rsidP="008B6EB1">
      <w:pPr>
        <w:rPr>
          <w:rFonts w:cs="Arial"/>
        </w:rPr>
      </w:pPr>
      <w:r w:rsidRPr="00B450EB">
        <w:rPr>
          <w:rFonts w:cs="Arial"/>
        </w:rPr>
        <w:t>El jaguar (</w:t>
      </w:r>
      <w:r w:rsidRPr="00B450EB">
        <w:rPr>
          <w:rFonts w:cs="Arial"/>
          <w:i/>
          <w:iCs/>
        </w:rPr>
        <w:t xml:space="preserve">Panthera </w:t>
      </w:r>
      <w:proofErr w:type="spellStart"/>
      <w:r w:rsidRPr="00B450EB">
        <w:rPr>
          <w:rFonts w:cs="Arial"/>
          <w:i/>
          <w:iCs/>
        </w:rPr>
        <w:t>onca</w:t>
      </w:r>
      <w:proofErr w:type="spellEnd"/>
      <w:r w:rsidRPr="00B450EB">
        <w:rPr>
          <w:rFonts w:cs="Arial"/>
          <w:i/>
          <w:iCs/>
        </w:rPr>
        <w:t>),</w:t>
      </w:r>
      <w:r w:rsidRPr="00B450EB">
        <w:rPr>
          <w:rFonts w:cs="Arial"/>
        </w:rPr>
        <w:t xml:space="preserve"> considerado una especie sombrilla, ha sido el objeto de diversos análisis de conectividad debido a sus amplios requerimientos de hábitat. Estudios recientes han mostrado que su supervivencia depende de la existencia de corredores biológicos que conecten áreas núcleo, evitando el aislamiento genético y facilitando el flujo entre subpoblaciones (Hernández-León, 2021). En Colombia, el corredor del jaguar busca conectar la Amazonía con los Andes y la Orinoquía, lo que tiene efectos positivos sobre la conservación de otras especies y ecosistemas. Los modelos de conectividad empleados integran datos sobre coberturas naturales, presión antrópica y la presencia de áreas protegidas. Esta iniciativa no solo destaca la importancia de conservar una especie emblemática, sino que ofrece una visión estratégica del territorio en términos de conectividad ecológica.</w:t>
      </w:r>
    </w:p>
    <w:p w14:paraId="38086045" w14:textId="72289AA0" w:rsidR="005D12DF" w:rsidRPr="00B450EB" w:rsidRDefault="005D12DF" w:rsidP="00377AD7">
      <w:pPr>
        <w:pStyle w:val="Descripcin"/>
        <w:rPr>
          <w:color w:val="auto"/>
        </w:rPr>
      </w:pPr>
      <w:bookmarkStart w:id="126" w:name="_Toc209462752"/>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64</w:t>
      </w:r>
      <w:r w:rsidRPr="00B450EB">
        <w:rPr>
          <w:color w:val="auto"/>
        </w:rPr>
        <w:fldChar w:fldCharType="end"/>
      </w:r>
      <w:r w:rsidRPr="00B450EB">
        <w:rPr>
          <w:color w:val="auto"/>
        </w:rPr>
        <w:t xml:space="preserve"> Corredores de conectividad priorizados</w:t>
      </w:r>
      <w:r w:rsidR="00FE185E" w:rsidRPr="00B450EB">
        <w:rPr>
          <w:color w:val="auto"/>
        </w:rPr>
        <w:t xml:space="preserve"> para el jaguar (Panthera </w:t>
      </w:r>
      <w:proofErr w:type="spellStart"/>
      <w:r w:rsidR="00FE185E" w:rsidRPr="00B450EB">
        <w:rPr>
          <w:color w:val="auto"/>
        </w:rPr>
        <w:t>onca</w:t>
      </w:r>
      <w:proofErr w:type="spellEnd"/>
      <w:r w:rsidR="00FE185E" w:rsidRPr="00B450EB">
        <w:rPr>
          <w:color w:val="auto"/>
        </w:rPr>
        <w:t>)</w:t>
      </w:r>
      <w:bookmarkEnd w:id="126"/>
    </w:p>
    <w:p w14:paraId="77F5837A" w14:textId="096EE37E" w:rsidR="0032048F" w:rsidRPr="00B450EB" w:rsidRDefault="0032048F" w:rsidP="003F3402">
      <w:pPr>
        <w:spacing w:after="0"/>
        <w:jc w:val="center"/>
        <w:rPr>
          <w:rFonts w:cs="Arial"/>
        </w:rPr>
      </w:pPr>
      <w:r w:rsidRPr="00B450EB">
        <w:rPr>
          <w:rFonts w:cs="Arial"/>
          <w:noProof/>
        </w:rPr>
        <w:drawing>
          <wp:inline distT="0" distB="0" distL="0" distR="0" wp14:anchorId="7E1A043A" wp14:editId="04857AB7">
            <wp:extent cx="5124979" cy="3960000"/>
            <wp:effectExtent l="0" t="0" r="0" b="2540"/>
            <wp:docPr id="1474235955"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35955" name="Imagen 2" descr="Mapa&#10;&#10;El contenido generado por IA puede ser incorrecto."/>
                    <pic:cNvPicPr/>
                  </pic:nvPicPr>
                  <pic:blipFill>
                    <a:blip r:embed="rId111" cstate="email">
                      <a:extLst>
                        <a:ext uri="{28A0092B-C50C-407E-A947-70E740481C1C}">
                          <a14:useLocalDpi xmlns:a14="http://schemas.microsoft.com/office/drawing/2010/main"/>
                        </a:ext>
                      </a:extLst>
                    </a:blip>
                    <a:stretch>
                      <a:fillRect/>
                    </a:stretch>
                  </pic:blipFill>
                  <pic:spPr>
                    <a:xfrm>
                      <a:off x="0" y="0"/>
                      <a:ext cx="5124979" cy="3960000"/>
                    </a:xfrm>
                    <a:prstGeom prst="rect">
                      <a:avLst/>
                    </a:prstGeom>
                  </pic:spPr>
                </pic:pic>
              </a:graphicData>
            </a:graphic>
          </wp:inline>
        </w:drawing>
      </w:r>
    </w:p>
    <w:p w14:paraId="01625476" w14:textId="777F1E30" w:rsidR="00FE185E" w:rsidRPr="00B450EB" w:rsidRDefault="00FE185E" w:rsidP="00FE185E">
      <w:pPr>
        <w:spacing w:after="0"/>
        <w:jc w:val="center"/>
        <w:rPr>
          <w:sz w:val="18"/>
          <w:szCs w:val="18"/>
        </w:rPr>
      </w:pPr>
      <w:r w:rsidRPr="00B450EB">
        <w:rPr>
          <w:sz w:val="18"/>
          <w:szCs w:val="18"/>
        </w:rPr>
        <w:t xml:space="preserve">Fuente: </w:t>
      </w:r>
      <w:r w:rsidR="001E6BDE" w:rsidRPr="00B450EB">
        <w:rPr>
          <w:sz w:val="18"/>
          <w:szCs w:val="18"/>
        </w:rPr>
        <w:t>Fundación Panthera, 2016</w:t>
      </w:r>
      <w:r w:rsidR="00F91A66" w:rsidRPr="00B450EB">
        <w:rPr>
          <w:sz w:val="18"/>
          <w:szCs w:val="18"/>
        </w:rPr>
        <w:t>.</w:t>
      </w:r>
    </w:p>
    <w:p w14:paraId="7E3062B5" w14:textId="77777777" w:rsidR="003F3402" w:rsidRPr="00B450EB" w:rsidRDefault="003F3402" w:rsidP="008B6EB1">
      <w:pPr>
        <w:rPr>
          <w:rFonts w:cs="Arial"/>
        </w:rPr>
      </w:pPr>
    </w:p>
    <w:p w14:paraId="1137A86A" w14:textId="2D885991" w:rsidR="003F6176" w:rsidRPr="00B450EB" w:rsidRDefault="003F6176" w:rsidP="003F6176">
      <w:pPr>
        <w:pStyle w:val="Prrafodelista"/>
        <w:numPr>
          <w:ilvl w:val="0"/>
          <w:numId w:val="7"/>
        </w:numPr>
        <w:rPr>
          <w:rFonts w:cs="Arial"/>
        </w:rPr>
      </w:pPr>
      <w:r w:rsidRPr="00B450EB">
        <w:rPr>
          <w:rFonts w:cs="Arial"/>
        </w:rPr>
        <w:t>Áreas complementarias como grandes conectores de la biodiversidad</w:t>
      </w:r>
    </w:p>
    <w:p w14:paraId="3FB4B09C" w14:textId="480EF2EB" w:rsidR="001073BA" w:rsidRPr="00B450EB" w:rsidRDefault="001073BA" w:rsidP="001073BA">
      <w:pPr>
        <w:rPr>
          <w:rFonts w:cs="Arial"/>
        </w:rPr>
      </w:pPr>
      <w:r w:rsidRPr="00B450EB">
        <w:rPr>
          <w:rFonts w:cs="Arial"/>
        </w:rPr>
        <w:lastRenderedPageBreak/>
        <w:t xml:space="preserve">El Instituto Alexander </w:t>
      </w:r>
      <w:proofErr w:type="spellStart"/>
      <w:r w:rsidRPr="00B450EB">
        <w:rPr>
          <w:rFonts w:cs="Arial"/>
        </w:rPr>
        <w:t>von</w:t>
      </w:r>
      <w:proofErr w:type="spellEnd"/>
      <w:r w:rsidRPr="00B450EB">
        <w:rPr>
          <w:rFonts w:cs="Arial"/>
        </w:rPr>
        <w:t xml:space="preserve"> Humboldt desarrolló un ejercicio de modelación espacial para identificar corredores de conectividad a nivel nacional, tomando como áreas núcleo las zonas ya incluidas en el Sistema Nacional de Áreas Protegidas (SINAP). A partir de un modelo de priorización, se elaboró un mapa tipo ráster que representa la red de corredores potenciales y las áreas complementarias necesarias para alcanzar los objetivos internacionales de protección del 17 % y 30 % de la superficie nacional. El análisis consideró dos criterios principales: (1) maximizar el número de especies protegidas reduciendo su riesgo de extinción, y (2) optimizar la conectividad mediante corredores que enlacen las áreas protegidas actuales. </w:t>
      </w:r>
    </w:p>
    <w:p w14:paraId="53FEA800" w14:textId="50A8259C" w:rsidR="00894922" w:rsidRPr="00B450EB" w:rsidRDefault="00894922" w:rsidP="00163322">
      <w:pPr>
        <w:pStyle w:val="Descripcin"/>
        <w:keepNext/>
        <w:rPr>
          <w:color w:val="auto"/>
        </w:rPr>
      </w:pPr>
      <w:bookmarkStart w:id="127" w:name="_Toc209462753"/>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65</w:t>
      </w:r>
      <w:r w:rsidR="0045353A" w:rsidRPr="00B450EB">
        <w:rPr>
          <w:noProof/>
          <w:color w:val="auto"/>
        </w:rPr>
        <w:fldChar w:fldCharType="end"/>
      </w:r>
      <w:r w:rsidR="005E3931" w:rsidRPr="00B450EB">
        <w:rPr>
          <w:color w:val="auto"/>
        </w:rPr>
        <w:t xml:space="preserve"> Red de corredores potenciales identificados para conectar áreas protegidas en Colombia</w:t>
      </w:r>
      <w:bookmarkEnd w:id="127"/>
    </w:p>
    <w:p w14:paraId="7A274A94" w14:textId="77777777" w:rsidR="00894922" w:rsidRPr="00B450EB" w:rsidRDefault="00894922" w:rsidP="003F3402">
      <w:pPr>
        <w:spacing w:after="0"/>
        <w:jc w:val="center"/>
        <w:rPr>
          <w:rFonts w:cs="Arial"/>
        </w:rPr>
      </w:pPr>
      <w:r w:rsidRPr="00B450EB">
        <w:rPr>
          <w:rFonts w:cs="Arial"/>
          <w:noProof/>
        </w:rPr>
        <w:drawing>
          <wp:inline distT="0" distB="0" distL="0" distR="0" wp14:anchorId="448DB3BD" wp14:editId="0FC16EF6">
            <wp:extent cx="5612130" cy="4336415"/>
            <wp:effectExtent l="0" t="0" r="7620" b="6985"/>
            <wp:docPr id="4168230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23087" name="Imagen 416823087"/>
                    <pic:cNvPicPr/>
                  </pic:nvPicPr>
                  <pic:blipFill>
                    <a:blip r:embed="rId112" cstate="email">
                      <a:extLst>
                        <a:ext uri="{28A0092B-C50C-407E-A947-70E740481C1C}">
                          <a14:useLocalDpi xmlns:a14="http://schemas.microsoft.com/office/drawing/2010/main"/>
                        </a:ext>
                      </a:extLst>
                    </a:blip>
                    <a:stretch>
                      <a:fillRect/>
                    </a:stretch>
                  </pic:blipFill>
                  <pic:spPr>
                    <a:xfrm>
                      <a:off x="0" y="0"/>
                      <a:ext cx="5612130" cy="4336415"/>
                    </a:xfrm>
                    <a:prstGeom prst="rect">
                      <a:avLst/>
                    </a:prstGeom>
                  </pic:spPr>
                </pic:pic>
              </a:graphicData>
            </a:graphic>
          </wp:inline>
        </w:drawing>
      </w:r>
    </w:p>
    <w:p w14:paraId="01CD199E" w14:textId="58DFE2CF" w:rsidR="005E3931" w:rsidRPr="00B450EB" w:rsidRDefault="005E3931" w:rsidP="00163322">
      <w:pPr>
        <w:jc w:val="center"/>
        <w:rPr>
          <w:sz w:val="18"/>
          <w:szCs w:val="18"/>
        </w:rPr>
      </w:pPr>
      <w:r w:rsidRPr="00B450EB">
        <w:rPr>
          <w:sz w:val="18"/>
          <w:szCs w:val="18"/>
        </w:rPr>
        <w:t xml:space="preserve">Fuente: </w:t>
      </w:r>
      <w:proofErr w:type="spellStart"/>
      <w:r w:rsidRPr="00B450EB">
        <w:rPr>
          <w:sz w:val="18"/>
          <w:szCs w:val="18"/>
        </w:rPr>
        <w:t>IAvH</w:t>
      </w:r>
      <w:proofErr w:type="spellEnd"/>
      <w:r w:rsidR="00163322" w:rsidRPr="00B450EB">
        <w:rPr>
          <w:sz w:val="18"/>
          <w:szCs w:val="18"/>
        </w:rPr>
        <w:t>- Áreas complementarias como grandes conectores de la biodiversidad</w:t>
      </w:r>
      <w:r w:rsidRPr="00B450EB">
        <w:rPr>
          <w:sz w:val="18"/>
          <w:szCs w:val="18"/>
        </w:rPr>
        <w:t>, 202</w:t>
      </w:r>
      <w:r w:rsidR="00163322" w:rsidRPr="00B450EB">
        <w:rPr>
          <w:sz w:val="18"/>
          <w:szCs w:val="18"/>
        </w:rPr>
        <w:t>1</w:t>
      </w:r>
    </w:p>
    <w:p w14:paraId="00862B4A" w14:textId="4D98CE18" w:rsidR="00894922" w:rsidRPr="00B450EB" w:rsidRDefault="001073BA" w:rsidP="001073BA">
      <w:pPr>
        <w:rPr>
          <w:rFonts w:cs="Arial"/>
        </w:rPr>
      </w:pPr>
      <w:r w:rsidRPr="00B450EB">
        <w:rPr>
          <w:rFonts w:cs="Arial"/>
        </w:rPr>
        <w:t xml:space="preserve">Los resultados muestran que, de las 67 ecorregiones reconocidas en Colombia, solo 17 han alcanzado un nivel de protección igual o superior al 30 %, mientras que menos de la mitad superan el 17 %. Este déficit evidencia la necesidad de establecer áreas complementarias de conservación —también denominadas Estrategias Complementarias de Conservación (ECC), reconocidas como Otras Medidas Efectivas de Conservación Basadas en Áreas (OMEC)— que, aunque no </w:t>
      </w:r>
      <w:proofErr w:type="gramStart"/>
      <w:r w:rsidRPr="00B450EB">
        <w:rPr>
          <w:rFonts w:cs="Arial"/>
        </w:rPr>
        <w:lastRenderedPageBreak/>
        <w:t>se enmarcan dentro del</w:t>
      </w:r>
      <w:proofErr w:type="gramEnd"/>
      <w:r w:rsidRPr="00B450EB">
        <w:rPr>
          <w:rFonts w:cs="Arial"/>
        </w:rPr>
        <w:t xml:space="preserve"> sistema de áreas protegidas tradicionales, contribuyen de manera significativa a la conservación in situ de la biodiversidad, los servicios ecosistémicos y los valores culturales.</w:t>
      </w:r>
    </w:p>
    <w:p w14:paraId="13FB6686" w14:textId="77777777" w:rsidR="001073BA" w:rsidRPr="00B450EB" w:rsidRDefault="001073BA" w:rsidP="001073BA">
      <w:pPr>
        <w:rPr>
          <w:rFonts w:cs="Arial"/>
        </w:rPr>
      </w:pPr>
      <w:r w:rsidRPr="00B450EB">
        <w:rPr>
          <w:rFonts w:cs="Arial"/>
        </w:rPr>
        <w:t>La priorización espacial identificó corredores clave en regiones como la Serranía de San Lucas, la Cordillera Central, los valles de los ríos Sinú y San Jorge, el Macizo Colombiano, la Serranía de la Macarena y el piedemonte oriental. En el caso del bioma amazónico, el modelo revela que la conectividad es especialmente débil en la franja conocida como el arco de deforestación, ubicada en la zona de transición entre los Andes y la Amazonía. Esta pérdida de conectividad amenaza con fragmentar los corredores naturales necesarios para la adaptación de las especies frente al cambio climático, comprometiendo la resiliencia de la biodiversidad amazónica.</w:t>
      </w:r>
    </w:p>
    <w:p w14:paraId="6657A20F" w14:textId="2E98CC44" w:rsidR="003F6176" w:rsidRPr="00B450EB" w:rsidRDefault="001073BA" w:rsidP="001073BA">
      <w:pPr>
        <w:rPr>
          <w:rFonts w:cs="Arial"/>
        </w:rPr>
      </w:pPr>
      <w:r w:rsidRPr="00B450EB">
        <w:rPr>
          <w:rFonts w:cs="Arial"/>
        </w:rPr>
        <w:t>El ejercicio también estimó que, a nivel nacional, cerca del 37,5 % de las áreas complementarias se ubican en paisajes naturales con baja intervención humana, mientras que alrededor del 40 % se encuentran en paisajes productivos con niveles de transformación medios o altos. En este contexto, las estrategias de manejo deben priorizar tanto la restauración de áreas degradadas como la promoción de prácticas sostenibles en paisajes agrícolas. Asimismo, se resalta la necesidad de que los protocolos de priorización espacial incluyan factores socioeconómicos —como la equidad social y los costos de restauración— para orientar de manera más efectiva la inversión en conservación.</w:t>
      </w:r>
    </w:p>
    <w:p w14:paraId="0D44A9F2" w14:textId="3D874D3F" w:rsidR="008B6EB1" w:rsidRPr="00B450EB" w:rsidRDefault="00641781" w:rsidP="001C1081">
      <w:pPr>
        <w:pStyle w:val="Prrafodelista"/>
        <w:numPr>
          <w:ilvl w:val="0"/>
          <w:numId w:val="7"/>
        </w:numPr>
        <w:rPr>
          <w:rFonts w:cs="Arial"/>
        </w:rPr>
      </w:pPr>
      <w:r w:rsidRPr="00B450EB">
        <w:rPr>
          <w:rFonts w:cs="Arial"/>
        </w:rPr>
        <w:t xml:space="preserve">Corredores </w:t>
      </w:r>
      <w:r w:rsidR="008B5E5A" w:rsidRPr="00B450EB">
        <w:rPr>
          <w:rFonts w:cs="Arial"/>
        </w:rPr>
        <w:t>de conectividad priorizados entre áreas protegidas en Colombia mediante un enfoque funcional para las aves</w:t>
      </w:r>
    </w:p>
    <w:p w14:paraId="6AC2F86D" w14:textId="65AA6E9E" w:rsidR="00D203BB" w:rsidRPr="00B450EB" w:rsidRDefault="00641781" w:rsidP="005B67B2">
      <w:pPr>
        <w:rPr>
          <w:rFonts w:cs="Arial"/>
        </w:rPr>
      </w:pPr>
      <w:r w:rsidRPr="00B450EB">
        <w:rPr>
          <w:rFonts w:cs="Arial"/>
        </w:rPr>
        <w:t>La Amazonía también juega un papel crucial en la conectividad de aves, tanto residentes como migratorias. Un estudio reciente subraya la importancia de mantener corredores entre parques naturales sudamericanos para garantizar la persistencia de la avifauna (</w:t>
      </w:r>
      <w:proofErr w:type="spellStart"/>
      <w:r w:rsidRPr="00B450EB">
        <w:rPr>
          <w:rFonts w:cs="Arial"/>
        </w:rPr>
        <w:t>Brawn</w:t>
      </w:r>
      <w:proofErr w:type="spellEnd"/>
      <w:r w:rsidRPr="00B450EB">
        <w:rPr>
          <w:rFonts w:cs="Arial"/>
        </w:rPr>
        <w:t xml:space="preserve"> et al., 2023). En el caso colombiano, estas rutas permiten el movimiento de especies con distintos requerimientos ecológicos, facilitando el flujo genético y desempeñando funciones clave como la dispersión de semillas y la polinización. La metodología utilizada integra modelos de conectividad con datos de ocurrencia de especies y análisis de paisaje, permitiendo evaluar la efectividad de las redes de áreas protegidas para mantener poblaciones viables. Se concluye que la mera existencia de parques naturales no es suficiente para garantizar la conservación; es esencial una conectividad funcional efectiva entre ellos.</w:t>
      </w:r>
      <w:r w:rsidR="00D203BB" w:rsidRPr="00B450EB">
        <w:rPr>
          <w:rFonts w:cs="Arial"/>
        </w:rPr>
        <w:br w:type="page"/>
      </w:r>
    </w:p>
    <w:p w14:paraId="570FDB7F" w14:textId="0F9CF114" w:rsidR="00E44FA7" w:rsidRPr="00B450EB" w:rsidRDefault="00E44FA7" w:rsidP="00377AD7">
      <w:pPr>
        <w:pStyle w:val="Descripcin"/>
        <w:rPr>
          <w:color w:val="auto"/>
        </w:rPr>
      </w:pPr>
      <w:bookmarkStart w:id="128" w:name="_Toc209462754"/>
      <w:r w:rsidRPr="00B450EB">
        <w:rPr>
          <w:color w:val="auto"/>
        </w:rPr>
        <w:lastRenderedPageBreak/>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66</w:t>
      </w:r>
      <w:r w:rsidRPr="00B450EB">
        <w:rPr>
          <w:color w:val="auto"/>
        </w:rPr>
        <w:fldChar w:fldCharType="end"/>
      </w:r>
      <w:r w:rsidRPr="00B450EB">
        <w:rPr>
          <w:color w:val="auto"/>
        </w:rPr>
        <w:t xml:space="preserve"> Corredores de conectividad priorizados </w:t>
      </w:r>
      <w:r w:rsidR="008862BE" w:rsidRPr="00B450EB">
        <w:rPr>
          <w:color w:val="auto"/>
        </w:rPr>
        <w:t>entre áreas protegidas en Colombia mediante un enfoque funcional para las aves</w:t>
      </w:r>
      <w:bookmarkEnd w:id="128"/>
    </w:p>
    <w:p w14:paraId="6CAF5AF6" w14:textId="67C323C3" w:rsidR="0032048F" w:rsidRPr="00B450EB" w:rsidRDefault="0032048F" w:rsidP="003F3402">
      <w:pPr>
        <w:spacing w:after="0"/>
        <w:jc w:val="center"/>
        <w:rPr>
          <w:rFonts w:cs="Arial"/>
        </w:rPr>
      </w:pPr>
      <w:r w:rsidRPr="00B450EB">
        <w:rPr>
          <w:rFonts w:cs="Arial"/>
          <w:noProof/>
        </w:rPr>
        <w:drawing>
          <wp:inline distT="0" distB="0" distL="0" distR="0" wp14:anchorId="443FDDAF" wp14:editId="0ACA9ADA">
            <wp:extent cx="4753124" cy="3672672"/>
            <wp:effectExtent l="0" t="0" r="0" b="4445"/>
            <wp:docPr id="3567971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97123" name="Imagen 356797123"/>
                    <pic:cNvPicPr/>
                  </pic:nvPicPr>
                  <pic:blipFill>
                    <a:blip r:embed="rId113" cstate="email">
                      <a:extLst>
                        <a:ext uri="{28A0092B-C50C-407E-A947-70E740481C1C}">
                          <a14:useLocalDpi xmlns:a14="http://schemas.microsoft.com/office/drawing/2010/main"/>
                        </a:ext>
                      </a:extLst>
                    </a:blip>
                    <a:stretch>
                      <a:fillRect/>
                    </a:stretch>
                  </pic:blipFill>
                  <pic:spPr>
                    <a:xfrm>
                      <a:off x="0" y="0"/>
                      <a:ext cx="4773654" cy="3688535"/>
                    </a:xfrm>
                    <a:prstGeom prst="rect">
                      <a:avLst/>
                    </a:prstGeom>
                  </pic:spPr>
                </pic:pic>
              </a:graphicData>
            </a:graphic>
          </wp:inline>
        </w:drawing>
      </w:r>
    </w:p>
    <w:p w14:paraId="3B815D4F" w14:textId="31FF19C5" w:rsidR="00E44FA7" w:rsidRPr="00B450EB" w:rsidRDefault="00E44FA7" w:rsidP="005B67B2">
      <w:pPr>
        <w:spacing w:after="0"/>
        <w:jc w:val="center"/>
        <w:rPr>
          <w:sz w:val="18"/>
          <w:szCs w:val="18"/>
        </w:rPr>
      </w:pPr>
      <w:r w:rsidRPr="00B450EB">
        <w:rPr>
          <w:sz w:val="18"/>
          <w:szCs w:val="18"/>
        </w:rPr>
        <w:t xml:space="preserve">Fuente: </w:t>
      </w:r>
      <w:r w:rsidR="00F106C1" w:rsidRPr="00B450EB">
        <w:rPr>
          <w:sz w:val="18"/>
          <w:szCs w:val="18"/>
        </w:rPr>
        <w:t xml:space="preserve">Linero Triana, D., Correa </w:t>
      </w:r>
      <w:proofErr w:type="spellStart"/>
      <w:r w:rsidR="00F106C1" w:rsidRPr="00B450EB">
        <w:rPr>
          <w:sz w:val="18"/>
          <w:szCs w:val="18"/>
        </w:rPr>
        <w:t>Ayram</w:t>
      </w:r>
      <w:proofErr w:type="spellEnd"/>
      <w:r w:rsidR="00F106C1" w:rsidRPr="00B450EB">
        <w:rPr>
          <w:sz w:val="18"/>
          <w:szCs w:val="18"/>
        </w:rPr>
        <w:t>, C. A., &amp; Velásquez-</w:t>
      </w:r>
      <w:proofErr w:type="spellStart"/>
      <w:r w:rsidR="00F106C1" w:rsidRPr="00B450EB">
        <w:rPr>
          <w:sz w:val="18"/>
          <w:szCs w:val="18"/>
        </w:rPr>
        <w:t>Tibatá</w:t>
      </w:r>
      <w:proofErr w:type="spellEnd"/>
      <w:r w:rsidR="00F106C1" w:rsidRPr="00B450EB">
        <w:rPr>
          <w:sz w:val="18"/>
          <w:szCs w:val="18"/>
        </w:rPr>
        <w:t>.</w:t>
      </w:r>
      <w:r w:rsidR="00F91A66" w:rsidRPr="00B450EB">
        <w:rPr>
          <w:sz w:val="18"/>
          <w:szCs w:val="18"/>
        </w:rPr>
        <w:t>,</w:t>
      </w:r>
      <w:r w:rsidR="00F106C1" w:rsidRPr="00B450EB">
        <w:rPr>
          <w:sz w:val="18"/>
          <w:szCs w:val="18"/>
        </w:rPr>
        <w:t xml:space="preserve"> 2023.</w:t>
      </w:r>
    </w:p>
    <w:p w14:paraId="7FF05BBF" w14:textId="77777777" w:rsidR="005B67B2" w:rsidRPr="00B450EB" w:rsidRDefault="005B67B2" w:rsidP="005B67B2">
      <w:pPr>
        <w:spacing w:after="0"/>
        <w:jc w:val="center"/>
        <w:rPr>
          <w:sz w:val="18"/>
          <w:szCs w:val="18"/>
        </w:rPr>
      </w:pPr>
    </w:p>
    <w:p w14:paraId="37B1549F" w14:textId="77777777" w:rsidR="00EA30EA" w:rsidRPr="00B450EB" w:rsidRDefault="00641781" w:rsidP="00641781">
      <w:pPr>
        <w:rPr>
          <w:rFonts w:cs="Arial"/>
        </w:rPr>
      </w:pPr>
      <w:r w:rsidRPr="00B450EB">
        <w:rPr>
          <w:rFonts w:cs="Arial"/>
        </w:rPr>
        <w:t xml:space="preserve">El análisis de los patrones actuales de conectividad en la Amazonía colombiana permite identificar zonas estratégicas para la conservación y definir corredores prioritarios que aseguren la resiliencia ecológica del bioma. Según el Instituto SINCHI (2018), las áreas con mayor potencial de conectividad se concentran en la región de transición Andes–Amazonía, donde convergen altos niveles de biodiversidad, corredores altitudinales y crecientes presiones antrópicas. </w:t>
      </w:r>
    </w:p>
    <w:p w14:paraId="79B91FE9" w14:textId="6CE5671A" w:rsidR="00641781" w:rsidRPr="00B450EB" w:rsidRDefault="00641781" w:rsidP="00641781">
      <w:pPr>
        <w:rPr>
          <w:rFonts w:cs="Arial"/>
        </w:rPr>
      </w:pPr>
      <w:r w:rsidRPr="00B450EB">
        <w:rPr>
          <w:rFonts w:cs="Arial"/>
        </w:rPr>
        <w:t>Sin embargo, la conectividad enfrenta una dualidad preocupante: por un lado, existen vastas áreas de bosque continuo con alta conectividad estructural; por otro, la expansión de la frontera agropecuaria, la ganadería y la infraestructura vial han incrementado la fragmentación, especialmente en zonas ribereñas como el Caguán y el Guayabero. Este patrón fragmentado está generando un mosaico en el que las áreas núcleo de conservación están cada vez más aisladas por matrices hostiles.</w:t>
      </w:r>
    </w:p>
    <w:p w14:paraId="4E0A1831" w14:textId="4C5A3485" w:rsidR="00641781" w:rsidRPr="00B450EB" w:rsidRDefault="00641781" w:rsidP="00641781">
      <w:pPr>
        <w:rPr>
          <w:rFonts w:cs="Arial"/>
        </w:rPr>
      </w:pPr>
      <w:r w:rsidRPr="00B450EB">
        <w:rPr>
          <w:rFonts w:cs="Arial"/>
        </w:rPr>
        <w:t xml:space="preserve">Iniciativas como el corredor del jaguar y los corredores </w:t>
      </w:r>
      <w:r w:rsidR="00B5582C" w:rsidRPr="00B450EB">
        <w:rPr>
          <w:rFonts w:cs="Arial"/>
        </w:rPr>
        <w:t>con un enfoque funcional en avifauna</w:t>
      </w:r>
      <w:r w:rsidRPr="00B450EB">
        <w:rPr>
          <w:rFonts w:cs="Arial"/>
        </w:rPr>
        <w:t xml:space="preserve"> ofrecen estrategias de conectividad a escala regional, integrando enfoques </w:t>
      </w:r>
      <w:proofErr w:type="spellStart"/>
      <w:r w:rsidRPr="00B450EB">
        <w:rPr>
          <w:rFonts w:cs="Arial"/>
        </w:rPr>
        <w:t>multiespecie</w:t>
      </w:r>
      <w:proofErr w:type="spellEnd"/>
      <w:r w:rsidRPr="00B450EB">
        <w:rPr>
          <w:rFonts w:cs="Arial"/>
        </w:rPr>
        <w:t xml:space="preserve"> y considerando variables ecológicas clave. No obstante, la evidencia demuestra que, sin una gestión territorial integral, la conectividad ecológica seguirá deteriorándose. Su incorporación como criterio central en el ordenamiento territorial </w:t>
      </w:r>
      <w:r w:rsidRPr="00B450EB">
        <w:rPr>
          <w:rFonts w:cs="Arial"/>
        </w:rPr>
        <w:lastRenderedPageBreak/>
        <w:t>es, por tanto, urgente y necesaria. La situación subraya la necesidad de fortalecer la producción científica en ecología funcional del paisaje, con el fin de generar insumos que orienten la planificación territorial y las estrategias de conservación ante las crecientes presiones antrópicas.</w:t>
      </w:r>
    </w:p>
    <w:p w14:paraId="30EA2343" w14:textId="5EA22CA4" w:rsidR="003C49F4" w:rsidRPr="00B450EB" w:rsidRDefault="003C49F4" w:rsidP="001C1081">
      <w:pPr>
        <w:pStyle w:val="Prrafodelista"/>
        <w:numPr>
          <w:ilvl w:val="0"/>
          <w:numId w:val="7"/>
        </w:numPr>
        <w:rPr>
          <w:rFonts w:cs="Arial"/>
          <w:i/>
          <w:iCs/>
        </w:rPr>
      </w:pPr>
      <w:r w:rsidRPr="00B450EB">
        <w:rPr>
          <w:rFonts w:cs="Arial"/>
          <w:i/>
          <w:iCs/>
        </w:rPr>
        <w:t>Integridad ecológica</w:t>
      </w:r>
    </w:p>
    <w:p w14:paraId="323C2895" w14:textId="67A12763" w:rsidR="00FC37E8" w:rsidRPr="00B450EB" w:rsidRDefault="005A3D1D" w:rsidP="00FC37E8">
      <w:pPr>
        <w:rPr>
          <w:rFonts w:cs="Arial"/>
          <w:lang w:val="es"/>
        </w:rPr>
      </w:pPr>
      <w:r w:rsidRPr="00B450EB">
        <w:rPr>
          <w:rFonts w:cs="Arial"/>
        </w:rPr>
        <w:t>En adición a las aproximaciones previas, el Ministerio de Medio Ambient</w:t>
      </w:r>
      <w:r w:rsidR="003F3402" w:rsidRPr="00B450EB">
        <w:rPr>
          <w:rFonts w:cs="Arial"/>
        </w:rPr>
        <w:t xml:space="preserve">e </w:t>
      </w:r>
      <w:r w:rsidR="00BD4A4E" w:rsidRPr="00B450EB">
        <w:rPr>
          <w:rFonts w:cs="Arial"/>
        </w:rPr>
        <w:t xml:space="preserve">y Desarrollo sostenible </w:t>
      </w:r>
      <w:r w:rsidR="00E404FA" w:rsidRPr="00B450EB">
        <w:rPr>
          <w:rFonts w:cs="Arial"/>
        </w:rPr>
        <w:t xml:space="preserve">(2023) </w:t>
      </w:r>
      <w:r w:rsidR="00A045D4" w:rsidRPr="00B450EB">
        <w:rPr>
          <w:rFonts w:cs="Arial"/>
          <w:lang w:val="es"/>
        </w:rPr>
        <w:t>empleó un análisis multivariado que incluía la reducción en la diversidad ecosistémica, la conectividad de las coberturas y la oferta de servicios ecosistémicos</w:t>
      </w:r>
      <w:r w:rsidR="00A045D4" w:rsidRPr="00B450EB">
        <w:rPr>
          <w:rFonts w:cs="Arial"/>
        </w:rPr>
        <w:t xml:space="preserve"> </w:t>
      </w:r>
      <w:r w:rsidR="002B16F3" w:rsidRPr="00B450EB">
        <w:rPr>
          <w:rFonts w:cs="Arial"/>
        </w:rPr>
        <w:t>en un</w:t>
      </w:r>
      <w:r w:rsidR="00D134CB" w:rsidRPr="00B450EB">
        <w:rPr>
          <w:rFonts w:cs="Arial"/>
          <w:lang w:val="es"/>
        </w:rPr>
        <w:t xml:space="preserve"> modelo de pérdida de integridad ecológica </w:t>
      </w:r>
      <w:r w:rsidR="002B16F3" w:rsidRPr="00B450EB">
        <w:rPr>
          <w:rFonts w:cs="Arial"/>
        </w:rPr>
        <w:t>para determinar</w:t>
      </w:r>
      <w:r w:rsidR="00D134CB" w:rsidRPr="00B450EB">
        <w:rPr>
          <w:rFonts w:cs="Arial"/>
        </w:rPr>
        <w:t xml:space="preserve"> </w:t>
      </w:r>
      <w:r w:rsidR="00FC37E8" w:rsidRPr="00B450EB">
        <w:rPr>
          <w:rFonts w:cs="Arial"/>
        </w:rPr>
        <w:t>las prioridades de restauración la Estrategia Nacional de Restauración (</w:t>
      </w:r>
      <w:proofErr w:type="spellStart"/>
      <w:r w:rsidR="00FC37E8" w:rsidRPr="00B450EB">
        <w:rPr>
          <w:rFonts w:cs="Arial"/>
        </w:rPr>
        <w:t>MinAmbiente</w:t>
      </w:r>
      <w:proofErr w:type="spellEnd"/>
      <w:r w:rsidR="00FC37E8" w:rsidRPr="00B450EB">
        <w:rPr>
          <w:rFonts w:cs="Arial"/>
        </w:rPr>
        <w:t>, 2023)</w:t>
      </w:r>
      <w:r w:rsidR="00FC37E8" w:rsidRPr="00B450EB">
        <w:rPr>
          <w:rFonts w:cs="Arial"/>
          <w:vertAlign w:val="superscript"/>
        </w:rPr>
        <w:footnoteReference w:id="15"/>
      </w:r>
      <w:r w:rsidR="00FC37E8" w:rsidRPr="00B450EB">
        <w:rPr>
          <w:rFonts w:cs="Arial"/>
        </w:rPr>
        <w:t xml:space="preserve"> </w:t>
      </w:r>
      <w:r w:rsidR="00FC37E8" w:rsidRPr="00B450EB">
        <w:rPr>
          <w:rFonts w:cs="Arial"/>
          <w:lang w:val="es"/>
        </w:rPr>
        <w:t xml:space="preserve">del paisaje, elaborado por </w:t>
      </w:r>
      <w:proofErr w:type="spellStart"/>
      <w:r w:rsidR="00FC37E8" w:rsidRPr="00B450EB">
        <w:rPr>
          <w:rFonts w:cs="Arial"/>
          <w:lang w:val="es"/>
        </w:rPr>
        <w:t>Isaacs</w:t>
      </w:r>
      <w:proofErr w:type="spellEnd"/>
      <w:r w:rsidR="00FC37E8" w:rsidRPr="00B450EB">
        <w:rPr>
          <w:rFonts w:cs="Arial"/>
          <w:lang w:val="es"/>
        </w:rPr>
        <w:t xml:space="preserve"> y González (2021)</w:t>
      </w:r>
      <w:r w:rsidR="00FC37E8" w:rsidRPr="00B450EB">
        <w:rPr>
          <w:rFonts w:cs="Arial"/>
          <w:vertAlign w:val="superscript"/>
          <w:lang w:val="es"/>
        </w:rPr>
        <w:footnoteReference w:id="16"/>
      </w:r>
      <w:r w:rsidR="00FC37E8" w:rsidRPr="00B450EB">
        <w:rPr>
          <w:rFonts w:cs="Arial"/>
          <w:lang w:val="es"/>
        </w:rPr>
        <w:t xml:space="preserve">, </w:t>
      </w:r>
      <w:r w:rsidR="002B16F3" w:rsidRPr="00B450EB">
        <w:rPr>
          <w:rFonts w:cs="Arial"/>
          <w:lang w:val="es"/>
        </w:rPr>
        <w:t>incluyendo así mismo el bioma amazónico</w:t>
      </w:r>
      <w:r w:rsidR="00FC37E8" w:rsidRPr="00B450EB">
        <w:rPr>
          <w:rFonts w:cs="Arial"/>
          <w:lang w:val="es"/>
        </w:rPr>
        <w:t xml:space="preserve">. </w:t>
      </w:r>
      <w:r w:rsidR="00D134CB" w:rsidRPr="00B450EB">
        <w:rPr>
          <w:rFonts w:cs="Arial"/>
          <w:lang w:val="es"/>
        </w:rPr>
        <w:t xml:space="preserve">Entre los resultados se </w:t>
      </w:r>
      <w:r w:rsidR="00BD4A4E" w:rsidRPr="00B450EB">
        <w:rPr>
          <w:rFonts w:cs="Arial"/>
          <w:lang w:val="es"/>
        </w:rPr>
        <w:t>encontró</w:t>
      </w:r>
      <w:r w:rsidR="00D134CB" w:rsidRPr="00B450EB">
        <w:rPr>
          <w:rFonts w:cs="Arial"/>
          <w:lang w:val="es"/>
        </w:rPr>
        <w:t xml:space="preserve"> que, p</w:t>
      </w:r>
      <w:r w:rsidR="00FC37E8" w:rsidRPr="00B450EB">
        <w:rPr>
          <w:rFonts w:cs="Arial"/>
          <w:lang w:val="es"/>
        </w:rPr>
        <w:t xml:space="preserve">ara la </w:t>
      </w:r>
      <w:r w:rsidR="00FC37E8" w:rsidRPr="00B450EB">
        <w:rPr>
          <w:rFonts w:cs="Arial"/>
        </w:rPr>
        <w:t>Amazonía colombiana se registra aproximadamente</w:t>
      </w:r>
      <w:r w:rsidR="00FC37E8" w:rsidRPr="00B450EB">
        <w:rPr>
          <w:rFonts w:cs="Arial"/>
          <w:b/>
          <w:bCs/>
        </w:rPr>
        <w:t xml:space="preserve"> 1.159.595</w:t>
      </w:r>
      <w:r w:rsidR="00FC37E8" w:rsidRPr="00B450EB">
        <w:rPr>
          <w:rFonts w:cs="Arial"/>
        </w:rPr>
        <w:t xml:space="preserve"> </w:t>
      </w:r>
      <w:r w:rsidR="00FC37E8" w:rsidRPr="00B450EB">
        <w:rPr>
          <w:rFonts w:cs="Arial"/>
          <w:b/>
          <w:bCs/>
        </w:rPr>
        <w:t xml:space="preserve">hectáreas </w:t>
      </w:r>
      <w:r w:rsidR="00FC37E8" w:rsidRPr="00B450EB">
        <w:rPr>
          <w:rFonts w:cs="Arial"/>
        </w:rPr>
        <w:t xml:space="preserve">con </w:t>
      </w:r>
      <w:r w:rsidR="00FC37E8" w:rsidRPr="00B450EB">
        <w:rPr>
          <w:rFonts w:cs="Arial"/>
          <w:b/>
          <w:bCs/>
        </w:rPr>
        <w:t>Baja y muy baja integridad ecológica y 4</w:t>
      </w:r>
      <w:r w:rsidR="00FC37E8" w:rsidRPr="00B450EB">
        <w:rPr>
          <w:rFonts w:cs="Arial"/>
          <w:b/>
        </w:rPr>
        <w:t>,9 millones</w:t>
      </w:r>
      <w:r w:rsidR="00FC37E8" w:rsidRPr="00B450EB">
        <w:rPr>
          <w:rFonts w:cs="Arial"/>
        </w:rPr>
        <w:t xml:space="preserve"> de hectáreas en integridad media.  Esta pérdida de integridad del paisaje es sin lugar a duda uno de los problemas socioambientales de mayor relevancia para la región, ya que de la diversidad y conectividad biológica andino-amazónica-</w:t>
      </w:r>
      <w:proofErr w:type="spellStart"/>
      <w:r w:rsidR="00FC37E8" w:rsidRPr="00B450EB">
        <w:rPr>
          <w:rFonts w:cs="Arial"/>
        </w:rPr>
        <w:t>orinocense</w:t>
      </w:r>
      <w:proofErr w:type="spellEnd"/>
      <w:r w:rsidR="00FC37E8" w:rsidRPr="00B450EB">
        <w:rPr>
          <w:rFonts w:cs="Arial"/>
        </w:rPr>
        <w:t>, depende la seguridad hidro climática del país y el planeta.</w:t>
      </w:r>
    </w:p>
    <w:p w14:paraId="48EDA350" w14:textId="1998D455" w:rsidR="00FC37E8" w:rsidRPr="00B450EB" w:rsidRDefault="00FC37E8" w:rsidP="00FC37E8">
      <w:pPr>
        <w:rPr>
          <w:rFonts w:cs="Arial"/>
        </w:rPr>
      </w:pPr>
      <w:r w:rsidRPr="00B450EB">
        <w:rPr>
          <w:rFonts w:cs="Arial"/>
        </w:rPr>
        <w:t xml:space="preserve">Esta alta pérdida de conectividad en los paisajes amazónicos </w:t>
      </w:r>
      <w:r w:rsidR="002126AB" w:rsidRPr="00B450EB">
        <w:rPr>
          <w:rFonts w:cs="Arial"/>
        </w:rPr>
        <w:t>requiere</w:t>
      </w:r>
      <w:r w:rsidRPr="00B450EB">
        <w:rPr>
          <w:rFonts w:cs="Arial"/>
        </w:rPr>
        <w:t xml:space="preserve"> la prioridad de adelantar esfuerzos participativos e incluyentes para el diseño, implementación y seguimiento de estrategias multifuncionales de restauración para recuperar la conectividad y la integridad ecológica en la que se incluyan la gobernanza y las economías de la biodiversidad reflejadas en   beneficios humanos, conservación de la biodiversidad, multifuncionalidad y resiliencia de los paisajes</w:t>
      </w:r>
      <w:r w:rsidR="00325CAF" w:rsidRPr="00B450EB">
        <w:rPr>
          <w:rFonts w:cs="Arial"/>
        </w:rPr>
        <w:t>.</w:t>
      </w:r>
    </w:p>
    <w:p w14:paraId="6E934BE2" w14:textId="27EE4931" w:rsidR="00325CAF" w:rsidRPr="00B450EB" w:rsidRDefault="00325CAF" w:rsidP="00FC37E8">
      <w:r w:rsidRPr="00B450EB">
        <w:t>En este contexto, mantener la conectividad entre las tierras bajas amazónicas, las zonas más frescas de las tierras altas y los ecosistemas acuáticos representa una estrategia esencial para facilitar rutas de desplazamiento y adaptación de numerosas especies hacia las estribaciones andinas (</w:t>
      </w:r>
      <w:proofErr w:type="spellStart"/>
      <w:r w:rsidRPr="00B450EB">
        <w:t>Science</w:t>
      </w:r>
      <w:proofErr w:type="spellEnd"/>
      <w:r w:rsidRPr="00B450EB">
        <w:t xml:space="preserve"> Panel </w:t>
      </w:r>
      <w:proofErr w:type="spellStart"/>
      <w:r w:rsidRPr="00B450EB">
        <w:t>for</w:t>
      </w:r>
      <w:proofErr w:type="spellEnd"/>
      <w:r w:rsidRPr="00B450EB">
        <w:t xml:space="preserve"> </w:t>
      </w:r>
      <w:proofErr w:type="spellStart"/>
      <w:r w:rsidRPr="00B450EB">
        <w:t>the</w:t>
      </w:r>
      <w:proofErr w:type="spellEnd"/>
      <w:r w:rsidRPr="00B450EB">
        <w:t xml:space="preserve"> Amazon, 2021).</w:t>
      </w:r>
    </w:p>
    <w:p w14:paraId="563A00F1" w14:textId="4C67ACF1" w:rsidR="003F3402" w:rsidRPr="00B450EB" w:rsidRDefault="003F3402" w:rsidP="003F3402">
      <w:pPr>
        <w:pStyle w:val="Descripcin"/>
        <w:rPr>
          <w:color w:val="auto"/>
        </w:rPr>
      </w:pPr>
      <w:bookmarkStart w:id="129" w:name="_Toc209462755"/>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67</w:t>
      </w:r>
      <w:r w:rsidR="0045353A" w:rsidRPr="00B450EB">
        <w:rPr>
          <w:noProof/>
          <w:color w:val="auto"/>
        </w:rPr>
        <w:fldChar w:fldCharType="end"/>
      </w:r>
      <w:r w:rsidRPr="00B450EB">
        <w:rPr>
          <w:color w:val="auto"/>
        </w:rPr>
        <w:t xml:space="preserve">. Mapa de integridad del paisaje </w:t>
      </w:r>
      <w:r w:rsidRPr="00B450EB">
        <w:rPr>
          <w:noProof/>
          <w:color w:val="auto"/>
        </w:rPr>
        <w:drawing>
          <wp:inline distT="0" distB="0" distL="0" distR="0" wp14:anchorId="4907C73F" wp14:editId="2AFE5547">
            <wp:extent cx="4838700" cy="3629025"/>
            <wp:effectExtent l="0" t="0" r="0" b="9525"/>
            <wp:docPr id="1789466808" name="drawing" descr="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66808" name=""/>
                    <pic:cNvPicPr/>
                  </pic:nvPicPr>
                  <pic:blipFill>
                    <a:blip r:embed="rId114" cstate="email">
                      <a:extLst>
                        <a:ext uri="{28A0092B-C50C-407E-A947-70E740481C1C}">
                          <a14:useLocalDpi xmlns:a14="http://schemas.microsoft.com/office/drawing/2010/main"/>
                        </a:ext>
                      </a:extLst>
                    </a:blip>
                    <a:stretch>
                      <a:fillRect/>
                    </a:stretch>
                  </pic:blipFill>
                  <pic:spPr>
                    <a:xfrm>
                      <a:off x="0" y="0"/>
                      <a:ext cx="4838700" cy="3629025"/>
                    </a:xfrm>
                    <a:prstGeom prst="rect">
                      <a:avLst/>
                    </a:prstGeom>
                  </pic:spPr>
                </pic:pic>
              </a:graphicData>
            </a:graphic>
          </wp:inline>
        </w:drawing>
      </w:r>
      <w:bookmarkEnd w:id="129"/>
    </w:p>
    <w:p w14:paraId="0A430AF3" w14:textId="77777777" w:rsidR="003F3402" w:rsidRPr="00B450EB" w:rsidRDefault="003F3402" w:rsidP="003F3402">
      <w:pPr>
        <w:jc w:val="center"/>
        <w:rPr>
          <w:sz w:val="18"/>
          <w:szCs w:val="18"/>
        </w:rPr>
      </w:pPr>
      <w:r w:rsidRPr="00B450EB">
        <w:rPr>
          <w:sz w:val="18"/>
          <w:szCs w:val="18"/>
        </w:rPr>
        <w:t xml:space="preserve">Fuente:   </w:t>
      </w:r>
      <w:proofErr w:type="spellStart"/>
      <w:r w:rsidRPr="00B450EB">
        <w:rPr>
          <w:sz w:val="18"/>
          <w:szCs w:val="18"/>
        </w:rPr>
        <w:t>Isaacs</w:t>
      </w:r>
      <w:proofErr w:type="spellEnd"/>
      <w:r w:rsidRPr="00B450EB">
        <w:rPr>
          <w:sz w:val="18"/>
          <w:szCs w:val="18"/>
        </w:rPr>
        <w:t xml:space="preserve"> &amp; González (2021)</w:t>
      </w:r>
    </w:p>
    <w:p w14:paraId="3B701748" w14:textId="77777777" w:rsidR="003F3402" w:rsidRPr="00B450EB" w:rsidRDefault="003F3402" w:rsidP="00FC37E8"/>
    <w:p w14:paraId="6FDFB068" w14:textId="77777777" w:rsidR="00702D5A" w:rsidRPr="00B450EB" w:rsidRDefault="00702D5A" w:rsidP="00702D5A">
      <w:pPr>
        <w:pStyle w:val="Ttulo2"/>
        <w:numPr>
          <w:ilvl w:val="1"/>
          <w:numId w:val="16"/>
        </w:numPr>
        <w:spacing w:line="240" w:lineRule="auto"/>
        <w:mirrorIndents/>
        <w:rPr>
          <w:rFonts w:cs="Arial"/>
          <w:szCs w:val="24"/>
        </w:rPr>
      </w:pPr>
      <w:bookmarkStart w:id="130" w:name="_Toc209722933"/>
      <w:r w:rsidRPr="00B450EB">
        <w:rPr>
          <w:rFonts w:cs="Arial"/>
        </w:rPr>
        <w:t>MEDIO SOCIECONÓMICO</w:t>
      </w:r>
      <w:bookmarkEnd w:id="130"/>
      <w:r w:rsidRPr="00B450EB">
        <w:rPr>
          <w:rFonts w:cs="Arial"/>
        </w:rPr>
        <w:t xml:space="preserve"> </w:t>
      </w:r>
    </w:p>
    <w:p w14:paraId="737F8502" w14:textId="4133A00A" w:rsidR="00702D5A" w:rsidRPr="00B450EB" w:rsidRDefault="00025A81" w:rsidP="00702D5A">
      <w:pPr>
        <w:spacing w:line="240" w:lineRule="auto"/>
        <w:mirrorIndents/>
      </w:pPr>
      <w:r w:rsidRPr="00B450EB">
        <w:t>El Bioma Amazónico Colombia</w:t>
      </w:r>
      <w:r w:rsidR="0082205F" w:rsidRPr="00B450EB">
        <w:t>no</w:t>
      </w:r>
      <w:r w:rsidR="00702D5A" w:rsidRPr="00B450EB">
        <w:t>, abarca diez departamentos: en su totalidad, Amazonas, Caquetá, Guainía, Guaviare, Putumayo y Vaupés, y de manera parcial Vichada, Meta, Cauca y Nariño. En esta jurisdicción político-administrativa se incluyen alrededor de 61 municipios, entre ellos Leticia, San José del Guaviare, Mocoa, Mitú, Florencia y Puerto Inírida, que constituyen referentes territoriales clave. Sobre esta base geográfica y administrativa se estructura el análisis de las dinámicas socioeconómicas de la población amazónica, elemento esencial para comprender las condiciones sociales, económicas y demográficas que deben ser consideradas en el proceso de declaratoria de la Zona de Reserva d</w:t>
      </w:r>
      <w:r w:rsidR="003A2932" w:rsidRPr="00B450EB">
        <w:t>el Bioma</w:t>
      </w:r>
      <w:r w:rsidR="00702D5A" w:rsidRPr="00B450EB">
        <w:t xml:space="preserve"> Amaz</w:t>
      </w:r>
      <w:r w:rsidR="00E35EC4" w:rsidRPr="00B450EB">
        <w:t>ónico.</w:t>
      </w:r>
    </w:p>
    <w:p w14:paraId="4FFB6B08" w14:textId="77777777" w:rsidR="004D3751" w:rsidRPr="00B450EB" w:rsidRDefault="004D3751" w:rsidP="006A159E">
      <w:r w:rsidRPr="00B450EB">
        <w:t>En la región se encuentran 231 resguardos indígenas legalizados que cubren alrededor de 27 millones de ha, en los que viven al menos 64 sociedades indígenas. Además, hay organizaciones de comunidades negras, afrodescendientes, palenqueras y raizales, que tienen 32 consejos comunitarios con sus respectivos territorios recibidos del Estado (Ardila, 2023).</w:t>
      </w:r>
    </w:p>
    <w:p w14:paraId="5B97AD9E" w14:textId="77777777" w:rsidR="006A159E" w:rsidRPr="00B450EB" w:rsidRDefault="006A159E" w:rsidP="006A159E">
      <w:r w:rsidRPr="00B450EB">
        <w:t xml:space="preserve">La paulatina monopolización de las tierras ha sustituido las dinámicas de economías campesinas y comunitarias que se configuran en las territorialidades indígenas, </w:t>
      </w:r>
      <w:r w:rsidRPr="00B450EB">
        <w:lastRenderedPageBreak/>
        <w:t>afrodescendientes, campesinas y estatales; por agronegocios legales e ilegales, y por industrias extractivas. Desde mediados de la década de los noventa se presentó una nueva ola de colonización asociada a los cultivos de gran escala y la multiplicación de sistemas de producción basados en la ganadería; donde estas dinámicas de despojo de los territorios amazónicos han contribuido a la generación de conflictos que han derivado en procesos de deforestación (Fundación Para la Conservación y el Desarrollo Sostenible [FPCD], (s. f.)). Se puede llegar a considerar que las condiciones de acaparamiento de tierras para forzar cambios en su uso favoreciendo las industrias agrícolas y extractivas (legales o ilegales) se ha normalizado en el país, siguiendo una curva ascendente y afectando cada vez más municipios de la Orinoquía y Amazonía colombiana (Narváez, 2022).</w:t>
      </w:r>
    </w:p>
    <w:p w14:paraId="5AFE384A" w14:textId="77777777" w:rsidR="006A159E" w:rsidRPr="00B450EB" w:rsidRDefault="006A159E" w:rsidP="006A159E">
      <w:r w:rsidRPr="00B450EB">
        <w:t xml:space="preserve">Las actividades económicas desarrolladas en la Amazonia se han orientado por la extracción de recursos vegetales, forestales, animales y mineros-energéticos; donde se vienen desarrollando proyectos productivos en contravía de la vocación de los suelos de la región. En este sentido, el SINCHI (2022) alude a cinco (5) presiones socioambientales sobre la Amazonia, que tiene el potencial de crear las condiciones para generar conflictos socioambientales; las cuales son: perdida de bosque y </w:t>
      </w:r>
      <w:proofErr w:type="spellStart"/>
      <w:r w:rsidRPr="00B450EB">
        <w:t>praderización</w:t>
      </w:r>
      <w:proofErr w:type="spellEnd"/>
      <w:r w:rsidRPr="00B450EB">
        <w:t xml:space="preserve">, cultivos de uso ilícito, hidrocarburos y minería.  Esto, en línea con lo expresado por </w:t>
      </w:r>
      <w:proofErr w:type="spellStart"/>
      <w:r w:rsidRPr="00B450EB">
        <w:t>Hacón</w:t>
      </w:r>
      <w:proofErr w:type="spellEnd"/>
      <w:r w:rsidRPr="00B450EB">
        <w:t xml:space="preserve"> et al. (2024), quien identificó que la región enfrenta una amenaza cuádruple, comprendida por: cambio climático acelerado, pérdida de biodiversidad, contaminación de ecosistemas y deforestación, y el uso intensivo y extensivo de pesticidas; donde, además, abundan las</w:t>
      </w:r>
      <w:r w:rsidR="00D203BB" w:rsidRPr="00B450EB">
        <w:t xml:space="preserve"> </w:t>
      </w:r>
      <w:r w:rsidRPr="00B450EB">
        <w:t xml:space="preserve">desigualdades socioeconómicas, la falta de acceso a servicios básicos, la violencia y dificultades en la implementación de políticas públicas. Se hacen evidentes las dinámicas regionales permeadas por la presencia del conflicto armado, la desigualdad y la pobreza multidimensional.  </w:t>
      </w:r>
    </w:p>
    <w:p w14:paraId="6997D0F0" w14:textId="0AE1B43C" w:rsidR="006A159E" w:rsidRPr="00B450EB" w:rsidRDefault="006A159E" w:rsidP="006A159E">
      <w:r w:rsidRPr="00B450EB">
        <w:t>La relación distante y poco interesada que el país ha tenido con la Amazonia, ha llevado a esquemas de administración territorial inadecuados y a la aplicación de modelos de desarrollo extractivistas, inadecuados a la realidad cultural y biogeográfica de la Amazonia, los cuales en vez de aprovechar sosteniblemente sus excepcionales características socio ambientales las degradan, agotando la posibilidad de buscar formas de desarrollo que aprovechen su potencial como generadora de servicios ecosistémicos y el uso sostenible de sus recursos renovables (Cifuentes Guerrero &amp; Cote Alarcón, 2022).</w:t>
      </w:r>
    </w:p>
    <w:p w14:paraId="2F581818" w14:textId="77777777" w:rsidR="004D3751" w:rsidRPr="00B450EB" w:rsidRDefault="004D3751" w:rsidP="00702D5A">
      <w:pPr>
        <w:spacing w:line="240" w:lineRule="auto"/>
        <w:mirrorIndents/>
      </w:pPr>
    </w:p>
    <w:p w14:paraId="7E1E880C" w14:textId="5F144AEF" w:rsidR="00702D5A" w:rsidRPr="00B450EB" w:rsidRDefault="00702D5A" w:rsidP="00702D5A">
      <w:pPr>
        <w:pStyle w:val="Ttulo3"/>
        <w:numPr>
          <w:ilvl w:val="2"/>
          <w:numId w:val="16"/>
        </w:numPr>
        <w:spacing w:line="240" w:lineRule="auto"/>
        <w:mirrorIndents/>
        <w:rPr>
          <w:rFonts w:cs="Arial"/>
        </w:rPr>
      </w:pPr>
      <w:bookmarkStart w:id="131" w:name="_Toc209722934"/>
      <w:r w:rsidRPr="00B450EB">
        <w:rPr>
          <w:rFonts w:cs="Arial"/>
        </w:rPr>
        <w:lastRenderedPageBreak/>
        <w:t>Población</w:t>
      </w:r>
      <w:r w:rsidR="00DC1CDA" w:rsidRPr="00B450EB">
        <w:rPr>
          <w:rFonts w:cs="Arial"/>
        </w:rPr>
        <w:t xml:space="preserve"> </w:t>
      </w:r>
      <w:r w:rsidRPr="00B450EB">
        <w:rPr>
          <w:rFonts w:cs="Arial"/>
        </w:rPr>
        <w:t>y dinámica de poblamiento</w:t>
      </w:r>
      <w:bookmarkEnd w:id="131"/>
    </w:p>
    <w:p w14:paraId="076EBA85" w14:textId="68259AF6" w:rsidR="00702D5A" w:rsidRPr="00B450EB" w:rsidRDefault="00702D5A" w:rsidP="00702D5A">
      <w:pPr>
        <w:spacing w:line="240" w:lineRule="auto"/>
        <w:mirrorIndents/>
        <w:rPr>
          <w:rFonts w:eastAsia="Calibri" w:cs="Arial"/>
          <w:bCs/>
        </w:rPr>
      </w:pPr>
      <w:r w:rsidRPr="00B450EB">
        <w:rPr>
          <w:rFonts w:eastAsia="Calibri" w:cs="Arial"/>
        </w:rPr>
        <w:t xml:space="preserve">El Bioma Amazónico Colombiano alberga a aproximadamente 1,28 millones de habitantes, es decir, el 2,6% de la población nacional. Esta baja densidad poblacional </w:t>
      </w:r>
      <w:r w:rsidRPr="00B450EB">
        <w:rPr>
          <w:rFonts w:eastAsia="Calibri" w:cs="Arial"/>
          <w:bCs/>
        </w:rPr>
        <w:t>distribuida</w:t>
      </w:r>
      <w:r w:rsidRPr="00B450EB">
        <w:rPr>
          <w:rFonts w:eastAsia="Calibri" w:cs="Arial"/>
        </w:rPr>
        <w:t xml:space="preserve"> entre cabeceras municipales, centros poblados y áreas rurales dispersas se caracteriza por un patrón de asentamiento mayoritariamente rural</w:t>
      </w:r>
      <w:r w:rsidRPr="00B450EB">
        <w:rPr>
          <w:rFonts w:eastAsia="Calibri" w:cs="Arial"/>
          <w:bCs/>
        </w:rPr>
        <w:t xml:space="preserve"> donde</w:t>
      </w:r>
      <w:r w:rsidRPr="00B450EB">
        <w:rPr>
          <w:rFonts w:eastAsia="Calibri" w:cs="Arial"/>
        </w:rPr>
        <w:t xml:space="preserve"> el 52,37% de sus habitantes reside en zonas rurales y el 47,63% en cabeceras municipales.</w:t>
      </w:r>
    </w:p>
    <w:p w14:paraId="28BB5A9D" w14:textId="4C682F10" w:rsidR="00702D5A" w:rsidRPr="00B450EB" w:rsidRDefault="008A38EE" w:rsidP="00702D5A">
      <w:pPr>
        <w:spacing w:line="240" w:lineRule="auto"/>
        <w:mirrorIndents/>
        <w:rPr>
          <w:rFonts w:eastAsia="Calibri" w:cs="Arial"/>
        </w:rPr>
      </w:pPr>
      <w:r w:rsidRPr="00B450EB">
        <w:rPr>
          <w:rFonts w:eastAsia="Calibri" w:cs="Arial"/>
        </w:rPr>
        <w:t>Co</w:t>
      </w:r>
      <w:r w:rsidR="00AB7C1E" w:rsidRPr="00B450EB">
        <w:rPr>
          <w:rFonts w:eastAsia="Calibri" w:cs="Arial"/>
        </w:rPr>
        <w:t>nsiderando el área total de los departamentos que integran el bioma</w:t>
      </w:r>
      <w:r w:rsidR="00206755" w:rsidRPr="00B450EB">
        <w:rPr>
          <w:rFonts w:eastAsia="Calibri" w:cs="Arial"/>
        </w:rPr>
        <w:t xml:space="preserve"> y</w:t>
      </w:r>
      <w:r w:rsidR="00AB7C1E" w:rsidRPr="00B450EB">
        <w:rPr>
          <w:rFonts w:eastAsia="Calibri" w:cs="Arial"/>
        </w:rPr>
        <w:t xml:space="preserve"> como se evidencia</w:t>
      </w:r>
      <w:r w:rsidR="00206755" w:rsidRPr="00B450EB">
        <w:rPr>
          <w:rFonts w:eastAsia="Calibri" w:cs="Arial"/>
        </w:rPr>
        <w:t xml:space="preserve"> en la</w:t>
      </w:r>
      <w:r w:rsidR="0015632E" w:rsidRPr="00B450EB">
        <w:rPr>
          <w:rFonts w:eastAsia="Calibri" w:cs="Arial"/>
        </w:rPr>
        <w:t xml:space="preserve"> </w:t>
      </w:r>
      <w:r w:rsidR="00702D5A" w:rsidRPr="00B450EB">
        <w:rPr>
          <w:rFonts w:eastAsia="Calibri" w:cs="Arial"/>
        </w:rPr>
        <w:t xml:space="preserve"> </w:t>
      </w:r>
      <w:r w:rsidR="00702D5A" w:rsidRPr="00B450EB">
        <w:rPr>
          <w:bCs/>
        </w:rPr>
        <w:fldChar w:fldCharType="begin"/>
      </w:r>
      <w:r w:rsidR="00702D5A" w:rsidRPr="00B450EB">
        <w:rPr>
          <w:bCs/>
        </w:rPr>
        <w:instrText xml:space="preserve"> REF _Ref209031000 \h  \* MERGEFORMAT </w:instrText>
      </w:r>
      <w:r w:rsidR="00702D5A" w:rsidRPr="00B450EB">
        <w:rPr>
          <w:bCs/>
        </w:rPr>
      </w:r>
      <w:r w:rsidR="00702D5A" w:rsidRPr="00B450EB">
        <w:rPr>
          <w:bCs/>
        </w:rPr>
        <w:fldChar w:fldCharType="separate"/>
      </w:r>
      <w:r w:rsidR="00010D09" w:rsidRPr="00B450EB">
        <w:rPr>
          <w:b/>
        </w:rPr>
        <w:t xml:space="preserve">Tabla </w:t>
      </w:r>
      <w:r w:rsidR="00010D09" w:rsidRPr="00B450EB">
        <w:rPr>
          <w:noProof/>
        </w:rPr>
        <w:t>15</w:t>
      </w:r>
      <w:r w:rsidR="00702D5A" w:rsidRPr="00B450EB">
        <w:rPr>
          <w:bCs/>
        </w:rPr>
        <w:fldChar w:fldCharType="end"/>
      </w:r>
      <w:r w:rsidR="00702D5A" w:rsidRPr="00B450EB">
        <w:rPr>
          <w:rFonts w:eastAsia="Calibri" w:cs="Arial"/>
        </w:rPr>
        <w:t>, la distribución es heterogénea, mientras departamentos como Amazonas, Guainía, Vaupés y Vichada presentan bajas densidades y población dispersa, lo que favorece la conservación, aunque dificulta la provisión de servicios, en Caquetá, Putumayo, Guaviare y Meta se observa una mayor concentración poblacional vinculada a procesos de colonización y frontera agropecuaria. Por su parte, Cauca y Nariño, como territorios de transición, registran las densidades más altas.</w:t>
      </w:r>
    </w:p>
    <w:p w14:paraId="36900FE1" w14:textId="1E135A15" w:rsidR="00702D5A" w:rsidRPr="00B450EB" w:rsidRDefault="00702D5A" w:rsidP="00B34DB2">
      <w:pPr>
        <w:pStyle w:val="Descripcin"/>
        <w:rPr>
          <w:rFonts w:eastAsia="Calibri"/>
        </w:rPr>
      </w:pPr>
      <w:bookmarkStart w:id="132" w:name="_Ref209031000"/>
      <w:bookmarkStart w:id="133" w:name="_Toc209722998"/>
      <w:r w:rsidRPr="00B450EB">
        <w:t xml:space="preserve">Tabla </w:t>
      </w:r>
      <w:r w:rsidRPr="00B450EB">
        <w:fldChar w:fldCharType="begin"/>
      </w:r>
      <w:r w:rsidRPr="00B450EB">
        <w:instrText>SEQ Tabla \* ARABIC</w:instrText>
      </w:r>
      <w:r w:rsidRPr="00B450EB">
        <w:fldChar w:fldCharType="separate"/>
      </w:r>
      <w:r w:rsidR="009765C2" w:rsidRPr="00B450EB">
        <w:rPr>
          <w:noProof/>
        </w:rPr>
        <w:t>15</w:t>
      </w:r>
      <w:r w:rsidRPr="00B450EB">
        <w:fldChar w:fldCharType="end"/>
      </w:r>
      <w:bookmarkEnd w:id="132"/>
      <w:r w:rsidRPr="00B450EB">
        <w:t>. Población, densidad y estructura demográfica en departamentos del Bioma Amazónico Colombiano</w:t>
      </w:r>
      <w:bookmarkEnd w:id="133"/>
    </w:p>
    <w:tbl>
      <w:tblPr>
        <w:tblStyle w:val="Tablaconcuadrcula"/>
        <w:tblW w:w="5000" w:type="pct"/>
        <w:tblLook w:val="04A0" w:firstRow="1" w:lastRow="0" w:firstColumn="1" w:lastColumn="0" w:noHBand="0" w:noVBand="1"/>
      </w:tblPr>
      <w:tblGrid>
        <w:gridCol w:w="1400"/>
        <w:gridCol w:w="1066"/>
        <w:gridCol w:w="1162"/>
        <w:gridCol w:w="1515"/>
        <w:gridCol w:w="943"/>
        <w:gridCol w:w="867"/>
        <w:gridCol w:w="1010"/>
        <w:gridCol w:w="865"/>
      </w:tblGrid>
      <w:tr w:rsidR="00EF1937" w:rsidRPr="00B450EB" w14:paraId="60D9A111" w14:textId="77777777" w:rsidTr="00024A81">
        <w:trPr>
          <w:tblHeader/>
        </w:trPr>
        <w:tc>
          <w:tcPr>
            <w:tcW w:w="793" w:type="pct"/>
            <w:vMerge w:val="restart"/>
            <w:shd w:val="clear" w:color="auto" w:fill="D9F2D0" w:themeFill="accent6" w:themeFillTint="33"/>
            <w:vAlign w:val="center"/>
          </w:tcPr>
          <w:p w14:paraId="4FBDF238" w14:textId="77777777" w:rsidR="00702D5A" w:rsidRPr="00B450EB" w:rsidRDefault="00702D5A" w:rsidP="00D203BB">
            <w:pPr>
              <w:spacing w:line="276" w:lineRule="auto"/>
              <w:mirrorIndents/>
              <w:jc w:val="center"/>
              <w:rPr>
                <w:rFonts w:eastAsia="Calibri" w:cs="Arial"/>
                <w:b/>
                <w:sz w:val="16"/>
                <w:szCs w:val="16"/>
              </w:rPr>
            </w:pPr>
            <w:r w:rsidRPr="00B450EB">
              <w:rPr>
                <w:rFonts w:eastAsia="Calibri" w:cs="Arial"/>
                <w:b/>
                <w:sz w:val="16"/>
                <w:szCs w:val="16"/>
              </w:rPr>
              <w:t>Departamento</w:t>
            </w:r>
          </w:p>
        </w:tc>
        <w:tc>
          <w:tcPr>
            <w:tcW w:w="604" w:type="pct"/>
            <w:vMerge w:val="restart"/>
            <w:shd w:val="clear" w:color="auto" w:fill="D9F2D0" w:themeFill="accent6" w:themeFillTint="33"/>
            <w:vAlign w:val="center"/>
          </w:tcPr>
          <w:p w14:paraId="4502331F" w14:textId="77777777" w:rsidR="00702D5A" w:rsidRPr="00B450EB" w:rsidRDefault="00702D5A" w:rsidP="00D203BB">
            <w:pPr>
              <w:spacing w:line="276" w:lineRule="auto"/>
              <w:mirrorIndents/>
              <w:jc w:val="center"/>
              <w:rPr>
                <w:rFonts w:eastAsia="Calibri" w:cs="Arial"/>
                <w:b/>
                <w:sz w:val="16"/>
                <w:szCs w:val="16"/>
              </w:rPr>
            </w:pPr>
            <w:r w:rsidRPr="00B450EB">
              <w:rPr>
                <w:rFonts w:eastAsia="Calibri" w:cs="Arial"/>
                <w:b/>
                <w:sz w:val="16"/>
                <w:szCs w:val="16"/>
              </w:rPr>
              <w:t>Población en 2024</w:t>
            </w:r>
          </w:p>
        </w:tc>
        <w:tc>
          <w:tcPr>
            <w:tcW w:w="658" w:type="pct"/>
            <w:vMerge w:val="restart"/>
            <w:shd w:val="clear" w:color="auto" w:fill="D9F2D0" w:themeFill="accent6" w:themeFillTint="33"/>
            <w:vAlign w:val="center"/>
          </w:tcPr>
          <w:p w14:paraId="007011DE" w14:textId="77777777" w:rsidR="00702D5A" w:rsidRPr="00B450EB" w:rsidRDefault="00702D5A" w:rsidP="00D203BB">
            <w:pPr>
              <w:spacing w:line="276" w:lineRule="auto"/>
              <w:mirrorIndents/>
              <w:jc w:val="center"/>
              <w:rPr>
                <w:rFonts w:eastAsia="Calibri" w:cs="Arial"/>
                <w:b/>
                <w:sz w:val="16"/>
                <w:szCs w:val="16"/>
              </w:rPr>
            </w:pPr>
            <w:r w:rsidRPr="00B450EB">
              <w:rPr>
                <w:rFonts w:eastAsia="Calibri" w:cs="Arial"/>
                <w:b/>
                <w:sz w:val="16"/>
                <w:szCs w:val="16"/>
              </w:rPr>
              <w:t>Población proyectada 2035</w:t>
            </w:r>
          </w:p>
        </w:tc>
        <w:tc>
          <w:tcPr>
            <w:tcW w:w="858" w:type="pct"/>
            <w:vMerge w:val="restart"/>
            <w:shd w:val="clear" w:color="auto" w:fill="D9F2D0" w:themeFill="accent6" w:themeFillTint="33"/>
            <w:vAlign w:val="center"/>
          </w:tcPr>
          <w:p w14:paraId="666A30D0" w14:textId="77777777" w:rsidR="00702D5A" w:rsidRPr="00B450EB" w:rsidRDefault="00702D5A" w:rsidP="00D203BB">
            <w:pPr>
              <w:spacing w:line="276" w:lineRule="auto"/>
              <w:mirrorIndents/>
              <w:jc w:val="center"/>
              <w:rPr>
                <w:rFonts w:eastAsia="Calibri" w:cs="Arial"/>
                <w:b/>
                <w:sz w:val="16"/>
                <w:szCs w:val="16"/>
              </w:rPr>
            </w:pPr>
            <w:r w:rsidRPr="00B450EB">
              <w:rPr>
                <w:rFonts w:eastAsia="Calibri" w:cs="Arial"/>
                <w:b/>
                <w:sz w:val="16"/>
                <w:szCs w:val="16"/>
              </w:rPr>
              <w:t>Densidad Poblacional</w:t>
            </w:r>
          </w:p>
        </w:tc>
        <w:tc>
          <w:tcPr>
            <w:tcW w:w="1025" w:type="pct"/>
            <w:gridSpan w:val="2"/>
            <w:shd w:val="clear" w:color="auto" w:fill="D9F2D0" w:themeFill="accent6" w:themeFillTint="33"/>
            <w:vAlign w:val="center"/>
          </w:tcPr>
          <w:p w14:paraId="12DF7A20" w14:textId="77777777" w:rsidR="00702D5A" w:rsidRPr="00B450EB" w:rsidRDefault="00702D5A" w:rsidP="00D203BB">
            <w:pPr>
              <w:spacing w:line="276" w:lineRule="auto"/>
              <w:mirrorIndents/>
              <w:jc w:val="center"/>
              <w:rPr>
                <w:rFonts w:eastAsia="Calibri" w:cs="Arial"/>
                <w:b/>
                <w:sz w:val="16"/>
                <w:szCs w:val="16"/>
              </w:rPr>
            </w:pPr>
            <w:r w:rsidRPr="00B450EB">
              <w:rPr>
                <w:rFonts w:eastAsia="Calibri" w:cs="Arial"/>
                <w:b/>
                <w:sz w:val="16"/>
                <w:szCs w:val="16"/>
              </w:rPr>
              <w:t>Población desagregada por sexo</w:t>
            </w:r>
          </w:p>
        </w:tc>
        <w:tc>
          <w:tcPr>
            <w:tcW w:w="1063" w:type="pct"/>
            <w:gridSpan w:val="2"/>
            <w:shd w:val="clear" w:color="auto" w:fill="D9F2D0" w:themeFill="accent6" w:themeFillTint="33"/>
            <w:vAlign w:val="center"/>
          </w:tcPr>
          <w:p w14:paraId="225CE569" w14:textId="77777777" w:rsidR="00702D5A" w:rsidRPr="00B450EB" w:rsidRDefault="00702D5A" w:rsidP="00D203BB">
            <w:pPr>
              <w:spacing w:line="276" w:lineRule="auto"/>
              <w:mirrorIndents/>
              <w:jc w:val="center"/>
              <w:rPr>
                <w:rFonts w:eastAsia="Calibri" w:cs="Arial"/>
                <w:b/>
                <w:sz w:val="16"/>
                <w:szCs w:val="16"/>
              </w:rPr>
            </w:pPr>
            <w:r w:rsidRPr="00B450EB">
              <w:rPr>
                <w:rFonts w:eastAsia="Calibri" w:cs="Arial"/>
                <w:b/>
                <w:sz w:val="16"/>
                <w:szCs w:val="16"/>
              </w:rPr>
              <w:t>Población desagregada por área</w:t>
            </w:r>
          </w:p>
        </w:tc>
      </w:tr>
      <w:tr w:rsidR="00EF1937" w:rsidRPr="00B450EB" w14:paraId="4C01B4FB" w14:textId="77777777" w:rsidTr="00024A81">
        <w:tc>
          <w:tcPr>
            <w:tcW w:w="793" w:type="pct"/>
            <w:vMerge/>
            <w:shd w:val="clear" w:color="auto" w:fill="D9F2D0" w:themeFill="accent6" w:themeFillTint="33"/>
            <w:vAlign w:val="center"/>
          </w:tcPr>
          <w:p w14:paraId="180504A9" w14:textId="77777777" w:rsidR="00702D5A" w:rsidRPr="00B450EB" w:rsidRDefault="00702D5A" w:rsidP="00D203BB">
            <w:pPr>
              <w:spacing w:line="276" w:lineRule="auto"/>
              <w:mirrorIndents/>
              <w:jc w:val="center"/>
              <w:rPr>
                <w:rFonts w:eastAsia="Calibri" w:cs="Arial"/>
                <w:sz w:val="16"/>
                <w:szCs w:val="16"/>
              </w:rPr>
            </w:pPr>
          </w:p>
        </w:tc>
        <w:tc>
          <w:tcPr>
            <w:tcW w:w="604" w:type="pct"/>
            <w:vMerge/>
            <w:shd w:val="clear" w:color="auto" w:fill="D9F2D0" w:themeFill="accent6" w:themeFillTint="33"/>
            <w:vAlign w:val="center"/>
          </w:tcPr>
          <w:p w14:paraId="13908810" w14:textId="77777777" w:rsidR="00702D5A" w:rsidRPr="00B450EB" w:rsidRDefault="00702D5A" w:rsidP="00D203BB">
            <w:pPr>
              <w:spacing w:line="276" w:lineRule="auto"/>
              <w:mirrorIndents/>
              <w:jc w:val="center"/>
              <w:rPr>
                <w:rFonts w:eastAsia="Calibri" w:cs="Arial"/>
                <w:sz w:val="16"/>
                <w:szCs w:val="16"/>
              </w:rPr>
            </w:pPr>
          </w:p>
        </w:tc>
        <w:tc>
          <w:tcPr>
            <w:tcW w:w="658" w:type="pct"/>
            <w:vMerge/>
            <w:shd w:val="clear" w:color="auto" w:fill="D9F2D0" w:themeFill="accent6" w:themeFillTint="33"/>
            <w:vAlign w:val="center"/>
          </w:tcPr>
          <w:p w14:paraId="2AC077EC" w14:textId="77777777" w:rsidR="00702D5A" w:rsidRPr="00B450EB" w:rsidRDefault="00702D5A" w:rsidP="00D203BB">
            <w:pPr>
              <w:spacing w:line="276" w:lineRule="auto"/>
              <w:mirrorIndents/>
              <w:jc w:val="center"/>
              <w:rPr>
                <w:rFonts w:eastAsia="Calibri" w:cs="Arial"/>
                <w:sz w:val="16"/>
                <w:szCs w:val="16"/>
              </w:rPr>
            </w:pPr>
          </w:p>
        </w:tc>
        <w:tc>
          <w:tcPr>
            <w:tcW w:w="858" w:type="pct"/>
            <w:vMerge/>
            <w:shd w:val="clear" w:color="auto" w:fill="D9F2D0" w:themeFill="accent6" w:themeFillTint="33"/>
            <w:vAlign w:val="center"/>
          </w:tcPr>
          <w:p w14:paraId="34C575B9" w14:textId="77777777" w:rsidR="00702D5A" w:rsidRPr="00B450EB" w:rsidRDefault="00702D5A" w:rsidP="00D203BB">
            <w:pPr>
              <w:spacing w:line="276" w:lineRule="auto"/>
              <w:mirrorIndents/>
              <w:jc w:val="center"/>
              <w:rPr>
                <w:rFonts w:eastAsia="Calibri" w:cs="Arial"/>
                <w:sz w:val="16"/>
                <w:szCs w:val="16"/>
              </w:rPr>
            </w:pPr>
          </w:p>
        </w:tc>
        <w:tc>
          <w:tcPr>
            <w:tcW w:w="534" w:type="pct"/>
            <w:shd w:val="clear" w:color="auto" w:fill="D9F2D0" w:themeFill="accent6" w:themeFillTint="33"/>
            <w:vAlign w:val="center"/>
          </w:tcPr>
          <w:p w14:paraId="1641FDA5"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Hombres</w:t>
            </w:r>
          </w:p>
        </w:tc>
        <w:tc>
          <w:tcPr>
            <w:tcW w:w="491" w:type="pct"/>
            <w:shd w:val="clear" w:color="auto" w:fill="D9F2D0" w:themeFill="accent6" w:themeFillTint="33"/>
            <w:vAlign w:val="center"/>
          </w:tcPr>
          <w:p w14:paraId="7CAC68B2"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Mujeres</w:t>
            </w:r>
          </w:p>
        </w:tc>
        <w:tc>
          <w:tcPr>
            <w:tcW w:w="572" w:type="pct"/>
            <w:shd w:val="clear" w:color="auto" w:fill="D9F2D0" w:themeFill="accent6" w:themeFillTint="33"/>
            <w:vAlign w:val="center"/>
          </w:tcPr>
          <w:p w14:paraId="7D3978F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Rural</w:t>
            </w:r>
          </w:p>
        </w:tc>
        <w:tc>
          <w:tcPr>
            <w:tcW w:w="491" w:type="pct"/>
            <w:shd w:val="clear" w:color="auto" w:fill="D9F2D0" w:themeFill="accent6" w:themeFillTint="33"/>
            <w:vAlign w:val="center"/>
          </w:tcPr>
          <w:p w14:paraId="20E3535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Urbana</w:t>
            </w:r>
          </w:p>
        </w:tc>
      </w:tr>
      <w:tr w:rsidR="00EF1937" w:rsidRPr="00B450EB" w14:paraId="5C77A866" w14:textId="77777777" w:rsidTr="00024A81">
        <w:tc>
          <w:tcPr>
            <w:tcW w:w="793" w:type="pct"/>
            <w:vAlign w:val="center"/>
          </w:tcPr>
          <w:p w14:paraId="7888E2BD"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Amazonas</w:t>
            </w:r>
          </w:p>
        </w:tc>
        <w:tc>
          <w:tcPr>
            <w:tcW w:w="604" w:type="pct"/>
            <w:vAlign w:val="center"/>
          </w:tcPr>
          <w:p w14:paraId="366F5988"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86.318</w:t>
            </w:r>
          </w:p>
        </w:tc>
        <w:tc>
          <w:tcPr>
            <w:tcW w:w="658" w:type="pct"/>
            <w:vAlign w:val="center"/>
          </w:tcPr>
          <w:p w14:paraId="68CA8D65"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96.663</w:t>
            </w:r>
          </w:p>
        </w:tc>
        <w:tc>
          <w:tcPr>
            <w:tcW w:w="858" w:type="pct"/>
            <w:vAlign w:val="center"/>
          </w:tcPr>
          <w:p w14:paraId="3D9F5779"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 xml:space="preserve">0,79 </w:t>
            </w:r>
            <w:proofErr w:type="spellStart"/>
            <w:r w:rsidRPr="00B450EB">
              <w:rPr>
                <w:rFonts w:eastAsia="Calibri" w:cs="Arial"/>
                <w:sz w:val="16"/>
                <w:szCs w:val="16"/>
              </w:rPr>
              <w:t>habs</w:t>
            </w:r>
            <w:proofErr w:type="spellEnd"/>
            <w:r w:rsidRPr="00B450EB">
              <w:rPr>
                <w:rFonts w:eastAsia="Calibri" w:cs="Arial"/>
                <w:sz w:val="16"/>
                <w:szCs w:val="16"/>
              </w:rPr>
              <w:t>/mk2</w:t>
            </w:r>
          </w:p>
        </w:tc>
        <w:tc>
          <w:tcPr>
            <w:tcW w:w="534" w:type="pct"/>
            <w:vAlign w:val="center"/>
          </w:tcPr>
          <w:p w14:paraId="24EB997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44.051</w:t>
            </w:r>
          </w:p>
        </w:tc>
        <w:tc>
          <w:tcPr>
            <w:tcW w:w="491" w:type="pct"/>
            <w:vAlign w:val="center"/>
          </w:tcPr>
          <w:p w14:paraId="7D6C5D1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42.267</w:t>
            </w:r>
          </w:p>
        </w:tc>
        <w:tc>
          <w:tcPr>
            <w:tcW w:w="572" w:type="pct"/>
            <w:vAlign w:val="center"/>
          </w:tcPr>
          <w:p w14:paraId="413D731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42.148</w:t>
            </w:r>
          </w:p>
        </w:tc>
        <w:tc>
          <w:tcPr>
            <w:tcW w:w="491" w:type="pct"/>
            <w:vAlign w:val="center"/>
          </w:tcPr>
          <w:p w14:paraId="6D75D4F5"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44.170</w:t>
            </w:r>
          </w:p>
        </w:tc>
      </w:tr>
      <w:tr w:rsidR="00EF1937" w:rsidRPr="00B450EB" w14:paraId="3017E756" w14:textId="77777777" w:rsidTr="00024A81">
        <w:tc>
          <w:tcPr>
            <w:tcW w:w="793" w:type="pct"/>
            <w:vAlign w:val="center"/>
          </w:tcPr>
          <w:p w14:paraId="75843262"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Caquetá</w:t>
            </w:r>
          </w:p>
        </w:tc>
        <w:tc>
          <w:tcPr>
            <w:tcW w:w="604" w:type="pct"/>
            <w:vAlign w:val="center"/>
          </w:tcPr>
          <w:p w14:paraId="6B8DD7EE"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428.162</w:t>
            </w:r>
          </w:p>
        </w:tc>
        <w:tc>
          <w:tcPr>
            <w:tcW w:w="658" w:type="pct"/>
            <w:vAlign w:val="center"/>
          </w:tcPr>
          <w:p w14:paraId="3BA1A8E4"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445.942</w:t>
            </w:r>
          </w:p>
        </w:tc>
        <w:tc>
          <w:tcPr>
            <w:tcW w:w="858" w:type="pct"/>
            <w:vAlign w:val="center"/>
          </w:tcPr>
          <w:p w14:paraId="43D90E2A"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 xml:space="preserve">4,81 </w:t>
            </w:r>
            <w:proofErr w:type="spellStart"/>
            <w:r w:rsidRPr="00B450EB">
              <w:rPr>
                <w:rFonts w:eastAsia="Calibri" w:cs="Arial"/>
                <w:sz w:val="16"/>
                <w:szCs w:val="16"/>
              </w:rPr>
              <w:t>habs</w:t>
            </w:r>
            <w:proofErr w:type="spellEnd"/>
            <w:r w:rsidRPr="00B450EB">
              <w:rPr>
                <w:rFonts w:eastAsia="Calibri" w:cs="Arial"/>
                <w:sz w:val="16"/>
                <w:szCs w:val="16"/>
              </w:rPr>
              <w:t>/km2</w:t>
            </w:r>
          </w:p>
        </w:tc>
        <w:tc>
          <w:tcPr>
            <w:tcW w:w="534" w:type="pct"/>
            <w:vAlign w:val="center"/>
          </w:tcPr>
          <w:p w14:paraId="79014B34"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215.049</w:t>
            </w:r>
          </w:p>
        </w:tc>
        <w:tc>
          <w:tcPr>
            <w:tcW w:w="491" w:type="pct"/>
            <w:vAlign w:val="center"/>
          </w:tcPr>
          <w:p w14:paraId="41AF03F3"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213.113</w:t>
            </w:r>
          </w:p>
        </w:tc>
        <w:tc>
          <w:tcPr>
            <w:tcW w:w="572" w:type="pct"/>
            <w:vAlign w:val="center"/>
          </w:tcPr>
          <w:p w14:paraId="72375711"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146.748</w:t>
            </w:r>
          </w:p>
        </w:tc>
        <w:tc>
          <w:tcPr>
            <w:tcW w:w="491" w:type="pct"/>
            <w:vAlign w:val="center"/>
          </w:tcPr>
          <w:p w14:paraId="5014268E"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281.414</w:t>
            </w:r>
          </w:p>
        </w:tc>
      </w:tr>
      <w:tr w:rsidR="00EF1937" w:rsidRPr="00B450EB" w14:paraId="79469BE2" w14:textId="77777777" w:rsidTr="00024A81">
        <w:tc>
          <w:tcPr>
            <w:tcW w:w="793" w:type="pct"/>
            <w:vAlign w:val="center"/>
          </w:tcPr>
          <w:p w14:paraId="2012883D"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Guainía</w:t>
            </w:r>
          </w:p>
        </w:tc>
        <w:tc>
          <w:tcPr>
            <w:tcW w:w="604" w:type="pct"/>
            <w:vAlign w:val="center"/>
          </w:tcPr>
          <w:p w14:paraId="02015645"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57.943</w:t>
            </w:r>
          </w:p>
        </w:tc>
        <w:tc>
          <w:tcPr>
            <w:tcW w:w="658" w:type="pct"/>
            <w:vAlign w:val="center"/>
          </w:tcPr>
          <w:p w14:paraId="08573AD6"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71.339</w:t>
            </w:r>
          </w:p>
        </w:tc>
        <w:tc>
          <w:tcPr>
            <w:tcW w:w="858" w:type="pct"/>
            <w:vAlign w:val="center"/>
          </w:tcPr>
          <w:p w14:paraId="1578C5D7"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 xml:space="preserve">0,8 </w:t>
            </w:r>
            <w:proofErr w:type="spellStart"/>
            <w:r w:rsidRPr="00B450EB">
              <w:rPr>
                <w:rFonts w:eastAsia="Calibri" w:cs="Arial"/>
                <w:sz w:val="16"/>
                <w:szCs w:val="16"/>
              </w:rPr>
              <w:t>habs</w:t>
            </w:r>
            <w:proofErr w:type="spellEnd"/>
            <w:r w:rsidRPr="00B450EB">
              <w:rPr>
                <w:rFonts w:eastAsia="Calibri" w:cs="Arial"/>
                <w:sz w:val="16"/>
                <w:szCs w:val="16"/>
              </w:rPr>
              <w:t>/km2</w:t>
            </w:r>
          </w:p>
        </w:tc>
        <w:tc>
          <w:tcPr>
            <w:tcW w:w="534" w:type="pct"/>
            <w:vAlign w:val="center"/>
          </w:tcPr>
          <w:p w14:paraId="554A8603"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29.916</w:t>
            </w:r>
          </w:p>
        </w:tc>
        <w:tc>
          <w:tcPr>
            <w:tcW w:w="491" w:type="pct"/>
            <w:vAlign w:val="center"/>
          </w:tcPr>
          <w:p w14:paraId="27040588"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28.018</w:t>
            </w:r>
          </w:p>
        </w:tc>
        <w:tc>
          <w:tcPr>
            <w:tcW w:w="572" w:type="pct"/>
            <w:vAlign w:val="center"/>
          </w:tcPr>
          <w:p w14:paraId="60550BDE"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30.990</w:t>
            </w:r>
          </w:p>
        </w:tc>
        <w:tc>
          <w:tcPr>
            <w:tcW w:w="491" w:type="pct"/>
            <w:vAlign w:val="center"/>
          </w:tcPr>
          <w:p w14:paraId="39B53F35"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26.944</w:t>
            </w:r>
          </w:p>
        </w:tc>
      </w:tr>
      <w:tr w:rsidR="00EF1937" w:rsidRPr="00B450EB" w14:paraId="1440B19C" w14:textId="77777777" w:rsidTr="00024A81">
        <w:tc>
          <w:tcPr>
            <w:tcW w:w="793" w:type="pct"/>
            <w:vAlign w:val="center"/>
          </w:tcPr>
          <w:p w14:paraId="24D71FD2"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Guaviare</w:t>
            </w:r>
          </w:p>
        </w:tc>
        <w:tc>
          <w:tcPr>
            <w:tcW w:w="604" w:type="pct"/>
            <w:vAlign w:val="center"/>
          </w:tcPr>
          <w:p w14:paraId="6BEC725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100.497</w:t>
            </w:r>
          </w:p>
        </w:tc>
        <w:tc>
          <w:tcPr>
            <w:tcW w:w="658" w:type="pct"/>
            <w:vAlign w:val="center"/>
          </w:tcPr>
          <w:p w14:paraId="68EC20AA"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127.141</w:t>
            </w:r>
          </w:p>
        </w:tc>
        <w:tc>
          <w:tcPr>
            <w:tcW w:w="858" w:type="pct"/>
            <w:vAlign w:val="center"/>
          </w:tcPr>
          <w:p w14:paraId="45AE13AB"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 xml:space="preserve">1,88 </w:t>
            </w:r>
            <w:proofErr w:type="spellStart"/>
            <w:r w:rsidRPr="00B450EB">
              <w:rPr>
                <w:rFonts w:eastAsia="Calibri" w:cs="Arial"/>
                <w:sz w:val="16"/>
                <w:szCs w:val="16"/>
              </w:rPr>
              <w:t>habs</w:t>
            </w:r>
            <w:proofErr w:type="spellEnd"/>
            <w:r w:rsidRPr="00B450EB">
              <w:rPr>
                <w:rFonts w:eastAsia="Calibri" w:cs="Arial"/>
                <w:sz w:val="16"/>
                <w:szCs w:val="16"/>
              </w:rPr>
              <w:t>/km2</w:t>
            </w:r>
          </w:p>
        </w:tc>
        <w:tc>
          <w:tcPr>
            <w:tcW w:w="534" w:type="pct"/>
            <w:vAlign w:val="center"/>
          </w:tcPr>
          <w:p w14:paraId="42354EE7"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52.322</w:t>
            </w:r>
          </w:p>
        </w:tc>
        <w:tc>
          <w:tcPr>
            <w:tcW w:w="491" w:type="pct"/>
            <w:vAlign w:val="center"/>
          </w:tcPr>
          <w:p w14:paraId="1220CE36"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48.175</w:t>
            </w:r>
          </w:p>
        </w:tc>
        <w:tc>
          <w:tcPr>
            <w:tcW w:w="572" w:type="pct"/>
            <w:vAlign w:val="center"/>
          </w:tcPr>
          <w:p w14:paraId="0F939C60"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44.095</w:t>
            </w:r>
          </w:p>
        </w:tc>
        <w:tc>
          <w:tcPr>
            <w:tcW w:w="491" w:type="pct"/>
            <w:vAlign w:val="center"/>
          </w:tcPr>
          <w:p w14:paraId="2CE2CF8A"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56.402</w:t>
            </w:r>
          </w:p>
        </w:tc>
      </w:tr>
      <w:tr w:rsidR="00EF1937" w:rsidRPr="00B450EB" w14:paraId="401F4F92" w14:textId="77777777" w:rsidTr="00024A81">
        <w:tc>
          <w:tcPr>
            <w:tcW w:w="793" w:type="pct"/>
            <w:vAlign w:val="center"/>
          </w:tcPr>
          <w:p w14:paraId="10EA644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Putumayo</w:t>
            </w:r>
          </w:p>
        </w:tc>
        <w:tc>
          <w:tcPr>
            <w:tcW w:w="604" w:type="pct"/>
            <w:vAlign w:val="center"/>
          </w:tcPr>
          <w:p w14:paraId="0B167B0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388.716</w:t>
            </w:r>
          </w:p>
        </w:tc>
        <w:tc>
          <w:tcPr>
            <w:tcW w:w="658" w:type="pct"/>
            <w:vAlign w:val="center"/>
          </w:tcPr>
          <w:p w14:paraId="787B411D"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437.045</w:t>
            </w:r>
          </w:p>
        </w:tc>
        <w:tc>
          <w:tcPr>
            <w:tcW w:w="858" w:type="pct"/>
            <w:vAlign w:val="center"/>
          </w:tcPr>
          <w:p w14:paraId="2B7DF9D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 xml:space="preserve">15,62 </w:t>
            </w:r>
            <w:proofErr w:type="spellStart"/>
            <w:r w:rsidRPr="00B450EB">
              <w:rPr>
                <w:rFonts w:eastAsia="Calibri" w:cs="Arial"/>
                <w:sz w:val="16"/>
                <w:szCs w:val="16"/>
              </w:rPr>
              <w:t>habs</w:t>
            </w:r>
            <w:proofErr w:type="spellEnd"/>
            <w:r w:rsidRPr="00B450EB">
              <w:rPr>
                <w:rFonts w:eastAsia="Calibri" w:cs="Arial"/>
                <w:sz w:val="16"/>
                <w:szCs w:val="16"/>
              </w:rPr>
              <w:t>/km2</w:t>
            </w:r>
          </w:p>
        </w:tc>
        <w:tc>
          <w:tcPr>
            <w:tcW w:w="534" w:type="pct"/>
            <w:vAlign w:val="center"/>
          </w:tcPr>
          <w:p w14:paraId="1AE73E5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193.724</w:t>
            </w:r>
          </w:p>
        </w:tc>
        <w:tc>
          <w:tcPr>
            <w:tcW w:w="491" w:type="pct"/>
            <w:vAlign w:val="center"/>
          </w:tcPr>
          <w:p w14:paraId="345086F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194.992</w:t>
            </w:r>
          </w:p>
        </w:tc>
        <w:tc>
          <w:tcPr>
            <w:tcW w:w="572" w:type="pct"/>
            <w:vAlign w:val="center"/>
          </w:tcPr>
          <w:p w14:paraId="1057BF3A"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186.250</w:t>
            </w:r>
          </w:p>
        </w:tc>
        <w:tc>
          <w:tcPr>
            <w:tcW w:w="491" w:type="pct"/>
            <w:vAlign w:val="center"/>
          </w:tcPr>
          <w:p w14:paraId="114FDEB4"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202.466</w:t>
            </w:r>
          </w:p>
        </w:tc>
      </w:tr>
      <w:tr w:rsidR="00EF1937" w:rsidRPr="00B450EB" w14:paraId="7F26E00B" w14:textId="77777777" w:rsidTr="00024A81">
        <w:tc>
          <w:tcPr>
            <w:tcW w:w="793" w:type="pct"/>
            <w:vAlign w:val="center"/>
          </w:tcPr>
          <w:p w14:paraId="0C3C6604"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Vaupés</w:t>
            </w:r>
          </w:p>
        </w:tc>
        <w:tc>
          <w:tcPr>
            <w:tcW w:w="604" w:type="pct"/>
            <w:vAlign w:val="center"/>
          </w:tcPr>
          <w:p w14:paraId="04224FFE"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47.961</w:t>
            </w:r>
          </w:p>
        </w:tc>
        <w:tc>
          <w:tcPr>
            <w:tcW w:w="658" w:type="pct"/>
            <w:vAlign w:val="center"/>
          </w:tcPr>
          <w:p w14:paraId="33638104"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61.074</w:t>
            </w:r>
          </w:p>
        </w:tc>
        <w:tc>
          <w:tcPr>
            <w:tcW w:w="858" w:type="pct"/>
            <w:vAlign w:val="center"/>
          </w:tcPr>
          <w:p w14:paraId="0B5943B5"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 xml:space="preserve">0,89 </w:t>
            </w:r>
            <w:proofErr w:type="spellStart"/>
            <w:r w:rsidRPr="00B450EB">
              <w:rPr>
                <w:rFonts w:eastAsia="Calibri" w:cs="Arial"/>
                <w:sz w:val="16"/>
                <w:szCs w:val="16"/>
              </w:rPr>
              <w:t>habs</w:t>
            </w:r>
            <w:proofErr w:type="spellEnd"/>
            <w:r w:rsidRPr="00B450EB">
              <w:rPr>
                <w:rFonts w:eastAsia="Calibri" w:cs="Arial"/>
                <w:sz w:val="16"/>
                <w:szCs w:val="16"/>
              </w:rPr>
              <w:t>/km2</w:t>
            </w:r>
          </w:p>
        </w:tc>
        <w:tc>
          <w:tcPr>
            <w:tcW w:w="534" w:type="pct"/>
            <w:vAlign w:val="center"/>
          </w:tcPr>
          <w:p w14:paraId="7A8734A4"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25.034</w:t>
            </w:r>
          </w:p>
        </w:tc>
        <w:tc>
          <w:tcPr>
            <w:tcW w:w="491" w:type="pct"/>
            <w:vAlign w:val="center"/>
          </w:tcPr>
          <w:p w14:paraId="2FFB7921"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22.927</w:t>
            </w:r>
          </w:p>
        </w:tc>
        <w:tc>
          <w:tcPr>
            <w:tcW w:w="572" w:type="pct"/>
            <w:vAlign w:val="center"/>
          </w:tcPr>
          <w:p w14:paraId="5D62C313"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34.625</w:t>
            </w:r>
          </w:p>
        </w:tc>
        <w:tc>
          <w:tcPr>
            <w:tcW w:w="491" w:type="pct"/>
            <w:vAlign w:val="center"/>
          </w:tcPr>
          <w:p w14:paraId="30E292C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13.336</w:t>
            </w:r>
          </w:p>
        </w:tc>
      </w:tr>
      <w:tr w:rsidR="00EF1937" w:rsidRPr="00B450EB" w14:paraId="2A818F5B" w14:textId="77777777" w:rsidTr="00024A81">
        <w:tc>
          <w:tcPr>
            <w:tcW w:w="793" w:type="pct"/>
            <w:vAlign w:val="center"/>
          </w:tcPr>
          <w:p w14:paraId="116E05D4"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Vichada*</w:t>
            </w:r>
          </w:p>
        </w:tc>
        <w:tc>
          <w:tcPr>
            <w:tcW w:w="604" w:type="pct"/>
            <w:vAlign w:val="center"/>
          </w:tcPr>
          <w:p w14:paraId="44E244F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125.477</w:t>
            </w:r>
          </w:p>
        </w:tc>
        <w:tc>
          <w:tcPr>
            <w:tcW w:w="658" w:type="pct"/>
            <w:vAlign w:val="center"/>
          </w:tcPr>
          <w:p w14:paraId="377DC035"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143.538</w:t>
            </w:r>
          </w:p>
        </w:tc>
        <w:tc>
          <w:tcPr>
            <w:tcW w:w="858" w:type="pct"/>
            <w:vAlign w:val="center"/>
          </w:tcPr>
          <w:p w14:paraId="6E43755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1,25 hab/km2</w:t>
            </w:r>
          </w:p>
        </w:tc>
        <w:tc>
          <w:tcPr>
            <w:tcW w:w="534" w:type="pct"/>
            <w:vAlign w:val="center"/>
          </w:tcPr>
          <w:p w14:paraId="2CFA4EE6"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65.232</w:t>
            </w:r>
          </w:p>
        </w:tc>
        <w:tc>
          <w:tcPr>
            <w:tcW w:w="491" w:type="pct"/>
            <w:vAlign w:val="center"/>
          </w:tcPr>
          <w:p w14:paraId="19B1866E"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60.245</w:t>
            </w:r>
          </w:p>
        </w:tc>
        <w:tc>
          <w:tcPr>
            <w:tcW w:w="572" w:type="pct"/>
            <w:vAlign w:val="center"/>
          </w:tcPr>
          <w:p w14:paraId="4A7ED844"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95.158</w:t>
            </w:r>
          </w:p>
        </w:tc>
        <w:tc>
          <w:tcPr>
            <w:tcW w:w="491" w:type="pct"/>
            <w:vAlign w:val="center"/>
          </w:tcPr>
          <w:p w14:paraId="7F3B8C47"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30.319</w:t>
            </w:r>
          </w:p>
        </w:tc>
      </w:tr>
      <w:tr w:rsidR="00EF1937" w:rsidRPr="00B450EB" w14:paraId="5090F9A5" w14:textId="77777777" w:rsidTr="00024A81">
        <w:tc>
          <w:tcPr>
            <w:tcW w:w="793" w:type="pct"/>
            <w:vAlign w:val="center"/>
          </w:tcPr>
          <w:p w14:paraId="476570C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Meta*</w:t>
            </w:r>
          </w:p>
        </w:tc>
        <w:tc>
          <w:tcPr>
            <w:tcW w:w="604" w:type="pct"/>
            <w:vAlign w:val="center"/>
          </w:tcPr>
          <w:p w14:paraId="19A51AAD"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1.145.766</w:t>
            </w:r>
          </w:p>
        </w:tc>
        <w:tc>
          <w:tcPr>
            <w:tcW w:w="658" w:type="pct"/>
            <w:vAlign w:val="center"/>
          </w:tcPr>
          <w:p w14:paraId="6DFD2D25"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1.277.632</w:t>
            </w:r>
          </w:p>
        </w:tc>
        <w:tc>
          <w:tcPr>
            <w:tcW w:w="858" w:type="pct"/>
            <w:vAlign w:val="center"/>
          </w:tcPr>
          <w:p w14:paraId="24B9DD87"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 xml:space="preserve">13,38 </w:t>
            </w:r>
            <w:proofErr w:type="spellStart"/>
            <w:r w:rsidRPr="00B450EB">
              <w:rPr>
                <w:rFonts w:eastAsia="Calibri" w:cs="Arial"/>
                <w:sz w:val="16"/>
                <w:szCs w:val="16"/>
              </w:rPr>
              <w:t>habs</w:t>
            </w:r>
            <w:proofErr w:type="spellEnd"/>
            <w:r w:rsidRPr="00B450EB">
              <w:rPr>
                <w:rFonts w:eastAsia="Calibri" w:cs="Arial"/>
                <w:sz w:val="16"/>
                <w:szCs w:val="16"/>
              </w:rPr>
              <w:t>/km2</w:t>
            </w:r>
          </w:p>
        </w:tc>
        <w:tc>
          <w:tcPr>
            <w:tcW w:w="534" w:type="pct"/>
            <w:vAlign w:val="center"/>
          </w:tcPr>
          <w:p w14:paraId="09744BE7"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575.116</w:t>
            </w:r>
          </w:p>
        </w:tc>
        <w:tc>
          <w:tcPr>
            <w:tcW w:w="491" w:type="pct"/>
            <w:vAlign w:val="center"/>
          </w:tcPr>
          <w:p w14:paraId="4D9097D0"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570.650</w:t>
            </w:r>
          </w:p>
        </w:tc>
        <w:tc>
          <w:tcPr>
            <w:tcW w:w="572" w:type="pct"/>
            <w:vAlign w:val="center"/>
          </w:tcPr>
          <w:p w14:paraId="3F1CD78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276.260</w:t>
            </w:r>
          </w:p>
        </w:tc>
        <w:tc>
          <w:tcPr>
            <w:tcW w:w="491" w:type="pct"/>
            <w:vAlign w:val="center"/>
          </w:tcPr>
          <w:p w14:paraId="50867059"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869.506</w:t>
            </w:r>
          </w:p>
        </w:tc>
      </w:tr>
      <w:tr w:rsidR="00EF1937" w:rsidRPr="00B450EB" w14:paraId="38C57BE0" w14:textId="77777777" w:rsidTr="00024A81">
        <w:tc>
          <w:tcPr>
            <w:tcW w:w="793" w:type="pct"/>
            <w:vAlign w:val="center"/>
          </w:tcPr>
          <w:p w14:paraId="64C61DA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Cauca*</w:t>
            </w:r>
          </w:p>
        </w:tc>
        <w:tc>
          <w:tcPr>
            <w:tcW w:w="604" w:type="pct"/>
            <w:vAlign w:val="center"/>
          </w:tcPr>
          <w:p w14:paraId="1F6DAE40"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1.574.506</w:t>
            </w:r>
          </w:p>
        </w:tc>
        <w:tc>
          <w:tcPr>
            <w:tcW w:w="658" w:type="pct"/>
            <w:vAlign w:val="center"/>
          </w:tcPr>
          <w:p w14:paraId="4DC28166"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1.722.536</w:t>
            </w:r>
          </w:p>
        </w:tc>
        <w:tc>
          <w:tcPr>
            <w:tcW w:w="858" w:type="pct"/>
            <w:vAlign w:val="center"/>
          </w:tcPr>
          <w:p w14:paraId="39EB1014"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53,72habts/km2,</w:t>
            </w:r>
          </w:p>
        </w:tc>
        <w:tc>
          <w:tcPr>
            <w:tcW w:w="534" w:type="pct"/>
            <w:vAlign w:val="center"/>
          </w:tcPr>
          <w:p w14:paraId="09D4A9E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777.074</w:t>
            </w:r>
          </w:p>
        </w:tc>
        <w:tc>
          <w:tcPr>
            <w:tcW w:w="491" w:type="pct"/>
            <w:vAlign w:val="center"/>
          </w:tcPr>
          <w:p w14:paraId="3E87E10F"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797.432</w:t>
            </w:r>
          </w:p>
        </w:tc>
        <w:tc>
          <w:tcPr>
            <w:tcW w:w="572" w:type="pct"/>
            <w:vAlign w:val="center"/>
          </w:tcPr>
          <w:p w14:paraId="7DD1CEDE"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1.016.236</w:t>
            </w:r>
          </w:p>
        </w:tc>
        <w:tc>
          <w:tcPr>
            <w:tcW w:w="491" w:type="pct"/>
            <w:vAlign w:val="center"/>
          </w:tcPr>
          <w:p w14:paraId="74FA135B"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558.270</w:t>
            </w:r>
          </w:p>
        </w:tc>
      </w:tr>
      <w:tr w:rsidR="00EF1937" w:rsidRPr="00B450EB" w14:paraId="65317030" w14:textId="77777777" w:rsidTr="00024A81">
        <w:tc>
          <w:tcPr>
            <w:tcW w:w="793" w:type="pct"/>
            <w:vAlign w:val="center"/>
          </w:tcPr>
          <w:p w14:paraId="0B2E16E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Nariño*</w:t>
            </w:r>
          </w:p>
        </w:tc>
        <w:tc>
          <w:tcPr>
            <w:tcW w:w="604" w:type="pct"/>
            <w:vAlign w:val="center"/>
          </w:tcPr>
          <w:p w14:paraId="02320759"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1.709.890</w:t>
            </w:r>
          </w:p>
        </w:tc>
        <w:tc>
          <w:tcPr>
            <w:tcW w:w="658" w:type="pct"/>
            <w:vAlign w:val="center"/>
          </w:tcPr>
          <w:p w14:paraId="545089DE"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1.786.054</w:t>
            </w:r>
          </w:p>
        </w:tc>
        <w:tc>
          <w:tcPr>
            <w:tcW w:w="858" w:type="pct"/>
            <w:vAlign w:val="center"/>
          </w:tcPr>
          <w:p w14:paraId="30C5EDC2"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 xml:space="preserve">51,4 </w:t>
            </w:r>
            <w:proofErr w:type="spellStart"/>
            <w:r w:rsidRPr="00B450EB">
              <w:rPr>
                <w:rFonts w:eastAsia="Calibri" w:cs="Arial"/>
                <w:sz w:val="16"/>
                <w:szCs w:val="16"/>
              </w:rPr>
              <w:t>habs</w:t>
            </w:r>
            <w:proofErr w:type="spellEnd"/>
            <w:r w:rsidRPr="00B450EB">
              <w:rPr>
                <w:rFonts w:eastAsia="Calibri" w:cs="Arial"/>
                <w:sz w:val="16"/>
                <w:szCs w:val="16"/>
              </w:rPr>
              <w:t>/km2</w:t>
            </w:r>
          </w:p>
        </w:tc>
        <w:tc>
          <w:tcPr>
            <w:tcW w:w="534" w:type="pct"/>
            <w:vAlign w:val="center"/>
          </w:tcPr>
          <w:p w14:paraId="343EE95E"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832.758</w:t>
            </w:r>
          </w:p>
        </w:tc>
        <w:tc>
          <w:tcPr>
            <w:tcW w:w="491" w:type="pct"/>
            <w:vAlign w:val="center"/>
          </w:tcPr>
          <w:p w14:paraId="6C8B9655"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877.132</w:t>
            </w:r>
          </w:p>
        </w:tc>
        <w:tc>
          <w:tcPr>
            <w:tcW w:w="572" w:type="pct"/>
            <w:vAlign w:val="center"/>
          </w:tcPr>
          <w:p w14:paraId="42133D41"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957.869</w:t>
            </w:r>
          </w:p>
        </w:tc>
        <w:tc>
          <w:tcPr>
            <w:tcW w:w="491" w:type="pct"/>
            <w:vAlign w:val="center"/>
          </w:tcPr>
          <w:p w14:paraId="7721C28C" w14:textId="77777777" w:rsidR="00702D5A" w:rsidRPr="00B450EB" w:rsidRDefault="00702D5A" w:rsidP="00D203BB">
            <w:pPr>
              <w:spacing w:line="276" w:lineRule="auto"/>
              <w:mirrorIndents/>
              <w:jc w:val="center"/>
              <w:rPr>
                <w:rFonts w:eastAsia="Calibri" w:cs="Arial"/>
                <w:sz w:val="16"/>
                <w:szCs w:val="16"/>
              </w:rPr>
            </w:pPr>
            <w:r w:rsidRPr="00B450EB">
              <w:rPr>
                <w:rFonts w:eastAsia="Calibri" w:cs="Arial"/>
                <w:sz w:val="16"/>
                <w:szCs w:val="16"/>
              </w:rPr>
              <w:t>752.021</w:t>
            </w:r>
          </w:p>
        </w:tc>
      </w:tr>
    </w:tbl>
    <w:p w14:paraId="34A9E10B" w14:textId="77777777" w:rsidR="00702D5A" w:rsidRPr="00B450EB" w:rsidRDefault="00702D5A" w:rsidP="00702D5A">
      <w:pPr>
        <w:spacing w:after="0" w:line="240" w:lineRule="auto"/>
        <w:mirrorIndents/>
        <w:jc w:val="center"/>
        <w:rPr>
          <w:rFonts w:eastAsia="Calibri" w:cs="Arial"/>
          <w:i/>
          <w:iCs/>
          <w:sz w:val="14"/>
          <w:szCs w:val="14"/>
        </w:rPr>
      </w:pPr>
      <w:r w:rsidRPr="00B450EB">
        <w:rPr>
          <w:rFonts w:eastAsia="Calibri" w:cs="Arial"/>
          <w:i/>
          <w:iCs/>
          <w:sz w:val="14"/>
          <w:szCs w:val="14"/>
        </w:rPr>
        <w:t>*Departamentos que integran el área del Bioma Amazónico Colombiano en una proporción parcial, respecto a los demás departamentos.</w:t>
      </w:r>
    </w:p>
    <w:p w14:paraId="742B2348" w14:textId="64953A91" w:rsidR="00702D5A" w:rsidRPr="00B450EB" w:rsidRDefault="00702D5A" w:rsidP="00702D5A">
      <w:pPr>
        <w:spacing w:after="0" w:line="240" w:lineRule="auto"/>
        <w:mirrorIndents/>
        <w:jc w:val="center"/>
        <w:rPr>
          <w:rFonts w:eastAsia="Calibri" w:cs="Arial"/>
          <w:sz w:val="18"/>
          <w:szCs w:val="18"/>
        </w:rPr>
      </w:pPr>
      <w:r w:rsidRPr="00B450EB">
        <w:rPr>
          <w:rFonts w:eastAsia="Calibri" w:cs="Arial"/>
          <w:sz w:val="18"/>
          <w:szCs w:val="18"/>
        </w:rPr>
        <w:t>Fuente:</w:t>
      </w:r>
      <w:r w:rsidRPr="00B450EB">
        <w:t xml:space="preserve"> </w:t>
      </w:r>
      <w:r w:rsidRPr="00B450EB">
        <w:rPr>
          <w:sz w:val="18"/>
          <w:szCs w:val="18"/>
        </w:rPr>
        <w:t xml:space="preserve">Elaboración propia a partir de datos del sistema </w:t>
      </w:r>
      <w:proofErr w:type="spellStart"/>
      <w:r w:rsidRPr="00B450EB">
        <w:rPr>
          <w:i/>
          <w:iCs/>
          <w:sz w:val="18"/>
          <w:szCs w:val="18"/>
        </w:rPr>
        <w:t>TerriData</w:t>
      </w:r>
      <w:proofErr w:type="spellEnd"/>
      <w:r w:rsidRPr="00B450EB">
        <w:rPr>
          <w:sz w:val="18"/>
          <w:szCs w:val="18"/>
        </w:rPr>
        <w:t>, Departamento Nacional de Planeación (</w:t>
      </w:r>
      <w:r w:rsidRPr="00B450EB">
        <w:rPr>
          <w:rFonts w:eastAsia="Calibri" w:cs="Arial"/>
          <w:sz w:val="18"/>
          <w:szCs w:val="18"/>
        </w:rPr>
        <w:t>DNP</w:t>
      </w:r>
      <w:r w:rsidRPr="00B450EB">
        <w:rPr>
          <w:sz w:val="18"/>
          <w:szCs w:val="18"/>
        </w:rPr>
        <w:t>)</w:t>
      </w:r>
      <w:r w:rsidRPr="00B450EB">
        <w:rPr>
          <w:rFonts w:eastAsia="Calibri" w:cs="Arial"/>
          <w:sz w:val="18"/>
          <w:szCs w:val="18"/>
        </w:rPr>
        <w:t xml:space="preserve">, Perfiles Departamentales; datos censales y proyecciones poblacionales oficiales, complementados con informes del </w:t>
      </w:r>
      <w:hyperlink r:id="rId115" w:tgtFrame="_blank" w:history="1">
        <w:r w:rsidRPr="00B450EB">
          <w:rPr>
            <w:sz w:val="18"/>
            <w:szCs w:val="18"/>
          </w:rPr>
          <w:t>Departamento Administrativo Nacional de Estadística</w:t>
        </w:r>
      </w:hyperlink>
      <w:r w:rsidRPr="00B450EB">
        <w:rPr>
          <w:rFonts w:eastAsia="Calibri" w:cs="Arial"/>
          <w:sz w:val="18"/>
          <w:szCs w:val="18"/>
        </w:rPr>
        <w:t xml:space="preserve"> (DANE) para población desagregada por sexo y área urbana/rural.</w:t>
      </w:r>
    </w:p>
    <w:p w14:paraId="35F57B84" w14:textId="77777777" w:rsidR="00702D5A" w:rsidRPr="00B450EB" w:rsidRDefault="00702D5A" w:rsidP="00702D5A">
      <w:pPr>
        <w:spacing w:after="0" w:line="240" w:lineRule="auto"/>
        <w:mirrorIndents/>
        <w:jc w:val="center"/>
        <w:rPr>
          <w:rFonts w:eastAsia="Calibri" w:cs="Arial"/>
          <w:i/>
          <w:iCs/>
          <w:sz w:val="14"/>
          <w:szCs w:val="14"/>
        </w:rPr>
      </w:pPr>
    </w:p>
    <w:p w14:paraId="25904242" w14:textId="76BBC665" w:rsidR="00702D5A" w:rsidRPr="00B450EB" w:rsidRDefault="00702D5A" w:rsidP="00702D5A">
      <w:pPr>
        <w:spacing w:line="240" w:lineRule="auto"/>
        <w:mirrorIndents/>
      </w:pPr>
      <w:r w:rsidRPr="00B450EB">
        <w:rPr>
          <w:rFonts w:eastAsia="Calibri" w:cs="Arial"/>
        </w:rPr>
        <w:t>De igual manera, se caracteriza por una notable diversidad étnica y territorial, representada por resguardos indígenas, territorios colectivos de comunidades negras, afrodescendientes, palenqueras y raizales, así como, Zonas de Reserva Campesina (ZRC).</w:t>
      </w:r>
      <w:r w:rsidRPr="00B450EB">
        <w:t xml:space="preserve"> La </w:t>
      </w:r>
      <w:r w:rsidRPr="00B450EB">
        <w:fldChar w:fldCharType="begin"/>
      </w:r>
      <w:r w:rsidRPr="00B450EB">
        <w:instrText xml:space="preserve"> REF _Ref209048981 \h </w:instrText>
      </w:r>
      <w:r w:rsidR="006E0BC8" w:rsidRPr="00B450EB">
        <w:instrText xml:space="preserve"> \* MERGEFORMAT </w:instrText>
      </w:r>
      <w:r w:rsidRPr="00B450EB">
        <w:fldChar w:fldCharType="separate"/>
      </w:r>
      <w:r w:rsidR="00010D09" w:rsidRPr="00B450EB">
        <w:t xml:space="preserve">Tabla </w:t>
      </w:r>
      <w:r w:rsidR="00010D09" w:rsidRPr="00B450EB">
        <w:rPr>
          <w:noProof/>
        </w:rPr>
        <w:t>16</w:t>
      </w:r>
      <w:r w:rsidRPr="00B450EB">
        <w:fldChar w:fldCharType="end"/>
      </w:r>
      <w:r w:rsidRPr="00B450EB">
        <w:t>, muestra que en departamentos como Vaupés, Guainía, Vichada y Amazonas la población indígena es mayoritaria, lo que resalta su papel central en la organización territorial y cultural de la Amazonía y refuerza la necesidad de considerar sus sistemas de gobernanza y ordenamiento propio en los procesos de declaratoria de reserva.</w:t>
      </w:r>
    </w:p>
    <w:p w14:paraId="7F86A811" w14:textId="77777777" w:rsidR="00D203BB" w:rsidRPr="00B450EB" w:rsidRDefault="00D203BB" w:rsidP="00702D5A">
      <w:pPr>
        <w:spacing w:line="240" w:lineRule="auto"/>
        <w:mirrorIndents/>
      </w:pPr>
    </w:p>
    <w:p w14:paraId="0742153C" w14:textId="77777777" w:rsidR="00B34DB2" w:rsidRPr="00B450EB" w:rsidRDefault="00B34DB2" w:rsidP="00702D5A">
      <w:pPr>
        <w:spacing w:line="240" w:lineRule="auto"/>
        <w:mirrorIndents/>
      </w:pPr>
    </w:p>
    <w:p w14:paraId="7E315A40" w14:textId="77777777" w:rsidR="00B34DB2" w:rsidRPr="00B450EB" w:rsidRDefault="00B34DB2">
      <w:pPr>
        <w:jc w:val="left"/>
        <w:rPr>
          <w:i/>
          <w:iCs/>
          <w:sz w:val="18"/>
          <w:szCs w:val="18"/>
        </w:rPr>
      </w:pPr>
      <w:bookmarkStart w:id="134" w:name="_Ref209048981"/>
      <w:r w:rsidRPr="00B450EB">
        <w:br w:type="page"/>
      </w:r>
    </w:p>
    <w:p w14:paraId="2A4AA682" w14:textId="4A50C590" w:rsidR="00702D5A" w:rsidRPr="00B450EB" w:rsidRDefault="00702D5A" w:rsidP="00702D5A">
      <w:pPr>
        <w:pStyle w:val="Descripcin"/>
        <w:mirrorIndents/>
        <w:rPr>
          <w:color w:val="auto"/>
        </w:rPr>
      </w:pPr>
      <w:bookmarkStart w:id="135" w:name="_Toc209722999"/>
      <w:r w:rsidRPr="00B450EB">
        <w:rPr>
          <w:color w:val="auto"/>
        </w:rPr>
        <w:lastRenderedPageBreak/>
        <w:t xml:space="preserve">Tabla </w:t>
      </w:r>
      <w:r w:rsidRPr="00B450EB">
        <w:rPr>
          <w:color w:val="auto"/>
        </w:rPr>
        <w:fldChar w:fldCharType="begin"/>
      </w:r>
      <w:r w:rsidRPr="00B450EB">
        <w:rPr>
          <w:color w:val="auto"/>
        </w:rPr>
        <w:instrText>SEQ Tabla \* ARABIC</w:instrText>
      </w:r>
      <w:r w:rsidRPr="00B450EB">
        <w:rPr>
          <w:color w:val="auto"/>
        </w:rPr>
        <w:fldChar w:fldCharType="separate"/>
      </w:r>
      <w:r w:rsidR="009765C2" w:rsidRPr="00B450EB">
        <w:rPr>
          <w:noProof/>
          <w:color w:val="auto"/>
        </w:rPr>
        <w:t>16</w:t>
      </w:r>
      <w:r w:rsidRPr="00B450EB">
        <w:rPr>
          <w:color w:val="auto"/>
        </w:rPr>
        <w:fldChar w:fldCharType="end"/>
      </w:r>
      <w:bookmarkEnd w:id="134"/>
      <w:r w:rsidRPr="00B450EB">
        <w:rPr>
          <w:color w:val="auto"/>
        </w:rPr>
        <w:t>. Población étnica por departamento en el Bioma Amazónico Colombiano</w:t>
      </w:r>
      <w:bookmarkEnd w:id="135"/>
    </w:p>
    <w:tbl>
      <w:tblPr>
        <w:tblStyle w:val="Tablaconcuadrcula"/>
        <w:tblW w:w="5000" w:type="pct"/>
        <w:tblLook w:val="04A0" w:firstRow="1" w:lastRow="0" w:firstColumn="1" w:lastColumn="0" w:noHBand="0" w:noVBand="1"/>
      </w:tblPr>
      <w:tblGrid>
        <w:gridCol w:w="1158"/>
        <w:gridCol w:w="885"/>
        <w:gridCol w:w="723"/>
        <w:gridCol w:w="932"/>
        <w:gridCol w:w="831"/>
        <w:gridCol w:w="709"/>
        <w:gridCol w:w="1277"/>
        <w:gridCol w:w="1247"/>
        <w:gridCol w:w="1066"/>
      </w:tblGrid>
      <w:tr w:rsidR="00EF1937" w:rsidRPr="00B450EB" w14:paraId="10501DFB" w14:textId="77777777" w:rsidTr="00024A81">
        <w:trPr>
          <w:trHeight w:val="558"/>
        </w:trPr>
        <w:tc>
          <w:tcPr>
            <w:tcW w:w="656" w:type="pct"/>
            <w:vMerge w:val="restart"/>
            <w:shd w:val="clear" w:color="auto" w:fill="D9F2D0" w:themeFill="accent6" w:themeFillTint="33"/>
            <w:vAlign w:val="center"/>
          </w:tcPr>
          <w:p w14:paraId="0CE29C7A"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Departamento</w:t>
            </w:r>
          </w:p>
        </w:tc>
        <w:tc>
          <w:tcPr>
            <w:tcW w:w="501" w:type="pct"/>
            <w:vMerge w:val="restart"/>
            <w:shd w:val="clear" w:color="auto" w:fill="D9F2D0" w:themeFill="accent6" w:themeFillTint="33"/>
            <w:vAlign w:val="center"/>
          </w:tcPr>
          <w:p w14:paraId="6C99A03A"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Población en 2024</w:t>
            </w:r>
          </w:p>
        </w:tc>
        <w:tc>
          <w:tcPr>
            <w:tcW w:w="937" w:type="pct"/>
            <w:gridSpan w:val="2"/>
            <w:shd w:val="clear" w:color="auto" w:fill="D9F2D0" w:themeFill="accent6" w:themeFillTint="33"/>
            <w:vAlign w:val="center"/>
          </w:tcPr>
          <w:p w14:paraId="5CA4BBD7"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Población étnica total respecto al registro por departamento</w:t>
            </w:r>
          </w:p>
        </w:tc>
        <w:tc>
          <w:tcPr>
            <w:tcW w:w="2906" w:type="pct"/>
            <w:gridSpan w:val="5"/>
            <w:shd w:val="clear" w:color="auto" w:fill="D9F2D0" w:themeFill="accent6" w:themeFillTint="33"/>
            <w:vAlign w:val="center"/>
          </w:tcPr>
          <w:p w14:paraId="36C7212A"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Población Étnica</w:t>
            </w:r>
          </w:p>
        </w:tc>
      </w:tr>
      <w:tr w:rsidR="00EF1937" w:rsidRPr="00B450EB" w14:paraId="65CE3C99" w14:textId="77777777" w:rsidTr="00024A81">
        <w:tc>
          <w:tcPr>
            <w:tcW w:w="656" w:type="pct"/>
            <w:vMerge/>
            <w:shd w:val="clear" w:color="auto" w:fill="D9F2D0" w:themeFill="accent6" w:themeFillTint="33"/>
            <w:vAlign w:val="center"/>
          </w:tcPr>
          <w:p w14:paraId="6C9AD1DD" w14:textId="77777777" w:rsidR="00702D5A" w:rsidRPr="00B450EB" w:rsidRDefault="00702D5A" w:rsidP="00D203BB">
            <w:pPr>
              <w:spacing w:line="276" w:lineRule="auto"/>
              <w:mirrorIndents/>
              <w:jc w:val="center"/>
              <w:rPr>
                <w:rFonts w:eastAsia="Calibri" w:cs="Arial"/>
                <w:bCs/>
                <w:sz w:val="14"/>
                <w:szCs w:val="14"/>
              </w:rPr>
            </w:pPr>
          </w:p>
        </w:tc>
        <w:tc>
          <w:tcPr>
            <w:tcW w:w="501" w:type="pct"/>
            <w:vMerge/>
            <w:shd w:val="clear" w:color="auto" w:fill="D9F2D0" w:themeFill="accent6" w:themeFillTint="33"/>
            <w:vAlign w:val="center"/>
          </w:tcPr>
          <w:p w14:paraId="0A720785" w14:textId="77777777" w:rsidR="00702D5A" w:rsidRPr="00B450EB" w:rsidRDefault="00702D5A" w:rsidP="00D203BB">
            <w:pPr>
              <w:spacing w:line="276" w:lineRule="auto"/>
              <w:mirrorIndents/>
              <w:jc w:val="center"/>
              <w:rPr>
                <w:rFonts w:eastAsia="Calibri" w:cs="Arial"/>
                <w:bCs/>
                <w:sz w:val="14"/>
                <w:szCs w:val="14"/>
              </w:rPr>
            </w:pPr>
          </w:p>
        </w:tc>
        <w:tc>
          <w:tcPr>
            <w:tcW w:w="409" w:type="pct"/>
            <w:shd w:val="clear" w:color="auto" w:fill="D9F2D0" w:themeFill="accent6" w:themeFillTint="33"/>
            <w:vAlign w:val="center"/>
          </w:tcPr>
          <w:p w14:paraId="53973316"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Total</w:t>
            </w:r>
          </w:p>
        </w:tc>
        <w:tc>
          <w:tcPr>
            <w:tcW w:w="528" w:type="pct"/>
            <w:shd w:val="clear" w:color="auto" w:fill="D9F2D0" w:themeFill="accent6" w:themeFillTint="33"/>
            <w:vAlign w:val="center"/>
          </w:tcPr>
          <w:p w14:paraId="6A8FAE8D"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Porcentaje</w:t>
            </w:r>
          </w:p>
        </w:tc>
        <w:tc>
          <w:tcPr>
            <w:tcW w:w="471" w:type="pct"/>
            <w:shd w:val="clear" w:color="auto" w:fill="D9F2D0" w:themeFill="accent6" w:themeFillTint="33"/>
            <w:vAlign w:val="center"/>
          </w:tcPr>
          <w:p w14:paraId="25285614"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Indígena</w:t>
            </w:r>
          </w:p>
        </w:tc>
        <w:tc>
          <w:tcPr>
            <w:tcW w:w="402" w:type="pct"/>
            <w:shd w:val="clear" w:color="auto" w:fill="D9F2D0" w:themeFill="accent6" w:themeFillTint="33"/>
            <w:vAlign w:val="center"/>
          </w:tcPr>
          <w:p w14:paraId="177B049A"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Gitana</w:t>
            </w:r>
          </w:p>
        </w:tc>
        <w:tc>
          <w:tcPr>
            <w:tcW w:w="723" w:type="pct"/>
            <w:shd w:val="clear" w:color="auto" w:fill="D9F2D0" w:themeFill="accent6" w:themeFillTint="33"/>
            <w:vAlign w:val="center"/>
          </w:tcPr>
          <w:p w14:paraId="656C386C"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Negra, mulata o afrocolombiana</w:t>
            </w:r>
          </w:p>
        </w:tc>
        <w:tc>
          <w:tcPr>
            <w:tcW w:w="706" w:type="pct"/>
            <w:shd w:val="clear" w:color="auto" w:fill="D9F2D0" w:themeFill="accent6" w:themeFillTint="33"/>
            <w:vAlign w:val="center"/>
          </w:tcPr>
          <w:p w14:paraId="03BD7515"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Palenquera de San Basilio</w:t>
            </w:r>
          </w:p>
        </w:tc>
        <w:tc>
          <w:tcPr>
            <w:tcW w:w="604" w:type="pct"/>
            <w:shd w:val="clear" w:color="auto" w:fill="D9F2D0" w:themeFill="accent6" w:themeFillTint="33"/>
            <w:vAlign w:val="center"/>
          </w:tcPr>
          <w:p w14:paraId="1641650C" w14:textId="77777777" w:rsidR="00702D5A" w:rsidRPr="00B450EB" w:rsidRDefault="00702D5A" w:rsidP="00D203BB">
            <w:pPr>
              <w:spacing w:line="276" w:lineRule="auto"/>
              <w:mirrorIndents/>
              <w:jc w:val="center"/>
              <w:rPr>
                <w:rFonts w:eastAsia="Calibri" w:cs="Arial"/>
                <w:b/>
                <w:sz w:val="14"/>
                <w:szCs w:val="14"/>
              </w:rPr>
            </w:pPr>
            <w:r w:rsidRPr="00B450EB">
              <w:rPr>
                <w:rFonts w:eastAsia="Calibri" w:cs="Arial"/>
                <w:b/>
                <w:sz w:val="14"/>
                <w:szCs w:val="14"/>
              </w:rPr>
              <w:t>Raizal del Archipiélago</w:t>
            </w:r>
          </w:p>
        </w:tc>
      </w:tr>
      <w:tr w:rsidR="00EF1937" w:rsidRPr="00B450EB" w14:paraId="60B6AAFA" w14:textId="77777777" w:rsidTr="00024A81">
        <w:tc>
          <w:tcPr>
            <w:tcW w:w="656" w:type="pct"/>
            <w:vAlign w:val="center"/>
          </w:tcPr>
          <w:p w14:paraId="33F79F1C"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Amazonas</w:t>
            </w:r>
          </w:p>
        </w:tc>
        <w:tc>
          <w:tcPr>
            <w:tcW w:w="501" w:type="pct"/>
            <w:vAlign w:val="center"/>
          </w:tcPr>
          <w:p w14:paraId="3D9FD3BB"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86.318</w:t>
            </w:r>
          </w:p>
        </w:tc>
        <w:tc>
          <w:tcPr>
            <w:tcW w:w="409" w:type="pct"/>
            <w:vAlign w:val="center"/>
          </w:tcPr>
          <w:p w14:paraId="378A8F9D"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54.537</w:t>
            </w:r>
          </w:p>
        </w:tc>
        <w:tc>
          <w:tcPr>
            <w:tcW w:w="528" w:type="pct"/>
            <w:vAlign w:val="center"/>
          </w:tcPr>
          <w:p w14:paraId="59B45C57" w14:textId="77777777" w:rsidR="00702D5A" w:rsidRPr="00B450EB" w:rsidRDefault="00702D5A" w:rsidP="00D203BB">
            <w:pPr>
              <w:spacing w:line="276" w:lineRule="auto"/>
              <w:mirrorIndents/>
              <w:jc w:val="center"/>
              <w:rPr>
                <w:rFonts w:eastAsia="Calibri" w:cs="Arial"/>
                <w:bCs/>
                <w:sz w:val="14"/>
                <w:szCs w:val="14"/>
              </w:rPr>
            </w:pPr>
            <w:r w:rsidRPr="00B450EB">
              <w:rPr>
                <w:rFonts w:cs="Arial"/>
                <w:sz w:val="14"/>
                <w:szCs w:val="14"/>
              </w:rPr>
              <w:t>63%</w:t>
            </w:r>
          </w:p>
        </w:tc>
        <w:tc>
          <w:tcPr>
            <w:tcW w:w="471" w:type="pct"/>
            <w:vAlign w:val="center"/>
          </w:tcPr>
          <w:p w14:paraId="77475B6E"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54.537</w:t>
            </w:r>
          </w:p>
        </w:tc>
        <w:tc>
          <w:tcPr>
            <w:tcW w:w="402" w:type="pct"/>
            <w:vAlign w:val="center"/>
          </w:tcPr>
          <w:p w14:paraId="078B8566"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6</w:t>
            </w:r>
          </w:p>
        </w:tc>
        <w:tc>
          <w:tcPr>
            <w:tcW w:w="723" w:type="pct"/>
            <w:vAlign w:val="center"/>
          </w:tcPr>
          <w:p w14:paraId="0E89460A"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625</w:t>
            </w:r>
          </w:p>
        </w:tc>
        <w:tc>
          <w:tcPr>
            <w:tcW w:w="706" w:type="pct"/>
            <w:vAlign w:val="center"/>
          </w:tcPr>
          <w:p w14:paraId="4350B903"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0</w:t>
            </w:r>
          </w:p>
        </w:tc>
        <w:tc>
          <w:tcPr>
            <w:tcW w:w="604" w:type="pct"/>
            <w:vAlign w:val="center"/>
          </w:tcPr>
          <w:p w14:paraId="0AD67798"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17</w:t>
            </w:r>
          </w:p>
        </w:tc>
      </w:tr>
      <w:tr w:rsidR="00EF1937" w:rsidRPr="00B450EB" w14:paraId="300D0EF8" w14:textId="77777777" w:rsidTr="00024A81">
        <w:tc>
          <w:tcPr>
            <w:tcW w:w="656" w:type="pct"/>
            <w:vAlign w:val="center"/>
          </w:tcPr>
          <w:p w14:paraId="5ACA31D4"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Caquetá</w:t>
            </w:r>
          </w:p>
        </w:tc>
        <w:tc>
          <w:tcPr>
            <w:tcW w:w="501" w:type="pct"/>
            <w:vAlign w:val="center"/>
          </w:tcPr>
          <w:p w14:paraId="19E67945"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428.162</w:t>
            </w:r>
          </w:p>
        </w:tc>
        <w:tc>
          <w:tcPr>
            <w:tcW w:w="409" w:type="pct"/>
            <w:vAlign w:val="center"/>
          </w:tcPr>
          <w:p w14:paraId="39C70B15"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17.850</w:t>
            </w:r>
          </w:p>
        </w:tc>
        <w:tc>
          <w:tcPr>
            <w:tcW w:w="528" w:type="pct"/>
            <w:vAlign w:val="center"/>
          </w:tcPr>
          <w:p w14:paraId="2400F541" w14:textId="77777777" w:rsidR="00702D5A" w:rsidRPr="00B450EB" w:rsidRDefault="00702D5A" w:rsidP="00D203BB">
            <w:pPr>
              <w:spacing w:line="276" w:lineRule="auto"/>
              <w:mirrorIndents/>
              <w:jc w:val="center"/>
              <w:rPr>
                <w:rFonts w:eastAsia="Calibri" w:cs="Arial"/>
                <w:bCs/>
                <w:sz w:val="14"/>
                <w:szCs w:val="14"/>
              </w:rPr>
            </w:pPr>
            <w:r w:rsidRPr="00B450EB">
              <w:rPr>
                <w:rFonts w:cs="Arial"/>
                <w:sz w:val="14"/>
                <w:szCs w:val="14"/>
              </w:rPr>
              <w:t>4%</w:t>
            </w:r>
          </w:p>
        </w:tc>
        <w:tc>
          <w:tcPr>
            <w:tcW w:w="471" w:type="pct"/>
            <w:vAlign w:val="center"/>
          </w:tcPr>
          <w:p w14:paraId="53CD832C"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11.898</w:t>
            </w:r>
          </w:p>
        </w:tc>
        <w:tc>
          <w:tcPr>
            <w:tcW w:w="402" w:type="pct"/>
            <w:vAlign w:val="center"/>
          </w:tcPr>
          <w:p w14:paraId="0E2E108B"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25</w:t>
            </w:r>
          </w:p>
        </w:tc>
        <w:tc>
          <w:tcPr>
            <w:tcW w:w="723" w:type="pct"/>
            <w:vAlign w:val="center"/>
          </w:tcPr>
          <w:p w14:paraId="183D6B02"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6.074</w:t>
            </w:r>
          </w:p>
        </w:tc>
        <w:tc>
          <w:tcPr>
            <w:tcW w:w="706" w:type="pct"/>
            <w:vAlign w:val="center"/>
          </w:tcPr>
          <w:p w14:paraId="073EDC49"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17</w:t>
            </w:r>
          </w:p>
        </w:tc>
        <w:tc>
          <w:tcPr>
            <w:tcW w:w="604" w:type="pct"/>
            <w:vAlign w:val="center"/>
          </w:tcPr>
          <w:p w14:paraId="1195849C"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36</w:t>
            </w:r>
          </w:p>
        </w:tc>
      </w:tr>
      <w:tr w:rsidR="00EF1937" w:rsidRPr="00B450EB" w14:paraId="56A2FC94" w14:textId="77777777" w:rsidTr="00024A81">
        <w:tc>
          <w:tcPr>
            <w:tcW w:w="656" w:type="pct"/>
            <w:vAlign w:val="center"/>
          </w:tcPr>
          <w:p w14:paraId="0003FFB6"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Guainía</w:t>
            </w:r>
          </w:p>
        </w:tc>
        <w:tc>
          <w:tcPr>
            <w:tcW w:w="501" w:type="pct"/>
            <w:vAlign w:val="center"/>
          </w:tcPr>
          <w:p w14:paraId="3475A4C3"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57.943</w:t>
            </w:r>
          </w:p>
        </w:tc>
        <w:tc>
          <w:tcPr>
            <w:tcW w:w="409" w:type="pct"/>
            <w:vAlign w:val="center"/>
          </w:tcPr>
          <w:p w14:paraId="203E96CC"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44.497</w:t>
            </w:r>
          </w:p>
        </w:tc>
        <w:tc>
          <w:tcPr>
            <w:tcW w:w="528" w:type="pct"/>
            <w:vAlign w:val="center"/>
          </w:tcPr>
          <w:p w14:paraId="1C2BDC20" w14:textId="77777777" w:rsidR="00702D5A" w:rsidRPr="00B450EB" w:rsidRDefault="00702D5A" w:rsidP="00D203BB">
            <w:pPr>
              <w:spacing w:line="276" w:lineRule="auto"/>
              <w:mirrorIndents/>
              <w:jc w:val="center"/>
              <w:rPr>
                <w:rFonts w:eastAsia="Calibri" w:cs="Arial"/>
                <w:bCs/>
                <w:sz w:val="14"/>
                <w:szCs w:val="14"/>
              </w:rPr>
            </w:pPr>
            <w:r w:rsidRPr="00B450EB">
              <w:rPr>
                <w:rFonts w:cs="Arial"/>
                <w:sz w:val="14"/>
                <w:szCs w:val="14"/>
              </w:rPr>
              <w:t>77%</w:t>
            </w:r>
          </w:p>
        </w:tc>
        <w:tc>
          <w:tcPr>
            <w:tcW w:w="471" w:type="pct"/>
            <w:vAlign w:val="center"/>
          </w:tcPr>
          <w:p w14:paraId="59A888CF"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42.865</w:t>
            </w:r>
          </w:p>
        </w:tc>
        <w:tc>
          <w:tcPr>
            <w:tcW w:w="402" w:type="pct"/>
            <w:vAlign w:val="center"/>
          </w:tcPr>
          <w:p w14:paraId="319552D7"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8</w:t>
            </w:r>
          </w:p>
        </w:tc>
        <w:tc>
          <w:tcPr>
            <w:tcW w:w="723" w:type="pct"/>
            <w:vAlign w:val="center"/>
          </w:tcPr>
          <w:p w14:paraId="4897D7F9"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615</w:t>
            </w:r>
          </w:p>
        </w:tc>
        <w:tc>
          <w:tcPr>
            <w:tcW w:w="706" w:type="pct"/>
            <w:vAlign w:val="center"/>
          </w:tcPr>
          <w:p w14:paraId="04454B72"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w:t>
            </w:r>
          </w:p>
        </w:tc>
        <w:tc>
          <w:tcPr>
            <w:tcW w:w="604" w:type="pct"/>
            <w:vAlign w:val="center"/>
          </w:tcPr>
          <w:p w14:paraId="716BFBAC"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5</w:t>
            </w:r>
          </w:p>
        </w:tc>
      </w:tr>
      <w:tr w:rsidR="00EF1937" w:rsidRPr="00B450EB" w14:paraId="745EF35C" w14:textId="77777777" w:rsidTr="00024A81">
        <w:tc>
          <w:tcPr>
            <w:tcW w:w="656" w:type="pct"/>
            <w:vAlign w:val="center"/>
          </w:tcPr>
          <w:p w14:paraId="45C0A6C9"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Guaviare</w:t>
            </w:r>
          </w:p>
        </w:tc>
        <w:tc>
          <w:tcPr>
            <w:tcW w:w="501" w:type="pct"/>
            <w:vAlign w:val="center"/>
          </w:tcPr>
          <w:p w14:paraId="0ACB51E0"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100.497</w:t>
            </w:r>
          </w:p>
        </w:tc>
        <w:tc>
          <w:tcPr>
            <w:tcW w:w="409" w:type="pct"/>
            <w:vAlign w:val="center"/>
          </w:tcPr>
          <w:p w14:paraId="3510C495"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15.093</w:t>
            </w:r>
          </w:p>
        </w:tc>
        <w:tc>
          <w:tcPr>
            <w:tcW w:w="528" w:type="pct"/>
            <w:vAlign w:val="center"/>
          </w:tcPr>
          <w:p w14:paraId="5F526989" w14:textId="77777777" w:rsidR="00702D5A" w:rsidRPr="00B450EB" w:rsidRDefault="00702D5A" w:rsidP="00D203BB">
            <w:pPr>
              <w:spacing w:line="276" w:lineRule="auto"/>
              <w:mirrorIndents/>
              <w:jc w:val="center"/>
              <w:rPr>
                <w:rFonts w:eastAsia="Calibri" w:cs="Arial"/>
                <w:bCs/>
                <w:sz w:val="14"/>
                <w:szCs w:val="14"/>
              </w:rPr>
            </w:pPr>
            <w:r w:rsidRPr="00B450EB">
              <w:rPr>
                <w:rFonts w:cs="Arial"/>
                <w:sz w:val="14"/>
                <w:szCs w:val="14"/>
              </w:rPr>
              <w:t>15%</w:t>
            </w:r>
          </w:p>
        </w:tc>
        <w:tc>
          <w:tcPr>
            <w:tcW w:w="471" w:type="pct"/>
            <w:vAlign w:val="center"/>
          </w:tcPr>
          <w:p w14:paraId="77A78BB3"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10.812</w:t>
            </w:r>
          </w:p>
        </w:tc>
        <w:tc>
          <w:tcPr>
            <w:tcW w:w="402" w:type="pct"/>
            <w:vAlign w:val="center"/>
          </w:tcPr>
          <w:p w14:paraId="71A7578C"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w:t>
            </w:r>
          </w:p>
        </w:tc>
        <w:tc>
          <w:tcPr>
            <w:tcW w:w="723" w:type="pct"/>
            <w:vAlign w:val="center"/>
          </w:tcPr>
          <w:p w14:paraId="3BD68A13"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4.261</w:t>
            </w:r>
          </w:p>
        </w:tc>
        <w:tc>
          <w:tcPr>
            <w:tcW w:w="706" w:type="pct"/>
            <w:vAlign w:val="center"/>
          </w:tcPr>
          <w:p w14:paraId="307BCA41"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7</w:t>
            </w:r>
          </w:p>
        </w:tc>
        <w:tc>
          <w:tcPr>
            <w:tcW w:w="604" w:type="pct"/>
            <w:vAlign w:val="center"/>
          </w:tcPr>
          <w:p w14:paraId="180AE0CE"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9</w:t>
            </w:r>
          </w:p>
        </w:tc>
      </w:tr>
      <w:tr w:rsidR="00EF1937" w:rsidRPr="00B450EB" w14:paraId="47C1AE79" w14:textId="77777777" w:rsidTr="00024A81">
        <w:tc>
          <w:tcPr>
            <w:tcW w:w="656" w:type="pct"/>
            <w:vAlign w:val="center"/>
          </w:tcPr>
          <w:p w14:paraId="79AAF6EC"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Putumayo</w:t>
            </w:r>
          </w:p>
        </w:tc>
        <w:tc>
          <w:tcPr>
            <w:tcW w:w="501" w:type="pct"/>
            <w:vAlign w:val="center"/>
          </w:tcPr>
          <w:p w14:paraId="2ECFA828"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388.716</w:t>
            </w:r>
          </w:p>
        </w:tc>
        <w:tc>
          <w:tcPr>
            <w:tcW w:w="409" w:type="pct"/>
            <w:vAlign w:val="center"/>
          </w:tcPr>
          <w:p w14:paraId="6F72DA13"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85.735</w:t>
            </w:r>
          </w:p>
        </w:tc>
        <w:tc>
          <w:tcPr>
            <w:tcW w:w="528" w:type="pct"/>
            <w:vAlign w:val="center"/>
          </w:tcPr>
          <w:p w14:paraId="2424F90D" w14:textId="77777777" w:rsidR="00702D5A" w:rsidRPr="00B450EB" w:rsidRDefault="00702D5A" w:rsidP="00D203BB">
            <w:pPr>
              <w:spacing w:line="276" w:lineRule="auto"/>
              <w:mirrorIndents/>
              <w:jc w:val="center"/>
              <w:rPr>
                <w:rFonts w:eastAsia="Calibri" w:cs="Arial"/>
                <w:bCs/>
                <w:sz w:val="14"/>
                <w:szCs w:val="14"/>
              </w:rPr>
            </w:pPr>
            <w:r w:rsidRPr="00B450EB">
              <w:rPr>
                <w:rFonts w:cs="Arial"/>
                <w:sz w:val="14"/>
                <w:szCs w:val="14"/>
              </w:rPr>
              <w:t>22%</w:t>
            </w:r>
          </w:p>
        </w:tc>
        <w:tc>
          <w:tcPr>
            <w:tcW w:w="471" w:type="pct"/>
            <w:vAlign w:val="center"/>
          </w:tcPr>
          <w:p w14:paraId="39731BCC"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70.806</w:t>
            </w:r>
          </w:p>
        </w:tc>
        <w:tc>
          <w:tcPr>
            <w:tcW w:w="402" w:type="pct"/>
            <w:vAlign w:val="center"/>
          </w:tcPr>
          <w:p w14:paraId="0FFE442B"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23</w:t>
            </w:r>
          </w:p>
        </w:tc>
        <w:tc>
          <w:tcPr>
            <w:tcW w:w="723" w:type="pct"/>
            <w:vAlign w:val="center"/>
          </w:tcPr>
          <w:p w14:paraId="2889DE0B"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14.847</w:t>
            </w:r>
          </w:p>
        </w:tc>
        <w:tc>
          <w:tcPr>
            <w:tcW w:w="706" w:type="pct"/>
            <w:vAlign w:val="center"/>
          </w:tcPr>
          <w:p w14:paraId="4C181D38"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41</w:t>
            </w:r>
          </w:p>
        </w:tc>
        <w:tc>
          <w:tcPr>
            <w:tcW w:w="604" w:type="pct"/>
            <w:vAlign w:val="center"/>
          </w:tcPr>
          <w:p w14:paraId="5425C349"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18</w:t>
            </w:r>
          </w:p>
        </w:tc>
      </w:tr>
      <w:tr w:rsidR="00EF1937" w:rsidRPr="00B450EB" w14:paraId="75F2A5A5" w14:textId="77777777" w:rsidTr="00024A81">
        <w:tc>
          <w:tcPr>
            <w:tcW w:w="656" w:type="pct"/>
            <w:vAlign w:val="center"/>
          </w:tcPr>
          <w:p w14:paraId="6C4F2176"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Vaupés</w:t>
            </w:r>
          </w:p>
        </w:tc>
        <w:tc>
          <w:tcPr>
            <w:tcW w:w="501" w:type="pct"/>
            <w:vAlign w:val="center"/>
          </w:tcPr>
          <w:p w14:paraId="32C38CFA"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47.961</w:t>
            </w:r>
          </w:p>
        </w:tc>
        <w:tc>
          <w:tcPr>
            <w:tcW w:w="409" w:type="pct"/>
            <w:vAlign w:val="center"/>
          </w:tcPr>
          <w:p w14:paraId="130415E2"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41.167</w:t>
            </w:r>
          </w:p>
        </w:tc>
        <w:tc>
          <w:tcPr>
            <w:tcW w:w="528" w:type="pct"/>
            <w:vAlign w:val="center"/>
          </w:tcPr>
          <w:p w14:paraId="1EC84862" w14:textId="77777777" w:rsidR="00702D5A" w:rsidRPr="00B450EB" w:rsidRDefault="00702D5A" w:rsidP="00D203BB">
            <w:pPr>
              <w:spacing w:line="276" w:lineRule="auto"/>
              <w:mirrorIndents/>
              <w:jc w:val="center"/>
              <w:rPr>
                <w:rFonts w:eastAsia="Calibri" w:cs="Arial"/>
                <w:bCs/>
                <w:sz w:val="14"/>
                <w:szCs w:val="14"/>
              </w:rPr>
            </w:pPr>
            <w:r w:rsidRPr="00B450EB">
              <w:rPr>
                <w:rFonts w:cs="Arial"/>
                <w:sz w:val="14"/>
                <w:szCs w:val="14"/>
              </w:rPr>
              <w:t>86%</w:t>
            </w:r>
          </w:p>
        </w:tc>
        <w:tc>
          <w:tcPr>
            <w:tcW w:w="471" w:type="pct"/>
            <w:vAlign w:val="center"/>
          </w:tcPr>
          <w:p w14:paraId="048DA3CF"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40.810</w:t>
            </w:r>
          </w:p>
        </w:tc>
        <w:tc>
          <w:tcPr>
            <w:tcW w:w="402" w:type="pct"/>
            <w:vAlign w:val="center"/>
          </w:tcPr>
          <w:p w14:paraId="48D1E542"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0</w:t>
            </w:r>
          </w:p>
        </w:tc>
        <w:tc>
          <w:tcPr>
            <w:tcW w:w="723" w:type="pct"/>
            <w:vAlign w:val="center"/>
          </w:tcPr>
          <w:p w14:paraId="3755037F"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335</w:t>
            </w:r>
          </w:p>
        </w:tc>
        <w:tc>
          <w:tcPr>
            <w:tcW w:w="706" w:type="pct"/>
            <w:vAlign w:val="center"/>
          </w:tcPr>
          <w:p w14:paraId="5373F5E7"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9</w:t>
            </w:r>
          </w:p>
        </w:tc>
        <w:tc>
          <w:tcPr>
            <w:tcW w:w="604" w:type="pct"/>
            <w:vAlign w:val="center"/>
          </w:tcPr>
          <w:p w14:paraId="22AD85CC"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13</w:t>
            </w:r>
          </w:p>
        </w:tc>
      </w:tr>
      <w:tr w:rsidR="00EF1937" w:rsidRPr="00B450EB" w14:paraId="4FE6A50E" w14:textId="77777777" w:rsidTr="00024A81">
        <w:tc>
          <w:tcPr>
            <w:tcW w:w="656" w:type="pct"/>
            <w:vAlign w:val="center"/>
          </w:tcPr>
          <w:p w14:paraId="78C9902B"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Vichada*</w:t>
            </w:r>
          </w:p>
        </w:tc>
        <w:tc>
          <w:tcPr>
            <w:tcW w:w="501" w:type="pct"/>
            <w:vAlign w:val="center"/>
          </w:tcPr>
          <w:p w14:paraId="67ACAABE"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125.477</w:t>
            </w:r>
          </w:p>
        </w:tc>
        <w:tc>
          <w:tcPr>
            <w:tcW w:w="409" w:type="pct"/>
            <w:vAlign w:val="center"/>
          </w:tcPr>
          <w:p w14:paraId="661F353B"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87.942</w:t>
            </w:r>
          </w:p>
        </w:tc>
        <w:tc>
          <w:tcPr>
            <w:tcW w:w="528" w:type="pct"/>
            <w:vAlign w:val="center"/>
          </w:tcPr>
          <w:p w14:paraId="5649FC16" w14:textId="77777777" w:rsidR="00702D5A" w:rsidRPr="00B450EB" w:rsidRDefault="00702D5A" w:rsidP="00D203BB">
            <w:pPr>
              <w:spacing w:line="276" w:lineRule="auto"/>
              <w:mirrorIndents/>
              <w:jc w:val="center"/>
              <w:rPr>
                <w:rFonts w:eastAsia="Calibri" w:cs="Arial"/>
                <w:bCs/>
                <w:sz w:val="14"/>
                <w:szCs w:val="14"/>
              </w:rPr>
            </w:pPr>
            <w:r w:rsidRPr="00B450EB">
              <w:rPr>
                <w:rFonts w:cs="Arial"/>
                <w:sz w:val="14"/>
                <w:szCs w:val="14"/>
              </w:rPr>
              <w:t>70%</w:t>
            </w:r>
          </w:p>
        </w:tc>
        <w:tc>
          <w:tcPr>
            <w:tcW w:w="471" w:type="pct"/>
            <w:vAlign w:val="center"/>
          </w:tcPr>
          <w:p w14:paraId="6F58C828"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87.147</w:t>
            </w:r>
          </w:p>
        </w:tc>
        <w:tc>
          <w:tcPr>
            <w:tcW w:w="402" w:type="pct"/>
            <w:vAlign w:val="center"/>
          </w:tcPr>
          <w:p w14:paraId="3C03A383"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2</w:t>
            </w:r>
          </w:p>
        </w:tc>
        <w:tc>
          <w:tcPr>
            <w:tcW w:w="723" w:type="pct"/>
            <w:vAlign w:val="center"/>
          </w:tcPr>
          <w:p w14:paraId="72A4B187"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774</w:t>
            </w:r>
          </w:p>
        </w:tc>
        <w:tc>
          <w:tcPr>
            <w:tcW w:w="706" w:type="pct"/>
            <w:vAlign w:val="center"/>
          </w:tcPr>
          <w:p w14:paraId="333B7930"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10</w:t>
            </w:r>
          </w:p>
        </w:tc>
        <w:tc>
          <w:tcPr>
            <w:tcW w:w="604" w:type="pct"/>
            <w:vAlign w:val="center"/>
          </w:tcPr>
          <w:p w14:paraId="0BA4E4B5"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9</w:t>
            </w:r>
          </w:p>
        </w:tc>
      </w:tr>
      <w:tr w:rsidR="00EF1937" w:rsidRPr="00B450EB" w14:paraId="20D2A53B" w14:textId="77777777" w:rsidTr="00024A81">
        <w:tc>
          <w:tcPr>
            <w:tcW w:w="656" w:type="pct"/>
            <w:vAlign w:val="center"/>
          </w:tcPr>
          <w:p w14:paraId="5E56F7DB"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Meta*</w:t>
            </w:r>
          </w:p>
        </w:tc>
        <w:tc>
          <w:tcPr>
            <w:tcW w:w="501" w:type="pct"/>
            <w:vAlign w:val="center"/>
          </w:tcPr>
          <w:p w14:paraId="496F6A5E"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1.145.766</w:t>
            </w:r>
          </w:p>
        </w:tc>
        <w:tc>
          <w:tcPr>
            <w:tcW w:w="409" w:type="pct"/>
            <w:vAlign w:val="center"/>
          </w:tcPr>
          <w:p w14:paraId="525081DF" w14:textId="77777777" w:rsidR="00702D5A" w:rsidRPr="00B450EB" w:rsidRDefault="00702D5A" w:rsidP="00D203BB">
            <w:pPr>
              <w:spacing w:line="276" w:lineRule="auto"/>
              <w:mirrorIndents/>
              <w:jc w:val="center"/>
              <w:rPr>
                <w:rFonts w:eastAsia="Batang" w:cs="Arial"/>
                <w:kern w:val="0"/>
                <w:sz w:val="14"/>
                <w:szCs w:val="14"/>
                <w14:ligatures w14:val="none"/>
              </w:rPr>
            </w:pPr>
            <w:r w:rsidRPr="00B450EB">
              <w:rPr>
                <w:rFonts w:eastAsia="Batang" w:cs="Arial"/>
                <w:kern w:val="0"/>
                <w:sz w:val="14"/>
                <w:szCs w:val="14"/>
                <w14:ligatures w14:val="none"/>
              </w:rPr>
              <w:t>36.803</w:t>
            </w:r>
          </w:p>
        </w:tc>
        <w:tc>
          <w:tcPr>
            <w:tcW w:w="528" w:type="pct"/>
            <w:vAlign w:val="center"/>
          </w:tcPr>
          <w:p w14:paraId="75932D29" w14:textId="77777777" w:rsidR="00702D5A" w:rsidRPr="00B450EB" w:rsidRDefault="00702D5A" w:rsidP="00D203BB">
            <w:pPr>
              <w:spacing w:line="276" w:lineRule="auto"/>
              <w:mirrorIndents/>
              <w:jc w:val="center"/>
              <w:rPr>
                <w:rFonts w:eastAsia="Batang" w:cs="Arial"/>
                <w:kern w:val="0"/>
                <w:sz w:val="14"/>
                <w:szCs w:val="14"/>
                <w14:ligatures w14:val="none"/>
              </w:rPr>
            </w:pPr>
            <w:r w:rsidRPr="00B450EB">
              <w:rPr>
                <w:rFonts w:cs="Arial"/>
                <w:sz w:val="14"/>
                <w:szCs w:val="14"/>
              </w:rPr>
              <w:t>3%</w:t>
            </w:r>
          </w:p>
        </w:tc>
        <w:tc>
          <w:tcPr>
            <w:tcW w:w="471" w:type="pct"/>
            <w:vAlign w:val="center"/>
          </w:tcPr>
          <w:p w14:paraId="2A388657" w14:textId="77777777" w:rsidR="00702D5A" w:rsidRPr="00B450EB" w:rsidRDefault="00702D5A" w:rsidP="00D203BB">
            <w:pPr>
              <w:spacing w:line="276" w:lineRule="auto"/>
              <w:mirrorIndents/>
              <w:jc w:val="center"/>
              <w:rPr>
                <w:rFonts w:eastAsia="Batang" w:cs="Arial"/>
                <w:kern w:val="0"/>
                <w:sz w:val="14"/>
                <w:szCs w:val="14"/>
                <w14:ligatures w14:val="none"/>
              </w:rPr>
            </w:pPr>
            <w:r w:rsidRPr="00B450EB">
              <w:rPr>
                <w:rFonts w:eastAsia="Batang" w:cs="Arial"/>
                <w:kern w:val="0"/>
                <w:sz w:val="14"/>
                <w:szCs w:val="14"/>
                <w14:ligatures w14:val="none"/>
              </w:rPr>
              <w:t>25.509</w:t>
            </w:r>
          </w:p>
        </w:tc>
        <w:tc>
          <w:tcPr>
            <w:tcW w:w="402" w:type="pct"/>
            <w:vAlign w:val="center"/>
          </w:tcPr>
          <w:p w14:paraId="5586889A" w14:textId="77777777" w:rsidR="00702D5A" w:rsidRPr="00B450EB" w:rsidRDefault="00702D5A" w:rsidP="00D203BB">
            <w:pPr>
              <w:spacing w:line="276" w:lineRule="auto"/>
              <w:mirrorIndents/>
              <w:jc w:val="center"/>
              <w:rPr>
                <w:rFonts w:eastAsia="Batang" w:cs="Arial"/>
                <w:kern w:val="0"/>
                <w:sz w:val="14"/>
                <w:szCs w:val="14"/>
                <w14:ligatures w14:val="none"/>
              </w:rPr>
            </w:pPr>
            <w:r w:rsidRPr="00B450EB">
              <w:rPr>
                <w:rFonts w:eastAsia="Batang" w:cs="Arial"/>
                <w:kern w:val="0"/>
                <w:sz w:val="14"/>
                <w:szCs w:val="14"/>
                <w14:ligatures w14:val="none"/>
              </w:rPr>
              <w:t>38</w:t>
            </w:r>
          </w:p>
        </w:tc>
        <w:tc>
          <w:tcPr>
            <w:tcW w:w="723" w:type="pct"/>
            <w:vAlign w:val="center"/>
          </w:tcPr>
          <w:p w14:paraId="25336359" w14:textId="77777777" w:rsidR="00702D5A" w:rsidRPr="00B450EB" w:rsidRDefault="00702D5A" w:rsidP="00D203BB">
            <w:pPr>
              <w:spacing w:line="276" w:lineRule="auto"/>
              <w:mirrorIndents/>
              <w:jc w:val="center"/>
              <w:rPr>
                <w:rFonts w:eastAsia="Batang" w:cs="Arial"/>
                <w:kern w:val="0"/>
                <w:sz w:val="14"/>
                <w:szCs w:val="14"/>
                <w14:ligatures w14:val="none"/>
              </w:rPr>
            </w:pPr>
            <w:r w:rsidRPr="00B450EB">
              <w:rPr>
                <w:rFonts w:eastAsia="Batang" w:cs="Arial"/>
                <w:kern w:val="0"/>
                <w:sz w:val="14"/>
                <w:szCs w:val="14"/>
                <w14:ligatures w14:val="none"/>
              </w:rPr>
              <w:t>11.100</w:t>
            </w:r>
          </w:p>
        </w:tc>
        <w:tc>
          <w:tcPr>
            <w:tcW w:w="706" w:type="pct"/>
            <w:vAlign w:val="center"/>
          </w:tcPr>
          <w:p w14:paraId="3F771A49" w14:textId="77777777" w:rsidR="00702D5A" w:rsidRPr="00B450EB" w:rsidRDefault="00702D5A" w:rsidP="00D203BB">
            <w:pPr>
              <w:spacing w:line="276" w:lineRule="auto"/>
              <w:mirrorIndents/>
              <w:jc w:val="center"/>
              <w:rPr>
                <w:rFonts w:eastAsia="Batang" w:cs="Arial"/>
                <w:kern w:val="0"/>
                <w:sz w:val="14"/>
                <w:szCs w:val="14"/>
                <w14:ligatures w14:val="none"/>
              </w:rPr>
            </w:pPr>
            <w:r w:rsidRPr="00B450EB">
              <w:rPr>
                <w:rFonts w:eastAsia="Batang" w:cs="Arial"/>
                <w:kern w:val="0"/>
                <w:sz w:val="14"/>
                <w:szCs w:val="14"/>
                <w14:ligatures w14:val="none"/>
              </w:rPr>
              <w:t>37</w:t>
            </w:r>
          </w:p>
        </w:tc>
        <w:tc>
          <w:tcPr>
            <w:tcW w:w="604" w:type="pct"/>
            <w:vAlign w:val="center"/>
          </w:tcPr>
          <w:p w14:paraId="57382AE6" w14:textId="77777777" w:rsidR="00702D5A" w:rsidRPr="00B450EB" w:rsidRDefault="00702D5A" w:rsidP="00D203BB">
            <w:pPr>
              <w:spacing w:line="276" w:lineRule="auto"/>
              <w:mirrorIndents/>
              <w:jc w:val="center"/>
              <w:rPr>
                <w:rFonts w:eastAsia="Batang" w:cs="Arial"/>
                <w:kern w:val="0"/>
                <w:sz w:val="14"/>
                <w:szCs w:val="14"/>
                <w14:ligatures w14:val="none"/>
              </w:rPr>
            </w:pPr>
            <w:r w:rsidRPr="00B450EB">
              <w:rPr>
                <w:rFonts w:eastAsia="Batang" w:cs="Arial"/>
                <w:kern w:val="0"/>
                <w:sz w:val="14"/>
                <w:szCs w:val="14"/>
                <w14:ligatures w14:val="none"/>
              </w:rPr>
              <w:t>119</w:t>
            </w:r>
          </w:p>
        </w:tc>
      </w:tr>
      <w:tr w:rsidR="00EF1937" w:rsidRPr="00B450EB" w14:paraId="3A2C3182" w14:textId="77777777" w:rsidTr="00024A81">
        <w:tc>
          <w:tcPr>
            <w:tcW w:w="656" w:type="pct"/>
            <w:vAlign w:val="center"/>
          </w:tcPr>
          <w:p w14:paraId="4C197C95"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Cauca*</w:t>
            </w:r>
          </w:p>
        </w:tc>
        <w:tc>
          <w:tcPr>
            <w:tcW w:w="501" w:type="pct"/>
            <w:vAlign w:val="center"/>
          </w:tcPr>
          <w:p w14:paraId="08CD4A28"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1.574.506</w:t>
            </w:r>
          </w:p>
        </w:tc>
        <w:tc>
          <w:tcPr>
            <w:tcW w:w="409" w:type="pct"/>
            <w:vAlign w:val="center"/>
          </w:tcPr>
          <w:p w14:paraId="46A294D5"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715.640</w:t>
            </w:r>
          </w:p>
        </w:tc>
        <w:tc>
          <w:tcPr>
            <w:tcW w:w="528" w:type="pct"/>
            <w:vAlign w:val="center"/>
          </w:tcPr>
          <w:p w14:paraId="663480F9" w14:textId="77777777" w:rsidR="00702D5A" w:rsidRPr="00B450EB" w:rsidRDefault="00702D5A" w:rsidP="00D203BB">
            <w:pPr>
              <w:spacing w:line="276" w:lineRule="auto"/>
              <w:mirrorIndents/>
              <w:jc w:val="center"/>
              <w:rPr>
                <w:rFonts w:eastAsia="Calibri" w:cs="Arial"/>
                <w:bCs/>
                <w:sz w:val="14"/>
                <w:szCs w:val="14"/>
              </w:rPr>
            </w:pPr>
            <w:r w:rsidRPr="00B450EB">
              <w:rPr>
                <w:rFonts w:cs="Arial"/>
                <w:sz w:val="14"/>
                <w:szCs w:val="14"/>
              </w:rPr>
              <w:t>45%</w:t>
            </w:r>
          </w:p>
        </w:tc>
        <w:tc>
          <w:tcPr>
            <w:tcW w:w="471" w:type="pct"/>
            <w:vAlign w:val="center"/>
          </w:tcPr>
          <w:p w14:paraId="0744C93F"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400.198</w:t>
            </w:r>
          </w:p>
        </w:tc>
        <w:tc>
          <w:tcPr>
            <w:tcW w:w="402" w:type="pct"/>
            <w:vAlign w:val="center"/>
          </w:tcPr>
          <w:p w14:paraId="74E921DE"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46</w:t>
            </w:r>
          </w:p>
        </w:tc>
        <w:tc>
          <w:tcPr>
            <w:tcW w:w="723" w:type="pct"/>
            <w:vAlign w:val="center"/>
          </w:tcPr>
          <w:p w14:paraId="2EC53364"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315.180</w:t>
            </w:r>
          </w:p>
        </w:tc>
        <w:tc>
          <w:tcPr>
            <w:tcW w:w="706" w:type="pct"/>
            <w:vAlign w:val="center"/>
          </w:tcPr>
          <w:p w14:paraId="5E5152FA"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107</w:t>
            </w:r>
          </w:p>
        </w:tc>
        <w:tc>
          <w:tcPr>
            <w:tcW w:w="604" w:type="pct"/>
            <w:vAlign w:val="center"/>
          </w:tcPr>
          <w:p w14:paraId="70E91DE1"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109</w:t>
            </w:r>
          </w:p>
        </w:tc>
      </w:tr>
      <w:tr w:rsidR="00EF1937" w:rsidRPr="00B450EB" w14:paraId="29169DA3" w14:textId="77777777" w:rsidTr="00024A81">
        <w:tc>
          <w:tcPr>
            <w:tcW w:w="656" w:type="pct"/>
            <w:vAlign w:val="center"/>
          </w:tcPr>
          <w:p w14:paraId="4C7409F0"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Nariño*</w:t>
            </w:r>
          </w:p>
        </w:tc>
        <w:tc>
          <w:tcPr>
            <w:tcW w:w="501" w:type="pct"/>
            <w:vAlign w:val="center"/>
          </w:tcPr>
          <w:p w14:paraId="1AAE217E"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1.709.890</w:t>
            </w:r>
          </w:p>
        </w:tc>
        <w:tc>
          <w:tcPr>
            <w:tcW w:w="409" w:type="pct"/>
            <w:vAlign w:val="center"/>
          </w:tcPr>
          <w:p w14:paraId="2547A86E"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661.761</w:t>
            </w:r>
          </w:p>
        </w:tc>
        <w:tc>
          <w:tcPr>
            <w:tcW w:w="528" w:type="pct"/>
            <w:vAlign w:val="center"/>
          </w:tcPr>
          <w:p w14:paraId="49154CA4" w14:textId="77777777" w:rsidR="00702D5A" w:rsidRPr="00B450EB" w:rsidRDefault="00702D5A" w:rsidP="00D203BB">
            <w:pPr>
              <w:spacing w:line="276" w:lineRule="auto"/>
              <w:mirrorIndents/>
              <w:jc w:val="center"/>
              <w:rPr>
                <w:rFonts w:eastAsia="Calibri" w:cs="Arial"/>
                <w:bCs/>
                <w:sz w:val="14"/>
                <w:szCs w:val="14"/>
              </w:rPr>
            </w:pPr>
            <w:r w:rsidRPr="00B450EB">
              <w:rPr>
                <w:rFonts w:cs="Arial"/>
                <w:sz w:val="14"/>
                <w:szCs w:val="14"/>
              </w:rPr>
              <w:t>39%</w:t>
            </w:r>
          </w:p>
        </w:tc>
        <w:tc>
          <w:tcPr>
            <w:tcW w:w="471" w:type="pct"/>
            <w:vAlign w:val="center"/>
          </w:tcPr>
          <w:p w14:paraId="512A10C2"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270.876</w:t>
            </w:r>
          </w:p>
        </w:tc>
        <w:tc>
          <w:tcPr>
            <w:tcW w:w="402" w:type="pct"/>
            <w:vAlign w:val="center"/>
          </w:tcPr>
          <w:p w14:paraId="55D1D2DE"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181</w:t>
            </w:r>
          </w:p>
        </w:tc>
        <w:tc>
          <w:tcPr>
            <w:tcW w:w="723" w:type="pct"/>
            <w:vAlign w:val="center"/>
          </w:tcPr>
          <w:p w14:paraId="6D937A2B"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390.360</w:t>
            </w:r>
          </w:p>
        </w:tc>
        <w:tc>
          <w:tcPr>
            <w:tcW w:w="706" w:type="pct"/>
            <w:vAlign w:val="center"/>
          </w:tcPr>
          <w:p w14:paraId="4DC2B690"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177</w:t>
            </w:r>
          </w:p>
        </w:tc>
        <w:tc>
          <w:tcPr>
            <w:tcW w:w="604" w:type="pct"/>
            <w:vAlign w:val="center"/>
          </w:tcPr>
          <w:p w14:paraId="41E27E5D" w14:textId="77777777" w:rsidR="00702D5A" w:rsidRPr="00B450EB" w:rsidRDefault="00702D5A" w:rsidP="00D203BB">
            <w:pPr>
              <w:spacing w:line="276" w:lineRule="auto"/>
              <w:mirrorIndents/>
              <w:jc w:val="center"/>
              <w:rPr>
                <w:rFonts w:eastAsia="Calibri" w:cs="Arial"/>
                <w:bCs/>
                <w:sz w:val="14"/>
                <w:szCs w:val="14"/>
              </w:rPr>
            </w:pPr>
            <w:r w:rsidRPr="00B450EB">
              <w:rPr>
                <w:rFonts w:eastAsia="Calibri" w:cs="Arial"/>
                <w:bCs/>
                <w:sz w:val="14"/>
                <w:szCs w:val="14"/>
              </w:rPr>
              <w:t>167</w:t>
            </w:r>
          </w:p>
        </w:tc>
      </w:tr>
    </w:tbl>
    <w:p w14:paraId="63AA469C" w14:textId="77777777" w:rsidR="00702D5A" w:rsidRPr="00B450EB" w:rsidRDefault="00702D5A" w:rsidP="00702D5A">
      <w:pPr>
        <w:spacing w:after="0" w:line="240" w:lineRule="auto"/>
        <w:mirrorIndents/>
        <w:jc w:val="center"/>
        <w:rPr>
          <w:rFonts w:eastAsia="Calibri" w:cs="Arial"/>
          <w:i/>
          <w:iCs/>
          <w:sz w:val="14"/>
          <w:szCs w:val="14"/>
        </w:rPr>
      </w:pPr>
      <w:r w:rsidRPr="00B450EB">
        <w:rPr>
          <w:rFonts w:eastAsia="Calibri" w:cs="Arial"/>
          <w:i/>
          <w:iCs/>
          <w:sz w:val="14"/>
          <w:szCs w:val="14"/>
        </w:rPr>
        <w:t>*Departamentos que integran el área del Bioma Amazónico Colombiano en una proporción parcial, respecto a los demás departamentos.</w:t>
      </w:r>
    </w:p>
    <w:p w14:paraId="1663CB0E" w14:textId="6713FDBE" w:rsidR="00702D5A" w:rsidRPr="00B450EB" w:rsidRDefault="00702D5A" w:rsidP="00702D5A">
      <w:pPr>
        <w:spacing w:after="0" w:line="240" w:lineRule="auto"/>
        <w:mirrorIndents/>
        <w:jc w:val="center"/>
        <w:rPr>
          <w:rFonts w:eastAsia="Calibri" w:cs="Arial"/>
          <w:sz w:val="18"/>
          <w:szCs w:val="18"/>
        </w:rPr>
      </w:pPr>
      <w:r w:rsidRPr="00B450EB">
        <w:rPr>
          <w:rFonts w:eastAsia="Calibri" w:cs="Arial"/>
          <w:sz w:val="18"/>
          <w:szCs w:val="18"/>
        </w:rPr>
        <w:t>Fuente:</w:t>
      </w:r>
      <w:r w:rsidRPr="00B450EB">
        <w:t xml:space="preserve"> </w:t>
      </w:r>
      <w:r w:rsidRPr="00B450EB">
        <w:rPr>
          <w:sz w:val="18"/>
          <w:szCs w:val="18"/>
        </w:rPr>
        <w:t xml:space="preserve">Elaboración propia a partir de datos del sistema </w:t>
      </w:r>
      <w:proofErr w:type="spellStart"/>
      <w:r w:rsidRPr="00B450EB">
        <w:rPr>
          <w:i/>
          <w:iCs/>
          <w:sz w:val="18"/>
          <w:szCs w:val="18"/>
        </w:rPr>
        <w:t>TerriData</w:t>
      </w:r>
      <w:proofErr w:type="spellEnd"/>
      <w:r w:rsidRPr="00B450EB">
        <w:rPr>
          <w:sz w:val="18"/>
          <w:szCs w:val="18"/>
        </w:rPr>
        <w:t>, Departamento Nacional de Planeación (</w:t>
      </w:r>
      <w:r w:rsidRPr="00B450EB">
        <w:rPr>
          <w:rFonts w:eastAsia="Calibri" w:cs="Arial"/>
          <w:sz w:val="18"/>
          <w:szCs w:val="18"/>
        </w:rPr>
        <w:t>DNP</w:t>
      </w:r>
      <w:r w:rsidRPr="00B450EB">
        <w:rPr>
          <w:sz w:val="18"/>
          <w:szCs w:val="18"/>
        </w:rPr>
        <w:t>)</w:t>
      </w:r>
      <w:r w:rsidRPr="00B450EB">
        <w:rPr>
          <w:rFonts w:eastAsia="Calibri" w:cs="Arial"/>
          <w:sz w:val="18"/>
          <w:szCs w:val="18"/>
        </w:rPr>
        <w:t xml:space="preserve">, Perfiles Departamentales; datos censales y proyecciones poblacionales oficiales, complementados con informes del </w:t>
      </w:r>
      <w:hyperlink r:id="rId116" w:tgtFrame="_blank" w:history="1">
        <w:r w:rsidRPr="00B450EB">
          <w:rPr>
            <w:sz w:val="18"/>
            <w:szCs w:val="18"/>
          </w:rPr>
          <w:t>Departamento Administrativo Nacional de Estadística</w:t>
        </w:r>
      </w:hyperlink>
      <w:r w:rsidRPr="00B450EB">
        <w:rPr>
          <w:rFonts w:eastAsia="Calibri" w:cs="Arial"/>
          <w:sz w:val="18"/>
          <w:szCs w:val="18"/>
        </w:rPr>
        <w:t xml:space="preserve"> (DANE) para población desagregada por sexo y área urbana/rural.</w:t>
      </w:r>
    </w:p>
    <w:p w14:paraId="0D719FA5" w14:textId="77777777" w:rsidR="00702D5A" w:rsidRPr="00B450EB" w:rsidRDefault="00702D5A" w:rsidP="00702D5A">
      <w:pPr>
        <w:spacing w:after="0" w:line="240" w:lineRule="auto"/>
        <w:mirrorIndents/>
        <w:rPr>
          <w:rFonts w:eastAsia="Calibri" w:cs="Arial"/>
          <w:sz w:val="18"/>
          <w:szCs w:val="18"/>
        </w:rPr>
      </w:pPr>
    </w:p>
    <w:p w14:paraId="5B064253" w14:textId="77777777" w:rsidR="00702D5A" w:rsidRPr="00B450EB" w:rsidRDefault="00702D5A" w:rsidP="00702D5A">
      <w:pPr>
        <w:pStyle w:val="Prrafodelista"/>
        <w:numPr>
          <w:ilvl w:val="0"/>
          <w:numId w:val="22"/>
        </w:numPr>
        <w:spacing w:line="240" w:lineRule="auto"/>
        <w:mirrorIndents/>
        <w:rPr>
          <w:rFonts w:eastAsia="Calibri" w:cs="Arial"/>
          <w:i/>
          <w:iCs/>
        </w:rPr>
      </w:pPr>
      <w:r w:rsidRPr="00B450EB">
        <w:rPr>
          <w:rFonts w:eastAsia="Calibri" w:cs="Arial"/>
          <w:i/>
          <w:iCs/>
        </w:rPr>
        <w:t xml:space="preserve">Dinámica de poblamiento: </w:t>
      </w:r>
    </w:p>
    <w:p w14:paraId="1A2B4BA3" w14:textId="46D33769" w:rsidR="00702D5A" w:rsidRPr="00B450EB" w:rsidRDefault="00702D5A" w:rsidP="003F3402">
      <w:r w:rsidRPr="00B450EB">
        <w:t xml:space="preserve">En este contexto, un fenómeno central que define la transformación y las dinámicas de poblamiento es la consolidación del denominado </w:t>
      </w:r>
      <w:r w:rsidRPr="00B450EB">
        <w:rPr>
          <w:i/>
          <w:iCs/>
        </w:rPr>
        <w:t>Anillo de Poblamiento</w:t>
      </w:r>
      <w:r w:rsidRPr="00B450EB">
        <w:t>, una franja de expansión poblacional y económica que entre 2002 y 2020, pasó de 92.608 km² a 126.205 km2, con un crecimiento cercano al 36% en menos de dos décadas. La consolidación</w:t>
      </w:r>
      <w:r w:rsidRPr="00B450EB">
        <w:rPr>
          <w:bCs/>
        </w:rPr>
        <w:t xml:space="preserve"> de esta franja</w:t>
      </w:r>
      <w:r w:rsidRPr="00B450EB">
        <w:t xml:space="preserve"> se concentra en departamentos </w:t>
      </w:r>
      <w:r w:rsidRPr="00B450EB">
        <w:rPr>
          <w:bCs/>
        </w:rPr>
        <w:t xml:space="preserve">del piedemonte y del </w:t>
      </w:r>
      <w:r w:rsidRPr="00B450EB">
        <w:t>arco</w:t>
      </w:r>
      <w:r w:rsidRPr="00B450EB">
        <w:rPr>
          <w:bCs/>
        </w:rPr>
        <w:t xml:space="preserve"> noroccidental especialmente </w:t>
      </w:r>
      <w:r w:rsidRPr="00B450EB">
        <w:t>Caquetá, Meta, Guaviare y Putumayo, que actúan como nodos de concentración poblacional y de articulación vial y fluvial, mientras que territorios periféricos como Guainía y Vaupés presentan un crecimiento más lento pero constante. Este proceso ha configurado una franja de transformación territorial caracterizada por el reemplazo de bosques por usos agropecuarios, la fragmentación de la conectividad ecológica y la presión sobre ecosistemas estratégicos.</w:t>
      </w:r>
      <w:r w:rsidRPr="00B450EB">
        <w:fldChar w:fldCharType="begin"/>
      </w:r>
      <w:r w:rsidRPr="00B450EB">
        <w:rPr>
          <w:lang w:val="es-ES"/>
        </w:rPr>
        <w:instrText xml:space="preserve">CITATION Ins21 \l 3082 </w:instrText>
      </w:r>
      <w:r w:rsidRPr="00B450EB">
        <w:fldChar w:fldCharType="separate"/>
      </w:r>
      <w:r w:rsidR="0077091E" w:rsidRPr="00B450EB">
        <w:rPr>
          <w:noProof/>
          <w:lang w:val="es-ES"/>
        </w:rPr>
        <w:t xml:space="preserve"> (Instituto Amazónico de Investigaciones Científicas-SINCHI, 2021)</w:t>
      </w:r>
      <w:r w:rsidRPr="00B450EB">
        <w:fldChar w:fldCharType="end"/>
      </w:r>
    </w:p>
    <w:p w14:paraId="0A016BC2" w14:textId="10F8FBEB" w:rsidR="00702D5A" w:rsidRPr="00B450EB" w:rsidRDefault="00702D5A" w:rsidP="003F3402">
      <w:pPr>
        <w:rPr>
          <w:bCs/>
        </w:rPr>
      </w:pPr>
      <w:r w:rsidRPr="00B450EB">
        <w:t xml:space="preserve">Desde la perspectiva ambiental, la expansión urbana y rural no planificada compromete los Servicios Ecosistémicos Urbanos, en particular el abastecimiento de agua, la regulación de microclimas y la provisión de suelos productivos. La ocupación irregular de riberas, humedales y bosques periurbanos incrementa el riesgo de degradación ambiental y limita la resiliencia de los asentamientos frente a fenómenos asociados al cambio climático. A esto se suman el déficit en infraestructura de saneamiento, residuos y manejo de aguas residuales, lo que intensifica la vulnerabilidad tanto de los ecosistemas como de las poblaciones locales. </w:t>
      </w:r>
      <w:sdt>
        <w:sdtPr>
          <w:id w:val="1517267210"/>
          <w:citation/>
        </w:sdtPr>
        <w:sdtContent>
          <w:r w:rsidRPr="00B450EB">
            <w:fldChar w:fldCharType="begin"/>
          </w:r>
          <w:r w:rsidRPr="00B450EB">
            <w:rPr>
              <w:lang w:val="es-ES"/>
            </w:rPr>
            <w:instrText xml:space="preserve">CITATION SIN \l 3082 </w:instrText>
          </w:r>
          <w:r w:rsidRPr="00B450EB">
            <w:fldChar w:fldCharType="separate"/>
          </w:r>
          <w:r w:rsidR="0077091E" w:rsidRPr="00B450EB">
            <w:rPr>
              <w:noProof/>
              <w:lang w:val="es-ES"/>
            </w:rPr>
            <w:t>(Instituto Amazónico de Investigaciones Científicas-SINCHI, 2022)</w:t>
          </w:r>
          <w:r w:rsidRPr="00B450EB">
            <w:fldChar w:fldCharType="end"/>
          </w:r>
        </w:sdtContent>
      </w:sdt>
    </w:p>
    <w:p w14:paraId="738FA626" w14:textId="77777777" w:rsidR="00702D5A" w:rsidRPr="00B450EB" w:rsidRDefault="00702D5A" w:rsidP="00702D5A">
      <w:pPr>
        <w:pStyle w:val="Ttulo3"/>
        <w:numPr>
          <w:ilvl w:val="2"/>
          <w:numId w:val="16"/>
        </w:numPr>
        <w:spacing w:line="240" w:lineRule="auto"/>
        <w:mirrorIndents/>
        <w:rPr>
          <w:rFonts w:cs="Arial"/>
        </w:rPr>
      </w:pPr>
      <w:bookmarkStart w:id="136" w:name="_Toc209722935"/>
      <w:r w:rsidRPr="00B450EB">
        <w:rPr>
          <w:rFonts w:cs="Arial"/>
        </w:rPr>
        <w:lastRenderedPageBreak/>
        <w:t>Organización social y territorial</w:t>
      </w:r>
      <w:bookmarkEnd w:id="136"/>
    </w:p>
    <w:p w14:paraId="68E5F43E" w14:textId="26F0BB17" w:rsidR="00702D5A" w:rsidRPr="00B450EB" w:rsidRDefault="00702D5A" w:rsidP="003F3402">
      <w:r w:rsidRPr="00B450EB">
        <w:t xml:space="preserve">La organización social y territorial del Bioma Amazónico Colombiano está estrechamente ligada a la diversidad étnica y cultural que lo caracteriza. En la región habitan pueblos indígenas, comunidades negras, afrodescendientes, palenqueras y raizales, quienes ejercen formas propias de gobierno y gestión del territorio mediante figuras como resguardos indígenas y consejos comunitarios. Al respecto, el Departamento Nacional de Planeación </w:t>
      </w:r>
      <w:sdt>
        <w:sdtPr>
          <w:id w:val="-840392818"/>
          <w:citation/>
        </w:sdtPr>
        <w:sdtContent>
          <w:r w:rsidRPr="00B450EB">
            <w:fldChar w:fldCharType="begin"/>
          </w:r>
          <w:r w:rsidRPr="00B450EB">
            <w:instrText xml:space="preserve"> CITATION DNP23 \l 9226 </w:instrText>
          </w:r>
          <w:r w:rsidRPr="00B450EB">
            <w:fldChar w:fldCharType="separate"/>
          </w:r>
          <w:r w:rsidR="0077091E" w:rsidRPr="00B450EB">
            <w:rPr>
              <w:noProof/>
            </w:rPr>
            <w:t>(DNP, 2023)</w:t>
          </w:r>
          <w:r w:rsidRPr="00B450EB">
            <w:fldChar w:fldCharType="end"/>
          </w:r>
        </w:sdtContent>
      </w:sdt>
      <w:r w:rsidRPr="00B450EB">
        <w:t xml:space="preserve"> señala que en la Región Amazónica colombiana existen 231 resguardos indígenas legalizados, que se extienden en 27’234.141 hectáreas, en los que viven al menos 64 sociedades indígenas; asimismo, hay organizaciones de comunidades negras, afrodescendientes, palenqueras y raizales, y seis Zonas de Reserva Campesina. (Ver Anexo: </w:t>
      </w:r>
      <w:hyperlink r:id="rId117" w:history="1">
        <w:r w:rsidRPr="00B450EB">
          <w:rPr>
            <w:rStyle w:val="Hipervnculo"/>
            <w:rFonts w:eastAsia="Calibri" w:cs="Arial"/>
            <w:color w:val="auto"/>
          </w:rPr>
          <w:t>DTS_ANT_ComunidadesÉtnicas_VF1.xlsx</w:t>
        </w:r>
      </w:hyperlink>
      <w:r w:rsidRPr="00B450EB">
        <w:rPr>
          <w:sz w:val="20"/>
          <w:szCs w:val="20"/>
          <w:vertAlign w:val="superscript"/>
        </w:rPr>
        <w:footnoteReference w:id="17"/>
      </w:r>
      <w:r w:rsidRPr="00B450EB">
        <w:rPr>
          <w:sz w:val="20"/>
          <w:szCs w:val="20"/>
        </w:rPr>
        <w:t xml:space="preserve"> y </w:t>
      </w:r>
      <w:r w:rsidRPr="00B450EB">
        <w:rPr>
          <w:sz w:val="20"/>
          <w:szCs w:val="20"/>
        </w:rPr>
        <w:fldChar w:fldCharType="begin"/>
      </w:r>
      <w:r w:rsidRPr="00B450EB">
        <w:rPr>
          <w:sz w:val="20"/>
          <w:szCs w:val="20"/>
        </w:rPr>
        <w:instrText xml:space="preserve"> REF _Ref209049192 \h </w:instrText>
      </w:r>
      <w:r w:rsidR="006E0BC8" w:rsidRPr="00B450EB">
        <w:rPr>
          <w:sz w:val="20"/>
          <w:szCs w:val="20"/>
        </w:rPr>
        <w:instrText xml:space="preserve"> \* MERGEFORMAT </w:instrText>
      </w:r>
      <w:r w:rsidRPr="00B450EB">
        <w:rPr>
          <w:sz w:val="20"/>
          <w:szCs w:val="20"/>
        </w:rPr>
      </w:r>
      <w:r w:rsidRPr="00B450EB">
        <w:rPr>
          <w:sz w:val="20"/>
          <w:szCs w:val="20"/>
        </w:rPr>
        <w:fldChar w:fldCharType="separate"/>
      </w:r>
      <w:r w:rsidR="00010D09" w:rsidRPr="00B450EB">
        <w:t xml:space="preserve">Figura </w:t>
      </w:r>
      <w:r w:rsidR="00010D09" w:rsidRPr="00B450EB">
        <w:rPr>
          <w:noProof/>
        </w:rPr>
        <w:t>68</w:t>
      </w:r>
      <w:r w:rsidRPr="00B450EB">
        <w:rPr>
          <w:sz w:val="20"/>
          <w:szCs w:val="20"/>
        </w:rPr>
        <w:fldChar w:fldCharType="end"/>
      </w:r>
      <w:r w:rsidRPr="00B450EB">
        <w:rPr>
          <w:sz w:val="20"/>
          <w:szCs w:val="20"/>
        </w:rPr>
        <w:t>)</w:t>
      </w:r>
      <w:r w:rsidRPr="00B450EB">
        <w:t>.</w:t>
      </w:r>
    </w:p>
    <w:p w14:paraId="58D7D2DA" w14:textId="5E8DF76F" w:rsidR="00702D5A" w:rsidRPr="00B450EB" w:rsidRDefault="00702D5A" w:rsidP="003F3402">
      <w:pPr>
        <w:rPr>
          <w:rFonts w:eastAsia="Calibri" w:cs="Arial"/>
        </w:rPr>
      </w:pPr>
      <w:r w:rsidRPr="00B450EB">
        <w:t xml:space="preserve">Este modelo de ordenamiento refleja la riqueza cultural y lingüística de la Amazonía, considerada como una de las regiones de mayor riqueza cultural y lingüística del bioma amazónico </w:t>
      </w:r>
      <w:sdt>
        <w:sdtPr>
          <w:id w:val="398485176"/>
          <w:citation/>
        </w:sdtPr>
        <w:sdtContent>
          <w:r w:rsidRPr="00B450EB">
            <w:fldChar w:fldCharType="begin"/>
          </w:r>
          <w:r w:rsidRPr="00B450EB">
            <w:instrText xml:space="preserve"> CITATION Gui \l 9226 </w:instrText>
          </w:r>
          <w:r w:rsidRPr="00B450EB">
            <w:fldChar w:fldCharType="separate"/>
          </w:r>
          <w:r w:rsidR="0077091E" w:rsidRPr="00B450EB">
            <w:rPr>
              <w:noProof/>
            </w:rPr>
            <w:t>(Rodríguez &amp; Suárez, 2019)</w:t>
          </w:r>
          <w:r w:rsidRPr="00B450EB">
            <w:fldChar w:fldCharType="end"/>
          </w:r>
        </w:sdtContent>
      </w:sdt>
      <w:r w:rsidRPr="00B450EB">
        <w:t xml:space="preserve">, resaltando también el carácter urbano que se da a la Región. Tal como lo indica Vieco (2001), diversos tipos de organización social y económica de las sociedades indígenas han existido y coexistido a lo largo de los diferentes procesos históricos de la región, lo que implica que, de acuerdo con DNP (2023), la Amazonía es “producto de formas de vida creadas por la interacción con las sociedades humanas que han vivido allí desde hace al menos diez mil años”; esto último se observa, por ejemplo, en las pinturas rupestres del Parque Nacional Natural Serranía de Chiribiquete, donde la serranía ofreció un lugar mítico para las culturas ancestrales, que encontraron allí insumos propicios para la elaboración de sus pinturas rupestres </w:t>
      </w:r>
      <w:sdt>
        <w:sdtPr>
          <w:rPr>
            <w:rFonts w:cs="Arial"/>
          </w:rPr>
          <w:id w:val="-723454240"/>
          <w:citation/>
        </w:sdtPr>
        <w:sdtContent>
          <w:r w:rsidRPr="00B450EB">
            <w:rPr>
              <w:rFonts w:cs="Arial"/>
            </w:rPr>
            <w:fldChar w:fldCharType="begin"/>
          </w:r>
          <w:r w:rsidRPr="00B450EB">
            <w:rPr>
              <w:rFonts w:cs="Arial"/>
            </w:rPr>
            <w:instrText xml:space="preserve"> CITATION Var17 \l 9226 </w:instrText>
          </w:r>
          <w:r w:rsidRPr="00B450EB">
            <w:rPr>
              <w:rFonts w:cs="Arial"/>
            </w:rPr>
            <w:fldChar w:fldCharType="separate"/>
          </w:r>
          <w:r w:rsidR="0077091E" w:rsidRPr="00B450EB">
            <w:rPr>
              <w:rFonts w:cs="Arial"/>
              <w:noProof/>
            </w:rPr>
            <w:t>(Vargas Cuervo, 2017)</w:t>
          </w:r>
          <w:r w:rsidRPr="00B450EB">
            <w:rPr>
              <w:rFonts w:cs="Arial"/>
            </w:rPr>
            <w:fldChar w:fldCharType="end"/>
          </w:r>
        </w:sdtContent>
      </w:sdt>
      <w:r w:rsidRPr="00B450EB">
        <w:t xml:space="preserve"> lo cual es muestra de las interacciones entre comunidades y su entorno desde hace miles de años.</w:t>
      </w:r>
    </w:p>
    <w:p w14:paraId="6AC0D759" w14:textId="77777777" w:rsidR="00D203BB" w:rsidRPr="00B450EB" w:rsidRDefault="00702D5A" w:rsidP="003F3402">
      <w:r w:rsidRPr="00B450EB">
        <w:t>A la par de estas estructuras comunitarias, los departamentos y municipios ejercen funciones administrativas y de planificación que interactúan con los sistemas de gobernanza local, generando una articulación entre lo estatal y lo comunitario que es fundamental para la gestión ambiental y territorial. Este escenario es clave en los procesos de declaratoria de zonas de reserva, donde confluyen diferentes visiones sobre el uso de la tierra, los recursos naturales y el desarrollo regional.</w:t>
      </w:r>
    </w:p>
    <w:p w14:paraId="24D995A6" w14:textId="77777777" w:rsidR="00D203BB" w:rsidRPr="00B450EB" w:rsidRDefault="00D203BB">
      <w:pPr>
        <w:jc w:val="left"/>
      </w:pPr>
      <w:r w:rsidRPr="00B450EB">
        <w:br w:type="page"/>
      </w:r>
    </w:p>
    <w:p w14:paraId="03126F97" w14:textId="601044DE" w:rsidR="00702D5A" w:rsidRPr="00B450EB" w:rsidRDefault="00702D5A" w:rsidP="00702D5A">
      <w:pPr>
        <w:pStyle w:val="Descripcin"/>
        <w:mirrorIndents/>
        <w:rPr>
          <w:color w:val="auto"/>
        </w:rPr>
      </w:pPr>
      <w:bookmarkStart w:id="137" w:name="_Ref209031211"/>
      <w:bookmarkStart w:id="138" w:name="_Ref209049192"/>
      <w:bookmarkStart w:id="139" w:name="_Ref209031205"/>
      <w:bookmarkStart w:id="140" w:name="_Toc209462756"/>
      <w:r w:rsidRPr="00B450EB">
        <w:rPr>
          <w:color w:val="auto"/>
        </w:rPr>
        <w:lastRenderedPageBreak/>
        <w:t>Figura</w:t>
      </w:r>
      <w:bookmarkEnd w:id="137"/>
      <w:r w:rsidRPr="00B450EB">
        <w:rPr>
          <w:color w:val="auto"/>
        </w:rPr>
        <w:t xml:space="preserve">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68</w:t>
      </w:r>
      <w:r w:rsidR="0045353A" w:rsidRPr="00B450EB">
        <w:rPr>
          <w:noProof/>
          <w:color w:val="auto"/>
        </w:rPr>
        <w:fldChar w:fldCharType="end"/>
      </w:r>
      <w:bookmarkEnd w:id="138"/>
      <w:r w:rsidRPr="00B450EB">
        <w:rPr>
          <w:color w:val="auto"/>
        </w:rPr>
        <w:t>. Comunidades Étnicas y Zonas de Reserva Campesina en el Bioma Amazónico Colombiano</w:t>
      </w:r>
      <w:bookmarkEnd w:id="139"/>
      <w:bookmarkEnd w:id="140"/>
    </w:p>
    <w:p w14:paraId="754FA9CD" w14:textId="77777777" w:rsidR="00702D5A" w:rsidRPr="00B450EB" w:rsidRDefault="00702D5A" w:rsidP="00702D5A">
      <w:pPr>
        <w:spacing w:after="0" w:line="240" w:lineRule="auto"/>
        <w:mirrorIndents/>
        <w:rPr>
          <w:rFonts w:eastAsia="Calibri" w:cs="Arial"/>
          <w:sz w:val="22"/>
          <w:szCs w:val="22"/>
        </w:rPr>
      </w:pPr>
      <w:r w:rsidRPr="00B450EB">
        <w:rPr>
          <w:rFonts w:eastAsia="Calibri" w:cs="Arial"/>
          <w:noProof/>
          <w:sz w:val="22"/>
          <w:szCs w:val="22"/>
        </w:rPr>
        <w:drawing>
          <wp:inline distT="0" distB="0" distL="0" distR="0" wp14:anchorId="4B03F804" wp14:editId="7A1A43F4">
            <wp:extent cx="5612130" cy="4336415"/>
            <wp:effectExtent l="0" t="0" r="7620" b="6985"/>
            <wp:docPr id="48255737"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55737" name="Imagen 1" descr="Mapa&#10;&#10;El contenido generado por IA puede ser incorrecto."/>
                    <pic:cNvPicPr/>
                  </pic:nvPicPr>
                  <pic:blipFill>
                    <a:blip r:embed="rId118" cstate="email">
                      <a:extLst>
                        <a:ext uri="{28A0092B-C50C-407E-A947-70E740481C1C}">
                          <a14:useLocalDpi xmlns:a14="http://schemas.microsoft.com/office/drawing/2010/main"/>
                        </a:ext>
                      </a:extLst>
                    </a:blip>
                    <a:stretch>
                      <a:fillRect/>
                    </a:stretch>
                  </pic:blipFill>
                  <pic:spPr>
                    <a:xfrm>
                      <a:off x="0" y="0"/>
                      <a:ext cx="5612130" cy="4336415"/>
                    </a:xfrm>
                    <a:prstGeom prst="rect">
                      <a:avLst/>
                    </a:prstGeom>
                  </pic:spPr>
                </pic:pic>
              </a:graphicData>
            </a:graphic>
          </wp:inline>
        </w:drawing>
      </w:r>
    </w:p>
    <w:p w14:paraId="0C32154A" w14:textId="77777777" w:rsidR="00702D5A" w:rsidRPr="00B450EB" w:rsidRDefault="00702D5A" w:rsidP="00702D5A">
      <w:pPr>
        <w:spacing w:after="0" w:line="240" w:lineRule="auto"/>
        <w:mirrorIndents/>
        <w:jc w:val="center"/>
        <w:rPr>
          <w:rFonts w:eastAsia="Calibri" w:cs="Arial"/>
          <w:sz w:val="18"/>
          <w:szCs w:val="18"/>
        </w:rPr>
      </w:pPr>
      <w:r w:rsidRPr="00B450EB">
        <w:rPr>
          <w:rFonts w:eastAsia="Calibri" w:cs="Arial"/>
          <w:bCs/>
          <w:sz w:val="18"/>
          <w:szCs w:val="18"/>
        </w:rPr>
        <w:t>Fuente: Elaboración propia a partir de datos de la Agencia Nacional de Tierras (ANT), Comunidades Étnicas (2023), 2025.</w:t>
      </w:r>
    </w:p>
    <w:p w14:paraId="78676D01" w14:textId="77777777" w:rsidR="00702D5A" w:rsidRPr="00B450EB" w:rsidRDefault="00702D5A" w:rsidP="00702D5A">
      <w:pPr>
        <w:spacing w:after="0" w:line="240" w:lineRule="auto"/>
        <w:mirrorIndents/>
        <w:jc w:val="center"/>
        <w:rPr>
          <w:rFonts w:eastAsia="Calibri" w:cs="Arial"/>
          <w:sz w:val="18"/>
          <w:szCs w:val="18"/>
        </w:rPr>
      </w:pPr>
    </w:p>
    <w:p w14:paraId="32CDB740" w14:textId="77777777" w:rsidR="00702D5A" w:rsidRPr="00B450EB" w:rsidRDefault="00702D5A" w:rsidP="00702D5A">
      <w:pPr>
        <w:pStyle w:val="Ttulo3"/>
        <w:numPr>
          <w:ilvl w:val="2"/>
          <w:numId w:val="16"/>
        </w:numPr>
        <w:spacing w:line="240" w:lineRule="auto"/>
        <w:mirrorIndents/>
        <w:rPr>
          <w:rFonts w:cs="Arial"/>
        </w:rPr>
      </w:pPr>
      <w:bookmarkStart w:id="141" w:name="_Toc209722936"/>
      <w:r w:rsidRPr="00B450EB">
        <w:rPr>
          <w:rFonts w:cs="Arial"/>
        </w:rPr>
        <w:t>Condiciones de vida y acceso a derechos</w:t>
      </w:r>
      <w:bookmarkEnd w:id="141"/>
    </w:p>
    <w:p w14:paraId="18FBDDB5" w14:textId="66E4F1DB" w:rsidR="00702D5A" w:rsidRPr="00B450EB" w:rsidRDefault="00702D5A" w:rsidP="00702D5A">
      <w:pPr>
        <w:spacing w:line="240" w:lineRule="auto"/>
        <w:mirrorIndents/>
      </w:pPr>
      <w:r w:rsidRPr="00B450EB">
        <w:t xml:space="preserve">Las condiciones de vida en el Bioma Amazónico Colombiano se caracterizan por rezagos estructurales y profundos contrastes frente a los promedios nacionales. La pobreza multidimensional afecta al 60% de la población, frente al 19% a nivel nacional, y en departamentos como Vaupés, Guainía y Amazonas supera el 90%, alcanzando hasta el 96% en los corregimientos no municipalizados </w:t>
      </w:r>
      <w:sdt>
        <w:sdtPr>
          <w:id w:val="2114861306"/>
          <w:citation/>
        </w:sdtPr>
        <w:sdtContent>
          <w:r w:rsidRPr="00B450EB">
            <w:fldChar w:fldCharType="begin"/>
          </w:r>
          <w:r w:rsidRPr="00B450EB">
            <w:rPr>
              <w:lang w:val="es-ES"/>
            </w:rPr>
            <w:instrText xml:space="preserve"> CITATION Jor24 \l 3082 </w:instrText>
          </w:r>
          <w:r w:rsidRPr="00B450EB">
            <w:fldChar w:fldCharType="separate"/>
          </w:r>
          <w:r w:rsidR="0077091E" w:rsidRPr="00B450EB">
            <w:rPr>
              <w:noProof/>
              <w:lang w:val="es-ES"/>
            </w:rPr>
            <w:t>(Sánchez, 2024)</w:t>
          </w:r>
          <w:r w:rsidRPr="00B450EB">
            <w:fldChar w:fldCharType="end"/>
          </w:r>
        </w:sdtContent>
      </w:sdt>
      <w:r w:rsidRPr="00B450EB">
        <w:t xml:space="preserve">. Estos niveles se articulan con altas tasas de Necesidades Básicas Insatisfechas (NBI), que en la mayoría de los municipios amazónicos superan el 50% reflejando limitaciones persistentes en salud, educación y vivienda </w:t>
      </w:r>
      <w:sdt>
        <w:sdtPr>
          <w:id w:val="499934941"/>
          <w:citation/>
        </w:sdtPr>
        <w:sdtContent>
          <w:r w:rsidRPr="00B450EB">
            <w:fldChar w:fldCharType="begin"/>
          </w:r>
          <w:r w:rsidRPr="00B450EB">
            <w:rPr>
              <w:lang w:val="es-ES"/>
            </w:rPr>
            <w:instrText xml:space="preserve"> CITATION Dep18 \l 3082 </w:instrText>
          </w:r>
          <w:r w:rsidRPr="00B450EB">
            <w:fldChar w:fldCharType="separate"/>
          </w:r>
          <w:r w:rsidR="0077091E" w:rsidRPr="00B450EB">
            <w:rPr>
              <w:noProof/>
              <w:lang w:val="es-ES"/>
            </w:rPr>
            <w:t>(Departamento Administrativo Nacional de Estadística (DANE), 2018)</w:t>
          </w:r>
          <w:r w:rsidRPr="00B450EB">
            <w:fldChar w:fldCharType="end"/>
          </w:r>
        </w:sdtContent>
      </w:sdt>
      <w:r w:rsidRPr="00B450EB">
        <w:t>.</w:t>
      </w:r>
    </w:p>
    <w:p w14:paraId="5CAFD627" w14:textId="65A4DD76" w:rsidR="0095654A" w:rsidRPr="00B450EB" w:rsidRDefault="00702D5A" w:rsidP="00702D5A">
      <w:pPr>
        <w:spacing w:line="240" w:lineRule="auto"/>
        <w:mirrorIndents/>
      </w:pPr>
      <w:r w:rsidRPr="00B450EB">
        <w:t xml:space="preserve">A ello se suman las bajas coberturas en servicios públicos (ver </w:t>
      </w:r>
      <w:r w:rsidRPr="00B450EB">
        <w:fldChar w:fldCharType="begin"/>
      </w:r>
      <w:r w:rsidRPr="00B450EB">
        <w:instrText xml:space="preserve"> REF _Ref209035139 \h  \* MERGEFORMAT </w:instrText>
      </w:r>
      <w:r w:rsidRPr="00B450EB">
        <w:fldChar w:fldCharType="separate"/>
      </w:r>
      <w:r w:rsidR="00010D09" w:rsidRPr="00B450EB">
        <w:rPr>
          <w:b/>
        </w:rPr>
        <w:t xml:space="preserve">Tabla </w:t>
      </w:r>
      <w:r w:rsidR="00010D09" w:rsidRPr="00B450EB">
        <w:rPr>
          <w:b/>
          <w:i/>
          <w:noProof/>
        </w:rPr>
        <w:t>17</w:t>
      </w:r>
      <w:r w:rsidRPr="00B450EB">
        <w:fldChar w:fldCharType="end"/>
      </w:r>
      <w:r w:rsidRPr="00B450EB">
        <w:t xml:space="preserve">): el acueducto y alcantarillado son desiguales, la energía eléctrica presenta rezagos críticos en Vichada y Vaupés, y la conectividad digital permanece por debajo del 10%, restringiendo el acceso a educación, información y oportunidades. En este contexto, la declaratoria de zonas de reserva cobra relevancia como una estrategia </w:t>
      </w:r>
      <w:r w:rsidRPr="00B450EB">
        <w:lastRenderedPageBreak/>
        <w:t>que no solo protege ecosistemas estratégicos, sino que también puede orientar la gestión pública hacia el cierre de brechas sociales y territoriales.</w:t>
      </w:r>
      <w:r w:rsidR="004A05D9" w:rsidRPr="00B450EB">
        <w:t xml:space="preserve"> </w:t>
      </w:r>
      <w:r w:rsidR="00F32895" w:rsidRPr="00B450EB">
        <w:t>El cierre de estas</w:t>
      </w:r>
      <w:r w:rsidR="008B7E3F" w:rsidRPr="00B450EB">
        <w:t xml:space="preserve"> brechas</w:t>
      </w:r>
      <w:r w:rsidR="0095654A" w:rsidRPr="00B450EB">
        <w:t xml:space="preserve"> pude lograrse a través de estrategias como la inversión en servicios básicos, el desarrollo sostenible, la participación comunitaria, la inversión en infraestructura, la educación </w:t>
      </w:r>
      <w:r w:rsidR="0096155C" w:rsidRPr="00B450EB">
        <w:t>y la capacitación.</w:t>
      </w:r>
    </w:p>
    <w:p w14:paraId="54477AED" w14:textId="24272F54" w:rsidR="00702D5A" w:rsidRPr="00B450EB" w:rsidRDefault="00702D5A" w:rsidP="00702D5A">
      <w:pPr>
        <w:pStyle w:val="Descripcin"/>
        <w:mirrorIndents/>
        <w:rPr>
          <w:color w:val="auto"/>
        </w:rPr>
      </w:pPr>
      <w:bookmarkStart w:id="142" w:name="_Ref209035139"/>
      <w:bookmarkStart w:id="143" w:name="_Toc209723000"/>
      <w:r w:rsidRPr="00B450EB">
        <w:rPr>
          <w:color w:val="auto"/>
        </w:rPr>
        <w:t xml:space="preserve">Tabla </w:t>
      </w:r>
      <w:r w:rsidRPr="00B450EB">
        <w:rPr>
          <w:color w:val="auto"/>
        </w:rPr>
        <w:fldChar w:fldCharType="begin"/>
      </w:r>
      <w:r w:rsidRPr="00B450EB">
        <w:rPr>
          <w:color w:val="auto"/>
        </w:rPr>
        <w:instrText>SEQ Tabla \* ARABIC</w:instrText>
      </w:r>
      <w:r w:rsidRPr="00B450EB">
        <w:rPr>
          <w:color w:val="auto"/>
        </w:rPr>
        <w:fldChar w:fldCharType="separate"/>
      </w:r>
      <w:r w:rsidR="009765C2" w:rsidRPr="00B450EB">
        <w:rPr>
          <w:noProof/>
          <w:color w:val="auto"/>
        </w:rPr>
        <w:t>17</w:t>
      </w:r>
      <w:r w:rsidRPr="00B450EB">
        <w:rPr>
          <w:color w:val="auto"/>
        </w:rPr>
        <w:fldChar w:fldCharType="end"/>
      </w:r>
      <w:bookmarkEnd w:id="142"/>
      <w:r w:rsidRPr="00B450EB">
        <w:rPr>
          <w:color w:val="auto"/>
        </w:rPr>
        <w:t>. Cobertura de servicios públicos básicos en los departamentos del Bioma Amazónico Colombiano frente al promedio nacional</w:t>
      </w:r>
      <w:bookmarkEnd w:id="143"/>
    </w:p>
    <w:tbl>
      <w:tblPr>
        <w:tblStyle w:val="Tablaconcuadrcula"/>
        <w:tblW w:w="6020" w:type="pct"/>
        <w:jc w:val="center"/>
        <w:tblLook w:val="04A0" w:firstRow="1" w:lastRow="0" w:firstColumn="1" w:lastColumn="0" w:noHBand="0" w:noVBand="1"/>
      </w:tblPr>
      <w:tblGrid>
        <w:gridCol w:w="1158"/>
        <w:gridCol w:w="885"/>
        <w:gridCol w:w="963"/>
        <w:gridCol w:w="800"/>
        <w:gridCol w:w="1135"/>
        <w:gridCol w:w="800"/>
        <w:gridCol w:w="1189"/>
        <w:gridCol w:w="800"/>
        <w:gridCol w:w="1189"/>
        <w:gridCol w:w="800"/>
        <w:gridCol w:w="1189"/>
      </w:tblGrid>
      <w:tr w:rsidR="00EF1937" w:rsidRPr="00B450EB" w14:paraId="737B0684" w14:textId="77777777" w:rsidTr="00022216">
        <w:trPr>
          <w:trHeight w:val="203"/>
          <w:jc w:val="center"/>
        </w:trPr>
        <w:tc>
          <w:tcPr>
            <w:tcW w:w="413" w:type="pct"/>
            <w:vMerge w:val="restart"/>
            <w:shd w:val="clear" w:color="auto" w:fill="D9F2D0" w:themeFill="accent6" w:themeFillTint="33"/>
            <w:vAlign w:val="center"/>
          </w:tcPr>
          <w:p w14:paraId="44E98932"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Departamento</w:t>
            </w:r>
          </w:p>
        </w:tc>
        <w:tc>
          <w:tcPr>
            <w:tcW w:w="416" w:type="pct"/>
            <w:vMerge w:val="restart"/>
            <w:shd w:val="clear" w:color="auto" w:fill="D9F2D0" w:themeFill="accent6" w:themeFillTint="33"/>
            <w:vAlign w:val="center"/>
          </w:tcPr>
          <w:p w14:paraId="4E412937"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Población en 2024</w:t>
            </w:r>
          </w:p>
        </w:tc>
        <w:tc>
          <w:tcPr>
            <w:tcW w:w="453" w:type="pct"/>
            <w:vMerge w:val="restart"/>
            <w:shd w:val="clear" w:color="auto" w:fill="D9F2D0" w:themeFill="accent6" w:themeFillTint="33"/>
          </w:tcPr>
          <w:p w14:paraId="34D70BF5"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%personas con NBI</w:t>
            </w:r>
          </w:p>
        </w:tc>
        <w:tc>
          <w:tcPr>
            <w:tcW w:w="910" w:type="pct"/>
            <w:gridSpan w:val="2"/>
            <w:shd w:val="clear" w:color="auto" w:fill="D9F2D0" w:themeFill="accent6" w:themeFillTint="33"/>
            <w:vAlign w:val="center"/>
          </w:tcPr>
          <w:p w14:paraId="38F27BD6"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Acueducto</w:t>
            </w:r>
          </w:p>
        </w:tc>
        <w:tc>
          <w:tcPr>
            <w:tcW w:w="936" w:type="pct"/>
            <w:gridSpan w:val="2"/>
            <w:shd w:val="clear" w:color="auto" w:fill="D9F2D0" w:themeFill="accent6" w:themeFillTint="33"/>
            <w:vAlign w:val="center"/>
          </w:tcPr>
          <w:p w14:paraId="4985A5AC"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Alcantarillado</w:t>
            </w:r>
          </w:p>
        </w:tc>
        <w:tc>
          <w:tcPr>
            <w:tcW w:w="936" w:type="pct"/>
            <w:gridSpan w:val="2"/>
            <w:shd w:val="clear" w:color="auto" w:fill="D9F2D0" w:themeFill="accent6" w:themeFillTint="33"/>
            <w:vAlign w:val="center"/>
          </w:tcPr>
          <w:p w14:paraId="273184AA"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Energía Eléctrica</w:t>
            </w:r>
          </w:p>
        </w:tc>
        <w:tc>
          <w:tcPr>
            <w:tcW w:w="936" w:type="pct"/>
            <w:gridSpan w:val="2"/>
            <w:shd w:val="clear" w:color="auto" w:fill="D9F2D0" w:themeFill="accent6" w:themeFillTint="33"/>
            <w:vAlign w:val="center"/>
          </w:tcPr>
          <w:p w14:paraId="31BB24AE"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Conexión Banda Ancha</w:t>
            </w:r>
          </w:p>
        </w:tc>
      </w:tr>
      <w:tr w:rsidR="00EF1937" w:rsidRPr="00B450EB" w14:paraId="71B4867D" w14:textId="77777777" w:rsidTr="00022216">
        <w:trPr>
          <w:trHeight w:val="153"/>
          <w:jc w:val="center"/>
        </w:trPr>
        <w:tc>
          <w:tcPr>
            <w:tcW w:w="413" w:type="pct"/>
            <w:vMerge/>
            <w:shd w:val="clear" w:color="auto" w:fill="D9F2D0" w:themeFill="accent6" w:themeFillTint="33"/>
            <w:vAlign w:val="center"/>
          </w:tcPr>
          <w:p w14:paraId="51B5F7F4" w14:textId="77777777" w:rsidR="00E35EC4" w:rsidRPr="00B450EB" w:rsidRDefault="00E35EC4" w:rsidP="00D203BB">
            <w:pPr>
              <w:spacing w:line="276" w:lineRule="auto"/>
              <w:mirrorIndents/>
              <w:jc w:val="center"/>
              <w:rPr>
                <w:rFonts w:eastAsia="Calibri" w:cs="Arial"/>
                <w:bCs/>
                <w:sz w:val="14"/>
                <w:szCs w:val="14"/>
              </w:rPr>
            </w:pPr>
          </w:p>
        </w:tc>
        <w:tc>
          <w:tcPr>
            <w:tcW w:w="416" w:type="pct"/>
            <w:vMerge/>
            <w:shd w:val="clear" w:color="auto" w:fill="D9F2D0" w:themeFill="accent6" w:themeFillTint="33"/>
            <w:vAlign w:val="center"/>
          </w:tcPr>
          <w:p w14:paraId="4CF62B2C" w14:textId="77777777" w:rsidR="00E35EC4" w:rsidRPr="00B450EB" w:rsidRDefault="00E35EC4" w:rsidP="00D203BB">
            <w:pPr>
              <w:spacing w:line="276" w:lineRule="auto"/>
              <w:mirrorIndents/>
              <w:jc w:val="center"/>
              <w:rPr>
                <w:rFonts w:eastAsia="Calibri" w:cs="Arial"/>
                <w:bCs/>
                <w:sz w:val="14"/>
                <w:szCs w:val="14"/>
              </w:rPr>
            </w:pPr>
          </w:p>
        </w:tc>
        <w:tc>
          <w:tcPr>
            <w:tcW w:w="453" w:type="pct"/>
            <w:vMerge/>
            <w:shd w:val="clear" w:color="auto" w:fill="D9F2D0" w:themeFill="accent6" w:themeFillTint="33"/>
          </w:tcPr>
          <w:p w14:paraId="1AE32787" w14:textId="77777777" w:rsidR="00E35EC4" w:rsidRPr="00B450EB" w:rsidRDefault="00E35EC4" w:rsidP="00D203BB">
            <w:pPr>
              <w:spacing w:line="276" w:lineRule="auto"/>
              <w:mirrorIndents/>
              <w:jc w:val="center"/>
              <w:rPr>
                <w:rFonts w:eastAsia="Calibri" w:cs="Arial"/>
                <w:b/>
                <w:sz w:val="14"/>
                <w:szCs w:val="14"/>
              </w:rPr>
            </w:pPr>
          </w:p>
        </w:tc>
        <w:tc>
          <w:tcPr>
            <w:tcW w:w="376" w:type="pct"/>
            <w:shd w:val="clear" w:color="auto" w:fill="D9F2D0" w:themeFill="accent6" w:themeFillTint="33"/>
            <w:vAlign w:val="center"/>
          </w:tcPr>
          <w:p w14:paraId="17703924"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
                <w:sz w:val="14"/>
                <w:szCs w:val="14"/>
              </w:rPr>
              <w:t>Nacional</w:t>
            </w:r>
          </w:p>
        </w:tc>
        <w:tc>
          <w:tcPr>
            <w:tcW w:w="534" w:type="pct"/>
            <w:shd w:val="clear" w:color="auto" w:fill="D9F2D0" w:themeFill="accent6" w:themeFillTint="33"/>
            <w:vAlign w:val="center"/>
          </w:tcPr>
          <w:p w14:paraId="474CDE6A"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Departamental</w:t>
            </w:r>
          </w:p>
        </w:tc>
        <w:tc>
          <w:tcPr>
            <w:tcW w:w="376" w:type="pct"/>
            <w:shd w:val="clear" w:color="auto" w:fill="D9F2D0" w:themeFill="accent6" w:themeFillTint="33"/>
            <w:vAlign w:val="center"/>
          </w:tcPr>
          <w:p w14:paraId="6AFD5528"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Nacional</w:t>
            </w:r>
          </w:p>
        </w:tc>
        <w:tc>
          <w:tcPr>
            <w:tcW w:w="559" w:type="pct"/>
            <w:shd w:val="clear" w:color="auto" w:fill="D9F2D0" w:themeFill="accent6" w:themeFillTint="33"/>
            <w:vAlign w:val="center"/>
          </w:tcPr>
          <w:p w14:paraId="13B8D8C5"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Departamental</w:t>
            </w:r>
          </w:p>
        </w:tc>
        <w:tc>
          <w:tcPr>
            <w:tcW w:w="376" w:type="pct"/>
            <w:shd w:val="clear" w:color="auto" w:fill="D9F2D0" w:themeFill="accent6" w:themeFillTint="33"/>
            <w:vAlign w:val="center"/>
          </w:tcPr>
          <w:p w14:paraId="3560AD26"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Nacional</w:t>
            </w:r>
          </w:p>
        </w:tc>
        <w:tc>
          <w:tcPr>
            <w:tcW w:w="559" w:type="pct"/>
            <w:shd w:val="clear" w:color="auto" w:fill="D9F2D0" w:themeFill="accent6" w:themeFillTint="33"/>
            <w:vAlign w:val="center"/>
          </w:tcPr>
          <w:p w14:paraId="58DF4B64"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Departamental</w:t>
            </w:r>
          </w:p>
        </w:tc>
        <w:tc>
          <w:tcPr>
            <w:tcW w:w="376" w:type="pct"/>
            <w:shd w:val="clear" w:color="auto" w:fill="D9F2D0" w:themeFill="accent6" w:themeFillTint="33"/>
            <w:vAlign w:val="center"/>
          </w:tcPr>
          <w:p w14:paraId="095C2B33"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Nacional</w:t>
            </w:r>
          </w:p>
        </w:tc>
        <w:tc>
          <w:tcPr>
            <w:tcW w:w="559" w:type="pct"/>
            <w:shd w:val="clear" w:color="auto" w:fill="D9F2D0" w:themeFill="accent6" w:themeFillTint="33"/>
            <w:vAlign w:val="center"/>
          </w:tcPr>
          <w:p w14:paraId="2FF1FE46"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Departamental</w:t>
            </w:r>
          </w:p>
        </w:tc>
      </w:tr>
      <w:tr w:rsidR="00EF1937" w:rsidRPr="00B450EB" w14:paraId="28092CF1" w14:textId="77777777" w:rsidTr="00022216">
        <w:trPr>
          <w:trHeight w:val="165"/>
          <w:jc w:val="center"/>
        </w:trPr>
        <w:tc>
          <w:tcPr>
            <w:tcW w:w="413" w:type="pct"/>
            <w:vAlign w:val="center"/>
          </w:tcPr>
          <w:p w14:paraId="3598590E"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Amazonas</w:t>
            </w:r>
          </w:p>
        </w:tc>
        <w:tc>
          <w:tcPr>
            <w:tcW w:w="416" w:type="pct"/>
            <w:vAlign w:val="center"/>
          </w:tcPr>
          <w:p w14:paraId="309D3A70"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86.318</w:t>
            </w:r>
          </w:p>
        </w:tc>
        <w:tc>
          <w:tcPr>
            <w:tcW w:w="453" w:type="pct"/>
            <w:shd w:val="clear" w:color="auto" w:fill="45B0E1" w:themeFill="accent1" w:themeFillTint="99"/>
          </w:tcPr>
          <w:p w14:paraId="1AD7B80D"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35,24</w:t>
            </w:r>
          </w:p>
        </w:tc>
        <w:tc>
          <w:tcPr>
            <w:tcW w:w="376" w:type="pct"/>
            <w:vMerge w:val="restart"/>
            <w:vAlign w:val="center"/>
          </w:tcPr>
          <w:p w14:paraId="60BC8AA3"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74,48</w:t>
            </w:r>
          </w:p>
        </w:tc>
        <w:tc>
          <w:tcPr>
            <w:tcW w:w="534" w:type="pct"/>
            <w:shd w:val="clear" w:color="auto" w:fill="92D050"/>
            <w:vAlign w:val="center"/>
          </w:tcPr>
          <w:p w14:paraId="3C1F66BB"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41,94</w:t>
            </w:r>
          </w:p>
        </w:tc>
        <w:tc>
          <w:tcPr>
            <w:tcW w:w="376" w:type="pct"/>
            <w:vMerge w:val="restart"/>
            <w:vAlign w:val="center"/>
          </w:tcPr>
          <w:p w14:paraId="1BB4F3C5"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65,33</w:t>
            </w:r>
          </w:p>
        </w:tc>
        <w:tc>
          <w:tcPr>
            <w:tcW w:w="559" w:type="pct"/>
            <w:shd w:val="clear" w:color="auto" w:fill="E97132" w:themeFill="accent2"/>
            <w:vAlign w:val="center"/>
          </w:tcPr>
          <w:p w14:paraId="07F88C42"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41,94</w:t>
            </w:r>
          </w:p>
        </w:tc>
        <w:tc>
          <w:tcPr>
            <w:tcW w:w="376" w:type="pct"/>
            <w:vMerge w:val="restart"/>
            <w:vAlign w:val="center"/>
          </w:tcPr>
          <w:p w14:paraId="65298296"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78,13</w:t>
            </w:r>
          </w:p>
        </w:tc>
        <w:tc>
          <w:tcPr>
            <w:tcW w:w="559" w:type="pct"/>
            <w:shd w:val="clear" w:color="auto" w:fill="A02B93" w:themeFill="accent5"/>
            <w:vAlign w:val="center"/>
          </w:tcPr>
          <w:p w14:paraId="0483A0B1"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26</w:t>
            </w:r>
          </w:p>
        </w:tc>
        <w:tc>
          <w:tcPr>
            <w:tcW w:w="376" w:type="pct"/>
            <w:vMerge w:val="restart"/>
            <w:vAlign w:val="center"/>
          </w:tcPr>
          <w:p w14:paraId="48B864DE" w14:textId="77777777" w:rsidR="00E35EC4" w:rsidRPr="00B450EB" w:rsidRDefault="00E35EC4" w:rsidP="00D203BB">
            <w:pPr>
              <w:spacing w:line="276" w:lineRule="auto"/>
              <w:mirrorIndents/>
              <w:jc w:val="center"/>
              <w:rPr>
                <w:rFonts w:eastAsia="Calibri" w:cs="Arial"/>
                <w:b/>
                <w:sz w:val="14"/>
                <w:szCs w:val="14"/>
              </w:rPr>
            </w:pPr>
            <w:r w:rsidRPr="00B450EB">
              <w:rPr>
                <w:rFonts w:eastAsia="Calibri" w:cs="Arial"/>
                <w:b/>
                <w:sz w:val="14"/>
                <w:szCs w:val="14"/>
              </w:rPr>
              <w:t>16,54</w:t>
            </w:r>
          </w:p>
        </w:tc>
        <w:tc>
          <w:tcPr>
            <w:tcW w:w="559" w:type="pct"/>
            <w:vAlign w:val="center"/>
          </w:tcPr>
          <w:p w14:paraId="650265D3"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1,63</w:t>
            </w:r>
          </w:p>
        </w:tc>
      </w:tr>
      <w:tr w:rsidR="00EF1937" w:rsidRPr="00B450EB" w14:paraId="20694E9D" w14:textId="77777777" w:rsidTr="00022216">
        <w:trPr>
          <w:trHeight w:val="346"/>
          <w:jc w:val="center"/>
        </w:trPr>
        <w:tc>
          <w:tcPr>
            <w:tcW w:w="413" w:type="pct"/>
            <w:vAlign w:val="center"/>
          </w:tcPr>
          <w:p w14:paraId="030DD280"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Caquetá</w:t>
            </w:r>
          </w:p>
        </w:tc>
        <w:tc>
          <w:tcPr>
            <w:tcW w:w="416" w:type="pct"/>
            <w:vAlign w:val="center"/>
          </w:tcPr>
          <w:p w14:paraId="44512DC6"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428.162</w:t>
            </w:r>
          </w:p>
        </w:tc>
        <w:tc>
          <w:tcPr>
            <w:tcW w:w="453" w:type="pct"/>
            <w:shd w:val="clear" w:color="auto" w:fill="45B0E1" w:themeFill="accent1" w:themeFillTint="99"/>
          </w:tcPr>
          <w:p w14:paraId="7955E463"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23,62</w:t>
            </w:r>
          </w:p>
        </w:tc>
        <w:tc>
          <w:tcPr>
            <w:tcW w:w="376" w:type="pct"/>
            <w:vMerge/>
            <w:vAlign w:val="center"/>
          </w:tcPr>
          <w:p w14:paraId="6F27AA8A" w14:textId="77777777" w:rsidR="00E35EC4" w:rsidRPr="00B450EB" w:rsidRDefault="00E35EC4" w:rsidP="00D203BB">
            <w:pPr>
              <w:spacing w:line="276" w:lineRule="auto"/>
              <w:mirrorIndents/>
              <w:jc w:val="center"/>
              <w:rPr>
                <w:rFonts w:eastAsia="Calibri" w:cs="Arial"/>
                <w:bCs/>
                <w:sz w:val="14"/>
                <w:szCs w:val="14"/>
              </w:rPr>
            </w:pPr>
          </w:p>
        </w:tc>
        <w:tc>
          <w:tcPr>
            <w:tcW w:w="534" w:type="pct"/>
            <w:shd w:val="clear" w:color="auto" w:fill="92D050"/>
            <w:vAlign w:val="center"/>
          </w:tcPr>
          <w:p w14:paraId="5FC664A5"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61,09</w:t>
            </w:r>
          </w:p>
        </w:tc>
        <w:tc>
          <w:tcPr>
            <w:tcW w:w="376" w:type="pct"/>
            <w:vMerge/>
            <w:vAlign w:val="center"/>
          </w:tcPr>
          <w:p w14:paraId="590FF92A"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E97132" w:themeFill="accent2"/>
            <w:vAlign w:val="center"/>
          </w:tcPr>
          <w:p w14:paraId="54D69753"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59,31</w:t>
            </w:r>
          </w:p>
        </w:tc>
        <w:tc>
          <w:tcPr>
            <w:tcW w:w="376" w:type="pct"/>
            <w:vMerge/>
            <w:vAlign w:val="center"/>
          </w:tcPr>
          <w:p w14:paraId="4778278A"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A02B93" w:themeFill="accent5"/>
            <w:vAlign w:val="center"/>
          </w:tcPr>
          <w:p w14:paraId="6791B18C"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62,07</w:t>
            </w:r>
          </w:p>
        </w:tc>
        <w:tc>
          <w:tcPr>
            <w:tcW w:w="376" w:type="pct"/>
            <w:vMerge/>
            <w:vAlign w:val="center"/>
          </w:tcPr>
          <w:p w14:paraId="5B552E96" w14:textId="77777777" w:rsidR="00E35EC4" w:rsidRPr="00B450EB" w:rsidRDefault="00E35EC4" w:rsidP="00D203BB">
            <w:pPr>
              <w:spacing w:line="276" w:lineRule="auto"/>
              <w:mirrorIndents/>
              <w:jc w:val="center"/>
              <w:rPr>
                <w:rFonts w:eastAsia="Calibri" w:cs="Arial"/>
                <w:bCs/>
                <w:sz w:val="14"/>
                <w:szCs w:val="14"/>
              </w:rPr>
            </w:pPr>
          </w:p>
        </w:tc>
        <w:tc>
          <w:tcPr>
            <w:tcW w:w="559" w:type="pct"/>
            <w:vAlign w:val="center"/>
          </w:tcPr>
          <w:p w14:paraId="6DE90B74"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8,59</w:t>
            </w:r>
          </w:p>
        </w:tc>
      </w:tr>
      <w:tr w:rsidR="00EF1937" w:rsidRPr="00B450EB" w14:paraId="2F31F1B6" w14:textId="77777777" w:rsidTr="00022216">
        <w:trPr>
          <w:trHeight w:val="165"/>
          <w:jc w:val="center"/>
        </w:trPr>
        <w:tc>
          <w:tcPr>
            <w:tcW w:w="413" w:type="pct"/>
            <w:vAlign w:val="center"/>
          </w:tcPr>
          <w:p w14:paraId="02F99F0D"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Guainía</w:t>
            </w:r>
          </w:p>
        </w:tc>
        <w:tc>
          <w:tcPr>
            <w:tcW w:w="416" w:type="pct"/>
            <w:vAlign w:val="center"/>
          </w:tcPr>
          <w:p w14:paraId="3D576A2C"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57.943</w:t>
            </w:r>
          </w:p>
        </w:tc>
        <w:tc>
          <w:tcPr>
            <w:tcW w:w="453" w:type="pct"/>
            <w:shd w:val="clear" w:color="auto" w:fill="45B0E1" w:themeFill="accent1" w:themeFillTint="99"/>
          </w:tcPr>
          <w:p w14:paraId="5D90F985" w14:textId="77777777" w:rsidR="00E35EC4" w:rsidRPr="00B450EB" w:rsidRDefault="00E35EC4" w:rsidP="00D203BB">
            <w:pPr>
              <w:spacing w:line="276" w:lineRule="auto"/>
              <w:mirrorIndents/>
              <w:jc w:val="center"/>
              <w:rPr>
                <w:rFonts w:eastAsia="Calibri" w:cs="Arial"/>
                <w:bCs/>
                <w:sz w:val="14"/>
                <w:szCs w:val="14"/>
              </w:rPr>
            </w:pPr>
            <w:r w:rsidRPr="00B450EB">
              <w:rPr>
                <w:rFonts w:cs="Arial"/>
                <w:sz w:val="14"/>
                <w:szCs w:val="14"/>
              </w:rPr>
              <w:t>59,52</w:t>
            </w:r>
          </w:p>
        </w:tc>
        <w:tc>
          <w:tcPr>
            <w:tcW w:w="376" w:type="pct"/>
            <w:vMerge/>
            <w:vAlign w:val="center"/>
          </w:tcPr>
          <w:p w14:paraId="1DC14480" w14:textId="77777777" w:rsidR="00E35EC4" w:rsidRPr="00B450EB" w:rsidRDefault="00E35EC4" w:rsidP="00D203BB">
            <w:pPr>
              <w:spacing w:line="276" w:lineRule="auto"/>
              <w:mirrorIndents/>
              <w:jc w:val="center"/>
              <w:rPr>
                <w:rFonts w:eastAsia="Calibri" w:cs="Arial"/>
                <w:bCs/>
                <w:sz w:val="14"/>
                <w:szCs w:val="14"/>
              </w:rPr>
            </w:pPr>
          </w:p>
        </w:tc>
        <w:tc>
          <w:tcPr>
            <w:tcW w:w="534" w:type="pct"/>
            <w:shd w:val="clear" w:color="auto" w:fill="92D050"/>
            <w:vAlign w:val="center"/>
          </w:tcPr>
          <w:p w14:paraId="1A6DAC88"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25,98</w:t>
            </w:r>
          </w:p>
        </w:tc>
        <w:tc>
          <w:tcPr>
            <w:tcW w:w="376" w:type="pct"/>
            <w:vMerge/>
            <w:vAlign w:val="center"/>
          </w:tcPr>
          <w:p w14:paraId="7C80A290"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E97132" w:themeFill="accent2"/>
            <w:vAlign w:val="center"/>
          </w:tcPr>
          <w:p w14:paraId="6DE96140"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14,68</w:t>
            </w:r>
          </w:p>
        </w:tc>
        <w:tc>
          <w:tcPr>
            <w:tcW w:w="376" w:type="pct"/>
            <w:vMerge/>
            <w:vAlign w:val="center"/>
          </w:tcPr>
          <w:p w14:paraId="2D44C6AB"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A02B93" w:themeFill="accent5"/>
            <w:vAlign w:val="center"/>
          </w:tcPr>
          <w:p w14:paraId="42864FAF"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55,19</w:t>
            </w:r>
          </w:p>
        </w:tc>
        <w:tc>
          <w:tcPr>
            <w:tcW w:w="376" w:type="pct"/>
            <w:vMerge/>
            <w:vAlign w:val="center"/>
          </w:tcPr>
          <w:p w14:paraId="35ABC3F1" w14:textId="77777777" w:rsidR="00E35EC4" w:rsidRPr="00B450EB" w:rsidRDefault="00E35EC4" w:rsidP="00D203BB">
            <w:pPr>
              <w:spacing w:line="276" w:lineRule="auto"/>
              <w:mirrorIndents/>
              <w:jc w:val="center"/>
              <w:rPr>
                <w:rFonts w:eastAsia="Calibri" w:cs="Arial"/>
                <w:bCs/>
                <w:sz w:val="14"/>
                <w:szCs w:val="14"/>
              </w:rPr>
            </w:pPr>
          </w:p>
        </w:tc>
        <w:tc>
          <w:tcPr>
            <w:tcW w:w="559" w:type="pct"/>
            <w:vAlign w:val="center"/>
          </w:tcPr>
          <w:p w14:paraId="1988C673"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2,02</w:t>
            </w:r>
          </w:p>
        </w:tc>
      </w:tr>
      <w:tr w:rsidR="00EF1937" w:rsidRPr="00B450EB" w14:paraId="05E25600" w14:textId="77777777" w:rsidTr="00022216">
        <w:trPr>
          <w:trHeight w:val="346"/>
          <w:jc w:val="center"/>
        </w:trPr>
        <w:tc>
          <w:tcPr>
            <w:tcW w:w="413" w:type="pct"/>
            <w:vAlign w:val="center"/>
          </w:tcPr>
          <w:p w14:paraId="2A1294FB"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Guaviare</w:t>
            </w:r>
          </w:p>
        </w:tc>
        <w:tc>
          <w:tcPr>
            <w:tcW w:w="416" w:type="pct"/>
            <w:vAlign w:val="center"/>
          </w:tcPr>
          <w:p w14:paraId="25EA2E10"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100.497</w:t>
            </w:r>
          </w:p>
        </w:tc>
        <w:tc>
          <w:tcPr>
            <w:tcW w:w="453" w:type="pct"/>
            <w:shd w:val="clear" w:color="auto" w:fill="45B0E1" w:themeFill="accent1" w:themeFillTint="99"/>
          </w:tcPr>
          <w:p w14:paraId="23F5DD3A" w14:textId="77777777" w:rsidR="00E35EC4" w:rsidRPr="00B450EB" w:rsidRDefault="00E35EC4" w:rsidP="00D203BB">
            <w:pPr>
              <w:spacing w:line="276" w:lineRule="auto"/>
              <w:mirrorIndents/>
              <w:jc w:val="center"/>
              <w:rPr>
                <w:rFonts w:eastAsia="Calibri" w:cs="Arial"/>
                <w:bCs/>
                <w:sz w:val="14"/>
                <w:szCs w:val="14"/>
              </w:rPr>
            </w:pPr>
            <w:r w:rsidRPr="00B450EB">
              <w:rPr>
                <w:rFonts w:cs="Arial"/>
                <w:sz w:val="14"/>
                <w:szCs w:val="14"/>
              </w:rPr>
              <w:t>27,91</w:t>
            </w:r>
          </w:p>
        </w:tc>
        <w:tc>
          <w:tcPr>
            <w:tcW w:w="376" w:type="pct"/>
            <w:vMerge/>
            <w:vAlign w:val="center"/>
          </w:tcPr>
          <w:p w14:paraId="2A34C380" w14:textId="77777777" w:rsidR="00E35EC4" w:rsidRPr="00B450EB" w:rsidRDefault="00E35EC4" w:rsidP="00D203BB">
            <w:pPr>
              <w:spacing w:line="276" w:lineRule="auto"/>
              <w:mirrorIndents/>
              <w:jc w:val="center"/>
              <w:rPr>
                <w:rFonts w:eastAsia="Calibri" w:cs="Arial"/>
                <w:bCs/>
                <w:sz w:val="14"/>
                <w:szCs w:val="14"/>
              </w:rPr>
            </w:pPr>
          </w:p>
        </w:tc>
        <w:tc>
          <w:tcPr>
            <w:tcW w:w="534" w:type="pct"/>
            <w:shd w:val="clear" w:color="auto" w:fill="92D050"/>
            <w:vAlign w:val="center"/>
          </w:tcPr>
          <w:p w14:paraId="453CDFA4"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44,42</w:t>
            </w:r>
          </w:p>
        </w:tc>
        <w:tc>
          <w:tcPr>
            <w:tcW w:w="376" w:type="pct"/>
            <w:vMerge/>
            <w:vAlign w:val="center"/>
          </w:tcPr>
          <w:p w14:paraId="4B5C5DC2"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E97132" w:themeFill="accent2"/>
            <w:vAlign w:val="center"/>
          </w:tcPr>
          <w:p w14:paraId="3185CABF"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43,8</w:t>
            </w:r>
          </w:p>
        </w:tc>
        <w:tc>
          <w:tcPr>
            <w:tcW w:w="376" w:type="pct"/>
            <w:vMerge/>
            <w:vAlign w:val="center"/>
          </w:tcPr>
          <w:p w14:paraId="74BFD11C"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A02B93" w:themeFill="accent5"/>
            <w:vAlign w:val="center"/>
          </w:tcPr>
          <w:p w14:paraId="7DC60333"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70,19</w:t>
            </w:r>
          </w:p>
        </w:tc>
        <w:tc>
          <w:tcPr>
            <w:tcW w:w="376" w:type="pct"/>
            <w:vMerge/>
            <w:vAlign w:val="center"/>
          </w:tcPr>
          <w:p w14:paraId="3075A840" w14:textId="77777777" w:rsidR="00E35EC4" w:rsidRPr="00B450EB" w:rsidRDefault="00E35EC4" w:rsidP="00D203BB">
            <w:pPr>
              <w:spacing w:line="276" w:lineRule="auto"/>
              <w:mirrorIndents/>
              <w:jc w:val="center"/>
              <w:rPr>
                <w:rFonts w:eastAsia="Calibri" w:cs="Arial"/>
                <w:bCs/>
                <w:sz w:val="14"/>
                <w:szCs w:val="14"/>
              </w:rPr>
            </w:pPr>
          </w:p>
        </w:tc>
        <w:tc>
          <w:tcPr>
            <w:tcW w:w="559" w:type="pct"/>
            <w:vAlign w:val="center"/>
          </w:tcPr>
          <w:p w14:paraId="2CC4684E"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2,62</w:t>
            </w:r>
          </w:p>
        </w:tc>
      </w:tr>
      <w:tr w:rsidR="00EF1937" w:rsidRPr="00B450EB" w14:paraId="17F2F488" w14:textId="77777777" w:rsidTr="00022216">
        <w:trPr>
          <w:trHeight w:val="333"/>
          <w:jc w:val="center"/>
        </w:trPr>
        <w:tc>
          <w:tcPr>
            <w:tcW w:w="413" w:type="pct"/>
            <w:vAlign w:val="center"/>
          </w:tcPr>
          <w:p w14:paraId="5709F36C"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Putumayo</w:t>
            </w:r>
          </w:p>
        </w:tc>
        <w:tc>
          <w:tcPr>
            <w:tcW w:w="416" w:type="pct"/>
            <w:vAlign w:val="center"/>
          </w:tcPr>
          <w:p w14:paraId="33CC63A1"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388.716</w:t>
            </w:r>
          </w:p>
        </w:tc>
        <w:tc>
          <w:tcPr>
            <w:tcW w:w="453" w:type="pct"/>
            <w:shd w:val="clear" w:color="auto" w:fill="45B0E1" w:themeFill="accent1" w:themeFillTint="99"/>
          </w:tcPr>
          <w:p w14:paraId="4316F8D2" w14:textId="77777777" w:rsidR="00E35EC4" w:rsidRPr="00B450EB" w:rsidRDefault="00E35EC4" w:rsidP="00D203BB">
            <w:pPr>
              <w:spacing w:line="276" w:lineRule="auto"/>
              <w:mirrorIndents/>
              <w:jc w:val="center"/>
              <w:rPr>
                <w:rFonts w:cs="Arial"/>
                <w:sz w:val="14"/>
                <w:szCs w:val="14"/>
              </w:rPr>
            </w:pPr>
            <w:r w:rsidRPr="00B450EB">
              <w:rPr>
                <w:rFonts w:cs="Arial"/>
                <w:sz w:val="14"/>
                <w:szCs w:val="14"/>
              </w:rPr>
              <w:t>18,96</w:t>
            </w:r>
          </w:p>
        </w:tc>
        <w:tc>
          <w:tcPr>
            <w:tcW w:w="376" w:type="pct"/>
            <w:vMerge/>
            <w:vAlign w:val="center"/>
          </w:tcPr>
          <w:p w14:paraId="63546841" w14:textId="77777777" w:rsidR="00E35EC4" w:rsidRPr="00B450EB" w:rsidRDefault="00E35EC4" w:rsidP="00D203BB">
            <w:pPr>
              <w:spacing w:line="276" w:lineRule="auto"/>
              <w:mirrorIndents/>
              <w:jc w:val="center"/>
              <w:rPr>
                <w:rFonts w:eastAsia="Calibri" w:cs="Arial"/>
                <w:bCs/>
                <w:sz w:val="14"/>
                <w:szCs w:val="14"/>
              </w:rPr>
            </w:pPr>
          </w:p>
        </w:tc>
        <w:tc>
          <w:tcPr>
            <w:tcW w:w="534" w:type="pct"/>
            <w:shd w:val="clear" w:color="auto" w:fill="92D050"/>
            <w:vAlign w:val="center"/>
          </w:tcPr>
          <w:p w14:paraId="383068E5"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43,1</w:t>
            </w:r>
          </w:p>
        </w:tc>
        <w:tc>
          <w:tcPr>
            <w:tcW w:w="376" w:type="pct"/>
            <w:vMerge/>
            <w:vAlign w:val="center"/>
          </w:tcPr>
          <w:p w14:paraId="3434E685"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E97132" w:themeFill="accent2"/>
            <w:vAlign w:val="center"/>
          </w:tcPr>
          <w:p w14:paraId="6C7C412C"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49,42</w:t>
            </w:r>
          </w:p>
        </w:tc>
        <w:tc>
          <w:tcPr>
            <w:tcW w:w="376" w:type="pct"/>
            <w:vMerge/>
            <w:vAlign w:val="center"/>
          </w:tcPr>
          <w:p w14:paraId="75DD3269"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A02B93" w:themeFill="accent5"/>
            <w:vAlign w:val="center"/>
          </w:tcPr>
          <w:p w14:paraId="41E3E90B"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52,37</w:t>
            </w:r>
          </w:p>
        </w:tc>
        <w:tc>
          <w:tcPr>
            <w:tcW w:w="376" w:type="pct"/>
            <w:vMerge/>
            <w:vAlign w:val="center"/>
          </w:tcPr>
          <w:p w14:paraId="5F70316C" w14:textId="77777777" w:rsidR="00E35EC4" w:rsidRPr="00B450EB" w:rsidRDefault="00E35EC4" w:rsidP="00D203BB">
            <w:pPr>
              <w:spacing w:line="276" w:lineRule="auto"/>
              <w:mirrorIndents/>
              <w:jc w:val="center"/>
              <w:rPr>
                <w:rFonts w:eastAsia="Calibri" w:cs="Arial"/>
                <w:bCs/>
                <w:sz w:val="14"/>
                <w:szCs w:val="14"/>
              </w:rPr>
            </w:pPr>
          </w:p>
        </w:tc>
        <w:tc>
          <w:tcPr>
            <w:tcW w:w="559" w:type="pct"/>
            <w:vAlign w:val="center"/>
          </w:tcPr>
          <w:p w14:paraId="6E24E1AF"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3,94</w:t>
            </w:r>
          </w:p>
        </w:tc>
      </w:tr>
      <w:tr w:rsidR="00EF1937" w:rsidRPr="00B450EB" w14:paraId="36E3F738" w14:textId="77777777" w:rsidTr="00022216">
        <w:trPr>
          <w:trHeight w:val="165"/>
          <w:jc w:val="center"/>
        </w:trPr>
        <w:tc>
          <w:tcPr>
            <w:tcW w:w="413" w:type="pct"/>
            <w:vAlign w:val="center"/>
          </w:tcPr>
          <w:p w14:paraId="5E9BC5EB"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Vaupés</w:t>
            </w:r>
          </w:p>
        </w:tc>
        <w:tc>
          <w:tcPr>
            <w:tcW w:w="416" w:type="pct"/>
            <w:vAlign w:val="center"/>
          </w:tcPr>
          <w:p w14:paraId="1904B146"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47.961</w:t>
            </w:r>
          </w:p>
        </w:tc>
        <w:tc>
          <w:tcPr>
            <w:tcW w:w="453" w:type="pct"/>
            <w:shd w:val="clear" w:color="auto" w:fill="45B0E1" w:themeFill="accent1" w:themeFillTint="99"/>
          </w:tcPr>
          <w:p w14:paraId="6411894B" w14:textId="77777777" w:rsidR="00E35EC4" w:rsidRPr="00B450EB" w:rsidRDefault="00E35EC4" w:rsidP="00D203BB">
            <w:pPr>
              <w:spacing w:line="276" w:lineRule="auto"/>
              <w:mirrorIndents/>
              <w:jc w:val="center"/>
              <w:rPr>
                <w:rFonts w:eastAsia="Calibri" w:cs="Arial"/>
                <w:bCs/>
                <w:sz w:val="14"/>
                <w:szCs w:val="14"/>
              </w:rPr>
            </w:pPr>
            <w:r w:rsidRPr="00B450EB">
              <w:rPr>
                <w:rFonts w:cs="Arial"/>
                <w:sz w:val="14"/>
                <w:szCs w:val="14"/>
              </w:rPr>
              <w:t>68,94</w:t>
            </w:r>
          </w:p>
        </w:tc>
        <w:tc>
          <w:tcPr>
            <w:tcW w:w="376" w:type="pct"/>
            <w:vMerge/>
            <w:vAlign w:val="center"/>
          </w:tcPr>
          <w:p w14:paraId="0FCCEB4C" w14:textId="77777777" w:rsidR="00E35EC4" w:rsidRPr="00B450EB" w:rsidRDefault="00E35EC4" w:rsidP="00D203BB">
            <w:pPr>
              <w:spacing w:line="276" w:lineRule="auto"/>
              <w:mirrorIndents/>
              <w:jc w:val="center"/>
              <w:rPr>
                <w:rFonts w:eastAsia="Calibri" w:cs="Arial"/>
                <w:bCs/>
                <w:sz w:val="14"/>
                <w:szCs w:val="14"/>
              </w:rPr>
            </w:pPr>
          </w:p>
        </w:tc>
        <w:tc>
          <w:tcPr>
            <w:tcW w:w="534" w:type="pct"/>
            <w:shd w:val="clear" w:color="auto" w:fill="92D050"/>
            <w:vAlign w:val="center"/>
          </w:tcPr>
          <w:p w14:paraId="436B8F69"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98,44</w:t>
            </w:r>
          </w:p>
        </w:tc>
        <w:tc>
          <w:tcPr>
            <w:tcW w:w="376" w:type="pct"/>
            <w:vMerge/>
            <w:vAlign w:val="center"/>
          </w:tcPr>
          <w:p w14:paraId="10698FF5"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E97132" w:themeFill="accent2"/>
            <w:vAlign w:val="center"/>
          </w:tcPr>
          <w:p w14:paraId="3CC45131"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98,37</w:t>
            </w:r>
          </w:p>
        </w:tc>
        <w:tc>
          <w:tcPr>
            <w:tcW w:w="376" w:type="pct"/>
            <w:vMerge/>
            <w:vAlign w:val="center"/>
          </w:tcPr>
          <w:p w14:paraId="526B9E90"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A02B93" w:themeFill="accent5"/>
            <w:vAlign w:val="center"/>
          </w:tcPr>
          <w:p w14:paraId="05AEEB62"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21,52</w:t>
            </w:r>
          </w:p>
        </w:tc>
        <w:tc>
          <w:tcPr>
            <w:tcW w:w="376" w:type="pct"/>
            <w:vMerge/>
            <w:vAlign w:val="center"/>
          </w:tcPr>
          <w:p w14:paraId="2288C5C0" w14:textId="77777777" w:rsidR="00E35EC4" w:rsidRPr="00B450EB" w:rsidRDefault="00E35EC4" w:rsidP="00D203BB">
            <w:pPr>
              <w:spacing w:line="276" w:lineRule="auto"/>
              <w:mirrorIndents/>
              <w:jc w:val="center"/>
              <w:rPr>
                <w:rFonts w:eastAsia="Calibri" w:cs="Arial"/>
                <w:bCs/>
                <w:sz w:val="14"/>
                <w:szCs w:val="14"/>
              </w:rPr>
            </w:pPr>
          </w:p>
        </w:tc>
        <w:tc>
          <w:tcPr>
            <w:tcW w:w="559" w:type="pct"/>
            <w:vAlign w:val="center"/>
          </w:tcPr>
          <w:p w14:paraId="74172499"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0,14</w:t>
            </w:r>
          </w:p>
        </w:tc>
      </w:tr>
      <w:tr w:rsidR="00EF1937" w:rsidRPr="00B450EB" w14:paraId="04D9BE2A" w14:textId="77777777" w:rsidTr="00022216">
        <w:trPr>
          <w:trHeight w:val="346"/>
          <w:jc w:val="center"/>
        </w:trPr>
        <w:tc>
          <w:tcPr>
            <w:tcW w:w="413" w:type="pct"/>
            <w:vAlign w:val="center"/>
          </w:tcPr>
          <w:p w14:paraId="62900013"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Vichada</w:t>
            </w:r>
          </w:p>
        </w:tc>
        <w:tc>
          <w:tcPr>
            <w:tcW w:w="416" w:type="pct"/>
            <w:vAlign w:val="center"/>
          </w:tcPr>
          <w:p w14:paraId="495FC5D9"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125.477</w:t>
            </w:r>
          </w:p>
        </w:tc>
        <w:tc>
          <w:tcPr>
            <w:tcW w:w="453" w:type="pct"/>
            <w:shd w:val="clear" w:color="auto" w:fill="45B0E1" w:themeFill="accent1" w:themeFillTint="99"/>
          </w:tcPr>
          <w:p w14:paraId="7A35F3B7" w14:textId="77777777" w:rsidR="00E35EC4" w:rsidRPr="00B450EB" w:rsidRDefault="00E35EC4" w:rsidP="00D203BB">
            <w:pPr>
              <w:spacing w:line="276" w:lineRule="auto"/>
              <w:mirrorIndents/>
              <w:jc w:val="center"/>
              <w:rPr>
                <w:rFonts w:eastAsia="Calibri" w:cs="Arial"/>
                <w:bCs/>
                <w:sz w:val="14"/>
                <w:szCs w:val="14"/>
              </w:rPr>
            </w:pPr>
            <w:r w:rsidRPr="00B450EB">
              <w:rPr>
                <w:rFonts w:cs="Arial"/>
                <w:sz w:val="14"/>
                <w:szCs w:val="14"/>
              </w:rPr>
              <w:t>67,76</w:t>
            </w:r>
          </w:p>
        </w:tc>
        <w:tc>
          <w:tcPr>
            <w:tcW w:w="376" w:type="pct"/>
            <w:vMerge/>
            <w:vAlign w:val="center"/>
          </w:tcPr>
          <w:p w14:paraId="02D3A42D" w14:textId="77777777" w:rsidR="00E35EC4" w:rsidRPr="00B450EB" w:rsidRDefault="00E35EC4" w:rsidP="00D203BB">
            <w:pPr>
              <w:spacing w:line="276" w:lineRule="auto"/>
              <w:mirrorIndents/>
              <w:jc w:val="center"/>
              <w:rPr>
                <w:rFonts w:eastAsia="Calibri" w:cs="Arial"/>
                <w:bCs/>
                <w:sz w:val="14"/>
                <w:szCs w:val="14"/>
              </w:rPr>
            </w:pPr>
          </w:p>
        </w:tc>
        <w:tc>
          <w:tcPr>
            <w:tcW w:w="534" w:type="pct"/>
            <w:shd w:val="clear" w:color="auto" w:fill="92D050"/>
            <w:vAlign w:val="center"/>
          </w:tcPr>
          <w:p w14:paraId="0C4E0D05"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44,31</w:t>
            </w:r>
          </w:p>
        </w:tc>
        <w:tc>
          <w:tcPr>
            <w:tcW w:w="376" w:type="pct"/>
            <w:vMerge/>
            <w:vAlign w:val="center"/>
          </w:tcPr>
          <w:p w14:paraId="295634EA"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E97132" w:themeFill="accent2"/>
            <w:vAlign w:val="center"/>
          </w:tcPr>
          <w:p w14:paraId="6B38B309"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3,26</w:t>
            </w:r>
          </w:p>
        </w:tc>
        <w:tc>
          <w:tcPr>
            <w:tcW w:w="376" w:type="pct"/>
            <w:vMerge/>
            <w:vAlign w:val="center"/>
          </w:tcPr>
          <w:p w14:paraId="79396082"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A02B93" w:themeFill="accent5"/>
            <w:vAlign w:val="center"/>
          </w:tcPr>
          <w:p w14:paraId="2938439A"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10,83</w:t>
            </w:r>
          </w:p>
        </w:tc>
        <w:tc>
          <w:tcPr>
            <w:tcW w:w="376" w:type="pct"/>
            <w:vMerge/>
            <w:vAlign w:val="center"/>
          </w:tcPr>
          <w:p w14:paraId="6E8645D5" w14:textId="77777777" w:rsidR="00E35EC4" w:rsidRPr="00B450EB" w:rsidRDefault="00E35EC4" w:rsidP="00D203BB">
            <w:pPr>
              <w:spacing w:line="276" w:lineRule="auto"/>
              <w:mirrorIndents/>
              <w:jc w:val="center"/>
              <w:rPr>
                <w:rFonts w:eastAsia="Calibri" w:cs="Arial"/>
                <w:bCs/>
                <w:sz w:val="14"/>
                <w:szCs w:val="14"/>
              </w:rPr>
            </w:pPr>
          </w:p>
        </w:tc>
        <w:tc>
          <w:tcPr>
            <w:tcW w:w="559" w:type="pct"/>
            <w:vAlign w:val="center"/>
          </w:tcPr>
          <w:p w14:paraId="3031E2E2"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1,11</w:t>
            </w:r>
          </w:p>
        </w:tc>
      </w:tr>
      <w:tr w:rsidR="00EF1937" w:rsidRPr="00B450EB" w14:paraId="7DB5768D" w14:textId="77777777" w:rsidTr="00022216">
        <w:trPr>
          <w:trHeight w:val="346"/>
          <w:jc w:val="center"/>
        </w:trPr>
        <w:tc>
          <w:tcPr>
            <w:tcW w:w="413" w:type="pct"/>
            <w:vAlign w:val="center"/>
          </w:tcPr>
          <w:p w14:paraId="3060FE5E"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Meta</w:t>
            </w:r>
          </w:p>
        </w:tc>
        <w:tc>
          <w:tcPr>
            <w:tcW w:w="416" w:type="pct"/>
            <w:vAlign w:val="center"/>
          </w:tcPr>
          <w:p w14:paraId="140B1CF7"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1.145.766</w:t>
            </w:r>
          </w:p>
        </w:tc>
        <w:tc>
          <w:tcPr>
            <w:tcW w:w="453" w:type="pct"/>
            <w:shd w:val="clear" w:color="auto" w:fill="45B0E1" w:themeFill="accent1" w:themeFillTint="99"/>
          </w:tcPr>
          <w:p w14:paraId="0962E7C8" w14:textId="77777777" w:rsidR="00E35EC4" w:rsidRPr="00B450EB" w:rsidRDefault="00E35EC4" w:rsidP="00D203BB">
            <w:pPr>
              <w:spacing w:line="276" w:lineRule="auto"/>
              <w:mirrorIndents/>
              <w:jc w:val="center"/>
              <w:rPr>
                <w:rFonts w:eastAsia="Batang" w:cs="Arial"/>
                <w:sz w:val="14"/>
                <w:szCs w:val="14"/>
              </w:rPr>
            </w:pPr>
            <w:r w:rsidRPr="00B450EB">
              <w:rPr>
                <w:rFonts w:cs="Arial"/>
                <w:sz w:val="14"/>
                <w:szCs w:val="14"/>
              </w:rPr>
              <w:t>13,45</w:t>
            </w:r>
          </w:p>
        </w:tc>
        <w:tc>
          <w:tcPr>
            <w:tcW w:w="376" w:type="pct"/>
            <w:vMerge/>
            <w:vAlign w:val="center"/>
          </w:tcPr>
          <w:p w14:paraId="3262920A" w14:textId="77777777" w:rsidR="00E35EC4" w:rsidRPr="00B450EB" w:rsidRDefault="00E35EC4" w:rsidP="00D203BB">
            <w:pPr>
              <w:spacing w:line="276" w:lineRule="auto"/>
              <w:mirrorIndents/>
              <w:jc w:val="center"/>
              <w:rPr>
                <w:rFonts w:eastAsia="Batang" w:cs="Arial"/>
                <w:sz w:val="14"/>
                <w:szCs w:val="14"/>
              </w:rPr>
            </w:pPr>
          </w:p>
        </w:tc>
        <w:tc>
          <w:tcPr>
            <w:tcW w:w="534" w:type="pct"/>
            <w:shd w:val="clear" w:color="auto" w:fill="92D050"/>
            <w:vAlign w:val="center"/>
          </w:tcPr>
          <w:p w14:paraId="0A894DD2" w14:textId="77777777" w:rsidR="00E35EC4" w:rsidRPr="00B450EB" w:rsidRDefault="00E35EC4" w:rsidP="00D203BB">
            <w:pPr>
              <w:spacing w:line="276" w:lineRule="auto"/>
              <w:mirrorIndents/>
              <w:jc w:val="center"/>
              <w:rPr>
                <w:rFonts w:eastAsia="Batang" w:cs="Arial"/>
                <w:sz w:val="14"/>
                <w:szCs w:val="14"/>
              </w:rPr>
            </w:pPr>
            <w:r w:rsidRPr="00B450EB">
              <w:rPr>
                <w:rFonts w:eastAsia="Batang" w:cs="Arial"/>
                <w:sz w:val="14"/>
                <w:szCs w:val="14"/>
              </w:rPr>
              <w:t>55,82</w:t>
            </w:r>
          </w:p>
        </w:tc>
        <w:tc>
          <w:tcPr>
            <w:tcW w:w="376" w:type="pct"/>
            <w:vMerge/>
            <w:vAlign w:val="center"/>
          </w:tcPr>
          <w:p w14:paraId="507B3001" w14:textId="77777777" w:rsidR="00E35EC4" w:rsidRPr="00B450EB" w:rsidRDefault="00E35EC4" w:rsidP="00D203BB">
            <w:pPr>
              <w:spacing w:line="276" w:lineRule="auto"/>
              <w:mirrorIndents/>
              <w:jc w:val="center"/>
              <w:rPr>
                <w:rFonts w:eastAsia="Batang" w:cs="Arial"/>
                <w:sz w:val="14"/>
                <w:szCs w:val="14"/>
              </w:rPr>
            </w:pPr>
          </w:p>
        </w:tc>
        <w:tc>
          <w:tcPr>
            <w:tcW w:w="559" w:type="pct"/>
            <w:shd w:val="clear" w:color="auto" w:fill="E97132" w:themeFill="accent2"/>
            <w:vAlign w:val="center"/>
          </w:tcPr>
          <w:p w14:paraId="20ED717A" w14:textId="77777777" w:rsidR="00E35EC4" w:rsidRPr="00B450EB" w:rsidRDefault="00E35EC4" w:rsidP="00D203BB">
            <w:pPr>
              <w:spacing w:line="276" w:lineRule="auto"/>
              <w:mirrorIndents/>
              <w:jc w:val="center"/>
              <w:rPr>
                <w:rFonts w:eastAsia="Batang" w:cs="Arial"/>
                <w:sz w:val="14"/>
                <w:szCs w:val="14"/>
              </w:rPr>
            </w:pPr>
            <w:r w:rsidRPr="00B450EB">
              <w:rPr>
                <w:rFonts w:eastAsia="Batang" w:cs="Arial"/>
                <w:sz w:val="14"/>
                <w:szCs w:val="14"/>
              </w:rPr>
              <w:t>54,65</w:t>
            </w:r>
          </w:p>
        </w:tc>
        <w:tc>
          <w:tcPr>
            <w:tcW w:w="376" w:type="pct"/>
            <w:vMerge/>
            <w:vAlign w:val="center"/>
          </w:tcPr>
          <w:p w14:paraId="50272A5D" w14:textId="77777777" w:rsidR="00E35EC4" w:rsidRPr="00B450EB" w:rsidRDefault="00E35EC4" w:rsidP="00D203BB">
            <w:pPr>
              <w:spacing w:line="276" w:lineRule="auto"/>
              <w:mirrorIndents/>
              <w:jc w:val="center"/>
              <w:rPr>
                <w:rFonts w:eastAsia="Batang" w:cs="Arial"/>
                <w:sz w:val="14"/>
                <w:szCs w:val="14"/>
              </w:rPr>
            </w:pPr>
          </w:p>
        </w:tc>
        <w:tc>
          <w:tcPr>
            <w:tcW w:w="559" w:type="pct"/>
            <w:shd w:val="clear" w:color="auto" w:fill="A02B93" w:themeFill="accent5"/>
            <w:vAlign w:val="center"/>
          </w:tcPr>
          <w:p w14:paraId="099111D9" w14:textId="77777777" w:rsidR="00E35EC4" w:rsidRPr="00B450EB" w:rsidRDefault="00E35EC4" w:rsidP="00D203BB">
            <w:pPr>
              <w:spacing w:line="276" w:lineRule="auto"/>
              <w:mirrorIndents/>
              <w:jc w:val="center"/>
              <w:rPr>
                <w:rFonts w:eastAsia="Batang" w:cs="Arial"/>
                <w:sz w:val="14"/>
                <w:szCs w:val="14"/>
              </w:rPr>
            </w:pPr>
            <w:r w:rsidRPr="00B450EB">
              <w:rPr>
                <w:rFonts w:eastAsia="Batang" w:cs="Arial"/>
                <w:sz w:val="14"/>
                <w:szCs w:val="14"/>
              </w:rPr>
              <w:t>66,12</w:t>
            </w:r>
          </w:p>
        </w:tc>
        <w:tc>
          <w:tcPr>
            <w:tcW w:w="376" w:type="pct"/>
            <w:vMerge/>
            <w:vAlign w:val="center"/>
          </w:tcPr>
          <w:p w14:paraId="1D666011" w14:textId="77777777" w:rsidR="00E35EC4" w:rsidRPr="00B450EB" w:rsidRDefault="00E35EC4" w:rsidP="00D203BB">
            <w:pPr>
              <w:spacing w:line="276" w:lineRule="auto"/>
              <w:mirrorIndents/>
              <w:jc w:val="center"/>
              <w:rPr>
                <w:rFonts w:eastAsia="Batang" w:cs="Arial"/>
                <w:sz w:val="14"/>
                <w:szCs w:val="14"/>
              </w:rPr>
            </w:pPr>
          </w:p>
        </w:tc>
        <w:tc>
          <w:tcPr>
            <w:tcW w:w="559" w:type="pct"/>
            <w:vAlign w:val="center"/>
          </w:tcPr>
          <w:p w14:paraId="7B80226C" w14:textId="77777777" w:rsidR="00E35EC4" w:rsidRPr="00B450EB" w:rsidRDefault="00E35EC4" w:rsidP="00D203BB">
            <w:pPr>
              <w:spacing w:line="276" w:lineRule="auto"/>
              <w:mirrorIndents/>
              <w:jc w:val="center"/>
              <w:rPr>
                <w:rFonts w:eastAsia="Batang" w:cs="Arial"/>
                <w:sz w:val="14"/>
                <w:szCs w:val="14"/>
              </w:rPr>
            </w:pPr>
            <w:r w:rsidRPr="00B450EB">
              <w:rPr>
                <w:rFonts w:eastAsia="Batang" w:cs="Arial"/>
                <w:sz w:val="14"/>
                <w:szCs w:val="14"/>
              </w:rPr>
              <w:t>14,13</w:t>
            </w:r>
          </w:p>
        </w:tc>
      </w:tr>
      <w:tr w:rsidR="00EF1937" w:rsidRPr="00B450EB" w14:paraId="17F6066B" w14:textId="77777777" w:rsidTr="00022216">
        <w:trPr>
          <w:trHeight w:val="333"/>
          <w:jc w:val="center"/>
        </w:trPr>
        <w:tc>
          <w:tcPr>
            <w:tcW w:w="413" w:type="pct"/>
            <w:vAlign w:val="center"/>
          </w:tcPr>
          <w:p w14:paraId="35920006"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Cauca</w:t>
            </w:r>
          </w:p>
        </w:tc>
        <w:tc>
          <w:tcPr>
            <w:tcW w:w="416" w:type="pct"/>
            <w:vAlign w:val="center"/>
          </w:tcPr>
          <w:p w14:paraId="3D17C94F"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1.574.506</w:t>
            </w:r>
          </w:p>
        </w:tc>
        <w:tc>
          <w:tcPr>
            <w:tcW w:w="453" w:type="pct"/>
            <w:shd w:val="clear" w:color="auto" w:fill="45B0E1" w:themeFill="accent1" w:themeFillTint="99"/>
          </w:tcPr>
          <w:p w14:paraId="5492C173" w14:textId="77777777" w:rsidR="00E35EC4" w:rsidRPr="00B450EB" w:rsidRDefault="00E35EC4" w:rsidP="00D203BB">
            <w:pPr>
              <w:spacing w:line="276" w:lineRule="auto"/>
              <w:mirrorIndents/>
              <w:jc w:val="center"/>
              <w:rPr>
                <w:rFonts w:cs="Arial"/>
                <w:sz w:val="14"/>
                <w:szCs w:val="14"/>
              </w:rPr>
            </w:pPr>
            <w:r w:rsidRPr="00B450EB">
              <w:rPr>
                <w:rFonts w:cs="Arial"/>
                <w:sz w:val="14"/>
                <w:szCs w:val="14"/>
              </w:rPr>
              <w:t>18,81</w:t>
            </w:r>
          </w:p>
          <w:p w14:paraId="1D144C3F" w14:textId="77777777" w:rsidR="00E35EC4" w:rsidRPr="00B450EB" w:rsidRDefault="00E35EC4" w:rsidP="00D203BB">
            <w:pPr>
              <w:spacing w:line="276" w:lineRule="auto"/>
              <w:mirrorIndents/>
              <w:jc w:val="center"/>
              <w:rPr>
                <w:rFonts w:eastAsia="Calibri" w:cs="Arial"/>
                <w:bCs/>
                <w:sz w:val="14"/>
                <w:szCs w:val="14"/>
              </w:rPr>
            </w:pPr>
          </w:p>
        </w:tc>
        <w:tc>
          <w:tcPr>
            <w:tcW w:w="376" w:type="pct"/>
            <w:vMerge/>
            <w:vAlign w:val="center"/>
          </w:tcPr>
          <w:p w14:paraId="2EBDBCD8" w14:textId="77777777" w:rsidR="00E35EC4" w:rsidRPr="00B450EB" w:rsidRDefault="00E35EC4" w:rsidP="00D203BB">
            <w:pPr>
              <w:spacing w:line="276" w:lineRule="auto"/>
              <w:mirrorIndents/>
              <w:jc w:val="center"/>
              <w:rPr>
                <w:rFonts w:eastAsia="Calibri" w:cs="Arial"/>
                <w:bCs/>
                <w:sz w:val="14"/>
                <w:szCs w:val="14"/>
              </w:rPr>
            </w:pPr>
          </w:p>
        </w:tc>
        <w:tc>
          <w:tcPr>
            <w:tcW w:w="534" w:type="pct"/>
            <w:shd w:val="clear" w:color="auto" w:fill="92D050"/>
            <w:vAlign w:val="center"/>
          </w:tcPr>
          <w:p w14:paraId="40026789"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63,78</w:t>
            </w:r>
          </w:p>
        </w:tc>
        <w:tc>
          <w:tcPr>
            <w:tcW w:w="376" w:type="pct"/>
            <w:vMerge/>
            <w:vAlign w:val="center"/>
          </w:tcPr>
          <w:p w14:paraId="374ACE08"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E97132" w:themeFill="accent2"/>
            <w:vAlign w:val="center"/>
          </w:tcPr>
          <w:p w14:paraId="4BCEEBE3"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46,9</w:t>
            </w:r>
          </w:p>
        </w:tc>
        <w:tc>
          <w:tcPr>
            <w:tcW w:w="376" w:type="pct"/>
            <w:vMerge/>
            <w:vAlign w:val="center"/>
          </w:tcPr>
          <w:p w14:paraId="5C3C3B48"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A02B93" w:themeFill="accent5"/>
            <w:vAlign w:val="center"/>
          </w:tcPr>
          <w:p w14:paraId="0DBB0E81"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79,8</w:t>
            </w:r>
          </w:p>
        </w:tc>
        <w:tc>
          <w:tcPr>
            <w:tcW w:w="376" w:type="pct"/>
            <w:vMerge/>
            <w:vAlign w:val="center"/>
          </w:tcPr>
          <w:p w14:paraId="5C281A11" w14:textId="77777777" w:rsidR="00E35EC4" w:rsidRPr="00B450EB" w:rsidRDefault="00E35EC4" w:rsidP="00D203BB">
            <w:pPr>
              <w:spacing w:line="276" w:lineRule="auto"/>
              <w:mirrorIndents/>
              <w:jc w:val="center"/>
              <w:rPr>
                <w:rFonts w:eastAsia="Calibri" w:cs="Arial"/>
                <w:bCs/>
                <w:sz w:val="14"/>
                <w:szCs w:val="14"/>
              </w:rPr>
            </w:pPr>
          </w:p>
        </w:tc>
        <w:tc>
          <w:tcPr>
            <w:tcW w:w="559" w:type="pct"/>
            <w:vAlign w:val="center"/>
          </w:tcPr>
          <w:p w14:paraId="097CE8A7"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6,13</w:t>
            </w:r>
          </w:p>
        </w:tc>
      </w:tr>
      <w:tr w:rsidR="00EF1937" w:rsidRPr="00B450EB" w14:paraId="58CFAC6A" w14:textId="77777777" w:rsidTr="00022216">
        <w:trPr>
          <w:trHeight w:val="346"/>
          <w:jc w:val="center"/>
        </w:trPr>
        <w:tc>
          <w:tcPr>
            <w:tcW w:w="413" w:type="pct"/>
            <w:vAlign w:val="center"/>
          </w:tcPr>
          <w:p w14:paraId="5460EFBE"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Nariño</w:t>
            </w:r>
          </w:p>
        </w:tc>
        <w:tc>
          <w:tcPr>
            <w:tcW w:w="416" w:type="pct"/>
            <w:vAlign w:val="center"/>
          </w:tcPr>
          <w:p w14:paraId="25DA20B2"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1.709.890</w:t>
            </w:r>
          </w:p>
        </w:tc>
        <w:tc>
          <w:tcPr>
            <w:tcW w:w="453" w:type="pct"/>
            <w:shd w:val="clear" w:color="auto" w:fill="45B0E1" w:themeFill="accent1" w:themeFillTint="99"/>
          </w:tcPr>
          <w:p w14:paraId="3C2509E2" w14:textId="77777777" w:rsidR="00E35EC4" w:rsidRPr="00B450EB" w:rsidRDefault="00E35EC4" w:rsidP="00D203BB">
            <w:pPr>
              <w:spacing w:line="276" w:lineRule="auto"/>
              <w:mirrorIndents/>
              <w:jc w:val="center"/>
              <w:rPr>
                <w:rFonts w:eastAsia="Calibri" w:cs="Arial"/>
                <w:bCs/>
                <w:sz w:val="14"/>
                <w:szCs w:val="14"/>
              </w:rPr>
            </w:pPr>
            <w:r w:rsidRPr="00B450EB">
              <w:rPr>
                <w:rFonts w:cs="Arial"/>
                <w:sz w:val="14"/>
                <w:szCs w:val="14"/>
              </w:rPr>
              <w:t>21,98</w:t>
            </w:r>
          </w:p>
        </w:tc>
        <w:tc>
          <w:tcPr>
            <w:tcW w:w="376" w:type="pct"/>
            <w:vMerge/>
            <w:vAlign w:val="center"/>
          </w:tcPr>
          <w:p w14:paraId="73F8E5EF" w14:textId="77777777" w:rsidR="00E35EC4" w:rsidRPr="00B450EB" w:rsidRDefault="00E35EC4" w:rsidP="00D203BB">
            <w:pPr>
              <w:spacing w:line="276" w:lineRule="auto"/>
              <w:mirrorIndents/>
              <w:jc w:val="center"/>
              <w:rPr>
                <w:rFonts w:eastAsia="Calibri" w:cs="Arial"/>
                <w:bCs/>
                <w:sz w:val="14"/>
                <w:szCs w:val="14"/>
              </w:rPr>
            </w:pPr>
          </w:p>
        </w:tc>
        <w:tc>
          <w:tcPr>
            <w:tcW w:w="534" w:type="pct"/>
            <w:shd w:val="clear" w:color="auto" w:fill="92D050"/>
            <w:vAlign w:val="center"/>
          </w:tcPr>
          <w:p w14:paraId="2E9A02ED"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68,57</w:t>
            </w:r>
          </w:p>
        </w:tc>
        <w:tc>
          <w:tcPr>
            <w:tcW w:w="376" w:type="pct"/>
            <w:vMerge/>
            <w:vAlign w:val="center"/>
          </w:tcPr>
          <w:p w14:paraId="656F16BC"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E97132" w:themeFill="accent2"/>
            <w:vAlign w:val="center"/>
          </w:tcPr>
          <w:p w14:paraId="71C825ED"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46,35</w:t>
            </w:r>
          </w:p>
        </w:tc>
        <w:tc>
          <w:tcPr>
            <w:tcW w:w="376" w:type="pct"/>
            <w:vMerge/>
            <w:vAlign w:val="center"/>
          </w:tcPr>
          <w:p w14:paraId="2663EA10" w14:textId="77777777" w:rsidR="00E35EC4" w:rsidRPr="00B450EB" w:rsidRDefault="00E35EC4" w:rsidP="00D203BB">
            <w:pPr>
              <w:spacing w:line="276" w:lineRule="auto"/>
              <w:mirrorIndents/>
              <w:jc w:val="center"/>
              <w:rPr>
                <w:rFonts w:eastAsia="Calibri" w:cs="Arial"/>
                <w:bCs/>
                <w:sz w:val="14"/>
                <w:szCs w:val="14"/>
              </w:rPr>
            </w:pPr>
          </w:p>
        </w:tc>
        <w:tc>
          <w:tcPr>
            <w:tcW w:w="559" w:type="pct"/>
            <w:shd w:val="clear" w:color="auto" w:fill="A02B93" w:themeFill="accent5"/>
            <w:vAlign w:val="center"/>
          </w:tcPr>
          <w:p w14:paraId="6217301E"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95,1</w:t>
            </w:r>
          </w:p>
        </w:tc>
        <w:tc>
          <w:tcPr>
            <w:tcW w:w="376" w:type="pct"/>
            <w:vMerge/>
            <w:vAlign w:val="center"/>
          </w:tcPr>
          <w:p w14:paraId="2E9DD39A" w14:textId="77777777" w:rsidR="00E35EC4" w:rsidRPr="00B450EB" w:rsidRDefault="00E35EC4" w:rsidP="00D203BB">
            <w:pPr>
              <w:spacing w:line="276" w:lineRule="auto"/>
              <w:mirrorIndents/>
              <w:jc w:val="center"/>
              <w:rPr>
                <w:rFonts w:eastAsia="Calibri" w:cs="Arial"/>
                <w:bCs/>
                <w:sz w:val="14"/>
                <w:szCs w:val="14"/>
              </w:rPr>
            </w:pPr>
          </w:p>
        </w:tc>
        <w:tc>
          <w:tcPr>
            <w:tcW w:w="559" w:type="pct"/>
            <w:vAlign w:val="center"/>
          </w:tcPr>
          <w:p w14:paraId="77CB9994" w14:textId="77777777" w:rsidR="00E35EC4" w:rsidRPr="00B450EB" w:rsidRDefault="00E35EC4" w:rsidP="00D203BB">
            <w:pPr>
              <w:spacing w:line="276" w:lineRule="auto"/>
              <w:mirrorIndents/>
              <w:jc w:val="center"/>
              <w:rPr>
                <w:rFonts w:eastAsia="Calibri" w:cs="Arial"/>
                <w:bCs/>
                <w:sz w:val="14"/>
                <w:szCs w:val="14"/>
              </w:rPr>
            </w:pPr>
            <w:r w:rsidRPr="00B450EB">
              <w:rPr>
                <w:rFonts w:eastAsia="Calibri" w:cs="Arial"/>
                <w:bCs/>
                <w:sz w:val="14"/>
                <w:szCs w:val="14"/>
              </w:rPr>
              <w:t>7,55</w:t>
            </w:r>
          </w:p>
        </w:tc>
      </w:tr>
    </w:tbl>
    <w:p w14:paraId="6F8D7527" w14:textId="77777777" w:rsidR="00702D5A" w:rsidRPr="00B450EB" w:rsidRDefault="00702D5A" w:rsidP="00702D5A">
      <w:pPr>
        <w:spacing w:after="0" w:line="240" w:lineRule="auto"/>
        <w:mirrorIndents/>
        <w:jc w:val="center"/>
        <w:rPr>
          <w:rFonts w:eastAsia="Calibri" w:cs="Arial"/>
          <w:i/>
          <w:iCs/>
          <w:sz w:val="14"/>
          <w:szCs w:val="14"/>
        </w:rPr>
      </w:pPr>
      <w:r w:rsidRPr="00B450EB">
        <w:rPr>
          <w:rFonts w:eastAsia="Calibri" w:cs="Arial"/>
          <w:i/>
          <w:iCs/>
          <w:sz w:val="14"/>
          <w:szCs w:val="14"/>
        </w:rPr>
        <w:t>*Departamentos que integran el área del Bioma Amazónico Colombiano en una proporción parcial, respecto a los demás departamentos.</w:t>
      </w:r>
    </w:p>
    <w:p w14:paraId="20D43DCD" w14:textId="77777777" w:rsidR="00702D5A" w:rsidRPr="00B450EB" w:rsidRDefault="00702D5A" w:rsidP="00702D5A">
      <w:pPr>
        <w:spacing w:line="240" w:lineRule="auto"/>
        <w:mirrorIndents/>
        <w:jc w:val="center"/>
        <w:rPr>
          <w:rFonts w:eastAsia="Calibri" w:cs="Arial"/>
          <w:sz w:val="18"/>
          <w:szCs w:val="18"/>
        </w:rPr>
      </w:pPr>
      <w:r w:rsidRPr="00B450EB">
        <w:rPr>
          <w:rFonts w:eastAsia="Calibri" w:cs="Arial"/>
          <w:sz w:val="18"/>
          <w:szCs w:val="18"/>
        </w:rPr>
        <w:t xml:space="preserve">Fuente: </w:t>
      </w:r>
      <w:r w:rsidRPr="00B450EB">
        <w:rPr>
          <w:sz w:val="18"/>
          <w:szCs w:val="18"/>
        </w:rPr>
        <w:t xml:space="preserve">Elaboración propia a partir de Datos del sistema </w:t>
      </w:r>
      <w:proofErr w:type="spellStart"/>
      <w:r w:rsidRPr="00B450EB">
        <w:rPr>
          <w:i/>
          <w:iCs/>
          <w:sz w:val="18"/>
          <w:szCs w:val="18"/>
        </w:rPr>
        <w:t>TerriDATA</w:t>
      </w:r>
      <w:proofErr w:type="spellEnd"/>
      <w:r w:rsidRPr="00B450EB">
        <w:rPr>
          <w:sz w:val="18"/>
          <w:szCs w:val="18"/>
        </w:rPr>
        <w:t xml:space="preserve">, Departamento Nacional de Planeación (DNP) </w:t>
      </w:r>
      <w:r w:rsidRPr="00B450EB">
        <w:rPr>
          <w:rFonts w:eastAsia="Calibri" w:cs="Arial"/>
          <w:sz w:val="18"/>
          <w:szCs w:val="18"/>
        </w:rPr>
        <w:t>y Departamento Administrativo Nacional de Estadística (DANE), Informes sobre Necesidades básicas insatisfechas (NBI), 2018.</w:t>
      </w:r>
    </w:p>
    <w:p w14:paraId="095392DB" w14:textId="7DC062AB" w:rsidR="00702D5A" w:rsidRPr="00B450EB" w:rsidRDefault="00702D5A" w:rsidP="00702D5A">
      <w:pPr>
        <w:spacing w:line="240" w:lineRule="auto"/>
        <w:mirrorIndents/>
      </w:pPr>
      <w:r w:rsidRPr="00B450EB">
        <w:t xml:space="preserve">Las condiciones sociales se ven agravadas por la limitada cobertura educativa, que en las áreas rurales dispersas se restringe a niveles básicos y presenta altos índices de deserción escolar, así como por la insuficiencia de infraestructura hospitalaria, concentrada en las cabeceras municipales, lo que obliga a comunidades indígenas y campesinas a largos desplazamientos para acceder a servicios especializados. En materia de vivienda, predominan construcciones precarias y sin acceso a servicios públicos domiciliarios, lo que incrementa la vulnerabilidad frente a enfermedades y dificulta la seguridad alimentaria </w:t>
      </w:r>
      <w:sdt>
        <w:sdtPr>
          <w:id w:val="-250196999"/>
          <w:citation/>
        </w:sdtPr>
        <w:sdtContent>
          <w:r w:rsidRPr="00B450EB">
            <w:fldChar w:fldCharType="begin"/>
          </w:r>
          <w:r w:rsidRPr="00B450EB">
            <w:rPr>
              <w:lang w:val="es-ES"/>
            </w:rPr>
            <w:instrText xml:space="preserve"> CITATION Dep18 \l 3082 </w:instrText>
          </w:r>
          <w:r w:rsidRPr="00B450EB">
            <w:fldChar w:fldCharType="separate"/>
          </w:r>
          <w:r w:rsidR="0077091E" w:rsidRPr="00B450EB">
            <w:rPr>
              <w:noProof/>
              <w:lang w:val="es-ES"/>
            </w:rPr>
            <w:t>(Departamento Administrativo Nacional de Estadística (DANE), 2018)</w:t>
          </w:r>
          <w:r w:rsidRPr="00B450EB">
            <w:fldChar w:fldCharType="end"/>
          </w:r>
        </w:sdtContent>
      </w:sdt>
    </w:p>
    <w:p w14:paraId="66358391" w14:textId="0EE57D6E" w:rsidR="00702D5A" w:rsidRPr="00B450EB" w:rsidRDefault="00702D5A" w:rsidP="00702D5A">
      <w:pPr>
        <w:spacing w:line="240" w:lineRule="auto"/>
        <w:mirrorIndents/>
      </w:pPr>
      <w:r w:rsidRPr="00B450EB">
        <w:t xml:space="preserve">En conjunto, estas brechas evidencian un bajo acceso a servicios básicos, reducida conectividad vial y digital muy por debajo del promedio nacional y un desempeño institucional limitado en varios departamentos. Se observa, además, una paradoja: si bien la presencia de comunidades indígenas guarda una relación positiva con la conservación de bosques y ecosistemas, estas mismas comunidades son las más afectadas por la pobreza estructural y la falta de infraestructura social, lo que restringe el goce efectivo de derechos fundamentales y refuerza su dependencia de los recursos del bosque y los ríos como medios primarios de subsistencia </w:t>
      </w:r>
      <w:sdt>
        <w:sdtPr>
          <w:id w:val="478194493"/>
          <w:citation/>
        </w:sdtPr>
        <w:sdtContent>
          <w:r w:rsidRPr="00B450EB">
            <w:fldChar w:fldCharType="begin"/>
          </w:r>
          <w:r w:rsidRPr="00B450EB">
            <w:rPr>
              <w:lang w:val="es-ES"/>
            </w:rPr>
            <w:instrText xml:space="preserve"> CITATION Jor24 \l 3082 </w:instrText>
          </w:r>
          <w:r w:rsidRPr="00B450EB">
            <w:fldChar w:fldCharType="separate"/>
          </w:r>
          <w:r w:rsidR="0077091E" w:rsidRPr="00B450EB">
            <w:rPr>
              <w:noProof/>
              <w:lang w:val="es-ES"/>
            </w:rPr>
            <w:t>(Sánchez, 2024)</w:t>
          </w:r>
          <w:r w:rsidRPr="00B450EB">
            <w:fldChar w:fldCharType="end"/>
          </w:r>
        </w:sdtContent>
      </w:sdt>
      <w:r w:rsidRPr="00B450EB">
        <w:t>.</w:t>
      </w:r>
    </w:p>
    <w:p w14:paraId="23B286EB" w14:textId="77777777" w:rsidR="00D203BB" w:rsidRPr="00B450EB" w:rsidRDefault="00D203BB" w:rsidP="00702D5A">
      <w:pPr>
        <w:spacing w:line="240" w:lineRule="auto"/>
        <w:mirrorIndents/>
      </w:pPr>
    </w:p>
    <w:p w14:paraId="2E0551BB" w14:textId="77777777" w:rsidR="00702D5A" w:rsidRPr="00B450EB" w:rsidRDefault="00702D5A" w:rsidP="00702D5A">
      <w:pPr>
        <w:pStyle w:val="Ttulo3"/>
        <w:numPr>
          <w:ilvl w:val="2"/>
          <w:numId w:val="16"/>
        </w:numPr>
        <w:spacing w:before="0" w:after="0" w:line="240" w:lineRule="auto"/>
        <w:mirrorIndents/>
        <w:rPr>
          <w:rFonts w:cs="Arial"/>
        </w:rPr>
      </w:pPr>
      <w:bookmarkStart w:id="144" w:name="_Toc209722937"/>
      <w:r w:rsidRPr="00B450EB">
        <w:rPr>
          <w:rFonts w:cs="Arial"/>
        </w:rPr>
        <w:lastRenderedPageBreak/>
        <w:t>Economías y medios de vida</w:t>
      </w:r>
      <w:bookmarkEnd w:id="144"/>
    </w:p>
    <w:p w14:paraId="1D1D36AC" w14:textId="77777777" w:rsidR="00702D5A" w:rsidRPr="00B450EB" w:rsidRDefault="00702D5A" w:rsidP="00702D5A">
      <w:pPr>
        <w:spacing w:after="0" w:line="240" w:lineRule="auto"/>
        <w:mirrorIndents/>
      </w:pPr>
    </w:p>
    <w:p w14:paraId="04C71FC2" w14:textId="77777777" w:rsidR="00702D5A" w:rsidRPr="00B450EB" w:rsidRDefault="00702D5A" w:rsidP="00F13488">
      <w:pPr>
        <w:pStyle w:val="Prrafodelista"/>
        <w:numPr>
          <w:ilvl w:val="0"/>
          <w:numId w:val="26"/>
        </w:numPr>
        <w:spacing w:after="0" w:line="240" w:lineRule="auto"/>
        <w:mirrorIndents/>
        <w:rPr>
          <w:i/>
        </w:rPr>
      </w:pPr>
      <w:r w:rsidRPr="00B450EB">
        <w:rPr>
          <w:i/>
        </w:rPr>
        <w:t>Economía actual:</w:t>
      </w:r>
    </w:p>
    <w:p w14:paraId="6619FC96" w14:textId="77777777" w:rsidR="00702D5A" w:rsidRPr="00B450EB" w:rsidRDefault="00702D5A" w:rsidP="00702D5A">
      <w:pPr>
        <w:spacing w:after="0" w:line="240" w:lineRule="auto"/>
        <w:mirrorIndents/>
      </w:pPr>
    </w:p>
    <w:p w14:paraId="0DFBFFA8" w14:textId="00CE3C6C" w:rsidR="00702D5A" w:rsidRPr="00B450EB" w:rsidRDefault="00702D5A" w:rsidP="00702D5A">
      <w:pPr>
        <w:spacing w:line="240" w:lineRule="auto"/>
        <w:mirrorIndents/>
      </w:pPr>
      <w:r w:rsidRPr="00B450EB">
        <w:t xml:space="preserve">Las economías en el Bioma Amazónico Colombiano se distinguen por su baja diversificación productiva y alta dependencia de los recursos naturales, situación que se refleja en la estructura del Producto Interno Bruto (PIB) departamental. En el piedemonte amazónico (Caquetá, Putumayo, Guaviare, Meta, Nariño y Cauca), predomina la producción agropecuaria de pequeña y mediana escala, a lo que se suma una incidencia de la explotación de hidrocarburos y minería. Como se evidencia en la </w:t>
      </w:r>
      <w:r w:rsidRPr="00B450EB">
        <w:fldChar w:fldCharType="begin"/>
      </w:r>
      <w:r w:rsidRPr="00B450EB">
        <w:instrText xml:space="preserve"> REF _Ref209065571 \h </w:instrText>
      </w:r>
      <w:r w:rsidR="006E0BC8" w:rsidRPr="00B450EB">
        <w:instrText xml:space="preserve"> \* MERGEFORMAT </w:instrText>
      </w:r>
      <w:r w:rsidRPr="00B450EB">
        <w:fldChar w:fldCharType="separate"/>
      </w:r>
      <w:r w:rsidR="00010D09" w:rsidRPr="00B450EB">
        <w:t xml:space="preserve">Figura </w:t>
      </w:r>
      <w:r w:rsidR="00010D09" w:rsidRPr="00B450EB">
        <w:rPr>
          <w:noProof/>
        </w:rPr>
        <w:t>69</w:t>
      </w:r>
      <w:r w:rsidRPr="00B450EB">
        <w:fldChar w:fldCharType="end"/>
      </w:r>
      <w:r w:rsidRPr="00B450EB">
        <w:t xml:space="preserve">, el área en explotación de hidrocarburos es notablemente extensa en departamentos como Meta (100.372,67 ha) aunque la proporción de área dentro del Bioma es parcial. Sin embargo, en los departamentos del Putumayo (1.295.023,03 ha) y Caquetá (2.124.204 ha), las actividades extractivas tienen una fuerte incidencia en la economía local. </w:t>
      </w:r>
    </w:p>
    <w:p w14:paraId="178B787F" w14:textId="1816417B" w:rsidR="00702D5A" w:rsidRPr="00B450EB" w:rsidRDefault="00702D5A" w:rsidP="00702D5A">
      <w:pPr>
        <w:pStyle w:val="Descripcin"/>
        <w:mirrorIndents/>
        <w:rPr>
          <w:color w:val="auto"/>
        </w:rPr>
      </w:pPr>
      <w:bookmarkStart w:id="145" w:name="_Ref209065571"/>
      <w:bookmarkStart w:id="146" w:name="_Toc209462757"/>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69</w:t>
      </w:r>
      <w:r w:rsidRPr="00B450EB">
        <w:rPr>
          <w:color w:val="auto"/>
        </w:rPr>
        <w:fldChar w:fldCharType="end"/>
      </w:r>
      <w:bookmarkEnd w:id="145"/>
      <w:r w:rsidRPr="00B450EB">
        <w:rPr>
          <w:color w:val="auto"/>
        </w:rPr>
        <w:t xml:space="preserve">. Áreas dedicadas a la exploración y producción </w:t>
      </w:r>
      <w:proofErr w:type="spellStart"/>
      <w:r w:rsidRPr="00B450EB">
        <w:rPr>
          <w:color w:val="auto"/>
        </w:rPr>
        <w:t>hidrocarburífera</w:t>
      </w:r>
      <w:proofErr w:type="spellEnd"/>
      <w:r w:rsidRPr="00B450EB">
        <w:rPr>
          <w:bCs/>
          <w:color w:val="auto"/>
        </w:rPr>
        <w:t xml:space="preserve"> en los departamentos del Bioma Amazónico Colombiano</w:t>
      </w:r>
      <w:bookmarkEnd w:id="146"/>
    </w:p>
    <w:p w14:paraId="5C9A56E8" w14:textId="77777777" w:rsidR="00702D5A" w:rsidRPr="00B450EB" w:rsidRDefault="00702D5A" w:rsidP="00702D5A">
      <w:pPr>
        <w:pStyle w:val="Descripcin"/>
        <w:mirrorIndents/>
        <w:rPr>
          <w:color w:val="auto"/>
        </w:rPr>
      </w:pPr>
      <w:r w:rsidRPr="00B450EB">
        <w:rPr>
          <w:noProof/>
          <w:color w:val="auto"/>
        </w:rPr>
        <w:drawing>
          <wp:inline distT="0" distB="0" distL="0" distR="0" wp14:anchorId="4B50C1C3" wp14:editId="7A1DDD43">
            <wp:extent cx="5612130" cy="2979420"/>
            <wp:effectExtent l="0" t="0" r="7620" b="11430"/>
            <wp:docPr id="1212552617" name="Gráfico 1">
              <a:extLst xmlns:a="http://schemas.openxmlformats.org/drawingml/2006/main">
                <a:ext uri="{FF2B5EF4-FFF2-40B4-BE49-F238E27FC236}">
                  <a16:creationId xmlns:a16="http://schemas.microsoft.com/office/drawing/2014/main" id="{7B9F4C1E-AAF7-6CD6-4DD8-A8EA520B22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2804FA05" w14:textId="77777777" w:rsidR="00702D5A" w:rsidRPr="00B450EB" w:rsidRDefault="00702D5A" w:rsidP="00702D5A">
      <w:pPr>
        <w:tabs>
          <w:tab w:val="left" w:pos="1294"/>
        </w:tabs>
        <w:spacing w:after="0" w:line="240" w:lineRule="auto"/>
        <w:mirrorIndents/>
        <w:jc w:val="center"/>
        <w:rPr>
          <w:rFonts w:eastAsia="Calibri" w:cs="Arial"/>
          <w:sz w:val="18"/>
          <w:szCs w:val="18"/>
        </w:rPr>
      </w:pPr>
      <w:r w:rsidRPr="00B450EB">
        <w:rPr>
          <w:sz w:val="18"/>
          <w:szCs w:val="18"/>
        </w:rPr>
        <w:t xml:space="preserve">Fuente: Elaboración propia, </w:t>
      </w:r>
      <w:r w:rsidRPr="00B450EB">
        <w:rPr>
          <w:rFonts w:eastAsia="Calibri" w:cs="Arial"/>
          <w:sz w:val="18"/>
          <w:szCs w:val="18"/>
        </w:rPr>
        <w:t>adaptado</w:t>
      </w:r>
      <w:r w:rsidRPr="00B450EB">
        <w:rPr>
          <w:sz w:val="18"/>
          <w:szCs w:val="18"/>
        </w:rPr>
        <w:t xml:space="preserve"> de microficha-</w:t>
      </w:r>
      <w:r w:rsidRPr="00B450EB">
        <w:rPr>
          <w:rFonts w:eastAsia="Calibri" w:cs="Arial"/>
          <w:i/>
          <w:iCs/>
          <w:sz w:val="18"/>
          <w:szCs w:val="18"/>
        </w:rPr>
        <w:t xml:space="preserve">Actividad </w:t>
      </w:r>
      <w:proofErr w:type="spellStart"/>
      <w:r w:rsidRPr="00B450EB">
        <w:rPr>
          <w:rFonts w:eastAsia="Calibri" w:cs="Arial"/>
          <w:i/>
          <w:iCs/>
          <w:sz w:val="18"/>
          <w:szCs w:val="18"/>
        </w:rPr>
        <w:t>hidrocarburífera</w:t>
      </w:r>
      <w:proofErr w:type="spellEnd"/>
      <w:r w:rsidRPr="00B450EB">
        <w:rPr>
          <w:rFonts w:eastAsia="Calibri" w:cs="Arial"/>
          <w:i/>
          <w:iCs/>
          <w:sz w:val="18"/>
          <w:szCs w:val="18"/>
        </w:rPr>
        <w:t xml:space="preserve"> en el bioma amazónico colombiano</w:t>
      </w:r>
      <w:r w:rsidRPr="00B450EB">
        <w:rPr>
          <w:rFonts w:eastAsia="Calibri" w:cs="Arial"/>
          <w:sz w:val="18"/>
          <w:szCs w:val="18"/>
        </w:rPr>
        <w:t>, Observatorio Amazonía, por</w:t>
      </w:r>
      <w:r w:rsidRPr="00B450EB">
        <w:rPr>
          <w:sz w:val="18"/>
          <w:szCs w:val="18"/>
        </w:rPr>
        <w:t xml:space="preserve"> </w:t>
      </w:r>
      <w:r w:rsidRPr="00B450EB">
        <w:rPr>
          <w:rFonts w:eastAsia="Calibri" w:cs="Arial"/>
          <w:sz w:val="18"/>
          <w:szCs w:val="18"/>
        </w:rPr>
        <w:t>Fundación para la Conservación y el Desarrollo Sostenible (FCDS), 2024.</w:t>
      </w:r>
    </w:p>
    <w:p w14:paraId="61F84F55" w14:textId="77777777" w:rsidR="00702D5A" w:rsidRPr="00B450EB" w:rsidRDefault="00702D5A" w:rsidP="00702D5A">
      <w:pPr>
        <w:tabs>
          <w:tab w:val="left" w:pos="1294"/>
        </w:tabs>
        <w:spacing w:after="0" w:line="240" w:lineRule="auto"/>
        <w:mirrorIndents/>
        <w:jc w:val="center"/>
        <w:rPr>
          <w:rFonts w:eastAsia="Calibri" w:cs="Arial"/>
          <w:sz w:val="18"/>
          <w:szCs w:val="18"/>
        </w:rPr>
      </w:pPr>
    </w:p>
    <w:p w14:paraId="0E084E97" w14:textId="586AF658" w:rsidR="00702D5A" w:rsidRPr="00B450EB" w:rsidRDefault="00702D5A" w:rsidP="00702D5A">
      <w:pPr>
        <w:spacing w:line="240" w:lineRule="auto"/>
        <w:mirrorIndents/>
      </w:pPr>
      <w:r w:rsidRPr="00B450EB">
        <w:t xml:space="preserve">Además, las áreas adjudicadas para proyectos mineros (ver </w:t>
      </w:r>
      <w:r w:rsidRPr="00B450EB">
        <w:fldChar w:fldCharType="begin"/>
      </w:r>
      <w:r w:rsidRPr="00B450EB">
        <w:instrText xml:space="preserve"> REF _Ref209065581 \h </w:instrText>
      </w:r>
      <w:r w:rsidR="006E0BC8" w:rsidRPr="00B450EB">
        <w:instrText xml:space="preserve"> \* MERGEFORMAT </w:instrText>
      </w:r>
      <w:r w:rsidRPr="00B450EB">
        <w:fldChar w:fldCharType="separate"/>
      </w:r>
      <w:r w:rsidR="00010D09" w:rsidRPr="00B450EB">
        <w:t xml:space="preserve">Figura </w:t>
      </w:r>
      <w:r w:rsidR="00010D09" w:rsidRPr="00B450EB">
        <w:rPr>
          <w:noProof/>
        </w:rPr>
        <w:t>70</w:t>
      </w:r>
      <w:r w:rsidRPr="00B450EB">
        <w:fldChar w:fldCharType="end"/>
      </w:r>
      <w:r w:rsidRPr="00B450EB">
        <w:t>) y de explotación de recursos naturales también tienen una alta presencia en algunos departamentos, como lo reflejan las áreas adjudicadas en Guainía (96.476 ha), Vaupés (14.484 ha), Putumayo (11.238 ha) y Guaviare (6.335 ha).</w:t>
      </w:r>
    </w:p>
    <w:p w14:paraId="6B8673A9" w14:textId="77777777" w:rsidR="00D203BB" w:rsidRPr="00B450EB" w:rsidRDefault="00D203BB" w:rsidP="00702D5A">
      <w:pPr>
        <w:spacing w:line="240" w:lineRule="auto"/>
        <w:mirrorIndents/>
      </w:pPr>
    </w:p>
    <w:p w14:paraId="77EECBB6" w14:textId="77777777" w:rsidR="00D203BB" w:rsidRPr="00B450EB" w:rsidRDefault="00D203BB" w:rsidP="00702D5A">
      <w:pPr>
        <w:spacing w:line="240" w:lineRule="auto"/>
        <w:mirrorIndents/>
      </w:pPr>
    </w:p>
    <w:p w14:paraId="6FBBC11B" w14:textId="77777777" w:rsidR="00702D5A" w:rsidRPr="00B450EB" w:rsidRDefault="00702D5A" w:rsidP="00702D5A">
      <w:pPr>
        <w:tabs>
          <w:tab w:val="left" w:pos="1294"/>
        </w:tabs>
        <w:spacing w:after="0" w:line="240" w:lineRule="auto"/>
        <w:mirrorIndents/>
        <w:jc w:val="center"/>
        <w:rPr>
          <w:i/>
          <w:sz w:val="18"/>
          <w:szCs w:val="18"/>
        </w:rPr>
      </w:pPr>
    </w:p>
    <w:p w14:paraId="10EC293D" w14:textId="4B0A5861" w:rsidR="00702D5A" w:rsidRPr="00B450EB" w:rsidRDefault="00702D5A" w:rsidP="00702D5A">
      <w:pPr>
        <w:pStyle w:val="Descripcin"/>
        <w:mirrorIndents/>
        <w:rPr>
          <w:color w:val="auto"/>
        </w:rPr>
      </w:pPr>
      <w:r w:rsidRPr="00B450EB">
        <w:rPr>
          <w:color w:val="auto"/>
        </w:rPr>
        <w:tab/>
      </w:r>
      <w:bookmarkStart w:id="147" w:name="_Ref209065581"/>
      <w:bookmarkStart w:id="148" w:name="_Toc209462758"/>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70</w:t>
      </w:r>
      <w:r w:rsidRPr="00B450EB">
        <w:rPr>
          <w:color w:val="auto"/>
        </w:rPr>
        <w:fldChar w:fldCharType="end"/>
      </w:r>
      <w:bookmarkEnd w:id="147"/>
      <w:r w:rsidRPr="00B450EB">
        <w:rPr>
          <w:color w:val="auto"/>
        </w:rPr>
        <w:t>. Áreas de minería adjudicadas en los departamentos del Bioma Amazónico Colombiano</w:t>
      </w:r>
      <w:bookmarkEnd w:id="148"/>
    </w:p>
    <w:p w14:paraId="4EF6C986" w14:textId="77777777" w:rsidR="00702D5A" w:rsidRPr="00B450EB" w:rsidRDefault="00702D5A" w:rsidP="00702D5A">
      <w:pPr>
        <w:spacing w:after="0" w:line="240" w:lineRule="auto"/>
        <w:mirrorIndents/>
        <w:jc w:val="center"/>
      </w:pPr>
      <w:r w:rsidRPr="00B450EB">
        <w:rPr>
          <w:noProof/>
        </w:rPr>
        <w:drawing>
          <wp:inline distT="0" distB="0" distL="0" distR="0" wp14:anchorId="775EFF1F" wp14:editId="66BE436E">
            <wp:extent cx="4376791" cy="2424701"/>
            <wp:effectExtent l="0" t="0" r="5080" b="13970"/>
            <wp:docPr id="124925707" name="Gráfico 1">
              <a:extLst xmlns:a="http://schemas.openxmlformats.org/drawingml/2006/main">
                <a:ext uri="{FF2B5EF4-FFF2-40B4-BE49-F238E27FC236}">
                  <a16:creationId xmlns:a16="http://schemas.microsoft.com/office/drawing/2014/main" id="{D4F9D17A-7746-F9F4-D747-B9FF30D237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6C9DF4A4" w14:textId="77777777" w:rsidR="00702D5A" w:rsidRPr="00B450EB" w:rsidRDefault="00702D5A" w:rsidP="00702D5A">
      <w:pPr>
        <w:tabs>
          <w:tab w:val="left" w:pos="1294"/>
        </w:tabs>
        <w:spacing w:after="0" w:line="240" w:lineRule="auto"/>
        <w:mirrorIndents/>
        <w:jc w:val="center"/>
        <w:rPr>
          <w:sz w:val="18"/>
          <w:szCs w:val="18"/>
        </w:rPr>
      </w:pPr>
      <w:r w:rsidRPr="00B450EB">
        <w:rPr>
          <w:sz w:val="18"/>
          <w:szCs w:val="18"/>
        </w:rPr>
        <w:t xml:space="preserve">Fuente: Elaboración propia, </w:t>
      </w:r>
      <w:r w:rsidRPr="00B450EB">
        <w:rPr>
          <w:rFonts w:eastAsia="Calibri" w:cs="Arial"/>
          <w:sz w:val="18"/>
          <w:szCs w:val="18"/>
        </w:rPr>
        <w:t>adaptado</w:t>
      </w:r>
      <w:r w:rsidRPr="00B450EB">
        <w:rPr>
          <w:sz w:val="18"/>
          <w:szCs w:val="18"/>
        </w:rPr>
        <w:t xml:space="preserve"> de microficha-</w:t>
      </w:r>
      <w:r w:rsidRPr="00B450EB">
        <w:rPr>
          <w:i/>
          <w:iCs/>
          <w:sz w:val="18"/>
          <w:szCs w:val="18"/>
        </w:rPr>
        <w:t>Minería en el bioma amazónico colombiano (Microficha)</w:t>
      </w:r>
      <w:r w:rsidRPr="00B450EB">
        <w:rPr>
          <w:sz w:val="18"/>
          <w:szCs w:val="18"/>
        </w:rPr>
        <w:t xml:space="preserve">, Observatorio Amazonía, </w:t>
      </w:r>
      <w:r w:rsidRPr="00B450EB">
        <w:rPr>
          <w:rFonts w:eastAsia="Calibri" w:cs="Arial"/>
          <w:sz w:val="18"/>
          <w:szCs w:val="18"/>
        </w:rPr>
        <w:t>Observatorio Amazonía, por Fundación para la Conservación y el Desarrollo Sostenible (FCDS), 2024.</w:t>
      </w:r>
    </w:p>
    <w:p w14:paraId="02BF250D" w14:textId="77777777" w:rsidR="00702D5A" w:rsidRPr="00B450EB" w:rsidRDefault="00702D5A" w:rsidP="00702D5A">
      <w:pPr>
        <w:spacing w:after="0" w:line="240" w:lineRule="auto"/>
        <w:mirrorIndents/>
      </w:pPr>
    </w:p>
    <w:p w14:paraId="79FD25BB" w14:textId="77777777" w:rsidR="00702D5A" w:rsidRPr="00B450EB" w:rsidRDefault="00702D5A" w:rsidP="00702D5A">
      <w:pPr>
        <w:spacing w:line="240" w:lineRule="auto"/>
        <w:mirrorIndents/>
      </w:pPr>
      <w:r w:rsidRPr="00B450EB">
        <w:t xml:space="preserve">A pesar del predominio del sector extractivo, la agricultura sigue siendo un sector vital para la economía en departamentos como el Caquetá y Guaviare, la cual representa entre el 18% y el 24% de la economía departamental, reforzando el papel central de la ganadería extensiva, los cultivos de </w:t>
      </w:r>
      <w:proofErr w:type="spellStart"/>
      <w:r w:rsidRPr="00B450EB">
        <w:t>pancoger</w:t>
      </w:r>
      <w:proofErr w:type="spellEnd"/>
      <w:r w:rsidRPr="00B450EB">
        <w:t xml:space="preserve"> y los sistemas agroforestales. La existencia de corredores viales y fluviales facilita la integración a mercados nacionales, pero también potencia los procesos de deforestación y transformación de suelos en áreas agropecuarias. </w:t>
      </w:r>
    </w:p>
    <w:p w14:paraId="7F9D781C" w14:textId="733E511C" w:rsidR="00702D5A" w:rsidRPr="00B450EB" w:rsidRDefault="00702D5A" w:rsidP="00702D5A">
      <w:pPr>
        <w:spacing w:line="240" w:lineRule="auto"/>
        <w:mirrorIndents/>
      </w:pPr>
      <w:r w:rsidRPr="00B450EB">
        <w:t xml:space="preserve">En contraste, la planicie amazónica (Amazonas, Guainía, Vaupés y Vichada) presenta economías más frágiles, con fuerte dependencia de la agricultura y actividades de subsistencia. El caso más ilustrativo es Vichada, donde la agricultura representa el 38,8% del PIB, mientras que en Amazonas alcanza el 21,9% y en Vaupés el 24,5%, muy por encima del promedio nacional (7,5%). En estos territorios, la explotación minera y las industrias manufactureras son marginales (&lt;1%), lo que refuerza el rol de la pesca, las chagras indígenas, la recolección y la artesanía como medios de vida predominantes </w:t>
      </w:r>
      <w:sdt>
        <w:sdtPr>
          <w:id w:val="1750698131"/>
          <w:citation/>
        </w:sdtPr>
        <w:sdtContent>
          <w:r w:rsidRPr="00B450EB">
            <w:fldChar w:fldCharType="begin"/>
          </w:r>
          <w:r w:rsidRPr="00B450EB">
            <w:rPr>
              <w:lang w:val="es-ES"/>
            </w:rPr>
            <w:instrText xml:space="preserve"> CITATION Jor24 \l 3082 </w:instrText>
          </w:r>
          <w:r w:rsidRPr="00B450EB">
            <w:fldChar w:fldCharType="separate"/>
          </w:r>
          <w:r w:rsidR="0077091E" w:rsidRPr="00B450EB">
            <w:rPr>
              <w:noProof/>
              <w:lang w:val="es-ES"/>
            </w:rPr>
            <w:t>(Sánchez, 2024)</w:t>
          </w:r>
          <w:r w:rsidRPr="00B450EB">
            <w:fldChar w:fldCharType="end"/>
          </w:r>
        </w:sdtContent>
      </w:sdt>
    </w:p>
    <w:p w14:paraId="5715C0C8" w14:textId="12986AC2" w:rsidR="00702D5A" w:rsidRPr="00B450EB" w:rsidRDefault="00702D5A" w:rsidP="00702D5A">
      <w:pPr>
        <w:pStyle w:val="Descripcin"/>
        <w:rPr>
          <w:color w:val="auto"/>
        </w:rPr>
      </w:pPr>
      <w:bookmarkStart w:id="149" w:name="_Toc209723001"/>
      <w:r w:rsidRPr="00B450EB">
        <w:rPr>
          <w:color w:val="auto"/>
        </w:rPr>
        <w:t xml:space="preserve">Tabla </w:t>
      </w:r>
      <w:r w:rsidRPr="00B450EB">
        <w:rPr>
          <w:color w:val="auto"/>
        </w:rPr>
        <w:fldChar w:fldCharType="begin"/>
      </w:r>
      <w:r w:rsidRPr="00B450EB">
        <w:rPr>
          <w:color w:val="auto"/>
        </w:rPr>
        <w:instrText>SEQ Tabla \* ARABIC</w:instrText>
      </w:r>
      <w:r w:rsidRPr="00B450EB">
        <w:rPr>
          <w:color w:val="auto"/>
        </w:rPr>
        <w:fldChar w:fldCharType="separate"/>
      </w:r>
      <w:r w:rsidR="009765C2" w:rsidRPr="00B450EB">
        <w:rPr>
          <w:noProof/>
          <w:color w:val="auto"/>
        </w:rPr>
        <w:t>18</w:t>
      </w:r>
      <w:r w:rsidRPr="00B450EB">
        <w:rPr>
          <w:color w:val="auto"/>
        </w:rPr>
        <w:fldChar w:fldCharType="end"/>
      </w:r>
      <w:r w:rsidRPr="00B450EB">
        <w:rPr>
          <w:color w:val="auto"/>
        </w:rPr>
        <w:t>. Porcentaje de PIB por actividades económicas en los departamentos del Bioma Amazónico Colombiano frente al PBI nacional</w:t>
      </w:r>
      <w:bookmarkEnd w:id="149"/>
    </w:p>
    <w:tbl>
      <w:tblPr>
        <w:tblW w:w="5120" w:type="pct"/>
        <w:jc w:val="center"/>
        <w:tblCellMar>
          <w:left w:w="70" w:type="dxa"/>
          <w:right w:w="70" w:type="dxa"/>
        </w:tblCellMar>
        <w:tblLook w:val="04A0" w:firstRow="1" w:lastRow="0" w:firstColumn="1" w:lastColumn="0" w:noHBand="0" w:noVBand="1"/>
      </w:tblPr>
      <w:tblGrid>
        <w:gridCol w:w="1261"/>
        <w:gridCol w:w="1287"/>
        <w:gridCol w:w="1181"/>
        <w:gridCol w:w="1038"/>
        <w:gridCol w:w="878"/>
        <w:gridCol w:w="1172"/>
        <w:gridCol w:w="1047"/>
        <w:gridCol w:w="1341"/>
      </w:tblGrid>
      <w:tr w:rsidR="00EF1937" w:rsidRPr="00B450EB" w14:paraId="2C7187C9" w14:textId="77777777" w:rsidTr="0083470A">
        <w:trPr>
          <w:trHeight w:val="63"/>
          <w:tblHeader/>
          <w:jc w:val="center"/>
        </w:trPr>
        <w:tc>
          <w:tcPr>
            <w:tcW w:w="684" w:type="pct"/>
            <w:vMerge w:val="restart"/>
            <w:tcBorders>
              <w:top w:val="single" w:sz="4" w:space="0" w:color="auto"/>
              <w:left w:val="single" w:sz="4" w:space="0" w:color="auto"/>
              <w:bottom w:val="single" w:sz="4" w:space="0" w:color="000000"/>
              <w:right w:val="single" w:sz="4" w:space="0" w:color="auto"/>
            </w:tcBorders>
            <w:shd w:val="clear" w:color="auto" w:fill="D9F2D0" w:themeFill="accent6" w:themeFillTint="33"/>
            <w:vAlign w:val="center"/>
            <w:hideMark/>
          </w:tcPr>
          <w:p w14:paraId="7891A72C"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Departamento/ Nacional</w:t>
            </w:r>
          </w:p>
        </w:tc>
        <w:tc>
          <w:tcPr>
            <w:tcW w:w="699" w:type="pct"/>
            <w:tcBorders>
              <w:top w:val="single" w:sz="4" w:space="0" w:color="auto"/>
              <w:left w:val="nil"/>
              <w:bottom w:val="single" w:sz="4" w:space="0" w:color="auto"/>
              <w:right w:val="single" w:sz="4" w:space="0" w:color="auto"/>
            </w:tcBorders>
            <w:shd w:val="clear" w:color="auto" w:fill="D9F2D0" w:themeFill="accent6" w:themeFillTint="33"/>
          </w:tcPr>
          <w:p w14:paraId="06C7401E"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p>
        </w:tc>
        <w:tc>
          <w:tcPr>
            <w:tcW w:w="3617" w:type="pct"/>
            <w:gridSpan w:val="6"/>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hideMark/>
          </w:tcPr>
          <w:p w14:paraId="24F37F90"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Porcentaje del PIB por actividades económicas</w:t>
            </w:r>
          </w:p>
        </w:tc>
      </w:tr>
      <w:tr w:rsidR="00EF1937" w:rsidRPr="00B450EB" w14:paraId="50156324" w14:textId="77777777" w:rsidTr="0083470A">
        <w:trPr>
          <w:trHeight w:val="351"/>
          <w:tblHeader/>
          <w:jc w:val="center"/>
        </w:trPr>
        <w:tc>
          <w:tcPr>
            <w:tcW w:w="684" w:type="pct"/>
            <w:vMerge/>
            <w:tcBorders>
              <w:top w:val="single" w:sz="4" w:space="0" w:color="auto"/>
              <w:left w:val="single" w:sz="4" w:space="0" w:color="auto"/>
              <w:bottom w:val="single" w:sz="4" w:space="0" w:color="000000"/>
              <w:right w:val="single" w:sz="4" w:space="0" w:color="auto"/>
            </w:tcBorders>
            <w:shd w:val="clear" w:color="auto" w:fill="D9F2D0" w:themeFill="accent6" w:themeFillTint="33"/>
            <w:vAlign w:val="center"/>
            <w:hideMark/>
          </w:tcPr>
          <w:p w14:paraId="1A730702"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p>
        </w:tc>
        <w:tc>
          <w:tcPr>
            <w:tcW w:w="699" w:type="pct"/>
            <w:tcBorders>
              <w:top w:val="single" w:sz="4" w:space="0" w:color="auto"/>
              <w:left w:val="nil"/>
              <w:bottom w:val="single" w:sz="4" w:space="0" w:color="auto"/>
              <w:right w:val="single" w:sz="4" w:space="0" w:color="auto"/>
            </w:tcBorders>
            <w:shd w:val="clear" w:color="auto" w:fill="D9F2D0" w:themeFill="accent6" w:themeFillTint="33"/>
          </w:tcPr>
          <w:p w14:paraId="48AD6004" w14:textId="2615C531" w:rsidR="00702D5A" w:rsidRPr="00B450EB" w:rsidRDefault="00702D5A" w:rsidP="00D203BB">
            <w:pPr>
              <w:spacing w:after="0" w:line="276" w:lineRule="auto"/>
              <w:jc w:val="center"/>
              <w:rPr>
                <w:rFonts w:eastAsia="Times New Roman" w:cs="Arial"/>
                <w:b/>
                <w:kern w:val="0"/>
                <w:sz w:val="16"/>
                <w:szCs w:val="16"/>
                <w:lang w:eastAsia="es-CO"/>
                <w14:ligatures w14:val="none"/>
              </w:rPr>
            </w:pPr>
            <w:r w:rsidRPr="00B450EB">
              <w:rPr>
                <w:rFonts w:eastAsia="Times New Roman" w:cs="Arial"/>
                <w:b/>
                <w:kern w:val="0"/>
                <w:sz w:val="16"/>
                <w:szCs w:val="16"/>
                <w:lang w:eastAsia="es-CO"/>
                <w14:ligatures w14:val="none"/>
              </w:rPr>
              <w:t xml:space="preserve">% </w:t>
            </w:r>
            <w:r w:rsidR="0083470A" w:rsidRPr="00B450EB">
              <w:rPr>
                <w:rFonts w:eastAsia="Times New Roman" w:cs="Arial"/>
                <w:b/>
                <w:kern w:val="0"/>
                <w:sz w:val="16"/>
                <w:szCs w:val="16"/>
                <w:lang w:eastAsia="es-CO"/>
                <w14:ligatures w14:val="none"/>
              </w:rPr>
              <w:t>Porcentaje del área de los departamentos dentro del bioma</w:t>
            </w:r>
          </w:p>
        </w:tc>
        <w:tc>
          <w:tcPr>
            <w:tcW w:w="641" w:type="pct"/>
            <w:tcBorders>
              <w:top w:val="nil"/>
              <w:left w:val="single" w:sz="4" w:space="0" w:color="auto"/>
              <w:bottom w:val="single" w:sz="4" w:space="0" w:color="auto"/>
              <w:right w:val="single" w:sz="4" w:space="0" w:color="auto"/>
            </w:tcBorders>
            <w:shd w:val="clear" w:color="auto" w:fill="D9F2D0" w:themeFill="accent6" w:themeFillTint="33"/>
            <w:vAlign w:val="center"/>
            <w:hideMark/>
          </w:tcPr>
          <w:p w14:paraId="3E49576A"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Actividades profesionales</w:t>
            </w:r>
          </w:p>
        </w:tc>
        <w:tc>
          <w:tcPr>
            <w:tcW w:w="564" w:type="pct"/>
            <w:tcBorders>
              <w:top w:val="nil"/>
              <w:left w:val="nil"/>
              <w:bottom w:val="single" w:sz="4" w:space="0" w:color="auto"/>
              <w:right w:val="single" w:sz="4" w:space="0" w:color="auto"/>
            </w:tcBorders>
            <w:shd w:val="clear" w:color="auto" w:fill="D9F2D0" w:themeFill="accent6" w:themeFillTint="33"/>
            <w:vAlign w:val="center"/>
            <w:hideMark/>
          </w:tcPr>
          <w:p w14:paraId="1EAB4ECF"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Agricultura, ganadería, caza, silvicultura y pesca</w:t>
            </w:r>
          </w:p>
        </w:tc>
        <w:tc>
          <w:tcPr>
            <w:tcW w:w="478" w:type="pct"/>
            <w:tcBorders>
              <w:top w:val="nil"/>
              <w:left w:val="nil"/>
              <w:bottom w:val="single" w:sz="4" w:space="0" w:color="auto"/>
              <w:right w:val="single" w:sz="4" w:space="0" w:color="auto"/>
            </w:tcBorders>
            <w:shd w:val="clear" w:color="auto" w:fill="D9F2D0" w:themeFill="accent6" w:themeFillTint="33"/>
            <w:vAlign w:val="center"/>
            <w:hideMark/>
          </w:tcPr>
          <w:p w14:paraId="2CFB11C0"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Comercio</w:t>
            </w:r>
          </w:p>
        </w:tc>
        <w:tc>
          <w:tcPr>
            <w:tcW w:w="637" w:type="pct"/>
            <w:tcBorders>
              <w:top w:val="nil"/>
              <w:left w:val="nil"/>
              <w:bottom w:val="single" w:sz="4" w:space="0" w:color="auto"/>
              <w:right w:val="single" w:sz="4" w:space="0" w:color="auto"/>
            </w:tcBorders>
            <w:shd w:val="clear" w:color="auto" w:fill="D9F2D0" w:themeFill="accent6" w:themeFillTint="33"/>
            <w:vAlign w:val="center"/>
            <w:hideMark/>
          </w:tcPr>
          <w:p w14:paraId="36E4AF38"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Construcción</w:t>
            </w:r>
          </w:p>
        </w:tc>
        <w:tc>
          <w:tcPr>
            <w:tcW w:w="569" w:type="pct"/>
            <w:tcBorders>
              <w:top w:val="nil"/>
              <w:left w:val="nil"/>
              <w:bottom w:val="single" w:sz="4" w:space="0" w:color="auto"/>
              <w:right w:val="single" w:sz="4" w:space="0" w:color="auto"/>
            </w:tcBorders>
            <w:shd w:val="clear" w:color="auto" w:fill="D9F2D0" w:themeFill="accent6" w:themeFillTint="33"/>
            <w:vAlign w:val="center"/>
            <w:hideMark/>
          </w:tcPr>
          <w:p w14:paraId="7E22C138"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Explotación de minas y canteras</w:t>
            </w:r>
          </w:p>
        </w:tc>
        <w:tc>
          <w:tcPr>
            <w:tcW w:w="728" w:type="pct"/>
            <w:tcBorders>
              <w:top w:val="nil"/>
              <w:left w:val="nil"/>
              <w:bottom w:val="single" w:sz="4" w:space="0" w:color="auto"/>
              <w:right w:val="single" w:sz="4" w:space="0" w:color="auto"/>
            </w:tcBorders>
            <w:shd w:val="clear" w:color="auto" w:fill="D9F2D0" w:themeFill="accent6" w:themeFillTint="33"/>
            <w:vAlign w:val="center"/>
            <w:hideMark/>
          </w:tcPr>
          <w:p w14:paraId="165B854C"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Industrias manufactureras</w:t>
            </w:r>
          </w:p>
        </w:tc>
      </w:tr>
      <w:tr w:rsidR="00EF1937" w:rsidRPr="00B450EB" w14:paraId="2F26800B"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5F892E3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Colombia</w:t>
            </w:r>
          </w:p>
        </w:tc>
        <w:tc>
          <w:tcPr>
            <w:tcW w:w="699" w:type="pct"/>
            <w:tcBorders>
              <w:top w:val="single" w:sz="4" w:space="0" w:color="auto"/>
              <w:left w:val="nil"/>
              <w:bottom w:val="single" w:sz="4" w:space="0" w:color="auto"/>
              <w:right w:val="single" w:sz="4" w:space="0" w:color="auto"/>
            </w:tcBorders>
          </w:tcPr>
          <w:p w14:paraId="2CBE375D"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 -</w:t>
            </w:r>
          </w:p>
        </w:tc>
        <w:tc>
          <w:tcPr>
            <w:tcW w:w="641" w:type="pct"/>
            <w:tcBorders>
              <w:top w:val="nil"/>
              <w:left w:val="single" w:sz="4" w:space="0" w:color="auto"/>
              <w:bottom w:val="single" w:sz="4" w:space="0" w:color="auto"/>
              <w:right w:val="single" w:sz="4" w:space="0" w:color="auto"/>
            </w:tcBorders>
            <w:vAlign w:val="center"/>
            <w:hideMark/>
          </w:tcPr>
          <w:p w14:paraId="185EC6A6"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8,31</w:t>
            </w:r>
          </w:p>
        </w:tc>
        <w:tc>
          <w:tcPr>
            <w:tcW w:w="564" w:type="pct"/>
            <w:tcBorders>
              <w:top w:val="nil"/>
              <w:left w:val="nil"/>
              <w:bottom w:val="single" w:sz="4" w:space="0" w:color="auto"/>
              <w:right w:val="single" w:sz="4" w:space="0" w:color="auto"/>
            </w:tcBorders>
            <w:vAlign w:val="center"/>
            <w:hideMark/>
          </w:tcPr>
          <w:p w14:paraId="06F79C4F"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7,55</w:t>
            </w:r>
          </w:p>
        </w:tc>
        <w:tc>
          <w:tcPr>
            <w:tcW w:w="478" w:type="pct"/>
            <w:tcBorders>
              <w:top w:val="nil"/>
              <w:left w:val="nil"/>
              <w:bottom w:val="single" w:sz="4" w:space="0" w:color="auto"/>
              <w:right w:val="single" w:sz="4" w:space="0" w:color="auto"/>
            </w:tcBorders>
            <w:vAlign w:val="center"/>
            <w:hideMark/>
          </w:tcPr>
          <w:p w14:paraId="6434398B"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11,52</w:t>
            </w:r>
          </w:p>
        </w:tc>
        <w:tc>
          <w:tcPr>
            <w:tcW w:w="637" w:type="pct"/>
            <w:tcBorders>
              <w:top w:val="nil"/>
              <w:left w:val="nil"/>
              <w:bottom w:val="single" w:sz="4" w:space="0" w:color="auto"/>
              <w:right w:val="single" w:sz="4" w:space="0" w:color="auto"/>
            </w:tcBorders>
            <w:vAlign w:val="center"/>
            <w:hideMark/>
          </w:tcPr>
          <w:p w14:paraId="4290883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4,12</w:t>
            </w:r>
          </w:p>
        </w:tc>
        <w:tc>
          <w:tcPr>
            <w:tcW w:w="569" w:type="pct"/>
            <w:tcBorders>
              <w:top w:val="nil"/>
              <w:left w:val="nil"/>
              <w:bottom w:val="single" w:sz="4" w:space="0" w:color="auto"/>
              <w:right w:val="single" w:sz="4" w:space="0" w:color="auto"/>
            </w:tcBorders>
            <w:vAlign w:val="center"/>
            <w:hideMark/>
          </w:tcPr>
          <w:p w14:paraId="3DC5EC49"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18,10</w:t>
            </w:r>
          </w:p>
        </w:tc>
        <w:tc>
          <w:tcPr>
            <w:tcW w:w="728" w:type="pct"/>
            <w:tcBorders>
              <w:top w:val="nil"/>
              <w:left w:val="nil"/>
              <w:bottom w:val="single" w:sz="4" w:space="0" w:color="auto"/>
              <w:right w:val="single" w:sz="4" w:space="0" w:color="auto"/>
            </w:tcBorders>
            <w:vAlign w:val="center"/>
            <w:hideMark/>
          </w:tcPr>
          <w:p w14:paraId="6D068B9A"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6,24</w:t>
            </w:r>
          </w:p>
        </w:tc>
      </w:tr>
      <w:tr w:rsidR="00EF1937" w:rsidRPr="00B450EB" w14:paraId="7EAD914E"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730AEB74"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Amazonas</w:t>
            </w:r>
          </w:p>
        </w:tc>
        <w:tc>
          <w:tcPr>
            <w:tcW w:w="699" w:type="pct"/>
            <w:tcBorders>
              <w:top w:val="single" w:sz="4" w:space="0" w:color="auto"/>
              <w:left w:val="nil"/>
              <w:bottom w:val="single" w:sz="4" w:space="0" w:color="auto"/>
              <w:right w:val="single" w:sz="4" w:space="0" w:color="auto"/>
            </w:tcBorders>
          </w:tcPr>
          <w:p w14:paraId="04F7A998"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22,51</w:t>
            </w:r>
          </w:p>
        </w:tc>
        <w:tc>
          <w:tcPr>
            <w:tcW w:w="641" w:type="pct"/>
            <w:tcBorders>
              <w:top w:val="nil"/>
              <w:left w:val="single" w:sz="4" w:space="0" w:color="auto"/>
              <w:bottom w:val="single" w:sz="4" w:space="0" w:color="auto"/>
              <w:right w:val="single" w:sz="4" w:space="0" w:color="auto"/>
            </w:tcBorders>
            <w:vAlign w:val="center"/>
            <w:hideMark/>
          </w:tcPr>
          <w:p w14:paraId="2C31E7CA"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0,33</w:t>
            </w:r>
          </w:p>
        </w:tc>
        <w:tc>
          <w:tcPr>
            <w:tcW w:w="564" w:type="pct"/>
            <w:tcBorders>
              <w:top w:val="nil"/>
              <w:left w:val="nil"/>
              <w:bottom w:val="single" w:sz="4" w:space="0" w:color="auto"/>
              <w:right w:val="single" w:sz="4" w:space="0" w:color="auto"/>
            </w:tcBorders>
            <w:vAlign w:val="center"/>
            <w:hideMark/>
          </w:tcPr>
          <w:p w14:paraId="1195F35F"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21,91</w:t>
            </w:r>
          </w:p>
        </w:tc>
        <w:tc>
          <w:tcPr>
            <w:tcW w:w="478" w:type="pct"/>
            <w:tcBorders>
              <w:top w:val="nil"/>
              <w:left w:val="nil"/>
              <w:bottom w:val="single" w:sz="4" w:space="0" w:color="auto"/>
              <w:right w:val="single" w:sz="4" w:space="0" w:color="auto"/>
            </w:tcBorders>
            <w:vAlign w:val="center"/>
            <w:hideMark/>
          </w:tcPr>
          <w:p w14:paraId="40A645D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27,93</w:t>
            </w:r>
          </w:p>
        </w:tc>
        <w:tc>
          <w:tcPr>
            <w:tcW w:w="637" w:type="pct"/>
            <w:tcBorders>
              <w:top w:val="nil"/>
              <w:left w:val="nil"/>
              <w:bottom w:val="single" w:sz="4" w:space="0" w:color="auto"/>
              <w:right w:val="single" w:sz="4" w:space="0" w:color="auto"/>
            </w:tcBorders>
            <w:vAlign w:val="center"/>
            <w:hideMark/>
          </w:tcPr>
          <w:p w14:paraId="45D17FFA"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2,87</w:t>
            </w:r>
          </w:p>
        </w:tc>
        <w:tc>
          <w:tcPr>
            <w:tcW w:w="569" w:type="pct"/>
            <w:tcBorders>
              <w:top w:val="nil"/>
              <w:left w:val="nil"/>
              <w:bottom w:val="single" w:sz="4" w:space="0" w:color="auto"/>
              <w:right w:val="single" w:sz="4" w:space="0" w:color="auto"/>
            </w:tcBorders>
            <w:vAlign w:val="center"/>
            <w:hideMark/>
          </w:tcPr>
          <w:p w14:paraId="112768DF"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0,13</w:t>
            </w:r>
          </w:p>
        </w:tc>
        <w:tc>
          <w:tcPr>
            <w:tcW w:w="728" w:type="pct"/>
            <w:tcBorders>
              <w:top w:val="nil"/>
              <w:left w:val="nil"/>
              <w:bottom w:val="single" w:sz="4" w:space="0" w:color="auto"/>
              <w:right w:val="single" w:sz="4" w:space="0" w:color="auto"/>
            </w:tcBorders>
            <w:vAlign w:val="center"/>
            <w:hideMark/>
          </w:tcPr>
          <w:p w14:paraId="2FEEFEB1"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1,78</w:t>
            </w:r>
          </w:p>
        </w:tc>
      </w:tr>
      <w:tr w:rsidR="00EF1937" w:rsidRPr="00B450EB" w14:paraId="756F87D4"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63AC68B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Caquetá</w:t>
            </w:r>
          </w:p>
        </w:tc>
        <w:tc>
          <w:tcPr>
            <w:tcW w:w="699" w:type="pct"/>
            <w:tcBorders>
              <w:top w:val="single" w:sz="4" w:space="0" w:color="auto"/>
              <w:left w:val="nil"/>
              <w:bottom w:val="single" w:sz="4" w:space="0" w:color="auto"/>
              <w:right w:val="single" w:sz="4" w:space="0" w:color="auto"/>
            </w:tcBorders>
          </w:tcPr>
          <w:p w14:paraId="68399588"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18,64</w:t>
            </w:r>
          </w:p>
        </w:tc>
        <w:tc>
          <w:tcPr>
            <w:tcW w:w="641" w:type="pct"/>
            <w:tcBorders>
              <w:top w:val="nil"/>
              <w:left w:val="single" w:sz="4" w:space="0" w:color="auto"/>
              <w:bottom w:val="single" w:sz="4" w:space="0" w:color="auto"/>
              <w:right w:val="single" w:sz="4" w:space="0" w:color="auto"/>
            </w:tcBorders>
            <w:vAlign w:val="center"/>
            <w:hideMark/>
          </w:tcPr>
          <w:p w14:paraId="042A81F0"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2,99</w:t>
            </w:r>
          </w:p>
        </w:tc>
        <w:tc>
          <w:tcPr>
            <w:tcW w:w="564" w:type="pct"/>
            <w:tcBorders>
              <w:top w:val="nil"/>
              <w:left w:val="nil"/>
              <w:bottom w:val="single" w:sz="4" w:space="0" w:color="auto"/>
              <w:right w:val="single" w:sz="4" w:space="0" w:color="auto"/>
            </w:tcBorders>
            <w:vAlign w:val="center"/>
            <w:hideMark/>
          </w:tcPr>
          <w:p w14:paraId="6DC78D81"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18,49</w:t>
            </w:r>
          </w:p>
        </w:tc>
        <w:tc>
          <w:tcPr>
            <w:tcW w:w="478" w:type="pct"/>
            <w:tcBorders>
              <w:top w:val="nil"/>
              <w:left w:val="nil"/>
              <w:bottom w:val="single" w:sz="4" w:space="0" w:color="auto"/>
              <w:right w:val="single" w:sz="4" w:space="0" w:color="auto"/>
            </w:tcBorders>
            <w:vAlign w:val="center"/>
            <w:hideMark/>
          </w:tcPr>
          <w:p w14:paraId="1B8C8C58"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19,41</w:t>
            </w:r>
          </w:p>
        </w:tc>
        <w:tc>
          <w:tcPr>
            <w:tcW w:w="637" w:type="pct"/>
            <w:tcBorders>
              <w:top w:val="nil"/>
              <w:left w:val="nil"/>
              <w:bottom w:val="single" w:sz="4" w:space="0" w:color="auto"/>
              <w:right w:val="single" w:sz="4" w:space="0" w:color="auto"/>
            </w:tcBorders>
            <w:vAlign w:val="center"/>
            <w:hideMark/>
          </w:tcPr>
          <w:p w14:paraId="79F0D6D2"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5,27</w:t>
            </w:r>
          </w:p>
        </w:tc>
        <w:tc>
          <w:tcPr>
            <w:tcW w:w="569" w:type="pct"/>
            <w:tcBorders>
              <w:top w:val="nil"/>
              <w:left w:val="nil"/>
              <w:bottom w:val="single" w:sz="4" w:space="0" w:color="auto"/>
              <w:right w:val="single" w:sz="4" w:space="0" w:color="auto"/>
            </w:tcBorders>
            <w:vAlign w:val="center"/>
            <w:hideMark/>
          </w:tcPr>
          <w:p w14:paraId="276E21BD"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0,29</w:t>
            </w:r>
          </w:p>
        </w:tc>
        <w:tc>
          <w:tcPr>
            <w:tcW w:w="728" w:type="pct"/>
            <w:tcBorders>
              <w:top w:val="nil"/>
              <w:left w:val="nil"/>
              <w:bottom w:val="single" w:sz="4" w:space="0" w:color="auto"/>
              <w:right w:val="single" w:sz="4" w:space="0" w:color="auto"/>
            </w:tcBorders>
            <w:vAlign w:val="center"/>
            <w:hideMark/>
          </w:tcPr>
          <w:p w14:paraId="4711156B"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3,04</w:t>
            </w:r>
          </w:p>
        </w:tc>
      </w:tr>
      <w:tr w:rsidR="00EF1937" w:rsidRPr="00B450EB" w14:paraId="32604F9D"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52BAC7AD"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Cauca*</w:t>
            </w:r>
          </w:p>
        </w:tc>
        <w:tc>
          <w:tcPr>
            <w:tcW w:w="699" w:type="pct"/>
            <w:tcBorders>
              <w:top w:val="single" w:sz="4" w:space="0" w:color="auto"/>
              <w:left w:val="nil"/>
              <w:bottom w:val="single" w:sz="4" w:space="0" w:color="auto"/>
              <w:right w:val="single" w:sz="4" w:space="0" w:color="auto"/>
            </w:tcBorders>
          </w:tcPr>
          <w:p w14:paraId="628B14D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1,02</w:t>
            </w:r>
          </w:p>
        </w:tc>
        <w:tc>
          <w:tcPr>
            <w:tcW w:w="641" w:type="pct"/>
            <w:tcBorders>
              <w:top w:val="nil"/>
              <w:left w:val="single" w:sz="4" w:space="0" w:color="auto"/>
              <w:bottom w:val="single" w:sz="4" w:space="0" w:color="auto"/>
              <w:right w:val="single" w:sz="4" w:space="0" w:color="auto"/>
            </w:tcBorders>
            <w:vAlign w:val="center"/>
            <w:hideMark/>
          </w:tcPr>
          <w:p w14:paraId="0CAB192E"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6,54</w:t>
            </w:r>
          </w:p>
        </w:tc>
        <w:tc>
          <w:tcPr>
            <w:tcW w:w="564" w:type="pct"/>
            <w:tcBorders>
              <w:top w:val="nil"/>
              <w:left w:val="nil"/>
              <w:bottom w:val="single" w:sz="4" w:space="0" w:color="auto"/>
              <w:right w:val="single" w:sz="4" w:space="0" w:color="auto"/>
            </w:tcBorders>
            <w:vAlign w:val="center"/>
            <w:hideMark/>
          </w:tcPr>
          <w:p w14:paraId="1AF1BF79"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15,64</w:t>
            </w:r>
          </w:p>
        </w:tc>
        <w:tc>
          <w:tcPr>
            <w:tcW w:w="478" w:type="pct"/>
            <w:tcBorders>
              <w:top w:val="nil"/>
              <w:left w:val="nil"/>
              <w:bottom w:val="single" w:sz="4" w:space="0" w:color="auto"/>
              <w:right w:val="single" w:sz="4" w:space="0" w:color="auto"/>
            </w:tcBorders>
            <w:vAlign w:val="center"/>
            <w:hideMark/>
          </w:tcPr>
          <w:p w14:paraId="474B3C8E"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12,89</w:t>
            </w:r>
          </w:p>
        </w:tc>
        <w:tc>
          <w:tcPr>
            <w:tcW w:w="637" w:type="pct"/>
            <w:tcBorders>
              <w:top w:val="nil"/>
              <w:left w:val="nil"/>
              <w:bottom w:val="single" w:sz="4" w:space="0" w:color="auto"/>
              <w:right w:val="single" w:sz="4" w:space="0" w:color="auto"/>
            </w:tcBorders>
            <w:vAlign w:val="center"/>
            <w:hideMark/>
          </w:tcPr>
          <w:p w14:paraId="2C5EE4E2"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6,25</w:t>
            </w:r>
          </w:p>
        </w:tc>
        <w:tc>
          <w:tcPr>
            <w:tcW w:w="569" w:type="pct"/>
            <w:tcBorders>
              <w:top w:val="nil"/>
              <w:left w:val="nil"/>
              <w:bottom w:val="single" w:sz="4" w:space="0" w:color="auto"/>
              <w:right w:val="single" w:sz="4" w:space="0" w:color="auto"/>
            </w:tcBorders>
            <w:vAlign w:val="center"/>
            <w:hideMark/>
          </w:tcPr>
          <w:p w14:paraId="4F7F8F0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0,82</w:t>
            </w:r>
          </w:p>
        </w:tc>
        <w:tc>
          <w:tcPr>
            <w:tcW w:w="728" w:type="pct"/>
            <w:tcBorders>
              <w:top w:val="nil"/>
              <w:left w:val="nil"/>
              <w:bottom w:val="single" w:sz="4" w:space="0" w:color="auto"/>
              <w:right w:val="single" w:sz="4" w:space="0" w:color="auto"/>
            </w:tcBorders>
            <w:vAlign w:val="center"/>
            <w:hideMark/>
          </w:tcPr>
          <w:p w14:paraId="6B9E48EB"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17,11</w:t>
            </w:r>
          </w:p>
        </w:tc>
      </w:tr>
      <w:tr w:rsidR="00EF1937" w:rsidRPr="00B450EB" w14:paraId="27BC34B2"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33DB17C6"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Guainía</w:t>
            </w:r>
          </w:p>
        </w:tc>
        <w:tc>
          <w:tcPr>
            <w:tcW w:w="699" w:type="pct"/>
            <w:tcBorders>
              <w:top w:val="single" w:sz="4" w:space="0" w:color="auto"/>
              <w:left w:val="nil"/>
              <w:bottom w:val="single" w:sz="4" w:space="0" w:color="auto"/>
              <w:right w:val="single" w:sz="4" w:space="0" w:color="auto"/>
            </w:tcBorders>
          </w:tcPr>
          <w:p w14:paraId="772BC352"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14,65</w:t>
            </w:r>
          </w:p>
        </w:tc>
        <w:tc>
          <w:tcPr>
            <w:tcW w:w="641" w:type="pct"/>
            <w:tcBorders>
              <w:top w:val="nil"/>
              <w:left w:val="single" w:sz="4" w:space="0" w:color="auto"/>
              <w:bottom w:val="single" w:sz="4" w:space="0" w:color="auto"/>
              <w:right w:val="single" w:sz="4" w:space="0" w:color="auto"/>
            </w:tcBorders>
            <w:vAlign w:val="center"/>
            <w:hideMark/>
          </w:tcPr>
          <w:p w14:paraId="64F10A10"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0,35</w:t>
            </w:r>
          </w:p>
        </w:tc>
        <w:tc>
          <w:tcPr>
            <w:tcW w:w="564" w:type="pct"/>
            <w:tcBorders>
              <w:top w:val="nil"/>
              <w:left w:val="nil"/>
              <w:bottom w:val="single" w:sz="4" w:space="0" w:color="auto"/>
              <w:right w:val="single" w:sz="4" w:space="0" w:color="auto"/>
            </w:tcBorders>
            <w:vAlign w:val="center"/>
            <w:hideMark/>
          </w:tcPr>
          <w:p w14:paraId="0E1BE999"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11,13</w:t>
            </w:r>
          </w:p>
        </w:tc>
        <w:tc>
          <w:tcPr>
            <w:tcW w:w="478" w:type="pct"/>
            <w:tcBorders>
              <w:top w:val="nil"/>
              <w:left w:val="nil"/>
              <w:bottom w:val="single" w:sz="4" w:space="0" w:color="auto"/>
              <w:right w:val="single" w:sz="4" w:space="0" w:color="auto"/>
            </w:tcBorders>
            <w:vAlign w:val="center"/>
            <w:hideMark/>
          </w:tcPr>
          <w:p w14:paraId="5FDD47A1"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16,35</w:t>
            </w:r>
          </w:p>
        </w:tc>
        <w:tc>
          <w:tcPr>
            <w:tcW w:w="637" w:type="pct"/>
            <w:tcBorders>
              <w:top w:val="nil"/>
              <w:left w:val="nil"/>
              <w:bottom w:val="single" w:sz="4" w:space="0" w:color="auto"/>
              <w:right w:val="single" w:sz="4" w:space="0" w:color="auto"/>
            </w:tcBorders>
            <w:vAlign w:val="center"/>
            <w:hideMark/>
          </w:tcPr>
          <w:p w14:paraId="4711DC68"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10,38</w:t>
            </w:r>
          </w:p>
        </w:tc>
        <w:tc>
          <w:tcPr>
            <w:tcW w:w="569" w:type="pct"/>
            <w:tcBorders>
              <w:top w:val="nil"/>
              <w:left w:val="nil"/>
              <w:bottom w:val="single" w:sz="4" w:space="0" w:color="auto"/>
              <w:right w:val="single" w:sz="4" w:space="0" w:color="auto"/>
            </w:tcBorders>
            <w:vAlign w:val="center"/>
            <w:hideMark/>
          </w:tcPr>
          <w:p w14:paraId="1341515C"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7,65</w:t>
            </w:r>
          </w:p>
        </w:tc>
        <w:tc>
          <w:tcPr>
            <w:tcW w:w="728" w:type="pct"/>
            <w:tcBorders>
              <w:top w:val="nil"/>
              <w:left w:val="nil"/>
              <w:bottom w:val="single" w:sz="4" w:space="0" w:color="auto"/>
              <w:right w:val="single" w:sz="4" w:space="0" w:color="auto"/>
            </w:tcBorders>
            <w:vAlign w:val="center"/>
            <w:hideMark/>
          </w:tcPr>
          <w:p w14:paraId="4BDAE627"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2,74</w:t>
            </w:r>
          </w:p>
        </w:tc>
      </w:tr>
      <w:tr w:rsidR="00EF1937" w:rsidRPr="00B450EB" w14:paraId="5E24AA2C"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7A3E51EC"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lastRenderedPageBreak/>
              <w:t>Guaviare</w:t>
            </w:r>
          </w:p>
        </w:tc>
        <w:tc>
          <w:tcPr>
            <w:tcW w:w="699" w:type="pct"/>
            <w:tcBorders>
              <w:top w:val="single" w:sz="4" w:space="0" w:color="auto"/>
              <w:left w:val="nil"/>
              <w:bottom w:val="single" w:sz="4" w:space="0" w:color="auto"/>
              <w:right w:val="single" w:sz="4" w:space="0" w:color="auto"/>
            </w:tcBorders>
          </w:tcPr>
          <w:p w14:paraId="43D9D2F4"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11,40</w:t>
            </w:r>
          </w:p>
        </w:tc>
        <w:tc>
          <w:tcPr>
            <w:tcW w:w="641" w:type="pct"/>
            <w:tcBorders>
              <w:top w:val="nil"/>
              <w:left w:val="single" w:sz="4" w:space="0" w:color="auto"/>
              <w:bottom w:val="single" w:sz="4" w:space="0" w:color="auto"/>
              <w:right w:val="single" w:sz="4" w:space="0" w:color="auto"/>
            </w:tcBorders>
            <w:vAlign w:val="center"/>
            <w:hideMark/>
          </w:tcPr>
          <w:p w14:paraId="167EBD2D"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0,32</w:t>
            </w:r>
          </w:p>
        </w:tc>
        <w:tc>
          <w:tcPr>
            <w:tcW w:w="564" w:type="pct"/>
            <w:tcBorders>
              <w:top w:val="nil"/>
              <w:left w:val="nil"/>
              <w:bottom w:val="single" w:sz="4" w:space="0" w:color="auto"/>
              <w:right w:val="single" w:sz="4" w:space="0" w:color="auto"/>
            </w:tcBorders>
            <w:vAlign w:val="center"/>
            <w:hideMark/>
          </w:tcPr>
          <w:p w14:paraId="172C155B"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24,45</w:t>
            </w:r>
          </w:p>
        </w:tc>
        <w:tc>
          <w:tcPr>
            <w:tcW w:w="478" w:type="pct"/>
            <w:tcBorders>
              <w:top w:val="nil"/>
              <w:left w:val="nil"/>
              <w:bottom w:val="single" w:sz="4" w:space="0" w:color="auto"/>
              <w:right w:val="single" w:sz="4" w:space="0" w:color="auto"/>
            </w:tcBorders>
            <w:vAlign w:val="center"/>
            <w:hideMark/>
          </w:tcPr>
          <w:p w14:paraId="113C0BC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18,45</w:t>
            </w:r>
          </w:p>
        </w:tc>
        <w:tc>
          <w:tcPr>
            <w:tcW w:w="637" w:type="pct"/>
            <w:tcBorders>
              <w:top w:val="nil"/>
              <w:left w:val="nil"/>
              <w:bottom w:val="single" w:sz="4" w:space="0" w:color="auto"/>
              <w:right w:val="single" w:sz="4" w:space="0" w:color="auto"/>
            </w:tcBorders>
            <w:vAlign w:val="center"/>
            <w:hideMark/>
          </w:tcPr>
          <w:p w14:paraId="479C3186"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6,16</w:t>
            </w:r>
          </w:p>
        </w:tc>
        <w:tc>
          <w:tcPr>
            <w:tcW w:w="569" w:type="pct"/>
            <w:tcBorders>
              <w:top w:val="nil"/>
              <w:left w:val="nil"/>
              <w:bottom w:val="single" w:sz="4" w:space="0" w:color="auto"/>
              <w:right w:val="single" w:sz="4" w:space="0" w:color="auto"/>
            </w:tcBorders>
            <w:vAlign w:val="center"/>
            <w:hideMark/>
          </w:tcPr>
          <w:p w14:paraId="4E24BAEB"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0,32</w:t>
            </w:r>
          </w:p>
        </w:tc>
        <w:tc>
          <w:tcPr>
            <w:tcW w:w="728" w:type="pct"/>
            <w:tcBorders>
              <w:top w:val="nil"/>
              <w:left w:val="nil"/>
              <w:bottom w:val="single" w:sz="4" w:space="0" w:color="auto"/>
              <w:right w:val="single" w:sz="4" w:space="0" w:color="auto"/>
            </w:tcBorders>
            <w:vAlign w:val="center"/>
            <w:hideMark/>
          </w:tcPr>
          <w:p w14:paraId="7223B00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1,81</w:t>
            </w:r>
          </w:p>
        </w:tc>
      </w:tr>
      <w:tr w:rsidR="00EF1937" w:rsidRPr="00B450EB" w14:paraId="4AE6D7D5"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3FA14BA7"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Meta*</w:t>
            </w:r>
          </w:p>
        </w:tc>
        <w:tc>
          <w:tcPr>
            <w:tcW w:w="699" w:type="pct"/>
            <w:tcBorders>
              <w:top w:val="single" w:sz="4" w:space="0" w:color="auto"/>
              <w:left w:val="nil"/>
              <w:bottom w:val="single" w:sz="4" w:space="0" w:color="auto"/>
              <w:right w:val="single" w:sz="4" w:space="0" w:color="auto"/>
            </w:tcBorders>
          </w:tcPr>
          <w:p w14:paraId="29E00E3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6,09</w:t>
            </w:r>
          </w:p>
        </w:tc>
        <w:tc>
          <w:tcPr>
            <w:tcW w:w="641" w:type="pct"/>
            <w:tcBorders>
              <w:top w:val="nil"/>
              <w:left w:val="single" w:sz="4" w:space="0" w:color="auto"/>
              <w:bottom w:val="single" w:sz="4" w:space="0" w:color="auto"/>
              <w:right w:val="single" w:sz="4" w:space="0" w:color="auto"/>
            </w:tcBorders>
            <w:vAlign w:val="center"/>
            <w:hideMark/>
          </w:tcPr>
          <w:p w14:paraId="138D8DC7"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1,75</w:t>
            </w:r>
          </w:p>
        </w:tc>
        <w:tc>
          <w:tcPr>
            <w:tcW w:w="564" w:type="pct"/>
            <w:tcBorders>
              <w:top w:val="nil"/>
              <w:left w:val="nil"/>
              <w:bottom w:val="single" w:sz="4" w:space="0" w:color="auto"/>
              <w:right w:val="single" w:sz="4" w:space="0" w:color="auto"/>
            </w:tcBorders>
            <w:vAlign w:val="center"/>
            <w:hideMark/>
          </w:tcPr>
          <w:p w14:paraId="3884B734"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12,70</w:t>
            </w:r>
          </w:p>
        </w:tc>
        <w:tc>
          <w:tcPr>
            <w:tcW w:w="478" w:type="pct"/>
            <w:tcBorders>
              <w:top w:val="nil"/>
              <w:left w:val="nil"/>
              <w:bottom w:val="single" w:sz="4" w:space="0" w:color="auto"/>
              <w:right w:val="single" w:sz="4" w:space="0" w:color="auto"/>
            </w:tcBorders>
            <w:vAlign w:val="center"/>
            <w:hideMark/>
          </w:tcPr>
          <w:p w14:paraId="56750A4D"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9,75</w:t>
            </w:r>
          </w:p>
        </w:tc>
        <w:tc>
          <w:tcPr>
            <w:tcW w:w="637" w:type="pct"/>
            <w:tcBorders>
              <w:top w:val="nil"/>
              <w:left w:val="nil"/>
              <w:bottom w:val="single" w:sz="4" w:space="0" w:color="auto"/>
              <w:right w:val="single" w:sz="4" w:space="0" w:color="auto"/>
            </w:tcBorders>
            <w:vAlign w:val="center"/>
            <w:hideMark/>
          </w:tcPr>
          <w:p w14:paraId="6318FF97"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2,47</w:t>
            </w:r>
          </w:p>
        </w:tc>
        <w:tc>
          <w:tcPr>
            <w:tcW w:w="569" w:type="pct"/>
            <w:tcBorders>
              <w:top w:val="nil"/>
              <w:left w:val="nil"/>
              <w:bottom w:val="single" w:sz="4" w:space="0" w:color="auto"/>
              <w:right w:val="single" w:sz="4" w:space="0" w:color="auto"/>
            </w:tcBorders>
            <w:vAlign w:val="center"/>
            <w:hideMark/>
          </w:tcPr>
          <w:p w14:paraId="511238F8"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55,39</w:t>
            </w:r>
          </w:p>
        </w:tc>
        <w:tc>
          <w:tcPr>
            <w:tcW w:w="728" w:type="pct"/>
            <w:tcBorders>
              <w:top w:val="nil"/>
              <w:left w:val="nil"/>
              <w:bottom w:val="single" w:sz="4" w:space="0" w:color="auto"/>
              <w:right w:val="single" w:sz="4" w:space="0" w:color="auto"/>
            </w:tcBorders>
            <w:vAlign w:val="center"/>
            <w:hideMark/>
          </w:tcPr>
          <w:p w14:paraId="4320584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2,15</w:t>
            </w:r>
          </w:p>
        </w:tc>
      </w:tr>
      <w:tr w:rsidR="00EF1937" w:rsidRPr="00B450EB" w14:paraId="0A40D391"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14F2E9E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Nariño*</w:t>
            </w:r>
          </w:p>
        </w:tc>
        <w:tc>
          <w:tcPr>
            <w:tcW w:w="699" w:type="pct"/>
            <w:tcBorders>
              <w:top w:val="single" w:sz="4" w:space="0" w:color="auto"/>
              <w:left w:val="nil"/>
              <w:bottom w:val="single" w:sz="4" w:space="0" w:color="auto"/>
              <w:right w:val="single" w:sz="4" w:space="0" w:color="auto"/>
            </w:tcBorders>
          </w:tcPr>
          <w:p w14:paraId="4603655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0,60</w:t>
            </w:r>
          </w:p>
        </w:tc>
        <w:tc>
          <w:tcPr>
            <w:tcW w:w="641" w:type="pct"/>
            <w:tcBorders>
              <w:top w:val="nil"/>
              <w:left w:val="single" w:sz="4" w:space="0" w:color="auto"/>
              <w:bottom w:val="single" w:sz="4" w:space="0" w:color="auto"/>
              <w:right w:val="single" w:sz="4" w:space="0" w:color="auto"/>
            </w:tcBorders>
            <w:vAlign w:val="center"/>
            <w:hideMark/>
          </w:tcPr>
          <w:p w14:paraId="0B534CBE"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2,96</w:t>
            </w:r>
          </w:p>
        </w:tc>
        <w:tc>
          <w:tcPr>
            <w:tcW w:w="564" w:type="pct"/>
            <w:tcBorders>
              <w:top w:val="nil"/>
              <w:left w:val="nil"/>
              <w:bottom w:val="single" w:sz="4" w:space="0" w:color="auto"/>
              <w:right w:val="single" w:sz="4" w:space="0" w:color="auto"/>
            </w:tcBorders>
            <w:vAlign w:val="center"/>
            <w:hideMark/>
          </w:tcPr>
          <w:p w14:paraId="15B3C6DB"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19,16</w:t>
            </w:r>
          </w:p>
        </w:tc>
        <w:tc>
          <w:tcPr>
            <w:tcW w:w="478" w:type="pct"/>
            <w:tcBorders>
              <w:top w:val="nil"/>
              <w:left w:val="nil"/>
              <w:bottom w:val="single" w:sz="4" w:space="0" w:color="auto"/>
              <w:right w:val="single" w:sz="4" w:space="0" w:color="auto"/>
            </w:tcBorders>
            <w:vAlign w:val="center"/>
            <w:hideMark/>
          </w:tcPr>
          <w:p w14:paraId="2CE06B0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21,89</w:t>
            </w:r>
          </w:p>
        </w:tc>
        <w:tc>
          <w:tcPr>
            <w:tcW w:w="637" w:type="pct"/>
            <w:tcBorders>
              <w:top w:val="nil"/>
              <w:left w:val="nil"/>
              <w:bottom w:val="single" w:sz="4" w:space="0" w:color="auto"/>
              <w:right w:val="single" w:sz="4" w:space="0" w:color="auto"/>
            </w:tcBorders>
            <w:vAlign w:val="center"/>
            <w:hideMark/>
          </w:tcPr>
          <w:p w14:paraId="38765FC8"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6,11</w:t>
            </w:r>
          </w:p>
        </w:tc>
        <w:tc>
          <w:tcPr>
            <w:tcW w:w="569" w:type="pct"/>
            <w:tcBorders>
              <w:top w:val="nil"/>
              <w:left w:val="nil"/>
              <w:bottom w:val="single" w:sz="4" w:space="0" w:color="auto"/>
              <w:right w:val="single" w:sz="4" w:space="0" w:color="auto"/>
            </w:tcBorders>
            <w:vAlign w:val="center"/>
            <w:hideMark/>
          </w:tcPr>
          <w:p w14:paraId="304541A4"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0,88</w:t>
            </w:r>
          </w:p>
        </w:tc>
        <w:tc>
          <w:tcPr>
            <w:tcW w:w="728" w:type="pct"/>
            <w:tcBorders>
              <w:top w:val="nil"/>
              <w:left w:val="nil"/>
              <w:bottom w:val="single" w:sz="4" w:space="0" w:color="auto"/>
              <w:right w:val="single" w:sz="4" w:space="0" w:color="auto"/>
            </w:tcBorders>
            <w:vAlign w:val="center"/>
            <w:hideMark/>
          </w:tcPr>
          <w:p w14:paraId="6BF3FD14"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2,51</w:t>
            </w:r>
          </w:p>
        </w:tc>
      </w:tr>
      <w:tr w:rsidR="00EF1937" w:rsidRPr="00B450EB" w14:paraId="1C2F7909"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74011958"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Putumayo</w:t>
            </w:r>
          </w:p>
        </w:tc>
        <w:tc>
          <w:tcPr>
            <w:tcW w:w="699" w:type="pct"/>
            <w:tcBorders>
              <w:top w:val="single" w:sz="4" w:space="0" w:color="auto"/>
              <w:left w:val="nil"/>
              <w:bottom w:val="single" w:sz="4" w:space="0" w:color="auto"/>
              <w:right w:val="single" w:sz="4" w:space="0" w:color="auto"/>
            </w:tcBorders>
          </w:tcPr>
          <w:p w14:paraId="69364398"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5,34</w:t>
            </w:r>
          </w:p>
        </w:tc>
        <w:tc>
          <w:tcPr>
            <w:tcW w:w="641" w:type="pct"/>
            <w:tcBorders>
              <w:top w:val="nil"/>
              <w:left w:val="single" w:sz="4" w:space="0" w:color="auto"/>
              <w:bottom w:val="single" w:sz="4" w:space="0" w:color="auto"/>
              <w:right w:val="single" w:sz="4" w:space="0" w:color="auto"/>
            </w:tcBorders>
            <w:vAlign w:val="center"/>
            <w:hideMark/>
          </w:tcPr>
          <w:p w14:paraId="61CC1D8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1,27</w:t>
            </w:r>
          </w:p>
        </w:tc>
        <w:tc>
          <w:tcPr>
            <w:tcW w:w="564" w:type="pct"/>
            <w:tcBorders>
              <w:top w:val="nil"/>
              <w:left w:val="nil"/>
              <w:bottom w:val="single" w:sz="4" w:space="0" w:color="auto"/>
              <w:right w:val="single" w:sz="4" w:space="0" w:color="auto"/>
            </w:tcBorders>
            <w:vAlign w:val="center"/>
            <w:hideMark/>
          </w:tcPr>
          <w:p w14:paraId="6E95687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6,72</w:t>
            </w:r>
          </w:p>
        </w:tc>
        <w:tc>
          <w:tcPr>
            <w:tcW w:w="478" w:type="pct"/>
            <w:tcBorders>
              <w:top w:val="nil"/>
              <w:left w:val="nil"/>
              <w:bottom w:val="single" w:sz="4" w:space="0" w:color="auto"/>
              <w:right w:val="single" w:sz="4" w:space="0" w:color="auto"/>
            </w:tcBorders>
            <w:vAlign w:val="center"/>
            <w:hideMark/>
          </w:tcPr>
          <w:p w14:paraId="74D534FB"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15,56</w:t>
            </w:r>
          </w:p>
        </w:tc>
        <w:tc>
          <w:tcPr>
            <w:tcW w:w="637" w:type="pct"/>
            <w:tcBorders>
              <w:top w:val="nil"/>
              <w:left w:val="nil"/>
              <w:bottom w:val="single" w:sz="4" w:space="0" w:color="auto"/>
              <w:right w:val="single" w:sz="4" w:space="0" w:color="auto"/>
            </w:tcBorders>
            <w:vAlign w:val="center"/>
            <w:hideMark/>
          </w:tcPr>
          <w:p w14:paraId="325E715A"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5,00</w:t>
            </w:r>
          </w:p>
        </w:tc>
        <w:tc>
          <w:tcPr>
            <w:tcW w:w="569" w:type="pct"/>
            <w:tcBorders>
              <w:top w:val="nil"/>
              <w:left w:val="nil"/>
              <w:bottom w:val="single" w:sz="4" w:space="0" w:color="auto"/>
              <w:right w:val="single" w:sz="4" w:space="0" w:color="auto"/>
            </w:tcBorders>
            <w:vAlign w:val="center"/>
            <w:hideMark/>
          </w:tcPr>
          <w:p w14:paraId="6C2F6063" w14:textId="77777777" w:rsidR="00702D5A" w:rsidRPr="00B450EB" w:rsidRDefault="00702D5A" w:rsidP="00D203BB">
            <w:pPr>
              <w:spacing w:after="0" w:line="276"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35,27</w:t>
            </w:r>
          </w:p>
        </w:tc>
        <w:tc>
          <w:tcPr>
            <w:tcW w:w="728" w:type="pct"/>
            <w:tcBorders>
              <w:top w:val="nil"/>
              <w:left w:val="nil"/>
              <w:bottom w:val="single" w:sz="4" w:space="0" w:color="auto"/>
              <w:right w:val="single" w:sz="4" w:space="0" w:color="auto"/>
            </w:tcBorders>
            <w:vAlign w:val="center"/>
            <w:hideMark/>
          </w:tcPr>
          <w:p w14:paraId="709195DF"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0,85</w:t>
            </w:r>
          </w:p>
        </w:tc>
      </w:tr>
      <w:tr w:rsidR="00EF1937" w:rsidRPr="00B450EB" w14:paraId="202A2288"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64430CD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Vaupés</w:t>
            </w:r>
          </w:p>
        </w:tc>
        <w:tc>
          <w:tcPr>
            <w:tcW w:w="699" w:type="pct"/>
            <w:tcBorders>
              <w:top w:val="single" w:sz="4" w:space="0" w:color="auto"/>
              <w:left w:val="nil"/>
              <w:bottom w:val="single" w:sz="4" w:space="0" w:color="auto"/>
              <w:right w:val="single" w:sz="4" w:space="0" w:color="auto"/>
            </w:tcBorders>
          </w:tcPr>
          <w:p w14:paraId="7B503AEA"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11,01</w:t>
            </w:r>
          </w:p>
        </w:tc>
        <w:tc>
          <w:tcPr>
            <w:tcW w:w="641" w:type="pct"/>
            <w:tcBorders>
              <w:top w:val="nil"/>
              <w:left w:val="single" w:sz="4" w:space="0" w:color="auto"/>
              <w:bottom w:val="single" w:sz="4" w:space="0" w:color="auto"/>
              <w:right w:val="single" w:sz="4" w:space="0" w:color="auto"/>
            </w:tcBorders>
            <w:vAlign w:val="center"/>
            <w:hideMark/>
          </w:tcPr>
          <w:p w14:paraId="4FF126A8"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0,45</w:t>
            </w:r>
          </w:p>
        </w:tc>
        <w:tc>
          <w:tcPr>
            <w:tcW w:w="564" w:type="pct"/>
            <w:tcBorders>
              <w:top w:val="nil"/>
              <w:left w:val="nil"/>
              <w:bottom w:val="single" w:sz="4" w:space="0" w:color="auto"/>
              <w:right w:val="single" w:sz="4" w:space="0" w:color="auto"/>
            </w:tcBorders>
            <w:vAlign w:val="center"/>
            <w:hideMark/>
          </w:tcPr>
          <w:p w14:paraId="7164DA6A"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8,34</w:t>
            </w:r>
          </w:p>
        </w:tc>
        <w:tc>
          <w:tcPr>
            <w:tcW w:w="478" w:type="pct"/>
            <w:tcBorders>
              <w:top w:val="nil"/>
              <w:left w:val="nil"/>
              <w:bottom w:val="single" w:sz="4" w:space="0" w:color="auto"/>
              <w:right w:val="single" w:sz="4" w:space="0" w:color="auto"/>
            </w:tcBorders>
            <w:vAlign w:val="center"/>
            <w:hideMark/>
          </w:tcPr>
          <w:p w14:paraId="451BF71D"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24,57</w:t>
            </w:r>
          </w:p>
        </w:tc>
        <w:tc>
          <w:tcPr>
            <w:tcW w:w="637" w:type="pct"/>
            <w:tcBorders>
              <w:top w:val="nil"/>
              <w:left w:val="nil"/>
              <w:bottom w:val="single" w:sz="4" w:space="0" w:color="auto"/>
              <w:right w:val="single" w:sz="4" w:space="0" w:color="auto"/>
            </w:tcBorders>
            <w:vAlign w:val="center"/>
            <w:hideMark/>
          </w:tcPr>
          <w:p w14:paraId="5CE3EEDF"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7,87</w:t>
            </w:r>
          </w:p>
        </w:tc>
        <w:tc>
          <w:tcPr>
            <w:tcW w:w="569" w:type="pct"/>
            <w:tcBorders>
              <w:top w:val="nil"/>
              <w:left w:val="nil"/>
              <w:bottom w:val="single" w:sz="4" w:space="0" w:color="auto"/>
              <w:right w:val="single" w:sz="4" w:space="0" w:color="auto"/>
            </w:tcBorders>
            <w:vAlign w:val="center"/>
            <w:hideMark/>
          </w:tcPr>
          <w:p w14:paraId="2F4FCAF6"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0,29</w:t>
            </w:r>
          </w:p>
        </w:tc>
        <w:tc>
          <w:tcPr>
            <w:tcW w:w="728" w:type="pct"/>
            <w:tcBorders>
              <w:top w:val="nil"/>
              <w:left w:val="nil"/>
              <w:bottom w:val="single" w:sz="4" w:space="0" w:color="auto"/>
              <w:right w:val="single" w:sz="4" w:space="0" w:color="auto"/>
            </w:tcBorders>
            <w:vAlign w:val="center"/>
            <w:hideMark/>
          </w:tcPr>
          <w:p w14:paraId="232A1310"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0,16</w:t>
            </w:r>
          </w:p>
        </w:tc>
      </w:tr>
      <w:tr w:rsidR="00EF1937" w:rsidRPr="00B450EB" w14:paraId="0ADA6E13" w14:textId="77777777" w:rsidTr="0083470A">
        <w:trPr>
          <w:trHeight w:val="50"/>
          <w:jc w:val="center"/>
        </w:trPr>
        <w:tc>
          <w:tcPr>
            <w:tcW w:w="684" w:type="pct"/>
            <w:tcBorders>
              <w:top w:val="nil"/>
              <w:left w:val="single" w:sz="4" w:space="0" w:color="auto"/>
              <w:bottom w:val="single" w:sz="4" w:space="0" w:color="auto"/>
              <w:right w:val="single" w:sz="4" w:space="0" w:color="auto"/>
            </w:tcBorders>
            <w:vAlign w:val="center"/>
            <w:hideMark/>
          </w:tcPr>
          <w:p w14:paraId="0B7B8D7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Vichada*</w:t>
            </w:r>
          </w:p>
        </w:tc>
        <w:tc>
          <w:tcPr>
            <w:tcW w:w="699" w:type="pct"/>
            <w:tcBorders>
              <w:top w:val="single" w:sz="4" w:space="0" w:color="auto"/>
              <w:left w:val="nil"/>
              <w:bottom w:val="single" w:sz="4" w:space="0" w:color="auto"/>
              <w:right w:val="single" w:sz="4" w:space="0" w:color="auto"/>
            </w:tcBorders>
          </w:tcPr>
          <w:p w14:paraId="1DEE710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8,74</w:t>
            </w:r>
          </w:p>
        </w:tc>
        <w:tc>
          <w:tcPr>
            <w:tcW w:w="641" w:type="pct"/>
            <w:tcBorders>
              <w:top w:val="nil"/>
              <w:left w:val="single" w:sz="4" w:space="0" w:color="auto"/>
              <w:bottom w:val="single" w:sz="4" w:space="0" w:color="auto"/>
              <w:right w:val="single" w:sz="4" w:space="0" w:color="auto"/>
            </w:tcBorders>
            <w:vAlign w:val="center"/>
            <w:hideMark/>
          </w:tcPr>
          <w:p w14:paraId="5F7239B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0,53</w:t>
            </w:r>
          </w:p>
        </w:tc>
        <w:tc>
          <w:tcPr>
            <w:tcW w:w="564" w:type="pct"/>
            <w:tcBorders>
              <w:top w:val="nil"/>
              <w:left w:val="nil"/>
              <w:bottom w:val="single" w:sz="4" w:space="0" w:color="auto"/>
              <w:right w:val="single" w:sz="4" w:space="0" w:color="auto"/>
            </w:tcBorders>
            <w:vAlign w:val="center"/>
            <w:hideMark/>
          </w:tcPr>
          <w:p w14:paraId="3C1CC8BE"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38,83</w:t>
            </w:r>
          </w:p>
        </w:tc>
        <w:tc>
          <w:tcPr>
            <w:tcW w:w="478" w:type="pct"/>
            <w:tcBorders>
              <w:top w:val="nil"/>
              <w:left w:val="nil"/>
              <w:bottom w:val="single" w:sz="4" w:space="0" w:color="auto"/>
              <w:right w:val="single" w:sz="4" w:space="0" w:color="auto"/>
            </w:tcBorders>
            <w:vAlign w:val="center"/>
            <w:hideMark/>
          </w:tcPr>
          <w:p w14:paraId="374E01C2"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10,53</w:t>
            </w:r>
          </w:p>
        </w:tc>
        <w:tc>
          <w:tcPr>
            <w:tcW w:w="637" w:type="pct"/>
            <w:tcBorders>
              <w:top w:val="nil"/>
              <w:left w:val="nil"/>
              <w:bottom w:val="single" w:sz="4" w:space="0" w:color="auto"/>
              <w:right w:val="single" w:sz="4" w:space="0" w:color="auto"/>
            </w:tcBorders>
            <w:vAlign w:val="center"/>
            <w:hideMark/>
          </w:tcPr>
          <w:p w14:paraId="46A6360F"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7,58</w:t>
            </w:r>
          </w:p>
        </w:tc>
        <w:tc>
          <w:tcPr>
            <w:tcW w:w="569" w:type="pct"/>
            <w:tcBorders>
              <w:top w:val="nil"/>
              <w:left w:val="nil"/>
              <w:bottom w:val="single" w:sz="4" w:space="0" w:color="auto"/>
              <w:right w:val="single" w:sz="4" w:space="0" w:color="auto"/>
            </w:tcBorders>
            <w:vAlign w:val="center"/>
            <w:hideMark/>
          </w:tcPr>
          <w:p w14:paraId="7174BB55"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0,21</w:t>
            </w:r>
          </w:p>
        </w:tc>
        <w:tc>
          <w:tcPr>
            <w:tcW w:w="728" w:type="pct"/>
            <w:tcBorders>
              <w:top w:val="nil"/>
              <w:left w:val="nil"/>
              <w:bottom w:val="single" w:sz="4" w:space="0" w:color="auto"/>
              <w:right w:val="single" w:sz="4" w:space="0" w:color="auto"/>
            </w:tcBorders>
            <w:vAlign w:val="center"/>
            <w:hideMark/>
          </w:tcPr>
          <w:p w14:paraId="26439C93" w14:textId="77777777" w:rsidR="00702D5A" w:rsidRPr="00B450EB" w:rsidRDefault="00702D5A" w:rsidP="00D203BB">
            <w:pPr>
              <w:spacing w:after="0" w:line="276"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0,64</w:t>
            </w:r>
          </w:p>
        </w:tc>
      </w:tr>
    </w:tbl>
    <w:p w14:paraId="78BD8AFE" w14:textId="77777777" w:rsidR="00702D5A" w:rsidRPr="00B450EB" w:rsidRDefault="00702D5A" w:rsidP="00702D5A">
      <w:pPr>
        <w:spacing w:after="0" w:line="240" w:lineRule="auto"/>
        <w:mirrorIndents/>
        <w:jc w:val="center"/>
        <w:rPr>
          <w:rFonts w:eastAsia="Calibri" w:cs="Arial"/>
          <w:i/>
          <w:iCs/>
          <w:sz w:val="14"/>
          <w:szCs w:val="14"/>
        </w:rPr>
      </w:pPr>
      <w:r w:rsidRPr="00B450EB">
        <w:rPr>
          <w:rFonts w:eastAsia="Calibri" w:cs="Arial"/>
          <w:i/>
          <w:iCs/>
          <w:sz w:val="14"/>
          <w:szCs w:val="14"/>
        </w:rPr>
        <w:t>*Departamentos que integran el área del Bioma Amazónico Colombiano en una proporción parcial, respecto a los demás departamentos.</w:t>
      </w:r>
    </w:p>
    <w:p w14:paraId="1A8A260A" w14:textId="77777777" w:rsidR="00702D5A" w:rsidRPr="00B450EB" w:rsidRDefault="00702D5A" w:rsidP="00702D5A">
      <w:pPr>
        <w:jc w:val="center"/>
        <w:rPr>
          <w:sz w:val="18"/>
          <w:szCs w:val="18"/>
        </w:rPr>
      </w:pPr>
      <w:r w:rsidRPr="00B450EB">
        <w:rPr>
          <w:rFonts w:eastAsia="Calibri" w:cs="Arial"/>
          <w:sz w:val="18"/>
          <w:szCs w:val="18"/>
        </w:rPr>
        <w:t>Fuente:</w:t>
      </w:r>
      <w:r w:rsidRPr="00B450EB">
        <w:rPr>
          <w:sz w:val="18"/>
          <w:szCs w:val="18"/>
        </w:rPr>
        <w:t xml:space="preserve"> Elaboración propia a partir de la información de </w:t>
      </w:r>
      <w:proofErr w:type="spellStart"/>
      <w:r w:rsidRPr="00B450EB">
        <w:rPr>
          <w:rFonts w:eastAsia="Calibri" w:cs="Arial"/>
          <w:sz w:val="18"/>
          <w:szCs w:val="18"/>
        </w:rPr>
        <w:t>TerriData</w:t>
      </w:r>
      <w:proofErr w:type="spellEnd"/>
      <w:r w:rsidRPr="00B450EB">
        <w:rPr>
          <w:rFonts w:eastAsia="Calibri" w:cs="Arial"/>
          <w:sz w:val="18"/>
          <w:szCs w:val="18"/>
        </w:rPr>
        <w:t xml:space="preserve"> – DNP (Perfiles Departamentales); datos censales y proyecciones poblacionales oficiales; complementados con informes del DANE, 2025.</w:t>
      </w:r>
    </w:p>
    <w:p w14:paraId="40E21989" w14:textId="6DCE9675" w:rsidR="00702D5A" w:rsidRPr="00B450EB" w:rsidRDefault="00702D5A" w:rsidP="001F7FC8">
      <w:r w:rsidRPr="00B450EB">
        <w:t xml:space="preserve">De manera transversal, en toda la región la contribución de sectores como las industrias manufactureras (≤3%) y las actividades profesionales (≤3%) es mínima, lo que evidencia la escasa diversificación productiva y la limitada inserción en cadenas de valor. Esta situación se agrava por los altos niveles de informalidad laboral y la presión de economías ilícitas como la coca, la minería ilegal y la tala de bosques, particularmente en el piedemonte </w:t>
      </w:r>
      <w:sdt>
        <w:sdtPr>
          <w:id w:val="700668566"/>
          <w:citation/>
        </w:sdtPr>
        <w:sdtContent>
          <w:r w:rsidRPr="00B450EB">
            <w:fldChar w:fldCharType="begin"/>
          </w:r>
          <w:r w:rsidRPr="00B450EB">
            <w:rPr>
              <w:lang w:val="es-ES"/>
            </w:rPr>
            <w:instrText xml:space="preserve">CITATION UNO23 \l 3082 </w:instrText>
          </w:r>
          <w:r w:rsidRPr="00B450EB">
            <w:fldChar w:fldCharType="separate"/>
          </w:r>
          <w:r w:rsidR="0077091E" w:rsidRPr="00B450EB">
            <w:rPr>
              <w:noProof/>
              <w:lang w:val="es-ES"/>
            </w:rPr>
            <w:t>(UNODC, 2023)</w:t>
          </w:r>
          <w:r w:rsidRPr="00B450EB">
            <w:fldChar w:fldCharType="end"/>
          </w:r>
        </w:sdtContent>
      </w:sdt>
      <w:r w:rsidRPr="00B450EB">
        <w:t>. Estas dinámicas no solo generan tensiones sociales y territoriales, sino que también incrementan la vulnerabilidad frente a la degradación ambiental, resaltando la necesidad de fortalecer medios de vida sostenibles y fomentar alternativas basadas en el aprovechamiento legal de los recursos naturales.</w:t>
      </w:r>
    </w:p>
    <w:p w14:paraId="3CFA76AF" w14:textId="77777777" w:rsidR="00702D5A" w:rsidRPr="00B450EB" w:rsidRDefault="00702D5A" w:rsidP="00F13488">
      <w:pPr>
        <w:pStyle w:val="Prrafodelista"/>
        <w:numPr>
          <w:ilvl w:val="0"/>
          <w:numId w:val="27"/>
        </w:numPr>
        <w:spacing w:line="240" w:lineRule="auto"/>
        <w:rPr>
          <w:i/>
        </w:rPr>
      </w:pPr>
      <w:r w:rsidRPr="00B450EB">
        <w:rPr>
          <w:i/>
        </w:rPr>
        <w:t>Transformaciones económicas y dependencia:</w:t>
      </w:r>
    </w:p>
    <w:p w14:paraId="6FA7F036" w14:textId="2F4EBD8D" w:rsidR="00702D5A" w:rsidRPr="00B450EB" w:rsidRDefault="00702D5A" w:rsidP="00EE14F2">
      <w:r w:rsidRPr="00B450EB">
        <w:t xml:space="preserve">La explotación petrolera ha marcado durante décadas la economía de departamentos como el Putumayo y Caquetá, generando empleo, regalías e infraestructura como vías de </w:t>
      </w:r>
      <w:r w:rsidR="00D203BB" w:rsidRPr="00B450EB">
        <w:t>acceso.</w:t>
      </w:r>
      <w:r w:rsidRPr="00B450EB">
        <w:t xml:space="preserve"> Por un lado, Putumayo ha sido históricamente un departamento petrolero con más de 70 años de explotación </w:t>
      </w:r>
      <w:proofErr w:type="spellStart"/>
      <w:r w:rsidRPr="00B450EB">
        <w:t>hidrocarburífera</w:t>
      </w:r>
      <w:proofErr w:type="spellEnd"/>
      <w:r w:rsidRPr="00B450EB">
        <w:t xml:space="preserve">, que ha generado regalías, empleo, infraestructura pero que también ha provocado una fuerte dependencia económica y transformación en los medios de vida tradicionales; Anteriormente, las comunidades locales se dedicaban a la agricultura familiar, pesca y recolección de productos forestales </w:t>
      </w:r>
      <w:sdt>
        <w:sdtPr>
          <w:id w:val="1309671553"/>
          <w:citation/>
        </w:sdtPr>
        <w:sdtContent>
          <w:r w:rsidRPr="00B450EB">
            <w:fldChar w:fldCharType="begin"/>
          </w:r>
          <w:r w:rsidRPr="00B450EB">
            <w:rPr>
              <w:lang w:val="es-ES"/>
            </w:rPr>
            <w:instrText xml:space="preserve">CITATION Ana25 \l 3082 </w:instrText>
          </w:r>
          <w:r w:rsidRPr="00B450EB">
            <w:fldChar w:fldCharType="separate"/>
          </w:r>
          <w:r w:rsidR="0077091E" w:rsidRPr="00B450EB">
            <w:rPr>
              <w:noProof/>
              <w:lang w:val="es-ES"/>
            </w:rPr>
            <w:t>(Gonzalez, Peña, &amp; Patzy, 2025)</w:t>
          </w:r>
          <w:r w:rsidRPr="00B450EB">
            <w:fldChar w:fldCharType="end"/>
          </w:r>
        </w:sdtContent>
      </w:sdt>
    </w:p>
    <w:p w14:paraId="18B74340" w14:textId="4AC4640B" w:rsidR="00702D5A" w:rsidRPr="00B450EB" w:rsidRDefault="00702D5A" w:rsidP="00EE14F2">
      <w:r w:rsidRPr="00B450EB">
        <w:t xml:space="preserve">Esta transición económica ha debilitado la capacidad de resiliencia comunitaria, ya que los ingresos derivados del petróleo suelen ser temporales y sensibles a los precios internacional, pero los impactos ambientales generados afectan de manera duradera la base alimentaria y cultural. Un ejemplo de esta situación se materializa en las situaciones de derrames de crudo en fuentes hídricas que generan afectación directa sobre la pesca y el consumo del recurso hídrico, afectando a su vez la salud y economía de la población. Organizaciones no Gubernamentales (ONG) como la Asociación Ambiente y Sociedad (2020), en los Informe de seguimiento a las fugas </w:t>
      </w:r>
      <w:r w:rsidRPr="00B450EB">
        <w:lastRenderedPageBreak/>
        <w:t xml:space="preserve">de crudo han documentado la suspensión de actividades pesqueras en zonas impactadas, lo que evidencia cómo los costos ambientales recaen sobre las comunidades locales, mientras los beneficios económicos se concentran principalmente en actores externos </w:t>
      </w:r>
      <w:sdt>
        <w:sdtPr>
          <w:id w:val="134452453"/>
          <w:citation/>
        </w:sdtPr>
        <w:sdtContent>
          <w:r w:rsidRPr="00B450EB">
            <w:fldChar w:fldCharType="begin"/>
          </w:r>
          <w:r w:rsidRPr="00B450EB">
            <w:rPr>
              <w:lang w:val="es-ES"/>
            </w:rPr>
            <w:instrText xml:space="preserve">CITATION Kar20 \l 3082 </w:instrText>
          </w:r>
          <w:r w:rsidRPr="00B450EB">
            <w:fldChar w:fldCharType="separate"/>
          </w:r>
          <w:r w:rsidR="0077091E" w:rsidRPr="00B450EB">
            <w:rPr>
              <w:noProof/>
              <w:lang w:val="es-ES"/>
            </w:rPr>
            <w:t>(Parra, 2020)</w:t>
          </w:r>
          <w:r w:rsidRPr="00B450EB">
            <w:fldChar w:fldCharType="end"/>
          </w:r>
        </w:sdtContent>
      </w:sdt>
    </w:p>
    <w:p w14:paraId="499BBD00" w14:textId="77777777" w:rsidR="00702D5A" w:rsidRPr="00B450EB" w:rsidRDefault="00702D5A" w:rsidP="00EE14F2">
      <w:r w:rsidRPr="00B450EB">
        <w:t xml:space="preserve">En cuanto al departamento de Caquetá, la explotación de hidrocarburos no ha sido de la misma dimensión que en El Putumayo, la presencia petrolera y minera ha incidido en la transformación de los medios de vida locales. La región, históricamente agrícola y ganadera, enfrenta un proceso de reconfiguración productiva, donde actividades extractivas han desplazado o condicionado las prácticas tradicionales de subsistencia. Los proyectos </w:t>
      </w:r>
      <w:proofErr w:type="spellStart"/>
      <w:r w:rsidRPr="00B450EB">
        <w:t>hidrocarburíferos</w:t>
      </w:r>
      <w:proofErr w:type="spellEnd"/>
      <w:r w:rsidRPr="00B450EB">
        <w:t xml:space="preserve"> en áreas como San Vicente del Caguán y Valparaíso han generado conflictos socioambientales relacionados con la pérdida de tierras, la contaminación de fuentes de agua y la limitación de actividades agropecuarias, afectando la autonomía alimentaria y la organización comunitaria (Defensoría del Pueblo, 2018).</w:t>
      </w:r>
    </w:p>
    <w:p w14:paraId="76AE7F2A" w14:textId="7DE00502" w:rsidR="00702D5A" w:rsidRPr="00B450EB" w:rsidRDefault="00702D5A" w:rsidP="001F7FC8">
      <w:r w:rsidRPr="00B450EB">
        <w:t xml:space="preserve">En cuanto al departamento de Guainía, se presenta la minería aurífera (legal e ilegal), la cual se ha expandido en diferentes municipios incrementando los procesos de deforestación, contaminación por mercurio y degradación de ecosistemas ribereños, reduciendo la disponibilidad de recursos forestales y pesqueros, lo que debilita la base cultural y económica de las comunidades campesinas e indígenas. Esta transformación de los modos de vida de las comunidades en Guainía involucra cambios significativos en su entorno social, económico y ambiental. Según un estudio publicado en la Revista de Estudios Sociales, la minería ilegal en Guainía ha generado graves daños ambientales, incluyendo deforestación y contaminación por mercurio, lo que afecta la biodiversidad y la salud de las comunidades </w:t>
      </w:r>
      <w:sdt>
        <w:sdtPr>
          <w:id w:val="642547511"/>
          <w:citation/>
        </w:sdtPr>
        <w:sdtContent>
          <w:r w:rsidRPr="00B450EB">
            <w:fldChar w:fldCharType="begin"/>
          </w:r>
          <w:r w:rsidRPr="00B450EB">
            <w:rPr>
              <w:lang w:val="es-ES"/>
            </w:rPr>
            <w:instrText xml:space="preserve"> CITATION Rev20 \l 3082 </w:instrText>
          </w:r>
          <w:r w:rsidRPr="00B450EB">
            <w:fldChar w:fldCharType="separate"/>
          </w:r>
          <w:r w:rsidR="0077091E" w:rsidRPr="00B450EB">
            <w:rPr>
              <w:noProof/>
              <w:lang w:val="es-ES"/>
            </w:rPr>
            <w:t>(Revista de Estudios Sociales, 2020)</w:t>
          </w:r>
          <w:r w:rsidRPr="00B450EB">
            <w:fldChar w:fldCharType="end"/>
          </w:r>
        </w:sdtContent>
      </w:sdt>
      <w:r w:rsidRPr="00B450EB">
        <w:t xml:space="preserve">. Además, la presencia de grupos armados ilegales en la región ha generado conflictos sociales y tensiones entre las comunidades locales y las empresas mineras. </w:t>
      </w:r>
    </w:p>
    <w:p w14:paraId="6C934FB2" w14:textId="77777777" w:rsidR="00D203BB" w:rsidRPr="00B450EB" w:rsidRDefault="00D203BB" w:rsidP="001F7FC8"/>
    <w:p w14:paraId="35876BB8" w14:textId="77777777" w:rsidR="00702D5A" w:rsidRPr="00B450EB" w:rsidRDefault="00702D5A" w:rsidP="00702D5A">
      <w:pPr>
        <w:pStyle w:val="Ttulo3"/>
        <w:numPr>
          <w:ilvl w:val="2"/>
          <w:numId w:val="16"/>
        </w:numPr>
        <w:rPr>
          <w:rFonts w:cs="Arial"/>
        </w:rPr>
      </w:pPr>
      <w:bookmarkStart w:id="150" w:name="_Toc209722938"/>
      <w:r w:rsidRPr="00B450EB">
        <w:rPr>
          <w:rFonts w:cs="Arial"/>
        </w:rPr>
        <w:t>Usos y prácticas tradicionales del territorio</w:t>
      </w:r>
      <w:bookmarkEnd w:id="150"/>
    </w:p>
    <w:p w14:paraId="4A4E323F" w14:textId="77777777" w:rsidR="004F2150" w:rsidRPr="00B450EB" w:rsidRDefault="004F2150" w:rsidP="004F2150">
      <w:pPr>
        <w:spacing w:line="259" w:lineRule="auto"/>
      </w:pPr>
      <w:r w:rsidRPr="00B450EB">
        <w:t xml:space="preserve">En el Bioma Amazónico Colombiano, las comunidades étnicas han sostenido una relación estrecha y sostenible con la naturaleza, expresada en prácticas tradicionales que aseguran su subsistencia y aportan a la conservación de la biodiversidad. No obstante, es igualmente crucial reconocer las relaciones interétnicas que configuran el territorio y visibilizar que la defensa de la Amazonía no es exclusiva de los pueblos indígenas. La población </w:t>
      </w:r>
      <w:proofErr w:type="spellStart"/>
      <w:r w:rsidRPr="00B450EB">
        <w:t>afroamazónica</w:t>
      </w:r>
      <w:proofErr w:type="spellEnd"/>
      <w:r w:rsidRPr="00B450EB">
        <w:t xml:space="preserve"> y el campesinado mestizo han desempeñado un papel decisivo en la protección de los bosques y las aguas, a través de prácticas agroalimentarias diversificadas, medicina </w:t>
      </w:r>
      <w:r w:rsidRPr="00B450EB">
        <w:lastRenderedPageBreak/>
        <w:t>tradicional, autogobierno comunitario y la construcción de Zonas de Reserva Campesina.</w:t>
      </w:r>
    </w:p>
    <w:p w14:paraId="34EA77A6" w14:textId="77777777" w:rsidR="004F2150" w:rsidRPr="00B450EB" w:rsidRDefault="004F2150" w:rsidP="004F2150">
      <w:pPr>
        <w:spacing w:line="259" w:lineRule="auto"/>
        <w:rPr>
          <w:i/>
          <w:iCs/>
        </w:rPr>
      </w:pPr>
      <w:r w:rsidRPr="00B450EB">
        <w:t xml:space="preserve">Como lo ha señalado Estefanía Ciro, el campesinado amazónico no puede reducirse a una narrativa de ilegalidad asociada al cultivo de coca, pues esta actividad ha sido una estrategia de subsistencia frente al abandono estatal y, al mismo tiempo, un motor de organización y resistencia. En sus palabras, </w:t>
      </w:r>
      <w:r w:rsidRPr="00B450EB">
        <w:rPr>
          <w:i/>
          <w:iCs/>
        </w:rPr>
        <w:t>“la política antidrogas ha convertido al campesinado en el enemigo interno, desconociendo que la coca ha sido también una respuesta legítima a la falta de Estado y de alternativas económicas”</w:t>
      </w:r>
      <w:sdt>
        <w:sdtPr>
          <w:rPr>
            <w:i/>
            <w:iCs/>
          </w:rPr>
          <w:id w:val="180253478"/>
          <w:citation/>
        </w:sdtPr>
        <w:sdtContent>
          <w:r w:rsidRPr="00B450EB">
            <w:rPr>
              <w:i/>
              <w:iCs/>
            </w:rPr>
            <w:fldChar w:fldCharType="begin"/>
          </w:r>
          <w:r w:rsidRPr="00B450EB">
            <w:rPr>
              <w:i/>
              <w:iCs/>
              <w:lang w:val="es-ES"/>
            </w:rPr>
            <w:instrText xml:space="preserve"> CITATION Est18 \l 3082 </w:instrText>
          </w:r>
          <w:r w:rsidRPr="00B450EB">
            <w:rPr>
              <w:i/>
              <w:iCs/>
            </w:rPr>
            <w:fldChar w:fldCharType="separate"/>
          </w:r>
          <w:r w:rsidR="0077091E" w:rsidRPr="00B450EB">
            <w:rPr>
              <w:i/>
              <w:iCs/>
              <w:noProof/>
              <w:lang w:val="es-ES"/>
            </w:rPr>
            <w:t xml:space="preserve"> </w:t>
          </w:r>
          <w:r w:rsidR="0077091E" w:rsidRPr="00B450EB">
            <w:rPr>
              <w:noProof/>
              <w:lang w:val="es-ES"/>
            </w:rPr>
            <w:t>(Ciro, 2018)</w:t>
          </w:r>
          <w:r w:rsidRPr="00B450EB">
            <w:rPr>
              <w:i/>
              <w:iCs/>
            </w:rPr>
            <w:fldChar w:fldCharType="end"/>
          </w:r>
        </w:sdtContent>
      </w:sdt>
      <w:r w:rsidRPr="00B450EB">
        <w:rPr>
          <w:i/>
          <w:iCs/>
        </w:rPr>
        <w:t xml:space="preserve">. </w:t>
      </w:r>
      <w:r w:rsidRPr="00B450EB">
        <w:t>Integrar esta perspectiva permite reconocer que, lejos de ser agentes de degradación, los campesinos son también guardianes del bosque, cuya lucha por la tierra, la soberanía alimentaria y la justicia ambiental los ubica, junto a pueblos indígenas y afrodescendientes, como actores centrales de la conservación y de la construcción de futuros sostenibles y justos para la región.</w:t>
      </w:r>
    </w:p>
    <w:p w14:paraId="4EFA6563" w14:textId="2B212A04" w:rsidR="00D203BB" w:rsidRPr="00B450EB" w:rsidRDefault="004F2150" w:rsidP="00EE14F2">
      <w:r w:rsidRPr="00B450EB">
        <w:t>En este sentido, se pueden destacar los siguientes aspectos:</w:t>
      </w:r>
    </w:p>
    <w:p w14:paraId="07D496D4" w14:textId="0F1979B8" w:rsidR="003524F5" w:rsidRPr="00B450EB" w:rsidRDefault="003524F5" w:rsidP="003524F5">
      <w:pPr>
        <w:spacing w:line="240" w:lineRule="auto"/>
        <w:rPr>
          <w:i/>
        </w:rPr>
      </w:pPr>
      <w:r w:rsidRPr="00B450EB">
        <w:rPr>
          <w:i/>
        </w:rPr>
        <w:t>Comunidades étnicas:</w:t>
      </w:r>
    </w:p>
    <w:p w14:paraId="4C7E6949" w14:textId="67822BBB" w:rsidR="00702D5A" w:rsidRPr="00B450EB" w:rsidRDefault="00702D5A" w:rsidP="00702D5A">
      <w:pPr>
        <w:pStyle w:val="Prrafodelista"/>
        <w:numPr>
          <w:ilvl w:val="0"/>
          <w:numId w:val="23"/>
        </w:numPr>
        <w:spacing w:line="240" w:lineRule="auto"/>
        <w:rPr>
          <w:i/>
          <w:iCs/>
        </w:rPr>
      </w:pPr>
      <w:r w:rsidRPr="00B450EB">
        <w:rPr>
          <w:i/>
          <w:iCs/>
        </w:rPr>
        <w:t>Agricultura ecológica y diversidad biológica</w:t>
      </w:r>
    </w:p>
    <w:p w14:paraId="2899E685" w14:textId="6C1772E8" w:rsidR="00702D5A" w:rsidRPr="00B450EB" w:rsidRDefault="00702D5A" w:rsidP="00EE14F2">
      <w:r w:rsidRPr="00B450EB">
        <w:t>Las comunidades implementan sistemas agrícolas sostenibles, basados en técnicas agroecológicas que consideran los ciclos naturales y la diversidad de cultivos</w:t>
      </w:r>
      <w:r w:rsidR="00F23B4E" w:rsidRPr="00B450EB">
        <w:t xml:space="preserve"> (yuca, plátano, </w:t>
      </w:r>
      <w:proofErr w:type="spellStart"/>
      <w:r w:rsidR="00F23B4E" w:rsidRPr="00B450EB">
        <w:t>maiz</w:t>
      </w:r>
      <w:proofErr w:type="spellEnd"/>
      <w:r w:rsidR="00F23B4E" w:rsidRPr="00B450EB">
        <w:t>, arroz, cacao, café, entre otras. El intercambio económico se desarrolla a través del mercado local</w:t>
      </w:r>
      <w:r w:rsidR="00D57E0E" w:rsidRPr="00B450EB">
        <w:t>.</w:t>
      </w:r>
      <w:r w:rsidRPr="00B450EB">
        <w:t xml:space="preserve"> Estas prácticas no solo garantizan la seguridad alimentaria, sino que también promueven la regeneración de suelos, la conservación de especies nativas y de servicios ecosistémicos. Además, la combinación de cultivos y la rotación de parcelas reflejan un conocimiento profundo de la dinámica de los ecosistemas y permiten una gestión adaptativa frente a variaciones climáticas y ambientales </w:t>
      </w:r>
      <w:sdt>
        <w:sdtPr>
          <w:id w:val="1772272149"/>
          <w:citation/>
        </w:sdtPr>
        <w:sdtContent>
          <w:r w:rsidRPr="00B450EB">
            <w:fldChar w:fldCharType="begin"/>
          </w:r>
          <w:r w:rsidRPr="00B450EB">
            <w:rPr>
              <w:lang w:val="es-ES"/>
            </w:rPr>
            <w:instrText xml:space="preserve"> CITATION Ins16 \l 3082 </w:instrText>
          </w:r>
          <w:r w:rsidRPr="00B450EB">
            <w:fldChar w:fldCharType="separate"/>
          </w:r>
          <w:r w:rsidR="0077091E" w:rsidRPr="00B450EB">
            <w:rPr>
              <w:noProof/>
              <w:lang w:val="es-ES"/>
            </w:rPr>
            <w:t>(Instituto Amazónico de Investigaciones Científicas SINCHI, 2014)</w:t>
          </w:r>
          <w:r w:rsidRPr="00B450EB">
            <w:fldChar w:fldCharType="end"/>
          </w:r>
        </w:sdtContent>
      </w:sdt>
      <w:r w:rsidRPr="00B450EB">
        <w:t>.</w:t>
      </w:r>
    </w:p>
    <w:p w14:paraId="332D3D5B" w14:textId="77777777" w:rsidR="00702D5A" w:rsidRPr="00B450EB" w:rsidRDefault="00702D5A" w:rsidP="00702D5A">
      <w:pPr>
        <w:pStyle w:val="Prrafodelista"/>
        <w:numPr>
          <w:ilvl w:val="0"/>
          <w:numId w:val="23"/>
        </w:numPr>
        <w:spacing w:line="240" w:lineRule="auto"/>
        <w:rPr>
          <w:i/>
          <w:iCs/>
        </w:rPr>
      </w:pPr>
      <w:r w:rsidRPr="00B450EB">
        <w:rPr>
          <w:i/>
          <w:iCs/>
        </w:rPr>
        <w:t>Cosmovisión y espiritualidad en la gestión territorial</w:t>
      </w:r>
    </w:p>
    <w:p w14:paraId="69979902" w14:textId="0BA0C415" w:rsidR="00702D5A" w:rsidRPr="00B450EB" w:rsidRDefault="00702D5A" w:rsidP="00EE14F2">
      <w:r w:rsidRPr="00B450EB">
        <w:t xml:space="preserve">La cosmovisión indígena integra lo espiritual y lo sagrado con el manejo del territorio, influenciando la planificación territorial endógena y la conservación de sitios de importancia cultural y ecológica. Esta perspectiva asegura que la interacción humana con el entorno natural sea armónica y sostenible, promoviendo la protección de ecosistemas clave y la preservación de valores culturales y espirituales que fortalecen la identidad comunitaria </w:t>
      </w:r>
      <w:sdt>
        <w:sdtPr>
          <w:id w:val="2120878513"/>
          <w:citation/>
        </w:sdtPr>
        <w:sdtContent>
          <w:r w:rsidRPr="00B450EB">
            <w:fldChar w:fldCharType="begin"/>
          </w:r>
          <w:r w:rsidRPr="00B450EB">
            <w:rPr>
              <w:lang w:val="es-ES"/>
            </w:rPr>
            <w:instrText xml:space="preserve">CITATION Ins16 \l 3082 </w:instrText>
          </w:r>
          <w:r w:rsidRPr="00B450EB">
            <w:fldChar w:fldCharType="separate"/>
          </w:r>
          <w:r w:rsidR="0077091E" w:rsidRPr="00B450EB">
            <w:rPr>
              <w:noProof/>
              <w:lang w:val="es-ES"/>
            </w:rPr>
            <w:t>(Instituto Amazónico de Investigaciones Científicas SINCHI, 2014)</w:t>
          </w:r>
          <w:r w:rsidRPr="00B450EB">
            <w:fldChar w:fldCharType="end"/>
          </w:r>
        </w:sdtContent>
      </w:sdt>
    </w:p>
    <w:p w14:paraId="4E497B09" w14:textId="77777777" w:rsidR="00ED5617" w:rsidRPr="00B450EB" w:rsidRDefault="00ED5617" w:rsidP="00EE14F2"/>
    <w:p w14:paraId="77D5D078" w14:textId="77777777" w:rsidR="00702D5A" w:rsidRPr="00B450EB" w:rsidRDefault="00702D5A" w:rsidP="00702D5A">
      <w:pPr>
        <w:pStyle w:val="Prrafodelista"/>
        <w:numPr>
          <w:ilvl w:val="0"/>
          <w:numId w:val="23"/>
        </w:numPr>
        <w:spacing w:line="240" w:lineRule="auto"/>
        <w:rPr>
          <w:i/>
          <w:iCs/>
        </w:rPr>
      </w:pPr>
      <w:r w:rsidRPr="00B450EB">
        <w:rPr>
          <w:i/>
          <w:iCs/>
        </w:rPr>
        <w:lastRenderedPageBreak/>
        <w:t>Manejo sostenible de recursos hidrobiológicos</w:t>
      </w:r>
    </w:p>
    <w:p w14:paraId="60AB7744" w14:textId="26CEC5B8" w:rsidR="00702D5A" w:rsidRPr="00B450EB" w:rsidRDefault="00702D5A" w:rsidP="00EE14F2">
      <w:r w:rsidRPr="00B450EB">
        <w:t xml:space="preserve">El aprovechamiento de recursos hidrobiológicos se realiza mediante conocimientos tradicionales que garantizan su uso sostenible y la disponibilidad continua de estos recursos para las generaciones futuras. Estas prácticas aseguran la resiliencia ecológica de los ecosistemas acuáticos y refuerzan los mecanismos locales de conservación, incluyendo la protección de especies estratégicas y la regulación de la presión de pesca en función de la estacionalidad y la capacidad de regeneración del ecosistema </w:t>
      </w:r>
      <w:sdt>
        <w:sdtPr>
          <w:id w:val="-101189494"/>
          <w:citation/>
        </w:sdtPr>
        <w:sdtContent>
          <w:r w:rsidRPr="00B450EB">
            <w:fldChar w:fldCharType="begin"/>
          </w:r>
          <w:r w:rsidRPr="00B450EB">
            <w:rPr>
              <w:lang w:val="es-ES"/>
            </w:rPr>
            <w:instrText xml:space="preserve">CITATION Ins16 \l 3082 </w:instrText>
          </w:r>
          <w:r w:rsidRPr="00B450EB">
            <w:fldChar w:fldCharType="separate"/>
          </w:r>
          <w:r w:rsidR="0077091E" w:rsidRPr="00B450EB">
            <w:rPr>
              <w:noProof/>
              <w:lang w:val="es-ES"/>
            </w:rPr>
            <w:t>(Instituto Amazónico de Investigaciones Científicas SINCHI, 2014)</w:t>
          </w:r>
          <w:r w:rsidRPr="00B450EB">
            <w:fldChar w:fldCharType="end"/>
          </w:r>
        </w:sdtContent>
      </w:sdt>
    </w:p>
    <w:p w14:paraId="2D0B464B" w14:textId="77777777" w:rsidR="00702D5A" w:rsidRPr="00B450EB" w:rsidRDefault="00702D5A" w:rsidP="00702D5A">
      <w:pPr>
        <w:pStyle w:val="Prrafodelista"/>
        <w:numPr>
          <w:ilvl w:val="0"/>
          <w:numId w:val="23"/>
        </w:numPr>
        <w:spacing w:line="240" w:lineRule="auto"/>
        <w:rPr>
          <w:i/>
          <w:iCs/>
        </w:rPr>
      </w:pPr>
      <w:r w:rsidRPr="00B450EB">
        <w:rPr>
          <w:i/>
          <w:iCs/>
        </w:rPr>
        <w:t>Protección y valorización del conocimiento tradicional</w:t>
      </w:r>
    </w:p>
    <w:p w14:paraId="249475E0" w14:textId="27903F77" w:rsidR="00702D5A" w:rsidRPr="00B450EB" w:rsidRDefault="00702D5A" w:rsidP="00EE14F2">
      <w:r w:rsidRPr="00B450EB">
        <w:t xml:space="preserve">El conocimiento tradicional constituye un recurso estratégico para la conservación del territorio y la formulación de políticas públicas ambientalmente sostenibles. Su transmisión intergeneracional garantiza la continuidad de prácticas adaptadas a las condiciones locales, fortaleciendo la resiliencia social y ecológica de las comunidades. La valorización y protección de estos saberes permite reconocer el papel activo de las comunidades en la gestión sostenible del territorio, reforzando la justificación técnica para la declaratoria de zona de reserva y subrayando cómo las prácticas tradicionales contribuyen a mantener la integridad ecológica del Bioma Amazónico </w:t>
      </w:r>
      <w:sdt>
        <w:sdtPr>
          <w:id w:val="1625819344"/>
          <w:citation/>
        </w:sdtPr>
        <w:sdtContent>
          <w:r w:rsidRPr="00B450EB">
            <w:fldChar w:fldCharType="begin"/>
          </w:r>
          <w:r w:rsidRPr="00B450EB">
            <w:rPr>
              <w:lang w:val="es-ES"/>
            </w:rPr>
            <w:instrText xml:space="preserve">CITATION Ins16 \l 3082 </w:instrText>
          </w:r>
          <w:r w:rsidRPr="00B450EB">
            <w:fldChar w:fldCharType="separate"/>
          </w:r>
          <w:r w:rsidR="0077091E" w:rsidRPr="00B450EB">
            <w:rPr>
              <w:noProof/>
              <w:lang w:val="es-ES"/>
            </w:rPr>
            <w:t>(Instituto Amazónico de Investigaciones Científicas SINCHI, 2014)</w:t>
          </w:r>
          <w:r w:rsidRPr="00B450EB">
            <w:fldChar w:fldCharType="end"/>
          </w:r>
        </w:sdtContent>
      </w:sdt>
    </w:p>
    <w:p w14:paraId="62821553" w14:textId="712FD11A" w:rsidR="003524F5" w:rsidRPr="00B450EB" w:rsidRDefault="003524F5" w:rsidP="00A73BCD">
      <w:pPr>
        <w:jc w:val="left"/>
        <w:rPr>
          <w:i/>
          <w:sz w:val="22"/>
          <w:szCs w:val="22"/>
        </w:rPr>
      </w:pPr>
      <w:r w:rsidRPr="00B450EB">
        <w:rPr>
          <w:i/>
          <w:iCs/>
        </w:rPr>
        <w:t xml:space="preserve">Comunidades </w:t>
      </w:r>
      <w:proofErr w:type="spellStart"/>
      <w:r w:rsidR="000E2F59" w:rsidRPr="00B450EB">
        <w:rPr>
          <w:i/>
          <w:iCs/>
        </w:rPr>
        <w:t>afroamazónicas</w:t>
      </w:r>
      <w:proofErr w:type="spellEnd"/>
      <w:r w:rsidR="000E2F59" w:rsidRPr="00B450EB">
        <w:rPr>
          <w:i/>
          <w:iCs/>
        </w:rPr>
        <w:t xml:space="preserve"> y campesinas:</w:t>
      </w:r>
    </w:p>
    <w:p w14:paraId="1DB20304" w14:textId="77777777" w:rsidR="00A73BCD" w:rsidRPr="00B450EB" w:rsidRDefault="00A73BCD" w:rsidP="001975A2">
      <w:pPr>
        <w:pStyle w:val="Prrafodelista"/>
        <w:numPr>
          <w:ilvl w:val="0"/>
          <w:numId w:val="47"/>
        </w:numPr>
        <w:spacing w:line="259" w:lineRule="auto"/>
      </w:pPr>
      <w:r w:rsidRPr="00B450EB">
        <w:rPr>
          <w:i/>
          <w:iCs/>
        </w:rPr>
        <w:t>Producción agroalimentaria sostenible:</w:t>
      </w:r>
      <w:r w:rsidRPr="00B450EB">
        <w:t xml:space="preserve"> combinan cultivos de </w:t>
      </w:r>
      <w:proofErr w:type="spellStart"/>
      <w:r w:rsidRPr="00B450EB">
        <w:t>pancoger</w:t>
      </w:r>
      <w:proofErr w:type="spellEnd"/>
      <w:r w:rsidRPr="00B450EB">
        <w:t xml:space="preserve"> (yuca, maíz, plátano, arroz, frutales) con sistemas tradicionales de manejo que integran la conservación de suelos y bosques, en contraposición a la expansión de monocultivos y la ganadería extensiva.</w:t>
      </w:r>
    </w:p>
    <w:p w14:paraId="512A7F94" w14:textId="77777777" w:rsidR="00A73BCD" w:rsidRPr="00B450EB" w:rsidRDefault="00A73BCD" w:rsidP="001975A2">
      <w:pPr>
        <w:pStyle w:val="Prrafodelista"/>
        <w:numPr>
          <w:ilvl w:val="0"/>
          <w:numId w:val="47"/>
        </w:numPr>
        <w:spacing w:line="259" w:lineRule="auto"/>
      </w:pPr>
      <w:r w:rsidRPr="00B450EB">
        <w:rPr>
          <w:i/>
          <w:iCs/>
        </w:rPr>
        <w:t>Uso de medicina tradicional y plantas para sanar daños ambientales</w:t>
      </w:r>
      <w:r w:rsidRPr="00B450EB">
        <w:t>: han utilizado saberes ancestrales y remedios naturales para enfrentar los efectos negativos de fumigaciones con glifosato, mostrando una resiliencia ecológica y cultural ante la contaminación química.</w:t>
      </w:r>
    </w:p>
    <w:p w14:paraId="666D2369" w14:textId="77777777" w:rsidR="00A73BCD" w:rsidRPr="00B450EB" w:rsidRDefault="00A73BCD" w:rsidP="001975A2">
      <w:pPr>
        <w:pStyle w:val="Prrafodelista"/>
        <w:numPr>
          <w:ilvl w:val="0"/>
          <w:numId w:val="47"/>
        </w:numPr>
        <w:spacing w:line="259" w:lineRule="auto"/>
      </w:pPr>
      <w:r w:rsidRPr="00B450EB">
        <w:rPr>
          <w:i/>
          <w:iCs/>
        </w:rPr>
        <w:t>Zonas de Reserva Campesina (ZRC):</w:t>
      </w:r>
      <w:r w:rsidRPr="00B450EB">
        <w:t xml:space="preserve"> impulsan la creación y consolidación de estas figuras como instrumentos de autogobierno territorial, que buscan detener la deforestación, ordenar el uso del suelo y garantizar un equilibrio entre producción agroalimentaria y conservación ambiental.</w:t>
      </w:r>
    </w:p>
    <w:p w14:paraId="6C0BDB42" w14:textId="6436434A" w:rsidR="000E2F59" w:rsidRPr="00B450EB" w:rsidRDefault="00A73BCD" w:rsidP="001975A2">
      <w:pPr>
        <w:pStyle w:val="Prrafodelista"/>
        <w:numPr>
          <w:ilvl w:val="0"/>
          <w:numId w:val="47"/>
        </w:numPr>
        <w:spacing w:line="259" w:lineRule="auto"/>
      </w:pPr>
      <w:r w:rsidRPr="00B450EB">
        <w:rPr>
          <w:i/>
          <w:iCs/>
        </w:rPr>
        <w:t>Gobernanza comunitaria y asambleas locales:</w:t>
      </w:r>
      <w:r w:rsidRPr="00B450EB">
        <w:t xml:space="preserve"> las comunidades se organizan en espacios colectivos para tomar decisiones sobre el uso del territorio, resolver conflictos y proponer alternativas de manejo sostenible.</w:t>
      </w:r>
    </w:p>
    <w:p w14:paraId="52F572B0" w14:textId="77777777" w:rsidR="00B34DB2" w:rsidRPr="00B450EB" w:rsidRDefault="00B34DB2" w:rsidP="00B34DB2">
      <w:pPr>
        <w:pStyle w:val="Prrafodelista"/>
        <w:spacing w:line="259" w:lineRule="auto"/>
      </w:pPr>
    </w:p>
    <w:p w14:paraId="07EE8DFA" w14:textId="77777777" w:rsidR="002F2023" w:rsidRPr="00B450EB" w:rsidRDefault="002F2023" w:rsidP="00B34DB2">
      <w:pPr>
        <w:pStyle w:val="Prrafodelista"/>
        <w:spacing w:line="259" w:lineRule="auto"/>
      </w:pPr>
    </w:p>
    <w:p w14:paraId="48D6DDE6" w14:textId="5FF4F619" w:rsidR="006D3558" w:rsidRPr="00B450EB" w:rsidRDefault="006D3558" w:rsidP="002F2023">
      <w:pPr>
        <w:pStyle w:val="Ttulo3"/>
        <w:numPr>
          <w:ilvl w:val="2"/>
          <w:numId w:val="16"/>
        </w:numPr>
        <w:spacing w:after="0"/>
        <w:rPr>
          <w:rFonts w:cs="Arial"/>
        </w:rPr>
      </w:pPr>
      <w:bookmarkStart w:id="151" w:name="_Toc209722939"/>
      <w:r w:rsidRPr="00B450EB">
        <w:rPr>
          <w:rFonts w:cs="Arial"/>
        </w:rPr>
        <w:lastRenderedPageBreak/>
        <w:t xml:space="preserve">Análisis </w:t>
      </w:r>
      <w:r w:rsidR="005E013E" w:rsidRPr="00B450EB">
        <w:rPr>
          <w:rFonts w:cs="Arial"/>
        </w:rPr>
        <w:t>E</w:t>
      </w:r>
      <w:r w:rsidR="00F046AE" w:rsidRPr="00B450EB">
        <w:rPr>
          <w:rFonts w:cs="Arial"/>
        </w:rPr>
        <w:t>conómico</w:t>
      </w:r>
      <w:bookmarkEnd w:id="151"/>
    </w:p>
    <w:p w14:paraId="0D191889" w14:textId="77777777" w:rsidR="006F3825" w:rsidRPr="00B450EB" w:rsidRDefault="006F3825" w:rsidP="006F3825"/>
    <w:p w14:paraId="1E026AA8" w14:textId="7473E190" w:rsidR="00F046AE" w:rsidRPr="00B450EB" w:rsidRDefault="0008161A" w:rsidP="002F2023">
      <w:pPr>
        <w:spacing w:after="0"/>
      </w:pPr>
      <w:r w:rsidRPr="00B450EB">
        <w:t>A partir de la caracterización socioeconómica realizada, se establece que las actividades de minería e hidrocarburos presentan una mayor concentración en los departamentos de Caquetá y Putumayo. En este marco, el análisis económico subsiguiente se orienta de manera específica hacia estas dos jurisdicciones, con el fin de profundizar en sus dinámicas particulares.</w:t>
      </w:r>
    </w:p>
    <w:p w14:paraId="2EEEE4A2" w14:textId="77777777" w:rsidR="0008161A" w:rsidRPr="00B450EB" w:rsidRDefault="0008161A" w:rsidP="002F2023">
      <w:pPr>
        <w:spacing w:after="0"/>
      </w:pPr>
    </w:p>
    <w:p w14:paraId="17F75ED8" w14:textId="686B5741" w:rsidR="00F046AE" w:rsidRPr="00B450EB" w:rsidRDefault="00F046AE" w:rsidP="002F2023">
      <w:pPr>
        <w:pStyle w:val="Ttulo4"/>
        <w:spacing w:before="0"/>
      </w:pPr>
      <w:r w:rsidRPr="00B450EB">
        <w:t>Estructura productiva departamental</w:t>
      </w:r>
    </w:p>
    <w:p w14:paraId="051088B7" w14:textId="77777777" w:rsidR="001975A2" w:rsidRPr="00B450EB" w:rsidRDefault="001975A2" w:rsidP="001975A2"/>
    <w:p w14:paraId="07FE3C25" w14:textId="34E98625" w:rsidR="00F046AE" w:rsidRPr="00B450EB" w:rsidRDefault="00F046AE" w:rsidP="00F046AE">
      <w:pPr>
        <w:pStyle w:val="Ttulo5"/>
      </w:pPr>
      <w:r w:rsidRPr="00B450EB">
        <w:t>Departamento del Caquetá</w:t>
      </w:r>
    </w:p>
    <w:p w14:paraId="3CAB2313" w14:textId="77777777" w:rsidR="002F2023" w:rsidRPr="00B450EB" w:rsidRDefault="002F2023" w:rsidP="002F2023">
      <w:r w:rsidRPr="00B450EB">
        <w:t>El análisis de las Cuentas Departamentales del DANE (2023) y los perfiles económicos elaborados por el Departamento Nacional de Planeación – DNP (2022) evidencia que la economía del Caquetá se encuentra sustentada en un grupo reducido de sectores no extractivos, entre los cuales se destacan:</w:t>
      </w:r>
    </w:p>
    <w:p w14:paraId="0C6D5C68" w14:textId="77777777" w:rsidR="002F2023" w:rsidRPr="00B450EB" w:rsidRDefault="002F2023" w:rsidP="001975A2">
      <w:pPr>
        <w:numPr>
          <w:ilvl w:val="0"/>
          <w:numId w:val="56"/>
        </w:numPr>
      </w:pPr>
      <w:r w:rsidRPr="00B450EB">
        <w:t>Administración pública y defensa: 32,5% del valor agregado departamental.</w:t>
      </w:r>
    </w:p>
    <w:p w14:paraId="5A7EC6B7" w14:textId="77777777" w:rsidR="002F2023" w:rsidRPr="00B450EB" w:rsidRDefault="002F2023" w:rsidP="001975A2">
      <w:pPr>
        <w:numPr>
          <w:ilvl w:val="0"/>
          <w:numId w:val="56"/>
        </w:numPr>
      </w:pPr>
      <w:r w:rsidRPr="00B450EB">
        <w:t>Comercio y servicios de reparación: 20,6%.</w:t>
      </w:r>
    </w:p>
    <w:p w14:paraId="4C9A3884" w14:textId="77777777" w:rsidR="002F2023" w:rsidRPr="00B450EB" w:rsidRDefault="002F2023" w:rsidP="001975A2">
      <w:pPr>
        <w:numPr>
          <w:ilvl w:val="0"/>
          <w:numId w:val="56"/>
        </w:numPr>
      </w:pPr>
      <w:r w:rsidRPr="00B450EB">
        <w:t>Agropecuario, silvicultura y pesca: 19,7%.</w:t>
      </w:r>
    </w:p>
    <w:p w14:paraId="5376F838" w14:textId="77777777" w:rsidR="002F2023" w:rsidRPr="00B450EB" w:rsidRDefault="002F2023" w:rsidP="001975A2">
      <w:pPr>
        <w:numPr>
          <w:ilvl w:val="0"/>
          <w:numId w:val="56"/>
        </w:numPr>
      </w:pPr>
      <w:r w:rsidRPr="00B450EB">
        <w:t>Construcción: 5,6%.</w:t>
      </w:r>
    </w:p>
    <w:p w14:paraId="161D5523" w14:textId="77777777" w:rsidR="002F2023" w:rsidRPr="00B450EB" w:rsidRDefault="002F2023" w:rsidP="001975A2">
      <w:pPr>
        <w:numPr>
          <w:ilvl w:val="0"/>
          <w:numId w:val="56"/>
        </w:numPr>
      </w:pPr>
      <w:r w:rsidRPr="00B450EB">
        <w:t>Actividades inmobiliarias: 6,5%.</w:t>
      </w:r>
    </w:p>
    <w:p w14:paraId="7E57DC8E" w14:textId="77777777" w:rsidR="002F2023" w:rsidRPr="00B450EB" w:rsidRDefault="002F2023" w:rsidP="002F2023">
      <w:r w:rsidRPr="00B450EB">
        <w:t>En este escenario, la participación del sector de minas y canteras, incluyendo hidrocarburos, es marginal y no figura entre los principales renglones de la producción departamental. La dinámica del crecimiento económico del Caquetá ha estado determinada principalmente por el desarrollo de la agricultura, la ganadería y la provisión de servicios básicos, acompañados de la relevancia del gasto público en su condición de departamento receptor de transferencias de la Nación.</w:t>
      </w:r>
    </w:p>
    <w:p w14:paraId="0BB5204F" w14:textId="77777777" w:rsidR="002F2023" w:rsidRPr="00B450EB" w:rsidRDefault="002F2023" w:rsidP="002F2023">
      <w:r w:rsidRPr="00B450EB">
        <w:t xml:space="preserve">Desde un punto de vista estructural, Caquetá presenta un perfil económico caracterizado por la </w:t>
      </w:r>
      <w:r w:rsidRPr="00B450EB">
        <w:rPr>
          <w:b/>
          <w:bCs/>
        </w:rPr>
        <w:t>dependencia de la ganadería extensiva y la agricultura de subsistencia</w:t>
      </w:r>
      <w:r w:rsidRPr="00B450EB">
        <w:t>, con limitada diversificación industrial y bajo desarrollo del sector manufacturero (Pineda, 2020). Esto lo convierte en una economía cuya estabilidad no depende de los ciclos del mercado de hidrocarburos, sino de políticas públicas, subsidios y el desempeño de actividades agropecuarias de baja complejidad tecnológica.</w:t>
      </w:r>
    </w:p>
    <w:p w14:paraId="3EA53FC1" w14:textId="77777777" w:rsidR="002F2023" w:rsidRPr="00B450EB" w:rsidRDefault="002F2023" w:rsidP="002F2023">
      <w:r w:rsidRPr="00B450EB">
        <w:lastRenderedPageBreak/>
        <w:t>La literatura ha documentado que, en economías amazónicas, los sectores extractivos suelen tener una presencia marginal y, en los casos en que logran desarrollarse, no generan transformaciones estructurales debido a la baja capacidad de absorción de capital humano local y a la fragilidad institucional (</w:t>
      </w:r>
      <w:proofErr w:type="spellStart"/>
      <w:r w:rsidRPr="00B450EB">
        <w:t>Baptiste</w:t>
      </w:r>
      <w:proofErr w:type="spellEnd"/>
      <w:r w:rsidRPr="00B450EB">
        <w:t xml:space="preserve"> et al., 2017; PNUD, 2024). En el caso de Caquetá, esto se traduce en que </w:t>
      </w:r>
      <w:r w:rsidRPr="00B450EB">
        <w:rPr>
          <w:b/>
          <w:bCs/>
        </w:rPr>
        <w:t>la apertura o cierre de proyectos de hidrocarburos no impacta de manera significativa la estabilidad macroeconómica ni los indicadores de bienestar de la población</w:t>
      </w:r>
      <w:r w:rsidRPr="00B450EB">
        <w:t>.</w:t>
      </w:r>
    </w:p>
    <w:p w14:paraId="648BACC6" w14:textId="77777777" w:rsidR="002F2023" w:rsidRPr="00B450EB" w:rsidRDefault="002F2023" w:rsidP="002F2023">
      <w:r w:rsidRPr="00B450EB">
        <w:t xml:space="preserve">Adicionalmente, la importancia de Caquetá en términos de </w:t>
      </w:r>
      <w:r w:rsidRPr="00B450EB">
        <w:rPr>
          <w:b/>
          <w:bCs/>
        </w:rPr>
        <w:t>servicios ecosistémicos y provisión de bienes ambientales globales</w:t>
      </w:r>
      <w:r w:rsidRPr="00B450EB">
        <w:t xml:space="preserve"> (regulación climática, captura de carbono, provisión de agua) refuerza la necesidad de valorar un modelo productivo alternativo, menos dependiente de la lógica extractiva y más centrado en actividades sostenibles (</w:t>
      </w:r>
      <w:proofErr w:type="spellStart"/>
      <w:r w:rsidRPr="00B450EB">
        <w:t>Armenteras</w:t>
      </w:r>
      <w:proofErr w:type="spellEnd"/>
      <w:r w:rsidRPr="00B450EB">
        <w:t xml:space="preserve"> &amp; Rodríguez, 2018).</w:t>
      </w:r>
    </w:p>
    <w:p w14:paraId="5D7003B7" w14:textId="1271924A" w:rsidR="002F2023" w:rsidRPr="00B450EB" w:rsidRDefault="002F2023" w:rsidP="002F2023">
      <w:r w:rsidRPr="00B450EB">
        <w:t>En Caquetá, la no apertura de nuevos proyectos de hidrocarburos o minería no representa un riesgo económico significativo, dado que el sector extractivo no constituye un motor en la estructura productiva ni en el crecimiento departamental. Por el contrario, los estudios sugieren que mantener un perfil económico basado en agro y servicios, acompañado de estrategias de diversificación sostenible, podría generar beneficios más estables y compatibles con la conservación ambiental (</w:t>
      </w:r>
      <w:proofErr w:type="spellStart"/>
      <w:r w:rsidRPr="00B450EB">
        <w:t>Baptiste</w:t>
      </w:r>
      <w:proofErr w:type="spellEnd"/>
      <w:r w:rsidRPr="00B450EB">
        <w:t xml:space="preserve"> et al., 2017; PNUD, 2024).</w:t>
      </w:r>
    </w:p>
    <w:p w14:paraId="2D4B70E1" w14:textId="6C9EC5C6" w:rsidR="002F2023" w:rsidRPr="00B450EB" w:rsidRDefault="002F2023" w:rsidP="002F2023"/>
    <w:p w14:paraId="423622B5" w14:textId="73173755" w:rsidR="002F2023" w:rsidRPr="00B450EB" w:rsidRDefault="002F2023" w:rsidP="00713FAA">
      <w:pPr>
        <w:pStyle w:val="Ttulo5"/>
      </w:pPr>
      <w:r w:rsidRPr="00B450EB">
        <w:t>Departamento del Putumayo</w:t>
      </w:r>
    </w:p>
    <w:p w14:paraId="31DE51B9" w14:textId="77777777" w:rsidR="002F2023" w:rsidRPr="00B450EB" w:rsidRDefault="002F2023" w:rsidP="002F2023">
      <w:r w:rsidRPr="00B450EB">
        <w:t>En el caso de Putumayo, la información de las Cuentas Departamentales del DNP (2022) y del Ministerio de Comercio, Industria y Turismo (Perfil Exportador, 2023) muestra un panorama distinto:</w:t>
      </w:r>
    </w:p>
    <w:p w14:paraId="38F1E320" w14:textId="77777777" w:rsidR="002F2023" w:rsidRPr="00B450EB" w:rsidRDefault="002F2023" w:rsidP="001975A2">
      <w:pPr>
        <w:numPr>
          <w:ilvl w:val="0"/>
          <w:numId w:val="48"/>
        </w:numPr>
      </w:pPr>
      <w:r w:rsidRPr="00B450EB">
        <w:t>El sector de minas y canteras, fundamentalmente petróleo crudo, explica alrededor del 36,5% del PIB departamental.</w:t>
      </w:r>
    </w:p>
    <w:p w14:paraId="32A30FF4" w14:textId="77777777" w:rsidR="002F2023" w:rsidRPr="00B450EB" w:rsidRDefault="002F2023" w:rsidP="001975A2">
      <w:pPr>
        <w:numPr>
          <w:ilvl w:val="0"/>
          <w:numId w:val="48"/>
        </w:numPr>
      </w:pPr>
      <w:r w:rsidRPr="00B450EB">
        <w:t>Las exportaciones del departamento están altamente concentradas, con un 99,8% correspondiente al petróleo crudo, lo que configura un modelo de enclave extractivo.</w:t>
      </w:r>
    </w:p>
    <w:p w14:paraId="34A7C880" w14:textId="77777777" w:rsidR="002F2023" w:rsidRPr="00B450EB" w:rsidRDefault="002F2023" w:rsidP="001975A2">
      <w:pPr>
        <w:numPr>
          <w:ilvl w:val="0"/>
          <w:numId w:val="48"/>
        </w:numPr>
      </w:pPr>
      <w:r w:rsidRPr="00B450EB">
        <w:t>Sin embargo, la relevancia estadística del petróleo en el PIB no se traduce en encadenamientos productivos hacia otros sectores. El aporte a la diversificación económica, al desarrollo de agroindustrias o a la consolidación de servicios locales es reducido.</w:t>
      </w:r>
    </w:p>
    <w:p w14:paraId="23C3AD92" w14:textId="77777777" w:rsidR="002F2023" w:rsidRPr="00B450EB" w:rsidRDefault="002F2023" w:rsidP="002F2023">
      <w:r w:rsidRPr="00B450EB">
        <w:lastRenderedPageBreak/>
        <w:t xml:space="preserve">La literatura económica y social sobre el Putumayo ha señalado reiteradamente que el modelo extractivo en el departamento corresponde a un </w:t>
      </w:r>
      <w:r w:rsidRPr="00B450EB">
        <w:rPr>
          <w:b/>
          <w:bCs/>
        </w:rPr>
        <w:t>patrón de enclave</w:t>
      </w:r>
      <w:r w:rsidRPr="00B450EB">
        <w:t>: genera ingresos fiscales y exportaciones, pero no impulsa un desarrollo económico inclusivo. Según Fedesarrollo (2021), la dependencia petrolera en Putumayo ha implicado una vulnerabilidad alta frente a los ciclos de precios internacionales, sin traducirse en crecimiento sostenido ni diversificación económica.</w:t>
      </w:r>
    </w:p>
    <w:p w14:paraId="24E67010" w14:textId="77777777" w:rsidR="002F2023" w:rsidRPr="00B450EB" w:rsidRDefault="002F2023" w:rsidP="002F2023">
      <w:r w:rsidRPr="00B450EB">
        <w:t xml:space="preserve">El PNUD (2024) enfatiza que, aunque el petróleo concentra la mayoría de las exportaciones y aporta de manera significativa a los ingresos públicos, </w:t>
      </w:r>
      <w:r w:rsidRPr="00B450EB">
        <w:rPr>
          <w:b/>
          <w:bCs/>
        </w:rPr>
        <w:t>los efectos sobre el empleo local y la generación de ingresos sostenibles son limitados</w:t>
      </w:r>
      <w:r w:rsidRPr="00B450EB">
        <w:t>, pues gran parte de la operación requiere mano de obra calificada proveniente de otras regiones y capital intensivo que no circula en el mercado local.</w:t>
      </w:r>
    </w:p>
    <w:p w14:paraId="3765EE3B" w14:textId="2E550031" w:rsidR="002F2023" w:rsidRPr="00B450EB" w:rsidRDefault="002F2023" w:rsidP="002F2023">
      <w:r w:rsidRPr="00B450EB">
        <w:t xml:space="preserve">Este fenómeno ha sido ampliamente estudiado en la literatura bajo el concepto de la </w:t>
      </w:r>
      <w:r w:rsidRPr="00B450EB">
        <w:rPr>
          <w:b/>
          <w:bCs/>
        </w:rPr>
        <w:t>“paradoja de la abundancia”</w:t>
      </w:r>
      <w:r w:rsidRPr="00B450EB">
        <w:t xml:space="preserve"> o “enfermedad holandesa” (Sachs &amp; Warner, 2001; Sánchez &amp; Velasco, 2018), donde los territorios ricos en recursos naturales no logran convertir esa riqueza en desarrollo sostenible. En el Putumayo, la concentración en el petróleo ha inhibido la consolidación de sectores productivos como la agroindustria de cacao, café o caucho, que cuentan con potencial</w:t>
      </w:r>
      <w:r w:rsidR="004562A5" w:rsidRPr="00B450EB">
        <w:t>,</w:t>
      </w:r>
      <w:r w:rsidRPr="00B450EB">
        <w:t xml:space="preserve"> pero no logran escalar debido a la primacía del sector extractivo en la inversión pública y privada.</w:t>
      </w:r>
    </w:p>
    <w:p w14:paraId="5C710DCC" w14:textId="77777777" w:rsidR="002F2023" w:rsidRPr="00B450EB" w:rsidRDefault="002F2023" w:rsidP="002F2023">
      <w:r w:rsidRPr="00B450EB">
        <w:t>De igual forma, estudios de carácter socioeconómico han señalado que la alta dependencia del petróleo no se ha traducido en mejores condiciones sociales. El Informe Nacional de Desarrollo Humano (PNUD, 2021) muestra que los municipios petroleros del Putumayo tienen indicadores de pobreza multidimensional y acceso a servicios básicos similares a municipios no petroleros, lo que confirma la débil capacidad redistributiva del sector extractivo.</w:t>
      </w:r>
    </w:p>
    <w:p w14:paraId="782B2612" w14:textId="5C9C51F6" w:rsidR="002F2023" w:rsidRPr="00B450EB" w:rsidRDefault="00713FAA" w:rsidP="002F2023">
      <w:r w:rsidRPr="00B450EB">
        <w:t>En ese sentido, e</w:t>
      </w:r>
      <w:r w:rsidR="002F2023" w:rsidRPr="00B450EB">
        <w:t>n Putumayo, la alta participación del petróleo en el PIB responde a un patrón de enclave que beneficia principalmente las cuentas externas y fiscales, pero que no se traduce en un motor amplio de desarrollo local. Por ello, la ausencia de nuevos proyectos no constituye, en términos estructurales, una pérdida económica significativa para la población, ya que no genera efectos sustantivos sobre diversificación productiva ni empleo sostenible. Al contrario, la evidencia académica señala que la dependencia extractiva reproduce vulnerabilidades y limita las posibilidades de desarrollo territorial (Fedesarrollo, 2021; PNUD, 2024; Sánchez &amp; Velasco, 2018).</w:t>
      </w:r>
    </w:p>
    <w:p w14:paraId="4AE43A42" w14:textId="77777777" w:rsidR="001975A2" w:rsidRPr="00B450EB" w:rsidRDefault="001975A2" w:rsidP="002F2023"/>
    <w:p w14:paraId="0230CA6B" w14:textId="69FD1F29" w:rsidR="00C90D35" w:rsidRPr="00B450EB" w:rsidRDefault="00C90D35" w:rsidP="008D344E">
      <w:pPr>
        <w:pStyle w:val="Ttulo4"/>
      </w:pPr>
      <w:r w:rsidRPr="00B450EB">
        <w:lastRenderedPageBreak/>
        <w:t>Generación de empleo y encadenamientos productivos</w:t>
      </w:r>
    </w:p>
    <w:p w14:paraId="24D20A58" w14:textId="3F84CB43" w:rsidR="00C90D35" w:rsidRPr="00B450EB" w:rsidRDefault="00C90D35" w:rsidP="008D344E">
      <w:pPr>
        <w:pStyle w:val="Ttulo5"/>
      </w:pPr>
      <w:r w:rsidRPr="00B450EB">
        <w:t>Participación nacional del sector extractivo en empleo</w:t>
      </w:r>
    </w:p>
    <w:p w14:paraId="60705CD2" w14:textId="77777777" w:rsidR="00306966" w:rsidRPr="00B450EB" w:rsidRDefault="00306966" w:rsidP="00306966">
      <w:pPr>
        <w:spacing w:after="0"/>
      </w:pPr>
    </w:p>
    <w:p w14:paraId="28E3908A" w14:textId="79C39D24" w:rsidR="00C90D35" w:rsidRPr="00B450EB" w:rsidRDefault="00C90D35" w:rsidP="00C90D35">
      <w:r w:rsidRPr="00B450EB">
        <w:t>La evidencia nacional indica que el sector de hidrocarburos y minería, a pesar de su aporte al PIB, tiene una participación mínima en la generación de empleo directo.</w:t>
      </w:r>
    </w:p>
    <w:p w14:paraId="3D2CBBF3" w14:textId="77777777" w:rsidR="00C90D35" w:rsidRPr="00B450EB" w:rsidRDefault="00C90D35" w:rsidP="001975A2">
      <w:pPr>
        <w:numPr>
          <w:ilvl w:val="0"/>
          <w:numId w:val="49"/>
        </w:numPr>
      </w:pPr>
      <w:r w:rsidRPr="00B450EB">
        <w:t xml:space="preserve">De acuerdo con el </w:t>
      </w:r>
      <w:r w:rsidRPr="00B450EB">
        <w:rPr>
          <w:b/>
          <w:bCs/>
        </w:rPr>
        <w:t>PNUD – Informe de Desarrollo Humano 2024</w:t>
      </w:r>
      <w:r w:rsidRPr="00B450EB">
        <w:t>, el sector de minas y canteras contribuyó en promedio con 1,2% del empleo nacional en 2022, mientras que su aporte al PIB superó el 7%.</w:t>
      </w:r>
    </w:p>
    <w:p w14:paraId="78332D7E" w14:textId="77777777" w:rsidR="00C90D35" w:rsidRPr="00B450EB" w:rsidRDefault="00C90D35" w:rsidP="001975A2">
      <w:pPr>
        <w:numPr>
          <w:ilvl w:val="0"/>
          <w:numId w:val="49"/>
        </w:numPr>
      </w:pPr>
      <w:r w:rsidRPr="00B450EB">
        <w:t>Esta diferencia refleja su carácter altamente capital-intensivo, en el cual la inversión en maquinaria, tecnología y equipos desplaza la necesidad de mano de obra masiva.</w:t>
      </w:r>
    </w:p>
    <w:p w14:paraId="4EEA771D" w14:textId="77777777" w:rsidR="00955A04" w:rsidRPr="00B450EB" w:rsidRDefault="00955A04" w:rsidP="00955A04">
      <w:r w:rsidRPr="00B450EB">
        <w:t xml:space="preserve">La evidencia nacional e internacional coincide en señalar que el sector extractivo —particularmente hidrocarburos y minería—, a pesar de su alta contribución al PIB y a las exportaciones, tiene una participación reducida en la generación de empleo directo e indirecto. Según el </w:t>
      </w:r>
      <w:r w:rsidRPr="00B450EB">
        <w:rPr>
          <w:b/>
          <w:bCs/>
        </w:rPr>
        <w:t>PNUD (2024)</w:t>
      </w:r>
      <w:r w:rsidRPr="00B450EB">
        <w:t xml:space="preserve">, en Colombia el sector de minas y canteras aportó en promedio el </w:t>
      </w:r>
      <w:r w:rsidRPr="00B450EB">
        <w:rPr>
          <w:b/>
          <w:bCs/>
        </w:rPr>
        <w:t>1,2% del empleo nacional en 2022</w:t>
      </w:r>
      <w:r w:rsidRPr="00B450EB">
        <w:t xml:space="preserve">, mientras que su participación en el PIB superó el </w:t>
      </w:r>
      <w:r w:rsidRPr="00B450EB">
        <w:rPr>
          <w:b/>
          <w:bCs/>
        </w:rPr>
        <w:t>7%</w:t>
      </w:r>
      <w:r w:rsidRPr="00B450EB">
        <w:t xml:space="preserve">, confirmando su carácter </w:t>
      </w:r>
      <w:r w:rsidRPr="00B450EB">
        <w:rPr>
          <w:b/>
          <w:bCs/>
        </w:rPr>
        <w:t>altamente capital-intensivo</w:t>
      </w:r>
      <w:r w:rsidRPr="00B450EB">
        <w:t>: la inversión en maquinaria, tecnología y equipos sustituye la necesidad de mano de obra masiva.</w:t>
      </w:r>
    </w:p>
    <w:p w14:paraId="27CFB72B" w14:textId="66B2B034" w:rsidR="007733DB" w:rsidRPr="00B450EB" w:rsidRDefault="007733DB" w:rsidP="00955A04">
      <w:r w:rsidRPr="00B450EB">
        <w:t xml:space="preserve">Acosta (2010) y Gudynas (2012) explican cómo la minería y los hidrocarburos se caracterizan por un perfil de </w:t>
      </w:r>
      <w:r w:rsidRPr="00B450EB">
        <w:rPr>
          <w:b/>
          <w:bCs/>
        </w:rPr>
        <w:t>“empleo escaso y poco inclusivo”</w:t>
      </w:r>
      <w:r w:rsidRPr="00B450EB">
        <w:t>, en el que la mayor parte de la renta se concentra en la fase de extracción sin generar impactos masivos en la ocupación nacional.</w:t>
      </w:r>
    </w:p>
    <w:p w14:paraId="13E86DFA" w14:textId="3A7B2422" w:rsidR="00955A04" w:rsidRPr="00B450EB" w:rsidRDefault="00955A04" w:rsidP="00955A04">
      <w:r w:rsidRPr="00B450EB">
        <w:t xml:space="preserve">La literatura académica sobre Colombia ha documentado este desajuste entre el peso macroeconómico del sector y sus impactos laborales. </w:t>
      </w:r>
      <w:r w:rsidRPr="00B450EB">
        <w:rPr>
          <w:b/>
          <w:bCs/>
        </w:rPr>
        <w:t>Sarmiento-Castillo (2018)</w:t>
      </w:r>
      <w:r w:rsidRPr="00B450EB">
        <w:t xml:space="preserve"> muestra que existe una “desvinculación económica” del </w:t>
      </w:r>
      <w:proofErr w:type="spellStart"/>
      <w:r w:rsidRPr="00B450EB">
        <w:t>extractivismo</w:t>
      </w:r>
      <w:proofErr w:type="spellEnd"/>
      <w:r w:rsidRPr="00B450EB">
        <w:t xml:space="preserve">: la expansión de la minería y los hidrocarburos no genera efectos significativos sobre el empleo en los territorios donde operan, ya que sus encadenamientos productivos son débiles y dependen en gran medida de insumos y servicios externos. De forma complementaria, el informe </w:t>
      </w:r>
      <w:r w:rsidRPr="00B450EB">
        <w:rPr>
          <w:i/>
          <w:iCs/>
        </w:rPr>
        <w:t>Los efectos del boom de las industrias extractivas en los indicadores sociales – Colombia</w:t>
      </w:r>
      <w:r w:rsidRPr="00B450EB">
        <w:t xml:space="preserve"> (</w:t>
      </w:r>
      <w:r w:rsidR="00957CFD" w:rsidRPr="00B450EB">
        <w:t xml:space="preserve">Peña &amp; </w:t>
      </w:r>
      <w:r w:rsidR="00BA1A23" w:rsidRPr="00B450EB">
        <w:t>Martínez</w:t>
      </w:r>
      <w:r w:rsidR="00957CFD" w:rsidRPr="00B450EB">
        <w:t>, 2016</w:t>
      </w:r>
      <w:r w:rsidRPr="00B450EB">
        <w:t>.) concluye que, durante el auge petrolero y minero, los indicadores de empleo y reducción de pobreza no mejoraron proporcionalmente al crecimiento del PIB ni a las exportaciones, evidenciando una limitada capacidad del sector para generar bienestar local.</w:t>
      </w:r>
    </w:p>
    <w:p w14:paraId="56CFCC83" w14:textId="77777777" w:rsidR="00955A04" w:rsidRPr="00B450EB" w:rsidRDefault="00955A04" w:rsidP="00955A04">
      <w:r w:rsidRPr="00B450EB">
        <w:lastRenderedPageBreak/>
        <w:t xml:space="preserve">A nivel empresarial, </w:t>
      </w:r>
      <w:r w:rsidRPr="00B450EB">
        <w:rPr>
          <w:b/>
          <w:bCs/>
        </w:rPr>
        <w:t>Morelos-Gómez et al. (2017)</w:t>
      </w:r>
      <w:r w:rsidRPr="00B450EB">
        <w:t xml:space="preserve"> encontraron que, incluso en zonas de concentración minera y energética, las empresas extractivas mostraban bajos niveles de encadenamiento con proveedores locales, lo que restringe su capacidad de dinamizar la economía territorial mediante la creación de empleo sostenido.</w:t>
      </w:r>
    </w:p>
    <w:p w14:paraId="7CE59C5F" w14:textId="77777777" w:rsidR="00955A04" w:rsidRPr="00B450EB" w:rsidRDefault="00955A04" w:rsidP="00955A04">
      <w:r w:rsidRPr="00B450EB">
        <w:t>Este patrón se observa también en otros países de la región. Estudios en Perú, Ecuador y Bolivia muestran que los proyectos extractivos pueden aumentar el PIB y las exportaciones, pero su contribución a la reducción del desempleo o la informalidad es mínima (</w:t>
      </w:r>
      <w:proofErr w:type="spellStart"/>
      <w:r w:rsidRPr="00B450EB">
        <w:t>Bebbington</w:t>
      </w:r>
      <w:proofErr w:type="spellEnd"/>
      <w:r w:rsidRPr="00B450EB">
        <w:t xml:space="preserve"> et al., 2008; De Echave, 2009). En conjunto, la evidencia respalda que </w:t>
      </w:r>
      <w:r w:rsidRPr="00B450EB">
        <w:rPr>
          <w:b/>
          <w:bCs/>
        </w:rPr>
        <w:t>el crecimiento del sector extractivo no se traduce automáticamente en mayores oportunidades de empleo local</w:t>
      </w:r>
      <w:r w:rsidRPr="00B450EB">
        <w:t>, limitando los beneficios socioeconómicos de su expansión en los territorios y reforzando su carácter de enclave.</w:t>
      </w:r>
    </w:p>
    <w:p w14:paraId="330BA648" w14:textId="77777777" w:rsidR="001975A2" w:rsidRPr="00B450EB" w:rsidRDefault="001975A2" w:rsidP="00955A04"/>
    <w:p w14:paraId="30925567" w14:textId="3530082F" w:rsidR="00050D9E" w:rsidRPr="00B450EB" w:rsidRDefault="00050D9E" w:rsidP="00056120">
      <w:pPr>
        <w:pStyle w:val="Ttulo5"/>
      </w:pPr>
      <w:r w:rsidRPr="00B450EB">
        <w:t>Empleo en Caquetá</w:t>
      </w:r>
    </w:p>
    <w:p w14:paraId="78E32875" w14:textId="77777777" w:rsidR="00050D9E" w:rsidRPr="00B450EB" w:rsidRDefault="00050D9E" w:rsidP="00050D9E">
      <w:r w:rsidRPr="00B450EB">
        <w:t>En el departamento del Caquetá, la marginalidad del sector extractivo en la estructura productiva se refleja también en la escasa generación de empleo directo e indirecto:</w:t>
      </w:r>
    </w:p>
    <w:p w14:paraId="3D93FAC1" w14:textId="77777777" w:rsidR="00050D9E" w:rsidRPr="00B450EB" w:rsidRDefault="00050D9E" w:rsidP="001975A2">
      <w:pPr>
        <w:numPr>
          <w:ilvl w:val="0"/>
          <w:numId w:val="50"/>
        </w:numPr>
      </w:pPr>
      <w:r w:rsidRPr="00B450EB">
        <w:t>La oferta laboral se concentra en actividades agropecuarias, comercio y administración pública, que en conjunto explican más del 70% de la ocupación departamental.</w:t>
      </w:r>
    </w:p>
    <w:p w14:paraId="71078777" w14:textId="77777777" w:rsidR="00050D9E" w:rsidRPr="00B450EB" w:rsidRDefault="00050D9E" w:rsidP="001975A2">
      <w:pPr>
        <w:numPr>
          <w:ilvl w:val="0"/>
          <w:numId w:val="50"/>
        </w:numPr>
      </w:pPr>
      <w:r w:rsidRPr="00B450EB">
        <w:t xml:space="preserve">La minería y los hidrocarburos no figuran dentro de los sectores con incidencia significativa en el mercado laboral, ni en las estadísticas de empleo del </w:t>
      </w:r>
      <w:r w:rsidRPr="00B450EB">
        <w:rPr>
          <w:b/>
          <w:bCs/>
        </w:rPr>
        <w:t>DANE – Gran Encuesta Integrada de Hogares (2022–2023)</w:t>
      </w:r>
      <w:r w:rsidRPr="00B450EB">
        <w:t>.</w:t>
      </w:r>
    </w:p>
    <w:p w14:paraId="48E4D9C4" w14:textId="77777777" w:rsidR="00050D9E" w:rsidRPr="00B450EB" w:rsidRDefault="00050D9E" w:rsidP="001975A2">
      <w:pPr>
        <w:numPr>
          <w:ilvl w:val="0"/>
          <w:numId w:val="50"/>
        </w:numPr>
      </w:pPr>
      <w:r w:rsidRPr="00B450EB">
        <w:t>Los intentos de atraer inversión extractiva en el pasado no han modificado este patrón, debido a la baja presencia de proyectos en operación.</w:t>
      </w:r>
    </w:p>
    <w:p w14:paraId="0E82FFA9" w14:textId="77777777" w:rsidR="00050D9E" w:rsidRPr="00B450EB" w:rsidRDefault="00050D9E" w:rsidP="00050D9E">
      <w:r w:rsidRPr="00B450EB">
        <w:t xml:space="preserve">De acuerdo con estudios de Pineda (2020) y </w:t>
      </w:r>
      <w:proofErr w:type="spellStart"/>
      <w:r w:rsidRPr="00B450EB">
        <w:t>Baptiste</w:t>
      </w:r>
      <w:proofErr w:type="spellEnd"/>
      <w:r w:rsidRPr="00B450EB">
        <w:t xml:space="preserve"> et al. (2017), las economías amazónicas como la de Caquetá tienen una fuerte dependencia de actividades agropecuarias y de servicios, lo que configura mercados laborales estables en torno a sectores no extractivos. Además, el carácter periférico de estas economías hace que las inversiones extractivas, en caso de materializarse, tiendan a operar como enclaves sin arrastrar cambios significativos en la estructura laboral.</w:t>
      </w:r>
    </w:p>
    <w:p w14:paraId="5296A67F" w14:textId="790C537C" w:rsidR="00050D9E" w:rsidRPr="00B450EB" w:rsidRDefault="00050D9E" w:rsidP="00050D9E">
      <w:r w:rsidRPr="00B450EB">
        <w:t>La ausencia de nuevos proyectos extractivos en Caquetá no tiene efectos adversos sobre el empleo, dado que la población activa se vincula de manera predominante a sectores distintos al minero-energético.</w:t>
      </w:r>
    </w:p>
    <w:p w14:paraId="787E4780" w14:textId="33059AB1" w:rsidR="00050D9E" w:rsidRPr="00B450EB" w:rsidRDefault="00050D9E" w:rsidP="00050D9E"/>
    <w:p w14:paraId="1F89F2E3" w14:textId="355D2FA6" w:rsidR="00050D9E" w:rsidRPr="00B450EB" w:rsidRDefault="00050D9E" w:rsidP="00056120">
      <w:pPr>
        <w:pStyle w:val="Ttulo5"/>
      </w:pPr>
      <w:r w:rsidRPr="00B450EB">
        <w:t>Empleo en Putumayo</w:t>
      </w:r>
    </w:p>
    <w:p w14:paraId="0A37ABD6" w14:textId="77777777" w:rsidR="00050D9E" w:rsidRPr="00B450EB" w:rsidRDefault="00050D9E" w:rsidP="00050D9E">
      <w:r w:rsidRPr="00B450EB">
        <w:t>En el caso de Putumayo, si bien la extracción de petróleo representa una alta proporción del PIB, el efecto sobre el empleo local es limitado:</w:t>
      </w:r>
    </w:p>
    <w:p w14:paraId="14C7DB28" w14:textId="77777777" w:rsidR="00050D9E" w:rsidRPr="00B450EB" w:rsidRDefault="00050D9E" w:rsidP="001975A2">
      <w:pPr>
        <w:numPr>
          <w:ilvl w:val="0"/>
          <w:numId w:val="51"/>
        </w:numPr>
      </w:pPr>
      <w:r w:rsidRPr="00B450EB">
        <w:t>La mayoría de las operaciones de explotación requieren mano de obra calificada especializada, que en buena parte es contratada fuera del territorio, reduciendo el impacto en la ocupación de la población local.</w:t>
      </w:r>
    </w:p>
    <w:p w14:paraId="522F39AA" w14:textId="77777777" w:rsidR="00050D9E" w:rsidRPr="00B450EB" w:rsidRDefault="00050D9E" w:rsidP="001975A2">
      <w:pPr>
        <w:numPr>
          <w:ilvl w:val="0"/>
          <w:numId w:val="51"/>
        </w:numPr>
      </w:pPr>
      <w:r w:rsidRPr="00B450EB">
        <w:t>Los empleos directos generados son escasos y temporales, ligados a fases específicas de exploración o perforación, mientras que en etapas de producción los requerimientos laborales son mínimos.</w:t>
      </w:r>
    </w:p>
    <w:p w14:paraId="78C40812" w14:textId="77777777" w:rsidR="00050D9E" w:rsidRPr="00B450EB" w:rsidRDefault="00050D9E" w:rsidP="001975A2">
      <w:pPr>
        <w:numPr>
          <w:ilvl w:val="0"/>
          <w:numId w:val="51"/>
        </w:numPr>
      </w:pPr>
      <w:r w:rsidRPr="00B450EB">
        <w:t xml:space="preserve">Las estadísticas de ocupación del </w:t>
      </w:r>
      <w:r w:rsidRPr="00B450EB">
        <w:rPr>
          <w:b/>
          <w:bCs/>
        </w:rPr>
        <w:t>DANE (2022–2023)</w:t>
      </w:r>
      <w:r w:rsidRPr="00B450EB">
        <w:t xml:space="preserve"> muestran que los principales sectores generadores de empleo en Putumayo siguen siendo agricultura, comercio y administración pública, y no la actividad extractiva.</w:t>
      </w:r>
    </w:p>
    <w:p w14:paraId="1376882A" w14:textId="77777777" w:rsidR="00050D9E" w:rsidRPr="00B450EB" w:rsidRDefault="00050D9E" w:rsidP="00050D9E">
      <w:r w:rsidRPr="00B450EB">
        <w:t xml:space="preserve">La investigación de Fedesarrollo (2021) y el </w:t>
      </w:r>
      <w:r w:rsidRPr="00B450EB">
        <w:rPr>
          <w:b/>
          <w:bCs/>
        </w:rPr>
        <w:t>PNUD (2024)</w:t>
      </w:r>
      <w:r w:rsidRPr="00B450EB">
        <w:t xml:space="preserve"> confirma que, aunque el petróleo constituye el principal rubro del PIB y de las exportaciones, sus efectos sobre el empleo son marginales. Se trata de una actividad intensiva en capital que genera </w:t>
      </w:r>
      <w:r w:rsidRPr="00B450EB">
        <w:rPr>
          <w:b/>
          <w:bCs/>
        </w:rPr>
        <w:t>empleos reducidos, temporales y poco inclusivos de la mano de obra local</w:t>
      </w:r>
      <w:r w:rsidRPr="00B450EB">
        <w:t>, lo que limita su capacidad de transformar de manera estructural los mercados laborales.</w:t>
      </w:r>
    </w:p>
    <w:p w14:paraId="45525CD8" w14:textId="77777777" w:rsidR="00050D9E" w:rsidRPr="00B450EB" w:rsidRDefault="00050D9E" w:rsidP="00050D9E">
      <w:r w:rsidRPr="00B450EB">
        <w:t>Este patrón reproduce lo que la literatura denomina la “paradoja de la abundancia”: territorios ricos en recursos que no logran convertir su renta en desarrollo inclusivo ni en oportunidades de empleo sostenibles (Sánchez &amp; Velasco, 2018; Sachs &amp; Warner, 2001).</w:t>
      </w:r>
    </w:p>
    <w:p w14:paraId="03C09D0B" w14:textId="30DE867A" w:rsidR="00050D9E" w:rsidRPr="00B450EB" w:rsidRDefault="0029235B" w:rsidP="00050D9E">
      <w:r w:rsidRPr="00B450EB">
        <w:t>En conclusión, e</w:t>
      </w:r>
      <w:r w:rsidR="00050D9E" w:rsidRPr="00B450EB">
        <w:t xml:space="preserve">l peso del petróleo en el PIB departamental no se traduce en dinamismo laboral local. Por ello, </w:t>
      </w:r>
      <w:r w:rsidR="00050D9E" w:rsidRPr="00B450EB">
        <w:rPr>
          <w:b/>
          <w:bCs/>
        </w:rPr>
        <w:t>la ausencia de nuevos proyectos no implica pérdidas significativas de empleo en la región</w:t>
      </w:r>
      <w:r w:rsidR="00050D9E" w:rsidRPr="00B450EB">
        <w:t>.</w:t>
      </w:r>
    </w:p>
    <w:p w14:paraId="1CEE1B7D" w14:textId="77777777" w:rsidR="000A7121" w:rsidRPr="00B450EB" w:rsidRDefault="000A7121" w:rsidP="00050D9E"/>
    <w:p w14:paraId="780F92D5" w14:textId="55FFDC92" w:rsidR="00A8612B" w:rsidRPr="00B450EB" w:rsidRDefault="00A8612B" w:rsidP="0060760F">
      <w:pPr>
        <w:pStyle w:val="Ttulo5"/>
        <w:rPr>
          <w:lang w:eastAsia="es-CO"/>
        </w:rPr>
      </w:pPr>
      <w:r w:rsidRPr="00B450EB">
        <w:rPr>
          <w:lang w:eastAsia="es-CO"/>
        </w:rPr>
        <w:t>Encadenamientos productivos</w:t>
      </w:r>
    </w:p>
    <w:p w14:paraId="34EC0D5E" w14:textId="77777777" w:rsidR="00306966" w:rsidRPr="00B450EB" w:rsidRDefault="00306966" w:rsidP="00306966">
      <w:pPr>
        <w:spacing w:after="0"/>
        <w:rPr>
          <w:lang w:eastAsia="es-CO"/>
        </w:rPr>
      </w:pPr>
    </w:p>
    <w:p w14:paraId="725575A8" w14:textId="77777777" w:rsidR="000A7121" w:rsidRPr="00B450EB" w:rsidRDefault="000A7121" w:rsidP="000A7121">
      <w:r w:rsidRPr="00B450EB">
        <w:t xml:space="preserve">El análisis de encadenamientos productivos permite comprender la capacidad de un sector para irradiar beneficios hacia otras actividades económicas y generar efectos multiplicadores en el desarrollo territorial. En términos generales, la literatura económica ha demostrado que los sectores con mayores </w:t>
      </w:r>
      <w:r w:rsidRPr="00B450EB">
        <w:rPr>
          <w:b/>
          <w:bCs/>
        </w:rPr>
        <w:t>encadenamientos hacia atrás</w:t>
      </w:r>
      <w:r w:rsidRPr="00B450EB">
        <w:t xml:space="preserve"> (compras de insumos, servicios y tecnología) y </w:t>
      </w:r>
      <w:r w:rsidRPr="00B450EB">
        <w:rPr>
          <w:b/>
          <w:bCs/>
        </w:rPr>
        <w:t>hacia adelante</w:t>
      </w:r>
      <w:r w:rsidRPr="00B450EB">
        <w:t xml:space="preserve"> </w:t>
      </w:r>
      <w:r w:rsidRPr="00B450EB">
        <w:lastRenderedPageBreak/>
        <w:t>(transformación y agregación de valor a la producción) son los que contribuyen con más fuerza al crecimiento económico inclusivo (</w:t>
      </w:r>
      <w:proofErr w:type="spellStart"/>
      <w:r w:rsidRPr="00B450EB">
        <w:t>Hirschman</w:t>
      </w:r>
      <w:proofErr w:type="spellEnd"/>
      <w:r w:rsidRPr="00B450EB">
        <w:t>, 1958; Hausmann &amp; Hidalgo, 2011).</w:t>
      </w:r>
    </w:p>
    <w:p w14:paraId="538F9F3F" w14:textId="77777777" w:rsidR="000A7121" w:rsidRPr="00B450EB" w:rsidRDefault="000A7121" w:rsidP="000A7121">
      <w:r w:rsidRPr="00B450EB">
        <w:t xml:space="preserve">En Colombia, distintos estudios han mostrado que los sectores extractivos presentan encadenamientos débiles en comparación con actividades como la agroindustria, la construcción o la manufactura. De acuerdo con </w:t>
      </w:r>
      <w:r w:rsidRPr="00B450EB">
        <w:rPr>
          <w:b/>
          <w:bCs/>
        </w:rPr>
        <w:t>Fedesarrollo (2021)</w:t>
      </w:r>
      <w:r w:rsidRPr="00B450EB">
        <w:t xml:space="preserve"> y el </w:t>
      </w:r>
      <w:r w:rsidRPr="00B450EB">
        <w:rPr>
          <w:b/>
          <w:bCs/>
        </w:rPr>
        <w:t>CEDE (2020)</w:t>
      </w:r>
      <w:r w:rsidRPr="00B450EB">
        <w:t>, la minería y los hidrocarburos generan pocos vínculos con proveedores locales, dado que la mayoría de los insumos (maquinaria pesada, combustibles, servicios técnicos especializados) provienen de otras regiones o del extranjero. Esta situación limita la posibilidad de que las rentas generadas se traduzcan en dinamización de las economías regionales.</w:t>
      </w:r>
    </w:p>
    <w:p w14:paraId="47DD1F69" w14:textId="77777777" w:rsidR="000A7121" w:rsidRPr="00B450EB" w:rsidRDefault="000A7121" w:rsidP="000A7121">
      <w:r w:rsidRPr="00B450EB">
        <w:t xml:space="preserve">En el caso del </w:t>
      </w:r>
      <w:r w:rsidRPr="00B450EB">
        <w:rPr>
          <w:b/>
          <w:bCs/>
        </w:rPr>
        <w:t>Putumayo</w:t>
      </w:r>
      <w:r w:rsidRPr="00B450EB">
        <w:t>, el carácter de enclave exportador del petróleo refuerza esta dinámica. La actividad está orientada casi exclusivamente a la producción de crudo para exportación, con escasos procesos de transformación local y bajos niveles de contratación de bienes y servicios en el territorio. Esto implica que la mayor parte de los beneficios se concentran en las cuentas fiscales por concepto de regalías, mientras que las cadenas productivas locales permanecen débiles y con poca articulación.</w:t>
      </w:r>
    </w:p>
    <w:p w14:paraId="090ACBBA" w14:textId="77777777" w:rsidR="000A7121" w:rsidRPr="00B450EB" w:rsidRDefault="000A7121" w:rsidP="000A7121">
      <w:r w:rsidRPr="00B450EB">
        <w:t xml:space="preserve">Por su parte, en el </w:t>
      </w:r>
      <w:r w:rsidRPr="00B450EB">
        <w:rPr>
          <w:b/>
          <w:bCs/>
        </w:rPr>
        <w:t>Caquetá</w:t>
      </w:r>
      <w:r w:rsidRPr="00B450EB">
        <w:t>, la marginalidad del sector extractivo se traduce en encadenamientos prácticamente inexistentes. La economía regional depende de la agricultura, la ganadería y el comercio, sin que la minería o los hidrocarburos hayan logrado insertarse como motores de encadenamiento económico. La ausencia de infraestructura extractiva significativa explica que no haya demanda local de insumos o servicios que puedan arrastrar la expansión de otros sectores.</w:t>
      </w:r>
    </w:p>
    <w:p w14:paraId="7E36441B" w14:textId="77777777" w:rsidR="000A7121" w:rsidRPr="00B450EB" w:rsidRDefault="000A7121" w:rsidP="000A7121">
      <w:r w:rsidRPr="00B450EB">
        <w:t xml:space="preserve">La evidencia comparada en América Latina coincide con este diagnóstico. Autores como </w:t>
      </w:r>
      <w:proofErr w:type="spellStart"/>
      <w:r w:rsidRPr="00B450EB">
        <w:rPr>
          <w:b/>
          <w:bCs/>
        </w:rPr>
        <w:t>Bebbington</w:t>
      </w:r>
      <w:proofErr w:type="spellEnd"/>
      <w:r w:rsidRPr="00B450EB">
        <w:rPr>
          <w:b/>
          <w:bCs/>
        </w:rPr>
        <w:t xml:space="preserve"> et al. (2008)</w:t>
      </w:r>
      <w:r w:rsidRPr="00B450EB">
        <w:t xml:space="preserve"> y </w:t>
      </w:r>
      <w:r w:rsidRPr="00B450EB">
        <w:rPr>
          <w:b/>
          <w:bCs/>
        </w:rPr>
        <w:t>Gudynas (2012)</w:t>
      </w:r>
      <w:r w:rsidRPr="00B450EB">
        <w:t xml:space="preserve"> han mostrado que la minería y los hidrocarburos operan como </w:t>
      </w:r>
      <w:r w:rsidRPr="00B450EB">
        <w:rPr>
          <w:b/>
          <w:bCs/>
        </w:rPr>
        <w:t>“enclaves”</w:t>
      </w:r>
      <w:r w:rsidRPr="00B450EB">
        <w:t>, donde la mayor parte de la renta fluye hacia mercados internacionales o hacia el nivel central del Estado, sin fortalecer la base productiva local. Este fenómeno se diferencia de sectores como la agroindustria o la manufactura, que generan efectos multiplicadores en empleo, encadenamientos y demanda de servicios locales.</w:t>
      </w:r>
    </w:p>
    <w:p w14:paraId="02DFC017" w14:textId="2C6D6717" w:rsidR="000A7121" w:rsidRPr="00B450EB" w:rsidRDefault="000A7121" w:rsidP="00306966">
      <w:r w:rsidRPr="00B450EB">
        <w:t xml:space="preserve">En ambos departamentos, los encadenamientos productivos asociados al sector extractivo son débiles o inexistentes. En Putumayo, la lógica de enclave exportador del petróleo impide que se consoliden redes productivas locales; en Caquetá, la ausencia de actividad extractiva refuerza la inexistencia de vínculos. En consecuencia, la no apertura de nuevos proyectos de hidrocarburos o minería no </w:t>
      </w:r>
      <w:r w:rsidRPr="00B450EB">
        <w:lastRenderedPageBreak/>
        <w:t>limita la capacidad de dinamización económica regional. Por el contrario, la evidencia sugiere que el verdadero potencial de encadenamientos se encuentra en sectores como la agroindustria, la construcción y los servicios, cuya expansión sí podría generar impactos positivos en el desarrollo territorial sostenible.</w:t>
      </w:r>
    </w:p>
    <w:p w14:paraId="1B3912D3" w14:textId="77777777" w:rsidR="0060760F" w:rsidRPr="00B450EB" w:rsidRDefault="0060760F" w:rsidP="0060760F">
      <w:pPr>
        <w:spacing w:after="0"/>
      </w:pPr>
    </w:p>
    <w:p w14:paraId="544372CB" w14:textId="77777777" w:rsidR="00B34B2D" w:rsidRPr="00B450EB" w:rsidRDefault="00B34B2D" w:rsidP="0060760F">
      <w:pPr>
        <w:spacing w:after="0"/>
      </w:pPr>
    </w:p>
    <w:p w14:paraId="6A938401" w14:textId="77777777" w:rsidR="00B34B2D" w:rsidRPr="00B450EB" w:rsidRDefault="00B34B2D" w:rsidP="0060760F">
      <w:pPr>
        <w:spacing w:after="0"/>
      </w:pPr>
    </w:p>
    <w:p w14:paraId="0C4ABEF9" w14:textId="49E23088" w:rsidR="000E05A3" w:rsidRPr="00B450EB" w:rsidRDefault="000E05A3" w:rsidP="0060760F">
      <w:pPr>
        <w:pStyle w:val="Ttulo5"/>
        <w:rPr>
          <w:lang w:eastAsia="es-CO"/>
        </w:rPr>
      </w:pPr>
      <w:r w:rsidRPr="00B450EB">
        <w:rPr>
          <w:lang w:eastAsia="es-CO"/>
        </w:rPr>
        <w:t>Empleo indirecto y terciarización</w:t>
      </w:r>
    </w:p>
    <w:p w14:paraId="40D84A02" w14:textId="77777777" w:rsidR="00306966" w:rsidRPr="00B450EB" w:rsidRDefault="00306966" w:rsidP="00306966">
      <w:pPr>
        <w:spacing w:after="0"/>
        <w:rPr>
          <w:lang w:eastAsia="es-CO"/>
        </w:rPr>
      </w:pPr>
    </w:p>
    <w:p w14:paraId="72D88AA8" w14:textId="77777777" w:rsidR="0004253D" w:rsidRPr="00B450EB" w:rsidRDefault="0004253D" w:rsidP="0004253D">
      <w:pPr>
        <w:rPr>
          <w:rFonts w:ascii="Times New Roman" w:hAnsi="Times New Roman"/>
        </w:rPr>
      </w:pPr>
      <w:r w:rsidRPr="00B450EB">
        <w:t xml:space="preserve">Es relevante considerar también los posibles efectos de empleo indirecto y terciarización asociados a la actividad extractiva. Durante las fases de exploración o construcción de infraestructura, se observa una expansión temporal en la demanda de servicios de alimentación, transporte, alojamiento y actividades conexas. Sin embargo, la literatura coincide en que estos empleos son de carácter </w:t>
      </w:r>
      <w:r w:rsidRPr="00B450EB">
        <w:rPr>
          <w:rStyle w:val="Textoennegrita"/>
        </w:rPr>
        <w:t>transitorio y precario</w:t>
      </w:r>
      <w:r w:rsidRPr="00B450EB">
        <w:t>, concentrados en periodos cortos del ciclo de vida del proyecto (</w:t>
      </w:r>
      <w:proofErr w:type="spellStart"/>
      <w:r w:rsidRPr="00B450EB">
        <w:t>Bebbington</w:t>
      </w:r>
      <w:proofErr w:type="spellEnd"/>
      <w:r w:rsidRPr="00B450EB">
        <w:t xml:space="preserve"> et al., 2008; De Echave, 2009).</w:t>
      </w:r>
    </w:p>
    <w:p w14:paraId="784C42DE" w14:textId="77777777" w:rsidR="0004253D" w:rsidRPr="00B450EB" w:rsidRDefault="0004253D" w:rsidP="0004253D">
      <w:pPr>
        <w:pStyle w:val="NormalWeb"/>
        <w:spacing w:line="276" w:lineRule="auto"/>
        <w:jc w:val="both"/>
        <w:rPr>
          <w:rFonts w:ascii="Arial" w:hAnsi="Arial" w:cs="Arial"/>
          <w:lang w:val="es-CO"/>
        </w:rPr>
      </w:pPr>
      <w:r w:rsidRPr="00B450EB">
        <w:rPr>
          <w:rFonts w:ascii="Arial" w:hAnsi="Arial" w:cs="Arial"/>
          <w:lang w:val="es-CO"/>
        </w:rPr>
        <w:t xml:space="preserve">La evidencia en América Latina muestra que, una vez alcanzada la fase de producción, la </w:t>
      </w:r>
      <w:r w:rsidRPr="00B450EB">
        <w:rPr>
          <w:rStyle w:val="Textoennegrita"/>
          <w:rFonts w:ascii="Arial" w:eastAsiaTheme="majorEastAsia" w:hAnsi="Arial" w:cs="Arial"/>
          <w:lang w:val="es-CO"/>
        </w:rPr>
        <w:t>estabilización de las operaciones extractivas reduce drásticamente la demanda de servicios conexos</w:t>
      </w:r>
      <w:r w:rsidRPr="00B450EB">
        <w:rPr>
          <w:rFonts w:ascii="Arial" w:hAnsi="Arial" w:cs="Arial"/>
          <w:lang w:val="es-CO"/>
        </w:rPr>
        <w:t>, pues el funcionamiento ordinario de pozos o minas requiere poca mano de obra adicional y menos contratación de proveedores locales (Gudynas, 2012; Acosta, 2010). Este patrón explica por qué la apertura de proyectos extractivos no genera un impacto duradero ni estructural en los mercados laborales locales.</w:t>
      </w:r>
    </w:p>
    <w:p w14:paraId="20AE37F6" w14:textId="77777777" w:rsidR="0004253D" w:rsidRPr="00B450EB" w:rsidRDefault="0004253D" w:rsidP="0060760F">
      <w:r w:rsidRPr="00B450EB">
        <w:t xml:space="preserve">En Colombia, estudios de </w:t>
      </w:r>
      <w:r w:rsidRPr="00B450EB">
        <w:rPr>
          <w:rStyle w:val="Textoennegrita"/>
          <w:rFonts w:cs="Arial"/>
          <w:b w:val="0"/>
          <w:bCs w:val="0"/>
        </w:rPr>
        <w:t>Fedesarrollo (2021)</w:t>
      </w:r>
      <w:r w:rsidRPr="00B450EB">
        <w:t xml:space="preserve"> han señalado que los efectos indirectos de la industria petrolera sobre la generación de empleo en servicios conexos se diluyen rápidamente, dado que las operaciones extractivas dependen de cadenas de suministro externas y de proveedores altamente especializados, en su mayoría ubicados fuera de los departamentos productores. Asimismo, el informe del </w:t>
      </w:r>
      <w:r w:rsidRPr="00B450EB">
        <w:rPr>
          <w:rStyle w:val="Textoennegrita"/>
          <w:rFonts w:cs="Arial"/>
          <w:b w:val="0"/>
          <w:bCs w:val="0"/>
        </w:rPr>
        <w:t>PNUD (2024)</w:t>
      </w:r>
      <w:r w:rsidRPr="00B450EB">
        <w:t xml:space="preserve"> evidencia que los empleos indirectos vinculados a hidrocarburos son reducidos y temporales, y no alteran de manera significativa los patrones de ocupación departamentales.</w:t>
      </w:r>
    </w:p>
    <w:p w14:paraId="56A58ED7" w14:textId="77777777" w:rsidR="0004253D" w:rsidRPr="00B450EB" w:rsidRDefault="0004253D" w:rsidP="0004253D">
      <w:pPr>
        <w:pStyle w:val="NormalWeb"/>
        <w:spacing w:line="276" w:lineRule="auto"/>
        <w:jc w:val="both"/>
        <w:rPr>
          <w:rFonts w:ascii="Arial" w:hAnsi="Arial" w:cs="Arial"/>
          <w:lang w:val="es-CO"/>
        </w:rPr>
      </w:pPr>
      <w:r w:rsidRPr="00B450EB">
        <w:rPr>
          <w:rFonts w:ascii="Arial" w:hAnsi="Arial" w:cs="Arial"/>
          <w:lang w:val="es-CO"/>
        </w:rPr>
        <w:t xml:space="preserve">El caso de </w:t>
      </w:r>
      <w:r w:rsidRPr="00B450EB">
        <w:rPr>
          <w:rStyle w:val="Textoennegrita"/>
          <w:rFonts w:ascii="Arial" w:eastAsiaTheme="majorEastAsia" w:hAnsi="Arial" w:cs="Arial"/>
          <w:lang w:val="es-CO"/>
        </w:rPr>
        <w:t>Putumayo</w:t>
      </w:r>
      <w:r w:rsidRPr="00B450EB">
        <w:rPr>
          <w:rFonts w:ascii="Arial" w:hAnsi="Arial" w:cs="Arial"/>
          <w:lang w:val="es-CO"/>
        </w:rPr>
        <w:t xml:space="preserve"> refleja esta dinámica: algunos municipios han registrado incrementos en la actividad comercial durante las fases iniciales de proyectos extractivos, pero estos efectos no se consolidan como motores de desarrollo sostenible una vez finalizadas dichas etapas. Esto coincide con la noción de </w:t>
      </w:r>
      <w:r w:rsidRPr="00B450EB">
        <w:rPr>
          <w:rStyle w:val="Textoennegrita"/>
          <w:rFonts w:ascii="Arial" w:eastAsiaTheme="majorEastAsia" w:hAnsi="Arial" w:cs="Arial"/>
          <w:lang w:val="es-CO"/>
        </w:rPr>
        <w:t xml:space="preserve">“boom </w:t>
      </w:r>
      <w:r w:rsidRPr="00B450EB">
        <w:rPr>
          <w:rStyle w:val="Textoennegrita"/>
          <w:rFonts w:ascii="Arial" w:eastAsiaTheme="majorEastAsia" w:hAnsi="Arial" w:cs="Arial"/>
          <w:lang w:val="es-CO"/>
        </w:rPr>
        <w:lastRenderedPageBreak/>
        <w:t>transitorio”</w:t>
      </w:r>
      <w:r w:rsidRPr="00B450EB">
        <w:rPr>
          <w:rFonts w:ascii="Arial" w:hAnsi="Arial" w:cs="Arial"/>
          <w:lang w:val="es-CO"/>
        </w:rPr>
        <w:t xml:space="preserve"> descrita por De Echave (2009), en la cual la economía local experimenta un aumento temporal de ingresos y consumo, seguido por un retorno a la situación previa sin transformaciones estructurales.</w:t>
      </w:r>
    </w:p>
    <w:p w14:paraId="2865A9F8" w14:textId="6DAA02BA" w:rsidR="00E848E0" w:rsidRPr="00B450EB" w:rsidRDefault="0004253D" w:rsidP="0004253D">
      <w:pPr>
        <w:pStyle w:val="NormalWeb"/>
        <w:spacing w:line="276" w:lineRule="auto"/>
        <w:jc w:val="both"/>
        <w:rPr>
          <w:rFonts w:ascii="Arial" w:hAnsi="Arial" w:cs="Arial"/>
          <w:lang w:val="es-CO"/>
        </w:rPr>
      </w:pPr>
      <w:r w:rsidRPr="00B450EB">
        <w:rPr>
          <w:rStyle w:val="Textoennegrita"/>
          <w:rFonts w:ascii="Arial" w:eastAsiaTheme="majorEastAsia" w:hAnsi="Arial" w:cs="Arial"/>
          <w:b w:val="0"/>
          <w:bCs w:val="0"/>
          <w:lang w:val="es-CO"/>
        </w:rPr>
        <w:t>En síntesis, los</w:t>
      </w:r>
      <w:r w:rsidRPr="00B450EB">
        <w:rPr>
          <w:rFonts w:ascii="Arial" w:hAnsi="Arial" w:cs="Arial"/>
          <w:lang w:val="es-CO"/>
        </w:rPr>
        <w:t xml:space="preserve"> efectos de empleo indirecto y terciarización generados por los proyectos extractivos son fundamentalmente temporales y de corta duración, sin capacidad de consolidarse como fuentes sostenibles de ocupación o de transformación económica en el largo plazo. La literatura científica respalda que este tipo de impactos, aunque visibles en las fases iniciales, se desvanecen al estabilizarse la producción, dejando intacta la vulnerabilidad estructural de los mercados laborales locales.</w:t>
      </w:r>
    </w:p>
    <w:p w14:paraId="4DFD88A8" w14:textId="784E6E40" w:rsidR="00AD20B0" w:rsidRPr="00B450EB" w:rsidRDefault="00AD20B0" w:rsidP="00AD20B0">
      <w:pPr>
        <w:pStyle w:val="Ttulo4"/>
        <w:rPr>
          <w:lang w:eastAsia="es-CO"/>
        </w:rPr>
      </w:pPr>
      <w:r w:rsidRPr="00B450EB">
        <w:rPr>
          <w:lang w:eastAsia="es-CO"/>
        </w:rPr>
        <w:t>Regalías y finanzas públicas</w:t>
      </w:r>
    </w:p>
    <w:p w14:paraId="794B1BED" w14:textId="4D7CEAA0" w:rsidR="003E0427" w:rsidRPr="00B450EB" w:rsidRDefault="003E0427" w:rsidP="00A92B7C">
      <w:pPr>
        <w:pStyle w:val="Ttulo5"/>
      </w:pPr>
      <w:r w:rsidRPr="00B450EB">
        <w:t>Contexto general del Sistema General de Regalías (SGR)</w:t>
      </w:r>
    </w:p>
    <w:p w14:paraId="517B588B" w14:textId="77777777" w:rsidR="003E0427" w:rsidRPr="00B450EB" w:rsidRDefault="003E0427" w:rsidP="003E0427">
      <w:r w:rsidRPr="00B450EB">
        <w:t xml:space="preserve">El </w:t>
      </w:r>
      <w:r w:rsidRPr="00B450EB">
        <w:rPr>
          <w:b/>
          <w:bCs/>
        </w:rPr>
        <w:t>Sistema General de Regalías (SGR)</w:t>
      </w:r>
      <w:r w:rsidRPr="00B450EB">
        <w:t xml:space="preserve">, regulado por los artículos 360 y 361 de la </w:t>
      </w:r>
      <w:r w:rsidRPr="00B450EB">
        <w:rPr>
          <w:b/>
          <w:bCs/>
        </w:rPr>
        <w:t>Constitución Política de 1991</w:t>
      </w:r>
      <w:r w:rsidRPr="00B450EB">
        <w:t xml:space="preserve"> y por la </w:t>
      </w:r>
      <w:r w:rsidRPr="00B450EB">
        <w:rPr>
          <w:b/>
          <w:bCs/>
        </w:rPr>
        <w:t>Ley 2056 de 2020</w:t>
      </w:r>
      <w:r w:rsidRPr="00B450EB">
        <w:t xml:space="preserve">, es el mecanismo de redistribución nacional de los ingresos percibidos por concepto de explotación de recursos naturales no renovables. Su diseño busca garantizar </w:t>
      </w:r>
      <w:r w:rsidRPr="00B450EB">
        <w:rPr>
          <w:b/>
          <w:bCs/>
        </w:rPr>
        <w:t>equidad territorial</w:t>
      </w:r>
      <w:r w:rsidRPr="00B450EB">
        <w:t>, promover la financiación de proyectos de inversión pública y reducir brechas regionales, independientemente de la localización de la producción.</w:t>
      </w:r>
    </w:p>
    <w:p w14:paraId="0400B9AC" w14:textId="77777777" w:rsidR="003E0427" w:rsidRPr="00B450EB" w:rsidRDefault="003E0427" w:rsidP="003E0427">
      <w:r w:rsidRPr="00B450EB">
        <w:t xml:space="preserve">De acuerdo con el </w:t>
      </w:r>
      <w:r w:rsidRPr="00B450EB">
        <w:rPr>
          <w:b/>
          <w:bCs/>
        </w:rPr>
        <w:t>Departamento Nacional de Planeación (DNP, 2022)</w:t>
      </w:r>
      <w:r w:rsidRPr="00B450EB">
        <w:t xml:space="preserve">, el SGR constituye un </w:t>
      </w:r>
      <w:r w:rsidRPr="00B450EB">
        <w:rPr>
          <w:b/>
          <w:bCs/>
        </w:rPr>
        <w:t>instrumento redistributivo</w:t>
      </w:r>
      <w:r w:rsidRPr="00B450EB">
        <w:t xml:space="preserve"> en el que participan todos los departamentos, productores y no productores, a través de diferentes bolsas: asignaciones directas, asignaciones para la equidad territorial, fondos de compensación regional y fondos de ciencia, tecnología e innovación. Esto implica que los ingresos que recibe cada territorio </w:t>
      </w:r>
      <w:r w:rsidRPr="00B450EB">
        <w:rPr>
          <w:b/>
          <w:bCs/>
        </w:rPr>
        <w:t>no dependen de manera inmediata de la apertura de nuevos proyectos</w:t>
      </w:r>
      <w:r w:rsidRPr="00B450EB">
        <w:t>, sino de tres factores principales:</w:t>
      </w:r>
    </w:p>
    <w:p w14:paraId="2ADFA18D" w14:textId="77777777" w:rsidR="003E0427" w:rsidRPr="00B450EB" w:rsidRDefault="003E0427" w:rsidP="001975A2">
      <w:pPr>
        <w:numPr>
          <w:ilvl w:val="0"/>
          <w:numId w:val="52"/>
        </w:numPr>
      </w:pPr>
      <w:r w:rsidRPr="00B450EB">
        <w:t>La producción vigente de hidrocarburos y minerales.</w:t>
      </w:r>
    </w:p>
    <w:p w14:paraId="60455C30" w14:textId="77777777" w:rsidR="003E0427" w:rsidRPr="00B450EB" w:rsidRDefault="003E0427" w:rsidP="001975A2">
      <w:pPr>
        <w:numPr>
          <w:ilvl w:val="0"/>
          <w:numId w:val="52"/>
        </w:numPr>
      </w:pPr>
      <w:r w:rsidRPr="00B450EB">
        <w:t>El comportamiento de los precios internacionales de estas materias primas.</w:t>
      </w:r>
    </w:p>
    <w:p w14:paraId="5FEE7F98" w14:textId="77777777" w:rsidR="003E0427" w:rsidRPr="00B450EB" w:rsidRDefault="003E0427" w:rsidP="001975A2">
      <w:pPr>
        <w:numPr>
          <w:ilvl w:val="0"/>
          <w:numId w:val="52"/>
        </w:numPr>
      </w:pPr>
      <w:r w:rsidRPr="00B450EB">
        <w:t>Las reglas de redistribución definidas por la Ley 2056 de 2020.</w:t>
      </w:r>
    </w:p>
    <w:p w14:paraId="5BA1C21C" w14:textId="77777777" w:rsidR="003E0427" w:rsidRPr="00B450EB" w:rsidRDefault="003E0427" w:rsidP="003E0427">
      <w:r w:rsidRPr="00B450EB">
        <w:t xml:space="preserve">Diversos análisis han mostrado que el efecto del SGR en el desarrollo territorial </w:t>
      </w:r>
      <w:r w:rsidRPr="00B450EB">
        <w:rPr>
          <w:b/>
          <w:bCs/>
        </w:rPr>
        <w:t>no está determinado por el volumen de recursos asignados, sino por la capacidad institucional de gestión, planeación y ejecución</w:t>
      </w:r>
      <w:r w:rsidRPr="00B450EB">
        <w:t xml:space="preserve"> (Contraloría General de la República, 2021; Bonet &amp; Urrego, 2020). En este sentido, la literatura coincide en señalar que los ingresos de regalías no son linealmente proporcionales al bienestar regional, sino que dependen del buen uso de los recursos.</w:t>
      </w:r>
    </w:p>
    <w:p w14:paraId="14A0CE7F" w14:textId="3A96F7E7" w:rsidR="003E0427" w:rsidRPr="00B450EB" w:rsidRDefault="003E0427" w:rsidP="00A92B7C">
      <w:pPr>
        <w:pStyle w:val="Ttulo5"/>
      </w:pPr>
      <w:r w:rsidRPr="00B450EB">
        <w:lastRenderedPageBreak/>
        <w:t>Regalías en Caquetá</w:t>
      </w:r>
    </w:p>
    <w:p w14:paraId="781EA29E" w14:textId="77777777" w:rsidR="003E0427" w:rsidRPr="00B450EB" w:rsidRDefault="003E0427" w:rsidP="003E0427">
      <w:r w:rsidRPr="00B450EB">
        <w:t xml:space="preserve">En el caso del </w:t>
      </w:r>
      <w:r w:rsidRPr="00B450EB">
        <w:rPr>
          <w:b/>
          <w:bCs/>
        </w:rPr>
        <w:t>departamento del Caquetá</w:t>
      </w:r>
      <w:r w:rsidRPr="00B450EB">
        <w:t>, la actividad extractiva es marginal en su estructura productiva, por lo cual los ingresos por regalías provenientes de minería e hidrocarburos son reducidos en comparación con otras fuentes de financiamiento territorial.</w:t>
      </w:r>
    </w:p>
    <w:p w14:paraId="4A51885A" w14:textId="77777777" w:rsidR="003E0427" w:rsidRPr="00B450EB" w:rsidRDefault="003E0427" w:rsidP="001975A2">
      <w:pPr>
        <w:numPr>
          <w:ilvl w:val="0"/>
          <w:numId w:val="53"/>
        </w:numPr>
      </w:pPr>
      <w:r w:rsidRPr="00B450EB">
        <w:t xml:space="preserve">Según el </w:t>
      </w:r>
      <w:r w:rsidRPr="00B450EB">
        <w:rPr>
          <w:b/>
          <w:bCs/>
        </w:rPr>
        <w:t>DNP (2023)</w:t>
      </w:r>
      <w:r w:rsidRPr="00B450EB">
        <w:t xml:space="preserve">, los recursos asignados al Caquetá en el bienio 2023–2024 provienen principalmente de la </w:t>
      </w:r>
      <w:r w:rsidRPr="00B450EB">
        <w:rPr>
          <w:b/>
          <w:bCs/>
        </w:rPr>
        <w:t>bolsa de asignaciones por equidad territorial</w:t>
      </w:r>
      <w:r w:rsidRPr="00B450EB">
        <w:t xml:space="preserve"> y no de asignaciones directas derivadas de explotación local.</w:t>
      </w:r>
    </w:p>
    <w:p w14:paraId="34E8AF66" w14:textId="77777777" w:rsidR="003E0427" w:rsidRPr="00B450EB" w:rsidRDefault="003E0427" w:rsidP="001975A2">
      <w:pPr>
        <w:numPr>
          <w:ilvl w:val="0"/>
          <w:numId w:val="53"/>
        </w:numPr>
      </w:pPr>
      <w:r w:rsidRPr="00B450EB">
        <w:t xml:space="preserve">En términos fiscales, Caquetá depende de manera más significativa de las transferencias del </w:t>
      </w:r>
      <w:r w:rsidRPr="00B450EB">
        <w:rPr>
          <w:b/>
          <w:bCs/>
        </w:rPr>
        <w:t>Sistema General de Participaciones (SGP)</w:t>
      </w:r>
      <w:r w:rsidRPr="00B450EB">
        <w:t xml:space="preserve"> y del gasto público nacional. Esta condición confirma que la ausencia de proyectos extractivos no compromete la estabilidad de las finanzas públicas departamentales.</w:t>
      </w:r>
    </w:p>
    <w:p w14:paraId="5D9DB990" w14:textId="77777777" w:rsidR="003E0427" w:rsidRPr="00B450EB" w:rsidRDefault="003E0427" w:rsidP="001975A2">
      <w:pPr>
        <w:numPr>
          <w:ilvl w:val="0"/>
          <w:numId w:val="53"/>
        </w:numPr>
      </w:pPr>
      <w:r w:rsidRPr="00B450EB">
        <w:t xml:space="preserve">Estudios académicos (García, 2019; Pineda, 2020) han señalado que la baja dependencia de regalías en Caquetá refuerza la necesidad de </w:t>
      </w:r>
      <w:r w:rsidRPr="00B450EB">
        <w:rPr>
          <w:b/>
          <w:bCs/>
        </w:rPr>
        <w:t>diversificación productiva</w:t>
      </w:r>
      <w:r w:rsidRPr="00B450EB">
        <w:t xml:space="preserve"> en torno a sectores como agroindustria, forestería sostenible y servicios ambientales, en lugar de la minería o los hidrocarburos.</w:t>
      </w:r>
    </w:p>
    <w:p w14:paraId="06E4BD88" w14:textId="7FAB36D8" w:rsidR="003E0427" w:rsidRPr="00B450EB" w:rsidRDefault="003E0427" w:rsidP="003E0427">
      <w:r w:rsidRPr="00B450EB">
        <w:t>Para Caquetá, las regalías representan un recurso marginal y no constituyen un factor determinante de la inversión pública. La no apertura de nuevos proyectos no genera una pérdida sustantiva de ingresos fiscales, pues la financiación territorial descansa en otros mecanismos de transferencias y gasto público nacional.</w:t>
      </w:r>
    </w:p>
    <w:p w14:paraId="29B70B03" w14:textId="42066D66" w:rsidR="003E0427" w:rsidRPr="00B450EB" w:rsidRDefault="003E0427" w:rsidP="00A92B7C">
      <w:pPr>
        <w:pStyle w:val="Ttulo5"/>
      </w:pPr>
      <w:r w:rsidRPr="00B450EB">
        <w:t>Regalías en Putumayo</w:t>
      </w:r>
    </w:p>
    <w:p w14:paraId="6E2E2ABC" w14:textId="77777777" w:rsidR="003E0427" w:rsidRPr="00B450EB" w:rsidRDefault="003E0427" w:rsidP="003E0427">
      <w:r w:rsidRPr="00B450EB">
        <w:t xml:space="preserve">En el caso del </w:t>
      </w:r>
      <w:r w:rsidRPr="00B450EB">
        <w:rPr>
          <w:b/>
          <w:bCs/>
        </w:rPr>
        <w:t>departamento del Putumayo</w:t>
      </w:r>
      <w:r w:rsidRPr="00B450EB">
        <w:t>, el peso del petróleo en el PIB (36,5%) se refleja en una mayor participación en el SGR mediante asignaciones directas, destinadas principalmente a municipios productores y a la Gobernación.</w:t>
      </w:r>
    </w:p>
    <w:p w14:paraId="7C2A546C" w14:textId="77777777" w:rsidR="003E0427" w:rsidRPr="00B450EB" w:rsidRDefault="003E0427" w:rsidP="001975A2">
      <w:pPr>
        <w:numPr>
          <w:ilvl w:val="0"/>
          <w:numId w:val="54"/>
        </w:numPr>
      </w:pPr>
      <w:r w:rsidRPr="00B450EB">
        <w:t xml:space="preserve">De acuerdo con el </w:t>
      </w:r>
      <w:r w:rsidRPr="00B450EB">
        <w:rPr>
          <w:b/>
          <w:bCs/>
        </w:rPr>
        <w:t xml:space="preserve">DNP y </w:t>
      </w:r>
      <w:proofErr w:type="spellStart"/>
      <w:r w:rsidRPr="00B450EB">
        <w:rPr>
          <w:b/>
          <w:bCs/>
        </w:rPr>
        <w:t>MinHacienda</w:t>
      </w:r>
      <w:proofErr w:type="spellEnd"/>
      <w:r w:rsidRPr="00B450EB">
        <w:rPr>
          <w:b/>
          <w:bCs/>
        </w:rPr>
        <w:t xml:space="preserve"> (2023)</w:t>
      </w:r>
      <w:r w:rsidRPr="00B450EB">
        <w:t xml:space="preserve">, los recursos de regalías asignados al Putumayo en el bienio 2023–2024 superan los </w:t>
      </w:r>
      <w:r w:rsidRPr="00B450EB">
        <w:rPr>
          <w:b/>
          <w:bCs/>
        </w:rPr>
        <w:t>500 mil millones de pesos</w:t>
      </w:r>
      <w:r w:rsidRPr="00B450EB">
        <w:t>, lo que convierte a este departamento en uno de los más dependientes de estos ingresos frente a otras fuentes locales de recaudo.</w:t>
      </w:r>
    </w:p>
    <w:p w14:paraId="7EF5A340" w14:textId="77777777" w:rsidR="003E0427" w:rsidRPr="00B450EB" w:rsidRDefault="003E0427" w:rsidP="001975A2">
      <w:pPr>
        <w:numPr>
          <w:ilvl w:val="0"/>
          <w:numId w:val="54"/>
        </w:numPr>
      </w:pPr>
      <w:r w:rsidRPr="00B450EB">
        <w:t xml:space="preserve">Sin embargo, la </w:t>
      </w:r>
      <w:r w:rsidRPr="00B450EB">
        <w:rPr>
          <w:b/>
          <w:bCs/>
        </w:rPr>
        <w:t>Contraloría General de la República (2021–2023)</w:t>
      </w:r>
      <w:r w:rsidRPr="00B450EB">
        <w:t xml:space="preserve"> ha evidenciado que el impacto real de las regalías en el desarrollo territorial depende de la eficiencia en la </w:t>
      </w:r>
      <w:r w:rsidRPr="00B450EB">
        <w:rPr>
          <w:b/>
          <w:bCs/>
        </w:rPr>
        <w:t>ejecución y calidad del gasto</w:t>
      </w:r>
      <w:r w:rsidRPr="00B450EB">
        <w:t xml:space="preserve">, más que del volumen asignado. La dispersión de proyectos, la débil planeación y los </w:t>
      </w:r>
      <w:r w:rsidRPr="00B450EB">
        <w:lastRenderedPageBreak/>
        <w:t>problemas de corrupción han limitado los efectos multiplicadores de estos recursos en el Putumayo.</w:t>
      </w:r>
    </w:p>
    <w:p w14:paraId="3084BD5F" w14:textId="77777777" w:rsidR="003E0427" w:rsidRPr="00B450EB" w:rsidRDefault="003E0427" w:rsidP="001975A2">
      <w:pPr>
        <w:numPr>
          <w:ilvl w:val="0"/>
          <w:numId w:val="54"/>
        </w:numPr>
      </w:pPr>
      <w:r w:rsidRPr="00B450EB">
        <w:t xml:space="preserve">Además, los giros actuales están garantizados por la producción ya existente. Esto significa que la no apertura inmediata de nuevos proyectos </w:t>
      </w:r>
      <w:r w:rsidRPr="00B450EB">
        <w:rPr>
          <w:b/>
          <w:bCs/>
        </w:rPr>
        <w:t>no compromete el flujo de recursos en el corto plazo</w:t>
      </w:r>
      <w:r w:rsidRPr="00B450EB">
        <w:t>, dado que las asignaciones del bienio se basan en contratos de explotación en curso y no en proyectos futuros.</w:t>
      </w:r>
    </w:p>
    <w:p w14:paraId="6F61A75F" w14:textId="77777777" w:rsidR="003E0427" w:rsidRPr="00B450EB" w:rsidRDefault="003E0427" w:rsidP="001975A2">
      <w:pPr>
        <w:numPr>
          <w:ilvl w:val="0"/>
          <w:numId w:val="54"/>
        </w:numPr>
      </w:pPr>
      <w:r w:rsidRPr="00B450EB">
        <w:t xml:space="preserve">Estudios de Bonet y Urrego (2020) sobre el desempeño del SGR muestran que, en regiones altamente dependientes como Putumayo, el problema central no es la cantidad de recursos, sino su </w:t>
      </w:r>
      <w:r w:rsidRPr="00B450EB">
        <w:rPr>
          <w:b/>
          <w:bCs/>
        </w:rPr>
        <w:t>capacidad de transformar el tejido productivo</w:t>
      </w:r>
      <w:r w:rsidRPr="00B450EB">
        <w:t xml:space="preserve"> y generar inversión de largo plazo.</w:t>
      </w:r>
    </w:p>
    <w:p w14:paraId="105EDAC1" w14:textId="4FC2A9E3" w:rsidR="003E0427" w:rsidRPr="00B450EB" w:rsidRDefault="003E0427" w:rsidP="003E0427">
      <w:r w:rsidRPr="00B450EB">
        <w:t>Aunque el Putumayo recibe regalías significativas por hidrocarburos, estas dependen del aprovechamiento de proyectos ya en operación y no de nuevas iniciativas. Por tanto, la no apertura de proyectos adicionales no compromete de manera estructural los ingresos fiscales asegurados en el corto y mediano plazo. La evidencia muestra que el desafío central no es aumentar la explotación, sino mejorar la capacidad de gestión y la calidad de la inversión pública derivada de las regalías.</w:t>
      </w:r>
    </w:p>
    <w:p w14:paraId="415AD06D" w14:textId="77777777" w:rsidR="009E52FF" w:rsidRPr="00B450EB" w:rsidRDefault="009E52FF" w:rsidP="003E0427"/>
    <w:p w14:paraId="63D45F00" w14:textId="282BD142" w:rsidR="00D93D2A" w:rsidRPr="00B450EB" w:rsidRDefault="00D93D2A" w:rsidP="00D93D2A">
      <w:pPr>
        <w:pStyle w:val="Ttulo5"/>
        <w:rPr>
          <w:lang w:eastAsia="es-CO"/>
        </w:rPr>
      </w:pPr>
      <w:r w:rsidRPr="00B450EB">
        <w:rPr>
          <w:lang w:eastAsia="es-CO"/>
        </w:rPr>
        <w:t>Dependencia fiscal relativa y sostenibilidad</w:t>
      </w:r>
    </w:p>
    <w:p w14:paraId="02CEDF84" w14:textId="77777777" w:rsidR="00F50B2C" w:rsidRPr="00B450EB" w:rsidRDefault="00F50B2C" w:rsidP="00F50B2C">
      <w:r w:rsidRPr="00B450EB">
        <w:t xml:space="preserve">El análisis comparativo muestra que los impactos fiscales de la actividad extractiva en Caquetá y Putumayo son diferenciados y responden tanto a la estructura productiva de cada departamento como al diseño redistributivo del </w:t>
      </w:r>
      <w:r w:rsidRPr="00B450EB">
        <w:rPr>
          <w:b/>
          <w:bCs/>
        </w:rPr>
        <w:t>Sistema General de Regalías (SGR)</w:t>
      </w:r>
      <w:r w:rsidRPr="00B450EB">
        <w:t>.</w:t>
      </w:r>
    </w:p>
    <w:p w14:paraId="1661C8FA" w14:textId="03F25131" w:rsidR="00F50B2C" w:rsidRPr="00B450EB" w:rsidRDefault="00E72BC9" w:rsidP="00E72BC9">
      <w:r w:rsidRPr="00B450EB">
        <w:t>En</w:t>
      </w:r>
      <w:r w:rsidRPr="00B450EB">
        <w:rPr>
          <w:b/>
          <w:bCs/>
        </w:rPr>
        <w:t xml:space="preserve"> Putumayo, a</w:t>
      </w:r>
      <w:r w:rsidR="00F50B2C" w:rsidRPr="00B450EB">
        <w:t xml:space="preserve">unque existe una mayor dependencia de regalías, su aprovechamiento está limitado por </w:t>
      </w:r>
      <w:r w:rsidR="00F50B2C" w:rsidRPr="00B450EB">
        <w:rPr>
          <w:b/>
          <w:bCs/>
        </w:rPr>
        <w:t>problemas de gestión y ejecución</w:t>
      </w:r>
      <w:r w:rsidR="00F50B2C" w:rsidRPr="00B450EB">
        <w:t xml:space="preserve">. La Contraloría General de la República (2021–2023) ha señalado que la calidad del gasto es un factor crítico: la dispersión de proyectos, la falta de planeación y los problemas de corrupción han reducido el impacto real de las regalías sobre el bienestar de la población. Bonet y Urrego (2020) destacan que, en departamentos altamente dependientes, la sostenibilidad no radica en el monto de recursos recibidos, sino en la capacidad institucional de transformarlos en </w:t>
      </w:r>
      <w:r w:rsidR="00F50B2C" w:rsidRPr="00B450EB">
        <w:rPr>
          <w:b/>
          <w:bCs/>
        </w:rPr>
        <w:t>inversión efectiva y sostenible</w:t>
      </w:r>
      <w:r w:rsidR="00F50B2C" w:rsidRPr="00B450EB">
        <w:t>.</w:t>
      </w:r>
    </w:p>
    <w:p w14:paraId="563398D0" w14:textId="77777777" w:rsidR="00BF510D" w:rsidRPr="00B450EB" w:rsidRDefault="00BF510D" w:rsidP="00BF510D">
      <w:r w:rsidRPr="00B450EB">
        <w:t xml:space="preserve">En caso de </w:t>
      </w:r>
      <w:r w:rsidRPr="00B450EB">
        <w:rPr>
          <w:b/>
          <w:bCs/>
        </w:rPr>
        <w:t>Caquetá,</w:t>
      </w:r>
      <w:r w:rsidRPr="00B450EB">
        <w:t xml:space="preserve"> la baja participación del sector extractivo en regalías implica que la sostenibilidad fiscal del departamento depende principalmente de las </w:t>
      </w:r>
      <w:r w:rsidRPr="00B450EB">
        <w:rPr>
          <w:b/>
          <w:bCs/>
        </w:rPr>
        <w:t>transferencias nacionales</w:t>
      </w:r>
      <w:r w:rsidRPr="00B450EB">
        <w:t xml:space="preserve"> (Sistema General de Participaciones, SGP) y del </w:t>
      </w:r>
      <w:r w:rsidRPr="00B450EB">
        <w:lastRenderedPageBreak/>
        <w:t xml:space="preserve">fortalecimiento de economías agropecuarias y de servicios. Estudios como los de García (2019) y Pineda (2020) subrayan </w:t>
      </w:r>
      <w:proofErr w:type="gramStart"/>
      <w:r w:rsidRPr="00B450EB">
        <w:t>que</w:t>
      </w:r>
      <w:proofErr w:type="gramEnd"/>
      <w:r w:rsidRPr="00B450EB">
        <w:t xml:space="preserve"> en departamentos amazónicos con baja vocación extractiva, las regalías representan un recurso </w:t>
      </w:r>
      <w:r w:rsidRPr="00B450EB">
        <w:rPr>
          <w:b/>
          <w:bCs/>
        </w:rPr>
        <w:t>marginal</w:t>
      </w:r>
      <w:r w:rsidRPr="00B450EB">
        <w:t xml:space="preserve"> en el presupuesto público, mientras que los sectores agropecuarios y de servicios sostienen la base económica regional.</w:t>
      </w:r>
    </w:p>
    <w:p w14:paraId="47FD29A6" w14:textId="77777777" w:rsidR="00BF510D" w:rsidRPr="00B450EB" w:rsidRDefault="00BF510D" w:rsidP="00E72BC9"/>
    <w:p w14:paraId="4067DE49" w14:textId="507D6071" w:rsidR="00F50B2C" w:rsidRPr="00B450EB" w:rsidRDefault="00F50B2C" w:rsidP="0047538D">
      <w:r w:rsidRPr="00B450EB">
        <w:t xml:space="preserve">El diseño redistributivo del SGR asegura que los departamentos reciban recursos incluso sin abrir nuevos proyectos. Como señalan el DNP (2022) y Bonet (2018), este mecanismo garantiza la continuidad de la inversión pública en sectores estratégicos como </w:t>
      </w:r>
      <w:r w:rsidRPr="00B450EB">
        <w:rPr>
          <w:b/>
          <w:bCs/>
        </w:rPr>
        <w:t>educación, salud, infraestructura y medio ambiente</w:t>
      </w:r>
      <w:r w:rsidRPr="00B450EB">
        <w:t>, reduciendo la dependencia directa de la extracción local y favoreciendo la equidad territorial.</w:t>
      </w:r>
    </w:p>
    <w:p w14:paraId="70EA67DD" w14:textId="77777777" w:rsidR="003D29E2" w:rsidRPr="00B450EB" w:rsidRDefault="00F50B2C" w:rsidP="00F046AE">
      <w:r w:rsidRPr="00B450EB">
        <w:t xml:space="preserve">En conjunto, la literatura científica e institucional muestra que la sostenibilidad fiscal de los departamentos amazónicos </w:t>
      </w:r>
      <w:r w:rsidRPr="00B450EB">
        <w:rPr>
          <w:b/>
          <w:bCs/>
        </w:rPr>
        <w:t>no depende exclusivamente de la expansión extractiva</w:t>
      </w:r>
      <w:r w:rsidRPr="00B450EB">
        <w:t>, sino de la diversificación productiva y la eficiencia en la gestión de los recursos transferidos.</w:t>
      </w:r>
    </w:p>
    <w:p w14:paraId="47D6CC07" w14:textId="6B9F78ED" w:rsidR="000A7121" w:rsidRPr="00B450EB" w:rsidRDefault="005615DC" w:rsidP="003D29E2">
      <w:pPr>
        <w:pStyle w:val="Ttulo5"/>
      </w:pPr>
      <w:r w:rsidRPr="00B450EB">
        <w:t>Conclusión del análisis fiscal</w:t>
      </w:r>
    </w:p>
    <w:p w14:paraId="172513F1" w14:textId="77777777" w:rsidR="00D07217" w:rsidRPr="00B450EB" w:rsidRDefault="00D07217" w:rsidP="00D07217">
      <w:r w:rsidRPr="00B450EB">
        <w:t>La ausencia de nuevos proyectos de hidrocarburos y minería en Caquetá y Putumayo no genera pérdidas fiscales inmediatas ni compromete la estabilidad económica de los departamentos, en la medida en que:</w:t>
      </w:r>
    </w:p>
    <w:p w14:paraId="047AC18C" w14:textId="77777777" w:rsidR="00D07217" w:rsidRPr="00B450EB" w:rsidRDefault="00D07217" w:rsidP="001975A2">
      <w:pPr>
        <w:numPr>
          <w:ilvl w:val="0"/>
          <w:numId w:val="55"/>
        </w:numPr>
      </w:pPr>
      <w:r w:rsidRPr="00B450EB">
        <w:rPr>
          <w:b/>
          <w:bCs/>
        </w:rPr>
        <w:t>Caquetá:</w:t>
      </w:r>
      <w:r w:rsidRPr="00B450EB">
        <w:t xml:space="preserve"> Los recursos por regalías son marginales frente a otras fuentes de financiamiento. La estructura fiscal se apoya principalmente en el SGP y en la capacidad del gasto público nacional, mientras que el sector extractivo no constituye un renglón determinante en la generación de ingresos (Pineda, 2020).</w:t>
      </w:r>
    </w:p>
    <w:p w14:paraId="745FC5CA" w14:textId="77777777" w:rsidR="00D07217" w:rsidRPr="00B450EB" w:rsidRDefault="00D07217" w:rsidP="001975A2">
      <w:pPr>
        <w:numPr>
          <w:ilvl w:val="0"/>
          <w:numId w:val="55"/>
        </w:numPr>
      </w:pPr>
      <w:r w:rsidRPr="00B450EB">
        <w:rPr>
          <w:b/>
          <w:bCs/>
        </w:rPr>
        <w:t>Putumayo:</w:t>
      </w:r>
      <w:r w:rsidRPr="00B450EB">
        <w:t xml:space="preserve"> Los ingresos por regalías provienen de proyectos ya en producción, y su efecto depende más de la </w:t>
      </w:r>
      <w:r w:rsidRPr="00B450EB">
        <w:rPr>
          <w:b/>
          <w:bCs/>
        </w:rPr>
        <w:t>calidad del gasto</w:t>
      </w:r>
      <w:r w:rsidRPr="00B450EB">
        <w:t xml:space="preserve"> que de la apertura de nuevas operaciones. La evidencia de la Contraloría y de Fedesarrollo (2021) confirma que los problemas de planeación y ejecución han limitado la transformación social y económica que podrían derivarse de estas rentas.</w:t>
      </w:r>
    </w:p>
    <w:p w14:paraId="1933BD7D" w14:textId="77777777" w:rsidR="00D07217" w:rsidRPr="00B450EB" w:rsidRDefault="00D07217" w:rsidP="001975A2">
      <w:pPr>
        <w:numPr>
          <w:ilvl w:val="0"/>
          <w:numId w:val="55"/>
        </w:numPr>
      </w:pPr>
      <w:r w:rsidRPr="00B450EB">
        <w:rPr>
          <w:b/>
          <w:bCs/>
        </w:rPr>
        <w:t>SGR:</w:t>
      </w:r>
      <w:r w:rsidRPr="00B450EB">
        <w:t xml:space="preserve"> La estructura redistributiva del Sistema General de Regalías asegura recursos para inversión territorial, neutralizando la dependencia directa de nuevos proyectos extractivos. Este diseño, reconocido por la literatura como un mecanismo de equidad territorial (Bonet &amp; Urrego, 2020), permite que los </w:t>
      </w:r>
      <w:r w:rsidRPr="00B450EB">
        <w:lastRenderedPageBreak/>
        <w:t>departamentos sigan financiando sectores estratégicos aún en ausencia de expansión extractiva.</w:t>
      </w:r>
    </w:p>
    <w:p w14:paraId="03BFC53D" w14:textId="77777777" w:rsidR="005615DC" w:rsidRPr="00B450EB" w:rsidRDefault="005615DC" w:rsidP="00F046AE"/>
    <w:p w14:paraId="2CB7BE0D" w14:textId="1AED61DD" w:rsidR="00E848E0" w:rsidRPr="00B450EB" w:rsidRDefault="002E2AC8" w:rsidP="002E2AC8">
      <w:pPr>
        <w:pStyle w:val="Ttulo4"/>
      </w:pPr>
      <w:r w:rsidRPr="00B450EB">
        <w:t>Análisis costo–beneficio</w:t>
      </w:r>
    </w:p>
    <w:p w14:paraId="2CFEFEDA" w14:textId="77777777" w:rsidR="00CD55BE" w:rsidRPr="00B450EB" w:rsidRDefault="00CD55BE" w:rsidP="00C40D3D">
      <w:pPr>
        <w:spacing w:after="0"/>
      </w:pPr>
    </w:p>
    <w:p w14:paraId="23D65FFD" w14:textId="2683E543" w:rsidR="001C49BC" w:rsidRPr="00B450EB" w:rsidRDefault="001C49BC" w:rsidP="001C49BC">
      <w:r w:rsidRPr="00B450EB">
        <w:t xml:space="preserve">Los </w:t>
      </w:r>
      <w:r w:rsidRPr="00B450EB">
        <w:rPr>
          <w:b/>
          <w:bCs/>
        </w:rPr>
        <w:t>costos de restauración ambiental superan ampliamente los beneficios económicos generados por las actividades extractivas</w:t>
      </w:r>
      <w:r w:rsidRPr="00B450EB">
        <w:t>, lo que refuerza la conveniencia de adoptar estrategias preventivas de conservación.</w:t>
      </w:r>
    </w:p>
    <w:p w14:paraId="722D2A59" w14:textId="2E40A114" w:rsidR="001C49BC" w:rsidRPr="00B450EB" w:rsidRDefault="001C49BC" w:rsidP="001C49BC">
      <w:r w:rsidRPr="00B450EB">
        <w:t>En primer lugar, la restauración de ecosistemas degradados implica inversiones financieras muy altas debido a la necesidad de recuperar procesos ecológicos complejos —como la fertilidad de los suelos, la conectividad ecológica, la regulación hídrica o la biodiversidad— que no se restablecen fácilmente. Benayas et al. (2009), en una revisión global de más de 300 proyectos de restauración, concluyen que</w:t>
      </w:r>
      <w:r w:rsidR="006155D7" w:rsidRPr="00B450EB">
        <w:t>,</w:t>
      </w:r>
      <w:r w:rsidRPr="00B450EB">
        <w:t xml:space="preserve"> aunque la restauración puede recuperar parcialmente los servicios ecosistémicos, </w:t>
      </w:r>
      <w:r w:rsidRPr="00B450EB">
        <w:rPr>
          <w:b/>
          <w:bCs/>
        </w:rPr>
        <w:t>nunca logra alcanzar plenamente los niveles de un ecosistema conservado</w:t>
      </w:r>
      <w:r w:rsidRPr="00B450EB">
        <w:t>, además de implicar costos mucho más elevados que la prevención.</w:t>
      </w:r>
    </w:p>
    <w:p w14:paraId="2164CB03" w14:textId="77777777" w:rsidR="009764DB" w:rsidRPr="00B450EB" w:rsidRDefault="00714627" w:rsidP="001C49BC">
      <w:r w:rsidRPr="00B450EB">
        <w:t xml:space="preserve">Según </w:t>
      </w:r>
      <w:proofErr w:type="spellStart"/>
      <w:r w:rsidRPr="00B450EB">
        <w:t>Corpoamazonia</w:t>
      </w:r>
      <w:proofErr w:type="spellEnd"/>
      <w:r w:rsidRPr="00B450EB">
        <w:t xml:space="preserve"> (2024) de los proyectos del Fondo para la Vida</w:t>
      </w:r>
      <w:r w:rsidR="009764DB" w:rsidRPr="00B450EB">
        <w:t>,</w:t>
      </w:r>
      <w:r w:rsidRPr="00B450EB">
        <w:t xml:space="preserve"> estiman que el costo promedio de la restauración productiva sostenible en Colombia asciende a COP 14.728.706 por hectárea. Este valor no contempla los gastos asociados al fortalecimiento comunitario e institucional, ni los relacionados con el control y la contención de la deforestación. Si se considera la pérdida de 788.313 hectáreas de bosque en la Amazonía colombiana entre 2016 y 2023, el costo total de restauración se aproximaría a COP 11,6 billones.</w:t>
      </w:r>
    </w:p>
    <w:p w14:paraId="49BE9670" w14:textId="26C652D7" w:rsidR="001C49BC" w:rsidRPr="00B450EB" w:rsidRDefault="00E2518D" w:rsidP="001C49BC">
      <w:r w:rsidRPr="00B450EB">
        <w:t xml:space="preserve">Adicionalmente, </w:t>
      </w:r>
      <w:r w:rsidR="001C49BC" w:rsidRPr="00B450EB">
        <w:t xml:space="preserve">IDEAM (2018) ha señalado que los costos de restauración asociados a la deforestación en la Amazonía no solo incluyen la </w:t>
      </w:r>
      <w:proofErr w:type="spellStart"/>
      <w:r w:rsidR="001C49BC" w:rsidRPr="00B450EB">
        <w:t>revegetalización</w:t>
      </w:r>
      <w:proofErr w:type="spellEnd"/>
      <w:r w:rsidR="001C49BC" w:rsidRPr="00B450EB">
        <w:t xml:space="preserve">, sino también la pérdida de regulación hídrica, la disminución de la productividad agrícola y el incremento en riesgos de desastres. Estas pérdidas, sumadas al gasto en restauración activa, resultan ser </w:t>
      </w:r>
      <w:r w:rsidR="001C49BC" w:rsidRPr="00B450EB">
        <w:rPr>
          <w:b/>
          <w:bCs/>
        </w:rPr>
        <w:t>mucho mayores que los ingresos fiscales temporales obtenidos por actividades extractivas en la región</w:t>
      </w:r>
      <w:r w:rsidR="001C49BC" w:rsidRPr="00B450EB">
        <w:t>.</w:t>
      </w:r>
    </w:p>
    <w:p w14:paraId="5E9DC05F" w14:textId="77777777" w:rsidR="001C49BC" w:rsidRPr="00B450EB" w:rsidRDefault="001C49BC" w:rsidP="001C49BC">
      <w:r w:rsidRPr="00B450EB">
        <w:t xml:space="preserve">Además, la degradación ambiental afecta actividades lícitas y sostenibles (agricultura, pesca, turismo), lo que genera </w:t>
      </w:r>
      <w:r w:rsidRPr="00B450EB">
        <w:rPr>
          <w:b/>
          <w:bCs/>
        </w:rPr>
        <w:t>costos de oportunidad ocultos</w:t>
      </w:r>
      <w:r w:rsidRPr="00B450EB">
        <w:t xml:space="preserve"> que no son compensados por los beneficios de la extracción. Costanza et al. (2014) estimaron que el valor económico de los servicios ecosistémicos perdidos a nivel mundial asciende a decenas de billones de dólares anuales, cifra que excede por </w:t>
      </w:r>
      <w:r w:rsidRPr="00B450EB">
        <w:lastRenderedPageBreak/>
        <w:t>mucho los beneficios obtenidos de la explotación intensiva de recursos no renovables.</w:t>
      </w:r>
    </w:p>
    <w:p w14:paraId="64E9E27D" w14:textId="77777777" w:rsidR="001C49BC" w:rsidRPr="00B450EB" w:rsidRDefault="001C49BC" w:rsidP="001C49BC">
      <w:r w:rsidRPr="00B450EB">
        <w:t xml:space="preserve">En síntesis, la literatura científica coincide en que los costos que debe asumir el Estado y la sociedad para restaurar ecosistemas degradados son </w:t>
      </w:r>
      <w:r w:rsidRPr="00B450EB">
        <w:rPr>
          <w:b/>
          <w:bCs/>
        </w:rPr>
        <w:t>superiores a los beneficios económicos de corto plazo generados por la extracción</w:t>
      </w:r>
      <w:r w:rsidRPr="00B450EB">
        <w:t xml:space="preserve">. Este desbalance refuerza la lógica de que una </w:t>
      </w:r>
      <w:r w:rsidRPr="00B450EB">
        <w:rPr>
          <w:b/>
          <w:bCs/>
        </w:rPr>
        <w:t>estrategia preventiva de conservación es más eficiente, sostenible y fiscalmente responsable</w:t>
      </w:r>
      <w:r w:rsidRPr="00B450EB">
        <w:t xml:space="preserve"> que enfrentar escenarios de degradación y posterior restauración.</w:t>
      </w:r>
    </w:p>
    <w:p w14:paraId="1BA32ABE" w14:textId="77777777" w:rsidR="001C49BC" w:rsidRPr="00B450EB" w:rsidRDefault="001C49BC" w:rsidP="00C40D3D">
      <w:pPr>
        <w:spacing w:after="0"/>
      </w:pPr>
    </w:p>
    <w:p w14:paraId="6E7AE8EA" w14:textId="7BB77A2C" w:rsidR="00702D5A" w:rsidRPr="00B450EB" w:rsidRDefault="00702D5A" w:rsidP="00702D5A">
      <w:pPr>
        <w:pStyle w:val="Ttulo3"/>
        <w:numPr>
          <w:ilvl w:val="2"/>
          <w:numId w:val="16"/>
        </w:numPr>
        <w:rPr>
          <w:rFonts w:cs="Arial"/>
        </w:rPr>
      </w:pPr>
      <w:bookmarkStart w:id="152" w:name="_Toc209722940"/>
      <w:r w:rsidRPr="00B450EB">
        <w:rPr>
          <w:rFonts w:cs="Arial"/>
        </w:rPr>
        <w:t>Vulnerabilidades sociales</w:t>
      </w:r>
      <w:bookmarkEnd w:id="152"/>
    </w:p>
    <w:p w14:paraId="4AE4EAB8" w14:textId="77777777" w:rsidR="00B34DB2" w:rsidRPr="00B450EB" w:rsidRDefault="00B34DB2" w:rsidP="00C40D3D">
      <w:pPr>
        <w:spacing w:after="0"/>
      </w:pPr>
    </w:p>
    <w:p w14:paraId="7C465157" w14:textId="5C56BCCF" w:rsidR="00702D5A" w:rsidRPr="00B450EB" w:rsidRDefault="00702D5A" w:rsidP="00EE14F2">
      <w:r w:rsidRPr="00B450EB">
        <w:t>Considerando los principales aspectos abordados en la caracterización socioeconómica, se identifican una serie de vulnerabilidades estructurales y riesgos de las comunidades que habitan el Bioma Amazónico Colombiano, que pueden comprometen tanto sus condiciones de vida como la sostenibilidad del territorio. Por un lado, los altos niveles de pobreza multidimensional (60% frente al 19% nacional) y los indicadores de Necesidades Básicas Insatisfechas (NBI) superiores al 50% en la mayoría de los municipios limitan el acceso efectivo a derechos fundamentales como salud, educación, vivienda digna y saneamiento básico. Estas carencias se agravan en áreas rurales dispersas, donde la oferta educativa es restringida, la infraestructura hospitalaria es insuficiente y predominan viviendas precarias sin acceso a servicios públicos.</w:t>
      </w:r>
    </w:p>
    <w:p w14:paraId="30AB6C05" w14:textId="77777777" w:rsidR="00702D5A" w:rsidRPr="00B450EB" w:rsidRDefault="00702D5A" w:rsidP="00EE14F2">
      <w:r w:rsidRPr="00B450EB">
        <w:t>A esta situación se suma la débil presencia institucional y la limitada capacidad de gobernanza en varios departamentos del bioma, lo que dificulta la provisión de servicios públicos, la gestión ambiental y la implementación de políticas de conservación. En conjunto, este panorama configura un círculo de riesgo, en el que la precariedad social reduce la capacidad de respuesta de las comunidades y aumenta su vulnerabilidad frente a presiones externas, comprometiendo la resiliencia territorial y la sostenibilidad de los ecosistemas amazónicos.</w:t>
      </w:r>
    </w:p>
    <w:p w14:paraId="3B5BC792" w14:textId="77777777" w:rsidR="00702D5A" w:rsidRPr="00B450EB" w:rsidRDefault="00702D5A" w:rsidP="00EE14F2">
      <w:r w:rsidRPr="00B450EB">
        <w:t xml:space="preserve">Adicionalmente, la dependencia de los recursos del bosque y los ríos como medios primarios de subsistencia aumenta la exposición de las comunidades a la degradación ambiental, comprometiendo la seguridad alimentaria y cultural. En el caso de los pueblos indígenas, esta vulnerabilidad se acentúa por las amenazas sobre sus territorios colectivos y la continuidad de sus prácticas culturales y espirituales, mientras que en las comunidades campesinas se refleja en la </w:t>
      </w:r>
      <w:r w:rsidRPr="00B450EB">
        <w:lastRenderedPageBreak/>
        <w:t>informalidad de la tenencia de la tierra y en la limitada capacidad de gestión territorial.</w:t>
      </w:r>
    </w:p>
    <w:p w14:paraId="67CB7DFB" w14:textId="1FB822AC" w:rsidR="00D90ACC" w:rsidRPr="00B450EB" w:rsidRDefault="00392B05" w:rsidP="001C1081">
      <w:pPr>
        <w:pStyle w:val="Ttulo1"/>
        <w:numPr>
          <w:ilvl w:val="0"/>
          <w:numId w:val="16"/>
        </w:numPr>
        <w:rPr>
          <w:rFonts w:cs="Arial"/>
          <w:szCs w:val="24"/>
        </w:rPr>
      </w:pPr>
      <w:bookmarkStart w:id="153" w:name="_Toc209722941"/>
      <w:r w:rsidRPr="00B450EB">
        <w:rPr>
          <w:rFonts w:cs="Arial"/>
        </w:rPr>
        <w:t>PRESIONES Y AMENAZAS</w:t>
      </w:r>
      <w:bookmarkEnd w:id="153"/>
    </w:p>
    <w:p w14:paraId="2F1A3F24" w14:textId="2FE35C91" w:rsidR="2B4294B7" w:rsidRPr="00B450EB" w:rsidRDefault="00CC05BF" w:rsidP="00C06290">
      <w:r w:rsidRPr="00B450EB">
        <w:t>La Amazonia enfrenta crecientes presiones y amenazas derivadas tanto de actividades antrópicas como de dinámicas naturales que comprometen su integridad ecológica y cultural. Estas problemáticas, lejos de ser aisladas, se manifiestan de manera interrelacionada y acumulativa, profundizando los procesos de degradación ambiental y social. En este sentido, resulta fundamental comprender cómo dichas presiones inciden en la pérdida de biodiversidad, la fragmentación de hábitats, la reducción de servicios ecosistémicos y la afectación de las comunidades que dependen directamente de este territorio.</w:t>
      </w:r>
    </w:p>
    <w:p w14:paraId="00A98A78" w14:textId="3B9520F6" w:rsidR="00340AAC" w:rsidRPr="00B450EB" w:rsidRDefault="00340AAC" w:rsidP="001C1081">
      <w:pPr>
        <w:pStyle w:val="Ttulo2"/>
        <w:numPr>
          <w:ilvl w:val="1"/>
          <w:numId w:val="16"/>
        </w:numPr>
      </w:pPr>
      <w:bookmarkStart w:id="154" w:name="_Toc209722942"/>
      <w:r w:rsidRPr="00B450EB">
        <w:t>Conflictos</w:t>
      </w:r>
      <w:r w:rsidRPr="00B450EB">
        <w:rPr>
          <w:spacing w:val="-5"/>
        </w:rPr>
        <w:t xml:space="preserve"> </w:t>
      </w:r>
      <w:proofErr w:type="spellStart"/>
      <w:r w:rsidRPr="00B450EB">
        <w:t>Socioecológicos</w:t>
      </w:r>
      <w:bookmarkEnd w:id="154"/>
      <w:proofErr w:type="spellEnd"/>
    </w:p>
    <w:p w14:paraId="0331D5DE" w14:textId="1E5A19EF" w:rsidR="00340AAC" w:rsidRPr="00B450EB" w:rsidRDefault="00340AAC" w:rsidP="00EE14F2">
      <w:r w:rsidRPr="00B450EB">
        <w:t xml:space="preserve">Los conflictos </w:t>
      </w:r>
      <w:proofErr w:type="spellStart"/>
      <w:r w:rsidRPr="00B450EB">
        <w:t>socioecológicos</w:t>
      </w:r>
      <w:proofErr w:type="spellEnd"/>
      <w:r w:rsidRPr="00B450EB">
        <w:t xml:space="preserve"> en el bioma amazónico colombiano reflejan la interacción entre presiones antrópicas sobre los ecosistemas y las dinámicas sociales, económicas y culturales de las comunidades locales. Estos conflictos surgen de la expansión de actividades como la ganadería extensiva, </w:t>
      </w:r>
      <w:r w:rsidR="00FD6B74" w:rsidRPr="00B450EB">
        <w:t xml:space="preserve">actividades extractivas (minería e hidrocarburos), </w:t>
      </w:r>
      <w:r w:rsidRPr="00B450EB">
        <w:t>los cultivos de uso ilícito, el acaparamiento de tierras</w:t>
      </w:r>
      <w:r w:rsidR="00CA073A" w:rsidRPr="00B450EB">
        <w:t>, adecuación de vías</w:t>
      </w:r>
      <w:r w:rsidRPr="00B450EB">
        <w:t>,</w:t>
      </w:r>
      <w:r w:rsidR="00E34E9F" w:rsidRPr="00B450EB">
        <w:t xml:space="preserve"> entre otros</w:t>
      </w:r>
      <w:r w:rsidRPr="00B450EB">
        <w:t xml:space="preserve">, que transforman el uso y la cobertura del suelo, generan disputas por el acceso y control de los recursos naturales y profundizan las desigualdades territoriales. Desde una perspectiva socioeconómica, estos procesos no solo implican afectaciones ambientales, sino también el debilitamiento de medios de vida tradicionales, el incremento de vulnerabilidades en poblaciones y la afectación de derechos fundamentales como la seguridad alimentaria, el acceso al territorio y la participación en decisiones sobre su manejo. </w:t>
      </w:r>
    </w:p>
    <w:p w14:paraId="65C8DEF6" w14:textId="46338968" w:rsidR="009B2CA8" w:rsidRPr="00B450EB" w:rsidRDefault="00340AAC" w:rsidP="00EE14F2">
      <w:r w:rsidRPr="00B450EB">
        <w:t xml:space="preserve">En este sentido, el análisis de los conflictos </w:t>
      </w:r>
      <w:proofErr w:type="spellStart"/>
      <w:r w:rsidRPr="00B450EB">
        <w:t>socioecológicos</w:t>
      </w:r>
      <w:proofErr w:type="spellEnd"/>
      <w:r w:rsidRPr="00B450EB">
        <w:t xml:space="preserve"> permite comprender cómo los patrones de desarrollo y los intereses económicos inciden en la gobernanza ambiental y en las condiciones de vida en la región amazónica. A continuación, se presentan los principales conflictos identificados en el bioma amazónico colombiano, los cuales permiten ilustrar las dinámicas territoriales y socioeconómicas que están configurando la transformación de este espacio y los retos que plantea para la sostenibilidad y la garantía de derechos de sus poblaciones.</w:t>
      </w:r>
    </w:p>
    <w:p w14:paraId="07548283" w14:textId="77777777" w:rsidR="00340AAC" w:rsidRPr="00B450EB" w:rsidRDefault="00340AAC" w:rsidP="001C1081">
      <w:pPr>
        <w:pStyle w:val="Ttulo3"/>
        <w:numPr>
          <w:ilvl w:val="2"/>
          <w:numId w:val="16"/>
        </w:numPr>
        <w:rPr>
          <w:rFonts w:eastAsia="Arial"/>
        </w:rPr>
      </w:pPr>
      <w:bookmarkStart w:id="155" w:name="_Toc209722943"/>
      <w:r w:rsidRPr="00B450EB">
        <w:rPr>
          <w:rFonts w:eastAsia="Arial"/>
        </w:rPr>
        <w:t xml:space="preserve">Agroindustria </w:t>
      </w:r>
      <w:r w:rsidRPr="00B450EB">
        <w:t>(Monocultivos de palma de aceite)</w:t>
      </w:r>
      <w:bookmarkEnd w:id="155"/>
    </w:p>
    <w:p w14:paraId="665A19ED" w14:textId="77777777" w:rsidR="00340AAC" w:rsidRPr="00B450EB" w:rsidRDefault="00340AAC" w:rsidP="00EE14F2">
      <w:r w:rsidRPr="00B450EB">
        <w:t xml:space="preserve">La expansión de la agroindustria de palma de aceite en el bioma amazónico colombiano constituye un factor de presión sobre ecosistemas estratégicos, </w:t>
      </w:r>
      <w:r w:rsidRPr="00B450EB">
        <w:lastRenderedPageBreak/>
        <w:t xml:space="preserve">particularmente en la zona de transición entre la Orinoquía y la Amazonía, que alberga tres biomas diferenciados: densos bosques tropicales, vastas llanuras y bosques de galería, así como, una topografía montañosa y diversidad altitudinal con los paisajes </w:t>
      </w:r>
      <w:proofErr w:type="spellStart"/>
      <w:r w:rsidRPr="00B450EB">
        <w:t>subandinos</w:t>
      </w:r>
      <w:proofErr w:type="spellEnd"/>
      <w:r w:rsidRPr="00B450EB">
        <w:t xml:space="preserve"> únicos como el de la Sierra de la Macarena de los Andes. </w:t>
      </w:r>
    </w:p>
    <w:p w14:paraId="29A18F56" w14:textId="7E5C6FEA" w:rsidR="00340AAC" w:rsidRPr="00B450EB" w:rsidRDefault="00340AAC" w:rsidP="00EE14F2">
      <w:r w:rsidRPr="00B450EB">
        <w:t>Entre 2010 y 2021, la superficie cultivada con palma en la región alcanzó 149.315 hectáreas, con una tasa de crecimiento promedio del 5% anual, la más alta registrada en el país durante este periodo. De manera paralela, el número de plantas extractoras se duplicó, pasando de 16 a 32 entre 2011 y 2022. Este crecimiento configura un desbalance territorial, dado que se concentra en zonas con alta fragilidad ecológica, lo que incrementa el riesgo de pérdida de cobertura boscosa, fragmentación de hábitats y alteración de la conectividad ecológica.</w:t>
      </w:r>
      <w:sdt>
        <w:sdtPr>
          <w:id w:val="1361696905"/>
          <w:citation/>
        </w:sdtPr>
        <w:sdtContent>
          <w:r w:rsidRPr="00B450EB">
            <w:fldChar w:fldCharType="begin"/>
          </w:r>
          <w:r w:rsidRPr="00B450EB">
            <w:rPr>
              <w:rFonts w:eastAsia="Calibri" w:cs="Arial"/>
              <w:lang w:val="es-ES"/>
            </w:rPr>
            <w:instrText xml:space="preserve"> CITATION Fun \l 3082 </w:instrText>
          </w:r>
          <w:r w:rsidRPr="00B450EB">
            <w:fldChar w:fldCharType="separate"/>
          </w:r>
          <w:r w:rsidR="0077091E" w:rsidRPr="00B450EB">
            <w:rPr>
              <w:rFonts w:eastAsia="Calibri" w:cs="Arial"/>
              <w:noProof/>
              <w:lang w:val="es-ES"/>
            </w:rPr>
            <w:t xml:space="preserve"> (Fundación para la Conservación y el Desarrollo Sostenible (FCDS) , 2023)</w:t>
          </w:r>
          <w:r w:rsidRPr="00B450EB">
            <w:fldChar w:fldCharType="end"/>
          </w:r>
        </w:sdtContent>
      </w:sdt>
      <w:r w:rsidR="00263687" w:rsidRPr="00B450EB">
        <w:t xml:space="preserve"> </w:t>
      </w:r>
    </w:p>
    <w:p w14:paraId="64C7DB26" w14:textId="5CED8C77" w:rsidR="00475C8F" w:rsidRPr="00B450EB" w:rsidRDefault="00340AAC" w:rsidP="00EE14F2">
      <w:r w:rsidRPr="00B450EB">
        <w:t xml:space="preserve">A escala local, la expansión de la palma se concentra en municipios como Vista Hermosa, donde existe una plantación de 446 hectáreas, de las cuales 52,2 correspondían a bosque en 2011; </w:t>
      </w:r>
      <w:r w:rsidR="00B43501" w:rsidRPr="00B450EB">
        <w:t xml:space="preserve">en </w:t>
      </w:r>
      <w:r w:rsidRPr="00B450EB">
        <w:t>Puerto Concordia, donde se han registrado procesos de deforestación sobre 29 hectáreas</w:t>
      </w:r>
      <w:r w:rsidR="00263687" w:rsidRPr="00B450EB">
        <w:t>, afectando</w:t>
      </w:r>
      <w:r w:rsidRPr="00B450EB">
        <w:t xml:space="preserve"> los bosques de galería del río Ariari; y Puerto Rico, donde el cambio de cobertura boscosa </w:t>
      </w:r>
      <w:r w:rsidR="002C1D13" w:rsidRPr="00B450EB">
        <w:t xml:space="preserve">ha </w:t>
      </w:r>
      <w:r w:rsidRPr="00B450EB">
        <w:t>impacta</w:t>
      </w:r>
      <w:r w:rsidR="002C1D13" w:rsidRPr="00B450EB">
        <w:t>do</w:t>
      </w:r>
      <w:r w:rsidRPr="00B450EB">
        <w:t xml:space="preserve"> las rondas hídricas del mismo río, con pérdida de bosques de galería y alteración de su función reguladora. En San José del Guaviare también se han documentado afectaciones directas sobre coberturas boscosas y áreas inundables</w:t>
      </w:r>
      <w:r w:rsidR="00564B86" w:rsidRPr="00B450EB">
        <w:t xml:space="preserve"> (ver </w:t>
      </w:r>
      <w:r w:rsidR="00475C8F" w:rsidRPr="00B450EB">
        <w:rPr>
          <w:rFonts w:cs="Arial"/>
        </w:rPr>
        <w:fldChar w:fldCharType="begin"/>
      </w:r>
      <w:r w:rsidR="00475C8F" w:rsidRPr="00B450EB">
        <w:rPr>
          <w:rFonts w:cs="Arial"/>
        </w:rPr>
        <w:instrText xml:space="preserve"> REF _Ref209098786 \h </w:instrText>
      </w:r>
      <w:r w:rsidR="002245C7" w:rsidRPr="00B450EB">
        <w:rPr>
          <w:rFonts w:cs="Arial"/>
        </w:rPr>
        <w:instrText xml:space="preserve"> \* MERGEFORMAT </w:instrText>
      </w:r>
      <w:r w:rsidR="00475C8F" w:rsidRPr="00B450EB">
        <w:rPr>
          <w:rFonts w:cs="Arial"/>
        </w:rPr>
      </w:r>
      <w:r w:rsidR="00475C8F" w:rsidRPr="00B450EB">
        <w:rPr>
          <w:rFonts w:cs="Arial"/>
        </w:rPr>
        <w:fldChar w:fldCharType="separate"/>
      </w:r>
      <w:r w:rsidR="00010D09" w:rsidRPr="00B450EB">
        <w:rPr>
          <w:rFonts w:eastAsia="Calibri" w:cs="Arial"/>
        </w:rPr>
        <w:t xml:space="preserve">Figura </w:t>
      </w:r>
      <w:r w:rsidR="00010D09" w:rsidRPr="00B450EB">
        <w:rPr>
          <w:rFonts w:eastAsia="Calibri" w:cs="Arial"/>
          <w:i/>
          <w:noProof/>
          <w:sz w:val="18"/>
          <w:szCs w:val="18"/>
        </w:rPr>
        <w:t>71</w:t>
      </w:r>
      <w:r w:rsidR="00475C8F" w:rsidRPr="00B450EB">
        <w:rPr>
          <w:rFonts w:cs="Arial"/>
        </w:rPr>
        <w:fldChar w:fldCharType="end"/>
      </w:r>
      <w:r w:rsidR="00475C8F" w:rsidRPr="00B450EB">
        <w:t>)</w:t>
      </w:r>
      <w:r w:rsidRPr="00B450EB">
        <w:t xml:space="preserve">. </w:t>
      </w:r>
    </w:p>
    <w:p w14:paraId="6AC1BFDF" w14:textId="5BD3DB2C" w:rsidR="00D203BB" w:rsidRPr="00B450EB" w:rsidRDefault="00127536" w:rsidP="00EE14F2">
      <w:r w:rsidRPr="00B450EB">
        <w:t>En este contexto, los</w:t>
      </w:r>
      <w:r w:rsidR="00340AAC" w:rsidRPr="00B450EB">
        <w:t xml:space="preserve"> principales impactos ambientales se relacionan con la deforestación de bosques </w:t>
      </w:r>
      <w:proofErr w:type="spellStart"/>
      <w:r w:rsidR="00340AAC" w:rsidRPr="00B450EB">
        <w:t>riparios</w:t>
      </w:r>
      <w:proofErr w:type="spellEnd"/>
      <w:r w:rsidR="00340AAC" w:rsidRPr="00B450EB">
        <w:t xml:space="preserve"> y de galería, ecosistemas que cumplen un papel clave en la regulación hídrica, la estabilización de suelos y la provisión de hábitat para diversas especies. A esto se suman las prácticas agrícolas asociadas a la agroindustria, como el drenaje de suelos y el uso intensivo de agroquímicos, que deterioran la calidad del agua y alteran la recarga de acuíferos. En el ámbito climático, se estima que por cada tonelada de aceite crudo de palma producida se liberan entre tres y cinco toneladas de CO</w:t>
      </w:r>
      <w:r w:rsidR="00340AAC" w:rsidRPr="00B450EB">
        <w:rPr>
          <w:rFonts w:ascii="Cambria Math" w:hAnsi="Cambria Math" w:cs="Cambria Math"/>
        </w:rPr>
        <w:t>₂</w:t>
      </w:r>
      <w:r w:rsidR="00340AAC" w:rsidRPr="00B450EB">
        <w:t xml:space="preserve"> equivalente, lo que incrementa las emisiones de gases de efecto invernadero y dificulta el cumplimiento de las metas nacionales de mitigación.</w:t>
      </w:r>
      <w:sdt>
        <w:sdtPr>
          <w:id w:val="1653026755"/>
          <w:citation/>
        </w:sdtPr>
        <w:sdtContent>
          <w:r w:rsidR="004D2A11" w:rsidRPr="00B450EB">
            <w:fldChar w:fldCharType="begin"/>
          </w:r>
          <w:r w:rsidR="004D2A11" w:rsidRPr="00B450EB">
            <w:rPr>
              <w:rFonts w:eastAsia="Calibri" w:cs="Arial"/>
              <w:lang w:val="es-ES"/>
            </w:rPr>
            <w:instrText xml:space="preserve"> CITATION Fun \l 3082 </w:instrText>
          </w:r>
          <w:r w:rsidR="004D2A11" w:rsidRPr="00B450EB">
            <w:fldChar w:fldCharType="separate"/>
          </w:r>
          <w:r w:rsidR="0077091E" w:rsidRPr="00B450EB">
            <w:rPr>
              <w:rFonts w:eastAsia="Calibri" w:cs="Arial"/>
              <w:noProof/>
              <w:lang w:val="es-ES"/>
            </w:rPr>
            <w:t xml:space="preserve"> (Fundación para la Conservación y el Desarrollo Sostenible (FCDS) , 2023)</w:t>
          </w:r>
          <w:r w:rsidR="004D2A11" w:rsidRPr="00B450EB">
            <w:fldChar w:fldCharType="end"/>
          </w:r>
        </w:sdtContent>
      </w:sdt>
      <w:r w:rsidR="00D203BB" w:rsidRPr="00B450EB">
        <w:t>.</w:t>
      </w:r>
    </w:p>
    <w:p w14:paraId="3D117756" w14:textId="77777777" w:rsidR="00D203BB" w:rsidRPr="00B450EB" w:rsidRDefault="00D203BB">
      <w:pPr>
        <w:jc w:val="left"/>
      </w:pPr>
      <w:r w:rsidRPr="00B450EB">
        <w:br w:type="page"/>
      </w:r>
    </w:p>
    <w:p w14:paraId="25EAB723" w14:textId="244463B7" w:rsidR="00340AAC" w:rsidRPr="00B450EB" w:rsidRDefault="007C2DBF" w:rsidP="00340AAC">
      <w:pPr>
        <w:spacing w:after="0" w:line="240" w:lineRule="auto"/>
        <w:jc w:val="center"/>
        <w:rPr>
          <w:rFonts w:eastAsia="Calibri" w:cs="Arial"/>
          <w:i/>
          <w:sz w:val="18"/>
          <w:szCs w:val="18"/>
        </w:rPr>
      </w:pPr>
      <w:bookmarkStart w:id="156" w:name="_Ref209098786"/>
      <w:bookmarkStart w:id="157" w:name="_Toc209462759"/>
      <w:r w:rsidRPr="00B450EB">
        <w:rPr>
          <w:rFonts w:eastAsia="Calibri" w:cs="Arial"/>
          <w:i/>
          <w:sz w:val="18"/>
          <w:szCs w:val="18"/>
        </w:rPr>
        <w:lastRenderedPageBreak/>
        <w:t xml:space="preserve">Figura </w:t>
      </w:r>
      <w:r w:rsidR="00D149F7" w:rsidRPr="00B450EB">
        <w:rPr>
          <w:rFonts w:eastAsia="Calibri" w:cs="Arial"/>
          <w:i/>
          <w:sz w:val="18"/>
          <w:szCs w:val="18"/>
        </w:rPr>
        <w:fldChar w:fldCharType="begin"/>
      </w:r>
      <w:r w:rsidR="00D149F7" w:rsidRPr="00B450EB">
        <w:rPr>
          <w:rFonts w:eastAsia="Calibri" w:cs="Arial"/>
          <w:i/>
          <w:sz w:val="18"/>
          <w:szCs w:val="18"/>
        </w:rPr>
        <w:instrText xml:space="preserve"> SEQ Figura \* ARABIC </w:instrText>
      </w:r>
      <w:r w:rsidR="00D149F7" w:rsidRPr="00B450EB">
        <w:rPr>
          <w:rFonts w:eastAsia="Calibri" w:cs="Arial"/>
          <w:i/>
          <w:sz w:val="18"/>
          <w:szCs w:val="18"/>
        </w:rPr>
        <w:fldChar w:fldCharType="separate"/>
      </w:r>
      <w:r w:rsidR="00010D09" w:rsidRPr="00B450EB">
        <w:rPr>
          <w:rFonts w:eastAsia="Calibri" w:cs="Arial"/>
          <w:i/>
          <w:noProof/>
          <w:sz w:val="18"/>
          <w:szCs w:val="18"/>
        </w:rPr>
        <w:t>71</w:t>
      </w:r>
      <w:r w:rsidR="00D149F7" w:rsidRPr="00B450EB">
        <w:rPr>
          <w:rFonts w:eastAsia="Calibri" w:cs="Arial"/>
          <w:i/>
          <w:sz w:val="18"/>
          <w:szCs w:val="18"/>
        </w:rPr>
        <w:fldChar w:fldCharType="end"/>
      </w:r>
      <w:bookmarkEnd w:id="156"/>
      <w:r w:rsidR="00340AAC" w:rsidRPr="00B450EB">
        <w:rPr>
          <w:rFonts w:eastAsia="Calibri" w:cs="Arial"/>
          <w:i/>
          <w:sz w:val="18"/>
          <w:szCs w:val="18"/>
        </w:rPr>
        <w:t>. Agroindustria en el Bioma Amazónico Colombiano</w:t>
      </w:r>
      <w:bookmarkEnd w:id="157"/>
    </w:p>
    <w:p w14:paraId="38808D7C" w14:textId="0DCD8873" w:rsidR="00340AAC" w:rsidRPr="00B450EB" w:rsidRDefault="00467632" w:rsidP="00340AAC">
      <w:pPr>
        <w:spacing w:after="0" w:line="259" w:lineRule="auto"/>
        <w:jc w:val="center"/>
        <w:rPr>
          <w:rFonts w:eastAsia="Calibri" w:cs="Arial"/>
          <w:sz w:val="22"/>
          <w:szCs w:val="22"/>
        </w:rPr>
      </w:pPr>
      <w:r w:rsidRPr="00B450EB">
        <w:rPr>
          <w:rFonts w:eastAsia="Calibri" w:cs="Arial"/>
          <w:noProof/>
          <w:sz w:val="22"/>
          <w:szCs w:val="22"/>
        </w:rPr>
        <w:drawing>
          <wp:inline distT="0" distB="0" distL="0" distR="0" wp14:anchorId="6B41173F" wp14:editId="5CADEC90">
            <wp:extent cx="5612130" cy="4336415"/>
            <wp:effectExtent l="0" t="0" r="7620" b="6985"/>
            <wp:docPr id="94323750"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23750" name="Imagen 2" descr="Mapa&#10;&#10;El contenido generado por IA puede ser incorrecto."/>
                    <pic:cNvPicPr/>
                  </pic:nvPicPr>
                  <pic:blipFill>
                    <a:blip r:embed="rId121" cstate="email">
                      <a:extLst>
                        <a:ext uri="{28A0092B-C50C-407E-A947-70E740481C1C}">
                          <a14:useLocalDpi xmlns:a14="http://schemas.microsoft.com/office/drawing/2010/main"/>
                        </a:ext>
                      </a:extLst>
                    </a:blip>
                    <a:stretch>
                      <a:fillRect/>
                    </a:stretch>
                  </pic:blipFill>
                  <pic:spPr>
                    <a:xfrm>
                      <a:off x="0" y="0"/>
                      <a:ext cx="5612130" cy="4336415"/>
                    </a:xfrm>
                    <a:prstGeom prst="rect">
                      <a:avLst/>
                    </a:prstGeom>
                  </pic:spPr>
                </pic:pic>
              </a:graphicData>
            </a:graphic>
          </wp:inline>
        </w:drawing>
      </w:r>
    </w:p>
    <w:p w14:paraId="36C0AABC" w14:textId="43E758A1" w:rsidR="00931E4E" w:rsidRPr="00B450EB" w:rsidRDefault="00931E4E" w:rsidP="00931E4E">
      <w:pPr>
        <w:spacing w:after="0" w:line="240" w:lineRule="auto"/>
        <w:jc w:val="center"/>
        <w:rPr>
          <w:rFonts w:eastAsia="Calibri" w:cs="Arial"/>
          <w:sz w:val="18"/>
          <w:szCs w:val="18"/>
        </w:rPr>
      </w:pPr>
      <w:r w:rsidRPr="00B450EB">
        <w:rPr>
          <w:rFonts w:eastAsia="Calibri" w:cs="Arial"/>
          <w:sz w:val="18"/>
          <w:szCs w:val="18"/>
        </w:rPr>
        <w:t xml:space="preserve">Fuente: </w:t>
      </w:r>
      <w:r w:rsidR="00004228" w:rsidRPr="00B450EB">
        <w:rPr>
          <w:rFonts w:eastAsia="Calibri" w:cs="Arial"/>
          <w:bCs/>
          <w:sz w:val="18"/>
          <w:szCs w:val="18"/>
        </w:rPr>
        <w:t>Elaboración propia, adaptado del</w:t>
      </w:r>
      <w:r w:rsidR="00340AAC" w:rsidRPr="00B450EB">
        <w:rPr>
          <w:rFonts w:eastAsia="Calibri" w:cs="Arial"/>
          <w:bCs/>
          <w:sz w:val="18"/>
          <w:szCs w:val="18"/>
        </w:rPr>
        <w:t xml:space="preserve"> </w:t>
      </w:r>
      <w:proofErr w:type="spellStart"/>
      <w:r w:rsidRPr="00B450EB">
        <w:rPr>
          <w:rFonts w:eastAsia="Calibri" w:cs="Arial"/>
          <w:sz w:val="18"/>
          <w:szCs w:val="18"/>
        </w:rPr>
        <w:t>Geovisor</w:t>
      </w:r>
      <w:proofErr w:type="spellEnd"/>
      <w:r w:rsidR="000A67E7" w:rsidRPr="00B450EB">
        <w:rPr>
          <w:rFonts w:eastAsia="Calibri" w:cs="Arial"/>
          <w:bCs/>
          <w:sz w:val="18"/>
          <w:szCs w:val="18"/>
        </w:rPr>
        <w:t>-</w:t>
      </w:r>
      <w:r w:rsidRPr="00B450EB">
        <w:rPr>
          <w:rFonts w:eastAsia="Calibri" w:cs="Arial"/>
          <w:sz w:val="18"/>
          <w:szCs w:val="18"/>
        </w:rPr>
        <w:t>Conflictos Socioambientales, publicado por Fundación para la Conservación y el Desarrollo Sostenible</w:t>
      </w:r>
      <w:r w:rsidR="00004228" w:rsidRPr="00B450EB">
        <w:rPr>
          <w:rFonts w:eastAsia="Calibri" w:cs="Arial"/>
          <w:bCs/>
          <w:sz w:val="18"/>
          <w:szCs w:val="18"/>
        </w:rPr>
        <w:t xml:space="preserve"> (FCDS), 2023.</w:t>
      </w:r>
    </w:p>
    <w:p w14:paraId="1862BC3A" w14:textId="77777777" w:rsidR="007C2DBF" w:rsidRPr="00B450EB" w:rsidRDefault="007C2DBF" w:rsidP="00340AAC">
      <w:pPr>
        <w:pStyle w:val="Textoindependiente"/>
        <w:spacing w:before="21"/>
        <w:ind w:right="18"/>
        <w:rPr>
          <w:rFonts w:ascii="Arial" w:eastAsia="Arial" w:hAnsi="Arial" w:cs="Arial"/>
          <w:kern w:val="2"/>
          <w:sz w:val="24"/>
          <w:szCs w:val="24"/>
          <w:lang w:val="es-CO"/>
          <w14:ligatures w14:val="standardContextual"/>
        </w:rPr>
      </w:pPr>
    </w:p>
    <w:p w14:paraId="1EDBACF4" w14:textId="77777777" w:rsidR="00340AAC" w:rsidRPr="00B450EB" w:rsidRDefault="00340AAC" w:rsidP="001C1081">
      <w:pPr>
        <w:pStyle w:val="Ttulo3"/>
        <w:numPr>
          <w:ilvl w:val="2"/>
          <w:numId w:val="16"/>
        </w:numPr>
        <w:spacing w:before="0" w:after="0" w:line="240" w:lineRule="auto"/>
        <w:rPr>
          <w:rFonts w:eastAsia="Arial" w:cs="Arial"/>
          <w:szCs w:val="24"/>
        </w:rPr>
      </w:pPr>
      <w:bookmarkStart w:id="158" w:name="_Toc209722944"/>
      <w:r w:rsidRPr="00B450EB">
        <w:rPr>
          <w:rFonts w:eastAsia="Arial"/>
        </w:rPr>
        <w:t>Ganadería</w:t>
      </w:r>
      <w:r w:rsidRPr="00B450EB">
        <w:rPr>
          <w:rFonts w:eastAsia="Arial" w:cs="Arial"/>
          <w:szCs w:val="24"/>
        </w:rPr>
        <w:t xml:space="preserve"> Extensiva</w:t>
      </w:r>
      <w:bookmarkEnd w:id="158"/>
    </w:p>
    <w:p w14:paraId="6C86C2BD" w14:textId="77777777" w:rsidR="00340AAC" w:rsidRPr="00B450EB" w:rsidRDefault="00340AAC" w:rsidP="00271284">
      <w:pPr>
        <w:pStyle w:val="Textoindependiente"/>
        <w:ind w:right="18"/>
        <w:rPr>
          <w:rFonts w:ascii="Arial" w:eastAsia="Arial" w:hAnsi="Arial" w:cs="Arial"/>
          <w:kern w:val="2"/>
          <w:sz w:val="24"/>
          <w:szCs w:val="24"/>
          <w:lang w:val="es-CO"/>
          <w14:ligatures w14:val="standardContextual"/>
        </w:rPr>
      </w:pPr>
    </w:p>
    <w:p w14:paraId="08E9AC0C" w14:textId="5B55F044" w:rsidR="00340AAC" w:rsidRPr="00B450EB" w:rsidRDefault="00340AAC" w:rsidP="00C06290">
      <w:r w:rsidRPr="00B450EB">
        <w:t>La ganadera extensiva se ha consolidado como uno de los principales factores de transformación territorial en el bioma amazónico colombiano, especialmente en los departamentos de Caquetá, Guaviare y Meta que integran el denominado Arco de Deforestación Amazónico (ADA). Entre 2016 y 2022, el hato ganadero pasó de 1,1 a 2,2 millones de cabezas, lo que evidencia un proceso acelerado de transformación de bosques en pastizales reflejando un vínculo directo entre la expansión ganadera y la deforestación</w:t>
      </w:r>
      <w:r w:rsidR="00050F4B" w:rsidRPr="00B450EB">
        <w:t xml:space="preserve"> (ver</w:t>
      </w:r>
      <w:r w:rsidR="002B3873" w:rsidRPr="00B450EB">
        <w:t xml:space="preserve"> </w:t>
      </w:r>
      <w:r w:rsidR="004D2A11" w:rsidRPr="00B450EB">
        <w:fldChar w:fldCharType="begin"/>
      </w:r>
      <w:r w:rsidR="004D2A11" w:rsidRPr="00B450EB">
        <w:instrText xml:space="preserve"> REF _Ref209214799 \h </w:instrText>
      </w:r>
      <w:r w:rsidR="006E0BC8" w:rsidRPr="00B450EB">
        <w:instrText xml:space="preserve"> \* MERGEFORMAT </w:instrText>
      </w:r>
      <w:r w:rsidR="004D2A11" w:rsidRPr="00B450EB">
        <w:fldChar w:fldCharType="separate"/>
      </w:r>
      <w:r w:rsidR="00010D09" w:rsidRPr="00B450EB">
        <w:t xml:space="preserve">Figura </w:t>
      </w:r>
      <w:r w:rsidR="00010D09" w:rsidRPr="00B450EB">
        <w:rPr>
          <w:rFonts w:eastAsia="Calibri" w:cs="Arial"/>
          <w:b/>
          <w:i/>
          <w:noProof/>
          <w:sz w:val="22"/>
          <w:szCs w:val="22"/>
        </w:rPr>
        <w:t>72</w:t>
      </w:r>
      <w:r w:rsidR="004D2A11" w:rsidRPr="00B450EB">
        <w:fldChar w:fldCharType="end"/>
      </w:r>
      <w:r w:rsidR="002B3873" w:rsidRPr="00B450EB">
        <w:t xml:space="preserve"> y </w:t>
      </w:r>
      <w:r w:rsidR="004D2A11" w:rsidRPr="00B450EB">
        <w:fldChar w:fldCharType="begin"/>
      </w:r>
      <w:r w:rsidR="004D2A11" w:rsidRPr="00B450EB">
        <w:instrText xml:space="preserve"> REF _Ref209214801 \h </w:instrText>
      </w:r>
      <w:r w:rsidR="006E0BC8" w:rsidRPr="00B450EB">
        <w:instrText xml:space="preserve"> \* MERGEFORMAT </w:instrText>
      </w:r>
      <w:r w:rsidR="004D2A11" w:rsidRPr="00B450EB">
        <w:fldChar w:fldCharType="separate"/>
      </w:r>
      <w:r w:rsidR="00010D09" w:rsidRPr="00B450EB">
        <w:t xml:space="preserve">Figura </w:t>
      </w:r>
      <w:r w:rsidR="00010D09" w:rsidRPr="00B450EB">
        <w:rPr>
          <w:rFonts w:eastAsia="Calibri" w:cs="Arial"/>
          <w:b/>
          <w:i/>
          <w:noProof/>
          <w:sz w:val="22"/>
          <w:szCs w:val="22"/>
        </w:rPr>
        <w:t>73</w:t>
      </w:r>
      <w:r w:rsidR="004D2A11" w:rsidRPr="00B450EB">
        <w:fldChar w:fldCharType="end"/>
      </w:r>
      <w:r w:rsidR="002B3873" w:rsidRPr="00B450EB">
        <w:t>)</w:t>
      </w:r>
      <w:r w:rsidRPr="00B450EB">
        <w:t>. Este fenómeno no solo implica pérdida de biodiversidad y degradación de suelos, sino que también ha generado concentración de tierras y profundización de desigualdades en el acceso al territorio, afectando de manera desproporcionada a comunidades campesinas e indígenas que históricamente han habitado la región.</w:t>
      </w:r>
      <w:sdt>
        <w:sdtPr>
          <w:id w:val="556598900"/>
          <w:citation/>
        </w:sdtPr>
        <w:sdtContent>
          <w:r w:rsidRPr="00B450EB">
            <w:fldChar w:fldCharType="begin"/>
          </w:r>
          <w:r w:rsidRPr="00B450EB">
            <w:rPr>
              <w:lang w:val="es-ES"/>
            </w:rPr>
            <w:instrText xml:space="preserve">CITATION Fun23 \l 3082 </w:instrText>
          </w:r>
          <w:r w:rsidRPr="00B450EB">
            <w:fldChar w:fldCharType="separate"/>
          </w:r>
          <w:r w:rsidR="0077091E" w:rsidRPr="00B450EB">
            <w:rPr>
              <w:noProof/>
              <w:lang w:val="es-ES"/>
            </w:rPr>
            <w:t xml:space="preserve"> (Fundación para la Conservación y el Desarrollo Sostenible (FCDS), 2023)</w:t>
          </w:r>
          <w:r w:rsidRPr="00B450EB">
            <w:fldChar w:fldCharType="end"/>
          </w:r>
        </w:sdtContent>
      </w:sdt>
    </w:p>
    <w:p w14:paraId="077A04AE" w14:textId="75D5C46B" w:rsidR="00340AAC" w:rsidRPr="00B450EB" w:rsidRDefault="00340AAC" w:rsidP="00C06290">
      <w:r w:rsidRPr="00B450EB">
        <w:lastRenderedPageBreak/>
        <w:t xml:space="preserve">La magnitud del impacto se hace evidente en áreas de conservación y territorios étnicos. </w:t>
      </w:r>
      <w:r w:rsidR="00F9547C" w:rsidRPr="00B450EB">
        <w:t>Por ejemplo, s</w:t>
      </w:r>
      <w:r w:rsidRPr="00B450EB">
        <w:t xml:space="preserve">e estima que más de 300.000 bovinos se encuentran dentro de Parques Nacionales como La Macarena, </w:t>
      </w:r>
      <w:proofErr w:type="spellStart"/>
      <w:r w:rsidRPr="00B450EB">
        <w:t>Tinigua</w:t>
      </w:r>
      <w:proofErr w:type="spellEnd"/>
      <w:r w:rsidRPr="00B450EB">
        <w:t xml:space="preserve"> y Picachos, y cerca de 600.000 en los bordes del Parque Nacional Chiribiquete, mientras que en el Resguardo Nukak se contabilizan 30.000 bovinos en su interior y 100.000 en sus alrededores </w:t>
      </w:r>
      <w:sdt>
        <w:sdtPr>
          <w:id w:val="-1162624335"/>
          <w:citation/>
        </w:sdtPr>
        <w:sdtContent>
          <w:r w:rsidRPr="00B450EB">
            <w:fldChar w:fldCharType="begin"/>
          </w:r>
          <w:r w:rsidRPr="00B450EB">
            <w:rPr>
              <w:lang w:val="es-ES"/>
            </w:rPr>
            <w:instrText xml:space="preserve">CITATION Fun23 \l 3082 </w:instrText>
          </w:r>
          <w:r w:rsidRPr="00B450EB">
            <w:fldChar w:fldCharType="separate"/>
          </w:r>
          <w:r w:rsidR="0077091E" w:rsidRPr="00B450EB">
            <w:rPr>
              <w:noProof/>
              <w:lang w:val="es-ES"/>
            </w:rPr>
            <w:t>(Fundación para la Conservación y el Desarrollo Sostenible (FCDS), 2023)</w:t>
          </w:r>
          <w:r w:rsidRPr="00B450EB">
            <w:fldChar w:fldCharType="end"/>
          </w:r>
        </w:sdtContent>
      </w:sdt>
      <w:r w:rsidRPr="00B450EB">
        <w:t xml:space="preserve">. </w:t>
      </w:r>
    </w:p>
    <w:p w14:paraId="6F124327" w14:textId="77777777" w:rsidR="00340AAC" w:rsidRPr="00B450EB" w:rsidRDefault="00340AAC" w:rsidP="00C06290">
      <w:r w:rsidRPr="00B450EB">
        <w:t xml:space="preserve">De igual manera, las dinámicas de ilegalidad asociadas a la ganadería se expresan también en prácticas como el “blanqueo de ganado”, mediante el cual animales criados en zonas de reserva forestal o parques son movilizados hacia predios en áreas habilitadas para ocultar su origen. Esta práctica profundiza la informalidad en el mercado cárnico, debilitando los procesos de fiscalización y aumentando la desconexión entre el consumo urbano y los impactos sociales y ambientales en los territorios amazónicos. </w:t>
      </w:r>
    </w:p>
    <w:p w14:paraId="2AA714FF" w14:textId="3B109991" w:rsidR="00340AAC" w:rsidRPr="00B450EB" w:rsidRDefault="00340AAC" w:rsidP="00C06290">
      <w:r w:rsidRPr="00B450EB">
        <w:t xml:space="preserve">Esto se suma al déficit en los sistemas de trazabilidad </w:t>
      </w:r>
      <w:r w:rsidR="0080727D" w:rsidRPr="00B450EB">
        <w:t xml:space="preserve">que </w:t>
      </w:r>
      <w:r w:rsidRPr="00B450EB">
        <w:t xml:space="preserve">es otro factor crítico. Aunque el Instituto Colombiano Agropecuario (ICA) de manera anual realiza campañas de vacunación, estas no garantizan la identificación del lugar de origen del ganado, lo que permite que </w:t>
      </w:r>
      <w:r w:rsidR="009B64F0" w:rsidRPr="00B450EB">
        <w:t>bovinos</w:t>
      </w:r>
      <w:r w:rsidRPr="00B450EB">
        <w:t xml:space="preserve"> provenientes de zonas deforestadas entren a la cadena comercial sin restricciones. Esta falta de control afecta de manera indirecta a comunidades locales, que ven cómo los beneficios económicos de la ganadería a gran escala se concentran en pocos actores, mientras ellos enfrentan mayores presiones sobre sus territorios y recursos naturales</w:t>
      </w:r>
      <w:sdt>
        <w:sdtPr>
          <w:id w:val="-2021695083"/>
          <w:citation/>
        </w:sdtPr>
        <w:sdtContent>
          <w:r w:rsidRPr="00B450EB">
            <w:fldChar w:fldCharType="begin"/>
          </w:r>
          <w:r w:rsidRPr="00B450EB">
            <w:rPr>
              <w:lang w:val="es-ES"/>
            </w:rPr>
            <w:instrText xml:space="preserve">CITATION Fun23 \l 3082 </w:instrText>
          </w:r>
          <w:r w:rsidRPr="00B450EB">
            <w:fldChar w:fldCharType="separate"/>
          </w:r>
          <w:r w:rsidR="0077091E" w:rsidRPr="00B450EB">
            <w:rPr>
              <w:noProof/>
              <w:lang w:val="es-ES"/>
            </w:rPr>
            <w:t xml:space="preserve"> (Fundación para la Conservación y el Desarrollo Sostenible (FCDS), 2023)</w:t>
          </w:r>
          <w:r w:rsidRPr="00B450EB">
            <w:fldChar w:fldCharType="end"/>
          </w:r>
        </w:sdtContent>
      </w:sdt>
    </w:p>
    <w:p w14:paraId="66DD4EC7" w14:textId="216A0706" w:rsidR="00340AAC" w:rsidRPr="00B450EB" w:rsidRDefault="00340AAC" w:rsidP="00C06290">
      <w:r w:rsidRPr="00B450EB">
        <w:t>Por último, la conexión de estas dinámicas con mercados urbanos y globales refuerza la externalización de los costos sociales y ambientales de la ganadería amazónica. Se estima que una de cada diez reses criadas en Guaviare y Caquetá se comercializa en Bogotá, mientras que más de tres de cada diez terminan en el Valle del Cauca, vinculado al puerto de Buenaventura. Esta articulación con mercados de gran escala contribuye a invisibilizar los conflictos sociales en la Amazonia y limita el reconocimiento de las comunidades que s</w:t>
      </w:r>
      <w:r w:rsidR="00FD4C8F" w:rsidRPr="00B450EB">
        <w:t>e enfrentan a</w:t>
      </w:r>
      <w:r w:rsidRPr="00B450EB">
        <w:t xml:space="preserve"> las consecuencias de la deforestación y la pérdida de medios de vida tradicionales.</w:t>
      </w:r>
    </w:p>
    <w:p w14:paraId="4EB89369" w14:textId="77777777" w:rsidR="00D203BB" w:rsidRPr="00B450EB" w:rsidRDefault="00D203BB" w:rsidP="00C06290"/>
    <w:p w14:paraId="124E452F" w14:textId="77777777" w:rsidR="00D203BB" w:rsidRPr="00B450EB" w:rsidRDefault="00D203BB" w:rsidP="00C06290"/>
    <w:p w14:paraId="5E82C15A" w14:textId="77777777" w:rsidR="00D203BB" w:rsidRPr="00B450EB" w:rsidRDefault="00D203BB" w:rsidP="00C06290"/>
    <w:p w14:paraId="6B9EA49F" w14:textId="77777777" w:rsidR="00D203BB" w:rsidRPr="00B450EB" w:rsidRDefault="00D203BB" w:rsidP="00C06290"/>
    <w:tbl>
      <w:tblPr>
        <w:tblStyle w:val="Tablaconcuadrcula"/>
        <w:tblW w:w="8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2"/>
        <w:gridCol w:w="4536"/>
      </w:tblGrid>
      <w:tr w:rsidR="00205915" w:rsidRPr="00B450EB" w14:paraId="20656293" w14:textId="77777777" w:rsidTr="00271284">
        <w:trPr>
          <w:trHeight w:val="380"/>
        </w:trPr>
        <w:tc>
          <w:tcPr>
            <w:tcW w:w="4548" w:type="dxa"/>
          </w:tcPr>
          <w:p w14:paraId="532427D2" w14:textId="6DE5BB86" w:rsidR="00340AAC" w:rsidRPr="00B450EB" w:rsidRDefault="00340AAC" w:rsidP="00377AD7">
            <w:pPr>
              <w:pStyle w:val="Descripcin"/>
              <w:rPr>
                <w:color w:val="auto"/>
              </w:rPr>
            </w:pPr>
            <w:bookmarkStart w:id="159" w:name="_Ref209214799"/>
            <w:bookmarkStart w:id="160" w:name="_Toc209462760"/>
            <w:r w:rsidRPr="00B450EB">
              <w:rPr>
                <w:color w:val="auto"/>
              </w:rPr>
              <w:lastRenderedPageBreak/>
              <w:t xml:space="preserve">Figura </w:t>
            </w:r>
            <w:r w:rsidR="00D149F7" w:rsidRPr="00B450EB">
              <w:rPr>
                <w:color w:val="auto"/>
              </w:rPr>
              <w:fldChar w:fldCharType="begin"/>
            </w:r>
            <w:r w:rsidR="00D149F7" w:rsidRPr="00B450EB">
              <w:rPr>
                <w:color w:val="auto"/>
              </w:rPr>
              <w:instrText xml:space="preserve"> SEQ Figura \* ARABIC </w:instrText>
            </w:r>
            <w:r w:rsidR="00D149F7" w:rsidRPr="00B450EB">
              <w:rPr>
                <w:color w:val="auto"/>
              </w:rPr>
              <w:fldChar w:fldCharType="separate"/>
            </w:r>
            <w:r w:rsidR="00010D09" w:rsidRPr="00B450EB">
              <w:rPr>
                <w:noProof/>
                <w:color w:val="auto"/>
              </w:rPr>
              <w:t>72</w:t>
            </w:r>
            <w:r w:rsidR="00D149F7" w:rsidRPr="00B450EB">
              <w:rPr>
                <w:color w:val="auto"/>
              </w:rPr>
              <w:fldChar w:fldCharType="end"/>
            </w:r>
            <w:bookmarkEnd w:id="159"/>
            <w:r w:rsidRPr="00B450EB">
              <w:rPr>
                <w:color w:val="auto"/>
              </w:rPr>
              <w:t>. Ganadería de carne bovina en el Bioma Amazónico Colombiano</w:t>
            </w:r>
            <w:bookmarkEnd w:id="160"/>
          </w:p>
        </w:tc>
        <w:tc>
          <w:tcPr>
            <w:tcW w:w="4280" w:type="dxa"/>
          </w:tcPr>
          <w:p w14:paraId="2D1882F9" w14:textId="2F9D71D7" w:rsidR="00340AAC" w:rsidRPr="00B450EB" w:rsidRDefault="00340AAC" w:rsidP="00377AD7">
            <w:pPr>
              <w:pStyle w:val="Descripcin"/>
              <w:rPr>
                <w:color w:val="auto"/>
              </w:rPr>
            </w:pPr>
            <w:bookmarkStart w:id="161" w:name="_Ref209214801"/>
            <w:bookmarkStart w:id="162" w:name="_Toc209462761"/>
            <w:r w:rsidRPr="00B450EB">
              <w:rPr>
                <w:color w:val="auto"/>
              </w:rPr>
              <w:t xml:space="preserve">Figura </w:t>
            </w:r>
            <w:r w:rsidR="00D149F7" w:rsidRPr="00B450EB">
              <w:rPr>
                <w:color w:val="auto"/>
              </w:rPr>
              <w:fldChar w:fldCharType="begin"/>
            </w:r>
            <w:r w:rsidR="00D149F7" w:rsidRPr="00B450EB">
              <w:rPr>
                <w:color w:val="auto"/>
              </w:rPr>
              <w:instrText xml:space="preserve"> SEQ Figura \* ARABIC </w:instrText>
            </w:r>
            <w:r w:rsidR="00D149F7" w:rsidRPr="00B450EB">
              <w:rPr>
                <w:color w:val="auto"/>
              </w:rPr>
              <w:fldChar w:fldCharType="separate"/>
            </w:r>
            <w:r w:rsidR="00010D09" w:rsidRPr="00B450EB">
              <w:rPr>
                <w:noProof/>
                <w:color w:val="auto"/>
              </w:rPr>
              <w:t>73</w:t>
            </w:r>
            <w:r w:rsidR="00D149F7" w:rsidRPr="00B450EB">
              <w:rPr>
                <w:color w:val="auto"/>
              </w:rPr>
              <w:fldChar w:fldCharType="end"/>
            </w:r>
            <w:bookmarkEnd w:id="161"/>
            <w:r w:rsidRPr="00B450EB">
              <w:rPr>
                <w:color w:val="auto"/>
              </w:rPr>
              <w:t>. Ganadería de leche bovina en el Bioma Amazónico Colombiano</w:t>
            </w:r>
            <w:bookmarkEnd w:id="162"/>
          </w:p>
        </w:tc>
      </w:tr>
      <w:tr w:rsidR="00205915" w:rsidRPr="00B450EB" w14:paraId="1D4C5C93" w14:textId="77777777" w:rsidTr="00271284">
        <w:trPr>
          <w:trHeight w:val="1498"/>
        </w:trPr>
        <w:tc>
          <w:tcPr>
            <w:tcW w:w="4548" w:type="dxa"/>
          </w:tcPr>
          <w:p w14:paraId="6C836C41" w14:textId="7367FA47" w:rsidR="00340AAC" w:rsidRPr="00B450EB" w:rsidRDefault="008D1DE1" w:rsidP="0070280D">
            <w:pPr>
              <w:rPr>
                <w:rFonts w:eastAsia="Calibri" w:cs="Arial"/>
                <w:bCs/>
              </w:rPr>
            </w:pPr>
            <w:r w:rsidRPr="00B450EB">
              <w:rPr>
                <w:rFonts w:eastAsia="Calibri" w:cs="Arial"/>
                <w:bCs/>
                <w:noProof/>
              </w:rPr>
              <w:drawing>
                <wp:inline distT="0" distB="0" distL="0" distR="0" wp14:anchorId="76F9777E" wp14:editId="17593325">
                  <wp:extent cx="2648606" cy="2046541"/>
                  <wp:effectExtent l="0" t="0" r="0" b="0"/>
                  <wp:docPr id="1262572238"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572238" name="Imagen 3" descr="Mapa&#10;&#10;El contenido generado por IA puede ser incorrecto."/>
                          <pic:cNvPicPr/>
                        </pic:nvPicPr>
                        <pic:blipFill>
                          <a:blip r:embed="rId122" cstate="email">
                            <a:extLst>
                              <a:ext uri="{28A0092B-C50C-407E-A947-70E740481C1C}">
                                <a14:useLocalDpi xmlns:a14="http://schemas.microsoft.com/office/drawing/2010/main"/>
                              </a:ext>
                            </a:extLst>
                          </a:blip>
                          <a:stretch>
                            <a:fillRect/>
                          </a:stretch>
                        </pic:blipFill>
                        <pic:spPr>
                          <a:xfrm>
                            <a:off x="0" y="0"/>
                            <a:ext cx="2656718" cy="2052809"/>
                          </a:xfrm>
                          <a:prstGeom prst="rect">
                            <a:avLst/>
                          </a:prstGeom>
                        </pic:spPr>
                      </pic:pic>
                    </a:graphicData>
                  </a:graphic>
                </wp:inline>
              </w:drawing>
            </w:r>
          </w:p>
        </w:tc>
        <w:tc>
          <w:tcPr>
            <w:tcW w:w="4280" w:type="dxa"/>
          </w:tcPr>
          <w:p w14:paraId="08DCE510" w14:textId="012607A2" w:rsidR="00340AAC" w:rsidRPr="00B450EB" w:rsidRDefault="008D1DE1" w:rsidP="0070280D">
            <w:pPr>
              <w:rPr>
                <w:rFonts w:eastAsia="Calibri" w:cs="Arial"/>
                <w:bCs/>
              </w:rPr>
            </w:pPr>
            <w:r w:rsidRPr="00B450EB">
              <w:rPr>
                <w:rFonts w:eastAsia="Calibri" w:cs="Arial"/>
                <w:bCs/>
                <w:noProof/>
              </w:rPr>
              <w:drawing>
                <wp:inline distT="0" distB="0" distL="0" distR="0" wp14:anchorId="2AFF84E1" wp14:editId="45BA3DD4">
                  <wp:extent cx="2795752" cy="2160239"/>
                  <wp:effectExtent l="0" t="0" r="5080" b="0"/>
                  <wp:docPr id="1462551069"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551069" name="Imagen 4" descr="Mapa&#10;&#10;El contenido generado por IA puede ser incorrecto."/>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799706" cy="2163294"/>
                          </a:xfrm>
                          <a:prstGeom prst="rect">
                            <a:avLst/>
                          </a:prstGeom>
                        </pic:spPr>
                      </pic:pic>
                    </a:graphicData>
                  </a:graphic>
                </wp:inline>
              </w:drawing>
            </w:r>
          </w:p>
        </w:tc>
      </w:tr>
    </w:tbl>
    <w:p w14:paraId="23E6704D" w14:textId="4B3EE4ED" w:rsidR="00931E4E" w:rsidRPr="00B450EB" w:rsidRDefault="00340AAC" w:rsidP="00D203BB">
      <w:pPr>
        <w:spacing w:line="240" w:lineRule="auto"/>
        <w:jc w:val="center"/>
        <w:rPr>
          <w:rFonts w:eastAsia="Calibri" w:cs="Arial"/>
          <w:sz w:val="18"/>
          <w:szCs w:val="18"/>
        </w:rPr>
      </w:pPr>
      <w:r w:rsidRPr="00B450EB">
        <w:rPr>
          <w:rFonts w:eastAsia="Calibri" w:cs="Arial"/>
          <w:sz w:val="18"/>
          <w:szCs w:val="18"/>
        </w:rPr>
        <w:t>Fuente:</w:t>
      </w:r>
      <w:r w:rsidR="005A61AE" w:rsidRPr="00B450EB">
        <w:rPr>
          <w:rFonts w:eastAsia="Calibri" w:cs="Arial"/>
          <w:sz w:val="18"/>
          <w:szCs w:val="18"/>
        </w:rPr>
        <w:t xml:space="preserve"> Elaboración propia, adaptado del</w:t>
      </w:r>
      <w:r w:rsidR="00931E4E" w:rsidRPr="00B450EB">
        <w:rPr>
          <w:rFonts w:eastAsia="Calibri" w:cs="Arial"/>
          <w:sz w:val="18"/>
          <w:szCs w:val="18"/>
        </w:rPr>
        <w:t xml:space="preserve"> </w:t>
      </w:r>
      <w:proofErr w:type="spellStart"/>
      <w:r w:rsidR="00931E4E" w:rsidRPr="00B450EB">
        <w:rPr>
          <w:rFonts w:eastAsia="Calibri" w:cs="Arial"/>
          <w:sz w:val="18"/>
          <w:szCs w:val="18"/>
        </w:rPr>
        <w:t>Geovisor</w:t>
      </w:r>
      <w:proofErr w:type="spellEnd"/>
      <w:r w:rsidR="00931E4E" w:rsidRPr="00B450EB">
        <w:rPr>
          <w:rFonts w:eastAsia="Calibri" w:cs="Arial"/>
          <w:sz w:val="18"/>
          <w:szCs w:val="18"/>
        </w:rPr>
        <w:t xml:space="preserve"> Conflictos Socioambientales, publicado por FCDS (Fundación para la Conservación y el Desarrollo Sostenible</w:t>
      </w:r>
      <w:r w:rsidRPr="00B450EB">
        <w:rPr>
          <w:rFonts w:eastAsia="Calibri" w:cs="Arial"/>
          <w:sz w:val="18"/>
          <w:szCs w:val="18"/>
        </w:rPr>
        <w:t>)</w:t>
      </w:r>
      <w:r w:rsidR="005A61AE" w:rsidRPr="00B450EB">
        <w:rPr>
          <w:rFonts w:eastAsia="Calibri" w:cs="Arial"/>
          <w:sz w:val="18"/>
          <w:szCs w:val="18"/>
        </w:rPr>
        <w:t>, 2</w:t>
      </w:r>
      <w:r w:rsidR="00A2508C" w:rsidRPr="00B450EB">
        <w:rPr>
          <w:rFonts w:eastAsia="Calibri" w:cs="Arial"/>
          <w:sz w:val="18"/>
          <w:szCs w:val="18"/>
        </w:rPr>
        <w:t>023.</w:t>
      </w:r>
    </w:p>
    <w:p w14:paraId="68001BCF" w14:textId="5662DB00" w:rsidR="00557AC2" w:rsidRPr="00B450EB" w:rsidRDefault="00557AC2" w:rsidP="001C1081">
      <w:pPr>
        <w:pStyle w:val="Ttulo3"/>
        <w:numPr>
          <w:ilvl w:val="2"/>
          <w:numId w:val="16"/>
        </w:numPr>
      </w:pPr>
      <w:bookmarkStart w:id="163" w:name="_Toc209722945"/>
      <w:bookmarkStart w:id="164" w:name="_Ref208907129"/>
      <w:r w:rsidRPr="00B450EB">
        <w:t xml:space="preserve">Paisaje Agropecuario y </w:t>
      </w:r>
      <w:proofErr w:type="spellStart"/>
      <w:r w:rsidRPr="00B450EB">
        <w:t>Praderización</w:t>
      </w:r>
      <w:bookmarkEnd w:id="163"/>
      <w:proofErr w:type="spellEnd"/>
    </w:p>
    <w:p w14:paraId="6737B54E" w14:textId="56B4891D" w:rsidR="00557AC2" w:rsidRPr="00B450EB" w:rsidRDefault="00557AC2" w:rsidP="00557AC2">
      <w:r w:rsidRPr="00B450EB">
        <w:t xml:space="preserve">El fenómeno de </w:t>
      </w:r>
      <w:proofErr w:type="spellStart"/>
      <w:r w:rsidRPr="00B450EB">
        <w:t>praderización</w:t>
      </w:r>
      <w:proofErr w:type="spellEnd"/>
      <w:r w:rsidRPr="00B450EB">
        <w:t xml:space="preserve">, entendido como la conversión de bosques naturales y vegetación secundaria en pastizales sembrados para ganadería extensiva, constituye una de las principales amenazas para la integridad ecológica del Bioma Amazónico Colombiano. De acuerdo con estudios oficiales del Instituto SINCHI, este proceso ha mostrado un crecimiento sostenido en varias zonas piloto de los departamentos de Guainía, Vaupés, Guaviare y Caquetá, con registros que abarcan los años 2002, 2007, 2012, 2014 y 2016. En cuatro de las seis zonas analizadas (Retorno-Calamar, Miraflores, Sur de Cartagena del </w:t>
      </w:r>
      <w:proofErr w:type="spellStart"/>
      <w:r w:rsidRPr="00B450EB">
        <w:t>Chairá</w:t>
      </w:r>
      <w:proofErr w:type="spellEnd"/>
      <w:r w:rsidRPr="00B450EB">
        <w:t xml:space="preserve"> y Pana-Pana) se evidencian incrementos constantes en las tasas de </w:t>
      </w:r>
      <w:proofErr w:type="spellStart"/>
      <w:r w:rsidRPr="00B450EB">
        <w:t>praderización</w:t>
      </w:r>
      <w:proofErr w:type="spellEnd"/>
      <w:r w:rsidRPr="00B450EB">
        <w:t>, confirmando la magnitud del fenómeno</w:t>
      </w:r>
      <w:r w:rsidR="00E42EDD" w:rsidRPr="00B450EB">
        <w:t xml:space="preserve">. </w:t>
      </w:r>
      <w:sdt>
        <w:sdtPr>
          <w:id w:val="2054800131"/>
          <w:citation/>
        </w:sdtPr>
        <w:sdtContent>
          <w:r w:rsidR="00E42EDD" w:rsidRPr="00B450EB">
            <w:fldChar w:fldCharType="begin"/>
          </w:r>
          <w:r w:rsidR="00E42EDD" w:rsidRPr="00B450EB">
            <w:rPr>
              <w:lang w:val="es-ES"/>
            </w:rPr>
            <w:instrText xml:space="preserve">CITATION Uri161 \l 3082 </w:instrText>
          </w:r>
          <w:r w:rsidR="00E42EDD" w:rsidRPr="00B450EB">
            <w:fldChar w:fldCharType="separate"/>
          </w:r>
          <w:r w:rsidR="0077091E" w:rsidRPr="00B450EB">
            <w:rPr>
              <w:noProof/>
              <w:lang w:val="es-ES"/>
            </w:rPr>
            <w:t>(Uriel Murcia García, 2016)</w:t>
          </w:r>
          <w:r w:rsidR="00E42EDD" w:rsidRPr="00B450EB">
            <w:fldChar w:fldCharType="end"/>
          </w:r>
        </w:sdtContent>
      </w:sdt>
    </w:p>
    <w:p w14:paraId="5F335AC2" w14:textId="3AD9D627" w:rsidR="00557AC2" w:rsidRPr="00B450EB" w:rsidRDefault="00557AC2" w:rsidP="00557AC2">
      <w:r w:rsidRPr="00B450EB">
        <w:t xml:space="preserve">El análisis revela un aumento particularmente crítico durante el periodo 2012–2014, cuando la tasa media anual de </w:t>
      </w:r>
      <w:proofErr w:type="spellStart"/>
      <w:r w:rsidRPr="00B450EB">
        <w:t>praderización</w:t>
      </w:r>
      <w:proofErr w:type="spellEnd"/>
      <w:r w:rsidRPr="00B450EB">
        <w:t xml:space="preserve"> pasó de 109.600 ha/año (2007–2012) a 239.900 ha/año, con los mayores incrementos registrados en zonas como Cartagena del </w:t>
      </w:r>
      <w:proofErr w:type="spellStart"/>
      <w:r w:rsidRPr="00B450EB">
        <w:t>Chairá</w:t>
      </w:r>
      <w:proofErr w:type="spellEnd"/>
      <w:r w:rsidRPr="00B450EB">
        <w:t>, Miraflores y Retorno-Calamar. En contraste, áreas con mayor protección territorial como resguardos indígenas, áreas naturales protegidas</w:t>
      </w:r>
      <w:r w:rsidR="00234403" w:rsidRPr="00B450EB">
        <w:t xml:space="preserve"> </w:t>
      </w:r>
      <w:r w:rsidR="00B4505E" w:rsidRPr="00B450EB">
        <w:t xml:space="preserve">como </w:t>
      </w:r>
      <w:r w:rsidRPr="00B450EB">
        <w:t xml:space="preserve">la Reserva Forestal de la Amazonía y </w:t>
      </w:r>
      <w:r w:rsidR="00B4505E" w:rsidRPr="00B450EB">
        <w:t xml:space="preserve">áreas </w:t>
      </w:r>
      <w:r w:rsidRPr="00B450EB">
        <w:t xml:space="preserve">con menor accesibilidad terrestre, como Yavaraté y Pana-Pana, presentaron tasas de </w:t>
      </w:r>
      <w:proofErr w:type="spellStart"/>
      <w:r w:rsidRPr="00B450EB">
        <w:t>praderización</w:t>
      </w:r>
      <w:proofErr w:type="spellEnd"/>
      <w:r w:rsidRPr="00B450EB">
        <w:t xml:space="preserve"> significativamente más bajas</w:t>
      </w:r>
      <w:r w:rsidR="00E42EDD" w:rsidRPr="00B450EB">
        <w:t>.</w:t>
      </w:r>
      <w:r w:rsidRPr="00B450EB">
        <w:t xml:space="preserve"> </w:t>
      </w:r>
      <w:sdt>
        <w:sdtPr>
          <w:id w:val="-1581600277"/>
          <w:citation/>
        </w:sdtPr>
        <w:sdtContent>
          <w:r w:rsidR="000A0942" w:rsidRPr="00B450EB">
            <w:fldChar w:fldCharType="begin"/>
          </w:r>
          <w:r w:rsidR="000A0942" w:rsidRPr="00B450EB">
            <w:rPr>
              <w:lang w:val="es-ES"/>
            </w:rPr>
            <w:instrText xml:space="preserve">CITATION Uri161 \l 3082 </w:instrText>
          </w:r>
          <w:r w:rsidR="000A0942" w:rsidRPr="00B450EB">
            <w:fldChar w:fldCharType="separate"/>
          </w:r>
          <w:r w:rsidR="0077091E" w:rsidRPr="00B450EB">
            <w:rPr>
              <w:noProof/>
              <w:lang w:val="es-ES"/>
            </w:rPr>
            <w:t>(Uriel Murcia García, 2016)</w:t>
          </w:r>
          <w:r w:rsidR="000A0942" w:rsidRPr="00B450EB">
            <w:fldChar w:fldCharType="end"/>
          </w:r>
        </w:sdtContent>
      </w:sdt>
    </w:p>
    <w:p w14:paraId="502DB41E" w14:textId="339547AA" w:rsidR="00557AC2" w:rsidRPr="00B450EB" w:rsidRDefault="00557AC2" w:rsidP="00557AC2">
      <w:r w:rsidRPr="00B450EB">
        <w:t xml:space="preserve">La información también muestra que una fracción importante de la </w:t>
      </w:r>
      <w:proofErr w:type="spellStart"/>
      <w:r w:rsidRPr="00B450EB">
        <w:t>praderización</w:t>
      </w:r>
      <w:proofErr w:type="spellEnd"/>
      <w:r w:rsidRPr="00B450EB">
        <w:t xml:space="preserve"> proviene directamente de bosques nativos y vegetación secundaria. Por ejemplo, entre 2014 y 2016 en Pana-Pana el 63,2% de la superficie </w:t>
      </w:r>
      <w:proofErr w:type="spellStart"/>
      <w:r w:rsidRPr="00B450EB">
        <w:t>praderizada</w:t>
      </w:r>
      <w:proofErr w:type="spellEnd"/>
      <w:r w:rsidRPr="00B450EB">
        <w:t xml:space="preserve"> correspondió a bosques nativos; en Yavaraté, el 51,6%; y en el Sur de Cartagena del </w:t>
      </w:r>
      <w:proofErr w:type="spellStart"/>
      <w:r w:rsidRPr="00B450EB">
        <w:t>Chairá</w:t>
      </w:r>
      <w:proofErr w:type="spellEnd"/>
      <w:r w:rsidRPr="00B450EB">
        <w:t xml:space="preserve">, el 44,3%. En zonas piloto como San José del Guaviare, parte de la </w:t>
      </w:r>
      <w:proofErr w:type="spellStart"/>
      <w:r w:rsidRPr="00B450EB">
        <w:t>praderización</w:t>
      </w:r>
      <w:proofErr w:type="spellEnd"/>
      <w:r w:rsidRPr="00B450EB">
        <w:t xml:space="preserve"> </w:t>
      </w:r>
      <w:r w:rsidRPr="00B450EB">
        <w:lastRenderedPageBreak/>
        <w:t>incluso se ha desarrollado dentro de resguardos indígenas y en áreas de la Reserva Forestal de la Amazonía, lo que acentúa la gravedad del fenómeno en territorios de especial protección</w:t>
      </w:r>
      <w:r w:rsidR="00237048" w:rsidRPr="00B450EB">
        <w:t xml:space="preserve"> (ver </w:t>
      </w:r>
      <w:r w:rsidR="003F17E5" w:rsidRPr="00B450EB">
        <w:fldChar w:fldCharType="begin"/>
      </w:r>
      <w:r w:rsidR="003F17E5" w:rsidRPr="00B450EB">
        <w:instrText xml:space="preserve"> REF _Ref209215069 \h </w:instrText>
      </w:r>
      <w:r w:rsidR="006E0BC8" w:rsidRPr="00B450EB">
        <w:instrText xml:space="preserve"> \* MERGEFORMAT </w:instrText>
      </w:r>
      <w:r w:rsidR="003F17E5" w:rsidRPr="00B450EB">
        <w:fldChar w:fldCharType="separate"/>
      </w:r>
      <w:r w:rsidR="00010D09" w:rsidRPr="00B450EB">
        <w:t xml:space="preserve">Figura </w:t>
      </w:r>
      <w:r w:rsidR="00010D09" w:rsidRPr="00B450EB">
        <w:rPr>
          <w:noProof/>
        </w:rPr>
        <w:t>74</w:t>
      </w:r>
      <w:r w:rsidR="003F17E5" w:rsidRPr="00B450EB">
        <w:fldChar w:fldCharType="end"/>
      </w:r>
      <w:r w:rsidR="003A56B9" w:rsidRPr="00B450EB">
        <w:t>)</w:t>
      </w:r>
      <w:r w:rsidR="00E42EDD" w:rsidRPr="00B450EB">
        <w:t xml:space="preserve">. </w:t>
      </w:r>
      <w:sdt>
        <w:sdtPr>
          <w:id w:val="-1796367224"/>
          <w:citation/>
        </w:sdtPr>
        <w:sdtContent>
          <w:r w:rsidR="00E42EDD" w:rsidRPr="00B450EB">
            <w:fldChar w:fldCharType="begin"/>
          </w:r>
          <w:r w:rsidR="00E42EDD" w:rsidRPr="00B450EB">
            <w:rPr>
              <w:lang w:val="es-ES"/>
            </w:rPr>
            <w:instrText xml:space="preserve">CITATION Uri161 \l 3082 </w:instrText>
          </w:r>
          <w:r w:rsidR="00E42EDD" w:rsidRPr="00B450EB">
            <w:fldChar w:fldCharType="separate"/>
          </w:r>
          <w:r w:rsidR="0077091E" w:rsidRPr="00B450EB">
            <w:rPr>
              <w:noProof/>
              <w:lang w:val="es-ES"/>
            </w:rPr>
            <w:t>(Uriel Murcia García, 2016)</w:t>
          </w:r>
          <w:r w:rsidR="00E42EDD" w:rsidRPr="00B450EB">
            <w:fldChar w:fldCharType="end"/>
          </w:r>
        </w:sdtContent>
      </w:sdt>
    </w:p>
    <w:p w14:paraId="0463D578" w14:textId="2CB80CE2" w:rsidR="00557AC2" w:rsidRPr="00B450EB" w:rsidRDefault="00557AC2" w:rsidP="00377AD7">
      <w:pPr>
        <w:pStyle w:val="Descripcin"/>
        <w:rPr>
          <w:color w:val="auto"/>
        </w:rPr>
      </w:pPr>
      <w:bookmarkStart w:id="165" w:name="_Ref209215069"/>
      <w:bookmarkStart w:id="166" w:name="_Toc209462762"/>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74</w:t>
      </w:r>
      <w:r w:rsidR="0045353A" w:rsidRPr="00B450EB">
        <w:rPr>
          <w:noProof/>
          <w:color w:val="auto"/>
        </w:rPr>
        <w:fldChar w:fldCharType="end"/>
      </w:r>
      <w:bookmarkEnd w:id="165"/>
      <w:r w:rsidRPr="00B450EB">
        <w:rPr>
          <w:color w:val="auto"/>
        </w:rPr>
        <w:t xml:space="preserve">. </w:t>
      </w:r>
      <w:proofErr w:type="spellStart"/>
      <w:r w:rsidRPr="00B450EB">
        <w:rPr>
          <w:color w:val="auto"/>
        </w:rPr>
        <w:t>Praderización</w:t>
      </w:r>
      <w:proofErr w:type="spellEnd"/>
      <w:r w:rsidRPr="00B450EB">
        <w:rPr>
          <w:color w:val="auto"/>
        </w:rPr>
        <w:t xml:space="preserve"> en el Bioma Amazónico Colombiano</w:t>
      </w:r>
      <w:bookmarkEnd w:id="166"/>
    </w:p>
    <w:p w14:paraId="375CBC72" w14:textId="4573F785" w:rsidR="008D1DE1" w:rsidRPr="00B450EB" w:rsidRDefault="008D1DE1" w:rsidP="00557AC2">
      <w:pPr>
        <w:spacing w:after="0" w:line="240" w:lineRule="auto"/>
        <w:jc w:val="center"/>
        <w:rPr>
          <w:noProof/>
        </w:rPr>
      </w:pPr>
      <w:r w:rsidRPr="00B450EB">
        <w:rPr>
          <w:noProof/>
        </w:rPr>
        <w:drawing>
          <wp:inline distT="0" distB="0" distL="0" distR="0" wp14:anchorId="0CEB815C" wp14:editId="540BDC52">
            <wp:extent cx="5612130" cy="4336415"/>
            <wp:effectExtent l="0" t="0" r="7620" b="6985"/>
            <wp:docPr id="1281183279" name="Imagen 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183279" name="Imagen 5" descr="Mapa&#10;&#10;El contenido generado por IA puede ser incorrecto."/>
                    <pic:cNvPicPr/>
                  </pic:nvPicPr>
                  <pic:blipFill>
                    <a:blip r:embed="rId124" cstate="email">
                      <a:extLst>
                        <a:ext uri="{28A0092B-C50C-407E-A947-70E740481C1C}">
                          <a14:useLocalDpi xmlns:a14="http://schemas.microsoft.com/office/drawing/2010/main"/>
                        </a:ext>
                      </a:extLst>
                    </a:blip>
                    <a:stretch>
                      <a:fillRect/>
                    </a:stretch>
                  </pic:blipFill>
                  <pic:spPr>
                    <a:xfrm>
                      <a:off x="0" y="0"/>
                      <a:ext cx="5612130" cy="4336415"/>
                    </a:xfrm>
                    <a:prstGeom prst="rect">
                      <a:avLst/>
                    </a:prstGeom>
                  </pic:spPr>
                </pic:pic>
              </a:graphicData>
            </a:graphic>
          </wp:inline>
        </w:drawing>
      </w:r>
    </w:p>
    <w:p w14:paraId="050105A9" w14:textId="449C32FC" w:rsidR="00557AC2" w:rsidRPr="00B450EB" w:rsidRDefault="00557AC2" w:rsidP="00557AC2">
      <w:pPr>
        <w:spacing w:after="0" w:line="240" w:lineRule="auto"/>
        <w:jc w:val="center"/>
        <w:rPr>
          <w:rFonts w:eastAsia="Calibri" w:cs="Arial"/>
          <w:sz w:val="18"/>
          <w:szCs w:val="18"/>
        </w:rPr>
      </w:pPr>
      <w:r w:rsidRPr="00B450EB">
        <w:rPr>
          <w:rFonts w:eastAsia="Calibri" w:cs="Arial"/>
          <w:b/>
          <w:bCs/>
          <w:sz w:val="18"/>
          <w:szCs w:val="18"/>
        </w:rPr>
        <w:t xml:space="preserve"> </w:t>
      </w:r>
      <w:r w:rsidRPr="00B450EB">
        <w:rPr>
          <w:rFonts w:eastAsia="Calibri" w:cs="Arial"/>
          <w:bCs/>
          <w:sz w:val="18"/>
          <w:szCs w:val="18"/>
        </w:rPr>
        <w:t xml:space="preserve">Fuente: </w:t>
      </w:r>
      <w:r w:rsidR="00127C76" w:rsidRPr="00B450EB">
        <w:rPr>
          <w:rFonts w:eastAsia="Calibri" w:cs="Arial"/>
          <w:bCs/>
          <w:sz w:val="18"/>
          <w:szCs w:val="18"/>
        </w:rPr>
        <w:t>Elaboración propia, adaptado del</w:t>
      </w:r>
      <w:r w:rsidRPr="00B450EB">
        <w:rPr>
          <w:rFonts w:eastAsia="Calibri" w:cs="Arial"/>
          <w:sz w:val="18"/>
          <w:szCs w:val="18"/>
        </w:rPr>
        <w:t xml:space="preserve"> </w:t>
      </w:r>
      <w:proofErr w:type="spellStart"/>
      <w:r w:rsidRPr="00B450EB">
        <w:rPr>
          <w:rFonts w:eastAsia="Calibri" w:cs="Arial"/>
          <w:sz w:val="18"/>
          <w:szCs w:val="18"/>
        </w:rPr>
        <w:t>Geovisor</w:t>
      </w:r>
      <w:proofErr w:type="spellEnd"/>
      <w:r w:rsidRPr="00B450EB">
        <w:rPr>
          <w:rFonts w:eastAsia="Calibri" w:cs="Arial"/>
          <w:sz w:val="18"/>
          <w:szCs w:val="18"/>
        </w:rPr>
        <w:t xml:space="preserve"> Conflictos Socioambientales, publicado por FCDS (Fundación para la Conservación y el Desarrollo Sostenible</w:t>
      </w:r>
      <w:r w:rsidRPr="00B450EB">
        <w:rPr>
          <w:rFonts w:eastAsia="Calibri" w:cs="Arial"/>
          <w:bCs/>
          <w:sz w:val="18"/>
          <w:szCs w:val="18"/>
        </w:rPr>
        <w:t>)</w:t>
      </w:r>
      <w:r w:rsidR="00EE15E1" w:rsidRPr="00B450EB">
        <w:rPr>
          <w:rFonts w:eastAsia="Calibri" w:cs="Arial"/>
          <w:bCs/>
          <w:sz w:val="18"/>
          <w:szCs w:val="18"/>
        </w:rPr>
        <w:t>, 2023.</w:t>
      </w:r>
    </w:p>
    <w:p w14:paraId="1342C631" w14:textId="77777777" w:rsidR="00557AC2" w:rsidRPr="00B450EB" w:rsidRDefault="00557AC2" w:rsidP="00557AC2">
      <w:pPr>
        <w:spacing w:after="0" w:line="240" w:lineRule="auto"/>
        <w:jc w:val="center"/>
        <w:rPr>
          <w:rFonts w:eastAsia="Calibri" w:cs="Arial"/>
          <w:b/>
          <w:bCs/>
          <w:sz w:val="18"/>
          <w:szCs w:val="18"/>
        </w:rPr>
      </w:pPr>
    </w:p>
    <w:p w14:paraId="53DD94FA" w14:textId="65B1F2F0" w:rsidR="00AC07D4" w:rsidRPr="00B450EB" w:rsidRDefault="00AC07D4" w:rsidP="001C1081">
      <w:pPr>
        <w:pStyle w:val="Ttulo3"/>
        <w:numPr>
          <w:ilvl w:val="2"/>
          <w:numId w:val="16"/>
        </w:numPr>
        <w:rPr>
          <w:rFonts w:cs="Arial"/>
        </w:rPr>
      </w:pPr>
      <w:bookmarkStart w:id="167" w:name="_Toc209722946"/>
      <w:r w:rsidRPr="00B450EB">
        <w:rPr>
          <w:rFonts w:cs="Arial"/>
        </w:rPr>
        <w:t>Vías</w:t>
      </w:r>
      <w:bookmarkEnd w:id="167"/>
    </w:p>
    <w:p w14:paraId="76A914BB" w14:textId="5D00FC35" w:rsidR="00AC07D4" w:rsidRPr="00B450EB" w:rsidRDefault="00AC07D4" w:rsidP="004A6564">
      <w:pPr>
        <w:rPr>
          <w:rFonts w:eastAsia="Arial" w:cs="Arial"/>
        </w:rPr>
      </w:pPr>
      <w:r w:rsidRPr="00B450EB">
        <w:t xml:space="preserve">En cuanto a las vías, de acuerdo con </w:t>
      </w:r>
      <w:r w:rsidR="00400EDE" w:rsidRPr="00B450EB">
        <w:t>la</w:t>
      </w:r>
      <w:r w:rsidRPr="00B450EB">
        <w:t xml:space="preserve"> Red amazónica de información socioambiental georreferenciada (</w:t>
      </w:r>
      <w:r w:rsidR="0094044B" w:rsidRPr="00B450EB">
        <w:t>RAISG</w:t>
      </w:r>
      <w:r w:rsidRPr="00B450EB">
        <w:t xml:space="preserve">) a nivel nacional en el año 2023, </w:t>
      </w:r>
      <w:r w:rsidRPr="00B450EB">
        <w:rPr>
          <w:rFonts w:eastAsia="Arial" w:cs="Arial"/>
        </w:rPr>
        <w:t xml:space="preserve">aproximadamente el 80% </w:t>
      </w:r>
      <w:r w:rsidR="00CC6E7A" w:rsidRPr="00B450EB">
        <w:rPr>
          <w:rFonts w:eastAsia="Arial" w:cs="Arial"/>
        </w:rPr>
        <w:t xml:space="preserve">de las vías </w:t>
      </w:r>
      <w:r w:rsidR="00083F56" w:rsidRPr="00B450EB">
        <w:rPr>
          <w:rFonts w:eastAsia="Arial" w:cs="Arial"/>
        </w:rPr>
        <w:t xml:space="preserve">en el Bioma </w:t>
      </w:r>
      <w:r w:rsidR="00AA1AE8" w:rsidRPr="00B450EB">
        <w:rPr>
          <w:rFonts w:eastAsia="Arial" w:cs="Arial"/>
        </w:rPr>
        <w:t xml:space="preserve">Amazónico Colombiano </w:t>
      </w:r>
      <w:r w:rsidRPr="00B450EB">
        <w:rPr>
          <w:rFonts w:eastAsia="Arial" w:cs="Arial"/>
        </w:rPr>
        <w:t>corresponden a no pavimentadas</w:t>
      </w:r>
      <w:r w:rsidR="00072BF3" w:rsidRPr="00B450EB">
        <w:rPr>
          <w:rFonts w:eastAsia="Arial" w:cs="Arial"/>
        </w:rPr>
        <w:t>,</w:t>
      </w:r>
      <w:r w:rsidRPr="00B450EB">
        <w:rPr>
          <w:rFonts w:eastAsia="Arial" w:cs="Arial"/>
        </w:rPr>
        <w:t xml:space="preserve"> las cuales se encuentran en los departamentos del Putumayo, Caquetá, Guaviare, Vichada y Vaupés (</w:t>
      </w:r>
      <w:r w:rsidR="007C637E" w:rsidRPr="00B450EB">
        <w:rPr>
          <w:rFonts w:eastAsia="Arial" w:cs="Arial"/>
        </w:rPr>
        <w:t xml:space="preserve">ver </w:t>
      </w:r>
      <w:r w:rsidRPr="00B450EB">
        <w:rPr>
          <w:rFonts w:eastAsia="Arial" w:cs="Arial"/>
        </w:rPr>
        <w:t xml:space="preserve">Figura </w:t>
      </w:r>
      <w:r w:rsidR="00A34765" w:rsidRPr="00B450EB">
        <w:rPr>
          <w:rFonts w:eastAsia="Arial" w:cs="Arial"/>
        </w:rPr>
        <w:t>67</w:t>
      </w:r>
      <w:r w:rsidRPr="00B450EB">
        <w:rPr>
          <w:rFonts w:eastAsia="Arial" w:cs="Arial"/>
        </w:rPr>
        <w:t xml:space="preserve">). </w:t>
      </w:r>
      <w:r w:rsidR="008126E2" w:rsidRPr="00B450EB">
        <w:rPr>
          <w:rFonts w:eastAsia="Arial" w:cs="Arial"/>
        </w:rPr>
        <w:t xml:space="preserve"> De igual manera, </w:t>
      </w:r>
      <w:r w:rsidRPr="00B450EB">
        <w:rPr>
          <w:rFonts w:eastAsia="Arial" w:cs="Arial"/>
        </w:rPr>
        <w:t>para el año 2017 a escala 1:100.000</w:t>
      </w:r>
      <w:r w:rsidR="00A67316" w:rsidRPr="00B450EB">
        <w:rPr>
          <w:rFonts w:eastAsia="Arial" w:cs="Arial"/>
        </w:rPr>
        <w:t xml:space="preserve">, el IGAC </w:t>
      </w:r>
      <w:r w:rsidRPr="00B450EB">
        <w:rPr>
          <w:rFonts w:eastAsia="Arial" w:cs="Arial"/>
        </w:rPr>
        <w:t xml:space="preserve">evidencia diferentes categorías de vías </w:t>
      </w:r>
      <w:r w:rsidR="00D44B40" w:rsidRPr="00B450EB">
        <w:rPr>
          <w:rFonts w:eastAsia="Arial" w:cs="Arial"/>
        </w:rPr>
        <w:t>(</w:t>
      </w:r>
      <w:r w:rsidRPr="00B450EB">
        <w:rPr>
          <w:rFonts w:eastAsia="Arial" w:cs="Arial"/>
        </w:rPr>
        <w:t>1 a 8 nivel</w:t>
      </w:r>
      <w:r w:rsidR="00D771FC" w:rsidRPr="00B450EB">
        <w:rPr>
          <w:rFonts w:eastAsia="Arial" w:cs="Arial"/>
        </w:rPr>
        <w:t>) las</w:t>
      </w:r>
      <w:r w:rsidRPr="00B450EB">
        <w:rPr>
          <w:rFonts w:eastAsia="Arial" w:cs="Arial"/>
        </w:rPr>
        <w:t xml:space="preserve"> cuales se encuentran presentes en los departamentos de Putumayo, Caquetá, Guaviare, Vichada, Guainía y Vaupés</w:t>
      </w:r>
      <w:r w:rsidR="003F17E5" w:rsidRPr="00B450EB">
        <w:rPr>
          <w:rFonts w:eastAsia="Arial" w:cs="Arial"/>
        </w:rPr>
        <w:t>.</w:t>
      </w:r>
    </w:p>
    <w:p w14:paraId="2661A4A2" w14:textId="77777777" w:rsidR="00E829D9" w:rsidRPr="00B450EB" w:rsidRDefault="00E829D9" w:rsidP="004A6564"/>
    <w:p w14:paraId="3E356D15" w14:textId="0150D975" w:rsidR="00AC07D4" w:rsidRPr="00B450EB" w:rsidRDefault="00AC07D4" w:rsidP="0022429B">
      <w:pPr>
        <w:pStyle w:val="Descripcin"/>
        <w:rPr>
          <w:rFonts w:eastAsia="Arial" w:cs="Arial"/>
          <w:color w:val="auto"/>
        </w:rPr>
      </w:pPr>
      <w:bookmarkStart w:id="168" w:name="_Toc209462763"/>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75</w:t>
      </w:r>
      <w:r w:rsidR="0045353A" w:rsidRPr="00B450EB">
        <w:rPr>
          <w:noProof/>
          <w:color w:val="auto"/>
        </w:rPr>
        <w:fldChar w:fldCharType="end"/>
      </w:r>
      <w:r w:rsidR="00A34765" w:rsidRPr="00B450EB">
        <w:rPr>
          <w:color w:val="auto"/>
        </w:rPr>
        <w:t>.</w:t>
      </w:r>
      <w:r w:rsidRPr="00B450EB">
        <w:rPr>
          <w:color w:val="auto"/>
        </w:rPr>
        <w:t xml:space="preserve"> </w:t>
      </w:r>
      <w:r w:rsidRPr="00B450EB">
        <w:rPr>
          <w:rFonts w:eastAsia="Arial" w:cs="Arial"/>
          <w:color w:val="auto"/>
        </w:rPr>
        <w:t>Vías nacionales en el bioma amazónico RAISG (2023); IGAC, 2017</w:t>
      </w:r>
      <w:bookmarkEnd w:id="168"/>
    </w:p>
    <w:tbl>
      <w:tblPr>
        <w:tblStyle w:val="Tablaconcuadrcula"/>
        <w:tblW w:w="105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82"/>
        <w:gridCol w:w="5133"/>
      </w:tblGrid>
      <w:tr w:rsidR="00AC07D4" w:rsidRPr="00B450EB" w14:paraId="6B894228" w14:textId="77777777" w:rsidTr="00012B91">
        <w:trPr>
          <w:trHeight w:val="4020"/>
          <w:jc w:val="center"/>
        </w:trPr>
        <w:tc>
          <w:tcPr>
            <w:tcW w:w="5382" w:type="dxa"/>
            <w:tcMar>
              <w:left w:w="108" w:type="dxa"/>
              <w:right w:w="108" w:type="dxa"/>
            </w:tcMar>
          </w:tcPr>
          <w:bookmarkEnd w:id="164"/>
          <w:p w14:paraId="42BD9681" w14:textId="1C5C0809" w:rsidR="00AC07D4" w:rsidRPr="00B450EB" w:rsidRDefault="00012B91" w:rsidP="002C3DC7">
            <w:pPr>
              <w:jc w:val="center"/>
              <w:rPr>
                <w:rFonts w:eastAsia="Arial" w:cs="Arial"/>
                <w:sz w:val="18"/>
                <w:szCs w:val="18"/>
              </w:rPr>
            </w:pPr>
            <w:r w:rsidRPr="00B450EB">
              <w:rPr>
                <w:rFonts w:eastAsia="Arial" w:cs="Arial"/>
                <w:noProof/>
                <w:sz w:val="18"/>
                <w:szCs w:val="18"/>
              </w:rPr>
              <w:drawing>
                <wp:inline distT="0" distB="0" distL="0" distR="0" wp14:anchorId="66A5E6AF" wp14:editId="6610135F">
                  <wp:extent cx="3461600" cy="2674620"/>
                  <wp:effectExtent l="0" t="0" r="5715" b="0"/>
                  <wp:docPr id="1805824329" name="Imagen 1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824329" name="Imagen 12" descr="Mapa&#10;&#10;El contenido generado por IA puede ser incorrecto."/>
                          <pic:cNvPicPr/>
                        </pic:nvPicPr>
                        <pic:blipFill>
                          <a:blip r:embed="rId125" cstate="email">
                            <a:extLst>
                              <a:ext uri="{28A0092B-C50C-407E-A947-70E740481C1C}">
                                <a14:useLocalDpi xmlns:a14="http://schemas.microsoft.com/office/drawing/2010/main"/>
                              </a:ext>
                            </a:extLst>
                          </a:blip>
                          <a:stretch>
                            <a:fillRect/>
                          </a:stretch>
                        </pic:blipFill>
                        <pic:spPr>
                          <a:xfrm>
                            <a:off x="0" y="0"/>
                            <a:ext cx="3488791" cy="2695629"/>
                          </a:xfrm>
                          <a:prstGeom prst="rect">
                            <a:avLst/>
                          </a:prstGeom>
                        </pic:spPr>
                      </pic:pic>
                    </a:graphicData>
                  </a:graphic>
                </wp:inline>
              </w:drawing>
            </w:r>
            <w:r w:rsidR="00AC07D4" w:rsidRPr="00B450EB">
              <w:rPr>
                <w:rFonts w:eastAsia="Arial" w:cs="Arial"/>
                <w:sz w:val="18"/>
                <w:szCs w:val="18"/>
              </w:rPr>
              <w:t xml:space="preserve">Fuente: </w:t>
            </w:r>
            <w:r w:rsidR="00D3792F" w:rsidRPr="00B450EB">
              <w:rPr>
                <w:rFonts w:eastAsia="Arial" w:cs="Arial"/>
                <w:sz w:val="18"/>
                <w:szCs w:val="18"/>
              </w:rPr>
              <w:t>Elaboración propia</w:t>
            </w:r>
            <w:r w:rsidR="00AC07D4" w:rsidRPr="00B450EB">
              <w:rPr>
                <w:rFonts w:eastAsia="Arial" w:cs="Arial"/>
                <w:sz w:val="18"/>
                <w:szCs w:val="18"/>
              </w:rPr>
              <w:t xml:space="preserve"> a partir de información IGAC</w:t>
            </w:r>
            <w:r w:rsidR="00DA0139" w:rsidRPr="00B450EB">
              <w:rPr>
                <w:rFonts w:eastAsia="Arial" w:cs="Arial"/>
                <w:sz w:val="18"/>
                <w:szCs w:val="18"/>
              </w:rPr>
              <w:t xml:space="preserve"> (</w:t>
            </w:r>
            <w:r w:rsidR="00AC07D4" w:rsidRPr="00B450EB">
              <w:rPr>
                <w:rFonts w:eastAsia="Arial" w:cs="Arial"/>
                <w:sz w:val="18"/>
                <w:szCs w:val="18"/>
              </w:rPr>
              <w:t>2017</w:t>
            </w:r>
            <w:r w:rsidR="00AE5D06" w:rsidRPr="00B450EB">
              <w:rPr>
                <w:rFonts w:eastAsia="Arial" w:cs="Arial"/>
                <w:sz w:val="18"/>
                <w:szCs w:val="18"/>
              </w:rPr>
              <w:t>), 2025.</w:t>
            </w:r>
          </w:p>
        </w:tc>
        <w:tc>
          <w:tcPr>
            <w:tcW w:w="5133" w:type="dxa"/>
            <w:tcMar>
              <w:left w:w="108" w:type="dxa"/>
              <w:right w:w="108" w:type="dxa"/>
            </w:tcMar>
          </w:tcPr>
          <w:p w14:paraId="4FAAEE6A" w14:textId="21AB9097" w:rsidR="00AC07D4" w:rsidRPr="00B450EB" w:rsidRDefault="00012B91" w:rsidP="00AD2788">
            <w:pPr>
              <w:spacing w:line="257" w:lineRule="auto"/>
              <w:jc w:val="center"/>
            </w:pPr>
            <w:r w:rsidRPr="00B450EB">
              <w:rPr>
                <w:rFonts w:eastAsia="Arial" w:cs="Arial"/>
                <w:noProof/>
                <w:sz w:val="18"/>
                <w:szCs w:val="18"/>
              </w:rPr>
              <w:drawing>
                <wp:anchor distT="0" distB="0" distL="114300" distR="114300" simplePos="0" relativeHeight="251658243" behindDoc="0" locked="0" layoutInCell="1" allowOverlap="1" wp14:anchorId="5A41D076" wp14:editId="39A4B114">
                  <wp:simplePos x="0" y="0"/>
                  <wp:positionH relativeFrom="column">
                    <wp:posOffset>-65405</wp:posOffset>
                  </wp:positionH>
                  <wp:positionV relativeFrom="paragraph">
                    <wp:posOffset>91440</wp:posOffset>
                  </wp:positionV>
                  <wp:extent cx="3344362" cy="2583180"/>
                  <wp:effectExtent l="0" t="0" r="8890" b="7620"/>
                  <wp:wrapSquare wrapText="bothSides"/>
                  <wp:docPr id="166013179" name="Imagen 10"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3179" name="Imagen 10" descr="Mapa&#10;&#10;El contenido generado por IA puede ser incorrecto."/>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345178" cy="2583810"/>
                          </a:xfrm>
                          <a:prstGeom prst="rect">
                            <a:avLst/>
                          </a:prstGeom>
                        </pic:spPr>
                      </pic:pic>
                    </a:graphicData>
                  </a:graphic>
                  <wp14:sizeRelH relativeFrom="margin">
                    <wp14:pctWidth>0</wp14:pctWidth>
                  </wp14:sizeRelH>
                  <wp14:sizeRelV relativeFrom="margin">
                    <wp14:pctHeight>0</wp14:pctHeight>
                  </wp14:sizeRelV>
                </wp:anchor>
              </w:drawing>
            </w:r>
            <w:r w:rsidR="00AC07D4" w:rsidRPr="00B450EB">
              <w:rPr>
                <w:rFonts w:eastAsia="Arial" w:cs="Arial"/>
                <w:sz w:val="18"/>
                <w:szCs w:val="18"/>
              </w:rPr>
              <w:t xml:space="preserve">Fuente: </w:t>
            </w:r>
            <w:r w:rsidR="00D3792F" w:rsidRPr="00B450EB">
              <w:rPr>
                <w:rFonts w:eastAsia="Arial" w:cs="Arial"/>
                <w:sz w:val="18"/>
                <w:szCs w:val="18"/>
              </w:rPr>
              <w:t>Elaboración</w:t>
            </w:r>
            <w:r w:rsidR="00AE5D06" w:rsidRPr="00B450EB">
              <w:rPr>
                <w:rFonts w:eastAsia="Arial" w:cs="Arial"/>
                <w:sz w:val="18"/>
                <w:szCs w:val="18"/>
              </w:rPr>
              <w:t xml:space="preserve"> propia</w:t>
            </w:r>
            <w:r w:rsidR="00AC07D4" w:rsidRPr="00B450EB">
              <w:rPr>
                <w:rFonts w:eastAsia="Arial" w:cs="Arial"/>
                <w:sz w:val="18"/>
                <w:szCs w:val="18"/>
              </w:rPr>
              <w:t xml:space="preserve"> a partir de información R</w:t>
            </w:r>
            <w:r w:rsidR="00C45205" w:rsidRPr="00B450EB">
              <w:rPr>
                <w:rFonts w:eastAsia="Arial" w:cs="Arial"/>
                <w:sz w:val="18"/>
                <w:szCs w:val="18"/>
              </w:rPr>
              <w:t>AISG</w:t>
            </w:r>
            <w:r w:rsidR="00AE5D06" w:rsidRPr="00B450EB">
              <w:rPr>
                <w:rFonts w:eastAsia="Arial" w:cs="Arial"/>
                <w:sz w:val="18"/>
                <w:szCs w:val="18"/>
              </w:rPr>
              <w:t xml:space="preserve"> (</w:t>
            </w:r>
            <w:r w:rsidR="00AC07D4" w:rsidRPr="00B450EB">
              <w:rPr>
                <w:rFonts w:eastAsia="Arial" w:cs="Arial"/>
                <w:sz w:val="18"/>
                <w:szCs w:val="18"/>
              </w:rPr>
              <w:t>2023</w:t>
            </w:r>
            <w:r w:rsidR="00AE5D06" w:rsidRPr="00B450EB">
              <w:rPr>
                <w:rFonts w:eastAsia="Arial" w:cs="Arial"/>
                <w:sz w:val="18"/>
                <w:szCs w:val="18"/>
              </w:rPr>
              <w:t>), 2025.</w:t>
            </w:r>
          </w:p>
        </w:tc>
      </w:tr>
    </w:tbl>
    <w:p w14:paraId="5E8D5056" w14:textId="77777777" w:rsidR="002C3DC7" w:rsidRPr="00B450EB" w:rsidRDefault="002C3DC7" w:rsidP="00AC07D4">
      <w:pPr>
        <w:spacing w:line="276" w:lineRule="auto"/>
        <w:rPr>
          <w:rFonts w:eastAsia="Arial" w:cs="Arial"/>
        </w:rPr>
      </w:pPr>
    </w:p>
    <w:p w14:paraId="2DA66973" w14:textId="162B80CA" w:rsidR="002B5992" w:rsidRPr="00B450EB" w:rsidRDefault="003133BA" w:rsidP="002B5992">
      <w:pPr>
        <w:rPr>
          <w:rFonts w:eastAsia="Calibri" w:cs="Arial"/>
        </w:rPr>
      </w:pPr>
      <w:r w:rsidRPr="00B450EB">
        <w:rPr>
          <w:rFonts w:eastAsia="Calibri" w:cs="Arial"/>
        </w:rPr>
        <w:t xml:space="preserve">En 2018 se registró la apertura de más de 16.000 km de nuevas vías, muchas de ellas construidas sin planificación ni licencia ambiental, lo que propició la colonización de nuevas áreas, el acaparamiento de tierras y la expansión de economías ilegales. </w:t>
      </w:r>
      <w:r w:rsidR="00FE0518" w:rsidRPr="00B450EB">
        <w:rPr>
          <w:rFonts w:eastAsia="Calibri" w:cs="Arial"/>
        </w:rPr>
        <w:t>De igual mane</w:t>
      </w:r>
      <w:r w:rsidR="00FD06BA" w:rsidRPr="00B450EB">
        <w:rPr>
          <w:rFonts w:eastAsia="Calibri" w:cs="Arial"/>
        </w:rPr>
        <w:t>r</w:t>
      </w:r>
      <w:r w:rsidR="00FE0518" w:rsidRPr="00B450EB">
        <w:rPr>
          <w:rFonts w:eastAsia="Calibri" w:cs="Arial"/>
        </w:rPr>
        <w:t xml:space="preserve">a como se detalla en la Figura 77, entre 2018 y 2024, la ampliación de la red vial coincide con una elevada presencia de cultivos ilícitos y operaciones de minería </w:t>
      </w:r>
      <w:r w:rsidR="00B52602" w:rsidRPr="00B450EB">
        <w:rPr>
          <w:rFonts w:eastAsia="Calibri" w:cs="Arial"/>
        </w:rPr>
        <w:t>ilegal,</w:t>
      </w:r>
      <w:r w:rsidR="00FD06BA" w:rsidRPr="00B450EB">
        <w:rPr>
          <w:rFonts w:eastAsia="Calibri" w:cs="Arial"/>
        </w:rPr>
        <w:t xml:space="preserve"> </w:t>
      </w:r>
      <w:r w:rsidR="00B52602" w:rsidRPr="00B450EB">
        <w:rPr>
          <w:rFonts w:eastAsia="Calibri" w:cs="Arial"/>
        </w:rPr>
        <w:t xml:space="preserve">así como </w:t>
      </w:r>
      <w:r w:rsidRPr="00B450EB">
        <w:rPr>
          <w:rFonts w:eastAsia="Calibri" w:cs="Arial"/>
        </w:rPr>
        <w:t xml:space="preserve">la movilización de insumos y productos asociados a dichas actividades (FCDS, 2024). </w:t>
      </w:r>
    </w:p>
    <w:p w14:paraId="6301A1E8" w14:textId="77777777" w:rsidR="00B52602" w:rsidRPr="00B450EB" w:rsidRDefault="00B52602">
      <w:pPr>
        <w:jc w:val="left"/>
        <w:rPr>
          <w:i/>
          <w:iCs/>
          <w:sz w:val="18"/>
          <w:szCs w:val="18"/>
        </w:rPr>
      </w:pPr>
      <w:r w:rsidRPr="00B450EB">
        <w:br w:type="page"/>
      </w:r>
    </w:p>
    <w:p w14:paraId="694A14E7" w14:textId="3E8B4B5E" w:rsidR="002B5992" w:rsidRPr="00B450EB" w:rsidRDefault="002B5992" w:rsidP="002B5992">
      <w:pPr>
        <w:pStyle w:val="Descripcin"/>
        <w:rPr>
          <w:color w:val="auto"/>
        </w:rPr>
      </w:pPr>
      <w:bookmarkStart w:id="169" w:name="_Toc209462764"/>
      <w:r w:rsidRPr="00B450EB">
        <w:rPr>
          <w:color w:val="auto"/>
        </w:rPr>
        <w:lastRenderedPageBreak/>
        <w:t xml:space="preserve">Figura </w:t>
      </w:r>
      <w:r w:rsidRPr="00B450EB">
        <w:rPr>
          <w:color w:val="auto"/>
        </w:rPr>
        <w:fldChar w:fldCharType="begin"/>
      </w:r>
      <w:r w:rsidRPr="00B450EB">
        <w:rPr>
          <w:color w:val="auto"/>
        </w:rPr>
        <w:instrText xml:space="preserve"> SEQ Figura \* ARABIC </w:instrText>
      </w:r>
      <w:r w:rsidRPr="00B450EB">
        <w:rPr>
          <w:color w:val="auto"/>
        </w:rPr>
        <w:fldChar w:fldCharType="separate"/>
      </w:r>
      <w:r w:rsidR="00010D09" w:rsidRPr="00B450EB">
        <w:rPr>
          <w:noProof/>
          <w:color w:val="auto"/>
        </w:rPr>
        <w:t>76</w:t>
      </w:r>
      <w:r w:rsidRPr="00B450EB">
        <w:rPr>
          <w:color w:val="auto"/>
        </w:rPr>
        <w:fldChar w:fldCharType="end"/>
      </w:r>
      <w:r w:rsidRPr="00B450EB">
        <w:rPr>
          <w:color w:val="auto"/>
        </w:rPr>
        <w:t>. Comparación vías (2018-2024), minería ilegal y cultivos de uso ilícito</w:t>
      </w:r>
      <w:bookmarkEnd w:id="169"/>
    </w:p>
    <w:p w14:paraId="5A10D7EE" w14:textId="7A473843" w:rsidR="002B5992" w:rsidRPr="00B450EB" w:rsidRDefault="002B5992" w:rsidP="002B5992">
      <w:pPr>
        <w:spacing w:after="0"/>
        <w:jc w:val="center"/>
      </w:pPr>
      <w:r w:rsidRPr="00B450EB">
        <w:rPr>
          <w:noProof/>
        </w:rPr>
        <w:drawing>
          <wp:inline distT="0" distB="0" distL="0" distR="0" wp14:anchorId="3EBFB915" wp14:editId="11C41EB2">
            <wp:extent cx="4811296" cy="3718560"/>
            <wp:effectExtent l="0" t="0" r="8890" b="0"/>
            <wp:docPr id="14421992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199256" name=""/>
                    <pic:cNvPicPr/>
                  </pic:nvPicPr>
                  <pic:blipFill>
                    <a:blip r:embed="rId127" cstate="email">
                      <a:extLst>
                        <a:ext uri="{28A0092B-C50C-407E-A947-70E740481C1C}">
                          <a14:useLocalDpi xmlns:a14="http://schemas.microsoft.com/office/drawing/2010/main"/>
                        </a:ext>
                      </a:extLst>
                    </a:blip>
                    <a:stretch>
                      <a:fillRect/>
                    </a:stretch>
                  </pic:blipFill>
                  <pic:spPr>
                    <a:xfrm>
                      <a:off x="0" y="0"/>
                      <a:ext cx="4839424" cy="3740300"/>
                    </a:xfrm>
                    <a:prstGeom prst="rect">
                      <a:avLst/>
                    </a:prstGeom>
                  </pic:spPr>
                </pic:pic>
              </a:graphicData>
            </a:graphic>
          </wp:inline>
        </w:drawing>
      </w:r>
      <w:r w:rsidRPr="00B450EB">
        <w:t xml:space="preserve"> </w:t>
      </w:r>
    </w:p>
    <w:p w14:paraId="5338A285" w14:textId="77777777" w:rsidR="002B5992" w:rsidRPr="00B450EB" w:rsidRDefault="002B5992" w:rsidP="002B5992">
      <w:pPr>
        <w:spacing w:line="259" w:lineRule="auto"/>
        <w:jc w:val="center"/>
        <w:rPr>
          <w:rFonts w:eastAsia="Calibri" w:cs="Arial"/>
          <w:sz w:val="18"/>
          <w:szCs w:val="18"/>
        </w:rPr>
      </w:pPr>
      <w:r w:rsidRPr="00B450EB">
        <w:rPr>
          <w:rFonts w:eastAsia="Calibri" w:cs="Arial"/>
          <w:sz w:val="18"/>
          <w:szCs w:val="18"/>
        </w:rPr>
        <w:t xml:space="preserve">Fuente: </w:t>
      </w:r>
      <w:r w:rsidRPr="00B450EB">
        <w:rPr>
          <w:rFonts w:cs="Arial"/>
          <w:sz w:val="18"/>
          <w:szCs w:val="18"/>
        </w:rPr>
        <w:t xml:space="preserve">Elaboración propia </w:t>
      </w:r>
      <w:r w:rsidRPr="00B450EB">
        <w:rPr>
          <w:rFonts w:eastAsia="Arial" w:cs="Arial"/>
          <w:sz w:val="18"/>
          <w:szCs w:val="18"/>
        </w:rPr>
        <w:t xml:space="preserve">a partir de información </w:t>
      </w:r>
      <w:r w:rsidRPr="00B450EB">
        <w:rPr>
          <w:sz w:val="18"/>
          <w:szCs w:val="18"/>
        </w:rPr>
        <w:t xml:space="preserve">ANNA, 2025; </w:t>
      </w:r>
      <w:proofErr w:type="spellStart"/>
      <w:r w:rsidRPr="00B450EB">
        <w:rPr>
          <w:rFonts w:eastAsia="Calibri" w:cs="Arial"/>
          <w:sz w:val="18"/>
          <w:szCs w:val="18"/>
        </w:rPr>
        <w:t>Geovisor</w:t>
      </w:r>
      <w:proofErr w:type="spellEnd"/>
      <w:r w:rsidRPr="00B450EB">
        <w:rPr>
          <w:rFonts w:eastAsia="Calibri" w:cs="Arial"/>
          <w:sz w:val="18"/>
          <w:szCs w:val="18"/>
        </w:rPr>
        <w:t xml:space="preserve"> Conflictos Socioambientales, publicado por FCDS (Fundación para la Conservación y el Desarrollo Sostenible), 2024.</w:t>
      </w:r>
    </w:p>
    <w:p w14:paraId="1211F42D" w14:textId="3445F228" w:rsidR="002B5992" w:rsidRPr="00B450EB" w:rsidRDefault="003133BA" w:rsidP="00AC07D4">
      <w:pPr>
        <w:spacing w:line="276" w:lineRule="auto"/>
        <w:rPr>
          <w:rFonts w:eastAsia="Arial" w:cs="Arial"/>
        </w:rPr>
      </w:pPr>
      <w:r w:rsidRPr="00B450EB">
        <w:rPr>
          <w:rFonts w:eastAsia="Calibri" w:cs="Arial"/>
        </w:rPr>
        <w:t>Este fenómeno mantiene una relación directa con la deforestación: más del 70 % de los focos de pérdida de bosque se ubican a menos de 2 km de una vía y, para 2022, el 95 % de la deforestación se concentró en un radio de 5,5 km alrededor de las carreteras</w:t>
      </w:r>
    </w:p>
    <w:p w14:paraId="0D4E1A49" w14:textId="5D5E1459" w:rsidR="006B6930" w:rsidRPr="00B450EB" w:rsidRDefault="00531E1D" w:rsidP="00AC07D4">
      <w:pPr>
        <w:spacing w:line="276" w:lineRule="auto"/>
        <w:rPr>
          <w:rFonts w:eastAsia="Arial" w:cs="Arial"/>
        </w:rPr>
      </w:pPr>
      <w:r w:rsidRPr="00B450EB">
        <w:rPr>
          <w:rFonts w:eastAsia="Arial" w:cs="Arial"/>
        </w:rPr>
        <w:t>E</w:t>
      </w:r>
      <w:r w:rsidR="778E463D" w:rsidRPr="00B450EB">
        <w:rPr>
          <w:rFonts w:eastAsia="Arial" w:cs="Arial"/>
        </w:rPr>
        <w:t>s</w:t>
      </w:r>
      <w:r w:rsidRPr="00B450EB">
        <w:rPr>
          <w:rFonts w:eastAsia="Arial" w:cs="Arial"/>
        </w:rPr>
        <w:t xml:space="preserve"> </w:t>
      </w:r>
      <w:r w:rsidR="006D3B0F" w:rsidRPr="00B450EB">
        <w:rPr>
          <w:rFonts w:eastAsia="Arial" w:cs="Arial"/>
        </w:rPr>
        <w:t>de resaltar</w:t>
      </w:r>
      <w:r w:rsidRPr="00B450EB">
        <w:rPr>
          <w:rFonts w:eastAsia="Arial" w:cs="Arial"/>
        </w:rPr>
        <w:t xml:space="preserve">, </w:t>
      </w:r>
      <w:r w:rsidR="00DB131B" w:rsidRPr="00B450EB">
        <w:rPr>
          <w:rFonts w:eastAsia="Arial" w:cs="Arial"/>
        </w:rPr>
        <w:t xml:space="preserve">que </w:t>
      </w:r>
      <w:r w:rsidRPr="00B450EB">
        <w:rPr>
          <w:rFonts w:eastAsia="Arial" w:cs="Arial"/>
        </w:rPr>
        <w:t>l</w:t>
      </w:r>
      <w:r w:rsidR="00AC07D4" w:rsidRPr="00B450EB">
        <w:rPr>
          <w:rFonts w:eastAsia="Arial" w:cs="Arial"/>
        </w:rPr>
        <w:t xml:space="preserve">a deforestación está condicionada por la accesibilidad al recurso en donde las áreas aisladas con restricciones biofísicas o sociales son menos susceptibles a la deforestación (Gonzales et al., 2018). </w:t>
      </w:r>
      <w:r w:rsidR="006B6930" w:rsidRPr="00B450EB">
        <w:rPr>
          <w:rFonts w:eastAsia="Arial" w:cs="Arial"/>
        </w:rPr>
        <w:t>Usualmente</w:t>
      </w:r>
      <w:r w:rsidR="003046FA" w:rsidRPr="00B450EB">
        <w:rPr>
          <w:rFonts w:eastAsia="Arial" w:cs="Arial"/>
        </w:rPr>
        <w:t xml:space="preserve">, las </w:t>
      </w:r>
      <w:r w:rsidR="003046FA" w:rsidRPr="00B450EB">
        <w:rPr>
          <w:rFonts w:eastAsia="Arial" w:cs="Arial"/>
          <w:b/>
          <w:bCs/>
        </w:rPr>
        <w:t>vías</w:t>
      </w:r>
      <w:r w:rsidR="00207AD8" w:rsidRPr="00B450EB">
        <w:rPr>
          <w:rFonts w:eastAsia="Arial" w:cs="Arial"/>
          <w:b/>
          <w:bCs/>
        </w:rPr>
        <w:t xml:space="preserve"> permiten esa accesibilidad</w:t>
      </w:r>
      <w:r w:rsidR="00520D9C" w:rsidRPr="00B450EB">
        <w:rPr>
          <w:rFonts w:eastAsia="Arial" w:cs="Arial"/>
          <w:b/>
          <w:bCs/>
        </w:rPr>
        <w:t>, produciendo deforestación indirecta al facilita</w:t>
      </w:r>
      <w:r w:rsidR="00CA6FA0" w:rsidRPr="00B450EB">
        <w:rPr>
          <w:rFonts w:eastAsia="Arial" w:cs="Arial"/>
          <w:b/>
          <w:bCs/>
        </w:rPr>
        <w:t>r</w:t>
      </w:r>
      <w:r w:rsidR="00520D9C" w:rsidRPr="00B450EB">
        <w:rPr>
          <w:rFonts w:eastAsia="Arial" w:cs="Arial"/>
          <w:b/>
          <w:bCs/>
        </w:rPr>
        <w:t xml:space="preserve"> la llegada de nuevos actores al territorio y el desarrollo de sus actividades</w:t>
      </w:r>
      <w:r w:rsidR="00520D9C" w:rsidRPr="00B450EB">
        <w:rPr>
          <w:rFonts w:eastAsia="Arial" w:cs="Arial"/>
        </w:rPr>
        <w:t xml:space="preserve">. Esto </w:t>
      </w:r>
      <w:r w:rsidR="000D0534" w:rsidRPr="00B450EB">
        <w:rPr>
          <w:rFonts w:eastAsia="Arial" w:cs="Arial"/>
        </w:rPr>
        <w:t>produce</w:t>
      </w:r>
      <w:r w:rsidR="00520D9C" w:rsidRPr="00B450EB">
        <w:rPr>
          <w:rFonts w:eastAsia="Arial" w:cs="Arial"/>
        </w:rPr>
        <w:t xml:space="preserve"> un tipo de fragmentación</w:t>
      </w:r>
      <w:r w:rsidR="00352973" w:rsidRPr="00B450EB">
        <w:rPr>
          <w:rFonts w:eastAsia="Arial" w:cs="Arial"/>
        </w:rPr>
        <w:t xml:space="preserve"> del paisaje</w:t>
      </w:r>
      <w:r w:rsidR="003046FA" w:rsidRPr="00B450EB">
        <w:rPr>
          <w:rFonts w:eastAsia="Arial" w:cs="Arial"/>
        </w:rPr>
        <w:t xml:space="preserve"> </w:t>
      </w:r>
      <w:r w:rsidR="00483934" w:rsidRPr="00B450EB">
        <w:rPr>
          <w:rFonts w:eastAsia="Arial" w:cs="Arial"/>
        </w:rPr>
        <w:t>con efecto tipo</w:t>
      </w:r>
      <w:r w:rsidR="00352973" w:rsidRPr="00B450EB">
        <w:rPr>
          <w:rFonts w:eastAsia="Arial" w:cs="Arial"/>
        </w:rPr>
        <w:t xml:space="preserve"> </w:t>
      </w:r>
      <w:r w:rsidRPr="00B450EB">
        <w:rPr>
          <w:rFonts w:eastAsia="Arial" w:cs="Arial"/>
        </w:rPr>
        <w:t>“</w:t>
      </w:r>
      <w:r w:rsidR="00352973" w:rsidRPr="00B450EB">
        <w:rPr>
          <w:rFonts w:eastAsia="Arial" w:cs="Arial"/>
        </w:rPr>
        <w:t xml:space="preserve">espina de pescado” </w:t>
      </w:r>
      <w:r w:rsidR="006B6930" w:rsidRPr="00B450EB">
        <w:rPr>
          <w:rFonts w:eastAsia="Arial" w:cs="Arial"/>
        </w:rPr>
        <w:t>generado por ejes viales de transporte, desde los cuales se desprenden ejes secundarios, que se desarrollan de forma escalonada</w:t>
      </w:r>
      <w:r w:rsidR="000D0534" w:rsidRPr="00B450EB">
        <w:rPr>
          <w:rFonts w:eastAsia="Arial" w:cs="Arial"/>
        </w:rPr>
        <w:t>.</w:t>
      </w:r>
    </w:p>
    <w:p w14:paraId="74FA88AF" w14:textId="608B70C1" w:rsidR="00D203BB" w:rsidRPr="00B450EB" w:rsidRDefault="00AC07D4" w:rsidP="00B52602">
      <w:pPr>
        <w:spacing w:line="276" w:lineRule="auto"/>
        <w:rPr>
          <w:rFonts w:eastAsia="Arial" w:cs="Arial"/>
        </w:rPr>
      </w:pPr>
      <w:r w:rsidRPr="00B450EB">
        <w:rPr>
          <w:rFonts w:eastAsia="Arial" w:cs="Arial"/>
        </w:rPr>
        <w:t xml:space="preserve">De esta manera </w:t>
      </w:r>
      <w:r w:rsidR="00815EE3" w:rsidRPr="00B450EB">
        <w:rPr>
          <w:rFonts w:eastAsia="Arial" w:cs="Arial"/>
        </w:rPr>
        <w:t>el IDEAM (2024)</w:t>
      </w:r>
      <w:r w:rsidRPr="00B450EB">
        <w:rPr>
          <w:rFonts w:eastAsia="Arial" w:cs="Arial"/>
        </w:rPr>
        <w:t xml:space="preserve"> establece que las áreas de bosque que se encuentran a una distancia menor o igual </w:t>
      </w:r>
      <w:r w:rsidR="00B63A04" w:rsidRPr="00B450EB">
        <w:rPr>
          <w:rFonts w:eastAsia="Arial" w:cs="Arial"/>
        </w:rPr>
        <w:t xml:space="preserve">de </w:t>
      </w:r>
      <w:r w:rsidRPr="00B450EB">
        <w:rPr>
          <w:rFonts w:eastAsia="Arial" w:cs="Arial"/>
        </w:rPr>
        <w:t xml:space="preserve">15 km de carreteras (nacionales, departamentales, municipales, veredales), se considera susceptible a la deforestación. Lo cual se evidencia en la Figura 52 en un área de 15 km de las vías en el bioma amazónico presenta confluencia con la alta intervención de coberturas </w:t>
      </w:r>
      <w:r w:rsidRPr="00B450EB">
        <w:rPr>
          <w:rFonts w:eastAsia="Arial" w:cs="Arial"/>
        </w:rPr>
        <w:lastRenderedPageBreak/>
        <w:t>boscosas</w:t>
      </w:r>
      <w:r w:rsidR="009E24B5" w:rsidRPr="00B450EB">
        <w:rPr>
          <w:rFonts w:eastAsia="Arial" w:cs="Arial"/>
        </w:rPr>
        <w:t xml:space="preserve"> y panorama de pérdida de cobertura vegetal histórica </w:t>
      </w:r>
      <w:r w:rsidR="00F653BF" w:rsidRPr="00B450EB">
        <w:rPr>
          <w:rFonts w:eastAsia="Arial" w:cs="Arial"/>
        </w:rPr>
        <w:t>d</w:t>
      </w:r>
      <w:r w:rsidR="009E24B5" w:rsidRPr="00B450EB">
        <w:rPr>
          <w:rFonts w:eastAsia="Arial" w:cs="Arial"/>
        </w:rPr>
        <w:t xml:space="preserve">el bioma, tal como se describió </w:t>
      </w:r>
      <w:r w:rsidR="00357E4E" w:rsidRPr="00B450EB">
        <w:rPr>
          <w:rFonts w:eastAsia="Arial" w:cs="Arial"/>
        </w:rPr>
        <w:t>en el capítulo de caracterización de transformación de coberturas de la tierra</w:t>
      </w:r>
      <w:r w:rsidRPr="00B450EB">
        <w:rPr>
          <w:rFonts w:eastAsia="Arial" w:cs="Arial"/>
        </w:rPr>
        <w:t>.</w:t>
      </w:r>
    </w:p>
    <w:p w14:paraId="321991E7" w14:textId="166D9377" w:rsidR="00AC07D4" w:rsidRPr="00B450EB" w:rsidRDefault="00AC07D4" w:rsidP="00AC07D4">
      <w:pPr>
        <w:pStyle w:val="Descripcin"/>
        <w:rPr>
          <w:rFonts w:eastAsia="Calibri" w:cs="Arial"/>
          <w:color w:val="auto"/>
          <w:sz w:val="22"/>
          <w:szCs w:val="22"/>
        </w:rPr>
      </w:pPr>
      <w:bookmarkStart w:id="170" w:name="_Toc209462765"/>
      <w:r w:rsidRPr="00B450EB">
        <w:rPr>
          <w:color w:val="auto"/>
        </w:rPr>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77</w:t>
      </w:r>
      <w:r w:rsidRPr="00B450EB">
        <w:rPr>
          <w:color w:val="auto"/>
        </w:rPr>
        <w:fldChar w:fldCharType="end"/>
      </w:r>
      <w:r w:rsidRPr="00B450EB">
        <w:rPr>
          <w:color w:val="auto"/>
        </w:rPr>
        <w:t>. Estratos de intervención en el bioma amazónico (2024)</w:t>
      </w:r>
      <w:bookmarkEnd w:id="170"/>
    </w:p>
    <w:p w14:paraId="19FF07B0" w14:textId="62E74BF5" w:rsidR="00AC07D4" w:rsidRPr="00B450EB" w:rsidRDefault="003B6C7F" w:rsidP="00AC07D4">
      <w:pPr>
        <w:spacing w:line="259" w:lineRule="auto"/>
        <w:jc w:val="center"/>
        <w:rPr>
          <w:rFonts w:eastAsia="Calibri" w:cs="Arial"/>
          <w:sz w:val="22"/>
          <w:szCs w:val="22"/>
        </w:rPr>
      </w:pPr>
      <w:r w:rsidRPr="00B450EB">
        <w:rPr>
          <w:rFonts w:eastAsia="Calibri" w:cs="Arial"/>
          <w:noProof/>
          <w:sz w:val="22"/>
          <w:szCs w:val="22"/>
        </w:rPr>
        <w:drawing>
          <wp:inline distT="0" distB="0" distL="0" distR="0" wp14:anchorId="72CF6DE2" wp14:editId="628808BB">
            <wp:extent cx="4084320" cy="3155897"/>
            <wp:effectExtent l="0" t="0" r="0" b="6985"/>
            <wp:docPr id="81846041" name="Imagen 1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46041" name="Imagen 13" descr="Mapa&#10;&#10;El contenido generado por IA puede ser incorrecto."/>
                    <pic:cNvPicPr/>
                  </pic:nvPicPr>
                  <pic:blipFill>
                    <a:blip r:embed="rId128" cstate="email">
                      <a:extLst>
                        <a:ext uri="{28A0092B-C50C-407E-A947-70E740481C1C}">
                          <a14:useLocalDpi xmlns:a14="http://schemas.microsoft.com/office/drawing/2010/main"/>
                        </a:ext>
                      </a:extLst>
                    </a:blip>
                    <a:stretch>
                      <a:fillRect/>
                    </a:stretch>
                  </pic:blipFill>
                  <pic:spPr>
                    <a:xfrm>
                      <a:off x="0" y="0"/>
                      <a:ext cx="4090034" cy="3160312"/>
                    </a:xfrm>
                    <a:prstGeom prst="rect">
                      <a:avLst/>
                    </a:prstGeom>
                  </pic:spPr>
                </pic:pic>
              </a:graphicData>
            </a:graphic>
          </wp:inline>
        </w:drawing>
      </w:r>
    </w:p>
    <w:p w14:paraId="5F161E77" w14:textId="538D88DA" w:rsidR="00AC07D4" w:rsidRPr="00B450EB" w:rsidRDefault="00AC07D4" w:rsidP="0AF1B586">
      <w:pPr>
        <w:spacing w:line="259" w:lineRule="auto"/>
        <w:jc w:val="center"/>
        <w:rPr>
          <w:rFonts w:eastAsia="Calibri" w:cs="Arial"/>
          <w:sz w:val="22"/>
          <w:szCs w:val="22"/>
        </w:rPr>
      </w:pPr>
      <w:r w:rsidRPr="00B450EB">
        <w:rPr>
          <w:rFonts w:cs="Arial"/>
          <w:sz w:val="18"/>
          <w:szCs w:val="18"/>
        </w:rPr>
        <w:t xml:space="preserve">Fuente: </w:t>
      </w:r>
      <w:r w:rsidR="00D3792F" w:rsidRPr="00B450EB">
        <w:rPr>
          <w:rFonts w:cs="Arial"/>
          <w:sz w:val="18"/>
          <w:szCs w:val="18"/>
        </w:rPr>
        <w:t>Elaboración propia</w:t>
      </w:r>
      <w:r w:rsidRPr="00B450EB">
        <w:rPr>
          <w:rFonts w:cs="Arial"/>
          <w:sz w:val="18"/>
          <w:szCs w:val="18"/>
        </w:rPr>
        <w:t xml:space="preserve"> </w:t>
      </w:r>
      <w:r w:rsidRPr="00B450EB">
        <w:rPr>
          <w:rFonts w:eastAsia="Arial" w:cs="Arial"/>
          <w:sz w:val="18"/>
          <w:szCs w:val="18"/>
        </w:rPr>
        <w:t xml:space="preserve">a partir de información </w:t>
      </w:r>
      <w:r w:rsidRPr="00B450EB">
        <w:rPr>
          <w:rFonts w:eastAsia="Calibri" w:cs="Arial"/>
          <w:sz w:val="18"/>
          <w:szCs w:val="18"/>
        </w:rPr>
        <w:t>IGAC, 2017; SINCHI, 2024.</w:t>
      </w:r>
      <w:r w:rsidR="005B1551" w:rsidRPr="00B450EB">
        <w:rPr>
          <w:rFonts w:eastAsia="Calibri" w:cs="Arial"/>
          <w:sz w:val="18"/>
          <w:szCs w:val="18"/>
        </w:rPr>
        <w:t>, 2025</w:t>
      </w:r>
      <w:r w:rsidRPr="00B450EB">
        <w:rPr>
          <w:rFonts w:eastAsia="Calibri" w:cs="Arial"/>
          <w:sz w:val="18"/>
          <w:szCs w:val="18"/>
        </w:rPr>
        <w:t>.</w:t>
      </w:r>
    </w:p>
    <w:p w14:paraId="714992B0" w14:textId="6A73641B" w:rsidR="00357E4E" w:rsidRPr="00B450EB" w:rsidRDefault="00D24D3F" w:rsidP="00357E4E">
      <w:r w:rsidRPr="00B450EB">
        <w:rPr>
          <w:rFonts w:eastAsia="Calibri" w:cs="Arial"/>
        </w:rPr>
        <w:t>Considerando este contexto, la</w:t>
      </w:r>
      <w:r w:rsidR="00357E4E" w:rsidRPr="00B450EB">
        <w:rPr>
          <w:rFonts w:eastAsia="Calibri" w:cs="Arial"/>
        </w:rPr>
        <w:t xml:space="preserve"> expansión vial en la Amazonía colombiana se ha convertido en un motor de conflictividad socioambiental, especialmente después de la firma del Acuerdo de Paz en 2016, cuando se intensificó la apertura de carreteras, trochas y caminos en áreas antes controladas por las FARC. </w:t>
      </w:r>
    </w:p>
    <w:p w14:paraId="7DA74CDD" w14:textId="77777777" w:rsidR="00357E4E" w:rsidRPr="00B450EB" w:rsidRDefault="00357E4E" w:rsidP="00357E4E">
      <w:r w:rsidRPr="00B450EB">
        <w:rPr>
          <w:rFonts w:eastAsia="Calibri" w:cs="Arial"/>
        </w:rPr>
        <w:t xml:space="preserve">A pesar de la existencia de restricciones normativas que limitan la construcción de infraestructura vial en áreas ambientalmente sensibles, buena parte de la red vial atraviesa territorios con alto valor ecosistémico y cultural. Actualmente, se contabilizan más de 935 km de vías dentro de resguardos indígenas, 1.248 km en áreas naturales protegidas y cerca de 6.000 km en la Reserva Forestal de Ley 2.ª de 1959. </w:t>
      </w:r>
    </w:p>
    <w:p w14:paraId="557C204B" w14:textId="4DF1E6AA" w:rsidR="0AF1B586" w:rsidRPr="00B450EB" w:rsidRDefault="00357E4E" w:rsidP="0042042F">
      <w:pPr>
        <w:rPr>
          <w:rFonts w:eastAsia="Calibri" w:cs="Arial"/>
        </w:rPr>
      </w:pPr>
      <w:r w:rsidRPr="00B450EB">
        <w:rPr>
          <w:rFonts w:eastAsia="Calibri" w:cs="Arial"/>
        </w:rPr>
        <w:t xml:space="preserve">Este crecimiento descontrolado provoca la fragmentación de hábitats, la afectación de especies de fauna por atropellos y electrocución, la alteración de sistemas hídricos y la presión sobre sitios sagrados y de importancia cultural para comunidades indígenas (FCDS, 2024). En este sentido, la red vial en la Amazonía no es únicamente un tema de conectividad, sino un conflicto estructural que combina presiones ambientales, disputas por el control del territorio y vulneración </w:t>
      </w:r>
      <w:r w:rsidRPr="00B450EB">
        <w:rPr>
          <w:rFonts w:eastAsia="Calibri" w:cs="Arial"/>
        </w:rPr>
        <w:lastRenderedPageBreak/>
        <w:t>de derechos colectivos, lo que plantea la necesidad de fortalecer la gobernanza ambiental y territorial en la región.</w:t>
      </w:r>
    </w:p>
    <w:p w14:paraId="2ED8AE35" w14:textId="77777777" w:rsidR="00230782" w:rsidRPr="00B450EB" w:rsidRDefault="00230782" w:rsidP="00F13488">
      <w:pPr>
        <w:pStyle w:val="Prrafodelista"/>
        <w:numPr>
          <w:ilvl w:val="0"/>
          <w:numId w:val="26"/>
        </w:numPr>
        <w:spacing w:line="259" w:lineRule="auto"/>
        <w:rPr>
          <w:rFonts w:eastAsia="Calibri" w:cs="Arial"/>
          <w:i/>
        </w:rPr>
      </w:pPr>
      <w:r w:rsidRPr="00B450EB">
        <w:rPr>
          <w:rFonts w:eastAsia="Calibri" w:cs="Arial"/>
          <w:i/>
        </w:rPr>
        <w:t>Fragmentación de los bosques por efecto de las vías y la influencia en la calidad del aire. </w:t>
      </w:r>
    </w:p>
    <w:p w14:paraId="49A0060A" w14:textId="36686B50" w:rsidR="00230782" w:rsidRPr="00B450EB" w:rsidRDefault="00230782" w:rsidP="00230782">
      <w:pPr>
        <w:spacing w:line="259" w:lineRule="auto"/>
        <w:rPr>
          <w:rFonts w:eastAsia="Calibri" w:cs="Arial"/>
        </w:rPr>
      </w:pPr>
      <w:r w:rsidRPr="00B450EB">
        <w:rPr>
          <w:rFonts w:eastAsia="Calibri" w:cs="Arial"/>
        </w:rPr>
        <w:t xml:space="preserve">Un ejemplo local </w:t>
      </w:r>
      <w:r w:rsidR="008E6904" w:rsidRPr="00B450EB">
        <w:rPr>
          <w:rFonts w:eastAsia="Calibri" w:cs="Arial"/>
        </w:rPr>
        <w:t>demostrativo</w:t>
      </w:r>
      <w:r w:rsidRPr="00B450EB">
        <w:rPr>
          <w:rFonts w:eastAsia="Calibri" w:cs="Arial"/>
        </w:rPr>
        <w:t xml:space="preserve"> de </w:t>
      </w:r>
      <w:r w:rsidR="00B17A8F" w:rsidRPr="00B450EB">
        <w:rPr>
          <w:rFonts w:eastAsia="Calibri" w:cs="Arial"/>
        </w:rPr>
        <w:t>la influencia de las vías de acceso</w:t>
      </w:r>
      <w:r w:rsidRPr="00B450EB">
        <w:rPr>
          <w:rFonts w:eastAsia="Calibri" w:cs="Arial"/>
        </w:rPr>
        <w:t xml:space="preserve"> </w:t>
      </w:r>
      <w:r w:rsidR="00B17A8F" w:rsidRPr="00B450EB">
        <w:rPr>
          <w:rFonts w:eastAsia="Calibri" w:cs="Arial"/>
        </w:rPr>
        <w:t>en la degradación de bosques y ecosistemas</w:t>
      </w:r>
      <w:r w:rsidR="00FF2B62" w:rsidRPr="00B450EB">
        <w:rPr>
          <w:rFonts w:eastAsia="Calibri" w:cs="Arial"/>
        </w:rPr>
        <w:t xml:space="preserve"> en su área de proximidad </w:t>
      </w:r>
      <w:r w:rsidRPr="00B450EB">
        <w:rPr>
          <w:rFonts w:eastAsia="Calibri" w:cs="Arial"/>
        </w:rPr>
        <w:t>se presentó en el municipio de Puerto Asís departamento del Putumayo, donde se verificó que una de las vías autorizadas en una licencia ambiental otorgada por la ANLA a un proyecto de hidrocarburos se convirtió en un foco de deforestación. </w:t>
      </w:r>
    </w:p>
    <w:p w14:paraId="1B147EDC" w14:textId="11DB6A09" w:rsidR="00230782" w:rsidRPr="00B450EB" w:rsidRDefault="00230782" w:rsidP="00230782">
      <w:pPr>
        <w:spacing w:line="259" w:lineRule="auto"/>
        <w:rPr>
          <w:rFonts w:eastAsia="Calibri" w:cs="Arial"/>
        </w:rPr>
      </w:pPr>
      <w:r w:rsidRPr="00B450EB">
        <w:rPr>
          <w:rFonts w:eastAsia="Calibri" w:cs="Arial"/>
        </w:rPr>
        <w:t xml:space="preserve">Aunque la autoridad ambiental estableció márgenes de vía </w:t>
      </w:r>
      <w:r w:rsidR="00D14C1F" w:rsidRPr="00B450EB">
        <w:rPr>
          <w:rFonts w:eastAsia="Calibri" w:cs="Arial"/>
        </w:rPr>
        <w:t>con ancho restringido</w:t>
      </w:r>
      <w:r w:rsidRPr="00B450EB">
        <w:rPr>
          <w:rFonts w:eastAsia="Calibri" w:cs="Arial"/>
        </w:rPr>
        <w:t xml:space="preserve"> </w:t>
      </w:r>
      <w:r w:rsidR="00D14C1F" w:rsidRPr="00B450EB">
        <w:rPr>
          <w:rFonts w:eastAsia="Calibri" w:cs="Arial"/>
        </w:rPr>
        <w:t>para</w:t>
      </w:r>
      <w:r w:rsidRPr="00B450EB">
        <w:rPr>
          <w:rFonts w:eastAsia="Calibri" w:cs="Arial"/>
        </w:rPr>
        <w:t xml:space="preserve"> proteger las coberturas boscosas cercanas a </w:t>
      </w:r>
      <w:r w:rsidR="00D14C1F" w:rsidRPr="00B450EB">
        <w:rPr>
          <w:rFonts w:eastAsia="Calibri" w:cs="Arial"/>
        </w:rPr>
        <w:t>dichos accesos</w:t>
      </w:r>
      <w:r w:rsidRPr="00B450EB">
        <w:rPr>
          <w:rFonts w:eastAsia="Calibri" w:cs="Arial"/>
        </w:rPr>
        <w:t xml:space="preserve"> </w:t>
      </w:r>
      <w:r w:rsidR="00D14C1F" w:rsidRPr="00B450EB">
        <w:rPr>
          <w:rFonts w:eastAsia="Calibri" w:cs="Arial"/>
        </w:rPr>
        <w:t>autorizados</w:t>
      </w:r>
      <w:r w:rsidRPr="00B450EB">
        <w:rPr>
          <w:rFonts w:eastAsia="Calibri" w:cs="Arial"/>
        </w:rPr>
        <w:t>, se evidenció con el seguimiento de imágenes satelitales del año 2022 (año en que se otorgó la licencia) y la revisión de la zona 3 años después en el 2025, un aumento progresivo en los parches de deforestación en los alrededores, como lo evidencian las siguientes imágenes. </w:t>
      </w:r>
    </w:p>
    <w:p w14:paraId="7C536D7F" w14:textId="1664B31C" w:rsidR="00230782" w:rsidRPr="00B450EB" w:rsidRDefault="00230782" w:rsidP="00B44149">
      <w:pPr>
        <w:pStyle w:val="Descripcin"/>
        <w:rPr>
          <w:rFonts w:eastAsia="Calibri" w:cs="Arial"/>
          <w:color w:val="auto"/>
        </w:rPr>
      </w:pPr>
      <w:bookmarkStart w:id="171" w:name="_Toc209462766"/>
      <w:r w:rsidRPr="00B450EB">
        <w:rPr>
          <w:rFonts w:eastAsia="Calibri" w:cs="Arial"/>
          <w:color w:val="auto"/>
        </w:rPr>
        <w:t>Figura</w:t>
      </w:r>
      <w:r w:rsidR="00B44149" w:rsidRPr="00B450EB">
        <w:rPr>
          <w:color w:val="auto"/>
        </w:rPr>
        <w:t xml:space="preserve">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78</w:t>
      </w:r>
      <w:r w:rsidR="0045353A" w:rsidRPr="00B450EB">
        <w:rPr>
          <w:noProof/>
          <w:color w:val="auto"/>
        </w:rPr>
        <w:fldChar w:fldCharType="end"/>
      </w:r>
      <w:r w:rsidR="00B44149" w:rsidRPr="00B450EB">
        <w:rPr>
          <w:color w:val="auto"/>
        </w:rPr>
        <w:t>.</w:t>
      </w:r>
      <w:r w:rsidRPr="00B450EB">
        <w:rPr>
          <w:rFonts w:eastAsia="Calibri" w:cs="Arial"/>
          <w:color w:val="auto"/>
        </w:rPr>
        <w:t xml:space="preserve"> Focos de deforestación en vía autorizada a un proyecto de hidrocarburos</w:t>
      </w:r>
      <w:bookmarkEnd w:id="171"/>
      <w:r w:rsidRPr="00B450EB">
        <w:rPr>
          <w:rFonts w:eastAsia="Calibri" w:cs="Arial"/>
          <w:color w:val="auto"/>
        </w:rPr>
        <w:t> </w:t>
      </w:r>
    </w:p>
    <w:tbl>
      <w:tblPr>
        <w:tblW w:w="0" w:type="dxa"/>
        <w:tblCellMar>
          <w:left w:w="0" w:type="dxa"/>
          <w:right w:w="0" w:type="dxa"/>
        </w:tblCellMar>
        <w:tblLook w:val="04A0" w:firstRow="1" w:lastRow="0" w:firstColumn="1" w:lastColumn="0" w:noHBand="0" w:noVBand="1"/>
      </w:tblPr>
      <w:tblGrid>
        <w:gridCol w:w="4380"/>
        <w:gridCol w:w="4440"/>
      </w:tblGrid>
      <w:tr w:rsidR="00205915" w:rsidRPr="00B450EB" w14:paraId="07FD97CB" w14:textId="77777777" w:rsidTr="00583F0B">
        <w:trPr>
          <w:trHeight w:val="300"/>
        </w:trPr>
        <w:tc>
          <w:tcPr>
            <w:tcW w:w="4380" w:type="dxa"/>
            <w:hideMark/>
          </w:tcPr>
          <w:p w14:paraId="279CAE74" w14:textId="5525A279" w:rsidR="00230782" w:rsidRPr="00B450EB" w:rsidRDefault="00230782" w:rsidP="00230782">
            <w:pPr>
              <w:spacing w:line="259" w:lineRule="auto"/>
              <w:rPr>
                <w:rFonts w:eastAsia="Calibri" w:cs="Arial"/>
              </w:rPr>
            </w:pPr>
            <w:r w:rsidRPr="00B450EB">
              <w:rPr>
                <w:rFonts w:eastAsia="Calibri" w:cs="Arial"/>
                <w:noProof/>
              </w:rPr>
              <w:drawing>
                <wp:inline distT="0" distB="0" distL="0" distR="0" wp14:anchorId="65413C3F" wp14:editId="17C3C767">
                  <wp:extent cx="2667000" cy="3276600"/>
                  <wp:effectExtent l="0" t="0" r="0" b="0"/>
                  <wp:docPr id="1460892107"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pa&#10;&#10;El contenido generado por IA puede ser incorrecto."/>
                          <pic:cNvPicPr>
                            <a:picLocks noChangeAspect="1" noChangeArrowheads="1"/>
                          </pic:cNvPicPr>
                        </pic:nvPicPr>
                        <pic:blipFill>
                          <a:blip r:embed="rId129" cstate="email">
                            <a:extLst>
                              <a:ext uri="{BEBA8EAE-BF5A-486C-A8C5-ECC9F3942E4B}">
                                <a14:imgProps xmlns:a14="http://schemas.microsoft.com/office/drawing/2010/main">
                                  <a14:imgLayer r:embed="rId130">
                                    <a14:imgEffect>
                                      <a14:sharpenSoften amount="50000"/>
                                    </a14:imgEffect>
                                    <a14:imgEffect>
                                      <a14:brightnessContrast bright="20000" contrast="-20000"/>
                                    </a14:imgEffect>
                                  </a14:imgLayer>
                                </a14:imgProps>
                              </a:ext>
                              <a:ext uri="{28A0092B-C50C-407E-A947-70E740481C1C}">
                                <a14:useLocalDpi xmlns:a14="http://schemas.microsoft.com/office/drawing/2010/main"/>
                              </a:ext>
                            </a:extLst>
                          </a:blip>
                          <a:srcRect/>
                          <a:stretch>
                            <a:fillRect/>
                          </a:stretch>
                        </pic:blipFill>
                        <pic:spPr bwMode="auto">
                          <a:xfrm>
                            <a:off x="0" y="0"/>
                            <a:ext cx="2667000" cy="3276600"/>
                          </a:xfrm>
                          <a:prstGeom prst="rect">
                            <a:avLst/>
                          </a:prstGeom>
                          <a:noFill/>
                          <a:ln>
                            <a:noFill/>
                          </a:ln>
                        </pic:spPr>
                      </pic:pic>
                    </a:graphicData>
                  </a:graphic>
                </wp:inline>
              </w:drawing>
            </w:r>
            <w:r w:rsidRPr="00B450EB">
              <w:rPr>
                <w:rFonts w:eastAsia="Calibri" w:cs="Arial"/>
              </w:rPr>
              <w:t> </w:t>
            </w:r>
          </w:p>
        </w:tc>
        <w:tc>
          <w:tcPr>
            <w:tcW w:w="4440" w:type="dxa"/>
            <w:hideMark/>
          </w:tcPr>
          <w:p w14:paraId="40DD61CC" w14:textId="74C9AAB4" w:rsidR="00230782" w:rsidRPr="00B450EB" w:rsidRDefault="00230782" w:rsidP="00230782">
            <w:pPr>
              <w:spacing w:line="259" w:lineRule="auto"/>
              <w:rPr>
                <w:rFonts w:eastAsia="Calibri" w:cs="Arial"/>
              </w:rPr>
            </w:pPr>
            <w:r w:rsidRPr="00B450EB">
              <w:rPr>
                <w:rFonts w:eastAsia="Calibri" w:cs="Arial"/>
                <w:noProof/>
              </w:rPr>
              <w:drawing>
                <wp:inline distT="0" distB="0" distL="0" distR="0" wp14:anchorId="12B11754" wp14:editId="4CC5693F">
                  <wp:extent cx="2705100" cy="3314700"/>
                  <wp:effectExtent l="0" t="0" r="0" b="0"/>
                  <wp:docPr id="584757684"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pa&#10;&#10;El contenido generado por IA puede ser incorrecto."/>
                          <pic:cNvPicPr>
                            <a:picLocks noChangeAspect="1" noChangeArrowheads="1"/>
                          </pic:cNvPicPr>
                        </pic:nvPicPr>
                        <pic:blipFill>
                          <a:blip r:embed="rId131" cstate="email">
                            <a:extLst>
                              <a:ext uri="{BEBA8EAE-BF5A-486C-A8C5-ECC9F3942E4B}">
                                <a14:imgProps xmlns:a14="http://schemas.microsoft.com/office/drawing/2010/main">
                                  <a14:imgLayer r:embed="rId132">
                                    <a14:imgEffect>
                                      <a14:sharpenSoften amount="50000"/>
                                    </a14:imgEffect>
                                    <a14:imgEffect>
                                      <a14:brightnessContrast bright="20000" contrast="-20000"/>
                                    </a14:imgEffect>
                                  </a14:imgLayer>
                                </a14:imgProps>
                              </a:ext>
                              <a:ext uri="{28A0092B-C50C-407E-A947-70E740481C1C}">
                                <a14:useLocalDpi xmlns:a14="http://schemas.microsoft.com/office/drawing/2010/main"/>
                              </a:ext>
                            </a:extLst>
                          </a:blip>
                          <a:srcRect/>
                          <a:stretch>
                            <a:fillRect/>
                          </a:stretch>
                        </pic:blipFill>
                        <pic:spPr bwMode="auto">
                          <a:xfrm>
                            <a:off x="0" y="0"/>
                            <a:ext cx="2705100" cy="3314700"/>
                          </a:xfrm>
                          <a:prstGeom prst="rect">
                            <a:avLst/>
                          </a:prstGeom>
                          <a:noFill/>
                          <a:ln>
                            <a:noFill/>
                          </a:ln>
                        </pic:spPr>
                      </pic:pic>
                    </a:graphicData>
                  </a:graphic>
                </wp:inline>
              </w:drawing>
            </w:r>
            <w:r w:rsidRPr="00B450EB">
              <w:rPr>
                <w:rFonts w:eastAsia="Calibri" w:cs="Arial"/>
              </w:rPr>
              <w:t> </w:t>
            </w:r>
          </w:p>
        </w:tc>
      </w:tr>
    </w:tbl>
    <w:p w14:paraId="26B50191" w14:textId="60C225EF" w:rsidR="00230782" w:rsidRPr="00B450EB" w:rsidRDefault="00230782" w:rsidP="00583F0B">
      <w:pPr>
        <w:spacing w:line="259" w:lineRule="auto"/>
        <w:jc w:val="center"/>
        <w:rPr>
          <w:rFonts w:eastAsia="Calibri" w:cs="Arial"/>
          <w:sz w:val="18"/>
          <w:szCs w:val="18"/>
        </w:rPr>
      </w:pPr>
      <w:r w:rsidRPr="00B450EB">
        <w:rPr>
          <w:rFonts w:eastAsia="Calibri" w:cs="Arial"/>
          <w:sz w:val="18"/>
          <w:szCs w:val="18"/>
        </w:rPr>
        <w:t xml:space="preserve">Fuente: </w:t>
      </w:r>
      <w:r w:rsidR="005B1551" w:rsidRPr="00B450EB">
        <w:rPr>
          <w:rFonts w:eastAsia="Calibri" w:cs="Arial"/>
          <w:sz w:val="18"/>
          <w:szCs w:val="18"/>
        </w:rPr>
        <w:t xml:space="preserve">Elaboración propia a través de </w:t>
      </w:r>
      <w:proofErr w:type="spellStart"/>
      <w:r w:rsidRPr="00B450EB">
        <w:rPr>
          <w:rFonts w:eastAsia="Calibri" w:cs="Arial"/>
          <w:sz w:val="18"/>
          <w:szCs w:val="18"/>
        </w:rPr>
        <w:t>Geovisor</w:t>
      </w:r>
      <w:proofErr w:type="spellEnd"/>
      <w:r w:rsidRPr="00B450EB">
        <w:rPr>
          <w:rFonts w:eastAsia="Calibri" w:cs="Arial"/>
          <w:sz w:val="18"/>
          <w:szCs w:val="18"/>
        </w:rPr>
        <w:t xml:space="preserve"> de la ANLA, 2025.</w:t>
      </w:r>
    </w:p>
    <w:p w14:paraId="0909E1B5" w14:textId="091B6219" w:rsidR="00230782" w:rsidRPr="00B450EB" w:rsidRDefault="00230782" w:rsidP="00EE14F2">
      <w:r w:rsidRPr="00B450EB">
        <w:t>Lo anterior, confirma que los proyectos de hidrocarburos realizan aprovechamientos forestales puntuales</w:t>
      </w:r>
      <w:r w:rsidR="005F3D50" w:rsidRPr="00B450EB">
        <w:t xml:space="preserve"> con sus respectivos permisos</w:t>
      </w:r>
      <w:r w:rsidRPr="00B450EB">
        <w:t xml:space="preserve"> y con posibilidad de realizar seguimiento; sin embargo, la habilitación de vías secundarias facilita la extracción </w:t>
      </w:r>
      <w:r w:rsidRPr="00B450EB">
        <w:lastRenderedPageBreak/>
        <w:t>ilegal de madera, lo que propicia la expansión de la frontera de deforestación más allá de las áreas directamente autorizadas al proyecto. </w:t>
      </w:r>
    </w:p>
    <w:p w14:paraId="5B24A1E9" w14:textId="77777777" w:rsidR="00230782" w:rsidRPr="00B450EB" w:rsidRDefault="00230782" w:rsidP="00EE14F2">
      <w:r w:rsidRPr="00B450EB">
        <w:t xml:space="preserve">Por otra parte, como se identificó en la caracterización, los proyectos de hidrocarburos presentan afectaciones en la calidad del aire debido a la construcción, adecuación y uso de las vías de acceso. Lo anterior se demostró en los Reportes de Alertas Regionales de la ANLA en los departamentos de Putumayo y Caquetá, donde se reportaron altas concentraciones de PM10 y PM2.5 asociadas al tránsito en vías sin pavimentar por la </w:t>
      </w:r>
      <w:proofErr w:type="spellStart"/>
      <w:r w:rsidRPr="00B450EB">
        <w:t>resuspensión</w:t>
      </w:r>
      <w:proofErr w:type="spellEnd"/>
      <w:r w:rsidRPr="00B450EB">
        <w:t xml:space="preserve"> de polvo. Asimismo, se registró algunos valores elevados de dióxido de nitrógeno (NO2).  </w:t>
      </w:r>
    </w:p>
    <w:p w14:paraId="27645A96" w14:textId="77777777" w:rsidR="00230782" w:rsidRPr="00B450EB" w:rsidRDefault="00230782" w:rsidP="00EE14F2">
      <w:r w:rsidRPr="00B450EB">
        <w:t>Aunque la calidad del aire del bioma amazónico en general reporta buenas condiciones, se identificó que los corredores viales asociados a estos proyectos presentan excedencias puntuales de los estándares normativos establecidos en la Resolución 2254 de 2017. Por esta razón, la ANLA recomienda implementar medidas de control de emisiones, tales como la humectación de vías, la revisión de la flota vehicular, entre otras, durante el uso de estas vías por los proyectos. En consecuencia, se valida que la infraestructura vial puede generar afectaciones locales a la calidad del aire del bioma amazónico. </w:t>
      </w:r>
    </w:p>
    <w:p w14:paraId="22160F9D" w14:textId="3471EE1E" w:rsidR="00F37AE7" w:rsidRPr="00B450EB" w:rsidRDefault="003C3F22" w:rsidP="00F37AE7">
      <w:pPr>
        <w:spacing w:line="259" w:lineRule="auto"/>
        <w:rPr>
          <w:rFonts w:eastAsia="Calibri" w:cs="Arial"/>
          <w:lang w:val="es-ES"/>
        </w:rPr>
      </w:pPr>
      <w:r w:rsidRPr="00B450EB">
        <w:t>Por lo anterior, se confirma que los proyectos de hidrocarburos realizan aprovechamientos forestales y desarrollan actividades de manejo de vías, frente a las cuales es posible aplicar medidas de compensación y mitigación sujetas a seguimiento. No obstante, si bien la afectación derivada no corresponde a un impacto directo del proyecto, la autorización y habilitación de vías secundarias y terciarias al interior del Bioma genera condiciones que facilitan la extracción ilegal de madera, lo que a su vez propicia la expansión de la frontera de deforestación más allá de las áreas expresamente autorizadas. Este fenómeno configura una consecuencia indirecta y de difícil control sobre el territorio, con efectos negativos acumulativos.</w:t>
      </w:r>
    </w:p>
    <w:p w14:paraId="23632BA2" w14:textId="41FC611B" w:rsidR="00340AAC" w:rsidRPr="00B450EB" w:rsidRDefault="00340AAC" w:rsidP="001C1081">
      <w:pPr>
        <w:pStyle w:val="Ttulo3"/>
        <w:numPr>
          <w:ilvl w:val="2"/>
          <w:numId w:val="16"/>
        </w:numPr>
        <w:rPr>
          <w:rFonts w:eastAsia="Arial" w:cs="Arial"/>
        </w:rPr>
      </w:pPr>
      <w:bookmarkStart w:id="172" w:name="_Toc209722947"/>
      <w:r w:rsidRPr="00B450EB">
        <w:rPr>
          <w:rFonts w:eastAsia="Arial"/>
        </w:rPr>
        <w:t>Minería</w:t>
      </w:r>
      <w:bookmarkEnd w:id="172"/>
    </w:p>
    <w:p w14:paraId="490630B3" w14:textId="19A4FA9B" w:rsidR="00773C7A" w:rsidRPr="00B450EB" w:rsidRDefault="00773C7A" w:rsidP="00773C7A">
      <w:r w:rsidRPr="00B450EB">
        <w:t xml:space="preserve">Acorde con la base de datos </w:t>
      </w:r>
      <w:r w:rsidR="00754F97" w:rsidRPr="00B450EB">
        <w:t>de</w:t>
      </w:r>
      <w:r w:rsidRPr="00B450EB">
        <w:t xml:space="preserve"> títulos y solicitudes vigentes mineras en el bioma amazónico a corte del 19 de septiembre de 2025, reportado por la plataforma ANNA MINERÍA de la Agencia Nacional de Minería, se da cuenta de: </w:t>
      </w:r>
    </w:p>
    <w:p w14:paraId="0D87232A" w14:textId="77777777" w:rsidR="00773C7A" w:rsidRPr="00B450EB" w:rsidRDefault="00773C7A" w:rsidP="001975A2">
      <w:pPr>
        <w:pStyle w:val="Prrafodelista"/>
        <w:numPr>
          <w:ilvl w:val="0"/>
          <w:numId w:val="40"/>
        </w:numPr>
      </w:pPr>
      <w:r w:rsidRPr="00B450EB">
        <w:t xml:space="preserve">164 títulos vigentes en seis (6) modalidades: autorización temporal (24), contrato de concesión L 685 (133), contrato de concesión D 2655 (3), contrato de concesión diferencial (1), contrato especial de concesión (2), y licencia de explotación (1). </w:t>
      </w:r>
    </w:p>
    <w:p w14:paraId="145CB776" w14:textId="77777777" w:rsidR="00773C7A" w:rsidRPr="00B450EB" w:rsidRDefault="00773C7A" w:rsidP="001975A2">
      <w:pPr>
        <w:pStyle w:val="Prrafodelista"/>
        <w:numPr>
          <w:ilvl w:val="0"/>
          <w:numId w:val="40"/>
        </w:numPr>
      </w:pPr>
      <w:r w:rsidRPr="00B450EB">
        <w:lastRenderedPageBreak/>
        <w:t>298 solicitudes vigentes en seis (6) modalidades: área de reserva especial (32), área de reserva especial declarada (1), autorización temporal (3), contrato de concesión L 685 (228), contrato de concesión diferencial (23), y solicitud de legalización (11).</w:t>
      </w:r>
    </w:p>
    <w:p w14:paraId="1B44395F" w14:textId="7A7FD033" w:rsidR="007F33DE" w:rsidRPr="00B450EB" w:rsidRDefault="007F33DE" w:rsidP="007F33DE">
      <w:pPr>
        <w:pStyle w:val="Descripcin"/>
        <w:keepNext/>
        <w:rPr>
          <w:color w:val="auto"/>
        </w:rPr>
      </w:pPr>
      <w:bookmarkStart w:id="173" w:name="_Toc209462767"/>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79</w:t>
      </w:r>
      <w:r w:rsidR="0045353A" w:rsidRPr="00B450EB">
        <w:rPr>
          <w:noProof/>
          <w:color w:val="auto"/>
        </w:rPr>
        <w:fldChar w:fldCharType="end"/>
      </w:r>
      <w:r w:rsidRPr="00B450EB">
        <w:rPr>
          <w:color w:val="auto"/>
        </w:rPr>
        <w:t xml:space="preserve">. </w:t>
      </w:r>
      <w:r w:rsidR="002C7D4E" w:rsidRPr="00B450EB">
        <w:rPr>
          <w:color w:val="auto"/>
        </w:rPr>
        <w:t>Títulos</w:t>
      </w:r>
      <w:r w:rsidRPr="00B450EB">
        <w:rPr>
          <w:color w:val="auto"/>
        </w:rPr>
        <w:t xml:space="preserve"> y Solicitudes mineras vigentes</w:t>
      </w:r>
      <w:bookmarkEnd w:id="173"/>
    </w:p>
    <w:p w14:paraId="6D96B0B6" w14:textId="31F1B125" w:rsidR="00773C7A" w:rsidRPr="00B450EB" w:rsidRDefault="35631E6A" w:rsidP="007F33DE">
      <w:pPr>
        <w:spacing w:after="0"/>
        <w:jc w:val="center"/>
      </w:pPr>
      <w:r w:rsidRPr="00B450EB">
        <w:rPr>
          <w:noProof/>
        </w:rPr>
        <w:drawing>
          <wp:inline distT="0" distB="0" distL="0" distR="0" wp14:anchorId="5F1B2C9C" wp14:editId="4C6383E2">
            <wp:extent cx="5619750" cy="4343400"/>
            <wp:effectExtent l="0" t="0" r="0" b="0"/>
            <wp:docPr id="15913352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335203" name=""/>
                    <pic:cNvPicPr/>
                  </pic:nvPicPr>
                  <pic:blipFill>
                    <a:blip r:embed="rId133" cstate="email">
                      <a:extLst>
                        <a:ext uri="{28A0092B-C50C-407E-A947-70E740481C1C}">
                          <a14:useLocalDpi xmlns:a14="http://schemas.microsoft.com/office/drawing/2010/main"/>
                        </a:ext>
                      </a:extLst>
                    </a:blip>
                    <a:stretch>
                      <a:fillRect/>
                    </a:stretch>
                  </pic:blipFill>
                  <pic:spPr>
                    <a:xfrm>
                      <a:off x="0" y="0"/>
                      <a:ext cx="5619750" cy="4343400"/>
                    </a:xfrm>
                    <a:prstGeom prst="rect">
                      <a:avLst/>
                    </a:prstGeom>
                  </pic:spPr>
                </pic:pic>
              </a:graphicData>
            </a:graphic>
          </wp:inline>
        </w:drawing>
      </w:r>
    </w:p>
    <w:p w14:paraId="024E160D" w14:textId="0883199D" w:rsidR="007F33DE" w:rsidRPr="00B450EB" w:rsidRDefault="007F33DE" w:rsidP="00773C7A">
      <w:pPr>
        <w:jc w:val="center"/>
        <w:rPr>
          <w:sz w:val="18"/>
          <w:szCs w:val="18"/>
        </w:rPr>
      </w:pPr>
      <w:r w:rsidRPr="00B450EB">
        <w:rPr>
          <w:sz w:val="18"/>
          <w:szCs w:val="18"/>
        </w:rPr>
        <w:t>Fuente: AN</w:t>
      </w:r>
      <w:r w:rsidR="00293426" w:rsidRPr="00B450EB">
        <w:rPr>
          <w:sz w:val="18"/>
          <w:szCs w:val="18"/>
        </w:rPr>
        <w:t>N</w:t>
      </w:r>
      <w:r w:rsidRPr="00B450EB">
        <w:rPr>
          <w:sz w:val="18"/>
          <w:szCs w:val="18"/>
        </w:rPr>
        <w:t>A, 2025</w:t>
      </w:r>
    </w:p>
    <w:p w14:paraId="2E8DBC2C" w14:textId="22DC041E" w:rsidR="00340AAC" w:rsidRPr="00B450EB" w:rsidRDefault="00340AAC" w:rsidP="00C06290">
      <w:r w:rsidRPr="00B450EB">
        <w:t xml:space="preserve">La minería en el Bioma Amazónico Colombiano representa un conflicto </w:t>
      </w:r>
      <w:proofErr w:type="spellStart"/>
      <w:r w:rsidRPr="00B450EB">
        <w:t>socioecológico</w:t>
      </w:r>
      <w:proofErr w:type="spellEnd"/>
      <w:r w:rsidRPr="00B450EB">
        <w:t xml:space="preserve"> de alta complejidad, marcado por la coexistencia de la actividad legalmente autorizada (con títulos y licencias) y una minería ilegal. Esta última, al margen del marco regulatorio, opera con técnicas agresivas como dragas hidráulicas y balsas de extracción, incrementando significativamente los daños socioambientales y generando condiciones propicias para su control por actores armados ilegales, atraídos por las elevadas rentabilidades, refuerzan su control sobre territorios estratégicos para la extracción y el tráfico de oro principalmente. </w:t>
      </w:r>
    </w:p>
    <w:p w14:paraId="44C74AFC" w14:textId="312ACF3A" w:rsidR="00340AAC" w:rsidRPr="00B450EB" w:rsidRDefault="00340AAC" w:rsidP="00C06290">
      <w:r w:rsidRPr="00B450EB">
        <w:t xml:space="preserve">Según el Observatorio Amazonía, en el bioma hay más de 143.214 hectáreas adjudicadas mediante títulos mineros en departamentos como Guainía, Vaupés, </w:t>
      </w:r>
      <w:r w:rsidRPr="00B450EB">
        <w:lastRenderedPageBreak/>
        <w:t>Putumayo, Guaviare, Meta, Caquetá y Vichada. A esto se suman solicitudes activas que cubren 469.545 hectáreas, concentradas especialmente en Guainía (201.643 ha) y Putumayo (117.975 ha). Esta gran extensión refleja una alta presión institucional sobre territorios estratégicos, incluidos resguardos indígenas y parques nacionales</w:t>
      </w:r>
      <w:sdt>
        <w:sdtPr>
          <w:id w:val="319705013"/>
          <w:citation/>
        </w:sdtPr>
        <w:sdtContent>
          <w:r w:rsidRPr="00B450EB">
            <w:fldChar w:fldCharType="begin"/>
          </w:r>
          <w:r w:rsidRPr="00B450EB">
            <w:rPr>
              <w:rFonts w:eastAsia="Calibri" w:cs="Arial"/>
              <w:lang w:val="es-ES"/>
            </w:rPr>
            <w:instrText xml:space="preserve"> CITATION Fun1 \l 3082 </w:instrText>
          </w:r>
          <w:r w:rsidRPr="00B450EB">
            <w:fldChar w:fldCharType="separate"/>
          </w:r>
          <w:r w:rsidR="0077091E" w:rsidRPr="00B450EB">
            <w:rPr>
              <w:rFonts w:eastAsia="Calibri" w:cs="Arial"/>
              <w:noProof/>
              <w:lang w:val="es-ES"/>
            </w:rPr>
            <w:t xml:space="preserve"> (Fundación para la Conservación y el Desarrollo Sostenible (FCDS), 2024)</w:t>
          </w:r>
          <w:r w:rsidRPr="00B450EB">
            <w:fldChar w:fldCharType="end"/>
          </w:r>
        </w:sdtContent>
      </w:sdt>
    </w:p>
    <w:p w14:paraId="2C948887" w14:textId="6EEA963D" w:rsidR="00340AAC" w:rsidRPr="00B450EB" w:rsidRDefault="00BF4D84" w:rsidP="00C06290">
      <w:r w:rsidRPr="00B450EB">
        <w:t>Respecto a</w:t>
      </w:r>
      <w:r w:rsidR="00340AAC" w:rsidRPr="00B450EB">
        <w:t xml:space="preserve"> la minería ilegal</w:t>
      </w:r>
      <w:r w:rsidRPr="00B450EB">
        <w:t>, esta</w:t>
      </w:r>
      <w:r w:rsidR="00340AAC" w:rsidRPr="00B450EB">
        <w:t xml:space="preserve"> </w:t>
      </w:r>
      <w:r w:rsidR="00904CFF" w:rsidRPr="00B450EB">
        <w:t>funciona</w:t>
      </w:r>
      <w:r w:rsidR="00340AAC" w:rsidRPr="00B450EB">
        <w:t xml:space="preserve"> sin regulación, con impactos notorios en términos ambientales y sociales. Este fenómeno se desarrolla principalmente en lechos de ríos mediante técnicas como </w:t>
      </w:r>
      <w:proofErr w:type="spellStart"/>
      <w:r w:rsidR="00340AAC" w:rsidRPr="00B450EB">
        <w:t>bicollatos</w:t>
      </w:r>
      <w:proofErr w:type="spellEnd"/>
      <w:r w:rsidR="00340AAC" w:rsidRPr="00B450EB">
        <w:t xml:space="preserve">, balsas, </w:t>
      </w:r>
      <w:proofErr w:type="spellStart"/>
      <w:r w:rsidR="00340AAC" w:rsidRPr="00B450EB">
        <w:t>minidragas</w:t>
      </w:r>
      <w:proofErr w:type="spellEnd"/>
      <w:r w:rsidR="00340AAC" w:rsidRPr="00B450EB">
        <w:t xml:space="preserve"> y dragas hidráulicas, generando contaminación por mercurio, erosión de suelos, alteración de cuerpos hídricos y deforestación local. Un caso particular es el río Puré, donde el número de dragas aumentó en un 270% entre 2021 y 2022, evidenciando la creciente presión extractiva en ecosistemas aún más frágiles. </w:t>
      </w:r>
    </w:p>
    <w:p w14:paraId="6114C850" w14:textId="6BCF483E" w:rsidR="00BA55F9" w:rsidRPr="00B450EB" w:rsidRDefault="00340AAC" w:rsidP="00C06290">
      <w:r w:rsidRPr="00B450EB">
        <w:t xml:space="preserve">La actividad minera está también vinculada a territorios protegidos y comunidades rurales, incluyendo áreas del SPNN y resguardos indígenas. En 2022, la ONUDD y el Ministerio de Minas informaron alta densidad de minería ilegal en ríos clave como Puré, Putumayo, Caquetá, Negro, Inírida, Apaporis, </w:t>
      </w:r>
      <w:proofErr w:type="spellStart"/>
      <w:r w:rsidRPr="00B450EB">
        <w:t>Cotuhé</w:t>
      </w:r>
      <w:proofErr w:type="spellEnd"/>
      <w:r w:rsidRPr="00B450EB">
        <w:t xml:space="preserve">, Guainía, </w:t>
      </w:r>
      <w:proofErr w:type="spellStart"/>
      <w:r w:rsidRPr="00B450EB">
        <w:t>Yarí</w:t>
      </w:r>
      <w:proofErr w:type="spellEnd"/>
      <w:r w:rsidRPr="00B450EB">
        <w:t xml:space="preserve"> y </w:t>
      </w:r>
      <w:proofErr w:type="spellStart"/>
      <w:r w:rsidRPr="00B450EB">
        <w:t>Atabapo</w:t>
      </w:r>
      <w:proofErr w:type="spellEnd"/>
      <w:r w:rsidRPr="00B450EB">
        <w:t>. Incluso en zonas declaradas como de exclusión minera, el 52 % presenta actividades extractivas, de las cuales el 88% ocurren en territorios étnicos, lo que amplifica su carácter conflictivo</w:t>
      </w:r>
      <w:r w:rsidR="00A0720E" w:rsidRPr="00B450EB">
        <w:t xml:space="preserve"> (ver</w:t>
      </w:r>
      <w:r w:rsidR="00295B43" w:rsidRPr="00B450EB">
        <w:t xml:space="preserve"> </w:t>
      </w:r>
      <w:r w:rsidR="00154F86" w:rsidRPr="00B450EB">
        <w:fldChar w:fldCharType="begin"/>
      </w:r>
      <w:r w:rsidR="00154F86" w:rsidRPr="00B450EB">
        <w:instrText xml:space="preserve"> REF _Ref209215221 \h  \* MERGEFORMAT </w:instrText>
      </w:r>
      <w:r w:rsidR="00154F86" w:rsidRPr="00B450EB">
        <w:fldChar w:fldCharType="separate"/>
      </w:r>
      <w:r w:rsidR="00010D09" w:rsidRPr="00B450EB">
        <w:rPr>
          <w:rFonts w:eastAsia="Calibri" w:cs="Arial"/>
        </w:rPr>
        <w:t xml:space="preserve">Figura </w:t>
      </w:r>
      <w:r w:rsidR="00010D09" w:rsidRPr="00B450EB">
        <w:rPr>
          <w:rFonts w:eastAsia="Calibri" w:cs="Arial"/>
          <w:noProof/>
          <w:sz w:val="18"/>
          <w:szCs w:val="18"/>
        </w:rPr>
        <w:t>80</w:t>
      </w:r>
      <w:r w:rsidR="00154F86" w:rsidRPr="00B450EB">
        <w:fldChar w:fldCharType="end"/>
      </w:r>
      <w:r w:rsidR="00295B43" w:rsidRPr="00B450EB">
        <w:t>).</w:t>
      </w:r>
    </w:p>
    <w:p w14:paraId="7FE41F43" w14:textId="3233F07F" w:rsidR="00D203BB" w:rsidRPr="00B450EB" w:rsidRDefault="006F2486" w:rsidP="00C06290">
      <w:r w:rsidRPr="00B450EB">
        <w:t xml:space="preserve">Sumado a </w:t>
      </w:r>
      <w:r w:rsidR="00340AAC" w:rsidRPr="00B450EB">
        <w:t xml:space="preserve">los </w:t>
      </w:r>
      <w:r w:rsidRPr="00B450EB">
        <w:t xml:space="preserve">anterior, </w:t>
      </w:r>
      <w:r w:rsidR="00340AAC" w:rsidRPr="00B450EB">
        <w:t>la minería ilegal</w:t>
      </w:r>
      <w:r w:rsidR="00EF5C44" w:rsidRPr="00B450EB">
        <w:t xml:space="preserve"> a generado </w:t>
      </w:r>
      <w:r w:rsidR="00BA55F9" w:rsidRPr="00B450EB">
        <w:t>impactos sobre</w:t>
      </w:r>
      <w:r w:rsidRPr="00B450EB">
        <w:t xml:space="preserve"> </w:t>
      </w:r>
      <w:r w:rsidR="00467C4F" w:rsidRPr="00B450EB">
        <w:t>las fuentes de abastecimiento alimentario de las comunidades</w:t>
      </w:r>
      <w:r w:rsidR="00A0720E" w:rsidRPr="00B450EB">
        <w:t>, así como su bienestar</w:t>
      </w:r>
      <w:r w:rsidR="00467C4F" w:rsidRPr="00B450EB">
        <w:t>.</w:t>
      </w:r>
      <w:r w:rsidR="00340AAC" w:rsidRPr="00B450EB">
        <w:t xml:space="preserve"> Estudios han detectado en especies de consumo local como </w:t>
      </w:r>
      <w:proofErr w:type="spellStart"/>
      <w:r w:rsidR="00340AAC" w:rsidRPr="00B450EB">
        <w:t>tucunaré</w:t>
      </w:r>
      <w:proofErr w:type="spellEnd"/>
      <w:r w:rsidR="00340AAC" w:rsidRPr="00B450EB">
        <w:t xml:space="preserve">, jura </w:t>
      </w:r>
      <w:proofErr w:type="spellStart"/>
      <w:r w:rsidR="00340AAC" w:rsidRPr="00B450EB">
        <w:t>jura</w:t>
      </w:r>
      <w:proofErr w:type="spellEnd"/>
      <w:r w:rsidR="00340AAC" w:rsidRPr="00B450EB">
        <w:t xml:space="preserve"> y mota concentraciones que superan ampliamente los límites establecidos por la Organización Mundial de la Salud (OMS) (0,5 mg/kg). La exposición también ha sido confirmada en muestras de cabello y sangre de comunidades indígenas de Guainía, Vaupés, Amazonas y Putumayo, lo cual plantea un escenario crítico de riesgo para la salud pública y la seguridad alimentaria en la región </w:t>
      </w:r>
      <w:sdt>
        <w:sdtPr>
          <w:id w:val="-1825810788"/>
          <w:citation/>
        </w:sdtPr>
        <w:sdtContent>
          <w:r w:rsidR="00340AAC" w:rsidRPr="00B450EB">
            <w:fldChar w:fldCharType="begin"/>
          </w:r>
          <w:r w:rsidR="00340AAC" w:rsidRPr="00B450EB">
            <w:rPr>
              <w:rFonts w:eastAsia="Calibri" w:cs="Arial"/>
              <w:lang w:val="es-ES"/>
            </w:rPr>
            <w:instrText xml:space="preserve"> CITATION Fun1 \l 3082 </w:instrText>
          </w:r>
          <w:r w:rsidR="00340AAC" w:rsidRPr="00B450EB">
            <w:fldChar w:fldCharType="separate"/>
          </w:r>
          <w:r w:rsidR="0077091E" w:rsidRPr="00B450EB">
            <w:rPr>
              <w:rFonts w:eastAsia="Calibri" w:cs="Arial"/>
              <w:noProof/>
              <w:lang w:val="es-ES"/>
            </w:rPr>
            <w:t>(Fundación para la Conservación y el Desarrollo Sostenible (FCDS), 2024)</w:t>
          </w:r>
          <w:r w:rsidR="00340AAC" w:rsidRPr="00B450EB">
            <w:fldChar w:fldCharType="end"/>
          </w:r>
        </w:sdtContent>
      </w:sdt>
    </w:p>
    <w:p w14:paraId="4A98B3CB" w14:textId="77777777" w:rsidR="00D203BB" w:rsidRPr="00B450EB" w:rsidRDefault="00D203BB">
      <w:pPr>
        <w:jc w:val="left"/>
      </w:pPr>
      <w:r w:rsidRPr="00B450EB">
        <w:br w:type="page"/>
      </w:r>
    </w:p>
    <w:p w14:paraId="6D904945" w14:textId="07767987" w:rsidR="00340AAC" w:rsidRPr="00B450EB" w:rsidRDefault="00340AAC" w:rsidP="00340AAC">
      <w:pPr>
        <w:spacing w:after="0" w:line="240" w:lineRule="auto"/>
        <w:jc w:val="center"/>
        <w:rPr>
          <w:rFonts w:eastAsia="Calibri" w:cs="Arial"/>
          <w:sz w:val="18"/>
          <w:szCs w:val="18"/>
        </w:rPr>
      </w:pPr>
      <w:bookmarkStart w:id="174" w:name="_Ref208906154"/>
      <w:bookmarkStart w:id="175" w:name="_Ref209215221"/>
      <w:bookmarkStart w:id="176" w:name="_Toc209462768"/>
      <w:r w:rsidRPr="00B450EB">
        <w:rPr>
          <w:rFonts w:eastAsia="Calibri" w:cs="Arial"/>
          <w:sz w:val="18"/>
          <w:szCs w:val="18"/>
        </w:rPr>
        <w:lastRenderedPageBreak/>
        <w:t>Figura</w:t>
      </w:r>
      <w:bookmarkEnd w:id="174"/>
      <w:r w:rsidRPr="00B450EB">
        <w:rPr>
          <w:rFonts w:eastAsia="Calibri" w:cs="Arial"/>
          <w:sz w:val="18"/>
          <w:szCs w:val="18"/>
        </w:rPr>
        <w:t xml:space="preserve"> </w:t>
      </w:r>
      <w:r w:rsidR="00492D4B" w:rsidRPr="00B450EB">
        <w:rPr>
          <w:rFonts w:eastAsia="Calibri" w:cs="Arial"/>
          <w:sz w:val="18"/>
          <w:szCs w:val="18"/>
        </w:rPr>
        <w:fldChar w:fldCharType="begin"/>
      </w:r>
      <w:r w:rsidR="00492D4B" w:rsidRPr="00B450EB">
        <w:rPr>
          <w:rFonts w:eastAsia="Calibri" w:cs="Arial"/>
          <w:sz w:val="18"/>
          <w:szCs w:val="18"/>
        </w:rPr>
        <w:instrText xml:space="preserve"> SEQ Figura \* ARABIC </w:instrText>
      </w:r>
      <w:r w:rsidR="00492D4B" w:rsidRPr="00B450EB">
        <w:rPr>
          <w:rFonts w:eastAsia="Calibri" w:cs="Arial"/>
          <w:sz w:val="18"/>
          <w:szCs w:val="18"/>
        </w:rPr>
        <w:fldChar w:fldCharType="separate"/>
      </w:r>
      <w:r w:rsidR="00010D09" w:rsidRPr="00B450EB">
        <w:rPr>
          <w:rFonts w:eastAsia="Calibri" w:cs="Arial"/>
          <w:noProof/>
          <w:sz w:val="18"/>
          <w:szCs w:val="18"/>
        </w:rPr>
        <w:t>80</w:t>
      </w:r>
      <w:r w:rsidR="00492D4B" w:rsidRPr="00B450EB">
        <w:rPr>
          <w:rFonts w:eastAsia="Calibri" w:cs="Arial"/>
          <w:sz w:val="18"/>
          <w:szCs w:val="18"/>
        </w:rPr>
        <w:fldChar w:fldCharType="end"/>
      </w:r>
      <w:bookmarkEnd w:id="175"/>
      <w:r w:rsidRPr="00B450EB">
        <w:rPr>
          <w:rFonts w:eastAsia="Calibri" w:cs="Arial"/>
          <w:sz w:val="18"/>
          <w:szCs w:val="18"/>
        </w:rPr>
        <w:t xml:space="preserve">. </w:t>
      </w:r>
      <w:bookmarkStart w:id="177" w:name="_Ref208906158"/>
      <w:r w:rsidRPr="00B450EB">
        <w:rPr>
          <w:rFonts w:eastAsia="Calibri" w:cs="Arial"/>
          <w:sz w:val="18"/>
          <w:szCs w:val="18"/>
        </w:rPr>
        <w:t>Títulos Mineros- ANM y Áreas focales de minería ilegal en el Bioma Amazónico Colombiano</w:t>
      </w:r>
      <w:bookmarkEnd w:id="176"/>
      <w:bookmarkEnd w:id="177"/>
    </w:p>
    <w:p w14:paraId="5357C6B0" w14:textId="77B89FC9" w:rsidR="00340AAC" w:rsidRPr="00B450EB" w:rsidRDefault="00340AAC" w:rsidP="00340AAC">
      <w:pPr>
        <w:spacing w:line="259" w:lineRule="auto"/>
        <w:jc w:val="center"/>
        <w:rPr>
          <w:rFonts w:eastAsia="Calibri" w:cs="Arial"/>
          <w:sz w:val="18"/>
          <w:szCs w:val="18"/>
        </w:rPr>
      </w:pPr>
      <w:r w:rsidRPr="00B450EB">
        <w:rPr>
          <w:noProof/>
        </w:rPr>
        <w:drawing>
          <wp:inline distT="0" distB="0" distL="0" distR="0" wp14:anchorId="53DBF7FF" wp14:editId="20C74175">
            <wp:extent cx="5612130" cy="4335145"/>
            <wp:effectExtent l="0" t="0" r="7620" b="8255"/>
            <wp:docPr id="1451926195"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926195" name="Imagen 2" descr="Mapa&#10;&#10;El contenido generado por IA puede ser incorrecto."/>
                    <pic:cNvPicPr/>
                  </pic:nvPicPr>
                  <pic:blipFill>
                    <a:blip r:embed="rId134" cstate="email">
                      <a:extLst>
                        <a:ext uri="{28A0092B-C50C-407E-A947-70E740481C1C}">
                          <a14:useLocalDpi xmlns:a14="http://schemas.microsoft.com/office/drawing/2010/main"/>
                        </a:ext>
                      </a:extLst>
                    </a:blip>
                    <a:stretch>
                      <a:fillRect/>
                    </a:stretch>
                  </pic:blipFill>
                  <pic:spPr>
                    <a:xfrm>
                      <a:off x="0" y="0"/>
                      <a:ext cx="5612130" cy="4335145"/>
                    </a:xfrm>
                    <a:prstGeom prst="rect">
                      <a:avLst/>
                    </a:prstGeom>
                  </pic:spPr>
                </pic:pic>
              </a:graphicData>
            </a:graphic>
          </wp:inline>
        </w:drawing>
      </w:r>
      <w:r w:rsidRPr="00B450EB">
        <w:rPr>
          <w:rFonts w:eastAsia="Calibri" w:cs="Arial"/>
          <w:sz w:val="18"/>
          <w:szCs w:val="18"/>
        </w:rPr>
        <w:t xml:space="preserve">Fuente: </w:t>
      </w:r>
      <w:r w:rsidR="00821B86" w:rsidRPr="00B450EB">
        <w:rPr>
          <w:rFonts w:eastAsia="Calibri" w:cs="Arial"/>
          <w:sz w:val="18"/>
          <w:szCs w:val="18"/>
        </w:rPr>
        <w:t>A</w:t>
      </w:r>
      <w:r w:rsidR="00BB7AB2" w:rsidRPr="00B450EB">
        <w:rPr>
          <w:rFonts w:eastAsia="Calibri" w:cs="Arial"/>
          <w:sz w:val="18"/>
          <w:szCs w:val="18"/>
        </w:rPr>
        <w:t>daptado del</w:t>
      </w:r>
      <w:r w:rsidRPr="00B450EB">
        <w:rPr>
          <w:rFonts w:eastAsia="Calibri" w:cs="Arial"/>
          <w:sz w:val="18"/>
          <w:szCs w:val="18"/>
        </w:rPr>
        <w:t xml:space="preserve"> </w:t>
      </w:r>
      <w:proofErr w:type="spellStart"/>
      <w:r w:rsidRPr="00B450EB">
        <w:rPr>
          <w:rFonts w:eastAsia="Calibri" w:cs="Arial"/>
          <w:sz w:val="18"/>
          <w:szCs w:val="18"/>
        </w:rPr>
        <w:t>Geovisor</w:t>
      </w:r>
      <w:proofErr w:type="spellEnd"/>
      <w:r w:rsidRPr="00B450EB">
        <w:rPr>
          <w:rFonts w:eastAsia="Calibri" w:cs="Arial"/>
          <w:sz w:val="18"/>
          <w:szCs w:val="18"/>
        </w:rPr>
        <w:t xml:space="preserve"> Conflictos Socioambientales, publicado por FCDS (Fundación para la Conservación y el Desarrollo Sostenible)</w:t>
      </w:r>
      <w:r w:rsidR="00BB7AB2" w:rsidRPr="00B450EB">
        <w:rPr>
          <w:rFonts w:eastAsia="Calibri" w:cs="Arial"/>
          <w:sz w:val="18"/>
          <w:szCs w:val="18"/>
        </w:rPr>
        <w:t>, 2024</w:t>
      </w:r>
      <w:r w:rsidR="00821B86" w:rsidRPr="00B450EB">
        <w:rPr>
          <w:rFonts w:eastAsia="Calibri" w:cs="Arial"/>
          <w:sz w:val="18"/>
          <w:szCs w:val="18"/>
        </w:rPr>
        <w:t>.</w:t>
      </w:r>
    </w:p>
    <w:p w14:paraId="3C67293C" w14:textId="100F609C" w:rsidR="007933F4" w:rsidRPr="00B450EB" w:rsidRDefault="007933F4" w:rsidP="007933F4">
      <w:pPr>
        <w:spacing w:after="0"/>
      </w:pPr>
      <w:r w:rsidRPr="00B450EB">
        <w:t xml:space="preserve">A </w:t>
      </w:r>
      <w:proofErr w:type="gramStart"/>
      <w:r w:rsidRPr="00B450EB">
        <w:t>continuación</w:t>
      </w:r>
      <w:proofErr w:type="gramEnd"/>
      <w:r w:rsidRPr="00B450EB">
        <w:t xml:space="preserve"> se presenta el listado de proyectos mineros que cuentan con trámites de sustracción de reserva forestal de ley segunda de 1959</w:t>
      </w:r>
      <w:r w:rsidR="009765C2" w:rsidRPr="00B450EB">
        <w:t xml:space="preserve"> </w:t>
      </w:r>
      <w:r w:rsidRPr="00B450EB">
        <w:t>en evaluación ante el Ministerio de Ambiente y Desarrollo Sostenible:</w:t>
      </w:r>
    </w:p>
    <w:p w14:paraId="2F3C9FAD" w14:textId="77777777" w:rsidR="009765C2" w:rsidRPr="00B450EB" w:rsidRDefault="009765C2" w:rsidP="007933F4">
      <w:pPr>
        <w:spacing w:after="0"/>
      </w:pPr>
    </w:p>
    <w:p w14:paraId="221D0C5B" w14:textId="12CE4EB4" w:rsidR="009765C2" w:rsidRPr="00B450EB" w:rsidRDefault="009765C2" w:rsidP="009765C2">
      <w:pPr>
        <w:pStyle w:val="Descripcin"/>
        <w:keepNext/>
      </w:pPr>
      <w:bookmarkStart w:id="178" w:name="_Toc209723002"/>
      <w:r w:rsidRPr="00B450EB">
        <w:t xml:space="preserve">Tabla </w:t>
      </w:r>
      <w:fldSimple w:instr=" SEQ Tabla \* ARABIC ">
        <w:r w:rsidRPr="00B450EB">
          <w:rPr>
            <w:noProof/>
          </w:rPr>
          <w:t>19</w:t>
        </w:r>
      </w:fldSimple>
      <w:r w:rsidRPr="00B450EB">
        <w:t>. Relación expedientes de sustracción de reserva forestal en la reserva de la Amazonía</w:t>
      </w:r>
      <w:bookmarkEnd w:id="178"/>
    </w:p>
    <w:tbl>
      <w:tblPr>
        <w:tblW w:w="52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1207"/>
        <w:gridCol w:w="807"/>
        <w:gridCol w:w="1074"/>
        <w:gridCol w:w="1485"/>
        <w:gridCol w:w="4778"/>
      </w:tblGrid>
      <w:tr w:rsidR="009765C2" w:rsidRPr="00B450EB" w14:paraId="024B9EED" w14:textId="77777777" w:rsidTr="009765C2">
        <w:trPr>
          <w:trHeight w:val="327"/>
        </w:trPr>
        <w:tc>
          <w:tcPr>
            <w:tcW w:w="645" w:type="pct"/>
            <w:shd w:val="clear" w:color="auto" w:fill="D9F2D0" w:themeFill="accent6" w:themeFillTint="33"/>
            <w:vAlign w:val="center"/>
            <w:hideMark/>
          </w:tcPr>
          <w:p w14:paraId="61EB630F" w14:textId="7792760B" w:rsidR="009765C2" w:rsidRPr="00B450EB" w:rsidRDefault="009765C2" w:rsidP="005F77EA">
            <w:pPr>
              <w:spacing w:after="0" w:line="240" w:lineRule="auto"/>
              <w:jc w:val="center"/>
              <w:rPr>
                <w:rFonts w:eastAsia="Times New Roman" w:cs="Arial"/>
                <w:b/>
                <w:bCs/>
                <w:color w:val="000000"/>
                <w:kern w:val="0"/>
                <w:sz w:val="20"/>
                <w:szCs w:val="20"/>
                <w:lang w:eastAsia="es-CO"/>
                <w14:ligatures w14:val="none"/>
              </w:rPr>
            </w:pPr>
            <w:r w:rsidRPr="00B450EB">
              <w:rPr>
                <w:rFonts w:eastAsia="Times New Roman" w:cs="Arial"/>
                <w:b/>
                <w:bCs/>
                <w:color w:val="000000"/>
                <w:kern w:val="0"/>
                <w:sz w:val="20"/>
                <w:szCs w:val="20"/>
                <w:lang w:eastAsia="es-CO"/>
                <w14:ligatures w14:val="none"/>
              </w:rPr>
              <w:t>Expediente</w:t>
            </w:r>
          </w:p>
        </w:tc>
        <w:tc>
          <w:tcPr>
            <w:tcW w:w="432" w:type="pct"/>
            <w:shd w:val="clear" w:color="auto" w:fill="D9F2D0" w:themeFill="accent6" w:themeFillTint="33"/>
            <w:vAlign w:val="center"/>
            <w:hideMark/>
          </w:tcPr>
          <w:p w14:paraId="1E4420B3" w14:textId="2875324B" w:rsidR="009765C2" w:rsidRPr="00B450EB" w:rsidRDefault="009765C2" w:rsidP="005F77EA">
            <w:pPr>
              <w:spacing w:after="0" w:line="240" w:lineRule="auto"/>
              <w:jc w:val="center"/>
              <w:rPr>
                <w:rFonts w:eastAsia="Times New Roman" w:cs="Arial"/>
                <w:b/>
                <w:bCs/>
                <w:color w:val="000000"/>
                <w:kern w:val="0"/>
                <w:sz w:val="20"/>
                <w:szCs w:val="20"/>
                <w:lang w:eastAsia="es-CO"/>
                <w14:ligatures w14:val="none"/>
              </w:rPr>
            </w:pPr>
            <w:r w:rsidRPr="00B450EB">
              <w:rPr>
                <w:rFonts w:eastAsia="Times New Roman" w:cs="Arial"/>
                <w:b/>
                <w:bCs/>
                <w:color w:val="000000"/>
                <w:kern w:val="0"/>
                <w:sz w:val="20"/>
                <w:szCs w:val="20"/>
                <w:lang w:eastAsia="es-CO"/>
                <w14:ligatures w14:val="none"/>
              </w:rPr>
              <w:t>Sector</w:t>
            </w:r>
          </w:p>
        </w:tc>
        <w:tc>
          <w:tcPr>
            <w:tcW w:w="574" w:type="pct"/>
            <w:shd w:val="clear" w:color="auto" w:fill="D9F2D0" w:themeFill="accent6" w:themeFillTint="33"/>
            <w:vAlign w:val="center"/>
            <w:hideMark/>
          </w:tcPr>
          <w:p w14:paraId="36A73C3C" w14:textId="1D2EA5EB" w:rsidR="009765C2" w:rsidRPr="00B450EB" w:rsidRDefault="009765C2" w:rsidP="005F77EA">
            <w:pPr>
              <w:spacing w:after="0" w:line="240" w:lineRule="auto"/>
              <w:jc w:val="center"/>
              <w:rPr>
                <w:rFonts w:eastAsia="Times New Roman" w:cs="Arial"/>
                <w:b/>
                <w:bCs/>
                <w:color w:val="000000"/>
                <w:kern w:val="0"/>
                <w:sz w:val="20"/>
                <w:szCs w:val="20"/>
                <w:lang w:eastAsia="es-CO"/>
                <w14:ligatures w14:val="none"/>
              </w:rPr>
            </w:pPr>
            <w:r w:rsidRPr="00B450EB">
              <w:rPr>
                <w:rFonts w:eastAsia="Times New Roman" w:cs="Arial"/>
                <w:b/>
                <w:bCs/>
                <w:color w:val="000000"/>
                <w:kern w:val="0"/>
                <w:sz w:val="20"/>
                <w:szCs w:val="20"/>
                <w:lang w:eastAsia="es-CO"/>
                <w14:ligatures w14:val="none"/>
              </w:rPr>
              <w:t>Municipio</w:t>
            </w:r>
          </w:p>
        </w:tc>
        <w:tc>
          <w:tcPr>
            <w:tcW w:w="794" w:type="pct"/>
            <w:shd w:val="clear" w:color="auto" w:fill="D9F2D0" w:themeFill="accent6" w:themeFillTint="33"/>
            <w:vAlign w:val="center"/>
            <w:hideMark/>
          </w:tcPr>
          <w:p w14:paraId="48BE8F08" w14:textId="0EAD6F64" w:rsidR="009765C2" w:rsidRPr="00B450EB" w:rsidRDefault="009765C2" w:rsidP="005F77EA">
            <w:pPr>
              <w:spacing w:after="0" w:line="240" w:lineRule="auto"/>
              <w:jc w:val="center"/>
              <w:rPr>
                <w:rFonts w:eastAsia="Times New Roman" w:cs="Arial"/>
                <w:b/>
                <w:bCs/>
                <w:color w:val="000000"/>
                <w:kern w:val="0"/>
                <w:sz w:val="20"/>
                <w:szCs w:val="20"/>
                <w:lang w:eastAsia="es-CO"/>
                <w14:ligatures w14:val="none"/>
              </w:rPr>
            </w:pPr>
            <w:r w:rsidRPr="00B450EB">
              <w:rPr>
                <w:rFonts w:eastAsia="Times New Roman" w:cs="Arial"/>
                <w:b/>
                <w:bCs/>
                <w:color w:val="000000"/>
                <w:kern w:val="0"/>
                <w:sz w:val="20"/>
                <w:szCs w:val="20"/>
                <w:lang w:eastAsia="es-CO"/>
                <w14:ligatures w14:val="none"/>
              </w:rPr>
              <w:t>Departamento</w:t>
            </w:r>
          </w:p>
        </w:tc>
        <w:tc>
          <w:tcPr>
            <w:tcW w:w="2555" w:type="pct"/>
            <w:shd w:val="clear" w:color="auto" w:fill="D9F2D0" w:themeFill="accent6" w:themeFillTint="33"/>
            <w:vAlign w:val="center"/>
            <w:hideMark/>
          </w:tcPr>
          <w:p w14:paraId="5181F973" w14:textId="75E2A182" w:rsidR="009765C2" w:rsidRPr="00B450EB" w:rsidRDefault="009765C2" w:rsidP="005F77EA">
            <w:pPr>
              <w:spacing w:after="0" w:line="240" w:lineRule="auto"/>
              <w:jc w:val="center"/>
              <w:rPr>
                <w:rFonts w:eastAsia="Times New Roman" w:cs="Arial"/>
                <w:b/>
                <w:bCs/>
                <w:i/>
                <w:iCs/>
                <w:color w:val="000000"/>
                <w:kern w:val="0"/>
                <w:sz w:val="20"/>
                <w:szCs w:val="20"/>
                <w:lang w:eastAsia="es-CO"/>
                <w14:ligatures w14:val="none"/>
              </w:rPr>
            </w:pPr>
            <w:r w:rsidRPr="00B450EB">
              <w:rPr>
                <w:rFonts w:eastAsia="Times New Roman" w:cs="Arial"/>
                <w:b/>
                <w:bCs/>
                <w:i/>
                <w:iCs/>
                <w:color w:val="000000"/>
                <w:kern w:val="0"/>
                <w:sz w:val="20"/>
                <w:szCs w:val="20"/>
                <w:lang w:eastAsia="es-CO"/>
                <w14:ligatures w14:val="none"/>
              </w:rPr>
              <w:t>Nombre Proyecto</w:t>
            </w:r>
          </w:p>
        </w:tc>
      </w:tr>
      <w:tr w:rsidR="009765C2" w:rsidRPr="00B450EB" w14:paraId="5F63A2CF" w14:textId="77777777" w:rsidTr="009765C2">
        <w:trPr>
          <w:trHeight w:val="417"/>
        </w:trPr>
        <w:tc>
          <w:tcPr>
            <w:tcW w:w="645" w:type="pct"/>
            <w:vAlign w:val="center"/>
            <w:hideMark/>
          </w:tcPr>
          <w:p w14:paraId="26E7214D" w14:textId="1FEE672E" w:rsidR="009765C2" w:rsidRPr="00B450EB" w:rsidRDefault="009765C2" w:rsidP="005F77EA">
            <w:pPr>
              <w:spacing w:after="0" w:line="240" w:lineRule="auto"/>
              <w:jc w:val="center"/>
              <w:rPr>
                <w:rFonts w:eastAsia="Times New Roman" w:cs="Arial"/>
                <w:b/>
                <w:bCs/>
                <w:kern w:val="0"/>
                <w:sz w:val="20"/>
                <w:szCs w:val="20"/>
                <w:lang w:eastAsia="es-CO"/>
                <w14:ligatures w14:val="none"/>
              </w:rPr>
            </w:pPr>
            <w:r w:rsidRPr="00B450EB">
              <w:rPr>
                <w:rFonts w:eastAsia="Times New Roman" w:cs="Arial"/>
                <w:b/>
                <w:bCs/>
                <w:kern w:val="0"/>
                <w:sz w:val="20"/>
                <w:szCs w:val="20"/>
                <w:lang w:eastAsia="es-CO"/>
                <w14:ligatures w14:val="none"/>
              </w:rPr>
              <w:t>SRF-00673</w:t>
            </w:r>
          </w:p>
        </w:tc>
        <w:tc>
          <w:tcPr>
            <w:tcW w:w="432" w:type="pct"/>
            <w:vAlign w:val="center"/>
            <w:hideMark/>
          </w:tcPr>
          <w:p w14:paraId="0BF55EA4" w14:textId="2ADBC9AB" w:rsidR="009765C2" w:rsidRPr="00B450EB" w:rsidRDefault="009765C2" w:rsidP="005F77EA">
            <w:pPr>
              <w:spacing w:after="0" w:line="240" w:lineRule="auto"/>
              <w:jc w:val="center"/>
              <w:rPr>
                <w:rFonts w:eastAsia="Times New Roman" w:cs="Arial"/>
                <w:kern w:val="0"/>
                <w:sz w:val="20"/>
                <w:szCs w:val="20"/>
                <w:lang w:eastAsia="es-CO"/>
                <w14:ligatures w14:val="none"/>
              </w:rPr>
            </w:pPr>
            <w:r w:rsidRPr="00B450EB">
              <w:rPr>
                <w:rFonts w:eastAsia="Times New Roman" w:cs="Arial"/>
                <w:kern w:val="0"/>
                <w:sz w:val="20"/>
                <w:szCs w:val="20"/>
                <w:lang w:eastAsia="es-CO"/>
                <w14:ligatures w14:val="none"/>
              </w:rPr>
              <w:t>Minería</w:t>
            </w:r>
          </w:p>
        </w:tc>
        <w:tc>
          <w:tcPr>
            <w:tcW w:w="574" w:type="pct"/>
            <w:vAlign w:val="center"/>
            <w:hideMark/>
          </w:tcPr>
          <w:p w14:paraId="5F3C80FC" w14:textId="0C379626" w:rsidR="009765C2" w:rsidRPr="00B450EB" w:rsidRDefault="009765C2" w:rsidP="005F77EA">
            <w:pPr>
              <w:spacing w:after="0" w:line="240" w:lineRule="auto"/>
              <w:jc w:val="center"/>
              <w:rPr>
                <w:rFonts w:eastAsia="Times New Roman" w:cs="Arial"/>
                <w:kern w:val="0"/>
                <w:sz w:val="20"/>
                <w:szCs w:val="20"/>
                <w:lang w:eastAsia="es-CO"/>
                <w14:ligatures w14:val="none"/>
              </w:rPr>
            </w:pPr>
            <w:r w:rsidRPr="00B450EB">
              <w:rPr>
                <w:rFonts w:eastAsia="Times New Roman" w:cs="Arial"/>
                <w:kern w:val="0"/>
                <w:sz w:val="20"/>
                <w:szCs w:val="20"/>
                <w:lang w:eastAsia="es-CO"/>
                <w14:ligatures w14:val="none"/>
              </w:rPr>
              <w:t>Inírida</w:t>
            </w:r>
          </w:p>
        </w:tc>
        <w:tc>
          <w:tcPr>
            <w:tcW w:w="794" w:type="pct"/>
            <w:vAlign w:val="center"/>
            <w:hideMark/>
          </w:tcPr>
          <w:p w14:paraId="2F2D215C" w14:textId="39F5B27F" w:rsidR="009765C2" w:rsidRPr="00B450EB" w:rsidRDefault="009765C2" w:rsidP="005F77EA">
            <w:pPr>
              <w:spacing w:after="0" w:line="240" w:lineRule="auto"/>
              <w:jc w:val="center"/>
              <w:rPr>
                <w:rFonts w:eastAsia="Times New Roman" w:cs="Arial"/>
                <w:kern w:val="0"/>
                <w:sz w:val="20"/>
                <w:szCs w:val="20"/>
                <w:lang w:eastAsia="es-CO"/>
                <w14:ligatures w14:val="none"/>
              </w:rPr>
            </w:pPr>
            <w:proofErr w:type="spellStart"/>
            <w:r w:rsidRPr="00B450EB">
              <w:rPr>
                <w:rFonts w:eastAsia="Times New Roman" w:cs="Arial"/>
                <w:kern w:val="0"/>
                <w:sz w:val="20"/>
                <w:szCs w:val="20"/>
                <w:lang w:eastAsia="es-CO"/>
                <w14:ligatures w14:val="none"/>
              </w:rPr>
              <w:t>Guainia</w:t>
            </w:r>
            <w:proofErr w:type="spellEnd"/>
          </w:p>
        </w:tc>
        <w:tc>
          <w:tcPr>
            <w:tcW w:w="2555" w:type="pct"/>
            <w:vAlign w:val="center"/>
            <w:hideMark/>
          </w:tcPr>
          <w:p w14:paraId="716589C8" w14:textId="0BDF9546" w:rsidR="009765C2" w:rsidRPr="00B450EB" w:rsidRDefault="009765C2" w:rsidP="005F77EA">
            <w:pPr>
              <w:spacing w:after="0" w:line="240" w:lineRule="auto"/>
              <w:jc w:val="center"/>
              <w:rPr>
                <w:rFonts w:eastAsia="Times New Roman" w:cs="Arial"/>
                <w:i/>
                <w:iCs/>
                <w:kern w:val="0"/>
                <w:sz w:val="20"/>
                <w:szCs w:val="20"/>
                <w:lang w:eastAsia="es-CO"/>
                <w14:ligatures w14:val="none"/>
              </w:rPr>
            </w:pPr>
            <w:r w:rsidRPr="00B450EB">
              <w:rPr>
                <w:rFonts w:eastAsia="Times New Roman" w:cs="Arial"/>
                <w:i/>
                <w:iCs/>
                <w:kern w:val="0"/>
                <w:sz w:val="20"/>
                <w:szCs w:val="20"/>
                <w:lang w:eastAsia="es-CO"/>
                <w14:ligatures w14:val="none"/>
              </w:rPr>
              <w:t>Solicitud De Sustracción Definitiva Proyecto Minero Bloque 3, Explotación De Oro Y Sus Concentrados, Dentro Del Polígono De Los Títulos Mineros Lk2- 10531, Lk2 11071, Lk2 11181, Lk2 11281, Lk2 11391 Y Lk2 15191</w:t>
            </w:r>
          </w:p>
        </w:tc>
      </w:tr>
    </w:tbl>
    <w:p w14:paraId="2F753AF4" w14:textId="33A51CCE" w:rsidR="009765C2" w:rsidRPr="00B450EB" w:rsidRDefault="009765C2" w:rsidP="009765C2">
      <w:pPr>
        <w:spacing w:after="0"/>
        <w:jc w:val="center"/>
        <w:rPr>
          <w:sz w:val="18"/>
          <w:szCs w:val="18"/>
        </w:rPr>
      </w:pPr>
      <w:r w:rsidRPr="00B450EB">
        <w:rPr>
          <w:sz w:val="18"/>
          <w:szCs w:val="18"/>
        </w:rPr>
        <w:t xml:space="preserve">Fuente: </w:t>
      </w:r>
      <w:proofErr w:type="spellStart"/>
      <w:r w:rsidRPr="00B450EB">
        <w:rPr>
          <w:sz w:val="18"/>
          <w:szCs w:val="18"/>
        </w:rPr>
        <w:t>MinAmbiente</w:t>
      </w:r>
      <w:proofErr w:type="spellEnd"/>
      <w:r w:rsidRPr="00B450EB">
        <w:rPr>
          <w:sz w:val="18"/>
          <w:szCs w:val="18"/>
        </w:rPr>
        <w:t>, 2025</w:t>
      </w:r>
    </w:p>
    <w:p w14:paraId="63528D19" w14:textId="77777777" w:rsidR="007933F4" w:rsidRPr="00B450EB" w:rsidRDefault="007933F4" w:rsidP="007933F4"/>
    <w:p w14:paraId="7C03FF36" w14:textId="7EAE435B" w:rsidR="00015923" w:rsidRPr="00B450EB" w:rsidRDefault="00015923" w:rsidP="001C1081">
      <w:pPr>
        <w:pStyle w:val="Ttulo3"/>
        <w:numPr>
          <w:ilvl w:val="2"/>
          <w:numId w:val="16"/>
        </w:numPr>
        <w:rPr>
          <w:rFonts w:cs="Arial"/>
          <w:szCs w:val="24"/>
        </w:rPr>
      </w:pPr>
      <w:bookmarkStart w:id="179" w:name="_Toc209722948"/>
      <w:r w:rsidRPr="00B450EB">
        <w:rPr>
          <w:rFonts w:cs="Arial"/>
          <w:szCs w:val="24"/>
        </w:rPr>
        <w:t>Hidrocarburos</w:t>
      </w:r>
      <w:bookmarkEnd w:id="179"/>
    </w:p>
    <w:p w14:paraId="414B0B4F" w14:textId="76FA03B6" w:rsidR="005604F3" w:rsidRPr="00B450EB" w:rsidRDefault="00015923" w:rsidP="00015923">
      <w:r w:rsidRPr="00B450EB">
        <w:t xml:space="preserve">En temas de licenciamiento, de acuerdo con la Base de Datos Corporativa (BDC) de la </w:t>
      </w:r>
      <w:r w:rsidR="00850B2F" w:rsidRPr="00B450EB">
        <w:t>ANLA</w:t>
      </w:r>
      <w:r w:rsidRPr="00B450EB">
        <w:t xml:space="preserve">, en el área delimitada para la Región Amazónica colombiana hay un </w:t>
      </w:r>
      <w:r w:rsidRPr="00B450EB">
        <w:lastRenderedPageBreak/>
        <w:t xml:space="preserve">total de </w:t>
      </w:r>
      <w:r w:rsidR="007559E8" w:rsidRPr="00B450EB">
        <w:t>51</w:t>
      </w:r>
      <w:r w:rsidRPr="00B450EB">
        <w:t xml:space="preserve"> proyectos licenciados del </w:t>
      </w:r>
      <w:r w:rsidRPr="00B450EB">
        <w:rPr>
          <w:b/>
          <w:bCs/>
        </w:rPr>
        <w:t>sector de hidrocarburos</w:t>
      </w:r>
      <w:r w:rsidRPr="00B450EB">
        <w:t xml:space="preserve">, </w:t>
      </w:r>
      <w:r w:rsidR="007559E8" w:rsidRPr="00B450EB">
        <w:t>los cuales</w:t>
      </w:r>
      <w:r w:rsidRPr="00B450EB">
        <w:t xml:space="preserve"> se ubican preponderantemente hacia el sector occidental de la Región, principalmente en los departamentos de Putumayo y Caquetá. Además, a fecha de corte 08/09/2025 se reporta un proyecto en estado de evaluación por parte de </w:t>
      </w:r>
      <w:r w:rsidR="00C15195" w:rsidRPr="00B450EB">
        <w:t>la</w:t>
      </w:r>
      <w:r w:rsidRPr="00B450EB">
        <w:t xml:space="preserve"> </w:t>
      </w:r>
      <w:r w:rsidR="00850B2F" w:rsidRPr="00B450EB">
        <w:t>ANLA</w:t>
      </w:r>
      <w:r w:rsidRPr="00B450EB">
        <w:t>, correspondiente al LAV0054-00-2022 (Área de Perforación Exploratoria - A</w:t>
      </w:r>
      <w:r w:rsidR="00334CCF" w:rsidRPr="00B450EB">
        <w:t>PE</w:t>
      </w:r>
      <w:r w:rsidRPr="00B450EB">
        <w:t xml:space="preserve"> </w:t>
      </w:r>
      <w:proofErr w:type="spellStart"/>
      <w:r w:rsidRPr="00B450EB">
        <w:t>Nyctibius</w:t>
      </w:r>
      <w:proofErr w:type="spellEnd"/>
      <w:r w:rsidRPr="00B450EB">
        <w:t xml:space="preserve">, Bloque </w:t>
      </w:r>
      <w:proofErr w:type="spellStart"/>
      <w:r w:rsidRPr="00B450EB">
        <w:t>Put</w:t>
      </w:r>
      <w:proofErr w:type="spellEnd"/>
      <w:r w:rsidRPr="00B450EB">
        <w:t xml:space="preserve"> 8), del sector de hidrocarburos</w:t>
      </w:r>
      <w:r w:rsidR="006F28C1" w:rsidRPr="00B450EB">
        <w:t xml:space="preserve"> que</w:t>
      </w:r>
      <w:r w:rsidR="00D83C96" w:rsidRPr="00B450EB">
        <w:t>,</w:t>
      </w:r>
      <w:r w:rsidR="003C7A9A" w:rsidRPr="00B450EB">
        <w:t xml:space="preserve"> a septiembre de 2025, se encuentra en trámite de evaluación</w:t>
      </w:r>
      <w:r w:rsidRPr="00B450EB">
        <w:t xml:space="preserve">. </w:t>
      </w:r>
    </w:p>
    <w:p w14:paraId="33B1A8C2" w14:textId="6F31C806" w:rsidR="00F425D1" w:rsidRPr="00B450EB" w:rsidRDefault="00F425D1" w:rsidP="00F425D1">
      <w:pPr>
        <w:pStyle w:val="Descripcin"/>
        <w:keepNext/>
        <w:rPr>
          <w:color w:val="auto"/>
        </w:rPr>
      </w:pPr>
      <w:bookmarkStart w:id="180" w:name="_Toc209723003"/>
      <w:r w:rsidRPr="00B450EB">
        <w:rPr>
          <w:color w:val="auto"/>
        </w:rPr>
        <w:t xml:space="preserve">Tabla </w:t>
      </w:r>
      <w:r w:rsidR="0045353A" w:rsidRPr="00B450EB">
        <w:rPr>
          <w:color w:val="auto"/>
        </w:rPr>
        <w:fldChar w:fldCharType="begin"/>
      </w:r>
      <w:r w:rsidR="0045353A" w:rsidRPr="00B450EB">
        <w:rPr>
          <w:color w:val="auto"/>
        </w:rPr>
        <w:instrText xml:space="preserve"> SEQ Tabla \* ARABIC </w:instrText>
      </w:r>
      <w:r w:rsidR="0045353A" w:rsidRPr="00B450EB">
        <w:rPr>
          <w:color w:val="auto"/>
        </w:rPr>
        <w:fldChar w:fldCharType="separate"/>
      </w:r>
      <w:r w:rsidR="00BC4A10" w:rsidRPr="00B450EB">
        <w:rPr>
          <w:noProof/>
          <w:color w:val="auto"/>
        </w:rPr>
        <w:t>20</w:t>
      </w:r>
      <w:r w:rsidR="0045353A" w:rsidRPr="00B450EB">
        <w:rPr>
          <w:noProof/>
          <w:color w:val="auto"/>
        </w:rPr>
        <w:fldChar w:fldCharType="end"/>
      </w:r>
      <w:r w:rsidRPr="00B450EB">
        <w:rPr>
          <w:color w:val="auto"/>
        </w:rPr>
        <w:t>. Listado de proyectos licenciados</w:t>
      </w:r>
      <w:r w:rsidR="006E7A28" w:rsidRPr="00B450EB">
        <w:rPr>
          <w:color w:val="auto"/>
        </w:rPr>
        <w:t xml:space="preserve"> del sector de hidrocarburos</w:t>
      </w:r>
      <w:r w:rsidRPr="00B450EB">
        <w:rPr>
          <w:color w:val="auto"/>
        </w:rPr>
        <w:t xml:space="preserve"> por ANLA</w:t>
      </w:r>
      <w:bookmarkEnd w:id="180"/>
    </w:p>
    <w:tbl>
      <w:tblPr>
        <w:tblW w:w="8942" w:type="dxa"/>
        <w:tblCellMar>
          <w:left w:w="70" w:type="dxa"/>
          <w:right w:w="70" w:type="dxa"/>
        </w:tblCellMar>
        <w:tblLook w:val="04A0" w:firstRow="1" w:lastRow="0" w:firstColumn="1" w:lastColumn="0" w:noHBand="0" w:noVBand="1"/>
      </w:tblPr>
      <w:tblGrid>
        <w:gridCol w:w="1104"/>
        <w:gridCol w:w="1206"/>
        <w:gridCol w:w="1043"/>
        <w:gridCol w:w="2938"/>
        <w:gridCol w:w="1308"/>
        <w:gridCol w:w="1343"/>
      </w:tblGrid>
      <w:tr w:rsidR="00205915" w:rsidRPr="00B450EB" w14:paraId="103316E2" w14:textId="77777777" w:rsidTr="00F425D1">
        <w:trPr>
          <w:trHeight w:val="288"/>
          <w:tblHeader/>
        </w:trPr>
        <w:tc>
          <w:tcPr>
            <w:tcW w:w="1104" w:type="dxa"/>
            <w:tcBorders>
              <w:top w:val="single" w:sz="4" w:space="0" w:color="auto"/>
              <w:left w:val="single" w:sz="4" w:space="0" w:color="auto"/>
              <w:bottom w:val="single" w:sz="4" w:space="0" w:color="auto"/>
              <w:right w:val="single" w:sz="4" w:space="0" w:color="auto"/>
            </w:tcBorders>
            <w:shd w:val="clear" w:color="auto" w:fill="D9F2D0" w:themeFill="accent6" w:themeFillTint="33"/>
            <w:noWrap/>
            <w:vAlign w:val="center"/>
            <w:hideMark/>
          </w:tcPr>
          <w:p w14:paraId="23E224A6" w14:textId="1AF09FD7" w:rsidR="009C6B53" w:rsidRPr="00B450EB" w:rsidRDefault="00C5683D" w:rsidP="00C5683D">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Expediente</w:t>
            </w:r>
          </w:p>
        </w:tc>
        <w:tc>
          <w:tcPr>
            <w:tcW w:w="1206"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35A4BD96" w14:textId="13EE0D10" w:rsidR="009C6B53" w:rsidRPr="00B450EB" w:rsidRDefault="00C5683D" w:rsidP="00C5683D">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Sector</w:t>
            </w:r>
          </w:p>
        </w:tc>
        <w:tc>
          <w:tcPr>
            <w:tcW w:w="1043"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0C09EFB3" w14:textId="444FC3A0" w:rsidR="009C6B53" w:rsidRPr="00B450EB" w:rsidRDefault="00C5683D" w:rsidP="00C5683D">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Subsector</w:t>
            </w:r>
          </w:p>
        </w:tc>
        <w:tc>
          <w:tcPr>
            <w:tcW w:w="2938"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743D4F16" w14:textId="7272CC47" w:rsidR="009C6B53" w:rsidRPr="00B450EB" w:rsidRDefault="00C5683D" w:rsidP="00C5683D">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Proyecto</w:t>
            </w:r>
          </w:p>
        </w:tc>
        <w:tc>
          <w:tcPr>
            <w:tcW w:w="1308"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6F0FED82" w14:textId="44497BF0" w:rsidR="009C6B53" w:rsidRPr="00B450EB" w:rsidRDefault="00C5683D" w:rsidP="00C5683D">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Etapa</w:t>
            </w:r>
          </w:p>
        </w:tc>
        <w:tc>
          <w:tcPr>
            <w:tcW w:w="1343"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5117916E" w14:textId="77777777" w:rsidR="009C6B53" w:rsidRPr="00B450EB" w:rsidRDefault="00756536" w:rsidP="00C5683D">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Departamento(s)</w:t>
            </w:r>
          </w:p>
        </w:tc>
      </w:tr>
      <w:tr w:rsidR="00205915" w:rsidRPr="00B450EB" w14:paraId="1163F1E9"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2B67752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LAM5099</w:t>
            </w:r>
          </w:p>
        </w:tc>
        <w:tc>
          <w:tcPr>
            <w:tcW w:w="1206" w:type="dxa"/>
            <w:tcBorders>
              <w:top w:val="nil"/>
              <w:left w:val="nil"/>
              <w:bottom w:val="single" w:sz="4" w:space="0" w:color="auto"/>
              <w:right w:val="single" w:sz="4" w:space="0" w:color="auto"/>
            </w:tcBorders>
            <w:noWrap/>
            <w:vAlign w:val="center"/>
            <w:hideMark/>
          </w:tcPr>
          <w:p w14:paraId="3B0582C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5D76D59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32EC349B" w14:textId="53CBCEE9"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Bloque De Perforación Exploratoria </w:t>
            </w:r>
            <w:proofErr w:type="spellStart"/>
            <w:r w:rsidRPr="00B450EB">
              <w:rPr>
                <w:rFonts w:eastAsia="Times New Roman" w:cs="Arial"/>
                <w:kern w:val="0"/>
                <w:sz w:val="14"/>
                <w:szCs w:val="14"/>
                <w:lang w:eastAsia="es-CO"/>
                <w14:ligatures w14:val="none"/>
              </w:rPr>
              <w:t>Tamarin</w:t>
            </w:r>
            <w:proofErr w:type="spellEnd"/>
          </w:p>
        </w:tc>
        <w:tc>
          <w:tcPr>
            <w:tcW w:w="1308" w:type="dxa"/>
            <w:tcBorders>
              <w:top w:val="nil"/>
              <w:left w:val="nil"/>
              <w:bottom w:val="single" w:sz="4" w:space="0" w:color="auto"/>
              <w:right w:val="single" w:sz="4" w:space="0" w:color="auto"/>
            </w:tcBorders>
            <w:noWrap/>
            <w:vAlign w:val="center"/>
            <w:hideMark/>
          </w:tcPr>
          <w:p w14:paraId="2AAAEDB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7A6F0D7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CAQUETA</w:t>
            </w:r>
          </w:p>
        </w:tc>
      </w:tr>
      <w:tr w:rsidR="00205915" w:rsidRPr="00B450EB" w14:paraId="0051DD7E"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741D2A6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LAM4353</w:t>
            </w:r>
          </w:p>
        </w:tc>
        <w:tc>
          <w:tcPr>
            <w:tcW w:w="1206" w:type="dxa"/>
            <w:tcBorders>
              <w:top w:val="nil"/>
              <w:left w:val="nil"/>
              <w:bottom w:val="single" w:sz="4" w:space="0" w:color="auto"/>
              <w:right w:val="single" w:sz="4" w:space="0" w:color="auto"/>
            </w:tcBorders>
            <w:noWrap/>
            <w:vAlign w:val="center"/>
            <w:hideMark/>
          </w:tcPr>
          <w:p w14:paraId="1DF1075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42B35E8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763F7880" w14:textId="08C020CC"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Perforación Exploratoria </w:t>
            </w:r>
            <w:proofErr w:type="spellStart"/>
            <w:r w:rsidRPr="00B450EB">
              <w:rPr>
                <w:rFonts w:eastAsia="Times New Roman" w:cs="Arial"/>
                <w:kern w:val="0"/>
                <w:sz w:val="14"/>
                <w:szCs w:val="14"/>
                <w:lang w:eastAsia="es-CO"/>
                <w14:ligatures w14:val="none"/>
              </w:rPr>
              <w:t>Topoyaco</w:t>
            </w:r>
            <w:proofErr w:type="spellEnd"/>
          </w:p>
        </w:tc>
        <w:tc>
          <w:tcPr>
            <w:tcW w:w="1308" w:type="dxa"/>
            <w:tcBorders>
              <w:top w:val="nil"/>
              <w:left w:val="nil"/>
              <w:bottom w:val="single" w:sz="4" w:space="0" w:color="auto"/>
              <w:right w:val="single" w:sz="4" w:space="0" w:color="auto"/>
            </w:tcBorders>
            <w:noWrap/>
            <w:vAlign w:val="center"/>
            <w:hideMark/>
          </w:tcPr>
          <w:p w14:paraId="7BFEBD8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76BB08E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CAQUETA</w:t>
            </w:r>
          </w:p>
        </w:tc>
      </w:tr>
      <w:tr w:rsidR="00205915" w:rsidRPr="00B450EB" w14:paraId="412C7612"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5FAACE3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LAM4945</w:t>
            </w:r>
          </w:p>
        </w:tc>
        <w:tc>
          <w:tcPr>
            <w:tcW w:w="1206" w:type="dxa"/>
            <w:tcBorders>
              <w:top w:val="nil"/>
              <w:left w:val="nil"/>
              <w:bottom w:val="single" w:sz="4" w:space="0" w:color="auto"/>
              <w:right w:val="single" w:sz="4" w:space="0" w:color="auto"/>
            </w:tcBorders>
            <w:noWrap/>
            <w:vAlign w:val="center"/>
            <w:hideMark/>
          </w:tcPr>
          <w:p w14:paraId="36B5EA9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7BF5D6E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21426EA1" w14:textId="1DBA6E48"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Perforación Exploratoria </w:t>
            </w:r>
            <w:proofErr w:type="spellStart"/>
            <w:r w:rsidRPr="00B450EB">
              <w:rPr>
                <w:rFonts w:eastAsia="Times New Roman" w:cs="Arial"/>
                <w:kern w:val="0"/>
                <w:sz w:val="14"/>
                <w:szCs w:val="14"/>
                <w:lang w:eastAsia="es-CO"/>
                <w14:ligatures w14:val="none"/>
              </w:rPr>
              <w:t>Topoyaco</w:t>
            </w:r>
            <w:proofErr w:type="spellEnd"/>
            <w:r w:rsidRPr="00B450EB">
              <w:rPr>
                <w:rFonts w:eastAsia="Times New Roman" w:cs="Arial"/>
                <w:kern w:val="0"/>
                <w:sz w:val="14"/>
                <w:szCs w:val="14"/>
                <w:lang w:eastAsia="es-CO"/>
                <w14:ligatures w14:val="none"/>
              </w:rPr>
              <w:t xml:space="preserve"> Norte</w:t>
            </w:r>
          </w:p>
        </w:tc>
        <w:tc>
          <w:tcPr>
            <w:tcW w:w="1308" w:type="dxa"/>
            <w:tcBorders>
              <w:top w:val="nil"/>
              <w:left w:val="nil"/>
              <w:bottom w:val="single" w:sz="4" w:space="0" w:color="auto"/>
              <w:right w:val="single" w:sz="4" w:space="0" w:color="auto"/>
            </w:tcBorders>
            <w:noWrap/>
            <w:vAlign w:val="center"/>
            <w:hideMark/>
          </w:tcPr>
          <w:p w14:paraId="0C9AE32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2D08AEF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CAQUETA</w:t>
            </w:r>
          </w:p>
        </w:tc>
      </w:tr>
      <w:tr w:rsidR="00205915" w:rsidRPr="00B450EB" w14:paraId="73F6FA04"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61BA698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LAV0027-00-2017</w:t>
            </w:r>
          </w:p>
        </w:tc>
        <w:tc>
          <w:tcPr>
            <w:tcW w:w="1206" w:type="dxa"/>
            <w:tcBorders>
              <w:top w:val="nil"/>
              <w:left w:val="nil"/>
              <w:bottom w:val="single" w:sz="4" w:space="0" w:color="auto"/>
              <w:right w:val="single" w:sz="4" w:space="0" w:color="auto"/>
            </w:tcBorders>
            <w:noWrap/>
            <w:vAlign w:val="center"/>
            <w:hideMark/>
          </w:tcPr>
          <w:p w14:paraId="47703E5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3814233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7798A543" w14:textId="2887F0B9"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Nogal</w:t>
            </w:r>
          </w:p>
        </w:tc>
        <w:tc>
          <w:tcPr>
            <w:tcW w:w="1308" w:type="dxa"/>
            <w:tcBorders>
              <w:top w:val="nil"/>
              <w:left w:val="nil"/>
              <w:bottom w:val="single" w:sz="4" w:space="0" w:color="auto"/>
              <w:right w:val="single" w:sz="4" w:space="0" w:color="auto"/>
            </w:tcBorders>
            <w:noWrap/>
            <w:vAlign w:val="center"/>
            <w:hideMark/>
          </w:tcPr>
          <w:p w14:paraId="3608EDD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proofErr w:type="spellStart"/>
            <w:r w:rsidRPr="00B450EB">
              <w:rPr>
                <w:rFonts w:eastAsia="Times New Roman" w:cs="Arial"/>
                <w:kern w:val="0"/>
                <w:sz w:val="14"/>
                <w:szCs w:val="14"/>
                <w:lang w:eastAsia="es-CO"/>
                <w14:ligatures w14:val="none"/>
              </w:rPr>
              <w:t>Preconstrucción</w:t>
            </w:r>
            <w:proofErr w:type="spellEnd"/>
          </w:p>
        </w:tc>
        <w:tc>
          <w:tcPr>
            <w:tcW w:w="1343" w:type="dxa"/>
            <w:tcBorders>
              <w:top w:val="nil"/>
              <w:left w:val="nil"/>
              <w:bottom w:val="single" w:sz="4" w:space="0" w:color="auto"/>
              <w:right w:val="single" w:sz="4" w:space="0" w:color="auto"/>
            </w:tcBorders>
            <w:noWrap/>
            <w:vAlign w:val="center"/>
            <w:hideMark/>
          </w:tcPr>
          <w:p w14:paraId="0F98CCD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CAQUETA</w:t>
            </w:r>
          </w:p>
        </w:tc>
      </w:tr>
      <w:tr w:rsidR="00205915" w:rsidRPr="00B450EB" w14:paraId="64A2317E"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64E2683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LAM0199</w:t>
            </w:r>
          </w:p>
        </w:tc>
        <w:tc>
          <w:tcPr>
            <w:tcW w:w="1206" w:type="dxa"/>
            <w:tcBorders>
              <w:top w:val="nil"/>
              <w:left w:val="nil"/>
              <w:bottom w:val="single" w:sz="4" w:space="0" w:color="auto"/>
              <w:right w:val="single" w:sz="4" w:space="0" w:color="auto"/>
            </w:tcBorders>
            <w:noWrap/>
            <w:vAlign w:val="center"/>
            <w:hideMark/>
          </w:tcPr>
          <w:p w14:paraId="5CC4A3B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7EC9F4A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24BC9672" w14:textId="38D7EB17"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Perforación De Pozos Exploratorios Mary West-1 Desarrollo De Pozos Mary 6 Y Miraflor 3, Bloque Santana B.</w:t>
            </w:r>
          </w:p>
        </w:tc>
        <w:tc>
          <w:tcPr>
            <w:tcW w:w="1308" w:type="dxa"/>
            <w:tcBorders>
              <w:top w:val="nil"/>
              <w:left w:val="nil"/>
              <w:bottom w:val="single" w:sz="4" w:space="0" w:color="auto"/>
              <w:right w:val="single" w:sz="4" w:space="0" w:color="auto"/>
            </w:tcBorders>
            <w:noWrap/>
            <w:vAlign w:val="center"/>
            <w:hideMark/>
          </w:tcPr>
          <w:p w14:paraId="71E4682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627CB11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CAQUETA, CAUCA, PUTUMAYO</w:t>
            </w:r>
          </w:p>
        </w:tc>
      </w:tr>
      <w:tr w:rsidR="00205915" w:rsidRPr="00B450EB" w14:paraId="16CE4EEF"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3D5197D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LAM4654</w:t>
            </w:r>
          </w:p>
        </w:tc>
        <w:tc>
          <w:tcPr>
            <w:tcW w:w="1206" w:type="dxa"/>
            <w:tcBorders>
              <w:top w:val="nil"/>
              <w:left w:val="nil"/>
              <w:bottom w:val="single" w:sz="4" w:space="0" w:color="auto"/>
              <w:right w:val="single" w:sz="4" w:space="0" w:color="auto"/>
            </w:tcBorders>
            <w:noWrap/>
            <w:vAlign w:val="center"/>
            <w:hideMark/>
          </w:tcPr>
          <w:p w14:paraId="7E3A467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1CADB0F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4E6A27D4" w14:textId="7D3C1588"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Perforación Exploratoria </w:t>
            </w:r>
            <w:proofErr w:type="spellStart"/>
            <w:r w:rsidRPr="00B450EB">
              <w:rPr>
                <w:rFonts w:eastAsia="Times New Roman" w:cs="Arial"/>
                <w:kern w:val="0"/>
                <w:sz w:val="14"/>
                <w:szCs w:val="14"/>
                <w:lang w:eastAsia="es-CO"/>
                <w14:ligatures w14:val="none"/>
              </w:rPr>
              <w:t>Ombu</w:t>
            </w:r>
            <w:proofErr w:type="spellEnd"/>
            <w:r w:rsidRPr="00B450EB">
              <w:rPr>
                <w:rFonts w:eastAsia="Times New Roman" w:cs="Arial"/>
                <w:kern w:val="0"/>
                <w:sz w:val="14"/>
                <w:szCs w:val="14"/>
                <w:lang w:eastAsia="es-CO"/>
                <w14:ligatures w14:val="none"/>
              </w:rPr>
              <w:t xml:space="preserve"> Sur Durillo</w:t>
            </w:r>
          </w:p>
        </w:tc>
        <w:tc>
          <w:tcPr>
            <w:tcW w:w="1308" w:type="dxa"/>
            <w:tcBorders>
              <w:top w:val="nil"/>
              <w:left w:val="nil"/>
              <w:bottom w:val="single" w:sz="4" w:space="0" w:color="auto"/>
              <w:right w:val="single" w:sz="4" w:space="0" w:color="auto"/>
            </w:tcBorders>
            <w:noWrap/>
            <w:vAlign w:val="center"/>
            <w:hideMark/>
          </w:tcPr>
          <w:p w14:paraId="5986C9C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22F7C85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CAQUETA, META</w:t>
            </w:r>
          </w:p>
        </w:tc>
      </w:tr>
      <w:tr w:rsidR="00205915" w:rsidRPr="00B450EB" w14:paraId="1C962049"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03B6F4A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LAM5800</w:t>
            </w:r>
          </w:p>
        </w:tc>
        <w:tc>
          <w:tcPr>
            <w:tcW w:w="1206" w:type="dxa"/>
            <w:tcBorders>
              <w:top w:val="nil"/>
              <w:left w:val="nil"/>
              <w:bottom w:val="single" w:sz="4" w:space="0" w:color="auto"/>
              <w:right w:val="single" w:sz="4" w:space="0" w:color="auto"/>
            </w:tcBorders>
            <w:noWrap/>
            <w:vAlign w:val="center"/>
            <w:hideMark/>
          </w:tcPr>
          <w:p w14:paraId="1CD5602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40D565D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55B0EE7A" w14:textId="09EF9D03"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Chipo</w:t>
            </w:r>
          </w:p>
        </w:tc>
        <w:tc>
          <w:tcPr>
            <w:tcW w:w="1308" w:type="dxa"/>
            <w:tcBorders>
              <w:top w:val="nil"/>
              <w:left w:val="nil"/>
              <w:bottom w:val="single" w:sz="4" w:space="0" w:color="auto"/>
              <w:right w:val="single" w:sz="4" w:space="0" w:color="auto"/>
            </w:tcBorders>
            <w:noWrap/>
            <w:vAlign w:val="center"/>
            <w:hideMark/>
          </w:tcPr>
          <w:p w14:paraId="7FB9A47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0FE6995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CAQUETA, META</w:t>
            </w:r>
          </w:p>
        </w:tc>
      </w:tr>
      <w:tr w:rsidR="00205915" w:rsidRPr="00B450EB" w14:paraId="16875083"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46615D6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LAM4683</w:t>
            </w:r>
          </w:p>
        </w:tc>
        <w:tc>
          <w:tcPr>
            <w:tcW w:w="1206" w:type="dxa"/>
            <w:tcBorders>
              <w:top w:val="nil"/>
              <w:left w:val="nil"/>
              <w:bottom w:val="single" w:sz="4" w:space="0" w:color="auto"/>
              <w:right w:val="single" w:sz="4" w:space="0" w:color="auto"/>
            </w:tcBorders>
            <w:noWrap/>
            <w:vAlign w:val="center"/>
            <w:hideMark/>
          </w:tcPr>
          <w:p w14:paraId="2048D37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24E56C0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106DFC52" w14:textId="78CF5EDE"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Perforación Exploratoria </w:t>
            </w:r>
            <w:proofErr w:type="spellStart"/>
            <w:r w:rsidRPr="00B450EB">
              <w:rPr>
                <w:rFonts w:eastAsia="Times New Roman" w:cs="Arial"/>
                <w:kern w:val="0"/>
                <w:sz w:val="14"/>
                <w:szCs w:val="14"/>
                <w:lang w:eastAsia="es-CO"/>
                <w14:ligatures w14:val="none"/>
              </w:rPr>
              <w:t>Kaxan</w:t>
            </w:r>
            <w:proofErr w:type="spellEnd"/>
            <w:r w:rsidRPr="00B450EB">
              <w:rPr>
                <w:rFonts w:eastAsia="Times New Roman" w:cs="Arial"/>
                <w:kern w:val="0"/>
                <w:sz w:val="14"/>
                <w:szCs w:val="14"/>
                <w:lang w:eastAsia="es-CO"/>
                <w14:ligatures w14:val="none"/>
              </w:rPr>
              <w:t xml:space="preserve"> Norte</w:t>
            </w:r>
          </w:p>
        </w:tc>
        <w:tc>
          <w:tcPr>
            <w:tcW w:w="1308" w:type="dxa"/>
            <w:tcBorders>
              <w:top w:val="nil"/>
              <w:left w:val="nil"/>
              <w:bottom w:val="single" w:sz="4" w:space="0" w:color="auto"/>
              <w:right w:val="single" w:sz="4" w:space="0" w:color="auto"/>
            </w:tcBorders>
            <w:noWrap/>
            <w:vAlign w:val="center"/>
            <w:hideMark/>
          </w:tcPr>
          <w:p w14:paraId="66759CF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4913C55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CAUCA</w:t>
            </w:r>
          </w:p>
        </w:tc>
      </w:tr>
      <w:tr w:rsidR="00205915" w:rsidRPr="00B450EB" w14:paraId="1001821C"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5644945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LAM5505</w:t>
            </w:r>
          </w:p>
        </w:tc>
        <w:tc>
          <w:tcPr>
            <w:tcW w:w="1206" w:type="dxa"/>
            <w:tcBorders>
              <w:top w:val="nil"/>
              <w:left w:val="nil"/>
              <w:bottom w:val="single" w:sz="4" w:space="0" w:color="auto"/>
              <w:right w:val="single" w:sz="4" w:space="0" w:color="auto"/>
            </w:tcBorders>
            <w:noWrap/>
            <w:vAlign w:val="center"/>
            <w:hideMark/>
          </w:tcPr>
          <w:p w14:paraId="1FFBC09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181966A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21832AA6" w14:textId="179D2093"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Proyecto Área De Interés Exploratorio Canelo Norte.</w:t>
            </w:r>
          </w:p>
        </w:tc>
        <w:tc>
          <w:tcPr>
            <w:tcW w:w="1308" w:type="dxa"/>
            <w:tcBorders>
              <w:top w:val="nil"/>
              <w:left w:val="nil"/>
              <w:bottom w:val="single" w:sz="4" w:space="0" w:color="auto"/>
              <w:right w:val="single" w:sz="4" w:space="0" w:color="auto"/>
            </w:tcBorders>
            <w:noWrap/>
            <w:vAlign w:val="center"/>
            <w:hideMark/>
          </w:tcPr>
          <w:p w14:paraId="4007D4F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07818CC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CAUCA, PUTUMAYO</w:t>
            </w:r>
          </w:p>
        </w:tc>
      </w:tr>
      <w:tr w:rsidR="00205915" w:rsidRPr="00B450EB" w14:paraId="1C098DFA"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24E9364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LAM4338</w:t>
            </w:r>
          </w:p>
        </w:tc>
        <w:tc>
          <w:tcPr>
            <w:tcW w:w="1206" w:type="dxa"/>
            <w:tcBorders>
              <w:top w:val="nil"/>
              <w:left w:val="nil"/>
              <w:bottom w:val="single" w:sz="4" w:space="0" w:color="auto"/>
              <w:right w:val="single" w:sz="4" w:space="0" w:color="auto"/>
            </w:tcBorders>
            <w:noWrap/>
            <w:vAlign w:val="center"/>
            <w:hideMark/>
          </w:tcPr>
          <w:p w14:paraId="21D40DE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5F26DF3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714D2713" w14:textId="6EE637F5"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Perforación Exploratoria </w:t>
            </w:r>
            <w:proofErr w:type="spellStart"/>
            <w:r w:rsidRPr="00B450EB">
              <w:rPr>
                <w:rFonts w:eastAsia="Times New Roman" w:cs="Arial"/>
                <w:kern w:val="0"/>
                <w:sz w:val="14"/>
                <w:szCs w:val="14"/>
                <w:lang w:eastAsia="es-CO"/>
                <w14:ligatures w14:val="none"/>
              </w:rPr>
              <w:t>Ombu</w:t>
            </w:r>
            <w:proofErr w:type="spellEnd"/>
            <w:r w:rsidRPr="00B450EB">
              <w:rPr>
                <w:rFonts w:eastAsia="Times New Roman" w:cs="Arial"/>
                <w:kern w:val="0"/>
                <w:sz w:val="14"/>
                <w:szCs w:val="14"/>
                <w:lang w:eastAsia="es-CO"/>
                <w14:ligatures w14:val="none"/>
              </w:rPr>
              <w:t xml:space="preserve"> Norte</w:t>
            </w:r>
          </w:p>
        </w:tc>
        <w:tc>
          <w:tcPr>
            <w:tcW w:w="1308" w:type="dxa"/>
            <w:tcBorders>
              <w:top w:val="nil"/>
              <w:left w:val="nil"/>
              <w:bottom w:val="single" w:sz="4" w:space="0" w:color="auto"/>
              <w:right w:val="single" w:sz="4" w:space="0" w:color="auto"/>
            </w:tcBorders>
            <w:noWrap/>
            <w:vAlign w:val="center"/>
            <w:hideMark/>
          </w:tcPr>
          <w:p w14:paraId="37E100A9"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4DE3178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META</w:t>
            </w:r>
          </w:p>
        </w:tc>
      </w:tr>
      <w:tr w:rsidR="00205915" w:rsidRPr="00B450EB" w14:paraId="1C16A49E"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1C92B26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LAM3816</w:t>
            </w:r>
          </w:p>
        </w:tc>
        <w:tc>
          <w:tcPr>
            <w:tcW w:w="1206" w:type="dxa"/>
            <w:tcBorders>
              <w:top w:val="nil"/>
              <w:left w:val="nil"/>
              <w:bottom w:val="single" w:sz="4" w:space="0" w:color="auto"/>
              <w:right w:val="single" w:sz="4" w:space="0" w:color="auto"/>
            </w:tcBorders>
            <w:noWrap/>
            <w:vAlign w:val="center"/>
            <w:hideMark/>
          </w:tcPr>
          <w:p w14:paraId="42D1E7C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09B50A5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015A9808" w14:textId="0D5E39A8"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Ombú</w:t>
            </w:r>
          </w:p>
        </w:tc>
        <w:tc>
          <w:tcPr>
            <w:tcW w:w="1308" w:type="dxa"/>
            <w:tcBorders>
              <w:top w:val="nil"/>
              <w:left w:val="nil"/>
              <w:bottom w:val="single" w:sz="4" w:space="0" w:color="auto"/>
              <w:right w:val="single" w:sz="4" w:space="0" w:color="auto"/>
            </w:tcBorders>
            <w:noWrap/>
            <w:vAlign w:val="center"/>
            <w:hideMark/>
          </w:tcPr>
          <w:p w14:paraId="0B87180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58B1124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META</w:t>
            </w:r>
          </w:p>
        </w:tc>
      </w:tr>
      <w:tr w:rsidR="00205915" w:rsidRPr="00B450EB" w14:paraId="0F3945BD"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2BB5FE6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LAM4309</w:t>
            </w:r>
          </w:p>
        </w:tc>
        <w:tc>
          <w:tcPr>
            <w:tcW w:w="1206" w:type="dxa"/>
            <w:tcBorders>
              <w:top w:val="nil"/>
              <w:left w:val="nil"/>
              <w:bottom w:val="single" w:sz="4" w:space="0" w:color="auto"/>
              <w:right w:val="single" w:sz="4" w:space="0" w:color="auto"/>
            </w:tcBorders>
            <w:noWrap/>
            <w:vAlign w:val="center"/>
            <w:hideMark/>
          </w:tcPr>
          <w:p w14:paraId="7FED169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4589B8D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4F85CDBA" w14:textId="2CF741C0"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Interés De Perforación Exploratoria Rio Ariari</w:t>
            </w:r>
          </w:p>
        </w:tc>
        <w:tc>
          <w:tcPr>
            <w:tcW w:w="1308" w:type="dxa"/>
            <w:tcBorders>
              <w:top w:val="nil"/>
              <w:left w:val="nil"/>
              <w:bottom w:val="single" w:sz="4" w:space="0" w:color="auto"/>
              <w:right w:val="single" w:sz="4" w:space="0" w:color="auto"/>
            </w:tcBorders>
            <w:noWrap/>
            <w:vAlign w:val="center"/>
            <w:hideMark/>
          </w:tcPr>
          <w:p w14:paraId="5B32316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2F9F598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META</w:t>
            </w:r>
          </w:p>
        </w:tc>
      </w:tr>
      <w:tr w:rsidR="00205915" w:rsidRPr="00B450EB" w14:paraId="0BABC7A4"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23352D0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LAM5281</w:t>
            </w:r>
          </w:p>
        </w:tc>
        <w:tc>
          <w:tcPr>
            <w:tcW w:w="1206" w:type="dxa"/>
            <w:tcBorders>
              <w:top w:val="nil"/>
              <w:left w:val="nil"/>
              <w:bottom w:val="single" w:sz="4" w:space="0" w:color="auto"/>
              <w:right w:val="single" w:sz="4" w:space="0" w:color="auto"/>
            </w:tcBorders>
            <w:noWrap/>
            <w:vAlign w:val="center"/>
            <w:hideMark/>
          </w:tcPr>
          <w:p w14:paraId="4A0CC5A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6706566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792E827D" w14:textId="461202C0"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Perforación Exploratoria Cpo-13</w:t>
            </w:r>
          </w:p>
        </w:tc>
        <w:tc>
          <w:tcPr>
            <w:tcW w:w="1308" w:type="dxa"/>
            <w:tcBorders>
              <w:top w:val="nil"/>
              <w:left w:val="nil"/>
              <w:bottom w:val="single" w:sz="4" w:space="0" w:color="auto"/>
              <w:right w:val="single" w:sz="4" w:space="0" w:color="auto"/>
            </w:tcBorders>
            <w:noWrap/>
            <w:vAlign w:val="center"/>
            <w:hideMark/>
          </w:tcPr>
          <w:p w14:paraId="0850EF0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23EE652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META</w:t>
            </w:r>
          </w:p>
        </w:tc>
      </w:tr>
      <w:tr w:rsidR="00205915" w:rsidRPr="00B450EB" w14:paraId="3E5EB043"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581687B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LAM5506</w:t>
            </w:r>
          </w:p>
        </w:tc>
        <w:tc>
          <w:tcPr>
            <w:tcW w:w="1206" w:type="dxa"/>
            <w:tcBorders>
              <w:top w:val="nil"/>
              <w:left w:val="nil"/>
              <w:bottom w:val="single" w:sz="4" w:space="0" w:color="auto"/>
              <w:right w:val="single" w:sz="4" w:space="0" w:color="auto"/>
            </w:tcBorders>
            <w:noWrap/>
            <w:vAlign w:val="center"/>
            <w:hideMark/>
          </w:tcPr>
          <w:p w14:paraId="7361469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75DE7AF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731FC9F7" w14:textId="7714A985"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Bloque De Explotación De Hidrocarburos Cpe-6 - Área De Desarrollo Fase 1</w:t>
            </w:r>
          </w:p>
        </w:tc>
        <w:tc>
          <w:tcPr>
            <w:tcW w:w="1308" w:type="dxa"/>
            <w:tcBorders>
              <w:top w:val="nil"/>
              <w:left w:val="nil"/>
              <w:bottom w:val="single" w:sz="4" w:space="0" w:color="auto"/>
              <w:right w:val="single" w:sz="4" w:space="0" w:color="auto"/>
            </w:tcBorders>
            <w:noWrap/>
            <w:vAlign w:val="center"/>
            <w:hideMark/>
          </w:tcPr>
          <w:p w14:paraId="2593F52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3830ACB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META</w:t>
            </w:r>
          </w:p>
        </w:tc>
      </w:tr>
      <w:tr w:rsidR="00205915" w:rsidRPr="00B450EB" w14:paraId="33787599"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519CD4A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LAV0002-13</w:t>
            </w:r>
          </w:p>
        </w:tc>
        <w:tc>
          <w:tcPr>
            <w:tcW w:w="1206" w:type="dxa"/>
            <w:tcBorders>
              <w:top w:val="nil"/>
              <w:left w:val="nil"/>
              <w:bottom w:val="single" w:sz="4" w:space="0" w:color="auto"/>
              <w:right w:val="single" w:sz="4" w:space="0" w:color="auto"/>
            </w:tcBorders>
            <w:noWrap/>
            <w:vAlign w:val="center"/>
            <w:hideMark/>
          </w:tcPr>
          <w:p w14:paraId="0895F99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7C95965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11B531B8" w14:textId="09DE175B"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CPO -16</w:t>
            </w:r>
          </w:p>
        </w:tc>
        <w:tc>
          <w:tcPr>
            <w:tcW w:w="1308" w:type="dxa"/>
            <w:tcBorders>
              <w:top w:val="nil"/>
              <w:left w:val="nil"/>
              <w:bottom w:val="single" w:sz="4" w:space="0" w:color="auto"/>
              <w:right w:val="single" w:sz="4" w:space="0" w:color="auto"/>
            </w:tcBorders>
            <w:noWrap/>
            <w:vAlign w:val="center"/>
            <w:hideMark/>
          </w:tcPr>
          <w:p w14:paraId="6F41169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2F0D7CC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META</w:t>
            </w:r>
          </w:p>
        </w:tc>
      </w:tr>
      <w:tr w:rsidR="00205915" w:rsidRPr="00B450EB" w14:paraId="3D06CAA6"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2474F91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LAV0084-13</w:t>
            </w:r>
          </w:p>
        </w:tc>
        <w:tc>
          <w:tcPr>
            <w:tcW w:w="1206" w:type="dxa"/>
            <w:tcBorders>
              <w:top w:val="nil"/>
              <w:left w:val="nil"/>
              <w:bottom w:val="single" w:sz="4" w:space="0" w:color="auto"/>
              <w:right w:val="single" w:sz="4" w:space="0" w:color="auto"/>
            </w:tcBorders>
            <w:noWrap/>
            <w:vAlign w:val="center"/>
            <w:hideMark/>
          </w:tcPr>
          <w:p w14:paraId="3685C79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4546E7F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4C3CB43C" w14:textId="322B5E34"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CPO13B</w:t>
            </w:r>
          </w:p>
        </w:tc>
        <w:tc>
          <w:tcPr>
            <w:tcW w:w="1308" w:type="dxa"/>
            <w:tcBorders>
              <w:top w:val="nil"/>
              <w:left w:val="nil"/>
              <w:bottom w:val="single" w:sz="4" w:space="0" w:color="auto"/>
              <w:right w:val="single" w:sz="4" w:space="0" w:color="auto"/>
            </w:tcBorders>
            <w:noWrap/>
            <w:vAlign w:val="center"/>
            <w:hideMark/>
          </w:tcPr>
          <w:p w14:paraId="4FDB37A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27F354B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META</w:t>
            </w:r>
          </w:p>
        </w:tc>
      </w:tr>
      <w:tr w:rsidR="00205915" w:rsidRPr="00B450EB" w14:paraId="0055C605"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48992309"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LAM4847</w:t>
            </w:r>
          </w:p>
        </w:tc>
        <w:tc>
          <w:tcPr>
            <w:tcW w:w="1206" w:type="dxa"/>
            <w:tcBorders>
              <w:top w:val="nil"/>
              <w:left w:val="nil"/>
              <w:bottom w:val="single" w:sz="4" w:space="0" w:color="auto"/>
              <w:right w:val="single" w:sz="4" w:space="0" w:color="auto"/>
            </w:tcBorders>
            <w:noWrap/>
            <w:vAlign w:val="center"/>
            <w:hideMark/>
          </w:tcPr>
          <w:p w14:paraId="35E1FD3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39BC04D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7D1382F9" w14:textId="12C0ED4B"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Proyecto Área De Perforación Exploratoria </w:t>
            </w:r>
            <w:proofErr w:type="spellStart"/>
            <w:r w:rsidRPr="00B450EB">
              <w:rPr>
                <w:rFonts w:eastAsia="Times New Roman" w:cs="Arial"/>
                <w:kern w:val="0"/>
                <w:sz w:val="14"/>
                <w:szCs w:val="14"/>
                <w:lang w:eastAsia="es-CO"/>
                <w14:ligatures w14:val="none"/>
              </w:rPr>
              <w:t>Rumiyaco</w:t>
            </w:r>
            <w:proofErr w:type="spellEnd"/>
          </w:p>
        </w:tc>
        <w:tc>
          <w:tcPr>
            <w:tcW w:w="1308" w:type="dxa"/>
            <w:tcBorders>
              <w:top w:val="nil"/>
              <w:left w:val="nil"/>
              <w:bottom w:val="single" w:sz="4" w:space="0" w:color="auto"/>
              <w:right w:val="single" w:sz="4" w:space="0" w:color="auto"/>
            </w:tcBorders>
            <w:noWrap/>
            <w:vAlign w:val="center"/>
            <w:hideMark/>
          </w:tcPr>
          <w:p w14:paraId="709491D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0EAC3AB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NARINO, PUTUMAYO</w:t>
            </w:r>
          </w:p>
        </w:tc>
      </w:tr>
      <w:tr w:rsidR="00205915" w:rsidRPr="00B450EB" w14:paraId="4318FFC6"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759A562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1206" w:type="dxa"/>
            <w:tcBorders>
              <w:top w:val="nil"/>
              <w:left w:val="nil"/>
              <w:bottom w:val="single" w:sz="4" w:space="0" w:color="auto"/>
              <w:right w:val="single" w:sz="4" w:space="0" w:color="auto"/>
            </w:tcBorders>
            <w:noWrap/>
            <w:vAlign w:val="center"/>
            <w:hideMark/>
          </w:tcPr>
          <w:p w14:paraId="3CE6FF3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04D8BC8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09C4D2E6" w14:textId="10F87AA8"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Plan De Manejo Ambiental Para Áreas Operativas De La Gerencia Sur (</w:t>
            </w:r>
            <w:proofErr w:type="spellStart"/>
            <w:r w:rsidRPr="00B450EB">
              <w:rPr>
                <w:rFonts w:eastAsia="Times New Roman" w:cs="Arial"/>
                <w:kern w:val="0"/>
                <w:sz w:val="14"/>
                <w:szCs w:val="14"/>
                <w:lang w:eastAsia="es-CO"/>
                <w14:ligatures w14:val="none"/>
              </w:rPr>
              <w:t>Gsu</w:t>
            </w:r>
            <w:proofErr w:type="spellEnd"/>
            <w:r w:rsidRPr="00B450EB">
              <w:rPr>
                <w:rFonts w:eastAsia="Times New Roman" w:cs="Arial"/>
                <w:kern w:val="0"/>
                <w:sz w:val="14"/>
                <w:szCs w:val="14"/>
                <w:lang w:eastAsia="es-CO"/>
                <w14:ligatures w14:val="none"/>
              </w:rPr>
              <w:t>)</w:t>
            </w:r>
          </w:p>
        </w:tc>
        <w:tc>
          <w:tcPr>
            <w:tcW w:w="1308" w:type="dxa"/>
            <w:tcBorders>
              <w:top w:val="nil"/>
              <w:left w:val="nil"/>
              <w:bottom w:val="single" w:sz="4" w:space="0" w:color="auto"/>
              <w:right w:val="single" w:sz="4" w:space="0" w:color="auto"/>
            </w:tcBorders>
            <w:noWrap/>
            <w:vAlign w:val="center"/>
            <w:hideMark/>
          </w:tcPr>
          <w:p w14:paraId="5EDB64D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21B8A18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NARINO, PUTUMAYO</w:t>
            </w:r>
          </w:p>
        </w:tc>
      </w:tr>
      <w:tr w:rsidR="00205915" w:rsidRPr="00B450EB" w14:paraId="20A6B2E5"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311918F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LAM3518</w:t>
            </w:r>
          </w:p>
        </w:tc>
        <w:tc>
          <w:tcPr>
            <w:tcW w:w="1206" w:type="dxa"/>
            <w:tcBorders>
              <w:top w:val="nil"/>
              <w:left w:val="nil"/>
              <w:bottom w:val="single" w:sz="4" w:space="0" w:color="auto"/>
              <w:right w:val="single" w:sz="4" w:space="0" w:color="auto"/>
            </w:tcBorders>
            <w:noWrap/>
            <w:vAlign w:val="center"/>
            <w:hideMark/>
          </w:tcPr>
          <w:p w14:paraId="2ADF5A8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55A0B99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Transporte y Conducción</w:t>
            </w:r>
          </w:p>
        </w:tc>
        <w:tc>
          <w:tcPr>
            <w:tcW w:w="2938" w:type="dxa"/>
            <w:tcBorders>
              <w:top w:val="nil"/>
              <w:left w:val="nil"/>
              <w:bottom w:val="single" w:sz="4" w:space="0" w:color="auto"/>
              <w:right w:val="single" w:sz="4" w:space="0" w:color="auto"/>
            </w:tcBorders>
            <w:noWrap/>
            <w:vAlign w:val="center"/>
            <w:hideMark/>
          </w:tcPr>
          <w:p w14:paraId="11FDD4AB" w14:textId="626655BC"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Oleoducto Transandino</w:t>
            </w:r>
          </w:p>
        </w:tc>
        <w:tc>
          <w:tcPr>
            <w:tcW w:w="1308" w:type="dxa"/>
            <w:tcBorders>
              <w:top w:val="nil"/>
              <w:left w:val="nil"/>
              <w:bottom w:val="single" w:sz="4" w:space="0" w:color="auto"/>
              <w:right w:val="single" w:sz="4" w:space="0" w:color="auto"/>
            </w:tcBorders>
            <w:noWrap/>
            <w:vAlign w:val="center"/>
            <w:hideMark/>
          </w:tcPr>
          <w:p w14:paraId="51D457A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5A343A2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NARINO, PUTUMAYO</w:t>
            </w:r>
          </w:p>
        </w:tc>
      </w:tr>
      <w:tr w:rsidR="00205915" w:rsidRPr="00B450EB" w14:paraId="654B0F0F"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3629C9C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LAM4990</w:t>
            </w:r>
          </w:p>
        </w:tc>
        <w:tc>
          <w:tcPr>
            <w:tcW w:w="1206" w:type="dxa"/>
            <w:tcBorders>
              <w:top w:val="nil"/>
              <w:left w:val="nil"/>
              <w:bottom w:val="single" w:sz="4" w:space="0" w:color="auto"/>
              <w:right w:val="single" w:sz="4" w:space="0" w:color="auto"/>
            </w:tcBorders>
            <w:noWrap/>
            <w:vAlign w:val="center"/>
            <w:hideMark/>
          </w:tcPr>
          <w:p w14:paraId="7C2F38F9"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3AA9AC8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1A4DA66B" w14:textId="63A48983"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Perforación Exploratoria Para Un Área De Interés Localizada Dentro Del Bloque </w:t>
            </w:r>
            <w:proofErr w:type="spellStart"/>
            <w:r w:rsidRPr="00B450EB">
              <w:rPr>
                <w:rFonts w:eastAsia="Times New Roman" w:cs="Arial"/>
                <w:kern w:val="0"/>
                <w:sz w:val="14"/>
                <w:szCs w:val="14"/>
                <w:lang w:eastAsia="es-CO"/>
                <w14:ligatures w14:val="none"/>
              </w:rPr>
              <w:t>Coatí</w:t>
            </w:r>
            <w:proofErr w:type="spellEnd"/>
            <w:r w:rsidRPr="00B450EB">
              <w:rPr>
                <w:rFonts w:eastAsia="Times New Roman" w:cs="Arial"/>
                <w:kern w:val="0"/>
                <w:sz w:val="14"/>
                <w:szCs w:val="14"/>
                <w:lang w:eastAsia="es-CO"/>
                <w14:ligatures w14:val="none"/>
              </w:rPr>
              <w:t>.</w:t>
            </w:r>
          </w:p>
        </w:tc>
        <w:tc>
          <w:tcPr>
            <w:tcW w:w="1308" w:type="dxa"/>
            <w:tcBorders>
              <w:top w:val="nil"/>
              <w:left w:val="nil"/>
              <w:bottom w:val="single" w:sz="4" w:space="0" w:color="auto"/>
              <w:right w:val="single" w:sz="4" w:space="0" w:color="auto"/>
            </w:tcBorders>
            <w:noWrap/>
            <w:vAlign w:val="center"/>
            <w:hideMark/>
          </w:tcPr>
          <w:p w14:paraId="2FF620C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Activo sin operación reciente</w:t>
            </w:r>
          </w:p>
        </w:tc>
        <w:tc>
          <w:tcPr>
            <w:tcW w:w="1343" w:type="dxa"/>
            <w:tcBorders>
              <w:top w:val="nil"/>
              <w:left w:val="nil"/>
              <w:bottom w:val="single" w:sz="4" w:space="0" w:color="auto"/>
              <w:right w:val="single" w:sz="4" w:space="0" w:color="auto"/>
            </w:tcBorders>
            <w:noWrap/>
            <w:vAlign w:val="center"/>
            <w:hideMark/>
          </w:tcPr>
          <w:p w14:paraId="1053435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2F16FBE6"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6726F50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LAM0533</w:t>
            </w:r>
          </w:p>
        </w:tc>
        <w:tc>
          <w:tcPr>
            <w:tcW w:w="1206" w:type="dxa"/>
            <w:tcBorders>
              <w:top w:val="nil"/>
              <w:left w:val="nil"/>
              <w:bottom w:val="single" w:sz="4" w:space="0" w:color="auto"/>
              <w:right w:val="single" w:sz="4" w:space="0" w:color="auto"/>
            </w:tcBorders>
            <w:noWrap/>
            <w:vAlign w:val="center"/>
            <w:hideMark/>
          </w:tcPr>
          <w:p w14:paraId="5C920BC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69DA475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75EF3548" w14:textId="035B19DD"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Bloque Rio Putumayo (Fase Perforación Exploratoria)</w:t>
            </w:r>
          </w:p>
        </w:tc>
        <w:tc>
          <w:tcPr>
            <w:tcW w:w="1308" w:type="dxa"/>
            <w:tcBorders>
              <w:top w:val="nil"/>
              <w:left w:val="nil"/>
              <w:bottom w:val="single" w:sz="4" w:space="0" w:color="auto"/>
              <w:right w:val="single" w:sz="4" w:space="0" w:color="auto"/>
            </w:tcBorders>
            <w:noWrap/>
            <w:vAlign w:val="center"/>
            <w:hideMark/>
          </w:tcPr>
          <w:p w14:paraId="74DC0E3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3919D54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1BC1E5AF"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1FCA85D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LAM0542</w:t>
            </w:r>
          </w:p>
        </w:tc>
        <w:tc>
          <w:tcPr>
            <w:tcW w:w="1206" w:type="dxa"/>
            <w:tcBorders>
              <w:top w:val="nil"/>
              <w:left w:val="nil"/>
              <w:bottom w:val="single" w:sz="4" w:space="0" w:color="auto"/>
              <w:right w:val="single" w:sz="4" w:space="0" w:color="auto"/>
            </w:tcBorders>
            <w:noWrap/>
            <w:vAlign w:val="center"/>
            <w:hideMark/>
          </w:tcPr>
          <w:p w14:paraId="377E4AE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030D1F3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29728460" w14:textId="27E8E60B"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Proyecto De Perforación Exploratoria En El Bloque San Juan, De Los Pozos Exploratorios Pegaso-1, Troyano 1 Y Unicornio-1.</w:t>
            </w:r>
          </w:p>
        </w:tc>
        <w:tc>
          <w:tcPr>
            <w:tcW w:w="1308" w:type="dxa"/>
            <w:tcBorders>
              <w:top w:val="nil"/>
              <w:left w:val="nil"/>
              <w:bottom w:val="single" w:sz="4" w:space="0" w:color="auto"/>
              <w:right w:val="single" w:sz="4" w:space="0" w:color="auto"/>
            </w:tcBorders>
            <w:noWrap/>
            <w:vAlign w:val="center"/>
            <w:hideMark/>
          </w:tcPr>
          <w:p w14:paraId="294D2E1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10EE29A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6F22124C"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3D29488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LAM2940</w:t>
            </w:r>
          </w:p>
        </w:tc>
        <w:tc>
          <w:tcPr>
            <w:tcW w:w="1206" w:type="dxa"/>
            <w:tcBorders>
              <w:top w:val="nil"/>
              <w:left w:val="nil"/>
              <w:bottom w:val="single" w:sz="4" w:space="0" w:color="auto"/>
              <w:right w:val="single" w:sz="4" w:space="0" w:color="auto"/>
            </w:tcBorders>
            <w:noWrap/>
            <w:vAlign w:val="center"/>
            <w:hideMark/>
          </w:tcPr>
          <w:p w14:paraId="73D0A1B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25D98DB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261DF527" w14:textId="78B8A753"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w:t>
            </w:r>
            <w:proofErr w:type="spellStart"/>
            <w:r w:rsidRPr="00B450EB">
              <w:rPr>
                <w:rFonts w:eastAsia="Times New Roman" w:cs="Arial"/>
                <w:kern w:val="0"/>
                <w:sz w:val="14"/>
                <w:szCs w:val="14"/>
                <w:lang w:eastAsia="es-CO"/>
                <w14:ligatures w14:val="none"/>
              </w:rPr>
              <w:t>Interes</w:t>
            </w:r>
            <w:proofErr w:type="spellEnd"/>
            <w:r w:rsidRPr="00B450EB">
              <w:rPr>
                <w:rFonts w:eastAsia="Times New Roman" w:cs="Arial"/>
                <w:kern w:val="0"/>
                <w:sz w:val="14"/>
                <w:szCs w:val="14"/>
                <w:lang w:eastAsia="es-CO"/>
                <w14:ligatures w14:val="none"/>
              </w:rPr>
              <w:t xml:space="preserve"> De Perforación Definida Dentro Del Bloque "B"</w:t>
            </w:r>
          </w:p>
        </w:tc>
        <w:tc>
          <w:tcPr>
            <w:tcW w:w="1308" w:type="dxa"/>
            <w:tcBorders>
              <w:top w:val="nil"/>
              <w:left w:val="nil"/>
              <w:bottom w:val="single" w:sz="4" w:space="0" w:color="auto"/>
              <w:right w:val="single" w:sz="4" w:space="0" w:color="auto"/>
            </w:tcBorders>
            <w:noWrap/>
            <w:vAlign w:val="center"/>
            <w:hideMark/>
          </w:tcPr>
          <w:p w14:paraId="6652ACF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0CC14FE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13397D0E"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0924EA3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LAM3276</w:t>
            </w:r>
          </w:p>
        </w:tc>
        <w:tc>
          <w:tcPr>
            <w:tcW w:w="1206" w:type="dxa"/>
            <w:tcBorders>
              <w:top w:val="nil"/>
              <w:left w:val="nil"/>
              <w:bottom w:val="single" w:sz="4" w:space="0" w:color="auto"/>
              <w:right w:val="single" w:sz="4" w:space="0" w:color="auto"/>
            </w:tcBorders>
            <w:noWrap/>
            <w:vAlign w:val="center"/>
            <w:hideMark/>
          </w:tcPr>
          <w:p w14:paraId="683A1C8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1864DA4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7017C0D1" w14:textId="16D46792" w:rsidR="009C6B53" w:rsidRPr="00B450EB" w:rsidRDefault="00C5683D" w:rsidP="00C5683D">
            <w:pPr>
              <w:spacing w:after="0" w:line="240" w:lineRule="auto"/>
              <w:jc w:val="center"/>
              <w:rPr>
                <w:rFonts w:eastAsia="Times New Roman" w:cs="Arial"/>
                <w:kern w:val="0"/>
                <w:sz w:val="14"/>
                <w:szCs w:val="14"/>
                <w:lang w:eastAsia="es-CO"/>
                <w14:ligatures w14:val="none"/>
              </w:rPr>
            </w:pPr>
            <w:proofErr w:type="spellStart"/>
            <w:r w:rsidRPr="00B450EB">
              <w:rPr>
                <w:rFonts w:eastAsia="Times New Roman" w:cs="Arial"/>
                <w:kern w:val="0"/>
                <w:sz w:val="14"/>
                <w:szCs w:val="14"/>
                <w:lang w:eastAsia="es-CO"/>
                <w14:ligatures w14:val="none"/>
              </w:rPr>
              <w:t>Reentry</w:t>
            </w:r>
            <w:proofErr w:type="spellEnd"/>
            <w:r w:rsidRPr="00B450EB">
              <w:rPr>
                <w:rFonts w:eastAsia="Times New Roman" w:cs="Arial"/>
                <w:kern w:val="0"/>
                <w:sz w:val="14"/>
                <w:szCs w:val="14"/>
                <w:lang w:eastAsia="es-CO"/>
                <w14:ligatures w14:val="none"/>
              </w:rPr>
              <w:t xml:space="preserve"> Pozos </w:t>
            </w:r>
            <w:proofErr w:type="spellStart"/>
            <w:r w:rsidRPr="00B450EB">
              <w:rPr>
                <w:rFonts w:eastAsia="Times New Roman" w:cs="Arial"/>
                <w:kern w:val="0"/>
                <w:sz w:val="14"/>
                <w:szCs w:val="14"/>
                <w:lang w:eastAsia="es-CO"/>
                <w14:ligatures w14:val="none"/>
              </w:rPr>
              <w:t>Temblon</w:t>
            </w:r>
            <w:proofErr w:type="spellEnd"/>
            <w:r w:rsidRPr="00B450EB">
              <w:rPr>
                <w:rFonts w:eastAsia="Times New Roman" w:cs="Arial"/>
                <w:kern w:val="0"/>
                <w:sz w:val="14"/>
                <w:szCs w:val="14"/>
                <w:lang w:eastAsia="es-CO"/>
                <w14:ligatures w14:val="none"/>
              </w:rPr>
              <w:t xml:space="preserve"> 1 Y </w:t>
            </w:r>
            <w:proofErr w:type="spellStart"/>
            <w:r w:rsidRPr="00B450EB">
              <w:rPr>
                <w:rFonts w:eastAsia="Times New Roman" w:cs="Arial"/>
                <w:kern w:val="0"/>
                <w:sz w:val="14"/>
                <w:szCs w:val="14"/>
                <w:lang w:eastAsia="es-CO"/>
                <w14:ligatures w14:val="none"/>
              </w:rPr>
              <w:t>Temblon</w:t>
            </w:r>
            <w:proofErr w:type="spellEnd"/>
            <w:r w:rsidRPr="00B450EB">
              <w:rPr>
                <w:rFonts w:eastAsia="Times New Roman" w:cs="Arial"/>
                <w:kern w:val="0"/>
                <w:sz w:val="14"/>
                <w:szCs w:val="14"/>
                <w:lang w:eastAsia="es-CO"/>
                <w14:ligatures w14:val="none"/>
              </w:rPr>
              <w:t xml:space="preserve"> 1x</w:t>
            </w:r>
          </w:p>
        </w:tc>
        <w:tc>
          <w:tcPr>
            <w:tcW w:w="1308" w:type="dxa"/>
            <w:tcBorders>
              <w:top w:val="nil"/>
              <w:left w:val="nil"/>
              <w:bottom w:val="single" w:sz="4" w:space="0" w:color="auto"/>
              <w:right w:val="single" w:sz="4" w:space="0" w:color="auto"/>
            </w:tcBorders>
            <w:noWrap/>
            <w:vAlign w:val="center"/>
            <w:hideMark/>
          </w:tcPr>
          <w:p w14:paraId="5A4D140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5A052A6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45720EE1"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1F7F335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LAM3552</w:t>
            </w:r>
          </w:p>
        </w:tc>
        <w:tc>
          <w:tcPr>
            <w:tcW w:w="1206" w:type="dxa"/>
            <w:tcBorders>
              <w:top w:val="nil"/>
              <w:left w:val="nil"/>
              <w:bottom w:val="single" w:sz="4" w:space="0" w:color="auto"/>
              <w:right w:val="single" w:sz="4" w:space="0" w:color="auto"/>
            </w:tcBorders>
            <w:noWrap/>
            <w:vAlign w:val="center"/>
            <w:hideMark/>
          </w:tcPr>
          <w:p w14:paraId="6DE06AD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5570823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58406167" w14:textId="30698641"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Interés De Perforación Exploratoria Las Águilas</w:t>
            </w:r>
          </w:p>
        </w:tc>
        <w:tc>
          <w:tcPr>
            <w:tcW w:w="1308" w:type="dxa"/>
            <w:tcBorders>
              <w:top w:val="nil"/>
              <w:left w:val="nil"/>
              <w:bottom w:val="single" w:sz="4" w:space="0" w:color="auto"/>
              <w:right w:val="single" w:sz="4" w:space="0" w:color="auto"/>
            </w:tcBorders>
            <w:noWrap/>
            <w:vAlign w:val="center"/>
            <w:hideMark/>
          </w:tcPr>
          <w:p w14:paraId="38E59C1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5BA0DE0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291A611F"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43B195E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LAM4402</w:t>
            </w:r>
          </w:p>
        </w:tc>
        <w:tc>
          <w:tcPr>
            <w:tcW w:w="1206" w:type="dxa"/>
            <w:tcBorders>
              <w:top w:val="nil"/>
              <w:left w:val="nil"/>
              <w:bottom w:val="single" w:sz="4" w:space="0" w:color="auto"/>
              <w:right w:val="single" w:sz="4" w:space="0" w:color="auto"/>
            </w:tcBorders>
            <w:noWrap/>
            <w:vAlign w:val="center"/>
            <w:hideMark/>
          </w:tcPr>
          <w:p w14:paraId="0ED048F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678BC5E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783331A3" w14:textId="2E1B6C21" w:rsidR="009C6B53" w:rsidRPr="00B450EB" w:rsidRDefault="00C5683D" w:rsidP="00C5683D">
            <w:pPr>
              <w:spacing w:after="0" w:line="240" w:lineRule="auto"/>
              <w:jc w:val="center"/>
              <w:rPr>
                <w:rFonts w:eastAsia="Times New Roman" w:cs="Arial"/>
                <w:kern w:val="0"/>
                <w:sz w:val="14"/>
                <w:szCs w:val="14"/>
                <w:lang w:eastAsia="es-CO"/>
                <w14:ligatures w14:val="none"/>
              </w:rPr>
            </w:pPr>
            <w:proofErr w:type="spellStart"/>
            <w:r w:rsidRPr="00B450EB">
              <w:rPr>
                <w:rFonts w:eastAsia="Times New Roman" w:cs="Arial"/>
                <w:kern w:val="0"/>
                <w:sz w:val="14"/>
                <w:szCs w:val="14"/>
                <w:lang w:eastAsia="es-CO"/>
                <w14:ligatures w14:val="none"/>
              </w:rPr>
              <w:t>Reactivacion</w:t>
            </w:r>
            <w:proofErr w:type="spellEnd"/>
            <w:r w:rsidRPr="00B450EB">
              <w:rPr>
                <w:rFonts w:eastAsia="Times New Roman" w:cs="Arial"/>
                <w:kern w:val="0"/>
                <w:sz w:val="14"/>
                <w:szCs w:val="14"/>
                <w:lang w:eastAsia="es-CO"/>
                <w14:ligatures w14:val="none"/>
              </w:rPr>
              <w:t xml:space="preserve"> Del Pozo </w:t>
            </w:r>
            <w:proofErr w:type="spellStart"/>
            <w:r w:rsidRPr="00B450EB">
              <w:rPr>
                <w:rFonts w:eastAsia="Times New Roman" w:cs="Arial"/>
                <w:kern w:val="0"/>
                <w:sz w:val="14"/>
                <w:szCs w:val="14"/>
                <w:lang w:eastAsia="es-CO"/>
                <w14:ligatures w14:val="none"/>
              </w:rPr>
              <w:t>Mecaya</w:t>
            </w:r>
            <w:proofErr w:type="spellEnd"/>
            <w:r w:rsidRPr="00B450EB">
              <w:rPr>
                <w:rFonts w:eastAsia="Times New Roman" w:cs="Arial"/>
                <w:kern w:val="0"/>
                <w:sz w:val="14"/>
                <w:szCs w:val="14"/>
                <w:lang w:eastAsia="es-CO"/>
                <w14:ligatures w14:val="none"/>
              </w:rPr>
              <w:t xml:space="preserve"> 1</w:t>
            </w:r>
          </w:p>
        </w:tc>
        <w:tc>
          <w:tcPr>
            <w:tcW w:w="1308" w:type="dxa"/>
            <w:tcBorders>
              <w:top w:val="nil"/>
              <w:left w:val="nil"/>
              <w:bottom w:val="single" w:sz="4" w:space="0" w:color="auto"/>
              <w:right w:val="single" w:sz="4" w:space="0" w:color="auto"/>
            </w:tcBorders>
            <w:noWrap/>
            <w:vAlign w:val="center"/>
            <w:hideMark/>
          </w:tcPr>
          <w:p w14:paraId="5F041F7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3C371B2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66FCBD92"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740C989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LAM4650</w:t>
            </w:r>
          </w:p>
        </w:tc>
        <w:tc>
          <w:tcPr>
            <w:tcW w:w="1206" w:type="dxa"/>
            <w:tcBorders>
              <w:top w:val="nil"/>
              <w:left w:val="nil"/>
              <w:bottom w:val="single" w:sz="4" w:space="0" w:color="auto"/>
              <w:right w:val="single" w:sz="4" w:space="0" w:color="auto"/>
            </w:tcBorders>
            <w:noWrap/>
            <w:vAlign w:val="center"/>
            <w:hideMark/>
          </w:tcPr>
          <w:p w14:paraId="2246806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05B95F1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3382B7FF" w14:textId="70AB6A62"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Venado</w:t>
            </w:r>
          </w:p>
        </w:tc>
        <w:tc>
          <w:tcPr>
            <w:tcW w:w="1308" w:type="dxa"/>
            <w:tcBorders>
              <w:top w:val="nil"/>
              <w:left w:val="nil"/>
              <w:bottom w:val="single" w:sz="4" w:space="0" w:color="auto"/>
              <w:right w:val="single" w:sz="4" w:space="0" w:color="auto"/>
            </w:tcBorders>
            <w:noWrap/>
            <w:vAlign w:val="center"/>
            <w:hideMark/>
          </w:tcPr>
          <w:p w14:paraId="38D9910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0D9D4F6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2AB56452"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090173F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lastRenderedPageBreak/>
              <w:t>LAM4899</w:t>
            </w:r>
          </w:p>
        </w:tc>
        <w:tc>
          <w:tcPr>
            <w:tcW w:w="1206" w:type="dxa"/>
            <w:tcBorders>
              <w:top w:val="nil"/>
              <w:left w:val="nil"/>
              <w:bottom w:val="single" w:sz="4" w:space="0" w:color="auto"/>
              <w:right w:val="single" w:sz="4" w:space="0" w:color="auto"/>
            </w:tcBorders>
            <w:noWrap/>
            <w:vAlign w:val="center"/>
            <w:hideMark/>
          </w:tcPr>
          <w:p w14:paraId="17CB849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75AB040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3CC65297" w14:textId="0915FDD7"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La Vega Este</w:t>
            </w:r>
          </w:p>
        </w:tc>
        <w:tc>
          <w:tcPr>
            <w:tcW w:w="1308" w:type="dxa"/>
            <w:tcBorders>
              <w:top w:val="nil"/>
              <w:left w:val="nil"/>
              <w:bottom w:val="single" w:sz="4" w:space="0" w:color="auto"/>
              <w:right w:val="single" w:sz="4" w:space="0" w:color="auto"/>
            </w:tcBorders>
            <w:noWrap/>
            <w:vAlign w:val="center"/>
            <w:hideMark/>
          </w:tcPr>
          <w:p w14:paraId="1F5B40C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0AD1B91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00F906DF"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0BD65889"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LAM6356</w:t>
            </w:r>
          </w:p>
        </w:tc>
        <w:tc>
          <w:tcPr>
            <w:tcW w:w="1206" w:type="dxa"/>
            <w:tcBorders>
              <w:top w:val="nil"/>
              <w:left w:val="nil"/>
              <w:bottom w:val="single" w:sz="4" w:space="0" w:color="auto"/>
              <w:right w:val="single" w:sz="4" w:space="0" w:color="auto"/>
            </w:tcBorders>
            <w:noWrap/>
            <w:vAlign w:val="center"/>
            <w:hideMark/>
          </w:tcPr>
          <w:p w14:paraId="390F42D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1983AEA9"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6BD05598" w14:textId="2B8FF183"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Explotación O Desarrollo </w:t>
            </w:r>
            <w:proofErr w:type="spellStart"/>
            <w:r w:rsidRPr="00B450EB">
              <w:rPr>
                <w:rFonts w:eastAsia="Times New Roman" w:cs="Arial"/>
                <w:kern w:val="0"/>
                <w:sz w:val="14"/>
                <w:szCs w:val="14"/>
                <w:lang w:eastAsia="es-CO"/>
                <w14:ligatures w14:val="none"/>
              </w:rPr>
              <w:t>Moquetá</w:t>
            </w:r>
            <w:proofErr w:type="spellEnd"/>
          </w:p>
        </w:tc>
        <w:tc>
          <w:tcPr>
            <w:tcW w:w="1308" w:type="dxa"/>
            <w:tcBorders>
              <w:top w:val="nil"/>
              <w:left w:val="nil"/>
              <w:bottom w:val="single" w:sz="4" w:space="0" w:color="auto"/>
              <w:right w:val="single" w:sz="4" w:space="0" w:color="auto"/>
            </w:tcBorders>
            <w:noWrap/>
            <w:vAlign w:val="center"/>
            <w:hideMark/>
          </w:tcPr>
          <w:p w14:paraId="32709E0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256A7AE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547A8A5B"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6C89598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LAV0009-00-2019</w:t>
            </w:r>
          </w:p>
        </w:tc>
        <w:tc>
          <w:tcPr>
            <w:tcW w:w="1206" w:type="dxa"/>
            <w:tcBorders>
              <w:top w:val="nil"/>
              <w:left w:val="nil"/>
              <w:bottom w:val="single" w:sz="4" w:space="0" w:color="auto"/>
              <w:right w:val="single" w:sz="4" w:space="0" w:color="auto"/>
            </w:tcBorders>
            <w:noWrap/>
            <w:vAlign w:val="center"/>
            <w:hideMark/>
          </w:tcPr>
          <w:p w14:paraId="6C3C529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6138E88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 / Explotación</w:t>
            </w:r>
          </w:p>
        </w:tc>
        <w:tc>
          <w:tcPr>
            <w:tcW w:w="2938" w:type="dxa"/>
            <w:tcBorders>
              <w:top w:val="nil"/>
              <w:left w:val="nil"/>
              <w:bottom w:val="single" w:sz="4" w:space="0" w:color="auto"/>
              <w:right w:val="single" w:sz="4" w:space="0" w:color="auto"/>
            </w:tcBorders>
            <w:noWrap/>
            <w:vAlign w:val="center"/>
            <w:hideMark/>
          </w:tcPr>
          <w:p w14:paraId="5F3D917B" w14:textId="0E400B1B"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Desarrollo </w:t>
            </w:r>
            <w:proofErr w:type="spellStart"/>
            <w:r w:rsidRPr="00B450EB">
              <w:rPr>
                <w:rFonts w:eastAsia="Times New Roman" w:cs="Arial"/>
                <w:kern w:val="0"/>
                <w:sz w:val="14"/>
                <w:szCs w:val="14"/>
                <w:lang w:eastAsia="es-CO"/>
                <w14:ligatures w14:val="none"/>
              </w:rPr>
              <w:t>Vonu</w:t>
            </w:r>
            <w:proofErr w:type="spellEnd"/>
            <w:r w:rsidRPr="00B450EB">
              <w:rPr>
                <w:rFonts w:eastAsia="Times New Roman" w:cs="Arial"/>
                <w:kern w:val="0"/>
                <w:sz w:val="14"/>
                <w:szCs w:val="14"/>
                <w:lang w:eastAsia="es-CO"/>
                <w14:ligatures w14:val="none"/>
              </w:rPr>
              <w:t xml:space="preserve"> Este (Put-1)</w:t>
            </w:r>
          </w:p>
        </w:tc>
        <w:tc>
          <w:tcPr>
            <w:tcW w:w="1308" w:type="dxa"/>
            <w:tcBorders>
              <w:top w:val="nil"/>
              <w:left w:val="nil"/>
              <w:bottom w:val="single" w:sz="4" w:space="0" w:color="auto"/>
              <w:right w:val="single" w:sz="4" w:space="0" w:color="auto"/>
            </w:tcBorders>
            <w:noWrap/>
            <w:vAlign w:val="center"/>
            <w:hideMark/>
          </w:tcPr>
          <w:p w14:paraId="580300F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Desmantelamiento y/o abandono</w:t>
            </w:r>
          </w:p>
        </w:tc>
        <w:tc>
          <w:tcPr>
            <w:tcW w:w="1343" w:type="dxa"/>
            <w:tcBorders>
              <w:top w:val="nil"/>
              <w:left w:val="nil"/>
              <w:bottom w:val="single" w:sz="4" w:space="0" w:color="auto"/>
              <w:right w:val="single" w:sz="4" w:space="0" w:color="auto"/>
            </w:tcBorders>
            <w:noWrap/>
            <w:vAlign w:val="center"/>
            <w:hideMark/>
          </w:tcPr>
          <w:p w14:paraId="0649B39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6EE345D7"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442862D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LAM2078</w:t>
            </w:r>
          </w:p>
        </w:tc>
        <w:tc>
          <w:tcPr>
            <w:tcW w:w="1206" w:type="dxa"/>
            <w:tcBorders>
              <w:top w:val="nil"/>
              <w:left w:val="nil"/>
              <w:bottom w:val="single" w:sz="4" w:space="0" w:color="auto"/>
              <w:right w:val="single" w:sz="4" w:space="0" w:color="auto"/>
            </w:tcBorders>
            <w:noWrap/>
            <w:vAlign w:val="center"/>
            <w:hideMark/>
          </w:tcPr>
          <w:p w14:paraId="5C639B2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74432B7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4FE72BFA" w14:textId="25F90C74"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Bloque De Perforación Exploratoria </w:t>
            </w:r>
            <w:proofErr w:type="spellStart"/>
            <w:r w:rsidRPr="00B450EB">
              <w:rPr>
                <w:rFonts w:eastAsia="Times New Roman" w:cs="Arial"/>
                <w:kern w:val="0"/>
                <w:sz w:val="14"/>
                <w:szCs w:val="14"/>
                <w:lang w:eastAsia="es-CO"/>
                <w14:ligatures w14:val="none"/>
              </w:rPr>
              <w:t>Cafelina</w:t>
            </w:r>
            <w:proofErr w:type="spellEnd"/>
          </w:p>
        </w:tc>
        <w:tc>
          <w:tcPr>
            <w:tcW w:w="1308" w:type="dxa"/>
            <w:tcBorders>
              <w:top w:val="nil"/>
              <w:left w:val="nil"/>
              <w:bottom w:val="single" w:sz="4" w:space="0" w:color="auto"/>
              <w:right w:val="single" w:sz="4" w:space="0" w:color="auto"/>
            </w:tcBorders>
            <w:noWrap/>
            <w:vAlign w:val="center"/>
            <w:hideMark/>
          </w:tcPr>
          <w:p w14:paraId="728EF50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715BEEC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1B1709C8"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1FFB405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LAM3268</w:t>
            </w:r>
          </w:p>
        </w:tc>
        <w:tc>
          <w:tcPr>
            <w:tcW w:w="1206" w:type="dxa"/>
            <w:tcBorders>
              <w:top w:val="nil"/>
              <w:left w:val="nil"/>
              <w:bottom w:val="single" w:sz="4" w:space="0" w:color="auto"/>
              <w:right w:val="single" w:sz="4" w:space="0" w:color="auto"/>
            </w:tcBorders>
            <w:noWrap/>
            <w:vAlign w:val="center"/>
            <w:hideMark/>
          </w:tcPr>
          <w:p w14:paraId="04DF3CF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0332ABE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49F933B4" w14:textId="44BD1117"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Fase De Producción Del Pozo Nancy-1</w:t>
            </w:r>
          </w:p>
        </w:tc>
        <w:tc>
          <w:tcPr>
            <w:tcW w:w="1308" w:type="dxa"/>
            <w:tcBorders>
              <w:top w:val="nil"/>
              <w:left w:val="nil"/>
              <w:bottom w:val="single" w:sz="4" w:space="0" w:color="auto"/>
              <w:right w:val="single" w:sz="4" w:space="0" w:color="auto"/>
            </w:tcBorders>
            <w:noWrap/>
            <w:vAlign w:val="center"/>
            <w:hideMark/>
          </w:tcPr>
          <w:p w14:paraId="78414D1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7C3868B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28BE5239"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5DDEFF8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LAM4011</w:t>
            </w:r>
          </w:p>
        </w:tc>
        <w:tc>
          <w:tcPr>
            <w:tcW w:w="1206" w:type="dxa"/>
            <w:tcBorders>
              <w:top w:val="nil"/>
              <w:left w:val="nil"/>
              <w:bottom w:val="single" w:sz="4" w:space="0" w:color="auto"/>
              <w:right w:val="single" w:sz="4" w:space="0" w:color="auto"/>
            </w:tcBorders>
            <w:noWrap/>
            <w:vAlign w:val="center"/>
            <w:hideMark/>
          </w:tcPr>
          <w:p w14:paraId="4EFD5E3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6913659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282CA832" w14:textId="3741DBD4"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Reactivación Y </w:t>
            </w:r>
            <w:proofErr w:type="spellStart"/>
            <w:r w:rsidRPr="00B450EB">
              <w:rPr>
                <w:rFonts w:eastAsia="Times New Roman" w:cs="Arial"/>
                <w:kern w:val="0"/>
                <w:sz w:val="14"/>
                <w:szCs w:val="14"/>
                <w:lang w:eastAsia="es-CO"/>
                <w14:ligatures w14:val="none"/>
              </w:rPr>
              <w:t>Workover</w:t>
            </w:r>
            <w:proofErr w:type="spellEnd"/>
            <w:r w:rsidRPr="00B450EB">
              <w:rPr>
                <w:rFonts w:eastAsia="Times New Roman" w:cs="Arial"/>
                <w:kern w:val="0"/>
                <w:sz w:val="14"/>
                <w:szCs w:val="14"/>
                <w:lang w:eastAsia="es-CO"/>
                <w14:ligatures w14:val="none"/>
              </w:rPr>
              <w:t xml:space="preserve"> De Los Pozos </w:t>
            </w:r>
            <w:proofErr w:type="spellStart"/>
            <w:r w:rsidRPr="00B450EB">
              <w:rPr>
                <w:rFonts w:eastAsia="Times New Roman" w:cs="Arial"/>
                <w:kern w:val="0"/>
                <w:sz w:val="14"/>
                <w:szCs w:val="14"/>
                <w:lang w:eastAsia="es-CO"/>
                <w14:ligatures w14:val="none"/>
              </w:rPr>
              <w:t>Burdine</w:t>
            </w:r>
            <w:proofErr w:type="spellEnd"/>
            <w:r w:rsidRPr="00B450EB">
              <w:rPr>
                <w:rFonts w:eastAsia="Times New Roman" w:cs="Arial"/>
                <w:kern w:val="0"/>
                <w:sz w:val="14"/>
                <w:szCs w:val="14"/>
                <w:lang w:eastAsia="es-CO"/>
                <w14:ligatures w14:val="none"/>
              </w:rPr>
              <w:t xml:space="preserve"> 1, 2, 4 Y 5</w:t>
            </w:r>
          </w:p>
        </w:tc>
        <w:tc>
          <w:tcPr>
            <w:tcW w:w="1308" w:type="dxa"/>
            <w:tcBorders>
              <w:top w:val="nil"/>
              <w:left w:val="nil"/>
              <w:bottom w:val="single" w:sz="4" w:space="0" w:color="auto"/>
              <w:right w:val="single" w:sz="4" w:space="0" w:color="auto"/>
            </w:tcBorders>
            <w:noWrap/>
            <w:vAlign w:val="center"/>
            <w:hideMark/>
          </w:tcPr>
          <w:p w14:paraId="543D604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51A4578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2A50FF11"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2865246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LAM4077</w:t>
            </w:r>
          </w:p>
        </w:tc>
        <w:tc>
          <w:tcPr>
            <w:tcW w:w="1206" w:type="dxa"/>
            <w:tcBorders>
              <w:top w:val="nil"/>
              <w:left w:val="nil"/>
              <w:bottom w:val="single" w:sz="4" w:space="0" w:color="auto"/>
              <w:right w:val="single" w:sz="4" w:space="0" w:color="auto"/>
            </w:tcBorders>
            <w:noWrap/>
            <w:vAlign w:val="center"/>
            <w:hideMark/>
          </w:tcPr>
          <w:p w14:paraId="4B3373F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0FF59D8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5CAA38F6" w14:textId="143F4AE5"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Maranta</w:t>
            </w:r>
          </w:p>
        </w:tc>
        <w:tc>
          <w:tcPr>
            <w:tcW w:w="1308" w:type="dxa"/>
            <w:tcBorders>
              <w:top w:val="nil"/>
              <w:left w:val="nil"/>
              <w:bottom w:val="single" w:sz="4" w:space="0" w:color="auto"/>
              <w:right w:val="single" w:sz="4" w:space="0" w:color="auto"/>
            </w:tcBorders>
            <w:noWrap/>
            <w:vAlign w:val="center"/>
            <w:hideMark/>
          </w:tcPr>
          <w:p w14:paraId="0958102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1271943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31DE12DF"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0056024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LAM4113</w:t>
            </w:r>
          </w:p>
        </w:tc>
        <w:tc>
          <w:tcPr>
            <w:tcW w:w="1206" w:type="dxa"/>
            <w:tcBorders>
              <w:top w:val="nil"/>
              <w:left w:val="nil"/>
              <w:bottom w:val="single" w:sz="4" w:space="0" w:color="auto"/>
              <w:right w:val="single" w:sz="4" w:space="0" w:color="auto"/>
            </w:tcBorders>
            <w:noWrap/>
            <w:vAlign w:val="center"/>
            <w:hideMark/>
          </w:tcPr>
          <w:p w14:paraId="7EA1FBC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27445AD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045E64E5" w14:textId="428C57A9"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Licencia Ambiental Global Para El Campo </w:t>
            </w:r>
            <w:proofErr w:type="spellStart"/>
            <w:r w:rsidRPr="00B450EB">
              <w:rPr>
                <w:rFonts w:eastAsia="Times New Roman" w:cs="Arial"/>
                <w:kern w:val="0"/>
                <w:sz w:val="14"/>
                <w:szCs w:val="14"/>
                <w:lang w:eastAsia="es-CO"/>
                <w14:ligatures w14:val="none"/>
              </w:rPr>
              <w:t>Costayaco</w:t>
            </w:r>
            <w:proofErr w:type="spellEnd"/>
          </w:p>
        </w:tc>
        <w:tc>
          <w:tcPr>
            <w:tcW w:w="1308" w:type="dxa"/>
            <w:tcBorders>
              <w:top w:val="nil"/>
              <w:left w:val="nil"/>
              <w:bottom w:val="single" w:sz="4" w:space="0" w:color="auto"/>
              <w:right w:val="single" w:sz="4" w:space="0" w:color="auto"/>
            </w:tcBorders>
            <w:noWrap/>
            <w:vAlign w:val="center"/>
            <w:hideMark/>
          </w:tcPr>
          <w:p w14:paraId="345156C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2F7B8D0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689E3049"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2F86B9D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LAM4174</w:t>
            </w:r>
          </w:p>
        </w:tc>
        <w:tc>
          <w:tcPr>
            <w:tcW w:w="1206" w:type="dxa"/>
            <w:tcBorders>
              <w:top w:val="nil"/>
              <w:left w:val="nil"/>
              <w:bottom w:val="single" w:sz="4" w:space="0" w:color="auto"/>
              <w:right w:val="single" w:sz="4" w:space="0" w:color="auto"/>
            </w:tcBorders>
            <w:noWrap/>
            <w:vAlign w:val="center"/>
            <w:hideMark/>
          </w:tcPr>
          <w:p w14:paraId="5E95771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270616A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2F9FDD16" w14:textId="6A327EC4"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Campos Quinde, </w:t>
            </w:r>
            <w:proofErr w:type="spellStart"/>
            <w:r w:rsidRPr="00B450EB">
              <w:rPr>
                <w:rFonts w:eastAsia="Times New Roman" w:cs="Arial"/>
                <w:kern w:val="0"/>
                <w:sz w:val="14"/>
                <w:szCs w:val="14"/>
                <w:lang w:eastAsia="es-CO"/>
                <w14:ligatures w14:val="none"/>
              </w:rPr>
              <w:t>Cohembí</w:t>
            </w:r>
            <w:proofErr w:type="spellEnd"/>
            <w:r w:rsidRPr="00B450EB">
              <w:rPr>
                <w:rFonts w:eastAsia="Times New Roman" w:cs="Arial"/>
                <w:kern w:val="0"/>
                <w:sz w:val="14"/>
                <w:szCs w:val="14"/>
                <w:lang w:eastAsia="es-CO"/>
                <w14:ligatures w14:val="none"/>
              </w:rPr>
              <w:t xml:space="preserve"> Y </w:t>
            </w:r>
            <w:proofErr w:type="spellStart"/>
            <w:r w:rsidRPr="00B450EB">
              <w:rPr>
                <w:rFonts w:eastAsia="Times New Roman" w:cs="Arial"/>
                <w:kern w:val="0"/>
                <w:sz w:val="14"/>
                <w:szCs w:val="14"/>
                <w:lang w:eastAsia="es-CO"/>
                <w14:ligatures w14:val="none"/>
              </w:rPr>
              <w:t>Quillacinga</w:t>
            </w:r>
            <w:proofErr w:type="spellEnd"/>
          </w:p>
        </w:tc>
        <w:tc>
          <w:tcPr>
            <w:tcW w:w="1308" w:type="dxa"/>
            <w:tcBorders>
              <w:top w:val="nil"/>
              <w:left w:val="nil"/>
              <w:bottom w:val="single" w:sz="4" w:space="0" w:color="auto"/>
              <w:right w:val="single" w:sz="4" w:space="0" w:color="auto"/>
            </w:tcBorders>
            <w:noWrap/>
            <w:vAlign w:val="center"/>
            <w:hideMark/>
          </w:tcPr>
          <w:p w14:paraId="22F1555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1F645F0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47CB590A"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17AF48D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LAM4479</w:t>
            </w:r>
          </w:p>
        </w:tc>
        <w:tc>
          <w:tcPr>
            <w:tcW w:w="1206" w:type="dxa"/>
            <w:tcBorders>
              <w:top w:val="nil"/>
              <w:left w:val="nil"/>
              <w:bottom w:val="single" w:sz="4" w:space="0" w:color="auto"/>
              <w:right w:val="single" w:sz="4" w:space="0" w:color="auto"/>
            </w:tcBorders>
            <w:noWrap/>
            <w:vAlign w:val="center"/>
            <w:hideMark/>
          </w:tcPr>
          <w:p w14:paraId="3A89742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4639200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188DB689" w14:textId="4A45C9E1"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Rio Mocoa</w:t>
            </w:r>
          </w:p>
        </w:tc>
        <w:tc>
          <w:tcPr>
            <w:tcW w:w="1308" w:type="dxa"/>
            <w:tcBorders>
              <w:top w:val="nil"/>
              <w:left w:val="nil"/>
              <w:bottom w:val="single" w:sz="4" w:space="0" w:color="auto"/>
              <w:right w:val="single" w:sz="4" w:space="0" w:color="auto"/>
            </w:tcBorders>
            <w:noWrap/>
            <w:vAlign w:val="center"/>
            <w:hideMark/>
          </w:tcPr>
          <w:p w14:paraId="0FA0560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1510FD1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4DBD4832"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5F23B91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LAM4609</w:t>
            </w:r>
          </w:p>
        </w:tc>
        <w:tc>
          <w:tcPr>
            <w:tcW w:w="1206" w:type="dxa"/>
            <w:tcBorders>
              <w:top w:val="nil"/>
              <w:left w:val="nil"/>
              <w:bottom w:val="single" w:sz="4" w:space="0" w:color="auto"/>
              <w:right w:val="single" w:sz="4" w:space="0" w:color="auto"/>
            </w:tcBorders>
            <w:noWrap/>
            <w:vAlign w:val="center"/>
            <w:hideMark/>
          </w:tcPr>
          <w:p w14:paraId="7881574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14FD9B5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603DA8D4" w14:textId="2679902C"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Explotación De Hidrocarburos Platanillo</w:t>
            </w:r>
          </w:p>
        </w:tc>
        <w:tc>
          <w:tcPr>
            <w:tcW w:w="1308" w:type="dxa"/>
            <w:tcBorders>
              <w:top w:val="nil"/>
              <w:left w:val="nil"/>
              <w:bottom w:val="single" w:sz="4" w:space="0" w:color="auto"/>
              <w:right w:val="single" w:sz="4" w:space="0" w:color="auto"/>
            </w:tcBorders>
            <w:noWrap/>
            <w:vAlign w:val="center"/>
            <w:hideMark/>
          </w:tcPr>
          <w:p w14:paraId="3882C4C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0BC2DDA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4E0CF021"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718796C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LAM5025</w:t>
            </w:r>
          </w:p>
        </w:tc>
        <w:tc>
          <w:tcPr>
            <w:tcW w:w="1206" w:type="dxa"/>
            <w:tcBorders>
              <w:top w:val="nil"/>
              <w:left w:val="nil"/>
              <w:bottom w:val="single" w:sz="4" w:space="0" w:color="auto"/>
              <w:right w:val="single" w:sz="4" w:space="0" w:color="auto"/>
            </w:tcBorders>
            <w:noWrap/>
            <w:vAlign w:val="center"/>
            <w:hideMark/>
          </w:tcPr>
          <w:p w14:paraId="79B050B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7C15899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614B8113" w14:textId="75F0F66B"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Interés Exploratoria Alea 1848-A</w:t>
            </w:r>
          </w:p>
        </w:tc>
        <w:tc>
          <w:tcPr>
            <w:tcW w:w="1308" w:type="dxa"/>
            <w:tcBorders>
              <w:top w:val="nil"/>
              <w:left w:val="nil"/>
              <w:bottom w:val="single" w:sz="4" w:space="0" w:color="auto"/>
              <w:right w:val="single" w:sz="4" w:space="0" w:color="auto"/>
            </w:tcBorders>
            <w:noWrap/>
            <w:vAlign w:val="center"/>
            <w:hideMark/>
          </w:tcPr>
          <w:p w14:paraId="28A3AA6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29CD8FA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513F4E1A"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6165027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LAM5887</w:t>
            </w:r>
          </w:p>
        </w:tc>
        <w:tc>
          <w:tcPr>
            <w:tcW w:w="1206" w:type="dxa"/>
            <w:tcBorders>
              <w:top w:val="nil"/>
              <w:left w:val="nil"/>
              <w:bottom w:val="single" w:sz="4" w:space="0" w:color="auto"/>
              <w:right w:val="single" w:sz="4" w:space="0" w:color="auto"/>
            </w:tcBorders>
            <w:noWrap/>
            <w:vAlign w:val="center"/>
            <w:hideMark/>
          </w:tcPr>
          <w:p w14:paraId="7B1D9A2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39B09A99"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4727A8F0" w14:textId="6BC42B77"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La Cabaña</w:t>
            </w:r>
          </w:p>
        </w:tc>
        <w:tc>
          <w:tcPr>
            <w:tcW w:w="1308" w:type="dxa"/>
            <w:tcBorders>
              <w:top w:val="nil"/>
              <w:left w:val="nil"/>
              <w:bottom w:val="single" w:sz="4" w:space="0" w:color="auto"/>
              <w:right w:val="single" w:sz="4" w:space="0" w:color="auto"/>
            </w:tcBorders>
            <w:noWrap/>
            <w:vAlign w:val="center"/>
            <w:hideMark/>
          </w:tcPr>
          <w:p w14:paraId="5788D25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36FADEBA"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5CF23EA7"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04A40EB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LAM7834-00</w:t>
            </w:r>
          </w:p>
        </w:tc>
        <w:tc>
          <w:tcPr>
            <w:tcW w:w="1206" w:type="dxa"/>
            <w:tcBorders>
              <w:top w:val="nil"/>
              <w:left w:val="nil"/>
              <w:bottom w:val="single" w:sz="4" w:space="0" w:color="auto"/>
              <w:right w:val="single" w:sz="4" w:space="0" w:color="auto"/>
            </w:tcBorders>
            <w:noWrap/>
            <w:vAlign w:val="center"/>
            <w:hideMark/>
          </w:tcPr>
          <w:p w14:paraId="24D46E9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04A2C1D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Transporte y Conducción</w:t>
            </w:r>
          </w:p>
        </w:tc>
        <w:tc>
          <w:tcPr>
            <w:tcW w:w="2938" w:type="dxa"/>
            <w:tcBorders>
              <w:top w:val="nil"/>
              <w:left w:val="nil"/>
              <w:bottom w:val="single" w:sz="4" w:space="0" w:color="auto"/>
              <w:right w:val="single" w:sz="4" w:space="0" w:color="auto"/>
            </w:tcBorders>
            <w:noWrap/>
            <w:vAlign w:val="center"/>
            <w:hideMark/>
          </w:tcPr>
          <w:p w14:paraId="72F21C2E" w14:textId="243B6A00"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Áreas Operativas De La Gerencia Sur Existentes Y En Operación (Orito, Sur, Occidente Y Nororiente)</w:t>
            </w:r>
          </w:p>
        </w:tc>
        <w:tc>
          <w:tcPr>
            <w:tcW w:w="1308" w:type="dxa"/>
            <w:tcBorders>
              <w:top w:val="nil"/>
              <w:left w:val="nil"/>
              <w:bottom w:val="single" w:sz="4" w:space="0" w:color="auto"/>
              <w:right w:val="single" w:sz="4" w:space="0" w:color="auto"/>
            </w:tcBorders>
            <w:noWrap/>
            <w:vAlign w:val="center"/>
            <w:hideMark/>
          </w:tcPr>
          <w:p w14:paraId="4D3005D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465C45E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497A365F"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545A6C0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LAV0020-00-2017</w:t>
            </w:r>
          </w:p>
        </w:tc>
        <w:tc>
          <w:tcPr>
            <w:tcW w:w="1206" w:type="dxa"/>
            <w:tcBorders>
              <w:top w:val="nil"/>
              <w:left w:val="nil"/>
              <w:bottom w:val="single" w:sz="4" w:space="0" w:color="auto"/>
              <w:right w:val="single" w:sz="4" w:space="0" w:color="auto"/>
            </w:tcBorders>
            <w:noWrap/>
            <w:vAlign w:val="center"/>
            <w:hideMark/>
          </w:tcPr>
          <w:p w14:paraId="2BF0115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33D59ED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253BFB25" w14:textId="39CE5D1E"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Perforación Exploratoria </w:t>
            </w:r>
            <w:proofErr w:type="spellStart"/>
            <w:r w:rsidRPr="00B450EB">
              <w:rPr>
                <w:rFonts w:eastAsia="Times New Roman" w:cs="Arial"/>
                <w:kern w:val="0"/>
                <w:sz w:val="14"/>
                <w:szCs w:val="14"/>
                <w:lang w:eastAsia="es-CO"/>
                <w14:ligatures w14:val="none"/>
              </w:rPr>
              <w:t>Pomorroso</w:t>
            </w:r>
            <w:proofErr w:type="spellEnd"/>
          </w:p>
        </w:tc>
        <w:tc>
          <w:tcPr>
            <w:tcW w:w="1308" w:type="dxa"/>
            <w:tcBorders>
              <w:top w:val="nil"/>
              <w:left w:val="nil"/>
              <w:bottom w:val="single" w:sz="4" w:space="0" w:color="auto"/>
              <w:right w:val="single" w:sz="4" w:space="0" w:color="auto"/>
            </w:tcBorders>
            <w:noWrap/>
            <w:vAlign w:val="center"/>
            <w:hideMark/>
          </w:tcPr>
          <w:p w14:paraId="091E8E2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743FAA6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731E6BBD"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7084B074"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LAV0056-00-2015</w:t>
            </w:r>
          </w:p>
        </w:tc>
        <w:tc>
          <w:tcPr>
            <w:tcW w:w="1206" w:type="dxa"/>
            <w:tcBorders>
              <w:top w:val="nil"/>
              <w:left w:val="nil"/>
              <w:bottom w:val="single" w:sz="4" w:space="0" w:color="auto"/>
              <w:right w:val="single" w:sz="4" w:space="0" w:color="auto"/>
            </w:tcBorders>
            <w:noWrap/>
            <w:vAlign w:val="center"/>
            <w:hideMark/>
          </w:tcPr>
          <w:p w14:paraId="2D72391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1205176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685E868E" w14:textId="2535F5D3"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Perforación Exploratoria Cumplidor</w:t>
            </w:r>
          </w:p>
        </w:tc>
        <w:tc>
          <w:tcPr>
            <w:tcW w:w="1308" w:type="dxa"/>
            <w:tcBorders>
              <w:top w:val="nil"/>
              <w:left w:val="nil"/>
              <w:bottom w:val="single" w:sz="4" w:space="0" w:color="auto"/>
              <w:right w:val="single" w:sz="4" w:space="0" w:color="auto"/>
            </w:tcBorders>
            <w:noWrap/>
            <w:vAlign w:val="center"/>
            <w:hideMark/>
          </w:tcPr>
          <w:p w14:paraId="0D5CD6C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3DA80D99"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619BD89D"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71182499"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LAV0062-00-2016</w:t>
            </w:r>
          </w:p>
        </w:tc>
        <w:tc>
          <w:tcPr>
            <w:tcW w:w="1206" w:type="dxa"/>
            <w:tcBorders>
              <w:top w:val="nil"/>
              <w:left w:val="nil"/>
              <w:bottom w:val="single" w:sz="4" w:space="0" w:color="auto"/>
              <w:right w:val="single" w:sz="4" w:space="0" w:color="auto"/>
            </w:tcBorders>
            <w:noWrap/>
            <w:vAlign w:val="center"/>
            <w:hideMark/>
          </w:tcPr>
          <w:p w14:paraId="4640F3F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44DD659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7C8E1CAD" w14:textId="44503FA7"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Perforación Exploratoria </w:t>
            </w:r>
            <w:proofErr w:type="spellStart"/>
            <w:r w:rsidRPr="00B450EB">
              <w:rPr>
                <w:rFonts w:eastAsia="Times New Roman" w:cs="Arial"/>
                <w:kern w:val="0"/>
                <w:sz w:val="14"/>
                <w:szCs w:val="14"/>
                <w:lang w:eastAsia="es-CO"/>
                <w14:ligatures w14:val="none"/>
              </w:rPr>
              <w:t>Siriri</w:t>
            </w:r>
            <w:proofErr w:type="spellEnd"/>
          </w:p>
        </w:tc>
        <w:tc>
          <w:tcPr>
            <w:tcW w:w="1308" w:type="dxa"/>
            <w:tcBorders>
              <w:top w:val="nil"/>
              <w:left w:val="nil"/>
              <w:bottom w:val="single" w:sz="4" w:space="0" w:color="auto"/>
              <w:right w:val="single" w:sz="4" w:space="0" w:color="auto"/>
            </w:tcBorders>
            <w:noWrap/>
            <w:vAlign w:val="center"/>
            <w:hideMark/>
          </w:tcPr>
          <w:p w14:paraId="72EF111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5870272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1076305B"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32D1F52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LAV0075-00-2015</w:t>
            </w:r>
          </w:p>
        </w:tc>
        <w:tc>
          <w:tcPr>
            <w:tcW w:w="1206" w:type="dxa"/>
            <w:tcBorders>
              <w:top w:val="nil"/>
              <w:left w:val="nil"/>
              <w:bottom w:val="single" w:sz="4" w:space="0" w:color="auto"/>
              <w:right w:val="single" w:sz="4" w:space="0" w:color="auto"/>
            </w:tcBorders>
            <w:noWrap/>
            <w:vAlign w:val="center"/>
            <w:hideMark/>
          </w:tcPr>
          <w:p w14:paraId="3BB58A4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3E872587"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nil"/>
              <w:left w:val="nil"/>
              <w:bottom w:val="single" w:sz="4" w:space="0" w:color="auto"/>
              <w:right w:val="single" w:sz="4" w:space="0" w:color="auto"/>
            </w:tcBorders>
            <w:noWrap/>
            <w:vAlign w:val="center"/>
            <w:hideMark/>
          </w:tcPr>
          <w:p w14:paraId="61B7946B" w14:textId="76F542EF"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Campo De Producción Mirto Dentro Del Bloque Maranta</w:t>
            </w:r>
          </w:p>
        </w:tc>
        <w:tc>
          <w:tcPr>
            <w:tcW w:w="1308" w:type="dxa"/>
            <w:tcBorders>
              <w:top w:val="nil"/>
              <w:left w:val="nil"/>
              <w:bottom w:val="single" w:sz="4" w:space="0" w:color="auto"/>
              <w:right w:val="single" w:sz="4" w:space="0" w:color="auto"/>
            </w:tcBorders>
            <w:noWrap/>
            <w:vAlign w:val="center"/>
            <w:hideMark/>
          </w:tcPr>
          <w:p w14:paraId="5AC5A7A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nil"/>
              <w:left w:val="nil"/>
              <w:bottom w:val="single" w:sz="4" w:space="0" w:color="auto"/>
              <w:right w:val="single" w:sz="4" w:space="0" w:color="auto"/>
            </w:tcBorders>
            <w:noWrap/>
            <w:vAlign w:val="center"/>
            <w:hideMark/>
          </w:tcPr>
          <w:p w14:paraId="6BBEC41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5C41AE08"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2129BFF1"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LAV0005-00-2022</w:t>
            </w:r>
          </w:p>
        </w:tc>
        <w:tc>
          <w:tcPr>
            <w:tcW w:w="1206" w:type="dxa"/>
            <w:tcBorders>
              <w:top w:val="nil"/>
              <w:left w:val="nil"/>
              <w:bottom w:val="single" w:sz="4" w:space="0" w:color="auto"/>
              <w:right w:val="single" w:sz="4" w:space="0" w:color="auto"/>
            </w:tcBorders>
            <w:noWrap/>
            <w:vAlign w:val="center"/>
            <w:hideMark/>
          </w:tcPr>
          <w:p w14:paraId="59B552D2"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1C372D1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 / Explotación</w:t>
            </w:r>
          </w:p>
        </w:tc>
        <w:tc>
          <w:tcPr>
            <w:tcW w:w="2938" w:type="dxa"/>
            <w:tcBorders>
              <w:top w:val="nil"/>
              <w:left w:val="nil"/>
              <w:bottom w:val="single" w:sz="4" w:space="0" w:color="auto"/>
              <w:right w:val="single" w:sz="4" w:space="0" w:color="auto"/>
            </w:tcBorders>
            <w:noWrap/>
            <w:vAlign w:val="center"/>
            <w:hideMark/>
          </w:tcPr>
          <w:p w14:paraId="0BC89270" w14:textId="6FC76C8C"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Desarrollo Cumplidor Norte</w:t>
            </w:r>
          </w:p>
        </w:tc>
        <w:tc>
          <w:tcPr>
            <w:tcW w:w="1308" w:type="dxa"/>
            <w:tcBorders>
              <w:top w:val="nil"/>
              <w:left w:val="nil"/>
              <w:bottom w:val="single" w:sz="4" w:space="0" w:color="auto"/>
              <w:right w:val="single" w:sz="4" w:space="0" w:color="auto"/>
            </w:tcBorders>
            <w:noWrap/>
            <w:vAlign w:val="center"/>
            <w:hideMark/>
          </w:tcPr>
          <w:p w14:paraId="28A67B1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proofErr w:type="spellStart"/>
            <w:r w:rsidRPr="00B450EB">
              <w:rPr>
                <w:rFonts w:eastAsia="Times New Roman" w:cs="Arial"/>
                <w:kern w:val="0"/>
                <w:sz w:val="14"/>
                <w:szCs w:val="14"/>
                <w:lang w:eastAsia="es-CO"/>
                <w14:ligatures w14:val="none"/>
              </w:rPr>
              <w:t>Preconstrucción</w:t>
            </w:r>
            <w:proofErr w:type="spellEnd"/>
          </w:p>
        </w:tc>
        <w:tc>
          <w:tcPr>
            <w:tcW w:w="1343" w:type="dxa"/>
            <w:tcBorders>
              <w:top w:val="nil"/>
              <w:left w:val="nil"/>
              <w:bottom w:val="single" w:sz="4" w:space="0" w:color="auto"/>
              <w:right w:val="single" w:sz="4" w:space="0" w:color="auto"/>
            </w:tcBorders>
            <w:noWrap/>
            <w:vAlign w:val="center"/>
            <w:hideMark/>
          </w:tcPr>
          <w:p w14:paraId="15CC5E1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6EF0CAD6" w14:textId="77777777" w:rsidTr="00F425D1">
        <w:trPr>
          <w:trHeight w:val="288"/>
        </w:trPr>
        <w:tc>
          <w:tcPr>
            <w:tcW w:w="1104" w:type="dxa"/>
            <w:tcBorders>
              <w:top w:val="nil"/>
              <w:left w:val="single" w:sz="4" w:space="0" w:color="auto"/>
              <w:bottom w:val="single" w:sz="4" w:space="0" w:color="auto"/>
              <w:right w:val="single" w:sz="4" w:space="0" w:color="auto"/>
            </w:tcBorders>
            <w:noWrap/>
            <w:vAlign w:val="center"/>
            <w:hideMark/>
          </w:tcPr>
          <w:p w14:paraId="1BF4926F"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LAV0033-00-2019</w:t>
            </w:r>
          </w:p>
        </w:tc>
        <w:tc>
          <w:tcPr>
            <w:tcW w:w="1206" w:type="dxa"/>
            <w:tcBorders>
              <w:top w:val="nil"/>
              <w:left w:val="nil"/>
              <w:bottom w:val="single" w:sz="4" w:space="0" w:color="auto"/>
              <w:right w:val="single" w:sz="4" w:space="0" w:color="auto"/>
            </w:tcBorders>
            <w:noWrap/>
            <w:vAlign w:val="center"/>
            <w:hideMark/>
          </w:tcPr>
          <w:p w14:paraId="10A27FC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450D75EC"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w:t>
            </w:r>
          </w:p>
        </w:tc>
        <w:tc>
          <w:tcPr>
            <w:tcW w:w="2938" w:type="dxa"/>
            <w:tcBorders>
              <w:top w:val="nil"/>
              <w:left w:val="nil"/>
              <w:bottom w:val="single" w:sz="4" w:space="0" w:color="auto"/>
              <w:right w:val="single" w:sz="4" w:space="0" w:color="auto"/>
            </w:tcBorders>
            <w:noWrap/>
            <w:vAlign w:val="center"/>
            <w:hideMark/>
          </w:tcPr>
          <w:p w14:paraId="3071BD25" w14:textId="0E7A1AA9"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Desarrollo </w:t>
            </w:r>
            <w:proofErr w:type="spellStart"/>
            <w:r w:rsidRPr="00B450EB">
              <w:rPr>
                <w:rFonts w:eastAsia="Times New Roman" w:cs="Arial"/>
                <w:kern w:val="0"/>
                <w:sz w:val="14"/>
                <w:szCs w:val="14"/>
                <w:lang w:eastAsia="es-CO"/>
                <w14:ligatures w14:val="none"/>
              </w:rPr>
              <w:t>Verderon</w:t>
            </w:r>
            <w:proofErr w:type="spellEnd"/>
            <w:r w:rsidRPr="00B450EB">
              <w:rPr>
                <w:rFonts w:eastAsia="Times New Roman" w:cs="Arial"/>
                <w:kern w:val="0"/>
                <w:sz w:val="14"/>
                <w:szCs w:val="14"/>
                <w:lang w:eastAsia="es-CO"/>
                <w14:ligatures w14:val="none"/>
              </w:rPr>
              <w:t xml:space="preserve"> (Put-4)</w:t>
            </w:r>
          </w:p>
        </w:tc>
        <w:tc>
          <w:tcPr>
            <w:tcW w:w="1308" w:type="dxa"/>
            <w:tcBorders>
              <w:top w:val="nil"/>
              <w:left w:val="nil"/>
              <w:bottom w:val="single" w:sz="4" w:space="0" w:color="auto"/>
              <w:right w:val="single" w:sz="4" w:space="0" w:color="auto"/>
            </w:tcBorders>
            <w:noWrap/>
            <w:vAlign w:val="center"/>
            <w:hideMark/>
          </w:tcPr>
          <w:p w14:paraId="1672093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proofErr w:type="spellStart"/>
            <w:r w:rsidRPr="00B450EB">
              <w:rPr>
                <w:rFonts w:eastAsia="Times New Roman" w:cs="Arial"/>
                <w:kern w:val="0"/>
                <w:sz w:val="14"/>
                <w:szCs w:val="14"/>
                <w:lang w:eastAsia="es-CO"/>
                <w14:ligatures w14:val="none"/>
              </w:rPr>
              <w:t>Preconstrucción</w:t>
            </w:r>
            <w:proofErr w:type="spellEnd"/>
          </w:p>
        </w:tc>
        <w:tc>
          <w:tcPr>
            <w:tcW w:w="1343" w:type="dxa"/>
            <w:tcBorders>
              <w:top w:val="nil"/>
              <w:left w:val="nil"/>
              <w:bottom w:val="single" w:sz="4" w:space="0" w:color="auto"/>
              <w:right w:val="single" w:sz="4" w:space="0" w:color="auto"/>
            </w:tcBorders>
            <w:noWrap/>
            <w:vAlign w:val="center"/>
            <w:hideMark/>
          </w:tcPr>
          <w:p w14:paraId="2FD73AA0"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30FFBD81" w14:textId="77777777" w:rsidTr="00160BA8">
        <w:trPr>
          <w:trHeight w:val="288"/>
        </w:trPr>
        <w:tc>
          <w:tcPr>
            <w:tcW w:w="1104" w:type="dxa"/>
            <w:tcBorders>
              <w:top w:val="nil"/>
              <w:left w:val="single" w:sz="4" w:space="0" w:color="auto"/>
              <w:bottom w:val="single" w:sz="4" w:space="0" w:color="auto"/>
              <w:right w:val="single" w:sz="4" w:space="0" w:color="auto"/>
            </w:tcBorders>
            <w:noWrap/>
            <w:vAlign w:val="center"/>
            <w:hideMark/>
          </w:tcPr>
          <w:p w14:paraId="26A2753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LAV0040-00-2022</w:t>
            </w:r>
          </w:p>
        </w:tc>
        <w:tc>
          <w:tcPr>
            <w:tcW w:w="1206" w:type="dxa"/>
            <w:tcBorders>
              <w:top w:val="nil"/>
              <w:left w:val="nil"/>
              <w:bottom w:val="single" w:sz="4" w:space="0" w:color="auto"/>
              <w:right w:val="single" w:sz="4" w:space="0" w:color="auto"/>
            </w:tcBorders>
            <w:noWrap/>
            <w:vAlign w:val="center"/>
            <w:hideMark/>
          </w:tcPr>
          <w:p w14:paraId="4177BA6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nil"/>
              <w:left w:val="nil"/>
              <w:bottom w:val="single" w:sz="4" w:space="0" w:color="auto"/>
              <w:right w:val="single" w:sz="4" w:space="0" w:color="auto"/>
            </w:tcBorders>
            <w:noWrap/>
            <w:vAlign w:val="center"/>
            <w:hideMark/>
          </w:tcPr>
          <w:p w14:paraId="2936480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 / Explotación</w:t>
            </w:r>
          </w:p>
        </w:tc>
        <w:tc>
          <w:tcPr>
            <w:tcW w:w="2938" w:type="dxa"/>
            <w:tcBorders>
              <w:top w:val="nil"/>
              <w:left w:val="nil"/>
              <w:bottom w:val="single" w:sz="4" w:space="0" w:color="auto"/>
              <w:right w:val="single" w:sz="4" w:space="0" w:color="auto"/>
            </w:tcBorders>
            <w:noWrap/>
            <w:vAlign w:val="center"/>
            <w:hideMark/>
          </w:tcPr>
          <w:p w14:paraId="2275E2C7" w14:textId="73F29DEE"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Área De Desarrollo - Ad </w:t>
            </w:r>
            <w:proofErr w:type="spellStart"/>
            <w:r w:rsidRPr="00B450EB">
              <w:rPr>
                <w:rFonts w:eastAsia="Times New Roman" w:cs="Arial"/>
                <w:kern w:val="0"/>
                <w:sz w:val="14"/>
                <w:szCs w:val="14"/>
                <w:lang w:eastAsia="es-CO"/>
                <w14:ligatures w14:val="none"/>
              </w:rPr>
              <w:t>Bienparado</w:t>
            </w:r>
            <w:proofErr w:type="spellEnd"/>
            <w:r w:rsidRPr="00B450EB">
              <w:rPr>
                <w:rFonts w:eastAsia="Times New Roman" w:cs="Arial"/>
                <w:kern w:val="0"/>
                <w:sz w:val="14"/>
                <w:szCs w:val="14"/>
                <w:lang w:eastAsia="es-CO"/>
                <w14:ligatures w14:val="none"/>
              </w:rPr>
              <w:t xml:space="preserve">, Bloque </w:t>
            </w:r>
            <w:proofErr w:type="spellStart"/>
            <w:r w:rsidRPr="00B450EB">
              <w:rPr>
                <w:rFonts w:eastAsia="Times New Roman" w:cs="Arial"/>
                <w:kern w:val="0"/>
                <w:sz w:val="14"/>
                <w:szCs w:val="14"/>
                <w:lang w:eastAsia="es-CO"/>
                <w14:ligatures w14:val="none"/>
              </w:rPr>
              <w:t>Put</w:t>
            </w:r>
            <w:proofErr w:type="spellEnd"/>
            <w:r w:rsidRPr="00B450EB">
              <w:rPr>
                <w:rFonts w:eastAsia="Times New Roman" w:cs="Arial"/>
                <w:kern w:val="0"/>
                <w:sz w:val="14"/>
                <w:szCs w:val="14"/>
                <w:lang w:eastAsia="es-CO"/>
                <w14:ligatures w14:val="none"/>
              </w:rPr>
              <w:t xml:space="preserve"> 8</w:t>
            </w:r>
          </w:p>
        </w:tc>
        <w:tc>
          <w:tcPr>
            <w:tcW w:w="1308" w:type="dxa"/>
            <w:tcBorders>
              <w:top w:val="nil"/>
              <w:left w:val="nil"/>
              <w:bottom w:val="single" w:sz="4" w:space="0" w:color="auto"/>
              <w:right w:val="single" w:sz="4" w:space="0" w:color="auto"/>
            </w:tcBorders>
            <w:noWrap/>
            <w:vAlign w:val="center"/>
            <w:hideMark/>
          </w:tcPr>
          <w:p w14:paraId="1F89A28B"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proofErr w:type="spellStart"/>
            <w:r w:rsidRPr="00B450EB">
              <w:rPr>
                <w:rFonts w:eastAsia="Times New Roman" w:cs="Arial"/>
                <w:kern w:val="0"/>
                <w:sz w:val="14"/>
                <w:szCs w:val="14"/>
                <w:lang w:eastAsia="es-CO"/>
                <w14:ligatures w14:val="none"/>
              </w:rPr>
              <w:t>Preconstrucción</w:t>
            </w:r>
            <w:proofErr w:type="spellEnd"/>
          </w:p>
        </w:tc>
        <w:tc>
          <w:tcPr>
            <w:tcW w:w="1343" w:type="dxa"/>
            <w:tcBorders>
              <w:top w:val="nil"/>
              <w:left w:val="nil"/>
              <w:bottom w:val="single" w:sz="4" w:space="0" w:color="auto"/>
              <w:right w:val="single" w:sz="4" w:space="0" w:color="auto"/>
            </w:tcBorders>
            <w:noWrap/>
            <w:vAlign w:val="center"/>
            <w:hideMark/>
          </w:tcPr>
          <w:p w14:paraId="7E2D7573"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7E535DC3" w14:textId="77777777" w:rsidTr="00160BA8">
        <w:trPr>
          <w:trHeight w:val="288"/>
        </w:trPr>
        <w:tc>
          <w:tcPr>
            <w:tcW w:w="1104" w:type="dxa"/>
            <w:tcBorders>
              <w:top w:val="single" w:sz="4" w:space="0" w:color="auto"/>
              <w:left w:val="single" w:sz="4" w:space="0" w:color="auto"/>
              <w:bottom w:val="single" w:sz="4" w:space="0" w:color="auto"/>
              <w:right w:val="single" w:sz="4" w:space="0" w:color="auto"/>
            </w:tcBorders>
            <w:noWrap/>
            <w:vAlign w:val="center"/>
            <w:hideMark/>
          </w:tcPr>
          <w:p w14:paraId="5E15DA19"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LAV0042-00-2017</w:t>
            </w:r>
          </w:p>
        </w:tc>
        <w:tc>
          <w:tcPr>
            <w:tcW w:w="1206" w:type="dxa"/>
            <w:tcBorders>
              <w:top w:val="single" w:sz="4" w:space="0" w:color="auto"/>
              <w:left w:val="nil"/>
              <w:bottom w:val="single" w:sz="4" w:space="0" w:color="auto"/>
              <w:right w:val="single" w:sz="4" w:space="0" w:color="auto"/>
            </w:tcBorders>
            <w:noWrap/>
            <w:vAlign w:val="center"/>
            <w:hideMark/>
          </w:tcPr>
          <w:p w14:paraId="075CE1EE"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single" w:sz="4" w:space="0" w:color="auto"/>
              <w:left w:val="nil"/>
              <w:bottom w:val="single" w:sz="4" w:space="0" w:color="auto"/>
              <w:right w:val="single" w:sz="4" w:space="0" w:color="auto"/>
            </w:tcBorders>
            <w:noWrap/>
            <w:vAlign w:val="center"/>
            <w:hideMark/>
          </w:tcPr>
          <w:p w14:paraId="115409B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Explotación</w:t>
            </w:r>
          </w:p>
        </w:tc>
        <w:tc>
          <w:tcPr>
            <w:tcW w:w="2938" w:type="dxa"/>
            <w:tcBorders>
              <w:top w:val="single" w:sz="4" w:space="0" w:color="auto"/>
              <w:left w:val="nil"/>
              <w:bottom w:val="single" w:sz="4" w:space="0" w:color="auto"/>
              <w:right w:val="single" w:sz="4" w:space="0" w:color="auto"/>
            </w:tcBorders>
            <w:noWrap/>
            <w:vAlign w:val="center"/>
            <w:hideMark/>
          </w:tcPr>
          <w:p w14:paraId="6005189A" w14:textId="7B77008B"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Proyecto Colibrí Bloque </w:t>
            </w:r>
            <w:proofErr w:type="spellStart"/>
            <w:r w:rsidRPr="00B450EB">
              <w:rPr>
                <w:rFonts w:eastAsia="Times New Roman" w:cs="Arial"/>
                <w:kern w:val="0"/>
                <w:sz w:val="14"/>
                <w:szCs w:val="14"/>
                <w:lang w:eastAsia="es-CO"/>
                <w14:ligatures w14:val="none"/>
              </w:rPr>
              <w:t>Put</w:t>
            </w:r>
            <w:proofErr w:type="spellEnd"/>
            <w:r w:rsidRPr="00B450EB">
              <w:rPr>
                <w:rFonts w:eastAsia="Times New Roman" w:cs="Arial"/>
                <w:kern w:val="0"/>
                <w:sz w:val="14"/>
                <w:szCs w:val="14"/>
                <w:lang w:eastAsia="es-CO"/>
                <w14:ligatures w14:val="none"/>
              </w:rPr>
              <w:t xml:space="preserve"> 4</w:t>
            </w:r>
          </w:p>
        </w:tc>
        <w:tc>
          <w:tcPr>
            <w:tcW w:w="1308" w:type="dxa"/>
            <w:tcBorders>
              <w:top w:val="single" w:sz="4" w:space="0" w:color="auto"/>
              <w:left w:val="nil"/>
              <w:bottom w:val="single" w:sz="4" w:space="0" w:color="auto"/>
              <w:right w:val="single" w:sz="4" w:space="0" w:color="auto"/>
            </w:tcBorders>
            <w:noWrap/>
            <w:vAlign w:val="center"/>
            <w:hideMark/>
          </w:tcPr>
          <w:p w14:paraId="3E8DC07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proofErr w:type="spellStart"/>
            <w:r w:rsidRPr="00B450EB">
              <w:rPr>
                <w:rFonts w:eastAsia="Times New Roman" w:cs="Arial"/>
                <w:kern w:val="0"/>
                <w:sz w:val="14"/>
                <w:szCs w:val="14"/>
                <w:lang w:eastAsia="es-CO"/>
                <w14:ligatures w14:val="none"/>
              </w:rPr>
              <w:t>Preconstrucción</w:t>
            </w:r>
            <w:proofErr w:type="spellEnd"/>
          </w:p>
        </w:tc>
        <w:tc>
          <w:tcPr>
            <w:tcW w:w="1343" w:type="dxa"/>
            <w:tcBorders>
              <w:top w:val="single" w:sz="4" w:space="0" w:color="auto"/>
              <w:left w:val="nil"/>
              <w:bottom w:val="single" w:sz="4" w:space="0" w:color="auto"/>
              <w:right w:val="single" w:sz="4" w:space="0" w:color="auto"/>
            </w:tcBorders>
            <w:noWrap/>
            <w:vAlign w:val="center"/>
            <w:hideMark/>
          </w:tcPr>
          <w:p w14:paraId="5F1D33A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68C2F910" w14:textId="77777777" w:rsidTr="00160BA8">
        <w:trPr>
          <w:trHeight w:val="288"/>
        </w:trPr>
        <w:tc>
          <w:tcPr>
            <w:tcW w:w="1104" w:type="dxa"/>
            <w:tcBorders>
              <w:top w:val="single" w:sz="4" w:space="0" w:color="auto"/>
              <w:left w:val="single" w:sz="4" w:space="0" w:color="auto"/>
              <w:bottom w:val="single" w:sz="4" w:space="0" w:color="auto"/>
              <w:right w:val="single" w:sz="4" w:space="0" w:color="auto"/>
            </w:tcBorders>
            <w:noWrap/>
            <w:vAlign w:val="center"/>
            <w:hideMark/>
          </w:tcPr>
          <w:p w14:paraId="5F4108B6"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LAV0047-00-2023</w:t>
            </w:r>
          </w:p>
        </w:tc>
        <w:tc>
          <w:tcPr>
            <w:tcW w:w="1206" w:type="dxa"/>
            <w:tcBorders>
              <w:top w:val="single" w:sz="4" w:space="0" w:color="auto"/>
              <w:left w:val="nil"/>
              <w:bottom w:val="single" w:sz="4" w:space="0" w:color="auto"/>
              <w:right w:val="single" w:sz="4" w:space="0" w:color="auto"/>
            </w:tcBorders>
            <w:noWrap/>
            <w:vAlign w:val="center"/>
            <w:hideMark/>
          </w:tcPr>
          <w:p w14:paraId="5CF8062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Hidrocarburos</w:t>
            </w:r>
          </w:p>
        </w:tc>
        <w:tc>
          <w:tcPr>
            <w:tcW w:w="1043" w:type="dxa"/>
            <w:tcBorders>
              <w:top w:val="single" w:sz="4" w:space="0" w:color="auto"/>
              <w:left w:val="nil"/>
              <w:bottom w:val="single" w:sz="4" w:space="0" w:color="auto"/>
              <w:right w:val="single" w:sz="4" w:space="0" w:color="auto"/>
            </w:tcBorders>
            <w:noWrap/>
            <w:vAlign w:val="center"/>
            <w:hideMark/>
          </w:tcPr>
          <w:p w14:paraId="321116C8"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Exploración / Explotación</w:t>
            </w:r>
          </w:p>
        </w:tc>
        <w:tc>
          <w:tcPr>
            <w:tcW w:w="2938" w:type="dxa"/>
            <w:tcBorders>
              <w:top w:val="single" w:sz="4" w:space="0" w:color="auto"/>
              <w:left w:val="nil"/>
              <w:bottom w:val="single" w:sz="4" w:space="0" w:color="auto"/>
              <w:right w:val="single" w:sz="4" w:space="0" w:color="auto"/>
            </w:tcBorders>
            <w:noWrap/>
            <w:vAlign w:val="center"/>
            <w:hideMark/>
          </w:tcPr>
          <w:p w14:paraId="54A3BFDC" w14:textId="07C75F9B" w:rsidR="009C6B53" w:rsidRPr="00B450EB" w:rsidRDefault="00C5683D"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Área De Desarrollo Genesis</w:t>
            </w:r>
          </w:p>
        </w:tc>
        <w:tc>
          <w:tcPr>
            <w:tcW w:w="1308" w:type="dxa"/>
            <w:tcBorders>
              <w:top w:val="single" w:sz="4" w:space="0" w:color="auto"/>
              <w:left w:val="nil"/>
              <w:bottom w:val="single" w:sz="4" w:space="0" w:color="auto"/>
              <w:right w:val="single" w:sz="4" w:space="0" w:color="auto"/>
            </w:tcBorders>
            <w:noWrap/>
            <w:vAlign w:val="center"/>
            <w:hideMark/>
          </w:tcPr>
          <w:p w14:paraId="29044685"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proofErr w:type="spellStart"/>
            <w:r w:rsidRPr="00B450EB">
              <w:rPr>
                <w:rFonts w:eastAsia="Times New Roman" w:cs="Arial"/>
                <w:kern w:val="0"/>
                <w:sz w:val="14"/>
                <w:szCs w:val="14"/>
                <w:lang w:eastAsia="es-CO"/>
                <w14:ligatures w14:val="none"/>
              </w:rPr>
              <w:t>Preconstrucción</w:t>
            </w:r>
            <w:proofErr w:type="spellEnd"/>
          </w:p>
        </w:tc>
        <w:tc>
          <w:tcPr>
            <w:tcW w:w="1343" w:type="dxa"/>
            <w:tcBorders>
              <w:top w:val="single" w:sz="4" w:space="0" w:color="auto"/>
              <w:left w:val="nil"/>
              <w:bottom w:val="single" w:sz="4" w:space="0" w:color="auto"/>
              <w:right w:val="single" w:sz="4" w:space="0" w:color="auto"/>
            </w:tcBorders>
            <w:noWrap/>
            <w:vAlign w:val="center"/>
            <w:hideMark/>
          </w:tcPr>
          <w:p w14:paraId="24122FDD" w14:textId="77777777" w:rsidR="009C6B53" w:rsidRPr="00B450EB" w:rsidRDefault="00756536" w:rsidP="00C5683D">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r w:rsidR="00205915" w:rsidRPr="00B450EB" w14:paraId="337B5A42" w14:textId="77777777" w:rsidTr="00160BA8">
        <w:trPr>
          <w:trHeight w:val="288"/>
        </w:trPr>
        <w:tc>
          <w:tcPr>
            <w:tcW w:w="1104" w:type="dxa"/>
            <w:tcBorders>
              <w:top w:val="single" w:sz="4" w:space="0" w:color="auto"/>
              <w:left w:val="single" w:sz="4" w:space="0" w:color="auto"/>
              <w:bottom w:val="single" w:sz="4" w:space="0" w:color="auto"/>
              <w:right w:val="single" w:sz="4" w:space="0" w:color="auto"/>
            </w:tcBorders>
            <w:noWrap/>
            <w:vAlign w:val="center"/>
          </w:tcPr>
          <w:p w14:paraId="7B9E3142" w14:textId="2E0B886E" w:rsidR="00511105" w:rsidRPr="00B450EB" w:rsidRDefault="00511105" w:rsidP="00511105">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LAM2070</w:t>
            </w:r>
          </w:p>
        </w:tc>
        <w:tc>
          <w:tcPr>
            <w:tcW w:w="1206" w:type="dxa"/>
            <w:tcBorders>
              <w:top w:val="single" w:sz="4" w:space="0" w:color="auto"/>
              <w:left w:val="nil"/>
              <w:bottom w:val="single" w:sz="4" w:space="0" w:color="auto"/>
              <w:right w:val="single" w:sz="4" w:space="0" w:color="auto"/>
            </w:tcBorders>
            <w:noWrap/>
            <w:vAlign w:val="center"/>
          </w:tcPr>
          <w:p w14:paraId="7ED4BDEA" w14:textId="6758BC1C" w:rsidR="00511105" w:rsidRPr="00B450EB" w:rsidRDefault="00511105" w:rsidP="00511105">
            <w:pPr>
              <w:spacing w:after="0" w:line="240" w:lineRule="auto"/>
              <w:jc w:val="center"/>
              <w:rPr>
                <w:rFonts w:eastAsia="Times New Roman" w:cs="Arial"/>
                <w:kern w:val="0"/>
                <w:sz w:val="14"/>
                <w:szCs w:val="14"/>
                <w:lang w:eastAsia="es-CO"/>
                <w14:ligatures w14:val="none"/>
              </w:rPr>
            </w:pPr>
            <w:r w:rsidRPr="00B450EB">
              <w:rPr>
                <w:sz w:val="14"/>
                <w:szCs w:val="14"/>
              </w:rPr>
              <w:t>Hidrocarburos</w:t>
            </w:r>
          </w:p>
        </w:tc>
        <w:tc>
          <w:tcPr>
            <w:tcW w:w="1043" w:type="dxa"/>
            <w:tcBorders>
              <w:top w:val="single" w:sz="4" w:space="0" w:color="auto"/>
              <w:left w:val="nil"/>
              <w:bottom w:val="single" w:sz="4" w:space="0" w:color="auto"/>
              <w:right w:val="single" w:sz="4" w:space="0" w:color="auto"/>
            </w:tcBorders>
            <w:noWrap/>
            <w:vAlign w:val="center"/>
          </w:tcPr>
          <w:p w14:paraId="4286AD79" w14:textId="52355B4F" w:rsidR="00511105" w:rsidRPr="00B450EB" w:rsidRDefault="00511105" w:rsidP="00511105">
            <w:pPr>
              <w:spacing w:after="0" w:line="240" w:lineRule="auto"/>
              <w:jc w:val="center"/>
              <w:rPr>
                <w:rFonts w:eastAsia="Times New Roman" w:cs="Arial"/>
                <w:kern w:val="0"/>
                <w:sz w:val="14"/>
                <w:szCs w:val="14"/>
                <w:lang w:eastAsia="es-CO"/>
                <w14:ligatures w14:val="none"/>
              </w:rPr>
            </w:pPr>
            <w:r w:rsidRPr="00B450EB">
              <w:rPr>
                <w:sz w:val="14"/>
                <w:szCs w:val="14"/>
              </w:rPr>
              <w:t>Explotación</w:t>
            </w:r>
          </w:p>
        </w:tc>
        <w:tc>
          <w:tcPr>
            <w:tcW w:w="2938" w:type="dxa"/>
            <w:tcBorders>
              <w:top w:val="single" w:sz="4" w:space="0" w:color="auto"/>
              <w:left w:val="nil"/>
              <w:bottom w:val="single" w:sz="4" w:space="0" w:color="auto"/>
              <w:right w:val="single" w:sz="4" w:space="0" w:color="auto"/>
            </w:tcBorders>
            <w:noWrap/>
            <w:vAlign w:val="center"/>
          </w:tcPr>
          <w:p w14:paraId="43B9D159" w14:textId="3B1BED45" w:rsidR="00511105" w:rsidRPr="00B450EB" w:rsidRDefault="00160BA8" w:rsidP="00511105">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Bloque Moqueta</w:t>
            </w:r>
          </w:p>
        </w:tc>
        <w:tc>
          <w:tcPr>
            <w:tcW w:w="1308" w:type="dxa"/>
            <w:tcBorders>
              <w:top w:val="single" w:sz="4" w:space="0" w:color="auto"/>
              <w:left w:val="nil"/>
              <w:bottom w:val="single" w:sz="4" w:space="0" w:color="auto"/>
              <w:right w:val="single" w:sz="4" w:space="0" w:color="auto"/>
            </w:tcBorders>
            <w:noWrap/>
            <w:vAlign w:val="center"/>
          </w:tcPr>
          <w:p w14:paraId="4AA12DBB" w14:textId="6DB99CAA" w:rsidR="00511105" w:rsidRPr="00B450EB" w:rsidRDefault="00A37132" w:rsidP="00511105">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Operación</w:t>
            </w:r>
          </w:p>
        </w:tc>
        <w:tc>
          <w:tcPr>
            <w:tcW w:w="1343" w:type="dxa"/>
            <w:tcBorders>
              <w:top w:val="single" w:sz="4" w:space="0" w:color="auto"/>
              <w:left w:val="nil"/>
              <w:bottom w:val="single" w:sz="4" w:space="0" w:color="auto"/>
              <w:right w:val="single" w:sz="4" w:space="0" w:color="auto"/>
            </w:tcBorders>
            <w:noWrap/>
            <w:vAlign w:val="center"/>
          </w:tcPr>
          <w:p w14:paraId="24643614" w14:textId="3643B16A" w:rsidR="00511105" w:rsidRPr="00B450EB" w:rsidRDefault="00A37132" w:rsidP="00511105">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PUTUMAYO</w:t>
            </w:r>
          </w:p>
        </w:tc>
      </w:tr>
    </w:tbl>
    <w:p w14:paraId="455054F5" w14:textId="0F5D71E8" w:rsidR="00F425D1" w:rsidRPr="00B450EB" w:rsidRDefault="000C5723" w:rsidP="000C5723">
      <w:pPr>
        <w:spacing w:after="0"/>
        <w:jc w:val="center"/>
        <w:rPr>
          <w:sz w:val="18"/>
          <w:szCs w:val="18"/>
        </w:rPr>
      </w:pPr>
      <w:r w:rsidRPr="00B450EB">
        <w:rPr>
          <w:sz w:val="18"/>
          <w:szCs w:val="18"/>
        </w:rPr>
        <w:t>Fuente: ANLA, 2025</w:t>
      </w:r>
    </w:p>
    <w:p w14:paraId="37868695" w14:textId="77777777" w:rsidR="0060336C" w:rsidRPr="00B450EB" w:rsidRDefault="0060336C" w:rsidP="000C5723">
      <w:pPr>
        <w:spacing w:after="0"/>
        <w:jc w:val="center"/>
        <w:rPr>
          <w:sz w:val="18"/>
          <w:szCs w:val="18"/>
        </w:rPr>
      </w:pPr>
    </w:p>
    <w:p w14:paraId="3C41E9A1" w14:textId="762DBB58" w:rsidR="00FC148E" w:rsidRPr="00B450EB" w:rsidRDefault="00284549" w:rsidP="000C5723">
      <w:pPr>
        <w:tabs>
          <w:tab w:val="left" w:pos="4957"/>
        </w:tabs>
        <w:rPr>
          <w:rFonts w:ascii="Arial Narrow" w:hAnsi="Arial Narrow"/>
        </w:rPr>
      </w:pPr>
      <w:r w:rsidRPr="00B450EB">
        <w:rPr>
          <w:rFonts w:ascii="Arial Narrow" w:hAnsi="Arial Narrow"/>
        </w:rPr>
        <w:t>Para identificar qué resguardos indígenas y consejos comunitarios presentan cruce espacial con proyectos licenciados existentes del sector de hidrocarburos, se efectuó el cruce entre la cartografía oficial de resguardos indígenas y consejos comunitarios, elaborada y publicada por la Agencia Nacional de Tierras (ANT), y la información contenida en la base de datos de la ANLA. Como resultado de este análisis, se identificaron las coincidencias que se relacionan en las siguientes tablas:</w:t>
      </w:r>
    </w:p>
    <w:p w14:paraId="538E9A3C" w14:textId="29B1915F" w:rsidR="00284549" w:rsidRPr="00B450EB" w:rsidRDefault="00882359" w:rsidP="00882359">
      <w:pPr>
        <w:pStyle w:val="Descripcin"/>
        <w:rPr>
          <w:color w:val="auto"/>
        </w:rPr>
      </w:pPr>
      <w:bookmarkStart w:id="181" w:name="_Toc209723004"/>
      <w:r w:rsidRPr="00B450EB">
        <w:rPr>
          <w:color w:val="auto"/>
        </w:rPr>
        <w:t xml:space="preserve">Tabla </w:t>
      </w:r>
      <w:r w:rsidRPr="00B450EB">
        <w:rPr>
          <w:color w:val="auto"/>
        </w:rPr>
        <w:fldChar w:fldCharType="begin"/>
      </w:r>
      <w:r w:rsidRPr="00B450EB">
        <w:rPr>
          <w:color w:val="auto"/>
        </w:rPr>
        <w:instrText xml:space="preserve"> SEQ Tabla \* ARABIC </w:instrText>
      </w:r>
      <w:r w:rsidRPr="00B450EB">
        <w:rPr>
          <w:color w:val="auto"/>
        </w:rPr>
        <w:fldChar w:fldCharType="separate"/>
      </w:r>
      <w:r w:rsidR="00BC4A10" w:rsidRPr="00B450EB">
        <w:rPr>
          <w:noProof/>
          <w:color w:val="auto"/>
        </w:rPr>
        <w:t>21</w:t>
      </w:r>
      <w:r w:rsidRPr="00B450EB">
        <w:rPr>
          <w:color w:val="auto"/>
        </w:rPr>
        <w:fldChar w:fldCharType="end"/>
      </w:r>
      <w:r w:rsidRPr="00B450EB">
        <w:rPr>
          <w:color w:val="auto"/>
        </w:rPr>
        <w:t>. Cruce de consejos comunitarios con proyectos licenciados de hidrocarburos</w:t>
      </w:r>
      <w:r w:rsidR="00621CBD" w:rsidRPr="00B450EB">
        <w:rPr>
          <w:color w:val="auto"/>
        </w:rPr>
        <w:t xml:space="preserve"> activos</w:t>
      </w:r>
      <w:bookmarkEnd w:id="181"/>
    </w:p>
    <w:tbl>
      <w:tblPr>
        <w:tblW w:w="8820" w:type="dxa"/>
        <w:jc w:val="center"/>
        <w:tblCellMar>
          <w:left w:w="70" w:type="dxa"/>
          <w:right w:w="70" w:type="dxa"/>
        </w:tblCellMar>
        <w:tblLook w:val="04A0" w:firstRow="1" w:lastRow="0" w:firstColumn="1" w:lastColumn="0" w:noHBand="0" w:noVBand="1"/>
      </w:tblPr>
      <w:tblGrid>
        <w:gridCol w:w="2083"/>
        <w:gridCol w:w="1031"/>
        <w:gridCol w:w="1982"/>
        <w:gridCol w:w="1041"/>
        <w:gridCol w:w="1101"/>
        <w:gridCol w:w="541"/>
        <w:gridCol w:w="1041"/>
      </w:tblGrid>
      <w:tr w:rsidR="00205915" w:rsidRPr="00B450EB" w14:paraId="06223457" w14:textId="77777777" w:rsidTr="00882359">
        <w:trPr>
          <w:trHeight w:val="288"/>
          <w:tblHeader/>
          <w:jc w:val="center"/>
        </w:trPr>
        <w:tc>
          <w:tcPr>
            <w:tcW w:w="6137" w:type="dxa"/>
            <w:gridSpan w:val="4"/>
            <w:tcBorders>
              <w:top w:val="single" w:sz="4" w:space="0" w:color="auto"/>
              <w:left w:val="single" w:sz="4" w:space="0" w:color="auto"/>
              <w:bottom w:val="single" w:sz="4" w:space="0" w:color="auto"/>
              <w:right w:val="single" w:sz="4" w:space="0" w:color="auto"/>
            </w:tcBorders>
            <w:shd w:val="clear" w:color="000000" w:fill="DAF2D0"/>
            <w:noWrap/>
            <w:vAlign w:val="center"/>
            <w:hideMark/>
          </w:tcPr>
          <w:p w14:paraId="47AC9403" w14:textId="77777777" w:rsidR="00FC148E" w:rsidRPr="00B450EB" w:rsidRDefault="00FC148E" w:rsidP="000D41F8">
            <w:pPr>
              <w:spacing w:after="0" w:line="240"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Consejos Comunitarios según la ANT, 2025</w:t>
            </w:r>
          </w:p>
        </w:tc>
        <w:tc>
          <w:tcPr>
            <w:tcW w:w="2683" w:type="dxa"/>
            <w:gridSpan w:val="3"/>
            <w:tcBorders>
              <w:top w:val="single" w:sz="4" w:space="0" w:color="auto"/>
              <w:left w:val="nil"/>
              <w:bottom w:val="single" w:sz="4" w:space="0" w:color="auto"/>
              <w:right w:val="single" w:sz="4" w:space="0" w:color="auto"/>
            </w:tcBorders>
            <w:shd w:val="clear" w:color="000000" w:fill="DAF2D0"/>
            <w:noWrap/>
            <w:vAlign w:val="center"/>
            <w:hideMark/>
          </w:tcPr>
          <w:p w14:paraId="42B71EB7" w14:textId="77777777" w:rsidR="00FC148E" w:rsidRPr="00B450EB" w:rsidRDefault="00FC148E" w:rsidP="000D41F8">
            <w:pPr>
              <w:spacing w:after="0" w:line="240"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Proyectos Licenciados</w:t>
            </w:r>
          </w:p>
        </w:tc>
      </w:tr>
      <w:tr w:rsidR="00205915" w:rsidRPr="00B450EB" w14:paraId="2443E05D" w14:textId="77777777" w:rsidTr="00882359">
        <w:trPr>
          <w:trHeight w:val="288"/>
          <w:tblHeader/>
          <w:jc w:val="center"/>
        </w:trPr>
        <w:tc>
          <w:tcPr>
            <w:tcW w:w="2083" w:type="dxa"/>
            <w:tcBorders>
              <w:top w:val="nil"/>
              <w:left w:val="single" w:sz="4" w:space="0" w:color="auto"/>
              <w:bottom w:val="single" w:sz="4" w:space="0" w:color="auto"/>
              <w:right w:val="single" w:sz="4" w:space="0" w:color="auto"/>
            </w:tcBorders>
            <w:shd w:val="clear" w:color="000000" w:fill="DAF2D0"/>
            <w:vAlign w:val="center"/>
            <w:hideMark/>
          </w:tcPr>
          <w:p w14:paraId="693EA99F" w14:textId="77777777" w:rsidR="00FC148E" w:rsidRPr="00B450EB" w:rsidRDefault="00FC148E" w:rsidP="000D41F8">
            <w:pPr>
              <w:spacing w:after="0" w:line="240"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NOMBRE</w:t>
            </w:r>
          </w:p>
        </w:tc>
        <w:tc>
          <w:tcPr>
            <w:tcW w:w="1031" w:type="dxa"/>
            <w:tcBorders>
              <w:top w:val="nil"/>
              <w:left w:val="nil"/>
              <w:bottom w:val="single" w:sz="4" w:space="0" w:color="auto"/>
              <w:right w:val="single" w:sz="4" w:space="0" w:color="auto"/>
            </w:tcBorders>
            <w:shd w:val="clear" w:color="000000" w:fill="DAF2D0"/>
            <w:vAlign w:val="center"/>
            <w:hideMark/>
          </w:tcPr>
          <w:p w14:paraId="23FE258F" w14:textId="77777777" w:rsidR="00FC148E" w:rsidRPr="00B450EB" w:rsidRDefault="00FC148E" w:rsidP="000D41F8">
            <w:pPr>
              <w:spacing w:after="0" w:line="240"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Tipo AA</w:t>
            </w:r>
          </w:p>
        </w:tc>
        <w:tc>
          <w:tcPr>
            <w:tcW w:w="1982" w:type="dxa"/>
            <w:tcBorders>
              <w:top w:val="nil"/>
              <w:left w:val="nil"/>
              <w:bottom w:val="single" w:sz="4" w:space="0" w:color="auto"/>
              <w:right w:val="single" w:sz="4" w:space="0" w:color="auto"/>
            </w:tcBorders>
            <w:shd w:val="clear" w:color="000000" w:fill="DAF2D0"/>
            <w:vAlign w:val="center"/>
            <w:hideMark/>
          </w:tcPr>
          <w:p w14:paraId="67F3AEE5" w14:textId="77777777" w:rsidR="00FC148E" w:rsidRPr="00B450EB" w:rsidRDefault="00FC148E" w:rsidP="000D41F8">
            <w:pPr>
              <w:spacing w:after="0" w:line="240" w:lineRule="auto"/>
              <w:jc w:val="center"/>
              <w:rPr>
                <w:rFonts w:eastAsia="Times New Roman" w:cs="Arial"/>
                <w:b/>
                <w:bCs/>
                <w:kern w:val="0"/>
                <w:sz w:val="16"/>
                <w:szCs w:val="16"/>
                <w:lang w:eastAsia="es-CO"/>
                <w14:ligatures w14:val="none"/>
              </w:rPr>
            </w:pPr>
            <w:proofErr w:type="spellStart"/>
            <w:r w:rsidRPr="00B450EB">
              <w:rPr>
                <w:rFonts w:eastAsia="Times New Roman" w:cs="Arial"/>
                <w:b/>
                <w:bCs/>
                <w:kern w:val="0"/>
                <w:sz w:val="16"/>
                <w:szCs w:val="16"/>
                <w:lang w:eastAsia="es-CO"/>
                <w14:ligatures w14:val="none"/>
              </w:rPr>
              <w:t>Nº</w:t>
            </w:r>
            <w:proofErr w:type="spellEnd"/>
            <w:r w:rsidRPr="00B450EB">
              <w:rPr>
                <w:rFonts w:eastAsia="Times New Roman" w:cs="Arial"/>
                <w:b/>
                <w:bCs/>
                <w:kern w:val="0"/>
                <w:sz w:val="16"/>
                <w:szCs w:val="16"/>
                <w:lang w:eastAsia="es-CO"/>
                <w14:ligatures w14:val="none"/>
              </w:rPr>
              <w:t xml:space="preserve"> AA</w:t>
            </w:r>
          </w:p>
        </w:tc>
        <w:tc>
          <w:tcPr>
            <w:tcW w:w="1041" w:type="dxa"/>
            <w:tcBorders>
              <w:top w:val="nil"/>
              <w:left w:val="nil"/>
              <w:bottom w:val="single" w:sz="4" w:space="0" w:color="auto"/>
              <w:right w:val="single" w:sz="4" w:space="0" w:color="auto"/>
            </w:tcBorders>
            <w:shd w:val="clear" w:color="000000" w:fill="DAF2D0"/>
            <w:vAlign w:val="center"/>
            <w:hideMark/>
          </w:tcPr>
          <w:p w14:paraId="0A898021" w14:textId="77777777" w:rsidR="00FC148E" w:rsidRPr="00B450EB" w:rsidRDefault="00FC148E" w:rsidP="000D41F8">
            <w:pPr>
              <w:spacing w:after="0" w:line="240"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Fecha AA</w:t>
            </w:r>
          </w:p>
        </w:tc>
        <w:tc>
          <w:tcPr>
            <w:tcW w:w="1101" w:type="dxa"/>
            <w:tcBorders>
              <w:top w:val="nil"/>
              <w:left w:val="nil"/>
              <w:bottom w:val="single" w:sz="4" w:space="0" w:color="auto"/>
              <w:right w:val="single" w:sz="4" w:space="0" w:color="auto"/>
            </w:tcBorders>
            <w:shd w:val="clear" w:color="000000" w:fill="DAF2D0"/>
            <w:vAlign w:val="center"/>
            <w:hideMark/>
          </w:tcPr>
          <w:p w14:paraId="58052BE8" w14:textId="77777777" w:rsidR="00FC148E" w:rsidRPr="00B450EB" w:rsidRDefault="00FC148E" w:rsidP="000D41F8">
            <w:pPr>
              <w:spacing w:after="0" w:line="240"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Expediente ANLA</w:t>
            </w:r>
          </w:p>
        </w:tc>
        <w:tc>
          <w:tcPr>
            <w:tcW w:w="541" w:type="dxa"/>
            <w:tcBorders>
              <w:top w:val="nil"/>
              <w:left w:val="nil"/>
              <w:bottom w:val="single" w:sz="4" w:space="0" w:color="auto"/>
              <w:right w:val="single" w:sz="4" w:space="0" w:color="auto"/>
            </w:tcBorders>
            <w:shd w:val="clear" w:color="000000" w:fill="DAF2D0"/>
            <w:vAlign w:val="center"/>
            <w:hideMark/>
          </w:tcPr>
          <w:p w14:paraId="59724CC7" w14:textId="77777777" w:rsidR="00FC148E" w:rsidRPr="00B450EB" w:rsidRDefault="00FC148E" w:rsidP="000D41F8">
            <w:pPr>
              <w:spacing w:after="0" w:line="240" w:lineRule="auto"/>
              <w:jc w:val="center"/>
              <w:rPr>
                <w:rFonts w:eastAsia="Times New Roman" w:cs="Arial"/>
                <w:b/>
                <w:bCs/>
                <w:kern w:val="0"/>
                <w:sz w:val="16"/>
                <w:szCs w:val="16"/>
                <w:lang w:eastAsia="es-CO"/>
                <w14:ligatures w14:val="none"/>
              </w:rPr>
            </w:pPr>
            <w:proofErr w:type="spellStart"/>
            <w:r w:rsidRPr="00B450EB">
              <w:rPr>
                <w:rFonts w:eastAsia="Times New Roman" w:cs="Arial"/>
                <w:b/>
                <w:bCs/>
                <w:kern w:val="0"/>
                <w:sz w:val="16"/>
                <w:szCs w:val="16"/>
                <w:lang w:eastAsia="es-CO"/>
                <w14:ligatures w14:val="none"/>
              </w:rPr>
              <w:t>Nº</w:t>
            </w:r>
            <w:proofErr w:type="spellEnd"/>
            <w:r w:rsidRPr="00B450EB">
              <w:rPr>
                <w:rFonts w:eastAsia="Times New Roman" w:cs="Arial"/>
                <w:b/>
                <w:bCs/>
                <w:kern w:val="0"/>
                <w:sz w:val="16"/>
                <w:szCs w:val="16"/>
                <w:lang w:eastAsia="es-CO"/>
                <w14:ligatures w14:val="none"/>
              </w:rPr>
              <w:t xml:space="preserve"> AA</w:t>
            </w:r>
          </w:p>
        </w:tc>
        <w:tc>
          <w:tcPr>
            <w:tcW w:w="1041" w:type="dxa"/>
            <w:tcBorders>
              <w:top w:val="nil"/>
              <w:left w:val="nil"/>
              <w:bottom w:val="single" w:sz="4" w:space="0" w:color="auto"/>
              <w:right w:val="single" w:sz="4" w:space="0" w:color="auto"/>
            </w:tcBorders>
            <w:shd w:val="clear" w:color="000000" w:fill="DAF2D0"/>
            <w:vAlign w:val="center"/>
            <w:hideMark/>
          </w:tcPr>
          <w:p w14:paraId="10F864E8" w14:textId="77777777" w:rsidR="00FC148E" w:rsidRPr="00B450EB" w:rsidRDefault="00FC148E" w:rsidP="000D41F8">
            <w:pPr>
              <w:spacing w:after="0" w:line="240" w:lineRule="auto"/>
              <w:jc w:val="center"/>
              <w:rPr>
                <w:rFonts w:eastAsia="Times New Roman" w:cs="Arial"/>
                <w:b/>
                <w:bCs/>
                <w:kern w:val="0"/>
                <w:sz w:val="16"/>
                <w:szCs w:val="16"/>
                <w:lang w:eastAsia="es-CO"/>
                <w14:ligatures w14:val="none"/>
              </w:rPr>
            </w:pPr>
            <w:r w:rsidRPr="00B450EB">
              <w:rPr>
                <w:rFonts w:eastAsia="Times New Roman" w:cs="Arial"/>
                <w:b/>
                <w:bCs/>
                <w:kern w:val="0"/>
                <w:sz w:val="16"/>
                <w:szCs w:val="16"/>
                <w:lang w:eastAsia="es-CO"/>
                <w14:ligatures w14:val="none"/>
              </w:rPr>
              <w:t>Fecha AA</w:t>
            </w:r>
          </w:p>
        </w:tc>
      </w:tr>
      <w:tr w:rsidR="00205915" w:rsidRPr="00B450EB" w14:paraId="70D673E8" w14:textId="77777777" w:rsidTr="00882359">
        <w:trPr>
          <w:trHeight w:val="58"/>
          <w:jc w:val="center"/>
        </w:trPr>
        <w:tc>
          <w:tcPr>
            <w:tcW w:w="2083" w:type="dxa"/>
            <w:tcBorders>
              <w:top w:val="nil"/>
              <w:left w:val="single" w:sz="4" w:space="0" w:color="auto"/>
              <w:bottom w:val="single" w:sz="4" w:space="0" w:color="auto"/>
              <w:right w:val="single" w:sz="4" w:space="0" w:color="auto"/>
            </w:tcBorders>
            <w:vAlign w:val="center"/>
            <w:hideMark/>
          </w:tcPr>
          <w:p w14:paraId="5B031F95" w14:textId="77777777" w:rsidR="00FC148E" w:rsidRPr="00B450EB" w:rsidRDefault="00FC148E" w:rsidP="000D41F8">
            <w:pPr>
              <w:spacing w:after="0" w:line="240"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 xml:space="preserve">Consejo Comunitario Afro </w:t>
            </w:r>
            <w:proofErr w:type="spellStart"/>
            <w:r w:rsidRPr="00B450EB">
              <w:rPr>
                <w:rFonts w:eastAsia="Times New Roman" w:cs="Arial"/>
                <w:kern w:val="0"/>
                <w:sz w:val="16"/>
                <w:szCs w:val="16"/>
                <w:lang w:eastAsia="es-CO"/>
                <w14:ligatures w14:val="none"/>
              </w:rPr>
              <w:t>Caimanence</w:t>
            </w:r>
            <w:proofErr w:type="spellEnd"/>
          </w:p>
        </w:tc>
        <w:tc>
          <w:tcPr>
            <w:tcW w:w="1031" w:type="dxa"/>
            <w:tcBorders>
              <w:top w:val="nil"/>
              <w:left w:val="nil"/>
              <w:bottom w:val="single" w:sz="4" w:space="0" w:color="auto"/>
              <w:right w:val="single" w:sz="4" w:space="0" w:color="auto"/>
            </w:tcBorders>
            <w:noWrap/>
            <w:vAlign w:val="center"/>
            <w:hideMark/>
          </w:tcPr>
          <w:p w14:paraId="21DF8221"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Resolución</w:t>
            </w:r>
          </w:p>
        </w:tc>
        <w:tc>
          <w:tcPr>
            <w:tcW w:w="1982" w:type="dxa"/>
            <w:tcBorders>
              <w:top w:val="nil"/>
              <w:left w:val="nil"/>
              <w:bottom w:val="single" w:sz="4" w:space="0" w:color="auto"/>
              <w:right w:val="single" w:sz="4" w:space="0" w:color="auto"/>
            </w:tcBorders>
            <w:noWrap/>
            <w:vAlign w:val="center"/>
            <w:hideMark/>
          </w:tcPr>
          <w:p w14:paraId="168FEE27"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ACCTI0071860012150</w:t>
            </w:r>
          </w:p>
        </w:tc>
        <w:tc>
          <w:tcPr>
            <w:tcW w:w="1041" w:type="dxa"/>
            <w:tcBorders>
              <w:top w:val="nil"/>
              <w:left w:val="nil"/>
              <w:bottom w:val="single" w:sz="4" w:space="0" w:color="auto"/>
              <w:right w:val="single" w:sz="4" w:space="0" w:color="auto"/>
            </w:tcBorders>
            <w:noWrap/>
            <w:vAlign w:val="center"/>
            <w:hideMark/>
          </w:tcPr>
          <w:p w14:paraId="2AB0108E"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17/05/2024</w:t>
            </w:r>
          </w:p>
        </w:tc>
        <w:tc>
          <w:tcPr>
            <w:tcW w:w="1101" w:type="dxa"/>
            <w:tcBorders>
              <w:top w:val="nil"/>
              <w:left w:val="nil"/>
              <w:bottom w:val="single" w:sz="4" w:space="0" w:color="auto"/>
              <w:right w:val="single" w:sz="4" w:space="0" w:color="auto"/>
            </w:tcBorders>
            <w:noWrap/>
            <w:vAlign w:val="center"/>
            <w:hideMark/>
          </w:tcPr>
          <w:p w14:paraId="3F77EEE1"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LAM0199</w:t>
            </w:r>
          </w:p>
        </w:tc>
        <w:tc>
          <w:tcPr>
            <w:tcW w:w="541" w:type="dxa"/>
            <w:tcBorders>
              <w:top w:val="nil"/>
              <w:left w:val="nil"/>
              <w:bottom w:val="single" w:sz="4" w:space="0" w:color="auto"/>
              <w:right w:val="single" w:sz="4" w:space="0" w:color="auto"/>
            </w:tcBorders>
            <w:noWrap/>
            <w:vAlign w:val="center"/>
            <w:hideMark/>
          </w:tcPr>
          <w:p w14:paraId="7713F8AA"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300</w:t>
            </w:r>
          </w:p>
        </w:tc>
        <w:tc>
          <w:tcPr>
            <w:tcW w:w="1041" w:type="dxa"/>
            <w:tcBorders>
              <w:top w:val="nil"/>
              <w:left w:val="nil"/>
              <w:bottom w:val="single" w:sz="4" w:space="0" w:color="auto"/>
              <w:right w:val="single" w:sz="4" w:space="0" w:color="auto"/>
            </w:tcBorders>
            <w:noWrap/>
            <w:vAlign w:val="center"/>
            <w:hideMark/>
          </w:tcPr>
          <w:p w14:paraId="5437842C"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28/04/1999</w:t>
            </w:r>
          </w:p>
        </w:tc>
      </w:tr>
      <w:tr w:rsidR="00205915" w:rsidRPr="00B450EB" w14:paraId="60EE5B54" w14:textId="77777777" w:rsidTr="00284549">
        <w:trPr>
          <w:trHeight w:val="288"/>
          <w:jc w:val="center"/>
        </w:trPr>
        <w:tc>
          <w:tcPr>
            <w:tcW w:w="2083" w:type="dxa"/>
            <w:vMerge w:val="restart"/>
            <w:tcBorders>
              <w:top w:val="nil"/>
              <w:left w:val="single" w:sz="4" w:space="0" w:color="auto"/>
              <w:bottom w:val="single" w:sz="4" w:space="0" w:color="000000"/>
              <w:right w:val="single" w:sz="4" w:space="0" w:color="auto"/>
            </w:tcBorders>
            <w:vAlign w:val="center"/>
            <w:hideMark/>
          </w:tcPr>
          <w:p w14:paraId="6E298902" w14:textId="77777777" w:rsidR="00FC148E" w:rsidRPr="00B450EB" w:rsidRDefault="00FC148E" w:rsidP="000D41F8">
            <w:pPr>
              <w:spacing w:after="0" w:line="240"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Consejo Comunitario Afrodescendiente Juan José Nieto Gil</w:t>
            </w:r>
          </w:p>
        </w:tc>
        <w:tc>
          <w:tcPr>
            <w:tcW w:w="1031" w:type="dxa"/>
            <w:tcBorders>
              <w:top w:val="nil"/>
              <w:left w:val="nil"/>
              <w:bottom w:val="single" w:sz="4" w:space="0" w:color="auto"/>
              <w:right w:val="single" w:sz="4" w:space="0" w:color="auto"/>
            </w:tcBorders>
            <w:noWrap/>
            <w:vAlign w:val="center"/>
            <w:hideMark/>
          </w:tcPr>
          <w:p w14:paraId="4A7A0A23"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Resolución</w:t>
            </w:r>
          </w:p>
        </w:tc>
        <w:tc>
          <w:tcPr>
            <w:tcW w:w="1982" w:type="dxa"/>
            <w:tcBorders>
              <w:top w:val="nil"/>
              <w:left w:val="nil"/>
              <w:bottom w:val="single" w:sz="4" w:space="0" w:color="auto"/>
              <w:right w:val="single" w:sz="4" w:space="0" w:color="auto"/>
            </w:tcBorders>
            <w:noWrap/>
            <w:vAlign w:val="center"/>
            <w:hideMark/>
          </w:tcPr>
          <w:p w14:paraId="46E3B6A8"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ACCTI 860011857</w:t>
            </w:r>
          </w:p>
        </w:tc>
        <w:tc>
          <w:tcPr>
            <w:tcW w:w="1041" w:type="dxa"/>
            <w:tcBorders>
              <w:top w:val="nil"/>
              <w:left w:val="nil"/>
              <w:bottom w:val="single" w:sz="4" w:space="0" w:color="auto"/>
              <w:right w:val="single" w:sz="4" w:space="0" w:color="auto"/>
            </w:tcBorders>
            <w:noWrap/>
            <w:vAlign w:val="center"/>
            <w:hideMark/>
          </w:tcPr>
          <w:p w14:paraId="28E331FC"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28/12/2023</w:t>
            </w:r>
          </w:p>
        </w:tc>
        <w:tc>
          <w:tcPr>
            <w:tcW w:w="1101" w:type="dxa"/>
            <w:tcBorders>
              <w:top w:val="nil"/>
              <w:left w:val="nil"/>
              <w:bottom w:val="single" w:sz="4" w:space="0" w:color="auto"/>
              <w:right w:val="single" w:sz="4" w:space="0" w:color="auto"/>
            </w:tcBorders>
            <w:noWrap/>
            <w:vAlign w:val="center"/>
            <w:hideMark/>
          </w:tcPr>
          <w:p w14:paraId="2F015A0E"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LAM2070</w:t>
            </w:r>
          </w:p>
        </w:tc>
        <w:tc>
          <w:tcPr>
            <w:tcW w:w="541" w:type="dxa"/>
            <w:tcBorders>
              <w:top w:val="nil"/>
              <w:left w:val="nil"/>
              <w:bottom w:val="single" w:sz="4" w:space="0" w:color="auto"/>
              <w:right w:val="single" w:sz="4" w:space="0" w:color="auto"/>
            </w:tcBorders>
            <w:noWrap/>
            <w:vAlign w:val="center"/>
            <w:hideMark/>
          </w:tcPr>
          <w:p w14:paraId="61E885D4"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800</w:t>
            </w:r>
          </w:p>
        </w:tc>
        <w:tc>
          <w:tcPr>
            <w:tcW w:w="1041" w:type="dxa"/>
            <w:tcBorders>
              <w:top w:val="nil"/>
              <w:left w:val="nil"/>
              <w:bottom w:val="single" w:sz="4" w:space="0" w:color="auto"/>
              <w:right w:val="single" w:sz="4" w:space="0" w:color="auto"/>
            </w:tcBorders>
            <w:noWrap/>
            <w:vAlign w:val="center"/>
            <w:hideMark/>
          </w:tcPr>
          <w:p w14:paraId="3062FF71"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10/08/2000</w:t>
            </w:r>
          </w:p>
        </w:tc>
      </w:tr>
      <w:tr w:rsidR="00205915" w:rsidRPr="00B450EB" w14:paraId="25169D7F" w14:textId="77777777" w:rsidTr="00284549">
        <w:trPr>
          <w:trHeight w:val="288"/>
          <w:jc w:val="center"/>
        </w:trPr>
        <w:tc>
          <w:tcPr>
            <w:tcW w:w="2083" w:type="dxa"/>
            <w:vMerge/>
            <w:tcBorders>
              <w:top w:val="nil"/>
              <w:left w:val="single" w:sz="4" w:space="0" w:color="auto"/>
              <w:bottom w:val="single" w:sz="4" w:space="0" w:color="000000"/>
              <w:right w:val="single" w:sz="4" w:space="0" w:color="auto"/>
            </w:tcBorders>
            <w:vAlign w:val="center"/>
            <w:hideMark/>
          </w:tcPr>
          <w:p w14:paraId="33329815" w14:textId="77777777" w:rsidR="00FC148E" w:rsidRPr="00B450EB" w:rsidRDefault="00FC148E" w:rsidP="000D41F8">
            <w:pPr>
              <w:spacing w:after="0" w:line="240" w:lineRule="auto"/>
              <w:rPr>
                <w:rFonts w:eastAsia="Times New Roman" w:cs="Arial"/>
                <w:kern w:val="0"/>
                <w:sz w:val="16"/>
                <w:szCs w:val="16"/>
                <w:lang w:eastAsia="es-CO"/>
                <w14:ligatures w14:val="none"/>
              </w:rPr>
            </w:pPr>
          </w:p>
        </w:tc>
        <w:tc>
          <w:tcPr>
            <w:tcW w:w="1031" w:type="dxa"/>
            <w:tcBorders>
              <w:top w:val="nil"/>
              <w:left w:val="nil"/>
              <w:bottom w:val="single" w:sz="4" w:space="0" w:color="auto"/>
              <w:right w:val="single" w:sz="4" w:space="0" w:color="auto"/>
            </w:tcBorders>
            <w:noWrap/>
            <w:vAlign w:val="center"/>
            <w:hideMark/>
          </w:tcPr>
          <w:p w14:paraId="37012D0E"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Resolución</w:t>
            </w:r>
          </w:p>
        </w:tc>
        <w:tc>
          <w:tcPr>
            <w:tcW w:w="1982" w:type="dxa"/>
            <w:tcBorders>
              <w:top w:val="nil"/>
              <w:left w:val="nil"/>
              <w:bottom w:val="single" w:sz="4" w:space="0" w:color="auto"/>
              <w:right w:val="single" w:sz="4" w:space="0" w:color="auto"/>
            </w:tcBorders>
            <w:noWrap/>
            <w:vAlign w:val="center"/>
            <w:hideMark/>
          </w:tcPr>
          <w:p w14:paraId="432A3A3E"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ACCTI 860011857</w:t>
            </w:r>
          </w:p>
        </w:tc>
        <w:tc>
          <w:tcPr>
            <w:tcW w:w="1041" w:type="dxa"/>
            <w:tcBorders>
              <w:top w:val="nil"/>
              <w:left w:val="nil"/>
              <w:bottom w:val="single" w:sz="4" w:space="0" w:color="auto"/>
              <w:right w:val="single" w:sz="4" w:space="0" w:color="auto"/>
            </w:tcBorders>
            <w:noWrap/>
            <w:vAlign w:val="center"/>
            <w:hideMark/>
          </w:tcPr>
          <w:p w14:paraId="4609334A"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28/12/2023</w:t>
            </w:r>
          </w:p>
        </w:tc>
        <w:tc>
          <w:tcPr>
            <w:tcW w:w="1101" w:type="dxa"/>
            <w:tcBorders>
              <w:top w:val="nil"/>
              <w:left w:val="nil"/>
              <w:bottom w:val="single" w:sz="4" w:space="0" w:color="auto"/>
              <w:right w:val="single" w:sz="4" w:space="0" w:color="auto"/>
            </w:tcBorders>
            <w:noWrap/>
            <w:vAlign w:val="center"/>
            <w:hideMark/>
          </w:tcPr>
          <w:p w14:paraId="6A0184C2"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LAM6356</w:t>
            </w:r>
          </w:p>
        </w:tc>
        <w:tc>
          <w:tcPr>
            <w:tcW w:w="541" w:type="dxa"/>
            <w:tcBorders>
              <w:top w:val="nil"/>
              <w:left w:val="nil"/>
              <w:bottom w:val="single" w:sz="4" w:space="0" w:color="auto"/>
              <w:right w:val="single" w:sz="4" w:space="0" w:color="auto"/>
            </w:tcBorders>
            <w:noWrap/>
            <w:vAlign w:val="center"/>
            <w:hideMark/>
          </w:tcPr>
          <w:p w14:paraId="574EEF60"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976</w:t>
            </w:r>
          </w:p>
        </w:tc>
        <w:tc>
          <w:tcPr>
            <w:tcW w:w="1041" w:type="dxa"/>
            <w:tcBorders>
              <w:top w:val="nil"/>
              <w:left w:val="nil"/>
              <w:bottom w:val="single" w:sz="4" w:space="0" w:color="auto"/>
              <w:right w:val="single" w:sz="4" w:space="0" w:color="auto"/>
            </w:tcBorders>
            <w:noWrap/>
            <w:vAlign w:val="center"/>
            <w:hideMark/>
          </w:tcPr>
          <w:p w14:paraId="0A421B1B"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29/08/2014</w:t>
            </w:r>
          </w:p>
        </w:tc>
      </w:tr>
      <w:tr w:rsidR="00205915" w:rsidRPr="00B450EB" w14:paraId="736109DD" w14:textId="77777777" w:rsidTr="00284549">
        <w:trPr>
          <w:trHeight w:val="288"/>
          <w:jc w:val="center"/>
        </w:trPr>
        <w:tc>
          <w:tcPr>
            <w:tcW w:w="2083" w:type="dxa"/>
            <w:vMerge w:val="restart"/>
            <w:tcBorders>
              <w:top w:val="nil"/>
              <w:left w:val="single" w:sz="4" w:space="0" w:color="auto"/>
              <w:bottom w:val="single" w:sz="4" w:space="0" w:color="000000"/>
              <w:right w:val="single" w:sz="4" w:space="0" w:color="auto"/>
            </w:tcBorders>
            <w:vAlign w:val="center"/>
            <w:hideMark/>
          </w:tcPr>
          <w:p w14:paraId="6FA4DDF0" w14:textId="77777777" w:rsidR="00FC148E" w:rsidRPr="00B450EB" w:rsidRDefault="00FC148E" w:rsidP="000D41F8">
            <w:pPr>
              <w:spacing w:after="0" w:line="240"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lastRenderedPageBreak/>
              <w:t>Consejo Comunitario de Comunidades Negras Nelson Mandela</w:t>
            </w:r>
          </w:p>
        </w:tc>
        <w:tc>
          <w:tcPr>
            <w:tcW w:w="1031" w:type="dxa"/>
            <w:tcBorders>
              <w:top w:val="nil"/>
              <w:left w:val="nil"/>
              <w:bottom w:val="single" w:sz="4" w:space="0" w:color="auto"/>
              <w:right w:val="single" w:sz="4" w:space="0" w:color="auto"/>
            </w:tcBorders>
            <w:noWrap/>
            <w:vAlign w:val="center"/>
            <w:hideMark/>
          </w:tcPr>
          <w:p w14:paraId="22E320FF"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Resolución</w:t>
            </w:r>
          </w:p>
        </w:tc>
        <w:tc>
          <w:tcPr>
            <w:tcW w:w="1982" w:type="dxa"/>
            <w:tcBorders>
              <w:top w:val="nil"/>
              <w:left w:val="nil"/>
              <w:bottom w:val="single" w:sz="4" w:space="0" w:color="auto"/>
              <w:right w:val="single" w:sz="4" w:space="0" w:color="auto"/>
            </w:tcBorders>
            <w:noWrap/>
            <w:vAlign w:val="center"/>
            <w:hideMark/>
          </w:tcPr>
          <w:p w14:paraId="7E75A42F"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ACCTI0071860012084</w:t>
            </w:r>
          </w:p>
        </w:tc>
        <w:tc>
          <w:tcPr>
            <w:tcW w:w="1041" w:type="dxa"/>
            <w:tcBorders>
              <w:top w:val="nil"/>
              <w:left w:val="nil"/>
              <w:bottom w:val="single" w:sz="4" w:space="0" w:color="auto"/>
              <w:right w:val="single" w:sz="4" w:space="0" w:color="auto"/>
            </w:tcBorders>
            <w:noWrap/>
            <w:vAlign w:val="center"/>
            <w:hideMark/>
          </w:tcPr>
          <w:p w14:paraId="02289F35"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17/05/2024</w:t>
            </w:r>
          </w:p>
        </w:tc>
        <w:tc>
          <w:tcPr>
            <w:tcW w:w="1101" w:type="dxa"/>
            <w:tcBorders>
              <w:top w:val="nil"/>
              <w:left w:val="nil"/>
              <w:bottom w:val="single" w:sz="4" w:space="0" w:color="auto"/>
              <w:right w:val="single" w:sz="4" w:space="0" w:color="auto"/>
            </w:tcBorders>
            <w:noWrap/>
            <w:vAlign w:val="center"/>
            <w:hideMark/>
          </w:tcPr>
          <w:p w14:paraId="6B7058BE"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LAM0199</w:t>
            </w:r>
          </w:p>
        </w:tc>
        <w:tc>
          <w:tcPr>
            <w:tcW w:w="541" w:type="dxa"/>
            <w:tcBorders>
              <w:top w:val="nil"/>
              <w:left w:val="nil"/>
              <w:bottom w:val="single" w:sz="4" w:space="0" w:color="auto"/>
              <w:right w:val="single" w:sz="4" w:space="0" w:color="auto"/>
            </w:tcBorders>
            <w:noWrap/>
            <w:vAlign w:val="center"/>
            <w:hideMark/>
          </w:tcPr>
          <w:p w14:paraId="50095C79"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1141</w:t>
            </w:r>
          </w:p>
        </w:tc>
        <w:tc>
          <w:tcPr>
            <w:tcW w:w="1041" w:type="dxa"/>
            <w:tcBorders>
              <w:top w:val="nil"/>
              <w:left w:val="nil"/>
              <w:bottom w:val="single" w:sz="4" w:space="0" w:color="auto"/>
              <w:right w:val="single" w:sz="4" w:space="0" w:color="auto"/>
            </w:tcBorders>
            <w:noWrap/>
            <w:vAlign w:val="center"/>
            <w:hideMark/>
          </w:tcPr>
          <w:p w14:paraId="122D6AA5"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16/05/2006</w:t>
            </w:r>
          </w:p>
        </w:tc>
      </w:tr>
      <w:tr w:rsidR="00205915" w:rsidRPr="00B450EB" w14:paraId="54CA8069" w14:textId="77777777" w:rsidTr="00284549">
        <w:trPr>
          <w:trHeight w:val="288"/>
          <w:jc w:val="center"/>
        </w:trPr>
        <w:tc>
          <w:tcPr>
            <w:tcW w:w="2083" w:type="dxa"/>
            <w:vMerge/>
            <w:tcBorders>
              <w:top w:val="nil"/>
              <w:left w:val="single" w:sz="4" w:space="0" w:color="auto"/>
              <w:bottom w:val="single" w:sz="4" w:space="0" w:color="000000"/>
              <w:right w:val="single" w:sz="4" w:space="0" w:color="auto"/>
            </w:tcBorders>
            <w:vAlign w:val="center"/>
            <w:hideMark/>
          </w:tcPr>
          <w:p w14:paraId="6CC45FE3" w14:textId="77777777" w:rsidR="00FC148E" w:rsidRPr="00B450EB" w:rsidRDefault="00FC148E" w:rsidP="000D41F8">
            <w:pPr>
              <w:spacing w:after="0" w:line="240" w:lineRule="auto"/>
              <w:rPr>
                <w:rFonts w:eastAsia="Times New Roman" w:cs="Arial"/>
                <w:kern w:val="0"/>
                <w:sz w:val="16"/>
                <w:szCs w:val="16"/>
                <w:lang w:eastAsia="es-CO"/>
                <w14:ligatures w14:val="none"/>
              </w:rPr>
            </w:pPr>
          </w:p>
        </w:tc>
        <w:tc>
          <w:tcPr>
            <w:tcW w:w="1031" w:type="dxa"/>
            <w:tcBorders>
              <w:top w:val="nil"/>
              <w:left w:val="nil"/>
              <w:bottom w:val="single" w:sz="4" w:space="0" w:color="auto"/>
              <w:right w:val="single" w:sz="4" w:space="0" w:color="auto"/>
            </w:tcBorders>
            <w:noWrap/>
            <w:vAlign w:val="center"/>
            <w:hideMark/>
          </w:tcPr>
          <w:p w14:paraId="449F8A5D"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Resolución</w:t>
            </w:r>
          </w:p>
        </w:tc>
        <w:tc>
          <w:tcPr>
            <w:tcW w:w="1982" w:type="dxa"/>
            <w:tcBorders>
              <w:top w:val="nil"/>
              <w:left w:val="nil"/>
              <w:bottom w:val="single" w:sz="4" w:space="0" w:color="auto"/>
              <w:right w:val="single" w:sz="4" w:space="0" w:color="auto"/>
            </w:tcBorders>
            <w:noWrap/>
            <w:vAlign w:val="center"/>
            <w:hideMark/>
          </w:tcPr>
          <w:p w14:paraId="378BF837"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ACCTI0071860012084</w:t>
            </w:r>
          </w:p>
        </w:tc>
        <w:tc>
          <w:tcPr>
            <w:tcW w:w="1041" w:type="dxa"/>
            <w:tcBorders>
              <w:top w:val="nil"/>
              <w:left w:val="nil"/>
              <w:bottom w:val="single" w:sz="4" w:space="0" w:color="auto"/>
              <w:right w:val="single" w:sz="4" w:space="0" w:color="auto"/>
            </w:tcBorders>
            <w:noWrap/>
            <w:vAlign w:val="center"/>
            <w:hideMark/>
          </w:tcPr>
          <w:p w14:paraId="0FBE1513"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17/05/2024</w:t>
            </w:r>
          </w:p>
        </w:tc>
        <w:tc>
          <w:tcPr>
            <w:tcW w:w="1101" w:type="dxa"/>
            <w:tcBorders>
              <w:top w:val="nil"/>
              <w:left w:val="nil"/>
              <w:bottom w:val="single" w:sz="4" w:space="0" w:color="auto"/>
              <w:right w:val="single" w:sz="4" w:space="0" w:color="auto"/>
            </w:tcBorders>
            <w:noWrap/>
            <w:vAlign w:val="center"/>
            <w:hideMark/>
          </w:tcPr>
          <w:p w14:paraId="0A3B2B22"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LAM0199</w:t>
            </w:r>
          </w:p>
        </w:tc>
        <w:tc>
          <w:tcPr>
            <w:tcW w:w="541" w:type="dxa"/>
            <w:tcBorders>
              <w:top w:val="nil"/>
              <w:left w:val="nil"/>
              <w:bottom w:val="single" w:sz="4" w:space="0" w:color="auto"/>
              <w:right w:val="single" w:sz="4" w:space="0" w:color="auto"/>
            </w:tcBorders>
            <w:noWrap/>
            <w:vAlign w:val="center"/>
            <w:hideMark/>
          </w:tcPr>
          <w:p w14:paraId="1AF277CB"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300</w:t>
            </w:r>
          </w:p>
        </w:tc>
        <w:tc>
          <w:tcPr>
            <w:tcW w:w="1041" w:type="dxa"/>
            <w:tcBorders>
              <w:top w:val="nil"/>
              <w:left w:val="nil"/>
              <w:bottom w:val="single" w:sz="4" w:space="0" w:color="auto"/>
              <w:right w:val="single" w:sz="4" w:space="0" w:color="auto"/>
            </w:tcBorders>
            <w:noWrap/>
            <w:vAlign w:val="center"/>
            <w:hideMark/>
          </w:tcPr>
          <w:p w14:paraId="62EA6250"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28/04/1999</w:t>
            </w:r>
          </w:p>
        </w:tc>
      </w:tr>
      <w:tr w:rsidR="00205915" w:rsidRPr="00B450EB" w14:paraId="7D0B7DD9" w14:textId="77777777" w:rsidTr="00284549">
        <w:trPr>
          <w:trHeight w:val="288"/>
          <w:jc w:val="center"/>
        </w:trPr>
        <w:tc>
          <w:tcPr>
            <w:tcW w:w="2083" w:type="dxa"/>
            <w:vMerge w:val="restart"/>
            <w:tcBorders>
              <w:top w:val="nil"/>
              <w:left w:val="single" w:sz="4" w:space="0" w:color="auto"/>
              <w:bottom w:val="single" w:sz="4" w:space="0" w:color="000000"/>
              <w:right w:val="single" w:sz="4" w:space="0" w:color="auto"/>
            </w:tcBorders>
            <w:vAlign w:val="center"/>
            <w:hideMark/>
          </w:tcPr>
          <w:p w14:paraId="77AD24D1" w14:textId="18966E46" w:rsidR="00FC148E" w:rsidRPr="00B450EB" w:rsidRDefault="00FC148E" w:rsidP="000D41F8">
            <w:pPr>
              <w:spacing w:after="0" w:line="240"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 xml:space="preserve">Consejo Comunitario de negritudes del Corregimiento de Puerto </w:t>
            </w:r>
            <w:proofErr w:type="spellStart"/>
            <w:r w:rsidRPr="00B450EB">
              <w:rPr>
                <w:rFonts w:eastAsia="Times New Roman" w:cs="Arial"/>
                <w:kern w:val="0"/>
                <w:sz w:val="16"/>
                <w:szCs w:val="16"/>
                <w:lang w:eastAsia="es-CO"/>
                <w14:ligatures w14:val="none"/>
              </w:rPr>
              <w:t>Umbria-Coconecpu</w:t>
            </w:r>
            <w:proofErr w:type="spellEnd"/>
          </w:p>
        </w:tc>
        <w:tc>
          <w:tcPr>
            <w:tcW w:w="1031" w:type="dxa"/>
            <w:tcBorders>
              <w:top w:val="nil"/>
              <w:left w:val="nil"/>
              <w:bottom w:val="single" w:sz="4" w:space="0" w:color="auto"/>
              <w:right w:val="single" w:sz="4" w:space="0" w:color="auto"/>
            </w:tcBorders>
            <w:noWrap/>
            <w:vAlign w:val="center"/>
            <w:hideMark/>
          </w:tcPr>
          <w:p w14:paraId="486A5C9D"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Resolución</w:t>
            </w:r>
          </w:p>
        </w:tc>
        <w:tc>
          <w:tcPr>
            <w:tcW w:w="1982" w:type="dxa"/>
            <w:tcBorders>
              <w:top w:val="nil"/>
              <w:left w:val="nil"/>
              <w:bottom w:val="single" w:sz="4" w:space="0" w:color="auto"/>
              <w:right w:val="single" w:sz="4" w:space="0" w:color="auto"/>
            </w:tcBorders>
            <w:noWrap/>
            <w:vAlign w:val="center"/>
            <w:hideMark/>
          </w:tcPr>
          <w:p w14:paraId="336FC216"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ACCTI 868851614</w:t>
            </w:r>
          </w:p>
        </w:tc>
        <w:tc>
          <w:tcPr>
            <w:tcW w:w="1041" w:type="dxa"/>
            <w:tcBorders>
              <w:top w:val="nil"/>
              <w:left w:val="nil"/>
              <w:bottom w:val="single" w:sz="4" w:space="0" w:color="auto"/>
              <w:right w:val="single" w:sz="4" w:space="0" w:color="auto"/>
            </w:tcBorders>
            <w:noWrap/>
            <w:vAlign w:val="center"/>
            <w:hideMark/>
          </w:tcPr>
          <w:p w14:paraId="617591AB"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16/11/2023</w:t>
            </w:r>
          </w:p>
        </w:tc>
        <w:tc>
          <w:tcPr>
            <w:tcW w:w="1101" w:type="dxa"/>
            <w:tcBorders>
              <w:top w:val="nil"/>
              <w:left w:val="nil"/>
              <w:bottom w:val="single" w:sz="4" w:space="0" w:color="auto"/>
              <w:right w:val="single" w:sz="4" w:space="0" w:color="auto"/>
            </w:tcBorders>
            <w:noWrap/>
            <w:vAlign w:val="center"/>
            <w:hideMark/>
          </w:tcPr>
          <w:p w14:paraId="7662387E"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LAM4077</w:t>
            </w:r>
          </w:p>
        </w:tc>
        <w:tc>
          <w:tcPr>
            <w:tcW w:w="541" w:type="dxa"/>
            <w:tcBorders>
              <w:top w:val="nil"/>
              <w:left w:val="nil"/>
              <w:bottom w:val="single" w:sz="4" w:space="0" w:color="auto"/>
              <w:right w:val="single" w:sz="4" w:space="0" w:color="auto"/>
            </w:tcBorders>
            <w:noWrap/>
            <w:vAlign w:val="center"/>
            <w:hideMark/>
          </w:tcPr>
          <w:p w14:paraId="311E1EC7"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143</w:t>
            </w:r>
          </w:p>
        </w:tc>
        <w:tc>
          <w:tcPr>
            <w:tcW w:w="1041" w:type="dxa"/>
            <w:tcBorders>
              <w:top w:val="nil"/>
              <w:left w:val="nil"/>
              <w:bottom w:val="single" w:sz="4" w:space="0" w:color="auto"/>
              <w:right w:val="single" w:sz="4" w:space="0" w:color="auto"/>
            </w:tcBorders>
            <w:noWrap/>
            <w:vAlign w:val="center"/>
            <w:hideMark/>
          </w:tcPr>
          <w:p w14:paraId="6B8F8C6F"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29/01/2009</w:t>
            </w:r>
          </w:p>
        </w:tc>
      </w:tr>
      <w:tr w:rsidR="00205915" w:rsidRPr="00B450EB" w14:paraId="50E64525" w14:textId="77777777" w:rsidTr="00284549">
        <w:trPr>
          <w:trHeight w:val="288"/>
          <w:jc w:val="center"/>
        </w:trPr>
        <w:tc>
          <w:tcPr>
            <w:tcW w:w="2083" w:type="dxa"/>
            <w:vMerge/>
            <w:tcBorders>
              <w:top w:val="nil"/>
              <w:left w:val="single" w:sz="4" w:space="0" w:color="auto"/>
              <w:bottom w:val="single" w:sz="4" w:space="0" w:color="000000"/>
              <w:right w:val="single" w:sz="4" w:space="0" w:color="auto"/>
            </w:tcBorders>
            <w:vAlign w:val="center"/>
            <w:hideMark/>
          </w:tcPr>
          <w:p w14:paraId="3CE7F407" w14:textId="77777777" w:rsidR="00FC148E" w:rsidRPr="00B450EB" w:rsidRDefault="00FC148E" w:rsidP="000D41F8">
            <w:pPr>
              <w:spacing w:after="0" w:line="240" w:lineRule="auto"/>
              <w:rPr>
                <w:rFonts w:eastAsia="Times New Roman" w:cs="Arial"/>
                <w:kern w:val="0"/>
                <w:sz w:val="16"/>
                <w:szCs w:val="16"/>
                <w:lang w:eastAsia="es-CO"/>
                <w14:ligatures w14:val="none"/>
              </w:rPr>
            </w:pPr>
          </w:p>
        </w:tc>
        <w:tc>
          <w:tcPr>
            <w:tcW w:w="1031" w:type="dxa"/>
            <w:tcBorders>
              <w:top w:val="nil"/>
              <w:left w:val="nil"/>
              <w:bottom w:val="single" w:sz="4" w:space="0" w:color="auto"/>
              <w:right w:val="single" w:sz="4" w:space="0" w:color="auto"/>
            </w:tcBorders>
            <w:noWrap/>
            <w:vAlign w:val="center"/>
            <w:hideMark/>
          </w:tcPr>
          <w:p w14:paraId="298996AC"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Resolución</w:t>
            </w:r>
          </w:p>
        </w:tc>
        <w:tc>
          <w:tcPr>
            <w:tcW w:w="1982" w:type="dxa"/>
            <w:tcBorders>
              <w:top w:val="nil"/>
              <w:left w:val="nil"/>
              <w:bottom w:val="single" w:sz="4" w:space="0" w:color="auto"/>
              <w:right w:val="single" w:sz="4" w:space="0" w:color="auto"/>
            </w:tcBorders>
            <w:noWrap/>
            <w:vAlign w:val="center"/>
            <w:hideMark/>
          </w:tcPr>
          <w:p w14:paraId="1E660E11"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ACCTI 868851614</w:t>
            </w:r>
          </w:p>
        </w:tc>
        <w:tc>
          <w:tcPr>
            <w:tcW w:w="1041" w:type="dxa"/>
            <w:tcBorders>
              <w:top w:val="nil"/>
              <w:left w:val="nil"/>
              <w:bottom w:val="single" w:sz="4" w:space="0" w:color="auto"/>
              <w:right w:val="single" w:sz="4" w:space="0" w:color="auto"/>
            </w:tcBorders>
            <w:noWrap/>
            <w:vAlign w:val="center"/>
            <w:hideMark/>
          </w:tcPr>
          <w:p w14:paraId="4C3663E3"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16/11/2023</w:t>
            </w:r>
          </w:p>
        </w:tc>
        <w:tc>
          <w:tcPr>
            <w:tcW w:w="1101" w:type="dxa"/>
            <w:tcBorders>
              <w:top w:val="nil"/>
              <w:left w:val="nil"/>
              <w:bottom w:val="single" w:sz="4" w:space="0" w:color="auto"/>
              <w:right w:val="single" w:sz="4" w:space="0" w:color="auto"/>
            </w:tcBorders>
            <w:noWrap/>
            <w:vAlign w:val="center"/>
            <w:hideMark/>
          </w:tcPr>
          <w:p w14:paraId="5DA2E0C4"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LAV0075-00-2015</w:t>
            </w:r>
          </w:p>
        </w:tc>
        <w:tc>
          <w:tcPr>
            <w:tcW w:w="541" w:type="dxa"/>
            <w:tcBorders>
              <w:top w:val="nil"/>
              <w:left w:val="nil"/>
              <w:bottom w:val="single" w:sz="4" w:space="0" w:color="auto"/>
              <w:right w:val="single" w:sz="4" w:space="0" w:color="auto"/>
            </w:tcBorders>
            <w:noWrap/>
            <w:vAlign w:val="center"/>
            <w:hideMark/>
          </w:tcPr>
          <w:p w14:paraId="4C95AF38"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7</w:t>
            </w:r>
          </w:p>
        </w:tc>
        <w:tc>
          <w:tcPr>
            <w:tcW w:w="1041" w:type="dxa"/>
            <w:tcBorders>
              <w:top w:val="nil"/>
              <w:left w:val="nil"/>
              <w:bottom w:val="single" w:sz="4" w:space="0" w:color="auto"/>
              <w:right w:val="single" w:sz="4" w:space="0" w:color="auto"/>
            </w:tcBorders>
            <w:noWrap/>
            <w:vAlign w:val="center"/>
            <w:hideMark/>
          </w:tcPr>
          <w:p w14:paraId="256FE664"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2/01/2017</w:t>
            </w:r>
          </w:p>
        </w:tc>
      </w:tr>
      <w:tr w:rsidR="00205915" w:rsidRPr="00B450EB" w14:paraId="552B6B2A" w14:textId="77777777" w:rsidTr="00882359">
        <w:trPr>
          <w:trHeight w:val="58"/>
          <w:jc w:val="center"/>
        </w:trPr>
        <w:tc>
          <w:tcPr>
            <w:tcW w:w="2083" w:type="dxa"/>
            <w:tcBorders>
              <w:top w:val="nil"/>
              <w:left w:val="single" w:sz="4" w:space="0" w:color="auto"/>
              <w:bottom w:val="single" w:sz="4" w:space="0" w:color="auto"/>
              <w:right w:val="single" w:sz="4" w:space="0" w:color="auto"/>
            </w:tcBorders>
            <w:vAlign w:val="center"/>
            <w:hideMark/>
          </w:tcPr>
          <w:p w14:paraId="2CF78CD6" w14:textId="77777777" w:rsidR="00FC148E" w:rsidRPr="00B450EB" w:rsidRDefault="00FC148E" w:rsidP="000D41F8">
            <w:pPr>
              <w:spacing w:after="0" w:line="240"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Consejo Comunitario Martin Luther King</w:t>
            </w:r>
          </w:p>
        </w:tc>
        <w:tc>
          <w:tcPr>
            <w:tcW w:w="1031" w:type="dxa"/>
            <w:tcBorders>
              <w:top w:val="nil"/>
              <w:left w:val="nil"/>
              <w:bottom w:val="single" w:sz="4" w:space="0" w:color="auto"/>
              <w:right w:val="single" w:sz="4" w:space="0" w:color="auto"/>
            </w:tcBorders>
            <w:noWrap/>
            <w:vAlign w:val="center"/>
            <w:hideMark/>
          </w:tcPr>
          <w:p w14:paraId="2FE2B2E7"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Resolución</w:t>
            </w:r>
          </w:p>
        </w:tc>
        <w:tc>
          <w:tcPr>
            <w:tcW w:w="1982" w:type="dxa"/>
            <w:tcBorders>
              <w:top w:val="nil"/>
              <w:left w:val="nil"/>
              <w:bottom w:val="single" w:sz="4" w:space="0" w:color="auto"/>
              <w:right w:val="single" w:sz="4" w:space="0" w:color="auto"/>
            </w:tcBorders>
            <w:noWrap/>
            <w:vAlign w:val="center"/>
            <w:hideMark/>
          </w:tcPr>
          <w:p w14:paraId="26F6147F"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ACCTI 86001522</w:t>
            </w:r>
          </w:p>
        </w:tc>
        <w:tc>
          <w:tcPr>
            <w:tcW w:w="1041" w:type="dxa"/>
            <w:tcBorders>
              <w:top w:val="nil"/>
              <w:left w:val="nil"/>
              <w:bottom w:val="single" w:sz="4" w:space="0" w:color="auto"/>
              <w:right w:val="single" w:sz="4" w:space="0" w:color="auto"/>
            </w:tcBorders>
            <w:noWrap/>
            <w:vAlign w:val="center"/>
            <w:hideMark/>
          </w:tcPr>
          <w:p w14:paraId="497D180A"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30/06/2020</w:t>
            </w:r>
          </w:p>
        </w:tc>
        <w:tc>
          <w:tcPr>
            <w:tcW w:w="1101" w:type="dxa"/>
            <w:tcBorders>
              <w:top w:val="nil"/>
              <w:left w:val="nil"/>
              <w:bottom w:val="single" w:sz="4" w:space="0" w:color="auto"/>
              <w:right w:val="single" w:sz="4" w:space="0" w:color="auto"/>
            </w:tcBorders>
            <w:noWrap/>
            <w:vAlign w:val="center"/>
            <w:hideMark/>
          </w:tcPr>
          <w:p w14:paraId="5F10118C"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LAM0199</w:t>
            </w:r>
          </w:p>
        </w:tc>
        <w:tc>
          <w:tcPr>
            <w:tcW w:w="541" w:type="dxa"/>
            <w:tcBorders>
              <w:top w:val="nil"/>
              <w:left w:val="nil"/>
              <w:bottom w:val="single" w:sz="4" w:space="0" w:color="auto"/>
              <w:right w:val="single" w:sz="4" w:space="0" w:color="auto"/>
            </w:tcBorders>
            <w:noWrap/>
            <w:vAlign w:val="center"/>
            <w:hideMark/>
          </w:tcPr>
          <w:p w14:paraId="067E0081"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300</w:t>
            </w:r>
          </w:p>
        </w:tc>
        <w:tc>
          <w:tcPr>
            <w:tcW w:w="1041" w:type="dxa"/>
            <w:tcBorders>
              <w:top w:val="nil"/>
              <w:left w:val="nil"/>
              <w:bottom w:val="single" w:sz="4" w:space="0" w:color="auto"/>
              <w:right w:val="single" w:sz="4" w:space="0" w:color="auto"/>
            </w:tcBorders>
            <w:noWrap/>
            <w:vAlign w:val="center"/>
            <w:hideMark/>
          </w:tcPr>
          <w:p w14:paraId="2AE603C5"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28/04/1999</w:t>
            </w:r>
          </w:p>
        </w:tc>
      </w:tr>
      <w:tr w:rsidR="00205915" w:rsidRPr="00B450EB" w14:paraId="75003977" w14:textId="77777777" w:rsidTr="00882359">
        <w:trPr>
          <w:trHeight w:val="58"/>
          <w:jc w:val="center"/>
        </w:trPr>
        <w:tc>
          <w:tcPr>
            <w:tcW w:w="2083" w:type="dxa"/>
            <w:tcBorders>
              <w:top w:val="nil"/>
              <w:left w:val="single" w:sz="4" w:space="0" w:color="auto"/>
              <w:bottom w:val="single" w:sz="4" w:space="0" w:color="auto"/>
              <w:right w:val="single" w:sz="4" w:space="0" w:color="auto"/>
            </w:tcBorders>
            <w:vAlign w:val="center"/>
            <w:hideMark/>
          </w:tcPr>
          <w:p w14:paraId="7DBB18D9" w14:textId="77777777" w:rsidR="00FC148E" w:rsidRPr="00B450EB" w:rsidRDefault="00FC148E" w:rsidP="000D41F8">
            <w:pPr>
              <w:spacing w:after="0" w:line="240" w:lineRule="auto"/>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Consejo Comunitario Palenque Amazónico</w:t>
            </w:r>
          </w:p>
        </w:tc>
        <w:tc>
          <w:tcPr>
            <w:tcW w:w="1031" w:type="dxa"/>
            <w:tcBorders>
              <w:top w:val="nil"/>
              <w:left w:val="nil"/>
              <w:bottom w:val="single" w:sz="4" w:space="0" w:color="auto"/>
              <w:right w:val="single" w:sz="4" w:space="0" w:color="auto"/>
            </w:tcBorders>
            <w:noWrap/>
            <w:vAlign w:val="center"/>
            <w:hideMark/>
          </w:tcPr>
          <w:p w14:paraId="0DB540EF"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Resolución</w:t>
            </w:r>
          </w:p>
        </w:tc>
        <w:tc>
          <w:tcPr>
            <w:tcW w:w="1982" w:type="dxa"/>
            <w:tcBorders>
              <w:top w:val="nil"/>
              <w:left w:val="nil"/>
              <w:bottom w:val="single" w:sz="4" w:space="0" w:color="auto"/>
              <w:right w:val="single" w:sz="4" w:space="0" w:color="auto"/>
            </w:tcBorders>
            <w:noWrap/>
            <w:vAlign w:val="center"/>
            <w:hideMark/>
          </w:tcPr>
          <w:p w14:paraId="7D88CD4A"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ACCTI0071865712076</w:t>
            </w:r>
          </w:p>
        </w:tc>
        <w:tc>
          <w:tcPr>
            <w:tcW w:w="1041" w:type="dxa"/>
            <w:tcBorders>
              <w:top w:val="nil"/>
              <w:left w:val="nil"/>
              <w:bottom w:val="single" w:sz="4" w:space="0" w:color="auto"/>
              <w:right w:val="single" w:sz="4" w:space="0" w:color="auto"/>
            </w:tcBorders>
            <w:noWrap/>
            <w:vAlign w:val="center"/>
            <w:hideMark/>
          </w:tcPr>
          <w:p w14:paraId="04388021"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27/12/2023</w:t>
            </w:r>
          </w:p>
        </w:tc>
        <w:tc>
          <w:tcPr>
            <w:tcW w:w="1101" w:type="dxa"/>
            <w:tcBorders>
              <w:top w:val="nil"/>
              <w:left w:val="nil"/>
              <w:bottom w:val="single" w:sz="4" w:space="0" w:color="auto"/>
              <w:right w:val="single" w:sz="4" w:space="0" w:color="auto"/>
            </w:tcBorders>
            <w:noWrap/>
            <w:vAlign w:val="center"/>
            <w:hideMark/>
          </w:tcPr>
          <w:p w14:paraId="0698295D" w14:textId="77777777" w:rsidR="00FC148E" w:rsidRPr="00B450EB" w:rsidRDefault="00FC148E" w:rsidP="000D41F8">
            <w:pPr>
              <w:spacing w:after="0" w:line="240" w:lineRule="auto"/>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LAM0533</w:t>
            </w:r>
          </w:p>
        </w:tc>
        <w:tc>
          <w:tcPr>
            <w:tcW w:w="541" w:type="dxa"/>
            <w:tcBorders>
              <w:top w:val="nil"/>
              <w:left w:val="nil"/>
              <w:bottom w:val="single" w:sz="4" w:space="0" w:color="auto"/>
              <w:right w:val="single" w:sz="4" w:space="0" w:color="auto"/>
            </w:tcBorders>
            <w:noWrap/>
            <w:vAlign w:val="center"/>
            <w:hideMark/>
          </w:tcPr>
          <w:p w14:paraId="1677912E"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1452</w:t>
            </w:r>
          </w:p>
        </w:tc>
        <w:tc>
          <w:tcPr>
            <w:tcW w:w="1041" w:type="dxa"/>
            <w:tcBorders>
              <w:top w:val="nil"/>
              <w:left w:val="nil"/>
              <w:bottom w:val="single" w:sz="4" w:space="0" w:color="auto"/>
              <w:right w:val="single" w:sz="4" w:space="0" w:color="auto"/>
            </w:tcBorders>
            <w:noWrap/>
            <w:vAlign w:val="center"/>
            <w:hideMark/>
          </w:tcPr>
          <w:p w14:paraId="040954A0" w14:textId="77777777" w:rsidR="00FC148E" w:rsidRPr="00B450EB" w:rsidRDefault="00FC148E" w:rsidP="000D41F8">
            <w:pPr>
              <w:spacing w:after="0" w:line="240" w:lineRule="auto"/>
              <w:jc w:val="right"/>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27/12/1996</w:t>
            </w:r>
          </w:p>
        </w:tc>
      </w:tr>
    </w:tbl>
    <w:p w14:paraId="00078F4E" w14:textId="4DB45F13" w:rsidR="00284549" w:rsidRPr="00B450EB" w:rsidRDefault="00284549" w:rsidP="00284549">
      <w:pPr>
        <w:spacing w:after="0"/>
        <w:jc w:val="center"/>
        <w:rPr>
          <w:sz w:val="18"/>
          <w:szCs w:val="18"/>
        </w:rPr>
      </w:pPr>
      <w:r w:rsidRPr="00B450EB">
        <w:rPr>
          <w:sz w:val="18"/>
          <w:szCs w:val="18"/>
        </w:rPr>
        <w:t xml:space="preserve">Fuente: Elaboración propia a partir </w:t>
      </w:r>
      <w:proofErr w:type="gramStart"/>
      <w:r w:rsidRPr="00B450EB">
        <w:rPr>
          <w:sz w:val="18"/>
          <w:szCs w:val="18"/>
        </w:rPr>
        <w:t>de  ANT</w:t>
      </w:r>
      <w:proofErr w:type="gramEnd"/>
      <w:r w:rsidRPr="00B450EB">
        <w:rPr>
          <w:sz w:val="18"/>
          <w:szCs w:val="18"/>
        </w:rPr>
        <w:t>, 2025 y ANLA, 2025</w:t>
      </w:r>
    </w:p>
    <w:p w14:paraId="6FDA28B6" w14:textId="77777777" w:rsidR="00F12251" w:rsidRPr="00B450EB" w:rsidRDefault="00F12251" w:rsidP="000C5723">
      <w:pPr>
        <w:tabs>
          <w:tab w:val="left" w:pos="4957"/>
        </w:tabs>
      </w:pPr>
    </w:p>
    <w:p w14:paraId="0A2C6D23" w14:textId="0F58C07D" w:rsidR="00621CBD" w:rsidRPr="00B450EB" w:rsidRDefault="00621CBD" w:rsidP="00621CBD">
      <w:pPr>
        <w:pStyle w:val="Descripcin"/>
        <w:rPr>
          <w:color w:val="auto"/>
        </w:rPr>
      </w:pPr>
      <w:bookmarkStart w:id="182" w:name="_Toc209723005"/>
      <w:r w:rsidRPr="00B450EB">
        <w:rPr>
          <w:color w:val="auto"/>
        </w:rPr>
        <w:t xml:space="preserve">Tabla </w:t>
      </w:r>
      <w:r w:rsidRPr="00B450EB">
        <w:rPr>
          <w:color w:val="auto"/>
        </w:rPr>
        <w:fldChar w:fldCharType="begin"/>
      </w:r>
      <w:r w:rsidRPr="00B450EB">
        <w:rPr>
          <w:color w:val="auto"/>
        </w:rPr>
        <w:instrText xml:space="preserve"> SEQ Tabla \* ARABIC </w:instrText>
      </w:r>
      <w:r w:rsidRPr="00B450EB">
        <w:rPr>
          <w:color w:val="auto"/>
        </w:rPr>
        <w:fldChar w:fldCharType="separate"/>
      </w:r>
      <w:r w:rsidR="00BC4A10" w:rsidRPr="00B450EB">
        <w:rPr>
          <w:noProof/>
          <w:color w:val="auto"/>
        </w:rPr>
        <w:t>22</w:t>
      </w:r>
      <w:r w:rsidRPr="00B450EB">
        <w:rPr>
          <w:color w:val="auto"/>
        </w:rPr>
        <w:fldChar w:fldCharType="end"/>
      </w:r>
      <w:r w:rsidRPr="00B450EB">
        <w:rPr>
          <w:color w:val="auto"/>
        </w:rPr>
        <w:t>. Cruce de resguardo indígenas con proyectos licenciados de hidrocarburos activos</w:t>
      </w:r>
      <w:bookmarkEnd w:id="182"/>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0"/>
        <w:gridCol w:w="1540"/>
        <w:gridCol w:w="1066"/>
        <w:gridCol w:w="500"/>
        <w:gridCol w:w="851"/>
        <w:gridCol w:w="992"/>
        <w:gridCol w:w="709"/>
        <w:gridCol w:w="841"/>
        <w:gridCol w:w="2135"/>
      </w:tblGrid>
      <w:tr w:rsidR="00205915" w:rsidRPr="00B450EB" w14:paraId="05132B83" w14:textId="77777777" w:rsidTr="00621CBD">
        <w:trPr>
          <w:trHeight w:val="288"/>
          <w:tblHeader/>
          <w:jc w:val="center"/>
        </w:trPr>
        <w:tc>
          <w:tcPr>
            <w:tcW w:w="4957" w:type="dxa"/>
            <w:gridSpan w:val="5"/>
            <w:shd w:val="clear" w:color="000000" w:fill="DAF2D0"/>
            <w:noWrap/>
            <w:vAlign w:val="center"/>
            <w:hideMark/>
          </w:tcPr>
          <w:p w14:paraId="4C65E348" w14:textId="37DE5EFA" w:rsidR="00DE0AD1" w:rsidRPr="00B450EB" w:rsidRDefault="00DE0AD1" w:rsidP="00621CBD">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Resguardos Indígenas según la ANT, 2025</w:t>
            </w:r>
          </w:p>
        </w:tc>
        <w:tc>
          <w:tcPr>
            <w:tcW w:w="4677" w:type="dxa"/>
            <w:gridSpan w:val="4"/>
            <w:shd w:val="clear" w:color="000000" w:fill="DAF2D0"/>
            <w:noWrap/>
            <w:vAlign w:val="center"/>
            <w:hideMark/>
          </w:tcPr>
          <w:p w14:paraId="7BCD1107"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Proyectos Licenciados</w:t>
            </w:r>
          </w:p>
        </w:tc>
      </w:tr>
      <w:tr w:rsidR="00205915" w:rsidRPr="00B450EB" w14:paraId="52F9078C" w14:textId="77777777" w:rsidTr="00621CBD">
        <w:trPr>
          <w:trHeight w:val="384"/>
          <w:tblHeader/>
          <w:jc w:val="center"/>
        </w:trPr>
        <w:tc>
          <w:tcPr>
            <w:tcW w:w="1000" w:type="dxa"/>
            <w:shd w:val="clear" w:color="000000" w:fill="DAF2D0"/>
            <w:vAlign w:val="center"/>
            <w:hideMark/>
          </w:tcPr>
          <w:p w14:paraId="4B78FEB4"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PUEBLO</w:t>
            </w:r>
          </w:p>
        </w:tc>
        <w:tc>
          <w:tcPr>
            <w:tcW w:w="1540" w:type="dxa"/>
            <w:shd w:val="clear" w:color="000000" w:fill="DAF2D0"/>
            <w:vAlign w:val="center"/>
            <w:hideMark/>
          </w:tcPr>
          <w:p w14:paraId="7BD02F7B"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NOMBRE</w:t>
            </w:r>
          </w:p>
        </w:tc>
        <w:tc>
          <w:tcPr>
            <w:tcW w:w="1066" w:type="dxa"/>
            <w:shd w:val="clear" w:color="000000" w:fill="DAF2D0"/>
            <w:vAlign w:val="center"/>
            <w:hideMark/>
          </w:tcPr>
          <w:p w14:paraId="7CBA77B1"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Tipo AA</w:t>
            </w:r>
          </w:p>
        </w:tc>
        <w:tc>
          <w:tcPr>
            <w:tcW w:w="500" w:type="dxa"/>
            <w:shd w:val="clear" w:color="000000" w:fill="DAF2D0"/>
            <w:vAlign w:val="center"/>
            <w:hideMark/>
          </w:tcPr>
          <w:p w14:paraId="188EC4CD"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proofErr w:type="spellStart"/>
            <w:r w:rsidRPr="00B450EB">
              <w:rPr>
                <w:rFonts w:eastAsia="Times New Roman" w:cs="Arial"/>
                <w:b/>
                <w:bCs/>
                <w:kern w:val="0"/>
                <w:sz w:val="14"/>
                <w:szCs w:val="14"/>
                <w:lang w:eastAsia="es-CO"/>
                <w14:ligatures w14:val="none"/>
              </w:rPr>
              <w:t>Nº</w:t>
            </w:r>
            <w:proofErr w:type="spellEnd"/>
            <w:r w:rsidRPr="00B450EB">
              <w:rPr>
                <w:rFonts w:eastAsia="Times New Roman" w:cs="Arial"/>
                <w:b/>
                <w:bCs/>
                <w:kern w:val="0"/>
                <w:sz w:val="14"/>
                <w:szCs w:val="14"/>
                <w:lang w:eastAsia="es-CO"/>
                <w14:ligatures w14:val="none"/>
              </w:rPr>
              <w:t xml:space="preserve"> AA</w:t>
            </w:r>
          </w:p>
        </w:tc>
        <w:tc>
          <w:tcPr>
            <w:tcW w:w="851" w:type="dxa"/>
            <w:shd w:val="clear" w:color="000000" w:fill="DAF2D0"/>
            <w:vAlign w:val="center"/>
            <w:hideMark/>
          </w:tcPr>
          <w:p w14:paraId="3820BDEC"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Fecha AA</w:t>
            </w:r>
          </w:p>
        </w:tc>
        <w:tc>
          <w:tcPr>
            <w:tcW w:w="992" w:type="dxa"/>
            <w:shd w:val="clear" w:color="000000" w:fill="DAF2D0"/>
            <w:vAlign w:val="center"/>
            <w:hideMark/>
          </w:tcPr>
          <w:p w14:paraId="5B22CB38"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Expediente ANLA</w:t>
            </w:r>
          </w:p>
        </w:tc>
        <w:tc>
          <w:tcPr>
            <w:tcW w:w="709" w:type="dxa"/>
            <w:shd w:val="clear" w:color="000000" w:fill="DAF2D0"/>
            <w:vAlign w:val="center"/>
            <w:hideMark/>
          </w:tcPr>
          <w:p w14:paraId="60DAFDEE"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proofErr w:type="spellStart"/>
            <w:r w:rsidRPr="00B450EB">
              <w:rPr>
                <w:rFonts w:eastAsia="Times New Roman" w:cs="Arial"/>
                <w:b/>
                <w:bCs/>
                <w:kern w:val="0"/>
                <w:sz w:val="14"/>
                <w:szCs w:val="14"/>
                <w:lang w:eastAsia="es-CO"/>
                <w14:ligatures w14:val="none"/>
              </w:rPr>
              <w:t>Nº</w:t>
            </w:r>
            <w:proofErr w:type="spellEnd"/>
            <w:r w:rsidRPr="00B450EB">
              <w:rPr>
                <w:rFonts w:eastAsia="Times New Roman" w:cs="Arial"/>
                <w:b/>
                <w:bCs/>
                <w:kern w:val="0"/>
                <w:sz w:val="14"/>
                <w:szCs w:val="14"/>
                <w:lang w:eastAsia="es-CO"/>
                <w14:ligatures w14:val="none"/>
              </w:rPr>
              <w:t xml:space="preserve"> AA</w:t>
            </w:r>
          </w:p>
        </w:tc>
        <w:tc>
          <w:tcPr>
            <w:tcW w:w="841" w:type="dxa"/>
            <w:shd w:val="clear" w:color="000000" w:fill="DAF2D0"/>
            <w:vAlign w:val="center"/>
            <w:hideMark/>
          </w:tcPr>
          <w:p w14:paraId="4C4C8474"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Fecha AA</w:t>
            </w:r>
          </w:p>
        </w:tc>
        <w:tc>
          <w:tcPr>
            <w:tcW w:w="2135" w:type="dxa"/>
            <w:shd w:val="clear" w:color="000000" w:fill="DAF2D0"/>
            <w:vAlign w:val="center"/>
            <w:hideMark/>
          </w:tcPr>
          <w:p w14:paraId="2E822CAF" w14:textId="77777777" w:rsidR="00DE0AD1" w:rsidRPr="00B450EB" w:rsidRDefault="00DE0AD1" w:rsidP="00DE0AD1">
            <w:pPr>
              <w:spacing w:after="0" w:line="240" w:lineRule="auto"/>
              <w:jc w:val="center"/>
              <w:rPr>
                <w:rFonts w:eastAsia="Times New Roman" w:cs="Arial"/>
                <w:b/>
                <w:bCs/>
                <w:kern w:val="0"/>
                <w:sz w:val="14"/>
                <w:szCs w:val="14"/>
                <w:lang w:eastAsia="es-CO"/>
                <w14:ligatures w14:val="none"/>
              </w:rPr>
            </w:pPr>
            <w:r w:rsidRPr="00B450EB">
              <w:rPr>
                <w:rFonts w:eastAsia="Times New Roman" w:cs="Arial"/>
                <w:b/>
                <w:bCs/>
                <w:kern w:val="0"/>
                <w:sz w:val="14"/>
                <w:szCs w:val="14"/>
                <w:lang w:eastAsia="es-CO"/>
                <w14:ligatures w14:val="none"/>
              </w:rPr>
              <w:t>Observaciones sobre la Consulta Previa relacionada</w:t>
            </w:r>
          </w:p>
        </w:tc>
      </w:tr>
      <w:tr w:rsidR="00205915" w:rsidRPr="00B450EB" w14:paraId="2DED910A" w14:textId="77777777" w:rsidTr="00621CBD">
        <w:trPr>
          <w:trHeight w:val="384"/>
          <w:jc w:val="center"/>
        </w:trPr>
        <w:tc>
          <w:tcPr>
            <w:tcW w:w="1000" w:type="dxa"/>
            <w:vAlign w:val="center"/>
            <w:hideMark/>
          </w:tcPr>
          <w:p w14:paraId="36A354C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AWA</w:t>
            </w:r>
          </w:p>
        </w:tc>
        <w:tc>
          <w:tcPr>
            <w:tcW w:w="1540" w:type="dxa"/>
            <w:vAlign w:val="center"/>
            <w:hideMark/>
          </w:tcPr>
          <w:p w14:paraId="32F77A9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Awa</w:t>
            </w:r>
            <w:proofErr w:type="spellEnd"/>
            <w:r w:rsidRPr="00B450EB">
              <w:rPr>
                <w:rFonts w:eastAsia="Times New Roman" w:cs="Arial"/>
                <w:kern w:val="0"/>
                <w:sz w:val="14"/>
                <w:szCs w:val="14"/>
                <w:lang w:eastAsia="es-CO"/>
                <w14:ligatures w14:val="none"/>
              </w:rPr>
              <w:t xml:space="preserve"> de Agua Blanca</w:t>
            </w:r>
          </w:p>
        </w:tc>
        <w:tc>
          <w:tcPr>
            <w:tcW w:w="1066" w:type="dxa"/>
            <w:vAlign w:val="center"/>
            <w:hideMark/>
          </w:tcPr>
          <w:p w14:paraId="5B26736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ACUERDO</w:t>
            </w:r>
          </w:p>
        </w:tc>
        <w:tc>
          <w:tcPr>
            <w:tcW w:w="500" w:type="dxa"/>
            <w:vAlign w:val="center"/>
            <w:hideMark/>
          </w:tcPr>
          <w:p w14:paraId="6D25347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250</w:t>
            </w:r>
          </w:p>
        </w:tc>
        <w:tc>
          <w:tcPr>
            <w:tcW w:w="851" w:type="dxa"/>
            <w:vAlign w:val="center"/>
            <w:hideMark/>
          </w:tcPr>
          <w:p w14:paraId="475BA0F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19/06/2011</w:t>
            </w:r>
          </w:p>
        </w:tc>
        <w:tc>
          <w:tcPr>
            <w:tcW w:w="992" w:type="dxa"/>
            <w:vAlign w:val="center"/>
            <w:hideMark/>
          </w:tcPr>
          <w:p w14:paraId="213AD97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LAV0047-00-2023</w:t>
            </w:r>
          </w:p>
        </w:tc>
        <w:tc>
          <w:tcPr>
            <w:tcW w:w="709" w:type="dxa"/>
            <w:vAlign w:val="center"/>
            <w:hideMark/>
          </w:tcPr>
          <w:p w14:paraId="69B51A0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1066</w:t>
            </w:r>
          </w:p>
        </w:tc>
        <w:tc>
          <w:tcPr>
            <w:tcW w:w="841" w:type="dxa"/>
            <w:shd w:val="clear" w:color="000000" w:fill="E8E8E8"/>
            <w:vAlign w:val="center"/>
            <w:hideMark/>
          </w:tcPr>
          <w:p w14:paraId="63B50F3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10/06/2024</w:t>
            </w:r>
          </w:p>
        </w:tc>
        <w:tc>
          <w:tcPr>
            <w:tcW w:w="2135" w:type="dxa"/>
            <w:vAlign w:val="center"/>
            <w:hideMark/>
          </w:tcPr>
          <w:p w14:paraId="34153DB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Resolución DANCP ST- 0414 del 20 de mayo de 2021</w:t>
            </w:r>
          </w:p>
        </w:tc>
      </w:tr>
      <w:tr w:rsidR="00205915" w:rsidRPr="00B450EB" w14:paraId="35EF8E70" w14:textId="77777777" w:rsidTr="00621CBD">
        <w:trPr>
          <w:trHeight w:val="384"/>
          <w:jc w:val="center"/>
        </w:trPr>
        <w:tc>
          <w:tcPr>
            <w:tcW w:w="1000" w:type="dxa"/>
            <w:vAlign w:val="center"/>
            <w:hideMark/>
          </w:tcPr>
          <w:p w14:paraId="0DE1F44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AWA</w:t>
            </w:r>
          </w:p>
        </w:tc>
        <w:tc>
          <w:tcPr>
            <w:tcW w:w="1540" w:type="dxa"/>
            <w:vAlign w:val="center"/>
            <w:hideMark/>
          </w:tcPr>
          <w:p w14:paraId="3064A10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Awa</w:t>
            </w:r>
            <w:proofErr w:type="spellEnd"/>
            <w:r w:rsidRPr="00B450EB">
              <w:rPr>
                <w:rFonts w:eastAsia="Times New Roman" w:cs="Arial"/>
                <w:kern w:val="0"/>
                <w:sz w:val="14"/>
                <w:szCs w:val="14"/>
                <w:lang w:eastAsia="es-CO"/>
                <w14:ligatures w14:val="none"/>
              </w:rPr>
              <w:t xml:space="preserve"> De Cañaveral</w:t>
            </w:r>
          </w:p>
        </w:tc>
        <w:tc>
          <w:tcPr>
            <w:tcW w:w="1066" w:type="dxa"/>
            <w:vAlign w:val="center"/>
            <w:hideMark/>
          </w:tcPr>
          <w:p w14:paraId="1F83737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10F0C2B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14</w:t>
            </w:r>
          </w:p>
        </w:tc>
        <w:tc>
          <w:tcPr>
            <w:tcW w:w="851" w:type="dxa"/>
            <w:vAlign w:val="center"/>
            <w:hideMark/>
          </w:tcPr>
          <w:p w14:paraId="7F69D7D0"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22/07/2003</w:t>
            </w:r>
          </w:p>
        </w:tc>
        <w:tc>
          <w:tcPr>
            <w:tcW w:w="992" w:type="dxa"/>
            <w:vAlign w:val="center"/>
            <w:hideMark/>
          </w:tcPr>
          <w:p w14:paraId="1A894CC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2052949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vAlign w:val="center"/>
            <w:hideMark/>
          </w:tcPr>
          <w:p w14:paraId="1B1BC7E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13D0378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5D5F03B6" w14:textId="77777777" w:rsidTr="00621CBD">
        <w:trPr>
          <w:trHeight w:val="576"/>
          <w:jc w:val="center"/>
        </w:trPr>
        <w:tc>
          <w:tcPr>
            <w:tcW w:w="1000" w:type="dxa"/>
            <w:vAlign w:val="center"/>
            <w:hideMark/>
          </w:tcPr>
          <w:p w14:paraId="4238285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AWA</w:t>
            </w:r>
          </w:p>
        </w:tc>
        <w:tc>
          <w:tcPr>
            <w:tcW w:w="1540" w:type="dxa"/>
            <w:vAlign w:val="center"/>
            <w:hideMark/>
          </w:tcPr>
          <w:p w14:paraId="7F7080A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Awa</w:t>
            </w:r>
            <w:proofErr w:type="spellEnd"/>
            <w:r w:rsidRPr="00B450EB">
              <w:rPr>
                <w:rFonts w:eastAsia="Times New Roman" w:cs="Arial"/>
                <w:kern w:val="0"/>
                <w:sz w:val="14"/>
                <w:szCs w:val="14"/>
                <w:lang w:eastAsia="es-CO"/>
                <w14:ligatures w14:val="none"/>
              </w:rPr>
              <w:t xml:space="preserve"> De Los Guaduales</w:t>
            </w:r>
          </w:p>
        </w:tc>
        <w:tc>
          <w:tcPr>
            <w:tcW w:w="1066" w:type="dxa"/>
            <w:vAlign w:val="center"/>
            <w:hideMark/>
          </w:tcPr>
          <w:p w14:paraId="1A04417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3051228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15</w:t>
            </w:r>
          </w:p>
        </w:tc>
        <w:tc>
          <w:tcPr>
            <w:tcW w:w="851" w:type="dxa"/>
            <w:vAlign w:val="center"/>
            <w:hideMark/>
          </w:tcPr>
          <w:p w14:paraId="33A5EE1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22/07/2003</w:t>
            </w:r>
          </w:p>
        </w:tc>
        <w:tc>
          <w:tcPr>
            <w:tcW w:w="992" w:type="dxa"/>
            <w:vAlign w:val="center"/>
            <w:hideMark/>
          </w:tcPr>
          <w:p w14:paraId="7FAB641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6D2B6C4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vAlign w:val="center"/>
            <w:hideMark/>
          </w:tcPr>
          <w:p w14:paraId="35E5699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3D1157B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6ECFF8A8" w14:textId="77777777" w:rsidTr="00621CBD">
        <w:trPr>
          <w:trHeight w:val="384"/>
          <w:jc w:val="center"/>
        </w:trPr>
        <w:tc>
          <w:tcPr>
            <w:tcW w:w="1000" w:type="dxa"/>
            <w:vAlign w:val="center"/>
            <w:hideMark/>
          </w:tcPr>
          <w:p w14:paraId="211E3D1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AWA</w:t>
            </w:r>
          </w:p>
        </w:tc>
        <w:tc>
          <w:tcPr>
            <w:tcW w:w="1540" w:type="dxa"/>
            <w:vAlign w:val="center"/>
            <w:hideMark/>
          </w:tcPr>
          <w:p w14:paraId="201ADC1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Awa</w:t>
            </w:r>
            <w:proofErr w:type="spellEnd"/>
            <w:r w:rsidRPr="00B450EB">
              <w:rPr>
                <w:rFonts w:eastAsia="Times New Roman" w:cs="Arial"/>
                <w:kern w:val="0"/>
                <w:sz w:val="14"/>
                <w:szCs w:val="14"/>
                <w:lang w:eastAsia="es-CO"/>
                <w14:ligatures w14:val="none"/>
              </w:rPr>
              <w:t xml:space="preserve"> La Cabaña</w:t>
            </w:r>
          </w:p>
        </w:tc>
        <w:tc>
          <w:tcPr>
            <w:tcW w:w="1066" w:type="dxa"/>
            <w:vAlign w:val="center"/>
            <w:hideMark/>
          </w:tcPr>
          <w:p w14:paraId="41797F4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6D14670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277</w:t>
            </w:r>
          </w:p>
        </w:tc>
        <w:tc>
          <w:tcPr>
            <w:tcW w:w="851" w:type="dxa"/>
            <w:vAlign w:val="center"/>
            <w:hideMark/>
          </w:tcPr>
          <w:p w14:paraId="42C0BBF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21/06/2023</w:t>
            </w:r>
          </w:p>
        </w:tc>
        <w:tc>
          <w:tcPr>
            <w:tcW w:w="992" w:type="dxa"/>
            <w:vAlign w:val="center"/>
            <w:hideMark/>
          </w:tcPr>
          <w:p w14:paraId="76F8303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LAM4174</w:t>
            </w:r>
          </w:p>
        </w:tc>
        <w:tc>
          <w:tcPr>
            <w:tcW w:w="709" w:type="dxa"/>
            <w:vAlign w:val="center"/>
            <w:hideMark/>
          </w:tcPr>
          <w:p w14:paraId="2A5EE2B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937</w:t>
            </w:r>
          </w:p>
        </w:tc>
        <w:tc>
          <w:tcPr>
            <w:tcW w:w="841" w:type="dxa"/>
            <w:vAlign w:val="center"/>
            <w:hideMark/>
          </w:tcPr>
          <w:p w14:paraId="152C1817"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22/05/2009</w:t>
            </w:r>
          </w:p>
        </w:tc>
        <w:tc>
          <w:tcPr>
            <w:tcW w:w="2135" w:type="dxa"/>
            <w:vAlign w:val="center"/>
            <w:hideMark/>
          </w:tcPr>
          <w:p w14:paraId="57A4F82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0C1EB072" w14:textId="77777777" w:rsidTr="00621CBD">
        <w:trPr>
          <w:trHeight w:val="384"/>
          <w:jc w:val="center"/>
        </w:trPr>
        <w:tc>
          <w:tcPr>
            <w:tcW w:w="1000" w:type="dxa"/>
            <w:vAlign w:val="center"/>
            <w:hideMark/>
          </w:tcPr>
          <w:p w14:paraId="3B8329B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AWA</w:t>
            </w:r>
          </w:p>
        </w:tc>
        <w:tc>
          <w:tcPr>
            <w:tcW w:w="1540" w:type="dxa"/>
            <w:vAlign w:val="center"/>
            <w:hideMark/>
          </w:tcPr>
          <w:p w14:paraId="31E4EFE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Resguardo Indígena Awá La Turbia</w:t>
            </w:r>
          </w:p>
        </w:tc>
        <w:tc>
          <w:tcPr>
            <w:tcW w:w="1066" w:type="dxa"/>
            <w:vAlign w:val="center"/>
            <w:hideMark/>
          </w:tcPr>
          <w:p w14:paraId="36D5671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ACUERDO</w:t>
            </w:r>
          </w:p>
        </w:tc>
        <w:tc>
          <w:tcPr>
            <w:tcW w:w="500" w:type="dxa"/>
            <w:vAlign w:val="center"/>
            <w:hideMark/>
          </w:tcPr>
          <w:p w14:paraId="33E17B5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246</w:t>
            </w:r>
          </w:p>
        </w:tc>
        <w:tc>
          <w:tcPr>
            <w:tcW w:w="851" w:type="dxa"/>
            <w:vAlign w:val="center"/>
            <w:hideMark/>
          </w:tcPr>
          <w:p w14:paraId="6C46384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12/12/2022</w:t>
            </w:r>
          </w:p>
        </w:tc>
        <w:tc>
          <w:tcPr>
            <w:tcW w:w="992" w:type="dxa"/>
            <w:vAlign w:val="center"/>
            <w:hideMark/>
          </w:tcPr>
          <w:p w14:paraId="5CE932E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LAM0542</w:t>
            </w:r>
          </w:p>
        </w:tc>
        <w:tc>
          <w:tcPr>
            <w:tcW w:w="709" w:type="dxa"/>
            <w:vAlign w:val="center"/>
            <w:hideMark/>
          </w:tcPr>
          <w:p w14:paraId="7952127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762</w:t>
            </w:r>
          </w:p>
        </w:tc>
        <w:tc>
          <w:tcPr>
            <w:tcW w:w="841" w:type="dxa"/>
            <w:vAlign w:val="center"/>
            <w:hideMark/>
          </w:tcPr>
          <w:p w14:paraId="5C9C586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13/09/2012</w:t>
            </w:r>
          </w:p>
        </w:tc>
        <w:tc>
          <w:tcPr>
            <w:tcW w:w="2135" w:type="dxa"/>
            <w:vAlign w:val="center"/>
            <w:hideMark/>
          </w:tcPr>
          <w:p w14:paraId="74F8E96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49E96CCA" w14:textId="77777777" w:rsidTr="00621CBD">
        <w:trPr>
          <w:trHeight w:val="576"/>
          <w:jc w:val="center"/>
        </w:trPr>
        <w:tc>
          <w:tcPr>
            <w:tcW w:w="1000" w:type="dxa"/>
            <w:vAlign w:val="center"/>
            <w:hideMark/>
          </w:tcPr>
          <w:p w14:paraId="1063B67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EMBERA CHAMI</w:t>
            </w:r>
          </w:p>
        </w:tc>
        <w:tc>
          <w:tcPr>
            <w:tcW w:w="1540" w:type="dxa"/>
            <w:vAlign w:val="center"/>
            <w:hideMark/>
          </w:tcPr>
          <w:p w14:paraId="5C5CD8A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Embera</w:t>
            </w:r>
            <w:proofErr w:type="spellEnd"/>
            <w:r w:rsidRPr="00B450EB">
              <w:rPr>
                <w:rFonts w:eastAsia="Times New Roman" w:cs="Arial"/>
                <w:kern w:val="0"/>
                <w:sz w:val="14"/>
                <w:szCs w:val="14"/>
                <w:lang w:eastAsia="es-CO"/>
                <w14:ligatures w14:val="none"/>
              </w:rPr>
              <w:t xml:space="preserve"> Chami de </w:t>
            </w:r>
            <w:proofErr w:type="spellStart"/>
            <w:r w:rsidRPr="00B450EB">
              <w:rPr>
                <w:rFonts w:eastAsia="Times New Roman" w:cs="Arial"/>
                <w:kern w:val="0"/>
                <w:sz w:val="14"/>
                <w:szCs w:val="14"/>
                <w:lang w:eastAsia="es-CO"/>
                <w14:ligatures w14:val="none"/>
              </w:rPr>
              <w:t>Simorna</w:t>
            </w:r>
            <w:proofErr w:type="spellEnd"/>
          </w:p>
        </w:tc>
        <w:tc>
          <w:tcPr>
            <w:tcW w:w="1066" w:type="dxa"/>
            <w:vAlign w:val="center"/>
            <w:hideMark/>
          </w:tcPr>
          <w:p w14:paraId="70EFCF6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3AF3F19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29</w:t>
            </w:r>
          </w:p>
        </w:tc>
        <w:tc>
          <w:tcPr>
            <w:tcW w:w="851" w:type="dxa"/>
            <w:vAlign w:val="center"/>
            <w:hideMark/>
          </w:tcPr>
          <w:p w14:paraId="3B87110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15/09/2005</w:t>
            </w:r>
          </w:p>
        </w:tc>
        <w:tc>
          <w:tcPr>
            <w:tcW w:w="992" w:type="dxa"/>
            <w:vAlign w:val="center"/>
            <w:hideMark/>
          </w:tcPr>
          <w:p w14:paraId="47A5331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27A5519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vAlign w:val="center"/>
            <w:hideMark/>
          </w:tcPr>
          <w:p w14:paraId="0C37169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3869B24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2A353AF4" w14:textId="77777777" w:rsidTr="00621CBD">
        <w:trPr>
          <w:trHeight w:val="576"/>
          <w:jc w:val="center"/>
        </w:trPr>
        <w:tc>
          <w:tcPr>
            <w:tcW w:w="1000" w:type="dxa"/>
            <w:vAlign w:val="center"/>
            <w:hideMark/>
          </w:tcPr>
          <w:p w14:paraId="1AFF6C2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EMBERA KATIO</w:t>
            </w:r>
          </w:p>
        </w:tc>
        <w:tc>
          <w:tcPr>
            <w:tcW w:w="1540" w:type="dxa"/>
            <w:vAlign w:val="center"/>
            <w:hideMark/>
          </w:tcPr>
          <w:p w14:paraId="53E50E2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Embera-Katio</w:t>
            </w:r>
            <w:proofErr w:type="spellEnd"/>
            <w:r w:rsidRPr="00B450EB">
              <w:rPr>
                <w:rFonts w:eastAsia="Times New Roman" w:cs="Arial"/>
                <w:kern w:val="0"/>
                <w:sz w:val="14"/>
                <w:szCs w:val="14"/>
                <w:lang w:eastAsia="es-CO"/>
                <w14:ligatures w14:val="none"/>
              </w:rPr>
              <w:t xml:space="preserve"> de La Cristalina</w:t>
            </w:r>
          </w:p>
        </w:tc>
        <w:tc>
          <w:tcPr>
            <w:tcW w:w="1066" w:type="dxa"/>
            <w:vAlign w:val="center"/>
            <w:hideMark/>
          </w:tcPr>
          <w:p w14:paraId="155CBCE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21C8598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113</w:t>
            </w:r>
          </w:p>
        </w:tc>
        <w:tc>
          <w:tcPr>
            <w:tcW w:w="851" w:type="dxa"/>
            <w:vAlign w:val="center"/>
            <w:hideMark/>
          </w:tcPr>
          <w:p w14:paraId="1E1FD8A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21/09/1993</w:t>
            </w:r>
          </w:p>
        </w:tc>
        <w:tc>
          <w:tcPr>
            <w:tcW w:w="992" w:type="dxa"/>
            <w:vAlign w:val="center"/>
            <w:hideMark/>
          </w:tcPr>
          <w:p w14:paraId="46C655A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41CFE3B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shd w:val="clear" w:color="000000" w:fill="E8E8E8"/>
            <w:vAlign w:val="center"/>
            <w:hideMark/>
          </w:tcPr>
          <w:p w14:paraId="5F5FE8B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7D6F199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63D6F6E5" w14:textId="77777777" w:rsidTr="00621CBD">
        <w:trPr>
          <w:trHeight w:val="576"/>
          <w:jc w:val="center"/>
        </w:trPr>
        <w:tc>
          <w:tcPr>
            <w:tcW w:w="1000" w:type="dxa"/>
            <w:vAlign w:val="center"/>
            <w:hideMark/>
          </w:tcPr>
          <w:p w14:paraId="5723639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INGA</w:t>
            </w:r>
          </w:p>
        </w:tc>
        <w:tc>
          <w:tcPr>
            <w:tcW w:w="1540" w:type="dxa"/>
            <w:vAlign w:val="center"/>
            <w:hideMark/>
          </w:tcPr>
          <w:p w14:paraId="03B0F74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Resguardo Indígena Inga de Las Brisas</w:t>
            </w:r>
          </w:p>
        </w:tc>
        <w:tc>
          <w:tcPr>
            <w:tcW w:w="1066" w:type="dxa"/>
            <w:vAlign w:val="center"/>
            <w:hideMark/>
          </w:tcPr>
          <w:p w14:paraId="370BC4C0"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5987BEA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46</w:t>
            </w:r>
          </w:p>
        </w:tc>
        <w:tc>
          <w:tcPr>
            <w:tcW w:w="851" w:type="dxa"/>
            <w:vAlign w:val="center"/>
            <w:hideMark/>
          </w:tcPr>
          <w:p w14:paraId="47AB1D9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10/12/1997</w:t>
            </w:r>
          </w:p>
        </w:tc>
        <w:tc>
          <w:tcPr>
            <w:tcW w:w="992" w:type="dxa"/>
            <w:vAlign w:val="center"/>
            <w:hideMark/>
          </w:tcPr>
          <w:p w14:paraId="0A9BC1F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LAM0199</w:t>
            </w:r>
          </w:p>
        </w:tc>
        <w:tc>
          <w:tcPr>
            <w:tcW w:w="709" w:type="dxa"/>
            <w:vAlign w:val="center"/>
            <w:hideMark/>
          </w:tcPr>
          <w:p w14:paraId="146BECF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300</w:t>
            </w:r>
          </w:p>
        </w:tc>
        <w:tc>
          <w:tcPr>
            <w:tcW w:w="841" w:type="dxa"/>
            <w:shd w:val="clear" w:color="000000" w:fill="E8E8E8"/>
            <w:vAlign w:val="center"/>
            <w:hideMark/>
          </w:tcPr>
          <w:p w14:paraId="0B6F1607"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28/04/1999</w:t>
            </w:r>
          </w:p>
        </w:tc>
        <w:tc>
          <w:tcPr>
            <w:tcW w:w="2135" w:type="dxa"/>
            <w:vMerge w:val="restart"/>
            <w:vAlign w:val="center"/>
            <w:hideMark/>
          </w:tcPr>
          <w:p w14:paraId="3FACD0E7" w14:textId="6A427279"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Mediante Auto 912 de 19/12/1997 se ordenó consulta con comunidades indígenas.</w:t>
            </w:r>
          </w:p>
        </w:tc>
      </w:tr>
      <w:tr w:rsidR="00205915" w:rsidRPr="00B450EB" w14:paraId="4141651A" w14:textId="77777777" w:rsidTr="00621CBD">
        <w:trPr>
          <w:trHeight w:val="576"/>
          <w:jc w:val="center"/>
        </w:trPr>
        <w:tc>
          <w:tcPr>
            <w:tcW w:w="1000" w:type="dxa"/>
            <w:vAlign w:val="center"/>
            <w:hideMark/>
          </w:tcPr>
          <w:p w14:paraId="48CAAC3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INGA</w:t>
            </w:r>
          </w:p>
        </w:tc>
        <w:tc>
          <w:tcPr>
            <w:tcW w:w="1540" w:type="dxa"/>
            <w:vAlign w:val="center"/>
            <w:hideMark/>
          </w:tcPr>
          <w:p w14:paraId="223ECCC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Inga de Puerto </w:t>
            </w:r>
            <w:proofErr w:type="spellStart"/>
            <w:r w:rsidRPr="00B450EB">
              <w:rPr>
                <w:rFonts w:eastAsia="Times New Roman" w:cs="Arial"/>
                <w:kern w:val="0"/>
                <w:sz w:val="14"/>
                <w:szCs w:val="14"/>
                <w:lang w:eastAsia="es-CO"/>
                <w14:ligatures w14:val="none"/>
              </w:rPr>
              <w:t>Limon</w:t>
            </w:r>
            <w:proofErr w:type="spellEnd"/>
          </w:p>
        </w:tc>
        <w:tc>
          <w:tcPr>
            <w:tcW w:w="1066" w:type="dxa"/>
            <w:vAlign w:val="center"/>
            <w:hideMark/>
          </w:tcPr>
          <w:p w14:paraId="5E4374C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5CE3680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112</w:t>
            </w:r>
          </w:p>
        </w:tc>
        <w:tc>
          <w:tcPr>
            <w:tcW w:w="851" w:type="dxa"/>
            <w:vAlign w:val="center"/>
            <w:hideMark/>
          </w:tcPr>
          <w:p w14:paraId="1B1BCDA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21/09/1993</w:t>
            </w:r>
          </w:p>
        </w:tc>
        <w:tc>
          <w:tcPr>
            <w:tcW w:w="992" w:type="dxa"/>
            <w:vAlign w:val="center"/>
            <w:hideMark/>
          </w:tcPr>
          <w:p w14:paraId="14AD877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LAM0199</w:t>
            </w:r>
          </w:p>
        </w:tc>
        <w:tc>
          <w:tcPr>
            <w:tcW w:w="709" w:type="dxa"/>
            <w:vAlign w:val="center"/>
            <w:hideMark/>
          </w:tcPr>
          <w:p w14:paraId="6031B29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300</w:t>
            </w:r>
          </w:p>
        </w:tc>
        <w:tc>
          <w:tcPr>
            <w:tcW w:w="841" w:type="dxa"/>
            <w:shd w:val="clear" w:color="000000" w:fill="E8E8E8"/>
            <w:vAlign w:val="center"/>
            <w:hideMark/>
          </w:tcPr>
          <w:p w14:paraId="6D9E5CE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28/04/1999</w:t>
            </w:r>
          </w:p>
        </w:tc>
        <w:tc>
          <w:tcPr>
            <w:tcW w:w="2135" w:type="dxa"/>
            <w:vMerge/>
            <w:vAlign w:val="center"/>
            <w:hideMark/>
          </w:tcPr>
          <w:p w14:paraId="6F5F976F" w14:textId="08F063B8" w:rsidR="00DE0AD1" w:rsidRPr="00B450EB" w:rsidRDefault="00DE0AD1" w:rsidP="00DE0AD1">
            <w:pPr>
              <w:spacing w:after="0" w:line="240" w:lineRule="auto"/>
              <w:jc w:val="center"/>
              <w:rPr>
                <w:rFonts w:eastAsia="Times New Roman" w:cs="Arial"/>
                <w:kern w:val="0"/>
                <w:sz w:val="14"/>
                <w:szCs w:val="14"/>
                <w:lang w:eastAsia="es-CO"/>
                <w14:ligatures w14:val="none"/>
              </w:rPr>
            </w:pPr>
          </w:p>
        </w:tc>
      </w:tr>
      <w:tr w:rsidR="00205915" w:rsidRPr="00B450EB" w14:paraId="12E8380E" w14:textId="77777777" w:rsidTr="00621CBD">
        <w:trPr>
          <w:trHeight w:val="576"/>
          <w:jc w:val="center"/>
        </w:trPr>
        <w:tc>
          <w:tcPr>
            <w:tcW w:w="1000" w:type="dxa"/>
            <w:vAlign w:val="center"/>
            <w:hideMark/>
          </w:tcPr>
          <w:p w14:paraId="04D05FF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INGA</w:t>
            </w:r>
          </w:p>
        </w:tc>
        <w:tc>
          <w:tcPr>
            <w:tcW w:w="1540" w:type="dxa"/>
            <w:vAlign w:val="center"/>
            <w:hideMark/>
          </w:tcPr>
          <w:p w14:paraId="48FDCE6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Resguardo Indígena inga de San Antonio Del Fragua</w:t>
            </w:r>
          </w:p>
        </w:tc>
        <w:tc>
          <w:tcPr>
            <w:tcW w:w="1066" w:type="dxa"/>
            <w:vAlign w:val="center"/>
            <w:hideMark/>
          </w:tcPr>
          <w:p w14:paraId="4BE36F0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6F2728D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96</w:t>
            </w:r>
          </w:p>
        </w:tc>
        <w:tc>
          <w:tcPr>
            <w:tcW w:w="851" w:type="dxa"/>
            <w:vAlign w:val="center"/>
            <w:hideMark/>
          </w:tcPr>
          <w:p w14:paraId="4C55F2D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27/07/1982</w:t>
            </w:r>
          </w:p>
        </w:tc>
        <w:tc>
          <w:tcPr>
            <w:tcW w:w="992" w:type="dxa"/>
            <w:vAlign w:val="center"/>
            <w:hideMark/>
          </w:tcPr>
          <w:p w14:paraId="18528B0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LAM0199</w:t>
            </w:r>
          </w:p>
        </w:tc>
        <w:tc>
          <w:tcPr>
            <w:tcW w:w="709" w:type="dxa"/>
            <w:vAlign w:val="center"/>
            <w:hideMark/>
          </w:tcPr>
          <w:p w14:paraId="31AD8D9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300</w:t>
            </w:r>
          </w:p>
        </w:tc>
        <w:tc>
          <w:tcPr>
            <w:tcW w:w="841" w:type="dxa"/>
            <w:shd w:val="clear" w:color="000000" w:fill="E8E8E8"/>
            <w:vAlign w:val="center"/>
            <w:hideMark/>
          </w:tcPr>
          <w:p w14:paraId="6A1D130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28/04/1999</w:t>
            </w:r>
          </w:p>
        </w:tc>
        <w:tc>
          <w:tcPr>
            <w:tcW w:w="2135" w:type="dxa"/>
            <w:vMerge/>
            <w:vAlign w:val="center"/>
            <w:hideMark/>
          </w:tcPr>
          <w:p w14:paraId="78709A9C" w14:textId="2007D446" w:rsidR="00DE0AD1" w:rsidRPr="00B450EB" w:rsidRDefault="00DE0AD1" w:rsidP="00DE0AD1">
            <w:pPr>
              <w:spacing w:after="0" w:line="240" w:lineRule="auto"/>
              <w:jc w:val="center"/>
              <w:rPr>
                <w:rFonts w:eastAsia="Times New Roman" w:cs="Arial"/>
                <w:kern w:val="0"/>
                <w:sz w:val="14"/>
                <w:szCs w:val="14"/>
                <w:lang w:eastAsia="es-CO"/>
                <w14:ligatures w14:val="none"/>
              </w:rPr>
            </w:pPr>
          </w:p>
        </w:tc>
      </w:tr>
      <w:tr w:rsidR="00205915" w:rsidRPr="00B450EB" w14:paraId="39EE86C0" w14:textId="77777777" w:rsidTr="00621CBD">
        <w:trPr>
          <w:trHeight w:val="576"/>
          <w:jc w:val="center"/>
        </w:trPr>
        <w:tc>
          <w:tcPr>
            <w:tcW w:w="1000" w:type="dxa"/>
            <w:vAlign w:val="center"/>
            <w:hideMark/>
          </w:tcPr>
          <w:p w14:paraId="71BB1B6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INGA</w:t>
            </w:r>
          </w:p>
        </w:tc>
        <w:tc>
          <w:tcPr>
            <w:tcW w:w="1540" w:type="dxa"/>
            <w:vAlign w:val="center"/>
            <w:hideMark/>
          </w:tcPr>
          <w:p w14:paraId="3217C9C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Resguardo Indígena Inga De San Miguel</w:t>
            </w:r>
          </w:p>
        </w:tc>
        <w:tc>
          <w:tcPr>
            <w:tcW w:w="1066" w:type="dxa"/>
            <w:vAlign w:val="center"/>
            <w:hideMark/>
          </w:tcPr>
          <w:p w14:paraId="55A41B4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13B739A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8</w:t>
            </w:r>
          </w:p>
        </w:tc>
        <w:tc>
          <w:tcPr>
            <w:tcW w:w="851" w:type="dxa"/>
            <w:vAlign w:val="center"/>
            <w:hideMark/>
          </w:tcPr>
          <w:p w14:paraId="772C753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28/04/1992</w:t>
            </w:r>
          </w:p>
        </w:tc>
        <w:tc>
          <w:tcPr>
            <w:tcW w:w="992" w:type="dxa"/>
            <w:vAlign w:val="center"/>
            <w:hideMark/>
          </w:tcPr>
          <w:p w14:paraId="7F9AABB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LAM0199</w:t>
            </w:r>
          </w:p>
        </w:tc>
        <w:tc>
          <w:tcPr>
            <w:tcW w:w="709" w:type="dxa"/>
            <w:vAlign w:val="center"/>
            <w:hideMark/>
          </w:tcPr>
          <w:p w14:paraId="6BBB077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300</w:t>
            </w:r>
          </w:p>
        </w:tc>
        <w:tc>
          <w:tcPr>
            <w:tcW w:w="841" w:type="dxa"/>
            <w:shd w:val="clear" w:color="000000" w:fill="E8E8E8"/>
            <w:vAlign w:val="center"/>
            <w:hideMark/>
          </w:tcPr>
          <w:p w14:paraId="011A34A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28/04/1999</w:t>
            </w:r>
          </w:p>
        </w:tc>
        <w:tc>
          <w:tcPr>
            <w:tcW w:w="2135" w:type="dxa"/>
            <w:vMerge/>
            <w:vAlign w:val="center"/>
            <w:hideMark/>
          </w:tcPr>
          <w:p w14:paraId="65639F98" w14:textId="7EB6551D" w:rsidR="00DE0AD1" w:rsidRPr="00B450EB" w:rsidRDefault="00DE0AD1" w:rsidP="00DE0AD1">
            <w:pPr>
              <w:spacing w:after="0" w:line="240" w:lineRule="auto"/>
              <w:jc w:val="center"/>
              <w:rPr>
                <w:rFonts w:eastAsia="Times New Roman" w:cs="Arial"/>
                <w:kern w:val="0"/>
                <w:sz w:val="14"/>
                <w:szCs w:val="14"/>
                <w:lang w:eastAsia="es-CO"/>
                <w14:ligatures w14:val="none"/>
              </w:rPr>
            </w:pPr>
          </w:p>
        </w:tc>
      </w:tr>
      <w:tr w:rsidR="00205915" w:rsidRPr="00B450EB" w14:paraId="5E87C092" w14:textId="77777777" w:rsidTr="00621CBD">
        <w:trPr>
          <w:trHeight w:val="576"/>
          <w:jc w:val="center"/>
        </w:trPr>
        <w:tc>
          <w:tcPr>
            <w:tcW w:w="1000" w:type="dxa"/>
            <w:vAlign w:val="center"/>
            <w:hideMark/>
          </w:tcPr>
          <w:p w14:paraId="0EB454B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INGA</w:t>
            </w:r>
          </w:p>
        </w:tc>
        <w:tc>
          <w:tcPr>
            <w:tcW w:w="1540" w:type="dxa"/>
            <w:vMerge w:val="restart"/>
            <w:vAlign w:val="center"/>
            <w:hideMark/>
          </w:tcPr>
          <w:p w14:paraId="37227F3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Resguardo Indígena Inga Villa Catalina de Puerto Rosario</w:t>
            </w:r>
          </w:p>
        </w:tc>
        <w:tc>
          <w:tcPr>
            <w:tcW w:w="1066" w:type="dxa"/>
            <w:vAlign w:val="center"/>
            <w:hideMark/>
          </w:tcPr>
          <w:p w14:paraId="41783F0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3D177AD0"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20</w:t>
            </w:r>
          </w:p>
        </w:tc>
        <w:tc>
          <w:tcPr>
            <w:tcW w:w="851" w:type="dxa"/>
            <w:vAlign w:val="center"/>
            <w:hideMark/>
          </w:tcPr>
          <w:p w14:paraId="48CF540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29/06/2000</w:t>
            </w:r>
          </w:p>
        </w:tc>
        <w:tc>
          <w:tcPr>
            <w:tcW w:w="992" w:type="dxa"/>
            <w:vAlign w:val="center"/>
            <w:hideMark/>
          </w:tcPr>
          <w:p w14:paraId="54D781E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LAM0533</w:t>
            </w:r>
          </w:p>
        </w:tc>
        <w:tc>
          <w:tcPr>
            <w:tcW w:w="709" w:type="dxa"/>
            <w:vAlign w:val="center"/>
            <w:hideMark/>
          </w:tcPr>
          <w:p w14:paraId="6A9F9AA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1452</w:t>
            </w:r>
          </w:p>
        </w:tc>
        <w:tc>
          <w:tcPr>
            <w:tcW w:w="841" w:type="dxa"/>
            <w:vAlign w:val="center"/>
            <w:hideMark/>
          </w:tcPr>
          <w:p w14:paraId="07FD4F7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27/12/1996</w:t>
            </w:r>
          </w:p>
        </w:tc>
        <w:tc>
          <w:tcPr>
            <w:tcW w:w="2135" w:type="dxa"/>
            <w:vAlign w:val="center"/>
            <w:hideMark/>
          </w:tcPr>
          <w:p w14:paraId="1BDF3F2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58EC2924" w14:textId="77777777" w:rsidTr="00621CBD">
        <w:trPr>
          <w:trHeight w:val="2304"/>
          <w:jc w:val="center"/>
        </w:trPr>
        <w:tc>
          <w:tcPr>
            <w:tcW w:w="1000" w:type="dxa"/>
            <w:vAlign w:val="center"/>
            <w:hideMark/>
          </w:tcPr>
          <w:p w14:paraId="18F37A5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lastRenderedPageBreak/>
              <w:t>INGA</w:t>
            </w:r>
          </w:p>
        </w:tc>
        <w:tc>
          <w:tcPr>
            <w:tcW w:w="1540" w:type="dxa"/>
            <w:vMerge/>
            <w:vAlign w:val="center"/>
            <w:hideMark/>
          </w:tcPr>
          <w:p w14:paraId="4FA9BC51" w14:textId="77777777" w:rsidR="00DE0AD1" w:rsidRPr="00B450EB" w:rsidRDefault="00DE0AD1" w:rsidP="00DE0AD1">
            <w:pPr>
              <w:spacing w:after="0" w:line="240" w:lineRule="auto"/>
              <w:jc w:val="left"/>
              <w:rPr>
                <w:rFonts w:eastAsia="Times New Roman" w:cs="Arial"/>
                <w:kern w:val="0"/>
                <w:sz w:val="14"/>
                <w:szCs w:val="14"/>
                <w:lang w:eastAsia="es-CO"/>
                <w14:ligatures w14:val="none"/>
              </w:rPr>
            </w:pPr>
          </w:p>
        </w:tc>
        <w:tc>
          <w:tcPr>
            <w:tcW w:w="1066" w:type="dxa"/>
            <w:vAlign w:val="center"/>
            <w:hideMark/>
          </w:tcPr>
          <w:p w14:paraId="3DAA3F4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474B389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20</w:t>
            </w:r>
          </w:p>
        </w:tc>
        <w:tc>
          <w:tcPr>
            <w:tcW w:w="851" w:type="dxa"/>
            <w:vAlign w:val="center"/>
            <w:hideMark/>
          </w:tcPr>
          <w:p w14:paraId="2BC643C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29/06/2000</w:t>
            </w:r>
          </w:p>
        </w:tc>
        <w:tc>
          <w:tcPr>
            <w:tcW w:w="992" w:type="dxa"/>
            <w:vAlign w:val="center"/>
            <w:hideMark/>
          </w:tcPr>
          <w:p w14:paraId="70241EF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LAM4402</w:t>
            </w:r>
          </w:p>
        </w:tc>
        <w:tc>
          <w:tcPr>
            <w:tcW w:w="709" w:type="dxa"/>
            <w:vAlign w:val="center"/>
            <w:hideMark/>
          </w:tcPr>
          <w:p w14:paraId="34C4972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1189</w:t>
            </w:r>
          </w:p>
        </w:tc>
        <w:tc>
          <w:tcPr>
            <w:tcW w:w="841" w:type="dxa"/>
            <w:shd w:val="clear" w:color="000000" w:fill="E8E8E8"/>
            <w:vAlign w:val="center"/>
            <w:hideMark/>
          </w:tcPr>
          <w:p w14:paraId="74E6F68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19/06/2009</w:t>
            </w:r>
          </w:p>
        </w:tc>
        <w:tc>
          <w:tcPr>
            <w:tcW w:w="2135" w:type="dxa"/>
            <w:vAlign w:val="center"/>
            <w:hideMark/>
          </w:tcPr>
          <w:p w14:paraId="5B8D5B1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Mediante Auto 1286 del 6 de mayo de 2009, el Ministerio de Ambiente Ordenó la celebración de reunión de Consulta Previa con las comunidades indígenas de Villa Catalina, Resguardo Calenturas, Resguardo Alto Mango, Resguardo </w:t>
            </w:r>
            <w:proofErr w:type="spellStart"/>
            <w:r w:rsidRPr="00B450EB">
              <w:rPr>
                <w:rFonts w:eastAsia="Times New Roman" w:cs="Arial"/>
                <w:kern w:val="0"/>
                <w:sz w:val="14"/>
                <w:szCs w:val="14"/>
                <w:lang w:eastAsia="es-CO"/>
                <w14:ligatures w14:val="none"/>
              </w:rPr>
              <w:t>Alpamanga</w:t>
            </w:r>
            <w:proofErr w:type="spellEnd"/>
            <w:r w:rsidRPr="00B450EB">
              <w:rPr>
                <w:rFonts w:eastAsia="Times New Roman" w:cs="Arial"/>
                <w:kern w:val="0"/>
                <w:sz w:val="14"/>
                <w:szCs w:val="14"/>
                <w:lang w:eastAsia="es-CO"/>
                <w14:ligatures w14:val="none"/>
              </w:rPr>
              <w:t xml:space="preserve">, Resguardo </w:t>
            </w:r>
            <w:proofErr w:type="spellStart"/>
            <w:r w:rsidRPr="00B450EB">
              <w:rPr>
                <w:rFonts w:eastAsia="Times New Roman" w:cs="Arial"/>
                <w:kern w:val="0"/>
                <w:sz w:val="14"/>
                <w:szCs w:val="14"/>
                <w:lang w:eastAsia="es-CO"/>
                <w14:ligatures w14:val="none"/>
              </w:rPr>
              <w:t>Huasipanga</w:t>
            </w:r>
            <w:proofErr w:type="spellEnd"/>
            <w:r w:rsidRPr="00B450EB">
              <w:rPr>
                <w:rFonts w:eastAsia="Times New Roman" w:cs="Arial"/>
                <w:kern w:val="0"/>
                <w:sz w:val="14"/>
                <w:szCs w:val="14"/>
                <w:lang w:eastAsia="es-CO"/>
                <w14:ligatures w14:val="none"/>
              </w:rPr>
              <w:t xml:space="preserve">, Cabildo </w:t>
            </w:r>
            <w:proofErr w:type="spellStart"/>
            <w:r w:rsidRPr="00B450EB">
              <w:rPr>
                <w:rFonts w:eastAsia="Times New Roman" w:cs="Arial"/>
                <w:kern w:val="0"/>
                <w:sz w:val="14"/>
                <w:szCs w:val="14"/>
                <w:lang w:eastAsia="es-CO"/>
                <w14:ligatures w14:val="none"/>
              </w:rPr>
              <w:t>Nucanchipa</w:t>
            </w:r>
            <w:proofErr w:type="spellEnd"/>
            <w:r w:rsidRPr="00B450EB">
              <w:rPr>
                <w:rFonts w:eastAsia="Times New Roman" w:cs="Arial"/>
                <w:kern w:val="0"/>
                <w:sz w:val="14"/>
                <w:szCs w:val="14"/>
                <w:lang w:eastAsia="es-CO"/>
                <w14:ligatures w14:val="none"/>
              </w:rPr>
              <w:t xml:space="preserve"> Alta, localizadas en el área de influencia del proyecto. Acuerdos establecidos en la reunión de Consulta Previa realizada el 12 de mayo de 2009 </w:t>
            </w:r>
          </w:p>
        </w:tc>
      </w:tr>
      <w:tr w:rsidR="00205915" w:rsidRPr="00B450EB" w14:paraId="1349A586" w14:textId="77777777" w:rsidTr="00621CBD">
        <w:trPr>
          <w:trHeight w:val="384"/>
          <w:jc w:val="center"/>
        </w:trPr>
        <w:tc>
          <w:tcPr>
            <w:tcW w:w="1000" w:type="dxa"/>
            <w:vAlign w:val="center"/>
            <w:hideMark/>
          </w:tcPr>
          <w:p w14:paraId="76F3353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AWA</w:t>
            </w:r>
          </w:p>
        </w:tc>
        <w:tc>
          <w:tcPr>
            <w:tcW w:w="1540" w:type="dxa"/>
            <w:vAlign w:val="center"/>
            <w:hideMark/>
          </w:tcPr>
          <w:p w14:paraId="6B4DC22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Ishu</w:t>
            </w:r>
            <w:proofErr w:type="spellEnd"/>
            <w:r w:rsidRPr="00B450EB">
              <w:rPr>
                <w:rFonts w:eastAsia="Times New Roman" w:cs="Arial"/>
                <w:kern w:val="0"/>
                <w:sz w:val="14"/>
                <w:szCs w:val="14"/>
                <w:lang w:eastAsia="es-CO"/>
                <w14:ligatures w14:val="none"/>
              </w:rPr>
              <w:t xml:space="preserve"> </w:t>
            </w:r>
            <w:proofErr w:type="spellStart"/>
            <w:r w:rsidRPr="00B450EB">
              <w:rPr>
                <w:rFonts w:eastAsia="Times New Roman" w:cs="Arial"/>
                <w:kern w:val="0"/>
                <w:sz w:val="14"/>
                <w:szCs w:val="14"/>
                <w:lang w:eastAsia="es-CO"/>
                <w14:ligatures w14:val="none"/>
              </w:rPr>
              <w:t>Awa</w:t>
            </w:r>
            <w:proofErr w:type="spellEnd"/>
          </w:p>
        </w:tc>
        <w:tc>
          <w:tcPr>
            <w:tcW w:w="1066" w:type="dxa"/>
            <w:vAlign w:val="center"/>
            <w:hideMark/>
          </w:tcPr>
          <w:p w14:paraId="211ECC3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ACUERDO</w:t>
            </w:r>
          </w:p>
        </w:tc>
        <w:tc>
          <w:tcPr>
            <w:tcW w:w="500" w:type="dxa"/>
            <w:vAlign w:val="center"/>
            <w:hideMark/>
          </w:tcPr>
          <w:p w14:paraId="358CC5F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273</w:t>
            </w:r>
          </w:p>
        </w:tc>
        <w:tc>
          <w:tcPr>
            <w:tcW w:w="851" w:type="dxa"/>
            <w:vAlign w:val="center"/>
            <w:hideMark/>
          </w:tcPr>
          <w:p w14:paraId="7493CE8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31/01/2012</w:t>
            </w:r>
          </w:p>
        </w:tc>
        <w:tc>
          <w:tcPr>
            <w:tcW w:w="992" w:type="dxa"/>
            <w:vAlign w:val="center"/>
            <w:hideMark/>
          </w:tcPr>
          <w:p w14:paraId="6567E30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5D7E058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vAlign w:val="center"/>
            <w:hideMark/>
          </w:tcPr>
          <w:p w14:paraId="46A6A81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028A6B7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75890D12" w14:textId="77777777" w:rsidTr="00621CBD">
        <w:trPr>
          <w:trHeight w:val="768"/>
          <w:jc w:val="center"/>
        </w:trPr>
        <w:tc>
          <w:tcPr>
            <w:tcW w:w="1000" w:type="dxa"/>
            <w:vAlign w:val="center"/>
            <w:hideMark/>
          </w:tcPr>
          <w:p w14:paraId="0B5FD1B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KOFAN</w:t>
            </w:r>
          </w:p>
        </w:tc>
        <w:tc>
          <w:tcPr>
            <w:tcW w:w="1540" w:type="dxa"/>
            <w:vMerge w:val="restart"/>
            <w:vAlign w:val="center"/>
            <w:hideMark/>
          </w:tcPr>
          <w:p w14:paraId="75FDF1C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Kofan</w:t>
            </w:r>
            <w:proofErr w:type="spellEnd"/>
            <w:r w:rsidRPr="00B450EB">
              <w:rPr>
                <w:rFonts w:eastAsia="Times New Roman" w:cs="Arial"/>
                <w:kern w:val="0"/>
                <w:sz w:val="14"/>
                <w:szCs w:val="14"/>
                <w:lang w:eastAsia="es-CO"/>
                <w14:ligatures w14:val="none"/>
              </w:rPr>
              <w:t xml:space="preserve">-Inga de </w:t>
            </w:r>
            <w:proofErr w:type="spellStart"/>
            <w:r w:rsidRPr="00B450EB">
              <w:rPr>
                <w:rFonts w:eastAsia="Times New Roman" w:cs="Arial"/>
                <w:kern w:val="0"/>
                <w:sz w:val="14"/>
                <w:szCs w:val="14"/>
                <w:lang w:eastAsia="es-CO"/>
                <w14:ligatures w14:val="none"/>
              </w:rPr>
              <w:t>Yarinal</w:t>
            </w:r>
            <w:proofErr w:type="spellEnd"/>
            <w:r w:rsidRPr="00B450EB">
              <w:rPr>
                <w:rFonts w:eastAsia="Times New Roman" w:cs="Arial"/>
                <w:kern w:val="0"/>
                <w:sz w:val="14"/>
                <w:szCs w:val="14"/>
                <w:lang w:eastAsia="es-CO"/>
                <w14:ligatures w14:val="none"/>
              </w:rPr>
              <w:t xml:space="preserve"> - San Marcelino, Amaron</w:t>
            </w:r>
          </w:p>
        </w:tc>
        <w:tc>
          <w:tcPr>
            <w:tcW w:w="1066" w:type="dxa"/>
            <w:vAlign w:val="center"/>
            <w:hideMark/>
          </w:tcPr>
          <w:p w14:paraId="2A3199B7"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4BE2D85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8</w:t>
            </w:r>
          </w:p>
        </w:tc>
        <w:tc>
          <w:tcPr>
            <w:tcW w:w="851" w:type="dxa"/>
            <w:vAlign w:val="center"/>
            <w:hideMark/>
          </w:tcPr>
          <w:p w14:paraId="5891AFA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13/05/1998</w:t>
            </w:r>
          </w:p>
        </w:tc>
        <w:tc>
          <w:tcPr>
            <w:tcW w:w="992" w:type="dxa"/>
            <w:vAlign w:val="center"/>
            <w:hideMark/>
          </w:tcPr>
          <w:p w14:paraId="680BBEA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259D0C1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vAlign w:val="center"/>
            <w:hideMark/>
          </w:tcPr>
          <w:p w14:paraId="14E5B3E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4B32C3A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58B5C576" w14:textId="77777777" w:rsidTr="00621CBD">
        <w:trPr>
          <w:trHeight w:val="1920"/>
          <w:jc w:val="center"/>
        </w:trPr>
        <w:tc>
          <w:tcPr>
            <w:tcW w:w="1000" w:type="dxa"/>
            <w:vAlign w:val="center"/>
            <w:hideMark/>
          </w:tcPr>
          <w:p w14:paraId="25C7743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KOFAN</w:t>
            </w:r>
          </w:p>
        </w:tc>
        <w:tc>
          <w:tcPr>
            <w:tcW w:w="1540" w:type="dxa"/>
            <w:vMerge/>
            <w:vAlign w:val="center"/>
            <w:hideMark/>
          </w:tcPr>
          <w:p w14:paraId="6FC1FB14" w14:textId="77777777" w:rsidR="00DE0AD1" w:rsidRPr="00B450EB" w:rsidRDefault="00DE0AD1" w:rsidP="00DE0AD1">
            <w:pPr>
              <w:spacing w:after="0" w:line="240" w:lineRule="auto"/>
              <w:jc w:val="left"/>
              <w:rPr>
                <w:rFonts w:eastAsia="Times New Roman" w:cs="Arial"/>
                <w:kern w:val="0"/>
                <w:sz w:val="14"/>
                <w:szCs w:val="14"/>
                <w:lang w:eastAsia="es-CO"/>
                <w14:ligatures w14:val="none"/>
              </w:rPr>
            </w:pPr>
          </w:p>
        </w:tc>
        <w:tc>
          <w:tcPr>
            <w:tcW w:w="1066" w:type="dxa"/>
            <w:vAlign w:val="center"/>
            <w:hideMark/>
          </w:tcPr>
          <w:p w14:paraId="7FCA28B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09882D6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8</w:t>
            </w:r>
          </w:p>
        </w:tc>
        <w:tc>
          <w:tcPr>
            <w:tcW w:w="851" w:type="dxa"/>
            <w:vAlign w:val="center"/>
            <w:hideMark/>
          </w:tcPr>
          <w:p w14:paraId="4841875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13/05/1998</w:t>
            </w:r>
          </w:p>
        </w:tc>
        <w:tc>
          <w:tcPr>
            <w:tcW w:w="992" w:type="dxa"/>
            <w:vAlign w:val="center"/>
            <w:hideMark/>
          </w:tcPr>
          <w:p w14:paraId="14F177F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LAM3276</w:t>
            </w:r>
          </w:p>
        </w:tc>
        <w:tc>
          <w:tcPr>
            <w:tcW w:w="709" w:type="dxa"/>
            <w:vAlign w:val="center"/>
            <w:hideMark/>
          </w:tcPr>
          <w:p w14:paraId="0E94C98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687</w:t>
            </w:r>
          </w:p>
        </w:tc>
        <w:tc>
          <w:tcPr>
            <w:tcW w:w="841" w:type="dxa"/>
            <w:shd w:val="clear" w:color="000000" w:fill="E8E8E8"/>
            <w:vAlign w:val="center"/>
            <w:hideMark/>
          </w:tcPr>
          <w:p w14:paraId="7D04F93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29/04/2005</w:t>
            </w:r>
          </w:p>
        </w:tc>
        <w:tc>
          <w:tcPr>
            <w:tcW w:w="2135" w:type="dxa"/>
            <w:vAlign w:val="center"/>
            <w:hideMark/>
          </w:tcPr>
          <w:p w14:paraId="42DAA34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El Auto 1414 del 26 de julio de 2006 se requirió a la empresa para que adelantara el proceso de Consulta Previa para la ejecución del </w:t>
            </w:r>
            <w:proofErr w:type="spellStart"/>
            <w:r w:rsidRPr="00B450EB">
              <w:rPr>
                <w:rFonts w:eastAsia="Times New Roman" w:cs="Arial"/>
                <w:kern w:val="0"/>
                <w:sz w:val="14"/>
                <w:szCs w:val="14"/>
                <w:lang w:eastAsia="es-CO"/>
                <w14:ligatures w14:val="none"/>
              </w:rPr>
              <w:t>Reentry</w:t>
            </w:r>
            <w:proofErr w:type="spellEnd"/>
            <w:r w:rsidRPr="00B450EB">
              <w:rPr>
                <w:rFonts w:eastAsia="Times New Roman" w:cs="Arial"/>
                <w:kern w:val="0"/>
                <w:sz w:val="14"/>
                <w:szCs w:val="14"/>
                <w:lang w:eastAsia="es-CO"/>
                <w14:ligatures w14:val="none"/>
              </w:rPr>
              <w:t>, debido a que para la fecha de expedición de dicho Auto ya se habían adelantado actividades en los pozos Temblones 1 y 1X, el Ministerio del Interior decidió ordenar la realización de un proceso de concertación entre las partes</w:t>
            </w:r>
          </w:p>
        </w:tc>
      </w:tr>
      <w:tr w:rsidR="00205915" w:rsidRPr="00B450EB" w14:paraId="003D0A6B" w14:textId="77777777" w:rsidTr="00621CBD">
        <w:trPr>
          <w:trHeight w:val="1344"/>
          <w:jc w:val="center"/>
        </w:trPr>
        <w:tc>
          <w:tcPr>
            <w:tcW w:w="1000" w:type="dxa"/>
            <w:vAlign w:val="center"/>
            <w:hideMark/>
          </w:tcPr>
          <w:p w14:paraId="5065195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KOFAN</w:t>
            </w:r>
          </w:p>
        </w:tc>
        <w:tc>
          <w:tcPr>
            <w:tcW w:w="1540" w:type="dxa"/>
            <w:vMerge/>
            <w:vAlign w:val="center"/>
            <w:hideMark/>
          </w:tcPr>
          <w:p w14:paraId="5189A712" w14:textId="77777777" w:rsidR="00DE0AD1" w:rsidRPr="00B450EB" w:rsidRDefault="00DE0AD1" w:rsidP="00DE0AD1">
            <w:pPr>
              <w:spacing w:after="0" w:line="240" w:lineRule="auto"/>
              <w:jc w:val="left"/>
              <w:rPr>
                <w:rFonts w:eastAsia="Times New Roman" w:cs="Arial"/>
                <w:kern w:val="0"/>
                <w:sz w:val="14"/>
                <w:szCs w:val="14"/>
                <w:lang w:eastAsia="es-CO"/>
                <w14:ligatures w14:val="none"/>
              </w:rPr>
            </w:pPr>
          </w:p>
        </w:tc>
        <w:tc>
          <w:tcPr>
            <w:tcW w:w="1066" w:type="dxa"/>
            <w:vAlign w:val="center"/>
            <w:hideMark/>
          </w:tcPr>
          <w:p w14:paraId="28DB4B8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7FED931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8</w:t>
            </w:r>
          </w:p>
        </w:tc>
        <w:tc>
          <w:tcPr>
            <w:tcW w:w="851" w:type="dxa"/>
            <w:vAlign w:val="center"/>
            <w:hideMark/>
          </w:tcPr>
          <w:p w14:paraId="5831E99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13/05/1998</w:t>
            </w:r>
          </w:p>
        </w:tc>
        <w:tc>
          <w:tcPr>
            <w:tcW w:w="992" w:type="dxa"/>
            <w:vAlign w:val="center"/>
            <w:hideMark/>
          </w:tcPr>
          <w:p w14:paraId="0DDC5F3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LAM4990</w:t>
            </w:r>
          </w:p>
        </w:tc>
        <w:tc>
          <w:tcPr>
            <w:tcW w:w="709" w:type="dxa"/>
            <w:vAlign w:val="center"/>
            <w:hideMark/>
          </w:tcPr>
          <w:p w14:paraId="5A3C99E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715</w:t>
            </w:r>
          </w:p>
        </w:tc>
        <w:tc>
          <w:tcPr>
            <w:tcW w:w="841" w:type="dxa"/>
            <w:shd w:val="clear" w:color="000000" w:fill="E8E8E8"/>
            <w:vAlign w:val="center"/>
            <w:hideMark/>
          </w:tcPr>
          <w:p w14:paraId="61E8976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26/09/2012</w:t>
            </w:r>
          </w:p>
        </w:tc>
        <w:tc>
          <w:tcPr>
            <w:tcW w:w="2135" w:type="dxa"/>
            <w:vAlign w:val="center"/>
            <w:hideMark/>
          </w:tcPr>
          <w:p w14:paraId="3305CAAC" w14:textId="1ADD6D79"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Mediante Auto 1638 del 31 de mayo de 2012 el Ministerio de Ambiente ordenó de la reunión de Consulta Previa con las comunidades de San Marcelino, La Raya, </w:t>
            </w:r>
            <w:proofErr w:type="spellStart"/>
            <w:r w:rsidRPr="00B450EB">
              <w:rPr>
                <w:rFonts w:eastAsia="Times New Roman" w:cs="Arial"/>
                <w:kern w:val="0"/>
                <w:sz w:val="14"/>
                <w:szCs w:val="14"/>
                <w:lang w:eastAsia="es-CO"/>
                <w14:ligatures w14:val="none"/>
              </w:rPr>
              <w:t>Yarinal</w:t>
            </w:r>
            <w:proofErr w:type="spellEnd"/>
            <w:r w:rsidRPr="00B450EB">
              <w:rPr>
                <w:rFonts w:eastAsia="Times New Roman" w:cs="Arial"/>
                <w:kern w:val="0"/>
                <w:sz w:val="14"/>
                <w:szCs w:val="14"/>
                <w:lang w:eastAsia="es-CO"/>
                <w14:ligatures w14:val="none"/>
              </w:rPr>
              <w:t xml:space="preserve">, Campo Alegre, Acuerdos establecidos en </w:t>
            </w:r>
            <w:proofErr w:type="spellStart"/>
            <w:r w:rsidRPr="00B450EB">
              <w:rPr>
                <w:rFonts w:eastAsia="Times New Roman" w:cs="Arial"/>
                <w:kern w:val="0"/>
                <w:sz w:val="14"/>
                <w:szCs w:val="14"/>
                <w:lang w:eastAsia="es-CO"/>
                <w14:ligatures w14:val="none"/>
              </w:rPr>
              <w:t>reunion</w:t>
            </w:r>
            <w:proofErr w:type="spellEnd"/>
            <w:r w:rsidRPr="00B450EB">
              <w:rPr>
                <w:rFonts w:eastAsia="Times New Roman" w:cs="Arial"/>
                <w:kern w:val="0"/>
                <w:sz w:val="14"/>
                <w:szCs w:val="14"/>
                <w:lang w:eastAsia="es-CO"/>
                <w14:ligatures w14:val="none"/>
              </w:rPr>
              <w:t xml:space="preserve"> de Consulta Previa realizada el 14 de junio de 2012</w:t>
            </w:r>
          </w:p>
        </w:tc>
      </w:tr>
      <w:tr w:rsidR="00205915" w:rsidRPr="00B450EB" w14:paraId="6E03BE26" w14:textId="77777777" w:rsidTr="00621CBD">
        <w:trPr>
          <w:trHeight w:val="768"/>
          <w:jc w:val="center"/>
        </w:trPr>
        <w:tc>
          <w:tcPr>
            <w:tcW w:w="1000" w:type="dxa"/>
            <w:vAlign w:val="center"/>
            <w:hideMark/>
          </w:tcPr>
          <w:p w14:paraId="40C56DD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NASA PAEZ</w:t>
            </w:r>
          </w:p>
        </w:tc>
        <w:tc>
          <w:tcPr>
            <w:tcW w:w="1540" w:type="dxa"/>
            <w:vAlign w:val="center"/>
            <w:hideMark/>
          </w:tcPr>
          <w:p w14:paraId="7114533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Nasa </w:t>
            </w:r>
            <w:proofErr w:type="spellStart"/>
            <w:r w:rsidRPr="00B450EB">
              <w:rPr>
                <w:rFonts w:eastAsia="Times New Roman" w:cs="Arial"/>
                <w:kern w:val="0"/>
                <w:sz w:val="14"/>
                <w:szCs w:val="14"/>
                <w:lang w:eastAsia="es-CO"/>
                <w14:ligatures w14:val="none"/>
              </w:rPr>
              <w:t>Paez</w:t>
            </w:r>
            <w:proofErr w:type="spellEnd"/>
            <w:r w:rsidRPr="00B450EB">
              <w:rPr>
                <w:rFonts w:eastAsia="Times New Roman" w:cs="Arial"/>
                <w:kern w:val="0"/>
                <w:sz w:val="14"/>
                <w:szCs w:val="14"/>
                <w:lang w:eastAsia="es-CO"/>
                <w14:ligatures w14:val="none"/>
              </w:rPr>
              <w:t xml:space="preserve"> de </w:t>
            </w:r>
            <w:proofErr w:type="spellStart"/>
            <w:r w:rsidRPr="00B450EB">
              <w:rPr>
                <w:rFonts w:eastAsia="Times New Roman" w:cs="Arial"/>
                <w:kern w:val="0"/>
                <w:sz w:val="14"/>
                <w:szCs w:val="14"/>
                <w:lang w:eastAsia="es-CO"/>
                <w14:ligatures w14:val="none"/>
              </w:rPr>
              <w:t>Jerusalen</w:t>
            </w:r>
            <w:proofErr w:type="spellEnd"/>
            <w:r w:rsidRPr="00B450EB">
              <w:rPr>
                <w:rFonts w:eastAsia="Times New Roman" w:cs="Arial"/>
                <w:kern w:val="0"/>
                <w:sz w:val="14"/>
                <w:szCs w:val="14"/>
                <w:lang w:eastAsia="es-CO"/>
                <w14:ligatures w14:val="none"/>
              </w:rPr>
              <w:t xml:space="preserve"> - San Luis - Alto Picudito</w:t>
            </w:r>
          </w:p>
        </w:tc>
        <w:tc>
          <w:tcPr>
            <w:tcW w:w="1066" w:type="dxa"/>
            <w:vAlign w:val="center"/>
            <w:hideMark/>
          </w:tcPr>
          <w:p w14:paraId="33CA038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ACUERDO</w:t>
            </w:r>
          </w:p>
        </w:tc>
        <w:tc>
          <w:tcPr>
            <w:tcW w:w="500" w:type="dxa"/>
            <w:vAlign w:val="center"/>
            <w:hideMark/>
          </w:tcPr>
          <w:p w14:paraId="67F55C7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186</w:t>
            </w:r>
          </w:p>
        </w:tc>
        <w:tc>
          <w:tcPr>
            <w:tcW w:w="851" w:type="dxa"/>
            <w:vAlign w:val="center"/>
            <w:hideMark/>
          </w:tcPr>
          <w:p w14:paraId="4AE9B4B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30/09/2009</w:t>
            </w:r>
          </w:p>
        </w:tc>
        <w:tc>
          <w:tcPr>
            <w:tcW w:w="992" w:type="dxa"/>
            <w:vAlign w:val="center"/>
            <w:hideMark/>
          </w:tcPr>
          <w:p w14:paraId="02C7E9F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LAM0199</w:t>
            </w:r>
          </w:p>
        </w:tc>
        <w:tc>
          <w:tcPr>
            <w:tcW w:w="709" w:type="dxa"/>
            <w:vAlign w:val="center"/>
            <w:hideMark/>
          </w:tcPr>
          <w:p w14:paraId="4A6775C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300</w:t>
            </w:r>
          </w:p>
        </w:tc>
        <w:tc>
          <w:tcPr>
            <w:tcW w:w="841" w:type="dxa"/>
            <w:vAlign w:val="center"/>
            <w:hideMark/>
          </w:tcPr>
          <w:p w14:paraId="7E1D62D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28/04/1999</w:t>
            </w:r>
          </w:p>
        </w:tc>
        <w:tc>
          <w:tcPr>
            <w:tcW w:w="2135" w:type="dxa"/>
            <w:vAlign w:val="center"/>
            <w:hideMark/>
          </w:tcPr>
          <w:p w14:paraId="4865373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649BBAEF" w14:textId="77777777" w:rsidTr="00621CBD">
        <w:trPr>
          <w:trHeight w:val="576"/>
          <w:jc w:val="center"/>
        </w:trPr>
        <w:tc>
          <w:tcPr>
            <w:tcW w:w="1000" w:type="dxa"/>
            <w:vAlign w:val="center"/>
            <w:hideMark/>
          </w:tcPr>
          <w:p w14:paraId="20A2A61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NASA</w:t>
            </w:r>
          </w:p>
        </w:tc>
        <w:tc>
          <w:tcPr>
            <w:tcW w:w="1540" w:type="dxa"/>
            <w:vAlign w:val="center"/>
            <w:hideMark/>
          </w:tcPr>
          <w:p w14:paraId="1ACAF54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Nasa </w:t>
            </w:r>
            <w:proofErr w:type="spellStart"/>
            <w:r w:rsidRPr="00B450EB">
              <w:rPr>
                <w:rFonts w:eastAsia="Times New Roman" w:cs="Arial"/>
                <w:kern w:val="0"/>
                <w:sz w:val="14"/>
                <w:szCs w:val="14"/>
                <w:lang w:eastAsia="es-CO"/>
                <w14:ligatures w14:val="none"/>
              </w:rPr>
              <w:t>Tkwima</w:t>
            </w:r>
            <w:proofErr w:type="spellEnd"/>
            <w:r w:rsidRPr="00B450EB">
              <w:rPr>
                <w:rFonts w:eastAsia="Times New Roman" w:cs="Arial"/>
                <w:kern w:val="0"/>
                <w:sz w:val="14"/>
                <w:szCs w:val="14"/>
                <w:lang w:eastAsia="es-CO"/>
                <w14:ligatures w14:val="none"/>
              </w:rPr>
              <w:t xml:space="preserve"> </w:t>
            </w:r>
            <w:proofErr w:type="spellStart"/>
            <w:r w:rsidRPr="00B450EB">
              <w:rPr>
                <w:rFonts w:eastAsia="Times New Roman" w:cs="Arial"/>
                <w:kern w:val="0"/>
                <w:sz w:val="14"/>
                <w:szCs w:val="14"/>
                <w:lang w:eastAsia="es-CO"/>
                <w14:ligatures w14:val="none"/>
              </w:rPr>
              <w:t>Thewë´Sx</w:t>
            </w:r>
            <w:proofErr w:type="spellEnd"/>
          </w:p>
        </w:tc>
        <w:tc>
          <w:tcPr>
            <w:tcW w:w="1066" w:type="dxa"/>
            <w:vAlign w:val="center"/>
            <w:hideMark/>
          </w:tcPr>
          <w:p w14:paraId="7731A49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4683832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316</w:t>
            </w:r>
          </w:p>
        </w:tc>
        <w:tc>
          <w:tcPr>
            <w:tcW w:w="851" w:type="dxa"/>
            <w:vAlign w:val="center"/>
            <w:hideMark/>
          </w:tcPr>
          <w:p w14:paraId="3E4C4537"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6/12/2023</w:t>
            </w:r>
          </w:p>
        </w:tc>
        <w:tc>
          <w:tcPr>
            <w:tcW w:w="992" w:type="dxa"/>
            <w:vAlign w:val="center"/>
            <w:hideMark/>
          </w:tcPr>
          <w:p w14:paraId="0F083017"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4829A56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vAlign w:val="center"/>
            <w:hideMark/>
          </w:tcPr>
          <w:p w14:paraId="00BBC32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3E3A7B5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64574ED9" w14:textId="77777777" w:rsidTr="00621CBD">
        <w:trPr>
          <w:trHeight w:val="576"/>
          <w:jc w:val="center"/>
        </w:trPr>
        <w:tc>
          <w:tcPr>
            <w:tcW w:w="1000" w:type="dxa"/>
            <w:vAlign w:val="center"/>
            <w:hideMark/>
          </w:tcPr>
          <w:p w14:paraId="455F5CC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INGA</w:t>
            </w:r>
          </w:p>
        </w:tc>
        <w:tc>
          <w:tcPr>
            <w:tcW w:w="1540" w:type="dxa"/>
            <w:vAlign w:val="center"/>
            <w:hideMark/>
          </w:tcPr>
          <w:p w14:paraId="76783FF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Nukanchipa</w:t>
            </w:r>
            <w:proofErr w:type="spellEnd"/>
            <w:r w:rsidRPr="00B450EB">
              <w:rPr>
                <w:rFonts w:eastAsia="Times New Roman" w:cs="Arial"/>
                <w:kern w:val="0"/>
                <w:sz w:val="14"/>
                <w:szCs w:val="14"/>
                <w:lang w:eastAsia="es-CO"/>
                <w14:ligatures w14:val="none"/>
              </w:rPr>
              <w:t xml:space="preserve"> </w:t>
            </w:r>
            <w:proofErr w:type="spellStart"/>
            <w:r w:rsidRPr="00B450EB">
              <w:rPr>
                <w:rFonts w:eastAsia="Times New Roman" w:cs="Arial"/>
                <w:kern w:val="0"/>
                <w:sz w:val="14"/>
                <w:szCs w:val="14"/>
                <w:lang w:eastAsia="es-CO"/>
                <w14:ligatures w14:val="none"/>
              </w:rPr>
              <w:t>Alpa</w:t>
            </w:r>
            <w:proofErr w:type="spellEnd"/>
            <w:r w:rsidRPr="00B450EB">
              <w:rPr>
                <w:rFonts w:eastAsia="Times New Roman" w:cs="Arial"/>
                <w:kern w:val="0"/>
                <w:sz w:val="14"/>
                <w:szCs w:val="14"/>
                <w:lang w:eastAsia="es-CO"/>
                <w14:ligatures w14:val="none"/>
              </w:rPr>
              <w:t xml:space="preserve"> </w:t>
            </w:r>
            <w:proofErr w:type="spellStart"/>
            <w:r w:rsidRPr="00B450EB">
              <w:rPr>
                <w:rFonts w:eastAsia="Times New Roman" w:cs="Arial"/>
                <w:kern w:val="0"/>
                <w:sz w:val="14"/>
                <w:szCs w:val="14"/>
                <w:lang w:eastAsia="es-CO"/>
                <w14:ligatures w14:val="none"/>
              </w:rPr>
              <w:t>Amukunapa</w:t>
            </w:r>
            <w:proofErr w:type="spellEnd"/>
            <w:r w:rsidRPr="00B450EB">
              <w:rPr>
                <w:rFonts w:eastAsia="Times New Roman" w:cs="Arial"/>
                <w:kern w:val="0"/>
                <w:sz w:val="14"/>
                <w:szCs w:val="14"/>
                <w:lang w:eastAsia="es-CO"/>
                <w14:ligatures w14:val="none"/>
              </w:rPr>
              <w:t xml:space="preserve"> </w:t>
            </w:r>
            <w:proofErr w:type="spellStart"/>
            <w:r w:rsidRPr="00B450EB">
              <w:rPr>
                <w:rFonts w:eastAsia="Times New Roman" w:cs="Arial"/>
                <w:kern w:val="0"/>
                <w:sz w:val="14"/>
                <w:szCs w:val="14"/>
                <w:lang w:eastAsia="es-CO"/>
                <w14:ligatures w14:val="none"/>
              </w:rPr>
              <w:t>Wasi</w:t>
            </w:r>
            <w:proofErr w:type="spellEnd"/>
          </w:p>
        </w:tc>
        <w:tc>
          <w:tcPr>
            <w:tcW w:w="1066" w:type="dxa"/>
            <w:vAlign w:val="center"/>
            <w:hideMark/>
          </w:tcPr>
          <w:p w14:paraId="7E3A237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ACUERDO</w:t>
            </w:r>
          </w:p>
        </w:tc>
        <w:tc>
          <w:tcPr>
            <w:tcW w:w="500" w:type="dxa"/>
            <w:vAlign w:val="center"/>
            <w:hideMark/>
          </w:tcPr>
          <w:p w14:paraId="176EA20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113</w:t>
            </w:r>
          </w:p>
        </w:tc>
        <w:tc>
          <w:tcPr>
            <w:tcW w:w="851" w:type="dxa"/>
            <w:vAlign w:val="center"/>
            <w:hideMark/>
          </w:tcPr>
          <w:p w14:paraId="0A4BE49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28/01/2020</w:t>
            </w:r>
          </w:p>
        </w:tc>
        <w:tc>
          <w:tcPr>
            <w:tcW w:w="992" w:type="dxa"/>
            <w:vAlign w:val="center"/>
            <w:hideMark/>
          </w:tcPr>
          <w:p w14:paraId="1C8DC8E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LAM0542</w:t>
            </w:r>
          </w:p>
        </w:tc>
        <w:tc>
          <w:tcPr>
            <w:tcW w:w="709" w:type="dxa"/>
            <w:vAlign w:val="center"/>
            <w:hideMark/>
          </w:tcPr>
          <w:p w14:paraId="0661216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762</w:t>
            </w:r>
          </w:p>
        </w:tc>
        <w:tc>
          <w:tcPr>
            <w:tcW w:w="841" w:type="dxa"/>
            <w:vAlign w:val="center"/>
            <w:hideMark/>
          </w:tcPr>
          <w:p w14:paraId="574B644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13/09/2012</w:t>
            </w:r>
          </w:p>
        </w:tc>
        <w:tc>
          <w:tcPr>
            <w:tcW w:w="2135" w:type="dxa"/>
            <w:vAlign w:val="center"/>
            <w:hideMark/>
          </w:tcPr>
          <w:p w14:paraId="0253CFC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4F055E13" w14:textId="77777777" w:rsidTr="00621CBD">
        <w:trPr>
          <w:trHeight w:val="576"/>
          <w:jc w:val="center"/>
        </w:trPr>
        <w:tc>
          <w:tcPr>
            <w:tcW w:w="1000" w:type="dxa"/>
            <w:vAlign w:val="center"/>
            <w:hideMark/>
          </w:tcPr>
          <w:p w14:paraId="0478CC3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PAEZ</w:t>
            </w:r>
          </w:p>
        </w:tc>
        <w:tc>
          <w:tcPr>
            <w:tcW w:w="1540" w:type="dxa"/>
            <w:vAlign w:val="center"/>
            <w:hideMark/>
          </w:tcPr>
          <w:p w14:paraId="293EAA8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Paez</w:t>
            </w:r>
            <w:proofErr w:type="spellEnd"/>
            <w:r w:rsidRPr="00B450EB">
              <w:rPr>
                <w:rFonts w:eastAsia="Times New Roman" w:cs="Arial"/>
                <w:kern w:val="0"/>
                <w:sz w:val="14"/>
                <w:szCs w:val="14"/>
                <w:lang w:eastAsia="es-CO"/>
                <w14:ligatures w14:val="none"/>
              </w:rPr>
              <w:t xml:space="preserve"> de El Descanso</w:t>
            </w:r>
          </w:p>
        </w:tc>
        <w:tc>
          <w:tcPr>
            <w:tcW w:w="1066" w:type="dxa"/>
            <w:vAlign w:val="center"/>
            <w:hideMark/>
          </w:tcPr>
          <w:p w14:paraId="6421BDE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7D7E7F0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w:t>
            </w:r>
          </w:p>
        </w:tc>
        <w:tc>
          <w:tcPr>
            <w:tcW w:w="851" w:type="dxa"/>
            <w:vAlign w:val="center"/>
            <w:hideMark/>
          </w:tcPr>
          <w:p w14:paraId="78DD5B3B"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4/04/1997</w:t>
            </w:r>
          </w:p>
        </w:tc>
        <w:tc>
          <w:tcPr>
            <w:tcW w:w="992" w:type="dxa"/>
            <w:vAlign w:val="center"/>
            <w:hideMark/>
          </w:tcPr>
          <w:p w14:paraId="5F01DF2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LAM0199</w:t>
            </w:r>
          </w:p>
        </w:tc>
        <w:tc>
          <w:tcPr>
            <w:tcW w:w="709" w:type="dxa"/>
            <w:vAlign w:val="center"/>
            <w:hideMark/>
          </w:tcPr>
          <w:p w14:paraId="65DA59E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300</w:t>
            </w:r>
          </w:p>
        </w:tc>
        <w:tc>
          <w:tcPr>
            <w:tcW w:w="841" w:type="dxa"/>
            <w:shd w:val="clear" w:color="000000" w:fill="E8E8E8"/>
            <w:vAlign w:val="center"/>
            <w:hideMark/>
          </w:tcPr>
          <w:p w14:paraId="04B77CA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28/04/1999</w:t>
            </w:r>
          </w:p>
        </w:tc>
        <w:tc>
          <w:tcPr>
            <w:tcW w:w="2135" w:type="dxa"/>
            <w:vAlign w:val="center"/>
            <w:hideMark/>
          </w:tcPr>
          <w:p w14:paraId="0E362A67" w14:textId="1386309E"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Mediante Auto 912 de 19/12/1997 se </w:t>
            </w:r>
            <w:r w:rsidR="000B61EB" w:rsidRPr="00B450EB">
              <w:rPr>
                <w:rFonts w:eastAsia="Times New Roman" w:cs="Arial"/>
                <w:kern w:val="0"/>
                <w:sz w:val="14"/>
                <w:szCs w:val="14"/>
                <w:lang w:eastAsia="es-CO"/>
                <w14:ligatures w14:val="none"/>
              </w:rPr>
              <w:t>ordenó</w:t>
            </w:r>
            <w:r w:rsidRPr="00B450EB">
              <w:rPr>
                <w:rFonts w:eastAsia="Times New Roman" w:cs="Arial"/>
                <w:kern w:val="0"/>
                <w:sz w:val="14"/>
                <w:szCs w:val="14"/>
                <w:lang w:eastAsia="es-CO"/>
                <w14:ligatures w14:val="none"/>
              </w:rPr>
              <w:t xml:space="preserve"> consulta con comunidades </w:t>
            </w:r>
            <w:r w:rsidR="000B61EB" w:rsidRPr="00B450EB">
              <w:rPr>
                <w:rFonts w:eastAsia="Times New Roman" w:cs="Arial"/>
                <w:kern w:val="0"/>
                <w:sz w:val="14"/>
                <w:szCs w:val="14"/>
                <w:lang w:eastAsia="es-CO"/>
                <w14:ligatures w14:val="none"/>
              </w:rPr>
              <w:t>indígenas</w:t>
            </w:r>
            <w:r w:rsidRPr="00B450EB">
              <w:rPr>
                <w:rFonts w:eastAsia="Times New Roman" w:cs="Arial"/>
                <w:kern w:val="0"/>
                <w:sz w:val="14"/>
                <w:szCs w:val="14"/>
                <w:lang w:eastAsia="es-CO"/>
                <w14:ligatures w14:val="none"/>
              </w:rPr>
              <w:t>.</w:t>
            </w:r>
          </w:p>
        </w:tc>
      </w:tr>
      <w:tr w:rsidR="00205915" w:rsidRPr="00B450EB" w14:paraId="088CD98A" w14:textId="77777777" w:rsidTr="00621CBD">
        <w:trPr>
          <w:trHeight w:val="576"/>
          <w:jc w:val="center"/>
        </w:trPr>
        <w:tc>
          <w:tcPr>
            <w:tcW w:w="1000" w:type="dxa"/>
            <w:vAlign w:val="center"/>
            <w:hideMark/>
          </w:tcPr>
          <w:p w14:paraId="1BF6E2A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PAEZ</w:t>
            </w:r>
          </w:p>
        </w:tc>
        <w:tc>
          <w:tcPr>
            <w:tcW w:w="1540" w:type="dxa"/>
            <w:vAlign w:val="center"/>
            <w:hideMark/>
          </w:tcPr>
          <w:p w14:paraId="6961319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Paez</w:t>
            </w:r>
            <w:proofErr w:type="spellEnd"/>
            <w:r w:rsidRPr="00B450EB">
              <w:rPr>
                <w:rFonts w:eastAsia="Times New Roman" w:cs="Arial"/>
                <w:kern w:val="0"/>
                <w:sz w:val="14"/>
                <w:szCs w:val="14"/>
                <w:lang w:eastAsia="es-CO"/>
                <w14:ligatures w14:val="none"/>
              </w:rPr>
              <w:t xml:space="preserve"> de La Aguadita</w:t>
            </w:r>
          </w:p>
        </w:tc>
        <w:tc>
          <w:tcPr>
            <w:tcW w:w="1066" w:type="dxa"/>
            <w:vAlign w:val="center"/>
            <w:hideMark/>
          </w:tcPr>
          <w:p w14:paraId="50B9999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7B47421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21</w:t>
            </w:r>
          </w:p>
        </w:tc>
        <w:tc>
          <w:tcPr>
            <w:tcW w:w="851" w:type="dxa"/>
            <w:vAlign w:val="center"/>
            <w:hideMark/>
          </w:tcPr>
          <w:p w14:paraId="77BEC08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21/06/1994</w:t>
            </w:r>
          </w:p>
        </w:tc>
        <w:tc>
          <w:tcPr>
            <w:tcW w:w="992" w:type="dxa"/>
            <w:vAlign w:val="center"/>
            <w:hideMark/>
          </w:tcPr>
          <w:p w14:paraId="6BECA4A0"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LAM0199</w:t>
            </w:r>
          </w:p>
        </w:tc>
        <w:tc>
          <w:tcPr>
            <w:tcW w:w="709" w:type="dxa"/>
            <w:vAlign w:val="center"/>
            <w:hideMark/>
          </w:tcPr>
          <w:p w14:paraId="7074872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300</w:t>
            </w:r>
          </w:p>
        </w:tc>
        <w:tc>
          <w:tcPr>
            <w:tcW w:w="841" w:type="dxa"/>
            <w:shd w:val="clear" w:color="000000" w:fill="E8E8E8"/>
            <w:vAlign w:val="center"/>
            <w:hideMark/>
          </w:tcPr>
          <w:p w14:paraId="41710AA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28/04/1999</w:t>
            </w:r>
          </w:p>
        </w:tc>
        <w:tc>
          <w:tcPr>
            <w:tcW w:w="2135" w:type="dxa"/>
            <w:vAlign w:val="center"/>
            <w:hideMark/>
          </w:tcPr>
          <w:p w14:paraId="28B37B45" w14:textId="12A7BC1A"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Mediante Auto 912 de 19/12/1997 se </w:t>
            </w:r>
            <w:r w:rsidR="000B61EB" w:rsidRPr="00B450EB">
              <w:rPr>
                <w:rFonts w:eastAsia="Times New Roman" w:cs="Arial"/>
                <w:kern w:val="0"/>
                <w:sz w:val="14"/>
                <w:szCs w:val="14"/>
                <w:lang w:eastAsia="es-CO"/>
                <w14:ligatures w14:val="none"/>
              </w:rPr>
              <w:t>ordenó</w:t>
            </w:r>
            <w:r w:rsidRPr="00B450EB">
              <w:rPr>
                <w:rFonts w:eastAsia="Times New Roman" w:cs="Arial"/>
                <w:kern w:val="0"/>
                <w:sz w:val="14"/>
                <w:szCs w:val="14"/>
                <w:lang w:eastAsia="es-CO"/>
                <w14:ligatures w14:val="none"/>
              </w:rPr>
              <w:t xml:space="preserve"> consulta con comunidades </w:t>
            </w:r>
            <w:r w:rsidR="000B61EB" w:rsidRPr="00B450EB">
              <w:rPr>
                <w:rFonts w:eastAsia="Times New Roman" w:cs="Arial"/>
                <w:kern w:val="0"/>
                <w:sz w:val="14"/>
                <w:szCs w:val="14"/>
                <w:lang w:eastAsia="es-CO"/>
                <w14:ligatures w14:val="none"/>
              </w:rPr>
              <w:t>indígenas</w:t>
            </w:r>
            <w:r w:rsidRPr="00B450EB">
              <w:rPr>
                <w:rFonts w:eastAsia="Times New Roman" w:cs="Arial"/>
                <w:kern w:val="0"/>
                <w:sz w:val="14"/>
                <w:szCs w:val="14"/>
                <w:lang w:eastAsia="es-CO"/>
                <w14:ligatures w14:val="none"/>
              </w:rPr>
              <w:t>.</w:t>
            </w:r>
          </w:p>
        </w:tc>
      </w:tr>
      <w:tr w:rsidR="00205915" w:rsidRPr="00B450EB" w14:paraId="5CA7CB78" w14:textId="77777777" w:rsidTr="00621CBD">
        <w:trPr>
          <w:trHeight w:val="384"/>
          <w:jc w:val="center"/>
        </w:trPr>
        <w:tc>
          <w:tcPr>
            <w:tcW w:w="1000" w:type="dxa"/>
            <w:vAlign w:val="center"/>
            <w:hideMark/>
          </w:tcPr>
          <w:p w14:paraId="1E8243F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PAEZ</w:t>
            </w:r>
          </w:p>
        </w:tc>
        <w:tc>
          <w:tcPr>
            <w:tcW w:w="1540" w:type="dxa"/>
            <w:vAlign w:val="center"/>
            <w:hideMark/>
          </w:tcPr>
          <w:p w14:paraId="0675795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w:t>
            </w:r>
            <w:proofErr w:type="spellStart"/>
            <w:r w:rsidRPr="00B450EB">
              <w:rPr>
                <w:rFonts w:eastAsia="Times New Roman" w:cs="Arial"/>
                <w:kern w:val="0"/>
                <w:sz w:val="14"/>
                <w:szCs w:val="14"/>
                <w:lang w:eastAsia="es-CO"/>
                <w14:ligatures w14:val="none"/>
              </w:rPr>
              <w:t>Paez</w:t>
            </w:r>
            <w:proofErr w:type="spellEnd"/>
            <w:r w:rsidRPr="00B450EB">
              <w:rPr>
                <w:rFonts w:eastAsia="Times New Roman" w:cs="Arial"/>
                <w:kern w:val="0"/>
                <w:sz w:val="14"/>
                <w:szCs w:val="14"/>
                <w:lang w:eastAsia="es-CO"/>
                <w14:ligatures w14:val="none"/>
              </w:rPr>
              <w:t xml:space="preserve"> de Nasa </w:t>
            </w:r>
            <w:proofErr w:type="spellStart"/>
            <w:r w:rsidRPr="00B450EB">
              <w:rPr>
                <w:rFonts w:eastAsia="Times New Roman" w:cs="Arial"/>
                <w:kern w:val="0"/>
                <w:sz w:val="14"/>
                <w:szCs w:val="14"/>
                <w:lang w:eastAsia="es-CO"/>
                <w14:ligatures w14:val="none"/>
              </w:rPr>
              <w:t>Chamb</w:t>
            </w:r>
            <w:proofErr w:type="spellEnd"/>
          </w:p>
        </w:tc>
        <w:tc>
          <w:tcPr>
            <w:tcW w:w="1066" w:type="dxa"/>
            <w:vAlign w:val="center"/>
            <w:hideMark/>
          </w:tcPr>
          <w:p w14:paraId="63BC39E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ACUERDO</w:t>
            </w:r>
          </w:p>
        </w:tc>
        <w:tc>
          <w:tcPr>
            <w:tcW w:w="500" w:type="dxa"/>
            <w:vAlign w:val="center"/>
            <w:hideMark/>
          </w:tcPr>
          <w:p w14:paraId="4705F0B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263</w:t>
            </w:r>
          </w:p>
        </w:tc>
        <w:tc>
          <w:tcPr>
            <w:tcW w:w="851" w:type="dxa"/>
            <w:vAlign w:val="center"/>
            <w:hideMark/>
          </w:tcPr>
          <w:p w14:paraId="49F167B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11/10/2011</w:t>
            </w:r>
          </w:p>
        </w:tc>
        <w:tc>
          <w:tcPr>
            <w:tcW w:w="992" w:type="dxa"/>
            <w:vAlign w:val="center"/>
            <w:hideMark/>
          </w:tcPr>
          <w:p w14:paraId="4D2598C6"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3662B8F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vAlign w:val="center"/>
            <w:hideMark/>
          </w:tcPr>
          <w:p w14:paraId="045F088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4CD6848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714B39D9" w14:textId="77777777" w:rsidTr="00621CBD">
        <w:trPr>
          <w:trHeight w:val="384"/>
          <w:jc w:val="center"/>
        </w:trPr>
        <w:tc>
          <w:tcPr>
            <w:tcW w:w="1000" w:type="dxa"/>
            <w:vAlign w:val="center"/>
            <w:hideMark/>
          </w:tcPr>
          <w:p w14:paraId="2C35A7E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INGA</w:t>
            </w:r>
          </w:p>
        </w:tc>
        <w:tc>
          <w:tcPr>
            <w:tcW w:w="1540" w:type="dxa"/>
            <w:vAlign w:val="center"/>
            <w:hideMark/>
          </w:tcPr>
          <w:p w14:paraId="21779660"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Resguardo Indígena San Gabriel</w:t>
            </w:r>
          </w:p>
        </w:tc>
        <w:tc>
          <w:tcPr>
            <w:tcW w:w="1066" w:type="dxa"/>
            <w:vAlign w:val="center"/>
            <w:hideMark/>
          </w:tcPr>
          <w:p w14:paraId="03D0969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742E4E7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267</w:t>
            </w:r>
          </w:p>
        </w:tc>
        <w:tc>
          <w:tcPr>
            <w:tcW w:w="851" w:type="dxa"/>
            <w:vAlign w:val="center"/>
            <w:hideMark/>
          </w:tcPr>
          <w:p w14:paraId="2F85E24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23/03/2023</w:t>
            </w:r>
          </w:p>
        </w:tc>
        <w:tc>
          <w:tcPr>
            <w:tcW w:w="992" w:type="dxa"/>
            <w:vAlign w:val="center"/>
            <w:hideMark/>
          </w:tcPr>
          <w:p w14:paraId="3E45D784"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LAM0199</w:t>
            </w:r>
          </w:p>
        </w:tc>
        <w:tc>
          <w:tcPr>
            <w:tcW w:w="709" w:type="dxa"/>
            <w:vAlign w:val="center"/>
            <w:hideMark/>
          </w:tcPr>
          <w:p w14:paraId="1869BF1E"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300</w:t>
            </w:r>
          </w:p>
        </w:tc>
        <w:tc>
          <w:tcPr>
            <w:tcW w:w="841" w:type="dxa"/>
            <w:vAlign w:val="center"/>
            <w:hideMark/>
          </w:tcPr>
          <w:p w14:paraId="2BD5A56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28/04/1999</w:t>
            </w:r>
          </w:p>
        </w:tc>
        <w:tc>
          <w:tcPr>
            <w:tcW w:w="2135" w:type="dxa"/>
            <w:vAlign w:val="center"/>
            <w:hideMark/>
          </w:tcPr>
          <w:p w14:paraId="3E3779D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67A16BC4" w14:textId="77777777" w:rsidTr="00621CBD">
        <w:trPr>
          <w:trHeight w:val="576"/>
          <w:jc w:val="center"/>
        </w:trPr>
        <w:tc>
          <w:tcPr>
            <w:tcW w:w="1000" w:type="dxa"/>
            <w:vAlign w:val="center"/>
            <w:hideMark/>
          </w:tcPr>
          <w:p w14:paraId="6DF731D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lastRenderedPageBreak/>
              <w:t>KOFAN INGA</w:t>
            </w:r>
          </w:p>
        </w:tc>
        <w:tc>
          <w:tcPr>
            <w:tcW w:w="1540" w:type="dxa"/>
            <w:vAlign w:val="center"/>
            <w:hideMark/>
          </w:tcPr>
          <w:p w14:paraId="3F40EB30"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Resguardo Indígena Santa Rosa Del Guamuez</w:t>
            </w:r>
          </w:p>
        </w:tc>
        <w:tc>
          <w:tcPr>
            <w:tcW w:w="1066" w:type="dxa"/>
            <w:vAlign w:val="center"/>
            <w:hideMark/>
          </w:tcPr>
          <w:p w14:paraId="388B6CA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57D4F35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w:t>
            </w:r>
          </w:p>
        </w:tc>
        <w:tc>
          <w:tcPr>
            <w:tcW w:w="851" w:type="dxa"/>
            <w:vAlign w:val="center"/>
            <w:hideMark/>
          </w:tcPr>
          <w:p w14:paraId="1F87A620"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13/05/1998</w:t>
            </w:r>
          </w:p>
        </w:tc>
        <w:tc>
          <w:tcPr>
            <w:tcW w:w="992" w:type="dxa"/>
            <w:vAlign w:val="center"/>
            <w:hideMark/>
          </w:tcPr>
          <w:p w14:paraId="31FCCD7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4A638F7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shd w:val="clear" w:color="000000" w:fill="E8E8E8"/>
            <w:vAlign w:val="center"/>
            <w:hideMark/>
          </w:tcPr>
          <w:p w14:paraId="6883D9B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25451E20"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3D60ABCF" w14:textId="77777777" w:rsidTr="00621CBD">
        <w:trPr>
          <w:trHeight w:val="384"/>
          <w:jc w:val="center"/>
        </w:trPr>
        <w:tc>
          <w:tcPr>
            <w:tcW w:w="1000" w:type="dxa"/>
            <w:vAlign w:val="center"/>
            <w:hideMark/>
          </w:tcPr>
          <w:p w14:paraId="36B03C9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INGA</w:t>
            </w:r>
          </w:p>
        </w:tc>
        <w:tc>
          <w:tcPr>
            <w:tcW w:w="1540" w:type="dxa"/>
            <w:vAlign w:val="center"/>
            <w:hideMark/>
          </w:tcPr>
          <w:p w14:paraId="2211F08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Resguardo Indígena Selvas Del Putumayo</w:t>
            </w:r>
          </w:p>
        </w:tc>
        <w:tc>
          <w:tcPr>
            <w:tcW w:w="1066" w:type="dxa"/>
            <w:vAlign w:val="center"/>
            <w:hideMark/>
          </w:tcPr>
          <w:p w14:paraId="25466728"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18F02EC5"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318</w:t>
            </w:r>
          </w:p>
        </w:tc>
        <w:tc>
          <w:tcPr>
            <w:tcW w:w="851" w:type="dxa"/>
            <w:vAlign w:val="center"/>
            <w:hideMark/>
          </w:tcPr>
          <w:p w14:paraId="513EE8BF"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6/12/2023</w:t>
            </w:r>
          </w:p>
        </w:tc>
        <w:tc>
          <w:tcPr>
            <w:tcW w:w="992" w:type="dxa"/>
            <w:vAlign w:val="center"/>
            <w:hideMark/>
          </w:tcPr>
          <w:p w14:paraId="7573D587"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LAM2469</w:t>
            </w:r>
          </w:p>
        </w:tc>
        <w:tc>
          <w:tcPr>
            <w:tcW w:w="709" w:type="dxa"/>
            <w:vAlign w:val="center"/>
            <w:hideMark/>
          </w:tcPr>
          <w:p w14:paraId="77D39CB1"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410</w:t>
            </w:r>
          </w:p>
        </w:tc>
        <w:tc>
          <w:tcPr>
            <w:tcW w:w="841" w:type="dxa"/>
            <w:vAlign w:val="center"/>
            <w:hideMark/>
          </w:tcPr>
          <w:p w14:paraId="0C2F2DD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9/04/2003</w:t>
            </w:r>
          </w:p>
        </w:tc>
        <w:tc>
          <w:tcPr>
            <w:tcW w:w="2135" w:type="dxa"/>
            <w:vAlign w:val="center"/>
            <w:hideMark/>
          </w:tcPr>
          <w:p w14:paraId="08FF18A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w:t>
            </w:r>
          </w:p>
        </w:tc>
      </w:tr>
      <w:tr w:rsidR="00205915" w:rsidRPr="00B450EB" w14:paraId="5C4555A6" w14:textId="77777777" w:rsidTr="00621CBD">
        <w:trPr>
          <w:trHeight w:val="960"/>
          <w:jc w:val="center"/>
        </w:trPr>
        <w:tc>
          <w:tcPr>
            <w:tcW w:w="1000" w:type="dxa"/>
            <w:vAlign w:val="center"/>
            <w:hideMark/>
          </w:tcPr>
          <w:p w14:paraId="40ABFD70"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SIONA</w:t>
            </w:r>
          </w:p>
        </w:tc>
        <w:tc>
          <w:tcPr>
            <w:tcW w:w="1540" w:type="dxa"/>
            <w:vAlign w:val="center"/>
            <w:hideMark/>
          </w:tcPr>
          <w:p w14:paraId="21269857"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 xml:space="preserve">Resguardo Indígena Siona Santa Cruz De </w:t>
            </w:r>
            <w:proofErr w:type="spellStart"/>
            <w:r w:rsidRPr="00B450EB">
              <w:rPr>
                <w:rFonts w:eastAsia="Times New Roman" w:cs="Arial"/>
                <w:kern w:val="0"/>
                <w:sz w:val="14"/>
                <w:szCs w:val="14"/>
                <w:lang w:eastAsia="es-CO"/>
                <w14:ligatures w14:val="none"/>
              </w:rPr>
              <w:t>Pinuña</w:t>
            </w:r>
            <w:proofErr w:type="spellEnd"/>
            <w:r w:rsidRPr="00B450EB">
              <w:rPr>
                <w:rFonts w:eastAsia="Times New Roman" w:cs="Arial"/>
                <w:kern w:val="0"/>
                <w:sz w:val="14"/>
                <w:szCs w:val="14"/>
                <w:lang w:eastAsia="es-CO"/>
                <w14:ligatures w14:val="none"/>
              </w:rPr>
              <w:t xml:space="preserve"> Blanco</w:t>
            </w:r>
          </w:p>
        </w:tc>
        <w:tc>
          <w:tcPr>
            <w:tcW w:w="1066" w:type="dxa"/>
            <w:vAlign w:val="center"/>
            <w:hideMark/>
          </w:tcPr>
          <w:p w14:paraId="60AF1599"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RESOLUCION</w:t>
            </w:r>
          </w:p>
        </w:tc>
        <w:tc>
          <w:tcPr>
            <w:tcW w:w="500" w:type="dxa"/>
            <w:vAlign w:val="center"/>
            <w:hideMark/>
          </w:tcPr>
          <w:p w14:paraId="37DC802D"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59</w:t>
            </w:r>
          </w:p>
        </w:tc>
        <w:tc>
          <w:tcPr>
            <w:tcW w:w="851" w:type="dxa"/>
            <w:vAlign w:val="center"/>
            <w:hideMark/>
          </w:tcPr>
          <w:p w14:paraId="212DFFEA"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29/09/1992</w:t>
            </w:r>
          </w:p>
        </w:tc>
        <w:tc>
          <w:tcPr>
            <w:tcW w:w="992" w:type="dxa"/>
            <w:vAlign w:val="center"/>
            <w:hideMark/>
          </w:tcPr>
          <w:p w14:paraId="7CBF6502"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LAM0533</w:t>
            </w:r>
          </w:p>
        </w:tc>
        <w:tc>
          <w:tcPr>
            <w:tcW w:w="709" w:type="dxa"/>
            <w:vAlign w:val="center"/>
            <w:hideMark/>
          </w:tcPr>
          <w:p w14:paraId="5592F5F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1452</w:t>
            </w:r>
          </w:p>
        </w:tc>
        <w:tc>
          <w:tcPr>
            <w:tcW w:w="841" w:type="dxa"/>
            <w:shd w:val="clear" w:color="000000" w:fill="E8E8E8"/>
            <w:vAlign w:val="center"/>
            <w:hideMark/>
          </w:tcPr>
          <w:p w14:paraId="01F3B2EC"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27/12/1996</w:t>
            </w:r>
          </w:p>
        </w:tc>
        <w:tc>
          <w:tcPr>
            <w:tcW w:w="2135" w:type="dxa"/>
            <w:vAlign w:val="center"/>
            <w:hideMark/>
          </w:tcPr>
          <w:p w14:paraId="7D23AA33" w14:textId="77777777" w:rsidR="00DE0AD1" w:rsidRPr="00B450EB" w:rsidRDefault="00DE0AD1" w:rsidP="00DE0AD1">
            <w:pPr>
              <w:spacing w:after="0" w:line="240" w:lineRule="auto"/>
              <w:jc w:val="center"/>
              <w:rPr>
                <w:rFonts w:eastAsia="Times New Roman" w:cs="Arial"/>
                <w:kern w:val="0"/>
                <w:sz w:val="14"/>
                <w:szCs w:val="14"/>
                <w:lang w:eastAsia="es-CO"/>
                <w14:ligatures w14:val="none"/>
              </w:rPr>
            </w:pPr>
            <w:r w:rsidRPr="00B450EB">
              <w:rPr>
                <w:rFonts w:eastAsia="Times New Roman" w:cs="Arial"/>
                <w:kern w:val="0"/>
                <w:sz w:val="14"/>
                <w:szCs w:val="14"/>
                <w:lang w:eastAsia="es-CO"/>
                <w14:ligatures w14:val="none"/>
              </w:rPr>
              <w:t>El Ministerio del Medio Ambiente, a través de la Resolución 1452 del 27 de diciembre de 1996, estableció obligaciones, como resultado del proceso de Consulta Previa.</w:t>
            </w:r>
          </w:p>
        </w:tc>
      </w:tr>
    </w:tbl>
    <w:p w14:paraId="7986FB91" w14:textId="001CDB09" w:rsidR="00DE0AD1" w:rsidRPr="00B450EB" w:rsidRDefault="00DE0AD1" w:rsidP="00DE0AD1">
      <w:pPr>
        <w:spacing w:after="0"/>
        <w:jc w:val="center"/>
        <w:rPr>
          <w:sz w:val="18"/>
          <w:szCs w:val="18"/>
        </w:rPr>
      </w:pPr>
      <w:r w:rsidRPr="00B450EB">
        <w:rPr>
          <w:sz w:val="18"/>
          <w:szCs w:val="18"/>
        </w:rPr>
        <w:t>Fuente: Elaboración propia a partir de ANT, 2025 y ANLA, 2025</w:t>
      </w:r>
    </w:p>
    <w:p w14:paraId="7BFD5B59" w14:textId="77777777" w:rsidR="00DC4E12" w:rsidRPr="00B450EB" w:rsidRDefault="00DC4E12" w:rsidP="00DC4E12">
      <w:pPr>
        <w:spacing w:after="0"/>
        <w:rPr>
          <w:sz w:val="18"/>
          <w:szCs w:val="18"/>
        </w:rPr>
      </w:pPr>
    </w:p>
    <w:p w14:paraId="5F4DA73A" w14:textId="77777777" w:rsidR="00621CBD" w:rsidRPr="00B450EB" w:rsidRDefault="006A504D" w:rsidP="00A00A46">
      <w:r w:rsidRPr="00B450EB">
        <w:t>Del análisis se concluye que, en el caso de los consejos comunitarios, la totalidad de los proyectos licenciados fueron otorgados con anterioridad a su reconocimiento formal; mientras que, para los resguardos indígenas, aquellos que ya habían sido declarados al momento del licenciamiento surtieron el respectivo proceso de consulta previa. En términos generales, al momento de la expedición de las licencias, la mayoría de los territorios aún no contaban con una figura jurídica</w:t>
      </w:r>
      <w:r w:rsidR="00621CBD" w:rsidRPr="00B450EB">
        <w:t>.</w:t>
      </w:r>
    </w:p>
    <w:p w14:paraId="5FC2925B" w14:textId="5BE79BB7" w:rsidR="00A00A46" w:rsidRPr="00B450EB" w:rsidRDefault="00A00A46" w:rsidP="00A00A46">
      <w:pPr>
        <w:rPr>
          <w:rFonts w:cs="Arial"/>
        </w:rPr>
      </w:pPr>
      <w:r w:rsidRPr="00B450EB">
        <w:rPr>
          <w:rFonts w:cs="Arial"/>
        </w:rPr>
        <w:t xml:space="preserve">De igual manera, considerando la información disponible en el Sistema de Transformación para la Conflictividad (STC) de la </w:t>
      </w:r>
      <w:r w:rsidR="00850B2F" w:rsidRPr="00B450EB">
        <w:rPr>
          <w:rFonts w:cs="Arial"/>
        </w:rPr>
        <w:t>ANLA</w:t>
      </w:r>
      <w:r w:rsidRPr="00B450EB">
        <w:rPr>
          <w:rFonts w:cs="Arial"/>
        </w:rPr>
        <w:t>, se identifica que los proyectos de hidrocarburos en el sur de la Amazonía y la Orinoquía (Putumayo, Caquetá, Meta y Nariño) presentan una conflictividad asociada a factores sociales, ambientales y económicos que se entrelazan con dinámicas territoriales históricas. En expedientes como Gerencia Sur (LAM2469, LAM7834) y el Oleoducto Transandino (LAM3518) se evidencia la persistencia de conflictos vinculados con contingencias ambientales, derrames de crudo y tensiones relacionadas con la contratación de bienes y servicios. Estos casos permanecen activos en fase Escalada</w:t>
      </w:r>
      <w:r w:rsidRPr="00B450EB">
        <w:rPr>
          <w:rStyle w:val="Refdenotaalpie"/>
          <w:rFonts w:cs="Arial"/>
        </w:rPr>
        <w:footnoteReference w:id="18"/>
      </w:r>
      <w:r w:rsidRPr="00B450EB">
        <w:rPr>
          <w:rFonts w:cs="Arial"/>
        </w:rPr>
        <w:t>, lo que muestra que las medidas de manejo implementadas no han sido suficientes para restablecer la confianza comunitaria ni contener los posibles impactos acumulativos.</w:t>
      </w:r>
    </w:p>
    <w:p w14:paraId="46759DD3" w14:textId="77777777" w:rsidR="00A00A46" w:rsidRPr="00B450EB" w:rsidRDefault="00A00A46" w:rsidP="003C7A9A">
      <w:pPr>
        <w:rPr>
          <w:rFonts w:cs="Arial"/>
        </w:rPr>
      </w:pPr>
      <w:r w:rsidRPr="00B450EB">
        <w:rPr>
          <w:rFonts w:cs="Arial"/>
        </w:rPr>
        <w:t xml:space="preserve">Los proyectos en campos como </w:t>
      </w:r>
      <w:proofErr w:type="spellStart"/>
      <w:r w:rsidRPr="00B450EB">
        <w:rPr>
          <w:rFonts w:cs="Arial"/>
        </w:rPr>
        <w:t>Costayaco</w:t>
      </w:r>
      <w:proofErr w:type="spellEnd"/>
      <w:r w:rsidRPr="00B450EB">
        <w:rPr>
          <w:rFonts w:cs="Arial"/>
        </w:rPr>
        <w:t xml:space="preserve"> (LAM4113) y Área </w:t>
      </w:r>
      <w:proofErr w:type="spellStart"/>
      <w:r w:rsidRPr="00B450EB">
        <w:rPr>
          <w:rFonts w:cs="Arial"/>
        </w:rPr>
        <w:t>Moquetá</w:t>
      </w:r>
      <w:proofErr w:type="spellEnd"/>
      <w:r w:rsidRPr="00B450EB">
        <w:rPr>
          <w:rFonts w:cs="Arial"/>
        </w:rPr>
        <w:t xml:space="preserve"> (LAM6356) concentran tensiones ligadas a la afectación de fuentes hídricas y suelos, además de la incidencia directa en comunidades indígenas y campesinas. La suma de conflictos socioambientales con problemáticas laborales y de seguridad contribuye a un escenario de conflictividad </w:t>
      </w:r>
      <w:proofErr w:type="spellStart"/>
      <w:r w:rsidRPr="00B450EB">
        <w:rPr>
          <w:rFonts w:cs="Arial"/>
        </w:rPr>
        <w:t>socioecológica</w:t>
      </w:r>
      <w:proofErr w:type="spellEnd"/>
      <w:r w:rsidRPr="00B450EB">
        <w:rPr>
          <w:rFonts w:cs="Arial"/>
        </w:rPr>
        <w:t xml:space="preserve"> compleja. Ambos expedientes se encuentran en fase Escalada, lo que confirma la dificultad de alcanzar acuerdos </w:t>
      </w:r>
      <w:r w:rsidRPr="00B450EB">
        <w:rPr>
          <w:rFonts w:cs="Arial"/>
        </w:rPr>
        <w:lastRenderedPageBreak/>
        <w:t xml:space="preserve">sostenibles en el territorio. De manera similar, los proyectos en etapa de </w:t>
      </w:r>
      <w:proofErr w:type="spellStart"/>
      <w:r w:rsidRPr="00B450EB">
        <w:rPr>
          <w:rFonts w:cs="Arial"/>
        </w:rPr>
        <w:t>preconstrucción</w:t>
      </w:r>
      <w:proofErr w:type="spellEnd"/>
      <w:r w:rsidRPr="00B450EB">
        <w:rPr>
          <w:rFonts w:cs="Arial"/>
        </w:rPr>
        <w:t xml:space="preserve">, como Área Génesis (LAV0047-00-2023) y Área </w:t>
      </w:r>
      <w:proofErr w:type="spellStart"/>
      <w:r w:rsidRPr="00B450EB">
        <w:rPr>
          <w:rFonts w:cs="Arial"/>
        </w:rPr>
        <w:t>Nyctibius</w:t>
      </w:r>
      <w:proofErr w:type="spellEnd"/>
      <w:r w:rsidRPr="00B450EB">
        <w:rPr>
          <w:rFonts w:cs="Arial"/>
        </w:rPr>
        <w:t xml:space="preserve"> (LAV0054-00-2022), enfrentan oposición de comunidades indígenas y bloqueos sociales, lo que ya los ubica en fase de Surgimiento</w:t>
      </w:r>
      <w:r w:rsidRPr="00B450EB">
        <w:rPr>
          <w:rStyle w:val="Refdenotaalpie"/>
          <w:rFonts w:cs="Arial"/>
        </w:rPr>
        <w:footnoteReference w:id="19"/>
      </w:r>
      <w:r w:rsidRPr="00B450EB">
        <w:rPr>
          <w:rFonts w:cs="Arial"/>
        </w:rPr>
        <w:t>, reflejando resistencias tempranas que podrían intensificarse si no se gestionan de manera adecuada.</w:t>
      </w:r>
    </w:p>
    <w:p w14:paraId="29348FA8" w14:textId="77777777" w:rsidR="00A00A46" w:rsidRPr="00B450EB" w:rsidRDefault="00A00A46" w:rsidP="003C7A9A">
      <w:pPr>
        <w:rPr>
          <w:rFonts w:cs="Arial"/>
        </w:rPr>
      </w:pPr>
      <w:r w:rsidRPr="00B450EB">
        <w:rPr>
          <w:rFonts w:cs="Arial"/>
        </w:rPr>
        <w:t xml:space="preserve">Un aspecto crítico es la concentración de la conflictividad en corredores sensibles, como Puerto Vega – </w:t>
      </w:r>
      <w:proofErr w:type="spellStart"/>
      <w:r w:rsidRPr="00B450EB">
        <w:rPr>
          <w:rFonts w:cs="Arial"/>
        </w:rPr>
        <w:t>Teteyé</w:t>
      </w:r>
      <w:proofErr w:type="spellEnd"/>
      <w:r w:rsidRPr="00B450EB">
        <w:rPr>
          <w:rFonts w:cs="Arial"/>
        </w:rPr>
        <w:t xml:space="preserve"> (LAM4174, Campos Quinde, </w:t>
      </w:r>
      <w:proofErr w:type="spellStart"/>
      <w:r w:rsidRPr="00B450EB">
        <w:rPr>
          <w:rFonts w:cs="Arial"/>
        </w:rPr>
        <w:t>Cohembí</w:t>
      </w:r>
      <w:proofErr w:type="spellEnd"/>
      <w:r w:rsidRPr="00B450EB">
        <w:rPr>
          <w:rFonts w:cs="Arial"/>
        </w:rPr>
        <w:t xml:space="preserve"> y </w:t>
      </w:r>
      <w:proofErr w:type="spellStart"/>
      <w:r w:rsidRPr="00B450EB">
        <w:rPr>
          <w:rFonts w:cs="Arial"/>
        </w:rPr>
        <w:t>Quillacinga</w:t>
      </w:r>
      <w:proofErr w:type="spellEnd"/>
      <w:r w:rsidRPr="00B450EB">
        <w:rPr>
          <w:rFonts w:cs="Arial"/>
        </w:rPr>
        <w:t xml:space="preserve">), donde se registran bloqueos recurrentes y sentencias judiciales en curso. Estos proyectos se encuentran en fase Escalada, evidenciando que los conflictos han adquirido una dinámica sostenida que articula factores sociales, ambientales y de seguridad. En este mismo corredor, el Área </w:t>
      </w:r>
      <w:proofErr w:type="spellStart"/>
      <w:r w:rsidRPr="00B450EB">
        <w:rPr>
          <w:rFonts w:cs="Arial"/>
        </w:rPr>
        <w:t>Bienparado</w:t>
      </w:r>
      <w:proofErr w:type="spellEnd"/>
      <w:r w:rsidRPr="00B450EB">
        <w:rPr>
          <w:rFonts w:cs="Arial"/>
        </w:rPr>
        <w:t xml:space="preserve"> (LAV0040-00-2022) también se encuentra en fase Surgimiento, lo que muestra su conexión con las dinámicas de inconformidad territorial más amplias.</w:t>
      </w:r>
    </w:p>
    <w:p w14:paraId="6077D800" w14:textId="77777777" w:rsidR="00A00A46" w:rsidRPr="00B450EB" w:rsidRDefault="00A00A46" w:rsidP="003C7A9A">
      <w:pPr>
        <w:rPr>
          <w:rFonts w:cs="Arial"/>
        </w:rPr>
      </w:pPr>
      <w:r w:rsidRPr="00B450EB">
        <w:rPr>
          <w:rFonts w:cs="Arial"/>
        </w:rPr>
        <w:t>En paralelo, algunos proyectos en suspensión, como Bloque El Nogal (LAV0027-00-2017) y Cumplidor Norte (LAV0056-00-2015), generan tensiones derivadas de la incertidumbre frente a la continuidad de operaciones, la falta de información o la percepción de incumplimientos en la relación con las comunidades. Estos se ubican en fase de Surgimiento, dado que los riesgos de conflictividad persisten y podrían evolucionar hacia escalamiento en caso de reactivación.</w:t>
      </w:r>
    </w:p>
    <w:p w14:paraId="25E552BE" w14:textId="0B6379C4" w:rsidR="00BF54B9" w:rsidRPr="00B450EB" w:rsidRDefault="00A00A46" w:rsidP="00F814FB">
      <w:pPr>
        <w:rPr>
          <w:rFonts w:cs="Arial"/>
        </w:rPr>
      </w:pPr>
      <w:r w:rsidRPr="00B450EB">
        <w:rPr>
          <w:rFonts w:cs="Arial"/>
        </w:rPr>
        <w:t xml:space="preserve">Finalmente, existen experiencias de </w:t>
      </w:r>
      <w:proofErr w:type="spellStart"/>
      <w:r w:rsidRPr="00B450EB">
        <w:rPr>
          <w:rFonts w:cs="Arial"/>
        </w:rPr>
        <w:t>desescalamiento</w:t>
      </w:r>
      <w:proofErr w:type="spellEnd"/>
      <w:r w:rsidRPr="00B450EB">
        <w:rPr>
          <w:rFonts w:cs="Arial"/>
        </w:rPr>
        <w:t xml:space="preserve"> parcial en proyectos como Nancy I (LAM3268), Pozos </w:t>
      </w:r>
      <w:proofErr w:type="spellStart"/>
      <w:r w:rsidRPr="00B450EB">
        <w:rPr>
          <w:rFonts w:cs="Arial"/>
        </w:rPr>
        <w:t>Burdine</w:t>
      </w:r>
      <w:proofErr w:type="spellEnd"/>
      <w:r w:rsidRPr="00B450EB">
        <w:rPr>
          <w:rFonts w:cs="Arial"/>
        </w:rPr>
        <w:t xml:space="preserve"> (LAM4011) y Área Platanillo (LAM4609), donde la atención de quejas, acuerdos comunitarios y ausencia de incidentes recientes han contribuido a reducir la conflictividad. Estos se ubican en fase Desescalada</w:t>
      </w:r>
      <w:r w:rsidRPr="00B450EB">
        <w:rPr>
          <w:rStyle w:val="Refdenotaalpie"/>
          <w:rFonts w:cs="Arial"/>
        </w:rPr>
        <w:footnoteReference w:id="20"/>
      </w:r>
      <w:r w:rsidRPr="00B450EB">
        <w:rPr>
          <w:rFonts w:cs="Arial"/>
        </w:rPr>
        <w:t>, aunque el riesgo de reactivación permanece latente dada la fragilidad social y la memoria de conflictos previos.</w:t>
      </w:r>
    </w:p>
    <w:p w14:paraId="199415E2" w14:textId="49CAB017" w:rsidR="00957AA5" w:rsidRPr="00B450EB" w:rsidRDefault="00B219A0" w:rsidP="00434DCE">
      <w:r w:rsidRPr="00B450EB">
        <w:rPr>
          <w:rFonts w:cs="Arial"/>
        </w:rPr>
        <w:t xml:space="preserve">De los proyectos anteriormente mencionados, </w:t>
      </w:r>
      <w:r w:rsidR="001664B5" w:rsidRPr="00B450EB">
        <w:rPr>
          <w:rFonts w:cs="Arial"/>
        </w:rPr>
        <w:t xml:space="preserve">es importante destacar </w:t>
      </w:r>
      <w:r w:rsidR="00712CEF" w:rsidRPr="00B450EB">
        <w:rPr>
          <w:rFonts w:cs="Arial"/>
        </w:rPr>
        <w:t>e</w:t>
      </w:r>
      <w:r w:rsidR="00223C12" w:rsidRPr="00B450EB">
        <w:rPr>
          <w:rFonts w:cs="Arial"/>
        </w:rPr>
        <w:t>l p</w:t>
      </w:r>
      <w:r w:rsidR="003E030E" w:rsidRPr="00B450EB">
        <w:rPr>
          <w:rFonts w:cs="Arial"/>
        </w:rPr>
        <w:t>royecto</w:t>
      </w:r>
      <w:r w:rsidR="00223C12" w:rsidRPr="00B450EB">
        <w:rPr>
          <w:rFonts w:cs="Arial"/>
        </w:rPr>
        <w:t xml:space="preserve"> Oleoducto </w:t>
      </w:r>
      <w:r w:rsidRPr="00B450EB">
        <w:rPr>
          <w:rFonts w:cs="Arial"/>
        </w:rPr>
        <w:t>T</w:t>
      </w:r>
      <w:r w:rsidR="00223C12" w:rsidRPr="00B450EB">
        <w:rPr>
          <w:rFonts w:cs="Arial"/>
        </w:rPr>
        <w:t>ra</w:t>
      </w:r>
      <w:r w:rsidRPr="00B450EB">
        <w:rPr>
          <w:rFonts w:cs="Arial"/>
        </w:rPr>
        <w:t xml:space="preserve">sandino </w:t>
      </w:r>
      <w:r w:rsidR="00712CEF" w:rsidRPr="00B450EB">
        <w:rPr>
          <w:rFonts w:cs="Arial"/>
        </w:rPr>
        <w:t>(LAM35</w:t>
      </w:r>
      <w:r w:rsidR="001664B5" w:rsidRPr="00B450EB">
        <w:rPr>
          <w:rFonts w:cs="Arial"/>
        </w:rPr>
        <w:t>18)</w:t>
      </w:r>
      <w:r w:rsidR="000C03A4" w:rsidRPr="00B450EB">
        <w:rPr>
          <w:rFonts w:cs="Arial"/>
        </w:rPr>
        <w:t>, el cual</w:t>
      </w:r>
      <w:r w:rsidR="003E030E" w:rsidRPr="00B450EB">
        <w:rPr>
          <w:rFonts w:cs="Arial"/>
        </w:rPr>
        <w:t xml:space="preserve"> </w:t>
      </w:r>
      <w:r w:rsidR="00B01A3F" w:rsidRPr="00B450EB">
        <w:rPr>
          <w:rFonts w:cs="Arial"/>
        </w:rPr>
        <w:t>tiene como objetivo transportar hidrocarburos (crudo) desde el municipio de Orito (Putumayo)</w:t>
      </w:r>
      <w:r w:rsidR="00B85DD7" w:rsidRPr="00B450EB">
        <w:rPr>
          <w:rFonts w:cs="Arial"/>
        </w:rPr>
        <w:t xml:space="preserve"> pasando </w:t>
      </w:r>
      <w:r w:rsidR="00DD6053" w:rsidRPr="00B450EB">
        <w:rPr>
          <w:rFonts w:cs="Arial"/>
        </w:rPr>
        <w:t xml:space="preserve">en </w:t>
      </w:r>
      <w:r w:rsidR="00264B03" w:rsidRPr="00B450EB">
        <w:rPr>
          <w:rFonts w:cs="Arial"/>
        </w:rPr>
        <w:t xml:space="preserve">el </w:t>
      </w:r>
      <w:r w:rsidR="00B85DD7" w:rsidRPr="00B450EB">
        <w:rPr>
          <w:rFonts w:cs="Arial"/>
        </w:rPr>
        <w:t xml:space="preserve"> departamento de Nariño </w:t>
      </w:r>
      <w:r w:rsidR="00DD6053" w:rsidRPr="00B450EB">
        <w:rPr>
          <w:rFonts w:cs="Arial"/>
        </w:rPr>
        <w:t xml:space="preserve">por </w:t>
      </w:r>
      <w:r w:rsidR="00B85DD7" w:rsidRPr="00B450EB">
        <w:rPr>
          <w:rFonts w:cs="Arial"/>
        </w:rPr>
        <w:t xml:space="preserve">los municipios de Córdoba, Puerres, Contadero, </w:t>
      </w:r>
      <w:proofErr w:type="spellStart"/>
      <w:r w:rsidR="00B85DD7" w:rsidRPr="00B450EB">
        <w:rPr>
          <w:rFonts w:cs="Arial"/>
        </w:rPr>
        <w:t>Gualmatán</w:t>
      </w:r>
      <w:proofErr w:type="spellEnd"/>
      <w:r w:rsidR="00B85DD7" w:rsidRPr="00B450EB">
        <w:rPr>
          <w:rFonts w:cs="Arial"/>
        </w:rPr>
        <w:t>, Pupiales, Aldana, Guachucal, Mallama, Ricaurte, Barbacoas y San Juan de Tumaco</w:t>
      </w:r>
      <w:r w:rsidR="00B01A3F" w:rsidRPr="00B450EB">
        <w:rPr>
          <w:rFonts w:cs="Arial"/>
        </w:rPr>
        <w:t xml:space="preserve"> hasta el Terminal Tumaco sobre el océano Pacífico,</w:t>
      </w:r>
      <w:r w:rsidR="000C03A4" w:rsidRPr="00B450EB">
        <w:rPr>
          <w:rFonts w:cs="Arial"/>
        </w:rPr>
        <w:t xml:space="preserve"> </w:t>
      </w:r>
      <w:r w:rsidR="00B01A3F" w:rsidRPr="00B450EB">
        <w:rPr>
          <w:rFonts w:cs="Arial"/>
        </w:rPr>
        <w:t xml:space="preserve">desde el cual </w:t>
      </w:r>
      <w:r w:rsidR="00B01A3F" w:rsidRPr="00B450EB">
        <w:rPr>
          <w:rFonts w:cs="Arial"/>
        </w:rPr>
        <w:lastRenderedPageBreak/>
        <w:t xml:space="preserve">se </w:t>
      </w:r>
      <w:r w:rsidR="00DA6649" w:rsidRPr="00B450EB">
        <w:rPr>
          <w:rFonts w:cs="Arial"/>
        </w:rPr>
        <w:t xml:space="preserve">comercializa </w:t>
      </w:r>
      <w:r w:rsidR="00B01A3F" w:rsidRPr="00B450EB">
        <w:rPr>
          <w:rFonts w:cs="Arial"/>
        </w:rPr>
        <w:t>en el mercado internacional</w:t>
      </w:r>
      <w:r w:rsidR="00E14B45" w:rsidRPr="00B450EB">
        <w:rPr>
          <w:rFonts w:cs="Arial"/>
        </w:rPr>
        <w:t>.</w:t>
      </w:r>
      <w:r w:rsidR="00473103" w:rsidRPr="00B450EB">
        <w:t xml:space="preserve"> </w:t>
      </w:r>
      <w:r w:rsidR="009B1751" w:rsidRPr="00B450EB">
        <w:t xml:space="preserve">Este </w:t>
      </w:r>
      <w:r w:rsidR="00925EE8" w:rsidRPr="00B450EB">
        <w:t>ole</w:t>
      </w:r>
      <w:r w:rsidR="00AE08EB" w:rsidRPr="00B450EB">
        <w:t xml:space="preserve">oducto </w:t>
      </w:r>
      <w:r w:rsidR="00131553" w:rsidRPr="00B450EB">
        <w:t>con una longitud aproximada de 306 Km</w:t>
      </w:r>
      <w:r w:rsidR="007C3A72" w:rsidRPr="00B450EB">
        <w:t xml:space="preserve"> es de relevancia</w:t>
      </w:r>
      <w:r w:rsidR="00434DCE" w:rsidRPr="00B450EB">
        <w:t>, ya que facilita el acceso de Colombia a mercados asiáticos y otras regiones, abriendo una vía de salida a través del océano Pacífico.</w:t>
      </w:r>
      <w:r w:rsidR="002407FF" w:rsidRPr="00B450EB">
        <w:t xml:space="preserve"> </w:t>
      </w:r>
      <w:r w:rsidR="00150027" w:rsidRPr="00B450EB">
        <w:t>Además</w:t>
      </w:r>
      <w:r w:rsidR="002407FF" w:rsidRPr="00B450EB">
        <w:t>, l</w:t>
      </w:r>
      <w:r w:rsidR="00434DCE" w:rsidRPr="00B450EB">
        <w:t>a conexión con Tumaco permite una diversificación de rutas de exportación, lo que hace que el país sea menos dependiente del oleoducto Caño Limón-Coveñas, que tiene su salida por el Caribe.</w:t>
      </w:r>
      <w:r w:rsidR="00D14E10" w:rsidRPr="00B450EB">
        <w:t xml:space="preserve"> </w:t>
      </w:r>
    </w:p>
    <w:p w14:paraId="2DBD87A4" w14:textId="24E48022" w:rsidR="00434DCE" w:rsidRPr="00B450EB" w:rsidRDefault="00D14E10" w:rsidP="00434DCE">
      <w:r w:rsidRPr="00B450EB">
        <w:t xml:space="preserve">No obstante, </w:t>
      </w:r>
      <w:r w:rsidR="004C6DDC" w:rsidRPr="00B450EB">
        <w:t xml:space="preserve">este oleoducto ha sido </w:t>
      </w:r>
      <w:r w:rsidR="00363085" w:rsidRPr="00B450EB">
        <w:t>objeto</w:t>
      </w:r>
      <w:r w:rsidR="00774C37" w:rsidRPr="00B450EB">
        <w:t xml:space="preserve"> de</w:t>
      </w:r>
      <w:r w:rsidR="00456CD2" w:rsidRPr="00B450EB">
        <w:t xml:space="preserve"> </w:t>
      </w:r>
      <w:r w:rsidR="00300CB5" w:rsidRPr="00B450EB">
        <w:t>Perforaciones</w:t>
      </w:r>
      <w:r w:rsidR="00774C37" w:rsidRPr="00B450EB">
        <w:t xml:space="preserve"> y </w:t>
      </w:r>
      <w:r w:rsidR="0056245A" w:rsidRPr="00B450EB">
        <w:t>válvulas</w:t>
      </w:r>
      <w:r w:rsidR="00774C37" w:rsidRPr="00B450EB">
        <w:t xml:space="preserve"> </w:t>
      </w:r>
      <w:r w:rsidR="0056245A" w:rsidRPr="00B450EB">
        <w:t>ilícitas</w:t>
      </w:r>
      <w:r w:rsidR="005F6806" w:rsidRPr="00B450EB">
        <w:t xml:space="preserve"> en los </w:t>
      </w:r>
      <w:r w:rsidR="0056245A" w:rsidRPr="00B450EB">
        <w:t>últimos</w:t>
      </w:r>
      <w:r w:rsidR="005F6806" w:rsidRPr="00B450EB">
        <w:t xml:space="preserve"> años</w:t>
      </w:r>
      <w:r w:rsidR="006A2586" w:rsidRPr="00B450EB">
        <w:t>.</w:t>
      </w:r>
      <w:r w:rsidR="00332C61" w:rsidRPr="00B450EB">
        <w:t xml:space="preserve"> G</w:t>
      </w:r>
      <w:r w:rsidR="00FA3200" w:rsidRPr="00B450EB">
        <w:t xml:space="preserve">rupos al margen de la ley </w:t>
      </w:r>
      <w:r w:rsidR="00986E8B" w:rsidRPr="00B450EB">
        <w:t xml:space="preserve">extraen el crudo para </w:t>
      </w:r>
      <w:r w:rsidR="00086C84" w:rsidRPr="00B450EB">
        <w:t>se</w:t>
      </w:r>
      <w:r w:rsidR="00BF3FC4" w:rsidRPr="00B450EB">
        <w:t>r procesado en</w:t>
      </w:r>
      <w:r w:rsidR="009C77EF" w:rsidRPr="00B450EB">
        <w:t xml:space="preserve"> refinerías clandestinas donde lo convierten en un combustible de contrabando conocido como </w:t>
      </w:r>
      <w:r w:rsidR="00150027" w:rsidRPr="00B450EB">
        <w:rPr>
          <w:i/>
          <w:iCs/>
        </w:rPr>
        <w:t>“</w:t>
      </w:r>
      <w:proofErr w:type="spellStart"/>
      <w:r w:rsidR="009C77EF" w:rsidRPr="00B450EB">
        <w:rPr>
          <w:i/>
        </w:rPr>
        <w:t>pategrillo</w:t>
      </w:r>
      <w:proofErr w:type="spellEnd"/>
      <w:r w:rsidR="00150027" w:rsidRPr="00B450EB">
        <w:rPr>
          <w:i/>
          <w:iCs/>
        </w:rPr>
        <w:t>”</w:t>
      </w:r>
      <w:r w:rsidR="009C77EF" w:rsidRPr="00B450EB">
        <w:t>, que se utiliza en la producción de cocaína o en la minería ilegal</w:t>
      </w:r>
      <w:r w:rsidR="00DB7BC3" w:rsidRPr="00B450EB">
        <w:t>,</w:t>
      </w:r>
      <w:r w:rsidR="00E25E02" w:rsidRPr="00B450EB">
        <w:t xml:space="preserve"> generando perdidas</w:t>
      </w:r>
      <w:r w:rsidR="00B919E4" w:rsidRPr="00B450EB">
        <w:t xml:space="preserve"> no operacionales</w:t>
      </w:r>
      <w:r w:rsidR="00E25E02" w:rsidRPr="00B450EB">
        <w:t xml:space="preserve"> d</w:t>
      </w:r>
      <w:r w:rsidR="002A2864" w:rsidRPr="00B450EB">
        <w:t xml:space="preserve">e hidrocarburo e incrementando la probabilidad de </w:t>
      </w:r>
      <w:r w:rsidR="00A415DB" w:rsidRPr="00B450EB">
        <w:t>ocurrencia de contingencias a lo largo del oleoducto.</w:t>
      </w:r>
      <w:r w:rsidR="00FC39B7" w:rsidRPr="00B450EB">
        <w:t xml:space="preserve"> Lo </w:t>
      </w:r>
      <w:r w:rsidR="0015245E" w:rsidRPr="00B450EB">
        <w:t xml:space="preserve">anterior </w:t>
      </w:r>
      <w:r w:rsidR="00FC39B7" w:rsidRPr="00B450EB">
        <w:t xml:space="preserve">ha generado </w:t>
      </w:r>
      <w:r w:rsidR="00012852" w:rsidRPr="00B450EB">
        <w:t xml:space="preserve">la suspensión temporal del </w:t>
      </w:r>
      <w:r w:rsidR="00B77EF7" w:rsidRPr="00B450EB">
        <w:t>uso de este oleoducto</w:t>
      </w:r>
      <w:r w:rsidR="005542E1" w:rsidRPr="00B450EB">
        <w:t>, tal como lo señala la ANLA en el concepto técnico de seguimiento ambiental</w:t>
      </w:r>
      <w:r w:rsidR="002959C8" w:rsidRPr="00B450EB">
        <w:t xml:space="preserve"> No. </w:t>
      </w:r>
      <w:r w:rsidR="007809FB" w:rsidRPr="00B450EB">
        <w:t>8257 del 31 de octubre de 2024</w:t>
      </w:r>
      <w:r w:rsidR="001F7815" w:rsidRPr="00B450EB">
        <w:t xml:space="preserve">, donde se indica que desde el primero de noviembre de 2024 el </w:t>
      </w:r>
      <w:r w:rsidR="00201579" w:rsidRPr="00B450EB">
        <w:t>O</w:t>
      </w:r>
      <w:r w:rsidR="00027359" w:rsidRPr="00B450EB">
        <w:t xml:space="preserve">leoducto </w:t>
      </w:r>
      <w:r w:rsidR="00201579" w:rsidRPr="00B450EB">
        <w:t>Transandino</w:t>
      </w:r>
      <w:r w:rsidR="00027359" w:rsidRPr="00B450EB">
        <w:t xml:space="preserve"> se encuentra operando de manera contingente</w:t>
      </w:r>
      <w:r w:rsidR="0011416C" w:rsidRPr="00B450EB">
        <w:t xml:space="preserve">, lo cual fue constatado por </w:t>
      </w:r>
      <w:r w:rsidR="007E59AA" w:rsidRPr="00B450EB">
        <w:t>dicha autoridad en el marco del seguimiento</w:t>
      </w:r>
      <w:r w:rsidR="00CE0C12" w:rsidRPr="00B450EB">
        <w:t xml:space="preserve"> e identificando:</w:t>
      </w:r>
    </w:p>
    <w:p w14:paraId="55B63C31" w14:textId="71200516" w:rsidR="00CE0C12" w:rsidRPr="00B450EB" w:rsidRDefault="00CE0C12" w:rsidP="001C1081">
      <w:pPr>
        <w:pStyle w:val="Prrafodelista"/>
        <w:numPr>
          <w:ilvl w:val="0"/>
          <w:numId w:val="23"/>
        </w:numPr>
      </w:pPr>
      <w:r w:rsidRPr="00B450EB">
        <w:t>El Oleoducto el Oso se está utilizando para evacuar hidrocarburos desde la estación Orito hacia Lago Agrio (Ecuador), como alternativa a otros métodos.</w:t>
      </w:r>
    </w:p>
    <w:p w14:paraId="0B44CCB4" w14:textId="25AD19A8" w:rsidR="00CE0C12" w:rsidRPr="00B450EB" w:rsidRDefault="00CE0C12" w:rsidP="001C1081">
      <w:pPr>
        <w:pStyle w:val="Prrafodelista"/>
        <w:numPr>
          <w:ilvl w:val="0"/>
          <w:numId w:val="23"/>
        </w:numPr>
      </w:pPr>
      <w:r w:rsidRPr="00B450EB">
        <w:t>En la Estación Guamuez no se realiza envío de hidrocarburos por el Oleoducto</w:t>
      </w:r>
      <w:r w:rsidR="00E85DD2" w:rsidRPr="00B450EB">
        <w:t xml:space="preserve"> </w:t>
      </w:r>
      <w:r w:rsidRPr="00B450EB">
        <w:t>Transandino, pero se recibe producción de campos cercanos.</w:t>
      </w:r>
    </w:p>
    <w:p w14:paraId="07997605" w14:textId="0C91161E" w:rsidR="00CE0C12" w:rsidRPr="00B450EB" w:rsidRDefault="00CE0C12" w:rsidP="001C1081">
      <w:pPr>
        <w:pStyle w:val="Prrafodelista"/>
        <w:numPr>
          <w:ilvl w:val="0"/>
          <w:numId w:val="23"/>
        </w:numPr>
      </w:pPr>
      <w:r w:rsidRPr="00B450EB">
        <w:t>En las Estaciones Alisales y Paramo a la fecha no se reporta transporte de</w:t>
      </w:r>
      <w:r w:rsidR="00E85DD2" w:rsidRPr="00B450EB">
        <w:t xml:space="preserve"> </w:t>
      </w:r>
      <w:r w:rsidRPr="00B450EB">
        <w:t>hidrocarburos por el Oleoducto Transandino, pero se ejecutan actividades de</w:t>
      </w:r>
      <w:r w:rsidR="00E85DD2" w:rsidRPr="00B450EB">
        <w:t xml:space="preserve"> </w:t>
      </w:r>
      <w:r w:rsidRPr="00B450EB">
        <w:t>mantenimiento.</w:t>
      </w:r>
    </w:p>
    <w:p w14:paraId="2DCED073" w14:textId="41B0D081" w:rsidR="00CE0C12" w:rsidRPr="00B450EB" w:rsidRDefault="00CE0C12" w:rsidP="001C1081">
      <w:pPr>
        <w:pStyle w:val="Prrafodelista"/>
        <w:numPr>
          <w:ilvl w:val="0"/>
          <w:numId w:val="23"/>
        </w:numPr>
      </w:pPr>
      <w:r w:rsidRPr="00B450EB">
        <w:t>En la Terminal Tumaco y PLEM se está acumulando hidrocarburo, pero no hay</w:t>
      </w:r>
      <w:r w:rsidR="00E85DD2" w:rsidRPr="00B450EB">
        <w:t xml:space="preserve"> </w:t>
      </w:r>
      <w:r w:rsidRPr="00B450EB">
        <w:t>entrega de estos a buques, debido a un remanente de hidrocarburo que no cumple</w:t>
      </w:r>
      <w:r w:rsidR="00E85DD2" w:rsidRPr="00B450EB">
        <w:t xml:space="preserve"> </w:t>
      </w:r>
      <w:r w:rsidRPr="00B450EB">
        <w:t>con el volumen mínimo para comercialización.</w:t>
      </w:r>
    </w:p>
    <w:p w14:paraId="45364526" w14:textId="7FECEB65" w:rsidR="00015923" w:rsidRPr="00B450EB" w:rsidRDefault="00015923" w:rsidP="005241AF">
      <w:pPr>
        <w:pStyle w:val="Ttulo4"/>
        <w:numPr>
          <w:ilvl w:val="0"/>
          <w:numId w:val="0"/>
        </w:numPr>
        <w:rPr>
          <w:color w:val="auto"/>
        </w:rPr>
      </w:pPr>
      <w:r w:rsidRPr="00B450EB">
        <w:rPr>
          <w:color w:val="auto"/>
        </w:rPr>
        <w:t xml:space="preserve">Contingencias </w:t>
      </w:r>
      <w:r w:rsidR="0C3651FE" w:rsidRPr="00B450EB">
        <w:rPr>
          <w:color w:val="auto"/>
        </w:rPr>
        <w:t>ambientales</w:t>
      </w:r>
      <w:r w:rsidRPr="00B450EB">
        <w:rPr>
          <w:color w:val="auto"/>
        </w:rPr>
        <w:t xml:space="preserve"> </w:t>
      </w:r>
    </w:p>
    <w:p w14:paraId="0ABBF2A9" w14:textId="2BB404C3" w:rsidR="00A02677" w:rsidRPr="00B450EB" w:rsidRDefault="000B4545" w:rsidP="001A11DD">
      <w:pPr>
        <w:rPr>
          <w:rFonts w:eastAsia="Arial" w:cs="Arial"/>
        </w:rPr>
      </w:pPr>
      <w:r w:rsidRPr="00B450EB">
        <w:rPr>
          <w:rFonts w:eastAsia="Arial" w:cs="Arial"/>
        </w:rPr>
        <w:t xml:space="preserve">De acuerdo con la base de datos de reportes de contingencias de la ANLA, en la región amazónica se han presentado un total de 296 contingencias registradas entre 2016 y </w:t>
      </w:r>
      <w:r w:rsidR="00BF2AAE" w:rsidRPr="00B450EB">
        <w:rPr>
          <w:rFonts w:eastAsia="Arial" w:cs="Arial"/>
        </w:rPr>
        <w:t>la fecha de corte de</w:t>
      </w:r>
      <w:r w:rsidRPr="00B450EB">
        <w:rPr>
          <w:rFonts w:eastAsia="Arial" w:cs="Arial"/>
        </w:rPr>
        <w:t xml:space="preserve"> 9 de septiembre de 2025</w:t>
      </w:r>
      <w:r w:rsidR="004744DC" w:rsidRPr="00B450EB">
        <w:rPr>
          <w:rFonts w:eastAsia="Arial" w:cs="Arial"/>
        </w:rPr>
        <w:t xml:space="preserve">, </w:t>
      </w:r>
      <w:r w:rsidR="00BF2AAE" w:rsidRPr="00B450EB">
        <w:rPr>
          <w:rFonts w:eastAsia="Arial" w:cs="Arial"/>
        </w:rPr>
        <w:t xml:space="preserve">las cuales </w:t>
      </w:r>
      <w:r w:rsidR="004744DC" w:rsidRPr="00B450EB">
        <w:rPr>
          <w:rFonts w:eastAsia="Arial" w:cs="Arial"/>
        </w:rPr>
        <w:t xml:space="preserve">en un 92% </w:t>
      </w:r>
      <w:r w:rsidR="00BF2AAE" w:rsidRPr="00B450EB">
        <w:rPr>
          <w:rFonts w:eastAsia="Arial" w:cs="Arial"/>
        </w:rPr>
        <w:t xml:space="preserve">están </w:t>
      </w:r>
      <w:r w:rsidR="004744DC" w:rsidRPr="00B450EB">
        <w:rPr>
          <w:rFonts w:eastAsia="Arial" w:cs="Arial"/>
        </w:rPr>
        <w:t>relacionadas a proyectos de hidrocarburos</w:t>
      </w:r>
      <w:r w:rsidR="00FE73DF" w:rsidRPr="00B450EB">
        <w:rPr>
          <w:rFonts w:eastAsia="Arial" w:cs="Arial"/>
        </w:rPr>
        <w:t>.</w:t>
      </w:r>
      <w:r w:rsidR="00CC1FAB" w:rsidRPr="00B450EB">
        <w:rPr>
          <w:rFonts w:eastAsia="Arial" w:cs="Arial"/>
        </w:rPr>
        <w:t xml:space="preserve"> </w:t>
      </w:r>
      <w:r w:rsidR="009C38E3" w:rsidRPr="00B450EB">
        <w:rPr>
          <w:rFonts w:eastAsia="Arial" w:cs="Arial"/>
        </w:rPr>
        <w:t>De</w:t>
      </w:r>
      <w:r w:rsidR="00BF2AAE" w:rsidRPr="00B450EB">
        <w:rPr>
          <w:rFonts w:eastAsia="Arial" w:cs="Arial"/>
        </w:rPr>
        <w:t>l total</w:t>
      </w:r>
      <w:r w:rsidR="009C38E3" w:rsidRPr="00B450EB">
        <w:rPr>
          <w:rFonts w:eastAsia="Arial" w:cs="Arial"/>
        </w:rPr>
        <w:t xml:space="preserve"> reportadas</w:t>
      </w:r>
      <w:r w:rsidR="00BF2AAE" w:rsidRPr="00B450EB">
        <w:rPr>
          <w:rFonts w:eastAsia="Arial" w:cs="Arial"/>
        </w:rPr>
        <w:t>,</w:t>
      </w:r>
      <w:r w:rsidR="009C38E3" w:rsidRPr="00B450EB">
        <w:rPr>
          <w:rFonts w:eastAsia="Arial" w:cs="Arial"/>
        </w:rPr>
        <w:t xml:space="preserve"> </w:t>
      </w:r>
      <w:r w:rsidR="00F87971" w:rsidRPr="00B450EB">
        <w:rPr>
          <w:rFonts w:eastAsia="Arial" w:cs="Arial"/>
        </w:rPr>
        <w:t>2</w:t>
      </w:r>
      <w:r w:rsidR="007B7CBD" w:rsidRPr="00B450EB">
        <w:rPr>
          <w:rFonts w:eastAsia="Arial" w:cs="Arial"/>
        </w:rPr>
        <w:t>90</w:t>
      </w:r>
      <w:r w:rsidR="009C38E3" w:rsidRPr="00B450EB">
        <w:rPr>
          <w:rFonts w:eastAsia="Arial" w:cs="Arial"/>
        </w:rPr>
        <w:t xml:space="preserve"> fueron de carácter local o menor</w:t>
      </w:r>
      <w:r w:rsidR="007B7CBD" w:rsidRPr="00B450EB">
        <w:rPr>
          <w:rFonts w:eastAsia="Arial" w:cs="Arial"/>
        </w:rPr>
        <w:t>, 5 de carácter regional</w:t>
      </w:r>
      <w:r w:rsidR="009C38E3" w:rsidRPr="00B450EB">
        <w:rPr>
          <w:rFonts w:eastAsia="Arial" w:cs="Arial"/>
        </w:rPr>
        <w:t xml:space="preserve"> y </w:t>
      </w:r>
      <w:r w:rsidR="007B7CBD" w:rsidRPr="00B450EB">
        <w:rPr>
          <w:rFonts w:eastAsia="Arial" w:cs="Arial"/>
        </w:rPr>
        <w:t>una</w:t>
      </w:r>
      <w:r w:rsidR="009C38E3" w:rsidRPr="00B450EB">
        <w:rPr>
          <w:rFonts w:eastAsia="Arial" w:cs="Arial"/>
        </w:rPr>
        <w:t xml:space="preserve"> </w:t>
      </w:r>
      <w:r w:rsidR="00CC1FAB" w:rsidRPr="00B450EB">
        <w:rPr>
          <w:rFonts w:eastAsia="Arial" w:cs="Arial"/>
        </w:rPr>
        <w:t>(1)</w:t>
      </w:r>
      <w:r w:rsidR="009C38E3" w:rsidRPr="00B450EB">
        <w:rPr>
          <w:rFonts w:eastAsia="Arial" w:cs="Arial"/>
        </w:rPr>
        <w:t xml:space="preserve"> de carácter Nacional o mayor </w:t>
      </w:r>
      <w:r w:rsidR="007B7CBD" w:rsidRPr="00B450EB">
        <w:rPr>
          <w:rFonts w:eastAsia="Arial" w:cs="Arial"/>
        </w:rPr>
        <w:t>correspondiente</w:t>
      </w:r>
      <w:r w:rsidR="009C38E3" w:rsidRPr="00B450EB">
        <w:rPr>
          <w:rFonts w:eastAsia="Arial" w:cs="Arial"/>
        </w:rPr>
        <w:t xml:space="preserve"> a la presentada en el marco d</w:t>
      </w:r>
      <w:r w:rsidR="00A67B93" w:rsidRPr="00B450EB">
        <w:rPr>
          <w:rFonts w:eastAsia="Arial" w:cs="Arial"/>
        </w:rPr>
        <w:t>el proyecto Área de Perforación Exploratoria Ombú</w:t>
      </w:r>
      <w:r w:rsidR="009C38E3" w:rsidRPr="00B450EB">
        <w:rPr>
          <w:rFonts w:eastAsia="Arial" w:cs="Arial"/>
        </w:rPr>
        <w:t xml:space="preserve">– </w:t>
      </w:r>
      <w:r w:rsidR="00F12967" w:rsidRPr="00B450EB">
        <w:rPr>
          <w:rFonts w:eastAsia="Arial" w:cs="Arial"/>
        </w:rPr>
        <w:t>LAM3816</w:t>
      </w:r>
      <w:r w:rsidR="009C38E3" w:rsidRPr="00B450EB">
        <w:rPr>
          <w:rFonts w:eastAsia="Arial" w:cs="Arial"/>
        </w:rPr>
        <w:t>, ocurrida en 20</w:t>
      </w:r>
      <w:r w:rsidR="00F12967" w:rsidRPr="00B450EB">
        <w:rPr>
          <w:rFonts w:eastAsia="Arial" w:cs="Arial"/>
        </w:rPr>
        <w:t>23</w:t>
      </w:r>
      <w:r w:rsidR="00D37DF8" w:rsidRPr="00B450EB">
        <w:rPr>
          <w:rFonts w:eastAsia="Arial" w:cs="Arial"/>
        </w:rPr>
        <w:t>.</w:t>
      </w:r>
    </w:p>
    <w:p w14:paraId="7A28F588" w14:textId="66B2B0EA" w:rsidR="00F86B21" w:rsidRPr="00B450EB" w:rsidRDefault="00FE73DF" w:rsidP="00377AD7">
      <w:pPr>
        <w:pStyle w:val="Descripcin"/>
        <w:rPr>
          <w:color w:val="auto"/>
        </w:rPr>
      </w:pPr>
      <w:bookmarkStart w:id="183" w:name="_Toc209462769"/>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81</w:t>
      </w:r>
      <w:r w:rsidR="0045353A" w:rsidRPr="00B450EB">
        <w:rPr>
          <w:noProof/>
          <w:color w:val="auto"/>
        </w:rPr>
        <w:fldChar w:fldCharType="end"/>
      </w:r>
      <w:r w:rsidRPr="00B450EB">
        <w:rPr>
          <w:color w:val="auto"/>
        </w:rPr>
        <w:t xml:space="preserve">. </w:t>
      </w:r>
      <w:r w:rsidR="00F86B21" w:rsidRPr="00B450EB">
        <w:rPr>
          <w:color w:val="auto"/>
        </w:rPr>
        <w:t xml:space="preserve">Distribución porcentual de las contingencias presentadas en el </w:t>
      </w:r>
      <w:r w:rsidR="0076416E" w:rsidRPr="00B450EB">
        <w:rPr>
          <w:color w:val="auto"/>
        </w:rPr>
        <w:t xml:space="preserve">Bioma Amazónico </w:t>
      </w:r>
      <w:r w:rsidR="00F86B21" w:rsidRPr="00B450EB">
        <w:rPr>
          <w:color w:val="auto"/>
        </w:rPr>
        <w:t>para el periodo 2016 - 2025</w:t>
      </w:r>
      <w:bookmarkEnd w:id="183"/>
    </w:p>
    <w:tbl>
      <w:tblPr>
        <w:tblStyle w:val="Tablaconcuadrcula"/>
        <w:tblW w:w="8557" w:type="dxa"/>
        <w:tblLook w:val="04A0" w:firstRow="1" w:lastRow="0" w:firstColumn="1" w:lastColumn="0" w:noHBand="0" w:noVBand="1"/>
      </w:tblPr>
      <w:tblGrid>
        <w:gridCol w:w="4453"/>
        <w:gridCol w:w="4375"/>
      </w:tblGrid>
      <w:tr w:rsidR="00205915" w:rsidRPr="00B450EB" w14:paraId="32881631" w14:textId="77777777" w:rsidTr="002A3B72">
        <w:trPr>
          <w:trHeight w:val="227"/>
        </w:trPr>
        <w:tc>
          <w:tcPr>
            <w:tcW w:w="4017" w:type="dxa"/>
          </w:tcPr>
          <w:p w14:paraId="4F2C7EC1" w14:textId="049B778C" w:rsidR="00D37DF8" w:rsidRPr="00B450EB" w:rsidRDefault="00F86B21" w:rsidP="001C1081">
            <w:pPr>
              <w:pStyle w:val="Prrafodelista"/>
              <w:numPr>
                <w:ilvl w:val="0"/>
                <w:numId w:val="20"/>
              </w:numPr>
              <w:jc w:val="center"/>
              <w:rPr>
                <w:rFonts w:eastAsia="Arial" w:cs="Arial"/>
                <w:sz w:val="18"/>
                <w:szCs w:val="18"/>
              </w:rPr>
            </w:pPr>
            <w:r w:rsidRPr="00B450EB">
              <w:rPr>
                <w:rFonts w:eastAsia="Arial" w:cs="Arial"/>
                <w:sz w:val="18"/>
                <w:szCs w:val="18"/>
              </w:rPr>
              <w:t>Por sector</w:t>
            </w:r>
          </w:p>
        </w:tc>
        <w:tc>
          <w:tcPr>
            <w:tcW w:w="4540" w:type="dxa"/>
          </w:tcPr>
          <w:p w14:paraId="79079265" w14:textId="7A22CEAE" w:rsidR="00D37DF8" w:rsidRPr="00B450EB" w:rsidRDefault="000D77D1" w:rsidP="001C1081">
            <w:pPr>
              <w:pStyle w:val="Prrafodelista"/>
              <w:numPr>
                <w:ilvl w:val="0"/>
                <w:numId w:val="20"/>
              </w:numPr>
              <w:jc w:val="center"/>
              <w:rPr>
                <w:rFonts w:eastAsia="Arial" w:cs="Arial"/>
                <w:sz w:val="18"/>
                <w:szCs w:val="18"/>
              </w:rPr>
            </w:pPr>
            <w:r w:rsidRPr="00B450EB">
              <w:rPr>
                <w:rFonts w:eastAsia="Arial" w:cs="Arial"/>
                <w:sz w:val="18"/>
                <w:szCs w:val="18"/>
              </w:rPr>
              <w:t>P</w:t>
            </w:r>
            <w:r w:rsidR="00844223" w:rsidRPr="00B450EB">
              <w:rPr>
                <w:rFonts w:eastAsia="Arial" w:cs="Arial"/>
                <w:sz w:val="18"/>
                <w:szCs w:val="18"/>
              </w:rPr>
              <w:t>or</w:t>
            </w:r>
            <w:r w:rsidRPr="00B450EB">
              <w:rPr>
                <w:rFonts w:eastAsia="Arial" w:cs="Arial"/>
                <w:sz w:val="18"/>
                <w:szCs w:val="18"/>
              </w:rPr>
              <w:t xml:space="preserve"> nivel de escala</w:t>
            </w:r>
          </w:p>
        </w:tc>
      </w:tr>
      <w:tr w:rsidR="00205915" w:rsidRPr="00B450EB" w14:paraId="0B5516A3" w14:textId="77777777" w:rsidTr="002A3B72">
        <w:trPr>
          <w:trHeight w:val="3388"/>
        </w:trPr>
        <w:tc>
          <w:tcPr>
            <w:tcW w:w="4017" w:type="dxa"/>
          </w:tcPr>
          <w:p w14:paraId="29C8260D" w14:textId="07474F1B" w:rsidR="00D37DF8" w:rsidRPr="00B450EB" w:rsidRDefault="00A1746C" w:rsidP="001A11DD">
            <w:pPr>
              <w:rPr>
                <w:rFonts w:eastAsia="Arial" w:cs="Arial"/>
              </w:rPr>
            </w:pPr>
            <w:r w:rsidRPr="00B450EB">
              <w:rPr>
                <w:rFonts w:eastAsia="Arial" w:cs="Arial"/>
                <w:noProof/>
              </w:rPr>
              <w:drawing>
                <wp:inline distT="0" distB="0" distL="0" distR="0" wp14:anchorId="6B33FAA9" wp14:editId="490A77FF">
                  <wp:extent cx="2804585" cy="2193925"/>
                  <wp:effectExtent l="0" t="0" r="0" b="0"/>
                  <wp:docPr id="58441085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5">
                            <a:extLst>
                              <a:ext uri="{28A0092B-C50C-407E-A947-70E740481C1C}">
                                <a14:useLocalDpi xmlns:a14="http://schemas.microsoft.com/office/drawing/2010/main" val="0"/>
                              </a:ext>
                            </a:extLst>
                          </a:blip>
                          <a:srcRect l="10415"/>
                          <a:stretch>
                            <a:fillRect/>
                          </a:stretch>
                        </pic:blipFill>
                        <pic:spPr bwMode="auto">
                          <a:xfrm>
                            <a:off x="0" y="0"/>
                            <a:ext cx="2816119" cy="22029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0" w:type="dxa"/>
          </w:tcPr>
          <w:p w14:paraId="7E6888CD" w14:textId="15E5C6BC" w:rsidR="00D37DF8" w:rsidRPr="00B450EB" w:rsidRDefault="00A1189F" w:rsidP="002A3B72">
            <w:pPr>
              <w:jc w:val="center"/>
              <w:rPr>
                <w:rFonts w:eastAsia="Arial" w:cs="Arial"/>
              </w:rPr>
            </w:pPr>
            <w:r w:rsidRPr="00B450EB">
              <w:rPr>
                <w:rFonts w:eastAsia="Arial" w:cs="Arial"/>
                <w:noProof/>
              </w:rPr>
              <w:drawing>
                <wp:inline distT="0" distB="0" distL="0" distR="0" wp14:anchorId="1D357C3E" wp14:editId="4782B1A5">
                  <wp:extent cx="2752387" cy="2181225"/>
                  <wp:effectExtent l="0" t="0" r="0" b="0"/>
                  <wp:docPr id="8137713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6">
                            <a:extLst>
                              <a:ext uri="{28A0092B-C50C-407E-A947-70E740481C1C}">
                                <a14:useLocalDpi xmlns:a14="http://schemas.microsoft.com/office/drawing/2010/main" val="0"/>
                              </a:ext>
                            </a:extLst>
                          </a:blip>
                          <a:srcRect l="10595" r="1104"/>
                          <a:stretch>
                            <a:fillRect/>
                          </a:stretch>
                        </pic:blipFill>
                        <pic:spPr bwMode="auto">
                          <a:xfrm>
                            <a:off x="0" y="0"/>
                            <a:ext cx="2759294" cy="218669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07D998F" w14:textId="70A9D977" w:rsidR="00D37DF8" w:rsidRPr="00B450EB" w:rsidRDefault="00F86B21" w:rsidP="007464FD">
      <w:pPr>
        <w:jc w:val="center"/>
        <w:rPr>
          <w:rFonts w:eastAsia="Arial" w:cs="Arial"/>
          <w:sz w:val="18"/>
          <w:szCs w:val="18"/>
        </w:rPr>
      </w:pPr>
      <w:r w:rsidRPr="00B450EB">
        <w:rPr>
          <w:rFonts w:eastAsia="Arial" w:cs="Arial"/>
          <w:sz w:val="18"/>
          <w:szCs w:val="18"/>
        </w:rPr>
        <w:t>Fuente:</w:t>
      </w:r>
      <w:r w:rsidR="007464FD" w:rsidRPr="00B450EB">
        <w:rPr>
          <w:rFonts w:eastAsia="Arial" w:cs="Arial"/>
          <w:sz w:val="18"/>
          <w:szCs w:val="18"/>
        </w:rPr>
        <w:t xml:space="preserve"> </w:t>
      </w:r>
      <w:r w:rsidR="00821B86" w:rsidRPr="00B450EB">
        <w:rPr>
          <w:rFonts w:eastAsia="Arial" w:cs="Arial"/>
          <w:sz w:val="18"/>
          <w:szCs w:val="18"/>
        </w:rPr>
        <w:t>Elaboración propia</w:t>
      </w:r>
      <w:r w:rsidR="007464FD" w:rsidRPr="00B450EB">
        <w:rPr>
          <w:rFonts w:eastAsia="Arial" w:cs="Arial"/>
          <w:sz w:val="18"/>
          <w:szCs w:val="18"/>
        </w:rPr>
        <w:t>, 2025</w:t>
      </w:r>
      <w:r w:rsidR="00D203BB" w:rsidRPr="00B450EB">
        <w:rPr>
          <w:rFonts w:eastAsia="Arial" w:cs="Arial"/>
          <w:sz w:val="18"/>
          <w:szCs w:val="18"/>
        </w:rPr>
        <w:t xml:space="preserve"> a partir de ANLA, 2025</w:t>
      </w:r>
    </w:p>
    <w:p w14:paraId="39BC61C2" w14:textId="77777777" w:rsidR="000B4545" w:rsidRPr="00B450EB" w:rsidRDefault="000B4545" w:rsidP="000B4545">
      <w:pPr>
        <w:rPr>
          <w:rFonts w:eastAsia="Arial" w:cs="Arial"/>
        </w:rPr>
      </w:pPr>
      <w:r w:rsidRPr="00B450EB">
        <w:rPr>
          <w:rFonts w:eastAsia="Arial" w:cs="Arial"/>
        </w:rPr>
        <w:t>Estos reportes se clasifican según su origen, lo que permite identificar las causas y orientar la gestión de cada evento. En primer lugar, se encuentran las contingencias de origen natural, asociadas a fenómenos como inundaciones o deslizamientos. En segundo lugar, están las contingencias de origen tecnológico u operacional, vinculadas a fallas en la infraestructura o en los procesos de operación de proyectos licenciados, tales como derrames de hidrocarburos.</w:t>
      </w:r>
    </w:p>
    <w:p w14:paraId="0AFF25CC" w14:textId="77777777" w:rsidR="000B4545" w:rsidRPr="00B450EB" w:rsidRDefault="000B4545" w:rsidP="000B4545">
      <w:pPr>
        <w:rPr>
          <w:rFonts w:eastAsia="Arial" w:cs="Arial"/>
        </w:rPr>
      </w:pPr>
      <w:r w:rsidRPr="00B450EB">
        <w:rPr>
          <w:rFonts w:eastAsia="Arial" w:cs="Arial"/>
        </w:rPr>
        <w:t>Finalmente, se incluyen las contingencias ocasionadas por terceros, las cuales pueden ser voluntarias, cuando obedecen a acciones intencionales como vandalismo o sabotaje, o involuntarias, cuando se originan en accidentes o acciones no planificadas que afectan la operación. En particular, los actos voluntarios de terceros corresponden a emergencias generadas por personal ajeno a las operaciones y que, según la normativa vigente, no están contemplados en ningún instrumento respecto a la responsabilidad de restaurar o reparar los componentes afectados por dichas contingencias.</w:t>
      </w:r>
    </w:p>
    <w:p w14:paraId="7959C02C" w14:textId="1884D501" w:rsidR="00A02677" w:rsidRPr="00B450EB" w:rsidRDefault="000B4545" w:rsidP="00A02677">
      <w:pPr>
        <w:spacing w:after="0"/>
        <w:rPr>
          <w:rFonts w:eastAsia="Arial" w:cs="Arial"/>
        </w:rPr>
      </w:pPr>
      <w:r w:rsidRPr="00B450EB">
        <w:rPr>
          <w:rFonts w:eastAsia="Arial" w:cs="Arial"/>
        </w:rPr>
        <w:t xml:space="preserve">La siguiente grafica refleja que el riesgo de contingencias ambientales en la región está dominado por factores tecnológicos-operacionales; no obstante, los eventos de origen natural o </w:t>
      </w:r>
      <w:proofErr w:type="spellStart"/>
      <w:r w:rsidRPr="00B450EB">
        <w:rPr>
          <w:rFonts w:eastAsia="Arial" w:cs="Arial"/>
        </w:rPr>
        <w:t>socionatural</w:t>
      </w:r>
      <w:proofErr w:type="spellEnd"/>
      <w:r w:rsidRPr="00B450EB">
        <w:rPr>
          <w:rFonts w:eastAsia="Arial" w:cs="Arial"/>
        </w:rPr>
        <w:t>, así como los asociados a terceros (voluntarios o involuntarios), muestran una tendencia creciente y contribuyen a diversificar el panorama de amenazas.</w:t>
      </w:r>
    </w:p>
    <w:p w14:paraId="3AEC36CB" w14:textId="77777777" w:rsidR="00A02677" w:rsidRPr="00B450EB" w:rsidRDefault="00A02677">
      <w:pPr>
        <w:jc w:val="left"/>
        <w:rPr>
          <w:rFonts w:eastAsia="Arial" w:cs="Arial"/>
        </w:rPr>
      </w:pPr>
      <w:r w:rsidRPr="00B450EB">
        <w:rPr>
          <w:rFonts w:eastAsia="Arial" w:cs="Arial"/>
        </w:rPr>
        <w:br w:type="page"/>
      </w:r>
    </w:p>
    <w:p w14:paraId="032E599D" w14:textId="0D6DBC30" w:rsidR="000B4545" w:rsidRPr="00B450EB" w:rsidRDefault="000B4545" w:rsidP="00FE73DF">
      <w:pPr>
        <w:spacing w:after="0"/>
        <w:jc w:val="center"/>
        <w:rPr>
          <w:rFonts w:eastAsia="Arial" w:cs="Arial"/>
          <w:sz w:val="18"/>
          <w:szCs w:val="18"/>
        </w:rPr>
      </w:pPr>
      <w:bookmarkStart w:id="184" w:name="_Toc209462770"/>
      <w:r w:rsidRPr="00B450EB">
        <w:rPr>
          <w:sz w:val="18"/>
          <w:szCs w:val="18"/>
        </w:rPr>
        <w:lastRenderedPageBreak/>
        <w:t xml:space="preserve">Figura </w:t>
      </w:r>
      <w:r w:rsidRPr="00B450EB">
        <w:rPr>
          <w:sz w:val="18"/>
          <w:szCs w:val="18"/>
        </w:rPr>
        <w:fldChar w:fldCharType="begin"/>
      </w:r>
      <w:r w:rsidRPr="00B450EB">
        <w:rPr>
          <w:sz w:val="18"/>
          <w:szCs w:val="18"/>
        </w:rPr>
        <w:instrText xml:space="preserve"> SEQ Figura \* ARABIC </w:instrText>
      </w:r>
      <w:r w:rsidRPr="00B450EB">
        <w:rPr>
          <w:sz w:val="18"/>
          <w:szCs w:val="18"/>
        </w:rPr>
        <w:fldChar w:fldCharType="separate"/>
      </w:r>
      <w:r w:rsidR="00010D09" w:rsidRPr="00B450EB">
        <w:rPr>
          <w:noProof/>
          <w:sz w:val="18"/>
          <w:szCs w:val="18"/>
        </w:rPr>
        <w:t>82</w:t>
      </w:r>
      <w:r w:rsidRPr="00B450EB">
        <w:rPr>
          <w:sz w:val="18"/>
          <w:szCs w:val="18"/>
        </w:rPr>
        <w:fldChar w:fldCharType="end"/>
      </w:r>
      <w:r w:rsidRPr="00B450EB">
        <w:rPr>
          <w:sz w:val="18"/>
          <w:szCs w:val="18"/>
        </w:rPr>
        <w:t xml:space="preserve">. </w:t>
      </w:r>
      <w:r w:rsidRPr="00B450EB">
        <w:rPr>
          <w:rFonts w:eastAsia="Arial" w:cs="Arial"/>
          <w:sz w:val="18"/>
          <w:szCs w:val="18"/>
        </w:rPr>
        <w:t>Distribución reporte de contingencias por origen</w:t>
      </w:r>
      <w:bookmarkEnd w:id="184"/>
    </w:p>
    <w:p w14:paraId="243098CE" w14:textId="25E56423" w:rsidR="000B4545" w:rsidRPr="00B450EB" w:rsidRDefault="001A11DD" w:rsidP="000B4545">
      <w:pPr>
        <w:spacing w:after="0"/>
        <w:jc w:val="center"/>
        <w:rPr>
          <w:rFonts w:eastAsia="Arial" w:cs="Arial"/>
        </w:rPr>
      </w:pPr>
      <w:r w:rsidRPr="00B450EB">
        <w:rPr>
          <w:noProof/>
        </w:rPr>
        <w:drawing>
          <wp:inline distT="0" distB="0" distL="0" distR="0" wp14:anchorId="314D9F47" wp14:editId="2C2DC8F9">
            <wp:extent cx="4572000" cy="2743200"/>
            <wp:effectExtent l="0" t="0" r="0" b="0"/>
            <wp:docPr id="1689121179" name="Gráfico 1">
              <a:extLst xmlns:a="http://schemas.openxmlformats.org/drawingml/2006/main">
                <a:ext uri="{FF2B5EF4-FFF2-40B4-BE49-F238E27FC236}">
                  <a16:creationId xmlns:a16="http://schemas.microsoft.com/office/drawing/2014/main" id="{1E892342-8D30-728B-EFED-42829ABB31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7762D639" w14:textId="4A60B37F" w:rsidR="000B4545" w:rsidRPr="00B450EB" w:rsidRDefault="000B4545" w:rsidP="000B4545">
      <w:pPr>
        <w:jc w:val="center"/>
        <w:rPr>
          <w:rFonts w:eastAsia="Arial" w:cs="Arial"/>
          <w:sz w:val="18"/>
          <w:szCs w:val="18"/>
        </w:rPr>
      </w:pPr>
      <w:r w:rsidRPr="00B450EB">
        <w:rPr>
          <w:rFonts w:eastAsia="Arial" w:cs="Arial"/>
          <w:sz w:val="18"/>
          <w:szCs w:val="18"/>
        </w:rPr>
        <w:t xml:space="preserve">Fuente: </w:t>
      </w:r>
      <w:r w:rsidR="00821B86" w:rsidRPr="00B450EB">
        <w:rPr>
          <w:rFonts w:eastAsia="Arial" w:cs="Arial"/>
          <w:sz w:val="18"/>
          <w:szCs w:val="18"/>
        </w:rPr>
        <w:t>Elaboración propia</w:t>
      </w:r>
      <w:r w:rsidRPr="00B450EB">
        <w:rPr>
          <w:rFonts w:eastAsia="Arial" w:cs="Arial"/>
          <w:sz w:val="18"/>
          <w:szCs w:val="18"/>
        </w:rPr>
        <w:t>, 202</w:t>
      </w:r>
      <w:r w:rsidR="00D203BB" w:rsidRPr="00B450EB">
        <w:rPr>
          <w:rFonts w:eastAsia="Arial" w:cs="Arial"/>
          <w:sz w:val="18"/>
          <w:szCs w:val="18"/>
        </w:rPr>
        <w:t>5 a partir de ANLA, 2025</w:t>
      </w:r>
    </w:p>
    <w:p w14:paraId="25C1532D" w14:textId="00BBE275" w:rsidR="000B4545" w:rsidRPr="00B450EB" w:rsidRDefault="000B4545" w:rsidP="000B4545">
      <w:pPr>
        <w:ind w:left="262"/>
        <w:rPr>
          <w:rFonts w:eastAsia="Arial" w:cs="Arial"/>
        </w:rPr>
      </w:pPr>
      <w:r w:rsidRPr="00B450EB">
        <w:rPr>
          <w:rFonts w:eastAsia="Arial" w:cs="Arial"/>
        </w:rPr>
        <w:t xml:space="preserve">En términos espaciales, y en concordancia con su carácter de reportes ante la </w:t>
      </w:r>
      <w:r w:rsidR="00C63EA1" w:rsidRPr="00B450EB">
        <w:rPr>
          <w:rFonts w:eastAsia="Arial" w:cs="Arial"/>
        </w:rPr>
        <w:t>ANLA</w:t>
      </w:r>
      <w:r w:rsidRPr="00B450EB">
        <w:rPr>
          <w:rFonts w:eastAsia="Arial" w:cs="Arial"/>
        </w:rPr>
        <w:t>, estos se concentran en las áreas licenciadas:</w:t>
      </w:r>
    </w:p>
    <w:p w14:paraId="04A0B29A" w14:textId="0462CE9F" w:rsidR="000B4545" w:rsidRPr="00B450EB" w:rsidRDefault="00927779" w:rsidP="00A02677">
      <w:pPr>
        <w:spacing w:after="0"/>
        <w:jc w:val="center"/>
        <w:rPr>
          <w:rFonts w:cs="Arial"/>
        </w:rPr>
      </w:pPr>
      <w:bookmarkStart w:id="185" w:name="_Toc209462771"/>
      <w:r w:rsidRPr="00B450EB">
        <w:rPr>
          <w:sz w:val="18"/>
          <w:szCs w:val="18"/>
        </w:rPr>
        <w:t xml:space="preserve">Figura </w:t>
      </w:r>
      <w:r w:rsidRPr="00B450EB">
        <w:rPr>
          <w:sz w:val="18"/>
          <w:szCs w:val="18"/>
        </w:rPr>
        <w:fldChar w:fldCharType="begin"/>
      </w:r>
      <w:r w:rsidRPr="00B450EB">
        <w:rPr>
          <w:sz w:val="18"/>
          <w:szCs w:val="18"/>
        </w:rPr>
        <w:instrText xml:space="preserve"> SEQ Figura \* ARABIC </w:instrText>
      </w:r>
      <w:r w:rsidRPr="00B450EB">
        <w:rPr>
          <w:sz w:val="18"/>
          <w:szCs w:val="18"/>
        </w:rPr>
        <w:fldChar w:fldCharType="separate"/>
      </w:r>
      <w:r w:rsidR="00010D09" w:rsidRPr="00B450EB">
        <w:rPr>
          <w:noProof/>
          <w:sz w:val="18"/>
          <w:szCs w:val="18"/>
        </w:rPr>
        <w:t>83</w:t>
      </w:r>
      <w:r w:rsidRPr="00B450EB">
        <w:rPr>
          <w:sz w:val="18"/>
          <w:szCs w:val="18"/>
        </w:rPr>
        <w:fldChar w:fldCharType="end"/>
      </w:r>
      <w:r w:rsidRPr="00B450EB">
        <w:rPr>
          <w:sz w:val="18"/>
          <w:szCs w:val="18"/>
        </w:rPr>
        <w:t xml:space="preserve">. </w:t>
      </w:r>
      <w:r w:rsidRPr="00B450EB">
        <w:rPr>
          <w:rFonts w:eastAsia="Arial" w:cs="Arial"/>
          <w:sz w:val="18"/>
          <w:szCs w:val="18"/>
        </w:rPr>
        <w:t>Distribución espacial de reporte de contingencias ANLA 2016-2025</w:t>
      </w:r>
      <w:r w:rsidR="001A11DD" w:rsidRPr="00B450EB">
        <w:rPr>
          <w:noProof/>
        </w:rPr>
        <w:drawing>
          <wp:inline distT="0" distB="0" distL="0" distR="0" wp14:anchorId="13DE378C" wp14:editId="1726DC81">
            <wp:extent cx="5021580" cy="3881085"/>
            <wp:effectExtent l="0" t="0" r="7620" b="5715"/>
            <wp:docPr id="960048004" name="drawing"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048004" name="drawing" descr="Mapa&#10;&#10;El contenido generado por IA puede ser incorrecto."/>
                    <pic:cNvPicPr/>
                  </pic:nvPicPr>
                  <pic:blipFill>
                    <a:blip r:embed="rId138" cstate="email">
                      <a:extLst>
                        <a:ext uri="{28A0092B-C50C-407E-A947-70E740481C1C}">
                          <a14:useLocalDpi xmlns:a14="http://schemas.microsoft.com/office/drawing/2010/main"/>
                        </a:ext>
                      </a:extLst>
                    </a:blip>
                    <a:stretch>
                      <a:fillRect/>
                    </a:stretch>
                  </pic:blipFill>
                  <pic:spPr>
                    <a:xfrm>
                      <a:off x="0" y="0"/>
                      <a:ext cx="5030664" cy="3888106"/>
                    </a:xfrm>
                    <a:prstGeom prst="rect">
                      <a:avLst/>
                    </a:prstGeom>
                  </pic:spPr>
                </pic:pic>
              </a:graphicData>
            </a:graphic>
          </wp:inline>
        </w:drawing>
      </w:r>
      <w:bookmarkEnd w:id="185"/>
    </w:p>
    <w:p w14:paraId="06E71C9B" w14:textId="26335CA2" w:rsidR="00CC1FAB" w:rsidRPr="00B450EB" w:rsidRDefault="00CC1FAB" w:rsidP="000B4545">
      <w:pPr>
        <w:ind w:left="262"/>
        <w:jc w:val="center"/>
        <w:rPr>
          <w:rFonts w:cs="Arial"/>
          <w:sz w:val="18"/>
          <w:szCs w:val="18"/>
        </w:rPr>
      </w:pPr>
      <w:r w:rsidRPr="00B450EB">
        <w:rPr>
          <w:rFonts w:cs="Arial"/>
          <w:sz w:val="18"/>
          <w:szCs w:val="18"/>
        </w:rPr>
        <w:t>Fuente:</w:t>
      </w:r>
      <w:r w:rsidR="00821B86" w:rsidRPr="00B450EB">
        <w:rPr>
          <w:rFonts w:cs="Arial"/>
          <w:sz w:val="18"/>
          <w:szCs w:val="18"/>
        </w:rPr>
        <w:t xml:space="preserve"> Elaboración propia</w:t>
      </w:r>
      <w:r w:rsidRPr="00B450EB">
        <w:rPr>
          <w:rFonts w:cs="Arial"/>
          <w:sz w:val="18"/>
          <w:szCs w:val="18"/>
        </w:rPr>
        <w:t>,</w:t>
      </w:r>
      <w:r w:rsidR="0021228C" w:rsidRPr="00B450EB">
        <w:rPr>
          <w:rFonts w:cs="Arial"/>
          <w:sz w:val="18"/>
          <w:szCs w:val="18"/>
        </w:rPr>
        <w:t xml:space="preserve"> </w:t>
      </w:r>
      <w:r w:rsidRPr="00B450EB">
        <w:rPr>
          <w:rFonts w:cs="Arial"/>
          <w:sz w:val="18"/>
          <w:szCs w:val="18"/>
        </w:rPr>
        <w:t>2025</w:t>
      </w:r>
      <w:r w:rsidR="00D203BB" w:rsidRPr="00B450EB">
        <w:rPr>
          <w:rFonts w:cs="Arial"/>
          <w:sz w:val="18"/>
          <w:szCs w:val="18"/>
        </w:rPr>
        <w:t xml:space="preserve"> </w:t>
      </w:r>
      <w:r w:rsidR="00D203BB" w:rsidRPr="00B450EB">
        <w:rPr>
          <w:rFonts w:eastAsia="Arial" w:cs="Arial"/>
          <w:sz w:val="18"/>
          <w:szCs w:val="18"/>
        </w:rPr>
        <w:t>a partir de ANLA, 2025</w:t>
      </w:r>
    </w:p>
    <w:p w14:paraId="5BCB9BEE" w14:textId="77777777" w:rsidR="00D203BB" w:rsidRPr="00B450EB" w:rsidRDefault="000B4545" w:rsidP="000B4545">
      <w:pPr>
        <w:rPr>
          <w:rFonts w:cs="Arial"/>
        </w:rPr>
      </w:pPr>
      <w:r w:rsidRPr="00B450EB">
        <w:lastRenderedPageBreak/>
        <w:t>Los</w:t>
      </w:r>
      <w:r w:rsidRPr="00B450EB">
        <w:rPr>
          <w:rFonts w:cs="Arial"/>
        </w:rPr>
        <w:t xml:space="preserve"> expedientes LAM2469 y LAM4174 concentran el mayor número de contingencias reportadas en la región amazónica. El primero registra cerca de un centenar de casos, con un claro predominio de eventos tecnológico-operacionales, lo que lo convierte en el expediente más crítico. El segundo supera las cuarenta contingencias y se caracteriza por la diversidad de orígenes, ya que además de los tecnológicos, presenta casos </w:t>
      </w:r>
      <w:proofErr w:type="spellStart"/>
      <w:r w:rsidRPr="00B450EB">
        <w:rPr>
          <w:rFonts w:cs="Arial"/>
        </w:rPr>
        <w:t>socionaturales</w:t>
      </w:r>
      <w:proofErr w:type="spellEnd"/>
      <w:r w:rsidRPr="00B450EB">
        <w:rPr>
          <w:rFonts w:cs="Arial"/>
        </w:rPr>
        <w:t xml:space="preserve"> y ocasionados por terceros, tanto voluntarios como involuntarios, detallados en la siguiente figura.</w:t>
      </w:r>
    </w:p>
    <w:p w14:paraId="2D29D579" w14:textId="02002E6E" w:rsidR="000B4545" w:rsidRPr="00B450EB" w:rsidRDefault="000B4545" w:rsidP="00D203BB">
      <w:pPr>
        <w:pStyle w:val="Descripcin"/>
        <w:rPr>
          <w:color w:val="auto"/>
        </w:rPr>
      </w:pPr>
      <w:bookmarkStart w:id="186" w:name="_Toc209462772"/>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84</w:t>
      </w:r>
      <w:r w:rsidR="0045353A" w:rsidRPr="00B450EB">
        <w:rPr>
          <w:noProof/>
          <w:color w:val="auto"/>
        </w:rPr>
        <w:fldChar w:fldCharType="end"/>
      </w:r>
      <w:r w:rsidRPr="00B450EB">
        <w:rPr>
          <w:color w:val="auto"/>
        </w:rPr>
        <w:t xml:space="preserve">. Distribución reporte de contingencias por expedientes </w:t>
      </w:r>
      <w:r w:rsidR="0021228C" w:rsidRPr="00B450EB">
        <w:rPr>
          <w:color w:val="auto"/>
        </w:rPr>
        <w:t xml:space="preserve">de la </w:t>
      </w:r>
      <w:r w:rsidRPr="00B450EB">
        <w:rPr>
          <w:color w:val="auto"/>
        </w:rPr>
        <w:t>ANLA</w:t>
      </w:r>
      <w:r w:rsidR="00927779" w:rsidRPr="00B450EB">
        <w:rPr>
          <w:color w:val="auto"/>
        </w:rPr>
        <w:t xml:space="preserve"> entre 2016-2025</w:t>
      </w:r>
      <w:r w:rsidR="000635DA" w:rsidRPr="00B450EB">
        <w:rPr>
          <w:color w:val="auto"/>
        </w:rPr>
        <w:t>.</w:t>
      </w:r>
      <w:bookmarkEnd w:id="186"/>
    </w:p>
    <w:p w14:paraId="52184C29" w14:textId="54DBBBCC" w:rsidR="000B4545" w:rsidRPr="00B450EB" w:rsidRDefault="001A11DD" w:rsidP="000B4545">
      <w:pPr>
        <w:spacing w:after="0"/>
        <w:jc w:val="center"/>
        <w:rPr>
          <w:rFonts w:cs="Arial"/>
        </w:rPr>
      </w:pPr>
      <w:r w:rsidRPr="00B450EB">
        <w:rPr>
          <w:noProof/>
        </w:rPr>
        <w:drawing>
          <wp:inline distT="0" distB="0" distL="0" distR="0" wp14:anchorId="299C9EA1" wp14:editId="7383D584">
            <wp:extent cx="3743325" cy="3562350"/>
            <wp:effectExtent l="0" t="0" r="9525" b="0"/>
            <wp:docPr id="1679931961" name="Gráfico 1">
              <a:extLst xmlns:a="http://schemas.openxmlformats.org/drawingml/2006/main">
                <a:ext uri="{FF2B5EF4-FFF2-40B4-BE49-F238E27FC236}">
                  <a16:creationId xmlns:a16="http://schemas.microsoft.com/office/drawing/2014/main" id="{757DBA95-B572-72BB-2DAA-66F9617555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72CE072B" w14:textId="643BE4B4" w:rsidR="00203F79" w:rsidRPr="00B450EB" w:rsidRDefault="000B4545" w:rsidP="2D2336E7">
      <w:pPr>
        <w:spacing w:after="0"/>
        <w:jc w:val="center"/>
        <w:rPr>
          <w:rFonts w:cs="Arial"/>
          <w:sz w:val="18"/>
          <w:szCs w:val="18"/>
        </w:rPr>
      </w:pPr>
      <w:r w:rsidRPr="00B450EB">
        <w:rPr>
          <w:rFonts w:cs="Arial"/>
          <w:sz w:val="18"/>
          <w:szCs w:val="18"/>
        </w:rPr>
        <w:t xml:space="preserve">Fuente: </w:t>
      </w:r>
      <w:r w:rsidR="000635DA" w:rsidRPr="00B450EB">
        <w:rPr>
          <w:rFonts w:cs="Arial"/>
          <w:sz w:val="18"/>
          <w:szCs w:val="18"/>
        </w:rPr>
        <w:t>elaboración propia</w:t>
      </w:r>
      <w:r w:rsidRPr="00B450EB">
        <w:rPr>
          <w:rFonts w:cs="Arial"/>
          <w:sz w:val="18"/>
          <w:szCs w:val="18"/>
        </w:rPr>
        <w:t>, 2025</w:t>
      </w:r>
      <w:r w:rsidR="000635DA" w:rsidRPr="00B450EB">
        <w:rPr>
          <w:rFonts w:cs="Arial"/>
          <w:sz w:val="18"/>
          <w:szCs w:val="18"/>
        </w:rPr>
        <w:t>.</w:t>
      </w:r>
    </w:p>
    <w:p w14:paraId="6E733469" w14:textId="77777777" w:rsidR="00236703" w:rsidRPr="00B450EB" w:rsidRDefault="00236703" w:rsidP="00236703">
      <w:pPr>
        <w:spacing w:after="0"/>
        <w:rPr>
          <w:rFonts w:cs="Arial"/>
          <w:bCs/>
          <w:sz w:val="18"/>
          <w:szCs w:val="18"/>
        </w:rPr>
      </w:pPr>
    </w:p>
    <w:p w14:paraId="0FD760DB" w14:textId="1CE693C7" w:rsidR="00772531" w:rsidRPr="00B450EB" w:rsidRDefault="00772531" w:rsidP="00772531">
      <w:pPr>
        <w:pStyle w:val="Ttulo4"/>
        <w:numPr>
          <w:ilvl w:val="0"/>
          <w:numId w:val="0"/>
        </w:numPr>
        <w:rPr>
          <w:color w:val="auto"/>
        </w:rPr>
      </w:pPr>
      <w:r w:rsidRPr="00B450EB">
        <w:rPr>
          <w:color w:val="auto"/>
        </w:rPr>
        <w:t xml:space="preserve">Actuaciones Sancionatorias </w:t>
      </w:r>
    </w:p>
    <w:p w14:paraId="5C1E4203" w14:textId="77777777" w:rsidR="00772531" w:rsidRPr="00B450EB" w:rsidRDefault="00772531" w:rsidP="00236703">
      <w:pPr>
        <w:spacing w:after="0"/>
        <w:rPr>
          <w:rFonts w:eastAsia="Arial" w:cs="Arial"/>
          <w:bCs/>
          <w:sz w:val="22"/>
          <w:szCs w:val="22"/>
        </w:rPr>
      </w:pPr>
    </w:p>
    <w:p w14:paraId="49D18D83" w14:textId="7BA3F5EB" w:rsidR="00236703" w:rsidRPr="00B450EB" w:rsidRDefault="00D27EE5" w:rsidP="00236703">
      <w:pPr>
        <w:spacing w:after="0"/>
        <w:rPr>
          <w:rFonts w:eastAsia="Arial" w:cs="Arial"/>
          <w:bCs/>
          <w:sz w:val="22"/>
          <w:szCs w:val="22"/>
        </w:rPr>
      </w:pPr>
      <w:r w:rsidRPr="00B450EB">
        <w:rPr>
          <w:rFonts w:eastAsia="Arial" w:cs="Arial"/>
          <w:bCs/>
          <w:sz w:val="22"/>
          <w:szCs w:val="22"/>
        </w:rPr>
        <w:t xml:space="preserve">En la siguiente tabla se detalla el listado </w:t>
      </w:r>
      <w:r w:rsidR="00333AB3" w:rsidRPr="00B450EB">
        <w:rPr>
          <w:rFonts w:eastAsia="Arial" w:cs="Arial"/>
          <w:sz w:val="22"/>
          <w:szCs w:val="22"/>
        </w:rPr>
        <w:t>d</w:t>
      </w:r>
      <w:r w:rsidRPr="00B450EB">
        <w:rPr>
          <w:rFonts w:eastAsia="Arial" w:cs="Arial"/>
          <w:sz w:val="22"/>
          <w:szCs w:val="22"/>
        </w:rPr>
        <w:t>e</w:t>
      </w:r>
      <w:r w:rsidRPr="00B450EB">
        <w:rPr>
          <w:rFonts w:eastAsia="Arial" w:cs="Arial"/>
          <w:bCs/>
          <w:sz w:val="22"/>
          <w:szCs w:val="22"/>
        </w:rPr>
        <w:t xml:space="preserve"> actuaciones sancionatorias por parte de la ANLA en el sector de hidrocarburos de la Amazonía, con predominio de procesos en curso. Destacándose proyectos reincidentes como </w:t>
      </w:r>
      <w:proofErr w:type="spellStart"/>
      <w:r w:rsidRPr="00B450EB">
        <w:rPr>
          <w:rFonts w:eastAsia="Arial" w:cs="Arial"/>
          <w:bCs/>
          <w:sz w:val="22"/>
          <w:szCs w:val="22"/>
        </w:rPr>
        <w:t>Costayaco</w:t>
      </w:r>
      <w:proofErr w:type="spellEnd"/>
      <w:r w:rsidRPr="00B450EB">
        <w:rPr>
          <w:rFonts w:eastAsia="Arial" w:cs="Arial"/>
          <w:bCs/>
          <w:sz w:val="22"/>
          <w:szCs w:val="22"/>
        </w:rPr>
        <w:t xml:space="preserve"> (LAM4113), Quinde–</w:t>
      </w:r>
      <w:proofErr w:type="spellStart"/>
      <w:r w:rsidRPr="00B450EB">
        <w:rPr>
          <w:rFonts w:eastAsia="Arial" w:cs="Arial"/>
          <w:bCs/>
          <w:sz w:val="22"/>
          <w:szCs w:val="22"/>
        </w:rPr>
        <w:t>Cohembí</w:t>
      </w:r>
      <w:proofErr w:type="spellEnd"/>
      <w:r w:rsidRPr="00B450EB">
        <w:rPr>
          <w:rFonts w:eastAsia="Arial" w:cs="Arial"/>
          <w:bCs/>
          <w:sz w:val="22"/>
          <w:szCs w:val="22"/>
        </w:rPr>
        <w:t>–</w:t>
      </w:r>
      <w:proofErr w:type="spellStart"/>
      <w:r w:rsidRPr="00B450EB">
        <w:rPr>
          <w:rFonts w:eastAsia="Arial" w:cs="Arial"/>
          <w:bCs/>
          <w:sz w:val="22"/>
          <w:szCs w:val="22"/>
        </w:rPr>
        <w:t>Quillacinga</w:t>
      </w:r>
      <w:proofErr w:type="spellEnd"/>
      <w:r w:rsidRPr="00B450EB">
        <w:rPr>
          <w:rFonts w:eastAsia="Arial" w:cs="Arial"/>
          <w:bCs/>
          <w:sz w:val="22"/>
          <w:szCs w:val="22"/>
        </w:rPr>
        <w:t xml:space="preserve"> (LAM4174), </w:t>
      </w:r>
      <w:proofErr w:type="spellStart"/>
      <w:r w:rsidRPr="00B450EB">
        <w:rPr>
          <w:rFonts w:eastAsia="Arial" w:cs="Arial"/>
          <w:bCs/>
          <w:sz w:val="22"/>
          <w:szCs w:val="22"/>
        </w:rPr>
        <w:t>Moquetá</w:t>
      </w:r>
      <w:proofErr w:type="spellEnd"/>
      <w:r w:rsidRPr="00B450EB">
        <w:rPr>
          <w:rFonts w:eastAsia="Arial" w:cs="Arial"/>
          <w:bCs/>
          <w:sz w:val="22"/>
          <w:szCs w:val="22"/>
        </w:rPr>
        <w:t xml:space="preserve"> (LAM6356), Platanillo (LAM4609) y las áreas operativas de la Gerencia Sur de Ecopetrol (LAM2469). En estos casos se observa una sucesión de autos de apertura de investigación, negación o decreto de pruebas y pliegos de cargos, lo que refleja la intensificación de aperturas y pliegos entre 2022 y 2025 </w:t>
      </w:r>
      <w:r w:rsidR="009F3332" w:rsidRPr="00B450EB">
        <w:rPr>
          <w:rFonts w:eastAsia="Arial" w:cs="Arial"/>
          <w:bCs/>
          <w:sz w:val="22"/>
          <w:szCs w:val="22"/>
        </w:rPr>
        <w:t xml:space="preserve">que </w:t>
      </w:r>
      <w:r w:rsidRPr="00B450EB">
        <w:rPr>
          <w:rFonts w:eastAsia="Arial" w:cs="Arial"/>
          <w:bCs/>
          <w:sz w:val="22"/>
          <w:szCs w:val="22"/>
        </w:rPr>
        <w:t>evidencia una tendencia creciente de hallazgos y conflictos regulatorios.</w:t>
      </w:r>
    </w:p>
    <w:p w14:paraId="0E6A3C05" w14:textId="77777777" w:rsidR="00D27EE5" w:rsidRPr="00B450EB" w:rsidRDefault="00D27EE5" w:rsidP="00236703">
      <w:pPr>
        <w:spacing w:after="0"/>
        <w:rPr>
          <w:rFonts w:eastAsia="Arial" w:cs="Arial"/>
          <w:b/>
          <w:sz w:val="22"/>
          <w:szCs w:val="22"/>
        </w:rPr>
      </w:pPr>
    </w:p>
    <w:p w14:paraId="2D3CC107" w14:textId="73B7D1D6" w:rsidR="00816760" w:rsidRPr="00B450EB" w:rsidRDefault="00816760" w:rsidP="00816760">
      <w:pPr>
        <w:pStyle w:val="Descripcin"/>
        <w:keepNext/>
      </w:pPr>
      <w:bookmarkStart w:id="187" w:name="_Toc209723006"/>
      <w:r w:rsidRPr="00B450EB">
        <w:lastRenderedPageBreak/>
        <w:t xml:space="preserve">Tabla </w:t>
      </w:r>
      <w:fldSimple w:instr=" SEQ Tabla \* ARABIC ">
        <w:r w:rsidR="00BC4A10" w:rsidRPr="00B450EB">
          <w:rPr>
            <w:noProof/>
          </w:rPr>
          <w:t>23</w:t>
        </w:r>
      </w:fldSimple>
      <w:r w:rsidRPr="00B450EB">
        <w:t>. Listado de Sancionatorios activos de proyectos licenciados por la ANLA</w:t>
      </w:r>
      <w:bookmarkEnd w:id="187"/>
    </w:p>
    <w:tbl>
      <w:tblPr>
        <w:tblW w:w="10060" w:type="dxa"/>
        <w:jc w:val="center"/>
        <w:tblCellMar>
          <w:left w:w="70" w:type="dxa"/>
          <w:right w:w="70" w:type="dxa"/>
        </w:tblCellMar>
        <w:tblLook w:val="04A0" w:firstRow="1" w:lastRow="0" w:firstColumn="1" w:lastColumn="0" w:noHBand="0" w:noVBand="1"/>
      </w:tblPr>
      <w:tblGrid>
        <w:gridCol w:w="1129"/>
        <w:gridCol w:w="2104"/>
        <w:gridCol w:w="1522"/>
        <w:gridCol w:w="5305"/>
      </w:tblGrid>
      <w:tr w:rsidR="00BF017B" w:rsidRPr="00B450EB" w14:paraId="4F40B992" w14:textId="77777777" w:rsidTr="009F3332">
        <w:trPr>
          <w:trHeight w:val="288"/>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D9F2D0" w:themeFill="accent6" w:themeFillTint="33"/>
            <w:noWrap/>
            <w:vAlign w:val="center"/>
            <w:hideMark/>
          </w:tcPr>
          <w:p w14:paraId="31370DA1" w14:textId="77777777" w:rsidR="00BF017B" w:rsidRPr="00B450EB" w:rsidRDefault="00BF017B" w:rsidP="00BF017B">
            <w:pPr>
              <w:spacing w:after="0" w:line="240" w:lineRule="auto"/>
              <w:jc w:val="center"/>
              <w:rPr>
                <w:rFonts w:eastAsia="Times New Roman" w:cs="Arial"/>
                <w:b/>
                <w:bCs/>
                <w:color w:val="000000"/>
                <w:kern w:val="0"/>
                <w:sz w:val="18"/>
                <w:szCs w:val="18"/>
                <w:lang w:eastAsia="es-CO"/>
                <w14:ligatures w14:val="none"/>
              </w:rPr>
            </w:pPr>
            <w:r w:rsidRPr="00B450EB">
              <w:rPr>
                <w:rFonts w:eastAsia="Times New Roman" w:cs="Arial"/>
                <w:b/>
                <w:bCs/>
                <w:color w:val="000000"/>
                <w:kern w:val="0"/>
                <w:sz w:val="18"/>
                <w:szCs w:val="18"/>
                <w:lang w:eastAsia="es-CO"/>
                <w14:ligatures w14:val="none"/>
              </w:rPr>
              <w:t>Expediente Permisivo</w:t>
            </w:r>
          </w:p>
        </w:tc>
        <w:tc>
          <w:tcPr>
            <w:tcW w:w="2104" w:type="dxa"/>
            <w:tcBorders>
              <w:top w:val="single" w:sz="4" w:space="0" w:color="auto"/>
              <w:left w:val="nil"/>
              <w:bottom w:val="single" w:sz="4" w:space="0" w:color="auto"/>
              <w:right w:val="single" w:sz="4" w:space="0" w:color="auto"/>
            </w:tcBorders>
            <w:shd w:val="clear" w:color="auto" w:fill="D9F2D0" w:themeFill="accent6" w:themeFillTint="33"/>
            <w:vAlign w:val="center"/>
            <w:hideMark/>
          </w:tcPr>
          <w:p w14:paraId="2812B833" w14:textId="77777777" w:rsidR="00BF017B" w:rsidRPr="00B450EB" w:rsidRDefault="00BF017B" w:rsidP="00BF017B">
            <w:pPr>
              <w:spacing w:after="0" w:line="240" w:lineRule="auto"/>
              <w:jc w:val="center"/>
              <w:rPr>
                <w:rFonts w:eastAsia="Times New Roman" w:cs="Arial"/>
                <w:b/>
                <w:bCs/>
                <w:color w:val="000000"/>
                <w:kern w:val="0"/>
                <w:sz w:val="18"/>
                <w:szCs w:val="18"/>
                <w:lang w:eastAsia="es-CO"/>
                <w14:ligatures w14:val="none"/>
              </w:rPr>
            </w:pPr>
            <w:r w:rsidRPr="00B450EB">
              <w:rPr>
                <w:rFonts w:eastAsia="Times New Roman" w:cs="Arial"/>
                <w:b/>
                <w:bCs/>
                <w:color w:val="000000"/>
                <w:kern w:val="0"/>
                <w:sz w:val="18"/>
                <w:szCs w:val="18"/>
                <w:lang w:eastAsia="es-CO"/>
                <w14:ligatures w14:val="none"/>
              </w:rPr>
              <w:t>Proyecto</w:t>
            </w:r>
          </w:p>
        </w:tc>
        <w:tc>
          <w:tcPr>
            <w:tcW w:w="1522"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713146C7" w14:textId="77777777" w:rsidR="00BF017B" w:rsidRPr="00B450EB" w:rsidRDefault="00BF017B" w:rsidP="00BF017B">
            <w:pPr>
              <w:spacing w:after="0" w:line="240" w:lineRule="auto"/>
              <w:jc w:val="center"/>
              <w:rPr>
                <w:rFonts w:eastAsia="Times New Roman" w:cs="Arial"/>
                <w:b/>
                <w:bCs/>
                <w:color w:val="000000"/>
                <w:kern w:val="0"/>
                <w:sz w:val="18"/>
                <w:szCs w:val="18"/>
                <w:lang w:eastAsia="es-CO"/>
                <w14:ligatures w14:val="none"/>
              </w:rPr>
            </w:pPr>
            <w:r w:rsidRPr="00B450EB">
              <w:rPr>
                <w:rFonts w:eastAsia="Times New Roman" w:cs="Arial"/>
                <w:b/>
                <w:bCs/>
                <w:color w:val="000000"/>
                <w:kern w:val="0"/>
                <w:sz w:val="18"/>
                <w:szCs w:val="18"/>
                <w:lang w:eastAsia="es-CO"/>
                <w14:ligatures w14:val="none"/>
              </w:rPr>
              <w:t>Expediente Sancionatorio</w:t>
            </w:r>
          </w:p>
        </w:tc>
        <w:tc>
          <w:tcPr>
            <w:tcW w:w="5305"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0A7540B9" w14:textId="77777777" w:rsidR="00BF017B" w:rsidRPr="00B450EB" w:rsidRDefault="00BF017B" w:rsidP="00BF017B">
            <w:pPr>
              <w:spacing w:after="0" w:line="240" w:lineRule="auto"/>
              <w:jc w:val="center"/>
              <w:rPr>
                <w:rFonts w:eastAsia="Times New Roman" w:cs="Arial"/>
                <w:b/>
                <w:bCs/>
                <w:color w:val="000000"/>
                <w:kern w:val="0"/>
                <w:sz w:val="18"/>
                <w:szCs w:val="18"/>
                <w:lang w:eastAsia="es-CO"/>
                <w14:ligatures w14:val="none"/>
              </w:rPr>
            </w:pPr>
            <w:r w:rsidRPr="00B450EB">
              <w:rPr>
                <w:rFonts w:eastAsia="Times New Roman" w:cs="Arial"/>
                <w:b/>
                <w:bCs/>
                <w:color w:val="000000"/>
                <w:kern w:val="0"/>
                <w:sz w:val="18"/>
                <w:szCs w:val="18"/>
                <w:lang w:eastAsia="es-CO"/>
                <w14:ligatures w14:val="none"/>
              </w:rPr>
              <w:t>Ultima Actuación Procesal</w:t>
            </w:r>
          </w:p>
        </w:tc>
      </w:tr>
      <w:tr w:rsidR="00BF017B" w:rsidRPr="00B450EB" w14:paraId="2F6C8713"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011BF102"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LAM0199</w:t>
            </w:r>
          </w:p>
        </w:tc>
        <w:tc>
          <w:tcPr>
            <w:tcW w:w="2104" w:type="dxa"/>
            <w:vMerge w:val="restart"/>
            <w:tcBorders>
              <w:top w:val="nil"/>
              <w:left w:val="single" w:sz="4" w:space="0" w:color="auto"/>
              <w:bottom w:val="single" w:sz="4" w:space="0" w:color="auto"/>
              <w:right w:val="single" w:sz="4" w:space="0" w:color="auto"/>
            </w:tcBorders>
            <w:vAlign w:val="center"/>
            <w:hideMark/>
          </w:tcPr>
          <w:p w14:paraId="27F97A79" w14:textId="77F7015F"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Área De Perforación Exploratoria - </w:t>
            </w:r>
            <w:proofErr w:type="spellStart"/>
            <w:r w:rsidRPr="00B450EB">
              <w:rPr>
                <w:rFonts w:eastAsia="Times New Roman" w:cs="Arial"/>
                <w:color w:val="000000"/>
                <w:kern w:val="0"/>
                <w:sz w:val="18"/>
                <w:szCs w:val="18"/>
                <w:lang w:eastAsia="es-CO"/>
                <w14:ligatures w14:val="none"/>
              </w:rPr>
              <w:t>Ape</w:t>
            </w:r>
            <w:proofErr w:type="spellEnd"/>
            <w:r w:rsidRPr="00B450EB">
              <w:rPr>
                <w:rFonts w:eastAsia="Times New Roman" w:cs="Arial"/>
                <w:color w:val="000000"/>
                <w:kern w:val="0"/>
                <w:sz w:val="18"/>
                <w:szCs w:val="18"/>
                <w:lang w:eastAsia="es-CO"/>
                <w14:ligatures w14:val="none"/>
              </w:rPr>
              <w:t xml:space="preserve"> </w:t>
            </w:r>
            <w:proofErr w:type="spellStart"/>
            <w:r w:rsidRPr="00B450EB">
              <w:rPr>
                <w:rFonts w:eastAsia="Times New Roman" w:cs="Arial"/>
                <w:color w:val="000000"/>
                <w:kern w:val="0"/>
                <w:sz w:val="18"/>
                <w:szCs w:val="18"/>
                <w:lang w:eastAsia="es-CO"/>
                <w14:ligatures w14:val="none"/>
              </w:rPr>
              <w:t>Nyctibius</w:t>
            </w:r>
            <w:proofErr w:type="spellEnd"/>
            <w:r w:rsidRPr="00B450EB">
              <w:rPr>
                <w:rFonts w:eastAsia="Times New Roman" w:cs="Arial"/>
                <w:color w:val="000000"/>
                <w:kern w:val="0"/>
                <w:sz w:val="18"/>
                <w:szCs w:val="18"/>
                <w:lang w:eastAsia="es-CO"/>
                <w14:ligatures w14:val="none"/>
              </w:rPr>
              <w:t xml:space="preserve">, Bloque </w:t>
            </w:r>
            <w:proofErr w:type="spellStart"/>
            <w:r w:rsidRPr="00B450EB">
              <w:rPr>
                <w:rFonts w:eastAsia="Times New Roman" w:cs="Arial"/>
                <w:color w:val="000000"/>
                <w:kern w:val="0"/>
                <w:sz w:val="18"/>
                <w:szCs w:val="18"/>
                <w:lang w:eastAsia="es-CO"/>
                <w14:ligatures w14:val="none"/>
              </w:rPr>
              <w:t>Put</w:t>
            </w:r>
            <w:proofErr w:type="spellEnd"/>
            <w:r w:rsidRPr="00B450EB">
              <w:rPr>
                <w:rFonts w:eastAsia="Times New Roman" w:cs="Arial"/>
                <w:color w:val="000000"/>
                <w:kern w:val="0"/>
                <w:sz w:val="18"/>
                <w:szCs w:val="18"/>
                <w:lang w:eastAsia="es-CO"/>
                <w14:ligatures w14:val="none"/>
              </w:rPr>
              <w:t xml:space="preserve"> 8</w:t>
            </w:r>
          </w:p>
        </w:tc>
        <w:tc>
          <w:tcPr>
            <w:tcW w:w="1522" w:type="dxa"/>
            <w:tcBorders>
              <w:top w:val="nil"/>
              <w:left w:val="nil"/>
              <w:bottom w:val="single" w:sz="4" w:space="0" w:color="auto"/>
              <w:right w:val="single" w:sz="4" w:space="0" w:color="auto"/>
            </w:tcBorders>
            <w:shd w:val="clear" w:color="000000" w:fill="FFFFFF"/>
            <w:noWrap/>
            <w:vAlign w:val="center"/>
            <w:hideMark/>
          </w:tcPr>
          <w:p w14:paraId="28DC35E6"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SAN0065-00-2018</w:t>
            </w:r>
          </w:p>
        </w:tc>
        <w:tc>
          <w:tcPr>
            <w:tcW w:w="5305" w:type="dxa"/>
            <w:tcBorders>
              <w:top w:val="nil"/>
              <w:left w:val="nil"/>
              <w:bottom w:val="single" w:sz="4" w:space="0" w:color="auto"/>
              <w:right w:val="single" w:sz="4" w:space="0" w:color="auto"/>
            </w:tcBorders>
            <w:noWrap/>
            <w:vAlign w:val="center"/>
            <w:hideMark/>
          </w:tcPr>
          <w:p w14:paraId="230C718A" w14:textId="56C2317B"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r w:rsidR="00333AB3" w:rsidRPr="00B450EB">
              <w:rPr>
                <w:rFonts w:eastAsia="Times New Roman" w:cs="Arial"/>
                <w:color w:val="000000"/>
                <w:kern w:val="0"/>
                <w:sz w:val="18"/>
                <w:szCs w:val="18"/>
                <w:lang w:eastAsia="es-CO"/>
                <w14:ligatures w14:val="none"/>
              </w:rPr>
              <w:t>o</w:t>
            </w:r>
            <w:r w:rsidRPr="00B450EB">
              <w:rPr>
                <w:rFonts w:eastAsia="Times New Roman" w:cs="Arial"/>
                <w:color w:val="000000"/>
                <w:kern w:val="0"/>
                <w:sz w:val="18"/>
                <w:szCs w:val="18"/>
                <w:lang w:eastAsia="es-CO"/>
                <w14:ligatures w14:val="none"/>
              </w:rPr>
              <w:t xml:space="preserve"> niega pruebas No. 9588 del 27 de octubre de 2022</w:t>
            </w:r>
          </w:p>
        </w:tc>
      </w:tr>
      <w:tr w:rsidR="00BF017B" w:rsidRPr="00B450EB" w14:paraId="3D907553"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7186AE1E"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56D29EA9"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691D8EE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SAN0142-00-2018</w:t>
            </w:r>
          </w:p>
        </w:tc>
        <w:tc>
          <w:tcPr>
            <w:tcW w:w="5305" w:type="dxa"/>
            <w:tcBorders>
              <w:top w:val="nil"/>
              <w:left w:val="nil"/>
              <w:bottom w:val="single" w:sz="4" w:space="0" w:color="auto"/>
              <w:right w:val="single" w:sz="4" w:space="0" w:color="auto"/>
            </w:tcBorders>
            <w:noWrap/>
            <w:vAlign w:val="center"/>
            <w:hideMark/>
          </w:tcPr>
          <w:p w14:paraId="2DFF7DF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10863 del 13 de noviembre de 2020</w:t>
            </w:r>
          </w:p>
        </w:tc>
      </w:tr>
      <w:tr w:rsidR="00BF017B" w:rsidRPr="00B450EB" w14:paraId="523F97C9"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69F1D002"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7CC5DB47"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4D7A2AFA"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SAN0058-00-2023</w:t>
            </w:r>
          </w:p>
        </w:tc>
        <w:tc>
          <w:tcPr>
            <w:tcW w:w="5305" w:type="dxa"/>
            <w:tcBorders>
              <w:top w:val="nil"/>
              <w:left w:val="nil"/>
              <w:bottom w:val="single" w:sz="4" w:space="0" w:color="auto"/>
              <w:right w:val="single" w:sz="4" w:space="0" w:color="auto"/>
            </w:tcBorders>
            <w:noWrap/>
            <w:vAlign w:val="center"/>
            <w:hideMark/>
          </w:tcPr>
          <w:p w14:paraId="62CFA02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3487 del 17 de mayo de 2023</w:t>
            </w:r>
          </w:p>
        </w:tc>
      </w:tr>
      <w:tr w:rsidR="00BF017B" w:rsidRPr="00B450EB" w14:paraId="61A5C6B3"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6CAEECE2"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LAM0533</w:t>
            </w:r>
          </w:p>
        </w:tc>
        <w:tc>
          <w:tcPr>
            <w:tcW w:w="2104" w:type="dxa"/>
            <w:vMerge w:val="restart"/>
            <w:tcBorders>
              <w:top w:val="nil"/>
              <w:left w:val="single" w:sz="4" w:space="0" w:color="auto"/>
              <w:bottom w:val="single" w:sz="4" w:space="0" w:color="auto"/>
              <w:right w:val="single" w:sz="4" w:space="0" w:color="auto"/>
            </w:tcBorders>
            <w:vAlign w:val="center"/>
            <w:hideMark/>
          </w:tcPr>
          <w:p w14:paraId="0DC28567" w14:textId="475A78FE"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Bloque Rio Putumayo (Fase </w:t>
            </w:r>
            <w:proofErr w:type="spellStart"/>
            <w:r w:rsidRPr="00B450EB">
              <w:rPr>
                <w:rFonts w:eastAsia="Times New Roman" w:cs="Arial"/>
                <w:color w:val="000000"/>
                <w:kern w:val="0"/>
                <w:sz w:val="18"/>
                <w:szCs w:val="18"/>
                <w:lang w:eastAsia="es-CO"/>
                <w14:ligatures w14:val="none"/>
              </w:rPr>
              <w:t>Perforacion</w:t>
            </w:r>
            <w:proofErr w:type="spellEnd"/>
            <w:r w:rsidRPr="00B450EB">
              <w:rPr>
                <w:rFonts w:eastAsia="Times New Roman" w:cs="Arial"/>
                <w:color w:val="000000"/>
                <w:kern w:val="0"/>
                <w:sz w:val="18"/>
                <w:szCs w:val="18"/>
                <w:lang w:eastAsia="es-CO"/>
                <w14:ligatures w14:val="none"/>
              </w:rPr>
              <w:t xml:space="preserve"> </w:t>
            </w:r>
            <w:proofErr w:type="gramStart"/>
            <w:r w:rsidRPr="00B450EB">
              <w:rPr>
                <w:rFonts w:eastAsia="Times New Roman" w:cs="Arial"/>
                <w:color w:val="000000"/>
                <w:kern w:val="0"/>
                <w:sz w:val="18"/>
                <w:szCs w:val="18"/>
                <w:lang w:eastAsia="es-CO"/>
                <w14:ligatures w14:val="none"/>
              </w:rPr>
              <w:t>Exploratoria )</w:t>
            </w:r>
            <w:proofErr w:type="gramEnd"/>
          </w:p>
        </w:tc>
        <w:tc>
          <w:tcPr>
            <w:tcW w:w="1522" w:type="dxa"/>
            <w:tcBorders>
              <w:top w:val="nil"/>
              <w:left w:val="nil"/>
              <w:bottom w:val="single" w:sz="4" w:space="0" w:color="auto"/>
              <w:right w:val="single" w:sz="4" w:space="0" w:color="auto"/>
            </w:tcBorders>
            <w:shd w:val="clear" w:color="000000" w:fill="FFFFFF"/>
            <w:noWrap/>
            <w:vAlign w:val="center"/>
            <w:hideMark/>
          </w:tcPr>
          <w:p w14:paraId="7A847816"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SAN0115-00-2017</w:t>
            </w:r>
          </w:p>
        </w:tc>
        <w:tc>
          <w:tcPr>
            <w:tcW w:w="5305" w:type="dxa"/>
            <w:tcBorders>
              <w:top w:val="nil"/>
              <w:left w:val="nil"/>
              <w:bottom w:val="single" w:sz="4" w:space="0" w:color="auto"/>
              <w:right w:val="single" w:sz="4" w:space="0" w:color="auto"/>
            </w:tcBorders>
            <w:noWrap/>
            <w:vAlign w:val="center"/>
            <w:hideMark/>
          </w:tcPr>
          <w:p w14:paraId="46FFE29F"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que formula pliego de cargos No. 10875 del 6 de diciembre de 2024</w:t>
            </w:r>
          </w:p>
        </w:tc>
      </w:tr>
      <w:tr w:rsidR="00BF017B" w:rsidRPr="00B450EB" w14:paraId="624BB3B2"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2FC4B22C"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27F4001A"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shd w:val="clear" w:color="000000" w:fill="FFFFFF"/>
            <w:noWrap/>
            <w:vAlign w:val="center"/>
            <w:hideMark/>
          </w:tcPr>
          <w:p w14:paraId="56B4AF2C"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SAN0144-00-2024</w:t>
            </w:r>
          </w:p>
        </w:tc>
        <w:tc>
          <w:tcPr>
            <w:tcW w:w="5305" w:type="dxa"/>
            <w:tcBorders>
              <w:top w:val="nil"/>
              <w:left w:val="nil"/>
              <w:bottom w:val="single" w:sz="4" w:space="0" w:color="auto"/>
              <w:right w:val="single" w:sz="4" w:space="0" w:color="auto"/>
            </w:tcBorders>
            <w:noWrap/>
            <w:vAlign w:val="center"/>
            <w:hideMark/>
          </w:tcPr>
          <w:p w14:paraId="6CB120F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4778 del 26 de junio de 2024</w:t>
            </w:r>
          </w:p>
        </w:tc>
      </w:tr>
      <w:tr w:rsidR="00BF017B" w:rsidRPr="00B450EB" w14:paraId="1665B99D" w14:textId="77777777" w:rsidTr="002758C2">
        <w:trPr>
          <w:trHeight w:val="386"/>
          <w:jc w:val="center"/>
        </w:trPr>
        <w:tc>
          <w:tcPr>
            <w:tcW w:w="1129" w:type="dxa"/>
            <w:tcBorders>
              <w:top w:val="nil"/>
              <w:left w:val="single" w:sz="4" w:space="0" w:color="auto"/>
              <w:bottom w:val="single" w:sz="4" w:space="0" w:color="auto"/>
              <w:right w:val="single" w:sz="4" w:space="0" w:color="auto"/>
            </w:tcBorders>
            <w:noWrap/>
            <w:vAlign w:val="center"/>
            <w:hideMark/>
          </w:tcPr>
          <w:p w14:paraId="0D39A496"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LAM0542</w:t>
            </w:r>
          </w:p>
        </w:tc>
        <w:tc>
          <w:tcPr>
            <w:tcW w:w="2104" w:type="dxa"/>
            <w:tcBorders>
              <w:top w:val="nil"/>
              <w:left w:val="nil"/>
              <w:bottom w:val="single" w:sz="4" w:space="0" w:color="auto"/>
              <w:right w:val="single" w:sz="4" w:space="0" w:color="auto"/>
            </w:tcBorders>
            <w:vAlign w:val="center"/>
            <w:hideMark/>
          </w:tcPr>
          <w:p w14:paraId="776BB7B3" w14:textId="614322DB"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Proyecto De Perforación Exploratoria En El Bloque San Juan, De Los Pozos Exploratorios Pegaso-1, Troyano 1 Y Unicornio-1.</w:t>
            </w:r>
          </w:p>
        </w:tc>
        <w:tc>
          <w:tcPr>
            <w:tcW w:w="1522" w:type="dxa"/>
            <w:tcBorders>
              <w:top w:val="nil"/>
              <w:left w:val="nil"/>
              <w:bottom w:val="single" w:sz="4" w:space="0" w:color="auto"/>
              <w:right w:val="single" w:sz="4" w:space="0" w:color="auto"/>
            </w:tcBorders>
            <w:shd w:val="clear" w:color="000000" w:fill="FFFFFF"/>
            <w:noWrap/>
            <w:vAlign w:val="center"/>
            <w:hideMark/>
          </w:tcPr>
          <w:p w14:paraId="7A734A7B"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SAN0265-00-2020</w:t>
            </w:r>
          </w:p>
        </w:tc>
        <w:tc>
          <w:tcPr>
            <w:tcW w:w="5305" w:type="dxa"/>
            <w:tcBorders>
              <w:top w:val="nil"/>
              <w:left w:val="nil"/>
              <w:bottom w:val="single" w:sz="4" w:space="0" w:color="auto"/>
              <w:right w:val="single" w:sz="4" w:space="0" w:color="auto"/>
            </w:tcBorders>
            <w:noWrap/>
            <w:vAlign w:val="center"/>
            <w:hideMark/>
          </w:tcPr>
          <w:p w14:paraId="33FD45A6"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1124 del 28 de febrero de 2023</w:t>
            </w:r>
          </w:p>
        </w:tc>
      </w:tr>
      <w:tr w:rsidR="00BF017B" w:rsidRPr="00B450EB" w14:paraId="25750A3A"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578E7A60"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LAM2469</w:t>
            </w:r>
          </w:p>
        </w:tc>
        <w:tc>
          <w:tcPr>
            <w:tcW w:w="2104" w:type="dxa"/>
            <w:vMerge w:val="restart"/>
            <w:tcBorders>
              <w:top w:val="nil"/>
              <w:left w:val="single" w:sz="4" w:space="0" w:color="auto"/>
              <w:bottom w:val="single" w:sz="4" w:space="0" w:color="auto"/>
              <w:right w:val="single" w:sz="4" w:space="0" w:color="auto"/>
            </w:tcBorders>
            <w:vAlign w:val="center"/>
            <w:hideMark/>
          </w:tcPr>
          <w:p w14:paraId="0FF99383" w14:textId="107A0DFC"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Desarrollo Y Operación De Las Áreas Operativas De La Gerencia Sur (Orito – Sur – Occidente – Nororiente), Área Operativa Occidente – Polígono Occidente Norte</w:t>
            </w:r>
          </w:p>
        </w:tc>
        <w:tc>
          <w:tcPr>
            <w:tcW w:w="1522" w:type="dxa"/>
            <w:tcBorders>
              <w:top w:val="nil"/>
              <w:left w:val="nil"/>
              <w:bottom w:val="single" w:sz="4" w:space="0" w:color="auto"/>
              <w:right w:val="single" w:sz="4" w:space="0" w:color="auto"/>
            </w:tcBorders>
            <w:shd w:val="clear" w:color="000000" w:fill="FFFFFF"/>
            <w:noWrap/>
            <w:vAlign w:val="center"/>
            <w:hideMark/>
          </w:tcPr>
          <w:p w14:paraId="749CCBDF"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SAN0021-00-2020</w:t>
            </w:r>
          </w:p>
        </w:tc>
        <w:tc>
          <w:tcPr>
            <w:tcW w:w="5305" w:type="dxa"/>
            <w:tcBorders>
              <w:top w:val="nil"/>
              <w:left w:val="nil"/>
              <w:bottom w:val="single" w:sz="4" w:space="0" w:color="auto"/>
              <w:right w:val="single" w:sz="4" w:space="0" w:color="auto"/>
            </w:tcBorders>
            <w:noWrap/>
            <w:vAlign w:val="center"/>
            <w:hideMark/>
          </w:tcPr>
          <w:p w14:paraId="3E462E8F"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3507 del 27 de abril de 2020</w:t>
            </w:r>
          </w:p>
        </w:tc>
      </w:tr>
      <w:tr w:rsidR="00BF017B" w:rsidRPr="00B450EB" w14:paraId="30AC6339"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16162A97"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6B6C9C53"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40B6023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SAN0055-00-2023</w:t>
            </w:r>
          </w:p>
        </w:tc>
        <w:tc>
          <w:tcPr>
            <w:tcW w:w="5305" w:type="dxa"/>
            <w:tcBorders>
              <w:top w:val="nil"/>
              <w:left w:val="nil"/>
              <w:bottom w:val="single" w:sz="4" w:space="0" w:color="auto"/>
              <w:right w:val="single" w:sz="4" w:space="0" w:color="auto"/>
            </w:tcBorders>
            <w:noWrap/>
            <w:vAlign w:val="center"/>
            <w:hideMark/>
          </w:tcPr>
          <w:p w14:paraId="217F6E0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Resolución que niega levantamiento medida preventiva No. 1955 del 5 de septiembre de 2024</w:t>
            </w:r>
          </w:p>
        </w:tc>
      </w:tr>
      <w:tr w:rsidR="00BF017B" w:rsidRPr="00B450EB" w14:paraId="3DEE37E3"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60675E64"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789D169D"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shd w:val="clear" w:color="000000" w:fill="FFFFFF"/>
            <w:noWrap/>
            <w:vAlign w:val="center"/>
            <w:hideMark/>
          </w:tcPr>
          <w:p w14:paraId="3D7981A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SAN0129-00-2024</w:t>
            </w:r>
          </w:p>
        </w:tc>
        <w:tc>
          <w:tcPr>
            <w:tcW w:w="5305" w:type="dxa"/>
            <w:tcBorders>
              <w:top w:val="nil"/>
              <w:left w:val="nil"/>
              <w:bottom w:val="single" w:sz="4" w:space="0" w:color="auto"/>
              <w:right w:val="single" w:sz="4" w:space="0" w:color="auto"/>
            </w:tcBorders>
            <w:noWrap/>
            <w:vAlign w:val="center"/>
            <w:hideMark/>
          </w:tcPr>
          <w:p w14:paraId="796F4D1D"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que formula pliego de cargos No. 1065 del 26 de febrero de 2025</w:t>
            </w:r>
          </w:p>
        </w:tc>
      </w:tr>
      <w:tr w:rsidR="00BF017B" w:rsidRPr="00B450EB" w14:paraId="1A7BA4A6"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76E2DE19"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786F4EBA"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shd w:val="clear" w:color="000000" w:fill="FFFFFF"/>
            <w:noWrap/>
            <w:vAlign w:val="center"/>
            <w:hideMark/>
          </w:tcPr>
          <w:p w14:paraId="612C3A4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SAN0317-00-2024</w:t>
            </w:r>
          </w:p>
        </w:tc>
        <w:tc>
          <w:tcPr>
            <w:tcW w:w="5305" w:type="dxa"/>
            <w:tcBorders>
              <w:top w:val="nil"/>
              <w:left w:val="nil"/>
              <w:bottom w:val="single" w:sz="4" w:space="0" w:color="auto"/>
              <w:right w:val="single" w:sz="4" w:space="0" w:color="auto"/>
            </w:tcBorders>
            <w:noWrap/>
            <w:vAlign w:val="center"/>
            <w:hideMark/>
          </w:tcPr>
          <w:p w14:paraId="78C436EA"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11367 del 19 de diciembre de 2024</w:t>
            </w:r>
          </w:p>
        </w:tc>
      </w:tr>
      <w:tr w:rsidR="00BF017B" w:rsidRPr="00B450EB" w14:paraId="302E86E0" w14:textId="77777777" w:rsidTr="009F3332">
        <w:trPr>
          <w:trHeight w:val="684"/>
          <w:jc w:val="center"/>
        </w:trPr>
        <w:tc>
          <w:tcPr>
            <w:tcW w:w="1129" w:type="dxa"/>
            <w:tcBorders>
              <w:top w:val="nil"/>
              <w:left w:val="single" w:sz="4" w:space="0" w:color="auto"/>
              <w:bottom w:val="single" w:sz="4" w:space="0" w:color="auto"/>
              <w:right w:val="single" w:sz="4" w:space="0" w:color="auto"/>
            </w:tcBorders>
            <w:noWrap/>
            <w:vAlign w:val="center"/>
            <w:hideMark/>
          </w:tcPr>
          <w:p w14:paraId="14682EAD"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LAM2940</w:t>
            </w:r>
          </w:p>
        </w:tc>
        <w:tc>
          <w:tcPr>
            <w:tcW w:w="2104" w:type="dxa"/>
            <w:tcBorders>
              <w:top w:val="nil"/>
              <w:left w:val="nil"/>
              <w:bottom w:val="single" w:sz="4" w:space="0" w:color="auto"/>
              <w:right w:val="single" w:sz="4" w:space="0" w:color="auto"/>
            </w:tcBorders>
            <w:vAlign w:val="center"/>
            <w:hideMark/>
          </w:tcPr>
          <w:p w14:paraId="7BD3696D" w14:textId="3A18153B"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proofErr w:type="spellStart"/>
            <w:r w:rsidRPr="00B450EB">
              <w:rPr>
                <w:rFonts w:eastAsia="Times New Roman" w:cs="Arial"/>
                <w:color w:val="000000"/>
                <w:kern w:val="0"/>
                <w:sz w:val="18"/>
                <w:szCs w:val="18"/>
                <w:lang w:eastAsia="es-CO"/>
                <w14:ligatures w14:val="none"/>
              </w:rPr>
              <w:t>Area</w:t>
            </w:r>
            <w:proofErr w:type="spellEnd"/>
            <w:r w:rsidRPr="00B450EB">
              <w:rPr>
                <w:rFonts w:eastAsia="Times New Roman" w:cs="Arial"/>
                <w:color w:val="000000"/>
                <w:kern w:val="0"/>
                <w:sz w:val="18"/>
                <w:szCs w:val="18"/>
                <w:lang w:eastAsia="es-CO"/>
                <w14:ligatures w14:val="none"/>
              </w:rPr>
              <w:t xml:space="preserve"> De </w:t>
            </w:r>
            <w:proofErr w:type="spellStart"/>
            <w:r w:rsidRPr="00B450EB">
              <w:rPr>
                <w:rFonts w:eastAsia="Times New Roman" w:cs="Arial"/>
                <w:color w:val="000000"/>
                <w:kern w:val="0"/>
                <w:sz w:val="18"/>
                <w:szCs w:val="18"/>
                <w:lang w:eastAsia="es-CO"/>
                <w14:ligatures w14:val="none"/>
              </w:rPr>
              <w:t>Interes</w:t>
            </w:r>
            <w:proofErr w:type="spellEnd"/>
            <w:r w:rsidRPr="00B450EB">
              <w:rPr>
                <w:rFonts w:eastAsia="Times New Roman" w:cs="Arial"/>
                <w:color w:val="000000"/>
                <w:kern w:val="0"/>
                <w:sz w:val="18"/>
                <w:szCs w:val="18"/>
                <w:lang w:eastAsia="es-CO"/>
                <w14:ligatures w14:val="none"/>
              </w:rPr>
              <w:t xml:space="preserve"> De </w:t>
            </w:r>
            <w:proofErr w:type="spellStart"/>
            <w:r w:rsidRPr="00B450EB">
              <w:rPr>
                <w:rFonts w:eastAsia="Times New Roman" w:cs="Arial"/>
                <w:color w:val="000000"/>
                <w:kern w:val="0"/>
                <w:sz w:val="18"/>
                <w:szCs w:val="18"/>
                <w:lang w:eastAsia="es-CO"/>
                <w14:ligatures w14:val="none"/>
              </w:rPr>
              <w:t>Perforacion</w:t>
            </w:r>
            <w:proofErr w:type="spellEnd"/>
            <w:r w:rsidRPr="00B450EB">
              <w:rPr>
                <w:rFonts w:eastAsia="Times New Roman" w:cs="Arial"/>
                <w:color w:val="000000"/>
                <w:kern w:val="0"/>
                <w:sz w:val="18"/>
                <w:szCs w:val="18"/>
                <w:lang w:eastAsia="es-CO"/>
                <w14:ligatures w14:val="none"/>
              </w:rPr>
              <w:t xml:space="preserve"> Definida Dentro Del Bloque "B"</w:t>
            </w:r>
          </w:p>
        </w:tc>
        <w:tc>
          <w:tcPr>
            <w:tcW w:w="1522" w:type="dxa"/>
            <w:tcBorders>
              <w:top w:val="nil"/>
              <w:left w:val="nil"/>
              <w:bottom w:val="single" w:sz="4" w:space="0" w:color="auto"/>
              <w:right w:val="single" w:sz="4" w:space="0" w:color="auto"/>
            </w:tcBorders>
            <w:noWrap/>
            <w:vAlign w:val="center"/>
            <w:hideMark/>
          </w:tcPr>
          <w:p w14:paraId="78807ED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SAN0195-00-2024</w:t>
            </w:r>
          </w:p>
        </w:tc>
        <w:tc>
          <w:tcPr>
            <w:tcW w:w="5305" w:type="dxa"/>
            <w:tcBorders>
              <w:top w:val="nil"/>
              <w:left w:val="nil"/>
              <w:bottom w:val="single" w:sz="4" w:space="0" w:color="auto"/>
              <w:right w:val="single" w:sz="4" w:space="0" w:color="auto"/>
            </w:tcBorders>
            <w:noWrap/>
            <w:vAlign w:val="center"/>
            <w:hideMark/>
          </w:tcPr>
          <w:p w14:paraId="748F153C"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9778 del 13 de noviembre de 2024</w:t>
            </w:r>
          </w:p>
        </w:tc>
      </w:tr>
      <w:tr w:rsidR="00BF017B" w:rsidRPr="00B450EB" w14:paraId="3D49EE7E" w14:textId="77777777" w:rsidTr="009F3332">
        <w:trPr>
          <w:trHeight w:val="456"/>
          <w:jc w:val="center"/>
        </w:trPr>
        <w:tc>
          <w:tcPr>
            <w:tcW w:w="1129" w:type="dxa"/>
            <w:tcBorders>
              <w:top w:val="nil"/>
              <w:left w:val="single" w:sz="4" w:space="0" w:color="auto"/>
              <w:bottom w:val="single" w:sz="4" w:space="0" w:color="auto"/>
              <w:right w:val="single" w:sz="4" w:space="0" w:color="auto"/>
            </w:tcBorders>
            <w:noWrap/>
            <w:vAlign w:val="center"/>
            <w:hideMark/>
          </w:tcPr>
          <w:p w14:paraId="03F8FE6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LAM3268</w:t>
            </w:r>
          </w:p>
        </w:tc>
        <w:tc>
          <w:tcPr>
            <w:tcW w:w="2104" w:type="dxa"/>
            <w:tcBorders>
              <w:top w:val="nil"/>
              <w:left w:val="nil"/>
              <w:bottom w:val="single" w:sz="4" w:space="0" w:color="auto"/>
              <w:right w:val="single" w:sz="4" w:space="0" w:color="auto"/>
            </w:tcBorders>
            <w:vAlign w:val="center"/>
            <w:hideMark/>
          </w:tcPr>
          <w:p w14:paraId="024412F4" w14:textId="36E4F8EB"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Fase De Producción Del Pozo Nancy-1</w:t>
            </w:r>
          </w:p>
        </w:tc>
        <w:tc>
          <w:tcPr>
            <w:tcW w:w="1522" w:type="dxa"/>
            <w:tcBorders>
              <w:top w:val="nil"/>
              <w:left w:val="nil"/>
              <w:bottom w:val="single" w:sz="4" w:space="0" w:color="auto"/>
              <w:right w:val="single" w:sz="4" w:space="0" w:color="auto"/>
            </w:tcBorders>
            <w:noWrap/>
            <w:vAlign w:val="center"/>
            <w:hideMark/>
          </w:tcPr>
          <w:p w14:paraId="0897DF3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SAN0192-00-2016</w:t>
            </w:r>
          </w:p>
        </w:tc>
        <w:tc>
          <w:tcPr>
            <w:tcW w:w="5305" w:type="dxa"/>
            <w:tcBorders>
              <w:top w:val="nil"/>
              <w:left w:val="nil"/>
              <w:bottom w:val="single" w:sz="4" w:space="0" w:color="auto"/>
              <w:right w:val="single" w:sz="4" w:space="0" w:color="auto"/>
            </w:tcBorders>
            <w:noWrap/>
            <w:vAlign w:val="center"/>
            <w:hideMark/>
          </w:tcPr>
          <w:p w14:paraId="455A8916"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Resolución que resuelve recurso de reposición No. 977 del 27 de mayo de 2024, en contra de la Resolución que cesa investigación No. 2966 del 15 de diciembre de 2023</w:t>
            </w:r>
          </w:p>
        </w:tc>
      </w:tr>
      <w:tr w:rsidR="00BF017B" w:rsidRPr="00B450EB" w14:paraId="25115D6F" w14:textId="77777777" w:rsidTr="009F3332">
        <w:trPr>
          <w:trHeight w:val="456"/>
          <w:jc w:val="center"/>
        </w:trPr>
        <w:tc>
          <w:tcPr>
            <w:tcW w:w="1129" w:type="dxa"/>
            <w:tcBorders>
              <w:top w:val="nil"/>
              <w:left w:val="single" w:sz="4" w:space="0" w:color="auto"/>
              <w:bottom w:val="single" w:sz="4" w:space="0" w:color="auto"/>
              <w:right w:val="single" w:sz="4" w:space="0" w:color="auto"/>
            </w:tcBorders>
            <w:noWrap/>
            <w:vAlign w:val="center"/>
            <w:hideMark/>
          </w:tcPr>
          <w:p w14:paraId="584F3CB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LAM3276</w:t>
            </w:r>
          </w:p>
        </w:tc>
        <w:tc>
          <w:tcPr>
            <w:tcW w:w="2104" w:type="dxa"/>
            <w:tcBorders>
              <w:top w:val="nil"/>
              <w:left w:val="nil"/>
              <w:bottom w:val="single" w:sz="4" w:space="0" w:color="auto"/>
              <w:right w:val="single" w:sz="4" w:space="0" w:color="auto"/>
            </w:tcBorders>
            <w:vAlign w:val="center"/>
            <w:hideMark/>
          </w:tcPr>
          <w:p w14:paraId="72D89290" w14:textId="47917516"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proofErr w:type="spellStart"/>
            <w:r w:rsidRPr="00B450EB">
              <w:rPr>
                <w:rFonts w:eastAsia="Times New Roman" w:cs="Arial"/>
                <w:color w:val="000000"/>
                <w:kern w:val="0"/>
                <w:sz w:val="18"/>
                <w:szCs w:val="18"/>
                <w:lang w:eastAsia="es-CO"/>
                <w14:ligatures w14:val="none"/>
              </w:rPr>
              <w:t>Reentry</w:t>
            </w:r>
            <w:proofErr w:type="spellEnd"/>
            <w:r w:rsidRPr="00B450EB">
              <w:rPr>
                <w:rFonts w:eastAsia="Times New Roman" w:cs="Arial"/>
                <w:color w:val="000000"/>
                <w:kern w:val="0"/>
                <w:sz w:val="18"/>
                <w:szCs w:val="18"/>
                <w:lang w:eastAsia="es-CO"/>
                <w14:ligatures w14:val="none"/>
              </w:rPr>
              <w:t xml:space="preserve"> Pozos </w:t>
            </w:r>
            <w:proofErr w:type="spellStart"/>
            <w:r w:rsidRPr="00B450EB">
              <w:rPr>
                <w:rFonts w:eastAsia="Times New Roman" w:cs="Arial"/>
                <w:color w:val="000000"/>
                <w:kern w:val="0"/>
                <w:sz w:val="18"/>
                <w:szCs w:val="18"/>
                <w:lang w:eastAsia="es-CO"/>
                <w14:ligatures w14:val="none"/>
              </w:rPr>
              <w:t>Temblon</w:t>
            </w:r>
            <w:proofErr w:type="spellEnd"/>
            <w:r w:rsidRPr="00B450EB">
              <w:rPr>
                <w:rFonts w:eastAsia="Times New Roman" w:cs="Arial"/>
                <w:color w:val="000000"/>
                <w:kern w:val="0"/>
                <w:sz w:val="18"/>
                <w:szCs w:val="18"/>
                <w:lang w:eastAsia="es-CO"/>
                <w14:ligatures w14:val="none"/>
              </w:rPr>
              <w:t xml:space="preserve"> 1 Y </w:t>
            </w:r>
            <w:proofErr w:type="spellStart"/>
            <w:r w:rsidRPr="00B450EB">
              <w:rPr>
                <w:rFonts w:eastAsia="Times New Roman" w:cs="Arial"/>
                <w:color w:val="000000"/>
                <w:kern w:val="0"/>
                <w:sz w:val="18"/>
                <w:szCs w:val="18"/>
                <w:lang w:eastAsia="es-CO"/>
                <w14:ligatures w14:val="none"/>
              </w:rPr>
              <w:t>Temblon</w:t>
            </w:r>
            <w:proofErr w:type="spellEnd"/>
            <w:r w:rsidRPr="00B450EB">
              <w:rPr>
                <w:rFonts w:eastAsia="Times New Roman" w:cs="Arial"/>
                <w:color w:val="000000"/>
                <w:kern w:val="0"/>
                <w:sz w:val="18"/>
                <w:szCs w:val="18"/>
                <w:lang w:eastAsia="es-CO"/>
                <w14:ligatures w14:val="none"/>
              </w:rPr>
              <w:t xml:space="preserve"> 1x</w:t>
            </w:r>
          </w:p>
        </w:tc>
        <w:tc>
          <w:tcPr>
            <w:tcW w:w="1522" w:type="dxa"/>
            <w:tcBorders>
              <w:top w:val="nil"/>
              <w:left w:val="nil"/>
              <w:bottom w:val="single" w:sz="4" w:space="0" w:color="auto"/>
              <w:right w:val="single" w:sz="4" w:space="0" w:color="auto"/>
            </w:tcBorders>
            <w:noWrap/>
            <w:vAlign w:val="center"/>
            <w:hideMark/>
          </w:tcPr>
          <w:p w14:paraId="797BA1F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SAN0099-00-2018</w:t>
            </w:r>
          </w:p>
        </w:tc>
        <w:tc>
          <w:tcPr>
            <w:tcW w:w="5305" w:type="dxa"/>
            <w:tcBorders>
              <w:top w:val="nil"/>
              <w:left w:val="nil"/>
              <w:bottom w:val="single" w:sz="4" w:space="0" w:color="auto"/>
              <w:right w:val="single" w:sz="4" w:space="0" w:color="auto"/>
            </w:tcBorders>
            <w:noWrap/>
            <w:vAlign w:val="center"/>
            <w:hideMark/>
          </w:tcPr>
          <w:p w14:paraId="170139C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5630 del 19 de julio de 2022</w:t>
            </w:r>
          </w:p>
        </w:tc>
      </w:tr>
      <w:tr w:rsidR="00BF017B" w:rsidRPr="00B450EB" w14:paraId="1D4AFFD6" w14:textId="77777777" w:rsidTr="009F3332">
        <w:trPr>
          <w:trHeight w:val="684"/>
          <w:jc w:val="center"/>
        </w:trPr>
        <w:tc>
          <w:tcPr>
            <w:tcW w:w="1129" w:type="dxa"/>
            <w:tcBorders>
              <w:top w:val="nil"/>
              <w:left w:val="single" w:sz="4" w:space="0" w:color="auto"/>
              <w:bottom w:val="single" w:sz="4" w:space="0" w:color="auto"/>
              <w:right w:val="single" w:sz="4" w:space="0" w:color="auto"/>
            </w:tcBorders>
            <w:noWrap/>
            <w:vAlign w:val="center"/>
            <w:hideMark/>
          </w:tcPr>
          <w:p w14:paraId="263A274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LAM3552</w:t>
            </w:r>
          </w:p>
        </w:tc>
        <w:tc>
          <w:tcPr>
            <w:tcW w:w="2104" w:type="dxa"/>
            <w:tcBorders>
              <w:top w:val="nil"/>
              <w:left w:val="nil"/>
              <w:bottom w:val="single" w:sz="4" w:space="0" w:color="auto"/>
              <w:right w:val="single" w:sz="4" w:space="0" w:color="auto"/>
            </w:tcBorders>
            <w:vAlign w:val="center"/>
            <w:hideMark/>
          </w:tcPr>
          <w:p w14:paraId="20014188" w14:textId="365A3CD3"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 De Interés De Perforación Exploratoria Las Águilas</w:t>
            </w:r>
          </w:p>
        </w:tc>
        <w:tc>
          <w:tcPr>
            <w:tcW w:w="1522" w:type="dxa"/>
            <w:tcBorders>
              <w:top w:val="nil"/>
              <w:left w:val="nil"/>
              <w:bottom w:val="single" w:sz="4" w:space="0" w:color="auto"/>
              <w:right w:val="single" w:sz="4" w:space="0" w:color="auto"/>
            </w:tcBorders>
            <w:noWrap/>
            <w:vAlign w:val="center"/>
            <w:hideMark/>
          </w:tcPr>
          <w:p w14:paraId="6B3BD27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SAN0127-00-2017</w:t>
            </w:r>
          </w:p>
        </w:tc>
        <w:tc>
          <w:tcPr>
            <w:tcW w:w="5305" w:type="dxa"/>
            <w:tcBorders>
              <w:top w:val="nil"/>
              <w:left w:val="nil"/>
              <w:bottom w:val="single" w:sz="4" w:space="0" w:color="auto"/>
              <w:right w:val="single" w:sz="4" w:space="0" w:color="auto"/>
            </w:tcBorders>
            <w:noWrap/>
            <w:vAlign w:val="center"/>
            <w:hideMark/>
          </w:tcPr>
          <w:p w14:paraId="7106648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Resolución que impone </w:t>
            </w:r>
            <w:proofErr w:type="spellStart"/>
            <w:r w:rsidRPr="00B450EB">
              <w:rPr>
                <w:rFonts w:eastAsia="Times New Roman" w:cs="Arial"/>
                <w:color w:val="000000"/>
                <w:kern w:val="0"/>
                <w:sz w:val="18"/>
                <w:szCs w:val="18"/>
                <w:lang w:eastAsia="es-CO"/>
                <w14:ligatures w14:val="none"/>
              </w:rPr>
              <w:t>sancion</w:t>
            </w:r>
            <w:proofErr w:type="spellEnd"/>
            <w:r w:rsidRPr="00B450EB">
              <w:rPr>
                <w:rFonts w:eastAsia="Times New Roman" w:cs="Arial"/>
                <w:color w:val="000000"/>
                <w:kern w:val="0"/>
                <w:sz w:val="18"/>
                <w:szCs w:val="18"/>
                <w:lang w:eastAsia="es-CO"/>
                <w14:ligatures w14:val="none"/>
              </w:rPr>
              <w:t xml:space="preserve"> No. 201 del 17 de febrero de 2025</w:t>
            </w:r>
          </w:p>
        </w:tc>
      </w:tr>
      <w:tr w:rsidR="00BF017B" w:rsidRPr="00B450EB" w14:paraId="0F6472C6" w14:textId="77777777" w:rsidTr="009F3332">
        <w:trPr>
          <w:trHeight w:val="456"/>
          <w:jc w:val="center"/>
        </w:trPr>
        <w:tc>
          <w:tcPr>
            <w:tcW w:w="1129" w:type="dxa"/>
            <w:tcBorders>
              <w:top w:val="nil"/>
              <w:left w:val="single" w:sz="4" w:space="0" w:color="auto"/>
              <w:bottom w:val="single" w:sz="4" w:space="0" w:color="auto"/>
              <w:right w:val="single" w:sz="4" w:space="0" w:color="auto"/>
            </w:tcBorders>
            <w:noWrap/>
            <w:vAlign w:val="center"/>
            <w:hideMark/>
          </w:tcPr>
          <w:p w14:paraId="61456D2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LAM3816</w:t>
            </w:r>
          </w:p>
        </w:tc>
        <w:tc>
          <w:tcPr>
            <w:tcW w:w="2104" w:type="dxa"/>
            <w:tcBorders>
              <w:top w:val="nil"/>
              <w:left w:val="nil"/>
              <w:bottom w:val="single" w:sz="4" w:space="0" w:color="auto"/>
              <w:right w:val="single" w:sz="4" w:space="0" w:color="auto"/>
            </w:tcBorders>
            <w:vAlign w:val="center"/>
            <w:hideMark/>
          </w:tcPr>
          <w:p w14:paraId="3F79B57B" w14:textId="24395C11"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 De Perforación Exploratoria Ombú</w:t>
            </w:r>
          </w:p>
        </w:tc>
        <w:tc>
          <w:tcPr>
            <w:tcW w:w="1522" w:type="dxa"/>
            <w:tcBorders>
              <w:top w:val="nil"/>
              <w:left w:val="nil"/>
              <w:bottom w:val="single" w:sz="4" w:space="0" w:color="auto"/>
              <w:right w:val="single" w:sz="4" w:space="0" w:color="auto"/>
            </w:tcBorders>
            <w:noWrap/>
            <w:vAlign w:val="center"/>
            <w:hideMark/>
          </w:tcPr>
          <w:p w14:paraId="3B3405A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SAN0137-00-2020</w:t>
            </w:r>
          </w:p>
        </w:tc>
        <w:tc>
          <w:tcPr>
            <w:tcW w:w="5305" w:type="dxa"/>
            <w:tcBorders>
              <w:top w:val="nil"/>
              <w:left w:val="nil"/>
              <w:bottom w:val="single" w:sz="4" w:space="0" w:color="auto"/>
              <w:right w:val="single" w:sz="4" w:space="0" w:color="auto"/>
            </w:tcBorders>
            <w:noWrap/>
            <w:vAlign w:val="center"/>
            <w:hideMark/>
          </w:tcPr>
          <w:p w14:paraId="55C8B21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5286 del 14 de julio de 2023</w:t>
            </w:r>
          </w:p>
        </w:tc>
      </w:tr>
      <w:tr w:rsidR="00BF017B" w:rsidRPr="00B450EB" w14:paraId="3DF62F66" w14:textId="77777777" w:rsidTr="009F3332">
        <w:trPr>
          <w:trHeight w:val="684"/>
          <w:jc w:val="center"/>
        </w:trPr>
        <w:tc>
          <w:tcPr>
            <w:tcW w:w="1129" w:type="dxa"/>
            <w:tcBorders>
              <w:top w:val="nil"/>
              <w:left w:val="single" w:sz="4" w:space="0" w:color="auto"/>
              <w:bottom w:val="single" w:sz="4" w:space="0" w:color="auto"/>
              <w:right w:val="single" w:sz="4" w:space="0" w:color="auto"/>
            </w:tcBorders>
            <w:noWrap/>
            <w:vAlign w:val="center"/>
            <w:hideMark/>
          </w:tcPr>
          <w:p w14:paraId="1B93D0AD"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LAM4011</w:t>
            </w:r>
          </w:p>
        </w:tc>
        <w:tc>
          <w:tcPr>
            <w:tcW w:w="2104" w:type="dxa"/>
            <w:tcBorders>
              <w:top w:val="nil"/>
              <w:left w:val="nil"/>
              <w:bottom w:val="single" w:sz="4" w:space="0" w:color="auto"/>
              <w:right w:val="single" w:sz="4" w:space="0" w:color="auto"/>
            </w:tcBorders>
            <w:vAlign w:val="center"/>
            <w:hideMark/>
          </w:tcPr>
          <w:p w14:paraId="10B93FE9" w14:textId="241293E8"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Reactivación Y </w:t>
            </w:r>
            <w:proofErr w:type="spellStart"/>
            <w:r w:rsidRPr="00B450EB">
              <w:rPr>
                <w:rFonts w:eastAsia="Times New Roman" w:cs="Arial"/>
                <w:color w:val="000000"/>
                <w:kern w:val="0"/>
                <w:sz w:val="18"/>
                <w:szCs w:val="18"/>
                <w:lang w:eastAsia="es-CO"/>
                <w14:ligatures w14:val="none"/>
              </w:rPr>
              <w:t>Workover</w:t>
            </w:r>
            <w:proofErr w:type="spellEnd"/>
            <w:r w:rsidRPr="00B450EB">
              <w:rPr>
                <w:rFonts w:eastAsia="Times New Roman" w:cs="Arial"/>
                <w:color w:val="000000"/>
                <w:kern w:val="0"/>
                <w:sz w:val="18"/>
                <w:szCs w:val="18"/>
                <w:lang w:eastAsia="es-CO"/>
                <w14:ligatures w14:val="none"/>
              </w:rPr>
              <w:t xml:space="preserve"> De Los Pozos </w:t>
            </w:r>
            <w:proofErr w:type="spellStart"/>
            <w:r w:rsidRPr="00B450EB">
              <w:rPr>
                <w:rFonts w:eastAsia="Times New Roman" w:cs="Arial"/>
                <w:color w:val="000000"/>
                <w:kern w:val="0"/>
                <w:sz w:val="18"/>
                <w:szCs w:val="18"/>
                <w:lang w:eastAsia="es-CO"/>
                <w14:ligatures w14:val="none"/>
              </w:rPr>
              <w:t>Burdine</w:t>
            </w:r>
            <w:proofErr w:type="spellEnd"/>
            <w:r w:rsidRPr="00B450EB">
              <w:rPr>
                <w:rFonts w:eastAsia="Times New Roman" w:cs="Arial"/>
                <w:color w:val="000000"/>
                <w:kern w:val="0"/>
                <w:sz w:val="18"/>
                <w:szCs w:val="18"/>
                <w:lang w:eastAsia="es-CO"/>
                <w14:ligatures w14:val="none"/>
              </w:rPr>
              <w:t xml:space="preserve"> 1, 2, 4 Y 5</w:t>
            </w:r>
          </w:p>
        </w:tc>
        <w:tc>
          <w:tcPr>
            <w:tcW w:w="1522" w:type="dxa"/>
            <w:tcBorders>
              <w:top w:val="nil"/>
              <w:left w:val="nil"/>
              <w:bottom w:val="single" w:sz="4" w:space="0" w:color="auto"/>
              <w:right w:val="single" w:sz="4" w:space="0" w:color="auto"/>
            </w:tcBorders>
            <w:noWrap/>
            <w:vAlign w:val="center"/>
            <w:hideMark/>
          </w:tcPr>
          <w:p w14:paraId="2DD596ED"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SAN0014-00-2021</w:t>
            </w:r>
          </w:p>
        </w:tc>
        <w:tc>
          <w:tcPr>
            <w:tcW w:w="5305" w:type="dxa"/>
            <w:tcBorders>
              <w:top w:val="nil"/>
              <w:left w:val="nil"/>
              <w:bottom w:val="single" w:sz="4" w:space="0" w:color="auto"/>
              <w:right w:val="single" w:sz="4" w:space="0" w:color="auto"/>
            </w:tcBorders>
            <w:noWrap/>
            <w:vAlign w:val="center"/>
            <w:hideMark/>
          </w:tcPr>
          <w:p w14:paraId="760BCE4C"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1366 del 15 de marzo de 2021</w:t>
            </w:r>
          </w:p>
        </w:tc>
      </w:tr>
      <w:tr w:rsidR="00BF017B" w:rsidRPr="00B450EB" w14:paraId="589DE692"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28852436"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LAM4077</w:t>
            </w:r>
          </w:p>
        </w:tc>
        <w:tc>
          <w:tcPr>
            <w:tcW w:w="2104" w:type="dxa"/>
            <w:vMerge w:val="restart"/>
            <w:tcBorders>
              <w:top w:val="nil"/>
              <w:left w:val="single" w:sz="4" w:space="0" w:color="auto"/>
              <w:bottom w:val="single" w:sz="4" w:space="0" w:color="auto"/>
              <w:right w:val="single" w:sz="4" w:space="0" w:color="auto"/>
            </w:tcBorders>
            <w:vAlign w:val="center"/>
            <w:hideMark/>
          </w:tcPr>
          <w:p w14:paraId="16CB0263" w14:textId="601211CA" w:rsidR="00BF017B" w:rsidRPr="00B450EB" w:rsidRDefault="00E73930"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w:t>
            </w:r>
            <w:r w:rsidR="00CE0BE1" w:rsidRPr="00B450EB">
              <w:rPr>
                <w:rFonts w:eastAsia="Times New Roman" w:cs="Arial"/>
                <w:color w:val="000000"/>
                <w:kern w:val="0"/>
                <w:sz w:val="18"/>
                <w:szCs w:val="18"/>
                <w:lang w:eastAsia="es-CO"/>
                <w14:ligatures w14:val="none"/>
              </w:rPr>
              <w:t xml:space="preserve"> De </w:t>
            </w:r>
            <w:r w:rsidRPr="00B450EB">
              <w:rPr>
                <w:rFonts w:eastAsia="Times New Roman" w:cs="Arial"/>
                <w:color w:val="000000"/>
                <w:kern w:val="0"/>
                <w:sz w:val="18"/>
                <w:szCs w:val="18"/>
                <w:lang w:eastAsia="es-CO"/>
                <w14:ligatures w14:val="none"/>
              </w:rPr>
              <w:t>Perforación</w:t>
            </w:r>
            <w:r w:rsidR="00CE0BE1" w:rsidRPr="00B450EB">
              <w:rPr>
                <w:rFonts w:eastAsia="Times New Roman" w:cs="Arial"/>
                <w:color w:val="000000"/>
                <w:kern w:val="0"/>
                <w:sz w:val="18"/>
                <w:szCs w:val="18"/>
                <w:lang w:eastAsia="es-CO"/>
                <w14:ligatures w14:val="none"/>
              </w:rPr>
              <w:t xml:space="preserve"> Exploratoria Maranta</w:t>
            </w:r>
          </w:p>
        </w:tc>
        <w:tc>
          <w:tcPr>
            <w:tcW w:w="1522" w:type="dxa"/>
            <w:tcBorders>
              <w:top w:val="nil"/>
              <w:left w:val="nil"/>
              <w:bottom w:val="single" w:sz="4" w:space="0" w:color="auto"/>
              <w:right w:val="single" w:sz="4" w:space="0" w:color="auto"/>
            </w:tcBorders>
            <w:noWrap/>
            <w:vAlign w:val="center"/>
            <w:hideMark/>
          </w:tcPr>
          <w:p w14:paraId="0527507B"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SAN0126-00-2017</w:t>
            </w:r>
          </w:p>
        </w:tc>
        <w:tc>
          <w:tcPr>
            <w:tcW w:w="5305" w:type="dxa"/>
            <w:tcBorders>
              <w:top w:val="nil"/>
              <w:left w:val="nil"/>
              <w:bottom w:val="single" w:sz="4" w:space="0" w:color="auto"/>
              <w:right w:val="single" w:sz="4" w:space="0" w:color="auto"/>
            </w:tcBorders>
            <w:noWrap/>
            <w:vAlign w:val="center"/>
            <w:hideMark/>
          </w:tcPr>
          <w:p w14:paraId="5047413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w:t>
            </w:r>
            <w:proofErr w:type="spellStart"/>
            <w:r w:rsidRPr="00B450EB">
              <w:rPr>
                <w:rFonts w:eastAsia="Times New Roman" w:cs="Arial"/>
                <w:color w:val="000000"/>
                <w:kern w:val="0"/>
                <w:sz w:val="18"/>
                <w:szCs w:val="18"/>
                <w:lang w:eastAsia="es-CO"/>
                <w14:ligatures w14:val="none"/>
              </w:rPr>
              <w:t>quedecreta</w:t>
            </w:r>
            <w:proofErr w:type="spellEnd"/>
            <w:r w:rsidRPr="00B450EB">
              <w:rPr>
                <w:rFonts w:eastAsia="Times New Roman" w:cs="Arial"/>
                <w:color w:val="000000"/>
                <w:kern w:val="0"/>
                <w:sz w:val="18"/>
                <w:szCs w:val="18"/>
                <w:lang w:eastAsia="es-CO"/>
                <w14:ligatures w14:val="none"/>
              </w:rPr>
              <w:t xml:space="preserve">,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5175 del 12 de julio de 2021</w:t>
            </w:r>
          </w:p>
        </w:tc>
      </w:tr>
      <w:tr w:rsidR="00BF017B" w:rsidRPr="00B450EB" w14:paraId="3A201D4C"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3CA35817"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61773728"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358BDA57"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SAN0101-00-2020</w:t>
            </w:r>
          </w:p>
        </w:tc>
        <w:tc>
          <w:tcPr>
            <w:tcW w:w="5305" w:type="dxa"/>
            <w:tcBorders>
              <w:top w:val="nil"/>
              <w:left w:val="nil"/>
              <w:bottom w:val="single" w:sz="4" w:space="0" w:color="auto"/>
              <w:right w:val="single" w:sz="4" w:space="0" w:color="auto"/>
            </w:tcBorders>
            <w:noWrap/>
            <w:vAlign w:val="center"/>
            <w:hideMark/>
          </w:tcPr>
          <w:p w14:paraId="5144092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que formula pliego de cargos No. 9619 del 21 de noviembre de 2023</w:t>
            </w:r>
          </w:p>
        </w:tc>
      </w:tr>
      <w:tr w:rsidR="00BF017B" w:rsidRPr="00B450EB" w14:paraId="0FD4A70D"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7D10B74F"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LAM4113</w:t>
            </w:r>
          </w:p>
        </w:tc>
        <w:tc>
          <w:tcPr>
            <w:tcW w:w="2104" w:type="dxa"/>
            <w:vMerge w:val="restart"/>
            <w:tcBorders>
              <w:top w:val="nil"/>
              <w:left w:val="single" w:sz="4" w:space="0" w:color="auto"/>
              <w:bottom w:val="single" w:sz="4" w:space="0" w:color="auto"/>
              <w:right w:val="single" w:sz="4" w:space="0" w:color="auto"/>
            </w:tcBorders>
            <w:vAlign w:val="center"/>
            <w:hideMark/>
          </w:tcPr>
          <w:p w14:paraId="05555594" w14:textId="358DDEB8"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Licencia Ambiental Global Para El Campo </w:t>
            </w:r>
            <w:proofErr w:type="spellStart"/>
            <w:r w:rsidRPr="00B450EB">
              <w:rPr>
                <w:rFonts w:eastAsia="Times New Roman" w:cs="Arial"/>
                <w:color w:val="000000"/>
                <w:kern w:val="0"/>
                <w:sz w:val="18"/>
                <w:szCs w:val="18"/>
                <w:lang w:eastAsia="es-CO"/>
                <w14:ligatures w14:val="none"/>
              </w:rPr>
              <w:t>Costayaco</w:t>
            </w:r>
            <w:proofErr w:type="spellEnd"/>
          </w:p>
        </w:tc>
        <w:tc>
          <w:tcPr>
            <w:tcW w:w="1522" w:type="dxa"/>
            <w:tcBorders>
              <w:top w:val="nil"/>
              <w:left w:val="nil"/>
              <w:bottom w:val="single" w:sz="4" w:space="0" w:color="auto"/>
              <w:right w:val="single" w:sz="4" w:space="0" w:color="auto"/>
            </w:tcBorders>
            <w:noWrap/>
            <w:vAlign w:val="center"/>
            <w:hideMark/>
          </w:tcPr>
          <w:p w14:paraId="35C0B64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SAN0060-00-2017</w:t>
            </w:r>
          </w:p>
        </w:tc>
        <w:tc>
          <w:tcPr>
            <w:tcW w:w="5305" w:type="dxa"/>
            <w:tcBorders>
              <w:top w:val="nil"/>
              <w:left w:val="nil"/>
              <w:bottom w:val="single" w:sz="4" w:space="0" w:color="auto"/>
              <w:right w:val="single" w:sz="4" w:space="0" w:color="auto"/>
            </w:tcBorders>
            <w:noWrap/>
            <w:vAlign w:val="center"/>
            <w:hideMark/>
          </w:tcPr>
          <w:p w14:paraId="3D1CAAE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9714 del 31 de octubre de 2022</w:t>
            </w:r>
          </w:p>
        </w:tc>
      </w:tr>
      <w:tr w:rsidR="00BF017B" w:rsidRPr="00B450EB" w14:paraId="502B94AF"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6C19565E"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23133A47"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33AF7F7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SAN0113-00-2017</w:t>
            </w:r>
          </w:p>
        </w:tc>
        <w:tc>
          <w:tcPr>
            <w:tcW w:w="5305" w:type="dxa"/>
            <w:tcBorders>
              <w:top w:val="nil"/>
              <w:left w:val="nil"/>
              <w:bottom w:val="single" w:sz="4" w:space="0" w:color="auto"/>
              <w:right w:val="single" w:sz="4" w:space="0" w:color="auto"/>
            </w:tcBorders>
            <w:noWrap/>
            <w:vAlign w:val="center"/>
            <w:hideMark/>
          </w:tcPr>
          <w:p w14:paraId="6EB9277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2611 del 15 de abril de 2025</w:t>
            </w:r>
          </w:p>
        </w:tc>
      </w:tr>
      <w:tr w:rsidR="00BF017B" w:rsidRPr="00B450EB" w14:paraId="3910E3AD"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32F3EE0B"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52FFE81F"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3E78DC1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SAN0121-00-2017</w:t>
            </w:r>
          </w:p>
        </w:tc>
        <w:tc>
          <w:tcPr>
            <w:tcW w:w="5305" w:type="dxa"/>
            <w:tcBorders>
              <w:top w:val="nil"/>
              <w:left w:val="nil"/>
              <w:bottom w:val="single" w:sz="4" w:space="0" w:color="auto"/>
              <w:right w:val="single" w:sz="4" w:space="0" w:color="auto"/>
            </w:tcBorders>
            <w:noWrap/>
            <w:vAlign w:val="center"/>
            <w:hideMark/>
          </w:tcPr>
          <w:p w14:paraId="3D9FDDE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resuelve recurso de reposición No. 11566 del 4 de diciembre de 2020, en contra del 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9102 del 16 de febrero de 2020</w:t>
            </w:r>
          </w:p>
        </w:tc>
      </w:tr>
      <w:tr w:rsidR="00BF017B" w:rsidRPr="00B450EB" w14:paraId="0F6EAB03"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57FB27E2"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5935E03E"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02E88DE2"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SAN0198-00-2020</w:t>
            </w:r>
          </w:p>
        </w:tc>
        <w:tc>
          <w:tcPr>
            <w:tcW w:w="5305" w:type="dxa"/>
            <w:tcBorders>
              <w:top w:val="nil"/>
              <w:left w:val="nil"/>
              <w:bottom w:val="single" w:sz="4" w:space="0" w:color="auto"/>
              <w:right w:val="single" w:sz="4" w:space="0" w:color="auto"/>
            </w:tcBorders>
            <w:noWrap/>
            <w:vAlign w:val="center"/>
            <w:hideMark/>
          </w:tcPr>
          <w:p w14:paraId="2E97C50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7483 del 25 de agosto de 2025</w:t>
            </w:r>
          </w:p>
        </w:tc>
      </w:tr>
      <w:tr w:rsidR="00BF017B" w:rsidRPr="00B450EB" w14:paraId="1B04CB8E"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23A35A2C"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4CC719C8"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0D34F8A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SAN0017-00-2023</w:t>
            </w:r>
          </w:p>
        </w:tc>
        <w:tc>
          <w:tcPr>
            <w:tcW w:w="5305" w:type="dxa"/>
            <w:tcBorders>
              <w:top w:val="nil"/>
              <w:left w:val="nil"/>
              <w:bottom w:val="single" w:sz="4" w:space="0" w:color="auto"/>
              <w:right w:val="single" w:sz="4" w:space="0" w:color="auto"/>
            </w:tcBorders>
            <w:noWrap/>
            <w:vAlign w:val="center"/>
            <w:hideMark/>
          </w:tcPr>
          <w:p w14:paraId="4434073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1717 del 15 de marzo de 2023</w:t>
            </w:r>
          </w:p>
        </w:tc>
      </w:tr>
      <w:tr w:rsidR="00BF017B" w:rsidRPr="00B450EB" w14:paraId="7E3D0B36"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2201B784"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36EA0DE2"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4C236327"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SAN0341-00-2024</w:t>
            </w:r>
          </w:p>
        </w:tc>
        <w:tc>
          <w:tcPr>
            <w:tcW w:w="5305" w:type="dxa"/>
            <w:tcBorders>
              <w:top w:val="nil"/>
              <w:left w:val="nil"/>
              <w:bottom w:val="single" w:sz="4" w:space="0" w:color="auto"/>
              <w:right w:val="single" w:sz="4" w:space="0" w:color="auto"/>
            </w:tcBorders>
            <w:noWrap/>
            <w:vAlign w:val="center"/>
            <w:hideMark/>
          </w:tcPr>
          <w:p w14:paraId="049FB706"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2906 del 25 de abril de 2025</w:t>
            </w:r>
          </w:p>
        </w:tc>
      </w:tr>
      <w:tr w:rsidR="00BF017B" w:rsidRPr="00B450EB" w14:paraId="26F44611"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06E4130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LAM4174</w:t>
            </w:r>
          </w:p>
        </w:tc>
        <w:tc>
          <w:tcPr>
            <w:tcW w:w="2104" w:type="dxa"/>
            <w:vMerge w:val="restart"/>
            <w:tcBorders>
              <w:top w:val="nil"/>
              <w:left w:val="single" w:sz="4" w:space="0" w:color="auto"/>
              <w:bottom w:val="single" w:sz="4" w:space="0" w:color="auto"/>
              <w:right w:val="single" w:sz="4" w:space="0" w:color="auto"/>
            </w:tcBorders>
            <w:vAlign w:val="center"/>
            <w:hideMark/>
          </w:tcPr>
          <w:p w14:paraId="76B9AE8E" w14:textId="7AB0AD4A"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Campos Quinde</w:t>
            </w:r>
            <w:r w:rsidR="00CE0BE1" w:rsidRPr="00B450EB">
              <w:rPr>
                <w:rFonts w:eastAsia="Times New Roman" w:cs="Arial"/>
                <w:color w:val="000000"/>
                <w:kern w:val="0"/>
                <w:sz w:val="18"/>
                <w:szCs w:val="18"/>
                <w:lang w:eastAsia="es-CO"/>
                <w14:ligatures w14:val="none"/>
              </w:rPr>
              <w:t xml:space="preserve">, </w:t>
            </w:r>
            <w:proofErr w:type="spellStart"/>
            <w:r w:rsidRPr="00B450EB">
              <w:rPr>
                <w:rFonts w:eastAsia="Times New Roman" w:cs="Arial"/>
                <w:color w:val="000000"/>
                <w:kern w:val="0"/>
                <w:sz w:val="18"/>
                <w:szCs w:val="18"/>
                <w:lang w:eastAsia="es-CO"/>
                <w14:ligatures w14:val="none"/>
              </w:rPr>
              <w:t>Cohembí</w:t>
            </w:r>
            <w:proofErr w:type="spellEnd"/>
            <w:r w:rsidRPr="00B450EB">
              <w:rPr>
                <w:rFonts w:eastAsia="Times New Roman" w:cs="Arial"/>
                <w:color w:val="000000"/>
                <w:kern w:val="0"/>
                <w:sz w:val="18"/>
                <w:szCs w:val="18"/>
                <w:lang w:eastAsia="es-CO"/>
                <w14:ligatures w14:val="none"/>
              </w:rPr>
              <w:t xml:space="preserve"> </w:t>
            </w:r>
            <w:r w:rsidR="00CE0BE1" w:rsidRPr="00B450EB">
              <w:rPr>
                <w:rFonts w:eastAsia="Times New Roman" w:cs="Arial"/>
                <w:color w:val="000000"/>
                <w:kern w:val="0"/>
                <w:sz w:val="18"/>
                <w:szCs w:val="18"/>
                <w:lang w:eastAsia="es-CO"/>
                <w14:ligatures w14:val="none"/>
              </w:rPr>
              <w:t xml:space="preserve">Y </w:t>
            </w:r>
            <w:proofErr w:type="spellStart"/>
            <w:r w:rsidRPr="00B450EB">
              <w:rPr>
                <w:rFonts w:eastAsia="Times New Roman" w:cs="Arial"/>
                <w:color w:val="000000"/>
                <w:kern w:val="0"/>
                <w:sz w:val="18"/>
                <w:szCs w:val="18"/>
                <w:lang w:eastAsia="es-CO"/>
                <w14:ligatures w14:val="none"/>
              </w:rPr>
              <w:t>Quillacinga</w:t>
            </w:r>
            <w:proofErr w:type="spellEnd"/>
          </w:p>
        </w:tc>
        <w:tc>
          <w:tcPr>
            <w:tcW w:w="1522" w:type="dxa"/>
            <w:tcBorders>
              <w:top w:val="nil"/>
              <w:left w:val="nil"/>
              <w:bottom w:val="single" w:sz="4" w:space="0" w:color="auto"/>
              <w:right w:val="single" w:sz="4" w:space="0" w:color="auto"/>
            </w:tcBorders>
            <w:noWrap/>
            <w:vAlign w:val="center"/>
            <w:hideMark/>
          </w:tcPr>
          <w:p w14:paraId="4C6A695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SAN0113-00-2017</w:t>
            </w:r>
          </w:p>
        </w:tc>
        <w:tc>
          <w:tcPr>
            <w:tcW w:w="5305" w:type="dxa"/>
            <w:tcBorders>
              <w:top w:val="nil"/>
              <w:left w:val="nil"/>
              <w:bottom w:val="single" w:sz="4" w:space="0" w:color="auto"/>
              <w:right w:val="single" w:sz="4" w:space="0" w:color="auto"/>
            </w:tcBorders>
            <w:noWrap/>
            <w:vAlign w:val="center"/>
            <w:hideMark/>
          </w:tcPr>
          <w:p w14:paraId="2957C38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que formula pliego de cargos No.6796 del 18 de agosto de 2022</w:t>
            </w:r>
          </w:p>
        </w:tc>
      </w:tr>
      <w:tr w:rsidR="00BF017B" w:rsidRPr="00B450EB" w14:paraId="24EFED6E"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0430CCFA"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5F343B48"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71D3164A"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SAN0759-00-2019</w:t>
            </w:r>
          </w:p>
        </w:tc>
        <w:tc>
          <w:tcPr>
            <w:tcW w:w="5305" w:type="dxa"/>
            <w:tcBorders>
              <w:top w:val="nil"/>
              <w:left w:val="nil"/>
              <w:bottom w:val="single" w:sz="4" w:space="0" w:color="auto"/>
              <w:right w:val="single" w:sz="4" w:space="0" w:color="auto"/>
            </w:tcBorders>
            <w:noWrap/>
            <w:vAlign w:val="center"/>
            <w:hideMark/>
          </w:tcPr>
          <w:p w14:paraId="4A0B0C9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Resolución que exonera de responsabilidad No. 1276 del 8 de julio de 2025</w:t>
            </w:r>
          </w:p>
        </w:tc>
      </w:tr>
      <w:tr w:rsidR="00BF017B" w:rsidRPr="00B450EB" w14:paraId="211BABC1"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23745B3F"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41DD41E6"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6035EF5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SAN0760-00-2019</w:t>
            </w:r>
          </w:p>
        </w:tc>
        <w:tc>
          <w:tcPr>
            <w:tcW w:w="5305" w:type="dxa"/>
            <w:tcBorders>
              <w:top w:val="nil"/>
              <w:left w:val="nil"/>
              <w:bottom w:val="single" w:sz="4" w:space="0" w:color="auto"/>
              <w:right w:val="single" w:sz="4" w:space="0" w:color="auto"/>
            </w:tcBorders>
            <w:noWrap/>
            <w:vAlign w:val="center"/>
            <w:hideMark/>
          </w:tcPr>
          <w:p w14:paraId="102CC8AF"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resuelve recurso de reposición No. 7949 del 20 de agosto de 2020, en contra del 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5891 del 31 de julio de 2019</w:t>
            </w:r>
          </w:p>
        </w:tc>
      </w:tr>
      <w:tr w:rsidR="00BF017B" w:rsidRPr="00B450EB" w14:paraId="1239AEB2"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3D98DE36"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2C9181F4"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65333A4A"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SAN0761-00-209</w:t>
            </w:r>
          </w:p>
        </w:tc>
        <w:tc>
          <w:tcPr>
            <w:tcW w:w="5305" w:type="dxa"/>
            <w:tcBorders>
              <w:top w:val="nil"/>
              <w:left w:val="nil"/>
              <w:bottom w:val="single" w:sz="4" w:space="0" w:color="auto"/>
              <w:right w:val="single" w:sz="4" w:space="0" w:color="auto"/>
            </w:tcBorders>
            <w:noWrap/>
            <w:vAlign w:val="center"/>
            <w:hideMark/>
          </w:tcPr>
          <w:p w14:paraId="7950221D"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Resolución que exonera responsabilidad No. 1817 del 28 de agosto de 2025</w:t>
            </w:r>
          </w:p>
        </w:tc>
      </w:tr>
      <w:tr w:rsidR="00BF017B" w:rsidRPr="00B450EB" w14:paraId="568DF466"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49EF9564"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0742F60C"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2EE5E03C"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SAN0124-00-2024</w:t>
            </w:r>
          </w:p>
        </w:tc>
        <w:tc>
          <w:tcPr>
            <w:tcW w:w="5305" w:type="dxa"/>
            <w:tcBorders>
              <w:top w:val="nil"/>
              <w:left w:val="nil"/>
              <w:bottom w:val="single" w:sz="4" w:space="0" w:color="auto"/>
              <w:right w:val="single" w:sz="4" w:space="0" w:color="auto"/>
            </w:tcBorders>
            <w:noWrap/>
            <w:vAlign w:val="center"/>
            <w:hideMark/>
          </w:tcPr>
          <w:p w14:paraId="43D82847"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3914 del 5 de junio de 2024</w:t>
            </w:r>
          </w:p>
        </w:tc>
      </w:tr>
      <w:tr w:rsidR="00BF017B" w:rsidRPr="00B450EB" w14:paraId="353BC73E"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1EE5C745"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701A7037"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414FD92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SAN0033-00-2025</w:t>
            </w:r>
          </w:p>
        </w:tc>
        <w:tc>
          <w:tcPr>
            <w:tcW w:w="5305" w:type="dxa"/>
            <w:tcBorders>
              <w:top w:val="nil"/>
              <w:left w:val="nil"/>
              <w:bottom w:val="single" w:sz="4" w:space="0" w:color="auto"/>
              <w:right w:val="single" w:sz="4" w:space="0" w:color="auto"/>
            </w:tcBorders>
            <w:noWrap/>
            <w:vAlign w:val="center"/>
            <w:hideMark/>
          </w:tcPr>
          <w:p w14:paraId="2F49973D"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2940 del 28 de abril de 2025</w:t>
            </w:r>
          </w:p>
        </w:tc>
      </w:tr>
      <w:tr w:rsidR="00BF017B" w:rsidRPr="00B450EB" w14:paraId="1073E955"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51576552"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LAM4479</w:t>
            </w:r>
          </w:p>
        </w:tc>
        <w:tc>
          <w:tcPr>
            <w:tcW w:w="2104" w:type="dxa"/>
            <w:vMerge w:val="restart"/>
            <w:tcBorders>
              <w:top w:val="nil"/>
              <w:left w:val="single" w:sz="4" w:space="0" w:color="auto"/>
              <w:bottom w:val="single" w:sz="4" w:space="0" w:color="auto"/>
              <w:right w:val="single" w:sz="4" w:space="0" w:color="auto"/>
            </w:tcBorders>
            <w:vAlign w:val="center"/>
            <w:hideMark/>
          </w:tcPr>
          <w:p w14:paraId="20D6E5CA" w14:textId="572C8186" w:rsidR="00BF017B" w:rsidRPr="00B450EB" w:rsidRDefault="00E73930"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w:t>
            </w:r>
            <w:r w:rsidR="00CE0BE1" w:rsidRPr="00B450EB">
              <w:rPr>
                <w:rFonts w:eastAsia="Times New Roman" w:cs="Arial"/>
                <w:color w:val="000000"/>
                <w:kern w:val="0"/>
                <w:sz w:val="18"/>
                <w:szCs w:val="18"/>
                <w:lang w:eastAsia="es-CO"/>
                <w14:ligatures w14:val="none"/>
              </w:rPr>
              <w:t xml:space="preserve"> De </w:t>
            </w:r>
            <w:r w:rsidRPr="00B450EB">
              <w:rPr>
                <w:rFonts w:eastAsia="Times New Roman" w:cs="Arial"/>
                <w:color w:val="000000"/>
                <w:kern w:val="0"/>
                <w:sz w:val="18"/>
                <w:szCs w:val="18"/>
                <w:lang w:eastAsia="es-CO"/>
                <w14:ligatures w14:val="none"/>
              </w:rPr>
              <w:t>Perforación</w:t>
            </w:r>
            <w:r w:rsidR="00CE0BE1" w:rsidRPr="00B450EB">
              <w:rPr>
                <w:rFonts w:eastAsia="Times New Roman" w:cs="Arial"/>
                <w:color w:val="000000"/>
                <w:kern w:val="0"/>
                <w:sz w:val="18"/>
                <w:szCs w:val="18"/>
                <w:lang w:eastAsia="es-CO"/>
                <w14:ligatures w14:val="none"/>
              </w:rPr>
              <w:t xml:space="preserve"> Exploratoria Rio Mocoa</w:t>
            </w:r>
          </w:p>
        </w:tc>
        <w:tc>
          <w:tcPr>
            <w:tcW w:w="1522" w:type="dxa"/>
            <w:tcBorders>
              <w:top w:val="nil"/>
              <w:left w:val="nil"/>
              <w:bottom w:val="single" w:sz="4" w:space="0" w:color="auto"/>
              <w:right w:val="single" w:sz="4" w:space="0" w:color="auto"/>
            </w:tcBorders>
            <w:noWrap/>
            <w:vAlign w:val="center"/>
            <w:hideMark/>
          </w:tcPr>
          <w:p w14:paraId="6F3A388B"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SAN0128-00-2017</w:t>
            </w:r>
          </w:p>
        </w:tc>
        <w:tc>
          <w:tcPr>
            <w:tcW w:w="5305" w:type="dxa"/>
            <w:tcBorders>
              <w:top w:val="nil"/>
              <w:left w:val="nil"/>
              <w:bottom w:val="single" w:sz="4" w:space="0" w:color="auto"/>
              <w:right w:val="single" w:sz="4" w:space="0" w:color="auto"/>
            </w:tcBorders>
            <w:noWrap/>
            <w:vAlign w:val="center"/>
            <w:hideMark/>
          </w:tcPr>
          <w:p w14:paraId="2798153F"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resuelve recurso de reposición No. 11107 del 15 de diciembre de 2022, en contra del 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6616 del 12 de agosto de 2022</w:t>
            </w:r>
          </w:p>
        </w:tc>
      </w:tr>
      <w:tr w:rsidR="00BF017B" w:rsidRPr="00B450EB" w14:paraId="1F6D6B32"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49CB1461"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0ED9B76A"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515E1FB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SAN0197-00-2020</w:t>
            </w:r>
          </w:p>
        </w:tc>
        <w:tc>
          <w:tcPr>
            <w:tcW w:w="5305" w:type="dxa"/>
            <w:tcBorders>
              <w:top w:val="nil"/>
              <w:left w:val="nil"/>
              <w:bottom w:val="single" w:sz="4" w:space="0" w:color="auto"/>
              <w:right w:val="single" w:sz="4" w:space="0" w:color="auto"/>
            </w:tcBorders>
            <w:noWrap/>
            <w:vAlign w:val="center"/>
            <w:hideMark/>
          </w:tcPr>
          <w:p w14:paraId="22F4ABB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10453 del 28 de octubre de 2020</w:t>
            </w:r>
          </w:p>
        </w:tc>
      </w:tr>
      <w:tr w:rsidR="00BF017B" w:rsidRPr="00B450EB" w14:paraId="2AF567EE"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43B62878"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3E3B4C20"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03E43AE0"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SAN0300-00-2024</w:t>
            </w:r>
          </w:p>
        </w:tc>
        <w:tc>
          <w:tcPr>
            <w:tcW w:w="5305" w:type="dxa"/>
            <w:tcBorders>
              <w:top w:val="nil"/>
              <w:left w:val="nil"/>
              <w:bottom w:val="single" w:sz="4" w:space="0" w:color="auto"/>
              <w:right w:val="single" w:sz="4" w:space="0" w:color="auto"/>
            </w:tcBorders>
            <w:noWrap/>
            <w:vAlign w:val="center"/>
            <w:hideMark/>
          </w:tcPr>
          <w:p w14:paraId="65B34F4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8793 del 18 de octubre de 2024</w:t>
            </w:r>
          </w:p>
        </w:tc>
      </w:tr>
      <w:tr w:rsidR="00BF017B" w:rsidRPr="00B450EB" w14:paraId="18FF93AE"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23A0E91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LAM4609</w:t>
            </w:r>
          </w:p>
        </w:tc>
        <w:tc>
          <w:tcPr>
            <w:tcW w:w="2104" w:type="dxa"/>
            <w:vMerge w:val="restart"/>
            <w:tcBorders>
              <w:top w:val="nil"/>
              <w:left w:val="single" w:sz="4" w:space="0" w:color="auto"/>
              <w:bottom w:val="single" w:sz="4" w:space="0" w:color="auto"/>
              <w:right w:val="single" w:sz="4" w:space="0" w:color="auto"/>
            </w:tcBorders>
            <w:vAlign w:val="center"/>
            <w:hideMark/>
          </w:tcPr>
          <w:p w14:paraId="6F1A9960" w14:textId="5F8FB8C6" w:rsidR="00BF017B" w:rsidRPr="00B450EB" w:rsidRDefault="00E73930"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w:t>
            </w:r>
            <w:r w:rsidR="00CE0BE1" w:rsidRPr="00B450EB">
              <w:rPr>
                <w:rFonts w:eastAsia="Times New Roman" w:cs="Arial"/>
                <w:color w:val="000000"/>
                <w:kern w:val="0"/>
                <w:sz w:val="18"/>
                <w:szCs w:val="18"/>
                <w:lang w:eastAsia="es-CO"/>
                <w14:ligatures w14:val="none"/>
              </w:rPr>
              <w:t xml:space="preserve"> De </w:t>
            </w:r>
            <w:r w:rsidRPr="00B450EB">
              <w:rPr>
                <w:rFonts w:eastAsia="Times New Roman" w:cs="Arial"/>
                <w:color w:val="000000"/>
                <w:kern w:val="0"/>
                <w:sz w:val="18"/>
                <w:szCs w:val="18"/>
                <w:lang w:eastAsia="es-CO"/>
                <w14:ligatures w14:val="none"/>
              </w:rPr>
              <w:t>Explotación</w:t>
            </w:r>
            <w:r w:rsidR="00CE0BE1" w:rsidRPr="00B450EB">
              <w:rPr>
                <w:rFonts w:eastAsia="Times New Roman" w:cs="Arial"/>
                <w:color w:val="000000"/>
                <w:kern w:val="0"/>
                <w:sz w:val="18"/>
                <w:szCs w:val="18"/>
                <w:lang w:eastAsia="es-CO"/>
                <w14:ligatures w14:val="none"/>
              </w:rPr>
              <w:t xml:space="preserve"> De Hidrocarburos Platanillo</w:t>
            </w:r>
          </w:p>
        </w:tc>
        <w:tc>
          <w:tcPr>
            <w:tcW w:w="1522" w:type="dxa"/>
            <w:tcBorders>
              <w:top w:val="nil"/>
              <w:left w:val="nil"/>
              <w:bottom w:val="single" w:sz="4" w:space="0" w:color="auto"/>
              <w:right w:val="single" w:sz="4" w:space="0" w:color="auto"/>
            </w:tcBorders>
            <w:noWrap/>
            <w:vAlign w:val="center"/>
            <w:hideMark/>
          </w:tcPr>
          <w:p w14:paraId="6A7AF467"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SAN0092-00-2016</w:t>
            </w:r>
          </w:p>
        </w:tc>
        <w:tc>
          <w:tcPr>
            <w:tcW w:w="5305" w:type="dxa"/>
            <w:tcBorders>
              <w:top w:val="nil"/>
              <w:left w:val="nil"/>
              <w:bottom w:val="single" w:sz="4" w:space="0" w:color="auto"/>
              <w:right w:val="single" w:sz="4" w:space="0" w:color="auto"/>
            </w:tcBorders>
            <w:noWrap/>
            <w:vAlign w:val="center"/>
            <w:hideMark/>
          </w:tcPr>
          <w:p w14:paraId="09FF0F6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9106 del 28 de octubre de 2019</w:t>
            </w:r>
          </w:p>
        </w:tc>
      </w:tr>
      <w:tr w:rsidR="00BF017B" w:rsidRPr="00B450EB" w14:paraId="5EBE1A1F"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1FD12DD7"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36D84A5A"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22A92FD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SAN0093-00-2016</w:t>
            </w:r>
          </w:p>
        </w:tc>
        <w:tc>
          <w:tcPr>
            <w:tcW w:w="5305" w:type="dxa"/>
            <w:tcBorders>
              <w:top w:val="nil"/>
              <w:left w:val="nil"/>
              <w:bottom w:val="single" w:sz="4" w:space="0" w:color="auto"/>
              <w:right w:val="single" w:sz="4" w:space="0" w:color="auto"/>
            </w:tcBorders>
            <w:noWrap/>
            <w:vAlign w:val="center"/>
            <w:hideMark/>
          </w:tcPr>
          <w:p w14:paraId="4F9D407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que formula pliego de cargos No. 4931 del 30 de junio de 2023</w:t>
            </w:r>
          </w:p>
        </w:tc>
      </w:tr>
      <w:tr w:rsidR="00BF017B" w:rsidRPr="00B450EB" w14:paraId="1CA9BC91"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3DFD06C1"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2EF8FEBE"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215196B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SAN0167-00-2018</w:t>
            </w:r>
          </w:p>
        </w:tc>
        <w:tc>
          <w:tcPr>
            <w:tcW w:w="5305" w:type="dxa"/>
            <w:tcBorders>
              <w:top w:val="nil"/>
              <w:left w:val="nil"/>
              <w:bottom w:val="single" w:sz="4" w:space="0" w:color="auto"/>
              <w:right w:val="single" w:sz="4" w:space="0" w:color="auto"/>
            </w:tcBorders>
            <w:noWrap/>
            <w:vAlign w:val="center"/>
            <w:hideMark/>
          </w:tcPr>
          <w:p w14:paraId="520ECBB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9737 del 31 de octubre de 2022</w:t>
            </w:r>
          </w:p>
        </w:tc>
      </w:tr>
      <w:tr w:rsidR="00BF017B" w:rsidRPr="00B450EB" w14:paraId="168753C5"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36B3CA0A"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2A5AA06D"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71C93150"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SAN1254-00-2019</w:t>
            </w:r>
          </w:p>
        </w:tc>
        <w:tc>
          <w:tcPr>
            <w:tcW w:w="5305" w:type="dxa"/>
            <w:tcBorders>
              <w:top w:val="nil"/>
              <w:left w:val="nil"/>
              <w:bottom w:val="single" w:sz="4" w:space="0" w:color="auto"/>
              <w:right w:val="single" w:sz="4" w:space="0" w:color="auto"/>
            </w:tcBorders>
            <w:noWrap/>
            <w:vAlign w:val="center"/>
            <w:hideMark/>
          </w:tcPr>
          <w:p w14:paraId="4E75C15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3857 del 6 de mayo de 2020</w:t>
            </w:r>
          </w:p>
        </w:tc>
      </w:tr>
      <w:tr w:rsidR="00BF017B" w:rsidRPr="00B450EB" w14:paraId="1859B682"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60A55746"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LAM4650</w:t>
            </w:r>
          </w:p>
        </w:tc>
        <w:tc>
          <w:tcPr>
            <w:tcW w:w="2104" w:type="dxa"/>
            <w:vMerge w:val="restart"/>
            <w:tcBorders>
              <w:top w:val="nil"/>
              <w:left w:val="single" w:sz="4" w:space="0" w:color="auto"/>
              <w:bottom w:val="single" w:sz="4" w:space="0" w:color="auto"/>
              <w:right w:val="single" w:sz="4" w:space="0" w:color="auto"/>
            </w:tcBorders>
            <w:vAlign w:val="center"/>
            <w:hideMark/>
          </w:tcPr>
          <w:p w14:paraId="421206CD" w14:textId="65E7C7DB" w:rsidR="00BF017B" w:rsidRPr="00B450EB" w:rsidRDefault="00E73930"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w:t>
            </w:r>
            <w:r w:rsidR="00CE0BE1" w:rsidRPr="00B450EB">
              <w:rPr>
                <w:rFonts w:eastAsia="Times New Roman" w:cs="Arial"/>
                <w:color w:val="000000"/>
                <w:kern w:val="0"/>
                <w:sz w:val="18"/>
                <w:szCs w:val="18"/>
                <w:lang w:eastAsia="es-CO"/>
                <w14:ligatures w14:val="none"/>
              </w:rPr>
              <w:t xml:space="preserve"> De </w:t>
            </w:r>
            <w:proofErr w:type="spellStart"/>
            <w:r w:rsidR="00CE0BE1" w:rsidRPr="00B450EB">
              <w:rPr>
                <w:rFonts w:eastAsia="Times New Roman" w:cs="Arial"/>
                <w:color w:val="000000"/>
                <w:kern w:val="0"/>
                <w:sz w:val="18"/>
                <w:szCs w:val="18"/>
                <w:lang w:eastAsia="es-CO"/>
                <w14:ligatures w14:val="none"/>
              </w:rPr>
              <w:t>Perforacion</w:t>
            </w:r>
            <w:proofErr w:type="spellEnd"/>
            <w:r w:rsidR="00CE0BE1" w:rsidRPr="00B450EB">
              <w:rPr>
                <w:rFonts w:eastAsia="Times New Roman" w:cs="Arial"/>
                <w:color w:val="000000"/>
                <w:kern w:val="0"/>
                <w:sz w:val="18"/>
                <w:szCs w:val="18"/>
                <w:lang w:eastAsia="es-CO"/>
                <w14:ligatures w14:val="none"/>
              </w:rPr>
              <w:t xml:space="preserve"> Exploratoria Venado</w:t>
            </w:r>
          </w:p>
        </w:tc>
        <w:tc>
          <w:tcPr>
            <w:tcW w:w="1522" w:type="dxa"/>
            <w:tcBorders>
              <w:top w:val="nil"/>
              <w:left w:val="nil"/>
              <w:bottom w:val="single" w:sz="4" w:space="0" w:color="auto"/>
              <w:right w:val="single" w:sz="4" w:space="0" w:color="auto"/>
            </w:tcBorders>
            <w:noWrap/>
            <w:vAlign w:val="center"/>
            <w:hideMark/>
          </w:tcPr>
          <w:p w14:paraId="489BAF4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SAN0135-00-2017</w:t>
            </w:r>
          </w:p>
        </w:tc>
        <w:tc>
          <w:tcPr>
            <w:tcW w:w="5305" w:type="dxa"/>
            <w:tcBorders>
              <w:top w:val="nil"/>
              <w:left w:val="nil"/>
              <w:bottom w:val="single" w:sz="4" w:space="0" w:color="auto"/>
              <w:right w:val="single" w:sz="4" w:space="0" w:color="auto"/>
            </w:tcBorders>
            <w:noWrap/>
            <w:vAlign w:val="center"/>
            <w:hideMark/>
          </w:tcPr>
          <w:p w14:paraId="17A10C1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7538 del 7 de septiembre de 2022</w:t>
            </w:r>
          </w:p>
        </w:tc>
      </w:tr>
      <w:tr w:rsidR="00BF017B" w:rsidRPr="00B450EB" w14:paraId="48294E6C"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44BB5F22"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633D873F"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4A7A6B4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SAN0780-00-2019</w:t>
            </w:r>
          </w:p>
        </w:tc>
        <w:tc>
          <w:tcPr>
            <w:tcW w:w="5305" w:type="dxa"/>
            <w:tcBorders>
              <w:top w:val="nil"/>
              <w:left w:val="nil"/>
              <w:bottom w:val="single" w:sz="4" w:space="0" w:color="auto"/>
              <w:right w:val="single" w:sz="4" w:space="0" w:color="auto"/>
            </w:tcBorders>
            <w:noWrap/>
            <w:vAlign w:val="center"/>
            <w:hideMark/>
          </w:tcPr>
          <w:p w14:paraId="55736CFF"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686 del 14 de febrero de 2023</w:t>
            </w:r>
          </w:p>
        </w:tc>
      </w:tr>
      <w:tr w:rsidR="00BF017B" w:rsidRPr="00B450EB" w14:paraId="3D568F69" w14:textId="77777777" w:rsidTr="009F3332">
        <w:trPr>
          <w:trHeight w:val="684"/>
          <w:jc w:val="center"/>
        </w:trPr>
        <w:tc>
          <w:tcPr>
            <w:tcW w:w="1129" w:type="dxa"/>
            <w:tcBorders>
              <w:top w:val="nil"/>
              <w:left w:val="single" w:sz="4" w:space="0" w:color="auto"/>
              <w:bottom w:val="single" w:sz="4" w:space="0" w:color="auto"/>
              <w:right w:val="single" w:sz="4" w:space="0" w:color="auto"/>
            </w:tcBorders>
            <w:noWrap/>
            <w:vAlign w:val="center"/>
            <w:hideMark/>
          </w:tcPr>
          <w:p w14:paraId="73B272A0"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LAM4654</w:t>
            </w:r>
          </w:p>
        </w:tc>
        <w:tc>
          <w:tcPr>
            <w:tcW w:w="2104" w:type="dxa"/>
            <w:tcBorders>
              <w:top w:val="nil"/>
              <w:left w:val="nil"/>
              <w:bottom w:val="single" w:sz="4" w:space="0" w:color="auto"/>
              <w:right w:val="single" w:sz="4" w:space="0" w:color="auto"/>
            </w:tcBorders>
            <w:vAlign w:val="center"/>
            <w:hideMark/>
          </w:tcPr>
          <w:p w14:paraId="1FE46BD3" w14:textId="5FC14D45" w:rsidR="00BF017B" w:rsidRPr="00B450EB" w:rsidRDefault="00E73930"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w:t>
            </w:r>
            <w:r w:rsidR="00CE0BE1" w:rsidRPr="00B450EB">
              <w:rPr>
                <w:rFonts w:eastAsia="Times New Roman" w:cs="Arial"/>
                <w:color w:val="000000"/>
                <w:kern w:val="0"/>
                <w:sz w:val="18"/>
                <w:szCs w:val="18"/>
                <w:lang w:eastAsia="es-CO"/>
                <w14:ligatures w14:val="none"/>
              </w:rPr>
              <w:t xml:space="preserve"> De </w:t>
            </w:r>
            <w:r w:rsidRPr="00B450EB">
              <w:rPr>
                <w:rFonts w:eastAsia="Times New Roman" w:cs="Arial"/>
                <w:color w:val="000000"/>
                <w:kern w:val="0"/>
                <w:sz w:val="18"/>
                <w:szCs w:val="18"/>
                <w:lang w:eastAsia="es-CO"/>
                <w14:ligatures w14:val="none"/>
              </w:rPr>
              <w:t>Perforación</w:t>
            </w:r>
            <w:r w:rsidR="00CE0BE1" w:rsidRPr="00B450EB">
              <w:rPr>
                <w:rFonts w:eastAsia="Times New Roman" w:cs="Arial"/>
                <w:color w:val="000000"/>
                <w:kern w:val="0"/>
                <w:sz w:val="18"/>
                <w:szCs w:val="18"/>
                <w:lang w:eastAsia="es-CO"/>
                <w14:ligatures w14:val="none"/>
              </w:rPr>
              <w:t xml:space="preserve"> Exploratoria </w:t>
            </w:r>
            <w:proofErr w:type="spellStart"/>
            <w:r w:rsidR="00CE0BE1" w:rsidRPr="00B450EB">
              <w:rPr>
                <w:rFonts w:eastAsia="Times New Roman" w:cs="Arial"/>
                <w:color w:val="000000"/>
                <w:kern w:val="0"/>
                <w:sz w:val="18"/>
                <w:szCs w:val="18"/>
                <w:lang w:eastAsia="es-CO"/>
                <w14:ligatures w14:val="none"/>
              </w:rPr>
              <w:t>Ombu</w:t>
            </w:r>
            <w:proofErr w:type="spellEnd"/>
            <w:r w:rsidR="00CE0BE1" w:rsidRPr="00B450EB">
              <w:rPr>
                <w:rFonts w:eastAsia="Times New Roman" w:cs="Arial"/>
                <w:color w:val="000000"/>
                <w:kern w:val="0"/>
                <w:sz w:val="18"/>
                <w:szCs w:val="18"/>
                <w:lang w:eastAsia="es-CO"/>
                <w14:ligatures w14:val="none"/>
              </w:rPr>
              <w:t xml:space="preserve"> Sur Durillo</w:t>
            </w:r>
          </w:p>
        </w:tc>
        <w:tc>
          <w:tcPr>
            <w:tcW w:w="1522" w:type="dxa"/>
            <w:tcBorders>
              <w:top w:val="nil"/>
              <w:left w:val="nil"/>
              <w:bottom w:val="single" w:sz="4" w:space="0" w:color="auto"/>
              <w:right w:val="single" w:sz="4" w:space="0" w:color="auto"/>
            </w:tcBorders>
            <w:noWrap/>
            <w:vAlign w:val="center"/>
            <w:hideMark/>
          </w:tcPr>
          <w:p w14:paraId="19092F5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SAN0020-00-2017</w:t>
            </w:r>
          </w:p>
        </w:tc>
        <w:tc>
          <w:tcPr>
            <w:tcW w:w="5305" w:type="dxa"/>
            <w:tcBorders>
              <w:top w:val="nil"/>
              <w:left w:val="nil"/>
              <w:bottom w:val="single" w:sz="4" w:space="0" w:color="auto"/>
              <w:right w:val="single" w:sz="4" w:space="0" w:color="auto"/>
            </w:tcBorders>
            <w:noWrap/>
            <w:vAlign w:val="center"/>
            <w:hideMark/>
          </w:tcPr>
          <w:p w14:paraId="106993C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9696 del 31 de agosto de 2022</w:t>
            </w:r>
          </w:p>
        </w:tc>
      </w:tr>
      <w:tr w:rsidR="00BF017B" w:rsidRPr="00B450EB" w14:paraId="0DE7EDB4" w14:textId="77777777" w:rsidTr="009F3332">
        <w:trPr>
          <w:trHeight w:val="684"/>
          <w:jc w:val="center"/>
        </w:trPr>
        <w:tc>
          <w:tcPr>
            <w:tcW w:w="1129" w:type="dxa"/>
            <w:tcBorders>
              <w:top w:val="nil"/>
              <w:left w:val="single" w:sz="4" w:space="0" w:color="auto"/>
              <w:bottom w:val="single" w:sz="4" w:space="0" w:color="auto"/>
              <w:right w:val="single" w:sz="4" w:space="0" w:color="auto"/>
            </w:tcBorders>
            <w:noWrap/>
            <w:vAlign w:val="center"/>
            <w:hideMark/>
          </w:tcPr>
          <w:p w14:paraId="3CC8746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LAM4847</w:t>
            </w:r>
          </w:p>
        </w:tc>
        <w:tc>
          <w:tcPr>
            <w:tcW w:w="2104" w:type="dxa"/>
            <w:tcBorders>
              <w:top w:val="nil"/>
              <w:left w:val="nil"/>
              <w:bottom w:val="single" w:sz="4" w:space="0" w:color="auto"/>
              <w:right w:val="single" w:sz="4" w:space="0" w:color="auto"/>
            </w:tcBorders>
            <w:vAlign w:val="center"/>
            <w:hideMark/>
          </w:tcPr>
          <w:p w14:paraId="712580C8" w14:textId="30322C1B" w:rsidR="00BF017B" w:rsidRPr="00B450EB" w:rsidRDefault="00E73930"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w:t>
            </w:r>
            <w:r w:rsidR="00CE0BE1" w:rsidRPr="00B450EB">
              <w:rPr>
                <w:rFonts w:eastAsia="Times New Roman" w:cs="Arial"/>
                <w:color w:val="000000"/>
                <w:kern w:val="0"/>
                <w:sz w:val="18"/>
                <w:szCs w:val="18"/>
                <w:lang w:eastAsia="es-CO"/>
                <w14:ligatures w14:val="none"/>
              </w:rPr>
              <w:t xml:space="preserve"> De </w:t>
            </w:r>
            <w:r w:rsidRPr="00B450EB">
              <w:rPr>
                <w:rFonts w:eastAsia="Times New Roman" w:cs="Arial"/>
                <w:color w:val="000000"/>
                <w:kern w:val="0"/>
                <w:sz w:val="18"/>
                <w:szCs w:val="18"/>
                <w:lang w:eastAsia="es-CO"/>
                <w14:ligatures w14:val="none"/>
              </w:rPr>
              <w:t>Perforación</w:t>
            </w:r>
            <w:r w:rsidR="00CE0BE1" w:rsidRPr="00B450EB">
              <w:rPr>
                <w:rFonts w:eastAsia="Times New Roman" w:cs="Arial"/>
                <w:color w:val="000000"/>
                <w:kern w:val="0"/>
                <w:sz w:val="18"/>
                <w:szCs w:val="18"/>
                <w:lang w:eastAsia="es-CO"/>
                <w14:ligatures w14:val="none"/>
              </w:rPr>
              <w:t xml:space="preserve"> Exploratoria </w:t>
            </w:r>
            <w:proofErr w:type="spellStart"/>
            <w:r w:rsidR="00CE0BE1" w:rsidRPr="00B450EB">
              <w:rPr>
                <w:rFonts w:eastAsia="Times New Roman" w:cs="Arial"/>
                <w:color w:val="000000"/>
                <w:kern w:val="0"/>
                <w:sz w:val="18"/>
                <w:szCs w:val="18"/>
                <w:lang w:eastAsia="es-CO"/>
                <w14:ligatures w14:val="none"/>
              </w:rPr>
              <w:t>Rumiyaco</w:t>
            </w:r>
            <w:proofErr w:type="spellEnd"/>
          </w:p>
        </w:tc>
        <w:tc>
          <w:tcPr>
            <w:tcW w:w="1522" w:type="dxa"/>
            <w:tcBorders>
              <w:top w:val="nil"/>
              <w:left w:val="nil"/>
              <w:bottom w:val="single" w:sz="4" w:space="0" w:color="auto"/>
              <w:right w:val="single" w:sz="4" w:space="0" w:color="auto"/>
            </w:tcBorders>
            <w:noWrap/>
            <w:vAlign w:val="center"/>
            <w:hideMark/>
          </w:tcPr>
          <w:p w14:paraId="46CA66CD"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SAN0080-00-2022</w:t>
            </w:r>
          </w:p>
        </w:tc>
        <w:tc>
          <w:tcPr>
            <w:tcW w:w="5305" w:type="dxa"/>
            <w:tcBorders>
              <w:top w:val="nil"/>
              <w:left w:val="nil"/>
              <w:bottom w:val="single" w:sz="4" w:space="0" w:color="auto"/>
              <w:right w:val="single" w:sz="4" w:space="0" w:color="auto"/>
            </w:tcBorders>
            <w:noWrap/>
            <w:vAlign w:val="center"/>
            <w:hideMark/>
          </w:tcPr>
          <w:p w14:paraId="5DD6A0E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que formula pliego de cargos No. 9574 del 20 de noviembre de 2023</w:t>
            </w:r>
          </w:p>
        </w:tc>
      </w:tr>
      <w:tr w:rsidR="00BF017B" w:rsidRPr="00B450EB" w14:paraId="1A3FB172" w14:textId="77777777" w:rsidTr="009F3332">
        <w:trPr>
          <w:trHeight w:val="684"/>
          <w:jc w:val="center"/>
        </w:trPr>
        <w:tc>
          <w:tcPr>
            <w:tcW w:w="1129" w:type="dxa"/>
            <w:tcBorders>
              <w:top w:val="nil"/>
              <w:left w:val="single" w:sz="4" w:space="0" w:color="auto"/>
              <w:bottom w:val="single" w:sz="4" w:space="0" w:color="auto"/>
              <w:right w:val="single" w:sz="4" w:space="0" w:color="auto"/>
            </w:tcBorders>
            <w:noWrap/>
            <w:vAlign w:val="center"/>
            <w:hideMark/>
          </w:tcPr>
          <w:p w14:paraId="1596CAD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LAM4899</w:t>
            </w:r>
          </w:p>
        </w:tc>
        <w:tc>
          <w:tcPr>
            <w:tcW w:w="2104" w:type="dxa"/>
            <w:tcBorders>
              <w:top w:val="nil"/>
              <w:left w:val="nil"/>
              <w:bottom w:val="single" w:sz="4" w:space="0" w:color="auto"/>
              <w:right w:val="single" w:sz="4" w:space="0" w:color="auto"/>
            </w:tcBorders>
            <w:vAlign w:val="center"/>
            <w:hideMark/>
          </w:tcPr>
          <w:p w14:paraId="54EF5EC9" w14:textId="13D6FE36"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 De Perforación Exploratoria La Vega Este</w:t>
            </w:r>
          </w:p>
        </w:tc>
        <w:tc>
          <w:tcPr>
            <w:tcW w:w="1522" w:type="dxa"/>
            <w:tcBorders>
              <w:top w:val="nil"/>
              <w:left w:val="nil"/>
              <w:bottom w:val="single" w:sz="4" w:space="0" w:color="auto"/>
              <w:right w:val="single" w:sz="4" w:space="0" w:color="auto"/>
            </w:tcBorders>
            <w:noWrap/>
            <w:vAlign w:val="center"/>
            <w:hideMark/>
          </w:tcPr>
          <w:p w14:paraId="7E141AF5"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SAN0264-00-2020</w:t>
            </w:r>
          </w:p>
        </w:tc>
        <w:tc>
          <w:tcPr>
            <w:tcW w:w="5305" w:type="dxa"/>
            <w:tcBorders>
              <w:top w:val="nil"/>
              <w:left w:val="nil"/>
              <w:bottom w:val="single" w:sz="4" w:space="0" w:color="auto"/>
              <w:right w:val="single" w:sz="4" w:space="0" w:color="auto"/>
            </w:tcBorders>
            <w:noWrap/>
            <w:vAlign w:val="center"/>
            <w:hideMark/>
          </w:tcPr>
          <w:p w14:paraId="645B365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66 del 18 de enero de 2021</w:t>
            </w:r>
          </w:p>
        </w:tc>
      </w:tr>
      <w:tr w:rsidR="00BF017B" w:rsidRPr="00B450EB" w14:paraId="62B9FF43" w14:textId="77777777" w:rsidTr="009F3332">
        <w:trPr>
          <w:trHeight w:val="1140"/>
          <w:jc w:val="center"/>
        </w:trPr>
        <w:tc>
          <w:tcPr>
            <w:tcW w:w="1129" w:type="dxa"/>
            <w:tcBorders>
              <w:top w:val="nil"/>
              <w:left w:val="single" w:sz="4" w:space="0" w:color="auto"/>
              <w:bottom w:val="single" w:sz="4" w:space="0" w:color="auto"/>
              <w:right w:val="single" w:sz="4" w:space="0" w:color="auto"/>
            </w:tcBorders>
            <w:noWrap/>
            <w:vAlign w:val="center"/>
            <w:hideMark/>
          </w:tcPr>
          <w:p w14:paraId="18872B1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LAM4990</w:t>
            </w:r>
          </w:p>
        </w:tc>
        <w:tc>
          <w:tcPr>
            <w:tcW w:w="2104" w:type="dxa"/>
            <w:tcBorders>
              <w:top w:val="nil"/>
              <w:left w:val="nil"/>
              <w:bottom w:val="single" w:sz="4" w:space="0" w:color="auto"/>
              <w:right w:val="single" w:sz="4" w:space="0" w:color="auto"/>
            </w:tcBorders>
            <w:vAlign w:val="center"/>
            <w:hideMark/>
          </w:tcPr>
          <w:p w14:paraId="148D18E7" w14:textId="57A0710D"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Perforación Exploratoria Para Un Área De Interés Localizada Dentro Del Bloque </w:t>
            </w:r>
            <w:proofErr w:type="spellStart"/>
            <w:r w:rsidRPr="00B450EB">
              <w:rPr>
                <w:rFonts w:eastAsia="Times New Roman" w:cs="Arial"/>
                <w:color w:val="000000"/>
                <w:kern w:val="0"/>
                <w:sz w:val="18"/>
                <w:szCs w:val="18"/>
                <w:lang w:eastAsia="es-CO"/>
                <w14:ligatures w14:val="none"/>
              </w:rPr>
              <w:t>Coatí</w:t>
            </w:r>
            <w:proofErr w:type="spellEnd"/>
            <w:r w:rsidRPr="00B450EB">
              <w:rPr>
                <w:rFonts w:eastAsia="Times New Roman" w:cs="Arial"/>
                <w:color w:val="000000"/>
                <w:kern w:val="0"/>
                <w:sz w:val="18"/>
                <w:szCs w:val="18"/>
                <w:lang w:eastAsia="es-CO"/>
                <w14:ligatures w14:val="none"/>
              </w:rPr>
              <w:t>.</w:t>
            </w:r>
          </w:p>
        </w:tc>
        <w:tc>
          <w:tcPr>
            <w:tcW w:w="1522" w:type="dxa"/>
            <w:tcBorders>
              <w:top w:val="nil"/>
              <w:left w:val="nil"/>
              <w:bottom w:val="single" w:sz="4" w:space="0" w:color="auto"/>
              <w:right w:val="single" w:sz="4" w:space="0" w:color="auto"/>
            </w:tcBorders>
            <w:noWrap/>
            <w:vAlign w:val="center"/>
            <w:hideMark/>
          </w:tcPr>
          <w:p w14:paraId="04011FF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SAN0237-00-2020</w:t>
            </w:r>
          </w:p>
        </w:tc>
        <w:tc>
          <w:tcPr>
            <w:tcW w:w="5305" w:type="dxa"/>
            <w:tcBorders>
              <w:top w:val="nil"/>
              <w:left w:val="nil"/>
              <w:bottom w:val="single" w:sz="4" w:space="0" w:color="auto"/>
              <w:right w:val="single" w:sz="4" w:space="0" w:color="auto"/>
            </w:tcBorders>
            <w:noWrap/>
            <w:vAlign w:val="center"/>
            <w:hideMark/>
          </w:tcPr>
          <w:p w14:paraId="3A337270"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11063 del 23 de noviembre de 2020</w:t>
            </w:r>
          </w:p>
        </w:tc>
      </w:tr>
      <w:tr w:rsidR="00BF017B" w:rsidRPr="00B450EB" w14:paraId="20DD4F7E" w14:textId="77777777" w:rsidTr="009F3332">
        <w:trPr>
          <w:trHeight w:val="456"/>
          <w:jc w:val="center"/>
        </w:trPr>
        <w:tc>
          <w:tcPr>
            <w:tcW w:w="1129" w:type="dxa"/>
            <w:tcBorders>
              <w:top w:val="nil"/>
              <w:left w:val="single" w:sz="4" w:space="0" w:color="auto"/>
              <w:bottom w:val="single" w:sz="4" w:space="0" w:color="auto"/>
              <w:right w:val="single" w:sz="4" w:space="0" w:color="auto"/>
            </w:tcBorders>
            <w:noWrap/>
            <w:vAlign w:val="center"/>
            <w:hideMark/>
          </w:tcPr>
          <w:p w14:paraId="14829F9C"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LAM5025</w:t>
            </w:r>
          </w:p>
        </w:tc>
        <w:tc>
          <w:tcPr>
            <w:tcW w:w="2104" w:type="dxa"/>
            <w:tcBorders>
              <w:top w:val="nil"/>
              <w:left w:val="nil"/>
              <w:bottom w:val="single" w:sz="4" w:space="0" w:color="auto"/>
              <w:right w:val="single" w:sz="4" w:space="0" w:color="auto"/>
            </w:tcBorders>
            <w:vAlign w:val="center"/>
            <w:hideMark/>
          </w:tcPr>
          <w:p w14:paraId="7231D738" w14:textId="1F844790"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 De Interés Exploratoria Alea 1848</w:t>
            </w:r>
          </w:p>
        </w:tc>
        <w:tc>
          <w:tcPr>
            <w:tcW w:w="1522" w:type="dxa"/>
            <w:tcBorders>
              <w:top w:val="nil"/>
              <w:left w:val="nil"/>
              <w:bottom w:val="single" w:sz="4" w:space="0" w:color="auto"/>
              <w:right w:val="single" w:sz="4" w:space="0" w:color="auto"/>
            </w:tcBorders>
            <w:noWrap/>
            <w:vAlign w:val="center"/>
            <w:hideMark/>
          </w:tcPr>
          <w:p w14:paraId="7D1A7E5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SAN0146-00-2017</w:t>
            </w:r>
          </w:p>
        </w:tc>
        <w:tc>
          <w:tcPr>
            <w:tcW w:w="5305" w:type="dxa"/>
            <w:tcBorders>
              <w:top w:val="nil"/>
              <w:left w:val="nil"/>
              <w:bottom w:val="single" w:sz="4" w:space="0" w:color="auto"/>
              <w:right w:val="single" w:sz="4" w:space="0" w:color="auto"/>
            </w:tcBorders>
            <w:noWrap/>
            <w:vAlign w:val="center"/>
            <w:hideMark/>
          </w:tcPr>
          <w:p w14:paraId="7C6DF1AC"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11110 del 15 de diciembre de 2022</w:t>
            </w:r>
          </w:p>
        </w:tc>
      </w:tr>
      <w:tr w:rsidR="00BF017B" w:rsidRPr="00B450EB" w14:paraId="1599E38E" w14:textId="77777777" w:rsidTr="009F3332">
        <w:trPr>
          <w:trHeight w:val="456"/>
          <w:jc w:val="center"/>
        </w:trPr>
        <w:tc>
          <w:tcPr>
            <w:tcW w:w="1129" w:type="dxa"/>
            <w:tcBorders>
              <w:top w:val="nil"/>
              <w:left w:val="single" w:sz="4" w:space="0" w:color="auto"/>
              <w:bottom w:val="single" w:sz="4" w:space="0" w:color="auto"/>
              <w:right w:val="single" w:sz="4" w:space="0" w:color="auto"/>
            </w:tcBorders>
            <w:noWrap/>
            <w:vAlign w:val="center"/>
            <w:hideMark/>
          </w:tcPr>
          <w:p w14:paraId="653F5FED"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LAM5887</w:t>
            </w:r>
          </w:p>
        </w:tc>
        <w:tc>
          <w:tcPr>
            <w:tcW w:w="2104" w:type="dxa"/>
            <w:tcBorders>
              <w:top w:val="nil"/>
              <w:left w:val="nil"/>
              <w:bottom w:val="single" w:sz="4" w:space="0" w:color="auto"/>
              <w:right w:val="single" w:sz="4" w:space="0" w:color="auto"/>
            </w:tcBorders>
            <w:vAlign w:val="center"/>
            <w:hideMark/>
          </w:tcPr>
          <w:p w14:paraId="4B4FE80E" w14:textId="42B3F13E" w:rsidR="00BF017B" w:rsidRPr="00B450EB" w:rsidRDefault="00816760"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w:t>
            </w:r>
            <w:r w:rsidR="00CE0BE1" w:rsidRPr="00B450EB">
              <w:rPr>
                <w:rFonts w:eastAsia="Times New Roman" w:cs="Arial"/>
                <w:color w:val="000000"/>
                <w:kern w:val="0"/>
                <w:sz w:val="18"/>
                <w:szCs w:val="18"/>
                <w:lang w:eastAsia="es-CO"/>
                <w14:ligatures w14:val="none"/>
              </w:rPr>
              <w:t xml:space="preserve"> De Perforación Exploratoria La Cabaña</w:t>
            </w:r>
          </w:p>
        </w:tc>
        <w:tc>
          <w:tcPr>
            <w:tcW w:w="1522" w:type="dxa"/>
            <w:tcBorders>
              <w:top w:val="nil"/>
              <w:left w:val="nil"/>
              <w:bottom w:val="single" w:sz="4" w:space="0" w:color="auto"/>
              <w:right w:val="single" w:sz="4" w:space="0" w:color="auto"/>
            </w:tcBorders>
            <w:noWrap/>
            <w:vAlign w:val="center"/>
            <w:hideMark/>
          </w:tcPr>
          <w:p w14:paraId="53863C9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SAN0009-00-2021</w:t>
            </w:r>
          </w:p>
        </w:tc>
        <w:tc>
          <w:tcPr>
            <w:tcW w:w="5305" w:type="dxa"/>
            <w:tcBorders>
              <w:top w:val="nil"/>
              <w:left w:val="nil"/>
              <w:bottom w:val="single" w:sz="4" w:space="0" w:color="auto"/>
              <w:right w:val="single" w:sz="4" w:space="0" w:color="auto"/>
            </w:tcBorders>
            <w:noWrap/>
            <w:vAlign w:val="center"/>
            <w:hideMark/>
          </w:tcPr>
          <w:p w14:paraId="5FCEA4EC"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602 del 15 de febrero de 2021</w:t>
            </w:r>
          </w:p>
        </w:tc>
      </w:tr>
      <w:tr w:rsidR="00BF017B" w:rsidRPr="00B450EB" w14:paraId="7EFB0227"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4BBB6EB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lastRenderedPageBreak/>
              <w:t>LAM6356</w:t>
            </w:r>
          </w:p>
        </w:tc>
        <w:tc>
          <w:tcPr>
            <w:tcW w:w="2104" w:type="dxa"/>
            <w:vMerge w:val="restart"/>
            <w:tcBorders>
              <w:top w:val="nil"/>
              <w:left w:val="single" w:sz="4" w:space="0" w:color="auto"/>
              <w:bottom w:val="single" w:sz="4" w:space="0" w:color="auto"/>
              <w:right w:val="single" w:sz="4" w:space="0" w:color="auto"/>
            </w:tcBorders>
            <w:vAlign w:val="center"/>
            <w:hideMark/>
          </w:tcPr>
          <w:p w14:paraId="7092474D" w14:textId="420C55F5" w:rsidR="00BF017B" w:rsidRPr="00B450EB" w:rsidRDefault="00816760"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w:t>
            </w:r>
            <w:r w:rsidR="00CE0BE1" w:rsidRPr="00B450EB">
              <w:rPr>
                <w:rFonts w:eastAsia="Times New Roman" w:cs="Arial"/>
                <w:color w:val="000000"/>
                <w:kern w:val="0"/>
                <w:sz w:val="18"/>
                <w:szCs w:val="18"/>
                <w:lang w:eastAsia="es-CO"/>
                <w14:ligatures w14:val="none"/>
              </w:rPr>
              <w:t xml:space="preserve"> De Explotación O Desarrollo </w:t>
            </w:r>
            <w:proofErr w:type="spellStart"/>
            <w:r w:rsidR="00CE0BE1" w:rsidRPr="00B450EB">
              <w:rPr>
                <w:rFonts w:eastAsia="Times New Roman" w:cs="Arial"/>
                <w:color w:val="000000"/>
                <w:kern w:val="0"/>
                <w:sz w:val="18"/>
                <w:szCs w:val="18"/>
                <w:lang w:eastAsia="es-CO"/>
                <w14:ligatures w14:val="none"/>
              </w:rPr>
              <w:t>Moquetá</w:t>
            </w:r>
            <w:proofErr w:type="spellEnd"/>
          </w:p>
        </w:tc>
        <w:tc>
          <w:tcPr>
            <w:tcW w:w="1522" w:type="dxa"/>
            <w:tcBorders>
              <w:top w:val="nil"/>
              <w:left w:val="nil"/>
              <w:bottom w:val="single" w:sz="4" w:space="0" w:color="auto"/>
              <w:right w:val="single" w:sz="4" w:space="0" w:color="auto"/>
            </w:tcBorders>
            <w:noWrap/>
            <w:vAlign w:val="center"/>
            <w:hideMark/>
          </w:tcPr>
          <w:p w14:paraId="36C64E5B"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SAN1038-00-2019</w:t>
            </w:r>
          </w:p>
        </w:tc>
        <w:tc>
          <w:tcPr>
            <w:tcW w:w="5305" w:type="dxa"/>
            <w:tcBorders>
              <w:top w:val="nil"/>
              <w:left w:val="nil"/>
              <w:bottom w:val="single" w:sz="4" w:space="0" w:color="auto"/>
              <w:right w:val="single" w:sz="4" w:space="0" w:color="auto"/>
            </w:tcBorders>
            <w:noWrap/>
            <w:vAlign w:val="center"/>
            <w:hideMark/>
          </w:tcPr>
          <w:p w14:paraId="70B8DCC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8025 del 24 de agosto de 2020</w:t>
            </w:r>
          </w:p>
        </w:tc>
      </w:tr>
      <w:tr w:rsidR="00BF017B" w:rsidRPr="00B450EB" w14:paraId="283FFDEE"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7E8E8B2C"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3D7E24AD"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2B51C6E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SAN0263-00-2020</w:t>
            </w:r>
          </w:p>
        </w:tc>
        <w:tc>
          <w:tcPr>
            <w:tcW w:w="5305" w:type="dxa"/>
            <w:tcBorders>
              <w:top w:val="nil"/>
              <w:left w:val="nil"/>
              <w:bottom w:val="single" w:sz="4" w:space="0" w:color="auto"/>
              <w:right w:val="single" w:sz="4" w:space="0" w:color="auto"/>
            </w:tcBorders>
            <w:noWrap/>
            <w:vAlign w:val="center"/>
            <w:hideMark/>
          </w:tcPr>
          <w:p w14:paraId="7B4885C0"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1113 del 28 de febrero de 2023</w:t>
            </w:r>
          </w:p>
        </w:tc>
      </w:tr>
      <w:tr w:rsidR="00BF017B" w:rsidRPr="00B450EB" w14:paraId="5099F183"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39FD4B95"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45496ED7"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2D2E148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SAN0049-00-2021</w:t>
            </w:r>
          </w:p>
        </w:tc>
        <w:tc>
          <w:tcPr>
            <w:tcW w:w="5305" w:type="dxa"/>
            <w:tcBorders>
              <w:top w:val="nil"/>
              <w:left w:val="nil"/>
              <w:bottom w:val="single" w:sz="4" w:space="0" w:color="auto"/>
              <w:right w:val="single" w:sz="4" w:space="0" w:color="auto"/>
            </w:tcBorders>
            <w:noWrap/>
            <w:vAlign w:val="center"/>
            <w:hideMark/>
          </w:tcPr>
          <w:p w14:paraId="5BD68ADC"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que formula pliego de cargos No. 6921 del 11 de agosto de 2025</w:t>
            </w:r>
          </w:p>
        </w:tc>
      </w:tr>
      <w:tr w:rsidR="00BF017B" w:rsidRPr="00B450EB" w14:paraId="4073FD57"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3CD31564"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08E87F43"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5A66F05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SAN0052-00-2022</w:t>
            </w:r>
          </w:p>
        </w:tc>
        <w:tc>
          <w:tcPr>
            <w:tcW w:w="5305" w:type="dxa"/>
            <w:tcBorders>
              <w:top w:val="nil"/>
              <w:left w:val="nil"/>
              <w:bottom w:val="single" w:sz="4" w:space="0" w:color="auto"/>
              <w:right w:val="single" w:sz="4" w:space="0" w:color="auto"/>
            </w:tcBorders>
            <w:noWrap/>
            <w:vAlign w:val="center"/>
            <w:hideMark/>
          </w:tcPr>
          <w:p w14:paraId="3A1E88D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5349 del 13 de julio de 2022</w:t>
            </w:r>
          </w:p>
        </w:tc>
      </w:tr>
      <w:tr w:rsidR="00BF017B" w:rsidRPr="00B450EB" w14:paraId="16EDF0A3" w14:textId="77777777" w:rsidTr="009F3332">
        <w:trPr>
          <w:trHeight w:val="288"/>
          <w:jc w:val="center"/>
        </w:trPr>
        <w:tc>
          <w:tcPr>
            <w:tcW w:w="1129" w:type="dxa"/>
            <w:vMerge w:val="restart"/>
            <w:tcBorders>
              <w:top w:val="nil"/>
              <w:left w:val="single" w:sz="4" w:space="0" w:color="auto"/>
              <w:bottom w:val="single" w:sz="4" w:space="0" w:color="auto"/>
              <w:right w:val="single" w:sz="4" w:space="0" w:color="auto"/>
            </w:tcBorders>
            <w:noWrap/>
            <w:vAlign w:val="center"/>
            <w:hideMark/>
          </w:tcPr>
          <w:p w14:paraId="3CCAC1A8"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LAV0056-00-2015</w:t>
            </w:r>
          </w:p>
        </w:tc>
        <w:tc>
          <w:tcPr>
            <w:tcW w:w="2104" w:type="dxa"/>
            <w:vMerge w:val="restart"/>
            <w:tcBorders>
              <w:top w:val="nil"/>
              <w:left w:val="single" w:sz="4" w:space="0" w:color="auto"/>
              <w:bottom w:val="single" w:sz="4" w:space="0" w:color="auto"/>
              <w:right w:val="single" w:sz="4" w:space="0" w:color="auto"/>
            </w:tcBorders>
            <w:vAlign w:val="center"/>
            <w:hideMark/>
          </w:tcPr>
          <w:p w14:paraId="497415B5" w14:textId="0A8A60F9"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Área De Perforación Exploratoria Cumplidor</w:t>
            </w:r>
          </w:p>
        </w:tc>
        <w:tc>
          <w:tcPr>
            <w:tcW w:w="1522" w:type="dxa"/>
            <w:tcBorders>
              <w:top w:val="nil"/>
              <w:left w:val="nil"/>
              <w:bottom w:val="single" w:sz="4" w:space="0" w:color="auto"/>
              <w:right w:val="single" w:sz="4" w:space="0" w:color="auto"/>
            </w:tcBorders>
            <w:noWrap/>
            <w:vAlign w:val="center"/>
            <w:hideMark/>
          </w:tcPr>
          <w:p w14:paraId="0571AC2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SAN0063-00-2017</w:t>
            </w:r>
          </w:p>
        </w:tc>
        <w:tc>
          <w:tcPr>
            <w:tcW w:w="5305" w:type="dxa"/>
            <w:tcBorders>
              <w:top w:val="nil"/>
              <w:left w:val="nil"/>
              <w:bottom w:val="single" w:sz="4" w:space="0" w:color="auto"/>
              <w:right w:val="single" w:sz="4" w:space="0" w:color="auto"/>
            </w:tcBorders>
            <w:noWrap/>
            <w:vAlign w:val="center"/>
            <w:hideMark/>
          </w:tcPr>
          <w:p w14:paraId="74E52CA0"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que resuelve recurso de reposición No- 10970 del 13 de diciembre de 2022</w:t>
            </w:r>
          </w:p>
        </w:tc>
      </w:tr>
      <w:tr w:rsidR="00BF017B" w:rsidRPr="00B450EB" w14:paraId="21EBAB40" w14:textId="77777777" w:rsidTr="009F3332">
        <w:trPr>
          <w:trHeight w:val="288"/>
          <w:jc w:val="center"/>
        </w:trPr>
        <w:tc>
          <w:tcPr>
            <w:tcW w:w="1129" w:type="dxa"/>
            <w:vMerge/>
            <w:tcBorders>
              <w:top w:val="nil"/>
              <w:left w:val="single" w:sz="4" w:space="0" w:color="auto"/>
              <w:bottom w:val="single" w:sz="4" w:space="0" w:color="auto"/>
              <w:right w:val="single" w:sz="4" w:space="0" w:color="auto"/>
            </w:tcBorders>
            <w:vAlign w:val="center"/>
            <w:hideMark/>
          </w:tcPr>
          <w:p w14:paraId="41355017"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2104" w:type="dxa"/>
            <w:vMerge/>
            <w:tcBorders>
              <w:top w:val="nil"/>
              <w:left w:val="single" w:sz="4" w:space="0" w:color="auto"/>
              <w:bottom w:val="single" w:sz="4" w:space="0" w:color="auto"/>
              <w:right w:val="single" w:sz="4" w:space="0" w:color="auto"/>
            </w:tcBorders>
            <w:vAlign w:val="center"/>
            <w:hideMark/>
          </w:tcPr>
          <w:p w14:paraId="354E6902" w14:textId="77777777" w:rsidR="00BF017B" w:rsidRPr="00B450EB" w:rsidRDefault="00BF017B" w:rsidP="00BF017B">
            <w:pPr>
              <w:spacing w:after="0" w:line="240" w:lineRule="auto"/>
              <w:jc w:val="left"/>
              <w:rPr>
                <w:rFonts w:eastAsia="Times New Roman" w:cs="Arial"/>
                <w:color w:val="000000"/>
                <w:kern w:val="0"/>
                <w:sz w:val="18"/>
                <w:szCs w:val="18"/>
                <w:lang w:eastAsia="es-CO"/>
                <w14:ligatures w14:val="none"/>
              </w:rPr>
            </w:pPr>
          </w:p>
        </w:tc>
        <w:tc>
          <w:tcPr>
            <w:tcW w:w="1522" w:type="dxa"/>
            <w:tcBorders>
              <w:top w:val="nil"/>
              <w:left w:val="nil"/>
              <w:bottom w:val="single" w:sz="4" w:space="0" w:color="auto"/>
              <w:right w:val="single" w:sz="4" w:space="0" w:color="auto"/>
            </w:tcBorders>
            <w:noWrap/>
            <w:vAlign w:val="center"/>
            <w:hideMark/>
          </w:tcPr>
          <w:p w14:paraId="1C1F45B9"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SAN0017-00-2020</w:t>
            </w:r>
          </w:p>
        </w:tc>
        <w:tc>
          <w:tcPr>
            <w:tcW w:w="5305" w:type="dxa"/>
            <w:tcBorders>
              <w:top w:val="nil"/>
              <w:left w:val="nil"/>
              <w:bottom w:val="single" w:sz="4" w:space="0" w:color="auto"/>
              <w:right w:val="single" w:sz="4" w:space="0" w:color="auto"/>
            </w:tcBorders>
            <w:noWrap/>
            <w:vAlign w:val="center"/>
            <w:hideMark/>
          </w:tcPr>
          <w:p w14:paraId="76C2956F"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2607 del 15 de abril de 2025</w:t>
            </w:r>
          </w:p>
        </w:tc>
      </w:tr>
      <w:tr w:rsidR="00BF017B" w:rsidRPr="00B450EB" w14:paraId="7A30269C" w14:textId="77777777" w:rsidTr="009F3332">
        <w:trPr>
          <w:trHeight w:val="456"/>
          <w:jc w:val="center"/>
        </w:trPr>
        <w:tc>
          <w:tcPr>
            <w:tcW w:w="1129" w:type="dxa"/>
            <w:tcBorders>
              <w:top w:val="nil"/>
              <w:left w:val="single" w:sz="4" w:space="0" w:color="auto"/>
              <w:bottom w:val="single" w:sz="4" w:space="0" w:color="auto"/>
              <w:right w:val="single" w:sz="4" w:space="0" w:color="auto"/>
            </w:tcBorders>
            <w:noWrap/>
            <w:vAlign w:val="center"/>
            <w:hideMark/>
          </w:tcPr>
          <w:p w14:paraId="69158DB0"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LAV0062-00-2016</w:t>
            </w:r>
          </w:p>
        </w:tc>
        <w:tc>
          <w:tcPr>
            <w:tcW w:w="2104" w:type="dxa"/>
            <w:tcBorders>
              <w:top w:val="nil"/>
              <w:left w:val="nil"/>
              <w:bottom w:val="single" w:sz="4" w:space="0" w:color="auto"/>
              <w:right w:val="single" w:sz="4" w:space="0" w:color="auto"/>
            </w:tcBorders>
            <w:vAlign w:val="center"/>
            <w:hideMark/>
          </w:tcPr>
          <w:p w14:paraId="7AE9982A" w14:textId="76451129"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Área De Perforación Exploratoria </w:t>
            </w:r>
            <w:proofErr w:type="spellStart"/>
            <w:r w:rsidRPr="00B450EB">
              <w:rPr>
                <w:rFonts w:eastAsia="Times New Roman" w:cs="Arial"/>
                <w:color w:val="000000"/>
                <w:kern w:val="0"/>
                <w:sz w:val="18"/>
                <w:szCs w:val="18"/>
                <w:lang w:eastAsia="es-CO"/>
                <w14:ligatures w14:val="none"/>
              </w:rPr>
              <w:t>Siriri</w:t>
            </w:r>
            <w:proofErr w:type="spellEnd"/>
          </w:p>
        </w:tc>
        <w:tc>
          <w:tcPr>
            <w:tcW w:w="1522" w:type="dxa"/>
            <w:tcBorders>
              <w:top w:val="nil"/>
              <w:left w:val="nil"/>
              <w:bottom w:val="single" w:sz="4" w:space="0" w:color="auto"/>
              <w:right w:val="single" w:sz="4" w:space="0" w:color="auto"/>
            </w:tcBorders>
            <w:noWrap/>
            <w:vAlign w:val="center"/>
            <w:hideMark/>
          </w:tcPr>
          <w:p w14:paraId="6E7F6D6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SAN0096-00-2020</w:t>
            </w:r>
          </w:p>
        </w:tc>
        <w:tc>
          <w:tcPr>
            <w:tcW w:w="5305" w:type="dxa"/>
            <w:tcBorders>
              <w:top w:val="nil"/>
              <w:left w:val="nil"/>
              <w:bottom w:val="single" w:sz="4" w:space="0" w:color="auto"/>
              <w:right w:val="single" w:sz="4" w:space="0" w:color="auto"/>
            </w:tcBorders>
            <w:noWrap/>
            <w:vAlign w:val="center"/>
            <w:hideMark/>
          </w:tcPr>
          <w:p w14:paraId="2995FDA3"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que formula pliego de cargos No. 1632 del 27 de marzo de 2024</w:t>
            </w:r>
          </w:p>
        </w:tc>
      </w:tr>
      <w:tr w:rsidR="00BF017B" w:rsidRPr="00B450EB" w14:paraId="7471CBC1" w14:textId="77777777" w:rsidTr="009F3332">
        <w:trPr>
          <w:trHeight w:val="684"/>
          <w:jc w:val="center"/>
        </w:trPr>
        <w:tc>
          <w:tcPr>
            <w:tcW w:w="1129" w:type="dxa"/>
            <w:tcBorders>
              <w:top w:val="nil"/>
              <w:left w:val="single" w:sz="4" w:space="0" w:color="auto"/>
              <w:bottom w:val="single" w:sz="4" w:space="0" w:color="auto"/>
              <w:right w:val="single" w:sz="4" w:space="0" w:color="auto"/>
            </w:tcBorders>
            <w:noWrap/>
            <w:vAlign w:val="center"/>
            <w:hideMark/>
          </w:tcPr>
          <w:p w14:paraId="24462B0E"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LAV0075-00-2015</w:t>
            </w:r>
          </w:p>
        </w:tc>
        <w:tc>
          <w:tcPr>
            <w:tcW w:w="2104" w:type="dxa"/>
            <w:tcBorders>
              <w:top w:val="nil"/>
              <w:left w:val="nil"/>
              <w:bottom w:val="single" w:sz="4" w:space="0" w:color="auto"/>
              <w:right w:val="single" w:sz="4" w:space="0" w:color="auto"/>
            </w:tcBorders>
            <w:vAlign w:val="center"/>
            <w:hideMark/>
          </w:tcPr>
          <w:p w14:paraId="32EE7FA5" w14:textId="4F44F21B"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Campo De Producción Mirto Dentro Del Bloque Maranta</w:t>
            </w:r>
          </w:p>
        </w:tc>
        <w:tc>
          <w:tcPr>
            <w:tcW w:w="1522" w:type="dxa"/>
            <w:tcBorders>
              <w:top w:val="nil"/>
              <w:left w:val="nil"/>
              <w:bottom w:val="single" w:sz="4" w:space="0" w:color="auto"/>
              <w:right w:val="single" w:sz="4" w:space="0" w:color="auto"/>
            </w:tcBorders>
            <w:noWrap/>
            <w:vAlign w:val="center"/>
            <w:hideMark/>
          </w:tcPr>
          <w:p w14:paraId="02A3A25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SAN0019-00-2021</w:t>
            </w:r>
          </w:p>
        </w:tc>
        <w:tc>
          <w:tcPr>
            <w:tcW w:w="5305" w:type="dxa"/>
            <w:tcBorders>
              <w:top w:val="nil"/>
              <w:left w:val="nil"/>
              <w:bottom w:val="single" w:sz="4" w:space="0" w:color="auto"/>
              <w:right w:val="single" w:sz="4" w:space="0" w:color="auto"/>
            </w:tcBorders>
            <w:noWrap/>
            <w:vAlign w:val="center"/>
            <w:hideMark/>
          </w:tcPr>
          <w:p w14:paraId="5A972BA2"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Auto que decreta, rechaza </w:t>
            </w:r>
            <w:proofErr w:type="spellStart"/>
            <w:r w:rsidRPr="00B450EB">
              <w:rPr>
                <w:rFonts w:eastAsia="Times New Roman" w:cs="Arial"/>
                <w:color w:val="000000"/>
                <w:kern w:val="0"/>
                <w:sz w:val="18"/>
                <w:szCs w:val="18"/>
                <w:lang w:eastAsia="es-CO"/>
                <w14:ligatures w14:val="none"/>
              </w:rPr>
              <w:t>ó</w:t>
            </w:r>
            <w:proofErr w:type="spellEnd"/>
            <w:r w:rsidRPr="00B450EB">
              <w:rPr>
                <w:rFonts w:eastAsia="Times New Roman" w:cs="Arial"/>
                <w:color w:val="000000"/>
                <w:kern w:val="0"/>
                <w:sz w:val="18"/>
                <w:szCs w:val="18"/>
                <w:lang w:eastAsia="es-CO"/>
                <w14:ligatures w14:val="none"/>
              </w:rPr>
              <w:t xml:space="preserve"> niega pruebas No. 5249 del 13 de julio de 2023</w:t>
            </w:r>
          </w:p>
        </w:tc>
      </w:tr>
      <w:tr w:rsidR="00BF017B" w:rsidRPr="00B450EB" w14:paraId="7089627D" w14:textId="77777777" w:rsidTr="009F3332">
        <w:trPr>
          <w:trHeight w:val="456"/>
          <w:jc w:val="center"/>
        </w:trPr>
        <w:tc>
          <w:tcPr>
            <w:tcW w:w="1129" w:type="dxa"/>
            <w:tcBorders>
              <w:top w:val="nil"/>
              <w:left w:val="single" w:sz="4" w:space="0" w:color="auto"/>
              <w:bottom w:val="single" w:sz="4" w:space="0" w:color="auto"/>
              <w:right w:val="single" w:sz="4" w:space="0" w:color="auto"/>
            </w:tcBorders>
            <w:noWrap/>
            <w:vAlign w:val="center"/>
            <w:hideMark/>
          </w:tcPr>
          <w:p w14:paraId="4CA29D27"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LAM3518</w:t>
            </w:r>
          </w:p>
        </w:tc>
        <w:tc>
          <w:tcPr>
            <w:tcW w:w="2104" w:type="dxa"/>
            <w:tcBorders>
              <w:top w:val="nil"/>
              <w:left w:val="nil"/>
              <w:bottom w:val="single" w:sz="4" w:space="0" w:color="auto"/>
              <w:right w:val="single" w:sz="4" w:space="0" w:color="auto"/>
            </w:tcBorders>
            <w:vAlign w:val="center"/>
            <w:hideMark/>
          </w:tcPr>
          <w:p w14:paraId="1573CCB1" w14:textId="26FB637C" w:rsidR="00BF017B" w:rsidRPr="00B450EB" w:rsidRDefault="00CE0BE1"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 xml:space="preserve">Oleoducto Trasandino - </w:t>
            </w:r>
            <w:proofErr w:type="spellStart"/>
            <w:r w:rsidRPr="00B450EB">
              <w:rPr>
                <w:rFonts w:eastAsia="Times New Roman" w:cs="Arial"/>
                <w:color w:val="000000"/>
                <w:kern w:val="0"/>
                <w:sz w:val="18"/>
                <w:szCs w:val="18"/>
                <w:lang w:eastAsia="es-CO"/>
                <w14:ligatures w14:val="none"/>
              </w:rPr>
              <w:t>Ota</w:t>
            </w:r>
            <w:proofErr w:type="spellEnd"/>
          </w:p>
        </w:tc>
        <w:tc>
          <w:tcPr>
            <w:tcW w:w="1522" w:type="dxa"/>
            <w:tcBorders>
              <w:top w:val="nil"/>
              <w:left w:val="nil"/>
              <w:bottom w:val="single" w:sz="4" w:space="0" w:color="auto"/>
              <w:right w:val="single" w:sz="4" w:space="0" w:color="auto"/>
            </w:tcBorders>
            <w:noWrap/>
            <w:vAlign w:val="center"/>
            <w:hideMark/>
          </w:tcPr>
          <w:p w14:paraId="16806EE1"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SAN0049-00-2024</w:t>
            </w:r>
          </w:p>
        </w:tc>
        <w:tc>
          <w:tcPr>
            <w:tcW w:w="5305" w:type="dxa"/>
            <w:tcBorders>
              <w:top w:val="nil"/>
              <w:left w:val="nil"/>
              <w:bottom w:val="single" w:sz="4" w:space="0" w:color="auto"/>
              <w:right w:val="single" w:sz="4" w:space="0" w:color="auto"/>
            </w:tcBorders>
            <w:noWrap/>
            <w:vAlign w:val="center"/>
            <w:hideMark/>
          </w:tcPr>
          <w:p w14:paraId="582A79A4" w14:textId="77777777" w:rsidR="00BF017B" w:rsidRPr="00B450EB" w:rsidRDefault="00BF017B" w:rsidP="00BF017B">
            <w:pPr>
              <w:spacing w:after="0" w:line="240" w:lineRule="auto"/>
              <w:jc w:val="center"/>
              <w:rPr>
                <w:rFonts w:eastAsia="Times New Roman" w:cs="Arial"/>
                <w:color w:val="000000"/>
                <w:kern w:val="0"/>
                <w:sz w:val="18"/>
                <w:szCs w:val="18"/>
                <w:lang w:eastAsia="es-CO"/>
                <w14:ligatures w14:val="none"/>
              </w:rPr>
            </w:pPr>
            <w:r w:rsidRPr="00B450EB">
              <w:rPr>
                <w:rFonts w:eastAsia="Times New Roman" w:cs="Arial"/>
                <w:color w:val="000000"/>
                <w:kern w:val="0"/>
                <w:sz w:val="18"/>
                <w:szCs w:val="18"/>
                <w:lang w:eastAsia="es-CO"/>
                <w14:ligatures w14:val="none"/>
              </w:rPr>
              <w:t>Auto de apertura de investigación No. 2450 del 18 de abril de 2024</w:t>
            </w:r>
          </w:p>
        </w:tc>
      </w:tr>
    </w:tbl>
    <w:p w14:paraId="4E079F6A" w14:textId="14704877" w:rsidR="00015923" w:rsidRPr="00B450EB" w:rsidRDefault="00816760" w:rsidP="00FE73DF">
      <w:pPr>
        <w:jc w:val="center"/>
        <w:rPr>
          <w:rFonts w:cs="Arial"/>
          <w:sz w:val="18"/>
          <w:szCs w:val="18"/>
        </w:rPr>
      </w:pPr>
      <w:r w:rsidRPr="00B450EB">
        <w:rPr>
          <w:rFonts w:cs="Arial"/>
          <w:sz w:val="18"/>
          <w:szCs w:val="18"/>
        </w:rPr>
        <w:t>Fuente: ANLA, 2025</w:t>
      </w:r>
    </w:p>
    <w:p w14:paraId="01C92DE1" w14:textId="195E5D0C" w:rsidR="006E7C27" w:rsidRPr="00B450EB" w:rsidRDefault="006E7C27" w:rsidP="001C1081">
      <w:pPr>
        <w:pStyle w:val="Ttulo3"/>
        <w:numPr>
          <w:ilvl w:val="2"/>
          <w:numId w:val="16"/>
        </w:numPr>
      </w:pPr>
      <w:bookmarkStart w:id="188" w:name="_Toc209722949"/>
      <w:r w:rsidRPr="00B450EB">
        <w:t>Extracción ilegal de madera</w:t>
      </w:r>
      <w:bookmarkEnd w:id="188"/>
    </w:p>
    <w:p w14:paraId="1DF1B96D" w14:textId="77777777" w:rsidR="006E7C27" w:rsidRPr="00B450EB" w:rsidRDefault="006E7C27" w:rsidP="006E7C27">
      <w:r w:rsidRPr="00B450EB">
        <w:t>La extracción ilegal de madera y la tala selectiva es una actividad antrópica que ocasiona cambios en la distribución de las especies en las coberturas boscosas</w:t>
      </w:r>
    </w:p>
    <w:p w14:paraId="5D635647" w14:textId="77777777" w:rsidR="006E7C27" w:rsidRPr="00B450EB" w:rsidRDefault="006E7C27" w:rsidP="006E7C27">
      <w:pPr>
        <w:rPr>
          <w:rFonts w:eastAsia="Arial" w:cs="Arial"/>
        </w:rPr>
      </w:pPr>
      <w:r w:rsidRPr="00B450EB">
        <w:rPr>
          <w:rFonts w:eastAsia="Arial" w:cs="Arial"/>
        </w:rPr>
        <w:t xml:space="preserve">La extracción y comercio ilegal de madera en la Amazonía colombiana constituye uno de los motores más significativos de pérdida de bosque. Se estima que cerca del </w:t>
      </w:r>
      <w:r w:rsidRPr="00B450EB">
        <w:rPr>
          <w:rFonts w:eastAsia="Arial" w:cs="Arial"/>
          <w:b/>
          <w:bCs/>
        </w:rPr>
        <w:t>47 % de la madera comercializada en el país</w:t>
      </w:r>
      <w:r w:rsidRPr="00B450EB">
        <w:rPr>
          <w:rFonts w:eastAsia="Arial" w:cs="Arial"/>
        </w:rPr>
        <w:t xml:space="preserve"> proviene de circuitos ilegales, equivalente a 2,5 millones de m³ anuales (</w:t>
      </w:r>
      <w:proofErr w:type="spellStart"/>
      <w:r w:rsidRPr="00B450EB">
        <w:rPr>
          <w:rFonts w:eastAsia="Arial" w:cs="Arial"/>
        </w:rPr>
        <w:t>Mongabay</w:t>
      </w:r>
      <w:proofErr w:type="spellEnd"/>
      <w:r w:rsidRPr="00B450EB">
        <w:rPr>
          <w:rFonts w:eastAsia="Arial" w:cs="Arial"/>
        </w:rPr>
        <w:t>, 2018). Solo en los departamentos de Caquetá, Putumayo y Amazonas se han movilizado más de 359.000 m³, en muchos casos con salvoconductos que presentan inconsistencias en su respaldo técnico y legal (</w:t>
      </w:r>
      <w:proofErr w:type="spellStart"/>
      <w:r w:rsidRPr="00B450EB">
        <w:rPr>
          <w:rFonts w:eastAsia="Arial" w:cs="Arial"/>
        </w:rPr>
        <w:t>Mongabay</w:t>
      </w:r>
      <w:proofErr w:type="spellEnd"/>
      <w:r w:rsidRPr="00B450EB">
        <w:rPr>
          <w:rFonts w:eastAsia="Arial" w:cs="Arial"/>
        </w:rPr>
        <w:t>, 2018).</w:t>
      </w:r>
    </w:p>
    <w:p w14:paraId="46F1BDCE" w14:textId="77777777" w:rsidR="006E7C27" w:rsidRPr="00B450EB" w:rsidRDefault="006E7C27" w:rsidP="00114052">
      <w:pPr>
        <w:rPr>
          <w:rFonts w:eastAsia="Arial" w:cs="Arial"/>
        </w:rPr>
      </w:pPr>
      <w:r w:rsidRPr="00B450EB">
        <w:rPr>
          <w:rFonts w:eastAsia="Arial" w:cs="Arial"/>
        </w:rPr>
        <w:t xml:space="preserve">Este negocio ilícito alcanza un valor aproximado de </w:t>
      </w:r>
      <w:r w:rsidRPr="00B450EB">
        <w:rPr>
          <w:rFonts w:eastAsia="Arial" w:cs="Arial"/>
          <w:b/>
          <w:bCs/>
        </w:rPr>
        <w:t>750 millones de dólares anuales</w:t>
      </w:r>
      <w:r w:rsidRPr="00B450EB">
        <w:rPr>
          <w:rFonts w:eastAsia="Arial" w:cs="Arial"/>
        </w:rPr>
        <w:t>, comparable con las economías ilegales de cultivos ilícitos (</w:t>
      </w:r>
      <w:proofErr w:type="spellStart"/>
      <w:r w:rsidRPr="00B450EB">
        <w:rPr>
          <w:rFonts w:eastAsia="Arial" w:cs="Arial"/>
        </w:rPr>
        <w:t>InfoAmazonia</w:t>
      </w:r>
      <w:proofErr w:type="spellEnd"/>
      <w:r w:rsidRPr="00B450EB">
        <w:rPr>
          <w:rFonts w:eastAsia="Arial" w:cs="Arial"/>
        </w:rPr>
        <w:t>, 2019). Además, la concentración de este mercado en pocos actores —39 personas movilizaron la mitad de la madera registrada y 10 concentraron el 57 % de los salvoconductos— refleja redes de poder económico y político sostenidas por corrupción y sobornos (</w:t>
      </w:r>
      <w:proofErr w:type="spellStart"/>
      <w:r w:rsidRPr="00B450EB">
        <w:rPr>
          <w:rFonts w:eastAsia="Arial" w:cs="Arial"/>
        </w:rPr>
        <w:t>Mongabay</w:t>
      </w:r>
      <w:proofErr w:type="spellEnd"/>
      <w:r w:rsidRPr="00B450EB">
        <w:rPr>
          <w:rFonts w:eastAsia="Arial" w:cs="Arial"/>
        </w:rPr>
        <w:t xml:space="preserve">, 2018; </w:t>
      </w:r>
      <w:proofErr w:type="spellStart"/>
      <w:r w:rsidRPr="00B450EB">
        <w:rPr>
          <w:rFonts w:eastAsia="Arial" w:cs="Arial"/>
        </w:rPr>
        <w:t>InfoAmazonia</w:t>
      </w:r>
      <w:proofErr w:type="spellEnd"/>
      <w:r w:rsidRPr="00B450EB">
        <w:rPr>
          <w:rFonts w:eastAsia="Arial" w:cs="Arial"/>
        </w:rPr>
        <w:t>, 2019).</w:t>
      </w:r>
    </w:p>
    <w:p w14:paraId="2AB87A5F" w14:textId="0D12284B" w:rsidR="00B70D4D" w:rsidRPr="00B450EB" w:rsidRDefault="00B70D4D" w:rsidP="001C1081">
      <w:pPr>
        <w:pStyle w:val="Ttulo3"/>
        <w:numPr>
          <w:ilvl w:val="2"/>
          <w:numId w:val="16"/>
        </w:numPr>
        <w:rPr>
          <w:rFonts w:eastAsia="Arial" w:cs="Arial"/>
        </w:rPr>
      </w:pPr>
      <w:bookmarkStart w:id="189" w:name="_Toc209722950"/>
      <w:r w:rsidRPr="00B450EB">
        <w:rPr>
          <w:rFonts w:eastAsia="Arial"/>
        </w:rPr>
        <w:t>Incendios</w:t>
      </w:r>
      <w:r w:rsidRPr="00B450EB">
        <w:rPr>
          <w:rFonts w:eastAsia="Arial" w:cs="Arial"/>
        </w:rPr>
        <w:t xml:space="preserve"> y Quemas</w:t>
      </w:r>
      <w:bookmarkEnd w:id="189"/>
      <w:r w:rsidRPr="00B450EB">
        <w:rPr>
          <w:rFonts w:eastAsia="Arial" w:cs="Arial"/>
        </w:rPr>
        <w:t xml:space="preserve"> </w:t>
      </w:r>
    </w:p>
    <w:p w14:paraId="40BA099F" w14:textId="5938ADB2" w:rsidR="00B70D4D" w:rsidRPr="00B450EB" w:rsidRDefault="0399D548" w:rsidP="00325B9F">
      <w:r w:rsidRPr="00B450EB">
        <w:t xml:space="preserve">Según el Instituto SINCHI, las cicatrices de quema corresponden a las marcas o huellas que deja en la superficie del terreno la combustión de la vegetación; en otras palabras, son los rastros visibles en áreas previamente afectadas por el fuego, lo que permite cuantificar la extensión del área impactada. En la Amazonia </w:t>
      </w:r>
      <w:r w:rsidRPr="00B450EB">
        <w:lastRenderedPageBreak/>
        <w:t>colombiana, el SINCHI emplea imágenes satelitales, como las de LANDSAT y MODIS, para identificar y cartografiar estas cicatrices, midiendo cuántas hectáreas resultaron afectadas después de un incendio o quema. Es decir, una cicatriz de quema equivale al área total impactada por el fuego en un periodo determinado. Por su parte, los puntos de calor son anomalías térmicas detectadas por sensores satelitales como MODIS y VIIRS. Estos constituyen aproximaciones a incendios o focos potenciales de fuego, brindando información sobre posibles eventos de quema o incendio en la Amazonia, lo cual contribuye a fortalecer las medidas de prevención y control.</w:t>
      </w:r>
    </w:p>
    <w:p w14:paraId="2FA1ADEF" w14:textId="4F176A4C" w:rsidR="00B70D4D" w:rsidRPr="00B450EB" w:rsidRDefault="0399D548" w:rsidP="00325B9F">
      <w:r w:rsidRPr="00B450EB">
        <w:t>Según el Monitoreo Ambiental de Cicatrices de Quema del Instituto SINCHI, en la Amazonia colombiana entre 2017 y 2025 se reportaron áreas afectadas por cicatrices de quema en diferentes coberturas, incluyendo bosques, vegetación secundaria o en transición y otras coberturas. En el caso de los bosques, el año con mayor superficie impactada fue 2018, con 84.054 ha, seguido de 2020 con 70.607 ha. Para la vegetación secundaria o en transición, 2018 también registró la mayor extensión de cicatrices de quema con 15.170 ha, seguido de 2017 con 9.170 ha. En las demás coberturas, 2018 presentó el valor más alto con 322.417 ha, seguido de 2024 con 262.026 ha. En conjunto, considerando todas las coberturas, los años con mayor superficie afectada fueron 2018 con 421.641 ha y 2024 con 318.035 ha.</w:t>
      </w:r>
    </w:p>
    <w:p w14:paraId="7CE8A100" w14:textId="43FCAB7D" w:rsidR="636AC76B" w:rsidRPr="00B450EB" w:rsidRDefault="0073476F" w:rsidP="0073476F">
      <w:pPr>
        <w:pStyle w:val="Descripcin"/>
        <w:rPr>
          <w:rFonts w:ascii="Aptos" w:eastAsia="Aptos" w:hAnsi="Aptos" w:cs="Aptos"/>
          <w:color w:val="auto"/>
          <w:sz w:val="22"/>
          <w:szCs w:val="22"/>
        </w:rPr>
      </w:pPr>
      <w:bookmarkStart w:id="190" w:name="_Toc209462773"/>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85</w:t>
      </w:r>
      <w:r w:rsidR="0045353A" w:rsidRPr="00B450EB">
        <w:rPr>
          <w:noProof/>
          <w:color w:val="auto"/>
        </w:rPr>
        <w:fldChar w:fldCharType="end"/>
      </w:r>
      <w:r w:rsidRPr="00B450EB">
        <w:rPr>
          <w:color w:val="auto"/>
        </w:rPr>
        <w:t xml:space="preserve">. </w:t>
      </w:r>
      <w:r w:rsidR="636AC76B" w:rsidRPr="00B450EB">
        <w:rPr>
          <w:rFonts w:eastAsia="Aptos" w:cs="Arial"/>
          <w:color w:val="auto"/>
        </w:rPr>
        <w:t>Cicatrices de quemas según el origen entre los años 2017 y 2025.</w:t>
      </w:r>
      <w:bookmarkEnd w:id="190"/>
    </w:p>
    <w:p w14:paraId="133A9A4B" w14:textId="1A9F0CA2" w:rsidR="636AC76B" w:rsidRPr="00B450EB" w:rsidRDefault="636AC76B" w:rsidP="00D203BB">
      <w:pPr>
        <w:spacing w:after="0" w:line="276" w:lineRule="auto"/>
        <w:jc w:val="center"/>
        <w:rPr>
          <w:rFonts w:eastAsia="Arial" w:cs="Arial"/>
        </w:rPr>
      </w:pPr>
      <w:r w:rsidRPr="00B450EB">
        <w:rPr>
          <w:noProof/>
        </w:rPr>
        <w:drawing>
          <wp:inline distT="0" distB="0" distL="0" distR="0" wp14:anchorId="0B5F12B8" wp14:editId="320814CE">
            <wp:extent cx="3676650" cy="2314575"/>
            <wp:effectExtent l="0" t="0" r="0" b="0"/>
            <wp:docPr id="935353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5399" name=""/>
                    <pic:cNvPicPr/>
                  </pic:nvPicPr>
                  <pic:blipFill>
                    <a:blip r:embed="rId140">
                      <a:extLst>
                        <a:ext uri="{28A0092B-C50C-407E-A947-70E740481C1C}">
                          <a14:useLocalDpi xmlns:a14="http://schemas.microsoft.com/office/drawing/2010/main" val="0"/>
                        </a:ext>
                      </a:extLst>
                    </a:blip>
                    <a:stretch>
                      <a:fillRect/>
                    </a:stretch>
                  </pic:blipFill>
                  <pic:spPr>
                    <a:xfrm>
                      <a:off x="0" y="0"/>
                      <a:ext cx="3676650" cy="2314575"/>
                    </a:xfrm>
                    <a:prstGeom prst="rect">
                      <a:avLst/>
                    </a:prstGeom>
                  </pic:spPr>
                </pic:pic>
              </a:graphicData>
            </a:graphic>
          </wp:inline>
        </w:drawing>
      </w:r>
    </w:p>
    <w:p w14:paraId="443A4448" w14:textId="431D04AB" w:rsidR="636AC76B" w:rsidRPr="00B450EB" w:rsidRDefault="636AC76B" w:rsidP="3ECA8310">
      <w:pPr>
        <w:jc w:val="center"/>
      </w:pPr>
      <w:r w:rsidRPr="00B450EB">
        <w:rPr>
          <w:rFonts w:eastAsia="Arial" w:cs="Arial"/>
          <w:sz w:val="18"/>
          <w:szCs w:val="18"/>
        </w:rPr>
        <w:t>Fuente: Instituto SINCHI, 2022</w:t>
      </w:r>
      <w:r w:rsidR="000635DA" w:rsidRPr="00B450EB">
        <w:rPr>
          <w:rFonts w:eastAsia="Arial" w:cs="Arial"/>
          <w:sz w:val="18"/>
          <w:szCs w:val="18"/>
        </w:rPr>
        <w:t>.</w:t>
      </w:r>
    </w:p>
    <w:p w14:paraId="423DE236" w14:textId="0F457DFB" w:rsidR="00B70D4D" w:rsidRPr="00B450EB" w:rsidRDefault="0399D548" w:rsidP="00325B9F">
      <w:r w:rsidRPr="00B450EB">
        <w:t xml:space="preserve">Las </w:t>
      </w:r>
      <w:r w:rsidR="78246E82" w:rsidRPr="00B450EB">
        <w:t>siguientes</w:t>
      </w:r>
      <w:r w:rsidRPr="00B450EB">
        <w:t xml:space="preserve"> figuras muestran la relación entre las cicatrices de quema por incendios y los puntos de calor en la Amazonia colombiana entre 2020 y 2025. En 2020, las cicatrices de quema coincidieron con la alta densidad de puntos de calor, concentrados en Caquetá, Meta y parte del Guaviare. En 2021 se mantuvo esta tendencia, con puntos de calor y cicatrices localizados en los mismos </w:t>
      </w:r>
      <w:r w:rsidRPr="00B450EB">
        <w:lastRenderedPageBreak/>
        <w:t>departamentos. Para 2022, los focos se intensificaron en Caquetá, mientras que en Meta y Guaviare disminuyeron. En 2023, la distribución cambió notablemente, con una mayor concentración en el suroriente del Meta, el centro y norte del Guaviare, y una nueva presencia en Putumayo; sin embargo, no coincidieron con las cicatrices de quema, que se localizaron principalmente en el suroccidente del Meta.</w:t>
      </w:r>
    </w:p>
    <w:p w14:paraId="7CB27569" w14:textId="78B9FFEC" w:rsidR="00B70D4D" w:rsidRPr="00B450EB" w:rsidRDefault="0399D548" w:rsidP="00325B9F">
      <w:r w:rsidRPr="00B450EB">
        <w:t>En 2024 se registró un incremento significativo de cicatrices de quema entre Meta y Caquetá, especialmente en el suroriente y suroccidente del Meta, coincidiendo con un aumento de puntos de calor que también se extendieron hacia el norte del Putumayo. Finalmente, en 2025 los puntos de calor se concentraron en el centro de Caquetá y en el suroccidente del Meta, aunque no coincidieron con las cicatrices de quema, que se ubicaron principalmente en el suroriente del Meta.</w:t>
      </w:r>
    </w:p>
    <w:p w14:paraId="26D0E864" w14:textId="77777777" w:rsidR="00D21538" w:rsidRPr="00B450EB" w:rsidRDefault="00D21538" w:rsidP="00D21538">
      <w:pPr>
        <w:sectPr w:rsidR="00D21538" w:rsidRPr="00B450EB" w:rsidSect="006A504D">
          <w:headerReference w:type="default" r:id="rId141"/>
          <w:footerReference w:type="default" r:id="rId142"/>
          <w:type w:val="continuous"/>
          <w:pgSz w:w="12240" w:h="15840"/>
          <w:pgMar w:top="1417" w:right="1701" w:bottom="1417" w:left="1701" w:header="708" w:footer="708" w:gutter="0"/>
          <w:cols w:space="708"/>
          <w:docGrid w:linePitch="360"/>
        </w:sectPr>
      </w:pPr>
    </w:p>
    <w:p w14:paraId="3D5F17A8" w14:textId="215862B0" w:rsidR="3ECA8310" w:rsidRPr="00B450EB" w:rsidRDefault="0073476F" w:rsidP="0073476F">
      <w:pPr>
        <w:pStyle w:val="Descripcin"/>
        <w:rPr>
          <w:color w:val="auto"/>
        </w:rPr>
      </w:pPr>
      <w:bookmarkStart w:id="191" w:name="_Toc209462774"/>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86</w:t>
      </w:r>
      <w:r w:rsidR="0045353A" w:rsidRPr="00B450EB">
        <w:rPr>
          <w:noProof/>
          <w:color w:val="auto"/>
        </w:rPr>
        <w:fldChar w:fldCharType="end"/>
      </w:r>
      <w:r w:rsidRPr="00B450EB">
        <w:rPr>
          <w:color w:val="auto"/>
        </w:rPr>
        <w:t xml:space="preserve">. </w:t>
      </w:r>
      <w:r w:rsidR="21CE28E1" w:rsidRPr="00B450EB">
        <w:rPr>
          <w:color w:val="auto"/>
        </w:rPr>
        <w:t>Densidad de puntos de calor y cicatrices de quemas por incendios entre el 2020 y 2025.</w:t>
      </w:r>
      <w:bookmarkEnd w:id="191"/>
      <w:r w:rsidR="21CE28E1" w:rsidRPr="00B450EB">
        <w:rPr>
          <w:color w:val="auto"/>
        </w:rPr>
        <w:t xml:space="preserve"> </w:t>
      </w:r>
    </w:p>
    <w:p w14:paraId="6459BA9B" w14:textId="77777777" w:rsidR="00FB6D24" w:rsidRPr="00B450EB" w:rsidRDefault="00FB6D24" w:rsidP="00FB6D24">
      <w:pPr>
        <w:spacing w:after="0"/>
      </w:pPr>
      <w:r w:rsidRPr="00B450EB">
        <w:rPr>
          <w:noProof/>
        </w:rPr>
        <w:drawing>
          <wp:inline distT="0" distB="0" distL="0" distR="0" wp14:anchorId="093AB276" wp14:editId="48E600C7">
            <wp:extent cx="8856277" cy="4892040"/>
            <wp:effectExtent l="0" t="0" r="0" b="0"/>
            <wp:docPr id="3722839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3" cstate="email">
                      <a:extLst>
                        <a:ext uri="{28A0092B-C50C-407E-A947-70E740481C1C}">
                          <a14:useLocalDpi xmlns:a14="http://schemas.microsoft.com/office/drawing/2010/main"/>
                        </a:ext>
                      </a:extLst>
                    </a:blip>
                    <a:srcRect/>
                    <a:stretch/>
                  </pic:blipFill>
                  <pic:spPr bwMode="auto">
                    <a:xfrm>
                      <a:off x="0" y="0"/>
                      <a:ext cx="8874650" cy="4902189"/>
                    </a:xfrm>
                    <a:prstGeom prst="rect">
                      <a:avLst/>
                    </a:prstGeom>
                    <a:noFill/>
                    <a:ln>
                      <a:noFill/>
                    </a:ln>
                    <a:extLst>
                      <a:ext uri="{53640926-AAD7-44D8-BBD7-CCE9431645EC}">
                        <a14:shadowObscured xmlns:a14="http://schemas.microsoft.com/office/drawing/2010/main"/>
                      </a:ext>
                    </a:extLst>
                  </pic:spPr>
                </pic:pic>
              </a:graphicData>
            </a:graphic>
          </wp:inline>
        </w:drawing>
      </w:r>
    </w:p>
    <w:p w14:paraId="37701E8B" w14:textId="46010C74" w:rsidR="00FB6D24" w:rsidRPr="00B450EB" w:rsidRDefault="00FB6D24" w:rsidP="00FB6D24">
      <w:pPr>
        <w:jc w:val="center"/>
        <w:rPr>
          <w:sz w:val="18"/>
          <w:szCs w:val="18"/>
        </w:rPr>
        <w:sectPr w:rsidR="00FB6D24" w:rsidRPr="00B450EB" w:rsidSect="00756536">
          <w:pgSz w:w="15840" w:h="12240" w:orient="landscape"/>
          <w:pgMar w:top="1701" w:right="1418" w:bottom="1701" w:left="1418" w:header="709" w:footer="709" w:gutter="0"/>
          <w:cols w:space="708"/>
          <w:docGrid w:linePitch="360"/>
        </w:sectPr>
      </w:pPr>
      <w:r w:rsidRPr="00B450EB">
        <w:rPr>
          <w:sz w:val="18"/>
          <w:szCs w:val="18"/>
        </w:rPr>
        <w:t>Fuente: SINCHI (2020-2025)</w:t>
      </w:r>
    </w:p>
    <w:p w14:paraId="21E6A98A" w14:textId="1EF69877" w:rsidR="454CE9A0" w:rsidRPr="00B450EB" w:rsidRDefault="454CE9A0" w:rsidP="00325B9F">
      <w:bookmarkStart w:id="192" w:name="_Ref208927042"/>
      <w:proofErr w:type="spellStart"/>
      <w:r w:rsidRPr="00B450EB">
        <w:lastRenderedPageBreak/>
        <w:t>Armenteras</w:t>
      </w:r>
      <w:proofErr w:type="spellEnd"/>
      <w:r w:rsidRPr="00B450EB">
        <w:t xml:space="preserve"> et al. (2020) señalan que las cicatrices de quema son un indicador útil para medir la severidad y la extensión espacial de los incendios en la Amazonia colombiana, ya que permiten diferenciar entre perturbaciones naturales y antrópicas. En América Latina, la conversión de la cobertura de la tierra, el mantenimiento de pastos y el establecimiento de áreas para cultivos están estrechamente relacionados con el uso del fuego. Los bosques húmedos tropicales de la Amazonia resultaron particularmente afectados durante las temporadas de sequía entre 1997 y 2015, cuando muchos de los incendios se salieron de control debido a factores socioeconómicos como la expansión de la frontera agrícola y la presencia de cultivos ilícitos. Esta dinámica ha estado intrínsecamente asociada con la deforestación, en la que el fuego constituye la herramienta más efectiva para despejar el suelo.</w:t>
      </w:r>
    </w:p>
    <w:p w14:paraId="7E365647" w14:textId="2440D052" w:rsidR="454CE9A0" w:rsidRPr="00B450EB" w:rsidRDefault="454CE9A0" w:rsidP="00325B9F">
      <w:r w:rsidRPr="00B450EB">
        <w:t>Los bosques tropicales lluviosos son ecosistemas que, por sus condiciones de humedad, composición y estructura, generalmente inhiben la ignición y propagación del fuego (</w:t>
      </w:r>
      <w:proofErr w:type="spellStart"/>
      <w:r w:rsidRPr="00B450EB">
        <w:t>Armenteras</w:t>
      </w:r>
      <w:proofErr w:type="spellEnd"/>
      <w:r w:rsidRPr="00B450EB">
        <w:t xml:space="preserve"> et al., 2020). Sin embargo, esta capacidad se ve alterada por cambios en el uso del suelo, la invasión de pastos y arbustos </w:t>
      </w:r>
      <w:proofErr w:type="spellStart"/>
      <w:r w:rsidRPr="00B450EB">
        <w:t>pirófitos</w:t>
      </w:r>
      <w:proofErr w:type="spellEnd"/>
      <w:r w:rsidRPr="00B450EB">
        <w:t>, así como por los efectos del cambio climático. El fuego no solo impacta la vegetación, sino también las comunidades edáficas, que pueden sufrir alteraciones en su composición, densidad y diversidad. Asimismo, se ha evidenciado que los microorganismos del suelo presentan efectos negativos en su abundancia y en la fijación de nitrógeno y fósforo hasta nueve meses después de la perturbación, debido al aumento de las temperaturas en el suelo, la reducción en la calidad del sustrato, cambios en el pH y variaciones micro climáticas posteriores al fuego (</w:t>
      </w:r>
      <w:proofErr w:type="spellStart"/>
      <w:r w:rsidRPr="00B450EB">
        <w:t>Armenteras</w:t>
      </w:r>
      <w:proofErr w:type="spellEnd"/>
      <w:r w:rsidRPr="00B450EB">
        <w:t xml:space="preserve"> et al., 2020).</w:t>
      </w:r>
    </w:p>
    <w:p w14:paraId="3675CA89" w14:textId="18E6EEB7" w:rsidR="74A79E79" w:rsidRPr="00B450EB" w:rsidRDefault="74A79E79" w:rsidP="53DCCB04">
      <w:pPr>
        <w:spacing w:before="240" w:after="240"/>
        <w:rPr>
          <w:rFonts w:eastAsia="Arial" w:cs="Arial"/>
          <w:lang w:val="es-419"/>
        </w:rPr>
      </w:pPr>
      <w:r w:rsidRPr="00B450EB">
        <w:rPr>
          <w:rFonts w:eastAsia="Arial" w:cs="Arial"/>
          <w:lang w:val="es-419"/>
        </w:rPr>
        <w:t>La fragmentación en la Amazonia no solo incrementa la ocurrencia y la intensidad de los incendios, sino que también genera un marcado efecto de borde, ya que los fuegos más intensos tienden a presentarse cerca de los límites de los fragmentos (</w:t>
      </w:r>
      <w:proofErr w:type="spellStart"/>
      <w:r w:rsidRPr="00B450EB">
        <w:rPr>
          <w:rFonts w:eastAsia="Arial" w:cs="Arial"/>
          <w:lang w:val="es-419"/>
        </w:rPr>
        <w:t>Armenteras</w:t>
      </w:r>
      <w:proofErr w:type="spellEnd"/>
      <w:r w:rsidRPr="00B450EB">
        <w:rPr>
          <w:rFonts w:eastAsia="Arial" w:cs="Arial"/>
          <w:lang w:val="es-419"/>
        </w:rPr>
        <w:t xml:space="preserve"> et al., 2020). Esto provoca una serie de cambios en la dinámica de los ecosistemas</w:t>
      </w:r>
      <w:r w:rsidR="65C1AC6B" w:rsidRPr="00B450EB">
        <w:rPr>
          <w:rFonts w:eastAsia="Arial" w:cs="Arial"/>
          <w:lang w:val="es-419"/>
        </w:rPr>
        <w:t>,</w:t>
      </w:r>
      <w:r w:rsidRPr="00B450EB">
        <w:rPr>
          <w:rFonts w:eastAsia="Arial" w:cs="Arial"/>
          <w:lang w:val="es-419"/>
        </w:rPr>
        <w:t xml:space="preserve"> mientras que algunas especies de plantas especialistas no toleran los cambios abruptos, otras más generalistas logran adaptarse. </w:t>
      </w:r>
      <w:r w:rsidR="1A5049ED" w:rsidRPr="00B450EB">
        <w:rPr>
          <w:rFonts w:eastAsia="Arial" w:cs="Arial"/>
          <w:lang w:val="es-419"/>
        </w:rPr>
        <w:t xml:space="preserve">Estos procesos, sumados a las modificaciones micro climáticas originadas por actividades antropogénicas, generan condiciones que inducen estrés fisiológico en muchas especies, como ocurre con los anfibios, que son particularmente sensibles debido a sus estrictos requerimientos de humedad. Como consecuencia, cada vez que ocurren incendios, la resistencia ecológica de los ecosistemas disminuye, lo que incrementa la tasa de desplazamiento o mortalidad de las especies (Urbina-Cardona, 2025). Este fenómeno desencadena un efecto en cascada: se crean más </w:t>
      </w:r>
      <w:r w:rsidR="1A5049ED" w:rsidRPr="00B450EB">
        <w:rPr>
          <w:rFonts w:eastAsia="Arial" w:cs="Arial"/>
          <w:lang w:val="es-419"/>
        </w:rPr>
        <w:lastRenderedPageBreak/>
        <w:t>bordes, aumenta la mortalidad y la pérdida de biomasa y carbono se intensifica con el tiempo. En este contexto, los microhábitats también se ven afectados, y tanto la resistencia como la resiliencia de la vegetación se reducen de manera significativa (Urbina-Cardona, 2025).</w:t>
      </w:r>
    </w:p>
    <w:p w14:paraId="28EC7754" w14:textId="70D49A0C" w:rsidR="161D4C41" w:rsidRPr="00B450EB" w:rsidRDefault="161D4C41" w:rsidP="0AF268B5">
      <w:pPr>
        <w:spacing w:before="240" w:after="240"/>
        <w:rPr>
          <w:rFonts w:eastAsia="Arial" w:cs="Arial"/>
          <w:lang w:val="es-419"/>
        </w:rPr>
      </w:pPr>
      <w:r w:rsidRPr="00B450EB">
        <w:rPr>
          <w:rFonts w:eastAsia="Arial" w:cs="Arial"/>
          <w:lang w:val="es-419"/>
        </w:rPr>
        <w:t>Cabe resaltar que los regímenes ecológicos de la Amazonia no contemplan el fuego como un disturbio natural, lo que hace que estos ecosistemas sean particularmente sensibles a sus efectos. Esta vulnerabilidad se intensifica porque la combinación entre el efecto de borde y la mayor aridez de los microhábitats favorece la propagación del fuego, condición especialmente crítica en fragmentos pequeños (Urbina-Cardona, 2025). Además, la extensión, el tamaño y el número de incendios se encuentran correlacionados con su intensidad y frecuencia, de modo que</w:t>
      </w:r>
      <w:r w:rsidR="7D1A76C0" w:rsidRPr="00B450EB">
        <w:rPr>
          <w:rFonts w:eastAsia="Arial" w:cs="Arial"/>
          <w:lang w:val="es-419"/>
        </w:rPr>
        <w:t>,</w:t>
      </w:r>
      <w:r w:rsidRPr="00B450EB">
        <w:rPr>
          <w:rFonts w:eastAsia="Arial" w:cs="Arial"/>
          <w:lang w:val="es-419"/>
        </w:rPr>
        <w:t xml:space="preserve"> en paisajes con menos incendios</w:t>
      </w:r>
      <w:r w:rsidR="02DD574A" w:rsidRPr="00B450EB">
        <w:rPr>
          <w:rFonts w:eastAsia="Arial" w:cs="Arial"/>
          <w:lang w:val="es-419"/>
        </w:rPr>
        <w:t>,</w:t>
      </w:r>
      <w:r w:rsidRPr="00B450EB">
        <w:rPr>
          <w:rFonts w:eastAsia="Arial" w:cs="Arial"/>
          <w:lang w:val="es-419"/>
        </w:rPr>
        <w:t xml:space="preserve"> pero con cicatrices de gran tamaño, se espera que la intensidad del fuego sea mayor.</w:t>
      </w:r>
    </w:p>
    <w:p w14:paraId="7B8A0944" w14:textId="68F0E886" w:rsidR="74A79E79" w:rsidRPr="00B450EB" w:rsidRDefault="74A79E79" w:rsidP="3ECA8310">
      <w:pPr>
        <w:spacing w:before="240" w:after="240"/>
        <w:rPr>
          <w:rFonts w:eastAsia="Arial" w:cs="Arial"/>
          <w:lang w:val="es-419"/>
        </w:rPr>
      </w:pPr>
      <w:r w:rsidRPr="00B450EB">
        <w:rPr>
          <w:rFonts w:eastAsia="Arial" w:cs="Arial"/>
          <w:lang w:val="es-419"/>
        </w:rPr>
        <w:t>El impacto del fuego en los bosques húmedos degrada su estructura, reduce las reservas de carbono y afecta la vegetación en todos sus estratos. El área basal de plantas pequeñas, medianas y grandes puede disminuir en más del 50% en áreas con alta recurrencia de fuego, aunque estas variaciones dependen de la composición de la vegetación y del régimen de incendios (intensidad, frecuencia, tasa de propagación). Además, el aumento de la disponibilidad de luz y la disminución de la humedad del aire generan un ambiente más seco dentro del bosque, lo que a largo plazo limita el desarrollo de la cobertura arbórea y afecta la riqueza de especies (</w:t>
      </w:r>
      <w:proofErr w:type="spellStart"/>
      <w:r w:rsidRPr="00B450EB">
        <w:rPr>
          <w:rFonts w:eastAsia="Arial" w:cs="Arial"/>
          <w:lang w:val="es-419"/>
        </w:rPr>
        <w:t>Candida</w:t>
      </w:r>
      <w:proofErr w:type="spellEnd"/>
      <w:r w:rsidRPr="00B450EB">
        <w:rPr>
          <w:rFonts w:eastAsia="Arial" w:cs="Arial"/>
          <w:lang w:val="es-419"/>
        </w:rPr>
        <w:t xml:space="preserve"> dos Santos et al., 2020).</w:t>
      </w:r>
    </w:p>
    <w:p w14:paraId="46332B0D" w14:textId="7E29F9C4" w:rsidR="52F275D8" w:rsidRPr="00B450EB" w:rsidRDefault="454CE9A0" w:rsidP="00325B9F">
      <w:pPr>
        <w:rPr>
          <w:rFonts w:eastAsia="Aptos" w:cs="Arial"/>
        </w:rPr>
      </w:pPr>
      <w:r w:rsidRPr="00B450EB">
        <w:rPr>
          <w:rFonts w:eastAsia="Aptos" w:cs="Arial"/>
        </w:rPr>
        <w:t>Los incendios también alteran la regeneración del bosque a través de la modificación del banco de semillas y el aislamiento de las poblaciones, lo que favorece la proliferación de especies tolerantes al fuego, pioneras de vida corta, gramíneas exóticas y una baja diversidad de especies herbáceas nativas. Este proceso facilita la rápida colonización, pero puede llevar a la desaparición de especies sensibles al fuego (</w:t>
      </w:r>
      <w:proofErr w:type="spellStart"/>
      <w:r w:rsidRPr="00B450EB">
        <w:rPr>
          <w:rFonts w:eastAsia="Aptos" w:cs="Arial"/>
        </w:rPr>
        <w:t>Candida</w:t>
      </w:r>
      <w:proofErr w:type="spellEnd"/>
      <w:r w:rsidRPr="00B450EB">
        <w:rPr>
          <w:rFonts w:eastAsia="Aptos" w:cs="Arial"/>
        </w:rPr>
        <w:t xml:space="preserve"> dos Santos et al., 2020). Se prevé que los ecosistemas alterados y degradados presenten menor diversidad, menor funcionalidad ecológica y una reducción en la provisión de servicios ecosistémicos, con el riesgo de extinción local de especies (Potter et al., 2013). En general, los bosques amazónicos no están adaptados para tolerar estrés hídrico ni resistir incendios, especialmente en el caso de individuos jóvenes y especies arbóreas con menor tolerancia (Hoffmann et al., 2012).</w:t>
      </w:r>
    </w:p>
    <w:p w14:paraId="029B3281" w14:textId="7FC63507" w:rsidR="693DAAE7" w:rsidRPr="00B450EB" w:rsidRDefault="693DAAE7" w:rsidP="693DAAE7">
      <w:pPr>
        <w:spacing w:line="276" w:lineRule="auto"/>
        <w:rPr>
          <w:rFonts w:ascii="Aptos" w:eastAsia="Aptos" w:hAnsi="Aptos" w:cs="Aptos"/>
        </w:rPr>
      </w:pPr>
    </w:p>
    <w:p w14:paraId="4CEC4B54" w14:textId="27A23A72" w:rsidR="00015923" w:rsidRPr="00B450EB" w:rsidRDefault="00015923" w:rsidP="001C1081">
      <w:pPr>
        <w:pStyle w:val="Ttulo3"/>
        <w:numPr>
          <w:ilvl w:val="2"/>
          <w:numId w:val="16"/>
        </w:numPr>
        <w:rPr>
          <w:rFonts w:eastAsia="Arial" w:cs="Arial"/>
        </w:rPr>
      </w:pPr>
      <w:bookmarkStart w:id="193" w:name="_Toc209722951"/>
      <w:r w:rsidRPr="00B450EB">
        <w:rPr>
          <w:rFonts w:eastAsia="Arial" w:cs="Arial"/>
        </w:rPr>
        <w:lastRenderedPageBreak/>
        <w:t>Cultivos de uso ilícito</w:t>
      </w:r>
      <w:bookmarkEnd w:id="192"/>
      <w:bookmarkEnd w:id="193"/>
    </w:p>
    <w:p w14:paraId="2012A817" w14:textId="77777777" w:rsidR="00015923" w:rsidRPr="00B450EB" w:rsidRDefault="00015923" w:rsidP="00015923">
      <w:pPr>
        <w:pStyle w:val="Textoindependiente"/>
        <w:spacing w:before="21"/>
        <w:ind w:right="18"/>
        <w:rPr>
          <w:rFonts w:ascii="Arial" w:eastAsia="Arial" w:hAnsi="Arial" w:cs="Arial"/>
          <w:kern w:val="2"/>
          <w:sz w:val="24"/>
          <w:szCs w:val="24"/>
          <w:lang w:val="es-CO"/>
          <w14:ligatures w14:val="standardContextual"/>
        </w:rPr>
      </w:pPr>
    </w:p>
    <w:p w14:paraId="06C73447" w14:textId="7C13E435" w:rsidR="00015923" w:rsidRPr="00B450EB" w:rsidRDefault="00015923" w:rsidP="00CC1FAB">
      <w:pPr>
        <w:rPr>
          <w:rFonts w:eastAsia="Calibri" w:cs="Arial"/>
        </w:rPr>
      </w:pPr>
      <w:r w:rsidRPr="00B450EB">
        <w:rPr>
          <w:rFonts w:eastAsia="Calibri" w:cs="Arial"/>
        </w:rPr>
        <w:t xml:space="preserve">En el Bioma Amazónico Colombiano, los cultivos </w:t>
      </w:r>
      <w:r w:rsidR="00105B6D" w:rsidRPr="00B450EB">
        <w:rPr>
          <w:rFonts w:eastAsia="Calibri" w:cs="Arial"/>
        </w:rPr>
        <w:t xml:space="preserve">declarados </w:t>
      </w:r>
      <w:r w:rsidRPr="00B450EB">
        <w:rPr>
          <w:rFonts w:eastAsia="Calibri" w:cs="Arial"/>
        </w:rPr>
        <w:t xml:space="preserve">ilícitos, en particular la coca, han crecido de manera sostenida durante los últimos años, consolidándose como uno de los principales factores de transformación territorial y ambiental. En 2023, cerca del 23% del total nacional de </w:t>
      </w:r>
      <w:r w:rsidR="00105B6D" w:rsidRPr="00B450EB">
        <w:rPr>
          <w:rFonts w:eastAsia="Calibri" w:cs="Arial"/>
        </w:rPr>
        <w:t xml:space="preserve">cultivos de </w:t>
      </w:r>
      <w:r w:rsidRPr="00B450EB">
        <w:rPr>
          <w:rFonts w:eastAsia="Calibri" w:cs="Arial"/>
        </w:rPr>
        <w:t>coca se concentró en esta región, destacándose el Putumayo como epicentro de expansión con municipios como Puerto Asís (11.725 hectáreas), Valle del Guamuez (9.192 hectáreas) y Orito (8.731 hectáreas). Esta expansión se ha mantenido constante desde la firma del Acuerdo de Paz, pasando de 55.000 hectáreas en 2017 a 58.000 en 2023, impulsada por mayores rendimientos, ampliación de áreas cultivadas y el aprovechamiento de zonas con alta capacidad productiva de coca.</w:t>
      </w:r>
      <w:sdt>
        <w:sdtPr>
          <w:rPr>
            <w:rFonts w:eastAsia="Calibri" w:cs="Arial"/>
          </w:rPr>
          <w:id w:val="-203099612"/>
          <w:citation/>
        </w:sdtPr>
        <w:sdtContent>
          <w:r w:rsidRPr="00B450EB">
            <w:rPr>
              <w:rFonts w:eastAsia="Calibri" w:cs="Arial"/>
            </w:rPr>
            <w:fldChar w:fldCharType="begin"/>
          </w:r>
          <w:r w:rsidRPr="00B450EB">
            <w:rPr>
              <w:rFonts w:eastAsia="Calibri" w:cs="Arial"/>
              <w:lang w:val="es-ES"/>
            </w:rPr>
            <w:instrText xml:space="preserve"> CITATION Fun231 \l 3082 </w:instrText>
          </w:r>
          <w:r w:rsidRPr="00B450EB">
            <w:rPr>
              <w:rFonts w:eastAsia="Calibri" w:cs="Arial"/>
            </w:rPr>
            <w:fldChar w:fldCharType="separate"/>
          </w:r>
          <w:r w:rsidR="0077091E" w:rsidRPr="00B450EB">
            <w:rPr>
              <w:rFonts w:eastAsia="Calibri" w:cs="Arial"/>
              <w:noProof/>
              <w:lang w:val="es-ES"/>
            </w:rPr>
            <w:t xml:space="preserve"> (Fundación para la Conservación y el Desarrollo Sostenible (FCDS), 2023)</w:t>
          </w:r>
          <w:r w:rsidRPr="00B450EB">
            <w:rPr>
              <w:rFonts w:eastAsia="Calibri" w:cs="Arial"/>
            </w:rPr>
            <w:fldChar w:fldCharType="end"/>
          </w:r>
        </w:sdtContent>
      </w:sdt>
    </w:p>
    <w:p w14:paraId="232D4AEE" w14:textId="77777777" w:rsidR="00015923" w:rsidRPr="00B450EB" w:rsidRDefault="00015923" w:rsidP="00CC1FAB">
      <w:pPr>
        <w:rPr>
          <w:rFonts w:eastAsia="Calibri" w:cs="Arial"/>
        </w:rPr>
      </w:pPr>
      <w:r w:rsidRPr="00B450EB">
        <w:rPr>
          <w:rFonts w:eastAsia="Calibri" w:cs="Arial"/>
        </w:rPr>
        <w:t xml:space="preserve">Este fenómeno ha configurado un escenario de economías ilícitas fuertemente articuladas con redes de narcotráfico y con estructuras criminales que sustituyeron a las FARC tras la firma del Acuerdo de Paz, como el “Comando de Frontera” y el “Frente Carolina Ramírez”, que han consolidado esquemas de control social y territorial mediante el uso de la violencia, la intimidación y la regulación de actividades económicas. </w:t>
      </w:r>
    </w:p>
    <w:p w14:paraId="1BA05CB6" w14:textId="77777777" w:rsidR="00015923" w:rsidRPr="00B450EB" w:rsidRDefault="00015923" w:rsidP="00CC1FAB">
      <w:pPr>
        <w:rPr>
          <w:rFonts w:eastAsia="Calibri" w:cs="Arial"/>
        </w:rPr>
      </w:pPr>
      <w:r w:rsidRPr="00B450EB">
        <w:rPr>
          <w:rFonts w:eastAsia="Calibri" w:cs="Arial"/>
        </w:rPr>
        <w:t xml:space="preserve">La problemática también se manifiesta en la expansión de cultivos dentro de áreas de especial valor ambiental, como el Parque Nacional Natural (PNN) La Paya en Putumayo, la Reserva Natural Nukak en Guaviare y la Sierra de la Macarena en el Meta. En 2023 se documentaron 4.828 hectáreas de coca dentro de estas zonas protegidas, siendo La Paya la más afectada. Estos espacios, por su aislamiento geográfico y la limitada presencia estatal, se convierten en refugios estratégicos para actividades ilícitas. </w:t>
      </w:r>
    </w:p>
    <w:p w14:paraId="72117A32" w14:textId="10FBFE7D" w:rsidR="00015923" w:rsidRPr="00B450EB" w:rsidRDefault="00015923" w:rsidP="00CC1FAB">
      <w:pPr>
        <w:rPr>
          <w:rFonts w:eastAsia="Calibri" w:cs="Arial"/>
        </w:rPr>
      </w:pPr>
      <w:r w:rsidRPr="00B450EB">
        <w:rPr>
          <w:rFonts w:eastAsia="Calibri" w:cs="Arial"/>
        </w:rPr>
        <w:t>En enclaves como Orito-Vides y Frontera Putumayo se concentran las condiciones que explican la persistencia de esta economía ilícita: acceso a corredores fluviales y fronterizos, disponibilidad de insumos, debilidad institucional y presencia de actores armados que controlan todas las etapas del negocio (cultivo, transformación, tráfico), así como la mejora de procesos productivos que aumentan la eficiencia y la especialización de la producción</w:t>
      </w:r>
      <w:r w:rsidR="00ED403F" w:rsidRPr="00B450EB">
        <w:rPr>
          <w:rFonts w:eastAsia="Calibri" w:cs="Arial"/>
        </w:rPr>
        <w:t xml:space="preserve"> </w:t>
      </w:r>
      <w:r w:rsidR="00EA7FBE" w:rsidRPr="00B450EB">
        <w:rPr>
          <w:rFonts w:eastAsia="Calibri" w:cs="Arial"/>
        </w:rPr>
        <w:t>(</w:t>
      </w:r>
      <w:r w:rsidR="00ED403F" w:rsidRPr="00B450EB">
        <w:rPr>
          <w:rFonts w:eastAsia="Calibri" w:cs="Arial"/>
        </w:rPr>
        <w:t xml:space="preserve">ver </w:t>
      </w:r>
      <w:r w:rsidR="006138C5" w:rsidRPr="00B450EB">
        <w:rPr>
          <w:rFonts w:eastAsia="Calibri" w:cs="Arial"/>
        </w:rPr>
        <w:fldChar w:fldCharType="begin"/>
      </w:r>
      <w:r w:rsidR="006138C5" w:rsidRPr="00B450EB">
        <w:rPr>
          <w:rFonts w:eastAsia="Calibri" w:cs="Arial"/>
        </w:rPr>
        <w:instrText xml:space="preserve"> REF _Ref209215324 \h  \* MERGEFORMAT </w:instrText>
      </w:r>
      <w:r w:rsidR="006138C5" w:rsidRPr="00B450EB">
        <w:rPr>
          <w:rFonts w:eastAsia="Calibri" w:cs="Arial"/>
        </w:rPr>
      </w:r>
      <w:r w:rsidR="006138C5" w:rsidRPr="00B450EB">
        <w:rPr>
          <w:rFonts w:eastAsia="Calibri" w:cs="Arial"/>
        </w:rPr>
        <w:fldChar w:fldCharType="separate"/>
      </w:r>
      <w:r w:rsidR="00010D09" w:rsidRPr="00B450EB">
        <w:t xml:space="preserve">Figura </w:t>
      </w:r>
      <w:r w:rsidR="00010D09" w:rsidRPr="00B450EB">
        <w:rPr>
          <w:noProof/>
        </w:rPr>
        <w:t>87</w:t>
      </w:r>
      <w:r w:rsidR="006138C5" w:rsidRPr="00B450EB">
        <w:rPr>
          <w:rFonts w:eastAsia="Calibri" w:cs="Arial"/>
        </w:rPr>
        <w:fldChar w:fldCharType="end"/>
      </w:r>
      <w:r w:rsidR="006138C5" w:rsidRPr="00B450EB">
        <w:rPr>
          <w:rFonts w:eastAsia="Calibri" w:cs="Arial"/>
        </w:rPr>
        <w:t>)</w:t>
      </w:r>
      <w:r w:rsidRPr="00B450EB">
        <w:rPr>
          <w:rFonts w:eastAsia="Calibri" w:cs="Arial"/>
        </w:rPr>
        <w:t xml:space="preserve">. </w:t>
      </w:r>
      <w:sdt>
        <w:sdtPr>
          <w:rPr>
            <w:rFonts w:eastAsia="Calibri" w:cs="Arial"/>
          </w:rPr>
          <w:id w:val="1380120232"/>
          <w:citation/>
        </w:sdtPr>
        <w:sdtEndPr>
          <w:rPr>
            <w:rFonts w:eastAsiaTheme="minorHAnsi" w:cstheme="minorBidi"/>
          </w:rPr>
        </w:sdtEndPr>
        <w:sdtContent>
          <w:r w:rsidRPr="00B450EB">
            <w:fldChar w:fldCharType="begin"/>
          </w:r>
          <w:r w:rsidRPr="00B450EB">
            <w:rPr>
              <w:lang w:val="es-ES"/>
            </w:rPr>
            <w:instrText xml:space="preserve"> CITATION Fun231 \l 3082 </w:instrText>
          </w:r>
          <w:r w:rsidRPr="00B450EB">
            <w:fldChar w:fldCharType="separate"/>
          </w:r>
          <w:r w:rsidR="0077091E" w:rsidRPr="00B450EB">
            <w:rPr>
              <w:noProof/>
              <w:lang w:val="es-ES"/>
            </w:rPr>
            <w:t>(Fundación para la Conservación y el Desarrollo Sostenible (FCDS), 2023)</w:t>
          </w:r>
          <w:r w:rsidRPr="00B450EB">
            <w:fldChar w:fldCharType="end"/>
          </w:r>
        </w:sdtContent>
      </w:sdt>
      <w:r w:rsidR="007527C6" w:rsidRPr="00B450EB">
        <w:t>.</w:t>
      </w:r>
    </w:p>
    <w:p w14:paraId="59739E17" w14:textId="77777777" w:rsidR="007527C6" w:rsidRPr="00B450EB" w:rsidRDefault="007527C6" w:rsidP="00CC1FAB"/>
    <w:p w14:paraId="28BC9EFA" w14:textId="77777777" w:rsidR="007527C6" w:rsidRPr="00B450EB" w:rsidRDefault="007527C6" w:rsidP="00CC1FAB">
      <w:pPr>
        <w:rPr>
          <w:rFonts w:eastAsia="Calibri" w:cs="Arial"/>
        </w:rPr>
      </w:pPr>
    </w:p>
    <w:p w14:paraId="2389C654" w14:textId="42E2EDDA" w:rsidR="00015923" w:rsidRPr="00B450EB" w:rsidRDefault="00015923" w:rsidP="00325B9F">
      <w:pPr>
        <w:pStyle w:val="Descripcin"/>
        <w:rPr>
          <w:color w:val="auto"/>
        </w:rPr>
      </w:pPr>
      <w:bookmarkStart w:id="194" w:name="_Ref209157204"/>
      <w:bookmarkStart w:id="195" w:name="_Ref209215324"/>
      <w:bookmarkStart w:id="196" w:name="_Ref208927126"/>
      <w:bookmarkStart w:id="197" w:name="_Toc209462775"/>
      <w:r w:rsidRPr="00B450EB">
        <w:rPr>
          <w:color w:val="auto"/>
        </w:rPr>
        <w:lastRenderedPageBreak/>
        <w:t>Figura</w:t>
      </w:r>
      <w:bookmarkEnd w:id="194"/>
      <w:r w:rsidRPr="00B450EB">
        <w:rPr>
          <w:color w:val="auto"/>
        </w:rPr>
        <w:t xml:space="preserve">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87</w:t>
      </w:r>
      <w:r w:rsidR="0045353A" w:rsidRPr="00B450EB">
        <w:rPr>
          <w:noProof/>
          <w:color w:val="auto"/>
        </w:rPr>
        <w:fldChar w:fldCharType="end"/>
      </w:r>
      <w:bookmarkEnd w:id="195"/>
      <w:r w:rsidRPr="00B450EB">
        <w:rPr>
          <w:color w:val="auto"/>
        </w:rPr>
        <w:t>. Cultivos de uso ilícito, puntos de rutas fluviales de economías ilícitas y puntos de tráfico de drogas por municipios que integran el Bioma Amazónico Colombiano</w:t>
      </w:r>
      <w:bookmarkEnd w:id="196"/>
      <w:r w:rsidR="007F2EFF" w:rsidRPr="00B450EB">
        <w:rPr>
          <w:color w:val="auto"/>
        </w:rPr>
        <w:t>.</w:t>
      </w:r>
      <w:bookmarkEnd w:id="197"/>
    </w:p>
    <w:p w14:paraId="778A4939" w14:textId="6F784F90" w:rsidR="00015923" w:rsidRPr="00B450EB" w:rsidRDefault="003232CE" w:rsidP="00015923">
      <w:pPr>
        <w:spacing w:line="240" w:lineRule="auto"/>
        <w:ind w:left="360"/>
        <w:jc w:val="center"/>
        <w:rPr>
          <w:rFonts w:eastAsia="Calibri" w:cs="Arial"/>
          <w:b/>
          <w:bCs/>
        </w:rPr>
      </w:pPr>
      <w:r w:rsidRPr="00B450EB">
        <w:rPr>
          <w:rFonts w:eastAsia="Calibri" w:cs="Arial"/>
          <w:b/>
          <w:bCs/>
          <w:noProof/>
        </w:rPr>
        <w:drawing>
          <wp:inline distT="0" distB="0" distL="0" distR="0" wp14:anchorId="70835128" wp14:editId="3AB8A9CF">
            <wp:extent cx="5612130" cy="4336415"/>
            <wp:effectExtent l="0" t="0" r="7620" b="6985"/>
            <wp:docPr id="1979283282" name="Imagen 6"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283282" name="Imagen 6" descr="Mapa&#10;&#10;El contenido generado por IA puede ser incorrecto."/>
                    <pic:cNvPicPr/>
                  </pic:nvPicPr>
                  <pic:blipFill>
                    <a:blip r:embed="rId144" cstate="email">
                      <a:extLst>
                        <a:ext uri="{28A0092B-C50C-407E-A947-70E740481C1C}">
                          <a14:useLocalDpi xmlns:a14="http://schemas.microsoft.com/office/drawing/2010/main"/>
                        </a:ext>
                      </a:extLst>
                    </a:blip>
                    <a:stretch>
                      <a:fillRect/>
                    </a:stretch>
                  </pic:blipFill>
                  <pic:spPr>
                    <a:xfrm>
                      <a:off x="0" y="0"/>
                      <a:ext cx="5612130" cy="4336415"/>
                    </a:xfrm>
                    <a:prstGeom prst="rect">
                      <a:avLst/>
                    </a:prstGeom>
                  </pic:spPr>
                </pic:pic>
              </a:graphicData>
            </a:graphic>
          </wp:inline>
        </w:drawing>
      </w:r>
    </w:p>
    <w:p w14:paraId="296251B8" w14:textId="7DF0925F" w:rsidR="007F2EFF" w:rsidRPr="00B450EB" w:rsidRDefault="007F2EFF" w:rsidP="007F2EFF">
      <w:pPr>
        <w:spacing w:line="240" w:lineRule="auto"/>
        <w:ind w:left="360"/>
        <w:jc w:val="center"/>
        <w:rPr>
          <w:rFonts w:eastAsia="Calibri" w:cs="Arial"/>
          <w:sz w:val="18"/>
          <w:szCs w:val="18"/>
        </w:rPr>
      </w:pPr>
      <w:r w:rsidRPr="00B450EB">
        <w:rPr>
          <w:rFonts w:eastAsia="Calibri" w:cs="Arial"/>
          <w:sz w:val="18"/>
          <w:szCs w:val="18"/>
        </w:rPr>
        <w:t xml:space="preserve">Fuente: </w:t>
      </w:r>
      <w:proofErr w:type="spellStart"/>
      <w:r w:rsidRPr="00B450EB">
        <w:rPr>
          <w:rFonts w:eastAsia="Calibri" w:cs="Arial"/>
          <w:sz w:val="18"/>
          <w:szCs w:val="18"/>
        </w:rPr>
        <w:t>Geovisor</w:t>
      </w:r>
      <w:proofErr w:type="spellEnd"/>
      <w:r w:rsidRPr="00B450EB">
        <w:rPr>
          <w:rFonts w:eastAsia="Calibri" w:cs="Arial"/>
          <w:sz w:val="18"/>
          <w:szCs w:val="18"/>
        </w:rPr>
        <w:t xml:space="preserve"> Conflictos Socioambientales, publicado por FCDS (Fundación para la Conservación y el Desarrollo Sostenible), 2025.</w:t>
      </w:r>
    </w:p>
    <w:p w14:paraId="66CEEA9C" w14:textId="77777777" w:rsidR="007F2EFF" w:rsidRPr="00B450EB" w:rsidRDefault="007F2EFF" w:rsidP="00015923">
      <w:pPr>
        <w:spacing w:line="240" w:lineRule="auto"/>
        <w:ind w:left="360"/>
        <w:jc w:val="center"/>
        <w:rPr>
          <w:rFonts w:eastAsia="Calibri" w:cs="Arial"/>
          <w:b/>
          <w:bCs/>
        </w:rPr>
      </w:pPr>
    </w:p>
    <w:p w14:paraId="600B704D" w14:textId="2DFD0221" w:rsidR="00C27F26" w:rsidRPr="00B450EB" w:rsidRDefault="00C27F26" w:rsidP="001C1081">
      <w:pPr>
        <w:pStyle w:val="Ttulo3"/>
        <w:numPr>
          <w:ilvl w:val="2"/>
          <w:numId w:val="16"/>
        </w:numPr>
        <w:rPr>
          <w:rFonts w:eastAsia="Arial" w:cs="Arial"/>
        </w:rPr>
      </w:pPr>
      <w:bookmarkStart w:id="198" w:name="_Toc209722952"/>
      <w:r w:rsidRPr="00B450EB">
        <w:rPr>
          <w:rFonts w:eastAsia="Arial" w:cs="Arial"/>
        </w:rPr>
        <w:t>Conflicto armado, grupos al margen de la ley y actividades ilícitas</w:t>
      </w:r>
      <w:bookmarkEnd w:id="198"/>
    </w:p>
    <w:p w14:paraId="31E02486" w14:textId="7FD1CEF0" w:rsidR="00C27F26" w:rsidRPr="00B450EB" w:rsidRDefault="00C27F26" w:rsidP="00CC1FAB">
      <w:pPr>
        <w:rPr>
          <w:rFonts w:eastAsia="Calibri" w:cs="Arial"/>
        </w:rPr>
      </w:pPr>
      <w:r w:rsidRPr="00B450EB">
        <w:rPr>
          <w:rFonts w:eastAsia="Calibri" w:cs="Arial"/>
        </w:rPr>
        <w:t xml:space="preserve">El bioma amazónico colombiano enfrenta una fuerte presión por la presencia de grupos armados ilegales que controlan amplias zonas rurales y de frontera. Tras la firma del Acuerdo de Paz en 2016, la salida de las FARC generó un vacío de poder que fue rápidamente ocupado por disidencias como el Estado Mayor Central y la Segunda Marquetalia, además del ELN y las Autodefensas </w:t>
      </w:r>
      <w:proofErr w:type="spellStart"/>
      <w:r w:rsidRPr="00B450EB">
        <w:rPr>
          <w:rFonts w:eastAsia="Calibri" w:cs="Arial"/>
        </w:rPr>
        <w:t>Gaitanistas</w:t>
      </w:r>
      <w:proofErr w:type="spellEnd"/>
      <w:r w:rsidRPr="00B450EB">
        <w:rPr>
          <w:rFonts w:eastAsia="Calibri" w:cs="Arial"/>
        </w:rPr>
        <w:t xml:space="preserve"> de Colombia (Clan del Golfo). Estas organizaciones ejercen dominio territorial en departamentos como Putumayo, Caquetá, Meta y Guaviare, vinculándose estrechamente con economías ilícitas como el narcotráfico, la minería ilegal y el tráfico de recursos naturales.</w:t>
      </w:r>
      <w:r w:rsidR="00561257" w:rsidRPr="00B450EB">
        <w:rPr>
          <w:rFonts w:eastAsia="Calibri" w:cs="Arial"/>
        </w:rPr>
        <w:t xml:space="preserve"> En la </w:t>
      </w:r>
      <w:r w:rsidR="006138C5" w:rsidRPr="00B450EB">
        <w:rPr>
          <w:rFonts w:eastAsia="Calibri" w:cs="Arial"/>
        </w:rPr>
        <w:fldChar w:fldCharType="begin"/>
      </w:r>
      <w:r w:rsidR="006138C5" w:rsidRPr="00B450EB">
        <w:rPr>
          <w:rFonts w:eastAsia="Calibri" w:cs="Arial"/>
        </w:rPr>
        <w:instrText xml:space="preserve"> REF _Ref209215356 \h  \* MERGEFORMAT </w:instrText>
      </w:r>
      <w:r w:rsidR="006138C5" w:rsidRPr="00B450EB">
        <w:rPr>
          <w:rFonts w:eastAsia="Calibri" w:cs="Arial"/>
        </w:rPr>
      </w:r>
      <w:r w:rsidR="006138C5" w:rsidRPr="00B450EB">
        <w:rPr>
          <w:rFonts w:eastAsia="Calibri" w:cs="Arial"/>
        </w:rPr>
        <w:fldChar w:fldCharType="separate"/>
      </w:r>
      <w:r w:rsidR="00010D09" w:rsidRPr="00B450EB">
        <w:rPr>
          <w:rFonts w:eastAsia="Calibri" w:cs="Arial"/>
        </w:rPr>
        <w:t>Tabla</w:t>
      </w:r>
      <w:r w:rsidR="006138C5" w:rsidRPr="00B450EB">
        <w:rPr>
          <w:rFonts w:eastAsia="Calibri" w:cs="Arial"/>
        </w:rPr>
        <w:fldChar w:fldCharType="end"/>
      </w:r>
      <w:r w:rsidR="00561257" w:rsidRPr="00B450EB">
        <w:rPr>
          <w:rFonts w:eastAsia="Calibri" w:cs="Arial"/>
        </w:rPr>
        <w:t>, se describen</w:t>
      </w:r>
      <w:r w:rsidR="0060573D" w:rsidRPr="00B450EB">
        <w:rPr>
          <w:rFonts w:eastAsia="Calibri" w:cs="Arial"/>
        </w:rPr>
        <w:t xml:space="preserve"> las principales actividades </w:t>
      </w:r>
      <w:proofErr w:type="spellStart"/>
      <w:r w:rsidR="0060573D" w:rsidRPr="00B450EB">
        <w:rPr>
          <w:rFonts w:eastAsia="Calibri" w:cs="Arial"/>
        </w:rPr>
        <w:t>ilicitas</w:t>
      </w:r>
      <w:proofErr w:type="spellEnd"/>
      <w:r w:rsidR="0060573D" w:rsidRPr="00B450EB">
        <w:rPr>
          <w:rFonts w:eastAsia="Calibri" w:cs="Arial"/>
        </w:rPr>
        <w:t>, las áreas protegidas</w:t>
      </w:r>
      <w:r w:rsidR="00C503A6" w:rsidRPr="00B450EB">
        <w:rPr>
          <w:rFonts w:eastAsia="Calibri" w:cs="Arial"/>
        </w:rPr>
        <w:t xml:space="preserve"> donde ejercen control territorial los diferentes actores armados ilegales.</w:t>
      </w:r>
    </w:p>
    <w:p w14:paraId="7EE5E764" w14:textId="77777777" w:rsidR="00C27F26" w:rsidRPr="00B450EB" w:rsidRDefault="00C27F26" w:rsidP="00CC1FAB">
      <w:pPr>
        <w:rPr>
          <w:rFonts w:eastAsia="Calibri" w:cs="Arial"/>
        </w:rPr>
      </w:pPr>
      <w:r w:rsidRPr="00B450EB">
        <w:rPr>
          <w:rFonts w:eastAsia="Calibri" w:cs="Arial"/>
        </w:rPr>
        <w:lastRenderedPageBreak/>
        <w:t xml:space="preserve">Uno de los impactos más graves se relaciona con el tráfico de fauna silvestre, que se mantiene e incluso se intensifica en la región. En 2022 se reportó la captura de más de 12.600 ejemplares de 434 especies entre ellas tortugas, primates y aves, lo que evidencia la creciente presión sobre la biodiversidad amazónica y la fragilidad de los mecanismos de control frente a estas dinámicas ilegales. </w:t>
      </w:r>
    </w:p>
    <w:p w14:paraId="54EAE8CE" w14:textId="22BDD7CD" w:rsidR="00C27F26" w:rsidRPr="00B450EB" w:rsidRDefault="00C27F26" w:rsidP="00CC1FAB">
      <w:pPr>
        <w:rPr>
          <w:rFonts w:eastAsia="Calibri" w:cs="Arial"/>
        </w:rPr>
      </w:pPr>
      <w:r w:rsidRPr="00B450EB">
        <w:rPr>
          <w:rFonts w:eastAsia="Calibri" w:cs="Arial"/>
        </w:rPr>
        <w:t xml:space="preserve">De igual manera, el tráfico ilegal de madera constituye un motor significativo de la deforestación, siendo responsable de cerca del 10% de la pérdida de bosques en Colombia. Los departamentos de Caquetá, Putumayo y Amazonas concentran gran parte de esta actividad, con epicentros en municipios como Cartagena del </w:t>
      </w:r>
      <w:proofErr w:type="spellStart"/>
      <w:r w:rsidRPr="00B450EB">
        <w:rPr>
          <w:rFonts w:eastAsia="Calibri" w:cs="Arial"/>
        </w:rPr>
        <w:t>Chairá</w:t>
      </w:r>
      <w:proofErr w:type="spellEnd"/>
      <w:r w:rsidRPr="00B450EB">
        <w:rPr>
          <w:rFonts w:eastAsia="Calibri" w:cs="Arial"/>
        </w:rPr>
        <w:t xml:space="preserve">, Puerto Leguizamo, Solano y Tarapacá, desde donde se movilizan más de 194 mil metros cúbicos de madera hacia ciudades como Bogotá, Cali, Villavicencio, Bucaramanga y Neiva. A ello se suman las redes transnacionales que operan en la triple frontera entre Perú, Colombia y Brasil, enfocadas en la extracción de maderas finas como cedro, </w:t>
      </w:r>
      <w:proofErr w:type="spellStart"/>
      <w:r w:rsidRPr="00B450EB">
        <w:rPr>
          <w:rFonts w:eastAsia="Calibri" w:cs="Arial"/>
        </w:rPr>
        <w:t>achapo</w:t>
      </w:r>
      <w:proofErr w:type="spellEnd"/>
      <w:r w:rsidRPr="00B450EB">
        <w:rPr>
          <w:rFonts w:eastAsia="Calibri" w:cs="Arial"/>
        </w:rPr>
        <w:t xml:space="preserve"> y </w:t>
      </w:r>
      <w:proofErr w:type="spellStart"/>
      <w:r w:rsidRPr="00B450EB">
        <w:rPr>
          <w:rFonts w:eastAsia="Calibri" w:cs="Arial"/>
        </w:rPr>
        <w:t>sangretoro</w:t>
      </w:r>
      <w:proofErr w:type="spellEnd"/>
      <w:r w:rsidRPr="00B450EB">
        <w:rPr>
          <w:rFonts w:eastAsia="Calibri" w:cs="Arial"/>
        </w:rPr>
        <w:t>. Estas son procesadas en aserraderos y luego comercializadas tanto en mercados nacionales como internacionales.</w:t>
      </w:r>
      <w:r w:rsidRPr="00B450EB">
        <w:t xml:space="preserve"> </w:t>
      </w:r>
      <w:sdt>
        <w:sdtPr>
          <w:id w:val="1652017366"/>
          <w:citation/>
        </w:sdtPr>
        <w:sdtContent>
          <w:r w:rsidRPr="00B450EB">
            <w:fldChar w:fldCharType="begin"/>
          </w:r>
          <w:r w:rsidRPr="00B450EB">
            <w:rPr>
              <w:lang w:val="es-ES"/>
            </w:rPr>
            <w:instrText xml:space="preserve"> CITATION Fun241 \l 3082 </w:instrText>
          </w:r>
          <w:r w:rsidRPr="00B450EB">
            <w:fldChar w:fldCharType="separate"/>
          </w:r>
          <w:r w:rsidR="0077091E" w:rsidRPr="00B450EB">
            <w:rPr>
              <w:noProof/>
              <w:lang w:val="es-ES"/>
            </w:rPr>
            <w:t>(Fundación para la Conservación y el Desarrollo Sostenible (FCDS), 2024)</w:t>
          </w:r>
          <w:r w:rsidRPr="00B450EB">
            <w:fldChar w:fldCharType="end"/>
          </w:r>
        </w:sdtContent>
      </w:sdt>
    </w:p>
    <w:p w14:paraId="52F1FBE1" w14:textId="6D517911" w:rsidR="00C27F26" w:rsidRPr="00B450EB" w:rsidRDefault="00C27F26" w:rsidP="00C27F26">
      <w:pPr>
        <w:spacing w:after="0" w:line="240" w:lineRule="auto"/>
        <w:jc w:val="center"/>
        <w:rPr>
          <w:rFonts w:eastAsia="Calibri" w:cs="Arial"/>
          <w:sz w:val="18"/>
          <w:szCs w:val="18"/>
        </w:rPr>
      </w:pPr>
      <w:bookmarkStart w:id="199" w:name="_Ref209215356"/>
      <w:bookmarkStart w:id="200" w:name="_Toc209723007"/>
      <w:r w:rsidRPr="00B450EB">
        <w:rPr>
          <w:rFonts w:eastAsia="Calibri" w:cs="Arial"/>
          <w:sz w:val="18"/>
          <w:szCs w:val="18"/>
        </w:rPr>
        <w:t>Tabla</w:t>
      </w:r>
      <w:bookmarkEnd w:id="199"/>
      <w:r w:rsidRPr="00B450EB">
        <w:rPr>
          <w:rFonts w:eastAsia="Calibri" w:cs="Arial"/>
          <w:sz w:val="18"/>
          <w:szCs w:val="18"/>
        </w:rPr>
        <w:t xml:space="preserve"> </w:t>
      </w:r>
      <w:r w:rsidRPr="00B450EB">
        <w:rPr>
          <w:rFonts w:eastAsia="Calibri" w:cs="Arial"/>
          <w:sz w:val="18"/>
          <w:szCs w:val="18"/>
        </w:rPr>
        <w:fldChar w:fldCharType="begin"/>
      </w:r>
      <w:r w:rsidRPr="00B450EB">
        <w:rPr>
          <w:rFonts w:eastAsia="Calibri" w:cs="Arial"/>
          <w:b/>
          <w:sz w:val="18"/>
          <w:szCs w:val="18"/>
        </w:rPr>
        <w:instrText xml:space="preserve"> SEQ Tabla \* ARABIC </w:instrText>
      </w:r>
      <w:r w:rsidRPr="00B450EB">
        <w:rPr>
          <w:rFonts w:eastAsia="Calibri" w:cs="Arial"/>
          <w:sz w:val="18"/>
          <w:szCs w:val="18"/>
        </w:rPr>
        <w:fldChar w:fldCharType="separate"/>
      </w:r>
      <w:r w:rsidR="00BC4A10" w:rsidRPr="00B450EB">
        <w:rPr>
          <w:rFonts w:eastAsia="Calibri" w:cs="Arial"/>
          <w:b/>
          <w:noProof/>
          <w:sz w:val="18"/>
          <w:szCs w:val="18"/>
        </w:rPr>
        <w:t>24</w:t>
      </w:r>
      <w:r w:rsidRPr="00B450EB">
        <w:rPr>
          <w:rFonts w:eastAsia="Calibri" w:cs="Arial"/>
          <w:sz w:val="18"/>
          <w:szCs w:val="18"/>
        </w:rPr>
        <w:fldChar w:fldCharType="end"/>
      </w:r>
      <w:r w:rsidRPr="00B450EB">
        <w:rPr>
          <w:rFonts w:eastAsia="Calibri" w:cs="Arial"/>
          <w:sz w:val="18"/>
          <w:szCs w:val="18"/>
        </w:rPr>
        <w:t>. Actividades ilícitas y presencia de actores armados ilegales en los PNN</w:t>
      </w:r>
      <w:bookmarkEnd w:id="200"/>
    </w:p>
    <w:tbl>
      <w:tblPr>
        <w:tblStyle w:val="Tablaconcuadrcula1"/>
        <w:tblW w:w="4814" w:type="pct"/>
        <w:jc w:val="center"/>
        <w:tblLook w:val="04A0" w:firstRow="1" w:lastRow="0" w:firstColumn="1" w:lastColumn="0" w:noHBand="0" w:noVBand="1"/>
      </w:tblPr>
      <w:tblGrid>
        <w:gridCol w:w="2286"/>
        <w:gridCol w:w="1197"/>
        <w:gridCol w:w="848"/>
        <w:gridCol w:w="1000"/>
        <w:gridCol w:w="789"/>
        <w:gridCol w:w="962"/>
        <w:gridCol w:w="1418"/>
      </w:tblGrid>
      <w:tr w:rsidR="00205915" w:rsidRPr="00B450EB" w14:paraId="60BAB62A" w14:textId="77777777" w:rsidTr="00530924">
        <w:trPr>
          <w:trHeight w:val="480"/>
          <w:jc w:val="center"/>
        </w:trPr>
        <w:tc>
          <w:tcPr>
            <w:tcW w:w="1345" w:type="pct"/>
            <w:shd w:val="clear" w:color="auto" w:fill="D9F2D0" w:themeFill="accent6" w:themeFillTint="33"/>
            <w:vAlign w:val="center"/>
            <w:hideMark/>
          </w:tcPr>
          <w:p w14:paraId="2858C6CC" w14:textId="77777777" w:rsidR="00C27F26" w:rsidRPr="00B450EB" w:rsidRDefault="00C27F26">
            <w:pPr>
              <w:jc w:val="center"/>
              <w:rPr>
                <w:rFonts w:eastAsia="Times New Roman" w:cs="Arial"/>
                <w:b/>
                <w:kern w:val="0"/>
                <w:sz w:val="16"/>
                <w:szCs w:val="16"/>
                <w:lang w:eastAsia="es-CO"/>
                <w14:ligatures w14:val="none"/>
              </w:rPr>
            </w:pPr>
            <w:r w:rsidRPr="00B450EB">
              <w:rPr>
                <w:rFonts w:eastAsia="Times New Roman" w:cs="Arial"/>
                <w:b/>
                <w:kern w:val="0"/>
                <w:sz w:val="16"/>
                <w:szCs w:val="16"/>
                <w:lang w:eastAsia="es-CO"/>
                <w14:ligatures w14:val="none"/>
              </w:rPr>
              <w:t>Área protegida</w:t>
            </w:r>
          </w:p>
        </w:tc>
        <w:tc>
          <w:tcPr>
            <w:tcW w:w="704" w:type="pct"/>
            <w:shd w:val="clear" w:color="auto" w:fill="D9F2D0" w:themeFill="accent6" w:themeFillTint="33"/>
            <w:vAlign w:val="center"/>
            <w:hideMark/>
          </w:tcPr>
          <w:p w14:paraId="70CF54B3" w14:textId="77777777" w:rsidR="00C27F26" w:rsidRPr="00B450EB" w:rsidRDefault="00C27F26">
            <w:pPr>
              <w:jc w:val="center"/>
              <w:rPr>
                <w:rFonts w:eastAsia="Times New Roman" w:cs="Arial"/>
                <w:b/>
                <w:kern w:val="0"/>
                <w:sz w:val="16"/>
                <w:szCs w:val="16"/>
                <w:lang w:eastAsia="es-CO"/>
                <w14:ligatures w14:val="none"/>
              </w:rPr>
            </w:pPr>
            <w:r w:rsidRPr="00B450EB">
              <w:rPr>
                <w:rFonts w:eastAsia="Times New Roman" w:cs="Arial"/>
                <w:b/>
                <w:kern w:val="0"/>
                <w:sz w:val="16"/>
                <w:szCs w:val="16"/>
                <w:lang w:eastAsia="es-CO"/>
                <w14:ligatures w14:val="none"/>
              </w:rPr>
              <w:t>Grupos al margen de la ley</w:t>
            </w:r>
          </w:p>
        </w:tc>
        <w:tc>
          <w:tcPr>
            <w:tcW w:w="499" w:type="pct"/>
            <w:shd w:val="clear" w:color="auto" w:fill="D9F2D0" w:themeFill="accent6" w:themeFillTint="33"/>
            <w:vAlign w:val="center"/>
            <w:hideMark/>
          </w:tcPr>
          <w:p w14:paraId="5CF15A00" w14:textId="77777777" w:rsidR="00C27F26" w:rsidRPr="00B450EB" w:rsidRDefault="00C27F26">
            <w:pPr>
              <w:jc w:val="center"/>
              <w:rPr>
                <w:rFonts w:eastAsia="Times New Roman" w:cs="Arial"/>
                <w:b/>
                <w:kern w:val="0"/>
                <w:sz w:val="16"/>
                <w:szCs w:val="16"/>
                <w:lang w:eastAsia="es-CO"/>
                <w14:ligatures w14:val="none"/>
              </w:rPr>
            </w:pPr>
            <w:r w:rsidRPr="00B450EB">
              <w:rPr>
                <w:rFonts w:eastAsia="Times New Roman" w:cs="Arial"/>
                <w:b/>
                <w:kern w:val="0"/>
                <w:sz w:val="16"/>
                <w:szCs w:val="16"/>
                <w:lang w:eastAsia="es-CO"/>
                <w14:ligatures w14:val="none"/>
              </w:rPr>
              <w:t>Cultivos de uso ilícito</w:t>
            </w:r>
          </w:p>
        </w:tc>
        <w:tc>
          <w:tcPr>
            <w:tcW w:w="588" w:type="pct"/>
            <w:shd w:val="clear" w:color="auto" w:fill="D9F2D0" w:themeFill="accent6" w:themeFillTint="33"/>
            <w:vAlign w:val="center"/>
            <w:hideMark/>
          </w:tcPr>
          <w:p w14:paraId="32169F52" w14:textId="77777777" w:rsidR="00C27F26" w:rsidRPr="00B450EB" w:rsidRDefault="00C27F26">
            <w:pPr>
              <w:jc w:val="center"/>
              <w:rPr>
                <w:rFonts w:eastAsia="Times New Roman" w:cs="Arial"/>
                <w:b/>
                <w:kern w:val="0"/>
                <w:sz w:val="16"/>
                <w:szCs w:val="16"/>
                <w:lang w:eastAsia="es-CO"/>
                <w14:ligatures w14:val="none"/>
              </w:rPr>
            </w:pPr>
            <w:r w:rsidRPr="00B450EB">
              <w:rPr>
                <w:rFonts w:eastAsia="Times New Roman" w:cs="Arial"/>
                <w:b/>
                <w:kern w:val="0"/>
                <w:sz w:val="16"/>
                <w:szCs w:val="16"/>
                <w:lang w:eastAsia="es-CO"/>
                <w14:ligatures w14:val="none"/>
              </w:rPr>
              <w:t>Ganadería ilegal</w:t>
            </w:r>
          </w:p>
        </w:tc>
        <w:tc>
          <w:tcPr>
            <w:tcW w:w="464" w:type="pct"/>
            <w:shd w:val="clear" w:color="auto" w:fill="D9F2D0" w:themeFill="accent6" w:themeFillTint="33"/>
            <w:vAlign w:val="center"/>
            <w:hideMark/>
          </w:tcPr>
          <w:p w14:paraId="28EAE728" w14:textId="77777777" w:rsidR="00C27F26" w:rsidRPr="00B450EB" w:rsidRDefault="00C27F26">
            <w:pPr>
              <w:jc w:val="center"/>
              <w:rPr>
                <w:rFonts w:eastAsia="Times New Roman" w:cs="Arial"/>
                <w:b/>
                <w:kern w:val="0"/>
                <w:sz w:val="16"/>
                <w:szCs w:val="16"/>
                <w:lang w:eastAsia="es-CO"/>
                <w14:ligatures w14:val="none"/>
              </w:rPr>
            </w:pPr>
            <w:r w:rsidRPr="00B450EB">
              <w:rPr>
                <w:rFonts w:eastAsia="Times New Roman" w:cs="Arial"/>
                <w:b/>
                <w:kern w:val="0"/>
                <w:sz w:val="16"/>
                <w:szCs w:val="16"/>
                <w:lang w:eastAsia="es-CO"/>
                <w14:ligatures w14:val="none"/>
              </w:rPr>
              <w:t>Minería ilegal</w:t>
            </w:r>
          </w:p>
        </w:tc>
        <w:tc>
          <w:tcPr>
            <w:tcW w:w="566" w:type="pct"/>
            <w:shd w:val="clear" w:color="auto" w:fill="D9F2D0" w:themeFill="accent6" w:themeFillTint="33"/>
            <w:vAlign w:val="center"/>
            <w:hideMark/>
          </w:tcPr>
          <w:p w14:paraId="56B29F41" w14:textId="77777777" w:rsidR="00C27F26" w:rsidRPr="00B450EB" w:rsidRDefault="00C27F26">
            <w:pPr>
              <w:jc w:val="center"/>
              <w:rPr>
                <w:rFonts w:eastAsia="Times New Roman" w:cs="Arial"/>
                <w:b/>
                <w:kern w:val="0"/>
                <w:sz w:val="16"/>
                <w:szCs w:val="16"/>
                <w:lang w:eastAsia="es-CO"/>
                <w14:ligatures w14:val="none"/>
              </w:rPr>
            </w:pPr>
            <w:r w:rsidRPr="00B450EB">
              <w:rPr>
                <w:rFonts w:eastAsia="Times New Roman" w:cs="Arial"/>
                <w:b/>
                <w:kern w:val="0"/>
                <w:sz w:val="16"/>
                <w:szCs w:val="16"/>
                <w:lang w:eastAsia="es-CO"/>
                <w14:ligatures w14:val="none"/>
              </w:rPr>
              <w:t>Tráfico ilegal de madera</w:t>
            </w:r>
          </w:p>
        </w:tc>
        <w:tc>
          <w:tcPr>
            <w:tcW w:w="834" w:type="pct"/>
            <w:shd w:val="clear" w:color="auto" w:fill="D9F2D0" w:themeFill="accent6" w:themeFillTint="33"/>
            <w:vAlign w:val="center"/>
            <w:hideMark/>
          </w:tcPr>
          <w:p w14:paraId="1D946385" w14:textId="77777777" w:rsidR="00C27F26" w:rsidRPr="00B450EB" w:rsidRDefault="00C27F26">
            <w:pPr>
              <w:jc w:val="center"/>
              <w:rPr>
                <w:rFonts w:eastAsia="Times New Roman" w:cs="Arial"/>
                <w:b/>
                <w:kern w:val="0"/>
                <w:sz w:val="16"/>
                <w:szCs w:val="16"/>
                <w:lang w:eastAsia="es-CO"/>
                <w14:ligatures w14:val="none"/>
              </w:rPr>
            </w:pPr>
            <w:r w:rsidRPr="00B450EB">
              <w:rPr>
                <w:rFonts w:eastAsia="Times New Roman" w:cs="Arial"/>
                <w:b/>
                <w:kern w:val="0"/>
                <w:sz w:val="16"/>
                <w:szCs w:val="16"/>
                <w:lang w:eastAsia="es-CO"/>
                <w14:ligatures w14:val="none"/>
              </w:rPr>
              <w:t>Reportes de hostigamiento a funcionarios</w:t>
            </w:r>
          </w:p>
        </w:tc>
      </w:tr>
      <w:tr w:rsidR="00205915" w:rsidRPr="00B450EB" w14:paraId="669E9104" w14:textId="77777777" w:rsidTr="00530924">
        <w:trPr>
          <w:trHeight w:val="79"/>
          <w:jc w:val="center"/>
        </w:trPr>
        <w:tc>
          <w:tcPr>
            <w:tcW w:w="1345" w:type="pct"/>
            <w:hideMark/>
          </w:tcPr>
          <w:p w14:paraId="75EB42B8"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PNN Cordillera de los Picachos (AMEM)</w:t>
            </w:r>
          </w:p>
        </w:tc>
        <w:tc>
          <w:tcPr>
            <w:tcW w:w="704" w:type="pct"/>
            <w:hideMark/>
          </w:tcPr>
          <w:p w14:paraId="5D6B8866"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99" w:type="pct"/>
            <w:hideMark/>
          </w:tcPr>
          <w:p w14:paraId="015C9F21"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hideMark/>
          </w:tcPr>
          <w:p w14:paraId="595161F2"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64" w:type="pct"/>
            <w:hideMark/>
          </w:tcPr>
          <w:p w14:paraId="22275A2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66" w:type="pct"/>
            <w:hideMark/>
          </w:tcPr>
          <w:p w14:paraId="5ABA7C4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834" w:type="pct"/>
            <w:hideMark/>
          </w:tcPr>
          <w:p w14:paraId="3F3EC87F"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r>
      <w:tr w:rsidR="00205915" w:rsidRPr="00B450EB" w14:paraId="34971E8E" w14:textId="77777777" w:rsidTr="00530924">
        <w:trPr>
          <w:trHeight w:val="79"/>
          <w:jc w:val="center"/>
        </w:trPr>
        <w:tc>
          <w:tcPr>
            <w:tcW w:w="1345" w:type="pct"/>
            <w:hideMark/>
          </w:tcPr>
          <w:p w14:paraId="6C2E4155"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 xml:space="preserve">RNN </w:t>
            </w:r>
            <w:proofErr w:type="spellStart"/>
            <w:r w:rsidRPr="00B450EB">
              <w:rPr>
                <w:rFonts w:eastAsia="Calibri" w:cs="Arial"/>
                <w:sz w:val="16"/>
                <w:szCs w:val="16"/>
              </w:rPr>
              <w:t>Puinawai</w:t>
            </w:r>
            <w:proofErr w:type="spellEnd"/>
          </w:p>
        </w:tc>
        <w:tc>
          <w:tcPr>
            <w:tcW w:w="704" w:type="pct"/>
            <w:hideMark/>
          </w:tcPr>
          <w:p w14:paraId="458D55E3"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Sí</w:t>
            </w:r>
          </w:p>
        </w:tc>
        <w:tc>
          <w:tcPr>
            <w:tcW w:w="499" w:type="pct"/>
          </w:tcPr>
          <w:p w14:paraId="5A24B09E"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88" w:type="pct"/>
          </w:tcPr>
          <w:p w14:paraId="4C987E5B"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1134448D"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66" w:type="pct"/>
          </w:tcPr>
          <w:p w14:paraId="1D368062"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834" w:type="pct"/>
          </w:tcPr>
          <w:p w14:paraId="4EE7FB0E"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r>
      <w:tr w:rsidR="00205915" w:rsidRPr="00B450EB" w14:paraId="42604E0E" w14:textId="77777777" w:rsidTr="00530924">
        <w:trPr>
          <w:trHeight w:val="79"/>
          <w:jc w:val="center"/>
        </w:trPr>
        <w:tc>
          <w:tcPr>
            <w:tcW w:w="1345" w:type="pct"/>
            <w:hideMark/>
          </w:tcPr>
          <w:p w14:paraId="247BF897"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PNN Serranía de Chiribiquete</w:t>
            </w:r>
          </w:p>
        </w:tc>
        <w:tc>
          <w:tcPr>
            <w:tcW w:w="704" w:type="pct"/>
            <w:hideMark/>
          </w:tcPr>
          <w:p w14:paraId="42FC8BE0"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Sí</w:t>
            </w:r>
          </w:p>
        </w:tc>
        <w:tc>
          <w:tcPr>
            <w:tcW w:w="499" w:type="pct"/>
            <w:hideMark/>
          </w:tcPr>
          <w:p w14:paraId="6D8EF41A"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tcPr>
          <w:p w14:paraId="20378095"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0C4CA6C7"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66" w:type="pct"/>
          </w:tcPr>
          <w:p w14:paraId="73A6E12E"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834" w:type="pct"/>
            <w:hideMark/>
          </w:tcPr>
          <w:p w14:paraId="64198716"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Sí</w:t>
            </w:r>
          </w:p>
        </w:tc>
      </w:tr>
      <w:tr w:rsidR="00205915" w:rsidRPr="00B450EB" w14:paraId="385047AF" w14:textId="77777777" w:rsidTr="00530924">
        <w:trPr>
          <w:trHeight w:val="79"/>
          <w:jc w:val="center"/>
        </w:trPr>
        <w:tc>
          <w:tcPr>
            <w:tcW w:w="1345" w:type="pct"/>
            <w:hideMark/>
          </w:tcPr>
          <w:p w14:paraId="039F3A9E"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PNN Sierra de la Macarena (AMEM)</w:t>
            </w:r>
          </w:p>
        </w:tc>
        <w:tc>
          <w:tcPr>
            <w:tcW w:w="704" w:type="pct"/>
            <w:hideMark/>
          </w:tcPr>
          <w:p w14:paraId="0E98767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Sí</w:t>
            </w:r>
          </w:p>
        </w:tc>
        <w:tc>
          <w:tcPr>
            <w:tcW w:w="499" w:type="pct"/>
            <w:hideMark/>
          </w:tcPr>
          <w:p w14:paraId="0A05C6D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hideMark/>
          </w:tcPr>
          <w:p w14:paraId="1AA9F981"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64" w:type="pct"/>
            <w:hideMark/>
          </w:tcPr>
          <w:p w14:paraId="05D583B6"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66" w:type="pct"/>
            <w:hideMark/>
          </w:tcPr>
          <w:p w14:paraId="6B2A994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834" w:type="pct"/>
            <w:hideMark/>
          </w:tcPr>
          <w:p w14:paraId="5C4759E3"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Sí</w:t>
            </w:r>
          </w:p>
        </w:tc>
      </w:tr>
      <w:tr w:rsidR="00205915" w:rsidRPr="00B450EB" w14:paraId="77030435" w14:textId="77777777" w:rsidTr="00530924">
        <w:trPr>
          <w:trHeight w:val="79"/>
          <w:jc w:val="center"/>
        </w:trPr>
        <w:tc>
          <w:tcPr>
            <w:tcW w:w="1345" w:type="pct"/>
            <w:hideMark/>
          </w:tcPr>
          <w:p w14:paraId="7ADAE5D4"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 xml:space="preserve">PNN </w:t>
            </w:r>
            <w:proofErr w:type="spellStart"/>
            <w:r w:rsidRPr="00B450EB">
              <w:rPr>
                <w:rFonts w:eastAsia="Calibri" w:cs="Arial"/>
                <w:sz w:val="16"/>
                <w:szCs w:val="16"/>
              </w:rPr>
              <w:t>Tinigua</w:t>
            </w:r>
            <w:proofErr w:type="spellEnd"/>
            <w:r w:rsidRPr="00B450EB">
              <w:rPr>
                <w:rFonts w:eastAsia="Calibri" w:cs="Arial"/>
                <w:sz w:val="16"/>
                <w:szCs w:val="16"/>
              </w:rPr>
              <w:t xml:space="preserve"> (AMEM)</w:t>
            </w:r>
          </w:p>
        </w:tc>
        <w:tc>
          <w:tcPr>
            <w:tcW w:w="704" w:type="pct"/>
            <w:hideMark/>
          </w:tcPr>
          <w:p w14:paraId="3AAFED61"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Sí</w:t>
            </w:r>
          </w:p>
        </w:tc>
        <w:tc>
          <w:tcPr>
            <w:tcW w:w="499" w:type="pct"/>
            <w:hideMark/>
          </w:tcPr>
          <w:p w14:paraId="0A32635B"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hideMark/>
          </w:tcPr>
          <w:p w14:paraId="4A1A479D"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64" w:type="pct"/>
          </w:tcPr>
          <w:p w14:paraId="6D3A3CA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66" w:type="pct"/>
          </w:tcPr>
          <w:p w14:paraId="6E35E513"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834" w:type="pct"/>
            <w:hideMark/>
          </w:tcPr>
          <w:p w14:paraId="24A2076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Sí</w:t>
            </w:r>
          </w:p>
        </w:tc>
      </w:tr>
      <w:tr w:rsidR="00205915" w:rsidRPr="00B450EB" w14:paraId="5143F0DA" w14:textId="77777777" w:rsidTr="00530924">
        <w:trPr>
          <w:trHeight w:val="79"/>
          <w:jc w:val="center"/>
        </w:trPr>
        <w:tc>
          <w:tcPr>
            <w:tcW w:w="1345" w:type="pct"/>
            <w:hideMark/>
          </w:tcPr>
          <w:p w14:paraId="49C566E1"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RNN Nukak</w:t>
            </w:r>
          </w:p>
        </w:tc>
        <w:tc>
          <w:tcPr>
            <w:tcW w:w="704" w:type="pct"/>
          </w:tcPr>
          <w:p w14:paraId="3508A8DF"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99" w:type="pct"/>
          </w:tcPr>
          <w:p w14:paraId="28433267"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tcPr>
          <w:p w14:paraId="34F16685" w14:textId="77777777" w:rsidR="00C27F26" w:rsidRPr="00B450EB" w:rsidRDefault="00C27F26">
            <w:pPr>
              <w:jc w:val="center"/>
              <w:rPr>
                <w:rFonts w:eastAsia="Times New Roman" w:cs="Arial"/>
                <w:kern w:val="0"/>
                <w:sz w:val="16"/>
                <w:szCs w:val="16"/>
                <w:lang w:eastAsia="es-CO"/>
                <w14:ligatures w14:val="none"/>
              </w:rPr>
            </w:pPr>
          </w:p>
        </w:tc>
        <w:tc>
          <w:tcPr>
            <w:tcW w:w="464" w:type="pct"/>
          </w:tcPr>
          <w:p w14:paraId="2BF6D2A3"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66" w:type="pct"/>
          </w:tcPr>
          <w:p w14:paraId="36FB744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834" w:type="pct"/>
          </w:tcPr>
          <w:p w14:paraId="67A8C96B"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r>
      <w:tr w:rsidR="00205915" w:rsidRPr="00B450EB" w14:paraId="09CC9139" w14:textId="77777777" w:rsidTr="00530924">
        <w:trPr>
          <w:trHeight w:val="79"/>
          <w:jc w:val="center"/>
        </w:trPr>
        <w:tc>
          <w:tcPr>
            <w:tcW w:w="1345" w:type="pct"/>
            <w:hideMark/>
          </w:tcPr>
          <w:p w14:paraId="367BB303"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 xml:space="preserve">SF Plantas Medicinales Orito </w:t>
            </w:r>
            <w:proofErr w:type="spellStart"/>
            <w:r w:rsidRPr="00B450EB">
              <w:rPr>
                <w:rFonts w:eastAsia="Calibri" w:cs="Arial"/>
                <w:sz w:val="16"/>
                <w:szCs w:val="16"/>
              </w:rPr>
              <w:t>Ingi</w:t>
            </w:r>
            <w:proofErr w:type="spellEnd"/>
            <w:r w:rsidRPr="00B450EB">
              <w:rPr>
                <w:rFonts w:eastAsia="Calibri" w:cs="Arial"/>
                <w:sz w:val="16"/>
                <w:szCs w:val="16"/>
              </w:rPr>
              <w:t xml:space="preserve"> Ande</w:t>
            </w:r>
          </w:p>
        </w:tc>
        <w:tc>
          <w:tcPr>
            <w:tcW w:w="704" w:type="pct"/>
          </w:tcPr>
          <w:p w14:paraId="428F4F6F"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99" w:type="pct"/>
          </w:tcPr>
          <w:p w14:paraId="0EE72AE5"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tcPr>
          <w:p w14:paraId="5565574D"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2BD30316"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66" w:type="pct"/>
          </w:tcPr>
          <w:p w14:paraId="592A1BDD"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834" w:type="pct"/>
          </w:tcPr>
          <w:p w14:paraId="3F7BC1F4"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r>
      <w:tr w:rsidR="00205915" w:rsidRPr="00B450EB" w14:paraId="6AB60AA3" w14:textId="77777777" w:rsidTr="00530924">
        <w:trPr>
          <w:trHeight w:val="79"/>
          <w:jc w:val="center"/>
        </w:trPr>
        <w:tc>
          <w:tcPr>
            <w:tcW w:w="1345" w:type="pct"/>
            <w:hideMark/>
          </w:tcPr>
          <w:p w14:paraId="07EBFA8C"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Amacayacu</w:t>
            </w:r>
          </w:p>
        </w:tc>
        <w:tc>
          <w:tcPr>
            <w:tcW w:w="704" w:type="pct"/>
          </w:tcPr>
          <w:p w14:paraId="02F7813D"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99" w:type="pct"/>
          </w:tcPr>
          <w:p w14:paraId="6C25B35C"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tcPr>
          <w:p w14:paraId="7D5EC516"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37BBC6B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66" w:type="pct"/>
          </w:tcPr>
          <w:p w14:paraId="39C33FB6"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834" w:type="pct"/>
          </w:tcPr>
          <w:p w14:paraId="126FEBCE"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r>
      <w:tr w:rsidR="00205915" w:rsidRPr="00B450EB" w14:paraId="4D8A6F67" w14:textId="77777777" w:rsidTr="00530924">
        <w:trPr>
          <w:trHeight w:val="79"/>
          <w:jc w:val="center"/>
        </w:trPr>
        <w:tc>
          <w:tcPr>
            <w:tcW w:w="1345" w:type="pct"/>
            <w:hideMark/>
          </w:tcPr>
          <w:p w14:paraId="64C2F005"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 xml:space="preserve">PNN </w:t>
            </w:r>
            <w:proofErr w:type="spellStart"/>
            <w:r w:rsidRPr="00B450EB">
              <w:rPr>
                <w:rFonts w:eastAsia="Calibri" w:cs="Arial"/>
                <w:sz w:val="16"/>
                <w:szCs w:val="16"/>
              </w:rPr>
              <w:t>Cahuinarí</w:t>
            </w:r>
            <w:proofErr w:type="spellEnd"/>
          </w:p>
        </w:tc>
        <w:tc>
          <w:tcPr>
            <w:tcW w:w="704" w:type="pct"/>
          </w:tcPr>
          <w:p w14:paraId="257EE3BB"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99" w:type="pct"/>
          </w:tcPr>
          <w:p w14:paraId="0FF356B3"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88" w:type="pct"/>
          </w:tcPr>
          <w:p w14:paraId="0551DBBC"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30677272"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66" w:type="pct"/>
          </w:tcPr>
          <w:p w14:paraId="0B9E4D45" w14:textId="77777777" w:rsidR="00C27F26" w:rsidRPr="00B450EB" w:rsidRDefault="00C27F26">
            <w:pPr>
              <w:jc w:val="center"/>
              <w:rPr>
                <w:rFonts w:eastAsia="Times New Roman" w:cs="Arial"/>
                <w:kern w:val="0"/>
                <w:sz w:val="16"/>
                <w:szCs w:val="16"/>
                <w:lang w:eastAsia="es-CO"/>
                <w14:ligatures w14:val="none"/>
              </w:rPr>
            </w:pPr>
          </w:p>
        </w:tc>
        <w:tc>
          <w:tcPr>
            <w:tcW w:w="834" w:type="pct"/>
          </w:tcPr>
          <w:p w14:paraId="5306F8FA"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r>
      <w:tr w:rsidR="00205915" w:rsidRPr="00B450EB" w14:paraId="64CEF883" w14:textId="77777777" w:rsidTr="00530924">
        <w:trPr>
          <w:trHeight w:val="79"/>
          <w:jc w:val="center"/>
        </w:trPr>
        <w:tc>
          <w:tcPr>
            <w:tcW w:w="1345" w:type="pct"/>
            <w:hideMark/>
          </w:tcPr>
          <w:p w14:paraId="52E0A16D"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PNN Río Puré</w:t>
            </w:r>
          </w:p>
        </w:tc>
        <w:tc>
          <w:tcPr>
            <w:tcW w:w="704" w:type="pct"/>
          </w:tcPr>
          <w:p w14:paraId="0E9DB8BA"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99" w:type="pct"/>
          </w:tcPr>
          <w:p w14:paraId="53C48126"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588" w:type="pct"/>
          </w:tcPr>
          <w:p w14:paraId="349B76E2"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4B2C7B0A"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66" w:type="pct"/>
          </w:tcPr>
          <w:p w14:paraId="04791EA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834" w:type="pct"/>
          </w:tcPr>
          <w:p w14:paraId="3599B55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r>
      <w:tr w:rsidR="00205915" w:rsidRPr="00B450EB" w14:paraId="37EFCC31" w14:textId="77777777" w:rsidTr="00530924">
        <w:trPr>
          <w:trHeight w:val="79"/>
          <w:jc w:val="center"/>
        </w:trPr>
        <w:tc>
          <w:tcPr>
            <w:tcW w:w="1345" w:type="pct"/>
            <w:hideMark/>
          </w:tcPr>
          <w:p w14:paraId="7320A9FB"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 xml:space="preserve">PNN Serranía de los </w:t>
            </w:r>
            <w:proofErr w:type="spellStart"/>
            <w:r w:rsidRPr="00B450EB">
              <w:rPr>
                <w:rFonts w:eastAsia="Calibri" w:cs="Arial"/>
                <w:sz w:val="16"/>
                <w:szCs w:val="16"/>
              </w:rPr>
              <w:t>Churumbelos</w:t>
            </w:r>
            <w:proofErr w:type="spellEnd"/>
            <w:r w:rsidRPr="00B450EB">
              <w:rPr>
                <w:rFonts w:eastAsia="Calibri" w:cs="Arial"/>
                <w:sz w:val="16"/>
                <w:szCs w:val="16"/>
              </w:rPr>
              <w:t xml:space="preserve"> </w:t>
            </w:r>
            <w:proofErr w:type="spellStart"/>
            <w:r w:rsidRPr="00B450EB">
              <w:rPr>
                <w:rFonts w:eastAsia="Calibri" w:cs="Arial"/>
                <w:sz w:val="16"/>
                <w:szCs w:val="16"/>
              </w:rPr>
              <w:t>Auka</w:t>
            </w:r>
            <w:proofErr w:type="spellEnd"/>
            <w:r w:rsidRPr="00B450EB">
              <w:rPr>
                <w:rFonts w:eastAsia="Calibri" w:cs="Arial"/>
                <w:sz w:val="16"/>
                <w:szCs w:val="16"/>
              </w:rPr>
              <w:t xml:space="preserve"> </w:t>
            </w:r>
            <w:proofErr w:type="spellStart"/>
            <w:r w:rsidRPr="00B450EB">
              <w:rPr>
                <w:rFonts w:eastAsia="Calibri" w:cs="Arial"/>
                <w:sz w:val="16"/>
                <w:szCs w:val="16"/>
              </w:rPr>
              <w:t>Was</w:t>
            </w:r>
            <w:proofErr w:type="spellEnd"/>
          </w:p>
        </w:tc>
        <w:tc>
          <w:tcPr>
            <w:tcW w:w="704" w:type="pct"/>
          </w:tcPr>
          <w:p w14:paraId="4725EDB5"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99" w:type="pct"/>
          </w:tcPr>
          <w:p w14:paraId="151D056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tcPr>
          <w:p w14:paraId="156539A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67619175"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66" w:type="pct"/>
          </w:tcPr>
          <w:p w14:paraId="251634E2"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834" w:type="pct"/>
          </w:tcPr>
          <w:p w14:paraId="5FF793D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r>
      <w:tr w:rsidR="00205915" w:rsidRPr="00B450EB" w14:paraId="3EFD4E02" w14:textId="77777777" w:rsidTr="00530924">
        <w:trPr>
          <w:trHeight w:val="79"/>
          <w:jc w:val="center"/>
        </w:trPr>
        <w:tc>
          <w:tcPr>
            <w:tcW w:w="1345" w:type="pct"/>
            <w:hideMark/>
          </w:tcPr>
          <w:p w14:paraId="05793DE9"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 xml:space="preserve">PNN </w:t>
            </w:r>
            <w:proofErr w:type="spellStart"/>
            <w:r w:rsidRPr="00B450EB">
              <w:rPr>
                <w:rFonts w:eastAsia="Calibri" w:cs="Arial"/>
                <w:sz w:val="16"/>
                <w:szCs w:val="16"/>
              </w:rPr>
              <w:t>Yaigojé</w:t>
            </w:r>
            <w:proofErr w:type="spellEnd"/>
            <w:r w:rsidRPr="00B450EB">
              <w:rPr>
                <w:rFonts w:eastAsia="Calibri" w:cs="Arial"/>
                <w:sz w:val="16"/>
                <w:szCs w:val="16"/>
              </w:rPr>
              <w:t xml:space="preserve"> Apaporis</w:t>
            </w:r>
          </w:p>
        </w:tc>
        <w:tc>
          <w:tcPr>
            <w:tcW w:w="704" w:type="pct"/>
          </w:tcPr>
          <w:p w14:paraId="1748B96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99" w:type="pct"/>
          </w:tcPr>
          <w:p w14:paraId="5BFDB999" w14:textId="77777777" w:rsidR="00C27F26" w:rsidRPr="00B450EB" w:rsidRDefault="00C27F26">
            <w:pPr>
              <w:jc w:val="center"/>
              <w:rPr>
                <w:rFonts w:eastAsia="Times New Roman" w:cs="Arial"/>
                <w:kern w:val="0"/>
                <w:sz w:val="16"/>
                <w:szCs w:val="16"/>
                <w:lang w:eastAsia="es-CO"/>
                <w14:ligatures w14:val="none"/>
              </w:rPr>
            </w:pPr>
          </w:p>
        </w:tc>
        <w:tc>
          <w:tcPr>
            <w:tcW w:w="588" w:type="pct"/>
          </w:tcPr>
          <w:p w14:paraId="2FC6153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5D29021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66" w:type="pct"/>
          </w:tcPr>
          <w:p w14:paraId="0942637C"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834" w:type="pct"/>
          </w:tcPr>
          <w:p w14:paraId="52EF3CD3"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r>
      <w:tr w:rsidR="00205915" w:rsidRPr="00B450EB" w14:paraId="6B99C865" w14:textId="77777777" w:rsidTr="00530924">
        <w:trPr>
          <w:trHeight w:val="79"/>
          <w:jc w:val="center"/>
        </w:trPr>
        <w:tc>
          <w:tcPr>
            <w:tcW w:w="1345" w:type="pct"/>
            <w:hideMark/>
          </w:tcPr>
          <w:p w14:paraId="16A67706"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 xml:space="preserve">Alto Fragua </w:t>
            </w:r>
            <w:proofErr w:type="spellStart"/>
            <w:r w:rsidRPr="00B450EB">
              <w:rPr>
                <w:rFonts w:eastAsia="Calibri" w:cs="Arial"/>
                <w:sz w:val="16"/>
                <w:szCs w:val="16"/>
              </w:rPr>
              <w:t>Indi</w:t>
            </w:r>
            <w:proofErr w:type="spellEnd"/>
            <w:r w:rsidRPr="00B450EB">
              <w:rPr>
                <w:rFonts w:eastAsia="Calibri" w:cs="Arial"/>
                <w:sz w:val="16"/>
                <w:szCs w:val="16"/>
              </w:rPr>
              <w:t xml:space="preserve"> </w:t>
            </w:r>
            <w:proofErr w:type="spellStart"/>
            <w:r w:rsidRPr="00B450EB">
              <w:rPr>
                <w:rFonts w:eastAsia="Calibri" w:cs="Arial"/>
                <w:sz w:val="16"/>
                <w:szCs w:val="16"/>
              </w:rPr>
              <w:t>Wasi</w:t>
            </w:r>
            <w:proofErr w:type="spellEnd"/>
          </w:p>
        </w:tc>
        <w:tc>
          <w:tcPr>
            <w:tcW w:w="704" w:type="pct"/>
          </w:tcPr>
          <w:p w14:paraId="0B30E1EC"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99" w:type="pct"/>
          </w:tcPr>
          <w:p w14:paraId="6D57CBCF"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tcPr>
          <w:p w14:paraId="5C32C36D"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228016EC"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66" w:type="pct"/>
          </w:tcPr>
          <w:p w14:paraId="26FC2BE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834" w:type="pct"/>
          </w:tcPr>
          <w:p w14:paraId="332D4AC2" w14:textId="77777777" w:rsidR="00C27F26" w:rsidRPr="00B450EB" w:rsidRDefault="00C27F26">
            <w:pPr>
              <w:jc w:val="center"/>
              <w:rPr>
                <w:rFonts w:eastAsia="Times New Roman" w:cs="Arial"/>
                <w:kern w:val="0"/>
                <w:sz w:val="16"/>
                <w:szCs w:val="16"/>
                <w:lang w:eastAsia="es-CO"/>
                <w14:ligatures w14:val="none"/>
              </w:rPr>
            </w:pPr>
          </w:p>
        </w:tc>
      </w:tr>
      <w:tr w:rsidR="00205915" w:rsidRPr="00B450EB" w14:paraId="62B903C5" w14:textId="77777777" w:rsidTr="00530924">
        <w:trPr>
          <w:trHeight w:val="79"/>
          <w:jc w:val="center"/>
        </w:trPr>
        <w:tc>
          <w:tcPr>
            <w:tcW w:w="1345" w:type="pct"/>
            <w:hideMark/>
          </w:tcPr>
          <w:p w14:paraId="05A9B551" w14:textId="77777777" w:rsidR="00C27F26" w:rsidRPr="00B450EB" w:rsidRDefault="00C27F26">
            <w:pPr>
              <w:jc w:val="center"/>
              <w:rPr>
                <w:rFonts w:eastAsia="Times New Roman" w:cs="Arial"/>
                <w:kern w:val="0"/>
                <w:sz w:val="16"/>
                <w:szCs w:val="16"/>
                <w:lang w:eastAsia="es-CO"/>
                <w14:ligatures w14:val="none"/>
              </w:rPr>
            </w:pPr>
            <w:r w:rsidRPr="00B450EB">
              <w:rPr>
                <w:rFonts w:eastAsia="Calibri" w:cs="Arial"/>
                <w:sz w:val="16"/>
                <w:szCs w:val="16"/>
              </w:rPr>
              <w:t>PNN La Paya</w:t>
            </w:r>
          </w:p>
        </w:tc>
        <w:tc>
          <w:tcPr>
            <w:tcW w:w="704" w:type="pct"/>
          </w:tcPr>
          <w:p w14:paraId="5A9DAA2F"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499" w:type="pct"/>
          </w:tcPr>
          <w:p w14:paraId="6D96AB08"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88" w:type="pct"/>
          </w:tcPr>
          <w:p w14:paraId="482C4991"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w:t>
            </w:r>
          </w:p>
        </w:tc>
        <w:tc>
          <w:tcPr>
            <w:tcW w:w="464" w:type="pct"/>
          </w:tcPr>
          <w:p w14:paraId="660F1CA9"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566" w:type="pct"/>
          </w:tcPr>
          <w:p w14:paraId="6CCB6931"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c>
          <w:tcPr>
            <w:tcW w:w="834" w:type="pct"/>
          </w:tcPr>
          <w:p w14:paraId="528F68EC" w14:textId="77777777" w:rsidR="00C27F26" w:rsidRPr="00B450EB" w:rsidRDefault="00C27F26">
            <w:pPr>
              <w:jc w:val="center"/>
              <w:rPr>
                <w:rFonts w:eastAsia="Times New Roman" w:cs="Arial"/>
                <w:kern w:val="0"/>
                <w:sz w:val="16"/>
                <w:szCs w:val="16"/>
                <w:lang w:eastAsia="es-CO"/>
                <w14:ligatures w14:val="none"/>
              </w:rPr>
            </w:pPr>
            <w:r w:rsidRPr="00B450EB">
              <w:rPr>
                <w:rFonts w:eastAsia="Times New Roman" w:cs="Arial"/>
                <w:kern w:val="0"/>
                <w:sz w:val="16"/>
                <w:szCs w:val="16"/>
                <w:lang w:eastAsia="es-CO"/>
                <w14:ligatures w14:val="none"/>
              </w:rPr>
              <w:t>Si</w:t>
            </w:r>
          </w:p>
        </w:tc>
      </w:tr>
    </w:tbl>
    <w:p w14:paraId="6ED274D4" w14:textId="77777777" w:rsidR="00C27F26" w:rsidRPr="00B450EB" w:rsidRDefault="00C27F26" w:rsidP="00C27F26">
      <w:pPr>
        <w:spacing w:line="240" w:lineRule="auto"/>
        <w:jc w:val="center"/>
        <w:rPr>
          <w:rFonts w:eastAsia="Calibri" w:cs="Arial"/>
          <w:sz w:val="18"/>
          <w:szCs w:val="18"/>
        </w:rPr>
      </w:pPr>
      <w:r w:rsidRPr="00B450EB">
        <w:rPr>
          <w:rFonts w:eastAsia="Calibri" w:cs="Arial"/>
          <w:sz w:val="18"/>
          <w:szCs w:val="18"/>
        </w:rPr>
        <w:t>Fuente: Observatorio Amazonía – FCDS, 2024.</w:t>
      </w:r>
    </w:p>
    <w:p w14:paraId="1AD8E82C" w14:textId="77777777" w:rsidR="00C27F26" w:rsidRPr="00B450EB" w:rsidRDefault="00C27F26" w:rsidP="00CC1FAB">
      <w:pPr>
        <w:rPr>
          <w:rFonts w:eastAsia="Calibri" w:cs="Arial"/>
        </w:rPr>
      </w:pPr>
      <w:r w:rsidRPr="00B450EB">
        <w:rPr>
          <w:rFonts w:eastAsia="Calibri" w:cs="Arial"/>
        </w:rPr>
        <w:t xml:space="preserve">La violencia asociada a estas estructuras ha dejado un saldo significativo: entre 1990 y 2023 se registraron más de 27.000 incidentes y 33.000 víctimas en la región, incluyendo homicidios, desapariciones forzadas, secuestros y desplazamientos. Además, las áreas protegidas no han escapado a la dinámica del conflicto: parques como La Paya, Nukak y </w:t>
      </w:r>
      <w:proofErr w:type="spellStart"/>
      <w:r w:rsidRPr="00B450EB">
        <w:rPr>
          <w:rFonts w:eastAsia="Calibri" w:cs="Arial"/>
        </w:rPr>
        <w:t>Cahuinarí</w:t>
      </w:r>
      <w:proofErr w:type="spellEnd"/>
      <w:r w:rsidRPr="00B450EB">
        <w:rPr>
          <w:rFonts w:eastAsia="Calibri" w:cs="Arial"/>
        </w:rPr>
        <w:t xml:space="preserve"> han sido escenario de intimidaciones a guardaparques, restricciones al acceso, instalación de minas antipersonal y presencia de cultivos ilícitos, reflejando la debilidad de la gobernanza ambiental.</w:t>
      </w:r>
    </w:p>
    <w:p w14:paraId="04697625" w14:textId="56F4B026" w:rsidR="004716EF" w:rsidRPr="00B450EB" w:rsidRDefault="004716EF" w:rsidP="001C1081">
      <w:pPr>
        <w:pStyle w:val="Ttulo2"/>
        <w:numPr>
          <w:ilvl w:val="1"/>
          <w:numId w:val="16"/>
        </w:numPr>
        <w:rPr>
          <w:rFonts w:cs="Arial"/>
        </w:rPr>
      </w:pPr>
      <w:bookmarkStart w:id="201" w:name="_Toc209722953"/>
      <w:r w:rsidRPr="00B450EB">
        <w:lastRenderedPageBreak/>
        <w:t>Escenarios de Cambio Climático</w:t>
      </w:r>
      <w:bookmarkEnd w:id="201"/>
    </w:p>
    <w:p w14:paraId="6CB0055A" w14:textId="1A156040" w:rsidR="00FF258E" w:rsidRPr="00B450EB" w:rsidRDefault="00FF258E" w:rsidP="001C1081">
      <w:pPr>
        <w:pStyle w:val="Ttulo3"/>
        <w:numPr>
          <w:ilvl w:val="2"/>
          <w:numId w:val="16"/>
        </w:numPr>
      </w:pPr>
      <w:bookmarkStart w:id="202" w:name="_Toc209722954"/>
      <w:r w:rsidRPr="00B450EB">
        <w:t>Proyecciones climáticas (SSP</w:t>
      </w:r>
      <w:r w:rsidR="002726C5" w:rsidRPr="00B450EB">
        <w:t>)</w:t>
      </w:r>
      <w:r w:rsidRPr="00B450EB">
        <w:t xml:space="preserve"> de temperatura y precipitación para el bioma amazónico al 2100</w:t>
      </w:r>
      <w:bookmarkEnd w:id="202"/>
    </w:p>
    <w:p w14:paraId="01AAF848" w14:textId="537E5F24" w:rsidR="00726191" w:rsidRPr="00B450EB" w:rsidRDefault="00726191" w:rsidP="00726191">
      <w:bookmarkStart w:id="203" w:name="_Hlk209101102"/>
      <w:r w:rsidRPr="00B450EB">
        <w:t>Como parte de la Cuarta Comunicación Nacional de Cambio Climático, el IDEAM ha generado nuevas proyecciones nacionales de clima utilizando los escenarios de Trayectorias Socioeconómicas Compartidas (SSP), que permiten evaluar cómo podrían evolucionar la temperatura y la precipitación bajo distintos niveles de emisiones de gases de efecto invernadero</w:t>
      </w:r>
      <w:sdt>
        <w:sdtPr>
          <w:id w:val="148028317"/>
          <w:citation/>
        </w:sdtPr>
        <w:sdtContent>
          <w:r w:rsidRPr="00B450EB">
            <w:fldChar w:fldCharType="begin"/>
          </w:r>
          <w:r w:rsidRPr="00B450EB">
            <w:instrText xml:space="preserve"> CITATION IDE24 \l 9226  \m ONe17</w:instrText>
          </w:r>
          <w:r w:rsidRPr="00B450EB">
            <w:fldChar w:fldCharType="separate"/>
          </w:r>
          <w:r w:rsidR="0077091E" w:rsidRPr="00B450EB">
            <w:rPr>
              <w:noProof/>
            </w:rPr>
            <w:t xml:space="preserve"> (IDEAM, 2024; O’Neill, y otros, 2017)</w:t>
          </w:r>
          <w:r w:rsidRPr="00B450EB">
            <w:fldChar w:fldCharType="end"/>
          </w:r>
        </w:sdtContent>
      </w:sdt>
      <w:r w:rsidRPr="00B450EB">
        <w:t xml:space="preserve"> Entre estos se destacan dos trayectorias de particular relevancia: el SSP3 (“fragmentación”), que asume un alto crecimiento poblacional y bajo desarrollo económico, con menores niveles de educación, fuerte regionalización y escasa conciencia ambiental. Este escenario implica un alto nivel de desafíos tanto para la adaptación como para la mitigación, debido a la debilidad institucional y la limitada capacidad para implementar políticas climáticas efectivas. Por otro lado, </w:t>
      </w:r>
      <w:r w:rsidRPr="00B450EB">
        <w:rPr>
          <w:b/>
        </w:rPr>
        <w:t>el SSP5 (desarrollo impulsado por combustibles fósiles) plantea un bajo crecimiento poblacional, pero con elevado crecimiento económico y alto desarrollo humano, manteniendo una fuerte dependencia de los combustibles fósiles</w:t>
      </w:r>
      <w:r w:rsidRPr="00B450EB">
        <w:t>; en este caso, el principal reto se concentra en la mitigación, pues el modelo de desarrollo intensifica las emisiones de gases de efecto invernadero.</w:t>
      </w:r>
    </w:p>
    <w:p w14:paraId="31D602FE" w14:textId="76BF4C43" w:rsidR="00726191" w:rsidRPr="00B450EB" w:rsidRDefault="00726191" w:rsidP="00726191">
      <w:pPr>
        <w:rPr>
          <w:b/>
          <w:i/>
          <w:sz w:val="18"/>
          <w:szCs w:val="18"/>
        </w:rPr>
      </w:pPr>
      <w:r w:rsidRPr="00B450EB">
        <w:t xml:space="preserve">A pesar de las diferencias en sus supuestos socioeconómicos, ambos escenarios convergen en niveles altos y similares de emisiones hacia mediados del siglo XXI, lo que explica que las proyecciones climáticas de temperatura y precipitación tiendan a asemejarse en ciertos periodos. Para el bioma amazónico, altamente sensible por su rol en el reciclaje de humedad y </w:t>
      </w:r>
      <w:r w:rsidR="005F0999" w:rsidRPr="00B450EB">
        <w:t xml:space="preserve">en </w:t>
      </w:r>
      <w:r w:rsidRPr="00B450EB">
        <w:t xml:space="preserve">la regulación hídrica continental, los cambios proyectados hacia el año 2100 bajo estos escenarios representan un riesgo crítico, pues implican aumentos sostenidos de temperatura y alteraciones en los patrones de precipitación que comprometen tanto la biodiversidad como la provisión de servicios ecosistémicos esenciales. A continuación, se presentan </w:t>
      </w:r>
      <w:r w:rsidR="000E3300" w:rsidRPr="00B450EB">
        <w:t>la distribución</w:t>
      </w:r>
      <w:r w:rsidR="00C95D24" w:rsidRPr="00B450EB">
        <w:t xml:space="preserve"> espacial de esta información</w:t>
      </w:r>
      <w:r w:rsidRPr="00B450EB">
        <w:t xml:space="preserve"> que ilustran estos cambios climáticos al 2100 bajo el escenario SSP5, los cuales constituyen la base para analizar los posibles impactos en la región amazónica</w:t>
      </w:r>
      <w:bookmarkEnd w:id="203"/>
      <w:r w:rsidRPr="00B450EB">
        <w:rPr>
          <w:b/>
          <w:i/>
          <w:sz w:val="18"/>
          <w:szCs w:val="18"/>
        </w:rPr>
        <w:t>.</w:t>
      </w:r>
    </w:p>
    <w:p w14:paraId="606050E9" w14:textId="77777777" w:rsidR="007527C6" w:rsidRPr="00B450EB" w:rsidRDefault="007527C6" w:rsidP="00726191">
      <w:pPr>
        <w:rPr>
          <w:b/>
          <w:i/>
          <w:sz w:val="18"/>
          <w:szCs w:val="18"/>
        </w:rPr>
      </w:pPr>
    </w:p>
    <w:p w14:paraId="0A5FDDCA" w14:textId="77777777" w:rsidR="007527C6" w:rsidRPr="00B450EB" w:rsidRDefault="007527C6" w:rsidP="00726191">
      <w:pPr>
        <w:rPr>
          <w:b/>
          <w:i/>
          <w:sz w:val="18"/>
          <w:szCs w:val="18"/>
        </w:rPr>
      </w:pPr>
    </w:p>
    <w:p w14:paraId="3C3F97CD" w14:textId="77777777" w:rsidR="007527C6" w:rsidRPr="00B450EB" w:rsidRDefault="007527C6" w:rsidP="00726191">
      <w:pPr>
        <w:rPr>
          <w:b/>
          <w:i/>
          <w:sz w:val="18"/>
          <w:szCs w:val="18"/>
        </w:rPr>
      </w:pPr>
    </w:p>
    <w:p w14:paraId="54DE2AE4" w14:textId="77777777" w:rsidR="007527C6" w:rsidRPr="00B450EB" w:rsidRDefault="007527C6" w:rsidP="00726191">
      <w:pPr>
        <w:rPr>
          <w:b/>
          <w:i/>
          <w:sz w:val="18"/>
          <w:szCs w:val="18"/>
        </w:rPr>
      </w:pPr>
    </w:p>
    <w:p w14:paraId="02E37460" w14:textId="77777777" w:rsidR="007527C6" w:rsidRPr="00B450EB" w:rsidRDefault="007527C6" w:rsidP="00726191">
      <w:pPr>
        <w:rPr>
          <w:b/>
          <w:i/>
          <w:sz w:val="18"/>
          <w:szCs w:val="18"/>
        </w:rPr>
      </w:pPr>
    </w:p>
    <w:p w14:paraId="1ACF7DB6" w14:textId="5602A409" w:rsidR="00A55B58" w:rsidRPr="00B450EB" w:rsidRDefault="00726191" w:rsidP="00726191">
      <w:pPr>
        <w:pStyle w:val="Descripcin"/>
        <w:rPr>
          <w:i w:val="0"/>
          <w:color w:val="auto"/>
        </w:rPr>
      </w:pPr>
      <w:bookmarkStart w:id="204" w:name="_Toc209462776"/>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88</w:t>
      </w:r>
      <w:r w:rsidR="0045353A" w:rsidRPr="00B450EB">
        <w:rPr>
          <w:noProof/>
          <w:color w:val="auto"/>
        </w:rPr>
        <w:fldChar w:fldCharType="end"/>
      </w:r>
      <w:r w:rsidR="0039365D" w:rsidRPr="00B450EB">
        <w:rPr>
          <w:color w:val="auto"/>
        </w:rPr>
        <w:t xml:space="preserve"> </w:t>
      </w:r>
      <w:r w:rsidRPr="00B450EB">
        <w:rPr>
          <w:color w:val="auto"/>
        </w:rPr>
        <w:t>Proyecciones al 2100 del escenario SSP5-8.5: cambio porcentual de la precipitación y variaciones en la temperatura máxima, media y mínima</w:t>
      </w:r>
      <w:bookmarkEnd w:id="204"/>
    </w:p>
    <w:p w14:paraId="7B3FC289" w14:textId="07A7B8CB" w:rsidR="00A55B58" w:rsidRPr="00B450EB" w:rsidRDefault="00EF4470" w:rsidP="008A6B67">
      <w:pPr>
        <w:spacing w:after="0" w:line="259" w:lineRule="auto"/>
        <w:jc w:val="center"/>
      </w:pPr>
      <w:r w:rsidRPr="00B450EB">
        <w:rPr>
          <w:noProof/>
        </w:rPr>
        <w:drawing>
          <wp:inline distT="0" distB="0" distL="0" distR="0" wp14:anchorId="4DC36D43" wp14:editId="3D792919">
            <wp:extent cx="2770414" cy="2140660"/>
            <wp:effectExtent l="19050" t="19050" r="11430" b="1206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ecipitacion.pn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2788412" cy="2154566"/>
                    </a:xfrm>
                    <a:prstGeom prst="rect">
                      <a:avLst/>
                    </a:prstGeom>
                    <a:ln w="3175">
                      <a:solidFill>
                        <a:schemeClr val="tx1"/>
                      </a:solidFill>
                    </a:ln>
                  </pic:spPr>
                </pic:pic>
              </a:graphicData>
            </a:graphic>
          </wp:inline>
        </w:drawing>
      </w:r>
      <w:r w:rsidR="00F8748E" w:rsidRPr="00B450EB">
        <w:rPr>
          <w:noProof/>
        </w:rPr>
        <w:drawing>
          <wp:inline distT="0" distB="0" distL="0" distR="0" wp14:anchorId="486904C9" wp14:editId="084FEF14">
            <wp:extent cx="2769166" cy="2139696"/>
            <wp:effectExtent l="19050" t="19050" r="12700" b="133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mazonia_1.pn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2769166" cy="2139696"/>
                    </a:xfrm>
                    <a:prstGeom prst="rect">
                      <a:avLst/>
                    </a:prstGeom>
                    <a:ln w="3175">
                      <a:solidFill>
                        <a:schemeClr val="tx1"/>
                      </a:solidFill>
                    </a:ln>
                  </pic:spPr>
                </pic:pic>
              </a:graphicData>
            </a:graphic>
          </wp:inline>
        </w:drawing>
      </w:r>
    </w:p>
    <w:p w14:paraId="7DE598DB" w14:textId="46F6E2F1" w:rsidR="00F8748E" w:rsidRPr="00B450EB" w:rsidRDefault="00AB6123" w:rsidP="00F45E39">
      <w:pPr>
        <w:spacing w:after="0" w:line="259" w:lineRule="auto"/>
        <w:jc w:val="center"/>
      </w:pPr>
      <w:r w:rsidRPr="00B450EB">
        <w:rPr>
          <w:noProof/>
        </w:rPr>
        <w:drawing>
          <wp:inline distT="0" distB="0" distL="0" distR="0" wp14:anchorId="47A119F2" wp14:editId="118619B5">
            <wp:extent cx="2769166" cy="2139696"/>
            <wp:effectExtent l="19050" t="19050" r="12700" b="1333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mMed.p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2769166" cy="2139696"/>
                    </a:xfrm>
                    <a:prstGeom prst="rect">
                      <a:avLst/>
                    </a:prstGeom>
                    <a:ln w="3175">
                      <a:solidFill>
                        <a:schemeClr val="tx1"/>
                      </a:solidFill>
                    </a:ln>
                  </pic:spPr>
                </pic:pic>
              </a:graphicData>
            </a:graphic>
          </wp:inline>
        </w:drawing>
      </w:r>
      <w:r w:rsidR="008A6B67" w:rsidRPr="00B450EB">
        <w:rPr>
          <w:noProof/>
        </w:rPr>
        <w:drawing>
          <wp:inline distT="0" distB="0" distL="0" distR="0" wp14:anchorId="086D0D1F" wp14:editId="14D13025">
            <wp:extent cx="2769166" cy="2139696"/>
            <wp:effectExtent l="19050" t="19050" r="12700" b="133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emMin.pn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769166" cy="2139696"/>
                    </a:xfrm>
                    <a:prstGeom prst="rect">
                      <a:avLst/>
                    </a:prstGeom>
                    <a:ln w="3175">
                      <a:solidFill>
                        <a:schemeClr val="tx1"/>
                      </a:solidFill>
                    </a:ln>
                  </pic:spPr>
                </pic:pic>
              </a:graphicData>
            </a:graphic>
          </wp:inline>
        </w:drawing>
      </w:r>
    </w:p>
    <w:p w14:paraId="113A1E26" w14:textId="3CAFAEB5" w:rsidR="008A6B67" w:rsidRPr="00B450EB" w:rsidRDefault="008A6B67" w:rsidP="008A6B67">
      <w:pPr>
        <w:spacing w:line="259" w:lineRule="auto"/>
        <w:jc w:val="center"/>
        <w:rPr>
          <w:sz w:val="18"/>
          <w:szCs w:val="18"/>
        </w:rPr>
      </w:pPr>
      <w:r w:rsidRPr="00B450EB">
        <w:rPr>
          <w:sz w:val="18"/>
          <w:szCs w:val="18"/>
        </w:rPr>
        <w:t>Fuente:</w:t>
      </w:r>
      <w:r w:rsidR="0039365D" w:rsidRPr="00B450EB">
        <w:rPr>
          <w:sz w:val="18"/>
          <w:szCs w:val="18"/>
        </w:rPr>
        <w:t xml:space="preserve"> </w:t>
      </w:r>
      <w:r w:rsidRPr="00B450EB">
        <w:rPr>
          <w:sz w:val="18"/>
          <w:szCs w:val="18"/>
        </w:rPr>
        <w:t>IDEAM</w:t>
      </w:r>
      <w:r w:rsidR="0039365D" w:rsidRPr="00B450EB">
        <w:rPr>
          <w:sz w:val="18"/>
          <w:szCs w:val="18"/>
        </w:rPr>
        <w:t xml:space="preserve"> (Cuarta Comunicación de Cambio Climático),</w:t>
      </w:r>
      <w:r w:rsidR="00BC0AE0" w:rsidRPr="00B450EB">
        <w:rPr>
          <w:bCs/>
          <w:sz w:val="18"/>
          <w:szCs w:val="18"/>
        </w:rPr>
        <w:t xml:space="preserve"> </w:t>
      </w:r>
      <w:r w:rsidR="0039365D" w:rsidRPr="00B450EB">
        <w:rPr>
          <w:sz w:val="18"/>
          <w:szCs w:val="18"/>
        </w:rPr>
        <w:t>2024</w:t>
      </w:r>
      <w:r w:rsidR="00BC0AE0" w:rsidRPr="00B450EB">
        <w:rPr>
          <w:bCs/>
          <w:sz w:val="18"/>
          <w:szCs w:val="18"/>
        </w:rPr>
        <w:t>.</w:t>
      </w:r>
    </w:p>
    <w:p w14:paraId="04E6DDEC" w14:textId="77777777" w:rsidR="00FF258E" w:rsidRPr="00B450EB" w:rsidRDefault="00FF258E" w:rsidP="00CC1FAB">
      <w:r w:rsidRPr="00B450EB">
        <w:t xml:space="preserve">Las proyecciones climáticas al año 2100 bajo el escenario SSP5-8.5 evidencian cambios profundos en el régimen </w:t>
      </w:r>
      <w:proofErr w:type="spellStart"/>
      <w:r w:rsidRPr="00B450EB">
        <w:t>hidroclimático</w:t>
      </w:r>
      <w:proofErr w:type="spellEnd"/>
      <w:r w:rsidRPr="00B450EB">
        <w:t xml:space="preserve"> de la Amazonía colombiana. En primer lugar, se prevé un aumento generalizado de la precipitación entre 0 y 30 %, con focos superiores al 40 % en sectores del piedemonte andino y Putumayo. Este incremento de lluvias, aunque pueda interpretarse como mayor disponibilidad hídrica, representa un riesgo de crecidas, inundaciones y alteraciones en el balance hídrico, comprometiendo tanto la dinámica fluvial como los asentamientos humanos en la región (Marengo et al., 2015; IDEAM, 2021). De forma simultánea, se proyectan aumentos drásticos de la temperatura máxima diaria, en su mayoría entre +3 y +5 °C, con áreas que superan los +5 °C. Esto implica un escenario de mayor estrés térmico, que puede sobrepasar los umbrales de tolerancia de especies amazónicas, alterar los procesos fisiológicos de la vegetación y reducir la capacidad de los bosques para actuar como sumideros de carbono (IPCC, 2021; </w:t>
      </w:r>
      <w:proofErr w:type="spellStart"/>
      <w:r w:rsidRPr="00B450EB">
        <w:t>Lovejoy</w:t>
      </w:r>
      <w:proofErr w:type="spellEnd"/>
      <w:r w:rsidRPr="00B450EB">
        <w:t xml:space="preserve"> &amp; </w:t>
      </w:r>
      <w:proofErr w:type="spellStart"/>
      <w:r w:rsidRPr="00B450EB">
        <w:t>Nobre</w:t>
      </w:r>
      <w:proofErr w:type="spellEnd"/>
      <w:r w:rsidRPr="00B450EB">
        <w:t>, 2018).</w:t>
      </w:r>
    </w:p>
    <w:p w14:paraId="27DC66CD" w14:textId="77777777" w:rsidR="00FF258E" w:rsidRPr="00B450EB" w:rsidRDefault="00FF258E" w:rsidP="00CC1FAB">
      <w:r w:rsidRPr="00B450EB">
        <w:lastRenderedPageBreak/>
        <w:t>En cuanto a la temperatura media anual, los incrementos se ubican igualmente en rangos críticos de +3 a +5 °C, lo que transforma la estabilidad térmica que caracteriza al bioma amazónico y genera riesgos de degradación ecosistémica. Este calentamiento promedio favorece la intensificación de sequías estacionales, incrementa la evapotranspiración y aumenta la vulnerabilidad a incendios forestales, incluso en la selva húmeda (</w:t>
      </w:r>
      <w:proofErr w:type="spellStart"/>
      <w:r w:rsidRPr="00B450EB">
        <w:t>Aragão</w:t>
      </w:r>
      <w:proofErr w:type="spellEnd"/>
      <w:r w:rsidRPr="00B450EB">
        <w:t xml:space="preserve"> et al., 2018; Gatti et al., 2021). Finalmente, el aumento de la temperatura mínima entre +3 y +5 °C refleja noches y madrugadas considerablemente más cálidas, reduciendo la capacidad de recuperación térmica de ecosistemas y poblaciones humanas. Este fenómeno potencia la proliferación de vectores de enfermedades tropicales y afecta directamente el funcionamiento de los ríos voladores que dependen de amplitudes térmicas más amplias (Salazar et al., 2018; </w:t>
      </w:r>
      <w:proofErr w:type="spellStart"/>
      <w:r w:rsidRPr="00B450EB">
        <w:t>Nobre</w:t>
      </w:r>
      <w:proofErr w:type="spellEnd"/>
      <w:r w:rsidRPr="00B450EB">
        <w:t xml:space="preserve"> et al., 2016).</w:t>
      </w:r>
    </w:p>
    <w:p w14:paraId="4F2F06BF" w14:textId="77777777" w:rsidR="00CC1FAB" w:rsidRPr="00B450EB" w:rsidRDefault="00FF258E" w:rsidP="00FF258E">
      <w:r w:rsidRPr="00B450EB">
        <w:t xml:space="preserve">En conjunto, estas proyecciones dibujan un escenario climático para la Amazonía caracterizado por mayores lluvias y un marcado incremento de las temperaturas en todos sus rangos (máximas, medias y mínimas). Esto implica que el bioma amazónico se volverá más húmedo, pero también más cálido, lo cual puede generar condiciones extremas que comprometan la biodiversidad, la funcionalidad de los ecosistemas y los servicios ambientales que regulan el clima regional y global. </w:t>
      </w:r>
    </w:p>
    <w:p w14:paraId="4D608590" w14:textId="4972ABA0" w:rsidR="00FF258E" w:rsidRPr="00B450EB" w:rsidRDefault="00FF258E" w:rsidP="00FF258E">
      <w:r w:rsidRPr="00B450EB">
        <w:t>La combinación de precipitaciones intensificadas y calor sostenido aumenta la vulnerabilidad de la región frente a fenómenos como inundaciones, incendios, pérdida de hábitats y riesgos para las comunidades locales, acercando al bioma a un posible punto de inflexión ecológico (</w:t>
      </w:r>
      <w:proofErr w:type="spellStart"/>
      <w:r w:rsidRPr="00B450EB">
        <w:t>Lovejoy</w:t>
      </w:r>
      <w:proofErr w:type="spellEnd"/>
      <w:r w:rsidRPr="00B450EB">
        <w:t xml:space="preserve"> &amp; </w:t>
      </w:r>
      <w:proofErr w:type="spellStart"/>
      <w:r w:rsidRPr="00B450EB">
        <w:t>Nobre</w:t>
      </w:r>
      <w:proofErr w:type="spellEnd"/>
      <w:r w:rsidRPr="00B450EB">
        <w:t xml:space="preserve">, 2018; IPCC, 2021). De manera particular, el aumento simultáneo de lluvias y temperaturas afecta directamente </w:t>
      </w:r>
      <w:r w:rsidR="00164E96" w:rsidRPr="00B450EB">
        <w:t>la dinámica</w:t>
      </w:r>
      <w:r w:rsidRPr="00B450EB">
        <w:t xml:space="preserve"> de los </w:t>
      </w:r>
      <w:r w:rsidRPr="00B450EB">
        <w:rPr>
          <w:b/>
        </w:rPr>
        <w:t>ríos voladores</w:t>
      </w:r>
      <w:r w:rsidRPr="00B450EB">
        <w:t>: por un lado, una atmósfera más cálida puede retener más vapor de agua, pero al mismo tiempo el estrés térmico sobre la vegetación reduce la eficiencia de la transpiración y debilita la capacidad del bosque para reciclar humedad. Esto significa que el flujo de vapor generado en la Amazonía hacia los Andes y el sur del continente podría disminuir y volverse más irregular, comprometiendo la estabilidad climática regional (</w:t>
      </w:r>
      <w:proofErr w:type="spellStart"/>
      <w:r w:rsidRPr="00B450EB">
        <w:t>Staal</w:t>
      </w:r>
      <w:proofErr w:type="spellEnd"/>
      <w:r w:rsidRPr="00B450EB">
        <w:t xml:space="preserve"> et al., 2020).</w:t>
      </w:r>
    </w:p>
    <w:p w14:paraId="752D0BE2" w14:textId="77777777" w:rsidR="007527C6" w:rsidRPr="00B450EB" w:rsidRDefault="007527C6" w:rsidP="00FF258E"/>
    <w:p w14:paraId="53C4B8FB" w14:textId="77777777" w:rsidR="007527C6" w:rsidRPr="00B450EB" w:rsidRDefault="007527C6" w:rsidP="00FF258E"/>
    <w:p w14:paraId="6973351C" w14:textId="77777777" w:rsidR="007527C6" w:rsidRPr="00B450EB" w:rsidRDefault="007527C6" w:rsidP="00FF258E"/>
    <w:p w14:paraId="73567892" w14:textId="77777777" w:rsidR="007527C6" w:rsidRPr="00B450EB" w:rsidRDefault="007527C6" w:rsidP="00FF258E"/>
    <w:p w14:paraId="7E0CC09E" w14:textId="77777777" w:rsidR="007527C6" w:rsidRPr="00B450EB" w:rsidRDefault="007527C6" w:rsidP="00FF258E"/>
    <w:p w14:paraId="409A165F" w14:textId="70A795C3" w:rsidR="00167454" w:rsidRPr="00B450EB" w:rsidRDefault="4BFE05C7" w:rsidP="001C1081">
      <w:pPr>
        <w:pStyle w:val="Ttulo3"/>
        <w:numPr>
          <w:ilvl w:val="2"/>
          <w:numId w:val="16"/>
        </w:numPr>
      </w:pPr>
      <w:bookmarkStart w:id="205" w:name="_Toc209722955"/>
      <w:r w:rsidRPr="00B450EB">
        <w:lastRenderedPageBreak/>
        <w:t>Amenazas por cambio climático</w:t>
      </w:r>
      <w:bookmarkEnd w:id="205"/>
    </w:p>
    <w:p w14:paraId="43646893" w14:textId="15540E10" w:rsidR="0062686E" w:rsidRPr="00B450EB" w:rsidRDefault="00683260" w:rsidP="0062686E">
      <w:r w:rsidRPr="00B450EB">
        <w:t>El índice de Amenaza por Cambio Climático integra el cambio porcentual de la precipitación y las variaciones de temperatura máxima, media y mínima, analizados con énfasis en los valores más extremos de estas variables, que elevan la calificación de amenaza. El resultado muestra que en el piedemonte y la franja cordillerana se presentan aumentos de precipitación del 40–50 % concurrentes con incrementos térmicos generalizados, ubicando estos sectores en amenaza muy alta (5); mientras que en la planicie amazónica predominan aumentos pluviales moderados (10–20 %) que, sumados al incremento sostenido de la temperatura en todo el ámbito, elevan la clasificación a amenaza alta. En síntesis, la coocurrencia de máximos pluviales y térmicos explica los picos de amenaza en piedemonte–cordillera, y los aumentos térmicos generalizados sostienen niveles altos en la zona llana</w:t>
      </w:r>
      <w:sdt>
        <w:sdtPr>
          <w:id w:val="-1278488096"/>
          <w:citation/>
        </w:sdtPr>
        <w:sdtContent>
          <w:r w:rsidRPr="00B450EB">
            <w:fldChar w:fldCharType="begin"/>
          </w:r>
          <w:r w:rsidRPr="00B450EB">
            <w:rPr>
              <w:lang w:val="es-ES"/>
            </w:rPr>
            <w:instrText xml:space="preserve"> CITATION IDE241 \l 3082 </w:instrText>
          </w:r>
          <w:r w:rsidRPr="00B450EB">
            <w:fldChar w:fldCharType="separate"/>
          </w:r>
          <w:r w:rsidR="0077091E" w:rsidRPr="00B450EB">
            <w:rPr>
              <w:noProof/>
              <w:lang w:val="es-ES"/>
            </w:rPr>
            <w:t xml:space="preserve"> (IDEAM, MinAmbiente, PNUD, &amp; GEF-CBIT, 2024)</w:t>
          </w:r>
          <w:r w:rsidRPr="00B450EB">
            <w:fldChar w:fldCharType="end"/>
          </w:r>
        </w:sdtContent>
      </w:sdt>
      <w:r w:rsidRPr="00B450EB">
        <w:t>.</w:t>
      </w:r>
    </w:p>
    <w:p w14:paraId="7701A194" w14:textId="330ED01B" w:rsidR="004E2AF7" w:rsidRPr="00B450EB" w:rsidRDefault="004E2AF7" w:rsidP="004E2AF7">
      <w:pPr>
        <w:pStyle w:val="Descripcin"/>
        <w:rPr>
          <w:color w:val="auto"/>
        </w:rPr>
      </w:pPr>
      <w:bookmarkStart w:id="206" w:name="_Toc209462777"/>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89</w:t>
      </w:r>
      <w:r w:rsidR="0045353A" w:rsidRPr="00B450EB">
        <w:rPr>
          <w:noProof/>
          <w:color w:val="auto"/>
        </w:rPr>
        <w:fldChar w:fldCharType="end"/>
      </w:r>
      <w:r w:rsidRPr="00B450EB">
        <w:rPr>
          <w:color w:val="auto"/>
        </w:rPr>
        <w:t xml:space="preserve"> Índice de Amenaza por Cambio Climático. Escenario SSP5-5.8</w:t>
      </w:r>
      <w:bookmarkEnd w:id="206"/>
    </w:p>
    <w:p w14:paraId="14A0A893" w14:textId="77777777" w:rsidR="004E2AF7" w:rsidRPr="00B450EB" w:rsidRDefault="004E2AF7" w:rsidP="004E2AF7">
      <w:pPr>
        <w:jc w:val="center"/>
      </w:pPr>
      <w:r w:rsidRPr="00B450EB">
        <w:rPr>
          <w:noProof/>
        </w:rPr>
        <w:drawing>
          <wp:inline distT="0" distB="0" distL="0" distR="0" wp14:anchorId="447184F6" wp14:editId="59574A08">
            <wp:extent cx="4374107" cy="3379812"/>
            <wp:effectExtent l="0" t="0" r="7620" b="0"/>
            <wp:docPr id="573592224" name="Imagen 10"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92224" name="Imagen 10" descr="Mapa&#10;&#10;El contenido generado por IA puede ser incorrecto."/>
                    <pic:cNvPicPr/>
                  </pic:nvPicPr>
                  <pic:blipFill>
                    <a:blip r:embed="rId149" cstate="email">
                      <a:extLst>
                        <a:ext uri="{28A0092B-C50C-407E-A947-70E740481C1C}">
                          <a14:useLocalDpi xmlns:a14="http://schemas.microsoft.com/office/drawing/2010/main"/>
                        </a:ext>
                      </a:extLst>
                    </a:blip>
                    <a:stretch>
                      <a:fillRect/>
                    </a:stretch>
                  </pic:blipFill>
                  <pic:spPr>
                    <a:xfrm>
                      <a:off x="0" y="0"/>
                      <a:ext cx="4386205" cy="3389160"/>
                    </a:xfrm>
                    <a:prstGeom prst="rect">
                      <a:avLst/>
                    </a:prstGeom>
                  </pic:spPr>
                </pic:pic>
              </a:graphicData>
            </a:graphic>
          </wp:inline>
        </w:drawing>
      </w:r>
    </w:p>
    <w:p w14:paraId="726FC1FA" w14:textId="77777777" w:rsidR="004E2AF7" w:rsidRPr="00B450EB" w:rsidRDefault="004E2AF7" w:rsidP="004E2AF7">
      <w:pPr>
        <w:jc w:val="center"/>
        <w:rPr>
          <w:sz w:val="18"/>
          <w:szCs w:val="18"/>
        </w:rPr>
      </w:pPr>
      <w:r w:rsidRPr="00B450EB">
        <w:rPr>
          <w:sz w:val="18"/>
          <w:szCs w:val="18"/>
        </w:rPr>
        <w:t>Fuente: IDEAM, 2024.</w:t>
      </w:r>
    </w:p>
    <w:p w14:paraId="3B51680D" w14:textId="5E8F3915" w:rsidR="00A02677" w:rsidRPr="00B450EB" w:rsidRDefault="00A02677">
      <w:pPr>
        <w:jc w:val="left"/>
        <w:rPr>
          <w:sz w:val="18"/>
          <w:szCs w:val="18"/>
        </w:rPr>
      </w:pPr>
      <w:r w:rsidRPr="00B450EB">
        <w:rPr>
          <w:sz w:val="18"/>
          <w:szCs w:val="18"/>
        </w:rPr>
        <w:br w:type="page"/>
      </w:r>
    </w:p>
    <w:p w14:paraId="7F5D7992" w14:textId="154390FA" w:rsidR="00167454" w:rsidRPr="00B450EB" w:rsidRDefault="4BFE05C7" w:rsidP="001C1081">
      <w:pPr>
        <w:pStyle w:val="Ttulo3"/>
        <w:numPr>
          <w:ilvl w:val="2"/>
          <w:numId w:val="16"/>
        </w:numPr>
      </w:pPr>
      <w:bookmarkStart w:id="207" w:name="_Toc209722956"/>
      <w:r w:rsidRPr="00B450EB">
        <w:lastRenderedPageBreak/>
        <w:t>Vulnerabilidades por cambio climático (recurso hídrico ecosistemas, socioeconómicas)</w:t>
      </w:r>
      <w:bookmarkEnd w:id="207"/>
    </w:p>
    <w:p w14:paraId="282D24C3" w14:textId="7161F25F" w:rsidR="00683260" w:rsidRPr="00B450EB" w:rsidRDefault="00683260" w:rsidP="00F93EA8">
      <w:r w:rsidRPr="00B450EB">
        <w:rPr>
          <w:b/>
          <w:bCs/>
        </w:rPr>
        <w:t>7.2.3.1</w:t>
      </w:r>
      <w:r w:rsidRPr="00B450EB">
        <w:t xml:space="preserve"> </w:t>
      </w:r>
      <w:r w:rsidR="0060643F" w:rsidRPr="00B450EB">
        <w:t>índice de vulnerabilidad al cambio climático en la dimensión del recurso hídrico.</w:t>
      </w:r>
    </w:p>
    <w:p w14:paraId="23D7516D" w14:textId="0730BABD" w:rsidR="005B4A0D" w:rsidRPr="00B450EB" w:rsidRDefault="005B4A0D" w:rsidP="006958BD">
      <w:r w:rsidRPr="00B450EB">
        <w:t>El índice de vulnerabilidad al cambio climático en la dimensión del recurso hídrico se calculó a partir de los índices del SIIVRA, desarrollados en el marco de la Cuarta Comunicación Nacional de Cambio Climático. Para ello se integraron dos insumos de corte 2019: (i) la sensibilidad, que indica en qué medida un municipio es susceptible al desabastecimiento de agua, considerando factores como la relación entre oferta y demanda, la dependencia de una o pocas fuentes hídricas y la ocurrencia de situaciones previas de racionamiento o desabastecimiento; y (</w:t>
      </w:r>
      <w:proofErr w:type="spellStart"/>
      <w:r w:rsidRPr="00B450EB">
        <w:t>ii</w:t>
      </w:r>
      <w:proofErr w:type="spellEnd"/>
      <w:r w:rsidRPr="00B450EB">
        <w:t>) la capacidad adaptativa, que refleja qué tan preparado está el municipio para afrontar esa sensibilidad, en función de su infraestructura de acueducto y alcantarillado, el acceso de la población a agua potable, la inversión municipal en agua y saneamiento, la existencia de planes y programas de gestión del recurso hídrico y el desempeño institucional en el sector</w:t>
      </w:r>
      <w:sdt>
        <w:sdtPr>
          <w:id w:val="-1886258816"/>
          <w:citation/>
        </w:sdtPr>
        <w:sdtContent>
          <w:r w:rsidRPr="00B450EB">
            <w:fldChar w:fldCharType="begin"/>
          </w:r>
          <w:r w:rsidRPr="00B450EB">
            <w:instrText xml:space="preserve">CITATION Ide24 \l 3082 </w:instrText>
          </w:r>
          <w:r w:rsidRPr="00B450EB">
            <w:fldChar w:fldCharType="separate"/>
          </w:r>
          <w:r w:rsidR="0077091E" w:rsidRPr="00B450EB">
            <w:rPr>
              <w:noProof/>
            </w:rPr>
            <w:t xml:space="preserve"> (IDEAM, y otros, 2024)</w:t>
          </w:r>
          <w:r w:rsidRPr="00B450EB">
            <w:fldChar w:fldCharType="end"/>
          </w:r>
        </w:sdtContent>
      </w:sdt>
      <w:r w:rsidRPr="00B450EB">
        <w:t>.</w:t>
      </w:r>
    </w:p>
    <w:p w14:paraId="6A87FC7F" w14:textId="3514FF69" w:rsidR="004E2AF7" w:rsidRPr="00B450EB" w:rsidRDefault="004E2AF7" w:rsidP="004E2AF7">
      <w:pPr>
        <w:pStyle w:val="Descripcin"/>
        <w:rPr>
          <w:color w:val="auto"/>
        </w:rPr>
      </w:pPr>
      <w:bookmarkStart w:id="208" w:name="_Toc209462778"/>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90</w:t>
      </w:r>
      <w:r w:rsidR="0045353A" w:rsidRPr="00B450EB">
        <w:rPr>
          <w:noProof/>
          <w:color w:val="auto"/>
        </w:rPr>
        <w:fldChar w:fldCharType="end"/>
      </w:r>
      <w:r w:rsidRPr="00B450EB">
        <w:rPr>
          <w:color w:val="auto"/>
        </w:rPr>
        <w:t xml:space="preserve"> índice de vulnerabilidad al cambio climático en la dimensión del recurso hídrico.</w:t>
      </w:r>
      <w:bookmarkEnd w:id="208"/>
    </w:p>
    <w:p w14:paraId="7DEE9503" w14:textId="77777777" w:rsidR="004E2AF7" w:rsidRPr="00B450EB" w:rsidRDefault="004E2AF7" w:rsidP="004E2AF7">
      <w:pPr>
        <w:jc w:val="center"/>
      </w:pPr>
      <w:r w:rsidRPr="00B450EB">
        <w:rPr>
          <w:noProof/>
        </w:rPr>
        <w:drawing>
          <wp:inline distT="0" distB="0" distL="0" distR="0" wp14:anchorId="1A0DF947" wp14:editId="04BFFAF6">
            <wp:extent cx="4512834" cy="3487003"/>
            <wp:effectExtent l="0" t="0" r="2540" b="0"/>
            <wp:docPr id="2051020023" name="Imagen 1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020023" name="Imagen 11" descr="Mapa&#10;&#10;El contenido generado por IA puede ser incorrecto."/>
                    <pic:cNvPicPr/>
                  </pic:nvPicPr>
                  <pic:blipFill>
                    <a:blip r:embed="rId150" cstate="email">
                      <a:extLst>
                        <a:ext uri="{28A0092B-C50C-407E-A947-70E740481C1C}">
                          <a14:useLocalDpi xmlns:a14="http://schemas.microsoft.com/office/drawing/2010/main"/>
                        </a:ext>
                      </a:extLst>
                    </a:blip>
                    <a:stretch>
                      <a:fillRect/>
                    </a:stretch>
                  </pic:blipFill>
                  <pic:spPr>
                    <a:xfrm>
                      <a:off x="0" y="0"/>
                      <a:ext cx="4533576" cy="3503030"/>
                    </a:xfrm>
                    <a:prstGeom prst="rect">
                      <a:avLst/>
                    </a:prstGeom>
                  </pic:spPr>
                </pic:pic>
              </a:graphicData>
            </a:graphic>
          </wp:inline>
        </w:drawing>
      </w:r>
    </w:p>
    <w:p w14:paraId="44D77E1D" w14:textId="77777777" w:rsidR="004E2AF7" w:rsidRPr="00B450EB" w:rsidRDefault="004E2AF7" w:rsidP="004E2AF7">
      <w:pPr>
        <w:jc w:val="center"/>
        <w:rPr>
          <w:sz w:val="18"/>
          <w:szCs w:val="18"/>
        </w:rPr>
      </w:pPr>
      <w:r w:rsidRPr="00B450EB">
        <w:rPr>
          <w:sz w:val="18"/>
          <w:szCs w:val="18"/>
        </w:rPr>
        <w:t>Fuente: IDEAM, 2024.</w:t>
      </w:r>
    </w:p>
    <w:p w14:paraId="165B81EA" w14:textId="77777777" w:rsidR="005B4A0D" w:rsidRPr="00B450EB" w:rsidRDefault="005B4A0D" w:rsidP="006958BD">
      <w:r w:rsidRPr="00B450EB">
        <w:t xml:space="preserve">La vulnerabilidad final resulta de la combinación de estos dos componentes: es más elevada cuando la sensibilidad es alta y la capacidad adaptativa es baja, y se reduce </w:t>
      </w:r>
      <w:r w:rsidRPr="00B450EB">
        <w:lastRenderedPageBreak/>
        <w:t>cuando, pese a existir sensibilidad, los municipios cuentan con mayores capacidades técnicas, institucionales y de infraestructura para gestionar los riesgos asociados al recurso hídrico.</w:t>
      </w:r>
    </w:p>
    <w:p w14:paraId="4F93B424" w14:textId="7AE38207" w:rsidR="005B4A0D" w:rsidRPr="00B450EB" w:rsidRDefault="005B4A0D" w:rsidP="006958BD">
      <w:r w:rsidRPr="00B450EB">
        <w:t xml:space="preserve">En el área amazónica, los resultados muestran que la sensibilidad se concentra principalmente en niveles medios y altos, lo que refleja una elevada susceptibilidad al desabastecimiento hídrico. La capacidad adaptativa, por su parte, se ubica mayoritariamente en niveles medios y bajos, con poca representación en niveles altos y muy altos. Como consecuencia, la vulnerabilidad final evidencia un predominio de niveles medios y altos, lo que significa que la mayoría de </w:t>
      </w:r>
      <w:r w:rsidR="006D2F9E" w:rsidRPr="00B450EB">
        <w:t xml:space="preserve">los </w:t>
      </w:r>
      <w:r w:rsidRPr="00B450EB">
        <w:t>municipios amazónicos presentan alta vulnerabilidad hídrica frente al cambio climático, derivada de la combinación de una sensibilidad elevada y unas capacidades de adaptación todavía insuficientes.</w:t>
      </w:r>
    </w:p>
    <w:p w14:paraId="033CF9B5" w14:textId="25E27310" w:rsidR="00BB7F0E" w:rsidRPr="00B450EB" w:rsidRDefault="00BB7F0E" w:rsidP="00BB7F0E">
      <w:r w:rsidRPr="00B450EB">
        <w:rPr>
          <w:b/>
          <w:bCs/>
        </w:rPr>
        <w:t>7.2.3.1</w:t>
      </w:r>
      <w:r w:rsidRPr="00B450EB">
        <w:t xml:space="preserve"> </w:t>
      </w:r>
      <w:r w:rsidR="00A61E2C" w:rsidRPr="00B450EB">
        <w:t>índice de vulnerabilidad al cambio climático en la dimensión de biodiversidad y servicios ecosistémicos</w:t>
      </w:r>
    </w:p>
    <w:p w14:paraId="266E7AAC" w14:textId="77777777" w:rsidR="004E2AF7" w:rsidRPr="00B450EB" w:rsidRDefault="00A61E2C" w:rsidP="00A61E2C">
      <w:pPr>
        <w:rPr>
          <w:rFonts w:eastAsia="Arial" w:cs="Arial"/>
          <w:lang w:val="es-ES"/>
        </w:rPr>
      </w:pPr>
      <w:r w:rsidRPr="00B450EB">
        <w:rPr>
          <w:rFonts w:eastAsia="Arial" w:cs="Arial"/>
          <w:lang w:val="es-ES"/>
        </w:rPr>
        <w:t xml:space="preserve">El índice de vulnerabilidad al cambio climático en la dimensión de biodiversidad y servicios ecosistémicos se calculó a partir de los índices del SIIVRA, desarrollados en el marco de la Cuarta Comunicación Nacional de Cambio Climático. </w:t>
      </w:r>
    </w:p>
    <w:p w14:paraId="7EFFF894" w14:textId="43B23A0A" w:rsidR="006D18A8" w:rsidRPr="00B450EB" w:rsidRDefault="00A61E2C" w:rsidP="00A61E2C">
      <w:pPr>
        <w:rPr>
          <w:rFonts w:eastAsia="Arial" w:cs="Arial"/>
          <w:lang w:val="es-ES"/>
        </w:rPr>
      </w:pPr>
      <w:r w:rsidRPr="00B450EB">
        <w:rPr>
          <w:rFonts w:eastAsia="Arial" w:cs="Arial"/>
          <w:lang w:val="es-ES"/>
        </w:rPr>
        <w:t>Para ello se integraron dos insumos de corte 2019: (i) la sensibilidad, que indica el grado en que los ecosistemas y especies son susceptibles a afectaciones por el cambio climático, a partir de variables asociadas a la integridad ecológica (cobertura de bosque natural, humedales transformados, índice de integridad ecológica, remanencia de coberturas) y a la presión antrópica (tasa de deforestación, huella humana y conflictos de uso del suelo); y (</w:t>
      </w:r>
      <w:proofErr w:type="spellStart"/>
      <w:r w:rsidRPr="00B450EB">
        <w:rPr>
          <w:rFonts w:eastAsia="Arial" w:cs="Arial"/>
          <w:lang w:val="es-ES"/>
        </w:rPr>
        <w:t>ii</w:t>
      </w:r>
      <w:proofErr w:type="spellEnd"/>
      <w:r w:rsidRPr="00B450EB">
        <w:rPr>
          <w:rFonts w:eastAsia="Arial" w:cs="Arial"/>
          <w:lang w:val="es-ES"/>
        </w:rPr>
        <w:t>) la capacidad adaptativa, que refleja el nivel de preparación de los territorios para conservar la biodiversidad y mantener los servicios ecosistémicos, medida a través de variables de gobernanza y gestión ambiental (presencia de áreas protegidas, territorios étnicos, reservas de la sociedad civil, planes de salvaguardia e inversión en restauración), así como indicadores de desempeño institucional y económico a escala municipal</w:t>
      </w:r>
      <w:sdt>
        <w:sdtPr>
          <w:rPr>
            <w:rFonts w:eastAsia="Arial" w:cs="Arial"/>
            <w:lang w:val="es-ES"/>
          </w:rPr>
          <w:id w:val="998000734"/>
          <w:citation/>
        </w:sdtPr>
        <w:sdtContent>
          <w:r w:rsidRPr="00B450EB">
            <w:rPr>
              <w:rFonts w:eastAsia="Arial" w:cs="Arial"/>
              <w:lang w:val="es-ES"/>
            </w:rPr>
            <w:fldChar w:fldCharType="begin"/>
          </w:r>
          <w:r w:rsidRPr="00B450EB">
            <w:rPr>
              <w:rFonts w:eastAsia="Arial" w:cs="Arial"/>
              <w:lang w:val="es-ES"/>
            </w:rPr>
            <w:instrText xml:space="preserve">CITATION MarcadorDePosición1 \l 3082 </w:instrText>
          </w:r>
          <w:r w:rsidRPr="00B450EB">
            <w:rPr>
              <w:rFonts w:eastAsia="Arial" w:cs="Arial"/>
              <w:lang w:val="es-ES"/>
            </w:rPr>
            <w:fldChar w:fldCharType="separate"/>
          </w:r>
          <w:r w:rsidR="0077091E" w:rsidRPr="00B450EB">
            <w:rPr>
              <w:rFonts w:eastAsia="Arial" w:cs="Arial"/>
              <w:noProof/>
              <w:lang w:val="es-ES"/>
            </w:rPr>
            <w:t xml:space="preserve"> (IDEAM, 2024)</w:t>
          </w:r>
          <w:r w:rsidRPr="00B450EB">
            <w:rPr>
              <w:rFonts w:eastAsia="Arial" w:cs="Arial"/>
              <w:lang w:val="es-ES"/>
            </w:rPr>
            <w:fldChar w:fldCharType="end"/>
          </w:r>
        </w:sdtContent>
      </w:sdt>
      <w:r w:rsidRPr="00B450EB">
        <w:rPr>
          <w:rFonts w:eastAsia="Arial" w:cs="Arial"/>
          <w:lang w:val="es-ES"/>
        </w:rPr>
        <w:t>.</w:t>
      </w:r>
    </w:p>
    <w:p w14:paraId="34E1C386" w14:textId="77777777" w:rsidR="006D18A8" w:rsidRPr="00B450EB" w:rsidRDefault="006D18A8">
      <w:pPr>
        <w:jc w:val="left"/>
        <w:rPr>
          <w:rFonts w:eastAsia="Arial" w:cs="Arial"/>
          <w:lang w:val="es-ES"/>
        </w:rPr>
      </w:pPr>
      <w:r w:rsidRPr="00B450EB">
        <w:rPr>
          <w:rFonts w:eastAsia="Arial" w:cs="Arial"/>
          <w:lang w:val="es-ES"/>
        </w:rPr>
        <w:br w:type="page"/>
      </w:r>
    </w:p>
    <w:p w14:paraId="77C7FA9E" w14:textId="0CB9480C" w:rsidR="004E2AF7" w:rsidRPr="00B450EB" w:rsidRDefault="004E2AF7" w:rsidP="004E2AF7">
      <w:pPr>
        <w:pStyle w:val="Descripcin"/>
        <w:rPr>
          <w:color w:val="auto"/>
        </w:rPr>
      </w:pPr>
      <w:bookmarkStart w:id="209" w:name="_Toc209462779"/>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91</w:t>
      </w:r>
      <w:r w:rsidR="0045353A" w:rsidRPr="00B450EB">
        <w:rPr>
          <w:noProof/>
          <w:color w:val="auto"/>
        </w:rPr>
        <w:fldChar w:fldCharType="end"/>
      </w:r>
      <w:r w:rsidRPr="00B450EB">
        <w:rPr>
          <w:color w:val="auto"/>
        </w:rPr>
        <w:t xml:space="preserve"> índice de vulnerabilidad al cambio climático en la dimensión de biodiversidad y servicios ecosistémicos</w:t>
      </w:r>
      <w:bookmarkEnd w:id="209"/>
    </w:p>
    <w:p w14:paraId="4DE67569" w14:textId="77777777" w:rsidR="004E2AF7" w:rsidRPr="00B450EB" w:rsidRDefault="004E2AF7" w:rsidP="004E2AF7">
      <w:pPr>
        <w:jc w:val="center"/>
        <w:rPr>
          <w:i/>
          <w:iCs/>
          <w:sz w:val="18"/>
          <w:szCs w:val="18"/>
        </w:rPr>
      </w:pPr>
      <w:r w:rsidRPr="00B450EB">
        <w:rPr>
          <w:i/>
          <w:iCs/>
          <w:noProof/>
          <w:sz w:val="18"/>
          <w:szCs w:val="18"/>
        </w:rPr>
        <w:drawing>
          <wp:inline distT="0" distB="0" distL="0" distR="0" wp14:anchorId="4C840D87" wp14:editId="540B71FA">
            <wp:extent cx="4883752" cy="3773606"/>
            <wp:effectExtent l="0" t="0" r="0" b="0"/>
            <wp:docPr id="1433333311" name="Imagen 1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33311" name="Imagen 12" descr="Mapa&#10;&#10;El contenido generado por IA puede ser incorrecto."/>
                    <pic:cNvPicPr/>
                  </pic:nvPicPr>
                  <pic:blipFill>
                    <a:blip r:embed="rId151" cstate="email">
                      <a:extLst>
                        <a:ext uri="{28A0092B-C50C-407E-A947-70E740481C1C}">
                          <a14:useLocalDpi xmlns:a14="http://schemas.microsoft.com/office/drawing/2010/main"/>
                        </a:ext>
                      </a:extLst>
                    </a:blip>
                    <a:stretch>
                      <a:fillRect/>
                    </a:stretch>
                  </pic:blipFill>
                  <pic:spPr>
                    <a:xfrm>
                      <a:off x="0" y="0"/>
                      <a:ext cx="4900439" cy="3786500"/>
                    </a:xfrm>
                    <a:prstGeom prst="rect">
                      <a:avLst/>
                    </a:prstGeom>
                  </pic:spPr>
                </pic:pic>
              </a:graphicData>
            </a:graphic>
          </wp:inline>
        </w:drawing>
      </w:r>
    </w:p>
    <w:p w14:paraId="1D331A48" w14:textId="77777777" w:rsidR="004E2AF7" w:rsidRPr="00B450EB" w:rsidRDefault="004E2AF7" w:rsidP="004E2AF7">
      <w:pPr>
        <w:jc w:val="center"/>
        <w:rPr>
          <w:sz w:val="18"/>
          <w:szCs w:val="18"/>
        </w:rPr>
      </w:pPr>
      <w:r w:rsidRPr="00B450EB">
        <w:rPr>
          <w:sz w:val="18"/>
          <w:szCs w:val="18"/>
        </w:rPr>
        <w:t>Fuente: IDEAM, 2024.</w:t>
      </w:r>
    </w:p>
    <w:p w14:paraId="766ABC55" w14:textId="77777777" w:rsidR="004E2AF7" w:rsidRPr="00B450EB" w:rsidRDefault="004E2AF7" w:rsidP="00A61E2C">
      <w:pPr>
        <w:rPr>
          <w:rFonts w:eastAsia="Arial" w:cs="Arial"/>
          <w:lang w:val="es-ES"/>
        </w:rPr>
      </w:pPr>
    </w:p>
    <w:p w14:paraId="3CF04AFD" w14:textId="77777777" w:rsidR="00A61E2C" w:rsidRPr="00B450EB" w:rsidRDefault="00A61E2C" w:rsidP="00A61E2C">
      <w:pPr>
        <w:rPr>
          <w:rFonts w:eastAsia="Arial" w:cs="Arial"/>
          <w:lang w:val="es-ES"/>
        </w:rPr>
      </w:pPr>
      <w:r w:rsidRPr="00B450EB">
        <w:rPr>
          <w:rFonts w:eastAsia="Arial" w:cs="Arial"/>
          <w:lang w:val="es-ES"/>
        </w:rPr>
        <w:t>La vulnerabilidad final surge de la interacción entre estos dos componentes: es mayor cuando la sensibilidad es alta y la capacidad adaptativa es baja, y disminuye cuando, pese a existir sensibilidad, existen mecanismos sólidos de conservación, planificación y gobernanza que permiten contrarrestar las presiones antrópicas y climáticas sobre la biodiversidad y los servicios ecosistémicos.</w:t>
      </w:r>
    </w:p>
    <w:p w14:paraId="78994A7E" w14:textId="77777777" w:rsidR="006D18A8" w:rsidRPr="00B450EB" w:rsidRDefault="00A61E2C" w:rsidP="00726191">
      <w:pPr>
        <w:rPr>
          <w:rFonts w:eastAsia="Arial" w:cs="Arial"/>
          <w:lang w:val="es-ES"/>
        </w:rPr>
      </w:pPr>
      <w:r w:rsidRPr="00B450EB">
        <w:rPr>
          <w:rFonts w:eastAsia="Arial" w:cs="Arial"/>
          <w:lang w:val="es-ES"/>
        </w:rPr>
        <w:t xml:space="preserve">La vulnerabilidad final frente al cambio climático en la dimensión de biodiversidad y servicios ecosistémicos en la Amazonía colombiana se clasifica principalmente en niveles medio y bajo, lo que refleja que gran parte del territorio mantiene una integridad ecológica significativa y una provisión estable de servicios ecosistémicos. No obstante, se identifican áreas focalizadas con vulnerabilidad alta y muy alta en el piedemonte de Putumayo y Caquetá, así como en zonas con mayores procesos de transformación, donde la presión por deforestación, cambios de uso del suelo y baja capacidad de gestión ambiental incrementan la susceptibilidad del territorio. </w:t>
      </w:r>
    </w:p>
    <w:p w14:paraId="6B86DD41" w14:textId="2AFAF517" w:rsidR="00BB7F0E" w:rsidRPr="00B450EB" w:rsidRDefault="00A61E2C" w:rsidP="00726191">
      <w:pPr>
        <w:rPr>
          <w:rFonts w:eastAsia="Arial" w:cs="Arial"/>
          <w:lang w:val="es-ES"/>
        </w:rPr>
      </w:pPr>
      <w:r w:rsidRPr="00B450EB">
        <w:rPr>
          <w:rFonts w:eastAsia="Arial" w:cs="Arial"/>
          <w:lang w:val="es-ES"/>
        </w:rPr>
        <w:lastRenderedPageBreak/>
        <w:t>Esto resalta la necesidad de priorizar acciones de conservación y fortalecimiento institucional en estos núcleos críticos. En conjunto, el patrón espacial evidencia que la vulnerabilidad biótica en la Amazonía está fuertemente asociada a los gradientes de transformación ecosistémica y al grado de resiliencia institucional y comunitaria de los municipios para sostener los servicios ecosistémicos que soportan la vida y el bienestar en la región</w:t>
      </w:r>
    </w:p>
    <w:p w14:paraId="39C54F3A" w14:textId="2048CA10" w:rsidR="00100909" w:rsidRPr="00B450EB" w:rsidRDefault="004D7F47" w:rsidP="001C1081">
      <w:pPr>
        <w:pStyle w:val="Ttulo2"/>
        <w:numPr>
          <w:ilvl w:val="1"/>
          <w:numId w:val="16"/>
        </w:numPr>
        <w:rPr>
          <w:rFonts w:eastAsia="Arial" w:cs="Arial"/>
        </w:rPr>
      </w:pPr>
      <w:bookmarkStart w:id="210" w:name="_Toc209722957"/>
      <w:r w:rsidRPr="00B450EB">
        <w:t>Análisis</w:t>
      </w:r>
      <w:r w:rsidR="00100909" w:rsidRPr="00B450EB">
        <w:t xml:space="preserve"> espacial de las presiones y Amenazas identificadas</w:t>
      </w:r>
      <w:bookmarkEnd w:id="210"/>
    </w:p>
    <w:p w14:paraId="72198F79" w14:textId="3326E442" w:rsidR="000E6C65" w:rsidRPr="00B450EB" w:rsidRDefault="000E6C65" w:rsidP="000E6C65">
      <w:pPr>
        <w:rPr>
          <w:rFonts w:eastAsia="Arial" w:cs="Arial"/>
        </w:rPr>
      </w:pPr>
      <w:r w:rsidRPr="00B450EB">
        <w:rPr>
          <w:rFonts w:eastAsia="Arial" w:cs="Arial"/>
        </w:rPr>
        <w:t xml:space="preserve">En la siguiente figura se presenta la </w:t>
      </w:r>
      <w:proofErr w:type="spellStart"/>
      <w:r w:rsidRPr="00B450EB">
        <w:rPr>
          <w:rFonts w:eastAsia="Arial" w:cs="Arial"/>
        </w:rPr>
        <w:t>espacialización</w:t>
      </w:r>
      <w:proofErr w:type="spellEnd"/>
      <w:r w:rsidRPr="00B450EB">
        <w:rPr>
          <w:rFonts w:eastAsia="Arial" w:cs="Arial"/>
        </w:rPr>
        <w:t xml:space="preserve"> de las principales </w:t>
      </w:r>
      <w:r w:rsidR="00B378BE" w:rsidRPr="00B450EB">
        <w:rPr>
          <w:rFonts w:eastAsia="Arial" w:cs="Arial"/>
        </w:rPr>
        <w:t>presiones y amenazas</w:t>
      </w:r>
      <w:r w:rsidRPr="00B450EB">
        <w:rPr>
          <w:rFonts w:eastAsia="Arial" w:cs="Arial"/>
        </w:rPr>
        <w:t xml:space="preserve"> identificadas anteriormente</w:t>
      </w:r>
      <w:r w:rsidR="00B378BE" w:rsidRPr="00B450EB">
        <w:rPr>
          <w:rFonts w:eastAsia="Arial" w:cs="Arial"/>
        </w:rPr>
        <w:t xml:space="preserve"> (</w:t>
      </w:r>
      <w:r w:rsidR="002E4EE0" w:rsidRPr="00B450EB">
        <w:rPr>
          <w:rFonts w:eastAsia="Arial" w:cs="Arial"/>
        </w:rPr>
        <w:fldChar w:fldCharType="begin"/>
      </w:r>
      <w:r w:rsidR="002E4EE0" w:rsidRPr="00B450EB">
        <w:rPr>
          <w:rFonts w:eastAsia="Arial" w:cs="Arial"/>
        </w:rPr>
        <w:instrText xml:space="preserve"> REF _Ref209189290 \h </w:instrText>
      </w:r>
      <w:r w:rsidR="006E0BC8" w:rsidRPr="00B450EB">
        <w:rPr>
          <w:rFonts w:eastAsia="Arial" w:cs="Arial"/>
        </w:rPr>
        <w:instrText xml:space="preserve"> \* MERGEFORMAT </w:instrText>
      </w:r>
      <w:r w:rsidR="002E4EE0" w:rsidRPr="00B450EB">
        <w:rPr>
          <w:rFonts w:eastAsia="Arial" w:cs="Arial"/>
        </w:rPr>
      </w:r>
      <w:r w:rsidR="002E4EE0" w:rsidRPr="00B450EB">
        <w:rPr>
          <w:rFonts w:eastAsia="Arial" w:cs="Arial"/>
        </w:rPr>
        <w:fldChar w:fldCharType="separate"/>
      </w:r>
      <w:r w:rsidR="00010D09" w:rsidRPr="00B450EB">
        <w:t xml:space="preserve">Figura </w:t>
      </w:r>
      <w:r w:rsidR="00010D09" w:rsidRPr="00B450EB">
        <w:rPr>
          <w:noProof/>
        </w:rPr>
        <w:t>92</w:t>
      </w:r>
      <w:r w:rsidR="002E4EE0" w:rsidRPr="00B450EB">
        <w:rPr>
          <w:rFonts w:eastAsia="Arial" w:cs="Arial"/>
        </w:rPr>
        <w:fldChar w:fldCharType="end"/>
      </w:r>
      <w:r w:rsidR="002E4EE0" w:rsidRPr="00B450EB">
        <w:rPr>
          <w:rFonts w:eastAsia="Arial" w:cs="Arial"/>
        </w:rPr>
        <w:t>a)</w:t>
      </w:r>
      <w:r w:rsidRPr="00B450EB">
        <w:rPr>
          <w:rFonts w:eastAsia="Arial" w:cs="Arial"/>
        </w:rPr>
        <w:t xml:space="preserve">, evidenciando una marcada correlación con </w:t>
      </w:r>
      <w:r w:rsidR="003071E6" w:rsidRPr="00B450EB">
        <w:rPr>
          <w:rFonts w:eastAsia="Arial" w:cs="Arial"/>
        </w:rPr>
        <w:t>la</w:t>
      </w:r>
      <w:r w:rsidRPr="00B450EB">
        <w:rPr>
          <w:rFonts w:eastAsia="Arial" w:cs="Arial"/>
        </w:rPr>
        <w:t xml:space="preserve"> Deforestación </w:t>
      </w:r>
      <w:r w:rsidR="00080640" w:rsidRPr="00B450EB">
        <w:rPr>
          <w:rFonts w:eastAsia="Arial" w:cs="Arial"/>
        </w:rPr>
        <w:t xml:space="preserve">histórica </w:t>
      </w:r>
      <w:r w:rsidRPr="00B450EB">
        <w:rPr>
          <w:rFonts w:eastAsia="Arial" w:cs="Arial"/>
        </w:rPr>
        <w:t>del Bioma Amazónico</w:t>
      </w:r>
      <w:r w:rsidR="007576AA" w:rsidRPr="00B450EB">
        <w:rPr>
          <w:rFonts w:eastAsia="Arial" w:cs="Arial"/>
        </w:rPr>
        <w:t xml:space="preserve"> </w:t>
      </w:r>
      <w:r w:rsidR="002E4EE0" w:rsidRPr="00B450EB">
        <w:rPr>
          <w:rFonts w:eastAsia="Arial" w:cs="Arial"/>
        </w:rPr>
        <w:t>(</w:t>
      </w:r>
      <w:r w:rsidR="002E4EE0" w:rsidRPr="00B450EB">
        <w:rPr>
          <w:rFonts w:eastAsia="Arial" w:cs="Arial"/>
        </w:rPr>
        <w:fldChar w:fldCharType="begin"/>
      </w:r>
      <w:r w:rsidR="002E4EE0" w:rsidRPr="00B450EB">
        <w:rPr>
          <w:rFonts w:eastAsia="Arial" w:cs="Arial"/>
        </w:rPr>
        <w:instrText xml:space="preserve"> REF _Ref209189290 \h </w:instrText>
      </w:r>
      <w:r w:rsidR="00AD0433" w:rsidRPr="00B450EB">
        <w:rPr>
          <w:rFonts w:eastAsia="Arial" w:cs="Arial"/>
        </w:rPr>
        <w:instrText xml:space="preserve"> \* MERGEFORMAT </w:instrText>
      </w:r>
      <w:r w:rsidR="002E4EE0" w:rsidRPr="00B450EB">
        <w:rPr>
          <w:rFonts w:eastAsia="Arial" w:cs="Arial"/>
        </w:rPr>
      </w:r>
      <w:r w:rsidR="002E4EE0" w:rsidRPr="00B450EB">
        <w:rPr>
          <w:rFonts w:eastAsia="Arial" w:cs="Arial"/>
        </w:rPr>
        <w:fldChar w:fldCharType="separate"/>
      </w:r>
      <w:r w:rsidR="00010D09" w:rsidRPr="00B450EB">
        <w:t xml:space="preserve">Figura </w:t>
      </w:r>
      <w:r w:rsidR="00010D09" w:rsidRPr="00B450EB">
        <w:rPr>
          <w:noProof/>
        </w:rPr>
        <w:t>92</w:t>
      </w:r>
      <w:r w:rsidR="002E4EE0" w:rsidRPr="00B450EB">
        <w:rPr>
          <w:rFonts w:eastAsia="Arial" w:cs="Arial"/>
        </w:rPr>
        <w:fldChar w:fldCharType="end"/>
      </w:r>
      <w:r w:rsidR="002E4EE0" w:rsidRPr="00B450EB">
        <w:rPr>
          <w:rFonts w:eastAsia="Arial" w:cs="Arial"/>
        </w:rPr>
        <w:t>b)</w:t>
      </w:r>
      <w:r w:rsidRPr="00B450EB">
        <w:rPr>
          <w:rFonts w:eastAsia="Arial" w:cs="Arial"/>
        </w:rPr>
        <w:t xml:space="preserve">. Este patrón refleja cómo en estas áreas confluyen múltiples factores de transformación territorial: la </w:t>
      </w:r>
      <w:r w:rsidRPr="00B450EB">
        <w:rPr>
          <w:rFonts w:eastAsia="Arial" w:cs="Arial"/>
          <w:lang w:val="es-ES"/>
        </w:rPr>
        <w:t>presencia</w:t>
      </w:r>
      <w:r w:rsidRPr="00B450EB">
        <w:rPr>
          <w:rFonts w:eastAsia="Arial" w:cs="Arial"/>
        </w:rPr>
        <w:t xml:space="preserve"> de vías, que facilitan el acceso y la colonización; la localización de proyectos de hidrocarburos y Minería legal e ilegal, cuya operación suele requerir infraestructura vial y, por ende, incrementa la accesibilidad; y los procesos de ganadería extensiva y </w:t>
      </w:r>
      <w:proofErr w:type="spellStart"/>
      <w:r w:rsidRPr="00B450EB">
        <w:rPr>
          <w:rFonts w:eastAsia="Arial" w:cs="Arial"/>
        </w:rPr>
        <w:t>praderización</w:t>
      </w:r>
      <w:proofErr w:type="spellEnd"/>
      <w:r w:rsidRPr="00B450EB">
        <w:rPr>
          <w:rFonts w:eastAsia="Arial" w:cs="Arial"/>
        </w:rPr>
        <w:t>, que consolidan la conversión del bosque en paisajes agropecuarios (expansión de la frontera agropecuaria).</w:t>
      </w:r>
    </w:p>
    <w:p w14:paraId="1DF1E774" w14:textId="77777777" w:rsidR="00100909" w:rsidRPr="00B450EB" w:rsidRDefault="00100909" w:rsidP="00590579">
      <w:pPr>
        <w:rPr>
          <w:i/>
        </w:rPr>
        <w:sectPr w:rsidR="00100909" w:rsidRPr="00B450EB" w:rsidSect="00100909">
          <w:pgSz w:w="12240" w:h="15840"/>
          <w:pgMar w:top="1417" w:right="1701" w:bottom="1417" w:left="1701" w:header="708" w:footer="708" w:gutter="0"/>
          <w:cols w:space="708"/>
          <w:docGrid w:linePitch="360"/>
        </w:sectPr>
      </w:pPr>
    </w:p>
    <w:p w14:paraId="644914FF" w14:textId="04D4C25D" w:rsidR="00100909" w:rsidRPr="00B450EB" w:rsidRDefault="00100909" w:rsidP="00100909">
      <w:pPr>
        <w:pStyle w:val="Descripcin"/>
        <w:rPr>
          <w:color w:val="auto"/>
        </w:rPr>
      </w:pPr>
      <w:bookmarkStart w:id="211" w:name="_Ref209189290"/>
      <w:bookmarkStart w:id="212" w:name="_Toc209462780"/>
      <w:r w:rsidRPr="00B450EB">
        <w:rPr>
          <w:color w:val="auto"/>
        </w:rPr>
        <w:lastRenderedPageBreak/>
        <w:t xml:space="preserve">Figura </w:t>
      </w:r>
      <w:r w:rsidRPr="00B450EB">
        <w:rPr>
          <w:color w:val="auto"/>
        </w:rPr>
        <w:fldChar w:fldCharType="begin"/>
      </w:r>
      <w:r w:rsidRPr="00B450EB">
        <w:rPr>
          <w:color w:val="auto"/>
        </w:rPr>
        <w:instrText>SEQ Figura \* ARABIC</w:instrText>
      </w:r>
      <w:r w:rsidRPr="00B450EB">
        <w:rPr>
          <w:color w:val="auto"/>
        </w:rPr>
        <w:fldChar w:fldCharType="separate"/>
      </w:r>
      <w:r w:rsidR="00010D09" w:rsidRPr="00B450EB">
        <w:rPr>
          <w:noProof/>
          <w:color w:val="auto"/>
        </w:rPr>
        <w:t>92</w:t>
      </w:r>
      <w:r w:rsidRPr="00B450EB">
        <w:rPr>
          <w:color w:val="auto"/>
        </w:rPr>
        <w:fldChar w:fldCharType="end"/>
      </w:r>
      <w:bookmarkEnd w:id="211"/>
      <w:r w:rsidRPr="00B450EB">
        <w:rPr>
          <w:color w:val="auto"/>
        </w:rPr>
        <w:t>. Superposición de Amenazas identificadas</w:t>
      </w:r>
      <w:bookmarkEnd w:id="212"/>
    </w:p>
    <w:p w14:paraId="62B75BE4" w14:textId="68F00A4B" w:rsidR="00100909" w:rsidRPr="00B450EB" w:rsidRDefault="002179A1" w:rsidP="00AA3199">
      <w:pPr>
        <w:spacing w:after="0"/>
        <w:ind w:left="-851"/>
        <w:jc w:val="center"/>
        <w:rPr>
          <w:sz w:val="18"/>
          <w:szCs w:val="18"/>
        </w:rPr>
      </w:pPr>
      <w:r w:rsidRPr="00B450EB">
        <w:rPr>
          <w:noProof/>
          <w:sz w:val="18"/>
          <w:szCs w:val="18"/>
        </w:rPr>
        <w:drawing>
          <wp:inline distT="0" distB="0" distL="0" distR="0" wp14:anchorId="4C7398F0" wp14:editId="56207004">
            <wp:extent cx="9730175" cy="4124325"/>
            <wp:effectExtent l="0" t="0" r="0" b="0"/>
            <wp:docPr id="999157923" name="Imagen 3" descr="Mapa&#10;&#10;El contenido generado por IA puede ser incorrecto.">
              <a:extLst xmlns:a="http://schemas.openxmlformats.org/drawingml/2006/main">
                <a:ext uri="{FF2B5EF4-FFF2-40B4-BE49-F238E27FC236}">
                  <a16:creationId xmlns:a16="http://schemas.microsoft.com/office/drawing/2014/main" id="{97989CBF-4274-6C88-82DD-7D81A073F2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23" name="Imagen 3" descr="Mapa&#10;&#10;El contenido generado por IA puede ser incorrecto.">
                      <a:extLst>
                        <a:ext uri="{FF2B5EF4-FFF2-40B4-BE49-F238E27FC236}">
                          <a16:creationId xmlns:a16="http://schemas.microsoft.com/office/drawing/2014/main" id="{97989CBF-4274-6C88-82DD-7D81A073F2EF}"/>
                        </a:ext>
                      </a:extLst>
                    </pic:cNvPr>
                    <pic:cNvPicPr>
                      <a:picLocks noChangeAspect="1"/>
                    </pic:cNvPicPr>
                  </pic:nvPicPr>
                  <pic:blipFill>
                    <a:blip r:embed="rId152" cstate="email">
                      <a:extLst>
                        <a:ext uri="{28A0092B-C50C-407E-A947-70E740481C1C}">
                          <a14:useLocalDpi xmlns:a14="http://schemas.microsoft.com/office/drawing/2010/main"/>
                        </a:ext>
                      </a:extLst>
                    </a:blip>
                    <a:stretch>
                      <a:fillRect/>
                    </a:stretch>
                  </pic:blipFill>
                  <pic:spPr>
                    <a:xfrm>
                      <a:off x="0" y="0"/>
                      <a:ext cx="9741797" cy="4129251"/>
                    </a:xfrm>
                    <a:prstGeom prst="rect">
                      <a:avLst/>
                    </a:prstGeom>
                  </pic:spPr>
                </pic:pic>
              </a:graphicData>
            </a:graphic>
          </wp:inline>
        </w:drawing>
      </w:r>
    </w:p>
    <w:p w14:paraId="2F4D3131" w14:textId="16155E57" w:rsidR="00100909" w:rsidRPr="00B450EB" w:rsidRDefault="00100909" w:rsidP="00100909">
      <w:pPr>
        <w:spacing w:after="240"/>
        <w:jc w:val="center"/>
        <w:rPr>
          <w:sz w:val="18"/>
          <w:szCs w:val="18"/>
        </w:rPr>
      </w:pPr>
      <w:r w:rsidRPr="00B450EB">
        <w:rPr>
          <w:sz w:val="18"/>
          <w:szCs w:val="18"/>
        </w:rPr>
        <w:t>Fuente: Elaboración propia, 2025</w:t>
      </w:r>
      <w:r w:rsidR="00BC0AE0" w:rsidRPr="00B450EB">
        <w:rPr>
          <w:sz w:val="18"/>
          <w:szCs w:val="18"/>
        </w:rPr>
        <w:t>.</w:t>
      </w:r>
    </w:p>
    <w:p w14:paraId="3F64E5D7" w14:textId="77777777" w:rsidR="00100909" w:rsidRPr="00B450EB" w:rsidRDefault="00100909" w:rsidP="00100909">
      <w:pPr>
        <w:spacing w:before="240" w:after="240"/>
        <w:rPr>
          <w:rFonts w:eastAsia="Arial" w:cs="Arial"/>
        </w:rPr>
        <w:sectPr w:rsidR="00100909" w:rsidRPr="00B450EB" w:rsidSect="00100909">
          <w:pgSz w:w="15840" w:h="12240" w:orient="landscape"/>
          <w:pgMar w:top="1701" w:right="1418" w:bottom="1701" w:left="1418" w:header="709" w:footer="709" w:gutter="0"/>
          <w:cols w:space="708"/>
          <w:docGrid w:linePitch="360"/>
        </w:sectPr>
      </w:pPr>
    </w:p>
    <w:p w14:paraId="22F3F1F8" w14:textId="5737F3B8" w:rsidR="009E5329" w:rsidRPr="00B450EB" w:rsidRDefault="009E5329" w:rsidP="009E5329">
      <w:pPr>
        <w:rPr>
          <w:rFonts w:eastAsia="Arial" w:cs="Arial"/>
        </w:rPr>
      </w:pPr>
      <w:r w:rsidRPr="00B450EB">
        <w:rPr>
          <w:rFonts w:eastAsia="Arial" w:cs="Arial"/>
        </w:rPr>
        <w:lastRenderedPageBreak/>
        <w:t xml:space="preserve">A estas presiones se suman la tala ilegal, la siembra de cultivos ilícitos y de uso comercial, así como los incendios forestales, muchas veces provocados intencionalmente para abrir espacio a actividades productivas. Estos factores han convertido </w:t>
      </w:r>
      <w:r w:rsidRPr="00B450EB">
        <w:rPr>
          <w:rFonts w:eastAsia="Arial" w:cs="Arial"/>
          <w:b/>
          <w:bCs/>
        </w:rPr>
        <w:t>la deforestación en un fenómeno multicausal</w:t>
      </w:r>
      <w:r w:rsidRPr="00B450EB">
        <w:rPr>
          <w:rFonts w:eastAsia="Arial" w:cs="Arial"/>
        </w:rPr>
        <w:t>, que no solo genera la pérdida acelerada de cobertura boscosa, sino que también deteriora los ecosistemas amazónicos colombianos, afectando directamente la biodiversidad, los ciclos hidrológicos y los medios de vida de las comunidades locales.</w:t>
      </w:r>
    </w:p>
    <w:p w14:paraId="1FAFC363" w14:textId="77777777" w:rsidR="009C0666" w:rsidRPr="00B450EB" w:rsidRDefault="009C0666" w:rsidP="009C0666">
      <w:pPr>
        <w:rPr>
          <w:rFonts w:eastAsia="Arial" w:cs="Arial"/>
        </w:rPr>
      </w:pPr>
      <w:r w:rsidRPr="00B450EB">
        <w:rPr>
          <w:rFonts w:eastAsia="Arial" w:cs="Arial"/>
        </w:rPr>
        <w:t>Detrás de estas causas inmediatas se encuentran múltiples agentes que actúan de manera articulada o paralela. Entre ellos destacan actores locales que realizan prácticas de subsistencia, grandes propietarios que impulsan la ganadería comercial, empresas madereras, mineras y de hidrocarburos que ejercen presión sobre los territorios para actividades extractivas, así como redes de economías ilegales vinculadas a cultivos ilícitos y al tráfico de madera. Estos agentes, a su vez, se ven impulsados por causas subyacentes como la débil presencia institucional, la falta de alternativas económicas sostenibles, la precariedad en la tenencia de la tierra y la demanda creciente de recursos naturales.</w:t>
      </w:r>
    </w:p>
    <w:p w14:paraId="34E78289" w14:textId="77777777" w:rsidR="009C0666" w:rsidRPr="00B450EB" w:rsidRDefault="009C0666" w:rsidP="009C0666">
      <w:pPr>
        <w:rPr>
          <w:rFonts w:eastAsia="Arial" w:cs="Arial"/>
        </w:rPr>
      </w:pPr>
      <w:r w:rsidRPr="00B450EB">
        <w:rPr>
          <w:rFonts w:eastAsia="Arial" w:cs="Arial"/>
        </w:rPr>
        <w:t>De esta forma, la deforestación en la Amazonia no puede ser comprendida únicamente como la suma de acciones aisladas, sino como el resultado de un entramado complejo de causas directas y subyacentes que convergen en dinámicas territoriales de transformación y degradación ambiental. En la siguiente figura se esquematizan las principales causas y agentes que explican este fenómeno.</w:t>
      </w:r>
    </w:p>
    <w:p w14:paraId="071C0308" w14:textId="57B91711" w:rsidR="000123D9" w:rsidRPr="00B450EB" w:rsidRDefault="000123D9" w:rsidP="000123D9">
      <w:pPr>
        <w:pStyle w:val="Descripcin"/>
        <w:keepNext/>
        <w:rPr>
          <w:color w:val="auto"/>
        </w:rPr>
      </w:pPr>
      <w:bookmarkStart w:id="213" w:name="_Toc209462781"/>
      <w:r w:rsidRPr="00B450EB">
        <w:rPr>
          <w:color w:val="auto"/>
        </w:rPr>
        <w:t xml:space="preserve">Figura </w:t>
      </w:r>
      <w:r w:rsidRPr="00B450EB">
        <w:rPr>
          <w:color w:val="auto"/>
        </w:rPr>
        <w:fldChar w:fldCharType="begin"/>
      </w:r>
      <w:r w:rsidRPr="00B450EB">
        <w:rPr>
          <w:color w:val="auto"/>
        </w:rPr>
        <w:instrText xml:space="preserve"> SEQ Figura \* ARABIC </w:instrText>
      </w:r>
      <w:r w:rsidRPr="00B450EB">
        <w:rPr>
          <w:color w:val="auto"/>
        </w:rPr>
        <w:fldChar w:fldCharType="separate"/>
      </w:r>
      <w:r w:rsidR="00010D09" w:rsidRPr="00B450EB">
        <w:rPr>
          <w:noProof/>
          <w:color w:val="auto"/>
        </w:rPr>
        <w:t>93</w:t>
      </w:r>
      <w:r w:rsidRPr="00B450EB">
        <w:rPr>
          <w:color w:val="auto"/>
        </w:rPr>
        <w:fldChar w:fldCharType="end"/>
      </w:r>
      <w:r w:rsidRPr="00B450EB">
        <w:rPr>
          <w:color w:val="auto"/>
        </w:rPr>
        <w:t>. Causas directas, subyacentes y agentes de deforestación en la Amazonía Colombiana</w:t>
      </w:r>
      <w:bookmarkEnd w:id="213"/>
    </w:p>
    <w:p w14:paraId="308785E1" w14:textId="77777777" w:rsidR="009C0666" w:rsidRPr="00B450EB" w:rsidRDefault="009C0666" w:rsidP="002E25DB">
      <w:pPr>
        <w:spacing w:after="0"/>
        <w:jc w:val="center"/>
        <w:rPr>
          <w:b/>
        </w:rPr>
      </w:pPr>
      <w:r w:rsidRPr="00B450EB">
        <w:rPr>
          <w:noProof/>
        </w:rPr>
        <w:drawing>
          <wp:inline distT="0" distB="0" distL="0" distR="0" wp14:anchorId="41B16580" wp14:editId="373FA92B">
            <wp:extent cx="5282565" cy="1653703"/>
            <wp:effectExtent l="0" t="0" r="0" b="3810"/>
            <wp:docPr id="1706367531" name="Imagen 1" descr="Imagen que contiene circui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67531" name="Imagen 1" descr="Imagen que contiene circuito&#10;&#10;El contenido generado por IA puede ser incorrecto."/>
                    <pic:cNvPicPr>
                      <a:picLocks noChangeAspect="1" noChangeArrowheads="1"/>
                    </pic:cNvPicPr>
                  </pic:nvPicPr>
                  <pic:blipFill rotWithShape="1">
                    <a:blip r:embed="rId153" cstate="print">
                      <a:extLst>
                        <a:ext uri="{28A0092B-C50C-407E-A947-70E740481C1C}">
                          <a14:useLocalDpi xmlns:a14="http://schemas.microsoft.com/office/drawing/2010/main" val="0"/>
                        </a:ext>
                      </a:extLst>
                    </a:blip>
                    <a:srcRect t="3581"/>
                    <a:stretch>
                      <a:fillRect/>
                    </a:stretch>
                  </pic:blipFill>
                  <pic:spPr bwMode="auto">
                    <a:xfrm>
                      <a:off x="0" y="0"/>
                      <a:ext cx="5311138" cy="1662648"/>
                    </a:xfrm>
                    <a:prstGeom prst="rect">
                      <a:avLst/>
                    </a:prstGeom>
                    <a:noFill/>
                    <a:ln>
                      <a:noFill/>
                    </a:ln>
                    <a:extLst>
                      <a:ext uri="{53640926-AAD7-44D8-BBD7-CCE9431645EC}">
                        <a14:shadowObscured xmlns:a14="http://schemas.microsoft.com/office/drawing/2010/main"/>
                      </a:ext>
                    </a:extLst>
                  </pic:spPr>
                </pic:pic>
              </a:graphicData>
            </a:graphic>
          </wp:inline>
        </w:drawing>
      </w:r>
    </w:p>
    <w:p w14:paraId="2336C581" w14:textId="28F1BED1" w:rsidR="001E059F" w:rsidRPr="00B450EB" w:rsidRDefault="001E059F" w:rsidP="009C0666">
      <w:pPr>
        <w:jc w:val="center"/>
        <w:rPr>
          <w:sz w:val="18"/>
          <w:szCs w:val="18"/>
        </w:rPr>
      </w:pPr>
      <w:r w:rsidRPr="00B450EB">
        <w:rPr>
          <w:bCs/>
          <w:sz w:val="18"/>
          <w:szCs w:val="18"/>
        </w:rPr>
        <w:t xml:space="preserve">Fuente: </w:t>
      </w:r>
      <w:r w:rsidR="002E25DB" w:rsidRPr="00B450EB">
        <w:rPr>
          <w:bCs/>
          <w:sz w:val="18"/>
          <w:szCs w:val="18"/>
          <w:lang w:val="es-ES"/>
        </w:rPr>
        <w:t>Instituto Humboldt, 2024</w:t>
      </w:r>
    </w:p>
    <w:p w14:paraId="5A27E6D9" w14:textId="77777777" w:rsidR="009C0666" w:rsidRPr="00B450EB" w:rsidRDefault="009C0666" w:rsidP="009C0666">
      <w:r w:rsidRPr="00B450EB">
        <w:t xml:space="preserve">En síntesis, la convergencia de estas presiones y agentes tiene su expresión más clara en el denominado </w:t>
      </w:r>
      <w:r w:rsidRPr="00B450EB">
        <w:rPr>
          <w:b/>
        </w:rPr>
        <w:t>arco de deforestación amazónico</w:t>
      </w:r>
      <w:r w:rsidRPr="00B450EB">
        <w:t>, donde se materializan los impactos acumulativos sobre los ecosistemas y las comunidades. Este patrón territorial refleja cómo la suma de factores directos y subyacentes se traduce en una dinámica concentrada de pérdida de bosque, consolidando al arco como el principal frente de transformación ambiental en la Amazonia colombiana.</w:t>
      </w:r>
    </w:p>
    <w:p w14:paraId="47CFF211" w14:textId="3C7DBCFA" w:rsidR="009C0666" w:rsidRPr="00B450EB" w:rsidRDefault="009C0666" w:rsidP="009C0666">
      <w:pPr>
        <w:rPr>
          <w:rFonts w:cs="Arial"/>
        </w:rPr>
      </w:pPr>
      <w:r w:rsidRPr="00B450EB">
        <w:rPr>
          <w:rFonts w:cs="Arial"/>
          <w:bCs/>
        </w:rPr>
        <w:lastRenderedPageBreak/>
        <w:t>A lo anterior se suma una perspectiva prospectiva que permite dimensionar la magnitud de los riesgos futuros asociados a la deforestación en el bioma amazónico. De acuerdo con Agudelo et al. (2023), quienes modelaron varios escenarios de cambio de bosques en Colombia para el año 2040, diferenciando entre un escenario sostenible y otro extractivista, se proyecta que bajo el escenario extractivista las pasturas y cultivos se incrementarían en un 117%, junto con un aumento de las áreas de bosques fragmentados, vegetación secundaria y pérdida de bosques, principalmente en el paisaje de montaña del piedemonte andino y en la Sierra de la Macarena. En este escenario se perderían cerca de 4,3 millones de hectáreas (73%), donde la deforestación cercana a los ríos Caguán, Caquetá, Putumayo y Vaupés provocaría la fragmentación y aislamiento de grandes masas de bosque, así como la desconexión con los Andes (Agudelo-Hernández et al., 2023</w:t>
      </w:r>
      <w:r w:rsidR="001B32D6" w:rsidRPr="00B450EB">
        <w:rPr>
          <w:rFonts w:cs="Arial"/>
          <w:bCs/>
        </w:rPr>
        <w:t>-</w:t>
      </w:r>
      <w:r w:rsidRPr="00B450EB">
        <w:rPr>
          <w:rFonts w:cs="Arial"/>
          <w:bCs/>
        </w:rPr>
        <w:t>SINCHI).</w:t>
      </w:r>
    </w:p>
    <w:p w14:paraId="0F864AD9" w14:textId="00BFDAF8" w:rsidR="009C0666" w:rsidRPr="00B450EB" w:rsidRDefault="00100909" w:rsidP="009C0666">
      <w:pPr>
        <w:pStyle w:val="Descripcin"/>
        <w:rPr>
          <w:color w:val="auto"/>
        </w:rPr>
      </w:pPr>
      <w:bookmarkStart w:id="214" w:name="_Toc209462782"/>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94</w:t>
      </w:r>
      <w:r w:rsidR="0045353A" w:rsidRPr="00B450EB">
        <w:rPr>
          <w:noProof/>
          <w:color w:val="auto"/>
        </w:rPr>
        <w:fldChar w:fldCharType="end"/>
      </w:r>
      <w:r w:rsidR="00911C82" w:rsidRPr="00B450EB">
        <w:rPr>
          <w:color w:val="auto"/>
        </w:rPr>
        <w:t xml:space="preserve">. </w:t>
      </w:r>
      <w:r w:rsidR="009C0666" w:rsidRPr="00B450EB">
        <w:rPr>
          <w:color w:val="auto"/>
        </w:rPr>
        <w:t>Cambios de la cobertura de la tierra en un escenario extractivista</w:t>
      </w:r>
      <w:bookmarkEnd w:id="214"/>
    </w:p>
    <w:p w14:paraId="2DF2240D" w14:textId="77777777" w:rsidR="009C0666" w:rsidRPr="00B450EB" w:rsidRDefault="009C0666" w:rsidP="009C0666">
      <w:pPr>
        <w:spacing w:after="0"/>
        <w:jc w:val="center"/>
        <w:rPr>
          <w:rFonts w:cs="Arial"/>
          <w:bCs/>
        </w:rPr>
      </w:pPr>
      <w:r w:rsidRPr="00B450EB">
        <w:rPr>
          <w:rFonts w:cs="Arial"/>
          <w:bCs/>
          <w:noProof/>
        </w:rPr>
        <w:drawing>
          <wp:inline distT="0" distB="0" distL="0" distR="0" wp14:anchorId="1BA6C8B9" wp14:editId="686F1FD8">
            <wp:extent cx="5113282" cy="2595404"/>
            <wp:effectExtent l="0" t="0" r="5080" b="0"/>
            <wp:docPr id="1091995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95840" name=""/>
                    <pic:cNvPicPr/>
                  </pic:nvPicPr>
                  <pic:blipFill>
                    <a:blip r:embed="rId154"/>
                    <a:stretch>
                      <a:fillRect/>
                    </a:stretch>
                  </pic:blipFill>
                  <pic:spPr>
                    <a:xfrm>
                      <a:off x="0" y="0"/>
                      <a:ext cx="5117126" cy="2597355"/>
                    </a:xfrm>
                    <a:prstGeom prst="rect">
                      <a:avLst/>
                    </a:prstGeom>
                  </pic:spPr>
                </pic:pic>
              </a:graphicData>
            </a:graphic>
          </wp:inline>
        </w:drawing>
      </w:r>
    </w:p>
    <w:p w14:paraId="3D5DC98F" w14:textId="77777777" w:rsidR="009C0666" w:rsidRPr="00B450EB" w:rsidRDefault="009C0666" w:rsidP="009C0666">
      <w:pPr>
        <w:spacing w:after="240"/>
        <w:jc w:val="center"/>
        <w:rPr>
          <w:sz w:val="18"/>
          <w:szCs w:val="18"/>
        </w:rPr>
      </w:pPr>
      <w:r w:rsidRPr="00B450EB">
        <w:rPr>
          <w:sz w:val="18"/>
          <w:szCs w:val="18"/>
        </w:rPr>
        <w:t>Fuente: Adaptado de Agudelo-Hernández et al. 2023 (SINCHI).</w:t>
      </w:r>
    </w:p>
    <w:p w14:paraId="520A4DB0" w14:textId="6E69666F" w:rsidR="009C0666" w:rsidRPr="00B450EB" w:rsidRDefault="009C0666" w:rsidP="009C0666">
      <w:pPr>
        <w:spacing w:line="259" w:lineRule="auto"/>
      </w:pPr>
      <w:r w:rsidRPr="00B450EB">
        <w:t>De manera complementaria, el Nivel de Referencia de Emisiones Forestales (NREF) 2023–2027 identifica al piedemonte amazónico —particularmente en Caquetá, Putumayo y Guaviare— como la zona con mayor susceptibilidad a procesos de deforestación, debido a la expansión de la frontera agropecuaria y al desarrollo de infraestructura vial. Según este modelo, cerca de 2,9 millones de hectáreas del bioma amazónico presentan alta probabilidad de deforestación para el periodo 2023–2027 (IDEAM, 2024)</w:t>
      </w:r>
      <w:r w:rsidR="006D577C" w:rsidRPr="00B450EB">
        <w:t>; e</w:t>
      </w:r>
      <w:r w:rsidRPr="00B450EB">
        <w:t>l análisis espacial evidencia que las zonas con mayor presión se concentran en pendientes bajas y medias (0–25%).</w:t>
      </w:r>
    </w:p>
    <w:p w14:paraId="53C86D0F" w14:textId="1C3A199B" w:rsidR="00E04295" w:rsidRPr="00B450EB" w:rsidRDefault="00E04295" w:rsidP="00E04295">
      <w:pPr>
        <w:pStyle w:val="Descripcin"/>
        <w:keepNext/>
        <w:rPr>
          <w:color w:val="auto"/>
        </w:rPr>
      </w:pPr>
      <w:bookmarkStart w:id="215" w:name="_Toc209462783"/>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95</w:t>
      </w:r>
      <w:r w:rsidR="0045353A" w:rsidRPr="00B450EB">
        <w:rPr>
          <w:noProof/>
          <w:color w:val="auto"/>
        </w:rPr>
        <w:fldChar w:fldCharType="end"/>
      </w:r>
      <w:r w:rsidRPr="00B450EB">
        <w:rPr>
          <w:color w:val="auto"/>
        </w:rPr>
        <w:t xml:space="preserve">. Área de influencia por </w:t>
      </w:r>
      <w:r w:rsidR="005D3F9F" w:rsidRPr="00B450EB">
        <w:rPr>
          <w:color w:val="auto"/>
        </w:rPr>
        <w:t>vías</w:t>
      </w:r>
      <w:bookmarkEnd w:id="215"/>
    </w:p>
    <w:p w14:paraId="70533180" w14:textId="77777777" w:rsidR="009C0666" w:rsidRPr="00B450EB" w:rsidRDefault="009C0666" w:rsidP="006D18A8">
      <w:pPr>
        <w:spacing w:after="0" w:line="259" w:lineRule="auto"/>
        <w:jc w:val="center"/>
      </w:pPr>
      <w:r w:rsidRPr="00B450EB">
        <w:rPr>
          <w:noProof/>
        </w:rPr>
        <w:drawing>
          <wp:inline distT="0" distB="0" distL="0" distR="0" wp14:anchorId="0A259BFB" wp14:editId="35762E62">
            <wp:extent cx="5123684" cy="3960000"/>
            <wp:effectExtent l="0" t="0" r="1270" b="2540"/>
            <wp:docPr id="15576930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693097" name=""/>
                    <pic:cNvPicPr/>
                  </pic:nvPicPr>
                  <pic:blipFill>
                    <a:blip r:embed="rId155" cstate="email">
                      <a:extLst>
                        <a:ext uri="{28A0092B-C50C-407E-A947-70E740481C1C}">
                          <a14:useLocalDpi xmlns:a14="http://schemas.microsoft.com/office/drawing/2010/main"/>
                        </a:ext>
                      </a:extLst>
                    </a:blip>
                    <a:stretch>
                      <a:fillRect/>
                    </a:stretch>
                  </pic:blipFill>
                  <pic:spPr>
                    <a:xfrm>
                      <a:off x="0" y="0"/>
                      <a:ext cx="5123684" cy="3960000"/>
                    </a:xfrm>
                    <a:prstGeom prst="rect">
                      <a:avLst/>
                    </a:prstGeom>
                  </pic:spPr>
                </pic:pic>
              </a:graphicData>
            </a:graphic>
          </wp:inline>
        </w:drawing>
      </w:r>
    </w:p>
    <w:p w14:paraId="429EF02A" w14:textId="77777777" w:rsidR="009C0666" w:rsidRPr="00B450EB" w:rsidRDefault="009C0666" w:rsidP="009C0666">
      <w:pPr>
        <w:spacing w:line="259" w:lineRule="auto"/>
        <w:jc w:val="center"/>
        <w:rPr>
          <w:sz w:val="18"/>
          <w:szCs w:val="18"/>
        </w:rPr>
      </w:pPr>
      <w:r w:rsidRPr="00B450EB">
        <w:rPr>
          <w:sz w:val="18"/>
          <w:szCs w:val="18"/>
        </w:rPr>
        <w:t>Fuente: IDEAM, 2024.</w:t>
      </w:r>
    </w:p>
    <w:p w14:paraId="7D6F3DE8" w14:textId="77777777" w:rsidR="009C0666" w:rsidRPr="00B450EB" w:rsidRDefault="009C0666" w:rsidP="009C0666">
      <w:pPr>
        <w:spacing w:line="259" w:lineRule="auto"/>
      </w:pPr>
      <w:r w:rsidRPr="00B450EB">
        <w:t xml:space="preserve">En consecuencia, el </w:t>
      </w:r>
      <w:r w:rsidRPr="00B450EB">
        <w:rPr>
          <w:b/>
          <w:bCs/>
        </w:rPr>
        <w:t>corredor que articula a Putumayo con Caquetá y Guaviare</w:t>
      </w:r>
      <w:r w:rsidRPr="00B450EB">
        <w:t xml:space="preserve"> se constituye como un núcleo prioritario de intervención, al concentrar las principales causas directas de deforestación reportadas en la última década, representando territorios estratégicos para la focalización de medidas.</w:t>
      </w:r>
    </w:p>
    <w:p w14:paraId="2FA6F0C8" w14:textId="1F4EC492" w:rsidR="00911C82" w:rsidRPr="00B450EB" w:rsidRDefault="009C0666" w:rsidP="00911C82">
      <w:pPr>
        <w:pStyle w:val="Descripcin"/>
        <w:rPr>
          <w:rFonts w:eastAsia="Arial" w:cs="Arial"/>
          <w:color w:val="auto"/>
        </w:rPr>
      </w:pPr>
      <w:bookmarkStart w:id="216" w:name="_Ref209190777"/>
      <w:bookmarkStart w:id="217" w:name="_Ref209189802"/>
      <w:bookmarkStart w:id="218" w:name="_Toc209462784"/>
      <w:r w:rsidRPr="00B450EB">
        <w:rPr>
          <w:color w:val="auto"/>
        </w:rPr>
        <w:lastRenderedPageBreak/>
        <w:t>Figura</w:t>
      </w:r>
      <w:bookmarkEnd w:id="216"/>
      <w:r w:rsidRPr="00B450EB">
        <w:rPr>
          <w:color w:val="auto"/>
        </w:rPr>
        <w:t xml:space="preserve">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96</w:t>
      </w:r>
      <w:r w:rsidR="0045353A" w:rsidRPr="00B450EB">
        <w:rPr>
          <w:noProof/>
          <w:color w:val="auto"/>
        </w:rPr>
        <w:fldChar w:fldCharType="end"/>
      </w:r>
      <w:bookmarkEnd w:id="217"/>
      <w:r w:rsidRPr="00B450EB">
        <w:rPr>
          <w:color w:val="auto"/>
        </w:rPr>
        <w:t xml:space="preserve">. </w:t>
      </w:r>
      <w:r w:rsidR="00911C82" w:rsidRPr="00B450EB">
        <w:rPr>
          <w:color w:val="auto"/>
        </w:rPr>
        <w:t>Enfoque en zonas críticas de concentración de presiones en Putumayo y Caquetá</w:t>
      </w:r>
      <w:r w:rsidRPr="00B450EB">
        <w:rPr>
          <w:rFonts w:eastAsia="Arial" w:cs="Arial"/>
          <w:noProof/>
          <w:color w:val="auto"/>
        </w:rPr>
        <w:drawing>
          <wp:inline distT="0" distB="0" distL="0" distR="0" wp14:anchorId="5429093B" wp14:editId="11DE32C8">
            <wp:extent cx="5612130" cy="4337050"/>
            <wp:effectExtent l="0" t="0" r="7620" b="6350"/>
            <wp:docPr id="191645167" name="Imagen 6" descr="Mapa&#10;&#10;El contenido generado por IA puede ser incorrecto.">
              <a:extLst xmlns:a="http://schemas.openxmlformats.org/drawingml/2006/main">
                <a:ext uri="{FF2B5EF4-FFF2-40B4-BE49-F238E27FC236}">
                  <a16:creationId xmlns:a16="http://schemas.microsoft.com/office/drawing/2014/main" id="{1299D6BA-140C-0FF5-1D9A-61F9F115E5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5167" name="Imagen 6" descr="Mapa&#10;&#10;El contenido generado por IA puede ser incorrecto.">
                      <a:extLst>
                        <a:ext uri="{FF2B5EF4-FFF2-40B4-BE49-F238E27FC236}">
                          <a16:creationId xmlns:a16="http://schemas.microsoft.com/office/drawing/2014/main" id="{1299D6BA-140C-0FF5-1D9A-61F9F115E590}"/>
                        </a:ext>
                      </a:extLst>
                    </pic:cNvPr>
                    <pic:cNvPicPr>
                      <a:picLocks noChangeAspect="1"/>
                    </pic:cNvPicPr>
                  </pic:nvPicPr>
                  <pic:blipFill>
                    <a:blip r:embed="rId156" cstate="email">
                      <a:extLst>
                        <a:ext uri="{28A0092B-C50C-407E-A947-70E740481C1C}">
                          <a14:useLocalDpi xmlns:a14="http://schemas.microsoft.com/office/drawing/2010/main"/>
                        </a:ext>
                      </a:extLst>
                    </a:blip>
                    <a:stretch>
                      <a:fillRect/>
                    </a:stretch>
                  </pic:blipFill>
                  <pic:spPr>
                    <a:xfrm>
                      <a:off x="0" y="0"/>
                      <a:ext cx="5612130" cy="4337050"/>
                    </a:xfrm>
                    <a:prstGeom prst="rect">
                      <a:avLst/>
                    </a:prstGeom>
                  </pic:spPr>
                </pic:pic>
              </a:graphicData>
            </a:graphic>
          </wp:inline>
        </w:drawing>
      </w:r>
      <w:bookmarkEnd w:id="218"/>
    </w:p>
    <w:p w14:paraId="75C384C6" w14:textId="77777777" w:rsidR="00624F20" w:rsidRPr="00B450EB" w:rsidRDefault="00624F20" w:rsidP="00624F20">
      <w:pPr>
        <w:spacing w:line="257" w:lineRule="auto"/>
        <w:jc w:val="center"/>
        <w:rPr>
          <w:rFonts w:eastAsia="Arial" w:cs="Arial"/>
          <w:sz w:val="18"/>
          <w:szCs w:val="18"/>
        </w:rPr>
      </w:pPr>
      <w:r w:rsidRPr="00B450EB">
        <w:rPr>
          <w:rFonts w:eastAsia="Arial" w:cs="Arial"/>
          <w:sz w:val="18"/>
          <w:szCs w:val="18"/>
        </w:rPr>
        <w:t>Fuente: Elaboración Propia, 2025</w:t>
      </w:r>
      <w:r w:rsidR="00D07369" w:rsidRPr="00B450EB">
        <w:rPr>
          <w:rFonts w:eastAsia="Arial" w:cs="Arial"/>
          <w:sz w:val="18"/>
          <w:szCs w:val="18"/>
        </w:rPr>
        <w:t>.</w:t>
      </w:r>
    </w:p>
    <w:p w14:paraId="0CDAA24C" w14:textId="0412DF93" w:rsidR="009C0666" w:rsidRPr="00B450EB" w:rsidRDefault="009C0666" w:rsidP="009C0666">
      <w:pPr>
        <w:rPr>
          <w:rFonts w:eastAsia="Arial" w:cs="Arial"/>
        </w:rPr>
      </w:pPr>
      <w:r w:rsidRPr="00B450EB">
        <w:rPr>
          <w:rFonts w:eastAsia="Arial" w:cs="Arial"/>
        </w:rPr>
        <w:t xml:space="preserve">En concordancia con lo señalado, la Figura </w:t>
      </w:r>
      <w:r w:rsidR="00161244" w:rsidRPr="00B450EB">
        <w:rPr>
          <w:rFonts w:eastAsia="Arial" w:cs="Arial"/>
        </w:rPr>
        <w:t>9</w:t>
      </w:r>
      <w:r w:rsidR="00A02677" w:rsidRPr="00B450EB">
        <w:rPr>
          <w:rFonts w:eastAsia="Arial" w:cs="Arial"/>
        </w:rPr>
        <w:t>6</w:t>
      </w:r>
      <w:r w:rsidRPr="00B450EB">
        <w:rPr>
          <w:rFonts w:eastAsia="Arial" w:cs="Arial"/>
        </w:rPr>
        <w:t xml:space="preserve"> evidencia cómo en los departamentos de Putumayo y Caquetá se concentran zonas de confluencia de presiones donde se ubican enclaves de proyectos de hidrocarburos. Estos se caracterizan por la alta densidad de vías y caminos, la presencia de áreas </w:t>
      </w:r>
      <w:proofErr w:type="spellStart"/>
      <w:r w:rsidRPr="00B450EB">
        <w:rPr>
          <w:rFonts w:eastAsia="Arial" w:cs="Arial"/>
        </w:rPr>
        <w:t>praderizadas</w:t>
      </w:r>
      <w:proofErr w:type="spellEnd"/>
      <w:r w:rsidRPr="00B450EB">
        <w:rPr>
          <w:rFonts w:eastAsia="Arial" w:cs="Arial"/>
        </w:rPr>
        <w:t xml:space="preserve"> y una marcada </w:t>
      </w:r>
      <w:r w:rsidR="00265EFE" w:rsidRPr="00B450EB">
        <w:rPr>
          <w:rFonts w:eastAsia="Arial" w:cs="Arial"/>
        </w:rPr>
        <w:t>presencia</w:t>
      </w:r>
      <w:r w:rsidRPr="00B450EB">
        <w:rPr>
          <w:rFonts w:eastAsia="Arial" w:cs="Arial"/>
        </w:rPr>
        <w:t xml:space="preserve"> de cultivos ilícitos. La interacción de estas dinámicas genera un escenario en el que la apertura de infraestructura, vinculada tanto a proyectos extractivos como a procesos de colonización, no solo facilita el ingreso de nuevos actores, sino que también impulsa la expansión de la frontera agropecuaria y profundiza los procesos de deforestación.</w:t>
      </w:r>
    </w:p>
    <w:p w14:paraId="3A90F1D6" w14:textId="77777777" w:rsidR="009C0666" w:rsidRPr="00B450EB" w:rsidRDefault="009C0666" w:rsidP="009C0666">
      <w:pPr>
        <w:rPr>
          <w:rFonts w:eastAsia="Arial" w:cs="Arial"/>
        </w:rPr>
      </w:pPr>
      <w:r w:rsidRPr="00B450EB">
        <w:rPr>
          <w:rFonts w:eastAsia="Arial" w:cs="Arial"/>
        </w:rPr>
        <w:t xml:space="preserve">Un ejemplo ilustrativo se encuentra en el numeral 7.1.4. Vías, donde, para un proyecto licenciado por la ANLA, si bien la empresa ejecuta aprovechamientos forestales puntuales sujetos a seguimiento, la apertura inicial de vías por parte del licenciatario termina facilitando su expansión posterior, mediante dinámicas socioeconómicas que trascienden las áreas directamente autorizadas. Este patrón responde a lo que diversos autores han denominado el “fenómeno de espina de pescado” o </w:t>
      </w:r>
      <w:proofErr w:type="spellStart"/>
      <w:r w:rsidRPr="00B450EB">
        <w:rPr>
          <w:rFonts w:eastAsia="Arial" w:cs="Arial"/>
          <w:i/>
          <w:iCs/>
        </w:rPr>
        <w:t>fishbone</w:t>
      </w:r>
      <w:proofErr w:type="spellEnd"/>
      <w:r w:rsidRPr="00B450EB">
        <w:rPr>
          <w:rFonts w:eastAsia="Arial" w:cs="Arial"/>
          <w:i/>
          <w:iCs/>
        </w:rPr>
        <w:t xml:space="preserve"> </w:t>
      </w:r>
      <w:proofErr w:type="spellStart"/>
      <w:r w:rsidRPr="00B450EB">
        <w:rPr>
          <w:rFonts w:eastAsia="Arial" w:cs="Arial"/>
          <w:i/>
          <w:iCs/>
        </w:rPr>
        <w:t>effect</w:t>
      </w:r>
      <w:proofErr w:type="spellEnd"/>
      <w:r w:rsidRPr="00B450EB">
        <w:rPr>
          <w:rFonts w:eastAsia="Arial" w:cs="Arial"/>
        </w:rPr>
        <w:t xml:space="preserve"> (</w:t>
      </w:r>
      <w:proofErr w:type="spellStart"/>
      <w:r w:rsidRPr="00B450EB">
        <w:rPr>
          <w:rFonts w:eastAsia="Arial" w:cs="Arial"/>
        </w:rPr>
        <w:t>Arima</w:t>
      </w:r>
      <w:proofErr w:type="spellEnd"/>
      <w:r w:rsidRPr="00B450EB">
        <w:rPr>
          <w:rFonts w:eastAsia="Arial" w:cs="Arial"/>
        </w:rPr>
        <w:t xml:space="preserve"> et al., 2008; Barber et al., 2014), en el cual la </w:t>
      </w:r>
      <w:r w:rsidRPr="00B450EB">
        <w:rPr>
          <w:rFonts w:eastAsia="Arial" w:cs="Arial"/>
        </w:rPr>
        <w:lastRenderedPageBreak/>
        <w:t>construcción de carreteras induce la proliferación no planificada de vías secundarias y terciarias, expandiendo la deforestación hacia áreas contiguas.</w:t>
      </w:r>
    </w:p>
    <w:p w14:paraId="142BC11D" w14:textId="57584F15" w:rsidR="0084711B" w:rsidRPr="00B450EB" w:rsidRDefault="0084711B" w:rsidP="0084711B">
      <w:pPr>
        <w:rPr>
          <w:rFonts w:eastAsia="Arial" w:cs="Arial"/>
        </w:rPr>
      </w:pPr>
      <w:r w:rsidRPr="00B450EB">
        <w:rPr>
          <w:rFonts w:eastAsia="Arial" w:cs="Arial"/>
        </w:rPr>
        <w:t xml:space="preserve">En la Amazonia, este proceso ha sido ampliamente documentado como uno de los principales motores de transformación del paisaje, ya que incrementa el acceso a zonas previamente aisladas, </w:t>
      </w:r>
      <w:proofErr w:type="gramStart"/>
      <w:r w:rsidRPr="00B450EB">
        <w:rPr>
          <w:rFonts w:eastAsia="Arial" w:cs="Arial"/>
        </w:rPr>
        <w:t>habilita actividades ilegales</w:t>
      </w:r>
      <w:proofErr w:type="gramEnd"/>
      <w:r w:rsidRPr="00B450EB">
        <w:rPr>
          <w:rFonts w:eastAsia="Arial" w:cs="Arial"/>
        </w:rPr>
        <w:t xml:space="preserve"> como la extracción de madera, y fomenta la colonización y la expansión de la frontera agropecuaria (</w:t>
      </w:r>
      <w:proofErr w:type="spellStart"/>
      <w:r w:rsidRPr="00B450EB">
        <w:rPr>
          <w:rFonts w:eastAsia="Arial" w:cs="Arial"/>
        </w:rPr>
        <w:t>Laurance</w:t>
      </w:r>
      <w:proofErr w:type="spellEnd"/>
      <w:r w:rsidRPr="00B450EB">
        <w:rPr>
          <w:rFonts w:eastAsia="Arial" w:cs="Arial"/>
        </w:rPr>
        <w:t xml:space="preserve"> et al., 2009; </w:t>
      </w:r>
      <w:proofErr w:type="spellStart"/>
      <w:r w:rsidRPr="00B450EB">
        <w:rPr>
          <w:rFonts w:eastAsia="Arial" w:cs="Arial"/>
        </w:rPr>
        <w:t>Geist</w:t>
      </w:r>
      <w:proofErr w:type="spellEnd"/>
      <w:r w:rsidRPr="00B450EB">
        <w:rPr>
          <w:rFonts w:eastAsia="Arial" w:cs="Arial"/>
        </w:rPr>
        <w:t xml:space="preserve"> &amp; </w:t>
      </w:r>
      <w:proofErr w:type="spellStart"/>
      <w:r w:rsidRPr="00B450EB">
        <w:rPr>
          <w:rFonts w:eastAsia="Arial" w:cs="Arial"/>
        </w:rPr>
        <w:t>Lambin</w:t>
      </w:r>
      <w:proofErr w:type="spellEnd"/>
      <w:r w:rsidRPr="00B450EB">
        <w:rPr>
          <w:rFonts w:eastAsia="Arial" w:cs="Arial"/>
        </w:rPr>
        <w:t>, 2002). En consecuencia, aun cuando las licencias ambientales contemplan medidas de control sobre los aprovechamientos forestales autorizados, la habilitación de vías industriales actúa como un catalizador de presiones externas que desbordan el alcance de dichos instrumentos regulatorios, profundizando la complejidad del fenómeno de la deforestación en la región.</w:t>
      </w:r>
    </w:p>
    <w:p w14:paraId="6D9C1F6B" w14:textId="77777777" w:rsidR="0084711B" w:rsidRPr="00B450EB" w:rsidRDefault="0084711B" w:rsidP="0084711B">
      <w:pPr>
        <w:rPr>
          <w:rFonts w:eastAsia="Arial" w:cs="Arial"/>
        </w:rPr>
      </w:pPr>
      <w:r w:rsidRPr="00B450EB">
        <w:rPr>
          <w:rFonts w:eastAsia="Arial" w:cs="Arial"/>
        </w:rPr>
        <w:t xml:space="preserve">Adicionalmente, </w:t>
      </w:r>
      <w:proofErr w:type="spellStart"/>
      <w:r w:rsidRPr="00B450EB">
        <w:rPr>
          <w:rFonts w:eastAsia="Arial" w:cs="Arial"/>
        </w:rPr>
        <w:t>Finer</w:t>
      </w:r>
      <w:proofErr w:type="spellEnd"/>
      <w:r w:rsidRPr="00B450EB">
        <w:rPr>
          <w:rFonts w:eastAsia="Arial" w:cs="Arial"/>
        </w:rPr>
        <w:t xml:space="preserve"> et al. (2008) advierten que la presencia de proyectos de hidrocarburos representa una amenaza crítica para áreas de alta riqueza global de fauna silvestre, especialmente de anfibios, dado que este grupo presenta una elevada sensibilidad ecológica y un alto riesgo de extinción. Una de las preocupaciones centrales señaladas por los autores es que nuevos proyectos de exploración promuevan la proliferación de rutas de acceso, reproduciendo el mismo patrón de expansión de presiones indirectas.</w:t>
      </w:r>
    </w:p>
    <w:p w14:paraId="196E3A51" w14:textId="57AE5DFB" w:rsidR="0084711B" w:rsidRPr="00B450EB" w:rsidRDefault="0084711B" w:rsidP="0084711B">
      <w:pPr>
        <w:rPr>
          <w:rFonts w:eastAsia="Arial" w:cs="Arial"/>
        </w:rPr>
      </w:pPr>
      <w:r w:rsidRPr="00B450EB">
        <w:rPr>
          <w:rFonts w:eastAsia="Arial" w:cs="Arial"/>
        </w:rPr>
        <w:t>En</w:t>
      </w:r>
      <w:r w:rsidR="00BC659E" w:rsidRPr="00B450EB">
        <w:rPr>
          <w:rFonts w:eastAsia="Arial" w:cs="Arial"/>
        </w:rPr>
        <w:t xml:space="preserve"> la Amazonia</w:t>
      </w:r>
      <w:r w:rsidRPr="00B450EB">
        <w:rPr>
          <w:rFonts w:eastAsia="Arial" w:cs="Arial"/>
        </w:rPr>
        <w:t xml:space="preserve"> colombian</w:t>
      </w:r>
      <w:r w:rsidR="00BC659E" w:rsidRPr="00B450EB">
        <w:rPr>
          <w:rFonts w:eastAsia="Arial" w:cs="Arial"/>
        </w:rPr>
        <w:t>a</w:t>
      </w:r>
      <w:r w:rsidRPr="00B450EB">
        <w:rPr>
          <w:rFonts w:eastAsia="Arial" w:cs="Arial"/>
        </w:rPr>
        <w:t>, la exploración y explotación de hidrocarburos se concentra principalmente en el departamento de Putumayo, un territorio de especial relevancia por albergar los valores más altos de riqueza de primates silvestres del país (</w:t>
      </w:r>
      <w:proofErr w:type="spellStart"/>
      <w:r w:rsidRPr="00B450EB">
        <w:rPr>
          <w:rFonts w:eastAsia="Arial" w:cs="Arial"/>
        </w:rPr>
        <w:t>Defler</w:t>
      </w:r>
      <w:proofErr w:type="spellEnd"/>
      <w:r w:rsidRPr="00B450EB">
        <w:rPr>
          <w:rFonts w:eastAsia="Arial" w:cs="Arial"/>
        </w:rPr>
        <w:t xml:space="preserve">, 2003; Stevenson &amp; </w:t>
      </w:r>
      <w:proofErr w:type="gramStart"/>
      <w:r w:rsidRPr="00B450EB">
        <w:rPr>
          <w:rFonts w:eastAsia="Arial" w:cs="Arial"/>
        </w:rPr>
        <w:t>Link</w:t>
      </w:r>
      <w:proofErr w:type="gramEnd"/>
      <w:r w:rsidRPr="00B450EB">
        <w:rPr>
          <w:rFonts w:eastAsia="Arial" w:cs="Arial"/>
        </w:rPr>
        <w:t>, 2010). Esta condición lo convierte en un área de alta vulnerabilidad ecológica, no solo por la presión directa de las actividades extractivas, sino también por su papel estratégico como corredor biogeográfico que conecta la Amazonia con los Andes y sostiene procesos esenciales de conectividad ecológica y flujo genético.</w:t>
      </w:r>
    </w:p>
    <w:p w14:paraId="20605CC8" w14:textId="637B0B88" w:rsidR="00924396" w:rsidRPr="00B450EB" w:rsidRDefault="00924396" w:rsidP="001C1081">
      <w:pPr>
        <w:pStyle w:val="Ttulo1"/>
        <w:numPr>
          <w:ilvl w:val="0"/>
          <w:numId w:val="16"/>
        </w:numPr>
        <w:rPr>
          <w:bCs/>
          <w:lang w:val="es-ES"/>
        </w:rPr>
      </w:pPr>
      <w:bookmarkStart w:id="219" w:name="_Toc209722958"/>
      <w:r w:rsidRPr="00B450EB">
        <w:rPr>
          <w:bCs/>
          <w:lang w:val="es-ES"/>
        </w:rPr>
        <w:t>IMPACTOS AMBIENTALES ASOCIADOS</w:t>
      </w:r>
      <w:r w:rsidR="002805D1" w:rsidRPr="00B450EB">
        <w:rPr>
          <w:bCs/>
          <w:lang w:val="es-ES"/>
        </w:rPr>
        <w:t xml:space="preserve"> A MINERÍA E HIDROCARBUROS</w:t>
      </w:r>
      <w:bookmarkEnd w:id="219"/>
    </w:p>
    <w:p w14:paraId="64A300FB" w14:textId="44C35AB9" w:rsidR="00924396" w:rsidRPr="00B450EB" w:rsidRDefault="00924396" w:rsidP="004D72E4">
      <w:pPr>
        <w:pStyle w:val="Textoindependiente"/>
        <w:numPr>
          <w:ilvl w:val="1"/>
          <w:numId w:val="16"/>
        </w:numPr>
        <w:spacing w:before="21"/>
        <w:ind w:right="18"/>
        <w:outlineLvl w:val="1"/>
        <w:rPr>
          <w:rFonts w:ascii="Arial" w:hAnsi="Arial" w:cs="Arial"/>
          <w:sz w:val="24"/>
          <w:szCs w:val="24"/>
        </w:rPr>
      </w:pPr>
      <w:bookmarkStart w:id="220" w:name="_Toc209722959"/>
      <w:r w:rsidRPr="00B450EB">
        <w:rPr>
          <w:rFonts w:ascii="Arial" w:hAnsi="Arial" w:cs="Arial"/>
          <w:sz w:val="24"/>
          <w:szCs w:val="24"/>
        </w:rPr>
        <w:t>Minería</w:t>
      </w:r>
      <w:bookmarkEnd w:id="220"/>
    </w:p>
    <w:p w14:paraId="5C699A9D" w14:textId="77777777" w:rsidR="00924396" w:rsidRPr="00B450EB" w:rsidRDefault="00924396" w:rsidP="00924396">
      <w:pPr>
        <w:pStyle w:val="Textoindependiente"/>
        <w:spacing w:before="21"/>
        <w:ind w:right="18"/>
        <w:rPr>
          <w:rFonts w:ascii="Arial" w:hAnsi="Arial" w:cs="Arial"/>
          <w:sz w:val="24"/>
          <w:szCs w:val="24"/>
        </w:rPr>
      </w:pPr>
    </w:p>
    <w:p w14:paraId="5A5D556C" w14:textId="77777777" w:rsidR="00924396" w:rsidRPr="00B450EB" w:rsidRDefault="00924396" w:rsidP="00924396">
      <w:pPr>
        <w:rPr>
          <w:rFonts w:cs="Arial"/>
        </w:rPr>
      </w:pPr>
      <w:r w:rsidRPr="00B450EB">
        <w:rPr>
          <w:rFonts w:cs="Arial"/>
        </w:rPr>
        <w:t>La minería en la Amazonía colombiana se presenta en diversas formas, incluyendo actividades extractivas legales e ilegales, de carácter formal, informal y a veces criminal. Estas actividades generan impactos y conflictos de índole ambiental, social, económico e institucional en toda la región; donde, bajo la lógica extractivista, se configuran escenarios de tensión constante entre la conservación del patrimonio natural y cultural, y las expectativas de extracción de recursos, enmarcada en un accionar gubernamental que históricamente ha impuesto decisiones desde el nivel central.</w:t>
      </w:r>
    </w:p>
    <w:p w14:paraId="2B5B981B" w14:textId="77777777" w:rsidR="004D72E4" w:rsidRPr="00B450EB" w:rsidRDefault="00924396" w:rsidP="00924396">
      <w:pPr>
        <w:rPr>
          <w:rFonts w:cs="Arial"/>
        </w:rPr>
      </w:pPr>
      <w:r w:rsidRPr="00B450EB">
        <w:rPr>
          <w:rFonts w:cs="Arial"/>
        </w:rPr>
        <w:lastRenderedPageBreak/>
        <w:t xml:space="preserve">Desde la perspectiva ambiental, la minería es una actividad económica altamente contaminante que afecta la calidad de todas las matrices ambientales. La conflictividad ambiental minera tiene tres motivos principales: las Zonas de Minería Estratégica (ZME) definidas por el gobierno, los títulos mineros legalmente otorgados y la extracción ilícita de minerales (EIM). Estas actividades afectan gravemente áreas de alta sensibilidad ecológica, como Zonas de Reserva Forestal, resguardos indígenas, ecosistemas acuáticos, humedales y complejos de páramos, con una afectación particularmente severa en departamentos como Vaupés y Putumayo. De manera alarmante, se han otorgado títulos mineros incluso dentro de Parques Nacionales Naturales en Vaupés, Caquetá y Guainía. La extracción ilícita, por su parte, se practica en áreas protegidas como el PNN </w:t>
      </w:r>
      <w:proofErr w:type="spellStart"/>
      <w:r w:rsidRPr="00B450EB">
        <w:rPr>
          <w:rFonts w:cs="Arial"/>
        </w:rPr>
        <w:t>Puinawai</w:t>
      </w:r>
      <w:proofErr w:type="spellEnd"/>
      <w:r w:rsidRPr="00B450EB">
        <w:rPr>
          <w:rFonts w:cs="Arial"/>
        </w:rPr>
        <w:t xml:space="preserve"> y la serranía de Los </w:t>
      </w:r>
      <w:proofErr w:type="spellStart"/>
      <w:r w:rsidRPr="00B450EB">
        <w:rPr>
          <w:rFonts w:cs="Arial"/>
        </w:rPr>
        <w:t>Churumbelos</w:t>
      </w:r>
      <w:proofErr w:type="spellEnd"/>
      <w:r w:rsidRPr="00B450EB">
        <w:rPr>
          <w:rFonts w:cs="Arial"/>
        </w:rPr>
        <w:t xml:space="preserve">, así como en territorios indígenas a lo largo de los ríos </w:t>
      </w:r>
      <w:proofErr w:type="spellStart"/>
      <w:r w:rsidRPr="00B450EB">
        <w:rPr>
          <w:rFonts w:cs="Arial"/>
        </w:rPr>
        <w:t>Cularí</w:t>
      </w:r>
      <w:proofErr w:type="spellEnd"/>
      <w:r w:rsidRPr="00B450EB">
        <w:rPr>
          <w:rFonts w:cs="Arial"/>
        </w:rPr>
        <w:t xml:space="preserve"> e </w:t>
      </w:r>
      <w:proofErr w:type="spellStart"/>
      <w:r w:rsidRPr="00B450EB">
        <w:rPr>
          <w:rFonts w:cs="Arial"/>
        </w:rPr>
        <w:t>Isaná</w:t>
      </w:r>
      <w:proofErr w:type="spellEnd"/>
      <w:r w:rsidRPr="00B450EB">
        <w:rPr>
          <w:rFonts w:cs="Arial"/>
        </w:rPr>
        <w:t xml:space="preserve"> en Vaupés. </w:t>
      </w:r>
    </w:p>
    <w:p w14:paraId="49A2E8A6" w14:textId="58AACBDC" w:rsidR="00924396" w:rsidRPr="00B450EB" w:rsidRDefault="00924396" w:rsidP="00924396">
      <w:pPr>
        <w:rPr>
          <w:rFonts w:cs="Arial"/>
        </w:rPr>
      </w:pPr>
      <w:r w:rsidRPr="00B450EB">
        <w:rPr>
          <w:rFonts w:cs="Arial"/>
        </w:rPr>
        <w:t>Además, la minería es considerada un factor detonante que, junto a la deforestación y la expansión de la frontera agropecuaria, incrementa la susceptibilidad a desastres naturales como los movimientos en masa.</w:t>
      </w:r>
      <w:r w:rsidR="002C2B5B" w:rsidRPr="00B450EB">
        <w:rPr>
          <w:rFonts w:cs="Arial"/>
        </w:rPr>
        <w:t xml:space="preserve"> </w:t>
      </w:r>
      <w:r w:rsidRPr="00B450EB">
        <w:rPr>
          <w:rFonts w:cs="Arial"/>
        </w:rPr>
        <w:t>Junto a esto, la minería genera consecuencias complejas y a menudo perjudiciales, donde el fenómeno de la EIM fomenta la creación de enclaves mineros, a menudo asociados a la explotación de oro, y poblados que dependen de esta economía extractiva. Esta dinámica es una fuente importante de conflictos sociales y ambientales, incluyendo conflictos armados por el control del territorio y la renta minera entre grupos ilegales, especialmente en Guainía, Vaupés, Putumayo y Amazonas.</w:t>
      </w:r>
    </w:p>
    <w:p w14:paraId="020AB645" w14:textId="77777777" w:rsidR="004D72E4" w:rsidRPr="00B450EB" w:rsidRDefault="00924396" w:rsidP="00924396">
      <w:pPr>
        <w:rPr>
          <w:rFonts w:cs="Arial"/>
        </w:rPr>
      </w:pPr>
      <w:r w:rsidRPr="00B450EB">
        <w:rPr>
          <w:rFonts w:cs="Arial"/>
        </w:rPr>
        <w:t>En línea con lo expresado por la Defensoría del Pueblo en su Alerta Temprana 007 de 2024, la minería [ilegal] es "</w:t>
      </w:r>
      <w:r w:rsidRPr="00B450EB">
        <w:rPr>
          <w:rFonts w:cs="Arial"/>
          <w:i/>
          <w:iCs/>
        </w:rPr>
        <w:t>el delito ambiental más extendido y perjudicial en las regiones de triple frontera de la Amazonía</w:t>
      </w:r>
      <w:r w:rsidRPr="00B450EB">
        <w:rPr>
          <w:rFonts w:cs="Arial"/>
        </w:rPr>
        <w:t xml:space="preserve">", donde la EIM, junto a la ganadería extensiva y la tala ilegal, es una de las principales causas de deforestación en zonas de control de facciones disidentes de las antiguas FARC-EP. Junto a esto, la contaminación, particularmente por mercurio, está afectando áreas protegidas, territorios indígenas y reservas de la biosfera, además de poner en riesgo la seguridad alimentaria y la salud de las comunidades étnicas. En Putumayo, los proyectos de cobre en Mocoa han generado tensiones sociales y amenazas contra líderes ambientales, mientras que en Guainía y Vichada la extracción ilícita de oro y tierras raras afecta gravemente el tejido organizativo indígena. </w:t>
      </w:r>
    </w:p>
    <w:p w14:paraId="09C40F09" w14:textId="73E70DD6" w:rsidR="00924396" w:rsidRPr="00B450EB" w:rsidRDefault="00924396" w:rsidP="00924396">
      <w:pPr>
        <w:rPr>
          <w:rFonts w:cs="Arial"/>
        </w:rPr>
      </w:pPr>
      <w:r w:rsidRPr="00B450EB">
        <w:rPr>
          <w:rFonts w:cs="Arial"/>
        </w:rPr>
        <w:t xml:space="preserve">En la frontera con Brasil, la explotación de oro de aluvión en ríos como el Caquetá y el Puré representa una amenaza extrema para pueblos indígenas en aislamiento voluntario como los </w:t>
      </w:r>
      <w:proofErr w:type="spellStart"/>
      <w:r w:rsidRPr="00B450EB">
        <w:rPr>
          <w:rFonts w:cs="Arial"/>
        </w:rPr>
        <w:t>Yurí</w:t>
      </w:r>
      <w:proofErr w:type="spellEnd"/>
      <w:r w:rsidRPr="00B450EB">
        <w:rPr>
          <w:rFonts w:cs="Arial"/>
        </w:rPr>
        <w:t xml:space="preserve"> y </w:t>
      </w:r>
      <w:proofErr w:type="spellStart"/>
      <w:r w:rsidRPr="00B450EB">
        <w:rPr>
          <w:rFonts w:cs="Arial"/>
        </w:rPr>
        <w:t>Passé</w:t>
      </w:r>
      <w:proofErr w:type="spellEnd"/>
      <w:r w:rsidRPr="00B450EB">
        <w:rPr>
          <w:rFonts w:cs="Arial"/>
        </w:rPr>
        <w:t>. En todos estos escenarios, facciones disidentes de las FARC, el ELN y redes criminales transnacionales intervienen en la extracción, compra y comercialización del oro, profundizando los riesgos de violencia, desplazamiento y degradación ambiental.</w:t>
      </w:r>
    </w:p>
    <w:p w14:paraId="418180DF" w14:textId="77777777" w:rsidR="00924396" w:rsidRPr="00B450EB" w:rsidRDefault="00924396" w:rsidP="00924396">
      <w:pPr>
        <w:rPr>
          <w:rFonts w:cs="Arial"/>
        </w:rPr>
      </w:pPr>
      <w:r w:rsidRPr="00B450EB">
        <w:rPr>
          <w:rFonts w:cs="Arial"/>
        </w:rPr>
        <w:lastRenderedPageBreak/>
        <w:t>Conforme a las alertas por contaminación elevadas por el ministerio público, la EIM y prácticas ilegales que recurren al mercurio afectan directamente los diferentes componentes ambientales, relacionados principalmente a factores como: 1) composición del yacimiento; 2) falta de conocimiento de técnicas de producción más limpia por parte de los mineros; 3) precio del mercurio y su facilidad de compra, y 4) deficiencias de control y seguimiento por parte de las autoridades competentes.</w:t>
      </w:r>
    </w:p>
    <w:p w14:paraId="2039B21F" w14:textId="77777777" w:rsidR="00924396" w:rsidRPr="00B450EB" w:rsidRDefault="00924396" w:rsidP="00924396">
      <w:pPr>
        <w:rPr>
          <w:rFonts w:cs="Arial"/>
        </w:rPr>
      </w:pPr>
      <w:r w:rsidRPr="00B450EB">
        <w:rPr>
          <w:rFonts w:cs="Arial"/>
        </w:rPr>
        <w:t>El mercurio utilizado para concentrar el oro forma una amalgama, qué, al ser procesada se evapora y cae en forma de lluvia en los cuerpos de agua, donde las bacterias reductoras de sulfato lo transforman en metilmercurio (</w:t>
      </w:r>
      <w:proofErr w:type="spellStart"/>
      <w:r w:rsidRPr="00B450EB">
        <w:rPr>
          <w:rFonts w:cs="Arial"/>
        </w:rPr>
        <w:t>MeHg</w:t>
      </w:r>
      <w:proofErr w:type="spellEnd"/>
      <w:r w:rsidRPr="00B450EB">
        <w:rPr>
          <w:rFonts w:cs="Arial"/>
        </w:rPr>
        <w:t xml:space="preserve">), un compuesto orgánico bioacumulable y </w:t>
      </w:r>
      <w:proofErr w:type="spellStart"/>
      <w:r w:rsidRPr="00B450EB">
        <w:rPr>
          <w:rFonts w:cs="Arial"/>
        </w:rPr>
        <w:t>biomagnificable</w:t>
      </w:r>
      <w:proofErr w:type="spellEnd"/>
      <w:r w:rsidRPr="00B450EB">
        <w:rPr>
          <w:rFonts w:cs="Arial"/>
        </w:rPr>
        <w:t xml:space="preserve"> que se configura como un riesgo a la salud humana, donde la principal vía de exposición es el consumo de pescados y mariscos contaminados.  </w:t>
      </w:r>
    </w:p>
    <w:p w14:paraId="60731132" w14:textId="77777777" w:rsidR="00924396" w:rsidRPr="00B450EB" w:rsidRDefault="00924396" w:rsidP="00924396">
      <w:pPr>
        <w:rPr>
          <w:rFonts w:cs="Arial"/>
        </w:rPr>
      </w:pPr>
      <w:r w:rsidRPr="00B450EB">
        <w:rPr>
          <w:rFonts w:cs="Arial"/>
        </w:rPr>
        <w:t>La WWF Colombia y la Alianza Amazónica para la Reducción de los Impactos de Minería de la Oro (AARIMO) (2025), presentaron en su “</w:t>
      </w:r>
      <w:r w:rsidRPr="00B450EB">
        <w:rPr>
          <w:rFonts w:cs="Arial"/>
          <w:i/>
          <w:iCs/>
        </w:rPr>
        <w:t>Cuaderno de derecho ambiental #2</w:t>
      </w:r>
      <w:r w:rsidRPr="00B450EB">
        <w:rPr>
          <w:rFonts w:cs="Arial"/>
        </w:rPr>
        <w:t>” un contexto de la minería legal e ilegal, donde se denota lo siguiente:</w:t>
      </w:r>
    </w:p>
    <w:p w14:paraId="3967A55F" w14:textId="77777777" w:rsidR="00924396" w:rsidRPr="00B450EB" w:rsidRDefault="00924396" w:rsidP="00CE0CE4">
      <w:pPr>
        <w:pStyle w:val="Prrafodelista"/>
        <w:numPr>
          <w:ilvl w:val="0"/>
          <w:numId w:val="30"/>
        </w:numPr>
        <w:rPr>
          <w:rFonts w:cs="Arial"/>
        </w:rPr>
      </w:pPr>
      <w:r w:rsidRPr="00B450EB">
        <w:rPr>
          <w:rFonts w:cs="Arial"/>
        </w:rPr>
        <w:t xml:space="preserve">En los últimos años se ha observado un crecimiento significativo de la minería ilegal de oro, donde la Fundación para la Conservación y el Desarrollo Sostenible (FCDS), a partir de fuentes primarias y secundarias de información realizó un análisis para comprender la dinámica y la ubicación de la minería ilegal en la Amazonia colombiana, donde se evidencia la minería ilegal con mayor presencia de balsas y dragas mineras en siete (7) ríos amazónicos afectados: Inírida y Guainía (Guainía), Caquetá (Amazonas y Caquetá), Putumayo (Amazonas y Putumayo), Puré (Amazonas), </w:t>
      </w:r>
      <w:proofErr w:type="spellStart"/>
      <w:r w:rsidRPr="00B450EB">
        <w:rPr>
          <w:rFonts w:cs="Arial"/>
        </w:rPr>
        <w:t>Purité</w:t>
      </w:r>
      <w:proofErr w:type="spellEnd"/>
      <w:r w:rsidRPr="00B450EB">
        <w:rPr>
          <w:rFonts w:cs="Arial"/>
        </w:rPr>
        <w:t xml:space="preserve"> y </w:t>
      </w:r>
      <w:proofErr w:type="spellStart"/>
      <w:r w:rsidRPr="00B450EB">
        <w:rPr>
          <w:rFonts w:cs="Arial"/>
        </w:rPr>
        <w:t>Cotuhé</w:t>
      </w:r>
      <w:proofErr w:type="spellEnd"/>
      <w:r w:rsidRPr="00B450EB">
        <w:rPr>
          <w:rFonts w:cs="Arial"/>
        </w:rPr>
        <w:t xml:space="preserve"> (Amazonas). Esta expansión también ha impactado la salud de las comunidades locales, donde, tomando como referencia muestras de cabello y de pescados para consumo, los departamentos con niveles más altos de mercurio son Guainía, Amazonas, Caquetá y Vaupés. </w:t>
      </w:r>
    </w:p>
    <w:p w14:paraId="5840112A" w14:textId="77777777" w:rsidR="00924396" w:rsidRPr="00B450EB" w:rsidRDefault="00924396" w:rsidP="00CE0CE4">
      <w:pPr>
        <w:pStyle w:val="Prrafodelista"/>
        <w:numPr>
          <w:ilvl w:val="0"/>
          <w:numId w:val="30"/>
        </w:numPr>
        <w:rPr>
          <w:rFonts w:cs="Arial"/>
        </w:rPr>
      </w:pPr>
      <w:r w:rsidRPr="00B450EB">
        <w:rPr>
          <w:rFonts w:cs="Arial"/>
        </w:rPr>
        <w:t xml:space="preserve">Hay una afectación directa a la fauna local, donde a aves piscívoras y mamíferos acuáticos que consumen grandes cantidades de peces contaminados bioacumulan metilmercurio en sus tejidos, lo cual conlleva efectos devastadores en su salud, afectando su sistema nervioso, su función reproductiva y su capacidad de supervivencia. </w:t>
      </w:r>
    </w:p>
    <w:p w14:paraId="2CDF686D" w14:textId="77777777" w:rsidR="00924396" w:rsidRPr="00B450EB" w:rsidRDefault="00924396" w:rsidP="00CE0CE4">
      <w:pPr>
        <w:pStyle w:val="Prrafodelista"/>
        <w:numPr>
          <w:ilvl w:val="0"/>
          <w:numId w:val="30"/>
        </w:numPr>
        <w:rPr>
          <w:rFonts w:cs="Arial"/>
        </w:rPr>
      </w:pPr>
      <w:r w:rsidRPr="00B450EB">
        <w:rPr>
          <w:rFonts w:cs="Arial"/>
        </w:rPr>
        <w:t xml:space="preserve">La minería aluvial contribuye a la sedimentación de los ríos, donde, la remoción de grandes cantidades de suelo y vegetación durante el proceso de extracción incrementa la cantidad de sedimentos que se desplazan hacia los ríos y otros cuerpos de agua, generando problemas de turbidez y sedimentación. Este aumento en los sedimentos afecta directamente la salud de las especies acuáticas, ya que los peces y otros organismos que </w:t>
      </w:r>
      <w:r w:rsidRPr="00B450EB">
        <w:rPr>
          <w:rFonts w:cs="Arial"/>
        </w:rPr>
        <w:lastRenderedPageBreak/>
        <w:t xml:space="preserve">dependen de aguas claras para localizar alimento o realizar sus actividades reproductivas se ven severamente perjudicados. </w:t>
      </w:r>
    </w:p>
    <w:p w14:paraId="11B5F438" w14:textId="77777777" w:rsidR="00924396" w:rsidRPr="00B450EB" w:rsidRDefault="00924396" w:rsidP="00CE0CE4">
      <w:pPr>
        <w:pStyle w:val="Prrafodelista"/>
        <w:numPr>
          <w:ilvl w:val="0"/>
          <w:numId w:val="30"/>
        </w:numPr>
        <w:rPr>
          <w:rFonts w:cs="Arial"/>
        </w:rPr>
      </w:pPr>
      <w:r w:rsidRPr="00B450EB">
        <w:rPr>
          <w:rFonts w:cs="Arial"/>
        </w:rPr>
        <w:t>Las comunidades cercanas a las áreas mineras se enfrentan a condiciones de inseguridad, desplazamiento y violencia. Los conflictos generados por la minería ilegal también fomentan la desintegración de las comunidades, que se ven forzadas a desplazarse o a convivir en condiciones de inseguridad y violencia.</w:t>
      </w:r>
    </w:p>
    <w:p w14:paraId="0C66BAEC" w14:textId="77777777" w:rsidR="00924396" w:rsidRPr="00B450EB" w:rsidRDefault="00924396" w:rsidP="00924396">
      <w:pPr>
        <w:rPr>
          <w:rFonts w:cs="Arial"/>
        </w:rPr>
      </w:pPr>
      <w:r w:rsidRPr="00B450EB">
        <w:rPr>
          <w:rFonts w:cs="Arial"/>
        </w:rPr>
        <w:t>En consonancia con el “Informe Nacional: Minería Ilegal y Contaminación por Mercurio en Colombia” de la Procuraduría General de la Nación (2024),  la expansión de la minería ilegal ha tenido consecuencias devastadoras para el bioma amazónico y para las comunidades locales, donde este fenómeno no solo ha provocado la degradación de ecosistemas acuáticos y terrestres, sino también una crisis de salud pública debido a la exposición al mercurio, junto a impactos socioculturales vinculados a períodos de violencia y conflictos por la propiedad de la tierra, que a su vez han perjudicado el manejo territorial de los pueblos indígenas, y ha llevado a la pérdida de prácticas y tradiciones milenarias.</w:t>
      </w:r>
    </w:p>
    <w:p w14:paraId="62E02F28" w14:textId="2B696D64" w:rsidR="00507C43" w:rsidRPr="00B450EB" w:rsidRDefault="00507C43" w:rsidP="00507C43">
      <w:pPr>
        <w:pStyle w:val="Ttulo2"/>
        <w:numPr>
          <w:ilvl w:val="1"/>
          <w:numId w:val="16"/>
        </w:numPr>
        <w:rPr>
          <w:rFonts w:cs="Arial"/>
          <w:szCs w:val="24"/>
        </w:rPr>
      </w:pPr>
      <w:bookmarkStart w:id="221" w:name="_Toc209722960"/>
      <w:r w:rsidRPr="00B450EB">
        <w:rPr>
          <w:rFonts w:cs="Arial"/>
          <w:szCs w:val="24"/>
        </w:rPr>
        <w:t>Hidrocarburos</w:t>
      </w:r>
      <w:bookmarkEnd w:id="221"/>
    </w:p>
    <w:p w14:paraId="4D7E0632" w14:textId="2AFB5EBD" w:rsidR="00507C43" w:rsidRPr="00B450EB" w:rsidRDefault="00507C43" w:rsidP="00507C43">
      <w:pPr>
        <w:rPr>
          <w:rFonts w:eastAsia="Verdana" w:cs="Arial"/>
          <w:lang w:val="es-ES"/>
        </w:rPr>
      </w:pPr>
      <w:r w:rsidRPr="00B450EB">
        <w:rPr>
          <w:rFonts w:cs="Arial"/>
        </w:rPr>
        <w:t>Con el fin de revisar los impactos ambientales de las actividades del sector hidrocarburos no evitables o mitigables que trastornaría</w:t>
      </w:r>
      <w:r w:rsidR="00B32FB1" w:rsidRPr="00B450EB">
        <w:rPr>
          <w:rFonts w:cs="Arial"/>
        </w:rPr>
        <w:t>n</w:t>
      </w:r>
      <w:r w:rsidRPr="00B450EB">
        <w:rPr>
          <w:rFonts w:cs="Arial"/>
        </w:rPr>
        <w:t xml:space="preserve"> irreversiblemente la funcionalidad y los servicios ecosistémicos que presta el bioma amazónico en el área de influencia de los proyectos debe tenerse en cuenta que los proyectos de hidrocarburos tienen asociado una amplia gama de tareas o labores para cada una de las etapas, las cuales implican efectos directos sobre el estado de los recursos naturales renovables. </w:t>
      </w:r>
    </w:p>
    <w:p w14:paraId="76C07EE2" w14:textId="77777777" w:rsidR="00507C43" w:rsidRPr="00B450EB" w:rsidRDefault="00507C43" w:rsidP="00507C43">
      <w:pPr>
        <w:rPr>
          <w:rFonts w:eastAsia="Verdana" w:cs="Arial"/>
          <w:lang w:val="es-ES"/>
        </w:rPr>
      </w:pPr>
      <w:r w:rsidRPr="00B450EB">
        <w:rPr>
          <w:rFonts w:cs="Arial"/>
        </w:rPr>
        <w:t>Bajo un desarrollo normal de la industria del sector hidrocarburos, las actividades asociadas introducen cambios ambientales, socioeconómicos y culturales, e</w:t>
      </w:r>
      <w:r w:rsidRPr="00B450EB">
        <w:rPr>
          <w:rFonts w:eastAsia="Verdana" w:cs="Arial"/>
        </w:rPr>
        <w:t>n la siguiente tabla se relacionan esas actividades:</w:t>
      </w:r>
    </w:p>
    <w:p w14:paraId="3612E535" w14:textId="729883CE" w:rsidR="002C2B5B" w:rsidRPr="00B450EB" w:rsidRDefault="002C2B5B" w:rsidP="002C2B5B">
      <w:pPr>
        <w:pStyle w:val="Descripcin"/>
        <w:keepNext/>
        <w:rPr>
          <w:color w:val="auto"/>
        </w:rPr>
      </w:pPr>
      <w:bookmarkStart w:id="222" w:name="_Toc209723008"/>
      <w:r w:rsidRPr="00B450EB">
        <w:rPr>
          <w:color w:val="auto"/>
        </w:rPr>
        <w:t xml:space="preserve">Tabla </w:t>
      </w:r>
      <w:r w:rsidR="0045353A" w:rsidRPr="00B450EB">
        <w:rPr>
          <w:color w:val="auto"/>
        </w:rPr>
        <w:fldChar w:fldCharType="begin"/>
      </w:r>
      <w:r w:rsidR="0045353A" w:rsidRPr="00B450EB">
        <w:rPr>
          <w:color w:val="auto"/>
        </w:rPr>
        <w:instrText xml:space="preserve"> SEQ Tabla \* ARABIC </w:instrText>
      </w:r>
      <w:r w:rsidR="0045353A" w:rsidRPr="00B450EB">
        <w:rPr>
          <w:color w:val="auto"/>
        </w:rPr>
        <w:fldChar w:fldCharType="separate"/>
      </w:r>
      <w:r w:rsidR="00BC4A10" w:rsidRPr="00B450EB">
        <w:rPr>
          <w:noProof/>
          <w:color w:val="auto"/>
        </w:rPr>
        <w:t>25</w:t>
      </w:r>
      <w:r w:rsidR="0045353A" w:rsidRPr="00B450EB">
        <w:rPr>
          <w:noProof/>
          <w:color w:val="auto"/>
        </w:rPr>
        <w:fldChar w:fldCharType="end"/>
      </w:r>
      <w:r w:rsidRPr="00B450EB">
        <w:rPr>
          <w:color w:val="auto"/>
        </w:rPr>
        <w:t>. Principales actividades del sector de hidrocarburos</w:t>
      </w:r>
      <w:bookmarkEnd w:id="222"/>
    </w:p>
    <w:tbl>
      <w:tblPr>
        <w:tblStyle w:val="Tablaconcuadrcula"/>
        <w:tblW w:w="930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800"/>
        <w:gridCol w:w="1800"/>
        <w:gridCol w:w="5700"/>
      </w:tblGrid>
      <w:tr w:rsidR="00205915" w:rsidRPr="00B450EB" w14:paraId="5AA29A59" w14:textId="77777777" w:rsidTr="008950F1">
        <w:trPr>
          <w:trHeight w:val="300"/>
          <w:tblHeader/>
        </w:trPr>
        <w:tc>
          <w:tcPr>
            <w:tcW w:w="1800" w:type="dxa"/>
            <w:shd w:val="clear" w:color="auto" w:fill="D9F2D0" w:themeFill="accent6" w:themeFillTint="33"/>
            <w:tcMar>
              <w:left w:w="105" w:type="dxa"/>
              <w:right w:w="105" w:type="dxa"/>
            </w:tcMar>
            <w:vAlign w:val="center"/>
          </w:tcPr>
          <w:p w14:paraId="51D09252" w14:textId="77777777" w:rsidR="00507C43" w:rsidRPr="00B450EB" w:rsidRDefault="00507C43" w:rsidP="00024A81">
            <w:pPr>
              <w:widowControl w:val="0"/>
              <w:spacing w:line="276" w:lineRule="auto"/>
              <w:jc w:val="center"/>
              <w:rPr>
                <w:rFonts w:eastAsia="Verdana" w:cs="Arial"/>
                <w:sz w:val="18"/>
                <w:szCs w:val="18"/>
              </w:rPr>
            </w:pPr>
            <w:r w:rsidRPr="00B450EB">
              <w:rPr>
                <w:rFonts w:eastAsia="Verdana" w:cs="Arial"/>
                <w:b/>
                <w:bCs/>
                <w:sz w:val="18"/>
                <w:szCs w:val="18"/>
              </w:rPr>
              <w:t>Fase de proyecto</w:t>
            </w:r>
          </w:p>
        </w:tc>
        <w:tc>
          <w:tcPr>
            <w:tcW w:w="1800" w:type="dxa"/>
            <w:shd w:val="clear" w:color="auto" w:fill="D9F2D0" w:themeFill="accent6" w:themeFillTint="33"/>
            <w:tcMar>
              <w:left w:w="105" w:type="dxa"/>
              <w:right w:w="105" w:type="dxa"/>
            </w:tcMar>
            <w:vAlign w:val="center"/>
          </w:tcPr>
          <w:p w14:paraId="498A351F" w14:textId="77777777" w:rsidR="00507C43" w:rsidRPr="00B450EB" w:rsidRDefault="00507C43" w:rsidP="00024A81">
            <w:pPr>
              <w:widowControl w:val="0"/>
              <w:spacing w:line="276" w:lineRule="auto"/>
              <w:jc w:val="center"/>
              <w:rPr>
                <w:rFonts w:eastAsia="Verdana" w:cs="Arial"/>
                <w:sz w:val="18"/>
                <w:szCs w:val="18"/>
              </w:rPr>
            </w:pPr>
            <w:r w:rsidRPr="00B450EB">
              <w:rPr>
                <w:rFonts w:eastAsia="Verdana" w:cs="Arial"/>
                <w:b/>
                <w:bCs/>
                <w:sz w:val="18"/>
                <w:szCs w:val="18"/>
              </w:rPr>
              <w:t>Etapa del proyecto</w:t>
            </w:r>
          </w:p>
        </w:tc>
        <w:tc>
          <w:tcPr>
            <w:tcW w:w="5700" w:type="dxa"/>
            <w:shd w:val="clear" w:color="auto" w:fill="D9F2D0" w:themeFill="accent6" w:themeFillTint="33"/>
            <w:tcMar>
              <w:left w:w="105" w:type="dxa"/>
              <w:right w:w="105" w:type="dxa"/>
            </w:tcMar>
            <w:vAlign w:val="center"/>
          </w:tcPr>
          <w:p w14:paraId="5624BE3A" w14:textId="77777777" w:rsidR="00507C43" w:rsidRPr="00B450EB" w:rsidRDefault="00507C43" w:rsidP="00024A81">
            <w:pPr>
              <w:widowControl w:val="0"/>
              <w:spacing w:line="276" w:lineRule="auto"/>
              <w:jc w:val="left"/>
              <w:rPr>
                <w:rFonts w:eastAsia="Verdana" w:cs="Arial"/>
                <w:sz w:val="18"/>
                <w:szCs w:val="18"/>
              </w:rPr>
            </w:pPr>
            <w:r w:rsidRPr="00B450EB">
              <w:rPr>
                <w:rFonts w:eastAsia="Verdana" w:cs="Arial"/>
                <w:b/>
                <w:bCs/>
                <w:sz w:val="18"/>
                <w:szCs w:val="18"/>
              </w:rPr>
              <w:t>Actividades principales</w:t>
            </w:r>
          </w:p>
        </w:tc>
      </w:tr>
      <w:tr w:rsidR="00205915" w:rsidRPr="00B450EB" w14:paraId="3B8B2819" w14:textId="77777777" w:rsidTr="008950F1">
        <w:trPr>
          <w:trHeight w:val="300"/>
        </w:trPr>
        <w:tc>
          <w:tcPr>
            <w:tcW w:w="1800" w:type="dxa"/>
            <w:tcMar>
              <w:left w:w="105" w:type="dxa"/>
              <w:right w:w="105" w:type="dxa"/>
            </w:tcMar>
            <w:vAlign w:val="center"/>
          </w:tcPr>
          <w:p w14:paraId="2B083C06" w14:textId="6E80821B" w:rsidR="00507C43" w:rsidRPr="00B450EB" w:rsidRDefault="008950F1" w:rsidP="00024A81">
            <w:pPr>
              <w:widowControl w:val="0"/>
              <w:spacing w:line="276" w:lineRule="auto"/>
              <w:jc w:val="center"/>
              <w:rPr>
                <w:rFonts w:eastAsia="Verdana" w:cs="Arial"/>
                <w:sz w:val="18"/>
                <w:szCs w:val="18"/>
              </w:rPr>
            </w:pPr>
            <w:r w:rsidRPr="00B450EB">
              <w:rPr>
                <w:rFonts w:eastAsia="Verdana" w:cs="Arial"/>
                <w:sz w:val="18"/>
                <w:szCs w:val="18"/>
              </w:rPr>
              <w:t>P</w:t>
            </w:r>
            <w:r w:rsidR="00507C43" w:rsidRPr="00B450EB">
              <w:rPr>
                <w:rFonts w:eastAsia="Verdana" w:cs="Arial"/>
                <w:sz w:val="18"/>
                <w:szCs w:val="18"/>
              </w:rPr>
              <w:t>reoperativa</w:t>
            </w:r>
          </w:p>
        </w:tc>
        <w:tc>
          <w:tcPr>
            <w:tcW w:w="1800" w:type="dxa"/>
            <w:tcMar>
              <w:left w:w="105" w:type="dxa"/>
              <w:right w:w="105" w:type="dxa"/>
            </w:tcMar>
            <w:vAlign w:val="center"/>
          </w:tcPr>
          <w:p w14:paraId="75F37709" w14:textId="77777777" w:rsidR="00507C43" w:rsidRPr="00B450EB" w:rsidRDefault="00507C43" w:rsidP="00024A81">
            <w:pPr>
              <w:widowControl w:val="0"/>
              <w:spacing w:line="276" w:lineRule="auto"/>
              <w:jc w:val="center"/>
              <w:rPr>
                <w:rFonts w:eastAsia="Verdana" w:cs="Arial"/>
                <w:sz w:val="18"/>
                <w:szCs w:val="18"/>
              </w:rPr>
            </w:pPr>
            <w:r w:rsidRPr="00B450EB">
              <w:rPr>
                <w:rFonts w:eastAsia="Verdana" w:cs="Arial"/>
                <w:sz w:val="18"/>
                <w:szCs w:val="18"/>
              </w:rPr>
              <w:t>Planificación del desarrollo del campo</w:t>
            </w:r>
          </w:p>
        </w:tc>
        <w:tc>
          <w:tcPr>
            <w:tcW w:w="5700" w:type="dxa"/>
            <w:tcMar>
              <w:left w:w="105" w:type="dxa"/>
              <w:right w:w="105" w:type="dxa"/>
            </w:tcMar>
            <w:vAlign w:val="center"/>
          </w:tcPr>
          <w:p w14:paraId="182A91B4" w14:textId="77777777" w:rsidR="00507C43" w:rsidRPr="00B450EB" w:rsidRDefault="00507C43" w:rsidP="00024A81">
            <w:pPr>
              <w:widowControl w:val="0"/>
              <w:spacing w:line="276" w:lineRule="auto"/>
              <w:jc w:val="left"/>
              <w:rPr>
                <w:rFonts w:eastAsia="Verdana" w:cs="Arial"/>
                <w:sz w:val="18"/>
                <w:szCs w:val="18"/>
              </w:rPr>
            </w:pPr>
            <w:r w:rsidRPr="00B450EB">
              <w:rPr>
                <w:rFonts w:eastAsia="Verdana" w:cs="Arial"/>
                <w:sz w:val="18"/>
                <w:szCs w:val="18"/>
              </w:rPr>
              <w:t>Establecimiento bases de diseño para el desarrollo del campo</w:t>
            </w:r>
          </w:p>
          <w:p w14:paraId="34245C91" w14:textId="77777777" w:rsidR="00507C43" w:rsidRPr="00B450EB" w:rsidRDefault="00507C43" w:rsidP="00024A81">
            <w:pPr>
              <w:widowControl w:val="0"/>
              <w:spacing w:line="276" w:lineRule="auto"/>
              <w:jc w:val="left"/>
              <w:rPr>
                <w:rFonts w:eastAsia="Verdana" w:cs="Arial"/>
                <w:sz w:val="18"/>
                <w:szCs w:val="18"/>
              </w:rPr>
            </w:pPr>
            <w:r w:rsidRPr="00B450EB">
              <w:rPr>
                <w:rFonts w:eastAsia="Verdana" w:cs="Arial"/>
                <w:sz w:val="18"/>
                <w:szCs w:val="18"/>
              </w:rPr>
              <w:t>Definición de tecnología de producción</w:t>
            </w:r>
          </w:p>
          <w:p w14:paraId="71FFE6A9" w14:textId="77777777" w:rsidR="00507C43" w:rsidRPr="00B450EB" w:rsidRDefault="00507C43" w:rsidP="00024A81">
            <w:pPr>
              <w:widowControl w:val="0"/>
              <w:spacing w:line="276" w:lineRule="auto"/>
              <w:jc w:val="left"/>
              <w:rPr>
                <w:rFonts w:eastAsia="Verdana" w:cs="Arial"/>
                <w:sz w:val="18"/>
                <w:szCs w:val="18"/>
              </w:rPr>
            </w:pPr>
            <w:r w:rsidRPr="00B450EB">
              <w:rPr>
                <w:rFonts w:eastAsia="Verdana" w:cs="Arial"/>
                <w:sz w:val="18"/>
                <w:szCs w:val="18"/>
              </w:rPr>
              <w:t>Número y características de pozos a perforar (explotación)</w:t>
            </w:r>
          </w:p>
          <w:p w14:paraId="0140E63F" w14:textId="77777777" w:rsidR="00507C43" w:rsidRPr="00B450EB" w:rsidRDefault="00507C43" w:rsidP="00024A81">
            <w:pPr>
              <w:widowControl w:val="0"/>
              <w:spacing w:line="276" w:lineRule="auto"/>
              <w:jc w:val="left"/>
              <w:rPr>
                <w:rFonts w:eastAsia="Verdana" w:cs="Arial"/>
                <w:sz w:val="18"/>
                <w:szCs w:val="18"/>
              </w:rPr>
            </w:pPr>
            <w:r w:rsidRPr="00B450EB">
              <w:rPr>
                <w:rFonts w:eastAsia="Verdana" w:cs="Arial"/>
                <w:sz w:val="18"/>
                <w:szCs w:val="18"/>
              </w:rPr>
              <w:t>Requerimientos de instalaciones en superficie</w:t>
            </w:r>
          </w:p>
          <w:p w14:paraId="31CDB450" w14:textId="77777777" w:rsidR="00507C43" w:rsidRPr="00B450EB" w:rsidRDefault="00507C43" w:rsidP="00024A81">
            <w:pPr>
              <w:widowControl w:val="0"/>
              <w:spacing w:line="276" w:lineRule="auto"/>
              <w:jc w:val="left"/>
              <w:rPr>
                <w:rFonts w:eastAsia="Verdana" w:cs="Arial"/>
                <w:sz w:val="18"/>
                <w:szCs w:val="18"/>
              </w:rPr>
            </w:pPr>
            <w:r w:rsidRPr="00B450EB">
              <w:rPr>
                <w:rFonts w:eastAsia="Verdana" w:cs="Arial"/>
                <w:sz w:val="18"/>
                <w:szCs w:val="18"/>
              </w:rPr>
              <w:t>Planificación ambiental (impactos, análisis de riesgos, evaluación económica de los impactos, zonificación) plan de contingencias y desmantelamiento</w:t>
            </w:r>
          </w:p>
        </w:tc>
      </w:tr>
      <w:tr w:rsidR="00205915" w:rsidRPr="00B450EB" w14:paraId="68F101EA" w14:textId="77777777" w:rsidTr="008950F1">
        <w:trPr>
          <w:trHeight w:val="300"/>
        </w:trPr>
        <w:tc>
          <w:tcPr>
            <w:tcW w:w="1800" w:type="dxa"/>
            <w:vMerge w:val="restart"/>
            <w:tcMar>
              <w:left w:w="105" w:type="dxa"/>
              <w:right w:w="105" w:type="dxa"/>
            </w:tcMar>
            <w:vAlign w:val="center"/>
          </w:tcPr>
          <w:p w14:paraId="648E0D8D" w14:textId="04F21725" w:rsidR="008950F1" w:rsidRPr="00B450EB" w:rsidRDefault="008950F1" w:rsidP="00024A81">
            <w:pPr>
              <w:widowControl w:val="0"/>
              <w:spacing w:line="276" w:lineRule="auto"/>
              <w:jc w:val="center"/>
              <w:rPr>
                <w:rFonts w:eastAsia="Verdana" w:cs="Arial"/>
                <w:sz w:val="18"/>
                <w:szCs w:val="18"/>
              </w:rPr>
            </w:pPr>
            <w:r w:rsidRPr="00B450EB">
              <w:rPr>
                <w:rFonts w:eastAsia="Verdana" w:cs="Arial"/>
                <w:sz w:val="18"/>
                <w:szCs w:val="18"/>
              </w:rPr>
              <w:t>Operativa</w:t>
            </w:r>
          </w:p>
        </w:tc>
        <w:tc>
          <w:tcPr>
            <w:tcW w:w="1800" w:type="dxa"/>
            <w:tcMar>
              <w:left w:w="105" w:type="dxa"/>
              <w:right w:w="105" w:type="dxa"/>
            </w:tcMar>
            <w:vAlign w:val="center"/>
          </w:tcPr>
          <w:p w14:paraId="38AAC0E0" w14:textId="77777777" w:rsidR="008950F1" w:rsidRPr="00B450EB" w:rsidRDefault="008950F1" w:rsidP="00024A81">
            <w:pPr>
              <w:widowControl w:val="0"/>
              <w:spacing w:line="276" w:lineRule="auto"/>
              <w:jc w:val="center"/>
              <w:rPr>
                <w:rFonts w:eastAsia="Verdana" w:cs="Arial"/>
                <w:sz w:val="18"/>
                <w:szCs w:val="18"/>
              </w:rPr>
            </w:pPr>
            <w:r w:rsidRPr="00B450EB">
              <w:rPr>
                <w:rFonts w:eastAsia="Verdana" w:cs="Arial"/>
                <w:sz w:val="18"/>
                <w:szCs w:val="18"/>
              </w:rPr>
              <w:t>Construcción</w:t>
            </w:r>
          </w:p>
        </w:tc>
        <w:tc>
          <w:tcPr>
            <w:tcW w:w="5700" w:type="dxa"/>
            <w:tcMar>
              <w:left w:w="105" w:type="dxa"/>
              <w:right w:w="105" w:type="dxa"/>
            </w:tcMar>
            <w:vAlign w:val="center"/>
          </w:tcPr>
          <w:p w14:paraId="09B62560"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Ejecución de obras civiles (vías y locaciones de pozos, instalaciones de apoyo, talleres, etc.…)</w:t>
            </w:r>
          </w:p>
          <w:p w14:paraId="2BC478BE"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Perforación de pozos</w:t>
            </w:r>
          </w:p>
          <w:p w14:paraId="2B58D296"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Tendido líneas de flujo</w:t>
            </w:r>
          </w:p>
          <w:p w14:paraId="09939BDD"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 xml:space="preserve">Construcción de facilidades en superficie (almacenamiento, líneas </w:t>
            </w:r>
            <w:r w:rsidRPr="00B450EB">
              <w:rPr>
                <w:rFonts w:eastAsia="Verdana" w:cs="Arial"/>
                <w:sz w:val="18"/>
                <w:szCs w:val="18"/>
              </w:rPr>
              <w:lastRenderedPageBreak/>
              <w:t>de conducción, facilidades de recuperación secundaria y mejorada)</w:t>
            </w:r>
          </w:p>
          <w:p w14:paraId="7ECF18D1"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Construcción de sistemas de manejo, tratamiento y disposición final</w:t>
            </w:r>
          </w:p>
          <w:p w14:paraId="69F7F838"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Construcción de redes de servicio (agua y energía)</w:t>
            </w:r>
          </w:p>
          <w:p w14:paraId="68FA6491"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Restauración abandono de actividades</w:t>
            </w:r>
          </w:p>
        </w:tc>
      </w:tr>
      <w:tr w:rsidR="00205915" w:rsidRPr="00B450EB" w14:paraId="26CBC3AA" w14:textId="77777777" w:rsidTr="008950F1">
        <w:trPr>
          <w:trHeight w:val="300"/>
        </w:trPr>
        <w:tc>
          <w:tcPr>
            <w:tcW w:w="1800" w:type="dxa"/>
            <w:vMerge/>
            <w:tcMar>
              <w:left w:w="105" w:type="dxa"/>
              <w:right w:w="105" w:type="dxa"/>
            </w:tcMar>
            <w:vAlign w:val="center"/>
          </w:tcPr>
          <w:p w14:paraId="00E355CA" w14:textId="77777777" w:rsidR="008950F1" w:rsidRPr="00B450EB" w:rsidRDefault="008950F1" w:rsidP="00024A81">
            <w:pPr>
              <w:spacing w:line="276" w:lineRule="auto"/>
              <w:jc w:val="center"/>
              <w:rPr>
                <w:rFonts w:cs="Arial"/>
                <w:sz w:val="18"/>
                <w:szCs w:val="18"/>
              </w:rPr>
            </w:pPr>
          </w:p>
        </w:tc>
        <w:tc>
          <w:tcPr>
            <w:tcW w:w="1800" w:type="dxa"/>
            <w:tcMar>
              <w:left w:w="105" w:type="dxa"/>
              <w:right w:w="105" w:type="dxa"/>
            </w:tcMar>
            <w:vAlign w:val="center"/>
          </w:tcPr>
          <w:p w14:paraId="2C5EC973" w14:textId="77777777" w:rsidR="008950F1" w:rsidRPr="00B450EB" w:rsidRDefault="008950F1" w:rsidP="00024A81">
            <w:pPr>
              <w:widowControl w:val="0"/>
              <w:spacing w:line="276" w:lineRule="auto"/>
              <w:jc w:val="center"/>
              <w:rPr>
                <w:rFonts w:eastAsia="Verdana" w:cs="Arial"/>
                <w:sz w:val="18"/>
                <w:szCs w:val="18"/>
              </w:rPr>
            </w:pPr>
            <w:r w:rsidRPr="00B450EB">
              <w:rPr>
                <w:rFonts w:eastAsia="Verdana" w:cs="Arial"/>
                <w:sz w:val="18"/>
                <w:szCs w:val="18"/>
              </w:rPr>
              <w:t>Operación y mantenimiento</w:t>
            </w:r>
          </w:p>
        </w:tc>
        <w:tc>
          <w:tcPr>
            <w:tcW w:w="5700" w:type="dxa"/>
            <w:tcMar>
              <w:left w:w="105" w:type="dxa"/>
              <w:right w:w="105" w:type="dxa"/>
            </w:tcMar>
            <w:vAlign w:val="center"/>
          </w:tcPr>
          <w:p w14:paraId="4B631AEB"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Explotación (extracción de los hidrocarburos)</w:t>
            </w:r>
          </w:p>
          <w:p w14:paraId="340C7C0E"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Tratamiento en superficie de los fluidos de perforación</w:t>
            </w:r>
          </w:p>
          <w:p w14:paraId="5DFFFC9A"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Manejo, tratamiento y disposición de residuos</w:t>
            </w:r>
          </w:p>
          <w:p w14:paraId="408A7FC7"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Mantenimiento de instalaciones</w:t>
            </w:r>
          </w:p>
          <w:p w14:paraId="1C54DB59"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Almacenamiento y transporte</w:t>
            </w:r>
          </w:p>
          <w:p w14:paraId="7E6FA7F1"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Venta de productos</w:t>
            </w:r>
          </w:p>
          <w:p w14:paraId="1C8AB4C0"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Restauración de áreas afectadas</w:t>
            </w:r>
          </w:p>
          <w:p w14:paraId="1044E852"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 xml:space="preserve">Actividades de </w:t>
            </w:r>
            <w:r w:rsidRPr="00B450EB">
              <w:rPr>
                <w:rFonts w:eastAsia="Verdana" w:cs="Arial"/>
                <w:i/>
                <w:iCs/>
                <w:sz w:val="18"/>
                <w:szCs w:val="18"/>
              </w:rPr>
              <w:t>WORKOVER</w:t>
            </w:r>
          </w:p>
          <w:p w14:paraId="3E91389A"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Proyectos de reutilización</w:t>
            </w:r>
          </w:p>
          <w:p w14:paraId="6435493B"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Ejecución de proyectos para incrementar o mantener la producción</w:t>
            </w:r>
          </w:p>
          <w:p w14:paraId="6B473BBD"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Monitoreo y seguimiento</w:t>
            </w:r>
          </w:p>
        </w:tc>
      </w:tr>
      <w:tr w:rsidR="00205915" w:rsidRPr="00B450EB" w14:paraId="4EC8EC95" w14:textId="77777777" w:rsidTr="008950F1">
        <w:trPr>
          <w:trHeight w:val="300"/>
        </w:trPr>
        <w:tc>
          <w:tcPr>
            <w:tcW w:w="1800" w:type="dxa"/>
            <w:vMerge w:val="restart"/>
            <w:tcMar>
              <w:left w:w="105" w:type="dxa"/>
              <w:right w:w="105" w:type="dxa"/>
            </w:tcMar>
            <w:vAlign w:val="center"/>
          </w:tcPr>
          <w:p w14:paraId="721E09ED" w14:textId="77777777" w:rsidR="008950F1" w:rsidRPr="00B450EB" w:rsidRDefault="008950F1" w:rsidP="00024A81">
            <w:pPr>
              <w:widowControl w:val="0"/>
              <w:spacing w:line="276" w:lineRule="auto"/>
              <w:jc w:val="center"/>
              <w:rPr>
                <w:rFonts w:eastAsia="Verdana" w:cs="Arial"/>
                <w:sz w:val="18"/>
                <w:szCs w:val="18"/>
              </w:rPr>
            </w:pPr>
            <w:proofErr w:type="spellStart"/>
            <w:r w:rsidRPr="00B450EB">
              <w:rPr>
                <w:rFonts w:eastAsia="Verdana" w:cs="Arial"/>
                <w:sz w:val="18"/>
                <w:szCs w:val="18"/>
              </w:rPr>
              <w:t>Post-operativa</w:t>
            </w:r>
            <w:proofErr w:type="spellEnd"/>
          </w:p>
        </w:tc>
        <w:tc>
          <w:tcPr>
            <w:tcW w:w="1800" w:type="dxa"/>
            <w:tcMar>
              <w:left w:w="105" w:type="dxa"/>
              <w:right w:w="105" w:type="dxa"/>
            </w:tcMar>
            <w:vAlign w:val="center"/>
          </w:tcPr>
          <w:p w14:paraId="056FB9A5" w14:textId="77777777" w:rsidR="008950F1" w:rsidRPr="00B450EB" w:rsidRDefault="008950F1" w:rsidP="00024A81">
            <w:pPr>
              <w:widowControl w:val="0"/>
              <w:spacing w:line="276" w:lineRule="auto"/>
              <w:jc w:val="center"/>
              <w:rPr>
                <w:rFonts w:eastAsia="Verdana" w:cs="Arial"/>
                <w:sz w:val="18"/>
                <w:szCs w:val="18"/>
              </w:rPr>
            </w:pPr>
            <w:r w:rsidRPr="00B450EB">
              <w:rPr>
                <w:rFonts w:eastAsia="Verdana" w:cs="Arial"/>
                <w:sz w:val="18"/>
                <w:szCs w:val="18"/>
              </w:rPr>
              <w:t>Preparación para el cierre de la operación</w:t>
            </w:r>
          </w:p>
        </w:tc>
        <w:tc>
          <w:tcPr>
            <w:tcW w:w="5700" w:type="dxa"/>
            <w:tcMar>
              <w:left w:w="105" w:type="dxa"/>
              <w:right w:w="105" w:type="dxa"/>
            </w:tcMar>
            <w:vAlign w:val="center"/>
          </w:tcPr>
          <w:p w14:paraId="2A319BD3"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Planificación de la atención de derrames de la operación</w:t>
            </w:r>
          </w:p>
          <w:p w14:paraId="4C33BFEC"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solución de sitios impactados y deudas sociales (informar a las comunidades y autoridades respectivas)</w:t>
            </w:r>
          </w:p>
          <w:p w14:paraId="7856AB81"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Manejo, tratamiento y disposición de residuos (para residuos líquidos según Resolución 631de 2018)</w:t>
            </w:r>
          </w:p>
          <w:p w14:paraId="2FFE6DD9"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Monitoreo y seguimiento</w:t>
            </w:r>
          </w:p>
        </w:tc>
      </w:tr>
      <w:tr w:rsidR="008950F1" w:rsidRPr="00B450EB" w14:paraId="4899AF79" w14:textId="77777777" w:rsidTr="008950F1">
        <w:trPr>
          <w:trHeight w:val="300"/>
        </w:trPr>
        <w:tc>
          <w:tcPr>
            <w:tcW w:w="1800" w:type="dxa"/>
            <w:vMerge/>
            <w:tcMar>
              <w:left w:w="105" w:type="dxa"/>
              <w:right w:w="105" w:type="dxa"/>
            </w:tcMar>
            <w:vAlign w:val="center"/>
          </w:tcPr>
          <w:p w14:paraId="0D28E64D" w14:textId="77777777" w:rsidR="008950F1" w:rsidRPr="00B450EB" w:rsidRDefault="008950F1" w:rsidP="00024A81">
            <w:pPr>
              <w:spacing w:line="276" w:lineRule="auto"/>
              <w:jc w:val="center"/>
              <w:rPr>
                <w:rFonts w:cs="Arial"/>
                <w:sz w:val="18"/>
                <w:szCs w:val="18"/>
              </w:rPr>
            </w:pPr>
          </w:p>
        </w:tc>
        <w:tc>
          <w:tcPr>
            <w:tcW w:w="1800" w:type="dxa"/>
            <w:tcMar>
              <w:left w:w="105" w:type="dxa"/>
              <w:right w:w="105" w:type="dxa"/>
            </w:tcMar>
            <w:vAlign w:val="center"/>
          </w:tcPr>
          <w:p w14:paraId="7517C71A" w14:textId="77777777" w:rsidR="008950F1" w:rsidRPr="00B450EB" w:rsidRDefault="008950F1" w:rsidP="00024A81">
            <w:pPr>
              <w:widowControl w:val="0"/>
              <w:spacing w:line="276" w:lineRule="auto"/>
              <w:jc w:val="center"/>
              <w:rPr>
                <w:rFonts w:eastAsia="Verdana" w:cs="Arial"/>
                <w:sz w:val="18"/>
                <w:szCs w:val="18"/>
              </w:rPr>
            </w:pPr>
            <w:r w:rsidRPr="00B450EB">
              <w:rPr>
                <w:rFonts w:eastAsia="Verdana" w:cs="Arial"/>
                <w:sz w:val="18"/>
                <w:szCs w:val="18"/>
              </w:rPr>
              <w:t>Restauración y abandono</w:t>
            </w:r>
          </w:p>
        </w:tc>
        <w:tc>
          <w:tcPr>
            <w:tcW w:w="5700" w:type="dxa"/>
            <w:tcMar>
              <w:left w:w="105" w:type="dxa"/>
              <w:right w:w="105" w:type="dxa"/>
            </w:tcMar>
            <w:vAlign w:val="center"/>
          </w:tcPr>
          <w:p w14:paraId="2C3E13F4"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Desmantelamiento de instalaciones</w:t>
            </w:r>
          </w:p>
          <w:p w14:paraId="64903382"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Limpieza y restauración de áreas afectadas</w:t>
            </w:r>
          </w:p>
          <w:p w14:paraId="0B14E117"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Recuperación paisajística</w:t>
            </w:r>
          </w:p>
          <w:p w14:paraId="3B0BE12F"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Manejo, tratamiento y disposición de residuos</w:t>
            </w:r>
          </w:p>
          <w:p w14:paraId="51CA99E5"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Monitoreo y seguimiento</w:t>
            </w:r>
          </w:p>
          <w:p w14:paraId="647ECD84"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Evaluación ex - post</w:t>
            </w:r>
          </w:p>
          <w:p w14:paraId="6F9F2D4C" w14:textId="77777777" w:rsidR="008950F1" w:rsidRPr="00B450EB" w:rsidRDefault="008950F1" w:rsidP="00024A81">
            <w:pPr>
              <w:widowControl w:val="0"/>
              <w:spacing w:line="276" w:lineRule="auto"/>
              <w:jc w:val="left"/>
              <w:rPr>
                <w:rFonts w:eastAsia="Verdana" w:cs="Arial"/>
                <w:sz w:val="18"/>
                <w:szCs w:val="18"/>
              </w:rPr>
            </w:pPr>
            <w:r w:rsidRPr="00B450EB">
              <w:rPr>
                <w:rFonts w:eastAsia="Verdana" w:cs="Arial"/>
                <w:sz w:val="18"/>
                <w:szCs w:val="18"/>
              </w:rPr>
              <w:t>Entrega del área</w:t>
            </w:r>
          </w:p>
        </w:tc>
      </w:tr>
    </w:tbl>
    <w:p w14:paraId="4AEDA054" w14:textId="77777777" w:rsidR="00507C43" w:rsidRPr="00B450EB" w:rsidRDefault="00507C43" w:rsidP="00507C43">
      <w:pPr>
        <w:spacing w:before="21"/>
        <w:rPr>
          <w:rFonts w:eastAsia="Verdana" w:cs="Arial"/>
        </w:rPr>
      </w:pPr>
    </w:p>
    <w:p w14:paraId="192C9B86" w14:textId="77777777" w:rsidR="00507C43" w:rsidRPr="00B450EB" w:rsidRDefault="00507C43" w:rsidP="00507C43">
      <w:pPr>
        <w:spacing w:before="21"/>
        <w:rPr>
          <w:rFonts w:eastAsia="Verdana" w:cs="Arial"/>
          <w:lang w:val="es-ES"/>
        </w:rPr>
      </w:pPr>
      <w:r w:rsidRPr="00B450EB">
        <w:rPr>
          <w:rFonts w:eastAsia="Verdana" w:cs="Arial"/>
        </w:rPr>
        <w:t xml:space="preserve">Las actividades de construcción, perforación y operacionales de explotación de hidrocarburos generan diversos impactos ambientales en los recursos naturales renovables (Agua, Suelo y Aire) y los ecosistemas, que corresponden a modificaciones en las condiciones y calidad de los recursos naturales renovables y las dinámicas socioambientales del área donde se desarrollan los proyectos. </w:t>
      </w:r>
    </w:p>
    <w:p w14:paraId="5F571176" w14:textId="77777777" w:rsidR="00507C43" w:rsidRPr="00B450EB" w:rsidRDefault="00507C43" w:rsidP="00507C43">
      <w:pPr>
        <w:spacing w:before="21"/>
        <w:rPr>
          <w:rFonts w:eastAsia="Verdana" w:cs="Arial"/>
          <w:lang w:val="es-ES"/>
        </w:rPr>
      </w:pPr>
      <w:r w:rsidRPr="00B450EB">
        <w:rPr>
          <w:rFonts w:eastAsia="Verdana" w:cs="Arial"/>
        </w:rPr>
        <w:t xml:space="preserve">Los efectos ambientales negativos de la extracción de hidrocarburos incluyen la transformación de ecosistemas, la contaminación de fuentes hídricas y la emisión de GEI. La actividad tiene impactos en las zonas boscosas, principalmente a través de su infraestructura de transporte y conducción por ductos de hidrocarburos líquidos y gaseosos, la construcción de pozos y facilidades de procesamiento, las áreas de almacenamiento y la construcción o adecuación de vías de acceso a los puntos de exploración, explotación o facilidades centrales de procesamiento del hidrocarburo. </w:t>
      </w:r>
    </w:p>
    <w:p w14:paraId="2A45B509" w14:textId="77777777" w:rsidR="00507C43" w:rsidRPr="00B450EB" w:rsidRDefault="00507C43" w:rsidP="00507C43">
      <w:pPr>
        <w:spacing w:before="21"/>
        <w:rPr>
          <w:rFonts w:eastAsia="Verdana" w:cs="Arial"/>
          <w:lang w:val="es-ES"/>
        </w:rPr>
      </w:pPr>
      <w:r w:rsidRPr="00B450EB">
        <w:rPr>
          <w:rFonts w:eastAsia="Verdana" w:cs="Arial"/>
        </w:rPr>
        <w:t xml:space="preserve">Adicionalmente, las zonas de producción de hidrocarburos suelen convertirse en fuertes polos de atracción de población que busca empleo o provee servicios a los </w:t>
      </w:r>
      <w:r w:rsidRPr="00B450EB">
        <w:rPr>
          <w:rFonts w:eastAsia="Verdana" w:cs="Arial"/>
        </w:rPr>
        <w:lastRenderedPageBreak/>
        <w:t>campamentos petroleros (</w:t>
      </w:r>
      <w:proofErr w:type="spellStart"/>
      <w:r w:rsidRPr="00B450EB">
        <w:rPr>
          <w:rFonts w:eastAsia="Verdana" w:cs="Arial"/>
        </w:rPr>
        <w:t>Dureau</w:t>
      </w:r>
      <w:proofErr w:type="spellEnd"/>
      <w:r w:rsidRPr="00B450EB">
        <w:rPr>
          <w:rFonts w:eastAsia="Verdana" w:cs="Arial"/>
        </w:rPr>
        <w:t xml:space="preserve"> y </w:t>
      </w:r>
      <w:proofErr w:type="spellStart"/>
      <w:r w:rsidRPr="00B450EB">
        <w:rPr>
          <w:rFonts w:eastAsia="Verdana" w:cs="Arial"/>
        </w:rPr>
        <w:t>Goueset</w:t>
      </w:r>
      <w:proofErr w:type="spellEnd"/>
      <w:r w:rsidRPr="00B450EB">
        <w:rPr>
          <w:rFonts w:eastAsia="Verdana" w:cs="Arial"/>
        </w:rPr>
        <w:t>, 2001</w:t>
      </w:r>
      <w:r w:rsidRPr="00B450EB">
        <w:rPr>
          <w:rFonts w:eastAsia="Verdana" w:cs="Arial"/>
          <w:vertAlign w:val="superscript"/>
        </w:rPr>
        <w:t>4</w:t>
      </w:r>
      <w:r w:rsidRPr="00B450EB">
        <w:rPr>
          <w:rFonts w:eastAsia="Verdana" w:cs="Arial"/>
        </w:rPr>
        <w:t>), fenómenos de inmigración, modificaciones en el empleo, cambios en las dinámicas económicas y en las dinámicas sociales, entre otras. Este crecimiento poblacional no controlado se traduce en mayores impactos sobre los bosques aledaños a las áreas de explotación (impactos ambientales indirectos de los proyectos de hidrocarburos), los cuales en muchos casos pueden superar el impacto directo del establecimiento del pozo o en general de los proyectos de hidrocarburos (EAE ANA, 2021</w:t>
      </w:r>
      <w:r w:rsidRPr="00B450EB">
        <w:rPr>
          <w:rFonts w:eastAsia="Verdana" w:cs="Arial"/>
          <w:vertAlign w:val="superscript"/>
        </w:rPr>
        <w:t>5</w:t>
      </w:r>
      <w:r w:rsidRPr="00B450EB">
        <w:rPr>
          <w:rFonts w:eastAsia="Verdana" w:cs="Arial"/>
        </w:rPr>
        <w:t>).</w:t>
      </w:r>
    </w:p>
    <w:p w14:paraId="4F3ED397" w14:textId="77777777" w:rsidR="00507C43" w:rsidRPr="00B450EB" w:rsidRDefault="00507C43" w:rsidP="00B101B6">
      <w:pPr>
        <w:rPr>
          <w:rFonts w:eastAsia="Verdana"/>
          <w:i/>
          <w:lang w:val="es-ES"/>
        </w:rPr>
      </w:pPr>
      <w:r w:rsidRPr="00B450EB">
        <w:rPr>
          <w:i/>
        </w:rPr>
        <w:t>El petróleo como sustancia contaminante</w:t>
      </w:r>
    </w:p>
    <w:p w14:paraId="38481FF9" w14:textId="77777777" w:rsidR="00507C43" w:rsidRPr="00B450EB" w:rsidRDefault="00507C43" w:rsidP="00507C43">
      <w:pPr>
        <w:spacing w:before="21"/>
        <w:rPr>
          <w:rFonts w:eastAsia="Verdana" w:cs="Arial"/>
          <w:lang w:val="es-ES"/>
        </w:rPr>
      </w:pPr>
      <w:r w:rsidRPr="00B450EB">
        <w:rPr>
          <w:rFonts w:eastAsia="Verdana" w:cs="Arial"/>
        </w:rPr>
        <w:t>Muchos de los componentes del petróleo son químicamente estables, y no se metabolizan o son excretados parcialmente una vez absorbidos por los seres vivos, que, al formar parte de la cadena trófica, la afectan y restringen la posibilidad de ser aprovechados por el hombre, situaciones continuamente denunciadas por las comunidades que realizan faenas de pesca en los cuerpos hídricos comprometidos. La problemática descrita se acentúa, teniendo en cuenta que los hidrocarburos aromáticos son altamente tóxicos, estos compuestos causan irritación local del sistema respiratorio y excitación del sistema nervioso, algunos pueden ser mutagénicos, carcinógenos o teratogénicos, en especial los aromáticos policíclicos.</w:t>
      </w:r>
    </w:p>
    <w:p w14:paraId="41FF5E50" w14:textId="77777777" w:rsidR="00507C43" w:rsidRPr="00B450EB" w:rsidRDefault="00507C43" w:rsidP="00507C43">
      <w:pPr>
        <w:spacing w:before="21"/>
        <w:rPr>
          <w:rFonts w:eastAsia="Verdana" w:cs="Arial"/>
          <w:lang w:val="es-ES"/>
        </w:rPr>
      </w:pPr>
      <w:r w:rsidRPr="00B450EB">
        <w:rPr>
          <w:rFonts w:eastAsia="Verdana" w:cs="Arial"/>
        </w:rPr>
        <w:t>En gran parte de los ecosistemas afectados, los derrames de hidrocarburos afectan formas de vida muy diversas y de gran complejidad, causan mortalidad de peces, aves, otras especies menores y aquellas que no son visibles para nuestra vista (fauna microbiológica); adicionalmente, en general, hay una marcada afectación de la comunidad y las actividades antrópicas del área afectada. Esta condición en este medio obliga a revisar y asegurar tanto las labores de explotación como de transporte, que son las etapas en las cuales con mayor frecuencia se presentan las pérdidas de contención en el sector hidrocarburos.</w:t>
      </w:r>
    </w:p>
    <w:p w14:paraId="7CD1E825" w14:textId="77777777" w:rsidR="00507C43" w:rsidRPr="00B450EB" w:rsidRDefault="00507C43" w:rsidP="00507C43">
      <w:pPr>
        <w:spacing w:before="21"/>
        <w:rPr>
          <w:rFonts w:eastAsia="Verdana" w:cs="Arial"/>
          <w:lang w:val="es-ES"/>
        </w:rPr>
      </w:pPr>
      <w:r w:rsidRPr="00B450EB">
        <w:rPr>
          <w:rFonts w:eastAsia="Verdana" w:cs="Arial"/>
        </w:rPr>
        <w:t>Los impactos de las descargas de petróleo dependen de sus características, las cantidades, las circunstancias del derrame (p. ej., las condiciones climáticas, las características del suelo) y las características específicas del ecosistema (p. ej., cobertura vegetal, quebradas, ríos, humedal). Existe amplia evidencia de que los derrames, incluso, de cantidades relativamente pequeñas de petróleo, como las cantidades comúnmente transportada en vehículos, en aguas o áreas con actividades agrícolas o pecuarias pueden tener impactos adversos significativos en el suelo, la vegetación y la vida silvestre.</w:t>
      </w:r>
    </w:p>
    <w:p w14:paraId="1BC3BF6A" w14:textId="77777777" w:rsidR="00507C43" w:rsidRPr="00B450EB" w:rsidRDefault="00507C43" w:rsidP="00B101B6">
      <w:pPr>
        <w:rPr>
          <w:rFonts w:eastAsia="Verdana"/>
          <w:i/>
          <w:lang w:val="es-ES"/>
        </w:rPr>
      </w:pPr>
      <w:r w:rsidRPr="00B450EB">
        <w:rPr>
          <w:i/>
        </w:rPr>
        <w:t xml:space="preserve">Aceleración de la deforestación </w:t>
      </w:r>
    </w:p>
    <w:p w14:paraId="3F93159B" w14:textId="77777777" w:rsidR="00507C43" w:rsidRPr="00B450EB" w:rsidRDefault="00507C43" w:rsidP="00507C43">
      <w:pPr>
        <w:spacing w:before="21"/>
        <w:rPr>
          <w:rFonts w:eastAsia="Verdana" w:cs="Arial"/>
          <w:lang w:val="es-ES"/>
        </w:rPr>
      </w:pPr>
      <w:r w:rsidRPr="00B450EB">
        <w:rPr>
          <w:rFonts w:eastAsia="Verdana" w:cs="Arial"/>
        </w:rPr>
        <w:t xml:space="preserve">La deforestación asociada a la construcción de infraestructura para la explotación de hidrocarburos altera los suelos de la región. La remoción de la capa forestal deja </w:t>
      </w:r>
      <w:r w:rsidRPr="00B450EB">
        <w:rPr>
          <w:rFonts w:eastAsia="Verdana" w:cs="Arial"/>
        </w:rPr>
        <w:lastRenderedPageBreak/>
        <w:t xml:space="preserve">el suelo expuesto a la erosión, lo que incrementa la sedimentación en cuerpos de agua cercanos y afecta la estabilidad del ecosistema. </w:t>
      </w:r>
    </w:p>
    <w:p w14:paraId="08B0BBD2" w14:textId="77777777" w:rsidR="00507C43" w:rsidRPr="00B450EB" w:rsidRDefault="00507C43" w:rsidP="00507C43">
      <w:pPr>
        <w:spacing w:before="21"/>
        <w:rPr>
          <w:rFonts w:eastAsia="Verdana" w:cs="Arial"/>
          <w:lang w:val="es-ES"/>
        </w:rPr>
      </w:pPr>
      <w:r w:rsidRPr="00B450EB">
        <w:rPr>
          <w:rFonts w:eastAsia="Verdana" w:cs="Arial"/>
        </w:rPr>
        <w:t>Al respecto, resulta relevante el reconocimiento que hace el Instituto Sinchi de la influencia de los proyectos de explotación de los recursos minero-energéticos, dentro de los motores de deforestación del bioma amazónico, sobre lo cual resalta:</w:t>
      </w:r>
    </w:p>
    <w:p w14:paraId="7F2218F7"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“En el marco de sus estudios para estabilizar los procesos de colonización y la expansión de la frontera agropecuaria sobre los bosques amazónicos, el Instituto Sinchi ha llevado a cabo diversos estudios sobre los motores de la deforestación. En 2015, se realizó un ejercicio específico para la identificación de los motores, agentes y causas de la deforestación en el departamento del Putumayo, específicamente en el Valle del Sibundoy, abarcando los municipios de </w:t>
      </w:r>
      <w:proofErr w:type="spellStart"/>
      <w:r w:rsidRPr="00B450EB">
        <w:rPr>
          <w:rFonts w:eastAsia="Verdana" w:cs="Arial"/>
          <w:i/>
          <w:iCs/>
        </w:rPr>
        <w:t>Villagarzón</w:t>
      </w:r>
      <w:proofErr w:type="spellEnd"/>
      <w:r w:rsidRPr="00B450EB">
        <w:rPr>
          <w:rFonts w:eastAsia="Verdana" w:cs="Arial"/>
          <w:i/>
          <w:iCs/>
        </w:rPr>
        <w:t xml:space="preserve"> y Puerto </w:t>
      </w:r>
      <w:proofErr w:type="spellStart"/>
      <w:r w:rsidRPr="00B450EB">
        <w:rPr>
          <w:rFonts w:eastAsia="Verdana" w:cs="Arial"/>
          <w:i/>
          <w:iCs/>
        </w:rPr>
        <w:t>Leguízamo</w:t>
      </w:r>
      <w:proofErr w:type="spellEnd"/>
      <w:r w:rsidRPr="00B450EB">
        <w:rPr>
          <w:rFonts w:eastAsia="Verdana" w:cs="Arial"/>
          <w:i/>
          <w:iCs/>
        </w:rPr>
        <w:t xml:space="preserve">. Este estudio permitió caracterizar los factores directos e indirectos que impulsan la deforestación en esta región. En 2016, se replicó un ejercicio similar en la zona amazónica del departamento del Meta, centrado en el municipio de Vistahermosa, para profundizar en las dinámicas de deforestación en esta área. Ambos estudios, basados en un enfoque geográfico regional, subregional y local. En estos estudios se incluyó como uno de los motores la actividad de hidrocarburos. </w:t>
      </w:r>
    </w:p>
    <w:p w14:paraId="5A24A5FA"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El análisis de estos estudios en cuanto a causas directas de deforestación señala que los relictos de bosque están presionados básicamente por la ampliación de los pastos y cultivos y el aumento de la infraestructura </w:t>
      </w:r>
      <w:proofErr w:type="gramStart"/>
      <w:r w:rsidRPr="00B450EB">
        <w:rPr>
          <w:rFonts w:eastAsia="Verdana" w:cs="Arial"/>
          <w:i/>
          <w:iCs/>
        </w:rPr>
        <w:t>minero energética</w:t>
      </w:r>
      <w:proofErr w:type="gramEnd"/>
      <w:r w:rsidRPr="00B450EB">
        <w:rPr>
          <w:rFonts w:eastAsia="Verdana" w:cs="Arial"/>
          <w:i/>
          <w:iCs/>
        </w:rPr>
        <w:t xml:space="preserve"> en las zonas de mayor intervención. La ampliación de la infraestructura de los sectores minero y petrolero puede generar nuevas áreas deforestadas, directamente, pero también, parte de esta infraestructura, como las vías, se convierten en mecanismos de ocupación y transformación de los bosques.” </w:t>
      </w:r>
    </w:p>
    <w:p w14:paraId="4B00578A" w14:textId="77777777" w:rsidR="00507C43" w:rsidRPr="00B450EB" w:rsidRDefault="00507C43" w:rsidP="00507C43">
      <w:pPr>
        <w:spacing w:before="21"/>
        <w:rPr>
          <w:rFonts w:eastAsia="Verdana" w:cs="Arial"/>
          <w:lang w:val="es-ES"/>
        </w:rPr>
      </w:pPr>
      <w:r w:rsidRPr="00B450EB">
        <w:rPr>
          <w:rFonts w:eastAsia="Verdana" w:cs="Arial"/>
        </w:rPr>
        <w:t xml:space="preserve">En relación con el fenómeno de deforestación que aqueja al bioma amazónico SINCHI puntualiza: </w:t>
      </w:r>
    </w:p>
    <w:p w14:paraId="672B1C4D" w14:textId="77777777" w:rsidR="00507C43" w:rsidRPr="00B450EB" w:rsidRDefault="00507C43" w:rsidP="00507C43">
      <w:pPr>
        <w:spacing w:before="21"/>
        <w:ind w:left="708"/>
        <w:rPr>
          <w:rFonts w:eastAsia="Verdana" w:cs="Arial"/>
          <w:lang w:val="es-ES"/>
        </w:rPr>
      </w:pPr>
      <w:r w:rsidRPr="00B450EB">
        <w:rPr>
          <w:rFonts w:eastAsia="Verdana" w:cs="Arial"/>
        </w:rPr>
        <w:t>“</w:t>
      </w:r>
      <w:r w:rsidRPr="00B450EB">
        <w:rPr>
          <w:rFonts w:eastAsia="Verdana" w:cs="Arial"/>
          <w:i/>
          <w:iCs/>
        </w:rPr>
        <w:t xml:space="preserve">En el escenario extractivista, donde se considera un incremento y consolidación de este tipo de actividades, se espera la pérdida de 4.3 millones de hectáreas de bosques amazónicos al 2040 respecto al año de referencia 2016. En este escenario, se espera que la deforestación avance cerca a los ríos Caquetá, Caguán y Putumayo, provocando que grandes bloques de bosques continuos se separaran y quedaran aislados. En la región andino-amazónica, se espera un rompimiento de grandes extensiones de bosques a lo largo de la cordillera. Esto ocasionaría que los Parques Nacionales Naturales Cordillera de los Picachos, </w:t>
      </w:r>
      <w:proofErr w:type="spellStart"/>
      <w:r w:rsidRPr="00B450EB">
        <w:rPr>
          <w:rFonts w:eastAsia="Verdana" w:cs="Arial"/>
          <w:i/>
          <w:iCs/>
        </w:rPr>
        <w:t>Tinigua</w:t>
      </w:r>
      <w:proofErr w:type="spellEnd"/>
      <w:r w:rsidRPr="00B450EB">
        <w:rPr>
          <w:rFonts w:eastAsia="Verdana" w:cs="Arial"/>
          <w:i/>
          <w:iCs/>
        </w:rPr>
        <w:t xml:space="preserve"> y Sierra de la </w:t>
      </w:r>
      <w:r w:rsidRPr="00B450EB">
        <w:rPr>
          <w:rFonts w:eastAsia="Verdana" w:cs="Arial"/>
          <w:i/>
          <w:iCs/>
        </w:rPr>
        <w:lastRenderedPageBreak/>
        <w:t>Macarena se dividieran, y se interrumpiera una de las áreas más importantes de conectividad estructural entre los bosques amazónicos y andinos y de estos dos ecosistemas con las sábanas naturales de la Orinoquía.”</w:t>
      </w:r>
    </w:p>
    <w:p w14:paraId="7BE9A7A3" w14:textId="77777777" w:rsidR="00507C43" w:rsidRPr="00B450EB" w:rsidRDefault="00507C43" w:rsidP="002F45A5">
      <w:pPr>
        <w:rPr>
          <w:rFonts w:eastAsia="Verdana"/>
          <w:lang w:val="es-ES"/>
        </w:rPr>
      </w:pPr>
      <w:r w:rsidRPr="00B450EB">
        <w:t>Fragmentación</w:t>
      </w:r>
    </w:p>
    <w:p w14:paraId="4DD1071C" w14:textId="77777777" w:rsidR="00507C43" w:rsidRPr="00B450EB" w:rsidRDefault="00507C43" w:rsidP="00507C43">
      <w:pPr>
        <w:spacing w:before="21"/>
        <w:rPr>
          <w:rFonts w:eastAsia="Verdana" w:cs="Arial"/>
          <w:lang w:val="es-ES"/>
        </w:rPr>
      </w:pPr>
      <w:r w:rsidRPr="00B450EB">
        <w:rPr>
          <w:rFonts w:eastAsia="Verdana" w:cs="Arial"/>
        </w:rPr>
        <w:t>De acuerdo con un estudio realizado por el Instituto SINCHI</w:t>
      </w:r>
      <w:r w:rsidRPr="00B450EB">
        <w:rPr>
          <w:rFonts w:eastAsia="Verdana" w:cs="Arial"/>
          <w:vertAlign w:val="superscript"/>
        </w:rPr>
        <w:t>6</w:t>
      </w:r>
      <w:r w:rsidRPr="00B450EB">
        <w:rPr>
          <w:rFonts w:eastAsia="Verdana" w:cs="Arial"/>
        </w:rPr>
        <w:t>:</w:t>
      </w:r>
    </w:p>
    <w:p w14:paraId="670A906A" w14:textId="77777777" w:rsidR="00507C43" w:rsidRPr="00B450EB" w:rsidRDefault="00507C43" w:rsidP="00507C43">
      <w:pPr>
        <w:spacing w:before="21"/>
        <w:ind w:left="708"/>
        <w:rPr>
          <w:rFonts w:eastAsia="Verdana" w:cs="Arial"/>
          <w:lang w:val="es-ES"/>
        </w:rPr>
      </w:pPr>
      <w:r w:rsidRPr="00B450EB">
        <w:rPr>
          <w:rFonts w:eastAsia="Verdana" w:cs="Arial"/>
          <w:i/>
          <w:iCs/>
        </w:rPr>
        <w:t>“Para el análisis de la fragmentación en la región amazónica colombiana se tuvieron en cuenta múltiples variables, entre las que se destaca la distancia a las áreas de explotación “recursos naturales no renovables” que incluye a la minería y los hidrocarburos. … esta variable fue importante y contribuyó considerablemente en el modelo explicativo de la fragmentación en la Amazonia (</w:t>
      </w:r>
      <w:proofErr w:type="spellStart"/>
      <w:r w:rsidRPr="00B450EB">
        <w:rPr>
          <w:rFonts w:eastAsia="Verdana" w:cs="Arial"/>
          <w:i/>
          <w:iCs/>
        </w:rPr>
        <w:t>Pag.</w:t>
      </w:r>
      <w:proofErr w:type="spellEnd"/>
      <w:r w:rsidRPr="00B450EB">
        <w:rPr>
          <w:rFonts w:eastAsia="Verdana" w:cs="Arial"/>
          <w:i/>
          <w:iCs/>
        </w:rPr>
        <w:t xml:space="preserve"> 50, SINCHI 2019b).”</w:t>
      </w:r>
    </w:p>
    <w:p w14:paraId="1B532B25" w14:textId="77777777" w:rsidR="00507C43" w:rsidRPr="00B450EB" w:rsidRDefault="00507C43" w:rsidP="002F45A5">
      <w:pPr>
        <w:rPr>
          <w:lang w:val="es-ES"/>
        </w:rPr>
      </w:pPr>
      <w:r w:rsidRPr="00B450EB">
        <w:t xml:space="preserve">Sobre la explotación de hidrocarburos el documento también menciona </w:t>
      </w:r>
    </w:p>
    <w:p w14:paraId="60AAEED9" w14:textId="77777777" w:rsidR="00507C43" w:rsidRPr="00B450EB" w:rsidRDefault="00507C43" w:rsidP="002F45A5">
      <w:pPr>
        <w:rPr>
          <w:lang w:val="es-ES"/>
        </w:rPr>
      </w:pPr>
      <w:r w:rsidRPr="00B450EB">
        <w:t>“Las actividades de extracción de recursos naturales no son nuevas en la Amazonia y durante largo tiempo se dieron sin que hubiese una normatividad que las regulara, o bien esta era insuficiente para controlar de manera efectiva la actividad. En algunas zonas, la exploración de hidrocarburos funciona como vector de colonización ilegal y facilita la entrada de empresas mineras en la zona, configurándose así una sinergia entre las dos actividades extractivas y las etapas tempranas de la fragmentación del paisaje. Como se aprecia en la (Figura 49), este motor tiene entre sus causas directas la explotación de hidrocarburos y los pasivos ambientales y conflictos territoriales generados, en</w:t>
      </w:r>
      <w:r w:rsidR="002C2B5B" w:rsidRPr="00B450EB">
        <w:t xml:space="preserve"> </w:t>
      </w:r>
      <w:r w:rsidRPr="00B450EB">
        <w:t>particular heredados por la explotación petrolera en el Putumayo, que data de los años 30, pero que tiene mayor desarrollo en la década de los 60 y 70, cuando la normatividad colombiana aún era muy débil, y por tanto no se contaba con los mecanismos de control suficientes y efectivos. La minería hoy día aún no cuenta con una regulación suficiente y efectiva, de tal forma que los pasivos ambientales y sociales siguen siendo una situación común. De igual forma, contribuye una minería artesanal muy informal y sin procedimientos claros para su formalización y el debido cumplimiento de la normatividad ambiental” (SINCHI 2019b)”</w:t>
      </w:r>
    </w:p>
    <w:p w14:paraId="1899F4D1" w14:textId="77777777" w:rsidR="00507C43" w:rsidRPr="00B450EB" w:rsidRDefault="00507C43" w:rsidP="00507C43">
      <w:pPr>
        <w:spacing w:before="21"/>
        <w:rPr>
          <w:rFonts w:eastAsia="Verdana" w:cs="Arial"/>
          <w:lang w:val="es-ES"/>
        </w:rPr>
      </w:pPr>
      <w:r w:rsidRPr="00B450EB">
        <w:rPr>
          <w:rFonts w:eastAsia="Verdana" w:cs="Arial"/>
        </w:rPr>
        <w:t>Sobre la condición de estos territorios intervenidos, el SINCHI se refiere a este fenómeno identificando la dificultad de recuperar la conectividad ecológica entre estas zonas intervenidas:</w:t>
      </w:r>
    </w:p>
    <w:p w14:paraId="6551C4AC" w14:textId="6D2D1AA4" w:rsidR="00507C43" w:rsidRPr="00B450EB" w:rsidRDefault="00507C43" w:rsidP="00507C43">
      <w:pPr>
        <w:spacing w:before="21"/>
        <w:ind w:left="708"/>
        <w:rPr>
          <w:rFonts w:eastAsia="Verdana" w:cs="Arial"/>
          <w:lang w:val="es-ES"/>
        </w:rPr>
      </w:pPr>
      <w:r w:rsidRPr="00B450EB">
        <w:rPr>
          <w:rFonts w:eastAsia="Verdana" w:cs="Arial"/>
          <w:i/>
          <w:iCs/>
        </w:rPr>
        <w:t xml:space="preserve">“La explotación minera y de hidrocarburos son variables que, aunque no han sido utilizadas en las evaluaciones de conectividad a nivel regional consultadas, se incluyen en la presente propuesta, como parte de los aspectos asociados a la intensidad de uso de la tierra del IEHH (Correa et. </w:t>
      </w:r>
      <w:proofErr w:type="spellStart"/>
      <w:r w:rsidRPr="00B450EB">
        <w:rPr>
          <w:rFonts w:eastAsia="Verdana" w:cs="Arial"/>
          <w:i/>
          <w:iCs/>
        </w:rPr>
        <w:t>al</w:t>
      </w:r>
      <w:proofErr w:type="spellEnd"/>
      <w:r w:rsidRPr="00B450EB">
        <w:rPr>
          <w:rFonts w:eastAsia="Verdana" w:cs="Arial"/>
          <w:i/>
          <w:iCs/>
        </w:rPr>
        <w:t xml:space="preserve">., 2017; Etter et. </w:t>
      </w:r>
      <w:proofErr w:type="spellStart"/>
      <w:r w:rsidRPr="00B450EB">
        <w:rPr>
          <w:rFonts w:eastAsia="Verdana" w:cs="Arial"/>
          <w:i/>
          <w:iCs/>
        </w:rPr>
        <w:t>al</w:t>
      </w:r>
      <w:proofErr w:type="spellEnd"/>
      <w:r w:rsidRPr="00B450EB">
        <w:rPr>
          <w:rFonts w:eastAsia="Verdana" w:cs="Arial"/>
          <w:i/>
          <w:iCs/>
        </w:rPr>
        <w:t xml:space="preserve">., 2006). Lo anterior, teniendo en cuenta que son uno de </w:t>
      </w:r>
      <w:r w:rsidRPr="00B450EB">
        <w:rPr>
          <w:rFonts w:eastAsia="Verdana" w:cs="Arial"/>
          <w:i/>
          <w:iCs/>
        </w:rPr>
        <w:lastRenderedPageBreak/>
        <w:t>los factores identificados que contribuye de manera significativa a la transformación de las coberturas en la Amazonía, afectando el grado de conectividad del paisaje. En el caso de la explotación minera, considerando que los polígonos concesionados son explotados de manera diferencial a lo largo del periodo de actividad de los proyectos extractivos existiendo áreas concesionadas</w:t>
      </w:r>
      <w:r w:rsidR="00E2721A" w:rsidRPr="00B450EB">
        <w:rPr>
          <w:rFonts w:eastAsia="Verdana" w:cs="Arial"/>
          <w:i/>
          <w:iCs/>
        </w:rPr>
        <w:t>,</w:t>
      </w:r>
      <w:r w:rsidRPr="00B450EB">
        <w:rPr>
          <w:rFonts w:eastAsia="Verdana" w:cs="Arial"/>
          <w:i/>
          <w:iCs/>
        </w:rPr>
        <w:t xml:space="preserve"> pero sin aprovechamiento presente, se consideran aquellos polígonos bajo la categoría de “en explotación”, </w:t>
      </w:r>
      <w:proofErr w:type="gramStart"/>
      <w:r w:rsidRPr="00B450EB">
        <w:rPr>
          <w:rFonts w:eastAsia="Verdana" w:cs="Arial"/>
          <w:i/>
          <w:iCs/>
        </w:rPr>
        <w:t>de acuerdo a</w:t>
      </w:r>
      <w:proofErr w:type="gramEnd"/>
      <w:r w:rsidRPr="00B450EB">
        <w:rPr>
          <w:rFonts w:eastAsia="Verdana" w:cs="Arial"/>
          <w:i/>
          <w:iCs/>
        </w:rPr>
        <w:t xml:space="preserve"> la clasificación de la ANM, que son en los que se generan la mayor cantidad de actividades con impactos sobre las características del medio. En el caso de la explotación de hidrocarburos, dentro de la cartografía consultada se considerarán los elementos correspondientes a pozos en explotación. </w:t>
      </w:r>
      <w:r w:rsidRPr="00B450EB">
        <w:rPr>
          <w:rFonts w:eastAsia="Verdana" w:cs="Arial"/>
          <w:i/>
          <w:iCs/>
          <w:u w:val="single"/>
        </w:rPr>
        <w:t>En ambos casos (minería e hidrocarburos) los polígonos en explotación se consideran con valores máximos de resistencia, y por fuera de ellos los valores de resistencia se establecen asumiendo una relación lineal de carácter inverso entre la distancia (euclidiana) a los sitios intervenidos para la explotación y la resistencia al flujo de organismos.</w:t>
      </w:r>
      <w:r w:rsidRPr="00B450EB">
        <w:rPr>
          <w:rFonts w:eastAsia="Verdana" w:cs="Arial"/>
          <w:i/>
          <w:iCs/>
        </w:rPr>
        <w:t xml:space="preserve"> Los valores de la matriz de resistencia resultante</w:t>
      </w:r>
      <w:r w:rsidRPr="00B450EB">
        <w:rPr>
          <w:rFonts w:eastAsia="Verdana" w:cs="Arial"/>
        </w:rPr>
        <w:t xml:space="preserve"> </w:t>
      </w:r>
      <w:r w:rsidRPr="00B450EB">
        <w:rPr>
          <w:rFonts w:eastAsia="Verdana" w:cs="Arial"/>
          <w:i/>
          <w:iCs/>
        </w:rPr>
        <w:t>para ambos tipos de actividad son reclasificados para obtener tres rangos correspondientes a: Zonas contiguas, Zonas próximas y Zonas Lejanas, correspondientes a diferentes niveles de resistencia”</w:t>
      </w:r>
    </w:p>
    <w:p w14:paraId="0CF2F705" w14:textId="77777777" w:rsidR="00507C43" w:rsidRPr="00B450EB" w:rsidRDefault="00507C43" w:rsidP="00507C43">
      <w:pPr>
        <w:rPr>
          <w:rFonts w:eastAsia="Verdana" w:cs="Arial"/>
          <w:i/>
          <w:iCs/>
          <w:lang w:val="es-ES"/>
        </w:rPr>
      </w:pPr>
      <w:r w:rsidRPr="00B450EB">
        <w:rPr>
          <w:rFonts w:cs="Arial"/>
          <w:i/>
          <w:iCs/>
        </w:rPr>
        <w:t>Impactos sobre el Ciclo Hidrológico Local</w:t>
      </w:r>
    </w:p>
    <w:p w14:paraId="5FFB29F2" w14:textId="77777777" w:rsidR="00507C43" w:rsidRPr="00B450EB" w:rsidRDefault="00507C43" w:rsidP="00507C43">
      <w:pPr>
        <w:spacing w:before="21"/>
        <w:rPr>
          <w:rFonts w:eastAsia="Verdana" w:cs="Arial"/>
          <w:lang w:val="es-ES"/>
        </w:rPr>
      </w:pPr>
      <w:r w:rsidRPr="00B450EB">
        <w:rPr>
          <w:rFonts w:eastAsia="Verdana" w:cs="Arial"/>
        </w:rPr>
        <w:t>- Desecamiento y reducción de caudales: La explotación de hidrocarburos y la construcción de infraestructura (como pozos, locaciones, y carreteras) afectan el ciclo hidrológico local. La deforestación y la alteración de los cauces fluviales para permitir la construcción de infraestructuras viales y de extracción contribuyen al desecamiento de humedales y la reducción de caudales en ríos y quebradas. La menor recarga de acuíferos debido a la pérdida de bosques tropicales puede comprometer la disponibilidad de agua en la región.</w:t>
      </w:r>
    </w:p>
    <w:p w14:paraId="41850C6B" w14:textId="77777777" w:rsidR="00507C43" w:rsidRPr="00B450EB" w:rsidRDefault="00507C43" w:rsidP="00507C43">
      <w:pPr>
        <w:spacing w:before="21"/>
        <w:rPr>
          <w:rFonts w:eastAsia="Verdana" w:cs="Arial"/>
          <w:lang w:val="es-ES"/>
        </w:rPr>
      </w:pPr>
      <w:r w:rsidRPr="00B450EB">
        <w:rPr>
          <w:rFonts w:eastAsia="Verdana" w:cs="Arial"/>
        </w:rPr>
        <w:t xml:space="preserve">-Impacto en zonas de recarga y descarga de acuíferos: Las áreas de recarga (como la formación Ospina) y las zonas de descarga de los acuíferos que se interrelacionan con los ríos Putumayo, </w:t>
      </w:r>
      <w:proofErr w:type="spellStart"/>
      <w:r w:rsidRPr="00B450EB">
        <w:rPr>
          <w:rFonts w:eastAsia="Verdana" w:cs="Arial"/>
        </w:rPr>
        <w:t>Cohembí</w:t>
      </w:r>
      <w:proofErr w:type="spellEnd"/>
      <w:r w:rsidRPr="00B450EB">
        <w:rPr>
          <w:rFonts w:eastAsia="Verdana" w:cs="Arial"/>
        </w:rPr>
        <w:t xml:space="preserve"> y San Miguel también podrían verse alteradas. Si la actividad </w:t>
      </w:r>
      <w:proofErr w:type="spellStart"/>
      <w:r w:rsidRPr="00B450EB">
        <w:rPr>
          <w:rFonts w:eastAsia="Verdana" w:cs="Arial"/>
        </w:rPr>
        <w:t>hidrocarburífera</w:t>
      </w:r>
      <w:proofErr w:type="spellEnd"/>
      <w:r w:rsidRPr="00B450EB">
        <w:rPr>
          <w:rFonts w:eastAsia="Verdana" w:cs="Arial"/>
        </w:rPr>
        <w:t xml:space="preserve"> interfiere en los procesos naturales de recarga de estos acuíferos, se podría ver afectada la disponibilidad y calidad del agua subterránea, crucial para el abastecimiento humano, agrícola y ecológico.</w:t>
      </w:r>
    </w:p>
    <w:p w14:paraId="283A471B" w14:textId="77777777" w:rsidR="00507C43" w:rsidRPr="00B450EB" w:rsidRDefault="00507C43" w:rsidP="00507C43">
      <w:pPr>
        <w:rPr>
          <w:rFonts w:eastAsia="Verdana" w:cs="Arial"/>
          <w:i/>
          <w:lang w:val="es-ES"/>
        </w:rPr>
      </w:pPr>
      <w:r w:rsidRPr="00B450EB">
        <w:rPr>
          <w:rFonts w:cs="Arial"/>
          <w:i/>
        </w:rPr>
        <w:t>Afectación de la calidad del agua para consumo humano</w:t>
      </w:r>
      <w:r w:rsidRPr="00B450EB">
        <w:rPr>
          <w:rFonts w:eastAsiaTheme="majorEastAsia" w:cs="Arial"/>
          <w:i/>
        </w:rPr>
        <w:t xml:space="preserve"> </w:t>
      </w:r>
    </w:p>
    <w:p w14:paraId="5EC68F4E" w14:textId="77777777" w:rsidR="00507C43" w:rsidRPr="00B450EB" w:rsidRDefault="00507C43" w:rsidP="00507C43">
      <w:pPr>
        <w:spacing w:before="21"/>
        <w:rPr>
          <w:rFonts w:eastAsia="Verdana" w:cs="Arial"/>
          <w:lang w:val="es-ES"/>
        </w:rPr>
      </w:pPr>
      <w:r w:rsidRPr="00B450EB">
        <w:rPr>
          <w:rFonts w:eastAsia="Verdana" w:cs="Arial"/>
        </w:rPr>
        <w:t xml:space="preserve">La contaminación del agua potable, tanto superficial como subterránea, podría llevar a un deterioro de la calidad de vida de las comunidades indígenas y campesinas de la región. Los altos niveles de contaminación y la presencia de sustancias tóxicas </w:t>
      </w:r>
      <w:r w:rsidRPr="00B450EB">
        <w:rPr>
          <w:rFonts w:eastAsia="Verdana" w:cs="Arial"/>
        </w:rPr>
        <w:lastRenderedPageBreak/>
        <w:t>en el agua, como metales pesados y compuestos orgánicos, representarían un riesgo directo para la salud humana.</w:t>
      </w:r>
    </w:p>
    <w:p w14:paraId="02747B88" w14:textId="77777777" w:rsidR="00507C43" w:rsidRPr="00B450EB" w:rsidRDefault="00507C43" w:rsidP="00507C43">
      <w:pPr>
        <w:spacing w:before="21"/>
        <w:rPr>
          <w:rFonts w:eastAsia="Verdana" w:cs="Arial"/>
          <w:lang w:val="es-ES"/>
        </w:rPr>
      </w:pPr>
      <w:r w:rsidRPr="00B450EB">
        <w:rPr>
          <w:rFonts w:eastAsia="Verdana" w:cs="Arial"/>
        </w:rPr>
        <w:t>De acuerdo con SIAT-AC</w:t>
      </w:r>
      <w:r w:rsidRPr="00B450EB">
        <w:rPr>
          <w:rFonts w:eastAsia="Verdana" w:cs="Arial"/>
          <w:vertAlign w:val="superscript"/>
        </w:rPr>
        <w:t>7</w:t>
      </w:r>
      <w:r w:rsidRPr="00B450EB">
        <w:rPr>
          <w:rFonts w:eastAsia="Verdana" w:cs="Arial"/>
        </w:rPr>
        <w:t>:</w:t>
      </w:r>
    </w:p>
    <w:p w14:paraId="49B3BBDD" w14:textId="77777777" w:rsidR="00507C43" w:rsidRPr="00B450EB" w:rsidRDefault="00507C43" w:rsidP="00B101B6">
      <w:pPr>
        <w:rPr>
          <w:lang w:val="es-ES"/>
        </w:rPr>
      </w:pPr>
      <w:r w:rsidRPr="00B450EB">
        <w:t>“La principal causa que ha generado tensiones sociales ha sido la contaminación de fuentes hídricas en el Corredor Puerto Vega-</w:t>
      </w:r>
      <w:proofErr w:type="spellStart"/>
      <w:r w:rsidRPr="00B450EB">
        <w:t>Teteyé</w:t>
      </w:r>
      <w:proofErr w:type="spellEnd"/>
      <w:r w:rsidRPr="00B450EB">
        <w:t>, asociadas a la actividad de explotación petrolera (</w:t>
      </w:r>
      <w:proofErr w:type="spellStart"/>
      <w:r w:rsidRPr="00B450EB">
        <w:t>Terrae</w:t>
      </w:r>
      <w:proofErr w:type="spellEnd"/>
      <w:r w:rsidRPr="00B450EB">
        <w:t xml:space="preserve">, 2015) a derrames de petróleo por fallas técnicas en las operaciones (ANLA, 2011) y en algunas ocasiones causadas también por grupos armados al margen de la ley (OCHA, 2015). Adicionalmente, se ha generado contaminación de la tierra, de las fuentes hídricas, afectación a las especies vegetales y animales y a la salud humana, situación agravada por el uso de otras sustancias como ha sido el glifosato, debido a la aspersión como una estrategia para atacar los cultivos de coca para uso ilícito. Estas situaciones se han venido presentando desde hace al menos 18 años, generando contaminación de las fuentes hídricas y disminución de fuentes de agua potable. A esto se debe adicionar que se han secado y/o contaminado con crudo, más de 20 nacimientos de agua (Noticias Caracol). Dadas estas situaciones, compañías como Gran Tierra Energy entregan agua con </w:t>
      </w:r>
      <w:proofErr w:type="gramStart"/>
      <w:r w:rsidRPr="00B450EB">
        <w:t>carro-tanque</w:t>
      </w:r>
      <w:proofErr w:type="gramEnd"/>
      <w:r w:rsidRPr="00B450EB">
        <w:t xml:space="preserve"> a algunas comunidades, pero no es constante, por lo que esto generó un paro en el 2020 en la Vereda El Cristal (Calle, 2020).”</w:t>
      </w:r>
    </w:p>
    <w:p w14:paraId="0F3AF49E" w14:textId="77777777" w:rsidR="00507C43" w:rsidRPr="00B450EB" w:rsidRDefault="00507C43" w:rsidP="00B101B6">
      <w:pPr>
        <w:rPr>
          <w:rFonts w:eastAsia="Verdana"/>
          <w:i/>
          <w:lang w:val="es-ES"/>
        </w:rPr>
      </w:pPr>
      <w:r w:rsidRPr="00B450EB">
        <w:rPr>
          <w:i/>
        </w:rPr>
        <w:t>Migración de fauna y alteración de ecosistemas acuáticos</w:t>
      </w:r>
      <w:r w:rsidRPr="00B450EB">
        <w:rPr>
          <w:rFonts w:eastAsiaTheme="majorEastAsia"/>
          <w:i/>
        </w:rPr>
        <w:t xml:space="preserve"> </w:t>
      </w:r>
    </w:p>
    <w:p w14:paraId="63C70805" w14:textId="77777777" w:rsidR="00507C43" w:rsidRPr="00B450EB" w:rsidRDefault="00507C43" w:rsidP="00507C43">
      <w:pPr>
        <w:spacing w:before="21"/>
        <w:rPr>
          <w:rFonts w:eastAsia="Verdana" w:cs="Arial"/>
          <w:lang w:val="es-ES"/>
        </w:rPr>
      </w:pPr>
      <w:r w:rsidRPr="00B450EB">
        <w:rPr>
          <w:rFonts w:eastAsia="Verdana" w:cs="Arial"/>
        </w:rPr>
        <w:t>La alteración de las fuentes de agua y la deforestación contribuyen a la pérdida de hábitats para diversas especies animales y vegetales. La fauna acuática, especialmente los peces que dependen de las aguas de los ríos y humedales se ven afectadas por la contaminación de las aguas y la alteración de sus hábitats naturales. Esto genera un impacto directo sobre la biodiversidad y la integridad de los ecosistemas acuáticos amazónicos.</w:t>
      </w:r>
    </w:p>
    <w:p w14:paraId="658B919D" w14:textId="77777777" w:rsidR="00507C43" w:rsidRPr="00B450EB" w:rsidRDefault="00507C43" w:rsidP="00507C43">
      <w:pPr>
        <w:spacing w:before="21"/>
        <w:rPr>
          <w:rFonts w:eastAsia="Verdana" w:cs="Arial"/>
          <w:lang w:val="es-ES"/>
        </w:rPr>
      </w:pPr>
      <w:r w:rsidRPr="00B450EB">
        <w:rPr>
          <w:rFonts w:eastAsia="Verdana" w:cs="Arial"/>
        </w:rPr>
        <w:t xml:space="preserve">En el estudio para la construcción del Sistema de Soporte para toma de Decisiones </w:t>
      </w:r>
      <w:proofErr w:type="spellStart"/>
      <w:r w:rsidRPr="00B450EB">
        <w:rPr>
          <w:rFonts w:eastAsia="Verdana" w:cs="Arial"/>
        </w:rPr>
        <w:t>Chawar</w:t>
      </w:r>
      <w:proofErr w:type="spellEnd"/>
      <w:r w:rsidRPr="00B450EB">
        <w:rPr>
          <w:rFonts w:eastAsia="Verdana" w:cs="Arial"/>
        </w:rPr>
        <w:t>, desarrollado por el IAvH</w:t>
      </w:r>
      <w:r w:rsidRPr="00B450EB">
        <w:rPr>
          <w:rFonts w:eastAsia="Verdana" w:cs="Arial"/>
          <w:vertAlign w:val="superscript"/>
        </w:rPr>
        <w:t>8</w:t>
      </w:r>
      <w:r w:rsidRPr="00B450EB">
        <w:rPr>
          <w:rFonts w:eastAsia="Verdana" w:cs="Arial"/>
        </w:rPr>
        <w:t xml:space="preserve"> (en contrato con la empresa petrolera Gran Tierra Energy), que tiene como objeto “</w:t>
      </w:r>
      <w:r w:rsidRPr="00B450EB">
        <w:rPr>
          <w:rFonts w:eastAsia="Verdana" w:cs="Arial"/>
          <w:i/>
          <w:iCs/>
        </w:rPr>
        <w:t>generar información socio ecológica de utilidad para la elaboración e incorporación de lineamientos para la gestión integral de la biodiversidad y los servicios ecosistémicos con miras a la planificación, el ordenamiento y el manejo del territorio..</w:t>
      </w:r>
      <w:r w:rsidRPr="00B450EB">
        <w:rPr>
          <w:rFonts w:eastAsia="Verdana" w:cs="Arial"/>
        </w:rPr>
        <w:t xml:space="preserve">” en un área que comprende varios bloques adjudicados a la empresa Gran Tierra Energy en el Putumayo, se resalta el valor que representa para la biodiversidad de estas áreas concesionadas; el estudio identificó que: </w:t>
      </w:r>
    </w:p>
    <w:p w14:paraId="365E2028"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“3.1 Importancia del área en términos de biodiversidad La importancia de las áreas priorizadas radica tanto en el papel que estas desempeñan como conexión entre los Andes tropicales y la Amazonia como en el hecho de que </w:t>
      </w:r>
      <w:r w:rsidRPr="00B450EB">
        <w:rPr>
          <w:rFonts w:eastAsia="Verdana" w:cs="Arial"/>
          <w:i/>
          <w:iCs/>
        </w:rPr>
        <w:lastRenderedPageBreak/>
        <w:t>albergan un alto número de especies, entre ellas algunas endémicas, raras y amenazadas. Adicionalmente, dichas zonas se sobreponen con otras consideradas como refugio del Pleistoceno g, incluidas como parte del refugio del Napo, el cual cuenta con una relevancia particular si miramos la biodiversidad en términos genéticos. Esta también puede ser una de las explicaciones a la alta diversidad biológica presente en la zona, que en el caso de los primates (14 especies) y las aves (800-1.000 especies) se considera como la de mayor diversidad de estas especies en el país</w:t>
      </w:r>
    </w:p>
    <w:p w14:paraId="54047C7E" w14:textId="78463227" w:rsidR="00507C43" w:rsidRPr="00B450EB" w:rsidRDefault="00507C43" w:rsidP="00507C43">
      <w:pPr>
        <w:spacing w:before="21"/>
        <w:rPr>
          <w:rFonts w:eastAsia="Verdana" w:cs="Arial"/>
          <w:lang w:val="es-ES"/>
        </w:rPr>
      </w:pPr>
      <w:r w:rsidRPr="00B450EB">
        <w:rPr>
          <w:rFonts w:eastAsia="Verdana" w:cs="Arial"/>
        </w:rPr>
        <w:t>En relación con el análisis de sensibilidad ambiental regional la ANLA</w:t>
      </w:r>
      <w:r w:rsidRPr="00B450EB">
        <w:rPr>
          <w:rFonts w:eastAsia="Verdana" w:cs="Arial"/>
          <w:vertAlign w:val="superscript"/>
        </w:rPr>
        <w:t>9</w:t>
      </w:r>
      <w:r w:rsidRPr="00B450EB">
        <w:rPr>
          <w:rFonts w:eastAsia="Verdana" w:cs="Arial"/>
        </w:rPr>
        <w:t xml:space="preserve"> encuentra que es “</w:t>
      </w:r>
      <w:r w:rsidRPr="00B450EB">
        <w:rPr>
          <w:rFonts w:eastAsia="Verdana" w:cs="Arial"/>
          <w:i/>
          <w:iCs/>
        </w:rPr>
        <w:t>predominantemente moderada, como resultado de la ponderación de los criterios de sensibilidades intermedias o por componentes: hídrico superficial, hídrico subterráneo, atmosférico, geotécnico, medio biótico, medio socioeconómico y de manera transversal cambio climático y licenciamiento ambiental.</w:t>
      </w:r>
      <w:r w:rsidRPr="00B450EB">
        <w:rPr>
          <w:rFonts w:eastAsia="Verdana" w:cs="Arial"/>
        </w:rPr>
        <w:t>”, al observar la salida gráfica que entrega la ANLA, para el Putumayo, que es el departamento que alberga la mayor cantidad de proyectos, la sensibilidad presenta las categorías Muy alta, Alta y Moderada, al respecto el reporte anual 2023 de Putumayo de la ANLA encuentra que: “</w:t>
      </w:r>
      <w:r w:rsidRPr="00B450EB">
        <w:rPr>
          <w:rFonts w:eastAsia="Verdana" w:cs="Arial"/>
          <w:i/>
          <w:iCs/>
        </w:rPr>
        <w:t xml:space="preserve">Predomina en el </w:t>
      </w:r>
      <w:r w:rsidR="0076416E" w:rsidRPr="00B450EB">
        <w:rPr>
          <w:rFonts w:eastAsia="Verdana" w:cs="Arial"/>
          <w:i/>
          <w:iCs/>
        </w:rPr>
        <w:t xml:space="preserve">Bioma Amazónico </w:t>
      </w:r>
      <w:r w:rsidRPr="00B450EB">
        <w:rPr>
          <w:rFonts w:eastAsia="Verdana" w:cs="Arial"/>
          <w:i/>
          <w:iCs/>
        </w:rPr>
        <w:t>la sensibilidad Moderada con un 49,45%, seguido de sensibilidad alta con un 38,24%. Lo anterior [es el] resultado de los criterios de sensibilidades intermedias, para el medio abiótico en los componentes hídrico superficial, hídrico subterráneo, atmosférico, geotécnico, medio biótico, medio socioeconómico y de manera transversal cambio climático y licenciamiento…</w:t>
      </w:r>
      <w:r w:rsidRPr="00B450EB">
        <w:rPr>
          <w:rFonts w:eastAsia="Verdana" w:cs="Arial"/>
        </w:rPr>
        <w:t>”. En el relacionado al componente biótico, según lo identificado por la ANLA, la sensibilidad predominante es muy alta, que en el informe menciona está “…</w:t>
      </w:r>
      <w:r w:rsidRPr="00B450EB">
        <w:rPr>
          <w:rFonts w:eastAsia="Verdana" w:cs="Arial"/>
          <w:i/>
          <w:iCs/>
        </w:rPr>
        <w:t>relacionado a la presencia de ecosistemas en estado crítico (CR), ecosistemas acuáticos con muy baja conectividad y muy alta presencia de peces migratorios y de importancia pesquera</w:t>
      </w:r>
      <w:r w:rsidRPr="00B450EB">
        <w:rPr>
          <w:rFonts w:eastAsia="Verdana" w:cs="Arial"/>
        </w:rPr>
        <w:t>”. Algo similar se presenta en el Área de Manejo Especial de la Macarena - AMEM del bioma amazónico, caracterizada con enfoque regional por la ANLA– 2024. En el caso del departamento de Caquetá la sensibilidad general revisada en 2015 se distribuye de forma mayoritaria entre Alta-Alta y Alta-Media.</w:t>
      </w:r>
    </w:p>
    <w:p w14:paraId="4B28BF12" w14:textId="77777777" w:rsidR="00507C43" w:rsidRPr="00B450EB" w:rsidRDefault="00507C43" w:rsidP="00507C43">
      <w:pPr>
        <w:spacing w:before="21"/>
        <w:rPr>
          <w:rFonts w:eastAsia="Verdana" w:cs="Arial"/>
          <w:lang w:val="es-ES"/>
        </w:rPr>
      </w:pPr>
      <w:r w:rsidRPr="00B450EB">
        <w:rPr>
          <w:rFonts w:eastAsia="Verdana" w:cs="Arial"/>
        </w:rPr>
        <w:t>La ANLA en el Reporte de Análisis Regional Putumayo – 2023, en relación con los elementos ambientales de valor identifica “…</w:t>
      </w:r>
      <w:r w:rsidRPr="00B450EB">
        <w:rPr>
          <w:rFonts w:eastAsia="Verdana" w:cs="Arial"/>
          <w:i/>
          <w:iCs/>
        </w:rPr>
        <w:t xml:space="preserve">dos elementos ambientales de valor: Servicios ecosistémicos de regulación hídrica y purificación del agua, aprovisionamiento de suministro de agua y mantenimiento de hábitats para especies (subcuenca del río </w:t>
      </w:r>
      <w:proofErr w:type="spellStart"/>
      <w:r w:rsidRPr="00B450EB">
        <w:rPr>
          <w:rFonts w:eastAsia="Verdana" w:cs="Arial"/>
          <w:i/>
          <w:iCs/>
        </w:rPr>
        <w:t>Acaé</w:t>
      </w:r>
      <w:proofErr w:type="spellEnd"/>
      <w:r w:rsidRPr="00B450EB">
        <w:rPr>
          <w:rFonts w:eastAsia="Verdana" w:cs="Arial"/>
          <w:i/>
          <w:iCs/>
        </w:rPr>
        <w:t xml:space="preserve">) y Servicio ecosistémico de regulación hídrica y purificación del agua y áreas de importancia en la conectividad (Subzona hidrográfica del río </w:t>
      </w:r>
      <w:proofErr w:type="spellStart"/>
      <w:r w:rsidRPr="00B450EB">
        <w:rPr>
          <w:rFonts w:eastAsia="Verdana" w:cs="Arial"/>
          <w:i/>
          <w:iCs/>
        </w:rPr>
        <w:t>Mecaya</w:t>
      </w:r>
      <w:proofErr w:type="spellEnd"/>
      <w:r w:rsidRPr="00B450EB">
        <w:rPr>
          <w:rFonts w:eastAsia="Verdana" w:cs="Arial"/>
          <w:i/>
          <w:iCs/>
        </w:rPr>
        <w:t>) Se realiza un análisis de impactos acumulativos y/o sinérgicos sobre los VEC, determinado como potenciales categorías la alteración en la calidad del recurso hídrico superficial, la alteración en la oferta y disponibilidad del recurso hídrico superficial y pérdida y alteración de hábitat</w:t>
      </w:r>
      <w:r w:rsidRPr="00B450EB">
        <w:rPr>
          <w:rFonts w:eastAsia="Verdana" w:cs="Arial"/>
        </w:rPr>
        <w:t>.”</w:t>
      </w:r>
    </w:p>
    <w:p w14:paraId="7536F272" w14:textId="77777777" w:rsidR="00507C43" w:rsidRPr="00B450EB" w:rsidRDefault="00507C43" w:rsidP="00507C43">
      <w:pPr>
        <w:rPr>
          <w:rFonts w:eastAsia="Verdana" w:cs="Arial"/>
          <w:i/>
          <w:lang w:val="es-ES"/>
        </w:rPr>
      </w:pPr>
      <w:r w:rsidRPr="00B450EB">
        <w:rPr>
          <w:rFonts w:cs="Arial"/>
          <w:i/>
        </w:rPr>
        <w:lastRenderedPageBreak/>
        <w:t>Riesgo de impacto al recurso hídrico subterráneo (fuente SGC).</w:t>
      </w:r>
    </w:p>
    <w:p w14:paraId="5800089B" w14:textId="77777777" w:rsidR="00507C43" w:rsidRPr="00B450EB" w:rsidRDefault="00507C43" w:rsidP="00507C43">
      <w:pPr>
        <w:spacing w:before="21"/>
        <w:rPr>
          <w:rFonts w:eastAsia="Verdana" w:cs="Arial"/>
          <w:lang w:val="es-ES"/>
        </w:rPr>
      </w:pPr>
      <w:r w:rsidRPr="00B450EB">
        <w:rPr>
          <w:rFonts w:eastAsia="Verdana" w:cs="Arial"/>
        </w:rPr>
        <w:t>La zona Amazónica colombiana cuenta con muy poca información de carácter hidrogeológico regional, la ausencia de conocimiento para poder desarrollar modelos hidrogeológicos conceptuales y la falta de estudios regionales dificultan la evaluación precisa de los impactos ambientales potenciales de las actividades extractivas por parte de las autoridades.</w:t>
      </w:r>
    </w:p>
    <w:p w14:paraId="145712A1" w14:textId="77777777" w:rsidR="00507C43" w:rsidRPr="00B450EB" w:rsidRDefault="00507C43" w:rsidP="00507C43">
      <w:pPr>
        <w:spacing w:before="21"/>
        <w:rPr>
          <w:rFonts w:eastAsia="Verdana" w:cs="Arial"/>
          <w:lang w:val="es-ES"/>
        </w:rPr>
      </w:pPr>
      <w:r w:rsidRPr="00B450EB">
        <w:rPr>
          <w:rFonts w:eastAsia="Verdana" w:cs="Arial"/>
        </w:rPr>
        <w:t>Por las características del territorio, los principales efectos en lo que respecta a la contaminación de suelos y acuíferos por eventualidades inherentes a la actividad, así como los impactos derivados de la inyección de aguas residuales, constituyen un riesgo en tanto que se carece de referencias apropiadas de control.</w:t>
      </w:r>
    </w:p>
    <w:p w14:paraId="6B7268AD" w14:textId="77777777" w:rsidR="00507C43" w:rsidRPr="00B450EB" w:rsidRDefault="00507C43" w:rsidP="00507C43">
      <w:pPr>
        <w:rPr>
          <w:rFonts w:eastAsia="Verdana" w:cs="Arial"/>
          <w:i/>
          <w:iCs/>
          <w:lang w:val="es-ES"/>
        </w:rPr>
      </w:pPr>
      <w:r w:rsidRPr="00B450EB">
        <w:rPr>
          <w:rFonts w:cs="Arial"/>
          <w:i/>
          <w:iCs/>
        </w:rPr>
        <w:t xml:space="preserve">Información </w:t>
      </w:r>
      <w:proofErr w:type="spellStart"/>
      <w:r w:rsidRPr="00B450EB">
        <w:rPr>
          <w:rFonts w:cs="Arial"/>
          <w:i/>
          <w:iCs/>
        </w:rPr>
        <w:t>Geocientífica</w:t>
      </w:r>
      <w:proofErr w:type="spellEnd"/>
      <w:r w:rsidRPr="00B450EB">
        <w:rPr>
          <w:rFonts w:cs="Arial"/>
          <w:i/>
          <w:iCs/>
        </w:rPr>
        <w:t xml:space="preserve"> del Bioma Amazónico (tomada del SGC</w:t>
      </w:r>
      <w:r w:rsidRPr="00B450EB">
        <w:rPr>
          <w:rFonts w:eastAsiaTheme="majorEastAsia" w:cs="Arial"/>
          <w:i/>
          <w:iCs/>
        </w:rPr>
        <w:t>10)</w:t>
      </w:r>
    </w:p>
    <w:p w14:paraId="1F26ABE9" w14:textId="77777777" w:rsidR="00507C43" w:rsidRPr="00B450EB" w:rsidRDefault="00507C43" w:rsidP="00507C43">
      <w:pPr>
        <w:spacing w:before="21"/>
        <w:rPr>
          <w:rFonts w:eastAsia="Verdana" w:cs="Arial"/>
          <w:lang w:val="es-ES"/>
        </w:rPr>
      </w:pPr>
      <w:r w:rsidRPr="00B450EB">
        <w:rPr>
          <w:rFonts w:eastAsia="Verdana" w:cs="Arial"/>
        </w:rPr>
        <w:t xml:space="preserve">Para el área de la región amazónica, la información generada por el Servicio Geológico Colombiano - SGC con enfoque sobre el recurso hídrico superficial y subterráneo es de carácter regional (escalas de 1:500.000). Al evaluar la vulnerabilidad </w:t>
      </w:r>
      <w:proofErr w:type="spellStart"/>
      <w:r w:rsidRPr="00B450EB">
        <w:rPr>
          <w:rFonts w:eastAsia="Verdana" w:cs="Arial"/>
        </w:rPr>
        <w:t>geoambiental</w:t>
      </w:r>
      <w:proofErr w:type="spellEnd"/>
      <w:r w:rsidRPr="00B450EB">
        <w:rPr>
          <w:rFonts w:eastAsia="Verdana" w:cs="Arial"/>
        </w:rPr>
        <w:t xml:space="preserve"> en relación con impactos ambientales al aire, suelos y aguas por la acción de las actividades extractivas; la información de ocurrencia de aguas subterráneas con la que cuenta el SGC es a profundidades muy someras. En cuanto a los levantamientos cartográficos realizados, a escalas 1:100.000 no permite identificar con precisión unidades geológicas inferiores a 200 m, lo que no permite determinar un acuífero, por lo tanto, no constituye una herramienta suficiente que permita la toma de decisiones adecuadas. </w:t>
      </w:r>
    </w:p>
    <w:p w14:paraId="299DD540" w14:textId="77777777" w:rsidR="00507C43" w:rsidRPr="00B450EB" w:rsidRDefault="00507C43" w:rsidP="00507C43">
      <w:pPr>
        <w:spacing w:before="21"/>
        <w:rPr>
          <w:rFonts w:eastAsia="Verdana" w:cs="Arial"/>
          <w:lang w:val="es-ES"/>
        </w:rPr>
      </w:pPr>
      <w:r w:rsidRPr="00B450EB">
        <w:rPr>
          <w:rFonts w:eastAsia="Verdana" w:cs="Arial"/>
        </w:rPr>
        <w:t xml:space="preserve">En consecuencia, de acuerdo con el SGC, el conocimiento geológico tanto del suelo como del subsuelo amazónico colombiano es insuficiente, carece de un buen nivel de detalle y representación por no tener las escalas adecuadas, además de que los estudios regionales cubren apenas el 45% de la superficie, que carece, igualmente, de un buen nivel de detalle y representación, lo que conlleva a que no se tenga de información necesaria para la toma de decisiones informadas de política pública y, por tanto, no adecuados para tomas de decisiones en gestión de aguas subterráneas, no adecuados para tomas de decisiones que no se limiten al principio de precaución. </w:t>
      </w:r>
    </w:p>
    <w:p w14:paraId="270AB64B" w14:textId="77777777" w:rsidR="00507C43" w:rsidRPr="00B450EB" w:rsidRDefault="00507C43" w:rsidP="00507C43">
      <w:pPr>
        <w:spacing w:before="21"/>
        <w:rPr>
          <w:rFonts w:eastAsia="Verdana" w:cs="Arial"/>
          <w:lang w:val="es-ES"/>
        </w:rPr>
      </w:pPr>
      <w:r w:rsidRPr="00B450EB">
        <w:rPr>
          <w:rFonts w:eastAsia="Verdana" w:cs="Arial"/>
        </w:rPr>
        <w:t xml:space="preserve">Para la Amazonía colombiana, no se ha evaluado el patrimonio geológico y paleontológico. Apenas cuenta con dos colecciones fosilíferas en Puerto Nariño y, aunque estudios puntuales anuncian la riqueza de microfósiles, la poderosa cobertura vegetal y la dificultad de acceso, ha obstaculizado los hallazgos de especímenes que debieron quedar atrapados en un gran lago, conocido como Lago </w:t>
      </w:r>
      <w:proofErr w:type="spellStart"/>
      <w:r w:rsidRPr="00B450EB">
        <w:rPr>
          <w:rFonts w:eastAsia="Verdana" w:cs="Arial"/>
        </w:rPr>
        <w:t>Pebas</w:t>
      </w:r>
      <w:proofErr w:type="spellEnd"/>
      <w:r w:rsidRPr="00B450EB">
        <w:rPr>
          <w:rFonts w:eastAsia="Verdana" w:cs="Arial"/>
        </w:rPr>
        <w:t xml:space="preserve">, el cual tuvo su máxima extensión hace 13 millones de años y alcanzó a cubrir un área casi del tamaño del actual territorio colombiano. </w:t>
      </w:r>
    </w:p>
    <w:p w14:paraId="61001E01" w14:textId="77777777" w:rsidR="00507C43" w:rsidRPr="00B450EB" w:rsidRDefault="00507C43" w:rsidP="00507C43">
      <w:pPr>
        <w:spacing w:before="21"/>
        <w:rPr>
          <w:rFonts w:eastAsia="Verdana" w:cs="Arial"/>
          <w:lang w:val="es-ES"/>
        </w:rPr>
      </w:pPr>
      <w:r w:rsidRPr="00B450EB">
        <w:rPr>
          <w:rFonts w:eastAsia="Verdana" w:cs="Arial"/>
        </w:rPr>
        <w:lastRenderedPageBreak/>
        <w:t xml:space="preserve">Adicionalmente, este sector cuenta con el Parque Nacional Natural Serranía de Chiribiquete que comprende alrededor de 42.680 km2 de los departamentos de Guaviare y Caquetá, el cual, por ley, es una zona de protección. El potencial de este parque para constituirse como objeto de patrimonio geológico es evidente dado sus particularidades geomorfológicas, marcadas por la existencia de rocas sedimentarias </w:t>
      </w:r>
      <w:proofErr w:type="spellStart"/>
      <w:r w:rsidRPr="00B450EB">
        <w:rPr>
          <w:rFonts w:eastAsia="Verdana" w:cs="Arial"/>
        </w:rPr>
        <w:t>subhorizontales</w:t>
      </w:r>
      <w:proofErr w:type="spellEnd"/>
      <w:r w:rsidRPr="00B450EB">
        <w:rPr>
          <w:rFonts w:eastAsia="Verdana" w:cs="Arial"/>
        </w:rPr>
        <w:t xml:space="preserve"> con fracturas </w:t>
      </w:r>
      <w:proofErr w:type="spellStart"/>
      <w:r w:rsidRPr="00B450EB">
        <w:rPr>
          <w:rFonts w:eastAsia="Verdana" w:cs="Arial"/>
        </w:rPr>
        <w:t>subverticales</w:t>
      </w:r>
      <w:proofErr w:type="spellEnd"/>
      <w:r w:rsidRPr="00B450EB">
        <w:rPr>
          <w:rFonts w:eastAsia="Verdana" w:cs="Arial"/>
        </w:rPr>
        <w:t xml:space="preserve">, con influencia kárstica debido a la acción de la química levemente ácida de las aguas lluvias a lo largo de millones de años sobre rocas predominantemente arenosas cementadas con sílice. </w:t>
      </w:r>
    </w:p>
    <w:p w14:paraId="5C8C067F" w14:textId="77777777" w:rsidR="00507C43" w:rsidRPr="00B450EB" w:rsidRDefault="00507C43" w:rsidP="00507C43">
      <w:pPr>
        <w:spacing w:before="21"/>
        <w:rPr>
          <w:rFonts w:eastAsia="Verdana" w:cs="Arial"/>
          <w:lang w:val="es-ES"/>
        </w:rPr>
      </w:pPr>
      <w:r w:rsidRPr="00B450EB">
        <w:rPr>
          <w:rFonts w:eastAsia="Verdana" w:cs="Arial"/>
        </w:rPr>
        <w:t xml:space="preserve">Por otro lado, se tienen estudios de línea base de sismicidad, que permiten identificar el nivel de sismicidad natural y antrópico, hasta la fecha la entidad no ha registrado eventos de sismicidad inducida por la actividad del sector hidrocarburos en esta área. </w:t>
      </w:r>
    </w:p>
    <w:p w14:paraId="02E212D4" w14:textId="77777777" w:rsidR="00507C43" w:rsidRPr="00B450EB" w:rsidRDefault="00507C43" w:rsidP="00507C43">
      <w:pPr>
        <w:rPr>
          <w:rFonts w:eastAsia="Verdana" w:cs="Arial"/>
          <w:i/>
          <w:lang w:val="es-ES"/>
        </w:rPr>
      </w:pPr>
      <w:r w:rsidRPr="00B450EB">
        <w:rPr>
          <w:rFonts w:cs="Arial"/>
          <w:i/>
        </w:rPr>
        <w:t>Riesgo de contaminación de Acuíferos</w:t>
      </w:r>
    </w:p>
    <w:p w14:paraId="35F8F694" w14:textId="77777777" w:rsidR="00507C43" w:rsidRPr="00B450EB" w:rsidRDefault="00507C43" w:rsidP="00507C43">
      <w:pPr>
        <w:spacing w:before="21"/>
        <w:rPr>
          <w:rFonts w:eastAsia="Verdana" w:cs="Arial"/>
          <w:lang w:val="es-ES"/>
        </w:rPr>
      </w:pPr>
      <w:r w:rsidRPr="00B450EB">
        <w:rPr>
          <w:rFonts w:eastAsia="Verdana" w:cs="Arial"/>
        </w:rPr>
        <w:t>- Reinyección de aguas residuales al subsuelo: la asociación Colombiana de Petróleos – ACP, 2019</w:t>
      </w:r>
      <w:r w:rsidRPr="00B450EB">
        <w:rPr>
          <w:rFonts w:eastAsia="Verdana" w:cs="Arial"/>
          <w:vertAlign w:val="superscript"/>
        </w:rPr>
        <w:t>11</w:t>
      </w:r>
      <w:r w:rsidRPr="00B450EB">
        <w:rPr>
          <w:rFonts w:eastAsia="Verdana" w:cs="Arial"/>
        </w:rPr>
        <w:t xml:space="preserve"> menciona que en el país por cada barril - </w:t>
      </w:r>
      <w:proofErr w:type="spellStart"/>
      <w:r w:rsidRPr="00B450EB">
        <w:rPr>
          <w:rFonts w:eastAsia="Verdana" w:cs="Arial"/>
        </w:rPr>
        <w:t>Bbl</w:t>
      </w:r>
      <w:proofErr w:type="spellEnd"/>
      <w:r w:rsidRPr="00B450EB">
        <w:rPr>
          <w:rFonts w:eastAsia="Verdana" w:cs="Arial"/>
        </w:rPr>
        <w:t xml:space="preserve"> de petróleo producido en el territorio nacional, se generan 13 </w:t>
      </w:r>
      <w:proofErr w:type="spellStart"/>
      <w:r w:rsidRPr="00B450EB">
        <w:rPr>
          <w:rFonts w:eastAsia="Verdana" w:cs="Arial"/>
        </w:rPr>
        <w:t>Bbl</w:t>
      </w:r>
      <w:proofErr w:type="spellEnd"/>
      <w:r w:rsidRPr="00B450EB">
        <w:rPr>
          <w:rFonts w:eastAsia="Verdana" w:cs="Arial"/>
        </w:rPr>
        <w:t xml:space="preserve"> de aguas de producción. </w:t>
      </w:r>
    </w:p>
    <w:p w14:paraId="2B186203" w14:textId="77777777" w:rsidR="00507C43" w:rsidRPr="00B450EB" w:rsidRDefault="00507C43" w:rsidP="00507C43">
      <w:pPr>
        <w:spacing w:before="21"/>
        <w:rPr>
          <w:rFonts w:eastAsia="Verdana" w:cs="Arial"/>
          <w:lang w:val="es-ES"/>
        </w:rPr>
      </w:pPr>
      <w:r w:rsidRPr="00B450EB">
        <w:rPr>
          <w:rFonts w:eastAsia="Verdana" w:cs="Arial"/>
        </w:rPr>
        <w:t>Los campos que hacen parte del Piedemonte Amazónico adolecen de altas tasas de producción de agua, de acuerdo con la ANH se tiene cortes de agua del 90% en promedio; así lo corrobora Ecopetrol</w:t>
      </w:r>
      <w:r w:rsidRPr="00B450EB">
        <w:rPr>
          <w:rFonts w:eastAsia="Calibri" w:cs="Arial"/>
          <w:vertAlign w:val="superscript"/>
        </w:rPr>
        <w:t>12</w:t>
      </w:r>
      <w:r w:rsidRPr="00B450EB">
        <w:rPr>
          <w:rFonts w:eastAsia="Verdana" w:cs="Arial"/>
        </w:rPr>
        <w:t xml:space="preserve"> que, para la regional Sur informa se reinyecta el 93% del volumen de fluidos producido (agua, gas, petróleo). </w:t>
      </w:r>
    </w:p>
    <w:p w14:paraId="6174DA30" w14:textId="0B9106CB" w:rsidR="00507C43" w:rsidRPr="00B450EB" w:rsidRDefault="00507C43" w:rsidP="00507C43">
      <w:pPr>
        <w:keepNext/>
        <w:spacing w:before="21" w:after="0" w:line="240" w:lineRule="auto"/>
        <w:jc w:val="center"/>
        <w:rPr>
          <w:rFonts w:eastAsia="Verdana" w:cs="Arial"/>
          <w:lang w:val="es-ES"/>
        </w:rPr>
      </w:pPr>
    </w:p>
    <w:p w14:paraId="5AE3601E" w14:textId="27678055" w:rsidR="00507C43" w:rsidRPr="00B450EB" w:rsidRDefault="002C2B5B" w:rsidP="002C2B5B">
      <w:pPr>
        <w:pStyle w:val="Descripcin"/>
        <w:rPr>
          <w:color w:val="auto"/>
        </w:rPr>
      </w:pPr>
      <w:bookmarkStart w:id="223" w:name="_Toc209462785"/>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97</w:t>
      </w:r>
      <w:r w:rsidR="0045353A" w:rsidRPr="00B450EB">
        <w:rPr>
          <w:noProof/>
          <w:color w:val="auto"/>
        </w:rPr>
        <w:fldChar w:fldCharType="end"/>
      </w:r>
      <w:r w:rsidRPr="00B450EB">
        <w:rPr>
          <w:color w:val="auto"/>
        </w:rPr>
        <w:t xml:space="preserve">. </w:t>
      </w:r>
      <w:r w:rsidR="00507C43" w:rsidRPr="00B450EB">
        <w:rPr>
          <w:color w:val="auto"/>
        </w:rPr>
        <w:t>Tasas de corte de producción de fluidos, sector hidrocarburos (país)</w:t>
      </w:r>
      <w:bookmarkEnd w:id="223"/>
    </w:p>
    <w:p w14:paraId="00F5D1C3" w14:textId="717CD890" w:rsidR="002C2B5B" w:rsidRPr="00B450EB" w:rsidRDefault="002C2B5B" w:rsidP="00200662">
      <w:pPr>
        <w:spacing w:after="0"/>
        <w:jc w:val="center"/>
      </w:pPr>
      <w:r w:rsidRPr="00B450EB">
        <w:rPr>
          <w:rFonts w:cs="Arial"/>
          <w:noProof/>
        </w:rPr>
        <w:drawing>
          <wp:inline distT="0" distB="0" distL="0" distR="0" wp14:anchorId="5D8D0B64" wp14:editId="144ED995">
            <wp:extent cx="2628562" cy="2296668"/>
            <wp:effectExtent l="0" t="0" r="635" b="8890"/>
            <wp:docPr id="1474907421" name="drawing"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
                    <pic:cNvPicPr/>
                  </pic:nvPicPr>
                  <pic:blipFill rotWithShape="1">
                    <a:blip r:embed="rId157" cstate="email">
                      <a:extLst>
                        <a:ext uri="{28A0092B-C50C-407E-A947-70E740481C1C}">
                          <a14:useLocalDpi xmlns:a14="http://schemas.microsoft.com/office/drawing/2010/main"/>
                        </a:ext>
                      </a:extLst>
                    </a:blip>
                    <a:srcRect/>
                    <a:stretch>
                      <a:fillRect/>
                    </a:stretch>
                  </pic:blipFill>
                  <pic:spPr bwMode="auto">
                    <a:xfrm>
                      <a:off x="0" y="0"/>
                      <a:ext cx="2628900" cy="2296964"/>
                    </a:xfrm>
                    <a:prstGeom prst="rect">
                      <a:avLst/>
                    </a:prstGeom>
                    <a:ln>
                      <a:noFill/>
                    </a:ln>
                    <a:extLst>
                      <a:ext uri="{53640926-AAD7-44D8-BBD7-CCE9431645EC}">
                        <a14:shadowObscured xmlns:a14="http://schemas.microsoft.com/office/drawing/2010/main"/>
                      </a:ext>
                    </a:extLst>
                  </pic:spPr>
                </pic:pic>
              </a:graphicData>
            </a:graphic>
          </wp:inline>
        </w:drawing>
      </w:r>
    </w:p>
    <w:p w14:paraId="3E9E8210" w14:textId="14714B9F" w:rsidR="00200662" w:rsidRPr="00B450EB" w:rsidRDefault="00200662" w:rsidP="002C2B5B">
      <w:pPr>
        <w:jc w:val="center"/>
        <w:rPr>
          <w:sz w:val="18"/>
          <w:szCs w:val="18"/>
        </w:rPr>
      </w:pPr>
      <w:r w:rsidRPr="00B450EB">
        <w:rPr>
          <w:sz w:val="18"/>
          <w:szCs w:val="18"/>
        </w:rPr>
        <w:t xml:space="preserve">Fuente: Tomado de MinMinas- ANH, 2014 / </w:t>
      </w:r>
      <w:proofErr w:type="spellStart"/>
      <w:r w:rsidRPr="00B450EB">
        <w:rPr>
          <w:sz w:val="18"/>
          <w:szCs w:val="18"/>
        </w:rPr>
        <w:t>Acipet</w:t>
      </w:r>
      <w:proofErr w:type="spellEnd"/>
      <w:r w:rsidRPr="00B450EB">
        <w:rPr>
          <w:sz w:val="18"/>
          <w:szCs w:val="18"/>
        </w:rPr>
        <w:t>, 2013</w:t>
      </w:r>
    </w:p>
    <w:p w14:paraId="5FEB4254" w14:textId="77777777" w:rsidR="00507C43" w:rsidRPr="00B450EB" w:rsidRDefault="00507C43" w:rsidP="00507C43">
      <w:pPr>
        <w:spacing w:before="21"/>
        <w:rPr>
          <w:rFonts w:eastAsia="Verdana" w:cs="Arial"/>
          <w:lang w:val="es-ES"/>
        </w:rPr>
      </w:pPr>
      <w:r w:rsidRPr="00B450EB">
        <w:rPr>
          <w:rFonts w:eastAsia="Verdana" w:cs="Arial"/>
        </w:rPr>
        <w:t xml:space="preserve">En ese sentido, uno de los impactos críticos en la región amazónica, derivado de las actividades del sector, es la necesidad de gestionar estas aguas producidas, sea en vertimientos en cuerpos hídricos superficiales, suelos o la reinyección de aguas al subsuelo, práctica común en la industria de hidrocarburos para la recuperación </w:t>
      </w:r>
      <w:r w:rsidRPr="00B450EB">
        <w:rPr>
          <w:rFonts w:eastAsia="Verdana" w:cs="Arial"/>
        </w:rPr>
        <w:lastRenderedPageBreak/>
        <w:t>mejorada (incrementar la producción de hidrocarburos) o para la disposición final. El destino de estas aguas de producción, de acuerdo con ACP (2019</w:t>
      </w:r>
      <w:r w:rsidRPr="00B450EB">
        <w:rPr>
          <w:rFonts w:eastAsia="Verdana" w:cs="Arial"/>
          <w:vertAlign w:val="superscript"/>
        </w:rPr>
        <w:t>13</w:t>
      </w:r>
      <w:r w:rsidRPr="00B450EB">
        <w:rPr>
          <w:rFonts w:eastAsia="Verdana" w:cs="Arial"/>
        </w:rPr>
        <w:t>) es un 73.9% para reinyección (de los cuales 20% es para Recuperación mejorada y 80% para Disposición Final</w:t>
      </w:r>
      <w:proofErr w:type="gramStart"/>
      <w:r w:rsidRPr="00B450EB">
        <w:rPr>
          <w:rFonts w:eastAsia="Verdana" w:cs="Arial"/>
        </w:rPr>
        <w:t>) ,</w:t>
      </w:r>
      <w:proofErr w:type="gramEnd"/>
      <w:r w:rsidRPr="00B450EB">
        <w:rPr>
          <w:rFonts w:eastAsia="Verdana" w:cs="Arial"/>
        </w:rPr>
        <w:t xml:space="preserve"> 25,98% para vertimientos y tan solo un 0.16% es reusada. </w:t>
      </w:r>
    </w:p>
    <w:p w14:paraId="5F5C6BC7" w14:textId="19D064F5" w:rsidR="00507C43" w:rsidRPr="00B450EB" w:rsidRDefault="00507C43" w:rsidP="00507C43">
      <w:pPr>
        <w:keepNext/>
        <w:spacing w:before="21" w:after="0" w:line="240" w:lineRule="auto"/>
        <w:jc w:val="center"/>
        <w:rPr>
          <w:rFonts w:eastAsia="Verdana" w:cs="Arial"/>
          <w:lang w:val="es-ES"/>
        </w:rPr>
      </w:pPr>
    </w:p>
    <w:p w14:paraId="0F3DE3F5" w14:textId="2D9B6C46" w:rsidR="0008611E" w:rsidRPr="00B450EB" w:rsidRDefault="00E721EA" w:rsidP="0008611E">
      <w:pPr>
        <w:pStyle w:val="Descripcin"/>
        <w:rPr>
          <w:color w:val="auto"/>
        </w:rPr>
      </w:pPr>
      <w:bookmarkStart w:id="224" w:name="_Toc209462786"/>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98</w:t>
      </w:r>
      <w:r w:rsidR="0045353A" w:rsidRPr="00B450EB">
        <w:rPr>
          <w:noProof/>
          <w:color w:val="auto"/>
        </w:rPr>
        <w:fldChar w:fldCharType="end"/>
      </w:r>
      <w:r w:rsidR="0008611E" w:rsidRPr="00B450EB">
        <w:rPr>
          <w:color w:val="auto"/>
        </w:rPr>
        <w:t xml:space="preserve">. </w:t>
      </w:r>
      <w:r w:rsidR="00507C43" w:rsidRPr="00B450EB">
        <w:rPr>
          <w:color w:val="auto"/>
        </w:rPr>
        <w:t>Destino aguas de producción.</w:t>
      </w:r>
      <w:bookmarkEnd w:id="224"/>
      <w:r w:rsidR="00507C43" w:rsidRPr="00B450EB">
        <w:rPr>
          <w:color w:val="auto"/>
        </w:rPr>
        <w:t xml:space="preserve"> </w:t>
      </w:r>
    </w:p>
    <w:p w14:paraId="595E61F0" w14:textId="14E01646" w:rsidR="0008611E" w:rsidRPr="00B450EB" w:rsidRDefault="0008611E" w:rsidP="00507C43">
      <w:pPr>
        <w:pStyle w:val="Descripcin"/>
        <w:rPr>
          <w:rFonts w:eastAsia="Verdana" w:cs="Arial"/>
          <w:color w:val="auto"/>
          <w:sz w:val="24"/>
          <w:szCs w:val="24"/>
        </w:rPr>
      </w:pPr>
      <w:r w:rsidRPr="00B450EB">
        <w:rPr>
          <w:rFonts w:cs="Arial"/>
          <w:noProof/>
          <w:color w:val="auto"/>
          <w:sz w:val="24"/>
          <w:szCs w:val="24"/>
        </w:rPr>
        <w:drawing>
          <wp:inline distT="0" distB="0" distL="0" distR="0" wp14:anchorId="73C325FC" wp14:editId="20953B58">
            <wp:extent cx="2971800" cy="2647950"/>
            <wp:effectExtent l="0" t="0" r="0" b="0"/>
            <wp:docPr id="19666659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
                    <pic:cNvPicPr/>
                  </pic:nvPicPr>
                  <pic:blipFill>
                    <a:blip r:embed="rId158">
                      <a:extLst>
                        <a:ext uri="{28A0092B-C50C-407E-A947-70E740481C1C}">
                          <a14:useLocalDpi xmlns:a14="http://schemas.microsoft.com/office/drawing/2010/main" val="0"/>
                        </a:ext>
                      </a:extLst>
                    </a:blip>
                    <a:stretch>
                      <a:fillRect/>
                    </a:stretch>
                  </pic:blipFill>
                  <pic:spPr>
                    <a:xfrm>
                      <a:off x="0" y="0"/>
                      <a:ext cx="2971800" cy="2647950"/>
                    </a:xfrm>
                    <a:prstGeom prst="rect">
                      <a:avLst/>
                    </a:prstGeom>
                  </pic:spPr>
                </pic:pic>
              </a:graphicData>
            </a:graphic>
          </wp:inline>
        </w:drawing>
      </w:r>
    </w:p>
    <w:p w14:paraId="779F9445" w14:textId="545EF15D" w:rsidR="00507C43" w:rsidRPr="00B450EB" w:rsidRDefault="00507C43" w:rsidP="00507C43">
      <w:pPr>
        <w:pStyle w:val="Descripcin"/>
        <w:rPr>
          <w:rFonts w:eastAsia="Verdana" w:cs="Arial"/>
          <w:i w:val="0"/>
          <w:iCs w:val="0"/>
          <w:color w:val="auto"/>
        </w:rPr>
      </w:pPr>
      <w:r w:rsidRPr="00B450EB">
        <w:rPr>
          <w:rFonts w:eastAsia="Verdana" w:cs="Arial"/>
          <w:i w:val="0"/>
          <w:iCs w:val="0"/>
          <w:color w:val="auto"/>
        </w:rPr>
        <w:t>Fuente: ACP, Informe de desempeño Ambiental 2016-2019</w:t>
      </w:r>
    </w:p>
    <w:p w14:paraId="1A90357E" w14:textId="77777777" w:rsidR="0008611E" w:rsidRPr="00B450EB" w:rsidRDefault="0008611E" w:rsidP="00507C43">
      <w:pPr>
        <w:rPr>
          <w:sz w:val="18"/>
          <w:szCs w:val="18"/>
        </w:rPr>
      </w:pPr>
    </w:p>
    <w:p w14:paraId="4008193F" w14:textId="77777777" w:rsidR="00507C43" w:rsidRPr="00B450EB" w:rsidRDefault="00507C43" w:rsidP="00507C43">
      <w:pPr>
        <w:spacing w:before="21"/>
        <w:rPr>
          <w:rFonts w:eastAsia="Verdana" w:cs="Arial"/>
          <w:lang w:val="es-ES"/>
        </w:rPr>
      </w:pPr>
      <w:r w:rsidRPr="00B450EB">
        <w:rPr>
          <w:rFonts w:eastAsia="Verdana" w:cs="Arial"/>
          <w:lang w:val="es-ES"/>
        </w:rPr>
        <w:t>Riesgos asociados a la inyección o reinyección para recuperación mejorada o disposición final del agua residual.</w:t>
      </w:r>
    </w:p>
    <w:p w14:paraId="11BD5B3C" w14:textId="77777777" w:rsidR="00507C43" w:rsidRPr="00B450EB" w:rsidRDefault="00507C43" w:rsidP="00CE0CE4">
      <w:pPr>
        <w:pStyle w:val="Prrafodelista"/>
        <w:numPr>
          <w:ilvl w:val="0"/>
          <w:numId w:val="32"/>
        </w:numPr>
        <w:spacing w:before="21" w:after="120" w:line="276" w:lineRule="auto"/>
        <w:ind w:left="357" w:hanging="357"/>
        <w:rPr>
          <w:rFonts w:eastAsia="Verdana" w:cs="Arial"/>
          <w:lang w:val="es-ES"/>
        </w:rPr>
      </w:pPr>
      <w:r w:rsidRPr="00B450EB">
        <w:rPr>
          <w:rFonts w:eastAsia="Verdana" w:cs="Arial"/>
        </w:rPr>
        <w:t>Alteración de la dinámica de los acuíferos y su disponibilidad: La inyección de aguas residuales puede generar una filtración de estos contaminantes a través de formaciones geológicas que conectan acuíferos superficiales y profundos. Esta contaminación transfronteriza entre acuíferos podría afectar fuentes de agua potable y de riego, ampliando el impacto sobre los ecosistemas y las comunidades cercanas a las zonas de extracción.</w:t>
      </w:r>
    </w:p>
    <w:p w14:paraId="2861BC01" w14:textId="77777777" w:rsidR="00507C43" w:rsidRPr="00B450EB" w:rsidRDefault="00507C43" w:rsidP="00CE0CE4">
      <w:pPr>
        <w:pStyle w:val="Prrafodelista"/>
        <w:numPr>
          <w:ilvl w:val="0"/>
          <w:numId w:val="32"/>
        </w:numPr>
        <w:spacing w:before="21" w:after="120" w:line="276" w:lineRule="auto"/>
        <w:ind w:left="357" w:hanging="357"/>
        <w:rPr>
          <w:rFonts w:eastAsia="Verdana" w:cs="Arial"/>
          <w:lang w:val="es-ES"/>
        </w:rPr>
      </w:pPr>
      <w:r w:rsidRPr="00B450EB">
        <w:rPr>
          <w:rFonts w:eastAsia="Verdana" w:cs="Arial"/>
        </w:rPr>
        <w:t>Alteración de la calidad del agua: La alteración de los acuíferos y las fuentes de agua superficiales (como ríos y quebradas) debido a la inyección de aguas residuales puede dar lugar a una disminución de la calidad del agua, aumentando los niveles de salinidad, metales pesados, sustancias tóxicas y materia orgánica, lo que impacta negativamente la salud de las comunidades humanas y animales que dependen de estos cuerpos de agua. De acuerdo con el mencionado informe del SGC</w:t>
      </w:r>
      <w:r w:rsidRPr="00B450EB">
        <w:rPr>
          <w:rFonts w:eastAsia="Calibri" w:cs="Arial"/>
          <w:vertAlign w:val="superscript"/>
        </w:rPr>
        <w:t>14</w:t>
      </w:r>
      <w:r w:rsidRPr="00B450EB">
        <w:rPr>
          <w:rFonts w:eastAsia="Verdana" w:cs="Arial"/>
        </w:rPr>
        <w:t xml:space="preserve">, en la revisión de los Informes de Cumplimiento Ambiental (ICA) se ha evidenciado reinyección al subsuelo de aguas altamente tóxicas.  </w:t>
      </w:r>
    </w:p>
    <w:p w14:paraId="48763679" w14:textId="77777777" w:rsidR="00507C43" w:rsidRPr="00B450EB" w:rsidRDefault="00507C43" w:rsidP="00507C43">
      <w:pPr>
        <w:spacing w:before="21"/>
        <w:rPr>
          <w:rFonts w:eastAsia="Verdana" w:cs="Arial"/>
          <w:lang w:val="es-ES"/>
        </w:rPr>
      </w:pPr>
      <w:r w:rsidRPr="00B450EB">
        <w:rPr>
          <w:rFonts w:eastAsia="Verdana" w:cs="Arial"/>
        </w:rPr>
        <w:lastRenderedPageBreak/>
        <w:t>Para el corredor Puerto Vega -</w:t>
      </w:r>
      <w:proofErr w:type="spellStart"/>
      <w:r w:rsidRPr="00B450EB">
        <w:rPr>
          <w:rFonts w:eastAsia="Verdana" w:cs="Arial"/>
        </w:rPr>
        <w:t>Teteyé</w:t>
      </w:r>
      <w:proofErr w:type="spellEnd"/>
      <w:r w:rsidRPr="00B450EB">
        <w:rPr>
          <w:rFonts w:eastAsia="Verdana" w:cs="Arial"/>
        </w:rPr>
        <w:t xml:space="preserve">, en jurisdicción del municipio de Puerto Asís, el SGC se encuentra adelantando dos estudios: </w:t>
      </w:r>
    </w:p>
    <w:p w14:paraId="7A149E10" w14:textId="77777777" w:rsidR="00507C43" w:rsidRPr="00B450EB" w:rsidRDefault="00507C43" w:rsidP="00CE0CE4">
      <w:pPr>
        <w:pStyle w:val="Prrafodelista"/>
        <w:numPr>
          <w:ilvl w:val="0"/>
          <w:numId w:val="32"/>
        </w:numPr>
        <w:spacing w:before="21" w:line="276" w:lineRule="auto"/>
        <w:rPr>
          <w:rFonts w:eastAsia="Verdana" w:cs="Arial"/>
          <w:lang w:val="es-ES"/>
        </w:rPr>
      </w:pPr>
      <w:r w:rsidRPr="00B450EB">
        <w:rPr>
          <w:rFonts w:eastAsia="Verdana" w:cs="Arial"/>
          <w:i/>
          <w:iCs/>
        </w:rPr>
        <w:t xml:space="preserve">(1) Caracterización de los Contaminantes orgánicos e inorgánicos de las cuencas hidrográficas del corredor Puerto Vega- </w:t>
      </w:r>
      <w:proofErr w:type="spellStart"/>
      <w:r w:rsidRPr="00B450EB">
        <w:rPr>
          <w:rFonts w:eastAsia="Verdana" w:cs="Arial"/>
          <w:i/>
          <w:iCs/>
        </w:rPr>
        <w:t>Teteyé</w:t>
      </w:r>
      <w:proofErr w:type="spellEnd"/>
      <w:r w:rsidRPr="00B450EB">
        <w:rPr>
          <w:rFonts w:eastAsia="Verdana" w:cs="Arial"/>
          <w:i/>
          <w:iCs/>
        </w:rPr>
        <w:t xml:space="preserve">, Puerto Asís, Putumayo. </w:t>
      </w:r>
    </w:p>
    <w:p w14:paraId="0400D16A" w14:textId="77777777" w:rsidR="00507C43" w:rsidRPr="00B450EB" w:rsidRDefault="00507C43" w:rsidP="00CE0CE4">
      <w:pPr>
        <w:pStyle w:val="Prrafodelista"/>
        <w:numPr>
          <w:ilvl w:val="0"/>
          <w:numId w:val="32"/>
        </w:numPr>
        <w:spacing w:before="21" w:line="240" w:lineRule="auto"/>
        <w:rPr>
          <w:rFonts w:eastAsia="Verdana" w:cs="Arial"/>
          <w:lang w:val="es-ES"/>
        </w:rPr>
      </w:pPr>
      <w:r w:rsidRPr="00B450EB">
        <w:rPr>
          <w:rFonts w:eastAsia="Verdana" w:cs="Arial"/>
          <w:i/>
          <w:iCs/>
        </w:rPr>
        <w:t>(2) “Diagnóstico de información para estudios de geología médica en el Corredor Vial Puerto Vega-</w:t>
      </w:r>
      <w:proofErr w:type="spellStart"/>
      <w:r w:rsidRPr="00B450EB">
        <w:rPr>
          <w:rFonts w:eastAsia="Verdana" w:cs="Arial"/>
          <w:i/>
          <w:iCs/>
        </w:rPr>
        <w:t>Teteyé</w:t>
      </w:r>
      <w:proofErr w:type="spellEnd"/>
      <w:r w:rsidRPr="00B450EB">
        <w:rPr>
          <w:rFonts w:eastAsia="Verdana" w:cs="Arial"/>
          <w:i/>
          <w:iCs/>
        </w:rPr>
        <w:t xml:space="preserve">” </w:t>
      </w:r>
    </w:p>
    <w:p w14:paraId="2E6E7DE4" w14:textId="77777777" w:rsidR="00507C43" w:rsidRPr="00B450EB" w:rsidRDefault="00507C43" w:rsidP="00507C43">
      <w:pPr>
        <w:spacing w:before="21"/>
        <w:rPr>
          <w:rFonts w:eastAsia="Verdana" w:cs="Arial"/>
          <w:lang w:val="es-ES"/>
        </w:rPr>
      </w:pPr>
      <w:r w:rsidRPr="00B450EB">
        <w:rPr>
          <w:rFonts w:eastAsia="Verdana" w:cs="Arial"/>
        </w:rPr>
        <w:t xml:space="preserve">Es de resaltar que con base en estos estudios, con algunas aproximaciones que pueden dar cuenta conceptualmente, señala el SGC, se ha identificado la materialización del riesgo de contaminación, que las áreas intervenidas por el sector hidrocarburos, presentan suelos con pH más ácidos que las zonas no intervenidas, por lo que hay un riesgo de acidificación de los cuerpos de agua en las zonas con actividad y en </w:t>
      </w:r>
      <w:proofErr w:type="spellStart"/>
      <w:r w:rsidRPr="00B450EB">
        <w:rPr>
          <w:rFonts w:eastAsia="Verdana" w:cs="Arial"/>
        </w:rPr>
        <w:t>hidrogeoquimica</w:t>
      </w:r>
      <w:proofErr w:type="spellEnd"/>
      <w:r w:rsidRPr="00B450EB">
        <w:rPr>
          <w:rFonts w:eastAsia="Verdana" w:cs="Arial"/>
        </w:rPr>
        <w:t xml:space="preserve">, así como de liberación, movilización y dispersión de elementos potencialmente peligrosos como arsénico, cadmio y plomo, entre otros, con afectación al ecosistema y la salud de las poblaciones expuestas. </w:t>
      </w:r>
    </w:p>
    <w:p w14:paraId="5FE05803" w14:textId="77777777" w:rsidR="00507C43" w:rsidRPr="00B450EB" w:rsidRDefault="00507C43" w:rsidP="00507C43">
      <w:pPr>
        <w:spacing w:before="21"/>
        <w:rPr>
          <w:rFonts w:eastAsia="Verdana" w:cs="Arial"/>
          <w:lang w:val="es-ES"/>
        </w:rPr>
      </w:pPr>
      <w:r w:rsidRPr="00B450EB">
        <w:rPr>
          <w:rFonts w:eastAsia="Verdana" w:cs="Arial"/>
        </w:rPr>
        <w:t>Lo anterior se plantea, puede deberse a que dichas actividades extractivas han potenciado la exposición y subsecuente meteorización de minerales acidificantes contenidos en las rocas de la región, así como la liberación y oxidación de materia orgánica (de los hidrocarburos) que, a su vez, favorece la formación de complejos organometálicos con efectos ambientales desconocidos.</w:t>
      </w:r>
    </w:p>
    <w:p w14:paraId="3C9D502B" w14:textId="77777777" w:rsidR="00507C43" w:rsidRPr="00B450EB" w:rsidRDefault="00507C43" w:rsidP="00507C43">
      <w:pPr>
        <w:rPr>
          <w:rFonts w:eastAsia="Verdana" w:cs="Arial"/>
          <w:i/>
          <w:iCs/>
          <w:lang w:val="es-ES"/>
        </w:rPr>
      </w:pPr>
      <w:r w:rsidRPr="00B450EB">
        <w:rPr>
          <w:rFonts w:cs="Arial"/>
          <w:i/>
          <w:iCs/>
        </w:rPr>
        <w:t>El riesgo de derrame de hidrocarburos en las actividades de explotación y transporte del sector de hidrocarburos.</w:t>
      </w:r>
    </w:p>
    <w:p w14:paraId="7A195CBB" w14:textId="77777777" w:rsidR="00507C43" w:rsidRPr="00B450EB" w:rsidRDefault="00507C43" w:rsidP="00507C43">
      <w:pPr>
        <w:spacing w:before="21"/>
        <w:rPr>
          <w:rFonts w:eastAsia="Verdana" w:cs="Arial"/>
          <w:lang w:val="es-ES"/>
        </w:rPr>
      </w:pPr>
      <w:r w:rsidRPr="00B450EB">
        <w:rPr>
          <w:rFonts w:eastAsia="Verdana" w:cs="Arial"/>
        </w:rPr>
        <w:t>Los derrames y o pérdidas de contención en las actividades del sector de hidrocarburos son inevitables, el índice de siniestralidad de la actividad de la industria de hidrocarburos en Colombia muestra que se presentan al año en promedio 427 derrames operacionales de la industria de extracción de hidrocarburos y 18 provienen por contingencias en el transporte por carro tanque</w:t>
      </w:r>
      <w:r w:rsidRPr="00B450EB">
        <w:rPr>
          <w:rFonts w:eastAsia="Verdana" w:cs="Arial"/>
          <w:vertAlign w:val="superscript"/>
        </w:rPr>
        <w:t>15</w:t>
      </w:r>
      <w:r w:rsidRPr="00B450EB">
        <w:rPr>
          <w:rFonts w:eastAsia="Verdana" w:cs="Arial"/>
        </w:rPr>
        <w:t>, sin contar con los eventos de derrames provocados por actos de terceros voluntarios, que agravan de forma ostensible esta situación.</w:t>
      </w:r>
    </w:p>
    <w:p w14:paraId="3A076D57" w14:textId="77777777" w:rsidR="00507C43" w:rsidRPr="00B450EB" w:rsidRDefault="00507C43" w:rsidP="00507C43">
      <w:pPr>
        <w:spacing w:before="21"/>
        <w:rPr>
          <w:rFonts w:eastAsia="Verdana" w:cs="Arial"/>
          <w:lang w:val="es-ES"/>
        </w:rPr>
      </w:pPr>
      <w:r w:rsidRPr="00B450EB">
        <w:rPr>
          <w:rFonts w:eastAsia="Verdana" w:cs="Arial"/>
        </w:rPr>
        <w:t>Sobre esta base, se puede considerar inevitable o inherente a la actividad el derrame de hidrocarburos en una etapa de explotación, de manera que los problemas en superficie pueden abarcar el tratamiento y recuperación de áreas que se estima DAASU para el área en hasta de 4 hectáreas año, que puede resultar complejo en áreas inundables.</w:t>
      </w:r>
    </w:p>
    <w:p w14:paraId="49FA82BD" w14:textId="77777777" w:rsidR="00507C43" w:rsidRPr="00B450EB" w:rsidRDefault="00507C43" w:rsidP="0008611E">
      <w:pPr>
        <w:spacing w:before="21" w:line="276" w:lineRule="auto"/>
        <w:rPr>
          <w:rFonts w:eastAsia="Verdana" w:cs="Arial"/>
          <w:lang w:val="es-ES"/>
        </w:rPr>
      </w:pPr>
      <w:r w:rsidRPr="00B450EB">
        <w:rPr>
          <w:rFonts w:eastAsia="Verdana" w:cs="Arial"/>
        </w:rPr>
        <w:t xml:space="preserve">Los derrames de petróleo ya sean operacionales o generadas por acciones de terceros intencionados, ponen en peligro la salud pública, afectan el recurso hídrico, el suelo, devastan los recursos naturales y perturban la economía local. Los derrames de hidrocarburos tienen un efecto marcadamente negativo en la fauna, </w:t>
      </w:r>
      <w:r w:rsidRPr="00B450EB">
        <w:rPr>
          <w:rFonts w:eastAsia="Verdana" w:cs="Arial"/>
        </w:rPr>
        <w:lastRenderedPageBreak/>
        <w:t xml:space="preserve">flora y servicios que brinda la naturaleza del área afectada, razón por la cual a la industria petrolera se le exigen altos estándares en la gestión ambiental de los proyectos y deben formular planes de contingencia específicos para la explotación y el transporte de hidrocarburos. Al ser el petróleo una sustancia peligrosa y desarrollarse las labores en áreas con una alta sensibilidad ambiental, la problemática es mayor y se deben entonces adoptar todas las medidas posibles para evitar que este tipo de fenómenos se materialice. </w:t>
      </w:r>
    </w:p>
    <w:p w14:paraId="2A766839" w14:textId="77777777" w:rsidR="00507C43" w:rsidRPr="00B450EB" w:rsidRDefault="00507C43" w:rsidP="0008611E">
      <w:pPr>
        <w:spacing w:line="276" w:lineRule="auto"/>
        <w:rPr>
          <w:rFonts w:eastAsia="Verdana" w:cs="Arial"/>
          <w:i/>
          <w:lang w:val="es-ES"/>
        </w:rPr>
      </w:pPr>
      <w:r w:rsidRPr="00B450EB">
        <w:rPr>
          <w:rFonts w:cs="Arial"/>
          <w:i/>
        </w:rPr>
        <w:t>Contaminación de Suelos</w:t>
      </w:r>
    </w:p>
    <w:p w14:paraId="1B892B33" w14:textId="77777777" w:rsidR="00507C43" w:rsidRPr="00B450EB" w:rsidRDefault="00507C43" w:rsidP="0008611E">
      <w:pPr>
        <w:spacing w:before="21" w:line="276" w:lineRule="auto"/>
        <w:rPr>
          <w:rFonts w:eastAsia="Verdana" w:cs="Arial"/>
          <w:lang w:val="es-ES"/>
        </w:rPr>
      </w:pPr>
      <w:r w:rsidRPr="00B450EB">
        <w:rPr>
          <w:rFonts w:eastAsia="Verdana" w:cs="Arial"/>
        </w:rPr>
        <w:t xml:space="preserve">-Derrames de petróleo y residuos industriales: Las perforaciones y actividades de extracción de hidrocarburos en la región generan derrames de petróleo y afectaciones asociadas a la gestión de otros residuos contaminantes. </w:t>
      </w:r>
    </w:p>
    <w:p w14:paraId="784B0ADB" w14:textId="77777777" w:rsidR="00507C43" w:rsidRPr="00B450EB" w:rsidRDefault="00507C43" w:rsidP="0008611E">
      <w:pPr>
        <w:spacing w:before="21" w:after="120" w:line="276" w:lineRule="auto"/>
        <w:rPr>
          <w:rFonts w:eastAsia="Verdana" w:cs="Arial"/>
          <w:lang w:val="es-ES"/>
        </w:rPr>
      </w:pPr>
      <w:r w:rsidRPr="00B450EB">
        <w:rPr>
          <w:rFonts w:eastAsia="Verdana" w:cs="Arial"/>
        </w:rPr>
        <w:t xml:space="preserve">De acuerdo con información consultada, en derrames de hidrocarburos </w:t>
      </w:r>
    </w:p>
    <w:p w14:paraId="71EC70C3" w14:textId="77777777" w:rsidR="00507C43" w:rsidRPr="00B450EB" w:rsidRDefault="00507C43" w:rsidP="0008611E">
      <w:pPr>
        <w:spacing w:before="21" w:after="120" w:line="276" w:lineRule="auto"/>
        <w:rPr>
          <w:rFonts w:eastAsia="Verdana" w:cs="Arial"/>
          <w:lang w:val="es-ES"/>
        </w:rPr>
      </w:pPr>
      <w:r w:rsidRPr="00B450EB">
        <w:rPr>
          <w:rFonts w:eastAsia="Verdana" w:cs="Arial"/>
        </w:rPr>
        <w:t>“</w:t>
      </w:r>
      <w:r w:rsidRPr="00B450EB">
        <w:rPr>
          <w:rFonts w:eastAsia="Verdana" w:cs="Arial"/>
          <w:i/>
          <w:iCs/>
        </w:rPr>
        <w:t xml:space="preserve">Los compuestos orgánicos ligeros como gasolinas, aceites y petróleo crudo tienden a formar una capa en forma de nata en el nivel freático y se mueven horizontalmente en dirección al flujo del agua subterránea. Los compuestos orgánicos densos, migran hacia la base del acuífero creando una columna a partir de la cual pueden moverse en dirección del flujo del agua subterránea, contaminando así el acuífero en toda su profundidad. </w:t>
      </w:r>
    </w:p>
    <w:p w14:paraId="16AED6C3" w14:textId="77777777" w:rsidR="00507C43" w:rsidRPr="00B450EB" w:rsidRDefault="00507C43" w:rsidP="0008611E">
      <w:pPr>
        <w:spacing w:before="21" w:after="120" w:line="276" w:lineRule="auto"/>
        <w:rPr>
          <w:rFonts w:eastAsia="Verdana" w:cs="Arial"/>
          <w:lang w:val="es-ES"/>
        </w:rPr>
      </w:pPr>
      <w:r w:rsidRPr="00B450EB">
        <w:rPr>
          <w:rFonts w:eastAsia="Verdana" w:cs="Arial"/>
          <w:i/>
          <w:iCs/>
        </w:rPr>
        <w:t>La presencia de contaminantes en el suelo se ha conceptualizado a través de observaciones indirectas que indican la acumulación de los contaminantes orgánicos en asociación con adsorbentes naturales (</w:t>
      </w:r>
      <w:proofErr w:type="spellStart"/>
      <w:r w:rsidRPr="00B450EB">
        <w:rPr>
          <w:rFonts w:eastAsia="Verdana" w:cs="Arial"/>
          <w:i/>
          <w:iCs/>
        </w:rPr>
        <w:t>Luthy</w:t>
      </w:r>
      <w:proofErr w:type="spellEnd"/>
      <w:r w:rsidRPr="00B450EB">
        <w:rPr>
          <w:rFonts w:eastAsia="Verdana" w:cs="Arial"/>
          <w:i/>
          <w:iCs/>
        </w:rPr>
        <w:t xml:space="preserve"> et al. 1997), estableciéndose los siguientes procesos: absorción a la materia orgánica en forma, amorfa o natural o en líquidos de la fase no Acuosa (LFNA), condensada o en polímeros o residuos de combustión, adsorción a superficies orgánicas húmedas (hollín, adsorción en superficies minerales (cuarzo) y adsorción dentro de los micro poros o en minerales (zeolitas). </w:t>
      </w:r>
    </w:p>
    <w:p w14:paraId="4C71BC4C" w14:textId="77777777" w:rsidR="00507C43" w:rsidRPr="00B450EB" w:rsidRDefault="00507C43" w:rsidP="0008611E">
      <w:pPr>
        <w:spacing w:before="21" w:after="120" w:line="276" w:lineRule="auto"/>
        <w:rPr>
          <w:rFonts w:eastAsia="Verdana" w:cs="Arial"/>
          <w:lang w:val="es-ES"/>
        </w:rPr>
      </w:pPr>
      <w:r w:rsidRPr="00B450EB">
        <w:rPr>
          <w:rFonts w:eastAsia="Verdana" w:cs="Arial"/>
          <w:i/>
          <w:iCs/>
        </w:rPr>
        <w:t xml:space="preserve">Elías Munguía y Martínez (1991) en SEMARNAP (1996), concluyeron que las propiedades físicas del suelo más afectadas por derrames de hidrocarburos son: </w:t>
      </w:r>
    </w:p>
    <w:p w14:paraId="4251980F" w14:textId="77777777" w:rsidR="00507C43" w:rsidRPr="00B450EB" w:rsidRDefault="00507C43" w:rsidP="0008611E">
      <w:pPr>
        <w:spacing w:before="21" w:beforeAutospacing="1" w:afterAutospacing="1" w:line="276" w:lineRule="auto"/>
        <w:contextualSpacing/>
        <w:rPr>
          <w:rFonts w:eastAsia="Verdana" w:cs="Arial"/>
          <w:lang w:val="es-ES"/>
        </w:rPr>
      </w:pPr>
      <w:r w:rsidRPr="00B450EB">
        <w:rPr>
          <w:rFonts w:eastAsia="Verdana" w:cs="Arial"/>
          <w:i/>
          <w:iCs/>
        </w:rPr>
        <w:t xml:space="preserve">•  La estructura del suelo debido a la ruptura de los agregados </w:t>
      </w:r>
    </w:p>
    <w:p w14:paraId="4F43593B" w14:textId="77777777" w:rsidR="00507C43" w:rsidRPr="00B450EB" w:rsidRDefault="00507C43" w:rsidP="0008611E">
      <w:pPr>
        <w:spacing w:before="21" w:beforeAutospacing="1" w:afterAutospacing="1" w:line="276" w:lineRule="auto"/>
        <w:contextualSpacing/>
        <w:rPr>
          <w:rFonts w:eastAsia="Verdana" w:cs="Arial"/>
          <w:lang w:val="es-ES"/>
        </w:rPr>
      </w:pPr>
      <w:r w:rsidRPr="00B450EB">
        <w:rPr>
          <w:rFonts w:eastAsia="Verdana" w:cs="Arial"/>
          <w:i/>
          <w:iCs/>
        </w:rPr>
        <w:t xml:space="preserve">•  Aumento de la retención del agua en la capa superficial </w:t>
      </w:r>
    </w:p>
    <w:p w14:paraId="65C307D8" w14:textId="77777777" w:rsidR="00507C43" w:rsidRPr="00B450EB" w:rsidRDefault="00507C43" w:rsidP="0008611E">
      <w:pPr>
        <w:spacing w:before="21" w:after="120" w:line="276" w:lineRule="auto"/>
        <w:rPr>
          <w:rFonts w:eastAsia="Verdana" w:cs="Arial"/>
          <w:lang w:val="es-ES"/>
        </w:rPr>
      </w:pPr>
      <w:r w:rsidRPr="00B450EB">
        <w:rPr>
          <w:rFonts w:eastAsia="Verdana" w:cs="Arial"/>
          <w:i/>
          <w:iCs/>
        </w:rPr>
        <w:t xml:space="preserve">•  El potencial hídrico </w:t>
      </w:r>
    </w:p>
    <w:p w14:paraId="0610DA64" w14:textId="73789B45" w:rsidR="00507C43" w:rsidRPr="00B450EB" w:rsidRDefault="00507C43" w:rsidP="0008611E">
      <w:pPr>
        <w:spacing w:before="21" w:after="120" w:line="276" w:lineRule="auto"/>
        <w:rPr>
          <w:rFonts w:eastAsia="Verdana" w:cs="Arial"/>
          <w:lang w:val="es-ES"/>
        </w:rPr>
      </w:pPr>
      <w:r w:rsidRPr="00B450EB">
        <w:rPr>
          <w:rFonts w:eastAsia="Verdana" w:cs="Arial"/>
          <w:i/>
          <w:iCs/>
        </w:rPr>
        <w:t xml:space="preserve">Probablemente el componente más importante del suelo en relación con la persistencia de sustancias tóxicas es la arcilla. La persistencia aumenta cuanto más pequeñas son las partículas debido a que aportan </w:t>
      </w:r>
      <w:r w:rsidR="00E2721A" w:rsidRPr="00B450EB">
        <w:rPr>
          <w:rFonts w:eastAsia="Verdana" w:cs="Arial"/>
          <w:i/>
          <w:iCs/>
        </w:rPr>
        <w:t>un</w:t>
      </w:r>
      <w:r w:rsidRPr="00B450EB">
        <w:rPr>
          <w:rFonts w:eastAsia="Verdana" w:cs="Arial"/>
          <w:i/>
          <w:iCs/>
        </w:rPr>
        <w:t xml:space="preserve"> área superficial mayor para la adsorción de los productos químicos. </w:t>
      </w:r>
    </w:p>
    <w:p w14:paraId="4F96D78A" w14:textId="77777777" w:rsidR="00507C43" w:rsidRPr="00B450EB" w:rsidRDefault="00507C43" w:rsidP="0008611E">
      <w:pPr>
        <w:spacing w:before="21" w:after="120" w:line="276" w:lineRule="auto"/>
        <w:rPr>
          <w:rFonts w:eastAsia="Verdana" w:cs="Arial"/>
          <w:lang w:val="es-ES"/>
        </w:rPr>
      </w:pPr>
      <w:r w:rsidRPr="00B450EB">
        <w:rPr>
          <w:rFonts w:eastAsia="Verdana" w:cs="Arial"/>
          <w:i/>
          <w:iCs/>
        </w:rPr>
        <w:t xml:space="preserve">Las propiedades químicas del suelo más afectadas por un derrame de hidrocarburos son: </w:t>
      </w:r>
    </w:p>
    <w:p w14:paraId="68D79F39" w14:textId="77777777" w:rsidR="00507C43" w:rsidRPr="00B450EB" w:rsidRDefault="00507C43" w:rsidP="0008611E">
      <w:pPr>
        <w:spacing w:before="21" w:after="0" w:line="276" w:lineRule="auto"/>
        <w:rPr>
          <w:rFonts w:eastAsia="Verdana" w:cs="Arial"/>
          <w:lang w:val="es-ES"/>
        </w:rPr>
      </w:pPr>
      <w:r w:rsidRPr="00B450EB">
        <w:rPr>
          <w:rFonts w:eastAsia="Verdana" w:cs="Arial"/>
          <w:i/>
          <w:iCs/>
        </w:rPr>
        <w:lastRenderedPageBreak/>
        <w:t xml:space="preserve">•  Aumento de carbono orgánico, ya que el 75% del carbono del petróleo crudo es oxidable </w:t>
      </w:r>
    </w:p>
    <w:p w14:paraId="33044299" w14:textId="77777777" w:rsidR="00507C43" w:rsidRPr="00B450EB" w:rsidRDefault="00507C43" w:rsidP="0008611E">
      <w:pPr>
        <w:spacing w:before="21" w:after="0" w:line="276" w:lineRule="auto"/>
        <w:rPr>
          <w:rFonts w:eastAsia="Verdana" w:cs="Arial"/>
          <w:lang w:val="es-ES"/>
        </w:rPr>
      </w:pPr>
      <w:r w:rsidRPr="00B450EB">
        <w:rPr>
          <w:rFonts w:eastAsia="Verdana" w:cs="Arial"/>
          <w:i/>
          <w:iCs/>
        </w:rPr>
        <w:t xml:space="preserve">•  Disminución del pH, debido a la acumulación del carbono orgánico y generación de ácidos orgánicos </w:t>
      </w:r>
    </w:p>
    <w:p w14:paraId="457BA8D8" w14:textId="77777777" w:rsidR="00507C43" w:rsidRPr="00B450EB" w:rsidRDefault="00507C43" w:rsidP="0008611E">
      <w:pPr>
        <w:spacing w:before="21" w:after="0" w:line="276" w:lineRule="auto"/>
        <w:rPr>
          <w:rFonts w:eastAsia="Verdana" w:cs="Arial"/>
          <w:lang w:val="es-ES"/>
        </w:rPr>
      </w:pPr>
      <w:r w:rsidRPr="00B450EB">
        <w:rPr>
          <w:rFonts w:eastAsia="Verdana" w:cs="Arial"/>
          <w:i/>
          <w:iCs/>
        </w:rPr>
        <w:t xml:space="preserve">•  Aumento del manganeso y hierro intercambiable </w:t>
      </w:r>
    </w:p>
    <w:p w14:paraId="34094853" w14:textId="77777777" w:rsidR="00507C43" w:rsidRPr="00B450EB" w:rsidRDefault="00507C43" w:rsidP="0008611E">
      <w:pPr>
        <w:spacing w:before="21" w:after="120" w:line="276" w:lineRule="auto"/>
        <w:rPr>
          <w:rFonts w:eastAsia="Verdana" w:cs="Arial"/>
          <w:lang w:val="es-ES"/>
        </w:rPr>
      </w:pPr>
      <w:r w:rsidRPr="00B450EB">
        <w:rPr>
          <w:rFonts w:eastAsia="Verdana" w:cs="Arial"/>
          <w:i/>
          <w:iCs/>
        </w:rPr>
        <w:t xml:space="preserve">•  Aumento del fósforo disponible (SEMARNAP 1996). </w:t>
      </w:r>
    </w:p>
    <w:p w14:paraId="63287A88" w14:textId="77777777" w:rsidR="00507C43" w:rsidRPr="00B450EB" w:rsidRDefault="00507C43" w:rsidP="0008611E">
      <w:pPr>
        <w:spacing w:before="21" w:after="120" w:line="276" w:lineRule="auto"/>
        <w:rPr>
          <w:rFonts w:eastAsia="Verdana" w:cs="Arial"/>
          <w:lang w:val="es-ES"/>
        </w:rPr>
      </w:pPr>
      <w:r w:rsidRPr="00B450EB">
        <w:rPr>
          <w:rFonts w:eastAsia="Verdana" w:cs="Arial"/>
          <w:i/>
          <w:iCs/>
        </w:rPr>
        <w:t xml:space="preserve">Los efectos tóxicos de los hidrocarburos en el ambiente dependerán de: </w:t>
      </w:r>
    </w:p>
    <w:p w14:paraId="22F1A034" w14:textId="77777777" w:rsidR="00507C43" w:rsidRPr="00B450EB" w:rsidRDefault="00507C43" w:rsidP="0008611E">
      <w:pPr>
        <w:spacing w:before="21" w:after="0" w:line="276" w:lineRule="auto"/>
        <w:rPr>
          <w:rFonts w:eastAsia="Verdana" w:cs="Arial"/>
          <w:lang w:val="es-ES"/>
        </w:rPr>
      </w:pPr>
      <w:r w:rsidRPr="00B450EB">
        <w:rPr>
          <w:rFonts w:eastAsia="Verdana" w:cs="Arial"/>
          <w:i/>
          <w:iCs/>
        </w:rPr>
        <w:t xml:space="preserve">•  La cantidad y composición del petróleo </w:t>
      </w:r>
    </w:p>
    <w:p w14:paraId="2A9BBAD7" w14:textId="77777777" w:rsidR="00507C43" w:rsidRPr="00B450EB" w:rsidRDefault="00507C43" w:rsidP="0008611E">
      <w:pPr>
        <w:spacing w:before="21" w:after="0" w:line="276" w:lineRule="auto"/>
        <w:rPr>
          <w:rFonts w:eastAsia="Verdana" w:cs="Arial"/>
          <w:lang w:val="es-ES"/>
        </w:rPr>
      </w:pPr>
      <w:r w:rsidRPr="00B450EB">
        <w:rPr>
          <w:rFonts w:eastAsia="Verdana" w:cs="Arial"/>
          <w:i/>
          <w:iCs/>
        </w:rPr>
        <w:t xml:space="preserve">•  La frecuencia y tiempo de exposición </w:t>
      </w:r>
    </w:p>
    <w:p w14:paraId="335B9CAD" w14:textId="77777777" w:rsidR="00507C43" w:rsidRPr="00B450EB" w:rsidRDefault="00507C43" w:rsidP="0008611E">
      <w:pPr>
        <w:spacing w:before="21" w:after="0" w:line="276" w:lineRule="auto"/>
        <w:rPr>
          <w:rFonts w:eastAsia="Verdana" w:cs="Arial"/>
          <w:lang w:val="es-ES"/>
        </w:rPr>
      </w:pPr>
      <w:r w:rsidRPr="00B450EB">
        <w:rPr>
          <w:rFonts w:eastAsia="Verdana" w:cs="Arial"/>
          <w:i/>
          <w:iCs/>
        </w:rPr>
        <w:t xml:space="preserve">•  El estado físico del derrame </w:t>
      </w:r>
    </w:p>
    <w:p w14:paraId="5C967921" w14:textId="77777777" w:rsidR="00507C43" w:rsidRPr="00B450EB" w:rsidRDefault="00507C43" w:rsidP="0008611E">
      <w:pPr>
        <w:spacing w:before="21" w:after="0" w:line="276" w:lineRule="auto"/>
        <w:rPr>
          <w:rFonts w:eastAsia="Verdana" w:cs="Arial"/>
          <w:lang w:val="es-ES"/>
        </w:rPr>
      </w:pPr>
      <w:r w:rsidRPr="00B450EB">
        <w:rPr>
          <w:rFonts w:eastAsia="Verdana" w:cs="Arial"/>
          <w:i/>
          <w:iCs/>
        </w:rPr>
        <w:t xml:space="preserve">•  Las características del sitio donde sucedió el derrame </w:t>
      </w:r>
    </w:p>
    <w:p w14:paraId="13B1D07E" w14:textId="77777777" w:rsidR="00507C43" w:rsidRPr="00B450EB" w:rsidRDefault="00507C43" w:rsidP="0008611E">
      <w:pPr>
        <w:spacing w:before="21" w:after="0" w:line="276" w:lineRule="auto"/>
        <w:rPr>
          <w:rFonts w:eastAsia="Verdana" w:cs="Arial"/>
          <w:lang w:val="es-ES"/>
        </w:rPr>
      </w:pPr>
      <w:r w:rsidRPr="00B450EB">
        <w:rPr>
          <w:rFonts w:eastAsia="Verdana" w:cs="Arial"/>
          <w:i/>
          <w:iCs/>
        </w:rPr>
        <w:t xml:space="preserve">•  Variables ambientales como temperatura, humedad y oxígeno </w:t>
      </w:r>
    </w:p>
    <w:p w14:paraId="27981BA9" w14:textId="77777777" w:rsidR="00507C43" w:rsidRPr="00B450EB" w:rsidRDefault="00507C43" w:rsidP="0008611E">
      <w:pPr>
        <w:spacing w:before="21" w:after="0" w:line="276" w:lineRule="auto"/>
        <w:rPr>
          <w:rFonts w:eastAsia="Verdana" w:cs="Arial"/>
          <w:lang w:val="es-ES"/>
        </w:rPr>
      </w:pPr>
      <w:r w:rsidRPr="00B450EB">
        <w:rPr>
          <w:rFonts w:eastAsia="Verdana" w:cs="Arial"/>
          <w:i/>
          <w:iCs/>
        </w:rPr>
        <w:t xml:space="preserve">•  El uso de dispersantes químicos (está restringido su uso) </w:t>
      </w:r>
    </w:p>
    <w:p w14:paraId="1169EA7B" w14:textId="77777777" w:rsidR="00507C43" w:rsidRPr="00B450EB" w:rsidRDefault="00507C43" w:rsidP="0008611E">
      <w:pPr>
        <w:spacing w:before="21" w:line="276" w:lineRule="auto"/>
        <w:rPr>
          <w:rFonts w:eastAsia="Verdana" w:cs="Arial"/>
          <w:lang w:val="es-ES"/>
        </w:rPr>
      </w:pPr>
      <w:r w:rsidRPr="00B450EB">
        <w:rPr>
          <w:rFonts w:eastAsia="Verdana" w:cs="Arial"/>
          <w:i/>
          <w:iCs/>
        </w:rPr>
        <w:t>•  La sensibilidad de la biota específica del ecosistema impactado (SEMARNAP 1996</w:t>
      </w:r>
    </w:p>
    <w:p w14:paraId="27551A1F" w14:textId="77777777" w:rsidR="00507C43" w:rsidRPr="00B450EB" w:rsidRDefault="00507C43" w:rsidP="0008611E">
      <w:pPr>
        <w:spacing w:before="21" w:line="276" w:lineRule="auto"/>
        <w:rPr>
          <w:rFonts w:eastAsia="Verdana" w:cs="Arial"/>
          <w:lang w:val="es-ES"/>
        </w:rPr>
      </w:pPr>
      <w:r w:rsidRPr="00B450EB">
        <w:rPr>
          <w:rFonts w:eastAsia="Verdana" w:cs="Arial"/>
        </w:rPr>
        <w:t xml:space="preserve">Los derrames de petróleo afectan directamente los suelos, alterando su estructura y composición química. El contacto con el petróleo puede llevar a la alteración del pH y a la disminución de la fertilidad del suelo, afectando su capacidad para sustentar vegetación y alterando la biodiversidad local. </w:t>
      </w:r>
    </w:p>
    <w:p w14:paraId="06D7DBE6" w14:textId="77777777" w:rsidR="00507C43" w:rsidRPr="00B450EB" w:rsidRDefault="00507C43" w:rsidP="0008611E">
      <w:pPr>
        <w:spacing w:before="21" w:line="276" w:lineRule="auto"/>
        <w:rPr>
          <w:rFonts w:eastAsia="Verdana" w:cs="Arial"/>
          <w:lang w:val="es-ES"/>
        </w:rPr>
      </w:pPr>
      <w:r w:rsidRPr="00B450EB">
        <w:rPr>
          <w:rFonts w:eastAsia="Verdana" w:cs="Arial"/>
        </w:rPr>
        <w:t>-Gestión inadecuada de residuos sólidos y lodos: La disposición inapropiada de residuos químicos, los fluidos y cortes de perforación generados en las actividades durante la construcción de pozos, pueden contaminar los suelos cercanos. Esta contaminación tiene impacto en el medio biótico, afectando no solo a la flora local, sino que también puede ser transferida a la fauna, impactando la cadena alimentaria.</w:t>
      </w:r>
    </w:p>
    <w:p w14:paraId="221BC8B8" w14:textId="77777777" w:rsidR="00507C43" w:rsidRPr="00B450EB" w:rsidRDefault="00507C43" w:rsidP="0008611E">
      <w:pPr>
        <w:spacing w:line="276" w:lineRule="auto"/>
        <w:rPr>
          <w:rFonts w:eastAsia="Verdana" w:cs="Arial"/>
          <w:i/>
          <w:iCs/>
          <w:lang w:val="es-ES"/>
        </w:rPr>
      </w:pPr>
      <w:r w:rsidRPr="00B450EB">
        <w:rPr>
          <w:rFonts w:cs="Arial"/>
          <w:i/>
          <w:iCs/>
        </w:rPr>
        <w:t>Actos ilegales de terceros sobre el transporte por ductos en nuevas áreas</w:t>
      </w:r>
      <w:r w:rsidRPr="00B450EB">
        <w:rPr>
          <w:rFonts w:eastAsiaTheme="majorEastAsia" w:cs="Arial"/>
          <w:i/>
          <w:iCs/>
        </w:rPr>
        <w:t xml:space="preserve"> </w:t>
      </w:r>
    </w:p>
    <w:p w14:paraId="1EEFFD3C" w14:textId="77777777" w:rsidR="00507C43" w:rsidRPr="00B450EB" w:rsidRDefault="00507C43" w:rsidP="0008611E">
      <w:pPr>
        <w:spacing w:before="21" w:line="276" w:lineRule="auto"/>
        <w:rPr>
          <w:rFonts w:eastAsia="Verdana" w:cs="Arial"/>
          <w:lang w:val="es-ES"/>
        </w:rPr>
      </w:pPr>
      <w:r w:rsidRPr="00B450EB">
        <w:rPr>
          <w:rFonts w:eastAsia="Verdana" w:cs="Arial"/>
        </w:rPr>
        <w:t>Los fenómenos de atentados contra la infraestructura petrolera en el país se han incrementado significativamente en los últimos años, producto de que los grupos al margen de la ley ya no solo se desarrollan actos terroristas contra la infraestructura, sino que se han incrementado los fenómenos de apoderamiento ilegal de hidrocarburos y de desarrollo de actividades ilícitas de procesamiento del crudo hurtado, en las denominadas refinerías ilegales.</w:t>
      </w:r>
    </w:p>
    <w:p w14:paraId="77D297B9" w14:textId="77777777" w:rsidR="00507C43" w:rsidRPr="00B450EB" w:rsidRDefault="00507C43" w:rsidP="0008611E">
      <w:pPr>
        <w:spacing w:before="21" w:line="276" w:lineRule="auto"/>
        <w:rPr>
          <w:rFonts w:eastAsia="Verdana" w:cs="Arial"/>
          <w:lang w:val="es-ES"/>
        </w:rPr>
      </w:pPr>
      <w:r w:rsidRPr="00B450EB">
        <w:rPr>
          <w:rFonts w:eastAsia="Verdana" w:cs="Arial"/>
        </w:rPr>
        <w:t xml:space="preserve">El desarrollo de nuevos proyectos de hidrocarburos en el Bioma Amazónico debería considerar estos riesgos que se pueden materializar con una alta probabilidad, debido al fortalecimiento de los grupos al margen de la ley en zonas alejadas de los centros urbanos del país, a los fenómenos de apoderamiento de crudo que se viene presentando en el departamento del Putumayo, a la proliferación de refinerías </w:t>
      </w:r>
      <w:r w:rsidRPr="00B450EB">
        <w:rPr>
          <w:rFonts w:eastAsia="Verdana" w:cs="Arial"/>
        </w:rPr>
        <w:lastRenderedPageBreak/>
        <w:t>ilegales en las áreas donde se explota y transporta el hidrocarburos en el Putumayo y a la proliferación de los cultivos de hoja de coca, que en el país se benefician del hidrocarburos procesado ilegalmente.</w:t>
      </w:r>
    </w:p>
    <w:p w14:paraId="6513857F" w14:textId="77777777" w:rsidR="00507C43" w:rsidRPr="00B450EB" w:rsidRDefault="00507C43" w:rsidP="0008611E">
      <w:pPr>
        <w:spacing w:before="21" w:line="276" w:lineRule="auto"/>
        <w:rPr>
          <w:rFonts w:eastAsia="Verdana" w:cs="Arial"/>
          <w:lang w:val="es-ES"/>
        </w:rPr>
      </w:pPr>
      <w:r w:rsidRPr="00B450EB">
        <w:rPr>
          <w:rFonts w:eastAsia="Verdana" w:cs="Arial"/>
        </w:rPr>
        <w:t>Al desarrollarse nuevos proyectos de explotación de hidrocarburos en el Bioma Amazónico, estos proyectos muy probablemente se puedan ver afectados por las referidas actividades ilegales, dada las dificultades que ha tenido el gobierno en su conjunto para controlarles y minimizarlas en las áreas donde se han manifestado de manera más evidente, como lo son en el Oleoducto Transandino y el Oleoducto Caño Limón Coveñas. En el caso, el petróleo que se produciría eventualmente en el Bioma Amazónico, en su mayoría se transportaría por los referidos oleoductos, lo que agravaría la situación de riesgo para los ecosistemas en las áreas de producción y de transporte.</w:t>
      </w:r>
    </w:p>
    <w:p w14:paraId="38F54B8E" w14:textId="77777777" w:rsidR="00507C43" w:rsidRPr="00B450EB" w:rsidRDefault="00507C43" w:rsidP="0008611E">
      <w:pPr>
        <w:spacing w:before="21" w:line="276" w:lineRule="auto"/>
        <w:rPr>
          <w:rFonts w:eastAsia="Verdana" w:cs="Arial"/>
          <w:lang w:val="es-ES"/>
        </w:rPr>
      </w:pPr>
      <w:r w:rsidRPr="00B450EB">
        <w:rPr>
          <w:rFonts w:eastAsia="Verdana" w:cs="Arial"/>
        </w:rPr>
        <w:t xml:space="preserve">Se debe considerar en relación con las actividades ilegales que, en particular, las pérdidas generadas por acciones de terceros, ya sea por atentados contra la infraestructura, las acciones de apoderamiento de hidrocarburos que generan frecuentes derrames en el desarrollo de sus labores clandestinas y en particular las labores de refinamiento ilegal del hidrocarburo generan una grave afectación a los ecosistemas y a los recursos naturales de las áreas donde se desarrollan. </w:t>
      </w:r>
    </w:p>
    <w:p w14:paraId="35604813" w14:textId="77777777" w:rsidR="00507C43" w:rsidRPr="00B450EB" w:rsidRDefault="00507C43" w:rsidP="00507C43">
      <w:pPr>
        <w:spacing w:before="21"/>
        <w:rPr>
          <w:rFonts w:eastAsia="Verdana" w:cs="Arial"/>
          <w:lang w:val="es-ES"/>
        </w:rPr>
      </w:pPr>
      <w:r w:rsidRPr="00B450EB">
        <w:rPr>
          <w:rFonts w:eastAsia="Verdana" w:cs="Arial"/>
        </w:rPr>
        <w:t>En desarrollo de las labores ilegales de apoderamiento de hidrocarburos, se suceden frecuentemente derrames y fugas tanto en el punto donde se ubican las válvulas ilegales, como a lo largo de la conducción a los puntos de recolección o de procesamiento ilegal de los hidrocarburos, como en desarrollo de las actividades de procesamiento ilegal, producto del uso de material e infraestructura inapropiados para la conducción y almacenamiento del crudo.</w:t>
      </w:r>
    </w:p>
    <w:p w14:paraId="49B9D14D" w14:textId="77777777" w:rsidR="00507C43" w:rsidRPr="00B450EB" w:rsidRDefault="00507C43" w:rsidP="00507C43">
      <w:pPr>
        <w:spacing w:before="21"/>
        <w:rPr>
          <w:rFonts w:eastAsia="Verdana" w:cs="Arial"/>
          <w:lang w:val="es-ES"/>
        </w:rPr>
      </w:pPr>
      <w:r w:rsidRPr="00B450EB">
        <w:rPr>
          <w:rFonts w:eastAsia="Verdana" w:cs="Arial"/>
        </w:rPr>
        <w:t xml:space="preserve">Los derrames de hidrocarburos durante el procesamiento ilegal de hidrocarburos, tienen una particular incidencia negativa en el recurso hídrico, ya que la infraestructura ilegal habilitada debe ser ubicada cerca a una fuente de agua, dada la demanda del recurso que se tiene para adelantar el proceso de enfriamiento en la actividad de refinamiento, lo que sumado a los permanentes derrames propios de manejar una sustancia peligrosa en actividades clandestinas, que no cumple los requerimientos para su manipulación y almacenamiento, tiene una afectación directa y significativa en la comunidad del área donde se desarrollan este tipo de actividades ilegales, no solo hay afectación y disminución de las actividades de pesca, sino que limita el uso y aprovechamiento de los recursos hídricos en desarrollo de sus actividades diarias, adicional, a los impactos directos en la salud con causa en los contaminantes propios de los hidrocarburos. El proceso de refinamiento ilegal genera un volumen significativo de residuos peligrosos, ya que </w:t>
      </w:r>
      <w:r w:rsidRPr="00B450EB">
        <w:rPr>
          <w:rFonts w:eastAsia="Verdana" w:cs="Arial"/>
        </w:rPr>
        <w:lastRenderedPageBreak/>
        <w:t>solo se aprovechan los hidrocarburos más livianos, los más pesados se descartan en el entorno de las facilidades ilegales habilitadas (alrededor del 30 %).</w:t>
      </w:r>
    </w:p>
    <w:p w14:paraId="789F4CFD" w14:textId="77777777" w:rsidR="00507C43" w:rsidRPr="00B450EB" w:rsidRDefault="00507C43" w:rsidP="00507C43">
      <w:pPr>
        <w:spacing w:before="21"/>
        <w:rPr>
          <w:rFonts w:eastAsia="Verdana" w:cs="Arial"/>
          <w:lang w:val="es-ES"/>
        </w:rPr>
      </w:pPr>
      <w:r w:rsidRPr="00B450EB">
        <w:rPr>
          <w:rFonts w:eastAsia="Verdana" w:cs="Arial"/>
        </w:rPr>
        <w:t>Estos derrames no son atendidos por las personas que realizan esta actividad ilegal y los hidrocarburos terminan por afectar tanto el recurso hídrico superficial como el subterráneo, generan contaminación de los suelos y afectación de la fauna, flora y a la biodiversidad de las áreas donde se suceden. Actualmente, tampoco son atendidos por el responsable de la infraestructura o el propietario de la sustancia, que se limitan a reparar la infraestructura que interrumpe el flujo y la limpieza de las áreas aferentes al ducto.</w:t>
      </w:r>
    </w:p>
    <w:p w14:paraId="125973D5" w14:textId="77777777" w:rsidR="00507C43" w:rsidRPr="00B450EB" w:rsidRDefault="00507C43" w:rsidP="00507C43">
      <w:pPr>
        <w:spacing w:before="21"/>
        <w:rPr>
          <w:rFonts w:eastAsia="Verdana" w:cs="Arial"/>
          <w:lang w:val="es-ES"/>
        </w:rPr>
      </w:pPr>
      <w:r w:rsidRPr="00B450EB">
        <w:rPr>
          <w:rFonts w:eastAsia="Verdana" w:cs="Arial"/>
        </w:rPr>
        <w:t>En caso de que el gobierno no pueda garantizar la seguridad de las actividades industriales del sector hidrocarburos, es necesario revisar la pertinencia que se desarrollen estas actividades en áreas sensible como el bioma amazónico.</w:t>
      </w:r>
    </w:p>
    <w:p w14:paraId="0CBD77D7" w14:textId="77777777" w:rsidR="00507C43" w:rsidRPr="00B450EB" w:rsidRDefault="00507C43" w:rsidP="00507C43">
      <w:pPr>
        <w:rPr>
          <w:rFonts w:eastAsia="Verdana" w:cs="Arial"/>
          <w:i/>
          <w:iCs/>
        </w:rPr>
      </w:pPr>
    </w:p>
    <w:p w14:paraId="5BAB3531" w14:textId="77777777" w:rsidR="00507C43" w:rsidRPr="00B450EB" w:rsidRDefault="00507C43" w:rsidP="00507C43">
      <w:pPr>
        <w:rPr>
          <w:rFonts w:eastAsia="Verdana" w:cs="Arial"/>
          <w:i/>
          <w:iCs/>
          <w:lang w:val="es-ES"/>
        </w:rPr>
      </w:pPr>
      <w:r w:rsidRPr="00B450EB">
        <w:rPr>
          <w:rFonts w:cs="Arial"/>
          <w:i/>
          <w:iCs/>
        </w:rPr>
        <w:t>Gobernabilidad de los proyectos de hidrocarburos que se desarrollan al margen de una institucionalidad adecuada</w:t>
      </w:r>
    </w:p>
    <w:p w14:paraId="52247A95" w14:textId="77777777" w:rsidR="00507C43" w:rsidRPr="00B450EB" w:rsidRDefault="00507C43" w:rsidP="00507C43">
      <w:pPr>
        <w:rPr>
          <w:rFonts w:eastAsia="Verdana" w:cs="Arial"/>
          <w:lang w:val="es-ES"/>
        </w:rPr>
      </w:pPr>
      <w:r w:rsidRPr="00B450EB">
        <w:rPr>
          <w:rFonts w:cs="Arial"/>
        </w:rPr>
        <w:t>Articulación entre el Sector petrolero y los Entornos Locales</w:t>
      </w:r>
      <w:r w:rsidRPr="00B450EB">
        <w:rPr>
          <w:rFonts w:eastAsiaTheme="majorEastAsia" w:cs="Arial"/>
        </w:rPr>
        <w:t>18</w:t>
      </w:r>
    </w:p>
    <w:p w14:paraId="5C7F818A"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En la realidad de las regiones colombianas son pocos los casos donde puede existir una articulación entre el sector y los gobiernos o entidades locales. Esta situación encuentra razones desde legales y jurídicas … …; como de conflictos de intereses, que surgen cuando el sector actúa o participa en los procesos de ordenamiento. Sin embargo, a nuestro juicio la poca articulación es interpretada a través de la yuxtaposición de intereses del propio Estado, quien por un lado genera instrumentos de limitación del territorio contenidos en los POT, basados en argumentos de carácter ambiental o étnico, pero por el otro lado presiona para que este tipo de situaciones se levante ante circunstancias especiales o autorizadas. </w:t>
      </w:r>
    </w:p>
    <w:p w14:paraId="22997C0D"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Un ejemplo de ello es el traslapo entre el decreto 2201 y los POT, cuando el Estado estableció que los planes, planes básicos o esquemas de ordenamiento territorial de los municipios y distritos reglamentados por la ley 388/97 en ningún caso serán oponibles a la ejecución de proyectos, obras o actividades consideradas de utilidad pública e interés social. </w:t>
      </w:r>
    </w:p>
    <w:p w14:paraId="7538CE4B"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Estos proyectos, obras o actividades considerados de utilidad pública e interés social, según el Decreto 2201 del 2003, cuya ejecución corresponda a la Nación, podrán ser adelantados por ésta en todo el territorio nacional, de manera directa o indirecta a través de cualquier modalidad contractual, previa la expedición de la respectiva licencia o del correspondiente instrumento </w:t>
      </w:r>
      <w:r w:rsidRPr="00B450EB">
        <w:rPr>
          <w:rFonts w:eastAsia="Verdana" w:cs="Arial"/>
          <w:i/>
          <w:iCs/>
        </w:rPr>
        <w:lastRenderedPageBreak/>
        <w:t>administrativo de manejo y control ambiental por parte de la autoridad ambiental correspondiente. De igual manera, se podrán ejecutar los proyectos, obras o actividades que sean considerados de utilidad pública e interés social que no requieran de la obtención previa de licencias o demás instrumentos administrativos de manejo y control ambiental.</w:t>
      </w:r>
    </w:p>
    <w:p w14:paraId="1F4F0FB4" w14:textId="77777777" w:rsidR="00507C43" w:rsidRPr="00B450EB" w:rsidRDefault="00507C43" w:rsidP="00507C43">
      <w:pPr>
        <w:spacing w:before="21"/>
        <w:ind w:left="708"/>
        <w:rPr>
          <w:rFonts w:eastAsia="Verdana" w:cs="Arial"/>
          <w:lang w:val="es-ES"/>
        </w:rPr>
      </w:pPr>
      <w:r w:rsidRPr="00B450EB">
        <w:rPr>
          <w:rFonts w:eastAsia="Verdana" w:cs="Arial"/>
          <w:i/>
          <w:iCs/>
        </w:rPr>
        <w:t>Estas condiciones han generado de alguna manera polarizaciones dentro del mismo Estado, que han ocasionado que se dificulte una articulación, que permita al sector hacerse partícipe en el ordenamiento territorial de aquellas zonas con presencia de áreas de interés, donde tanto el sector como el Estado de manera previa puedan establecer condiciones de prevención y manejo de efectos territoriales, los cuales históricamente se han presentado, como los casos de los Municipios petroleros del Casanare o el Meta.</w:t>
      </w:r>
    </w:p>
    <w:p w14:paraId="371A3AFE" w14:textId="77777777" w:rsidR="00507C43" w:rsidRPr="00B450EB" w:rsidRDefault="00507C43" w:rsidP="00507C43">
      <w:pPr>
        <w:rPr>
          <w:rFonts w:eastAsia="Verdana" w:cs="Arial"/>
          <w:i/>
          <w:iCs/>
          <w:lang w:val="es-ES"/>
        </w:rPr>
      </w:pPr>
      <w:r w:rsidRPr="00B450EB">
        <w:rPr>
          <w:rFonts w:cs="Arial"/>
          <w:i/>
          <w:iCs/>
        </w:rPr>
        <w:t>La gobernabilidad local</w:t>
      </w:r>
      <w:r w:rsidRPr="00B450EB">
        <w:rPr>
          <w:rFonts w:eastAsiaTheme="majorEastAsia" w:cs="Arial"/>
          <w:i/>
          <w:iCs/>
        </w:rPr>
        <w:t>19</w:t>
      </w:r>
    </w:p>
    <w:p w14:paraId="0455EA82"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La actividad petrolera y el proceso de descentralización han sido dos procesos simultáneos y rápidos, que se impusieron sin antecedentes en algunos territorios. La gestión de un municipio o de un departamento requiere tiempo, experiencias, errores, planes, mejoramientos progresivos… Un municipio o departamento es una entidad que se construye poco a poco, no se decreta, sobre todo requiere una población que participe con sus propias expectativas. La creación de una entidad político-administrativa no se hace solamente desde arriba, por la voluntad del Estado, sino también desde abajo, por la contribución de sus habitantes. Pero este segundo aspecto es mucho más lento y complejo que el primero. Se requiere una toma de conciencia, por parte de la población, de la realidad colectiva y de la necesidad de establecer un proyecto colectivo, de construir una historia común. Es contrario al sentimiento de </w:t>
      </w:r>
      <w:proofErr w:type="spellStart"/>
      <w:r w:rsidRPr="00B450EB">
        <w:rPr>
          <w:rFonts w:eastAsia="Verdana" w:cs="Arial"/>
          <w:i/>
          <w:iCs/>
        </w:rPr>
        <w:t>efemeridad</w:t>
      </w:r>
      <w:proofErr w:type="spellEnd"/>
      <w:r w:rsidRPr="00B450EB">
        <w:rPr>
          <w:rFonts w:eastAsia="Verdana" w:cs="Arial"/>
          <w:i/>
          <w:iCs/>
        </w:rPr>
        <w:t xml:space="preserve"> que se ha impuesto con el boom petrolero. Las temporalidades de la institucionalización de un ente territorial y del petróleo no funcionan de manera sincronizada sino en desfase. (</w:t>
      </w:r>
      <w:proofErr w:type="spellStart"/>
      <w:r w:rsidRPr="00B450EB">
        <w:rPr>
          <w:rFonts w:eastAsia="Verdana" w:cs="Arial"/>
          <w:i/>
          <w:iCs/>
        </w:rPr>
        <w:t>Gouset</w:t>
      </w:r>
      <w:proofErr w:type="spellEnd"/>
      <w:r w:rsidRPr="00B450EB">
        <w:rPr>
          <w:rFonts w:eastAsia="Verdana" w:cs="Arial"/>
          <w:i/>
          <w:iCs/>
        </w:rPr>
        <w:t xml:space="preserve">, Fournier.2000)  </w:t>
      </w:r>
    </w:p>
    <w:p w14:paraId="6F123499"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Después de lo expuesto, se demuestra como en Colombia es complejo y poco eficiente el sistema de planificación y coordinación interinstitucional en general, y específicamente, en lo que compete a los desarrollos sectoriales del petróleo. En muchas ocasiones no tiene en cuenta las prioridades y los intereses de las autoridades y los líderes locales para lograr mejorar el impacto de la industria petrolera en las dimensiones económicas, sociales y ambientales. El modelo institucional sigue siendo centralista y esto dificulta una mejor relación, la toma de decisiones ágil y pertinente y un conjunto de </w:t>
      </w:r>
      <w:r w:rsidRPr="00B450EB">
        <w:rPr>
          <w:rFonts w:eastAsia="Verdana" w:cs="Arial"/>
          <w:i/>
          <w:iCs/>
        </w:rPr>
        <w:lastRenderedPageBreak/>
        <w:t>acciones que de manera mancomunada permitan un desarrollo sectorial adecuado en un contexto de desarrollo local sostenible.</w:t>
      </w:r>
    </w:p>
    <w:p w14:paraId="2878B457" w14:textId="77777777" w:rsidR="00507C43" w:rsidRPr="00B450EB" w:rsidRDefault="00507C43" w:rsidP="00507C43">
      <w:pPr>
        <w:rPr>
          <w:rFonts w:eastAsia="Verdana" w:cs="Arial"/>
          <w:lang w:val="es-ES"/>
        </w:rPr>
      </w:pPr>
      <w:r w:rsidRPr="00B450EB">
        <w:rPr>
          <w:rFonts w:cs="Arial"/>
        </w:rPr>
        <w:t>Aspectos culturales de la entrada de los proyectos de hidrocarburos en presencia de comunidades étnicas</w:t>
      </w:r>
      <w:r w:rsidRPr="00B450EB">
        <w:rPr>
          <w:rFonts w:eastAsiaTheme="majorEastAsia" w:cs="Arial"/>
        </w:rPr>
        <w:t xml:space="preserve"> </w:t>
      </w:r>
    </w:p>
    <w:p w14:paraId="39AB30AB" w14:textId="77777777" w:rsidR="00507C43" w:rsidRPr="00B450EB" w:rsidRDefault="00507C43" w:rsidP="00507C43">
      <w:pPr>
        <w:spacing w:before="21"/>
        <w:rPr>
          <w:rFonts w:eastAsia="Verdana" w:cs="Arial"/>
          <w:lang w:val="es-ES"/>
        </w:rPr>
      </w:pPr>
      <w:r w:rsidRPr="00B450EB">
        <w:rPr>
          <w:rFonts w:eastAsia="Verdana" w:cs="Arial"/>
        </w:rPr>
        <w:t>-Alteración de la estructura social y económica: Las actividades extractivas tienden a alterar la economía local, afectando las formas de vida tradicionales de las comunidades indígenas. La construcción de infraestructura vial y el aumento de la población migrante en la región pueden causar conflictos sociales y culturales, además de cambios en la dinámica económica local. Un estudio</w:t>
      </w:r>
      <w:r w:rsidRPr="00B450EB">
        <w:rPr>
          <w:rFonts w:eastAsia="Calibri" w:cs="Arial"/>
          <w:i/>
          <w:iCs/>
          <w:vertAlign w:val="superscript"/>
        </w:rPr>
        <w:t>20</w:t>
      </w:r>
      <w:r w:rsidRPr="00B450EB">
        <w:rPr>
          <w:rFonts w:eastAsia="Verdana" w:cs="Arial"/>
        </w:rPr>
        <w:t xml:space="preserve"> menciona que ”</w:t>
      </w:r>
      <w:r w:rsidRPr="00B450EB">
        <w:rPr>
          <w:rFonts w:eastAsia="Verdana" w:cs="Arial"/>
          <w:i/>
          <w:iCs/>
        </w:rPr>
        <w:t>Los impactos sociales tienen que ver con la colonización de una amplia franja del piedemonte amazónico en el Putumayo y la Baja Bota Caucana, favorecida por las carreteras construidas por las empresas petroleras; este apoyo indirecto a la colonización favoreció el interés del Estado colombiano por impulsar la colonización amazónica como fórmula para descongestionar las regiones andinas afectadas por el conflicto político entre los partidos tradicionales y por la insuficiencia del minifundio campesino y el resguardo indígena”</w:t>
      </w:r>
    </w:p>
    <w:p w14:paraId="7776D966" w14:textId="77777777" w:rsidR="00507C43" w:rsidRPr="00B450EB" w:rsidRDefault="00507C43" w:rsidP="00507C43">
      <w:pPr>
        <w:rPr>
          <w:rFonts w:eastAsia="Verdana" w:cs="Arial"/>
          <w:i/>
          <w:iCs/>
          <w:lang w:val="es-ES"/>
        </w:rPr>
      </w:pPr>
      <w:r w:rsidRPr="00B450EB">
        <w:rPr>
          <w:rFonts w:cs="Arial"/>
          <w:i/>
          <w:iCs/>
        </w:rPr>
        <w:t>Diversidad sociocultural en las áreas de influencia sectorial</w:t>
      </w:r>
      <w:r w:rsidRPr="00B450EB">
        <w:rPr>
          <w:rFonts w:eastAsiaTheme="majorEastAsia" w:cs="Arial"/>
          <w:i/>
          <w:iCs/>
        </w:rPr>
        <w:t>21.</w:t>
      </w:r>
    </w:p>
    <w:p w14:paraId="257F109F"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La historia de la actividad de hidrocarburos está estrechamente relacionada con la afectación a las comunidades indígenas, sin embargo, este es uno de los impactos menos difundido públicamente en Colombia, hasta que se dio el caso de los </w:t>
      </w:r>
      <w:proofErr w:type="spellStart"/>
      <w:r w:rsidRPr="00B450EB">
        <w:rPr>
          <w:rFonts w:eastAsia="Verdana" w:cs="Arial"/>
          <w:i/>
          <w:iCs/>
        </w:rPr>
        <w:t>U´wa</w:t>
      </w:r>
      <w:proofErr w:type="spellEnd"/>
      <w:r w:rsidRPr="00B450EB">
        <w:rPr>
          <w:rFonts w:eastAsia="Verdana" w:cs="Arial"/>
          <w:i/>
          <w:iCs/>
        </w:rPr>
        <w:t xml:space="preserve">, con el cual se puso sobre el tapete la problemática existente entre minorías étnicas, medio ambiente y petróleo. </w:t>
      </w:r>
    </w:p>
    <w:p w14:paraId="16AD7343" w14:textId="1860443E" w:rsidR="00507C43" w:rsidRPr="00B450EB" w:rsidRDefault="00507C43" w:rsidP="00507C43">
      <w:pPr>
        <w:spacing w:before="21"/>
        <w:ind w:left="708"/>
        <w:rPr>
          <w:rFonts w:eastAsia="Verdana" w:cs="Arial"/>
          <w:lang w:val="es-ES"/>
        </w:rPr>
      </w:pPr>
      <w:r w:rsidRPr="00B450EB">
        <w:rPr>
          <w:rFonts w:eastAsia="Verdana" w:cs="Arial"/>
          <w:i/>
          <w:iCs/>
        </w:rPr>
        <w:t xml:space="preserve">A lo largo de la geografía nacional, e incluso mundial, hay una superposición entre petróleo y ecosistemas sensibles, donde tradicionalmente habitan minorías étnicas… Desde comienzos del siglo XX las actividades del sector han sido atractivas para los flujos migratorios que llegan colonizar zonas…. </w:t>
      </w:r>
    </w:p>
    <w:p w14:paraId="172BA078"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Sin embargo, estos flujos han generado procesos de cambios en patrones culturales y territoriales, arrojando a estas minorías étnicas a la marginalidad y aumento en condiciones de pobreza; entre los casos más notorios se señalan los Bari en el Catatumbo, los Zenú de Córdoba, las etnias Inga, </w:t>
      </w:r>
      <w:proofErr w:type="spellStart"/>
      <w:r w:rsidRPr="00B450EB">
        <w:rPr>
          <w:rFonts w:eastAsia="Verdana" w:cs="Arial"/>
          <w:i/>
          <w:iCs/>
        </w:rPr>
        <w:t>kofán</w:t>
      </w:r>
      <w:proofErr w:type="spellEnd"/>
      <w:r w:rsidRPr="00B450EB">
        <w:rPr>
          <w:rFonts w:eastAsia="Verdana" w:cs="Arial"/>
          <w:i/>
          <w:iCs/>
        </w:rPr>
        <w:t xml:space="preserve">, Siona, Huitoto y </w:t>
      </w:r>
      <w:proofErr w:type="spellStart"/>
      <w:r w:rsidRPr="00B450EB">
        <w:rPr>
          <w:rFonts w:eastAsia="Verdana" w:cs="Arial"/>
          <w:i/>
          <w:iCs/>
        </w:rPr>
        <w:t>Coreguaje</w:t>
      </w:r>
      <w:proofErr w:type="spellEnd"/>
      <w:r w:rsidRPr="00B450EB">
        <w:rPr>
          <w:rFonts w:eastAsia="Verdana" w:cs="Arial"/>
          <w:i/>
          <w:iCs/>
        </w:rPr>
        <w:t xml:space="preserve"> en el Putumayo, los </w:t>
      </w:r>
      <w:proofErr w:type="spellStart"/>
      <w:r w:rsidRPr="00B450EB">
        <w:rPr>
          <w:rFonts w:eastAsia="Verdana" w:cs="Arial"/>
          <w:i/>
          <w:iCs/>
        </w:rPr>
        <w:t>Sáliba</w:t>
      </w:r>
      <w:proofErr w:type="spellEnd"/>
      <w:r w:rsidRPr="00B450EB">
        <w:rPr>
          <w:rFonts w:eastAsia="Verdana" w:cs="Arial"/>
          <w:i/>
          <w:iCs/>
        </w:rPr>
        <w:t xml:space="preserve"> en el Casanare y los Nukak en el Guaviare y </w:t>
      </w:r>
      <w:proofErr w:type="spellStart"/>
      <w:r w:rsidRPr="00B450EB">
        <w:rPr>
          <w:rFonts w:eastAsia="Verdana" w:cs="Arial"/>
          <w:i/>
          <w:iCs/>
        </w:rPr>
        <w:t>U’was</w:t>
      </w:r>
      <w:proofErr w:type="spellEnd"/>
      <w:r w:rsidRPr="00B450EB">
        <w:rPr>
          <w:rFonts w:eastAsia="Verdana" w:cs="Arial"/>
          <w:i/>
          <w:iCs/>
        </w:rPr>
        <w:t xml:space="preserve"> (o tunebos) de Santander y Boyacá.</w:t>
      </w:r>
    </w:p>
    <w:p w14:paraId="7FB7C7DF" w14:textId="77777777" w:rsidR="00507C43" w:rsidRPr="00B450EB" w:rsidRDefault="00507C43" w:rsidP="00507C43">
      <w:pPr>
        <w:spacing w:before="21"/>
        <w:ind w:left="708"/>
        <w:rPr>
          <w:rFonts w:eastAsia="Verdana" w:cs="Arial"/>
          <w:lang w:val="es-ES"/>
        </w:rPr>
      </w:pPr>
      <w:r w:rsidRPr="00B450EB">
        <w:rPr>
          <w:rFonts w:eastAsia="Verdana" w:cs="Arial"/>
          <w:i/>
          <w:iCs/>
        </w:rPr>
        <w:t>De acuerdo con el mapa oficial del IGAC, donde se encuentran localizadas las comunidades étnicas de Colombia, en el país hay 475 Resguardos que se extienden en 29.200.244 hectáreas. Así mismo, se relacionan 146 Titulaciones de comunidades negras, con una población aproximada de 321.298 habitantes que están ocupando 4.664.433,740 hectáreas.</w:t>
      </w:r>
    </w:p>
    <w:p w14:paraId="487BC3A0" w14:textId="77777777" w:rsidR="00507C43" w:rsidRPr="00B450EB" w:rsidRDefault="00507C43" w:rsidP="00507C43">
      <w:pPr>
        <w:spacing w:before="21"/>
        <w:ind w:left="708"/>
        <w:rPr>
          <w:rFonts w:eastAsia="Verdana" w:cs="Arial"/>
          <w:lang w:val="es-ES"/>
        </w:rPr>
      </w:pPr>
      <w:r w:rsidRPr="00B450EB">
        <w:rPr>
          <w:rFonts w:eastAsia="Verdana" w:cs="Arial"/>
          <w:i/>
          <w:iCs/>
        </w:rPr>
        <w:lastRenderedPageBreak/>
        <w:t>Con relación a la población indígena, de acuerdo con el último censo Oficial (DANE 2005) en Colombia viven 81 pueblos indígenas, que comprenden 1.378.884 personas, lo que corresponde al 3,4% de la población total. Estos pueblos se encuentran en regiones tan diferentes como los Andes, las selvas de la Amazonía y del Pacífico, los llanos orientales o la península de la Guajira.  De esta población, el 80%, está en la zona andina y en la región del Pacífico. Cada uno de estos pueblos indígenas tiene particularidades culturales, que determinan su cosmovisión y modos de organizar su vida social, política y económica, diversidad cultural que se refleja en la existencia de más de 64 idiomas y de una gran variedad de formas dialectales que se agrupan en 13 familias.</w:t>
      </w:r>
    </w:p>
    <w:p w14:paraId="4F0CB6A7" w14:textId="77777777" w:rsidR="00507C43" w:rsidRPr="00B450EB" w:rsidRDefault="00507C43" w:rsidP="00507C43">
      <w:pPr>
        <w:rPr>
          <w:rFonts w:eastAsia="Verdana" w:cs="Arial"/>
          <w:i/>
          <w:iCs/>
          <w:lang w:val="es-ES"/>
        </w:rPr>
      </w:pPr>
      <w:r w:rsidRPr="00B450EB">
        <w:rPr>
          <w:rFonts w:cs="Arial"/>
          <w:i/>
          <w:iCs/>
        </w:rPr>
        <w:t>Deterioro de la salud ambiental (humana)</w:t>
      </w:r>
      <w:r w:rsidRPr="00B450EB">
        <w:rPr>
          <w:rFonts w:eastAsiaTheme="majorEastAsia" w:cs="Arial"/>
          <w:i/>
          <w:iCs/>
        </w:rPr>
        <w:t>22</w:t>
      </w:r>
    </w:p>
    <w:p w14:paraId="35C8033A" w14:textId="77777777" w:rsidR="00507C43" w:rsidRPr="00B450EB" w:rsidRDefault="00507C43" w:rsidP="00507C43">
      <w:pPr>
        <w:spacing w:before="21"/>
        <w:ind w:left="708"/>
        <w:rPr>
          <w:rFonts w:eastAsia="Verdana" w:cs="Arial"/>
          <w:lang w:val="es-ES"/>
        </w:rPr>
      </w:pPr>
      <w:r w:rsidRPr="00B450EB">
        <w:rPr>
          <w:rFonts w:eastAsia="Verdana" w:cs="Arial"/>
          <w:i/>
          <w:iCs/>
        </w:rPr>
        <w:t>En la mayoría de las regiones petroleras del país el deterioro de la salud de la población está relacionada con la inadecuada o inexistente infraestructura en saneamiento básico, las malas prácticas agropecuarias y el uso de agroquímicos, lo que aunado incide en el deterioro de la calidad del aire, suelo y agua. Además, con la industria petrolera surgen otros factores que acentúan esta problemática, generando factores de riesgo adicionales para la población o potenciando los ya existentes, derivado de los inadecuados manejos de las actividades (directas o indirectas como voladuras de oleoductos) y de la atracción de población flotante.</w:t>
      </w:r>
    </w:p>
    <w:p w14:paraId="5530AAC0"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Como ya se vio, los flujos migratorios atraídos por la actividad inciden en el deterioro de la salud de las comunidades receptoras. Por otro lado, de acuerdo a lo manifestado por varias organizaciones sociales nacionales e internacionales, a la actividad petrolera se le atribuyen importantes afectaciones en la salud de las poblaciones de su área de influencia directa, derivadas de los residuos sólidos, líquidos y gaseosos producidos especialmente en la perforación de pozos, derrames del crudo y en las refinerías… pudiendo ocasionar enfermedades del sistema respiratorio, de la piel, gastrointestinales, del sistema nervioso, problemas en la gestación, malformaciones, enfermedades congénitas e incluso varios tipos de cáncer .   </w:t>
      </w:r>
    </w:p>
    <w:p w14:paraId="47136A0E" w14:textId="77777777" w:rsidR="00507C43" w:rsidRPr="00B450EB" w:rsidRDefault="00507C43" w:rsidP="00507C43">
      <w:pPr>
        <w:spacing w:before="21"/>
        <w:ind w:left="708"/>
        <w:rPr>
          <w:rFonts w:eastAsia="Verdana" w:cs="Arial"/>
          <w:lang w:val="es-ES"/>
        </w:rPr>
      </w:pPr>
      <w:r w:rsidRPr="00B450EB">
        <w:rPr>
          <w:rFonts w:eastAsia="Verdana" w:cs="Arial"/>
          <w:i/>
          <w:iCs/>
        </w:rPr>
        <w:t xml:space="preserve">Si bien la actividad petrolera ha apoyado a las administraciones locales en el proceso de mejoramiento de la infraestructura, la dotación, recursos humanos y programas en salud,  los municipios petroleros muestran unas estadísticas de cobertura y calidad con altos déficits, situación debida en parte a la constante movilidad de población; siempre hay gente nueva que genera una demanda creciente del servicio, esto sin entrar a analizar el déficit creado por las administraciones con el uso inadecuado de los recursos </w:t>
      </w:r>
      <w:r w:rsidRPr="00B450EB">
        <w:rPr>
          <w:rFonts w:eastAsia="Verdana" w:cs="Arial"/>
          <w:i/>
          <w:iCs/>
        </w:rPr>
        <w:lastRenderedPageBreak/>
        <w:t>disponibles para este sector. A esta situación se suma el que en las zonas productoras de petróleo es mucho más alta la proporción de población afiliada al régimen subsidiado en salud que al régimen contributivo, implicando unas mayores necesidades de inversión de las administraciones municipales, que usualmente no se presentan, dando como resultado la agudización de los problemas de salud.</w:t>
      </w:r>
    </w:p>
    <w:p w14:paraId="4ED880EA" w14:textId="77777777" w:rsidR="00507C43" w:rsidRPr="00B450EB" w:rsidRDefault="00507C43" w:rsidP="00507C43">
      <w:pPr>
        <w:rPr>
          <w:rFonts w:eastAsia="Verdana" w:cs="Arial"/>
          <w:i/>
          <w:iCs/>
          <w:lang w:val="es-ES"/>
        </w:rPr>
      </w:pPr>
      <w:r w:rsidRPr="00B450EB">
        <w:rPr>
          <w:rFonts w:cs="Arial"/>
          <w:i/>
          <w:iCs/>
        </w:rPr>
        <w:t>Cambio en los patrones culturales</w:t>
      </w:r>
      <w:r w:rsidRPr="00B450EB">
        <w:rPr>
          <w:rFonts w:eastAsiaTheme="majorEastAsia" w:cs="Arial"/>
          <w:i/>
          <w:iCs/>
        </w:rPr>
        <w:t>23.</w:t>
      </w:r>
    </w:p>
    <w:p w14:paraId="62D66513"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Al analizar la injerencia del boom petrolero en los aspectos culturales de las regiones donde tiene presencia, se deben considerar los siguientes aspectos del contexto nacional en el cual se desarrolló:  </w:t>
      </w:r>
    </w:p>
    <w:p w14:paraId="55F08276" w14:textId="77777777" w:rsidR="00507C43" w:rsidRPr="00B450EB" w:rsidRDefault="00507C43" w:rsidP="00507C43">
      <w:pPr>
        <w:spacing w:before="21" w:after="120"/>
        <w:ind w:left="709"/>
        <w:rPr>
          <w:rFonts w:eastAsia="Verdana" w:cs="Arial"/>
          <w:lang w:val="es-ES"/>
        </w:rPr>
      </w:pPr>
      <w:r w:rsidRPr="00B450EB">
        <w:rPr>
          <w:rFonts w:eastAsia="Verdana" w:cs="Arial"/>
          <w:i/>
          <w:iCs/>
        </w:rPr>
        <w:t>A.</w:t>
      </w:r>
      <w:r w:rsidRPr="00B450EB">
        <w:rPr>
          <w:rFonts w:cs="Arial"/>
        </w:rPr>
        <w:tab/>
      </w:r>
      <w:r w:rsidRPr="00B450EB">
        <w:rPr>
          <w:rFonts w:eastAsia="Verdana" w:cs="Arial"/>
          <w:i/>
          <w:iCs/>
        </w:rPr>
        <w:t xml:space="preserve">Desde la década de los 50 se venía realizando una colonización agraria que se extendió hasta finales de los 70. En el 80 y los 90 se da el boom petrolero pasando de un problema agrario no resuelto a procesos de urbanización que tampoco tuvieron y han tenido adecuada respuesta por parte del Estado. De esta manera, los campesinos quedan </w:t>
      </w:r>
      <w:proofErr w:type="spellStart"/>
      <w:r w:rsidRPr="00B450EB">
        <w:rPr>
          <w:rFonts w:eastAsia="Verdana" w:cs="Arial"/>
          <w:i/>
          <w:iCs/>
        </w:rPr>
        <w:t>desruralizados</w:t>
      </w:r>
      <w:proofErr w:type="spellEnd"/>
      <w:r w:rsidRPr="00B450EB">
        <w:rPr>
          <w:rFonts w:eastAsia="Verdana" w:cs="Arial"/>
          <w:i/>
          <w:iCs/>
        </w:rPr>
        <w:t xml:space="preserve"> y </w:t>
      </w:r>
      <w:proofErr w:type="spellStart"/>
      <w:r w:rsidRPr="00B450EB">
        <w:rPr>
          <w:rFonts w:eastAsia="Verdana" w:cs="Arial"/>
          <w:i/>
          <w:iCs/>
        </w:rPr>
        <w:t>semiurbanizados</w:t>
      </w:r>
      <w:proofErr w:type="spellEnd"/>
      <w:r w:rsidRPr="00B450EB">
        <w:rPr>
          <w:rFonts w:eastAsia="Verdana" w:cs="Arial"/>
          <w:i/>
          <w:iCs/>
        </w:rPr>
        <w:t xml:space="preserve"> con un Estado ausente y débil, permitiendo imponer la violencia y el desgobierno; el resultado es el tránsito de una sociedad eminentemente rural a una urbanizada que se han mezclado en un continuo atraso-</w:t>
      </w:r>
      <w:proofErr w:type="gramStart"/>
      <w:r w:rsidRPr="00B450EB">
        <w:rPr>
          <w:rFonts w:eastAsia="Verdana" w:cs="Arial"/>
          <w:i/>
          <w:iCs/>
        </w:rPr>
        <w:t>modernización .</w:t>
      </w:r>
      <w:proofErr w:type="gramEnd"/>
    </w:p>
    <w:p w14:paraId="06C9CCAD" w14:textId="77777777" w:rsidR="00507C43" w:rsidRPr="00B450EB" w:rsidRDefault="00507C43" w:rsidP="00507C43">
      <w:pPr>
        <w:spacing w:before="21" w:after="120"/>
        <w:ind w:left="709"/>
        <w:rPr>
          <w:rFonts w:eastAsia="Verdana" w:cs="Arial"/>
          <w:lang w:val="es-ES"/>
        </w:rPr>
      </w:pPr>
      <w:r w:rsidRPr="00B450EB">
        <w:rPr>
          <w:rFonts w:eastAsia="Verdana" w:cs="Arial"/>
          <w:i/>
          <w:iCs/>
        </w:rPr>
        <w:t>B.</w:t>
      </w:r>
      <w:r w:rsidRPr="00B450EB">
        <w:rPr>
          <w:rFonts w:cs="Arial"/>
        </w:rPr>
        <w:tab/>
      </w:r>
      <w:r w:rsidRPr="00B450EB">
        <w:rPr>
          <w:rFonts w:eastAsia="Verdana" w:cs="Arial"/>
          <w:i/>
          <w:iCs/>
        </w:rPr>
        <w:t xml:space="preserve">El boom </w:t>
      </w:r>
      <w:proofErr w:type="gramStart"/>
      <w:r w:rsidRPr="00B450EB">
        <w:rPr>
          <w:rFonts w:eastAsia="Verdana" w:cs="Arial"/>
          <w:i/>
          <w:iCs/>
        </w:rPr>
        <w:t>petrolero,  se</w:t>
      </w:r>
      <w:proofErr w:type="gramEnd"/>
      <w:r w:rsidRPr="00B450EB">
        <w:rPr>
          <w:rFonts w:eastAsia="Verdana" w:cs="Arial"/>
          <w:i/>
          <w:iCs/>
        </w:rPr>
        <w:t xml:space="preserve"> dio simultáneo con otros cambios territoriales como la crisis agropecuaria, la agudización de la violencia, la descentralización y la departamentalización de 1991.  A lo que se suma la globalización de todas las esferas de la sociedad, incluyendo la cultural.  Si bien la sociedad no es un conjunto coherente ni homogéneo sino una yuxtaposición de grupos y clases con estrategias y aspiraciones divergentes, lo cierto es que en Colombia las regiones petroleras se han vuelto sociedades más fragmentadas, donde coexisten en un mismo lugar referentes temporales, sociales y culturales diferentes.</w:t>
      </w:r>
    </w:p>
    <w:p w14:paraId="06BDBA3B" w14:textId="244A1AA7" w:rsidR="00507C43" w:rsidRPr="00B450EB" w:rsidRDefault="00507C43" w:rsidP="00507C43">
      <w:pPr>
        <w:spacing w:before="21" w:after="120"/>
        <w:ind w:left="709"/>
        <w:rPr>
          <w:rFonts w:eastAsia="Verdana" w:cs="Arial"/>
          <w:lang w:val="es-ES"/>
        </w:rPr>
      </w:pPr>
      <w:r w:rsidRPr="00B450EB">
        <w:rPr>
          <w:rFonts w:eastAsia="Verdana" w:cs="Arial"/>
          <w:i/>
          <w:iCs/>
        </w:rPr>
        <w:t xml:space="preserve">En Colombia, al igual que en todo el mundo, la fiebre del petróleo transformó la vida de sus gentes, en especial de sus campesinos, quienes abandonaban el campo y sus cultivos para ir tras los campos petroleros; detrás de los hombres llegaban sus mujeres e hijos, quedando los viejos al frente de las actividades agropecuarias, las artesanías y modestas industrias que se habían venido consolidando y que hoy se han perdido en gran parte. Esto se hace evidente en hechos como que en Casanare la explotación petrolera y en general la minería representaba un 24% del producto departamental en 1985 y siete años después su participación en el PIB se aumenta a 45%. En consecuencia, el sector agropecuario decrece de 53% a 28%, </w:t>
      </w:r>
      <w:r w:rsidRPr="00B450EB">
        <w:rPr>
          <w:rFonts w:eastAsia="Verdana" w:cs="Arial"/>
          <w:i/>
          <w:iCs/>
        </w:rPr>
        <w:lastRenderedPageBreak/>
        <w:t>respectivamente. Por su parte en Arauca, el peso del sector agropecuario se redujo hasta llegar al 7.9% en 1993 mientras que el sector minero llegó a generar el 72% del producto interno bruto seccional.</w:t>
      </w:r>
    </w:p>
    <w:p w14:paraId="379E1172"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Los movimientos poblacionales que usualmente van detrás de la actividad petrolera han provocado importantes cambios en los patrones culturales de las poblaciones receptoras. Si bien el cambio de mentalidad del campesino tradicional a una mentalidad más urbana es difícil de evitar en un mundo globalizado como el nuestro, si se puede afirmar que, en países como Colombia, la industria petrolera aceleró este cambio de mentalidad y aportó, directa e indirectamente, a la ruptura del equilibrio de las formas de relación ser humano-naturaleza establecidas durante siglos por algunas comunidades campesinas. </w:t>
      </w:r>
    </w:p>
    <w:p w14:paraId="46101C1A" w14:textId="77777777" w:rsidR="00507C43" w:rsidRPr="00B450EB" w:rsidRDefault="00507C43" w:rsidP="00507C43">
      <w:pPr>
        <w:spacing w:before="21" w:after="120"/>
        <w:ind w:left="709"/>
        <w:rPr>
          <w:rFonts w:eastAsia="Verdana" w:cs="Arial"/>
          <w:lang w:val="es-ES"/>
        </w:rPr>
      </w:pPr>
      <w:r w:rsidRPr="00B450EB">
        <w:rPr>
          <w:rFonts w:eastAsia="Verdana" w:cs="Arial"/>
          <w:i/>
          <w:iCs/>
        </w:rPr>
        <w:t>El campesino tenía organizado su mundo en una comunidad de intereses vecinales o veredales, articulados autónomamente al municipio. Los lazos familiares, de vecindad y solidaridad posibilitaban los trabajos comunitarios en mingas, estrategia que permite superar el problema de la imposibilidad de pagar mano de obra para realizar los trabajos de siembra y cosecha, así mismo se asegura entre familias y vecinos el trueque de productos para garantizar la seguridad alimentaria.</w:t>
      </w:r>
    </w:p>
    <w:p w14:paraId="7312FB8A"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Por otro lado, la forma de relacionarse con el entorno permitía a los campesinos, al igual que los indígenas, poseer un conocimiento de la biodiversidad del territorio, que usaban racionalmente para la sanación física y espiritual y para el sustento familiar, conocimiento que se va perdiendo con la colonización, el abandono de la tierra, el uso irracional de los recursos, el contacto con otras visiones del mundo y el cambio generacional. </w:t>
      </w:r>
    </w:p>
    <w:p w14:paraId="3A48E521"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 La vivencia de elementos como el territorio y la temporalidad, en el campesino tradicional de las zonas de llanura y pie de monte, se desenvuelven en un espacio de referencia limitado, enmarcado en una relación con el entorno de profundo afecto y una inscripción en el tiempo de larga duración, diferente al foráneo cuya relación con el territorio es utilitarista y de corto plazo. </w:t>
      </w:r>
    </w:p>
    <w:p w14:paraId="198AF08B" w14:textId="77777777" w:rsidR="00507C43" w:rsidRPr="00B450EB" w:rsidRDefault="00507C43" w:rsidP="00507C43">
      <w:pPr>
        <w:rPr>
          <w:rFonts w:eastAsia="Verdana" w:cs="Arial"/>
          <w:i/>
          <w:iCs/>
          <w:lang w:val="es-ES"/>
        </w:rPr>
      </w:pPr>
      <w:r w:rsidRPr="00B450EB">
        <w:rPr>
          <w:rFonts w:cs="Arial"/>
          <w:i/>
          <w:iCs/>
        </w:rPr>
        <w:t>Pérdida de territorios ancestrales y de identidad de la población indígena</w:t>
      </w:r>
      <w:r w:rsidRPr="00B450EB">
        <w:rPr>
          <w:rFonts w:eastAsiaTheme="majorEastAsia" w:cs="Arial"/>
          <w:i/>
          <w:iCs/>
        </w:rPr>
        <w:t>24.</w:t>
      </w:r>
    </w:p>
    <w:p w14:paraId="023AB7E7" w14:textId="2C054AA1" w:rsidR="00507C43" w:rsidRPr="00B450EB" w:rsidRDefault="00507C43" w:rsidP="00507C43">
      <w:pPr>
        <w:spacing w:before="21" w:after="120"/>
        <w:ind w:left="709"/>
        <w:rPr>
          <w:rFonts w:eastAsia="Verdana" w:cs="Arial"/>
          <w:lang w:val="es-ES"/>
        </w:rPr>
      </w:pPr>
      <w:r w:rsidRPr="00B450EB">
        <w:rPr>
          <w:rFonts w:eastAsia="Verdana" w:cs="Arial"/>
          <w:i/>
          <w:iCs/>
        </w:rPr>
        <w:t>Es indiscutible que la actividad ingrese a zonas o espacios étnicos, no solo por su presencia espacial en el suelo colombiano, sino que también influye, la política del estado colombiano frente a la necesidad de explotar los recursos naturales que se encuentren bajo su tutela.</w:t>
      </w:r>
    </w:p>
    <w:p w14:paraId="21ADBD43"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A su vez la entrada o presencia de actividad petrolera en este tipo de territorios, ha supuesto una fuerte sindicación de esta, por los efectos </w:t>
      </w:r>
      <w:r w:rsidRPr="00B450EB">
        <w:rPr>
          <w:rFonts w:eastAsia="Verdana" w:cs="Arial"/>
          <w:i/>
          <w:iCs/>
        </w:rPr>
        <w:lastRenderedPageBreak/>
        <w:t xml:space="preserve">negativos que ha mostrado la evolución histórica tanto de los territorios como de sus ocupantes. Sin embargo, … …en esta situación se debe considerar el contexto </w:t>
      </w:r>
      <w:proofErr w:type="spellStart"/>
      <w:proofErr w:type="gramStart"/>
      <w:r w:rsidRPr="00B450EB">
        <w:rPr>
          <w:rFonts w:eastAsia="Verdana" w:cs="Arial"/>
          <w:i/>
          <w:iCs/>
        </w:rPr>
        <w:t>macro-económico</w:t>
      </w:r>
      <w:proofErr w:type="spellEnd"/>
      <w:proofErr w:type="gramEnd"/>
      <w:r w:rsidRPr="00B450EB">
        <w:rPr>
          <w:rFonts w:eastAsia="Verdana" w:cs="Arial"/>
          <w:i/>
          <w:iCs/>
        </w:rPr>
        <w:t xml:space="preserve"> del país, en el sentido de incorporar en los anaqueles del análisis, que el estado colombiano durante las décadas de los 50 a los 70, generó fuertes políticas de colonización sobre los territorios denominados nacionales, los cuales comprendían los llanos y la </w:t>
      </w:r>
      <w:proofErr w:type="spellStart"/>
      <w:r w:rsidRPr="00B450EB">
        <w:rPr>
          <w:rFonts w:eastAsia="Verdana" w:cs="Arial"/>
          <w:i/>
          <w:iCs/>
        </w:rPr>
        <w:t>amazonía</w:t>
      </w:r>
      <w:proofErr w:type="spellEnd"/>
      <w:r w:rsidRPr="00B450EB">
        <w:rPr>
          <w:rFonts w:eastAsia="Verdana" w:cs="Arial"/>
          <w:i/>
          <w:iCs/>
        </w:rPr>
        <w:t>, situación que tuvo efectos adversos sobre las etnias y sobre la biodiversidad. Un ejemplo de estos efectos de la política, que ayuda a ilustrar el tema, es el caso del Putumayo en la década del 60.  En el censo realizado por el DANE en 1956 se separan por primera vez los datos de Puerto Asís de los de Mocoa.  La población de Puerto Asís para este año era de 300 habitantes.  El siguiente censo realizado en el año 1964 mostró una población de 2902 habitantes de los cuales 2349 eran inmigrantes.  En 8 años la población se multiplicó 9,7 veces, con un crecimiento geométrico promedio anual de 372</w:t>
      </w:r>
      <w:proofErr w:type="gramStart"/>
      <w:r w:rsidRPr="00B450EB">
        <w:rPr>
          <w:rFonts w:eastAsia="Verdana" w:cs="Arial"/>
          <w:i/>
          <w:iCs/>
        </w:rPr>
        <w:t>% .</w:t>
      </w:r>
      <w:proofErr w:type="gramEnd"/>
      <w:r w:rsidRPr="00B450EB">
        <w:rPr>
          <w:rFonts w:eastAsia="Verdana" w:cs="Arial"/>
          <w:i/>
          <w:iCs/>
        </w:rPr>
        <w:t xml:space="preserve"> </w:t>
      </w:r>
    </w:p>
    <w:p w14:paraId="21426A7E"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Sin embargo, la actividad petrolera por sí misma no genera los efectos adversos como se afirma en diferentes documentos, pero ella de manera agregada si es un fuerte incentivo para los flujos migratorios, que a la final se convierten en el canal conductor de las afecciones tanto para los pueblos como para el territorio. </w:t>
      </w:r>
    </w:p>
    <w:p w14:paraId="0BFC2244" w14:textId="77777777" w:rsidR="00507C43" w:rsidRPr="00B450EB" w:rsidRDefault="00507C43" w:rsidP="00507C43">
      <w:pPr>
        <w:spacing w:before="21" w:after="120"/>
        <w:ind w:left="709"/>
        <w:rPr>
          <w:rFonts w:eastAsia="Verdana" w:cs="Arial"/>
          <w:lang w:val="es-ES"/>
        </w:rPr>
      </w:pPr>
      <w:r w:rsidRPr="00B450EB">
        <w:rPr>
          <w:rFonts w:eastAsia="Verdana" w:cs="Arial"/>
          <w:i/>
          <w:iCs/>
        </w:rPr>
        <w:t>Se presenta a continuación un recuento de sucesos que muestran como de manera agregada la presencia de actividad petrolera ha podido generar fenómenos de reducción y problemas de identidad y cultura en los pueblos indígenas, de acuerdo con lo expuesto en el texto titulado El precio del petróleo de Guillaume Fontaine:</w:t>
      </w:r>
    </w:p>
    <w:p w14:paraId="62BB50E9"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Los inicios de las actividades petroleras en Colombia se dan en 1905, bajo la Presidencia de Rafael Reyes. El escenario de esas primicias fue la región del Norte Santander y Barrancabermeja (ex Infantas), en el Magdalena. De pronto, estas operaciones despertaron el interés de Internacional </w:t>
      </w:r>
      <w:proofErr w:type="spellStart"/>
      <w:r w:rsidRPr="00B450EB">
        <w:rPr>
          <w:rFonts w:eastAsia="Verdana" w:cs="Arial"/>
          <w:i/>
          <w:iCs/>
        </w:rPr>
        <w:t>Petroleum</w:t>
      </w:r>
      <w:proofErr w:type="spellEnd"/>
      <w:r w:rsidRPr="00B450EB">
        <w:rPr>
          <w:rFonts w:eastAsia="Verdana" w:cs="Arial"/>
          <w:i/>
          <w:iCs/>
        </w:rPr>
        <w:t xml:space="preserve"> Company, filial de Standard </w:t>
      </w:r>
      <w:proofErr w:type="spellStart"/>
      <w:r w:rsidRPr="00B450EB">
        <w:rPr>
          <w:rFonts w:eastAsia="Verdana" w:cs="Arial"/>
          <w:i/>
          <w:iCs/>
        </w:rPr>
        <w:t>Oil</w:t>
      </w:r>
      <w:proofErr w:type="spellEnd"/>
      <w:r w:rsidRPr="00B450EB">
        <w:rPr>
          <w:rFonts w:eastAsia="Verdana" w:cs="Arial"/>
          <w:i/>
          <w:iCs/>
        </w:rPr>
        <w:t xml:space="preserve"> </w:t>
      </w:r>
      <w:proofErr w:type="spellStart"/>
      <w:r w:rsidRPr="00B450EB">
        <w:rPr>
          <w:rFonts w:eastAsia="Verdana" w:cs="Arial"/>
          <w:i/>
          <w:iCs/>
        </w:rPr>
        <w:t>of</w:t>
      </w:r>
      <w:proofErr w:type="spellEnd"/>
      <w:r w:rsidRPr="00B450EB">
        <w:rPr>
          <w:rFonts w:eastAsia="Verdana" w:cs="Arial"/>
          <w:i/>
          <w:iCs/>
        </w:rPr>
        <w:t xml:space="preserve"> New Jersey, sitios donde estaban localizadas comunidades indígenas. </w:t>
      </w:r>
    </w:p>
    <w:p w14:paraId="471BDC0D" w14:textId="77777777" w:rsidR="00507C43" w:rsidRPr="00B450EB" w:rsidRDefault="00507C43" w:rsidP="00507C43">
      <w:pPr>
        <w:spacing w:before="21" w:after="120"/>
        <w:ind w:left="709"/>
        <w:rPr>
          <w:rFonts w:eastAsia="Verdana" w:cs="Arial"/>
          <w:lang w:val="es-ES"/>
        </w:rPr>
      </w:pPr>
      <w:r w:rsidRPr="00B450EB">
        <w:rPr>
          <w:rFonts w:eastAsia="Verdana" w:cs="Arial"/>
          <w:i/>
          <w:iCs/>
        </w:rPr>
        <w:t>La segunda etapa fue por el contrato aprobado mediante la ley 80 de 1931, donde a tenor literal en la cláusula 19 de este contrato se decía ¨El gobierno prestará a las compañías contratantes la protección debida para prevenir o repeler la hostilidad o los ataques de las tribus de motilones o salvajes que moran en las regiones que hacen parte de los terrenos materia de este contrato, lo que hará por medio de cuerpos de policía armada o de la fuerza pública en cuanto fuere necesario¨</w:t>
      </w:r>
    </w:p>
    <w:p w14:paraId="12D5BDA9" w14:textId="77777777" w:rsidR="00507C43" w:rsidRPr="00B450EB" w:rsidRDefault="00507C43" w:rsidP="00507C43">
      <w:pPr>
        <w:spacing w:before="21" w:after="120"/>
        <w:ind w:left="709"/>
        <w:rPr>
          <w:rFonts w:eastAsia="Verdana" w:cs="Arial"/>
          <w:lang w:val="es-ES"/>
        </w:rPr>
      </w:pPr>
      <w:r w:rsidRPr="00B450EB">
        <w:rPr>
          <w:rFonts w:eastAsia="Verdana" w:cs="Arial"/>
          <w:i/>
          <w:iCs/>
        </w:rPr>
        <w:lastRenderedPageBreak/>
        <w:t xml:space="preserve">En la década del sesenta, ingresó una de las compañías petroleras al Putumayo, donde la población de este departamento no superaba los 20.000 habitantes, entre los cuales 18.000 eran indígenas (inga, cofán, </w:t>
      </w:r>
      <w:proofErr w:type="spellStart"/>
      <w:r w:rsidRPr="00B450EB">
        <w:rPr>
          <w:rFonts w:eastAsia="Verdana" w:cs="Arial"/>
          <w:i/>
          <w:iCs/>
        </w:rPr>
        <w:t>siona</w:t>
      </w:r>
      <w:proofErr w:type="spellEnd"/>
      <w:r w:rsidRPr="00B450EB">
        <w:rPr>
          <w:rFonts w:eastAsia="Verdana" w:cs="Arial"/>
          <w:i/>
          <w:iCs/>
        </w:rPr>
        <w:t xml:space="preserve">, huitoto y </w:t>
      </w:r>
      <w:proofErr w:type="spellStart"/>
      <w:r w:rsidRPr="00B450EB">
        <w:rPr>
          <w:rFonts w:eastAsia="Verdana" w:cs="Arial"/>
          <w:i/>
          <w:iCs/>
        </w:rPr>
        <w:t>correguaje</w:t>
      </w:r>
      <w:proofErr w:type="spellEnd"/>
      <w:r w:rsidRPr="00B450EB">
        <w:rPr>
          <w:rFonts w:eastAsia="Verdana" w:cs="Arial"/>
          <w:i/>
          <w:iCs/>
        </w:rPr>
        <w:t xml:space="preserve">). En 1973, la colonización alcanzaba el 60 </w:t>
      </w:r>
      <w:proofErr w:type="spellStart"/>
      <w:r w:rsidRPr="00B450EB">
        <w:rPr>
          <w:rFonts w:eastAsia="Verdana" w:cs="Arial"/>
          <w:i/>
          <w:iCs/>
        </w:rPr>
        <w:t>ó</w:t>
      </w:r>
      <w:proofErr w:type="spellEnd"/>
      <w:r w:rsidRPr="00B450EB">
        <w:rPr>
          <w:rFonts w:eastAsia="Verdana" w:cs="Arial"/>
          <w:i/>
          <w:iCs/>
        </w:rPr>
        <w:t xml:space="preserve"> 70% del territorio indígena, generando que </w:t>
      </w:r>
      <w:proofErr w:type="gramStart"/>
      <w:r w:rsidRPr="00B450EB">
        <w:rPr>
          <w:rFonts w:eastAsia="Verdana" w:cs="Arial"/>
          <w:i/>
          <w:iCs/>
        </w:rPr>
        <w:t>los cofán</w:t>
      </w:r>
      <w:proofErr w:type="gramEnd"/>
      <w:r w:rsidRPr="00B450EB">
        <w:rPr>
          <w:rFonts w:eastAsia="Verdana" w:cs="Arial"/>
          <w:i/>
          <w:iCs/>
        </w:rPr>
        <w:t xml:space="preserve"> y </w:t>
      </w:r>
      <w:proofErr w:type="gramStart"/>
      <w:r w:rsidRPr="00B450EB">
        <w:rPr>
          <w:rFonts w:eastAsia="Verdana" w:cs="Arial"/>
          <w:i/>
          <w:iCs/>
        </w:rPr>
        <w:t>los inga</w:t>
      </w:r>
      <w:proofErr w:type="gramEnd"/>
      <w:r w:rsidRPr="00B450EB">
        <w:rPr>
          <w:rFonts w:eastAsia="Verdana" w:cs="Arial"/>
          <w:i/>
          <w:iCs/>
        </w:rPr>
        <w:t xml:space="preserve"> fuesen desplazados o inmersos dentro de la colonización realizada. En la década del ochenta, una de las empresas operadoras ingresó en la región de Orocué (Casanare), donde los </w:t>
      </w:r>
      <w:proofErr w:type="spellStart"/>
      <w:r w:rsidRPr="00B450EB">
        <w:rPr>
          <w:rFonts w:eastAsia="Verdana" w:cs="Arial"/>
          <w:i/>
          <w:iCs/>
        </w:rPr>
        <w:t>Sáliva</w:t>
      </w:r>
      <w:proofErr w:type="spellEnd"/>
      <w:r w:rsidRPr="00B450EB">
        <w:rPr>
          <w:rFonts w:eastAsia="Verdana" w:cs="Arial"/>
          <w:i/>
          <w:iCs/>
        </w:rPr>
        <w:t xml:space="preserve"> todavía no habían legalizado su territorio, generándose un desplazamiento de esta comunidad.  y fueron expulsados del área. </w:t>
      </w:r>
    </w:p>
    <w:p w14:paraId="2CD9B531"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El balance de la actividad petrolera muestra cifras que evidencian una serie de fenómenos que son claramente relacionables con la pérdida de </w:t>
      </w:r>
      <w:proofErr w:type="gramStart"/>
      <w:r w:rsidRPr="00B450EB">
        <w:rPr>
          <w:rFonts w:eastAsia="Verdana" w:cs="Arial"/>
          <w:i/>
          <w:iCs/>
        </w:rPr>
        <w:t>identidad  (</w:t>
      </w:r>
      <w:proofErr w:type="gramEnd"/>
      <w:r w:rsidRPr="00B450EB">
        <w:rPr>
          <w:rFonts w:eastAsia="Verdana" w:cs="Arial"/>
          <w:i/>
          <w:iCs/>
        </w:rPr>
        <w:t xml:space="preserve">por el ingreso de distintos tipos de vida en el área) y reducción de los territorios y de su población endémica. Según los datos reportados, contrastados con los informes del DANE entre 1956 a 1993, la población indígena ha decrecido en 54% y en cambio, la población mestiza ha aumentado en un 155%. Estas condiciones claramente evidencian que existe una posible correlación con la llegada de colonos atraídos con la actividad petrolera, entre otras actividades y problemáticas existentes en el país. El caso más estudiado en este sentido es de las etnias en Arauca, el cual muestra que con la apertura de la frontera de colonización se presentó una emigración masiva, de tal modo que la población superaba los 137.000 habitantes en 1993 (contra los 107.000 en 1987), de los cuales apenas la cuarta parte eran originarios del departamento (DANE, 1993), donde la población </w:t>
      </w:r>
      <w:proofErr w:type="spellStart"/>
      <w:r w:rsidRPr="00B450EB">
        <w:rPr>
          <w:rFonts w:eastAsia="Verdana" w:cs="Arial"/>
          <w:i/>
          <w:iCs/>
        </w:rPr>
        <w:t>u´wa</w:t>
      </w:r>
      <w:proofErr w:type="spellEnd"/>
      <w:r w:rsidRPr="00B450EB">
        <w:rPr>
          <w:rFonts w:eastAsia="Verdana" w:cs="Arial"/>
          <w:i/>
          <w:iCs/>
        </w:rPr>
        <w:t xml:space="preserve"> por ejemplo pasó de 7.235 en 1987 a 5.731 en 1993.</w:t>
      </w:r>
    </w:p>
    <w:p w14:paraId="3708E681" w14:textId="77777777" w:rsidR="00507C43" w:rsidRPr="00B450EB" w:rsidRDefault="00507C43" w:rsidP="00507C43">
      <w:pPr>
        <w:rPr>
          <w:rFonts w:eastAsia="Verdana" w:cs="Arial"/>
          <w:i/>
          <w:iCs/>
          <w:lang w:val="es-ES"/>
        </w:rPr>
      </w:pPr>
      <w:r w:rsidRPr="00B450EB">
        <w:rPr>
          <w:rFonts w:cs="Arial"/>
          <w:i/>
          <w:iCs/>
        </w:rPr>
        <w:t>Deterioro de la calidad de vida de las comunidades indígenas</w:t>
      </w:r>
      <w:r w:rsidRPr="00B450EB">
        <w:rPr>
          <w:rFonts w:eastAsiaTheme="majorEastAsia" w:cs="Arial"/>
          <w:i/>
          <w:iCs/>
        </w:rPr>
        <w:t>25.</w:t>
      </w:r>
    </w:p>
    <w:p w14:paraId="6B7FA433"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Uno de los principales impactos que se generan por la actividad petrolera es la colonización que viene detrás de las trochas y vías construidas por las sísmicas y la construcción de oleoductos; con esta colonización se acabaron los bosques para ampliar la frontera agropecuaria, dando el origen a varios pueblos y caseríos que modifican completamente el hábitat de las comunidades indígenas.   </w:t>
      </w:r>
    </w:p>
    <w:p w14:paraId="1ACB215B"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Con la colonización también llegan la ganadería, los cultivos ilícitos y la economía ilegal que acentuaron la problemática de estas comunidades, siendo otro factor de desplazamiento y cambios en los patrones culturales de la población y de deterioro ambiental de sus </w:t>
      </w:r>
      <w:proofErr w:type="gramStart"/>
      <w:r w:rsidRPr="00B450EB">
        <w:rPr>
          <w:rFonts w:eastAsia="Verdana" w:cs="Arial"/>
          <w:i/>
          <w:iCs/>
        </w:rPr>
        <w:t>territorios .</w:t>
      </w:r>
      <w:proofErr w:type="gramEnd"/>
      <w:r w:rsidRPr="00B450EB">
        <w:rPr>
          <w:rFonts w:eastAsia="Verdana" w:cs="Arial"/>
          <w:i/>
          <w:iCs/>
        </w:rPr>
        <w:t xml:space="preserve">  </w:t>
      </w:r>
    </w:p>
    <w:p w14:paraId="7DCB5807"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Este fenómeno (aunque no directamente atribuible al sector), produce un deterioro de la calidad de vida de las comunidades indígenas, por lo cual es </w:t>
      </w:r>
      <w:r w:rsidRPr="00B450EB">
        <w:rPr>
          <w:rFonts w:eastAsia="Verdana" w:cs="Arial"/>
          <w:i/>
          <w:iCs/>
        </w:rPr>
        <w:lastRenderedPageBreak/>
        <w:t xml:space="preserve">señalado como uno de los impactos agregados más relevantes de la actividad petrolera.  </w:t>
      </w:r>
    </w:p>
    <w:p w14:paraId="7CFCF8AE" w14:textId="77777777" w:rsidR="00507C43" w:rsidRPr="00B450EB" w:rsidRDefault="00507C43" w:rsidP="00507C43">
      <w:pPr>
        <w:spacing w:before="21" w:after="120"/>
        <w:ind w:left="709"/>
        <w:rPr>
          <w:rFonts w:eastAsia="Verdana" w:cs="Arial"/>
          <w:lang w:val="es-ES"/>
        </w:rPr>
      </w:pPr>
      <w:r w:rsidRPr="00B450EB">
        <w:rPr>
          <w:rFonts w:eastAsia="Verdana" w:cs="Arial"/>
          <w:i/>
          <w:iCs/>
        </w:rPr>
        <w:t>En estas condiciones se considera que es válida la presunción sobre la modificación del entorno de los pueblos indígenas que ha supuesto, entre otros, un abandono de prácticas tradicionales económicas, incorporación al mercado de trabajo formal, pérdida de valores de cohesión de grupo. Para fundamentar esta afirmación se recogieron de diversos textos consultados las siguientes evidencias confirmatorias:</w:t>
      </w:r>
    </w:p>
    <w:p w14:paraId="0FDD1A08" w14:textId="222E1709" w:rsidR="00507C43" w:rsidRPr="00B450EB" w:rsidRDefault="00507C43" w:rsidP="00507C43">
      <w:pPr>
        <w:spacing w:before="21" w:after="120"/>
        <w:ind w:left="709"/>
        <w:rPr>
          <w:rFonts w:eastAsia="Verdana" w:cs="Arial"/>
          <w:lang w:val="es-ES"/>
        </w:rPr>
      </w:pPr>
      <w:r w:rsidRPr="00B450EB">
        <w:rPr>
          <w:rFonts w:eastAsia="Verdana" w:cs="Arial"/>
          <w:i/>
          <w:iCs/>
        </w:rPr>
        <w:t xml:space="preserve">La alteración de las condiciones naturales de las aguas de los ríos y los cambios introducidos a ecosistemas terrestres, generaron una completa transformación alimentaria a las comunidades, que, al no disponer de la caza, la pesca, las semillas y la recolección, empiezan a sufrir de desnutrición, que los acorrala y encierra en sus tierras.  </w:t>
      </w:r>
    </w:p>
    <w:p w14:paraId="303C7142"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Uno de los casos más representativos de esta situación se dio en Arauca con la “Laguna del </w:t>
      </w:r>
      <w:proofErr w:type="gramStart"/>
      <w:r w:rsidRPr="00B450EB">
        <w:rPr>
          <w:rFonts w:eastAsia="Verdana" w:cs="Arial"/>
          <w:i/>
          <w:iCs/>
        </w:rPr>
        <w:t>Lipa</w:t>
      </w:r>
      <w:proofErr w:type="gramEnd"/>
      <w:r w:rsidRPr="00B450EB">
        <w:rPr>
          <w:rFonts w:eastAsia="Verdana" w:cs="Arial"/>
          <w:i/>
          <w:iCs/>
        </w:rPr>
        <w:t xml:space="preserve">”, un Gran Santuario del Espacio Cósmico y Centro de Reproducción Cultural y Espiritual de los </w:t>
      </w:r>
      <w:proofErr w:type="spellStart"/>
      <w:r w:rsidRPr="00B450EB">
        <w:rPr>
          <w:rFonts w:eastAsia="Verdana" w:cs="Arial"/>
          <w:i/>
          <w:iCs/>
        </w:rPr>
        <w:t>Guahibos</w:t>
      </w:r>
      <w:proofErr w:type="spellEnd"/>
      <w:r w:rsidRPr="00B450EB">
        <w:rPr>
          <w:rFonts w:eastAsia="Verdana" w:cs="Arial"/>
          <w:i/>
          <w:iCs/>
        </w:rPr>
        <w:t xml:space="preserve">, los </w:t>
      </w:r>
      <w:proofErr w:type="spellStart"/>
      <w:r w:rsidRPr="00B450EB">
        <w:rPr>
          <w:rFonts w:eastAsia="Verdana" w:cs="Arial"/>
          <w:i/>
          <w:iCs/>
        </w:rPr>
        <w:t>Macagüanes</w:t>
      </w:r>
      <w:proofErr w:type="spellEnd"/>
      <w:r w:rsidRPr="00B450EB">
        <w:rPr>
          <w:rFonts w:eastAsia="Verdana" w:cs="Arial"/>
          <w:i/>
          <w:iCs/>
        </w:rPr>
        <w:t xml:space="preserve">, </w:t>
      </w:r>
      <w:proofErr w:type="spellStart"/>
      <w:r w:rsidRPr="00B450EB">
        <w:rPr>
          <w:rFonts w:eastAsia="Verdana" w:cs="Arial"/>
          <w:i/>
          <w:iCs/>
        </w:rPr>
        <w:t>Betoyes</w:t>
      </w:r>
      <w:proofErr w:type="spellEnd"/>
      <w:r w:rsidRPr="00B450EB">
        <w:rPr>
          <w:rFonts w:eastAsia="Verdana" w:cs="Arial"/>
          <w:i/>
          <w:iCs/>
        </w:rPr>
        <w:t xml:space="preserve"> y otros pueblos indígenas vecinos. Esta zona era la base de la mayor fuente alimenticia representada en una gran riqueza y biodiversidad de peces, aves, animales de hábito acuático, terrestre y arborícola, junto al majestuoso bosque de galería, rico en biodiversidad. Además, estaban las áreas inundables, esteros y caños aledaños a la laguna que constituían el nicho ecológico de estas especies cubriendo en su totalidad una extensión superior a las 100.000 hectáreas. Junto a estas se encontraban las 715.000 hectáreas de bosque que formaban parte de la Reserva Forestal y Ecológica del </w:t>
      </w:r>
      <w:proofErr w:type="spellStart"/>
      <w:r w:rsidRPr="00B450EB">
        <w:rPr>
          <w:rFonts w:eastAsia="Verdana" w:cs="Arial"/>
          <w:i/>
          <w:iCs/>
        </w:rPr>
        <w:t>Sarare</w:t>
      </w:r>
      <w:proofErr w:type="spellEnd"/>
      <w:r w:rsidRPr="00B450EB">
        <w:rPr>
          <w:rFonts w:eastAsia="Verdana" w:cs="Arial"/>
          <w:i/>
          <w:iCs/>
        </w:rPr>
        <w:t xml:space="preserve">, de igual riqueza en biodiversidad vegetal y animal. Esta laguna fue afectada por el vertimiento a sus canales del agua de formación de la actividad petrolera y con ella toda la oferta alimentaría que antes abastecía a miles de indígenas. </w:t>
      </w:r>
    </w:p>
    <w:p w14:paraId="19D1CE57" w14:textId="77777777" w:rsidR="00507C43" w:rsidRPr="00B450EB" w:rsidRDefault="00507C43" w:rsidP="00507C43">
      <w:pPr>
        <w:spacing w:before="21" w:after="120"/>
        <w:ind w:left="709"/>
        <w:rPr>
          <w:rFonts w:eastAsia="Verdana" w:cs="Arial"/>
          <w:lang w:val="es-ES"/>
        </w:rPr>
      </w:pPr>
      <w:r w:rsidRPr="00B450EB">
        <w:rPr>
          <w:rFonts w:eastAsia="Verdana" w:cs="Arial"/>
          <w:i/>
          <w:iCs/>
        </w:rPr>
        <w:t>a)</w:t>
      </w:r>
      <w:r w:rsidRPr="00B450EB">
        <w:rPr>
          <w:rFonts w:cs="Arial"/>
        </w:rPr>
        <w:tab/>
      </w:r>
      <w:r w:rsidRPr="00B450EB">
        <w:rPr>
          <w:rFonts w:eastAsia="Verdana" w:cs="Arial"/>
          <w:i/>
          <w:iCs/>
        </w:rPr>
        <w:t>Abandono actividades económicas y prácticas tradicionales</w:t>
      </w:r>
    </w:p>
    <w:p w14:paraId="20E59F86" w14:textId="77777777" w:rsidR="00507C43" w:rsidRPr="00B450EB" w:rsidRDefault="00507C43" w:rsidP="00507C43">
      <w:pPr>
        <w:spacing w:before="21" w:after="120"/>
        <w:ind w:left="709"/>
        <w:rPr>
          <w:rFonts w:eastAsia="Verdana" w:cs="Arial"/>
          <w:lang w:val="es-ES"/>
        </w:rPr>
      </w:pPr>
      <w:r w:rsidRPr="00B450EB">
        <w:rPr>
          <w:rFonts w:eastAsia="Verdana" w:cs="Arial"/>
          <w:i/>
          <w:iCs/>
        </w:rPr>
        <w:t>La pérdida de los recursos del bosque y de la fauna, obligan al indígena a sembrar nuevos productos y entrar en las presiones del mercado obligándolo a vender su fuerza de trabajo.</w:t>
      </w:r>
    </w:p>
    <w:p w14:paraId="242588D6" w14:textId="77777777" w:rsidR="00507C43" w:rsidRPr="00B450EB" w:rsidRDefault="00507C43" w:rsidP="00507C43">
      <w:pPr>
        <w:spacing w:before="21" w:after="120"/>
        <w:ind w:left="709"/>
        <w:rPr>
          <w:rFonts w:eastAsia="Verdana" w:cs="Arial"/>
          <w:lang w:val="es-ES"/>
        </w:rPr>
      </w:pPr>
      <w:r w:rsidRPr="00B450EB">
        <w:rPr>
          <w:rFonts w:eastAsia="Verdana" w:cs="Arial"/>
          <w:i/>
          <w:iCs/>
        </w:rPr>
        <w:t>Por otro lado, la sugestiva sociedad de consumo que invade sus territorios y que genera la pérdida de las prácticas tradicionales del manejo del entorno y la desaparición de valiosas tradiciones que alimentaban la cohesión del grupo, llevando, especialmente a los jóvenes, a cambiar sus patrones de comportamiento por los de la sociedad que ha colonizado sus tierras. La drogadicción, el alcoholismo y la prostitución se derivan de este impacto.</w:t>
      </w:r>
    </w:p>
    <w:p w14:paraId="4EFF3336" w14:textId="77777777" w:rsidR="00507C43" w:rsidRPr="00B450EB" w:rsidRDefault="00507C43" w:rsidP="00507C43">
      <w:pPr>
        <w:spacing w:before="21" w:after="120"/>
        <w:ind w:left="709"/>
        <w:rPr>
          <w:rFonts w:eastAsia="Verdana" w:cs="Arial"/>
          <w:lang w:val="es-ES"/>
        </w:rPr>
      </w:pPr>
      <w:r w:rsidRPr="00B450EB">
        <w:rPr>
          <w:rFonts w:eastAsia="Verdana" w:cs="Arial"/>
          <w:i/>
          <w:iCs/>
        </w:rPr>
        <w:lastRenderedPageBreak/>
        <w:t>b)</w:t>
      </w:r>
      <w:r w:rsidRPr="00B450EB">
        <w:rPr>
          <w:rFonts w:cs="Arial"/>
        </w:rPr>
        <w:tab/>
      </w:r>
      <w:r w:rsidRPr="00B450EB">
        <w:rPr>
          <w:rFonts w:eastAsia="Verdana" w:cs="Arial"/>
          <w:i/>
          <w:iCs/>
        </w:rPr>
        <w:t xml:space="preserve">Desintegración Cultural </w:t>
      </w:r>
    </w:p>
    <w:p w14:paraId="2F5C84AC"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Uno de los choques más fuertes que se da entre la actividad petrolera y las comunidades indígenas son sus diferencias en la cosmovisión del mundo y la valoración del territorio.   Mientras para la cultura occidental el territorio se valora en términos económicos, para las culturas indígenas forma parte integral de lo que son como pueblo y como seres humanos; a través de él median entre lo material y lo espiritual.  El territorio es parte integral de la naturaleza, donde no solo se encuentran los recursos materiales que requieren para su mantenimiento físico, recursos que son aprovechados teniendo en cuenta los ciclos de la misma naturaleza, sino donde también están los espíritus de sus muertos y los espíritus sagrados, que les dan la fortaleza espiritual, el conocimiento y la sabiduría necesarias para vivir, defenderse de otro tipo de amenazas del medio y para solucionar los problemas y conflictos de su pueblo. De esta manera, la pérdida del territorio no solo representa la indefensión física de donde vivir y que comer, sino que implica una </w:t>
      </w:r>
      <w:proofErr w:type="spellStart"/>
      <w:r w:rsidRPr="00B450EB">
        <w:rPr>
          <w:rFonts w:eastAsia="Verdana" w:cs="Arial"/>
          <w:i/>
          <w:iCs/>
        </w:rPr>
        <w:t>horfandad</w:t>
      </w:r>
      <w:proofErr w:type="spellEnd"/>
      <w:r w:rsidRPr="00B450EB">
        <w:rPr>
          <w:rFonts w:eastAsia="Verdana" w:cs="Arial"/>
          <w:i/>
          <w:iCs/>
        </w:rPr>
        <w:t xml:space="preserve"> espiritual que deja a los pueblos indígenas sin herramientas para defenderse de una cultura que además de desconocer y subvalorar su cultura, lo aparta con violencia de lo que por siglos ha sido de su pueblo.</w:t>
      </w:r>
    </w:p>
    <w:p w14:paraId="0B5A7D19" w14:textId="77777777" w:rsidR="00507C43" w:rsidRPr="00B450EB" w:rsidRDefault="00507C43" w:rsidP="00507C43">
      <w:pPr>
        <w:spacing w:before="21" w:after="120"/>
        <w:ind w:left="708"/>
        <w:rPr>
          <w:rFonts w:eastAsia="Verdana" w:cs="Arial"/>
          <w:lang w:val="es-ES"/>
        </w:rPr>
      </w:pPr>
      <w:r w:rsidRPr="00B450EB">
        <w:rPr>
          <w:rFonts w:eastAsia="Verdana" w:cs="Arial"/>
          <w:i/>
          <w:iCs/>
        </w:rPr>
        <w:t xml:space="preserve">La desintegración cultural de las comunidades indígenas se gesta desde dos ejes principales: la pérdida del equilibrio de su mundo y la introducción de patrones de otras culturas. </w:t>
      </w:r>
    </w:p>
    <w:p w14:paraId="297DEDEB" w14:textId="0D3C44C9" w:rsidR="00507C43" w:rsidRPr="00B450EB" w:rsidRDefault="00507C43" w:rsidP="00507C43">
      <w:pPr>
        <w:spacing w:before="21" w:after="120"/>
        <w:ind w:left="708"/>
        <w:rPr>
          <w:rFonts w:eastAsia="Verdana" w:cs="Arial"/>
          <w:lang w:val="es-ES"/>
        </w:rPr>
      </w:pPr>
      <w:r w:rsidRPr="00B450EB">
        <w:rPr>
          <w:rFonts w:eastAsia="Verdana" w:cs="Arial"/>
          <w:i/>
          <w:iCs/>
        </w:rPr>
        <w:t xml:space="preserve">Para los indígenas, el equilibrio del mundo depende de las relaciones de correspondencia que se entretejen entre el medio natural y el medio social. Por esta razón, la protección ambiental siempre fue un asunto importante para los </w:t>
      </w:r>
      <w:proofErr w:type="spellStart"/>
      <w:r w:rsidRPr="00B450EB">
        <w:rPr>
          <w:rFonts w:eastAsia="Verdana" w:cs="Arial"/>
          <w:i/>
          <w:iCs/>
        </w:rPr>
        <w:t>Shamanes</w:t>
      </w:r>
      <w:proofErr w:type="spellEnd"/>
      <w:r w:rsidRPr="00B450EB">
        <w:rPr>
          <w:rFonts w:eastAsia="Verdana" w:cs="Arial"/>
          <w:i/>
          <w:iCs/>
        </w:rPr>
        <w:t xml:space="preserve"> y ancianos, cuya sabiduría y rituales daban consejos y recomendaciones tanto en pesca como en la caza. La gente nativa recorría su territorio para mantener y comprender su área, los lugares en los cuales podían cazar y en los que no podían por la presencia de animales jóvenes o en tiempo o lugares de reproducción.  Con la llegada de compañías petroleras las fronteras fueron violadas, y extraños ingresaron a los territorios tradicionales generando tal desequilibrio que fue casi imposible mantener la sabiduría tradicional por las detonaciones, los helicópteros y las obras, que alejaron a los espíritus, alteraron los hábitos de los animales y en general los ciclos de la naturaleza y con esto las fuentes de abastecimiento material y espiritual. </w:t>
      </w:r>
    </w:p>
    <w:p w14:paraId="5F1D0EEF" w14:textId="7536A11F" w:rsidR="00507C43" w:rsidRPr="00B450EB" w:rsidRDefault="00507C43" w:rsidP="00507C43">
      <w:pPr>
        <w:spacing w:before="21" w:after="120"/>
        <w:ind w:left="708"/>
        <w:rPr>
          <w:rFonts w:eastAsia="Verdana" w:cs="Arial"/>
          <w:lang w:val="es-ES"/>
        </w:rPr>
      </w:pPr>
      <w:r w:rsidRPr="00B450EB">
        <w:rPr>
          <w:rFonts w:eastAsia="Verdana" w:cs="Arial"/>
          <w:i/>
          <w:iCs/>
        </w:rPr>
        <w:t xml:space="preserve">Otro de los cambios importantes se produce en la imagen del "hombre", en los conceptos de desarrollo, bienestar y progreso que las compañías traen consigo, y que van permeando la cultura de los pueblos indígenas, en </w:t>
      </w:r>
      <w:r w:rsidRPr="00B450EB">
        <w:rPr>
          <w:rFonts w:eastAsia="Verdana" w:cs="Arial"/>
          <w:i/>
          <w:iCs/>
        </w:rPr>
        <w:lastRenderedPageBreak/>
        <w:t>especial de las nuevas generaciones, produciendo una especie de “</w:t>
      </w:r>
      <w:proofErr w:type="spellStart"/>
      <w:r w:rsidRPr="00B450EB">
        <w:rPr>
          <w:rFonts w:eastAsia="Verdana" w:cs="Arial"/>
          <w:i/>
          <w:iCs/>
        </w:rPr>
        <w:t>transplante</w:t>
      </w:r>
      <w:proofErr w:type="spellEnd"/>
      <w:r w:rsidRPr="00B450EB">
        <w:rPr>
          <w:rFonts w:eastAsia="Verdana" w:cs="Arial"/>
          <w:i/>
          <w:iCs/>
        </w:rPr>
        <w:t xml:space="preserve"> en la estructura cultural”; cambios que han creado conflictos al interior de las comunidades y han determinado la relación o dependencia de estas comunidades de las compañías petroleras.  “Hasta el momento, se ha implementado una política errónea de concebir el desarrollo indígena desde la perspectiva del Estado y las empresas petroleras, lo que ha generado dependencia y paternalismo en las comunidades indígenas. Esto ha hecho que vivan en una condición de vulnerabilidad por estar presionados para ser incorporados en un proceso de desarrollo que no es el de ellos, pues las comunidades indígenas poseen sus propios conceptos de lo que es el desarrollo</w:t>
      </w:r>
      <w:r w:rsidR="00D56C29" w:rsidRPr="00B450EB">
        <w:rPr>
          <w:rFonts w:eastAsia="Verdana" w:cs="Arial"/>
          <w:i/>
          <w:iCs/>
        </w:rPr>
        <w:t>”.</w:t>
      </w:r>
      <w:r w:rsidRPr="00B450EB">
        <w:rPr>
          <w:rFonts w:eastAsia="Verdana" w:cs="Arial"/>
          <w:i/>
          <w:iCs/>
        </w:rPr>
        <w:t xml:space="preserve"> </w:t>
      </w:r>
    </w:p>
    <w:p w14:paraId="78D2DA5C" w14:textId="07A35011" w:rsidR="00507C43" w:rsidRPr="00B450EB" w:rsidRDefault="00507C43" w:rsidP="00507C43">
      <w:pPr>
        <w:spacing w:before="21" w:after="120"/>
        <w:ind w:left="708"/>
        <w:rPr>
          <w:rFonts w:eastAsia="Verdana" w:cs="Arial"/>
          <w:lang w:val="es-ES"/>
        </w:rPr>
      </w:pPr>
      <w:r w:rsidRPr="00B450EB">
        <w:rPr>
          <w:rFonts w:eastAsia="Verdana" w:cs="Arial"/>
          <w:i/>
          <w:iCs/>
        </w:rPr>
        <w:t>Otra forma de desconocimiento de la cultura indígena ha sido el intento de algunos funcionarios petroleros de obtener la aceptación de proyectos por mayoría de votos y no por consenso como es la tradición de estos grupos. Manejos irregulares que introducen en estos grupos prácticas corruptas más asociadas a la cultura occidental.  Un ejemplo de esto fue el caso de una empresa que comenzó trabajos en un resguardo, donde su pueblo pensaba que iban a tener una mejor situación económica; al hacer sus solicitudes, se les informó que la empresa ya había negociado el permiso para iniciar obras, por cinco bultos de cemento con un cacique.</w:t>
      </w:r>
    </w:p>
    <w:p w14:paraId="4C0FFF12" w14:textId="77777777" w:rsidR="00507C43" w:rsidRPr="00B450EB" w:rsidRDefault="00507C43" w:rsidP="00507C43">
      <w:pPr>
        <w:jc w:val="left"/>
        <w:rPr>
          <w:rFonts w:eastAsia="Verdana" w:cs="Arial"/>
          <w:i/>
          <w:iCs/>
          <w:lang w:val="es-ES"/>
        </w:rPr>
      </w:pPr>
      <w:r w:rsidRPr="00B450EB">
        <w:rPr>
          <w:rFonts w:cs="Arial"/>
          <w:i/>
          <w:iCs/>
        </w:rPr>
        <w:t>Disminución y alteración de la dinámica de la población indígena</w:t>
      </w:r>
      <w:r w:rsidRPr="00B450EB">
        <w:rPr>
          <w:rFonts w:eastAsiaTheme="majorEastAsia" w:cs="Arial"/>
          <w:i/>
          <w:iCs/>
        </w:rPr>
        <w:t>26.</w:t>
      </w:r>
    </w:p>
    <w:p w14:paraId="1CB934ED"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La historia de la industria petrolera en Colombia comenzó en los primeros años del siglo XX, con la Concesión Barco y la Concesión De Mares, localizadas en regiones en ese entonces inhóspitas de la geografía colombiana: las selvas del Catatumbo, refugio ancestral del pueblo Motilón, en límites con Venezuela, y las del Opón Carare, en el Magdalena Medio, que cubrían gran parte del departamento de Santander, en la región del Magdalena Medio, hábitat del pueblo </w:t>
      </w:r>
      <w:proofErr w:type="spellStart"/>
      <w:r w:rsidRPr="00B450EB">
        <w:rPr>
          <w:rFonts w:eastAsia="Verdana" w:cs="Arial"/>
          <w:i/>
          <w:iCs/>
        </w:rPr>
        <w:t>Yariguí</w:t>
      </w:r>
      <w:proofErr w:type="spellEnd"/>
      <w:r w:rsidRPr="00B450EB">
        <w:rPr>
          <w:rFonts w:eastAsia="Verdana" w:cs="Arial"/>
          <w:i/>
          <w:iCs/>
        </w:rPr>
        <w:t>.</w:t>
      </w:r>
    </w:p>
    <w:p w14:paraId="08302458"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Desde ese momento, los efectos agregados a la actividad petrolera han irrumpido en los pueblos indígenas, generando cambios en los patrones culturales hasta el punto de reducir presencia poblacional en sus territorios. De otro lado, algunas evidencias particulares, también muestran fenómenos de desplazamiento de la población a zonas inhóspitas que minan la calidad de vida de las etnias. </w:t>
      </w:r>
    </w:p>
    <w:p w14:paraId="39EEF8F2"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Aparejada con la ocupación del territorio ha venido una importante reducción de la población, debido a las manifestaciones de resistencia de los indígenas, a las enfermedades y en general a la disminución de su calidad de </w:t>
      </w:r>
      <w:proofErr w:type="gramStart"/>
      <w:r w:rsidRPr="00B450EB">
        <w:rPr>
          <w:rFonts w:eastAsia="Verdana" w:cs="Arial"/>
          <w:i/>
          <w:iCs/>
        </w:rPr>
        <w:t>vida .</w:t>
      </w:r>
      <w:proofErr w:type="gramEnd"/>
      <w:r w:rsidRPr="00B450EB">
        <w:rPr>
          <w:rFonts w:eastAsia="Verdana" w:cs="Arial"/>
          <w:i/>
          <w:iCs/>
        </w:rPr>
        <w:t xml:space="preserve"> </w:t>
      </w:r>
    </w:p>
    <w:p w14:paraId="1FD11F80" w14:textId="07EA01E2" w:rsidR="00507C43" w:rsidRPr="00B450EB" w:rsidRDefault="00507C43" w:rsidP="00507C43">
      <w:pPr>
        <w:spacing w:before="21" w:after="120"/>
        <w:ind w:left="709"/>
        <w:rPr>
          <w:rFonts w:eastAsia="Verdana" w:cs="Arial"/>
          <w:lang w:val="es-ES"/>
        </w:rPr>
      </w:pPr>
      <w:r w:rsidRPr="00B450EB">
        <w:rPr>
          <w:rFonts w:eastAsia="Verdana" w:cs="Arial"/>
          <w:i/>
          <w:iCs/>
        </w:rPr>
        <w:lastRenderedPageBreak/>
        <w:t xml:space="preserve">Como ya se señaló, esta problemática entre petróleo y territorios indígenas es una constante a nivel latinoamericano y mundial, como se evidencia en el testimonio de un indio COFAN de Ecuador: “Teníamos suficiente cacería y pescábamos sin ninguna dificultad. Manteníamos nuestra propia forma de organizarnos: el contacto de persona - naturaleza, comandado por el </w:t>
      </w:r>
      <w:proofErr w:type="gramStart"/>
      <w:r w:rsidRPr="00B450EB">
        <w:rPr>
          <w:rFonts w:eastAsia="Verdana" w:cs="Arial"/>
          <w:i/>
          <w:iCs/>
        </w:rPr>
        <w:t>Jefe</w:t>
      </w:r>
      <w:proofErr w:type="gramEnd"/>
      <w:r w:rsidRPr="00B450EB">
        <w:rPr>
          <w:rFonts w:eastAsia="Verdana" w:cs="Arial"/>
          <w:i/>
          <w:iCs/>
        </w:rPr>
        <w:t xml:space="preserve"> o Curaca, quien era el encargado de dirigir al pueblo. Con la presencia de la empresa petrolera y las empresas que hicieron la exploración sísmica, empezó la intervención irracional de nuestro territorio. Se abrieron carreteras, destruyendo inmensas hectáreas de bosques, incluyendo plantas medicinales y alimenticias. La deforestación irracional por parte de los colonizadores y la contaminación por parte de las compañías madereras y petroleras provocaron la contaminación de nuestros ríos, dando como resultado la exterminación de nuestros peces, la desorientación de los animales de nuestra selva y el abuso sexual de nuestras mujeres</w:t>
      </w:r>
      <w:r w:rsidR="00D56C29" w:rsidRPr="00B450EB">
        <w:rPr>
          <w:rFonts w:eastAsia="Verdana" w:cs="Arial"/>
          <w:i/>
          <w:iCs/>
        </w:rPr>
        <w:t>”.</w:t>
      </w:r>
    </w:p>
    <w:p w14:paraId="34B24532" w14:textId="77777777" w:rsidR="00507C43" w:rsidRPr="00B450EB" w:rsidRDefault="00507C43" w:rsidP="00507C43">
      <w:pPr>
        <w:spacing w:before="21" w:after="120"/>
        <w:ind w:left="709"/>
        <w:rPr>
          <w:rFonts w:eastAsia="Verdana" w:cs="Arial"/>
          <w:lang w:val="es-ES"/>
        </w:rPr>
      </w:pPr>
      <w:r w:rsidRPr="00B450EB">
        <w:rPr>
          <w:rFonts w:eastAsia="Verdana" w:cs="Arial"/>
          <w:i/>
          <w:iCs/>
        </w:rPr>
        <w:t>Esta situación se hace más evidente en los incrementos de los índices de morbilidad.  La pérdida de la base alimentaría y el estado de zozobra constante, ha quebrantado el sistema inmunológico de la población indígena, colocándola en una posición de indefensión frente a las endemias y las dolencias nuevas, llevadas hasta ellos por la masa de obreros y colonos advenedizos; las familias se han dispersado cada vez más para rastrear el menguado alimento, perdiendo su capacidad de respuesta a las amenazas comunes, o se han reducido a poblados para malvivir de las dádivas y el subempleo; algunas familias han emigrado y sucumbido en un viaje sin horizonte, y las demás han corrido suerte parecida enfrentando el hambre y la enfermedad .</w:t>
      </w:r>
    </w:p>
    <w:p w14:paraId="361564E2" w14:textId="77777777" w:rsidR="00507C43" w:rsidRPr="00B450EB" w:rsidRDefault="00507C43" w:rsidP="00507C43">
      <w:pPr>
        <w:spacing w:before="21" w:after="120"/>
        <w:ind w:left="709"/>
        <w:rPr>
          <w:rFonts w:eastAsia="Verdana" w:cs="Arial"/>
          <w:i/>
          <w:iCs/>
        </w:rPr>
      </w:pPr>
      <w:r w:rsidRPr="00B450EB">
        <w:rPr>
          <w:rFonts w:eastAsia="Verdana" w:cs="Arial"/>
          <w:i/>
          <w:iCs/>
        </w:rPr>
        <w:t xml:space="preserve">Igual suerte ha tenido los pueblos indígenas </w:t>
      </w:r>
      <w:proofErr w:type="spellStart"/>
      <w:r w:rsidRPr="00B450EB">
        <w:rPr>
          <w:rFonts w:eastAsia="Verdana" w:cs="Arial"/>
          <w:i/>
          <w:iCs/>
        </w:rPr>
        <w:t>Hitnu</w:t>
      </w:r>
      <w:proofErr w:type="spellEnd"/>
      <w:r w:rsidRPr="00B450EB">
        <w:rPr>
          <w:rFonts w:eastAsia="Verdana" w:cs="Arial"/>
          <w:i/>
          <w:iCs/>
        </w:rPr>
        <w:t xml:space="preserve"> (</w:t>
      </w:r>
      <w:proofErr w:type="spellStart"/>
      <w:r w:rsidRPr="00B450EB">
        <w:rPr>
          <w:rFonts w:eastAsia="Verdana" w:cs="Arial"/>
          <w:i/>
          <w:iCs/>
        </w:rPr>
        <w:t>macaguane</w:t>
      </w:r>
      <w:proofErr w:type="spellEnd"/>
      <w:r w:rsidRPr="00B450EB">
        <w:rPr>
          <w:rFonts w:eastAsia="Verdana" w:cs="Arial"/>
          <w:i/>
          <w:iCs/>
        </w:rPr>
        <w:t xml:space="preserve">), </w:t>
      </w:r>
      <w:proofErr w:type="spellStart"/>
      <w:r w:rsidRPr="00B450EB">
        <w:rPr>
          <w:rFonts w:eastAsia="Verdana" w:cs="Arial"/>
          <w:i/>
          <w:iCs/>
        </w:rPr>
        <w:t>Hitanu</w:t>
      </w:r>
      <w:proofErr w:type="spellEnd"/>
      <w:r w:rsidRPr="00B450EB">
        <w:rPr>
          <w:rFonts w:eastAsia="Verdana" w:cs="Arial"/>
          <w:i/>
          <w:iCs/>
        </w:rPr>
        <w:t xml:space="preserve"> (</w:t>
      </w:r>
      <w:proofErr w:type="spellStart"/>
      <w:r w:rsidRPr="00B450EB">
        <w:rPr>
          <w:rFonts w:eastAsia="Verdana" w:cs="Arial"/>
          <w:i/>
          <w:iCs/>
        </w:rPr>
        <w:t>Iguanitos</w:t>
      </w:r>
      <w:proofErr w:type="spellEnd"/>
      <w:r w:rsidRPr="00B450EB">
        <w:rPr>
          <w:rFonts w:eastAsia="Verdana" w:cs="Arial"/>
          <w:i/>
          <w:iCs/>
        </w:rPr>
        <w:t xml:space="preserve">), Dome </w:t>
      </w:r>
      <w:proofErr w:type="spellStart"/>
      <w:r w:rsidRPr="00B450EB">
        <w:rPr>
          <w:rFonts w:eastAsia="Verdana" w:cs="Arial"/>
          <w:i/>
          <w:iCs/>
        </w:rPr>
        <w:t>Jiwi</w:t>
      </w:r>
      <w:proofErr w:type="spellEnd"/>
      <w:r w:rsidRPr="00B450EB">
        <w:rPr>
          <w:rFonts w:eastAsia="Verdana" w:cs="Arial"/>
          <w:i/>
          <w:iCs/>
        </w:rPr>
        <w:t xml:space="preserve"> (playeros), </w:t>
      </w:r>
      <w:proofErr w:type="spellStart"/>
      <w:r w:rsidRPr="00B450EB">
        <w:rPr>
          <w:rFonts w:eastAsia="Verdana" w:cs="Arial"/>
          <w:i/>
          <w:iCs/>
        </w:rPr>
        <w:t>sikuani</w:t>
      </w:r>
      <w:proofErr w:type="spellEnd"/>
      <w:r w:rsidRPr="00B450EB">
        <w:rPr>
          <w:rFonts w:eastAsia="Verdana" w:cs="Arial"/>
          <w:i/>
          <w:iCs/>
        </w:rPr>
        <w:t xml:space="preserve"> y </w:t>
      </w:r>
      <w:proofErr w:type="spellStart"/>
      <w:r w:rsidRPr="00B450EB">
        <w:rPr>
          <w:rFonts w:eastAsia="Verdana" w:cs="Arial"/>
          <w:i/>
          <w:iCs/>
        </w:rPr>
        <w:t>cuiba</w:t>
      </w:r>
      <w:proofErr w:type="spellEnd"/>
      <w:r w:rsidRPr="00B450EB">
        <w:rPr>
          <w:rFonts w:eastAsia="Verdana" w:cs="Arial"/>
          <w:i/>
          <w:iCs/>
        </w:rPr>
        <w:t xml:space="preserve"> de Arauca que son los más pobres de Colombia, después de haber sido desplazados de sus tierras y de ser modificadas las condiciones naturales de sus aguas en Caño Limón; estos pueblos también presentan la tasa más alta de la mortalidad infantil entre los indígenas del país.</w:t>
      </w:r>
    </w:p>
    <w:p w14:paraId="6DCC0425" w14:textId="77777777" w:rsidR="00507C43" w:rsidRPr="00B450EB" w:rsidRDefault="00507C43" w:rsidP="00507C43">
      <w:pPr>
        <w:spacing w:before="21" w:after="120"/>
        <w:ind w:left="709"/>
        <w:rPr>
          <w:rFonts w:eastAsia="Verdana" w:cs="Arial"/>
          <w:lang w:val="es-ES"/>
        </w:rPr>
      </w:pPr>
      <w:r w:rsidRPr="00B450EB">
        <w:rPr>
          <w:rFonts w:eastAsia="Verdana" w:cs="Arial"/>
          <w:i/>
          <w:iCs/>
        </w:rPr>
        <w:t xml:space="preserve">Entre las enfermedades que afectan a los pueblos indígenas atribuidas a los impactos agregados del petróleo están: asma, leucemia, cáncer, problemas de los ojos y la piel, enfermedades gastrointestinales, tifoidea; enfermedades que aumentan la mortalidad de la población, disminuyendo consecuentemente su tamaño. Por otro lado, las enfermedades desconocidas y de difícil curación para el sistema médico tradicional, además del problema de salud, generan una desvalorización y desequilibrio de los </w:t>
      </w:r>
      <w:r w:rsidRPr="00B450EB">
        <w:rPr>
          <w:rFonts w:eastAsia="Verdana" w:cs="Arial"/>
          <w:i/>
          <w:iCs/>
        </w:rPr>
        <w:lastRenderedPageBreak/>
        <w:t xml:space="preserve">agentes de salud tradicionales de la comunidad: curanderos, chamanes y expertos en este conocimiento. </w:t>
      </w:r>
    </w:p>
    <w:p w14:paraId="46C7FBAC" w14:textId="77777777" w:rsidR="00507C43" w:rsidRPr="00B450EB" w:rsidRDefault="00507C43" w:rsidP="00507C43">
      <w:pPr>
        <w:spacing w:before="21" w:after="120"/>
        <w:ind w:left="709"/>
        <w:rPr>
          <w:rFonts w:eastAsia="Verdana" w:cs="Arial"/>
          <w:i/>
          <w:iCs/>
        </w:rPr>
      </w:pPr>
      <w:r w:rsidRPr="00B450EB">
        <w:rPr>
          <w:rFonts w:eastAsia="Verdana" w:cs="Arial"/>
          <w:i/>
          <w:iCs/>
        </w:rPr>
        <w:t xml:space="preserve">Otro factor asociado a la actividad petrolera en territorios indígenas, desde sus comienzos en 1905, se relaciona con denuncias por parte de los pueblos indígenas, organizaciones comunitarias y </w:t>
      </w:r>
      <w:proofErr w:type="spellStart"/>
      <w:r w:rsidRPr="00B450EB">
        <w:rPr>
          <w:rFonts w:eastAsia="Verdana" w:cs="Arial"/>
          <w:i/>
          <w:iCs/>
        </w:rPr>
        <w:t>ONG´s</w:t>
      </w:r>
      <w:proofErr w:type="spellEnd"/>
      <w:r w:rsidRPr="00B450EB">
        <w:rPr>
          <w:rFonts w:eastAsia="Verdana" w:cs="Arial"/>
          <w:i/>
          <w:iCs/>
        </w:rPr>
        <w:t>, sobre el uso de la fuerza por parte de algunas empresas como estrategia para liberar sus áreas de interés de esta población.  Por otro lado, está la violencia desatada por la presencia de grupos armados en conflicto, que también arremeten contra esta población, en especial cuando están cerca o en oposición a la actividad petrolera. En este escenario, la situación se torna más crítica en nuestro país, debido a las particularidades del conflicto armado, donde se conjugan fuerzas e intereses oscuros de la lucha entre la guerrilla, narcotráfico y paramilitarismo.</w:t>
      </w:r>
    </w:p>
    <w:p w14:paraId="010ED59F" w14:textId="77777777" w:rsidR="00507C43" w:rsidRPr="00B450EB" w:rsidRDefault="00507C43" w:rsidP="0008611E">
      <w:pPr>
        <w:spacing w:line="276" w:lineRule="auto"/>
        <w:rPr>
          <w:rFonts w:eastAsia="Verdana" w:cs="Arial"/>
          <w:lang w:val="es-ES"/>
        </w:rPr>
      </w:pPr>
      <w:r w:rsidRPr="00B450EB">
        <w:rPr>
          <w:rFonts w:cs="Arial"/>
        </w:rPr>
        <w:t xml:space="preserve">Caso de referencia en el contexto, La historia de desarrollo de la industria petrolera, departamento de Putumayo </w:t>
      </w:r>
    </w:p>
    <w:p w14:paraId="3125E9F6" w14:textId="4BD84400" w:rsidR="00507C43" w:rsidRPr="00B450EB" w:rsidRDefault="00507C43" w:rsidP="0008611E">
      <w:pPr>
        <w:spacing w:before="21" w:line="276" w:lineRule="auto"/>
        <w:rPr>
          <w:rFonts w:eastAsia="Verdana" w:cs="Arial"/>
          <w:lang w:val="es-ES"/>
        </w:rPr>
      </w:pPr>
      <w:r w:rsidRPr="00B450EB">
        <w:rPr>
          <w:rFonts w:eastAsia="Verdana" w:cs="Arial"/>
        </w:rPr>
        <w:t xml:space="preserve">De acuerdo con reseña recogida en </w:t>
      </w:r>
      <w:r w:rsidR="005D774A" w:rsidRPr="00B450EB">
        <w:rPr>
          <w:rFonts w:eastAsia="Verdana" w:cs="Arial"/>
        </w:rPr>
        <w:t xml:space="preserve">Crudo Transparente. (18 de septiembre de 2019). </w:t>
      </w:r>
      <w:r w:rsidR="005D774A" w:rsidRPr="00B450EB">
        <w:rPr>
          <w:rFonts w:eastAsia="Verdana" w:cs="Arial"/>
          <w:i/>
          <w:iCs/>
        </w:rPr>
        <w:t>Influencia de la actividad petrolera en el Putumayo, 2016-2019</w:t>
      </w:r>
      <w:r w:rsidR="00512DC3" w:rsidRPr="00B450EB">
        <w:rPr>
          <w:rFonts w:eastAsia="Verdana" w:cs="Arial"/>
          <w:i/>
          <w:iCs/>
        </w:rPr>
        <w:t>.</w:t>
      </w:r>
    </w:p>
    <w:p w14:paraId="168D5ADD" w14:textId="77777777" w:rsidR="00507C43" w:rsidRPr="00B450EB" w:rsidRDefault="00507C43" w:rsidP="0008611E">
      <w:pPr>
        <w:spacing w:before="21" w:after="120" w:line="276" w:lineRule="auto"/>
        <w:ind w:left="709"/>
        <w:rPr>
          <w:rFonts w:eastAsia="Verdana" w:cs="Arial"/>
          <w:lang w:val="es-ES"/>
        </w:rPr>
      </w:pPr>
      <w:r w:rsidRPr="00B450EB">
        <w:rPr>
          <w:rFonts w:eastAsia="Verdana" w:cs="Arial"/>
          <w:i/>
          <w:iCs/>
        </w:rPr>
        <w:t xml:space="preserve">La actividad petrolera en Putumayo se remonta a la primera mitad del siglo XX, durante la cual atrajo la atención de la empresa estadounidense Texas </w:t>
      </w:r>
      <w:proofErr w:type="spellStart"/>
      <w:r w:rsidRPr="00B450EB">
        <w:rPr>
          <w:rFonts w:eastAsia="Verdana" w:cs="Arial"/>
          <w:i/>
          <w:iCs/>
        </w:rPr>
        <w:t>Petroleum</w:t>
      </w:r>
      <w:proofErr w:type="spellEnd"/>
      <w:r w:rsidRPr="00B450EB">
        <w:rPr>
          <w:rFonts w:eastAsia="Verdana" w:cs="Arial"/>
          <w:i/>
          <w:iCs/>
        </w:rPr>
        <w:t xml:space="preserve"> Company, que inició su exploración en 1942 en busca de hidrocarburos. Fue en 1963 cuando empezó la primera perforación de un pozo productivo por parte de esta compañía, ubicado cerca del rio Orito </w:t>
      </w:r>
      <w:proofErr w:type="spellStart"/>
      <w:r w:rsidRPr="00B450EB">
        <w:rPr>
          <w:rFonts w:eastAsia="Verdana" w:cs="Arial"/>
          <w:i/>
          <w:iCs/>
        </w:rPr>
        <w:t>Pungo</w:t>
      </w:r>
      <w:proofErr w:type="spellEnd"/>
      <w:r w:rsidRPr="00B450EB">
        <w:rPr>
          <w:rFonts w:eastAsia="Verdana" w:cs="Arial"/>
          <w:i/>
          <w:iCs/>
        </w:rPr>
        <w:t>; y con ello el periodo en que la Texas administraría el distrito petrolero -Distrito Sur-, cuyo contrato finiquitaría en 1981[1]. Durante ese lapso, la multinacional mantuvo una presencia permanente en el Putumayo.</w:t>
      </w:r>
    </w:p>
    <w:p w14:paraId="47E37CC1" w14:textId="77777777" w:rsidR="00507C43" w:rsidRPr="00B450EB" w:rsidRDefault="00507C43" w:rsidP="0008611E">
      <w:pPr>
        <w:spacing w:before="21" w:after="120" w:line="276" w:lineRule="auto"/>
        <w:ind w:left="709"/>
        <w:rPr>
          <w:rFonts w:eastAsia="Verdana" w:cs="Arial"/>
          <w:lang w:val="es-ES"/>
        </w:rPr>
      </w:pPr>
      <w:r w:rsidRPr="00B450EB">
        <w:rPr>
          <w:rFonts w:eastAsia="Verdana" w:cs="Arial"/>
          <w:i/>
          <w:iCs/>
        </w:rPr>
        <w:t>A raíz de la actividad extractiva se desencadenó un flujo migratorio compuesto por poblaciones que buscaba asentarse en Putumayo para ser partícipes de los beneficios laborales que de ahí se derivaron. Se considera, pues, al petróleo un factor de incidencia en el aumento demográfico, que se registró en un 18% en el año 1964, en el cual, tomando como referencia el año 1951, la población del territorio se había duplicado. Las migraciones resultaron en largas filas de colonos que edificaron sus viviendas sin contar con un título de propiedad. Esta situación tendrá repercusiones en las tensiones territoriales de los años siguientes.</w:t>
      </w:r>
    </w:p>
    <w:p w14:paraId="7D35DD9A" w14:textId="77777777" w:rsidR="00507C43" w:rsidRPr="00B450EB" w:rsidRDefault="00507C43" w:rsidP="0008611E">
      <w:pPr>
        <w:spacing w:before="21" w:after="120" w:line="276" w:lineRule="auto"/>
        <w:ind w:left="709"/>
        <w:rPr>
          <w:rFonts w:eastAsia="Verdana" w:cs="Arial"/>
          <w:lang w:val="es-ES"/>
        </w:rPr>
      </w:pPr>
      <w:r w:rsidRPr="00B450EB">
        <w:rPr>
          <w:rFonts w:eastAsia="Verdana" w:cs="Arial"/>
          <w:i/>
          <w:iCs/>
        </w:rPr>
        <w:t xml:space="preserve">El movimiento demográfico que suscitó la economía petrolera repercutió, a su vez, en la aceleración de la urbanización del Putumayo. A raíz de esto, el Municipio de Puerto Asís, así como varios territorios colindantes con las zonas de actividad de la Texas </w:t>
      </w:r>
      <w:proofErr w:type="spellStart"/>
      <w:r w:rsidRPr="00B450EB">
        <w:rPr>
          <w:rFonts w:eastAsia="Verdana" w:cs="Arial"/>
          <w:i/>
          <w:iCs/>
        </w:rPr>
        <w:t>Petroleum</w:t>
      </w:r>
      <w:proofErr w:type="spellEnd"/>
      <w:r w:rsidRPr="00B450EB">
        <w:rPr>
          <w:rFonts w:eastAsia="Verdana" w:cs="Arial"/>
          <w:i/>
          <w:iCs/>
        </w:rPr>
        <w:t xml:space="preserve"> Company – la zona de Orito </w:t>
      </w:r>
      <w:proofErr w:type="spellStart"/>
      <w:r w:rsidRPr="00B450EB">
        <w:rPr>
          <w:rFonts w:eastAsia="Verdana" w:cs="Arial"/>
          <w:i/>
          <w:iCs/>
        </w:rPr>
        <w:t>Pungo</w:t>
      </w:r>
      <w:proofErr w:type="spellEnd"/>
      <w:r w:rsidRPr="00B450EB">
        <w:rPr>
          <w:rFonts w:eastAsia="Verdana" w:cs="Arial"/>
          <w:i/>
          <w:iCs/>
        </w:rPr>
        <w:t>-</w:t>
      </w:r>
      <w:r w:rsidRPr="00B450EB">
        <w:rPr>
          <w:rFonts w:eastAsia="Verdana" w:cs="Arial"/>
          <w:i/>
          <w:iCs/>
        </w:rPr>
        <w:lastRenderedPageBreak/>
        <w:t>, sufrieron un aumento poblacional y en ellos se desarrollaron núcleos urbanos.</w:t>
      </w:r>
    </w:p>
    <w:p w14:paraId="16834B3E" w14:textId="77777777" w:rsidR="00507C43" w:rsidRPr="00B450EB" w:rsidRDefault="00507C43" w:rsidP="00507C43">
      <w:pPr>
        <w:spacing w:before="21" w:after="120" w:line="240" w:lineRule="auto"/>
        <w:ind w:left="709"/>
        <w:rPr>
          <w:rFonts w:eastAsia="Verdana" w:cs="Arial"/>
          <w:lang w:val="es-ES"/>
        </w:rPr>
      </w:pPr>
      <w:r w:rsidRPr="00B450EB">
        <w:rPr>
          <w:rFonts w:eastAsia="Verdana" w:cs="Arial"/>
          <w:i/>
          <w:iCs/>
        </w:rPr>
        <w:t xml:space="preserve">Los conflictos entre las petroleras y las distintas comunidades en el territorio pueden rastrearse desde la década de 1960. En 1967, colonos que residían por el río Orito denunciaron ante el gobierno que la Texas </w:t>
      </w:r>
      <w:proofErr w:type="spellStart"/>
      <w:r w:rsidRPr="00B450EB">
        <w:rPr>
          <w:rFonts w:eastAsia="Verdana" w:cs="Arial"/>
          <w:i/>
          <w:iCs/>
        </w:rPr>
        <w:t>Petroleum</w:t>
      </w:r>
      <w:proofErr w:type="spellEnd"/>
      <w:r w:rsidRPr="00B450EB">
        <w:rPr>
          <w:rFonts w:eastAsia="Verdana" w:cs="Arial"/>
          <w:i/>
          <w:iCs/>
        </w:rPr>
        <w:t xml:space="preserve"> Company estaba limitando sus esfuerzos por asentarse, prohibiendo la construcción de vivienda, pese a que algunos contaran con títulos de propiedad. Entre las acusaciones se decía también que la compañía presionaba a las autoridades encargadas de adjudicar la propiedad para que entorpecieran los procesos. Por su parte, quienes mantenían relaciones laborales con la misma, criticaban las condiciones de trabajo, en cuanto a la alta explotación laboral y las escasas garantías.</w:t>
      </w:r>
    </w:p>
    <w:p w14:paraId="45EA4B63" w14:textId="77777777" w:rsidR="00507C43" w:rsidRPr="00B450EB" w:rsidRDefault="00507C43" w:rsidP="00507C43">
      <w:pPr>
        <w:spacing w:before="21" w:after="120" w:line="240" w:lineRule="auto"/>
        <w:ind w:left="709"/>
        <w:rPr>
          <w:rFonts w:eastAsia="Verdana" w:cs="Arial"/>
          <w:lang w:val="es-ES"/>
        </w:rPr>
      </w:pPr>
      <w:r w:rsidRPr="00B450EB">
        <w:rPr>
          <w:rFonts w:eastAsia="Verdana" w:cs="Arial"/>
          <w:i/>
          <w:iCs/>
        </w:rPr>
        <w:t>El Distrito Sur, comenzó a disminuir sus beneficios luego de 1971. Las repercusiones económicas para el territorio en los años siguientes serían considerables, al ser el petróleo una fuente central de trabajo y flujo económico. Los habitantes que fueron desvinculados de la actividad petrolera se desplazaron a otras actividades de tipo agrario; una porción de esta mano de obra sería parte del capital humano utilizado en los cultivos de coca que en la década siguiente tuvieron un papel central en la economía de la región y en la dinámica del conflicto.</w:t>
      </w:r>
    </w:p>
    <w:p w14:paraId="485AE1D7" w14:textId="77777777" w:rsidR="00507C43" w:rsidRPr="00B450EB" w:rsidRDefault="00507C43" w:rsidP="00507C43">
      <w:pPr>
        <w:spacing w:before="21" w:after="120" w:line="240" w:lineRule="auto"/>
        <w:ind w:left="709"/>
        <w:rPr>
          <w:rFonts w:eastAsia="Verdana" w:cs="Arial"/>
          <w:lang w:val="es-ES"/>
        </w:rPr>
      </w:pPr>
      <w:r w:rsidRPr="00B450EB">
        <w:rPr>
          <w:rFonts w:eastAsia="Verdana" w:cs="Arial"/>
          <w:i/>
          <w:iCs/>
        </w:rPr>
        <w:t xml:space="preserve">En el año 1971 los resultados de la petrolera fueron elevados, superando los 26 millones de barriles, con una producción diaria de 71.436 barriles. Mientras que, luego de una marcada tendencia de decrecimiento, para 1978 se registraron menos de 10 millones de barriles. Situación que empeoró entrada la década de 1980. En respuesta a las bajas, la Texas </w:t>
      </w:r>
      <w:proofErr w:type="spellStart"/>
      <w:r w:rsidRPr="00B450EB">
        <w:rPr>
          <w:rFonts w:eastAsia="Verdana" w:cs="Arial"/>
          <w:i/>
          <w:iCs/>
        </w:rPr>
        <w:t>Petroleum</w:t>
      </w:r>
      <w:proofErr w:type="spellEnd"/>
      <w:r w:rsidRPr="00B450EB">
        <w:rPr>
          <w:rFonts w:eastAsia="Verdana" w:cs="Arial"/>
          <w:i/>
          <w:iCs/>
        </w:rPr>
        <w:t xml:space="preserve"> Company cedió en 1981 los derechos extractivos de la zona a Ecopetrol. A pesar de la disminución en los beneficios, la actividad petrolera continuó siendo un sostén económico de Putumayo, según indica el Programa de las Naciones Unidas para el Desarrollo, PNUD.</w:t>
      </w:r>
    </w:p>
    <w:p w14:paraId="6196DCE1" w14:textId="77777777" w:rsidR="00507C43" w:rsidRPr="00B450EB" w:rsidRDefault="00507C43" w:rsidP="00507C43">
      <w:pPr>
        <w:rPr>
          <w:rFonts w:eastAsia="Verdana" w:cs="Arial"/>
          <w:i/>
          <w:iCs/>
          <w:lang w:val="es-ES"/>
        </w:rPr>
      </w:pPr>
      <w:r w:rsidRPr="00B450EB">
        <w:rPr>
          <w:rFonts w:cs="Arial"/>
          <w:i/>
          <w:iCs/>
        </w:rPr>
        <w:t>Indicadores sobre contingencias en el área causados por (o con relación a) la actividad petrolera</w:t>
      </w:r>
    </w:p>
    <w:p w14:paraId="73A49387" w14:textId="62AC5C7C" w:rsidR="00507C43" w:rsidRPr="00B450EB" w:rsidRDefault="00507C43" w:rsidP="00905AD8">
      <w:pPr>
        <w:rPr>
          <w:lang w:val="es-ES"/>
        </w:rPr>
      </w:pPr>
      <w:r w:rsidRPr="00B450EB">
        <w:t xml:space="preserve">En la </w:t>
      </w:r>
      <w:r w:rsidR="00905AD8" w:rsidRPr="00B450EB">
        <w:t>Tabla 22</w:t>
      </w:r>
      <w:r w:rsidR="00512DC3" w:rsidRPr="00B450EB">
        <w:t xml:space="preserve"> </w:t>
      </w:r>
      <w:r w:rsidRPr="00B450EB">
        <w:t xml:space="preserve">se relacionan las contingencias presentadas en el departamento de Putumayo entre los años 2011 a 2025, los atentados se concentran en épocas anteriores al proceso de paz con las FARC, de 2016 en adelante la mayor incidencia, según la clasificación recibida en el aplicativo y diligenciada por el responsable, es por actividades operativas (falla mecánica o técnica, fuga, corrosión), frente a las que se originan por actos de terceros intencionales (válvula ilícita, </w:t>
      </w:r>
      <w:proofErr w:type="spellStart"/>
      <w:r w:rsidRPr="00B450EB">
        <w:t>Seguetazo</w:t>
      </w:r>
      <w:proofErr w:type="spellEnd"/>
      <w:r w:rsidRPr="00B450EB">
        <w:t xml:space="preserve">, hurto de parte o medio) </w:t>
      </w:r>
    </w:p>
    <w:p w14:paraId="12E515A9" w14:textId="77777777" w:rsidR="000F75EB" w:rsidRPr="00B450EB" w:rsidRDefault="000F75EB" w:rsidP="00512DC3">
      <w:pPr>
        <w:pStyle w:val="Descripcin"/>
        <w:rPr>
          <w:color w:val="auto"/>
        </w:rPr>
        <w:sectPr w:rsidR="000F75EB" w:rsidRPr="00B450EB">
          <w:headerReference w:type="default" r:id="rId159"/>
          <w:footerReference w:type="default" r:id="rId160"/>
          <w:pgSz w:w="12240" w:h="15840"/>
          <w:pgMar w:top="1417" w:right="1701" w:bottom="1417" w:left="1701" w:header="708" w:footer="708" w:gutter="0"/>
          <w:cols w:space="708"/>
          <w:docGrid w:linePitch="360"/>
        </w:sectPr>
      </w:pPr>
      <w:bookmarkStart w:id="225" w:name="_Ref209248708"/>
    </w:p>
    <w:p w14:paraId="0BBCA28C" w14:textId="6FA8E43F" w:rsidR="00507C43" w:rsidRPr="00B450EB" w:rsidRDefault="00512DC3" w:rsidP="00512DC3">
      <w:pPr>
        <w:pStyle w:val="Descripcin"/>
        <w:rPr>
          <w:color w:val="auto"/>
          <w:lang w:val="es-ES"/>
        </w:rPr>
      </w:pPr>
      <w:bookmarkStart w:id="226" w:name="_Toc209723009"/>
      <w:r w:rsidRPr="00B450EB">
        <w:rPr>
          <w:color w:val="auto"/>
        </w:rPr>
        <w:lastRenderedPageBreak/>
        <w:t xml:space="preserve">Tabla </w:t>
      </w:r>
      <w:r w:rsidR="0045353A" w:rsidRPr="00B450EB">
        <w:rPr>
          <w:color w:val="auto"/>
        </w:rPr>
        <w:fldChar w:fldCharType="begin"/>
      </w:r>
      <w:r w:rsidR="0045353A" w:rsidRPr="00B450EB">
        <w:rPr>
          <w:color w:val="auto"/>
        </w:rPr>
        <w:instrText xml:space="preserve"> SEQ Tabla \* ARABIC </w:instrText>
      </w:r>
      <w:r w:rsidR="0045353A" w:rsidRPr="00B450EB">
        <w:rPr>
          <w:color w:val="auto"/>
        </w:rPr>
        <w:fldChar w:fldCharType="separate"/>
      </w:r>
      <w:r w:rsidR="00BC4A10" w:rsidRPr="00B450EB">
        <w:rPr>
          <w:noProof/>
          <w:color w:val="auto"/>
        </w:rPr>
        <w:t>26</w:t>
      </w:r>
      <w:r w:rsidR="0045353A" w:rsidRPr="00B450EB">
        <w:rPr>
          <w:noProof/>
          <w:color w:val="auto"/>
        </w:rPr>
        <w:fldChar w:fldCharType="end"/>
      </w:r>
      <w:bookmarkEnd w:id="225"/>
      <w:r w:rsidRPr="00B450EB">
        <w:rPr>
          <w:color w:val="auto"/>
        </w:rPr>
        <w:t xml:space="preserve">. </w:t>
      </w:r>
      <w:r w:rsidR="00905AD8" w:rsidRPr="00B450EB">
        <w:rPr>
          <w:color w:val="auto"/>
        </w:rPr>
        <w:t>N</w:t>
      </w:r>
      <w:r w:rsidR="00507C43" w:rsidRPr="00B450EB">
        <w:rPr>
          <w:color w:val="auto"/>
        </w:rPr>
        <w:t>úmero de contingencias departamento de Putumayo</w:t>
      </w:r>
      <w:bookmarkEnd w:id="226"/>
    </w:p>
    <w:tbl>
      <w:tblPr>
        <w:tblW w:w="12443" w:type="dxa"/>
        <w:jc w:val="center"/>
        <w:tblCellMar>
          <w:left w:w="70" w:type="dxa"/>
          <w:right w:w="70" w:type="dxa"/>
        </w:tblCellMar>
        <w:tblLook w:val="04A0" w:firstRow="1" w:lastRow="0" w:firstColumn="1" w:lastColumn="0" w:noHBand="0" w:noVBand="1"/>
      </w:tblPr>
      <w:tblGrid>
        <w:gridCol w:w="2243"/>
        <w:gridCol w:w="640"/>
        <w:gridCol w:w="640"/>
        <w:gridCol w:w="640"/>
        <w:gridCol w:w="640"/>
        <w:gridCol w:w="640"/>
        <w:gridCol w:w="640"/>
        <w:gridCol w:w="640"/>
        <w:gridCol w:w="640"/>
        <w:gridCol w:w="640"/>
        <w:gridCol w:w="640"/>
        <w:gridCol w:w="640"/>
        <w:gridCol w:w="640"/>
        <w:gridCol w:w="640"/>
        <w:gridCol w:w="640"/>
        <w:gridCol w:w="640"/>
        <w:gridCol w:w="600"/>
      </w:tblGrid>
      <w:tr w:rsidR="00205915" w:rsidRPr="00B450EB" w14:paraId="3C5C699A" w14:textId="77777777" w:rsidTr="002B5272">
        <w:trPr>
          <w:trHeight w:val="288"/>
          <w:jc w:val="center"/>
        </w:trPr>
        <w:tc>
          <w:tcPr>
            <w:tcW w:w="2243" w:type="dxa"/>
            <w:tcBorders>
              <w:top w:val="single" w:sz="4" w:space="0" w:color="auto"/>
              <w:left w:val="single" w:sz="4" w:space="0" w:color="auto"/>
              <w:bottom w:val="single" w:sz="4" w:space="0" w:color="auto"/>
              <w:right w:val="single" w:sz="4" w:space="0" w:color="auto"/>
            </w:tcBorders>
            <w:shd w:val="clear" w:color="auto" w:fill="D9F2D0" w:themeFill="accent6" w:themeFillTint="33"/>
            <w:noWrap/>
            <w:vAlign w:val="center"/>
            <w:hideMark/>
          </w:tcPr>
          <w:p w14:paraId="330BD709"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Origen del evento</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684547D0"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2011</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44E0E4B5"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2012</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02B2CE0C"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2013</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2097511E"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2014</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680FAC90"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2015</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3C5BF7CA"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2016</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2F3DD44E"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2017</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72067898"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2018</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7D4D4B43"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2019</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194D46D9"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2020</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44A3AFE6"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2021</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569FE5D1"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2022</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4F4065E8"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2023</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74924D18"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2024</w:t>
            </w:r>
          </w:p>
        </w:tc>
        <w:tc>
          <w:tcPr>
            <w:tcW w:w="6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2BA48D6D"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2025</w:t>
            </w:r>
          </w:p>
        </w:tc>
        <w:tc>
          <w:tcPr>
            <w:tcW w:w="60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62D2643D"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Total</w:t>
            </w:r>
          </w:p>
        </w:tc>
      </w:tr>
      <w:tr w:rsidR="00205915" w:rsidRPr="00B450EB" w14:paraId="2D2A36AE"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404C12EF" w14:textId="4898EA27"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Atentado</w:t>
            </w:r>
          </w:p>
        </w:tc>
        <w:tc>
          <w:tcPr>
            <w:tcW w:w="640" w:type="dxa"/>
            <w:tcBorders>
              <w:top w:val="nil"/>
              <w:left w:val="nil"/>
              <w:bottom w:val="single" w:sz="4" w:space="0" w:color="auto"/>
              <w:right w:val="single" w:sz="4" w:space="0" w:color="auto"/>
            </w:tcBorders>
            <w:noWrap/>
            <w:vAlign w:val="bottom"/>
            <w:hideMark/>
          </w:tcPr>
          <w:p w14:paraId="417F3A6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36</w:t>
            </w:r>
          </w:p>
        </w:tc>
        <w:tc>
          <w:tcPr>
            <w:tcW w:w="640" w:type="dxa"/>
            <w:tcBorders>
              <w:top w:val="nil"/>
              <w:left w:val="nil"/>
              <w:bottom w:val="single" w:sz="4" w:space="0" w:color="auto"/>
              <w:right w:val="single" w:sz="4" w:space="0" w:color="auto"/>
            </w:tcBorders>
            <w:noWrap/>
            <w:vAlign w:val="bottom"/>
            <w:hideMark/>
          </w:tcPr>
          <w:p w14:paraId="48F18579"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65</w:t>
            </w:r>
          </w:p>
        </w:tc>
        <w:tc>
          <w:tcPr>
            <w:tcW w:w="640" w:type="dxa"/>
            <w:tcBorders>
              <w:top w:val="nil"/>
              <w:left w:val="nil"/>
              <w:bottom w:val="single" w:sz="4" w:space="0" w:color="auto"/>
              <w:right w:val="single" w:sz="4" w:space="0" w:color="auto"/>
            </w:tcBorders>
            <w:noWrap/>
            <w:vAlign w:val="bottom"/>
            <w:hideMark/>
          </w:tcPr>
          <w:p w14:paraId="749A41EE"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97</w:t>
            </w:r>
          </w:p>
        </w:tc>
        <w:tc>
          <w:tcPr>
            <w:tcW w:w="640" w:type="dxa"/>
            <w:tcBorders>
              <w:top w:val="nil"/>
              <w:left w:val="nil"/>
              <w:bottom w:val="single" w:sz="4" w:space="0" w:color="auto"/>
              <w:right w:val="single" w:sz="4" w:space="0" w:color="auto"/>
            </w:tcBorders>
            <w:noWrap/>
            <w:vAlign w:val="bottom"/>
            <w:hideMark/>
          </w:tcPr>
          <w:p w14:paraId="5CE03288"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55</w:t>
            </w:r>
          </w:p>
        </w:tc>
        <w:tc>
          <w:tcPr>
            <w:tcW w:w="640" w:type="dxa"/>
            <w:tcBorders>
              <w:top w:val="nil"/>
              <w:left w:val="nil"/>
              <w:bottom w:val="single" w:sz="4" w:space="0" w:color="auto"/>
              <w:right w:val="single" w:sz="4" w:space="0" w:color="auto"/>
            </w:tcBorders>
            <w:noWrap/>
            <w:vAlign w:val="bottom"/>
            <w:hideMark/>
          </w:tcPr>
          <w:p w14:paraId="1FFF7AF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26</w:t>
            </w:r>
          </w:p>
        </w:tc>
        <w:tc>
          <w:tcPr>
            <w:tcW w:w="640" w:type="dxa"/>
            <w:tcBorders>
              <w:top w:val="nil"/>
              <w:left w:val="nil"/>
              <w:bottom w:val="single" w:sz="4" w:space="0" w:color="auto"/>
              <w:right w:val="single" w:sz="4" w:space="0" w:color="auto"/>
            </w:tcBorders>
            <w:noWrap/>
            <w:vAlign w:val="bottom"/>
            <w:hideMark/>
          </w:tcPr>
          <w:p w14:paraId="271D8E0E"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3DF82A2"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20A348A3"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3264924"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5ED0BF32"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0943C832"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863D047"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7839EA6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60E2CE4E"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811727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5060D077"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286</w:t>
            </w:r>
          </w:p>
        </w:tc>
      </w:tr>
      <w:tr w:rsidR="00205915" w:rsidRPr="00B450EB" w14:paraId="09A8D972"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478075B2" w14:textId="307A74E5"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Corrosión</w:t>
            </w:r>
          </w:p>
        </w:tc>
        <w:tc>
          <w:tcPr>
            <w:tcW w:w="640" w:type="dxa"/>
            <w:tcBorders>
              <w:top w:val="nil"/>
              <w:left w:val="nil"/>
              <w:bottom w:val="single" w:sz="4" w:space="0" w:color="auto"/>
              <w:right w:val="single" w:sz="4" w:space="0" w:color="auto"/>
            </w:tcBorders>
            <w:noWrap/>
            <w:vAlign w:val="bottom"/>
            <w:hideMark/>
          </w:tcPr>
          <w:p w14:paraId="26300841"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BB9703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w:t>
            </w:r>
          </w:p>
        </w:tc>
        <w:tc>
          <w:tcPr>
            <w:tcW w:w="640" w:type="dxa"/>
            <w:tcBorders>
              <w:top w:val="nil"/>
              <w:left w:val="nil"/>
              <w:bottom w:val="single" w:sz="4" w:space="0" w:color="auto"/>
              <w:right w:val="single" w:sz="4" w:space="0" w:color="auto"/>
            </w:tcBorders>
            <w:noWrap/>
            <w:vAlign w:val="bottom"/>
            <w:hideMark/>
          </w:tcPr>
          <w:p w14:paraId="3413D111"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w:t>
            </w:r>
          </w:p>
        </w:tc>
        <w:tc>
          <w:tcPr>
            <w:tcW w:w="640" w:type="dxa"/>
            <w:tcBorders>
              <w:top w:val="nil"/>
              <w:left w:val="nil"/>
              <w:bottom w:val="single" w:sz="4" w:space="0" w:color="auto"/>
              <w:right w:val="single" w:sz="4" w:space="0" w:color="auto"/>
            </w:tcBorders>
            <w:noWrap/>
            <w:vAlign w:val="bottom"/>
            <w:hideMark/>
          </w:tcPr>
          <w:p w14:paraId="77484B25"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w:t>
            </w:r>
          </w:p>
        </w:tc>
        <w:tc>
          <w:tcPr>
            <w:tcW w:w="640" w:type="dxa"/>
            <w:tcBorders>
              <w:top w:val="nil"/>
              <w:left w:val="nil"/>
              <w:bottom w:val="single" w:sz="4" w:space="0" w:color="auto"/>
              <w:right w:val="single" w:sz="4" w:space="0" w:color="auto"/>
            </w:tcBorders>
            <w:noWrap/>
            <w:vAlign w:val="bottom"/>
            <w:hideMark/>
          </w:tcPr>
          <w:p w14:paraId="2B77BFB5"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2C024092"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w:t>
            </w:r>
          </w:p>
        </w:tc>
        <w:tc>
          <w:tcPr>
            <w:tcW w:w="640" w:type="dxa"/>
            <w:tcBorders>
              <w:top w:val="nil"/>
              <w:left w:val="nil"/>
              <w:bottom w:val="single" w:sz="4" w:space="0" w:color="auto"/>
              <w:right w:val="single" w:sz="4" w:space="0" w:color="auto"/>
            </w:tcBorders>
            <w:noWrap/>
            <w:vAlign w:val="bottom"/>
            <w:hideMark/>
          </w:tcPr>
          <w:p w14:paraId="6D73F542"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18</w:t>
            </w:r>
          </w:p>
        </w:tc>
        <w:tc>
          <w:tcPr>
            <w:tcW w:w="640" w:type="dxa"/>
            <w:tcBorders>
              <w:top w:val="nil"/>
              <w:left w:val="nil"/>
              <w:bottom w:val="single" w:sz="4" w:space="0" w:color="auto"/>
              <w:right w:val="single" w:sz="4" w:space="0" w:color="auto"/>
            </w:tcBorders>
            <w:noWrap/>
            <w:vAlign w:val="bottom"/>
            <w:hideMark/>
          </w:tcPr>
          <w:p w14:paraId="1494C51D"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2A5A9ED0"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18B4AA8"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7BBF89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513D2999"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271C3E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5174346D"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720C2172" w14:textId="70843B2A" w:rsidR="009279AF" w:rsidRPr="00B450EB" w:rsidRDefault="009279AF" w:rsidP="009279AF">
            <w:pPr>
              <w:spacing w:after="0" w:line="240" w:lineRule="auto"/>
              <w:jc w:val="left"/>
              <w:rPr>
                <w:rFonts w:eastAsia="Times New Roman" w:cs="Arial"/>
                <w:kern w:val="0"/>
                <w:sz w:val="18"/>
                <w:szCs w:val="18"/>
                <w:lang w:eastAsia="es-CO"/>
                <w14:ligatures w14:val="none"/>
              </w:rPr>
            </w:pPr>
          </w:p>
        </w:tc>
        <w:tc>
          <w:tcPr>
            <w:tcW w:w="600" w:type="dxa"/>
            <w:tcBorders>
              <w:top w:val="nil"/>
              <w:left w:val="nil"/>
              <w:bottom w:val="single" w:sz="4" w:space="0" w:color="auto"/>
              <w:right w:val="single" w:sz="4" w:space="0" w:color="auto"/>
            </w:tcBorders>
            <w:noWrap/>
            <w:vAlign w:val="center"/>
            <w:hideMark/>
          </w:tcPr>
          <w:p w14:paraId="566C092D"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68</w:t>
            </w:r>
          </w:p>
        </w:tc>
      </w:tr>
      <w:tr w:rsidR="00205915" w:rsidRPr="00B450EB" w14:paraId="659128D9"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2DAA9294" w14:textId="7B9E82A4"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Deslizamiento</w:t>
            </w:r>
          </w:p>
        </w:tc>
        <w:tc>
          <w:tcPr>
            <w:tcW w:w="640" w:type="dxa"/>
            <w:tcBorders>
              <w:top w:val="nil"/>
              <w:left w:val="nil"/>
              <w:bottom w:val="single" w:sz="4" w:space="0" w:color="auto"/>
              <w:right w:val="single" w:sz="4" w:space="0" w:color="auto"/>
            </w:tcBorders>
            <w:noWrap/>
            <w:vAlign w:val="bottom"/>
            <w:hideMark/>
          </w:tcPr>
          <w:p w14:paraId="03C5F908"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5CEF6366"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66C5226F"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3C6E91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70EA1A35"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5FFC5C3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6F697DDE"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D0EA516"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75E00525"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2E325993"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w:t>
            </w:r>
          </w:p>
        </w:tc>
        <w:tc>
          <w:tcPr>
            <w:tcW w:w="640" w:type="dxa"/>
            <w:tcBorders>
              <w:top w:val="nil"/>
              <w:left w:val="nil"/>
              <w:bottom w:val="single" w:sz="4" w:space="0" w:color="auto"/>
              <w:right w:val="single" w:sz="4" w:space="0" w:color="auto"/>
            </w:tcBorders>
            <w:noWrap/>
            <w:vAlign w:val="bottom"/>
            <w:hideMark/>
          </w:tcPr>
          <w:p w14:paraId="5CA31D1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789EE5A5"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02DCEE4B"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p>
        </w:tc>
        <w:tc>
          <w:tcPr>
            <w:tcW w:w="640" w:type="dxa"/>
            <w:tcBorders>
              <w:top w:val="nil"/>
              <w:left w:val="nil"/>
              <w:bottom w:val="single" w:sz="4" w:space="0" w:color="auto"/>
              <w:right w:val="single" w:sz="4" w:space="0" w:color="auto"/>
            </w:tcBorders>
            <w:noWrap/>
            <w:vAlign w:val="bottom"/>
            <w:hideMark/>
          </w:tcPr>
          <w:p w14:paraId="70AE76C1"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w:t>
            </w:r>
          </w:p>
        </w:tc>
        <w:tc>
          <w:tcPr>
            <w:tcW w:w="640" w:type="dxa"/>
            <w:tcBorders>
              <w:top w:val="nil"/>
              <w:left w:val="nil"/>
              <w:bottom w:val="single" w:sz="4" w:space="0" w:color="auto"/>
              <w:right w:val="single" w:sz="4" w:space="0" w:color="auto"/>
            </w:tcBorders>
            <w:noWrap/>
            <w:vAlign w:val="bottom"/>
            <w:hideMark/>
          </w:tcPr>
          <w:p w14:paraId="700EBD3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007D64D0"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26</w:t>
            </w:r>
          </w:p>
        </w:tc>
      </w:tr>
      <w:tr w:rsidR="00205915" w:rsidRPr="00B450EB" w14:paraId="24AEE1B5"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0CD8E9E6" w14:textId="1DAFB33D"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xml:space="preserve">Falla Mecánica </w:t>
            </w:r>
            <w:r w:rsidR="002B5272" w:rsidRPr="00B450EB">
              <w:rPr>
                <w:rFonts w:eastAsia="Times New Roman" w:cs="Arial"/>
                <w:kern w:val="0"/>
                <w:sz w:val="18"/>
                <w:szCs w:val="18"/>
                <w:lang w:eastAsia="es-CO"/>
                <w14:ligatures w14:val="none"/>
              </w:rPr>
              <w:t xml:space="preserve">O </w:t>
            </w:r>
            <w:r w:rsidRPr="00B450EB">
              <w:rPr>
                <w:rFonts w:eastAsia="Times New Roman" w:cs="Arial"/>
                <w:kern w:val="0"/>
                <w:sz w:val="18"/>
                <w:szCs w:val="18"/>
                <w:lang w:eastAsia="es-CO"/>
                <w14:ligatures w14:val="none"/>
              </w:rPr>
              <w:t>Técnica</w:t>
            </w:r>
          </w:p>
        </w:tc>
        <w:tc>
          <w:tcPr>
            <w:tcW w:w="640" w:type="dxa"/>
            <w:tcBorders>
              <w:top w:val="nil"/>
              <w:left w:val="nil"/>
              <w:bottom w:val="single" w:sz="4" w:space="0" w:color="auto"/>
              <w:right w:val="single" w:sz="4" w:space="0" w:color="auto"/>
            </w:tcBorders>
            <w:noWrap/>
            <w:vAlign w:val="bottom"/>
            <w:hideMark/>
          </w:tcPr>
          <w:p w14:paraId="7891CC0E"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0C4E3B7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w:t>
            </w:r>
          </w:p>
        </w:tc>
        <w:tc>
          <w:tcPr>
            <w:tcW w:w="640" w:type="dxa"/>
            <w:tcBorders>
              <w:top w:val="nil"/>
              <w:left w:val="nil"/>
              <w:bottom w:val="single" w:sz="4" w:space="0" w:color="auto"/>
              <w:right w:val="single" w:sz="4" w:space="0" w:color="auto"/>
            </w:tcBorders>
            <w:noWrap/>
            <w:vAlign w:val="bottom"/>
            <w:hideMark/>
          </w:tcPr>
          <w:p w14:paraId="304ADF07"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w:t>
            </w:r>
          </w:p>
        </w:tc>
        <w:tc>
          <w:tcPr>
            <w:tcW w:w="640" w:type="dxa"/>
            <w:tcBorders>
              <w:top w:val="nil"/>
              <w:left w:val="nil"/>
              <w:bottom w:val="single" w:sz="4" w:space="0" w:color="auto"/>
              <w:right w:val="single" w:sz="4" w:space="0" w:color="auto"/>
            </w:tcBorders>
            <w:noWrap/>
            <w:vAlign w:val="bottom"/>
            <w:hideMark/>
          </w:tcPr>
          <w:p w14:paraId="435AD0E1"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w:t>
            </w:r>
          </w:p>
        </w:tc>
        <w:tc>
          <w:tcPr>
            <w:tcW w:w="640" w:type="dxa"/>
            <w:tcBorders>
              <w:top w:val="nil"/>
              <w:left w:val="nil"/>
              <w:bottom w:val="single" w:sz="4" w:space="0" w:color="auto"/>
              <w:right w:val="single" w:sz="4" w:space="0" w:color="auto"/>
            </w:tcBorders>
            <w:noWrap/>
            <w:vAlign w:val="bottom"/>
            <w:hideMark/>
          </w:tcPr>
          <w:p w14:paraId="0E0C3091"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16</w:t>
            </w:r>
          </w:p>
        </w:tc>
        <w:tc>
          <w:tcPr>
            <w:tcW w:w="640" w:type="dxa"/>
            <w:tcBorders>
              <w:top w:val="nil"/>
              <w:left w:val="nil"/>
              <w:bottom w:val="single" w:sz="4" w:space="0" w:color="auto"/>
              <w:right w:val="single" w:sz="4" w:space="0" w:color="auto"/>
            </w:tcBorders>
            <w:noWrap/>
            <w:vAlign w:val="bottom"/>
            <w:hideMark/>
          </w:tcPr>
          <w:p w14:paraId="04AFE294"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w:t>
            </w:r>
          </w:p>
        </w:tc>
        <w:tc>
          <w:tcPr>
            <w:tcW w:w="640" w:type="dxa"/>
            <w:tcBorders>
              <w:top w:val="nil"/>
              <w:left w:val="nil"/>
              <w:bottom w:val="single" w:sz="4" w:space="0" w:color="auto"/>
              <w:right w:val="single" w:sz="4" w:space="0" w:color="auto"/>
            </w:tcBorders>
            <w:noWrap/>
            <w:vAlign w:val="bottom"/>
            <w:hideMark/>
          </w:tcPr>
          <w:p w14:paraId="6A93E835"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7402C0B"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03E68654"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22</w:t>
            </w:r>
          </w:p>
        </w:tc>
        <w:tc>
          <w:tcPr>
            <w:tcW w:w="640" w:type="dxa"/>
            <w:tcBorders>
              <w:top w:val="nil"/>
              <w:left w:val="nil"/>
              <w:bottom w:val="single" w:sz="4" w:space="0" w:color="auto"/>
              <w:right w:val="single" w:sz="4" w:space="0" w:color="auto"/>
            </w:tcBorders>
            <w:noWrap/>
            <w:vAlign w:val="bottom"/>
            <w:hideMark/>
          </w:tcPr>
          <w:p w14:paraId="3DBC004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w:t>
            </w:r>
          </w:p>
        </w:tc>
        <w:tc>
          <w:tcPr>
            <w:tcW w:w="640" w:type="dxa"/>
            <w:tcBorders>
              <w:top w:val="nil"/>
              <w:left w:val="nil"/>
              <w:bottom w:val="single" w:sz="4" w:space="0" w:color="auto"/>
              <w:right w:val="single" w:sz="4" w:space="0" w:color="auto"/>
            </w:tcBorders>
            <w:noWrap/>
            <w:vAlign w:val="bottom"/>
            <w:hideMark/>
          </w:tcPr>
          <w:p w14:paraId="7064AE96"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w:t>
            </w:r>
          </w:p>
        </w:tc>
        <w:tc>
          <w:tcPr>
            <w:tcW w:w="640" w:type="dxa"/>
            <w:tcBorders>
              <w:top w:val="nil"/>
              <w:left w:val="nil"/>
              <w:bottom w:val="single" w:sz="4" w:space="0" w:color="auto"/>
              <w:right w:val="single" w:sz="4" w:space="0" w:color="auto"/>
            </w:tcBorders>
            <w:noWrap/>
            <w:vAlign w:val="bottom"/>
            <w:hideMark/>
          </w:tcPr>
          <w:p w14:paraId="618AB32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w:t>
            </w:r>
          </w:p>
        </w:tc>
        <w:tc>
          <w:tcPr>
            <w:tcW w:w="640" w:type="dxa"/>
            <w:tcBorders>
              <w:top w:val="nil"/>
              <w:left w:val="nil"/>
              <w:bottom w:val="single" w:sz="4" w:space="0" w:color="auto"/>
              <w:right w:val="single" w:sz="4" w:space="0" w:color="auto"/>
            </w:tcBorders>
            <w:noWrap/>
            <w:vAlign w:val="bottom"/>
            <w:hideMark/>
          </w:tcPr>
          <w:p w14:paraId="21084A12"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w:t>
            </w:r>
          </w:p>
        </w:tc>
        <w:tc>
          <w:tcPr>
            <w:tcW w:w="640" w:type="dxa"/>
            <w:tcBorders>
              <w:top w:val="nil"/>
              <w:left w:val="nil"/>
              <w:bottom w:val="single" w:sz="4" w:space="0" w:color="auto"/>
              <w:right w:val="single" w:sz="4" w:space="0" w:color="auto"/>
            </w:tcBorders>
            <w:noWrap/>
            <w:vAlign w:val="bottom"/>
            <w:hideMark/>
          </w:tcPr>
          <w:p w14:paraId="560E5906"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7F7A15C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09A1F133"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116</w:t>
            </w:r>
          </w:p>
        </w:tc>
      </w:tr>
      <w:tr w:rsidR="00205915" w:rsidRPr="00B450EB" w14:paraId="7AFF6FD7"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6415AEB9" w14:textId="4440F791"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val="pt-PT" w:eastAsia="es-CO"/>
                <w14:ligatures w14:val="none"/>
              </w:rPr>
              <w:t xml:space="preserve">Hurto De Parte O Medio </w:t>
            </w:r>
          </w:p>
        </w:tc>
        <w:tc>
          <w:tcPr>
            <w:tcW w:w="640" w:type="dxa"/>
            <w:tcBorders>
              <w:top w:val="nil"/>
              <w:left w:val="nil"/>
              <w:bottom w:val="single" w:sz="4" w:space="0" w:color="auto"/>
              <w:right w:val="single" w:sz="4" w:space="0" w:color="auto"/>
            </w:tcBorders>
            <w:noWrap/>
            <w:vAlign w:val="bottom"/>
            <w:hideMark/>
          </w:tcPr>
          <w:p w14:paraId="2EDCE479"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B35B3B2"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063BA748"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398D331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78EF0E6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p>
        </w:tc>
        <w:tc>
          <w:tcPr>
            <w:tcW w:w="640" w:type="dxa"/>
            <w:tcBorders>
              <w:top w:val="nil"/>
              <w:left w:val="nil"/>
              <w:bottom w:val="single" w:sz="4" w:space="0" w:color="auto"/>
              <w:right w:val="single" w:sz="4" w:space="0" w:color="auto"/>
            </w:tcBorders>
            <w:noWrap/>
            <w:vAlign w:val="bottom"/>
            <w:hideMark/>
          </w:tcPr>
          <w:p w14:paraId="0608F6C4"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20EF733B"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1D24507D"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15308BC7"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26F05E6"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7841E94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139FF0EA"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9EA0590"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21E46D3C"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533F5D7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40F10FFF"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14</w:t>
            </w:r>
          </w:p>
        </w:tc>
      </w:tr>
      <w:tr w:rsidR="00205915" w:rsidRPr="00B450EB" w14:paraId="6C6394F5"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347292E0" w14:textId="6E981189"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Ilícita (Válvula)</w:t>
            </w:r>
          </w:p>
        </w:tc>
        <w:tc>
          <w:tcPr>
            <w:tcW w:w="640" w:type="dxa"/>
            <w:tcBorders>
              <w:top w:val="nil"/>
              <w:left w:val="nil"/>
              <w:bottom w:val="single" w:sz="4" w:space="0" w:color="auto"/>
              <w:right w:val="single" w:sz="4" w:space="0" w:color="auto"/>
            </w:tcBorders>
            <w:noWrap/>
            <w:vAlign w:val="bottom"/>
            <w:hideMark/>
          </w:tcPr>
          <w:p w14:paraId="2A797A5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46</w:t>
            </w:r>
          </w:p>
        </w:tc>
        <w:tc>
          <w:tcPr>
            <w:tcW w:w="640" w:type="dxa"/>
            <w:tcBorders>
              <w:top w:val="nil"/>
              <w:left w:val="nil"/>
              <w:bottom w:val="single" w:sz="4" w:space="0" w:color="auto"/>
              <w:right w:val="single" w:sz="4" w:space="0" w:color="auto"/>
            </w:tcBorders>
            <w:noWrap/>
            <w:vAlign w:val="bottom"/>
            <w:hideMark/>
          </w:tcPr>
          <w:p w14:paraId="115607D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w:t>
            </w:r>
          </w:p>
        </w:tc>
        <w:tc>
          <w:tcPr>
            <w:tcW w:w="640" w:type="dxa"/>
            <w:tcBorders>
              <w:top w:val="nil"/>
              <w:left w:val="nil"/>
              <w:bottom w:val="single" w:sz="4" w:space="0" w:color="auto"/>
              <w:right w:val="single" w:sz="4" w:space="0" w:color="auto"/>
            </w:tcBorders>
            <w:noWrap/>
            <w:vAlign w:val="bottom"/>
            <w:hideMark/>
          </w:tcPr>
          <w:p w14:paraId="2C7850A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w:t>
            </w:r>
          </w:p>
        </w:tc>
        <w:tc>
          <w:tcPr>
            <w:tcW w:w="640" w:type="dxa"/>
            <w:tcBorders>
              <w:top w:val="nil"/>
              <w:left w:val="nil"/>
              <w:bottom w:val="single" w:sz="4" w:space="0" w:color="auto"/>
              <w:right w:val="single" w:sz="4" w:space="0" w:color="auto"/>
            </w:tcBorders>
            <w:noWrap/>
            <w:vAlign w:val="bottom"/>
            <w:hideMark/>
          </w:tcPr>
          <w:p w14:paraId="1EB9CB77"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58BF56B1"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w:t>
            </w:r>
          </w:p>
        </w:tc>
        <w:tc>
          <w:tcPr>
            <w:tcW w:w="640" w:type="dxa"/>
            <w:tcBorders>
              <w:top w:val="nil"/>
              <w:left w:val="nil"/>
              <w:bottom w:val="single" w:sz="4" w:space="0" w:color="auto"/>
              <w:right w:val="single" w:sz="4" w:space="0" w:color="auto"/>
            </w:tcBorders>
            <w:noWrap/>
            <w:vAlign w:val="bottom"/>
            <w:hideMark/>
          </w:tcPr>
          <w:p w14:paraId="3F6DA29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w:t>
            </w:r>
          </w:p>
        </w:tc>
        <w:tc>
          <w:tcPr>
            <w:tcW w:w="640" w:type="dxa"/>
            <w:tcBorders>
              <w:top w:val="nil"/>
              <w:left w:val="nil"/>
              <w:bottom w:val="single" w:sz="4" w:space="0" w:color="auto"/>
              <w:right w:val="single" w:sz="4" w:space="0" w:color="auto"/>
            </w:tcBorders>
            <w:noWrap/>
            <w:vAlign w:val="bottom"/>
            <w:hideMark/>
          </w:tcPr>
          <w:p w14:paraId="6C02351E"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2BBCB2B1"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011FEE45"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w:t>
            </w:r>
          </w:p>
        </w:tc>
        <w:tc>
          <w:tcPr>
            <w:tcW w:w="640" w:type="dxa"/>
            <w:tcBorders>
              <w:top w:val="nil"/>
              <w:left w:val="nil"/>
              <w:bottom w:val="single" w:sz="4" w:space="0" w:color="auto"/>
              <w:right w:val="single" w:sz="4" w:space="0" w:color="auto"/>
            </w:tcBorders>
            <w:noWrap/>
            <w:vAlign w:val="bottom"/>
            <w:hideMark/>
          </w:tcPr>
          <w:p w14:paraId="410488D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660337D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p>
        </w:tc>
        <w:tc>
          <w:tcPr>
            <w:tcW w:w="640" w:type="dxa"/>
            <w:tcBorders>
              <w:top w:val="nil"/>
              <w:left w:val="nil"/>
              <w:bottom w:val="single" w:sz="4" w:space="0" w:color="auto"/>
              <w:right w:val="single" w:sz="4" w:space="0" w:color="auto"/>
            </w:tcBorders>
            <w:noWrap/>
            <w:vAlign w:val="bottom"/>
            <w:hideMark/>
          </w:tcPr>
          <w:p w14:paraId="24810E57"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060FE90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10</w:t>
            </w:r>
          </w:p>
        </w:tc>
        <w:tc>
          <w:tcPr>
            <w:tcW w:w="640" w:type="dxa"/>
            <w:tcBorders>
              <w:top w:val="nil"/>
              <w:left w:val="nil"/>
              <w:bottom w:val="single" w:sz="4" w:space="0" w:color="auto"/>
              <w:right w:val="single" w:sz="4" w:space="0" w:color="auto"/>
            </w:tcBorders>
            <w:noWrap/>
            <w:vAlign w:val="bottom"/>
            <w:hideMark/>
          </w:tcPr>
          <w:p w14:paraId="2B6BD869"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w:t>
            </w:r>
          </w:p>
        </w:tc>
        <w:tc>
          <w:tcPr>
            <w:tcW w:w="640" w:type="dxa"/>
            <w:tcBorders>
              <w:top w:val="nil"/>
              <w:left w:val="nil"/>
              <w:bottom w:val="single" w:sz="4" w:space="0" w:color="auto"/>
              <w:right w:val="single" w:sz="4" w:space="0" w:color="auto"/>
            </w:tcBorders>
            <w:noWrap/>
            <w:vAlign w:val="bottom"/>
            <w:hideMark/>
          </w:tcPr>
          <w:p w14:paraId="6359FB53"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00" w:type="dxa"/>
            <w:tcBorders>
              <w:top w:val="nil"/>
              <w:left w:val="nil"/>
              <w:bottom w:val="single" w:sz="4" w:space="0" w:color="auto"/>
              <w:right w:val="single" w:sz="4" w:space="0" w:color="auto"/>
            </w:tcBorders>
            <w:noWrap/>
            <w:vAlign w:val="center"/>
            <w:hideMark/>
          </w:tcPr>
          <w:p w14:paraId="0E0B8E6D"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124</w:t>
            </w:r>
          </w:p>
        </w:tc>
      </w:tr>
      <w:tr w:rsidR="00205915" w:rsidRPr="00B450EB" w14:paraId="14C26AB5"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43565F09" w14:textId="39C4018C"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Fuga</w:t>
            </w:r>
          </w:p>
        </w:tc>
        <w:tc>
          <w:tcPr>
            <w:tcW w:w="640" w:type="dxa"/>
            <w:tcBorders>
              <w:top w:val="nil"/>
              <w:left w:val="nil"/>
              <w:bottom w:val="single" w:sz="4" w:space="0" w:color="auto"/>
              <w:right w:val="single" w:sz="4" w:space="0" w:color="auto"/>
            </w:tcBorders>
            <w:noWrap/>
            <w:vAlign w:val="bottom"/>
            <w:hideMark/>
          </w:tcPr>
          <w:p w14:paraId="6388A2A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w:t>
            </w:r>
          </w:p>
        </w:tc>
        <w:tc>
          <w:tcPr>
            <w:tcW w:w="640" w:type="dxa"/>
            <w:tcBorders>
              <w:top w:val="nil"/>
              <w:left w:val="nil"/>
              <w:bottom w:val="single" w:sz="4" w:space="0" w:color="auto"/>
              <w:right w:val="single" w:sz="4" w:space="0" w:color="auto"/>
            </w:tcBorders>
            <w:noWrap/>
            <w:vAlign w:val="bottom"/>
            <w:hideMark/>
          </w:tcPr>
          <w:p w14:paraId="0BD3C379"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p>
        </w:tc>
        <w:tc>
          <w:tcPr>
            <w:tcW w:w="640" w:type="dxa"/>
            <w:tcBorders>
              <w:top w:val="nil"/>
              <w:left w:val="nil"/>
              <w:bottom w:val="single" w:sz="4" w:space="0" w:color="auto"/>
              <w:right w:val="single" w:sz="4" w:space="0" w:color="auto"/>
            </w:tcBorders>
            <w:noWrap/>
            <w:vAlign w:val="bottom"/>
            <w:hideMark/>
          </w:tcPr>
          <w:p w14:paraId="55FEA949"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25B1356E"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1A5B839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w:t>
            </w:r>
          </w:p>
        </w:tc>
        <w:tc>
          <w:tcPr>
            <w:tcW w:w="640" w:type="dxa"/>
            <w:tcBorders>
              <w:top w:val="nil"/>
              <w:left w:val="nil"/>
              <w:bottom w:val="single" w:sz="4" w:space="0" w:color="auto"/>
              <w:right w:val="single" w:sz="4" w:space="0" w:color="auto"/>
            </w:tcBorders>
            <w:noWrap/>
            <w:vAlign w:val="bottom"/>
            <w:hideMark/>
          </w:tcPr>
          <w:p w14:paraId="43D52941"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639C68D2"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p>
        </w:tc>
        <w:tc>
          <w:tcPr>
            <w:tcW w:w="640" w:type="dxa"/>
            <w:tcBorders>
              <w:top w:val="nil"/>
              <w:left w:val="nil"/>
              <w:bottom w:val="single" w:sz="4" w:space="0" w:color="auto"/>
              <w:right w:val="single" w:sz="4" w:space="0" w:color="auto"/>
            </w:tcBorders>
            <w:noWrap/>
            <w:vAlign w:val="bottom"/>
            <w:hideMark/>
          </w:tcPr>
          <w:p w14:paraId="026E21B3"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w:t>
            </w:r>
          </w:p>
        </w:tc>
        <w:tc>
          <w:tcPr>
            <w:tcW w:w="640" w:type="dxa"/>
            <w:tcBorders>
              <w:top w:val="nil"/>
              <w:left w:val="nil"/>
              <w:bottom w:val="single" w:sz="4" w:space="0" w:color="auto"/>
              <w:right w:val="single" w:sz="4" w:space="0" w:color="auto"/>
            </w:tcBorders>
            <w:noWrap/>
            <w:vAlign w:val="bottom"/>
            <w:hideMark/>
          </w:tcPr>
          <w:p w14:paraId="560F8899"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w:t>
            </w:r>
          </w:p>
        </w:tc>
        <w:tc>
          <w:tcPr>
            <w:tcW w:w="640" w:type="dxa"/>
            <w:tcBorders>
              <w:top w:val="nil"/>
              <w:left w:val="nil"/>
              <w:bottom w:val="single" w:sz="4" w:space="0" w:color="auto"/>
              <w:right w:val="single" w:sz="4" w:space="0" w:color="auto"/>
            </w:tcBorders>
            <w:noWrap/>
            <w:vAlign w:val="bottom"/>
            <w:hideMark/>
          </w:tcPr>
          <w:p w14:paraId="2CF834B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13</w:t>
            </w:r>
          </w:p>
        </w:tc>
        <w:tc>
          <w:tcPr>
            <w:tcW w:w="640" w:type="dxa"/>
            <w:tcBorders>
              <w:top w:val="nil"/>
              <w:left w:val="nil"/>
              <w:bottom w:val="single" w:sz="4" w:space="0" w:color="auto"/>
              <w:right w:val="single" w:sz="4" w:space="0" w:color="auto"/>
            </w:tcBorders>
            <w:noWrap/>
            <w:vAlign w:val="bottom"/>
            <w:hideMark/>
          </w:tcPr>
          <w:p w14:paraId="490C41B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w:t>
            </w:r>
          </w:p>
        </w:tc>
        <w:tc>
          <w:tcPr>
            <w:tcW w:w="640" w:type="dxa"/>
            <w:tcBorders>
              <w:top w:val="nil"/>
              <w:left w:val="nil"/>
              <w:bottom w:val="single" w:sz="4" w:space="0" w:color="auto"/>
              <w:right w:val="single" w:sz="4" w:space="0" w:color="auto"/>
            </w:tcBorders>
            <w:noWrap/>
            <w:vAlign w:val="bottom"/>
            <w:hideMark/>
          </w:tcPr>
          <w:p w14:paraId="76425B34"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w:t>
            </w:r>
          </w:p>
        </w:tc>
        <w:tc>
          <w:tcPr>
            <w:tcW w:w="640" w:type="dxa"/>
            <w:tcBorders>
              <w:top w:val="nil"/>
              <w:left w:val="nil"/>
              <w:bottom w:val="single" w:sz="4" w:space="0" w:color="auto"/>
              <w:right w:val="single" w:sz="4" w:space="0" w:color="auto"/>
            </w:tcBorders>
            <w:noWrap/>
            <w:vAlign w:val="bottom"/>
            <w:hideMark/>
          </w:tcPr>
          <w:p w14:paraId="6AB1C38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w:t>
            </w:r>
          </w:p>
        </w:tc>
        <w:tc>
          <w:tcPr>
            <w:tcW w:w="640" w:type="dxa"/>
            <w:tcBorders>
              <w:top w:val="nil"/>
              <w:left w:val="nil"/>
              <w:bottom w:val="single" w:sz="4" w:space="0" w:color="auto"/>
              <w:right w:val="single" w:sz="4" w:space="0" w:color="auto"/>
            </w:tcBorders>
            <w:noWrap/>
            <w:vAlign w:val="bottom"/>
            <w:hideMark/>
          </w:tcPr>
          <w:p w14:paraId="40A76378"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4</w:t>
            </w:r>
          </w:p>
        </w:tc>
        <w:tc>
          <w:tcPr>
            <w:tcW w:w="640" w:type="dxa"/>
            <w:tcBorders>
              <w:top w:val="nil"/>
              <w:left w:val="nil"/>
              <w:bottom w:val="single" w:sz="4" w:space="0" w:color="auto"/>
              <w:right w:val="single" w:sz="4" w:space="0" w:color="auto"/>
            </w:tcBorders>
            <w:noWrap/>
            <w:vAlign w:val="bottom"/>
            <w:hideMark/>
          </w:tcPr>
          <w:p w14:paraId="709FC05E"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3BA3C4D1"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97</w:t>
            </w:r>
          </w:p>
        </w:tc>
      </w:tr>
      <w:tr w:rsidR="00205915" w:rsidRPr="00B450EB" w14:paraId="3AB56BBE"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018460FF" w14:textId="4C48FDA7"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Otro</w:t>
            </w:r>
          </w:p>
        </w:tc>
        <w:tc>
          <w:tcPr>
            <w:tcW w:w="640" w:type="dxa"/>
            <w:tcBorders>
              <w:top w:val="nil"/>
              <w:left w:val="nil"/>
              <w:bottom w:val="single" w:sz="4" w:space="0" w:color="auto"/>
              <w:right w:val="single" w:sz="4" w:space="0" w:color="auto"/>
            </w:tcBorders>
            <w:noWrap/>
            <w:vAlign w:val="bottom"/>
            <w:hideMark/>
          </w:tcPr>
          <w:p w14:paraId="4E89D5CD"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18DBF809"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49C7390D"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AE48202"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2B5C8236"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6FC1248"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5F5624A1"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6C8117A"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45338C1"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w:t>
            </w:r>
          </w:p>
        </w:tc>
        <w:tc>
          <w:tcPr>
            <w:tcW w:w="640" w:type="dxa"/>
            <w:tcBorders>
              <w:top w:val="nil"/>
              <w:left w:val="nil"/>
              <w:bottom w:val="single" w:sz="4" w:space="0" w:color="auto"/>
              <w:right w:val="single" w:sz="4" w:space="0" w:color="auto"/>
            </w:tcBorders>
            <w:noWrap/>
            <w:vAlign w:val="bottom"/>
            <w:hideMark/>
          </w:tcPr>
          <w:p w14:paraId="47B5303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0D084BC3"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24F22C7"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0F5E2D8"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40C34EF"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357A512"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2464664D"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12</w:t>
            </w:r>
          </w:p>
        </w:tc>
      </w:tr>
      <w:tr w:rsidR="00205915" w:rsidRPr="00B450EB" w14:paraId="1D4FF14C"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5CF334B5" w14:textId="242B9B87"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Operativa Falla</w:t>
            </w:r>
          </w:p>
        </w:tc>
        <w:tc>
          <w:tcPr>
            <w:tcW w:w="640" w:type="dxa"/>
            <w:tcBorders>
              <w:top w:val="nil"/>
              <w:left w:val="nil"/>
              <w:bottom w:val="single" w:sz="4" w:space="0" w:color="auto"/>
              <w:right w:val="single" w:sz="4" w:space="0" w:color="auto"/>
            </w:tcBorders>
            <w:noWrap/>
            <w:vAlign w:val="bottom"/>
            <w:hideMark/>
          </w:tcPr>
          <w:p w14:paraId="7939F80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3FED943D"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185CC4B3"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9F2C70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1C9C2F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24484CE7"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04BAF9F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7</w:t>
            </w:r>
          </w:p>
        </w:tc>
        <w:tc>
          <w:tcPr>
            <w:tcW w:w="640" w:type="dxa"/>
            <w:tcBorders>
              <w:top w:val="nil"/>
              <w:left w:val="nil"/>
              <w:bottom w:val="single" w:sz="4" w:space="0" w:color="auto"/>
              <w:right w:val="single" w:sz="4" w:space="0" w:color="auto"/>
            </w:tcBorders>
            <w:noWrap/>
            <w:vAlign w:val="bottom"/>
            <w:hideMark/>
          </w:tcPr>
          <w:p w14:paraId="1414F7A4"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16</w:t>
            </w:r>
          </w:p>
        </w:tc>
        <w:tc>
          <w:tcPr>
            <w:tcW w:w="640" w:type="dxa"/>
            <w:tcBorders>
              <w:top w:val="nil"/>
              <w:left w:val="nil"/>
              <w:bottom w:val="single" w:sz="4" w:space="0" w:color="auto"/>
              <w:right w:val="single" w:sz="4" w:space="0" w:color="auto"/>
            </w:tcBorders>
            <w:noWrap/>
            <w:vAlign w:val="bottom"/>
            <w:hideMark/>
          </w:tcPr>
          <w:p w14:paraId="036CFFC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079E68A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3211725"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781CFCB"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A0D610F"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E514CC7"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5FFB16FA"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3EAD66DD"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32</w:t>
            </w:r>
          </w:p>
        </w:tc>
      </w:tr>
      <w:tr w:rsidR="00205915" w:rsidRPr="00B450EB" w14:paraId="021760FC"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1EE8AF40" w14:textId="1869EE38"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xml:space="preserve">Por </w:t>
            </w:r>
            <w:r w:rsidR="002B5272" w:rsidRPr="00B450EB">
              <w:rPr>
                <w:rFonts w:eastAsia="Times New Roman" w:cs="Arial"/>
                <w:kern w:val="0"/>
                <w:sz w:val="18"/>
                <w:szCs w:val="18"/>
                <w:lang w:eastAsia="es-CO"/>
                <w14:ligatures w14:val="none"/>
              </w:rPr>
              <w:t xml:space="preserve">Definir </w:t>
            </w:r>
          </w:p>
        </w:tc>
        <w:tc>
          <w:tcPr>
            <w:tcW w:w="640" w:type="dxa"/>
            <w:tcBorders>
              <w:top w:val="nil"/>
              <w:left w:val="nil"/>
              <w:bottom w:val="single" w:sz="4" w:space="0" w:color="auto"/>
              <w:right w:val="single" w:sz="4" w:space="0" w:color="auto"/>
            </w:tcBorders>
            <w:noWrap/>
            <w:vAlign w:val="bottom"/>
            <w:hideMark/>
          </w:tcPr>
          <w:p w14:paraId="5F97FE65"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650741DB"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2764E3E"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6FA478A3"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3B4F66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205EC57C"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ECAF29F"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ACAB006"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p>
        </w:tc>
        <w:tc>
          <w:tcPr>
            <w:tcW w:w="640" w:type="dxa"/>
            <w:tcBorders>
              <w:top w:val="nil"/>
              <w:left w:val="nil"/>
              <w:bottom w:val="single" w:sz="4" w:space="0" w:color="auto"/>
              <w:right w:val="single" w:sz="4" w:space="0" w:color="auto"/>
            </w:tcBorders>
            <w:noWrap/>
            <w:vAlign w:val="bottom"/>
            <w:hideMark/>
          </w:tcPr>
          <w:p w14:paraId="4CCFD688"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5C65FF17"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FF7ED78"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55E05CF"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311C1A6"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B3EC310"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1CE1AC6"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1AE5EF3B"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9</w:t>
            </w:r>
          </w:p>
        </w:tc>
      </w:tr>
      <w:tr w:rsidR="00205915" w:rsidRPr="00B450EB" w14:paraId="1C8B2E2C"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55F06003" w14:textId="0974312D" w:rsidR="009279AF" w:rsidRPr="00B450EB" w:rsidRDefault="002B5272" w:rsidP="009279AF">
            <w:pPr>
              <w:spacing w:after="0" w:line="240" w:lineRule="auto"/>
              <w:jc w:val="left"/>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Seguetazo</w:t>
            </w:r>
            <w:proofErr w:type="spellEnd"/>
          </w:p>
        </w:tc>
        <w:tc>
          <w:tcPr>
            <w:tcW w:w="640" w:type="dxa"/>
            <w:tcBorders>
              <w:top w:val="nil"/>
              <w:left w:val="nil"/>
              <w:bottom w:val="single" w:sz="4" w:space="0" w:color="auto"/>
              <w:right w:val="single" w:sz="4" w:space="0" w:color="auto"/>
            </w:tcBorders>
            <w:noWrap/>
            <w:vAlign w:val="bottom"/>
            <w:hideMark/>
          </w:tcPr>
          <w:p w14:paraId="01A04357"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w:t>
            </w:r>
          </w:p>
        </w:tc>
        <w:tc>
          <w:tcPr>
            <w:tcW w:w="640" w:type="dxa"/>
            <w:tcBorders>
              <w:top w:val="nil"/>
              <w:left w:val="nil"/>
              <w:bottom w:val="single" w:sz="4" w:space="0" w:color="auto"/>
              <w:right w:val="single" w:sz="4" w:space="0" w:color="auto"/>
            </w:tcBorders>
            <w:noWrap/>
            <w:vAlign w:val="bottom"/>
            <w:hideMark/>
          </w:tcPr>
          <w:p w14:paraId="7C440877"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w:t>
            </w:r>
          </w:p>
        </w:tc>
        <w:tc>
          <w:tcPr>
            <w:tcW w:w="640" w:type="dxa"/>
            <w:tcBorders>
              <w:top w:val="nil"/>
              <w:left w:val="nil"/>
              <w:bottom w:val="single" w:sz="4" w:space="0" w:color="auto"/>
              <w:right w:val="single" w:sz="4" w:space="0" w:color="auto"/>
            </w:tcBorders>
            <w:noWrap/>
            <w:vAlign w:val="bottom"/>
            <w:hideMark/>
          </w:tcPr>
          <w:p w14:paraId="5905AF59"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w:t>
            </w:r>
          </w:p>
        </w:tc>
        <w:tc>
          <w:tcPr>
            <w:tcW w:w="640" w:type="dxa"/>
            <w:tcBorders>
              <w:top w:val="nil"/>
              <w:left w:val="nil"/>
              <w:bottom w:val="single" w:sz="4" w:space="0" w:color="auto"/>
              <w:right w:val="single" w:sz="4" w:space="0" w:color="auto"/>
            </w:tcBorders>
            <w:noWrap/>
            <w:vAlign w:val="bottom"/>
            <w:hideMark/>
          </w:tcPr>
          <w:p w14:paraId="4A24C0E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9</w:t>
            </w:r>
          </w:p>
        </w:tc>
        <w:tc>
          <w:tcPr>
            <w:tcW w:w="640" w:type="dxa"/>
            <w:tcBorders>
              <w:top w:val="nil"/>
              <w:left w:val="nil"/>
              <w:bottom w:val="single" w:sz="4" w:space="0" w:color="auto"/>
              <w:right w:val="single" w:sz="4" w:space="0" w:color="auto"/>
            </w:tcBorders>
            <w:noWrap/>
            <w:vAlign w:val="bottom"/>
            <w:hideMark/>
          </w:tcPr>
          <w:p w14:paraId="7F0A0488"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17</w:t>
            </w:r>
          </w:p>
        </w:tc>
        <w:tc>
          <w:tcPr>
            <w:tcW w:w="640" w:type="dxa"/>
            <w:tcBorders>
              <w:top w:val="nil"/>
              <w:left w:val="nil"/>
              <w:bottom w:val="single" w:sz="4" w:space="0" w:color="auto"/>
              <w:right w:val="single" w:sz="4" w:space="0" w:color="auto"/>
            </w:tcBorders>
            <w:noWrap/>
            <w:vAlign w:val="bottom"/>
            <w:hideMark/>
          </w:tcPr>
          <w:p w14:paraId="3E5CDDB4"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0BB20574"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12</w:t>
            </w:r>
          </w:p>
        </w:tc>
        <w:tc>
          <w:tcPr>
            <w:tcW w:w="640" w:type="dxa"/>
            <w:tcBorders>
              <w:top w:val="nil"/>
              <w:left w:val="nil"/>
              <w:bottom w:val="single" w:sz="4" w:space="0" w:color="auto"/>
              <w:right w:val="single" w:sz="4" w:space="0" w:color="auto"/>
            </w:tcBorders>
            <w:noWrap/>
            <w:vAlign w:val="bottom"/>
            <w:hideMark/>
          </w:tcPr>
          <w:p w14:paraId="4787FC6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w:t>
            </w:r>
          </w:p>
        </w:tc>
        <w:tc>
          <w:tcPr>
            <w:tcW w:w="640" w:type="dxa"/>
            <w:tcBorders>
              <w:top w:val="nil"/>
              <w:left w:val="nil"/>
              <w:bottom w:val="single" w:sz="4" w:space="0" w:color="auto"/>
              <w:right w:val="single" w:sz="4" w:space="0" w:color="auto"/>
            </w:tcBorders>
            <w:noWrap/>
            <w:vAlign w:val="bottom"/>
            <w:hideMark/>
          </w:tcPr>
          <w:p w14:paraId="46EB877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11</w:t>
            </w:r>
          </w:p>
        </w:tc>
        <w:tc>
          <w:tcPr>
            <w:tcW w:w="640" w:type="dxa"/>
            <w:tcBorders>
              <w:top w:val="nil"/>
              <w:left w:val="nil"/>
              <w:bottom w:val="single" w:sz="4" w:space="0" w:color="auto"/>
              <w:right w:val="single" w:sz="4" w:space="0" w:color="auto"/>
            </w:tcBorders>
            <w:noWrap/>
            <w:vAlign w:val="bottom"/>
            <w:hideMark/>
          </w:tcPr>
          <w:p w14:paraId="54B7A31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23F957B1"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2FA5F812"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D2A8B0E"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34255AA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18126AFE"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159F54F6"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104</w:t>
            </w:r>
          </w:p>
        </w:tc>
      </w:tr>
      <w:tr w:rsidR="00205915" w:rsidRPr="00B450EB" w14:paraId="6D4A744B"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2277086E" w14:textId="154AAEC5"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xml:space="preserve">Tercero Natural O </w:t>
            </w:r>
          </w:p>
        </w:tc>
        <w:tc>
          <w:tcPr>
            <w:tcW w:w="640" w:type="dxa"/>
            <w:tcBorders>
              <w:top w:val="nil"/>
              <w:left w:val="nil"/>
              <w:bottom w:val="single" w:sz="4" w:space="0" w:color="auto"/>
              <w:right w:val="single" w:sz="4" w:space="0" w:color="auto"/>
            </w:tcBorders>
            <w:noWrap/>
            <w:vAlign w:val="bottom"/>
            <w:hideMark/>
          </w:tcPr>
          <w:p w14:paraId="4B8B3183"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5F7485B"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A9F95C3"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741375B"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BF5458B"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B79DB22"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CD88815"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29E97A9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D103749"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225DC35"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17DE4A7"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5B996D6"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BDC641C"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50F9743E"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CED41EC"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0506B495"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w:t>
            </w:r>
          </w:p>
        </w:tc>
      </w:tr>
      <w:tr w:rsidR="00205915" w:rsidRPr="00B450EB" w14:paraId="2EA4D1C0"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5C5C5BFA" w14:textId="6BA01765"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Volcamiento</w:t>
            </w:r>
          </w:p>
        </w:tc>
        <w:tc>
          <w:tcPr>
            <w:tcW w:w="640" w:type="dxa"/>
            <w:tcBorders>
              <w:top w:val="nil"/>
              <w:left w:val="nil"/>
              <w:bottom w:val="single" w:sz="4" w:space="0" w:color="auto"/>
              <w:right w:val="single" w:sz="4" w:space="0" w:color="auto"/>
            </w:tcBorders>
            <w:noWrap/>
            <w:vAlign w:val="bottom"/>
            <w:hideMark/>
          </w:tcPr>
          <w:p w14:paraId="5E41740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100D84E5"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1AFEFD3"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0590590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0DB53B0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7CA6B703"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22C7D9C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7F9E86D"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3</w:t>
            </w:r>
          </w:p>
        </w:tc>
        <w:tc>
          <w:tcPr>
            <w:tcW w:w="640" w:type="dxa"/>
            <w:tcBorders>
              <w:top w:val="nil"/>
              <w:left w:val="nil"/>
              <w:bottom w:val="single" w:sz="4" w:space="0" w:color="auto"/>
              <w:right w:val="single" w:sz="4" w:space="0" w:color="auto"/>
            </w:tcBorders>
            <w:noWrap/>
            <w:vAlign w:val="bottom"/>
            <w:hideMark/>
          </w:tcPr>
          <w:p w14:paraId="79568E96"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8A90D67"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5873D41A"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6E9CBF5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p>
        </w:tc>
        <w:tc>
          <w:tcPr>
            <w:tcW w:w="640" w:type="dxa"/>
            <w:tcBorders>
              <w:top w:val="nil"/>
              <w:left w:val="nil"/>
              <w:bottom w:val="single" w:sz="4" w:space="0" w:color="auto"/>
              <w:right w:val="single" w:sz="4" w:space="0" w:color="auto"/>
            </w:tcBorders>
            <w:noWrap/>
            <w:vAlign w:val="bottom"/>
            <w:hideMark/>
          </w:tcPr>
          <w:p w14:paraId="0E64400D"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6F9DA1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2A2F5927"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757BEFA0"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21</w:t>
            </w:r>
          </w:p>
        </w:tc>
      </w:tr>
      <w:tr w:rsidR="00205915" w:rsidRPr="00B450EB" w14:paraId="18BEAD51"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040F79B6" w14:textId="7C098CF8" w:rsidR="009279AF" w:rsidRPr="00B450EB" w:rsidRDefault="002B5272" w:rsidP="009279AF">
            <w:pPr>
              <w:spacing w:after="0" w:line="240" w:lineRule="auto"/>
              <w:jc w:val="left"/>
              <w:rPr>
                <w:rFonts w:eastAsia="Times New Roman" w:cs="Arial"/>
                <w:kern w:val="0"/>
                <w:sz w:val="18"/>
                <w:szCs w:val="18"/>
                <w:lang w:eastAsia="es-CO"/>
                <w14:ligatures w14:val="none"/>
              </w:rPr>
            </w:pPr>
            <w:proofErr w:type="spellStart"/>
            <w:r w:rsidRPr="00B450EB">
              <w:rPr>
                <w:rFonts w:eastAsia="Times New Roman" w:cs="Arial"/>
                <w:kern w:val="0"/>
                <w:sz w:val="18"/>
                <w:szCs w:val="18"/>
                <w:lang w:eastAsia="es-CO"/>
                <w14:ligatures w14:val="none"/>
              </w:rPr>
              <w:t>Vaceo</w:t>
            </w:r>
            <w:proofErr w:type="spellEnd"/>
            <w:r w:rsidRPr="00B450EB">
              <w:rPr>
                <w:rFonts w:eastAsia="Times New Roman" w:cs="Arial"/>
                <w:kern w:val="0"/>
                <w:sz w:val="18"/>
                <w:szCs w:val="18"/>
                <w:lang w:eastAsia="es-CO"/>
                <w14:ligatures w14:val="none"/>
              </w:rPr>
              <w:t xml:space="preserve"> De Vehículos</w:t>
            </w:r>
          </w:p>
        </w:tc>
        <w:tc>
          <w:tcPr>
            <w:tcW w:w="640" w:type="dxa"/>
            <w:tcBorders>
              <w:top w:val="nil"/>
              <w:left w:val="nil"/>
              <w:bottom w:val="single" w:sz="4" w:space="0" w:color="auto"/>
              <w:right w:val="single" w:sz="4" w:space="0" w:color="auto"/>
            </w:tcBorders>
            <w:noWrap/>
            <w:vAlign w:val="bottom"/>
            <w:hideMark/>
          </w:tcPr>
          <w:p w14:paraId="60BCEF1E"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B2E2DFC"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5A6FF74"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8</w:t>
            </w:r>
          </w:p>
        </w:tc>
        <w:tc>
          <w:tcPr>
            <w:tcW w:w="640" w:type="dxa"/>
            <w:tcBorders>
              <w:top w:val="nil"/>
              <w:left w:val="nil"/>
              <w:bottom w:val="single" w:sz="4" w:space="0" w:color="auto"/>
              <w:right w:val="single" w:sz="4" w:space="0" w:color="auto"/>
            </w:tcBorders>
            <w:noWrap/>
            <w:vAlign w:val="bottom"/>
            <w:hideMark/>
          </w:tcPr>
          <w:p w14:paraId="32A2D5FD"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6</w:t>
            </w:r>
          </w:p>
        </w:tc>
        <w:tc>
          <w:tcPr>
            <w:tcW w:w="640" w:type="dxa"/>
            <w:tcBorders>
              <w:top w:val="nil"/>
              <w:left w:val="nil"/>
              <w:bottom w:val="single" w:sz="4" w:space="0" w:color="auto"/>
              <w:right w:val="single" w:sz="4" w:space="0" w:color="auto"/>
            </w:tcBorders>
            <w:noWrap/>
            <w:vAlign w:val="bottom"/>
            <w:hideMark/>
          </w:tcPr>
          <w:p w14:paraId="2BF82460"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5</w:t>
            </w:r>
          </w:p>
        </w:tc>
        <w:tc>
          <w:tcPr>
            <w:tcW w:w="640" w:type="dxa"/>
            <w:tcBorders>
              <w:top w:val="nil"/>
              <w:left w:val="nil"/>
              <w:bottom w:val="single" w:sz="4" w:space="0" w:color="auto"/>
              <w:right w:val="single" w:sz="4" w:space="0" w:color="auto"/>
            </w:tcBorders>
            <w:noWrap/>
            <w:vAlign w:val="bottom"/>
            <w:hideMark/>
          </w:tcPr>
          <w:p w14:paraId="69984C11"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2AB162C"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87E6256"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338F5A9B"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D93AC3A"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542DE39"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154108B"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10B6430"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2D0F480D"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E4BE08F"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7FF29803"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21</w:t>
            </w:r>
          </w:p>
        </w:tc>
      </w:tr>
      <w:tr w:rsidR="00205915" w:rsidRPr="00B450EB" w14:paraId="4525144A"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660BCA93" w14:textId="52966149" w:rsidR="009279AF" w:rsidRPr="00B450EB" w:rsidRDefault="002B5272"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Inyección</w:t>
            </w:r>
          </w:p>
        </w:tc>
        <w:tc>
          <w:tcPr>
            <w:tcW w:w="640" w:type="dxa"/>
            <w:tcBorders>
              <w:top w:val="nil"/>
              <w:left w:val="nil"/>
              <w:bottom w:val="single" w:sz="4" w:space="0" w:color="auto"/>
              <w:right w:val="single" w:sz="4" w:space="0" w:color="auto"/>
            </w:tcBorders>
            <w:noWrap/>
            <w:vAlign w:val="bottom"/>
            <w:hideMark/>
          </w:tcPr>
          <w:p w14:paraId="6D67548C"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0237553"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5B58AB5F"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3B33A85"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2</w:t>
            </w:r>
          </w:p>
        </w:tc>
        <w:tc>
          <w:tcPr>
            <w:tcW w:w="640" w:type="dxa"/>
            <w:tcBorders>
              <w:top w:val="nil"/>
              <w:left w:val="nil"/>
              <w:bottom w:val="single" w:sz="4" w:space="0" w:color="auto"/>
              <w:right w:val="single" w:sz="4" w:space="0" w:color="auto"/>
            </w:tcBorders>
            <w:noWrap/>
            <w:vAlign w:val="bottom"/>
            <w:hideMark/>
          </w:tcPr>
          <w:p w14:paraId="3DD8E672"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50D6D12"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2F1E1439"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2FFA8987"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97ACA13"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6A70010"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FBA326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52BF23B"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1F89B59"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96C7DFA"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2298EB9"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3F55442C"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w:t>
            </w:r>
          </w:p>
        </w:tc>
      </w:tr>
      <w:tr w:rsidR="00205915" w:rsidRPr="00B450EB" w14:paraId="5F06D5A9" w14:textId="77777777" w:rsidTr="002B5272">
        <w:trPr>
          <w:trHeight w:val="288"/>
          <w:jc w:val="center"/>
        </w:trPr>
        <w:tc>
          <w:tcPr>
            <w:tcW w:w="2243" w:type="dxa"/>
            <w:tcBorders>
              <w:top w:val="nil"/>
              <w:left w:val="single" w:sz="4" w:space="0" w:color="auto"/>
              <w:bottom w:val="single" w:sz="4" w:space="0" w:color="auto"/>
              <w:right w:val="single" w:sz="4" w:space="0" w:color="auto"/>
            </w:tcBorders>
            <w:noWrap/>
            <w:vAlign w:val="bottom"/>
            <w:hideMark/>
          </w:tcPr>
          <w:p w14:paraId="3A883F96" w14:textId="3A022838"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xml:space="preserve">Sin </w:t>
            </w:r>
            <w:r w:rsidR="002B5272" w:rsidRPr="00B450EB">
              <w:rPr>
                <w:rFonts w:eastAsia="Times New Roman" w:cs="Arial"/>
                <w:kern w:val="0"/>
                <w:sz w:val="18"/>
                <w:szCs w:val="18"/>
                <w:lang w:eastAsia="es-CO"/>
                <w14:ligatures w14:val="none"/>
              </w:rPr>
              <w:t>Clasificar</w:t>
            </w:r>
          </w:p>
        </w:tc>
        <w:tc>
          <w:tcPr>
            <w:tcW w:w="640" w:type="dxa"/>
            <w:tcBorders>
              <w:top w:val="nil"/>
              <w:left w:val="nil"/>
              <w:bottom w:val="single" w:sz="4" w:space="0" w:color="auto"/>
              <w:right w:val="single" w:sz="4" w:space="0" w:color="auto"/>
            </w:tcBorders>
            <w:noWrap/>
            <w:vAlign w:val="bottom"/>
            <w:hideMark/>
          </w:tcPr>
          <w:p w14:paraId="17FC3C21"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29B8146"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2BB389D"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4377C53D"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4D685B5"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14D454B6"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30C2896F" w14:textId="77777777" w:rsidR="009279AF" w:rsidRPr="00B450EB" w:rsidRDefault="009279AF" w:rsidP="009279AF">
            <w:pPr>
              <w:spacing w:after="0" w:line="240" w:lineRule="auto"/>
              <w:jc w:val="righ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1</w:t>
            </w:r>
          </w:p>
        </w:tc>
        <w:tc>
          <w:tcPr>
            <w:tcW w:w="640" w:type="dxa"/>
            <w:tcBorders>
              <w:top w:val="nil"/>
              <w:left w:val="nil"/>
              <w:bottom w:val="single" w:sz="4" w:space="0" w:color="auto"/>
              <w:right w:val="single" w:sz="4" w:space="0" w:color="auto"/>
            </w:tcBorders>
            <w:noWrap/>
            <w:vAlign w:val="bottom"/>
            <w:hideMark/>
          </w:tcPr>
          <w:p w14:paraId="321F2D75"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11FBBF1"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6979EF9B"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05E9EC3F"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7A18E5AE"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28303847"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5CEBBD34"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40" w:type="dxa"/>
            <w:tcBorders>
              <w:top w:val="nil"/>
              <w:left w:val="nil"/>
              <w:bottom w:val="single" w:sz="4" w:space="0" w:color="auto"/>
              <w:right w:val="single" w:sz="4" w:space="0" w:color="auto"/>
            </w:tcBorders>
            <w:noWrap/>
            <w:vAlign w:val="bottom"/>
            <w:hideMark/>
          </w:tcPr>
          <w:p w14:paraId="5AC663AF" w14:textId="77777777" w:rsidR="009279AF" w:rsidRPr="00B450EB" w:rsidRDefault="009279AF" w:rsidP="009279AF">
            <w:pPr>
              <w:spacing w:after="0" w:line="240" w:lineRule="auto"/>
              <w:jc w:val="left"/>
              <w:rPr>
                <w:rFonts w:eastAsia="Times New Roman" w:cs="Arial"/>
                <w:kern w:val="0"/>
                <w:sz w:val="18"/>
                <w:szCs w:val="18"/>
                <w:lang w:eastAsia="es-CO"/>
                <w14:ligatures w14:val="none"/>
              </w:rPr>
            </w:pPr>
            <w:r w:rsidRPr="00B450EB">
              <w:rPr>
                <w:rFonts w:eastAsia="Times New Roman" w:cs="Arial"/>
                <w:kern w:val="0"/>
                <w:sz w:val="18"/>
                <w:szCs w:val="18"/>
                <w:lang w:eastAsia="es-CO"/>
                <w14:ligatures w14:val="none"/>
              </w:rPr>
              <w:t> </w:t>
            </w:r>
          </w:p>
        </w:tc>
        <w:tc>
          <w:tcPr>
            <w:tcW w:w="600" w:type="dxa"/>
            <w:tcBorders>
              <w:top w:val="nil"/>
              <w:left w:val="nil"/>
              <w:bottom w:val="single" w:sz="4" w:space="0" w:color="auto"/>
              <w:right w:val="single" w:sz="4" w:space="0" w:color="auto"/>
            </w:tcBorders>
            <w:noWrap/>
            <w:vAlign w:val="center"/>
            <w:hideMark/>
          </w:tcPr>
          <w:p w14:paraId="07EB0AB7"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w:t>
            </w:r>
          </w:p>
        </w:tc>
      </w:tr>
      <w:tr w:rsidR="00205915" w:rsidRPr="00B450EB" w14:paraId="7127116E" w14:textId="77777777" w:rsidTr="002B5272">
        <w:trPr>
          <w:trHeight w:val="288"/>
          <w:jc w:val="center"/>
        </w:trPr>
        <w:tc>
          <w:tcPr>
            <w:tcW w:w="2243" w:type="dxa"/>
            <w:tcBorders>
              <w:top w:val="nil"/>
              <w:left w:val="single" w:sz="4" w:space="0" w:color="auto"/>
              <w:bottom w:val="single" w:sz="4" w:space="0" w:color="auto"/>
              <w:right w:val="single" w:sz="4" w:space="0" w:color="auto"/>
            </w:tcBorders>
            <w:shd w:val="clear" w:color="auto" w:fill="D9F2D0" w:themeFill="accent6" w:themeFillTint="33"/>
            <w:noWrap/>
            <w:vAlign w:val="center"/>
            <w:hideMark/>
          </w:tcPr>
          <w:p w14:paraId="243FA3AA"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Total</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3876807B"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113</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352BD2B7"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111</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6D3F7CC3"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148</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37A22D37"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104</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63AD71DE"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95</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0FF63827"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33</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73D4F639"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49</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4BF6E28A"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48</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595DAF75"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64</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7A2107D9"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36</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603702B2"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39</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396F5209"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34</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7EAB0845"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33</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02693994"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26</w:t>
            </w:r>
          </w:p>
        </w:tc>
        <w:tc>
          <w:tcPr>
            <w:tcW w:w="640" w:type="dxa"/>
            <w:tcBorders>
              <w:top w:val="nil"/>
              <w:left w:val="nil"/>
              <w:bottom w:val="single" w:sz="4" w:space="0" w:color="auto"/>
              <w:right w:val="single" w:sz="4" w:space="0" w:color="auto"/>
            </w:tcBorders>
            <w:shd w:val="clear" w:color="auto" w:fill="D9F2D0" w:themeFill="accent6" w:themeFillTint="33"/>
            <w:noWrap/>
            <w:vAlign w:val="center"/>
            <w:hideMark/>
          </w:tcPr>
          <w:p w14:paraId="19D295A5"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2</w:t>
            </w:r>
          </w:p>
        </w:tc>
        <w:tc>
          <w:tcPr>
            <w:tcW w:w="600" w:type="dxa"/>
            <w:tcBorders>
              <w:top w:val="nil"/>
              <w:left w:val="nil"/>
              <w:bottom w:val="single" w:sz="4" w:space="0" w:color="auto"/>
              <w:right w:val="single" w:sz="4" w:space="0" w:color="auto"/>
            </w:tcBorders>
            <w:shd w:val="clear" w:color="auto" w:fill="D9F2D0" w:themeFill="accent6" w:themeFillTint="33"/>
            <w:noWrap/>
            <w:vAlign w:val="center"/>
            <w:hideMark/>
          </w:tcPr>
          <w:p w14:paraId="3EC39B3C" w14:textId="77777777" w:rsidR="009279AF" w:rsidRPr="00B450EB" w:rsidRDefault="009279AF" w:rsidP="002B5272">
            <w:pPr>
              <w:spacing w:after="0" w:line="240" w:lineRule="auto"/>
              <w:jc w:val="center"/>
              <w:rPr>
                <w:rFonts w:eastAsia="Times New Roman" w:cs="Arial"/>
                <w:b/>
                <w:bCs/>
                <w:kern w:val="0"/>
                <w:sz w:val="18"/>
                <w:szCs w:val="18"/>
                <w:lang w:eastAsia="es-CO"/>
                <w14:ligatures w14:val="none"/>
              </w:rPr>
            </w:pPr>
            <w:r w:rsidRPr="00B450EB">
              <w:rPr>
                <w:rFonts w:eastAsia="Times New Roman" w:cs="Arial"/>
                <w:b/>
                <w:bCs/>
                <w:kern w:val="0"/>
                <w:sz w:val="18"/>
                <w:szCs w:val="18"/>
                <w:lang w:eastAsia="es-CO"/>
                <w14:ligatures w14:val="none"/>
              </w:rPr>
              <w:t>935</w:t>
            </w:r>
          </w:p>
        </w:tc>
      </w:tr>
    </w:tbl>
    <w:p w14:paraId="797CB4E8" w14:textId="3A13B92B" w:rsidR="000F75EB" w:rsidRPr="00B450EB" w:rsidRDefault="00905AD8" w:rsidP="00905AD8">
      <w:pPr>
        <w:spacing w:before="21"/>
        <w:jc w:val="center"/>
        <w:rPr>
          <w:rFonts w:eastAsia="Verdana" w:cs="Arial"/>
          <w:sz w:val="18"/>
          <w:szCs w:val="18"/>
          <w:lang w:val="es-ES"/>
        </w:rPr>
        <w:sectPr w:rsidR="000F75EB" w:rsidRPr="00B450EB" w:rsidSect="000F75EB">
          <w:pgSz w:w="15840" w:h="12240" w:orient="landscape"/>
          <w:pgMar w:top="1701" w:right="1418" w:bottom="1701" w:left="1418" w:header="709" w:footer="709" w:gutter="0"/>
          <w:cols w:space="708"/>
          <w:docGrid w:linePitch="360"/>
        </w:sectPr>
      </w:pPr>
      <w:r w:rsidRPr="00B450EB">
        <w:rPr>
          <w:rFonts w:eastAsia="Verdana" w:cs="Arial"/>
          <w:sz w:val="18"/>
          <w:szCs w:val="18"/>
          <w:lang w:val="es-ES"/>
        </w:rPr>
        <w:t>Fuente:</w:t>
      </w:r>
    </w:p>
    <w:p w14:paraId="706A14A6" w14:textId="77777777" w:rsidR="00507C43" w:rsidRPr="00B450EB" w:rsidRDefault="00507C43" w:rsidP="00507C43">
      <w:pPr>
        <w:spacing w:before="21"/>
        <w:rPr>
          <w:rFonts w:eastAsia="Verdana" w:cs="Arial"/>
          <w:lang w:val="es-ES"/>
        </w:rPr>
      </w:pPr>
    </w:p>
    <w:p w14:paraId="30A70DA8" w14:textId="77777777" w:rsidR="00507C43" w:rsidRPr="00B450EB" w:rsidRDefault="00507C43" w:rsidP="00507C43">
      <w:pPr>
        <w:rPr>
          <w:rFonts w:eastAsia="Verdana" w:cs="Arial"/>
          <w:i/>
          <w:iCs/>
          <w:lang w:val="es-ES"/>
        </w:rPr>
      </w:pPr>
      <w:r w:rsidRPr="00B450EB">
        <w:rPr>
          <w:rFonts w:cs="Arial"/>
          <w:i/>
          <w:iCs/>
        </w:rPr>
        <w:t>Estado de los recursos naturales renovables en el área</w:t>
      </w:r>
    </w:p>
    <w:p w14:paraId="13C3A87F" w14:textId="77777777" w:rsidR="00507C43" w:rsidRPr="00B450EB" w:rsidRDefault="00507C43" w:rsidP="00507C43">
      <w:pPr>
        <w:rPr>
          <w:rFonts w:eastAsia="Verdana" w:cs="Arial"/>
          <w:i/>
          <w:lang w:val="es-ES"/>
        </w:rPr>
      </w:pPr>
      <w:r w:rsidRPr="00B450EB">
        <w:rPr>
          <w:rFonts w:cs="Arial"/>
          <w:i/>
        </w:rPr>
        <w:t>Suelo y agua</w:t>
      </w:r>
    </w:p>
    <w:p w14:paraId="5423C808" w14:textId="77777777" w:rsidR="00507C43" w:rsidRPr="00B450EB" w:rsidRDefault="00507C43" w:rsidP="00507C43">
      <w:pPr>
        <w:spacing w:before="21" w:after="120"/>
        <w:rPr>
          <w:rFonts w:eastAsia="Verdana" w:cs="Arial"/>
          <w:lang w:val="es-ES"/>
        </w:rPr>
      </w:pPr>
      <w:r w:rsidRPr="00B450EB">
        <w:rPr>
          <w:rFonts w:eastAsia="Verdana" w:cs="Arial"/>
        </w:rPr>
        <w:t>En un estudio que adelanta el SGC</w:t>
      </w:r>
      <w:r w:rsidRPr="00B450EB">
        <w:rPr>
          <w:rFonts w:eastAsia="Calibri" w:cs="Arial"/>
          <w:vertAlign w:val="superscript"/>
        </w:rPr>
        <w:t>16</w:t>
      </w:r>
      <w:r w:rsidRPr="00B450EB">
        <w:rPr>
          <w:rFonts w:eastAsia="Verdana" w:cs="Arial"/>
        </w:rPr>
        <w:t xml:space="preserve"> para el corredor Puerto Vega </w:t>
      </w:r>
      <w:proofErr w:type="spellStart"/>
      <w:r w:rsidRPr="00B450EB">
        <w:rPr>
          <w:rFonts w:eastAsia="Verdana" w:cs="Arial"/>
        </w:rPr>
        <w:t>Teteyé</w:t>
      </w:r>
      <w:proofErr w:type="spellEnd"/>
      <w:r w:rsidRPr="00B450EB">
        <w:rPr>
          <w:rFonts w:eastAsia="Verdana" w:cs="Arial"/>
        </w:rPr>
        <w:t xml:space="preserve"> del municipio de Puerto Asís, departamento de Putumayo, hace referencia a un documento realizado por el </w:t>
      </w:r>
      <w:proofErr w:type="spellStart"/>
      <w:r w:rsidRPr="00B450EB">
        <w:rPr>
          <w:rFonts w:eastAsia="Verdana" w:cs="Arial"/>
        </w:rPr>
        <w:t>IAvH</w:t>
      </w:r>
      <w:proofErr w:type="spellEnd"/>
      <w:r w:rsidRPr="00B450EB">
        <w:rPr>
          <w:rFonts w:eastAsia="Verdana" w:cs="Arial"/>
        </w:rPr>
        <w:t xml:space="preserve"> de 2020, a partir de la caracterización de suelos y humedales mediante bioindicadores que encontró que: “… </w:t>
      </w:r>
      <w:r w:rsidRPr="00B450EB">
        <w:rPr>
          <w:rFonts w:eastAsia="Verdana" w:cs="Arial"/>
          <w:i/>
          <w:iCs/>
        </w:rPr>
        <w:t>de 37 puntos muestreados para este índice, 9 obtuvieron calidad regular y 18 de calidad mala. En dos puntos, el índice ETP</w:t>
      </w:r>
      <w:r w:rsidRPr="00B450EB">
        <w:rPr>
          <w:rFonts w:eastAsia="Verdana" w:cs="Arial"/>
          <w:i/>
          <w:iCs/>
          <w:vertAlign w:val="superscript"/>
        </w:rPr>
        <w:t>17</w:t>
      </w:r>
      <w:r w:rsidRPr="00B450EB">
        <w:rPr>
          <w:rFonts w:eastAsia="Verdana" w:cs="Arial"/>
          <w:i/>
          <w:iCs/>
        </w:rPr>
        <w:t xml:space="preserve"> fue de 0, el más bajo posible, pues no se registró la presencia de estos organismos.  </w:t>
      </w:r>
    </w:p>
    <w:p w14:paraId="7BBDC813" w14:textId="77777777" w:rsidR="00507C43" w:rsidRPr="00B450EB" w:rsidRDefault="00507C43" w:rsidP="00507C43">
      <w:pPr>
        <w:spacing w:before="21"/>
        <w:rPr>
          <w:rFonts w:eastAsia="Verdana" w:cs="Arial"/>
          <w:lang w:val="es-ES"/>
        </w:rPr>
      </w:pPr>
      <w:r w:rsidRPr="00B450EB">
        <w:rPr>
          <w:rFonts w:eastAsia="Verdana" w:cs="Arial"/>
          <w:i/>
          <w:iCs/>
        </w:rPr>
        <w:t xml:space="preserve">Igualmente, se realizó un análisis a partir de la abundancia de especies vegetales </w:t>
      </w:r>
      <w:proofErr w:type="spellStart"/>
      <w:r w:rsidRPr="00B450EB">
        <w:rPr>
          <w:rFonts w:eastAsia="Verdana" w:cs="Arial"/>
          <w:i/>
          <w:iCs/>
        </w:rPr>
        <w:t>riparias</w:t>
      </w:r>
      <w:proofErr w:type="spellEnd"/>
      <w:r w:rsidRPr="00B450EB">
        <w:rPr>
          <w:rFonts w:eastAsia="Verdana" w:cs="Arial"/>
          <w:i/>
          <w:iCs/>
        </w:rPr>
        <w:t xml:space="preserve"> y </w:t>
      </w:r>
      <w:proofErr w:type="spellStart"/>
      <w:r w:rsidRPr="00B450EB">
        <w:rPr>
          <w:rFonts w:eastAsia="Verdana" w:cs="Arial"/>
          <w:i/>
          <w:iCs/>
        </w:rPr>
        <w:t>macrófitas</w:t>
      </w:r>
      <w:proofErr w:type="spellEnd"/>
      <w:r w:rsidRPr="00B450EB">
        <w:rPr>
          <w:rFonts w:eastAsia="Verdana" w:cs="Arial"/>
          <w:i/>
          <w:iCs/>
        </w:rPr>
        <w:t xml:space="preserve"> en cercanía de los cuerpos de agua que fueron muestreados en el diseño de monitoreo. Los resultados mostraron que la presencia de distintas coberturas en los puntos estudiados está fuertemente alterada por perturbaciones directas humanas; no obstante, no depende de la presencia o ausencia de contaminaciones por hidrocarburos</w:t>
      </w:r>
      <w:r w:rsidRPr="00B450EB">
        <w:rPr>
          <w:rFonts w:eastAsia="Verdana" w:cs="Arial"/>
        </w:rPr>
        <w:t>.” Lo que da cuenta de las graves afectaciones al ecosistema que empareja el desarrollo de distintas actividades en el área.</w:t>
      </w:r>
    </w:p>
    <w:p w14:paraId="3AB173B1" w14:textId="77777777" w:rsidR="00507C43" w:rsidRPr="00B450EB" w:rsidRDefault="00507C43" w:rsidP="00507C43">
      <w:pPr>
        <w:rPr>
          <w:rFonts w:eastAsia="Verdana" w:cs="Arial"/>
          <w:i/>
          <w:lang w:val="es-ES"/>
        </w:rPr>
      </w:pPr>
      <w:r w:rsidRPr="00B450EB">
        <w:rPr>
          <w:rFonts w:cs="Arial"/>
          <w:i/>
        </w:rPr>
        <w:t>Conflicto social</w:t>
      </w:r>
    </w:p>
    <w:p w14:paraId="44B031A1" w14:textId="77777777" w:rsidR="00507C43" w:rsidRPr="00B450EB" w:rsidRDefault="00507C43" w:rsidP="00507C43">
      <w:pPr>
        <w:spacing w:before="21"/>
        <w:rPr>
          <w:rFonts w:eastAsia="Verdana" w:cs="Arial"/>
          <w:lang w:val="es-ES"/>
        </w:rPr>
      </w:pPr>
      <w:r w:rsidRPr="00B450EB">
        <w:rPr>
          <w:rFonts w:eastAsia="Verdana" w:cs="Arial"/>
        </w:rPr>
        <w:t>Son reiteradas las demandas sociales que reclaman respuesta al sector ambiental por la afectación de los proyectos de hidrocarburos en el área del bioma amazónico:</w:t>
      </w:r>
    </w:p>
    <w:p w14:paraId="366CCFA5" w14:textId="77777777" w:rsidR="00507C43" w:rsidRPr="00B450EB" w:rsidRDefault="00507C43" w:rsidP="00CE0CE4">
      <w:pPr>
        <w:pStyle w:val="Prrafodelista"/>
        <w:numPr>
          <w:ilvl w:val="0"/>
          <w:numId w:val="31"/>
        </w:numPr>
        <w:spacing w:before="21"/>
        <w:rPr>
          <w:rFonts w:eastAsia="Verdana" w:cs="Arial"/>
          <w:lang w:val="es-ES"/>
        </w:rPr>
      </w:pPr>
      <w:r w:rsidRPr="00B450EB">
        <w:rPr>
          <w:rFonts w:eastAsia="Verdana" w:cs="Arial"/>
        </w:rPr>
        <w:t>Se realizan movilizaciones sociales en septiembre de 2016 por afectaciones ambientales, entre otros aspectos.</w:t>
      </w:r>
    </w:p>
    <w:p w14:paraId="0766C4D6" w14:textId="77777777" w:rsidR="00507C43" w:rsidRPr="00B450EB" w:rsidRDefault="00507C43" w:rsidP="00CE0CE4">
      <w:pPr>
        <w:pStyle w:val="Prrafodelista"/>
        <w:numPr>
          <w:ilvl w:val="0"/>
          <w:numId w:val="31"/>
        </w:numPr>
        <w:spacing w:before="21"/>
        <w:rPr>
          <w:rFonts w:eastAsia="Verdana" w:cs="Arial"/>
          <w:lang w:val="es-ES"/>
        </w:rPr>
      </w:pPr>
      <w:r w:rsidRPr="00B450EB">
        <w:rPr>
          <w:rFonts w:eastAsia="Verdana" w:cs="Arial"/>
        </w:rPr>
        <w:t xml:space="preserve">El Ministerio de Ambiente mediante la Resolución 1522 de 2016 adoptó un régimen especial para atender “… </w:t>
      </w:r>
      <w:r w:rsidRPr="00B450EB">
        <w:rPr>
          <w:rFonts w:eastAsia="Verdana" w:cs="Arial"/>
          <w:i/>
          <w:iCs/>
        </w:rPr>
        <w:t xml:space="preserve">acciones puntuales de respuesta a la limpieza, descontaminación y restauración de puntos previamente identificados más afectados por actividades y proyectos de extracción de minerales e hidrocarburos, que requieren revisión del comité, </w:t>
      </w:r>
      <w:proofErr w:type="gramStart"/>
      <w:r w:rsidRPr="00B450EB">
        <w:rPr>
          <w:rFonts w:eastAsia="Verdana" w:cs="Arial"/>
          <w:i/>
          <w:iCs/>
        </w:rPr>
        <w:t>de acuerdo al</w:t>
      </w:r>
      <w:proofErr w:type="gramEnd"/>
      <w:r w:rsidRPr="00B450EB">
        <w:rPr>
          <w:rFonts w:eastAsia="Verdana" w:cs="Arial"/>
          <w:i/>
          <w:iCs/>
        </w:rPr>
        <w:t xml:space="preserve"> informe técnico de </w:t>
      </w:r>
      <w:proofErr w:type="spellStart"/>
      <w:r w:rsidRPr="00B450EB">
        <w:rPr>
          <w:rFonts w:eastAsia="Verdana" w:cs="Arial"/>
          <w:i/>
          <w:iCs/>
        </w:rPr>
        <w:t>Corpoamazonia</w:t>
      </w:r>
      <w:proofErr w:type="spellEnd"/>
      <w:r w:rsidRPr="00B450EB">
        <w:rPr>
          <w:rFonts w:eastAsia="Verdana" w:cs="Arial"/>
          <w:i/>
          <w:iCs/>
        </w:rPr>
        <w:t xml:space="preserve"> y otras autoridades ambientales competentes.</w:t>
      </w:r>
      <w:r w:rsidRPr="00B450EB">
        <w:rPr>
          <w:rFonts w:eastAsia="Verdana" w:cs="Arial"/>
        </w:rPr>
        <w:t>”</w:t>
      </w:r>
    </w:p>
    <w:p w14:paraId="0C99FBB2" w14:textId="77777777" w:rsidR="00507C43" w:rsidRPr="00B450EB" w:rsidRDefault="00507C43" w:rsidP="00507C43">
      <w:pPr>
        <w:spacing w:before="21"/>
        <w:rPr>
          <w:rFonts w:eastAsia="Verdana" w:cs="Arial"/>
          <w:lang w:val="es-ES"/>
        </w:rPr>
      </w:pPr>
      <w:r w:rsidRPr="00B450EB">
        <w:rPr>
          <w:rFonts w:eastAsia="Verdana" w:cs="Arial"/>
        </w:rPr>
        <w:t xml:space="preserve">El desarrollo de la actividad de hidrocarburos en la región amazónica no ha ido de la mano con la planeación requerida por parte del gobierno nacional, la ANH al momento de asignar los bloques no realizó análisis preliminares sobre el desarrollo de la industria en el Bioma Amazónico, lo que ha generado todo tipo de problemáticas socioambientales en el territorio. De acuerdo con el </w:t>
      </w:r>
      <w:proofErr w:type="spellStart"/>
      <w:r w:rsidRPr="00B450EB">
        <w:rPr>
          <w:rFonts w:eastAsia="Verdana" w:cs="Arial"/>
        </w:rPr>
        <w:t>IAvH</w:t>
      </w:r>
      <w:proofErr w:type="spellEnd"/>
      <w:r w:rsidRPr="00B450EB">
        <w:rPr>
          <w:rFonts w:eastAsia="Verdana" w:cs="Arial"/>
        </w:rPr>
        <w:t xml:space="preserve">, los impactos generados por la industria de hidrocarburos en esta región no han sido cuantificados y en el corto plazo los ecosistemas y las comunidades han recibido </w:t>
      </w:r>
      <w:r w:rsidRPr="00B450EB">
        <w:rPr>
          <w:rFonts w:eastAsia="Verdana" w:cs="Arial"/>
        </w:rPr>
        <w:lastRenderedPageBreak/>
        <w:t xml:space="preserve">los impactos directos; esto requiere del Estado una acción preventiva y reparativa de los daños ya ocasionados. </w:t>
      </w:r>
    </w:p>
    <w:p w14:paraId="0A5986C0" w14:textId="77777777" w:rsidR="00507C43" w:rsidRPr="00B450EB" w:rsidRDefault="00507C43" w:rsidP="00507C43">
      <w:pPr>
        <w:spacing w:before="21"/>
        <w:rPr>
          <w:rFonts w:eastAsia="Verdana" w:cs="Arial"/>
          <w:lang w:val="es-ES"/>
        </w:rPr>
      </w:pPr>
      <w:r w:rsidRPr="00B450EB">
        <w:rPr>
          <w:rFonts w:eastAsia="Verdana" w:cs="Arial"/>
        </w:rPr>
        <w:t xml:space="preserve">La descontaminación de grandes sectores afectados por prácticas inadecuadas de la industria o ataques contra la infraestructura de transporte de hidrocarburos es una tarea urgente que afecta las especies, los ecosistemas y los modos de vida de las comunidades. (Transiciones </w:t>
      </w:r>
      <w:proofErr w:type="spellStart"/>
      <w:r w:rsidRPr="00B450EB">
        <w:rPr>
          <w:rFonts w:eastAsia="Verdana" w:cs="Arial"/>
        </w:rPr>
        <w:t>socioecológicas</w:t>
      </w:r>
      <w:proofErr w:type="spellEnd"/>
      <w:r w:rsidRPr="00B450EB">
        <w:rPr>
          <w:rFonts w:eastAsia="Verdana" w:cs="Arial"/>
        </w:rPr>
        <w:t xml:space="preserve">. </w:t>
      </w:r>
      <w:proofErr w:type="spellStart"/>
      <w:r w:rsidRPr="00B450EB">
        <w:rPr>
          <w:rFonts w:eastAsia="Verdana" w:cs="Arial"/>
        </w:rPr>
        <w:t>IAvH</w:t>
      </w:r>
      <w:proofErr w:type="spellEnd"/>
      <w:r w:rsidRPr="00B450EB">
        <w:rPr>
          <w:rFonts w:eastAsia="Verdana" w:cs="Arial"/>
        </w:rPr>
        <w:t>, 2018).</w:t>
      </w:r>
    </w:p>
    <w:p w14:paraId="2F0CCC18" w14:textId="77777777" w:rsidR="00924396" w:rsidRPr="00B450EB" w:rsidRDefault="00924396" w:rsidP="00924396">
      <w:pPr>
        <w:rPr>
          <w:lang w:val="es-ES"/>
        </w:rPr>
      </w:pPr>
    </w:p>
    <w:p w14:paraId="20742638" w14:textId="19F67E84" w:rsidR="00B67A78" w:rsidRPr="00B450EB" w:rsidRDefault="007435DD" w:rsidP="001C1081">
      <w:pPr>
        <w:pStyle w:val="Ttulo1"/>
        <w:numPr>
          <w:ilvl w:val="0"/>
          <w:numId w:val="16"/>
        </w:numPr>
        <w:rPr>
          <w:b w:val="0"/>
          <w:lang w:val="es-ES"/>
        </w:rPr>
      </w:pPr>
      <w:bookmarkStart w:id="227" w:name="_Toc209722961"/>
      <w:r w:rsidRPr="00B450EB">
        <w:rPr>
          <w:bCs/>
          <w:lang w:val="es-ES"/>
        </w:rPr>
        <w:t>IMPACTOS ACUMULATIVOS ASOCIADOS A LAS ACTIVIDADES EXTRACTIVAS</w:t>
      </w:r>
      <w:bookmarkEnd w:id="227"/>
      <w:r w:rsidRPr="00B450EB">
        <w:rPr>
          <w:b w:val="0"/>
          <w:lang w:val="es-ES"/>
        </w:rPr>
        <w:t xml:space="preserve"> </w:t>
      </w:r>
    </w:p>
    <w:p w14:paraId="7558453E" w14:textId="2B6EA172" w:rsidR="00FA43B3" w:rsidRPr="00B450EB" w:rsidRDefault="00B67A78" w:rsidP="00B67A78">
      <w:pPr>
        <w:spacing w:line="257" w:lineRule="auto"/>
        <w:rPr>
          <w:rFonts w:eastAsia="Arial" w:cs="Arial"/>
          <w:lang w:val="es-ES"/>
        </w:rPr>
      </w:pPr>
      <w:r w:rsidRPr="00B450EB">
        <w:rPr>
          <w:rFonts w:eastAsia="Arial" w:cs="Arial"/>
          <w:lang w:val="es-ES"/>
        </w:rPr>
        <w:t>El bioma amazónico, en las últimas décadas</w:t>
      </w:r>
      <w:r w:rsidR="00DA27FB" w:rsidRPr="00B450EB">
        <w:rPr>
          <w:rFonts w:eastAsia="Arial" w:cs="Arial"/>
          <w:lang w:val="es-ES"/>
        </w:rPr>
        <w:t>,</w:t>
      </w:r>
      <w:r w:rsidRPr="00B450EB">
        <w:rPr>
          <w:rFonts w:eastAsia="Arial" w:cs="Arial"/>
          <w:lang w:val="es-ES"/>
        </w:rPr>
        <w:t xml:space="preserve"> ha estado sometido a crecientes presiones derivadas de actividades extractivas, particularmente </w:t>
      </w:r>
      <w:r w:rsidRPr="00B450EB">
        <w:rPr>
          <w:rFonts w:eastAsia="Arial" w:cs="Arial"/>
          <w:b/>
          <w:lang w:val="es-ES"/>
        </w:rPr>
        <w:t>la explotación de hidrocarburos y la minería</w:t>
      </w:r>
      <w:r w:rsidRPr="00B450EB">
        <w:rPr>
          <w:rFonts w:eastAsia="Arial" w:cs="Arial"/>
          <w:lang w:val="es-ES"/>
        </w:rPr>
        <w:t>. Estas prácticas, al transformar el territorio y sus recursos naturales, generan impactos ambientales que se manifiestan tanto en el presente como en escenarios futuros, comprometiendo la integridad ecológica y social de la región.</w:t>
      </w:r>
    </w:p>
    <w:p w14:paraId="3EAB0542" w14:textId="02EBEE26" w:rsidR="006374E6" w:rsidRPr="00B450EB" w:rsidRDefault="006374E6" w:rsidP="0099144B">
      <w:pPr>
        <w:rPr>
          <w:lang w:val="es-ES"/>
        </w:rPr>
      </w:pPr>
      <w:r w:rsidRPr="00B450EB">
        <w:rPr>
          <w:lang w:val="es-ES"/>
        </w:rPr>
        <w:t>En principio, es importante acotar la definición de impactos acumulativos, entendidos como aquellos que resultan de efectos sucesivos, incrementales, y/o combinados de proyectos, obras y/o actividades, o cuando se suman a los efectos de otros emprendimientos existentes, planificados o razonablemente previsibles</w:t>
      </w:r>
      <w:sdt>
        <w:sdtPr>
          <w:rPr>
            <w:lang w:val="es-ES"/>
          </w:rPr>
          <w:id w:val="-244958414"/>
          <w:citation/>
        </w:sdtPr>
        <w:sdtContent>
          <w:r w:rsidR="00A12BBC" w:rsidRPr="00B450EB">
            <w:rPr>
              <w:lang w:val="es-ES"/>
            </w:rPr>
            <w:fldChar w:fldCharType="begin"/>
          </w:r>
          <w:r w:rsidR="007A3703" w:rsidRPr="00B450EB">
            <w:instrText xml:space="preserve">CITATION BID23 \l 9226 </w:instrText>
          </w:r>
          <w:r w:rsidR="00A12BBC" w:rsidRPr="00B450EB">
            <w:rPr>
              <w:lang w:val="es-ES"/>
            </w:rPr>
            <w:fldChar w:fldCharType="separate"/>
          </w:r>
          <w:r w:rsidR="0077091E" w:rsidRPr="00B450EB">
            <w:rPr>
              <w:noProof/>
            </w:rPr>
            <w:t xml:space="preserve"> (Corporación Interamericana de Inversiones [BID Invest], 2023)</w:t>
          </w:r>
          <w:r w:rsidR="00A12BBC" w:rsidRPr="00B450EB">
            <w:rPr>
              <w:lang w:val="es-ES"/>
            </w:rPr>
            <w:fldChar w:fldCharType="end"/>
          </w:r>
        </w:sdtContent>
      </w:sdt>
      <w:r w:rsidRPr="00B450EB">
        <w:rPr>
          <w:lang w:val="es-ES"/>
        </w:rPr>
        <w:t xml:space="preserve">. En otras palabras, no es más que el efecto incremental, respecto a una base de referencia espacial y temporal, experimentado por un atributo ambiental al considerar, además de los causados por un proyecto en particular, los efectos de otros proyectos pasados, presentes y futuros.  </w:t>
      </w:r>
    </w:p>
    <w:p w14:paraId="41F583F4" w14:textId="77777777" w:rsidR="006374E6" w:rsidRPr="00B450EB" w:rsidRDefault="006374E6" w:rsidP="006374E6">
      <w:pPr>
        <w:spacing w:line="257" w:lineRule="auto"/>
        <w:rPr>
          <w:rFonts w:eastAsia="Arial" w:cs="Arial"/>
          <w:lang w:val="es-ES"/>
        </w:rPr>
      </w:pPr>
      <w:r w:rsidRPr="00B450EB">
        <w:rPr>
          <w:rFonts w:eastAsia="Arial" w:cs="Arial"/>
          <w:lang w:val="es-ES"/>
        </w:rPr>
        <w:t xml:space="preserve">En este contexto, el presente ejercicio tiene como propósito identificar y analizar los factores de deterioro ambiental asociados a dichas actividades extractivas, reconociendo sus efectos sobre el agua, el suelo, la atmósfera, la biodiversidad y las comunidades locales. Con ello, se busca aportar a la comprensión de las dinámicas de transformación del bioma amazónico y resaltar cómo estas actividades extractivas constituyen elementos de amenaza para la biodiversidad, la estructura ecológica y los servicios ecosistémicos. </w:t>
      </w:r>
    </w:p>
    <w:p w14:paraId="02D3EC5B" w14:textId="77777777" w:rsidR="006374E6" w:rsidRPr="00B450EB" w:rsidRDefault="006374E6" w:rsidP="006374E6">
      <w:pPr>
        <w:spacing w:line="257" w:lineRule="auto"/>
        <w:rPr>
          <w:rFonts w:eastAsia="Arial" w:cs="Arial"/>
          <w:lang w:val="es-ES"/>
        </w:rPr>
      </w:pPr>
      <w:r w:rsidRPr="00B450EB">
        <w:rPr>
          <w:rFonts w:eastAsia="Arial" w:cs="Arial"/>
          <w:lang w:val="es-ES"/>
        </w:rPr>
        <w:t xml:space="preserve">En relación con los proyectos actualmente vigentes, en la región amazónica colombiana como proyectos presentes se registran 63 proyectos licenciados por la ANLA, de los cuales 51 corresponden al sector de hidrocarburos, distribuidos en los subsectores de exploración (34), explotación – desarrollo (15) y transporte y conducción (2). </w:t>
      </w:r>
    </w:p>
    <w:p w14:paraId="7863D862" w14:textId="7F04C22D" w:rsidR="006374E6" w:rsidRPr="00B450EB" w:rsidRDefault="006374E6" w:rsidP="006374E6">
      <w:pPr>
        <w:spacing w:line="257" w:lineRule="auto"/>
        <w:rPr>
          <w:rFonts w:eastAsia="Arial" w:cs="Arial"/>
          <w:lang w:val="es-ES"/>
        </w:rPr>
      </w:pPr>
      <w:r w:rsidRPr="00B450EB">
        <w:rPr>
          <w:rFonts w:eastAsia="Arial" w:cs="Arial"/>
          <w:lang w:val="es-ES"/>
        </w:rPr>
        <w:lastRenderedPageBreak/>
        <w:t xml:space="preserve">Adicionalmente, en cuanto a los escenarios prospectivos (proyectos futuros), se identifican 286 solicitudes vigentes en evaluación realizadas a la ANM, junto con 169 títulos mineros vigentes activos; de estos, la mayor parte corresponde a la explotación de materiales como arenas y gravas de río, y arcillas (sedimentos), pero también algunos minerales metálicos como cobre, oro, plata, platino y wolframio. Además, la Agencia Nacional de Hidrocarburos (ANH) reporta la existencia de 43 bloques prospectivos para el desarrollo de actividades de exploración y explotación de hidrocarburos dentro del </w:t>
      </w:r>
      <w:r w:rsidR="0076416E" w:rsidRPr="00B450EB">
        <w:t>Bioma Amazónico.</w:t>
      </w:r>
    </w:p>
    <w:p w14:paraId="1B5C140F" w14:textId="2EBDA620" w:rsidR="002D2081" w:rsidRPr="00B450EB" w:rsidRDefault="002D2081" w:rsidP="002D2081">
      <w:pPr>
        <w:pStyle w:val="Descripcin"/>
        <w:rPr>
          <w:color w:val="auto"/>
        </w:rPr>
      </w:pPr>
      <w:bookmarkStart w:id="228" w:name="_Toc209462787"/>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99</w:t>
      </w:r>
      <w:r w:rsidR="0045353A" w:rsidRPr="00B450EB">
        <w:rPr>
          <w:noProof/>
          <w:color w:val="auto"/>
        </w:rPr>
        <w:fldChar w:fldCharType="end"/>
      </w:r>
      <w:r w:rsidRPr="00B450EB">
        <w:rPr>
          <w:color w:val="auto"/>
        </w:rPr>
        <w:t>. Distribución de proyectos licenciados de ANLA y Prospectivas Sectoriales</w:t>
      </w:r>
      <w:bookmarkEnd w:id="228"/>
    </w:p>
    <w:p w14:paraId="5273EB9E" w14:textId="72F3EBD8" w:rsidR="002D2081" w:rsidRPr="00B450EB" w:rsidRDefault="49001F20" w:rsidP="002D2081">
      <w:pPr>
        <w:spacing w:after="0"/>
        <w:ind w:left="262"/>
        <w:jc w:val="left"/>
      </w:pPr>
      <w:r w:rsidRPr="00B450EB">
        <w:rPr>
          <w:noProof/>
        </w:rPr>
        <w:drawing>
          <wp:inline distT="0" distB="0" distL="0" distR="0" wp14:anchorId="331FD405" wp14:editId="2FFDE213">
            <wp:extent cx="5619750" cy="4343400"/>
            <wp:effectExtent l="0" t="0" r="0" b="0"/>
            <wp:docPr id="19875086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508667" name=""/>
                    <pic:cNvPicPr/>
                  </pic:nvPicPr>
                  <pic:blipFill>
                    <a:blip r:embed="rId161" cstate="email">
                      <a:extLst>
                        <a:ext uri="{28A0092B-C50C-407E-A947-70E740481C1C}">
                          <a14:useLocalDpi xmlns:a14="http://schemas.microsoft.com/office/drawing/2010/main"/>
                        </a:ext>
                      </a:extLst>
                    </a:blip>
                    <a:stretch>
                      <a:fillRect/>
                    </a:stretch>
                  </pic:blipFill>
                  <pic:spPr>
                    <a:xfrm>
                      <a:off x="0" y="0"/>
                      <a:ext cx="5619750" cy="4343400"/>
                    </a:xfrm>
                    <a:prstGeom prst="rect">
                      <a:avLst/>
                    </a:prstGeom>
                  </pic:spPr>
                </pic:pic>
              </a:graphicData>
            </a:graphic>
          </wp:inline>
        </w:drawing>
      </w:r>
    </w:p>
    <w:p w14:paraId="0D5168F7" w14:textId="527A3E2E" w:rsidR="002D2081" w:rsidRPr="00B450EB" w:rsidRDefault="002D2081" w:rsidP="002D2081">
      <w:pPr>
        <w:spacing w:line="259" w:lineRule="auto"/>
        <w:jc w:val="center"/>
        <w:rPr>
          <w:rFonts w:cs="Arial"/>
          <w:sz w:val="18"/>
          <w:szCs w:val="18"/>
        </w:rPr>
      </w:pPr>
      <w:r w:rsidRPr="00B450EB">
        <w:rPr>
          <w:rFonts w:cs="Arial"/>
          <w:sz w:val="18"/>
          <w:szCs w:val="18"/>
        </w:rPr>
        <w:t xml:space="preserve">Fuente: </w:t>
      </w:r>
      <w:r w:rsidR="00D07369" w:rsidRPr="00B450EB">
        <w:rPr>
          <w:rFonts w:cs="Arial"/>
          <w:sz w:val="18"/>
          <w:szCs w:val="18"/>
        </w:rPr>
        <w:t xml:space="preserve">Elaborado a partir de información de la </w:t>
      </w:r>
      <w:r w:rsidRPr="00B450EB">
        <w:rPr>
          <w:rFonts w:cs="Arial"/>
          <w:sz w:val="18"/>
          <w:szCs w:val="18"/>
        </w:rPr>
        <w:t>ANLA, 2025; ANM, 2025; ANH, 2025</w:t>
      </w:r>
      <w:r w:rsidR="00D07369" w:rsidRPr="00B450EB">
        <w:rPr>
          <w:rFonts w:cs="Arial"/>
          <w:sz w:val="18"/>
          <w:szCs w:val="18"/>
        </w:rPr>
        <w:t>.</w:t>
      </w:r>
    </w:p>
    <w:p w14:paraId="412C96AC" w14:textId="10BCADB5" w:rsidR="00B67A78" w:rsidRPr="00B450EB" w:rsidRDefault="00B67A78" w:rsidP="00B67A78">
      <w:pPr>
        <w:spacing w:line="257" w:lineRule="auto"/>
      </w:pPr>
      <w:r w:rsidRPr="00B450EB">
        <w:rPr>
          <w:rFonts w:eastAsia="Arial" w:cs="Arial"/>
          <w:lang w:val="es-ES"/>
        </w:rPr>
        <w:t>En dicha medida, y con el objetivo de reducir la incertidumbre en la identificación de impactos ambientales, tanto presentes como futuros, se llevó a cabo un ejercicio de Modelación de Sistemas Complejos (MSC). Este se basa en el análisis de relaciones de causalidad y permite priorizar los impactos ambientales según su capacidad de interactuar con otros impactos (secundarios, terciarios, etc.) y el número de conexiones existentes entre un elemento analizado (ya sea un proyecto o un impacto) y el resto de los elementos considerados</w:t>
      </w:r>
      <w:r w:rsidR="008B5A5F" w:rsidRPr="00B450EB">
        <w:rPr>
          <w:rFonts w:eastAsia="Arial" w:cs="Arial"/>
          <w:lang w:val="es-ES"/>
        </w:rPr>
        <w:t xml:space="preserve">, con una mirada centrada en los </w:t>
      </w:r>
      <w:r w:rsidR="00E1276B" w:rsidRPr="00B450EB">
        <w:rPr>
          <w:rFonts w:eastAsia="Arial" w:cs="Arial"/>
          <w:lang w:val="es-ES"/>
        </w:rPr>
        <w:t xml:space="preserve">efectos </w:t>
      </w:r>
      <w:r w:rsidR="00E51719" w:rsidRPr="00B450EB">
        <w:rPr>
          <w:rFonts w:eastAsia="Arial" w:cs="Arial"/>
          <w:lang w:val="es-ES"/>
        </w:rPr>
        <w:t>ambientales</w:t>
      </w:r>
      <w:r w:rsidR="00E1276B" w:rsidRPr="00B450EB">
        <w:rPr>
          <w:rFonts w:eastAsia="Arial" w:cs="Arial"/>
          <w:lang w:val="es-ES"/>
        </w:rPr>
        <w:t xml:space="preserve"> potenciales</w:t>
      </w:r>
      <w:r w:rsidRPr="00B450EB">
        <w:rPr>
          <w:rFonts w:eastAsia="Arial" w:cs="Arial"/>
          <w:lang w:val="es-ES"/>
        </w:rPr>
        <w:t xml:space="preserve">. Dicho ejercicio se estructuró en las siguientes fases, conforme a la propuesta de </w:t>
      </w:r>
      <w:r w:rsidR="007A3703" w:rsidRPr="00B450EB">
        <w:rPr>
          <w:rFonts w:eastAsia="Arial" w:cs="Arial"/>
          <w:noProof/>
        </w:rPr>
        <w:t>Martinez,</w:t>
      </w:r>
      <w:r w:rsidRPr="00B450EB">
        <w:rPr>
          <w:rFonts w:eastAsia="Arial" w:cs="Arial"/>
        </w:rPr>
        <w:t xml:space="preserve"> (2013)</w:t>
      </w:r>
      <w:r w:rsidRPr="00B450EB">
        <w:rPr>
          <w:rFonts w:eastAsia="Arial" w:cs="Arial"/>
          <w:lang w:val="es-ES"/>
        </w:rPr>
        <w:t>:</w:t>
      </w:r>
    </w:p>
    <w:p w14:paraId="669D11A9" w14:textId="77777777" w:rsidR="00B67A78" w:rsidRPr="00B450EB" w:rsidRDefault="00B67A78" w:rsidP="001C1081">
      <w:pPr>
        <w:pStyle w:val="Prrafodelista"/>
        <w:numPr>
          <w:ilvl w:val="0"/>
          <w:numId w:val="3"/>
        </w:numPr>
        <w:spacing w:line="257" w:lineRule="auto"/>
        <w:rPr>
          <w:rFonts w:eastAsia="Arial" w:cs="Arial"/>
          <w:lang w:val="es-ES"/>
        </w:rPr>
      </w:pPr>
      <w:r w:rsidRPr="00B450EB">
        <w:rPr>
          <w:rFonts w:eastAsia="Arial" w:cs="Arial"/>
          <w:lang w:val="es-ES"/>
        </w:rPr>
        <w:lastRenderedPageBreak/>
        <w:t>Identificación de los proyectos extractivos con potencial de impacto (presentes y futuros).</w:t>
      </w:r>
    </w:p>
    <w:p w14:paraId="32BB5DAE" w14:textId="6A9688FE" w:rsidR="00B67A78" w:rsidRPr="00B450EB" w:rsidRDefault="00B67A78" w:rsidP="00B67A78">
      <w:pPr>
        <w:pStyle w:val="Prrafodelista"/>
        <w:spacing w:line="257" w:lineRule="auto"/>
        <w:rPr>
          <w:rFonts w:eastAsia="Arial" w:cs="Arial"/>
          <w:lang w:val="es-ES"/>
        </w:rPr>
      </w:pPr>
    </w:p>
    <w:p w14:paraId="5905BB85" w14:textId="525117A7" w:rsidR="00B67A78" w:rsidRPr="00B450EB" w:rsidRDefault="00B67A78" w:rsidP="001C1081">
      <w:pPr>
        <w:pStyle w:val="Prrafodelista"/>
        <w:numPr>
          <w:ilvl w:val="0"/>
          <w:numId w:val="3"/>
        </w:numPr>
        <w:spacing w:line="257" w:lineRule="auto"/>
        <w:rPr>
          <w:rFonts w:eastAsia="Arial" w:cs="Arial"/>
          <w:lang w:val="es-ES"/>
        </w:rPr>
      </w:pPr>
      <w:r w:rsidRPr="00B450EB">
        <w:rPr>
          <w:rFonts w:eastAsia="Arial" w:cs="Arial"/>
          <w:lang w:val="es-ES"/>
        </w:rPr>
        <w:t xml:space="preserve">Identificación de los impactos potenciales con base en el instrumento de Jerarquización de Impactos de la ANLA, que categoriza los impactos ambientales (CEI). </w:t>
      </w:r>
    </w:p>
    <w:p w14:paraId="2ED76A61" w14:textId="77777777" w:rsidR="00B67A78" w:rsidRPr="00B450EB" w:rsidRDefault="00B67A78" w:rsidP="00B67A78">
      <w:pPr>
        <w:pStyle w:val="Prrafodelista"/>
        <w:spacing w:line="257" w:lineRule="auto"/>
        <w:rPr>
          <w:rFonts w:eastAsia="Arial" w:cs="Arial"/>
          <w:lang w:val="es-ES"/>
        </w:rPr>
      </w:pPr>
    </w:p>
    <w:p w14:paraId="797F4819" w14:textId="77777777" w:rsidR="00B67A78" w:rsidRPr="00B450EB" w:rsidRDefault="00B67A78" w:rsidP="001C1081">
      <w:pPr>
        <w:pStyle w:val="Prrafodelista"/>
        <w:numPr>
          <w:ilvl w:val="0"/>
          <w:numId w:val="3"/>
        </w:numPr>
        <w:spacing w:line="257" w:lineRule="auto"/>
        <w:rPr>
          <w:rFonts w:eastAsia="Arial" w:cs="Arial"/>
          <w:lang w:val="es-ES"/>
        </w:rPr>
      </w:pPr>
      <w:r w:rsidRPr="00B450EB">
        <w:rPr>
          <w:rFonts w:eastAsia="Arial" w:cs="Arial"/>
          <w:lang w:val="es-ES"/>
        </w:rPr>
        <w:t xml:space="preserve">Priorización de los impactos ambientales en función de su capacidad de interacción con otros impactos y del número de relaciones de causalidad establecidas entre los distintos elementos considerados en el análisis. </w:t>
      </w:r>
    </w:p>
    <w:p w14:paraId="22FDD0A8" w14:textId="5D10789B" w:rsidR="00B67A78" w:rsidRPr="00B450EB" w:rsidRDefault="00B67A78" w:rsidP="00B67A78">
      <w:pPr>
        <w:spacing w:line="257" w:lineRule="auto"/>
        <w:rPr>
          <w:rFonts w:eastAsia="Arial" w:cs="Arial"/>
          <w:lang w:val="es-ES"/>
        </w:rPr>
      </w:pPr>
      <w:r w:rsidRPr="00B450EB">
        <w:rPr>
          <w:rFonts w:eastAsia="Arial" w:cs="Arial"/>
          <w:lang w:val="es-ES"/>
        </w:rPr>
        <w:t xml:space="preserve">Con el fin de facilitar el análisis basado en la Modelación de Sistemas Complejos (MSC), se utilizó el software UCINET 6.0, el cual permite representar gráficamente y analizar las redes generadas a partir de las relaciones de causalidad identificadas en el </w:t>
      </w:r>
      <w:r w:rsidR="0076416E" w:rsidRPr="00B450EB">
        <w:t>Bioma Amazónico</w:t>
      </w:r>
      <w:r w:rsidRPr="00B450EB">
        <w:rPr>
          <w:rFonts w:eastAsia="Arial" w:cs="Arial"/>
          <w:lang w:val="es-ES"/>
        </w:rPr>
        <w:t>. Este análisis abarcó tanto la evaluación convencional de actividad–impacto potencial como el análisis impacto–impacto. La siguiente figura presenta los resultados obtenidos, diferenciando los proyectos extractivos (actuales y futuros) y los impactos potenciales mediante la forma de los nodos: triángulos para los proyectos y actividades, y círculos para los impactos. Adicionalmente, el diagrama permite visualizar la priorización de impactos a través del color y tamaño de los nodos, utilizando una escala cromática de verde a rojo, donde el verde representa un menor número de interacciones entre elementos, y el rojo, una mayor densidad de relaciones.</w:t>
      </w:r>
    </w:p>
    <w:p w14:paraId="7E3A9452" w14:textId="6E38939D" w:rsidR="00B67A78" w:rsidRPr="00B450EB" w:rsidRDefault="002E5615" w:rsidP="00B67A78">
      <w:pPr>
        <w:pStyle w:val="Descripcin"/>
        <w:rPr>
          <w:color w:val="auto"/>
        </w:rPr>
      </w:pPr>
      <w:bookmarkStart w:id="229" w:name="_Toc209462788"/>
      <w:r w:rsidRPr="00B450EB">
        <w:rPr>
          <w:rFonts w:cs="Arial"/>
          <w:b/>
          <w:noProof/>
          <w:color w:val="auto"/>
          <w:sz w:val="16"/>
          <w:szCs w:val="16"/>
        </w:rPr>
        <w:drawing>
          <wp:anchor distT="0" distB="0" distL="114300" distR="114300" simplePos="0" relativeHeight="251658240" behindDoc="0" locked="0" layoutInCell="1" allowOverlap="1" wp14:anchorId="659AF998" wp14:editId="7648D749">
            <wp:simplePos x="0" y="0"/>
            <wp:positionH relativeFrom="column">
              <wp:posOffset>-468630</wp:posOffset>
            </wp:positionH>
            <wp:positionV relativeFrom="paragraph">
              <wp:posOffset>193040</wp:posOffset>
            </wp:positionV>
            <wp:extent cx="1833880" cy="854710"/>
            <wp:effectExtent l="0" t="0" r="0" b="2540"/>
            <wp:wrapNone/>
            <wp:docPr id="1677225880" name="Imagen 1677225880" descr="Imagen 1,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1, Imagen"/>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33880" cy="854710"/>
                    </a:xfrm>
                    <a:prstGeom prst="rect">
                      <a:avLst/>
                    </a:prstGeom>
                    <a:noFill/>
                    <a:ln>
                      <a:noFill/>
                    </a:ln>
                  </pic:spPr>
                </pic:pic>
              </a:graphicData>
            </a:graphic>
            <wp14:sizeRelH relativeFrom="page">
              <wp14:pctWidth>0</wp14:pctWidth>
            </wp14:sizeRelH>
            <wp14:sizeRelV relativeFrom="page">
              <wp14:pctHeight>0</wp14:pctHeight>
            </wp14:sizeRelV>
          </wp:anchor>
        </w:drawing>
      </w:r>
      <w:r w:rsidR="00B67A78"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100</w:t>
      </w:r>
      <w:r w:rsidR="0045353A" w:rsidRPr="00B450EB">
        <w:rPr>
          <w:noProof/>
          <w:color w:val="auto"/>
        </w:rPr>
        <w:fldChar w:fldCharType="end"/>
      </w:r>
      <w:r w:rsidR="00B67A78" w:rsidRPr="00B450EB">
        <w:rPr>
          <w:color w:val="auto"/>
        </w:rPr>
        <w:t xml:space="preserve">. </w:t>
      </w:r>
      <w:r w:rsidR="00B67A78" w:rsidRPr="00B450EB">
        <w:rPr>
          <w:color w:val="auto"/>
          <w:lang w:val="es-ES"/>
        </w:rPr>
        <w:t>Diagrama de relaciones de causalidad – Modelación de Sistemas Complejos</w:t>
      </w:r>
      <w:bookmarkEnd w:id="229"/>
    </w:p>
    <w:p w14:paraId="2858FF15" w14:textId="05DCA7C4" w:rsidR="00B67A78" w:rsidRPr="00B450EB" w:rsidRDefault="00B67A78" w:rsidP="00B67A78">
      <w:pPr>
        <w:spacing w:after="0" w:line="257" w:lineRule="auto"/>
        <w:jc w:val="right"/>
        <w:rPr>
          <w:rFonts w:eastAsia="Arial" w:cs="Arial"/>
          <w:lang w:val="es-ES"/>
        </w:rPr>
      </w:pPr>
      <w:r w:rsidRPr="00B450EB">
        <w:rPr>
          <w:rFonts w:eastAsia="Arial" w:cs="Arial"/>
          <w:lang w:val="es-ES"/>
        </w:rPr>
        <w:t xml:space="preserve"> </w:t>
      </w:r>
      <w:r w:rsidRPr="00B450EB">
        <w:rPr>
          <w:noProof/>
        </w:rPr>
        <w:drawing>
          <wp:inline distT="0" distB="0" distL="0" distR="0" wp14:anchorId="3ADE92CD" wp14:editId="39D6CE8A">
            <wp:extent cx="5295900" cy="3067050"/>
            <wp:effectExtent l="0" t="0" r="0" b="0"/>
            <wp:docPr id="17407081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708117" name=""/>
                    <pic:cNvPicPr/>
                  </pic:nvPicPr>
                  <pic:blipFill>
                    <a:blip r:embed="rId163" cstate="email">
                      <a:extLst>
                        <a:ext uri="{28A0092B-C50C-407E-A947-70E740481C1C}">
                          <a14:useLocalDpi xmlns:a14="http://schemas.microsoft.com/office/drawing/2010/main"/>
                        </a:ext>
                      </a:extLst>
                    </a:blip>
                    <a:stretch>
                      <a:fillRect/>
                    </a:stretch>
                  </pic:blipFill>
                  <pic:spPr>
                    <a:xfrm>
                      <a:off x="0" y="0"/>
                      <a:ext cx="5295900" cy="3067050"/>
                    </a:xfrm>
                    <a:prstGeom prst="rect">
                      <a:avLst/>
                    </a:prstGeom>
                  </pic:spPr>
                </pic:pic>
              </a:graphicData>
            </a:graphic>
          </wp:inline>
        </w:drawing>
      </w:r>
    </w:p>
    <w:p w14:paraId="793E94AE" w14:textId="1A53C830" w:rsidR="00B67A78" w:rsidRPr="00B450EB" w:rsidRDefault="00B67A78" w:rsidP="00B67A78">
      <w:pPr>
        <w:spacing w:line="257" w:lineRule="auto"/>
        <w:jc w:val="center"/>
        <w:rPr>
          <w:rFonts w:cs="Arial"/>
          <w:sz w:val="28"/>
          <w:szCs w:val="28"/>
        </w:rPr>
      </w:pPr>
      <w:r w:rsidRPr="00B450EB">
        <w:rPr>
          <w:rFonts w:eastAsia="Source Sans Pro Light" w:cs="Arial"/>
          <w:sz w:val="18"/>
          <w:szCs w:val="18"/>
          <w:lang w:val="es-ES"/>
        </w:rPr>
        <w:t xml:space="preserve">Fuente: </w:t>
      </w:r>
      <w:r w:rsidR="00D07369" w:rsidRPr="00B450EB">
        <w:rPr>
          <w:rFonts w:eastAsia="Source Sans Pro Light" w:cs="Arial"/>
          <w:sz w:val="18"/>
          <w:szCs w:val="18"/>
          <w:lang w:val="es-ES"/>
        </w:rPr>
        <w:t>Elaboración propia</w:t>
      </w:r>
      <w:r w:rsidRPr="00B450EB">
        <w:rPr>
          <w:rFonts w:eastAsia="Source Sans Pro Light" w:cs="Arial"/>
          <w:sz w:val="18"/>
          <w:szCs w:val="18"/>
          <w:lang w:val="es-ES"/>
        </w:rPr>
        <w:t>, 2025. </w:t>
      </w:r>
    </w:p>
    <w:p w14:paraId="70DABF0F" w14:textId="77777777" w:rsidR="00B67A78" w:rsidRPr="00B450EB" w:rsidRDefault="00B67A78" w:rsidP="00B67A78">
      <w:pPr>
        <w:spacing w:line="257" w:lineRule="auto"/>
      </w:pPr>
      <w:r w:rsidRPr="00B450EB">
        <w:rPr>
          <w:rFonts w:eastAsia="Arial" w:cs="Arial"/>
          <w:lang w:val="es-ES"/>
        </w:rPr>
        <w:t xml:space="preserve">Tal como se observa en la figura anterior, los nodos de mayor tamaño y tonalidad rojiza representan elementos con un alto número de relaciones o interacciones, y </w:t>
      </w:r>
      <w:r w:rsidRPr="00B450EB">
        <w:rPr>
          <w:rFonts w:eastAsia="Arial" w:cs="Arial"/>
          <w:lang w:val="es-ES"/>
        </w:rPr>
        <w:lastRenderedPageBreak/>
        <w:t>se ubican predominantemente en el centro del diagrama de redes. En contraste, los nodos más pequeños y de tonalidad verdosa indican una menor cantidad de conexiones, situándose en la periferia del gráfico.</w:t>
      </w:r>
    </w:p>
    <w:p w14:paraId="12E0995D" w14:textId="77777777" w:rsidR="00B67A78" w:rsidRPr="00B450EB" w:rsidRDefault="00B67A78" w:rsidP="00B67A78">
      <w:pPr>
        <w:spacing w:line="257" w:lineRule="auto"/>
      </w:pPr>
      <w:r w:rsidRPr="00B450EB">
        <w:rPr>
          <w:rFonts w:eastAsia="Arial" w:cs="Arial"/>
          <w:lang w:val="es-ES"/>
        </w:rPr>
        <w:t xml:space="preserve">La red de causalidad evidencia una estructura de interdependencia entre los impactos ambientales, donde destacan como nodos centrales los asociados a los siguientes impactos: </w:t>
      </w:r>
      <w:r w:rsidRPr="00B450EB">
        <w:rPr>
          <w:rFonts w:eastAsia="Arial" w:cs="Arial"/>
          <w:b/>
          <w:bCs/>
          <w:lang w:val="es-ES"/>
        </w:rPr>
        <w:t>alteración a la oferta y calidad del recurso hídrico subterráneo (I-12, I-13)</w:t>
      </w:r>
      <w:r w:rsidRPr="00B450EB">
        <w:rPr>
          <w:rFonts w:eastAsia="Arial" w:cs="Arial"/>
          <w:lang w:val="es-ES"/>
        </w:rPr>
        <w:t>,</w:t>
      </w:r>
      <w:r w:rsidRPr="00B450EB">
        <w:rPr>
          <w:rFonts w:eastAsia="Arial" w:cs="Arial"/>
          <w:b/>
          <w:bCs/>
          <w:lang w:val="es-ES"/>
        </w:rPr>
        <w:t xml:space="preserve"> alteración a la calidad del recurso hídrico superficial (I-15)</w:t>
      </w:r>
      <w:r w:rsidRPr="00B450EB">
        <w:rPr>
          <w:rFonts w:eastAsia="Arial" w:cs="Arial"/>
          <w:lang w:val="es-ES"/>
        </w:rPr>
        <w:t xml:space="preserve">, </w:t>
      </w:r>
      <w:r w:rsidRPr="00B450EB">
        <w:rPr>
          <w:rFonts w:eastAsia="Arial" w:cs="Arial"/>
          <w:b/>
          <w:bCs/>
          <w:lang w:val="es-ES"/>
        </w:rPr>
        <w:t>alteración en el uso socioeconómico del suelo y de las actividades económicas (I-21, I-26)</w:t>
      </w:r>
      <w:r w:rsidRPr="00B450EB">
        <w:rPr>
          <w:rFonts w:eastAsia="Arial" w:cs="Arial"/>
          <w:lang w:val="es-ES"/>
        </w:rPr>
        <w:t>,</w:t>
      </w:r>
      <w:r w:rsidRPr="00B450EB">
        <w:rPr>
          <w:rFonts w:eastAsia="Arial" w:cs="Arial"/>
          <w:b/>
          <w:bCs/>
          <w:lang w:val="es-ES"/>
        </w:rPr>
        <w:t xml:space="preserve"> generación o alteración de conflictos socioambientales (I-23)</w:t>
      </w:r>
      <w:r w:rsidRPr="00B450EB">
        <w:rPr>
          <w:rFonts w:eastAsia="Arial" w:cs="Arial"/>
          <w:lang w:val="es-ES"/>
        </w:rPr>
        <w:t>,</w:t>
      </w:r>
      <w:r w:rsidRPr="00B450EB">
        <w:rPr>
          <w:rFonts w:eastAsia="Arial" w:cs="Arial"/>
          <w:b/>
          <w:bCs/>
          <w:lang w:val="es-ES"/>
        </w:rPr>
        <w:t xml:space="preserve"> alteración de ecosistemas y hábitats terrestres (I-30)</w:t>
      </w:r>
      <w:r w:rsidRPr="00B450EB">
        <w:rPr>
          <w:rFonts w:eastAsia="Arial" w:cs="Arial"/>
          <w:lang w:val="es-ES"/>
        </w:rPr>
        <w:t>,</w:t>
      </w:r>
      <w:r w:rsidRPr="00B450EB">
        <w:rPr>
          <w:rFonts w:eastAsia="Arial" w:cs="Arial"/>
          <w:b/>
          <w:bCs/>
          <w:lang w:val="es-ES"/>
        </w:rPr>
        <w:t xml:space="preserve"> alteración a comunidades de flora y fauna terrestre (I-31, I-32)</w:t>
      </w:r>
      <w:r w:rsidRPr="00B450EB">
        <w:rPr>
          <w:rFonts w:eastAsia="Arial" w:cs="Arial"/>
          <w:lang w:val="es-ES"/>
        </w:rPr>
        <w:t xml:space="preserve">, </w:t>
      </w:r>
      <w:r w:rsidRPr="00B450EB">
        <w:rPr>
          <w:rFonts w:eastAsia="Arial" w:cs="Arial"/>
          <w:b/>
          <w:bCs/>
          <w:lang w:val="es-ES"/>
        </w:rPr>
        <w:t>alteración a la percepción visual del paisaje (I-20)</w:t>
      </w:r>
      <w:r w:rsidRPr="00B450EB">
        <w:rPr>
          <w:rFonts w:eastAsia="Arial" w:cs="Arial"/>
          <w:lang w:val="es-ES"/>
        </w:rPr>
        <w:t>,</w:t>
      </w:r>
      <w:r w:rsidRPr="00B450EB">
        <w:rPr>
          <w:rFonts w:eastAsia="Arial" w:cs="Arial"/>
          <w:b/>
          <w:bCs/>
          <w:lang w:val="es-ES"/>
        </w:rPr>
        <w:t xml:space="preserve"> alteración a la estructura ecológica del paisaje (I-33) </w:t>
      </w:r>
      <w:r w:rsidRPr="00B450EB">
        <w:rPr>
          <w:rFonts w:eastAsia="Arial" w:cs="Arial"/>
          <w:lang w:val="es-ES"/>
        </w:rPr>
        <w:t xml:space="preserve">y </w:t>
      </w:r>
      <w:r w:rsidRPr="00B450EB">
        <w:rPr>
          <w:rFonts w:eastAsia="Arial" w:cs="Arial"/>
          <w:b/>
          <w:bCs/>
          <w:lang w:val="es-ES"/>
        </w:rPr>
        <w:t>alteración a la calidad del suelo (I-18)</w:t>
      </w:r>
      <w:r w:rsidRPr="00B450EB">
        <w:rPr>
          <w:rFonts w:eastAsia="Arial" w:cs="Arial"/>
          <w:lang w:val="es-ES"/>
        </w:rPr>
        <w:t>. Estos impactos, al encontrarse en el núcleo de la red y presentar mayor número de relaciones, constituyen los ejes articuladores del deterioro ambiental.</w:t>
      </w:r>
    </w:p>
    <w:p w14:paraId="4D684273" w14:textId="77777777" w:rsidR="00B67A78" w:rsidRPr="00B450EB" w:rsidRDefault="00B67A78" w:rsidP="00B67A78">
      <w:pPr>
        <w:spacing w:line="257" w:lineRule="auto"/>
      </w:pPr>
      <w:r w:rsidRPr="00B450EB">
        <w:rPr>
          <w:rFonts w:eastAsia="Arial" w:cs="Arial"/>
          <w:lang w:val="es-ES"/>
        </w:rPr>
        <w:t xml:space="preserve">Los impactos naranjas se posicionan como elementos de conexión entre las dimensiones físicas y las consecuencias socioambientales, de la siguiente manera:  </w:t>
      </w:r>
    </w:p>
    <w:p w14:paraId="33CA226D" w14:textId="77777777" w:rsidR="00B67A78" w:rsidRPr="00B450EB" w:rsidRDefault="00B67A78" w:rsidP="001C1081">
      <w:pPr>
        <w:pStyle w:val="Prrafodelista"/>
        <w:numPr>
          <w:ilvl w:val="0"/>
          <w:numId w:val="2"/>
        </w:numPr>
        <w:spacing w:after="0" w:line="257" w:lineRule="auto"/>
        <w:rPr>
          <w:rFonts w:eastAsia="Arial" w:cs="Arial"/>
          <w:lang w:val="es-ES"/>
        </w:rPr>
      </w:pPr>
      <w:r w:rsidRPr="00B450EB">
        <w:rPr>
          <w:rFonts w:eastAsia="Arial" w:cs="Arial"/>
          <w:b/>
          <w:bCs/>
          <w:lang w:val="es-ES"/>
        </w:rPr>
        <w:t>Alteración a la calidad del suelo (I-18)</w:t>
      </w:r>
      <w:r w:rsidRPr="00B450EB">
        <w:rPr>
          <w:rFonts w:eastAsia="Arial" w:cs="Arial"/>
          <w:lang w:val="es-ES"/>
        </w:rPr>
        <w:t xml:space="preserve"> se relaciona directamente con la degradación de hábitats y con la pérdida de funcionalidad ecológica (I-30, I-31, I-33). La degradación edáfica genera presiones acumulativas que reducen la resiliencia de los ecosistemas.</w:t>
      </w:r>
    </w:p>
    <w:p w14:paraId="6C97719B" w14:textId="77777777" w:rsidR="00B67A78" w:rsidRPr="00B450EB" w:rsidRDefault="00B67A78" w:rsidP="00B67A78">
      <w:pPr>
        <w:pStyle w:val="Prrafodelista"/>
        <w:spacing w:after="0" w:line="257" w:lineRule="auto"/>
        <w:rPr>
          <w:rFonts w:eastAsia="Arial" w:cs="Arial"/>
          <w:lang w:val="es-ES"/>
        </w:rPr>
      </w:pPr>
    </w:p>
    <w:p w14:paraId="08EE487D" w14:textId="77777777" w:rsidR="00B67A78" w:rsidRPr="00B450EB" w:rsidRDefault="00B67A78" w:rsidP="001C1081">
      <w:pPr>
        <w:pStyle w:val="Prrafodelista"/>
        <w:numPr>
          <w:ilvl w:val="0"/>
          <w:numId w:val="2"/>
        </w:numPr>
        <w:spacing w:after="0" w:line="257" w:lineRule="auto"/>
        <w:rPr>
          <w:rFonts w:eastAsia="Arial" w:cs="Arial"/>
          <w:lang w:val="es-ES"/>
        </w:rPr>
      </w:pPr>
      <w:r w:rsidRPr="00B450EB">
        <w:rPr>
          <w:rFonts w:eastAsia="Arial" w:cs="Arial"/>
          <w:b/>
          <w:bCs/>
          <w:lang w:val="es-ES"/>
        </w:rPr>
        <w:t xml:space="preserve">Alteración a la oferta y calidad del recurso hídrico subterráneo (I-12 e I-13) </w:t>
      </w:r>
      <w:r w:rsidRPr="00B450EB">
        <w:rPr>
          <w:rFonts w:eastAsia="Arial" w:cs="Arial"/>
          <w:lang w:val="es-ES"/>
        </w:rPr>
        <w:t>que constituyen impactos sobre el componente hidrogeológico, se encuentran vinculados de manera indirecta a la alteración de la calidad del recurso hídrico superficial (I-15). La conexión ocurre en la medida de que la sobreexplotación o contaminación de acuíferos repercute en la recarga de cuerpos superficiales, disminuye la disponibilidad hídrica y amplifica la degradación ecológica (I-30, I-31, I-33). A su vez, estas afectaciones pueden alterar la dinámica productiva y económica local (I-26) al comprometer la sostenibilidad de actividades agropecuarias y de abastecimiento de agua para consumo humano.</w:t>
      </w:r>
    </w:p>
    <w:p w14:paraId="385F9C95" w14:textId="77777777" w:rsidR="00B67A78" w:rsidRPr="00B450EB" w:rsidRDefault="00B67A78" w:rsidP="00B67A78">
      <w:pPr>
        <w:spacing w:after="0" w:line="257" w:lineRule="auto"/>
        <w:rPr>
          <w:rFonts w:eastAsia="Arial" w:cs="Arial"/>
          <w:lang w:val="es-ES"/>
        </w:rPr>
      </w:pPr>
    </w:p>
    <w:p w14:paraId="4706CA4F" w14:textId="77777777" w:rsidR="00B67A78" w:rsidRPr="00B450EB" w:rsidRDefault="00B67A78" w:rsidP="001C1081">
      <w:pPr>
        <w:pStyle w:val="Prrafodelista"/>
        <w:numPr>
          <w:ilvl w:val="0"/>
          <w:numId w:val="2"/>
        </w:numPr>
        <w:spacing w:after="0" w:line="257" w:lineRule="auto"/>
        <w:rPr>
          <w:rFonts w:eastAsia="Arial" w:cs="Arial"/>
          <w:lang w:val="es-ES"/>
        </w:rPr>
      </w:pPr>
      <w:r w:rsidRPr="00B450EB">
        <w:rPr>
          <w:rFonts w:eastAsia="Arial" w:cs="Arial"/>
          <w:b/>
          <w:bCs/>
          <w:lang w:val="es-ES"/>
        </w:rPr>
        <w:t>Alteración a la percepción visual del paisaje (I-20)</w:t>
      </w:r>
      <w:r w:rsidRPr="00B450EB">
        <w:rPr>
          <w:rFonts w:eastAsia="Arial" w:cs="Arial"/>
          <w:lang w:val="es-ES"/>
        </w:rPr>
        <w:t xml:space="preserve"> y </w:t>
      </w:r>
      <w:r w:rsidRPr="00B450EB">
        <w:rPr>
          <w:rFonts w:eastAsia="Arial" w:cs="Arial"/>
          <w:b/>
          <w:bCs/>
          <w:lang w:val="es-ES"/>
        </w:rPr>
        <w:t>alteración del uso socioeconómico del suelo (I-21)</w:t>
      </w:r>
      <w:r w:rsidRPr="00B450EB">
        <w:rPr>
          <w:rFonts w:eastAsia="Arial" w:cs="Arial"/>
          <w:lang w:val="es-ES"/>
        </w:rPr>
        <w:t xml:space="preserve"> muestran cómo las modificaciones en la base biofísica se traducen en impactos sobre la percepción social y las actividades humanas, reforzando la conexión entre los nodos rojos ambientales (ecosistemas, agua, flora) y los efectos sobre las actividades económicas (I-26).</w:t>
      </w:r>
    </w:p>
    <w:p w14:paraId="6A8C0BCB" w14:textId="77777777" w:rsidR="00B67A78" w:rsidRPr="00B450EB" w:rsidRDefault="00B67A78" w:rsidP="00B67A78">
      <w:pPr>
        <w:spacing w:after="0" w:line="257" w:lineRule="auto"/>
        <w:rPr>
          <w:rFonts w:eastAsia="Arial" w:cs="Arial"/>
          <w:lang w:val="es-ES"/>
        </w:rPr>
      </w:pPr>
    </w:p>
    <w:p w14:paraId="19AD5572" w14:textId="77777777" w:rsidR="00B67A78" w:rsidRPr="00B450EB" w:rsidRDefault="00B67A78" w:rsidP="001C1081">
      <w:pPr>
        <w:pStyle w:val="Prrafodelista"/>
        <w:numPr>
          <w:ilvl w:val="0"/>
          <w:numId w:val="2"/>
        </w:numPr>
        <w:spacing w:after="0" w:line="257" w:lineRule="auto"/>
        <w:rPr>
          <w:rFonts w:eastAsia="Arial" w:cs="Arial"/>
          <w:lang w:val="es-ES"/>
        </w:rPr>
      </w:pPr>
      <w:r w:rsidRPr="00B450EB">
        <w:rPr>
          <w:rFonts w:eastAsia="Arial" w:cs="Arial"/>
          <w:b/>
          <w:bCs/>
          <w:lang w:val="es-ES"/>
        </w:rPr>
        <w:t>Generación o alteración de conflictos socioambientales (I-23)</w:t>
      </w:r>
      <w:r w:rsidRPr="00B450EB">
        <w:rPr>
          <w:rFonts w:eastAsia="Arial" w:cs="Arial"/>
          <w:lang w:val="es-ES"/>
        </w:rPr>
        <w:t xml:space="preserve"> emerge como un nodo clave en la traducción de presiones ambientales hacia el </w:t>
      </w:r>
      <w:r w:rsidRPr="00B450EB">
        <w:rPr>
          <w:rFonts w:eastAsia="Arial" w:cs="Arial"/>
          <w:lang w:val="es-ES"/>
        </w:rPr>
        <w:lastRenderedPageBreak/>
        <w:t xml:space="preserve">ámbito social. Este impacto se alimenta de las alteraciones en la calidad y disponibilidad del agua (I-12, I-13, I-15), en la pérdida de ecosistemas y flora (I-30, I-31, I-33), y en la modificación de usos del suelo (I-21). La afectación acumulada genera tensiones por acceso a recursos, disputas territoriales y deterioro en las condiciones de vida, desembocando en conflictos </w:t>
      </w:r>
      <w:proofErr w:type="spellStart"/>
      <w:r w:rsidRPr="00B450EB">
        <w:rPr>
          <w:rFonts w:eastAsia="Arial" w:cs="Arial"/>
          <w:lang w:val="es-ES"/>
        </w:rPr>
        <w:t>socioecológicos</w:t>
      </w:r>
      <w:proofErr w:type="spellEnd"/>
      <w:r w:rsidRPr="00B450EB">
        <w:rPr>
          <w:rFonts w:eastAsia="Arial" w:cs="Arial"/>
          <w:lang w:val="es-ES"/>
        </w:rPr>
        <w:t xml:space="preserve"> que amplifican el deterioro ambiental a través de retroalimentaciones negativas (como sobreexplotación, ocupación desordenada o pérdida de cohesión comunitaria).</w:t>
      </w:r>
    </w:p>
    <w:p w14:paraId="29B3C311" w14:textId="77777777" w:rsidR="00B67A78" w:rsidRPr="00B450EB" w:rsidRDefault="00B67A78" w:rsidP="00B67A78">
      <w:pPr>
        <w:spacing w:after="0" w:line="257" w:lineRule="auto"/>
        <w:rPr>
          <w:rFonts w:eastAsia="Arial" w:cs="Arial"/>
          <w:lang w:val="es-ES"/>
        </w:rPr>
      </w:pPr>
    </w:p>
    <w:p w14:paraId="704F360B" w14:textId="77777777" w:rsidR="00B67A78" w:rsidRPr="00B450EB" w:rsidRDefault="00B67A78" w:rsidP="00B67A78">
      <w:pPr>
        <w:spacing w:line="257" w:lineRule="auto"/>
        <w:rPr>
          <w:rFonts w:eastAsia="Arial" w:cs="Arial"/>
          <w:lang w:val="es-ES"/>
        </w:rPr>
      </w:pPr>
      <w:r w:rsidRPr="00B450EB">
        <w:rPr>
          <w:rFonts w:eastAsia="Arial" w:cs="Arial"/>
          <w:lang w:val="es-ES"/>
        </w:rPr>
        <w:t>De esta manera, los impactos rojos se comportan como las principales alteraciones del sistema, generando un deterioro transversal en la calidad de los recursos naturales y en la estructura ecológica. Los impactos naranjas, en cambio, funcionan como vectores de propagación, facilitando que los cambios biofísicos se traduzcan en efectos visibles sobre el paisaje, el uso del suelo y, finalmente, sobre la sostenibilidad de las actividades productivas.</w:t>
      </w:r>
    </w:p>
    <w:p w14:paraId="29D94027" w14:textId="77777777" w:rsidR="00B67A78" w:rsidRPr="00B450EB" w:rsidRDefault="00B67A78" w:rsidP="00B67A78">
      <w:pPr>
        <w:spacing w:line="257" w:lineRule="auto"/>
      </w:pPr>
      <w:r w:rsidRPr="00B450EB">
        <w:rPr>
          <w:rFonts w:eastAsia="Arial" w:cs="Arial"/>
          <w:lang w:val="es-ES"/>
        </w:rPr>
        <w:t>En síntesis, la red pone de manifiesto que la degradación del agua superficial y subterránea (I-15, I-12, I-13), junto con la pérdida de ecosistemas y comunidades biológicas (I-30, I-31, I-32, I-33), constituye el núcleo del deterioro ambiental. Esta degradación desencadena efectos en cascada que alcanzan al medio socioeconómico (I-21, I-26), mientras que los impactos intermedios (naranjas) explican las rutas de transmisión entre el daño biofísico y las consecuencias sociales y económicas.</w:t>
      </w:r>
    </w:p>
    <w:p w14:paraId="0E7EF143" w14:textId="176D5C67" w:rsidR="002D1166" w:rsidRPr="00B450EB" w:rsidRDefault="00B67A78" w:rsidP="00B67A78">
      <w:pPr>
        <w:spacing w:line="257" w:lineRule="auto"/>
        <w:rPr>
          <w:rFonts w:eastAsia="Arial" w:cs="Arial"/>
          <w:lang w:val="es-ES"/>
        </w:rPr>
      </w:pPr>
      <w:r w:rsidRPr="00B450EB">
        <w:rPr>
          <w:rFonts w:eastAsia="Arial" w:cs="Arial"/>
          <w:lang w:val="es-ES"/>
        </w:rPr>
        <w:t>Adicional a lo anterior, y como se ilustra en el siguiente diagrama de redes, se identifican los componentes ambientales y sociales con mayor nivel de interacción y presión potencial por efecto de las actividades extractivas, diferenciando entre las que actualmente se encuentran en ejecución (producción de hidrocarburos - desarrollo, exploración de hidrocarburos y transporte y conducción de hidrocarburos) y aquellas que corresponden a escenarios de prospectiva futura (minería de metálicos, minería de sedimentos y exploración prospectiva de hidrocarburos).</w:t>
      </w:r>
    </w:p>
    <w:p w14:paraId="597EA525" w14:textId="77777777" w:rsidR="002D1166" w:rsidRPr="00B450EB" w:rsidRDefault="002D1166">
      <w:pPr>
        <w:jc w:val="left"/>
        <w:rPr>
          <w:rFonts w:eastAsia="Arial" w:cs="Arial"/>
          <w:lang w:val="es-ES"/>
        </w:rPr>
      </w:pPr>
      <w:r w:rsidRPr="00B450EB">
        <w:rPr>
          <w:rFonts w:eastAsia="Arial" w:cs="Arial"/>
          <w:lang w:val="es-ES"/>
        </w:rPr>
        <w:br w:type="page"/>
      </w:r>
    </w:p>
    <w:p w14:paraId="433FD392" w14:textId="22B8A5D5" w:rsidR="00A615CA" w:rsidRPr="00B450EB" w:rsidRDefault="00B67A78" w:rsidP="00377AD7">
      <w:pPr>
        <w:pStyle w:val="Descripcin"/>
        <w:rPr>
          <w:color w:val="auto"/>
          <w:lang w:val="es-ES"/>
        </w:rPr>
      </w:pPr>
      <w:bookmarkStart w:id="230" w:name="_Toc209462789"/>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101</w:t>
      </w:r>
      <w:r w:rsidR="0045353A" w:rsidRPr="00B450EB">
        <w:rPr>
          <w:noProof/>
          <w:color w:val="auto"/>
        </w:rPr>
        <w:fldChar w:fldCharType="end"/>
      </w:r>
      <w:r w:rsidRPr="00B450EB">
        <w:rPr>
          <w:color w:val="auto"/>
        </w:rPr>
        <w:t xml:space="preserve">. </w:t>
      </w:r>
      <w:r w:rsidRPr="00B450EB">
        <w:rPr>
          <w:color w:val="auto"/>
          <w:lang w:val="es-ES"/>
        </w:rPr>
        <w:t>Diagrama de relaciones de causalidad por atributos ambientales y sectores económicos</w:t>
      </w:r>
      <w:bookmarkEnd w:id="230"/>
    </w:p>
    <w:p w14:paraId="36FA49B1" w14:textId="0801AC68" w:rsidR="00B67A78" w:rsidRPr="00B450EB" w:rsidRDefault="00B67A78" w:rsidP="00597432">
      <w:pPr>
        <w:spacing w:after="0"/>
        <w:jc w:val="center"/>
      </w:pPr>
      <w:r w:rsidRPr="00B450EB">
        <w:rPr>
          <w:noProof/>
        </w:rPr>
        <w:drawing>
          <wp:inline distT="0" distB="0" distL="0" distR="0" wp14:anchorId="670CFE4C" wp14:editId="00BE6398">
            <wp:extent cx="4743450" cy="3005593"/>
            <wp:effectExtent l="0" t="0" r="0" b="4445"/>
            <wp:docPr id="710211151" name="drawing"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211151" name="drawing" descr="Diagrama&#10;&#10;El contenido generado por IA puede ser incorrecto."/>
                    <pic:cNvPicPr/>
                  </pic:nvPicPr>
                  <pic:blipFill rotWithShape="1">
                    <a:blip r:embed="rId164" cstate="email">
                      <a:extLst>
                        <a:ext uri="{28A0092B-C50C-407E-A947-70E740481C1C}">
                          <a14:useLocalDpi xmlns:a14="http://schemas.microsoft.com/office/drawing/2010/main"/>
                        </a:ext>
                      </a:extLst>
                    </a:blip>
                    <a:srcRect/>
                    <a:stretch>
                      <a:fillRect/>
                    </a:stretch>
                  </pic:blipFill>
                  <pic:spPr bwMode="auto">
                    <a:xfrm>
                      <a:off x="0" y="0"/>
                      <a:ext cx="4743450" cy="3005593"/>
                    </a:xfrm>
                    <a:prstGeom prst="rect">
                      <a:avLst/>
                    </a:prstGeom>
                    <a:ln>
                      <a:noFill/>
                    </a:ln>
                    <a:extLst>
                      <a:ext uri="{53640926-AAD7-44D8-BBD7-CCE9431645EC}">
                        <a14:shadowObscured xmlns:a14="http://schemas.microsoft.com/office/drawing/2010/main"/>
                      </a:ext>
                    </a:extLst>
                  </pic:spPr>
                </pic:pic>
              </a:graphicData>
            </a:graphic>
          </wp:inline>
        </w:drawing>
      </w:r>
    </w:p>
    <w:p w14:paraId="3AE9E78A" w14:textId="40D5D395" w:rsidR="00B67A78" w:rsidRPr="00B450EB" w:rsidRDefault="00B67A78" w:rsidP="00B67A78">
      <w:pPr>
        <w:spacing w:after="0" w:line="257" w:lineRule="auto"/>
        <w:jc w:val="center"/>
        <w:rPr>
          <w:rFonts w:cs="Arial"/>
          <w:sz w:val="18"/>
          <w:szCs w:val="18"/>
        </w:rPr>
      </w:pPr>
      <w:r w:rsidRPr="00B450EB">
        <w:rPr>
          <w:rFonts w:eastAsia="Source Sans Pro Light" w:cs="Arial"/>
          <w:sz w:val="18"/>
          <w:szCs w:val="18"/>
          <w:lang w:val="es-ES"/>
        </w:rPr>
        <w:t xml:space="preserve">Fuente: </w:t>
      </w:r>
      <w:r w:rsidR="00D07369" w:rsidRPr="00B450EB">
        <w:rPr>
          <w:rFonts w:eastAsia="Source Sans Pro Light" w:cs="Arial"/>
          <w:sz w:val="18"/>
          <w:szCs w:val="18"/>
          <w:lang w:val="es-ES"/>
        </w:rPr>
        <w:t>Elaboración propia</w:t>
      </w:r>
      <w:r w:rsidRPr="00B450EB">
        <w:rPr>
          <w:rFonts w:eastAsia="Source Sans Pro Light" w:cs="Arial"/>
          <w:sz w:val="18"/>
          <w:szCs w:val="18"/>
          <w:lang w:val="es-ES"/>
        </w:rPr>
        <w:t>, 2025. </w:t>
      </w:r>
    </w:p>
    <w:p w14:paraId="3A64639D" w14:textId="77777777" w:rsidR="00B67A78" w:rsidRPr="00B450EB" w:rsidRDefault="00B67A78" w:rsidP="00B67A78">
      <w:pPr>
        <w:spacing w:line="257" w:lineRule="auto"/>
        <w:jc w:val="center"/>
      </w:pPr>
      <w:r w:rsidRPr="00B450EB">
        <w:rPr>
          <w:rFonts w:eastAsia="Arial" w:cs="Arial"/>
          <w:lang w:val="es-ES"/>
        </w:rPr>
        <w:t xml:space="preserve"> </w:t>
      </w:r>
    </w:p>
    <w:p w14:paraId="384E46A4" w14:textId="77777777" w:rsidR="00B67A78" w:rsidRPr="00B450EB" w:rsidRDefault="00B67A78" w:rsidP="002D1166">
      <w:r w:rsidRPr="00B450EB">
        <w:rPr>
          <w:lang w:val="es-ES"/>
        </w:rPr>
        <w:t xml:space="preserve">Los resultados evidencian que los componentes de </w:t>
      </w:r>
      <w:r w:rsidRPr="00B450EB">
        <w:rPr>
          <w:b/>
          <w:bCs/>
          <w:lang w:val="es-ES"/>
        </w:rPr>
        <w:t>hidrología, hidrogeología, ecosistemas y el medio socioeconómico (económico, cultural y político-organizativo)</w:t>
      </w:r>
      <w:r w:rsidRPr="00B450EB">
        <w:rPr>
          <w:lang w:val="es-ES"/>
        </w:rPr>
        <w:t xml:space="preserve"> son los que reciben un mayor número de conexiones, lo que los posiciona como nodos críticos dentro de la red de interacciones.</w:t>
      </w:r>
    </w:p>
    <w:p w14:paraId="2DF8DBCB" w14:textId="77777777" w:rsidR="00B67A78" w:rsidRPr="00B450EB" w:rsidRDefault="00B67A78" w:rsidP="002D1166">
      <w:r w:rsidRPr="00B450EB">
        <w:rPr>
          <w:lang w:val="es-ES"/>
        </w:rPr>
        <w:t xml:space="preserve">En cuanto a las actividades presentes, se observa que la producción de hidrocarburos (desarrollo) ejerce presiones directas sobre el componente hidrológico e hidrogeológico, principalmente por la modificación de flujos de agua superficial y subterránea, la intervención en coberturas y suelos y la alteración de la geodinámica local. Estas afectaciones se traducen en una reducción de la disponibilidad hídrica, riesgos de contaminación y cambios en la recarga de acuíferos. </w:t>
      </w:r>
    </w:p>
    <w:p w14:paraId="3F14C8E6" w14:textId="77777777" w:rsidR="00B67A78" w:rsidRPr="00B450EB" w:rsidRDefault="00B67A78" w:rsidP="002D1166">
      <w:r w:rsidRPr="00B450EB">
        <w:rPr>
          <w:lang w:val="es-ES"/>
        </w:rPr>
        <w:t>Asimismo, la exploración de hidrocarburos se relaciona estrechamente con los componentes ecosistémicos y culturales, generando presiones en la integridad de la flora, fauna y comunidades locales, al incrementar la fragmentación y el uso de recursos en áreas de alta sensibilidad ecológica.</w:t>
      </w:r>
    </w:p>
    <w:p w14:paraId="1B6BE457" w14:textId="77777777" w:rsidR="00B67A78" w:rsidRPr="00B450EB" w:rsidRDefault="00B67A78" w:rsidP="002D1166">
      <w:r w:rsidRPr="00B450EB">
        <w:rPr>
          <w:lang w:val="es-ES"/>
        </w:rPr>
        <w:t xml:space="preserve">Respecto a las actividades futuras, los escenarios de prospectiva minera amplifican las interacciones sobre los mismos nodos críticos. La minería de metálicos muestra una alta conectividad hacia los componentes hidrogeológico e hidrológico, lo que anticipa el potencial de contaminación de aguas superficiales y subterráneas, con implicaciones directas en la sostenibilidad de acuíferos y la calidad de los cuerpos de agua. La minería de sedimentos se relaciona fuertemente con los ecosistemas </w:t>
      </w:r>
      <w:r w:rsidRPr="00B450EB">
        <w:rPr>
          <w:lang w:val="es-ES"/>
        </w:rPr>
        <w:lastRenderedPageBreak/>
        <w:t>terrestres, intensificando presiones sobre la fauna y la flora, lo que compromete la resiliencia de los ecosistemas amazónicos.</w:t>
      </w:r>
    </w:p>
    <w:p w14:paraId="1523ADB5" w14:textId="77777777" w:rsidR="00B67A78" w:rsidRPr="00B450EB" w:rsidRDefault="00B67A78" w:rsidP="00B67A78">
      <w:pPr>
        <w:spacing w:line="257" w:lineRule="auto"/>
      </w:pPr>
      <w:r w:rsidRPr="00B450EB">
        <w:rPr>
          <w:rFonts w:eastAsia="Arial" w:cs="Arial"/>
          <w:lang w:val="es-ES"/>
        </w:rPr>
        <w:t>En tanto, la exploración prospectiva de hidrocarburos refuerza presiones sobre los componentes socioeconómicos y culturales, ya que amplía la frontera extractiva hacia territorios de comunidades locales, afectando la organización social y la percepción de seguridad y bienestar.</w:t>
      </w:r>
    </w:p>
    <w:p w14:paraId="14CBB2E7" w14:textId="77777777" w:rsidR="00B67A78" w:rsidRPr="00B450EB" w:rsidRDefault="00B67A78" w:rsidP="00B67A78">
      <w:pPr>
        <w:spacing w:line="257" w:lineRule="auto"/>
        <w:rPr>
          <w:rFonts w:eastAsia="Arial" w:cs="Arial"/>
          <w:lang w:val="es-ES"/>
        </w:rPr>
      </w:pPr>
      <w:r w:rsidRPr="00B450EB">
        <w:rPr>
          <w:rFonts w:eastAsia="Arial" w:cs="Arial"/>
          <w:lang w:val="es-ES"/>
        </w:rPr>
        <w:t>En síntesis, la hidrología, la hidrogeología, los ecosistemas y el medio socioeconómico emergen como los elementos con mayores presiones y amenazas, tanto desde el punto de vista actual como prospectivo.</w:t>
      </w:r>
    </w:p>
    <w:p w14:paraId="0D2AC629" w14:textId="77777777" w:rsidR="007B0FA9" w:rsidRPr="00B450EB" w:rsidRDefault="007B0FA9" w:rsidP="007B0FA9">
      <w:pPr>
        <w:rPr>
          <w:rFonts w:cs="Arial"/>
        </w:rPr>
      </w:pPr>
      <w:r w:rsidRPr="00B450EB">
        <w:rPr>
          <w:rFonts w:cs="Arial"/>
        </w:rPr>
        <w:t xml:space="preserve">Adicionalmente, se evalúa la contribución del cambio climático en el sistema de interacciones de las presiones derivadas de actividades extractivas. El análisis de redes evidencia que el nodo de cambio climático ocupa una posición central en la estructura de interrelaciones ambientales, constituyéndose en un componente transversal que no es únicamente un efecto derivado, sino también un amplificador sistémico que interrelaciona presiones biofísicas (suelo, agua, atmósfera, ecosistemas) con efectos socioeconómicos, culturales y políticos, tal como se muestra en el siguiente diagrama. </w:t>
      </w:r>
    </w:p>
    <w:p w14:paraId="64731D67" w14:textId="17003731" w:rsidR="007B0FA9" w:rsidRPr="00B450EB" w:rsidRDefault="007B0FA9" w:rsidP="00622BC0">
      <w:pPr>
        <w:pStyle w:val="Descripcin"/>
        <w:keepNext/>
        <w:rPr>
          <w:color w:val="auto"/>
        </w:rPr>
      </w:pPr>
      <w:bookmarkStart w:id="231" w:name="_Toc209462790"/>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102</w:t>
      </w:r>
      <w:r w:rsidR="0045353A" w:rsidRPr="00B450EB">
        <w:rPr>
          <w:noProof/>
          <w:color w:val="auto"/>
        </w:rPr>
        <w:fldChar w:fldCharType="end"/>
      </w:r>
      <w:r w:rsidRPr="00B450EB">
        <w:rPr>
          <w:color w:val="auto"/>
        </w:rPr>
        <w:t>. Diagrama de relaciones de causalidad para cambio climático</w:t>
      </w:r>
      <w:bookmarkEnd w:id="231"/>
    </w:p>
    <w:p w14:paraId="2F3BE271" w14:textId="77777777" w:rsidR="007B0FA9" w:rsidRPr="00B450EB" w:rsidRDefault="007B0FA9" w:rsidP="00597432">
      <w:pPr>
        <w:spacing w:after="0"/>
        <w:jc w:val="center"/>
        <w:rPr>
          <w:rFonts w:cs="Arial"/>
        </w:rPr>
      </w:pPr>
      <w:r w:rsidRPr="00B450EB">
        <w:rPr>
          <w:noProof/>
        </w:rPr>
        <w:drawing>
          <wp:inline distT="0" distB="0" distL="0" distR="0" wp14:anchorId="114C5235" wp14:editId="22FF816E">
            <wp:extent cx="4487333" cy="2494251"/>
            <wp:effectExtent l="0" t="0" r="0" b="1905"/>
            <wp:docPr id="156394800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5" cstate="email">
                      <a:extLst>
                        <a:ext uri="{28A0092B-C50C-407E-A947-70E740481C1C}">
                          <a14:useLocalDpi xmlns:a14="http://schemas.microsoft.com/office/drawing/2010/main"/>
                        </a:ext>
                      </a:extLst>
                    </a:blip>
                    <a:srcRect l="18108" t="6549" r="1916" b="21097"/>
                    <a:stretch>
                      <a:fillRect/>
                    </a:stretch>
                  </pic:blipFill>
                  <pic:spPr bwMode="auto">
                    <a:xfrm>
                      <a:off x="0" y="0"/>
                      <a:ext cx="4488358" cy="2494821"/>
                    </a:xfrm>
                    <a:prstGeom prst="rect">
                      <a:avLst/>
                    </a:prstGeom>
                    <a:noFill/>
                    <a:ln>
                      <a:noFill/>
                    </a:ln>
                    <a:extLst>
                      <a:ext uri="{53640926-AAD7-44D8-BBD7-CCE9431645EC}">
                        <a14:shadowObscured xmlns:a14="http://schemas.microsoft.com/office/drawing/2010/main"/>
                      </a:ext>
                    </a:extLst>
                  </pic:spPr>
                </pic:pic>
              </a:graphicData>
            </a:graphic>
          </wp:inline>
        </w:drawing>
      </w:r>
    </w:p>
    <w:p w14:paraId="276AE3B7" w14:textId="282568C1" w:rsidR="007B0FA9" w:rsidRPr="00B450EB" w:rsidRDefault="007B0FA9" w:rsidP="007B0FA9">
      <w:pPr>
        <w:spacing w:after="0" w:line="257" w:lineRule="auto"/>
        <w:jc w:val="center"/>
        <w:rPr>
          <w:rFonts w:eastAsia="Aptos" w:cs="Arial"/>
          <w:sz w:val="18"/>
          <w:szCs w:val="18"/>
        </w:rPr>
      </w:pPr>
      <w:r w:rsidRPr="00B450EB">
        <w:rPr>
          <w:rFonts w:eastAsia="Source Sans Pro Light" w:cs="Arial"/>
          <w:sz w:val="18"/>
          <w:szCs w:val="18"/>
          <w:lang w:val="es-ES"/>
        </w:rPr>
        <w:t xml:space="preserve">Fuente: </w:t>
      </w:r>
      <w:r w:rsidR="00D07369" w:rsidRPr="00B450EB">
        <w:rPr>
          <w:rFonts w:eastAsia="Source Sans Pro Light" w:cs="Arial"/>
          <w:sz w:val="18"/>
          <w:szCs w:val="18"/>
          <w:lang w:val="es-ES"/>
        </w:rPr>
        <w:t>Elaboración propia</w:t>
      </w:r>
      <w:r w:rsidRPr="00B450EB">
        <w:rPr>
          <w:rFonts w:eastAsia="Source Sans Pro Light" w:cs="Arial"/>
          <w:sz w:val="18"/>
          <w:szCs w:val="18"/>
          <w:lang w:val="es-ES"/>
        </w:rPr>
        <w:t>, 2025. </w:t>
      </w:r>
    </w:p>
    <w:p w14:paraId="4AAEB514" w14:textId="77777777" w:rsidR="007B0FA9" w:rsidRPr="00B450EB" w:rsidRDefault="007B0FA9" w:rsidP="007B0FA9">
      <w:pPr>
        <w:rPr>
          <w:rFonts w:cs="Arial"/>
        </w:rPr>
      </w:pPr>
    </w:p>
    <w:p w14:paraId="2B6592B0" w14:textId="77777777" w:rsidR="007B0FA9" w:rsidRPr="00B450EB" w:rsidRDefault="007B0FA9" w:rsidP="007B0FA9">
      <w:pPr>
        <w:rPr>
          <w:rFonts w:cs="Arial"/>
        </w:rPr>
      </w:pPr>
      <w:r w:rsidRPr="00B450EB">
        <w:rPr>
          <w:rFonts w:cs="Arial"/>
        </w:rPr>
        <w:t>De este modo, se potencian los impactos en los componentes hidrológico e hidrogeológico, toda vez que amplifica la variabilidad en la disponibilidad del recurso hídrico, afectando tanto los flujos superficiales como los subterráneos. Estas presiones se intensifican por la deforestación, los cambios en cobertura y las actividades extractivas, que alteran los ciclos de recarga y aumentan el riesgo de eventos extremos (sequías, inundaciones).</w:t>
      </w:r>
    </w:p>
    <w:p w14:paraId="72B93C48" w14:textId="77777777" w:rsidR="007B0FA9" w:rsidRPr="00B450EB" w:rsidRDefault="007B0FA9" w:rsidP="007B0FA9">
      <w:pPr>
        <w:rPr>
          <w:rFonts w:cs="Arial"/>
        </w:rPr>
      </w:pPr>
      <w:r w:rsidRPr="00B450EB">
        <w:rPr>
          <w:rFonts w:cs="Arial"/>
        </w:rPr>
        <w:lastRenderedPageBreak/>
        <w:t>Asimismo, repercute en los ecosistemas, flora y fauna, ya que la pérdida de resiliencia ecológica reduce la capacidad de amortiguación frente a los aumentos de temperatura y precipitación previstos para el área de análisis, generando un proceso de degradación ambiental. Finalmente, extiende sus efectos hacia los componentes socioeconómico, cultural y político-organizativo, ya que las alteraciones en la base biofísica repercuten en la productividad, en la seguridad hídrica y alimentaria, y en la gobernanza de los recursos, aumentando los conflictos sociales asociados a la gestión ambiental.</w:t>
      </w:r>
    </w:p>
    <w:p w14:paraId="474A87E6" w14:textId="77777777" w:rsidR="007B0FA9" w:rsidRPr="00B450EB" w:rsidRDefault="007B0FA9" w:rsidP="007B0FA9">
      <w:pPr>
        <w:rPr>
          <w:rFonts w:cs="Arial"/>
        </w:rPr>
      </w:pPr>
      <w:r w:rsidRPr="00B450EB">
        <w:rPr>
          <w:rFonts w:cs="Arial"/>
        </w:rPr>
        <w:t>En síntesis, el rol del nodo de cambio climático actúa como un amplificador sistémico que transforma presiones locales en efectos de escala regional y global, retroalimenta medios críticos como el hidrológico, hidrogeológico, atmosférico y ecosistémico, reduciendo su estabilidad, lo cual extiende las consecuencias hacia el componente socioeconómico y cultural, aumentando la exposición de comunidades y sistemas productivos.</w:t>
      </w:r>
    </w:p>
    <w:p w14:paraId="73E3088A" w14:textId="029347FC" w:rsidR="00D15932" w:rsidRPr="00B450EB" w:rsidRDefault="00392B05" w:rsidP="001C1081">
      <w:pPr>
        <w:pStyle w:val="Ttulo1"/>
        <w:numPr>
          <w:ilvl w:val="0"/>
          <w:numId w:val="16"/>
        </w:numPr>
        <w:rPr>
          <w:rFonts w:cs="Arial"/>
        </w:rPr>
      </w:pPr>
      <w:bookmarkStart w:id="232" w:name="_Toc209722962"/>
      <w:r w:rsidRPr="00B450EB">
        <w:rPr>
          <w:rFonts w:cs="Arial"/>
        </w:rPr>
        <w:t>RIESGOS</w:t>
      </w:r>
      <w:bookmarkEnd w:id="232"/>
    </w:p>
    <w:p w14:paraId="0EA18B56" w14:textId="11F03A1A" w:rsidR="00100741" w:rsidRPr="00B450EB" w:rsidRDefault="61BA0088" w:rsidP="00E13C06">
      <w:pPr>
        <w:rPr>
          <w:rFonts w:eastAsia="Arial" w:cs="Arial"/>
        </w:rPr>
      </w:pPr>
      <w:r w:rsidRPr="00B450EB">
        <w:t xml:space="preserve">Con el propósito de establecer un marco conceptual que facilite la interpretación del presente documento, resulta indispensable precisar el concepto de riesgo, establecido en la Ley 1523 de 2012, por la cual se adopta la Política Nacional de Gestión del Riesgo de Desastres, ya que constituye la base para comprender la interacción entre factores naturales, sociales y ambientales en la configuración del riesgo. </w:t>
      </w:r>
    </w:p>
    <w:p w14:paraId="10A3F7D9" w14:textId="21B02B8E" w:rsidR="3AC6D6A8" w:rsidRPr="00B450EB" w:rsidRDefault="3AC6D6A8">
      <w:r w:rsidRPr="00B450EB">
        <w:rPr>
          <w:rFonts w:eastAsia="Arial" w:cs="Arial"/>
        </w:rPr>
        <w:t>En este sentido, el análisis del riesgo socioambiental en la Amazonía se concibe como el resultado de la interacción entre vulnerabilidades estructurales y amenazas recurrentes, las cuales, al superponerse, configuran escenarios de presión e impacto que requieren especial atención en la gestión ambiental y territorial. En este marco, los impactos acumulativos relacionados con actividades extractivas de minería e hidrocarburos, sumados a los riesgos descritos a continuación, no solo comprometen la integridad ecológica local, sino que también afectan funciones críticas del bioma como regulador climático, sumidero de carbono y refugio de biodiversidad única en el planeta, lo que refuerza la urgencia de atender las causas estructurales.</w:t>
      </w:r>
    </w:p>
    <w:p w14:paraId="1965230C" w14:textId="485537EF" w:rsidR="00E13C06" w:rsidRPr="00B450EB" w:rsidRDefault="00E13C06" w:rsidP="001C1081">
      <w:pPr>
        <w:pStyle w:val="Prrafodelista"/>
        <w:numPr>
          <w:ilvl w:val="1"/>
          <w:numId w:val="16"/>
        </w:numPr>
        <w:spacing w:before="240" w:after="240"/>
        <w:outlineLvl w:val="1"/>
        <w:rPr>
          <w:b/>
        </w:rPr>
      </w:pPr>
      <w:bookmarkStart w:id="233" w:name="_Toc209722963"/>
      <w:r w:rsidRPr="00B450EB">
        <w:rPr>
          <w:b/>
        </w:rPr>
        <w:t>Disminución en la oferta hídrica y cambio en la hidro-climatológica continental (</w:t>
      </w:r>
      <w:r w:rsidR="003C4C24" w:rsidRPr="00B450EB">
        <w:rPr>
          <w:b/>
        </w:rPr>
        <w:t>Debilitación de fenómeno “r</w:t>
      </w:r>
      <w:r w:rsidRPr="00B450EB">
        <w:rPr>
          <w:b/>
        </w:rPr>
        <w:t>íos voladores</w:t>
      </w:r>
      <w:r w:rsidR="003C4C24" w:rsidRPr="00B450EB">
        <w:rPr>
          <w:b/>
        </w:rPr>
        <w:t>”</w:t>
      </w:r>
      <w:r w:rsidRPr="00B450EB">
        <w:rPr>
          <w:b/>
        </w:rPr>
        <w:t>)</w:t>
      </w:r>
      <w:bookmarkEnd w:id="233"/>
      <w:r w:rsidRPr="00B450EB">
        <w:rPr>
          <w:b/>
        </w:rPr>
        <w:t xml:space="preserve"> </w:t>
      </w:r>
    </w:p>
    <w:p w14:paraId="40DF473E" w14:textId="190F459E" w:rsidR="006E03F4" w:rsidRPr="00B450EB" w:rsidRDefault="006E03F4" w:rsidP="007C0F35">
      <w:pPr>
        <w:rPr>
          <w:rFonts w:cs="Arial"/>
        </w:rPr>
      </w:pPr>
      <w:r w:rsidRPr="00B450EB">
        <w:rPr>
          <w:rFonts w:cs="Arial"/>
        </w:rPr>
        <w:t xml:space="preserve">El capítulo de </w:t>
      </w:r>
      <w:r w:rsidRPr="00B450EB">
        <w:rPr>
          <w:rFonts w:cs="Arial"/>
          <w:i/>
          <w:iCs/>
        </w:rPr>
        <w:t xml:space="preserve">Fenómeno hidrológico Ríos voladores </w:t>
      </w:r>
      <w:r w:rsidR="007C0F35" w:rsidRPr="00B450EB">
        <w:rPr>
          <w:rFonts w:cs="Arial"/>
        </w:rPr>
        <w:t>presenta</w:t>
      </w:r>
      <w:r w:rsidRPr="00B450EB">
        <w:rPr>
          <w:rFonts w:cs="Arial"/>
        </w:rPr>
        <w:t xml:space="preserve"> de manera detallada la dinámica vientos-agua-bosque de la cuenca transfronteriza del Amazonas, concluyendo que este territorio constituye una unidad ecológica determinante para </w:t>
      </w:r>
      <w:r w:rsidRPr="00B450EB">
        <w:rPr>
          <w:rFonts w:cs="Arial"/>
        </w:rPr>
        <w:lastRenderedPageBreak/>
        <w:t xml:space="preserve">la regulación de clima, el ciclo del agua continental, la movilización de compuestos y aerosoles biológicos y la biodiversidad. También </w:t>
      </w:r>
      <w:r w:rsidR="007C0F35" w:rsidRPr="00B450EB">
        <w:rPr>
          <w:rFonts w:cs="Arial"/>
        </w:rPr>
        <w:t>presenta</w:t>
      </w:r>
      <w:r w:rsidRPr="00B450EB">
        <w:rPr>
          <w:rFonts w:cs="Arial"/>
        </w:rPr>
        <w:t xml:space="preserve"> una acotación del fenómeno a escala del Bioma Amazónico colombiano y su importancia para la oferta hídrica nacional, principalmente en el interior del país, que trasciende a la cordillera de Los Andes, como es el caso del estudio isotópico de los páramos de Chingaza y Sumapaz.</w:t>
      </w:r>
    </w:p>
    <w:p w14:paraId="50BCFB33" w14:textId="2ED1DC33" w:rsidR="006E03F4" w:rsidRPr="00B450EB" w:rsidRDefault="006E03F4" w:rsidP="007C0F35">
      <w:pPr>
        <w:rPr>
          <w:rFonts w:cs="Arial"/>
        </w:rPr>
      </w:pPr>
      <w:r w:rsidRPr="00B450EB">
        <w:rPr>
          <w:rFonts w:cs="Arial"/>
        </w:rPr>
        <w:t xml:space="preserve">En línea con lo detallado a este punto, la deforestación actualmente es catalogada como el impacto de mayor relevancia en las problemáticas que afectan la cuenca transfronteriza y que deriva de actividades socioeconómicas formales, informales e ilícitas. Sin embargo, pese a que ya constituye un impacto, su aumento o aceleración se presenta como una amenaza potencial latente que podría </w:t>
      </w:r>
      <w:r w:rsidR="00151446" w:rsidRPr="00B450EB">
        <w:rPr>
          <w:rFonts w:cs="Arial"/>
        </w:rPr>
        <w:t>acumularse al estado actual y afectar e</w:t>
      </w:r>
      <w:r w:rsidRPr="00B450EB">
        <w:rPr>
          <w:rFonts w:cs="Arial"/>
        </w:rPr>
        <w:t>l clima y la oferta hídrica del país.</w:t>
      </w:r>
    </w:p>
    <w:p w14:paraId="7CFDC005" w14:textId="61A48CC2" w:rsidR="006E03F4" w:rsidRPr="00B450EB" w:rsidRDefault="006E03F4" w:rsidP="007C0F35">
      <w:pPr>
        <w:rPr>
          <w:rFonts w:cs="Arial"/>
        </w:rPr>
      </w:pPr>
      <w:r w:rsidRPr="00B450EB">
        <w:t>La eficiencia de los ríos voladores depende de la estabilidad térmica e hídrica que caracteriza a la región, entendida como la baja variabilidad en las temperaturas y precipitaciones y el equilibrio entre radiación, humedad y transpiración (</w:t>
      </w:r>
      <w:proofErr w:type="spellStart"/>
      <w:r w:rsidRPr="00B450EB">
        <w:t>Nobre</w:t>
      </w:r>
      <w:proofErr w:type="spellEnd"/>
      <w:r w:rsidRPr="00B450EB">
        <w:t xml:space="preserve">, 2014). Sin embargo, alteraciones significativas en estas condiciones —por deforestación o por cambio climático— reducen la capacidad del bosque para reciclar humedad, debilitan los ríos voladores y ponen en riesgo no solo la resiliencia del bioma amazónico, sino también la regulación climática de Sudamérica (Marengo, </w:t>
      </w:r>
      <w:proofErr w:type="spellStart"/>
      <w:r w:rsidRPr="00B450EB">
        <w:t>Tomasella</w:t>
      </w:r>
      <w:proofErr w:type="spellEnd"/>
      <w:r w:rsidRPr="00B450EB">
        <w:t>, Alves, Soares, &amp; Rodríguez, 2015).</w:t>
      </w:r>
    </w:p>
    <w:p w14:paraId="2DBC809F" w14:textId="77777777" w:rsidR="006E03F4" w:rsidRPr="00B450EB" w:rsidRDefault="006E03F4" w:rsidP="007C0F35">
      <w:r w:rsidRPr="00B450EB">
        <w:rPr>
          <w:rFonts w:cs="Arial"/>
        </w:rPr>
        <w:t>En la dinámica de la humedad y la precipitación y la formación de flujos de agua terrestre de los ríos de Sur América, el proceso predominante es la transpiración (flujo biológico) a la evaporación (flujo físico). La funcionalidad de almacenamiento del sistema radicular del bosque amazónico es esencial</w:t>
      </w:r>
      <w:r w:rsidRPr="00B450EB">
        <w:t xml:space="preserve"> cuando las lluvias son menos frecuentes, como en el sur de la Amazonía durante la estación seca. Por esta razón, es posible que el comportamiento de la fuente de humedad no persista en un escenario de deforestación. </w:t>
      </w:r>
      <w:proofErr w:type="spellStart"/>
      <w:r w:rsidRPr="00B450EB">
        <w:t>Moraes-Arraut</w:t>
      </w:r>
      <w:proofErr w:type="spellEnd"/>
      <w:r w:rsidRPr="00B450EB">
        <w:t xml:space="preserve"> et al. (2012).</w:t>
      </w:r>
    </w:p>
    <w:p w14:paraId="0DCD922D" w14:textId="489C53F1" w:rsidR="00DF3AD2" w:rsidRPr="00B450EB" w:rsidRDefault="00BB7138" w:rsidP="00DF3AD2">
      <w:pPr>
        <w:rPr>
          <w:bCs/>
        </w:rPr>
      </w:pPr>
      <w:r w:rsidRPr="00B450EB">
        <w:rPr>
          <w:bCs/>
        </w:rPr>
        <w:t>El</w:t>
      </w:r>
      <w:r w:rsidR="00DF3AD2" w:rsidRPr="00B450EB">
        <w:rPr>
          <w:bCs/>
        </w:rPr>
        <w:t xml:space="preserve"> Foro Económico </w:t>
      </w:r>
      <w:r w:rsidR="00450AA6" w:rsidRPr="00B450EB">
        <w:rPr>
          <w:bCs/>
        </w:rPr>
        <w:t>M</w:t>
      </w:r>
      <w:r w:rsidR="00DF3AD2" w:rsidRPr="00B450EB">
        <w:rPr>
          <w:bCs/>
        </w:rPr>
        <w:t xml:space="preserve">undial (2024) ha indicado que aproximadamente 670 millones de habitantes de América Latina dependen del ciclo hidrológico que proveen los ríos voladores de la selva amazónica, “los 400.000 millones de árboles que se calcula que hay en la Amazonia liberan 20.000 millones de toneladas de agua al aire cada día”, sin embargo, la deforestación ha llevado a la selva amazónica a un punto crítico y los cambios en el uso del suelo están afectando los ríos voladores y en consecuencia el suministro de agua para </w:t>
      </w:r>
      <w:r w:rsidR="00E16FA5" w:rsidRPr="00B450EB">
        <w:rPr>
          <w:bCs/>
        </w:rPr>
        <w:t>este territorio</w:t>
      </w:r>
      <w:r w:rsidR="00DF3AD2" w:rsidRPr="00B450EB">
        <w:rPr>
          <w:bCs/>
        </w:rPr>
        <w:t>.</w:t>
      </w:r>
    </w:p>
    <w:p w14:paraId="226D8EEF" w14:textId="77777777" w:rsidR="00DF3AD2" w:rsidRPr="00B450EB" w:rsidRDefault="00DF3AD2" w:rsidP="002D1166">
      <w:r w:rsidRPr="00B450EB">
        <w:t xml:space="preserve">Algunos investigadores como </w:t>
      </w:r>
      <w:proofErr w:type="spellStart"/>
      <w:r w:rsidRPr="00B450EB">
        <w:t>Ferrante</w:t>
      </w:r>
      <w:proofErr w:type="spellEnd"/>
      <w:r w:rsidRPr="00B450EB">
        <w:t xml:space="preserve"> et al (2022), sugieren que la interrupción de los ríos voladores, como servicio ambiental, podría derivar en la disminución poblacional y la extinción a corto plazo de especies con alto grado de endemismo en este ecosistema, como son algunos anfibios; así mismo señala que la </w:t>
      </w:r>
      <w:r w:rsidRPr="00B450EB">
        <w:lastRenderedPageBreak/>
        <w:t xml:space="preserve">deforestación asociada a plantaciones para biocombustibles y expansión minera, y en general el cambio en el uso del suelo, pone en riesgo la supervivencia de algunas comunidades indígenas ubicadas en la Amazonía y podría generar aumento del riesgo de aparición de nuevas pandemias globales. </w:t>
      </w:r>
    </w:p>
    <w:p w14:paraId="60111E58" w14:textId="1D3027B2" w:rsidR="00DF3AD2" w:rsidRPr="00B450EB" w:rsidRDefault="00DF3AD2" w:rsidP="00DF3AD2">
      <w:pPr>
        <w:rPr>
          <w:rFonts w:cs="Arial"/>
        </w:rPr>
      </w:pPr>
      <w:r w:rsidRPr="00B450EB">
        <w:rPr>
          <w:rFonts w:cs="Arial"/>
        </w:rPr>
        <w:t xml:space="preserve">Autores como </w:t>
      </w:r>
      <w:sdt>
        <w:sdtPr>
          <w:id w:val="-187603015"/>
          <w:citation/>
        </w:sdtPr>
        <w:sdtContent>
          <w:r w:rsidRPr="00B450EB">
            <w:rPr>
              <w:rFonts w:cs="Arial"/>
            </w:rPr>
            <w:fldChar w:fldCharType="begin"/>
          </w:r>
          <w:r w:rsidRPr="00B450EB">
            <w:rPr>
              <w:rFonts w:cs="Arial"/>
            </w:rPr>
            <w:instrText xml:space="preserve"> CITATION Xiy22 \l 9226 </w:instrText>
          </w:r>
          <w:r w:rsidRPr="00B450EB">
            <w:rPr>
              <w:rFonts w:cs="Arial"/>
            </w:rPr>
            <w:fldChar w:fldCharType="separate"/>
          </w:r>
          <w:r w:rsidR="0077091E" w:rsidRPr="00B450EB">
            <w:rPr>
              <w:rFonts w:cs="Arial"/>
              <w:noProof/>
            </w:rPr>
            <w:t>(Xiyan Xu, 2022)</w:t>
          </w:r>
          <w:r w:rsidRPr="00B450EB">
            <w:rPr>
              <w:rFonts w:cs="Arial"/>
            </w:rPr>
            <w:fldChar w:fldCharType="end"/>
          </w:r>
        </w:sdtContent>
      </w:sdt>
      <w:r w:rsidRPr="00B450EB">
        <w:rPr>
          <w:rFonts w:cs="Arial"/>
        </w:rPr>
        <w:t xml:space="preserve"> han efectuado análisis históricos que demuestran que la deforestación ha inducido a un cambio en la humedad de la troposfera inferior y la troposfera media, debido a corrientes de vientos más cálidas que al ascender se encuentran menos cargadas de humedad, afectando los procesos de condensación y posterior precipitación.  </w:t>
      </w:r>
    </w:p>
    <w:p w14:paraId="7D8E859F" w14:textId="62053F10" w:rsidR="006E03F4" w:rsidRPr="00B450EB" w:rsidRDefault="00000000" w:rsidP="00A6589F">
      <w:sdt>
        <w:sdtPr>
          <w:id w:val="641854392"/>
          <w:citation/>
        </w:sdtPr>
        <w:sdtContent>
          <w:r w:rsidR="006E03F4" w:rsidRPr="00B450EB">
            <w:fldChar w:fldCharType="begin"/>
          </w:r>
          <w:r w:rsidR="006E03F4" w:rsidRPr="00B450EB">
            <w:instrText xml:space="preserve"> CITATION Llo23 \l 3082 </w:instrText>
          </w:r>
          <w:r w:rsidR="006E03F4" w:rsidRPr="00B450EB">
            <w:fldChar w:fldCharType="separate"/>
          </w:r>
          <w:r w:rsidR="0077091E" w:rsidRPr="00B450EB">
            <w:rPr>
              <w:noProof/>
            </w:rPr>
            <w:t>(Lemes Murilo, 2023)</w:t>
          </w:r>
          <w:r w:rsidR="006E03F4" w:rsidRPr="00B450EB">
            <w:fldChar w:fldCharType="end"/>
          </w:r>
        </w:sdtContent>
      </w:sdt>
      <w:r w:rsidR="006E03F4" w:rsidRPr="00B450EB">
        <w:t xml:space="preserve"> demostraron a partir de modelos acoplados tierra – </w:t>
      </w:r>
      <w:r w:rsidR="00396752" w:rsidRPr="00B450EB">
        <w:t>atmosfera</w:t>
      </w:r>
      <w:r w:rsidR="006E03F4" w:rsidRPr="00B450EB">
        <w:t xml:space="preserve"> en escenarios con deforestación total de la Amazonía simultánea al aumento de dióxido de carbono tomando como puntos de control concentraciones de CO2 de 338 ppm y la cobertura forestal del Amazonas durante el periodo de estudio, concluyendo que una disminución de humedad del 22% en la cuenca del río de La Plata</w:t>
      </w:r>
      <w:r w:rsidR="009F440E" w:rsidRPr="00B450EB">
        <w:t xml:space="preserve"> (Uruguay – Argentina)</w:t>
      </w:r>
      <w:r w:rsidR="006E03F4" w:rsidRPr="00B450EB">
        <w:t>.</w:t>
      </w:r>
    </w:p>
    <w:p w14:paraId="5FA91B4C" w14:textId="6B353821" w:rsidR="006E03F4" w:rsidRPr="00B450EB" w:rsidRDefault="006E03F4" w:rsidP="007C0F35">
      <w:pPr>
        <w:rPr>
          <w:rFonts w:cs="Arial"/>
        </w:rPr>
      </w:pPr>
      <w:r w:rsidRPr="00B450EB">
        <w:rPr>
          <w:rFonts w:cs="Arial"/>
        </w:rPr>
        <w:t xml:space="preserve">El artículo </w:t>
      </w:r>
      <w:r w:rsidRPr="00B450EB">
        <w:rPr>
          <w:rFonts w:cs="Arial"/>
          <w:i/>
          <w:iCs/>
        </w:rPr>
        <w:t xml:space="preserve">Amazon severe </w:t>
      </w:r>
      <w:proofErr w:type="spellStart"/>
      <w:r w:rsidRPr="00B450EB">
        <w:rPr>
          <w:rFonts w:cs="Arial"/>
          <w:i/>
          <w:iCs/>
        </w:rPr>
        <w:t>drought</w:t>
      </w:r>
      <w:proofErr w:type="spellEnd"/>
      <w:r w:rsidRPr="00B450EB">
        <w:rPr>
          <w:rFonts w:cs="Arial"/>
          <w:i/>
          <w:iCs/>
        </w:rPr>
        <w:t xml:space="preserve"> in 2023 </w:t>
      </w:r>
      <w:proofErr w:type="spellStart"/>
      <w:r w:rsidRPr="00B450EB">
        <w:rPr>
          <w:rFonts w:cs="Arial"/>
          <w:i/>
          <w:iCs/>
        </w:rPr>
        <w:t>triggered</w:t>
      </w:r>
      <w:proofErr w:type="spellEnd"/>
      <w:r w:rsidRPr="00B450EB">
        <w:rPr>
          <w:rFonts w:cs="Arial"/>
          <w:i/>
          <w:iCs/>
        </w:rPr>
        <w:t xml:space="preserve"> </w:t>
      </w:r>
      <w:proofErr w:type="spellStart"/>
      <w:r w:rsidRPr="00B450EB">
        <w:rPr>
          <w:rFonts w:cs="Arial"/>
          <w:i/>
          <w:iCs/>
        </w:rPr>
        <w:t>surface</w:t>
      </w:r>
      <w:proofErr w:type="spellEnd"/>
      <w:r w:rsidRPr="00B450EB">
        <w:rPr>
          <w:rFonts w:cs="Arial"/>
          <w:i/>
          <w:iCs/>
        </w:rPr>
        <w:t xml:space="preserve"> </w:t>
      </w:r>
      <w:proofErr w:type="spellStart"/>
      <w:r w:rsidRPr="00B450EB">
        <w:rPr>
          <w:rFonts w:cs="Arial"/>
          <w:i/>
          <w:iCs/>
        </w:rPr>
        <w:t>water</w:t>
      </w:r>
      <w:proofErr w:type="spellEnd"/>
      <w:r w:rsidRPr="00B450EB">
        <w:rPr>
          <w:rFonts w:cs="Arial"/>
          <w:i/>
          <w:iCs/>
        </w:rPr>
        <w:t xml:space="preserve"> </w:t>
      </w:r>
      <w:proofErr w:type="spellStart"/>
      <w:r w:rsidRPr="00B450EB">
        <w:rPr>
          <w:rFonts w:cs="Arial"/>
          <w:i/>
          <w:iCs/>
        </w:rPr>
        <w:t>loss</w:t>
      </w:r>
      <w:proofErr w:type="spellEnd"/>
      <w:r w:rsidRPr="00B450EB">
        <w:rPr>
          <w:rFonts w:cs="Arial"/>
          <w:i/>
          <w:iCs/>
        </w:rPr>
        <w:t xml:space="preserve"> </w:t>
      </w:r>
      <w:sdt>
        <w:sdtPr>
          <w:id w:val="1726879112"/>
          <w:citation/>
        </w:sdtPr>
        <w:sdtContent>
          <w:r w:rsidRPr="00B450EB">
            <w:rPr>
              <w:rFonts w:cs="Arial"/>
            </w:rPr>
            <w:fldChar w:fldCharType="begin"/>
          </w:r>
          <w:r w:rsidRPr="00B450EB">
            <w:rPr>
              <w:rFonts w:cs="Arial"/>
            </w:rPr>
            <w:instrText xml:space="preserve"> CITATION Sou24 \l 3082 </w:instrText>
          </w:r>
          <w:r w:rsidRPr="00B450EB">
            <w:rPr>
              <w:rFonts w:cs="Arial"/>
            </w:rPr>
            <w:fldChar w:fldCharType="separate"/>
          </w:r>
          <w:r w:rsidR="0077091E" w:rsidRPr="00B450EB">
            <w:rPr>
              <w:rFonts w:cs="Arial"/>
              <w:noProof/>
            </w:rPr>
            <w:t>(Souza Carlos, 2024)</w:t>
          </w:r>
          <w:r w:rsidRPr="00B450EB">
            <w:rPr>
              <w:rFonts w:cs="Arial"/>
            </w:rPr>
            <w:fldChar w:fldCharType="end"/>
          </w:r>
        </w:sdtContent>
      </w:sdt>
      <w:r w:rsidRPr="00B450EB">
        <w:rPr>
          <w:rFonts w:cs="Arial"/>
        </w:rPr>
        <w:t xml:space="preserve"> menciona descensos críticos de importantes tributarios al río Amazonas asociados al evento de </w:t>
      </w:r>
      <w:r w:rsidR="00274ED8" w:rsidRPr="00B450EB">
        <w:rPr>
          <w:rFonts w:cs="Arial"/>
        </w:rPr>
        <w:t>Fenómeno</w:t>
      </w:r>
      <w:r w:rsidRPr="00B450EB">
        <w:rPr>
          <w:rFonts w:cs="Arial"/>
        </w:rPr>
        <w:t xml:space="preserve"> del Niño</w:t>
      </w:r>
      <w:r w:rsidR="00274ED8" w:rsidRPr="00B450EB">
        <w:rPr>
          <w:rFonts w:cs="Arial"/>
        </w:rPr>
        <w:t xml:space="preserve"> en 2023,</w:t>
      </w:r>
      <w:r w:rsidRPr="00B450EB">
        <w:rPr>
          <w:rFonts w:cs="Arial"/>
        </w:rPr>
        <w:t xml:space="preserve"> sumado a la deforestación, en el cual el río Madeira en Porto </w:t>
      </w:r>
      <w:proofErr w:type="spellStart"/>
      <w:r w:rsidRPr="00B450EB">
        <w:rPr>
          <w:rFonts w:cs="Arial"/>
        </w:rPr>
        <w:t>Velhom</w:t>
      </w:r>
      <w:proofErr w:type="spellEnd"/>
      <w:r w:rsidRPr="00B450EB">
        <w:rPr>
          <w:rFonts w:cs="Arial"/>
        </w:rPr>
        <w:t xml:space="preserve"> y el río Negro alcanzaron registros mínimos históricos, (56 años en el primer caso y 121 años en el segundo caso). Este estudio describe como la condición de sequía y calor indujo a decretar un estado de emergencia en la Amazonía brasileña, además de señalar otros impactos como los incendios forestales, contaminación por humo, corte de líneas de transmisión e interrupción de algunos servicios de transporte fluvial. Señalan los autores que la </w:t>
      </w:r>
      <w:r w:rsidR="008F1974" w:rsidRPr="00B450EB">
        <w:rPr>
          <w:rFonts w:cs="Arial"/>
        </w:rPr>
        <w:t>pérdida</w:t>
      </w:r>
      <w:r w:rsidRPr="00B450EB">
        <w:rPr>
          <w:rFonts w:cs="Arial"/>
        </w:rPr>
        <w:t xml:space="preserve"> del agua en esta condición de sequía se concentró a lo largo del río Amazonas y el río Negro</w:t>
      </w:r>
      <w:r w:rsidR="002B5F94" w:rsidRPr="00B450EB">
        <w:rPr>
          <w:rFonts w:cs="Arial"/>
        </w:rPr>
        <w:t xml:space="preserve"> (tributario del río Amazonas)</w:t>
      </w:r>
      <w:r w:rsidRPr="00B450EB">
        <w:rPr>
          <w:rFonts w:cs="Arial"/>
        </w:rPr>
        <w:t xml:space="preserve">. </w:t>
      </w:r>
    </w:p>
    <w:p w14:paraId="75891A3B" w14:textId="77777777" w:rsidR="006E03F4" w:rsidRPr="00B450EB" w:rsidRDefault="006E03F4" w:rsidP="007C0F35">
      <w:pPr>
        <w:rPr>
          <w:rFonts w:cs="Arial"/>
        </w:rPr>
      </w:pPr>
      <w:r w:rsidRPr="00B450EB">
        <w:rPr>
          <w:rFonts w:cs="Arial"/>
        </w:rPr>
        <w:t>Como se ha detallado, el equilibrio en la interacción de los elementos biofísicos de la cuenca transfronteriza del Amazonas repercute en el Bioma Amazónico colombiano de manera que las problemáticas de los países que hacen parte del territorio amazónico de manera inminente tendrán una repercusión de diferentes magnitudes en el ciclo hidrológico de Colombia, y viceversa.</w:t>
      </w:r>
    </w:p>
    <w:p w14:paraId="27C051A8" w14:textId="5DF5CC3B" w:rsidR="006E03F4" w:rsidRPr="00B450EB" w:rsidRDefault="006E03F4" w:rsidP="007C0F35">
      <w:pPr>
        <w:rPr>
          <w:rFonts w:cs="Arial"/>
        </w:rPr>
      </w:pPr>
      <w:r w:rsidRPr="00B450EB">
        <w:rPr>
          <w:rFonts w:cs="Arial"/>
        </w:rPr>
        <w:t>De materializar el riesgo que constituye un avance en la deforestación, un aumento en la presión del recurso hídrico superficial e inclusive involucrar eventos de variabilidad climática o en escenario</w:t>
      </w:r>
      <w:r w:rsidR="002A60BC" w:rsidRPr="00B450EB">
        <w:rPr>
          <w:rFonts w:cs="Arial"/>
        </w:rPr>
        <w:t>s</w:t>
      </w:r>
      <w:r w:rsidR="00530FB9" w:rsidRPr="00B450EB">
        <w:rPr>
          <w:rFonts w:cs="Arial"/>
        </w:rPr>
        <w:t xml:space="preserve"> desfavorables</w:t>
      </w:r>
      <w:r w:rsidRPr="00B450EB">
        <w:rPr>
          <w:rFonts w:cs="Arial"/>
        </w:rPr>
        <w:t xml:space="preserve"> de cambio climático, las consecuencias no solo impactan el ciclo del agua continental, sino que también constituyen un riesgo para la disponibilidad de agua, el incremento de eventos climáticos extremos de inundación o de sequía, aumento de presión en los </w:t>
      </w:r>
      <w:r w:rsidRPr="00B450EB">
        <w:rPr>
          <w:rFonts w:cs="Arial"/>
        </w:rPr>
        <w:lastRenderedPageBreak/>
        <w:t>acuíferos, reducción de recarga y un efecto dominó en la seguridad alimentaria nacional.</w:t>
      </w:r>
    </w:p>
    <w:p w14:paraId="03527263" w14:textId="3AD23FD7" w:rsidR="00575979" w:rsidRPr="00B450EB" w:rsidRDefault="00B0342E" w:rsidP="24945CEB">
      <w:pPr>
        <w:pStyle w:val="NormalWeb"/>
        <w:spacing w:line="276" w:lineRule="auto"/>
        <w:jc w:val="both"/>
        <w:rPr>
          <w:rFonts w:ascii="Arial" w:eastAsiaTheme="minorHAnsi" w:hAnsi="Arial" w:cs="Arial"/>
          <w:kern w:val="2"/>
          <w:lang w:val="es-CO"/>
          <w14:ligatures w14:val="standardContextual"/>
        </w:rPr>
      </w:pPr>
      <w:r w:rsidRPr="00B450EB">
        <w:rPr>
          <w:rFonts w:ascii="Arial" w:eastAsiaTheme="minorHAnsi" w:hAnsi="Arial" w:cs="Arial"/>
          <w:kern w:val="2"/>
          <w:lang w:val="es-CO"/>
          <w14:ligatures w14:val="standardContextual"/>
        </w:rPr>
        <w:t>Por otra parte,</w:t>
      </w:r>
      <w:r w:rsidR="00707640" w:rsidRPr="00B450EB">
        <w:rPr>
          <w:rFonts w:ascii="Arial" w:eastAsiaTheme="minorHAnsi" w:hAnsi="Arial" w:cs="Arial"/>
          <w:kern w:val="2"/>
          <w:lang w:val="es-CO"/>
          <w14:ligatures w14:val="standardContextual"/>
        </w:rPr>
        <w:t xml:space="preserve"> l</w:t>
      </w:r>
      <w:r w:rsidR="00D2421B" w:rsidRPr="00B450EB">
        <w:rPr>
          <w:rFonts w:ascii="Arial" w:eastAsiaTheme="minorHAnsi" w:hAnsi="Arial" w:cs="Arial"/>
          <w:kern w:val="2"/>
          <w:lang w:val="es-CO"/>
          <w14:ligatures w14:val="standardContextual"/>
        </w:rPr>
        <w:t xml:space="preserve">a interrupción de los ríos voladores no solo disminuye la disponibilidad hídrica, sino que también </w:t>
      </w:r>
      <w:r w:rsidR="00707640" w:rsidRPr="00B450EB">
        <w:rPr>
          <w:rFonts w:ascii="Arial" w:eastAsiaTheme="minorHAnsi" w:hAnsi="Arial" w:cs="Arial"/>
          <w:kern w:val="2"/>
          <w:lang w:val="es-CO"/>
          <w14:ligatures w14:val="standardContextual"/>
        </w:rPr>
        <w:t>modifica</w:t>
      </w:r>
      <w:r w:rsidR="00D2421B" w:rsidRPr="00B450EB">
        <w:rPr>
          <w:rFonts w:ascii="Arial" w:eastAsiaTheme="minorHAnsi" w:hAnsi="Arial" w:cs="Arial"/>
          <w:kern w:val="2"/>
          <w:lang w:val="es-CO"/>
          <w14:ligatures w14:val="standardContextual"/>
        </w:rPr>
        <w:t xml:space="preserve"> los pulsos de inundación que sostienen la productividad de los ecosistemas amazónicos. Estudios recientes muestran que la pérdida de conectividad lateral entre ríos, llanuras de inundación y bosques ribereños compromete procesos ecológicos esenciales como la dispersión de nutrientes, la reproducción de peces migratorios y la regeneración de especies arbóreas dependientes de las crecidas estacionales (Cuesta et al., 2024). </w:t>
      </w:r>
    </w:p>
    <w:p w14:paraId="237D21AC" w14:textId="39423904" w:rsidR="00D2421B" w:rsidRPr="00B450EB" w:rsidRDefault="00D2421B" w:rsidP="6905B71C">
      <w:pPr>
        <w:pStyle w:val="NormalWeb"/>
        <w:spacing w:line="276" w:lineRule="auto"/>
        <w:jc w:val="both"/>
        <w:rPr>
          <w:rFonts w:ascii="Arial" w:eastAsia="Arial" w:hAnsi="Arial" w:cs="Arial"/>
          <w:lang w:val="es-CO"/>
        </w:rPr>
      </w:pPr>
      <w:r w:rsidRPr="00B450EB">
        <w:rPr>
          <w:rFonts w:ascii="Arial" w:eastAsiaTheme="minorHAnsi" w:hAnsi="Arial" w:cs="Arial"/>
          <w:kern w:val="2"/>
          <w:lang w:val="es-CO"/>
          <w14:ligatures w14:val="standardContextual"/>
        </w:rPr>
        <w:t xml:space="preserve">Al reducirse la recarga hídrica continental, se debilita este ciclo de inundación-sequía que constituye el pilar de la biodiversidad amazónica, con consecuencias directas sobre la oferta de alimento, la provisión de hábitats temporales y la resiliencia del sistema frente a perturbaciones climáticas. Por ejemplo, </w:t>
      </w:r>
      <w:r w:rsidRPr="00B450EB">
        <w:rPr>
          <w:rFonts w:ascii="Arial" w:eastAsia="Arial" w:hAnsi="Arial" w:cs="Arial"/>
          <w:lang w:val="es-CO"/>
        </w:rPr>
        <w:t>la interrupción de estos procesos alteraría la disponibilidad de agua en la Amazonía y en ecosistemas asociados como la selva atlántica, donde los anfibios son particularmente sensibles a la reducción de lluvias por su dependencia directa del agua para la reproducción (</w:t>
      </w:r>
      <w:proofErr w:type="spellStart"/>
      <w:r w:rsidRPr="00B450EB">
        <w:rPr>
          <w:rFonts w:ascii="Arial" w:eastAsia="Arial" w:hAnsi="Arial" w:cs="Arial"/>
          <w:lang w:val="es-CO"/>
        </w:rPr>
        <w:t>Getirana</w:t>
      </w:r>
      <w:proofErr w:type="spellEnd"/>
      <w:r w:rsidRPr="00B450EB">
        <w:rPr>
          <w:rFonts w:ascii="Arial" w:eastAsia="Arial" w:hAnsi="Arial" w:cs="Arial"/>
          <w:lang w:val="es-CO"/>
        </w:rPr>
        <w:t xml:space="preserve">, 2016; </w:t>
      </w:r>
      <w:proofErr w:type="spellStart"/>
      <w:r w:rsidRPr="00B450EB">
        <w:rPr>
          <w:rFonts w:ascii="Arial" w:eastAsia="Arial" w:hAnsi="Arial" w:cs="Arial"/>
          <w:lang w:val="es-CO"/>
        </w:rPr>
        <w:t>Getirana</w:t>
      </w:r>
      <w:proofErr w:type="spellEnd"/>
      <w:r w:rsidRPr="00B450EB">
        <w:rPr>
          <w:rFonts w:ascii="Arial" w:eastAsia="Arial" w:hAnsi="Arial" w:cs="Arial"/>
          <w:lang w:val="es-CO"/>
        </w:rPr>
        <w:t xml:space="preserve"> et al., 2021). En conjunto, estas presiones sinérgicas plantean un escenario crítico para la persistencia de los anfibios amazónicos, cuya pérdida tendría consecuencias ecológicas profundas en el control de invertebrados y en el flujo de energía entre ecosistemas terrestres y acuáticos (Becker et al., 2007, 2010).</w:t>
      </w:r>
    </w:p>
    <w:p w14:paraId="506108AB" w14:textId="1C2E3E80" w:rsidR="00D7454C" w:rsidRPr="00B450EB" w:rsidRDefault="00D458CC" w:rsidP="00D7454C">
      <w:pPr>
        <w:pStyle w:val="NormalWeb"/>
        <w:spacing w:line="276" w:lineRule="auto"/>
        <w:jc w:val="both"/>
        <w:rPr>
          <w:rFonts w:ascii="Arial" w:eastAsiaTheme="minorHAnsi" w:hAnsi="Arial" w:cs="Arial"/>
          <w:kern w:val="2"/>
          <w:lang w:val="es-CO"/>
          <w14:ligatures w14:val="standardContextual"/>
        </w:rPr>
      </w:pPr>
      <w:r w:rsidRPr="00B450EB">
        <w:rPr>
          <w:rFonts w:ascii="Arial" w:eastAsiaTheme="minorHAnsi" w:hAnsi="Arial" w:cs="Arial"/>
          <w:kern w:val="2"/>
          <w:lang w:val="es-CO"/>
          <w14:ligatures w14:val="standardContextual"/>
        </w:rPr>
        <w:t>L</w:t>
      </w:r>
      <w:r w:rsidR="00D7454C" w:rsidRPr="00B450EB">
        <w:rPr>
          <w:rFonts w:ascii="Arial" w:eastAsiaTheme="minorHAnsi" w:hAnsi="Arial" w:cs="Arial"/>
          <w:kern w:val="2"/>
          <w:lang w:val="es-CO"/>
          <w14:ligatures w14:val="standardContextual"/>
        </w:rPr>
        <w:t>a modificación del régimen de humedad inducida por la deforestación y el cambio climático amenaza de manera crítica a grupos biológicos sensibles como anfibios y aves. La disminución en la humedad atmosférica y en la frecuencia de precipitaciones debilita los servicios ecosistémicos de los ríos voladores, provocando declives poblacionales y posibles extinciones de especies con alto endemismo, como ha sido documentado en ranas de la Mata Atlántica cuya diversidad y dinámica poblacional dependen directamente de la humedad transportada desde la Amazonía (</w:t>
      </w:r>
      <w:proofErr w:type="spellStart"/>
      <w:r w:rsidR="00D7454C" w:rsidRPr="00B450EB">
        <w:rPr>
          <w:rFonts w:ascii="Arial" w:eastAsiaTheme="minorHAnsi" w:hAnsi="Arial" w:cs="Arial"/>
          <w:kern w:val="2"/>
          <w:lang w:val="es-CO"/>
          <w14:ligatures w14:val="standardContextual"/>
        </w:rPr>
        <w:t>Ferrante</w:t>
      </w:r>
      <w:proofErr w:type="spellEnd"/>
      <w:r w:rsidR="00D7454C" w:rsidRPr="00B450EB">
        <w:rPr>
          <w:rFonts w:ascii="Arial" w:eastAsiaTheme="minorHAnsi" w:hAnsi="Arial" w:cs="Arial"/>
          <w:kern w:val="2"/>
          <w:lang w:val="es-CO"/>
          <w14:ligatures w14:val="standardContextual"/>
        </w:rPr>
        <w:t xml:space="preserve"> et al., 2022). Para las aves, los cambios en los patrones de precipitación y en la disponibilidad de agua repercuten en su fenología reproductiva, migración y supervivencia, aumentando la vulnerabilidad de especies forestales ante escenarios de mayor aridez (</w:t>
      </w:r>
      <w:proofErr w:type="spellStart"/>
      <w:r w:rsidR="00D7454C" w:rsidRPr="00B450EB">
        <w:rPr>
          <w:rFonts w:ascii="Arial" w:eastAsiaTheme="minorHAnsi" w:hAnsi="Arial" w:cs="Arial"/>
          <w:kern w:val="2"/>
          <w:lang w:val="es-CO"/>
          <w14:ligatures w14:val="standardContextual"/>
        </w:rPr>
        <w:t>Sekercioglu</w:t>
      </w:r>
      <w:proofErr w:type="spellEnd"/>
      <w:r w:rsidR="00D7454C" w:rsidRPr="00B450EB">
        <w:rPr>
          <w:rFonts w:ascii="Arial" w:eastAsiaTheme="minorHAnsi" w:hAnsi="Arial" w:cs="Arial"/>
          <w:kern w:val="2"/>
          <w:lang w:val="es-CO"/>
          <w14:ligatures w14:val="standardContextual"/>
        </w:rPr>
        <w:t xml:space="preserve"> et al., 2021). En conjunto, estas alteraciones ponen en riesgo tanto la persistencia de la biodiversidad como la capacidad del bioma amazónico de sostener sus funciones regulatorias a escala continental.</w:t>
      </w:r>
    </w:p>
    <w:p w14:paraId="74361908" w14:textId="038852F3" w:rsidR="00B325A1" w:rsidRPr="00B450EB" w:rsidRDefault="00FC710E" w:rsidP="00D7454C">
      <w:pPr>
        <w:pStyle w:val="NormalWeb"/>
        <w:spacing w:line="276" w:lineRule="auto"/>
        <w:jc w:val="both"/>
        <w:rPr>
          <w:rFonts w:ascii="Arial" w:eastAsiaTheme="minorHAnsi" w:hAnsi="Arial" w:cs="Arial"/>
          <w:kern w:val="2"/>
          <w:lang w:val="es-CO"/>
          <w14:ligatures w14:val="standardContextual"/>
        </w:rPr>
      </w:pPr>
      <w:r w:rsidRPr="00B450EB">
        <w:rPr>
          <w:rFonts w:ascii="Arial" w:eastAsiaTheme="minorHAnsi" w:hAnsi="Arial" w:cs="Arial"/>
          <w:kern w:val="2"/>
          <w:lang w:val="es-CO"/>
          <w14:ligatures w14:val="standardContextual"/>
        </w:rPr>
        <w:t xml:space="preserve">El debilitamiento de un río volador por efectos de la deforestación ya muestra señales de materialización en la misma cuenca del río Amazonas, específicamente </w:t>
      </w:r>
      <w:r w:rsidRPr="00B450EB">
        <w:rPr>
          <w:rFonts w:ascii="Arial" w:eastAsiaTheme="minorHAnsi" w:hAnsi="Arial" w:cs="Arial"/>
          <w:kern w:val="2"/>
          <w:lang w:val="es-CO"/>
          <w14:ligatures w14:val="standardContextual"/>
        </w:rPr>
        <w:lastRenderedPageBreak/>
        <w:t>en la zona suroriente, donde se observan grandes focos de deforestación que han incrementado las olas de calor y las sequías prolongadas, afectando incluso flujos de secciones del río que no tenían registros previos de este comportamiento. Estas situaciones evidencian cómo la deforestación del bosque distorsiona el principio natural de mantener una circulación constante del vapor de agua, lo que permite conservar bajas temperaturas, controlar la velocidad del viento y favorecer la recirculación de la humedad necesaria para la lluvia regular en la región. Por lo anterior, se valida la necesidad de la conservación del bioma amazónico colombiano, tomando como referencia los sucesos ya observados en regiones cercanas.</w:t>
      </w:r>
    </w:p>
    <w:p w14:paraId="7BC18D22" w14:textId="1B74084A" w:rsidR="005C7F58" w:rsidRPr="00B450EB" w:rsidRDefault="00A35B78" w:rsidP="00AC0FCF">
      <w:pPr>
        <w:pStyle w:val="Ttulo3"/>
      </w:pPr>
      <w:bookmarkStart w:id="234" w:name="_Toc209722964"/>
      <w:r w:rsidRPr="00B450EB">
        <w:t>10</w:t>
      </w:r>
      <w:r w:rsidR="00AC0FCF" w:rsidRPr="00B450EB">
        <w:t xml:space="preserve">.1.1. </w:t>
      </w:r>
      <w:r w:rsidR="005C7F58" w:rsidRPr="00B450EB">
        <w:t xml:space="preserve">Disminución de </w:t>
      </w:r>
      <w:r w:rsidR="00EF2B68" w:rsidRPr="00B450EB">
        <w:t xml:space="preserve">aportes hidrológicos para </w:t>
      </w:r>
      <w:r w:rsidR="005C7F58" w:rsidRPr="00B450EB">
        <w:t xml:space="preserve">la generación de energía </w:t>
      </w:r>
      <w:r w:rsidR="00EF2B68" w:rsidRPr="00B450EB">
        <w:t xml:space="preserve">hidráulica y la </w:t>
      </w:r>
      <w:r w:rsidR="005C7F58" w:rsidRPr="00B450EB">
        <w:t>confiabilidad</w:t>
      </w:r>
      <w:r w:rsidR="00EF2B68" w:rsidRPr="00B450EB">
        <w:t xml:space="preserve"> del Sistema Interconectado Nacional</w:t>
      </w:r>
      <w:bookmarkEnd w:id="234"/>
      <w:r w:rsidR="00EF2B68" w:rsidRPr="00B450EB">
        <w:t xml:space="preserve"> </w:t>
      </w:r>
    </w:p>
    <w:p w14:paraId="0FC697FE" w14:textId="77777777" w:rsidR="00B93414" w:rsidRPr="00B450EB" w:rsidRDefault="00B93414" w:rsidP="00826A0D">
      <w:pPr>
        <w:spacing w:line="276" w:lineRule="auto"/>
        <w:rPr>
          <w:rFonts w:eastAsia="Aptos" w:cs="Arial"/>
          <w:lang w:val="es-ES"/>
        </w:rPr>
      </w:pPr>
    </w:p>
    <w:p w14:paraId="000A47F3" w14:textId="77777777" w:rsidR="00826A0D" w:rsidRPr="00B450EB" w:rsidRDefault="00826A0D" w:rsidP="00826A0D">
      <w:pPr>
        <w:spacing w:line="276" w:lineRule="auto"/>
        <w:rPr>
          <w:rFonts w:eastAsia="Aptos" w:cs="Arial"/>
          <w:lang w:val="es-ES"/>
        </w:rPr>
      </w:pPr>
      <w:r w:rsidRPr="00B450EB">
        <w:rPr>
          <w:rFonts w:eastAsia="Aptos" w:cs="Arial"/>
          <w:lang w:val="es-ES"/>
        </w:rPr>
        <w:t xml:space="preserve">La orografía y dinámica hidrológica de Colombia ha constituido para el sector eléctrico nacional, que la generación de energía hidráulica se presente como un recurso de alta confiabilidad (UPME, 2015), razón por la cual el 79% de la generación de energía eléctrica nacional actualmente proviene de los proyectos hidroenergéticos. </w:t>
      </w:r>
    </w:p>
    <w:p w14:paraId="2576F32C" w14:textId="2E74D6EB" w:rsidR="00826A0D" w:rsidRPr="00B450EB" w:rsidRDefault="00826A0D" w:rsidP="00826A0D">
      <w:pPr>
        <w:spacing w:line="276" w:lineRule="auto"/>
        <w:rPr>
          <w:rFonts w:eastAsia="Aptos" w:cs="Arial"/>
          <w:iCs/>
          <w:lang w:val="es-ES"/>
        </w:rPr>
      </w:pPr>
      <w:r w:rsidRPr="00B450EB">
        <w:rPr>
          <w:rFonts w:eastAsia="Aptos" w:cs="Arial"/>
          <w:lang w:val="es-ES"/>
        </w:rPr>
        <w:t xml:space="preserve">De acuerdo con la plataforma SINERGOX de XM, los embalses que hacen parte del Sistema Interconectado Nacional, es decir, que hacen parte de las centrales hidroeléctricas que generan energía hidráulica con una capacidad instalada mayor a 20 MW, se administra desde las seis regiones hidrológicas </w:t>
      </w:r>
      <w:r w:rsidR="00D26CFC" w:rsidRPr="00B450EB">
        <w:rPr>
          <w:rFonts w:eastAsia="Aptos" w:cs="Arial"/>
          <w:lang w:val="es-ES"/>
        </w:rPr>
        <w:t>del SIN</w:t>
      </w:r>
      <w:r w:rsidR="00A85165" w:rsidRPr="00B450EB">
        <w:rPr>
          <w:rFonts w:eastAsia="Aptos" w:cs="Arial"/>
          <w:lang w:val="es-ES"/>
        </w:rPr>
        <w:t>:</w:t>
      </w:r>
      <w:r w:rsidR="00D26CFC" w:rsidRPr="00B450EB">
        <w:rPr>
          <w:rFonts w:eastAsia="Aptos" w:cs="Arial"/>
          <w:lang w:val="es-ES"/>
        </w:rPr>
        <w:t xml:space="preserve"> </w:t>
      </w:r>
      <w:r w:rsidRPr="00B450EB">
        <w:rPr>
          <w:rFonts w:eastAsia="Aptos" w:cs="Arial"/>
          <w:lang w:val="es-ES"/>
        </w:rPr>
        <w:t xml:space="preserve">Antioquia, Caribe, Centro, Caldas, Oriente y Valle.  Como es de esperarse, parte de estos embalses y sus aportes hídricos dependen de los ríos de montaña de la </w:t>
      </w:r>
      <w:r w:rsidR="00ED01BA" w:rsidRPr="00B450EB">
        <w:rPr>
          <w:rFonts w:eastAsia="Aptos" w:cs="Arial"/>
          <w:lang w:val="es-ES"/>
        </w:rPr>
        <w:t>cordillera de</w:t>
      </w:r>
      <w:r w:rsidRPr="00B450EB">
        <w:rPr>
          <w:rFonts w:eastAsia="Aptos" w:cs="Arial"/>
          <w:lang w:val="es-ES"/>
        </w:rPr>
        <w:t xml:space="preserve"> Los Andes.  Del flanco oriental de la cordillera</w:t>
      </w:r>
      <w:r w:rsidR="00841724" w:rsidRPr="00B450EB">
        <w:rPr>
          <w:rFonts w:eastAsia="Aptos" w:cs="Arial"/>
          <w:lang w:val="es-ES"/>
        </w:rPr>
        <w:t xml:space="preserve">, </w:t>
      </w:r>
      <w:r w:rsidRPr="00B450EB">
        <w:rPr>
          <w:rFonts w:eastAsia="Aptos" w:cs="Arial"/>
          <w:lang w:val="es-ES"/>
        </w:rPr>
        <w:t xml:space="preserve">depende la región denominada </w:t>
      </w:r>
      <w:r w:rsidRPr="00B450EB">
        <w:rPr>
          <w:rFonts w:eastAsia="Aptos" w:cs="Arial"/>
          <w:i/>
          <w:lang w:val="es-ES"/>
        </w:rPr>
        <w:t>Oriente</w:t>
      </w:r>
      <w:r w:rsidRPr="00B450EB">
        <w:rPr>
          <w:rFonts w:eastAsia="Aptos" w:cs="Arial"/>
          <w:iCs/>
          <w:lang w:val="es-ES"/>
        </w:rPr>
        <w:t xml:space="preserve">, siendo estos los embalses de Guavio, Esmeralda y Chuza.   En la siguiente figura se observan las regiones hidrológicas según el SIN, y la delimitación de la región </w:t>
      </w:r>
      <w:r w:rsidRPr="00B450EB">
        <w:rPr>
          <w:rFonts w:eastAsia="Aptos" w:cs="Arial"/>
          <w:i/>
          <w:lang w:val="es-ES"/>
        </w:rPr>
        <w:t>Oriente</w:t>
      </w:r>
      <w:r w:rsidR="009D70D6" w:rsidRPr="00B450EB">
        <w:rPr>
          <w:rFonts w:eastAsia="Aptos" w:cs="Arial"/>
          <w:i/>
          <w:lang w:val="es-ES"/>
        </w:rPr>
        <w:t>.</w:t>
      </w:r>
    </w:p>
    <w:p w14:paraId="2BA898EE" w14:textId="4606A10A" w:rsidR="00445DDD" w:rsidRPr="00B450EB" w:rsidRDefault="00445DDD" w:rsidP="00445DDD">
      <w:pPr>
        <w:pStyle w:val="Descripcin"/>
        <w:keepNext/>
        <w:rPr>
          <w:color w:val="auto"/>
        </w:rPr>
      </w:pPr>
      <w:bookmarkStart w:id="235" w:name="_Toc209462791"/>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103</w:t>
      </w:r>
      <w:r w:rsidR="0045353A" w:rsidRPr="00B450EB">
        <w:rPr>
          <w:noProof/>
          <w:color w:val="auto"/>
        </w:rPr>
        <w:fldChar w:fldCharType="end"/>
      </w:r>
      <w:r w:rsidRPr="00B450EB">
        <w:rPr>
          <w:color w:val="auto"/>
        </w:rPr>
        <w:t>. Regiones hidrológicas del SIN</w:t>
      </w:r>
      <w:bookmarkEnd w:id="235"/>
    </w:p>
    <w:p w14:paraId="5F5B93CF" w14:textId="77777777" w:rsidR="00826A0D" w:rsidRPr="00B450EB" w:rsidRDefault="00826A0D" w:rsidP="00826A0D">
      <w:pPr>
        <w:spacing w:line="276" w:lineRule="auto"/>
        <w:rPr>
          <w:rFonts w:eastAsia="Aptos" w:cs="Arial"/>
          <w:lang w:val="es-ES"/>
        </w:rPr>
      </w:pPr>
      <w:r w:rsidRPr="00B450EB">
        <w:rPr>
          <w:rFonts w:eastAsia="Aptos" w:cs="Arial"/>
          <w:noProof/>
          <w:lang w:val="es-ES"/>
        </w:rPr>
        <w:drawing>
          <wp:inline distT="0" distB="0" distL="0" distR="0" wp14:anchorId="2C4F62D0" wp14:editId="1B815650">
            <wp:extent cx="5612130" cy="3211830"/>
            <wp:effectExtent l="19050" t="19050" r="26670" b="26670"/>
            <wp:docPr id="1542150807"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50807" name="Imagen 1" descr="Interfaz de usuario gráfica, Aplicación&#10;&#10;El contenido generado por IA puede ser incorrecto."/>
                    <pic:cNvPicPr/>
                  </pic:nvPicPr>
                  <pic:blipFill>
                    <a:blip r:embed="rId166" cstate="email">
                      <a:extLst>
                        <a:ext uri="{28A0092B-C50C-407E-A947-70E740481C1C}">
                          <a14:useLocalDpi xmlns:a14="http://schemas.microsoft.com/office/drawing/2010/main"/>
                        </a:ext>
                      </a:extLst>
                    </a:blip>
                    <a:stretch>
                      <a:fillRect/>
                    </a:stretch>
                  </pic:blipFill>
                  <pic:spPr>
                    <a:xfrm>
                      <a:off x="0" y="0"/>
                      <a:ext cx="5612130" cy="3211830"/>
                    </a:xfrm>
                    <a:prstGeom prst="rect">
                      <a:avLst/>
                    </a:prstGeom>
                    <a:ln>
                      <a:solidFill>
                        <a:sysClr val="windowText" lastClr="000000"/>
                      </a:solidFill>
                    </a:ln>
                  </pic:spPr>
                </pic:pic>
              </a:graphicData>
            </a:graphic>
          </wp:inline>
        </w:drawing>
      </w:r>
    </w:p>
    <w:p w14:paraId="3B38300E" w14:textId="56D84626" w:rsidR="00445DDD" w:rsidRPr="00B450EB" w:rsidRDefault="00445DDD" w:rsidP="00445DDD">
      <w:pPr>
        <w:jc w:val="center"/>
        <w:rPr>
          <w:rFonts w:eastAsia="Aptos" w:cs="Arial"/>
          <w:sz w:val="18"/>
          <w:szCs w:val="18"/>
          <w:lang w:val="es-ES"/>
        </w:rPr>
      </w:pPr>
      <w:r w:rsidRPr="00B450EB">
        <w:rPr>
          <w:rFonts w:eastAsia="Aptos" w:cs="Arial"/>
          <w:sz w:val="18"/>
          <w:szCs w:val="18"/>
          <w:lang w:val="es-ES"/>
        </w:rPr>
        <w:t xml:space="preserve">Fuente: Consultado en </w:t>
      </w:r>
      <w:hyperlink r:id="rId167" w:history="1">
        <w:r w:rsidR="004878BF" w:rsidRPr="00B450EB">
          <w:rPr>
            <w:rStyle w:val="Hipervnculo"/>
            <w:rFonts w:eastAsia="Aptos" w:cs="Arial"/>
            <w:color w:val="auto"/>
            <w:sz w:val="18"/>
            <w:szCs w:val="18"/>
            <w:lang w:val="es-ES"/>
          </w:rPr>
          <w:t>https://sinergox.xm.com.co/hdrlg/Paginas/Informes/MapaHidrologiaSIN.aspx</w:t>
        </w:r>
      </w:hyperlink>
      <w:r w:rsidR="004878BF" w:rsidRPr="00B450EB">
        <w:rPr>
          <w:rFonts w:eastAsia="Aptos" w:cs="Arial"/>
          <w:sz w:val="18"/>
          <w:szCs w:val="18"/>
          <w:lang w:val="es-ES"/>
        </w:rPr>
        <w:t xml:space="preserve"> el 19/09/2025. </w:t>
      </w:r>
    </w:p>
    <w:p w14:paraId="5A9FB95B" w14:textId="2A6A74A8" w:rsidR="00F450D8" w:rsidRPr="00B450EB" w:rsidRDefault="00826A0D" w:rsidP="00826A0D">
      <w:pPr>
        <w:rPr>
          <w:rFonts w:eastAsia="Aptos" w:cs="Arial"/>
          <w:lang w:val="es-ES"/>
        </w:rPr>
      </w:pPr>
      <w:r w:rsidRPr="00B450EB">
        <w:rPr>
          <w:rFonts w:eastAsia="Aptos" w:cs="Arial"/>
          <w:lang w:val="es-ES"/>
        </w:rPr>
        <w:t xml:space="preserve">En </w:t>
      </w:r>
      <w:r w:rsidR="0010588C" w:rsidRPr="00B450EB">
        <w:rPr>
          <w:rFonts w:eastAsia="Aptos" w:cs="Arial"/>
          <w:lang w:val="es-ES"/>
        </w:rPr>
        <w:t>la zona</w:t>
      </w:r>
      <w:r w:rsidRPr="00B450EB">
        <w:rPr>
          <w:rFonts w:eastAsia="Aptos" w:cs="Arial"/>
          <w:lang w:val="es-ES"/>
        </w:rPr>
        <w:t xml:space="preserve"> </w:t>
      </w:r>
      <w:r w:rsidR="00942F76" w:rsidRPr="00B450EB">
        <w:rPr>
          <w:rFonts w:eastAsia="Aptos" w:cs="Arial"/>
          <w:i/>
          <w:iCs/>
          <w:lang w:val="es-ES"/>
        </w:rPr>
        <w:t>Oriente</w:t>
      </w:r>
      <w:r w:rsidR="0010588C" w:rsidRPr="00B450EB">
        <w:rPr>
          <w:rFonts w:eastAsia="Aptos" w:cs="Arial"/>
          <w:i/>
          <w:iCs/>
          <w:lang w:val="es-ES"/>
        </w:rPr>
        <w:t xml:space="preserve"> </w:t>
      </w:r>
      <w:r w:rsidR="0010588C" w:rsidRPr="00B450EB">
        <w:rPr>
          <w:rFonts w:eastAsia="Aptos" w:cs="Arial"/>
          <w:lang w:val="es-ES"/>
        </w:rPr>
        <w:t>del SIN</w:t>
      </w:r>
      <w:r w:rsidRPr="00B450EB">
        <w:rPr>
          <w:rFonts w:eastAsia="Aptos" w:cs="Arial"/>
          <w:i/>
          <w:lang w:val="es-ES"/>
        </w:rPr>
        <w:t xml:space="preserve"> </w:t>
      </w:r>
      <w:r w:rsidRPr="00B450EB">
        <w:rPr>
          <w:rFonts w:eastAsia="Aptos" w:cs="Arial"/>
          <w:lang w:val="es-ES"/>
        </w:rPr>
        <w:t xml:space="preserve">se encuentran los embalses Guavio (Hidroeléctrica del Guavio), Esmeralda (Central Hidroeléctrica Chivor) y Chuza (Sistema Chingaza); sobre el embalse de Chuza, este trasvasa el recurso hídrico del río Guatiquía (área hidrográfica del Meta) hacia el embalse de </w:t>
      </w:r>
      <w:r w:rsidR="003E27EA" w:rsidRPr="00B450EB">
        <w:rPr>
          <w:rFonts w:eastAsia="Aptos" w:cs="Arial"/>
          <w:lang w:val="es-ES"/>
        </w:rPr>
        <w:t>San Rafael</w:t>
      </w:r>
      <w:r w:rsidR="00D57DB8" w:rsidRPr="00B450EB">
        <w:rPr>
          <w:rFonts w:eastAsia="Aptos" w:cs="Arial"/>
          <w:lang w:val="es-ES"/>
        </w:rPr>
        <w:t xml:space="preserve"> (subzona hidrográfica del río Bogotá – área hidrográfica Magdalena – Cauca)</w:t>
      </w:r>
      <w:r w:rsidRPr="00B450EB">
        <w:rPr>
          <w:rFonts w:eastAsia="Aptos" w:cs="Arial"/>
          <w:lang w:val="es-ES"/>
        </w:rPr>
        <w:t>, como parte del funcionamiento de ese sistema.  Ahora bien, con respecto al embalse Chuza, este recauda las aguas provenientes del Páramo de Chingaza y de los ríos Chuza y Guatiquía</w:t>
      </w:r>
      <w:r w:rsidR="00EE6EB5" w:rsidRPr="00B450EB">
        <w:rPr>
          <w:rFonts w:eastAsia="Aptos" w:cs="Arial"/>
          <w:lang w:val="es-ES"/>
        </w:rPr>
        <w:t>, pertenecientes al área hidrográfica del Orinoco.</w:t>
      </w:r>
      <w:r w:rsidR="00800A07" w:rsidRPr="00B450EB">
        <w:rPr>
          <w:rFonts w:eastAsia="Aptos" w:cs="Arial"/>
          <w:lang w:val="es-ES"/>
        </w:rPr>
        <w:t xml:space="preserve"> </w:t>
      </w:r>
    </w:p>
    <w:p w14:paraId="574255D9" w14:textId="245E0355" w:rsidR="00826A0D" w:rsidRPr="00B450EB" w:rsidRDefault="00800A07" w:rsidP="00826A0D">
      <w:pPr>
        <w:rPr>
          <w:rFonts w:eastAsia="Aptos" w:cs="Arial"/>
          <w:lang w:val="es-ES"/>
        </w:rPr>
      </w:pPr>
      <w:r w:rsidRPr="00B450EB">
        <w:rPr>
          <w:rFonts w:eastAsia="Aptos" w:cs="Arial"/>
          <w:lang w:val="es-ES"/>
        </w:rPr>
        <w:t>En la siguiente figura se observan los embalses</w:t>
      </w:r>
      <w:r w:rsidR="00442890" w:rsidRPr="00B450EB">
        <w:rPr>
          <w:rFonts w:eastAsia="Aptos" w:cs="Arial"/>
          <w:lang w:val="es-ES"/>
        </w:rPr>
        <w:t xml:space="preserve"> (</w:t>
      </w:r>
      <w:r w:rsidR="00FF4697" w:rsidRPr="00B450EB">
        <w:rPr>
          <w:rFonts w:eastAsia="Aptos" w:cs="Arial"/>
          <w:lang w:val="es-ES"/>
        </w:rPr>
        <w:t>polígono color violeta</w:t>
      </w:r>
      <w:r w:rsidR="00442890" w:rsidRPr="00B450EB">
        <w:rPr>
          <w:rFonts w:eastAsia="Aptos" w:cs="Arial"/>
          <w:lang w:val="es-ES"/>
        </w:rPr>
        <w:t>)</w:t>
      </w:r>
      <w:r w:rsidR="003E1E53" w:rsidRPr="00B450EB">
        <w:rPr>
          <w:rFonts w:eastAsia="Aptos" w:cs="Arial"/>
          <w:lang w:val="es-ES"/>
        </w:rPr>
        <w:t xml:space="preserve"> y</w:t>
      </w:r>
      <w:r w:rsidR="00FF4697" w:rsidRPr="00B450EB">
        <w:rPr>
          <w:rFonts w:eastAsia="Aptos" w:cs="Arial"/>
          <w:lang w:val="es-ES"/>
        </w:rPr>
        <w:t xml:space="preserve"> ríos y drenajes (líneas azules)</w:t>
      </w:r>
      <w:r w:rsidR="00F450D8" w:rsidRPr="00B450EB">
        <w:rPr>
          <w:rFonts w:eastAsia="Aptos" w:cs="Arial"/>
          <w:lang w:val="es-ES"/>
        </w:rPr>
        <w:t>. D</w:t>
      </w:r>
      <w:r w:rsidR="003E1E53" w:rsidRPr="00B450EB">
        <w:rPr>
          <w:rFonts w:eastAsia="Aptos" w:cs="Arial"/>
          <w:lang w:val="es-ES"/>
        </w:rPr>
        <w:t>e la figura se destaca: embalses</w:t>
      </w:r>
      <w:r w:rsidRPr="00B450EB">
        <w:rPr>
          <w:rFonts w:eastAsia="Aptos" w:cs="Arial"/>
          <w:lang w:val="es-ES"/>
        </w:rPr>
        <w:t xml:space="preserve"> del flanco oriental de la cordillera de Los Andes</w:t>
      </w:r>
      <w:r w:rsidR="003E1E53" w:rsidRPr="00B450EB">
        <w:rPr>
          <w:rFonts w:eastAsia="Aptos" w:cs="Arial"/>
          <w:lang w:val="es-ES"/>
        </w:rPr>
        <w:t xml:space="preserve"> </w:t>
      </w:r>
      <w:r w:rsidR="00F450D8" w:rsidRPr="00B450EB">
        <w:rPr>
          <w:rFonts w:eastAsia="Aptos" w:cs="Arial"/>
          <w:lang w:val="es-ES"/>
        </w:rPr>
        <w:t>(lado izquierdo de la figura)</w:t>
      </w:r>
      <w:r w:rsidR="009A5635" w:rsidRPr="00B450EB">
        <w:rPr>
          <w:rFonts w:eastAsia="Aptos" w:cs="Arial"/>
          <w:lang w:val="es-ES"/>
        </w:rPr>
        <w:t>,</w:t>
      </w:r>
      <w:r w:rsidR="003E1E53" w:rsidRPr="00B450EB">
        <w:rPr>
          <w:rFonts w:eastAsia="Aptos" w:cs="Arial"/>
          <w:lang w:val="es-ES"/>
        </w:rPr>
        <w:t xml:space="preserve"> conexión embalse de Chuza y embalse San Rafael, </w:t>
      </w:r>
      <w:r w:rsidR="009A5635" w:rsidRPr="00B450EB">
        <w:rPr>
          <w:rFonts w:eastAsia="Aptos" w:cs="Arial"/>
          <w:lang w:val="es-ES"/>
        </w:rPr>
        <w:t xml:space="preserve">proyectos hidroeléctricos a los cuales pertenece cada embalse con excepción del embalse de </w:t>
      </w:r>
      <w:proofErr w:type="spellStart"/>
      <w:r w:rsidR="009A5635" w:rsidRPr="00B450EB">
        <w:rPr>
          <w:rFonts w:eastAsia="Aptos" w:cs="Arial"/>
          <w:lang w:val="es-ES"/>
        </w:rPr>
        <w:t>Tominé</w:t>
      </w:r>
      <w:proofErr w:type="spellEnd"/>
      <w:r w:rsidR="009A5635" w:rsidRPr="00B450EB">
        <w:rPr>
          <w:rFonts w:eastAsia="Aptos" w:cs="Arial"/>
          <w:lang w:val="es-ES"/>
        </w:rPr>
        <w:t xml:space="preserve"> de competencia de la CAR</w:t>
      </w:r>
      <w:r w:rsidR="00F450D8" w:rsidRPr="00B450EB">
        <w:rPr>
          <w:rFonts w:eastAsia="Aptos" w:cs="Arial"/>
          <w:lang w:val="es-ES"/>
        </w:rPr>
        <w:t>.</w:t>
      </w:r>
    </w:p>
    <w:p w14:paraId="317B9C1B" w14:textId="4107697C" w:rsidR="00203272" w:rsidRPr="00B450EB" w:rsidRDefault="00203272" w:rsidP="00203272">
      <w:pPr>
        <w:pStyle w:val="Descripcin"/>
        <w:keepNext/>
        <w:rPr>
          <w:color w:val="auto"/>
        </w:rPr>
      </w:pPr>
      <w:bookmarkStart w:id="236" w:name="_Toc209462792"/>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104</w:t>
      </w:r>
      <w:r w:rsidR="0045353A" w:rsidRPr="00B450EB">
        <w:rPr>
          <w:noProof/>
          <w:color w:val="auto"/>
        </w:rPr>
        <w:fldChar w:fldCharType="end"/>
      </w:r>
      <w:r w:rsidRPr="00B450EB">
        <w:rPr>
          <w:color w:val="auto"/>
        </w:rPr>
        <w:t xml:space="preserve">. Embalses </w:t>
      </w:r>
      <w:r w:rsidR="00B10FFE" w:rsidRPr="00B450EB">
        <w:rPr>
          <w:color w:val="auto"/>
        </w:rPr>
        <w:t>e hidroeléctricas zona oriente SIN</w:t>
      </w:r>
      <w:bookmarkEnd w:id="236"/>
    </w:p>
    <w:p w14:paraId="3B55BB80" w14:textId="1A82860D" w:rsidR="00203272" w:rsidRPr="00B450EB" w:rsidRDefault="00203272" w:rsidP="002D1166">
      <w:pPr>
        <w:spacing w:after="0"/>
        <w:jc w:val="center"/>
        <w:rPr>
          <w:rFonts w:eastAsia="Aptos" w:cs="Arial"/>
          <w:lang w:val="es-ES"/>
        </w:rPr>
      </w:pPr>
      <w:r w:rsidRPr="00B450EB">
        <w:rPr>
          <w:noProof/>
        </w:rPr>
        <w:drawing>
          <wp:inline distT="0" distB="0" distL="0" distR="0" wp14:anchorId="1C5D71CC" wp14:editId="2755A400">
            <wp:extent cx="5455303" cy="3912782"/>
            <wp:effectExtent l="0" t="0" r="0" b="0"/>
            <wp:docPr id="901728151"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28151" name="Imagen 1" descr="Mapa&#10;&#10;El contenido generado por IA puede ser incorrecto."/>
                    <pic:cNvPicPr/>
                  </pic:nvPicPr>
                  <pic:blipFill>
                    <a:blip r:embed="rId168" cstate="email">
                      <a:extLst>
                        <a:ext uri="{28A0092B-C50C-407E-A947-70E740481C1C}">
                          <a14:useLocalDpi xmlns:a14="http://schemas.microsoft.com/office/drawing/2010/main"/>
                        </a:ext>
                      </a:extLst>
                    </a:blip>
                    <a:stretch>
                      <a:fillRect/>
                    </a:stretch>
                  </pic:blipFill>
                  <pic:spPr>
                    <a:xfrm>
                      <a:off x="0" y="0"/>
                      <a:ext cx="5471495" cy="3924396"/>
                    </a:xfrm>
                    <a:prstGeom prst="rect">
                      <a:avLst/>
                    </a:prstGeom>
                  </pic:spPr>
                </pic:pic>
              </a:graphicData>
            </a:graphic>
          </wp:inline>
        </w:drawing>
      </w:r>
    </w:p>
    <w:p w14:paraId="3938F116" w14:textId="131E78B1" w:rsidR="00203272" w:rsidRPr="00B450EB" w:rsidRDefault="00B10FFE" w:rsidP="00B10FFE">
      <w:pPr>
        <w:jc w:val="center"/>
        <w:rPr>
          <w:rFonts w:eastAsia="Aptos" w:cs="Arial"/>
          <w:sz w:val="20"/>
          <w:szCs w:val="20"/>
          <w:lang w:val="es-ES"/>
        </w:rPr>
      </w:pPr>
      <w:r w:rsidRPr="00B450EB">
        <w:rPr>
          <w:rFonts w:eastAsia="Aptos" w:cs="Arial"/>
          <w:sz w:val="20"/>
          <w:szCs w:val="20"/>
          <w:lang w:val="es-ES"/>
        </w:rPr>
        <w:t>Fuente: MADS, 2025 a partir de información secundaria.</w:t>
      </w:r>
    </w:p>
    <w:p w14:paraId="26E44405" w14:textId="77777777" w:rsidR="00826A0D" w:rsidRPr="00B450EB" w:rsidRDefault="00826A0D" w:rsidP="00826A0D">
      <w:pPr>
        <w:rPr>
          <w:rFonts w:eastAsia="Aptos" w:cs="Arial"/>
        </w:rPr>
      </w:pPr>
      <w:r w:rsidRPr="00B450EB">
        <w:rPr>
          <w:rFonts w:eastAsia="Aptos" w:cs="Arial"/>
          <w:lang w:val="es-ES"/>
        </w:rPr>
        <w:t xml:space="preserve">Como se señala en el capítulo de </w:t>
      </w:r>
      <w:r w:rsidRPr="00B450EB">
        <w:rPr>
          <w:rFonts w:eastAsia="Aptos" w:cs="Arial"/>
          <w:i/>
          <w:iCs/>
          <w:lang w:val="es-ES"/>
        </w:rPr>
        <w:t xml:space="preserve">Fenómeno meteorológico “Ríos voladores”, </w:t>
      </w:r>
      <w:r w:rsidRPr="00B450EB">
        <w:rPr>
          <w:rFonts w:eastAsia="Aptos" w:cs="Arial"/>
          <w:lang w:val="es-ES"/>
        </w:rPr>
        <w:t xml:space="preserve">los estudios como </w:t>
      </w:r>
      <w:r w:rsidRPr="00B450EB">
        <w:rPr>
          <w:rFonts w:eastAsia="Aptos" w:cs="Arial"/>
        </w:rPr>
        <w:t>Sánchez et. al (2024) han concluido que el 50% de la fuente de humedad que se precipita sobre el páramo de Chingaza proviene de este fenómeno.</w:t>
      </w:r>
    </w:p>
    <w:p w14:paraId="1E1233A8" w14:textId="78232688" w:rsidR="00826A0D" w:rsidRPr="00B450EB" w:rsidRDefault="00826A0D" w:rsidP="00826A0D">
      <w:pPr>
        <w:rPr>
          <w:rFonts w:eastAsia="Aptos" w:cs="Arial"/>
        </w:rPr>
      </w:pPr>
      <w:r w:rsidRPr="00B450EB">
        <w:rPr>
          <w:rFonts w:eastAsia="Aptos" w:cs="Arial"/>
        </w:rPr>
        <w:t xml:space="preserve">Ahora bien, durante el evento de fenómeno del Niño en Colombia 2023 y 2024, SINERGOX reportó una disminución inusual de los niveles de los embalses del SIN, activando el nivel de alerta de volumen inferior al 27%, lo que constituye un riesgo para el suministro energético nacional. Parte de los embalses con niveles </w:t>
      </w:r>
      <w:r w:rsidR="003B31CC" w:rsidRPr="00B450EB">
        <w:rPr>
          <w:rFonts w:eastAsia="Aptos" w:cs="Arial"/>
        </w:rPr>
        <w:t xml:space="preserve">más </w:t>
      </w:r>
      <w:r w:rsidRPr="00B450EB">
        <w:rPr>
          <w:rFonts w:eastAsia="Aptos" w:cs="Arial"/>
        </w:rPr>
        <w:t>críticos</w:t>
      </w:r>
      <w:r w:rsidR="003B31CC" w:rsidRPr="00B450EB">
        <w:rPr>
          <w:rFonts w:eastAsia="Aptos" w:cs="Arial"/>
        </w:rPr>
        <w:t xml:space="preserve"> a nivel nacional</w:t>
      </w:r>
      <w:r w:rsidRPr="00B450EB">
        <w:rPr>
          <w:rFonts w:eastAsia="Aptos" w:cs="Arial"/>
        </w:rPr>
        <w:t xml:space="preserve"> fueron el embalse de Guavio y el embalse de Chivor. </w:t>
      </w:r>
      <w:r w:rsidR="00ED6AAF" w:rsidRPr="00B450EB">
        <w:rPr>
          <w:rFonts w:eastAsia="Aptos" w:cs="Arial"/>
        </w:rPr>
        <w:t>Por su parte, l</w:t>
      </w:r>
      <w:r w:rsidRPr="00B450EB">
        <w:rPr>
          <w:rFonts w:eastAsia="Aptos" w:cs="Arial"/>
        </w:rPr>
        <w:t>a Corporación Autónoma Regional de Cundinamarca (CAR) alertó en abril de 2024 que el embalse de Chuza estaba operando al 16,13% de su capacidad.</w:t>
      </w:r>
    </w:p>
    <w:p w14:paraId="3B548494" w14:textId="2DA1D103" w:rsidR="00826A0D" w:rsidRPr="00B450EB" w:rsidRDefault="00826A0D" w:rsidP="00826A0D">
      <w:pPr>
        <w:rPr>
          <w:rFonts w:eastAsia="Aptos" w:cs="Arial"/>
        </w:rPr>
      </w:pPr>
      <w:r w:rsidRPr="00B450EB">
        <w:rPr>
          <w:rFonts w:eastAsia="Aptos" w:cs="Arial"/>
        </w:rPr>
        <w:t xml:space="preserve">Si se considera los modelos de flujos de humedad y estudios de hidrología isotópica que son estudiados actualmente por el SGC y el PNN, en un escenario de variabilidad climática como el evento del Fenómeno del Niño que tuvo ocasión entre 2023 y 2024, los flujos reciclados del Orinoco y del Amazonas podrían representar la recarga hídrica de los embalses durante la disminución de precipitaciones ocasionadas por </w:t>
      </w:r>
      <w:r w:rsidR="00A61354" w:rsidRPr="00B450EB">
        <w:rPr>
          <w:rFonts w:eastAsia="Aptos" w:cs="Arial"/>
        </w:rPr>
        <w:t>estos eventos.</w:t>
      </w:r>
    </w:p>
    <w:p w14:paraId="346F05B9" w14:textId="7D59793F" w:rsidR="00826A0D" w:rsidRPr="00B450EB" w:rsidRDefault="00826A0D" w:rsidP="00826A0D">
      <w:pPr>
        <w:rPr>
          <w:rFonts w:eastAsia="Aptos" w:cs="Arial"/>
        </w:rPr>
      </w:pPr>
      <w:r w:rsidRPr="00B450EB">
        <w:rPr>
          <w:rFonts w:eastAsia="Aptos" w:cs="Arial"/>
        </w:rPr>
        <w:lastRenderedPageBreak/>
        <w:t>Con base en el modelo de trayectorias en HYSPLIT, el grupo de Regionalización y Centro de Monitoreo</w:t>
      </w:r>
      <w:r w:rsidR="00A61354" w:rsidRPr="00B450EB">
        <w:rPr>
          <w:rFonts w:eastAsia="Aptos" w:cs="Arial"/>
        </w:rPr>
        <w:t xml:space="preserve"> de ANLA,</w:t>
      </w:r>
      <w:r w:rsidRPr="00B450EB">
        <w:rPr>
          <w:rFonts w:eastAsia="Aptos" w:cs="Arial"/>
        </w:rPr>
        <w:t xml:space="preserve"> efectuó la corrida para los embalses señalados con el objetivo de obtener una aproximación del flujo de las masas de aire.</w:t>
      </w:r>
    </w:p>
    <w:p w14:paraId="223B4986" w14:textId="7184CCD7" w:rsidR="00826A0D" w:rsidRPr="00B450EB" w:rsidRDefault="00826A0D" w:rsidP="00826A0D">
      <w:pPr>
        <w:spacing w:after="0" w:line="240" w:lineRule="auto"/>
        <w:jc w:val="center"/>
        <w:rPr>
          <w:rFonts w:eastAsia="Aptos" w:cs="Arial"/>
          <w:i/>
          <w:iCs/>
          <w:sz w:val="18"/>
          <w:szCs w:val="18"/>
          <w:lang w:val="pt-PT"/>
        </w:rPr>
      </w:pPr>
      <w:bookmarkStart w:id="237" w:name="_Toc209462793"/>
      <w:r w:rsidRPr="00B450EB">
        <w:rPr>
          <w:rFonts w:eastAsia="Aptos" w:cs="Arial"/>
          <w:i/>
          <w:iCs/>
          <w:sz w:val="18"/>
          <w:szCs w:val="18"/>
          <w:lang w:val="pt-PT"/>
        </w:rPr>
        <w:t xml:space="preserve">Figura </w:t>
      </w:r>
      <w:r w:rsidR="00EF6BD4" w:rsidRPr="00B450EB">
        <w:rPr>
          <w:rFonts w:eastAsia="Aptos" w:cs="Arial"/>
          <w:i/>
          <w:iCs/>
          <w:sz w:val="18"/>
          <w:szCs w:val="18"/>
          <w:lang w:val="pt-PT"/>
        </w:rPr>
        <w:fldChar w:fldCharType="begin"/>
      </w:r>
      <w:r w:rsidR="00EF6BD4" w:rsidRPr="00B450EB">
        <w:rPr>
          <w:rFonts w:eastAsia="Aptos" w:cs="Arial"/>
          <w:i/>
          <w:iCs/>
          <w:sz w:val="18"/>
          <w:szCs w:val="18"/>
          <w:lang w:val="pt-PT"/>
        </w:rPr>
        <w:instrText xml:space="preserve"> SEQ Figura \* ARABIC </w:instrText>
      </w:r>
      <w:r w:rsidR="00EF6BD4" w:rsidRPr="00B450EB">
        <w:rPr>
          <w:rFonts w:eastAsia="Aptos" w:cs="Arial"/>
          <w:i/>
          <w:iCs/>
          <w:sz w:val="18"/>
          <w:szCs w:val="18"/>
          <w:lang w:val="pt-PT"/>
        </w:rPr>
        <w:fldChar w:fldCharType="separate"/>
      </w:r>
      <w:r w:rsidR="00010D09" w:rsidRPr="00B450EB">
        <w:rPr>
          <w:rFonts w:eastAsia="Aptos" w:cs="Arial"/>
          <w:i/>
          <w:iCs/>
          <w:noProof/>
          <w:sz w:val="18"/>
          <w:szCs w:val="18"/>
          <w:lang w:val="pt-PT"/>
        </w:rPr>
        <w:t>105</w:t>
      </w:r>
      <w:r w:rsidR="00EF6BD4" w:rsidRPr="00B450EB">
        <w:rPr>
          <w:rFonts w:eastAsia="Aptos" w:cs="Arial"/>
          <w:i/>
          <w:iCs/>
          <w:sz w:val="18"/>
          <w:szCs w:val="18"/>
          <w:lang w:val="pt-PT"/>
        </w:rPr>
        <w:fldChar w:fldCharType="end"/>
      </w:r>
      <w:r w:rsidRPr="00B450EB">
        <w:rPr>
          <w:rFonts w:eastAsia="Aptos" w:cs="Arial"/>
          <w:i/>
          <w:iCs/>
          <w:sz w:val="18"/>
          <w:szCs w:val="18"/>
          <w:lang w:val="pt-PT"/>
        </w:rPr>
        <w:t>. Retro trayectorias masas de Aire – Cadena Hidroelectrica I Rio Bogota – Paraiso</w:t>
      </w:r>
      <w:bookmarkEnd w:id="237"/>
      <w:r w:rsidRPr="00B450EB">
        <w:rPr>
          <w:rFonts w:eastAsia="Aptos" w:cs="Arial"/>
          <w:i/>
          <w:iCs/>
          <w:sz w:val="18"/>
          <w:szCs w:val="18"/>
          <w:lang w:val="pt-PT"/>
        </w:rPr>
        <w:t xml:space="preserve"> </w:t>
      </w:r>
    </w:p>
    <w:tbl>
      <w:tblPr>
        <w:tblStyle w:val="Tablaconcuadrcula3"/>
        <w:tblW w:w="0" w:type="auto"/>
        <w:tblLook w:val="04A0" w:firstRow="1" w:lastRow="0" w:firstColumn="1" w:lastColumn="0" w:noHBand="0" w:noVBand="1"/>
      </w:tblPr>
      <w:tblGrid>
        <w:gridCol w:w="4414"/>
        <w:gridCol w:w="4414"/>
      </w:tblGrid>
      <w:tr w:rsidR="00205915" w:rsidRPr="00B450EB" w14:paraId="5DDCA80E" w14:textId="77777777" w:rsidTr="00E82311">
        <w:tc>
          <w:tcPr>
            <w:tcW w:w="4414" w:type="dxa"/>
          </w:tcPr>
          <w:p w14:paraId="57805FD0" w14:textId="77777777" w:rsidR="00826A0D" w:rsidRPr="00B450EB" w:rsidRDefault="00826A0D" w:rsidP="00826A0D">
            <w:pPr>
              <w:jc w:val="center"/>
              <w:rPr>
                <w:rFonts w:eastAsia="Aptos" w:cs="Arial"/>
                <w:b/>
                <w:bCs/>
                <w:sz w:val="18"/>
                <w:szCs w:val="18"/>
              </w:rPr>
            </w:pPr>
            <w:r w:rsidRPr="00B450EB">
              <w:rPr>
                <w:rFonts w:eastAsia="Aptos" w:cs="Arial"/>
                <w:b/>
                <w:bCs/>
                <w:sz w:val="18"/>
                <w:szCs w:val="18"/>
              </w:rPr>
              <w:t>Año 2024</w:t>
            </w:r>
          </w:p>
        </w:tc>
        <w:tc>
          <w:tcPr>
            <w:tcW w:w="4414" w:type="dxa"/>
          </w:tcPr>
          <w:p w14:paraId="72E88900" w14:textId="77777777" w:rsidR="00826A0D" w:rsidRPr="00B450EB" w:rsidRDefault="00826A0D" w:rsidP="00826A0D">
            <w:pPr>
              <w:jc w:val="center"/>
              <w:rPr>
                <w:rFonts w:eastAsia="Aptos" w:cs="Arial"/>
                <w:b/>
                <w:bCs/>
                <w:sz w:val="18"/>
                <w:szCs w:val="18"/>
              </w:rPr>
            </w:pPr>
            <w:r w:rsidRPr="00B450EB">
              <w:rPr>
                <w:rFonts w:eastAsia="Aptos" w:cs="Arial"/>
                <w:b/>
                <w:bCs/>
                <w:sz w:val="18"/>
                <w:szCs w:val="18"/>
              </w:rPr>
              <w:t>Año 2006</w:t>
            </w:r>
          </w:p>
        </w:tc>
      </w:tr>
      <w:tr w:rsidR="00205915" w:rsidRPr="00B450EB" w14:paraId="1A959EFA" w14:textId="77777777" w:rsidTr="00E82311">
        <w:tc>
          <w:tcPr>
            <w:tcW w:w="8828" w:type="dxa"/>
            <w:gridSpan w:val="2"/>
            <w:shd w:val="clear" w:color="auto" w:fill="002060"/>
          </w:tcPr>
          <w:p w14:paraId="75280004" w14:textId="77777777" w:rsidR="00826A0D" w:rsidRPr="00B450EB" w:rsidRDefault="00826A0D" w:rsidP="00826A0D">
            <w:pPr>
              <w:jc w:val="center"/>
              <w:rPr>
                <w:rFonts w:eastAsia="Aptos" w:cs="Arial"/>
                <w:b/>
                <w:bCs/>
                <w:sz w:val="18"/>
                <w:szCs w:val="18"/>
              </w:rPr>
            </w:pPr>
            <w:r w:rsidRPr="00B450EB">
              <w:rPr>
                <w:rFonts w:eastAsia="Aptos" w:cs="Arial"/>
                <w:b/>
                <w:bCs/>
                <w:sz w:val="18"/>
                <w:szCs w:val="18"/>
              </w:rPr>
              <w:t xml:space="preserve">Cadena Hidroeléctrica I del río Bogotá (Canoas, Salto II, </w:t>
            </w:r>
            <w:proofErr w:type="spellStart"/>
            <w:r w:rsidRPr="00B450EB">
              <w:rPr>
                <w:rFonts w:eastAsia="Aptos" w:cs="Arial"/>
                <w:b/>
                <w:bCs/>
                <w:sz w:val="18"/>
                <w:szCs w:val="18"/>
              </w:rPr>
              <w:t>Laguneta</w:t>
            </w:r>
            <w:proofErr w:type="spellEnd"/>
            <w:r w:rsidRPr="00B450EB">
              <w:rPr>
                <w:rFonts w:eastAsia="Aptos" w:cs="Arial"/>
                <w:b/>
                <w:bCs/>
                <w:sz w:val="18"/>
                <w:szCs w:val="18"/>
              </w:rPr>
              <w:t xml:space="preserve"> y Darío Valencia Samper)</w:t>
            </w:r>
          </w:p>
        </w:tc>
      </w:tr>
      <w:tr w:rsidR="00205915" w:rsidRPr="00B450EB" w14:paraId="07538E36" w14:textId="77777777" w:rsidTr="00E82311">
        <w:tc>
          <w:tcPr>
            <w:tcW w:w="4414" w:type="dxa"/>
          </w:tcPr>
          <w:p w14:paraId="7900AAAB" w14:textId="77777777" w:rsidR="00826A0D" w:rsidRPr="00B450EB" w:rsidRDefault="00826A0D" w:rsidP="00826A0D">
            <w:pPr>
              <w:rPr>
                <w:rFonts w:eastAsia="Aptos" w:cs="Arial"/>
                <w:b/>
                <w:bCs/>
                <w:sz w:val="18"/>
                <w:szCs w:val="18"/>
              </w:rPr>
            </w:pPr>
            <w:r w:rsidRPr="00B450EB">
              <w:rPr>
                <w:rFonts w:eastAsia="Aptos" w:cs="Arial"/>
                <w:noProof/>
                <w:sz w:val="18"/>
                <w:szCs w:val="18"/>
              </w:rPr>
              <w:drawing>
                <wp:inline distT="0" distB="0" distL="0" distR="0" wp14:anchorId="03194B8A" wp14:editId="6096A403">
                  <wp:extent cx="2520000" cy="2173564"/>
                  <wp:effectExtent l="0" t="0" r="0" b="0"/>
                  <wp:docPr id="1484074386"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246538" name="Imagen 1" descr="Mapa&#10;&#10;El contenido generado por IA puede ser incorrecto."/>
                          <pic:cNvPicPr/>
                        </pic:nvPicPr>
                        <pic:blipFill>
                          <a:blip r:embed="rId169" cstate="email">
                            <a:extLst>
                              <a:ext uri="{28A0092B-C50C-407E-A947-70E740481C1C}">
                                <a14:useLocalDpi xmlns:a14="http://schemas.microsoft.com/office/drawing/2010/main"/>
                              </a:ext>
                            </a:extLst>
                          </a:blip>
                          <a:stretch>
                            <a:fillRect/>
                          </a:stretch>
                        </pic:blipFill>
                        <pic:spPr>
                          <a:xfrm>
                            <a:off x="0" y="0"/>
                            <a:ext cx="2520000" cy="2173564"/>
                          </a:xfrm>
                          <a:prstGeom prst="rect">
                            <a:avLst/>
                          </a:prstGeom>
                        </pic:spPr>
                      </pic:pic>
                    </a:graphicData>
                  </a:graphic>
                </wp:inline>
              </w:drawing>
            </w:r>
          </w:p>
        </w:tc>
        <w:tc>
          <w:tcPr>
            <w:tcW w:w="4414" w:type="dxa"/>
          </w:tcPr>
          <w:p w14:paraId="29A057C3" w14:textId="77777777" w:rsidR="00826A0D" w:rsidRPr="00B450EB" w:rsidRDefault="00826A0D" w:rsidP="00826A0D">
            <w:pPr>
              <w:rPr>
                <w:rFonts w:eastAsia="Aptos" w:cs="Arial"/>
                <w:b/>
                <w:bCs/>
                <w:sz w:val="18"/>
                <w:szCs w:val="18"/>
              </w:rPr>
            </w:pPr>
            <w:r w:rsidRPr="00B450EB">
              <w:rPr>
                <w:rFonts w:eastAsia="Aptos" w:cs="Arial"/>
                <w:noProof/>
                <w:sz w:val="18"/>
                <w:szCs w:val="18"/>
              </w:rPr>
              <w:drawing>
                <wp:inline distT="0" distB="0" distL="0" distR="0" wp14:anchorId="797B22A3" wp14:editId="4BD90B63">
                  <wp:extent cx="2520000" cy="2167268"/>
                  <wp:effectExtent l="0" t="0" r="0" b="4445"/>
                  <wp:docPr id="981834602"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992898" name="Imagen 1" descr="Interfaz de usuario gráfica&#10;&#10;El contenido generado por IA puede ser incorrecto."/>
                          <pic:cNvPicPr/>
                        </pic:nvPicPr>
                        <pic:blipFill>
                          <a:blip r:embed="rId170" cstate="email">
                            <a:extLst>
                              <a:ext uri="{28A0092B-C50C-407E-A947-70E740481C1C}">
                                <a14:useLocalDpi xmlns:a14="http://schemas.microsoft.com/office/drawing/2010/main"/>
                              </a:ext>
                            </a:extLst>
                          </a:blip>
                          <a:stretch>
                            <a:fillRect/>
                          </a:stretch>
                        </pic:blipFill>
                        <pic:spPr>
                          <a:xfrm>
                            <a:off x="0" y="0"/>
                            <a:ext cx="2520000" cy="2167268"/>
                          </a:xfrm>
                          <a:prstGeom prst="rect">
                            <a:avLst/>
                          </a:prstGeom>
                        </pic:spPr>
                      </pic:pic>
                    </a:graphicData>
                  </a:graphic>
                </wp:inline>
              </w:drawing>
            </w:r>
          </w:p>
        </w:tc>
      </w:tr>
      <w:tr w:rsidR="00205915" w:rsidRPr="00B450EB" w14:paraId="6D0DA669" w14:textId="77777777" w:rsidTr="00E82311">
        <w:tc>
          <w:tcPr>
            <w:tcW w:w="8828" w:type="dxa"/>
            <w:gridSpan w:val="2"/>
            <w:shd w:val="clear" w:color="auto" w:fill="002060"/>
          </w:tcPr>
          <w:p w14:paraId="2B837434" w14:textId="77777777" w:rsidR="00826A0D" w:rsidRPr="00B450EB" w:rsidRDefault="00826A0D" w:rsidP="00826A0D">
            <w:pPr>
              <w:jc w:val="center"/>
              <w:rPr>
                <w:rFonts w:eastAsia="Aptos" w:cs="Arial"/>
                <w:b/>
                <w:bCs/>
                <w:noProof/>
                <w:sz w:val="18"/>
                <w:szCs w:val="18"/>
              </w:rPr>
            </w:pPr>
            <w:r w:rsidRPr="00B450EB">
              <w:rPr>
                <w:rFonts w:eastAsia="Aptos" w:cs="Arial"/>
                <w:b/>
                <w:bCs/>
                <w:noProof/>
                <w:sz w:val="18"/>
                <w:szCs w:val="18"/>
              </w:rPr>
              <w:t>Cadena Hidroeléctrica del río Bogotá</w:t>
            </w:r>
          </w:p>
        </w:tc>
      </w:tr>
      <w:tr w:rsidR="00205915" w:rsidRPr="00B450EB" w14:paraId="0BDDC264" w14:textId="77777777" w:rsidTr="00E82311">
        <w:tc>
          <w:tcPr>
            <w:tcW w:w="4414" w:type="dxa"/>
          </w:tcPr>
          <w:p w14:paraId="3FB5FAD6" w14:textId="77777777" w:rsidR="00826A0D" w:rsidRPr="00B450EB" w:rsidRDefault="00826A0D" w:rsidP="00826A0D">
            <w:pPr>
              <w:rPr>
                <w:rFonts w:eastAsia="Aptos" w:cs="Arial"/>
                <w:noProof/>
                <w:sz w:val="18"/>
                <w:szCs w:val="18"/>
              </w:rPr>
            </w:pPr>
            <w:r w:rsidRPr="00B450EB">
              <w:rPr>
                <w:rFonts w:eastAsia="Aptos" w:cs="Arial"/>
                <w:noProof/>
                <w:sz w:val="18"/>
                <w:szCs w:val="18"/>
              </w:rPr>
              <w:drawing>
                <wp:inline distT="0" distB="0" distL="0" distR="0" wp14:anchorId="2E631D58" wp14:editId="5548525C">
                  <wp:extent cx="2520000" cy="2168147"/>
                  <wp:effectExtent l="0" t="0" r="0" b="3810"/>
                  <wp:docPr id="295959571"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33405" name="Imagen 1" descr="Gráfico&#10;&#10;El contenido generado por IA puede ser incorrecto."/>
                          <pic:cNvPicPr/>
                        </pic:nvPicPr>
                        <pic:blipFill>
                          <a:blip r:embed="rId171" cstate="email">
                            <a:extLst>
                              <a:ext uri="{28A0092B-C50C-407E-A947-70E740481C1C}">
                                <a14:useLocalDpi xmlns:a14="http://schemas.microsoft.com/office/drawing/2010/main"/>
                              </a:ext>
                            </a:extLst>
                          </a:blip>
                          <a:stretch>
                            <a:fillRect/>
                          </a:stretch>
                        </pic:blipFill>
                        <pic:spPr>
                          <a:xfrm>
                            <a:off x="0" y="0"/>
                            <a:ext cx="2520000" cy="2168147"/>
                          </a:xfrm>
                          <a:prstGeom prst="rect">
                            <a:avLst/>
                          </a:prstGeom>
                        </pic:spPr>
                      </pic:pic>
                    </a:graphicData>
                  </a:graphic>
                </wp:inline>
              </w:drawing>
            </w:r>
          </w:p>
        </w:tc>
        <w:tc>
          <w:tcPr>
            <w:tcW w:w="4414" w:type="dxa"/>
          </w:tcPr>
          <w:p w14:paraId="4364C4C6" w14:textId="77777777" w:rsidR="00826A0D" w:rsidRPr="00B450EB" w:rsidRDefault="00826A0D" w:rsidP="00826A0D">
            <w:pPr>
              <w:rPr>
                <w:rFonts w:eastAsia="Aptos" w:cs="Arial"/>
                <w:noProof/>
                <w:sz w:val="18"/>
                <w:szCs w:val="18"/>
              </w:rPr>
            </w:pPr>
            <w:r w:rsidRPr="00B450EB">
              <w:rPr>
                <w:rFonts w:eastAsia="Aptos" w:cs="Arial"/>
                <w:noProof/>
                <w:sz w:val="18"/>
                <w:szCs w:val="18"/>
              </w:rPr>
              <w:drawing>
                <wp:inline distT="0" distB="0" distL="0" distR="0" wp14:anchorId="08242F90" wp14:editId="0E1EF922">
                  <wp:extent cx="2520000" cy="2181951"/>
                  <wp:effectExtent l="0" t="0" r="0" b="8890"/>
                  <wp:docPr id="700484825"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107880" name="Imagen 1" descr="Interfaz de usuario gráfica&#10;&#10;El contenido generado por IA puede ser incorrecto."/>
                          <pic:cNvPicPr/>
                        </pic:nvPicPr>
                        <pic:blipFill>
                          <a:blip r:embed="rId172" cstate="email">
                            <a:extLst>
                              <a:ext uri="{28A0092B-C50C-407E-A947-70E740481C1C}">
                                <a14:useLocalDpi xmlns:a14="http://schemas.microsoft.com/office/drawing/2010/main"/>
                              </a:ext>
                            </a:extLst>
                          </a:blip>
                          <a:stretch>
                            <a:fillRect/>
                          </a:stretch>
                        </pic:blipFill>
                        <pic:spPr>
                          <a:xfrm>
                            <a:off x="0" y="0"/>
                            <a:ext cx="2520000" cy="2181951"/>
                          </a:xfrm>
                          <a:prstGeom prst="rect">
                            <a:avLst/>
                          </a:prstGeom>
                        </pic:spPr>
                      </pic:pic>
                    </a:graphicData>
                  </a:graphic>
                </wp:inline>
              </w:drawing>
            </w:r>
          </w:p>
        </w:tc>
      </w:tr>
    </w:tbl>
    <w:p w14:paraId="55771D5D" w14:textId="7F188C63" w:rsidR="002D1166" w:rsidRPr="00B450EB" w:rsidRDefault="00826A0D" w:rsidP="00826A0D">
      <w:pPr>
        <w:jc w:val="center"/>
        <w:rPr>
          <w:rFonts w:eastAsia="Aptos" w:cs="Arial"/>
          <w:sz w:val="18"/>
          <w:szCs w:val="18"/>
        </w:rPr>
      </w:pPr>
      <w:r w:rsidRPr="00B450EB">
        <w:rPr>
          <w:rFonts w:eastAsia="Aptos" w:cs="Arial"/>
          <w:sz w:val="18"/>
          <w:szCs w:val="18"/>
        </w:rPr>
        <w:t>Fuente: MADS; 2025 con información GRCM ANLA, 2025.</w:t>
      </w:r>
    </w:p>
    <w:p w14:paraId="6BCEC160" w14:textId="77777777" w:rsidR="002D1166" w:rsidRPr="00B450EB" w:rsidRDefault="002D1166">
      <w:pPr>
        <w:jc w:val="left"/>
        <w:rPr>
          <w:rFonts w:eastAsia="Aptos" w:cs="Arial"/>
          <w:sz w:val="18"/>
          <w:szCs w:val="18"/>
        </w:rPr>
      </w:pPr>
      <w:r w:rsidRPr="00B450EB">
        <w:rPr>
          <w:rFonts w:eastAsia="Aptos" w:cs="Arial"/>
          <w:sz w:val="18"/>
          <w:szCs w:val="18"/>
        </w:rPr>
        <w:br w:type="page"/>
      </w:r>
    </w:p>
    <w:p w14:paraId="6DF37757" w14:textId="235452AB" w:rsidR="00826A0D" w:rsidRPr="00B450EB" w:rsidRDefault="00826A0D" w:rsidP="00826A0D">
      <w:pPr>
        <w:spacing w:after="0" w:line="240" w:lineRule="auto"/>
        <w:jc w:val="center"/>
        <w:rPr>
          <w:rFonts w:eastAsia="Aptos" w:cs="Arial"/>
          <w:i/>
          <w:iCs/>
          <w:sz w:val="18"/>
          <w:szCs w:val="18"/>
        </w:rPr>
      </w:pPr>
      <w:bookmarkStart w:id="238" w:name="_Toc209462794"/>
      <w:r w:rsidRPr="00B450EB">
        <w:rPr>
          <w:rFonts w:eastAsia="Aptos" w:cs="Arial"/>
          <w:i/>
          <w:iCs/>
          <w:sz w:val="18"/>
          <w:szCs w:val="18"/>
        </w:rPr>
        <w:lastRenderedPageBreak/>
        <w:t xml:space="preserve">Figura </w:t>
      </w:r>
      <w:r w:rsidR="00EF6BD4" w:rsidRPr="00B450EB">
        <w:rPr>
          <w:rFonts w:eastAsia="Aptos" w:cs="Arial"/>
          <w:i/>
          <w:iCs/>
          <w:sz w:val="18"/>
          <w:szCs w:val="18"/>
        </w:rPr>
        <w:fldChar w:fldCharType="begin"/>
      </w:r>
      <w:r w:rsidR="00EF6BD4" w:rsidRPr="00B450EB">
        <w:rPr>
          <w:rFonts w:eastAsia="Aptos" w:cs="Arial"/>
          <w:i/>
          <w:iCs/>
          <w:sz w:val="18"/>
          <w:szCs w:val="18"/>
        </w:rPr>
        <w:instrText xml:space="preserve"> SEQ Figura \* ARABIC </w:instrText>
      </w:r>
      <w:r w:rsidR="00EF6BD4" w:rsidRPr="00B450EB">
        <w:rPr>
          <w:rFonts w:eastAsia="Aptos" w:cs="Arial"/>
          <w:i/>
          <w:iCs/>
          <w:sz w:val="18"/>
          <w:szCs w:val="18"/>
        </w:rPr>
        <w:fldChar w:fldCharType="separate"/>
      </w:r>
      <w:r w:rsidR="00010D09" w:rsidRPr="00B450EB">
        <w:rPr>
          <w:rFonts w:eastAsia="Aptos" w:cs="Arial"/>
          <w:i/>
          <w:iCs/>
          <w:noProof/>
          <w:sz w:val="18"/>
          <w:szCs w:val="18"/>
        </w:rPr>
        <w:t>106</w:t>
      </w:r>
      <w:r w:rsidR="00EF6BD4" w:rsidRPr="00B450EB">
        <w:rPr>
          <w:rFonts w:eastAsia="Aptos" w:cs="Arial"/>
          <w:i/>
          <w:iCs/>
          <w:sz w:val="18"/>
          <w:szCs w:val="18"/>
        </w:rPr>
        <w:fldChar w:fldCharType="end"/>
      </w:r>
      <w:r w:rsidRPr="00B450EB">
        <w:rPr>
          <w:rFonts w:eastAsia="Aptos" w:cs="Arial"/>
          <w:i/>
          <w:iCs/>
          <w:sz w:val="18"/>
          <w:szCs w:val="18"/>
        </w:rPr>
        <w:t>. Retro trayectorias masas de Aire – El Guavio y Chivor</w:t>
      </w:r>
      <w:bookmarkEnd w:id="238"/>
    </w:p>
    <w:tbl>
      <w:tblPr>
        <w:tblStyle w:val="Tablaconcuadrcula3"/>
        <w:tblW w:w="0" w:type="auto"/>
        <w:jc w:val="center"/>
        <w:tblLook w:val="04A0" w:firstRow="1" w:lastRow="0" w:firstColumn="1" w:lastColumn="0" w:noHBand="0" w:noVBand="1"/>
      </w:tblPr>
      <w:tblGrid>
        <w:gridCol w:w="4414"/>
        <w:gridCol w:w="4414"/>
      </w:tblGrid>
      <w:tr w:rsidR="00205915" w:rsidRPr="00B450EB" w14:paraId="05310076" w14:textId="77777777" w:rsidTr="00E82311">
        <w:trPr>
          <w:jc w:val="center"/>
        </w:trPr>
        <w:tc>
          <w:tcPr>
            <w:tcW w:w="4414" w:type="dxa"/>
          </w:tcPr>
          <w:p w14:paraId="3036434F" w14:textId="77777777" w:rsidR="00826A0D" w:rsidRPr="00B450EB" w:rsidRDefault="00826A0D" w:rsidP="00826A0D">
            <w:pPr>
              <w:jc w:val="center"/>
              <w:rPr>
                <w:rFonts w:eastAsia="Aptos" w:cs="Arial"/>
                <w:sz w:val="18"/>
                <w:szCs w:val="18"/>
              </w:rPr>
            </w:pPr>
            <w:r w:rsidRPr="00B450EB">
              <w:rPr>
                <w:rFonts w:eastAsia="Aptos" w:cs="Arial"/>
                <w:sz w:val="18"/>
                <w:szCs w:val="18"/>
              </w:rPr>
              <w:t>Año 2024</w:t>
            </w:r>
          </w:p>
        </w:tc>
        <w:tc>
          <w:tcPr>
            <w:tcW w:w="4414" w:type="dxa"/>
          </w:tcPr>
          <w:p w14:paraId="2CC10D89" w14:textId="77777777" w:rsidR="00826A0D" w:rsidRPr="00B450EB" w:rsidRDefault="00826A0D" w:rsidP="00826A0D">
            <w:pPr>
              <w:jc w:val="center"/>
              <w:rPr>
                <w:rFonts w:eastAsia="Aptos" w:cs="Arial"/>
                <w:sz w:val="18"/>
                <w:szCs w:val="18"/>
              </w:rPr>
            </w:pPr>
            <w:r w:rsidRPr="00B450EB">
              <w:rPr>
                <w:rFonts w:eastAsia="Aptos" w:cs="Arial"/>
                <w:sz w:val="18"/>
                <w:szCs w:val="18"/>
              </w:rPr>
              <w:t>Año 2006</w:t>
            </w:r>
          </w:p>
        </w:tc>
      </w:tr>
      <w:tr w:rsidR="00205915" w:rsidRPr="00B450EB" w14:paraId="3A6D4184" w14:textId="77777777" w:rsidTr="00E82311">
        <w:trPr>
          <w:jc w:val="center"/>
        </w:trPr>
        <w:tc>
          <w:tcPr>
            <w:tcW w:w="8828" w:type="dxa"/>
            <w:gridSpan w:val="2"/>
            <w:shd w:val="clear" w:color="auto" w:fill="002060"/>
          </w:tcPr>
          <w:p w14:paraId="43EB717B" w14:textId="77777777" w:rsidR="00826A0D" w:rsidRPr="00B450EB" w:rsidRDefault="00826A0D" w:rsidP="00826A0D">
            <w:pPr>
              <w:jc w:val="center"/>
              <w:rPr>
                <w:rFonts w:eastAsia="Aptos" w:cs="Arial"/>
                <w:b/>
                <w:bCs/>
                <w:sz w:val="18"/>
                <w:szCs w:val="18"/>
              </w:rPr>
            </w:pPr>
            <w:r w:rsidRPr="00B450EB">
              <w:rPr>
                <w:rFonts w:eastAsia="Aptos" w:cs="Arial"/>
                <w:b/>
                <w:bCs/>
                <w:sz w:val="18"/>
                <w:szCs w:val="18"/>
              </w:rPr>
              <w:t>Hidroeléctrica El Guavio</w:t>
            </w:r>
          </w:p>
        </w:tc>
      </w:tr>
      <w:tr w:rsidR="00205915" w:rsidRPr="00B450EB" w14:paraId="39FAF114" w14:textId="77777777" w:rsidTr="00E82311">
        <w:trPr>
          <w:jc w:val="center"/>
        </w:trPr>
        <w:tc>
          <w:tcPr>
            <w:tcW w:w="4414" w:type="dxa"/>
          </w:tcPr>
          <w:p w14:paraId="0C7749E3" w14:textId="77777777" w:rsidR="00826A0D" w:rsidRPr="00B450EB" w:rsidRDefault="00826A0D" w:rsidP="00826A0D">
            <w:pPr>
              <w:rPr>
                <w:rFonts w:eastAsia="Aptos" w:cs="Arial"/>
                <w:b/>
                <w:bCs/>
                <w:sz w:val="18"/>
                <w:szCs w:val="18"/>
              </w:rPr>
            </w:pPr>
            <w:r w:rsidRPr="00B450EB">
              <w:rPr>
                <w:rFonts w:eastAsia="Aptos" w:cs="Arial"/>
                <w:noProof/>
                <w:sz w:val="18"/>
                <w:szCs w:val="18"/>
              </w:rPr>
              <w:drawing>
                <wp:inline distT="0" distB="0" distL="0" distR="0" wp14:anchorId="37EEB872" wp14:editId="528C786D">
                  <wp:extent cx="2520000" cy="2205499"/>
                  <wp:effectExtent l="0" t="0" r="0" b="4445"/>
                  <wp:docPr id="1996540179"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58918" name="Imagen 1" descr="Mapa&#10;&#10;El contenido generado por IA puede ser incorrecto."/>
                          <pic:cNvPicPr/>
                        </pic:nvPicPr>
                        <pic:blipFill>
                          <a:blip r:embed="rId173" cstate="email">
                            <a:extLst>
                              <a:ext uri="{28A0092B-C50C-407E-A947-70E740481C1C}">
                                <a14:useLocalDpi xmlns:a14="http://schemas.microsoft.com/office/drawing/2010/main"/>
                              </a:ext>
                            </a:extLst>
                          </a:blip>
                          <a:stretch>
                            <a:fillRect/>
                          </a:stretch>
                        </pic:blipFill>
                        <pic:spPr>
                          <a:xfrm>
                            <a:off x="0" y="0"/>
                            <a:ext cx="2520000" cy="2205499"/>
                          </a:xfrm>
                          <a:prstGeom prst="rect">
                            <a:avLst/>
                          </a:prstGeom>
                        </pic:spPr>
                      </pic:pic>
                    </a:graphicData>
                  </a:graphic>
                </wp:inline>
              </w:drawing>
            </w:r>
          </w:p>
        </w:tc>
        <w:tc>
          <w:tcPr>
            <w:tcW w:w="4414" w:type="dxa"/>
          </w:tcPr>
          <w:p w14:paraId="575A3047" w14:textId="77777777" w:rsidR="00826A0D" w:rsidRPr="00B450EB" w:rsidRDefault="00826A0D" w:rsidP="00826A0D">
            <w:pPr>
              <w:rPr>
                <w:rFonts w:eastAsia="Aptos" w:cs="Arial"/>
                <w:b/>
                <w:bCs/>
                <w:sz w:val="18"/>
                <w:szCs w:val="18"/>
              </w:rPr>
            </w:pPr>
            <w:r w:rsidRPr="00B450EB">
              <w:rPr>
                <w:rFonts w:eastAsia="Aptos" w:cs="Arial"/>
                <w:noProof/>
                <w:sz w:val="18"/>
                <w:szCs w:val="18"/>
              </w:rPr>
              <w:drawing>
                <wp:inline distT="0" distB="0" distL="0" distR="0" wp14:anchorId="55696949" wp14:editId="71F4C1BD">
                  <wp:extent cx="2520000" cy="2163876"/>
                  <wp:effectExtent l="0" t="0" r="0" b="8255"/>
                  <wp:docPr id="410276047"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638898" name="Imagen 1" descr="Gráfico&#10;&#10;El contenido generado por IA puede ser incorrecto."/>
                          <pic:cNvPicPr/>
                        </pic:nvPicPr>
                        <pic:blipFill>
                          <a:blip r:embed="rId174" cstate="email">
                            <a:extLst>
                              <a:ext uri="{28A0092B-C50C-407E-A947-70E740481C1C}">
                                <a14:useLocalDpi xmlns:a14="http://schemas.microsoft.com/office/drawing/2010/main"/>
                              </a:ext>
                            </a:extLst>
                          </a:blip>
                          <a:stretch>
                            <a:fillRect/>
                          </a:stretch>
                        </pic:blipFill>
                        <pic:spPr>
                          <a:xfrm>
                            <a:off x="0" y="0"/>
                            <a:ext cx="2520000" cy="2163876"/>
                          </a:xfrm>
                          <a:prstGeom prst="rect">
                            <a:avLst/>
                          </a:prstGeom>
                        </pic:spPr>
                      </pic:pic>
                    </a:graphicData>
                  </a:graphic>
                </wp:inline>
              </w:drawing>
            </w:r>
          </w:p>
        </w:tc>
      </w:tr>
      <w:tr w:rsidR="00205915" w:rsidRPr="00B450EB" w14:paraId="63CEC20A" w14:textId="77777777" w:rsidTr="00E82311">
        <w:trPr>
          <w:jc w:val="center"/>
        </w:trPr>
        <w:tc>
          <w:tcPr>
            <w:tcW w:w="8828" w:type="dxa"/>
            <w:gridSpan w:val="2"/>
            <w:shd w:val="clear" w:color="auto" w:fill="002060"/>
          </w:tcPr>
          <w:p w14:paraId="6AFF6B92" w14:textId="77777777" w:rsidR="00826A0D" w:rsidRPr="00B450EB" w:rsidRDefault="00826A0D" w:rsidP="00826A0D">
            <w:pPr>
              <w:jc w:val="center"/>
              <w:rPr>
                <w:rFonts w:eastAsia="Aptos" w:cs="Arial"/>
                <w:b/>
                <w:bCs/>
                <w:noProof/>
                <w:sz w:val="18"/>
                <w:szCs w:val="18"/>
              </w:rPr>
            </w:pPr>
            <w:r w:rsidRPr="00B450EB">
              <w:rPr>
                <w:rFonts w:eastAsia="Aptos" w:cs="Arial"/>
                <w:b/>
                <w:bCs/>
                <w:noProof/>
                <w:sz w:val="18"/>
                <w:szCs w:val="18"/>
              </w:rPr>
              <w:t>Central Hidroeléctrica de Chivor</w:t>
            </w:r>
          </w:p>
        </w:tc>
      </w:tr>
      <w:tr w:rsidR="00205915" w:rsidRPr="00B450EB" w14:paraId="67EF5B91" w14:textId="77777777" w:rsidTr="00E82311">
        <w:trPr>
          <w:jc w:val="center"/>
        </w:trPr>
        <w:tc>
          <w:tcPr>
            <w:tcW w:w="4414" w:type="dxa"/>
          </w:tcPr>
          <w:p w14:paraId="0DF6D92B" w14:textId="77777777" w:rsidR="00826A0D" w:rsidRPr="00B450EB" w:rsidRDefault="00826A0D" w:rsidP="00826A0D">
            <w:pPr>
              <w:rPr>
                <w:rFonts w:eastAsia="Aptos" w:cs="Arial"/>
                <w:noProof/>
                <w:sz w:val="18"/>
                <w:szCs w:val="18"/>
              </w:rPr>
            </w:pPr>
            <w:r w:rsidRPr="00B450EB">
              <w:rPr>
                <w:rFonts w:eastAsia="Aptos" w:cs="Arial"/>
                <w:noProof/>
                <w:sz w:val="18"/>
                <w:szCs w:val="18"/>
              </w:rPr>
              <w:drawing>
                <wp:inline distT="0" distB="0" distL="0" distR="0" wp14:anchorId="3698905A" wp14:editId="55B96F30">
                  <wp:extent cx="2520000" cy="2168147"/>
                  <wp:effectExtent l="0" t="0" r="0" b="3810"/>
                  <wp:docPr id="257273386"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670921" name="Imagen 1" descr="Gráfico&#10;&#10;El contenido generado por IA puede ser incorrecto."/>
                          <pic:cNvPicPr/>
                        </pic:nvPicPr>
                        <pic:blipFill>
                          <a:blip r:embed="rId175" cstate="email">
                            <a:extLst>
                              <a:ext uri="{28A0092B-C50C-407E-A947-70E740481C1C}">
                                <a14:useLocalDpi xmlns:a14="http://schemas.microsoft.com/office/drawing/2010/main"/>
                              </a:ext>
                            </a:extLst>
                          </a:blip>
                          <a:stretch>
                            <a:fillRect/>
                          </a:stretch>
                        </pic:blipFill>
                        <pic:spPr>
                          <a:xfrm>
                            <a:off x="0" y="0"/>
                            <a:ext cx="2520000" cy="2168147"/>
                          </a:xfrm>
                          <a:prstGeom prst="rect">
                            <a:avLst/>
                          </a:prstGeom>
                        </pic:spPr>
                      </pic:pic>
                    </a:graphicData>
                  </a:graphic>
                </wp:inline>
              </w:drawing>
            </w:r>
          </w:p>
        </w:tc>
        <w:tc>
          <w:tcPr>
            <w:tcW w:w="4414" w:type="dxa"/>
          </w:tcPr>
          <w:p w14:paraId="51F610CD" w14:textId="77777777" w:rsidR="00826A0D" w:rsidRPr="00B450EB" w:rsidRDefault="00826A0D" w:rsidP="00826A0D">
            <w:pPr>
              <w:rPr>
                <w:rFonts w:eastAsia="Aptos" w:cs="Arial"/>
                <w:noProof/>
                <w:sz w:val="18"/>
                <w:szCs w:val="18"/>
              </w:rPr>
            </w:pPr>
            <w:r w:rsidRPr="00B450EB">
              <w:rPr>
                <w:rFonts w:eastAsia="Aptos" w:cs="Arial"/>
                <w:noProof/>
                <w:sz w:val="18"/>
                <w:szCs w:val="18"/>
              </w:rPr>
              <w:drawing>
                <wp:inline distT="0" distB="0" distL="0" distR="0" wp14:anchorId="486DD708" wp14:editId="45EB6445">
                  <wp:extent cx="2520000" cy="2173703"/>
                  <wp:effectExtent l="0" t="0" r="0" b="0"/>
                  <wp:docPr id="1211667473"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554392" name="Imagen 1" descr="Interfaz de usuario gráfica&#10;&#10;El contenido generado por IA puede ser incorrecto."/>
                          <pic:cNvPicPr/>
                        </pic:nvPicPr>
                        <pic:blipFill>
                          <a:blip r:embed="rId176" cstate="screen">
                            <a:extLst>
                              <a:ext uri="{28A0092B-C50C-407E-A947-70E740481C1C}">
                                <a14:useLocalDpi xmlns:a14="http://schemas.microsoft.com/office/drawing/2010/main"/>
                              </a:ext>
                            </a:extLst>
                          </a:blip>
                          <a:stretch>
                            <a:fillRect/>
                          </a:stretch>
                        </pic:blipFill>
                        <pic:spPr>
                          <a:xfrm>
                            <a:off x="0" y="0"/>
                            <a:ext cx="2520000" cy="2173703"/>
                          </a:xfrm>
                          <a:prstGeom prst="rect">
                            <a:avLst/>
                          </a:prstGeom>
                        </pic:spPr>
                      </pic:pic>
                    </a:graphicData>
                  </a:graphic>
                </wp:inline>
              </w:drawing>
            </w:r>
          </w:p>
        </w:tc>
      </w:tr>
    </w:tbl>
    <w:p w14:paraId="6498B45F" w14:textId="77777777" w:rsidR="00826A0D" w:rsidRPr="00B450EB" w:rsidRDefault="00826A0D" w:rsidP="00826A0D">
      <w:pPr>
        <w:jc w:val="center"/>
        <w:rPr>
          <w:rFonts w:eastAsia="Aptos" w:cs="Arial"/>
        </w:rPr>
      </w:pPr>
      <w:r w:rsidRPr="00B450EB">
        <w:rPr>
          <w:rFonts w:eastAsia="Aptos" w:cs="Arial"/>
          <w:sz w:val="18"/>
          <w:szCs w:val="18"/>
        </w:rPr>
        <w:t>Fuente: MADS; 2025 con información GRCM ANLA, 2025.</w:t>
      </w:r>
    </w:p>
    <w:p w14:paraId="514C9387" w14:textId="2D4F3D50" w:rsidR="00826A0D" w:rsidRPr="00B450EB" w:rsidRDefault="00826A0D" w:rsidP="00826A0D">
      <w:pPr>
        <w:spacing w:after="0" w:line="240" w:lineRule="auto"/>
        <w:jc w:val="center"/>
        <w:rPr>
          <w:rFonts w:eastAsia="Aptos" w:cs="Arial"/>
          <w:i/>
          <w:iCs/>
          <w:sz w:val="18"/>
          <w:szCs w:val="18"/>
          <w:lang w:val="pt-PT"/>
        </w:rPr>
      </w:pPr>
      <w:bookmarkStart w:id="239" w:name="_Toc209462795"/>
      <w:r w:rsidRPr="00B450EB">
        <w:rPr>
          <w:rFonts w:eastAsia="Aptos" w:cs="Arial"/>
          <w:i/>
          <w:iCs/>
          <w:sz w:val="18"/>
          <w:szCs w:val="18"/>
        </w:rPr>
        <w:t xml:space="preserve">Figura </w:t>
      </w:r>
      <w:r w:rsidR="00EF6BD4" w:rsidRPr="00B450EB">
        <w:rPr>
          <w:rFonts w:eastAsia="Aptos" w:cs="Arial"/>
          <w:i/>
          <w:iCs/>
          <w:sz w:val="18"/>
          <w:szCs w:val="18"/>
        </w:rPr>
        <w:fldChar w:fldCharType="begin"/>
      </w:r>
      <w:r w:rsidR="00EF6BD4" w:rsidRPr="00B450EB">
        <w:rPr>
          <w:rFonts w:eastAsia="Aptos" w:cs="Arial"/>
          <w:i/>
          <w:iCs/>
          <w:sz w:val="18"/>
          <w:szCs w:val="18"/>
        </w:rPr>
        <w:instrText xml:space="preserve"> SEQ Figura \* ARABIC </w:instrText>
      </w:r>
      <w:r w:rsidR="00EF6BD4" w:rsidRPr="00B450EB">
        <w:rPr>
          <w:rFonts w:eastAsia="Aptos" w:cs="Arial"/>
          <w:i/>
          <w:iCs/>
          <w:sz w:val="18"/>
          <w:szCs w:val="18"/>
        </w:rPr>
        <w:fldChar w:fldCharType="separate"/>
      </w:r>
      <w:r w:rsidR="00010D09" w:rsidRPr="00B450EB">
        <w:rPr>
          <w:rFonts w:eastAsia="Aptos" w:cs="Arial"/>
          <w:i/>
          <w:iCs/>
          <w:noProof/>
          <w:sz w:val="18"/>
          <w:szCs w:val="18"/>
        </w:rPr>
        <w:t>107</w:t>
      </w:r>
      <w:r w:rsidR="00EF6BD4" w:rsidRPr="00B450EB">
        <w:rPr>
          <w:rFonts w:eastAsia="Aptos" w:cs="Arial"/>
          <w:i/>
          <w:iCs/>
          <w:sz w:val="18"/>
          <w:szCs w:val="18"/>
        </w:rPr>
        <w:fldChar w:fldCharType="end"/>
      </w:r>
      <w:r w:rsidRPr="00B450EB">
        <w:rPr>
          <w:rFonts w:eastAsia="Aptos" w:cs="Arial"/>
          <w:i/>
          <w:iCs/>
          <w:sz w:val="18"/>
          <w:szCs w:val="18"/>
        </w:rPr>
        <w:t xml:space="preserve">. </w:t>
      </w:r>
      <w:r w:rsidRPr="00B450EB">
        <w:rPr>
          <w:rFonts w:eastAsia="Aptos" w:cs="Arial"/>
          <w:i/>
          <w:iCs/>
          <w:sz w:val="18"/>
          <w:szCs w:val="18"/>
          <w:lang w:val="pt-PT"/>
        </w:rPr>
        <w:t>Retro trayectorias masas de Aire – Embalse Tomine</w:t>
      </w:r>
      <w:bookmarkEnd w:id="239"/>
      <w:r w:rsidRPr="00B450EB">
        <w:rPr>
          <w:rFonts w:eastAsia="Aptos" w:cs="Arial"/>
          <w:i/>
          <w:iCs/>
          <w:sz w:val="18"/>
          <w:szCs w:val="18"/>
          <w:lang w:val="pt-PT"/>
        </w:rPr>
        <w:t xml:space="preserve"> </w:t>
      </w:r>
    </w:p>
    <w:tbl>
      <w:tblPr>
        <w:tblStyle w:val="Tablaconcuadrcula3"/>
        <w:tblW w:w="0" w:type="auto"/>
        <w:jc w:val="center"/>
        <w:tblLook w:val="04A0" w:firstRow="1" w:lastRow="0" w:firstColumn="1" w:lastColumn="0" w:noHBand="0" w:noVBand="1"/>
      </w:tblPr>
      <w:tblGrid>
        <w:gridCol w:w="4414"/>
        <w:gridCol w:w="4414"/>
      </w:tblGrid>
      <w:tr w:rsidR="00205915" w:rsidRPr="00B450EB" w14:paraId="1099337E" w14:textId="77777777" w:rsidTr="00E82311">
        <w:trPr>
          <w:jc w:val="center"/>
        </w:trPr>
        <w:tc>
          <w:tcPr>
            <w:tcW w:w="4414" w:type="dxa"/>
          </w:tcPr>
          <w:p w14:paraId="01C474EB" w14:textId="77777777" w:rsidR="00826A0D" w:rsidRPr="00B450EB" w:rsidRDefault="00826A0D" w:rsidP="00826A0D">
            <w:pPr>
              <w:jc w:val="center"/>
              <w:rPr>
                <w:rFonts w:eastAsia="Aptos" w:cs="Arial"/>
                <w:sz w:val="18"/>
                <w:szCs w:val="18"/>
              </w:rPr>
            </w:pPr>
            <w:r w:rsidRPr="00B450EB">
              <w:rPr>
                <w:rFonts w:eastAsia="Aptos" w:cs="Arial"/>
                <w:sz w:val="18"/>
                <w:szCs w:val="18"/>
              </w:rPr>
              <w:t>Año 2024</w:t>
            </w:r>
          </w:p>
        </w:tc>
        <w:tc>
          <w:tcPr>
            <w:tcW w:w="4414" w:type="dxa"/>
          </w:tcPr>
          <w:p w14:paraId="68C60ACC" w14:textId="77777777" w:rsidR="00826A0D" w:rsidRPr="00B450EB" w:rsidRDefault="00826A0D" w:rsidP="00826A0D">
            <w:pPr>
              <w:jc w:val="center"/>
              <w:rPr>
                <w:rFonts w:eastAsia="Aptos" w:cs="Arial"/>
                <w:sz w:val="18"/>
                <w:szCs w:val="18"/>
              </w:rPr>
            </w:pPr>
            <w:r w:rsidRPr="00B450EB">
              <w:rPr>
                <w:rFonts w:eastAsia="Aptos" w:cs="Arial"/>
                <w:sz w:val="18"/>
                <w:szCs w:val="18"/>
              </w:rPr>
              <w:t>Año 2006</w:t>
            </w:r>
          </w:p>
        </w:tc>
      </w:tr>
      <w:tr w:rsidR="00205915" w:rsidRPr="00B450EB" w14:paraId="57D99B2F" w14:textId="77777777" w:rsidTr="00E82311">
        <w:trPr>
          <w:jc w:val="center"/>
        </w:trPr>
        <w:tc>
          <w:tcPr>
            <w:tcW w:w="8828" w:type="dxa"/>
            <w:gridSpan w:val="2"/>
            <w:shd w:val="clear" w:color="auto" w:fill="002060"/>
          </w:tcPr>
          <w:p w14:paraId="60592B29" w14:textId="77777777" w:rsidR="00826A0D" w:rsidRPr="00B450EB" w:rsidRDefault="00826A0D" w:rsidP="00826A0D">
            <w:pPr>
              <w:jc w:val="center"/>
              <w:rPr>
                <w:rFonts w:eastAsia="Aptos" w:cs="Arial"/>
                <w:b/>
                <w:bCs/>
                <w:noProof/>
                <w:sz w:val="18"/>
                <w:szCs w:val="18"/>
              </w:rPr>
            </w:pPr>
            <w:r w:rsidRPr="00B450EB">
              <w:rPr>
                <w:rFonts w:eastAsia="Aptos" w:cs="Arial"/>
                <w:b/>
                <w:bCs/>
                <w:noProof/>
                <w:sz w:val="18"/>
                <w:szCs w:val="18"/>
              </w:rPr>
              <w:t>Plan de Manejo Ambiental para el Embalse de Tominé</w:t>
            </w:r>
          </w:p>
        </w:tc>
      </w:tr>
      <w:tr w:rsidR="00205915" w:rsidRPr="00B450EB" w14:paraId="72798960" w14:textId="77777777" w:rsidTr="00E82311">
        <w:trPr>
          <w:jc w:val="center"/>
        </w:trPr>
        <w:tc>
          <w:tcPr>
            <w:tcW w:w="4414" w:type="dxa"/>
          </w:tcPr>
          <w:p w14:paraId="52234B5D" w14:textId="77777777" w:rsidR="00826A0D" w:rsidRPr="00B450EB" w:rsidRDefault="00826A0D" w:rsidP="00826A0D">
            <w:pPr>
              <w:rPr>
                <w:rFonts w:eastAsia="Aptos" w:cs="Arial"/>
                <w:noProof/>
                <w:sz w:val="18"/>
                <w:szCs w:val="18"/>
              </w:rPr>
            </w:pPr>
            <w:r w:rsidRPr="00B450EB">
              <w:rPr>
                <w:rFonts w:eastAsia="Aptos" w:cs="Arial"/>
                <w:noProof/>
                <w:sz w:val="18"/>
                <w:szCs w:val="18"/>
              </w:rPr>
              <w:drawing>
                <wp:inline distT="0" distB="0" distL="0" distR="0" wp14:anchorId="670139A8" wp14:editId="350DCBC2">
                  <wp:extent cx="2520000" cy="2163870"/>
                  <wp:effectExtent l="0" t="0" r="0" b="8255"/>
                  <wp:docPr id="1583338202"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51017" name="Imagen 1" descr="Gráfico&#10;&#10;El contenido generado por IA puede ser incorrecto."/>
                          <pic:cNvPicPr/>
                        </pic:nvPicPr>
                        <pic:blipFill>
                          <a:blip r:embed="rId177"/>
                          <a:stretch>
                            <a:fillRect/>
                          </a:stretch>
                        </pic:blipFill>
                        <pic:spPr>
                          <a:xfrm>
                            <a:off x="0" y="0"/>
                            <a:ext cx="2520000" cy="2163870"/>
                          </a:xfrm>
                          <a:prstGeom prst="rect">
                            <a:avLst/>
                          </a:prstGeom>
                        </pic:spPr>
                      </pic:pic>
                    </a:graphicData>
                  </a:graphic>
                </wp:inline>
              </w:drawing>
            </w:r>
          </w:p>
        </w:tc>
        <w:tc>
          <w:tcPr>
            <w:tcW w:w="4414" w:type="dxa"/>
          </w:tcPr>
          <w:p w14:paraId="2F0F2134" w14:textId="77777777" w:rsidR="00826A0D" w:rsidRPr="00B450EB" w:rsidRDefault="00826A0D" w:rsidP="00826A0D">
            <w:pPr>
              <w:rPr>
                <w:rFonts w:eastAsia="Aptos" w:cs="Arial"/>
                <w:noProof/>
                <w:sz w:val="18"/>
                <w:szCs w:val="18"/>
              </w:rPr>
            </w:pPr>
            <w:r w:rsidRPr="00B450EB">
              <w:rPr>
                <w:rFonts w:eastAsia="Aptos" w:cs="Arial"/>
                <w:noProof/>
                <w:sz w:val="18"/>
                <w:szCs w:val="18"/>
              </w:rPr>
              <w:drawing>
                <wp:inline distT="0" distB="0" distL="0" distR="0" wp14:anchorId="6D4E9044" wp14:editId="7A0162C8">
                  <wp:extent cx="2520000" cy="2196049"/>
                  <wp:effectExtent l="0" t="0" r="0" b="0"/>
                  <wp:docPr id="546883599"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15445" name="Imagen 1" descr="Diagrama&#10;&#10;El contenido generado por IA puede ser incorrecto."/>
                          <pic:cNvPicPr/>
                        </pic:nvPicPr>
                        <pic:blipFill>
                          <a:blip r:embed="rId178"/>
                          <a:stretch>
                            <a:fillRect/>
                          </a:stretch>
                        </pic:blipFill>
                        <pic:spPr>
                          <a:xfrm>
                            <a:off x="0" y="0"/>
                            <a:ext cx="2520000" cy="2196049"/>
                          </a:xfrm>
                          <a:prstGeom prst="rect">
                            <a:avLst/>
                          </a:prstGeom>
                        </pic:spPr>
                      </pic:pic>
                    </a:graphicData>
                  </a:graphic>
                </wp:inline>
              </w:drawing>
            </w:r>
          </w:p>
        </w:tc>
      </w:tr>
    </w:tbl>
    <w:p w14:paraId="3B981EA3" w14:textId="77777777" w:rsidR="00826A0D" w:rsidRPr="00B450EB" w:rsidRDefault="00826A0D" w:rsidP="00826A0D">
      <w:pPr>
        <w:jc w:val="center"/>
        <w:rPr>
          <w:rFonts w:eastAsia="Aptos" w:cs="Arial"/>
        </w:rPr>
      </w:pPr>
      <w:r w:rsidRPr="00B450EB">
        <w:rPr>
          <w:rFonts w:eastAsia="Aptos" w:cs="Arial"/>
          <w:sz w:val="18"/>
          <w:szCs w:val="18"/>
        </w:rPr>
        <w:t>Fuente: MADS; 2025 con información GRCM ANLA, 2025.</w:t>
      </w:r>
    </w:p>
    <w:p w14:paraId="7A298A39" w14:textId="77777777" w:rsidR="00826A0D" w:rsidRPr="00B450EB" w:rsidRDefault="00826A0D" w:rsidP="00826A0D">
      <w:pPr>
        <w:rPr>
          <w:rFonts w:eastAsia="Aptos" w:cs="Arial"/>
        </w:rPr>
      </w:pPr>
      <w:r w:rsidRPr="00B450EB">
        <w:rPr>
          <w:rFonts w:eastAsia="Aptos" w:cs="Arial"/>
        </w:rPr>
        <w:lastRenderedPageBreak/>
        <w:t xml:space="preserve">De las figuras presentadas se observa que, al comparar los dos cortes analizados (2006 y 2024), se mantiene la predominancia del transporte de masas de aire con componente sur (proveniente de la Amazonia), independiente del sector específico del bioma involucrado. No obstante, entre 2006 y 2024 se evidencia una disminución en la frecuencia del clúster que representa el transporte desde el sur del país. Esta reducción es más marcada para las hidroeléctricas de Canoas, Salto II, </w:t>
      </w:r>
      <w:proofErr w:type="spellStart"/>
      <w:r w:rsidRPr="00B450EB">
        <w:rPr>
          <w:rFonts w:eastAsia="Aptos" w:cs="Arial"/>
        </w:rPr>
        <w:t>Laguneta</w:t>
      </w:r>
      <w:proofErr w:type="spellEnd"/>
      <w:r w:rsidRPr="00B450EB">
        <w:rPr>
          <w:rFonts w:eastAsia="Aptos" w:cs="Arial"/>
        </w:rPr>
        <w:t xml:space="preserve"> y Darío Valencia Samper, así como para Paraíso (Cadena de Generación del río Bogotá) y Chivor, donde la contribución del clúster amazónico se ubica en el periodo de referencia en un intervalo aproximado entre 44 % y 73 %.</w:t>
      </w:r>
    </w:p>
    <w:p w14:paraId="255E116B" w14:textId="50AE3642" w:rsidR="00FD7578" w:rsidRPr="00B450EB" w:rsidRDefault="00FD7578" w:rsidP="00FD7578">
      <w:pPr>
        <w:pStyle w:val="NormalWeb"/>
        <w:spacing w:line="276" w:lineRule="auto"/>
        <w:jc w:val="both"/>
        <w:rPr>
          <w:rFonts w:ascii="Arial" w:eastAsiaTheme="minorHAnsi" w:hAnsi="Arial" w:cs="Arial"/>
          <w:kern w:val="2"/>
          <w:lang w:val="es-CO"/>
          <w14:ligatures w14:val="standardContextual"/>
        </w:rPr>
      </w:pPr>
      <w:r w:rsidRPr="00B450EB">
        <w:rPr>
          <w:rFonts w:ascii="Arial" w:eastAsiaTheme="minorHAnsi" w:hAnsi="Arial" w:cs="Arial"/>
          <w:kern w:val="2"/>
          <w:lang w:val="es-CO"/>
          <w14:ligatures w14:val="standardContextual"/>
        </w:rPr>
        <w:t xml:space="preserve">Desde la perspectiva socioeconómica, la disminución de aportes hidrológicos desde la Amazonía hacia los embalses del Sistema Interconectado Nacional, evidenciada durante eventos de variabilidad climática como el Fenómeno del Niño 2023-2024, constituye un riesgo significativo no solo para la confiabilidad de la generación hidroeléctrica, sino también para las comunidades que dependen de los servicios ecosistémicos del bioma amazónico. </w:t>
      </w:r>
      <w:r w:rsidR="00605A6F" w:rsidRPr="00B450EB">
        <w:rPr>
          <w:rFonts w:ascii="Arial" w:eastAsiaTheme="minorHAnsi" w:hAnsi="Arial" w:cs="Arial"/>
          <w:kern w:val="2"/>
          <w:lang w:val="es-CO"/>
          <w14:ligatures w14:val="standardContextual"/>
        </w:rPr>
        <w:t>s</w:t>
      </w:r>
      <w:r w:rsidRPr="00B450EB">
        <w:rPr>
          <w:rFonts w:ascii="Arial" w:eastAsiaTheme="minorHAnsi" w:hAnsi="Arial" w:cs="Arial"/>
          <w:kern w:val="2"/>
          <w:lang w:val="es-CO"/>
          <w14:ligatures w14:val="standardContextual"/>
        </w:rPr>
        <w:t>ocial y económic</w:t>
      </w:r>
      <w:r w:rsidR="00605A6F" w:rsidRPr="00B450EB">
        <w:rPr>
          <w:rFonts w:ascii="Arial" w:eastAsiaTheme="minorHAnsi" w:hAnsi="Arial" w:cs="Arial"/>
          <w:kern w:val="2"/>
          <w:lang w:val="es-CO"/>
          <w14:ligatures w14:val="standardContextual"/>
        </w:rPr>
        <w:t>o</w:t>
      </w:r>
      <w:r w:rsidRPr="00B450EB">
        <w:rPr>
          <w:rFonts w:ascii="Arial" w:eastAsiaTheme="minorHAnsi" w:hAnsi="Arial" w:cs="Arial"/>
          <w:kern w:val="2"/>
          <w:lang w:val="es-CO"/>
          <w14:ligatures w14:val="standardContextual"/>
        </w:rPr>
        <w:t>, esta situación puede afectar la seguridad energética, incrementar los costos de acceso a servicios básicos y poner en riesgo actividades productivas locales, como la pesca, la agricultura de subsistencia y la recolección forestal, profundizando la vulnerabilidad de los medios de vida tradicionales. Adicionalmente, los cambios en la dinámica de los “ríos voladores” y la reducción de humedad impactan la biodiversidad, generando posibles pérdidas de especies endémicas sobre los cuales se sustentan prácticas culturales y saberes ancestrales. Estas transformaciones afectan derechos fundamentales de las comunidades, incluyendo alimentación, salud, educación y acceso a un ambiente sano, incrementando su exposición a riesgos socioeconómicos acumulativos.</w:t>
      </w:r>
    </w:p>
    <w:p w14:paraId="06DDE842" w14:textId="44B1F7D3" w:rsidR="00284945" w:rsidRPr="00B450EB" w:rsidRDefault="00284945" w:rsidP="00284945">
      <w:pPr>
        <w:rPr>
          <w:rFonts w:eastAsia="Aptos" w:cs="Arial"/>
        </w:rPr>
      </w:pPr>
      <w:r w:rsidRPr="00B450EB">
        <w:rPr>
          <w:rFonts w:eastAsia="Aptos" w:cs="Arial"/>
        </w:rPr>
        <w:t xml:space="preserve">Si bien la dinámica continental entre la trayectoria del viento y humedad del Bioma Amazónico y la cordillera de Los Andes ha sido documentado y es demostrable desde diferentes ramas de la ciencia, la modelación de trayectorias de HYSPLIT presentada, el estudio de la huella isotópica del páramo de Chingaza y la dinámica de las fuentes de humedad del centro-oriente del país durante eventos del Fenómeno del Niño son indicios de la dependencia de las lluvias </w:t>
      </w:r>
      <w:r w:rsidR="00A56963" w:rsidRPr="00B450EB">
        <w:rPr>
          <w:rFonts w:eastAsia="Aptos" w:cs="Arial"/>
        </w:rPr>
        <w:t>de esta zona</w:t>
      </w:r>
      <w:r w:rsidRPr="00B450EB">
        <w:rPr>
          <w:rFonts w:eastAsia="Aptos" w:cs="Arial"/>
        </w:rPr>
        <w:t xml:space="preserve"> </w:t>
      </w:r>
      <w:r w:rsidR="00A56963" w:rsidRPr="00B450EB">
        <w:rPr>
          <w:rFonts w:eastAsia="Aptos" w:cs="Arial"/>
        </w:rPr>
        <w:t>d</w:t>
      </w:r>
      <w:r w:rsidRPr="00B450EB">
        <w:rPr>
          <w:rFonts w:eastAsia="Aptos" w:cs="Arial"/>
        </w:rPr>
        <w:t>el país con el bioma Amazónico colombiano.  Estos indicios, aunque sustentados en datos, deben ser la pauta para estudios más robustos y detallados, más aún si se concluye que el flujo de humedad proveniente del bioma Amazónico es esencial para contrarrestar los eventos de déficit hídricos como el ocurrido entre 2023 – 2024.  El debilitamiento de este fenómeno meteorológico en Colombia puede significar un riesgo inminente frente a la oferta hídrica de Bogotá y la confiabilidad del Sistema Interconectado Nacional, que actualmente depende en mayor proporción de la generación hidráulica.</w:t>
      </w:r>
    </w:p>
    <w:p w14:paraId="3999EE37" w14:textId="69CC0480" w:rsidR="00C35356" w:rsidRPr="00B450EB" w:rsidRDefault="0026073D" w:rsidP="001C1081">
      <w:pPr>
        <w:pStyle w:val="Prrafodelista"/>
        <w:numPr>
          <w:ilvl w:val="1"/>
          <w:numId w:val="16"/>
        </w:numPr>
        <w:spacing w:before="240" w:after="240"/>
        <w:outlineLvl w:val="1"/>
        <w:rPr>
          <w:b/>
        </w:rPr>
      </w:pPr>
      <w:bookmarkStart w:id="240" w:name="_Toc209722965"/>
      <w:r w:rsidRPr="00B450EB">
        <w:rPr>
          <w:b/>
        </w:rPr>
        <w:lastRenderedPageBreak/>
        <w:t xml:space="preserve">Incremento en la </w:t>
      </w:r>
      <w:r w:rsidR="006D5E63" w:rsidRPr="00B450EB">
        <w:rPr>
          <w:b/>
        </w:rPr>
        <w:t xml:space="preserve">Pérdida de biodiversidad y </w:t>
      </w:r>
      <w:r w:rsidRPr="00B450EB">
        <w:rPr>
          <w:b/>
        </w:rPr>
        <w:t>conectividad</w:t>
      </w:r>
      <w:r w:rsidR="005F4B89" w:rsidRPr="00B450EB">
        <w:rPr>
          <w:b/>
        </w:rPr>
        <w:t xml:space="preserve"> del paisaje</w:t>
      </w:r>
      <w:bookmarkEnd w:id="240"/>
      <w:r w:rsidR="009233B9" w:rsidRPr="00B450EB">
        <w:rPr>
          <w:b/>
        </w:rPr>
        <w:t xml:space="preserve"> </w:t>
      </w:r>
    </w:p>
    <w:p w14:paraId="22A7423A" w14:textId="14277572" w:rsidR="009D3942" w:rsidRPr="00B450EB" w:rsidRDefault="00F92774" w:rsidP="00602D1A">
      <w:r w:rsidRPr="00B450EB">
        <w:t xml:space="preserve">Teniendo en cuenta la </w:t>
      </w:r>
      <w:r w:rsidR="003D2B8C" w:rsidRPr="00B450EB">
        <w:t>r</w:t>
      </w:r>
      <w:r w:rsidR="00326B77" w:rsidRPr="00B450EB">
        <w:t>á</w:t>
      </w:r>
      <w:r w:rsidR="003D2B8C" w:rsidRPr="00B450EB">
        <w:t xml:space="preserve">pida </w:t>
      </w:r>
      <w:r w:rsidR="00AF2088" w:rsidRPr="00B450EB">
        <w:t>caída</w:t>
      </w:r>
      <w:r w:rsidR="003D2B8C" w:rsidRPr="00B450EB">
        <w:t xml:space="preserve"> en los tama</w:t>
      </w:r>
      <w:r w:rsidR="00326B77" w:rsidRPr="00B450EB">
        <w:t>ños poblacionales de varias especies amazónicas en los a</w:t>
      </w:r>
      <w:r w:rsidR="00E543BA" w:rsidRPr="00B450EB">
        <w:t>ños recientes</w:t>
      </w:r>
      <w:r w:rsidR="00602D1A" w:rsidRPr="00B450EB">
        <w:t xml:space="preserve">, </w:t>
      </w:r>
      <w:r w:rsidR="0026073D" w:rsidRPr="00B450EB">
        <w:t>ocasionada principalmente por la degradación de los bosques</w:t>
      </w:r>
      <w:r w:rsidR="00602D1A" w:rsidRPr="00B450EB">
        <w:t xml:space="preserve"> (</w:t>
      </w:r>
      <w:r w:rsidR="005C7E22" w:rsidRPr="00B450EB">
        <w:t xml:space="preserve">WWF 2016, </w:t>
      </w:r>
      <w:r w:rsidR="00602D1A" w:rsidRPr="00B450EB">
        <w:t>Escobar 2019)</w:t>
      </w:r>
      <w:r w:rsidR="0026073D" w:rsidRPr="00B450EB">
        <w:t>,</w:t>
      </w:r>
      <w:r w:rsidR="005F4B89" w:rsidRPr="00B450EB">
        <w:t xml:space="preserve"> </w:t>
      </w:r>
      <w:r w:rsidR="002E6933" w:rsidRPr="00B450EB">
        <w:t>la probabilidad de que esto aumente a un mayor número de especies</w:t>
      </w:r>
      <w:r w:rsidR="004E4936" w:rsidRPr="00B450EB">
        <w:t xml:space="preserve"> es notable, especialmente si se considera </w:t>
      </w:r>
      <w:r w:rsidR="00C0117B" w:rsidRPr="00B450EB">
        <w:t>el aumento en la pérdida de cobertura de bosques que se ha observado para el bioma amazónico colombiano</w:t>
      </w:r>
      <w:r w:rsidR="00187C99" w:rsidRPr="00B450EB">
        <w:t>.</w:t>
      </w:r>
      <w:r w:rsidR="00291FE0" w:rsidRPr="00B450EB">
        <w:t xml:space="preserve"> Asimismo, la pérdida acelerada de cobertura forestal —en particular en el Amazonas y sus regiones de transición con los Andes— reduce drásticamente la conectividad ecológica, fragmenta los hábitats y compromete la capacidad de los ecosistemas para moderar las variaciones térmicas e hídricas (</w:t>
      </w:r>
      <w:proofErr w:type="spellStart"/>
      <w:r w:rsidR="00291FE0" w:rsidRPr="00B450EB">
        <w:t>Butt</w:t>
      </w:r>
      <w:proofErr w:type="spellEnd"/>
      <w:r w:rsidR="00291FE0" w:rsidRPr="00B450EB">
        <w:t xml:space="preserve"> et al., 2023).</w:t>
      </w:r>
      <w:r w:rsidR="009D3942" w:rsidRPr="00B450EB">
        <w:t xml:space="preserve"> </w:t>
      </w:r>
    </w:p>
    <w:p w14:paraId="1D2EB38B" w14:textId="062B7819" w:rsidR="00B64531" w:rsidRPr="00B450EB" w:rsidRDefault="00523EE4" w:rsidP="00BC4BA2">
      <w:r w:rsidRPr="00B450EB">
        <w:t xml:space="preserve">La degradación de bosques </w:t>
      </w:r>
      <w:r w:rsidR="00151150" w:rsidRPr="00B450EB">
        <w:t xml:space="preserve">se consolida como la principal causa </w:t>
      </w:r>
      <w:r w:rsidR="000B4360" w:rsidRPr="00B450EB">
        <w:t xml:space="preserve">de pérdida de hábitat </w:t>
      </w:r>
      <w:r w:rsidRPr="00B450EB">
        <w:t xml:space="preserve">para la </w:t>
      </w:r>
      <w:r w:rsidR="00E62C0F" w:rsidRPr="00B450EB">
        <w:t xml:space="preserve">fauna y </w:t>
      </w:r>
      <w:r w:rsidRPr="00B450EB">
        <w:t xml:space="preserve">flora </w:t>
      </w:r>
      <w:r w:rsidR="00E62C0F" w:rsidRPr="00B450EB">
        <w:t xml:space="preserve">de </w:t>
      </w:r>
      <w:r w:rsidRPr="00B450EB">
        <w:t>la Amazon</w:t>
      </w:r>
      <w:proofErr w:type="spellStart"/>
      <w:r w:rsidRPr="00B450EB">
        <w:rPr>
          <w:lang w:val="es-ES"/>
        </w:rPr>
        <w:t>ía</w:t>
      </w:r>
      <w:proofErr w:type="spellEnd"/>
      <w:r w:rsidRPr="00B450EB">
        <w:rPr>
          <w:lang w:val="es-ES"/>
        </w:rPr>
        <w:t xml:space="preserve"> </w:t>
      </w:r>
      <w:r w:rsidR="00E62C0F" w:rsidRPr="00B450EB">
        <w:t>ya que</w:t>
      </w:r>
      <w:r w:rsidR="001F1829" w:rsidRPr="00B450EB">
        <w:t xml:space="preserve"> las poblaciones no tendrían espacio y recursos suficientes que permitan su viabilidad biológica</w:t>
      </w:r>
      <w:r w:rsidR="000F7A55" w:rsidRPr="00B450EB">
        <w:t>. P</w:t>
      </w:r>
      <w:r w:rsidRPr="00B450EB">
        <w:t>or ejemplo</w:t>
      </w:r>
      <w:r w:rsidR="001F1829" w:rsidRPr="00B450EB">
        <w:t>,</w:t>
      </w:r>
      <w:r w:rsidR="00210D2C" w:rsidRPr="00B450EB">
        <w:t xml:space="preserve"> el réptil </w:t>
      </w:r>
      <w:proofErr w:type="spellStart"/>
      <w:r w:rsidR="00210D2C" w:rsidRPr="00B450EB">
        <w:rPr>
          <w:i/>
        </w:rPr>
        <w:t>Morunasaurus</w:t>
      </w:r>
      <w:proofErr w:type="spellEnd"/>
      <w:r w:rsidR="00210D2C" w:rsidRPr="00B450EB">
        <w:rPr>
          <w:i/>
        </w:rPr>
        <w:t xml:space="preserve"> </w:t>
      </w:r>
      <w:proofErr w:type="spellStart"/>
      <w:r w:rsidR="00210D2C" w:rsidRPr="00B450EB">
        <w:rPr>
          <w:i/>
        </w:rPr>
        <w:t>annularis</w:t>
      </w:r>
      <w:proofErr w:type="spellEnd"/>
      <w:r w:rsidR="00210D2C" w:rsidRPr="00B450EB">
        <w:t xml:space="preserve"> (</w:t>
      </w:r>
      <w:r w:rsidR="00900476" w:rsidRPr="00B450EB">
        <w:t>VULNERABLE, departamento del Putumayo)</w:t>
      </w:r>
      <w:r w:rsidR="00147B3F" w:rsidRPr="00B450EB">
        <w:t xml:space="preserve">, o el árbol </w:t>
      </w:r>
      <w:proofErr w:type="spellStart"/>
      <w:r w:rsidR="00147B3F" w:rsidRPr="00B450EB">
        <w:rPr>
          <w:i/>
          <w:iCs/>
        </w:rPr>
        <w:t>Bertholletia</w:t>
      </w:r>
      <w:proofErr w:type="spellEnd"/>
      <w:r w:rsidR="00147B3F" w:rsidRPr="00B450EB">
        <w:rPr>
          <w:i/>
          <w:iCs/>
        </w:rPr>
        <w:t xml:space="preserve"> excelsa</w:t>
      </w:r>
      <w:r w:rsidR="00147B3F" w:rsidRPr="00B450EB">
        <w:t xml:space="preserve"> “nuez del Pará” (VULNERABLE, departamentos de Vaupés y Amazonas)</w:t>
      </w:r>
      <w:r w:rsidR="00D61040" w:rsidRPr="00B450EB">
        <w:t xml:space="preserve">, este </w:t>
      </w:r>
      <w:r w:rsidR="00D61040" w:rsidRPr="00B450EB">
        <w:rPr>
          <w:lang w:val="es-ES"/>
        </w:rPr>
        <w:t>último,</w:t>
      </w:r>
      <w:r w:rsidR="00C45F75" w:rsidRPr="00B450EB">
        <w:t xml:space="preserve"> que a su vez depende de la protección del hábitat de sus polinizadores</w:t>
      </w:r>
      <w:r w:rsidR="00C246FA" w:rsidRPr="00B450EB">
        <w:t xml:space="preserve"> específicos</w:t>
      </w:r>
      <w:r w:rsidR="00C45F75" w:rsidRPr="00B450EB">
        <w:t xml:space="preserve"> </w:t>
      </w:r>
      <w:r w:rsidR="00C246FA" w:rsidRPr="00B450EB">
        <w:t xml:space="preserve">que son abejas de la subfamilia </w:t>
      </w:r>
      <w:proofErr w:type="spellStart"/>
      <w:r w:rsidR="00C246FA" w:rsidRPr="00B450EB">
        <w:t>Euglossinae</w:t>
      </w:r>
      <w:proofErr w:type="spellEnd"/>
      <w:r w:rsidR="00147B3F" w:rsidRPr="00B450EB">
        <w:t xml:space="preserve">. </w:t>
      </w:r>
      <w:r w:rsidR="00B64531" w:rsidRPr="00B450EB">
        <w:t xml:space="preserve">Asimismo, incluso con pérdidas de hábitat a </w:t>
      </w:r>
      <w:r w:rsidR="00E23B1F" w:rsidRPr="00B450EB">
        <w:t xml:space="preserve">menor escala, es </w:t>
      </w:r>
      <w:r w:rsidR="0036470A" w:rsidRPr="00B450EB">
        <w:t xml:space="preserve">probable que se puedan ver afectadas poblaciones de fauna </w:t>
      </w:r>
      <w:r w:rsidR="00FB49DF" w:rsidRPr="00B450EB">
        <w:t xml:space="preserve">cuya principal amenaza es la </w:t>
      </w:r>
      <w:r w:rsidR="0036470A" w:rsidRPr="00B450EB">
        <w:t xml:space="preserve">distribución muy restringida, como por ejemplo el escarabajo rinoceronte </w:t>
      </w:r>
      <w:proofErr w:type="spellStart"/>
      <w:r w:rsidR="0036470A" w:rsidRPr="00B450EB">
        <w:rPr>
          <w:i/>
          <w:iCs/>
        </w:rPr>
        <w:t>Megasoma</w:t>
      </w:r>
      <w:proofErr w:type="spellEnd"/>
      <w:r w:rsidR="0036470A" w:rsidRPr="00B450EB">
        <w:rPr>
          <w:i/>
          <w:iCs/>
        </w:rPr>
        <w:t xml:space="preserve"> </w:t>
      </w:r>
      <w:proofErr w:type="spellStart"/>
      <w:r w:rsidR="0036470A" w:rsidRPr="00B450EB">
        <w:rPr>
          <w:i/>
          <w:iCs/>
        </w:rPr>
        <w:t>mars</w:t>
      </w:r>
      <w:proofErr w:type="spellEnd"/>
      <w:r w:rsidR="0036470A" w:rsidRPr="00B450EB">
        <w:rPr>
          <w:i/>
          <w:iCs/>
        </w:rPr>
        <w:t xml:space="preserve"> </w:t>
      </w:r>
      <w:r w:rsidR="0036470A" w:rsidRPr="00B450EB">
        <w:t>(EN PELIGRO</w:t>
      </w:r>
      <w:r w:rsidRPr="00B450EB">
        <w:t>, departamento de Amazonas</w:t>
      </w:r>
      <w:r w:rsidR="0036470A" w:rsidRPr="00B450EB">
        <w:t>)</w:t>
      </w:r>
      <w:r w:rsidR="0047178E" w:rsidRPr="00B450EB">
        <w:t xml:space="preserve"> o la palma </w:t>
      </w:r>
      <w:proofErr w:type="spellStart"/>
      <w:r w:rsidR="00120A6C" w:rsidRPr="00B450EB">
        <w:rPr>
          <w:i/>
          <w:iCs/>
        </w:rPr>
        <w:t>Oenocarpus</w:t>
      </w:r>
      <w:proofErr w:type="spellEnd"/>
      <w:r w:rsidR="00120A6C" w:rsidRPr="00B450EB">
        <w:rPr>
          <w:i/>
          <w:iCs/>
        </w:rPr>
        <w:t xml:space="preserve"> </w:t>
      </w:r>
      <w:proofErr w:type="spellStart"/>
      <w:r w:rsidR="00120A6C" w:rsidRPr="00B450EB">
        <w:rPr>
          <w:i/>
          <w:iCs/>
        </w:rPr>
        <w:t>circumtextus</w:t>
      </w:r>
      <w:proofErr w:type="spellEnd"/>
      <w:r w:rsidR="00120A6C" w:rsidRPr="00B450EB">
        <w:t xml:space="preserve"> (VULNERABLE, departamento de Amazonas)</w:t>
      </w:r>
      <w:r w:rsidR="00BC4BA2" w:rsidRPr="00B450EB">
        <w:t>, esta última restringida a un área muy pequeña de afloramientos de arenisca en el Cerro Yupatí y áreas aledañas</w:t>
      </w:r>
      <w:r w:rsidR="00FB49DF" w:rsidRPr="00B450EB">
        <w:t>.</w:t>
      </w:r>
    </w:p>
    <w:p w14:paraId="783546BA" w14:textId="3CBFAE22" w:rsidR="00F5109D" w:rsidRPr="00B450EB" w:rsidRDefault="00E40B26" w:rsidP="00F5109D">
      <w:r w:rsidRPr="00B450EB">
        <w:t xml:space="preserve">Si bien estas afectaciones serían generales para todos los organismos, algunos tendrían impactos mayores o más rápidos. Por ejemplo, numerosas investigaciones sobre insectos acuáticos en la Amazonia se han enfocado en la calidad del agua, dado que estos organismos son altamente sensibles a la pérdida de cobertura forestal y a otras alteraciones de origen antrópico (Hamada et al., 2014). Esta sensibilidad es especialmente evidente en los estadios larvales de órdenes como </w:t>
      </w:r>
      <w:proofErr w:type="spellStart"/>
      <w:r w:rsidRPr="00B450EB">
        <w:t>Ephemeroptera</w:t>
      </w:r>
      <w:proofErr w:type="spellEnd"/>
      <w:r w:rsidRPr="00B450EB">
        <w:t xml:space="preserve">, </w:t>
      </w:r>
      <w:proofErr w:type="spellStart"/>
      <w:r w:rsidRPr="00B450EB">
        <w:t>Trichoptera</w:t>
      </w:r>
      <w:proofErr w:type="spellEnd"/>
      <w:r w:rsidRPr="00B450EB">
        <w:t xml:space="preserve">, </w:t>
      </w:r>
      <w:proofErr w:type="spellStart"/>
      <w:r w:rsidRPr="00B450EB">
        <w:t>Diptera</w:t>
      </w:r>
      <w:proofErr w:type="spellEnd"/>
      <w:r w:rsidRPr="00B450EB">
        <w:t xml:space="preserve">, </w:t>
      </w:r>
      <w:proofErr w:type="spellStart"/>
      <w:r w:rsidRPr="00B450EB">
        <w:t>Plecoptera</w:t>
      </w:r>
      <w:proofErr w:type="spellEnd"/>
      <w:r w:rsidRPr="00B450EB">
        <w:t xml:space="preserve"> y </w:t>
      </w:r>
      <w:proofErr w:type="spellStart"/>
      <w:r w:rsidRPr="00B450EB">
        <w:t>Odonata</w:t>
      </w:r>
      <w:proofErr w:type="spellEnd"/>
      <w:r w:rsidRPr="00B450EB">
        <w:t xml:space="preserve"> (Brito et al., 2020). </w:t>
      </w:r>
      <w:r w:rsidR="00F5109D" w:rsidRPr="00B450EB">
        <w:t xml:space="preserve">La disminución de poblaciones de insectos acuáticos ocasionada por la deforestación puede repercutir directamente en la ictiofauna, puesto que las larvas constituyen una fuente esencial de alimento para numerosas especies de peces pequeños y medianos. </w:t>
      </w:r>
    </w:p>
    <w:p w14:paraId="0710D83D" w14:textId="2EE7405D" w:rsidR="00E40B26" w:rsidRPr="00B450EB" w:rsidRDefault="00E40B26" w:rsidP="00602D1A">
      <w:r w:rsidRPr="00B450EB">
        <w:t xml:space="preserve">Otro ejemplo es la abeja </w:t>
      </w:r>
      <w:proofErr w:type="spellStart"/>
      <w:r w:rsidRPr="00B450EB">
        <w:rPr>
          <w:i/>
          <w:iCs/>
        </w:rPr>
        <w:t>Melipona</w:t>
      </w:r>
      <w:proofErr w:type="spellEnd"/>
      <w:r w:rsidRPr="00B450EB">
        <w:rPr>
          <w:i/>
          <w:iCs/>
        </w:rPr>
        <w:t xml:space="preserve"> </w:t>
      </w:r>
      <w:proofErr w:type="spellStart"/>
      <w:r w:rsidRPr="00B450EB">
        <w:rPr>
          <w:i/>
          <w:iCs/>
        </w:rPr>
        <w:t>eb</w:t>
      </w:r>
      <w:r w:rsidR="000E0A01" w:rsidRPr="00B450EB">
        <w:rPr>
          <w:i/>
          <w:iCs/>
        </w:rPr>
        <w:t>u</w:t>
      </w:r>
      <w:r w:rsidRPr="00B450EB">
        <w:rPr>
          <w:i/>
          <w:iCs/>
        </w:rPr>
        <w:t>rnea</w:t>
      </w:r>
      <w:proofErr w:type="spellEnd"/>
      <w:r w:rsidRPr="00B450EB">
        <w:rPr>
          <w:i/>
          <w:iCs/>
        </w:rPr>
        <w:t xml:space="preserve"> </w:t>
      </w:r>
      <w:r w:rsidRPr="00B450EB">
        <w:t xml:space="preserve">(VULNERABLE, departamento de Amazonas), cuyos individuos son muy sensibles a la perturbación de su hábitat y la </w:t>
      </w:r>
      <w:r w:rsidRPr="00B450EB">
        <w:lastRenderedPageBreak/>
        <w:t xml:space="preserve">deforestación generalizada reduce sus sitios de anidación, ya que nidifican en agujeros de árboles vivos o muertos. Por lo cual es probable que el riesgo de cambio negativo sea mayor en grupos más vulnerables a los cambios. </w:t>
      </w:r>
    </w:p>
    <w:p w14:paraId="1F3E08E7" w14:textId="4C6A981A" w:rsidR="00493B60" w:rsidRPr="00B450EB" w:rsidRDefault="00B64531" w:rsidP="00581070">
      <w:r w:rsidRPr="00B450EB">
        <w:t>Aunque</w:t>
      </w:r>
      <w:r w:rsidR="00F36D6D" w:rsidRPr="00B450EB">
        <w:t xml:space="preserve"> actualmente la riqueza de especies en el bioma amazónico sigue siendo muy alta, existe una amplia vulnerabilidad a las principales amenazas</w:t>
      </w:r>
      <w:r w:rsidR="00E24D59" w:rsidRPr="00B450EB">
        <w:t xml:space="preserve"> que en su conjunto aportan a la pérdida y degradación de los bosques</w:t>
      </w:r>
      <w:r w:rsidR="00660AEE" w:rsidRPr="00B450EB">
        <w:t>, siendo estas principalmente: la extracción de hidrocarburos, la construcción de v</w:t>
      </w:r>
      <w:r w:rsidR="003E1C13" w:rsidRPr="00B450EB">
        <w:t xml:space="preserve">ías o </w:t>
      </w:r>
      <w:r w:rsidR="00660AEE" w:rsidRPr="00B450EB">
        <w:t>carreteras, la deforestación, la conversión de hábitats naturales para la agricultura, y la colonización, el sobrepastoreo y los fuegos antropogénicos</w:t>
      </w:r>
      <w:r w:rsidR="003E1C13" w:rsidRPr="00B450EB">
        <w:t xml:space="preserve"> (</w:t>
      </w:r>
      <w:proofErr w:type="spellStart"/>
      <w:r w:rsidR="003E1C13" w:rsidRPr="00B450EB">
        <w:t>Morrone</w:t>
      </w:r>
      <w:proofErr w:type="spellEnd"/>
      <w:r w:rsidR="003E1C13" w:rsidRPr="00B450EB">
        <w:t xml:space="preserve"> 2017)</w:t>
      </w:r>
      <w:r w:rsidR="00660AEE" w:rsidRPr="00B450EB">
        <w:t>.</w:t>
      </w:r>
      <w:r w:rsidR="00B64FAA" w:rsidRPr="00B450EB">
        <w:t xml:space="preserve"> </w:t>
      </w:r>
    </w:p>
    <w:p w14:paraId="2D5FE37C" w14:textId="1E132EE5" w:rsidR="00581070" w:rsidRPr="00B450EB" w:rsidRDefault="00CF25FA" w:rsidP="00581070">
      <w:r w:rsidRPr="00B450EB">
        <w:t>Estas afectaciones se traducen en cambios sobre el hábitat de muchas especies</w:t>
      </w:r>
      <w:r w:rsidR="00A67822" w:rsidRPr="00B450EB">
        <w:t xml:space="preserve">, los cuales hacen parte de un sistema complejo que incluye distintos organismos, </w:t>
      </w:r>
      <w:r w:rsidR="00957FF1" w:rsidRPr="00B450EB">
        <w:t>ambientes</w:t>
      </w:r>
      <w:r w:rsidR="00434D85" w:rsidRPr="00B450EB">
        <w:t xml:space="preserve"> y </w:t>
      </w:r>
      <w:r w:rsidR="00957FF1" w:rsidRPr="00B450EB">
        <w:t>múltiples interacciones ecológicas</w:t>
      </w:r>
      <w:r w:rsidR="001A66CB" w:rsidRPr="00B450EB">
        <w:t xml:space="preserve">, que en caso de </w:t>
      </w:r>
      <w:r w:rsidR="00EF49C3" w:rsidRPr="00B450EB">
        <w:t>desbalancearse</w:t>
      </w:r>
      <w:r w:rsidR="001A66CB" w:rsidRPr="00B450EB">
        <w:t xml:space="preserve"> pueden ocasionar </w:t>
      </w:r>
      <w:r w:rsidR="00F150FC" w:rsidRPr="00B450EB">
        <w:t>fallas en esta</w:t>
      </w:r>
      <w:r w:rsidR="001A66CB" w:rsidRPr="00B450EB">
        <w:t xml:space="preserve"> </w:t>
      </w:r>
      <w:r w:rsidR="00EF49C3" w:rsidRPr="00B450EB">
        <w:t>auto catálisis</w:t>
      </w:r>
      <w:r w:rsidR="00851E46" w:rsidRPr="00B450EB">
        <w:t xml:space="preserve"> (la riqueza que está generando más riqueza continuamente)</w:t>
      </w:r>
      <w:r w:rsidR="00F150FC" w:rsidRPr="00B450EB">
        <w:t xml:space="preserve">, ampliando </w:t>
      </w:r>
      <w:r w:rsidR="00ED0943" w:rsidRPr="00B450EB">
        <w:t xml:space="preserve">las afectaciones de poblaciones de especies singulares a comunidades y </w:t>
      </w:r>
      <w:r w:rsidR="00434D85" w:rsidRPr="00B450EB">
        <w:t>hasta</w:t>
      </w:r>
      <w:r w:rsidR="00ED0943" w:rsidRPr="00B450EB">
        <w:t xml:space="preserve"> la función de</w:t>
      </w:r>
      <w:r w:rsidR="00434D85" w:rsidRPr="00B450EB">
        <w:t>l ecosistema</w:t>
      </w:r>
      <w:r w:rsidR="00581070" w:rsidRPr="00B450EB">
        <w:t xml:space="preserve"> (</w:t>
      </w:r>
      <w:proofErr w:type="spellStart"/>
      <w:r w:rsidR="00581070" w:rsidRPr="00B450EB">
        <w:t>Sombroek</w:t>
      </w:r>
      <w:proofErr w:type="spellEnd"/>
      <w:r w:rsidR="00581070" w:rsidRPr="00B450EB">
        <w:t xml:space="preserve"> 2000; Albert et al. 2011b; </w:t>
      </w:r>
      <w:proofErr w:type="spellStart"/>
      <w:r w:rsidR="00581070" w:rsidRPr="00B450EB">
        <w:t>Dáttilo</w:t>
      </w:r>
      <w:proofErr w:type="spellEnd"/>
      <w:r w:rsidR="00581070" w:rsidRPr="00B450EB">
        <w:t xml:space="preserve"> and Dyer 2014).</w:t>
      </w:r>
    </w:p>
    <w:p w14:paraId="46CFCB0A" w14:textId="3DD454AB" w:rsidR="001F6344" w:rsidRPr="00B450EB" w:rsidRDefault="00CB14A2" w:rsidP="001F6344">
      <w:r w:rsidRPr="00B450EB">
        <w:t>Ejemplo de lo anterior, puede darse al afectar</w:t>
      </w:r>
      <w:r w:rsidR="00071D11" w:rsidRPr="00B450EB">
        <w:t xml:space="preserve">se el hábitat de una única especie, si es que esta resulta ser </w:t>
      </w:r>
      <w:r w:rsidR="000736EF" w:rsidRPr="00B450EB">
        <w:t xml:space="preserve">un eslabón clave del ecosistema. </w:t>
      </w:r>
      <w:r w:rsidR="00B51BF1" w:rsidRPr="00B450EB">
        <w:t>Tal es el caso del “coporo” o “sábalo” (</w:t>
      </w:r>
      <w:proofErr w:type="spellStart"/>
      <w:r w:rsidR="00B51BF1" w:rsidRPr="00B450EB">
        <w:rPr>
          <w:i/>
        </w:rPr>
        <w:t>Prochilodus</w:t>
      </w:r>
      <w:proofErr w:type="spellEnd"/>
      <w:r w:rsidR="00B51BF1" w:rsidRPr="00B450EB">
        <w:rPr>
          <w:i/>
        </w:rPr>
        <w:t xml:space="preserve"> </w:t>
      </w:r>
      <w:proofErr w:type="spellStart"/>
      <w:r w:rsidR="00B51BF1" w:rsidRPr="00B450EB">
        <w:rPr>
          <w:i/>
        </w:rPr>
        <w:t>mariae</w:t>
      </w:r>
      <w:proofErr w:type="spellEnd"/>
      <w:r w:rsidR="00B51BF1" w:rsidRPr="00B450EB">
        <w:t xml:space="preserve">), un pez </w:t>
      </w:r>
      <w:proofErr w:type="spellStart"/>
      <w:r w:rsidR="00B51BF1" w:rsidRPr="00B450EB">
        <w:t>detritivoro</w:t>
      </w:r>
      <w:proofErr w:type="spellEnd"/>
      <w:r w:rsidR="00B51BF1" w:rsidRPr="00B450EB">
        <w:t xml:space="preserve"> y migratorio de quebradas de piedemonte andino y de las cuencas del Orinoco y el Amazonas occidental </w:t>
      </w:r>
      <w:r w:rsidR="00575B68" w:rsidRPr="00B450EB">
        <w:t>(</w:t>
      </w:r>
      <w:proofErr w:type="spellStart"/>
      <w:r w:rsidR="00372D6C" w:rsidRPr="00B450EB">
        <w:t>Winemiller</w:t>
      </w:r>
      <w:proofErr w:type="spellEnd"/>
      <w:r w:rsidR="00372D6C" w:rsidRPr="00B450EB">
        <w:t xml:space="preserve"> and Jepsen 1998; </w:t>
      </w:r>
      <w:proofErr w:type="spellStart"/>
      <w:r w:rsidR="00372D6C" w:rsidRPr="00B450EB">
        <w:t>Arruda</w:t>
      </w:r>
      <w:proofErr w:type="spellEnd"/>
      <w:r w:rsidR="00372D6C" w:rsidRPr="00B450EB">
        <w:t xml:space="preserve"> et al. 2017)</w:t>
      </w:r>
      <w:r w:rsidR="00F12633" w:rsidRPr="00B450EB">
        <w:t>.</w:t>
      </w:r>
      <w:r w:rsidR="00372D6C" w:rsidRPr="00B450EB">
        <w:t xml:space="preserve"> </w:t>
      </w:r>
      <w:r w:rsidR="00F12633" w:rsidRPr="00B450EB">
        <w:t xml:space="preserve">Así, en caso de darse una afectación directa a las poblaciones de esta especie, </w:t>
      </w:r>
      <w:r w:rsidR="00184D85" w:rsidRPr="00B450EB">
        <w:t>cambiaría cual</w:t>
      </w:r>
      <w:r w:rsidR="0094608C" w:rsidRPr="00B450EB">
        <w:t>i</w:t>
      </w:r>
      <w:r w:rsidR="00184D85" w:rsidRPr="00B450EB">
        <w:t>tativamente la estructura de las comunidades acuáticas actuales</w:t>
      </w:r>
      <w:r w:rsidR="00372D6C" w:rsidRPr="00B450EB">
        <w:t xml:space="preserve">, </w:t>
      </w:r>
      <w:r w:rsidR="001F6344" w:rsidRPr="00B450EB">
        <w:t>medido a través de la acumulación de sedimentos y la composición de los ensambles de algas e invertebrados (</w:t>
      </w:r>
      <w:proofErr w:type="spellStart"/>
      <w:r w:rsidR="001F6344" w:rsidRPr="00B450EB">
        <w:t>Flecker</w:t>
      </w:r>
      <w:proofErr w:type="spellEnd"/>
      <w:r w:rsidR="001F6344" w:rsidRPr="00B450EB">
        <w:t xml:space="preserve"> 1996). </w:t>
      </w:r>
      <w:r w:rsidR="00154538" w:rsidRPr="00B450EB">
        <w:t xml:space="preserve">Estos cambios podrían afectar la presencia de otras especies de peces, </w:t>
      </w:r>
      <w:proofErr w:type="gramStart"/>
      <w:r w:rsidR="00154538" w:rsidRPr="00B450EB">
        <w:t>como</w:t>
      </w:r>
      <w:proofErr w:type="gramEnd"/>
      <w:r w:rsidR="00154538" w:rsidRPr="00B450EB">
        <w:t xml:space="preserve"> por ejemplo,</w:t>
      </w:r>
      <w:r w:rsidR="001F6344" w:rsidRPr="00B450EB">
        <w:t xml:space="preserve"> los peces eléctricos </w:t>
      </w:r>
      <w:proofErr w:type="spellStart"/>
      <w:r w:rsidR="001F6344" w:rsidRPr="00B450EB">
        <w:t>planctívoros</w:t>
      </w:r>
      <w:proofErr w:type="spellEnd"/>
      <w:r w:rsidR="001F6344" w:rsidRPr="00B450EB">
        <w:t xml:space="preserve"> (</w:t>
      </w:r>
      <w:proofErr w:type="spellStart"/>
      <w:r w:rsidR="001F6344" w:rsidRPr="00B450EB">
        <w:t>Gymnotiformes</w:t>
      </w:r>
      <w:proofErr w:type="spellEnd"/>
      <w:r w:rsidR="001F6344" w:rsidRPr="00B450EB">
        <w:t>), que forman la base de las redes tróficas acuáticas en las cuencas del Amazonas y el Orinoco (</w:t>
      </w:r>
      <w:proofErr w:type="spellStart"/>
      <w:r w:rsidR="001F6344" w:rsidRPr="00B450EB">
        <w:t>Lundberg</w:t>
      </w:r>
      <w:proofErr w:type="spellEnd"/>
      <w:r w:rsidR="001F6344" w:rsidRPr="00B450EB">
        <w:t xml:space="preserve"> et al. 1987; </w:t>
      </w:r>
      <w:proofErr w:type="spellStart"/>
      <w:r w:rsidR="001F6344" w:rsidRPr="00B450EB">
        <w:t>Fernandes</w:t>
      </w:r>
      <w:proofErr w:type="spellEnd"/>
      <w:r w:rsidR="001F6344" w:rsidRPr="00B450EB">
        <w:t xml:space="preserve"> et al. 2004). Dado que estas redes tróficas son esenciales para sostener las pesquerías regionales de las cuales dependen millones de personas amazónicas como principal fuente de proteína animal (</w:t>
      </w:r>
      <w:proofErr w:type="spellStart"/>
      <w:r w:rsidR="001F6344" w:rsidRPr="00B450EB">
        <w:t>Goulding</w:t>
      </w:r>
      <w:proofErr w:type="spellEnd"/>
      <w:r w:rsidR="001F6344" w:rsidRPr="00B450EB">
        <w:t xml:space="preserve"> et al. 2019), </w:t>
      </w:r>
      <w:r w:rsidR="00652AFD" w:rsidRPr="00B450EB">
        <w:t>se vería también afectadas las actividades económicas de subsistencia.</w:t>
      </w:r>
    </w:p>
    <w:p w14:paraId="75101134" w14:textId="7C810DFD" w:rsidR="009A00A9" w:rsidRPr="00B450EB" w:rsidRDefault="009A00A9" w:rsidP="001F6344">
      <w:r w:rsidRPr="00B450EB">
        <w:t xml:space="preserve">En la Amazonía colombiana, los anfibios constituyen uno de los grupos más sensibles a la fragmentación y pérdida de hábitat. La deforestación y la alteración de los ecosistemas acuáticos reducen los entornos críticos para su vida, afectando sus ciclos reproductivos y aumentando la incidencia de enfermedades como la infección por el hongo </w:t>
      </w:r>
      <w:proofErr w:type="spellStart"/>
      <w:r w:rsidRPr="00B450EB">
        <w:t>quítrido</w:t>
      </w:r>
      <w:proofErr w:type="spellEnd"/>
      <w:r w:rsidRPr="00B450EB">
        <w:t xml:space="preserve">. Esta situación, sumada a la contaminación y el cambio climático, están provocando un declive significativo en las poblaciones </w:t>
      </w:r>
      <w:r w:rsidRPr="00B450EB">
        <w:lastRenderedPageBreak/>
        <w:t>locales, representando una amenaza directa para muchas especies endémicas y una preocupación ecológica urgente (</w:t>
      </w:r>
      <w:proofErr w:type="spellStart"/>
      <w:r w:rsidRPr="00B450EB">
        <w:t>Pounds</w:t>
      </w:r>
      <w:proofErr w:type="spellEnd"/>
      <w:r w:rsidRPr="00B450EB">
        <w:t xml:space="preserve"> et al, 2013; UICN, 2021). La conservación de hábitats conectados y el manejo de amenazas emergentes son esenciales para evitar extinciones masivas en esta región</w:t>
      </w:r>
    </w:p>
    <w:p w14:paraId="46D8C132" w14:textId="6D10161C" w:rsidR="00FF361A" w:rsidRPr="00B450EB" w:rsidRDefault="005D3493" w:rsidP="00FF361A">
      <w:pPr>
        <w:spacing w:line="276" w:lineRule="auto"/>
      </w:pPr>
      <w:r w:rsidRPr="00B450EB">
        <w:t>Ahora bien, en relación con las aves, l</w:t>
      </w:r>
      <w:r w:rsidR="00FF361A" w:rsidRPr="00B450EB">
        <w:t xml:space="preserve">a fragmentación y la degradación del paisaje en la Amazonía colombiana afectan directamente </w:t>
      </w:r>
      <w:r w:rsidRPr="00B450EB">
        <w:t>su</w:t>
      </w:r>
      <w:r w:rsidR="00FF361A" w:rsidRPr="00B450EB">
        <w:t xml:space="preserve"> diversidad y función. Parches boscosos más pequeños y aislados reducen el hábitat para especies frugívoras, insectívoras y polinizadoras, alterando las interacciones ecológicas y los servicios ecosistémicos que estos grupos sustentan, como la dispersión de semillas y el control biológico de plagas (Miranda et al., 2019; </w:t>
      </w:r>
      <w:proofErr w:type="spellStart"/>
      <w:r w:rsidR="00FF361A" w:rsidRPr="00B450EB">
        <w:t>Jacoboski</w:t>
      </w:r>
      <w:proofErr w:type="spellEnd"/>
      <w:r w:rsidR="00FF361A" w:rsidRPr="00B450EB">
        <w:t xml:space="preserve"> et al., 2020). La expansión de la agricultura y la degradación de áreas naturales favorecen especies generalistas en detrimento de especialistas, incrementando la homogenización biológica y funcional. Los modelos proyectan que las aves, en especial los frugívoros, podrían padecer importantes reducciones en su área de distribución, lo cual afecta la regeneración natural y la resiliencia ecosistémica en la región (</w:t>
      </w:r>
      <w:proofErr w:type="spellStart"/>
      <w:r w:rsidR="00FF361A" w:rsidRPr="00B450EB">
        <w:t>Malhi</w:t>
      </w:r>
      <w:proofErr w:type="spellEnd"/>
      <w:r w:rsidR="00FF361A" w:rsidRPr="00B450EB">
        <w:t xml:space="preserve"> et al., 2004; Díaz-</w:t>
      </w:r>
      <w:proofErr w:type="spellStart"/>
      <w:r w:rsidR="00FF361A" w:rsidRPr="00B450EB">
        <w:t>Siefer</w:t>
      </w:r>
      <w:proofErr w:type="spellEnd"/>
      <w:r w:rsidR="00FF361A" w:rsidRPr="00B450EB">
        <w:t xml:space="preserve"> et al., 2022).</w:t>
      </w:r>
    </w:p>
    <w:p w14:paraId="35B85E88" w14:textId="1F9131BB" w:rsidR="006807D1" w:rsidRPr="00B450EB" w:rsidRDefault="005D3493" w:rsidP="006807D1">
      <w:r w:rsidRPr="00B450EB">
        <w:t>Con respecto a</w:t>
      </w:r>
      <w:r w:rsidR="00F74642" w:rsidRPr="00B450EB">
        <w:t xml:space="preserve"> las aves migratorias, l</w:t>
      </w:r>
      <w:r w:rsidR="006807D1" w:rsidRPr="00B450EB">
        <w:t>a pérdida de áreas de bosque en el Amazonas representa un grave peligro poniendo en riesgo no solo a estas especies sino también la dinámica de múltiples ecosistemas continentales (Bauer y Hoye, 2014; Lennox et al., 2019). La deforestación y degradación del bosque amazónico reducen los hábitats esenciales donde muchas aves migratorias boreales y australes descansan, se alimentan y encuentran refugio temporal durante sus largos viajes (Newton, 2006). Por ejemplo, especies como el Martín pescador grande (</w:t>
      </w:r>
      <w:proofErr w:type="spellStart"/>
      <w:r w:rsidR="006807D1" w:rsidRPr="00B450EB">
        <w:rPr>
          <w:i/>
          <w:iCs/>
        </w:rPr>
        <w:t>Megaceryle</w:t>
      </w:r>
      <w:proofErr w:type="spellEnd"/>
      <w:r w:rsidR="006807D1" w:rsidRPr="00B450EB">
        <w:rPr>
          <w:i/>
          <w:iCs/>
        </w:rPr>
        <w:t xml:space="preserve"> </w:t>
      </w:r>
      <w:proofErr w:type="spellStart"/>
      <w:r w:rsidR="006807D1" w:rsidRPr="00B450EB">
        <w:rPr>
          <w:i/>
          <w:iCs/>
        </w:rPr>
        <w:t>torquata</w:t>
      </w:r>
      <w:proofErr w:type="spellEnd"/>
      <w:r w:rsidR="006807D1" w:rsidRPr="00B450EB">
        <w:t>), que migra desde bosques tropicales y húmedos, dependen de la integridad del Amazonas para completar su ciclo migratorio (Naranjo et al., 2012). La fragmentación y pérdida del bosque amazónico pueden afectar también lugares críticos en Colombia como la Ciénaga Grande de Santa Marta o las sábanas inundables del Orinoco, ecosistemas de origen y descanso de algunas especies y también están en peligro (PNN, 2010; Naranjo et al., 2012; Ruiz-Guerra et al., 2014)</w:t>
      </w:r>
    </w:p>
    <w:p w14:paraId="7D0F5926" w14:textId="77777777" w:rsidR="006807D1" w:rsidRPr="00B450EB" w:rsidRDefault="006807D1" w:rsidP="006807D1">
      <w:r w:rsidRPr="00B450EB">
        <w:t xml:space="preserve">Esta situación no solo pone en riesgo a las aves, sino que afecta al equilibrio ecológico continental, ya que muchas aves migratorias cumplen roles clave en la dispersión de semillas, control de insectos y polinización en diversos hábitats de América, desde bosques templados en Norteamérica hasta sabanas tropicales en el sur (Jorgensen et al, 2006; WWF, 2022; </w:t>
      </w:r>
      <w:proofErr w:type="spellStart"/>
      <w:r w:rsidRPr="00B450EB">
        <w:t>Ayodele</w:t>
      </w:r>
      <w:proofErr w:type="spellEnd"/>
      <w:r w:rsidRPr="00B450EB">
        <w:t>, 2025). La alteración del Amazonas puede, por ende, provocar desequilibrios que repercutan en otras regiones, limitando la conectividad entre ecosistemas y comprometido la resiliencia de la biodiversidad a nivel continental.</w:t>
      </w:r>
    </w:p>
    <w:p w14:paraId="50DC0D86" w14:textId="28A51923" w:rsidR="006807D1" w:rsidRPr="00B450EB" w:rsidRDefault="006807D1" w:rsidP="006807D1">
      <w:r w:rsidRPr="00B450EB">
        <w:lastRenderedPageBreak/>
        <w:t>Mantener sus bosques intactos garantiza no solo la supervivencia de las especies migratorias durante sus desplazamientos, como el águila pescadora (</w:t>
      </w:r>
      <w:proofErr w:type="spellStart"/>
      <w:r w:rsidRPr="00B450EB">
        <w:rPr>
          <w:i/>
          <w:iCs/>
        </w:rPr>
        <w:t>Pandion</w:t>
      </w:r>
      <w:proofErr w:type="spellEnd"/>
      <w:r w:rsidRPr="00B450EB">
        <w:rPr>
          <w:i/>
          <w:iCs/>
        </w:rPr>
        <w:t xml:space="preserve"> </w:t>
      </w:r>
      <w:proofErr w:type="spellStart"/>
      <w:r w:rsidRPr="00B450EB">
        <w:rPr>
          <w:i/>
          <w:iCs/>
        </w:rPr>
        <w:t>haliaetus</w:t>
      </w:r>
      <w:proofErr w:type="spellEnd"/>
      <w:r w:rsidRPr="00B450EB">
        <w:t>) y la garza rojiza (</w:t>
      </w:r>
      <w:proofErr w:type="spellStart"/>
      <w:r w:rsidRPr="00B450EB">
        <w:rPr>
          <w:i/>
          <w:iCs/>
        </w:rPr>
        <w:t>Egretta</w:t>
      </w:r>
      <w:proofErr w:type="spellEnd"/>
      <w:r w:rsidRPr="00B450EB">
        <w:rPr>
          <w:i/>
          <w:iCs/>
        </w:rPr>
        <w:t xml:space="preserve"> </w:t>
      </w:r>
      <w:proofErr w:type="spellStart"/>
      <w:r w:rsidRPr="00B450EB">
        <w:rPr>
          <w:i/>
          <w:iCs/>
        </w:rPr>
        <w:t>rufescens</w:t>
      </w:r>
      <w:proofErr w:type="spellEnd"/>
      <w:r w:rsidRPr="00B450EB">
        <w:t>), sino también la estabilidad de ecosistemas en Norteamérica y Sudamérica, que dependen de estas interacciones biológicas intercontinentales (Mestre et al., 2009; Naranjo et al., 2012). La deforestación aumenta el riesgo de alcanzar puntos de inflexión ecológicos irreversibles que afectarían a toda la red de ecosistemas vinculados por estas aves migratorias, por lo que es indispensable implementar políticas robustas y acciones concretas para proteger este invaluable ecosistema.</w:t>
      </w:r>
    </w:p>
    <w:p w14:paraId="46A3CE70" w14:textId="4A017756" w:rsidR="000F1F2B" w:rsidRPr="00B450EB" w:rsidRDefault="006807D1" w:rsidP="000F1F2B">
      <w:r w:rsidRPr="00B450EB">
        <w:t>Por su parte, e</w:t>
      </w:r>
      <w:r w:rsidR="000F1F2B" w:rsidRPr="00B450EB">
        <w:t xml:space="preserve">n la </w:t>
      </w:r>
      <w:proofErr w:type="spellStart"/>
      <w:r w:rsidR="000F1F2B" w:rsidRPr="00B450EB">
        <w:t>mastofauna</w:t>
      </w:r>
      <w:proofErr w:type="spellEnd"/>
      <w:r w:rsidR="000F1F2B" w:rsidRPr="00B450EB">
        <w:t>, la pérdida y fragmentación de bosques impactan negativamente, especialmente a especies medianas y grandes como los grandes felinos, cuyas poblaciones declinan por la reducción y aislamiento de hábitats adecuados (</w:t>
      </w:r>
      <w:proofErr w:type="spellStart"/>
      <w:r w:rsidR="000F1F2B" w:rsidRPr="00B450EB">
        <w:t>Rondinini</w:t>
      </w:r>
      <w:proofErr w:type="spellEnd"/>
      <w:r w:rsidR="000F1F2B" w:rsidRPr="00B450EB">
        <w:t xml:space="preserve"> et al., 2011). Estas alteraciones limitan la movilidad y el intercambio genético necesario para la viabilidad de poblaciones, aumentando la vulnerabilidad frente a amenazas adicionales como la caza y el conflicto humano (</w:t>
      </w:r>
      <w:proofErr w:type="spellStart"/>
      <w:r w:rsidR="000F1F2B" w:rsidRPr="00B450EB">
        <w:t>Rondinini</w:t>
      </w:r>
      <w:proofErr w:type="spellEnd"/>
      <w:r w:rsidR="000F1F2B" w:rsidRPr="00B450EB">
        <w:t xml:space="preserve"> et al., 2011). La conectividad ecológica es vital para garantizar la persistencia y funcionalidad de las comunidades de mamíferos amazónicos (Morales-</w:t>
      </w:r>
      <w:proofErr w:type="spellStart"/>
      <w:r w:rsidR="000F1F2B" w:rsidRPr="00B450EB">
        <w:t>Martinez</w:t>
      </w:r>
      <w:proofErr w:type="spellEnd"/>
      <w:r w:rsidR="000F1F2B" w:rsidRPr="00B450EB">
        <w:t>, 2021; Suárez-Castro et al., 2021).</w:t>
      </w:r>
    </w:p>
    <w:p w14:paraId="1F06E5BF" w14:textId="77777777" w:rsidR="006A5398" w:rsidRPr="00B450EB" w:rsidRDefault="00372D6C" w:rsidP="00D77E0E">
      <w:r w:rsidRPr="00B450EB">
        <w:t>As</w:t>
      </w:r>
      <w:r w:rsidR="00FF361A" w:rsidRPr="00B450EB">
        <w:t xml:space="preserve">í entonces, </w:t>
      </w:r>
      <w:r w:rsidR="00652AFD" w:rsidRPr="00B450EB">
        <w:t xml:space="preserve">el </w:t>
      </w:r>
      <w:r w:rsidR="00493B60" w:rsidRPr="00B450EB">
        <w:t>incremento de riesgo de pérdida de</w:t>
      </w:r>
      <w:r w:rsidRPr="00B450EB">
        <w:t xml:space="preserve"> la biodiversidad </w:t>
      </w:r>
      <w:r w:rsidR="0094608C" w:rsidRPr="00B450EB">
        <w:t>podría</w:t>
      </w:r>
      <w:r w:rsidRPr="00B450EB">
        <w:t xml:space="preserve"> darse incluso a nivel continental</w:t>
      </w:r>
      <w:r w:rsidR="00713FBF" w:rsidRPr="00B450EB">
        <w:t xml:space="preserve">, debido a que </w:t>
      </w:r>
      <w:r w:rsidR="00442A80" w:rsidRPr="00B450EB">
        <w:t xml:space="preserve">el Amazonas ha funcionado </w:t>
      </w:r>
      <w:r w:rsidR="008B54B7" w:rsidRPr="00B450EB">
        <w:t>histórica y evolutivamente</w:t>
      </w:r>
      <w:r w:rsidR="00442A80" w:rsidRPr="00B450EB">
        <w:t xml:space="preserve"> como </w:t>
      </w:r>
      <w:r w:rsidR="000C2DA0" w:rsidRPr="00B450EB">
        <w:t xml:space="preserve">una fuente primaria para la biodiversidad de todos los biomas neotropicales </w:t>
      </w:r>
      <w:r w:rsidR="00713FBF" w:rsidRPr="00B450EB">
        <w:t xml:space="preserve">(Antonelli </w:t>
      </w:r>
      <w:r w:rsidR="00713FBF" w:rsidRPr="00B450EB">
        <w:rPr>
          <w:i/>
        </w:rPr>
        <w:t>et al</w:t>
      </w:r>
      <w:r w:rsidR="00713FBF" w:rsidRPr="00B450EB">
        <w:t xml:space="preserve">. 2018), </w:t>
      </w:r>
      <w:r w:rsidR="008B54B7" w:rsidRPr="00B450EB">
        <w:t xml:space="preserve">por lo cual la </w:t>
      </w:r>
      <w:r w:rsidR="00493B60" w:rsidRPr="00B450EB">
        <w:t>deforestación</w:t>
      </w:r>
      <w:r w:rsidR="008B54B7" w:rsidRPr="00B450EB">
        <w:t xml:space="preserve"> y degradación de los bosques tendría impactos en los ecosistemas </w:t>
      </w:r>
      <w:r w:rsidR="00E27F7C" w:rsidRPr="00B450EB">
        <w:t xml:space="preserve">tanto de </w:t>
      </w:r>
      <w:r w:rsidR="00EF49C3" w:rsidRPr="00B450EB">
        <w:t>Suramérica</w:t>
      </w:r>
      <w:r w:rsidR="00E27F7C" w:rsidRPr="00B450EB">
        <w:t xml:space="preserve"> como de </w:t>
      </w:r>
      <w:r w:rsidR="00EF49C3" w:rsidRPr="00B450EB">
        <w:t>Centroamérica</w:t>
      </w:r>
      <w:r w:rsidR="00713FBF" w:rsidRPr="00B450EB">
        <w:t xml:space="preserve">. </w:t>
      </w:r>
      <w:r w:rsidR="0061774E" w:rsidRPr="00B450EB">
        <w:t xml:space="preserve">En este sentido, el riesgo de </w:t>
      </w:r>
      <w:r w:rsidR="00EF49C3" w:rsidRPr="00B450EB">
        <w:t>pérdida</w:t>
      </w:r>
      <w:r w:rsidR="0061774E" w:rsidRPr="00B450EB">
        <w:t xml:space="preserve"> de biodiversidad también</w:t>
      </w:r>
      <w:r w:rsidR="00EB3D1C" w:rsidRPr="00B450EB">
        <w:t xml:space="preserve"> se daría en términos de </w:t>
      </w:r>
      <w:r w:rsidR="00EF49C3" w:rsidRPr="00B450EB">
        <w:t>amenaza</w:t>
      </w:r>
      <w:r w:rsidR="00EB3D1C" w:rsidRPr="00B450EB">
        <w:t xml:space="preserve"> sobre </w:t>
      </w:r>
      <w:r w:rsidR="005C7E22" w:rsidRPr="00B450EB">
        <w:t>los procesos evolutivos que han gobernado el origen y mantenimiento de las especies en el Neotrópico.</w:t>
      </w:r>
      <w:r w:rsidR="0061774E" w:rsidRPr="00B450EB">
        <w:t xml:space="preserve"> </w:t>
      </w:r>
    </w:p>
    <w:p w14:paraId="20BB7290" w14:textId="603266E5" w:rsidR="00E75C72" w:rsidRPr="00B450EB" w:rsidRDefault="000F786C" w:rsidP="00D77E0E">
      <w:pPr>
        <w:rPr>
          <w:i/>
          <w:iCs/>
        </w:rPr>
      </w:pPr>
      <w:r w:rsidRPr="00B450EB">
        <w:rPr>
          <w:i/>
          <w:iCs/>
        </w:rPr>
        <w:t>Implicaciones socioeconómicas</w:t>
      </w:r>
      <w:r w:rsidR="006A5398" w:rsidRPr="00B450EB">
        <w:rPr>
          <w:i/>
          <w:iCs/>
        </w:rPr>
        <w:t xml:space="preserve"> de la pérdida de biodiversidad</w:t>
      </w:r>
    </w:p>
    <w:p w14:paraId="3AC2AEF6" w14:textId="427C1D5B" w:rsidR="0006106F" w:rsidRPr="00B450EB" w:rsidRDefault="0006106F" w:rsidP="00325B9F">
      <w:r w:rsidRPr="00B450EB">
        <w:t xml:space="preserve">Desde la perspectiva socioeconómica y considerando la convergencia de las vulnerabilidades estructurales (Pobreza Multidimensional, NBI, débil presencia institucional, entre otros), las presiones y amenazas, y la dependencia de las comunidades de los recursos naturales del Bioma Amazónico Colombiano, </w:t>
      </w:r>
      <w:r w:rsidR="006163EA" w:rsidRPr="00B450EB">
        <w:t xml:space="preserve">los impactos del cambio climático </w:t>
      </w:r>
      <w:r w:rsidR="006261D4" w:rsidRPr="00B450EB">
        <w:t xml:space="preserve">sobre la biodiversidad </w:t>
      </w:r>
      <w:r w:rsidRPr="00B450EB">
        <w:t xml:space="preserve">se configura en un escenario de alto riesgo </w:t>
      </w:r>
      <w:r w:rsidR="006261D4" w:rsidRPr="00B450EB">
        <w:t>que puede</w:t>
      </w:r>
      <w:r w:rsidR="0021511B" w:rsidRPr="00B450EB">
        <w:t xml:space="preserve"> tener</w:t>
      </w:r>
      <w:r w:rsidRPr="00B450EB">
        <w:t xml:space="preserve"> impactos directos sobre la  seguridad alimentaria, medios de vida y la capacidad de adaptación</w:t>
      </w:r>
      <w:r w:rsidR="0021511B" w:rsidRPr="00B450EB">
        <w:t xml:space="preserve"> de la comunidades del Bioma Amazónico Colombiano. A continuación, se </w:t>
      </w:r>
      <w:r w:rsidR="00EC5B43" w:rsidRPr="00B450EB">
        <w:t>describen:</w:t>
      </w:r>
    </w:p>
    <w:p w14:paraId="59BEEF3A" w14:textId="6687F520" w:rsidR="0006106F" w:rsidRPr="00B450EB" w:rsidRDefault="0006106F" w:rsidP="00F13488">
      <w:pPr>
        <w:pStyle w:val="Prrafodelista"/>
        <w:numPr>
          <w:ilvl w:val="0"/>
          <w:numId w:val="24"/>
        </w:numPr>
        <w:spacing w:line="240" w:lineRule="auto"/>
        <w:rPr>
          <w:bCs/>
          <w:i/>
        </w:rPr>
      </w:pPr>
      <w:r w:rsidRPr="00B450EB">
        <w:rPr>
          <w:bCs/>
          <w:i/>
        </w:rPr>
        <w:t xml:space="preserve">Seguridad alimentaria y medios de vida: </w:t>
      </w:r>
    </w:p>
    <w:p w14:paraId="0CEC7870" w14:textId="77777777" w:rsidR="0006106F" w:rsidRPr="00B450EB" w:rsidRDefault="0006106F" w:rsidP="00325B9F">
      <w:r w:rsidRPr="00B450EB">
        <w:lastRenderedPageBreak/>
        <w:t xml:space="preserve">La pérdida de hábitat en la Amazonía colombiana, derivada de la deforestación, la degradación de bosques y la fragmentación de ecosistemas, genera impactos directos en los medios de vida de las comunidades locales. La reducción de cobertura forestal afecta especies clave para la subsistencia, como el pez migratorio </w:t>
      </w:r>
      <w:proofErr w:type="spellStart"/>
      <w:r w:rsidRPr="00B450EB">
        <w:t>Prochilodus</w:t>
      </w:r>
      <w:proofErr w:type="spellEnd"/>
      <w:r w:rsidRPr="00B450EB">
        <w:t xml:space="preserve"> </w:t>
      </w:r>
      <w:proofErr w:type="spellStart"/>
      <w:r w:rsidRPr="00B450EB">
        <w:t>mariae</w:t>
      </w:r>
      <w:proofErr w:type="spellEnd"/>
      <w:r w:rsidRPr="00B450EB">
        <w:t xml:space="preserve">, el árbol </w:t>
      </w:r>
      <w:proofErr w:type="spellStart"/>
      <w:r w:rsidRPr="00B450EB">
        <w:t>Bertholletia</w:t>
      </w:r>
      <w:proofErr w:type="spellEnd"/>
      <w:r w:rsidRPr="00B450EB">
        <w:t xml:space="preserve"> excelsa (“nuez del Pará”) y la palma </w:t>
      </w:r>
      <w:proofErr w:type="spellStart"/>
      <w:r w:rsidRPr="00B450EB">
        <w:t>Oenocarpus</w:t>
      </w:r>
      <w:proofErr w:type="spellEnd"/>
      <w:r w:rsidRPr="00B450EB">
        <w:t xml:space="preserve"> </w:t>
      </w:r>
      <w:proofErr w:type="spellStart"/>
      <w:r w:rsidRPr="00B450EB">
        <w:t>circumtextus</w:t>
      </w:r>
      <w:proofErr w:type="spellEnd"/>
      <w:r w:rsidRPr="00B450EB">
        <w:t xml:space="preserve">, así como polinizadores esenciales como abejas de la subfamilia </w:t>
      </w:r>
      <w:proofErr w:type="spellStart"/>
      <w:r w:rsidRPr="00B450EB">
        <w:t>Euglossinae</w:t>
      </w:r>
      <w:proofErr w:type="spellEnd"/>
      <w:r w:rsidRPr="00B450EB">
        <w:t xml:space="preserve"> y la abeja </w:t>
      </w:r>
      <w:proofErr w:type="spellStart"/>
      <w:r w:rsidRPr="00B450EB">
        <w:t>Melipona</w:t>
      </w:r>
      <w:proofErr w:type="spellEnd"/>
      <w:r w:rsidRPr="00B450EB">
        <w:t xml:space="preserve"> ebúrnea. La disminución de estas especies impacta directamente la pesca de subsistencia, la recolección de frutos y semillas, y otras actividades económicas locales que dependen de los recursos naturales, comprometiendo la seguridad alimentaria y los ingresos de las poblaciones amazónicas (</w:t>
      </w:r>
      <w:proofErr w:type="spellStart"/>
      <w:r w:rsidRPr="00B450EB">
        <w:t>Goulding</w:t>
      </w:r>
      <w:proofErr w:type="spellEnd"/>
      <w:r w:rsidRPr="00B450EB">
        <w:t xml:space="preserve"> et al., 2019; WWF, 2016; Escobar, 2019).</w:t>
      </w:r>
    </w:p>
    <w:p w14:paraId="66D51788" w14:textId="77777777" w:rsidR="0006106F" w:rsidRPr="00B450EB" w:rsidRDefault="0006106F" w:rsidP="00325B9F">
      <w:r w:rsidRPr="00B450EB">
        <w:t>La fragmentación de los hábitats y la pérdida de conectividad ecológica también alteran los servicios ecosistémicos esenciales, como la regulación del microclima, los ciclos hidrológicos y el control de sedimentos. Estos cambios incrementan la vulnerabilidad de las comunidades frente a fenómenos naturales, como inundaciones y sequías, y afectan la producción agrícola y ganadera, así como la disponibilidad de recursos pesqueros. La degradación de especies clave puede desencadenar cambios en la estructura de las comunidades acuáticas y terrestres, afectando a otras especies de importancia alimentaria o económica y generando impactos acumulativos sobre los sistemas productivos locales (</w:t>
      </w:r>
      <w:proofErr w:type="spellStart"/>
      <w:r w:rsidRPr="00B450EB">
        <w:t>Butt</w:t>
      </w:r>
      <w:proofErr w:type="spellEnd"/>
      <w:r w:rsidRPr="00B450EB">
        <w:t xml:space="preserve"> et al., 2023; </w:t>
      </w:r>
      <w:proofErr w:type="spellStart"/>
      <w:r w:rsidRPr="00B450EB">
        <w:t>Flecker</w:t>
      </w:r>
      <w:proofErr w:type="spellEnd"/>
      <w:r w:rsidRPr="00B450EB">
        <w:t xml:space="preserve">, 1996; </w:t>
      </w:r>
      <w:proofErr w:type="spellStart"/>
      <w:r w:rsidRPr="00B450EB">
        <w:t>Winemiller</w:t>
      </w:r>
      <w:proofErr w:type="spellEnd"/>
      <w:r w:rsidRPr="00B450EB">
        <w:t xml:space="preserve"> &amp; Jepsen, 1998).</w:t>
      </w:r>
    </w:p>
    <w:p w14:paraId="17F4BB1D" w14:textId="563BE804" w:rsidR="0006106F" w:rsidRPr="00B450EB" w:rsidRDefault="0006106F" w:rsidP="00F13488">
      <w:pPr>
        <w:pStyle w:val="Prrafodelista"/>
        <w:numPr>
          <w:ilvl w:val="0"/>
          <w:numId w:val="25"/>
        </w:numPr>
        <w:spacing w:line="240" w:lineRule="auto"/>
        <w:rPr>
          <w:bCs/>
          <w:i/>
        </w:rPr>
      </w:pPr>
      <w:r w:rsidRPr="00B450EB">
        <w:rPr>
          <w:bCs/>
          <w:i/>
        </w:rPr>
        <w:t>Capacidad de adaptación de las poblaciones amazónicas:</w:t>
      </w:r>
    </w:p>
    <w:p w14:paraId="22BB00EF" w14:textId="77777777" w:rsidR="0006106F" w:rsidRPr="00B450EB" w:rsidRDefault="0006106F" w:rsidP="00325B9F">
      <w:r w:rsidRPr="00B450EB">
        <w:t>El cambio climático intensifica los riesgos socioeconómicos derivados de la pérdida de hábitat. El incremento de la temperatura media, la variación en los regímenes de precipitación y la frecuencia de eventos extremos como sequías e incendios afectan directamente la reproducción, migración y supervivencia de especies acuáticas y terrestres, incluyendo peces andinos amazónicos, aves, anfibios y macroinvertebrados acuáticos (</w:t>
      </w:r>
      <w:proofErr w:type="spellStart"/>
      <w:r w:rsidRPr="00B450EB">
        <w:t>Science</w:t>
      </w:r>
      <w:proofErr w:type="spellEnd"/>
      <w:r w:rsidRPr="00B450EB">
        <w:t xml:space="preserve"> Panel </w:t>
      </w:r>
      <w:proofErr w:type="spellStart"/>
      <w:r w:rsidRPr="00B450EB">
        <w:t>for</w:t>
      </w:r>
      <w:proofErr w:type="spellEnd"/>
      <w:r w:rsidRPr="00B450EB">
        <w:t xml:space="preserve"> </w:t>
      </w:r>
      <w:proofErr w:type="spellStart"/>
      <w:r w:rsidRPr="00B450EB">
        <w:t>the</w:t>
      </w:r>
      <w:proofErr w:type="spellEnd"/>
      <w:r w:rsidRPr="00B450EB">
        <w:t xml:space="preserve"> Amazon, 2021; Bogotá-Gregory et al., 2024; Wolfe et al., 2025). Estos cambios repercuten en la disponibilidad de alimentos y en la pesca regional, que constituye la principal fuente de proteína para millones de personas en la Amazonía, comprometiendo la seguridad alimentaria y la resiliencia económica de las comunidades.</w:t>
      </w:r>
    </w:p>
    <w:p w14:paraId="2C70CD57" w14:textId="4D23DE98" w:rsidR="00FB2EB0" w:rsidRPr="00B450EB" w:rsidRDefault="0006106F" w:rsidP="00325B9F">
      <w:r w:rsidRPr="00B450EB">
        <w:t xml:space="preserve">En conjunto, la combinación de pérdida de hábitat y cambio climático genera un riesgo socioeconómico elevado, al afectar la subsistencia, los ingresos y la capacidad de adaptación de las poblaciones amazónicas. La dependencia de recursos naturales y la vulnerabilidad frente a alteraciones ecológicas y climáticas hacen que cualquier reducción en la biodiversidad se traduzca directamente en impactos sobre la economía local, la seguridad alimentaria y la calidad de vida de </w:t>
      </w:r>
      <w:r w:rsidRPr="00B450EB">
        <w:lastRenderedPageBreak/>
        <w:t xml:space="preserve">las comunidades, reforzando la necesidad de estrategias de conservación y manejo sostenible que integren la protección de ecosistemas con la sostenibilidad socioeconómica (Antonelli et al., 2018; </w:t>
      </w:r>
      <w:proofErr w:type="spellStart"/>
      <w:r w:rsidRPr="00B450EB">
        <w:t>Morrone</w:t>
      </w:r>
      <w:proofErr w:type="spellEnd"/>
      <w:r w:rsidRPr="00B450EB">
        <w:t>, 2017).</w:t>
      </w:r>
    </w:p>
    <w:p w14:paraId="6E227DC6" w14:textId="77777777" w:rsidR="00870A1A" w:rsidRPr="00B450EB" w:rsidRDefault="00870A1A" w:rsidP="00325B9F"/>
    <w:p w14:paraId="6A3FC770" w14:textId="709CE2BD" w:rsidR="008F27D3" w:rsidRPr="00B450EB" w:rsidRDefault="00C35356" w:rsidP="001C1081">
      <w:pPr>
        <w:pStyle w:val="Prrafodelista"/>
        <w:numPr>
          <w:ilvl w:val="1"/>
          <w:numId w:val="16"/>
        </w:numPr>
        <w:spacing w:before="240" w:after="240"/>
        <w:outlineLvl w:val="1"/>
        <w:rPr>
          <w:b/>
          <w:lang w:val="pt-PT"/>
        </w:rPr>
      </w:pPr>
      <w:bookmarkStart w:id="241" w:name="_Toc209722966"/>
      <w:r w:rsidRPr="00B450EB">
        <w:rPr>
          <w:b/>
          <w:lang w:val="pt-PT"/>
        </w:rPr>
        <w:t>Cambio d</w:t>
      </w:r>
      <w:r w:rsidR="008F27D3" w:rsidRPr="00B450EB">
        <w:rPr>
          <w:b/>
          <w:lang w:val="pt-PT"/>
        </w:rPr>
        <w:t>e sumidero a fuente de carbono</w:t>
      </w:r>
      <w:bookmarkEnd w:id="241"/>
      <w:r w:rsidR="008F27D3" w:rsidRPr="00B450EB">
        <w:rPr>
          <w:b/>
          <w:lang w:val="pt-PT"/>
        </w:rPr>
        <w:t xml:space="preserve"> </w:t>
      </w:r>
      <w:r w:rsidR="000C0833" w:rsidRPr="00B450EB">
        <w:rPr>
          <w:b/>
          <w:lang w:val="pt-PT"/>
        </w:rPr>
        <w:t xml:space="preserve"> </w:t>
      </w:r>
      <w:r w:rsidR="00322A02" w:rsidRPr="00B450EB">
        <w:rPr>
          <w:b/>
          <w:lang w:val="pt-PT"/>
        </w:rPr>
        <w:t xml:space="preserve">  </w:t>
      </w:r>
    </w:p>
    <w:p w14:paraId="5DB94198" w14:textId="2F03E441" w:rsidR="00B759FC" w:rsidRPr="00B450EB" w:rsidRDefault="00B759FC" w:rsidP="00B759FC">
      <w:pPr>
        <w:spacing w:before="240" w:after="240"/>
      </w:pPr>
      <w:r w:rsidRPr="00B450EB">
        <w:t>Como se identificó en la investigación de</w:t>
      </w:r>
      <w:r w:rsidR="00371893" w:rsidRPr="00B450EB">
        <w:t xml:space="preserve"> </w:t>
      </w:r>
      <w:sdt>
        <w:sdtPr>
          <w:rPr>
            <w:lang w:val="pt-PT"/>
          </w:rPr>
          <w:id w:val="605162254"/>
          <w:citation/>
        </w:sdtPr>
        <w:sdtContent>
          <w:r w:rsidR="00DF1D40" w:rsidRPr="00B450EB">
            <w:rPr>
              <w:lang w:val="pt-PT"/>
            </w:rPr>
            <w:fldChar w:fldCharType="begin"/>
          </w:r>
          <w:r w:rsidR="00DF1D40" w:rsidRPr="00B450EB">
            <w:rPr>
              <w:lang w:val="es-ES"/>
            </w:rPr>
            <w:instrText xml:space="preserve"> CITATION Red25 \l 3082 </w:instrText>
          </w:r>
          <w:r w:rsidR="00DF1D40" w:rsidRPr="00B450EB">
            <w:rPr>
              <w:lang w:val="pt-PT"/>
            </w:rPr>
            <w:fldChar w:fldCharType="separate"/>
          </w:r>
          <w:r w:rsidR="0077091E" w:rsidRPr="00B450EB">
            <w:rPr>
              <w:noProof/>
              <w:lang w:val="es-ES"/>
            </w:rPr>
            <w:t>(Red Amazónica de Información Socioambiental Georreferenciada (RAISG), 2025)</w:t>
          </w:r>
          <w:r w:rsidR="00DF1D40" w:rsidRPr="00B450EB">
            <w:rPr>
              <w:lang w:val="pt-PT"/>
            </w:rPr>
            <w:fldChar w:fldCharType="end"/>
          </w:r>
        </w:sdtContent>
      </w:sdt>
      <w:r w:rsidRPr="00B450EB">
        <w:t xml:space="preserve"> la Amazonía colombiana es uno de los ecosistemas relevantes del planeta para la captura y almacenamiento de carbono, lo que demuestra su capacidad no solo como reserva de biodiversidad, sino también un regulador climático natural que presenta alcances globales, pues ayuda a reducir y contener la concentración de CO2 en la atmósfera. </w:t>
      </w:r>
    </w:p>
    <w:p w14:paraId="445C4C76" w14:textId="2113733F" w:rsidR="00B759FC" w:rsidRPr="00B450EB" w:rsidRDefault="00B759FC" w:rsidP="00B759FC">
      <w:pPr>
        <w:spacing w:before="240" w:after="240"/>
      </w:pPr>
      <w:r w:rsidRPr="00B450EB">
        <w:t xml:space="preserve">En cuanto a la dinámica de captura de carbono la selva amazónica colombiana sigue funcionando como sumidero neto, pero con señales de debilitamiento. Según </w:t>
      </w:r>
      <w:sdt>
        <w:sdtPr>
          <w:rPr>
            <w:lang w:val="pt-PT"/>
          </w:rPr>
          <w:id w:val="-1312399850"/>
          <w:citation/>
        </w:sdtPr>
        <w:sdtContent>
          <w:r w:rsidR="00DF1D40" w:rsidRPr="00B450EB">
            <w:rPr>
              <w:lang w:val="pt-PT"/>
            </w:rPr>
            <w:fldChar w:fldCharType="begin"/>
          </w:r>
          <w:r w:rsidR="00DF1D40" w:rsidRPr="00B450EB">
            <w:rPr>
              <w:lang w:val="es-ES"/>
            </w:rPr>
            <w:instrText xml:space="preserve"> CITATION Red25 \l 3082 </w:instrText>
          </w:r>
          <w:r w:rsidR="00DF1D40" w:rsidRPr="00B450EB">
            <w:rPr>
              <w:lang w:val="pt-PT"/>
            </w:rPr>
            <w:fldChar w:fldCharType="separate"/>
          </w:r>
          <w:r w:rsidR="0077091E" w:rsidRPr="00B450EB">
            <w:rPr>
              <w:noProof/>
              <w:lang w:val="es-ES"/>
            </w:rPr>
            <w:t>(Red Amazónica de Información Socioambiental Georreferenciada (RAISG), 2025)</w:t>
          </w:r>
          <w:r w:rsidR="00DF1D40" w:rsidRPr="00B450EB">
            <w:rPr>
              <w:lang w:val="pt-PT"/>
            </w:rPr>
            <w:fldChar w:fldCharType="end"/>
          </w:r>
        </w:sdtContent>
      </w:sdt>
      <w:r w:rsidRPr="00B450EB">
        <w:t xml:space="preserve"> entre 2000 y 2023, la densidad de carbono en los bosques de tierra firme se mantuvo relativamente estable, con descensos mínimos de 17,6 a 17,5 </w:t>
      </w:r>
      <w:proofErr w:type="spellStart"/>
      <w:r w:rsidRPr="00B450EB">
        <w:t>KtC</w:t>
      </w:r>
      <w:proofErr w:type="spellEnd"/>
      <w:r w:rsidRPr="00B450EB">
        <w:t xml:space="preserve">/km² en áreas como </w:t>
      </w:r>
      <w:proofErr w:type="spellStart"/>
      <w:r w:rsidRPr="00B450EB">
        <w:t>Mirití</w:t>
      </w:r>
      <w:proofErr w:type="spellEnd"/>
      <w:r w:rsidRPr="00B450EB">
        <w:t xml:space="preserve"> Paraná, que es uno de los núcleos más estables de la región. Sin embargo, los bosques inundables, que representan una proporción importante de la Amazonía, han mostrado mayores reducciones, pasando en algunos sectores de 11,1 a 9,7 </w:t>
      </w:r>
      <w:proofErr w:type="spellStart"/>
      <w:r w:rsidRPr="00B450EB">
        <w:t>KtC</w:t>
      </w:r>
      <w:proofErr w:type="spellEnd"/>
      <w:r w:rsidRPr="00B450EB">
        <w:t xml:space="preserve">/km², lo que equivale a pérdidas de hasta un 10 % de carbono en dos décadas. </w:t>
      </w:r>
    </w:p>
    <w:p w14:paraId="02A9BDEE" w14:textId="6FB0EBAF" w:rsidR="00B759FC" w:rsidRPr="00B450EB" w:rsidRDefault="00B759FC" w:rsidP="00B759FC">
      <w:pPr>
        <w:spacing w:before="240" w:after="240"/>
      </w:pPr>
      <w:r w:rsidRPr="00B450EB">
        <w:t xml:space="preserve">El informe también identifica un fenómeno de “degradación silenciosa”: más del 70% de la pérdida de carbono ocurre dentro de bosques que permanecen en pie, sin deforestación visible. Este proceso está asociado a factores como apertura del dosel, extracción selectiva de madera, alteraciones hidrológicas y estrés climático. En términos generales, mientras las áreas con protección sólida mantienen su papel como sumideros, las zonas sin control presentan emisiones netas, lo que reduce el potencial de captura regional. </w:t>
      </w:r>
    </w:p>
    <w:p w14:paraId="12FA86E7" w14:textId="7B8599A4" w:rsidR="00B759FC" w:rsidRPr="00B450EB" w:rsidRDefault="00B759FC" w:rsidP="00B759FC">
      <w:pPr>
        <w:spacing w:before="240" w:after="240"/>
      </w:pPr>
      <w:r w:rsidRPr="00B450EB">
        <w:t xml:space="preserve">Los resultados muestran que la Amazonía colombiana es un importante sumidero de carbono del continente, por su estado de conservación. Sin embargo, su capacidad de retención está en riesgo por diversos fenómenos como la deforestación, incendios forestales, actividades humanas, cambio climático, entre otros. Esto podría reducir progresivamente su capacidad, generando la posibilidad que la región pase de ser un sumidero para convertirse en una fuente neta de carbono (sistema que libera más carbono a la atmósfera de lo que absorbe), en las próximas décadas.  </w:t>
      </w:r>
    </w:p>
    <w:p w14:paraId="566C7D71" w14:textId="02503463" w:rsidR="00B759FC" w:rsidRPr="00B450EB" w:rsidRDefault="00B759FC" w:rsidP="00B759FC">
      <w:pPr>
        <w:spacing w:before="240" w:after="240"/>
      </w:pPr>
      <w:r w:rsidRPr="00B450EB">
        <w:lastRenderedPageBreak/>
        <w:t>Lo anterior, significaría que al pasar la Amazonía a fuente neta el balance regional de carbono se invierte</w:t>
      </w:r>
      <w:r w:rsidR="008500DE" w:rsidRPr="00B450EB">
        <w:t xml:space="preserve"> y</w:t>
      </w:r>
      <w:r w:rsidRPr="00B450EB">
        <w:t xml:space="preserve"> la selva emitiría más CO2 del que captura, lo cual sería una perdida irrecuperable en el balance térmico del planeta e influiría negativamente en los procesos de abastecimiento de agua, conservación de especies y otras dinámicas de la región. Esta situación ya muestra señales de materialización en la misma cuenca del rio Amazonas en la zona sur oriente donde se observa grandes focos de deforestación que han incrementado las olas de calor y sequias prolongadas, demostrando que el bosque puede llegar a funcionar como emisor neto al combinar los efectos de deforestación, incendios forestales, liberación de carbono por suelos expuestos, cambios de uso de suelo, entre otras dinámicas que se observan en un bosque deteriorado. Este cambio distorsiona el principio natural del bosque de retener este gas y pasa a emitirlo acelerando la acumulación de CO2 en la atmósfera. Por tanto, este suceso imposibilitaría cumplir metas climáticas establecidas en el acuerdo de Paris de mantener el incremento de la temperatura media del planeta en un incremento preferiblemente menor a 1.5 °C.  </w:t>
      </w:r>
    </w:p>
    <w:p w14:paraId="442DB1C1" w14:textId="67DB0AFA" w:rsidR="00DF5AE7" w:rsidRPr="00B450EB" w:rsidRDefault="00B759FC" w:rsidP="00DF5AE7">
      <w:pPr>
        <w:spacing w:before="240" w:after="240"/>
      </w:pPr>
      <w:r w:rsidRPr="00B450EB">
        <w:t>En conclusión, se identifica que una Amazonía emisora de CO2 implicaría en la aceleración del calentamiento global por pérdida del mayor sumidero tropical, esto puede llevar a cambios irreversibles en el clima regional y global; adicionalmente, para Colombia implicaría lluvias más inciertas en el piedemonte amazónico, mayor variabilidad hidrológica y menor confiabilidad de la humedad reciclada desde la Amazonía.</w:t>
      </w:r>
    </w:p>
    <w:p w14:paraId="77C1AA0B" w14:textId="3A643D8A" w:rsidR="008F27D3" w:rsidRPr="00B450EB" w:rsidRDefault="008F27D3" w:rsidP="001C1081">
      <w:pPr>
        <w:pStyle w:val="Prrafodelista"/>
        <w:numPr>
          <w:ilvl w:val="0"/>
          <w:numId w:val="9"/>
        </w:numPr>
        <w:spacing w:before="240" w:after="240"/>
        <w:rPr>
          <w:i/>
          <w:iCs/>
        </w:rPr>
      </w:pPr>
      <w:r w:rsidRPr="00B450EB">
        <w:rPr>
          <w:i/>
          <w:iCs/>
        </w:rPr>
        <w:t xml:space="preserve">Escenario de cambio </w:t>
      </w:r>
      <w:r w:rsidR="001F7413" w:rsidRPr="00B450EB">
        <w:rPr>
          <w:i/>
          <w:iCs/>
        </w:rPr>
        <w:t>climático</w:t>
      </w:r>
    </w:p>
    <w:p w14:paraId="05EFA06B" w14:textId="2F444DC5" w:rsidR="0057690D" w:rsidRPr="00B450EB" w:rsidRDefault="001F7413" w:rsidP="001F7413">
      <w:pPr>
        <w:spacing w:before="240" w:after="240"/>
      </w:pPr>
      <w:r w:rsidRPr="00B450EB">
        <w:t xml:space="preserve">El cambio en el uso </w:t>
      </w:r>
      <w:r w:rsidR="001B20F0" w:rsidRPr="00B450EB">
        <w:t xml:space="preserve">y silvicultura dados por diferentes actividades antrópicas como el uso de combustibles fósiles entre otras, genera emisiones de </w:t>
      </w:r>
      <w:r w:rsidR="00434281" w:rsidRPr="00B450EB">
        <w:t>gases efecto invernadero (GEI) como dióxido de carbono (CO</w:t>
      </w:r>
      <w:r w:rsidR="00434281" w:rsidRPr="00B450EB">
        <w:rPr>
          <w:vertAlign w:val="subscript"/>
        </w:rPr>
        <w:t>2</w:t>
      </w:r>
      <w:r w:rsidR="00434281" w:rsidRPr="00B450EB">
        <w:t>), clor</w:t>
      </w:r>
      <w:r w:rsidR="00636892" w:rsidRPr="00B450EB">
        <w:t>ofluorocarbonados</w:t>
      </w:r>
      <w:r w:rsidR="00E15B3F" w:rsidRPr="00B450EB">
        <w:t xml:space="preserve"> (</w:t>
      </w:r>
      <w:proofErr w:type="spellStart"/>
      <w:r w:rsidR="00E15B3F" w:rsidRPr="00B450EB">
        <w:t>CFC’s</w:t>
      </w:r>
      <w:proofErr w:type="spellEnd"/>
      <w:r w:rsidR="00E15B3F" w:rsidRPr="00B450EB">
        <w:t>), óxidos de nitrógeno (</w:t>
      </w:r>
      <w:proofErr w:type="spellStart"/>
      <w:r w:rsidR="00E15B3F" w:rsidRPr="00B450EB">
        <w:t>NO</w:t>
      </w:r>
      <w:r w:rsidR="00E15B3F" w:rsidRPr="00B450EB">
        <w:rPr>
          <w:vertAlign w:val="subscript"/>
        </w:rPr>
        <w:t>x</w:t>
      </w:r>
      <w:proofErr w:type="spellEnd"/>
      <w:r w:rsidR="00E15B3F" w:rsidRPr="00B450EB">
        <w:t>)</w:t>
      </w:r>
      <w:r w:rsidR="00C00065" w:rsidRPr="00B450EB">
        <w:t xml:space="preserve"> y metano </w:t>
      </w:r>
      <w:r w:rsidR="00A5072F" w:rsidRPr="00B450EB">
        <w:t>(CH</w:t>
      </w:r>
      <w:r w:rsidR="00A5072F" w:rsidRPr="00B450EB">
        <w:rPr>
          <w:vertAlign w:val="subscript"/>
        </w:rPr>
        <w:t>4</w:t>
      </w:r>
      <w:r w:rsidR="00A5072F" w:rsidRPr="00B450EB">
        <w:t>)</w:t>
      </w:r>
      <w:r w:rsidR="00087A9E" w:rsidRPr="00B450EB">
        <w:t xml:space="preserve">, por </w:t>
      </w:r>
      <w:r w:rsidR="00573C3A" w:rsidRPr="00B450EB">
        <w:t>tanto,</w:t>
      </w:r>
      <w:r w:rsidR="00087A9E" w:rsidRPr="00B450EB">
        <w:t xml:space="preserve"> las coberturas boscosas </w:t>
      </w:r>
      <w:r w:rsidR="003F49AB" w:rsidRPr="00B450EB">
        <w:t>a través</w:t>
      </w:r>
      <w:r w:rsidR="00087A9E" w:rsidRPr="00B450EB">
        <w:t xml:space="preserve"> de la fotosíntesis </w:t>
      </w:r>
      <w:r w:rsidR="003F49AB" w:rsidRPr="00B450EB">
        <w:t>tienen la capacidad de asimilar e in</w:t>
      </w:r>
      <w:r w:rsidR="00573C3A" w:rsidRPr="00B450EB">
        <w:t xml:space="preserve">corporarla a </w:t>
      </w:r>
      <w:r w:rsidR="00F26303" w:rsidRPr="00B450EB">
        <w:t>su estructura</w:t>
      </w:r>
      <w:r w:rsidR="003B3E79" w:rsidRPr="00B450EB">
        <w:t xml:space="preserve"> (Ordoñez &amp;Masera, 2001).</w:t>
      </w:r>
      <w:r w:rsidR="005461FA" w:rsidRPr="00B450EB">
        <w:t xml:space="preserve"> Es así </w:t>
      </w:r>
      <w:r w:rsidR="00E04340" w:rsidRPr="00B450EB">
        <w:t>como</w:t>
      </w:r>
      <w:r w:rsidR="00314FE3" w:rsidRPr="00B450EB">
        <w:t xml:space="preserve"> </w:t>
      </w:r>
      <w:r w:rsidR="003D10D8" w:rsidRPr="00B450EB">
        <w:t>la emisión a la atmosfera d</w:t>
      </w:r>
      <w:r w:rsidR="00314FE3" w:rsidRPr="00B450EB">
        <w:t>e</w:t>
      </w:r>
      <w:r w:rsidR="003D10D8" w:rsidRPr="00B450EB">
        <w:t xml:space="preserve"> </w:t>
      </w:r>
      <w:r w:rsidR="00314FE3" w:rsidRPr="00B450EB">
        <w:t>dióxido de carbono (CO</w:t>
      </w:r>
      <w:r w:rsidR="00314FE3" w:rsidRPr="00B450EB">
        <w:rPr>
          <w:vertAlign w:val="subscript"/>
        </w:rPr>
        <w:t>2</w:t>
      </w:r>
      <w:r w:rsidR="00314FE3" w:rsidRPr="00B450EB">
        <w:t>)</w:t>
      </w:r>
      <w:r w:rsidR="006D0198" w:rsidRPr="00B450EB">
        <w:t xml:space="preserve"> </w:t>
      </w:r>
      <w:r w:rsidR="00E76E40" w:rsidRPr="00B450EB">
        <w:t>por el cambio de uso del suelo ocupa el segundo lugar a n</w:t>
      </w:r>
      <w:r w:rsidR="002E3F6A" w:rsidRPr="00B450EB">
        <w:t>ivel mundial con una fuerte contribución en las zonas tropicales</w:t>
      </w:r>
      <w:r w:rsidR="005503AA" w:rsidRPr="00B450EB">
        <w:t>, en donde la contribución</w:t>
      </w:r>
      <w:r w:rsidR="00B01AE0" w:rsidRPr="00B450EB">
        <w:t xml:space="preserve"> </w:t>
      </w:r>
      <w:r w:rsidR="00527A2F" w:rsidRPr="00B450EB">
        <w:t xml:space="preserve">en Colombia representan en promedio alrededor del 41% de las emisiones totales del </w:t>
      </w:r>
      <w:r w:rsidR="00A747C1" w:rsidRPr="00B450EB">
        <w:t>país</w:t>
      </w:r>
      <w:r w:rsidR="00462E96" w:rsidRPr="00B450EB">
        <w:t xml:space="preserve"> reportado para el 2018 </w:t>
      </w:r>
      <w:r w:rsidR="00FC6FED" w:rsidRPr="00B450EB">
        <w:t>(</w:t>
      </w:r>
      <w:r w:rsidR="004E0432" w:rsidRPr="00B450EB">
        <w:t>107.069 ktCO</w:t>
      </w:r>
      <w:r w:rsidR="004E0432" w:rsidRPr="00B450EB">
        <w:rPr>
          <w:vertAlign w:val="subscript"/>
        </w:rPr>
        <w:t>2</w:t>
      </w:r>
      <w:r w:rsidR="004E0432" w:rsidRPr="00B450EB">
        <w:t>eq</w:t>
      </w:r>
      <w:r w:rsidR="00FC6FED" w:rsidRPr="00B450EB">
        <w:t>)</w:t>
      </w:r>
      <w:r w:rsidR="004E0432" w:rsidRPr="00B450EB">
        <w:t xml:space="preserve"> y 2021</w:t>
      </w:r>
      <w:r w:rsidR="00C9168D" w:rsidRPr="00B450EB">
        <w:t xml:space="preserve"> </w:t>
      </w:r>
      <w:r w:rsidR="00FC6FED" w:rsidRPr="00B450EB">
        <w:t>(</w:t>
      </w:r>
      <w:r w:rsidR="00C9168D" w:rsidRPr="00B450EB">
        <w:t>96.603 ktCO</w:t>
      </w:r>
      <w:r w:rsidR="00C9168D" w:rsidRPr="00B450EB">
        <w:rPr>
          <w:vertAlign w:val="subscript"/>
        </w:rPr>
        <w:t>2</w:t>
      </w:r>
      <w:r w:rsidR="00C9168D" w:rsidRPr="00B450EB">
        <w:t>eq</w:t>
      </w:r>
      <w:r w:rsidR="00FC6FED" w:rsidRPr="00B450EB">
        <w:t>)</w:t>
      </w:r>
      <w:r w:rsidR="00B14B36" w:rsidRPr="00B450EB">
        <w:t xml:space="preserve"> mostrando una reducción del 1,55% de las emisiones netas </w:t>
      </w:r>
      <w:r w:rsidR="008A3535" w:rsidRPr="00B450EB">
        <w:t>generadas en el sector LULUCF (</w:t>
      </w:r>
      <w:r w:rsidR="00A817B5" w:rsidRPr="00B450EB">
        <w:t>Sectores de Agricultura  Silvicultura, uso y cambio de uso de la tierra</w:t>
      </w:r>
      <w:r w:rsidR="008A3535" w:rsidRPr="00B450EB">
        <w:t>)</w:t>
      </w:r>
      <w:r w:rsidR="002D1D82" w:rsidRPr="00B450EB">
        <w:t xml:space="preserve"> estas emisiones se relacionan principalmente con las actividades de deforestación y degradación del bosque natural</w:t>
      </w:r>
      <w:r w:rsidR="00BF6AE5" w:rsidRPr="00B450EB">
        <w:t xml:space="preserve"> sumado a lo</w:t>
      </w:r>
      <w:r w:rsidR="00000921" w:rsidRPr="00B450EB">
        <w:t xml:space="preserve">s impactos residuales generados como la </w:t>
      </w:r>
      <w:r w:rsidR="00035139" w:rsidRPr="00B450EB">
        <w:t>pérdida</w:t>
      </w:r>
      <w:r w:rsidR="00000921" w:rsidRPr="00B450EB">
        <w:t xml:space="preserve"> de biodiver</w:t>
      </w:r>
      <w:r w:rsidR="00035139" w:rsidRPr="00B450EB">
        <w:t>sidad, conectividad</w:t>
      </w:r>
      <w:r w:rsidR="00862447" w:rsidRPr="00B450EB">
        <w:t xml:space="preserve"> y calidad de los suelos. </w:t>
      </w:r>
      <w:r w:rsidR="00AA10CA" w:rsidRPr="00B450EB">
        <w:t>Por otra parte</w:t>
      </w:r>
      <w:r w:rsidR="00277F92" w:rsidRPr="00B450EB">
        <w:t>,</w:t>
      </w:r>
      <w:r w:rsidR="00793F0E" w:rsidRPr="00B450EB">
        <w:t xml:space="preserve"> las emisiones </w:t>
      </w:r>
      <w:r w:rsidR="00277F92" w:rsidRPr="00B450EB">
        <w:t>generadas</w:t>
      </w:r>
      <w:r w:rsidR="0049445B" w:rsidRPr="00B450EB">
        <w:t xml:space="preserve"> </w:t>
      </w:r>
      <w:r w:rsidR="00793F0E" w:rsidRPr="00B450EB">
        <w:t xml:space="preserve">por la conversión </w:t>
      </w:r>
      <w:r w:rsidR="00A450EF" w:rsidRPr="00B450EB">
        <w:t xml:space="preserve">la categoría tierras </w:t>
      </w:r>
      <w:r w:rsidR="00A450EF" w:rsidRPr="00B450EB">
        <w:lastRenderedPageBreak/>
        <w:t>forestales</w:t>
      </w:r>
      <w:r w:rsidR="00375F9C" w:rsidRPr="00B450EB">
        <w:t xml:space="preserve"> a otro tipo de categorías definidas según el IPCC (2006), se evidencian emisiones </w:t>
      </w:r>
      <w:r w:rsidR="00407C2A" w:rsidRPr="00B450EB">
        <w:t xml:space="preserve">para el año 2021 </w:t>
      </w:r>
      <w:r w:rsidR="00A450EF" w:rsidRPr="00B450EB">
        <w:t>en la categoría</w:t>
      </w:r>
      <w:r w:rsidR="00F95E8D" w:rsidRPr="00B450EB">
        <w:t xml:space="preserve"> de pastos </w:t>
      </w:r>
      <w:r w:rsidR="004316B5" w:rsidRPr="00B450EB">
        <w:t xml:space="preserve">se </w:t>
      </w:r>
      <w:r w:rsidR="0049445B" w:rsidRPr="00B450EB">
        <w:t>estiman</w:t>
      </w:r>
      <w:r w:rsidR="004316B5" w:rsidRPr="00B450EB">
        <w:t xml:space="preserve"> 41.842,75 ktCO</w:t>
      </w:r>
      <w:r w:rsidR="004316B5" w:rsidRPr="00B450EB">
        <w:rPr>
          <w:vertAlign w:val="subscript"/>
        </w:rPr>
        <w:t>2</w:t>
      </w:r>
      <w:r w:rsidR="004316B5" w:rsidRPr="00B450EB">
        <w:t>eq</w:t>
      </w:r>
      <w:r w:rsidR="009A70D2" w:rsidRPr="00B450EB">
        <w:t xml:space="preserve">, </w:t>
      </w:r>
      <w:r w:rsidR="00277F92" w:rsidRPr="00B450EB">
        <w:t>así</w:t>
      </w:r>
      <w:r w:rsidR="00A72F5A" w:rsidRPr="00B450EB">
        <w:t xml:space="preserve"> </w:t>
      </w:r>
      <w:r w:rsidR="005C11F5" w:rsidRPr="00B450EB">
        <w:t>como</w:t>
      </w:r>
      <w:r w:rsidR="00A72F5A" w:rsidRPr="00B450EB">
        <w:t xml:space="preserve"> cultivos </w:t>
      </w:r>
      <w:r w:rsidR="003E6E40" w:rsidRPr="00B450EB">
        <w:t>1</w:t>
      </w:r>
      <w:r w:rsidR="002B068F" w:rsidRPr="00B450EB">
        <w:t>.</w:t>
      </w:r>
      <w:r w:rsidR="003E6E40" w:rsidRPr="00B450EB">
        <w:t>240,94 ktCO</w:t>
      </w:r>
      <w:r w:rsidR="003E6E40" w:rsidRPr="00B450EB">
        <w:rPr>
          <w:vertAlign w:val="subscript"/>
        </w:rPr>
        <w:t>2</w:t>
      </w:r>
      <w:r w:rsidR="003E6E40" w:rsidRPr="00B450EB">
        <w:t>eq</w:t>
      </w:r>
      <w:r w:rsidR="00ED4304" w:rsidRPr="00B450EB">
        <w:t>,</w:t>
      </w:r>
      <w:r w:rsidR="00334944" w:rsidRPr="00B450EB">
        <w:t xml:space="preserve"> humedales gestionados </w:t>
      </w:r>
      <w:r w:rsidR="002B068F" w:rsidRPr="00B450EB">
        <w:t>1.585,83 ktCO</w:t>
      </w:r>
      <w:r w:rsidR="002B068F" w:rsidRPr="00B450EB">
        <w:rPr>
          <w:vertAlign w:val="subscript"/>
        </w:rPr>
        <w:t>2</w:t>
      </w:r>
      <w:r w:rsidR="002B068F" w:rsidRPr="00B450EB">
        <w:t>eq</w:t>
      </w:r>
      <w:r w:rsidR="00ED4304" w:rsidRPr="00B450EB">
        <w:t>,</w:t>
      </w:r>
      <w:r w:rsidR="00375F9C" w:rsidRPr="00B450EB">
        <w:t xml:space="preserve"> asentamientos </w:t>
      </w:r>
      <w:r w:rsidR="00681C2C" w:rsidRPr="00B450EB">
        <w:t>112,64 ktCO</w:t>
      </w:r>
      <w:r w:rsidR="00681C2C" w:rsidRPr="00B450EB">
        <w:rPr>
          <w:vertAlign w:val="subscript"/>
        </w:rPr>
        <w:t>2</w:t>
      </w:r>
      <w:r w:rsidR="00681C2C" w:rsidRPr="00B450EB">
        <w:t xml:space="preserve">eq, </w:t>
      </w:r>
      <w:r w:rsidR="006A21BF" w:rsidRPr="00B450EB">
        <w:t>otras tierras 883,58 ktCO</w:t>
      </w:r>
      <w:r w:rsidR="006A21BF" w:rsidRPr="00B450EB">
        <w:rPr>
          <w:vertAlign w:val="subscript"/>
        </w:rPr>
        <w:t>2</w:t>
      </w:r>
      <w:r w:rsidR="006A21BF" w:rsidRPr="00B450EB">
        <w:t>eq</w:t>
      </w:r>
      <w:r w:rsidR="00FF68ED" w:rsidRPr="00B450EB">
        <w:t xml:space="preserve"> </w:t>
      </w:r>
      <w:r w:rsidR="006A21BF" w:rsidRPr="00B450EB">
        <w:t>(I</w:t>
      </w:r>
      <w:r w:rsidR="00CE79E3" w:rsidRPr="00B450EB">
        <w:t>DEAM</w:t>
      </w:r>
      <w:r w:rsidR="006A21BF" w:rsidRPr="00B450EB">
        <w:t xml:space="preserve">, </w:t>
      </w:r>
      <w:proofErr w:type="spellStart"/>
      <w:r w:rsidR="006A21BF" w:rsidRPr="00B450EB">
        <w:t>Miambiente</w:t>
      </w:r>
      <w:proofErr w:type="spellEnd"/>
      <w:r w:rsidR="006A21BF" w:rsidRPr="00B450EB">
        <w:t>, DNP, Cancillería, PNUD, Fundación natura, 2024).</w:t>
      </w:r>
    </w:p>
    <w:p w14:paraId="787B54C8" w14:textId="5A78D82E" w:rsidR="00AC6F6E" w:rsidRPr="00B450EB" w:rsidRDefault="007B5E79" w:rsidP="001F7413">
      <w:pPr>
        <w:spacing w:before="240" w:after="240"/>
      </w:pPr>
      <w:r w:rsidRPr="00B450EB">
        <w:t xml:space="preserve">Se ha venido evidenciando que </w:t>
      </w:r>
      <w:r w:rsidR="00FF68ED" w:rsidRPr="00B450EB">
        <w:t>la variación climática como</w:t>
      </w:r>
      <w:r w:rsidR="00862447" w:rsidRPr="00B450EB">
        <w:t xml:space="preserve"> el fenómeno del Niño es un factor determinante en la dinámica de emisiones nacionales de GEI debido al aumento de incendios forestales de coberturas vegetales </w:t>
      </w:r>
      <w:r w:rsidR="00BA2585" w:rsidRPr="00B450EB">
        <w:t xml:space="preserve">que </w:t>
      </w:r>
      <w:r w:rsidR="00862447" w:rsidRPr="00B450EB">
        <w:t xml:space="preserve">representan el 0,5% de las emisiones del sector LULUCF, es así que </w:t>
      </w:r>
      <w:r w:rsidR="008A3535" w:rsidRPr="00B450EB">
        <w:t>bajo dos escenarios</w:t>
      </w:r>
      <w:r w:rsidR="00A17CE8" w:rsidRPr="00B450EB">
        <w:t>,</w:t>
      </w:r>
      <w:r w:rsidR="008A3535" w:rsidRPr="00B450EB">
        <w:t xml:space="preserve"> el primero</w:t>
      </w:r>
      <w:r w:rsidR="001220E4" w:rsidRPr="00B450EB">
        <w:t xml:space="preserve"> con </w:t>
      </w:r>
      <w:r w:rsidR="002A403F" w:rsidRPr="00B450EB">
        <w:t>implementación</w:t>
      </w:r>
      <w:r w:rsidR="001220E4" w:rsidRPr="00B450EB">
        <w:t xml:space="preserve"> de </w:t>
      </w:r>
      <w:r w:rsidR="002A403F" w:rsidRPr="00B450EB">
        <w:t>medidas</w:t>
      </w:r>
      <w:r w:rsidR="001220E4" w:rsidRPr="00B450EB">
        <w:t xml:space="preserve"> de </w:t>
      </w:r>
      <w:r w:rsidR="002A403F" w:rsidRPr="00B450EB">
        <w:t>mitigació</w:t>
      </w:r>
      <w:r w:rsidR="005954F1" w:rsidRPr="00B450EB">
        <w:t>n</w:t>
      </w:r>
      <w:r w:rsidR="002A403F" w:rsidRPr="00B450EB">
        <w:t xml:space="preserve"> para 2025 </w:t>
      </w:r>
      <w:r w:rsidR="006026A3" w:rsidRPr="00B450EB">
        <w:t>se proyectan emisiones de apr</w:t>
      </w:r>
      <w:r w:rsidR="005954F1" w:rsidRPr="00B450EB">
        <w:t xml:space="preserve">oximadas de </w:t>
      </w:r>
      <w:r w:rsidR="002A403F" w:rsidRPr="00B450EB">
        <w:t>64.511 ktCO</w:t>
      </w:r>
      <w:r w:rsidR="002A403F" w:rsidRPr="00B450EB">
        <w:rPr>
          <w:vertAlign w:val="subscript"/>
        </w:rPr>
        <w:t>2</w:t>
      </w:r>
      <w:r w:rsidR="002A403F" w:rsidRPr="00B450EB">
        <w:t>eq y 2030 (</w:t>
      </w:r>
      <w:r w:rsidR="0072208C" w:rsidRPr="00B450EB">
        <w:t>18.347 ktCO</w:t>
      </w:r>
      <w:r w:rsidR="0072208C" w:rsidRPr="00B450EB">
        <w:rPr>
          <w:vertAlign w:val="subscript"/>
        </w:rPr>
        <w:t>2</w:t>
      </w:r>
      <w:r w:rsidR="0072208C" w:rsidRPr="00B450EB">
        <w:t xml:space="preserve">eq) con reducciones </w:t>
      </w:r>
      <w:r w:rsidR="00034982" w:rsidRPr="00B450EB">
        <w:t>representada</w:t>
      </w:r>
      <w:r w:rsidR="00196CEF" w:rsidRPr="00B450EB">
        <w:t>s</w:t>
      </w:r>
      <w:r w:rsidR="00034982" w:rsidRPr="00B450EB">
        <w:t xml:space="preserve"> en un 9,8% y 21% respectivamente </w:t>
      </w:r>
      <w:r w:rsidR="00DF47B3" w:rsidRPr="00B450EB">
        <w:t xml:space="preserve">y </w:t>
      </w:r>
      <w:r w:rsidR="00196CEF" w:rsidRPr="00B450EB">
        <w:t xml:space="preserve">bajo un </w:t>
      </w:r>
      <w:r w:rsidR="00DF47B3" w:rsidRPr="00B450EB">
        <w:t xml:space="preserve">segundo escenario sin </w:t>
      </w:r>
      <w:r w:rsidR="004F401E" w:rsidRPr="00B450EB">
        <w:t>implementación</w:t>
      </w:r>
      <w:r w:rsidR="00DF47B3" w:rsidRPr="00B450EB">
        <w:t xml:space="preserve"> de las medidas de mitigación se proyectan emisiones para 2025 </w:t>
      </w:r>
      <w:r w:rsidR="00196CEF" w:rsidRPr="00B450EB">
        <w:t xml:space="preserve"> de aproximadamente </w:t>
      </w:r>
      <w:r w:rsidR="004F401E" w:rsidRPr="00B450EB">
        <w:t>141.743 ktCO</w:t>
      </w:r>
      <w:r w:rsidR="004F401E" w:rsidRPr="00B450EB">
        <w:rPr>
          <w:vertAlign w:val="subscript"/>
        </w:rPr>
        <w:t>2</w:t>
      </w:r>
      <w:r w:rsidR="004F401E" w:rsidRPr="00B450EB">
        <w:t>eq y 2030 (117.938 ktCO</w:t>
      </w:r>
      <w:r w:rsidR="004F401E" w:rsidRPr="00B450EB">
        <w:rPr>
          <w:vertAlign w:val="subscript"/>
        </w:rPr>
        <w:t>2</w:t>
      </w:r>
      <w:r w:rsidR="004F401E" w:rsidRPr="00B450EB">
        <w:t>eq)</w:t>
      </w:r>
      <w:r w:rsidR="00BA0389" w:rsidRPr="00B450EB">
        <w:t xml:space="preserve"> incrementando en 18,5% </w:t>
      </w:r>
      <w:r w:rsidR="0084585C" w:rsidRPr="00B450EB">
        <w:t>entre 2021 y 2025 y 24% entre 2025 a 2030 (</w:t>
      </w:r>
      <w:r w:rsidR="00353F60" w:rsidRPr="00B450EB">
        <w:t>I</w:t>
      </w:r>
      <w:r w:rsidR="002E4306" w:rsidRPr="00B450EB">
        <w:t>DEAM</w:t>
      </w:r>
      <w:r w:rsidR="00353F60" w:rsidRPr="00B450EB">
        <w:t xml:space="preserve">, </w:t>
      </w:r>
      <w:proofErr w:type="spellStart"/>
      <w:r w:rsidR="00353F60" w:rsidRPr="00B450EB">
        <w:t>Miambiente</w:t>
      </w:r>
      <w:proofErr w:type="spellEnd"/>
      <w:r w:rsidR="00353F60" w:rsidRPr="00B450EB">
        <w:t>, DNP, Cancillería, PNUD, Fundación natura, 2024).</w:t>
      </w:r>
    </w:p>
    <w:p w14:paraId="713DE0A4" w14:textId="10A83B32" w:rsidR="00344319" w:rsidRPr="00B450EB" w:rsidRDefault="00FE5886" w:rsidP="00457586">
      <w:pPr>
        <w:spacing w:before="240" w:after="240"/>
      </w:pPr>
      <w:r w:rsidRPr="00B450EB">
        <w:t xml:space="preserve">En cuanto al bioma </w:t>
      </w:r>
      <w:r w:rsidR="007941C2" w:rsidRPr="00B450EB">
        <w:t>amazónico</w:t>
      </w:r>
      <w:r w:rsidRPr="00B450EB">
        <w:t xml:space="preserve"> </w:t>
      </w:r>
      <w:r w:rsidR="007941C2" w:rsidRPr="00B450EB">
        <w:t xml:space="preserve">debido a su importancia no solo por el almacenamiento y regulación de </w:t>
      </w:r>
      <w:r w:rsidR="00572B7F" w:rsidRPr="00B450EB">
        <w:t>carbono</w:t>
      </w:r>
      <w:r w:rsidR="007941C2" w:rsidRPr="00B450EB">
        <w:t xml:space="preserve"> sino también </w:t>
      </w:r>
      <w:r w:rsidR="00572B7F" w:rsidRPr="00B450EB">
        <w:t xml:space="preserve">la capacidad de amortiguación del cambio </w:t>
      </w:r>
      <w:r w:rsidR="005D56D0" w:rsidRPr="00B450EB">
        <w:t>climático (</w:t>
      </w:r>
      <w:proofErr w:type="spellStart"/>
      <w:r w:rsidR="005D56D0" w:rsidRPr="00B450EB">
        <w:t>Baccini</w:t>
      </w:r>
      <w:proofErr w:type="spellEnd"/>
      <w:r w:rsidR="005D56D0" w:rsidRPr="00B450EB">
        <w:t xml:space="preserve"> et al., 2017). </w:t>
      </w:r>
      <w:r w:rsidR="00CF0F31" w:rsidRPr="00B450EB">
        <w:t xml:space="preserve"> En donde s</w:t>
      </w:r>
      <w:r w:rsidR="00964A14" w:rsidRPr="00B450EB">
        <w:t xml:space="preserve">e ha registrado en la amazonia </w:t>
      </w:r>
      <w:r w:rsidR="00FE55DC" w:rsidRPr="00B450EB">
        <w:t>colombiana</w:t>
      </w:r>
      <w:r w:rsidR="00964A14" w:rsidRPr="00B450EB">
        <w:t xml:space="preserve"> el carbono almacenado en áreas de territorios indígenas captura de carbono estimad</w:t>
      </w:r>
      <w:r w:rsidR="00D241A1" w:rsidRPr="00B450EB">
        <w:t xml:space="preserve">a de </w:t>
      </w:r>
      <w:r w:rsidR="0075558F" w:rsidRPr="00B450EB">
        <w:t xml:space="preserve">3,430 </w:t>
      </w:r>
      <w:proofErr w:type="spellStart"/>
      <w:r w:rsidR="0075558F" w:rsidRPr="00B450EB">
        <w:t>ktC</w:t>
      </w:r>
      <w:proofErr w:type="spellEnd"/>
      <w:r w:rsidR="002C630D" w:rsidRPr="00B450EB">
        <w:t xml:space="preserve">, en áreas de parque nacional natural </w:t>
      </w:r>
      <w:r w:rsidR="00B1172C" w:rsidRPr="00B450EB">
        <w:t xml:space="preserve">1,155 </w:t>
      </w:r>
      <w:proofErr w:type="spellStart"/>
      <w:r w:rsidR="00B1172C" w:rsidRPr="00B450EB">
        <w:t>ktC</w:t>
      </w:r>
      <w:proofErr w:type="spellEnd"/>
      <w:r w:rsidR="00B1172C" w:rsidRPr="00B450EB">
        <w:t xml:space="preserve">, y en tierras indígenas en parque nacionales naturales 484 </w:t>
      </w:r>
      <w:proofErr w:type="spellStart"/>
      <w:r w:rsidR="00B1172C" w:rsidRPr="00B450EB">
        <w:t>ktC</w:t>
      </w:r>
      <w:proofErr w:type="spellEnd"/>
      <w:r w:rsidR="00445D40" w:rsidRPr="00B450EB">
        <w:t xml:space="preserve"> y en otro tipo de figura 484 </w:t>
      </w:r>
      <w:proofErr w:type="spellStart"/>
      <w:r w:rsidR="00445D40" w:rsidRPr="00B450EB">
        <w:t>ktC</w:t>
      </w:r>
      <w:proofErr w:type="spellEnd"/>
      <w:r w:rsidR="00445D40" w:rsidRPr="00B450EB">
        <w:t xml:space="preserve"> donde se evidencia l</w:t>
      </w:r>
      <w:r w:rsidR="00DD360F" w:rsidRPr="00B450EB">
        <w:t xml:space="preserve">a función estratégica </w:t>
      </w:r>
      <w:r w:rsidR="00EB06B6" w:rsidRPr="00B450EB">
        <w:t xml:space="preserve">de áreas de protección las cuales reflejan menores niveles de intervención y degradación. </w:t>
      </w:r>
      <w:r w:rsidR="00FE55DC" w:rsidRPr="00B450EB">
        <w:t xml:space="preserve">Según estudio realizado por </w:t>
      </w:r>
      <w:r w:rsidR="00A37646" w:rsidRPr="00B450EB">
        <w:t>RAISG (2025)</w:t>
      </w:r>
      <w:r w:rsidR="00FE55DC" w:rsidRPr="00B450EB">
        <w:t xml:space="preserve"> evidenci</w:t>
      </w:r>
      <w:r w:rsidR="009807C5" w:rsidRPr="00B450EB">
        <w:t xml:space="preserve">a </w:t>
      </w:r>
      <w:r w:rsidR="00620B65" w:rsidRPr="00B450EB">
        <w:t xml:space="preserve">en áreas sin ninguna figura de protección se registran </w:t>
      </w:r>
      <w:r w:rsidR="009C2BF5" w:rsidRPr="00B450EB">
        <w:t>pérdidas</w:t>
      </w:r>
      <w:r w:rsidR="002010D8" w:rsidRPr="00B450EB">
        <w:t xml:space="preserve"> de carbono </w:t>
      </w:r>
      <w:r w:rsidR="009C2BF5" w:rsidRPr="00B450EB">
        <w:t xml:space="preserve">para el año 2023 </w:t>
      </w:r>
      <w:r w:rsidR="003B5115" w:rsidRPr="00B450EB">
        <w:t xml:space="preserve">cercanas a 1.2 </w:t>
      </w:r>
      <w:proofErr w:type="spellStart"/>
      <w:r w:rsidR="009A2841" w:rsidRPr="00B450EB">
        <w:t>ktC</w:t>
      </w:r>
      <w:proofErr w:type="spellEnd"/>
      <w:r w:rsidR="009A2841" w:rsidRPr="00B450EB">
        <w:t>/ha</w:t>
      </w:r>
      <w:r w:rsidR="009C2BF5" w:rsidRPr="00B450EB">
        <w:t xml:space="preserve"> mientras </w:t>
      </w:r>
      <w:r w:rsidR="00BE0004" w:rsidRPr="00B450EB">
        <w:t xml:space="preserve">áreas con alguna figura de protección como tierras indígenas y parques nacionales naturales las </w:t>
      </w:r>
      <w:r w:rsidR="00F02935" w:rsidRPr="00B450EB">
        <w:t>pérdidas</w:t>
      </w:r>
      <w:r w:rsidR="00BE0004" w:rsidRPr="00B450EB">
        <w:t xml:space="preserve"> de carbono son moderadas aproximadas de 0.4 a 0.6 </w:t>
      </w:r>
      <w:proofErr w:type="spellStart"/>
      <w:r w:rsidR="00BE0004" w:rsidRPr="00B450EB">
        <w:t>ktC</w:t>
      </w:r>
      <w:proofErr w:type="spellEnd"/>
      <w:r w:rsidR="00EB626C" w:rsidRPr="00B450EB">
        <w:t xml:space="preserve">, lo cual evidencia los procesos de degradación silenciosa que están </w:t>
      </w:r>
      <w:r w:rsidR="00E47BB5" w:rsidRPr="00B450EB">
        <w:t>ligados a procesos de degradación interna del bosque</w:t>
      </w:r>
      <w:r w:rsidR="001665E2" w:rsidRPr="00B450EB">
        <w:t xml:space="preserve"> </w:t>
      </w:r>
      <w:r w:rsidR="0086589F" w:rsidRPr="00B450EB">
        <w:t>donde el impacto absoluto es significativo e incluso muestra que los mayores reservorios de carbono de la región no están exentos de la degradación progresiva</w:t>
      </w:r>
      <w:r w:rsidR="00344319" w:rsidRPr="00B450EB">
        <w:t>.</w:t>
      </w:r>
    </w:p>
    <w:p w14:paraId="2315D368" w14:textId="14AEF0EA" w:rsidR="00964A14" w:rsidRPr="00B450EB" w:rsidRDefault="008A795B" w:rsidP="001F7413">
      <w:pPr>
        <w:spacing w:before="240" w:after="240"/>
      </w:pPr>
      <w:r w:rsidRPr="00B450EB">
        <w:t>Otros autores (</w:t>
      </w:r>
      <w:proofErr w:type="spellStart"/>
      <w:r w:rsidR="0090496A" w:rsidRPr="00B450EB">
        <w:t>Brienen</w:t>
      </w:r>
      <w:proofErr w:type="spellEnd"/>
      <w:r w:rsidR="0090496A" w:rsidRPr="00B450EB">
        <w:t xml:space="preserve">, 2015; </w:t>
      </w:r>
      <w:proofErr w:type="spellStart"/>
      <w:r w:rsidR="0047686A" w:rsidRPr="00B450EB">
        <w:t>Dougfty</w:t>
      </w:r>
      <w:proofErr w:type="spellEnd"/>
      <w:r w:rsidR="0047686A" w:rsidRPr="00B450EB">
        <w:t>, 2015; Silva</w:t>
      </w:r>
      <w:r w:rsidR="00B17249" w:rsidRPr="00B450EB">
        <w:t>, 2020; Liu, 2017</w:t>
      </w:r>
      <w:r w:rsidRPr="00B450EB">
        <w:t>)</w:t>
      </w:r>
      <w:r w:rsidR="006E727C" w:rsidRPr="00B450EB">
        <w:t xml:space="preserve"> indican que la Amazonia colombiana </w:t>
      </w:r>
      <w:r w:rsidR="00657457" w:rsidRPr="00B450EB">
        <w:t>está</w:t>
      </w:r>
      <w:r w:rsidR="006E727C" w:rsidRPr="00B450EB">
        <w:t xml:space="preserve"> dejando de cumplir su rol como </w:t>
      </w:r>
      <w:r w:rsidR="00542BC8" w:rsidRPr="00B450EB">
        <w:t xml:space="preserve">sumidero de carbono </w:t>
      </w:r>
      <w:r w:rsidR="00C64187" w:rsidRPr="00B450EB">
        <w:t>debido a las fuertes presiones antrópicas</w:t>
      </w:r>
      <w:r w:rsidR="001B329D" w:rsidRPr="00B450EB">
        <w:t xml:space="preserve">, entendiendo </w:t>
      </w:r>
      <w:r w:rsidR="005423D9" w:rsidRPr="00B450EB">
        <w:t xml:space="preserve">que la </w:t>
      </w:r>
      <w:r w:rsidR="00253C97" w:rsidRPr="00B450EB">
        <w:t>Amazonia presenta un flujo de carbono</w:t>
      </w:r>
      <w:r w:rsidR="00A12A00" w:rsidRPr="00B450EB">
        <w:t xml:space="preserve"> y agua de los ecosistemas donde se </w:t>
      </w:r>
      <w:r w:rsidR="00457586" w:rsidRPr="00B450EB">
        <w:t xml:space="preserve">estima que la </w:t>
      </w:r>
      <w:r w:rsidR="00A12A00" w:rsidRPr="00B450EB">
        <w:t>evapotranspiración</w:t>
      </w:r>
      <w:r w:rsidR="00457586" w:rsidRPr="00B450EB">
        <w:t xml:space="preserve"> es responsable de 25 al 25% de la precipitación tot</w:t>
      </w:r>
      <w:r w:rsidR="00A12A00" w:rsidRPr="00B450EB">
        <w:t>al</w:t>
      </w:r>
      <w:r w:rsidR="008B7C54" w:rsidRPr="00B450EB">
        <w:t>, en donde</w:t>
      </w:r>
      <w:r w:rsidR="00084519" w:rsidRPr="00B450EB">
        <w:t xml:space="preserve"> </w:t>
      </w:r>
      <w:r w:rsidR="00021B03" w:rsidRPr="00B450EB">
        <w:t xml:space="preserve">que </w:t>
      </w:r>
      <w:r w:rsidR="008B7C54" w:rsidRPr="00B450EB">
        <w:t xml:space="preserve">la perdida de cobertura boscosa </w:t>
      </w:r>
      <w:r w:rsidR="00E6060F" w:rsidRPr="00B450EB">
        <w:t xml:space="preserve">aumenta la temperatura y reduce la </w:t>
      </w:r>
      <w:r w:rsidR="00E6060F" w:rsidRPr="00B450EB">
        <w:lastRenderedPageBreak/>
        <w:t>evapotranspiración</w:t>
      </w:r>
      <w:r w:rsidR="00CA7774" w:rsidRPr="00B450EB">
        <w:t>.</w:t>
      </w:r>
      <w:r w:rsidR="009A729B" w:rsidRPr="00B450EB">
        <w:t xml:space="preserve"> Debido a las </w:t>
      </w:r>
      <w:r w:rsidR="00CA7774" w:rsidRPr="00B450EB">
        <w:t xml:space="preserve">tendencias </w:t>
      </w:r>
      <w:r w:rsidR="00E9360C" w:rsidRPr="00B450EB">
        <w:t xml:space="preserve">climáticas </w:t>
      </w:r>
      <w:r w:rsidR="00021B03" w:rsidRPr="00B450EB">
        <w:t xml:space="preserve">donde se referencia mayores </w:t>
      </w:r>
      <w:r w:rsidR="00E9360C" w:rsidRPr="00B450EB">
        <w:t>estaciones secas</w:t>
      </w:r>
      <w:r w:rsidR="00AD60D8" w:rsidRPr="00B450EB">
        <w:t xml:space="preserve"> hac</w:t>
      </w:r>
      <w:r w:rsidR="0067580B" w:rsidRPr="00B450EB">
        <w:t>iendo</w:t>
      </w:r>
      <w:r w:rsidR="00AD60D8" w:rsidRPr="00B450EB">
        <w:t xml:space="preserve"> que el bioma amazónico</w:t>
      </w:r>
      <w:r w:rsidR="00D713EF" w:rsidRPr="00B450EB">
        <w:t xml:space="preserve"> </w:t>
      </w:r>
      <w:r w:rsidR="00B65599" w:rsidRPr="00B450EB">
        <w:t>sea más</w:t>
      </w:r>
      <w:r w:rsidR="00D713EF" w:rsidRPr="00B450EB">
        <w:t xml:space="preserve"> susceptibles a quemas e incendios</w:t>
      </w:r>
      <w:r w:rsidR="002F45E0" w:rsidRPr="00B450EB">
        <w:t xml:space="preserve">, en donde </w:t>
      </w:r>
      <w:r w:rsidR="00E94EB8" w:rsidRPr="00B450EB">
        <w:t xml:space="preserve">se han determinado que después de 30 años el área </w:t>
      </w:r>
      <w:r w:rsidR="003006C6" w:rsidRPr="00B450EB">
        <w:t>quemada</w:t>
      </w:r>
      <w:r w:rsidR="00E94EB8" w:rsidRPr="00B450EB">
        <w:t xml:space="preserve"> </w:t>
      </w:r>
      <w:r w:rsidR="00326699" w:rsidRPr="00B450EB">
        <w:t>sigue siendo fuente de CO</w:t>
      </w:r>
      <w:r w:rsidR="00326699" w:rsidRPr="00B450EB">
        <w:rPr>
          <w:vertAlign w:val="subscript"/>
        </w:rPr>
        <w:t xml:space="preserve">2 </w:t>
      </w:r>
      <w:r w:rsidR="00326699" w:rsidRPr="00B450EB">
        <w:t>a la atmosfera</w:t>
      </w:r>
      <w:r w:rsidR="00950E1D" w:rsidRPr="00B450EB">
        <w:t xml:space="preserve"> en donde el 73% resulto posterior mortalidad </w:t>
      </w:r>
      <w:r w:rsidR="00AE456F" w:rsidRPr="00B450EB">
        <w:t xml:space="preserve">y descomposición de los </w:t>
      </w:r>
      <w:r w:rsidR="00793D63" w:rsidRPr="00B450EB">
        <w:t>árboles</w:t>
      </w:r>
      <w:r w:rsidR="00AE456F" w:rsidRPr="00B450EB">
        <w:t xml:space="preserve">, esta </w:t>
      </w:r>
      <w:r w:rsidR="009C2CF3" w:rsidRPr="00B450EB">
        <w:t>emisión no pudo ser compensada por las adsorciones de CO</w:t>
      </w:r>
      <w:r w:rsidR="009C2CF3" w:rsidRPr="00B450EB">
        <w:rPr>
          <w:vertAlign w:val="subscript"/>
        </w:rPr>
        <w:t>2</w:t>
      </w:r>
      <w:r w:rsidR="00CA2FF1" w:rsidRPr="00B450EB">
        <w:t xml:space="preserve"> por la </w:t>
      </w:r>
      <w:r w:rsidR="00793D63" w:rsidRPr="00B450EB">
        <w:t>fotosíntesis</w:t>
      </w:r>
      <w:r w:rsidR="00CA2FF1" w:rsidRPr="00B450EB">
        <w:t xml:space="preserve"> en el caso de bosques no perturbados </w:t>
      </w:r>
      <w:r w:rsidR="00DC222B" w:rsidRPr="00B450EB">
        <w:t xml:space="preserve">en donde el aumento de temperatura y estrés hídrico </w:t>
      </w:r>
      <w:r w:rsidR="00D94508" w:rsidRPr="00B450EB">
        <w:t xml:space="preserve">pueden aumentar la mortalidad de </w:t>
      </w:r>
      <w:r w:rsidR="00F02935" w:rsidRPr="00B450EB">
        <w:t>árboles</w:t>
      </w:r>
      <w:r w:rsidR="009D1CC0" w:rsidRPr="00B450EB">
        <w:t xml:space="preserve"> y afectar negativamente la absorción </w:t>
      </w:r>
      <w:r w:rsidR="000F0F5C" w:rsidRPr="00B450EB">
        <w:t>fotosintética</w:t>
      </w:r>
      <w:r w:rsidR="009D1CC0" w:rsidRPr="00B450EB">
        <w:t xml:space="preserve">, además </w:t>
      </w:r>
      <w:r w:rsidR="00187DB7" w:rsidRPr="00B450EB">
        <w:t xml:space="preserve">con temperaturas </w:t>
      </w:r>
      <w:r w:rsidR="00F02935" w:rsidRPr="00B450EB">
        <w:t>más</w:t>
      </w:r>
      <w:r w:rsidR="00187DB7" w:rsidRPr="00B450EB">
        <w:t xml:space="preserve"> altas derivan</w:t>
      </w:r>
      <w:r w:rsidR="00353E79" w:rsidRPr="00B450EB">
        <w:t xml:space="preserve"> a mayores tasas de descomposición </w:t>
      </w:r>
      <w:r w:rsidR="006E2A26" w:rsidRPr="00B450EB">
        <w:t>del carbono almacenado en el suelo en bosque intactos y sin perturbación</w:t>
      </w:r>
      <w:r w:rsidR="00B11A1B" w:rsidRPr="00B450EB">
        <w:t>, donde se evidencia una correlación entre las tendencias climáticas y flujos de carbono</w:t>
      </w:r>
      <w:r w:rsidR="00AE7994" w:rsidRPr="00B450EB">
        <w:t xml:space="preserve"> entre 2010 y 2018 sugiriendo que dichas interacciones pueden tener efectos a largo plazo </w:t>
      </w:r>
      <w:r w:rsidRPr="00B450EB">
        <w:t xml:space="preserve">en el balance de carbono amazónico, </w:t>
      </w:r>
      <w:r w:rsidR="00542BC8" w:rsidRPr="00B450EB">
        <w:t>representando un desafío significativo para la estabilidad climática a nivel regional, nacional y global</w:t>
      </w:r>
      <w:r w:rsidR="00E13A50" w:rsidRPr="00B450EB">
        <w:t xml:space="preserve"> (Gatti et al, 2021).</w:t>
      </w:r>
    </w:p>
    <w:p w14:paraId="00C7AAA5" w14:textId="12DCD683" w:rsidR="008D381B" w:rsidRPr="00B450EB" w:rsidRDefault="001231A3" w:rsidP="001231A3">
      <w:pPr>
        <w:pStyle w:val="Ttulo2"/>
        <w:rPr>
          <w:b/>
          <w:bCs/>
        </w:rPr>
      </w:pPr>
      <w:bookmarkStart w:id="242" w:name="_Toc209722967"/>
      <w:r w:rsidRPr="00B450EB">
        <w:rPr>
          <w:b/>
          <w:bCs/>
        </w:rPr>
        <w:t xml:space="preserve">10.4. </w:t>
      </w:r>
      <w:r w:rsidR="008D381B" w:rsidRPr="00B450EB">
        <w:rPr>
          <w:b/>
          <w:bCs/>
        </w:rPr>
        <w:t xml:space="preserve">Riesgo Asociado Al Cambio </w:t>
      </w:r>
      <w:r w:rsidR="008D381B" w:rsidRPr="00B450EB">
        <w:rPr>
          <w:rFonts w:asciiTheme="minorHAnsi" w:hAnsiTheme="minorHAnsi"/>
          <w:b/>
          <w:bCs/>
          <w:szCs w:val="24"/>
        </w:rPr>
        <w:t>Climático</w:t>
      </w:r>
      <w:bookmarkEnd w:id="242"/>
    </w:p>
    <w:p w14:paraId="06EA3B2F" w14:textId="74F6F728" w:rsidR="008D381B" w:rsidRPr="00B450EB" w:rsidRDefault="001231A3" w:rsidP="00537536">
      <w:pPr>
        <w:pStyle w:val="Ttulo3"/>
      </w:pPr>
      <w:bookmarkStart w:id="243" w:name="_Toc209722968"/>
      <w:bookmarkStart w:id="244" w:name="_Hlk209099482"/>
      <w:r w:rsidRPr="00B450EB">
        <w:t xml:space="preserve">10.4.1. </w:t>
      </w:r>
      <w:r w:rsidR="008D381B" w:rsidRPr="00B450EB">
        <w:t>índice de riesgo climático en la dimensión del recurso hídrico</w:t>
      </w:r>
      <w:bookmarkEnd w:id="243"/>
      <w:r w:rsidR="008D381B" w:rsidRPr="00B450EB">
        <w:t xml:space="preserve"> </w:t>
      </w:r>
    </w:p>
    <w:p w14:paraId="58EA8504" w14:textId="77777777" w:rsidR="00870A1A" w:rsidRPr="00B450EB" w:rsidRDefault="008D381B" w:rsidP="008D381B">
      <w:r w:rsidRPr="00B450EB">
        <w:t xml:space="preserve">El </w:t>
      </w:r>
      <w:r w:rsidR="3C8A9A3E" w:rsidRPr="00B450EB">
        <w:t>Índice</w:t>
      </w:r>
      <w:r w:rsidRPr="00B450EB">
        <w:t xml:space="preserve"> de </w:t>
      </w:r>
      <w:r w:rsidR="3C8A9A3E" w:rsidRPr="00B450EB">
        <w:t>Riesgo Climático</w:t>
      </w:r>
      <w:r w:rsidRPr="00B450EB">
        <w:t xml:space="preserve"> en la dimensión del </w:t>
      </w:r>
      <w:r w:rsidR="3C8A9A3E" w:rsidRPr="00B450EB">
        <w:t>Recurso Hídrico</w:t>
      </w:r>
      <w:r w:rsidRPr="00B450EB">
        <w:t xml:space="preserve"> se obtuvo a partir del cruce </w:t>
      </w:r>
      <w:r w:rsidR="3C8A9A3E" w:rsidRPr="00B450EB">
        <w:t xml:space="preserve">metodológico </w:t>
      </w:r>
      <w:r w:rsidRPr="00B450EB">
        <w:t xml:space="preserve">entre la </w:t>
      </w:r>
      <w:r w:rsidR="3C8A9A3E" w:rsidRPr="00B450EB">
        <w:t xml:space="preserve">Amenaza y la Vulnerabilidad. La Amenaza se define por las </w:t>
      </w:r>
      <w:r w:rsidRPr="00B450EB">
        <w:t xml:space="preserve">condiciones proyectadas de incremento de precipitación y temperatura </w:t>
      </w:r>
      <w:r w:rsidR="3C8A9A3E" w:rsidRPr="00B450EB">
        <w:t>bajo</w:t>
      </w:r>
      <w:r w:rsidRPr="00B450EB">
        <w:t xml:space="preserve"> el escenario SSP5</w:t>
      </w:r>
      <w:r w:rsidR="001B0836" w:rsidRPr="00B450EB">
        <w:t xml:space="preserve"> (</w:t>
      </w:r>
      <w:r w:rsidR="2BB54A5A" w:rsidRPr="00B450EB">
        <w:t>Desarrollo</w:t>
      </w:r>
      <w:r w:rsidR="001B0836" w:rsidRPr="00B450EB">
        <w:t xml:space="preserve"> impulsado por combustibles fósiles</w:t>
      </w:r>
      <w:r w:rsidR="2BB54A5A" w:rsidRPr="00B450EB">
        <w:t>). Este escenario se seleccionó por ser el más crítico, ya que proyecta el mayor aumento de emisiones a finales de siglo</w:t>
      </w:r>
      <w:r w:rsidR="3C8A9A3E" w:rsidRPr="00B450EB">
        <w:t>, y sus</w:t>
      </w:r>
      <w:r w:rsidR="2BB54A5A" w:rsidRPr="00B450EB">
        <w:t xml:space="preserve"> proyecciones climáticas son muy similares a las del SSP3 (futuro de desigualdad regional), lo que </w:t>
      </w:r>
      <w:r w:rsidR="3C8A9A3E" w:rsidRPr="00B450EB">
        <w:t>asegura</w:t>
      </w:r>
      <w:r w:rsidR="2BB54A5A" w:rsidRPr="00B450EB">
        <w:t xml:space="preserve"> que la evaluación del riesgo se base en los escenarios de mayor presión climática y mayor impacto ambiental</w:t>
      </w:r>
      <w:r w:rsidRPr="00B450EB">
        <w:t xml:space="preserve"> que intensifican la probabilidad de desabastecimiento y eventos hidrometeorológicos</w:t>
      </w:r>
      <w:r w:rsidR="3C8A9A3E" w:rsidRPr="00B450EB">
        <w:t xml:space="preserve">. </w:t>
      </w:r>
    </w:p>
    <w:p w14:paraId="49E5EFA3" w14:textId="1EDC798B" w:rsidR="008D381B" w:rsidRPr="00B450EB" w:rsidRDefault="3C8A9A3E" w:rsidP="008D381B">
      <w:r w:rsidRPr="00B450EB">
        <w:t xml:space="preserve">Por su parte, la Vulnerabilidad es el </w:t>
      </w:r>
      <w:r w:rsidR="008D381B" w:rsidRPr="00B450EB">
        <w:t>resultado de combinar la sensibilidad de los municipios frente al desabastecimiento hídrico con su capacidad adaptativa de respuesta</w:t>
      </w:r>
      <w:r w:rsidRPr="00B450EB">
        <w:t xml:space="preserve"> institucional e infraestructural.</w:t>
      </w:r>
      <w:r w:rsidR="008D381B" w:rsidRPr="00B450EB">
        <w:t xml:space="preserve"> Esta metodología, basada en los lineamientos del SIIVRA y la Cuarta Comunicación Nacional de Cambio Climático</w:t>
      </w:r>
      <w:r w:rsidRPr="00B450EB">
        <w:t xml:space="preserve"> (IDEAM, y otros, 2024),</w:t>
      </w:r>
      <w:r w:rsidR="008D381B" w:rsidRPr="00B450EB">
        <w:t xml:space="preserve"> permite identificar territorios donde la presión climática y las limitaciones se superponen, elevando </w:t>
      </w:r>
      <w:r w:rsidRPr="00B450EB">
        <w:t xml:space="preserve">consecuentemente </w:t>
      </w:r>
      <w:r w:rsidR="008D381B" w:rsidRPr="00B450EB">
        <w:t>el nivel de riesgo</w:t>
      </w:r>
      <w:r w:rsidRPr="00B450EB">
        <w:t>.</w:t>
      </w:r>
      <w:r w:rsidR="008D381B" w:rsidRPr="00B450EB">
        <w:t xml:space="preserve"> </w:t>
      </w:r>
      <w:sdt>
        <w:sdtPr>
          <w:id w:val="893236850"/>
          <w:citation/>
        </w:sdtPr>
        <w:sdtContent>
          <w:r w:rsidR="008D381B" w:rsidRPr="00B450EB">
            <w:rPr>
              <w:lang w:val="es-ES"/>
            </w:rPr>
            <w:fldChar w:fldCharType="begin"/>
          </w:r>
          <w:r w:rsidR="008D381B" w:rsidRPr="00B450EB">
            <w:rPr>
              <w:lang w:val="es-ES"/>
            </w:rPr>
            <w:instrText xml:space="preserve">CITATION Ide24 \l 3082 </w:instrText>
          </w:r>
          <w:r w:rsidR="008D381B" w:rsidRPr="00B450EB">
            <w:fldChar w:fldCharType="separate"/>
          </w:r>
          <w:r w:rsidR="0077091E" w:rsidRPr="00B450EB">
            <w:rPr>
              <w:noProof/>
              <w:lang w:val="es-ES"/>
            </w:rPr>
            <w:t>(IDEAM, y otros, 2024)</w:t>
          </w:r>
          <w:r w:rsidR="008D381B" w:rsidRPr="00B450EB">
            <w:fldChar w:fldCharType="end"/>
          </w:r>
        </w:sdtContent>
      </w:sdt>
      <w:r w:rsidR="2D9B26B3" w:rsidRPr="00B450EB">
        <w:t>.</w:t>
      </w:r>
    </w:p>
    <w:p w14:paraId="152722F9" w14:textId="77777777" w:rsidR="008D381B" w:rsidRPr="00B450EB" w:rsidRDefault="008D381B" w:rsidP="008D381B">
      <w:r w:rsidRPr="00B450EB">
        <w:t xml:space="preserve">Los resultados muestran que la mayoría de los municipios amazónicos se ubican en un nivel de riesgo alto, seguido de un grupo importante en riesgo medio, mientras que las áreas clasificadas con riesgo muy alto se concentran en el piedemonte amazónico de Caquetá y Putumayo. En estas zonas confluyen los mayores incrementos de amenaza climática y una vulnerabilidad elevada, lo que eleva de </w:t>
      </w:r>
      <w:r w:rsidRPr="00B450EB">
        <w:lastRenderedPageBreak/>
        <w:t>forma crítica la exposición de las comunidades y ecosistemas. Por el contrario, en regiones como el sur de Amazonas y partes de Guainía se identifican riesgos medios, donde, aunque existe presión climática, la menor densidad poblacional y la mayor cobertura ecosistémica moderan los efectos.</w:t>
      </w:r>
    </w:p>
    <w:p w14:paraId="4616096E" w14:textId="19756D5F" w:rsidR="008D381B" w:rsidRPr="00B450EB" w:rsidRDefault="008D381B" w:rsidP="008D381B">
      <w:r w:rsidRPr="00B450EB">
        <w:t>En síntesis, el riesgo hídrico en la Amazonía colombiana se configura principalmente como alto, con focos críticos de riesgo muy alto en áreas de transición entre la cordillera y la planicie amazónica. Esta evidencia resalta la necesidad de priorizar medidas de adaptación diferenciadas, especialmente en los territorios con mayor exposición. En este sentido, la declaración de áreas de reserva en zonas de riesgo alto y muy alto constituye una estrategia clave, ya que permitiría restringir actividades antrópicas que intensifican la presión sobre el recurso hídrico, conservar coberturas naturales que regulan el ciclo hidrológico y fortalecer la resiliencia ecosistémica. De esta manera, se reduciría la vulnerabilidad y se mitigaría el riesgo asociado al cambio climático en la dimensión hídrica</w:t>
      </w:r>
    </w:p>
    <w:p w14:paraId="62ED393D" w14:textId="66510EDE" w:rsidR="008D381B" w:rsidRPr="00B450EB" w:rsidRDefault="008D381B" w:rsidP="008D381B">
      <w:pPr>
        <w:pStyle w:val="Descripcin"/>
        <w:rPr>
          <w:color w:val="auto"/>
        </w:rPr>
      </w:pPr>
      <w:bookmarkStart w:id="245" w:name="_Toc209462796"/>
      <w:bookmarkEnd w:id="244"/>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108</w:t>
      </w:r>
      <w:r w:rsidR="0045353A" w:rsidRPr="00B450EB">
        <w:rPr>
          <w:noProof/>
          <w:color w:val="auto"/>
        </w:rPr>
        <w:fldChar w:fldCharType="end"/>
      </w:r>
      <w:r w:rsidRPr="00B450EB">
        <w:rPr>
          <w:color w:val="auto"/>
        </w:rPr>
        <w:t xml:space="preserve"> índice de riesgo climático en la dimensión del recurso hídrico</w:t>
      </w:r>
      <w:r w:rsidR="000A19B7" w:rsidRPr="00B450EB">
        <w:rPr>
          <w:color w:val="auto"/>
        </w:rPr>
        <w:t xml:space="preserve"> SP5</w:t>
      </w:r>
      <w:bookmarkEnd w:id="245"/>
    </w:p>
    <w:p w14:paraId="41B9C339" w14:textId="77777777" w:rsidR="008D381B" w:rsidRPr="00B450EB" w:rsidRDefault="008D381B" w:rsidP="008D381B">
      <w:pPr>
        <w:spacing w:after="0"/>
        <w:jc w:val="center"/>
      </w:pPr>
      <w:r w:rsidRPr="00B450EB">
        <w:rPr>
          <w:noProof/>
        </w:rPr>
        <w:drawing>
          <wp:inline distT="0" distB="0" distL="0" distR="0" wp14:anchorId="5501FC26" wp14:editId="68A1EEDE">
            <wp:extent cx="4462182" cy="3448050"/>
            <wp:effectExtent l="0" t="0" r="0" b="0"/>
            <wp:docPr id="4"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Mapa&#10;&#10;El contenido generado por IA puede ser incorrecto."/>
                    <pic:cNvPicPr/>
                  </pic:nvPicPr>
                  <pic:blipFill>
                    <a:blip r:embed="rId179" cstate="email">
                      <a:extLst>
                        <a:ext uri="{28A0092B-C50C-407E-A947-70E740481C1C}">
                          <a14:useLocalDpi xmlns:a14="http://schemas.microsoft.com/office/drawing/2010/main"/>
                        </a:ext>
                      </a:extLst>
                    </a:blip>
                    <a:stretch>
                      <a:fillRect/>
                    </a:stretch>
                  </pic:blipFill>
                  <pic:spPr>
                    <a:xfrm>
                      <a:off x="0" y="0"/>
                      <a:ext cx="4477089" cy="3459569"/>
                    </a:xfrm>
                    <a:prstGeom prst="rect">
                      <a:avLst/>
                    </a:prstGeom>
                  </pic:spPr>
                </pic:pic>
              </a:graphicData>
            </a:graphic>
          </wp:inline>
        </w:drawing>
      </w:r>
    </w:p>
    <w:p w14:paraId="0E832CA3" w14:textId="61E056C0" w:rsidR="008D381B" w:rsidRPr="00B450EB" w:rsidRDefault="008D381B" w:rsidP="008D381B">
      <w:pPr>
        <w:jc w:val="center"/>
        <w:rPr>
          <w:sz w:val="18"/>
          <w:szCs w:val="18"/>
        </w:rPr>
      </w:pPr>
      <w:r w:rsidRPr="00B450EB">
        <w:rPr>
          <w:sz w:val="18"/>
          <w:szCs w:val="18"/>
        </w:rPr>
        <w:t>Fuente: IDEAM,</w:t>
      </w:r>
      <w:r w:rsidR="00D07369" w:rsidRPr="00B450EB">
        <w:rPr>
          <w:sz w:val="18"/>
          <w:szCs w:val="18"/>
        </w:rPr>
        <w:t xml:space="preserve"> </w:t>
      </w:r>
      <w:r w:rsidRPr="00B450EB">
        <w:rPr>
          <w:sz w:val="18"/>
          <w:szCs w:val="18"/>
        </w:rPr>
        <w:t>2024</w:t>
      </w:r>
      <w:r w:rsidR="00D07369" w:rsidRPr="00B450EB">
        <w:rPr>
          <w:sz w:val="18"/>
          <w:szCs w:val="18"/>
        </w:rPr>
        <w:t>.</w:t>
      </w:r>
    </w:p>
    <w:p w14:paraId="76E5D590" w14:textId="068D9FFC" w:rsidR="008D381B" w:rsidRPr="00B450EB" w:rsidRDefault="001231A3" w:rsidP="00537536">
      <w:pPr>
        <w:pStyle w:val="Ttulo3"/>
      </w:pPr>
      <w:bookmarkStart w:id="246" w:name="_Toc209722969"/>
      <w:r w:rsidRPr="00B450EB">
        <w:t>10.4.2.</w:t>
      </w:r>
      <w:r w:rsidR="008D381B" w:rsidRPr="00B450EB">
        <w:t xml:space="preserve"> índice de riesgo climático en la dimensión de biodiversidad y servicios ecosistémicos</w:t>
      </w:r>
      <w:bookmarkEnd w:id="246"/>
    </w:p>
    <w:p w14:paraId="21261777" w14:textId="77777777" w:rsidR="00870A1A" w:rsidRPr="00B450EB" w:rsidRDefault="42A74A06" w:rsidP="008D381B">
      <w:pPr>
        <w:spacing w:line="259" w:lineRule="auto"/>
      </w:pPr>
      <w:r w:rsidRPr="00B450EB">
        <w:t>El Índice</w:t>
      </w:r>
      <w:r w:rsidR="008D381B" w:rsidRPr="00B450EB">
        <w:t xml:space="preserve"> de </w:t>
      </w:r>
      <w:r w:rsidRPr="00B450EB">
        <w:t>Riesgo Climático</w:t>
      </w:r>
      <w:r w:rsidR="008D381B" w:rsidRPr="00B450EB">
        <w:t xml:space="preserve"> en la dimensión de </w:t>
      </w:r>
      <w:r w:rsidRPr="00B450EB">
        <w:t>Biodiversidad</w:t>
      </w:r>
      <w:r w:rsidR="008D381B" w:rsidRPr="00B450EB">
        <w:t xml:space="preserve"> y </w:t>
      </w:r>
      <w:r w:rsidRPr="00B450EB">
        <w:t>Servicios Ecosistémicos</w:t>
      </w:r>
      <w:r w:rsidR="008D381B" w:rsidRPr="00B450EB">
        <w:t xml:space="preserve"> se obtuvo a partir del cruce </w:t>
      </w:r>
      <w:r w:rsidRPr="00B450EB">
        <w:t xml:space="preserve">metodológico </w:t>
      </w:r>
      <w:r w:rsidR="008D381B" w:rsidRPr="00B450EB">
        <w:t xml:space="preserve">entre la </w:t>
      </w:r>
      <w:r w:rsidRPr="00B450EB">
        <w:t xml:space="preserve">Amenaza y la Vulnerabilidad. La Amenaza se define por las </w:t>
      </w:r>
      <w:r w:rsidR="008D381B" w:rsidRPr="00B450EB">
        <w:t>condiciones proyectadas de incremento de precipitación y temperatura bajo el escenario SSP5</w:t>
      </w:r>
      <w:r w:rsidRPr="00B450EB">
        <w:t xml:space="preserve"> para el periodo </w:t>
      </w:r>
      <w:r w:rsidR="008D381B" w:rsidRPr="00B450EB">
        <w:lastRenderedPageBreak/>
        <w:t>2080/2100</w:t>
      </w:r>
      <w:r w:rsidRPr="00B450EB">
        <w:t xml:space="preserve">. Este escenario fue seleccionado por ser el más crítico, ya que proyecta el mayor aumento de emisiones a finales de siglo, y sus proyecciones climáticas son muy similares a las del SSP3 (futuro de desigualdad regional), lo que asegura que la evaluación del riesgo se base en los escenarios de mayor presión climática </w:t>
      </w:r>
      <w:r w:rsidR="008D381B" w:rsidRPr="00B450EB">
        <w:t>que intensifican los procesos de degradación de hábitats y alteración funcional de los ecosistemas</w:t>
      </w:r>
      <w:r w:rsidRPr="00B450EB">
        <w:t xml:space="preserve">. </w:t>
      </w:r>
    </w:p>
    <w:p w14:paraId="1A10D055" w14:textId="64E00665" w:rsidR="008D381B" w:rsidRPr="00B450EB" w:rsidRDefault="42A74A06" w:rsidP="008D381B">
      <w:pPr>
        <w:spacing w:line="259" w:lineRule="auto"/>
      </w:pPr>
      <w:r w:rsidRPr="00B450EB">
        <w:t xml:space="preserve">Por su parte, la Vulnerabilidad es el </w:t>
      </w:r>
      <w:r w:rsidR="008D381B" w:rsidRPr="00B450EB">
        <w:t>resultado de integrar la sensibilidad de los territorios frente a la transformación ecosistémica con la capacidad adaptativa institucional y comunitaria para conservar y gestionar la biodiversidad</w:t>
      </w:r>
      <w:r w:rsidRPr="00B450EB">
        <w:t>.</w:t>
      </w:r>
      <w:r w:rsidR="008D381B" w:rsidRPr="00B450EB">
        <w:t xml:space="preserve"> Esta metodología, basada en los lineamientos del SIIVRA y la Cuarta Comunicación Nacional de Cambio Climático, permite identificar los territorios amazónicos donde la presión climática y las limitaciones de gestión socioambiental se superponen, generando mayores niveles de riesgo</w:t>
      </w:r>
      <w:r w:rsidRPr="00B450EB">
        <w:t>.</w:t>
      </w:r>
      <w:r w:rsidR="008D381B" w:rsidRPr="00B450EB">
        <w:t xml:space="preserve"> </w:t>
      </w:r>
      <w:sdt>
        <w:sdtPr>
          <w:id w:val="-904221614"/>
          <w:citation/>
        </w:sdtPr>
        <w:sdtContent>
          <w:r w:rsidR="008D381B" w:rsidRPr="00B450EB">
            <w:rPr>
              <w:lang w:val="es-ES"/>
            </w:rPr>
            <w:fldChar w:fldCharType="begin"/>
          </w:r>
          <w:r w:rsidR="008D381B" w:rsidRPr="00B450EB">
            <w:rPr>
              <w:lang w:val="es-ES"/>
            </w:rPr>
            <w:instrText xml:space="preserve">CITATION MarcadorDePosición1 \l 3082 </w:instrText>
          </w:r>
          <w:r w:rsidR="008D381B" w:rsidRPr="00B450EB">
            <w:fldChar w:fldCharType="separate"/>
          </w:r>
          <w:r w:rsidR="0077091E" w:rsidRPr="00B450EB">
            <w:rPr>
              <w:noProof/>
              <w:lang w:val="es-ES"/>
            </w:rPr>
            <w:t>(IDEAM, 2024)</w:t>
          </w:r>
          <w:r w:rsidR="008D381B" w:rsidRPr="00B450EB">
            <w:fldChar w:fldCharType="end"/>
          </w:r>
        </w:sdtContent>
      </w:sdt>
      <w:r w:rsidR="008D381B" w:rsidRPr="00B450EB">
        <w:t>.</w:t>
      </w:r>
    </w:p>
    <w:p w14:paraId="12151E7B" w14:textId="77777777" w:rsidR="008D381B" w:rsidRPr="00B450EB" w:rsidRDefault="008D381B" w:rsidP="008D381B">
      <w:pPr>
        <w:spacing w:line="259" w:lineRule="auto"/>
      </w:pPr>
      <w:r w:rsidRPr="00B450EB">
        <w:t>Los resultados muestran que la Amazonía colombiana se encuentra principalmente en riesgo alto, seguido de extensiones clasificadas en riesgo medio, mientras que las áreas de riesgo muy alto se concentran en núcleos del piedemonte de Caquetá y Putumayo. En estas zonas confluyen las mayores intensidades de amenaza climática y niveles elevados de vulnerabilidad biótica, lo que aumenta críticamente la exposición de los ecosistemas y de los servicios que sostienen. Por contraste, en sectores más conservados del Guainía, Vaupés y sur del Amazonas, aunque la amenaza climática es significativa, la vulnerabilidad se mantiene en rangos medio–bajo, lo que reduce parcialmente el nivel de riesgo.</w:t>
      </w:r>
    </w:p>
    <w:p w14:paraId="71264AB9" w14:textId="5A7668E9" w:rsidR="00870A1A" w:rsidRPr="00B450EB" w:rsidRDefault="008D381B" w:rsidP="008D381B">
      <w:pPr>
        <w:spacing w:line="259" w:lineRule="auto"/>
      </w:pPr>
      <w:r w:rsidRPr="00B450EB">
        <w:t>En síntesis, el riesgo climático sobre la biodiversidad y los servicios ecosistémicos en la Amazonía colombiana se configura como alto de manera generalizada, con focos de riesgo muy alto en áreas de transición entre cordillera y planicie amazónica. Esta situación resalta la necesidad de priorizar medidas de conservación y adaptación diferenciadas. En este sentido, la declaratoria de áreas de reserva en zonas de riesgo alto y muy alto constituye una estrategia fundamental para disminuir el riesgo, al restringir actividades antrópicas que intensifican la presión sobre la biodiversidad, mantener la integridad de los ecosistemas y fortalecer la resiliencia de los servicios ecosistémicos que soportan la vida y el bienestar en la región amazónica.</w:t>
      </w:r>
    </w:p>
    <w:p w14:paraId="0BA39301" w14:textId="77777777" w:rsidR="00870A1A" w:rsidRPr="00B450EB" w:rsidRDefault="00870A1A">
      <w:pPr>
        <w:jc w:val="left"/>
      </w:pPr>
      <w:r w:rsidRPr="00B450EB">
        <w:br w:type="page"/>
      </w:r>
    </w:p>
    <w:p w14:paraId="6A3EE33B" w14:textId="7D4BF467" w:rsidR="008D381B" w:rsidRPr="00B450EB" w:rsidRDefault="008D381B" w:rsidP="008D381B">
      <w:pPr>
        <w:pStyle w:val="Descripcin"/>
        <w:rPr>
          <w:color w:val="auto"/>
        </w:rPr>
      </w:pPr>
      <w:bookmarkStart w:id="247" w:name="_Toc209462797"/>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109</w:t>
      </w:r>
      <w:r w:rsidR="0045353A" w:rsidRPr="00B450EB">
        <w:rPr>
          <w:noProof/>
          <w:color w:val="auto"/>
        </w:rPr>
        <w:fldChar w:fldCharType="end"/>
      </w:r>
      <w:r w:rsidRPr="00B450EB">
        <w:rPr>
          <w:color w:val="auto"/>
        </w:rPr>
        <w:t xml:space="preserve"> índice de riesgo climático en la dimensión de biodiversidad y servicios ecosistémicos</w:t>
      </w:r>
      <w:bookmarkEnd w:id="247"/>
    </w:p>
    <w:p w14:paraId="62E7B810" w14:textId="77777777" w:rsidR="008D381B" w:rsidRPr="00B450EB" w:rsidRDefault="008D381B" w:rsidP="008D381B">
      <w:pPr>
        <w:spacing w:after="0"/>
        <w:jc w:val="center"/>
      </w:pPr>
      <w:r w:rsidRPr="00B450EB">
        <w:rPr>
          <w:noProof/>
        </w:rPr>
        <w:drawing>
          <wp:inline distT="0" distB="0" distL="0" distR="0" wp14:anchorId="6F2C97ED" wp14:editId="1AC091B1">
            <wp:extent cx="5076825" cy="3922791"/>
            <wp:effectExtent l="0" t="0" r="0" b="1905"/>
            <wp:docPr id="1610253993"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253993" name="Imagen 1" descr="Mapa&#10;&#10;El contenido generado por IA puede ser incorrecto."/>
                    <pic:cNvPicPr/>
                  </pic:nvPicPr>
                  <pic:blipFill>
                    <a:blip r:embed="rId180" cstate="email">
                      <a:extLst>
                        <a:ext uri="{28A0092B-C50C-407E-A947-70E740481C1C}">
                          <a14:useLocalDpi xmlns:a14="http://schemas.microsoft.com/office/drawing/2010/main"/>
                        </a:ext>
                      </a:extLst>
                    </a:blip>
                    <a:stretch>
                      <a:fillRect/>
                    </a:stretch>
                  </pic:blipFill>
                  <pic:spPr>
                    <a:xfrm>
                      <a:off x="0" y="0"/>
                      <a:ext cx="5099725" cy="3940486"/>
                    </a:xfrm>
                    <a:prstGeom prst="rect">
                      <a:avLst/>
                    </a:prstGeom>
                  </pic:spPr>
                </pic:pic>
              </a:graphicData>
            </a:graphic>
          </wp:inline>
        </w:drawing>
      </w:r>
    </w:p>
    <w:p w14:paraId="6E8D1F97" w14:textId="0DBF312D" w:rsidR="008D381B" w:rsidRPr="00B450EB" w:rsidRDefault="008D381B" w:rsidP="008D381B">
      <w:pPr>
        <w:jc w:val="center"/>
        <w:rPr>
          <w:sz w:val="18"/>
          <w:szCs w:val="18"/>
        </w:rPr>
      </w:pPr>
      <w:r w:rsidRPr="00B450EB">
        <w:rPr>
          <w:sz w:val="18"/>
          <w:szCs w:val="18"/>
        </w:rPr>
        <w:t>Fuente: IDEAM,</w:t>
      </w:r>
      <w:r w:rsidR="00D07369" w:rsidRPr="00B450EB">
        <w:rPr>
          <w:sz w:val="18"/>
          <w:szCs w:val="18"/>
        </w:rPr>
        <w:t xml:space="preserve"> </w:t>
      </w:r>
      <w:r w:rsidRPr="00B450EB">
        <w:rPr>
          <w:sz w:val="18"/>
          <w:szCs w:val="18"/>
        </w:rPr>
        <w:t>2024</w:t>
      </w:r>
      <w:r w:rsidR="00D07369" w:rsidRPr="00B450EB">
        <w:rPr>
          <w:sz w:val="18"/>
          <w:szCs w:val="18"/>
        </w:rPr>
        <w:t>.</w:t>
      </w:r>
    </w:p>
    <w:p w14:paraId="575E6963" w14:textId="77777777" w:rsidR="004D4C11" w:rsidRPr="00B450EB" w:rsidRDefault="004D4C11" w:rsidP="00AE14D5">
      <w:pPr>
        <w:spacing w:line="276" w:lineRule="auto"/>
        <w:rPr>
          <w:rFonts w:eastAsia="Arial" w:cs="Arial"/>
        </w:rPr>
      </w:pPr>
    </w:p>
    <w:p w14:paraId="50418CEC" w14:textId="7446B36E" w:rsidR="00AE14D5" w:rsidRPr="00B450EB" w:rsidRDefault="00AE14D5" w:rsidP="00AE14D5">
      <w:pPr>
        <w:spacing w:line="276" w:lineRule="auto"/>
      </w:pPr>
      <w:r w:rsidRPr="00B450EB">
        <w:rPr>
          <w:rFonts w:eastAsia="Arial" w:cs="Arial"/>
        </w:rPr>
        <w:t>Si bien la deforestación continúa siendo la principal amenaza para la biodiversidad amazónica, el cambio climático emerge como un factor cada vez más determinante en su deterioro. El calentamiento global incide directamente en la distribución futura de la biodiversidad, en la composición de las comunidades ecológicas, en los rangos de distribución de las especies, en sus probabilidades de extinción y en la riqueza local. El Amazonas se perfila como una de las regiones más vulnerables del planeta, dado que más del 90 % de sus especies podrían enfrentar temperaturas sin precedentes hacia el año 2100 (</w:t>
      </w:r>
      <w:proofErr w:type="spellStart"/>
      <w:r w:rsidRPr="00B450EB">
        <w:rPr>
          <w:rFonts w:eastAsia="Arial" w:cs="Arial"/>
        </w:rPr>
        <w:t>Science</w:t>
      </w:r>
      <w:proofErr w:type="spellEnd"/>
      <w:r w:rsidRPr="00B450EB">
        <w:rPr>
          <w:rFonts w:eastAsia="Arial" w:cs="Arial"/>
        </w:rPr>
        <w:t xml:space="preserve"> Panel </w:t>
      </w:r>
      <w:proofErr w:type="spellStart"/>
      <w:r w:rsidRPr="00B450EB">
        <w:rPr>
          <w:rFonts w:eastAsia="Arial" w:cs="Arial"/>
        </w:rPr>
        <w:t>for</w:t>
      </w:r>
      <w:proofErr w:type="spellEnd"/>
      <w:r w:rsidRPr="00B450EB">
        <w:rPr>
          <w:rFonts w:eastAsia="Arial" w:cs="Arial"/>
        </w:rPr>
        <w:t xml:space="preserve"> </w:t>
      </w:r>
      <w:proofErr w:type="spellStart"/>
      <w:r w:rsidRPr="00B450EB">
        <w:rPr>
          <w:rFonts w:eastAsia="Arial" w:cs="Arial"/>
        </w:rPr>
        <w:t>the</w:t>
      </w:r>
      <w:proofErr w:type="spellEnd"/>
      <w:r w:rsidRPr="00B450EB">
        <w:rPr>
          <w:rFonts w:eastAsia="Arial" w:cs="Arial"/>
        </w:rPr>
        <w:t xml:space="preserve"> Amazon, 2021).</w:t>
      </w:r>
    </w:p>
    <w:p w14:paraId="7DC80C3A" w14:textId="77777777" w:rsidR="00AE14D5" w:rsidRPr="00B450EB" w:rsidRDefault="00AE14D5" w:rsidP="00AE14D5">
      <w:pPr>
        <w:spacing w:line="276" w:lineRule="auto"/>
      </w:pPr>
      <w:r w:rsidRPr="00B450EB">
        <w:rPr>
          <w:rFonts w:eastAsia="Arial" w:cs="Arial"/>
        </w:rPr>
        <w:t>La degradación forestal y la pérdida del dosel vegetativo —que actúa como regulador de microclimas internos— intensifican la exposición a factores asociados al cambio climático, incluyendo el incremento en la temperatura media, la modificación de los regímenes de precipitación y la mayor frecuencia de eventos extremos como sequías e incendios (Yao et al., 2024). Estas alteraciones aumentan el riesgo de pérdida de biodiversidad al perturbar la dinámica ecológica de la región, afectando la distribución, abundancia y supervivencia de múltiples grupos faunísticos.</w:t>
      </w:r>
    </w:p>
    <w:p w14:paraId="7E8A0CBF" w14:textId="77777777" w:rsidR="00AE14D5" w:rsidRPr="00B450EB" w:rsidRDefault="00AE14D5" w:rsidP="00AE14D5">
      <w:pPr>
        <w:spacing w:line="276" w:lineRule="auto"/>
      </w:pPr>
      <w:r w:rsidRPr="00B450EB">
        <w:rPr>
          <w:rFonts w:eastAsia="Arial" w:cs="Arial"/>
        </w:rPr>
        <w:lastRenderedPageBreak/>
        <w:t>Estudios recientes evidencian caídas en la supervivencia de aves tropicales durante estaciones secas más severas, pérdidas importantes de hábitat en especies dependientes del bosque y cambios estructurales en comunidades de peces en cuencas transformadas por la expansión agrícola y la fragmentación de bosques (Bogotá-Gregory et al., 2022; Wolfe et al., 2025). En particular, aves, peces y anfibios muestran respuestas diferenciales dependiendo de su grado de especialización ecológica y capacidad adaptativa, lo que amplía la vulnerabilidad de la biodiversidad amazónica frente a escenarios futuros de transformación ambiental.</w:t>
      </w:r>
    </w:p>
    <w:p w14:paraId="58236D94" w14:textId="37A18F65" w:rsidR="00871DC8" w:rsidRPr="00B450EB" w:rsidRDefault="00A35B78" w:rsidP="00871DC8">
      <w:pPr>
        <w:spacing w:line="276" w:lineRule="auto"/>
        <w:rPr>
          <w:u w:val="single"/>
        </w:rPr>
      </w:pPr>
      <w:r w:rsidRPr="00B450EB">
        <w:rPr>
          <w:u w:val="single"/>
        </w:rPr>
        <w:t>Riesgo</w:t>
      </w:r>
      <w:r w:rsidR="00871DC8" w:rsidRPr="00B450EB">
        <w:rPr>
          <w:u w:val="single"/>
        </w:rPr>
        <w:t>s en la flora</w:t>
      </w:r>
    </w:p>
    <w:p w14:paraId="622FA4E0" w14:textId="01803E51" w:rsidR="00871DC8" w:rsidRPr="00B450EB" w:rsidRDefault="00871DC8" w:rsidP="00D829EA">
      <w:r w:rsidRPr="00B450EB">
        <w:t>En los bosques amazónicos se h</w:t>
      </w:r>
      <w:r w:rsidR="002505E1" w:rsidRPr="00B450EB">
        <w:t>a</w:t>
      </w:r>
      <w:r w:rsidRPr="00B450EB">
        <w:t xml:space="preserve"> venido evidenciando la mortalidad de árboles los cuales no se encuentran ligados directamente a una causa directa, sin embargo muchos individuos han registrado fallos fisiológicos los cuales pueden ser causados por la senescencia, perdida del vigor fisiológico relacionada con el estrés (hídrico, competencia lumínica, ataque de patógenos), así como la falla hidráulica en eventos extremos de sequía afectando a los árboles con las mayores alturas y copas (Chao, 2008). </w:t>
      </w:r>
    </w:p>
    <w:p w14:paraId="3CB81FE9" w14:textId="77777777" w:rsidR="00D829EA" w:rsidRPr="00B450EB" w:rsidRDefault="00871DC8" w:rsidP="00AE14D5">
      <w:pPr>
        <w:spacing w:line="276" w:lineRule="auto"/>
      </w:pPr>
      <w:r w:rsidRPr="00B450EB">
        <w:t>La sequía es un factor importante en la muerte de los árboles, se ha venido evidenciando que especies adaptadas a la sequía también son vulnerables expresando que estas comunidades de especies de flora están experimentando extremos climáticos que van más allá de las condiciones a las que estas especies están adaptadas, así como se ha registrado cambios en la dinámica de la composición de especies en cuanto al reclutamiento y mortalidad, en donde géneros de especies adaptadas a condiciones secas (</w:t>
      </w:r>
      <w:proofErr w:type="spellStart"/>
      <w:r w:rsidRPr="00B450EB">
        <w:rPr>
          <w:i/>
          <w:iCs/>
        </w:rPr>
        <w:t>Bertholletia</w:t>
      </w:r>
      <w:proofErr w:type="spellEnd"/>
      <w:r w:rsidRPr="00B450EB">
        <w:rPr>
          <w:i/>
          <w:iCs/>
        </w:rPr>
        <w:t xml:space="preserve">, </w:t>
      </w:r>
      <w:proofErr w:type="spellStart"/>
      <w:r w:rsidRPr="00B450EB">
        <w:rPr>
          <w:i/>
          <w:iCs/>
        </w:rPr>
        <w:t>Brosimum</w:t>
      </w:r>
      <w:proofErr w:type="spellEnd"/>
      <w:r w:rsidRPr="00B450EB">
        <w:rPr>
          <w:i/>
          <w:iCs/>
        </w:rPr>
        <w:t xml:space="preserve"> y </w:t>
      </w:r>
      <w:proofErr w:type="spellStart"/>
      <w:r w:rsidRPr="00B450EB">
        <w:rPr>
          <w:i/>
          <w:iCs/>
        </w:rPr>
        <w:t>Pseudolmedia</w:t>
      </w:r>
      <w:proofErr w:type="spellEnd"/>
      <w:r w:rsidRPr="00B450EB">
        <w:t>) se han vuelto más abundantes, mientras se registra la mortalidad de géneros de especies características de zonas húmedas (</w:t>
      </w:r>
      <w:proofErr w:type="spellStart"/>
      <w:r w:rsidRPr="00B450EB">
        <w:rPr>
          <w:i/>
          <w:iCs/>
        </w:rPr>
        <w:t>Aparisthmium</w:t>
      </w:r>
      <w:proofErr w:type="spellEnd"/>
      <w:r w:rsidRPr="00B450EB">
        <w:rPr>
          <w:i/>
          <w:iCs/>
        </w:rPr>
        <w:t xml:space="preserve">, </w:t>
      </w:r>
      <w:proofErr w:type="spellStart"/>
      <w:r w:rsidRPr="00B450EB">
        <w:rPr>
          <w:i/>
          <w:iCs/>
        </w:rPr>
        <w:t>Fusaea</w:t>
      </w:r>
      <w:proofErr w:type="spellEnd"/>
      <w:r w:rsidRPr="00B450EB">
        <w:rPr>
          <w:i/>
          <w:iCs/>
        </w:rPr>
        <w:t xml:space="preserve">, Inga </w:t>
      </w:r>
      <w:r w:rsidRPr="00B450EB">
        <w:t>y</w:t>
      </w:r>
      <w:r w:rsidRPr="00B450EB">
        <w:rPr>
          <w:i/>
          <w:iCs/>
        </w:rPr>
        <w:t xml:space="preserve"> </w:t>
      </w:r>
      <w:proofErr w:type="spellStart"/>
      <w:r w:rsidRPr="00B450EB">
        <w:rPr>
          <w:i/>
          <w:iCs/>
        </w:rPr>
        <w:t>Mezilaurus</w:t>
      </w:r>
      <w:proofErr w:type="spellEnd"/>
      <w:r w:rsidRPr="00B450EB">
        <w:t xml:space="preserve">), a nivel estructural se ha observado la abundancia de géneros con alturas de dosel significativas como </w:t>
      </w:r>
      <w:r w:rsidRPr="00B450EB">
        <w:rPr>
          <w:i/>
          <w:iCs/>
        </w:rPr>
        <w:t xml:space="preserve">Mora, </w:t>
      </w:r>
      <w:proofErr w:type="spellStart"/>
      <w:r w:rsidRPr="00B450EB">
        <w:rPr>
          <w:i/>
          <w:iCs/>
        </w:rPr>
        <w:t>Couratari</w:t>
      </w:r>
      <w:proofErr w:type="spellEnd"/>
      <w:r w:rsidRPr="00B450EB">
        <w:rPr>
          <w:i/>
          <w:iCs/>
        </w:rPr>
        <w:t xml:space="preserve">, </w:t>
      </w:r>
      <w:proofErr w:type="spellStart"/>
      <w:r w:rsidRPr="00B450EB">
        <w:rPr>
          <w:i/>
          <w:iCs/>
        </w:rPr>
        <w:t>Eschwe</w:t>
      </w:r>
      <w:r w:rsidRPr="00B450EB">
        <w:t>ilera</w:t>
      </w:r>
      <w:proofErr w:type="spellEnd"/>
      <w:r w:rsidRPr="00B450EB">
        <w:t xml:space="preserve"> y la disminución de géneros como </w:t>
      </w:r>
      <w:proofErr w:type="spellStart"/>
      <w:r w:rsidRPr="00B450EB">
        <w:rPr>
          <w:i/>
          <w:iCs/>
        </w:rPr>
        <w:t>Ouratea</w:t>
      </w:r>
      <w:proofErr w:type="spellEnd"/>
      <w:r w:rsidRPr="00B450EB">
        <w:rPr>
          <w:i/>
          <w:iCs/>
        </w:rPr>
        <w:t xml:space="preserve">, </w:t>
      </w:r>
      <w:proofErr w:type="spellStart"/>
      <w:r w:rsidRPr="00B450EB">
        <w:rPr>
          <w:i/>
          <w:iCs/>
        </w:rPr>
        <w:t>Aniba</w:t>
      </w:r>
      <w:proofErr w:type="spellEnd"/>
      <w:r w:rsidRPr="00B450EB">
        <w:rPr>
          <w:i/>
          <w:iCs/>
        </w:rPr>
        <w:t xml:space="preserve">, </w:t>
      </w:r>
      <w:proofErr w:type="spellStart"/>
      <w:r w:rsidRPr="00B450EB">
        <w:rPr>
          <w:i/>
          <w:iCs/>
        </w:rPr>
        <w:t>Marlierea</w:t>
      </w:r>
      <w:proofErr w:type="spellEnd"/>
      <w:r w:rsidRPr="00B450EB">
        <w:rPr>
          <w:i/>
          <w:iCs/>
        </w:rPr>
        <w:t xml:space="preserve"> </w:t>
      </w:r>
      <w:r w:rsidRPr="00B450EB">
        <w:t>y</w:t>
      </w:r>
      <w:r w:rsidRPr="00B450EB">
        <w:rPr>
          <w:i/>
          <w:iCs/>
        </w:rPr>
        <w:t xml:space="preserve"> </w:t>
      </w:r>
      <w:proofErr w:type="spellStart"/>
      <w:r w:rsidRPr="00B450EB">
        <w:rPr>
          <w:i/>
          <w:iCs/>
        </w:rPr>
        <w:t>Astrocaryum</w:t>
      </w:r>
      <w:proofErr w:type="spellEnd"/>
      <w:r w:rsidRPr="00B450EB">
        <w:t xml:space="preserve"> dominantes del sotobosque. </w:t>
      </w:r>
    </w:p>
    <w:p w14:paraId="6174C7D7" w14:textId="2524E7CF" w:rsidR="00871DC8" w:rsidRPr="00B450EB" w:rsidRDefault="00871DC8" w:rsidP="00AE14D5">
      <w:pPr>
        <w:spacing w:line="276" w:lineRule="auto"/>
        <w:rPr>
          <w:rFonts w:eastAsia="Arial" w:cs="Arial"/>
        </w:rPr>
      </w:pPr>
      <w:r w:rsidRPr="00B450EB">
        <w:t xml:space="preserve">De igual manera, se ha mostrado la disminución de la abundancia de especies de la familia </w:t>
      </w:r>
      <w:proofErr w:type="spellStart"/>
      <w:r w:rsidRPr="00B450EB">
        <w:t>Arecaceae</w:t>
      </w:r>
      <w:proofErr w:type="spellEnd"/>
      <w:r w:rsidRPr="00B450EB">
        <w:t xml:space="preserve"> con especial incidencia en los géneros </w:t>
      </w:r>
      <w:proofErr w:type="spellStart"/>
      <w:r w:rsidRPr="00B450EB">
        <w:rPr>
          <w:i/>
          <w:iCs/>
        </w:rPr>
        <w:t>Oenocarpus</w:t>
      </w:r>
      <w:proofErr w:type="spellEnd"/>
      <w:r w:rsidRPr="00B450EB">
        <w:t xml:space="preserve"> y </w:t>
      </w:r>
      <w:proofErr w:type="spellStart"/>
      <w:r w:rsidRPr="00B450EB">
        <w:rPr>
          <w:i/>
          <w:iCs/>
        </w:rPr>
        <w:t>Astrocaryum</w:t>
      </w:r>
      <w:proofErr w:type="spellEnd"/>
      <w:r w:rsidR="00497034" w:rsidRPr="00B450EB">
        <w:rPr>
          <w:i/>
          <w:iCs/>
        </w:rPr>
        <w:t>;</w:t>
      </w:r>
      <w:r w:rsidRPr="00B450EB">
        <w:t xml:space="preserve"> por el contrario el género </w:t>
      </w:r>
      <w:r w:rsidRPr="00B450EB">
        <w:rPr>
          <w:i/>
          <w:iCs/>
        </w:rPr>
        <w:t>Euterpe</w:t>
      </w:r>
      <w:r w:rsidRPr="00B450EB">
        <w:t xml:space="preserve"> ha incrementado significativamente a lo largo de la cuenca amazónica, se ha encontrado que el grupo funcional de especies no pioneras de pequeña altura disminuirán significativamente en un 0.29% por año, mientras otros grupos funcionales como pioneras de pequeña altura, pioneras de grandes alturas y no pioneros altos no mostraran resultados significativos de cambio. Lo anterior muestra un cambio lento en la composición y estructura de la flora amazónica colombiana consistente con los impulsores de cambio climático, estos cambios alteran las tasas de mortalidad de las coberturas </w:t>
      </w:r>
      <w:r w:rsidRPr="00B450EB">
        <w:lastRenderedPageBreak/>
        <w:t xml:space="preserve">de referencia e implicaciones a nivel ecológico y grupos </w:t>
      </w:r>
      <w:proofErr w:type="spellStart"/>
      <w:r w:rsidRPr="00B450EB">
        <w:t>faunisticos</w:t>
      </w:r>
      <w:proofErr w:type="spellEnd"/>
      <w:r w:rsidRPr="00B450EB">
        <w:t xml:space="preserve"> (</w:t>
      </w:r>
      <w:proofErr w:type="spellStart"/>
      <w:r w:rsidRPr="00B450EB">
        <w:t>Esquevel-Muelbert</w:t>
      </w:r>
      <w:proofErr w:type="spellEnd"/>
      <w:r w:rsidRPr="00B450EB">
        <w:t xml:space="preserve"> et al., 2020; </w:t>
      </w:r>
      <w:proofErr w:type="spellStart"/>
      <w:r w:rsidRPr="00B450EB">
        <w:t>Andreregg</w:t>
      </w:r>
      <w:proofErr w:type="spellEnd"/>
      <w:r w:rsidRPr="00B450EB">
        <w:t xml:space="preserve"> et al.,2019; </w:t>
      </w:r>
      <w:proofErr w:type="spellStart"/>
      <w:r w:rsidRPr="00B450EB">
        <w:t>Tiwari</w:t>
      </w:r>
      <w:proofErr w:type="spellEnd"/>
      <w:r w:rsidRPr="00B450EB">
        <w:t>, 2020; Esquivel-</w:t>
      </w:r>
      <w:proofErr w:type="spellStart"/>
      <w:r w:rsidRPr="00B450EB">
        <w:t>Muelbert</w:t>
      </w:r>
      <w:proofErr w:type="spellEnd"/>
      <w:r w:rsidRPr="00B450EB">
        <w:t>, 2019).</w:t>
      </w:r>
    </w:p>
    <w:p w14:paraId="1117E903" w14:textId="4E065675" w:rsidR="00AE14D5" w:rsidRPr="00B450EB" w:rsidRDefault="00A35B78" w:rsidP="00AE14D5">
      <w:pPr>
        <w:spacing w:line="276" w:lineRule="auto"/>
        <w:rPr>
          <w:rFonts w:eastAsia="Arial" w:cs="Arial"/>
          <w:u w:val="single"/>
        </w:rPr>
      </w:pPr>
      <w:r w:rsidRPr="00B450EB">
        <w:rPr>
          <w:rFonts w:eastAsia="Arial" w:cs="Arial"/>
          <w:u w:val="single"/>
        </w:rPr>
        <w:t>Riesgos</w:t>
      </w:r>
      <w:r w:rsidR="00AE14D5" w:rsidRPr="00B450EB">
        <w:rPr>
          <w:rFonts w:eastAsia="Arial" w:cs="Arial"/>
          <w:u w:val="single"/>
        </w:rPr>
        <w:t xml:space="preserve"> en la ictiofauna</w:t>
      </w:r>
    </w:p>
    <w:p w14:paraId="5D52C1AC" w14:textId="3DF971D3" w:rsidR="00AE14D5" w:rsidRPr="00B450EB" w:rsidRDefault="00570466" w:rsidP="00AE14D5">
      <w:pPr>
        <w:spacing w:line="276" w:lineRule="auto"/>
      </w:pPr>
      <w:r w:rsidRPr="00B450EB">
        <w:rPr>
          <w:rFonts w:eastAsia="Arial" w:cs="Arial"/>
        </w:rPr>
        <w:t>Con respecto a los peces amazónicos, e</w:t>
      </w:r>
      <w:r w:rsidR="00AE14D5" w:rsidRPr="00B450EB">
        <w:rPr>
          <w:rFonts w:eastAsia="Arial" w:cs="Arial"/>
        </w:rPr>
        <w:t>l cambio climático representa una amenaza crítica, un grupo cuya supervivencia depende de la dinámica hídrica y de la conectividad ecológica entre los diversos ecosistemas acuáticos de la cuenca. Estos organismos se sostienen en gran medida de los pulsos de inundación-estiaje (</w:t>
      </w:r>
      <w:proofErr w:type="spellStart"/>
      <w:r w:rsidR="00AE14D5" w:rsidRPr="00B450EB">
        <w:rPr>
          <w:rFonts w:eastAsia="Arial" w:cs="Arial"/>
          <w:i/>
          <w:iCs/>
        </w:rPr>
        <w:t>flood</w:t>
      </w:r>
      <w:proofErr w:type="spellEnd"/>
      <w:r w:rsidR="00AE14D5" w:rsidRPr="00B450EB">
        <w:rPr>
          <w:rFonts w:eastAsia="Arial" w:cs="Arial"/>
          <w:i/>
          <w:iCs/>
        </w:rPr>
        <w:t xml:space="preserve">-pulse </w:t>
      </w:r>
      <w:proofErr w:type="spellStart"/>
      <w:r w:rsidR="00AE14D5" w:rsidRPr="00B450EB">
        <w:rPr>
          <w:rFonts w:eastAsia="Arial" w:cs="Arial"/>
          <w:i/>
          <w:iCs/>
        </w:rPr>
        <w:t>dynamics</w:t>
      </w:r>
      <w:proofErr w:type="spellEnd"/>
      <w:r w:rsidR="00AE14D5" w:rsidRPr="00B450EB">
        <w:rPr>
          <w:rFonts w:eastAsia="Arial" w:cs="Arial"/>
        </w:rPr>
        <w:t xml:space="preserve">), que regulan la conectividad entre ríos, lagunas inundables y bosques de </w:t>
      </w:r>
      <w:proofErr w:type="spellStart"/>
      <w:r w:rsidR="00AE14D5" w:rsidRPr="00B450EB">
        <w:rPr>
          <w:rFonts w:eastAsia="Arial" w:cs="Arial"/>
        </w:rPr>
        <w:t>várzea</w:t>
      </w:r>
      <w:proofErr w:type="spellEnd"/>
      <w:r w:rsidR="00AE14D5" w:rsidRPr="00B450EB">
        <w:rPr>
          <w:rFonts w:eastAsia="Arial" w:cs="Arial"/>
        </w:rPr>
        <w:t>, además de condiciones químicas clave del agua, como la temperatura, el oxígeno disuelto y la disponibilidad de nutrientes. Investigaciones recientes han destacado que las llanuras inundables cumplen un rol esencial en el mantenimiento de la biodiversidad íctica, al facilitar la dispersión lateral hacia los ríos principales y generar hábitats temporales para la alimentación, el refugio y la reproducción (</w:t>
      </w:r>
      <w:proofErr w:type="spellStart"/>
      <w:r w:rsidR="00AE14D5" w:rsidRPr="00B450EB">
        <w:rPr>
          <w:rFonts w:eastAsia="Arial" w:cs="Arial"/>
        </w:rPr>
        <w:t>Junk</w:t>
      </w:r>
      <w:proofErr w:type="spellEnd"/>
      <w:r w:rsidR="00AE14D5" w:rsidRPr="00B450EB">
        <w:rPr>
          <w:rFonts w:eastAsia="Arial" w:cs="Arial"/>
        </w:rPr>
        <w:t xml:space="preserve"> et al., 2022).</w:t>
      </w:r>
    </w:p>
    <w:p w14:paraId="4ADCDC6B" w14:textId="583CC868" w:rsidR="00AE14D5" w:rsidRPr="00B450EB" w:rsidRDefault="00282745" w:rsidP="00AE14D5">
      <w:pPr>
        <w:spacing w:line="276" w:lineRule="auto"/>
      </w:pPr>
      <w:r w:rsidRPr="00B450EB">
        <w:rPr>
          <w:rFonts w:eastAsia="Arial" w:cs="Arial"/>
        </w:rPr>
        <w:t>Así, e</w:t>
      </w:r>
      <w:r w:rsidR="00AE14D5" w:rsidRPr="00B450EB">
        <w:rPr>
          <w:rFonts w:eastAsia="Arial" w:cs="Arial"/>
        </w:rPr>
        <w:t>l cambio climático altera estos procesos hidrológicos al modificar la duración, intensidad y sincronización de las estaciones húmedas y secas, lo que repercute directamente en la movilidad, reproducción y supervivencia de muchas especies. Incluso incrementos mínimos de temperatura —especialmente en los peces andinos amazónicos— pueden afectar funciones metabólicas y reproductivas, desencadenando impactos imprevisibles en la estructura de las redes tróficas (</w:t>
      </w:r>
      <w:proofErr w:type="spellStart"/>
      <w:r w:rsidR="00AE14D5" w:rsidRPr="00B450EB">
        <w:rPr>
          <w:rFonts w:eastAsia="Arial" w:cs="Arial"/>
        </w:rPr>
        <w:t>Science</w:t>
      </w:r>
      <w:proofErr w:type="spellEnd"/>
      <w:r w:rsidR="00AE14D5" w:rsidRPr="00B450EB">
        <w:rPr>
          <w:rFonts w:eastAsia="Arial" w:cs="Arial"/>
        </w:rPr>
        <w:t xml:space="preserve"> Panel </w:t>
      </w:r>
      <w:proofErr w:type="spellStart"/>
      <w:r w:rsidR="00AE14D5" w:rsidRPr="00B450EB">
        <w:rPr>
          <w:rFonts w:eastAsia="Arial" w:cs="Arial"/>
        </w:rPr>
        <w:t>for</w:t>
      </w:r>
      <w:proofErr w:type="spellEnd"/>
      <w:r w:rsidR="00AE14D5" w:rsidRPr="00B450EB">
        <w:rPr>
          <w:rFonts w:eastAsia="Arial" w:cs="Arial"/>
        </w:rPr>
        <w:t xml:space="preserve"> </w:t>
      </w:r>
      <w:proofErr w:type="spellStart"/>
      <w:r w:rsidR="00AE14D5" w:rsidRPr="00B450EB">
        <w:rPr>
          <w:rFonts w:eastAsia="Arial" w:cs="Arial"/>
        </w:rPr>
        <w:t>the</w:t>
      </w:r>
      <w:proofErr w:type="spellEnd"/>
      <w:r w:rsidR="00AE14D5" w:rsidRPr="00B450EB">
        <w:rPr>
          <w:rFonts w:eastAsia="Arial" w:cs="Arial"/>
        </w:rPr>
        <w:t xml:space="preserve"> Amazon, 2021). Conforme las aguas se calientan, algunas especies podrían expandir sus rangos de distribución hacia nuevas zonas de la cuenca, mientras que otras verían contraídas sus áreas naturales. Este reacomodamiento genera nuevos escenarios de competencia, depredación e intercambio de patógenos, que elevan el riesgo de extinciones locales o regionales (Farias &amp; </w:t>
      </w:r>
      <w:proofErr w:type="spellStart"/>
      <w:r w:rsidR="00AE14D5" w:rsidRPr="00B450EB">
        <w:rPr>
          <w:rFonts w:eastAsia="Arial" w:cs="Arial"/>
        </w:rPr>
        <w:t>Hrbek</w:t>
      </w:r>
      <w:proofErr w:type="spellEnd"/>
      <w:r w:rsidR="00AE14D5" w:rsidRPr="00B450EB">
        <w:rPr>
          <w:rFonts w:eastAsia="Arial" w:cs="Arial"/>
        </w:rPr>
        <w:t>, 2008).</w:t>
      </w:r>
    </w:p>
    <w:p w14:paraId="47066F6A" w14:textId="77777777" w:rsidR="00D829EA" w:rsidRPr="00B450EB" w:rsidRDefault="00AE14D5" w:rsidP="00AE14D5">
      <w:pPr>
        <w:spacing w:line="276" w:lineRule="auto"/>
        <w:rPr>
          <w:rFonts w:eastAsia="Arial" w:cs="Arial"/>
        </w:rPr>
      </w:pPr>
      <w:r w:rsidRPr="00B450EB">
        <w:rPr>
          <w:rFonts w:eastAsia="Arial" w:cs="Arial"/>
        </w:rPr>
        <w:t>Aunque algunos modelos proyectan que los peces amazónicos poseen una alta capacidad de dispersión, la realidad es que la mayoría corresponde a especies pequeñas, de baja movilidad y aún poco estudiadas, lo que restringe su capacidad de respuesta ante cambios ambientales acelerados (Castello et al., 2013). A esta limitación intrínseca se suma la deforestación, que disminuye la disponibilidad de agua, interrumpe la dinámica de inundación y debilita la conectividad entre hábitats acuáticos y terrestres. En este contexto, superar ciertos umbrales críticos podría empujar a la Amazonía hacia condiciones más secas, con efectos en cascada sobre la biodiversidad y la funcionalidad ecológica (</w:t>
      </w:r>
      <w:proofErr w:type="spellStart"/>
      <w:r w:rsidRPr="00B450EB">
        <w:rPr>
          <w:rFonts w:eastAsia="Arial" w:cs="Arial"/>
        </w:rPr>
        <w:t>Nobre</w:t>
      </w:r>
      <w:proofErr w:type="spellEnd"/>
      <w:r w:rsidRPr="00B450EB">
        <w:rPr>
          <w:rFonts w:eastAsia="Arial" w:cs="Arial"/>
        </w:rPr>
        <w:t xml:space="preserve"> et al., 2016). </w:t>
      </w:r>
    </w:p>
    <w:p w14:paraId="1600D528" w14:textId="444FDE0D" w:rsidR="00AE14D5" w:rsidRPr="00B450EB" w:rsidRDefault="00AE14D5" w:rsidP="00AE14D5">
      <w:pPr>
        <w:spacing w:line="276" w:lineRule="auto"/>
      </w:pPr>
      <w:r w:rsidRPr="00B450EB">
        <w:rPr>
          <w:rFonts w:eastAsia="Arial" w:cs="Arial"/>
        </w:rPr>
        <w:t xml:space="preserve">Estas alteraciones no solo amenazan la persistencia de especies individuales, sino que también comprometen procesos fundamentales, como el suministro de alimento </w:t>
      </w:r>
      <w:r w:rsidRPr="00B450EB">
        <w:rPr>
          <w:rFonts w:eastAsia="Arial" w:cs="Arial"/>
        </w:rPr>
        <w:lastRenderedPageBreak/>
        <w:t>a otros organismos y el sostenimiento de pesquerías de las que dependen millones de personas en la región (</w:t>
      </w:r>
      <w:proofErr w:type="spellStart"/>
      <w:r w:rsidRPr="00B450EB">
        <w:rPr>
          <w:rFonts w:eastAsia="Arial" w:cs="Arial"/>
        </w:rPr>
        <w:t>Science</w:t>
      </w:r>
      <w:proofErr w:type="spellEnd"/>
      <w:r w:rsidRPr="00B450EB">
        <w:rPr>
          <w:rFonts w:eastAsia="Arial" w:cs="Arial"/>
        </w:rPr>
        <w:t xml:space="preserve"> Panel </w:t>
      </w:r>
      <w:proofErr w:type="spellStart"/>
      <w:r w:rsidRPr="00B450EB">
        <w:rPr>
          <w:rFonts w:eastAsia="Arial" w:cs="Arial"/>
        </w:rPr>
        <w:t>for</w:t>
      </w:r>
      <w:proofErr w:type="spellEnd"/>
      <w:r w:rsidRPr="00B450EB">
        <w:rPr>
          <w:rFonts w:eastAsia="Arial" w:cs="Arial"/>
        </w:rPr>
        <w:t xml:space="preserve"> </w:t>
      </w:r>
      <w:proofErr w:type="spellStart"/>
      <w:r w:rsidRPr="00B450EB">
        <w:rPr>
          <w:rFonts w:eastAsia="Arial" w:cs="Arial"/>
        </w:rPr>
        <w:t>the</w:t>
      </w:r>
      <w:proofErr w:type="spellEnd"/>
      <w:r w:rsidRPr="00B450EB">
        <w:rPr>
          <w:rFonts w:eastAsia="Arial" w:cs="Arial"/>
        </w:rPr>
        <w:t xml:space="preserve"> Amazon, 2021).</w:t>
      </w:r>
    </w:p>
    <w:p w14:paraId="38FE22AB" w14:textId="3AF00B64" w:rsidR="00AE14D5" w:rsidRPr="00B450EB" w:rsidRDefault="00A35B78" w:rsidP="00AE14D5">
      <w:pPr>
        <w:spacing w:line="276" w:lineRule="auto"/>
        <w:rPr>
          <w:rFonts w:eastAsia="Arial" w:cs="Arial"/>
          <w:u w:val="single"/>
        </w:rPr>
      </w:pPr>
      <w:r w:rsidRPr="00B450EB">
        <w:rPr>
          <w:rFonts w:eastAsia="Arial" w:cs="Arial"/>
          <w:u w:val="single"/>
        </w:rPr>
        <w:t>Riesgos</w:t>
      </w:r>
      <w:r w:rsidR="00AE14D5" w:rsidRPr="00B450EB">
        <w:rPr>
          <w:rFonts w:eastAsia="Arial" w:cs="Arial"/>
          <w:u w:val="single"/>
        </w:rPr>
        <w:t xml:space="preserve"> en la </w:t>
      </w:r>
      <w:proofErr w:type="spellStart"/>
      <w:r w:rsidR="00AE14D5" w:rsidRPr="00B450EB">
        <w:rPr>
          <w:rFonts w:eastAsia="Arial" w:cs="Arial"/>
          <w:u w:val="single"/>
        </w:rPr>
        <w:t>herpetofauna</w:t>
      </w:r>
      <w:proofErr w:type="spellEnd"/>
    </w:p>
    <w:p w14:paraId="0884CA5F" w14:textId="77777777" w:rsidR="00AE14D5" w:rsidRPr="00B450EB" w:rsidRDefault="00AE14D5" w:rsidP="00AE14D5">
      <w:pPr>
        <w:spacing w:line="276" w:lineRule="auto"/>
      </w:pPr>
      <w:r w:rsidRPr="00B450EB">
        <w:rPr>
          <w:rFonts w:eastAsia="Arial" w:cs="Arial"/>
        </w:rPr>
        <w:t>Los anfibios constituyen uno de los grupos más vulnerables al cambio climático en la Amazonía debido a su fisiología dependiente de la temperatura y la humedad, su piel permeable y sus ciclos de vida estrechamente ligados a cuerpos de agua y microhábitats húmedos (</w:t>
      </w:r>
      <w:proofErr w:type="spellStart"/>
      <w:r w:rsidRPr="00B450EB">
        <w:rPr>
          <w:rFonts w:eastAsia="Arial" w:cs="Arial"/>
        </w:rPr>
        <w:t>Hof</w:t>
      </w:r>
      <w:proofErr w:type="spellEnd"/>
      <w:r w:rsidRPr="00B450EB">
        <w:rPr>
          <w:rFonts w:eastAsia="Arial" w:cs="Arial"/>
        </w:rPr>
        <w:t xml:space="preserve"> et al., 2011). Incrementos en la temperatura y descensos en la humedad reducen drásticamente la disponibilidad de refugios críticos como la hojarasca húmeda, los troncos caídos, las bromelias y las microcuencas forestales, aumentando su exposición a la desecación y a enfermedades infecciosas como la </w:t>
      </w:r>
      <w:proofErr w:type="spellStart"/>
      <w:r w:rsidRPr="00B450EB">
        <w:rPr>
          <w:rFonts w:eastAsia="Arial" w:cs="Arial"/>
        </w:rPr>
        <w:t>quitridiomicosis</w:t>
      </w:r>
      <w:proofErr w:type="spellEnd"/>
      <w:r w:rsidRPr="00B450EB">
        <w:rPr>
          <w:rFonts w:eastAsia="Arial" w:cs="Arial"/>
        </w:rPr>
        <w:t xml:space="preserve"> (</w:t>
      </w:r>
      <w:proofErr w:type="spellStart"/>
      <w:r w:rsidRPr="00B450EB">
        <w:rPr>
          <w:rFonts w:eastAsia="Arial" w:cs="Arial"/>
          <w:i/>
          <w:iCs/>
        </w:rPr>
        <w:t>Batrachochytrium</w:t>
      </w:r>
      <w:proofErr w:type="spellEnd"/>
      <w:r w:rsidRPr="00B450EB">
        <w:rPr>
          <w:rFonts w:eastAsia="Arial" w:cs="Arial"/>
          <w:i/>
          <w:iCs/>
        </w:rPr>
        <w:t xml:space="preserve"> </w:t>
      </w:r>
      <w:proofErr w:type="spellStart"/>
      <w:r w:rsidRPr="00B450EB">
        <w:rPr>
          <w:rFonts w:eastAsia="Arial" w:cs="Arial"/>
          <w:i/>
          <w:iCs/>
        </w:rPr>
        <w:t>dendrobatidis</w:t>
      </w:r>
      <w:proofErr w:type="spellEnd"/>
      <w:r w:rsidRPr="00B450EB">
        <w:rPr>
          <w:rFonts w:eastAsia="Arial" w:cs="Arial"/>
        </w:rPr>
        <w:t>), cuyo impacto se intensifica bajo condiciones de estrés ambiental (Fisher et al., 2020).</w:t>
      </w:r>
    </w:p>
    <w:p w14:paraId="69546697" w14:textId="77777777" w:rsidR="00AE14D5" w:rsidRPr="00B450EB" w:rsidRDefault="00AE14D5" w:rsidP="00AE14D5">
      <w:pPr>
        <w:spacing w:line="276" w:lineRule="auto"/>
        <w:rPr>
          <w:rFonts w:eastAsia="Arial" w:cs="Arial"/>
        </w:rPr>
      </w:pPr>
      <w:r w:rsidRPr="00B450EB">
        <w:rPr>
          <w:rFonts w:eastAsia="Arial" w:cs="Arial"/>
        </w:rPr>
        <w:t>Las proyecciones indican que, con un aumento global de 4 °C, alrededor del 7,5 % de las especies de anfibios estarían expuestas a condiciones térmicas que exceden sus límites fisiológicos, incluso considerando su plasticidad térmica (</w:t>
      </w:r>
      <w:proofErr w:type="spellStart"/>
      <w:r w:rsidRPr="00B450EB">
        <w:rPr>
          <w:rFonts w:eastAsia="Arial" w:cs="Arial"/>
        </w:rPr>
        <w:t>Ficetola</w:t>
      </w:r>
      <w:proofErr w:type="spellEnd"/>
      <w:r w:rsidRPr="00B450EB">
        <w:rPr>
          <w:rFonts w:eastAsia="Arial" w:cs="Arial"/>
        </w:rPr>
        <w:t xml:space="preserve"> &amp; </w:t>
      </w:r>
      <w:proofErr w:type="spellStart"/>
      <w:r w:rsidRPr="00B450EB">
        <w:rPr>
          <w:rFonts w:eastAsia="Arial" w:cs="Arial"/>
        </w:rPr>
        <w:t>Maiorano</w:t>
      </w:r>
      <w:proofErr w:type="spellEnd"/>
      <w:r w:rsidRPr="00B450EB">
        <w:rPr>
          <w:rFonts w:eastAsia="Arial" w:cs="Arial"/>
        </w:rPr>
        <w:t>, 2016). En la Amazonía colombiana, la deforestación y la fragmentación intensifican esta vulnerabilidad al reducir la conectividad entre microhábitats húmedos, lo que limita la capacidad de desplazamiento y adaptación de las poblaciones locales. Además, se ha documentado que la expansión agrícola y urbana ha puesto a numerosas especies de anfibios en peligro de extinción, pues la fragmentación del bosque incrementa el aislamiento poblacional e impide la dispersión, incluso en especies con alto potencial de movilidad (</w:t>
      </w:r>
      <w:proofErr w:type="spellStart"/>
      <w:r w:rsidRPr="00B450EB">
        <w:rPr>
          <w:rFonts w:eastAsia="Arial" w:cs="Arial"/>
        </w:rPr>
        <w:t>Ferrante</w:t>
      </w:r>
      <w:proofErr w:type="spellEnd"/>
      <w:r w:rsidRPr="00B450EB">
        <w:rPr>
          <w:rFonts w:eastAsia="Arial" w:cs="Arial"/>
        </w:rPr>
        <w:t xml:space="preserve"> et al., 2017; Rosa et al., 2021).</w:t>
      </w:r>
    </w:p>
    <w:p w14:paraId="65F0A504" w14:textId="2CFE6A63" w:rsidR="00AE14D5" w:rsidRPr="00B450EB" w:rsidRDefault="00AE14D5" w:rsidP="00AE14D5">
      <w:r w:rsidRPr="00B450EB">
        <w:t xml:space="preserve">Ante estos </w:t>
      </w:r>
      <w:r w:rsidR="001D4D36" w:rsidRPr="00B450EB">
        <w:t>escenarios</w:t>
      </w:r>
      <w:r w:rsidRPr="00B450EB">
        <w:t>, los reptiles amazónicos también se enfrentan a riesgos crecientes derivados de la fragmentación del hábitat y el cambio climático, que impactan sobre la disponibilidad de microhábitats y la regulación térmica necesaria para procesos vitales como la determinación del sexo en especies de tortugas. La alteración ambiental y la disminución de cuerpos de agua afectan la supervivencia de varias especies, especialmente en zonas donde se intensifican actividades antropogénicas, disminuyendo la capacidad de recuperación poblacional (Herrera et al., 2011; Flores Andrade et al, 2022)</w:t>
      </w:r>
    </w:p>
    <w:p w14:paraId="3F61A54D" w14:textId="66EA9652" w:rsidR="00AE14D5" w:rsidRPr="00B450EB" w:rsidRDefault="00A35B78" w:rsidP="00AE14D5">
      <w:pPr>
        <w:spacing w:line="276" w:lineRule="auto"/>
        <w:rPr>
          <w:rFonts w:eastAsia="Arial" w:cs="Arial"/>
          <w:u w:val="single"/>
        </w:rPr>
      </w:pPr>
      <w:r w:rsidRPr="00B450EB">
        <w:rPr>
          <w:rFonts w:eastAsia="Arial" w:cs="Arial"/>
          <w:u w:val="single"/>
        </w:rPr>
        <w:t>Riesgos</w:t>
      </w:r>
      <w:r w:rsidR="00AE14D5" w:rsidRPr="00B450EB">
        <w:rPr>
          <w:rFonts w:eastAsia="Arial" w:cs="Arial"/>
          <w:u w:val="single"/>
        </w:rPr>
        <w:t xml:space="preserve"> en la avifauna </w:t>
      </w:r>
    </w:p>
    <w:p w14:paraId="200F63BA" w14:textId="77777777" w:rsidR="00AE14D5" w:rsidRPr="00B450EB" w:rsidRDefault="00AE14D5" w:rsidP="00AE14D5">
      <w:pPr>
        <w:spacing w:line="276" w:lineRule="auto"/>
      </w:pPr>
      <w:r w:rsidRPr="00B450EB">
        <w:rPr>
          <w:rFonts w:eastAsia="Arial" w:cs="Arial"/>
        </w:rPr>
        <w:t xml:space="preserve">En el caso de las aves amazónicas, los efectos del cambio climático se manifiestan principalmente durante la intensificación de las estaciones secas, que reducen drásticamente la supervivencia de especies del sotobosque. Estas aves han evolucionado en ambientes tropicales estables, priorizando la supervivencia adulta y ciclos de vida prolongados. Esta estrategia adaptativa, adecuada para </w:t>
      </w:r>
      <w:r w:rsidRPr="00B450EB">
        <w:rPr>
          <w:rFonts w:eastAsia="Arial" w:cs="Arial"/>
        </w:rPr>
        <w:lastRenderedPageBreak/>
        <w:t>ecosistemas húmedos y constantes, las hace altamente vulnerables a las alteraciones climáticas actuales, donde la supervivencia adulta se ve comprometida por condiciones cada vez más extremas (Wolfe et al., 2025).</w:t>
      </w:r>
    </w:p>
    <w:p w14:paraId="2C1B80F1" w14:textId="77777777" w:rsidR="00B5556C" w:rsidRPr="00B450EB" w:rsidRDefault="00B5556C" w:rsidP="00B5556C">
      <w:pPr>
        <w:spacing w:line="276" w:lineRule="auto"/>
        <w:rPr>
          <w:rFonts w:eastAsia="Arial" w:cs="Arial"/>
        </w:rPr>
      </w:pPr>
      <w:r w:rsidRPr="00B450EB">
        <w:rPr>
          <w:rFonts w:eastAsia="Arial" w:cs="Arial"/>
        </w:rPr>
        <w:t xml:space="preserve">El impacto del cambio climático en las aves del sotobosque refleja la interrupción de los microclimas que moldearon evolutivamente sus nichos y estrategias de vida. Las especies insectívoras son particularmente sensibles a la pérdida de humedad, lo que incrementa su estrés fisiológico y las obliga a buscar refugios </w:t>
      </w:r>
      <w:proofErr w:type="spellStart"/>
      <w:r w:rsidRPr="00B450EB">
        <w:rPr>
          <w:rFonts w:eastAsia="Arial" w:cs="Arial"/>
        </w:rPr>
        <w:t>microclimáticos</w:t>
      </w:r>
      <w:proofErr w:type="spellEnd"/>
      <w:r w:rsidRPr="00B450EB">
        <w:rPr>
          <w:rFonts w:eastAsia="Arial" w:cs="Arial"/>
        </w:rPr>
        <w:t xml:space="preserve">. Se ha documentado que especies como </w:t>
      </w:r>
      <w:proofErr w:type="spellStart"/>
      <w:r w:rsidRPr="00B450EB">
        <w:rPr>
          <w:rFonts w:eastAsia="Arial" w:cs="Arial"/>
          <w:i/>
          <w:iCs/>
        </w:rPr>
        <w:t>Formicarius</w:t>
      </w:r>
      <w:proofErr w:type="spellEnd"/>
      <w:r w:rsidRPr="00B450EB">
        <w:rPr>
          <w:rFonts w:eastAsia="Arial" w:cs="Arial"/>
          <w:i/>
          <w:iCs/>
        </w:rPr>
        <w:t xml:space="preserve"> </w:t>
      </w:r>
      <w:proofErr w:type="spellStart"/>
      <w:r w:rsidRPr="00B450EB">
        <w:rPr>
          <w:rFonts w:eastAsia="Arial" w:cs="Arial"/>
          <w:i/>
          <w:iCs/>
        </w:rPr>
        <w:t>analis</w:t>
      </w:r>
      <w:proofErr w:type="spellEnd"/>
      <w:r w:rsidRPr="00B450EB">
        <w:rPr>
          <w:rFonts w:eastAsia="Arial" w:cs="Arial"/>
        </w:rPr>
        <w:t xml:space="preserve"> abandonan áreas más elevadas y abiertas para refugiarse en valles con mayor cobertura vegetal, considerados más estables térmica e hídrica (Wolfe et al., 2025). A esto se suma la reducción de artrópodos en ambientes más secos, lo que disminuye la disponibilidad de presas y compromete aún más su supervivencia. Incluso en bosques prístinos, considerados más resilientes, se han observado estas dinámicas, lo que evidencia que el cambio climático impacta profundamente incluso en ecosistemas aparentemente intactos (</w:t>
      </w:r>
      <w:proofErr w:type="spellStart"/>
      <w:r w:rsidRPr="00B450EB">
        <w:rPr>
          <w:rFonts w:eastAsia="Arial" w:cs="Arial"/>
        </w:rPr>
        <w:t>Stouffer</w:t>
      </w:r>
      <w:proofErr w:type="spellEnd"/>
      <w:r w:rsidRPr="00B450EB">
        <w:rPr>
          <w:rFonts w:eastAsia="Arial" w:cs="Arial"/>
        </w:rPr>
        <w:t xml:space="preserve"> et al., 2020).</w:t>
      </w:r>
    </w:p>
    <w:p w14:paraId="2A736B17" w14:textId="165EB096" w:rsidR="00EB1FCA" w:rsidRPr="00B450EB" w:rsidRDefault="00B5556C" w:rsidP="00AE14D5">
      <w:pPr>
        <w:spacing w:line="276" w:lineRule="auto"/>
      </w:pPr>
      <w:r w:rsidRPr="00B450EB">
        <w:t xml:space="preserve">De manera complementaria, el estudio Análisis de biodiversidad en escenarios de cambio climático desarrollado por el Instituto </w:t>
      </w:r>
      <w:r w:rsidR="00922AD4" w:rsidRPr="00B450EB">
        <w:t xml:space="preserve">Alexander </w:t>
      </w:r>
      <w:proofErr w:type="spellStart"/>
      <w:r w:rsidR="00922AD4" w:rsidRPr="00B450EB">
        <w:t>von</w:t>
      </w:r>
      <w:proofErr w:type="spellEnd"/>
      <w:r w:rsidR="00922AD4" w:rsidRPr="00B450EB">
        <w:t xml:space="preserve"> </w:t>
      </w:r>
      <w:r w:rsidRPr="00B450EB">
        <w:t xml:space="preserve">Humboldt, mediante el </w:t>
      </w:r>
      <w:proofErr w:type="spellStart"/>
      <w:r w:rsidRPr="00B450EB">
        <w:t>postprocesamiento</w:t>
      </w:r>
      <w:proofErr w:type="spellEnd"/>
      <w:r w:rsidRPr="00B450EB">
        <w:t xml:space="preserve"> de </w:t>
      </w:r>
      <w:proofErr w:type="spellStart"/>
      <w:r w:rsidRPr="00B450EB">
        <w:t>BioModelos</w:t>
      </w:r>
      <w:proofErr w:type="spellEnd"/>
      <w:r w:rsidRPr="00B450EB">
        <w:t>, analizó la distribución futura de las aves en Colombia bajo diferentes escenarios de cambio climático. Los resultados evidencian que la Amazonía, el Pacífico y las zonas altas de los Andes concentran la mayor cantidad de especies vulnerables, siendo la Amazonía la región más crítica</w:t>
      </w:r>
      <w:r w:rsidR="00986C6B" w:rsidRPr="00B450EB">
        <w:t xml:space="preserve"> (</w:t>
      </w:r>
      <w:r w:rsidR="00986C6B" w:rsidRPr="00B450EB">
        <w:fldChar w:fldCharType="begin"/>
      </w:r>
      <w:r w:rsidR="00986C6B" w:rsidRPr="00B450EB">
        <w:instrText xml:space="preserve"> REF _Ref209205675 \h  \* MERGEFORMAT </w:instrText>
      </w:r>
      <w:r w:rsidR="00986C6B" w:rsidRPr="00B450EB">
        <w:fldChar w:fldCharType="separate"/>
      </w:r>
      <w:r w:rsidR="00010D09" w:rsidRPr="00B450EB">
        <w:t>Figura</w:t>
      </w:r>
      <w:r w:rsidR="00986C6B" w:rsidRPr="00B450EB">
        <w:fldChar w:fldCharType="end"/>
      </w:r>
      <w:r w:rsidR="00986C6B" w:rsidRPr="00B450EB">
        <w:t>)</w:t>
      </w:r>
      <w:r w:rsidRPr="00B450EB">
        <w:t xml:space="preserve">. En departamentos como Caquetá, Guaviare, Putumayo, Guainía, Vaupés y Amazonas se proyectan entre 139 y 168 especies vulnerables, mientras que en la costa pacífica los valores intermedios oscilan entre 47 y 96, y en el piedemonte andino amazónico los más bajos, entre 19 y 47 especies. </w:t>
      </w:r>
    </w:p>
    <w:p w14:paraId="39D499C2" w14:textId="4895809A" w:rsidR="00B5556C" w:rsidRPr="00B450EB" w:rsidRDefault="00B5556C" w:rsidP="00AE14D5">
      <w:pPr>
        <w:spacing w:line="276" w:lineRule="auto"/>
      </w:pPr>
      <w:r w:rsidRPr="00B450EB">
        <w:t>Estos hallazgos confirman la alta susceptibilidad de las aves amazónicas al cambio climático y refuerzan la urgencia de conservar la conectividad ecológica y los corredores biológicos que permitan su adaptación. Asimismo, se ha evidenciado que las variaciones climáticas y la reducción de la cobertura vegetal provocan fluctuaciones en la abundancia de aves entre entornos urbanos y rurales, al alterar los ciclos de floración y fructificación de las plantas, disminuyendo la disponibilidad de recursos tróficos. En este contexto, conservar el bosque amazónico resulta fundamental para garantizar la resiliencia de las comunidades de aves y mantener los servicios ecosistémicos que proveen.</w:t>
      </w:r>
    </w:p>
    <w:p w14:paraId="48DB2EFD" w14:textId="7D4432DB" w:rsidR="004E2F5D" w:rsidRPr="00B450EB" w:rsidRDefault="004E2F5D" w:rsidP="00A10EBE">
      <w:pPr>
        <w:pStyle w:val="Descripcin"/>
        <w:keepNext/>
        <w:rPr>
          <w:color w:val="auto"/>
        </w:rPr>
      </w:pPr>
      <w:bookmarkStart w:id="248" w:name="_Ref209205675"/>
      <w:bookmarkStart w:id="249" w:name="_Toc209462798"/>
      <w:r w:rsidRPr="00B450EB">
        <w:rPr>
          <w:color w:val="auto"/>
        </w:rPr>
        <w:lastRenderedPageBreak/>
        <w:t>Figura</w:t>
      </w:r>
      <w:bookmarkEnd w:id="248"/>
      <w:r w:rsidRPr="00B450EB">
        <w:rPr>
          <w:color w:val="auto"/>
        </w:rPr>
        <w:t xml:space="preserve">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110</w:t>
      </w:r>
      <w:r w:rsidR="0045353A" w:rsidRPr="00B450EB">
        <w:rPr>
          <w:noProof/>
          <w:color w:val="auto"/>
        </w:rPr>
        <w:fldChar w:fldCharType="end"/>
      </w:r>
      <w:r w:rsidR="00BF780D" w:rsidRPr="00B450EB">
        <w:rPr>
          <w:color w:val="auto"/>
        </w:rPr>
        <w:t xml:space="preserve"> </w:t>
      </w:r>
      <w:r w:rsidR="00A10EBE" w:rsidRPr="00B450EB">
        <w:rPr>
          <w:color w:val="auto"/>
        </w:rPr>
        <w:t>Mapa de la concentración de aves vulnerables y alta vulnerabilidad al cambio climático. Los valores más altos de especies se presentan las zonas de azul (152-168 especies), mientras que los más bajos en amarillo.</w:t>
      </w:r>
      <w:bookmarkEnd w:id="249"/>
    </w:p>
    <w:p w14:paraId="0BF7B688" w14:textId="3922277E" w:rsidR="00F27C05" w:rsidRPr="00B450EB" w:rsidRDefault="00F27C05" w:rsidP="00D829EA">
      <w:pPr>
        <w:spacing w:after="0" w:line="276" w:lineRule="auto"/>
        <w:jc w:val="center"/>
      </w:pPr>
      <w:r w:rsidRPr="00B450EB">
        <w:rPr>
          <w:noProof/>
        </w:rPr>
        <w:drawing>
          <wp:inline distT="114300" distB="114300" distL="114300" distR="114300" wp14:anchorId="6E51ED6E" wp14:editId="1BFB8240">
            <wp:extent cx="3187503" cy="3757895"/>
            <wp:effectExtent l="0" t="0" r="0" b="0"/>
            <wp:docPr id="3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rotWithShape="1">
                    <a:blip r:embed="rId181" cstate="email">
                      <a:extLst>
                        <a:ext uri="{28A0092B-C50C-407E-A947-70E740481C1C}">
                          <a14:useLocalDpi xmlns:a14="http://schemas.microsoft.com/office/drawing/2010/main"/>
                        </a:ext>
                      </a:extLst>
                    </a:blip>
                    <a:srcRect/>
                    <a:stretch>
                      <a:fillRect/>
                    </a:stretch>
                  </pic:blipFill>
                  <pic:spPr bwMode="auto">
                    <a:xfrm>
                      <a:off x="0" y="0"/>
                      <a:ext cx="3204460" cy="3777887"/>
                    </a:xfrm>
                    <a:prstGeom prst="rect">
                      <a:avLst/>
                    </a:prstGeom>
                    <a:ln>
                      <a:noFill/>
                    </a:ln>
                    <a:extLst>
                      <a:ext uri="{53640926-AAD7-44D8-BBD7-CCE9431645EC}">
                        <a14:shadowObscured xmlns:a14="http://schemas.microsoft.com/office/drawing/2010/main"/>
                      </a:ext>
                    </a:extLst>
                  </pic:spPr>
                </pic:pic>
              </a:graphicData>
            </a:graphic>
          </wp:inline>
        </w:drawing>
      </w:r>
    </w:p>
    <w:p w14:paraId="0F105F1B" w14:textId="214436FB" w:rsidR="00A10EBE" w:rsidRPr="00B450EB" w:rsidRDefault="00A10EBE" w:rsidP="00D829EA">
      <w:pPr>
        <w:spacing w:line="276" w:lineRule="auto"/>
        <w:jc w:val="center"/>
        <w:rPr>
          <w:sz w:val="18"/>
          <w:szCs w:val="18"/>
          <w:lang w:val="en-US"/>
        </w:rPr>
      </w:pPr>
      <w:r w:rsidRPr="00B450EB">
        <w:rPr>
          <w:sz w:val="18"/>
          <w:szCs w:val="18"/>
          <w:lang w:val="en-US"/>
        </w:rPr>
        <w:t>Fuente:</w:t>
      </w:r>
      <w:r w:rsidR="00B55D43" w:rsidRPr="00B450EB">
        <w:rPr>
          <w:sz w:val="18"/>
          <w:szCs w:val="18"/>
          <w:lang w:val="en-US"/>
        </w:rPr>
        <w:t xml:space="preserve"> </w:t>
      </w:r>
      <w:proofErr w:type="spellStart"/>
      <w:r w:rsidR="00B55D43" w:rsidRPr="00B450EB">
        <w:rPr>
          <w:sz w:val="18"/>
          <w:szCs w:val="18"/>
          <w:lang w:val="en-US"/>
        </w:rPr>
        <w:t>IAvH</w:t>
      </w:r>
      <w:proofErr w:type="spellEnd"/>
      <w:r w:rsidR="00B55D43" w:rsidRPr="00B450EB">
        <w:rPr>
          <w:sz w:val="18"/>
          <w:szCs w:val="18"/>
          <w:lang w:val="en-US"/>
        </w:rPr>
        <w:t xml:space="preserve"> -Project supported by National Geographic Society -AI for Earth Innovation Grant, 2021</w:t>
      </w:r>
    </w:p>
    <w:p w14:paraId="6368046D" w14:textId="2804F262" w:rsidR="00AE14D5" w:rsidRPr="00B450EB" w:rsidRDefault="00A35B78" w:rsidP="00AE14D5">
      <w:pPr>
        <w:spacing w:line="276" w:lineRule="auto"/>
        <w:rPr>
          <w:rFonts w:eastAsia="Arial" w:cs="Arial"/>
          <w:u w:val="single"/>
        </w:rPr>
      </w:pPr>
      <w:r w:rsidRPr="00B450EB">
        <w:rPr>
          <w:rFonts w:eastAsia="Arial" w:cs="Arial"/>
          <w:u w:val="single"/>
        </w:rPr>
        <w:t>Riesgos</w:t>
      </w:r>
      <w:r w:rsidR="00AE14D5" w:rsidRPr="00B450EB">
        <w:rPr>
          <w:rFonts w:eastAsia="Arial" w:cs="Arial"/>
          <w:u w:val="single"/>
        </w:rPr>
        <w:t xml:space="preserve"> en la </w:t>
      </w:r>
      <w:proofErr w:type="spellStart"/>
      <w:r w:rsidR="00AE14D5" w:rsidRPr="00B450EB">
        <w:rPr>
          <w:rFonts w:eastAsia="Arial" w:cs="Arial"/>
          <w:u w:val="single"/>
        </w:rPr>
        <w:t>mastofauna</w:t>
      </w:r>
      <w:proofErr w:type="spellEnd"/>
    </w:p>
    <w:p w14:paraId="287EBC04" w14:textId="12500733" w:rsidR="00AE14D5" w:rsidRPr="00B450EB" w:rsidRDefault="00AE14D5" w:rsidP="00AE14D5">
      <w:pPr>
        <w:spacing w:line="276" w:lineRule="auto"/>
      </w:pPr>
      <w:r w:rsidRPr="00B450EB">
        <w:rPr>
          <w:rFonts w:eastAsia="Arial" w:cs="Arial"/>
        </w:rPr>
        <w:t>Los mamíferos amazónicos enfrentan múltiples amenazas derivadas de la combinación de deforestación y cambio climático. La pérdida de cobertura forestal interrumpe la conectividad ecológica entre áreas núcleo y corredores, lo que restringe el flujo genético y aumenta el aislamiento poblacional (</w:t>
      </w:r>
      <w:proofErr w:type="spellStart"/>
      <w:r w:rsidRPr="00B450EB">
        <w:rPr>
          <w:rFonts w:eastAsia="Arial" w:cs="Arial"/>
        </w:rPr>
        <w:t>Benchimol</w:t>
      </w:r>
      <w:proofErr w:type="spellEnd"/>
      <w:r w:rsidRPr="00B450EB">
        <w:rPr>
          <w:rFonts w:eastAsia="Arial" w:cs="Arial"/>
        </w:rPr>
        <w:t xml:space="preserve"> &amp; </w:t>
      </w:r>
      <w:proofErr w:type="spellStart"/>
      <w:r w:rsidRPr="00B450EB">
        <w:rPr>
          <w:rFonts w:eastAsia="Arial" w:cs="Arial"/>
        </w:rPr>
        <w:t>Peres</w:t>
      </w:r>
      <w:proofErr w:type="spellEnd"/>
      <w:r w:rsidRPr="00B450EB">
        <w:rPr>
          <w:rFonts w:eastAsia="Arial" w:cs="Arial"/>
        </w:rPr>
        <w:t>, 2014). Esta situación afecta de manera particular a los grandes mamíferos de dispersión media y larga, como el tapir (</w:t>
      </w:r>
      <w:proofErr w:type="spellStart"/>
      <w:r w:rsidRPr="00B450EB">
        <w:rPr>
          <w:rFonts w:eastAsia="Arial" w:cs="Arial"/>
          <w:i/>
          <w:iCs/>
        </w:rPr>
        <w:t>Tapirus</w:t>
      </w:r>
      <w:proofErr w:type="spellEnd"/>
      <w:r w:rsidRPr="00B450EB">
        <w:rPr>
          <w:rFonts w:eastAsia="Arial" w:cs="Arial"/>
          <w:i/>
          <w:iCs/>
        </w:rPr>
        <w:t xml:space="preserve"> </w:t>
      </w:r>
      <w:proofErr w:type="spellStart"/>
      <w:r w:rsidRPr="00B450EB">
        <w:rPr>
          <w:rFonts w:eastAsia="Arial" w:cs="Arial"/>
          <w:i/>
          <w:iCs/>
        </w:rPr>
        <w:t>terrestris</w:t>
      </w:r>
      <w:proofErr w:type="spellEnd"/>
      <w:r w:rsidRPr="00B450EB">
        <w:rPr>
          <w:rFonts w:eastAsia="Arial" w:cs="Arial"/>
        </w:rPr>
        <w:t>), el pecarí de labio blanco (</w:t>
      </w:r>
      <w:proofErr w:type="spellStart"/>
      <w:r w:rsidRPr="00B450EB">
        <w:rPr>
          <w:rFonts w:eastAsia="Arial" w:cs="Arial"/>
          <w:i/>
          <w:iCs/>
        </w:rPr>
        <w:t>Tayassu</w:t>
      </w:r>
      <w:proofErr w:type="spellEnd"/>
      <w:r w:rsidRPr="00B450EB">
        <w:rPr>
          <w:rFonts w:eastAsia="Arial" w:cs="Arial"/>
          <w:i/>
          <w:iCs/>
        </w:rPr>
        <w:t xml:space="preserve"> </w:t>
      </w:r>
      <w:proofErr w:type="spellStart"/>
      <w:r w:rsidRPr="00B450EB">
        <w:rPr>
          <w:rFonts w:eastAsia="Arial" w:cs="Arial"/>
          <w:i/>
          <w:iCs/>
        </w:rPr>
        <w:t>pecari</w:t>
      </w:r>
      <w:proofErr w:type="spellEnd"/>
      <w:r w:rsidRPr="00B450EB">
        <w:rPr>
          <w:rFonts w:eastAsia="Arial" w:cs="Arial"/>
        </w:rPr>
        <w:t xml:space="preserve">) y los primates de gran tamaño, que requieren extensas áreas continuas de hábitat para mantener poblaciones viables (Azevedo-Ramos &amp; </w:t>
      </w:r>
      <w:proofErr w:type="spellStart"/>
      <w:r w:rsidRPr="00B450EB">
        <w:rPr>
          <w:rFonts w:eastAsia="Arial" w:cs="Arial"/>
        </w:rPr>
        <w:t>Moutinho</w:t>
      </w:r>
      <w:proofErr w:type="spellEnd"/>
      <w:r w:rsidRPr="00B450EB">
        <w:rPr>
          <w:rFonts w:eastAsia="Arial" w:cs="Arial"/>
        </w:rPr>
        <w:t>, 2018).</w:t>
      </w:r>
    </w:p>
    <w:p w14:paraId="51DCD1F5" w14:textId="77777777" w:rsidR="002B6CCC" w:rsidRPr="00B450EB" w:rsidRDefault="00AE14D5" w:rsidP="00AE14D5">
      <w:pPr>
        <w:spacing w:line="276" w:lineRule="auto"/>
        <w:rPr>
          <w:rFonts w:eastAsia="Arial" w:cs="Arial"/>
        </w:rPr>
      </w:pPr>
      <w:r w:rsidRPr="00B450EB">
        <w:rPr>
          <w:rFonts w:eastAsia="Arial" w:cs="Arial"/>
        </w:rPr>
        <w:t>Los cambios en la composición arbórea de los bosques amazónicos, dominados cada vez más por especies tolerantes a la sequía y con mayor mortalidad de especies adaptadas a condiciones húmedas (Phillips et al., 2009), tienen implicaciones directas sobre los mamíferos. Por ejemplo, primates como el mono araña (</w:t>
      </w:r>
      <w:r w:rsidRPr="00B450EB">
        <w:rPr>
          <w:rFonts w:eastAsia="Arial" w:cs="Arial"/>
          <w:i/>
          <w:iCs/>
        </w:rPr>
        <w:t xml:space="preserve">Ateles </w:t>
      </w:r>
      <w:proofErr w:type="spellStart"/>
      <w:r w:rsidRPr="00B450EB">
        <w:rPr>
          <w:rFonts w:eastAsia="Arial" w:cs="Arial"/>
          <w:i/>
          <w:iCs/>
        </w:rPr>
        <w:t>belzebuth</w:t>
      </w:r>
      <w:proofErr w:type="spellEnd"/>
      <w:r w:rsidRPr="00B450EB">
        <w:rPr>
          <w:rFonts w:eastAsia="Arial" w:cs="Arial"/>
        </w:rPr>
        <w:t>) o el mono churuco (</w:t>
      </w:r>
      <w:proofErr w:type="spellStart"/>
      <w:r w:rsidRPr="00B450EB">
        <w:rPr>
          <w:rFonts w:eastAsia="Arial" w:cs="Arial"/>
          <w:i/>
          <w:iCs/>
        </w:rPr>
        <w:t>Lagothrix</w:t>
      </w:r>
      <w:proofErr w:type="spellEnd"/>
      <w:r w:rsidRPr="00B450EB">
        <w:rPr>
          <w:rFonts w:eastAsia="Arial" w:cs="Arial"/>
          <w:i/>
          <w:iCs/>
        </w:rPr>
        <w:t xml:space="preserve"> </w:t>
      </w:r>
      <w:proofErr w:type="spellStart"/>
      <w:r w:rsidRPr="00B450EB">
        <w:rPr>
          <w:rFonts w:eastAsia="Arial" w:cs="Arial"/>
          <w:i/>
          <w:iCs/>
        </w:rPr>
        <w:t>lagothricha</w:t>
      </w:r>
      <w:proofErr w:type="spellEnd"/>
      <w:r w:rsidRPr="00B450EB">
        <w:rPr>
          <w:rFonts w:eastAsia="Arial" w:cs="Arial"/>
        </w:rPr>
        <w:t>), que dependen de árboles productores de frutos sensibles a la sequía, podrían enfrentar reducciones en la disponibilidad de alimento y en consecuencia declives poblacionales. Asimismo, mamíferos carnívoros como el jaguar (</w:t>
      </w:r>
      <w:r w:rsidRPr="00B450EB">
        <w:rPr>
          <w:rFonts w:eastAsia="Arial" w:cs="Arial"/>
          <w:i/>
          <w:iCs/>
        </w:rPr>
        <w:t xml:space="preserve">Panthera </w:t>
      </w:r>
      <w:proofErr w:type="spellStart"/>
      <w:r w:rsidRPr="00B450EB">
        <w:rPr>
          <w:rFonts w:eastAsia="Arial" w:cs="Arial"/>
          <w:i/>
          <w:iCs/>
        </w:rPr>
        <w:t>onca</w:t>
      </w:r>
      <w:proofErr w:type="spellEnd"/>
      <w:r w:rsidRPr="00B450EB">
        <w:rPr>
          <w:rFonts w:eastAsia="Arial" w:cs="Arial"/>
        </w:rPr>
        <w:t xml:space="preserve">) se </w:t>
      </w:r>
      <w:r w:rsidRPr="00B450EB">
        <w:rPr>
          <w:rFonts w:eastAsia="Arial" w:cs="Arial"/>
        </w:rPr>
        <w:lastRenderedPageBreak/>
        <w:t xml:space="preserve">ven afectados de forma indirecta al disminuir la abundancia de presas en ecosistemas más secos y fragmentados. </w:t>
      </w:r>
    </w:p>
    <w:p w14:paraId="4D189217" w14:textId="338FF226" w:rsidR="00BD7C82" w:rsidRPr="00B450EB" w:rsidRDefault="000E2B2D" w:rsidP="00AE14D5">
      <w:pPr>
        <w:spacing w:line="276" w:lineRule="auto"/>
      </w:pPr>
      <w:r w:rsidRPr="00B450EB">
        <w:t>De este modo, la sinergia entre deforestación y cambio climático compromete no solo la persistencia de especies icónicas, sino también los procesos ecológicos fundamentales —como la dispersión de semillas, la regulación hídrica y el mantenimiento de redes tróficas— que sostienen la biodiversidad amazónica. La evidencia indica que esta interacción está modificando rápida y profundamente la Amazonía colombiana: altera la dinámica hídrica y térmica que sostienen a los peces, reduce la supervivencia y la disponibilidad de recursos tróficos para las aves del sotobosque, y degrada microhábitats críticos para anfibios, reptiles y mamíferos, aumentando con ello el aislamiento poblacional y el riesgo de extinción local. Estas respuestas diferenciadas demuestran que muchas especies, en particular aquellas con baja capacidad de dispersión o con estrategias de historia de vida estrechas, difícilmente podrán reajustarse espacialmente con la rapidez necesaria frente a los escenarios de transformación ambiental proyectados.</w:t>
      </w:r>
    </w:p>
    <w:p w14:paraId="2822BADA" w14:textId="50D461D7" w:rsidR="006B3FBB" w:rsidRPr="00B450EB" w:rsidRDefault="006B3FBB" w:rsidP="006B3FBB">
      <w:pPr>
        <w:spacing w:line="276" w:lineRule="auto"/>
      </w:pPr>
      <w:r w:rsidRPr="00B450EB">
        <w:t>Un aspecto clave para evaluar los riesgos asociados al cambio climático es la Velocidad de Cambio Climático (</w:t>
      </w:r>
      <w:proofErr w:type="spellStart"/>
      <w:r w:rsidRPr="00B450EB">
        <w:t>VoCC</w:t>
      </w:r>
      <w:proofErr w:type="spellEnd"/>
      <w:r w:rsidRPr="00B450EB">
        <w:t xml:space="preserve">) </w:t>
      </w:r>
      <w:r w:rsidR="00D829EA" w:rsidRPr="00B450EB">
        <w:t>(Figura 109)</w:t>
      </w:r>
      <w:r w:rsidRPr="00B450EB">
        <w:t xml:space="preserve">, definida como la rapidez y dirección en que las especies deben desplazarse para mantener condiciones ambientales similares a las actuales (Hamann et al., 2015). Las proyecciones hacia 2030, bajo escenarios de bajas (RCP 4.5) y altas emisiones (RCP 8.5), muestran que la Amazonía y el Pacífico presentan las tasas más elevadas de </w:t>
      </w:r>
      <w:proofErr w:type="spellStart"/>
      <w:r w:rsidRPr="00B450EB">
        <w:t>VoCC</w:t>
      </w:r>
      <w:proofErr w:type="spellEnd"/>
      <w:r w:rsidRPr="00B450EB">
        <w:t>, con valores de entre 1 y 4 km/año. Esto significa que las especies amazónicas tendrían que desplazarse entre 10 y 40 veces más rápido de lo observado históricamente en ecosistemas templados para ajustarse a las nuevas condiciones climáticas.</w:t>
      </w:r>
    </w:p>
    <w:p w14:paraId="28C7F313" w14:textId="0E979C10" w:rsidR="00EF6BD4" w:rsidRPr="00B450EB" w:rsidRDefault="00EF6BD4" w:rsidP="00EB1CC1">
      <w:pPr>
        <w:pStyle w:val="Descripcin"/>
        <w:keepNext/>
        <w:rPr>
          <w:color w:val="auto"/>
        </w:rPr>
      </w:pPr>
      <w:bookmarkStart w:id="250" w:name="_Ref209202792"/>
      <w:bookmarkStart w:id="251" w:name="_Toc209462799"/>
      <w:r w:rsidRPr="00B450EB">
        <w:rPr>
          <w:color w:val="auto"/>
        </w:rPr>
        <w:t>Figura</w:t>
      </w:r>
      <w:bookmarkEnd w:id="250"/>
      <w:r w:rsidRPr="00B450EB">
        <w:rPr>
          <w:color w:val="auto"/>
        </w:rPr>
        <w:t xml:space="preserve">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111</w:t>
      </w:r>
      <w:r w:rsidR="0045353A" w:rsidRPr="00B450EB">
        <w:rPr>
          <w:noProof/>
          <w:color w:val="auto"/>
        </w:rPr>
        <w:fldChar w:fldCharType="end"/>
      </w:r>
      <w:r w:rsidR="005E6E33" w:rsidRPr="00B450EB">
        <w:rPr>
          <w:color w:val="auto"/>
        </w:rPr>
        <w:t xml:space="preserve"> </w:t>
      </w:r>
      <w:r w:rsidR="00FD3481" w:rsidRPr="00B450EB">
        <w:rPr>
          <w:color w:val="auto"/>
        </w:rPr>
        <w:t>Proyección de la velocidad del cambio climático para el año 2030 bajo los escenarios de concentración representativos RCP 4.5 (izquierda) y RCP 8.5 (derecha).</w:t>
      </w:r>
      <w:bookmarkEnd w:id="251"/>
    </w:p>
    <w:p w14:paraId="23F24B17" w14:textId="686CBFCE" w:rsidR="00EF6BD4" w:rsidRPr="00B450EB" w:rsidRDefault="0077509B" w:rsidP="00D829EA">
      <w:pPr>
        <w:spacing w:after="0" w:line="276" w:lineRule="auto"/>
        <w:jc w:val="center"/>
      </w:pPr>
      <w:r w:rsidRPr="00B450EB">
        <w:rPr>
          <w:noProof/>
        </w:rPr>
        <w:drawing>
          <wp:inline distT="0" distB="0" distL="0" distR="0" wp14:anchorId="723465C4" wp14:editId="16D0CD65">
            <wp:extent cx="2441196" cy="2450285"/>
            <wp:effectExtent l="0" t="0" r="0" b="7620"/>
            <wp:docPr id="735390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9030" name="Imagen 73539030"/>
                    <pic:cNvPicPr/>
                  </pic:nvPicPr>
                  <pic:blipFill rotWithShape="1">
                    <a:blip r:embed="rId182" cstate="email">
                      <a:extLst>
                        <a:ext uri="{28A0092B-C50C-407E-A947-70E740481C1C}">
                          <a14:useLocalDpi xmlns:a14="http://schemas.microsoft.com/office/drawing/2010/main"/>
                        </a:ext>
                      </a:extLst>
                    </a:blip>
                    <a:srcRect/>
                    <a:stretch>
                      <a:fillRect/>
                    </a:stretch>
                  </pic:blipFill>
                  <pic:spPr bwMode="auto">
                    <a:xfrm>
                      <a:off x="0" y="0"/>
                      <a:ext cx="2453790" cy="2462926"/>
                    </a:xfrm>
                    <a:prstGeom prst="rect">
                      <a:avLst/>
                    </a:prstGeom>
                    <a:ln>
                      <a:noFill/>
                    </a:ln>
                    <a:extLst>
                      <a:ext uri="{53640926-AAD7-44D8-BBD7-CCE9431645EC}">
                        <a14:shadowObscured xmlns:a14="http://schemas.microsoft.com/office/drawing/2010/main"/>
                      </a:ext>
                    </a:extLst>
                  </pic:spPr>
                </pic:pic>
              </a:graphicData>
            </a:graphic>
          </wp:inline>
        </w:drawing>
      </w:r>
      <w:r w:rsidRPr="00B450EB">
        <w:rPr>
          <w:noProof/>
        </w:rPr>
        <w:drawing>
          <wp:inline distT="0" distB="0" distL="0" distR="0" wp14:anchorId="244B00CF" wp14:editId="63645AC7">
            <wp:extent cx="3170679" cy="2449939"/>
            <wp:effectExtent l="0" t="0" r="0" b="7620"/>
            <wp:docPr id="67480035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800351" name="Imagen 674800351"/>
                    <pic:cNvPicPr/>
                  </pic:nvPicPr>
                  <pic:blipFill>
                    <a:blip r:embed="rId183" cstate="email">
                      <a:extLst>
                        <a:ext uri="{28A0092B-C50C-407E-A947-70E740481C1C}">
                          <a14:useLocalDpi xmlns:a14="http://schemas.microsoft.com/office/drawing/2010/main"/>
                        </a:ext>
                      </a:extLst>
                    </a:blip>
                    <a:stretch>
                      <a:fillRect/>
                    </a:stretch>
                  </pic:blipFill>
                  <pic:spPr>
                    <a:xfrm>
                      <a:off x="0" y="0"/>
                      <a:ext cx="3185596" cy="2461466"/>
                    </a:xfrm>
                    <a:prstGeom prst="rect">
                      <a:avLst/>
                    </a:prstGeom>
                  </pic:spPr>
                </pic:pic>
              </a:graphicData>
            </a:graphic>
          </wp:inline>
        </w:drawing>
      </w:r>
    </w:p>
    <w:p w14:paraId="49539309" w14:textId="391A31F6" w:rsidR="00EF6BD4" w:rsidRPr="00B450EB" w:rsidRDefault="00EF6BD4" w:rsidP="00EB1CC1">
      <w:pPr>
        <w:spacing w:line="276" w:lineRule="auto"/>
        <w:jc w:val="center"/>
        <w:rPr>
          <w:sz w:val="18"/>
          <w:szCs w:val="18"/>
          <w:lang w:val="en-US"/>
        </w:rPr>
      </w:pPr>
      <w:r w:rsidRPr="00B450EB">
        <w:rPr>
          <w:sz w:val="18"/>
          <w:szCs w:val="18"/>
          <w:lang w:val="en-US"/>
        </w:rPr>
        <w:t>Fuente</w:t>
      </w:r>
      <w:r w:rsidR="00FD6E5D" w:rsidRPr="00B450EB">
        <w:rPr>
          <w:sz w:val="18"/>
          <w:szCs w:val="18"/>
          <w:lang w:val="en-US"/>
        </w:rPr>
        <w:t xml:space="preserve">: </w:t>
      </w:r>
      <w:proofErr w:type="spellStart"/>
      <w:r w:rsidR="005E6E33" w:rsidRPr="00B450EB">
        <w:rPr>
          <w:sz w:val="18"/>
          <w:szCs w:val="18"/>
          <w:lang w:val="en-US"/>
        </w:rPr>
        <w:t>IAvH</w:t>
      </w:r>
      <w:proofErr w:type="spellEnd"/>
      <w:r w:rsidR="00F329E1" w:rsidRPr="00B450EB">
        <w:rPr>
          <w:sz w:val="18"/>
          <w:szCs w:val="18"/>
          <w:lang w:val="en-US"/>
        </w:rPr>
        <w:t xml:space="preserve"> </w:t>
      </w:r>
      <w:r w:rsidR="00EB1CC1" w:rsidRPr="00B450EB">
        <w:rPr>
          <w:sz w:val="18"/>
          <w:szCs w:val="18"/>
          <w:lang w:val="en-US"/>
        </w:rPr>
        <w:t>-</w:t>
      </w:r>
      <w:r w:rsidR="00F329E1" w:rsidRPr="00B450EB">
        <w:rPr>
          <w:sz w:val="18"/>
          <w:szCs w:val="18"/>
          <w:lang w:val="en-US"/>
        </w:rPr>
        <w:t>Project supported by National Geographic Society -AI for Earth Innovation Grant</w:t>
      </w:r>
      <w:r w:rsidR="005E6E33" w:rsidRPr="00B450EB">
        <w:rPr>
          <w:sz w:val="18"/>
          <w:szCs w:val="18"/>
          <w:lang w:val="en-US"/>
        </w:rPr>
        <w:t>, 202</w:t>
      </w:r>
      <w:r w:rsidR="00EB17FC" w:rsidRPr="00B450EB">
        <w:rPr>
          <w:sz w:val="18"/>
          <w:szCs w:val="18"/>
          <w:lang w:val="en-US"/>
        </w:rPr>
        <w:t>1</w:t>
      </w:r>
    </w:p>
    <w:p w14:paraId="68509333" w14:textId="007E0C07" w:rsidR="006B3FBB" w:rsidRPr="00B450EB" w:rsidRDefault="006B3FBB" w:rsidP="006B3FBB">
      <w:pPr>
        <w:spacing w:line="276" w:lineRule="auto"/>
      </w:pPr>
      <w:r w:rsidRPr="00B450EB">
        <w:lastRenderedPageBreak/>
        <w:t xml:space="preserve">En contraste, los Andes exhiben una </w:t>
      </w:r>
      <w:proofErr w:type="spellStart"/>
      <w:r w:rsidRPr="00B450EB">
        <w:t>VoCC</w:t>
      </w:r>
      <w:proofErr w:type="spellEnd"/>
      <w:r w:rsidRPr="00B450EB">
        <w:t xml:space="preserve"> menor, convirtiéndose en un potencial refugio climático ante la transformación acelerada de la Amazonía. En este contexto, la conservación de la Amazonía y la implementación de medidas de adaptación resultan indispensables, pero es igualmente crítica la conectividad entre la Amazonía y los Andes. El mantenimiento de corredores ecológicos permitiría a las especies amazónicas acceder a gradientes altitudinales más estables, aumentando sus posibilidades de persistencia. La deforestación y la fragmentación en esta zona de transición amenazan con interrumpir dicha conectividad, reduciendo la capacidad de desplazamiento de las especies y dificultando la conservación de la biodiversidad frente al cambio climático.</w:t>
      </w:r>
    </w:p>
    <w:p w14:paraId="762BF71F" w14:textId="49210949" w:rsidR="006B3FBB" w:rsidRPr="00B450EB" w:rsidRDefault="006B3FBB" w:rsidP="006B3FBB">
      <w:pPr>
        <w:spacing w:line="276" w:lineRule="auto"/>
      </w:pPr>
      <w:r w:rsidRPr="00B450EB">
        <w:t>En consecuencia, una conservación efectiva requiere acciones integradas y urgentes: proteger y restaurar corredores ecológicos y llanuras inundables que aseguren la conectividad; incorporar escenarios climáticos en la planificación territorial; detener la pérdida de cobertura forestal y gestionar las cuencas para conservar los pulsos de inundación. Solo mediante estas medidas será posible salvaguardar la integridad funcional del bioma amazónico y los servicios ecosistémicos de los que dependen millones de personas (</w:t>
      </w:r>
      <w:proofErr w:type="spellStart"/>
      <w:r w:rsidRPr="00B450EB">
        <w:t>Nobre</w:t>
      </w:r>
      <w:proofErr w:type="spellEnd"/>
      <w:r w:rsidRPr="00B450EB">
        <w:t xml:space="preserve"> et al., 2016; </w:t>
      </w:r>
      <w:proofErr w:type="spellStart"/>
      <w:r w:rsidRPr="00B450EB">
        <w:t>Science</w:t>
      </w:r>
      <w:proofErr w:type="spellEnd"/>
      <w:r w:rsidRPr="00B450EB">
        <w:t xml:space="preserve"> Panel </w:t>
      </w:r>
      <w:proofErr w:type="spellStart"/>
      <w:r w:rsidRPr="00B450EB">
        <w:t>for</w:t>
      </w:r>
      <w:proofErr w:type="spellEnd"/>
      <w:r w:rsidRPr="00B450EB">
        <w:t xml:space="preserve"> </w:t>
      </w:r>
      <w:proofErr w:type="spellStart"/>
      <w:r w:rsidRPr="00B450EB">
        <w:t>the</w:t>
      </w:r>
      <w:proofErr w:type="spellEnd"/>
      <w:r w:rsidRPr="00B450EB">
        <w:t xml:space="preserve"> Amazon, 2021; Wolfe et al., 2025).</w:t>
      </w:r>
    </w:p>
    <w:p w14:paraId="33250651" w14:textId="77777777" w:rsidR="006B3FBB" w:rsidRPr="00B450EB" w:rsidRDefault="006B3FBB" w:rsidP="00AE14D5">
      <w:pPr>
        <w:spacing w:line="276" w:lineRule="auto"/>
        <w:rPr>
          <w:rFonts w:eastAsia="Arial" w:cs="Arial"/>
        </w:rPr>
      </w:pPr>
    </w:p>
    <w:p w14:paraId="3F58CC25" w14:textId="77777777" w:rsidR="00D24117" w:rsidRPr="00B450EB" w:rsidRDefault="00D24117" w:rsidP="001975A2">
      <w:pPr>
        <w:pStyle w:val="Ttulo2"/>
        <w:numPr>
          <w:ilvl w:val="1"/>
          <w:numId w:val="41"/>
        </w:numPr>
        <w:rPr>
          <w:b/>
        </w:rPr>
      </w:pPr>
      <w:bookmarkStart w:id="252" w:name="_Toc209722970"/>
      <w:r w:rsidRPr="00B450EB">
        <w:rPr>
          <w:b/>
        </w:rPr>
        <w:t>Llegada al punto de no retorno “</w:t>
      </w:r>
      <w:proofErr w:type="spellStart"/>
      <w:r w:rsidRPr="00B450EB">
        <w:rPr>
          <w:b/>
        </w:rPr>
        <w:t>tipping</w:t>
      </w:r>
      <w:proofErr w:type="spellEnd"/>
      <w:r w:rsidRPr="00B450EB">
        <w:rPr>
          <w:b/>
        </w:rPr>
        <w:t xml:space="preserve"> </w:t>
      </w:r>
      <w:proofErr w:type="spellStart"/>
      <w:r w:rsidRPr="00B450EB">
        <w:rPr>
          <w:b/>
        </w:rPr>
        <w:t>point</w:t>
      </w:r>
      <w:proofErr w:type="spellEnd"/>
      <w:r w:rsidRPr="00B450EB">
        <w:rPr>
          <w:b/>
        </w:rPr>
        <w:t>”</w:t>
      </w:r>
      <w:bookmarkEnd w:id="252"/>
      <w:r w:rsidRPr="00B450EB">
        <w:rPr>
          <w:b/>
        </w:rPr>
        <w:t xml:space="preserve"> </w:t>
      </w:r>
    </w:p>
    <w:p w14:paraId="39EB22CF" w14:textId="77777777" w:rsidR="005C4FA4" w:rsidRPr="00B450EB" w:rsidRDefault="005C4FA4" w:rsidP="005C4FA4">
      <w:pPr>
        <w:spacing w:line="259" w:lineRule="auto"/>
        <w:rPr>
          <w:rFonts w:cs="Arial"/>
        </w:rPr>
      </w:pPr>
      <w:r w:rsidRPr="00B450EB">
        <w:rPr>
          <w:rFonts w:cs="Arial"/>
        </w:rPr>
        <w:t>El concepto de punto de inflexión proviene de la teoría de sistemas y alude a aquellos momentos en los que una alteración progresiva en una variable de control conduce a un cambio abrupto en el estado del sistema. Esto significa que presiones acumulativas, aunque pequeñas, pueden desencadenar transformaciones irreversibles (</w:t>
      </w:r>
      <w:proofErr w:type="spellStart"/>
      <w:r w:rsidRPr="00B450EB">
        <w:rPr>
          <w:rFonts w:cs="Arial"/>
        </w:rPr>
        <w:t>Lenton</w:t>
      </w:r>
      <w:proofErr w:type="spellEnd"/>
      <w:r w:rsidRPr="00B450EB">
        <w:rPr>
          <w:rFonts w:cs="Arial"/>
        </w:rPr>
        <w:t xml:space="preserve"> et al., 2008).</w:t>
      </w:r>
    </w:p>
    <w:p w14:paraId="0CA32350" w14:textId="5AD9B0C8" w:rsidR="005C4FA4" w:rsidRPr="00B450EB" w:rsidRDefault="005C4FA4" w:rsidP="005C4FA4">
      <w:pPr>
        <w:spacing w:line="259" w:lineRule="auto"/>
        <w:rPr>
          <w:rFonts w:cs="Arial"/>
        </w:rPr>
      </w:pPr>
      <w:r w:rsidRPr="00B450EB">
        <w:rPr>
          <w:rFonts w:cs="Arial"/>
        </w:rPr>
        <w:t xml:space="preserve">En la Amazonía, este umbral crítico, conocido como </w:t>
      </w:r>
      <w:proofErr w:type="spellStart"/>
      <w:r w:rsidRPr="00B450EB">
        <w:rPr>
          <w:rFonts w:cs="Arial"/>
          <w:i/>
          <w:iCs/>
        </w:rPr>
        <w:t>Tipping</w:t>
      </w:r>
      <w:proofErr w:type="spellEnd"/>
      <w:r w:rsidRPr="00B450EB">
        <w:rPr>
          <w:rFonts w:cs="Arial"/>
          <w:i/>
          <w:iCs/>
        </w:rPr>
        <w:t xml:space="preserve"> Point</w:t>
      </w:r>
      <w:r w:rsidRPr="00B450EB">
        <w:rPr>
          <w:rFonts w:cs="Arial"/>
        </w:rPr>
        <w:t xml:space="preserve">, se entiende como el límite ecológico a partir del cual el ecosistema pierde su capacidad de </w:t>
      </w:r>
      <w:proofErr w:type="spellStart"/>
      <w:r w:rsidRPr="00B450EB">
        <w:rPr>
          <w:rFonts w:cs="Arial"/>
        </w:rPr>
        <w:t>autorregenerarse</w:t>
      </w:r>
      <w:proofErr w:type="spellEnd"/>
      <w:r w:rsidRPr="00B450EB">
        <w:rPr>
          <w:rFonts w:cs="Arial"/>
        </w:rPr>
        <w:t xml:space="preserve"> y se desencadenan procesos de degradación irreversible. La literatura científica lo describe como una transición inducida por perturbaciones acumuladas que empujan al bioma hacia estados más secos y abiertos, con riesgo de “</w:t>
      </w:r>
      <w:proofErr w:type="spellStart"/>
      <w:r w:rsidRPr="00B450EB">
        <w:rPr>
          <w:rFonts w:cs="Arial"/>
        </w:rPr>
        <w:t>sabanización</w:t>
      </w:r>
      <w:proofErr w:type="spellEnd"/>
      <w:r w:rsidRPr="00B450EB">
        <w:rPr>
          <w:rFonts w:cs="Arial"/>
        </w:rPr>
        <w:t>” en amplias zonas (</w:t>
      </w:r>
      <w:proofErr w:type="spellStart"/>
      <w:r w:rsidRPr="00B450EB">
        <w:rPr>
          <w:rFonts w:cs="Arial"/>
        </w:rPr>
        <w:t>Nobre</w:t>
      </w:r>
      <w:proofErr w:type="spellEnd"/>
      <w:r w:rsidRPr="00B450EB">
        <w:rPr>
          <w:rFonts w:cs="Arial"/>
        </w:rPr>
        <w:t xml:space="preserve"> &amp; </w:t>
      </w:r>
      <w:proofErr w:type="spellStart"/>
      <w:r w:rsidRPr="00B450EB">
        <w:rPr>
          <w:rFonts w:cs="Arial"/>
        </w:rPr>
        <w:t>Lovejoy</w:t>
      </w:r>
      <w:proofErr w:type="spellEnd"/>
      <w:r w:rsidRPr="00B450EB">
        <w:rPr>
          <w:rFonts w:cs="Arial"/>
        </w:rPr>
        <w:t xml:space="preserve">, 2018; Boulton et al., 2022). Este cambio no necesariamente se expresa en una </w:t>
      </w:r>
      <w:r w:rsidR="00C40FDE" w:rsidRPr="00B450EB">
        <w:rPr>
          <w:rFonts w:cs="Arial"/>
        </w:rPr>
        <w:t>sábana</w:t>
      </w:r>
      <w:r w:rsidRPr="00B450EB">
        <w:rPr>
          <w:rFonts w:cs="Arial"/>
        </w:rPr>
        <w:t xml:space="preserve"> tropical homogénea; también pueden emerger escenarios alternativos como paisajes de matorral seco, bosques secundarios degradados o sistemas caducifolios de baja biomasa (</w:t>
      </w:r>
      <w:proofErr w:type="spellStart"/>
      <w:r w:rsidRPr="00B450EB">
        <w:rPr>
          <w:rFonts w:cs="Arial"/>
        </w:rPr>
        <w:t>Serrao</w:t>
      </w:r>
      <w:proofErr w:type="spellEnd"/>
      <w:r w:rsidRPr="00B450EB">
        <w:rPr>
          <w:rFonts w:cs="Arial"/>
        </w:rPr>
        <w:t xml:space="preserve">, </w:t>
      </w:r>
      <w:proofErr w:type="spellStart"/>
      <w:r w:rsidRPr="00B450EB">
        <w:rPr>
          <w:rFonts w:cs="Arial"/>
        </w:rPr>
        <w:t>Nepstad</w:t>
      </w:r>
      <w:proofErr w:type="spellEnd"/>
      <w:r w:rsidRPr="00B450EB">
        <w:rPr>
          <w:rFonts w:cs="Arial"/>
        </w:rPr>
        <w:t xml:space="preserve"> &amp; Walker, 1996; Walker, 2020).</w:t>
      </w:r>
    </w:p>
    <w:p w14:paraId="698E6BCF" w14:textId="77777777" w:rsidR="005C4FA4" w:rsidRPr="00B450EB" w:rsidRDefault="005C4FA4" w:rsidP="005C4FA4">
      <w:pPr>
        <w:spacing w:line="259" w:lineRule="auto"/>
        <w:rPr>
          <w:rFonts w:cs="Arial"/>
        </w:rPr>
      </w:pPr>
      <w:r w:rsidRPr="00B450EB">
        <w:rPr>
          <w:rFonts w:cs="Arial"/>
        </w:rPr>
        <w:t>Los mecanismos de transformación están vinculados principalmente a la mortalidad arbórea causada por el incremento del estrés hídrico y térmico, así como a la fragmentación del paisaje, que reduce la conectividad y la resiliencia del bosque (Esquivel-</w:t>
      </w:r>
      <w:proofErr w:type="spellStart"/>
      <w:r w:rsidRPr="00B450EB">
        <w:rPr>
          <w:rFonts w:cs="Arial"/>
        </w:rPr>
        <w:t>Muelbert</w:t>
      </w:r>
      <w:proofErr w:type="spellEnd"/>
      <w:r w:rsidRPr="00B450EB">
        <w:rPr>
          <w:rFonts w:cs="Arial"/>
        </w:rPr>
        <w:t xml:space="preserve"> et al., 2020; </w:t>
      </w:r>
      <w:proofErr w:type="spellStart"/>
      <w:r w:rsidRPr="00B450EB">
        <w:rPr>
          <w:rFonts w:cs="Arial"/>
        </w:rPr>
        <w:t>Malhi</w:t>
      </w:r>
      <w:proofErr w:type="spellEnd"/>
      <w:r w:rsidRPr="00B450EB">
        <w:rPr>
          <w:rFonts w:cs="Arial"/>
        </w:rPr>
        <w:t xml:space="preserve"> et al., 2008; IPBES, 2019). En estas </w:t>
      </w:r>
      <w:r w:rsidRPr="00B450EB">
        <w:rPr>
          <w:rFonts w:cs="Arial"/>
        </w:rPr>
        <w:lastRenderedPageBreak/>
        <w:t>condiciones, el bioma deja de sostener su equilibrio hidrológico y climático y se vuelve más vulnerable a perturbaciones externas.</w:t>
      </w:r>
    </w:p>
    <w:p w14:paraId="7C04CA6A" w14:textId="77777777" w:rsidR="00BA5D7A" w:rsidRPr="00B450EB" w:rsidRDefault="005C4FA4" w:rsidP="005C4FA4">
      <w:pPr>
        <w:spacing w:line="259" w:lineRule="auto"/>
        <w:rPr>
          <w:rFonts w:cs="Arial"/>
        </w:rPr>
      </w:pPr>
      <w:r w:rsidRPr="00B450EB">
        <w:rPr>
          <w:rFonts w:cs="Arial"/>
        </w:rPr>
        <w:t>Entre los factores más determinantes se encuentra la deforestación. Se ha planteado que superar entre un 20–25% de pérdida de cobertura forestal rompe la capacidad del bosque para regular el clima y sostener su régimen de precipitaciones, favoreciendo transiciones hacia ecosistemas más abiertos (</w:t>
      </w:r>
      <w:proofErr w:type="spellStart"/>
      <w:r w:rsidRPr="00B450EB">
        <w:rPr>
          <w:rFonts w:cs="Arial"/>
        </w:rPr>
        <w:t>Nobre</w:t>
      </w:r>
      <w:proofErr w:type="spellEnd"/>
      <w:r w:rsidRPr="00B450EB">
        <w:rPr>
          <w:rFonts w:cs="Arial"/>
        </w:rPr>
        <w:t xml:space="preserve"> &amp; </w:t>
      </w:r>
      <w:proofErr w:type="spellStart"/>
      <w:r w:rsidRPr="00B450EB">
        <w:rPr>
          <w:rFonts w:cs="Arial"/>
        </w:rPr>
        <w:t>Lovejoy</w:t>
      </w:r>
      <w:proofErr w:type="spellEnd"/>
      <w:r w:rsidRPr="00B450EB">
        <w:rPr>
          <w:rFonts w:cs="Arial"/>
        </w:rPr>
        <w:t xml:space="preserve">, 2018; IPCC, 2022). Estudios recientes confirman que incluso con tasas menores ya existen señales de pérdida de resiliencia en la vegetación amazónica, especialmente bajo escenarios de sequías e incendios extremos (Boulton et al., 2022; </w:t>
      </w:r>
      <w:proofErr w:type="spellStart"/>
      <w:r w:rsidRPr="00B450EB">
        <w:rPr>
          <w:rFonts w:cs="Arial"/>
        </w:rPr>
        <w:t>Hajdu</w:t>
      </w:r>
      <w:proofErr w:type="spellEnd"/>
      <w:r w:rsidRPr="00B450EB">
        <w:rPr>
          <w:rFonts w:cs="Arial"/>
        </w:rPr>
        <w:t xml:space="preserve"> et al., 2025). La Amazonía recicla entre el 25 y el 35% de sus propias lluvias mediante evapotranspiración (</w:t>
      </w:r>
      <w:proofErr w:type="spellStart"/>
      <w:r w:rsidRPr="00B450EB">
        <w:rPr>
          <w:rFonts w:cs="Arial"/>
        </w:rPr>
        <w:t>Spracklen</w:t>
      </w:r>
      <w:proofErr w:type="spellEnd"/>
      <w:r w:rsidRPr="00B450EB">
        <w:rPr>
          <w:rFonts w:cs="Arial"/>
        </w:rPr>
        <w:t xml:space="preserve"> et al., 2012; </w:t>
      </w:r>
      <w:proofErr w:type="spellStart"/>
      <w:r w:rsidRPr="00B450EB">
        <w:rPr>
          <w:rFonts w:cs="Arial"/>
        </w:rPr>
        <w:t>Staal</w:t>
      </w:r>
      <w:proofErr w:type="spellEnd"/>
      <w:r w:rsidRPr="00B450EB">
        <w:rPr>
          <w:rFonts w:cs="Arial"/>
        </w:rPr>
        <w:t xml:space="preserve"> et al., 2018), y la pérdida de bosque reduce este mecanismo, disminuyendo significativamente la precipitación local y regional (</w:t>
      </w:r>
      <w:proofErr w:type="spellStart"/>
      <w:r w:rsidRPr="00B450EB">
        <w:rPr>
          <w:rFonts w:cs="Arial"/>
        </w:rPr>
        <w:t>Zemp</w:t>
      </w:r>
      <w:proofErr w:type="spellEnd"/>
      <w:r w:rsidRPr="00B450EB">
        <w:rPr>
          <w:rFonts w:cs="Arial"/>
        </w:rPr>
        <w:t xml:space="preserve"> et al., 2017). </w:t>
      </w:r>
    </w:p>
    <w:p w14:paraId="17CAC370" w14:textId="72FA00FC" w:rsidR="005C4FA4" w:rsidRPr="00B450EB" w:rsidRDefault="005C4FA4" w:rsidP="005C4FA4">
      <w:pPr>
        <w:spacing w:line="259" w:lineRule="auto"/>
        <w:rPr>
          <w:rFonts w:cs="Arial"/>
        </w:rPr>
      </w:pPr>
      <w:r w:rsidRPr="00B450EB">
        <w:rPr>
          <w:rFonts w:cs="Arial"/>
        </w:rPr>
        <w:t xml:space="preserve">A este proceso se suman las retroalimentaciones climáticas, en las que temporadas secas prolongadas y menor humedad aumentan la susceptibilidad a sequías e incendios, generando bucles de degradación </w:t>
      </w:r>
      <w:proofErr w:type="spellStart"/>
      <w:r w:rsidRPr="00B450EB">
        <w:rPr>
          <w:rFonts w:cs="Arial"/>
        </w:rPr>
        <w:t>autoamplificada</w:t>
      </w:r>
      <w:proofErr w:type="spellEnd"/>
      <w:r w:rsidRPr="00B450EB">
        <w:rPr>
          <w:rFonts w:cs="Arial"/>
        </w:rPr>
        <w:t xml:space="preserve"> (</w:t>
      </w:r>
      <w:proofErr w:type="spellStart"/>
      <w:r w:rsidRPr="00B450EB">
        <w:rPr>
          <w:rFonts w:cs="Arial"/>
        </w:rPr>
        <w:t>Aragão</w:t>
      </w:r>
      <w:proofErr w:type="spellEnd"/>
      <w:r w:rsidRPr="00B450EB">
        <w:rPr>
          <w:rFonts w:cs="Arial"/>
        </w:rPr>
        <w:t xml:space="preserve"> et al., 2018; Brando et al., 2020).</w:t>
      </w:r>
    </w:p>
    <w:p w14:paraId="58B84DFE" w14:textId="77777777" w:rsidR="005C4FA4" w:rsidRPr="00B450EB" w:rsidRDefault="005C4FA4" w:rsidP="005C4FA4">
      <w:pPr>
        <w:spacing w:line="259" w:lineRule="auto"/>
        <w:rPr>
          <w:rFonts w:cs="Arial"/>
        </w:rPr>
      </w:pPr>
      <w:r w:rsidRPr="00B450EB">
        <w:rPr>
          <w:rFonts w:cs="Arial"/>
        </w:rPr>
        <w:t>Las consecuencias de sobrepasar este punto de inflexión no se limitan al bioma. La Amazonía, como regulador climático continental y global, podría dejar de funcionar como sumidero para convertirse en fuente neta de carbono, liberando grandes volúmenes de CO</w:t>
      </w:r>
      <w:r w:rsidRPr="00B450EB">
        <w:rPr>
          <w:rFonts w:ascii="Cambria Math" w:hAnsi="Cambria Math" w:cs="Cambria Math"/>
        </w:rPr>
        <w:t>₂</w:t>
      </w:r>
      <w:r w:rsidRPr="00B450EB">
        <w:rPr>
          <w:rFonts w:cs="Arial"/>
        </w:rPr>
        <w:t xml:space="preserve"> y amplificando el cambio climático (Gatti et al., 2021; IPCC, 2022). Aunque los registros geológicos muestran que el bosque amazónico ha sobrevivido a variaciones climáticas pasadas, su resiliencia actual se reduce bajo escenarios de fragmentación y degradación, lo que hace cada vez más probable que se alcance un umbral irreversible (</w:t>
      </w:r>
      <w:proofErr w:type="spellStart"/>
      <w:r w:rsidRPr="00B450EB">
        <w:rPr>
          <w:rFonts w:cs="Arial"/>
        </w:rPr>
        <w:t>Lovejoy</w:t>
      </w:r>
      <w:proofErr w:type="spellEnd"/>
      <w:r w:rsidRPr="00B450EB">
        <w:rPr>
          <w:rFonts w:cs="Arial"/>
        </w:rPr>
        <w:t xml:space="preserve"> &amp; </w:t>
      </w:r>
      <w:proofErr w:type="spellStart"/>
      <w:r w:rsidRPr="00B450EB">
        <w:rPr>
          <w:rFonts w:cs="Arial"/>
        </w:rPr>
        <w:t>Nobre</w:t>
      </w:r>
      <w:proofErr w:type="spellEnd"/>
      <w:r w:rsidRPr="00B450EB">
        <w:rPr>
          <w:rFonts w:cs="Arial"/>
        </w:rPr>
        <w:t>, 2018).</w:t>
      </w:r>
    </w:p>
    <w:p w14:paraId="3194ECDB" w14:textId="77777777" w:rsidR="005C4FA4" w:rsidRPr="00B450EB" w:rsidRDefault="005C4FA4" w:rsidP="005C4FA4">
      <w:pPr>
        <w:spacing w:line="259" w:lineRule="auto"/>
        <w:rPr>
          <w:rFonts w:cs="Arial"/>
        </w:rPr>
      </w:pPr>
      <w:r w:rsidRPr="00B450EB">
        <w:rPr>
          <w:rFonts w:cs="Arial"/>
        </w:rPr>
        <w:t xml:space="preserve">Desde una perspectiva </w:t>
      </w:r>
      <w:r w:rsidRPr="00B450EB">
        <w:rPr>
          <w:rFonts w:cs="Arial"/>
          <w:b/>
          <w:bCs/>
        </w:rPr>
        <w:t>socioeconómica</w:t>
      </w:r>
      <w:r w:rsidRPr="00B450EB">
        <w:rPr>
          <w:rFonts w:cs="Arial"/>
        </w:rPr>
        <w:t xml:space="preserve">, el riesgo de punto de no retorno se acentúa al converger con vulnerabilidades estructurales como la pobreza multidimensional, la débil presencia institucional y la dependencia directa de las comunidades amazónicas de los recursos naturales. La deforestación y degradación ambiental amenazan los </w:t>
      </w:r>
      <w:r w:rsidRPr="00B450EB">
        <w:rPr>
          <w:rFonts w:cs="Arial"/>
          <w:b/>
          <w:bCs/>
        </w:rPr>
        <w:t>medios de vida y la seguridad alimentaria</w:t>
      </w:r>
      <w:r w:rsidRPr="00B450EB">
        <w:rPr>
          <w:rFonts w:cs="Arial"/>
        </w:rPr>
        <w:t xml:space="preserve">, al reducir la disponibilidad de alimentos, plantas medicinales y recursos económicos, y al mantener una dependencia de actividades extractivas como la minería y los hidrocarburos, que generan ingresos a corto </w:t>
      </w:r>
      <w:proofErr w:type="gramStart"/>
      <w:r w:rsidRPr="00B450EB">
        <w:rPr>
          <w:rFonts w:cs="Arial"/>
        </w:rPr>
        <w:t>plazo</w:t>
      </w:r>
      <w:proofErr w:type="gramEnd"/>
      <w:r w:rsidRPr="00B450EB">
        <w:rPr>
          <w:rFonts w:cs="Arial"/>
        </w:rPr>
        <w:t xml:space="preserve"> pero aumentan la vulnerabilidad a largo plazo (</w:t>
      </w:r>
      <w:proofErr w:type="spellStart"/>
      <w:r w:rsidRPr="00B450EB">
        <w:rPr>
          <w:rFonts w:cs="Arial"/>
        </w:rPr>
        <w:t>The</w:t>
      </w:r>
      <w:proofErr w:type="spellEnd"/>
      <w:r w:rsidRPr="00B450EB">
        <w:rPr>
          <w:rFonts w:cs="Arial"/>
        </w:rPr>
        <w:t xml:space="preserve"> </w:t>
      </w:r>
      <w:proofErr w:type="spellStart"/>
      <w:r w:rsidRPr="00B450EB">
        <w:rPr>
          <w:rFonts w:cs="Arial"/>
        </w:rPr>
        <w:t>Nature</w:t>
      </w:r>
      <w:proofErr w:type="spellEnd"/>
      <w:r w:rsidRPr="00B450EB">
        <w:rPr>
          <w:rFonts w:cs="Arial"/>
        </w:rPr>
        <w:t xml:space="preserve"> </w:t>
      </w:r>
      <w:proofErr w:type="spellStart"/>
      <w:r w:rsidRPr="00B450EB">
        <w:rPr>
          <w:rFonts w:cs="Arial"/>
        </w:rPr>
        <w:t>Conservancy</w:t>
      </w:r>
      <w:proofErr w:type="spellEnd"/>
      <w:r w:rsidRPr="00B450EB">
        <w:rPr>
          <w:rFonts w:cs="Arial"/>
        </w:rPr>
        <w:t>, 2020).</w:t>
      </w:r>
    </w:p>
    <w:p w14:paraId="394F5065" w14:textId="77777777" w:rsidR="00D24117" w:rsidRPr="00B450EB" w:rsidRDefault="005C4FA4" w:rsidP="00D24117">
      <w:pPr>
        <w:spacing w:line="259" w:lineRule="auto"/>
        <w:rPr>
          <w:rFonts w:cs="Arial"/>
        </w:rPr>
      </w:pPr>
      <w:r w:rsidRPr="00B450EB">
        <w:rPr>
          <w:rFonts w:cs="Arial"/>
        </w:rPr>
        <w:t xml:space="preserve">Otro efecto crítico es el </w:t>
      </w:r>
      <w:r w:rsidRPr="00B450EB">
        <w:rPr>
          <w:rFonts w:cs="Arial"/>
          <w:b/>
          <w:bCs/>
        </w:rPr>
        <w:t>desplazamiento y la pérdida de territorio</w:t>
      </w:r>
      <w:r w:rsidRPr="00B450EB">
        <w:rPr>
          <w:rFonts w:cs="Arial"/>
        </w:rPr>
        <w:t xml:space="preserve">. </w:t>
      </w:r>
      <w:r w:rsidR="00D24117" w:rsidRPr="00B450EB">
        <w:rPr>
          <w:rFonts w:cs="Arial"/>
        </w:rPr>
        <w:t xml:space="preserve">La expansión de la frontera agropecuaria, la minería ilegal, los cultivos ilícitos y </w:t>
      </w:r>
      <w:r w:rsidRPr="00B450EB">
        <w:rPr>
          <w:rFonts w:cs="Arial"/>
        </w:rPr>
        <w:t xml:space="preserve">la explotación </w:t>
      </w:r>
      <w:proofErr w:type="spellStart"/>
      <w:r w:rsidRPr="00B450EB">
        <w:rPr>
          <w:rFonts w:cs="Arial"/>
        </w:rPr>
        <w:t>hidrocarburífera</w:t>
      </w:r>
      <w:proofErr w:type="spellEnd"/>
      <w:r w:rsidRPr="00B450EB">
        <w:rPr>
          <w:rFonts w:cs="Arial"/>
        </w:rPr>
        <w:t xml:space="preserve"> ejercen</w:t>
      </w:r>
      <w:r w:rsidR="00D24117" w:rsidRPr="00B450EB">
        <w:rPr>
          <w:rFonts w:cs="Arial"/>
        </w:rPr>
        <w:t xml:space="preserve"> presión sobre los territorios colectivos e individuales, generando procesos de </w:t>
      </w:r>
      <w:r w:rsidRPr="00B450EB">
        <w:rPr>
          <w:rFonts w:cs="Arial"/>
        </w:rPr>
        <w:t xml:space="preserve">despojo y migración forzada. </w:t>
      </w:r>
      <w:r w:rsidR="00D24117" w:rsidRPr="00B450EB">
        <w:rPr>
          <w:rFonts w:cs="Arial"/>
        </w:rPr>
        <w:t xml:space="preserve">Este </w:t>
      </w:r>
      <w:r w:rsidRPr="00B450EB">
        <w:rPr>
          <w:rFonts w:cs="Arial"/>
        </w:rPr>
        <w:t>fenómeno</w:t>
      </w:r>
      <w:r w:rsidR="00D24117" w:rsidRPr="00B450EB">
        <w:rPr>
          <w:rFonts w:cs="Arial"/>
        </w:rPr>
        <w:t xml:space="preserve"> tiene impactos multidimensionales:</w:t>
      </w:r>
    </w:p>
    <w:p w14:paraId="32CC0D6E" w14:textId="77777777" w:rsidR="00D24117" w:rsidRPr="00B450EB" w:rsidRDefault="00D24117" w:rsidP="00CE0CE4">
      <w:pPr>
        <w:pStyle w:val="Prrafodelista"/>
        <w:numPr>
          <w:ilvl w:val="0"/>
          <w:numId w:val="29"/>
        </w:numPr>
        <w:spacing w:line="259" w:lineRule="auto"/>
        <w:rPr>
          <w:rFonts w:cs="Arial"/>
        </w:rPr>
      </w:pPr>
      <w:r w:rsidRPr="00B450EB">
        <w:rPr>
          <w:rFonts w:cs="Arial"/>
          <w:b/>
        </w:rPr>
        <w:lastRenderedPageBreak/>
        <w:t>Socioeconómico</w:t>
      </w:r>
      <w:r w:rsidRPr="00B450EB">
        <w:rPr>
          <w:rFonts w:cs="Arial"/>
        </w:rPr>
        <w:t>: limita la capacidad de generar ingresos, incrementa la dependencia de actividades extractivas externas e ilegales y reduce la seguridad alimentaria.</w:t>
      </w:r>
    </w:p>
    <w:p w14:paraId="592C0D86" w14:textId="77777777" w:rsidR="00D24117" w:rsidRPr="00B450EB" w:rsidRDefault="00D24117" w:rsidP="00CE0CE4">
      <w:pPr>
        <w:pStyle w:val="Prrafodelista"/>
        <w:numPr>
          <w:ilvl w:val="0"/>
          <w:numId w:val="29"/>
        </w:numPr>
        <w:spacing w:line="259" w:lineRule="auto"/>
        <w:rPr>
          <w:rFonts w:cs="Arial"/>
        </w:rPr>
      </w:pPr>
      <w:r w:rsidRPr="00B450EB">
        <w:rPr>
          <w:rFonts w:cs="Arial"/>
          <w:b/>
        </w:rPr>
        <w:t>Cultural y social</w:t>
      </w:r>
      <w:r w:rsidRPr="00B450EB">
        <w:rPr>
          <w:rFonts w:cs="Arial"/>
        </w:rPr>
        <w:t>: interrumpe la transmisión de prácticas culturales, saberes ancestrales y la cohesión comunitaria, afectando la identidad y resiliencia de los grupos, especialmente pueblos indígenas.</w:t>
      </w:r>
    </w:p>
    <w:p w14:paraId="0A0FC259" w14:textId="77777777" w:rsidR="00D24117" w:rsidRPr="00B450EB" w:rsidRDefault="00D24117" w:rsidP="00CE0CE4">
      <w:pPr>
        <w:pStyle w:val="Prrafodelista"/>
        <w:numPr>
          <w:ilvl w:val="0"/>
          <w:numId w:val="29"/>
        </w:numPr>
        <w:spacing w:line="259" w:lineRule="auto"/>
        <w:rPr>
          <w:rFonts w:cs="Arial"/>
        </w:rPr>
      </w:pPr>
      <w:r w:rsidRPr="00B450EB">
        <w:rPr>
          <w:rFonts w:cs="Arial"/>
          <w:b/>
        </w:rPr>
        <w:t>Ecológico:</w:t>
      </w:r>
      <w:r w:rsidRPr="00B450EB">
        <w:rPr>
          <w:rFonts w:cs="Arial"/>
        </w:rPr>
        <w:t xml:space="preserve"> el abandono de territorios tradicionales puede acelerar la degradación de ecosistemas periféricos y la presión sobre bosques, creando un círculo de retroalimentación que potencia la deforestación y la vulnerabilidad de otras comunidades cercanas</w:t>
      </w:r>
    </w:p>
    <w:p w14:paraId="199F7CB1" w14:textId="77777777" w:rsidR="005C4FA4" w:rsidRPr="00B450EB" w:rsidRDefault="005C4FA4" w:rsidP="005C4FA4">
      <w:pPr>
        <w:spacing w:line="259" w:lineRule="auto"/>
        <w:rPr>
          <w:rFonts w:cs="Arial"/>
        </w:rPr>
      </w:pPr>
      <w:r w:rsidRPr="00B450EB">
        <w:rPr>
          <w:rFonts w:cs="Arial"/>
        </w:rPr>
        <w:t>En conjunto, la evidencia científica y socioeconómica muestra que la Amazonía enfrenta un riesgo inminente de acercarse a un punto crítico en un horizonte temporal relativamente cercano. La convergencia de deforestación, cambio climático y presiones antrópicas configura un escenario en el que la transición a ecosistemas no forestales no solo es plausible, sino altamente probable si no se adoptan medidas inmediatas (</w:t>
      </w:r>
      <w:proofErr w:type="spellStart"/>
      <w:r w:rsidRPr="00B450EB">
        <w:rPr>
          <w:rFonts w:cs="Arial"/>
        </w:rPr>
        <w:t>Nepstad</w:t>
      </w:r>
      <w:proofErr w:type="spellEnd"/>
      <w:r w:rsidRPr="00B450EB">
        <w:rPr>
          <w:rFonts w:cs="Arial"/>
        </w:rPr>
        <w:t xml:space="preserve"> et al., 2008; </w:t>
      </w:r>
      <w:proofErr w:type="spellStart"/>
      <w:r w:rsidRPr="00B450EB">
        <w:rPr>
          <w:rFonts w:cs="Arial"/>
        </w:rPr>
        <w:t>Lovejoy</w:t>
      </w:r>
      <w:proofErr w:type="spellEnd"/>
      <w:r w:rsidRPr="00B450EB">
        <w:rPr>
          <w:rFonts w:cs="Arial"/>
        </w:rPr>
        <w:t xml:space="preserve"> &amp; </w:t>
      </w:r>
      <w:proofErr w:type="spellStart"/>
      <w:r w:rsidRPr="00B450EB">
        <w:rPr>
          <w:rFonts w:cs="Arial"/>
        </w:rPr>
        <w:t>Nobre</w:t>
      </w:r>
      <w:proofErr w:type="spellEnd"/>
      <w:r w:rsidRPr="00B450EB">
        <w:rPr>
          <w:rFonts w:cs="Arial"/>
        </w:rPr>
        <w:t xml:space="preserve">, 2018; </w:t>
      </w:r>
      <w:proofErr w:type="spellStart"/>
      <w:r w:rsidRPr="00B450EB">
        <w:rPr>
          <w:rFonts w:cs="Arial"/>
        </w:rPr>
        <w:t>Hajdu</w:t>
      </w:r>
      <w:proofErr w:type="spellEnd"/>
      <w:r w:rsidRPr="00B450EB">
        <w:rPr>
          <w:rFonts w:cs="Arial"/>
        </w:rPr>
        <w:t xml:space="preserve"> et al., 2025).</w:t>
      </w:r>
    </w:p>
    <w:p w14:paraId="167F5A29" w14:textId="77777777" w:rsidR="005C4FA4" w:rsidRPr="00B450EB" w:rsidRDefault="005C4FA4" w:rsidP="005C4FA4">
      <w:pPr>
        <w:spacing w:line="259" w:lineRule="auto"/>
        <w:rPr>
          <w:rFonts w:cs="Arial"/>
        </w:rPr>
      </w:pPr>
      <w:r w:rsidRPr="00B450EB">
        <w:rPr>
          <w:rFonts w:cs="Arial"/>
        </w:rPr>
        <w:t xml:space="preserve">Este panorama resalta la necesidad de </w:t>
      </w:r>
      <w:r w:rsidRPr="00B450EB">
        <w:rPr>
          <w:rFonts w:cs="Arial"/>
          <w:b/>
          <w:bCs/>
        </w:rPr>
        <w:t>respuestas integrales</w:t>
      </w:r>
      <w:r w:rsidRPr="00B450EB">
        <w:rPr>
          <w:rFonts w:cs="Arial"/>
        </w:rPr>
        <w:t>: fortalecer la gobernanza territorial, combatir economías ilegales, promover modelos productivos sostenibles y avanzar en programas de restauración ecológica a gran escala. Consolidar una Amazonía con menor deforestación y mayor cobertura vegetal dependerá de sostener los logros alcanzados, anticipar las presiones futuras y garantizar que las comunidades locales sean protagonistas de la protección y uso sostenible de los bosques. Tal como concluyen Agudelo et al. (2023), preservar los bosques intactos que aún cubren el territorio amazónico colombiano y mantener nulo el crecimiento de la deforestación constituye el mejor escenario de conservación.</w:t>
      </w:r>
    </w:p>
    <w:p w14:paraId="6BC1042E" w14:textId="6C1DBB02" w:rsidR="52C85FBD" w:rsidRPr="00B450EB" w:rsidRDefault="000440A1" w:rsidP="001975A2">
      <w:pPr>
        <w:pStyle w:val="Ttulo1"/>
        <w:numPr>
          <w:ilvl w:val="0"/>
          <w:numId w:val="41"/>
        </w:numPr>
        <w:rPr>
          <w:rFonts w:cs="Arial"/>
        </w:rPr>
      </w:pPr>
      <w:bookmarkStart w:id="253" w:name="_Toc209722971"/>
      <w:r w:rsidRPr="00B450EB">
        <w:rPr>
          <w:rFonts w:cs="Arial"/>
        </w:rPr>
        <w:t xml:space="preserve">ACCIONES EXISTENTES </w:t>
      </w:r>
      <w:r w:rsidR="78224EDA" w:rsidRPr="00B450EB">
        <w:rPr>
          <w:rFonts w:eastAsia="Arial" w:cs="Arial"/>
        </w:rPr>
        <w:t>Y ENFOQUES PARA EL</w:t>
      </w:r>
      <w:r w:rsidR="78224EDA" w:rsidRPr="00B450EB">
        <w:rPr>
          <w:rFonts w:cs="Arial"/>
        </w:rPr>
        <w:t xml:space="preserve"> </w:t>
      </w:r>
      <w:r w:rsidRPr="00B450EB">
        <w:rPr>
          <w:rFonts w:cs="Arial"/>
        </w:rPr>
        <w:t>MANEJO DEL RIESGO EN EL BIOMA AMAZONICO</w:t>
      </w:r>
      <w:bookmarkEnd w:id="253"/>
    </w:p>
    <w:p w14:paraId="4C16FFB9" w14:textId="358C8EC0" w:rsidR="33BAE35E" w:rsidRPr="00B450EB" w:rsidRDefault="001231A3" w:rsidP="3E6335F4">
      <w:pPr>
        <w:pStyle w:val="Ttulo2"/>
        <w:ind w:left="622"/>
        <w:rPr>
          <w:rFonts w:eastAsia="Arial" w:cs="Arial"/>
          <w:lang w:val="es-ES"/>
        </w:rPr>
      </w:pPr>
      <w:bookmarkStart w:id="254" w:name="_Toc209722972"/>
      <w:r w:rsidRPr="00B450EB">
        <w:rPr>
          <w:rFonts w:eastAsia="Arial" w:cs="Arial"/>
          <w:b/>
        </w:rPr>
        <w:t xml:space="preserve">11.1. </w:t>
      </w:r>
      <w:r w:rsidR="33BAE35E" w:rsidRPr="00B450EB">
        <w:rPr>
          <w:rFonts w:eastAsia="Arial" w:cs="Arial"/>
          <w:b/>
        </w:rPr>
        <w:t>Contexto</w:t>
      </w:r>
      <w:bookmarkEnd w:id="254"/>
    </w:p>
    <w:p w14:paraId="2FB24EC1" w14:textId="4166D848" w:rsidR="33BAE35E" w:rsidRPr="00B450EB" w:rsidRDefault="33BAE35E" w:rsidP="3E6335F4">
      <w:pPr>
        <w:spacing w:after="0"/>
        <w:rPr>
          <w:rFonts w:eastAsia="Arial" w:cs="Arial"/>
          <w:lang w:val="es-ES"/>
        </w:rPr>
      </w:pPr>
      <w:r w:rsidRPr="00B450EB">
        <w:rPr>
          <w:rFonts w:eastAsia="Arial" w:cs="Arial"/>
          <w:b/>
        </w:rPr>
        <w:t xml:space="preserve"> </w:t>
      </w:r>
    </w:p>
    <w:p w14:paraId="4C783B54" w14:textId="22B0A634" w:rsidR="33BAE35E" w:rsidRPr="00B450EB" w:rsidRDefault="33BAE35E" w:rsidP="3E6335F4">
      <w:pPr>
        <w:spacing w:after="0"/>
        <w:rPr>
          <w:rFonts w:eastAsia="Arial" w:cs="Arial"/>
          <w:lang w:val="es-ES"/>
        </w:rPr>
      </w:pPr>
      <w:r w:rsidRPr="00B450EB">
        <w:rPr>
          <w:rFonts w:eastAsia="Arial" w:cs="Arial"/>
        </w:rPr>
        <w:t xml:space="preserve">En el marco del cumplimiento de la Sentencia 4360 de 2018 proferida por la Corte Suprema de Justicia —conocida como la Sentencia de la Amazonía—, el Estado colombiano ha asumido el compromiso de garantizar la protección de la Amazonía como sujeto de derechos, promoviendo acciones concretas orientadas a la contención de la deforestación, la restauración ecológica y el impulso de economías sostenibles que fortalezcan la vida y la biodiversidad. Estas acciones son parte de una respuesta estructural al riesgo inminente del denominado punto de no retorno, </w:t>
      </w:r>
      <w:r w:rsidRPr="00B450EB">
        <w:rPr>
          <w:rFonts w:eastAsia="Arial" w:cs="Arial"/>
        </w:rPr>
        <w:lastRenderedPageBreak/>
        <w:t>el cual pone en peligro la estabilidad ecológica del bioma amazónico, con consecuencias regionales y globales.</w:t>
      </w:r>
    </w:p>
    <w:p w14:paraId="3E9296E8" w14:textId="55384AA7" w:rsidR="33BAE35E" w:rsidRPr="00B450EB" w:rsidRDefault="33BAE35E" w:rsidP="3E6335F4">
      <w:pPr>
        <w:spacing w:after="0"/>
        <w:rPr>
          <w:rFonts w:eastAsia="Arial" w:cs="Arial"/>
          <w:lang w:val="es-ES"/>
        </w:rPr>
      </w:pPr>
      <w:r w:rsidRPr="00B450EB">
        <w:rPr>
          <w:rFonts w:eastAsia="Arial" w:cs="Arial"/>
        </w:rPr>
        <w:t xml:space="preserve"> </w:t>
      </w:r>
    </w:p>
    <w:p w14:paraId="3BB4CDDE" w14:textId="64728511" w:rsidR="33BAE35E" w:rsidRPr="00B450EB" w:rsidRDefault="33BAE35E" w:rsidP="3E6335F4">
      <w:pPr>
        <w:spacing w:after="0"/>
        <w:rPr>
          <w:rFonts w:eastAsia="Arial" w:cs="Arial"/>
          <w:lang w:val="es-ES"/>
        </w:rPr>
      </w:pPr>
      <w:r w:rsidRPr="00B450EB">
        <w:rPr>
          <w:rFonts w:eastAsia="Arial" w:cs="Arial"/>
        </w:rPr>
        <w:t xml:space="preserve">En línea con este compromiso, y conforme a lo dispuesto en el artículo 276 de la Ley 2294 de 2023 —Ley del Plan Nacional de Desarrollo 2022-2026 “Colombia Potencia Mundial de la Vida”—, se creó el Fondo para la Vida y la Biodiversidad. Este instrumento financiero tiene como objetivo principal canalizar recursos para financiar iniciativas estratégicas como el </w:t>
      </w:r>
      <w:r w:rsidRPr="00B450EB">
        <w:rPr>
          <w:rFonts w:eastAsia="Arial" w:cs="Arial"/>
          <w:b/>
        </w:rPr>
        <w:t>Plan Integral de Contención a la Deforestación</w:t>
      </w:r>
      <w:r w:rsidRPr="00B450EB">
        <w:rPr>
          <w:rFonts w:eastAsia="Arial" w:cs="Arial"/>
        </w:rPr>
        <w:t xml:space="preserve"> y la </w:t>
      </w:r>
      <w:r w:rsidRPr="00B450EB">
        <w:rPr>
          <w:rFonts w:eastAsia="Arial" w:cs="Arial"/>
          <w:b/>
        </w:rPr>
        <w:t>Estrategia Nacional de Restauración</w:t>
      </w:r>
      <w:r w:rsidRPr="00B450EB">
        <w:rPr>
          <w:rFonts w:eastAsia="Arial" w:cs="Arial"/>
        </w:rPr>
        <w:t xml:space="preserve">, dirigidas a la protección de la biodiversidad, la restauración ecológica, el desarrollo de economías sostenibles, y la mitigación de los efectos del cambio climático, con énfasis en territorios ambientalmente estratégicos como la Amazonía colombiana. La cooperación internacional también va en línea con este enfoque de conservar la naturaleza que aún tenemos y recuperar los ecosistemas que hemos perdido. </w:t>
      </w:r>
    </w:p>
    <w:p w14:paraId="17AE2157" w14:textId="3CDE4951" w:rsidR="33BAE35E" w:rsidRPr="00B450EB" w:rsidRDefault="33BAE35E" w:rsidP="3E6335F4">
      <w:pPr>
        <w:spacing w:after="0"/>
        <w:rPr>
          <w:rFonts w:eastAsia="Arial" w:cs="Arial"/>
          <w:lang w:val="es-ES"/>
        </w:rPr>
      </w:pPr>
      <w:r w:rsidRPr="00B450EB">
        <w:rPr>
          <w:rFonts w:eastAsia="Arial" w:cs="Arial"/>
        </w:rPr>
        <w:t xml:space="preserve"> </w:t>
      </w:r>
    </w:p>
    <w:p w14:paraId="0CF87ACF" w14:textId="743E711E" w:rsidR="33BAE35E" w:rsidRPr="00B450EB" w:rsidRDefault="33BAE35E" w:rsidP="3E6335F4">
      <w:pPr>
        <w:spacing w:after="0"/>
        <w:rPr>
          <w:rFonts w:eastAsia="Arial" w:cs="Arial"/>
          <w:lang w:val="es-ES"/>
        </w:rPr>
      </w:pPr>
      <w:r w:rsidRPr="00B450EB">
        <w:rPr>
          <w:rFonts w:eastAsia="Arial" w:cs="Arial"/>
        </w:rPr>
        <w:t xml:space="preserve">En el año 2023, en cumplimiento de este marco normativo y estratégico, </w:t>
      </w:r>
      <w:proofErr w:type="spellStart"/>
      <w:r w:rsidRPr="00B450EB">
        <w:rPr>
          <w:rFonts w:eastAsia="Arial" w:cs="Arial"/>
        </w:rPr>
        <w:t>MinAmbiente</w:t>
      </w:r>
      <w:proofErr w:type="spellEnd"/>
      <w:r w:rsidRPr="00B450EB">
        <w:rPr>
          <w:rFonts w:eastAsia="Arial" w:cs="Arial"/>
        </w:rPr>
        <w:t xml:space="preserve"> elaboró el </w:t>
      </w:r>
      <w:r w:rsidRPr="00B450EB">
        <w:rPr>
          <w:rFonts w:eastAsia="Arial" w:cs="Arial"/>
          <w:b/>
        </w:rPr>
        <w:t>Programa Estratégico de Líneas de Inversión de la Amazonía</w:t>
      </w:r>
      <w:r w:rsidRPr="00B450EB">
        <w:rPr>
          <w:rFonts w:eastAsia="Arial" w:cs="Arial"/>
        </w:rPr>
        <w:t xml:space="preserve">, el cual fue aprobado por el Comité Técnico del Fondo para la Vida y la Biodiversidad. A partir de dicho programa, </w:t>
      </w:r>
      <w:proofErr w:type="spellStart"/>
      <w:r w:rsidRPr="00B450EB">
        <w:rPr>
          <w:rFonts w:eastAsia="Arial" w:cs="Arial"/>
        </w:rPr>
        <w:t>MinAmbiente</w:t>
      </w:r>
      <w:proofErr w:type="spellEnd"/>
      <w:r w:rsidRPr="00B450EB">
        <w:rPr>
          <w:rFonts w:eastAsia="Arial" w:cs="Arial"/>
        </w:rPr>
        <w:t xml:space="preserve"> y el SINA, se estructuraron diversos macroproyectos orientados prioritariamente a la contención de la deforestación y la restauración ecológica, alineados con los principios de justicia ambiental, participación territorial y sostenibilidad. A continuación, se presentan los principales macroproyectos formulados en el marco de esta estrategia:</w:t>
      </w:r>
    </w:p>
    <w:p w14:paraId="58D56ADC" w14:textId="7D298775" w:rsidR="3E6335F4" w:rsidRPr="00B450EB" w:rsidRDefault="3E6335F4" w:rsidP="3E6335F4">
      <w:pPr>
        <w:spacing w:after="0"/>
        <w:rPr>
          <w:rFonts w:eastAsia="Arial" w:cs="Arial"/>
          <w:lang w:val="es-ES"/>
        </w:rPr>
      </w:pPr>
    </w:p>
    <w:p w14:paraId="6F27A43A" w14:textId="633747CE" w:rsidR="33BAE35E" w:rsidRPr="00B450EB" w:rsidRDefault="00024074" w:rsidP="00024074">
      <w:pPr>
        <w:pStyle w:val="Descripcin"/>
        <w:rPr>
          <w:rFonts w:eastAsia="Arial" w:cs="Arial"/>
          <w:color w:val="auto"/>
          <w:lang w:val="es-ES"/>
        </w:rPr>
      </w:pPr>
      <w:bookmarkStart w:id="255" w:name="_Toc209723010"/>
      <w:r w:rsidRPr="00B450EB">
        <w:rPr>
          <w:color w:val="auto"/>
        </w:rPr>
        <w:t xml:space="preserve">Tabla </w:t>
      </w:r>
      <w:r w:rsidR="0045353A" w:rsidRPr="00B450EB">
        <w:rPr>
          <w:color w:val="auto"/>
        </w:rPr>
        <w:fldChar w:fldCharType="begin"/>
      </w:r>
      <w:r w:rsidR="0045353A" w:rsidRPr="00B450EB">
        <w:rPr>
          <w:color w:val="auto"/>
        </w:rPr>
        <w:instrText xml:space="preserve"> SEQ Tabla \* ARABIC </w:instrText>
      </w:r>
      <w:r w:rsidR="0045353A" w:rsidRPr="00B450EB">
        <w:rPr>
          <w:color w:val="auto"/>
        </w:rPr>
        <w:fldChar w:fldCharType="separate"/>
      </w:r>
      <w:r w:rsidR="00BC4A10" w:rsidRPr="00B450EB">
        <w:rPr>
          <w:noProof/>
          <w:color w:val="auto"/>
        </w:rPr>
        <w:t>27</w:t>
      </w:r>
      <w:r w:rsidR="0045353A" w:rsidRPr="00B450EB">
        <w:rPr>
          <w:noProof/>
          <w:color w:val="auto"/>
        </w:rPr>
        <w:fldChar w:fldCharType="end"/>
      </w:r>
      <w:r w:rsidRPr="00B450EB">
        <w:rPr>
          <w:color w:val="auto"/>
        </w:rPr>
        <w:t xml:space="preserve">. </w:t>
      </w:r>
      <w:r w:rsidR="33BAE35E" w:rsidRPr="00B450EB">
        <w:rPr>
          <w:rFonts w:eastAsia="Arial" w:cs="Arial"/>
          <w:color w:val="auto"/>
        </w:rPr>
        <w:t>Listado de proyectos aprobados por el Fondo para la Vida y la Biodiversidad en la Amazonía y que se encuentran en fase de ejecución.</w:t>
      </w:r>
      <w:bookmarkEnd w:id="255"/>
    </w:p>
    <w:tbl>
      <w:tblPr>
        <w:tblStyle w:val="Tablaconcuadrcula1clar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0"/>
        <w:gridCol w:w="4358"/>
        <w:gridCol w:w="1882"/>
      </w:tblGrid>
      <w:tr w:rsidR="00205915" w:rsidRPr="00B450EB" w14:paraId="679751B8" w14:textId="77777777" w:rsidTr="00B561D3">
        <w:trPr>
          <w:cnfStyle w:val="100000000000" w:firstRow="1" w:lastRow="0" w:firstColumn="0" w:lastColumn="0" w:oddVBand="0" w:evenVBand="0" w:oddHBand="0" w:evenHBand="0" w:firstRowFirstColumn="0" w:firstRowLastColumn="0" w:lastRowFirstColumn="0" w:lastRowLastColumn="0"/>
          <w:trHeight w:val="240"/>
          <w:tblHeader/>
        </w:trPr>
        <w:tc>
          <w:tcPr>
            <w:cnfStyle w:val="001000000000" w:firstRow="0" w:lastRow="0" w:firstColumn="1" w:lastColumn="0" w:oddVBand="0" w:evenVBand="0" w:oddHBand="0" w:evenHBand="0" w:firstRowFirstColumn="0" w:firstRowLastColumn="0" w:lastRowFirstColumn="0" w:lastRowLastColumn="0"/>
            <w:tcW w:w="2580" w:type="dxa"/>
            <w:shd w:val="clear" w:color="auto" w:fill="D9F2D0" w:themeFill="accent6" w:themeFillTint="33"/>
            <w:tcMar>
              <w:left w:w="105" w:type="dxa"/>
              <w:right w:w="105" w:type="dxa"/>
            </w:tcMar>
          </w:tcPr>
          <w:p w14:paraId="60879681" w14:textId="7ABBF51D" w:rsidR="3E6335F4" w:rsidRPr="00B450EB" w:rsidRDefault="005D2558" w:rsidP="3E6335F4">
            <w:pPr>
              <w:jc w:val="center"/>
              <w:rPr>
                <w:rFonts w:eastAsia="Arial" w:cs="Arial"/>
                <w:sz w:val="18"/>
                <w:szCs w:val="18"/>
                <w:lang w:val="es-ES"/>
              </w:rPr>
            </w:pPr>
            <w:r w:rsidRPr="00B450EB">
              <w:rPr>
                <w:rFonts w:eastAsia="Arial" w:cs="Arial"/>
              </w:rPr>
              <w:t xml:space="preserve"> </w:t>
            </w:r>
            <w:r w:rsidRPr="00B450EB">
              <w:rPr>
                <w:rFonts w:eastAsia="Arial" w:cs="Arial"/>
                <w:sz w:val="18"/>
                <w:szCs w:val="18"/>
              </w:rPr>
              <w:t>Proyectos</w:t>
            </w:r>
          </w:p>
        </w:tc>
        <w:tc>
          <w:tcPr>
            <w:tcW w:w="4358" w:type="dxa"/>
            <w:shd w:val="clear" w:color="auto" w:fill="D9F2D0" w:themeFill="accent6" w:themeFillTint="33"/>
            <w:tcMar>
              <w:left w:w="105" w:type="dxa"/>
              <w:right w:w="105" w:type="dxa"/>
            </w:tcMar>
          </w:tcPr>
          <w:p w14:paraId="571B0578" w14:textId="6F20033C" w:rsidR="3E6335F4" w:rsidRPr="00B450EB" w:rsidRDefault="005D2558" w:rsidP="3E6335F4">
            <w:pPr>
              <w:jc w:val="center"/>
              <w:cnfStyle w:val="100000000000" w:firstRow="1"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 xml:space="preserve">Objeto </w:t>
            </w:r>
          </w:p>
        </w:tc>
        <w:tc>
          <w:tcPr>
            <w:tcW w:w="1882" w:type="dxa"/>
            <w:shd w:val="clear" w:color="auto" w:fill="D9F2D0" w:themeFill="accent6" w:themeFillTint="33"/>
            <w:tcMar>
              <w:left w:w="105" w:type="dxa"/>
              <w:right w:w="105" w:type="dxa"/>
            </w:tcMar>
          </w:tcPr>
          <w:p w14:paraId="2F2C7FCE" w14:textId="51433EEC" w:rsidR="3E6335F4" w:rsidRPr="00B450EB" w:rsidRDefault="005D2558" w:rsidP="3E6335F4">
            <w:pPr>
              <w:jc w:val="center"/>
              <w:cnfStyle w:val="100000000000" w:firstRow="1"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 xml:space="preserve">Implementador </w:t>
            </w:r>
          </w:p>
        </w:tc>
      </w:tr>
      <w:tr w:rsidR="00205915" w:rsidRPr="00B450EB" w14:paraId="01D67EA5" w14:textId="77777777" w:rsidTr="00B561D3">
        <w:trPr>
          <w:trHeight w:val="1275"/>
        </w:trPr>
        <w:tc>
          <w:tcPr>
            <w:cnfStyle w:val="001000000000" w:firstRow="0" w:lastRow="0" w:firstColumn="1" w:lastColumn="0" w:oddVBand="0" w:evenVBand="0" w:oddHBand="0" w:evenHBand="0" w:firstRowFirstColumn="0" w:firstRowLastColumn="0" w:lastRowFirstColumn="0" w:lastRowLastColumn="0"/>
            <w:tcW w:w="2580" w:type="dxa"/>
            <w:tcMar>
              <w:left w:w="105" w:type="dxa"/>
              <w:right w:w="105" w:type="dxa"/>
            </w:tcMar>
          </w:tcPr>
          <w:p w14:paraId="42A403F9" w14:textId="60E18340" w:rsidR="3E6335F4" w:rsidRPr="00B450EB" w:rsidRDefault="3E6335F4" w:rsidP="3E6335F4">
            <w:pPr>
              <w:rPr>
                <w:rFonts w:eastAsia="Arial" w:cs="Arial"/>
                <w:sz w:val="18"/>
                <w:szCs w:val="18"/>
                <w:lang w:val="es-ES"/>
              </w:rPr>
            </w:pPr>
            <w:r w:rsidRPr="00B450EB">
              <w:rPr>
                <w:rFonts w:eastAsia="Arial" w:cs="Arial"/>
                <w:sz w:val="18"/>
                <w:szCs w:val="18"/>
              </w:rPr>
              <w:t>Implementación de acciones interinstitucionales para la lucha contra la deforestación y otros delitos ambientales asociados en la ecorregión de la Amazonía</w:t>
            </w:r>
          </w:p>
        </w:tc>
        <w:tc>
          <w:tcPr>
            <w:tcW w:w="4358" w:type="dxa"/>
            <w:tcMar>
              <w:left w:w="105" w:type="dxa"/>
              <w:right w:w="105" w:type="dxa"/>
            </w:tcMar>
          </w:tcPr>
          <w:p w14:paraId="2267E482" w14:textId="7659B504"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Implementar acciones articuladas de contención de estructuras criminales en el marco de la estrategia de lucha contra la deforestación y otros delitos ambientales asociados.</w:t>
            </w:r>
          </w:p>
        </w:tc>
        <w:tc>
          <w:tcPr>
            <w:tcW w:w="1882" w:type="dxa"/>
            <w:tcMar>
              <w:left w:w="105" w:type="dxa"/>
              <w:right w:w="105" w:type="dxa"/>
            </w:tcMar>
          </w:tcPr>
          <w:p w14:paraId="42582B64" w14:textId="6F9DA702"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UNODC</w:t>
            </w:r>
          </w:p>
        </w:tc>
      </w:tr>
      <w:tr w:rsidR="00205915" w:rsidRPr="00B450EB" w14:paraId="078702C4" w14:textId="77777777" w:rsidTr="00B561D3">
        <w:trPr>
          <w:trHeight w:val="1545"/>
        </w:trPr>
        <w:tc>
          <w:tcPr>
            <w:cnfStyle w:val="001000000000" w:firstRow="0" w:lastRow="0" w:firstColumn="1" w:lastColumn="0" w:oddVBand="0" w:evenVBand="0" w:oddHBand="0" w:evenHBand="0" w:firstRowFirstColumn="0" w:firstRowLastColumn="0" w:lastRowFirstColumn="0" w:lastRowLastColumn="0"/>
            <w:tcW w:w="2580" w:type="dxa"/>
            <w:tcMar>
              <w:left w:w="105" w:type="dxa"/>
              <w:right w:w="105" w:type="dxa"/>
            </w:tcMar>
          </w:tcPr>
          <w:p w14:paraId="6DF6949F" w14:textId="0AC54B33" w:rsidR="3E6335F4" w:rsidRPr="00B450EB" w:rsidRDefault="3E6335F4" w:rsidP="3E6335F4">
            <w:pPr>
              <w:rPr>
                <w:rFonts w:eastAsia="Arial" w:cs="Arial"/>
                <w:sz w:val="18"/>
                <w:szCs w:val="18"/>
                <w:lang w:val="es-ES"/>
              </w:rPr>
            </w:pPr>
            <w:r w:rsidRPr="00B450EB">
              <w:rPr>
                <w:rFonts w:eastAsia="Arial" w:cs="Arial"/>
                <w:sz w:val="18"/>
                <w:szCs w:val="18"/>
              </w:rPr>
              <w:t>Fortalecimiento del monitoreo y seguimiento ambiental de áreas de bosques naturales, otras coberturas de la tierra y las dinámicas de transformación del territorio -Etapa 1 –nacional</w:t>
            </w:r>
          </w:p>
        </w:tc>
        <w:tc>
          <w:tcPr>
            <w:tcW w:w="4358" w:type="dxa"/>
            <w:tcMar>
              <w:left w:w="105" w:type="dxa"/>
              <w:right w:w="105" w:type="dxa"/>
            </w:tcMar>
          </w:tcPr>
          <w:p w14:paraId="7182500C" w14:textId="75F5F47C"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 xml:space="preserve"> Aunar esfuerzos técnicos, administrativos y financieros para realizar el monitoreo de acuerdos sociales en los 22 Núcleos de Desarrollo Forestal y de la Biodiversidad de la Amazonía colombiana mediante el sistema </w:t>
            </w:r>
            <w:proofErr w:type="spellStart"/>
            <w:r w:rsidRPr="00B450EB">
              <w:rPr>
                <w:rFonts w:eastAsia="Arial" w:cs="Arial"/>
                <w:sz w:val="18"/>
                <w:szCs w:val="18"/>
              </w:rPr>
              <w:t>MoSCAL</w:t>
            </w:r>
            <w:proofErr w:type="spellEnd"/>
            <w:r w:rsidRPr="00B450EB">
              <w:rPr>
                <w:rFonts w:eastAsia="Arial" w:cs="Arial"/>
                <w:sz w:val="18"/>
                <w:szCs w:val="18"/>
              </w:rPr>
              <w:t>-SIATAC, contribuyendo al fortalecimiento del monitoreo ambiental y la conservación de los bosques.</w:t>
            </w:r>
          </w:p>
        </w:tc>
        <w:tc>
          <w:tcPr>
            <w:tcW w:w="1882" w:type="dxa"/>
            <w:tcMar>
              <w:left w:w="105" w:type="dxa"/>
              <w:right w:w="105" w:type="dxa"/>
            </w:tcMar>
          </w:tcPr>
          <w:p w14:paraId="1C714FA2" w14:textId="22424AE0"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Instituto Amazónico de Investigaciones Científicas - SINCHI</w:t>
            </w:r>
          </w:p>
        </w:tc>
      </w:tr>
      <w:tr w:rsidR="00205915" w:rsidRPr="00B450EB" w14:paraId="247FE945" w14:textId="77777777" w:rsidTr="00B561D3">
        <w:trPr>
          <w:trHeight w:val="1980"/>
        </w:trPr>
        <w:tc>
          <w:tcPr>
            <w:cnfStyle w:val="001000000000" w:firstRow="0" w:lastRow="0" w:firstColumn="1" w:lastColumn="0" w:oddVBand="0" w:evenVBand="0" w:oddHBand="0" w:evenHBand="0" w:firstRowFirstColumn="0" w:firstRowLastColumn="0" w:lastRowFirstColumn="0" w:lastRowLastColumn="0"/>
            <w:tcW w:w="2580" w:type="dxa"/>
            <w:tcMar>
              <w:left w:w="105" w:type="dxa"/>
              <w:right w:w="105" w:type="dxa"/>
            </w:tcMar>
          </w:tcPr>
          <w:p w14:paraId="75785E8A" w14:textId="3BAB2505" w:rsidR="3E6335F4" w:rsidRPr="00B450EB" w:rsidRDefault="3E6335F4" w:rsidP="3E6335F4">
            <w:pPr>
              <w:rPr>
                <w:rFonts w:eastAsia="Arial" w:cs="Arial"/>
                <w:sz w:val="18"/>
                <w:szCs w:val="18"/>
                <w:lang w:val="es-ES"/>
              </w:rPr>
            </w:pPr>
            <w:r w:rsidRPr="00B450EB">
              <w:rPr>
                <w:rFonts w:eastAsia="Arial" w:cs="Arial"/>
                <w:sz w:val="18"/>
                <w:szCs w:val="18"/>
              </w:rPr>
              <w:lastRenderedPageBreak/>
              <w:t>Intervención integral en los núcleos de desarrollo forestal y de la biodiversidad (NDFYB) en la región de la Amazonía</w:t>
            </w:r>
          </w:p>
        </w:tc>
        <w:tc>
          <w:tcPr>
            <w:tcW w:w="4358" w:type="dxa"/>
            <w:tcMar>
              <w:left w:w="105" w:type="dxa"/>
              <w:right w:w="105" w:type="dxa"/>
            </w:tcMar>
          </w:tcPr>
          <w:p w14:paraId="37ECAFE0" w14:textId="71728306" w:rsidR="3E6335F4" w:rsidRPr="00B450EB" w:rsidRDefault="3E6335F4" w:rsidP="3E6335F4">
            <w:pPr>
              <w:spacing w:after="240"/>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Reducir la tasa de pérdida de cobertura boscosa en la Amazonía colombiana mediante la implementación de una intervención integral en seis Núcleos de Desarrollo Forestal y de la Biodiversidad (</w:t>
            </w:r>
            <w:proofErr w:type="spellStart"/>
            <w:r w:rsidRPr="00B450EB">
              <w:rPr>
                <w:rFonts w:eastAsia="Arial" w:cs="Arial"/>
                <w:sz w:val="18"/>
                <w:szCs w:val="18"/>
              </w:rPr>
              <w:t>NDFyB</w:t>
            </w:r>
            <w:proofErr w:type="spellEnd"/>
            <w:r w:rsidRPr="00B450EB">
              <w:rPr>
                <w:rFonts w:eastAsia="Arial" w:cs="Arial"/>
                <w:sz w:val="18"/>
                <w:szCs w:val="18"/>
              </w:rPr>
              <w:t>). Esto se logrará a través de acciones que promuevan la conservación de ecosistemas estratégicos, la restauración de áreas degradadas y el fortalecimiento de las capacidades organizacionales y técnicas de las comunidades locales.</w:t>
            </w:r>
          </w:p>
        </w:tc>
        <w:tc>
          <w:tcPr>
            <w:tcW w:w="1882" w:type="dxa"/>
            <w:tcMar>
              <w:left w:w="105" w:type="dxa"/>
              <w:right w:w="105" w:type="dxa"/>
            </w:tcMar>
          </w:tcPr>
          <w:p w14:paraId="0B818C20" w14:textId="0E05D73E"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Instituto Amazónico de Investigaciones Científicas - SINCHI</w:t>
            </w:r>
          </w:p>
        </w:tc>
      </w:tr>
      <w:tr w:rsidR="00205915" w:rsidRPr="00B450EB" w14:paraId="223C7304" w14:textId="77777777" w:rsidTr="00B561D3">
        <w:trPr>
          <w:trHeight w:val="1920"/>
        </w:trPr>
        <w:tc>
          <w:tcPr>
            <w:cnfStyle w:val="001000000000" w:firstRow="0" w:lastRow="0" w:firstColumn="1" w:lastColumn="0" w:oddVBand="0" w:evenVBand="0" w:oddHBand="0" w:evenHBand="0" w:firstRowFirstColumn="0" w:firstRowLastColumn="0" w:lastRowFirstColumn="0" w:lastRowLastColumn="0"/>
            <w:tcW w:w="2580" w:type="dxa"/>
            <w:tcMar>
              <w:left w:w="105" w:type="dxa"/>
              <w:right w:w="105" w:type="dxa"/>
            </w:tcMar>
          </w:tcPr>
          <w:p w14:paraId="6C4E3049" w14:textId="65FFCB2C" w:rsidR="3E6335F4" w:rsidRPr="00B450EB" w:rsidRDefault="3E6335F4" w:rsidP="3E6335F4">
            <w:pPr>
              <w:rPr>
                <w:rFonts w:eastAsia="Arial" w:cs="Arial"/>
                <w:sz w:val="18"/>
                <w:szCs w:val="18"/>
                <w:lang w:val="es-ES"/>
              </w:rPr>
            </w:pPr>
            <w:r w:rsidRPr="00B450EB">
              <w:rPr>
                <w:rFonts w:eastAsia="Arial" w:cs="Arial"/>
                <w:sz w:val="18"/>
                <w:szCs w:val="18"/>
              </w:rPr>
              <w:t xml:space="preserve">Restauración comunitaria de la conectividad Andino-Amazónica para la adaptación al cambio climático y la revitalización territorial en las subzonas hidrográficas cuencas de los ríos Caguán y </w:t>
            </w:r>
            <w:proofErr w:type="spellStart"/>
            <w:r w:rsidRPr="00B450EB">
              <w:rPr>
                <w:rFonts w:eastAsia="Arial" w:cs="Arial"/>
                <w:sz w:val="18"/>
                <w:szCs w:val="18"/>
              </w:rPr>
              <w:t>Orteguaza</w:t>
            </w:r>
            <w:proofErr w:type="spellEnd"/>
          </w:p>
        </w:tc>
        <w:tc>
          <w:tcPr>
            <w:tcW w:w="4358" w:type="dxa"/>
            <w:tcMar>
              <w:left w:w="105" w:type="dxa"/>
              <w:right w:w="105" w:type="dxa"/>
            </w:tcMar>
          </w:tcPr>
          <w:p w14:paraId="75782490" w14:textId="08FFE950"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 xml:space="preserve">Mejorar la integridad ecológica del paisaje Andino-Amazónico mediante procesos comunitarios de restauración que fortalezcan la conectividad ecológica, la funcionalidad y la resiliencia de los ecosistemas en las subzonas hidrográficas de los ríos Caguán y </w:t>
            </w:r>
            <w:proofErr w:type="spellStart"/>
            <w:r w:rsidRPr="00B450EB">
              <w:rPr>
                <w:rFonts w:eastAsia="Arial" w:cs="Arial"/>
                <w:sz w:val="18"/>
                <w:szCs w:val="18"/>
              </w:rPr>
              <w:t>Orteguaza</w:t>
            </w:r>
            <w:proofErr w:type="spellEnd"/>
            <w:r w:rsidRPr="00B450EB">
              <w:rPr>
                <w:rFonts w:eastAsia="Arial" w:cs="Arial"/>
                <w:sz w:val="18"/>
                <w:szCs w:val="18"/>
              </w:rPr>
              <w:t>. Esto se logrará a través de la implementación de acciones participativas que involucren a las comunidades locales en la planificación y ejecución de estrategias de restauración y manejo sostenible del paisaje.</w:t>
            </w:r>
          </w:p>
        </w:tc>
        <w:tc>
          <w:tcPr>
            <w:tcW w:w="1882" w:type="dxa"/>
            <w:tcMar>
              <w:left w:w="105" w:type="dxa"/>
              <w:right w:w="105" w:type="dxa"/>
            </w:tcMar>
          </w:tcPr>
          <w:p w14:paraId="50CE4F10" w14:textId="45B8B205"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Instituto Amazónico de Investigaciones Científicas SINCHI</w:t>
            </w:r>
          </w:p>
        </w:tc>
      </w:tr>
      <w:tr w:rsidR="00205915" w:rsidRPr="00B450EB" w14:paraId="6E3F13D1" w14:textId="77777777" w:rsidTr="00B561D3">
        <w:trPr>
          <w:trHeight w:val="1830"/>
        </w:trPr>
        <w:tc>
          <w:tcPr>
            <w:cnfStyle w:val="001000000000" w:firstRow="0" w:lastRow="0" w:firstColumn="1" w:lastColumn="0" w:oddVBand="0" w:evenVBand="0" w:oddHBand="0" w:evenHBand="0" w:firstRowFirstColumn="0" w:firstRowLastColumn="0" w:lastRowFirstColumn="0" w:lastRowLastColumn="0"/>
            <w:tcW w:w="2580" w:type="dxa"/>
            <w:tcMar>
              <w:left w:w="105" w:type="dxa"/>
              <w:right w:w="105" w:type="dxa"/>
            </w:tcMar>
          </w:tcPr>
          <w:p w14:paraId="7C6D4634" w14:textId="53A737F7" w:rsidR="3E6335F4" w:rsidRPr="00B450EB" w:rsidRDefault="3E6335F4" w:rsidP="3E6335F4">
            <w:pPr>
              <w:rPr>
                <w:rFonts w:eastAsia="Arial" w:cs="Arial"/>
                <w:sz w:val="18"/>
                <w:szCs w:val="18"/>
                <w:lang w:val="es-ES"/>
              </w:rPr>
            </w:pPr>
            <w:r w:rsidRPr="00B450EB">
              <w:rPr>
                <w:rFonts w:eastAsia="Arial" w:cs="Arial"/>
                <w:sz w:val="18"/>
                <w:szCs w:val="18"/>
              </w:rPr>
              <w:t>Fortalecimiento del monitoreo y seguimiento ambiental de áreas de bosques naturales, otras coberturas de la tierra y las dinámicas de transformación del territorio -HUMBOLDT</w:t>
            </w:r>
          </w:p>
        </w:tc>
        <w:tc>
          <w:tcPr>
            <w:tcW w:w="4358" w:type="dxa"/>
            <w:tcMar>
              <w:left w:w="105" w:type="dxa"/>
              <w:right w:w="105" w:type="dxa"/>
            </w:tcMar>
          </w:tcPr>
          <w:p w14:paraId="41152F25" w14:textId="0CF65626" w:rsidR="3E6335F4" w:rsidRPr="00B450EB" w:rsidRDefault="3E6335F4" w:rsidP="3E6335F4">
            <w:pPr>
              <w:spacing w:after="240"/>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Fortalecer los sistemas de monitoreo y seguimiento ambiental en Colombia, con énfasis en los bosques naturales, otras coberturas de la tierra y las dinámicas de transformación del territorio. Esto se logrará mediante el desarrollo de herramientas tecnológicas, la integración de información ambiental y la participación de las comunidades locales en los procesos de monitoreo.</w:t>
            </w:r>
          </w:p>
        </w:tc>
        <w:tc>
          <w:tcPr>
            <w:tcW w:w="1882" w:type="dxa"/>
            <w:tcMar>
              <w:left w:w="105" w:type="dxa"/>
              <w:right w:w="105" w:type="dxa"/>
            </w:tcMar>
          </w:tcPr>
          <w:p w14:paraId="4D428BA7" w14:textId="1B85C16D"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Instituto Humboldt</w:t>
            </w:r>
          </w:p>
        </w:tc>
      </w:tr>
      <w:tr w:rsidR="00205915" w:rsidRPr="00B450EB" w14:paraId="599C552B" w14:textId="77777777" w:rsidTr="00B561D3">
        <w:trPr>
          <w:trHeight w:val="1815"/>
        </w:trPr>
        <w:tc>
          <w:tcPr>
            <w:cnfStyle w:val="001000000000" w:firstRow="0" w:lastRow="0" w:firstColumn="1" w:lastColumn="0" w:oddVBand="0" w:evenVBand="0" w:oddHBand="0" w:evenHBand="0" w:firstRowFirstColumn="0" w:firstRowLastColumn="0" w:lastRowFirstColumn="0" w:lastRowLastColumn="0"/>
            <w:tcW w:w="2580" w:type="dxa"/>
            <w:tcMar>
              <w:left w:w="105" w:type="dxa"/>
              <w:right w:w="105" w:type="dxa"/>
            </w:tcMar>
          </w:tcPr>
          <w:p w14:paraId="5CD2E1A6" w14:textId="7A9E1222" w:rsidR="3E6335F4" w:rsidRPr="00B450EB" w:rsidRDefault="3E6335F4" w:rsidP="3E6335F4">
            <w:pPr>
              <w:rPr>
                <w:rFonts w:eastAsia="Arial" w:cs="Arial"/>
                <w:sz w:val="18"/>
                <w:szCs w:val="18"/>
                <w:lang w:val="es-ES"/>
              </w:rPr>
            </w:pPr>
            <w:r w:rsidRPr="00B450EB">
              <w:rPr>
                <w:rFonts w:eastAsia="Arial" w:cs="Arial"/>
                <w:sz w:val="18"/>
                <w:szCs w:val="18"/>
              </w:rPr>
              <w:t>Fortalecimiento del monitoreo y seguimiento ambiental de áreas de bosques naturales, otras coberturas de la tierra y las dinámicas de transformación del territorio -IDEAM</w:t>
            </w:r>
          </w:p>
        </w:tc>
        <w:tc>
          <w:tcPr>
            <w:tcW w:w="4358" w:type="dxa"/>
            <w:tcMar>
              <w:left w:w="105" w:type="dxa"/>
              <w:right w:w="105" w:type="dxa"/>
            </w:tcMar>
          </w:tcPr>
          <w:p w14:paraId="2EEB2CCA" w14:textId="3F5E6337" w:rsidR="3E6335F4" w:rsidRPr="00B450EB" w:rsidRDefault="3E6335F4" w:rsidP="3E6335F4">
            <w:pPr>
              <w:spacing w:after="240"/>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Fortalecer los sistemas de monitoreo y seguimiento ambiental en Colombia, con énfasis en los bosques naturales, otras coberturas de la tierra y las dinámicas de transformación del territorio. Esto incluye la implementación de herramientas tecnológicas, la generación de información confiable y la promoción de procesos participativos para la gestión sostenible de los recursos naturales.</w:t>
            </w:r>
          </w:p>
        </w:tc>
        <w:tc>
          <w:tcPr>
            <w:tcW w:w="1882" w:type="dxa"/>
            <w:tcMar>
              <w:left w:w="105" w:type="dxa"/>
              <w:right w:w="105" w:type="dxa"/>
            </w:tcMar>
          </w:tcPr>
          <w:p w14:paraId="5C1C502E" w14:textId="5F1FB6D5"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 xml:space="preserve">Instituto de Hidrología, Meteorología y Estudios Ambientales - IDEAM </w:t>
            </w:r>
          </w:p>
        </w:tc>
      </w:tr>
      <w:tr w:rsidR="00205915" w:rsidRPr="00B450EB" w14:paraId="54C6C1C7" w14:textId="77777777" w:rsidTr="00B561D3">
        <w:trPr>
          <w:trHeight w:val="960"/>
        </w:trPr>
        <w:tc>
          <w:tcPr>
            <w:cnfStyle w:val="001000000000" w:firstRow="0" w:lastRow="0" w:firstColumn="1" w:lastColumn="0" w:oddVBand="0" w:evenVBand="0" w:oddHBand="0" w:evenHBand="0" w:firstRowFirstColumn="0" w:firstRowLastColumn="0" w:lastRowFirstColumn="0" w:lastRowLastColumn="0"/>
            <w:tcW w:w="2580" w:type="dxa"/>
            <w:tcMar>
              <w:left w:w="105" w:type="dxa"/>
              <w:right w:w="105" w:type="dxa"/>
            </w:tcMar>
          </w:tcPr>
          <w:p w14:paraId="67E95621" w14:textId="0944EDBE" w:rsidR="3E6335F4" w:rsidRPr="00B450EB" w:rsidRDefault="3E6335F4" w:rsidP="3E6335F4">
            <w:pPr>
              <w:rPr>
                <w:rFonts w:eastAsia="Arial" w:cs="Arial"/>
                <w:sz w:val="18"/>
                <w:szCs w:val="18"/>
                <w:lang w:val="es-ES"/>
              </w:rPr>
            </w:pPr>
            <w:r w:rsidRPr="00B450EB">
              <w:rPr>
                <w:rFonts w:eastAsia="Arial" w:cs="Arial"/>
                <w:sz w:val="18"/>
                <w:szCs w:val="18"/>
              </w:rPr>
              <w:t>Estrategia de implementación del Servicio de Extensión Forestal en la Amazonia Colombiana</w:t>
            </w:r>
          </w:p>
        </w:tc>
        <w:tc>
          <w:tcPr>
            <w:tcW w:w="4358" w:type="dxa"/>
            <w:tcMar>
              <w:left w:w="105" w:type="dxa"/>
              <w:right w:w="105" w:type="dxa"/>
            </w:tcMar>
          </w:tcPr>
          <w:p w14:paraId="4DF35641" w14:textId="0FE0CD04"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Contribuir a la disminución de la pérdida de bosque en la Amazonía colombiana mediante la implementación de un Servicio de Extensión Forestal que fortalezca las estrategias actuales de manejo forestal sostenible.</w:t>
            </w:r>
          </w:p>
        </w:tc>
        <w:tc>
          <w:tcPr>
            <w:tcW w:w="1882" w:type="dxa"/>
            <w:tcMar>
              <w:left w:w="105" w:type="dxa"/>
              <w:right w:w="105" w:type="dxa"/>
            </w:tcMar>
          </w:tcPr>
          <w:p w14:paraId="2155BFE7" w14:textId="47AF10A6"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Instituto Amazónico de Investigaciones Científicas SINCHI</w:t>
            </w:r>
          </w:p>
        </w:tc>
      </w:tr>
      <w:tr w:rsidR="00205915" w:rsidRPr="00B450EB" w14:paraId="0613F017" w14:textId="77777777" w:rsidTr="00B561D3">
        <w:trPr>
          <w:trHeight w:val="1680"/>
        </w:trPr>
        <w:tc>
          <w:tcPr>
            <w:cnfStyle w:val="001000000000" w:firstRow="0" w:lastRow="0" w:firstColumn="1" w:lastColumn="0" w:oddVBand="0" w:evenVBand="0" w:oddHBand="0" w:evenHBand="0" w:firstRowFirstColumn="0" w:firstRowLastColumn="0" w:lastRowFirstColumn="0" w:lastRowLastColumn="0"/>
            <w:tcW w:w="2580" w:type="dxa"/>
            <w:tcMar>
              <w:left w:w="105" w:type="dxa"/>
              <w:right w:w="105" w:type="dxa"/>
            </w:tcMar>
          </w:tcPr>
          <w:p w14:paraId="411BA020" w14:textId="714873CD" w:rsidR="3E6335F4" w:rsidRPr="00B450EB" w:rsidRDefault="3E6335F4" w:rsidP="3E6335F4">
            <w:pPr>
              <w:rPr>
                <w:rFonts w:eastAsia="Arial" w:cs="Arial"/>
                <w:sz w:val="18"/>
                <w:szCs w:val="18"/>
                <w:lang w:val="es-ES"/>
              </w:rPr>
            </w:pPr>
            <w:r w:rsidRPr="00B450EB">
              <w:rPr>
                <w:rFonts w:eastAsia="Arial" w:cs="Arial"/>
                <w:sz w:val="18"/>
                <w:szCs w:val="18"/>
              </w:rPr>
              <w:t>Intervención integral en los núcleos de desarrollo forestal y de la biodiversidad (NDFYB) en la región de la Amazonía -Núcleo Yaguará II</w:t>
            </w:r>
          </w:p>
        </w:tc>
        <w:tc>
          <w:tcPr>
            <w:tcW w:w="4358" w:type="dxa"/>
            <w:tcMar>
              <w:left w:w="105" w:type="dxa"/>
              <w:right w:w="105" w:type="dxa"/>
            </w:tcMar>
          </w:tcPr>
          <w:p w14:paraId="65980EC1" w14:textId="6999799E"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Aunar esfuerzos técnicos, administrativos, jurídicos, financieros y operativos para la ejecución de acciones en el núcleo de desarrollo forestal y de la biodiversidad llanos de YARÍ YAGUARA II, en el marco del proyecto “intervención integral en los núcleos de desarrollo forestal y de la biodiversidad (</w:t>
            </w:r>
            <w:proofErr w:type="spellStart"/>
            <w:r w:rsidRPr="00B450EB">
              <w:rPr>
                <w:rFonts w:eastAsia="Arial" w:cs="Arial"/>
                <w:sz w:val="18"/>
                <w:szCs w:val="18"/>
              </w:rPr>
              <w:t>NDFyB</w:t>
            </w:r>
            <w:proofErr w:type="spellEnd"/>
            <w:r w:rsidRPr="00B450EB">
              <w:rPr>
                <w:rFonts w:eastAsia="Arial" w:cs="Arial"/>
                <w:sz w:val="18"/>
                <w:szCs w:val="18"/>
              </w:rPr>
              <w:t>) en la región de la Amazonía” de acuerdo con la misionalidad del Instituto Humboldt.</w:t>
            </w:r>
          </w:p>
        </w:tc>
        <w:tc>
          <w:tcPr>
            <w:tcW w:w="1882" w:type="dxa"/>
            <w:tcMar>
              <w:left w:w="105" w:type="dxa"/>
              <w:right w:w="105" w:type="dxa"/>
            </w:tcMar>
          </w:tcPr>
          <w:p w14:paraId="538001C8" w14:textId="0344BCB3"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Instituto Humboldt</w:t>
            </w:r>
          </w:p>
        </w:tc>
      </w:tr>
      <w:tr w:rsidR="00205915" w:rsidRPr="00B450EB" w14:paraId="38D276D4" w14:textId="77777777" w:rsidTr="00B561D3">
        <w:trPr>
          <w:trHeight w:val="1200"/>
        </w:trPr>
        <w:tc>
          <w:tcPr>
            <w:cnfStyle w:val="001000000000" w:firstRow="0" w:lastRow="0" w:firstColumn="1" w:lastColumn="0" w:oddVBand="0" w:evenVBand="0" w:oddHBand="0" w:evenHBand="0" w:firstRowFirstColumn="0" w:firstRowLastColumn="0" w:lastRowFirstColumn="0" w:lastRowLastColumn="0"/>
            <w:tcW w:w="2580" w:type="dxa"/>
            <w:tcMar>
              <w:left w:w="105" w:type="dxa"/>
              <w:right w:w="105" w:type="dxa"/>
            </w:tcMar>
          </w:tcPr>
          <w:p w14:paraId="3BEE10BE" w14:textId="1202DA50" w:rsidR="3E6335F4" w:rsidRPr="00B450EB" w:rsidRDefault="3E6335F4" w:rsidP="3E6335F4">
            <w:pPr>
              <w:rPr>
                <w:rFonts w:eastAsia="Arial" w:cs="Arial"/>
                <w:sz w:val="18"/>
                <w:szCs w:val="18"/>
                <w:lang w:val="es-ES"/>
              </w:rPr>
            </w:pPr>
            <w:r w:rsidRPr="00B450EB">
              <w:rPr>
                <w:rFonts w:eastAsia="Arial" w:cs="Arial"/>
                <w:sz w:val="18"/>
                <w:szCs w:val="18"/>
              </w:rPr>
              <w:t>Amazonia Biocultural: Conservación participativa de ecosistemas estratégicos del Bioma Amazónico</w:t>
            </w:r>
          </w:p>
        </w:tc>
        <w:tc>
          <w:tcPr>
            <w:tcW w:w="4358" w:type="dxa"/>
            <w:tcMar>
              <w:left w:w="105" w:type="dxa"/>
              <w:right w:w="105" w:type="dxa"/>
            </w:tcMar>
          </w:tcPr>
          <w:p w14:paraId="7ED5037D" w14:textId="2B1BB5A0"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La Amazonía Biocultural es una iniciativa de desarrollo sostenible y conservación de paisajes en la Amazonía, enfocada en mejorar la integridad ecológica de áreas protegidas y sus zonas colindantes</w:t>
            </w:r>
          </w:p>
        </w:tc>
        <w:tc>
          <w:tcPr>
            <w:tcW w:w="1882" w:type="dxa"/>
            <w:tcMar>
              <w:left w:w="105" w:type="dxa"/>
              <w:right w:w="105" w:type="dxa"/>
            </w:tcMar>
          </w:tcPr>
          <w:p w14:paraId="59494395" w14:textId="4AB0EAE2" w:rsidR="3E6335F4" w:rsidRPr="00B450EB" w:rsidRDefault="3E6335F4" w:rsidP="3E6335F4">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s-ES"/>
              </w:rPr>
            </w:pPr>
            <w:r w:rsidRPr="00B450EB">
              <w:rPr>
                <w:rFonts w:eastAsia="Arial" w:cs="Arial"/>
                <w:sz w:val="18"/>
                <w:szCs w:val="18"/>
              </w:rPr>
              <w:t xml:space="preserve">Parques Nacionales Naturales de Colombia </w:t>
            </w:r>
          </w:p>
        </w:tc>
      </w:tr>
    </w:tbl>
    <w:p w14:paraId="688A16D1" w14:textId="413C5E9C" w:rsidR="33BAE35E" w:rsidRPr="00B450EB" w:rsidRDefault="33BAE35E" w:rsidP="00024074">
      <w:pPr>
        <w:spacing w:after="0"/>
        <w:rPr>
          <w:rFonts w:eastAsia="Arial" w:cs="Arial"/>
          <w:lang w:val="es-ES"/>
        </w:rPr>
      </w:pPr>
      <w:r w:rsidRPr="00B450EB">
        <w:rPr>
          <w:rFonts w:eastAsia="Arial" w:cs="Arial"/>
        </w:rPr>
        <w:t xml:space="preserve"> </w:t>
      </w:r>
    </w:p>
    <w:p w14:paraId="76374FC5" w14:textId="5C089461" w:rsidR="33BAE35E" w:rsidRPr="00B450EB" w:rsidRDefault="001231A3" w:rsidP="3E6335F4">
      <w:pPr>
        <w:pStyle w:val="Ttulo2"/>
        <w:ind w:left="622"/>
        <w:rPr>
          <w:rFonts w:eastAsia="Arial" w:cs="Arial"/>
          <w:lang w:val="es-ES"/>
        </w:rPr>
      </w:pPr>
      <w:bookmarkStart w:id="256" w:name="_Toc209722973"/>
      <w:r w:rsidRPr="00B450EB">
        <w:rPr>
          <w:rFonts w:eastAsia="Arial" w:cs="Arial"/>
          <w:b/>
        </w:rPr>
        <w:lastRenderedPageBreak/>
        <w:t>11</w:t>
      </w:r>
      <w:r w:rsidR="33BAE35E" w:rsidRPr="00B450EB">
        <w:rPr>
          <w:rFonts w:eastAsia="Arial" w:cs="Arial"/>
          <w:b/>
        </w:rPr>
        <w:t>.2 Plan Integral de Contención a la Deforestación</w:t>
      </w:r>
      <w:bookmarkEnd w:id="256"/>
    </w:p>
    <w:p w14:paraId="0A06CD66" w14:textId="39A29243" w:rsidR="33BAE35E" w:rsidRPr="00B450EB" w:rsidRDefault="33BAE35E" w:rsidP="3E6335F4">
      <w:pPr>
        <w:spacing w:after="0"/>
        <w:rPr>
          <w:rFonts w:eastAsia="Arial" w:cs="Arial"/>
          <w:lang w:val="es-ES"/>
        </w:rPr>
      </w:pPr>
      <w:r w:rsidRPr="00B450EB">
        <w:rPr>
          <w:rFonts w:eastAsia="Arial" w:cs="Arial"/>
          <w:b/>
        </w:rPr>
        <w:t xml:space="preserve"> </w:t>
      </w:r>
    </w:p>
    <w:p w14:paraId="1FDB9CCE" w14:textId="2023F23D" w:rsidR="33BAE35E" w:rsidRPr="00B450EB" w:rsidRDefault="33BAE35E" w:rsidP="3E6335F4">
      <w:pPr>
        <w:spacing w:after="0"/>
        <w:rPr>
          <w:rFonts w:eastAsia="Arial" w:cs="Arial"/>
          <w:lang w:val="es-ES"/>
        </w:rPr>
      </w:pPr>
      <w:r w:rsidRPr="00B450EB">
        <w:rPr>
          <w:rFonts w:eastAsia="Arial" w:cs="Arial"/>
        </w:rPr>
        <w:t>Conforme a lo definido en el Plan Nacional de Desarrollo “Colombia Potencia Mundial de la Vida 2022-2006, el</w:t>
      </w:r>
      <w:r w:rsidRPr="00B450EB">
        <w:rPr>
          <w:rFonts w:eastAsia="Arial" w:cs="Arial"/>
          <w:lang w:val="es"/>
        </w:rPr>
        <w:t xml:space="preserve"> Plan Integral de Contención  la Deforestación 2023 – 2026 (PICD), es el marco de gestión integral e intersectorial que en cabeza del Ministerio de Ambiente y Desarrollo Sostenible y de la mano con el Sistema Nacional Ambiental (SINA), pueblos indígenas, consejos de comunidades negras, campesinos y las organizaciones de cooperación internacional, que da  las bases para que en el año 2026, los 44 Núcleos Activos de Deforestación (NAD) localizados en la Amazonía, Nariño, Chocó, Catatumbo(Norte de Santander), San Lucas (Antioquía, Bolívar y Santander), </w:t>
      </w:r>
      <w:proofErr w:type="spellStart"/>
      <w:r w:rsidRPr="00B450EB">
        <w:rPr>
          <w:rFonts w:eastAsia="Arial" w:cs="Arial"/>
          <w:lang w:val="es"/>
        </w:rPr>
        <w:t>Sarare</w:t>
      </w:r>
      <w:proofErr w:type="spellEnd"/>
      <w:r w:rsidRPr="00B450EB">
        <w:rPr>
          <w:rFonts w:eastAsia="Arial" w:cs="Arial"/>
          <w:lang w:val="es"/>
        </w:rPr>
        <w:t xml:space="preserve"> (Arauca) y Paramillo (Antioquia y Córdoba), se transformen en 28 Núcleos de Desarrollo Forestal y de la Biodiversidad (</w:t>
      </w:r>
      <w:proofErr w:type="spellStart"/>
      <w:r w:rsidRPr="00B450EB">
        <w:rPr>
          <w:rFonts w:eastAsia="Arial" w:cs="Arial"/>
          <w:lang w:val="es"/>
        </w:rPr>
        <w:t>NDFyB</w:t>
      </w:r>
      <w:proofErr w:type="spellEnd"/>
      <w:r w:rsidRPr="00B450EB">
        <w:rPr>
          <w:rFonts w:eastAsia="Arial" w:cs="Arial"/>
          <w:lang w:val="es"/>
        </w:rPr>
        <w:t xml:space="preserve">). Esta es la apuesta del Gobierno nacional por consolidar la paz, con justicia social y ambiental en áreas de importancia socio-ecológica territorial </w:t>
      </w:r>
      <w:r w:rsidRPr="00B450EB">
        <w:rPr>
          <w:rFonts w:eastAsia="Arial" w:cs="Arial"/>
        </w:rPr>
        <w:t xml:space="preserve">para alcanzar la meta de reducción del 20% de la deforestación respecto al 2021. </w:t>
      </w:r>
    </w:p>
    <w:p w14:paraId="7CA7349E" w14:textId="415596A4" w:rsidR="33BAE35E" w:rsidRPr="00B450EB" w:rsidRDefault="33BAE35E" w:rsidP="3E6335F4">
      <w:pPr>
        <w:spacing w:after="0"/>
        <w:rPr>
          <w:rFonts w:eastAsia="Arial" w:cs="Arial"/>
          <w:lang w:val="es-ES"/>
        </w:rPr>
      </w:pPr>
      <w:r w:rsidRPr="00B450EB">
        <w:rPr>
          <w:rFonts w:eastAsia="Arial" w:cs="Arial"/>
        </w:rPr>
        <w:t xml:space="preserve"> </w:t>
      </w:r>
    </w:p>
    <w:p w14:paraId="202E56FD" w14:textId="081A8DA8" w:rsidR="33BAE35E" w:rsidRPr="00B450EB" w:rsidRDefault="33BAE35E" w:rsidP="3E6335F4">
      <w:pPr>
        <w:spacing w:after="0"/>
        <w:rPr>
          <w:rFonts w:eastAsia="Arial" w:cs="Arial"/>
          <w:lang w:val="es-ES"/>
        </w:rPr>
      </w:pPr>
      <w:r w:rsidRPr="00B450EB">
        <w:rPr>
          <w:rFonts w:eastAsia="Arial" w:cs="Arial"/>
        </w:rPr>
        <w:t xml:space="preserve">De acuerdo con el </w:t>
      </w:r>
      <w:r w:rsidRPr="00B450EB">
        <w:rPr>
          <w:rFonts w:eastAsia="Arial" w:cs="Arial"/>
          <w:lang w:val="es"/>
        </w:rPr>
        <w:t>Sistema de Monitoreo de Bosques y Carbono (</w:t>
      </w:r>
      <w:proofErr w:type="spellStart"/>
      <w:r w:rsidRPr="00B450EB">
        <w:rPr>
          <w:rFonts w:eastAsia="Arial" w:cs="Arial"/>
          <w:lang w:val="es"/>
        </w:rPr>
        <w:t>SMByC</w:t>
      </w:r>
      <w:proofErr w:type="spellEnd"/>
      <w:r w:rsidRPr="00B450EB">
        <w:rPr>
          <w:rFonts w:eastAsia="Arial" w:cs="Arial"/>
          <w:lang w:val="es"/>
        </w:rPr>
        <w:t>) del Instituto de Hidrología, Meteorología y Estudios Ambientales (IDEAM), en Colombia persisten 44 Núcleos Activos de Deforestación (NAD), 70% concentrados en el bioma Amazónico, especialmente en los departamentos de Caquetá, Guaviare, Sur del Meta y Putumayo. El 30%l restante en Nariño, Norte de Santander (Catatumbo), Pacífico, Chocó, Cauca, Arauca, Sur de Bolívar y Antioquia. Estas son regiones de gran</w:t>
      </w:r>
      <w:r w:rsidRPr="00B450EB">
        <w:rPr>
          <w:rFonts w:eastAsia="Arial" w:cs="Arial"/>
        </w:rPr>
        <w:t xml:space="preserve"> importancia ecológica y cultural, pero también en donde prevalecen condiciones de marginalización, una precaria y desarticulada presencia del Estado, profundas brechas económicas y sociales, limitado acceso a bienes públicos, barreras de comercialización, inseguridad en los derechos sobre la tierra, altos niveles de pobreza, así como presencia de redes de crimen organizado, cultivos ilícitos y otras economías ilegales que depredan la naturaleza, instrumentalizan las comunidades y perpetúan la guerra, la pobreza y las desigualdades.  </w:t>
      </w:r>
    </w:p>
    <w:p w14:paraId="5B48E661" w14:textId="5484D3CC" w:rsidR="33BAE35E" w:rsidRPr="00B450EB" w:rsidRDefault="33BAE35E" w:rsidP="3E6335F4">
      <w:pPr>
        <w:spacing w:after="0"/>
        <w:rPr>
          <w:rFonts w:eastAsia="Arial" w:cs="Arial"/>
          <w:lang w:val="es-ES"/>
        </w:rPr>
      </w:pPr>
      <w:r w:rsidRPr="00B450EB">
        <w:rPr>
          <w:rFonts w:eastAsia="Arial" w:cs="Arial"/>
          <w:lang w:val="es"/>
        </w:rPr>
        <w:t xml:space="preserve"> </w:t>
      </w:r>
    </w:p>
    <w:p w14:paraId="27465464" w14:textId="794EA8B9" w:rsidR="33BAE35E" w:rsidRPr="00B450EB" w:rsidRDefault="33BAE35E" w:rsidP="3E6335F4">
      <w:pPr>
        <w:spacing w:after="0"/>
        <w:rPr>
          <w:rFonts w:eastAsia="Arial" w:cs="Arial"/>
          <w:lang w:val="es-ES"/>
        </w:rPr>
      </w:pPr>
      <w:r w:rsidRPr="00B450EB">
        <w:rPr>
          <w:rFonts w:eastAsia="Arial" w:cs="Arial"/>
        </w:rPr>
        <w:t xml:space="preserve">El Plan Integral de Contención de la Deforestación - PICD traza el camino para </w:t>
      </w:r>
      <w:r w:rsidRPr="00B450EB">
        <w:rPr>
          <w:rFonts w:eastAsia="Arial" w:cs="Arial"/>
          <w:b/>
        </w:rPr>
        <w:t xml:space="preserve">generar transformaciones </w:t>
      </w:r>
      <w:proofErr w:type="spellStart"/>
      <w:r w:rsidRPr="00B450EB">
        <w:rPr>
          <w:rFonts w:eastAsia="Arial" w:cs="Arial"/>
          <w:b/>
        </w:rPr>
        <w:t>socioecológicas</w:t>
      </w:r>
      <w:proofErr w:type="spellEnd"/>
      <w:r w:rsidRPr="00B450EB">
        <w:rPr>
          <w:rFonts w:eastAsia="Arial" w:cs="Arial"/>
          <w:b/>
        </w:rPr>
        <w:t xml:space="preserve"> </w:t>
      </w:r>
      <w:r w:rsidRPr="00B450EB">
        <w:rPr>
          <w:rFonts w:eastAsia="Arial" w:cs="Arial"/>
        </w:rPr>
        <w:t>en los territorios</w:t>
      </w:r>
      <w:r w:rsidRPr="00B450EB">
        <w:rPr>
          <w:rFonts w:eastAsia="Arial" w:cs="Arial"/>
          <w:b/>
        </w:rPr>
        <w:t xml:space="preserve"> </w:t>
      </w:r>
      <w:r w:rsidRPr="00B450EB">
        <w:rPr>
          <w:rFonts w:eastAsia="Arial" w:cs="Arial"/>
        </w:rPr>
        <w:t xml:space="preserve">que concentran la mayores tasas de deforestación del país, de tal forma que se inicie un proceso de transición económica hacia la consolidación de </w:t>
      </w:r>
      <w:r w:rsidRPr="00B450EB">
        <w:rPr>
          <w:rFonts w:eastAsia="Arial" w:cs="Arial"/>
          <w:b/>
        </w:rPr>
        <w:t>comunidades forestales, biodiversas y sostenibles</w:t>
      </w:r>
      <w:r w:rsidRPr="00B450EB">
        <w:rPr>
          <w:rFonts w:eastAsia="Arial" w:cs="Arial"/>
        </w:rPr>
        <w:t xml:space="preserve"> como modelos de desarrollo rural en áreas de importancia ecológica para el país; capaces de contener la deforestación, reducir las brechas sociales, promover la economía forestal y de la biodiversidad, y posibilitar la consolidación de paz en los territorios</w:t>
      </w:r>
      <w:r w:rsidRPr="00B450EB">
        <w:rPr>
          <w:rFonts w:eastAsia="Arial" w:cs="Arial"/>
          <w:b/>
        </w:rPr>
        <w:t xml:space="preserve">. </w:t>
      </w:r>
      <w:r w:rsidRPr="00B450EB">
        <w:rPr>
          <w:rFonts w:eastAsia="Arial" w:cs="Arial"/>
        </w:rPr>
        <w:t xml:space="preserve">EL PICD sentará las bases del desarrollo de una </w:t>
      </w:r>
      <w:r w:rsidRPr="00B450EB">
        <w:rPr>
          <w:rFonts w:eastAsia="Arial" w:cs="Arial"/>
          <w:b/>
        </w:rPr>
        <w:t>cultura forestal</w:t>
      </w:r>
      <w:r w:rsidRPr="00B450EB">
        <w:rPr>
          <w:rFonts w:eastAsia="Arial" w:cs="Arial"/>
        </w:rPr>
        <w:t xml:space="preserve"> como un cambio de paradigma para conservar </w:t>
      </w:r>
      <w:r w:rsidRPr="00B450EB">
        <w:rPr>
          <w:rFonts w:eastAsia="Arial" w:cs="Arial"/>
        </w:rPr>
        <w:lastRenderedPageBreak/>
        <w:t>la selva en pie, a través de la creación y/o fortalecimiento de los procesos de gobernanza de pueblos indígenas, comunidad negras y campesinos.</w:t>
      </w:r>
    </w:p>
    <w:p w14:paraId="2C48B7D3" w14:textId="48B58ECD" w:rsidR="33BAE35E" w:rsidRPr="00B450EB" w:rsidRDefault="33BAE35E" w:rsidP="3E6335F4">
      <w:pPr>
        <w:spacing w:after="0"/>
        <w:jc w:val="center"/>
        <w:rPr>
          <w:rFonts w:eastAsia="Arial" w:cs="Arial"/>
          <w:lang w:val="es-ES"/>
        </w:rPr>
      </w:pPr>
      <w:r w:rsidRPr="00B450EB">
        <w:rPr>
          <w:rFonts w:eastAsia="Arial" w:cs="Arial"/>
        </w:rPr>
        <w:t xml:space="preserve"> </w:t>
      </w:r>
    </w:p>
    <w:p w14:paraId="141F3DC6" w14:textId="6FD2621F" w:rsidR="33BAE35E" w:rsidRPr="00B450EB" w:rsidRDefault="33BAE35E" w:rsidP="3E6335F4">
      <w:pPr>
        <w:spacing w:after="0"/>
        <w:rPr>
          <w:rFonts w:eastAsia="Arial" w:cs="Arial"/>
          <w:lang w:val="es-ES"/>
        </w:rPr>
      </w:pPr>
      <w:r w:rsidRPr="00B450EB">
        <w:rPr>
          <w:rFonts w:eastAsia="Arial" w:cs="Arial"/>
        </w:rPr>
        <w:t>El PICD define los acuerdos sociales, la construcción de una agenda ambiental para la paz, el fortalecimiento institucional, la investigación criminal y la fuerza pública como componentes esenciales e íntimamente ligados, para hacer frente a la complejidad del problema de la deforestación y sus causas estructurales. Así mismo, determina como elementos que potencializan el cambio la presencia de organizaciones sociales, la riqueza natural y cultural de los territorios, el interés de cooperantes internacionales y el acumulado de experiencias, conocimientos y herramientas para el diseño de paisajes, economías y comunidades de la biodiversidad existentes en el país. Para la correcta implementación del enfoque del PICD se deberán tener en cuentas las siguientes definiciones:</w:t>
      </w:r>
    </w:p>
    <w:p w14:paraId="05E58735" w14:textId="4039B716" w:rsidR="33BAE35E" w:rsidRPr="00B450EB" w:rsidRDefault="33BAE35E" w:rsidP="3E6335F4">
      <w:pPr>
        <w:spacing w:after="0"/>
        <w:rPr>
          <w:rFonts w:eastAsia="Arial" w:cs="Arial"/>
          <w:lang w:val="es-ES"/>
        </w:rPr>
      </w:pPr>
      <w:r w:rsidRPr="00B450EB">
        <w:rPr>
          <w:rFonts w:eastAsia="Arial" w:cs="Arial"/>
        </w:rPr>
        <w:t xml:space="preserve"> </w:t>
      </w:r>
    </w:p>
    <w:p w14:paraId="521B4F38" w14:textId="7C6850A3" w:rsidR="33BAE35E" w:rsidRPr="00B450EB" w:rsidRDefault="33BAE35E" w:rsidP="3E6335F4">
      <w:pPr>
        <w:spacing w:after="0"/>
        <w:rPr>
          <w:rFonts w:eastAsia="Arial" w:cs="Arial"/>
        </w:rPr>
      </w:pPr>
      <w:r w:rsidRPr="00B450EB">
        <w:rPr>
          <w:rFonts w:eastAsia="Arial" w:cs="Arial"/>
          <w:b/>
        </w:rPr>
        <w:t>Núcleo de Desarrollo Forestal y de la Biodiversidad (</w:t>
      </w:r>
      <w:proofErr w:type="spellStart"/>
      <w:r w:rsidRPr="00B450EB">
        <w:rPr>
          <w:rFonts w:eastAsia="Arial" w:cs="Arial"/>
          <w:b/>
        </w:rPr>
        <w:t>NDFyB</w:t>
      </w:r>
      <w:proofErr w:type="spellEnd"/>
      <w:r w:rsidRPr="00B450EB">
        <w:rPr>
          <w:rFonts w:eastAsia="Arial" w:cs="Arial"/>
        </w:rPr>
        <w:t xml:space="preserve">). Es una área identificada por el Sistema de Monitoreo de Bosques y Carbono </w:t>
      </w:r>
      <w:proofErr w:type="spellStart"/>
      <w:r w:rsidRPr="00B450EB">
        <w:rPr>
          <w:rFonts w:eastAsia="Arial" w:cs="Arial"/>
        </w:rPr>
        <w:t>SMByC</w:t>
      </w:r>
      <w:proofErr w:type="spellEnd"/>
      <w:r w:rsidRPr="00B450EB">
        <w:rPr>
          <w:rFonts w:eastAsia="Arial" w:cs="Arial"/>
        </w:rPr>
        <w:t xml:space="preserve"> del Instituto de Hidrología, Meteorología y Estudios Ambientales IDEAM como Núcleo Activo de Deforestación NAD, que además cuenta con una oferta natural de superficie de bosque y que ha sido priorizada por el Ministerio de Ambiente y Desarrollo Sostenible para que las comunidades locales, con sus saberes y con el acompañamiento del Estado, implementen acciones de manejo sostenible de los bosques y de la biodiversidad, generando transformación social, económica y ambiental del territorio.</w:t>
      </w:r>
    </w:p>
    <w:p w14:paraId="585D9F81" w14:textId="77777777" w:rsidR="005D2558" w:rsidRPr="00B450EB" w:rsidRDefault="005D2558" w:rsidP="3E6335F4">
      <w:pPr>
        <w:spacing w:after="0"/>
        <w:rPr>
          <w:rFonts w:eastAsia="Arial" w:cs="Arial"/>
          <w:lang w:val="es-ES"/>
        </w:rPr>
      </w:pPr>
    </w:p>
    <w:p w14:paraId="7B1232D8" w14:textId="593A0827" w:rsidR="33BAE35E" w:rsidRPr="00B450EB" w:rsidRDefault="33BAE35E" w:rsidP="3E6335F4">
      <w:pPr>
        <w:spacing w:after="0"/>
        <w:rPr>
          <w:rFonts w:eastAsia="Arial" w:cs="Arial"/>
        </w:rPr>
      </w:pPr>
      <w:r w:rsidRPr="00B450EB">
        <w:rPr>
          <w:rFonts w:eastAsia="Arial" w:cs="Arial"/>
          <w:b/>
        </w:rPr>
        <w:t xml:space="preserve">Economía forestal comunitaria y de la biodiversidad. </w:t>
      </w:r>
      <w:r w:rsidRPr="00B450EB">
        <w:rPr>
          <w:rFonts w:eastAsia="Arial" w:cs="Arial"/>
        </w:rPr>
        <w:t xml:space="preserve">Corresponde al conjunto de acciones por medio de las cuales las comunidades locales, con base en el manejo y uso sostenible de la oferta de los bienes y servicios de los bosques y de la biodiversidad, así como de la implementación de medidas de restauración y reconversión, generan iniciativas asociadas a cadenas de valor como parte de las soluciones basadas en la naturaleza y la bioeconomía.  </w:t>
      </w:r>
    </w:p>
    <w:p w14:paraId="5E017304" w14:textId="77777777" w:rsidR="005D2558" w:rsidRPr="00B450EB" w:rsidRDefault="005D2558" w:rsidP="3E6335F4">
      <w:pPr>
        <w:spacing w:after="0"/>
        <w:rPr>
          <w:rFonts w:eastAsia="Arial" w:cs="Arial"/>
          <w:lang w:val="es-ES"/>
        </w:rPr>
      </w:pPr>
    </w:p>
    <w:p w14:paraId="0A09C58D" w14:textId="1D29FBD2" w:rsidR="33BAE35E" w:rsidRPr="00B450EB" w:rsidRDefault="33BAE35E" w:rsidP="3E6335F4">
      <w:pPr>
        <w:spacing w:after="0"/>
        <w:rPr>
          <w:rFonts w:eastAsia="Arial" w:cs="Arial"/>
        </w:rPr>
      </w:pPr>
      <w:r w:rsidRPr="00B450EB">
        <w:rPr>
          <w:rFonts w:eastAsia="Arial" w:cs="Arial"/>
          <w:b/>
        </w:rPr>
        <w:t>Manejo y uso sostenible de los recursos forestales y de la biodiversidad.</w:t>
      </w:r>
      <w:r w:rsidRPr="00B450EB">
        <w:rPr>
          <w:rFonts w:eastAsia="Arial" w:cs="Arial"/>
        </w:rPr>
        <w:t xml:space="preserve"> Es la planificación y ejecución de prácticas silviculturales para el manejo, uso y aprovechamiento persistente y sostenible de los bienes y servicios de los bosques y de la biodiversidad, garantizando la conservación de los ecosistemas y sus funciones, que permitan a producción de bienes y servicios, sustentándose en la innovación y el conocimiento tradicional.</w:t>
      </w:r>
    </w:p>
    <w:p w14:paraId="20AECC07" w14:textId="77777777" w:rsidR="005D2558" w:rsidRPr="00B450EB" w:rsidRDefault="005D2558" w:rsidP="3E6335F4">
      <w:pPr>
        <w:spacing w:after="0"/>
        <w:rPr>
          <w:rFonts w:eastAsia="Arial" w:cs="Arial"/>
          <w:lang w:val="es-ES"/>
        </w:rPr>
      </w:pPr>
    </w:p>
    <w:p w14:paraId="185BEA3E" w14:textId="312B7364" w:rsidR="33BAE35E" w:rsidRPr="00B450EB" w:rsidRDefault="33BAE35E" w:rsidP="3E6335F4">
      <w:pPr>
        <w:spacing w:after="0"/>
        <w:rPr>
          <w:rFonts w:eastAsia="Arial" w:cs="Arial"/>
          <w:lang w:val="es-ES"/>
        </w:rPr>
      </w:pPr>
      <w:r w:rsidRPr="00B450EB">
        <w:rPr>
          <w:rFonts w:eastAsia="Arial" w:cs="Arial"/>
          <w:b/>
        </w:rPr>
        <w:t>Concesión Forestal Campesina (CFC).</w:t>
      </w:r>
      <w:r w:rsidRPr="00B450EB">
        <w:rPr>
          <w:rFonts w:eastAsia="Arial" w:cs="Arial"/>
        </w:rPr>
        <w:t xml:space="preserve"> Es el modo por medio del cual la corporación autónoma o de desarrollo sostenible competente otorga a las </w:t>
      </w:r>
      <w:r w:rsidRPr="00B450EB">
        <w:rPr>
          <w:rFonts w:eastAsia="Arial" w:cs="Arial"/>
        </w:rPr>
        <w:lastRenderedPageBreak/>
        <w:t>organizaciones campesinas</w:t>
      </w:r>
      <w:hyperlink r:id="rId184" w:anchor="_ftn1">
        <w:r w:rsidRPr="00B450EB">
          <w:rPr>
            <w:rStyle w:val="Hipervnculo"/>
            <w:rFonts w:eastAsia="Arial" w:cs="Arial"/>
            <w:color w:val="auto"/>
            <w:vertAlign w:val="superscript"/>
          </w:rPr>
          <w:t>[1]</w:t>
        </w:r>
      </w:hyperlink>
      <w:r w:rsidRPr="00B450EB">
        <w:rPr>
          <w:rFonts w:eastAsia="Arial" w:cs="Arial"/>
        </w:rPr>
        <w:t xml:space="preserve">, mediante acto administrativo motivado, el derecho al manejo y uso sostenible del recurso forestal y de la biodiversidad en los baldíos de la Nación, ubicados al interior de las Áreas de reserva forestal establecidas por la Ley 2da de 1959 y con acompañamiento del Estado. </w:t>
      </w:r>
    </w:p>
    <w:p w14:paraId="46E35C6F" w14:textId="7D183DF1" w:rsidR="3E6335F4" w:rsidRPr="00B450EB" w:rsidRDefault="3E6335F4" w:rsidP="3E6335F4">
      <w:pPr>
        <w:spacing w:after="0"/>
        <w:ind w:left="360"/>
        <w:rPr>
          <w:rFonts w:eastAsia="Arial" w:cs="Arial"/>
          <w:lang w:val="es-ES"/>
        </w:rPr>
      </w:pPr>
    </w:p>
    <w:p w14:paraId="67AEDBBA" w14:textId="38D1B975" w:rsidR="33BAE35E" w:rsidRPr="00B450EB" w:rsidRDefault="001231A3" w:rsidP="3E6335F4">
      <w:pPr>
        <w:pStyle w:val="Ttulo3"/>
        <w:rPr>
          <w:lang w:val="es-ES"/>
        </w:rPr>
      </w:pPr>
      <w:bookmarkStart w:id="257" w:name="_Toc209722974"/>
      <w:r w:rsidRPr="00B450EB">
        <w:rPr>
          <w:rStyle w:val="Ttulo3Car"/>
          <w:rFonts w:eastAsia="Arial" w:cs="Arial"/>
        </w:rPr>
        <w:t xml:space="preserve">11.2.1 </w:t>
      </w:r>
      <w:r w:rsidR="33BAE35E" w:rsidRPr="00B450EB">
        <w:rPr>
          <w:rStyle w:val="Ttulo3Car"/>
          <w:rFonts w:eastAsia="Arial" w:cs="Arial"/>
        </w:rPr>
        <w:t>Núcleos de Desarrollo Forestal y de la Biodiversidad en la Amazonia</w:t>
      </w:r>
      <w:bookmarkEnd w:id="257"/>
      <w:r w:rsidR="33BAE35E" w:rsidRPr="00B450EB">
        <w:rPr>
          <w:rStyle w:val="Ttulo3Car"/>
          <w:rFonts w:eastAsia="Arial" w:cs="Arial"/>
        </w:rPr>
        <w:t xml:space="preserve"> </w:t>
      </w:r>
    </w:p>
    <w:p w14:paraId="6639C644" w14:textId="1F64B20A" w:rsidR="33BAE35E" w:rsidRPr="00B450EB" w:rsidRDefault="33BAE35E" w:rsidP="005D2558">
      <w:pPr>
        <w:spacing w:before="240"/>
        <w:rPr>
          <w:rFonts w:eastAsia="Arial" w:cs="Arial"/>
          <w:lang w:val="es-ES"/>
        </w:rPr>
      </w:pPr>
      <w:r w:rsidRPr="00B450EB">
        <w:rPr>
          <w:rFonts w:eastAsia="Arial" w:cs="Arial"/>
          <w:lang w:val="es-MX"/>
        </w:rPr>
        <w:t xml:space="preserve">Los criterios de priorización para identificar áreas portafolio de los </w:t>
      </w:r>
      <w:proofErr w:type="spellStart"/>
      <w:r w:rsidRPr="00B450EB">
        <w:rPr>
          <w:rFonts w:eastAsia="Arial" w:cs="Arial"/>
          <w:lang w:val="es-MX"/>
        </w:rPr>
        <w:t>NDFyB</w:t>
      </w:r>
      <w:proofErr w:type="spellEnd"/>
      <w:r w:rsidRPr="00B450EB">
        <w:rPr>
          <w:rFonts w:eastAsia="Arial" w:cs="Arial"/>
          <w:lang w:val="es-MX"/>
        </w:rPr>
        <w:t xml:space="preserve"> son: i) el bosque natural remanente, </w:t>
      </w:r>
      <w:proofErr w:type="spellStart"/>
      <w:r w:rsidRPr="00B450EB">
        <w:rPr>
          <w:rFonts w:eastAsia="Arial" w:cs="Arial"/>
          <w:lang w:val="es-MX"/>
        </w:rPr>
        <w:t>ii</w:t>
      </w:r>
      <w:proofErr w:type="spellEnd"/>
      <w:r w:rsidRPr="00B450EB">
        <w:rPr>
          <w:rFonts w:eastAsia="Arial" w:cs="Arial"/>
          <w:lang w:val="es-MX"/>
        </w:rPr>
        <w:t xml:space="preserve">) comportamiento de la deforestación, </w:t>
      </w:r>
      <w:proofErr w:type="spellStart"/>
      <w:r w:rsidRPr="00B450EB">
        <w:rPr>
          <w:rFonts w:eastAsia="Arial" w:cs="Arial"/>
          <w:lang w:val="es-MX"/>
        </w:rPr>
        <w:t>iii</w:t>
      </w:r>
      <w:proofErr w:type="spellEnd"/>
      <w:r w:rsidRPr="00B450EB">
        <w:rPr>
          <w:rFonts w:eastAsia="Arial" w:cs="Arial"/>
          <w:lang w:val="es-MX"/>
        </w:rPr>
        <w:t xml:space="preserve">) presencia de las comunidades étnicas y campesinas, </w:t>
      </w:r>
      <w:proofErr w:type="spellStart"/>
      <w:r w:rsidRPr="00B450EB">
        <w:rPr>
          <w:rFonts w:eastAsia="Arial" w:cs="Arial"/>
          <w:lang w:val="es-MX"/>
        </w:rPr>
        <w:t>iv</w:t>
      </w:r>
      <w:proofErr w:type="spellEnd"/>
      <w:r w:rsidRPr="00B450EB">
        <w:rPr>
          <w:rFonts w:eastAsia="Arial" w:cs="Arial"/>
          <w:lang w:val="es-MX"/>
        </w:rPr>
        <w:t xml:space="preserve">) número de familias potencialmente beneficiadas, v) territorios afectados históricamente por cultivos de uso ilícitos, y vi) accesibilidad al territorio. </w:t>
      </w:r>
    </w:p>
    <w:p w14:paraId="00B764CC" w14:textId="17F26DE4" w:rsidR="33BAE35E" w:rsidRPr="00B450EB" w:rsidRDefault="33BAE35E" w:rsidP="3E6335F4">
      <w:pPr>
        <w:spacing w:after="0"/>
        <w:rPr>
          <w:rFonts w:eastAsia="Arial" w:cs="Arial"/>
          <w:lang w:val="es-ES"/>
        </w:rPr>
      </w:pPr>
      <w:r w:rsidRPr="00B450EB">
        <w:rPr>
          <w:rFonts w:eastAsia="Arial" w:cs="Arial"/>
          <w:lang w:val="es-MX"/>
        </w:rPr>
        <w:t xml:space="preserve"> </w:t>
      </w:r>
    </w:p>
    <w:p w14:paraId="75128137" w14:textId="7D9D6A30" w:rsidR="33BAE35E" w:rsidRPr="00B450EB" w:rsidRDefault="33BAE35E" w:rsidP="3E6335F4">
      <w:pPr>
        <w:spacing w:after="0"/>
        <w:rPr>
          <w:rFonts w:eastAsia="Arial" w:cs="Arial"/>
          <w:lang w:val="es-ES"/>
        </w:rPr>
      </w:pPr>
      <w:r w:rsidRPr="00B450EB">
        <w:rPr>
          <w:rFonts w:eastAsia="Arial" w:cs="Arial"/>
          <w:lang w:val="es-MX"/>
        </w:rPr>
        <w:t xml:space="preserve">La hoja de ruta del PICD traza el camino de cómo pasar de un NAD a un </w:t>
      </w:r>
      <w:proofErr w:type="spellStart"/>
      <w:r w:rsidRPr="00B450EB">
        <w:rPr>
          <w:rFonts w:eastAsia="Arial" w:cs="Arial"/>
          <w:lang w:val="es-MX"/>
        </w:rPr>
        <w:t>NDFyB</w:t>
      </w:r>
      <w:proofErr w:type="spellEnd"/>
      <w:r w:rsidRPr="00B450EB">
        <w:rPr>
          <w:rFonts w:eastAsia="Arial" w:cs="Arial"/>
          <w:lang w:val="es-MX"/>
        </w:rPr>
        <w:t xml:space="preserve"> con la ejecución de etapas estructurales y transversales para la preparación, concertación, diseño participativo, implementación, seguimiento y manejo adaptativo; que integran un conjunto de procesos, factores habilitantes y potenciadores que permitirán alcanzar los resultados esperados a corto, mediano y largo plazo.</w:t>
      </w:r>
    </w:p>
    <w:p w14:paraId="58DF3610" w14:textId="7A13FBFF" w:rsidR="33BAE35E" w:rsidRPr="00B450EB" w:rsidRDefault="33BAE35E" w:rsidP="002F3105">
      <w:pPr>
        <w:spacing w:after="0"/>
        <w:rPr>
          <w:rFonts w:eastAsia="Arial" w:cs="Arial"/>
          <w:lang w:val="es-ES"/>
        </w:rPr>
      </w:pPr>
      <w:r w:rsidRPr="00B450EB">
        <w:rPr>
          <w:rFonts w:eastAsia="Arial" w:cs="Arial"/>
          <w:lang w:val="es-MX"/>
        </w:rPr>
        <w:t xml:space="preserve"> </w:t>
      </w:r>
    </w:p>
    <w:p w14:paraId="014CAA5C" w14:textId="7ECDE1E1" w:rsidR="002F3105" w:rsidRPr="00B450EB" w:rsidRDefault="002F3105" w:rsidP="002F3105">
      <w:pPr>
        <w:pStyle w:val="Descripcin"/>
        <w:rPr>
          <w:rFonts w:eastAsia="Arial" w:cs="Arial"/>
          <w:color w:val="auto"/>
        </w:rPr>
      </w:pPr>
      <w:bookmarkStart w:id="258" w:name="_Toc209462800"/>
      <w:r w:rsidRPr="00B450EB">
        <w:rPr>
          <w:color w:val="auto"/>
        </w:rPr>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112</w:t>
      </w:r>
      <w:r w:rsidR="0045353A" w:rsidRPr="00B450EB">
        <w:rPr>
          <w:noProof/>
          <w:color w:val="auto"/>
        </w:rPr>
        <w:fldChar w:fldCharType="end"/>
      </w:r>
      <w:r w:rsidRPr="00B450EB">
        <w:rPr>
          <w:color w:val="auto"/>
        </w:rPr>
        <w:t xml:space="preserve"> </w:t>
      </w:r>
      <w:r w:rsidR="33BAE35E" w:rsidRPr="00B450EB">
        <w:rPr>
          <w:rFonts w:eastAsia="Arial" w:cs="Arial"/>
          <w:color w:val="auto"/>
        </w:rPr>
        <w:t>. Hoja de ruta del Plan Integral de Contención de Deforestación.</w:t>
      </w:r>
      <w:bookmarkEnd w:id="258"/>
      <w:r w:rsidR="33BAE35E" w:rsidRPr="00B450EB">
        <w:rPr>
          <w:rFonts w:eastAsia="Arial" w:cs="Arial"/>
          <w:color w:val="auto"/>
        </w:rPr>
        <w:t xml:space="preserve"> </w:t>
      </w:r>
    </w:p>
    <w:p w14:paraId="556B806D" w14:textId="182AC59E" w:rsidR="002F3105" w:rsidRPr="00B450EB" w:rsidRDefault="002F3105" w:rsidP="002F3105">
      <w:pPr>
        <w:pStyle w:val="Descripcin"/>
        <w:rPr>
          <w:rFonts w:eastAsia="Arial" w:cs="Arial"/>
          <w:color w:val="auto"/>
        </w:rPr>
      </w:pPr>
      <w:r w:rsidRPr="00B450EB">
        <w:rPr>
          <w:noProof/>
          <w:color w:val="auto"/>
        </w:rPr>
        <w:drawing>
          <wp:inline distT="0" distB="0" distL="0" distR="0" wp14:anchorId="3BEC0714" wp14:editId="74A97B90">
            <wp:extent cx="4810125" cy="3524250"/>
            <wp:effectExtent l="0" t="0" r="9525" b="0"/>
            <wp:docPr id="148364021" name="drawing"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4021" name=""/>
                    <pic:cNvPicPr/>
                  </pic:nvPicPr>
                  <pic:blipFill>
                    <a:blip r:embed="rId185" cstate="email">
                      <a:extLst>
                        <a:ext uri="{28A0092B-C50C-407E-A947-70E740481C1C}">
                          <a14:useLocalDpi xmlns:a14="http://schemas.microsoft.com/office/drawing/2010/main"/>
                        </a:ext>
                      </a:extLst>
                    </a:blip>
                    <a:stretch>
                      <a:fillRect/>
                    </a:stretch>
                  </pic:blipFill>
                  <pic:spPr>
                    <a:xfrm>
                      <a:off x="0" y="0"/>
                      <a:ext cx="4810125" cy="3524250"/>
                    </a:xfrm>
                    <a:prstGeom prst="rect">
                      <a:avLst/>
                    </a:prstGeom>
                  </pic:spPr>
                </pic:pic>
              </a:graphicData>
            </a:graphic>
          </wp:inline>
        </w:drawing>
      </w:r>
    </w:p>
    <w:p w14:paraId="6E329831" w14:textId="753034EE" w:rsidR="33BAE35E" w:rsidRPr="00B450EB" w:rsidRDefault="33BAE35E" w:rsidP="002F3105">
      <w:pPr>
        <w:pStyle w:val="Descripcin"/>
        <w:rPr>
          <w:rFonts w:eastAsia="Arial" w:cs="Arial"/>
          <w:color w:val="auto"/>
          <w:lang w:val="es-ES"/>
        </w:rPr>
      </w:pPr>
      <w:r w:rsidRPr="00B450EB">
        <w:rPr>
          <w:rFonts w:eastAsia="Arial" w:cs="Arial"/>
          <w:color w:val="auto"/>
        </w:rPr>
        <w:t>Fuente: Elaboración propia</w:t>
      </w:r>
    </w:p>
    <w:p w14:paraId="3979E62E" w14:textId="569B21A8" w:rsidR="33BAE35E" w:rsidRPr="00B450EB" w:rsidRDefault="33BAE35E" w:rsidP="3E6335F4">
      <w:pPr>
        <w:spacing w:after="0"/>
        <w:rPr>
          <w:rFonts w:eastAsia="Arial" w:cs="Arial"/>
          <w:lang w:val="es-ES"/>
        </w:rPr>
      </w:pPr>
      <w:r w:rsidRPr="00B450EB">
        <w:rPr>
          <w:rFonts w:eastAsia="Arial" w:cs="Arial"/>
        </w:rPr>
        <w:t xml:space="preserve"> </w:t>
      </w:r>
    </w:p>
    <w:p w14:paraId="3B0550F3" w14:textId="6071DA9F" w:rsidR="33BAE35E" w:rsidRPr="00B450EB" w:rsidRDefault="33BAE35E" w:rsidP="3E6335F4">
      <w:pPr>
        <w:spacing w:after="0"/>
        <w:rPr>
          <w:rFonts w:eastAsia="Arial" w:cs="Arial"/>
          <w:lang w:val="es-ES"/>
        </w:rPr>
      </w:pPr>
      <w:r w:rsidRPr="00B450EB">
        <w:rPr>
          <w:rFonts w:eastAsia="Arial" w:cs="Arial"/>
          <w:b/>
          <w:lang w:val="es"/>
        </w:rPr>
        <w:lastRenderedPageBreak/>
        <w:t>Área total de intervención de los Núcleos de Desarrollo Forestal y de la Biodiversidad</w:t>
      </w:r>
      <w:r w:rsidRPr="00B450EB">
        <w:rPr>
          <w:rFonts w:eastAsia="Arial" w:cs="Arial"/>
          <w:lang w:val="es"/>
        </w:rPr>
        <w:t xml:space="preserve"> 8´203.375 hectáreas de intervención donde se implementarán las acciones que darán cuenta del avance en este proceso de transformación: 4.800.816 hectáreas de superficie de bosque en pie y 750.701</w:t>
      </w:r>
      <w:r w:rsidRPr="00B450EB">
        <w:rPr>
          <w:rFonts w:eastAsia="Arial" w:cs="Arial"/>
        </w:rPr>
        <w:t xml:space="preserve"> hectáreas</w:t>
      </w:r>
      <w:r w:rsidRPr="00B450EB">
        <w:rPr>
          <w:rFonts w:eastAsia="Arial" w:cs="Arial"/>
          <w:lang w:val="es"/>
        </w:rPr>
        <w:t xml:space="preserve"> deforestadas en el periodo 2016-2023 (Tabla </w:t>
      </w:r>
      <w:r w:rsidR="002F3105" w:rsidRPr="00B450EB">
        <w:rPr>
          <w:rFonts w:eastAsia="Arial" w:cs="Arial"/>
          <w:lang w:val="es"/>
        </w:rPr>
        <w:t>2</w:t>
      </w:r>
      <w:r w:rsidR="00B561D3" w:rsidRPr="00B450EB">
        <w:rPr>
          <w:rFonts w:eastAsia="Arial" w:cs="Arial"/>
          <w:lang w:val="es"/>
        </w:rPr>
        <w:t>6</w:t>
      </w:r>
      <w:r w:rsidRPr="00B450EB">
        <w:rPr>
          <w:rFonts w:eastAsia="Arial" w:cs="Arial"/>
          <w:lang w:val="es"/>
        </w:rPr>
        <w:t>).</w:t>
      </w:r>
    </w:p>
    <w:p w14:paraId="5B828908" w14:textId="4ECE61E3" w:rsidR="33BAE35E" w:rsidRPr="00B450EB" w:rsidRDefault="33BAE35E" w:rsidP="3E6335F4">
      <w:pPr>
        <w:spacing w:after="0"/>
        <w:rPr>
          <w:rFonts w:eastAsia="Arial" w:cs="Arial"/>
          <w:lang w:val="es-ES"/>
        </w:rPr>
      </w:pPr>
      <w:r w:rsidRPr="00B450EB">
        <w:rPr>
          <w:rFonts w:eastAsia="Arial" w:cs="Arial"/>
        </w:rPr>
        <w:t xml:space="preserve"> </w:t>
      </w:r>
    </w:p>
    <w:p w14:paraId="4FA93935" w14:textId="1FC03B61" w:rsidR="33BAE35E" w:rsidRPr="00B450EB" w:rsidRDefault="33BAE35E" w:rsidP="3E6335F4">
      <w:pPr>
        <w:spacing w:after="0"/>
        <w:rPr>
          <w:rFonts w:eastAsia="Arial" w:cs="Arial"/>
          <w:lang w:val="es-ES"/>
        </w:rPr>
      </w:pPr>
      <w:r w:rsidRPr="00B450EB">
        <w:rPr>
          <w:rFonts w:eastAsia="Arial" w:cs="Arial"/>
        </w:rPr>
        <w:t xml:space="preserve">Se presenta el reporte de la superficie deforestada en los Núcleos de Desarrollo Forestal y de la Biodiversidad para el periodo 2016 – 2023. Se evidencia que los </w:t>
      </w:r>
      <w:proofErr w:type="spellStart"/>
      <w:r w:rsidRPr="00B450EB">
        <w:rPr>
          <w:rFonts w:eastAsia="Arial" w:cs="Arial"/>
        </w:rPr>
        <w:t>NDFyB</w:t>
      </w:r>
      <w:proofErr w:type="spellEnd"/>
      <w:r w:rsidRPr="00B450EB">
        <w:rPr>
          <w:rFonts w:eastAsia="Arial" w:cs="Arial"/>
        </w:rPr>
        <w:t xml:space="preserve"> con mayor deforestación en el 2023 fueron Mapiripán en el Meta con 4,015 hectáreas y la Serranía de San Lucas en el Magdalena Medio con 6.430 hectáreas. Por otro lado, los </w:t>
      </w:r>
      <w:proofErr w:type="spellStart"/>
      <w:r w:rsidRPr="00B450EB">
        <w:rPr>
          <w:rFonts w:eastAsia="Arial" w:cs="Arial"/>
        </w:rPr>
        <w:t>NDFyB</w:t>
      </w:r>
      <w:proofErr w:type="spellEnd"/>
      <w:r w:rsidRPr="00B450EB">
        <w:rPr>
          <w:rFonts w:eastAsia="Arial" w:cs="Arial"/>
        </w:rPr>
        <w:t xml:space="preserve"> con menos deforestación fueron </w:t>
      </w:r>
      <w:proofErr w:type="spellStart"/>
      <w:r w:rsidRPr="00B450EB">
        <w:rPr>
          <w:rFonts w:eastAsia="Arial" w:cs="Arial"/>
        </w:rPr>
        <w:t>Orotuyo</w:t>
      </w:r>
      <w:proofErr w:type="spellEnd"/>
      <w:r w:rsidRPr="00B450EB">
        <w:rPr>
          <w:rFonts w:eastAsia="Arial" w:cs="Arial"/>
        </w:rPr>
        <w:t xml:space="preserve"> con 17 hectáreas y el Resguardo de Villa Catalina en Putumayo con 190 hectáreas (Tabla </w:t>
      </w:r>
      <w:r w:rsidR="005D2558" w:rsidRPr="00B450EB">
        <w:rPr>
          <w:rFonts w:eastAsia="Arial" w:cs="Arial"/>
        </w:rPr>
        <w:t>2</w:t>
      </w:r>
      <w:r w:rsidR="00B561D3" w:rsidRPr="00B450EB">
        <w:rPr>
          <w:rFonts w:eastAsia="Arial" w:cs="Arial"/>
        </w:rPr>
        <w:t>6</w:t>
      </w:r>
      <w:r w:rsidRPr="00B450EB">
        <w:rPr>
          <w:rFonts w:eastAsia="Arial" w:cs="Arial"/>
        </w:rPr>
        <w:t xml:space="preserve">). </w:t>
      </w:r>
    </w:p>
    <w:p w14:paraId="7993C91D" w14:textId="3183767D" w:rsidR="33BAE35E" w:rsidRPr="00B450EB" w:rsidRDefault="33BAE35E" w:rsidP="3E6335F4">
      <w:pPr>
        <w:spacing w:after="0"/>
        <w:rPr>
          <w:rFonts w:eastAsia="Arial" w:cs="Arial"/>
          <w:lang w:val="es-ES"/>
        </w:rPr>
      </w:pPr>
      <w:r w:rsidRPr="00B450EB">
        <w:rPr>
          <w:rFonts w:eastAsia="Arial" w:cs="Arial"/>
        </w:rPr>
        <w:t xml:space="preserve"> </w:t>
      </w:r>
    </w:p>
    <w:p w14:paraId="455C3758" w14:textId="27356C37" w:rsidR="33BAE35E" w:rsidRPr="00B450EB" w:rsidRDefault="003D1FC5" w:rsidP="003D1FC5">
      <w:pPr>
        <w:pStyle w:val="Descripcin"/>
        <w:rPr>
          <w:rFonts w:eastAsia="Arial" w:cs="Arial"/>
          <w:color w:val="auto"/>
          <w:lang w:val="es-ES"/>
        </w:rPr>
      </w:pPr>
      <w:bookmarkStart w:id="259" w:name="_Toc209723011"/>
      <w:r w:rsidRPr="00B450EB">
        <w:rPr>
          <w:color w:val="auto"/>
        </w:rPr>
        <w:t xml:space="preserve">Tabla </w:t>
      </w:r>
      <w:r w:rsidR="33BAE35E" w:rsidRPr="00B450EB">
        <w:rPr>
          <w:color w:val="auto"/>
        </w:rPr>
        <w:fldChar w:fldCharType="begin"/>
      </w:r>
      <w:r w:rsidR="33BAE35E" w:rsidRPr="00B450EB">
        <w:rPr>
          <w:color w:val="auto"/>
        </w:rPr>
        <w:instrText xml:space="preserve"> SEQ Tabla \* ARABIC </w:instrText>
      </w:r>
      <w:r w:rsidR="33BAE35E" w:rsidRPr="00B450EB">
        <w:rPr>
          <w:color w:val="auto"/>
        </w:rPr>
        <w:fldChar w:fldCharType="separate"/>
      </w:r>
      <w:r w:rsidR="00BC4A10" w:rsidRPr="00B450EB">
        <w:rPr>
          <w:noProof/>
          <w:color w:val="auto"/>
        </w:rPr>
        <w:t>28</w:t>
      </w:r>
      <w:r w:rsidR="33BAE35E" w:rsidRPr="00B450EB">
        <w:rPr>
          <w:color w:val="auto"/>
        </w:rPr>
        <w:fldChar w:fldCharType="end"/>
      </w:r>
      <w:r w:rsidRPr="00B450EB">
        <w:rPr>
          <w:color w:val="auto"/>
        </w:rPr>
        <w:t xml:space="preserve">. </w:t>
      </w:r>
      <w:r w:rsidR="33BAE35E" w:rsidRPr="00B450EB">
        <w:rPr>
          <w:rFonts w:eastAsia="Arial" w:cs="Arial"/>
          <w:color w:val="auto"/>
        </w:rPr>
        <w:t>Reporte de la superficie deforestada en los Núcleos de Desarrollo Forestal y de la Biodiversidad para el periodo 2016 - 2023.</w:t>
      </w:r>
      <w:bookmarkEnd w:id="259"/>
    </w:p>
    <w:p w14:paraId="5E462DF7" w14:textId="77777777" w:rsidR="002F3105" w:rsidRPr="00B450EB" w:rsidRDefault="33BAE35E" w:rsidP="002F3105">
      <w:pPr>
        <w:spacing w:after="0"/>
        <w:jc w:val="center"/>
        <w:rPr>
          <w:rFonts w:eastAsia="Arial" w:cs="Arial"/>
        </w:rPr>
      </w:pPr>
      <w:r w:rsidRPr="00B450EB">
        <w:rPr>
          <w:noProof/>
        </w:rPr>
        <w:drawing>
          <wp:inline distT="0" distB="0" distL="0" distR="0" wp14:anchorId="7DB6E5BD" wp14:editId="24F64564">
            <wp:extent cx="5105400" cy="4552950"/>
            <wp:effectExtent l="0" t="0" r="0" b="0"/>
            <wp:docPr id="17532735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273572" name=""/>
                    <pic:cNvPicPr/>
                  </pic:nvPicPr>
                  <pic:blipFill>
                    <a:blip r:embed="rId186" cstate="email">
                      <a:extLst>
                        <a:ext uri="{28A0092B-C50C-407E-A947-70E740481C1C}">
                          <a14:useLocalDpi xmlns:a14="http://schemas.microsoft.com/office/drawing/2010/main"/>
                        </a:ext>
                      </a:extLst>
                    </a:blip>
                    <a:stretch>
                      <a:fillRect/>
                    </a:stretch>
                  </pic:blipFill>
                  <pic:spPr>
                    <a:xfrm>
                      <a:off x="0" y="0"/>
                      <a:ext cx="5105400" cy="4552950"/>
                    </a:xfrm>
                    <a:prstGeom prst="rect">
                      <a:avLst/>
                    </a:prstGeom>
                  </pic:spPr>
                </pic:pic>
              </a:graphicData>
            </a:graphic>
          </wp:inline>
        </w:drawing>
      </w:r>
    </w:p>
    <w:p w14:paraId="078E9E57" w14:textId="68B8D4AD" w:rsidR="33BAE35E" w:rsidRPr="00B450EB" w:rsidRDefault="002F3105" w:rsidP="3E6335F4">
      <w:pPr>
        <w:spacing w:after="200"/>
        <w:jc w:val="center"/>
        <w:rPr>
          <w:rFonts w:eastAsia="Arial" w:cs="Arial"/>
          <w:lang w:val="es-ES"/>
        </w:rPr>
      </w:pPr>
      <w:r w:rsidRPr="00B450EB">
        <w:rPr>
          <w:rFonts w:eastAsia="Arial" w:cs="Arial"/>
        </w:rPr>
        <w:t>Fuente: IDEAM</w:t>
      </w:r>
      <w:r w:rsidR="0032115C" w:rsidRPr="00B450EB">
        <w:rPr>
          <w:rFonts w:eastAsia="Arial" w:cs="Arial"/>
        </w:rPr>
        <w:t>,2025</w:t>
      </w:r>
    </w:p>
    <w:p w14:paraId="1A469F52" w14:textId="5DE17615" w:rsidR="3E6335F4" w:rsidRPr="00B450EB" w:rsidRDefault="3E6335F4" w:rsidP="3E6335F4">
      <w:pPr>
        <w:spacing w:after="0"/>
        <w:rPr>
          <w:rFonts w:eastAsia="Arial" w:cs="Arial"/>
          <w:lang w:val="es-ES"/>
        </w:rPr>
      </w:pPr>
    </w:p>
    <w:p w14:paraId="4EF6D95F" w14:textId="77777777" w:rsidR="00A73858" w:rsidRPr="00B450EB" w:rsidRDefault="00A73858" w:rsidP="3E6335F4">
      <w:pPr>
        <w:spacing w:after="0"/>
        <w:rPr>
          <w:rFonts w:eastAsia="Arial" w:cs="Arial"/>
          <w:lang w:val="es-ES"/>
        </w:rPr>
      </w:pPr>
    </w:p>
    <w:p w14:paraId="78F69196" w14:textId="1979F19C" w:rsidR="33BAE35E" w:rsidRPr="00B450EB" w:rsidRDefault="001231A3" w:rsidP="3E6335F4">
      <w:pPr>
        <w:pStyle w:val="Ttulo3"/>
        <w:rPr>
          <w:rFonts w:eastAsia="Arial" w:cs="Arial"/>
          <w:lang w:val="es-ES"/>
        </w:rPr>
      </w:pPr>
      <w:bookmarkStart w:id="260" w:name="_Toc209722975"/>
      <w:r w:rsidRPr="00B450EB">
        <w:rPr>
          <w:rFonts w:eastAsia="Arial" w:cs="Arial"/>
          <w:lang w:val="es"/>
        </w:rPr>
        <w:lastRenderedPageBreak/>
        <w:t>11</w:t>
      </w:r>
      <w:r w:rsidR="33BAE35E" w:rsidRPr="00B450EB">
        <w:rPr>
          <w:rFonts w:eastAsia="Arial" w:cs="Arial"/>
          <w:lang w:val="es"/>
        </w:rPr>
        <w:t>.2.2. Núcleos de Desarrollo Forestal de la Amazonía</w:t>
      </w:r>
      <w:bookmarkEnd w:id="260"/>
    </w:p>
    <w:p w14:paraId="636384C7" w14:textId="40AF2AD1" w:rsidR="33BAE35E" w:rsidRPr="00B450EB" w:rsidRDefault="33BAE35E" w:rsidP="005D2558">
      <w:pPr>
        <w:spacing w:before="240" w:after="0"/>
        <w:rPr>
          <w:rFonts w:eastAsia="Arial" w:cs="Arial"/>
          <w:lang w:val="es-ES"/>
        </w:rPr>
      </w:pPr>
      <w:r w:rsidRPr="00B450EB">
        <w:rPr>
          <w:rFonts w:eastAsia="Arial" w:cs="Arial"/>
          <w:lang w:val="es"/>
        </w:rPr>
        <w:t>Área de intervención de los Núcleos de Desarrollo Forestal y de la Biodiversidad en la Amazonia corresponden a 5´046.241 hectáreas de intervención donde se implementarán las acciones que darán cuenta del avance en este proceso de transformación (</w:t>
      </w:r>
      <w:r w:rsidR="003D1FC5" w:rsidRPr="00B450EB">
        <w:rPr>
          <w:rFonts w:eastAsia="Arial" w:cs="Arial"/>
          <w:lang w:val="es"/>
        </w:rPr>
        <w:fldChar w:fldCharType="begin"/>
      </w:r>
      <w:r w:rsidR="003D1FC5" w:rsidRPr="00B450EB">
        <w:rPr>
          <w:rFonts w:eastAsia="Arial" w:cs="Arial"/>
          <w:lang w:val="es"/>
        </w:rPr>
        <w:instrText xml:space="preserve"> REF _Ref209003270 \h </w:instrText>
      </w:r>
      <w:r w:rsidR="006E0BC8" w:rsidRPr="00B450EB">
        <w:rPr>
          <w:rFonts w:eastAsia="Arial" w:cs="Arial"/>
          <w:lang w:val="es"/>
        </w:rPr>
        <w:instrText xml:space="preserve"> \* MERGEFORMAT </w:instrText>
      </w:r>
      <w:r w:rsidR="003D1FC5" w:rsidRPr="00B450EB">
        <w:rPr>
          <w:rFonts w:eastAsia="Arial" w:cs="Arial"/>
          <w:lang w:val="es"/>
        </w:rPr>
      </w:r>
      <w:r w:rsidR="003D1FC5" w:rsidRPr="00B450EB">
        <w:rPr>
          <w:rFonts w:eastAsia="Arial" w:cs="Arial"/>
          <w:lang w:val="es"/>
        </w:rPr>
        <w:fldChar w:fldCharType="separate"/>
      </w:r>
      <w:r w:rsidR="00010D09" w:rsidRPr="00B450EB">
        <w:t xml:space="preserve">Figura </w:t>
      </w:r>
      <w:r w:rsidR="00010D09" w:rsidRPr="00B450EB">
        <w:rPr>
          <w:noProof/>
        </w:rPr>
        <w:t>113</w:t>
      </w:r>
      <w:r w:rsidR="003D1FC5" w:rsidRPr="00B450EB">
        <w:rPr>
          <w:rFonts w:eastAsia="Arial" w:cs="Arial"/>
          <w:lang w:val="es"/>
        </w:rPr>
        <w:fldChar w:fldCharType="end"/>
      </w:r>
      <w:r w:rsidRPr="00B450EB">
        <w:rPr>
          <w:rFonts w:eastAsia="Arial" w:cs="Arial"/>
          <w:lang w:val="es"/>
        </w:rPr>
        <w:t xml:space="preserve">): </w:t>
      </w:r>
    </w:p>
    <w:p w14:paraId="4EC7C066" w14:textId="4ACB9C54" w:rsidR="33BAE35E" w:rsidRPr="00B450EB" w:rsidRDefault="33BAE35E" w:rsidP="3E6335F4">
      <w:pPr>
        <w:spacing w:after="0"/>
        <w:rPr>
          <w:rFonts w:eastAsia="Arial" w:cs="Arial"/>
          <w:lang w:val="es-ES"/>
        </w:rPr>
      </w:pPr>
      <w:r w:rsidRPr="00B450EB">
        <w:rPr>
          <w:rFonts w:eastAsia="Arial" w:cs="Arial"/>
          <w:lang w:val="es"/>
        </w:rPr>
        <w:t xml:space="preserve"> </w:t>
      </w:r>
    </w:p>
    <w:p w14:paraId="40B2C072" w14:textId="39D8C81F" w:rsidR="00810E4F" w:rsidRPr="00B450EB" w:rsidRDefault="00810E4F" w:rsidP="00810E4F">
      <w:pPr>
        <w:pStyle w:val="Descripcin"/>
        <w:rPr>
          <w:i w:val="0"/>
          <w:iCs w:val="0"/>
          <w:color w:val="auto"/>
        </w:rPr>
      </w:pPr>
      <w:bookmarkStart w:id="261" w:name="_Ref209003270"/>
      <w:bookmarkStart w:id="262" w:name="_Toc209462801"/>
      <w:r w:rsidRPr="00B450EB">
        <w:rPr>
          <w:color w:val="auto"/>
        </w:rPr>
        <w:t xml:space="preserve">Figura </w:t>
      </w:r>
      <w:r w:rsidRPr="00B450EB">
        <w:rPr>
          <w:color w:val="auto"/>
        </w:rPr>
        <w:fldChar w:fldCharType="begin"/>
      </w:r>
      <w:r w:rsidRPr="00B450EB">
        <w:rPr>
          <w:color w:val="auto"/>
        </w:rPr>
        <w:instrText xml:space="preserve"> SEQ Figura \* ARABIC </w:instrText>
      </w:r>
      <w:r w:rsidRPr="00B450EB">
        <w:rPr>
          <w:color w:val="auto"/>
        </w:rPr>
        <w:fldChar w:fldCharType="separate"/>
      </w:r>
      <w:r w:rsidR="00010D09" w:rsidRPr="00B450EB">
        <w:rPr>
          <w:noProof/>
          <w:color w:val="auto"/>
        </w:rPr>
        <w:t>113</w:t>
      </w:r>
      <w:r w:rsidRPr="00B450EB">
        <w:rPr>
          <w:color w:val="auto"/>
        </w:rPr>
        <w:fldChar w:fldCharType="end"/>
      </w:r>
      <w:bookmarkEnd w:id="261"/>
      <w:r w:rsidRPr="00B450EB">
        <w:rPr>
          <w:color w:val="auto"/>
        </w:rPr>
        <w:t>. Núcleos de desarrollo forestal sostenible en el bioma amazónico colombiano</w:t>
      </w:r>
      <w:r w:rsidRPr="00B450EB">
        <w:rPr>
          <w:i w:val="0"/>
          <w:iCs w:val="0"/>
          <w:color w:val="auto"/>
        </w:rPr>
        <w:t>.</w:t>
      </w:r>
      <w:bookmarkEnd w:id="262"/>
    </w:p>
    <w:p w14:paraId="248DA657" w14:textId="77777777" w:rsidR="00810E4F" w:rsidRPr="00B450EB" w:rsidRDefault="00810E4F" w:rsidP="00A73858">
      <w:pPr>
        <w:spacing w:after="0" w:line="240" w:lineRule="auto"/>
        <w:jc w:val="center"/>
      </w:pPr>
      <w:r w:rsidRPr="00B450EB">
        <w:rPr>
          <w:noProof/>
        </w:rPr>
        <w:drawing>
          <wp:inline distT="0" distB="0" distL="0" distR="0" wp14:anchorId="6739EAEB" wp14:editId="59A974CB">
            <wp:extent cx="5217662" cy="4031615"/>
            <wp:effectExtent l="0" t="0" r="2540" b="6985"/>
            <wp:docPr id="1658486506" name="Imagen 10"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486506" name="Imagen 10" descr="Mapa&#10;&#10;El contenido generado por IA puede ser incorrecto."/>
                    <pic:cNvPicPr/>
                  </pic:nvPicPr>
                  <pic:blipFill>
                    <a:blip r:embed="rId187" cstate="email">
                      <a:extLst>
                        <a:ext uri="{28A0092B-C50C-407E-A947-70E740481C1C}">
                          <a14:useLocalDpi xmlns:a14="http://schemas.microsoft.com/office/drawing/2010/main"/>
                        </a:ext>
                      </a:extLst>
                    </a:blip>
                    <a:stretch>
                      <a:fillRect/>
                    </a:stretch>
                  </pic:blipFill>
                  <pic:spPr>
                    <a:xfrm>
                      <a:off x="0" y="0"/>
                      <a:ext cx="5222284" cy="4035187"/>
                    </a:xfrm>
                    <a:prstGeom prst="rect">
                      <a:avLst/>
                    </a:prstGeom>
                  </pic:spPr>
                </pic:pic>
              </a:graphicData>
            </a:graphic>
          </wp:inline>
        </w:drawing>
      </w:r>
    </w:p>
    <w:p w14:paraId="7E45B116" w14:textId="792FF699" w:rsidR="00810E4F" w:rsidRPr="00B450EB" w:rsidRDefault="00810E4F" w:rsidP="002F3105">
      <w:pPr>
        <w:spacing w:line="240" w:lineRule="auto"/>
        <w:jc w:val="center"/>
        <w:rPr>
          <w:rFonts w:eastAsia="Arial" w:cs="Arial"/>
        </w:rPr>
      </w:pPr>
      <w:r w:rsidRPr="00B450EB">
        <w:rPr>
          <w:bCs/>
          <w:sz w:val="18"/>
          <w:szCs w:val="18"/>
        </w:rPr>
        <w:t>Fuente: Elaboración propia, 2025 a partir de SIAC, 2025 (</w:t>
      </w:r>
      <w:hyperlink r:id="rId188">
        <w:r w:rsidRPr="00B450EB">
          <w:rPr>
            <w:rStyle w:val="Hipervnculo"/>
            <w:bCs/>
            <w:color w:val="auto"/>
            <w:sz w:val="18"/>
            <w:szCs w:val="18"/>
          </w:rPr>
          <w:t>https://siac-datosabiertos-mads.hub.arcgis.com/datasets/MADS::gobernanza-forestal-1/about?layer=1</w:t>
        </w:r>
      </w:hyperlink>
      <w:r w:rsidRPr="00B450EB">
        <w:rPr>
          <w:bCs/>
          <w:sz w:val="18"/>
          <w:szCs w:val="18"/>
        </w:rPr>
        <w:t>)</w:t>
      </w:r>
    </w:p>
    <w:p w14:paraId="495C6A21" w14:textId="00EF1BD2" w:rsidR="33BAE35E" w:rsidRPr="00B450EB" w:rsidRDefault="33BAE35E" w:rsidP="002F3105">
      <w:pPr>
        <w:spacing w:after="0"/>
        <w:rPr>
          <w:rFonts w:eastAsia="Arial" w:cs="Arial"/>
          <w:lang w:val="es-ES"/>
        </w:rPr>
      </w:pPr>
      <w:r w:rsidRPr="00B450EB">
        <w:rPr>
          <w:rFonts w:eastAsia="Arial" w:cs="Arial"/>
          <w:lang w:val="es"/>
        </w:rPr>
        <w:t xml:space="preserve"> </w:t>
      </w:r>
    </w:p>
    <w:p w14:paraId="0E47C616" w14:textId="32E48A48" w:rsidR="33BAE35E" w:rsidRPr="00B450EB" w:rsidRDefault="001231A3" w:rsidP="001231A3">
      <w:pPr>
        <w:pStyle w:val="Ttulo2"/>
        <w:rPr>
          <w:lang w:val="es-ES"/>
        </w:rPr>
      </w:pPr>
      <w:bookmarkStart w:id="263" w:name="_Toc209722976"/>
      <w:r w:rsidRPr="00B450EB">
        <w:t>11.3.</w:t>
      </w:r>
      <w:r w:rsidR="33BAE35E" w:rsidRPr="00B450EB">
        <w:t xml:space="preserve"> </w:t>
      </w:r>
      <w:r w:rsidR="33BAE35E" w:rsidRPr="00B450EB">
        <w:rPr>
          <w:lang w:val="es-MX"/>
        </w:rPr>
        <w:t>Estrategia Nacional de Restauración</w:t>
      </w:r>
      <w:bookmarkEnd w:id="263"/>
    </w:p>
    <w:p w14:paraId="582BE5C1" w14:textId="5230D02A" w:rsidR="33BAE35E" w:rsidRPr="00B450EB" w:rsidRDefault="33BAE35E" w:rsidP="3E6335F4">
      <w:pPr>
        <w:spacing w:after="0" w:line="276" w:lineRule="auto"/>
        <w:rPr>
          <w:rFonts w:eastAsia="Arial" w:cs="Arial"/>
          <w:lang w:val="es-ES"/>
        </w:rPr>
      </w:pPr>
      <w:r w:rsidRPr="00B450EB">
        <w:rPr>
          <w:rFonts w:eastAsia="Arial" w:cs="Arial"/>
        </w:rPr>
        <w:t>Colombia, Potencia Mundial de la Vida ha puesto en el centro de las decisiones a la gente y a la naturaleza. En este contexto, la selva amazónica, particularmente el piedemonte amazónico resulta ser territorio clave que conecta las redes vitales Andino-Amazónicas, Amazónicas-</w:t>
      </w:r>
      <w:proofErr w:type="spellStart"/>
      <w:r w:rsidRPr="00B450EB">
        <w:rPr>
          <w:rFonts w:eastAsia="Arial" w:cs="Arial"/>
        </w:rPr>
        <w:t>Orinocenses</w:t>
      </w:r>
      <w:proofErr w:type="spellEnd"/>
      <w:r w:rsidRPr="00B450EB">
        <w:rPr>
          <w:rFonts w:eastAsia="Arial" w:cs="Arial"/>
        </w:rPr>
        <w:t xml:space="preserve"> y Pacífico-Amazónicas donde fluye el agua, la biodiversidad, la gente y sus culturas. Redes irrumpidas por las conflictividades ecológicas, sociales y culturales. </w:t>
      </w:r>
    </w:p>
    <w:p w14:paraId="4A770594" w14:textId="65679563" w:rsidR="33BAE35E" w:rsidRPr="00B450EB" w:rsidRDefault="33BAE35E" w:rsidP="3E6335F4">
      <w:pPr>
        <w:spacing w:after="0" w:line="276" w:lineRule="auto"/>
        <w:rPr>
          <w:rFonts w:eastAsia="Arial" w:cs="Arial"/>
          <w:lang w:val="es-ES"/>
        </w:rPr>
      </w:pPr>
      <w:r w:rsidRPr="00B450EB">
        <w:rPr>
          <w:rFonts w:eastAsia="Arial" w:cs="Arial"/>
        </w:rPr>
        <w:t xml:space="preserve"> </w:t>
      </w:r>
    </w:p>
    <w:p w14:paraId="2046E5C1" w14:textId="09B1195D" w:rsidR="33BAE35E" w:rsidRPr="00B450EB" w:rsidRDefault="33BAE35E" w:rsidP="3E6335F4">
      <w:pPr>
        <w:spacing w:after="0" w:line="276" w:lineRule="auto"/>
        <w:rPr>
          <w:rFonts w:eastAsia="Arial" w:cs="Arial"/>
          <w:lang w:val="es-ES"/>
        </w:rPr>
      </w:pPr>
      <w:r w:rsidRPr="00B450EB">
        <w:rPr>
          <w:rFonts w:eastAsia="Arial" w:cs="Arial"/>
        </w:rPr>
        <w:t xml:space="preserve">Para avanzar en las transformaciones territoriales a través de la revitalización de la naturaleza propuesta en el Plan Nacional de Desarrollo 2022-2026, </w:t>
      </w:r>
      <w:r w:rsidRPr="00B450EB">
        <w:rPr>
          <w:rFonts w:eastAsia="Arial" w:cs="Arial"/>
          <w:lang w:val="es"/>
        </w:rPr>
        <w:t xml:space="preserve">el Ministerio de </w:t>
      </w:r>
      <w:r w:rsidRPr="00B450EB">
        <w:rPr>
          <w:rFonts w:eastAsia="Arial" w:cs="Arial"/>
          <w:lang w:val="es"/>
        </w:rPr>
        <w:lastRenderedPageBreak/>
        <w:t xml:space="preserve">Ambiente y Desarrollo Sostenible construyó </w:t>
      </w:r>
      <w:r w:rsidRPr="00B450EB">
        <w:rPr>
          <w:rFonts w:eastAsia="Arial" w:cs="Arial"/>
          <w:b/>
          <w:lang w:val="es"/>
        </w:rPr>
        <w:t>la Estrategia Nacional de Restauración 2023-2026 “Juntos para recuperar la naturaleza perdida</w:t>
      </w:r>
      <w:r w:rsidRPr="00B450EB">
        <w:rPr>
          <w:rFonts w:eastAsia="Arial" w:cs="Arial"/>
          <w:lang w:val="es"/>
        </w:rPr>
        <w:t xml:space="preserve">” como un instrumento que busca orientar los procesos de restauración de paisajes y su biodiversidad y como una apuesta nacional por recuperar la funcionalidad de los ecosistemas, incrementar la resiliencia frente al cambio climático, generar economías, revitalizar los territorios y mejorar el bienestar de las comunidades, con una meta nacional de establecer 753.783 nuevas hectáreas de ecosistemas terrestres y marino costeros bajo procesos de restauración, </w:t>
      </w:r>
      <w:r w:rsidRPr="00B450EB">
        <w:rPr>
          <w:rFonts w:eastAsia="Arial" w:cs="Arial"/>
        </w:rPr>
        <w:t>bajo principios y condiciones habilitantes (</w:t>
      </w:r>
      <w:r w:rsidR="005D2558" w:rsidRPr="00B450EB">
        <w:rPr>
          <w:rFonts w:eastAsia="Arial" w:cs="Arial"/>
        </w:rPr>
        <w:fldChar w:fldCharType="begin"/>
      </w:r>
      <w:r w:rsidR="005D2558" w:rsidRPr="00B450EB">
        <w:rPr>
          <w:rFonts w:eastAsia="Arial" w:cs="Arial"/>
        </w:rPr>
        <w:instrText xml:space="preserve"> REF _Ref209427296 \h </w:instrText>
      </w:r>
      <w:r w:rsidR="00205915" w:rsidRPr="00B450EB">
        <w:rPr>
          <w:rFonts w:eastAsia="Arial" w:cs="Arial"/>
        </w:rPr>
        <w:instrText xml:space="preserve"> \* MERGEFORMAT </w:instrText>
      </w:r>
      <w:r w:rsidR="005D2558" w:rsidRPr="00B450EB">
        <w:rPr>
          <w:rFonts w:eastAsia="Arial" w:cs="Arial"/>
        </w:rPr>
      </w:r>
      <w:r w:rsidR="005D2558" w:rsidRPr="00B450EB">
        <w:rPr>
          <w:rFonts w:eastAsia="Arial" w:cs="Arial"/>
        </w:rPr>
        <w:fldChar w:fldCharType="separate"/>
      </w:r>
      <w:r w:rsidR="00010D09" w:rsidRPr="00B450EB">
        <w:t xml:space="preserve">Figura </w:t>
      </w:r>
      <w:r w:rsidR="00010D09" w:rsidRPr="00B450EB">
        <w:rPr>
          <w:noProof/>
        </w:rPr>
        <w:t>114</w:t>
      </w:r>
      <w:r w:rsidR="005D2558" w:rsidRPr="00B450EB">
        <w:rPr>
          <w:rFonts w:eastAsia="Arial" w:cs="Arial"/>
        </w:rPr>
        <w:fldChar w:fldCharType="end"/>
      </w:r>
      <w:r w:rsidRPr="00B450EB">
        <w:rPr>
          <w:rFonts w:eastAsia="Arial" w:cs="Arial"/>
        </w:rPr>
        <w:t>) las cuales generarán un impacto frente a las crisis de cambio climático y biodiversidad que a nivel global se están presentando. Con énfasis, en el trabajo fundamentado en la acción colectiva que permitirá frenar las dinámicas de degradación, a través de la implementación de acciones de restauración a escala de paisaje.</w:t>
      </w:r>
    </w:p>
    <w:p w14:paraId="6B4D56C3" w14:textId="7898A019" w:rsidR="33BAE35E" w:rsidRPr="00B450EB" w:rsidRDefault="33BAE35E" w:rsidP="3E6335F4">
      <w:pPr>
        <w:spacing w:after="0" w:line="276" w:lineRule="auto"/>
        <w:rPr>
          <w:rFonts w:eastAsia="Arial" w:cs="Arial"/>
          <w:lang w:val="es-ES"/>
        </w:rPr>
      </w:pPr>
      <w:r w:rsidRPr="00B450EB">
        <w:rPr>
          <w:rFonts w:eastAsia="Arial" w:cs="Arial"/>
        </w:rPr>
        <w:t xml:space="preserve"> </w:t>
      </w:r>
    </w:p>
    <w:p w14:paraId="56931D2E" w14:textId="5073D85D" w:rsidR="33BAE35E" w:rsidRPr="00B450EB" w:rsidRDefault="003D1FC5" w:rsidP="003D1FC5">
      <w:pPr>
        <w:pStyle w:val="Descripcin"/>
        <w:rPr>
          <w:rFonts w:eastAsia="Arial" w:cs="Arial"/>
          <w:color w:val="auto"/>
        </w:rPr>
      </w:pPr>
      <w:bookmarkStart w:id="264" w:name="_Ref209427296"/>
      <w:bookmarkStart w:id="265" w:name="_Toc209462802"/>
      <w:r w:rsidRPr="00B450EB">
        <w:rPr>
          <w:color w:val="auto"/>
        </w:rPr>
        <w:t xml:space="preserve">Figura </w:t>
      </w:r>
      <w:r w:rsidR="33BAE35E" w:rsidRPr="00B450EB">
        <w:rPr>
          <w:color w:val="auto"/>
        </w:rPr>
        <w:fldChar w:fldCharType="begin"/>
      </w:r>
      <w:r w:rsidR="33BAE35E" w:rsidRPr="00B450EB">
        <w:rPr>
          <w:color w:val="auto"/>
        </w:rPr>
        <w:instrText xml:space="preserve"> SEQ Figura \* ARABIC </w:instrText>
      </w:r>
      <w:r w:rsidR="33BAE35E" w:rsidRPr="00B450EB">
        <w:rPr>
          <w:color w:val="auto"/>
        </w:rPr>
        <w:fldChar w:fldCharType="separate"/>
      </w:r>
      <w:r w:rsidR="00010D09" w:rsidRPr="00B450EB">
        <w:rPr>
          <w:noProof/>
          <w:color w:val="auto"/>
        </w:rPr>
        <w:t>114</w:t>
      </w:r>
      <w:r w:rsidR="33BAE35E" w:rsidRPr="00B450EB">
        <w:rPr>
          <w:color w:val="auto"/>
        </w:rPr>
        <w:fldChar w:fldCharType="end"/>
      </w:r>
      <w:bookmarkEnd w:id="264"/>
      <w:r w:rsidRPr="00B450EB">
        <w:rPr>
          <w:color w:val="auto"/>
        </w:rPr>
        <w:t xml:space="preserve">. </w:t>
      </w:r>
      <w:r w:rsidR="33BAE35E" w:rsidRPr="00B450EB">
        <w:rPr>
          <w:rFonts w:eastAsia="Arial" w:cs="Arial"/>
          <w:color w:val="auto"/>
        </w:rPr>
        <w:t xml:space="preserve">Principios que integran la ENR 2023 – 2026- Fuente: </w:t>
      </w:r>
      <w:proofErr w:type="spellStart"/>
      <w:r w:rsidR="33BAE35E" w:rsidRPr="00B450EB">
        <w:rPr>
          <w:rFonts w:eastAsia="Arial" w:cs="Arial"/>
          <w:color w:val="auto"/>
        </w:rPr>
        <w:t>Minambiente</w:t>
      </w:r>
      <w:proofErr w:type="spellEnd"/>
      <w:r w:rsidR="33BAE35E" w:rsidRPr="00B450EB">
        <w:rPr>
          <w:rFonts w:eastAsia="Arial" w:cs="Arial"/>
          <w:color w:val="auto"/>
        </w:rPr>
        <w:t xml:space="preserve"> 2023</w:t>
      </w:r>
      <w:bookmarkEnd w:id="265"/>
    </w:p>
    <w:p w14:paraId="7D7B7440" w14:textId="76F01931" w:rsidR="2D0C4D2F" w:rsidRPr="00B450EB" w:rsidRDefault="003D1FC5" w:rsidP="2FC4633B">
      <w:pPr>
        <w:spacing w:after="200" w:line="276" w:lineRule="auto"/>
        <w:jc w:val="center"/>
        <w:rPr>
          <w:rFonts w:eastAsia="Arial" w:cs="Arial"/>
          <w:b/>
          <w:bCs/>
        </w:rPr>
      </w:pPr>
      <w:r w:rsidRPr="00B450EB">
        <w:rPr>
          <w:noProof/>
        </w:rPr>
        <w:drawing>
          <wp:inline distT="0" distB="0" distL="0" distR="0" wp14:anchorId="7403565F" wp14:editId="3F15782B">
            <wp:extent cx="4429125" cy="1714500"/>
            <wp:effectExtent l="0" t="0" r="0" b="0"/>
            <wp:docPr id="1872402146" name="drawing"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402146" name=""/>
                    <pic:cNvPicPr/>
                  </pic:nvPicPr>
                  <pic:blipFill>
                    <a:blip r:embed="rId189">
                      <a:extLst>
                        <a:ext uri="{28A0092B-C50C-407E-A947-70E740481C1C}">
                          <a14:useLocalDpi xmlns:a14="http://schemas.microsoft.com/office/drawing/2010/main" val="0"/>
                        </a:ext>
                      </a:extLst>
                    </a:blip>
                    <a:stretch>
                      <a:fillRect/>
                    </a:stretch>
                  </pic:blipFill>
                  <pic:spPr>
                    <a:xfrm>
                      <a:off x="0" y="0"/>
                      <a:ext cx="4429125" cy="1714500"/>
                    </a:xfrm>
                    <a:prstGeom prst="rect">
                      <a:avLst/>
                    </a:prstGeom>
                  </pic:spPr>
                </pic:pic>
              </a:graphicData>
            </a:graphic>
          </wp:inline>
        </w:drawing>
      </w:r>
    </w:p>
    <w:p w14:paraId="0A226874" w14:textId="128A7BAB" w:rsidR="3E6335F4" w:rsidRPr="00B450EB" w:rsidRDefault="103B8DEA" w:rsidP="003D1FC5">
      <w:pPr>
        <w:spacing w:after="200" w:line="276" w:lineRule="auto"/>
        <w:rPr>
          <w:rFonts w:eastAsia="Arial" w:cs="Arial"/>
        </w:rPr>
      </w:pPr>
      <w:r w:rsidRPr="00B450EB">
        <w:rPr>
          <w:rFonts w:eastAsia="Arial" w:cs="Arial"/>
          <w:b/>
        </w:rPr>
        <w:t>Integridad ecológica de la Amazonía colombiana</w:t>
      </w:r>
    </w:p>
    <w:p w14:paraId="0A2A057F" w14:textId="6A26B51D" w:rsidR="2FC4633B" w:rsidRPr="00B450EB" w:rsidRDefault="7B2AD306" w:rsidP="23C23076">
      <w:pPr>
        <w:spacing w:after="200"/>
        <w:rPr>
          <w:rFonts w:eastAsia="Arial" w:cs="Arial"/>
          <w:lang w:val="es-ES"/>
        </w:rPr>
      </w:pPr>
      <w:r w:rsidRPr="00B450EB">
        <w:rPr>
          <w:rFonts w:eastAsia="Arial" w:cs="Arial"/>
          <w:lang w:val="es-ES"/>
        </w:rPr>
        <w:t xml:space="preserve">La ENR contempla un modelo de integridad ecológica </w:t>
      </w:r>
      <w:proofErr w:type="spellStart"/>
      <w:r w:rsidRPr="00B450EB">
        <w:rPr>
          <w:rFonts w:eastAsia="Arial" w:cs="Arial"/>
          <w:lang w:val="es"/>
        </w:rPr>
        <w:t>Isaacs</w:t>
      </w:r>
      <w:proofErr w:type="spellEnd"/>
      <w:r w:rsidRPr="00B450EB">
        <w:rPr>
          <w:rFonts w:eastAsia="Arial" w:cs="Arial"/>
          <w:lang w:val="es"/>
        </w:rPr>
        <w:t xml:space="preserve"> y González (2028</w:t>
      </w:r>
      <w:r w:rsidR="003D1FC5" w:rsidRPr="00B450EB">
        <w:rPr>
          <w:rFonts w:eastAsia="Arial" w:cs="Arial"/>
          <w:lang w:val="es"/>
        </w:rPr>
        <w:t>)</w:t>
      </w:r>
      <w:r w:rsidRPr="00B450EB">
        <w:rPr>
          <w:rFonts w:eastAsia="Arial" w:cs="Arial"/>
          <w:lang w:val="es-ES"/>
        </w:rPr>
        <w:t xml:space="preserve"> que identifica zonas del país con alta transformación ecosistémica, baja conectividad y vulnerabilidad ecológica, priorizando intervenciones que permitan restaurar la continuidad de los hábitats, facilitar el flujo de especies y la recuperación de la biodiversidad en territorios afectados por actividades como los monocultivos, la deforestación o el uso intensivo del suelo. Para la Amazonía colombiana se registra aproximadamente 4.663.341 ha en integridad muy baja y Baja; y 5.706.027 millones de hectáreas en integridad media. (</w:t>
      </w:r>
      <w:r w:rsidR="00F4776D" w:rsidRPr="00B450EB">
        <w:rPr>
          <w:rFonts w:eastAsia="Arial" w:cs="Arial"/>
          <w:lang w:val="es-ES"/>
        </w:rPr>
        <w:fldChar w:fldCharType="begin"/>
      </w:r>
      <w:r w:rsidR="00F4776D" w:rsidRPr="00B450EB">
        <w:rPr>
          <w:rFonts w:eastAsia="Arial" w:cs="Arial"/>
          <w:lang w:val="es-ES"/>
        </w:rPr>
        <w:instrText xml:space="preserve"> REF _Ref209427266 \h </w:instrText>
      </w:r>
      <w:r w:rsidR="00205915" w:rsidRPr="00B450EB">
        <w:rPr>
          <w:rFonts w:eastAsia="Arial" w:cs="Arial"/>
          <w:lang w:val="es-ES"/>
        </w:rPr>
        <w:instrText xml:space="preserve"> \* MERGEFORMAT </w:instrText>
      </w:r>
      <w:r w:rsidR="00F4776D" w:rsidRPr="00B450EB">
        <w:rPr>
          <w:rFonts w:eastAsia="Arial" w:cs="Arial"/>
          <w:lang w:val="es-ES"/>
        </w:rPr>
      </w:r>
      <w:r w:rsidR="00F4776D" w:rsidRPr="00B450EB">
        <w:rPr>
          <w:rFonts w:eastAsia="Arial" w:cs="Arial"/>
          <w:lang w:val="es-ES"/>
        </w:rPr>
        <w:fldChar w:fldCharType="separate"/>
      </w:r>
      <w:r w:rsidR="00010D09" w:rsidRPr="00B450EB">
        <w:t xml:space="preserve">Figura </w:t>
      </w:r>
      <w:r w:rsidR="00010D09" w:rsidRPr="00B450EB">
        <w:rPr>
          <w:noProof/>
        </w:rPr>
        <w:t>115</w:t>
      </w:r>
      <w:r w:rsidR="00F4776D" w:rsidRPr="00B450EB">
        <w:rPr>
          <w:rFonts w:eastAsia="Arial" w:cs="Arial"/>
          <w:lang w:val="es-ES"/>
        </w:rPr>
        <w:fldChar w:fldCharType="end"/>
      </w:r>
      <w:r w:rsidRPr="00B450EB">
        <w:rPr>
          <w:rFonts w:eastAsia="Arial" w:cs="Arial"/>
          <w:lang w:val="es-ES"/>
        </w:rPr>
        <w:t>) Esta pérdida de integridad del paisaje es sin lugar a duda uno de los problemas socioambientales de mayor relevancia para la región, ya que de la diversidad y conectividad biológica andino-amazónica-</w:t>
      </w:r>
      <w:proofErr w:type="spellStart"/>
      <w:r w:rsidRPr="00B450EB">
        <w:rPr>
          <w:rFonts w:eastAsia="Arial" w:cs="Arial"/>
          <w:lang w:val="es-ES"/>
        </w:rPr>
        <w:t>orinocense</w:t>
      </w:r>
      <w:proofErr w:type="spellEnd"/>
      <w:r w:rsidRPr="00B450EB">
        <w:rPr>
          <w:rFonts w:eastAsia="Arial" w:cs="Arial"/>
          <w:lang w:val="es-ES"/>
        </w:rPr>
        <w:t>, depende la seguridad hidro climática del país y el planeta.</w:t>
      </w:r>
    </w:p>
    <w:p w14:paraId="3C7C113D" w14:textId="69685654" w:rsidR="040A64F8" w:rsidRPr="00B450EB" w:rsidRDefault="040A64F8" w:rsidP="23C23076">
      <w:pPr>
        <w:spacing w:after="0" w:line="276" w:lineRule="auto"/>
        <w:rPr>
          <w:rFonts w:eastAsia="Arial" w:cs="Arial"/>
          <w:lang w:val="es-ES"/>
        </w:rPr>
      </w:pPr>
      <w:r w:rsidRPr="00B450EB">
        <w:rPr>
          <w:rFonts w:eastAsia="Arial" w:cs="Arial"/>
          <w:lang w:val="es"/>
        </w:rPr>
        <w:t xml:space="preserve">La alta pérdida de conectividad en los paisajes amazónicos requieren  la prioridad  de adelantar esfuerzos participativos e incluyentes para el diseño, implementación y seguimiento de estrategias multifuncionales de restauración para recuperar la </w:t>
      </w:r>
      <w:r w:rsidRPr="00B450EB">
        <w:rPr>
          <w:rFonts w:eastAsia="Arial" w:cs="Arial"/>
          <w:lang w:val="es"/>
        </w:rPr>
        <w:lastRenderedPageBreak/>
        <w:t>conectividad y la integridad ecológica en la que se incluyan la gobernanza y las economías de la biodiversidad reflejadas en  beneficios humanos, conservación de la biodiversidad, multifuncionalidad y resiliencia de los paisaje, tal como se  establece la ENR 2023-2026</w:t>
      </w:r>
    </w:p>
    <w:p w14:paraId="71DEAFD7" w14:textId="533ECA70" w:rsidR="23C23076" w:rsidRPr="00B450EB" w:rsidRDefault="23C23076" w:rsidP="23C23076">
      <w:pPr>
        <w:spacing w:after="0" w:line="276" w:lineRule="auto"/>
        <w:rPr>
          <w:rFonts w:eastAsia="Arial" w:cs="Arial"/>
          <w:lang w:val="es"/>
        </w:rPr>
      </w:pPr>
    </w:p>
    <w:p w14:paraId="1D87CE8F" w14:textId="40FD18E6" w:rsidR="040A64F8" w:rsidRPr="00B450EB" w:rsidRDefault="003D1FC5" w:rsidP="003D1FC5">
      <w:pPr>
        <w:pStyle w:val="Descripcin"/>
        <w:rPr>
          <w:color w:val="auto"/>
        </w:rPr>
      </w:pPr>
      <w:bookmarkStart w:id="266" w:name="_Ref209427266"/>
      <w:bookmarkStart w:id="267" w:name="_Toc209462803"/>
      <w:r w:rsidRPr="00B450EB">
        <w:rPr>
          <w:color w:val="auto"/>
        </w:rPr>
        <w:t xml:space="preserve">Figura </w:t>
      </w:r>
      <w:r w:rsidR="040A64F8" w:rsidRPr="00B450EB">
        <w:rPr>
          <w:color w:val="auto"/>
        </w:rPr>
        <w:fldChar w:fldCharType="begin"/>
      </w:r>
      <w:r w:rsidR="040A64F8" w:rsidRPr="00B450EB">
        <w:rPr>
          <w:color w:val="auto"/>
        </w:rPr>
        <w:instrText xml:space="preserve"> SEQ Figura \* ARABIC </w:instrText>
      </w:r>
      <w:r w:rsidR="040A64F8" w:rsidRPr="00B450EB">
        <w:rPr>
          <w:color w:val="auto"/>
        </w:rPr>
        <w:fldChar w:fldCharType="separate"/>
      </w:r>
      <w:r w:rsidR="00010D09" w:rsidRPr="00B450EB">
        <w:rPr>
          <w:noProof/>
          <w:color w:val="auto"/>
        </w:rPr>
        <w:t>115</w:t>
      </w:r>
      <w:r w:rsidR="040A64F8" w:rsidRPr="00B450EB">
        <w:rPr>
          <w:color w:val="auto"/>
        </w:rPr>
        <w:fldChar w:fldCharType="end"/>
      </w:r>
      <w:bookmarkEnd w:id="266"/>
      <w:r w:rsidRPr="00B450EB">
        <w:rPr>
          <w:color w:val="auto"/>
        </w:rPr>
        <w:t xml:space="preserve">. </w:t>
      </w:r>
      <w:r w:rsidR="040A64F8" w:rsidRPr="00B450EB">
        <w:rPr>
          <w:rFonts w:eastAsia="Arial" w:cs="Arial"/>
          <w:color w:val="auto"/>
        </w:rPr>
        <w:t>Línea base de integridad ecológica en Colombia y en la ecorregión de la Amazonia.</w:t>
      </w:r>
      <w:bookmarkEnd w:id="267"/>
    </w:p>
    <w:p w14:paraId="1625C668" w14:textId="2719C972" w:rsidR="23C23076" w:rsidRPr="00B450EB" w:rsidRDefault="003D1FC5" w:rsidP="00A73858">
      <w:pPr>
        <w:spacing w:after="0"/>
        <w:rPr>
          <w:rFonts w:eastAsia="Arial" w:cs="Arial"/>
          <w:i/>
        </w:rPr>
      </w:pPr>
      <w:r w:rsidRPr="00B450EB">
        <w:rPr>
          <w:noProof/>
        </w:rPr>
        <w:drawing>
          <wp:inline distT="0" distB="0" distL="0" distR="0" wp14:anchorId="2351E7F8" wp14:editId="5350B12A">
            <wp:extent cx="5610225" cy="4210050"/>
            <wp:effectExtent l="0" t="0" r="9525" b="0"/>
            <wp:docPr id="17991131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113133" name=""/>
                    <pic:cNvPicPr/>
                  </pic:nvPicPr>
                  <pic:blipFill>
                    <a:blip r:embed="rId190" cstate="email">
                      <a:extLst>
                        <a:ext uri="{28A0092B-C50C-407E-A947-70E740481C1C}">
                          <a14:useLocalDpi xmlns:a14="http://schemas.microsoft.com/office/drawing/2010/main"/>
                        </a:ext>
                      </a:extLst>
                    </a:blip>
                    <a:stretch>
                      <a:fillRect/>
                    </a:stretch>
                  </pic:blipFill>
                  <pic:spPr>
                    <a:xfrm>
                      <a:off x="0" y="0"/>
                      <a:ext cx="5610225" cy="4210050"/>
                    </a:xfrm>
                    <a:prstGeom prst="rect">
                      <a:avLst/>
                    </a:prstGeom>
                  </pic:spPr>
                </pic:pic>
              </a:graphicData>
            </a:graphic>
          </wp:inline>
        </w:drawing>
      </w:r>
    </w:p>
    <w:p w14:paraId="4E49679E" w14:textId="3DC9CADC" w:rsidR="003D1FC5" w:rsidRPr="00B450EB" w:rsidRDefault="003D1FC5" w:rsidP="003D1FC5">
      <w:pPr>
        <w:spacing w:after="200"/>
        <w:jc w:val="center"/>
        <w:rPr>
          <w:rFonts w:eastAsia="Arial" w:cs="Arial"/>
          <w:iCs/>
          <w:sz w:val="18"/>
          <w:szCs w:val="18"/>
        </w:rPr>
      </w:pPr>
      <w:r w:rsidRPr="00B450EB">
        <w:rPr>
          <w:rFonts w:eastAsia="Arial" w:cs="Arial"/>
          <w:iCs/>
          <w:sz w:val="18"/>
          <w:szCs w:val="18"/>
        </w:rPr>
        <w:t>Fuente</w:t>
      </w:r>
      <w:r w:rsidR="00A73858" w:rsidRPr="00B450EB">
        <w:rPr>
          <w:rFonts w:eastAsia="Arial" w:cs="Arial"/>
          <w:iCs/>
          <w:sz w:val="18"/>
          <w:szCs w:val="18"/>
        </w:rPr>
        <w:t>:</w:t>
      </w:r>
      <w:r w:rsidRPr="00B450EB">
        <w:rPr>
          <w:rFonts w:eastAsia="Arial" w:cs="Arial"/>
          <w:iCs/>
          <w:sz w:val="18"/>
          <w:szCs w:val="18"/>
          <w:lang w:val="es"/>
        </w:rPr>
        <w:t xml:space="preserve"> </w:t>
      </w:r>
      <w:proofErr w:type="spellStart"/>
      <w:r w:rsidRPr="00B450EB">
        <w:rPr>
          <w:rFonts w:eastAsia="Arial" w:cs="Arial"/>
          <w:iCs/>
          <w:sz w:val="18"/>
          <w:szCs w:val="18"/>
          <w:lang w:val="es"/>
        </w:rPr>
        <w:t>Isaacs</w:t>
      </w:r>
      <w:proofErr w:type="spellEnd"/>
      <w:r w:rsidRPr="00B450EB">
        <w:rPr>
          <w:rFonts w:eastAsia="Arial" w:cs="Arial"/>
          <w:iCs/>
          <w:sz w:val="18"/>
          <w:szCs w:val="18"/>
          <w:lang w:val="es"/>
        </w:rPr>
        <w:t xml:space="preserve"> y González (2028)</w:t>
      </w:r>
    </w:p>
    <w:p w14:paraId="42138ACF" w14:textId="5F7721E8" w:rsidR="040A64F8" w:rsidRPr="00B450EB" w:rsidRDefault="040A64F8" w:rsidP="291C4EF7">
      <w:pPr>
        <w:spacing w:after="200"/>
        <w:jc w:val="center"/>
        <w:rPr>
          <w:rFonts w:eastAsia="Arial" w:cs="Arial"/>
        </w:rPr>
      </w:pPr>
      <w:r w:rsidRPr="00B450EB">
        <w:rPr>
          <w:rFonts w:eastAsia="Arial" w:cs="Arial"/>
          <w:b/>
        </w:rPr>
        <w:t>Enfoque de los procesos de restauración para la Amazonía colombiana</w:t>
      </w:r>
    </w:p>
    <w:p w14:paraId="70746741" w14:textId="4A9ECE1D" w:rsidR="040A64F8" w:rsidRPr="00B450EB" w:rsidRDefault="040A64F8" w:rsidP="14312566">
      <w:pPr>
        <w:spacing w:after="200"/>
        <w:rPr>
          <w:rFonts w:eastAsia="Arial" w:cs="Arial"/>
        </w:rPr>
      </w:pPr>
      <w:r w:rsidRPr="00B450EB">
        <w:rPr>
          <w:rFonts w:eastAsia="Arial" w:cs="Arial"/>
          <w:lang w:val="es"/>
        </w:rPr>
        <w:t>Con el objetivo de transitar hacía una Amazonía más sostenible, que garantice el fortalecimiento de la presencia del Estado en el territorio y el fortalecimiento de las gobernanzas locales para la implementación de políticas y estrategias acordes con las particularidades y contextos de este territorio, el Ministerio de Ambiente y Desarrollo Sostenible consolida el “Programa Estratégico de líneas de Inversión en la Amazonia para el Fondo para la Vida y la Biodiversidad (FPVB)”  en el cual se proponen unas líneas estratégicas para lograr una intervención integral en la región desde el pilar de la construcción participativa de soluciones de la gente y con la gente.</w:t>
      </w:r>
    </w:p>
    <w:p w14:paraId="4F2979EB" w14:textId="6F05AEC7" w:rsidR="040A64F8" w:rsidRPr="00B450EB" w:rsidRDefault="040A64F8" w:rsidP="14312566">
      <w:pPr>
        <w:spacing w:after="200"/>
        <w:rPr>
          <w:rFonts w:eastAsia="Arial" w:cs="Arial"/>
          <w:lang w:val="es-ES"/>
        </w:rPr>
      </w:pPr>
      <w:r w:rsidRPr="00B450EB">
        <w:rPr>
          <w:rFonts w:eastAsia="Arial" w:cs="Arial"/>
          <w:lang w:val="es-ES"/>
        </w:rPr>
        <w:lastRenderedPageBreak/>
        <w:t>La línea de  restauración, desde un enfoque participativo, comunitario y biocultural,  propone acciones de establecimiento de acciones de restauración multifuncional, la generación de planes de ordenamiento para la restauración y revitalización productiva, fortalecimiento de capacidades comunitarias para la gestión y apropiación de  la restauración, actividades de mantenimiento y monitoreo  con el fin de fortalecer la gobernanza ambiental y la base natural para el desarrollo de economías de la biodiversidad.</w:t>
      </w:r>
    </w:p>
    <w:p w14:paraId="20F65772" w14:textId="79C15242" w:rsidR="040A64F8" w:rsidRPr="00B450EB" w:rsidRDefault="040A64F8" w:rsidP="14312566">
      <w:pPr>
        <w:spacing w:after="0" w:line="276" w:lineRule="auto"/>
        <w:rPr>
          <w:rFonts w:eastAsia="Arial" w:cs="Arial"/>
          <w:lang w:val="es-ES"/>
        </w:rPr>
      </w:pPr>
      <w:r w:rsidRPr="00B450EB">
        <w:rPr>
          <w:rFonts w:eastAsia="Arial" w:cs="Arial"/>
          <w:lang w:val="es-ES"/>
        </w:rPr>
        <w:t>En este sentido, para el macroproyecto de restauración de mosaicos amazónicos, Ministerio de Ambiente e Instituto SINCHI definieron un modelo ecológico para la identificación y categorización de áreas de importancia para la restauración del paisaje a través de un análisis espacial, que permita ubicar zonas transformadas de alto interés para mejorar procesos ecológicos en la Amazonía (</w:t>
      </w:r>
      <w:r w:rsidR="003D1FC5" w:rsidRPr="00B450EB">
        <w:rPr>
          <w:rFonts w:eastAsia="Arial" w:cs="Arial"/>
          <w:lang w:val="es-ES"/>
        </w:rPr>
        <w:fldChar w:fldCharType="begin"/>
      </w:r>
      <w:r w:rsidR="003D1FC5" w:rsidRPr="00B450EB">
        <w:rPr>
          <w:rFonts w:eastAsia="Arial" w:cs="Arial"/>
          <w:lang w:val="es-ES"/>
        </w:rPr>
        <w:instrText xml:space="preserve"> REF _Ref209252754 \h </w:instrText>
      </w:r>
      <w:r w:rsidR="006E0BC8" w:rsidRPr="00B450EB">
        <w:rPr>
          <w:rFonts w:eastAsia="Arial" w:cs="Arial"/>
          <w:lang w:val="es-ES"/>
        </w:rPr>
        <w:instrText xml:space="preserve"> \* MERGEFORMAT </w:instrText>
      </w:r>
      <w:r w:rsidR="003D1FC5" w:rsidRPr="00B450EB">
        <w:rPr>
          <w:rFonts w:eastAsia="Arial" w:cs="Arial"/>
          <w:lang w:val="es-ES"/>
        </w:rPr>
      </w:r>
      <w:r w:rsidR="003D1FC5" w:rsidRPr="00B450EB">
        <w:rPr>
          <w:rFonts w:eastAsia="Arial" w:cs="Arial"/>
          <w:lang w:val="es-ES"/>
        </w:rPr>
        <w:fldChar w:fldCharType="separate"/>
      </w:r>
      <w:r w:rsidR="00010D09" w:rsidRPr="00B450EB">
        <w:t xml:space="preserve">Figura </w:t>
      </w:r>
      <w:r w:rsidR="00010D09" w:rsidRPr="00B450EB">
        <w:rPr>
          <w:noProof/>
        </w:rPr>
        <w:t>116</w:t>
      </w:r>
      <w:r w:rsidR="003D1FC5" w:rsidRPr="00B450EB">
        <w:rPr>
          <w:rFonts w:eastAsia="Arial" w:cs="Arial"/>
          <w:lang w:val="es-ES"/>
        </w:rPr>
        <w:fldChar w:fldCharType="end"/>
      </w:r>
      <w:r w:rsidRPr="00B450EB">
        <w:rPr>
          <w:rFonts w:eastAsia="Arial" w:cs="Arial"/>
          <w:lang w:val="es-ES"/>
        </w:rPr>
        <w:t>).</w:t>
      </w:r>
    </w:p>
    <w:p w14:paraId="5DE31F32" w14:textId="44CCEB71" w:rsidR="14312566" w:rsidRPr="00B450EB" w:rsidRDefault="14312566" w:rsidP="14312566">
      <w:pPr>
        <w:spacing w:after="0" w:line="276" w:lineRule="auto"/>
        <w:rPr>
          <w:rFonts w:eastAsia="Arial" w:cs="Arial"/>
          <w:lang w:val="es-ES"/>
        </w:rPr>
      </w:pPr>
    </w:p>
    <w:p w14:paraId="10A1B5CF" w14:textId="478718B6" w:rsidR="003D1FC5" w:rsidRPr="00B450EB" w:rsidRDefault="003D1FC5" w:rsidP="003D1FC5">
      <w:pPr>
        <w:pStyle w:val="Descripcin"/>
        <w:rPr>
          <w:noProof/>
          <w:color w:val="auto"/>
        </w:rPr>
      </w:pPr>
      <w:bookmarkStart w:id="268" w:name="_Ref209252754"/>
      <w:bookmarkStart w:id="269" w:name="_Toc209462804"/>
      <w:r w:rsidRPr="00B450EB">
        <w:rPr>
          <w:color w:val="auto"/>
        </w:rPr>
        <w:t xml:space="preserve">Figura </w:t>
      </w:r>
      <w:r w:rsidRPr="00B450EB">
        <w:rPr>
          <w:color w:val="auto"/>
        </w:rPr>
        <w:fldChar w:fldCharType="begin"/>
      </w:r>
      <w:r w:rsidRPr="00B450EB">
        <w:rPr>
          <w:color w:val="auto"/>
        </w:rPr>
        <w:instrText xml:space="preserve"> SEQ Figura \* ARABIC </w:instrText>
      </w:r>
      <w:r w:rsidRPr="00B450EB">
        <w:rPr>
          <w:color w:val="auto"/>
        </w:rPr>
        <w:fldChar w:fldCharType="separate"/>
      </w:r>
      <w:r w:rsidR="00010D09" w:rsidRPr="00B450EB">
        <w:rPr>
          <w:noProof/>
          <w:color w:val="auto"/>
        </w:rPr>
        <w:t>116</w:t>
      </w:r>
      <w:r w:rsidRPr="00B450EB">
        <w:rPr>
          <w:color w:val="auto"/>
        </w:rPr>
        <w:fldChar w:fldCharType="end"/>
      </w:r>
      <w:bookmarkEnd w:id="268"/>
      <w:r w:rsidRPr="00B450EB">
        <w:rPr>
          <w:color w:val="auto"/>
        </w:rPr>
        <w:t xml:space="preserve">. </w:t>
      </w:r>
      <w:r w:rsidR="040A64F8" w:rsidRPr="00B450EB">
        <w:rPr>
          <w:rFonts w:eastAsia="Arial" w:cs="Arial"/>
          <w:color w:val="auto"/>
        </w:rPr>
        <w:t>Resultados, proceso técnico para la definición de áreas prioritarias de restauración para la Amazonia Colombiana, Componente Ecológico.</w:t>
      </w:r>
      <w:r w:rsidRPr="00B450EB">
        <w:rPr>
          <w:noProof/>
          <w:color w:val="auto"/>
        </w:rPr>
        <w:t xml:space="preserve"> </w:t>
      </w:r>
      <w:r w:rsidRPr="00B450EB">
        <w:rPr>
          <w:noProof/>
          <w:color w:val="auto"/>
        </w:rPr>
        <w:drawing>
          <wp:inline distT="0" distB="0" distL="0" distR="0" wp14:anchorId="614416B3" wp14:editId="28EBEA31">
            <wp:extent cx="4191000" cy="2895600"/>
            <wp:effectExtent l="0" t="0" r="0" b="0"/>
            <wp:docPr id="460923604" name="drawing"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23604" name=""/>
                    <pic:cNvPicPr/>
                  </pic:nvPicPr>
                  <pic:blipFill>
                    <a:blip r:embed="rId191" cstate="email">
                      <a:extLst>
                        <a:ext uri="{28A0092B-C50C-407E-A947-70E740481C1C}">
                          <a14:useLocalDpi xmlns:a14="http://schemas.microsoft.com/office/drawing/2010/main"/>
                        </a:ext>
                      </a:extLst>
                    </a:blip>
                    <a:stretch>
                      <a:fillRect/>
                    </a:stretch>
                  </pic:blipFill>
                  <pic:spPr>
                    <a:xfrm>
                      <a:off x="0" y="0"/>
                      <a:ext cx="4191000" cy="2895600"/>
                    </a:xfrm>
                    <a:prstGeom prst="rect">
                      <a:avLst/>
                    </a:prstGeom>
                  </pic:spPr>
                </pic:pic>
              </a:graphicData>
            </a:graphic>
          </wp:inline>
        </w:drawing>
      </w:r>
      <w:bookmarkEnd w:id="269"/>
    </w:p>
    <w:p w14:paraId="27E9621A" w14:textId="1EEBF741" w:rsidR="003D1FC5" w:rsidRPr="00B450EB" w:rsidRDefault="003D1FC5" w:rsidP="003D1FC5">
      <w:pPr>
        <w:spacing w:after="200"/>
        <w:jc w:val="center"/>
        <w:rPr>
          <w:noProof/>
          <w:sz w:val="18"/>
          <w:szCs w:val="18"/>
        </w:rPr>
      </w:pPr>
      <w:r w:rsidRPr="00B450EB">
        <w:rPr>
          <w:noProof/>
          <w:sz w:val="18"/>
          <w:szCs w:val="18"/>
        </w:rPr>
        <w:t>Fuente: SINCHI</w:t>
      </w:r>
      <w:r w:rsidR="00C12801" w:rsidRPr="00B450EB">
        <w:rPr>
          <w:noProof/>
          <w:sz w:val="18"/>
          <w:szCs w:val="18"/>
        </w:rPr>
        <w:t>.2024</w:t>
      </w:r>
    </w:p>
    <w:p w14:paraId="20C3F05F" w14:textId="67C5E4B5" w:rsidR="040A64F8" w:rsidRPr="00B450EB" w:rsidRDefault="003D1FC5" w:rsidP="003D1FC5">
      <w:pPr>
        <w:pStyle w:val="Descripcin"/>
        <w:rPr>
          <w:rFonts w:eastAsia="Arial" w:cs="Arial"/>
          <w:color w:val="auto"/>
        </w:rPr>
      </w:pPr>
      <w:bookmarkStart w:id="270" w:name="_Toc209723012"/>
      <w:r w:rsidRPr="00B450EB">
        <w:rPr>
          <w:color w:val="auto"/>
        </w:rPr>
        <w:t xml:space="preserve">Tabla </w:t>
      </w:r>
      <w:r w:rsidR="040A64F8" w:rsidRPr="00B450EB">
        <w:rPr>
          <w:color w:val="auto"/>
        </w:rPr>
        <w:fldChar w:fldCharType="begin"/>
      </w:r>
      <w:r w:rsidR="040A64F8" w:rsidRPr="00B450EB">
        <w:rPr>
          <w:color w:val="auto"/>
        </w:rPr>
        <w:instrText xml:space="preserve"> SEQ Tabla \* ARABIC </w:instrText>
      </w:r>
      <w:r w:rsidR="040A64F8" w:rsidRPr="00B450EB">
        <w:rPr>
          <w:color w:val="auto"/>
        </w:rPr>
        <w:fldChar w:fldCharType="separate"/>
      </w:r>
      <w:r w:rsidR="00BC4A10" w:rsidRPr="00B450EB">
        <w:rPr>
          <w:noProof/>
          <w:color w:val="auto"/>
        </w:rPr>
        <w:t>29</w:t>
      </w:r>
      <w:r w:rsidR="040A64F8" w:rsidRPr="00B450EB">
        <w:rPr>
          <w:color w:val="auto"/>
        </w:rPr>
        <w:fldChar w:fldCharType="end"/>
      </w:r>
      <w:r w:rsidRPr="00B450EB">
        <w:rPr>
          <w:color w:val="auto"/>
        </w:rPr>
        <w:t xml:space="preserve">. </w:t>
      </w:r>
      <w:r w:rsidR="040A64F8" w:rsidRPr="00B450EB">
        <w:rPr>
          <w:rFonts w:eastAsia="Arial" w:cs="Arial"/>
          <w:color w:val="auto"/>
        </w:rPr>
        <w:t>Resultados priorización Modelo Ecológico por prioridad</w:t>
      </w:r>
      <w:bookmarkEnd w:id="270"/>
    </w:p>
    <w:tbl>
      <w:tblPr>
        <w:tblW w:w="0" w:type="auto"/>
        <w:jc w:val="center"/>
        <w:tblLayout w:type="fixed"/>
        <w:tblLook w:val="0400" w:firstRow="0" w:lastRow="0" w:firstColumn="0" w:lastColumn="0" w:noHBand="0" w:noVBand="1"/>
      </w:tblPr>
      <w:tblGrid>
        <w:gridCol w:w="1759"/>
        <w:gridCol w:w="1759"/>
        <w:gridCol w:w="1759"/>
        <w:gridCol w:w="1759"/>
      </w:tblGrid>
      <w:tr w:rsidR="00205915" w:rsidRPr="00B450EB" w14:paraId="217BC9E0" w14:textId="77777777" w:rsidTr="00B561D3">
        <w:trPr>
          <w:trHeight w:val="53"/>
          <w:tblHeader/>
          <w:jc w:val="center"/>
        </w:trPr>
        <w:tc>
          <w:tcPr>
            <w:tcW w:w="7036"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tcMar>
              <w:left w:w="105" w:type="dxa"/>
              <w:right w:w="105" w:type="dxa"/>
            </w:tcMar>
            <w:vAlign w:val="bottom"/>
          </w:tcPr>
          <w:p w14:paraId="730013FC" w14:textId="54DCA624" w:rsidR="75B6096A" w:rsidRPr="00B450EB" w:rsidRDefault="75B6096A" w:rsidP="00B561D3">
            <w:pPr>
              <w:spacing w:after="0" w:line="240" w:lineRule="auto"/>
              <w:jc w:val="center"/>
              <w:rPr>
                <w:rFonts w:eastAsia="Arial" w:cs="Arial"/>
                <w:sz w:val="18"/>
                <w:szCs w:val="18"/>
                <w:lang w:val="es-ES"/>
              </w:rPr>
            </w:pPr>
            <w:r w:rsidRPr="00B450EB">
              <w:rPr>
                <w:rFonts w:eastAsia="Arial" w:cs="Arial"/>
                <w:b/>
                <w:sz w:val="18"/>
                <w:szCs w:val="18"/>
              </w:rPr>
              <w:t>PRIORIDADES DE RESTAURACIÓN 2024</w:t>
            </w:r>
          </w:p>
        </w:tc>
      </w:tr>
      <w:tr w:rsidR="00205915" w:rsidRPr="00B450EB" w14:paraId="71F14F72" w14:textId="77777777" w:rsidTr="00B561D3">
        <w:trPr>
          <w:trHeight w:val="153"/>
          <w:tblHeader/>
          <w:jc w:val="center"/>
        </w:trPr>
        <w:tc>
          <w:tcPr>
            <w:tcW w:w="7036"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tcMar>
              <w:left w:w="105" w:type="dxa"/>
              <w:right w:w="105" w:type="dxa"/>
            </w:tcMar>
            <w:vAlign w:val="bottom"/>
          </w:tcPr>
          <w:p w14:paraId="6A048785" w14:textId="689DB148" w:rsidR="75B6096A" w:rsidRPr="00B450EB" w:rsidRDefault="75B6096A" w:rsidP="00B561D3">
            <w:pPr>
              <w:spacing w:after="0" w:line="240" w:lineRule="auto"/>
              <w:jc w:val="center"/>
              <w:rPr>
                <w:rFonts w:eastAsia="Arial" w:cs="Arial"/>
                <w:sz w:val="18"/>
                <w:szCs w:val="18"/>
                <w:lang w:val="es-ES"/>
              </w:rPr>
            </w:pPr>
            <w:r w:rsidRPr="00B450EB">
              <w:rPr>
                <w:rFonts w:eastAsia="Arial" w:cs="Arial"/>
                <w:b/>
                <w:sz w:val="18"/>
                <w:szCs w:val="18"/>
              </w:rPr>
              <w:t>Modelo Ecológico</w:t>
            </w:r>
          </w:p>
        </w:tc>
      </w:tr>
      <w:tr w:rsidR="00205915" w:rsidRPr="00B450EB" w14:paraId="463D0E2D" w14:textId="77777777" w:rsidTr="00A73858">
        <w:trPr>
          <w:trHeight w:val="285"/>
          <w:tblHeader/>
          <w:jc w:val="center"/>
        </w:trPr>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tcMar>
              <w:left w:w="105" w:type="dxa"/>
              <w:right w:w="105" w:type="dxa"/>
            </w:tcMar>
            <w:vAlign w:val="bottom"/>
          </w:tcPr>
          <w:p w14:paraId="7B60DADC" w14:textId="0214B663" w:rsidR="75B6096A" w:rsidRPr="00B450EB" w:rsidRDefault="75B6096A" w:rsidP="00B561D3">
            <w:pPr>
              <w:spacing w:after="0" w:line="240" w:lineRule="auto"/>
              <w:jc w:val="center"/>
              <w:rPr>
                <w:rFonts w:eastAsia="Arial" w:cs="Arial"/>
                <w:sz w:val="18"/>
                <w:szCs w:val="18"/>
                <w:lang w:val="es-ES"/>
              </w:rPr>
            </w:pPr>
            <w:r w:rsidRPr="00B450EB">
              <w:rPr>
                <w:rFonts w:eastAsia="Arial" w:cs="Arial"/>
                <w:b/>
                <w:sz w:val="18"/>
                <w:szCs w:val="18"/>
              </w:rPr>
              <w:t>Símbolo</w:t>
            </w:r>
          </w:p>
        </w:tc>
        <w:tc>
          <w:tcPr>
            <w:tcW w:w="1759" w:type="dxa"/>
            <w:tcBorders>
              <w:top w:val="nil"/>
              <w:left w:val="single" w:sz="6" w:space="0" w:color="000000" w:themeColor="text1"/>
              <w:bottom w:val="single" w:sz="6" w:space="0" w:color="000000" w:themeColor="text1"/>
              <w:right w:val="single" w:sz="6" w:space="0" w:color="000000" w:themeColor="text1"/>
            </w:tcBorders>
            <w:shd w:val="clear" w:color="auto" w:fill="E7E6E6"/>
            <w:tcMar>
              <w:left w:w="105" w:type="dxa"/>
              <w:right w:w="105" w:type="dxa"/>
            </w:tcMar>
            <w:vAlign w:val="bottom"/>
          </w:tcPr>
          <w:p w14:paraId="105B24E5" w14:textId="76E9DDC5" w:rsidR="75B6096A" w:rsidRPr="00B450EB" w:rsidRDefault="75B6096A" w:rsidP="00B561D3">
            <w:pPr>
              <w:spacing w:after="0" w:line="240" w:lineRule="auto"/>
              <w:jc w:val="center"/>
              <w:rPr>
                <w:rFonts w:eastAsia="Arial" w:cs="Arial"/>
                <w:sz w:val="18"/>
                <w:szCs w:val="18"/>
                <w:lang w:val="es-ES"/>
              </w:rPr>
            </w:pPr>
            <w:r w:rsidRPr="00B450EB">
              <w:rPr>
                <w:rFonts w:eastAsia="Arial" w:cs="Arial"/>
                <w:b/>
                <w:sz w:val="18"/>
                <w:szCs w:val="18"/>
              </w:rPr>
              <w:t>Nivel Prioridad</w:t>
            </w:r>
          </w:p>
        </w:tc>
        <w:tc>
          <w:tcPr>
            <w:tcW w:w="1759" w:type="dxa"/>
            <w:tcBorders>
              <w:top w:val="nil"/>
              <w:left w:val="single" w:sz="6" w:space="0" w:color="000000" w:themeColor="text1"/>
              <w:bottom w:val="single" w:sz="6" w:space="0" w:color="000000" w:themeColor="text1"/>
              <w:right w:val="single" w:sz="6" w:space="0" w:color="000000" w:themeColor="text1"/>
            </w:tcBorders>
            <w:shd w:val="clear" w:color="auto" w:fill="E7E6E6"/>
            <w:tcMar>
              <w:left w:w="105" w:type="dxa"/>
              <w:right w:w="105" w:type="dxa"/>
            </w:tcMar>
            <w:vAlign w:val="bottom"/>
          </w:tcPr>
          <w:p w14:paraId="4FBBE53B" w14:textId="1DC2C63D" w:rsidR="75B6096A" w:rsidRPr="00B450EB" w:rsidRDefault="75B6096A" w:rsidP="00B561D3">
            <w:pPr>
              <w:spacing w:after="0" w:line="240" w:lineRule="auto"/>
              <w:jc w:val="center"/>
              <w:rPr>
                <w:rFonts w:eastAsia="Arial" w:cs="Arial"/>
                <w:sz w:val="18"/>
                <w:szCs w:val="18"/>
                <w:lang w:val="es-ES"/>
              </w:rPr>
            </w:pPr>
            <w:r w:rsidRPr="00B450EB">
              <w:rPr>
                <w:rFonts w:eastAsia="Arial" w:cs="Arial"/>
                <w:b/>
                <w:sz w:val="18"/>
                <w:szCs w:val="18"/>
              </w:rPr>
              <w:t>Área (ha)</w:t>
            </w:r>
          </w:p>
        </w:tc>
        <w:tc>
          <w:tcPr>
            <w:tcW w:w="1759" w:type="dxa"/>
            <w:tcBorders>
              <w:top w:val="nil"/>
              <w:left w:val="single" w:sz="6" w:space="0" w:color="000000" w:themeColor="text1"/>
              <w:bottom w:val="single" w:sz="6" w:space="0" w:color="000000" w:themeColor="text1"/>
              <w:right w:val="single" w:sz="6" w:space="0" w:color="000000" w:themeColor="text1"/>
            </w:tcBorders>
            <w:shd w:val="clear" w:color="auto" w:fill="E7E6E6"/>
            <w:tcMar>
              <w:left w:w="105" w:type="dxa"/>
              <w:right w:w="105" w:type="dxa"/>
            </w:tcMar>
            <w:vAlign w:val="bottom"/>
          </w:tcPr>
          <w:p w14:paraId="3594F296" w14:textId="2356FD0C" w:rsidR="75B6096A" w:rsidRPr="00B450EB" w:rsidRDefault="75B6096A" w:rsidP="00B561D3">
            <w:pPr>
              <w:spacing w:after="0" w:line="240" w:lineRule="auto"/>
              <w:jc w:val="center"/>
              <w:rPr>
                <w:rFonts w:eastAsia="Arial" w:cs="Arial"/>
                <w:sz w:val="18"/>
                <w:szCs w:val="18"/>
                <w:lang w:val="es-ES"/>
              </w:rPr>
            </w:pPr>
            <w:r w:rsidRPr="00B450EB">
              <w:rPr>
                <w:rFonts w:eastAsia="Arial" w:cs="Arial"/>
                <w:b/>
                <w:sz w:val="18"/>
                <w:szCs w:val="18"/>
              </w:rPr>
              <w:t>Área (%)</w:t>
            </w:r>
          </w:p>
        </w:tc>
      </w:tr>
      <w:tr w:rsidR="00205915" w:rsidRPr="00B450EB" w14:paraId="3EB1A413" w14:textId="77777777" w:rsidTr="0EB24FDD">
        <w:trPr>
          <w:trHeight w:val="285"/>
          <w:jc w:val="center"/>
        </w:trPr>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730000"/>
            <w:tcMar>
              <w:left w:w="105" w:type="dxa"/>
              <w:right w:w="105" w:type="dxa"/>
            </w:tcMar>
            <w:vAlign w:val="bottom"/>
          </w:tcPr>
          <w:p w14:paraId="5182F9A9" w14:textId="36382871"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 xml:space="preserve"> </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30796C1D" w14:textId="0C384A54"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Muy Alta</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0A248992" w14:textId="203A6F1E" w:rsidR="75B6096A" w:rsidRPr="00B450EB" w:rsidRDefault="75B6096A" w:rsidP="00B561D3">
            <w:pPr>
              <w:spacing w:after="0" w:line="240" w:lineRule="auto"/>
              <w:jc w:val="right"/>
              <w:rPr>
                <w:rFonts w:eastAsia="Arial" w:cs="Arial"/>
                <w:sz w:val="18"/>
                <w:szCs w:val="18"/>
                <w:lang w:val="es-ES"/>
              </w:rPr>
            </w:pPr>
            <w:r w:rsidRPr="00B450EB">
              <w:rPr>
                <w:rFonts w:eastAsia="Arial" w:cs="Arial"/>
                <w:sz w:val="18"/>
                <w:szCs w:val="18"/>
              </w:rPr>
              <w:t>32.289</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77710725" w14:textId="32588DE0" w:rsidR="75B6096A" w:rsidRPr="00B450EB" w:rsidRDefault="75B6096A" w:rsidP="00B561D3">
            <w:pPr>
              <w:spacing w:after="0" w:line="240" w:lineRule="auto"/>
              <w:jc w:val="center"/>
              <w:rPr>
                <w:rFonts w:eastAsia="Arial" w:cs="Arial"/>
                <w:sz w:val="18"/>
                <w:szCs w:val="18"/>
                <w:lang w:val="es-ES"/>
              </w:rPr>
            </w:pPr>
            <w:r w:rsidRPr="00B450EB">
              <w:rPr>
                <w:rFonts w:eastAsia="Arial" w:cs="Arial"/>
                <w:sz w:val="18"/>
                <w:szCs w:val="18"/>
              </w:rPr>
              <w:t>0,1</w:t>
            </w:r>
          </w:p>
        </w:tc>
      </w:tr>
      <w:tr w:rsidR="00205915" w:rsidRPr="00B450EB" w14:paraId="62DB2134" w14:textId="77777777" w:rsidTr="0EB24FDD">
        <w:trPr>
          <w:trHeight w:val="285"/>
          <w:jc w:val="center"/>
        </w:trPr>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60000"/>
            <w:tcMar>
              <w:left w:w="105" w:type="dxa"/>
              <w:right w:w="105" w:type="dxa"/>
            </w:tcMar>
            <w:vAlign w:val="bottom"/>
          </w:tcPr>
          <w:p w14:paraId="234E8F00" w14:textId="63441D99"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 xml:space="preserve"> </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1A65E821" w14:textId="0B8F4BC1"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Alta</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0BFA18EB" w14:textId="71F8241C" w:rsidR="75B6096A" w:rsidRPr="00B450EB" w:rsidRDefault="75B6096A" w:rsidP="00B561D3">
            <w:pPr>
              <w:spacing w:after="0" w:line="240" w:lineRule="auto"/>
              <w:jc w:val="right"/>
              <w:rPr>
                <w:rFonts w:eastAsia="Arial" w:cs="Arial"/>
                <w:sz w:val="18"/>
                <w:szCs w:val="18"/>
                <w:lang w:val="es-ES"/>
              </w:rPr>
            </w:pPr>
            <w:r w:rsidRPr="00B450EB">
              <w:rPr>
                <w:rFonts w:eastAsia="Arial" w:cs="Arial"/>
                <w:sz w:val="18"/>
                <w:szCs w:val="18"/>
              </w:rPr>
              <w:t>1.167.449</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178E68ED" w14:textId="49ED4980" w:rsidR="75B6096A" w:rsidRPr="00B450EB" w:rsidRDefault="75B6096A" w:rsidP="00B561D3">
            <w:pPr>
              <w:spacing w:after="0" w:line="240" w:lineRule="auto"/>
              <w:jc w:val="center"/>
              <w:rPr>
                <w:rFonts w:eastAsia="Arial" w:cs="Arial"/>
                <w:sz w:val="18"/>
                <w:szCs w:val="18"/>
                <w:lang w:val="es-ES"/>
              </w:rPr>
            </w:pPr>
            <w:r w:rsidRPr="00B450EB">
              <w:rPr>
                <w:rFonts w:eastAsia="Arial" w:cs="Arial"/>
                <w:sz w:val="18"/>
                <w:szCs w:val="18"/>
              </w:rPr>
              <w:t>2,4</w:t>
            </w:r>
          </w:p>
        </w:tc>
      </w:tr>
      <w:tr w:rsidR="00205915" w:rsidRPr="00B450EB" w14:paraId="404EA438" w14:textId="77777777" w:rsidTr="0EB24FDD">
        <w:trPr>
          <w:trHeight w:val="285"/>
          <w:jc w:val="center"/>
        </w:trPr>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00"/>
            <w:tcMar>
              <w:left w:w="105" w:type="dxa"/>
              <w:right w:w="105" w:type="dxa"/>
            </w:tcMar>
            <w:vAlign w:val="bottom"/>
          </w:tcPr>
          <w:p w14:paraId="21C514E4" w14:textId="34663E72"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 xml:space="preserve"> </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7CBCA070" w14:textId="1D08387D"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Media</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622AD5AD" w14:textId="53B2D936" w:rsidR="75B6096A" w:rsidRPr="00B450EB" w:rsidRDefault="75B6096A" w:rsidP="00B561D3">
            <w:pPr>
              <w:spacing w:after="0" w:line="240" w:lineRule="auto"/>
              <w:jc w:val="right"/>
              <w:rPr>
                <w:rFonts w:eastAsia="Arial" w:cs="Arial"/>
                <w:sz w:val="18"/>
                <w:szCs w:val="18"/>
                <w:lang w:val="es-ES"/>
              </w:rPr>
            </w:pPr>
            <w:r w:rsidRPr="00B450EB">
              <w:rPr>
                <w:rFonts w:eastAsia="Arial" w:cs="Arial"/>
                <w:sz w:val="18"/>
                <w:szCs w:val="18"/>
              </w:rPr>
              <w:t>4.713.505</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76B77BA0" w14:textId="42918AA9" w:rsidR="75B6096A" w:rsidRPr="00B450EB" w:rsidRDefault="75B6096A" w:rsidP="00B561D3">
            <w:pPr>
              <w:spacing w:after="0" w:line="240" w:lineRule="auto"/>
              <w:jc w:val="center"/>
              <w:rPr>
                <w:rFonts w:eastAsia="Arial" w:cs="Arial"/>
                <w:sz w:val="18"/>
                <w:szCs w:val="18"/>
                <w:lang w:val="es-ES"/>
              </w:rPr>
            </w:pPr>
            <w:r w:rsidRPr="00B450EB">
              <w:rPr>
                <w:rFonts w:eastAsia="Arial" w:cs="Arial"/>
                <w:sz w:val="18"/>
                <w:szCs w:val="18"/>
              </w:rPr>
              <w:t>9,8</w:t>
            </w:r>
          </w:p>
        </w:tc>
      </w:tr>
      <w:tr w:rsidR="00205915" w:rsidRPr="00B450EB" w14:paraId="35418D30" w14:textId="77777777" w:rsidTr="0EB24FDD">
        <w:trPr>
          <w:trHeight w:val="285"/>
          <w:jc w:val="center"/>
        </w:trPr>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8E600"/>
            <w:tcMar>
              <w:left w:w="105" w:type="dxa"/>
              <w:right w:w="105" w:type="dxa"/>
            </w:tcMar>
            <w:vAlign w:val="bottom"/>
          </w:tcPr>
          <w:p w14:paraId="02EBAC0A" w14:textId="31A6661A"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 xml:space="preserve"> </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6CF0817B" w14:textId="3476C448"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Baja</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4848C4A3" w14:textId="4B475809" w:rsidR="75B6096A" w:rsidRPr="00B450EB" w:rsidRDefault="75B6096A" w:rsidP="00B561D3">
            <w:pPr>
              <w:spacing w:after="0" w:line="240" w:lineRule="auto"/>
              <w:jc w:val="right"/>
              <w:rPr>
                <w:rFonts w:eastAsia="Arial" w:cs="Arial"/>
                <w:sz w:val="18"/>
                <w:szCs w:val="18"/>
                <w:lang w:val="es-ES"/>
              </w:rPr>
            </w:pPr>
            <w:r w:rsidRPr="00B450EB">
              <w:rPr>
                <w:rFonts w:eastAsia="Arial" w:cs="Arial"/>
                <w:sz w:val="18"/>
                <w:szCs w:val="18"/>
              </w:rPr>
              <w:t>8.233.880</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26C675D4" w14:textId="5E7BA98D" w:rsidR="75B6096A" w:rsidRPr="00B450EB" w:rsidRDefault="75B6096A" w:rsidP="00B561D3">
            <w:pPr>
              <w:spacing w:after="0" w:line="240" w:lineRule="auto"/>
              <w:jc w:val="center"/>
              <w:rPr>
                <w:rFonts w:eastAsia="Arial" w:cs="Arial"/>
                <w:sz w:val="18"/>
                <w:szCs w:val="18"/>
                <w:lang w:val="es-ES"/>
              </w:rPr>
            </w:pPr>
            <w:r w:rsidRPr="00B450EB">
              <w:rPr>
                <w:rFonts w:eastAsia="Arial" w:cs="Arial"/>
                <w:sz w:val="18"/>
                <w:szCs w:val="18"/>
              </w:rPr>
              <w:t>17,0</w:t>
            </w:r>
          </w:p>
        </w:tc>
      </w:tr>
      <w:tr w:rsidR="00205915" w:rsidRPr="00B450EB" w14:paraId="6B6DF33C" w14:textId="77777777" w:rsidTr="0EB24FDD">
        <w:trPr>
          <w:trHeight w:val="285"/>
          <w:jc w:val="center"/>
        </w:trPr>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267300"/>
            <w:tcMar>
              <w:left w:w="105" w:type="dxa"/>
              <w:right w:w="105" w:type="dxa"/>
            </w:tcMar>
            <w:vAlign w:val="bottom"/>
          </w:tcPr>
          <w:p w14:paraId="3EC76FFB" w14:textId="2C06979E"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 xml:space="preserve"> </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3C47ED5D" w14:textId="2F8F7383" w:rsidR="75B6096A" w:rsidRPr="00B450EB" w:rsidRDefault="75B6096A" w:rsidP="00B561D3">
            <w:pPr>
              <w:spacing w:after="0" w:line="240" w:lineRule="auto"/>
              <w:rPr>
                <w:rFonts w:eastAsia="Arial" w:cs="Arial"/>
                <w:sz w:val="18"/>
                <w:szCs w:val="18"/>
                <w:lang w:val="es-ES"/>
              </w:rPr>
            </w:pPr>
            <w:r w:rsidRPr="00B450EB">
              <w:rPr>
                <w:rFonts w:eastAsia="Arial" w:cs="Arial"/>
                <w:sz w:val="18"/>
                <w:szCs w:val="18"/>
              </w:rPr>
              <w:t>Muy Baja</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08BD605E" w14:textId="152DAFD4" w:rsidR="75B6096A" w:rsidRPr="00B450EB" w:rsidRDefault="75B6096A" w:rsidP="00B561D3">
            <w:pPr>
              <w:spacing w:after="0" w:line="240" w:lineRule="auto"/>
              <w:jc w:val="right"/>
              <w:rPr>
                <w:rFonts w:eastAsia="Arial" w:cs="Arial"/>
                <w:sz w:val="18"/>
                <w:szCs w:val="18"/>
                <w:lang w:val="es-ES"/>
              </w:rPr>
            </w:pPr>
            <w:r w:rsidRPr="00B450EB">
              <w:rPr>
                <w:rFonts w:eastAsia="Arial" w:cs="Arial"/>
                <w:sz w:val="18"/>
                <w:szCs w:val="18"/>
              </w:rPr>
              <w:t>34.181.174</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6A6C92D0" w14:textId="36631D27" w:rsidR="75B6096A" w:rsidRPr="00B450EB" w:rsidRDefault="75B6096A" w:rsidP="00B561D3">
            <w:pPr>
              <w:spacing w:after="0" w:line="240" w:lineRule="auto"/>
              <w:jc w:val="center"/>
              <w:rPr>
                <w:rFonts w:eastAsia="Arial" w:cs="Arial"/>
                <w:sz w:val="18"/>
                <w:szCs w:val="18"/>
                <w:lang w:val="es-ES"/>
              </w:rPr>
            </w:pPr>
            <w:r w:rsidRPr="00B450EB">
              <w:rPr>
                <w:rFonts w:eastAsia="Arial" w:cs="Arial"/>
                <w:sz w:val="18"/>
                <w:szCs w:val="18"/>
              </w:rPr>
              <w:t>70,7</w:t>
            </w:r>
          </w:p>
        </w:tc>
      </w:tr>
      <w:tr w:rsidR="00205915" w:rsidRPr="00B450EB" w14:paraId="7DDA5147" w14:textId="77777777" w:rsidTr="003D1FC5">
        <w:trPr>
          <w:trHeight w:val="285"/>
          <w:jc w:val="center"/>
        </w:trPr>
        <w:tc>
          <w:tcPr>
            <w:tcW w:w="3518"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3AC097E5" w14:textId="14561132" w:rsidR="75B6096A" w:rsidRPr="00B450EB" w:rsidRDefault="75B6096A" w:rsidP="00B561D3">
            <w:pPr>
              <w:spacing w:after="0" w:line="240" w:lineRule="auto"/>
              <w:jc w:val="center"/>
              <w:rPr>
                <w:rFonts w:eastAsia="Arial" w:cs="Arial"/>
                <w:sz w:val="18"/>
                <w:szCs w:val="18"/>
                <w:lang w:val="es-ES"/>
              </w:rPr>
            </w:pPr>
            <w:proofErr w:type="gramStart"/>
            <w:r w:rsidRPr="00B450EB">
              <w:rPr>
                <w:rFonts w:eastAsia="Arial" w:cs="Arial"/>
                <w:b/>
                <w:sz w:val="18"/>
                <w:szCs w:val="18"/>
              </w:rPr>
              <w:t>Total</w:t>
            </w:r>
            <w:proofErr w:type="gramEnd"/>
            <w:r w:rsidRPr="00B450EB">
              <w:rPr>
                <w:rFonts w:eastAsia="Arial" w:cs="Arial"/>
                <w:b/>
                <w:sz w:val="18"/>
                <w:szCs w:val="18"/>
              </w:rPr>
              <w:t xml:space="preserve"> Área</w:t>
            </w:r>
          </w:p>
        </w:tc>
        <w:tc>
          <w:tcPr>
            <w:tcW w:w="1759" w:type="dxa"/>
            <w:tcBorders>
              <w:top w:val="single" w:sz="6" w:space="0" w:color="000000" w:themeColor="text1"/>
              <w:left w:val="nil"/>
              <w:bottom w:val="single" w:sz="6" w:space="0" w:color="000000" w:themeColor="text1"/>
              <w:right w:val="single" w:sz="6" w:space="0" w:color="000000" w:themeColor="text1"/>
            </w:tcBorders>
            <w:tcMar>
              <w:left w:w="105" w:type="dxa"/>
              <w:right w:w="105" w:type="dxa"/>
            </w:tcMar>
            <w:vAlign w:val="bottom"/>
          </w:tcPr>
          <w:p w14:paraId="39D6020F" w14:textId="69CA4447" w:rsidR="75B6096A" w:rsidRPr="00B450EB" w:rsidRDefault="75B6096A" w:rsidP="00B561D3">
            <w:pPr>
              <w:spacing w:after="0" w:line="240" w:lineRule="auto"/>
              <w:jc w:val="center"/>
              <w:rPr>
                <w:rFonts w:eastAsia="Arial" w:cs="Arial"/>
                <w:sz w:val="18"/>
                <w:szCs w:val="18"/>
                <w:lang w:val="es-ES"/>
              </w:rPr>
            </w:pPr>
            <w:r w:rsidRPr="00B450EB">
              <w:rPr>
                <w:rFonts w:eastAsia="Arial" w:cs="Arial"/>
                <w:sz w:val="18"/>
                <w:szCs w:val="18"/>
              </w:rPr>
              <w:t>48.328.296</w:t>
            </w:r>
          </w:p>
        </w:tc>
        <w:tc>
          <w:tcPr>
            <w:tcW w:w="17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bottom"/>
          </w:tcPr>
          <w:p w14:paraId="7416E67C" w14:textId="3A102913" w:rsidR="75B6096A" w:rsidRPr="00B450EB" w:rsidRDefault="75B6096A" w:rsidP="00B561D3">
            <w:pPr>
              <w:spacing w:after="0" w:line="240" w:lineRule="auto"/>
              <w:jc w:val="center"/>
              <w:rPr>
                <w:rFonts w:eastAsia="Arial" w:cs="Arial"/>
                <w:sz w:val="18"/>
                <w:szCs w:val="18"/>
                <w:lang w:val="es-ES"/>
              </w:rPr>
            </w:pPr>
            <w:r w:rsidRPr="00B450EB">
              <w:rPr>
                <w:rFonts w:eastAsia="Arial" w:cs="Arial"/>
                <w:sz w:val="18"/>
                <w:szCs w:val="18"/>
              </w:rPr>
              <w:t>100</w:t>
            </w:r>
          </w:p>
        </w:tc>
      </w:tr>
    </w:tbl>
    <w:p w14:paraId="10D32F89" w14:textId="77777777" w:rsidR="00C12801" w:rsidRPr="00B450EB" w:rsidRDefault="00C12801" w:rsidP="00C12801">
      <w:pPr>
        <w:spacing w:after="200"/>
        <w:jc w:val="center"/>
        <w:rPr>
          <w:noProof/>
          <w:sz w:val="18"/>
          <w:szCs w:val="18"/>
        </w:rPr>
      </w:pPr>
      <w:r w:rsidRPr="00B450EB">
        <w:rPr>
          <w:noProof/>
          <w:sz w:val="18"/>
          <w:szCs w:val="18"/>
        </w:rPr>
        <w:t>Fuente: SINCHI.2024</w:t>
      </w:r>
    </w:p>
    <w:p w14:paraId="78569D0D" w14:textId="5C02ADFC" w:rsidR="20EDF237" w:rsidRPr="00B450EB" w:rsidRDefault="20EDF237" w:rsidP="0EB24FDD">
      <w:pPr>
        <w:spacing w:after="0"/>
        <w:rPr>
          <w:rFonts w:eastAsia="Arial" w:cs="Arial"/>
        </w:rPr>
      </w:pPr>
      <w:r w:rsidRPr="00B450EB">
        <w:rPr>
          <w:rFonts w:eastAsia="Arial" w:cs="Arial"/>
          <w:lang w:val="es-ES"/>
        </w:rPr>
        <w:lastRenderedPageBreak/>
        <w:t>Los resultados del análisis para el componente ecológico indican que 32.289 hectáreas son de muy alta prioridad y 1.167.449 hectáreas corresponden a la categoría alta, distribuidas principalmente en los departamentos de Guaviare, Meta y Caquetá.</w:t>
      </w:r>
    </w:p>
    <w:p w14:paraId="6F092475" w14:textId="640EA141" w:rsidR="7F7B3AD3" w:rsidRPr="00B450EB" w:rsidRDefault="7F7B3AD3" w:rsidP="7F7B3AD3">
      <w:pPr>
        <w:spacing w:after="0"/>
        <w:rPr>
          <w:rFonts w:eastAsia="Arial" w:cs="Arial"/>
          <w:lang w:val="es-ES"/>
        </w:rPr>
      </w:pPr>
    </w:p>
    <w:p w14:paraId="52CDE6AD" w14:textId="4965BDDE" w:rsidR="70CD40C1" w:rsidRPr="00B450EB" w:rsidRDefault="001231A3" w:rsidP="7F7B3AD3">
      <w:pPr>
        <w:pStyle w:val="Ttulo2"/>
        <w:rPr>
          <w:rFonts w:eastAsia="Arial" w:cs="Arial"/>
          <w:lang w:val="es-ES"/>
        </w:rPr>
      </w:pPr>
      <w:bookmarkStart w:id="271" w:name="_Toc209722977"/>
      <w:r w:rsidRPr="00B450EB">
        <w:rPr>
          <w:rFonts w:eastAsia="Arial" w:cs="Arial"/>
          <w:b/>
        </w:rPr>
        <w:t>11</w:t>
      </w:r>
      <w:r w:rsidR="70CD40C1" w:rsidRPr="00B450EB">
        <w:rPr>
          <w:rFonts w:eastAsia="Arial" w:cs="Arial"/>
          <w:b/>
        </w:rPr>
        <w:t xml:space="preserve">.4. </w:t>
      </w:r>
      <w:r w:rsidR="70CD40C1" w:rsidRPr="00B450EB">
        <w:rPr>
          <w:rFonts w:eastAsia="Arial" w:cs="Arial"/>
          <w:b/>
          <w:lang w:val="es-MX"/>
        </w:rPr>
        <w:t>Proyectos de cooperación de la Amazonia:</w:t>
      </w:r>
      <w:bookmarkEnd w:id="271"/>
      <w:r w:rsidR="70CD40C1" w:rsidRPr="00B450EB">
        <w:rPr>
          <w:rFonts w:eastAsia="Arial" w:cs="Arial"/>
          <w:b/>
          <w:lang w:val="es-MX"/>
        </w:rPr>
        <w:t xml:space="preserve"> </w:t>
      </w:r>
    </w:p>
    <w:p w14:paraId="61A6D1AB" w14:textId="1863B571" w:rsidR="70CD40C1" w:rsidRPr="00B450EB" w:rsidRDefault="70CD40C1" w:rsidP="7F7B3AD3">
      <w:pPr>
        <w:spacing w:after="0"/>
        <w:rPr>
          <w:rFonts w:eastAsia="Arial" w:cs="Arial"/>
          <w:lang w:val="es-ES"/>
        </w:rPr>
      </w:pPr>
      <w:r w:rsidRPr="00B450EB">
        <w:rPr>
          <w:rFonts w:eastAsia="Arial" w:cs="Arial"/>
          <w:lang w:val="es-MX"/>
        </w:rPr>
        <w:t xml:space="preserve"> </w:t>
      </w:r>
    </w:p>
    <w:p w14:paraId="781D2758" w14:textId="3530E9AC" w:rsidR="70CD40C1" w:rsidRPr="00B450EB" w:rsidRDefault="70CD40C1" w:rsidP="7F7B3AD3">
      <w:pPr>
        <w:rPr>
          <w:rFonts w:eastAsia="Arial" w:cs="Arial"/>
          <w:b/>
          <w:bCs/>
          <w:lang w:val="es-ES"/>
        </w:rPr>
      </w:pPr>
      <w:r w:rsidRPr="00B450EB">
        <w:rPr>
          <w:rFonts w:eastAsia="Arial" w:cs="Arial"/>
          <w:b/>
          <w:bCs/>
          <w:lang w:val="es-MX"/>
        </w:rPr>
        <w:t>GEF Corazón de la Amazonia</w:t>
      </w:r>
    </w:p>
    <w:p w14:paraId="2705C3F8" w14:textId="7B821896" w:rsidR="70CD40C1" w:rsidRPr="00B450EB" w:rsidRDefault="70CD40C1" w:rsidP="7F7B3AD3">
      <w:pPr>
        <w:spacing w:after="0"/>
        <w:rPr>
          <w:rFonts w:eastAsia="Arial" w:cs="Arial"/>
          <w:lang w:val="es-ES"/>
        </w:rPr>
      </w:pPr>
      <w:r w:rsidRPr="00B450EB">
        <w:rPr>
          <w:rFonts w:eastAsia="Arial" w:cs="Arial"/>
          <w:lang w:val="es-ES"/>
        </w:rPr>
        <w:t xml:space="preserve">El proyecto Corazón de la Amazonía, financiado por el GEF/Banco </w:t>
      </w:r>
      <w:proofErr w:type="spellStart"/>
      <w:r w:rsidRPr="00B450EB">
        <w:rPr>
          <w:rFonts w:eastAsia="Arial" w:cs="Arial"/>
          <w:lang w:val="es-ES"/>
        </w:rPr>
        <w:t>Mundi</w:t>
      </w:r>
      <w:proofErr w:type="spellEnd"/>
      <w:r w:rsidRPr="00B450EB">
        <w:rPr>
          <w:rFonts w:eastAsia="Arial" w:cs="Arial"/>
          <w:lang w:val="es"/>
        </w:rPr>
        <w:t>al</w:t>
      </w:r>
      <w:r w:rsidRPr="00B450EB">
        <w:rPr>
          <w:rFonts w:eastAsia="Arial" w:cs="Arial"/>
          <w:lang w:val="es-ES"/>
        </w:rPr>
        <w:t xml:space="preserve"> y articulado con la DBBSE del Ministerio, centra sus esfuerzos en reducir la deforestación y fortalecer la gestión sostenible de los bosques en zonas estratégicas de la Amazonía colombiana, especialmente en los departamentos de Caquetá, Guaviare, Meta y Putumayo. El proyecto consolida la implementación de acuerdos de conservación y restauración con comunidades campesinas e indígenas, promoviendo alternativas productivas sostenibles como sistemas agroforestales, producción de cacao, caucho y otros productos no maderables. Se avanza en la restauración de áreas degradadas y la protección de corredores ecológicos, así como en el fortalecimiento de las capacidades técnicas de autoridades ambientales y organizaciones comunitarias para el monitoreo y la vigilancia forestal, integrando herramientas tecnológicas y sistemas de alerta temprana para la prevención de la deforestación. Además, el proyecto impulsa la articulación entre actores locales, gobiernos y cooperación internacional, facilitando la inclusión de criterios de conservación en los instrumentos de planificación territorial y el desarrollo de políticas públicas. A través de educación ambiental, campañas de sensibilización y participación comunitaria, Corazón de la Amazonía contribuye a la apropiación social de la conservación y al desarrollo sostenible en la región amazónica.</w:t>
      </w:r>
    </w:p>
    <w:p w14:paraId="08B2F19D" w14:textId="658C04F8" w:rsidR="6D477C0E" w:rsidRPr="00B450EB" w:rsidRDefault="6D477C0E" w:rsidP="6D477C0E">
      <w:pPr>
        <w:spacing w:after="0"/>
        <w:rPr>
          <w:rFonts w:eastAsia="Arial" w:cs="Arial"/>
          <w:lang w:val="es-ES"/>
        </w:rPr>
      </w:pPr>
    </w:p>
    <w:p w14:paraId="519A566A" w14:textId="19E67FA8" w:rsidR="70CD40C1" w:rsidRPr="00B450EB" w:rsidRDefault="70CD40C1" w:rsidP="6D477C0E">
      <w:pPr>
        <w:spacing w:after="0"/>
        <w:rPr>
          <w:rFonts w:eastAsia="Arial" w:cs="Arial"/>
          <w:b/>
          <w:lang w:val="es"/>
        </w:rPr>
      </w:pPr>
      <w:r w:rsidRPr="00B450EB">
        <w:rPr>
          <w:rFonts w:eastAsia="Arial" w:cs="Arial"/>
          <w:b/>
          <w:lang w:val="es"/>
        </w:rPr>
        <w:t>Rem II Visión Amazonía</w:t>
      </w:r>
    </w:p>
    <w:p w14:paraId="37A0F4B7" w14:textId="77777777" w:rsidR="00C12801" w:rsidRPr="00B450EB" w:rsidRDefault="00C12801" w:rsidP="6D477C0E">
      <w:pPr>
        <w:spacing w:after="0"/>
        <w:rPr>
          <w:rFonts w:eastAsia="Arial" w:cs="Arial"/>
          <w:lang w:val="es-ES"/>
        </w:rPr>
      </w:pPr>
    </w:p>
    <w:p w14:paraId="6A4C7673" w14:textId="17A9D310" w:rsidR="70CD40C1" w:rsidRPr="00B450EB" w:rsidRDefault="70CD40C1" w:rsidP="6D477C0E">
      <w:pPr>
        <w:spacing w:after="0"/>
        <w:rPr>
          <w:rFonts w:eastAsia="Arial" w:cs="Arial"/>
          <w:lang w:val="es-ES"/>
        </w:rPr>
      </w:pPr>
      <w:r w:rsidRPr="00B450EB">
        <w:rPr>
          <w:rFonts w:eastAsia="Arial" w:cs="Arial"/>
          <w:lang w:val="es-ES"/>
        </w:rPr>
        <w:t>El Programa REM Colombia II Visión Amazonía, financiado por el Reino Unido, Noruega y Alemania y orientado técnicamente por el Ministerio de Ambiente y Desarrollo Sostenible, avanza en la reducción de emisiones por deforestación y en la promoción del uso sostenible de los bosques amazónicos, beneficiando a comunidades locales e indígenas. Se implementan acciones integrales en seis Núcleos de Desarrollo Forestal y de la Biodiversidad (</w:t>
      </w:r>
      <w:proofErr w:type="spellStart"/>
      <w:r w:rsidRPr="00B450EB">
        <w:rPr>
          <w:rFonts w:eastAsia="Arial" w:cs="Arial"/>
          <w:lang w:val="es-ES"/>
        </w:rPr>
        <w:t>NDFyB</w:t>
      </w:r>
      <w:proofErr w:type="spellEnd"/>
      <w:r w:rsidRPr="00B450EB">
        <w:rPr>
          <w:rFonts w:eastAsia="Arial" w:cs="Arial"/>
          <w:lang w:val="es-ES"/>
        </w:rPr>
        <w:t xml:space="preserve">) en Caquetá y Guaviare, involucrando a más de 1.300 familias y gestionando de manera sostenible más de 58.000 hectáreas de bosque. Se formalizaron acuerdos de conservación, se entregaron incentivos económicos (como el Incentivo Forestal Amazónico, con más de 1.000 pagos realizados en 2024) y se fortalecieron capacidades técnicas </w:t>
      </w:r>
      <w:r w:rsidRPr="00B450EB">
        <w:rPr>
          <w:rFonts w:eastAsia="Arial" w:cs="Arial"/>
          <w:lang w:val="es-ES"/>
        </w:rPr>
        <w:lastRenderedPageBreak/>
        <w:t>mediante la formación de cientos de personas en manejo forestal y transformación de productos. Aunque la deforestación en la Amazonía mostró una reducción récord del 38% en 2023 respecto al año anterior, en 2024 se identificó un incremento, alcanzando 48.047 hectáreas deforestadas en los tres primeros trimestres. El programa también apoya la inclusión de acciones de conservación en los planes de desarrollo locales y fortaleció la gobernanza indígena y la articulación institucional. Estas acciones consolidaron la transformación de núcleos activos de deforestación en territorios de desarrollo sostenible y conservación.</w:t>
      </w:r>
    </w:p>
    <w:p w14:paraId="5103EDCF" w14:textId="5A768759" w:rsidR="01D3FF2C" w:rsidRPr="00B450EB" w:rsidRDefault="01D3FF2C" w:rsidP="01D3FF2C">
      <w:pPr>
        <w:spacing w:after="0"/>
        <w:rPr>
          <w:rFonts w:eastAsia="Arial" w:cs="Arial"/>
          <w:lang w:val="es-ES"/>
        </w:rPr>
      </w:pPr>
    </w:p>
    <w:p w14:paraId="74FDB69F" w14:textId="5190A78F" w:rsidR="4C887F8F" w:rsidRPr="00B450EB" w:rsidRDefault="4C887F8F" w:rsidP="00FC57EA">
      <w:pPr>
        <w:rPr>
          <w:rFonts w:eastAsia="Arial" w:cs="Arial"/>
          <w:lang w:val="es-ES"/>
        </w:rPr>
      </w:pPr>
      <w:r w:rsidRPr="00B450EB">
        <w:rPr>
          <w:rFonts w:eastAsia="Arial" w:cs="Arial"/>
          <w:b/>
          <w:lang w:val="es"/>
        </w:rPr>
        <w:t>GCF-Visiona Amazonia FAO</w:t>
      </w:r>
    </w:p>
    <w:p w14:paraId="5493AEB6" w14:textId="2AC3DF9C" w:rsidR="4C887F8F" w:rsidRPr="00B450EB" w:rsidRDefault="4C887F8F" w:rsidP="01D3FF2C">
      <w:pPr>
        <w:spacing w:after="0"/>
        <w:rPr>
          <w:rFonts w:eastAsia="Arial" w:cs="Arial"/>
          <w:lang w:val="es-ES"/>
        </w:rPr>
      </w:pPr>
      <w:r w:rsidRPr="00B450EB">
        <w:rPr>
          <w:rFonts w:eastAsia="Arial" w:cs="Arial"/>
          <w:lang w:val="es-ES"/>
        </w:rPr>
        <w:t>El programa GCF-FAO y la estrategia nacional Visión Amazonía. Este proyecto tiene como objetivo principal promover un modelo de Manejo Forestal Sostenible (MFS) que permita la conservación del bosque, la mejora de la calidad de vida de las comunidades locales y el fortalecimiento de las economías sostenibles en la región.</w:t>
      </w:r>
    </w:p>
    <w:p w14:paraId="3FF2D849" w14:textId="7E6D9C85" w:rsidR="01D3FF2C" w:rsidRPr="00B450EB" w:rsidRDefault="01D3FF2C" w:rsidP="01D3FF2C">
      <w:pPr>
        <w:spacing w:after="0"/>
        <w:rPr>
          <w:rFonts w:eastAsia="Arial" w:cs="Arial"/>
          <w:lang w:val="es-ES"/>
        </w:rPr>
      </w:pPr>
    </w:p>
    <w:p w14:paraId="5149930D" w14:textId="00DBE59D" w:rsidR="4C887F8F" w:rsidRPr="00B450EB" w:rsidRDefault="4C887F8F" w:rsidP="01D3FF2C">
      <w:pPr>
        <w:spacing w:after="0"/>
        <w:rPr>
          <w:rFonts w:eastAsia="Arial" w:cs="Arial"/>
          <w:lang w:val="es-ES"/>
        </w:rPr>
      </w:pPr>
      <w:r w:rsidRPr="00B450EB">
        <w:rPr>
          <w:rFonts w:eastAsia="Arial" w:cs="Arial"/>
          <w:lang w:val="es"/>
        </w:rPr>
        <w:t>El proyecto ‘Pago por Resultados REDD+ Colombia GCF-Visión Amazonía’, financiado por el Fondo Verde del Clima y ejecutado por la FAO junto al Ministerio de Ambiente, consolida su contribución al Plan de Contención de la Deforestación en la Amazonía colombiana. El proyecto fortaleció capacidades nacionales y locales para el monitoreo y control ambiental, promoviendo la gestión sostenible de zonas forestales y el cierre de la frontera agrícola, especialmente en los Núcleos de Desarrollo Forestal de Solano y Bajo Caguán, en Caquetá. Además, impulsó la gobernanza territorial y el liderazgo de los pueblos indígenas en la conservación de los bosques, articulando esfuerzos institucionales y comunitarios para reducir las causas directas e indirectas de la deforestación. Estas acciones permitieron avanzar en la implementación de la Estrategia Nacional REDD+ y complementar las iniciativas del Programa Visión Amazonía, sentando bases sólidas para el uso sostenible de los recursos naturales y la protección de la biodiversidad amazónica, en beneficio de las comunidades locales y del país.</w:t>
      </w:r>
    </w:p>
    <w:p w14:paraId="7A8BAE53" w14:textId="62CF1710" w:rsidR="01D3FF2C" w:rsidRPr="00B450EB" w:rsidRDefault="01D3FF2C" w:rsidP="01D3FF2C">
      <w:pPr>
        <w:spacing w:after="0"/>
        <w:rPr>
          <w:rFonts w:eastAsia="Arial" w:cs="Arial"/>
          <w:lang w:val="es-ES"/>
        </w:rPr>
      </w:pPr>
    </w:p>
    <w:p w14:paraId="21BD97A7" w14:textId="6B4FF2DD" w:rsidR="000440A1" w:rsidRPr="00B450EB" w:rsidRDefault="4C887F8F" w:rsidP="5B199B14">
      <w:pPr>
        <w:spacing w:after="0"/>
        <w:rPr>
          <w:rFonts w:eastAsia="Arial" w:cs="Arial"/>
          <w:lang w:val="es-ES"/>
        </w:rPr>
      </w:pPr>
      <w:r w:rsidRPr="00B450EB">
        <w:rPr>
          <w:rFonts w:eastAsia="Arial" w:cs="Arial"/>
          <w:b/>
          <w:lang w:val="es"/>
        </w:rPr>
        <w:t>TEFOS</w:t>
      </w:r>
    </w:p>
    <w:p w14:paraId="7C16B27E" w14:textId="7ECBABE3" w:rsidR="000440A1" w:rsidRPr="00B450EB" w:rsidRDefault="4C887F8F" w:rsidP="5B199B14">
      <w:pPr>
        <w:spacing w:after="0"/>
        <w:rPr>
          <w:rFonts w:eastAsia="Arial" w:cs="Arial"/>
          <w:lang w:val="es-ES"/>
        </w:rPr>
      </w:pPr>
      <w:r w:rsidRPr="00B450EB">
        <w:rPr>
          <w:rFonts w:eastAsia="Arial" w:cs="Arial"/>
          <w:lang w:val="es-ES"/>
        </w:rPr>
        <w:t xml:space="preserve">El Pilar 3 del programa TEFOS del Reino Unido, en coordinación con la DBBSE del Ministerio, enfoca sus acciones en las zonas de Caquetá y Guaviare, buscando estabilizar y reducir la deforestación en áreas críticas. El proyecto fortalece las capacidades de las comunidades locales en prácticas agrícolas y forestales sostenibles mediante procesos de formación, asistencia técnica y pilotos de extensión forestal. Además, </w:t>
      </w:r>
      <w:proofErr w:type="spellStart"/>
      <w:r w:rsidRPr="00B450EB">
        <w:rPr>
          <w:rFonts w:eastAsia="Arial" w:cs="Arial"/>
          <w:lang w:val="es-ES"/>
        </w:rPr>
        <w:t>promu</w:t>
      </w:r>
      <w:r w:rsidRPr="00B450EB">
        <w:rPr>
          <w:rFonts w:eastAsia="Arial" w:cs="Arial"/>
          <w:lang w:val="es"/>
        </w:rPr>
        <w:t>eve</w:t>
      </w:r>
      <w:proofErr w:type="spellEnd"/>
      <w:r w:rsidRPr="00B450EB">
        <w:rPr>
          <w:rFonts w:eastAsia="Arial" w:cs="Arial"/>
          <w:lang w:val="es-ES"/>
        </w:rPr>
        <w:t xml:space="preserve"> la creación de oportunidades económicas innovadoras, apoyando el acceso a mercados y la comercialización de productos sostenibles, incluyendo madera y productos no maderables, a través de asociaciones público-privadas. Se avanzó en la implementación de incentivos para </w:t>
      </w:r>
      <w:r w:rsidRPr="00B450EB">
        <w:rPr>
          <w:rFonts w:eastAsia="Arial" w:cs="Arial"/>
          <w:lang w:val="es-ES"/>
        </w:rPr>
        <w:lastRenderedPageBreak/>
        <w:t>la conservación, como pagos por servicios ambientales y acuerdos de manejo, que contribuyeron a la protección de los bosques y a la mejora de los medios de vida locales. El programa articula esfuerzos con otros actores del territorio y facilitó la integración de cadenas de valor libres de deforestación, generando alternativas productivas que ayudan a disminuir la presión sobre los bosques. Estas acciones contribuyeron a fortalecer la gobernanza local y sentaron bases para una gestión forestal más sostenible y participativa en los núcleos de intervención priorizados.</w:t>
      </w:r>
    </w:p>
    <w:p w14:paraId="4559FDEC" w14:textId="31808C8C" w:rsidR="000440A1" w:rsidRPr="00B450EB" w:rsidRDefault="000440A1" w:rsidP="5B199B14">
      <w:pPr>
        <w:spacing w:after="0"/>
        <w:rPr>
          <w:rFonts w:eastAsia="Arial" w:cs="Arial"/>
          <w:lang w:val="es-ES"/>
        </w:rPr>
      </w:pPr>
    </w:p>
    <w:p w14:paraId="6890933C" w14:textId="03E1D3E9" w:rsidR="000440A1" w:rsidRPr="00B450EB" w:rsidRDefault="4C887F8F" w:rsidP="5B199B14">
      <w:pPr>
        <w:spacing w:after="0"/>
        <w:rPr>
          <w:rFonts w:eastAsia="Arial" w:cs="Arial"/>
          <w:lang w:val="es-ES"/>
        </w:rPr>
      </w:pPr>
      <w:r w:rsidRPr="00B450EB">
        <w:rPr>
          <w:rFonts w:eastAsia="Arial" w:cs="Arial"/>
          <w:b/>
          <w:lang w:val="es-ES"/>
        </w:rPr>
        <w:t>GIZ (</w:t>
      </w:r>
      <w:proofErr w:type="spellStart"/>
      <w:r w:rsidRPr="00B450EB">
        <w:rPr>
          <w:rFonts w:eastAsia="Arial" w:cs="Arial"/>
          <w:b/>
          <w:lang w:val="es-ES"/>
        </w:rPr>
        <w:t>Probosques</w:t>
      </w:r>
      <w:proofErr w:type="spellEnd"/>
      <w:r w:rsidRPr="00B450EB">
        <w:rPr>
          <w:rFonts w:eastAsia="Arial" w:cs="Arial"/>
          <w:b/>
          <w:lang w:val="es-ES"/>
        </w:rPr>
        <w:t xml:space="preserve"> II)</w:t>
      </w:r>
    </w:p>
    <w:p w14:paraId="1014AE51" w14:textId="77777777" w:rsidR="007A32BD" w:rsidRPr="00B450EB" w:rsidRDefault="4C887F8F" w:rsidP="5B199B14">
      <w:pPr>
        <w:spacing w:after="0"/>
        <w:rPr>
          <w:rFonts w:eastAsia="Arial" w:cs="Arial"/>
          <w:lang w:val="es-ES"/>
        </w:rPr>
      </w:pPr>
      <w:proofErr w:type="spellStart"/>
      <w:r w:rsidRPr="00B450EB">
        <w:rPr>
          <w:rFonts w:eastAsia="Arial" w:cs="Arial"/>
          <w:lang w:val="es-ES"/>
        </w:rPr>
        <w:t>Probosques</w:t>
      </w:r>
      <w:proofErr w:type="spellEnd"/>
      <w:r w:rsidRPr="00B450EB">
        <w:rPr>
          <w:rFonts w:eastAsia="Arial" w:cs="Arial"/>
          <w:lang w:val="es-ES"/>
        </w:rPr>
        <w:t xml:space="preserve"> II es un proyecto de cooperación técnica de Alemania el proyecto de la Cooperación técnica La Asociación Campesina Integral Comunitaria Núcleo Número Uno Cartagena del </w:t>
      </w:r>
      <w:proofErr w:type="spellStart"/>
      <w:r w:rsidRPr="00B450EB">
        <w:rPr>
          <w:rFonts w:eastAsia="Arial" w:cs="Arial"/>
          <w:lang w:val="es-ES"/>
        </w:rPr>
        <w:t>Chairá</w:t>
      </w:r>
      <w:proofErr w:type="spellEnd"/>
      <w:r w:rsidRPr="00B450EB">
        <w:rPr>
          <w:rFonts w:eastAsia="Arial" w:cs="Arial"/>
          <w:lang w:val="es-ES"/>
        </w:rPr>
        <w:t xml:space="preserve"> (ACAICONUCACHA), con el acompañamiento de la DBBSE y el programa </w:t>
      </w:r>
      <w:proofErr w:type="spellStart"/>
      <w:r w:rsidRPr="00B450EB">
        <w:rPr>
          <w:rFonts w:eastAsia="Arial" w:cs="Arial"/>
          <w:lang w:val="es-ES"/>
        </w:rPr>
        <w:t>Probosques</w:t>
      </w:r>
      <w:proofErr w:type="spellEnd"/>
      <w:r w:rsidRPr="00B450EB">
        <w:rPr>
          <w:rFonts w:eastAsia="Arial" w:cs="Arial"/>
          <w:lang w:val="es-ES"/>
        </w:rPr>
        <w:t xml:space="preserve"> II, avanza en la implementación de su Plan de Manejo Forestal Sostenible sobre cerca de 10.000 hectáreas en Caquetá. El proceso incluyó la formulación participativa del plan técnico y del modelo de negocio, así como la capacitación de la comunidad en el aprovechamiento sostenible de productos maderables y no maderables del bosque amazónico. </w:t>
      </w:r>
    </w:p>
    <w:p w14:paraId="5D15A446" w14:textId="77777777" w:rsidR="007A32BD" w:rsidRPr="00B450EB" w:rsidRDefault="007A32BD" w:rsidP="5B199B14">
      <w:pPr>
        <w:spacing w:after="0"/>
        <w:rPr>
          <w:rFonts w:eastAsia="Arial" w:cs="Arial"/>
          <w:lang w:val="es-ES"/>
        </w:rPr>
      </w:pPr>
    </w:p>
    <w:p w14:paraId="1336C8FA" w14:textId="047023AF" w:rsidR="000440A1" w:rsidRPr="00B450EB" w:rsidRDefault="4C887F8F" w:rsidP="5B199B14">
      <w:pPr>
        <w:spacing w:after="0"/>
        <w:rPr>
          <w:rFonts w:eastAsia="Arial" w:cs="Arial"/>
          <w:lang w:val="es-ES"/>
        </w:rPr>
      </w:pPr>
      <w:r w:rsidRPr="00B450EB">
        <w:rPr>
          <w:rFonts w:eastAsia="Arial" w:cs="Arial"/>
          <w:lang w:val="es-ES"/>
        </w:rPr>
        <w:t>Se fortalecieron capacidades técnicas y socio-empresariales, y se diseñaron soluciones innovadoras como el sistema de cable vía forestal para una extracción eficiente y de bajo impacto ambiental. El plan promovió la diversificación productiva mediante el fortalecimiento de cadenas de valor como castaño de monte, copoazú, meliponicultura y madera, integrando criterios de sostenibilidad y rentabilidad. Los análisis financieros confirmaron la viabilidad económica de la iniciativa, con márgenes positivos y una tasa interna de retorno adecuada. Además, se mantiene un diálogo constante con autoridades ambientales y cooperantes, y se exploraron nuevas oportunidades para ampliar la oferta de productos no maderables, contribuyendo así a la sostenibilidad social, económica y ambiental del territorio.</w:t>
      </w:r>
    </w:p>
    <w:p w14:paraId="3E7F5FDE" w14:textId="7AC01BC9" w:rsidR="002F3105" w:rsidRPr="00B450EB" w:rsidRDefault="002F3105">
      <w:pPr>
        <w:jc w:val="left"/>
        <w:rPr>
          <w:rFonts w:eastAsia="Arial" w:cs="Arial"/>
          <w:lang w:val="es-ES"/>
        </w:rPr>
      </w:pPr>
      <w:r w:rsidRPr="00B450EB">
        <w:rPr>
          <w:rFonts w:eastAsia="Arial" w:cs="Arial"/>
          <w:lang w:val="es-ES"/>
        </w:rPr>
        <w:br w:type="page"/>
      </w:r>
    </w:p>
    <w:p w14:paraId="6F394DA8" w14:textId="5BE91D53" w:rsidR="0093241E" w:rsidRPr="00B450EB" w:rsidRDefault="0093241E" w:rsidP="001975A2">
      <w:pPr>
        <w:pStyle w:val="Ttulo1"/>
        <w:numPr>
          <w:ilvl w:val="0"/>
          <w:numId w:val="41"/>
        </w:numPr>
        <w:rPr>
          <w:rFonts w:cs="Arial"/>
          <w:szCs w:val="24"/>
        </w:rPr>
      </w:pPr>
      <w:bookmarkStart w:id="272" w:name="_Toc209722978"/>
      <w:r w:rsidRPr="00B450EB">
        <w:rPr>
          <w:rFonts w:cs="Arial"/>
          <w:szCs w:val="24"/>
        </w:rPr>
        <w:lastRenderedPageBreak/>
        <w:t>CONCLUSIONES</w:t>
      </w:r>
      <w:bookmarkEnd w:id="272"/>
    </w:p>
    <w:p w14:paraId="5DAB7064" w14:textId="77777777" w:rsidR="001D199F" w:rsidRPr="00B450EB" w:rsidRDefault="001D199F" w:rsidP="001D199F">
      <w:pPr>
        <w:spacing w:after="0"/>
      </w:pPr>
    </w:p>
    <w:p w14:paraId="6D5489AF" w14:textId="2F048B8D" w:rsidR="00F562E7" w:rsidRPr="00B450EB" w:rsidRDefault="0099144B" w:rsidP="001975A2">
      <w:pPr>
        <w:pStyle w:val="Ttulo2"/>
        <w:numPr>
          <w:ilvl w:val="1"/>
          <w:numId w:val="42"/>
        </w:numPr>
        <w:spacing w:before="0"/>
      </w:pPr>
      <w:bookmarkStart w:id="273" w:name="_Toc209722979"/>
      <w:r w:rsidRPr="00B450EB">
        <w:t xml:space="preserve">En el marco del </w:t>
      </w:r>
      <w:r w:rsidR="00F562E7" w:rsidRPr="00B450EB">
        <w:t>Principio de Prevención</w:t>
      </w:r>
      <w:bookmarkEnd w:id="273"/>
      <w:r w:rsidR="00F562E7" w:rsidRPr="00B450EB">
        <w:t xml:space="preserve"> </w:t>
      </w:r>
    </w:p>
    <w:p w14:paraId="6233CCBF" w14:textId="77777777" w:rsidR="00F13488" w:rsidRPr="00B450EB" w:rsidRDefault="00F13488" w:rsidP="00AE165D">
      <w:pPr>
        <w:rPr>
          <w:b/>
          <w:bCs/>
        </w:rPr>
      </w:pPr>
      <w:r w:rsidRPr="00B450EB">
        <w:rPr>
          <w:b/>
          <w:bCs/>
        </w:rPr>
        <w:t>Sobre los impactos acumulativos</w:t>
      </w:r>
    </w:p>
    <w:p w14:paraId="271086AD" w14:textId="3AE66ABA" w:rsidR="00AE165D" w:rsidRPr="00B450EB" w:rsidRDefault="00901B4C" w:rsidP="001975A2">
      <w:pPr>
        <w:pStyle w:val="Prrafodelista"/>
        <w:numPr>
          <w:ilvl w:val="0"/>
          <w:numId w:val="37"/>
        </w:numPr>
      </w:pPr>
      <w:r w:rsidRPr="00B450EB">
        <w:t>L</w:t>
      </w:r>
      <w:r w:rsidR="00AE165D" w:rsidRPr="00B450EB">
        <w:t>a confluencia de proyectos extractivos, la expansión agropecuaria y las economías ilegales ha convertido la deforestación amazónica en un fenómeno multicausal que supera la capacidad de control de los instrumentos regulatorios vigentes. En departamentos críticos como Putumayo y Caquetá, la apertura de infraestructura vinculada a hidrocarburos y minería actúa como catalizador de presiones indirectas —colonización, tala, cultivos ilícitos e incendios— que intensifican la pérdida de bosque y comprometen la conectividad ecológica. Este patrón, reforzado por el denominado “efecto espina de pescado” asociado a la expansión vial, consolida un escenario de alta vulnerabilidad ambiental y biogeográfica que amenaza de manera estructural la integridad del Bioma Amazónico colombiano.</w:t>
      </w:r>
    </w:p>
    <w:p w14:paraId="510D4C8E" w14:textId="77777777" w:rsidR="002F3105" w:rsidRPr="00B450EB" w:rsidRDefault="002F3105" w:rsidP="002F3105">
      <w:pPr>
        <w:pStyle w:val="Prrafodelista"/>
      </w:pPr>
    </w:p>
    <w:p w14:paraId="400B6613" w14:textId="0E5689AC" w:rsidR="00AE165D" w:rsidRPr="00B450EB" w:rsidRDefault="00D6239A" w:rsidP="001975A2">
      <w:pPr>
        <w:pStyle w:val="Prrafodelista"/>
        <w:numPr>
          <w:ilvl w:val="0"/>
          <w:numId w:val="37"/>
        </w:numPr>
      </w:pPr>
      <w:r w:rsidRPr="00B450EB">
        <w:t>A</w:t>
      </w:r>
      <w:r w:rsidR="00AE165D" w:rsidRPr="00B450EB">
        <w:t xml:space="preserve"> partir del análisis de imágenes satelitales, se ha confirmado que los proyectos de hidrocarburos realizan aprovechamientos forestales y actividades de manejo de vías, frente a los cuales resultan procedentes medidas de compensación y mitigación sujetas a seguimiento por parte de la autoridad ambiental. No obstante, la habilitación de vías secundarias y terciarias al interior del bioma favorece la extracción ilegal de madera y estimula la expansión de la frontera de deforestación más allá de las áreas autorizadas, generando impactos ambientales negativos de difícil control.</w:t>
      </w:r>
    </w:p>
    <w:p w14:paraId="5DB13C58" w14:textId="77777777" w:rsidR="002F3105" w:rsidRPr="00B450EB" w:rsidRDefault="002F3105" w:rsidP="002F3105">
      <w:pPr>
        <w:pStyle w:val="Prrafodelista"/>
      </w:pPr>
    </w:p>
    <w:p w14:paraId="1057CED5" w14:textId="0718920C" w:rsidR="00AE165D" w:rsidRPr="00B450EB" w:rsidRDefault="004A6087" w:rsidP="001975A2">
      <w:pPr>
        <w:pStyle w:val="Prrafodelista"/>
        <w:numPr>
          <w:ilvl w:val="0"/>
          <w:numId w:val="37"/>
        </w:numPr>
      </w:pPr>
      <w:r w:rsidRPr="00B450EB">
        <w:t>E</w:t>
      </w:r>
      <w:r w:rsidR="00AE165D" w:rsidRPr="00B450EB">
        <w:t>l análisis de Modelación de Sistemas Complejos (MSC) evidencia que las actividades extractivas en curso y las prospectivas de minería e hidrocarburos en el bioma amazónico configuran un entramado de impactos acumulativos que afectan de manera directa el agua superficial y subterránea, al reducir su disponibilidad y calidad; los ecosistemas terrestres, al fragmentar hábitats y disminuir la resiliencia ecológica; y el suelo, al acelerar procesos de degradación y pérdida de funcionalidad. Estas alteraciones, al interactuar entre sí, generan efectos en cascada que alcanzan el medio socioeconómico, con riesgos de cambios en los usos del suelo, tensiones territoriales y conflictos socioambientales.</w:t>
      </w:r>
    </w:p>
    <w:p w14:paraId="7681142D" w14:textId="2061A06E" w:rsidR="00530496" w:rsidRPr="00B450EB" w:rsidRDefault="00530496" w:rsidP="00530496">
      <w:pPr>
        <w:pStyle w:val="Prrafodelista"/>
      </w:pPr>
    </w:p>
    <w:p w14:paraId="13A67263" w14:textId="53BB116B" w:rsidR="00AE165D" w:rsidRPr="00B450EB" w:rsidRDefault="00C65BDF" w:rsidP="001975A2">
      <w:pPr>
        <w:pStyle w:val="Prrafodelista"/>
        <w:numPr>
          <w:ilvl w:val="0"/>
          <w:numId w:val="37"/>
        </w:numPr>
      </w:pPr>
      <w:r w:rsidRPr="00B450EB">
        <w:t>L</w:t>
      </w:r>
      <w:r w:rsidR="00AE165D" w:rsidRPr="00B450EB">
        <w:t xml:space="preserve">a modelación de redes muestra que dichos impactos no ocurren de forma aislada, sino que pueden reforzarse y amplificarse con la incidencia del </w:t>
      </w:r>
      <w:r w:rsidR="00AE165D" w:rsidRPr="00B450EB">
        <w:lastRenderedPageBreak/>
        <w:t>cambio climático, el cual incrementa la variabilidad en la disponibilidad hídrica, intensifica eventos extremos y reduce la capacidad de amortiguación de los ecosistemas frente a presiones extractivas. Esta interacción transforma impactos locales en procesos de degradación de mayor escala, con consecuencias sobre la seguridad hídrica, alimentaria y la gobernanza territorial. Ante este escenario, la declaratoria del bioma amazónico como zona de reserva se plantea como una medida preventiva orientada a limitar la expansión extractiva, reducir riesgos acumulativos y fortalecer la capacidad adaptativa frente al cambio climático.</w:t>
      </w:r>
    </w:p>
    <w:p w14:paraId="0765D318" w14:textId="77777777" w:rsidR="00F13488" w:rsidRPr="00B450EB" w:rsidRDefault="00AE165D" w:rsidP="00AE165D">
      <w:r w:rsidRPr="00B450EB">
        <w:rPr>
          <w:b/>
          <w:bCs/>
        </w:rPr>
        <w:t>Sobre la biodiversidad y la conectividad ecológica</w:t>
      </w:r>
    </w:p>
    <w:p w14:paraId="737EEB7F" w14:textId="15D92309" w:rsidR="00AE165D" w:rsidRPr="00B450EB" w:rsidRDefault="00C65BDF" w:rsidP="001975A2">
      <w:pPr>
        <w:pStyle w:val="Prrafodelista"/>
        <w:numPr>
          <w:ilvl w:val="0"/>
          <w:numId w:val="36"/>
        </w:numPr>
      </w:pPr>
      <w:r w:rsidRPr="00B450EB">
        <w:t>L</w:t>
      </w:r>
      <w:r w:rsidR="00AE165D" w:rsidRPr="00B450EB">
        <w:t>a fauna de la Amazonía colombiana enfrenta un riesgo creciente de pérdida de biodiversidad como resultado de la deforestación y la degradación de hábitats, lo que ya evidencia disminución en los tamaños poblacionales de numerosas especies. La fragmentación y pérdida acelerada de cobertura forestal comprometen la conectividad ecológica y afectan tanto a especies endémicas como migratorias, alterando interacciones tróficas y servicios ecosistémicos esenciales. Este riesgo se intensifica con el avance de la frontera de deforestación, amenazando la riqueza taxonómica y funcional de múltiples grupos biológicos, así como la seguridad alimentaria y medios de vida de comunidades locales. La evidencia científica confirma que la presión antrópica incrementará la pérdida de biodiversidad y pondrá en riesgo procesos ecológicos y evolutivos</w:t>
      </w:r>
      <w:r w:rsidR="003900C1" w:rsidRPr="00B450EB">
        <w:t xml:space="preserve"> no solo para el bioma sino para la fauna y flora Neotropical y sus efectos en cadena</w:t>
      </w:r>
      <w:r w:rsidR="00AE165D" w:rsidRPr="00B450EB">
        <w:t>, por lo cual se requieren medidas urgentes que eviten impactos irreversibles en la biodiversidad y el bienestar socioambiental.</w:t>
      </w:r>
    </w:p>
    <w:p w14:paraId="4995E910" w14:textId="77777777" w:rsidR="00F13488" w:rsidRPr="00B450EB" w:rsidRDefault="00AE165D" w:rsidP="00AE165D">
      <w:r w:rsidRPr="00B450EB">
        <w:rPr>
          <w:b/>
          <w:bCs/>
        </w:rPr>
        <w:t>Sobre el papel regulador del bioma en el clima regional y global</w:t>
      </w:r>
    </w:p>
    <w:p w14:paraId="671D556E" w14:textId="64362A24" w:rsidR="00AE165D" w:rsidRPr="00B450EB" w:rsidRDefault="00C65BDF" w:rsidP="001975A2">
      <w:pPr>
        <w:pStyle w:val="Prrafodelista"/>
        <w:numPr>
          <w:ilvl w:val="0"/>
          <w:numId w:val="35"/>
        </w:numPr>
      </w:pPr>
      <w:r w:rsidRPr="00B450EB">
        <w:t>E</w:t>
      </w:r>
      <w:r w:rsidR="00AE165D" w:rsidRPr="00B450EB">
        <w:t>l Bioma Amazónico se caracteriza por su baja variabilidad térmica (24–27 °C en promedio multianual), un régimen de lluvias unimodal influenciado por latitud, distancia al mar y orografía, velocidades medias de viento bajas y alta humedad relativa (75–85 %). Estas condiciones lo convierten en un regulador climático que estabiliza las dinámicas regionales, según registros climatológicos históricos. Sin embargo, el cambio climático y las presiones antrópicas podrían transformar este ecosistema de selva húmeda tropical hacia escenarios de sabana tropical, deteriorando sus servicios ambientales.</w:t>
      </w:r>
    </w:p>
    <w:p w14:paraId="7AE71ECD" w14:textId="77777777" w:rsidR="00F13488" w:rsidRPr="00B450EB" w:rsidRDefault="00F13488" w:rsidP="00F13488">
      <w:pPr>
        <w:pStyle w:val="Prrafodelista"/>
      </w:pPr>
    </w:p>
    <w:p w14:paraId="6B63452F" w14:textId="385D4AC3" w:rsidR="00AE165D" w:rsidRPr="00B450EB" w:rsidRDefault="00C65BDF" w:rsidP="001975A2">
      <w:pPr>
        <w:pStyle w:val="Prrafodelista"/>
        <w:numPr>
          <w:ilvl w:val="0"/>
          <w:numId w:val="35"/>
        </w:numPr>
      </w:pPr>
      <w:r w:rsidRPr="00B450EB">
        <w:t>L</w:t>
      </w:r>
      <w:r w:rsidR="00AE165D" w:rsidRPr="00B450EB">
        <w:t xml:space="preserve">a interacción constante entre atmósfera y océanos confirma la relevancia regional del bioma amazónico, pues la evaporación generada en esta zona se extiende hacia países como Argentina, Paraguay y Brasil, evidenciando </w:t>
      </w:r>
      <w:r w:rsidR="00AE165D" w:rsidRPr="00B450EB">
        <w:lastRenderedPageBreak/>
        <w:t>su importancia ecosistémica continental. Adicionalmente, se ha validado que la interacción de los vientos del Este con los Andes tropicales transporta vapor de agua hacia las zonas más pobladas de Colombia, particularmente en temporada de junio a agosto, resaltando la necesidad de conservar el bioma como proveedor de agua y mitigador de contaminación atmosférica, dado que también se movilizan contaminantes de incendios forestales que pueden afectar la calidad del aire en ciudades como Bogotá.</w:t>
      </w:r>
    </w:p>
    <w:p w14:paraId="390A162B" w14:textId="13F37E75" w:rsidR="00F13488" w:rsidRPr="00B450EB" w:rsidRDefault="00AE165D" w:rsidP="00F13488">
      <w:r w:rsidRPr="00B450EB">
        <w:rPr>
          <w:b/>
          <w:bCs/>
        </w:rPr>
        <w:t>Sobre la degradación ecológica y los servicios ecosistémicos</w:t>
      </w:r>
    </w:p>
    <w:p w14:paraId="7EF257FC" w14:textId="215B60FB" w:rsidR="00AE165D" w:rsidRPr="00B450EB" w:rsidRDefault="00042CF3" w:rsidP="00CE0CE4">
      <w:pPr>
        <w:pStyle w:val="Prrafodelista"/>
        <w:numPr>
          <w:ilvl w:val="0"/>
          <w:numId w:val="34"/>
        </w:numPr>
      </w:pPr>
      <w:r w:rsidRPr="00B450EB">
        <w:t>L</w:t>
      </w:r>
      <w:r w:rsidR="00AE165D" w:rsidRPr="00B450EB">
        <w:t>a Amazonía colombiana enfrenta un proceso sostenido de degradación ecológica, asociado a deforestación, expansión extractiva y fragmentación del paisaje, comprometiendo conectividad, resiliencia y provisión de bienes y servicios esenciales para las comunidades. La evidencia científica advierte riesgos de pérdida irreversible de biodiversidad y deterioro de servicios ecosistémicos vitales, como provisión de alimentos, regulación hídrica y protección frente a eventos climáticos extremos. La declaratoria de la reserva actúa como medida preventiva para preservar la integridad ecológica y asegurar la continuidad de dichos servicios.</w:t>
      </w:r>
    </w:p>
    <w:p w14:paraId="13223723" w14:textId="1970B599" w:rsidR="00F13488" w:rsidRPr="00B450EB" w:rsidRDefault="00AE165D" w:rsidP="00F13488">
      <w:r w:rsidRPr="00B450EB">
        <w:rPr>
          <w:b/>
          <w:bCs/>
        </w:rPr>
        <w:t>Sobre las comunidades locales y su vulnerabilidad socioeconómica</w:t>
      </w:r>
    </w:p>
    <w:p w14:paraId="32265C47" w14:textId="2FA47164" w:rsidR="00AE165D" w:rsidRPr="00B450EB" w:rsidRDefault="00042CF3" w:rsidP="00CE0CE4">
      <w:pPr>
        <w:pStyle w:val="Prrafodelista"/>
        <w:numPr>
          <w:ilvl w:val="0"/>
          <w:numId w:val="34"/>
        </w:numPr>
      </w:pPr>
      <w:r w:rsidRPr="00B450EB">
        <w:t>L</w:t>
      </w:r>
      <w:r w:rsidR="00AE165D" w:rsidRPr="00B450EB">
        <w:t>as comunidades amazónicas dependen de la biodiversidad y del manejo sostenible de recursos naturales para actividades productivas tradicionales como pesca, agricultura, recolección y artesanías. La presión de actividades extractivas y cambios en el uso del suelo ha reducido la disponibilidad y calidad de estos recursos, afectando la seguridad alimentaria, la economía local y la transmisión de saberes tradicionales.</w:t>
      </w:r>
    </w:p>
    <w:p w14:paraId="3FD3FE98" w14:textId="77777777" w:rsidR="00F13488" w:rsidRPr="00B450EB" w:rsidRDefault="00F13488" w:rsidP="00F13488">
      <w:pPr>
        <w:pStyle w:val="Prrafodelista"/>
      </w:pPr>
    </w:p>
    <w:p w14:paraId="04AEE1D8" w14:textId="1FAF900E" w:rsidR="00AE165D" w:rsidRPr="00B450EB" w:rsidRDefault="00042CF3" w:rsidP="00CE0CE4">
      <w:pPr>
        <w:pStyle w:val="Prrafodelista"/>
        <w:numPr>
          <w:ilvl w:val="0"/>
          <w:numId w:val="33"/>
        </w:numPr>
      </w:pPr>
      <w:r w:rsidRPr="00B450EB">
        <w:t>L</w:t>
      </w:r>
      <w:r w:rsidR="00AE165D" w:rsidRPr="00B450EB">
        <w:t>as comunidades presentan altos niveles de pobreza multidimensional, limitada presencia institucional y exposición a dinámicas de conflicto y economías ilegales, lo que incrementa su vulnerabilidad frente a riesgos ambientales y sociales, generando riesgos de desplazamiento, pérdida de cohesión comunitaria y deterioro progresivo de condiciones de vida.</w:t>
      </w:r>
    </w:p>
    <w:p w14:paraId="60697871" w14:textId="77777777" w:rsidR="00F13488" w:rsidRPr="00B450EB" w:rsidRDefault="00F13488" w:rsidP="00F13488">
      <w:pPr>
        <w:pStyle w:val="Prrafodelista"/>
      </w:pPr>
    </w:p>
    <w:p w14:paraId="441ACAF9" w14:textId="351989C3" w:rsidR="00AE165D" w:rsidRPr="00B450EB" w:rsidRDefault="00F95140" w:rsidP="00CE0CE4">
      <w:pPr>
        <w:pStyle w:val="Prrafodelista"/>
        <w:numPr>
          <w:ilvl w:val="0"/>
          <w:numId w:val="33"/>
        </w:numPr>
      </w:pPr>
      <w:r w:rsidRPr="00B450EB">
        <w:t xml:space="preserve">Se </w:t>
      </w:r>
      <w:r w:rsidR="00AE165D" w:rsidRPr="00B450EB">
        <w:t xml:space="preserve">evidencia una transformación acelerada de los modos de vida tradicionales, con pérdida de conocimientos ancestrales y debilitamiento de la organización social, afectando la identidad cultural y la transmisión intergeneracional de saberes. Bajo el principio de prevención, la declaratoria de reserva se configura como instrumento para detener estas transformaciones, garantizar derechos humanos, fortalecer gobernanza y </w:t>
      </w:r>
      <w:r w:rsidR="00AE165D" w:rsidRPr="00B450EB">
        <w:lastRenderedPageBreak/>
        <w:t>resiliencia comunitaria, y asegurar la continuidad de modelos de vida compatibles con la conservación de los ecosistemas.</w:t>
      </w:r>
    </w:p>
    <w:p w14:paraId="2966A72B" w14:textId="77777777" w:rsidR="00AE165D" w:rsidRPr="00B450EB" w:rsidRDefault="00AE165D" w:rsidP="00AE165D"/>
    <w:p w14:paraId="105D0F3E" w14:textId="57966356" w:rsidR="00EF0467" w:rsidRPr="00B450EB" w:rsidRDefault="0099144B" w:rsidP="001975A2">
      <w:pPr>
        <w:pStyle w:val="Ttulo2"/>
        <w:numPr>
          <w:ilvl w:val="1"/>
          <w:numId w:val="42"/>
        </w:numPr>
        <w:spacing w:after="0"/>
      </w:pPr>
      <w:bookmarkStart w:id="274" w:name="_Toc209722980"/>
      <w:r w:rsidRPr="00B450EB">
        <w:t xml:space="preserve">En el marco del </w:t>
      </w:r>
      <w:r w:rsidR="00EF0467" w:rsidRPr="00B450EB">
        <w:t xml:space="preserve">Principio </w:t>
      </w:r>
      <w:r w:rsidR="00B47662" w:rsidRPr="00B450EB">
        <w:t xml:space="preserve">de </w:t>
      </w:r>
      <w:r w:rsidR="004368BE" w:rsidRPr="00B450EB">
        <w:t>P</w:t>
      </w:r>
      <w:r w:rsidR="00EF0467" w:rsidRPr="00B450EB">
        <w:t>reca</w:t>
      </w:r>
      <w:r w:rsidR="004368BE" w:rsidRPr="00B450EB">
        <w:t>uci</w:t>
      </w:r>
      <w:r w:rsidR="00EF0467" w:rsidRPr="00B450EB">
        <w:t>ón</w:t>
      </w:r>
      <w:bookmarkEnd w:id="274"/>
    </w:p>
    <w:p w14:paraId="79B1F8F5" w14:textId="77777777" w:rsidR="00FD4C67" w:rsidRPr="00B450EB" w:rsidRDefault="00FD4C67" w:rsidP="00FD4C67">
      <w:pPr>
        <w:spacing w:after="0"/>
      </w:pPr>
    </w:p>
    <w:p w14:paraId="18918D67" w14:textId="2EE10C37" w:rsidR="00FD4C67" w:rsidRPr="00B450EB" w:rsidRDefault="00FD4C67" w:rsidP="00FD4C67">
      <w:pPr>
        <w:rPr>
          <w:b/>
          <w:bCs/>
        </w:rPr>
      </w:pPr>
      <w:r w:rsidRPr="00B450EB">
        <w:rPr>
          <w:b/>
          <w:bCs/>
        </w:rPr>
        <w:t xml:space="preserve">Sobre </w:t>
      </w:r>
      <w:r w:rsidR="00F95140" w:rsidRPr="00B450EB">
        <w:rPr>
          <w:b/>
          <w:bCs/>
        </w:rPr>
        <w:t>e</w:t>
      </w:r>
      <w:r w:rsidRPr="00B450EB">
        <w:rPr>
          <w:b/>
          <w:bCs/>
        </w:rPr>
        <w:t>l riesgo de debilitamiento de los ríos voladores</w:t>
      </w:r>
    </w:p>
    <w:p w14:paraId="153E6192" w14:textId="0A19B30F" w:rsidR="00FD4C67" w:rsidRPr="00B450EB" w:rsidRDefault="00A253BD" w:rsidP="001975A2">
      <w:pPr>
        <w:pStyle w:val="Prrafodelista"/>
        <w:numPr>
          <w:ilvl w:val="0"/>
          <w:numId w:val="43"/>
        </w:numPr>
      </w:pPr>
      <w:r w:rsidRPr="00B450EB">
        <w:t>E</w:t>
      </w:r>
      <w:r w:rsidR="00FD4C67" w:rsidRPr="00B450EB">
        <w:t>studios realizados por distintos autores y por institutos de investigación del Ministerio de Ambiente señalan que hasta un 50 % de la humedad que alimenta la precipitación en la cordillera oriental y en páramos como Chingaza —clave para el suministro de agua de</w:t>
      </w:r>
      <w:r w:rsidR="00F95140" w:rsidRPr="00B450EB">
        <w:t xml:space="preserve">l </w:t>
      </w:r>
      <w:r w:rsidRPr="00B450EB">
        <w:t>país</w:t>
      </w:r>
      <w:r w:rsidR="00FD4C67" w:rsidRPr="00B450EB">
        <w:t>— podría verse comprometida por amenazas como la deforestación o el cambio climático.</w:t>
      </w:r>
    </w:p>
    <w:p w14:paraId="35DA689F" w14:textId="34A7F1C0" w:rsidR="00FD4C67" w:rsidRPr="00B450EB" w:rsidRDefault="00A253BD" w:rsidP="001975A2">
      <w:pPr>
        <w:pStyle w:val="Prrafodelista"/>
        <w:numPr>
          <w:ilvl w:val="0"/>
          <w:numId w:val="43"/>
        </w:numPr>
      </w:pPr>
      <w:r w:rsidRPr="00B450EB">
        <w:t>D</w:t>
      </w:r>
      <w:r w:rsidR="00FD4C67" w:rsidRPr="00B450EB">
        <w:t>urante el Fenómeno del Niño 2023–2024, la humedad proveniente del Bioma Amazónico colombiano probablemente contribuyó a la recuperación de embalses estratégicos como Chivor, Guavio y Chuza. La pérdida de esta fuente hídrica agravaría futuros episodios de déficit, intensificando los conflictos por el uso del agua como recurso vital y energético.</w:t>
      </w:r>
    </w:p>
    <w:p w14:paraId="23D9D99A" w14:textId="188D872B" w:rsidR="00356A86" w:rsidRPr="00B450EB" w:rsidRDefault="00356A86" w:rsidP="00FD4C67">
      <w:pPr>
        <w:rPr>
          <w:b/>
          <w:bCs/>
        </w:rPr>
      </w:pPr>
      <w:r w:rsidRPr="00B450EB">
        <w:rPr>
          <w:b/>
          <w:bCs/>
        </w:rPr>
        <w:t>Sobre la función del Bioma Amazónico en la captura y almacenamiento de carbono</w:t>
      </w:r>
    </w:p>
    <w:p w14:paraId="1D65640D" w14:textId="1C6030DB" w:rsidR="00FD4C67" w:rsidRPr="00B450EB" w:rsidRDefault="00A253BD" w:rsidP="001975A2">
      <w:pPr>
        <w:pStyle w:val="Prrafodelista"/>
        <w:numPr>
          <w:ilvl w:val="0"/>
          <w:numId w:val="45"/>
        </w:numPr>
      </w:pPr>
      <w:r w:rsidRPr="00B450EB">
        <w:t>La</w:t>
      </w:r>
      <w:r w:rsidR="00FD4C67" w:rsidRPr="00B450EB">
        <w:t xml:space="preserve"> Amazonía almacena aproximadamente 3,43 gigatoneladas de carbono en biomasa aérea, siendo uno de los sumideros más relevantes del planeta. No obstante, la deforestación, los incendios y el cambio climático amenazan con convertirla en una fuente neta de carbono, lo que comprometería el cumplimiento del Acuerdo de París y afectaría la biodiversidad, el suministro de agua y la estabilidad climática global.</w:t>
      </w:r>
    </w:p>
    <w:p w14:paraId="08CBCDE3" w14:textId="77777777" w:rsidR="003D2061" w:rsidRPr="00B450EB" w:rsidRDefault="003D2061" w:rsidP="00C84A1D">
      <w:pPr>
        <w:pStyle w:val="Prrafodelista"/>
      </w:pPr>
    </w:p>
    <w:p w14:paraId="2E1E4A6B" w14:textId="77777777" w:rsidR="002955A6" w:rsidRPr="00B450EB" w:rsidRDefault="002955A6" w:rsidP="002955A6">
      <w:pPr>
        <w:rPr>
          <w:b/>
          <w:bCs/>
        </w:rPr>
      </w:pPr>
      <w:r w:rsidRPr="00B450EB">
        <w:rPr>
          <w:b/>
          <w:bCs/>
        </w:rPr>
        <w:t>Sobre la conectividad ecológica y la resiliencia climática</w:t>
      </w:r>
    </w:p>
    <w:p w14:paraId="5B19B340" w14:textId="5B488FBB" w:rsidR="002955A6" w:rsidRPr="00B450EB" w:rsidRDefault="004E442C" w:rsidP="001975A2">
      <w:pPr>
        <w:pStyle w:val="Prrafodelista"/>
        <w:numPr>
          <w:ilvl w:val="0"/>
          <w:numId w:val="44"/>
        </w:numPr>
      </w:pPr>
      <w:r w:rsidRPr="00B450EB">
        <w:t>La</w:t>
      </w:r>
      <w:r w:rsidR="002955A6" w:rsidRPr="00B450EB">
        <w:t xml:space="preserve"> conectividad del Bioma Amazónico constituye un eje estratégico para la biodiversidad y los servicios ecosistémicos. La deforestación asociada a actividades agropecuarias, mineras, ilícitas y de infraestructura fragmenta los hábitats, interrumpe flujos genéticos y ecológicos, y debilita la capacidad adaptativa de especies.</w:t>
      </w:r>
    </w:p>
    <w:p w14:paraId="13BC9F0B" w14:textId="77777777" w:rsidR="00DD7B86" w:rsidRPr="00B450EB" w:rsidRDefault="00DD7B86" w:rsidP="00DD7B86">
      <w:pPr>
        <w:pStyle w:val="Prrafodelista"/>
      </w:pPr>
    </w:p>
    <w:p w14:paraId="56FDFD3F" w14:textId="15927397" w:rsidR="002955A6" w:rsidRPr="00B450EB" w:rsidRDefault="004E442C" w:rsidP="001975A2">
      <w:pPr>
        <w:pStyle w:val="Prrafodelista"/>
        <w:numPr>
          <w:ilvl w:val="0"/>
          <w:numId w:val="44"/>
        </w:numPr>
      </w:pPr>
      <w:r w:rsidRPr="00B450EB">
        <w:t xml:space="preserve">La </w:t>
      </w:r>
      <w:r w:rsidR="002955A6" w:rsidRPr="00B450EB">
        <w:t xml:space="preserve">zona del arco de deforestación, en la transición Andes–Amazonía, es crítica para la resiliencia frente al cambio climático. Su pérdida compromete la funcionalidad ecológica, la dispersión de especies y la provisión de servicios ecosistémicos esenciales. En este contexto, la conservación de la </w:t>
      </w:r>
      <w:r w:rsidR="002955A6" w:rsidRPr="00B450EB">
        <w:lastRenderedPageBreak/>
        <w:t>conectividad Andes–Amazonía no es solo un asunto de biodiversidad, sino también de estabilidad climática e hídrica regional.</w:t>
      </w:r>
    </w:p>
    <w:p w14:paraId="374BD8AE" w14:textId="77777777" w:rsidR="00DD7B86" w:rsidRPr="00B450EB" w:rsidRDefault="00DD7B86" w:rsidP="00CE0CE4">
      <w:pPr>
        <w:rPr>
          <w:b/>
          <w:bCs/>
        </w:rPr>
      </w:pPr>
      <w:r w:rsidRPr="00B450EB">
        <w:rPr>
          <w:b/>
          <w:bCs/>
        </w:rPr>
        <w:t xml:space="preserve">Sobre el cambio climático </w:t>
      </w:r>
    </w:p>
    <w:p w14:paraId="4E0CB06C" w14:textId="2DA07877" w:rsidR="00DD7B86" w:rsidRPr="00B450EB" w:rsidRDefault="004E442C" w:rsidP="001975A2">
      <w:pPr>
        <w:pStyle w:val="Prrafodelista"/>
        <w:numPr>
          <w:ilvl w:val="0"/>
          <w:numId w:val="44"/>
        </w:numPr>
      </w:pPr>
      <w:r w:rsidRPr="00B450EB">
        <w:t>Los</w:t>
      </w:r>
      <w:r w:rsidR="00DD7B86" w:rsidRPr="00B450EB">
        <w:t xml:space="preserve"> análisis de amenazas y vulnerabilidad evidencian un incremento proyectado de precipitación (40–50 % en zonas de piedemonte y cordillera) y aumentos de temperatura de +3 a +5 °C, generando riesgos de desabastecimiento hídrico, deterioro de calidad de agua y pérdida de biodiversidad.</w:t>
      </w:r>
    </w:p>
    <w:p w14:paraId="57D90A02" w14:textId="031F21F9" w:rsidR="00DD7B86" w:rsidRPr="00B450EB" w:rsidRDefault="004E442C" w:rsidP="001975A2">
      <w:pPr>
        <w:pStyle w:val="Prrafodelista"/>
        <w:numPr>
          <w:ilvl w:val="0"/>
          <w:numId w:val="44"/>
        </w:numPr>
      </w:pPr>
      <w:r w:rsidRPr="00B450EB">
        <w:t>A</w:t>
      </w:r>
      <w:r w:rsidR="00DD7B86" w:rsidRPr="00B450EB">
        <w:t>nte la magnitud de dichos impactos y la incertidumbre sobre su materialización, el principio de precaución justifica la declaratoria de reserva del Bioma Amazónico, al proteger coberturas boscosas, mitigar eventos extremos y resguardar servicios ecosistémicos claves. Esta medida se alinea, además, con compromisos internacionales como la NDC, los ODS 13 y 15, y la Meta 30x30.</w:t>
      </w:r>
    </w:p>
    <w:p w14:paraId="7088D0D4" w14:textId="77777777" w:rsidR="00DD7B86" w:rsidRPr="00B450EB" w:rsidRDefault="00DD7B86" w:rsidP="00DD7B86">
      <w:pPr>
        <w:pStyle w:val="Prrafodelista"/>
      </w:pPr>
    </w:p>
    <w:p w14:paraId="2AE9E0A1" w14:textId="77777777" w:rsidR="00FD4C67" w:rsidRPr="00B450EB" w:rsidRDefault="00FD4C67" w:rsidP="00FD4C67">
      <w:pPr>
        <w:rPr>
          <w:b/>
          <w:bCs/>
        </w:rPr>
      </w:pPr>
      <w:r w:rsidRPr="00B450EB">
        <w:rPr>
          <w:b/>
          <w:bCs/>
        </w:rPr>
        <w:t xml:space="preserve">Sobre el riesgo del </w:t>
      </w:r>
      <w:proofErr w:type="spellStart"/>
      <w:r w:rsidRPr="00B450EB">
        <w:rPr>
          <w:b/>
          <w:bCs/>
        </w:rPr>
        <w:t>Tipping</w:t>
      </w:r>
      <w:proofErr w:type="spellEnd"/>
      <w:r w:rsidRPr="00B450EB">
        <w:rPr>
          <w:b/>
          <w:bCs/>
        </w:rPr>
        <w:t xml:space="preserve"> Point amazónico</w:t>
      </w:r>
    </w:p>
    <w:p w14:paraId="6B91D4A4" w14:textId="650AF8E4" w:rsidR="00FD4C67" w:rsidRPr="00B450EB" w:rsidRDefault="004E442C" w:rsidP="001975A2">
      <w:pPr>
        <w:pStyle w:val="Prrafodelista"/>
        <w:numPr>
          <w:ilvl w:val="0"/>
          <w:numId w:val="46"/>
        </w:numPr>
      </w:pPr>
      <w:r w:rsidRPr="00B450EB">
        <w:t>L</w:t>
      </w:r>
      <w:r w:rsidR="00FD4C67" w:rsidRPr="00B450EB">
        <w:t>a evidencia científica señala la posibilidad de alcanzar un umbral crítico o “</w:t>
      </w:r>
      <w:proofErr w:type="spellStart"/>
      <w:r w:rsidR="00FD4C67" w:rsidRPr="00B450EB">
        <w:t>Tipping</w:t>
      </w:r>
      <w:proofErr w:type="spellEnd"/>
      <w:r w:rsidR="00FD4C67" w:rsidRPr="00B450EB">
        <w:t xml:space="preserve"> Point”, a partir del cual la selva pierde su capacidad de </w:t>
      </w:r>
      <w:proofErr w:type="spellStart"/>
      <w:r w:rsidR="00FD4C67" w:rsidRPr="00B450EB">
        <w:t>autorregeneración</w:t>
      </w:r>
      <w:proofErr w:type="spellEnd"/>
      <w:r w:rsidR="00FD4C67" w:rsidRPr="00B450EB">
        <w:t xml:space="preserve"> y se transforma en un ecosistema degradado. Dada la irreversibilidad de sus posibles efectos —pérdida de biodiversidad, alteración del ciclo hidrológico y liberación masiva de carbono— resulta imperativo aplicar medidas preventivas inmediatas bajo el principio de precaución.</w:t>
      </w:r>
    </w:p>
    <w:p w14:paraId="0BF05D67" w14:textId="77777777" w:rsidR="00CE0CE4" w:rsidRPr="00B450EB" w:rsidRDefault="00CE0CE4" w:rsidP="00CE0CE4">
      <w:pPr>
        <w:pStyle w:val="Prrafodelista"/>
      </w:pPr>
    </w:p>
    <w:p w14:paraId="540603AA" w14:textId="77777777" w:rsidR="00FD4C67" w:rsidRPr="00B450EB" w:rsidRDefault="00FD4C67" w:rsidP="00FD4C67">
      <w:pPr>
        <w:rPr>
          <w:b/>
          <w:bCs/>
        </w:rPr>
      </w:pPr>
      <w:r w:rsidRPr="00B450EB">
        <w:rPr>
          <w:b/>
          <w:bCs/>
        </w:rPr>
        <w:t>Sobre la gobernanza territorial y los derechos fundamentales</w:t>
      </w:r>
    </w:p>
    <w:p w14:paraId="50148CF3" w14:textId="71F70B97" w:rsidR="00FD4C67" w:rsidRPr="00B450EB" w:rsidRDefault="004E442C" w:rsidP="001975A2">
      <w:pPr>
        <w:pStyle w:val="Prrafodelista"/>
        <w:numPr>
          <w:ilvl w:val="0"/>
          <w:numId w:val="46"/>
        </w:numPr>
      </w:pPr>
      <w:r w:rsidRPr="00B450EB">
        <w:t>La</w:t>
      </w:r>
      <w:r w:rsidR="00FD4C67" w:rsidRPr="00B450EB">
        <w:t xml:space="preserve"> falta de mecanismos efectivos de gobernanza incrementa los conflictos socioambientales y la explotación insostenible de recursos. La creación de una reserva</w:t>
      </w:r>
      <w:r w:rsidRPr="00B450EB">
        <w:t xml:space="preserve"> de recursos naturales </w:t>
      </w:r>
      <w:r w:rsidR="00FD4C67" w:rsidRPr="00B450EB">
        <w:t>fortalece la institucionalidad y la coordinación interinstitucional, previniendo impactos graves o irreversibles.</w:t>
      </w:r>
    </w:p>
    <w:p w14:paraId="0DA7CEB4" w14:textId="77777777" w:rsidR="00CE0CE4" w:rsidRPr="00B450EB" w:rsidRDefault="00CE0CE4" w:rsidP="00CE0CE4">
      <w:pPr>
        <w:pStyle w:val="Prrafodelista"/>
      </w:pPr>
    </w:p>
    <w:p w14:paraId="123810B3" w14:textId="0EB6C4D0" w:rsidR="00C05D4E" w:rsidRPr="00B450EB" w:rsidRDefault="004E442C" w:rsidP="001975A2">
      <w:pPr>
        <w:pStyle w:val="Prrafodelista"/>
        <w:numPr>
          <w:ilvl w:val="0"/>
          <w:numId w:val="46"/>
        </w:numPr>
      </w:pPr>
      <w:r w:rsidRPr="00B450EB">
        <w:t>L</w:t>
      </w:r>
      <w:r w:rsidR="00FD4C67" w:rsidRPr="00B450EB">
        <w:t>os cambios en los ecosistemas amazónicos amenazan derechos humanos esenciales como el acceso al agua, la seguridad alimentaria, la salud y un ambiente sano. En consecuencia, la declaratoria de reserva, amparada en el principio de precaución, constituye una acción proporcional y necesaria para proteger estos derechos frente a riesgos de gran magnitud.</w:t>
      </w:r>
    </w:p>
    <w:p w14:paraId="513B82C0" w14:textId="621BA54C" w:rsidR="00771B41" w:rsidRPr="00B450EB" w:rsidRDefault="00771B41" w:rsidP="001975A2">
      <w:pPr>
        <w:pStyle w:val="Ttulo1"/>
        <w:numPr>
          <w:ilvl w:val="0"/>
          <w:numId w:val="42"/>
        </w:numPr>
        <w:rPr>
          <w:rFonts w:cs="Arial"/>
        </w:rPr>
      </w:pPr>
      <w:bookmarkStart w:id="275" w:name="_Toc209722981"/>
      <w:r w:rsidRPr="00B450EB">
        <w:rPr>
          <w:rFonts w:cs="Arial"/>
        </w:rPr>
        <w:lastRenderedPageBreak/>
        <w:t xml:space="preserve">DEFINICIÓN Y DELIMITACIÓN DE PROPUESTA DE ZONA DE RESERVA DE RECURSOS NATURALES DE CARÁCTER </w:t>
      </w:r>
      <w:r w:rsidR="008E7024" w:rsidRPr="00B450EB">
        <w:rPr>
          <w:rFonts w:cs="Arial"/>
        </w:rPr>
        <w:t>DEFINITIVO</w:t>
      </w:r>
      <w:bookmarkEnd w:id="275"/>
      <w:r w:rsidR="00A60DB8" w:rsidRPr="00B450EB">
        <w:rPr>
          <w:rFonts w:cs="Arial"/>
        </w:rPr>
        <w:t xml:space="preserve"> </w:t>
      </w:r>
    </w:p>
    <w:p w14:paraId="3C4BFEF3" w14:textId="749917A6" w:rsidR="00245F86" w:rsidRPr="00B450EB" w:rsidRDefault="00245F86" w:rsidP="00245F86">
      <w:pPr>
        <w:rPr>
          <w:rFonts w:cstheme="majorBidi"/>
        </w:rPr>
      </w:pPr>
      <w:r w:rsidRPr="00B450EB">
        <w:rPr>
          <w:rFonts w:cstheme="majorBidi"/>
        </w:rPr>
        <w:t>La declaratoria de una Zona de Reserva de Recursos Naturales Renovables de carácter definitivo en la Amazonía constituye una medida indispensable para garantizar la protección integral de este ecosistema estratégico, que representa más del 40% del territorio nacional y desempeña funciones esenciales en la regulación climática, hídrica y en la captura de carbono</w:t>
      </w:r>
      <w:r w:rsidR="00DC0EF1" w:rsidRPr="00B450EB">
        <w:rPr>
          <w:rFonts w:cstheme="majorBidi"/>
        </w:rPr>
        <w:t xml:space="preserve"> del continente y del planeta</w:t>
      </w:r>
      <w:r w:rsidRPr="00B450EB">
        <w:rPr>
          <w:rFonts w:cstheme="majorBidi"/>
        </w:rPr>
        <w:t xml:space="preserve">. A pesar de que el 81,9% del bioma mantiene aún cobertura boscosa, la región enfrenta una pérdida acelerada de bosque —788.313 hectáreas entre 2016 y 2023-. </w:t>
      </w:r>
    </w:p>
    <w:p w14:paraId="4A807656" w14:textId="57291DE8" w:rsidR="00245F86" w:rsidRPr="00B450EB" w:rsidRDefault="00245F86" w:rsidP="00245F86">
      <w:pPr>
        <w:rPr>
          <w:rFonts w:cstheme="majorBidi"/>
        </w:rPr>
      </w:pPr>
      <w:r w:rsidRPr="00B450EB">
        <w:rPr>
          <w:rFonts w:cstheme="majorBidi"/>
        </w:rPr>
        <w:t>Si bien el bioma amazónico cuenta con figuras de ordenamiento ambiental como las áreas protegidas del SINAP y la Reserva Forestal de Ley 2ª de 1959, se han identificado presiones que comprometen su integridad. En particular, la posibilidad de sustracción en la Reserva Forestal ha permitido la localización de proyectos licenciados por la ANLA y por autoridades ambientales regionales, así como la asignación de títulos mineros. Aunque estas actividades se desarrollan bajo el marco regulatorio vigente, generan condiciones que propician procesos indirectos como la apertura de vías, el aumento de accesibilidad y, en consecuencia, la ampliación de frentes de deforestación. Adicionalmente, cerca del 26% del bioma carece de figuras de protección definitiva, situación que deja extensas áreas expuestas a ocupación irregular y degradación ecosistémica.</w:t>
      </w:r>
    </w:p>
    <w:p w14:paraId="3D4894B6" w14:textId="7D47277A" w:rsidR="00245F86" w:rsidRPr="00B450EB" w:rsidRDefault="00245F86" w:rsidP="00245F86">
      <w:pPr>
        <w:rPr>
          <w:rFonts w:cstheme="majorBidi"/>
        </w:rPr>
      </w:pPr>
      <w:r w:rsidRPr="00B450EB">
        <w:rPr>
          <w:rFonts w:cstheme="majorBidi"/>
        </w:rPr>
        <w:t>En este sentido, la creación de una figura de protección definitiva se fundamenta tanto en criterios científicos y ambientales —conservación de biodiversidad, conectividad ecológica y regulación climática</w:t>
      </w:r>
      <w:r w:rsidR="00677702" w:rsidRPr="00B450EB">
        <w:rPr>
          <w:rFonts w:cstheme="majorBidi"/>
        </w:rPr>
        <w:t xml:space="preserve"> e hidrológica</w:t>
      </w:r>
      <w:r w:rsidRPr="00B450EB">
        <w:rPr>
          <w:rFonts w:cstheme="majorBidi"/>
        </w:rPr>
        <w:t xml:space="preserve">— como en criterios jurídicos establecidos en el Decreto 2811 de 1974, que faculta al Estado para reservar recursos naturales con fines de conservación, restauración y ordenamiento ambiental. Bajo este marco, la delimitación geográfica de la Zona de Reserva de Recursos Naturales Renovables de carácter definitivo corresponderá a la </w:t>
      </w:r>
      <w:r w:rsidRPr="00B450EB">
        <w:rPr>
          <w:rFonts w:cstheme="majorBidi"/>
          <w:b/>
        </w:rPr>
        <w:t>totalidad del área reconocida como Bioma Amazónico Colombiano</w:t>
      </w:r>
      <w:r w:rsidRPr="00B450EB">
        <w:rPr>
          <w:rFonts w:cstheme="majorBidi"/>
        </w:rPr>
        <w:t>, configurándose como un instrumento necesario para cerrar vacíos normativos, reforzar las restricciones existentes y consolidar la salvaguarda de este bioma frente a dinámicas extractivas y de transformación territorial.</w:t>
      </w:r>
    </w:p>
    <w:p w14:paraId="3DFD3E77" w14:textId="372D0A42" w:rsidR="00A07342" w:rsidRPr="00B450EB" w:rsidRDefault="00B96D1A">
      <w:pPr>
        <w:pStyle w:val="Descripcin"/>
        <w:keepNext/>
        <w:rPr>
          <w:color w:val="auto"/>
        </w:rPr>
      </w:pPr>
      <w:bookmarkStart w:id="276" w:name="_Toc209462805"/>
      <w:r w:rsidRPr="00B450EB">
        <w:rPr>
          <w:color w:val="auto"/>
        </w:rPr>
        <w:lastRenderedPageBreak/>
        <w:t xml:space="preserve">Figura </w:t>
      </w:r>
      <w:r w:rsidR="0045353A" w:rsidRPr="00B450EB">
        <w:rPr>
          <w:color w:val="auto"/>
        </w:rPr>
        <w:fldChar w:fldCharType="begin"/>
      </w:r>
      <w:r w:rsidR="0045353A" w:rsidRPr="00B450EB">
        <w:rPr>
          <w:color w:val="auto"/>
        </w:rPr>
        <w:instrText xml:space="preserve"> SEQ Figura \* ARABIC </w:instrText>
      </w:r>
      <w:r w:rsidR="0045353A" w:rsidRPr="00B450EB">
        <w:rPr>
          <w:color w:val="auto"/>
        </w:rPr>
        <w:fldChar w:fldCharType="separate"/>
      </w:r>
      <w:r w:rsidR="00010D09" w:rsidRPr="00B450EB">
        <w:rPr>
          <w:noProof/>
          <w:color w:val="auto"/>
        </w:rPr>
        <w:t>117</w:t>
      </w:r>
      <w:r w:rsidR="0045353A" w:rsidRPr="00B450EB">
        <w:rPr>
          <w:noProof/>
          <w:color w:val="auto"/>
        </w:rPr>
        <w:fldChar w:fldCharType="end"/>
      </w:r>
      <w:r w:rsidRPr="00B450EB">
        <w:rPr>
          <w:color w:val="auto"/>
        </w:rPr>
        <w:t>. Delimitación de propuesta de Zona de Reserva de Recursos Naturales Renovables del Bioma Amazónico</w:t>
      </w:r>
      <w:bookmarkEnd w:id="276"/>
    </w:p>
    <w:p w14:paraId="6011C78E" w14:textId="7ADFEBFE" w:rsidR="007565C2" w:rsidRPr="00B450EB" w:rsidRDefault="007565C2" w:rsidP="007565C2">
      <w:pPr>
        <w:spacing w:after="0"/>
        <w:rPr>
          <w:rFonts w:cstheme="majorBidi"/>
        </w:rPr>
      </w:pPr>
      <w:r w:rsidRPr="00B450EB">
        <w:rPr>
          <w:noProof/>
        </w:rPr>
        <w:drawing>
          <wp:inline distT="0" distB="0" distL="0" distR="0" wp14:anchorId="0D10FEF5" wp14:editId="25542A6A">
            <wp:extent cx="5612130" cy="4336415"/>
            <wp:effectExtent l="0" t="0" r="7620" b="6985"/>
            <wp:docPr id="42021659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5612130" cy="4336415"/>
                    </a:xfrm>
                    <a:prstGeom prst="rect">
                      <a:avLst/>
                    </a:prstGeom>
                    <a:noFill/>
                    <a:ln>
                      <a:noFill/>
                    </a:ln>
                  </pic:spPr>
                </pic:pic>
              </a:graphicData>
            </a:graphic>
          </wp:inline>
        </w:drawing>
      </w:r>
    </w:p>
    <w:p w14:paraId="399199FA" w14:textId="2E55067F" w:rsidR="007565C2" w:rsidRPr="00B450EB" w:rsidRDefault="007565C2" w:rsidP="007565C2">
      <w:pPr>
        <w:jc w:val="center"/>
        <w:rPr>
          <w:rFonts w:cstheme="majorBidi"/>
          <w:sz w:val="18"/>
          <w:szCs w:val="18"/>
        </w:rPr>
      </w:pPr>
      <w:r w:rsidRPr="00B450EB">
        <w:rPr>
          <w:rFonts w:cstheme="majorBidi"/>
          <w:sz w:val="18"/>
          <w:szCs w:val="18"/>
        </w:rPr>
        <w:t>Fuente: Elaboración propia, 2025</w:t>
      </w:r>
    </w:p>
    <w:p w14:paraId="75041C6F" w14:textId="79B1943F" w:rsidR="00CE0CE4" w:rsidRPr="00B450EB" w:rsidRDefault="00CE0CE4">
      <w:pPr>
        <w:jc w:val="left"/>
        <w:rPr>
          <w:rFonts w:cstheme="majorBidi"/>
          <w:sz w:val="18"/>
          <w:szCs w:val="18"/>
        </w:rPr>
      </w:pPr>
      <w:r w:rsidRPr="00B450EB">
        <w:rPr>
          <w:rFonts w:cstheme="majorBidi"/>
          <w:sz w:val="18"/>
          <w:szCs w:val="18"/>
        </w:rPr>
        <w:br w:type="page"/>
      </w:r>
    </w:p>
    <w:p w14:paraId="7858F725" w14:textId="6DF5E829" w:rsidR="00934664" w:rsidRPr="00B450EB" w:rsidRDefault="00934664" w:rsidP="00934664">
      <w:pPr>
        <w:pStyle w:val="Ttulo1"/>
        <w:numPr>
          <w:ilvl w:val="0"/>
          <w:numId w:val="42"/>
        </w:numPr>
        <w:ind w:left="720" w:hanging="360"/>
      </w:pPr>
      <w:bookmarkStart w:id="277" w:name="_Toc209722982"/>
      <w:r w:rsidRPr="00B450EB">
        <w:rPr>
          <w:rFonts w:cs="Arial"/>
          <w:szCs w:val="24"/>
        </w:rPr>
        <w:lastRenderedPageBreak/>
        <w:t>REFERENCIAS BIBLIOGRÁFICAS</w:t>
      </w:r>
      <w:bookmarkEnd w:id="277"/>
    </w:p>
    <w:p w14:paraId="1B858672" w14:textId="77777777" w:rsidR="008378D7" w:rsidRPr="00B450EB" w:rsidRDefault="008378D7" w:rsidP="008378D7">
      <w:pPr>
        <w:pStyle w:val="Prrafodelista"/>
        <w:numPr>
          <w:ilvl w:val="0"/>
          <w:numId w:val="28"/>
        </w:numPr>
      </w:pPr>
      <w:r w:rsidRPr="00B450EB">
        <w:t xml:space="preserve">Acosta, A. (2010). El mal desarrollo: La globalización del </w:t>
      </w:r>
      <w:proofErr w:type="spellStart"/>
      <w:r w:rsidRPr="00B450EB">
        <w:t>extractivismo</w:t>
      </w:r>
      <w:proofErr w:type="spellEnd"/>
      <w:r w:rsidRPr="00B450EB">
        <w:t>. Quito: Abya-Yala.</w:t>
      </w:r>
    </w:p>
    <w:p w14:paraId="0CE77E4F" w14:textId="77777777" w:rsidR="008378D7" w:rsidRPr="00B450EB" w:rsidRDefault="008378D7" w:rsidP="008378D7">
      <w:pPr>
        <w:pStyle w:val="Prrafodelista"/>
        <w:numPr>
          <w:ilvl w:val="0"/>
          <w:numId w:val="28"/>
        </w:numPr>
      </w:pPr>
      <w:proofErr w:type="spellStart"/>
      <w:r w:rsidRPr="00B450EB">
        <w:rPr>
          <w:lang w:val="en-US"/>
        </w:rPr>
        <w:t>Armenteras</w:t>
      </w:r>
      <w:proofErr w:type="spellEnd"/>
      <w:r w:rsidRPr="00B450EB">
        <w:rPr>
          <w:lang w:val="en-US"/>
        </w:rPr>
        <w:t xml:space="preserve">, D., &amp; Rodríguez, N. (2018). Tropical forests and deforestation in the Amazon basin: A review of processes, drivers, and conservation challenges. </w:t>
      </w:r>
      <w:proofErr w:type="spellStart"/>
      <w:r w:rsidRPr="00B450EB">
        <w:t>Environmental</w:t>
      </w:r>
      <w:proofErr w:type="spellEnd"/>
      <w:r w:rsidRPr="00B450EB">
        <w:t xml:space="preserve"> </w:t>
      </w:r>
      <w:proofErr w:type="spellStart"/>
      <w:r w:rsidRPr="00B450EB">
        <w:t>Research</w:t>
      </w:r>
      <w:proofErr w:type="spellEnd"/>
      <w:r w:rsidRPr="00B450EB">
        <w:t xml:space="preserve"> </w:t>
      </w:r>
      <w:proofErr w:type="spellStart"/>
      <w:r w:rsidRPr="00B450EB">
        <w:t>Letters</w:t>
      </w:r>
      <w:proofErr w:type="spellEnd"/>
      <w:r w:rsidRPr="00B450EB">
        <w:t>, 13(3), 033003.</w:t>
      </w:r>
    </w:p>
    <w:p w14:paraId="6CC9AD51" w14:textId="2688FA42" w:rsidR="008378D7" w:rsidRPr="00B450EB" w:rsidRDefault="008378D7" w:rsidP="008378D7">
      <w:pPr>
        <w:pStyle w:val="Prrafodelista"/>
        <w:numPr>
          <w:ilvl w:val="0"/>
          <w:numId w:val="28"/>
        </w:numPr>
      </w:pPr>
      <w:r w:rsidRPr="00B450EB">
        <w:rPr>
          <w:lang w:val="en-US"/>
        </w:rPr>
        <w:t xml:space="preserve">Auty, R. (2002). Resource abundance and economic development. </w:t>
      </w:r>
      <w:r w:rsidRPr="00B450EB">
        <w:t xml:space="preserve">Oxford: Oxford </w:t>
      </w:r>
      <w:proofErr w:type="spellStart"/>
      <w:r w:rsidRPr="00B450EB">
        <w:t>University</w:t>
      </w:r>
      <w:proofErr w:type="spellEnd"/>
      <w:r w:rsidRPr="00B450EB">
        <w:t xml:space="preserve"> </w:t>
      </w:r>
      <w:proofErr w:type="spellStart"/>
      <w:r w:rsidRPr="00B450EB">
        <w:t>Press</w:t>
      </w:r>
      <w:proofErr w:type="spellEnd"/>
      <w:r w:rsidRPr="00B450EB">
        <w:t>.</w:t>
      </w:r>
    </w:p>
    <w:p w14:paraId="5F4AD671" w14:textId="2C7A5989" w:rsidR="00934664" w:rsidRPr="00B450EB" w:rsidRDefault="00934664" w:rsidP="00934664">
      <w:pPr>
        <w:pStyle w:val="Prrafodelista"/>
        <w:numPr>
          <w:ilvl w:val="0"/>
          <w:numId w:val="28"/>
        </w:numPr>
      </w:pPr>
      <w:r w:rsidRPr="00B450EB">
        <w:t>Aguas Amazónicas. (2023). Especies centinelas de la Amazonia. WWF.</w:t>
      </w:r>
    </w:p>
    <w:p w14:paraId="5511A742" w14:textId="6252AC93" w:rsidR="00934664" w:rsidRPr="00B450EB" w:rsidRDefault="00934664" w:rsidP="00934664">
      <w:pPr>
        <w:pStyle w:val="Prrafodelista"/>
        <w:numPr>
          <w:ilvl w:val="0"/>
          <w:numId w:val="28"/>
        </w:numPr>
        <w:rPr>
          <w:lang w:val="en-US"/>
        </w:rPr>
      </w:pPr>
      <w:r w:rsidRPr="00B450EB">
        <w:t>Agudelo-</w:t>
      </w:r>
      <w:proofErr w:type="spellStart"/>
      <w:r w:rsidRPr="00B450EB">
        <w:t>Hernandez</w:t>
      </w:r>
      <w:proofErr w:type="spellEnd"/>
      <w:r w:rsidRPr="00B450EB">
        <w:t xml:space="preserve">, W. J., Castillo-Barrera, N. C., &amp; Uriel, M. G. (2023). </w:t>
      </w:r>
      <w:r w:rsidRPr="00B450EB">
        <w:rPr>
          <w:lang w:val="en-US"/>
        </w:rPr>
        <w:t>Scenarios of land use and land cover change in the Colombian Amazon to evaluate alternative post-conflict pathways. Scientific reports, 13(1), 2152.</w:t>
      </w:r>
    </w:p>
    <w:p w14:paraId="214A72A2" w14:textId="16661EEF" w:rsidR="00934664" w:rsidRPr="00B450EB" w:rsidRDefault="00934664" w:rsidP="00934664">
      <w:pPr>
        <w:pStyle w:val="Prrafodelista"/>
        <w:numPr>
          <w:ilvl w:val="0"/>
          <w:numId w:val="28"/>
        </w:numPr>
        <w:rPr>
          <w:lang w:val="en-US"/>
        </w:rPr>
      </w:pPr>
      <w:r w:rsidRPr="00B450EB">
        <w:rPr>
          <w:lang w:val="en-US"/>
        </w:rPr>
        <w:t>Amazon Tall Tower Observatory (ATTO). (</w:t>
      </w:r>
      <w:proofErr w:type="spellStart"/>
      <w:r w:rsidRPr="00B450EB">
        <w:rPr>
          <w:lang w:val="en-US"/>
        </w:rPr>
        <w:t>s.f.</w:t>
      </w:r>
      <w:proofErr w:type="spellEnd"/>
      <w:r w:rsidRPr="00B450EB">
        <w:rPr>
          <w:lang w:val="en-US"/>
        </w:rPr>
        <w:t xml:space="preserve">). BVOC emissions across the seasons </w:t>
      </w:r>
      <w:proofErr w:type="gramStart"/>
      <w:r w:rsidRPr="00B450EB">
        <w:rPr>
          <w:lang w:val="en-US"/>
        </w:rPr>
        <w:t>in</w:t>
      </w:r>
      <w:proofErr w:type="gramEnd"/>
      <w:r w:rsidRPr="00B450EB">
        <w:rPr>
          <w:lang w:val="en-US"/>
        </w:rPr>
        <w:t xml:space="preserve"> the Amazon. https://www.attoproject.org/bvoc-emissions-across-the-seasons/</w:t>
      </w:r>
    </w:p>
    <w:p w14:paraId="401C7AA8" w14:textId="00E72F85" w:rsidR="00934664" w:rsidRPr="00B450EB" w:rsidRDefault="00934664" w:rsidP="00934664">
      <w:pPr>
        <w:pStyle w:val="Prrafodelista"/>
        <w:numPr>
          <w:ilvl w:val="0"/>
          <w:numId w:val="28"/>
        </w:numPr>
        <w:rPr>
          <w:lang w:val="en-US"/>
        </w:rPr>
      </w:pPr>
      <w:r w:rsidRPr="00B450EB">
        <w:rPr>
          <w:lang w:val="en-US"/>
        </w:rPr>
        <w:t xml:space="preserve">Anderegg, W., Anderegg, L., Kerr, K., &amp; </w:t>
      </w:r>
      <w:proofErr w:type="spellStart"/>
      <w:r w:rsidRPr="00B450EB">
        <w:rPr>
          <w:lang w:val="en-US"/>
        </w:rPr>
        <w:t>Trugman</w:t>
      </w:r>
      <w:proofErr w:type="spellEnd"/>
      <w:r w:rsidRPr="00B450EB">
        <w:rPr>
          <w:lang w:val="en-US"/>
        </w:rPr>
        <w:t xml:space="preserve">, A. (2019). Widespread drought-induced tree mortality at dry range edges indicates that climate stress exceeds species’ </w:t>
      </w:r>
      <w:proofErr w:type="gramStart"/>
      <w:r w:rsidRPr="00B450EB">
        <w:rPr>
          <w:lang w:val="en-US"/>
        </w:rPr>
        <w:t>compensating</w:t>
      </w:r>
      <w:proofErr w:type="gramEnd"/>
      <w:r w:rsidRPr="00B450EB">
        <w:rPr>
          <w:lang w:val="en-US"/>
        </w:rPr>
        <w:t xml:space="preserve"> mechanisms. Glob. Change Biol. 00,1–10.</w:t>
      </w:r>
    </w:p>
    <w:p w14:paraId="1F9A55A7" w14:textId="11ABF5F8" w:rsidR="00934664" w:rsidRPr="00B450EB" w:rsidRDefault="00934664" w:rsidP="00934664">
      <w:pPr>
        <w:pStyle w:val="Prrafodelista"/>
        <w:numPr>
          <w:ilvl w:val="0"/>
          <w:numId w:val="28"/>
        </w:numPr>
      </w:pPr>
      <w:r w:rsidRPr="00B450EB">
        <w:rPr>
          <w:lang w:val="en-US"/>
        </w:rPr>
        <w:t xml:space="preserve">Anderson, J. T., Rojas, J. S., &amp; Flecker, A. S. (2009). High-quality seed dispersal by fruit-eating </w:t>
      </w:r>
      <w:proofErr w:type="gramStart"/>
      <w:r w:rsidRPr="00B450EB">
        <w:rPr>
          <w:lang w:val="en-US"/>
        </w:rPr>
        <w:t>fishes</w:t>
      </w:r>
      <w:proofErr w:type="gramEnd"/>
      <w:r w:rsidRPr="00B450EB">
        <w:rPr>
          <w:lang w:val="en-US"/>
        </w:rPr>
        <w:t xml:space="preserve"> in Amazonian floodplain habitats. </w:t>
      </w:r>
      <w:proofErr w:type="spellStart"/>
      <w:r w:rsidRPr="00B450EB">
        <w:t>Oecologia</w:t>
      </w:r>
      <w:proofErr w:type="spellEnd"/>
      <w:r w:rsidRPr="00B450EB">
        <w:t>, 161(2), 279–290.</w:t>
      </w:r>
    </w:p>
    <w:p w14:paraId="7ED49A3E" w14:textId="3B1A2390" w:rsidR="00934664" w:rsidRPr="00B450EB" w:rsidRDefault="00934664" w:rsidP="00934664">
      <w:pPr>
        <w:pStyle w:val="Prrafodelista"/>
        <w:numPr>
          <w:ilvl w:val="0"/>
          <w:numId w:val="28"/>
        </w:numPr>
      </w:pPr>
      <w:r w:rsidRPr="00B450EB">
        <w:t>ANLA. (2017). Reporte de Análisis Regional del Caquetá. https://www.anla.gov.co/proyectos-anla/centro-de-monitoreo/reporte-de-alertas</w:t>
      </w:r>
    </w:p>
    <w:p w14:paraId="3D2E2DAA" w14:textId="586BC8AF" w:rsidR="00934664" w:rsidRPr="00B450EB" w:rsidRDefault="00934664" w:rsidP="00934664">
      <w:pPr>
        <w:pStyle w:val="Prrafodelista"/>
        <w:numPr>
          <w:ilvl w:val="0"/>
          <w:numId w:val="28"/>
        </w:numPr>
      </w:pPr>
      <w:r w:rsidRPr="00B450EB">
        <w:t>ANLA. (2021). Reporte de Análisis Regional de las subzonas hidrográficas de los ríos Metica, Guatiquía, Guayuriba y Negro. https://www.anla.gov.co/documentos/biblioteca/21-09-2021-reporte-de-analisis-regional-rio-negro-6.pdf</w:t>
      </w:r>
    </w:p>
    <w:p w14:paraId="2F9AB763" w14:textId="4ECD4895" w:rsidR="00934664" w:rsidRPr="00B450EB" w:rsidRDefault="00934664" w:rsidP="00934664">
      <w:pPr>
        <w:pStyle w:val="Prrafodelista"/>
        <w:numPr>
          <w:ilvl w:val="0"/>
          <w:numId w:val="28"/>
        </w:numPr>
      </w:pPr>
      <w:r w:rsidRPr="00B450EB">
        <w:t>ANLA. (2023). Actualización del Reporte de Análisis Regional del Putumayo. https://www.anla.gov.co/proyectos-anla/centro-de-monitoreo/reporte-de-alertas</w:t>
      </w:r>
    </w:p>
    <w:p w14:paraId="5D7A28A1" w14:textId="60A5E433" w:rsidR="00934664" w:rsidRPr="00B450EB" w:rsidRDefault="00934664" w:rsidP="00934664">
      <w:pPr>
        <w:pStyle w:val="Prrafodelista"/>
        <w:numPr>
          <w:ilvl w:val="0"/>
          <w:numId w:val="28"/>
        </w:numPr>
      </w:pPr>
      <w:r w:rsidRPr="00B450EB">
        <w:t>ANLA. (2024). Reporte de Análisis Regional Zona Sur del Macizo Colombiano. https://www.anla.gov.co/images/documentos/reportes-alertas/2024-05-16-anla-Reporte-Analisis-Regional-Macizo-Colombiano-2024.pdf</w:t>
      </w:r>
    </w:p>
    <w:p w14:paraId="32759642" w14:textId="2899C3A1" w:rsidR="00934664" w:rsidRPr="00B450EB" w:rsidRDefault="00934664" w:rsidP="00934664">
      <w:pPr>
        <w:pStyle w:val="Prrafodelista"/>
        <w:numPr>
          <w:ilvl w:val="0"/>
          <w:numId w:val="28"/>
        </w:numPr>
        <w:rPr>
          <w:lang w:val="en-US"/>
        </w:rPr>
      </w:pPr>
      <w:r w:rsidRPr="00B450EB">
        <w:rPr>
          <w:lang w:val="en-US"/>
        </w:rPr>
        <w:t xml:space="preserve">Antonelli, A., &amp; </w:t>
      </w:r>
      <w:proofErr w:type="spellStart"/>
      <w:r w:rsidRPr="00B450EB">
        <w:rPr>
          <w:lang w:val="en-US"/>
        </w:rPr>
        <w:t>Sanmartín</w:t>
      </w:r>
      <w:proofErr w:type="spellEnd"/>
      <w:r w:rsidRPr="00B450EB">
        <w:rPr>
          <w:lang w:val="en-US"/>
        </w:rPr>
        <w:t xml:space="preserve">, I. (2011). Why are there so many plant species in the </w:t>
      </w:r>
      <w:proofErr w:type="gramStart"/>
      <w:r w:rsidRPr="00B450EB">
        <w:rPr>
          <w:lang w:val="en-US"/>
        </w:rPr>
        <w:t>Neotropics?.</w:t>
      </w:r>
      <w:proofErr w:type="gramEnd"/>
      <w:r w:rsidRPr="00B450EB">
        <w:rPr>
          <w:lang w:val="en-US"/>
        </w:rPr>
        <w:t xml:space="preserve"> Taxon, 60(2), 403-414.</w:t>
      </w:r>
    </w:p>
    <w:p w14:paraId="64123FC9" w14:textId="67B12738" w:rsidR="00934664" w:rsidRPr="00B450EB" w:rsidRDefault="00934664" w:rsidP="00934664">
      <w:pPr>
        <w:pStyle w:val="Prrafodelista"/>
        <w:numPr>
          <w:ilvl w:val="0"/>
          <w:numId w:val="28"/>
        </w:numPr>
        <w:rPr>
          <w:lang w:val="en-US"/>
        </w:rPr>
      </w:pPr>
      <w:r w:rsidRPr="00B450EB">
        <w:rPr>
          <w:lang w:val="en-US"/>
        </w:rPr>
        <w:t xml:space="preserve">Aragão, L. E. O. C., Anderson, L. O., Fonseca, M. G., Rosan, T. M., </w:t>
      </w:r>
      <w:proofErr w:type="spellStart"/>
      <w:r w:rsidRPr="00B450EB">
        <w:rPr>
          <w:lang w:val="en-US"/>
        </w:rPr>
        <w:t>Vedovato</w:t>
      </w:r>
      <w:proofErr w:type="spellEnd"/>
      <w:r w:rsidRPr="00B450EB">
        <w:rPr>
          <w:lang w:val="en-US"/>
        </w:rPr>
        <w:t>, L. B., Wagner, F. H., ... &amp; Silva, C. V. J. (2018). 21st Century drought-related fires counteract the decline of Amazon deforestation carbon emissions. Nature Communications, 9(1), 536. Springer Nature. https://doi.org/10.1038/s41467-017-02771-y</w:t>
      </w:r>
    </w:p>
    <w:p w14:paraId="2B25EBBF" w14:textId="742E1EF9" w:rsidR="00934664" w:rsidRPr="00B450EB" w:rsidRDefault="00934664" w:rsidP="00934664">
      <w:pPr>
        <w:pStyle w:val="Prrafodelista"/>
        <w:numPr>
          <w:ilvl w:val="0"/>
          <w:numId w:val="28"/>
        </w:numPr>
      </w:pPr>
      <w:r w:rsidRPr="00B450EB">
        <w:lastRenderedPageBreak/>
        <w:t>Ardila, G. (2023, noviembre). La Amazonía Colombiana y la descentralización.</w:t>
      </w:r>
    </w:p>
    <w:p w14:paraId="68D1BD2D" w14:textId="17E03746" w:rsidR="00934664" w:rsidRPr="00B450EB" w:rsidRDefault="00934664" w:rsidP="00934664">
      <w:pPr>
        <w:pStyle w:val="Prrafodelista"/>
        <w:numPr>
          <w:ilvl w:val="0"/>
          <w:numId w:val="28"/>
        </w:numPr>
        <w:rPr>
          <w:lang w:val="en-US"/>
        </w:rPr>
      </w:pPr>
      <w:r w:rsidRPr="00B450EB">
        <w:rPr>
          <w:lang w:val="en-US"/>
        </w:rPr>
        <w:t xml:space="preserve">Arima, E. Y., Walker, R. T., Perz, S. G., &amp; Caldas, M. M. (2008). The fragmentation of space in the Amazon basin: </w:t>
      </w:r>
      <w:proofErr w:type="gramStart"/>
      <w:r w:rsidRPr="00B450EB">
        <w:rPr>
          <w:lang w:val="en-US"/>
        </w:rPr>
        <w:t>Emergent road</w:t>
      </w:r>
      <w:proofErr w:type="gramEnd"/>
      <w:r w:rsidRPr="00B450EB">
        <w:rPr>
          <w:lang w:val="en-US"/>
        </w:rPr>
        <w:t xml:space="preserve"> networks. Photogrammetric Engineering &amp; Remote Sensing, 74(6), 699–709. https://doi.org/10.14358/PERS.74.6.699</w:t>
      </w:r>
    </w:p>
    <w:p w14:paraId="5153496E" w14:textId="47B07A37" w:rsidR="00934664" w:rsidRPr="00B450EB" w:rsidRDefault="00934664" w:rsidP="00934664">
      <w:pPr>
        <w:pStyle w:val="Prrafodelista"/>
        <w:numPr>
          <w:ilvl w:val="0"/>
          <w:numId w:val="28"/>
        </w:numPr>
        <w:rPr>
          <w:lang w:val="en-US"/>
        </w:rPr>
      </w:pPr>
      <w:r w:rsidRPr="00B450EB">
        <w:rPr>
          <w:lang w:val="en-US"/>
        </w:rPr>
        <w:t xml:space="preserve">Ayodele, A. (2025). Climate change and its effects on bird diversity in tropical ecosystems: A focus on the Amazon Basin and Central America. World Journal of Advanced Research and Reviews, 26(02), 1132-1148. </w:t>
      </w:r>
      <w:hyperlink r:id="rId193" w:history="1">
        <w:r w:rsidR="00B8225D" w:rsidRPr="00B450EB">
          <w:rPr>
            <w:rStyle w:val="Hipervnculo"/>
            <w:lang w:val="en-US"/>
          </w:rPr>
          <w:t>https://doi.org/10.30574/wjarr.2025.26.2.1765</w:t>
        </w:r>
      </w:hyperlink>
      <w:r w:rsidRPr="00B450EB">
        <w:rPr>
          <w:lang w:val="en-US"/>
        </w:rPr>
        <w:t>.</w:t>
      </w:r>
    </w:p>
    <w:p w14:paraId="405C6323" w14:textId="3DDA8F26" w:rsidR="00B8225D" w:rsidRPr="00B450EB" w:rsidRDefault="00B8225D" w:rsidP="00934664">
      <w:pPr>
        <w:pStyle w:val="Prrafodelista"/>
        <w:numPr>
          <w:ilvl w:val="0"/>
          <w:numId w:val="28"/>
        </w:numPr>
      </w:pPr>
      <w:proofErr w:type="spellStart"/>
      <w:r w:rsidRPr="00B450EB">
        <w:t>Baptiste</w:t>
      </w:r>
      <w:proofErr w:type="spellEnd"/>
      <w:r w:rsidRPr="00B450EB">
        <w:t xml:space="preserve">, B., Pineda, A., &amp; Gutiérrez, J. (2017). </w:t>
      </w:r>
      <w:r w:rsidRPr="00B450EB">
        <w:rPr>
          <w:i/>
          <w:iCs/>
        </w:rPr>
        <w:t>Amazonia colombiana: dinámicas socioeconómicas y ambientales de la región</w:t>
      </w:r>
      <w:r w:rsidRPr="00B450EB">
        <w:t xml:space="preserve">. Bogotá: Instituto de Investigación de Recursos Biológicos Alexander </w:t>
      </w:r>
      <w:proofErr w:type="spellStart"/>
      <w:r w:rsidRPr="00B450EB">
        <w:t>von</w:t>
      </w:r>
      <w:proofErr w:type="spellEnd"/>
      <w:r w:rsidRPr="00B450EB">
        <w:t xml:space="preserve"> Humboldt</w:t>
      </w:r>
    </w:p>
    <w:p w14:paraId="0334D1E3" w14:textId="65E57395" w:rsidR="00934664" w:rsidRPr="00B450EB" w:rsidRDefault="00934664" w:rsidP="00934664">
      <w:pPr>
        <w:pStyle w:val="Prrafodelista"/>
        <w:numPr>
          <w:ilvl w:val="0"/>
          <w:numId w:val="28"/>
        </w:numPr>
        <w:rPr>
          <w:lang w:val="en-US"/>
        </w:rPr>
      </w:pPr>
      <w:r w:rsidRPr="00B450EB">
        <w:rPr>
          <w:lang w:val="en-US"/>
        </w:rPr>
        <w:t>Baccini, A., Walker, W., Carvalho, L., Farina, M., Sulla-Menashe, D., &amp; Houghton, R. (2017). Tropical forests are a net carbon source based on aboveground measurements of gain and loss. Science, 358(6360), 230–234. https://doi.org/10.1126/science.aam5962.</w:t>
      </w:r>
    </w:p>
    <w:p w14:paraId="1C64AB89" w14:textId="74A3897A" w:rsidR="00934664" w:rsidRPr="00B450EB" w:rsidRDefault="00934664" w:rsidP="00934664">
      <w:pPr>
        <w:pStyle w:val="Prrafodelista"/>
        <w:numPr>
          <w:ilvl w:val="0"/>
          <w:numId w:val="28"/>
        </w:numPr>
        <w:rPr>
          <w:lang w:val="en-US"/>
        </w:rPr>
      </w:pPr>
      <w:r w:rsidRPr="00B450EB">
        <w:rPr>
          <w:lang w:val="en-US"/>
        </w:rPr>
        <w:t xml:space="preserve">Barber, C. P., Cochrane, M. A., Souza Jr., C. M., &amp; Laurance, W. F. (2014). Roads, deforestation, and the mitigating effect of protected </w:t>
      </w:r>
      <w:proofErr w:type="spellStart"/>
      <w:r w:rsidRPr="00B450EB">
        <w:rPr>
          <w:lang w:val="en-US"/>
        </w:rPr>
        <w:t>Áreas</w:t>
      </w:r>
      <w:proofErr w:type="spellEnd"/>
      <w:r w:rsidRPr="00B450EB">
        <w:rPr>
          <w:lang w:val="en-US"/>
        </w:rPr>
        <w:t xml:space="preserve"> in the Amazon. Biological Conservation, 177, 203–209. https://doi.org/10.1016/j.biocon.2014.07.004</w:t>
      </w:r>
    </w:p>
    <w:p w14:paraId="5D1577D8" w14:textId="691E75CA" w:rsidR="00934664" w:rsidRPr="00B450EB" w:rsidRDefault="00934664" w:rsidP="00934664">
      <w:pPr>
        <w:pStyle w:val="Prrafodelista"/>
        <w:numPr>
          <w:ilvl w:val="0"/>
          <w:numId w:val="28"/>
        </w:numPr>
        <w:rPr>
          <w:lang w:val="en-US"/>
        </w:rPr>
      </w:pPr>
      <w:r w:rsidRPr="00B450EB">
        <w:t xml:space="preserve">Bauer, S., &amp; Hoye, B. J. (2014). </w:t>
      </w:r>
      <w:r w:rsidRPr="00B450EB">
        <w:rPr>
          <w:lang w:val="en-US"/>
        </w:rPr>
        <w:t xml:space="preserve">Migratory animals couple biodiversity and ecosystem functioning worldwide. Science, 344, 1242552. </w:t>
      </w:r>
      <w:hyperlink r:id="rId194" w:history="1">
        <w:r w:rsidR="00B8225D" w:rsidRPr="00B450EB">
          <w:rPr>
            <w:rStyle w:val="Hipervnculo"/>
            <w:lang w:val="en-US"/>
          </w:rPr>
          <w:t>https://doi.org/10.1126/science.1242552</w:t>
        </w:r>
      </w:hyperlink>
    </w:p>
    <w:p w14:paraId="70380DA5" w14:textId="715727FA" w:rsidR="00B8225D" w:rsidRPr="00B450EB" w:rsidRDefault="00B8225D" w:rsidP="00934664">
      <w:pPr>
        <w:pStyle w:val="Prrafodelista"/>
        <w:numPr>
          <w:ilvl w:val="0"/>
          <w:numId w:val="28"/>
        </w:numPr>
        <w:rPr>
          <w:lang w:val="en-US"/>
        </w:rPr>
      </w:pPr>
      <w:r w:rsidRPr="00B450EB">
        <w:rPr>
          <w:lang w:val="en-US"/>
        </w:rPr>
        <w:t xml:space="preserve">Bebbington, A., Hinojosa, L., Bebbington, D., Burneo, M. L., &amp; </w:t>
      </w:r>
      <w:proofErr w:type="spellStart"/>
      <w:r w:rsidRPr="00B450EB">
        <w:rPr>
          <w:lang w:val="en-US"/>
        </w:rPr>
        <w:t>Warnaars</w:t>
      </w:r>
      <w:proofErr w:type="spellEnd"/>
      <w:r w:rsidRPr="00B450EB">
        <w:rPr>
          <w:lang w:val="en-US"/>
        </w:rPr>
        <w:t xml:space="preserve">, X. (2008). Contention and ambiguity: Mining and the possibilities of development. </w:t>
      </w:r>
      <w:r w:rsidRPr="00B450EB">
        <w:rPr>
          <w:i/>
          <w:iCs/>
          <w:lang w:val="en-US"/>
        </w:rPr>
        <w:t>Development and Change, 39</w:t>
      </w:r>
      <w:r w:rsidRPr="00B450EB">
        <w:rPr>
          <w:lang w:val="en-US"/>
        </w:rPr>
        <w:t>(6), 887–914.</w:t>
      </w:r>
    </w:p>
    <w:p w14:paraId="1BA3787B" w14:textId="416C3BA6" w:rsidR="00934664" w:rsidRPr="00B450EB" w:rsidRDefault="00934664" w:rsidP="00934664">
      <w:pPr>
        <w:pStyle w:val="Prrafodelista"/>
        <w:numPr>
          <w:ilvl w:val="0"/>
          <w:numId w:val="28"/>
        </w:numPr>
      </w:pPr>
      <w:r w:rsidRPr="00B450EB">
        <w:rPr>
          <w:lang w:val="en-US"/>
        </w:rPr>
        <w:t xml:space="preserve">Bennett, A. F. (1999). Linking landscapes: The role of corridors in wildlife management. </w:t>
      </w:r>
      <w:r w:rsidRPr="00B450EB">
        <w:t>IUCN.</w:t>
      </w:r>
    </w:p>
    <w:p w14:paraId="6951C672" w14:textId="4AE01E6E" w:rsidR="00934664" w:rsidRPr="00B450EB" w:rsidRDefault="00934664" w:rsidP="00934664">
      <w:pPr>
        <w:pStyle w:val="Prrafodelista"/>
        <w:numPr>
          <w:ilvl w:val="0"/>
          <w:numId w:val="28"/>
        </w:numPr>
      </w:pPr>
      <w:r w:rsidRPr="00B450EB">
        <w:t xml:space="preserve">BID </w:t>
      </w:r>
      <w:proofErr w:type="spellStart"/>
      <w:r w:rsidRPr="00B450EB">
        <w:t>Invest</w:t>
      </w:r>
      <w:proofErr w:type="spellEnd"/>
      <w:r w:rsidRPr="00B450EB">
        <w:t xml:space="preserve">. (2023). Guía práctica para la evaluación y gestión de impactos acumulativos en América Latina y el Caribe. </w:t>
      </w:r>
      <w:hyperlink r:id="rId195" w:history="1">
        <w:r w:rsidR="00B8225D" w:rsidRPr="00B450EB">
          <w:rPr>
            <w:rStyle w:val="Hipervnculo"/>
          </w:rPr>
          <w:t>https://www.idbinvest.org/es/publicaciones/guia-practica-para-la-evaluacion-y-gestion-de-impactos-acumulativos-en-america-latina</w:t>
        </w:r>
      </w:hyperlink>
    </w:p>
    <w:p w14:paraId="5720D2D7" w14:textId="6F3D96A5" w:rsidR="00B8225D" w:rsidRPr="00B450EB" w:rsidRDefault="00B8225D" w:rsidP="00934664">
      <w:pPr>
        <w:pStyle w:val="Prrafodelista"/>
        <w:numPr>
          <w:ilvl w:val="0"/>
          <w:numId w:val="28"/>
        </w:numPr>
      </w:pPr>
      <w:r w:rsidRPr="00B450EB">
        <w:t xml:space="preserve">Bonet, J., &amp; Urrego, J. (2020). </w:t>
      </w:r>
      <w:r w:rsidRPr="00B450EB">
        <w:rPr>
          <w:i/>
          <w:iCs/>
        </w:rPr>
        <w:t>El Sistema General de Regalías: impacto, retos y oportunidades para el desarrollo regional en Colombia</w:t>
      </w:r>
      <w:r w:rsidRPr="00B450EB">
        <w:t>. Banco de la República, Documentos de Trabajo sobre Economía Regional.</w:t>
      </w:r>
    </w:p>
    <w:p w14:paraId="0136F35C" w14:textId="581AB6BF" w:rsidR="00934664" w:rsidRPr="00B450EB" w:rsidRDefault="00934664" w:rsidP="00934664">
      <w:pPr>
        <w:pStyle w:val="Prrafodelista"/>
        <w:numPr>
          <w:ilvl w:val="0"/>
          <w:numId w:val="28"/>
        </w:numPr>
      </w:pPr>
      <w:r w:rsidRPr="00B450EB">
        <w:rPr>
          <w:lang w:val="en-US"/>
        </w:rPr>
        <w:t xml:space="preserve">Bock, D., et al. (2020). Beating of the Amazon: Visualizing the Diurnal Cycle of the Amazonian </w:t>
      </w:r>
      <w:proofErr w:type="spellStart"/>
      <w:r w:rsidRPr="00B450EB">
        <w:rPr>
          <w:lang w:val="en-US"/>
        </w:rPr>
        <w:t>Hydroclimatology</w:t>
      </w:r>
      <w:proofErr w:type="spellEnd"/>
      <w:r w:rsidRPr="00B450EB">
        <w:rPr>
          <w:lang w:val="en-US"/>
        </w:rPr>
        <w:t xml:space="preserve">. </w:t>
      </w:r>
      <w:r w:rsidRPr="00B450EB">
        <w:t>Disponible en: https://virdir.ncsa.illinois.edu/dbock/Amazon_SC20_sonification_narration.mp4</w:t>
      </w:r>
    </w:p>
    <w:p w14:paraId="3422D223" w14:textId="58A3FBBC" w:rsidR="00934664" w:rsidRPr="00B450EB" w:rsidRDefault="00934664" w:rsidP="00934664">
      <w:pPr>
        <w:pStyle w:val="Prrafodelista"/>
        <w:numPr>
          <w:ilvl w:val="0"/>
          <w:numId w:val="28"/>
        </w:numPr>
        <w:rPr>
          <w:lang w:val="en-US"/>
        </w:rPr>
      </w:pPr>
      <w:r w:rsidRPr="00B450EB">
        <w:rPr>
          <w:lang w:val="pt-PT"/>
        </w:rPr>
        <w:lastRenderedPageBreak/>
        <w:t xml:space="preserve">Bogotá-Gregory, J. D., Lasso, C. A., Jiménez-Segura, L. F., &amp; Taphorn, D. C. (2022). </w:t>
      </w:r>
      <w:r w:rsidRPr="00B450EB">
        <w:t xml:space="preserve">Peces de agua dulce de la Amazonia colombiana: diversidad, biogeografía y conservación. </w:t>
      </w:r>
      <w:r w:rsidRPr="00B450EB">
        <w:rPr>
          <w:lang w:val="en-US"/>
        </w:rPr>
        <w:t>Instituto SINCHI.</w:t>
      </w:r>
    </w:p>
    <w:p w14:paraId="36E447A8" w14:textId="7E80A444" w:rsidR="00934664" w:rsidRPr="00B450EB" w:rsidRDefault="00934664" w:rsidP="00934664">
      <w:pPr>
        <w:pStyle w:val="Prrafodelista"/>
        <w:numPr>
          <w:ilvl w:val="0"/>
          <w:numId w:val="28"/>
        </w:numPr>
        <w:rPr>
          <w:lang w:val="en-US"/>
        </w:rPr>
      </w:pPr>
      <w:r w:rsidRPr="00B450EB">
        <w:rPr>
          <w:lang w:val="en-US"/>
        </w:rPr>
        <w:t>Brawn, J. D., et al. (2023). Avian connectivity and the importance of park corridors in South American forests. Conservation Biology, 37(2), 334-345.</w:t>
      </w:r>
    </w:p>
    <w:p w14:paraId="6E9DCD2F" w14:textId="311C8D90" w:rsidR="00934664" w:rsidRPr="00B450EB" w:rsidRDefault="00934664" w:rsidP="00934664">
      <w:pPr>
        <w:pStyle w:val="Prrafodelista"/>
        <w:numPr>
          <w:ilvl w:val="0"/>
          <w:numId w:val="28"/>
        </w:numPr>
        <w:rPr>
          <w:lang w:val="en-US"/>
        </w:rPr>
      </w:pPr>
      <w:r w:rsidRPr="00B450EB">
        <w:rPr>
          <w:lang w:val="en-US"/>
        </w:rPr>
        <w:t>Briene, R. (2015). Long-term decline of the Amazon carbon sink. Nature 519, 344–348.</w:t>
      </w:r>
    </w:p>
    <w:p w14:paraId="1D9B89AB" w14:textId="29565B83" w:rsidR="00934664" w:rsidRPr="00B450EB" w:rsidRDefault="00934664" w:rsidP="00934664">
      <w:pPr>
        <w:pStyle w:val="Prrafodelista"/>
        <w:numPr>
          <w:ilvl w:val="0"/>
          <w:numId w:val="28"/>
        </w:numPr>
        <w:rPr>
          <w:lang w:val="en-US"/>
        </w:rPr>
      </w:pPr>
      <w:r w:rsidRPr="00B450EB">
        <w:rPr>
          <w:rFonts w:eastAsia="Arial" w:cs="Arial"/>
          <w:color w:val="000000" w:themeColor="text1"/>
          <w:lang w:val="en-US"/>
        </w:rPr>
        <w:t xml:space="preserve">Briene, R. (2015). Long-term decline of the Amazon carbon sink. </w:t>
      </w:r>
      <w:proofErr w:type="spellStart"/>
      <w:r w:rsidRPr="00B450EB">
        <w:rPr>
          <w:rFonts w:eastAsia="Arial" w:cs="Arial"/>
          <w:color w:val="000000" w:themeColor="text1"/>
        </w:rPr>
        <w:t>Nature</w:t>
      </w:r>
      <w:proofErr w:type="spellEnd"/>
      <w:r w:rsidRPr="00B450EB">
        <w:rPr>
          <w:rFonts w:eastAsia="Arial" w:cs="Arial"/>
          <w:color w:val="000000" w:themeColor="text1"/>
        </w:rPr>
        <w:t xml:space="preserve"> 519, 344–348.</w:t>
      </w:r>
    </w:p>
    <w:p w14:paraId="36D581CE" w14:textId="1FB95B51" w:rsidR="00934664" w:rsidRPr="00B450EB" w:rsidRDefault="00934664" w:rsidP="00934664">
      <w:pPr>
        <w:pStyle w:val="Prrafodelista"/>
        <w:numPr>
          <w:ilvl w:val="0"/>
          <w:numId w:val="28"/>
        </w:numPr>
        <w:rPr>
          <w:lang w:val="en-US"/>
        </w:rPr>
      </w:pPr>
      <w:r w:rsidRPr="00B450EB">
        <w:rPr>
          <w:lang w:val="en-US"/>
        </w:rPr>
        <w:t xml:space="preserve">Broadbent, E. N., et al. (2008). Deforestation and the fragmentation of habitats in the Amazon Basin. Environmental Research Letters, 3(1), 45-60. </w:t>
      </w:r>
      <w:hyperlink r:id="rId196" w:history="1">
        <w:r w:rsidRPr="00B450EB">
          <w:rPr>
            <w:rStyle w:val="Hipervnculo"/>
            <w:lang w:val="en-US"/>
          </w:rPr>
          <w:t>https://doi.org/10.1088/1748-9326/3/1/014013</w:t>
        </w:r>
      </w:hyperlink>
      <w:r w:rsidRPr="00B450EB">
        <w:rPr>
          <w:lang w:val="en-US"/>
        </w:rPr>
        <w:t xml:space="preserve">. </w:t>
      </w:r>
    </w:p>
    <w:p w14:paraId="37E18DE2" w14:textId="7F1E021D" w:rsidR="00934664" w:rsidRPr="00B450EB" w:rsidRDefault="00934664" w:rsidP="00934664">
      <w:pPr>
        <w:pStyle w:val="Prrafodelista"/>
        <w:numPr>
          <w:ilvl w:val="0"/>
          <w:numId w:val="28"/>
        </w:numPr>
      </w:pPr>
      <w:r w:rsidRPr="00B450EB">
        <w:rPr>
          <w:lang w:val="en-US"/>
        </w:rPr>
        <w:t xml:space="preserve">Cabrera, A. L., &amp; Willink, A. (1973). </w:t>
      </w:r>
      <w:r w:rsidRPr="00B450EB">
        <w:t>Biogeografía de América Latina. Monografía 13, Serie de Biología. Secretaria General de la OEA.</w:t>
      </w:r>
    </w:p>
    <w:p w14:paraId="630CECF8" w14:textId="000C44E6" w:rsidR="00934664" w:rsidRPr="00B450EB" w:rsidRDefault="00934664" w:rsidP="00934664">
      <w:pPr>
        <w:pStyle w:val="Prrafodelista"/>
        <w:numPr>
          <w:ilvl w:val="0"/>
          <w:numId w:val="28"/>
        </w:numPr>
      </w:pPr>
      <w:proofErr w:type="spellStart"/>
      <w:r w:rsidRPr="00B450EB">
        <w:t>Cardenas</w:t>
      </w:r>
      <w:proofErr w:type="spellEnd"/>
      <w:r w:rsidRPr="00B450EB">
        <w:t xml:space="preserve">, L., &amp; Salinas, N. (2007). Libro rojo de plantas de Colombia. Volumen 4. Especies maderables amenazadas: Primera parte. Serie libros rojos de especies amenazadas de Colombia. Bogotá, Colombia. Instituto Amazónico de Investigaciones </w:t>
      </w:r>
      <w:proofErr w:type="spellStart"/>
      <w:r w:rsidRPr="00B450EB">
        <w:t>Cientitificas</w:t>
      </w:r>
      <w:proofErr w:type="spellEnd"/>
      <w:r w:rsidRPr="00B450EB">
        <w:t xml:space="preserve"> -SINCHI- Ministerio de Ambiente, Vivienda y Desarrollo Territorial. 232.</w:t>
      </w:r>
    </w:p>
    <w:p w14:paraId="01EBC615" w14:textId="29BE0A28" w:rsidR="00934664" w:rsidRPr="00B450EB" w:rsidRDefault="00934664" w:rsidP="00934664">
      <w:pPr>
        <w:pStyle w:val="Prrafodelista"/>
        <w:numPr>
          <w:ilvl w:val="0"/>
          <w:numId w:val="28"/>
        </w:numPr>
      </w:pPr>
      <w:r w:rsidRPr="00B450EB">
        <w:t>Castaño, N. (2009). La Amazonía frente al cambio climático. Colombia Amazónica.</w:t>
      </w:r>
    </w:p>
    <w:p w14:paraId="4D1ABAE4" w14:textId="64212651" w:rsidR="00934664" w:rsidRPr="00B450EB" w:rsidRDefault="00934664" w:rsidP="00934664">
      <w:pPr>
        <w:pStyle w:val="Prrafodelista"/>
        <w:numPr>
          <w:ilvl w:val="0"/>
          <w:numId w:val="28"/>
        </w:numPr>
        <w:rPr>
          <w:lang w:val="en-US"/>
        </w:rPr>
      </w:pPr>
      <w:r w:rsidRPr="00B450EB">
        <w:t xml:space="preserve">Cárdenas, D., González, M. F., Marín, N., </w:t>
      </w:r>
      <w:proofErr w:type="spellStart"/>
      <w:r w:rsidRPr="00B450EB">
        <w:t>Sua</w:t>
      </w:r>
      <w:proofErr w:type="spellEnd"/>
      <w:r w:rsidRPr="00B450EB">
        <w:t xml:space="preserve">, S., &amp; Betancur, J. (2017). Plantas y líquenes del Parque Nacional Natural Serranía de Chiribiquete. </w:t>
      </w:r>
      <w:proofErr w:type="spellStart"/>
      <w:r w:rsidRPr="00B450EB">
        <w:rPr>
          <w:lang w:val="en-US"/>
        </w:rPr>
        <w:t>Revista</w:t>
      </w:r>
      <w:proofErr w:type="spellEnd"/>
      <w:r w:rsidRPr="00B450EB">
        <w:rPr>
          <w:lang w:val="en-US"/>
        </w:rPr>
        <w:t xml:space="preserve"> Colombia </w:t>
      </w:r>
      <w:proofErr w:type="spellStart"/>
      <w:r w:rsidRPr="00B450EB">
        <w:rPr>
          <w:lang w:val="en-US"/>
        </w:rPr>
        <w:t>Amazónica</w:t>
      </w:r>
      <w:proofErr w:type="spellEnd"/>
      <w:r w:rsidRPr="00B450EB">
        <w:rPr>
          <w:lang w:val="en-US"/>
        </w:rPr>
        <w:t>, 10, 229–250. Instituto SINCHI.</w:t>
      </w:r>
    </w:p>
    <w:p w14:paraId="15809D91" w14:textId="019FF4A8" w:rsidR="00934664" w:rsidRPr="00B450EB" w:rsidRDefault="00934664" w:rsidP="00934664">
      <w:pPr>
        <w:pStyle w:val="Prrafodelista"/>
        <w:numPr>
          <w:ilvl w:val="0"/>
          <w:numId w:val="28"/>
        </w:numPr>
      </w:pPr>
      <w:r w:rsidRPr="00B450EB">
        <w:rPr>
          <w:lang w:val="en-US"/>
        </w:rPr>
        <w:t>Chao, K. (2008</w:t>
      </w:r>
      <w:proofErr w:type="gramStart"/>
      <w:r w:rsidRPr="00B450EB">
        <w:rPr>
          <w:lang w:val="en-US"/>
        </w:rPr>
        <w:t>).Growth</w:t>
      </w:r>
      <w:proofErr w:type="gramEnd"/>
      <w:r w:rsidRPr="00B450EB">
        <w:rPr>
          <w:lang w:val="en-US"/>
        </w:rPr>
        <w:t xml:space="preserve"> and wood density predict tree mortality in Amazon forests. </w:t>
      </w:r>
      <w:r w:rsidRPr="00B450EB">
        <w:t>J. Ecol. 96, 281–292 (2008).</w:t>
      </w:r>
    </w:p>
    <w:p w14:paraId="02297AE7" w14:textId="36116843" w:rsidR="00934664" w:rsidRPr="00B450EB" w:rsidRDefault="00934664" w:rsidP="00934664">
      <w:pPr>
        <w:pStyle w:val="Prrafodelista"/>
        <w:numPr>
          <w:ilvl w:val="0"/>
          <w:numId w:val="28"/>
        </w:numPr>
      </w:pPr>
      <w:r w:rsidRPr="00B450EB">
        <w:t>Cifuentes, C., &amp; Cote, M. (2022). Influencia de la deforestación y el cambio climático en la formación de los “ríos voladores de la Amazonia”. Revista Colombia Amazónica, 13.</w:t>
      </w:r>
    </w:p>
    <w:p w14:paraId="475875C7" w14:textId="77777777" w:rsidR="001B2809" w:rsidRPr="00B450EB" w:rsidRDefault="001B2809" w:rsidP="001B2809">
      <w:pPr>
        <w:pStyle w:val="Prrafodelista"/>
        <w:numPr>
          <w:ilvl w:val="0"/>
          <w:numId w:val="28"/>
        </w:numPr>
      </w:pPr>
      <w:r w:rsidRPr="00B450EB">
        <w:t>Centro de Estudios sobre Desarrollo Económico – CEDE. (2020). Encadenamientos productivos en Colombia: diagnóstico y oportunidades. Bogotá: Universidad de los Andes.</w:t>
      </w:r>
    </w:p>
    <w:p w14:paraId="1AD0694E" w14:textId="6C260C13" w:rsidR="001B2809" w:rsidRPr="00B450EB" w:rsidRDefault="001B2809" w:rsidP="001B2809">
      <w:pPr>
        <w:pStyle w:val="Prrafodelista"/>
        <w:numPr>
          <w:ilvl w:val="0"/>
          <w:numId w:val="28"/>
        </w:numPr>
      </w:pPr>
      <w:r w:rsidRPr="00B450EB">
        <w:t>Contraloría General de la República. (2021–2023). Informes de vigilancia sobre el uso del Sistema General de Regalías. Bogotá: CGR.</w:t>
      </w:r>
    </w:p>
    <w:p w14:paraId="0C5C9E61" w14:textId="75F61C51" w:rsidR="00934664" w:rsidRPr="00B450EB" w:rsidRDefault="00934664" w:rsidP="00934664">
      <w:pPr>
        <w:pStyle w:val="Prrafodelista"/>
        <w:numPr>
          <w:ilvl w:val="0"/>
          <w:numId w:val="28"/>
        </w:numPr>
      </w:pPr>
      <w:proofErr w:type="spellStart"/>
      <w:r w:rsidRPr="00B450EB">
        <w:t>Cortéz</w:t>
      </w:r>
      <w:proofErr w:type="spellEnd"/>
      <w:r w:rsidRPr="00B450EB">
        <w:t xml:space="preserve">-Gómez, AMM; Ruiz-Agudelo, CA; Valencia-Aguilar, A; </w:t>
      </w:r>
      <w:proofErr w:type="spellStart"/>
      <w:r w:rsidRPr="00B450EB">
        <w:t>Ladle</w:t>
      </w:r>
      <w:proofErr w:type="spellEnd"/>
      <w:r w:rsidRPr="00B450EB">
        <w:t xml:space="preserve">, RJ </w:t>
      </w:r>
      <w:proofErr w:type="spellStart"/>
      <w:r w:rsidRPr="00B450EB">
        <w:t>Ecological</w:t>
      </w:r>
      <w:proofErr w:type="spellEnd"/>
      <w:r w:rsidRPr="00B450EB">
        <w:t xml:space="preserve"> </w:t>
      </w:r>
      <w:proofErr w:type="spellStart"/>
      <w:r w:rsidRPr="00B450EB">
        <w:t>functions</w:t>
      </w:r>
      <w:proofErr w:type="spellEnd"/>
      <w:r w:rsidRPr="00B450EB">
        <w:t xml:space="preserve"> </w:t>
      </w:r>
      <w:proofErr w:type="spellStart"/>
      <w:r w:rsidRPr="00B450EB">
        <w:t>of</w:t>
      </w:r>
      <w:proofErr w:type="spellEnd"/>
      <w:r w:rsidRPr="00B450EB">
        <w:t xml:space="preserve"> neotropical </w:t>
      </w:r>
      <w:proofErr w:type="spellStart"/>
      <w:r w:rsidRPr="00B450EB">
        <w:t>amphibians</w:t>
      </w:r>
      <w:proofErr w:type="spellEnd"/>
      <w:r w:rsidRPr="00B450EB">
        <w:t xml:space="preserve"> and reptiles: a </w:t>
      </w:r>
      <w:proofErr w:type="spellStart"/>
      <w:r w:rsidRPr="00B450EB">
        <w:t>review</w:t>
      </w:r>
      <w:proofErr w:type="spellEnd"/>
      <w:r w:rsidRPr="00B450EB">
        <w:t xml:space="preserve"> </w:t>
      </w:r>
      <w:proofErr w:type="spellStart"/>
      <w:r w:rsidRPr="00B450EB">
        <w:t>Universitas</w:t>
      </w:r>
      <w:proofErr w:type="spellEnd"/>
      <w:r w:rsidRPr="00B450EB">
        <w:t xml:space="preserve"> </w:t>
      </w:r>
      <w:proofErr w:type="spellStart"/>
      <w:r w:rsidRPr="00B450EB">
        <w:t>Scientiarum</w:t>
      </w:r>
      <w:proofErr w:type="spellEnd"/>
      <w:r w:rsidRPr="00B450EB">
        <w:t>, vol. 20, núm. 2, mayo-agosto, 2015, pp. 229-245 Pontificia Universidad Javeriana Bogotá, Colombia</w:t>
      </w:r>
    </w:p>
    <w:p w14:paraId="58349407" w14:textId="355C032F" w:rsidR="00934664" w:rsidRPr="00B450EB" w:rsidRDefault="00934664" w:rsidP="00934664">
      <w:pPr>
        <w:pStyle w:val="Prrafodelista"/>
        <w:numPr>
          <w:ilvl w:val="0"/>
          <w:numId w:val="28"/>
        </w:numPr>
        <w:rPr>
          <w:lang w:val="en-US"/>
        </w:rPr>
      </w:pPr>
      <w:r w:rsidRPr="00B450EB">
        <w:rPr>
          <w:lang w:val="pt-PT"/>
        </w:rPr>
        <w:lastRenderedPageBreak/>
        <w:t xml:space="preserve">Dagosta, F. C., &amp; de Pinna, M. C. (2019). </w:t>
      </w:r>
      <w:r w:rsidRPr="00B450EB">
        <w:rPr>
          <w:lang w:val="en-US"/>
        </w:rPr>
        <w:t>The fishes of the Amazon: Distribution and biogeographical patterns, with a comprehensive list of species. Bulletin of the American Museum of Natural History, 431, 1–163.</w:t>
      </w:r>
    </w:p>
    <w:p w14:paraId="741FC87E" w14:textId="6E678DEE" w:rsidR="00934664" w:rsidRPr="00B450EB" w:rsidRDefault="00934664" w:rsidP="00934664">
      <w:pPr>
        <w:pStyle w:val="Prrafodelista"/>
        <w:numPr>
          <w:ilvl w:val="0"/>
          <w:numId w:val="28"/>
        </w:numPr>
      </w:pPr>
      <w:r w:rsidRPr="00B450EB">
        <w:t>DANE. (2018). Necesidades Básicas Insatisfechas (NBI). https://www.dane.gov.co/index.php/estadisticas-por-tema/pobreza-y-condiciones-de-vida/necesidades-basicas-insatisfechas-nbi</w:t>
      </w:r>
    </w:p>
    <w:p w14:paraId="025B7347" w14:textId="10B9A094" w:rsidR="00934664" w:rsidRPr="00B450EB" w:rsidRDefault="00934664" w:rsidP="00934664">
      <w:pPr>
        <w:pStyle w:val="Prrafodelista"/>
        <w:numPr>
          <w:ilvl w:val="0"/>
          <w:numId w:val="28"/>
        </w:numPr>
        <w:rPr>
          <w:lang w:val="en-US"/>
        </w:rPr>
      </w:pPr>
      <w:r w:rsidRPr="00B450EB">
        <w:t xml:space="preserve">Dávalos, L. M., et al. </w:t>
      </w:r>
      <w:r w:rsidRPr="00B450EB">
        <w:rPr>
          <w:lang w:val="en-US"/>
        </w:rPr>
        <w:t xml:space="preserve">(2011). Land-use change and biodiversity conservation </w:t>
      </w:r>
      <w:proofErr w:type="gramStart"/>
      <w:r w:rsidRPr="00B450EB">
        <w:rPr>
          <w:lang w:val="en-US"/>
        </w:rPr>
        <w:t>in</w:t>
      </w:r>
      <w:proofErr w:type="gramEnd"/>
      <w:r w:rsidRPr="00B450EB">
        <w:rPr>
          <w:lang w:val="en-US"/>
        </w:rPr>
        <w:t xml:space="preserve"> the Amazon. Biological Conservation, 144(11), 2764-2771. https://doi.org/10.1016/j.biocon.2011.07.020</w:t>
      </w:r>
    </w:p>
    <w:p w14:paraId="096214AE" w14:textId="173D1C9E" w:rsidR="00934664" w:rsidRPr="00B450EB" w:rsidRDefault="00934664" w:rsidP="00934664">
      <w:pPr>
        <w:pStyle w:val="Prrafodelista"/>
        <w:numPr>
          <w:ilvl w:val="0"/>
          <w:numId w:val="28"/>
        </w:numPr>
      </w:pPr>
      <w:proofErr w:type="spellStart"/>
      <w:r w:rsidRPr="00B450EB">
        <w:t>Denevan</w:t>
      </w:r>
      <w:proofErr w:type="spellEnd"/>
      <w:r w:rsidRPr="00B450EB">
        <w:t xml:space="preserve">, W. M. (1974). El desarrollo y la inminente muerte de la selva del Amazonas. </w:t>
      </w:r>
      <w:proofErr w:type="spellStart"/>
      <w:r w:rsidRPr="00B450EB">
        <w:t>Publication</w:t>
      </w:r>
      <w:proofErr w:type="spellEnd"/>
      <w:r w:rsidRPr="00B450EB">
        <w:t xml:space="preserve"> Series (</w:t>
      </w:r>
      <w:proofErr w:type="spellStart"/>
      <w:r w:rsidRPr="00B450EB">
        <w:t>Conference</w:t>
      </w:r>
      <w:proofErr w:type="spellEnd"/>
      <w:r w:rsidRPr="00B450EB">
        <w:t xml:space="preserve"> </w:t>
      </w:r>
      <w:proofErr w:type="spellStart"/>
      <w:r w:rsidRPr="00B450EB">
        <w:t>of</w:t>
      </w:r>
      <w:proofErr w:type="spellEnd"/>
      <w:r w:rsidRPr="00B450EB">
        <w:t xml:space="preserve"> </w:t>
      </w:r>
      <w:proofErr w:type="spellStart"/>
      <w:r w:rsidRPr="00B450EB">
        <w:t>Latin</w:t>
      </w:r>
      <w:proofErr w:type="spellEnd"/>
      <w:r w:rsidRPr="00B450EB">
        <w:t xml:space="preserve"> </w:t>
      </w:r>
      <w:proofErr w:type="spellStart"/>
      <w:r w:rsidRPr="00B450EB">
        <w:t>Americanist</w:t>
      </w:r>
      <w:proofErr w:type="spellEnd"/>
      <w:r w:rsidRPr="00B450EB">
        <w:t xml:space="preserve"> </w:t>
      </w:r>
      <w:proofErr w:type="spellStart"/>
      <w:r w:rsidRPr="00B450EB">
        <w:t>Geographers</w:t>
      </w:r>
      <w:proofErr w:type="spellEnd"/>
      <w:r w:rsidRPr="00B450EB">
        <w:t>), 3, 73-79.</w:t>
      </w:r>
    </w:p>
    <w:p w14:paraId="510A6880" w14:textId="69DC3F9E" w:rsidR="008E5472" w:rsidRPr="00B450EB" w:rsidRDefault="008E5472" w:rsidP="00934664">
      <w:pPr>
        <w:pStyle w:val="Prrafodelista"/>
        <w:numPr>
          <w:ilvl w:val="0"/>
          <w:numId w:val="28"/>
        </w:numPr>
      </w:pPr>
      <w:r w:rsidRPr="00B450EB">
        <w:t xml:space="preserve">De Echave, J. (2009). </w:t>
      </w:r>
      <w:r w:rsidRPr="00B450EB">
        <w:rPr>
          <w:i/>
          <w:iCs/>
        </w:rPr>
        <w:t>Minería y conflicto social en el Perú</w:t>
      </w:r>
      <w:r w:rsidRPr="00B450EB">
        <w:t>. Lima: CIPCA.</w:t>
      </w:r>
    </w:p>
    <w:p w14:paraId="12C01F4C" w14:textId="0512B227" w:rsidR="00934664" w:rsidRPr="00B450EB" w:rsidRDefault="00934664" w:rsidP="00934664">
      <w:pPr>
        <w:pStyle w:val="Prrafodelista"/>
        <w:numPr>
          <w:ilvl w:val="0"/>
          <w:numId w:val="28"/>
        </w:numPr>
        <w:rPr>
          <w:lang w:val="en-US"/>
        </w:rPr>
      </w:pPr>
      <w:r w:rsidRPr="00B450EB">
        <w:t>Díaz-</w:t>
      </w:r>
      <w:proofErr w:type="spellStart"/>
      <w:r w:rsidRPr="00B450EB">
        <w:t>Cháux</w:t>
      </w:r>
      <w:proofErr w:type="spellEnd"/>
      <w:r w:rsidRPr="00B450EB">
        <w:t xml:space="preserve">, JT, </w:t>
      </w:r>
      <w:proofErr w:type="spellStart"/>
      <w:r w:rsidRPr="00B450EB">
        <w:t>Velasquez</w:t>
      </w:r>
      <w:proofErr w:type="spellEnd"/>
      <w:r w:rsidRPr="00B450EB">
        <w:t xml:space="preserve">-Valencia, A., Martínez-Salinas, A. y </w:t>
      </w:r>
      <w:proofErr w:type="spellStart"/>
      <w:r w:rsidRPr="00B450EB">
        <w:t>Casanoves</w:t>
      </w:r>
      <w:proofErr w:type="spellEnd"/>
      <w:r w:rsidRPr="00B450EB">
        <w:t xml:space="preserve">, F. (2025). Diversidad funcional y servicios ecosistémicos de las aves en paisajes productivos de la Amazonía colombiana. </w:t>
      </w:r>
      <w:r w:rsidRPr="00B450EB">
        <w:rPr>
          <w:lang w:val="en-US"/>
        </w:rPr>
        <w:t>Diversity, 17 (5), 305. https://doi.org/10.3390/d17050305</w:t>
      </w:r>
    </w:p>
    <w:p w14:paraId="6F7D6709" w14:textId="5D617DFA" w:rsidR="00934664" w:rsidRPr="00B450EB" w:rsidRDefault="00934664" w:rsidP="00934664">
      <w:pPr>
        <w:pStyle w:val="Prrafodelista"/>
        <w:numPr>
          <w:ilvl w:val="0"/>
          <w:numId w:val="28"/>
        </w:numPr>
      </w:pPr>
      <w:r w:rsidRPr="00B450EB">
        <w:rPr>
          <w:lang w:val="en-US"/>
        </w:rPr>
        <w:t xml:space="preserve">Díaz-Siefer, P.; Olmos-Moya, N.; </w:t>
      </w:r>
      <w:proofErr w:type="spellStart"/>
      <w:r w:rsidRPr="00B450EB">
        <w:rPr>
          <w:lang w:val="en-US"/>
        </w:rPr>
        <w:t>Fontúrbel</w:t>
      </w:r>
      <w:proofErr w:type="spellEnd"/>
      <w:r w:rsidRPr="00B450EB">
        <w:rPr>
          <w:lang w:val="en-US"/>
        </w:rPr>
        <w:t xml:space="preserve">, F.E.; Lavandero, B.; Pozo, R.A.; Celis-Diez, J.L. Bird-mediated effects of pest control services on crop productivity: A global synthesis. </w:t>
      </w:r>
      <w:r w:rsidRPr="00B450EB">
        <w:t xml:space="preserve">J. Pest. </w:t>
      </w:r>
      <w:proofErr w:type="spellStart"/>
      <w:r w:rsidRPr="00B450EB">
        <w:t>Sci</w:t>
      </w:r>
      <w:proofErr w:type="spellEnd"/>
      <w:r w:rsidRPr="00B450EB">
        <w:t>. 2022, 95, 567–576.</w:t>
      </w:r>
    </w:p>
    <w:p w14:paraId="38E6BD51" w14:textId="04063CB6" w:rsidR="00934664" w:rsidRPr="00B450EB" w:rsidRDefault="00934664" w:rsidP="00934664">
      <w:pPr>
        <w:pStyle w:val="Prrafodelista"/>
        <w:numPr>
          <w:ilvl w:val="0"/>
          <w:numId w:val="28"/>
        </w:numPr>
      </w:pPr>
      <w:r w:rsidRPr="00B450EB">
        <w:t>DNP. (2023, noviembre). La Amazonia colombiana y la descentralización. https://www.dnp.gov.co/publicaciones/Planeacion/Paginas/la-amazonia-colombiana-y-la-descentralizacion.aspx</w:t>
      </w:r>
    </w:p>
    <w:p w14:paraId="06F9A405" w14:textId="4F6A1929" w:rsidR="00934664" w:rsidRPr="00B450EB" w:rsidRDefault="00934664" w:rsidP="00934664">
      <w:pPr>
        <w:pStyle w:val="Prrafodelista"/>
        <w:numPr>
          <w:ilvl w:val="0"/>
          <w:numId w:val="28"/>
        </w:numPr>
        <w:rPr>
          <w:lang w:val="en-US"/>
        </w:rPr>
      </w:pPr>
      <w:r w:rsidRPr="00B450EB">
        <w:rPr>
          <w:lang w:val="en-US"/>
        </w:rPr>
        <w:t>Doughty, C. (2015). Drought impact on forest carbon dynamics and fluxes in Amazonia. Nature 519, 78–82.</w:t>
      </w:r>
    </w:p>
    <w:p w14:paraId="32161442" w14:textId="2D3AE563" w:rsidR="00934664" w:rsidRPr="00B450EB" w:rsidRDefault="00934664" w:rsidP="00934664">
      <w:pPr>
        <w:pStyle w:val="Prrafodelista"/>
        <w:numPr>
          <w:ilvl w:val="0"/>
          <w:numId w:val="28"/>
        </w:numPr>
      </w:pPr>
      <w:r w:rsidRPr="00B450EB">
        <w:rPr>
          <w:lang w:val="en-US"/>
        </w:rPr>
        <w:t xml:space="preserve">Drumond, A., et al. (2014). The role of the Amazon Basin moisture in the atmospheric Branch of the hydrological cycle: a </w:t>
      </w:r>
      <w:proofErr w:type="spellStart"/>
      <w:r w:rsidRPr="00B450EB">
        <w:rPr>
          <w:lang w:val="en-US"/>
        </w:rPr>
        <w:t>Lagrangian</w:t>
      </w:r>
      <w:proofErr w:type="spellEnd"/>
      <w:r w:rsidRPr="00B450EB">
        <w:rPr>
          <w:lang w:val="en-US"/>
        </w:rPr>
        <w:t xml:space="preserve"> analysis. </w:t>
      </w:r>
      <w:proofErr w:type="spellStart"/>
      <w:r w:rsidRPr="00B450EB">
        <w:t>Hydrol</w:t>
      </w:r>
      <w:proofErr w:type="spellEnd"/>
      <w:r w:rsidRPr="00B450EB">
        <w:t xml:space="preserve">. </w:t>
      </w:r>
      <w:proofErr w:type="spellStart"/>
      <w:r w:rsidRPr="00B450EB">
        <w:t>Earth</w:t>
      </w:r>
      <w:proofErr w:type="spellEnd"/>
      <w:r w:rsidRPr="00B450EB">
        <w:t xml:space="preserve"> </w:t>
      </w:r>
      <w:proofErr w:type="spellStart"/>
      <w:r w:rsidRPr="00B450EB">
        <w:t>Syst</w:t>
      </w:r>
      <w:proofErr w:type="spellEnd"/>
      <w:r w:rsidRPr="00B450EB">
        <w:t xml:space="preserve">. </w:t>
      </w:r>
      <w:proofErr w:type="spellStart"/>
      <w:r w:rsidRPr="00B450EB">
        <w:t>Sci</w:t>
      </w:r>
      <w:proofErr w:type="spellEnd"/>
      <w:r w:rsidRPr="00B450EB">
        <w:t>., 18, 2577–2598. doi:10.5194/hess-18-2577-2014</w:t>
      </w:r>
    </w:p>
    <w:p w14:paraId="1413E38C" w14:textId="7B707D07" w:rsidR="00934664" w:rsidRPr="00B450EB" w:rsidRDefault="00934664" w:rsidP="00934664">
      <w:pPr>
        <w:pStyle w:val="Prrafodelista"/>
        <w:numPr>
          <w:ilvl w:val="0"/>
          <w:numId w:val="28"/>
        </w:numPr>
        <w:rPr>
          <w:lang w:val="en-US"/>
        </w:rPr>
      </w:pPr>
      <w:r w:rsidRPr="00B450EB">
        <w:t xml:space="preserve">DW. (2023). La biodiversidad de árboles impulsa la riqueza de peces en Amazonia. </w:t>
      </w:r>
      <w:r w:rsidRPr="00B450EB">
        <w:rPr>
          <w:lang w:val="en-US"/>
        </w:rPr>
        <w:t>DW Ciencia.</w:t>
      </w:r>
    </w:p>
    <w:p w14:paraId="5A0D34D8" w14:textId="5ED1915B" w:rsidR="00934664" w:rsidRPr="00B450EB" w:rsidRDefault="00934664" w:rsidP="00934664">
      <w:pPr>
        <w:pStyle w:val="Prrafodelista"/>
        <w:numPr>
          <w:ilvl w:val="0"/>
          <w:numId w:val="28"/>
        </w:numPr>
        <w:rPr>
          <w:lang w:val="en-US"/>
        </w:rPr>
      </w:pPr>
      <w:r w:rsidRPr="00B450EB">
        <w:rPr>
          <w:lang w:val="en-US"/>
        </w:rPr>
        <w:t>Eli Tziperman Research Group. (s. f.). Hadley circulation dynamics. Harvard University. https://groups.seas.harvard.edu/climate/eli/research/equable/hadley.html</w:t>
      </w:r>
    </w:p>
    <w:p w14:paraId="47B12B25" w14:textId="751DD79E" w:rsidR="00934664" w:rsidRPr="00B450EB" w:rsidRDefault="00934664" w:rsidP="00934664">
      <w:pPr>
        <w:pStyle w:val="Prrafodelista"/>
        <w:numPr>
          <w:ilvl w:val="0"/>
          <w:numId w:val="28"/>
        </w:numPr>
        <w:rPr>
          <w:lang w:val="en-US"/>
        </w:rPr>
      </w:pPr>
      <w:r w:rsidRPr="00B450EB">
        <w:t xml:space="preserve">Escobar, M., Hoyos, I., Villegas, J., &amp; Nieto, R. (2021). </w:t>
      </w:r>
      <w:r w:rsidRPr="00B450EB">
        <w:rPr>
          <w:lang w:val="en-US"/>
        </w:rPr>
        <w:t>The Importance of Continental Evaporation for Precipitation in Colombia: A Baseline Combining Observations from Stable Isotopes and Modeling Moisture Trajectories.</w:t>
      </w:r>
    </w:p>
    <w:p w14:paraId="01A3FE0E" w14:textId="4B730DB9" w:rsidR="00934664" w:rsidRPr="00B450EB" w:rsidRDefault="00934664" w:rsidP="00934664">
      <w:pPr>
        <w:pStyle w:val="Prrafodelista"/>
        <w:numPr>
          <w:ilvl w:val="0"/>
          <w:numId w:val="28"/>
        </w:numPr>
        <w:rPr>
          <w:lang w:val="en-US"/>
        </w:rPr>
      </w:pPr>
      <w:r w:rsidRPr="00B450EB">
        <w:rPr>
          <w:lang w:val="en-US"/>
        </w:rPr>
        <w:t xml:space="preserve">Escobar H. 2019. Amazon fires </w:t>
      </w:r>
      <w:proofErr w:type="gramStart"/>
      <w:r w:rsidRPr="00B450EB">
        <w:rPr>
          <w:lang w:val="en-US"/>
        </w:rPr>
        <w:t>clearly</w:t>
      </w:r>
      <w:proofErr w:type="gramEnd"/>
      <w:r w:rsidRPr="00B450EB">
        <w:rPr>
          <w:lang w:val="en-US"/>
        </w:rPr>
        <w:t xml:space="preserve"> linked to </w:t>
      </w:r>
      <w:proofErr w:type="spellStart"/>
      <w:proofErr w:type="gramStart"/>
      <w:r w:rsidRPr="00B450EB">
        <w:rPr>
          <w:lang w:val="en-US"/>
        </w:rPr>
        <w:t>deforestation,scientists</w:t>
      </w:r>
      <w:proofErr w:type="spellEnd"/>
      <w:proofErr w:type="gramEnd"/>
      <w:r w:rsidRPr="00B450EB">
        <w:rPr>
          <w:lang w:val="en-US"/>
        </w:rPr>
        <w:t xml:space="preserve"> say. Science 365: 853 LP – 853</w:t>
      </w:r>
    </w:p>
    <w:p w14:paraId="72D0FAC3" w14:textId="5ADF757F" w:rsidR="00934664" w:rsidRPr="00B450EB" w:rsidRDefault="00934664" w:rsidP="00934664">
      <w:pPr>
        <w:pStyle w:val="Prrafodelista"/>
        <w:numPr>
          <w:ilvl w:val="0"/>
          <w:numId w:val="28"/>
        </w:numPr>
      </w:pPr>
      <w:r w:rsidRPr="00B450EB">
        <w:rPr>
          <w:lang w:val="en-US"/>
        </w:rPr>
        <w:t>Esquivel-</w:t>
      </w:r>
      <w:proofErr w:type="spellStart"/>
      <w:r w:rsidRPr="00B450EB">
        <w:rPr>
          <w:lang w:val="en-US"/>
        </w:rPr>
        <w:t>Muelbert</w:t>
      </w:r>
      <w:proofErr w:type="spellEnd"/>
      <w:r w:rsidRPr="00B450EB">
        <w:rPr>
          <w:lang w:val="en-US"/>
        </w:rPr>
        <w:t xml:space="preserve"> (2019). Compositional response of Amazon forests to climate change. </w:t>
      </w:r>
      <w:proofErr w:type="spellStart"/>
      <w:r w:rsidRPr="00B450EB">
        <w:t>Glob</w:t>
      </w:r>
      <w:proofErr w:type="spellEnd"/>
      <w:r w:rsidRPr="00B450EB">
        <w:t>. Change Biol. 25,39–56.</w:t>
      </w:r>
    </w:p>
    <w:p w14:paraId="56310040" w14:textId="24FE6BAF" w:rsidR="00934664" w:rsidRPr="00B450EB" w:rsidRDefault="00934664" w:rsidP="00934664">
      <w:pPr>
        <w:pStyle w:val="Prrafodelista"/>
        <w:numPr>
          <w:ilvl w:val="0"/>
          <w:numId w:val="28"/>
        </w:numPr>
      </w:pPr>
      <w:r w:rsidRPr="00B450EB">
        <w:rPr>
          <w:lang w:val="en-US"/>
        </w:rPr>
        <w:lastRenderedPageBreak/>
        <w:t>Esquivel-</w:t>
      </w:r>
      <w:proofErr w:type="spellStart"/>
      <w:r w:rsidRPr="00B450EB">
        <w:rPr>
          <w:lang w:val="en-US"/>
        </w:rPr>
        <w:t>Muelbert</w:t>
      </w:r>
      <w:proofErr w:type="spellEnd"/>
      <w:r w:rsidRPr="00B450EB">
        <w:rPr>
          <w:lang w:val="en-US"/>
        </w:rPr>
        <w:t xml:space="preserve">, A., Phillips, O. L., Brienen, R. J. W., et al. (2020). Tree mode of death and mortality risk factors across Amazon forests. </w:t>
      </w:r>
      <w:proofErr w:type="spellStart"/>
      <w:r w:rsidRPr="00B450EB">
        <w:t>Nature</w:t>
      </w:r>
      <w:proofErr w:type="spellEnd"/>
      <w:r w:rsidRPr="00B450EB">
        <w:t xml:space="preserve"> </w:t>
      </w:r>
      <w:proofErr w:type="spellStart"/>
      <w:r w:rsidRPr="00B450EB">
        <w:t>Communications</w:t>
      </w:r>
      <w:proofErr w:type="spellEnd"/>
      <w:r w:rsidRPr="00B450EB">
        <w:t>, 11, 5515. https://doi.org/10.1038/s41467-020-18996-3</w:t>
      </w:r>
    </w:p>
    <w:p w14:paraId="30E3895E" w14:textId="073EFDE1" w:rsidR="00934664" w:rsidRPr="00B450EB" w:rsidRDefault="00934664" w:rsidP="00934664">
      <w:pPr>
        <w:pStyle w:val="Prrafodelista"/>
        <w:numPr>
          <w:ilvl w:val="0"/>
          <w:numId w:val="28"/>
        </w:numPr>
      </w:pPr>
      <w:r w:rsidRPr="00B450EB">
        <w:t>Fagua, G., Amarillo, A. R. y Andrade, M. G. (1999). Mariposas (</w:t>
      </w:r>
      <w:proofErr w:type="spellStart"/>
      <w:r w:rsidRPr="00B450EB">
        <w:t>Lepidoptera</w:t>
      </w:r>
      <w:proofErr w:type="spellEnd"/>
      <w:r w:rsidRPr="00B450EB">
        <w:t>) como bioindicadores del grado de intervención en la cuenca del Río Pato (Caquetá). En G. Amat, M. G. Andrade y F. Fernández (Eds.), Insectos de Colombia, Volumen II, (pp. 286-315). Academia Colombiana de Ciencias Exactas, Físicas y Naturales.</w:t>
      </w:r>
    </w:p>
    <w:p w14:paraId="2419A721" w14:textId="564793E8" w:rsidR="00934664" w:rsidRPr="00B450EB" w:rsidRDefault="00934664" w:rsidP="00934664">
      <w:pPr>
        <w:pStyle w:val="Prrafodelista"/>
        <w:numPr>
          <w:ilvl w:val="0"/>
          <w:numId w:val="28"/>
        </w:numPr>
      </w:pPr>
      <w:r w:rsidRPr="00B450EB">
        <w:t>FCDS. (2014). Ordenamiento territorial para la zona de influencia del PNN Serranía de Chiribiquete. Fundación para la Conservación y el Desarrollo Sostenible.</w:t>
      </w:r>
    </w:p>
    <w:p w14:paraId="072D5783" w14:textId="5BE8F5A5" w:rsidR="00934664" w:rsidRPr="00B450EB" w:rsidRDefault="00934664" w:rsidP="00934664">
      <w:pPr>
        <w:pStyle w:val="Prrafodelista"/>
        <w:numPr>
          <w:ilvl w:val="0"/>
          <w:numId w:val="28"/>
        </w:numPr>
      </w:pPr>
      <w:r w:rsidRPr="00B450EB">
        <w:t>FCDS. (2017). Corredores de conectividad ecológica en el proyecto Marginal de la Selva. Fundación para la Conservación y el Desarrollo Sostenible.</w:t>
      </w:r>
    </w:p>
    <w:p w14:paraId="7182EABE" w14:textId="4ED48D90" w:rsidR="00934664" w:rsidRPr="00B450EB" w:rsidRDefault="00934664" w:rsidP="00934664">
      <w:pPr>
        <w:pStyle w:val="Prrafodelista"/>
        <w:numPr>
          <w:ilvl w:val="0"/>
          <w:numId w:val="28"/>
        </w:numPr>
      </w:pPr>
      <w:r w:rsidRPr="00B450EB">
        <w:t>FCDS. (2023). Observatorio Amazonía: Agroindustria en el bioma amazónico colombiano. https://observatorioamazonia.fcds.org.co/.../microficha-agroindustria-en-el-bioma-amazonico-colombiano.html</w:t>
      </w:r>
    </w:p>
    <w:p w14:paraId="46747708" w14:textId="3360A2D7" w:rsidR="00934664" w:rsidRPr="00B450EB" w:rsidRDefault="00934664" w:rsidP="00934664">
      <w:pPr>
        <w:pStyle w:val="Prrafodelista"/>
        <w:numPr>
          <w:ilvl w:val="0"/>
          <w:numId w:val="28"/>
        </w:numPr>
      </w:pPr>
      <w:r w:rsidRPr="00B450EB">
        <w:t>FCDS. (2023). Observatorio Amazonía: Cultivos de uso ilícito en el bioma amazónico colombiano. https://observatorioamazonia.fcds.org.co/.../microficha-cultivos-de-uso-ilicito-en-el-bioma-amazonico-colombiano.html</w:t>
      </w:r>
    </w:p>
    <w:p w14:paraId="7D07390E" w14:textId="65D9C0AC" w:rsidR="00934664" w:rsidRPr="00B450EB" w:rsidRDefault="00934664" w:rsidP="00934664">
      <w:pPr>
        <w:pStyle w:val="Prrafodelista"/>
        <w:numPr>
          <w:ilvl w:val="0"/>
          <w:numId w:val="28"/>
        </w:numPr>
      </w:pPr>
      <w:r w:rsidRPr="00B450EB">
        <w:t>FCDS. (2023). Observatorio Amazonía: Ganadería en el bioma amazónico colombiano. https://observatorioamazonia.fcds.org.co/.../microficha-ganaderia-en-el-bioma-amazonico-colombiano.html</w:t>
      </w:r>
    </w:p>
    <w:p w14:paraId="1924D569" w14:textId="70746B7B" w:rsidR="00934664" w:rsidRPr="00B450EB" w:rsidRDefault="00934664" w:rsidP="00934664">
      <w:pPr>
        <w:pStyle w:val="Prrafodelista"/>
        <w:numPr>
          <w:ilvl w:val="0"/>
          <w:numId w:val="28"/>
        </w:numPr>
      </w:pPr>
      <w:r w:rsidRPr="00B450EB">
        <w:t>FCDS. (2024). Observatorio Amazonía: Deforestación en el bioma amazónico colombiano. https://observatorioamazonia.fcds.org.co/microficha-deforestacion-en-el-bioma-amazonico-colombiano.html</w:t>
      </w:r>
    </w:p>
    <w:p w14:paraId="351BD26B" w14:textId="7DD118D8" w:rsidR="00934664" w:rsidRPr="00B450EB" w:rsidRDefault="00934664" w:rsidP="00934664">
      <w:pPr>
        <w:pStyle w:val="Prrafodelista"/>
        <w:numPr>
          <w:ilvl w:val="0"/>
          <w:numId w:val="28"/>
        </w:numPr>
      </w:pPr>
      <w:r w:rsidRPr="00B450EB">
        <w:t>FCDS. (2024). Observatorio Amazonía: Grupos al margen de la ley en el bioma amazónico colombiano. https://observatorioamazonia.fcds.org.co/.../microficha-grupos-al-margen-de-la-ley-en-el-bioma-amazonico-colombiano.html</w:t>
      </w:r>
    </w:p>
    <w:p w14:paraId="07643255" w14:textId="381C88BC" w:rsidR="00934664" w:rsidRPr="00B450EB" w:rsidRDefault="00934664" w:rsidP="00934664">
      <w:pPr>
        <w:pStyle w:val="Prrafodelista"/>
        <w:numPr>
          <w:ilvl w:val="0"/>
          <w:numId w:val="28"/>
        </w:numPr>
      </w:pPr>
      <w:r w:rsidRPr="00B450EB">
        <w:t xml:space="preserve">FCDS. (2024). Observatorio Amazonía: Minería en el bioma amazónico colombiano. </w:t>
      </w:r>
      <w:hyperlink r:id="rId197" w:history="1">
        <w:r w:rsidR="008E5472" w:rsidRPr="00B450EB">
          <w:rPr>
            <w:rStyle w:val="Hipervnculo"/>
          </w:rPr>
          <w:t>https://observatorioamazonia.fcds.org.co/.../microficha-mineria-en-el-bioma-amazonico-colombiano.html</w:t>
        </w:r>
      </w:hyperlink>
    </w:p>
    <w:p w14:paraId="559DB7B5" w14:textId="25823107" w:rsidR="008E5472" w:rsidRPr="00B450EB" w:rsidRDefault="008E5472" w:rsidP="00934664">
      <w:pPr>
        <w:pStyle w:val="Prrafodelista"/>
        <w:numPr>
          <w:ilvl w:val="0"/>
          <w:numId w:val="28"/>
        </w:numPr>
      </w:pPr>
      <w:r w:rsidRPr="00B450EB">
        <w:t xml:space="preserve">Fedesarrollo. (2021). </w:t>
      </w:r>
      <w:r w:rsidRPr="00B450EB">
        <w:rPr>
          <w:i/>
          <w:iCs/>
        </w:rPr>
        <w:t>Impacto socioeconómico de la industria petrolera en Colombia</w:t>
      </w:r>
      <w:r w:rsidRPr="00B450EB">
        <w:t>. Bogotá: Fedesarrollo.</w:t>
      </w:r>
    </w:p>
    <w:p w14:paraId="29EBAA17" w14:textId="4FC68A9B" w:rsidR="00934664" w:rsidRPr="00B450EB" w:rsidRDefault="00934664" w:rsidP="00934664">
      <w:pPr>
        <w:pStyle w:val="Prrafodelista"/>
        <w:numPr>
          <w:ilvl w:val="0"/>
          <w:numId w:val="28"/>
        </w:numPr>
      </w:pPr>
      <w:r w:rsidRPr="00B450EB">
        <w:rPr>
          <w:lang w:val="en-US"/>
        </w:rPr>
        <w:t xml:space="preserve">Ferrante, L., et al. (2022). Effects of Amazonian flying rivers on frog biodiversity. </w:t>
      </w:r>
      <w:r w:rsidRPr="00B450EB">
        <w:t>Disponible en: https://conbio.onlinelibrary.wiley.com/doi/10.1111/cobi.14033</w:t>
      </w:r>
    </w:p>
    <w:p w14:paraId="50E90B92" w14:textId="7116905E" w:rsidR="00934664" w:rsidRPr="00B450EB" w:rsidRDefault="00934664" w:rsidP="00934664">
      <w:pPr>
        <w:pStyle w:val="Prrafodelista"/>
        <w:numPr>
          <w:ilvl w:val="0"/>
          <w:numId w:val="28"/>
        </w:numPr>
        <w:rPr>
          <w:lang w:val="en-US"/>
        </w:rPr>
      </w:pPr>
      <w:r w:rsidRPr="00B450EB">
        <w:rPr>
          <w:lang w:val="pt-PT"/>
        </w:rPr>
        <w:t xml:space="preserve">Ferrante, L., Fearnside, P. M., &amp; Barbosa, R. I. (2023). </w:t>
      </w:r>
      <w:r w:rsidRPr="00B450EB">
        <w:rPr>
          <w:lang w:val="en-US"/>
        </w:rPr>
        <w:t>Amazonian “flying rivers” and their importance for rainfall in South America. Environmental Conservation, 50(1), 1–10. Cambridge University Press. https://doi.org/10.1017/S0376892923000016</w:t>
      </w:r>
    </w:p>
    <w:p w14:paraId="176DCA5D" w14:textId="2D21858A" w:rsidR="00934664" w:rsidRPr="00B450EB" w:rsidRDefault="00934664" w:rsidP="00934664">
      <w:pPr>
        <w:pStyle w:val="Prrafodelista"/>
        <w:numPr>
          <w:ilvl w:val="0"/>
          <w:numId w:val="28"/>
        </w:numPr>
        <w:rPr>
          <w:lang w:val="en-US"/>
        </w:rPr>
      </w:pPr>
      <w:r w:rsidRPr="00B450EB">
        <w:rPr>
          <w:lang w:val="pt-PT"/>
        </w:rPr>
        <w:lastRenderedPageBreak/>
        <w:t xml:space="preserve">Ferrante, L., Fearnside, P. M., &amp; Barbosa, R. L. (2023). </w:t>
      </w:r>
      <w:r w:rsidRPr="00B450EB">
        <w:rPr>
          <w:lang w:val="en-US"/>
        </w:rPr>
        <w:t>Effects of Amazonian flying rivers on frog biodiversity and populations in the Atlantic rainforest. Conservation Biology.</w:t>
      </w:r>
    </w:p>
    <w:p w14:paraId="69F921F5" w14:textId="3A371F34" w:rsidR="00934664" w:rsidRPr="00B450EB" w:rsidRDefault="00934664" w:rsidP="00934664">
      <w:pPr>
        <w:pStyle w:val="Prrafodelista"/>
        <w:numPr>
          <w:ilvl w:val="0"/>
          <w:numId w:val="28"/>
        </w:numPr>
        <w:rPr>
          <w:lang w:val="en-US"/>
        </w:rPr>
      </w:pPr>
      <w:r w:rsidRPr="00B450EB">
        <w:rPr>
          <w:lang w:val="pt-PT"/>
        </w:rPr>
        <w:t xml:space="preserve">Ferreira do Rosario, F., Custodio, E., &amp; Cardoso da Silva Jr., G. (2016). </w:t>
      </w:r>
      <w:r w:rsidRPr="00B450EB">
        <w:rPr>
          <w:lang w:val="en-US"/>
        </w:rPr>
        <w:t>Hydrogeology of the Western Amazon Aquifer System (WAAS). Journal of South American Earth Sciences.</w:t>
      </w:r>
    </w:p>
    <w:p w14:paraId="15989B7C" w14:textId="5E66396A" w:rsidR="00934664" w:rsidRPr="00B450EB" w:rsidRDefault="00934664" w:rsidP="00934664">
      <w:pPr>
        <w:pStyle w:val="Prrafodelista"/>
        <w:numPr>
          <w:ilvl w:val="0"/>
          <w:numId w:val="28"/>
        </w:numPr>
        <w:rPr>
          <w:lang w:val="en-US"/>
        </w:rPr>
      </w:pPr>
      <w:r w:rsidRPr="00B450EB">
        <w:rPr>
          <w:lang w:val="en-US"/>
        </w:rPr>
        <w:t xml:space="preserve">Finer, M., Jenkins, C. N., Pimm, S. L., Keane, B., &amp; Ross, C. (2008). Oil and gas projects in the western Amazon. </w:t>
      </w:r>
      <w:proofErr w:type="spellStart"/>
      <w:r w:rsidRPr="00B450EB">
        <w:rPr>
          <w:lang w:val="en-US"/>
        </w:rPr>
        <w:t>PloS</w:t>
      </w:r>
      <w:proofErr w:type="spellEnd"/>
      <w:r w:rsidRPr="00B450EB">
        <w:rPr>
          <w:lang w:val="en-US"/>
        </w:rPr>
        <w:t xml:space="preserve"> One, 3(8), e2932.</w:t>
      </w:r>
    </w:p>
    <w:p w14:paraId="1A91919B" w14:textId="5A37AD47" w:rsidR="00934664" w:rsidRPr="00B450EB" w:rsidRDefault="00934664" w:rsidP="00934664">
      <w:pPr>
        <w:pStyle w:val="Prrafodelista"/>
        <w:numPr>
          <w:ilvl w:val="0"/>
          <w:numId w:val="28"/>
        </w:numPr>
        <w:rPr>
          <w:lang w:val="en-US"/>
        </w:rPr>
      </w:pPr>
      <w:proofErr w:type="spellStart"/>
      <w:r w:rsidRPr="00B450EB">
        <w:t>Finer</w:t>
      </w:r>
      <w:proofErr w:type="spellEnd"/>
      <w:r w:rsidRPr="00B450EB">
        <w:t xml:space="preserve">, M. (2025, abril). Carbono en la Amazonía (parte 4): Áreas protegidas y territorios Indígenas. </w:t>
      </w:r>
      <w:r w:rsidRPr="00B450EB">
        <w:rPr>
          <w:lang w:val="en-US"/>
        </w:rPr>
        <w:t>MAAP #225. https://www.maapprogram.org/es/carbono-amazonia-parte4/</w:t>
      </w:r>
    </w:p>
    <w:p w14:paraId="5D8BAB91" w14:textId="0DD07910" w:rsidR="00934664" w:rsidRPr="00B450EB" w:rsidRDefault="00934664" w:rsidP="00934664">
      <w:pPr>
        <w:pStyle w:val="Prrafodelista"/>
        <w:numPr>
          <w:ilvl w:val="0"/>
          <w:numId w:val="28"/>
        </w:numPr>
        <w:rPr>
          <w:lang w:val="en-US"/>
        </w:rPr>
      </w:pPr>
      <w:r w:rsidRPr="00B450EB">
        <w:rPr>
          <w:lang w:val="en-US"/>
        </w:rPr>
        <w:t xml:space="preserve">Finer, M., Jenkins, C. N., Pimm, S. L., Keane, B., &amp; Ross, C. (2008). Oil and gas projects in the western Amazon: Threats to wilderness, biodiversity, and indigenous peoples. </w:t>
      </w:r>
      <w:proofErr w:type="spellStart"/>
      <w:r w:rsidRPr="00B450EB">
        <w:rPr>
          <w:lang w:val="en-US"/>
        </w:rPr>
        <w:t>PLoS</w:t>
      </w:r>
      <w:proofErr w:type="spellEnd"/>
      <w:r w:rsidRPr="00B450EB">
        <w:rPr>
          <w:lang w:val="en-US"/>
        </w:rPr>
        <w:t xml:space="preserve"> ONE, 3(8), e2932. https://doi.org/10.1371/journal.pone.0002932</w:t>
      </w:r>
    </w:p>
    <w:p w14:paraId="5241C5B9" w14:textId="5C5E2349" w:rsidR="00934664" w:rsidRPr="00B450EB" w:rsidRDefault="00934664" w:rsidP="00934664">
      <w:pPr>
        <w:pStyle w:val="Prrafodelista"/>
        <w:numPr>
          <w:ilvl w:val="0"/>
          <w:numId w:val="28"/>
        </w:numPr>
        <w:rPr>
          <w:lang w:val="en-US"/>
        </w:rPr>
      </w:pPr>
      <w:r w:rsidRPr="00B450EB">
        <w:rPr>
          <w:lang w:val="en-US"/>
        </w:rPr>
        <w:t>Fittkau, E. J. (1969). The fauna of South America. In Biogeography and ecology in South America (Vol. 2, pp. 624-650).</w:t>
      </w:r>
    </w:p>
    <w:p w14:paraId="404B2133" w14:textId="11D29BA9" w:rsidR="00934664" w:rsidRPr="00B450EB" w:rsidRDefault="00934664" w:rsidP="00934664">
      <w:pPr>
        <w:pStyle w:val="Prrafodelista"/>
        <w:numPr>
          <w:ilvl w:val="0"/>
          <w:numId w:val="28"/>
        </w:numPr>
        <w:rPr>
          <w:lang w:val="en-US"/>
        </w:rPr>
      </w:pPr>
      <w:r w:rsidRPr="00B450EB">
        <w:rPr>
          <w:lang w:val="pt-PT"/>
        </w:rPr>
        <w:t xml:space="preserve">Flores Andrade, B., Verdezoto Carvajal, M., Simbaña Punina, J., &amp; DomínguezGaibor, I. (2022). </w:t>
      </w:r>
      <w:r w:rsidRPr="00B450EB">
        <w:rPr>
          <w:lang w:val="en-US"/>
        </w:rPr>
        <w:t>No Title. Green World Journal, 5(1), 006. https://doi.org/10.53313/gwj51006</w:t>
      </w:r>
    </w:p>
    <w:p w14:paraId="1D4576F3" w14:textId="6726AD38" w:rsidR="00934664" w:rsidRPr="00B450EB" w:rsidRDefault="00934664" w:rsidP="00934664">
      <w:pPr>
        <w:pStyle w:val="Prrafodelista"/>
        <w:numPr>
          <w:ilvl w:val="0"/>
          <w:numId w:val="28"/>
        </w:numPr>
        <w:rPr>
          <w:lang w:val="en-US"/>
        </w:rPr>
      </w:pPr>
      <w:r w:rsidRPr="00B450EB">
        <w:rPr>
          <w:lang w:val="en-US"/>
        </w:rPr>
        <w:t>Forman, R. T. T. (1995). Land mosaics: The ecology of landscapes and regions. Cambridge University Press.</w:t>
      </w:r>
    </w:p>
    <w:p w14:paraId="0CF0FE74" w14:textId="3D4C40EC" w:rsidR="00934664" w:rsidRPr="00B450EB" w:rsidRDefault="00934664" w:rsidP="00934664">
      <w:pPr>
        <w:pStyle w:val="Prrafodelista"/>
        <w:numPr>
          <w:ilvl w:val="0"/>
          <w:numId w:val="28"/>
        </w:numPr>
        <w:rPr>
          <w:lang w:val="en-US"/>
        </w:rPr>
      </w:pPr>
      <w:r w:rsidRPr="00B450EB">
        <w:rPr>
          <w:lang w:val="en-US"/>
        </w:rPr>
        <w:t xml:space="preserve">Frailey, C. D., Lavina, E. L., </w:t>
      </w:r>
      <w:proofErr w:type="spellStart"/>
      <w:r w:rsidRPr="00B450EB">
        <w:rPr>
          <w:lang w:val="en-US"/>
        </w:rPr>
        <w:t>Rancy</w:t>
      </w:r>
      <w:proofErr w:type="spellEnd"/>
      <w:r w:rsidRPr="00B450EB">
        <w:rPr>
          <w:lang w:val="en-US"/>
        </w:rPr>
        <w:t>, A., &amp; Souza Filho, J. P. D. (1988). A proposed Pleistocene/</w:t>
      </w:r>
      <w:proofErr w:type="spellStart"/>
      <w:r w:rsidRPr="00B450EB">
        <w:rPr>
          <w:lang w:val="en-US"/>
        </w:rPr>
        <w:t>Holocenelake</w:t>
      </w:r>
      <w:proofErr w:type="spellEnd"/>
      <w:r w:rsidRPr="00B450EB">
        <w:rPr>
          <w:lang w:val="en-US"/>
        </w:rPr>
        <w:t xml:space="preserve"> in the Amazon basin. Acta Amazonica, 18(3-4), 119-143.</w:t>
      </w:r>
    </w:p>
    <w:p w14:paraId="145E6822" w14:textId="299160DE" w:rsidR="00934664" w:rsidRPr="00B450EB" w:rsidRDefault="00934664" w:rsidP="00934664">
      <w:pPr>
        <w:pStyle w:val="Prrafodelista"/>
        <w:numPr>
          <w:ilvl w:val="0"/>
          <w:numId w:val="28"/>
        </w:numPr>
      </w:pPr>
      <w:r w:rsidRPr="00B450EB">
        <w:t>Galeano, G., &amp; Bernal, R. (2010). Palmas de Colombia. Guía de Campo. Editorial Universidad Nacional de Colombia. Instituto de Ciencias Naturales-Universidad Nacional de Colombia, Bogotá. 688.</w:t>
      </w:r>
    </w:p>
    <w:p w14:paraId="47A063BF" w14:textId="257B5B4E" w:rsidR="003A7FB0" w:rsidRPr="00B450EB" w:rsidRDefault="003A7FB0" w:rsidP="00934664">
      <w:pPr>
        <w:pStyle w:val="Prrafodelista"/>
        <w:numPr>
          <w:ilvl w:val="0"/>
          <w:numId w:val="28"/>
        </w:numPr>
      </w:pPr>
      <w:r w:rsidRPr="00B450EB">
        <w:t xml:space="preserve">García, C. (2019). Regalías y desarrollo territorial en Colombia: una evaluación de su impacto. </w:t>
      </w:r>
      <w:r w:rsidRPr="00B450EB">
        <w:rPr>
          <w:i/>
          <w:iCs/>
        </w:rPr>
        <w:t>Revista de Economía Institucional, 21</w:t>
      </w:r>
      <w:r w:rsidRPr="00B450EB">
        <w:t>(41), 223–245.</w:t>
      </w:r>
    </w:p>
    <w:p w14:paraId="04CD987A" w14:textId="52A657E3" w:rsidR="00934664" w:rsidRPr="00B450EB" w:rsidRDefault="00934664" w:rsidP="00934664">
      <w:pPr>
        <w:pStyle w:val="Prrafodelista"/>
        <w:numPr>
          <w:ilvl w:val="0"/>
          <w:numId w:val="28"/>
        </w:numPr>
        <w:rPr>
          <w:lang w:val="en-US"/>
        </w:rPr>
      </w:pPr>
      <w:r w:rsidRPr="00B450EB">
        <w:t xml:space="preserve">García, N. (2007). Libro Rojo de Plantas de Colombia. Volumen 5: Las Magnoliáceas, las Miristicáceas y las Podocarpáceas. Serie Libros Rojos de Especies Amenazadas de Colombia. Bogotá, Colombia. Instituto Alexander </w:t>
      </w:r>
      <w:proofErr w:type="spellStart"/>
      <w:r w:rsidRPr="00B450EB">
        <w:t>von</w:t>
      </w:r>
      <w:proofErr w:type="spellEnd"/>
      <w:r w:rsidRPr="00B450EB">
        <w:t xml:space="preserve"> Humboldt -CORANTIOQUIA - Jardín Botánico Joaquín Antonio Uribe de Medellín - Instituto de Ciencias Naturales de la Universidad Nacional de Colombia - Ministerio de Ambiente, Vivienda y Desarrollo Territorial. </w:t>
      </w:r>
      <w:r w:rsidRPr="00B450EB">
        <w:rPr>
          <w:lang w:val="en-US"/>
        </w:rPr>
        <w:t>236 p.</w:t>
      </w:r>
    </w:p>
    <w:p w14:paraId="5E5F35AB" w14:textId="1203F193" w:rsidR="00934664" w:rsidRPr="00B450EB" w:rsidRDefault="00934664" w:rsidP="00934664">
      <w:pPr>
        <w:pStyle w:val="Prrafodelista"/>
        <w:numPr>
          <w:ilvl w:val="0"/>
          <w:numId w:val="28"/>
        </w:numPr>
        <w:rPr>
          <w:lang w:val="en-US"/>
        </w:rPr>
      </w:pPr>
      <w:r w:rsidRPr="00B450EB">
        <w:rPr>
          <w:lang w:val="pt-PT"/>
        </w:rPr>
        <w:t xml:space="preserve">Gatti, L. V., Basso, L. S., Miller, J. B., Gloor, M., Gatti Domingues, L., Cassol, H. L. G., Tejada, G., Aragão, L. E. O. C., Nobre, C., Peters, W., Marani, L., Arai, E., Sanches, A. H., Corrêa, S. M., Anderson, L., Von Randow, C., Correia, C., Crispim, S. P., &amp; Neves, R. (2021). </w:t>
      </w:r>
      <w:r w:rsidRPr="00B450EB">
        <w:rPr>
          <w:lang w:val="en-US"/>
        </w:rPr>
        <w:t xml:space="preserve">Amazonia as a carbon source linked to </w:t>
      </w:r>
      <w:r w:rsidRPr="00B450EB">
        <w:rPr>
          <w:lang w:val="en-US"/>
        </w:rPr>
        <w:lastRenderedPageBreak/>
        <w:t>deforestation and climate change. Nature, 595(7867), 388–393. https://doi.org/10.1038/s41586-021-03629-6</w:t>
      </w:r>
    </w:p>
    <w:p w14:paraId="059AC78D" w14:textId="2FE21D61" w:rsidR="00934664" w:rsidRPr="00B450EB" w:rsidRDefault="00934664" w:rsidP="00934664">
      <w:pPr>
        <w:pStyle w:val="Prrafodelista"/>
        <w:numPr>
          <w:ilvl w:val="0"/>
          <w:numId w:val="28"/>
        </w:numPr>
        <w:rPr>
          <w:lang w:val="en-US"/>
        </w:rPr>
      </w:pPr>
      <w:r w:rsidRPr="00B450EB">
        <w:rPr>
          <w:lang w:val="en-US"/>
        </w:rPr>
        <w:t xml:space="preserve">GBIF.org. (2025, </w:t>
      </w:r>
      <w:proofErr w:type="spellStart"/>
      <w:r w:rsidRPr="00B450EB">
        <w:rPr>
          <w:lang w:val="en-US"/>
        </w:rPr>
        <w:t>septiembre</w:t>
      </w:r>
      <w:proofErr w:type="spellEnd"/>
      <w:r w:rsidRPr="00B450EB">
        <w:rPr>
          <w:lang w:val="en-US"/>
        </w:rPr>
        <w:t xml:space="preserve"> 9). GBIF Occurrence Download. https://doi.org/10.15468/dl.uf9aqx</w:t>
      </w:r>
    </w:p>
    <w:p w14:paraId="1DE62B51" w14:textId="2045768A" w:rsidR="00934664" w:rsidRPr="00B450EB" w:rsidRDefault="00934664" w:rsidP="00934664">
      <w:pPr>
        <w:pStyle w:val="Prrafodelista"/>
        <w:numPr>
          <w:ilvl w:val="0"/>
          <w:numId w:val="28"/>
        </w:numPr>
        <w:rPr>
          <w:lang w:val="en-US"/>
        </w:rPr>
      </w:pPr>
      <w:r w:rsidRPr="00B450EB">
        <w:rPr>
          <w:lang w:val="en-US"/>
        </w:rPr>
        <w:t xml:space="preserve">Geist, H. J., &amp; Lambin, E. F. (2002). Proximate causes and underlying driving forces of tropical deforestation. </w:t>
      </w:r>
      <w:proofErr w:type="spellStart"/>
      <w:r w:rsidRPr="00B450EB">
        <w:rPr>
          <w:lang w:val="en-US"/>
        </w:rPr>
        <w:t>BioScience</w:t>
      </w:r>
      <w:proofErr w:type="spellEnd"/>
      <w:r w:rsidRPr="00B450EB">
        <w:rPr>
          <w:lang w:val="en-US"/>
        </w:rPr>
        <w:t>, 52(2), 143–150. https://doi.org/10.1641/0006-3568(2002)052[</w:t>
      </w:r>
      <w:proofErr w:type="gramStart"/>
      <w:r w:rsidRPr="00B450EB">
        <w:rPr>
          <w:lang w:val="en-US"/>
        </w:rPr>
        <w:t>0143:PCAUDF</w:t>
      </w:r>
      <w:proofErr w:type="gramEnd"/>
      <w:r w:rsidRPr="00B450EB">
        <w:rPr>
          <w:lang w:val="en-US"/>
        </w:rPr>
        <w:t>]2.0.CO;2</w:t>
      </w:r>
    </w:p>
    <w:p w14:paraId="221873A8" w14:textId="029DDAA6" w:rsidR="00934664" w:rsidRPr="00B450EB" w:rsidRDefault="00934664" w:rsidP="00934664">
      <w:pPr>
        <w:pStyle w:val="Prrafodelista"/>
        <w:numPr>
          <w:ilvl w:val="0"/>
          <w:numId w:val="28"/>
        </w:numPr>
        <w:rPr>
          <w:lang w:val="en-US"/>
        </w:rPr>
      </w:pPr>
      <w:r w:rsidRPr="00B450EB">
        <w:rPr>
          <w:lang w:val="en-US"/>
        </w:rPr>
        <w:t>Gentry, A. H. (1982). Neotropical floristic diversity. Annals of the Missouri Botanical Garden, 69(3), 557-593.</w:t>
      </w:r>
    </w:p>
    <w:p w14:paraId="1F19B479" w14:textId="2CA46434" w:rsidR="00934664" w:rsidRPr="00B450EB" w:rsidRDefault="00934664" w:rsidP="00934664">
      <w:pPr>
        <w:pStyle w:val="Prrafodelista"/>
        <w:numPr>
          <w:ilvl w:val="0"/>
          <w:numId w:val="28"/>
        </w:numPr>
      </w:pPr>
      <w:r w:rsidRPr="00B450EB">
        <w:t xml:space="preserve">González, J., Cubillos, A., </w:t>
      </w:r>
      <w:proofErr w:type="spellStart"/>
      <w:r w:rsidRPr="00B450EB">
        <w:t>Chadid</w:t>
      </w:r>
      <w:proofErr w:type="spellEnd"/>
      <w:r w:rsidRPr="00B450EB">
        <w:t xml:space="preserve">, M., et al. (2018). Caracterización de las principales causas y agentes de deforestación a nivel nacional 2005-2015. IDEAM – </w:t>
      </w:r>
      <w:proofErr w:type="spellStart"/>
      <w:r w:rsidRPr="00B450EB">
        <w:t>MinAmbiente</w:t>
      </w:r>
      <w:proofErr w:type="spellEnd"/>
      <w:r w:rsidRPr="00B450EB">
        <w:t xml:space="preserve"> – ONU-REDD.</w:t>
      </w:r>
    </w:p>
    <w:p w14:paraId="382D4187" w14:textId="184321F8" w:rsidR="00934664" w:rsidRPr="00B450EB" w:rsidRDefault="00934664" w:rsidP="00934664">
      <w:pPr>
        <w:pStyle w:val="Prrafodelista"/>
        <w:numPr>
          <w:ilvl w:val="0"/>
          <w:numId w:val="28"/>
        </w:numPr>
      </w:pPr>
      <w:r w:rsidRPr="00B450EB">
        <w:t xml:space="preserve">González-Orozco, C. E. (2021). </w:t>
      </w:r>
      <w:proofErr w:type="spellStart"/>
      <w:r w:rsidRPr="00B450EB">
        <w:t>Biogeographical</w:t>
      </w:r>
      <w:proofErr w:type="spellEnd"/>
      <w:r w:rsidRPr="00B450EB">
        <w:t xml:space="preserve"> </w:t>
      </w:r>
      <w:proofErr w:type="spellStart"/>
      <w:r w:rsidRPr="00B450EB">
        <w:t>regionalisation</w:t>
      </w:r>
      <w:proofErr w:type="spellEnd"/>
      <w:r w:rsidRPr="00B450EB">
        <w:t xml:space="preserve"> </w:t>
      </w:r>
      <w:proofErr w:type="spellStart"/>
      <w:r w:rsidRPr="00B450EB">
        <w:t>of</w:t>
      </w:r>
      <w:proofErr w:type="spellEnd"/>
      <w:r w:rsidRPr="00B450EB">
        <w:t xml:space="preserve"> Colombia. </w:t>
      </w:r>
      <w:proofErr w:type="spellStart"/>
      <w:r w:rsidRPr="00B450EB">
        <w:t>Phytotaxa</w:t>
      </w:r>
      <w:proofErr w:type="spellEnd"/>
      <w:r w:rsidRPr="00B450EB">
        <w:t>, 484(3), 247-260.</w:t>
      </w:r>
    </w:p>
    <w:p w14:paraId="79AD268E" w14:textId="7A945B73" w:rsidR="003A2B1A" w:rsidRPr="00B450EB" w:rsidRDefault="003A2B1A" w:rsidP="00934664">
      <w:pPr>
        <w:pStyle w:val="Prrafodelista"/>
        <w:numPr>
          <w:ilvl w:val="0"/>
          <w:numId w:val="28"/>
        </w:numPr>
      </w:pPr>
      <w:r w:rsidRPr="00B450EB">
        <w:t xml:space="preserve">Gudynas, E. (2012). Estado compensador y nuevos </w:t>
      </w:r>
      <w:proofErr w:type="spellStart"/>
      <w:r w:rsidRPr="00B450EB">
        <w:t>extractivismos</w:t>
      </w:r>
      <w:proofErr w:type="spellEnd"/>
      <w:r w:rsidRPr="00B450EB">
        <w:t xml:space="preserve">. </w:t>
      </w:r>
      <w:r w:rsidRPr="00B450EB">
        <w:rPr>
          <w:i/>
          <w:iCs/>
        </w:rPr>
        <w:t>Nueva Sociedad, 237</w:t>
      </w:r>
      <w:r w:rsidRPr="00B450EB">
        <w:t>, 128–146.</w:t>
      </w:r>
    </w:p>
    <w:p w14:paraId="471086B0" w14:textId="600BD831" w:rsidR="00934664" w:rsidRPr="00B450EB" w:rsidRDefault="00934664" w:rsidP="00934664">
      <w:pPr>
        <w:pStyle w:val="Prrafodelista"/>
        <w:numPr>
          <w:ilvl w:val="0"/>
          <w:numId w:val="28"/>
        </w:numPr>
      </w:pPr>
      <w:proofErr w:type="spellStart"/>
      <w:r w:rsidRPr="00B450EB">
        <w:t>Hacón</w:t>
      </w:r>
      <w:proofErr w:type="spellEnd"/>
      <w:r w:rsidRPr="00B450EB">
        <w:t xml:space="preserve">, S., Rivera, G.A., </w:t>
      </w:r>
      <w:proofErr w:type="spellStart"/>
      <w:r w:rsidRPr="00B450EB">
        <w:t>Rodrigues</w:t>
      </w:r>
      <w:proofErr w:type="spellEnd"/>
      <w:r w:rsidRPr="00B450EB">
        <w:t xml:space="preserve">, Y.E., Viscarra, F.E., </w:t>
      </w:r>
      <w:proofErr w:type="spellStart"/>
      <w:r w:rsidRPr="00B450EB">
        <w:t>Andreazzi</w:t>
      </w:r>
      <w:proofErr w:type="spellEnd"/>
      <w:r w:rsidRPr="00B450EB">
        <w:t xml:space="preserve">, C.S., </w:t>
      </w:r>
      <w:proofErr w:type="spellStart"/>
      <w:r w:rsidRPr="00B450EB">
        <w:t>Winck</w:t>
      </w:r>
      <w:proofErr w:type="spellEnd"/>
      <w:r w:rsidRPr="00B450EB">
        <w:t xml:space="preserve">, G., Galaz, V., Nascimento, N., </w:t>
      </w:r>
      <w:proofErr w:type="spellStart"/>
      <w:r w:rsidRPr="00B450EB">
        <w:t>Sacueana</w:t>
      </w:r>
      <w:proofErr w:type="spellEnd"/>
      <w:r w:rsidRPr="00B450EB">
        <w:t xml:space="preserve">, P., Mena, C.F. (2024). Salud en la Amazonía: Desafíos Ambientales, Sociales y Económicos. </w:t>
      </w:r>
      <w:proofErr w:type="spellStart"/>
      <w:r w:rsidRPr="00B450EB">
        <w:t>Policy</w:t>
      </w:r>
      <w:proofErr w:type="spellEnd"/>
      <w:r w:rsidRPr="00B450EB">
        <w:t xml:space="preserve"> </w:t>
      </w:r>
      <w:proofErr w:type="spellStart"/>
      <w:r w:rsidRPr="00B450EB">
        <w:t>Brief</w:t>
      </w:r>
      <w:proofErr w:type="spellEnd"/>
      <w:r w:rsidRPr="00B450EB">
        <w:t>. Panel Científico por la Amazonía, Red de Soluciones para el Desarrollo Sostenible de las Naciones Unidas, Nueva York, EE. UU.</w:t>
      </w:r>
    </w:p>
    <w:p w14:paraId="3B379B08" w14:textId="37A481B2" w:rsidR="00934664" w:rsidRPr="00B450EB" w:rsidRDefault="00934664" w:rsidP="00934664">
      <w:pPr>
        <w:pStyle w:val="Prrafodelista"/>
        <w:numPr>
          <w:ilvl w:val="0"/>
          <w:numId w:val="28"/>
        </w:numPr>
        <w:rPr>
          <w:lang w:val="en-US"/>
        </w:rPr>
      </w:pPr>
      <w:r w:rsidRPr="00B450EB">
        <w:rPr>
          <w:lang w:val="en-US"/>
        </w:rPr>
        <w:t xml:space="preserve">Hajdu, L. H., </w:t>
      </w:r>
      <w:proofErr w:type="spellStart"/>
      <w:r w:rsidRPr="00B450EB">
        <w:rPr>
          <w:lang w:val="en-US"/>
        </w:rPr>
        <w:t>Meesters</w:t>
      </w:r>
      <w:proofErr w:type="spellEnd"/>
      <w:r w:rsidRPr="00B450EB">
        <w:rPr>
          <w:lang w:val="en-US"/>
        </w:rPr>
        <w:t>, A. G. C. A., Dolman, A. J., &amp; Friend, A. D. (2025). Deforestation Could Push Amazonia Close to a Tipping Point. Geophysical Research Letters, 52(15). https://doi.org/10.1029/2024GL108304</w:t>
      </w:r>
    </w:p>
    <w:p w14:paraId="415735AA" w14:textId="59DECC2A" w:rsidR="003A2B1A" w:rsidRPr="00B450EB" w:rsidRDefault="003A2B1A" w:rsidP="00934664">
      <w:pPr>
        <w:pStyle w:val="Prrafodelista"/>
        <w:numPr>
          <w:ilvl w:val="0"/>
          <w:numId w:val="28"/>
        </w:numPr>
        <w:rPr>
          <w:lang w:val="en-US"/>
        </w:rPr>
      </w:pPr>
      <w:r w:rsidRPr="00B450EB">
        <w:rPr>
          <w:lang w:val="en-US"/>
        </w:rPr>
        <w:t xml:space="preserve">Hausmann, R., &amp; Hidalgo, C. (2011). </w:t>
      </w:r>
      <w:r w:rsidRPr="00B450EB">
        <w:rPr>
          <w:i/>
          <w:iCs/>
          <w:lang w:val="en-US"/>
        </w:rPr>
        <w:t>The Atlas of Economic Complexity: Mapping paths to prosperity</w:t>
      </w:r>
      <w:r w:rsidRPr="00B450EB">
        <w:rPr>
          <w:lang w:val="en-US"/>
        </w:rPr>
        <w:t xml:space="preserve">. </w:t>
      </w:r>
      <w:r w:rsidRPr="00B450EB">
        <w:t xml:space="preserve">Harvard </w:t>
      </w:r>
      <w:proofErr w:type="spellStart"/>
      <w:r w:rsidRPr="00B450EB">
        <w:t>University</w:t>
      </w:r>
      <w:proofErr w:type="spellEnd"/>
      <w:r w:rsidRPr="00B450EB">
        <w:t>.</w:t>
      </w:r>
    </w:p>
    <w:p w14:paraId="5F434437" w14:textId="1F5CACA0" w:rsidR="00934664" w:rsidRPr="00B450EB" w:rsidRDefault="00934664" w:rsidP="00934664">
      <w:pPr>
        <w:pStyle w:val="Prrafodelista"/>
        <w:numPr>
          <w:ilvl w:val="0"/>
          <w:numId w:val="28"/>
        </w:numPr>
        <w:rPr>
          <w:lang w:val="en-US"/>
        </w:rPr>
      </w:pPr>
      <w:r w:rsidRPr="00B450EB">
        <w:t xml:space="preserve">Hernández-Camacho, J., </w:t>
      </w:r>
      <w:proofErr w:type="spellStart"/>
      <w:r w:rsidRPr="00B450EB">
        <w:t>Walschburger</w:t>
      </w:r>
      <w:proofErr w:type="spellEnd"/>
      <w:r w:rsidRPr="00B450EB">
        <w:t xml:space="preserve">, T., Ortiz, R., &amp; Hurtado, A. (1992). Origen y distribución de la biota suramericana y colombiana. Acta Zool. Mex., Vol. </w:t>
      </w:r>
      <w:r w:rsidRPr="00B450EB">
        <w:rPr>
          <w:lang w:val="en-US"/>
        </w:rPr>
        <w:t>Esp., 3-24.</w:t>
      </w:r>
    </w:p>
    <w:p w14:paraId="329CE8AB" w14:textId="78C199FC" w:rsidR="00934664" w:rsidRPr="00B450EB" w:rsidRDefault="00934664" w:rsidP="00934664">
      <w:pPr>
        <w:pStyle w:val="Prrafodelista"/>
        <w:numPr>
          <w:ilvl w:val="0"/>
          <w:numId w:val="28"/>
        </w:numPr>
      </w:pPr>
      <w:r w:rsidRPr="00B450EB">
        <w:rPr>
          <w:lang w:val="en-US"/>
        </w:rPr>
        <w:t xml:space="preserve">Hernández-León, S. (2021). Jaguars and their genetic connectivity in </w:t>
      </w:r>
      <w:proofErr w:type="gramStart"/>
      <w:r w:rsidRPr="00B450EB">
        <w:rPr>
          <w:lang w:val="en-US"/>
        </w:rPr>
        <w:t>the Amazon</w:t>
      </w:r>
      <w:proofErr w:type="gramEnd"/>
      <w:r w:rsidRPr="00B450EB">
        <w:rPr>
          <w:lang w:val="en-US"/>
        </w:rPr>
        <w:t xml:space="preserve">. </w:t>
      </w:r>
      <w:proofErr w:type="spellStart"/>
      <w:r w:rsidRPr="00B450EB">
        <w:t>Journal</w:t>
      </w:r>
      <w:proofErr w:type="spellEnd"/>
      <w:r w:rsidRPr="00B450EB">
        <w:t xml:space="preserve"> </w:t>
      </w:r>
      <w:proofErr w:type="spellStart"/>
      <w:r w:rsidRPr="00B450EB">
        <w:t>of</w:t>
      </w:r>
      <w:proofErr w:type="spellEnd"/>
      <w:r w:rsidRPr="00B450EB">
        <w:t xml:space="preserve"> </w:t>
      </w:r>
      <w:proofErr w:type="spellStart"/>
      <w:r w:rsidRPr="00B450EB">
        <w:t>Wildlife</w:t>
      </w:r>
      <w:proofErr w:type="spellEnd"/>
      <w:r w:rsidRPr="00B450EB">
        <w:t xml:space="preserve"> </w:t>
      </w:r>
      <w:proofErr w:type="spellStart"/>
      <w:r w:rsidRPr="00B450EB">
        <w:t>Conservation</w:t>
      </w:r>
      <w:proofErr w:type="spellEnd"/>
      <w:r w:rsidRPr="00B450EB">
        <w:t>, 28(4), 456-469.</w:t>
      </w:r>
    </w:p>
    <w:p w14:paraId="4896B72C" w14:textId="346581F3" w:rsidR="00934664" w:rsidRPr="00B450EB" w:rsidRDefault="00934664" w:rsidP="00934664">
      <w:pPr>
        <w:pStyle w:val="Prrafodelista"/>
        <w:numPr>
          <w:ilvl w:val="0"/>
          <w:numId w:val="28"/>
        </w:numPr>
      </w:pPr>
      <w:r w:rsidRPr="00B450EB">
        <w:t xml:space="preserve">Herrera, B.; </w:t>
      </w:r>
      <w:proofErr w:type="spellStart"/>
      <w:r w:rsidRPr="00B450EB">
        <w:t>Paaby</w:t>
      </w:r>
      <w:proofErr w:type="spellEnd"/>
      <w:r w:rsidRPr="00B450EB">
        <w:t>, P.; Muñoz, C. Impactos del cambio climático sobre la biodiversidad y los servicios ecosistémicos con énfasis en áreas silvestres protegidas: síntesis del estado del arte 2009-2011; Costa Rica, 2013</w:t>
      </w:r>
    </w:p>
    <w:p w14:paraId="4D01EB67" w14:textId="41BE025C" w:rsidR="00861703" w:rsidRPr="00B450EB" w:rsidRDefault="00861703" w:rsidP="00934664">
      <w:pPr>
        <w:pStyle w:val="Prrafodelista"/>
        <w:numPr>
          <w:ilvl w:val="0"/>
          <w:numId w:val="28"/>
        </w:numPr>
      </w:pPr>
      <w:r w:rsidRPr="00B450EB">
        <w:rPr>
          <w:lang w:val="en-US"/>
        </w:rPr>
        <w:t xml:space="preserve">Hirschman, A. O. (1958). </w:t>
      </w:r>
      <w:r w:rsidRPr="00B450EB">
        <w:rPr>
          <w:i/>
          <w:iCs/>
          <w:lang w:val="en-US"/>
        </w:rPr>
        <w:t>The strategy of economic development</w:t>
      </w:r>
      <w:r w:rsidRPr="00B450EB">
        <w:rPr>
          <w:lang w:val="en-US"/>
        </w:rPr>
        <w:t xml:space="preserve">. </w:t>
      </w:r>
      <w:r w:rsidRPr="00B450EB">
        <w:t xml:space="preserve">Yale </w:t>
      </w:r>
      <w:proofErr w:type="spellStart"/>
      <w:r w:rsidRPr="00B450EB">
        <w:t>University</w:t>
      </w:r>
      <w:proofErr w:type="spellEnd"/>
      <w:r w:rsidRPr="00B450EB">
        <w:t xml:space="preserve"> </w:t>
      </w:r>
      <w:proofErr w:type="spellStart"/>
      <w:r w:rsidRPr="00B450EB">
        <w:t>Press</w:t>
      </w:r>
      <w:proofErr w:type="spellEnd"/>
      <w:r w:rsidRPr="00B450EB">
        <w:t>.</w:t>
      </w:r>
    </w:p>
    <w:p w14:paraId="58FDDEA9" w14:textId="323DACD3" w:rsidR="00934664" w:rsidRPr="00B450EB" w:rsidRDefault="00934664" w:rsidP="00934664">
      <w:pPr>
        <w:pStyle w:val="Prrafodelista"/>
        <w:numPr>
          <w:ilvl w:val="0"/>
          <w:numId w:val="28"/>
        </w:numPr>
        <w:rPr>
          <w:lang w:val="pt-PT"/>
        </w:rPr>
      </w:pPr>
      <w:r w:rsidRPr="00B450EB">
        <w:rPr>
          <w:lang w:val="en-US"/>
        </w:rPr>
        <w:t xml:space="preserve">Holter, P. y Scholtz, C. H. (2007). What do dung beetles eat? </w:t>
      </w:r>
      <w:r w:rsidRPr="00B450EB">
        <w:rPr>
          <w:lang w:val="pt-PT"/>
        </w:rPr>
        <w:t>Ecological Entomology, 32(6), 690-697. https://doi.org/10.1111/j.1365-2311.2007.00915.x.</w:t>
      </w:r>
    </w:p>
    <w:p w14:paraId="1E53E4C5" w14:textId="03BF4351" w:rsidR="00934664" w:rsidRPr="00B450EB" w:rsidRDefault="00934664" w:rsidP="00934664">
      <w:pPr>
        <w:pStyle w:val="Prrafodelista"/>
        <w:numPr>
          <w:ilvl w:val="0"/>
          <w:numId w:val="28"/>
        </w:numPr>
      </w:pPr>
      <w:r w:rsidRPr="00B450EB">
        <w:rPr>
          <w:lang w:val="en-US"/>
        </w:rPr>
        <w:t xml:space="preserve">Hoorn, C., &amp; </w:t>
      </w:r>
      <w:proofErr w:type="spellStart"/>
      <w:r w:rsidRPr="00B450EB">
        <w:rPr>
          <w:lang w:val="en-US"/>
        </w:rPr>
        <w:t>Wesselingh</w:t>
      </w:r>
      <w:proofErr w:type="spellEnd"/>
      <w:r w:rsidRPr="00B450EB">
        <w:rPr>
          <w:lang w:val="en-US"/>
        </w:rPr>
        <w:t xml:space="preserve">, F. P. (2010). Amazonia: Landscape and species evolution. </w:t>
      </w:r>
      <w:r w:rsidRPr="00B450EB">
        <w:t>Wiley-Blackwell.</w:t>
      </w:r>
    </w:p>
    <w:p w14:paraId="137C1836" w14:textId="7490CC6A" w:rsidR="00934664" w:rsidRPr="00B450EB" w:rsidRDefault="00934664" w:rsidP="00934664">
      <w:pPr>
        <w:pStyle w:val="Prrafodelista"/>
        <w:numPr>
          <w:ilvl w:val="0"/>
          <w:numId w:val="28"/>
        </w:numPr>
      </w:pPr>
      <w:r w:rsidRPr="00B450EB">
        <w:lastRenderedPageBreak/>
        <w:t>Hoyos, I. (2017). Transporte de humedad atmosférica en Colombia: origen, variabilidad y acople con fenómenos climáticos globales. https://bibliotecadigital.udea.edu.co/</w:t>
      </w:r>
    </w:p>
    <w:p w14:paraId="1AB97D67" w14:textId="1E355A93" w:rsidR="00934664" w:rsidRPr="00B450EB" w:rsidRDefault="00934664" w:rsidP="00934664">
      <w:pPr>
        <w:pStyle w:val="Prrafodelista"/>
        <w:numPr>
          <w:ilvl w:val="0"/>
          <w:numId w:val="28"/>
        </w:numPr>
      </w:pPr>
      <w:r w:rsidRPr="00B450EB">
        <w:t>IDEAM. (2015). Zonificación climática del bioma amazónico adaptada del modelo Caldas-Lang (Aldaz-Kahn). Informe técnico. Instituto de Hidrología, Meteorología y Estudios Ambientales. Bogotá, Colombia.</w:t>
      </w:r>
    </w:p>
    <w:p w14:paraId="590C8B38" w14:textId="391A2B13" w:rsidR="00934664" w:rsidRPr="00B450EB" w:rsidRDefault="00934664" w:rsidP="00934664">
      <w:pPr>
        <w:pStyle w:val="Prrafodelista"/>
        <w:numPr>
          <w:ilvl w:val="0"/>
          <w:numId w:val="28"/>
        </w:numPr>
      </w:pPr>
      <w:r w:rsidRPr="00B450EB">
        <w:t>IDEAM. (2021). Tercera Comunicación Nacional de Cambio Climático. Ministerio de Ambiente y Desarrollo Sostenible &amp; Programa de las Naciones Unidas para el Desarrollo (PNUD). Bogotá, Colombia.</w:t>
      </w:r>
    </w:p>
    <w:p w14:paraId="5145C307" w14:textId="1CC58399" w:rsidR="00934664" w:rsidRPr="00B450EB" w:rsidRDefault="00934664" w:rsidP="00934664">
      <w:pPr>
        <w:pStyle w:val="Prrafodelista"/>
        <w:numPr>
          <w:ilvl w:val="0"/>
          <w:numId w:val="28"/>
        </w:numPr>
      </w:pPr>
      <w:r w:rsidRPr="00B450EB">
        <w:t>IDEAM. (2024). Cuarta Comunicación Nacional de Cambio Climático. Ministerio de Ambiente y Desarrollo Sostenible. Bogotá, Colombia.</w:t>
      </w:r>
    </w:p>
    <w:p w14:paraId="7C57BBA8" w14:textId="7F5E6F64" w:rsidR="00934664" w:rsidRPr="00B450EB" w:rsidRDefault="00934664" w:rsidP="00934664">
      <w:pPr>
        <w:pStyle w:val="Prrafodelista"/>
        <w:numPr>
          <w:ilvl w:val="0"/>
          <w:numId w:val="28"/>
        </w:numPr>
      </w:pPr>
      <w:r w:rsidRPr="00B450EB">
        <w:t>IDEAM. (2022). Informe del estado de la calidad del aire de 2021. https://www.ideam.gov.co/sala-de-prensa/informes/Estado-de-la-calidad-del-aire</w:t>
      </w:r>
    </w:p>
    <w:p w14:paraId="4CC70D3F" w14:textId="0041FB6F" w:rsidR="00934664" w:rsidRPr="00B450EB" w:rsidRDefault="00934664" w:rsidP="00934664">
      <w:pPr>
        <w:pStyle w:val="Prrafodelista"/>
        <w:numPr>
          <w:ilvl w:val="0"/>
          <w:numId w:val="28"/>
        </w:numPr>
      </w:pPr>
      <w:r w:rsidRPr="00B450EB">
        <w:t>IDEAM. (2013). Zonificación y codificación de cuencas hidrográficas e hidrogeológicas de Colombia. https://www.minambiente.gov.co/wp-content/uploads/2021/10/MEMORIAS-MAPA-ZONIFICACION-HIDROGRAFICA.pdf</w:t>
      </w:r>
    </w:p>
    <w:p w14:paraId="0B54156A" w14:textId="1D97B9BD" w:rsidR="00934664" w:rsidRPr="00B450EB" w:rsidRDefault="00934664" w:rsidP="00934664">
      <w:pPr>
        <w:pStyle w:val="Prrafodelista"/>
        <w:numPr>
          <w:ilvl w:val="0"/>
          <w:numId w:val="28"/>
        </w:numPr>
      </w:pPr>
      <w:r w:rsidRPr="00B450EB">
        <w:t>IDEAM. (2014). Regionalización de Colombia según la Estacionalidad de la Precipitación Media Mensual. http://archivo.ideam.gov.co/.../Regionalizacion+de+la+Precipitacion+Media+Mensual/</w:t>
      </w:r>
    </w:p>
    <w:p w14:paraId="5FEFDFBD" w14:textId="538305CA" w:rsidR="00934664" w:rsidRPr="00B450EB" w:rsidRDefault="00934664" w:rsidP="00934664">
      <w:pPr>
        <w:pStyle w:val="Prrafodelista"/>
        <w:numPr>
          <w:ilvl w:val="0"/>
          <w:numId w:val="28"/>
        </w:numPr>
      </w:pPr>
      <w:r w:rsidRPr="00B450EB">
        <w:t xml:space="preserve">Instituto de Hidrología, Meteorología y Estudios Ambientales (IDEAM). (2023). </w:t>
      </w:r>
      <w:r w:rsidRPr="00B450EB">
        <w:rPr>
          <w:i/>
          <w:iCs/>
        </w:rPr>
        <w:t>Estudio Nacional del Agua 2022</w:t>
      </w:r>
      <w:r w:rsidRPr="00B450EB">
        <w:t xml:space="preserve"> (464 pp.). Bogotá, D. C.: IDEAM. </w:t>
      </w:r>
      <w:hyperlink r:id="rId198" w:tgtFrame="_new" w:history="1">
        <w:r w:rsidRPr="00B450EB">
          <w:rPr>
            <w:rStyle w:val="Hipervnculo"/>
          </w:rPr>
          <w:t>https://www.ideam.gov.co/sala-de-prensa/informes/Estudios-nacionales-del-agua</w:t>
        </w:r>
      </w:hyperlink>
    </w:p>
    <w:p w14:paraId="543B6A1C" w14:textId="306F8574" w:rsidR="00934664" w:rsidRPr="00B450EB" w:rsidRDefault="00934664" w:rsidP="00934664">
      <w:pPr>
        <w:pStyle w:val="Prrafodelista"/>
        <w:numPr>
          <w:ilvl w:val="0"/>
          <w:numId w:val="28"/>
        </w:numPr>
      </w:pPr>
      <w:r w:rsidRPr="00B450EB">
        <w:t>Instituto de Hidrología, Meteorología y Estudios Ambientales -IDEAM. (2024). El SIIVRA como herramienta para los análisis de vulnerabilidad y riesgo por cambio climático en Colombia. Instituto de Hidrología, Meteorología y Estudios Ambientales.</w:t>
      </w:r>
    </w:p>
    <w:p w14:paraId="06628E17" w14:textId="415F718E" w:rsidR="00934664" w:rsidRPr="00B450EB" w:rsidRDefault="00934664" w:rsidP="00934664">
      <w:pPr>
        <w:pStyle w:val="Prrafodelista"/>
        <w:numPr>
          <w:ilvl w:val="0"/>
          <w:numId w:val="28"/>
        </w:numPr>
      </w:pPr>
      <w:r w:rsidRPr="00B450EB">
        <w:t>Instituto de Hidrología, Meteorología y Estudios Ambientales IDEAM. (2024). Cuarta Comunicación Nacional de Cambio Climático de Colombia. Instituto de Hidrología, Meteorología y Estudios Ambientales.</w:t>
      </w:r>
    </w:p>
    <w:p w14:paraId="0DF1BAA3" w14:textId="421BB515" w:rsidR="00934664" w:rsidRPr="00B450EB" w:rsidRDefault="00934664" w:rsidP="00934664">
      <w:pPr>
        <w:pStyle w:val="Prrafodelista"/>
        <w:numPr>
          <w:ilvl w:val="0"/>
          <w:numId w:val="28"/>
        </w:numPr>
      </w:pPr>
      <w:r w:rsidRPr="00B450EB">
        <w:t>IDEAM &amp; SINCHI. (2006). Zonificación climática de la Amazonía colombiana (clasificación Caldas-Lang adaptada). Publicación institucional. Bogotá, Colombia.</w:t>
      </w:r>
    </w:p>
    <w:p w14:paraId="0D91AE20" w14:textId="448986E9" w:rsidR="00934664" w:rsidRPr="00B450EB" w:rsidRDefault="00934664" w:rsidP="00934664">
      <w:pPr>
        <w:pStyle w:val="Prrafodelista"/>
        <w:numPr>
          <w:ilvl w:val="0"/>
          <w:numId w:val="28"/>
        </w:numPr>
      </w:pPr>
      <w:r w:rsidRPr="00B450EB">
        <w:t>IDEAM &amp; SINCHI. (2006). Balance anual sobre el estado de los ecosistemas y el ambiente en la Amazonía Colombiana.</w:t>
      </w:r>
    </w:p>
    <w:p w14:paraId="28D1A9DD" w14:textId="0F2A9235" w:rsidR="00934664" w:rsidRPr="00B450EB" w:rsidRDefault="00934664" w:rsidP="00934664">
      <w:pPr>
        <w:pStyle w:val="Prrafodelista"/>
        <w:numPr>
          <w:ilvl w:val="0"/>
          <w:numId w:val="28"/>
        </w:numPr>
      </w:pPr>
      <w:r w:rsidRPr="00B450EB">
        <w:t xml:space="preserve">IDEAM, </w:t>
      </w:r>
      <w:proofErr w:type="spellStart"/>
      <w:r w:rsidRPr="00B450EB">
        <w:t>MinAmbiente</w:t>
      </w:r>
      <w:proofErr w:type="spellEnd"/>
      <w:r w:rsidRPr="00B450EB">
        <w:t>, PNUD, &amp; GEF-CBIT. (2024). Escenarios de cambio climático de la Cuarta Comunicación de Colombia.</w:t>
      </w:r>
    </w:p>
    <w:p w14:paraId="0E6E4B85" w14:textId="759420F4" w:rsidR="00934664" w:rsidRPr="00B450EB" w:rsidRDefault="00934664" w:rsidP="00934664">
      <w:pPr>
        <w:pStyle w:val="Prrafodelista"/>
        <w:numPr>
          <w:ilvl w:val="0"/>
          <w:numId w:val="28"/>
        </w:numPr>
      </w:pPr>
      <w:r w:rsidRPr="00B450EB">
        <w:lastRenderedPageBreak/>
        <w:t xml:space="preserve">IDEAM, MINIAMBIENTE, DNP, CANCILLERIA, PNUD, FUNDACIÓN NATURA (2024). Primer informe bienal de transparencia de Colombia. Bogotá D.C, Colombia. </w:t>
      </w:r>
      <w:proofErr w:type="spellStart"/>
      <w:r w:rsidRPr="00B450EB">
        <w:t>pp</w:t>
      </w:r>
      <w:proofErr w:type="spellEnd"/>
      <w:r w:rsidRPr="00B450EB">
        <w:t xml:space="preserve"> 357.</w:t>
      </w:r>
    </w:p>
    <w:p w14:paraId="3853E4B0" w14:textId="6DF8833E" w:rsidR="00934664" w:rsidRPr="00B450EB" w:rsidRDefault="00934664" w:rsidP="00934664">
      <w:pPr>
        <w:pStyle w:val="Prrafodelista"/>
        <w:numPr>
          <w:ilvl w:val="0"/>
          <w:numId w:val="28"/>
        </w:numPr>
      </w:pPr>
      <w:r w:rsidRPr="00B450EB">
        <w:t>INGEOMINAS. (2007). Atlas de aguas subterráneas de Colombia. Bogotá.</w:t>
      </w:r>
    </w:p>
    <w:p w14:paraId="057916B2" w14:textId="1890B5E0" w:rsidR="00934664" w:rsidRPr="00B450EB" w:rsidRDefault="00934664" w:rsidP="00934664">
      <w:pPr>
        <w:pStyle w:val="Prrafodelista"/>
        <w:numPr>
          <w:ilvl w:val="0"/>
          <w:numId w:val="28"/>
        </w:numPr>
      </w:pPr>
      <w:r w:rsidRPr="00B450EB">
        <w:t>INGEOMINAS. (2011). Mapa de permeabilidades de Colombia en escala 1:500.000. Bogotá.</w:t>
      </w:r>
    </w:p>
    <w:p w14:paraId="11686D94" w14:textId="41B0222C" w:rsidR="00934664" w:rsidRPr="00B450EB" w:rsidRDefault="00934664" w:rsidP="00934664">
      <w:pPr>
        <w:pStyle w:val="Prrafodelista"/>
        <w:numPr>
          <w:ilvl w:val="0"/>
          <w:numId w:val="28"/>
        </w:numPr>
      </w:pPr>
      <w:r w:rsidRPr="00B450EB">
        <w:t>Instituto Amazónico de Investigaciones Científicas SINCHI. (2022). Cicatrices de Quema. SIAT-AC. Recuperado de https://siatac.co/cicatrices-de-quema/ SIAT-AC</w:t>
      </w:r>
    </w:p>
    <w:p w14:paraId="6E40821B" w14:textId="27AE44B3" w:rsidR="00934664" w:rsidRPr="00B450EB" w:rsidRDefault="00934664" w:rsidP="00934664">
      <w:pPr>
        <w:pStyle w:val="Prrafodelista"/>
        <w:numPr>
          <w:ilvl w:val="0"/>
          <w:numId w:val="28"/>
        </w:numPr>
      </w:pPr>
      <w:r w:rsidRPr="00B450EB">
        <w:t>Instituto de Hidrología, Meteorología y Estudios Ambientales – IDEAM. (2023). Cálculo de los factores de emisión para los sumideros forestales de carbono. Bogotá.</w:t>
      </w:r>
    </w:p>
    <w:p w14:paraId="3BCC409E" w14:textId="1C65B34C" w:rsidR="00934664" w:rsidRPr="00B450EB" w:rsidRDefault="00934664" w:rsidP="00934664">
      <w:pPr>
        <w:pStyle w:val="Prrafodelista"/>
        <w:numPr>
          <w:ilvl w:val="0"/>
          <w:numId w:val="28"/>
        </w:numPr>
      </w:pPr>
      <w:r w:rsidRPr="00B450EB">
        <w:t>Instituto de Hidrología, Meteorología y Estudios Ambientales – IDEAM. (2018). Informe sobre la deforestación en la Amazonía colombiana en 2017. Instituto de Hidrología, Meteorología y Estudios Ambientales.</w:t>
      </w:r>
    </w:p>
    <w:p w14:paraId="25D7BC26" w14:textId="54FE6395" w:rsidR="00934664" w:rsidRPr="00B450EB" w:rsidRDefault="00934664" w:rsidP="00934664">
      <w:pPr>
        <w:pStyle w:val="Prrafodelista"/>
        <w:numPr>
          <w:ilvl w:val="0"/>
          <w:numId w:val="28"/>
        </w:numPr>
      </w:pPr>
      <w:r w:rsidRPr="00B450EB">
        <w:t xml:space="preserve">Instituto de Investigación de Recursos Biológicos Alexander </w:t>
      </w:r>
      <w:proofErr w:type="spellStart"/>
      <w:r w:rsidRPr="00B450EB">
        <w:t>von</w:t>
      </w:r>
      <w:proofErr w:type="spellEnd"/>
      <w:r w:rsidRPr="00B450EB">
        <w:t xml:space="preserve"> Humboldt. (2016). Especies de Fauna Reportadas en los Libros Rojos de Colombia. https://doi.org/10.15472/jj2yfb.</w:t>
      </w:r>
    </w:p>
    <w:p w14:paraId="6059D3F8" w14:textId="153E4F19" w:rsidR="00934664" w:rsidRPr="00B450EB" w:rsidRDefault="00934664" w:rsidP="00934664">
      <w:pPr>
        <w:pStyle w:val="Prrafodelista"/>
        <w:numPr>
          <w:ilvl w:val="0"/>
          <w:numId w:val="28"/>
        </w:numPr>
        <w:rPr>
          <w:lang w:val="en-US"/>
        </w:rPr>
      </w:pPr>
      <w:r w:rsidRPr="00B450EB">
        <w:rPr>
          <w:lang w:val="en-US"/>
        </w:rPr>
        <w:t>IPCC. (2021). Climate Change 2021: The Physical Science Basis. Cambridge University Press. https://www.ipcc.ch/report/ar6/wg1/</w:t>
      </w:r>
    </w:p>
    <w:p w14:paraId="7125CCF3" w14:textId="3CE9FAD9" w:rsidR="00934664" w:rsidRPr="00B450EB" w:rsidRDefault="00934664" w:rsidP="00934664">
      <w:pPr>
        <w:pStyle w:val="Prrafodelista"/>
        <w:numPr>
          <w:ilvl w:val="0"/>
          <w:numId w:val="28"/>
        </w:numPr>
        <w:rPr>
          <w:lang w:val="en-US"/>
        </w:rPr>
      </w:pPr>
      <w:r w:rsidRPr="00B450EB">
        <w:rPr>
          <w:lang w:val="en-US"/>
        </w:rPr>
        <w:t xml:space="preserve">IUCN. (2020). The IUCN Red List of </w:t>
      </w:r>
      <w:proofErr w:type="spellStart"/>
      <w:r w:rsidRPr="00B450EB">
        <w:rPr>
          <w:lang w:val="en-US"/>
        </w:rPr>
        <w:t>Threatenes</w:t>
      </w:r>
      <w:proofErr w:type="spellEnd"/>
      <w:r w:rsidRPr="00B450EB">
        <w:rPr>
          <w:lang w:val="en-US"/>
        </w:rPr>
        <w:t xml:space="preserve"> Species: </w:t>
      </w:r>
      <w:proofErr w:type="spellStart"/>
      <w:r w:rsidRPr="00B450EB">
        <w:rPr>
          <w:lang w:val="en-US"/>
        </w:rPr>
        <w:t>Clusia</w:t>
      </w:r>
      <w:proofErr w:type="spellEnd"/>
      <w:r w:rsidRPr="00B450EB">
        <w:rPr>
          <w:lang w:val="en-US"/>
        </w:rPr>
        <w:t xml:space="preserve"> </w:t>
      </w:r>
      <w:proofErr w:type="spellStart"/>
      <w:r w:rsidRPr="00B450EB">
        <w:rPr>
          <w:lang w:val="en-US"/>
        </w:rPr>
        <w:t>rubescens</w:t>
      </w:r>
      <w:proofErr w:type="spellEnd"/>
      <w:r w:rsidRPr="00B450EB">
        <w:rPr>
          <w:lang w:val="en-US"/>
        </w:rPr>
        <w:t>- https://www.iucnredlist.org/species/164659094/182971901.</w:t>
      </w:r>
    </w:p>
    <w:p w14:paraId="523469C8" w14:textId="68CE864E" w:rsidR="00934664" w:rsidRPr="00B450EB" w:rsidRDefault="00934664" w:rsidP="00934664">
      <w:pPr>
        <w:pStyle w:val="Prrafodelista"/>
        <w:numPr>
          <w:ilvl w:val="0"/>
          <w:numId w:val="28"/>
        </w:numPr>
        <w:rPr>
          <w:lang w:val="en-US"/>
        </w:rPr>
      </w:pPr>
      <w:proofErr w:type="gramStart"/>
      <w:r w:rsidRPr="00B450EB">
        <w:rPr>
          <w:lang w:val="en-US"/>
        </w:rPr>
        <w:t>IW:LEARN</w:t>
      </w:r>
      <w:proofErr w:type="gramEnd"/>
      <w:r w:rsidRPr="00B450EB">
        <w:rPr>
          <w:lang w:val="en-US"/>
        </w:rPr>
        <w:t>. (2022). The Invisible Giant: Understanding, protecting and managing the Amazon Aquifer System.</w:t>
      </w:r>
    </w:p>
    <w:p w14:paraId="3FCAFFE3" w14:textId="73341B39" w:rsidR="00934664" w:rsidRPr="00B450EB" w:rsidRDefault="00934664" w:rsidP="00934664">
      <w:pPr>
        <w:pStyle w:val="Prrafodelista"/>
        <w:numPr>
          <w:ilvl w:val="0"/>
          <w:numId w:val="28"/>
        </w:numPr>
        <w:rPr>
          <w:lang w:val="en-US"/>
        </w:rPr>
      </w:pPr>
      <w:r w:rsidRPr="00B450EB">
        <w:rPr>
          <w:lang w:val="en-US"/>
        </w:rPr>
        <w:t xml:space="preserve">Jacoboski, L.I.; Hartz, S.M. Using functional diversity and taxonomic diversity to assess effects of afforestation of grassland on bird communities. </w:t>
      </w:r>
      <w:proofErr w:type="spellStart"/>
      <w:r w:rsidRPr="00B450EB">
        <w:rPr>
          <w:lang w:val="en-US"/>
        </w:rPr>
        <w:t>Perspect</w:t>
      </w:r>
      <w:proofErr w:type="spellEnd"/>
      <w:r w:rsidRPr="00B450EB">
        <w:rPr>
          <w:lang w:val="en-US"/>
        </w:rPr>
        <w:t xml:space="preserve">. Ecol. </w:t>
      </w:r>
      <w:proofErr w:type="spellStart"/>
      <w:r w:rsidRPr="00B450EB">
        <w:rPr>
          <w:lang w:val="en-US"/>
        </w:rPr>
        <w:t>Conserv</w:t>
      </w:r>
      <w:proofErr w:type="spellEnd"/>
      <w:r w:rsidRPr="00B450EB">
        <w:rPr>
          <w:lang w:val="en-US"/>
        </w:rPr>
        <w:t>. 2020, 18, 103–108</w:t>
      </w:r>
    </w:p>
    <w:p w14:paraId="69C78652" w14:textId="6F39EB3E" w:rsidR="00934664" w:rsidRPr="00B450EB" w:rsidRDefault="00934664" w:rsidP="00934664">
      <w:pPr>
        <w:pStyle w:val="Prrafodelista"/>
        <w:numPr>
          <w:ilvl w:val="0"/>
          <w:numId w:val="28"/>
        </w:numPr>
      </w:pPr>
      <w:r w:rsidRPr="00B450EB">
        <w:rPr>
          <w:lang w:val="en-US"/>
        </w:rPr>
        <w:t xml:space="preserve">Jézéquel, C., et al. (2020). A database of freshwater fish species of the Amazon Basin. </w:t>
      </w:r>
      <w:proofErr w:type="spellStart"/>
      <w:r w:rsidRPr="00B450EB">
        <w:t>Scientific</w:t>
      </w:r>
      <w:proofErr w:type="spellEnd"/>
      <w:r w:rsidRPr="00B450EB">
        <w:t xml:space="preserve"> Data, 7(96).</w:t>
      </w:r>
    </w:p>
    <w:p w14:paraId="2678F658" w14:textId="05350835" w:rsidR="00934664" w:rsidRPr="00B450EB" w:rsidRDefault="00934664" w:rsidP="00934664">
      <w:pPr>
        <w:pStyle w:val="Prrafodelista"/>
        <w:numPr>
          <w:ilvl w:val="0"/>
          <w:numId w:val="28"/>
        </w:numPr>
        <w:rPr>
          <w:lang w:val="en-US"/>
        </w:rPr>
      </w:pPr>
      <w:proofErr w:type="spellStart"/>
      <w:r w:rsidRPr="00B450EB">
        <w:t>Jézéquel</w:t>
      </w:r>
      <w:proofErr w:type="spellEnd"/>
      <w:r w:rsidRPr="00B450EB">
        <w:t xml:space="preserve">, C., </w:t>
      </w:r>
      <w:proofErr w:type="spellStart"/>
      <w:r w:rsidRPr="00B450EB">
        <w:t>Tedesco</w:t>
      </w:r>
      <w:proofErr w:type="spellEnd"/>
      <w:r w:rsidRPr="00B450EB">
        <w:t xml:space="preserve">, P. A., </w:t>
      </w:r>
      <w:proofErr w:type="spellStart"/>
      <w:r w:rsidRPr="00B450EB">
        <w:t>Darwall</w:t>
      </w:r>
      <w:proofErr w:type="spellEnd"/>
      <w:r w:rsidRPr="00B450EB">
        <w:t xml:space="preserve">, W., et al. </w:t>
      </w:r>
      <w:r w:rsidRPr="00B450EB">
        <w:rPr>
          <w:lang w:val="en-US"/>
        </w:rPr>
        <w:t xml:space="preserve">(2020). Freshwater fish </w:t>
      </w:r>
      <w:proofErr w:type="gramStart"/>
      <w:r w:rsidRPr="00B450EB">
        <w:rPr>
          <w:lang w:val="en-US"/>
        </w:rPr>
        <w:t>diversity</w:t>
      </w:r>
      <w:proofErr w:type="gramEnd"/>
      <w:r w:rsidRPr="00B450EB">
        <w:rPr>
          <w:lang w:val="en-US"/>
        </w:rPr>
        <w:t xml:space="preserve"> hotspots. Conservation Biology, 34(4), 956-965.</w:t>
      </w:r>
    </w:p>
    <w:p w14:paraId="098F5FCB" w14:textId="0386920F" w:rsidR="00934664" w:rsidRPr="00B450EB" w:rsidRDefault="00934664" w:rsidP="00934664">
      <w:pPr>
        <w:pStyle w:val="Prrafodelista"/>
        <w:numPr>
          <w:ilvl w:val="0"/>
          <w:numId w:val="28"/>
        </w:numPr>
        <w:rPr>
          <w:lang w:val="en-US"/>
        </w:rPr>
      </w:pPr>
      <w:r w:rsidRPr="00B450EB">
        <w:t xml:space="preserve">Jorgensen, S., </w:t>
      </w:r>
      <w:proofErr w:type="spellStart"/>
      <w:r w:rsidRPr="00B450EB">
        <w:t>Xu</w:t>
      </w:r>
      <w:proofErr w:type="spellEnd"/>
      <w:r w:rsidRPr="00B450EB">
        <w:t xml:space="preserve">, L., &amp; Costanza, R. (Eds.). </w:t>
      </w:r>
      <w:r w:rsidRPr="00B450EB">
        <w:rPr>
          <w:lang w:val="en-US"/>
        </w:rPr>
        <w:t>(2016). Handbook of ecological indicators for assessment of ecosystem health. CRC Press.</w:t>
      </w:r>
    </w:p>
    <w:p w14:paraId="5C5AAFB5" w14:textId="0E6C19C3" w:rsidR="00934664" w:rsidRPr="00B450EB" w:rsidRDefault="00934664" w:rsidP="00934664">
      <w:pPr>
        <w:pStyle w:val="Prrafodelista"/>
        <w:numPr>
          <w:ilvl w:val="0"/>
          <w:numId w:val="28"/>
        </w:numPr>
        <w:rPr>
          <w:lang w:val="en-US"/>
        </w:rPr>
      </w:pPr>
      <w:r w:rsidRPr="00B450EB">
        <w:rPr>
          <w:lang w:val="en-US"/>
        </w:rPr>
        <w:t>Junk, W. J., Bayley, P. B., &amp; Sparks, R. E. (1989). The flood pulse concept in river-floodplain systems. Canadian Special Publication of Fisheries and Aquatic Sciences, 106, 110–127.</w:t>
      </w:r>
    </w:p>
    <w:p w14:paraId="1E139F1A" w14:textId="4B9E6C21" w:rsidR="00934664" w:rsidRPr="00B450EB" w:rsidRDefault="00934664" w:rsidP="00934664">
      <w:pPr>
        <w:pStyle w:val="Prrafodelista"/>
        <w:numPr>
          <w:ilvl w:val="0"/>
          <w:numId w:val="28"/>
        </w:numPr>
        <w:rPr>
          <w:lang w:val="en-US"/>
        </w:rPr>
      </w:pPr>
      <w:r w:rsidRPr="00B450EB">
        <w:rPr>
          <w:lang w:val="en-US"/>
        </w:rPr>
        <w:t xml:space="preserve">Junk, W. J., Piedade, M. T. F., Wittmann, F., </w:t>
      </w:r>
      <w:proofErr w:type="spellStart"/>
      <w:r w:rsidRPr="00B450EB">
        <w:rPr>
          <w:lang w:val="en-US"/>
        </w:rPr>
        <w:t>Schöngart</w:t>
      </w:r>
      <w:proofErr w:type="spellEnd"/>
      <w:r w:rsidRPr="00B450EB">
        <w:rPr>
          <w:lang w:val="en-US"/>
        </w:rPr>
        <w:t>, J., &amp; Parolin, P. (2023). Amazonian floodplain forests: Ecophysiology, biodiversity and sustainable management. Springer</w:t>
      </w:r>
    </w:p>
    <w:p w14:paraId="71CB74F2" w14:textId="16121112" w:rsidR="00934664" w:rsidRPr="00B450EB" w:rsidRDefault="00934664" w:rsidP="00934664">
      <w:pPr>
        <w:pStyle w:val="Prrafodelista"/>
        <w:numPr>
          <w:ilvl w:val="0"/>
          <w:numId w:val="28"/>
        </w:numPr>
        <w:rPr>
          <w:lang w:val="en-US"/>
        </w:rPr>
      </w:pPr>
      <w:r w:rsidRPr="00B450EB">
        <w:rPr>
          <w:lang w:val="en-US"/>
        </w:rPr>
        <w:lastRenderedPageBreak/>
        <w:t>Killeen, T. J. (2007). Amazon biodiversity and land use in Colombia. Conservation Biology, 21(2), 257-268.</w:t>
      </w:r>
    </w:p>
    <w:p w14:paraId="25525337" w14:textId="794492F4" w:rsidR="00934664" w:rsidRPr="00B450EB" w:rsidRDefault="00934664" w:rsidP="00934664">
      <w:pPr>
        <w:pStyle w:val="Prrafodelista"/>
        <w:numPr>
          <w:ilvl w:val="0"/>
          <w:numId w:val="28"/>
        </w:numPr>
        <w:rPr>
          <w:lang w:val="en-US"/>
        </w:rPr>
      </w:pPr>
      <w:r w:rsidRPr="00B450EB">
        <w:rPr>
          <w:lang w:val="en-US"/>
        </w:rPr>
        <w:t>Lacher, TE; Davidson, AD; Fleming, TH; Gómez-Ruiz, EP; McCracken, GF; Owen-Smith, N; Peres, CA; Vander Wall, SB. (2019) The functional roles of mammals in ecosystems, Journal of Mammalogy, Volume 100, Issue 3, 23 May 2019, Pages 942–964, https://doi.org/10.1093/jmammal/gyy183</w:t>
      </w:r>
    </w:p>
    <w:p w14:paraId="624F1CA7" w14:textId="0930BE30" w:rsidR="00934664" w:rsidRPr="00B450EB" w:rsidRDefault="00934664" w:rsidP="00934664">
      <w:pPr>
        <w:pStyle w:val="Prrafodelista"/>
        <w:numPr>
          <w:ilvl w:val="0"/>
          <w:numId w:val="28"/>
        </w:numPr>
        <w:rPr>
          <w:lang w:val="en-US"/>
        </w:rPr>
      </w:pPr>
      <w:r w:rsidRPr="00B450EB">
        <w:rPr>
          <w:lang w:val="en-US"/>
        </w:rPr>
        <w:t>Landscape fragmentation, severe drought, and the new Amazon forest fire regime Author(s): Ane A. Alencar, Paulo M. Brando, Gregory P. Asner and Francis E. Putz Source: Ecological Applications, September 2015, Vol. 25, No. 6 (September 2015), pp. 1493-1505</w:t>
      </w:r>
    </w:p>
    <w:p w14:paraId="100B0AF0" w14:textId="3BAC8F0C" w:rsidR="00934664" w:rsidRPr="00B450EB" w:rsidRDefault="00934664" w:rsidP="00934664">
      <w:pPr>
        <w:pStyle w:val="Prrafodelista"/>
        <w:numPr>
          <w:ilvl w:val="0"/>
          <w:numId w:val="28"/>
        </w:numPr>
        <w:rPr>
          <w:lang w:val="en-US"/>
        </w:rPr>
      </w:pPr>
      <w:r w:rsidRPr="00B450EB">
        <w:rPr>
          <w:lang w:val="en-US"/>
        </w:rPr>
        <w:t>Laurance, W. F., Goosem, M., &amp; Laurance, S. G. (2009). Impacts of roads and linear clearings on tropical forests. Trends in Ecology &amp; Evolution, 24(12), 659–669. https://doi.org/10.1016/j.tree.2009.06.009</w:t>
      </w:r>
    </w:p>
    <w:p w14:paraId="12AF4B9E" w14:textId="3FF09AEB" w:rsidR="00934664" w:rsidRPr="00B450EB" w:rsidRDefault="00934664" w:rsidP="00934664">
      <w:pPr>
        <w:pStyle w:val="Prrafodelista"/>
        <w:numPr>
          <w:ilvl w:val="0"/>
          <w:numId w:val="28"/>
        </w:numPr>
        <w:rPr>
          <w:lang w:val="en-US"/>
        </w:rPr>
      </w:pPr>
      <w:r w:rsidRPr="00B450EB">
        <w:rPr>
          <w:lang w:val="en-US"/>
        </w:rPr>
        <w:t>Leite, R. N., &amp; Rogers, D. S. (2013). Revisiting Amazonia under the Neotropical paradigm. Journal of Biogeography, 40(12), 2234–2248.</w:t>
      </w:r>
    </w:p>
    <w:p w14:paraId="69F4A93D" w14:textId="0A8E2AEE" w:rsidR="00934664" w:rsidRPr="00B450EB" w:rsidRDefault="00934664" w:rsidP="00934664">
      <w:pPr>
        <w:pStyle w:val="Prrafodelista"/>
        <w:numPr>
          <w:ilvl w:val="0"/>
          <w:numId w:val="28"/>
        </w:numPr>
        <w:rPr>
          <w:lang w:val="en-US"/>
        </w:rPr>
      </w:pPr>
      <w:r w:rsidRPr="00B450EB">
        <w:t xml:space="preserve">Lemes, M., &amp; González-Carrillo, S. (2023). </w:t>
      </w:r>
      <w:r w:rsidRPr="00B450EB">
        <w:rPr>
          <w:lang w:val="en-US"/>
        </w:rPr>
        <w:t>Impacts on South America moisture transport under Amazon deforestation and 2 °C global warming. Science of The Total Environment.</w:t>
      </w:r>
    </w:p>
    <w:p w14:paraId="6A0D75E1" w14:textId="10E38D81" w:rsidR="00934664" w:rsidRPr="00B450EB" w:rsidRDefault="00934664" w:rsidP="00934664">
      <w:pPr>
        <w:pStyle w:val="Prrafodelista"/>
        <w:numPr>
          <w:ilvl w:val="0"/>
          <w:numId w:val="28"/>
        </w:numPr>
        <w:rPr>
          <w:lang w:val="en-US"/>
        </w:rPr>
      </w:pPr>
      <w:r w:rsidRPr="00B450EB">
        <w:rPr>
          <w:lang w:val="en-US"/>
        </w:rPr>
        <w:t>Lennox, R. J., Paukert, C. P., Aarestrup, K., Auger-</w:t>
      </w:r>
      <w:proofErr w:type="spellStart"/>
      <w:r w:rsidRPr="00B450EB">
        <w:rPr>
          <w:lang w:val="en-US"/>
        </w:rPr>
        <w:t>Méthé</w:t>
      </w:r>
      <w:proofErr w:type="spellEnd"/>
      <w:r w:rsidRPr="00B450EB">
        <w:rPr>
          <w:lang w:val="en-US"/>
        </w:rPr>
        <w:t>, M., Baumgartner, L., Birnie-Gauvin, K., … Cooke, S. J. (2019). One hundred pressing questions on the future of global fish migration science, conservation, and policy. Frontiers in Ecology and Evolution, 7, 167–175. https://doi.org/10.3389/fevo.2019.00286</w:t>
      </w:r>
    </w:p>
    <w:p w14:paraId="21702815" w14:textId="36C68121" w:rsidR="00934664" w:rsidRPr="00B450EB" w:rsidRDefault="00934664" w:rsidP="00934664">
      <w:pPr>
        <w:pStyle w:val="Prrafodelista"/>
        <w:numPr>
          <w:ilvl w:val="0"/>
          <w:numId w:val="28"/>
        </w:numPr>
        <w:rPr>
          <w:lang w:val="en-US"/>
        </w:rPr>
      </w:pPr>
      <w:r w:rsidRPr="00B450EB">
        <w:rPr>
          <w:lang w:val="en-US"/>
        </w:rPr>
        <w:t>Lenton, T. M., Held, H., Kriegler, E., et al. (2008). Tipping elements in the Earth’s climate system. PNAS, 105(6), 1786–1793.</w:t>
      </w:r>
    </w:p>
    <w:p w14:paraId="66BE8452" w14:textId="2D34657A" w:rsidR="00934664" w:rsidRPr="00B450EB" w:rsidRDefault="00934664" w:rsidP="00934664">
      <w:pPr>
        <w:pStyle w:val="Prrafodelista"/>
        <w:numPr>
          <w:ilvl w:val="0"/>
          <w:numId w:val="28"/>
        </w:numPr>
        <w:rPr>
          <w:lang w:val="en-US"/>
        </w:rPr>
      </w:pPr>
      <w:r w:rsidRPr="00B450EB">
        <w:rPr>
          <w:lang w:val="en-US"/>
        </w:rPr>
        <w:t>Li, X. H. (2019). Technology and equipment development in laser-induced fluorescence-based detection of biological aerosols. Journal of Biosafety and Biosecurity, 1(2), 113-122.</w:t>
      </w:r>
    </w:p>
    <w:p w14:paraId="35E71DB3" w14:textId="353D8218" w:rsidR="00934664" w:rsidRPr="00B450EB" w:rsidRDefault="00934664" w:rsidP="00934664">
      <w:pPr>
        <w:pStyle w:val="Prrafodelista"/>
        <w:numPr>
          <w:ilvl w:val="0"/>
          <w:numId w:val="28"/>
        </w:numPr>
        <w:rPr>
          <w:lang w:val="en-US"/>
        </w:rPr>
      </w:pPr>
      <w:r w:rsidRPr="00B450EB">
        <w:rPr>
          <w:lang w:val="en-US"/>
        </w:rPr>
        <w:t>Liu, K. (2017). Contrasting carbon cycle responses of the tropical continents to the 2015–2016 El Niño. Science 358, eaam5690.</w:t>
      </w:r>
    </w:p>
    <w:p w14:paraId="7E6B22AE" w14:textId="6A526EAF" w:rsidR="00934664" w:rsidRPr="00B450EB" w:rsidRDefault="00934664" w:rsidP="00934664">
      <w:pPr>
        <w:pStyle w:val="Prrafodelista"/>
        <w:numPr>
          <w:ilvl w:val="0"/>
          <w:numId w:val="28"/>
        </w:numPr>
        <w:rPr>
          <w:lang w:val="en-US"/>
        </w:rPr>
      </w:pPr>
      <w:proofErr w:type="spellStart"/>
      <w:r w:rsidRPr="00B450EB">
        <w:t>Lopez</w:t>
      </w:r>
      <w:proofErr w:type="spellEnd"/>
      <w:r w:rsidRPr="00B450EB">
        <w:t>-</w:t>
      </w:r>
      <w:proofErr w:type="gramStart"/>
      <w:r w:rsidRPr="00B450EB">
        <w:t>Gallego</w:t>
      </w:r>
      <w:proofErr w:type="gramEnd"/>
      <w:r w:rsidRPr="00B450EB">
        <w:t xml:space="preserve">, C. &amp; Morales M. (2020). </w:t>
      </w:r>
      <w:proofErr w:type="spellStart"/>
      <w:r w:rsidRPr="00B450EB">
        <w:rPr>
          <w:lang w:val="en-US"/>
        </w:rPr>
        <w:t>Ayenia</w:t>
      </w:r>
      <w:proofErr w:type="spellEnd"/>
      <w:r w:rsidRPr="00B450EB">
        <w:rPr>
          <w:lang w:val="en-US"/>
        </w:rPr>
        <w:t xml:space="preserve"> </w:t>
      </w:r>
      <w:proofErr w:type="spellStart"/>
      <w:r w:rsidRPr="00B450EB">
        <w:rPr>
          <w:lang w:val="en-US"/>
        </w:rPr>
        <w:t>klugii</w:t>
      </w:r>
      <w:proofErr w:type="spellEnd"/>
      <w:r w:rsidRPr="00B450EB">
        <w:rPr>
          <w:lang w:val="en-US"/>
        </w:rPr>
        <w:t>. The IUCN Red List of Threatened Species 2020: e.T164906521A176524595. https://dx.doi.org/10.2305/IUCN.UK.2020-3.RLTS.T164906521A176524595.es. Accessed on 12 September 2025.</w:t>
      </w:r>
    </w:p>
    <w:p w14:paraId="6F1E786D" w14:textId="1A924CF2" w:rsidR="00934664" w:rsidRPr="00B450EB" w:rsidRDefault="00934664" w:rsidP="00934664">
      <w:pPr>
        <w:pStyle w:val="Prrafodelista"/>
        <w:numPr>
          <w:ilvl w:val="0"/>
          <w:numId w:val="28"/>
        </w:numPr>
      </w:pPr>
      <w:r w:rsidRPr="00B450EB">
        <w:rPr>
          <w:lang w:val="en-US"/>
        </w:rPr>
        <w:t xml:space="preserve">Lovejoy, T. E., &amp; Nobre, C. (2018). Amazon tipping point. </w:t>
      </w:r>
      <w:proofErr w:type="spellStart"/>
      <w:r w:rsidRPr="00B450EB">
        <w:t>Science</w:t>
      </w:r>
      <w:proofErr w:type="spellEnd"/>
      <w:r w:rsidRPr="00B450EB">
        <w:t xml:space="preserve"> </w:t>
      </w:r>
      <w:proofErr w:type="spellStart"/>
      <w:r w:rsidRPr="00B450EB">
        <w:t>Advances</w:t>
      </w:r>
      <w:proofErr w:type="spellEnd"/>
      <w:r w:rsidRPr="00B450EB">
        <w:t>, 4(2), eaat2340.</w:t>
      </w:r>
    </w:p>
    <w:p w14:paraId="7EFEDA51" w14:textId="01B2D1D2" w:rsidR="00934664" w:rsidRPr="00B450EB" w:rsidRDefault="00934664" w:rsidP="00934664">
      <w:pPr>
        <w:pStyle w:val="Prrafodelista"/>
        <w:numPr>
          <w:ilvl w:val="0"/>
          <w:numId w:val="28"/>
        </w:numPr>
      </w:pPr>
      <w:r w:rsidRPr="00B450EB">
        <w:t xml:space="preserve">López Miranda, Y, Tovar Márquez, J y Álvarez García, D. (2023). La diversidad de la familia </w:t>
      </w:r>
      <w:proofErr w:type="spellStart"/>
      <w:r w:rsidRPr="00B450EB">
        <w:t>Araneidae</w:t>
      </w:r>
      <w:proofErr w:type="spellEnd"/>
      <w:r w:rsidRPr="00B450EB">
        <w:t xml:space="preserve"> (</w:t>
      </w:r>
      <w:proofErr w:type="spellStart"/>
      <w:r w:rsidRPr="00B450EB">
        <w:t>arachnida</w:t>
      </w:r>
      <w:proofErr w:type="spellEnd"/>
      <w:r w:rsidRPr="00B450EB">
        <w:t xml:space="preserve">: </w:t>
      </w:r>
      <w:proofErr w:type="spellStart"/>
      <w:r w:rsidRPr="00B450EB">
        <w:t>araneae</w:t>
      </w:r>
      <w:proofErr w:type="spellEnd"/>
      <w:r w:rsidRPr="00B450EB">
        <w:t>) en Colombia: una actualización del listado de especies. (https://libros.cecar.edu.co/index.php/CECAR). Corporación Universitaria del Caribe – CECAR. Disponible en: https://repositorio.cecar.edu.co/handle/cecar/10001</w:t>
      </w:r>
    </w:p>
    <w:p w14:paraId="120A44D9" w14:textId="0BDDD8B8" w:rsidR="00934664" w:rsidRPr="00B450EB" w:rsidRDefault="00934664" w:rsidP="00934664">
      <w:pPr>
        <w:pStyle w:val="Prrafodelista"/>
        <w:numPr>
          <w:ilvl w:val="0"/>
          <w:numId w:val="28"/>
        </w:numPr>
      </w:pPr>
      <w:r w:rsidRPr="00B450EB">
        <w:lastRenderedPageBreak/>
        <w:t xml:space="preserve">Luna Sarmiento D A (2023): Arácnidos de la cuenca media del río Putumayo, el Encanto, Amazonas - Expedición Binacional. v2.1. Instituto Amazónico de Investigaciones Científicas - SINCHI. </w:t>
      </w:r>
      <w:proofErr w:type="spellStart"/>
      <w:r w:rsidRPr="00B450EB">
        <w:t>Dataset</w:t>
      </w:r>
      <w:proofErr w:type="spellEnd"/>
      <w:r w:rsidRPr="00B450EB">
        <w:t>/</w:t>
      </w:r>
      <w:proofErr w:type="spellStart"/>
      <w:r w:rsidRPr="00B450EB">
        <w:t>Occurrence</w:t>
      </w:r>
      <w:proofErr w:type="spellEnd"/>
      <w:r w:rsidRPr="00B450EB">
        <w:t>. https://doi.org/10.15472/flfqwt https://doi.org/10.15472/flfqwt</w:t>
      </w:r>
    </w:p>
    <w:p w14:paraId="2EFFF035" w14:textId="2E6EE78D" w:rsidR="00934664" w:rsidRPr="00B450EB" w:rsidRDefault="00934664" w:rsidP="00934664">
      <w:pPr>
        <w:pStyle w:val="Prrafodelista"/>
        <w:numPr>
          <w:ilvl w:val="0"/>
          <w:numId w:val="28"/>
        </w:numPr>
      </w:pPr>
      <w:proofErr w:type="spellStart"/>
      <w:r w:rsidRPr="00B450EB">
        <w:t>Malhi</w:t>
      </w:r>
      <w:proofErr w:type="spellEnd"/>
      <w:r w:rsidRPr="00B450EB">
        <w:t xml:space="preserve"> Y, Wright J. Patrones espaciales y tendencias recientes en el clima de las regiones de selva tropical. </w:t>
      </w:r>
      <w:proofErr w:type="spellStart"/>
      <w:r w:rsidRPr="00B450EB">
        <w:t>Philos</w:t>
      </w:r>
      <w:proofErr w:type="spellEnd"/>
      <w:r w:rsidRPr="00B450EB">
        <w:t xml:space="preserve"> </w:t>
      </w:r>
      <w:proofErr w:type="gramStart"/>
      <w:r w:rsidRPr="00B450EB">
        <w:t>Trans R</w:t>
      </w:r>
      <w:proofErr w:type="gramEnd"/>
      <w:r w:rsidRPr="00B450EB">
        <w:t xml:space="preserve"> </w:t>
      </w:r>
      <w:proofErr w:type="spellStart"/>
      <w:r w:rsidRPr="00B450EB">
        <w:t>Soc</w:t>
      </w:r>
      <w:proofErr w:type="spellEnd"/>
      <w:r w:rsidRPr="00B450EB">
        <w:t xml:space="preserve"> B </w:t>
      </w:r>
      <w:proofErr w:type="spellStart"/>
      <w:r w:rsidRPr="00B450EB">
        <w:t>Biol</w:t>
      </w:r>
      <w:proofErr w:type="spellEnd"/>
      <w:r w:rsidRPr="00B450EB">
        <w:t xml:space="preserve"> </w:t>
      </w:r>
      <w:proofErr w:type="spellStart"/>
      <w:r w:rsidRPr="00B450EB">
        <w:t>Sci</w:t>
      </w:r>
      <w:proofErr w:type="spellEnd"/>
      <w:r w:rsidRPr="00B450EB">
        <w:t>. 2004;359: 311–329. pmid:15212087</w:t>
      </w:r>
    </w:p>
    <w:p w14:paraId="2BAEDDA6" w14:textId="14A79EEB" w:rsidR="00934664" w:rsidRPr="00B450EB" w:rsidRDefault="00934664" w:rsidP="00934664">
      <w:pPr>
        <w:pStyle w:val="Prrafodelista"/>
        <w:numPr>
          <w:ilvl w:val="0"/>
          <w:numId w:val="28"/>
        </w:numPr>
        <w:rPr>
          <w:lang w:val="en-US"/>
        </w:rPr>
      </w:pPr>
      <w:r w:rsidRPr="00B450EB">
        <w:rPr>
          <w:lang w:val="pt-PT"/>
        </w:rPr>
        <w:t xml:space="preserve">Marengo, J. A., Tomasella, J., Alves, L. M., Soares, W. R., &amp; Rodriguez, D. A. (2015). </w:t>
      </w:r>
      <w:r w:rsidRPr="00B450EB">
        <w:rPr>
          <w:lang w:val="en-US"/>
        </w:rPr>
        <w:t>The drought of 2010 in the context of historical droughts in the Amazon region. Geophysical Research Letters, 38(12), L12703. https://doi.org/10.1029/2011GL047436</w:t>
      </w:r>
    </w:p>
    <w:p w14:paraId="6E79EC37" w14:textId="047CB628" w:rsidR="00934664" w:rsidRPr="00B450EB" w:rsidRDefault="00934664" w:rsidP="00934664">
      <w:pPr>
        <w:pStyle w:val="Prrafodelista"/>
        <w:numPr>
          <w:ilvl w:val="0"/>
          <w:numId w:val="28"/>
        </w:numPr>
      </w:pPr>
      <w:proofErr w:type="spellStart"/>
      <w:r w:rsidRPr="00B450EB">
        <w:t>Martinez</w:t>
      </w:r>
      <w:proofErr w:type="spellEnd"/>
      <w:r w:rsidRPr="00B450EB">
        <w:t xml:space="preserve">, B. (2013). Análisis de la Incertidumbre en los Estudios de Impacto Ambiental en Colombia desde los Sistemas Complejos. Doctoral </w:t>
      </w:r>
      <w:proofErr w:type="spellStart"/>
      <w:r w:rsidRPr="00B450EB">
        <w:t>dissertation</w:t>
      </w:r>
      <w:proofErr w:type="spellEnd"/>
      <w:r w:rsidRPr="00B450EB">
        <w:t>, Universidad Nacional de Colombia.</w:t>
      </w:r>
    </w:p>
    <w:p w14:paraId="5667DBB0" w14:textId="208C8EFE" w:rsidR="00934664" w:rsidRPr="00B450EB" w:rsidRDefault="00934664" w:rsidP="00934664">
      <w:pPr>
        <w:pStyle w:val="Prrafodelista"/>
        <w:numPr>
          <w:ilvl w:val="0"/>
          <w:numId w:val="28"/>
        </w:numPr>
        <w:rPr>
          <w:lang w:val="en-US"/>
        </w:rPr>
      </w:pPr>
      <w:r w:rsidRPr="00B450EB">
        <w:rPr>
          <w:lang w:val="en-US"/>
        </w:rPr>
        <w:t xml:space="preserve">Mendonça, F. P., Magnusson, W. E., &amp; </w:t>
      </w:r>
      <w:proofErr w:type="spellStart"/>
      <w:r w:rsidRPr="00B450EB">
        <w:rPr>
          <w:lang w:val="en-US"/>
        </w:rPr>
        <w:t>Zuanon</w:t>
      </w:r>
      <w:proofErr w:type="spellEnd"/>
      <w:r w:rsidRPr="00B450EB">
        <w:rPr>
          <w:lang w:val="en-US"/>
        </w:rPr>
        <w:t xml:space="preserve">, J. (2005). Relationships between habitat characteristics and fish assemblages. </w:t>
      </w:r>
      <w:proofErr w:type="spellStart"/>
      <w:r w:rsidRPr="00B450EB">
        <w:rPr>
          <w:lang w:val="en-US"/>
        </w:rPr>
        <w:t>Copeia</w:t>
      </w:r>
      <w:proofErr w:type="spellEnd"/>
      <w:r w:rsidRPr="00B450EB">
        <w:rPr>
          <w:lang w:val="en-US"/>
        </w:rPr>
        <w:t>, 2005(4), 751–764.</w:t>
      </w:r>
    </w:p>
    <w:p w14:paraId="1261CA08" w14:textId="6481EA3A" w:rsidR="00934664" w:rsidRPr="00B450EB" w:rsidRDefault="00934664" w:rsidP="00934664">
      <w:pPr>
        <w:pStyle w:val="Prrafodelista"/>
        <w:numPr>
          <w:ilvl w:val="0"/>
          <w:numId w:val="28"/>
        </w:numPr>
        <w:rPr>
          <w:rFonts w:eastAsia="Arial" w:cs="Arial"/>
          <w:color w:val="000000" w:themeColor="text1"/>
          <w:lang w:val="es-ES"/>
        </w:rPr>
      </w:pPr>
      <w:r w:rsidRPr="00B450EB">
        <w:t xml:space="preserve">Mestre, L. A. M., &amp; </w:t>
      </w:r>
      <w:proofErr w:type="spellStart"/>
      <w:r w:rsidRPr="00B450EB">
        <w:t>Bierregaard</w:t>
      </w:r>
      <w:proofErr w:type="spellEnd"/>
      <w:r w:rsidRPr="00B450EB">
        <w:t xml:space="preserve">, R. O. (2009). </w:t>
      </w:r>
      <w:r w:rsidRPr="00B450EB">
        <w:rPr>
          <w:lang w:val="en-US"/>
        </w:rPr>
        <w:t xml:space="preserve">The role of Amazonian rivers for wintering ospreys (Pandion haliaetus): clues from North American band recoveries in Brazil between 1937 and 2006. </w:t>
      </w:r>
      <w:proofErr w:type="spellStart"/>
      <w:r w:rsidRPr="00B450EB">
        <w:t>Studies</w:t>
      </w:r>
      <w:proofErr w:type="spellEnd"/>
      <w:r w:rsidRPr="00B450EB">
        <w:t xml:space="preserve"> </w:t>
      </w:r>
      <w:proofErr w:type="spellStart"/>
      <w:r w:rsidRPr="00B450EB">
        <w:t>on</w:t>
      </w:r>
      <w:proofErr w:type="spellEnd"/>
      <w:r w:rsidRPr="00B450EB">
        <w:t xml:space="preserve"> Neotropical Fauna and </w:t>
      </w:r>
      <w:proofErr w:type="spellStart"/>
      <w:r w:rsidRPr="00B450EB">
        <w:t>Environment</w:t>
      </w:r>
      <w:proofErr w:type="spellEnd"/>
      <w:r w:rsidRPr="00B450EB">
        <w:t xml:space="preserve">, 44(3), 141–157. </w:t>
      </w:r>
      <w:hyperlink r:id="rId199">
        <w:r w:rsidRPr="00B450EB">
          <w:rPr>
            <w:rStyle w:val="Hipervnculo"/>
          </w:rPr>
          <w:t>https://doi.org/10.1080/01650520903178380</w:t>
        </w:r>
      </w:hyperlink>
    </w:p>
    <w:p w14:paraId="6D970EEF" w14:textId="670396B9" w:rsidR="00934664" w:rsidRPr="00B450EB" w:rsidRDefault="00934664" w:rsidP="00934664">
      <w:pPr>
        <w:pStyle w:val="Prrafodelista"/>
        <w:numPr>
          <w:ilvl w:val="0"/>
          <w:numId w:val="28"/>
        </w:numPr>
        <w:rPr>
          <w:rFonts w:eastAsia="Arial" w:cs="Arial"/>
          <w:color w:val="000000" w:themeColor="text1"/>
          <w:lang w:val="es-ES"/>
        </w:rPr>
      </w:pPr>
      <w:r w:rsidRPr="00B450EB">
        <w:rPr>
          <w:rFonts w:eastAsia="Arial" w:cs="Arial"/>
          <w:color w:val="000000" w:themeColor="text1"/>
        </w:rPr>
        <w:t xml:space="preserve">Ministerio de Ambiente y Desarrollo Sostenible. (2023a). Estrategia Nacional de Restauración 2023-2026 “Juntos para Recuperar la Naturaleza Pedida”. </w:t>
      </w:r>
      <w:hyperlink r:id="rId200">
        <w:r w:rsidRPr="00B450EB">
          <w:rPr>
            <w:rStyle w:val="Hipervnculo"/>
            <w:rFonts w:eastAsia="Arial" w:cs="Arial"/>
          </w:rPr>
          <w:t>https://www.minambiente.gov.co/wp-content/uploads/2025/03/ENR_3032025-1.pdf</w:t>
        </w:r>
      </w:hyperlink>
      <w:r w:rsidRPr="00B450EB">
        <w:rPr>
          <w:rFonts w:eastAsia="Arial" w:cs="Arial"/>
          <w:color w:val="000000" w:themeColor="text1"/>
        </w:rPr>
        <w:t xml:space="preserve"> </w:t>
      </w:r>
    </w:p>
    <w:p w14:paraId="10D1ADF7" w14:textId="0FBA2761" w:rsidR="00934664" w:rsidRPr="00B450EB" w:rsidRDefault="00934664" w:rsidP="00934664">
      <w:pPr>
        <w:pStyle w:val="Prrafodelista"/>
        <w:numPr>
          <w:ilvl w:val="0"/>
          <w:numId w:val="28"/>
        </w:numPr>
        <w:rPr>
          <w:rFonts w:eastAsia="Arial" w:cs="Arial"/>
          <w:color w:val="000000" w:themeColor="text1"/>
          <w:lang w:val="es-ES"/>
        </w:rPr>
      </w:pPr>
      <w:r w:rsidRPr="00B450EB">
        <w:rPr>
          <w:rFonts w:eastAsia="Arial" w:cs="Arial"/>
          <w:color w:val="000000" w:themeColor="text1"/>
        </w:rPr>
        <w:t xml:space="preserve">Ministerio de Ambiente y Desarrollo Sostenible [Ambiente]. (2023). Plan Integral de Contención a la Deforestación 2023 – 2026. Ambiente. </w:t>
      </w:r>
      <w:hyperlink r:id="rId201">
        <w:r w:rsidRPr="00B450EB">
          <w:rPr>
            <w:rStyle w:val="Hipervnculo"/>
            <w:rFonts w:eastAsia="Arial" w:cs="Arial"/>
          </w:rPr>
          <w:t>https://www.minambiente.gov.co/wp-content/uploads/2025/03/Plan-Integral-Contencion-Deforestacion-2023-2026.pdf</w:t>
        </w:r>
      </w:hyperlink>
    </w:p>
    <w:p w14:paraId="07E519B7" w14:textId="317B6142" w:rsidR="00D8659A" w:rsidRPr="00B450EB" w:rsidRDefault="00D8659A" w:rsidP="00934664">
      <w:pPr>
        <w:pStyle w:val="Prrafodelista"/>
        <w:numPr>
          <w:ilvl w:val="0"/>
          <w:numId w:val="28"/>
        </w:numPr>
      </w:pPr>
      <w:r w:rsidRPr="00B450EB">
        <w:t xml:space="preserve">Ministerio de Comercio, Industria y Turismo. (2023). </w:t>
      </w:r>
      <w:r w:rsidRPr="00B450EB">
        <w:rPr>
          <w:i/>
          <w:iCs/>
        </w:rPr>
        <w:t>Perfil Exportador – Putumayo</w:t>
      </w:r>
      <w:r w:rsidRPr="00B450EB">
        <w:t>. Bogotá: MinCIT.</w:t>
      </w:r>
    </w:p>
    <w:p w14:paraId="334B5547" w14:textId="1E28377B" w:rsidR="00934664" w:rsidRPr="00B450EB" w:rsidRDefault="00934664" w:rsidP="00934664">
      <w:pPr>
        <w:pStyle w:val="Prrafodelista"/>
        <w:numPr>
          <w:ilvl w:val="0"/>
          <w:numId w:val="28"/>
        </w:numPr>
      </w:pPr>
      <w:r w:rsidRPr="00B450EB">
        <w:t xml:space="preserve">Miranda LS, </w:t>
      </w:r>
      <w:proofErr w:type="spellStart"/>
      <w:r w:rsidRPr="00B450EB">
        <w:t>Imperatriz</w:t>
      </w:r>
      <w:proofErr w:type="spellEnd"/>
      <w:r w:rsidRPr="00B450EB">
        <w:t xml:space="preserve">-Fonseca VL, Giannini TC (2019) Impacto del cambio climático en las funciones ecosistémicas proporcionadas por las aves en el sureste de la Amazonia. </w:t>
      </w:r>
      <w:proofErr w:type="spellStart"/>
      <w:r w:rsidRPr="00B450EB">
        <w:t>PLoS</w:t>
      </w:r>
      <w:proofErr w:type="spellEnd"/>
      <w:r w:rsidRPr="00B450EB">
        <w:t xml:space="preserve"> ONE 14(4): e0215229. https://doi.org/10.1371/journal.pone.0215229</w:t>
      </w:r>
    </w:p>
    <w:p w14:paraId="6C1353FD" w14:textId="321C718A" w:rsidR="00934664" w:rsidRPr="00B450EB" w:rsidRDefault="00934664" w:rsidP="00934664">
      <w:pPr>
        <w:pStyle w:val="Prrafodelista"/>
        <w:numPr>
          <w:ilvl w:val="0"/>
          <w:numId w:val="28"/>
        </w:numPr>
      </w:pPr>
      <w:r w:rsidRPr="00B450EB">
        <w:t>Mojica, J. I., Usma, J. S., Álvarez-León, R., &amp; Lasso, C. A. (2006). Peces de la cuenca del río Orinoco. ICN – Humboldt.</w:t>
      </w:r>
    </w:p>
    <w:p w14:paraId="3C8A10E3" w14:textId="6A950130" w:rsidR="00934664" w:rsidRPr="00B450EB" w:rsidRDefault="00934664" w:rsidP="00934664">
      <w:pPr>
        <w:pStyle w:val="Prrafodelista"/>
        <w:numPr>
          <w:ilvl w:val="0"/>
          <w:numId w:val="28"/>
        </w:numPr>
        <w:rPr>
          <w:lang w:val="en-US"/>
        </w:rPr>
      </w:pPr>
      <w:r w:rsidRPr="00B450EB">
        <w:rPr>
          <w:lang w:val="pt-PT"/>
        </w:rPr>
        <w:t xml:space="preserve">Moraes-Arraut, J., Nobre, C. A., Barbosa, H. M., Obregon, G., &amp; Marengo, J. (2012). </w:t>
      </w:r>
      <w:r w:rsidRPr="00B450EB">
        <w:rPr>
          <w:lang w:val="en-US"/>
        </w:rPr>
        <w:t>Aerial rivers and lakes. J. Climate, 25, 543–556.</w:t>
      </w:r>
    </w:p>
    <w:p w14:paraId="17B6B799" w14:textId="48D2E287" w:rsidR="00934664" w:rsidRPr="00B450EB" w:rsidRDefault="00934664" w:rsidP="00934664">
      <w:pPr>
        <w:pStyle w:val="Prrafodelista"/>
        <w:numPr>
          <w:ilvl w:val="0"/>
          <w:numId w:val="28"/>
        </w:numPr>
      </w:pPr>
      <w:r w:rsidRPr="00B450EB">
        <w:lastRenderedPageBreak/>
        <w:t>Morales-</w:t>
      </w:r>
      <w:proofErr w:type="spellStart"/>
      <w:r w:rsidRPr="00B450EB">
        <w:t>Martinez</w:t>
      </w:r>
      <w:proofErr w:type="spellEnd"/>
      <w:r w:rsidRPr="00B450EB">
        <w:t xml:space="preserve">, Darwin </w:t>
      </w:r>
      <w:proofErr w:type="gramStart"/>
      <w:r w:rsidRPr="00B450EB">
        <w:t>M..</w:t>
      </w:r>
      <w:proofErr w:type="gramEnd"/>
      <w:r w:rsidRPr="00B450EB">
        <w:t xml:space="preserve"> (2021). Mamíferos (</w:t>
      </w:r>
      <w:proofErr w:type="spellStart"/>
      <w:r w:rsidRPr="00B450EB">
        <w:t>Mammalia</w:t>
      </w:r>
      <w:proofErr w:type="spellEnd"/>
      <w:r w:rsidRPr="00B450EB">
        <w:t>) de la Amazonia colombiana. Revista de la Academia Colombiana de Ciencias Exactas, Físicas y Naturales, 45(175), 474-488. https://doi.org/10.18257/raccefyn.1318</w:t>
      </w:r>
    </w:p>
    <w:p w14:paraId="57AE27F8" w14:textId="67EE467B" w:rsidR="00934664" w:rsidRPr="00B450EB" w:rsidRDefault="00934664" w:rsidP="00934664">
      <w:pPr>
        <w:pStyle w:val="Prrafodelista"/>
        <w:numPr>
          <w:ilvl w:val="0"/>
          <w:numId w:val="28"/>
        </w:numPr>
      </w:pPr>
      <w:r w:rsidRPr="00B450EB">
        <w:rPr>
          <w:lang w:val="en-US"/>
        </w:rPr>
        <w:t xml:space="preserve">Morrone, J. J. (2017). Neotropical biogeography: Regionalization and evolution. </w:t>
      </w:r>
      <w:r w:rsidRPr="00B450EB">
        <w:t xml:space="preserve">CRC </w:t>
      </w:r>
      <w:proofErr w:type="spellStart"/>
      <w:r w:rsidRPr="00B450EB">
        <w:t>Press</w:t>
      </w:r>
      <w:proofErr w:type="spellEnd"/>
      <w:r w:rsidRPr="00B450EB">
        <w:t>.</w:t>
      </w:r>
    </w:p>
    <w:p w14:paraId="4F40488F" w14:textId="00BB015C" w:rsidR="00934664" w:rsidRPr="00B450EB" w:rsidRDefault="00934664" w:rsidP="00934664">
      <w:pPr>
        <w:pStyle w:val="Prrafodelista"/>
        <w:numPr>
          <w:ilvl w:val="0"/>
          <w:numId w:val="28"/>
        </w:numPr>
      </w:pPr>
      <w:r w:rsidRPr="00B450EB">
        <w:t xml:space="preserve">Mu, Z., Li, J., et al. </w:t>
      </w:r>
      <w:r w:rsidRPr="00B450EB">
        <w:rPr>
          <w:lang w:val="en-US"/>
        </w:rPr>
        <w:t xml:space="preserve">(2022, mayo). An overview of the isoprenoid emissions from tropical plant species. </w:t>
      </w:r>
      <w:proofErr w:type="spellStart"/>
      <w:r w:rsidRPr="00B450EB">
        <w:t>Frontiers</w:t>
      </w:r>
      <w:proofErr w:type="spellEnd"/>
      <w:r w:rsidRPr="00B450EB">
        <w:t xml:space="preserve"> in </w:t>
      </w:r>
      <w:proofErr w:type="spellStart"/>
      <w:r w:rsidRPr="00B450EB">
        <w:t>Plant</w:t>
      </w:r>
      <w:proofErr w:type="spellEnd"/>
      <w:r w:rsidRPr="00B450EB">
        <w:t xml:space="preserve"> </w:t>
      </w:r>
      <w:proofErr w:type="spellStart"/>
      <w:r w:rsidRPr="00B450EB">
        <w:t>Science</w:t>
      </w:r>
      <w:proofErr w:type="spellEnd"/>
      <w:r w:rsidRPr="00B450EB">
        <w:t>, 13, 833030.</w:t>
      </w:r>
    </w:p>
    <w:p w14:paraId="5CC2461F" w14:textId="2409059B" w:rsidR="00934664" w:rsidRPr="00B450EB" w:rsidRDefault="00934664" w:rsidP="00934664">
      <w:pPr>
        <w:pStyle w:val="Prrafodelista"/>
        <w:numPr>
          <w:ilvl w:val="0"/>
          <w:numId w:val="28"/>
        </w:numPr>
      </w:pPr>
      <w:r w:rsidRPr="00B450EB">
        <w:t xml:space="preserve">Narváez, L. A. B. (2022). Dinámicas y conflictos por acaparamiento de la tierra en la Orinoquía y Amazonía colombiana. Revista </w:t>
      </w:r>
      <w:proofErr w:type="spellStart"/>
      <w:r w:rsidRPr="00B450EB">
        <w:t>Kavilando</w:t>
      </w:r>
      <w:proofErr w:type="spellEnd"/>
      <w:r w:rsidRPr="00B450EB">
        <w:t>, 14(1), 2022.</w:t>
      </w:r>
    </w:p>
    <w:p w14:paraId="702C6C44" w14:textId="648357BA" w:rsidR="00934664" w:rsidRPr="00B450EB" w:rsidRDefault="00934664" w:rsidP="00934664">
      <w:pPr>
        <w:pStyle w:val="Prrafodelista"/>
        <w:numPr>
          <w:ilvl w:val="0"/>
          <w:numId w:val="28"/>
        </w:numPr>
      </w:pPr>
      <w:r w:rsidRPr="00B450EB">
        <w:t xml:space="preserve">Naranjo, L. G., Amaya, J. D., </w:t>
      </w:r>
      <w:proofErr w:type="spellStart"/>
      <w:r w:rsidRPr="00B450EB">
        <w:t>Eusse</w:t>
      </w:r>
      <w:proofErr w:type="spellEnd"/>
      <w:r w:rsidRPr="00B450EB">
        <w:t>-González, D., &amp; Cifuentes-Sarmiento, Y. (2012). Guía de las especies migratorias de la biodiversidad en Colombia. Aves. Vol. 1. Ministerio de Ambiente y Desarrollo Sostenible / WWF Colombia.</w:t>
      </w:r>
    </w:p>
    <w:p w14:paraId="73425021" w14:textId="6CB060F2" w:rsidR="00934664" w:rsidRPr="00B450EB" w:rsidRDefault="00934664" w:rsidP="00934664">
      <w:pPr>
        <w:pStyle w:val="Prrafodelista"/>
        <w:numPr>
          <w:ilvl w:val="0"/>
          <w:numId w:val="28"/>
        </w:numPr>
      </w:pPr>
      <w:r w:rsidRPr="00B450EB">
        <w:t>NASA. (2025, septiembre 9). Dióxido de carbono: signos vitales. https://climate.nasa.gov/en-espanol/signos-vitales/dioxido-de-carbono/</w:t>
      </w:r>
    </w:p>
    <w:p w14:paraId="520903B0" w14:textId="37BC3834" w:rsidR="00934664" w:rsidRPr="00B450EB" w:rsidRDefault="00934664" w:rsidP="00934664">
      <w:pPr>
        <w:pStyle w:val="Prrafodelista"/>
        <w:numPr>
          <w:ilvl w:val="0"/>
          <w:numId w:val="28"/>
        </w:numPr>
        <w:rPr>
          <w:lang w:val="en-US"/>
        </w:rPr>
      </w:pPr>
      <w:r w:rsidRPr="00B450EB">
        <w:rPr>
          <w:lang w:val="pt-PT"/>
        </w:rPr>
        <w:t xml:space="preserve">Nepstad, D. C., Stickler, C. M., Soares-Filho, B., &amp; Merry, F. (2008). </w:t>
      </w:r>
      <w:r w:rsidRPr="00B450EB">
        <w:rPr>
          <w:lang w:val="en-US"/>
        </w:rPr>
        <w:t>Interactions among Amazon land use, forests and climate. Philos. Trans. R. Soc. B, 363(1498), 1737–1746.</w:t>
      </w:r>
    </w:p>
    <w:p w14:paraId="3EDF60F6" w14:textId="0B13D107" w:rsidR="00934664" w:rsidRPr="00B450EB" w:rsidRDefault="00934664" w:rsidP="00934664">
      <w:pPr>
        <w:pStyle w:val="Prrafodelista"/>
        <w:numPr>
          <w:ilvl w:val="0"/>
          <w:numId w:val="28"/>
        </w:numPr>
        <w:rPr>
          <w:lang w:val="en-US"/>
        </w:rPr>
      </w:pPr>
      <w:r w:rsidRPr="00B450EB">
        <w:rPr>
          <w:lang w:val="en-US"/>
        </w:rPr>
        <w:t>Newton, I. (2006). Can conditions experienced during migration limit the population levels of birds? Journal of Ornithology, 147(2), 146-166.</w:t>
      </w:r>
    </w:p>
    <w:p w14:paraId="1A979808" w14:textId="0F2CEB5A" w:rsidR="00934664" w:rsidRPr="00B450EB" w:rsidRDefault="00934664" w:rsidP="00934664">
      <w:pPr>
        <w:pStyle w:val="Prrafodelista"/>
        <w:numPr>
          <w:ilvl w:val="0"/>
          <w:numId w:val="28"/>
        </w:numPr>
        <w:rPr>
          <w:lang w:val="en-US"/>
        </w:rPr>
      </w:pPr>
      <w:r w:rsidRPr="00B450EB">
        <w:rPr>
          <w:lang w:val="en-US"/>
        </w:rPr>
        <w:t xml:space="preserve">Nichols, E., Larsen, T., Spector, S., Davis, A. L., Escobar, F., Favila, M., </w:t>
      </w:r>
      <w:proofErr w:type="spellStart"/>
      <w:r w:rsidRPr="00B450EB">
        <w:rPr>
          <w:lang w:val="en-US"/>
        </w:rPr>
        <w:t>Vulinec</w:t>
      </w:r>
      <w:proofErr w:type="spellEnd"/>
      <w:r w:rsidRPr="00B450EB">
        <w:rPr>
          <w:lang w:val="en-US"/>
        </w:rPr>
        <w:t>, K., y Network, T. S. R. (2007). Global dung beetle response to tropical forest modification and fragmentation: A quantitative literature review and meta-analysis. Biological Conservation, 137(1), 1-19. https://doi.org/10.1016/j.biocon.2007.01.023.</w:t>
      </w:r>
    </w:p>
    <w:p w14:paraId="44B03C81" w14:textId="502BDB39" w:rsidR="00934664" w:rsidRPr="00B450EB" w:rsidRDefault="00934664" w:rsidP="00934664">
      <w:pPr>
        <w:pStyle w:val="Prrafodelista"/>
        <w:numPr>
          <w:ilvl w:val="0"/>
          <w:numId w:val="28"/>
        </w:numPr>
        <w:rPr>
          <w:lang w:val="en-US"/>
        </w:rPr>
      </w:pPr>
      <w:r w:rsidRPr="00B450EB">
        <w:rPr>
          <w:lang w:val="en-US"/>
        </w:rPr>
        <w:t>NOAA Ocean Exploration. (</w:t>
      </w:r>
      <w:proofErr w:type="spellStart"/>
      <w:r w:rsidRPr="00B450EB">
        <w:rPr>
          <w:lang w:val="en-US"/>
        </w:rPr>
        <w:t>s.f.</w:t>
      </w:r>
      <w:proofErr w:type="spellEnd"/>
      <w:r w:rsidRPr="00B450EB">
        <w:rPr>
          <w:lang w:val="en-US"/>
        </w:rPr>
        <w:t>). How does the ocean affect climate and weather on land? https://oceanexplorer.noaa.gov/ocean-fact/climate/</w:t>
      </w:r>
    </w:p>
    <w:p w14:paraId="380DF349" w14:textId="6B8D3573" w:rsidR="00934664" w:rsidRPr="00B450EB" w:rsidRDefault="00934664" w:rsidP="00934664">
      <w:pPr>
        <w:pStyle w:val="Prrafodelista"/>
        <w:numPr>
          <w:ilvl w:val="0"/>
          <w:numId w:val="28"/>
        </w:numPr>
        <w:rPr>
          <w:lang w:val="en-US"/>
        </w:rPr>
      </w:pPr>
      <w:r w:rsidRPr="00B450EB">
        <w:rPr>
          <w:lang w:val="pt-PT"/>
        </w:rPr>
        <w:t xml:space="preserve">Nobre, A. D. (2014). O Futuro Climático da Amazônia: Relatório de Avaliação Científica. </w:t>
      </w:r>
      <w:r w:rsidRPr="00B450EB">
        <w:rPr>
          <w:lang w:val="en-US"/>
        </w:rPr>
        <w:t>ARA / CCST-INPE / INPA. http://www.ccst.inpe.br/wp-content/uploads/2014/11/The_Future_Climate_of_Amazonia_Report.pdf</w:t>
      </w:r>
    </w:p>
    <w:p w14:paraId="0A3B09DF" w14:textId="16AF68DF" w:rsidR="00934664" w:rsidRPr="00B450EB" w:rsidRDefault="00934664" w:rsidP="00934664">
      <w:pPr>
        <w:pStyle w:val="Prrafodelista"/>
        <w:numPr>
          <w:ilvl w:val="0"/>
          <w:numId w:val="28"/>
        </w:numPr>
        <w:rPr>
          <w:lang w:val="en-US"/>
        </w:rPr>
      </w:pPr>
      <w:proofErr w:type="spellStart"/>
      <w:r w:rsidRPr="00B450EB">
        <w:t>Nobre</w:t>
      </w:r>
      <w:proofErr w:type="spellEnd"/>
      <w:r w:rsidRPr="00B450EB">
        <w:t xml:space="preserve">, C., Encalada, A., Anderson, E., &amp; Neves, E. G. (2021). </w:t>
      </w:r>
      <w:r w:rsidRPr="00B450EB">
        <w:rPr>
          <w:lang w:val="en-US"/>
        </w:rPr>
        <w:t>Science panel for the Amazon: Amazon Assessment Report 2021: executive summary.</w:t>
      </w:r>
    </w:p>
    <w:p w14:paraId="15F65507" w14:textId="32E6A2CB" w:rsidR="00934664" w:rsidRPr="00B450EB" w:rsidRDefault="00934664" w:rsidP="00934664">
      <w:pPr>
        <w:pStyle w:val="Prrafodelista"/>
        <w:numPr>
          <w:ilvl w:val="0"/>
          <w:numId w:val="28"/>
        </w:numPr>
        <w:rPr>
          <w:lang w:val="en-US"/>
        </w:rPr>
      </w:pPr>
      <w:r w:rsidRPr="00B450EB">
        <w:rPr>
          <w:lang w:val="pt-PT"/>
        </w:rPr>
        <w:t xml:space="preserve">Nobre, C. A., Sampaio, G., Borma, L. S., Castilla-Rubio, J. C., Silva, J. S., &amp; Cardoso, M. (2016). </w:t>
      </w:r>
      <w:r w:rsidRPr="00B450EB">
        <w:rPr>
          <w:lang w:val="en-US"/>
        </w:rPr>
        <w:t xml:space="preserve">Land-use and climate change risks in the Amazon and the need </w:t>
      </w:r>
      <w:proofErr w:type="gramStart"/>
      <w:r w:rsidRPr="00B450EB">
        <w:rPr>
          <w:lang w:val="en-US"/>
        </w:rPr>
        <w:t>of</w:t>
      </w:r>
      <w:proofErr w:type="gramEnd"/>
      <w:r w:rsidRPr="00B450EB">
        <w:rPr>
          <w:lang w:val="en-US"/>
        </w:rPr>
        <w:t xml:space="preserve"> a novel sustainable development paradigm. PNAS, 113(39), 10759–10768. https://doi.org/10.1073/pnas.1605516113</w:t>
      </w:r>
    </w:p>
    <w:p w14:paraId="2628BD0B" w14:textId="083960F9" w:rsidR="00934664" w:rsidRPr="00B450EB" w:rsidRDefault="00934664" w:rsidP="00934664">
      <w:pPr>
        <w:pStyle w:val="Prrafodelista"/>
        <w:numPr>
          <w:ilvl w:val="0"/>
          <w:numId w:val="28"/>
        </w:numPr>
        <w:rPr>
          <w:lang w:val="en-US"/>
        </w:rPr>
      </w:pPr>
      <w:r w:rsidRPr="00B450EB">
        <w:rPr>
          <w:lang w:val="en-US"/>
        </w:rPr>
        <w:t>Noss, R. F. (1991). Landscape connectivity and conservation. Conservation Biology, 5(2), 242-248.</w:t>
      </w:r>
    </w:p>
    <w:p w14:paraId="771FA63B" w14:textId="32D17D61" w:rsidR="00934664" w:rsidRPr="00B450EB" w:rsidRDefault="00934664" w:rsidP="00934664">
      <w:pPr>
        <w:pStyle w:val="Prrafodelista"/>
        <w:numPr>
          <w:ilvl w:val="0"/>
          <w:numId w:val="28"/>
        </w:numPr>
        <w:rPr>
          <w:lang w:val="en-US"/>
        </w:rPr>
      </w:pPr>
      <w:r w:rsidRPr="00B450EB">
        <w:rPr>
          <w:lang w:val="en-US"/>
        </w:rPr>
        <w:t>Noss, R. F., &amp; Cooperrider, A. (1994). Saving nature’s legacy: Protecting and restoring biodiversity. Washington, DC: Island Press.</w:t>
      </w:r>
    </w:p>
    <w:p w14:paraId="03E91E20" w14:textId="2E41C74A" w:rsidR="00934664" w:rsidRPr="00B450EB" w:rsidRDefault="00934664" w:rsidP="00934664">
      <w:pPr>
        <w:pStyle w:val="Prrafodelista"/>
        <w:numPr>
          <w:ilvl w:val="0"/>
          <w:numId w:val="28"/>
        </w:numPr>
      </w:pPr>
      <w:r w:rsidRPr="00B450EB">
        <w:lastRenderedPageBreak/>
        <w:t>Ordoñez, J &amp; Masera, O. (2001). Captura de carbono ante el cambio climático. Madera y bosques 7(1):3-12.</w:t>
      </w:r>
    </w:p>
    <w:p w14:paraId="21355DE9" w14:textId="445915D6" w:rsidR="00934664" w:rsidRPr="00B450EB" w:rsidRDefault="00934664" w:rsidP="00934664">
      <w:pPr>
        <w:pStyle w:val="Prrafodelista"/>
        <w:numPr>
          <w:ilvl w:val="0"/>
          <w:numId w:val="28"/>
        </w:numPr>
      </w:pPr>
      <w:r w:rsidRPr="00B450EB">
        <w:t>Osorno-Muñoz, M., Caicedo-Portilla, J. R., Lynch, J. D., &amp; Gutiérrez-Lamus, D. L. (2022). Lista anotada de los anfibios y reptiles de la cuenca media y alta del río Apaporis. Revista Colombia Amazónica.</w:t>
      </w:r>
    </w:p>
    <w:p w14:paraId="17607489" w14:textId="326E1552" w:rsidR="00934664" w:rsidRPr="00B450EB" w:rsidRDefault="00934664" w:rsidP="00934664">
      <w:pPr>
        <w:pStyle w:val="Prrafodelista"/>
        <w:numPr>
          <w:ilvl w:val="0"/>
          <w:numId w:val="28"/>
        </w:numPr>
      </w:pPr>
      <w:r w:rsidRPr="00B450EB">
        <w:t xml:space="preserve">OTCA. (2021). Atlas de Vulnerabilidad </w:t>
      </w:r>
      <w:proofErr w:type="spellStart"/>
      <w:r w:rsidRPr="00B450EB">
        <w:t>Hidroclimática</w:t>
      </w:r>
      <w:proofErr w:type="spellEnd"/>
      <w:r w:rsidRPr="00B450EB">
        <w:t xml:space="preserve"> de la Región Amazónica. https://otca.org/wp-content/uploads/2021/09/Atlas-de-Vulnerabilidad-Hidroclimatica-web.pdf</w:t>
      </w:r>
    </w:p>
    <w:p w14:paraId="6A636AC8" w14:textId="0AC308E3" w:rsidR="00934664" w:rsidRPr="00B450EB" w:rsidRDefault="00934664" w:rsidP="00934664">
      <w:pPr>
        <w:pStyle w:val="Prrafodelista"/>
        <w:numPr>
          <w:ilvl w:val="0"/>
          <w:numId w:val="28"/>
        </w:numPr>
      </w:pPr>
      <w:r w:rsidRPr="00B450EB">
        <w:t>OTCA. (2018). Análisis Diagnóstico Transfronterizo Regional de la Cuenca Amazónica (ADT). https://otca.org/wp-content/uploads/2021/02/Analisis-Diagnostico-Transfronterizo-Regional-de-la-Cuenca-Amazonica-ADT.pdf</w:t>
      </w:r>
    </w:p>
    <w:p w14:paraId="030471A5" w14:textId="0CDB091A" w:rsidR="00934664" w:rsidRPr="00B450EB" w:rsidRDefault="00934664" w:rsidP="00934664">
      <w:pPr>
        <w:pStyle w:val="Prrafodelista"/>
        <w:numPr>
          <w:ilvl w:val="0"/>
          <w:numId w:val="28"/>
        </w:numPr>
        <w:rPr>
          <w:lang w:val="en-US"/>
        </w:rPr>
      </w:pPr>
      <w:r w:rsidRPr="00B450EB">
        <w:t xml:space="preserve">OTCA &amp; SHI S.A.S. (2015, diciembre). Caracterización hidrogeológica conjunta del Sistema Acuífero Transfronterizo Tabatinga - Leticia. </w:t>
      </w:r>
      <w:r w:rsidRPr="00B450EB">
        <w:rPr>
          <w:lang w:val="en-US"/>
        </w:rPr>
        <w:t>Medellín.</w:t>
      </w:r>
    </w:p>
    <w:p w14:paraId="5C888B80" w14:textId="1804C74B" w:rsidR="00934664" w:rsidRPr="00B450EB" w:rsidRDefault="00934664" w:rsidP="00934664">
      <w:pPr>
        <w:pStyle w:val="Prrafodelista"/>
        <w:numPr>
          <w:ilvl w:val="0"/>
          <w:numId w:val="28"/>
        </w:numPr>
      </w:pPr>
      <w:r w:rsidRPr="00B450EB">
        <w:rPr>
          <w:lang w:val="en-US"/>
        </w:rPr>
        <w:t xml:space="preserve">O’Neill, B. C., Kriegler, E., Ebi, K. L., Kemp-Benedict, E., Riahi, K., Rothman, D. S., ... &amp; Solecki, W. (2017). The roads ahead: Narratives for shared socioeconomic pathways describing world futures in the 21st century. </w:t>
      </w:r>
      <w:r w:rsidRPr="00B450EB">
        <w:t xml:space="preserve">Global </w:t>
      </w:r>
      <w:proofErr w:type="spellStart"/>
      <w:r w:rsidRPr="00B450EB">
        <w:t>Environmental</w:t>
      </w:r>
      <w:proofErr w:type="spellEnd"/>
      <w:r w:rsidRPr="00B450EB">
        <w:t xml:space="preserve"> Change, 42, 169–180. https://doi.org/10.1016/j.gloenvcha.2015.01.004</w:t>
      </w:r>
    </w:p>
    <w:p w14:paraId="7D5C8F0E" w14:textId="33864D71" w:rsidR="00934664" w:rsidRPr="00B450EB" w:rsidRDefault="00934664" w:rsidP="00934664">
      <w:pPr>
        <w:pStyle w:val="Prrafodelista"/>
        <w:numPr>
          <w:ilvl w:val="0"/>
          <w:numId w:val="28"/>
        </w:numPr>
      </w:pPr>
      <w:r w:rsidRPr="00B450EB">
        <w:rPr>
          <w:lang w:val="en-US"/>
        </w:rPr>
        <w:t xml:space="preserve">Painter, M., et al. (2008). Agriculture and deforestation in the Amazon. </w:t>
      </w:r>
      <w:proofErr w:type="spellStart"/>
      <w:r w:rsidRPr="00B450EB">
        <w:t>Environmental</w:t>
      </w:r>
      <w:proofErr w:type="spellEnd"/>
      <w:r w:rsidRPr="00B450EB">
        <w:t xml:space="preserve"> </w:t>
      </w:r>
      <w:proofErr w:type="spellStart"/>
      <w:r w:rsidRPr="00B450EB">
        <w:t>Science</w:t>
      </w:r>
      <w:proofErr w:type="spellEnd"/>
      <w:r w:rsidRPr="00B450EB">
        <w:t xml:space="preserve"> &amp; </w:t>
      </w:r>
      <w:proofErr w:type="spellStart"/>
      <w:r w:rsidRPr="00B450EB">
        <w:t>Policy</w:t>
      </w:r>
      <w:proofErr w:type="spellEnd"/>
      <w:r w:rsidRPr="00B450EB">
        <w:t>, 11(5), 451-475.</w:t>
      </w:r>
    </w:p>
    <w:p w14:paraId="62E90FF5" w14:textId="3F9367E2" w:rsidR="00934664" w:rsidRPr="00B450EB" w:rsidRDefault="00934664" w:rsidP="00934664">
      <w:pPr>
        <w:pStyle w:val="Prrafodelista"/>
        <w:numPr>
          <w:ilvl w:val="0"/>
          <w:numId w:val="28"/>
        </w:numPr>
      </w:pPr>
      <w:r w:rsidRPr="00B450EB">
        <w:rPr>
          <w:lang w:val="en-US"/>
        </w:rPr>
        <w:t xml:space="preserve">Pan, Y., et al. (2011). Biodiversity and ecosystem services in the Amazon region. </w:t>
      </w:r>
      <w:proofErr w:type="spellStart"/>
      <w:r w:rsidRPr="00B450EB">
        <w:t>Science</w:t>
      </w:r>
      <w:proofErr w:type="spellEnd"/>
      <w:r w:rsidRPr="00B450EB">
        <w:t>, 331(6016), 254-259.</w:t>
      </w:r>
    </w:p>
    <w:p w14:paraId="22161E38" w14:textId="4C3A6444" w:rsidR="00934664" w:rsidRPr="00B450EB" w:rsidRDefault="00934664" w:rsidP="00934664">
      <w:pPr>
        <w:pStyle w:val="Prrafodelista"/>
        <w:numPr>
          <w:ilvl w:val="0"/>
          <w:numId w:val="28"/>
        </w:numPr>
      </w:pPr>
      <w:r w:rsidRPr="00B450EB">
        <w:t>Parques Nacionales Naturales. (2010). Plan de Manejo Santuario de Flora y Fauna de la Ciénaga Grande de Santa Marta. https://www.parquesnacionales.gov.co/wp-content/uploads/2020/10/plan-de-manejo-sff-cienaga-grande-de-santa-marta.pdf</w:t>
      </w:r>
    </w:p>
    <w:p w14:paraId="6E6560A2" w14:textId="3FED040B" w:rsidR="00D8659A" w:rsidRPr="00B450EB" w:rsidRDefault="00D8659A" w:rsidP="00934664">
      <w:pPr>
        <w:pStyle w:val="Prrafodelista"/>
        <w:numPr>
          <w:ilvl w:val="0"/>
          <w:numId w:val="28"/>
        </w:numPr>
      </w:pPr>
      <w:r w:rsidRPr="00B450EB">
        <w:t xml:space="preserve">Pineda, A. (2020). Economías regionales en la Amazonía: estructuras productivas y desafíos de sostenibilidad. </w:t>
      </w:r>
      <w:r w:rsidRPr="00B450EB">
        <w:rPr>
          <w:i/>
          <w:iCs/>
        </w:rPr>
        <w:t>Revista de Economía Institucional, 22</w:t>
      </w:r>
      <w:r w:rsidRPr="00B450EB">
        <w:t>(42), 171–198.</w:t>
      </w:r>
    </w:p>
    <w:p w14:paraId="4592199E" w14:textId="490C0D41" w:rsidR="00934664" w:rsidRPr="00B450EB" w:rsidRDefault="00934664" w:rsidP="00934664">
      <w:pPr>
        <w:pStyle w:val="Prrafodelista"/>
        <w:numPr>
          <w:ilvl w:val="0"/>
          <w:numId w:val="28"/>
        </w:numPr>
      </w:pPr>
      <w:proofErr w:type="spellStart"/>
      <w:r w:rsidRPr="00B450EB">
        <w:t>Pounds</w:t>
      </w:r>
      <w:proofErr w:type="spellEnd"/>
      <w:r w:rsidRPr="00B450EB">
        <w:t xml:space="preserve">, A.; </w:t>
      </w:r>
      <w:proofErr w:type="spellStart"/>
      <w:r w:rsidRPr="00B450EB">
        <w:t>Savage</w:t>
      </w:r>
      <w:proofErr w:type="spellEnd"/>
      <w:r w:rsidRPr="00B450EB">
        <w:t>, J.; Bolaños, F. «</w:t>
      </w:r>
      <w:proofErr w:type="spellStart"/>
      <w:r w:rsidRPr="00B450EB">
        <w:t>Incilius</w:t>
      </w:r>
      <w:proofErr w:type="spellEnd"/>
      <w:r w:rsidRPr="00B450EB">
        <w:t xml:space="preserve"> </w:t>
      </w:r>
      <w:proofErr w:type="spellStart"/>
      <w:r w:rsidRPr="00B450EB">
        <w:t>periglenes</w:t>
      </w:r>
      <w:proofErr w:type="spellEnd"/>
      <w:r w:rsidRPr="00B450EB">
        <w:t>». Lista Roja de especies amenazadas de la UICN 2013.</w:t>
      </w:r>
    </w:p>
    <w:p w14:paraId="66277A88" w14:textId="2391EB5A" w:rsidR="00934664" w:rsidRPr="00B450EB" w:rsidRDefault="00934664" w:rsidP="00934664">
      <w:pPr>
        <w:pStyle w:val="Prrafodelista"/>
        <w:numPr>
          <w:ilvl w:val="0"/>
          <w:numId w:val="28"/>
        </w:numPr>
      </w:pPr>
      <w:r w:rsidRPr="00B450EB">
        <w:t xml:space="preserve">Poveda, G., Jaramillo, L., &amp; Vallejo, L. F. (2009). </w:t>
      </w:r>
      <w:r w:rsidRPr="00B450EB">
        <w:rPr>
          <w:lang w:val="en-US"/>
        </w:rPr>
        <w:t xml:space="preserve">Seasonal precipitation patterns along pathways of South American low-level jets and aerial rivers. </w:t>
      </w:r>
      <w:proofErr w:type="spellStart"/>
      <w:r w:rsidRPr="00B450EB">
        <w:t>Water</w:t>
      </w:r>
      <w:proofErr w:type="spellEnd"/>
      <w:r w:rsidRPr="00B450EB">
        <w:t xml:space="preserve"> </w:t>
      </w:r>
      <w:proofErr w:type="spellStart"/>
      <w:r w:rsidRPr="00B450EB">
        <w:t>Resources</w:t>
      </w:r>
      <w:proofErr w:type="spellEnd"/>
      <w:r w:rsidRPr="00B450EB">
        <w:t xml:space="preserve"> </w:t>
      </w:r>
      <w:proofErr w:type="spellStart"/>
      <w:r w:rsidRPr="00B450EB">
        <w:t>Research</w:t>
      </w:r>
      <w:proofErr w:type="spellEnd"/>
      <w:r w:rsidRPr="00B450EB">
        <w:t xml:space="preserve">, 45(4), W04418. </w:t>
      </w:r>
      <w:hyperlink r:id="rId202" w:history="1">
        <w:r w:rsidRPr="00B450EB">
          <w:rPr>
            <w:rStyle w:val="Hipervnculo"/>
          </w:rPr>
          <w:t>https://doi.org/10.1029/2008WR007529</w:t>
        </w:r>
      </w:hyperlink>
      <w:r w:rsidRPr="00B450EB">
        <w:t xml:space="preserve"> </w:t>
      </w:r>
    </w:p>
    <w:p w14:paraId="10EDA2FC" w14:textId="497179E7" w:rsidR="00934664" w:rsidRPr="00B450EB" w:rsidRDefault="00934664" w:rsidP="00934664">
      <w:pPr>
        <w:pStyle w:val="Prrafodelista"/>
        <w:numPr>
          <w:ilvl w:val="0"/>
          <w:numId w:val="28"/>
        </w:numPr>
      </w:pPr>
      <w:r w:rsidRPr="00B450EB">
        <w:t>Poveda Jaramillo, G. (2011). El papel de la Amazonía en el clima global y continental: impactos del cambio climático y la deforestación. https://repositorio.unal.edu.co/items/ed80186a-7340-4e34-9d5a-c4f923370908</w:t>
      </w:r>
    </w:p>
    <w:p w14:paraId="07925632" w14:textId="1D852463" w:rsidR="00934664" w:rsidRPr="00B450EB" w:rsidRDefault="00934664" w:rsidP="00934664">
      <w:pPr>
        <w:pStyle w:val="Prrafodelista"/>
        <w:numPr>
          <w:ilvl w:val="0"/>
          <w:numId w:val="28"/>
        </w:numPr>
        <w:rPr>
          <w:lang w:val="en-US"/>
        </w:rPr>
      </w:pPr>
      <w:r w:rsidRPr="00B450EB">
        <w:t xml:space="preserve">Poveda, G., Jaramillo, L., &amp; Vallejo, L. F. (2014). </w:t>
      </w:r>
      <w:r w:rsidRPr="00B450EB">
        <w:rPr>
          <w:lang w:val="en-US"/>
        </w:rPr>
        <w:t xml:space="preserve">Seasonal precipitation patterns. Water </w:t>
      </w:r>
      <w:proofErr w:type="spellStart"/>
      <w:r w:rsidRPr="00B450EB">
        <w:rPr>
          <w:lang w:val="en-US"/>
        </w:rPr>
        <w:t>Resour</w:t>
      </w:r>
      <w:proofErr w:type="spellEnd"/>
      <w:r w:rsidRPr="00B450EB">
        <w:rPr>
          <w:lang w:val="en-US"/>
        </w:rPr>
        <w:t>. Res., 50, 98–118.</w:t>
      </w:r>
    </w:p>
    <w:p w14:paraId="14017BEE" w14:textId="662C9505" w:rsidR="00934664" w:rsidRPr="00B450EB" w:rsidRDefault="00934664" w:rsidP="00934664">
      <w:pPr>
        <w:pStyle w:val="Prrafodelista"/>
        <w:numPr>
          <w:ilvl w:val="0"/>
          <w:numId w:val="28"/>
        </w:numPr>
      </w:pPr>
      <w:r w:rsidRPr="00B450EB">
        <w:rPr>
          <w:lang w:val="en-US"/>
        </w:rPr>
        <w:lastRenderedPageBreak/>
        <w:t xml:space="preserve">Poveda, G., et al. (2009). Ecological connectivity and its importance for ecosystem services. </w:t>
      </w:r>
      <w:r w:rsidRPr="00B450EB">
        <w:t xml:space="preserve">Global </w:t>
      </w:r>
      <w:proofErr w:type="spellStart"/>
      <w:r w:rsidRPr="00B450EB">
        <w:t>Environmental</w:t>
      </w:r>
      <w:proofErr w:type="spellEnd"/>
      <w:r w:rsidRPr="00B450EB">
        <w:t xml:space="preserve"> Change, 19(3), 371–379.</w:t>
      </w:r>
    </w:p>
    <w:p w14:paraId="17FC230B" w14:textId="21C7575A" w:rsidR="00934664" w:rsidRPr="00B450EB" w:rsidRDefault="00934664" w:rsidP="00934664">
      <w:pPr>
        <w:pStyle w:val="Prrafodelista"/>
        <w:numPr>
          <w:ilvl w:val="0"/>
          <w:numId w:val="28"/>
        </w:numPr>
      </w:pPr>
      <w:r w:rsidRPr="00B450EB">
        <w:t>Poveda, G. (2024). Ríos voladores amazónicos. Disponible en: https://blogs.elespectador.com/</w:t>
      </w:r>
    </w:p>
    <w:p w14:paraId="3ED91EB5" w14:textId="000CBAFC" w:rsidR="00934664" w:rsidRPr="00B450EB" w:rsidRDefault="00934664" w:rsidP="00934664">
      <w:pPr>
        <w:pStyle w:val="Prrafodelista"/>
        <w:numPr>
          <w:ilvl w:val="0"/>
          <w:numId w:val="28"/>
        </w:numPr>
      </w:pPr>
      <w:proofErr w:type="spellStart"/>
      <w:r w:rsidRPr="00B450EB">
        <w:rPr>
          <w:lang w:val="en-US"/>
        </w:rPr>
        <w:t>Pöhlker</w:t>
      </w:r>
      <w:proofErr w:type="spellEnd"/>
      <w:r w:rsidRPr="00B450EB">
        <w:rPr>
          <w:lang w:val="en-US"/>
        </w:rPr>
        <w:t xml:space="preserve">, C., Huffman, J. A., &amp; </w:t>
      </w:r>
      <w:proofErr w:type="spellStart"/>
      <w:r w:rsidRPr="00B450EB">
        <w:rPr>
          <w:lang w:val="en-US"/>
        </w:rPr>
        <w:t>Pöschl</w:t>
      </w:r>
      <w:proofErr w:type="spellEnd"/>
      <w:r w:rsidRPr="00B450EB">
        <w:rPr>
          <w:lang w:val="en-US"/>
        </w:rPr>
        <w:t xml:space="preserve">, U. (2012). Autofluorescence of atmospheric bioaerosols: fluorescent biomolecules and potential interferences. </w:t>
      </w:r>
      <w:proofErr w:type="spellStart"/>
      <w:r w:rsidRPr="00B450EB">
        <w:t>Atmospheric</w:t>
      </w:r>
      <w:proofErr w:type="spellEnd"/>
      <w:r w:rsidRPr="00B450EB">
        <w:t xml:space="preserve"> </w:t>
      </w:r>
      <w:proofErr w:type="spellStart"/>
      <w:r w:rsidRPr="00B450EB">
        <w:t>Measurement</w:t>
      </w:r>
      <w:proofErr w:type="spellEnd"/>
      <w:r w:rsidRPr="00B450EB">
        <w:t xml:space="preserve"> </w:t>
      </w:r>
      <w:proofErr w:type="spellStart"/>
      <w:r w:rsidRPr="00B450EB">
        <w:t>Techniques</w:t>
      </w:r>
      <w:proofErr w:type="spellEnd"/>
      <w:r w:rsidRPr="00B450EB">
        <w:t>, 5(1), 37–71.</w:t>
      </w:r>
    </w:p>
    <w:p w14:paraId="2187BC3D" w14:textId="77777777" w:rsidR="00030CA0" w:rsidRPr="00B450EB" w:rsidRDefault="00030CA0" w:rsidP="00030CA0">
      <w:pPr>
        <w:pStyle w:val="Prrafodelista"/>
        <w:numPr>
          <w:ilvl w:val="0"/>
          <w:numId w:val="28"/>
        </w:numPr>
      </w:pPr>
      <w:r w:rsidRPr="00B450EB">
        <w:t>Programa de las Naciones Unidas para el Desarrollo – PNUD. (2021). Informe Nacional de Desarrollo Humano en Colombia. Bogotá: PNUD.</w:t>
      </w:r>
    </w:p>
    <w:p w14:paraId="1727181D" w14:textId="7FF4F802" w:rsidR="00030CA0" w:rsidRPr="00B450EB" w:rsidRDefault="00030CA0" w:rsidP="00030CA0">
      <w:pPr>
        <w:pStyle w:val="Prrafodelista"/>
        <w:numPr>
          <w:ilvl w:val="0"/>
          <w:numId w:val="28"/>
        </w:numPr>
      </w:pPr>
      <w:r w:rsidRPr="00B450EB">
        <w:t>Programa de las Naciones Unidas para el Desarrollo – PNUD. (2024). Informe de Desarrollo Humano 2024: La dependencia del país y de los territorios de los hidrocarburos y el carbón en Colombia. Bogotá: PNUD.</w:t>
      </w:r>
    </w:p>
    <w:p w14:paraId="2A7BEB0F" w14:textId="0A6671C4" w:rsidR="00934664" w:rsidRPr="00B450EB" w:rsidRDefault="00934664" w:rsidP="00934664">
      <w:pPr>
        <w:pStyle w:val="Prrafodelista"/>
        <w:numPr>
          <w:ilvl w:val="0"/>
          <w:numId w:val="28"/>
        </w:numPr>
      </w:pPr>
      <w:r w:rsidRPr="00B450EB">
        <w:t>Programa Iberoamericano de Ciencia y Tecnología para el Desarrollo. (s.f.). Coordinador Internacional: Dr. Gonzalo Halffter. Instituto de Ecología, México.</w:t>
      </w:r>
    </w:p>
    <w:p w14:paraId="6EF5681A" w14:textId="125EBE7F" w:rsidR="00934664" w:rsidRPr="00B450EB" w:rsidRDefault="00934664" w:rsidP="00934664">
      <w:pPr>
        <w:pStyle w:val="Prrafodelista"/>
        <w:numPr>
          <w:ilvl w:val="0"/>
          <w:numId w:val="28"/>
        </w:numPr>
      </w:pPr>
      <w:r w:rsidRPr="00B450EB">
        <w:t>RAISG. (2025). Diagnóstico de datos de carbono en la Amazonía Colombiana. Bogotá: RAISG.</w:t>
      </w:r>
    </w:p>
    <w:p w14:paraId="57A79C7D" w14:textId="1E84FF09" w:rsidR="00934664" w:rsidRPr="00B450EB" w:rsidRDefault="00934664" w:rsidP="00934664">
      <w:pPr>
        <w:pStyle w:val="Prrafodelista"/>
        <w:numPr>
          <w:ilvl w:val="0"/>
          <w:numId w:val="28"/>
        </w:numPr>
      </w:pPr>
      <w:r w:rsidRPr="00B450EB">
        <w:t xml:space="preserve">RAISG – Red Amazónica de Información Socioambiental Georreferenciada (2025). </w:t>
      </w:r>
      <w:proofErr w:type="spellStart"/>
      <w:r w:rsidRPr="00B450EB">
        <w:t>Diagnostico</w:t>
      </w:r>
      <w:proofErr w:type="spellEnd"/>
      <w:r w:rsidRPr="00B450EB">
        <w:t xml:space="preserve"> de datos de carbono en la Amazonia Colombiana.</w:t>
      </w:r>
    </w:p>
    <w:p w14:paraId="542B48BE" w14:textId="3308ED26" w:rsidR="00934664" w:rsidRPr="00B450EB" w:rsidRDefault="00934664" w:rsidP="00934664">
      <w:pPr>
        <w:pStyle w:val="Prrafodelista"/>
        <w:numPr>
          <w:ilvl w:val="0"/>
          <w:numId w:val="28"/>
        </w:numPr>
      </w:pPr>
      <w:r w:rsidRPr="00B450EB">
        <w:t>Ramos-Artunduaga, Jonathan, Londoño-Carvajal C, Carlos Andrés, &amp; Marín-Uribe, Mario Alejandro. (2021). Mariposas asociadas a bosques en Solano, Caquetá, Amazonia Colombiana (</w:t>
      </w:r>
      <w:proofErr w:type="spellStart"/>
      <w:r w:rsidRPr="00B450EB">
        <w:t>Lepidoptera</w:t>
      </w:r>
      <w:proofErr w:type="spellEnd"/>
      <w:r w:rsidRPr="00B450EB">
        <w:t xml:space="preserve">: </w:t>
      </w:r>
      <w:proofErr w:type="spellStart"/>
      <w:r w:rsidRPr="00B450EB">
        <w:t>Papilionoidea</w:t>
      </w:r>
      <w:proofErr w:type="spellEnd"/>
      <w:r w:rsidRPr="00B450EB">
        <w:t xml:space="preserve">). Biota colombiana, 22(2), 56-69. </w:t>
      </w:r>
      <w:proofErr w:type="spellStart"/>
      <w:r w:rsidRPr="00B450EB">
        <w:t>Epub</w:t>
      </w:r>
      <w:proofErr w:type="spellEnd"/>
      <w:r w:rsidRPr="00B450EB">
        <w:t xml:space="preserve"> </w:t>
      </w:r>
      <w:proofErr w:type="spellStart"/>
      <w:r w:rsidRPr="00B450EB">
        <w:t>July</w:t>
      </w:r>
      <w:proofErr w:type="spellEnd"/>
      <w:r w:rsidRPr="00B450EB">
        <w:t xml:space="preserve"> 29, 2021.https://doi.org/10.21068/c2021.v22n02a03</w:t>
      </w:r>
    </w:p>
    <w:p w14:paraId="1B9278FE" w14:textId="524A9C9A" w:rsidR="00934664" w:rsidRPr="00B450EB" w:rsidRDefault="00934664" w:rsidP="00934664">
      <w:pPr>
        <w:pStyle w:val="Prrafodelista"/>
        <w:numPr>
          <w:ilvl w:val="0"/>
          <w:numId w:val="28"/>
        </w:numPr>
      </w:pPr>
      <w:r w:rsidRPr="00B450EB">
        <w:t xml:space="preserve">Rangel, O. (2008). Vegetación, palinología y paleoecología de la </w:t>
      </w:r>
      <w:proofErr w:type="spellStart"/>
      <w:r w:rsidRPr="00B450EB">
        <w:t>amazonía</w:t>
      </w:r>
      <w:proofErr w:type="spellEnd"/>
      <w:r w:rsidRPr="00B450EB">
        <w:t xml:space="preserve"> colombiana. Diversidad biótica VII. ICN – UNAL.</w:t>
      </w:r>
    </w:p>
    <w:p w14:paraId="5D386530" w14:textId="7F6F64E7" w:rsidR="00934664" w:rsidRPr="00B450EB" w:rsidRDefault="00934664" w:rsidP="00934664">
      <w:pPr>
        <w:pStyle w:val="Prrafodelista"/>
        <w:numPr>
          <w:ilvl w:val="0"/>
          <w:numId w:val="28"/>
        </w:numPr>
      </w:pPr>
      <w:proofErr w:type="spellStart"/>
      <w:r w:rsidRPr="00B450EB">
        <w:t>Ringuelet</w:t>
      </w:r>
      <w:proofErr w:type="spellEnd"/>
      <w:r w:rsidRPr="00B450EB">
        <w:t xml:space="preserve">, R. A. (1975). Zoogeografía y ecología de los peces de aguas continentales de la Argentina. </w:t>
      </w:r>
      <w:proofErr w:type="spellStart"/>
      <w:r w:rsidRPr="00B450EB">
        <w:t>Ecosur</w:t>
      </w:r>
      <w:proofErr w:type="spellEnd"/>
      <w:r w:rsidRPr="00B450EB">
        <w:t>, 2.</w:t>
      </w:r>
    </w:p>
    <w:p w14:paraId="578ED620" w14:textId="7C7D3154" w:rsidR="00934664" w:rsidRPr="00B450EB" w:rsidRDefault="00934664" w:rsidP="00934664">
      <w:pPr>
        <w:pStyle w:val="Prrafodelista"/>
        <w:numPr>
          <w:ilvl w:val="0"/>
          <w:numId w:val="28"/>
        </w:numPr>
      </w:pPr>
      <w:r w:rsidRPr="00B450EB">
        <w:t>Rodríguez, C. A., &amp; Suárez, A. R. (2019). Amazonia colombiana: Dinámicas territoriales. Ideas Verdes.</w:t>
      </w:r>
    </w:p>
    <w:p w14:paraId="1DB974DA" w14:textId="6AD5BBF5" w:rsidR="00934664" w:rsidRPr="00B450EB" w:rsidRDefault="00934664" w:rsidP="00934664">
      <w:pPr>
        <w:pStyle w:val="Prrafodelista"/>
        <w:numPr>
          <w:ilvl w:val="0"/>
          <w:numId w:val="28"/>
        </w:numPr>
      </w:pPr>
      <w:r w:rsidRPr="00B450EB">
        <w:t xml:space="preserve">Rojas, M., et al. (2014). Evaluación de la conectividad ecológica en la Amazonía colombiana. SINCHI </w:t>
      </w:r>
      <w:proofErr w:type="spellStart"/>
      <w:r w:rsidRPr="00B450EB">
        <w:t>Report</w:t>
      </w:r>
      <w:proofErr w:type="spellEnd"/>
      <w:r w:rsidRPr="00B450EB">
        <w:t>, 32, 1-50.</w:t>
      </w:r>
    </w:p>
    <w:p w14:paraId="6EC47FE5" w14:textId="71C47BC2" w:rsidR="00934664" w:rsidRPr="00B450EB" w:rsidRDefault="00934664" w:rsidP="00934664">
      <w:pPr>
        <w:pStyle w:val="Prrafodelista"/>
        <w:numPr>
          <w:ilvl w:val="0"/>
          <w:numId w:val="28"/>
        </w:numPr>
        <w:rPr>
          <w:lang w:val="en-US"/>
        </w:rPr>
      </w:pPr>
      <w:proofErr w:type="spellStart"/>
      <w:r w:rsidRPr="00B450EB">
        <w:t>Rondinini</w:t>
      </w:r>
      <w:proofErr w:type="spellEnd"/>
      <w:r w:rsidRPr="00B450EB">
        <w:t xml:space="preserve"> C, Marco MD, </w:t>
      </w:r>
      <w:proofErr w:type="spellStart"/>
      <w:r w:rsidRPr="00B450EB">
        <w:t>Chiozza</w:t>
      </w:r>
      <w:proofErr w:type="spellEnd"/>
      <w:r w:rsidRPr="00B450EB">
        <w:t xml:space="preserve"> F, </w:t>
      </w:r>
      <w:proofErr w:type="spellStart"/>
      <w:r w:rsidRPr="00B450EB">
        <w:t>Santulli</w:t>
      </w:r>
      <w:proofErr w:type="spellEnd"/>
      <w:r w:rsidRPr="00B450EB">
        <w:t xml:space="preserve"> G, </w:t>
      </w:r>
      <w:proofErr w:type="spellStart"/>
      <w:r w:rsidRPr="00B450EB">
        <w:t>Baisero</w:t>
      </w:r>
      <w:proofErr w:type="spellEnd"/>
      <w:r w:rsidRPr="00B450EB">
        <w:t xml:space="preserve"> D, Visconti P, Hoffmann M, </w:t>
      </w:r>
      <w:proofErr w:type="spellStart"/>
      <w:r w:rsidRPr="00B450EB">
        <w:t>Schipper</w:t>
      </w:r>
      <w:proofErr w:type="spellEnd"/>
      <w:r w:rsidRPr="00B450EB">
        <w:t xml:space="preserve"> J, Stuart SN, </w:t>
      </w:r>
      <w:proofErr w:type="spellStart"/>
      <w:r w:rsidRPr="00B450EB">
        <w:t>Tognelli</w:t>
      </w:r>
      <w:proofErr w:type="spellEnd"/>
      <w:r w:rsidRPr="00B450EB">
        <w:t xml:space="preserve"> MF, </w:t>
      </w:r>
      <w:proofErr w:type="spellStart"/>
      <w:r w:rsidRPr="00B450EB">
        <w:t>Amori</w:t>
      </w:r>
      <w:proofErr w:type="spellEnd"/>
      <w:r w:rsidRPr="00B450EB">
        <w:t xml:space="preserve"> G, </w:t>
      </w:r>
      <w:proofErr w:type="spellStart"/>
      <w:r w:rsidRPr="00B450EB">
        <w:t>Falcucci</w:t>
      </w:r>
      <w:proofErr w:type="spellEnd"/>
      <w:r w:rsidRPr="00B450EB">
        <w:t xml:space="preserve"> A, </w:t>
      </w:r>
      <w:proofErr w:type="spellStart"/>
      <w:r w:rsidRPr="00B450EB">
        <w:t>Maiorano</w:t>
      </w:r>
      <w:proofErr w:type="spellEnd"/>
      <w:r w:rsidRPr="00B450EB">
        <w:t xml:space="preserve"> L, </w:t>
      </w:r>
      <w:proofErr w:type="spellStart"/>
      <w:r w:rsidRPr="00B450EB">
        <w:t>Boitani</w:t>
      </w:r>
      <w:proofErr w:type="spellEnd"/>
      <w:r w:rsidRPr="00B450EB">
        <w:t xml:space="preserve"> L. 2011. </w:t>
      </w:r>
      <w:r w:rsidRPr="00B450EB">
        <w:rPr>
          <w:lang w:val="en-US"/>
        </w:rPr>
        <w:t xml:space="preserve">Global habitat suitability models of terrestrial mammals. Proc. R. Soc. Lond. 366(1578): 2633-2641. </w:t>
      </w:r>
      <w:proofErr w:type="spellStart"/>
      <w:r w:rsidRPr="00B450EB">
        <w:rPr>
          <w:lang w:val="en-US"/>
        </w:rPr>
        <w:t>doi</w:t>
      </w:r>
      <w:proofErr w:type="spellEnd"/>
      <w:r w:rsidRPr="00B450EB">
        <w:rPr>
          <w:lang w:val="en-US"/>
        </w:rPr>
        <w:t>: https://doi.org/10.1098/rstb.2011.0113</w:t>
      </w:r>
    </w:p>
    <w:p w14:paraId="036B76F2" w14:textId="09FC09B8" w:rsidR="00934664" w:rsidRPr="00B450EB" w:rsidRDefault="00934664" w:rsidP="00934664">
      <w:pPr>
        <w:pStyle w:val="Prrafodelista"/>
        <w:numPr>
          <w:ilvl w:val="0"/>
          <w:numId w:val="28"/>
        </w:numPr>
      </w:pPr>
      <w:proofErr w:type="spellStart"/>
      <w:r w:rsidRPr="00B450EB">
        <w:t>Roubik</w:t>
      </w:r>
      <w:proofErr w:type="spellEnd"/>
      <w:r w:rsidRPr="00B450EB">
        <w:t xml:space="preserve">, D. y Hanson, P. (2004). </w:t>
      </w:r>
      <w:r w:rsidRPr="00B450EB">
        <w:rPr>
          <w:lang w:val="en-US"/>
        </w:rPr>
        <w:t xml:space="preserve">Orchid bees of tropical America: Biology and field guide. </w:t>
      </w:r>
      <w:r w:rsidRPr="00B450EB">
        <w:t>Instituto Nacional de Biodiversidad.</w:t>
      </w:r>
    </w:p>
    <w:p w14:paraId="4CBED40A" w14:textId="3FC51950" w:rsidR="00934664" w:rsidRPr="00B450EB" w:rsidRDefault="00934664" w:rsidP="00934664">
      <w:pPr>
        <w:pStyle w:val="Prrafodelista"/>
        <w:numPr>
          <w:ilvl w:val="0"/>
          <w:numId w:val="28"/>
        </w:numPr>
      </w:pPr>
      <w:r w:rsidRPr="00B450EB">
        <w:t xml:space="preserve">Ruiz-Guerra, C., </w:t>
      </w:r>
      <w:proofErr w:type="spellStart"/>
      <w:r w:rsidRPr="00B450EB">
        <w:t>Eusse</w:t>
      </w:r>
      <w:proofErr w:type="spellEnd"/>
      <w:r w:rsidRPr="00B450EB">
        <w:t xml:space="preserve">-González, D., &amp; Arango, C. (2014). Distribución, abundancia y reproducción de las aves acuáticas de las </w:t>
      </w:r>
      <w:proofErr w:type="spellStart"/>
      <w:r w:rsidRPr="00B450EB">
        <w:t>sabanas</w:t>
      </w:r>
      <w:proofErr w:type="spellEnd"/>
      <w:r w:rsidRPr="00B450EB">
        <w:t xml:space="preserve"> inundables de </w:t>
      </w:r>
      <w:r w:rsidRPr="00B450EB">
        <w:lastRenderedPageBreak/>
        <w:t>Meta y Casanare (Colombia) y sitios prioritarios para la conservación. Biota Colombiana, 15(</w:t>
      </w:r>
      <w:proofErr w:type="spellStart"/>
      <w:r w:rsidRPr="00B450EB">
        <w:t>Supl</w:t>
      </w:r>
      <w:proofErr w:type="spellEnd"/>
      <w:r w:rsidRPr="00B450EB">
        <w:t>. 1), 137-160.</w:t>
      </w:r>
    </w:p>
    <w:p w14:paraId="46C25B98" w14:textId="439E6F63" w:rsidR="00030CA0" w:rsidRPr="00B450EB" w:rsidRDefault="00030CA0" w:rsidP="00934664">
      <w:pPr>
        <w:pStyle w:val="Prrafodelista"/>
        <w:numPr>
          <w:ilvl w:val="0"/>
          <w:numId w:val="28"/>
        </w:numPr>
      </w:pPr>
      <w:r w:rsidRPr="00B450EB">
        <w:rPr>
          <w:lang w:val="en-US"/>
        </w:rPr>
        <w:t xml:space="preserve">Sachs, J., &amp; Warner, A. (2001). The curse of natural resources. </w:t>
      </w:r>
      <w:proofErr w:type="spellStart"/>
      <w:r w:rsidRPr="00B450EB">
        <w:rPr>
          <w:i/>
          <w:iCs/>
        </w:rPr>
        <w:t>European</w:t>
      </w:r>
      <w:proofErr w:type="spellEnd"/>
      <w:r w:rsidRPr="00B450EB">
        <w:rPr>
          <w:i/>
          <w:iCs/>
        </w:rPr>
        <w:t xml:space="preserve"> </w:t>
      </w:r>
      <w:proofErr w:type="spellStart"/>
      <w:r w:rsidRPr="00B450EB">
        <w:rPr>
          <w:i/>
          <w:iCs/>
        </w:rPr>
        <w:t>Economic</w:t>
      </w:r>
      <w:proofErr w:type="spellEnd"/>
      <w:r w:rsidRPr="00B450EB">
        <w:rPr>
          <w:i/>
          <w:iCs/>
        </w:rPr>
        <w:t xml:space="preserve"> </w:t>
      </w:r>
      <w:proofErr w:type="spellStart"/>
      <w:r w:rsidRPr="00B450EB">
        <w:rPr>
          <w:i/>
          <w:iCs/>
        </w:rPr>
        <w:t>Review</w:t>
      </w:r>
      <w:proofErr w:type="spellEnd"/>
      <w:r w:rsidRPr="00B450EB">
        <w:rPr>
          <w:i/>
          <w:iCs/>
        </w:rPr>
        <w:t>, 45</w:t>
      </w:r>
      <w:r w:rsidRPr="00B450EB">
        <w:t>(4–6), 827–838.</w:t>
      </w:r>
    </w:p>
    <w:p w14:paraId="4FD97154" w14:textId="237125C2" w:rsidR="00934664" w:rsidRPr="00B450EB" w:rsidRDefault="00934664" w:rsidP="00934664">
      <w:pPr>
        <w:pStyle w:val="Prrafodelista"/>
        <w:numPr>
          <w:ilvl w:val="0"/>
          <w:numId w:val="28"/>
        </w:numPr>
      </w:pPr>
      <w:r w:rsidRPr="00B450EB">
        <w:rPr>
          <w:lang w:val="pt-PT"/>
        </w:rPr>
        <w:t xml:space="preserve">Salazar, L. F., Nobre, C. A., &amp; Oyama, M. D. (2007). </w:t>
      </w:r>
      <w:r w:rsidRPr="00B450EB">
        <w:rPr>
          <w:lang w:val="en-US"/>
        </w:rPr>
        <w:t xml:space="preserve">Climate change consequences on the biome distribution in tropical South America. </w:t>
      </w:r>
      <w:proofErr w:type="spellStart"/>
      <w:r w:rsidRPr="00B450EB">
        <w:t>Geophysical</w:t>
      </w:r>
      <w:proofErr w:type="spellEnd"/>
      <w:r w:rsidRPr="00B450EB">
        <w:t xml:space="preserve"> </w:t>
      </w:r>
      <w:proofErr w:type="spellStart"/>
      <w:r w:rsidRPr="00B450EB">
        <w:t>Research</w:t>
      </w:r>
      <w:proofErr w:type="spellEnd"/>
      <w:r w:rsidRPr="00B450EB">
        <w:t xml:space="preserve"> </w:t>
      </w:r>
      <w:proofErr w:type="spellStart"/>
      <w:r w:rsidRPr="00B450EB">
        <w:t>Letters</w:t>
      </w:r>
      <w:proofErr w:type="spellEnd"/>
      <w:r w:rsidRPr="00B450EB">
        <w:t>, 34(9), L09708. https://doi.org/10.1029/2007GL029695</w:t>
      </w:r>
    </w:p>
    <w:p w14:paraId="63DD7A5B" w14:textId="5B01D19A" w:rsidR="00934664" w:rsidRPr="00B450EB" w:rsidRDefault="00934664" w:rsidP="00934664">
      <w:pPr>
        <w:pStyle w:val="Prrafodelista"/>
        <w:numPr>
          <w:ilvl w:val="0"/>
          <w:numId w:val="28"/>
        </w:numPr>
      </w:pPr>
      <w:r w:rsidRPr="00B450EB">
        <w:t xml:space="preserve">Santos-Heredia, Carolina, Villalobos-Moreno, Alfonso, </w:t>
      </w:r>
      <w:proofErr w:type="gramStart"/>
      <w:r w:rsidRPr="00B450EB">
        <w:t>Gallego</w:t>
      </w:r>
      <w:proofErr w:type="gramEnd"/>
      <w:r w:rsidRPr="00B450EB">
        <w:t xml:space="preserve">-Ropero, María Cristina, Castro-Marín, Daiana, Cardozo-Rueda, </w:t>
      </w:r>
      <w:proofErr w:type="spellStart"/>
      <w:r w:rsidRPr="00B450EB">
        <w:t>Arnol</w:t>
      </w:r>
      <w:proofErr w:type="spellEnd"/>
      <w:r w:rsidRPr="00B450EB">
        <w:t>, Vanegas-Alarcón, David Andrés, &amp; Rojas-Molina, Jairo. (2024). Mariposas (</w:t>
      </w:r>
      <w:proofErr w:type="spellStart"/>
      <w:r w:rsidRPr="00B450EB">
        <w:t>Lepidoptera</w:t>
      </w:r>
      <w:proofErr w:type="spellEnd"/>
      <w:r w:rsidRPr="00B450EB">
        <w:t xml:space="preserve">: </w:t>
      </w:r>
      <w:proofErr w:type="spellStart"/>
      <w:r w:rsidRPr="00B450EB">
        <w:t>Papilionoidea</w:t>
      </w:r>
      <w:proofErr w:type="spellEnd"/>
      <w:r w:rsidRPr="00B450EB">
        <w:t>), abejas (</w:t>
      </w:r>
      <w:proofErr w:type="spellStart"/>
      <w:r w:rsidRPr="00B450EB">
        <w:t>Hymenoptera</w:t>
      </w:r>
      <w:proofErr w:type="spellEnd"/>
      <w:r w:rsidRPr="00B450EB">
        <w:t xml:space="preserve">: </w:t>
      </w:r>
      <w:proofErr w:type="spellStart"/>
      <w:r w:rsidRPr="00B450EB">
        <w:t>Apidae</w:t>
      </w:r>
      <w:proofErr w:type="spellEnd"/>
      <w:r w:rsidRPr="00B450EB">
        <w:t>) y escarabajos coprófagos (</w:t>
      </w:r>
      <w:proofErr w:type="spellStart"/>
      <w:r w:rsidRPr="00B450EB">
        <w:t>Coleoptera</w:t>
      </w:r>
      <w:proofErr w:type="spellEnd"/>
      <w:r w:rsidRPr="00B450EB">
        <w:t xml:space="preserve">: </w:t>
      </w:r>
      <w:proofErr w:type="spellStart"/>
      <w:r w:rsidRPr="00B450EB">
        <w:t>Scarabaeidae</w:t>
      </w:r>
      <w:proofErr w:type="spellEnd"/>
      <w:r w:rsidRPr="00B450EB">
        <w:t>) de tres coberturas vegetales en Convención, Norte de Santander, Colombia. Boletín Científico. Centro de Museos. Museo de Historia Natural, 28(1), 175-193.</w:t>
      </w:r>
    </w:p>
    <w:p w14:paraId="42ABE2E7" w14:textId="55D96CE8" w:rsidR="00934664" w:rsidRPr="00B450EB" w:rsidRDefault="00934664" w:rsidP="00934664">
      <w:pPr>
        <w:pStyle w:val="Prrafodelista"/>
        <w:numPr>
          <w:ilvl w:val="0"/>
          <w:numId w:val="28"/>
        </w:numPr>
      </w:pPr>
      <w:r w:rsidRPr="00B450EB">
        <w:rPr>
          <w:lang w:val="en-US"/>
        </w:rPr>
        <w:t xml:space="preserve">Saura, S., et al. (2014). A multi-scale connectivity approach for landscape ecology and conservation. </w:t>
      </w:r>
      <w:proofErr w:type="spellStart"/>
      <w:r w:rsidRPr="00B450EB">
        <w:t>Ecological</w:t>
      </w:r>
      <w:proofErr w:type="spellEnd"/>
      <w:r w:rsidRPr="00B450EB">
        <w:t xml:space="preserve"> </w:t>
      </w:r>
      <w:proofErr w:type="spellStart"/>
      <w:r w:rsidRPr="00B450EB">
        <w:t>Applications</w:t>
      </w:r>
      <w:proofErr w:type="spellEnd"/>
      <w:r w:rsidRPr="00B450EB">
        <w:t>, 24(8), 2132-2145.</w:t>
      </w:r>
    </w:p>
    <w:p w14:paraId="572C9CB2" w14:textId="32F477AE" w:rsidR="00934664" w:rsidRPr="00B450EB" w:rsidRDefault="00934664" w:rsidP="00934664">
      <w:pPr>
        <w:pStyle w:val="Prrafodelista"/>
        <w:numPr>
          <w:ilvl w:val="0"/>
          <w:numId w:val="28"/>
        </w:numPr>
      </w:pPr>
      <w:r w:rsidRPr="00B450EB">
        <w:t>Sánchez, J., et al. (2024). Evaluación de los transportes de flujos y balance de humedad en el páramo de Chingaza. XXXI Congreso Latinoamericano de hidráulica.</w:t>
      </w:r>
    </w:p>
    <w:p w14:paraId="65843E44" w14:textId="3C7A480E" w:rsidR="00934664" w:rsidRPr="00B450EB" w:rsidRDefault="00934664" w:rsidP="00934664">
      <w:pPr>
        <w:pStyle w:val="Prrafodelista"/>
        <w:numPr>
          <w:ilvl w:val="0"/>
          <w:numId w:val="28"/>
        </w:numPr>
        <w:rPr>
          <w:lang w:val="en-US"/>
        </w:rPr>
      </w:pPr>
      <w:r w:rsidRPr="00B450EB">
        <w:t xml:space="preserve">Sánchez, J. H. (2024). Estado socioeconómico del bioma amazónico colombiano a la luz de la COP 16 (Documento CEDE No. 2024-27). </w:t>
      </w:r>
      <w:r w:rsidRPr="00B450EB">
        <w:rPr>
          <w:lang w:val="en-US"/>
        </w:rPr>
        <w:t xml:space="preserve">Universidad de </w:t>
      </w:r>
      <w:proofErr w:type="spellStart"/>
      <w:r w:rsidRPr="00B450EB">
        <w:rPr>
          <w:lang w:val="en-US"/>
        </w:rPr>
        <w:t>los</w:t>
      </w:r>
      <w:proofErr w:type="spellEnd"/>
      <w:r w:rsidRPr="00B450EB">
        <w:rPr>
          <w:lang w:val="en-US"/>
        </w:rPr>
        <w:t xml:space="preserve"> Andes.</w:t>
      </w:r>
    </w:p>
    <w:p w14:paraId="27CD4DDD" w14:textId="79FDEEE9" w:rsidR="00EC7520" w:rsidRPr="00B450EB" w:rsidRDefault="00EC7520" w:rsidP="00934664">
      <w:pPr>
        <w:pStyle w:val="Prrafodelista"/>
        <w:numPr>
          <w:ilvl w:val="0"/>
          <w:numId w:val="28"/>
        </w:numPr>
      </w:pPr>
      <w:r w:rsidRPr="00B450EB">
        <w:t xml:space="preserve">Sánchez, F., &amp; Velasco, A. (2018). Recursos naturales, enclaves extractivos y desarrollo territorial en Colombia. </w:t>
      </w:r>
      <w:r w:rsidRPr="00B450EB">
        <w:rPr>
          <w:i/>
          <w:iCs/>
        </w:rPr>
        <w:t>Cuadernos de Economía, 37</w:t>
      </w:r>
      <w:r w:rsidRPr="00B450EB">
        <w:t>(75), 77–108</w:t>
      </w:r>
    </w:p>
    <w:p w14:paraId="1D559C3C" w14:textId="0B647446" w:rsidR="00934664" w:rsidRPr="00B450EB" w:rsidRDefault="00934664" w:rsidP="00934664">
      <w:pPr>
        <w:pStyle w:val="Prrafodelista"/>
        <w:numPr>
          <w:ilvl w:val="0"/>
          <w:numId w:val="28"/>
        </w:numPr>
      </w:pPr>
      <w:r w:rsidRPr="00B450EB">
        <w:rPr>
          <w:lang w:val="en-US"/>
        </w:rPr>
        <w:t xml:space="preserve">Science Panel for </w:t>
      </w:r>
      <w:proofErr w:type="gramStart"/>
      <w:r w:rsidRPr="00B450EB">
        <w:rPr>
          <w:lang w:val="en-US"/>
        </w:rPr>
        <w:t>the Amazon</w:t>
      </w:r>
      <w:proofErr w:type="gramEnd"/>
      <w:r w:rsidRPr="00B450EB">
        <w:rPr>
          <w:lang w:val="en-US"/>
        </w:rPr>
        <w:t xml:space="preserve">. (2021). Executive summary of the Amazon assessment report 2021. </w:t>
      </w:r>
      <w:proofErr w:type="spellStart"/>
      <w:r w:rsidRPr="00B450EB">
        <w:t>United</w:t>
      </w:r>
      <w:proofErr w:type="spellEnd"/>
      <w:r w:rsidRPr="00B450EB">
        <w:t xml:space="preserve"> </w:t>
      </w:r>
      <w:proofErr w:type="spellStart"/>
      <w:r w:rsidRPr="00B450EB">
        <w:t>Nations</w:t>
      </w:r>
      <w:proofErr w:type="spellEnd"/>
      <w:r w:rsidRPr="00B450EB">
        <w:t xml:space="preserve"> SDSN. </w:t>
      </w:r>
      <w:hyperlink r:id="rId203" w:history="1">
        <w:r w:rsidRPr="00B450EB">
          <w:rPr>
            <w:rStyle w:val="Hipervnculo"/>
            <w:lang w:val="en-US"/>
          </w:rPr>
          <w:t>https://www.theamazonwewant.org</w:t>
        </w:r>
      </w:hyperlink>
      <w:r w:rsidRPr="00B450EB">
        <w:rPr>
          <w:lang w:val="en-US"/>
        </w:rPr>
        <w:t xml:space="preserve"> </w:t>
      </w:r>
    </w:p>
    <w:p w14:paraId="785761FD" w14:textId="71E14D98" w:rsidR="00934664" w:rsidRPr="00B450EB" w:rsidRDefault="00934664" w:rsidP="00934664">
      <w:pPr>
        <w:pStyle w:val="Prrafodelista"/>
        <w:numPr>
          <w:ilvl w:val="0"/>
          <w:numId w:val="28"/>
        </w:numPr>
      </w:pPr>
      <w:r w:rsidRPr="00B450EB">
        <w:t>S</w:t>
      </w:r>
      <w:r w:rsidR="00EC7520" w:rsidRPr="00B450EB">
        <w:t>I</w:t>
      </w:r>
      <w:r w:rsidRPr="00B450EB">
        <w:t>NCHI. (2019). Informe de gestión 2019. https://ierna.sinchi.org.co/</w:t>
      </w:r>
    </w:p>
    <w:p w14:paraId="4B572FF4" w14:textId="76C13F4B" w:rsidR="00934664" w:rsidRPr="00B450EB" w:rsidRDefault="00934664" w:rsidP="00934664">
      <w:pPr>
        <w:pStyle w:val="Prrafodelista"/>
        <w:numPr>
          <w:ilvl w:val="0"/>
          <w:numId w:val="28"/>
        </w:numPr>
      </w:pPr>
      <w:r w:rsidRPr="00B450EB">
        <w:t>S</w:t>
      </w:r>
      <w:r w:rsidR="00EC7520" w:rsidRPr="00B450EB">
        <w:t>I</w:t>
      </w:r>
      <w:r w:rsidRPr="00B450EB">
        <w:t>NCHI. (2015). Zonificación de áreas prioritarias para restauración. Bogotá.</w:t>
      </w:r>
    </w:p>
    <w:p w14:paraId="6AD78605" w14:textId="77909E00" w:rsidR="00934664" w:rsidRPr="00B450EB" w:rsidRDefault="00934664" w:rsidP="00934664">
      <w:pPr>
        <w:pStyle w:val="Prrafodelista"/>
        <w:numPr>
          <w:ilvl w:val="0"/>
          <w:numId w:val="28"/>
        </w:numPr>
      </w:pPr>
      <w:r w:rsidRPr="00B450EB">
        <w:t>S</w:t>
      </w:r>
      <w:r w:rsidR="00EC7520" w:rsidRPr="00B450EB">
        <w:t>I</w:t>
      </w:r>
      <w:r w:rsidRPr="00B450EB">
        <w:t>NCHI. (2016). Informe sobre la deforestación y sus motores en la Amazonía colombiana. Bogotá.</w:t>
      </w:r>
    </w:p>
    <w:p w14:paraId="693D5A9C" w14:textId="659D9803" w:rsidR="00934664" w:rsidRPr="00B450EB" w:rsidRDefault="00934664" w:rsidP="00934664">
      <w:pPr>
        <w:pStyle w:val="Prrafodelista"/>
        <w:numPr>
          <w:ilvl w:val="0"/>
          <w:numId w:val="28"/>
        </w:numPr>
      </w:pPr>
      <w:r w:rsidRPr="00B450EB">
        <w:t>S</w:t>
      </w:r>
      <w:r w:rsidR="00EC7520" w:rsidRPr="00B450EB">
        <w:t>I</w:t>
      </w:r>
      <w:r w:rsidRPr="00B450EB">
        <w:t>NCHI. (2018). Evaluación de la conectividad ecológica en la Amazonía colombiana utilizando especies focales. Bogotá.</w:t>
      </w:r>
    </w:p>
    <w:p w14:paraId="71CA08FB" w14:textId="764978B4" w:rsidR="00934664" w:rsidRPr="00B450EB" w:rsidRDefault="00934664" w:rsidP="00934664">
      <w:pPr>
        <w:pStyle w:val="Prrafodelista"/>
        <w:numPr>
          <w:ilvl w:val="0"/>
          <w:numId w:val="28"/>
        </w:numPr>
      </w:pPr>
      <w:r w:rsidRPr="00B450EB">
        <w:t>S</w:t>
      </w:r>
      <w:r w:rsidR="00EC7520" w:rsidRPr="00B450EB">
        <w:t>I</w:t>
      </w:r>
      <w:r w:rsidRPr="00B450EB">
        <w:t>NCHI. (2023). Informe sobre la biodiversidad íctica de la Amazonia colombiana. Bogotá.</w:t>
      </w:r>
    </w:p>
    <w:p w14:paraId="6EC77E1E" w14:textId="0DFA398E" w:rsidR="00934664" w:rsidRPr="00B450EB" w:rsidRDefault="00934664" w:rsidP="00934664">
      <w:pPr>
        <w:pStyle w:val="Prrafodelista"/>
        <w:numPr>
          <w:ilvl w:val="0"/>
          <w:numId w:val="28"/>
        </w:numPr>
      </w:pPr>
      <w:r w:rsidRPr="00B450EB">
        <w:t>S</w:t>
      </w:r>
      <w:r w:rsidR="00EC7520" w:rsidRPr="00B450EB">
        <w:t>I</w:t>
      </w:r>
      <w:r w:rsidRPr="00B450EB">
        <w:t>NCHI. (2024). Núcleos de desarrollo forestal y de la biodiversidad. https://siatac.co/nucleos</w:t>
      </w:r>
    </w:p>
    <w:p w14:paraId="763E2554" w14:textId="27B5B0AD" w:rsidR="00934664" w:rsidRPr="00B450EB" w:rsidRDefault="00934664" w:rsidP="00934664">
      <w:pPr>
        <w:pStyle w:val="Prrafodelista"/>
        <w:numPr>
          <w:ilvl w:val="0"/>
          <w:numId w:val="28"/>
        </w:numPr>
      </w:pPr>
      <w:r w:rsidRPr="00B450EB">
        <w:rPr>
          <w:lang w:val="en-US"/>
        </w:rPr>
        <w:t xml:space="preserve">Serrao, E. A. S., Nepstad, D., &amp; Walker, R. (1996). Upland agricultural and forestry development in the Amazon. </w:t>
      </w:r>
      <w:proofErr w:type="spellStart"/>
      <w:r w:rsidRPr="00B450EB">
        <w:t>Ecological</w:t>
      </w:r>
      <w:proofErr w:type="spellEnd"/>
      <w:r w:rsidRPr="00B450EB">
        <w:t xml:space="preserve"> </w:t>
      </w:r>
      <w:proofErr w:type="spellStart"/>
      <w:r w:rsidRPr="00B450EB">
        <w:t>Economics</w:t>
      </w:r>
      <w:proofErr w:type="spellEnd"/>
      <w:r w:rsidRPr="00B450EB">
        <w:t>, 18(1), 3–13.</w:t>
      </w:r>
    </w:p>
    <w:p w14:paraId="492AFF07" w14:textId="5E0BE817" w:rsidR="00934664" w:rsidRPr="00B450EB" w:rsidRDefault="00934664" w:rsidP="00934664">
      <w:pPr>
        <w:pStyle w:val="Prrafodelista"/>
        <w:numPr>
          <w:ilvl w:val="0"/>
          <w:numId w:val="28"/>
        </w:numPr>
      </w:pPr>
      <w:r w:rsidRPr="00B450EB">
        <w:lastRenderedPageBreak/>
        <w:t>Servicio Geológico Colombiano. (2015). Modelo Hidrogeológico de Inírida. Bogotá.</w:t>
      </w:r>
    </w:p>
    <w:p w14:paraId="11867E98" w14:textId="6A23B0E1" w:rsidR="00934664" w:rsidRPr="00B450EB" w:rsidRDefault="00934664" w:rsidP="00934664">
      <w:pPr>
        <w:pStyle w:val="Prrafodelista"/>
        <w:numPr>
          <w:ilvl w:val="0"/>
          <w:numId w:val="28"/>
        </w:numPr>
      </w:pPr>
      <w:r w:rsidRPr="00B450EB">
        <w:t>Servicio Geológico Colombiano. (2016). Modelo Hidrogeológico de San José del Guaviare. Bogotá.</w:t>
      </w:r>
    </w:p>
    <w:p w14:paraId="6FB358E5" w14:textId="32C759B4" w:rsidR="00934664" w:rsidRPr="00B450EB" w:rsidRDefault="00934664" w:rsidP="00934664">
      <w:pPr>
        <w:pStyle w:val="Prrafodelista"/>
        <w:numPr>
          <w:ilvl w:val="0"/>
          <w:numId w:val="28"/>
        </w:numPr>
      </w:pPr>
      <w:r w:rsidRPr="00B450EB">
        <w:t>Servicio Geológico Colombiano – Parques Nacionales Naturales de Colombia. (2025). Estudios del ciclo del agua en Chingaza.</w:t>
      </w:r>
    </w:p>
    <w:p w14:paraId="4E663490" w14:textId="682993A0" w:rsidR="00934664" w:rsidRPr="00B450EB" w:rsidRDefault="00934664" w:rsidP="00934664">
      <w:pPr>
        <w:pStyle w:val="Prrafodelista"/>
        <w:numPr>
          <w:ilvl w:val="0"/>
          <w:numId w:val="28"/>
        </w:numPr>
      </w:pPr>
      <w:r w:rsidRPr="00B450EB">
        <w:t>SGC. (2023). Mapa Geológico de Colombia 2023.</w:t>
      </w:r>
    </w:p>
    <w:p w14:paraId="41FB5D64" w14:textId="343AF44C" w:rsidR="00934664" w:rsidRPr="00B450EB" w:rsidRDefault="00934664" w:rsidP="00934664">
      <w:pPr>
        <w:pStyle w:val="Prrafodelista"/>
        <w:numPr>
          <w:ilvl w:val="0"/>
          <w:numId w:val="28"/>
        </w:numPr>
      </w:pPr>
      <w:r w:rsidRPr="00B450EB">
        <w:t>SGC &amp; PNN. (2025). Estudio de isotopía de aguas en el páramo de Chingaza.</w:t>
      </w:r>
    </w:p>
    <w:p w14:paraId="633AA070" w14:textId="1B5B87CF" w:rsidR="00934664" w:rsidRPr="00B450EB" w:rsidRDefault="00934664" w:rsidP="00934664">
      <w:pPr>
        <w:pStyle w:val="Prrafodelista"/>
        <w:numPr>
          <w:ilvl w:val="0"/>
          <w:numId w:val="28"/>
        </w:numPr>
      </w:pPr>
      <w:r w:rsidRPr="00B450EB">
        <w:t>SHI S.A.S. (2023, octubre). Evaluación hidrogeológica, de vulnerabilidad y de riesgo en Leticia (Colombia) y Tabatinga (Brasil).</w:t>
      </w:r>
    </w:p>
    <w:p w14:paraId="5B29E418" w14:textId="73C0D1CB" w:rsidR="00934664" w:rsidRPr="00B450EB" w:rsidRDefault="00934664" w:rsidP="00934664">
      <w:pPr>
        <w:pStyle w:val="Prrafodelista"/>
        <w:numPr>
          <w:ilvl w:val="0"/>
          <w:numId w:val="28"/>
        </w:numPr>
      </w:pPr>
      <w:proofErr w:type="spellStart"/>
      <w:r w:rsidRPr="00B450EB">
        <w:t>SiB</w:t>
      </w:r>
      <w:proofErr w:type="spellEnd"/>
      <w:r w:rsidRPr="00B450EB">
        <w:t xml:space="preserve"> Colombia. (2025, septiembre 10). Catálogo de la Biodiversidad de Colombia. https://colecciones.biodiversidad.co/</w:t>
      </w:r>
    </w:p>
    <w:p w14:paraId="71204CC6" w14:textId="6B63D31F" w:rsidR="00934664" w:rsidRPr="00B450EB" w:rsidRDefault="00934664" w:rsidP="00934664">
      <w:pPr>
        <w:pStyle w:val="Prrafodelista"/>
        <w:numPr>
          <w:ilvl w:val="0"/>
          <w:numId w:val="28"/>
        </w:numPr>
      </w:pPr>
      <w:r w:rsidRPr="00B450EB">
        <w:rPr>
          <w:lang w:val="en-US"/>
        </w:rPr>
        <w:t xml:space="preserve">Silva, C. (2020). Estimating the multi-decadal carbon deficit of burned Amazonian forests. </w:t>
      </w:r>
      <w:proofErr w:type="spellStart"/>
      <w:r w:rsidRPr="00B450EB">
        <w:t>Environ</w:t>
      </w:r>
      <w:proofErr w:type="spellEnd"/>
      <w:r w:rsidRPr="00B450EB">
        <w:t xml:space="preserve">. Res. </w:t>
      </w:r>
      <w:proofErr w:type="spellStart"/>
      <w:r w:rsidRPr="00B450EB">
        <w:t>Lett</w:t>
      </w:r>
      <w:proofErr w:type="spellEnd"/>
      <w:r w:rsidRPr="00B450EB">
        <w:t>. 15, 114023.</w:t>
      </w:r>
    </w:p>
    <w:p w14:paraId="7F2E42E2" w14:textId="1C250C72" w:rsidR="00934664" w:rsidRPr="00B450EB" w:rsidRDefault="00934664" w:rsidP="00934664">
      <w:pPr>
        <w:pStyle w:val="Prrafodelista"/>
        <w:numPr>
          <w:ilvl w:val="0"/>
          <w:numId w:val="28"/>
        </w:numPr>
      </w:pPr>
      <w:r w:rsidRPr="00B450EB">
        <w:t>SINCHI. (2022). Dinámicas socioambientales en la Amazonia 2022. https://ierna.sinchi.org.co/informe/06-dinamicas-sociambientales-en-la-amazonia-2022/</w:t>
      </w:r>
    </w:p>
    <w:p w14:paraId="2CC8DB27" w14:textId="602E6516" w:rsidR="00934664" w:rsidRPr="00B450EB" w:rsidRDefault="00934664" w:rsidP="00934664">
      <w:pPr>
        <w:pStyle w:val="Prrafodelista"/>
        <w:numPr>
          <w:ilvl w:val="0"/>
          <w:numId w:val="28"/>
        </w:numPr>
      </w:pPr>
      <w:r w:rsidRPr="00B450EB">
        <w:t>SINCHI. (2014). Conocimiento tradicional: clave para el desarrollo sostenible en la Amazonia colombiana.</w:t>
      </w:r>
    </w:p>
    <w:p w14:paraId="308C352B" w14:textId="5CE1AC82" w:rsidR="00934664" w:rsidRPr="00B450EB" w:rsidRDefault="00934664" w:rsidP="00934664">
      <w:pPr>
        <w:pStyle w:val="Prrafodelista"/>
        <w:numPr>
          <w:ilvl w:val="0"/>
          <w:numId w:val="28"/>
        </w:numPr>
      </w:pPr>
      <w:r w:rsidRPr="00B450EB">
        <w:t>SINCHI. (2021). Anillo de poblamiento en la Amazonia colombiana. https://sinchi.org.co/anillo-de-poblamiento-en-la-amazonia-colombiana</w:t>
      </w:r>
    </w:p>
    <w:p w14:paraId="0DE08FD6" w14:textId="3EDF41D2" w:rsidR="00934664" w:rsidRPr="00B450EB" w:rsidRDefault="00934664" w:rsidP="00934664">
      <w:pPr>
        <w:pStyle w:val="Prrafodelista"/>
        <w:numPr>
          <w:ilvl w:val="0"/>
          <w:numId w:val="28"/>
        </w:numPr>
      </w:pPr>
      <w:r w:rsidRPr="00B450EB">
        <w:t>SINCHI. (2022). Población, territorios y ciudades sostenibles 2022. https://ierna.sinchi.org.co/informe/11-poblacion-territorios-y-ciudades-sostenibles-2022/</w:t>
      </w:r>
    </w:p>
    <w:p w14:paraId="7AFAB6B7" w14:textId="5F1A6A48" w:rsidR="00934664" w:rsidRPr="00B450EB" w:rsidRDefault="00934664" w:rsidP="00934664">
      <w:pPr>
        <w:pStyle w:val="Prrafodelista"/>
        <w:numPr>
          <w:ilvl w:val="0"/>
          <w:numId w:val="28"/>
        </w:numPr>
      </w:pPr>
      <w:proofErr w:type="spellStart"/>
      <w:r w:rsidRPr="00B450EB">
        <w:rPr>
          <w:lang w:val="en-US"/>
        </w:rPr>
        <w:t>Sioli</w:t>
      </w:r>
      <w:proofErr w:type="spellEnd"/>
      <w:r w:rsidRPr="00B450EB">
        <w:rPr>
          <w:lang w:val="en-US"/>
        </w:rPr>
        <w:t xml:space="preserve">, H. (1984). The Amazon and its main affluents. In H. </w:t>
      </w:r>
      <w:proofErr w:type="spellStart"/>
      <w:r w:rsidRPr="00B450EB">
        <w:rPr>
          <w:lang w:val="en-US"/>
        </w:rPr>
        <w:t>Sioli</w:t>
      </w:r>
      <w:proofErr w:type="spellEnd"/>
      <w:r w:rsidRPr="00B450EB">
        <w:rPr>
          <w:lang w:val="en-US"/>
        </w:rPr>
        <w:t xml:space="preserve"> (Ed.), The Amazon: Limnology and landscape ecology of a mighty tropical river and its basin (pp. 127–165). </w:t>
      </w:r>
      <w:r w:rsidRPr="00B450EB">
        <w:t>Springer.</w:t>
      </w:r>
    </w:p>
    <w:p w14:paraId="7F409099" w14:textId="0984FCFB" w:rsidR="00934664" w:rsidRPr="00B450EB" w:rsidRDefault="00934664" w:rsidP="00934664">
      <w:pPr>
        <w:pStyle w:val="Prrafodelista"/>
        <w:numPr>
          <w:ilvl w:val="0"/>
          <w:numId w:val="28"/>
        </w:numPr>
      </w:pPr>
      <w:r w:rsidRPr="00B450EB">
        <w:t>Suárez-Castro, Andrés F., Ramírez-Chaves, Héctor E., Noguera-Urbano, Elkin A., Velásquez-</w:t>
      </w:r>
      <w:proofErr w:type="spellStart"/>
      <w:r w:rsidRPr="00B450EB">
        <w:t>Tibatá</w:t>
      </w:r>
      <w:proofErr w:type="spellEnd"/>
      <w:r w:rsidRPr="00B450EB">
        <w:t xml:space="preserve">, Jorge, González-Maya, José F., &amp; Lizcano, Diego </w:t>
      </w:r>
      <w:proofErr w:type="gramStart"/>
      <w:r w:rsidRPr="00B450EB">
        <w:t>J..</w:t>
      </w:r>
      <w:proofErr w:type="gramEnd"/>
      <w:r w:rsidRPr="00B450EB">
        <w:t xml:space="preserve"> (2021). Vacíos de información espacial sobre la riqueza de mamíferos terrestres continentales de Colombia. </w:t>
      </w:r>
      <w:proofErr w:type="spellStart"/>
      <w:r w:rsidRPr="00B450EB">
        <w:t>Caldasia</w:t>
      </w:r>
      <w:proofErr w:type="spellEnd"/>
      <w:r w:rsidRPr="00B450EB">
        <w:t>, 43(2), 247-260. https://doi.org/10.15446/caldasia.v43n2.85443</w:t>
      </w:r>
    </w:p>
    <w:p w14:paraId="6AF8432D" w14:textId="107B5500" w:rsidR="00934664" w:rsidRPr="00B450EB" w:rsidRDefault="00934664" w:rsidP="00934664">
      <w:pPr>
        <w:pStyle w:val="Prrafodelista"/>
        <w:numPr>
          <w:ilvl w:val="0"/>
          <w:numId w:val="28"/>
        </w:numPr>
      </w:pPr>
      <w:r w:rsidRPr="00B450EB">
        <w:rPr>
          <w:lang w:val="en-US"/>
        </w:rPr>
        <w:t xml:space="preserve">Theobald, D. M. (2006). Connectivity: A review of recent work and methods. </w:t>
      </w:r>
      <w:proofErr w:type="spellStart"/>
      <w:r w:rsidRPr="00B450EB">
        <w:t>Conservation</w:t>
      </w:r>
      <w:proofErr w:type="spellEnd"/>
      <w:r w:rsidRPr="00B450EB">
        <w:t xml:space="preserve"> </w:t>
      </w:r>
      <w:proofErr w:type="spellStart"/>
      <w:r w:rsidRPr="00B450EB">
        <w:t>Biology</w:t>
      </w:r>
      <w:proofErr w:type="spellEnd"/>
      <w:r w:rsidRPr="00B450EB">
        <w:t>, 20(1), 56-65.</w:t>
      </w:r>
    </w:p>
    <w:p w14:paraId="51361074" w14:textId="2D3EE5AE" w:rsidR="00934664" w:rsidRPr="00B450EB" w:rsidRDefault="00934664" w:rsidP="00934664">
      <w:pPr>
        <w:pStyle w:val="Prrafodelista"/>
        <w:numPr>
          <w:ilvl w:val="0"/>
          <w:numId w:val="28"/>
        </w:numPr>
      </w:pPr>
      <w:r w:rsidRPr="00B450EB">
        <w:rPr>
          <w:lang w:val="en-US"/>
        </w:rPr>
        <w:t>Tiwari, R. (2020</w:t>
      </w:r>
      <w:proofErr w:type="gramStart"/>
      <w:r w:rsidRPr="00B450EB">
        <w:rPr>
          <w:lang w:val="en-US"/>
        </w:rPr>
        <w:t>).Photosynthetic</w:t>
      </w:r>
      <w:proofErr w:type="gramEnd"/>
      <w:r w:rsidRPr="00B450EB">
        <w:rPr>
          <w:lang w:val="en-US"/>
        </w:rPr>
        <w:t xml:space="preserve"> quantum efficiency in south-eastern Amazonian trees may be already affected by climate change. </w:t>
      </w:r>
      <w:proofErr w:type="spellStart"/>
      <w:r w:rsidRPr="00B450EB">
        <w:t>Plant</w:t>
      </w:r>
      <w:proofErr w:type="spellEnd"/>
      <w:r w:rsidRPr="00B450EB">
        <w:t xml:space="preserve"> Cell </w:t>
      </w:r>
      <w:proofErr w:type="spellStart"/>
      <w:r w:rsidRPr="00B450EB">
        <w:t>Environ</w:t>
      </w:r>
      <w:proofErr w:type="spellEnd"/>
      <w:r w:rsidRPr="00B450EB">
        <w:t>. https://doi.org/10.1111/pce.13770 (2020).</w:t>
      </w:r>
    </w:p>
    <w:p w14:paraId="22221CC4" w14:textId="3AC6D0FA" w:rsidR="00934664" w:rsidRPr="00B450EB" w:rsidRDefault="00934664" w:rsidP="00934664">
      <w:pPr>
        <w:pStyle w:val="Prrafodelista"/>
        <w:numPr>
          <w:ilvl w:val="0"/>
          <w:numId w:val="28"/>
        </w:numPr>
      </w:pPr>
      <w:r w:rsidRPr="00B450EB">
        <w:t xml:space="preserve">TNC. (2016). Informe sobre la deforestación en la región Amazónica y sus principales causas. </w:t>
      </w:r>
      <w:proofErr w:type="spellStart"/>
      <w:r w:rsidRPr="00B450EB">
        <w:t>The</w:t>
      </w:r>
      <w:proofErr w:type="spellEnd"/>
      <w:r w:rsidRPr="00B450EB">
        <w:t xml:space="preserve"> </w:t>
      </w:r>
      <w:proofErr w:type="spellStart"/>
      <w:r w:rsidRPr="00B450EB">
        <w:t>Nature</w:t>
      </w:r>
      <w:proofErr w:type="spellEnd"/>
      <w:r w:rsidRPr="00B450EB">
        <w:t xml:space="preserve"> </w:t>
      </w:r>
      <w:proofErr w:type="spellStart"/>
      <w:r w:rsidRPr="00B450EB">
        <w:t>Conservancy</w:t>
      </w:r>
      <w:proofErr w:type="spellEnd"/>
      <w:r w:rsidRPr="00B450EB">
        <w:t>.</w:t>
      </w:r>
    </w:p>
    <w:p w14:paraId="11B650E4" w14:textId="634854D7" w:rsidR="00934664" w:rsidRPr="00B450EB" w:rsidRDefault="00934664" w:rsidP="00934664">
      <w:pPr>
        <w:pStyle w:val="Prrafodelista"/>
        <w:numPr>
          <w:ilvl w:val="0"/>
          <w:numId w:val="28"/>
        </w:numPr>
      </w:pPr>
      <w:r w:rsidRPr="00B450EB">
        <w:lastRenderedPageBreak/>
        <w:t xml:space="preserve">UICN, G. de especialistas en anfibios de la C. de la </w:t>
      </w:r>
      <w:proofErr w:type="spellStart"/>
      <w:r w:rsidRPr="00B450EB">
        <w:t>Esplendida</w:t>
      </w:r>
      <w:proofErr w:type="spellEnd"/>
      <w:r w:rsidRPr="00B450EB">
        <w:t xml:space="preserve"> rana venenosa </w:t>
      </w:r>
      <w:proofErr w:type="spellStart"/>
      <w:r w:rsidRPr="00B450EB">
        <w:t>Available</w:t>
      </w:r>
      <w:proofErr w:type="spellEnd"/>
      <w:r w:rsidRPr="00B450EB">
        <w:t xml:space="preserve"> online: https://www.iucnredlist.org/species/55201/54344718 (</w:t>
      </w:r>
      <w:proofErr w:type="spellStart"/>
      <w:r w:rsidRPr="00B450EB">
        <w:t>accessed</w:t>
      </w:r>
      <w:proofErr w:type="spellEnd"/>
      <w:r w:rsidRPr="00B450EB">
        <w:t xml:space="preserve"> </w:t>
      </w:r>
      <w:proofErr w:type="spellStart"/>
      <w:r w:rsidRPr="00B450EB">
        <w:t>on</w:t>
      </w:r>
      <w:proofErr w:type="spellEnd"/>
      <w:r w:rsidRPr="00B450EB">
        <w:t xml:space="preserve"> Nov 11, 2021).</w:t>
      </w:r>
    </w:p>
    <w:p w14:paraId="1A49EB76" w14:textId="63EB0EAD" w:rsidR="00934664" w:rsidRPr="00B450EB" w:rsidRDefault="00934664" w:rsidP="00934664">
      <w:pPr>
        <w:pStyle w:val="Prrafodelista"/>
        <w:numPr>
          <w:ilvl w:val="0"/>
          <w:numId w:val="28"/>
        </w:numPr>
      </w:pPr>
      <w:r w:rsidRPr="00B450EB">
        <w:t>UNAL Medellín. (2021, enero 28). Los ríos voladores de Suramérica: una maravilla en peligro. https://fcds.org.co/los-rios-voladores-de-suramerica-una-maravilla-en-peligro/</w:t>
      </w:r>
    </w:p>
    <w:p w14:paraId="20DABCED" w14:textId="4F58C77A" w:rsidR="00934664" w:rsidRPr="00B450EB" w:rsidRDefault="00934664" w:rsidP="00934664">
      <w:pPr>
        <w:pStyle w:val="Prrafodelista"/>
        <w:numPr>
          <w:ilvl w:val="0"/>
          <w:numId w:val="28"/>
        </w:numPr>
      </w:pPr>
      <w:r w:rsidRPr="00B450EB">
        <w:t>UNESCO. (2007). Sistemas Acuíferos Transfronterizos en las Américas: evaluación preliminar.</w:t>
      </w:r>
    </w:p>
    <w:p w14:paraId="028E8646" w14:textId="64213708" w:rsidR="00934664" w:rsidRPr="00B450EB" w:rsidRDefault="00934664" w:rsidP="00934664">
      <w:pPr>
        <w:pStyle w:val="Prrafodelista"/>
        <w:numPr>
          <w:ilvl w:val="0"/>
          <w:numId w:val="28"/>
        </w:numPr>
      </w:pPr>
      <w:r w:rsidRPr="00B450EB">
        <w:t>UNODC. (2023). Monitoreo de los territorios con presencia de cultivos de coca 2023. Resumen Ejecutivo. Bogotá.</w:t>
      </w:r>
    </w:p>
    <w:p w14:paraId="30C1EB6B" w14:textId="2214A009" w:rsidR="00934664" w:rsidRPr="00B450EB" w:rsidRDefault="00934664" w:rsidP="00934664">
      <w:pPr>
        <w:pStyle w:val="Prrafodelista"/>
        <w:numPr>
          <w:ilvl w:val="0"/>
          <w:numId w:val="28"/>
        </w:numPr>
      </w:pPr>
      <w:r w:rsidRPr="00B450EB">
        <w:t xml:space="preserve">Uriel Murcia García, N. Q. (2016). ¿Vamos a detener la </w:t>
      </w:r>
      <w:proofErr w:type="spellStart"/>
      <w:r w:rsidRPr="00B450EB">
        <w:t>praderización</w:t>
      </w:r>
      <w:proofErr w:type="spellEnd"/>
      <w:r w:rsidRPr="00B450EB">
        <w:t xml:space="preserve"> en la Amazonía? Revista Colombia Amazónica. https://sinchi.org.co/files/publicaciones/revista/pdf/9/6...pdf</w:t>
      </w:r>
    </w:p>
    <w:p w14:paraId="1A71465C" w14:textId="1F390A34" w:rsidR="00934664" w:rsidRPr="00B450EB" w:rsidRDefault="00934664" w:rsidP="00934664">
      <w:pPr>
        <w:pStyle w:val="Prrafodelista"/>
        <w:numPr>
          <w:ilvl w:val="0"/>
          <w:numId w:val="28"/>
        </w:numPr>
      </w:pPr>
      <w:r w:rsidRPr="00B450EB">
        <w:rPr>
          <w:lang w:val="en-US"/>
        </w:rPr>
        <w:t xml:space="preserve">Val, A. L. (2019). Adaptations of fishes to tropical rivers and floodplains. </w:t>
      </w:r>
      <w:proofErr w:type="spellStart"/>
      <w:r w:rsidRPr="00B450EB">
        <w:t>Brazilian</w:t>
      </w:r>
      <w:proofErr w:type="spellEnd"/>
      <w:r w:rsidRPr="00B450EB">
        <w:t xml:space="preserve"> </w:t>
      </w:r>
      <w:proofErr w:type="spellStart"/>
      <w:r w:rsidRPr="00B450EB">
        <w:t>Journal</w:t>
      </w:r>
      <w:proofErr w:type="spellEnd"/>
      <w:r w:rsidRPr="00B450EB">
        <w:t xml:space="preserve"> </w:t>
      </w:r>
      <w:proofErr w:type="spellStart"/>
      <w:r w:rsidRPr="00B450EB">
        <w:t>of</w:t>
      </w:r>
      <w:proofErr w:type="spellEnd"/>
      <w:r w:rsidRPr="00B450EB">
        <w:t xml:space="preserve"> </w:t>
      </w:r>
      <w:proofErr w:type="spellStart"/>
      <w:r w:rsidRPr="00B450EB">
        <w:t>Biology</w:t>
      </w:r>
      <w:proofErr w:type="spellEnd"/>
      <w:r w:rsidRPr="00B450EB">
        <w:t>, 79(2), 183–192.</w:t>
      </w:r>
    </w:p>
    <w:p w14:paraId="06A503C7" w14:textId="4DB89484" w:rsidR="00934664" w:rsidRPr="00B450EB" w:rsidRDefault="00934664" w:rsidP="00934664">
      <w:pPr>
        <w:pStyle w:val="Prrafodelista"/>
        <w:numPr>
          <w:ilvl w:val="0"/>
          <w:numId w:val="28"/>
        </w:numPr>
      </w:pPr>
      <w:r w:rsidRPr="00B450EB">
        <w:rPr>
          <w:lang w:val="pt-PT"/>
        </w:rPr>
        <w:t xml:space="preserve">Val, A. L., &amp; Almeida-Val, V. M. F. (1995). </w:t>
      </w:r>
      <w:r w:rsidRPr="00B450EB">
        <w:rPr>
          <w:lang w:val="en-US"/>
        </w:rPr>
        <w:t xml:space="preserve">Fishes of the Amazon and their environment: Physiological and biochemical aspects. </w:t>
      </w:r>
      <w:r w:rsidRPr="00B450EB">
        <w:t>Springer.</w:t>
      </w:r>
    </w:p>
    <w:p w14:paraId="038EA04B" w14:textId="590E4C8E" w:rsidR="00934664" w:rsidRPr="00B450EB" w:rsidRDefault="00934664" w:rsidP="00934664">
      <w:pPr>
        <w:pStyle w:val="Prrafodelista"/>
        <w:numPr>
          <w:ilvl w:val="0"/>
          <w:numId w:val="28"/>
        </w:numPr>
      </w:pPr>
      <w:r w:rsidRPr="00B450EB">
        <w:rPr>
          <w:lang w:val="pt-PT"/>
        </w:rPr>
        <w:t xml:space="preserve">Val, P., Figueiredo, J., Melo, G., et al. </w:t>
      </w:r>
      <w:r w:rsidRPr="00B450EB">
        <w:rPr>
          <w:lang w:val="en-US"/>
        </w:rPr>
        <w:t xml:space="preserve">(2021). Geological history and geodiversity of the Amazon. </w:t>
      </w:r>
      <w:r w:rsidRPr="00B450EB">
        <w:t xml:space="preserve">Amazon </w:t>
      </w:r>
      <w:proofErr w:type="spellStart"/>
      <w:r w:rsidRPr="00B450EB">
        <w:t>assessment</w:t>
      </w:r>
      <w:proofErr w:type="spellEnd"/>
      <w:r w:rsidRPr="00B450EB">
        <w:t xml:space="preserve"> </w:t>
      </w:r>
      <w:proofErr w:type="spellStart"/>
      <w:r w:rsidRPr="00B450EB">
        <w:t>report</w:t>
      </w:r>
      <w:proofErr w:type="spellEnd"/>
      <w:r w:rsidRPr="00B450EB">
        <w:t>, 1-41.</w:t>
      </w:r>
    </w:p>
    <w:p w14:paraId="11A81D2A" w14:textId="18067753" w:rsidR="00934664" w:rsidRPr="00B450EB" w:rsidRDefault="00934664" w:rsidP="00934664">
      <w:pPr>
        <w:pStyle w:val="Prrafodelista"/>
        <w:numPr>
          <w:ilvl w:val="0"/>
          <w:numId w:val="28"/>
        </w:numPr>
        <w:rPr>
          <w:lang w:val="en-US"/>
        </w:rPr>
      </w:pPr>
      <w:r w:rsidRPr="00B450EB">
        <w:t xml:space="preserve">Van </w:t>
      </w:r>
      <w:proofErr w:type="spellStart"/>
      <w:r w:rsidRPr="00B450EB">
        <w:t>der</w:t>
      </w:r>
      <w:proofErr w:type="spellEnd"/>
      <w:r w:rsidRPr="00B450EB">
        <w:t xml:space="preserve"> </w:t>
      </w:r>
      <w:proofErr w:type="spellStart"/>
      <w:r w:rsidRPr="00B450EB">
        <w:t>Ent</w:t>
      </w:r>
      <w:proofErr w:type="spellEnd"/>
      <w:r w:rsidRPr="00B450EB">
        <w:t xml:space="preserve">, R. J.-D. (2010, septiembre 22). </w:t>
      </w:r>
      <w:r w:rsidRPr="00B450EB">
        <w:rPr>
          <w:lang w:val="en-US"/>
        </w:rPr>
        <w:t>Origin and fate of atmospheric moisture over continents. https://agupubs.onlinelibrary.wiley.com/doi/10.1029/2010WR009127</w:t>
      </w:r>
    </w:p>
    <w:p w14:paraId="79738568" w14:textId="5A0BF491" w:rsidR="00934664" w:rsidRPr="00B450EB" w:rsidRDefault="00934664" w:rsidP="00934664">
      <w:pPr>
        <w:pStyle w:val="Prrafodelista"/>
        <w:numPr>
          <w:ilvl w:val="0"/>
          <w:numId w:val="28"/>
        </w:numPr>
      </w:pPr>
      <w:r w:rsidRPr="00B450EB">
        <w:t>Vanegas, S. (2017). Conectividad funcional en la ecología del movimiento. Revista Colombiana de Ecología, 19(3), 111-120.  Bogotá, Colombia: Fundación para la Conservación y el Desarrollo Sostenible (FCDS).</w:t>
      </w:r>
    </w:p>
    <w:p w14:paraId="5FD1ECFA" w14:textId="09CEA504" w:rsidR="00934664" w:rsidRPr="00B450EB" w:rsidRDefault="00934664" w:rsidP="00934664">
      <w:pPr>
        <w:pStyle w:val="Prrafodelista"/>
        <w:numPr>
          <w:ilvl w:val="0"/>
          <w:numId w:val="28"/>
        </w:numPr>
      </w:pPr>
      <w:r w:rsidRPr="00B450EB">
        <w:t>Vargas Cuervo, G. (2017). Indicadores geológicos y geomorfológicos asociados a pinturas rupestres del PNN Serranía de Chiribiquete. Revista Colombia Amazónica, 10.</w:t>
      </w:r>
    </w:p>
    <w:p w14:paraId="137D18F3" w14:textId="10C5266F" w:rsidR="00934664" w:rsidRPr="00B450EB" w:rsidRDefault="00934664" w:rsidP="00934664">
      <w:pPr>
        <w:pStyle w:val="Prrafodelista"/>
        <w:numPr>
          <w:ilvl w:val="0"/>
          <w:numId w:val="28"/>
        </w:numPr>
      </w:pPr>
      <w:r w:rsidRPr="00B450EB">
        <w:t>Vargas-Guardiola, O. (2025). Generación de un modelo hidrogeológico conceptual en Puerto Nariño, Amazonas.</w:t>
      </w:r>
    </w:p>
    <w:p w14:paraId="4132EBDB" w14:textId="1DE7C901" w:rsidR="00934664" w:rsidRPr="00B450EB" w:rsidRDefault="00934664" w:rsidP="00934664">
      <w:pPr>
        <w:pStyle w:val="Prrafodelista"/>
        <w:numPr>
          <w:ilvl w:val="0"/>
          <w:numId w:val="28"/>
        </w:numPr>
      </w:pPr>
      <w:r w:rsidRPr="00B450EB">
        <w:t xml:space="preserve">Vásquez, C. (2024). Pérdida de conectividad y deforestación en la Amazonía colombiana. </w:t>
      </w:r>
      <w:proofErr w:type="spellStart"/>
      <w:r w:rsidRPr="00B450EB">
        <w:t>Ecological</w:t>
      </w:r>
      <w:proofErr w:type="spellEnd"/>
      <w:r w:rsidRPr="00B450EB">
        <w:t xml:space="preserve"> </w:t>
      </w:r>
      <w:proofErr w:type="spellStart"/>
      <w:r w:rsidRPr="00B450EB">
        <w:t>Insights</w:t>
      </w:r>
      <w:proofErr w:type="spellEnd"/>
      <w:r w:rsidRPr="00B450EB">
        <w:t>, 25(2), 45-59.</w:t>
      </w:r>
    </w:p>
    <w:p w14:paraId="598F18A2" w14:textId="7D484A78" w:rsidR="00934664" w:rsidRPr="00B450EB" w:rsidRDefault="00934664" w:rsidP="00934664">
      <w:pPr>
        <w:pStyle w:val="Prrafodelista"/>
        <w:numPr>
          <w:ilvl w:val="0"/>
          <w:numId w:val="28"/>
        </w:numPr>
      </w:pPr>
      <w:proofErr w:type="spellStart"/>
      <w:r w:rsidRPr="00B450EB">
        <w:t>Vision</w:t>
      </w:r>
      <w:proofErr w:type="spellEnd"/>
      <w:r w:rsidRPr="00B450EB">
        <w:t xml:space="preserve"> Amazonia. (2024). Logros y avances de los núcleos de desarrollo forestal. https://visionamazonia.minambiente.gov.co.</w:t>
      </w:r>
    </w:p>
    <w:p w14:paraId="61B0E427" w14:textId="74672ECA" w:rsidR="00934664" w:rsidRPr="00B450EB" w:rsidRDefault="00934664" w:rsidP="00934664">
      <w:pPr>
        <w:pStyle w:val="Prrafodelista"/>
        <w:numPr>
          <w:ilvl w:val="0"/>
          <w:numId w:val="28"/>
        </w:numPr>
        <w:rPr>
          <w:lang w:val="en-US"/>
        </w:rPr>
      </w:pPr>
      <w:r w:rsidRPr="00B450EB">
        <w:rPr>
          <w:lang w:val="en-US"/>
        </w:rPr>
        <w:t>Walker, R. T. (2020). Collision Course: Development Pushes Amazonia Toward Its Tipping Point. Environment, 63(1), 15–25.</w:t>
      </w:r>
    </w:p>
    <w:p w14:paraId="5A2D9C2F" w14:textId="1AE7A690" w:rsidR="00934664" w:rsidRPr="00B450EB" w:rsidRDefault="00934664" w:rsidP="00934664">
      <w:pPr>
        <w:pStyle w:val="Prrafodelista"/>
        <w:numPr>
          <w:ilvl w:val="0"/>
          <w:numId w:val="28"/>
        </w:numPr>
        <w:rPr>
          <w:lang w:val="en-US"/>
        </w:rPr>
      </w:pPr>
      <w:r w:rsidRPr="00B450EB">
        <w:rPr>
          <w:lang w:val="en-US"/>
        </w:rPr>
        <w:t>Wang, H. L. (2024). Regional to global distributions of biogenic volatile organic compound emission from 2001 to 2020. Atmospheric Chemistry and Physics, 24, 3309–3345. https://doi.org/10.5194/acp-24-3309-2024</w:t>
      </w:r>
    </w:p>
    <w:p w14:paraId="22CDA61F" w14:textId="7385647D" w:rsidR="00934664" w:rsidRPr="00B450EB" w:rsidRDefault="00934664" w:rsidP="00934664">
      <w:pPr>
        <w:pStyle w:val="Prrafodelista"/>
        <w:numPr>
          <w:ilvl w:val="0"/>
          <w:numId w:val="28"/>
        </w:numPr>
      </w:pPr>
      <w:proofErr w:type="spellStart"/>
      <w:r w:rsidRPr="00B450EB">
        <w:lastRenderedPageBreak/>
        <w:t>World</w:t>
      </w:r>
      <w:proofErr w:type="spellEnd"/>
      <w:r w:rsidRPr="00B450EB">
        <w:t xml:space="preserve"> </w:t>
      </w:r>
      <w:proofErr w:type="spellStart"/>
      <w:r w:rsidRPr="00B450EB">
        <w:t>Economic</w:t>
      </w:r>
      <w:proofErr w:type="spellEnd"/>
      <w:r w:rsidRPr="00B450EB">
        <w:t xml:space="preserve"> </w:t>
      </w:r>
      <w:proofErr w:type="spellStart"/>
      <w:r w:rsidRPr="00B450EB">
        <w:t>Forum</w:t>
      </w:r>
      <w:proofErr w:type="spellEnd"/>
      <w:r w:rsidRPr="00B450EB">
        <w:t xml:space="preserve">. (2024). Qué son los ríos voladores y cómo les afecta la deforestación. </w:t>
      </w:r>
      <w:hyperlink r:id="rId204" w:history="1">
        <w:r w:rsidRPr="00B450EB">
          <w:rPr>
            <w:rStyle w:val="Hipervnculo"/>
          </w:rPr>
          <w:t>https://es.weforum.org/stories/</w:t>
        </w:r>
      </w:hyperlink>
    </w:p>
    <w:p w14:paraId="4597C662" w14:textId="187099E8" w:rsidR="00934664" w:rsidRPr="00B450EB" w:rsidRDefault="00934664" w:rsidP="00934664">
      <w:pPr>
        <w:pStyle w:val="Prrafodelista"/>
        <w:numPr>
          <w:ilvl w:val="0"/>
          <w:numId w:val="28"/>
        </w:numPr>
        <w:rPr>
          <w:lang w:val="en-US"/>
        </w:rPr>
      </w:pPr>
      <w:r w:rsidRPr="00B450EB">
        <w:rPr>
          <w:lang w:val="en-US"/>
        </w:rPr>
        <w:t xml:space="preserve">WWF (2016) Living Amazon Report 2016. Gland, Switzerland: </w:t>
      </w:r>
      <w:proofErr w:type="gramStart"/>
      <w:r w:rsidRPr="00B450EB">
        <w:rPr>
          <w:lang w:val="en-US"/>
        </w:rPr>
        <w:t>World Wide</w:t>
      </w:r>
      <w:proofErr w:type="gramEnd"/>
      <w:r w:rsidRPr="00B450EB">
        <w:rPr>
          <w:lang w:val="en-US"/>
        </w:rPr>
        <w:t xml:space="preserve"> Fund for Nature.</w:t>
      </w:r>
    </w:p>
    <w:p w14:paraId="466AAE15" w14:textId="7FE3DEB5" w:rsidR="00934664" w:rsidRPr="00B450EB" w:rsidRDefault="00934664" w:rsidP="00934664">
      <w:pPr>
        <w:pStyle w:val="Prrafodelista"/>
        <w:numPr>
          <w:ilvl w:val="0"/>
          <w:numId w:val="28"/>
        </w:numPr>
      </w:pPr>
      <w:r w:rsidRPr="00B450EB">
        <w:t>WWF Colombia. (2022). Amazonía en crisis: la pérdida de bosques amenaza a la región y al planeta. https://www.worldwildlife.org/descubre-wwf/historias/amazonia-en-crisis-la-perdida-de-bosques-amenaza-a-la-region-y-al-planeta</w:t>
      </w:r>
    </w:p>
    <w:p w14:paraId="275FB230" w14:textId="1D1B0F00" w:rsidR="00934664" w:rsidRPr="00B450EB" w:rsidRDefault="00934664" w:rsidP="00934664">
      <w:pPr>
        <w:pStyle w:val="Prrafodelista"/>
        <w:numPr>
          <w:ilvl w:val="0"/>
          <w:numId w:val="28"/>
        </w:numPr>
      </w:pPr>
      <w:r w:rsidRPr="00B450EB">
        <w:rPr>
          <w:lang w:val="en-US"/>
        </w:rPr>
        <w:t xml:space="preserve">Xu, X., Zhang, X., Wang, J., et al. (2022). Deforestation triggering irreversible transition in Amazon hydrological cycle. </w:t>
      </w:r>
      <w:proofErr w:type="spellStart"/>
      <w:r w:rsidRPr="00B450EB">
        <w:t>Environmental</w:t>
      </w:r>
      <w:proofErr w:type="spellEnd"/>
      <w:r w:rsidRPr="00B450EB">
        <w:t xml:space="preserve"> </w:t>
      </w:r>
      <w:proofErr w:type="spellStart"/>
      <w:r w:rsidRPr="00B450EB">
        <w:t>Research</w:t>
      </w:r>
      <w:proofErr w:type="spellEnd"/>
      <w:r w:rsidRPr="00B450EB">
        <w:t xml:space="preserve"> </w:t>
      </w:r>
      <w:proofErr w:type="spellStart"/>
      <w:r w:rsidRPr="00B450EB">
        <w:t>Letters</w:t>
      </w:r>
      <w:proofErr w:type="spellEnd"/>
      <w:r w:rsidRPr="00B450EB">
        <w:t>, 17(5).</w:t>
      </w:r>
    </w:p>
    <w:p w14:paraId="19713BEE" w14:textId="77777777" w:rsidR="00934664" w:rsidRPr="00B450EB" w:rsidRDefault="00934664" w:rsidP="00934664">
      <w:pPr>
        <w:rPr>
          <w:rFonts w:cs="Arial"/>
        </w:rPr>
      </w:pPr>
    </w:p>
    <w:p w14:paraId="7EAF7CB6" w14:textId="38804A8B" w:rsidR="00E94640" w:rsidRPr="00B450EB" w:rsidRDefault="00E94640" w:rsidP="001975A2">
      <w:pPr>
        <w:pStyle w:val="Ttulo1"/>
        <w:numPr>
          <w:ilvl w:val="0"/>
          <w:numId w:val="42"/>
        </w:numPr>
        <w:rPr>
          <w:rFonts w:cs="Arial"/>
        </w:rPr>
      </w:pPr>
      <w:bookmarkStart w:id="278" w:name="_Toc209722983"/>
      <w:r w:rsidRPr="00B450EB">
        <w:rPr>
          <w:rFonts w:cs="Arial"/>
        </w:rPr>
        <w:t>AN</w:t>
      </w:r>
      <w:r w:rsidR="006C0DFD" w:rsidRPr="00B450EB">
        <w:rPr>
          <w:rFonts w:cs="Arial"/>
        </w:rPr>
        <w:t>E</w:t>
      </w:r>
      <w:r w:rsidRPr="00B450EB">
        <w:rPr>
          <w:rFonts w:cs="Arial"/>
        </w:rPr>
        <w:t>XOS</w:t>
      </w:r>
      <w:bookmarkEnd w:id="278"/>
    </w:p>
    <w:p w14:paraId="1829D5F5" w14:textId="740E734C" w:rsidR="00B90EA5" w:rsidRPr="00B450EB" w:rsidRDefault="00B90EA5" w:rsidP="001975A2">
      <w:pPr>
        <w:pStyle w:val="Prrafodelista"/>
        <w:numPr>
          <w:ilvl w:val="1"/>
          <w:numId w:val="42"/>
        </w:numPr>
      </w:pPr>
      <w:r w:rsidRPr="00B450EB">
        <w:t>Limite cartográfico Bioma Amazónico</w:t>
      </w:r>
    </w:p>
    <w:p w14:paraId="153D243E" w14:textId="7C9C6DB6" w:rsidR="00F272B4" w:rsidRPr="00B450EB" w:rsidRDefault="00451DAA" w:rsidP="001975A2">
      <w:pPr>
        <w:pStyle w:val="Prrafodelista"/>
        <w:numPr>
          <w:ilvl w:val="1"/>
          <w:numId w:val="42"/>
        </w:numPr>
      </w:pPr>
      <w:r w:rsidRPr="00B450EB">
        <w:t>Listado</w:t>
      </w:r>
      <w:r w:rsidR="00F272B4" w:rsidRPr="00B450EB">
        <w:t xml:space="preserve"> Comunidades Étnica</w:t>
      </w:r>
      <w:r w:rsidRPr="00B450EB">
        <w:t xml:space="preserve"> - ANT</w:t>
      </w:r>
    </w:p>
    <w:p w14:paraId="4AE56AF5" w14:textId="6110AA45" w:rsidR="00F272B4" w:rsidRPr="00B450EB" w:rsidRDefault="00F272B4" w:rsidP="001975A2">
      <w:pPr>
        <w:pStyle w:val="Prrafodelista"/>
        <w:numPr>
          <w:ilvl w:val="1"/>
          <w:numId w:val="42"/>
        </w:numPr>
      </w:pPr>
      <w:r w:rsidRPr="00B450EB">
        <w:t>Matriz de Impactos</w:t>
      </w:r>
    </w:p>
    <w:p w14:paraId="60B3A5ED" w14:textId="34D117C2" w:rsidR="00E94640" w:rsidRPr="00EF1937" w:rsidRDefault="00E94640" w:rsidP="00377AD7">
      <w:pPr>
        <w:pStyle w:val="Descripcin"/>
        <w:rPr>
          <w:color w:val="auto"/>
        </w:rPr>
      </w:pPr>
    </w:p>
    <w:sectPr w:rsidR="00E94640" w:rsidRPr="00EF1937">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9B163" w14:textId="77777777" w:rsidR="00A05313" w:rsidRDefault="00A05313" w:rsidP="007F4F87">
      <w:pPr>
        <w:spacing w:after="0" w:line="240" w:lineRule="auto"/>
      </w:pPr>
      <w:r>
        <w:separator/>
      </w:r>
    </w:p>
  </w:endnote>
  <w:endnote w:type="continuationSeparator" w:id="0">
    <w:p w14:paraId="23407193" w14:textId="77777777" w:rsidR="00A05313" w:rsidRDefault="00A05313" w:rsidP="007F4F87">
      <w:pPr>
        <w:spacing w:after="0" w:line="240" w:lineRule="auto"/>
      </w:pPr>
      <w:r>
        <w:continuationSeparator/>
      </w:r>
    </w:p>
  </w:endnote>
  <w:endnote w:type="continuationNotice" w:id="1">
    <w:p w14:paraId="33673B1F" w14:textId="77777777" w:rsidR="00A05313" w:rsidRDefault="00A053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Arial Nova">
    <w:charset w:val="00"/>
    <w:family w:val="swiss"/>
    <w:pitch w:val="variable"/>
    <w:sig w:usb0="0000028F" w:usb1="00000002"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Source Sans Pro Light">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4505868"/>
      <w:docPartObj>
        <w:docPartGallery w:val="Page Numbers (Bottom of Page)"/>
        <w:docPartUnique/>
      </w:docPartObj>
    </w:sdtPr>
    <w:sdtEndPr>
      <w:rPr>
        <w:sz w:val="20"/>
        <w:szCs w:val="20"/>
      </w:rPr>
    </w:sdtEndPr>
    <w:sdtContent>
      <w:p w14:paraId="390B17FE" w14:textId="77777777" w:rsidR="00646FA6" w:rsidRPr="00CE0802" w:rsidRDefault="00646FA6">
        <w:pPr>
          <w:pStyle w:val="Piedepgina"/>
          <w:jc w:val="right"/>
          <w:rPr>
            <w:sz w:val="20"/>
            <w:szCs w:val="20"/>
          </w:rPr>
        </w:pPr>
        <w:r w:rsidRPr="00CE0802">
          <w:rPr>
            <w:sz w:val="20"/>
            <w:szCs w:val="20"/>
          </w:rPr>
          <w:fldChar w:fldCharType="begin"/>
        </w:r>
        <w:r w:rsidRPr="00CE0802">
          <w:rPr>
            <w:sz w:val="20"/>
            <w:szCs w:val="20"/>
          </w:rPr>
          <w:instrText>PAGE   \* MERGEFORMAT</w:instrText>
        </w:r>
        <w:r w:rsidRPr="00CE0802">
          <w:rPr>
            <w:sz w:val="20"/>
            <w:szCs w:val="20"/>
          </w:rPr>
          <w:fldChar w:fldCharType="separate"/>
        </w:r>
        <w:r w:rsidRPr="00CE0802">
          <w:rPr>
            <w:sz w:val="20"/>
            <w:szCs w:val="20"/>
            <w:lang w:val="es-ES"/>
          </w:rPr>
          <w:t>2</w:t>
        </w:r>
        <w:r w:rsidRPr="00CE0802">
          <w:rPr>
            <w:sz w:val="20"/>
            <w:szCs w:val="20"/>
          </w:rPr>
          <w:fldChar w:fldCharType="end"/>
        </w:r>
      </w:p>
    </w:sdtContent>
  </w:sdt>
  <w:p w14:paraId="79A42C15" w14:textId="77777777" w:rsidR="00646FA6" w:rsidRDefault="00646FA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6289836"/>
      <w:docPartObj>
        <w:docPartGallery w:val="Page Numbers (Bottom of Page)"/>
        <w:docPartUnique/>
      </w:docPartObj>
    </w:sdtPr>
    <w:sdtContent>
      <w:p w14:paraId="5445500F" w14:textId="71F0FA6C" w:rsidR="00E13C06" w:rsidRDefault="00283056">
        <w:pPr>
          <w:pStyle w:val="Piedepgina"/>
          <w:jc w:val="right"/>
        </w:pPr>
        <w:r>
          <w:fldChar w:fldCharType="begin"/>
        </w:r>
        <w:r>
          <w:instrText>PAGE   \* MERGEFORMAT</w:instrText>
        </w:r>
        <w:r>
          <w:fldChar w:fldCharType="separate"/>
        </w:r>
        <w:r>
          <w:rPr>
            <w:lang w:val="es-ES"/>
          </w:rPr>
          <w:t>2</w:t>
        </w:r>
        <w:r>
          <w:fldChar w:fldCharType="end"/>
        </w:r>
      </w:p>
    </w:sdtContent>
  </w:sdt>
  <w:p w14:paraId="021D24F2" w14:textId="77777777" w:rsidR="00E13C06" w:rsidRDefault="00E13C0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1B1EFA" w14:textId="77777777" w:rsidR="00A05313" w:rsidRDefault="00A05313" w:rsidP="007F4F87">
      <w:pPr>
        <w:spacing w:after="0" w:line="240" w:lineRule="auto"/>
      </w:pPr>
      <w:r>
        <w:separator/>
      </w:r>
    </w:p>
  </w:footnote>
  <w:footnote w:type="continuationSeparator" w:id="0">
    <w:p w14:paraId="5245087F" w14:textId="77777777" w:rsidR="00A05313" w:rsidRDefault="00A05313" w:rsidP="007F4F87">
      <w:pPr>
        <w:spacing w:after="0" w:line="240" w:lineRule="auto"/>
      </w:pPr>
      <w:r>
        <w:continuationSeparator/>
      </w:r>
    </w:p>
  </w:footnote>
  <w:footnote w:type="continuationNotice" w:id="1">
    <w:p w14:paraId="3B282C63" w14:textId="77777777" w:rsidR="00A05313" w:rsidRDefault="00A05313">
      <w:pPr>
        <w:spacing w:after="0" w:line="240" w:lineRule="auto"/>
      </w:pPr>
    </w:p>
  </w:footnote>
  <w:footnote w:id="2">
    <w:p w14:paraId="2153AA68" w14:textId="7EEB6822" w:rsidR="0039397F" w:rsidRPr="0039397F" w:rsidRDefault="0039397F">
      <w:pPr>
        <w:pStyle w:val="Textonotapie"/>
      </w:pPr>
      <w:r>
        <w:rPr>
          <w:rStyle w:val="Refdenotaalpie"/>
        </w:rPr>
        <w:footnoteRef/>
      </w:r>
      <w:r>
        <w:t xml:space="preserve"> </w:t>
      </w:r>
      <w:r w:rsidRPr="00C774F9">
        <w:rPr>
          <w:rFonts w:eastAsia="Arial" w:cs="Arial"/>
          <w:sz w:val="16"/>
          <w:szCs w:val="16"/>
        </w:rPr>
        <w:t xml:space="preserve">Defensoría del Pueblo y Corte Suprema de Justicia (2023). “Un medio ambiente sano como derecho humano en Colombia. Cartilla ambiental 2023”. </w:t>
      </w:r>
      <w:proofErr w:type="spellStart"/>
      <w:r w:rsidRPr="00C774F9">
        <w:rPr>
          <w:rFonts w:eastAsia="Arial" w:cs="Arial"/>
          <w:sz w:val="16"/>
          <w:szCs w:val="16"/>
        </w:rPr>
        <w:t>Pp</w:t>
      </w:r>
      <w:proofErr w:type="spellEnd"/>
      <w:r w:rsidRPr="00C774F9">
        <w:rPr>
          <w:rFonts w:eastAsia="Arial" w:cs="Arial"/>
          <w:sz w:val="16"/>
          <w:szCs w:val="16"/>
        </w:rPr>
        <w:t xml:space="preserve"> 26 – 32. Bogotá.</w:t>
      </w:r>
    </w:p>
  </w:footnote>
  <w:footnote w:id="3">
    <w:p w14:paraId="21746319" w14:textId="5CCBA16D" w:rsidR="00F70A3B" w:rsidRPr="00F70A3B" w:rsidRDefault="00F70A3B">
      <w:pPr>
        <w:pStyle w:val="Textonotapie"/>
      </w:pPr>
      <w:r>
        <w:rPr>
          <w:rStyle w:val="Refdenotaalpie"/>
        </w:rPr>
        <w:footnoteRef/>
      </w:r>
      <w:r>
        <w:t xml:space="preserve"> </w:t>
      </w:r>
      <w:r w:rsidRPr="00F70A3B">
        <w:rPr>
          <w:sz w:val="16"/>
          <w:szCs w:val="16"/>
        </w:rPr>
        <w:t xml:space="preserve">Defensoría del Pueblo y Corte Suprema de Justicia (2023). “Un medio ambiente sano como derecho humano en Colombia. Cartilla ambiental 2023”. </w:t>
      </w:r>
      <w:proofErr w:type="spellStart"/>
      <w:r w:rsidRPr="00F70A3B">
        <w:rPr>
          <w:sz w:val="16"/>
          <w:szCs w:val="16"/>
        </w:rPr>
        <w:t>Pp</w:t>
      </w:r>
      <w:proofErr w:type="spellEnd"/>
      <w:r w:rsidRPr="00F70A3B">
        <w:rPr>
          <w:sz w:val="16"/>
          <w:szCs w:val="16"/>
        </w:rPr>
        <w:t xml:space="preserve"> 26 – 32. Bogotá.</w:t>
      </w:r>
    </w:p>
  </w:footnote>
  <w:footnote w:id="4">
    <w:p w14:paraId="32935ABC" w14:textId="200C7D8D" w:rsidR="00F70A3B" w:rsidRPr="00F70A3B" w:rsidRDefault="00F70A3B" w:rsidP="00F70A3B">
      <w:pPr>
        <w:rPr>
          <w:rFonts w:eastAsia="Arial" w:cs="Arial"/>
          <w:sz w:val="16"/>
          <w:szCs w:val="16"/>
        </w:rPr>
      </w:pPr>
      <w:r>
        <w:rPr>
          <w:rStyle w:val="Refdenotaalpie"/>
        </w:rPr>
        <w:footnoteRef/>
      </w:r>
      <w:r>
        <w:t xml:space="preserve"> </w:t>
      </w:r>
      <w:r w:rsidRPr="00C774F9">
        <w:rPr>
          <w:rFonts w:eastAsia="Arial" w:cs="Arial"/>
          <w:sz w:val="16"/>
          <w:szCs w:val="16"/>
        </w:rPr>
        <w:t xml:space="preserve">RAMÍREZ, Socorro (Ed.), “La Cooperación Amazónica. Desafíos y Oportunidades de la Cooperación Amazónica a través de la OTCA”, Bogotá, 2012. pp. 45 y 46. Documento consultado el 9 de marzo de 2018, disponible en: </w:t>
      </w:r>
      <w:hyperlink r:id="rId1" w:history="1">
        <w:r w:rsidRPr="00C774F9">
          <w:rPr>
            <w:rStyle w:val="Hipervnculo"/>
            <w:rFonts w:eastAsia="Arial" w:cs="Arial"/>
            <w:sz w:val="16"/>
            <w:szCs w:val="16"/>
          </w:rPr>
          <w:t>https://www.cancilleria.gov.co/sites/default/files/otca-libro-socorro-ramirez.pdf</w:t>
        </w:r>
      </w:hyperlink>
      <w:r w:rsidRPr="00C774F9">
        <w:rPr>
          <w:rFonts w:eastAsia="Arial" w:cs="Arial"/>
          <w:sz w:val="16"/>
          <w:szCs w:val="16"/>
        </w:rPr>
        <w:t>., citado en la sentencia 4360 de 2018.</w:t>
      </w:r>
    </w:p>
  </w:footnote>
  <w:footnote w:id="5">
    <w:p w14:paraId="668297E9" w14:textId="3543BEF5" w:rsidR="007C779B" w:rsidRPr="00074C6B" w:rsidRDefault="007C779B">
      <w:pPr>
        <w:pStyle w:val="Textonotapie"/>
        <w:rPr>
          <w:sz w:val="16"/>
          <w:szCs w:val="16"/>
        </w:rPr>
      </w:pPr>
      <w:r w:rsidRPr="00074C6B">
        <w:rPr>
          <w:rStyle w:val="Refdenotaalpie"/>
          <w:sz w:val="16"/>
          <w:szCs w:val="16"/>
        </w:rPr>
        <w:footnoteRef/>
      </w:r>
      <w:r w:rsidRPr="00074C6B">
        <w:rPr>
          <w:sz w:val="16"/>
          <w:szCs w:val="16"/>
        </w:rPr>
        <w:t xml:space="preserve"> </w:t>
      </w:r>
      <w:r w:rsidR="009A431F" w:rsidRPr="00074C6B">
        <w:rPr>
          <w:sz w:val="16"/>
          <w:szCs w:val="16"/>
        </w:rPr>
        <w:t>La </w:t>
      </w:r>
      <w:r w:rsidR="009A431F" w:rsidRPr="00074C6B">
        <w:rPr>
          <w:b/>
          <w:bCs/>
          <w:sz w:val="16"/>
          <w:szCs w:val="16"/>
        </w:rPr>
        <w:t>Organización del Tratado de Cooperación Amazónica (OTCA)</w:t>
      </w:r>
      <w:r w:rsidR="009A431F" w:rsidRPr="00074C6B">
        <w:rPr>
          <w:sz w:val="16"/>
          <w:szCs w:val="16"/>
        </w:rPr>
        <w:t> es una organización intergubernamental, constituida por los ocho países amazónicos: Bolivia, Brasil, Colombia, Ecuador, Guyana, Perú, Surinam y Venezuela, que suscribieron el Tratado de Cooperación Amazónica (TCA), constituyéndose en el único bloque socioambiental de América Latina. La OTCA, con una amplia visión del proceso de Cooperación Sur-Sur trabaja en diferentes dimensiones: político-diplomática, estratégica y técnica, construyendo sinergias entre gobiernos, organismos multilaterales, agencias de cooperación, sociedad civil organizada, movimientos sociales, comunidad científica, sectores productivos y la sociedad en su conjunto, en el marco de la implementación del TCA.</w:t>
      </w:r>
      <w:r w:rsidR="00D562B5" w:rsidRPr="00074C6B">
        <w:rPr>
          <w:sz w:val="16"/>
          <w:szCs w:val="16"/>
        </w:rPr>
        <w:t xml:space="preserve"> Consultado en </w:t>
      </w:r>
      <w:hyperlink r:id="rId2" w:history="1">
        <w:r w:rsidR="00D562B5" w:rsidRPr="00074C6B">
          <w:rPr>
            <w:rStyle w:val="Hipervnculo"/>
            <w:sz w:val="16"/>
            <w:szCs w:val="16"/>
          </w:rPr>
          <w:t>https://otca.org/quienes-somos/</w:t>
        </w:r>
      </w:hyperlink>
      <w:r w:rsidR="00D562B5" w:rsidRPr="00074C6B">
        <w:rPr>
          <w:sz w:val="16"/>
          <w:szCs w:val="16"/>
        </w:rPr>
        <w:t xml:space="preserve"> </w:t>
      </w:r>
    </w:p>
  </w:footnote>
  <w:footnote w:id="6">
    <w:p w14:paraId="09709F14" w14:textId="77777777" w:rsidR="004D474F" w:rsidRPr="00224F80" w:rsidRDefault="004D474F" w:rsidP="004D474F">
      <w:pPr>
        <w:pStyle w:val="Textonotapie"/>
      </w:pPr>
      <w:r>
        <w:rPr>
          <w:rStyle w:val="Refdenotaalpie"/>
        </w:rPr>
        <w:footnoteRef/>
      </w:r>
      <w:r>
        <w:t xml:space="preserve"> El documento </w:t>
      </w:r>
      <w:r>
        <w:rPr>
          <w:i/>
          <w:iCs/>
        </w:rPr>
        <w:t xml:space="preserve">Zonificación y codificación de cuencas hidrográficas e hidrogeológicas de Colombia </w:t>
      </w:r>
      <w:sdt>
        <w:sdtPr>
          <w:rPr>
            <w:i/>
            <w:iCs/>
          </w:rPr>
          <w:id w:val="1677997661"/>
          <w:citation/>
        </w:sdtPr>
        <w:sdtContent>
          <w:r>
            <w:rPr>
              <w:i/>
              <w:iCs/>
            </w:rPr>
            <w:fldChar w:fldCharType="begin"/>
          </w:r>
          <w:r>
            <w:rPr>
              <w:lang w:val="es-ES"/>
            </w:rPr>
            <w:instrText xml:space="preserve"> CITATION IDE13 \l 3082 </w:instrText>
          </w:r>
          <w:r>
            <w:rPr>
              <w:i/>
              <w:iCs/>
            </w:rPr>
            <w:fldChar w:fldCharType="separate"/>
          </w:r>
          <w:r w:rsidR="0077091E">
            <w:rPr>
              <w:noProof/>
              <w:lang w:val="es-ES"/>
            </w:rPr>
            <w:t>(IDEAM, 2013)</w:t>
          </w:r>
          <w:r>
            <w:rPr>
              <w:i/>
              <w:iCs/>
            </w:rPr>
            <w:fldChar w:fldCharType="end"/>
          </w:r>
        </w:sdtContent>
      </w:sdt>
      <w:r>
        <w:rPr>
          <w:i/>
          <w:iCs/>
        </w:rPr>
        <w:t xml:space="preserve"> </w:t>
      </w:r>
      <w:r>
        <w:t xml:space="preserve">establece la clasificación de la hidrográfica nacional en tres niveles de jerarquía: áreas, zonas y subzonas hidrográficas. Las áreas hidrográficas agrupan un conjunto de ríos con afluentes que son las vertientes al mar; las zonas hidrográficas corresponden a las cuencas hidrográficas que desembocan en el afluente principal de un </w:t>
      </w:r>
      <w:proofErr w:type="gramStart"/>
      <w:r>
        <w:t>área hidrográfica y las subzonas hidrográficas</w:t>
      </w:r>
      <w:proofErr w:type="gramEnd"/>
      <w:r>
        <w:t xml:space="preserve"> constituyen los afluentes que tributan al cauce principal de la zona hidrográfica.</w:t>
      </w:r>
    </w:p>
  </w:footnote>
  <w:footnote w:id="7">
    <w:p w14:paraId="65B76BD1" w14:textId="0E4A6B44" w:rsidR="00181416" w:rsidRDefault="00181416" w:rsidP="004D474F">
      <w:pPr>
        <w:pStyle w:val="Textonotapie"/>
      </w:pPr>
      <w:r>
        <w:rPr>
          <w:rStyle w:val="Refdenotaalpie"/>
        </w:rPr>
        <w:footnoteRef/>
      </w:r>
      <w:r>
        <w:t xml:space="preserve"> Con base en la capa de la Red Básica Nacional, se estima que en el </w:t>
      </w:r>
      <w:r w:rsidR="001C4BA7">
        <w:t>Bioma Amazónico</w:t>
      </w:r>
      <w:r>
        <w:t xml:space="preserve"> se encuentra el 6% de estaciones, principalmente estaciones </w:t>
      </w:r>
      <w:proofErr w:type="spellStart"/>
      <w:r>
        <w:t>limnimétricas</w:t>
      </w:r>
      <w:proofErr w:type="spellEnd"/>
      <w:r>
        <w:t xml:space="preserve"> y pluviométricas.</w:t>
      </w:r>
    </w:p>
  </w:footnote>
  <w:footnote w:id="8">
    <w:p w14:paraId="746C27F1" w14:textId="77777777" w:rsidR="004D474F" w:rsidRDefault="004D474F" w:rsidP="004D474F">
      <w:pPr>
        <w:pStyle w:val="Textonotapie"/>
      </w:pPr>
      <w:r w:rsidRPr="00320A1C">
        <w:rPr>
          <w:rStyle w:val="Refdenotaalpie"/>
          <w:sz w:val="16"/>
          <w:szCs w:val="16"/>
        </w:rPr>
        <w:footnoteRef/>
      </w:r>
      <w:r w:rsidRPr="00320A1C">
        <w:rPr>
          <w:sz w:val="16"/>
          <w:szCs w:val="16"/>
        </w:rPr>
        <w:t xml:space="preserve"> Según </w:t>
      </w:r>
      <w:proofErr w:type="spellStart"/>
      <w:r w:rsidRPr="00320A1C">
        <w:rPr>
          <w:sz w:val="16"/>
          <w:szCs w:val="16"/>
        </w:rPr>
        <w:t>el</w:t>
      </w:r>
      <w:proofErr w:type="spellEnd"/>
      <w:r w:rsidRPr="00320A1C">
        <w:rPr>
          <w:sz w:val="16"/>
          <w:szCs w:val="16"/>
        </w:rPr>
        <w:t xml:space="preserve"> </w:t>
      </w:r>
      <w:sdt>
        <w:sdtPr>
          <w:rPr>
            <w:sz w:val="16"/>
            <w:szCs w:val="16"/>
          </w:rPr>
          <w:id w:val="2082101904"/>
          <w:citation/>
        </w:sdtPr>
        <w:sdtContent>
          <w:r w:rsidRPr="00320A1C">
            <w:rPr>
              <w:sz w:val="16"/>
              <w:szCs w:val="16"/>
            </w:rPr>
            <w:fldChar w:fldCharType="begin"/>
          </w:r>
          <w:r w:rsidRPr="00320A1C">
            <w:rPr>
              <w:sz w:val="16"/>
              <w:szCs w:val="16"/>
              <w:lang w:val="es-ES"/>
            </w:rPr>
            <w:instrText xml:space="preserve"> CITATION IDE22 \l 3082 </w:instrText>
          </w:r>
          <w:r w:rsidRPr="00320A1C">
            <w:rPr>
              <w:sz w:val="16"/>
              <w:szCs w:val="16"/>
            </w:rPr>
            <w:fldChar w:fldCharType="separate"/>
          </w:r>
          <w:r w:rsidR="0077091E">
            <w:rPr>
              <w:noProof/>
              <w:sz w:val="16"/>
              <w:szCs w:val="16"/>
              <w:lang w:val="es-ES"/>
            </w:rPr>
            <w:t>(IDEAM, Estudio Nacional del Agua, 2023)</w:t>
          </w:r>
          <w:r w:rsidRPr="00320A1C">
            <w:rPr>
              <w:sz w:val="16"/>
              <w:szCs w:val="16"/>
            </w:rPr>
            <w:fldChar w:fldCharType="end"/>
          </w:r>
        </w:sdtContent>
      </w:sdt>
      <w:r w:rsidRPr="00320A1C">
        <w:rPr>
          <w:sz w:val="16"/>
          <w:szCs w:val="16"/>
        </w:rPr>
        <w:t xml:space="preserve"> la OHTS es una variable </w:t>
      </w:r>
    </w:p>
  </w:footnote>
  <w:footnote w:id="9">
    <w:p w14:paraId="744543E1" w14:textId="77777777" w:rsidR="004D474F" w:rsidRPr="00BD4401" w:rsidRDefault="004D474F" w:rsidP="004D474F">
      <w:pPr>
        <w:pStyle w:val="Textonotapie"/>
        <w:rPr>
          <w:lang w:val="es-ES"/>
        </w:rPr>
      </w:pPr>
      <w:r>
        <w:rPr>
          <w:rStyle w:val="Refdenotaalpie"/>
        </w:rPr>
        <w:footnoteRef/>
      </w:r>
      <w:r>
        <w:t xml:space="preserve"> </w:t>
      </w:r>
      <w:r>
        <w:rPr>
          <w:lang w:val="es-ES"/>
        </w:rPr>
        <w:t>El Convenio Minamata 2017 consiste en un tratado internacional para proteger la salud humana y el ambiente de los efectos adversos del mercurio, comprometiendo a los países firmantes a prohibir el uso de mercurio en la minería de oro formal e informal.</w:t>
      </w:r>
    </w:p>
  </w:footnote>
  <w:footnote w:id="10">
    <w:p w14:paraId="204A0E58" w14:textId="77777777" w:rsidR="004D474F" w:rsidRPr="00970486" w:rsidRDefault="004D474F" w:rsidP="004D474F">
      <w:pPr>
        <w:pStyle w:val="Textonotapie"/>
      </w:pPr>
      <w:r>
        <w:rPr>
          <w:rStyle w:val="Refdenotaalpie"/>
        </w:rPr>
        <w:footnoteRef/>
      </w:r>
      <w:r>
        <w:t xml:space="preserve"> Criterios de uso del agua del Decreto Único Reglamentario del Sector Ambiente.</w:t>
      </w:r>
    </w:p>
  </w:footnote>
  <w:footnote w:id="11">
    <w:p w14:paraId="2933344D" w14:textId="77777777" w:rsidR="004D474F" w:rsidRPr="0004517E" w:rsidRDefault="004D474F" w:rsidP="004D474F">
      <w:pPr>
        <w:pStyle w:val="Textonotapie"/>
        <w:rPr>
          <w:lang w:val="es-ES"/>
        </w:rPr>
      </w:pPr>
      <w:r w:rsidRPr="00E34565">
        <w:rPr>
          <w:rStyle w:val="Refdenotaalpie"/>
          <w:sz w:val="16"/>
          <w:szCs w:val="16"/>
        </w:rPr>
        <w:footnoteRef/>
      </w:r>
      <w:r w:rsidRPr="00E34565">
        <w:rPr>
          <w:sz w:val="16"/>
          <w:szCs w:val="16"/>
        </w:rPr>
        <w:t xml:space="preserve"> </w:t>
      </w:r>
      <w:proofErr w:type="spellStart"/>
      <w:r w:rsidRPr="00E34565">
        <w:rPr>
          <w:sz w:val="16"/>
          <w:szCs w:val="16"/>
        </w:rPr>
        <w:t>Biofenic</w:t>
      </w:r>
      <w:proofErr w:type="spellEnd"/>
      <w:r w:rsidRPr="00E34565">
        <w:rPr>
          <w:sz w:val="16"/>
          <w:szCs w:val="16"/>
        </w:rPr>
        <w:t xml:space="preserve"> </w:t>
      </w:r>
      <w:proofErr w:type="spellStart"/>
      <w:r w:rsidRPr="00E34565">
        <w:rPr>
          <w:sz w:val="16"/>
          <w:szCs w:val="16"/>
        </w:rPr>
        <w:t>Volatile</w:t>
      </w:r>
      <w:proofErr w:type="spellEnd"/>
      <w:r w:rsidRPr="00E34565">
        <w:rPr>
          <w:sz w:val="16"/>
          <w:szCs w:val="16"/>
        </w:rPr>
        <w:t xml:space="preserve"> </w:t>
      </w:r>
      <w:proofErr w:type="spellStart"/>
      <w:r w:rsidRPr="00E34565">
        <w:rPr>
          <w:sz w:val="16"/>
          <w:szCs w:val="16"/>
        </w:rPr>
        <w:t>Organic</w:t>
      </w:r>
      <w:proofErr w:type="spellEnd"/>
      <w:r w:rsidRPr="00E34565">
        <w:rPr>
          <w:sz w:val="16"/>
          <w:szCs w:val="16"/>
        </w:rPr>
        <w:t xml:space="preserve"> </w:t>
      </w:r>
      <w:proofErr w:type="spellStart"/>
      <w:r w:rsidRPr="00E34565">
        <w:rPr>
          <w:sz w:val="16"/>
          <w:szCs w:val="16"/>
        </w:rPr>
        <w:t>Compounds</w:t>
      </w:r>
      <w:proofErr w:type="spellEnd"/>
      <w:r w:rsidRPr="00E34565">
        <w:rPr>
          <w:sz w:val="16"/>
          <w:szCs w:val="16"/>
        </w:rPr>
        <w:t xml:space="preserve">, por sus siglas en inglés, </w:t>
      </w:r>
      <w:r w:rsidRPr="00E34565">
        <w:rPr>
          <w:sz w:val="16"/>
          <w:szCs w:val="16"/>
          <w:lang w:val="es-ES"/>
        </w:rPr>
        <w:t>BVOC.</w:t>
      </w:r>
    </w:p>
  </w:footnote>
  <w:footnote w:id="12">
    <w:p w14:paraId="2C6A3707" w14:textId="77777777" w:rsidR="004D474F" w:rsidRPr="00E34565" w:rsidRDefault="004D474F" w:rsidP="004D474F">
      <w:pPr>
        <w:pStyle w:val="Textonotapie"/>
        <w:rPr>
          <w:sz w:val="16"/>
          <w:szCs w:val="16"/>
        </w:rPr>
      </w:pPr>
      <w:r w:rsidRPr="00E34565">
        <w:rPr>
          <w:rStyle w:val="Refdenotaalpie"/>
          <w:sz w:val="16"/>
          <w:szCs w:val="16"/>
        </w:rPr>
        <w:footnoteRef/>
      </w:r>
      <w:r w:rsidRPr="00E34565">
        <w:rPr>
          <w:sz w:val="16"/>
          <w:szCs w:val="16"/>
        </w:rPr>
        <w:t xml:space="preserve"> Según </w:t>
      </w:r>
      <w:sdt>
        <w:sdtPr>
          <w:rPr>
            <w:sz w:val="16"/>
            <w:szCs w:val="16"/>
          </w:rPr>
          <w:id w:val="1847589389"/>
          <w:citation/>
        </w:sdtPr>
        <w:sdtContent>
          <w:r w:rsidRPr="00E34565">
            <w:rPr>
              <w:sz w:val="16"/>
              <w:szCs w:val="16"/>
            </w:rPr>
            <w:fldChar w:fldCharType="begin"/>
          </w:r>
          <w:r w:rsidRPr="00E34565">
            <w:rPr>
              <w:sz w:val="16"/>
              <w:szCs w:val="16"/>
              <w:lang w:val="es-ES"/>
            </w:rPr>
            <w:instrText xml:space="preserve"> CITATION IDE22 \l 3082 </w:instrText>
          </w:r>
          <w:r w:rsidRPr="00E34565">
            <w:rPr>
              <w:sz w:val="16"/>
              <w:szCs w:val="16"/>
            </w:rPr>
            <w:fldChar w:fldCharType="separate"/>
          </w:r>
          <w:r w:rsidR="0077091E">
            <w:rPr>
              <w:noProof/>
              <w:sz w:val="16"/>
              <w:szCs w:val="16"/>
              <w:lang w:val="es-ES"/>
            </w:rPr>
            <w:t>(IDEAM, Estudio Nacional del Agua, 2023)</w:t>
          </w:r>
          <w:r w:rsidRPr="00E34565">
            <w:rPr>
              <w:sz w:val="16"/>
              <w:szCs w:val="16"/>
            </w:rPr>
            <w:fldChar w:fldCharType="end"/>
          </w:r>
        </w:sdtContent>
      </w:sdt>
      <w:r w:rsidRPr="00E34565">
        <w:rPr>
          <w:sz w:val="16"/>
          <w:szCs w:val="16"/>
        </w:rPr>
        <w:t>, la hidrología isotópica es la rama de la ciencia que utiliza herramientas isotópicas y técnicas nucleares para el estudio del ciclo del agua. Los isótopos estables y radiactivos pueden ser utilizados como trazadores naturales para comprender el origen y evolución del agua a través de todos los comportamientos del ciclo hidrológico.</w:t>
      </w:r>
    </w:p>
  </w:footnote>
  <w:footnote w:id="13">
    <w:p w14:paraId="01CDE535" w14:textId="77777777" w:rsidR="004D474F" w:rsidRPr="00C52D40" w:rsidRDefault="004D474F" w:rsidP="004D474F">
      <w:pPr>
        <w:pStyle w:val="Textonotapie"/>
      </w:pPr>
      <w:r w:rsidRPr="00F14883">
        <w:rPr>
          <w:rStyle w:val="Refdenotaalpie"/>
          <w:sz w:val="18"/>
          <w:szCs w:val="18"/>
        </w:rPr>
        <w:footnoteRef/>
      </w:r>
      <w:r w:rsidRPr="00F14883">
        <w:rPr>
          <w:sz w:val="18"/>
          <w:szCs w:val="18"/>
        </w:rPr>
        <w:t xml:space="preserve"> Según </w:t>
      </w:r>
      <w:sdt>
        <w:sdtPr>
          <w:rPr>
            <w:sz w:val="18"/>
            <w:szCs w:val="18"/>
          </w:rPr>
          <w:id w:val="-1563711708"/>
          <w:citation/>
        </w:sdtPr>
        <w:sdtContent>
          <w:r w:rsidRPr="00F14883">
            <w:rPr>
              <w:sz w:val="18"/>
              <w:szCs w:val="18"/>
            </w:rPr>
            <w:fldChar w:fldCharType="begin"/>
          </w:r>
          <w:r w:rsidRPr="00F14883">
            <w:rPr>
              <w:sz w:val="18"/>
              <w:szCs w:val="18"/>
              <w:lang w:val="es-ES"/>
            </w:rPr>
            <w:instrText xml:space="preserve"> CITATION IDE22 \l 3082 </w:instrText>
          </w:r>
          <w:r w:rsidRPr="00F14883">
            <w:rPr>
              <w:sz w:val="18"/>
              <w:szCs w:val="18"/>
            </w:rPr>
            <w:fldChar w:fldCharType="separate"/>
          </w:r>
          <w:r w:rsidR="0077091E">
            <w:rPr>
              <w:noProof/>
              <w:sz w:val="18"/>
              <w:szCs w:val="18"/>
              <w:lang w:val="es-ES"/>
            </w:rPr>
            <w:t>(IDEAM, Estudio Nacional del Agua, 2023)</w:t>
          </w:r>
          <w:r w:rsidRPr="00F14883">
            <w:rPr>
              <w:sz w:val="18"/>
              <w:szCs w:val="18"/>
            </w:rPr>
            <w:fldChar w:fldCharType="end"/>
          </w:r>
        </w:sdtContent>
      </w:sdt>
      <w:r w:rsidRPr="00F14883">
        <w:rPr>
          <w:sz w:val="18"/>
          <w:szCs w:val="18"/>
        </w:rPr>
        <w:t xml:space="preserve">, este término se emplea para cada muestra de lluvia como indicador de fraccionamiento isotópico cinético, este último es el cambio en la abundancia relativa de un isótopo entre la fuente y el producto en una reacción química o física, debido a diferencias en las propiedades de los isótopos o los </w:t>
      </w:r>
      <w:proofErr w:type="spellStart"/>
      <w:r w:rsidRPr="00F14883">
        <w:rPr>
          <w:sz w:val="18"/>
          <w:szCs w:val="18"/>
        </w:rPr>
        <w:t>isótopologos</w:t>
      </w:r>
      <w:proofErr w:type="spellEnd"/>
      <w:r w:rsidRPr="00F14883">
        <w:rPr>
          <w:sz w:val="18"/>
          <w:szCs w:val="18"/>
        </w:rPr>
        <w:t>.</w:t>
      </w:r>
    </w:p>
  </w:footnote>
  <w:footnote w:id="14">
    <w:p w14:paraId="11681395" w14:textId="36086B69" w:rsidR="00C62587" w:rsidRPr="004A7604" w:rsidRDefault="00C62587">
      <w:pPr>
        <w:pStyle w:val="Textonotapie"/>
        <w:rPr>
          <w:sz w:val="16"/>
          <w:szCs w:val="16"/>
        </w:rPr>
      </w:pPr>
      <w:r w:rsidRPr="004A7604">
        <w:rPr>
          <w:rStyle w:val="Refdenotaalpie"/>
          <w:sz w:val="16"/>
          <w:szCs w:val="16"/>
        </w:rPr>
        <w:footnoteRef/>
      </w:r>
      <w:r w:rsidRPr="004A7604">
        <w:rPr>
          <w:sz w:val="16"/>
          <w:szCs w:val="16"/>
          <w:lang w:val="pt-PT"/>
        </w:rPr>
        <w:t xml:space="preserve"> </w:t>
      </w:r>
      <w:r w:rsidRPr="004A7604">
        <w:rPr>
          <w:sz w:val="16"/>
          <w:szCs w:val="16"/>
          <w:lang w:val="pt-PT"/>
        </w:rPr>
        <w:t xml:space="preserve">Bogotá-Gregory, J. D., Do Nascimento, C., Lima, F. C. T., Acosta-Santos, A., Villa-Navarro, F. A., Urbano-Bonilla, A., Mojica, J. I., &amp; Agudelo, E. (2022). </w:t>
      </w:r>
      <w:r w:rsidRPr="004A7604">
        <w:rPr>
          <w:sz w:val="16"/>
          <w:szCs w:val="16"/>
          <w:lang w:val="en-US"/>
        </w:rPr>
        <w:t xml:space="preserve">Fishes from the Colombian Amazonia region: Species composition from the river systems within the rainforest biome. </w:t>
      </w:r>
      <w:r w:rsidRPr="004A7604">
        <w:rPr>
          <w:i/>
          <w:iCs/>
          <w:sz w:val="16"/>
          <w:szCs w:val="16"/>
        </w:rPr>
        <w:t xml:space="preserve">Biota </w:t>
      </w:r>
      <w:proofErr w:type="spellStart"/>
      <w:r w:rsidRPr="004A7604">
        <w:rPr>
          <w:i/>
          <w:iCs/>
          <w:sz w:val="16"/>
          <w:szCs w:val="16"/>
        </w:rPr>
        <w:t>Neotropica</w:t>
      </w:r>
      <w:proofErr w:type="spellEnd"/>
      <w:r w:rsidRPr="004A7604">
        <w:rPr>
          <w:i/>
          <w:iCs/>
          <w:sz w:val="16"/>
          <w:szCs w:val="16"/>
        </w:rPr>
        <w:t>, 22</w:t>
      </w:r>
      <w:r w:rsidRPr="004A7604">
        <w:rPr>
          <w:sz w:val="16"/>
          <w:szCs w:val="16"/>
        </w:rPr>
        <w:t xml:space="preserve">(4), e20221392. </w:t>
      </w:r>
      <w:hyperlink r:id="rId3" w:tgtFrame="_new" w:history="1">
        <w:r w:rsidRPr="004A7604">
          <w:rPr>
            <w:rStyle w:val="Hipervnculo"/>
            <w:sz w:val="16"/>
            <w:szCs w:val="16"/>
          </w:rPr>
          <w:t>https://doi.org/10.1590/1676-0611-BN-2022-1392</w:t>
        </w:r>
      </w:hyperlink>
    </w:p>
  </w:footnote>
  <w:footnote w:id="15">
    <w:p w14:paraId="5F9EFCF7" w14:textId="7C877F7E" w:rsidR="00FC37E8" w:rsidRPr="005A3219" w:rsidRDefault="00FC37E8" w:rsidP="002832F2">
      <w:pPr>
        <w:pStyle w:val="Textonotapie"/>
        <w:rPr>
          <w:rFonts w:eastAsiaTheme="minorEastAsia" w:cs="Arial"/>
          <w:sz w:val="16"/>
          <w:szCs w:val="16"/>
          <w:lang w:val="es"/>
        </w:rPr>
      </w:pPr>
      <w:r w:rsidRPr="005A3219">
        <w:rPr>
          <w:rStyle w:val="Refdenotaalpie"/>
          <w:rFonts w:cs="Arial"/>
          <w:sz w:val="16"/>
          <w:szCs w:val="16"/>
        </w:rPr>
        <w:footnoteRef/>
      </w:r>
      <w:r w:rsidRPr="005A3219">
        <w:rPr>
          <w:rFonts w:cs="Arial"/>
          <w:sz w:val="16"/>
          <w:szCs w:val="16"/>
        </w:rPr>
        <w:t xml:space="preserve"> </w:t>
      </w:r>
      <w:r w:rsidRPr="005A3219">
        <w:rPr>
          <w:rFonts w:eastAsiaTheme="minorEastAsia" w:cs="Arial"/>
          <w:sz w:val="16"/>
          <w:szCs w:val="16"/>
        </w:rPr>
        <w:t xml:space="preserve">Ministerio de Ambiente y Desarrollo Sostenible. 2023. Estrategia Nacional de Restauración. </w:t>
      </w:r>
      <w:r w:rsidRPr="005A3219">
        <w:rPr>
          <w:rFonts w:eastAsiaTheme="minorEastAsia" w:cs="Arial"/>
          <w:sz w:val="16"/>
          <w:szCs w:val="16"/>
          <w:lang w:val="es"/>
        </w:rPr>
        <w:t xml:space="preserve">Bogotá D.C </w:t>
      </w:r>
      <w:hyperlink r:id="rId4" w:history="1">
        <w:r w:rsidRPr="005A3219">
          <w:rPr>
            <w:rStyle w:val="Hipervnculo"/>
            <w:rFonts w:eastAsiaTheme="minorEastAsia" w:cs="Arial"/>
            <w:sz w:val="16"/>
            <w:szCs w:val="16"/>
            <w:lang w:val="es"/>
          </w:rPr>
          <w:t>https://www.minambiente.gov.co/wp-content/uploads/2025/03/ENR_3032024-3.pdf</w:t>
        </w:r>
      </w:hyperlink>
      <w:r w:rsidRPr="005A3219">
        <w:rPr>
          <w:rFonts w:eastAsiaTheme="minorEastAsia" w:cs="Arial"/>
          <w:sz w:val="16"/>
          <w:szCs w:val="16"/>
          <w:lang w:val="es"/>
        </w:rPr>
        <w:t xml:space="preserve"> </w:t>
      </w:r>
    </w:p>
    <w:p w14:paraId="715B85D1" w14:textId="77777777" w:rsidR="00FC37E8" w:rsidRPr="003C49F4" w:rsidRDefault="00FC37E8" w:rsidP="003C49F4">
      <w:pPr>
        <w:pStyle w:val="Textonotapie"/>
        <w:rPr>
          <w:sz w:val="16"/>
          <w:szCs w:val="16"/>
        </w:rPr>
      </w:pPr>
    </w:p>
  </w:footnote>
  <w:footnote w:id="16">
    <w:p w14:paraId="5F2986F4" w14:textId="627F1D9D" w:rsidR="00FC37E8" w:rsidRDefault="00FC37E8" w:rsidP="00F919D0">
      <w:pPr>
        <w:pStyle w:val="Textonotapie"/>
        <w:spacing w:after="120"/>
        <w:ind w:right="51"/>
        <w:rPr>
          <w:rFonts w:eastAsia="Arial" w:cs="Arial"/>
          <w:lang w:val="es"/>
        </w:rPr>
      </w:pPr>
      <w:r w:rsidRPr="003C49F4">
        <w:rPr>
          <w:rStyle w:val="Refdenotaalpie"/>
          <w:sz w:val="16"/>
          <w:szCs w:val="16"/>
        </w:rPr>
        <w:footnoteRef/>
      </w:r>
      <w:r w:rsidRPr="003C49F4">
        <w:rPr>
          <w:sz w:val="16"/>
          <w:szCs w:val="16"/>
        </w:rPr>
        <w:t xml:space="preserve"> </w:t>
      </w:r>
      <w:proofErr w:type="spellStart"/>
      <w:r w:rsidRPr="003C49F4">
        <w:rPr>
          <w:rFonts w:eastAsia="Arial" w:cs="Arial"/>
          <w:sz w:val="16"/>
          <w:szCs w:val="16"/>
          <w:lang w:val="es"/>
        </w:rPr>
        <w:t>Isaacs</w:t>
      </w:r>
      <w:proofErr w:type="spellEnd"/>
      <w:r w:rsidRPr="003C49F4">
        <w:rPr>
          <w:rFonts w:eastAsia="Arial" w:cs="Arial"/>
          <w:sz w:val="16"/>
          <w:szCs w:val="16"/>
          <w:lang w:val="es"/>
        </w:rPr>
        <w:t xml:space="preserve">-Cubides, P. y González, J. C. (2021). </w:t>
      </w:r>
      <w:r w:rsidRPr="003C49F4">
        <w:rPr>
          <w:rFonts w:eastAsia="Arial" w:cs="Arial"/>
          <w:i/>
          <w:sz w:val="16"/>
          <w:szCs w:val="16"/>
          <w:lang w:val="es"/>
        </w:rPr>
        <w:t>Mapa prioridades y oportunidades de restauración para Colombia</w:t>
      </w:r>
      <w:r w:rsidRPr="003C49F4">
        <w:rPr>
          <w:rFonts w:eastAsia="Arial" w:cs="Arial"/>
          <w:sz w:val="16"/>
          <w:szCs w:val="16"/>
          <w:lang w:val="es"/>
        </w:rPr>
        <w:t xml:space="preserve">. Instituto de Investigación de Recursos Biológicos Alexander </w:t>
      </w:r>
      <w:proofErr w:type="spellStart"/>
      <w:r w:rsidRPr="003C49F4">
        <w:rPr>
          <w:rFonts w:eastAsia="Arial" w:cs="Arial"/>
          <w:sz w:val="16"/>
          <w:szCs w:val="16"/>
          <w:lang w:val="es"/>
        </w:rPr>
        <w:t>von</w:t>
      </w:r>
      <w:proofErr w:type="spellEnd"/>
      <w:r w:rsidRPr="003C49F4">
        <w:rPr>
          <w:rFonts w:eastAsia="Arial" w:cs="Arial"/>
          <w:sz w:val="16"/>
          <w:szCs w:val="16"/>
          <w:lang w:val="es"/>
        </w:rPr>
        <w:t xml:space="preserve"> Humboldt. </w:t>
      </w:r>
      <w:hyperlink r:id="rId5" w:anchor="/metadata/55d29ef5-e419-489f-a450-3299e4bcc4d4" w:history="1">
        <w:r w:rsidR="00F61422" w:rsidRPr="00614759">
          <w:rPr>
            <w:rStyle w:val="Hipervnculo"/>
            <w:rFonts w:eastAsia="Arial" w:cs="Arial"/>
            <w:sz w:val="16"/>
            <w:szCs w:val="16"/>
            <w:lang w:val="es"/>
          </w:rPr>
          <w:t>https://geonetwork.humboldt.org.co/geonetwork/srv/spa/catalog.search#/metadata/55d29ef5-e419-489f-a450-3299e4bcc4d4</w:t>
        </w:r>
      </w:hyperlink>
      <w:r w:rsidR="00F61422">
        <w:rPr>
          <w:rFonts w:eastAsia="Arial" w:cs="Arial"/>
          <w:sz w:val="16"/>
          <w:szCs w:val="16"/>
          <w:lang w:val="es"/>
        </w:rPr>
        <w:t xml:space="preserve"> </w:t>
      </w:r>
    </w:p>
  </w:footnote>
  <w:footnote w:id="17">
    <w:p w14:paraId="64AA7CFC" w14:textId="77777777" w:rsidR="00702D5A" w:rsidRPr="000B2415" w:rsidRDefault="00702D5A" w:rsidP="00702D5A">
      <w:pPr>
        <w:pStyle w:val="Textonotapie"/>
        <w:rPr>
          <w:lang w:val="es-ES"/>
        </w:rPr>
      </w:pPr>
      <w:r>
        <w:rPr>
          <w:rStyle w:val="Refdenotaalpie"/>
        </w:rPr>
        <w:footnoteRef/>
      </w:r>
      <w:r>
        <w:t xml:space="preserve"> </w:t>
      </w:r>
      <w:r w:rsidRPr="00673B28">
        <w:rPr>
          <w:rFonts w:cs="Arial"/>
          <w:sz w:val="16"/>
          <w:szCs w:val="16"/>
        </w:rPr>
        <w:t>El consolidado de información se elaboró a partir de registros oficiales de la Agencia Nacional de Tierras (ANT), que reportan 21 Zonas de Reserva Campesina (1,59 millones de ha), 278 Consejos Comunitarios de Comunidades Negras (119,86 millones de ha) y 885 Resguardos Indígenas (35,72 millones de ha).</w:t>
      </w:r>
    </w:p>
  </w:footnote>
  <w:footnote w:id="18">
    <w:p w14:paraId="3B8F6962" w14:textId="77777777" w:rsidR="00A00A46" w:rsidRPr="008A2C9E" w:rsidRDefault="00A00A46" w:rsidP="00A00A46">
      <w:pPr>
        <w:pStyle w:val="Textonotapie"/>
        <w:rPr>
          <w:sz w:val="16"/>
          <w:szCs w:val="16"/>
          <w:lang w:val="es-ES"/>
        </w:rPr>
      </w:pPr>
      <w:r w:rsidRPr="008A2C9E">
        <w:rPr>
          <w:rStyle w:val="Refdenotaalpie"/>
          <w:sz w:val="16"/>
          <w:szCs w:val="16"/>
        </w:rPr>
        <w:footnoteRef/>
      </w:r>
      <w:r w:rsidRPr="008A2C9E">
        <w:rPr>
          <w:sz w:val="16"/>
          <w:szCs w:val="16"/>
        </w:rPr>
        <w:t xml:space="preserve"> Conflicto en escalada: se caracteriza por una mayor expresión del conflicto, donde las demandas o reclamos de los grupos de valor se hacen evidentes. Durante esta etapa, se observa una polarización de las posiciones y un aumento en la confrontación, lo que intensifica la tensión social. El conflicto adquiere mayor complejidad y extensión, involucrando a más actores y más aspectos contextuales. A pesar de esta intensificación, el conflicto se mantiene dentro del cauce institucional y legal.</w:t>
      </w:r>
    </w:p>
  </w:footnote>
  <w:footnote w:id="19">
    <w:p w14:paraId="07CAB962" w14:textId="53A30CA1" w:rsidR="00A00A46" w:rsidRPr="008A2C9E" w:rsidRDefault="00A00A46" w:rsidP="00A00A46">
      <w:pPr>
        <w:pStyle w:val="Textonotapie"/>
        <w:rPr>
          <w:sz w:val="16"/>
          <w:szCs w:val="16"/>
          <w:lang w:val="es-ES"/>
        </w:rPr>
      </w:pPr>
      <w:r w:rsidRPr="008A2C9E">
        <w:rPr>
          <w:rStyle w:val="Refdenotaalpie"/>
          <w:sz w:val="16"/>
          <w:szCs w:val="16"/>
        </w:rPr>
        <w:footnoteRef/>
      </w:r>
      <w:r w:rsidRPr="008A2C9E">
        <w:rPr>
          <w:sz w:val="16"/>
          <w:szCs w:val="16"/>
        </w:rPr>
        <w:t xml:space="preserve"> Conflicto en </w:t>
      </w:r>
      <w:r w:rsidR="00423425">
        <w:rPr>
          <w:sz w:val="16"/>
          <w:szCs w:val="16"/>
        </w:rPr>
        <w:t>s</w:t>
      </w:r>
      <w:r w:rsidRPr="008A2C9E">
        <w:rPr>
          <w:sz w:val="16"/>
          <w:szCs w:val="16"/>
        </w:rPr>
        <w:t>urgimiento: se caracteriza por ser el inicio de expresiones de conflictividad más evidentes, momento en el que los Grupos de Valor comienzan a reconocer las diferencias en sus intereses y los actores sociales expresan descontento o preocupación explícita por los posibles impactos ambientales del POA. Esto significa que las discrepancias y tensiones empiezan a consolidarse.</w:t>
      </w:r>
    </w:p>
  </w:footnote>
  <w:footnote w:id="20">
    <w:p w14:paraId="0736A3D8" w14:textId="77777777" w:rsidR="00A00A46" w:rsidRPr="00B13C7D" w:rsidRDefault="00A00A46" w:rsidP="00A00A46">
      <w:pPr>
        <w:pStyle w:val="Textonotapie"/>
        <w:tabs>
          <w:tab w:val="left" w:pos="558"/>
        </w:tabs>
        <w:rPr>
          <w:lang w:val="es-ES"/>
        </w:rPr>
      </w:pPr>
      <w:r w:rsidRPr="008A2C9E">
        <w:rPr>
          <w:rStyle w:val="Refdenotaalpie"/>
          <w:sz w:val="16"/>
          <w:szCs w:val="16"/>
        </w:rPr>
        <w:footnoteRef/>
      </w:r>
      <w:r w:rsidRPr="008A2C9E">
        <w:rPr>
          <w:sz w:val="16"/>
          <w:szCs w:val="16"/>
        </w:rPr>
        <w:t xml:space="preserve"> Conflicto en desescalada: Posteriormente puede surgir la desescalada del conflicto, que es la etapa en la cual se logra disminuir la intensidad de este y se logra resolver o trazar una ruta de acción, o, por el contrario, puede darse la necesidad de escalar el conflicto a la Coordinación del Grupo de Participación Ciudadana y Atención al Ciudadano el cual evaluará la situación de conflictividad y determinará el apoyo de la subdirección técnica u otras dependencias de la Entidad.</w:t>
      </w:r>
      <w:r w:rsidRPr="008A2C9E">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2CB3B" w14:textId="77777777" w:rsidR="00646FA6" w:rsidRDefault="00646FA6">
    <w:pPr>
      <w:pStyle w:val="Encabezado"/>
    </w:pPr>
    <w:r>
      <w:rPr>
        <w:noProof/>
        <w:sz w:val="20"/>
      </w:rPr>
      <w:drawing>
        <wp:anchor distT="0" distB="0" distL="0" distR="0" simplePos="0" relativeHeight="251658240" behindDoc="1" locked="0" layoutInCell="1" allowOverlap="1" wp14:anchorId="12777F82" wp14:editId="0D63644A">
          <wp:simplePos x="0" y="0"/>
          <wp:positionH relativeFrom="margin">
            <wp:align>center</wp:align>
          </wp:positionH>
          <wp:positionV relativeFrom="page">
            <wp:posOffset>457200</wp:posOffset>
          </wp:positionV>
          <wp:extent cx="880365" cy="601697"/>
          <wp:effectExtent l="0" t="0" r="0" b="8255"/>
          <wp:wrapTopAndBottom/>
          <wp:docPr id="117732506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880365" cy="601697"/>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E113C" w14:textId="76EB3084" w:rsidR="006813C8" w:rsidRDefault="006813C8">
    <w:pPr>
      <w:pStyle w:val="Encabezado"/>
      <w:jc w:val="right"/>
    </w:pPr>
  </w:p>
  <w:p w14:paraId="1FFF4DDF" w14:textId="1BC460B0" w:rsidR="00E13C06" w:rsidRDefault="00E13C06">
    <w:pPr>
      <w:pStyle w:val="Encabezado"/>
    </w:pPr>
  </w:p>
</w:hdr>
</file>

<file path=word/intelligence2.xml><?xml version="1.0" encoding="utf-8"?>
<int2:intelligence xmlns:int2="http://schemas.microsoft.com/office/intelligence/2020/intelligence" xmlns:oel="http://schemas.microsoft.com/office/2019/extlst">
  <int2:observations>
    <int2:textHash int2:hashCode="fcbhlXY29AE4k9" int2:id="8nFoiXSK">
      <int2:state int2:value="Rejected" int2:type="spell"/>
    </int2:textHash>
    <int2:textHash int2:hashCode="hqxIJtPcPiCk73" int2:id="AN2Kfg4H">
      <int2:state int2:value="Rejected" int2:type="spell"/>
    </int2:textHash>
    <int2:textHash int2:hashCode="4DYQrESH/IgfBC" int2:id="KQVwBlxe">
      <int2:state int2:value="Rejected" int2:type="spell"/>
    </int2:textHash>
    <int2:textHash int2:hashCode="M42BfruQIhtHKl" int2:id="SBsVuREo">
      <int2:state int2:value="Rejected" int2:type="spell"/>
    </int2:textHash>
    <int2:textHash int2:hashCode="uqpEHmPj+Tw7M4" int2:id="skun2Oll">
      <int2:state int2:value="Rejected" int2:type="spell"/>
    </int2:textHash>
    <int2:textHash int2:hashCode="GP13lQxfkdY8do" int2:id="wtn8bDC4">
      <int2:state int2:value="Rejected" int2:type="spell"/>
    </int2:textHash>
    <int2:bookmark int2:bookmarkName="_Int_8uIaC5FR" int2:invalidationBookmarkName="" int2:hashCode="3pi//b4fM/Aaqi" int2:id="24zmKS24">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BF30C"/>
    <w:multiLevelType w:val="hybridMultilevel"/>
    <w:tmpl w:val="91ACECA6"/>
    <w:lvl w:ilvl="0" w:tplc="57B6543A">
      <w:start w:val="1"/>
      <w:numFmt w:val="bullet"/>
      <w:lvlText w:val=""/>
      <w:lvlJc w:val="left"/>
      <w:pPr>
        <w:ind w:left="720" w:hanging="360"/>
      </w:pPr>
      <w:rPr>
        <w:rFonts w:ascii="Wingdings" w:hAnsi="Wingdings" w:hint="default"/>
      </w:rPr>
    </w:lvl>
    <w:lvl w:ilvl="1" w:tplc="AB0A51AC">
      <w:start w:val="1"/>
      <w:numFmt w:val="bullet"/>
      <w:lvlText w:val="o"/>
      <w:lvlJc w:val="left"/>
      <w:pPr>
        <w:ind w:left="1440" w:hanging="360"/>
      </w:pPr>
      <w:rPr>
        <w:rFonts w:ascii="Courier New" w:hAnsi="Courier New" w:hint="default"/>
      </w:rPr>
    </w:lvl>
    <w:lvl w:ilvl="2" w:tplc="C300589C">
      <w:start w:val="1"/>
      <w:numFmt w:val="bullet"/>
      <w:lvlText w:val=""/>
      <w:lvlJc w:val="left"/>
      <w:pPr>
        <w:ind w:left="2160" w:hanging="360"/>
      </w:pPr>
      <w:rPr>
        <w:rFonts w:ascii="Wingdings" w:hAnsi="Wingdings" w:hint="default"/>
      </w:rPr>
    </w:lvl>
    <w:lvl w:ilvl="3" w:tplc="DD3CE4B2">
      <w:start w:val="1"/>
      <w:numFmt w:val="bullet"/>
      <w:lvlText w:val=""/>
      <w:lvlJc w:val="left"/>
      <w:pPr>
        <w:ind w:left="2880" w:hanging="360"/>
      </w:pPr>
      <w:rPr>
        <w:rFonts w:ascii="Symbol" w:hAnsi="Symbol" w:hint="default"/>
      </w:rPr>
    </w:lvl>
    <w:lvl w:ilvl="4" w:tplc="0218A344">
      <w:start w:val="1"/>
      <w:numFmt w:val="bullet"/>
      <w:lvlText w:val="o"/>
      <w:lvlJc w:val="left"/>
      <w:pPr>
        <w:ind w:left="3600" w:hanging="360"/>
      </w:pPr>
      <w:rPr>
        <w:rFonts w:ascii="Courier New" w:hAnsi="Courier New" w:hint="default"/>
      </w:rPr>
    </w:lvl>
    <w:lvl w:ilvl="5" w:tplc="0EAE8BC4">
      <w:start w:val="1"/>
      <w:numFmt w:val="bullet"/>
      <w:lvlText w:val=""/>
      <w:lvlJc w:val="left"/>
      <w:pPr>
        <w:ind w:left="4320" w:hanging="360"/>
      </w:pPr>
      <w:rPr>
        <w:rFonts w:ascii="Wingdings" w:hAnsi="Wingdings" w:hint="default"/>
      </w:rPr>
    </w:lvl>
    <w:lvl w:ilvl="6" w:tplc="68DE6324">
      <w:start w:val="1"/>
      <w:numFmt w:val="bullet"/>
      <w:lvlText w:val=""/>
      <w:lvlJc w:val="left"/>
      <w:pPr>
        <w:ind w:left="5040" w:hanging="360"/>
      </w:pPr>
      <w:rPr>
        <w:rFonts w:ascii="Symbol" w:hAnsi="Symbol" w:hint="default"/>
      </w:rPr>
    </w:lvl>
    <w:lvl w:ilvl="7" w:tplc="B588B5CA">
      <w:start w:val="1"/>
      <w:numFmt w:val="bullet"/>
      <w:lvlText w:val="o"/>
      <w:lvlJc w:val="left"/>
      <w:pPr>
        <w:ind w:left="5760" w:hanging="360"/>
      </w:pPr>
      <w:rPr>
        <w:rFonts w:ascii="Courier New" w:hAnsi="Courier New" w:hint="default"/>
      </w:rPr>
    </w:lvl>
    <w:lvl w:ilvl="8" w:tplc="806C24AA">
      <w:start w:val="1"/>
      <w:numFmt w:val="bullet"/>
      <w:lvlText w:val=""/>
      <w:lvlJc w:val="left"/>
      <w:pPr>
        <w:ind w:left="6480" w:hanging="360"/>
      </w:pPr>
      <w:rPr>
        <w:rFonts w:ascii="Wingdings" w:hAnsi="Wingdings" w:hint="default"/>
      </w:rPr>
    </w:lvl>
  </w:abstractNum>
  <w:abstractNum w:abstractNumId="1" w15:restartNumberingAfterBreak="0">
    <w:nsid w:val="02DD14C2"/>
    <w:multiLevelType w:val="hybridMultilevel"/>
    <w:tmpl w:val="2DCA03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5B04DE6"/>
    <w:multiLevelType w:val="hybridMultilevel"/>
    <w:tmpl w:val="695451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5C337D1"/>
    <w:multiLevelType w:val="hybridMultilevel"/>
    <w:tmpl w:val="A8F89B3A"/>
    <w:lvl w:ilvl="0" w:tplc="FFFFFFFF">
      <w:start w:val="6"/>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601FF1F"/>
    <w:multiLevelType w:val="hybridMultilevel"/>
    <w:tmpl w:val="4FCEE022"/>
    <w:lvl w:ilvl="0" w:tplc="35DA41B6">
      <w:start w:val="1"/>
      <w:numFmt w:val="decimal"/>
      <w:lvlText w:val="%1."/>
      <w:lvlJc w:val="left"/>
      <w:pPr>
        <w:ind w:left="720" w:hanging="360"/>
      </w:pPr>
    </w:lvl>
    <w:lvl w:ilvl="1" w:tplc="43E6254E">
      <w:start w:val="1"/>
      <w:numFmt w:val="lowerLetter"/>
      <w:lvlText w:val="%2."/>
      <w:lvlJc w:val="left"/>
      <w:pPr>
        <w:ind w:left="1440" w:hanging="360"/>
      </w:pPr>
    </w:lvl>
    <w:lvl w:ilvl="2" w:tplc="756E6CE2">
      <w:start w:val="1"/>
      <w:numFmt w:val="lowerRoman"/>
      <w:lvlText w:val="%3."/>
      <w:lvlJc w:val="right"/>
      <w:pPr>
        <w:ind w:left="2160" w:hanging="180"/>
      </w:pPr>
    </w:lvl>
    <w:lvl w:ilvl="3" w:tplc="7D8CE6C8">
      <w:start w:val="1"/>
      <w:numFmt w:val="decimal"/>
      <w:lvlText w:val="%4."/>
      <w:lvlJc w:val="left"/>
      <w:pPr>
        <w:ind w:left="2880" w:hanging="360"/>
      </w:pPr>
    </w:lvl>
    <w:lvl w:ilvl="4" w:tplc="23027B16">
      <w:start w:val="1"/>
      <w:numFmt w:val="lowerLetter"/>
      <w:lvlText w:val="%5."/>
      <w:lvlJc w:val="left"/>
      <w:pPr>
        <w:ind w:left="3600" w:hanging="360"/>
      </w:pPr>
    </w:lvl>
    <w:lvl w:ilvl="5" w:tplc="8C9E2462">
      <w:start w:val="1"/>
      <w:numFmt w:val="lowerRoman"/>
      <w:lvlText w:val="%6."/>
      <w:lvlJc w:val="right"/>
      <w:pPr>
        <w:ind w:left="4320" w:hanging="180"/>
      </w:pPr>
    </w:lvl>
    <w:lvl w:ilvl="6" w:tplc="414C817C">
      <w:start w:val="1"/>
      <w:numFmt w:val="decimal"/>
      <w:lvlText w:val="%7."/>
      <w:lvlJc w:val="left"/>
      <w:pPr>
        <w:ind w:left="5040" w:hanging="360"/>
      </w:pPr>
    </w:lvl>
    <w:lvl w:ilvl="7" w:tplc="0AB4EFC2">
      <w:start w:val="1"/>
      <w:numFmt w:val="lowerLetter"/>
      <w:lvlText w:val="%8."/>
      <w:lvlJc w:val="left"/>
      <w:pPr>
        <w:ind w:left="5760" w:hanging="360"/>
      </w:pPr>
    </w:lvl>
    <w:lvl w:ilvl="8" w:tplc="9850E224">
      <w:start w:val="1"/>
      <w:numFmt w:val="lowerRoman"/>
      <w:lvlText w:val="%9."/>
      <w:lvlJc w:val="right"/>
      <w:pPr>
        <w:ind w:left="6480" w:hanging="180"/>
      </w:pPr>
    </w:lvl>
  </w:abstractNum>
  <w:abstractNum w:abstractNumId="5" w15:restartNumberingAfterBreak="0">
    <w:nsid w:val="06965C94"/>
    <w:multiLevelType w:val="hybridMultilevel"/>
    <w:tmpl w:val="D25214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7115531"/>
    <w:multiLevelType w:val="hybridMultilevel"/>
    <w:tmpl w:val="D37CF1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72F52A8"/>
    <w:multiLevelType w:val="multilevel"/>
    <w:tmpl w:val="758C02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8E14666"/>
    <w:multiLevelType w:val="hybridMultilevel"/>
    <w:tmpl w:val="68089C48"/>
    <w:lvl w:ilvl="0" w:tplc="5E8215CE">
      <w:start w:val="1"/>
      <w:numFmt w:val="bullet"/>
      <w:lvlText w:val="-"/>
      <w:lvlJc w:val="left"/>
      <w:pPr>
        <w:ind w:left="720" w:hanging="360"/>
      </w:pPr>
      <w:rPr>
        <w:rFonts w:ascii="Arial" w:hAnsi="Arial" w:hint="default"/>
      </w:rPr>
    </w:lvl>
    <w:lvl w:ilvl="1" w:tplc="F294A16A" w:tentative="1">
      <w:start w:val="1"/>
      <w:numFmt w:val="bullet"/>
      <w:lvlText w:val="o"/>
      <w:lvlJc w:val="left"/>
      <w:pPr>
        <w:ind w:left="1440" w:hanging="360"/>
      </w:pPr>
      <w:rPr>
        <w:rFonts w:ascii="Courier New" w:hAnsi="Courier New" w:hint="default"/>
      </w:rPr>
    </w:lvl>
    <w:lvl w:ilvl="2" w:tplc="F9EC9D74" w:tentative="1">
      <w:start w:val="1"/>
      <w:numFmt w:val="bullet"/>
      <w:lvlText w:val=""/>
      <w:lvlJc w:val="left"/>
      <w:pPr>
        <w:ind w:left="2160" w:hanging="360"/>
      </w:pPr>
      <w:rPr>
        <w:rFonts w:ascii="Wingdings" w:hAnsi="Wingdings" w:hint="default"/>
      </w:rPr>
    </w:lvl>
    <w:lvl w:ilvl="3" w:tplc="ED2A076A" w:tentative="1">
      <w:start w:val="1"/>
      <w:numFmt w:val="bullet"/>
      <w:lvlText w:val=""/>
      <w:lvlJc w:val="left"/>
      <w:pPr>
        <w:ind w:left="2880" w:hanging="360"/>
      </w:pPr>
      <w:rPr>
        <w:rFonts w:ascii="Symbol" w:hAnsi="Symbol" w:hint="default"/>
      </w:rPr>
    </w:lvl>
    <w:lvl w:ilvl="4" w:tplc="EB7EE650" w:tentative="1">
      <w:start w:val="1"/>
      <w:numFmt w:val="bullet"/>
      <w:lvlText w:val="o"/>
      <w:lvlJc w:val="left"/>
      <w:pPr>
        <w:ind w:left="3600" w:hanging="360"/>
      </w:pPr>
      <w:rPr>
        <w:rFonts w:ascii="Courier New" w:hAnsi="Courier New" w:hint="default"/>
      </w:rPr>
    </w:lvl>
    <w:lvl w:ilvl="5" w:tplc="4558D0A6" w:tentative="1">
      <w:start w:val="1"/>
      <w:numFmt w:val="bullet"/>
      <w:lvlText w:val=""/>
      <w:lvlJc w:val="left"/>
      <w:pPr>
        <w:ind w:left="4320" w:hanging="360"/>
      </w:pPr>
      <w:rPr>
        <w:rFonts w:ascii="Wingdings" w:hAnsi="Wingdings" w:hint="default"/>
      </w:rPr>
    </w:lvl>
    <w:lvl w:ilvl="6" w:tplc="18328292" w:tentative="1">
      <w:start w:val="1"/>
      <w:numFmt w:val="bullet"/>
      <w:lvlText w:val=""/>
      <w:lvlJc w:val="left"/>
      <w:pPr>
        <w:ind w:left="5040" w:hanging="360"/>
      </w:pPr>
      <w:rPr>
        <w:rFonts w:ascii="Symbol" w:hAnsi="Symbol" w:hint="default"/>
      </w:rPr>
    </w:lvl>
    <w:lvl w:ilvl="7" w:tplc="A69E8F58" w:tentative="1">
      <w:start w:val="1"/>
      <w:numFmt w:val="bullet"/>
      <w:lvlText w:val="o"/>
      <w:lvlJc w:val="left"/>
      <w:pPr>
        <w:ind w:left="5760" w:hanging="360"/>
      </w:pPr>
      <w:rPr>
        <w:rFonts w:ascii="Courier New" w:hAnsi="Courier New" w:hint="default"/>
      </w:rPr>
    </w:lvl>
    <w:lvl w:ilvl="8" w:tplc="B9E284FA" w:tentative="1">
      <w:start w:val="1"/>
      <w:numFmt w:val="bullet"/>
      <w:lvlText w:val=""/>
      <w:lvlJc w:val="left"/>
      <w:pPr>
        <w:ind w:left="6480" w:hanging="360"/>
      </w:pPr>
      <w:rPr>
        <w:rFonts w:ascii="Wingdings" w:hAnsi="Wingdings" w:hint="default"/>
      </w:rPr>
    </w:lvl>
  </w:abstractNum>
  <w:abstractNum w:abstractNumId="9" w15:restartNumberingAfterBreak="0">
    <w:nsid w:val="0A133C63"/>
    <w:multiLevelType w:val="multilevel"/>
    <w:tmpl w:val="CFDA569A"/>
    <w:lvl w:ilvl="0">
      <w:start w:val="10"/>
      <w:numFmt w:val="decimal"/>
      <w:lvlText w:val="%1."/>
      <w:lvlJc w:val="left"/>
      <w:pPr>
        <w:ind w:left="540" w:hanging="54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A2A2F6A"/>
    <w:multiLevelType w:val="multilevel"/>
    <w:tmpl w:val="453C8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C6819AB"/>
    <w:multiLevelType w:val="multilevel"/>
    <w:tmpl w:val="B93E2876"/>
    <w:lvl w:ilvl="0">
      <w:start w:val="4"/>
      <w:numFmt w:val="decimal"/>
      <w:lvlText w:val="%1."/>
      <w:lvlJc w:val="left"/>
      <w:pPr>
        <w:ind w:left="390" w:hanging="390"/>
      </w:pPr>
      <w:rPr>
        <w:rFonts w:hint="default"/>
        <w:b/>
        <w:bCs/>
        <w:color w:val="auto"/>
      </w:rPr>
    </w:lvl>
    <w:lvl w:ilvl="1">
      <w:start w:val="1"/>
      <w:numFmt w:val="decimal"/>
      <w:lvlText w:val="%1.%2."/>
      <w:lvlJc w:val="left"/>
      <w:pPr>
        <w:ind w:left="982" w:hanging="720"/>
      </w:pPr>
      <w:rPr>
        <w:rFonts w:hint="default"/>
      </w:rPr>
    </w:lvl>
    <w:lvl w:ilvl="2">
      <w:start w:val="1"/>
      <w:numFmt w:val="decimal"/>
      <w:lvlText w:val="%1.%2.%3."/>
      <w:lvlJc w:val="left"/>
      <w:pPr>
        <w:ind w:left="1287" w:hanging="720"/>
      </w:pPr>
      <w:rPr>
        <w:rFonts w:hint="default"/>
        <w:b w:val="0"/>
        <w:bCs w:val="0"/>
        <w:color w:val="auto"/>
      </w:rPr>
    </w:lvl>
    <w:lvl w:ilvl="3">
      <w:start w:val="1"/>
      <w:numFmt w:val="decimal"/>
      <w:lvlText w:val="%1.%2.%3.%4."/>
      <w:lvlJc w:val="left"/>
      <w:pPr>
        <w:ind w:left="1866" w:hanging="1080"/>
      </w:pPr>
      <w:rPr>
        <w:rFonts w:hint="default"/>
        <w:b w:val="0"/>
        <w:bCs w:val="0"/>
      </w:rPr>
    </w:lvl>
    <w:lvl w:ilvl="4">
      <w:start w:val="1"/>
      <w:numFmt w:val="decimal"/>
      <w:lvlText w:val="%1.%2.%3.%4.%5."/>
      <w:lvlJc w:val="left"/>
      <w:pPr>
        <w:ind w:left="2128" w:hanging="1080"/>
      </w:pPr>
      <w:rPr>
        <w:rFonts w:hint="default"/>
      </w:rPr>
    </w:lvl>
    <w:lvl w:ilvl="5">
      <w:start w:val="1"/>
      <w:numFmt w:val="decimal"/>
      <w:lvlText w:val="%1.%2.%3.%4.%5.%6."/>
      <w:lvlJc w:val="left"/>
      <w:pPr>
        <w:ind w:left="2750" w:hanging="1440"/>
      </w:pPr>
      <w:rPr>
        <w:rFonts w:hint="default"/>
      </w:rPr>
    </w:lvl>
    <w:lvl w:ilvl="6">
      <w:start w:val="1"/>
      <w:numFmt w:val="decimal"/>
      <w:lvlText w:val="%1.%2.%3.%4.%5.%6.%7."/>
      <w:lvlJc w:val="left"/>
      <w:pPr>
        <w:ind w:left="3012" w:hanging="1440"/>
      </w:pPr>
      <w:rPr>
        <w:rFonts w:hint="default"/>
      </w:rPr>
    </w:lvl>
    <w:lvl w:ilvl="7">
      <w:start w:val="1"/>
      <w:numFmt w:val="decimal"/>
      <w:lvlText w:val="%1.%2.%3.%4.%5.%6.%7.%8."/>
      <w:lvlJc w:val="left"/>
      <w:pPr>
        <w:ind w:left="3634" w:hanging="1800"/>
      </w:pPr>
      <w:rPr>
        <w:rFonts w:hint="default"/>
      </w:rPr>
    </w:lvl>
    <w:lvl w:ilvl="8">
      <w:start w:val="1"/>
      <w:numFmt w:val="decimal"/>
      <w:lvlText w:val="%1.%2.%3.%4.%5.%6.%7.%8.%9."/>
      <w:lvlJc w:val="left"/>
      <w:pPr>
        <w:ind w:left="4256" w:hanging="2160"/>
      </w:pPr>
      <w:rPr>
        <w:rFonts w:hint="default"/>
      </w:rPr>
    </w:lvl>
  </w:abstractNum>
  <w:abstractNum w:abstractNumId="12" w15:restartNumberingAfterBreak="0">
    <w:nsid w:val="0D9A784F"/>
    <w:multiLevelType w:val="hybridMultilevel"/>
    <w:tmpl w:val="733E94DC"/>
    <w:lvl w:ilvl="0" w:tplc="A71C6108">
      <w:start w:val="1"/>
      <w:numFmt w:val="bullet"/>
      <w:lvlText w:val="-"/>
      <w:lvlJc w:val="left"/>
      <w:pPr>
        <w:ind w:left="720" w:hanging="360"/>
      </w:pPr>
      <w:rPr>
        <w:rFonts w:ascii="Arial" w:hAnsi="Arial" w:hint="default"/>
      </w:rPr>
    </w:lvl>
    <w:lvl w:ilvl="1" w:tplc="0ED2E4E2" w:tentative="1">
      <w:start w:val="1"/>
      <w:numFmt w:val="bullet"/>
      <w:lvlText w:val="o"/>
      <w:lvlJc w:val="left"/>
      <w:pPr>
        <w:ind w:left="1440" w:hanging="360"/>
      </w:pPr>
      <w:rPr>
        <w:rFonts w:ascii="Courier New" w:hAnsi="Courier New" w:hint="default"/>
      </w:rPr>
    </w:lvl>
    <w:lvl w:ilvl="2" w:tplc="5F6416A2" w:tentative="1">
      <w:start w:val="1"/>
      <w:numFmt w:val="bullet"/>
      <w:lvlText w:val=""/>
      <w:lvlJc w:val="left"/>
      <w:pPr>
        <w:ind w:left="2160" w:hanging="360"/>
      </w:pPr>
      <w:rPr>
        <w:rFonts w:ascii="Wingdings" w:hAnsi="Wingdings" w:hint="default"/>
      </w:rPr>
    </w:lvl>
    <w:lvl w:ilvl="3" w:tplc="C8F04A42" w:tentative="1">
      <w:start w:val="1"/>
      <w:numFmt w:val="bullet"/>
      <w:lvlText w:val=""/>
      <w:lvlJc w:val="left"/>
      <w:pPr>
        <w:ind w:left="2880" w:hanging="360"/>
      </w:pPr>
      <w:rPr>
        <w:rFonts w:ascii="Symbol" w:hAnsi="Symbol" w:hint="default"/>
      </w:rPr>
    </w:lvl>
    <w:lvl w:ilvl="4" w:tplc="59C442CA" w:tentative="1">
      <w:start w:val="1"/>
      <w:numFmt w:val="bullet"/>
      <w:lvlText w:val="o"/>
      <w:lvlJc w:val="left"/>
      <w:pPr>
        <w:ind w:left="3600" w:hanging="360"/>
      </w:pPr>
      <w:rPr>
        <w:rFonts w:ascii="Courier New" w:hAnsi="Courier New" w:hint="default"/>
      </w:rPr>
    </w:lvl>
    <w:lvl w:ilvl="5" w:tplc="91366384" w:tentative="1">
      <w:start w:val="1"/>
      <w:numFmt w:val="bullet"/>
      <w:lvlText w:val=""/>
      <w:lvlJc w:val="left"/>
      <w:pPr>
        <w:ind w:left="4320" w:hanging="360"/>
      </w:pPr>
      <w:rPr>
        <w:rFonts w:ascii="Wingdings" w:hAnsi="Wingdings" w:hint="default"/>
      </w:rPr>
    </w:lvl>
    <w:lvl w:ilvl="6" w:tplc="5A8C0F58" w:tentative="1">
      <w:start w:val="1"/>
      <w:numFmt w:val="bullet"/>
      <w:lvlText w:val=""/>
      <w:lvlJc w:val="left"/>
      <w:pPr>
        <w:ind w:left="5040" w:hanging="360"/>
      </w:pPr>
      <w:rPr>
        <w:rFonts w:ascii="Symbol" w:hAnsi="Symbol" w:hint="default"/>
      </w:rPr>
    </w:lvl>
    <w:lvl w:ilvl="7" w:tplc="05E46990" w:tentative="1">
      <w:start w:val="1"/>
      <w:numFmt w:val="bullet"/>
      <w:lvlText w:val="o"/>
      <w:lvlJc w:val="left"/>
      <w:pPr>
        <w:ind w:left="5760" w:hanging="360"/>
      </w:pPr>
      <w:rPr>
        <w:rFonts w:ascii="Courier New" w:hAnsi="Courier New" w:hint="default"/>
      </w:rPr>
    </w:lvl>
    <w:lvl w:ilvl="8" w:tplc="120807D6" w:tentative="1">
      <w:start w:val="1"/>
      <w:numFmt w:val="bullet"/>
      <w:lvlText w:val=""/>
      <w:lvlJc w:val="left"/>
      <w:pPr>
        <w:ind w:left="6480" w:hanging="360"/>
      </w:pPr>
      <w:rPr>
        <w:rFonts w:ascii="Wingdings" w:hAnsi="Wingdings" w:hint="default"/>
      </w:rPr>
    </w:lvl>
  </w:abstractNum>
  <w:abstractNum w:abstractNumId="13" w15:restartNumberingAfterBreak="0">
    <w:nsid w:val="0E8E0F3A"/>
    <w:multiLevelType w:val="multilevel"/>
    <w:tmpl w:val="BEF8E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2627B77"/>
    <w:multiLevelType w:val="hybridMultilevel"/>
    <w:tmpl w:val="CE3A0192"/>
    <w:lvl w:ilvl="0" w:tplc="90AA69E4">
      <w:start w:val="1"/>
      <w:numFmt w:val="bullet"/>
      <w:lvlText w:val="•"/>
      <w:lvlJc w:val="left"/>
      <w:pPr>
        <w:tabs>
          <w:tab w:val="num" w:pos="720"/>
        </w:tabs>
        <w:ind w:left="720" w:hanging="360"/>
      </w:pPr>
      <w:rPr>
        <w:rFonts w:ascii="Arial" w:hAnsi="Arial" w:hint="default"/>
      </w:rPr>
    </w:lvl>
    <w:lvl w:ilvl="1" w:tplc="BEFA1F8A" w:tentative="1">
      <w:start w:val="1"/>
      <w:numFmt w:val="bullet"/>
      <w:lvlText w:val="•"/>
      <w:lvlJc w:val="left"/>
      <w:pPr>
        <w:tabs>
          <w:tab w:val="num" w:pos="1440"/>
        </w:tabs>
        <w:ind w:left="1440" w:hanging="360"/>
      </w:pPr>
      <w:rPr>
        <w:rFonts w:ascii="Arial" w:hAnsi="Arial" w:hint="default"/>
      </w:rPr>
    </w:lvl>
    <w:lvl w:ilvl="2" w:tplc="5D0E792C" w:tentative="1">
      <w:start w:val="1"/>
      <w:numFmt w:val="bullet"/>
      <w:lvlText w:val="•"/>
      <w:lvlJc w:val="left"/>
      <w:pPr>
        <w:tabs>
          <w:tab w:val="num" w:pos="2160"/>
        </w:tabs>
        <w:ind w:left="2160" w:hanging="360"/>
      </w:pPr>
      <w:rPr>
        <w:rFonts w:ascii="Arial" w:hAnsi="Arial" w:hint="default"/>
      </w:rPr>
    </w:lvl>
    <w:lvl w:ilvl="3" w:tplc="ED3A62AC" w:tentative="1">
      <w:start w:val="1"/>
      <w:numFmt w:val="bullet"/>
      <w:lvlText w:val="•"/>
      <w:lvlJc w:val="left"/>
      <w:pPr>
        <w:tabs>
          <w:tab w:val="num" w:pos="2880"/>
        </w:tabs>
        <w:ind w:left="2880" w:hanging="360"/>
      </w:pPr>
      <w:rPr>
        <w:rFonts w:ascii="Arial" w:hAnsi="Arial" w:hint="default"/>
      </w:rPr>
    </w:lvl>
    <w:lvl w:ilvl="4" w:tplc="C6C86DAA" w:tentative="1">
      <w:start w:val="1"/>
      <w:numFmt w:val="bullet"/>
      <w:lvlText w:val="•"/>
      <w:lvlJc w:val="left"/>
      <w:pPr>
        <w:tabs>
          <w:tab w:val="num" w:pos="3600"/>
        </w:tabs>
        <w:ind w:left="3600" w:hanging="360"/>
      </w:pPr>
      <w:rPr>
        <w:rFonts w:ascii="Arial" w:hAnsi="Arial" w:hint="default"/>
      </w:rPr>
    </w:lvl>
    <w:lvl w:ilvl="5" w:tplc="9F5E5316" w:tentative="1">
      <w:start w:val="1"/>
      <w:numFmt w:val="bullet"/>
      <w:lvlText w:val="•"/>
      <w:lvlJc w:val="left"/>
      <w:pPr>
        <w:tabs>
          <w:tab w:val="num" w:pos="4320"/>
        </w:tabs>
        <w:ind w:left="4320" w:hanging="360"/>
      </w:pPr>
      <w:rPr>
        <w:rFonts w:ascii="Arial" w:hAnsi="Arial" w:hint="default"/>
      </w:rPr>
    </w:lvl>
    <w:lvl w:ilvl="6" w:tplc="ED6AAEEC" w:tentative="1">
      <w:start w:val="1"/>
      <w:numFmt w:val="bullet"/>
      <w:lvlText w:val="•"/>
      <w:lvlJc w:val="left"/>
      <w:pPr>
        <w:tabs>
          <w:tab w:val="num" w:pos="5040"/>
        </w:tabs>
        <w:ind w:left="5040" w:hanging="360"/>
      </w:pPr>
      <w:rPr>
        <w:rFonts w:ascii="Arial" w:hAnsi="Arial" w:hint="default"/>
      </w:rPr>
    </w:lvl>
    <w:lvl w:ilvl="7" w:tplc="3A367290" w:tentative="1">
      <w:start w:val="1"/>
      <w:numFmt w:val="bullet"/>
      <w:lvlText w:val="•"/>
      <w:lvlJc w:val="left"/>
      <w:pPr>
        <w:tabs>
          <w:tab w:val="num" w:pos="5760"/>
        </w:tabs>
        <w:ind w:left="5760" w:hanging="360"/>
      </w:pPr>
      <w:rPr>
        <w:rFonts w:ascii="Arial" w:hAnsi="Arial" w:hint="default"/>
      </w:rPr>
    </w:lvl>
    <w:lvl w:ilvl="8" w:tplc="58A4271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2C42064"/>
    <w:multiLevelType w:val="hybridMultilevel"/>
    <w:tmpl w:val="899E0E26"/>
    <w:lvl w:ilvl="0" w:tplc="191EEE38">
      <w:numFmt w:val="bullet"/>
      <w:lvlText w:val="-"/>
      <w:lvlJc w:val="left"/>
      <w:pPr>
        <w:ind w:left="720" w:hanging="360"/>
      </w:pPr>
      <w:rPr>
        <w:rFonts w:ascii="Aptos" w:hAnsi="Aptos" w:hint="default"/>
      </w:rPr>
    </w:lvl>
    <w:lvl w:ilvl="1" w:tplc="6EA2B85A" w:tentative="1">
      <w:start w:val="1"/>
      <w:numFmt w:val="bullet"/>
      <w:lvlText w:val="o"/>
      <w:lvlJc w:val="left"/>
      <w:pPr>
        <w:ind w:left="1440" w:hanging="360"/>
      </w:pPr>
      <w:rPr>
        <w:rFonts w:ascii="Courier New" w:hAnsi="Courier New" w:hint="default"/>
      </w:rPr>
    </w:lvl>
    <w:lvl w:ilvl="2" w:tplc="0D66577E" w:tentative="1">
      <w:start w:val="1"/>
      <w:numFmt w:val="bullet"/>
      <w:lvlText w:val=""/>
      <w:lvlJc w:val="left"/>
      <w:pPr>
        <w:ind w:left="2160" w:hanging="360"/>
      </w:pPr>
      <w:rPr>
        <w:rFonts w:ascii="Wingdings" w:hAnsi="Wingdings" w:hint="default"/>
      </w:rPr>
    </w:lvl>
    <w:lvl w:ilvl="3" w:tplc="F1B68E18" w:tentative="1">
      <w:start w:val="1"/>
      <w:numFmt w:val="bullet"/>
      <w:lvlText w:val=""/>
      <w:lvlJc w:val="left"/>
      <w:pPr>
        <w:ind w:left="2880" w:hanging="360"/>
      </w:pPr>
      <w:rPr>
        <w:rFonts w:ascii="Symbol" w:hAnsi="Symbol" w:hint="default"/>
      </w:rPr>
    </w:lvl>
    <w:lvl w:ilvl="4" w:tplc="906C0DDC" w:tentative="1">
      <w:start w:val="1"/>
      <w:numFmt w:val="bullet"/>
      <w:lvlText w:val="o"/>
      <w:lvlJc w:val="left"/>
      <w:pPr>
        <w:ind w:left="3600" w:hanging="360"/>
      </w:pPr>
      <w:rPr>
        <w:rFonts w:ascii="Courier New" w:hAnsi="Courier New" w:hint="default"/>
      </w:rPr>
    </w:lvl>
    <w:lvl w:ilvl="5" w:tplc="146846A8" w:tentative="1">
      <w:start w:val="1"/>
      <w:numFmt w:val="bullet"/>
      <w:lvlText w:val=""/>
      <w:lvlJc w:val="left"/>
      <w:pPr>
        <w:ind w:left="4320" w:hanging="360"/>
      </w:pPr>
      <w:rPr>
        <w:rFonts w:ascii="Wingdings" w:hAnsi="Wingdings" w:hint="default"/>
      </w:rPr>
    </w:lvl>
    <w:lvl w:ilvl="6" w:tplc="FD265A92" w:tentative="1">
      <w:start w:val="1"/>
      <w:numFmt w:val="bullet"/>
      <w:lvlText w:val=""/>
      <w:lvlJc w:val="left"/>
      <w:pPr>
        <w:ind w:left="5040" w:hanging="360"/>
      </w:pPr>
      <w:rPr>
        <w:rFonts w:ascii="Symbol" w:hAnsi="Symbol" w:hint="default"/>
      </w:rPr>
    </w:lvl>
    <w:lvl w:ilvl="7" w:tplc="F0220C28" w:tentative="1">
      <w:start w:val="1"/>
      <w:numFmt w:val="bullet"/>
      <w:lvlText w:val="o"/>
      <w:lvlJc w:val="left"/>
      <w:pPr>
        <w:ind w:left="5760" w:hanging="360"/>
      </w:pPr>
      <w:rPr>
        <w:rFonts w:ascii="Courier New" w:hAnsi="Courier New" w:hint="default"/>
      </w:rPr>
    </w:lvl>
    <w:lvl w:ilvl="8" w:tplc="DC009090" w:tentative="1">
      <w:start w:val="1"/>
      <w:numFmt w:val="bullet"/>
      <w:lvlText w:val=""/>
      <w:lvlJc w:val="left"/>
      <w:pPr>
        <w:ind w:left="6480" w:hanging="360"/>
      </w:pPr>
      <w:rPr>
        <w:rFonts w:ascii="Wingdings" w:hAnsi="Wingdings" w:hint="default"/>
      </w:rPr>
    </w:lvl>
  </w:abstractNum>
  <w:abstractNum w:abstractNumId="16" w15:restartNumberingAfterBreak="0">
    <w:nsid w:val="14F23637"/>
    <w:multiLevelType w:val="multilevel"/>
    <w:tmpl w:val="4E44F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9AB5A26"/>
    <w:multiLevelType w:val="multilevel"/>
    <w:tmpl w:val="6DB42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CF04F8B"/>
    <w:multiLevelType w:val="hybridMultilevel"/>
    <w:tmpl w:val="BB8C82D6"/>
    <w:lvl w:ilvl="0" w:tplc="86087BC6">
      <w:start w:val="1"/>
      <w:numFmt w:val="bullet"/>
      <w:lvlText w:val="-"/>
      <w:lvlJc w:val="left"/>
      <w:pPr>
        <w:ind w:left="720" w:hanging="360"/>
      </w:pPr>
      <w:rPr>
        <w:rFonts w:ascii="Arial" w:hAnsi="Arial" w:hint="default"/>
      </w:rPr>
    </w:lvl>
    <w:lvl w:ilvl="1" w:tplc="B8726ABE" w:tentative="1">
      <w:start w:val="1"/>
      <w:numFmt w:val="bullet"/>
      <w:lvlText w:val="o"/>
      <w:lvlJc w:val="left"/>
      <w:pPr>
        <w:ind w:left="1440" w:hanging="360"/>
      </w:pPr>
      <w:rPr>
        <w:rFonts w:ascii="Courier New" w:hAnsi="Courier New" w:hint="default"/>
      </w:rPr>
    </w:lvl>
    <w:lvl w:ilvl="2" w:tplc="603E892C" w:tentative="1">
      <w:start w:val="1"/>
      <w:numFmt w:val="bullet"/>
      <w:lvlText w:val=""/>
      <w:lvlJc w:val="left"/>
      <w:pPr>
        <w:ind w:left="2160" w:hanging="360"/>
      </w:pPr>
      <w:rPr>
        <w:rFonts w:ascii="Wingdings" w:hAnsi="Wingdings" w:hint="default"/>
      </w:rPr>
    </w:lvl>
    <w:lvl w:ilvl="3" w:tplc="F0E63A9E" w:tentative="1">
      <w:start w:val="1"/>
      <w:numFmt w:val="bullet"/>
      <w:lvlText w:val=""/>
      <w:lvlJc w:val="left"/>
      <w:pPr>
        <w:ind w:left="2880" w:hanging="360"/>
      </w:pPr>
      <w:rPr>
        <w:rFonts w:ascii="Symbol" w:hAnsi="Symbol" w:hint="default"/>
      </w:rPr>
    </w:lvl>
    <w:lvl w:ilvl="4" w:tplc="1D6292F0" w:tentative="1">
      <w:start w:val="1"/>
      <w:numFmt w:val="bullet"/>
      <w:lvlText w:val="o"/>
      <w:lvlJc w:val="left"/>
      <w:pPr>
        <w:ind w:left="3600" w:hanging="360"/>
      </w:pPr>
      <w:rPr>
        <w:rFonts w:ascii="Courier New" w:hAnsi="Courier New" w:hint="default"/>
      </w:rPr>
    </w:lvl>
    <w:lvl w:ilvl="5" w:tplc="8B081CC4" w:tentative="1">
      <w:start w:val="1"/>
      <w:numFmt w:val="bullet"/>
      <w:lvlText w:val=""/>
      <w:lvlJc w:val="left"/>
      <w:pPr>
        <w:ind w:left="4320" w:hanging="360"/>
      </w:pPr>
      <w:rPr>
        <w:rFonts w:ascii="Wingdings" w:hAnsi="Wingdings" w:hint="default"/>
      </w:rPr>
    </w:lvl>
    <w:lvl w:ilvl="6" w:tplc="F9781FC0" w:tentative="1">
      <w:start w:val="1"/>
      <w:numFmt w:val="bullet"/>
      <w:lvlText w:val=""/>
      <w:lvlJc w:val="left"/>
      <w:pPr>
        <w:ind w:left="5040" w:hanging="360"/>
      </w:pPr>
      <w:rPr>
        <w:rFonts w:ascii="Symbol" w:hAnsi="Symbol" w:hint="default"/>
      </w:rPr>
    </w:lvl>
    <w:lvl w:ilvl="7" w:tplc="75441ECE" w:tentative="1">
      <w:start w:val="1"/>
      <w:numFmt w:val="bullet"/>
      <w:lvlText w:val="o"/>
      <w:lvlJc w:val="left"/>
      <w:pPr>
        <w:ind w:left="5760" w:hanging="360"/>
      </w:pPr>
      <w:rPr>
        <w:rFonts w:ascii="Courier New" w:hAnsi="Courier New" w:hint="default"/>
      </w:rPr>
    </w:lvl>
    <w:lvl w:ilvl="8" w:tplc="135AA7BA" w:tentative="1">
      <w:start w:val="1"/>
      <w:numFmt w:val="bullet"/>
      <w:lvlText w:val=""/>
      <w:lvlJc w:val="left"/>
      <w:pPr>
        <w:ind w:left="6480" w:hanging="360"/>
      </w:pPr>
      <w:rPr>
        <w:rFonts w:ascii="Wingdings" w:hAnsi="Wingdings" w:hint="default"/>
      </w:rPr>
    </w:lvl>
  </w:abstractNum>
  <w:abstractNum w:abstractNumId="19" w15:restartNumberingAfterBreak="0">
    <w:nsid w:val="1ECF3B33"/>
    <w:multiLevelType w:val="hybridMultilevel"/>
    <w:tmpl w:val="69DA68DE"/>
    <w:lvl w:ilvl="0" w:tplc="A65CBFC2">
      <w:numFmt w:val="bullet"/>
      <w:lvlText w:val="-"/>
      <w:lvlJc w:val="left"/>
      <w:pPr>
        <w:ind w:left="360" w:hanging="360"/>
      </w:pPr>
      <w:rPr>
        <w:rFonts w:ascii="Verdana" w:hAnsi="Verdana" w:hint="default"/>
      </w:rPr>
    </w:lvl>
    <w:lvl w:ilvl="1" w:tplc="09C4131E">
      <w:start w:val="1"/>
      <w:numFmt w:val="bullet"/>
      <w:lvlText w:val="o"/>
      <w:lvlJc w:val="left"/>
      <w:pPr>
        <w:ind w:left="1440" w:hanging="360"/>
      </w:pPr>
      <w:rPr>
        <w:rFonts w:ascii="Courier New" w:hAnsi="Courier New" w:hint="default"/>
      </w:rPr>
    </w:lvl>
    <w:lvl w:ilvl="2" w:tplc="A4749E24">
      <w:start w:val="1"/>
      <w:numFmt w:val="bullet"/>
      <w:lvlText w:val=""/>
      <w:lvlJc w:val="left"/>
      <w:pPr>
        <w:ind w:left="2160" w:hanging="360"/>
      </w:pPr>
      <w:rPr>
        <w:rFonts w:ascii="Wingdings" w:hAnsi="Wingdings" w:hint="default"/>
      </w:rPr>
    </w:lvl>
    <w:lvl w:ilvl="3" w:tplc="32F2C71E">
      <w:start w:val="1"/>
      <w:numFmt w:val="bullet"/>
      <w:lvlText w:val=""/>
      <w:lvlJc w:val="left"/>
      <w:pPr>
        <w:ind w:left="2880" w:hanging="360"/>
      </w:pPr>
      <w:rPr>
        <w:rFonts w:ascii="Symbol" w:hAnsi="Symbol" w:hint="default"/>
      </w:rPr>
    </w:lvl>
    <w:lvl w:ilvl="4" w:tplc="550054C2">
      <w:start w:val="1"/>
      <w:numFmt w:val="bullet"/>
      <w:lvlText w:val="o"/>
      <w:lvlJc w:val="left"/>
      <w:pPr>
        <w:ind w:left="3600" w:hanging="360"/>
      </w:pPr>
      <w:rPr>
        <w:rFonts w:ascii="Courier New" w:hAnsi="Courier New" w:hint="default"/>
      </w:rPr>
    </w:lvl>
    <w:lvl w:ilvl="5" w:tplc="1AF6D598">
      <w:start w:val="1"/>
      <w:numFmt w:val="bullet"/>
      <w:lvlText w:val=""/>
      <w:lvlJc w:val="left"/>
      <w:pPr>
        <w:ind w:left="4320" w:hanging="360"/>
      </w:pPr>
      <w:rPr>
        <w:rFonts w:ascii="Wingdings" w:hAnsi="Wingdings" w:hint="default"/>
      </w:rPr>
    </w:lvl>
    <w:lvl w:ilvl="6" w:tplc="C0144A32">
      <w:start w:val="1"/>
      <w:numFmt w:val="bullet"/>
      <w:lvlText w:val=""/>
      <w:lvlJc w:val="left"/>
      <w:pPr>
        <w:ind w:left="5040" w:hanging="360"/>
      </w:pPr>
      <w:rPr>
        <w:rFonts w:ascii="Symbol" w:hAnsi="Symbol" w:hint="default"/>
      </w:rPr>
    </w:lvl>
    <w:lvl w:ilvl="7" w:tplc="B8D8B794">
      <w:start w:val="1"/>
      <w:numFmt w:val="bullet"/>
      <w:lvlText w:val="o"/>
      <w:lvlJc w:val="left"/>
      <w:pPr>
        <w:ind w:left="5760" w:hanging="360"/>
      </w:pPr>
      <w:rPr>
        <w:rFonts w:ascii="Courier New" w:hAnsi="Courier New" w:hint="default"/>
      </w:rPr>
    </w:lvl>
    <w:lvl w:ilvl="8" w:tplc="423A2220">
      <w:start w:val="1"/>
      <w:numFmt w:val="bullet"/>
      <w:lvlText w:val=""/>
      <w:lvlJc w:val="left"/>
      <w:pPr>
        <w:ind w:left="6480" w:hanging="360"/>
      </w:pPr>
      <w:rPr>
        <w:rFonts w:ascii="Wingdings" w:hAnsi="Wingdings" w:hint="default"/>
      </w:rPr>
    </w:lvl>
  </w:abstractNum>
  <w:abstractNum w:abstractNumId="20" w15:restartNumberingAfterBreak="0">
    <w:nsid w:val="20034958"/>
    <w:multiLevelType w:val="hybridMultilevel"/>
    <w:tmpl w:val="FD1CB5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482551D"/>
    <w:multiLevelType w:val="hybridMultilevel"/>
    <w:tmpl w:val="B380DF9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2729A7C4"/>
    <w:multiLevelType w:val="hybridMultilevel"/>
    <w:tmpl w:val="8DFEB1F4"/>
    <w:lvl w:ilvl="0" w:tplc="7E90DC72">
      <w:start w:val="1"/>
      <w:numFmt w:val="bullet"/>
      <w:lvlText w:val=""/>
      <w:lvlJc w:val="left"/>
      <w:pPr>
        <w:ind w:left="720" w:hanging="360"/>
      </w:pPr>
      <w:rPr>
        <w:rFonts w:ascii="Symbol" w:hAnsi="Symbol" w:hint="default"/>
      </w:rPr>
    </w:lvl>
    <w:lvl w:ilvl="1" w:tplc="A07EAA2A">
      <w:start w:val="1"/>
      <w:numFmt w:val="bullet"/>
      <w:lvlText w:val="o"/>
      <w:lvlJc w:val="left"/>
      <w:pPr>
        <w:ind w:left="1440" w:hanging="360"/>
      </w:pPr>
      <w:rPr>
        <w:rFonts w:ascii="Courier New" w:hAnsi="Courier New" w:hint="default"/>
      </w:rPr>
    </w:lvl>
    <w:lvl w:ilvl="2" w:tplc="BD90E8A6">
      <w:start w:val="1"/>
      <w:numFmt w:val="bullet"/>
      <w:lvlText w:val=""/>
      <w:lvlJc w:val="left"/>
      <w:pPr>
        <w:ind w:left="2160" w:hanging="360"/>
      </w:pPr>
      <w:rPr>
        <w:rFonts w:ascii="Wingdings" w:hAnsi="Wingdings" w:hint="default"/>
      </w:rPr>
    </w:lvl>
    <w:lvl w:ilvl="3" w:tplc="EAEE3C02">
      <w:start w:val="1"/>
      <w:numFmt w:val="bullet"/>
      <w:lvlText w:val=""/>
      <w:lvlJc w:val="left"/>
      <w:pPr>
        <w:ind w:left="2880" w:hanging="360"/>
      </w:pPr>
      <w:rPr>
        <w:rFonts w:ascii="Symbol" w:hAnsi="Symbol" w:hint="default"/>
      </w:rPr>
    </w:lvl>
    <w:lvl w:ilvl="4" w:tplc="88407A78">
      <w:start w:val="1"/>
      <w:numFmt w:val="bullet"/>
      <w:lvlText w:val="o"/>
      <w:lvlJc w:val="left"/>
      <w:pPr>
        <w:ind w:left="3600" w:hanging="360"/>
      </w:pPr>
      <w:rPr>
        <w:rFonts w:ascii="Courier New" w:hAnsi="Courier New" w:hint="default"/>
      </w:rPr>
    </w:lvl>
    <w:lvl w:ilvl="5" w:tplc="CFD25F92">
      <w:start w:val="1"/>
      <w:numFmt w:val="bullet"/>
      <w:lvlText w:val=""/>
      <w:lvlJc w:val="left"/>
      <w:pPr>
        <w:ind w:left="4320" w:hanging="360"/>
      </w:pPr>
      <w:rPr>
        <w:rFonts w:ascii="Wingdings" w:hAnsi="Wingdings" w:hint="default"/>
      </w:rPr>
    </w:lvl>
    <w:lvl w:ilvl="6" w:tplc="BAD07644">
      <w:start w:val="1"/>
      <w:numFmt w:val="bullet"/>
      <w:lvlText w:val=""/>
      <w:lvlJc w:val="left"/>
      <w:pPr>
        <w:ind w:left="5040" w:hanging="360"/>
      </w:pPr>
      <w:rPr>
        <w:rFonts w:ascii="Symbol" w:hAnsi="Symbol" w:hint="default"/>
      </w:rPr>
    </w:lvl>
    <w:lvl w:ilvl="7" w:tplc="964ED2F4">
      <w:start w:val="1"/>
      <w:numFmt w:val="bullet"/>
      <w:lvlText w:val="o"/>
      <w:lvlJc w:val="left"/>
      <w:pPr>
        <w:ind w:left="5760" w:hanging="360"/>
      </w:pPr>
      <w:rPr>
        <w:rFonts w:ascii="Courier New" w:hAnsi="Courier New" w:hint="default"/>
      </w:rPr>
    </w:lvl>
    <w:lvl w:ilvl="8" w:tplc="9A542EDA">
      <w:start w:val="1"/>
      <w:numFmt w:val="bullet"/>
      <w:lvlText w:val=""/>
      <w:lvlJc w:val="left"/>
      <w:pPr>
        <w:ind w:left="6480" w:hanging="360"/>
      </w:pPr>
      <w:rPr>
        <w:rFonts w:ascii="Wingdings" w:hAnsi="Wingdings" w:hint="default"/>
      </w:rPr>
    </w:lvl>
  </w:abstractNum>
  <w:abstractNum w:abstractNumId="23" w15:restartNumberingAfterBreak="0">
    <w:nsid w:val="2A3167C0"/>
    <w:multiLevelType w:val="hybridMultilevel"/>
    <w:tmpl w:val="739A72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302E202E"/>
    <w:multiLevelType w:val="hybridMultilevel"/>
    <w:tmpl w:val="685ABC92"/>
    <w:lvl w:ilvl="0" w:tplc="0D5489FA">
      <w:start w:val="1"/>
      <w:numFmt w:val="bullet"/>
      <w:lvlText w:val=""/>
      <w:lvlJc w:val="left"/>
      <w:pPr>
        <w:ind w:left="720" w:hanging="360"/>
      </w:pPr>
      <w:rPr>
        <w:rFonts w:ascii="Symbol" w:hAnsi="Symbol" w:hint="default"/>
      </w:rPr>
    </w:lvl>
    <w:lvl w:ilvl="1" w:tplc="CA90A082" w:tentative="1">
      <w:start w:val="1"/>
      <w:numFmt w:val="bullet"/>
      <w:lvlText w:val="o"/>
      <w:lvlJc w:val="left"/>
      <w:pPr>
        <w:ind w:left="1440" w:hanging="360"/>
      </w:pPr>
      <w:rPr>
        <w:rFonts w:ascii="Courier New" w:hAnsi="Courier New" w:hint="default"/>
      </w:rPr>
    </w:lvl>
    <w:lvl w:ilvl="2" w:tplc="4320800A" w:tentative="1">
      <w:start w:val="1"/>
      <w:numFmt w:val="bullet"/>
      <w:lvlText w:val=""/>
      <w:lvlJc w:val="left"/>
      <w:pPr>
        <w:ind w:left="2160" w:hanging="360"/>
      </w:pPr>
      <w:rPr>
        <w:rFonts w:ascii="Wingdings" w:hAnsi="Wingdings" w:hint="default"/>
      </w:rPr>
    </w:lvl>
    <w:lvl w:ilvl="3" w:tplc="9610527C" w:tentative="1">
      <w:start w:val="1"/>
      <w:numFmt w:val="bullet"/>
      <w:lvlText w:val=""/>
      <w:lvlJc w:val="left"/>
      <w:pPr>
        <w:ind w:left="2880" w:hanging="360"/>
      </w:pPr>
      <w:rPr>
        <w:rFonts w:ascii="Symbol" w:hAnsi="Symbol" w:hint="default"/>
      </w:rPr>
    </w:lvl>
    <w:lvl w:ilvl="4" w:tplc="DD7C7824" w:tentative="1">
      <w:start w:val="1"/>
      <w:numFmt w:val="bullet"/>
      <w:lvlText w:val="o"/>
      <w:lvlJc w:val="left"/>
      <w:pPr>
        <w:ind w:left="3600" w:hanging="360"/>
      </w:pPr>
      <w:rPr>
        <w:rFonts w:ascii="Courier New" w:hAnsi="Courier New" w:hint="default"/>
      </w:rPr>
    </w:lvl>
    <w:lvl w:ilvl="5" w:tplc="92E62692" w:tentative="1">
      <w:start w:val="1"/>
      <w:numFmt w:val="bullet"/>
      <w:lvlText w:val=""/>
      <w:lvlJc w:val="left"/>
      <w:pPr>
        <w:ind w:left="4320" w:hanging="360"/>
      </w:pPr>
      <w:rPr>
        <w:rFonts w:ascii="Wingdings" w:hAnsi="Wingdings" w:hint="default"/>
      </w:rPr>
    </w:lvl>
    <w:lvl w:ilvl="6" w:tplc="1C9E387E" w:tentative="1">
      <w:start w:val="1"/>
      <w:numFmt w:val="bullet"/>
      <w:lvlText w:val=""/>
      <w:lvlJc w:val="left"/>
      <w:pPr>
        <w:ind w:left="5040" w:hanging="360"/>
      </w:pPr>
      <w:rPr>
        <w:rFonts w:ascii="Symbol" w:hAnsi="Symbol" w:hint="default"/>
      </w:rPr>
    </w:lvl>
    <w:lvl w:ilvl="7" w:tplc="A1943320" w:tentative="1">
      <w:start w:val="1"/>
      <w:numFmt w:val="bullet"/>
      <w:lvlText w:val="o"/>
      <w:lvlJc w:val="left"/>
      <w:pPr>
        <w:ind w:left="5760" w:hanging="360"/>
      </w:pPr>
      <w:rPr>
        <w:rFonts w:ascii="Courier New" w:hAnsi="Courier New" w:hint="default"/>
      </w:rPr>
    </w:lvl>
    <w:lvl w:ilvl="8" w:tplc="D3EA6462" w:tentative="1">
      <w:start w:val="1"/>
      <w:numFmt w:val="bullet"/>
      <w:lvlText w:val=""/>
      <w:lvlJc w:val="left"/>
      <w:pPr>
        <w:ind w:left="6480" w:hanging="360"/>
      </w:pPr>
      <w:rPr>
        <w:rFonts w:ascii="Wingdings" w:hAnsi="Wingdings" w:hint="default"/>
      </w:rPr>
    </w:lvl>
  </w:abstractNum>
  <w:abstractNum w:abstractNumId="25" w15:restartNumberingAfterBreak="0">
    <w:nsid w:val="32DD025F"/>
    <w:multiLevelType w:val="multilevel"/>
    <w:tmpl w:val="55CE17B0"/>
    <w:lvl w:ilvl="0">
      <w:start w:val="12"/>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33755539"/>
    <w:multiLevelType w:val="multilevel"/>
    <w:tmpl w:val="A72CD2B4"/>
    <w:lvl w:ilvl="0">
      <w:start w:val="1"/>
      <w:numFmt w:val="bullet"/>
      <w:lvlText w:val="-"/>
      <w:lvlJc w:val="left"/>
      <w:pPr>
        <w:tabs>
          <w:tab w:val="num" w:pos="1068"/>
        </w:tabs>
        <w:ind w:left="1068" w:hanging="360"/>
      </w:pPr>
      <w:rPr>
        <w:rFonts w:ascii="Arial" w:hAnsi="Aria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7" w15:restartNumberingAfterBreak="0">
    <w:nsid w:val="39BF0A44"/>
    <w:multiLevelType w:val="multilevel"/>
    <w:tmpl w:val="0409001F"/>
    <w:lvl w:ilvl="0">
      <w:start w:val="1"/>
      <w:numFmt w:val="decimal"/>
      <w:lvlText w:val="%1."/>
      <w:lvlJc w:val="left"/>
      <w:pPr>
        <w:ind w:left="360" w:hanging="360"/>
      </w:pPr>
      <w:rPr>
        <w:rFonts w:hint="default"/>
        <w:color w:val="auto"/>
      </w:rPr>
    </w:lvl>
    <w:lvl w:ilvl="1">
      <w:start w:val="1"/>
      <w:numFmt w:val="decimal"/>
      <w:lvlText w:val="%1.%2."/>
      <w:lvlJc w:val="left"/>
      <w:pPr>
        <w:ind w:left="792" w:hanging="432"/>
      </w:pPr>
      <w:rPr>
        <w:color w:val="auto"/>
        <w:lang w:val="pt-P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3CCC2F43"/>
    <w:multiLevelType w:val="hybridMultilevel"/>
    <w:tmpl w:val="947A87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3CDB5F5E"/>
    <w:multiLevelType w:val="hybridMultilevel"/>
    <w:tmpl w:val="BE44AD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3FA561B8"/>
    <w:multiLevelType w:val="hybridMultilevel"/>
    <w:tmpl w:val="525E61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0194F4D"/>
    <w:multiLevelType w:val="hybridMultilevel"/>
    <w:tmpl w:val="173EF0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411A3B99"/>
    <w:multiLevelType w:val="multilevel"/>
    <w:tmpl w:val="3AE82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19F2C05"/>
    <w:multiLevelType w:val="hybridMultilevel"/>
    <w:tmpl w:val="6840C7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1B04DC3"/>
    <w:multiLevelType w:val="hybridMultilevel"/>
    <w:tmpl w:val="FEB88E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4219697B"/>
    <w:multiLevelType w:val="hybridMultilevel"/>
    <w:tmpl w:val="C6CC2D6C"/>
    <w:lvl w:ilvl="0" w:tplc="B9D6B73E">
      <w:start w:val="1"/>
      <w:numFmt w:val="bullet"/>
      <w:lvlText w:val=""/>
      <w:lvlJc w:val="left"/>
      <w:pPr>
        <w:ind w:left="720" w:hanging="360"/>
      </w:pPr>
      <w:rPr>
        <w:rFonts w:ascii="Wingdings" w:hAnsi="Wingdings" w:hint="default"/>
      </w:rPr>
    </w:lvl>
    <w:lvl w:ilvl="1" w:tplc="78E200FC" w:tentative="1">
      <w:start w:val="1"/>
      <w:numFmt w:val="bullet"/>
      <w:lvlText w:val="o"/>
      <w:lvlJc w:val="left"/>
      <w:pPr>
        <w:ind w:left="1440" w:hanging="360"/>
      </w:pPr>
      <w:rPr>
        <w:rFonts w:ascii="Courier New" w:hAnsi="Courier New" w:hint="default"/>
      </w:rPr>
    </w:lvl>
    <w:lvl w:ilvl="2" w:tplc="FF38CC3A" w:tentative="1">
      <w:start w:val="1"/>
      <w:numFmt w:val="bullet"/>
      <w:lvlText w:val=""/>
      <w:lvlJc w:val="left"/>
      <w:pPr>
        <w:ind w:left="2160" w:hanging="360"/>
      </w:pPr>
      <w:rPr>
        <w:rFonts w:ascii="Wingdings" w:hAnsi="Wingdings" w:hint="default"/>
      </w:rPr>
    </w:lvl>
    <w:lvl w:ilvl="3" w:tplc="8AAA1A52" w:tentative="1">
      <w:start w:val="1"/>
      <w:numFmt w:val="bullet"/>
      <w:lvlText w:val=""/>
      <w:lvlJc w:val="left"/>
      <w:pPr>
        <w:ind w:left="2880" w:hanging="360"/>
      </w:pPr>
      <w:rPr>
        <w:rFonts w:ascii="Symbol" w:hAnsi="Symbol" w:hint="default"/>
      </w:rPr>
    </w:lvl>
    <w:lvl w:ilvl="4" w:tplc="1BC80C40" w:tentative="1">
      <w:start w:val="1"/>
      <w:numFmt w:val="bullet"/>
      <w:lvlText w:val="o"/>
      <w:lvlJc w:val="left"/>
      <w:pPr>
        <w:ind w:left="3600" w:hanging="360"/>
      </w:pPr>
      <w:rPr>
        <w:rFonts w:ascii="Courier New" w:hAnsi="Courier New" w:hint="default"/>
      </w:rPr>
    </w:lvl>
    <w:lvl w:ilvl="5" w:tplc="62E2D26E" w:tentative="1">
      <w:start w:val="1"/>
      <w:numFmt w:val="bullet"/>
      <w:lvlText w:val=""/>
      <w:lvlJc w:val="left"/>
      <w:pPr>
        <w:ind w:left="4320" w:hanging="360"/>
      </w:pPr>
      <w:rPr>
        <w:rFonts w:ascii="Wingdings" w:hAnsi="Wingdings" w:hint="default"/>
      </w:rPr>
    </w:lvl>
    <w:lvl w:ilvl="6" w:tplc="746010AE" w:tentative="1">
      <w:start w:val="1"/>
      <w:numFmt w:val="bullet"/>
      <w:lvlText w:val=""/>
      <w:lvlJc w:val="left"/>
      <w:pPr>
        <w:ind w:left="5040" w:hanging="360"/>
      </w:pPr>
      <w:rPr>
        <w:rFonts w:ascii="Symbol" w:hAnsi="Symbol" w:hint="default"/>
      </w:rPr>
    </w:lvl>
    <w:lvl w:ilvl="7" w:tplc="24FAE07E" w:tentative="1">
      <w:start w:val="1"/>
      <w:numFmt w:val="bullet"/>
      <w:lvlText w:val="o"/>
      <w:lvlJc w:val="left"/>
      <w:pPr>
        <w:ind w:left="5760" w:hanging="360"/>
      </w:pPr>
      <w:rPr>
        <w:rFonts w:ascii="Courier New" w:hAnsi="Courier New" w:hint="default"/>
      </w:rPr>
    </w:lvl>
    <w:lvl w:ilvl="8" w:tplc="EA4C0866" w:tentative="1">
      <w:start w:val="1"/>
      <w:numFmt w:val="bullet"/>
      <w:lvlText w:val=""/>
      <w:lvlJc w:val="left"/>
      <w:pPr>
        <w:ind w:left="6480" w:hanging="360"/>
      </w:pPr>
      <w:rPr>
        <w:rFonts w:ascii="Wingdings" w:hAnsi="Wingdings" w:hint="default"/>
      </w:rPr>
    </w:lvl>
  </w:abstractNum>
  <w:abstractNum w:abstractNumId="36" w15:restartNumberingAfterBreak="0">
    <w:nsid w:val="529D17A1"/>
    <w:multiLevelType w:val="hybridMultilevel"/>
    <w:tmpl w:val="565EDD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589E7683"/>
    <w:multiLevelType w:val="hybridMultilevel"/>
    <w:tmpl w:val="56568210"/>
    <w:lvl w:ilvl="0" w:tplc="F6D6FCF2">
      <w:start w:val="1"/>
      <w:numFmt w:val="bullet"/>
      <w:lvlText w:val=""/>
      <w:lvlJc w:val="left"/>
      <w:pPr>
        <w:ind w:left="720" w:hanging="360"/>
      </w:pPr>
      <w:rPr>
        <w:rFonts w:ascii="Symbol" w:hAnsi="Symbol" w:hint="default"/>
      </w:rPr>
    </w:lvl>
    <w:lvl w:ilvl="1" w:tplc="7CC4102E" w:tentative="1">
      <w:start w:val="1"/>
      <w:numFmt w:val="bullet"/>
      <w:lvlText w:val="o"/>
      <w:lvlJc w:val="left"/>
      <w:pPr>
        <w:ind w:left="1440" w:hanging="360"/>
      </w:pPr>
      <w:rPr>
        <w:rFonts w:ascii="Courier New" w:hAnsi="Courier New" w:hint="default"/>
      </w:rPr>
    </w:lvl>
    <w:lvl w:ilvl="2" w:tplc="106A0A7A" w:tentative="1">
      <w:start w:val="1"/>
      <w:numFmt w:val="bullet"/>
      <w:lvlText w:val=""/>
      <w:lvlJc w:val="left"/>
      <w:pPr>
        <w:ind w:left="2160" w:hanging="360"/>
      </w:pPr>
      <w:rPr>
        <w:rFonts w:ascii="Wingdings" w:hAnsi="Wingdings" w:hint="default"/>
      </w:rPr>
    </w:lvl>
    <w:lvl w:ilvl="3" w:tplc="3468E762" w:tentative="1">
      <w:start w:val="1"/>
      <w:numFmt w:val="bullet"/>
      <w:lvlText w:val=""/>
      <w:lvlJc w:val="left"/>
      <w:pPr>
        <w:ind w:left="2880" w:hanging="360"/>
      </w:pPr>
      <w:rPr>
        <w:rFonts w:ascii="Symbol" w:hAnsi="Symbol" w:hint="default"/>
      </w:rPr>
    </w:lvl>
    <w:lvl w:ilvl="4" w:tplc="4EC42928" w:tentative="1">
      <w:start w:val="1"/>
      <w:numFmt w:val="bullet"/>
      <w:lvlText w:val="o"/>
      <w:lvlJc w:val="left"/>
      <w:pPr>
        <w:ind w:left="3600" w:hanging="360"/>
      </w:pPr>
      <w:rPr>
        <w:rFonts w:ascii="Courier New" w:hAnsi="Courier New" w:hint="default"/>
      </w:rPr>
    </w:lvl>
    <w:lvl w:ilvl="5" w:tplc="4E4E73E6" w:tentative="1">
      <w:start w:val="1"/>
      <w:numFmt w:val="bullet"/>
      <w:lvlText w:val=""/>
      <w:lvlJc w:val="left"/>
      <w:pPr>
        <w:ind w:left="4320" w:hanging="360"/>
      </w:pPr>
      <w:rPr>
        <w:rFonts w:ascii="Wingdings" w:hAnsi="Wingdings" w:hint="default"/>
      </w:rPr>
    </w:lvl>
    <w:lvl w:ilvl="6" w:tplc="DAAA4004" w:tentative="1">
      <w:start w:val="1"/>
      <w:numFmt w:val="bullet"/>
      <w:lvlText w:val=""/>
      <w:lvlJc w:val="left"/>
      <w:pPr>
        <w:ind w:left="5040" w:hanging="360"/>
      </w:pPr>
      <w:rPr>
        <w:rFonts w:ascii="Symbol" w:hAnsi="Symbol" w:hint="default"/>
      </w:rPr>
    </w:lvl>
    <w:lvl w:ilvl="7" w:tplc="39AA88F0" w:tentative="1">
      <w:start w:val="1"/>
      <w:numFmt w:val="bullet"/>
      <w:lvlText w:val="o"/>
      <w:lvlJc w:val="left"/>
      <w:pPr>
        <w:ind w:left="5760" w:hanging="360"/>
      </w:pPr>
      <w:rPr>
        <w:rFonts w:ascii="Courier New" w:hAnsi="Courier New" w:hint="default"/>
      </w:rPr>
    </w:lvl>
    <w:lvl w:ilvl="8" w:tplc="C9F2EAF0" w:tentative="1">
      <w:start w:val="1"/>
      <w:numFmt w:val="bullet"/>
      <w:lvlText w:val=""/>
      <w:lvlJc w:val="left"/>
      <w:pPr>
        <w:ind w:left="6480" w:hanging="360"/>
      </w:pPr>
      <w:rPr>
        <w:rFonts w:ascii="Wingdings" w:hAnsi="Wingdings" w:hint="default"/>
      </w:rPr>
    </w:lvl>
  </w:abstractNum>
  <w:abstractNum w:abstractNumId="38" w15:restartNumberingAfterBreak="0">
    <w:nsid w:val="59A352DB"/>
    <w:multiLevelType w:val="hybridMultilevel"/>
    <w:tmpl w:val="7C569170"/>
    <w:lvl w:ilvl="0" w:tplc="FB1ABA5A">
      <w:start w:val="1"/>
      <w:numFmt w:val="bullet"/>
      <w:lvlText w:val="·"/>
      <w:lvlJc w:val="left"/>
      <w:pPr>
        <w:ind w:left="720" w:hanging="360"/>
      </w:pPr>
      <w:rPr>
        <w:rFonts w:ascii="Symbol" w:hAnsi="Symbol" w:hint="default"/>
      </w:rPr>
    </w:lvl>
    <w:lvl w:ilvl="1" w:tplc="8B3E2A8A">
      <w:start w:val="1"/>
      <w:numFmt w:val="bullet"/>
      <w:lvlText w:val="o"/>
      <w:lvlJc w:val="left"/>
      <w:pPr>
        <w:ind w:left="1440" w:hanging="360"/>
      </w:pPr>
      <w:rPr>
        <w:rFonts w:ascii="Courier New" w:hAnsi="Courier New" w:hint="default"/>
      </w:rPr>
    </w:lvl>
    <w:lvl w:ilvl="2" w:tplc="7A70ACF2">
      <w:start w:val="1"/>
      <w:numFmt w:val="bullet"/>
      <w:lvlText w:val=""/>
      <w:lvlJc w:val="left"/>
      <w:pPr>
        <w:ind w:left="2160" w:hanging="360"/>
      </w:pPr>
      <w:rPr>
        <w:rFonts w:ascii="Wingdings" w:hAnsi="Wingdings" w:hint="default"/>
      </w:rPr>
    </w:lvl>
    <w:lvl w:ilvl="3" w:tplc="56D809B8">
      <w:start w:val="1"/>
      <w:numFmt w:val="bullet"/>
      <w:lvlText w:val=""/>
      <w:lvlJc w:val="left"/>
      <w:pPr>
        <w:ind w:left="2880" w:hanging="360"/>
      </w:pPr>
      <w:rPr>
        <w:rFonts w:ascii="Symbol" w:hAnsi="Symbol" w:hint="default"/>
      </w:rPr>
    </w:lvl>
    <w:lvl w:ilvl="4" w:tplc="3EC2FBBE">
      <w:start w:val="1"/>
      <w:numFmt w:val="bullet"/>
      <w:lvlText w:val="o"/>
      <w:lvlJc w:val="left"/>
      <w:pPr>
        <w:ind w:left="3600" w:hanging="360"/>
      </w:pPr>
      <w:rPr>
        <w:rFonts w:ascii="Courier New" w:hAnsi="Courier New" w:hint="default"/>
      </w:rPr>
    </w:lvl>
    <w:lvl w:ilvl="5" w:tplc="57302BA0">
      <w:start w:val="1"/>
      <w:numFmt w:val="bullet"/>
      <w:lvlText w:val=""/>
      <w:lvlJc w:val="left"/>
      <w:pPr>
        <w:ind w:left="4320" w:hanging="360"/>
      </w:pPr>
      <w:rPr>
        <w:rFonts w:ascii="Wingdings" w:hAnsi="Wingdings" w:hint="default"/>
      </w:rPr>
    </w:lvl>
    <w:lvl w:ilvl="6" w:tplc="EF18F902">
      <w:start w:val="1"/>
      <w:numFmt w:val="bullet"/>
      <w:lvlText w:val=""/>
      <w:lvlJc w:val="left"/>
      <w:pPr>
        <w:ind w:left="5040" w:hanging="360"/>
      </w:pPr>
      <w:rPr>
        <w:rFonts w:ascii="Symbol" w:hAnsi="Symbol" w:hint="default"/>
      </w:rPr>
    </w:lvl>
    <w:lvl w:ilvl="7" w:tplc="533ECA10">
      <w:start w:val="1"/>
      <w:numFmt w:val="bullet"/>
      <w:lvlText w:val="o"/>
      <w:lvlJc w:val="left"/>
      <w:pPr>
        <w:ind w:left="5760" w:hanging="360"/>
      </w:pPr>
      <w:rPr>
        <w:rFonts w:ascii="Courier New" w:hAnsi="Courier New" w:hint="default"/>
      </w:rPr>
    </w:lvl>
    <w:lvl w:ilvl="8" w:tplc="6E786C3C">
      <w:start w:val="1"/>
      <w:numFmt w:val="bullet"/>
      <w:lvlText w:val=""/>
      <w:lvlJc w:val="left"/>
      <w:pPr>
        <w:ind w:left="6480" w:hanging="360"/>
      </w:pPr>
      <w:rPr>
        <w:rFonts w:ascii="Wingdings" w:hAnsi="Wingdings" w:hint="default"/>
      </w:rPr>
    </w:lvl>
  </w:abstractNum>
  <w:abstractNum w:abstractNumId="39" w15:restartNumberingAfterBreak="0">
    <w:nsid w:val="59E005FF"/>
    <w:multiLevelType w:val="hybridMultilevel"/>
    <w:tmpl w:val="FFFFFFFF"/>
    <w:lvl w:ilvl="0" w:tplc="CC7AFE52">
      <w:start w:val="1"/>
      <w:numFmt w:val="bullet"/>
      <w:lvlText w:val=""/>
      <w:lvlJc w:val="left"/>
      <w:pPr>
        <w:ind w:left="720" w:hanging="360"/>
      </w:pPr>
      <w:rPr>
        <w:rFonts w:ascii="Symbol" w:hAnsi="Symbol" w:hint="default"/>
      </w:rPr>
    </w:lvl>
    <w:lvl w:ilvl="1" w:tplc="507290BE">
      <w:start w:val="1"/>
      <w:numFmt w:val="bullet"/>
      <w:lvlText w:val="o"/>
      <w:lvlJc w:val="left"/>
      <w:pPr>
        <w:ind w:left="1440" w:hanging="360"/>
      </w:pPr>
      <w:rPr>
        <w:rFonts w:ascii="Courier New" w:hAnsi="Courier New" w:hint="default"/>
      </w:rPr>
    </w:lvl>
    <w:lvl w:ilvl="2" w:tplc="4CEC6236">
      <w:start w:val="1"/>
      <w:numFmt w:val="bullet"/>
      <w:lvlText w:val=""/>
      <w:lvlJc w:val="left"/>
      <w:pPr>
        <w:ind w:left="2160" w:hanging="360"/>
      </w:pPr>
      <w:rPr>
        <w:rFonts w:ascii="Wingdings" w:hAnsi="Wingdings" w:hint="default"/>
      </w:rPr>
    </w:lvl>
    <w:lvl w:ilvl="3" w:tplc="19100050">
      <w:start w:val="1"/>
      <w:numFmt w:val="bullet"/>
      <w:lvlText w:val=""/>
      <w:lvlJc w:val="left"/>
      <w:pPr>
        <w:ind w:left="2880" w:hanging="360"/>
      </w:pPr>
      <w:rPr>
        <w:rFonts w:ascii="Symbol" w:hAnsi="Symbol" w:hint="default"/>
      </w:rPr>
    </w:lvl>
    <w:lvl w:ilvl="4" w:tplc="71B4A916">
      <w:start w:val="1"/>
      <w:numFmt w:val="bullet"/>
      <w:lvlText w:val="o"/>
      <w:lvlJc w:val="left"/>
      <w:pPr>
        <w:ind w:left="3600" w:hanging="360"/>
      </w:pPr>
      <w:rPr>
        <w:rFonts w:ascii="Courier New" w:hAnsi="Courier New" w:hint="default"/>
      </w:rPr>
    </w:lvl>
    <w:lvl w:ilvl="5" w:tplc="1CFC422C">
      <w:start w:val="1"/>
      <w:numFmt w:val="bullet"/>
      <w:lvlText w:val=""/>
      <w:lvlJc w:val="left"/>
      <w:pPr>
        <w:ind w:left="4320" w:hanging="360"/>
      </w:pPr>
      <w:rPr>
        <w:rFonts w:ascii="Wingdings" w:hAnsi="Wingdings" w:hint="default"/>
      </w:rPr>
    </w:lvl>
    <w:lvl w:ilvl="6" w:tplc="0F78C33C">
      <w:start w:val="1"/>
      <w:numFmt w:val="bullet"/>
      <w:lvlText w:val=""/>
      <w:lvlJc w:val="left"/>
      <w:pPr>
        <w:ind w:left="5040" w:hanging="360"/>
      </w:pPr>
      <w:rPr>
        <w:rFonts w:ascii="Symbol" w:hAnsi="Symbol" w:hint="default"/>
      </w:rPr>
    </w:lvl>
    <w:lvl w:ilvl="7" w:tplc="61B6DF22">
      <w:start w:val="1"/>
      <w:numFmt w:val="bullet"/>
      <w:lvlText w:val="o"/>
      <w:lvlJc w:val="left"/>
      <w:pPr>
        <w:ind w:left="5760" w:hanging="360"/>
      </w:pPr>
      <w:rPr>
        <w:rFonts w:ascii="Courier New" w:hAnsi="Courier New" w:hint="default"/>
      </w:rPr>
    </w:lvl>
    <w:lvl w:ilvl="8" w:tplc="94924288">
      <w:start w:val="1"/>
      <w:numFmt w:val="bullet"/>
      <w:lvlText w:val=""/>
      <w:lvlJc w:val="left"/>
      <w:pPr>
        <w:ind w:left="6480" w:hanging="360"/>
      </w:pPr>
      <w:rPr>
        <w:rFonts w:ascii="Wingdings" w:hAnsi="Wingdings" w:hint="default"/>
      </w:rPr>
    </w:lvl>
  </w:abstractNum>
  <w:abstractNum w:abstractNumId="40" w15:restartNumberingAfterBreak="0">
    <w:nsid w:val="5B657068"/>
    <w:multiLevelType w:val="hybridMultilevel"/>
    <w:tmpl w:val="2D2AF1FA"/>
    <w:lvl w:ilvl="0" w:tplc="240A0001">
      <w:start w:val="1"/>
      <w:numFmt w:val="bullet"/>
      <w:lvlText w:val=""/>
      <w:lvlJc w:val="left"/>
      <w:pPr>
        <w:ind w:left="1126" w:hanging="360"/>
      </w:pPr>
      <w:rPr>
        <w:rFonts w:ascii="Symbol" w:hAnsi="Symbol" w:hint="default"/>
      </w:rPr>
    </w:lvl>
    <w:lvl w:ilvl="1" w:tplc="240A0003" w:tentative="1">
      <w:start w:val="1"/>
      <w:numFmt w:val="bullet"/>
      <w:lvlText w:val="o"/>
      <w:lvlJc w:val="left"/>
      <w:pPr>
        <w:ind w:left="1846" w:hanging="360"/>
      </w:pPr>
      <w:rPr>
        <w:rFonts w:ascii="Courier New" w:hAnsi="Courier New" w:cs="Courier New" w:hint="default"/>
      </w:rPr>
    </w:lvl>
    <w:lvl w:ilvl="2" w:tplc="240A0005" w:tentative="1">
      <w:start w:val="1"/>
      <w:numFmt w:val="bullet"/>
      <w:lvlText w:val=""/>
      <w:lvlJc w:val="left"/>
      <w:pPr>
        <w:ind w:left="2566" w:hanging="360"/>
      </w:pPr>
      <w:rPr>
        <w:rFonts w:ascii="Wingdings" w:hAnsi="Wingdings" w:hint="default"/>
      </w:rPr>
    </w:lvl>
    <w:lvl w:ilvl="3" w:tplc="240A0001" w:tentative="1">
      <w:start w:val="1"/>
      <w:numFmt w:val="bullet"/>
      <w:lvlText w:val=""/>
      <w:lvlJc w:val="left"/>
      <w:pPr>
        <w:ind w:left="3286" w:hanging="360"/>
      </w:pPr>
      <w:rPr>
        <w:rFonts w:ascii="Symbol" w:hAnsi="Symbol" w:hint="default"/>
      </w:rPr>
    </w:lvl>
    <w:lvl w:ilvl="4" w:tplc="240A0003" w:tentative="1">
      <w:start w:val="1"/>
      <w:numFmt w:val="bullet"/>
      <w:lvlText w:val="o"/>
      <w:lvlJc w:val="left"/>
      <w:pPr>
        <w:ind w:left="4006" w:hanging="360"/>
      </w:pPr>
      <w:rPr>
        <w:rFonts w:ascii="Courier New" w:hAnsi="Courier New" w:cs="Courier New" w:hint="default"/>
      </w:rPr>
    </w:lvl>
    <w:lvl w:ilvl="5" w:tplc="240A0005" w:tentative="1">
      <w:start w:val="1"/>
      <w:numFmt w:val="bullet"/>
      <w:lvlText w:val=""/>
      <w:lvlJc w:val="left"/>
      <w:pPr>
        <w:ind w:left="4726" w:hanging="360"/>
      </w:pPr>
      <w:rPr>
        <w:rFonts w:ascii="Wingdings" w:hAnsi="Wingdings" w:hint="default"/>
      </w:rPr>
    </w:lvl>
    <w:lvl w:ilvl="6" w:tplc="240A0001" w:tentative="1">
      <w:start w:val="1"/>
      <w:numFmt w:val="bullet"/>
      <w:lvlText w:val=""/>
      <w:lvlJc w:val="left"/>
      <w:pPr>
        <w:ind w:left="5446" w:hanging="360"/>
      </w:pPr>
      <w:rPr>
        <w:rFonts w:ascii="Symbol" w:hAnsi="Symbol" w:hint="default"/>
      </w:rPr>
    </w:lvl>
    <w:lvl w:ilvl="7" w:tplc="240A0003" w:tentative="1">
      <w:start w:val="1"/>
      <w:numFmt w:val="bullet"/>
      <w:lvlText w:val="o"/>
      <w:lvlJc w:val="left"/>
      <w:pPr>
        <w:ind w:left="6166" w:hanging="360"/>
      </w:pPr>
      <w:rPr>
        <w:rFonts w:ascii="Courier New" w:hAnsi="Courier New" w:cs="Courier New" w:hint="default"/>
      </w:rPr>
    </w:lvl>
    <w:lvl w:ilvl="8" w:tplc="240A0005" w:tentative="1">
      <w:start w:val="1"/>
      <w:numFmt w:val="bullet"/>
      <w:lvlText w:val=""/>
      <w:lvlJc w:val="left"/>
      <w:pPr>
        <w:ind w:left="6886" w:hanging="360"/>
      </w:pPr>
      <w:rPr>
        <w:rFonts w:ascii="Wingdings" w:hAnsi="Wingdings" w:hint="default"/>
      </w:rPr>
    </w:lvl>
  </w:abstractNum>
  <w:abstractNum w:abstractNumId="41" w15:restartNumberingAfterBreak="0">
    <w:nsid w:val="5E6F1559"/>
    <w:multiLevelType w:val="hybridMultilevel"/>
    <w:tmpl w:val="CFE4E980"/>
    <w:lvl w:ilvl="0" w:tplc="1F7AE85A">
      <w:numFmt w:val="bullet"/>
      <w:lvlText w:val="-"/>
      <w:lvlJc w:val="left"/>
      <w:pPr>
        <w:ind w:left="720" w:hanging="360"/>
      </w:pPr>
      <w:rPr>
        <w:rFonts w:ascii="Aptos" w:hAnsi="Aptos" w:hint="default"/>
      </w:rPr>
    </w:lvl>
    <w:lvl w:ilvl="1" w:tplc="5568F4FA" w:tentative="1">
      <w:start w:val="1"/>
      <w:numFmt w:val="bullet"/>
      <w:lvlText w:val="o"/>
      <w:lvlJc w:val="left"/>
      <w:pPr>
        <w:ind w:left="1440" w:hanging="360"/>
      </w:pPr>
      <w:rPr>
        <w:rFonts w:ascii="Courier New" w:hAnsi="Courier New" w:hint="default"/>
      </w:rPr>
    </w:lvl>
    <w:lvl w:ilvl="2" w:tplc="C5C0D98E" w:tentative="1">
      <w:start w:val="1"/>
      <w:numFmt w:val="bullet"/>
      <w:lvlText w:val=""/>
      <w:lvlJc w:val="left"/>
      <w:pPr>
        <w:ind w:left="2160" w:hanging="360"/>
      </w:pPr>
      <w:rPr>
        <w:rFonts w:ascii="Wingdings" w:hAnsi="Wingdings" w:hint="default"/>
      </w:rPr>
    </w:lvl>
    <w:lvl w:ilvl="3" w:tplc="C4242E34" w:tentative="1">
      <w:start w:val="1"/>
      <w:numFmt w:val="bullet"/>
      <w:lvlText w:val=""/>
      <w:lvlJc w:val="left"/>
      <w:pPr>
        <w:ind w:left="2880" w:hanging="360"/>
      </w:pPr>
      <w:rPr>
        <w:rFonts w:ascii="Symbol" w:hAnsi="Symbol" w:hint="default"/>
      </w:rPr>
    </w:lvl>
    <w:lvl w:ilvl="4" w:tplc="C616E290" w:tentative="1">
      <w:start w:val="1"/>
      <w:numFmt w:val="bullet"/>
      <w:lvlText w:val="o"/>
      <w:lvlJc w:val="left"/>
      <w:pPr>
        <w:ind w:left="3600" w:hanging="360"/>
      </w:pPr>
      <w:rPr>
        <w:rFonts w:ascii="Courier New" w:hAnsi="Courier New" w:hint="default"/>
      </w:rPr>
    </w:lvl>
    <w:lvl w:ilvl="5" w:tplc="5A8ADCF8" w:tentative="1">
      <w:start w:val="1"/>
      <w:numFmt w:val="bullet"/>
      <w:lvlText w:val=""/>
      <w:lvlJc w:val="left"/>
      <w:pPr>
        <w:ind w:left="4320" w:hanging="360"/>
      </w:pPr>
      <w:rPr>
        <w:rFonts w:ascii="Wingdings" w:hAnsi="Wingdings" w:hint="default"/>
      </w:rPr>
    </w:lvl>
    <w:lvl w:ilvl="6" w:tplc="D9EA7D04" w:tentative="1">
      <w:start w:val="1"/>
      <w:numFmt w:val="bullet"/>
      <w:lvlText w:val=""/>
      <w:lvlJc w:val="left"/>
      <w:pPr>
        <w:ind w:left="5040" w:hanging="360"/>
      </w:pPr>
      <w:rPr>
        <w:rFonts w:ascii="Symbol" w:hAnsi="Symbol" w:hint="default"/>
      </w:rPr>
    </w:lvl>
    <w:lvl w:ilvl="7" w:tplc="5F2C9DAE" w:tentative="1">
      <w:start w:val="1"/>
      <w:numFmt w:val="bullet"/>
      <w:lvlText w:val="o"/>
      <w:lvlJc w:val="left"/>
      <w:pPr>
        <w:ind w:left="5760" w:hanging="360"/>
      </w:pPr>
      <w:rPr>
        <w:rFonts w:ascii="Courier New" w:hAnsi="Courier New" w:hint="default"/>
      </w:rPr>
    </w:lvl>
    <w:lvl w:ilvl="8" w:tplc="B5A63E98" w:tentative="1">
      <w:start w:val="1"/>
      <w:numFmt w:val="bullet"/>
      <w:lvlText w:val=""/>
      <w:lvlJc w:val="left"/>
      <w:pPr>
        <w:ind w:left="6480" w:hanging="360"/>
      </w:pPr>
      <w:rPr>
        <w:rFonts w:ascii="Wingdings" w:hAnsi="Wingdings" w:hint="default"/>
      </w:rPr>
    </w:lvl>
  </w:abstractNum>
  <w:abstractNum w:abstractNumId="42" w15:restartNumberingAfterBreak="0">
    <w:nsid w:val="653B461B"/>
    <w:multiLevelType w:val="hybridMultilevel"/>
    <w:tmpl w:val="789429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66F87344"/>
    <w:multiLevelType w:val="hybridMultilevel"/>
    <w:tmpl w:val="BBA086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695E7734"/>
    <w:multiLevelType w:val="hybridMultilevel"/>
    <w:tmpl w:val="B2A88B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69A36A7B"/>
    <w:multiLevelType w:val="multilevel"/>
    <w:tmpl w:val="5F56F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A9C1E46"/>
    <w:multiLevelType w:val="hybridMultilevel"/>
    <w:tmpl w:val="38DA4A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6DAC3157"/>
    <w:multiLevelType w:val="multilevel"/>
    <w:tmpl w:val="D3C26F0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F2B243E"/>
    <w:multiLevelType w:val="hybridMultilevel"/>
    <w:tmpl w:val="31A6F390"/>
    <w:lvl w:ilvl="0" w:tplc="6B0AB58C">
      <w:start w:val="1"/>
      <w:numFmt w:val="bullet"/>
      <w:lvlText w:val=""/>
      <w:lvlJc w:val="left"/>
      <w:pPr>
        <w:ind w:left="720" w:hanging="360"/>
      </w:pPr>
      <w:rPr>
        <w:rFonts w:ascii="Wingdings" w:hAnsi="Wingdings" w:hint="default"/>
      </w:rPr>
    </w:lvl>
    <w:lvl w:ilvl="1" w:tplc="3CF26C0A" w:tentative="1">
      <w:start w:val="1"/>
      <w:numFmt w:val="bullet"/>
      <w:lvlText w:val="o"/>
      <w:lvlJc w:val="left"/>
      <w:pPr>
        <w:ind w:left="1440" w:hanging="360"/>
      </w:pPr>
      <w:rPr>
        <w:rFonts w:ascii="Courier New" w:hAnsi="Courier New" w:hint="default"/>
      </w:rPr>
    </w:lvl>
    <w:lvl w:ilvl="2" w:tplc="40B4B5DA" w:tentative="1">
      <w:start w:val="1"/>
      <w:numFmt w:val="bullet"/>
      <w:lvlText w:val=""/>
      <w:lvlJc w:val="left"/>
      <w:pPr>
        <w:ind w:left="2160" w:hanging="360"/>
      </w:pPr>
      <w:rPr>
        <w:rFonts w:ascii="Wingdings" w:hAnsi="Wingdings" w:hint="default"/>
      </w:rPr>
    </w:lvl>
    <w:lvl w:ilvl="3" w:tplc="DF3C9148" w:tentative="1">
      <w:start w:val="1"/>
      <w:numFmt w:val="bullet"/>
      <w:lvlText w:val=""/>
      <w:lvlJc w:val="left"/>
      <w:pPr>
        <w:ind w:left="2880" w:hanging="360"/>
      </w:pPr>
      <w:rPr>
        <w:rFonts w:ascii="Symbol" w:hAnsi="Symbol" w:hint="default"/>
      </w:rPr>
    </w:lvl>
    <w:lvl w:ilvl="4" w:tplc="E2463772" w:tentative="1">
      <w:start w:val="1"/>
      <w:numFmt w:val="bullet"/>
      <w:lvlText w:val="o"/>
      <w:lvlJc w:val="left"/>
      <w:pPr>
        <w:ind w:left="3600" w:hanging="360"/>
      </w:pPr>
      <w:rPr>
        <w:rFonts w:ascii="Courier New" w:hAnsi="Courier New" w:hint="default"/>
      </w:rPr>
    </w:lvl>
    <w:lvl w:ilvl="5" w:tplc="9CE47E38" w:tentative="1">
      <w:start w:val="1"/>
      <w:numFmt w:val="bullet"/>
      <w:lvlText w:val=""/>
      <w:lvlJc w:val="left"/>
      <w:pPr>
        <w:ind w:left="4320" w:hanging="360"/>
      </w:pPr>
      <w:rPr>
        <w:rFonts w:ascii="Wingdings" w:hAnsi="Wingdings" w:hint="default"/>
      </w:rPr>
    </w:lvl>
    <w:lvl w:ilvl="6" w:tplc="D0747990" w:tentative="1">
      <w:start w:val="1"/>
      <w:numFmt w:val="bullet"/>
      <w:lvlText w:val=""/>
      <w:lvlJc w:val="left"/>
      <w:pPr>
        <w:ind w:left="5040" w:hanging="360"/>
      </w:pPr>
      <w:rPr>
        <w:rFonts w:ascii="Symbol" w:hAnsi="Symbol" w:hint="default"/>
      </w:rPr>
    </w:lvl>
    <w:lvl w:ilvl="7" w:tplc="076C155E" w:tentative="1">
      <w:start w:val="1"/>
      <w:numFmt w:val="bullet"/>
      <w:lvlText w:val="o"/>
      <w:lvlJc w:val="left"/>
      <w:pPr>
        <w:ind w:left="5760" w:hanging="360"/>
      </w:pPr>
      <w:rPr>
        <w:rFonts w:ascii="Courier New" w:hAnsi="Courier New" w:hint="default"/>
      </w:rPr>
    </w:lvl>
    <w:lvl w:ilvl="8" w:tplc="292A7392" w:tentative="1">
      <w:start w:val="1"/>
      <w:numFmt w:val="bullet"/>
      <w:lvlText w:val=""/>
      <w:lvlJc w:val="left"/>
      <w:pPr>
        <w:ind w:left="6480" w:hanging="360"/>
      </w:pPr>
      <w:rPr>
        <w:rFonts w:ascii="Wingdings" w:hAnsi="Wingdings" w:hint="default"/>
      </w:rPr>
    </w:lvl>
  </w:abstractNum>
  <w:abstractNum w:abstractNumId="49" w15:restartNumberingAfterBreak="0">
    <w:nsid w:val="7296EFE0"/>
    <w:multiLevelType w:val="hybridMultilevel"/>
    <w:tmpl w:val="FFFFFFFF"/>
    <w:lvl w:ilvl="0" w:tplc="F8F8ED28">
      <w:start w:val="1"/>
      <w:numFmt w:val="upperRoman"/>
      <w:lvlText w:val="%1."/>
      <w:lvlJc w:val="right"/>
      <w:pPr>
        <w:ind w:left="720" w:hanging="360"/>
      </w:pPr>
    </w:lvl>
    <w:lvl w:ilvl="1" w:tplc="A1D0328E">
      <w:start w:val="1"/>
      <w:numFmt w:val="lowerLetter"/>
      <w:lvlText w:val="%2."/>
      <w:lvlJc w:val="left"/>
      <w:pPr>
        <w:ind w:left="1440" w:hanging="360"/>
      </w:pPr>
    </w:lvl>
    <w:lvl w:ilvl="2" w:tplc="EAEAC4D4">
      <w:start w:val="1"/>
      <w:numFmt w:val="lowerRoman"/>
      <w:lvlText w:val="%3."/>
      <w:lvlJc w:val="right"/>
      <w:pPr>
        <w:ind w:left="2160" w:hanging="180"/>
      </w:pPr>
    </w:lvl>
    <w:lvl w:ilvl="3" w:tplc="A356A78E">
      <w:start w:val="1"/>
      <w:numFmt w:val="decimal"/>
      <w:lvlText w:val="%4."/>
      <w:lvlJc w:val="left"/>
      <w:pPr>
        <w:ind w:left="2880" w:hanging="360"/>
      </w:pPr>
    </w:lvl>
    <w:lvl w:ilvl="4" w:tplc="882A4D6A">
      <w:start w:val="1"/>
      <w:numFmt w:val="lowerLetter"/>
      <w:lvlText w:val="%5."/>
      <w:lvlJc w:val="left"/>
      <w:pPr>
        <w:ind w:left="3600" w:hanging="360"/>
      </w:pPr>
    </w:lvl>
    <w:lvl w:ilvl="5" w:tplc="6F7415CC">
      <w:start w:val="1"/>
      <w:numFmt w:val="lowerRoman"/>
      <w:lvlText w:val="%6."/>
      <w:lvlJc w:val="right"/>
      <w:pPr>
        <w:ind w:left="4320" w:hanging="180"/>
      </w:pPr>
    </w:lvl>
    <w:lvl w:ilvl="6" w:tplc="B5E80954">
      <w:start w:val="1"/>
      <w:numFmt w:val="decimal"/>
      <w:lvlText w:val="%7."/>
      <w:lvlJc w:val="left"/>
      <w:pPr>
        <w:ind w:left="5040" w:hanging="360"/>
      </w:pPr>
    </w:lvl>
    <w:lvl w:ilvl="7" w:tplc="39002C0C">
      <w:start w:val="1"/>
      <w:numFmt w:val="lowerLetter"/>
      <w:lvlText w:val="%8."/>
      <w:lvlJc w:val="left"/>
      <w:pPr>
        <w:ind w:left="5760" w:hanging="360"/>
      </w:pPr>
    </w:lvl>
    <w:lvl w:ilvl="8" w:tplc="443AE588">
      <w:start w:val="1"/>
      <w:numFmt w:val="lowerRoman"/>
      <w:lvlText w:val="%9."/>
      <w:lvlJc w:val="right"/>
      <w:pPr>
        <w:ind w:left="6480" w:hanging="180"/>
      </w:pPr>
    </w:lvl>
  </w:abstractNum>
  <w:abstractNum w:abstractNumId="50" w15:restartNumberingAfterBreak="0">
    <w:nsid w:val="72AD9BC1"/>
    <w:multiLevelType w:val="hybridMultilevel"/>
    <w:tmpl w:val="41BEA186"/>
    <w:lvl w:ilvl="0" w:tplc="02CCC996">
      <w:start w:val="1"/>
      <w:numFmt w:val="upperRoman"/>
      <w:lvlText w:val="%1."/>
      <w:lvlJc w:val="left"/>
      <w:pPr>
        <w:ind w:left="720" w:hanging="360"/>
      </w:pPr>
    </w:lvl>
    <w:lvl w:ilvl="1" w:tplc="FF82C7EC">
      <w:start w:val="1"/>
      <w:numFmt w:val="lowerLetter"/>
      <w:lvlText w:val="%2."/>
      <w:lvlJc w:val="left"/>
      <w:pPr>
        <w:ind w:left="1440" w:hanging="360"/>
      </w:pPr>
    </w:lvl>
    <w:lvl w:ilvl="2" w:tplc="41D852DC">
      <w:start w:val="1"/>
      <w:numFmt w:val="lowerRoman"/>
      <w:lvlText w:val="%3."/>
      <w:lvlJc w:val="right"/>
      <w:pPr>
        <w:ind w:left="2160" w:hanging="180"/>
      </w:pPr>
    </w:lvl>
    <w:lvl w:ilvl="3" w:tplc="10FCD9C6">
      <w:start w:val="1"/>
      <w:numFmt w:val="decimal"/>
      <w:lvlText w:val="%4."/>
      <w:lvlJc w:val="left"/>
      <w:pPr>
        <w:ind w:left="2880" w:hanging="360"/>
      </w:pPr>
    </w:lvl>
    <w:lvl w:ilvl="4" w:tplc="25E2D4F8">
      <w:start w:val="1"/>
      <w:numFmt w:val="lowerLetter"/>
      <w:lvlText w:val="%5."/>
      <w:lvlJc w:val="left"/>
      <w:pPr>
        <w:ind w:left="3600" w:hanging="360"/>
      </w:pPr>
    </w:lvl>
    <w:lvl w:ilvl="5" w:tplc="BE0A163A">
      <w:start w:val="1"/>
      <w:numFmt w:val="lowerRoman"/>
      <w:lvlText w:val="%6."/>
      <w:lvlJc w:val="right"/>
      <w:pPr>
        <w:ind w:left="4320" w:hanging="180"/>
      </w:pPr>
    </w:lvl>
    <w:lvl w:ilvl="6" w:tplc="F8CEB0AE">
      <w:start w:val="1"/>
      <w:numFmt w:val="decimal"/>
      <w:lvlText w:val="%7."/>
      <w:lvlJc w:val="left"/>
      <w:pPr>
        <w:ind w:left="5040" w:hanging="360"/>
      </w:pPr>
    </w:lvl>
    <w:lvl w:ilvl="7" w:tplc="B3E6F96C">
      <w:start w:val="1"/>
      <w:numFmt w:val="lowerLetter"/>
      <w:lvlText w:val="%8."/>
      <w:lvlJc w:val="left"/>
      <w:pPr>
        <w:ind w:left="5760" w:hanging="360"/>
      </w:pPr>
    </w:lvl>
    <w:lvl w:ilvl="8" w:tplc="4B5EB068">
      <w:start w:val="1"/>
      <w:numFmt w:val="lowerRoman"/>
      <w:lvlText w:val="%9."/>
      <w:lvlJc w:val="right"/>
      <w:pPr>
        <w:ind w:left="6480" w:hanging="180"/>
      </w:pPr>
    </w:lvl>
  </w:abstractNum>
  <w:abstractNum w:abstractNumId="51" w15:restartNumberingAfterBreak="0">
    <w:nsid w:val="735C67AA"/>
    <w:multiLevelType w:val="hybridMultilevel"/>
    <w:tmpl w:val="655627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7997737E"/>
    <w:multiLevelType w:val="hybridMultilevel"/>
    <w:tmpl w:val="EA9621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7A252887"/>
    <w:multiLevelType w:val="hybridMultilevel"/>
    <w:tmpl w:val="E7A8C6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7CA05472"/>
    <w:multiLevelType w:val="multilevel"/>
    <w:tmpl w:val="776A7C62"/>
    <w:lvl w:ilvl="0">
      <w:start w:val="1"/>
      <w:numFmt w:val="bullet"/>
      <w:lvlText w:val=""/>
      <w:lvlJc w:val="left"/>
      <w:pPr>
        <w:ind w:left="390" w:hanging="390"/>
      </w:pPr>
      <w:rPr>
        <w:rFonts w:ascii="Symbol" w:hAnsi="Symbol" w:hint="default"/>
        <w:color w:val="auto"/>
      </w:rPr>
    </w:lvl>
    <w:lvl w:ilvl="1">
      <w:start w:val="1"/>
      <w:numFmt w:val="decimal"/>
      <w:lvlText w:val="%1.%2."/>
      <w:lvlJc w:val="left"/>
      <w:pPr>
        <w:ind w:left="982" w:hanging="720"/>
      </w:pPr>
      <w:rPr>
        <w:rFonts w:hint="default"/>
      </w:rPr>
    </w:lvl>
    <w:lvl w:ilvl="2">
      <w:start w:val="1"/>
      <w:numFmt w:val="decimal"/>
      <w:lvlText w:val="%1.%2.%3."/>
      <w:lvlJc w:val="left"/>
      <w:pPr>
        <w:ind w:left="1287" w:hanging="720"/>
      </w:pPr>
      <w:rPr>
        <w:rFonts w:hint="default"/>
        <w:b w:val="0"/>
        <w:bCs w:val="0"/>
        <w:color w:val="auto"/>
      </w:rPr>
    </w:lvl>
    <w:lvl w:ilvl="3">
      <w:start w:val="1"/>
      <w:numFmt w:val="decimal"/>
      <w:lvlText w:val="%1.%2.%3.%4."/>
      <w:lvlJc w:val="left"/>
      <w:pPr>
        <w:ind w:left="1866" w:hanging="1080"/>
      </w:pPr>
      <w:rPr>
        <w:rFonts w:hint="default"/>
        <w:b w:val="0"/>
        <w:bCs w:val="0"/>
      </w:rPr>
    </w:lvl>
    <w:lvl w:ilvl="4">
      <w:start w:val="1"/>
      <w:numFmt w:val="decimal"/>
      <w:lvlText w:val="%1.%2.%3.%4.%5."/>
      <w:lvlJc w:val="left"/>
      <w:pPr>
        <w:ind w:left="2128" w:hanging="1080"/>
      </w:pPr>
      <w:rPr>
        <w:rFonts w:hint="default"/>
      </w:rPr>
    </w:lvl>
    <w:lvl w:ilvl="5">
      <w:start w:val="1"/>
      <w:numFmt w:val="decimal"/>
      <w:lvlText w:val="%1.%2.%3.%4.%5.%6."/>
      <w:lvlJc w:val="left"/>
      <w:pPr>
        <w:ind w:left="2750" w:hanging="1440"/>
      </w:pPr>
      <w:rPr>
        <w:rFonts w:hint="default"/>
      </w:rPr>
    </w:lvl>
    <w:lvl w:ilvl="6">
      <w:start w:val="1"/>
      <w:numFmt w:val="decimal"/>
      <w:lvlText w:val="%1.%2.%3.%4.%5.%6.%7."/>
      <w:lvlJc w:val="left"/>
      <w:pPr>
        <w:ind w:left="3012" w:hanging="1440"/>
      </w:pPr>
      <w:rPr>
        <w:rFonts w:hint="default"/>
      </w:rPr>
    </w:lvl>
    <w:lvl w:ilvl="7">
      <w:start w:val="1"/>
      <w:numFmt w:val="decimal"/>
      <w:lvlText w:val="%1.%2.%3.%4.%5.%6.%7.%8."/>
      <w:lvlJc w:val="left"/>
      <w:pPr>
        <w:ind w:left="3634" w:hanging="1800"/>
      </w:pPr>
      <w:rPr>
        <w:rFonts w:hint="default"/>
      </w:rPr>
    </w:lvl>
    <w:lvl w:ilvl="8">
      <w:start w:val="1"/>
      <w:numFmt w:val="decimal"/>
      <w:lvlText w:val="%1.%2.%3.%4.%5.%6.%7.%8.%9."/>
      <w:lvlJc w:val="left"/>
      <w:pPr>
        <w:ind w:left="4256" w:hanging="2160"/>
      </w:pPr>
      <w:rPr>
        <w:rFonts w:hint="default"/>
      </w:rPr>
    </w:lvl>
  </w:abstractNum>
  <w:abstractNum w:abstractNumId="55" w15:restartNumberingAfterBreak="0">
    <w:nsid w:val="7DAA2F46"/>
    <w:multiLevelType w:val="hybridMultilevel"/>
    <w:tmpl w:val="DB5A90E2"/>
    <w:lvl w:ilvl="0" w:tplc="7F985EAC">
      <w:start w:val="1"/>
      <w:numFmt w:val="bullet"/>
      <w:pStyle w:val="Ttulo4"/>
      <w:lvlText w:val=""/>
      <w:lvlJc w:val="left"/>
      <w:pPr>
        <w:ind w:left="720" w:hanging="360"/>
      </w:pPr>
      <w:rPr>
        <w:rFonts w:ascii="Symbol" w:hAnsi="Symbol" w:hint="default"/>
      </w:rPr>
    </w:lvl>
    <w:lvl w:ilvl="1" w:tplc="5266789C" w:tentative="1">
      <w:start w:val="1"/>
      <w:numFmt w:val="bullet"/>
      <w:lvlText w:val="o"/>
      <w:lvlJc w:val="left"/>
      <w:pPr>
        <w:ind w:left="1440" w:hanging="360"/>
      </w:pPr>
      <w:rPr>
        <w:rFonts w:ascii="Courier New" w:hAnsi="Courier New" w:hint="default"/>
      </w:rPr>
    </w:lvl>
    <w:lvl w:ilvl="2" w:tplc="94BA0986" w:tentative="1">
      <w:start w:val="1"/>
      <w:numFmt w:val="bullet"/>
      <w:lvlText w:val=""/>
      <w:lvlJc w:val="left"/>
      <w:pPr>
        <w:ind w:left="2160" w:hanging="360"/>
      </w:pPr>
      <w:rPr>
        <w:rFonts w:ascii="Wingdings" w:hAnsi="Wingdings" w:hint="default"/>
      </w:rPr>
    </w:lvl>
    <w:lvl w:ilvl="3" w:tplc="D68C3F7A" w:tentative="1">
      <w:start w:val="1"/>
      <w:numFmt w:val="bullet"/>
      <w:lvlText w:val=""/>
      <w:lvlJc w:val="left"/>
      <w:pPr>
        <w:ind w:left="2880" w:hanging="360"/>
      </w:pPr>
      <w:rPr>
        <w:rFonts w:ascii="Symbol" w:hAnsi="Symbol" w:hint="default"/>
      </w:rPr>
    </w:lvl>
    <w:lvl w:ilvl="4" w:tplc="B6A687E2" w:tentative="1">
      <w:start w:val="1"/>
      <w:numFmt w:val="bullet"/>
      <w:lvlText w:val="o"/>
      <w:lvlJc w:val="left"/>
      <w:pPr>
        <w:ind w:left="3600" w:hanging="360"/>
      </w:pPr>
      <w:rPr>
        <w:rFonts w:ascii="Courier New" w:hAnsi="Courier New" w:hint="default"/>
      </w:rPr>
    </w:lvl>
    <w:lvl w:ilvl="5" w:tplc="60921E10" w:tentative="1">
      <w:start w:val="1"/>
      <w:numFmt w:val="bullet"/>
      <w:lvlText w:val=""/>
      <w:lvlJc w:val="left"/>
      <w:pPr>
        <w:ind w:left="4320" w:hanging="360"/>
      </w:pPr>
      <w:rPr>
        <w:rFonts w:ascii="Wingdings" w:hAnsi="Wingdings" w:hint="default"/>
      </w:rPr>
    </w:lvl>
    <w:lvl w:ilvl="6" w:tplc="D51AD932" w:tentative="1">
      <w:start w:val="1"/>
      <w:numFmt w:val="bullet"/>
      <w:lvlText w:val=""/>
      <w:lvlJc w:val="left"/>
      <w:pPr>
        <w:ind w:left="5040" w:hanging="360"/>
      </w:pPr>
      <w:rPr>
        <w:rFonts w:ascii="Symbol" w:hAnsi="Symbol" w:hint="default"/>
      </w:rPr>
    </w:lvl>
    <w:lvl w:ilvl="7" w:tplc="065AFB4C" w:tentative="1">
      <w:start w:val="1"/>
      <w:numFmt w:val="bullet"/>
      <w:lvlText w:val="o"/>
      <w:lvlJc w:val="left"/>
      <w:pPr>
        <w:ind w:left="5760" w:hanging="360"/>
      </w:pPr>
      <w:rPr>
        <w:rFonts w:ascii="Courier New" w:hAnsi="Courier New" w:hint="default"/>
      </w:rPr>
    </w:lvl>
    <w:lvl w:ilvl="8" w:tplc="30BCF4A8" w:tentative="1">
      <w:start w:val="1"/>
      <w:numFmt w:val="bullet"/>
      <w:lvlText w:val=""/>
      <w:lvlJc w:val="left"/>
      <w:pPr>
        <w:ind w:left="6480" w:hanging="360"/>
      </w:pPr>
      <w:rPr>
        <w:rFonts w:ascii="Wingdings" w:hAnsi="Wingdings" w:hint="default"/>
      </w:rPr>
    </w:lvl>
  </w:abstractNum>
  <w:num w:numId="1" w16cid:durableId="1134560955">
    <w:abstractNumId w:val="27"/>
  </w:num>
  <w:num w:numId="2" w16cid:durableId="123621030">
    <w:abstractNumId w:val="39"/>
  </w:num>
  <w:num w:numId="3" w16cid:durableId="62989589">
    <w:abstractNumId w:val="49"/>
  </w:num>
  <w:num w:numId="4" w16cid:durableId="419982803">
    <w:abstractNumId w:val="41"/>
  </w:num>
  <w:num w:numId="5" w16cid:durableId="275917368">
    <w:abstractNumId w:val="15"/>
  </w:num>
  <w:num w:numId="6" w16cid:durableId="144206855">
    <w:abstractNumId w:val="48"/>
  </w:num>
  <w:num w:numId="7" w16cid:durableId="1394279859">
    <w:abstractNumId w:val="33"/>
  </w:num>
  <w:num w:numId="8" w16cid:durableId="1947344098">
    <w:abstractNumId w:val="55"/>
  </w:num>
  <w:num w:numId="9" w16cid:durableId="464810601">
    <w:abstractNumId w:val="37"/>
  </w:num>
  <w:num w:numId="10" w16cid:durableId="1817457183">
    <w:abstractNumId w:val="35"/>
  </w:num>
  <w:num w:numId="11" w16cid:durableId="1180238303">
    <w:abstractNumId w:val="24"/>
  </w:num>
  <w:num w:numId="12" w16cid:durableId="1108543937">
    <w:abstractNumId w:val="50"/>
  </w:num>
  <w:num w:numId="13" w16cid:durableId="678045882">
    <w:abstractNumId w:val="0"/>
  </w:num>
  <w:num w:numId="14" w16cid:durableId="1728530212">
    <w:abstractNumId w:val="4"/>
  </w:num>
  <w:num w:numId="15" w16cid:durableId="243875189">
    <w:abstractNumId w:val="38"/>
  </w:num>
  <w:num w:numId="16" w16cid:durableId="2134128744">
    <w:abstractNumId w:val="11"/>
  </w:num>
  <w:num w:numId="17" w16cid:durableId="747307334">
    <w:abstractNumId w:val="8"/>
  </w:num>
  <w:num w:numId="18" w16cid:durableId="728067547">
    <w:abstractNumId w:val="18"/>
  </w:num>
  <w:num w:numId="19" w16cid:durableId="501508341">
    <w:abstractNumId w:val="12"/>
  </w:num>
  <w:num w:numId="20" w16cid:durableId="1714692444">
    <w:abstractNumId w:val="21"/>
  </w:num>
  <w:num w:numId="21" w16cid:durableId="1066026814">
    <w:abstractNumId w:val="14"/>
  </w:num>
  <w:num w:numId="22" w16cid:durableId="700667424">
    <w:abstractNumId w:val="53"/>
  </w:num>
  <w:num w:numId="23" w16cid:durableId="45571260">
    <w:abstractNumId w:val="29"/>
  </w:num>
  <w:num w:numId="24" w16cid:durableId="668674009">
    <w:abstractNumId w:val="34"/>
  </w:num>
  <w:num w:numId="25" w16cid:durableId="1603806544">
    <w:abstractNumId w:val="51"/>
  </w:num>
  <w:num w:numId="26" w16cid:durableId="865755664">
    <w:abstractNumId w:val="28"/>
  </w:num>
  <w:num w:numId="27" w16cid:durableId="1356730295">
    <w:abstractNumId w:val="3"/>
  </w:num>
  <w:num w:numId="28" w16cid:durableId="158034943">
    <w:abstractNumId w:val="54"/>
  </w:num>
  <w:num w:numId="29" w16cid:durableId="1427266950">
    <w:abstractNumId w:val="30"/>
  </w:num>
  <w:num w:numId="30" w16cid:durableId="972520386">
    <w:abstractNumId w:val="46"/>
  </w:num>
  <w:num w:numId="31" w16cid:durableId="883562855">
    <w:abstractNumId w:val="22"/>
  </w:num>
  <w:num w:numId="32" w16cid:durableId="958221475">
    <w:abstractNumId w:val="19"/>
  </w:num>
  <w:num w:numId="33" w16cid:durableId="1149829669">
    <w:abstractNumId w:val="52"/>
  </w:num>
  <w:num w:numId="34" w16cid:durableId="1404447657">
    <w:abstractNumId w:val="43"/>
  </w:num>
  <w:num w:numId="35" w16cid:durableId="397365211">
    <w:abstractNumId w:val="20"/>
  </w:num>
  <w:num w:numId="36" w16cid:durableId="1358309171">
    <w:abstractNumId w:val="5"/>
  </w:num>
  <w:num w:numId="37" w16cid:durableId="630937123">
    <w:abstractNumId w:val="31"/>
  </w:num>
  <w:num w:numId="38" w16cid:durableId="1281646705">
    <w:abstractNumId w:val="2"/>
  </w:num>
  <w:num w:numId="39" w16cid:durableId="774981300">
    <w:abstractNumId w:val="42"/>
  </w:num>
  <w:num w:numId="40" w16cid:durableId="1755127553">
    <w:abstractNumId w:val="40"/>
  </w:num>
  <w:num w:numId="41" w16cid:durableId="997075517">
    <w:abstractNumId w:val="9"/>
  </w:num>
  <w:num w:numId="42" w16cid:durableId="1197546727">
    <w:abstractNumId w:val="25"/>
  </w:num>
  <w:num w:numId="43" w16cid:durableId="1194148331">
    <w:abstractNumId w:val="36"/>
  </w:num>
  <w:num w:numId="44" w16cid:durableId="1727099719">
    <w:abstractNumId w:val="23"/>
  </w:num>
  <w:num w:numId="45" w16cid:durableId="163857997">
    <w:abstractNumId w:val="1"/>
  </w:num>
  <w:num w:numId="46" w16cid:durableId="1098331337">
    <w:abstractNumId w:val="6"/>
  </w:num>
  <w:num w:numId="47" w16cid:durableId="1334188542">
    <w:abstractNumId w:val="44"/>
  </w:num>
  <w:num w:numId="48" w16cid:durableId="422648993">
    <w:abstractNumId w:val="32"/>
  </w:num>
  <w:num w:numId="49" w16cid:durableId="244187707">
    <w:abstractNumId w:val="13"/>
  </w:num>
  <w:num w:numId="50" w16cid:durableId="1068915605">
    <w:abstractNumId w:val="16"/>
  </w:num>
  <w:num w:numId="51" w16cid:durableId="1531453682">
    <w:abstractNumId w:val="17"/>
  </w:num>
  <w:num w:numId="52" w16cid:durableId="1922985244">
    <w:abstractNumId w:val="7"/>
  </w:num>
  <w:num w:numId="53" w16cid:durableId="424885991">
    <w:abstractNumId w:val="10"/>
  </w:num>
  <w:num w:numId="54" w16cid:durableId="2092115880">
    <w:abstractNumId w:val="45"/>
  </w:num>
  <w:num w:numId="55" w16cid:durableId="85226973">
    <w:abstractNumId w:val="47"/>
  </w:num>
  <w:num w:numId="56" w16cid:durableId="578290095">
    <w:abstractNumId w:val="2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0ACC"/>
    <w:rsid w:val="00000007"/>
    <w:rsid w:val="00000103"/>
    <w:rsid w:val="00000180"/>
    <w:rsid w:val="000001B3"/>
    <w:rsid w:val="0000033B"/>
    <w:rsid w:val="0000049E"/>
    <w:rsid w:val="00000607"/>
    <w:rsid w:val="00000617"/>
    <w:rsid w:val="00000714"/>
    <w:rsid w:val="000008D0"/>
    <w:rsid w:val="00000921"/>
    <w:rsid w:val="00000D28"/>
    <w:rsid w:val="00000F8A"/>
    <w:rsid w:val="00000FD3"/>
    <w:rsid w:val="000010AE"/>
    <w:rsid w:val="0000112E"/>
    <w:rsid w:val="00001263"/>
    <w:rsid w:val="0000147E"/>
    <w:rsid w:val="000014EE"/>
    <w:rsid w:val="0000151F"/>
    <w:rsid w:val="00001689"/>
    <w:rsid w:val="000018AC"/>
    <w:rsid w:val="000018F2"/>
    <w:rsid w:val="000019AB"/>
    <w:rsid w:val="000019C5"/>
    <w:rsid w:val="00001B3A"/>
    <w:rsid w:val="00001BFA"/>
    <w:rsid w:val="00001C20"/>
    <w:rsid w:val="00001D4F"/>
    <w:rsid w:val="00002193"/>
    <w:rsid w:val="000021D1"/>
    <w:rsid w:val="000029DD"/>
    <w:rsid w:val="00002A2B"/>
    <w:rsid w:val="00002BD5"/>
    <w:rsid w:val="00002C1E"/>
    <w:rsid w:val="000030C5"/>
    <w:rsid w:val="000037C3"/>
    <w:rsid w:val="000037E8"/>
    <w:rsid w:val="000038F8"/>
    <w:rsid w:val="0000394A"/>
    <w:rsid w:val="00003BDE"/>
    <w:rsid w:val="00003DE2"/>
    <w:rsid w:val="000040FA"/>
    <w:rsid w:val="00004122"/>
    <w:rsid w:val="00004175"/>
    <w:rsid w:val="00004228"/>
    <w:rsid w:val="00004280"/>
    <w:rsid w:val="00004297"/>
    <w:rsid w:val="00004326"/>
    <w:rsid w:val="0000435F"/>
    <w:rsid w:val="00004408"/>
    <w:rsid w:val="00004494"/>
    <w:rsid w:val="0000464C"/>
    <w:rsid w:val="000046C3"/>
    <w:rsid w:val="00004795"/>
    <w:rsid w:val="000047AE"/>
    <w:rsid w:val="000047C1"/>
    <w:rsid w:val="0000488F"/>
    <w:rsid w:val="000049FD"/>
    <w:rsid w:val="00004B89"/>
    <w:rsid w:val="00004C16"/>
    <w:rsid w:val="00004D01"/>
    <w:rsid w:val="00004D34"/>
    <w:rsid w:val="00004DD8"/>
    <w:rsid w:val="00004E17"/>
    <w:rsid w:val="00004E18"/>
    <w:rsid w:val="00004E42"/>
    <w:rsid w:val="00004EF2"/>
    <w:rsid w:val="000050A1"/>
    <w:rsid w:val="0000536B"/>
    <w:rsid w:val="000054B7"/>
    <w:rsid w:val="00005623"/>
    <w:rsid w:val="0000562B"/>
    <w:rsid w:val="00005803"/>
    <w:rsid w:val="00005885"/>
    <w:rsid w:val="0000589A"/>
    <w:rsid w:val="000058DC"/>
    <w:rsid w:val="000058F6"/>
    <w:rsid w:val="00005978"/>
    <w:rsid w:val="000059DD"/>
    <w:rsid w:val="00005CA4"/>
    <w:rsid w:val="00005FA9"/>
    <w:rsid w:val="00006076"/>
    <w:rsid w:val="000060E1"/>
    <w:rsid w:val="0000616B"/>
    <w:rsid w:val="0000662F"/>
    <w:rsid w:val="00006727"/>
    <w:rsid w:val="0000674A"/>
    <w:rsid w:val="0000681F"/>
    <w:rsid w:val="0000683E"/>
    <w:rsid w:val="00006B39"/>
    <w:rsid w:val="00006CE2"/>
    <w:rsid w:val="00006EDE"/>
    <w:rsid w:val="00006FD1"/>
    <w:rsid w:val="00007540"/>
    <w:rsid w:val="000075FC"/>
    <w:rsid w:val="000077A3"/>
    <w:rsid w:val="00007823"/>
    <w:rsid w:val="000078E1"/>
    <w:rsid w:val="00007FDD"/>
    <w:rsid w:val="000102C1"/>
    <w:rsid w:val="00010374"/>
    <w:rsid w:val="0001051D"/>
    <w:rsid w:val="00010710"/>
    <w:rsid w:val="0001091D"/>
    <w:rsid w:val="000109C7"/>
    <w:rsid w:val="00010D09"/>
    <w:rsid w:val="00010F26"/>
    <w:rsid w:val="0001118B"/>
    <w:rsid w:val="000111DC"/>
    <w:rsid w:val="000111F0"/>
    <w:rsid w:val="000112B4"/>
    <w:rsid w:val="000113FA"/>
    <w:rsid w:val="00011410"/>
    <w:rsid w:val="0001160B"/>
    <w:rsid w:val="00011652"/>
    <w:rsid w:val="00011768"/>
    <w:rsid w:val="00011A0F"/>
    <w:rsid w:val="00011C01"/>
    <w:rsid w:val="00011D3B"/>
    <w:rsid w:val="00011D6D"/>
    <w:rsid w:val="00011E20"/>
    <w:rsid w:val="000121F7"/>
    <w:rsid w:val="00012235"/>
    <w:rsid w:val="00012295"/>
    <w:rsid w:val="00012359"/>
    <w:rsid w:val="000123D9"/>
    <w:rsid w:val="00012656"/>
    <w:rsid w:val="00012852"/>
    <w:rsid w:val="000128AA"/>
    <w:rsid w:val="00012950"/>
    <w:rsid w:val="000129A9"/>
    <w:rsid w:val="000129AA"/>
    <w:rsid w:val="000129E1"/>
    <w:rsid w:val="00012B91"/>
    <w:rsid w:val="00012C2D"/>
    <w:rsid w:val="00012D76"/>
    <w:rsid w:val="00012E75"/>
    <w:rsid w:val="00012EDE"/>
    <w:rsid w:val="00013071"/>
    <w:rsid w:val="00013072"/>
    <w:rsid w:val="000130C4"/>
    <w:rsid w:val="00013252"/>
    <w:rsid w:val="00013262"/>
    <w:rsid w:val="000132AA"/>
    <w:rsid w:val="00013586"/>
    <w:rsid w:val="0001359F"/>
    <w:rsid w:val="000135A3"/>
    <w:rsid w:val="00013658"/>
    <w:rsid w:val="00013945"/>
    <w:rsid w:val="000139B2"/>
    <w:rsid w:val="00013BFB"/>
    <w:rsid w:val="00013D7E"/>
    <w:rsid w:val="00013DDA"/>
    <w:rsid w:val="000140BC"/>
    <w:rsid w:val="0001428E"/>
    <w:rsid w:val="0001432A"/>
    <w:rsid w:val="000144B3"/>
    <w:rsid w:val="00014503"/>
    <w:rsid w:val="00014584"/>
    <w:rsid w:val="000146EB"/>
    <w:rsid w:val="00014797"/>
    <w:rsid w:val="000147D4"/>
    <w:rsid w:val="00014887"/>
    <w:rsid w:val="000148EB"/>
    <w:rsid w:val="000149D4"/>
    <w:rsid w:val="000149F4"/>
    <w:rsid w:val="00014A8C"/>
    <w:rsid w:val="00014D24"/>
    <w:rsid w:val="00015009"/>
    <w:rsid w:val="0001506E"/>
    <w:rsid w:val="00015071"/>
    <w:rsid w:val="000150C5"/>
    <w:rsid w:val="000152A5"/>
    <w:rsid w:val="000153D2"/>
    <w:rsid w:val="000156DB"/>
    <w:rsid w:val="00015923"/>
    <w:rsid w:val="00015963"/>
    <w:rsid w:val="000159CA"/>
    <w:rsid w:val="00015A9E"/>
    <w:rsid w:val="00015B81"/>
    <w:rsid w:val="00015BA8"/>
    <w:rsid w:val="00015DA1"/>
    <w:rsid w:val="00015EFD"/>
    <w:rsid w:val="00015F65"/>
    <w:rsid w:val="000160BE"/>
    <w:rsid w:val="000163EA"/>
    <w:rsid w:val="000165AE"/>
    <w:rsid w:val="00016643"/>
    <w:rsid w:val="0001668E"/>
    <w:rsid w:val="000166DA"/>
    <w:rsid w:val="00016799"/>
    <w:rsid w:val="00016807"/>
    <w:rsid w:val="0001682E"/>
    <w:rsid w:val="0001688F"/>
    <w:rsid w:val="0001693A"/>
    <w:rsid w:val="0001699D"/>
    <w:rsid w:val="000169B7"/>
    <w:rsid w:val="00016A8D"/>
    <w:rsid w:val="00016B97"/>
    <w:rsid w:val="00016C10"/>
    <w:rsid w:val="00016DD9"/>
    <w:rsid w:val="00016FEF"/>
    <w:rsid w:val="00017105"/>
    <w:rsid w:val="00017183"/>
    <w:rsid w:val="00017184"/>
    <w:rsid w:val="000171C0"/>
    <w:rsid w:val="000171D1"/>
    <w:rsid w:val="0001734F"/>
    <w:rsid w:val="00017565"/>
    <w:rsid w:val="000175FA"/>
    <w:rsid w:val="000176FC"/>
    <w:rsid w:val="00017A26"/>
    <w:rsid w:val="00017BEF"/>
    <w:rsid w:val="00017CFC"/>
    <w:rsid w:val="00017E32"/>
    <w:rsid w:val="00017EF2"/>
    <w:rsid w:val="00017F91"/>
    <w:rsid w:val="00017FC4"/>
    <w:rsid w:val="0002000B"/>
    <w:rsid w:val="0002004F"/>
    <w:rsid w:val="00020347"/>
    <w:rsid w:val="000204FA"/>
    <w:rsid w:val="000207B2"/>
    <w:rsid w:val="00020EBC"/>
    <w:rsid w:val="00020ECF"/>
    <w:rsid w:val="00021234"/>
    <w:rsid w:val="000212B7"/>
    <w:rsid w:val="0002139B"/>
    <w:rsid w:val="000213A7"/>
    <w:rsid w:val="000214BE"/>
    <w:rsid w:val="000214C7"/>
    <w:rsid w:val="0002154D"/>
    <w:rsid w:val="0002180C"/>
    <w:rsid w:val="0002186C"/>
    <w:rsid w:val="000219F5"/>
    <w:rsid w:val="00021B03"/>
    <w:rsid w:val="00021B9F"/>
    <w:rsid w:val="00021BC1"/>
    <w:rsid w:val="00021C7B"/>
    <w:rsid w:val="00021DB5"/>
    <w:rsid w:val="00021E4C"/>
    <w:rsid w:val="00021ED1"/>
    <w:rsid w:val="00021EF0"/>
    <w:rsid w:val="00021F0F"/>
    <w:rsid w:val="000221BF"/>
    <w:rsid w:val="00022216"/>
    <w:rsid w:val="00022484"/>
    <w:rsid w:val="0002259F"/>
    <w:rsid w:val="000225D8"/>
    <w:rsid w:val="00022665"/>
    <w:rsid w:val="00022789"/>
    <w:rsid w:val="00022846"/>
    <w:rsid w:val="000229C9"/>
    <w:rsid w:val="00022A18"/>
    <w:rsid w:val="00022A93"/>
    <w:rsid w:val="00022ACE"/>
    <w:rsid w:val="00022CB5"/>
    <w:rsid w:val="00022CF3"/>
    <w:rsid w:val="00022FCC"/>
    <w:rsid w:val="0002308A"/>
    <w:rsid w:val="000232BC"/>
    <w:rsid w:val="0002336A"/>
    <w:rsid w:val="0002336B"/>
    <w:rsid w:val="00023507"/>
    <w:rsid w:val="0002375A"/>
    <w:rsid w:val="00023829"/>
    <w:rsid w:val="00023908"/>
    <w:rsid w:val="00023A92"/>
    <w:rsid w:val="00023AA3"/>
    <w:rsid w:val="00023ADB"/>
    <w:rsid w:val="00023BE2"/>
    <w:rsid w:val="00023C0E"/>
    <w:rsid w:val="00023C4C"/>
    <w:rsid w:val="00023D46"/>
    <w:rsid w:val="00023F29"/>
    <w:rsid w:val="00023F76"/>
    <w:rsid w:val="0002401B"/>
    <w:rsid w:val="00024074"/>
    <w:rsid w:val="000241FC"/>
    <w:rsid w:val="0002422A"/>
    <w:rsid w:val="000242FA"/>
    <w:rsid w:val="000243D9"/>
    <w:rsid w:val="000244B5"/>
    <w:rsid w:val="0002467D"/>
    <w:rsid w:val="000246CE"/>
    <w:rsid w:val="000247A4"/>
    <w:rsid w:val="000248B0"/>
    <w:rsid w:val="000248DC"/>
    <w:rsid w:val="00024A6A"/>
    <w:rsid w:val="00024A81"/>
    <w:rsid w:val="00024AF5"/>
    <w:rsid w:val="00024B9A"/>
    <w:rsid w:val="00024D3A"/>
    <w:rsid w:val="00024FF7"/>
    <w:rsid w:val="000250CE"/>
    <w:rsid w:val="00025115"/>
    <w:rsid w:val="0002511E"/>
    <w:rsid w:val="0002529F"/>
    <w:rsid w:val="0002539B"/>
    <w:rsid w:val="000254C0"/>
    <w:rsid w:val="000254DD"/>
    <w:rsid w:val="0002551F"/>
    <w:rsid w:val="000255C2"/>
    <w:rsid w:val="000256C7"/>
    <w:rsid w:val="00025737"/>
    <w:rsid w:val="00025888"/>
    <w:rsid w:val="000258DB"/>
    <w:rsid w:val="00025A6C"/>
    <w:rsid w:val="00025A81"/>
    <w:rsid w:val="00025AC3"/>
    <w:rsid w:val="00025D69"/>
    <w:rsid w:val="00025E9E"/>
    <w:rsid w:val="00025F49"/>
    <w:rsid w:val="00026381"/>
    <w:rsid w:val="00026544"/>
    <w:rsid w:val="00026616"/>
    <w:rsid w:val="000266FC"/>
    <w:rsid w:val="0002671E"/>
    <w:rsid w:val="0002681B"/>
    <w:rsid w:val="00026906"/>
    <w:rsid w:val="000269AF"/>
    <w:rsid w:val="00026AAF"/>
    <w:rsid w:val="00026C82"/>
    <w:rsid w:val="00026CD1"/>
    <w:rsid w:val="00026F1A"/>
    <w:rsid w:val="00027359"/>
    <w:rsid w:val="00027375"/>
    <w:rsid w:val="000273A6"/>
    <w:rsid w:val="000273BB"/>
    <w:rsid w:val="00027415"/>
    <w:rsid w:val="000274FE"/>
    <w:rsid w:val="000275B3"/>
    <w:rsid w:val="000276D8"/>
    <w:rsid w:val="00027756"/>
    <w:rsid w:val="00027852"/>
    <w:rsid w:val="000279A1"/>
    <w:rsid w:val="00027BD1"/>
    <w:rsid w:val="00027BEC"/>
    <w:rsid w:val="00027CBE"/>
    <w:rsid w:val="00027CCF"/>
    <w:rsid w:val="00030158"/>
    <w:rsid w:val="000304A1"/>
    <w:rsid w:val="00030612"/>
    <w:rsid w:val="00030B5F"/>
    <w:rsid w:val="00030C35"/>
    <w:rsid w:val="00030C46"/>
    <w:rsid w:val="00030CA0"/>
    <w:rsid w:val="00030DFD"/>
    <w:rsid w:val="00030E7D"/>
    <w:rsid w:val="00030E85"/>
    <w:rsid w:val="00030EA0"/>
    <w:rsid w:val="0003105C"/>
    <w:rsid w:val="000314DF"/>
    <w:rsid w:val="00031771"/>
    <w:rsid w:val="000319F5"/>
    <w:rsid w:val="00031A33"/>
    <w:rsid w:val="00031A4C"/>
    <w:rsid w:val="00031AAD"/>
    <w:rsid w:val="00031AFA"/>
    <w:rsid w:val="00031B22"/>
    <w:rsid w:val="00031B48"/>
    <w:rsid w:val="00031C5A"/>
    <w:rsid w:val="00031D7E"/>
    <w:rsid w:val="00031D9F"/>
    <w:rsid w:val="00031F81"/>
    <w:rsid w:val="00031F92"/>
    <w:rsid w:val="0003208C"/>
    <w:rsid w:val="0003222F"/>
    <w:rsid w:val="0003237E"/>
    <w:rsid w:val="000324BF"/>
    <w:rsid w:val="0003256C"/>
    <w:rsid w:val="00032587"/>
    <w:rsid w:val="00032610"/>
    <w:rsid w:val="00032629"/>
    <w:rsid w:val="00032706"/>
    <w:rsid w:val="00032792"/>
    <w:rsid w:val="000329AF"/>
    <w:rsid w:val="000329D3"/>
    <w:rsid w:val="00032B19"/>
    <w:rsid w:val="00032B2C"/>
    <w:rsid w:val="00032BCA"/>
    <w:rsid w:val="00032C48"/>
    <w:rsid w:val="00032D92"/>
    <w:rsid w:val="00032D9C"/>
    <w:rsid w:val="00033001"/>
    <w:rsid w:val="000332BB"/>
    <w:rsid w:val="000332E3"/>
    <w:rsid w:val="00033474"/>
    <w:rsid w:val="00033568"/>
    <w:rsid w:val="00033583"/>
    <w:rsid w:val="0003364B"/>
    <w:rsid w:val="00033694"/>
    <w:rsid w:val="000336A4"/>
    <w:rsid w:val="000336DA"/>
    <w:rsid w:val="00033CCC"/>
    <w:rsid w:val="00033D95"/>
    <w:rsid w:val="00033FBE"/>
    <w:rsid w:val="00033FD2"/>
    <w:rsid w:val="000340C6"/>
    <w:rsid w:val="00034125"/>
    <w:rsid w:val="000342B3"/>
    <w:rsid w:val="0003432C"/>
    <w:rsid w:val="000344BA"/>
    <w:rsid w:val="000345D2"/>
    <w:rsid w:val="0003460E"/>
    <w:rsid w:val="00034622"/>
    <w:rsid w:val="000348FE"/>
    <w:rsid w:val="0003492A"/>
    <w:rsid w:val="00034982"/>
    <w:rsid w:val="000349AB"/>
    <w:rsid w:val="000349DF"/>
    <w:rsid w:val="000349EF"/>
    <w:rsid w:val="00034A37"/>
    <w:rsid w:val="00034EE1"/>
    <w:rsid w:val="00034FE8"/>
    <w:rsid w:val="00035077"/>
    <w:rsid w:val="00035139"/>
    <w:rsid w:val="0003519D"/>
    <w:rsid w:val="00035204"/>
    <w:rsid w:val="0003541E"/>
    <w:rsid w:val="00035423"/>
    <w:rsid w:val="00035424"/>
    <w:rsid w:val="0003542F"/>
    <w:rsid w:val="0003547E"/>
    <w:rsid w:val="00035665"/>
    <w:rsid w:val="000357C3"/>
    <w:rsid w:val="00035896"/>
    <w:rsid w:val="000359BD"/>
    <w:rsid w:val="00035B4D"/>
    <w:rsid w:val="00035B6F"/>
    <w:rsid w:val="00035B8A"/>
    <w:rsid w:val="00035CB1"/>
    <w:rsid w:val="00035E2B"/>
    <w:rsid w:val="00035EE8"/>
    <w:rsid w:val="00035F61"/>
    <w:rsid w:val="000360AB"/>
    <w:rsid w:val="000360DE"/>
    <w:rsid w:val="00036369"/>
    <w:rsid w:val="00036381"/>
    <w:rsid w:val="0003661B"/>
    <w:rsid w:val="0003667A"/>
    <w:rsid w:val="0003680A"/>
    <w:rsid w:val="00036A43"/>
    <w:rsid w:val="00036A59"/>
    <w:rsid w:val="00036D94"/>
    <w:rsid w:val="00036F0C"/>
    <w:rsid w:val="00036F12"/>
    <w:rsid w:val="00036F8C"/>
    <w:rsid w:val="000371C2"/>
    <w:rsid w:val="0003720C"/>
    <w:rsid w:val="00037823"/>
    <w:rsid w:val="0003787E"/>
    <w:rsid w:val="00037A56"/>
    <w:rsid w:val="00040043"/>
    <w:rsid w:val="0004005E"/>
    <w:rsid w:val="000400D8"/>
    <w:rsid w:val="0004012D"/>
    <w:rsid w:val="0004021C"/>
    <w:rsid w:val="000402A6"/>
    <w:rsid w:val="00040313"/>
    <w:rsid w:val="000403CA"/>
    <w:rsid w:val="00040405"/>
    <w:rsid w:val="0004047F"/>
    <w:rsid w:val="000405D0"/>
    <w:rsid w:val="00040683"/>
    <w:rsid w:val="00040779"/>
    <w:rsid w:val="00040813"/>
    <w:rsid w:val="00040B59"/>
    <w:rsid w:val="00040CD8"/>
    <w:rsid w:val="00040E46"/>
    <w:rsid w:val="00040EE3"/>
    <w:rsid w:val="00040F53"/>
    <w:rsid w:val="00040FF3"/>
    <w:rsid w:val="000410A3"/>
    <w:rsid w:val="00041143"/>
    <w:rsid w:val="000411E9"/>
    <w:rsid w:val="00041643"/>
    <w:rsid w:val="0004169F"/>
    <w:rsid w:val="000416E0"/>
    <w:rsid w:val="00041875"/>
    <w:rsid w:val="00041894"/>
    <w:rsid w:val="0004196F"/>
    <w:rsid w:val="00041A81"/>
    <w:rsid w:val="00041AC2"/>
    <w:rsid w:val="00041BE0"/>
    <w:rsid w:val="00041CFE"/>
    <w:rsid w:val="00041D57"/>
    <w:rsid w:val="00041D67"/>
    <w:rsid w:val="00041D77"/>
    <w:rsid w:val="00041E82"/>
    <w:rsid w:val="00042076"/>
    <w:rsid w:val="00042133"/>
    <w:rsid w:val="000423EC"/>
    <w:rsid w:val="0004252A"/>
    <w:rsid w:val="0004253D"/>
    <w:rsid w:val="000425CD"/>
    <w:rsid w:val="000429CC"/>
    <w:rsid w:val="00042C22"/>
    <w:rsid w:val="00042CF3"/>
    <w:rsid w:val="00042E93"/>
    <w:rsid w:val="00042FDB"/>
    <w:rsid w:val="0004340B"/>
    <w:rsid w:val="000434B4"/>
    <w:rsid w:val="000436AC"/>
    <w:rsid w:val="000437F2"/>
    <w:rsid w:val="000438EB"/>
    <w:rsid w:val="0004395E"/>
    <w:rsid w:val="00043C4B"/>
    <w:rsid w:val="00043C55"/>
    <w:rsid w:val="00043C9D"/>
    <w:rsid w:val="00043CA6"/>
    <w:rsid w:val="00043D46"/>
    <w:rsid w:val="00043E09"/>
    <w:rsid w:val="00043E3E"/>
    <w:rsid w:val="00043EEF"/>
    <w:rsid w:val="00043EF3"/>
    <w:rsid w:val="00043F47"/>
    <w:rsid w:val="00043F72"/>
    <w:rsid w:val="000440A1"/>
    <w:rsid w:val="0004413E"/>
    <w:rsid w:val="00044178"/>
    <w:rsid w:val="00044250"/>
    <w:rsid w:val="000442A4"/>
    <w:rsid w:val="0004431C"/>
    <w:rsid w:val="00044514"/>
    <w:rsid w:val="000445E3"/>
    <w:rsid w:val="00044629"/>
    <w:rsid w:val="00044634"/>
    <w:rsid w:val="0004468B"/>
    <w:rsid w:val="000448F2"/>
    <w:rsid w:val="00044942"/>
    <w:rsid w:val="0004497D"/>
    <w:rsid w:val="00044E93"/>
    <w:rsid w:val="000450D0"/>
    <w:rsid w:val="00045369"/>
    <w:rsid w:val="00045376"/>
    <w:rsid w:val="0004538C"/>
    <w:rsid w:val="00045739"/>
    <w:rsid w:val="0004579E"/>
    <w:rsid w:val="00045965"/>
    <w:rsid w:val="00045A5D"/>
    <w:rsid w:val="00045B99"/>
    <w:rsid w:val="00045C2D"/>
    <w:rsid w:val="00045D0A"/>
    <w:rsid w:val="00045D5A"/>
    <w:rsid w:val="00045EE2"/>
    <w:rsid w:val="00045EE7"/>
    <w:rsid w:val="00045F66"/>
    <w:rsid w:val="000460B5"/>
    <w:rsid w:val="00046105"/>
    <w:rsid w:val="0004613C"/>
    <w:rsid w:val="000462EE"/>
    <w:rsid w:val="00046300"/>
    <w:rsid w:val="00046396"/>
    <w:rsid w:val="000466FD"/>
    <w:rsid w:val="000467FE"/>
    <w:rsid w:val="0004680C"/>
    <w:rsid w:val="000468A8"/>
    <w:rsid w:val="00046A33"/>
    <w:rsid w:val="00046C3E"/>
    <w:rsid w:val="00046CA0"/>
    <w:rsid w:val="00046E51"/>
    <w:rsid w:val="00046E5E"/>
    <w:rsid w:val="00047097"/>
    <w:rsid w:val="00047264"/>
    <w:rsid w:val="000472FF"/>
    <w:rsid w:val="000473E9"/>
    <w:rsid w:val="000476AE"/>
    <w:rsid w:val="000478F7"/>
    <w:rsid w:val="00047A74"/>
    <w:rsid w:val="00047B4C"/>
    <w:rsid w:val="00047B75"/>
    <w:rsid w:val="00047BE8"/>
    <w:rsid w:val="00047C9D"/>
    <w:rsid w:val="00047D6E"/>
    <w:rsid w:val="00047F58"/>
    <w:rsid w:val="00047F74"/>
    <w:rsid w:val="00050019"/>
    <w:rsid w:val="000502B4"/>
    <w:rsid w:val="00050360"/>
    <w:rsid w:val="0005037E"/>
    <w:rsid w:val="000503A9"/>
    <w:rsid w:val="00050491"/>
    <w:rsid w:val="000504D3"/>
    <w:rsid w:val="00050635"/>
    <w:rsid w:val="00050770"/>
    <w:rsid w:val="000507C4"/>
    <w:rsid w:val="000509C8"/>
    <w:rsid w:val="00050A5A"/>
    <w:rsid w:val="00050D9E"/>
    <w:rsid w:val="00050DE0"/>
    <w:rsid w:val="00050F4B"/>
    <w:rsid w:val="00050FB2"/>
    <w:rsid w:val="00050FC8"/>
    <w:rsid w:val="00051300"/>
    <w:rsid w:val="00051350"/>
    <w:rsid w:val="00051370"/>
    <w:rsid w:val="000514C3"/>
    <w:rsid w:val="00051583"/>
    <w:rsid w:val="000516DB"/>
    <w:rsid w:val="000518DE"/>
    <w:rsid w:val="0005197C"/>
    <w:rsid w:val="00051B19"/>
    <w:rsid w:val="00051BA3"/>
    <w:rsid w:val="00051DD0"/>
    <w:rsid w:val="0005212B"/>
    <w:rsid w:val="00052179"/>
    <w:rsid w:val="000522DB"/>
    <w:rsid w:val="000525D0"/>
    <w:rsid w:val="00052742"/>
    <w:rsid w:val="00052768"/>
    <w:rsid w:val="00052853"/>
    <w:rsid w:val="00052909"/>
    <w:rsid w:val="000529C1"/>
    <w:rsid w:val="000529FD"/>
    <w:rsid w:val="00052B33"/>
    <w:rsid w:val="00052BB3"/>
    <w:rsid w:val="00052BE1"/>
    <w:rsid w:val="00053191"/>
    <w:rsid w:val="0005325C"/>
    <w:rsid w:val="0005340F"/>
    <w:rsid w:val="00053445"/>
    <w:rsid w:val="000534A2"/>
    <w:rsid w:val="00053586"/>
    <w:rsid w:val="000535F3"/>
    <w:rsid w:val="00053810"/>
    <w:rsid w:val="00053971"/>
    <w:rsid w:val="00053B76"/>
    <w:rsid w:val="00053B9A"/>
    <w:rsid w:val="00053BD7"/>
    <w:rsid w:val="00053CC2"/>
    <w:rsid w:val="00053D1F"/>
    <w:rsid w:val="00053D76"/>
    <w:rsid w:val="00053D8F"/>
    <w:rsid w:val="00053DFF"/>
    <w:rsid w:val="00053E0E"/>
    <w:rsid w:val="00053E3E"/>
    <w:rsid w:val="00053EF0"/>
    <w:rsid w:val="00053F4D"/>
    <w:rsid w:val="00053F65"/>
    <w:rsid w:val="000540E3"/>
    <w:rsid w:val="0005412E"/>
    <w:rsid w:val="000541BA"/>
    <w:rsid w:val="000541FF"/>
    <w:rsid w:val="0005428E"/>
    <w:rsid w:val="000542C7"/>
    <w:rsid w:val="000542EF"/>
    <w:rsid w:val="0005431D"/>
    <w:rsid w:val="0005438D"/>
    <w:rsid w:val="000543B4"/>
    <w:rsid w:val="0005443A"/>
    <w:rsid w:val="0005447A"/>
    <w:rsid w:val="00054777"/>
    <w:rsid w:val="0005488A"/>
    <w:rsid w:val="00054E27"/>
    <w:rsid w:val="00054F18"/>
    <w:rsid w:val="000550B5"/>
    <w:rsid w:val="0005536F"/>
    <w:rsid w:val="000553C2"/>
    <w:rsid w:val="000553C6"/>
    <w:rsid w:val="0005559F"/>
    <w:rsid w:val="000557B6"/>
    <w:rsid w:val="00055828"/>
    <w:rsid w:val="00055838"/>
    <w:rsid w:val="00055961"/>
    <w:rsid w:val="00055CA4"/>
    <w:rsid w:val="00055D94"/>
    <w:rsid w:val="000560EB"/>
    <w:rsid w:val="00056120"/>
    <w:rsid w:val="000561F1"/>
    <w:rsid w:val="0005632C"/>
    <w:rsid w:val="000567B4"/>
    <w:rsid w:val="00056879"/>
    <w:rsid w:val="000568A0"/>
    <w:rsid w:val="00056966"/>
    <w:rsid w:val="00056A65"/>
    <w:rsid w:val="00056A9D"/>
    <w:rsid w:val="00056AE7"/>
    <w:rsid w:val="00056F19"/>
    <w:rsid w:val="00056F6E"/>
    <w:rsid w:val="00056FD6"/>
    <w:rsid w:val="000570BD"/>
    <w:rsid w:val="00057243"/>
    <w:rsid w:val="0005774B"/>
    <w:rsid w:val="00057760"/>
    <w:rsid w:val="00057815"/>
    <w:rsid w:val="00057854"/>
    <w:rsid w:val="00057A2E"/>
    <w:rsid w:val="00057B46"/>
    <w:rsid w:val="00057B95"/>
    <w:rsid w:val="00057BCB"/>
    <w:rsid w:val="00057D3F"/>
    <w:rsid w:val="00057D6E"/>
    <w:rsid w:val="00057DC6"/>
    <w:rsid w:val="00057F41"/>
    <w:rsid w:val="00057F43"/>
    <w:rsid w:val="00060150"/>
    <w:rsid w:val="00060218"/>
    <w:rsid w:val="000602FC"/>
    <w:rsid w:val="00060350"/>
    <w:rsid w:val="0006035A"/>
    <w:rsid w:val="000604D0"/>
    <w:rsid w:val="000606AF"/>
    <w:rsid w:val="0006071F"/>
    <w:rsid w:val="00060816"/>
    <w:rsid w:val="00060958"/>
    <w:rsid w:val="000609DF"/>
    <w:rsid w:val="00060A4E"/>
    <w:rsid w:val="00060AD2"/>
    <w:rsid w:val="00060C6A"/>
    <w:rsid w:val="00060D60"/>
    <w:rsid w:val="00060E85"/>
    <w:rsid w:val="00060F5E"/>
    <w:rsid w:val="0006106F"/>
    <w:rsid w:val="000613DC"/>
    <w:rsid w:val="00061825"/>
    <w:rsid w:val="000619A3"/>
    <w:rsid w:val="000619F4"/>
    <w:rsid w:val="00061A30"/>
    <w:rsid w:val="00061A75"/>
    <w:rsid w:val="00061A96"/>
    <w:rsid w:val="00061AE6"/>
    <w:rsid w:val="00061B56"/>
    <w:rsid w:val="00061B57"/>
    <w:rsid w:val="00061C1C"/>
    <w:rsid w:val="00061D5B"/>
    <w:rsid w:val="00061FA2"/>
    <w:rsid w:val="00061FD3"/>
    <w:rsid w:val="0006201F"/>
    <w:rsid w:val="00062133"/>
    <w:rsid w:val="0006218C"/>
    <w:rsid w:val="000622BF"/>
    <w:rsid w:val="00062454"/>
    <w:rsid w:val="000624DF"/>
    <w:rsid w:val="00062534"/>
    <w:rsid w:val="00062601"/>
    <w:rsid w:val="000627BA"/>
    <w:rsid w:val="00062821"/>
    <w:rsid w:val="0006282C"/>
    <w:rsid w:val="00062A6D"/>
    <w:rsid w:val="00062BBF"/>
    <w:rsid w:val="00062D3F"/>
    <w:rsid w:val="00062DBC"/>
    <w:rsid w:val="00062F94"/>
    <w:rsid w:val="0006312B"/>
    <w:rsid w:val="0006323C"/>
    <w:rsid w:val="0006325F"/>
    <w:rsid w:val="00063309"/>
    <w:rsid w:val="00063350"/>
    <w:rsid w:val="000635DA"/>
    <w:rsid w:val="000636C2"/>
    <w:rsid w:val="00063707"/>
    <w:rsid w:val="0006376D"/>
    <w:rsid w:val="00063880"/>
    <w:rsid w:val="0006393B"/>
    <w:rsid w:val="0006394D"/>
    <w:rsid w:val="00063A4C"/>
    <w:rsid w:val="00063B3A"/>
    <w:rsid w:val="00063B77"/>
    <w:rsid w:val="00063B82"/>
    <w:rsid w:val="00063E1F"/>
    <w:rsid w:val="00063EA9"/>
    <w:rsid w:val="00063FB7"/>
    <w:rsid w:val="00064051"/>
    <w:rsid w:val="00064077"/>
    <w:rsid w:val="0006421B"/>
    <w:rsid w:val="0006437D"/>
    <w:rsid w:val="0006461D"/>
    <w:rsid w:val="00064870"/>
    <w:rsid w:val="0006490B"/>
    <w:rsid w:val="00064927"/>
    <w:rsid w:val="00064A37"/>
    <w:rsid w:val="00064A99"/>
    <w:rsid w:val="00064AD0"/>
    <w:rsid w:val="00064B84"/>
    <w:rsid w:val="00064B89"/>
    <w:rsid w:val="00064C67"/>
    <w:rsid w:val="00064D73"/>
    <w:rsid w:val="00064E00"/>
    <w:rsid w:val="00064E87"/>
    <w:rsid w:val="00064EAA"/>
    <w:rsid w:val="00064F53"/>
    <w:rsid w:val="00064FF5"/>
    <w:rsid w:val="00065129"/>
    <w:rsid w:val="00065284"/>
    <w:rsid w:val="0006531A"/>
    <w:rsid w:val="0006539C"/>
    <w:rsid w:val="0006544E"/>
    <w:rsid w:val="000655B7"/>
    <w:rsid w:val="00065725"/>
    <w:rsid w:val="00065765"/>
    <w:rsid w:val="0006578D"/>
    <w:rsid w:val="0006579E"/>
    <w:rsid w:val="0006596E"/>
    <w:rsid w:val="000659CA"/>
    <w:rsid w:val="00065A65"/>
    <w:rsid w:val="00065B41"/>
    <w:rsid w:val="00065C50"/>
    <w:rsid w:val="00065DAF"/>
    <w:rsid w:val="00065FC1"/>
    <w:rsid w:val="00065FD1"/>
    <w:rsid w:val="00066150"/>
    <w:rsid w:val="00066317"/>
    <w:rsid w:val="00066361"/>
    <w:rsid w:val="000663AF"/>
    <w:rsid w:val="00066824"/>
    <w:rsid w:val="000668C9"/>
    <w:rsid w:val="00066A8C"/>
    <w:rsid w:val="00066C57"/>
    <w:rsid w:val="00066D81"/>
    <w:rsid w:val="00066EA3"/>
    <w:rsid w:val="00067090"/>
    <w:rsid w:val="00067119"/>
    <w:rsid w:val="000671C8"/>
    <w:rsid w:val="0006720D"/>
    <w:rsid w:val="000672A6"/>
    <w:rsid w:val="00067348"/>
    <w:rsid w:val="00067419"/>
    <w:rsid w:val="000674C9"/>
    <w:rsid w:val="000675F7"/>
    <w:rsid w:val="00067689"/>
    <w:rsid w:val="00067775"/>
    <w:rsid w:val="00067854"/>
    <w:rsid w:val="00067861"/>
    <w:rsid w:val="00067BAA"/>
    <w:rsid w:val="00067E53"/>
    <w:rsid w:val="00067F81"/>
    <w:rsid w:val="00067FD8"/>
    <w:rsid w:val="00070317"/>
    <w:rsid w:val="00070523"/>
    <w:rsid w:val="00070583"/>
    <w:rsid w:val="0007062E"/>
    <w:rsid w:val="00070855"/>
    <w:rsid w:val="00070B78"/>
    <w:rsid w:val="00070F8C"/>
    <w:rsid w:val="00070FA6"/>
    <w:rsid w:val="00071019"/>
    <w:rsid w:val="00071083"/>
    <w:rsid w:val="00071594"/>
    <w:rsid w:val="000717AB"/>
    <w:rsid w:val="00071806"/>
    <w:rsid w:val="00071AB2"/>
    <w:rsid w:val="00071ACA"/>
    <w:rsid w:val="00071C2B"/>
    <w:rsid w:val="00071C5D"/>
    <w:rsid w:val="00071D11"/>
    <w:rsid w:val="00071DDC"/>
    <w:rsid w:val="00071F79"/>
    <w:rsid w:val="00071FCA"/>
    <w:rsid w:val="00072132"/>
    <w:rsid w:val="0007239D"/>
    <w:rsid w:val="000723DA"/>
    <w:rsid w:val="000723DD"/>
    <w:rsid w:val="000724A8"/>
    <w:rsid w:val="000724D0"/>
    <w:rsid w:val="000726BC"/>
    <w:rsid w:val="000726FE"/>
    <w:rsid w:val="00072993"/>
    <w:rsid w:val="00072996"/>
    <w:rsid w:val="00072A12"/>
    <w:rsid w:val="00072A55"/>
    <w:rsid w:val="00072A5D"/>
    <w:rsid w:val="00072BF3"/>
    <w:rsid w:val="00072D96"/>
    <w:rsid w:val="000730B0"/>
    <w:rsid w:val="000733D0"/>
    <w:rsid w:val="000736B8"/>
    <w:rsid w:val="000736EF"/>
    <w:rsid w:val="00073707"/>
    <w:rsid w:val="00073776"/>
    <w:rsid w:val="00073813"/>
    <w:rsid w:val="0007388B"/>
    <w:rsid w:val="0007389A"/>
    <w:rsid w:val="00073970"/>
    <w:rsid w:val="00073990"/>
    <w:rsid w:val="00073A2F"/>
    <w:rsid w:val="00073AD8"/>
    <w:rsid w:val="00073C6A"/>
    <w:rsid w:val="00073CA0"/>
    <w:rsid w:val="00073DF2"/>
    <w:rsid w:val="00073EEF"/>
    <w:rsid w:val="00073F3D"/>
    <w:rsid w:val="00073F6D"/>
    <w:rsid w:val="0007400F"/>
    <w:rsid w:val="00074198"/>
    <w:rsid w:val="00074206"/>
    <w:rsid w:val="00074324"/>
    <w:rsid w:val="00074352"/>
    <w:rsid w:val="000746A3"/>
    <w:rsid w:val="00074951"/>
    <w:rsid w:val="000749FB"/>
    <w:rsid w:val="00074AB1"/>
    <w:rsid w:val="00074B67"/>
    <w:rsid w:val="00074B85"/>
    <w:rsid w:val="00074C6B"/>
    <w:rsid w:val="00074C9E"/>
    <w:rsid w:val="00074D5D"/>
    <w:rsid w:val="00075059"/>
    <w:rsid w:val="00075423"/>
    <w:rsid w:val="00075509"/>
    <w:rsid w:val="00075A61"/>
    <w:rsid w:val="00075AEE"/>
    <w:rsid w:val="00075B33"/>
    <w:rsid w:val="00075B60"/>
    <w:rsid w:val="00075BC3"/>
    <w:rsid w:val="00075D61"/>
    <w:rsid w:val="00075E69"/>
    <w:rsid w:val="00076073"/>
    <w:rsid w:val="00076187"/>
    <w:rsid w:val="000763C8"/>
    <w:rsid w:val="00076403"/>
    <w:rsid w:val="00076543"/>
    <w:rsid w:val="000765DF"/>
    <w:rsid w:val="0007665E"/>
    <w:rsid w:val="00076695"/>
    <w:rsid w:val="00076A32"/>
    <w:rsid w:val="00076A49"/>
    <w:rsid w:val="00076B35"/>
    <w:rsid w:val="00076DA5"/>
    <w:rsid w:val="00076E6A"/>
    <w:rsid w:val="00076F04"/>
    <w:rsid w:val="00076F22"/>
    <w:rsid w:val="00076F68"/>
    <w:rsid w:val="00076FCF"/>
    <w:rsid w:val="0007701E"/>
    <w:rsid w:val="000770F4"/>
    <w:rsid w:val="0007714E"/>
    <w:rsid w:val="0007718A"/>
    <w:rsid w:val="000771E3"/>
    <w:rsid w:val="000773ED"/>
    <w:rsid w:val="00077575"/>
    <w:rsid w:val="000775D4"/>
    <w:rsid w:val="00077707"/>
    <w:rsid w:val="00077752"/>
    <w:rsid w:val="00077764"/>
    <w:rsid w:val="000777CE"/>
    <w:rsid w:val="00077895"/>
    <w:rsid w:val="00077994"/>
    <w:rsid w:val="00077B57"/>
    <w:rsid w:val="00077DD6"/>
    <w:rsid w:val="00077E0C"/>
    <w:rsid w:val="00077E9A"/>
    <w:rsid w:val="00077E9F"/>
    <w:rsid w:val="00077FFB"/>
    <w:rsid w:val="000803ED"/>
    <w:rsid w:val="000805C5"/>
    <w:rsid w:val="000805E8"/>
    <w:rsid w:val="00080640"/>
    <w:rsid w:val="000807BE"/>
    <w:rsid w:val="000809C3"/>
    <w:rsid w:val="00080A2E"/>
    <w:rsid w:val="00080D90"/>
    <w:rsid w:val="00080DB3"/>
    <w:rsid w:val="00081125"/>
    <w:rsid w:val="000815AE"/>
    <w:rsid w:val="0008161A"/>
    <w:rsid w:val="00081642"/>
    <w:rsid w:val="0008166A"/>
    <w:rsid w:val="00081709"/>
    <w:rsid w:val="000817D1"/>
    <w:rsid w:val="00081990"/>
    <w:rsid w:val="00081A38"/>
    <w:rsid w:val="00081CF5"/>
    <w:rsid w:val="00081D79"/>
    <w:rsid w:val="0008200A"/>
    <w:rsid w:val="000821AF"/>
    <w:rsid w:val="0008223C"/>
    <w:rsid w:val="000822E3"/>
    <w:rsid w:val="00082352"/>
    <w:rsid w:val="00082354"/>
    <w:rsid w:val="000823A0"/>
    <w:rsid w:val="0008253F"/>
    <w:rsid w:val="00082854"/>
    <w:rsid w:val="0008297E"/>
    <w:rsid w:val="000829B0"/>
    <w:rsid w:val="00082AEA"/>
    <w:rsid w:val="00082F45"/>
    <w:rsid w:val="00082FA1"/>
    <w:rsid w:val="0008303C"/>
    <w:rsid w:val="00083067"/>
    <w:rsid w:val="000830E0"/>
    <w:rsid w:val="0008318A"/>
    <w:rsid w:val="00083485"/>
    <w:rsid w:val="00083510"/>
    <w:rsid w:val="00083643"/>
    <w:rsid w:val="00083674"/>
    <w:rsid w:val="00083765"/>
    <w:rsid w:val="00083A2E"/>
    <w:rsid w:val="00083B00"/>
    <w:rsid w:val="00083B9E"/>
    <w:rsid w:val="00083C32"/>
    <w:rsid w:val="00083C5B"/>
    <w:rsid w:val="00083D45"/>
    <w:rsid w:val="00083E07"/>
    <w:rsid w:val="00083ED3"/>
    <w:rsid w:val="00083F19"/>
    <w:rsid w:val="00083F56"/>
    <w:rsid w:val="00083FD1"/>
    <w:rsid w:val="00084450"/>
    <w:rsid w:val="000844C4"/>
    <w:rsid w:val="00084519"/>
    <w:rsid w:val="00084799"/>
    <w:rsid w:val="0008484F"/>
    <w:rsid w:val="000849A7"/>
    <w:rsid w:val="000849F1"/>
    <w:rsid w:val="00084B22"/>
    <w:rsid w:val="00084B29"/>
    <w:rsid w:val="00084B9A"/>
    <w:rsid w:val="00084C00"/>
    <w:rsid w:val="00084D52"/>
    <w:rsid w:val="00084D55"/>
    <w:rsid w:val="00084DB8"/>
    <w:rsid w:val="00084DEE"/>
    <w:rsid w:val="00084E77"/>
    <w:rsid w:val="00084EA3"/>
    <w:rsid w:val="00084F02"/>
    <w:rsid w:val="0008500B"/>
    <w:rsid w:val="00085196"/>
    <w:rsid w:val="00085477"/>
    <w:rsid w:val="0008564C"/>
    <w:rsid w:val="00085710"/>
    <w:rsid w:val="000858A0"/>
    <w:rsid w:val="00085A66"/>
    <w:rsid w:val="00085AB6"/>
    <w:rsid w:val="00085B30"/>
    <w:rsid w:val="00085C29"/>
    <w:rsid w:val="00085CF6"/>
    <w:rsid w:val="00085D22"/>
    <w:rsid w:val="00085D56"/>
    <w:rsid w:val="00086011"/>
    <w:rsid w:val="0008608F"/>
    <w:rsid w:val="0008611E"/>
    <w:rsid w:val="00086132"/>
    <w:rsid w:val="0008615E"/>
    <w:rsid w:val="00086273"/>
    <w:rsid w:val="000862C9"/>
    <w:rsid w:val="0008642D"/>
    <w:rsid w:val="00086472"/>
    <w:rsid w:val="000864CF"/>
    <w:rsid w:val="000864DF"/>
    <w:rsid w:val="00086500"/>
    <w:rsid w:val="0008651F"/>
    <w:rsid w:val="0008664C"/>
    <w:rsid w:val="000869D8"/>
    <w:rsid w:val="00086A61"/>
    <w:rsid w:val="00086A74"/>
    <w:rsid w:val="00086B05"/>
    <w:rsid w:val="00086B1A"/>
    <w:rsid w:val="00086C68"/>
    <w:rsid w:val="00086C84"/>
    <w:rsid w:val="00086D46"/>
    <w:rsid w:val="00086E69"/>
    <w:rsid w:val="00086F92"/>
    <w:rsid w:val="00086FF6"/>
    <w:rsid w:val="000870E0"/>
    <w:rsid w:val="00087101"/>
    <w:rsid w:val="00087424"/>
    <w:rsid w:val="0008756D"/>
    <w:rsid w:val="000875E4"/>
    <w:rsid w:val="000875F2"/>
    <w:rsid w:val="00087617"/>
    <w:rsid w:val="00087668"/>
    <w:rsid w:val="000878B6"/>
    <w:rsid w:val="000878BF"/>
    <w:rsid w:val="00087A9E"/>
    <w:rsid w:val="00087B13"/>
    <w:rsid w:val="00087B4B"/>
    <w:rsid w:val="00087BB6"/>
    <w:rsid w:val="00087C43"/>
    <w:rsid w:val="00087E55"/>
    <w:rsid w:val="00087ED2"/>
    <w:rsid w:val="00087F4C"/>
    <w:rsid w:val="00087F6C"/>
    <w:rsid w:val="00087F92"/>
    <w:rsid w:val="0009000E"/>
    <w:rsid w:val="000902CB"/>
    <w:rsid w:val="000905F7"/>
    <w:rsid w:val="000905FF"/>
    <w:rsid w:val="00090608"/>
    <w:rsid w:val="00090815"/>
    <w:rsid w:val="00090958"/>
    <w:rsid w:val="000909E9"/>
    <w:rsid w:val="00090A14"/>
    <w:rsid w:val="00090D2B"/>
    <w:rsid w:val="00090D88"/>
    <w:rsid w:val="00090E98"/>
    <w:rsid w:val="00090EFB"/>
    <w:rsid w:val="00090F14"/>
    <w:rsid w:val="00090F9C"/>
    <w:rsid w:val="00090FB4"/>
    <w:rsid w:val="00091030"/>
    <w:rsid w:val="000911C4"/>
    <w:rsid w:val="000911F2"/>
    <w:rsid w:val="00091445"/>
    <w:rsid w:val="0009152E"/>
    <w:rsid w:val="0009160C"/>
    <w:rsid w:val="0009169D"/>
    <w:rsid w:val="0009199E"/>
    <w:rsid w:val="000919B0"/>
    <w:rsid w:val="00091A0C"/>
    <w:rsid w:val="00091A67"/>
    <w:rsid w:val="00091AE8"/>
    <w:rsid w:val="00091BD4"/>
    <w:rsid w:val="00091FDC"/>
    <w:rsid w:val="00092183"/>
    <w:rsid w:val="0009234F"/>
    <w:rsid w:val="0009237D"/>
    <w:rsid w:val="000923A5"/>
    <w:rsid w:val="0009258A"/>
    <w:rsid w:val="000928E1"/>
    <w:rsid w:val="00092957"/>
    <w:rsid w:val="000929AD"/>
    <w:rsid w:val="000929B0"/>
    <w:rsid w:val="00092A1B"/>
    <w:rsid w:val="00092CC0"/>
    <w:rsid w:val="00092CE7"/>
    <w:rsid w:val="00092D3A"/>
    <w:rsid w:val="00092D90"/>
    <w:rsid w:val="00092E9B"/>
    <w:rsid w:val="00092F6A"/>
    <w:rsid w:val="00092FF4"/>
    <w:rsid w:val="00093202"/>
    <w:rsid w:val="0009389F"/>
    <w:rsid w:val="00093A25"/>
    <w:rsid w:val="00093B05"/>
    <w:rsid w:val="00093BE7"/>
    <w:rsid w:val="00093C55"/>
    <w:rsid w:val="00093D90"/>
    <w:rsid w:val="00093DE6"/>
    <w:rsid w:val="00093F62"/>
    <w:rsid w:val="000940D4"/>
    <w:rsid w:val="000941A1"/>
    <w:rsid w:val="0009434F"/>
    <w:rsid w:val="000943D0"/>
    <w:rsid w:val="0009448E"/>
    <w:rsid w:val="000944F4"/>
    <w:rsid w:val="000945BF"/>
    <w:rsid w:val="0009484F"/>
    <w:rsid w:val="000948B1"/>
    <w:rsid w:val="00094D11"/>
    <w:rsid w:val="00094F59"/>
    <w:rsid w:val="000952FB"/>
    <w:rsid w:val="00095490"/>
    <w:rsid w:val="000955A3"/>
    <w:rsid w:val="00095789"/>
    <w:rsid w:val="00095983"/>
    <w:rsid w:val="000959F4"/>
    <w:rsid w:val="00095A44"/>
    <w:rsid w:val="00095B66"/>
    <w:rsid w:val="00095C76"/>
    <w:rsid w:val="000961BE"/>
    <w:rsid w:val="00096208"/>
    <w:rsid w:val="000962A9"/>
    <w:rsid w:val="00096336"/>
    <w:rsid w:val="00096415"/>
    <w:rsid w:val="000967A3"/>
    <w:rsid w:val="00096819"/>
    <w:rsid w:val="0009691D"/>
    <w:rsid w:val="00096A09"/>
    <w:rsid w:val="00096A57"/>
    <w:rsid w:val="00096B2F"/>
    <w:rsid w:val="00096B4A"/>
    <w:rsid w:val="00096B70"/>
    <w:rsid w:val="00096CF6"/>
    <w:rsid w:val="00096D67"/>
    <w:rsid w:val="00096FB5"/>
    <w:rsid w:val="00096FE4"/>
    <w:rsid w:val="000971BE"/>
    <w:rsid w:val="00097373"/>
    <w:rsid w:val="000974C2"/>
    <w:rsid w:val="000974DF"/>
    <w:rsid w:val="000976F5"/>
    <w:rsid w:val="000977A9"/>
    <w:rsid w:val="000977CA"/>
    <w:rsid w:val="0009787D"/>
    <w:rsid w:val="00097924"/>
    <w:rsid w:val="00097B27"/>
    <w:rsid w:val="00097B89"/>
    <w:rsid w:val="00097BC3"/>
    <w:rsid w:val="00097C14"/>
    <w:rsid w:val="000A0069"/>
    <w:rsid w:val="000A00AB"/>
    <w:rsid w:val="000A00DB"/>
    <w:rsid w:val="000A00FC"/>
    <w:rsid w:val="000A0253"/>
    <w:rsid w:val="000A06B4"/>
    <w:rsid w:val="000A06CD"/>
    <w:rsid w:val="000A0942"/>
    <w:rsid w:val="000A09E6"/>
    <w:rsid w:val="000A0DB2"/>
    <w:rsid w:val="000A0DDB"/>
    <w:rsid w:val="000A0F70"/>
    <w:rsid w:val="000A1137"/>
    <w:rsid w:val="000A1153"/>
    <w:rsid w:val="000A13B6"/>
    <w:rsid w:val="000A153E"/>
    <w:rsid w:val="000A1666"/>
    <w:rsid w:val="000A17D6"/>
    <w:rsid w:val="000A186D"/>
    <w:rsid w:val="000A19B7"/>
    <w:rsid w:val="000A19F2"/>
    <w:rsid w:val="000A1B86"/>
    <w:rsid w:val="000A1C1D"/>
    <w:rsid w:val="000A1DB6"/>
    <w:rsid w:val="000A1FAB"/>
    <w:rsid w:val="000A2011"/>
    <w:rsid w:val="000A221C"/>
    <w:rsid w:val="000A22D2"/>
    <w:rsid w:val="000A2347"/>
    <w:rsid w:val="000A24C9"/>
    <w:rsid w:val="000A262B"/>
    <w:rsid w:val="000A2A82"/>
    <w:rsid w:val="000A2AE5"/>
    <w:rsid w:val="000A2CA8"/>
    <w:rsid w:val="000A2CFC"/>
    <w:rsid w:val="000A2D45"/>
    <w:rsid w:val="000A2EDE"/>
    <w:rsid w:val="000A2F40"/>
    <w:rsid w:val="000A31D0"/>
    <w:rsid w:val="000A327E"/>
    <w:rsid w:val="000A32A8"/>
    <w:rsid w:val="000A3325"/>
    <w:rsid w:val="000A3386"/>
    <w:rsid w:val="000A33C7"/>
    <w:rsid w:val="000A35FF"/>
    <w:rsid w:val="000A3652"/>
    <w:rsid w:val="000A36F7"/>
    <w:rsid w:val="000A3865"/>
    <w:rsid w:val="000A3889"/>
    <w:rsid w:val="000A394F"/>
    <w:rsid w:val="000A3954"/>
    <w:rsid w:val="000A396E"/>
    <w:rsid w:val="000A39DC"/>
    <w:rsid w:val="000A3A62"/>
    <w:rsid w:val="000A3A6D"/>
    <w:rsid w:val="000A3CB3"/>
    <w:rsid w:val="000A3DC8"/>
    <w:rsid w:val="000A41D5"/>
    <w:rsid w:val="000A4232"/>
    <w:rsid w:val="000A4240"/>
    <w:rsid w:val="000A4255"/>
    <w:rsid w:val="000A43C4"/>
    <w:rsid w:val="000A442F"/>
    <w:rsid w:val="000A44E3"/>
    <w:rsid w:val="000A455A"/>
    <w:rsid w:val="000A4807"/>
    <w:rsid w:val="000A486C"/>
    <w:rsid w:val="000A4A65"/>
    <w:rsid w:val="000A4B5E"/>
    <w:rsid w:val="000A4CB3"/>
    <w:rsid w:val="000A4D47"/>
    <w:rsid w:val="000A4DBF"/>
    <w:rsid w:val="000A50F3"/>
    <w:rsid w:val="000A52DE"/>
    <w:rsid w:val="000A539D"/>
    <w:rsid w:val="000A544C"/>
    <w:rsid w:val="000A544E"/>
    <w:rsid w:val="000A56CE"/>
    <w:rsid w:val="000A56E0"/>
    <w:rsid w:val="000A5768"/>
    <w:rsid w:val="000A58A0"/>
    <w:rsid w:val="000A595F"/>
    <w:rsid w:val="000A5B9A"/>
    <w:rsid w:val="000A5C7E"/>
    <w:rsid w:val="000A5CCB"/>
    <w:rsid w:val="000A5D5C"/>
    <w:rsid w:val="000A5D5E"/>
    <w:rsid w:val="000A5D73"/>
    <w:rsid w:val="000A5D7A"/>
    <w:rsid w:val="000A616F"/>
    <w:rsid w:val="000A6302"/>
    <w:rsid w:val="000A6312"/>
    <w:rsid w:val="000A6529"/>
    <w:rsid w:val="000A662C"/>
    <w:rsid w:val="000A66E9"/>
    <w:rsid w:val="000A6705"/>
    <w:rsid w:val="000A67E7"/>
    <w:rsid w:val="000A68A9"/>
    <w:rsid w:val="000A68F6"/>
    <w:rsid w:val="000A6B3D"/>
    <w:rsid w:val="000A6D08"/>
    <w:rsid w:val="000A6D0F"/>
    <w:rsid w:val="000A6FB6"/>
    <w:rsid w:val="000A70E2"/>
    <w:rsid w:val="000A7121"/>
    <w:rsid w:val="000A719D"/>
    <w:rsid w:val="000A722C"/>
    <w:rsid w:val="000A7390"/>
    <w:rsid w:val="000A7522"/>
    <w:rsid w:val="000A7558"/>
    <w:rsid w:val="000A7793"/>
    <w:rsid w:val="000A787D"/>
    <w:rsid w:val="000A7890"/>
    <w:rsid w:val="000A7A68"/>
    <w:rsid w:val="000A7AE8"/>
    <w:rsid w:val="000A7B20"/>
    <w:rsid w:val="000A7B65"/>
    <w:rsid w:val="000A7CE9"/>
    <w:rsid w:val="000A7DCD"/>
    <w:rsid w:val="000A7E6F"/>
    <w:rsid w:val="000A7F5A"/>
    <w:rsid w:val="000B0022"/>
    <w:rsid w:val="000B013E"/>
    <w:rsid w:val="000B0165"/>
    <w:rsid w:val="000B024A"/>
    <w:rsid w:val="000B02E8"/>
    <w:rsid w:val="000B038C"/>
    <w:rsid w:val="000B048C"/>
    <w:rsid w:val="000B0859"/>
    <w:rsid w:val="000B0A03"/>
    <w:rsid w:val="000B0A7F"/>
    <w:rsid w:val="000B0BA5"/>
    <w:rsid w:val="000B0C51"/>
    <w:rsid w:val="000B10D5"/>
    <w:rsid w:val="000B1361"/>
    <w:rsid w:val="000B1412"/>
    <w:rsid w:val="000B1433"/>
    <w:rsid w:val="000B159B"/>
    <w:rsid w:val="000B159C"/>
    <w:rsid w:val="000B1607"/>
    <w:rsid w:val="000B1726"/>
    <w:rsid w:val="000B1774"/>
    <w:rsid w:val="000B19E8"/>
    <w:rsid w:val="000B19FF"/>
    <w:rsid w:val="000B1A0A"/>
    <w:rsid w:val="000B1B14"/>
    <w:rsid w:val="000B1C0A"/>
    <w:rsid w:val="000B1C17"/>
    <w:rsid w:val="000B2057"/>
    <w:rsid w:val="000B208D"/>
    <w:rsid w:val="000B21CC"/>
    <w:rsid w:val="000B24FD"/>
    <w:rsid w:val="000B254B"/>
    <w:rsid w:val="000B2628"/>
    <w:rsid w:val="000B262E"/>
    <w:rsid w:val="000B26DE"/>
    <w:rsid w:val="000B2B21"/>
    <w:rsid w:val="000B2B24"/>
    <w:rsid w:val="000B2D83"/>
    <w:rsid w:val="000B2E6D"/>
    <w:rsid w:val="000B2E9C"/>
    <w:rsid w:val="000B2EAE"/>
    <w:rsid w:val="000B317C"/>
    <w:rsid w:val="000B3239"/>
    <w:rsid w:val="000B3249"/>
    <w:rsid w:val="000B32A6"/>
    <w:rsid w:val="000B336B"/>
    <w:rsid w:val="000B3393"/>
    <w:rsid w:val="000B3450"/>
    <w:rsid w:val="000B3525"/>
    <w:rsid w:val="000B3566"/>
    <w:rsid w:val="000B357E"/>
    <w:rsid w:val="000B3580"/>
    <w:rsid w:val="000B36C0"/>
    <w:rsid w:val="000B3782"/>
    <w:rsid w:val="000B382A"/>
    <w:rsid w:val="000B38B7"/>
    <w:rsid w:val="000B3ACE"/>
    <w:rsid w:val="000B3AD4"/>
    <w:rsid w:val="000B3BB9"/>
    <w:rsid w:val="000B3C98"/>
    <w:rsid w:val="000B3E23"/>
    <w:rsid w:val="000B3F96"/>
    <w:rsid w:val="000B4226"/>
    <w:rsid w:val="000B423C"/>
    <w:rsid w:val="000B4330"/>
    <w:rsid w:val="000B4360"/>
    <w:rsid w:val="000B43DE"/>
    <w:rsid w:val="000B44E8"/>
    <w:rsid w:val="000B4545"/>
    <w:rsid w:val="000B4589"/>
    <w:rsid w:val="000B45C9"/>
    <w:rsid w:val="000B46C7"/>
    <w:rsid w:val="000B4981"/>
    <w:rsid w:val="000B4A04"/>
    <w:rsid w:val="000B4A9E"/>
    <w:rsid w:val="000B4AEE"/>
    <w:rsid w:val="000B4BAB"/>
    <w:rsid w:val="000B4D8E"/>
    <w:rsid w:val="000B4DCD"/>
    <w:rsid w:val="000B4F5D"/>
    <w:rsid w:val="000B500E"/>
    <w:rsid w:val="000B50C6"/>
    <w:rsid w:val="000B5117"/>
    <w:rsid w:val="000B5217"/>
    <w:rsid w:val="000B5596"/>
    <w:rsid w:val="000B576F"/>
    <w:rsid w:val="000B586E"/>
    <w:rsid w:val="000B588E"/>
    <w:rsid w:val="000B58D7"/>
    <w:rsid w:val="000B593B"/>
    <w:rsid w:val="000B59EF"/>
    <w:rsid w:val="000B5AC2"/>
    <w:rsid w:val="000B5B7A"/>
    <w:rsid w:val="000B5CC7"/>
    <w:rsid w:val="000B5D6C"/>
    <w:rsid w:val="000B5F86"/>
    <w:rsid w:val="000B60FA"/>
    <w:rsid w:val="000B610C"/>
    <w:rsid w:val="000B61EB"/>
    <w:rsid w:val="000B6308"/>
    <w:rsid w:val="000B6433"/>
    <w:rsid w:val="000B64D9"/>
    <w:rsid w:val="000B6530"/>
    <w:rsid w:val="000B6732"/>
    <w:rsid w:val="000B68B9"/>
    <w:rsid w:val="000B6ADA"/>
    <w:rsid w:val="000B7102"/>
    <w:rsid w:val="000B717E"/>
    <w:rsid w:val="000B7232"/>
    <w:rsid w:val="000B7249"/>
    <w:rsid w:val="000B7264"/>
    <w:rsid w:val="000B7402"/>
    <w:rsid w:val="000B750F"/>
    <w:rsid w:val="000B7511"/>
    <w:rsid w:val="000B75A9"/>
    <w:rsid w:val="000B7654"/>
    <w:rsid w:val="000B7AA2"/>
    <w:rsid w:val="000B7C9E"/>
    <w:rsid w:val="000B7D54"/>
    <w:rsid w:val="000C0256"/>
    <w:rsid w:val="000C02AE"/>
    <w:rsid w:val="000C03A4"/>
    <w:rsid w:val="000C03D1"/>
    <w:rsid w:val="000C044A"/>
    <w:rsid w:val="000C0570"/>
    <w:rsid w:val="000C057D"/>
    <w:rsid w:val="000C075D"/>
    <w:rsid w:val="000C0833"/>
    <w:rsid w:val="000C08B4"/>
    <w:rsid w:val="000C08C2"/>
    <w:rsid w:val="000C090E"/>
    <w:rsid w:val="000C0AE4"/>
    <w:rsid w:val="000C0B78"/>
    <w:rsid w:val="000C0EAF"/>
    <w:rsid w:val="000C0FF6"/>
    <w:rsid w:val="000C101C"/>
    <w:rsid w:val="000C113E"/>
    <w:rsid w:val="000C162F"/>
    <w:rsid w:val="000C1681"/>
    <w:rsid w:val="000C17EB"/>
    <w:rsid w:val="000C1899"/>
    <w:rsid w:val="000C1963"/>
    <w:rsid w:val="000C198E"/>
    <w:rsid w:val="000C1A90"/>
    <w:rsid w:val="000C1BAA"/>
    <w:rsid w:val="000C1C1B"/>
    <w:rsid w:val="000C1EE3"/>
    <w:rsid w:val="000C1F64"/>
    <w:rsid w:val="000C1F91"/>
    <w:rsid w:val="000C1FEC"/>
    <w:rsid w:val="000C205F"/>
    <w:rsid w:val="000C2168"/>
    <w:rsid w:val="000C2221"/>
    <w:rsid w:val="000C2416"/>
    <w:rsid w:val="000C2467"/>
    <w:rsid w:val="000C24D1"/>
    <w:rsid w:val="000C2BC8"/>
    <w:rsid w:val="000C2CBD"/>
    <w:rsid w:val="000C2D4C"/>
    <w:rsid w:val="000C2DA0"/>
    <w:rsid w:val="000C30DD"/>
    <w:rsid w:val="000C3341"/>
    <w:rsid w:val="000C344A"/>
    <w:rsid w:val="000C3463"/>
    <w:rsid w:val="000C34FA"/>
    <w:rsid w:val="000C36F1"/>
    <w:rsid w:val="000C37C7"/>
    <w:rsid w:val="000C38B9"/>
    <w:rsid w:val="000C39E8"/>
    <w:rsid w:val="000C3D8C"/>
    <w:rsid w:val="000C3DB2"/>
    <w:rsid w:val="000C3E4F"/>
    <w:rsid w:val="000C402E"/>
    <w:rsid w:val="000C4056"/>
    <w:rsid w:val="000C4091"/>
    <w:rsid w:val="000C43AB"/>
    <w:rsid w:val="000C442C"/>
    <w:rsid w:val="000C4525"/>
    <w:rsid w:val="000C45D0"/>
    <w:rsid w:val="000C45FE"/>
    <w:rsid w:val="000C46B5"/>
    <w:rsid w:val="000C4883"/>
    <w:rsid w:val="000C48C7"/>
    <w:rsid w:val="000C492F"/>
    <w:rsid w:val="000C49A2"/>
    <w:rsid w:val="000C4ADB"/>
    <w:rsid w:val="000C4BA7"/>
    <w:rsid w:val="000C4CD7"/>
    <w:rsid w:val="000C4CDF"/>
    <w:rsid w:val="000C4D3D"/>
    <w:rsid w:val="000C4E5E"/>
    <w:rsid w:val="000C50F1"/>
    <w:rsid w:val="000C5386"/>
    <w:rsid w:val="000C54E1"/>
    <w:rsid w:val="000C5531"/>
    <w:rsid w:val="000C5690"/>
    <w:rsid w:val="000C56F2"/>
    <w:rsid w:val="000C5723"/>
    <w:rsid w:val="000C58CF"/>
    <w:rsid w:val="000C5908"/>
    <w:rsid w:val="000C5A3A"/>
    <w:rsid w:val="000C5A8B"/>
    <w:rsid w:val="000C5AF9"/>
    <w:rsid w:val="000C5B67"/>
    <w:rsid w:val="000C5CF5"/>
    <w:rsid w:val="000C5DDD"/>
    <w:rsid w:val="000C5E26"/>
    <w:rsid w:val="000C5EA3"/>
    <w:rsid w:val="000C5FF6"/>
    <w:rsid w:val="000C6135"/>
    <w:rsid w:val="000C61F5"/>
    <w:rsid w:val="000C63E9"/>
    <w:rsid w:val="000C64F1"/>
    <w:rsid w:val="000C6564"/>
    <w:rsid w:val="000C661E"/>
    <w:rsid w:val="000C662C"/>
    <w:rsid w:val="000C66A8"/>
    <w:rsid w:val="000C66B1"/>
    <w:rsid w:val="000C6890"/>
    <w:rsid w:val="000C69BE"/>
    <w:rsid w:val="000C69C9"/>
    <w:rsid w:val="000C6B6F"/>
    <w:rsid w:val="000C6C25"/>
    <w:rsid w:val="000C6E02"/>
    <w:rsid w:val="000C70BB"/>
    <w:rsid w:val="000C729A"/>
    <w:rsid w:val="000C72C6"/>
    <w:rsid w:val="000C7386"/>
    <w:rsid w:val="000C7445"/>
    <w:rsid w:val="000C74B7"/>
    <w:rsid w:val="000C7707"/>
    <w:rsid w:val="000C781B"/>
    <w:rsid w:val="000C78FC"/>
    <w:rsid w:val="000C7A26"/>
    <w:rsid w:val="000C7A34"/>
    <w:rsid w:val="000C7AB4"/>
    <w:rsid w:val="000C7B1C"/>
    <w:rsid w:val="000C7B39"/>
    <w:rsid w:val="000C7BB9"/>
    <w:rsid w:val="000C7D5F"/>
    <w:rsid w:val="000D0002"/>
    <w:rsid w:val="000D00B3"/>
    <w:rsid w:val="000D0150"/>
    <w:rsid w:val="000D02BD"/>
    <w:rsid w:val="000D0534"/>
    <w:rsid w:val="000D07B2"/>
    <w:rsid w:val="000D09ED"/>
    <w:rsid w:val="000D0AA3"/>
    <w:rsid w:val="000D0B47"/>
    <w:rsid w:val="000D0EF0"/>
    <w:rsid w:val="000D0FC7"/>
    <w:rsid w:val="000D11C0"/>
    <w:rsid w:val="000D1314"/>
    <w:rsid w:val="000D1432"/>
    <w:rsid w:val="000D17C7"/>
    <w:rsid w:val="000D1805"/>
    <w:rsid w:val="000D1936"/>
    <w:rsid w:val="000D1AB3"/>
    <w:rsid w:val="000D1EB6"/>
    <w:rsid w:val="000D1ED5"/>
    <w:rsid w:val="000D1EEA"/>
    <w:rsid w:val="000D1F11"/>
    <w:rsid w:val="000D202D"/>
    <w:rsid w:val="000D2147"/>
    <w:rsid w:val="000D219A"/>
    <w:rsid w:val="000D223A"/>
    <w:rsid w:val="000D2429"/>
    <w:rsid w:val="000D2615"/>
    <w:rsid w:val="000D2655"/>
    <w:rsid w:val="000D2917"/>
    <w:rsid w:val="000D2D7B"/>
    <w:rsid w:val="000D2E01"/>
    <w:rsid w:val="000D2E4F"/>
    <w:rsid w:val="000D2E93"/>
    <w:rsid w:val="000D2FE2"/>
    <w:rsid w:val="000D31FF"/>
    <w:rsid w:val="000D34B6"/>
    <w:rsid w:val="000D3746"/>
    <w:rsid w:val="000D39AC"/>
    <w:rsid w:val="000D3E27"/>
    <w:rsid w:val="000D3FD3"/>
    <w:rsid w:val="000D3FFF"/>
    <w:rsid w:val="000D4035"/>
    <w:rsid w:val="000D4211"/>
    <w:rsid w:val="000D423D"/>
    <w:rsid w:val="000D426D"/>
    <w:rsid w:val="000D427A"/>
    <w:rsid w:val="000D44AD"/>
    <w:rsid w:val="000D4522"/>
    <w:rsid w:val="000D4566"/>
    <w:rsid w:val="000D47D7"/>
    <w:rsid w:val="000D4844"/>
    <w:rsid w:val="000D4877"/>
    <w:rsid w:val="000D491D"/>
    <w:rsid w:val="000D4926"/>
    <w:rsid w:val="000D4980"/>
    <w:rsid w:val="000D49CC"/>
    <w:rsid w:val="000D4CF2"/>
    <w:rsid w:val="000D4D31"/>
    <w:rsid w:val="000D4F65"/>
    <w:rsid w:val="000D50DE"/>
    <w:rsid w:val="000D519A"/>
    <w:rsid w:val="000D51D4"/>
    <w:rsid w:val="000D5395"/>
    <w:rsid w:val="000D5401"/>
    <w:rsid w:val="000D5406"/>
    <w:rsid w:val="000D5611"/>
    <w:rsid w:val="000D562C"/>
    <w:rsid w:val="000D56EE"/>
    <w:rsid w:val="000D57E3"/>
    <w:rsid w:val="000D5B48"/>
    <w:rsid w:val="000D5B9D"/>
    <w:rsid w:val="000D5C11"/>
    <w:rsid w:val="000D5D8E"/>
    <w:rsid w:val="000D60A2"/>
    <w:rsid w:val="000D61DC"/>
    <w:rsid w:val="000D6245"/>
    <w:rsid w:val="000D628F"/>
    <w:rsid w:val="000D6374"/>
    <w:rsid w:val="000D6411"/>
    <w:rsid w:val="000D6632"/>
    <w:rsid w:val="000D664E"/>
    <w:rsid w:val="000D66A6"/>
    <w:rsid w:val="000D66B8"/>
    <w:rsid w:val="000D688B"/>
    <w:rsid w:val="000D6B3A"/>
    <w:rsid w:val="000D6B3C"/>
    <w:rsid w:val="000D6D62"/>
    <w:rsid w:val="000D6DC2"/>
    <w:rsid w:val="000D6FDA"/>
    <w:rsid w:val="000D701C"/>
    <w:rsid w:val="000D71C3"/>
    <w:rsid w:val="000D7386"/>
    <w:rsid w:val="000D74F0"/>
    <w:rsid w:val="000D7739"/>
    <w:rsid w:val="000D77D1"/>
    <w:rsid w:val="000D77F1"/>
    <w:rsid w:val="000D787A"/>
    <w:rsid w:val="000D78E9"/>
    <w:rsid w:val="000D7A6F"/>
    <w:rsid w:val="000D7F62"/>
    <w:rsid w:val="000E0030"/>
    <w:rsid w:val="000E0301"/>
    <w:rsid w:val="000E048B"/>
    <w:rsid w:val="000E04D2"/>
    <w:rsid w:val="000E05A3"/>
    <w:rsid w:val="000E0657"/>
    <w:rsid w:val="000E0682"/>
    <w:rsid w:val="000E07A7"/>
    <w:rsid w:val="000E08E9"/>
    <w:rsid w:val="000E09C8"/>
    <w:rsid w:val="000E0A01"/>
    <w:rsid w:val="000E0B28"/>
    <w:rsid w:val="000E0B95"/>
    <w:rsid w:val="000E0D0F"/>
    <w:rsid w:val="000E0DCB"/>
    <w:rsid w:val="000E0DE3"/>
    <w:rsid w:val="000E0EE4"/>
    <w:rsid w:val="000E10BC"/>
    <w:rsid w:val="000E13AD"/>
    <w:rsid w:val="000E146B"/>
    <w:rsid w:val="000E1789"/>
    <w:rsid w:val="000E17EF"/>
    <w:rsid w:val="000E1847"/>
    <w:rsid w:val="000E1859"/>
    <w:rsid w:val="000E18D1"/>
    <w:rsid w:val="000E18FA"/>
    <w:rsid w:val="000E18FF"/>
    <w:rsid w:val="000E1BD3"/>
    <w:rsid w:val="000E1E58"/>
    <w:rsid w:val="000E1E96"/>
    <w:rsid w:val="000E2015"/>
    <w:rsid w:val="000E2180"/>
    <w:rsid w:val="000E2193"/>
    <w:rsid w:val="000E24CF"/>
    <w:rsid w:val="000E2521"/>
    <w:rsid w:val="000E253C"/>
    <w:rsid w:val="000E25B5"/>
    <w:rsid w:val="000E2635"/>
    <w:rsid w:val="000E2766"/>
    <w:rsid w:val="000E27D1"/>
    <w:rsid w:val="000E2B2D"/>
    <w:rsid w:val="000E2B7C"/>
    <w:rsid w:val="000E2BF0"/>
    <w:rsid w:val="000E2CB2"/>
    <w:rsid w:val="000E2D29"/>
    <w:rsid w:val="000E2DA4"/>
    <w:rsid w:val="000E2F59"/>
    <w:rsid w:val="000E308B"/>
    <w:rsid w:val="000E30E8"/>
    <w:rsid w:val="000E3105"/>
    <w:rsid w:val="000E31C6"/>
    <w:rsid w:val="000E3300"/>
    <w:rsid w:val="000E343A"/>
    <w:rsid w:val="000E34D9"/>
    <w:rsid w:val="000E3571"/>
    <w:rsid w:val="000E358F"/>
    <w:rsid w:val="000E3592"/>
    <w:rsid w:val="000E3699"/>
    <w:rsid w:val="000E3761"/>
    <w:rsid w:val="000E3AB6"/>
    <w:rsid w:val="000E3BE9"/>
    <w:rsid w:val="000E3DAF"/>
    <w:rsid w:val="000E3E0B"/>
    <w:rsid w:val="000E3F9E"/>
    <w:rsid w:val="000E3FB0"/>
    <w:rsid w:val="000E3FC6"/>
    <w:rsid w:val="000E40F3"/>
    <w:rsid w:val="000E4162"/>
    <w:rsid w:val="000E41DF"/>
    <w:rsid w:val="000E4247"/>
    <w:rsid w:val="000E428B"/>
    <w:rsid w:val="000E42CD"/>
    <w:rsid w:val="000E43B0"/>
    <w:rsid w:val="000E4407"/>
    <w:rsid w:val="000E46AF"/>
    <w:rsid w:val="000E488D"/>
    <w:rsid w:val="000E4A48"/>
    <w:rsid w:val="000E4A52"/>
    <w:rsid w:val="000E4AD3"/>
    <w:rsid w:val="000E4B3E"/>
    <w:rsid w:val="000E4E6C"/>
    <w:rsid w:val="000E4EC7"/>
    <w:rsid w:val="000E4FC5"/>
    <w:rsid w:val="000E5152"/>
    <w:rsid w:val="000E517A"/>
    <w:rsid w:val="000E5318"/>
    <w:rsid w:val="000E53CD"/>
    <w:rsid w:val="000E543A"/>
    <w:rsid w:val="000E5729"/>
    <w:rsid w:val="000E578A"/>
    <w:rsid w:val="000E5791"/>
    <w:rsid w:val="000E57B9"/>
    <w:rsid w:val="000E5914"/>
    <w:rsid w:val="000E598B"/>
    <w:rsid w:val="000E5A48"/>
    <w:rsid w:val="000E5AA2"/>
    <w:rsid w:val="000E5B11"/>
    <w:rsid w:val="000E5D4F"/>
    <w:rsid w:val="000E5F10"/>
    <w:rsid w:val="000E62BF"/>
    <w:rsid w:val="000E64BD"/>
    <w:rsid w:val="000E655E"/>
    <w:rsid w:val="000E6748"/>
    <w:rsid w:val="000E6771"/>
    <w:rsid w:val="000E6798"/>
    <w:rsid w:val="000E683C"/>
    <w:rsid w:val="000E689F"/>
    <w:rsid w:val="000E6A22"/>
    <w:rsid w:val="000E6B6F"/>
    <w:rsid w:val="000E6BC0"/>
    <w:rsid w:val="000E6C65"/>
    <w:rsid w:val="000E6F13"/>
    <w:rsid w:val="000E6F17"/>
    <w:rsid w:val="000E6F88"/>
    <w:rsid w:val="000E7088"/>
    <w:rsid w:val="000E70F2"/>
    <w:rsid w:val="000E70F4"/>
    <w:rsid w:val="000E71DB"/>
    <w:rsid w:val="000E71F0"/>
    <w:rsid w:val="000E737D"/>
    <w:rsid w:val="000E7493"/>
    <w:rsid w:val="000E772C"/>
    <w:rsid w:val="000E78A3"/>
    <w:rsid w:val="000E7973"/>
    <w:rsid w:val="000E7CAE"/>
    <w:rsid w:val="000E7DDF"/>
    <w:rsid w:val="000E7F20"/>
    <w:rsid w:val="000F0091"/>
    <w:rsid w:val="000F0137"/>
    <w:rsid w:val="000F02EA"/>
    <w:rsid w:val="000F0526"/>
    <w:rsid w:val="000F062D"/>
    <w:rsid w:val="000F07E1"/>
    <w:rsid w:val="000F080B"/>
    <w:rsid w:val="000F09B0"/>
    <w:rsid w:val="000F0CAC"/>
    <w:rsid w:val="000F0CAE"/>
    <w:rsid w:val="000F0D07"/>
    <w:rsid w:val="000F0D72"/>
    <w:rsid w:val="000F0E60"/>
    <w:rsid w:val="000F0F0A"/>
    <w:rsid w:val="000F0F5C"/>
    <w:rsid w:val="000F1177"/>
    <w:rsid w:val="000F1205"/>
    <w:rsid w:val="000F1320"/>
    <w:rsid w:val="000F1511"/>
    <w:rsid w:val="000F15BF"/>
    <w:rsid w:val="000F1632"/>
    <w:rsid w:val="000F173D"/>
    <w:rsid w:val="000F1865"/>
    <w:rsid w:val="000F19CD"/>
    <w:rsid w:val="000F1AC6"/>
    <w:rsid w:val="000F1F1E"/>
    <w:rsid w:val="000F1F2B"/>
    <w:rsid w:val="000F1F53"/>
    <w:rsid w:val="000F220B"/>
    <w:rsid w:val="000F2564"/>
    <w:rsid w:val="000F2621"/>
    <w:rsid w:val="000F26A1"/>
    <w:rsid w:val="000F290E"/>
    <w:rsid w:val="000F2924"/>
    <w:rsid w:val="000F29E1"/>
    <w:rsid w:val="000F29F5"/>
    <w:rsid w:val="000F29F6"/>
    <w:rsid w:val="000F2A25"/>
    <w:rsid w:val="000F2A87"/>
    <w:rsid w:val="000F2A8F"/>
    <w:rsid w:val="000F2AB9"/>
    <w:rsid w:val="000F2D6E"/>
    <w:rsid w:val="000F2E07"/>
    <w:rsid w:val="000F3093"/>
    <w:rsid w:val="000F3120"/>
    <w:rsid w:val="000F3176"/>
    <w:rsid w:val="000F3349"/>
    <w:rsid w:val="000F3368"/>
    <w:rsid w:val="000F3544"/>
    <w:rsid w:val="000F3599"/>
    <w:rsid w:val="000F3AE0"/>
    <w:rsid w:val="000F3C40"/>
    <w:rsid w:val="000F3DBE"/>
    <w:rsid w:val="000F3F3F"/>
    <w:rsid w:val="000F407F"/>
    <w:rsid w:val="000F4093"/>
    <w:rsid w:val="000F431A"/>
    <w:rsid w:val="000F4415"/>
    <w:rsid w:val="000F4449"/>
    <w:rsid w:val="000F478F"/>
    <w:rsid w:val="000F4A11"/>
    <w:rsid w:val="000F4AC1"/>
    <w:rsid w:val="000F4B0C"/>
    <w:rsid w:val="000F4B63"/>
    <w:rsid w:val="000F4BA9"/>
    <w:rsid w:val="000F4E4D"/>
    <w:rsid w:val="000F4EAC"/>
    <w:rsid w:val="000F4FC7"/>
    <w:rsid w:val="000F501D"/>
    <w:rsid w:val="000F50FB"/>
    <w:rsid w:val="000F51EB"/>
    <w:rsid w:val="000F55DD"/>
    <w:rsid w:val="000F566C"/>
    <w:rsid w:val="000F5831"/>
    <w:rsid w:val="000F59DF"/>
    <w:rsid w:val="000F5B72"/>
    <w:rsid w:val="000F5C63"/>
    <w:rsid w:val="000F5E5F"/>
    <w:rsid w:val="000F5F5F"/>
    <w:rsid w:val="000F6049"/>
    <w:rsid w:val="000F60AA"/>
    <w:rsid w:val="000F619A"/>
    <w:rsid w:val="000F61B0"/>
    <w:rsid w:val="000F63AE"/>
    <w:rsid w:val="000F6827"/>
    <w:rsid w:val="000F6851"/>
    <w:rsid w:val="000F6879"/>
    <w:rsid w:val="000F68BF"/>
    <w:rsid w:val="000F68CA"/>
    <w:rsid w:val="000F6B7B"/>
    <w:rsid w:val="000F6C68"/>
    <w:rsid w:val="000F6CEF"/>
    <w:rsid w:val="000F6FA9"/>
    <w:rsid w:val="000F70FC"/>
    <w:rsid w:val="000F72D4"/>
    <w:rsid w:val="000F74DC"/>
    <w:rsid w:val="000F7598"/>
    <w:rsid w:val="000F75EB"/>
    <w:rsid w:val="000F76B1"/>
    <w:rsid w:val="000F76CB"/>
    <w:rsid w:val="000F7741"/>
    <w:rsid w:val="000F781F"/>
    <w:rsid w:val="000F783C"/>
    <w:rsid w:val="000F786C"/>
    <w:rsid w:val="000F7A55"/>
    <w:rsid w:val="000F7B00"/>
    <w:rsid w:val="000F7B97"/>
    <w:rsid w:val="000F7E77"/>
    <w:rsid w:val="000F7EC5"/>
    <w:rsid w:val="00100212"/>
    <w:rsid w:val="0010032B"/>
    <w:rsid w:val="00100362"/>
    <w:rsid w:val="00100741"/>
    <w:rsid w:val="0010077D"/>
    <w:rsid w:val="0010084B"/>
    <w:rsid w:val="00100895"/>
    <w:rsid w:val="00100909"/>
    <w:rsid w:val="00100B53"/>
    <w:rsid w:val="00100C46"/>
    <w:rsid w:val="001012F7"/>
    <w:rsid w:val="00101384"/>
    <w:rsid w:val="0010144E"/>
    <w:rsid w:val="00101509"/>
    <w:rsid w:val="0010161C"/>
    <w:rsid w:val="0010180B"/>
    <w:rsid w:val="00101A66"/>
    <w:rsid w:val="00101AA9"/>
    <w:rsid w:val="00101AD5"/>
    <w:rsid w:val="00101BEB"/>
    <w:rsid w:val="00101E6E"/>
    <w:rsid w:val="00101F30"/>
    <w:rsid w:val="00101F44"/>
    <w:rsid w:val="00102179"/>
    <w:rsid w:val="001021B7"/>
    <w:rsid w:val="001022C9"/>
    <w:rsid w:val="001022E6"/>
    <w:rsid w:val="0010233C"/>
    <w:rsid w:val="001026D3"/>
    <w:rsid w:val="001028DE"/>
    <w:rsid w:val="00102918"/>
    <w:rsid w:val="00102A44"/>
    <w:rsid w:val="00102A4C"/>
    <w:rsid w:val="00102B45"/>
    <w:rsid w:val="00102B9E"/>
    <w:rsid w:val="00102E98"/>
    <w:rsid w:val="00102F97"/>
    <w:rsid w:val="00103029"/>
    <w:rsid w:val="001031D6"/>
    <w:rsid w:val="00103281"/>
    <w:rsid w:val="001033C5"/>
    <w:rsid w:val="00103400"/>
    <w:rsid w:val="0010340C"/>
    <w:rsid w:val="0010345F"/>
    <w:rsid w:val="001034D7"/>
    <w:rsid w:val="00103673"/>
    <w:rsid w:val="00103685"/>
    <w:rsid w:val="001036D4"/>
    <w:rsid w:val="0010371D"/>
    <w:rsid w:val="00103778"/>
    <w:rsid w:val="00103900"/>
    <w:rsid w:val="00103996"/>
    <w:rsid w:val="00103A03"/>
    <w:rsid w:val="00103A91"/>
    <w:rsid w:val="00103C92"/>
    <w:rsid w:val="00103E6B"/>
    <w:rsid w:val="00103E6E"/>
    <w:rsid w:val="0010409E"/>
    <w:rsid w:val="001042A4"/>
    <w:rsid w:val="00104337"/>
    <w:rsid w:val="0010441F"/>
    <w:rsid w:val="00104621"/>
    <w:rsid w:val="00104705"/>
    <w:rsid w:val="00104BB0"/>
    <w:rsid w:val="00104C35"/>
    <w:rsid w:val="00104CBC"/>
    <w:rsid w:val="00104E24"/>
    <w:rsid w:val="00104EA4"/>
    <w:rsid w:val="00104F76"/>
    <w:rsid w:val="00105038"/>
    <w:rsid w:val="001051C4"/>
    <w:rsid w:val="0010538D"/>
    <w:rsid w:val="00105411"/>
    <w:rsid w:val="001054CD"/>
    <w:rsid w:val="00105514"/>
    <w:rsid w:val="001056DD"/>
    <w:rsid w:val="001056F7"/>
    <w:rsid w:val="00105791"/>
    <w:rsid w:val="0010588C"/>
    <w:rsid w:val="0010591C"/>
    <w:rsid w:val="00105ADC"/>
    <w:rsid w:val="00105B6D"/>
    <w:rsid w:val="00105F75"/>
    <w:rsid w:val="001060D8"/>
    <w:rsid w:val="00106297"/>
    <w:rsid w:val="001062C6"/>
    <w:rsid w:val="001063D3"/>
    <w:rsid w:val="0010650F"/>
    <w:rsid w:val="00106732"/>
    <w:rsid w:val="00106BBA"/>
    <w:rsid w:val="00106C5B"/>
    <w:rsid w:val="00106C8D"/>
    <w:rsid w:val="00106C8F"/>
    <w:rsid w:val="00106FC2"/>
    <w:rsid w:val="00106FF2"/>
    <w:rsid w:val="001071F2"/>
    <w:rsid w:val="001071FC"/>
    <w:rsid w:val="00107322"/>
    <w:rsid w:val="001073BA"/>
    <w:rsid w:val="001077D5"/>
    <w:rsid w:val="0010799D"/>
    <w:rsid w:val="00107D1D"/>
    <w:rsid w:val="00107E7C"/>
    <w:rsid w:val="00107F41"/>
    <w:rsid w:val="00107FF9"/>
    <w:rsid w:val="00110054"/>
    <w:rsid w:val="0011009A"/>
    <w:rsid w:val="00110129"/>
    <w:rsid w:val="0011040F"/>
    <w:rsid w:val="001104BE"/>
    <w:rsid w:val="001105E9"/>
    <w:rsid w:val="001106D0"/>
    <w:rsid w:val="001106FB"/>
    <w:rsid w:val="00110893"/>
    <w:rsid w:val="001109B6"/>
    <w:rsid w:val="00110A0E"/>
    <w:rsid w:val="00110A5C"/>
    <w:rsid w:val="00110C98"/>
    <w:rsid w:val="00110CF1"/>
    <w:rsid w:val="00110D26"/>
    <w:rsid w:val="00111000"/>
    <w:rsid w:val="0011124A"/>
    <w:rsid w:val="00111393"/>
    <w:rsid w:val="001116B9"/>
    <w:rsid w:val="00111AAB"/>
    <w:rsid w:val="00111B14"/>
    <w:rsid w:val="00111B65"/>
    <w:rsid w:val="00111BC3"/>
    <w:rsid w:val="00111C75"/>
    <w:rsid w:val="00111D4B"/>
    <w:rsid w:val="00111F32"/>
    <w:rsid w:val="00111FE9"/>
    <w:rsid w:val="001121E4"/>
    <w:rsid w:val="00112306"/>
    <w:rsid w:val="00112409"/>
    <w:rsid w:val="0011246C"/>
    <w:rsid w:val="0011249C"/>
    <w:rsid w:val="00112545"/>
    <w:rsid w:val="0011269F"/>
    <w:rsid w:val="00112732"/>
    <w:rsid w:val="00112B27"/>
    <w:rsid w:val="00112C5D"/>
    <w:rsid w:val="00112C75"/>
    <w:rsid w:val="00112CB0"/>
    <w:rsid w:val="00112EC4"/>
    <w:rsid w:val="00113031"/>
    <w:rsid w:val="001131C9"/>
    <w:rsid w:val="00113471"/>
    <w:rsid w:val="001134C3"/>
    <w:rsid w:val="00113733"/>
    <w:rsid w:val="00113830"/>
    <w:rsid w:val="0011394A"/>
    <w:rsid w:val="00113996"/>
    <w:rsid w:val="00113E2D"/>
    <w:rsid w:val="00113E94"/>
    <w:rsid w:val="00113EEC"/>
    <w:rsid w:val="00113FC4"/>
    <w:rsid w:val="00114052"/>
    <w:rsid w:val="00114152"/>
    <w:rsid w:val="0011416C"/>
    <w:rsid w:val="0011435E"/>
    <w:rsid w:val="0011438E"/>
    <w:rsid w:val="001143A4"/>
    <w:rsid w:val="0011458F"/>
    <w:rsid w:val="00114643"/>
    <w:rsid w:val="00114685"/>
    <w:rsid w:val="001147C5"/>
    <w:rsid w:val="001148EC"/>
    <w:rsid w:val="0011492B"/>
    <w:rsid w:val="001149B7"/>
    <w:rsid w:val="00114FA2"/>
    <w:rsid w:val="00115015"/>
    <w:rsid w:val="0011502B"/>
    <w:rsid w:val="001150D1"/>
    <w:rsid w:val="001152F7"/>
    <w:rsid w:val="00115347"/>
    <w:rsid w:val="001153C7"/>
    <w:rsid w:val="001157C4"/>
    <w:rsid w:val="00115847"/>
    <w:rsid w:val="00115BD3"/>
    <w:rsid w:val="00115BD9"/>
    <w:rsid w:val="00115C72"/>
    <w:rsid w:val="00115CBA"/>
    <w:rsid w:val="00115E12"/>
    <w:rsid w:val="00115F99"/>
    <w:rsid w:val="00115FF1"/>
    <w:rsid w:val="001161B8"/>
    <w:rsid w:val="0011665C"/>
    <w:rsid w:val="00116691"/>
    <w:rsid w:val="001166AE"/>
    <w:rsid w:val="0011690D"/>
    <w:rsid w:val="00116914"/>
    <w:rsid w:val="00116919"/>
    <w:rsid w:val="0011691D"/>
    <w:rsid w:val="00116A0E"/>
    <w:rsid w:val="00116C05"/>
    <w:rsid w:val="00116CCB"/>
    <w:rsid w:val="00116F22"/>
    <w:rsid w:val="001170C0"/>
    <w:rsid w:val="001171F1"/>
    <w:rsid w:val="00117342"/>
    <w:rsid w:val="001174B9"/>
    <w:rsid w:val="0011752D"/>
    <w:rsid w:val="0011771A"/>
    <w:rsid w:val="00117776"/>
    <w:rsid w:val="001177C9"/>
    <w:rsid w:val="00117927"/>
    <w:rsid w:val="00117928"/>
    <w:rsid w:val="00117CC7"/>
    <w:rsid w:val="00117FA2"/>
    <w:rsid w:val="001200C9"/>
    <w:rsid w:val="00120298"/>
    <w:rsid w:val="0012034F"/>
    <w:rsid w:val="001203CF"/>
    <w:rsid w:val="001203D7"/>
    <w:rsid w:val="00120466"/>
    <w:rsid w:val="001204AE"/>
    <w:rsid w:val="001206FF"/>
    <w:rsid w:val="00120964"/>
    <w:rsid w:val="00120A37"/>
    <w:rsid w:val="00120A6C"/>
    <w:rsid w:val="00120C87"/>
    <w:rsid w:val="00120D36"/>
    <w:rsid w:val="00120D85"/>
    <w:rsid w:val="00120E4E"/>
    <w:rsid w:val="001210FA"/>
    <w:rsid w:val="00121257"/>
    <w:rsid w:val="0012130E"/>
    <w:rsid w:val="00121316"/>
    <w:rsid w:val="00121370"/>
    <w:rsid w:val="001213F9"/>
    <w:rsid w:val="00121462"/>
    <w:rsid w:val="001216EB"/>
    <w:rsid w:val="00121812"/>
    <w:rsid w:val="001219C1"/>
    <w:rsid w:val="001219DE"/>
    <w:rsid w:val="00121B13"/>
    <w:rsid w:val="00121B7D"/>
    <w:rsid w:val="00121D64"/>
    <w:rsid w:val="00121D71"/>
    <w:rsid w:val="00121F04"/>
    <w:rsid w:val="0012209E"/>
    <w:rsid w:val="001220E4"/>
    <w:rsid w:val="00122121"/>
    <w:rsid w:val="0012226D"/>
    <w:rsid w:val="0012240C"/>
    <w:rsid w:val="001224BF"/>
    <w:rsid w:val="001225D7"/>
    <w:rsid w:val="001225F1"/>
    <w:rsid w:val="0012298C"/>
    <w:rsid w:val="00122A08"/>
    <w:rsid w:val="00122A43"/>
    <w:rsid w:val="00122A47"/>
    <w:rsid w:val="00122ACE"/>
    <w:rsid w:val="00122C87"/>
    <w:rsid w:val="00122CBF"/>
    <w:rsid w:val="00122CF9"/>
    <w:rsid w:val="00122E19"/>
    <w:rsid w:val="00122FA2"/>
    <w:rsid w:val="00122FCB"/>
    <w:rsid w:val="00123069"/>
    <w:rsid w:val="001230F8"/>
    <w:rsid w:val="001231A3"/>
    <w:rsid w:val="0012350B"/>
    <w:rsid w:val="00123576"/>
    <w:rsid w:val="00123626"/>
    <w:rsid w:val="001236DC"/>
    <w:rsid w:val="001238BA"/>
    <w:rsid w:val="001239ED"/>
    <w:rsid w:val="00123B47"/>
    <w:rsid w:val="00123CB5"/>
    <w:rsid w:val="00123D5C"/>
    <w:rsid w:val="00124074"/>
    <w:rsid w:val="00124304"/>
    <w:rsid w:val="0012433C"/>
    <w:rsid w:val="001244EA"/>
    <w:rsid w:val="0012467A"/>
    <w:rsid w:val="00124861"/>
    <w:rsid w:val="001248E1"/>
    <w:rsid w:val="00124B52"/>
    <w:rsid w:val="00124D59"/>
    <w:rsid w:val="00124D63"/>
    <w:rsid w:val="001252AF"/>
    <w:rsid w:val="00125310"/>
    <w:rsid w:val="0012554C"/>
    <w:rsid w:val="00125567"/>
    <w:rsid w:val="0012581E"/>
    <w:rsid w:val="00125ADC"/>
    <w:rsid w:val="00125C74"/>
    <w:rsid w:val="00125CA1"/>
    <w:rsid w:val="00125CA3"/>
    <w:rsid w:val="00125E96"/>
    <w:rsid w:val="00125EB3"/>
    <w:rsid w:val="0012623B"/>
    <w:rsid w:val="0012645A"/>
    <w:rsid w:val="0012647F"/>
    <w:rsid w:val="00126521"/>
    <w:rsid w:val="00126932"/>
    <w:rsid w:val="00126AE8"/>
    <w:rsid w:val="00126D72"/>
    <w:rsid w:val="00126ED7"/>
    <w:rsid w:val="00127070"/>
    <w:rsid w:val="001271C3"/>
    <w:rsid w:val="00127440"/>
    <w:rsid w:val="00127456"/>
    <w:rsid w:val="00127535"/>
    <w:rsid w:val="00127536"/>
    <w:rsid w:val="0012768F"/>
    <w:rsid w:val="00127A53"/>
    <w:rsid w:val="00127B45"/>
    <w:rsid w:val="00127C76"/>
    <w:rsid w:val="00127E51"/>
    <w:rsid w:val="00127EB8"/>
    <w:rsid w:val="001302FE"/>
    <w:rsid w:val="001304C3"/>
    <w:rsid w:val="00130544"/>
    <w:rsid w:val="0013058A"/>
    <w:rsid w:val="00130605"/>
    <w:rsid w:val="0013085F"/>
    <w:rsid w:val="00130932"/>
    <w:rsid w:val="00130A37"/>
    <w:rsid w:val="00130A3D"/>
    <w:rsid w:val="00130AC5"/>
    <w:rsid w:val="00130B14"/>
    <w:rsid w:val="00130BE9"/>
    <w:rsid w:val="00130DEE"/>
    <w:rsid w:val="00130E2D"/>
    <w:rsid w:val="00130E51"/>
    <w:rsid w:val="00130EC7"/>
    <w:rsid w:val="0013107B"/>
    <w:rsid w:val="001310FF"/>
    <w:rsid w:val="001312FC"/>
    <w:rsid w:val="0013135D"/>
    <w:rsid w:val="00131412"/>
    <w:rsid w:val="001314B9"/>
    <w:rsid w:val="00131538"/>
    <w:rsid w:val="00131553"/>
    <w:rsid w:val="00131719"/>
    <w:rsid w:val="00131736"/>
    <w:rsid w:val="001317A2"/>
    <w:rsid w:val="001317FE"/>
    <w:rsid w:val="00131889"/>
    <w:rsid w:val="00131A55"/>
    <w:rsid w:val="00131A5A"/>
    <w:rsid w:val="00131A90"/>
    <w:rsid w:val="00131C4C"/>
    <w:rsid w:val="00131CF4"/>
    <w:rsid w:val="00131EA2"/>
    <w:rsid w:val="00131FF9"/>
    <w:rsid w:val="0013211F"/>
    <w:rsid w:val="00132168"/>
    <w:rsid w:val="001323BE"/>
    <w:rsid w:val="00132470"/>
    <w:rsid w:val="001324E7"/>
    <w:rsid w:val="001326F0"/>
    <w:rsid w:val="001327C6"/>
    <w:rsid w:val="001327F2"/>
    <w:rsid w:val="00132A16"/>
    <w:rsid w:val="00132AB1"/>
    <w:rsid w:val="00132D35"/>
    <w:rsid w:val="00132DAE"/>
    <w:rsid w:val="00132FA0"/>
    <w:rsid w:val="00132FEE"/>
    <w:rsid w:val="001330A6"/>
    <w:rsid w:val="001332BC"/>
    <w:rsid w:val="00133350"/>
    <w:rsid w:val="00133430"/>
    <w:rsid w:val="0013344C"/>
    <w:rsid w:val="00133554"/>
    <w:rsid w:val="0013358A"/>
    <w:rsid w:val="00133628"/>
    <w:rsid w:val="0013367A"/>
    <w:rsid w:val="00133DA0"/>
    <w:rsid w:val="00133E16"/>
    <w:rsid w:val="00133E74"/>
    <w:rsid w:val="00133E83"/>
    <w:rsid w:val="00133F81"/>
    <w:rsid w:val="00134058"/>
    <w:rsid w:val="001340F9"/>
    <w:rsid w:val="001341B8"/>
    <w:rsid w:val="00134444"/>
    <w:rsid w:val="001344A7"/>
    <w:rsid w:val="00134605"/>
    <w:rsid w:val="001347EA"/>
    <w:rsid w:val="001349AB"/>
    <w:rsid w:val="00134A8C"/>
    <w:rsid w:val="00134A9E"/>
    <w:rsid w:val="00134B24"/>
    <w:rsid w:val="00134BA2"/>
    <w:rsid w:val="001350CD"/>
    <w:rsid w:val="0013514A"/>
    <w:rsid w:val="00135259"/>
    <w:rsid w:val="00135296"/>
    <w:rsid w:val="00135398"/>
    <w:rsid w:val="001353A2"/>
    <w:rsid w:val="0013547C"/>
    <w:rsid w:val="001356BA"/>
    <w:rsid w:val="00135920"/>
    <w:rsid w:val="001359A8"/>
    <w:rsid w:val="00135A6C"/>
    <w:rsid w:val="00135A90"/>
    <w:rsid w:val="00136161"/>
    <w:rsid w:val="001361C2"/>
    <w:rsid w:val="001363BC"/>
    <w:rsid w:val="001363D7"/>
    <w:rsid w:val="0013640E"/>
    <w:rsid w:val="00136560"/>
    <w:rsid w:val="001367D1"/>
    <w:rsid w:val="0013685F"/>
    <w:rsid w:val="0013686F"/>
    <w:rsid w:val="0013689B"/>
    <w:rsid w:val="00136A23"/>
    <w:rsid w:val="00136A9B"/>
    <w:rsid w:val="00136A9E"/>
    <w:rsid w:val="00136A9F"/>
    <w:rsid w:val="00136BE1"/>
    <w:rsid w:val="00136BE6"/>
    <w:rsid w:val="00136D7E"/>
    <w:rsid w:val="00136EC0"/>
    <w:rsid w:val="00136F3D"/>
    <w:rsid w:val="00137123"/>
    <w:rsid w:val="0013715D"/>
    <w:rsid w:val="0013728D"/>
    <w:rsid w:val="0013728F"/>
    <w:rsid w:val="001374C3"/>
    <w:rsid w:val="001375A0"/>
    <w:rsid w:val="00137615"/>
    <w:rsid w:val="00137795"/>
    <w:rsid w:val="001377A3"/>
    <w:rsid w:val="001378C5"/>
    <w:rsid w:val="00137F7F"/>
    <w:rsid w:val="00137FA7"/>
    <w:rsid w:val="00140068"/>
    <w:rsid w:val="001400D5"/>
    <w:rsid w:val="00140265"/>
    <w:rsid w:val="00140422"/>
    <w:rsid w:val="001404CD"/>
    <w:rsid w:val="0014050C"/>
    <w:rsid w:val="00140549"/>
    <w:rsid w:val="00140588"/>
    <w:rsid w:val="00140590"/>
    <w:rsid w:val="001406FD"/>
    <w:rsid w:val="0014072B"/>
    <w:rsid w:val="00140A19"/>
    <w:rsid w:val="00140A35"/>
    <w:rsid w:val="00140A68"/>
    <w:rsid w:val="00140B99"/>
    <w:rsid w:val="00140BEC"/>
    <w:rsid w:val="00140D45"/>
    <w:rsid w:val="00140FAE"/>
    <w:rsid w:val="00141097"/>
    <w:rsid w:val="001411E2"/>
    <w:rsid w:val="00141285"/>
    <w:rsid w:val="001412A4"/>
    <w:rsid w:val="00141395"/>
    <w:rsid w:val="001417DB"/>
    <w:rsid w:val="00141985"/>
    <w:rsid w:val="00141A5C"/>
    <w:rsid w:val="00141F6C"/>
    <w:rsid w:val="00141FB1"/>
    <w:rsid w:val="0014211E"/>
    <w:rsid w:val="001425F4"/>
    <w:rsid w:val="001427E0"/>
    <w:rsid w:val="0014297C"/>
    <w:rsid w:val="00142A07"/>
    <w:rsid w:val="00142ADE"/>
    <w:rsid w:val="00142AE8"/>
    <w:rsid w:val="00142BAE"/>
    <w:rsid w:val="00142CB8"/>
    <w:rsid w:val="00142F56"/>
    <w:rsid w:val="0014302C"/>
    <w:rsid w:val="00143043"/>
    <w:rsid w:val="00143191"/>
    <w:rsid w:val="00143277"/>
    <w:rsid w:val="001435B9"/>
    <w:rsid w:val="0014364D"/>
    <w:rsid w:val="001437F7"/>
    <w:rsid w:val="0014386C"/>
    <w:rsid w:val="001439BE"/>
    <w:rsid w:val="00143C77"/>
    <w:rsid w:val="00143D91"/>
    <w:rsid w:val="00143EDA"/>
    <w:rsid w:val="00143F3E"/>
    <w:rsid w:val="00143F69"/>
    <w:rsid w:val="001440B6"/>
    <w:rsid w:val="001440DB"/>
    <w:rsid w:val="0014412E"/>
    <w:rsid w:val="0014449A"/>
    <w:rsid w:val="001444DE"/>
    <w:rsid w:val="001445EB"/>
    <w:rsid w:val="00144646"/>
    <w:rsid w:val="0014474A"/>
    <w:rsid w:val="00144A96"/>
    <w:rsid w:val="00144D14"/>
    <w:rsid w:val="00144EDE"/>
    <w:rsid w:val="00144FDA"/>
    <w:rsid w:val="001451A1"/>
    <w:rsid w:val="0014524B"/>
    <w:rsid w:val="001452C3"/>
    <w:rsid w:val="00145500"/>
    <w:rsid w:val="0014576F"/>
    <w:rsid w:val="001457E0"/>
    <w:rsid w:val="00145836"/>
    <w:rsid w:val="00145C85"/>
    <w:rsid w:val="00145D4B"/>
    <w:rsid w:val="00145D5C"/>
    <w:rsid w:val="00145E4B"/>
    <w:rsid w:val="00145EA8"/>
    <w:rsid w:val="00146089"/>
    <w:rsid w:val="001461E9"/>
    <w:rsid w:val="00146310"/>
    <w:rsid w:val="0014643A"/>
    <w:rsid w:val="00146892"/>
    <w:rsid w:val="001468C3"/>
    <w:rsid w:val="001469B2"/>
    <w:rsid w:val="00146A68"/>
    <w:rsid w:val="00146A73"/>
    <w:rsid w:val="00146AEC"/>
    <w:rsid w:val="00146B1C"/>
    <w:rsid w:val="00146C42"/>
    <w:rsid w:val="00146C5D"/>
    <w:rsid w:val="00146E0E"/>
    <w:rsid w:val="00146E66"/>
    <w:rsid w:val="00147032"/>
    <w:rsid w:val="001470BC"/>
    <w:rsid w:val="001470C5"/>
    <w:rsid w:val="001470E4"/>
    <w:rsid w:val="001470E9"/>
    <w:rsid w:val="00147208"/>
    <w:rsid w:val="00147303"/>
    <w:rsid w:val="00147350"/>
    <w:rsid w:val="001476EF"/>
    <w:rsid w:val="001477B5"/>
    <w:rsid w:val="00147A8A"/>
    <w:rsid w:val="00147AC1"/>
    <w:rsid w:val="00147AE0"/>
    <w:rsid w:val="00147B26"/>
    <w:rsid w:val="00147B3F"/>
    <w:rsid w:val="00147E31"/>
    <w:rsid w:val="00147F45"/>
    <w:rsid w:val="00150027"/>
    <w:rsid w:val="001500DA"/>
    <w:rsid w:val="0015017B"/>
    <w:rsid w:val="0015023A"/>
    <w:rsid w:val="0015062B"/>
    <w:rsid w:val="001506F3"/>
    <w:rsid w:val="00150766"/>
    <w:rsid w:val="001507BB"/>
    <w:rsid w:val="001507F1"/>
    <w:rsid w:val="00150AA1"/>
    <w:rsid w:val="00150D8E"/>
    <w:rsid w:val="00150E71"/>
    <w:rsid w:val="00150F60"/>
    <w:rsid w:val="001510A7"/>
    <w:rsid w:val="001510CF"/>
    <w:rsid w:val="00151150"/>
    <w:rsid w:val="00151242"/>
    <w:rsid w:val="0015138C"/>
    <w:rsid w:val="001513D8"/>
    <w:rsid w:val="00151446"/>
    <w:rsid w:val="001516CD"/>
    <w:rsid w:val="00151A4B"/>
    <w:rsid w:val="00151A85"/>
    <w:rsid w:val="00151B61"/>
    <w:rsid w:val="00151BB2"/>
    <w:rsid w:val="00151D2D"/>
    <w:rsid w:val="00151F8D"/>
    <w:rsid w:val="00151FC8"/>
    <w:rsid w:val="001521E2"/>
    <w:rsid w:val="00152329"/>
    <w:rsid w:val="00152422"/>
    <w:rsid w:val="0015245E"/>
    <w:rsid w:val="001524AA"/>
    <w:rsid w:val="001525BD"/>
    <w:rsid w:val="001526C9"/>
    <w:rsid w:val="001526F3"/>
    <w:rsid w:val="00152781"/>
    <w:rsid w:val="00152832"/>
    <w:rsid w:val="00152B12"/>
    <w:rsid w:val="00152B73"/>
    <w:rsid w:val="00152C61"/>
    <w:rsid w:val="001538BA"/>
    <w:rsid w:val="00153E7A"/>
    <w:rsid w:val="00153ECB"/>
    <w:rsid w:val="00154168"/>
    <w:rsid w:val="00154204"/>
    <w:rsid w:val="001542F3"/>
    <w:rsid w:val="0015434A"/>
    <w:rsid w:val="00154378"/>
    <w:rsid w:val="001543C2"/>
    <w:rsid w:val="001543DD"/>
    <w:rsid w:val="0015445B"/>
    <w:rsid w:val="001544CE"/>
    <w:rsid w:val="00154538"/>
    <w:rsid w:val="00154638"/>
    <w:rsid w:val="0015480D"/>
    <w:rsid w:val="00154F86"/>
    <w:rsid w:val="00155004"/>
    <w:rsid w:val="00155064"/>
    <w:rsid w:val="001551C2"/>
    <w:rsid w:val="001551C4"/>
    <w:rsid w:val="0015520F"/>
    <w:rsid w:val="00155289"/>
    <w:rsid w:val="00155353"/>
    <w:rsid w:val="001553BA"/>
    <w:rsid w:val="00155429"/>
    <w:rsid w:val="00155457"/>
    <w:rsid w:val="001556CB"/>
    <w:rsid w:val="0015589A"/>
    <w:rsid w:val="001558C6"/>
    <w:rsid w:val="0015595F"/>
    <w:rsid w:val="00155976"/>
    <w:rsid w:val="00155B51"/>
    <w:rsid w:val="00155CE8"/>
    <w:rsid w:val="00155DD1"/>
    <w:rsid w:val="00155E1D"/>
    <w:rsid w:val="00155FE9"/>
    <w:rsid w:val="0015610B"/>
    <w:rsid w:val="0015615D"/>
    <w:rsid w:val="0015632E"/>
    <w:rsid w:val="001563D8"/>
    <w:rsid w:val="00156449"/>
    <w:rsid w:val="001564EE"/>
    <w:rsid w:val="001565D1"/>
    <w:rsid w:val="001566E9"/>
    <w:rsid w:val="0015680F"/>
    <w:rsid w:val="00156938"/>
    <w:rsid w:val="00156950"/>
    <w:rsid w:val="00156A10"/>
    <w:rsid w:val="00156A90"/>
    <w:rsid w:val="00156AF2"/>
    <w:rsid w:val="00156B20"/>
    <w:rsid w:val="00156DC4"/>
    <w:rsid w:val="00156EE8"/>
    <w:rsid w:val="00156FBB"/>
    <w:rsid w:val="0015706D"/>
    <w:rsid w:val="001570EB"/>
    <w:rsid w:val="0015710A"/>
    <w:rsid w:val="00157271"/>
    <w:rsid w:val="00157629"/>
    <w:rsid w:val="00157A86"/>
    <w:rsid w:val="00157AA9"/>
    <w:rsid w:val="00157E6A"/>
    <w:rsid w:val="00157F0F"/>
    <w:rsid w:val="00160021"/>
    <w:rsid w:val="0016003F"/>
    <w:rsid w:val="00160092"/>
    <w:rsid w:val="0016015F"/>
    <w:rsid w:val="0016050A"/>
    <w:rsid w:val="0016059A"/>
    <w:rsid w:val="0016069C"/>
    <w:rsid w:val="001607A6"/>
    <w:rsid w:val="0016094B"/>
    <w:rsid w:val="00160A1B"/>
    <w:rsid w:val="00160A22"/>
    <w:rsid w:val="00160BA8"/>
    <w:rsid w:val="00160D35"/>
    <w:rsid w:val="00160DDA"/>
    <w:rsid w:val="00160E16"/>
    <w:rsid w:val="00160F31"/>
    <w:rsid w:val="0016106A"/>
    <w:rsid w:val="0016119D"/>
    <w:rsid w:val="00161244"/>
    <w:rsid w:val="00161260"/>
    <w:rsid w:val="00161261"/>
    <w:rsid w:val="001612AA"/>
    <w:rsid w:val="00161365"/>
    <w:rsid w:val="001613CE"/>
    <w:rsid w:val="00161616"/>
    <w:rsid w:val="001618F3"/>
    <w:rsid w:val="0016190B"/>
    <w:rsid w:val="00161DD0"/>
    <w:rsid w:val="00161E16"/>
    <w:rsid w:val="00161F1C"/>
    <w:rsid w:val="00161FD0"/>
    <w:rsid w:val="0016257B"/>
    <w:rsid w:val="00162A8D"/>
    <w:rsid w:val="00162AE9"/>
    <w:rsid w:val="00162B7D"/>
    <w:rsid w:val="00162C4C"/>
    <w:rsid w:val="00162C79"/>
    <w:rsid w:val="00162C93"/>
    <w:rsid w:val="00162E55"/>
    <w:rsid w:val="00163013"/>
    <w:rsid w:val="0016304D"/>
    <w:rsid w:val="00163068"/>
    <w:rsid w:val="001630D3"/>
    <w:rsid w:val="00163322"/>
    <w:rsid w:val="00163478"/>
    <w:rsid w:val="001634EA"/>
    <w:rsid w:val="001635A5"/>
    <w:rsid w:val="0016382B"/>
    <w:rsid w:val="00163859"/>
    <w:rsid w:val="00163D12"/>
    <w:rsid w:val="00163D51"/>
    <w:rsid w:val="00163D98"/>
    <w:rsid w:val="00163FCE"/>
    <w:rsid w:val="0016400F"/>
    <w:rsid w:val="0016404B"/>
    <w:rsid w:val="00164105"/>
    <w:rsid w:val="00164178"/>
    <w:rsid w:val="0016419B"/>
    <w:rsid w:val="001643C9"/>
    <w:rsid w:val="0016440A"/>
    <w:rsid w:val="001644F2"/>
    <w:rsid w:val="00164847"/>
    <w:rsid w:val="0016499C"/>
    <w:rsid w:val="00164C13"/>
    <w:rsid w:val="00164E1D"/>
    <w:rsid w:val="00164E6C"/>
    <w:rsid w:val="00164E96"/>
    <w:rsid w:val="0016504F"/>
    <w:rsid w:val="0016528C"/>
    <w:rsid w:val="001652C4"/>
    <w:rsid w:val="001656C5"/>
    <w:rsid w:val="0016583A"/>
    <w:rsid w:val="0016589D"/>
    <w:rsid w:val="001658A2"/>
    <w:rsid w:val="00165B71"/>
    <w:rsid w:val="00165BE2"/>
    <w:rsid w:val="00165DFC"/>
    <w:rsid w:val="00165E7C"/>
    <w:rsid w:val="00165ED9"/>
    <w:rsid w:val="001660EF"/>
    <w:rsid w:val="00166169"/>
    <w:rsid w:val="001664B5"/>
    <w:rsid w:val="00166521"/>
    <w:rsid w:val="001665E2"/>
    <w:rsid w:val="00166650"/>
    <w:rsid w:val="0016665F"/>
    <w:rsid w:val="001666A4"/>
    <w:rsid w:val="00166797"/>
    <w:rsid w:val="00166AE9"/>
    <w:rsid w:val="00166B54"/>
    <w:rsid w:val="00166CD4"/>
    <w:rsid w:val="00166DE4"/>
    <w:rsid w:val="0016707C"/>
    <w:rsid w:val="00167250"/>
    <w:rsid w:val="0016727C"/>
    <w:rsid w:val="00167292"/>
    <w:rsid w:val="00167395"/>
    <w:rsid w:val="00167454"/>
    <w:rsid w:val="0016748E"/>
    <w:rsid w:val="001675DC"/>
    <w:rsid w:val="001675E4"/>
    <w:rsid w:val="00167826"/>
    <w:rsid w:val="00167935"/>
    <w:rsid w:val="001679D9"/>
    <w:rsid w:val="00167A03"/>
    <w:rsid w:val="00167AC4"/>
    <w:rsid w:val="00167E48"/>
    <w:rsid w:val="00167F60"/>
    <w:rsid w:val="00170500"/>
    <w:rsid w:val="00170574"/>
    <w:rsid w:val="001706D3"/>
    <w:rsid w:val="001707D1"/>
    <w:rsid w:val="001708E4"/>
    <w:rsid w:val="00170ABD"/>
    <w:rsid w:val="00170AE3"/>
    <w:rsid w:val="00170AE5"/>
    <w:rsid w:val="00170B8D"/>
    <w:rsid w:val="00170D29"/>
    <w:rsid w:val="00170E82"/>
    <w:rsid w:val="00170FB1"/>
    <w:rsid w:val="00170FBD"/>
    <w:rsid w:val="00171044"/>
    <w:rsid w:val="00171108"/>
    <w:rsid w:val="00171157"/>
    <w:rsid w:val="0017118F"/>
    <w:rsid w:val="001712EE"/>
    <w:rsid w:val="00171773"/>
    <w:rsid w:val="001718AA"/>
    <w:rsid w:val="00171AD8"/>
    <w:rsid w:val="00171B51"/>
    <w:rsid w:val="00171B90"/>
    <w:rsid w:val="00171E7F"/>
    <w:rsid w:val="00171EF7"/>
    <w:rsid w:val="00171F3A"/>
    <w:rsid w:val="00172000"/>
    <w:rsid w:val="00172266"/>
    <w:rsid w:val="00172408"/>
    <w:rsid w:val="001727C1"/>
    <w:rsid w:val="001729A3"/>
    <w:rsid w:val="001729E4"/>
    <w:rsid w:val="00172A73"/>
    <w:rsid w:val="00172BC9"/>
    <w:rsid w:val="00172BE2"/>
    <w:rsid w:val="00172C1C"/>
    <w:rsid w:val="00172E45"/>
    <w:rsid w:val="00172EBC"/>
    <w:rsid w:val="00172F25"/>
    <w:rsid w:val="00173022"/>
    <w:rsid w:val="001730C5"/>
    <w:rsid w:val="0017328B"/>
    <w:rsid w:val="00173293"/>
    <w:rsid w:val="0017357C"/>
    <w:rsid w:val="001735C9"/>
    <w:rsid w:val="00173749"/>
    <w:rsid w:val="00173B92"/>
    <w:rsid w:val="00173C34"/>
    <w:rsid w:val="00173D8A"/>
    <w:rsid w:val="00173DBE"/>
    <w:rsid w:val="001740EE"/>
    <w:rsid w:val="0017410F"/>
    <w:rsid w:val="00174113"/>
    <w:rsid w:val="001741EE"/>
    <w:rsid w:val="00174413"/>
    <w:rsid w:val="00174434"/>
    <w:rsid w:val="00174576"/>
    <w:rsid w:val="001745A9"/>
    <w:rsid w:val="001745E9"/>
    <w:rsid w:val="001746E3"/>
    <w:rsid w:val="00174812"/>
    <w:rsid w:val="0017482A"/>
    <w:rsid w:val="00174874"/>
    <w:rsid w:val="001748E9"/>
    <w:rsid w:val="00174A39"/>
    <w:rsid w:val="00174AD2"/>
    <w:rsid w:val="00174BD4"/>
    <w:rsid w:val="00174C9C"/>
    <w:rsid w:val="0017511F"/>
    <w:rsid w:val="00175178"/>
    <w:rsid w:val="00175534"/>
    <w:rsid w:val="00175541"/>
    <w:rsid w:val="001757BD"/>
    <w:rsid w:val="00175874"/>
    <w:rsid w:val="00175952"/>
    <w:rsid w:val="00175C40"/>
    <w:rsid w:val="00175C9B"/>
    <w:rsid w:val="00175F0C"/>
    <w:rsid w:val="00175F55"/>
    <w:rsid w:val="00175FD8"/>
    <w:rsid w:val="00176085"/>
    <w:rsid w:val="00176202"/>
    <w:rsid w:val="0017626B"/>
    <w:rsid w:val="0017627E"/>
    <w:rsid w:val="001762FD"/>
    <w:rsid w:val="00176450"/>
    <w:rsid w:val="00176490"/>
    <w:rsid w:val="00176524"/>
    <w:rsid w:val="00176762"/>
    <w:rsid w:val="001767A3"/>
    <w:rsid w:val="001767CF"/>
    <w:rsid w:val="001767DB"/>
    <w:rsid w:val="001768CC"/>
    <w:rsid w:val="001768EF"/>
    <w:rsid w:val="0017690C"/>
    <w:rsid w:val="00176B2E"/>
    <w:rsid w:val="00176C63"/>
    <w:rsid w:val="00176E38"/>
    <w:rsid w:val="00176F57"/>
    <w:rsid w:val="00176F5D"/>
    <w:rsid w:val="0017701A"/>
    <w:rsid w:val="00177076"/>
    <w:rsid w:val="00177093"/>
    <w:rsid w:val="00177095"/>
    <w:rsid w:val="001774CE"/>
    <w:rsid w:val="00177701"/>
    <w:rsid w:val="00177714"/>
    <w:rsid w:val="001777A9"/>
    <w:rsid w:val="00177AED"/>
    <w:rsid w:val="00177B5F"/>
    <w:rsid w:val="00177D98"/>
    <w:rsid w:val="00177E8D"/>
    <w:rsid w:val="00180092"/>
    <w:rsid w:val="00180119"/>
    <w:rsid w:val="001802AE"/>
    <w:rsid w:val="00180699"/>
    <w:rsid w:val="001808B1"/>
    <w:rsid w:val="00180918"/>
    <w:rsid w:val="0018098D"/>
    <w:rsid w:val="001809B4"/>
    <w:rsid w:val="00180A31"/>
    <w:rsid w:val="00180B70"/>
    <w:rsid w:val="00180BD4"/>
    <w:rsid w:val="00180C21"/>
    <w:rsid w:val="00180C31"/>
    <w:rsid w:val="00180D7C"/>
    <w:rsid w:val="00180E0F"/>
    <w:rsid w:val="00180E55"/>
    <w:rsid w:val="00180F87"/>
    <w:rsid w:val="00180FE2"/>
    <w:rsid w:val="00181123"/>
    <w:rsid w:val="00181238"/>
    <w:rsid w:val="0018125C"/>
    <w:rsid w:val="0018129F"/>
    <w:rsid w:val="00181416"/>
    <w:rsid w:val="001814C2"/>
    <w:rsid w:val="00181883"/>
    <w:rsid w:val="00181A85"/>
    <w:rsid w:val="00181CF7"/>
    <w:rsid w:val="00181DDB"/>
    <w:rsid w:val="00181DF6"/>
    <w:rsid w:val="00181E66"/>
    <w:rsid w:val="00181EC6"/>
    <w:rsid w:val="00181EE1"/>
    <w:rsid w:val="00182003"/>
    <w:rsid w:val="00182080"/>
    <w:rsid w:val="001821E8"/>
    <w:rsid w:val="001822E5"/>
    <w:rsid w:val="001823A6"/>
    <w:rsid w:val="001823D5"/>
    <w:rsid w:val="001827A2"/>
    <w:rsid w:val="001827A4"/>
    <w:rsid w:val="001827FF"/>
    <w:rsid w:val="001829B3"/>
    <w:rsid w:val="00182BB7"/>
    <w:rsid w:val="00182CF1"/>
    <w:rsid w:val="00182E3A"/>
    <w:rsid w:val="00182F98"/>
    <w:rsid w:val="00183143"/>
    <w:rsid w:val="0018352D"/>
    <w:rsid w:val="00183669"/>
    <w:rsid w:val="001836F9"/>
    <w:rsid w:val="001839C6"/>
    <w:rsid w:val="00183AC2"/>
    <w:rsid w:val="00183C65"/>
    <w:rsid w:val="00183EB2"/>
    <w:rsid w:val="00183F2D"/>
    <w:rsid w:val="00184077"/>
    <w:rsid w:val="001843EA"/>
    <w:rsid w:val="00184517"/>
    <w:rsid w:val="0018457F"/>
    <w:rsid w:val="001845C9"/>
    <w:rsid w:val="001845E0"/>
    <w:rsid w:val="00184632"/>
    <w:rsid w:val="00184642"/>
    <w:rsid w:val="00184673"/>
    <w:rsid w:val="00184738"/>
    <w:rsid w:val="0018494E"/>
    <w:rsid w:val="00184AF9"/>
    <w:rsid w:val="00184B78"/>
    <w:rsid w:val="00184BE4"/>
    <w:rsid w:val="00184C01"/>
    <w:rsid w:val="00184C96"/>
    <w:rsid w:val="00184D85"/>
    <w:rsid w:val="00184DCB"/>
    <w:rsid w:val="00184FC0"/>
    <w:rsid w:val="00185164"/>
    <w:rsid w:val="001851AA"/>
    <w:rsid w:val="00185214"/>
    <w:rsid w:val="001852FA"/>
    <w:rsid w:val="001853A1"/>
    <w:rsid w:val="0018544E"/>
    <w:rsid w:val="00185488"/>
    <w:rsid w:val="001854F4"/>
    <w:rsid w:val="001856CB"/>
    <w:rsid w:val="001857B4"/>
    <w:rsid w:val="00185829"/>
    <w:rsid w:val="00185844"/>
    <w:rsid w:val="001858C0"/>
    <w:rsid w:val="00185A5D"/>
    <w:rsid w:val="00185B2D"/>
    <w:rsid w:val="00185C43"/>
    <w:rsid w:val="00185C89"/>
    <w:rsid w:val="00186093"/>
    <w:rsid w:val="00186190"/>
    <w:rsid w:val="001863BA"/>
    <w:rsid w:val="00186403"/>
    <w:rsid w:val="00186529"/>
    <w:rsid w:val="00186810"/>
    <w:rsid w:val="0018686F"/>
    <w:rsid w:val="00186892"/>
    <w:rsid w:val="00186903"/>
    <w:rsid w:val="00186942"/>
    <w:rsid w:val="00186A0C"/>
    <w:rsid w:val="00186A82"/>
    <w:rsid w:val="00186A89"/>
    <w:rsid w:val="00186B79"/>
    <w:rsid w:val="00186FF6"/>
    <w:rsid w:val="0018733B"/>
    <w:rsid w:val="0018769A"/>
    <w:rsid w:val="00187791"/>
    <w:rsid w:val="0018782B"/>
    <w:rsid w:val="001879A8"/>
    <w:rsid w:val="00187AE3"/>
    <w:rsid w:val="00187C99"/>
    <w:rsid w:val="00187D6D"/>
    <w:rsid w:val="00187DB7"/>
    <w:rsid w:val="00190181"/>
    <w:rsid w:val="00190769"/>
    <w:rsid w:val="001908BD"/>
    <w:rsid w:val="001908FE"/>
    <w:rsid w:val="00190E4A"/>
    <w:rsid w:val="00190F7A"/>
    <w:rsid w:val="00191024"/>
    <w:rsid w:val="0019113B"/>
    <w:rsid w:val="0019114E"/>
    <w:rsid w:val="00191162"/>
    <w:rsid w:val="001912C5"/>
    <w:rsid w:val="001918AA"/>
    <w:rsid w:val="00191949"/>
    <w:rsid w:val="00191A9F"/>
    <w:rsid w:val="00191AF7"/>
    <w:rsid w:val="00191CB8"/>
    <w:rsid w:val="00191FBB"/>
    <w:rsid w:val="00192078"/>
    <w:rsid w:val="00192147"/>
    <w:rsid w:val="00192165"/>
    <w:rsid w:val="001921BD"/>
    <w:rsid w:val="00192350"/>
    <w:rsid w:val="00192430"/>
    <w:rsid w:val="00192658"/>
    <w:rsid w:val="00192769"/>
    <w:rsid w:val="0019278B"/>
    <w:rsid w:val="00192857"/>
    <w:rsid w:val="001928B2"/>
    <w:rsid w:val="001928EF"/>
    <w:rsid w:val="00192A5E"/>
    <w:rsid w:val="00192AAD"/>
    <w:rsid w:val="00192ACC"/>
    <w:rsid w:val="00192C22"/>
    <w:rsid w:val="00192C33"/>
    <w:rsid w:val="00192E41"/>
    <w:rsid w:val="00193018"/>
    <w:rsid w:val="0019304F"/>
    <w:rsid w:val="00193089"/>
    <w:rsid w:val="001932CE"/>
    <w:rsid w:val="001934F0"/>
    <w:rsid w:val="001935E9"/>
    <w:rsid w:val="001937E5"/>
    <w:rsid w:val="001939B7"/>
    <w:rsid w:val="00193BE8"/>
    <w:rsid w:val="00193D1B"/>
    <w:rsid w:val="00193E42"/>
    <w:rsid w:val="00193E5A"/>
    <w:rsid w:val="00193E8B"/>
    <w:rsid w:val="00193F78"/>
    <w:rsid w:val="00194020"/>
    <w:rsid w:val="0019429E"/>
    <w:rsid w:val="00194409"/>
    <w:rsid w:val="0019440C"/>
    <w:rsid w:val="00194486"/>
    <w:rsid w:val="001944CB"/>
    <w:rsid w:val="00194721"/>
    <w:rsid w:val="0019485D"/>
    <w:rsid w:val="0019498F"/>
    <w:rsid w:val="00194998"/>
    <w:rsid w:val="001949AC"/>
    <w:rsid w:val="00194AF6"/>
    <w:rsid w:val="00194BDB"/>
    <w:rsid w:val="00194BED"/>
    <w:rsid w:val="00194D35"/>
    <w:rsid w:val="00194E3A"/>
    <w:rsid w:val="00194FA0"/>
    <w:rsid w:val="0019507B"/>
    <w:rsid w:val="00195223"/>
    <w:rsid w:val="001952BB"/>
    <w:rsid w:val="001954B9"/>
    <w:rsid w:val="00195C83"/>
    <w:rsid w:val="00195D18"/>
    <w:rsid w:val="00195D59"/>
    <w:rsid w:val="00195E84"/>
    <w:rsid w:val="00195EEC"/>
    <w:rsid w:val="00195FE2"/>
    <w:rsid w:val="0019602E"/>
    <w:rsid w:val="00196047"/>
    <w:rsid w:val="0019609B"/>
    <w:rsid w:val="001960E8"/>
    <w:rsid w:val="001960F0"/>
    <w:rsid w:val="0019615A"/>
    <w:rsid w:val="001962A2"/>
    <w:rsid w:val="001962EE"/>
    <w:rsid w:val="00196314"/>
    <w:rsid w:val="00196329"/>
    <w:rsid w:val="0019632D"/>
    <w:rsid w:val="00196503"/>
    <w:rsid w:val="00196736"/>
    <w:rsid w:val="00196792"/>
    <w:rsid w:val="00196825"/>
    <w:rsid w:val="00196858"/>
    <w:rsid w:val="0019692A"/>
    <w:rsid w:val="001969D9"/>
    <w:rsid w:val="00196CEF"/>
    <w:rsid w:val="001975A2"/>
    <w:rsid w:val="00197605"/>
    <w:rsid w:val="0019764E"/>
    <w:rsid w:val="00197774"/>
    <w:rsid w:val="00197917"/>
    <w:rsid w:val="0019795C"/>
    <w:rsid w:val="001979CC"/>
    <w:rsid w:val="00197AB8"/>
    <w:rsid w:val="00197B8E"/>
    <w:rsid w:val="001A02C7"/>
    <w:rsid w:val="001A032B"/>
    <w:rsid w:val="001A053D"/>
    <w:rsid w:val="001A0614"/>
    <w:rsid w:val="001A068C"/>
    <w:rsid w:val="001A07CB"/>
    <w:rsid w:val="001A081B"/>
    <w:rsid w:val="001A0891"/>
    <w:rsid w:val="001A0907"/>
    <w:rsid w:val="001A0AE2"/>
    <w:rsid w:val="001A0C93"/>
    <w:rsid w:val="001A0C99"/>
    <w:rsid w:val="001A0CFB"/>
    <w:rsid w:val="001A0ED4"/>
    <w:rsid w:val="001A111F"/>
    <w:rsid w:val="001A11DD"/>
    <w:rsid w:val="001A12E9"/>
    <w:rsid w:val="001A15B7"/>
    <w:rsid w:val="001A1751"/>
    <w:rsid w:val="001A17FB"/>
    <w:rsid w:val="001A187E"/>
    <w:rsid w:val="001A1948"/>
    <w:rsid w:val="001A19DA"/>
    <w:rsid w:val="001A1A72"/>
    <w:rsid w:val="001A1BB3"/>
    <w:rsid w:val="001A1C64"/>
    <w:rsid w:val="001A1DB1"/>
    <w:rsid w:val="001A2016"/>
    <w:rsid w:val="001A2093"/>
    <w:rsid w:val="001A23B5"/>
    <w:rsid w:val="001A24A6"/>
    <w:rsid w:val="001A2629"/>
    <w:rsid w:val="001A2751"/>
    <w:rsid w:val="001A283A"/>
    <w:rsid w:val="001A2923"/>
    <w:rsid w:val="001A29B9"/>
    <w:rsid w:val="001A2C0B"/>
    <w:rsid w:val="001A2C82"/>
    <w:rsid w:val="001A2CB2"/>
    <w:rsid w:val="001A2CCF"/>
    <w:rsid w:val="001A2CD3"/>
    <w:rsid w:val="001A2D46"/>
    <w:rsid w:val="001A2EF1"/>
    <w:rsid w:val="001A2FF4"/>
    <w:rsid w:val="001A30AA"/>
    <w:rsid w:val="001A32D5"/>
    <w:rsid w:val="001A330C"/>
    <w:rsid w:val="001A350F"/>
    <w:rsid w:val="001A3522"/>
    <w:rsid w:val="001A360B"/>
    <w:rsid w:val="001A36DC"/>
    <w:rsid w:val="001A3747"/>
    <w:rsid w:val="001A3832"/>
    <w:rsid w:val="001A38FB"/>
    <w:rsid w:val="001A3951"/>
    <w:rsid w:val="001A3A51"/>
    <w:rsid w:val="001A3B8D"/>
    <w:rsid w:val="001A3D53"/>
    <w:rsid w:val="001A3E1B"/>
    <w:rsid w:val="001A3E39"/>
    <w:rsid w:val="001A3EE5"/>
    <w:rsid w:val="001A41E7"/>
    <w:rsid w:val="001A4269"/>
    <w:rsid w:val="001A4356"/>
    <w:rsid w:val="001A44A3"/>
    <w:rsid w:val="001A4641"/>
    <w:rsid w:val="001A467D"/>
    <w:rsid w:val="001A4AF1"/>
    <w:rsid w:val="001A4B15"/>
    <w:rsid w:val="001A4B72"/>
    <w:rsid w:val="001A4BC8"/>
    <w:rsid w:val="001A4C3A"/>
    <w:rsid w:val="001A4CB2"/>
    <w:rsid w:val="001A4DE6"/>
    <w:rsid w:val="001A508B"/>
    <w:rsid w:val="001A50B6"/>
    <w:rsid w:val="001A50BE"/>
    <w:rsid w:val="001A5124"/>
    <w:rsid w:val="001A518D"/>
    <w:rsid w:val="001A51ED"/>
    <w:rsid w:val="001A5361"/>
    <w:rsid w:val="001A5414"/>
    <w:rsid w:val="001A55EA"/>
    <w:rsid w:val="001A5765"/>
    <w:rsid w:val="001A58A1"/>
    <w:rsid w:val="001A5DD6"/>
    <w:rsid w:val="001A5E6E"/>
    <w:rsid w:val="001A5E93"/>
    <w:rsid w:val="001A6051"/>
    <w:rsid w:val="001A6099"/>
    <w:rsid w:val="001A6193"/>
    <w:rsid w:val="001A61ED"/>
    <w:rsid w:val="001A61F3"/>
    <w:rsid w:val="001A6297"/>
    <w:rsid w:val="001A64D9"/>
    <w:rsid w:val="001A66CB"/>
    <w:rsid w:val="001A678C"/>
    <w:rsid w:val="001A67C6"/>
    <w:rsid w:val="001A67D1"/>
    <w:rsid w:val="001A67EB"/>
    <w:rsid w:val="001A6C37"/>
    <w:rsid w:val="001A6C5E"/>
    <w:rsid w:val="001A6DAC"/>
    <w:rsid w:val="001A6DF8"/>
    <w:rsid w:val="001A6E53"/>
    <w:rsid w:val="001A7285"/>
    <w:rsid w:val="001A7489"/>
    <w:rsid w:val="001A757A"/>
    <w:rsid w:val="001A75E1"/>
    <w:rsid w:val="001A776E"/>
    <w:rsid w:val="001A77D7"/>
    <w:rsid w:val="001A7818"/>
    <w:rsid w:val="001A7B2B"/>
    <w:rsid w:val="001A7B41"/>
    <w:rsid w:val="001A7BC9"/>
    <w:rsid w:val="001B008E"/>
    <w:rsid w:val="001B0218"/>
    <w:rsid w:val="001B03F3"/>
    <w:rsid w:val="001B042B"/>
    <w:rsid w:val="001B0610"/>
    <w:rsid w:val="001B065D"/>
    <w:rsid w:val="001B068F"/>
    <w:rsid w:val="001B07DE"/>
    <w:rsid w:val="001B0833"/>
    <w:rsid w:val="001B0836"/>
    <w:rsid w:val="001B0888"/>
    <w:rsid w:val="001B0966"/>
    <w:rsid w:val="001B0987"/>
    <w:rsid w:val="001B0AC1"/>
    <w:rsid w:val="001B0AED"/>
    <w:rsid w:val="001B0AF8"/>
    <w:rsid w:val="001B0B58"/>
    <w:rsid w:val="001B0DD4"/>
    <w:rsid w:val="001B1086"/>
    <w:rsid w:val="001B1272"/>
    <w:rsid w:val="001B144E"/>
    <w:rsid w:val="001B1483"/>
    <w:rsid w:val="001B161B"/>
    <w:rsid w:val="001B16B5"/>
    <w:rsid w:val="001B1707"/>
    <w:rsid w:val="001B182D"/>
    <w:rsid w:val="001B19DD"/>
    <w:rsid w:val="001B1A62"/>
    <w:rsid w:val="001B1C35"/>
    <w:rsid w:val="001B1CA3"/>
    <w:rsid w:val="001B1D28"/>
    <w:rsid w:val="001B1EB3"/>
    <w:rsid w:val="001B1FE7"/>
    <w:rsid w:val="001B20B7"/>
    <w:rsid w:val="001B20F0"/>
    <w:rsid w:val="001B2313"/>
    <w:rsid w:val="001B2809"/>
    <w:rsid w:val="001B28F5"/>
    <w:rsid w:val="001B29D2"/>
    <w:rsid w:val="001B2A5F"/>
    <w:rsid w:val="001B2A6E"/>
    <w:rsid w:val="001B2B62"/>
    <w:rsid w:val="001B2D8A"/>
    <w:rsid w:val="001B2DA0"/>
    <w:rsid w:val="001B2DE2"/>
    <w:rsid w:val="001B2E16"/>
    <w:rsid w:val="001B2E1A"/>
    <w:rsid w:val="001B2E70"/>
    <w:rsid w:val="001B2F13"/>
    <w:rsid w:val="001B30CF"/>
    <w:rsid w:val="001B30E8"/>
    <w:rsid w:val="001B30F5"/>
    <w:rsid w:val="001B31CC"/>
    <w:rsid w:val="001B329D"/>
    <w:rsid w:val="001B32D6"/>
    <w:rsid w:val="001B32E7"/>
    <w:rsid w:val="001B337D"/>
    <w:rsid w:val="001B3536"/>
    <w:rsid w:val="001B35BC"/>
    <w:rsid w:val="001B35BE"/>
    <w:rsid w:val="001B36A4"/>
    <w:rsid w:val="001B3932"/>
    <w:rsid w:val="001B395C"/>
    <w:rsid w:val="001B3AEA"/>
    <w:rsid w:val="001B3BEE"/>
    <w:rsid w:val="001B3C55"/>
    <w:rsid w:val="001B3C71"/>
    <w:rsid w:val="001B3D54"/>
    <w:rsid w:val="001B3D95"/>
    <w:rsid w:val="001B3E24"/>
    <w:rsid w:val="001B3E4F"/>
    <w:rsid w:val="001B3E72"/>
    <w:rsid w:val="001B4017"/>
    <w:rsid w:val="001B4041"/>
    <w:rsid w:val="001B4059"/>
    <w:rsid w:val="001B4087"/>
    <w:rsid w:val="001B424C"/>
    <w:rsid w:val="001B42F1"/>
    <w:rsid w:val="001B4474"/>
    <w:rsid w:val="001B45D2"/>
    <w:rsid w:val="001B467D"/>
    <w:rsid w:val="001B4686"/>
    <w:rsid w:val="001B475D"/>
    <w:rsid w:val="001B476E"/>
    <w:rsid w:val="001B4774"/>
    <w:rsid w:val="001B4AAB"/>
    <w:rsid w:val="001B4BBC"/>
    <w:rsid w:val="001B4C88"/>
    <w:rsid w:val="001B4D07"/>
    <w:rsid w:val="001B4E33"/>
    <w:rsid w:val="001B4F52"/>
    <w:rsid w:val="001B4F7A"/>
    <w:rsid w:val="001B5310"/>
    <w:rsid w:val="001B5396"/>
    <w:rsid w:val="001B548B"/>
    <w:rsid w:val="001B5491"/>
    <w:rsid w:val="001B54FE"/>
    <w:rsid w:val="001B5652"/>
    <w:rsid w:val="001B5871"/>
    <w:rsid w:val="001B59DF"/>
    <w:rsid w:val="001B5B34"/>
    <w:rsid w:val="001B5E17"/>
    <w:rsid w:val="001B5E94"/>
    <w:rsid w:val="001B5EB3"/>
    <w:rsid w:val="001B5F02"/>
    <w:rsid w:val="001B5F49"/>
    <w:rsid w:val="001B60D2"/>
    <w:rsid w:val="001B619A"/>
    <w:rsid w:val="001B61E3"/>
    <w:rsid w:val="001B632E"/>
    <w:rsid w:val="001B63D7"/>
    <w:rsid w:val="001B646A"/>
    <w:rsid w:val="001B64FA"/>
    <w:rsid w:val="001B6534"/>
    <w:rsid w:val="001B6830"/>
    <w:rsid w:val="001B6846"/>
    <w:rsid w:val="001B6912"/>
    <w:rsid w:val="001B695C"/>
    <w:rsid w:val="001B6979"/>
    <w:rsid w:val="001B6A09"/>
    <w:rsid w:val="001B6A38"/>
    <w:rsid w:val="001B6B16"/>
    <w:rsid w:val="001B6B2B"/>
    <w:rsid w:val="001B6C2C"/>
    <w:rsid w:val="001B6CEB"/>
    <w:rsid w:val="001B6CFC"/>
    <w:rsid w:val="001B6F04"/>
    <w:rsid w:val="001B71FD"/>
    <w:rsid w:val="001B7210"/>
    <w:rsid w:val="001B7283"/>
    <w:rsid w:val="001B73C7"/>
    <w:rsid w:val="001B74BF"/>
    <w:rsid w:val="001B7506"/>
    <w:rsid w:val="001B7536"/>
    <w:rsid w:val="001B75D4"/>
    <w:rsid w:val="001B7713"/>
    <w:rsid w:val="001B773C"/>
    <w:rsid w:val="001B77BD"/>
    <w:rsid w:val="001B77F0"/>
    <w:rsid w:val="001B7878"/>
    <w:rsid w:val="001B78A7"/>
    <w:rsid w:val="001B7ABC"/>
    <w:rsid w:val="001B7AD7"/>
    <w:rsid w:val="001B7CC6"/>
    <w:rsid w:val="001C001D"/>
    <w:rsid w:val="001C0077"/>
    <w:rsid w:val="001C00D5"/>
    <w:rsid w:val="001C0173"/>
    <w:rsid w:val="001C056D"/>
    <w:rsid w:val="001C0A38"/>
    <w:rsid w:val="001C0AAC"/>
    <w:rsid w:val="001C0B44"/>
    <w:rsid w:val="001C0BE3"/>
    <w:rsid w:val="001C0D14"/>
    <w:rsid w:val="001C0D2C"/>
    <w:rsid w:val="001C0F44"/>
    <w:rsid w:val="001C1081"/>
    <w:rsid w:val="001C10A3"/>
    <w:rsid w:val="001C13D7"/>
    <w:rsid w:val="001C178C"/>
    <w:rsid w:val="001C17A4"/>
    <w:rsid w:val="001C1A15"/>
    <w:rsid w:val="001C1A90"/>
    <w:rsid w:val="001C1B2F"/>
    <w:rsid w:val="001C1BF7"/>
    <w:rsid w:val="001C1D2D"/>
    <w:rsid w:val="001C1FA9"/>
    <w:rsid w:val="001C2223"/>
    <w:rsid w:val="001C22C0"/>
    <w:rsid w:val="001C24C7"/>
    <w:rsid w:val="001C24D9"/>
    <w:rsid w:val="001C2511"/>
    <w:rsid w:val="001C2551"/>
    <w:rsid w:val="001C255E"/>
    <w:rsid w:val="001C26DB"/>
    <w:rsid w:val="001C2800"/>
    <w:rsid w:val="001C284B"/>
    <w:rsid w:val="001C290C"/>
    <w:rsid w:val="001C2A42"/>
    <w:rsid w:val="001C2B33"/>
    <w:rsid w:val="001C2CA8"/>
    <w:rsid w:val="001C2F2E"/>
    <w:rsid w:val="001C315B"/>
    <w:rsid w:val="001C3169"/>
    <w:rsid w:val="001C323E"/>
    <w:rsid w:val="001C32B2"/>
    <w:rsid w:val="001C3307"/>
    <w:rsid w:val="001C334A"/>
    <w:rsid w:val="001C3371"/>
    <w:rsid w:val="001C3483"/>
    <w:rsid w:val="001C36B4"/>
    <w:rsid w:val="001C374A"/>
    <w:rsid w:val="001C3828"/>
    <w:rsid w:val="001C3846"/>
    <w:rsid w:val="001C384E"/>
    <w:rsid w:val="001C3949"/>
    <w:rsid w:val="001C398E"/>
    <w:rsid w:val="001C3B41"/>
    <w:rsid w:val="001C3E2B"/>
    <w:rsid w:val="001C3F49"/>
    <w:rsid w:val="001C3F6B"/>
    <w:rsid w:val="001C4050"/>
    <w:rsid w:val="001C4061"/>
    <w:rsid w:val="001C4193"/>
    <w:rsid w:val="001C4238"/>
    <w:rsid w:val="001C4317"/>
    <w:rsid w:val="001C4325"/>
    <w:rsid w:val="001C43B3"/>
    <w:rsid w:val="001C4415"/>
    <w:rsid w:val="001C4511"/>
    <w:rsid w:val="001C4536"/>
    <w:rsid w:val="001C495C"/>
    <w:rsid w:val="001C49BC"/>
    <w:rsid w:val="001C4AB2"/>
    <w:rsid w:val="001C4AC1"/>
    <w:rsid w:val="001C4B7A"/>
    <w:rsid w:val="001C4BA7"/>
    <w:rsid w:val="001C4CF6"/>
    <w:rsid w:val="001C4EBB"/>
    <w:rsid w:val="001C4FDB"/>
    <w:rsid w:val="001C5049"/>
    <w:rsid w:val="001C50C9"/>
    <w:rsid w:val="001C5372"/>
    <w:rsid w:val="001C548D"/>
    <w:rsid w:val="001C55AA"/>
    <w:rsid w:val="001C5719"/>
    <w:rsid w:val="001C5729"/>
    <w:rsid w:val="001C5741"/>
    <w:rsid w:val="001C57B1"/>
    <w:rsid w:val="001C58E5"/>
    <w:rsid w:val="001C5B72"/>
    <w:rsid w:val="001C5C79"/>
    <w:rsid w:val="001C5D85"/>
    <w:rsid w:val="001C5E4C"/>
    <w:rsid w:val="001C5E96"/>
    <w:rsid w:val="001C5F94"/>
    <w:rsid w:val="001C6087"/>
    <w:rsid w:val="001C62BC"/>
    <w:rsid w:val="001C639E"/>
    <w:rsid w:val="001C65F5"/>
    <w:rsid w:val="001C6660"/>
    <w:rsid w:val="001C67AE"/>
    <w:rsid w:val="001C6A0F"/>
    <w:rsid w:val="001C709F"/>
    <w:rsid w:val="001C7132"/>
    <w:rsid w:val="001C7308"/>
    <w:rsid w:val="001C7444"/>
    <w:rsid w:val="001C74E0"/>
    <w:rsid w:val="001C7893"/>
    <w:rsid w:val="001C7987"/>
    <w:rsid w:val="001C7A05"/>
    <w:rsid w:val="001C7B93"/>
    <w:rsid w:val="001C7BF5"/>
    <w:rsid w:val="001C7E32"/>
    <w:rsid w:val="001D0050"/>
    <w:rsid w:val="001D015E"/>
    <w:rsid w:val="001D01AE"/>
    <w:rsid w:val="001D024E"/>
    <w:rsid w:val="001D0BF3"/>
    <w:rsid w:val="001D0CB1"/>
    <w:rsid w:val="001D0D72"/>
    <w:rsid w:val="001D0EE6"/>
    <w:rsid w:val="001D0EEE"/>
    <w:rsid w:val="001D0FA3"/>
    <w:rsid w:val="001D123A"/>
    <w:rsid w:val="001D12D7"/>
    <w:rsid w:val="001D1516"/>
    <w:rsid w:val="001D159F"/>
    <w:rsid w:val="001D1613"/>
    <w:rsid w:val="001D16EA"/>
    <w:rsid w:val="001D1755"/>
    <w:rsid w:val="001D17E3"/>
    <w:rsid w:val="001D1848"/>
    <w:rsid w:val="001D1880"/>
    <w:rsid w:val="001D199F"/>
    <w:rsid w:val="001D19F6"/>
    <w:rsid w:val="001D1BAD"/>
    <w:rsid w:val="001D1BDF"/>
    <w:rsid w:val="001D1C38"/>
    <w:rsid w:val="001D1C61"/>
    <w:rsid w:val="001D1D15"/>
    <w:rsid w:val="001D1DB7"/>
    <w:rsid w:val="001D1E1E"/>
    <w:rsid w:val="001D224F"/>
    <w:rsid w:val="001D2448"/>
    <w:rsid w:val="001D2469"/>
    <w:rsid w:val="001D249D"/>
    <w:rsid w:val="001D2638"/>
    <w:rsid w:val="001D2697"/>
    <w:rsid w:val="001D26C1"/>
    <w:rsid w:val="001D2A1E"/>
    <w:rsid w:val="001D2B04"/>
    <w:rsid w:val="001D2B08"/>
    <w:rsid w:val="001D2B60"/>
    <w:rsid w:val="001D2DA0"/>
    <w:rsid w:val="001D2ECD"/>
    <w:rsid w:val="001D3046"/>
    <w:rsid w:val="001D3068"/>
    <w:rsid w:val="001D30E8"/>
    <w:rsid w:val="001D3255"/>
    <w:rsid w:val="001D332E"/>
    <w:rsid w:val="001D3414"/>
    <w:rsid w:val="001D3444"/>
    <w:rsid w:val="001D3469"/>
    <w:rsid w:val="001D34B1"/>
    <w:rsid w:val="001D352D"/>
    <w:rsid w:val="001D35FE"/>
    <w:rsid w:val="001D3605"/>
    <w:rsid w:val="001D36B1"/>
    <w:rsid w:val="001D3875"/>
    <w:rsid w:val="001D3ABA"/>
    <w:rsid w:val="001D3EE3"/>
    <w:rsid w:val="001D4028"/>
    <w:rsid w:val="001D40C9"/>
    <w:rsid w:val="001D40E4"/>
    <w:rsid w:val="001D4226"/>
    <w:rsid w:val="001D43B3"/>
    <w:rsid w:val="001D4542"/>
    <w:rsid w:val="001D478D"/>
    <w:rsid w:val="001D47A4"/>
    <w:rsid w:val="001D4A95"/>
    <w:rsid w:val="001D4AD5"/>
    <w:rsid w:val="001D4C48"/>
    <w:rsid w:val="001D4D36"/>
    <w:rsid w:val="001D4D3E"/>
    <w:rsid w:val="001D4D93"/>
    <w:rsid w:val="001D4E4C"/>
    <w:rsid w:val="001D4F33"/>
    <w:rsid w:val="001D4F35"/>
    <w:rsid w:val="001D5072"/>
    <w:rsid w:val="001D5155"/>
    <w:rsid w:val="001D53A2"/>
    <w:rsid w:val="001D5574"/>
    <w:rsid w:val="001D55D3"/>
    <w:rsid w:val="001D5687"/>
    <w:rsid w:val="001D587E"/>
    <w:rsid w:val="001D588D"/>
    <w:rsid w:val="001D5971"/>
    <w:rsid w:val="001D5A36"/>
    <w:rsid w:val="001D5AB6"/>
    <w:rsid w:val="001D5DB5"/>
    <w:rsid w:val="001D5F89"/>
    <w:rsid w:val="001D5FA5"/>
    <w:rsid w:val="001D603E"/>
    <w:rsid w:val="001D6295"/>
    <w:rsid w:val="001D644B"/>
    <w:rsid w:val="001D6500"/>
    <w:rsid w:val="001D6516"/>
    <w:rsid w:val="001D65DD"/>
    <w:rsid w:val="001D6915"/>
    <w:rsid w:val="001D6983"/>
    <w:rsid w:val="001D6AC7"/>
    <w:rsid w:val="001D6BC3"/>
    <w:rsid w:val="001D6CFF"/>
    <w:rsid w:val="001D6E9F"/>
    <w:rsid w:val="001D6EAE"/>
    <w:rsid w:val="001D7017"/>
    <w:rsid w:val="001D7110"/>
    <w:rsid w:val="001D7151"/>
    <w:rsid w:val="001D73AD"/>
    <w:rsid w:val="001D7486"/>
    <w:rsid w:val="001D7522"/>
    <w:rsid w:val="001D755D"/>
    <w:rsid w:val="001D75E2"/>
    <w:rsid w:val="001D7748"/>
    <w:rsid w:val="001D775C"/>
    <w:rsid w:val="001D77D4"/>
    <w:rsid w:val="001D77FA"/>
    <w:rsid w:val="001D77FB"/>
    <w:rsid w:val="001D7A77"/>
    <w:rsid w:val="001D7AFC"/>
    <w:rsid w:val="001D7BD7"/>
    <w:rsid w:val="001D7C90"/>
    <w:rsid w:val="001D7CBF"/>
    <w:rsid w:val="001D7CCD"/>
    <w:rsid w:val="001D7DAD"/>
    <w:rsid w:val="001E0343"/>
    <w:rsid w:val="001E03E7"/>
    <w:rsid w:val="001E04A0"/>
    <w:rsid w:val="001E059F"/>
    <w:rsid w:val="001E0623"/>
    <w:rsid w:val="001E06C5"/>
    <w:rsid w:val="001E06D5"/>
    <w:rsid w:val="001E0735"/>
    <w:rsid w:val="001E079B"/>
    <w:rsid w:val="001E0943"/>
    <w:rsid w:val="001E0AED"/>
    <w:rsid w:val="001E0B71"/>
    <w:rsid w:val="001E0CC8"/>
    <w:rsid w:val="001E0CE2"/>
    <w:rsid w:val="001E0D1E"/>
    <w:rsid w:val="001E0D7A"/>
    <w:rsid w:val="001E0F47"/>
    <w:rsid w:val="001E101D"/>
    <w:rsid w:val="001E1045"/>
    <w:rsid w:val="001E130E"/>
    <w:rsid w:val="001E1315"/>
    <w:rsid w:val="001E139B"/>
    <w:rsid w:val="001E16E9"/>
    <w:rsid w:val="001E170F"/>
    <w:rsid w:val="001E181B"/>
    <w:rsid w:val="001E1921"/>
    <w:rsid w:val="001E1953"/>
    <w:rsid w:val="001E1A99"/>
    <w:rsid w:val="001E1B77"/>
    <w:rsid w:val="001E1D6B"/>
    <w:rsid w:val="001E1F0D"/>
    <w:rsid w:val="001E1F65"/>
    <w:rsid w:val="001E1F8D"/>
    <w:rsid w:val="001E1FCC"/>
    <w:rsid w:val="001E21ED"/>
    <w:rsid w:val="001E2675"/>
    <w:rsid w:val="001E26C4"/>
    <w:rsid w:val="001E2747"/>
    <w:rsid w:val="001E2751"/>
    <w:rsid w:val="001E2861"/>
    <w:rsid w:val="001E2A61"/>
    <w:rsid w:val="001E2AF7"/>
    <w:rsid w:val="001E2D75"/>
    <w:rsid w:val="001E303B"/>
    <w:rsid w:val="001E30E7"/>
    <w:rsid w:val="001E33E5"/>
    <w:rsid w:val="001E3425"/>
    <w:rsid w:val="001E3446"/>
    <w:rsid w:val="001E34CD"/>
    <w:rsid w:val="001E350D"/>
    <w:rsid w:val="001E381A"/>
    <w:rsid w:val="001E3902"/>
    <w:rsid w:val="001E3907"/>
    <w:rsid w:val="001E3A1E"/>
    <w:rsid w:val="001E3BE6"/>
    <w:rsid w:val="001E3C7C"/>
    <w:rsid w:val="001E3D2C"/>
    <w:rsid w:val="001E3D93"/>
    <w:rsid w:val="001E3E27"/>
    <w:rsid w:val="001E3E91"/>
    <w:rsid w:val="001E3F4C"/>
    <w:rsid w:val="001E3F7D"/>
    <w:rsid w:val="001E4036"/>
    <w:rsid w:val="001E43D1"/>
    <w:rsid w:val="001E46DA"/>
    <w:rsid w:val="001E48D1"/>
    <w:rsid w:val="001E498A"/>
    <w:rsid w:val="001E4A2C"/>
    <w:rsid w:val="001E4A95"/>
    <w:rsid w:val="001E4BC5"/>
    <w:rsid w:val="001E4C60"/>
    <w:rsid w:val="001E4D2A"/>
    <w:rsid w:val="001E4D2C"/>
    <w:rsid w:val="001E4DFA"/>
    <w:rsid w:val="001E4F16"/>
    <w:rsid w:val="001E5228"/>
    <w:rsid w:val="001E52D1"/>
    <w:rsid w:val="001E5314"/>
    <w:rsid w:val="001E5428"/>
    <w:rsid w:val="001E54B9"/>
    <w:rsid w:val="001E5860"/>
    <w:rsid w:val="001E5918"/>
    <w:rsid w:val="001E5971"/>
    <w:rsid w:val="001E5CCA"/>
    <w:rsid w:val="001E5DC3"/>
    <w:rsid w:val="001E5DEF"/>
    <w:rsid w:val="001E601F"/>
    <w:rsid w:val="001E60EB"/>
    <w:rsid w:val="001E6118"/>
    <w:rsid w:val="001E61E4"/>
    <w:rsid w:val="001E6245"/>
    <w:rsid w:val="001E6263"/>
    <w:rsid w:val="001E63C6"/>
    <w:rsid w:val="001E640A"/>
    <w:rsid w:val="001E6499"/>
    <w:rsid w:val="001E6732"/>
    <w:rsid w:val="001E6BDE"/>
    <w:rsid w:val="001E6DA6"/>
    <w:rsid w:val="001E6E22"/>
    <w:rsid w:val="001E6E3F"/>
    <w:rsid w:val="001E6E4E"/>
    <w:rsid w:val="001E6FF8"/>
    <w:rsid w:val="001E70BD"/>
    <w:rsid w:val="001E70C4"/>
    <w:rsid w:val="001E70E1"/>
    <w:rsid w:val="001E7132"/>
    <w:rsid w:val="001E7231"/>
    <w:rsid w:val="001E777F"/>
    <w:rsid w:val="001E7787"/>
    <w:rsid w:val="001E7B38"/>
    <w:rsid w:val="001E7EC8"/>
    <w:rsid w:val="001E7FBA"/>
    <w:rsid w:val="001F02DD"/>
    <w:rsid w:val="001F040C"/>
    <w:rsid w:val="001F0541"/>
    <w:rsid w:val="001F0585"/>
    <w:rsid w:val="001F06D9"/>
    <w:rsid w:val="001F06EF"/>
    <w:rsid w:val="001F0967"/>
    <w:rsid w:val="001F09B5"/>
    <w:rsid w:val="001F0A27"/>
    <w:rsid w:val="001F0B2F"/>
    <w:rsid w:val="001F0B6E"/>
    <w:rsid w:val="001F0E89"/>
    <w:rsid w:val="001F0ECC"/>
    <w:rsid w:val="001F0ED7"/>
    <w:rsid w:val="001F0F66"/>
    <w:rsid w:val="001F0FFF"/>
    <w:rsid w:val="001F12D3"/>
    <w:rsid w:val="001F145E"/>
    <w:rsid w:val="001F15C3"/>
    <w:rsid w:val="001F17B0"/>
    <w:rsid w:val="001F1829"/>
    <w:rsid w:val="001F1C63"/>
    <w:rsid w:val="001F1D2A"/>
    <w:rsid w:val="001F1D53"/>
    <w:rsid w:val="001F1F00"/>
    <w:rsid w:val="001F1F23"/>
    <w:rsid w:val="001F2012"/>
    <w:rsid w:val="001F20B1"/>
    <w:rsid w:val="001F20F0"/>
    <w:rsid w:val="001F2280"/>
    <w:rsid w:val="001F22DA"/>
    <w:rsid w:val="001F2312"/>
    <w:rsid w:val="001F2497"/>
    <w:rsid w:val="001F27A1"/>
    <w:rsid w:val="001F2926"/>
    <w:rsid w:val="001F2ADD"/>
    <w:rsid w:val="001F2C0E"/>
    <w:rsid w:val="001F2F75"/>
    <w:rsid w:val="001F302D"/>
    <w:rsid w:val="001F3081"/>
    <w:rsid w:val="001F30AE"/>
    <w:rsid w:val="001F30D7"/>
    <w:rsid w:val="001F3338"/>
    <w:rsid w:val="001F33B0"/>
    <w:rsid w:val="001F3483"/>
    <w:rsid w:val="001F34BA"/>
    <w:rsid w:val="001F3889"/>
    <w:rsid w:val="001F3915"/>
    <w:rsid w:val="001F3982"/>
    <w:rsid w:val="001F3F7A"/>
    <w:rsid w:val="001F403C"/>
    <w:rsid w:val="001F4270"/>
    <w:rsid w:val="001F444E"/>
    <w:rsid w:val="001F453D"/>
    <w:rsid w:val="001F454D"/>
    <w:rsid w:val="001F455C"/>
    <w:rsid w:val="001F45CF"/>
    <w:rsid w:val="001F46C0"/>
    <w:rsid w:val="001F46ED"/>
    <w:rsid w:val="001F4B9E"/>
    <w:rsid w:val="001F4CDF"/>
    <w:rsid w:val="001F4D0E"/>
    <w:rsid w:val="001F4D7F"/>
    <w:rsid w:val="001F4E15"/>
    <w:rsid w:val="001F4E3A"/>
    <w:rsid w:val="001F4E71"/>
    <w:rsid w:val="001F4E8B"/>
    <w:rsid w:val="001F4EF8"/>
    <w:rsid w:val="001F509B"/>
    <w:rsid w:val="001F5143"/>
    <w:rsid w:val="001F5524"/>
    <w:rsid w:val="001F556D"/>
    <w:rsid w:val="001F55EE"/>
    <w:rsid w:val="001F5611"/>
    <w:rsid w:val="001F5856"/>
    <w:rsid w:val="001F5896"/>
    <w:rsid w:val="001F5CB5"/>
    <w:rsid w:val="001F5DCE"/>
    <w:rsid w:val="001F5EF5"/>
    <w:rsid w:val="001F5F1D"/>
    <w:rsid w:val="001F6019"/>
    <w:rsid w:val="001F6210"/>
    <w:rsid w:val="001F622A"/>
    <w:rsid w:val="001F6288"/>
    <w:rsid w:val="001F6344"/>
    <w:rsid w:val="001F637C"/>
    <w:rsid w:val="001F63C0"/>
    <w:rsid w:val="001F6460"/>
    <w:rsid w:val="001F67DE"/>
    <w:rsid w:val="001F691B"/>
    <w:rsid w:val="001F6A7D"/>
    <w:rsid w:val="001F6A9D"/>
    <w:rsid w:val="001F6DBF"/>
    <w:rsid w:val="001F6E04"/>
    <w:rsid w:val="001F6E0E"/>
    <w:rsid w:val="001F6E25"/>
    <w:rsid w:val="001F701E"/>
    <w:rsid w:val="001F7117"/>
    <w:rsid w:val="001F722B"/>
    <w:rsid w:val="001F725B"/>
    <w:rsid w:val="001F73E6"/>
    <w:rsid w:val="001F7413"/>
    <w:rsid w:val="001F74D6"/>
    <w:rsid w:val="001F75EB"/>
    <w:rsid w:val="001F764F"/>
    <w:rsid w:val="001F7769"/>
    <w:rsid w:val="001F7815"/>
    <w:rsid w:val="001F78A4"/>
    <w:rsid w:val="001F7A2A"/>
    <w:rsid w:val="001F7A60"/>
    <w:rsid w:val="001F7CBE"/>
    <w:rsid w:val="001F7E2A"/>
    <w:rsid w:val="001F7FC8"/>
    <w:rsid w:val="0020002E"/>
    <w:rsid w:val="00200056"/>
    <w:rsid w:val="00200414"/>
    <w:rsid w:val="0020041C"/>
    <w:rsid w:val="0020041F"/>
    <w:rsid w:val="002004A8"/>
    <w:rsid w:val="0020051B"/>
    <w:rsid w:val="00200662"/>
    <w:rsid w:val="002006F2"/>
    <w:rsid w:val="00200746"/>
    <w:rsid w:val="002007E9"/>
    <w:rsid w:val="002009E8"/>
    <w:rsid w:val="00200B75"/>
    <w:rsid w:val="00200B9B"/>
    <w:rsid w:val="00200DB6"/>
    <w:rsid w:val="00201044"/>
    <w:rsid w:val="00201082"/>
    <w:rsid w:val="002010D8"/>
    <w:rsid w:val="00201579"/>
    <w:rsid w:val="002016A2"/>
    <w:rsid w:val="0020175C"/>
    <w:rsid w:val="002018C1"/>
    <w:rsid w:val="0020229D"/>
    <w:rsid w:val="002022DD"/>
    <w:rsid w:val="00202439"/>
    <w:rsid w:val="002024D4"/>
    <w:rsid w:val="00202634"/>
    <w:rsid w:val="0020274A"/>
    <w:rsid w:val="00202871"/>
    <w:rsid w:val="00202991"/>
    <w:rsid w:val="00202A69"/>
    <w:rsid w:val="00202A9E"/>
    <w:rsid w:val="00202AAE"/>
    <w:rsid w:val="00202BF2"/>
    <w:rsid w:val="00202D46"/>
    <w:rsid w:val="00202D9C"/>
    <w:rsid w:val="0020312D"/>
    <w:rsid w:val="00203157"/>
    <w:rsid w:val="00203272"/>
    <w:rsid w:val="0020335F"/>
    <w:rsid w:val="00203385"/>
    <w:rsid w:val="0020367F"/>
    <w:rsid w:val="0020371D"/>
    <w:rsid w:val="0020382E"/>
    <w:rsid w:val="002038A9"/>
    <w:rsid w:val="0020394B"/>
    <w:rsid w:val="00203A43"/>
    <w:rsid w:val="00203B87"/>
    <w:rsid w:val="00203D9B"/>
    <w:rsid w:val="00203F79"/>
    <w:rsid w:val="00204131"/>
    <w:rsid w:val="00204318"/>
    <w:rsid w:val="00204461"/>
    <w:rsid w:val="002044DB"/>
    <w:rsid w:val="00204546"/>
    <w:rsid w:val="00204552"/>
    <w:rsid w:val="002047A0"/>
    <w:rsid w:val="002048B1"/>
    <w:rsid w:val="00204A07"/>
    <w:rsid w:val="00204A20"/>
    <w:rsid w:val="00204BFC"/>
    <w:rsid w:val="00204CE3"/>
    <w:rsid w:val="00204ECF"/>
    <w:rsid w:val="00204EEA"/>
    <w:rsid w:val="00205204"/>
    <w:rsid w:val="00205245"/>
    <w:rsid w:val="002055B1"/>
    <w:rsid w:val="002055E8"/>
    <w:rsid w:val="00205680"/>
    <w:rsid w:val="00205915"/>
    <w:rsid w:val="00205A02"/>
    <w:rsid w:val="00205A69"/>
    <w:rsid w:val="00205B2E"/>
    <w:rsid w:val="00205B76"/>
    <w:rsid w:val="00205CFC"/>
    <w:rsid w:val="00205D61"/>
    <w:rsid w:val="00205D63"/>
    <w:rsid w:val="00205E21"/>
    <w:rsid w:val="00206215"/>
    <w:rsid w:val="0020634F"/>
    <w:rsid w:val="0020646E"/>
    <w:rsid w:val="00206674"/>
    <w:rsid w:val="00206755"/>
    <w:rsid w:val="00206827"/>
    <w:rsid w:val="00206AAF"/>
    <w:rsid w:val="00206C1C"/>
    <w:rsid w:val="00206CC6"/>
    <w:rsid w:val="00206D5C"/>
    <w:rsid w:val="00206F58"/>
    <w:rsid w:val="00206F98"/>
    <w:rsid w:val="0020708B"/>
    <w:rsid w:val="00207105"/>
    <w:rsid w:val="002071E0"/>
    <w:rsid w:val="0020741A"/>
    <w:rsid w:val="002077C3"/>
    <w:rsid w:val="00207869"/>
    <w:rsid w:val="0020793A"/>
    <w:rsid w:val="00207AD8"/>
    <w:rsid w:val="00207C28"/>
    <w:rsid w:val="00207E16"/>
    <w:rsid w:val="00207FE5"/>
    <w:rsid w:val="002100C2"/>
    <w:rsid w:val="00210142"/>
    <w:rsid w:val="002101BA"/>
    <w:rsid w:val="002101F5"/>
    <w:rsid w:val="002102C9"/>
    <w:rsid w:val="002104E9"/>
    <w:rsid w:val="00210600"/>
    <w:rsid w:val="002106B1"/>
    <w:rsid w:val="00210878"/>
    <w:rsid w:val="002109AC"/>
    <w:rsid w:val="00210D2C"/>
    <w:rsid w:val="00210D65"/>
    <w:rsid w:val="00210DA6"/>
    <w:rsid w:val="00210EA5"/>
    <w:rsid w:val="00210F45"/>
    <w:rsid w:val="00211225"/>
    <w:rsid w:val="00211242"/>
    <w:rsid w:val="00211539"/>
    <w:rsid w:val="0021176C"/>
    <w:rsid w:val="00211881"/>
    <w:rsid w:val="0021195D"/>
    <w:rsid w:val="0021197C"/>
    <w:rsid w:val="00211C03"/>
    <w:rsid w:val="00211C9C"/>
    <w:rsid w:val="00211D58"/>
    <w:rsid w:val="00211D8B"/>
    <w:rsid w:val="00211E91"/>
    <w:rsid w:val="00211F32"/>
    <w:rsid w:val="0021205A"/>
    <w:rsid w:val="0021228C"/>
    <w:rsid w:val="002122CD"/>
    <w:rsid w:val="00212377"/>
    <w:rsid w:val="002123EE"/>
    <w:rsid w:val="002126AB"/>
    <w:rsid w:val="00212A2F"/>
    <w:rsid w:val="00212E11"/>
    <w:rsid w:val="00212E8F"/>
    <w:rsid w:val="00212F76"/>
    <w:rsid w:val="00212FBA"/>
    <w:rsid w:val="00213104"/>
    <w:rsid w:val="002133AE"/>
    <w:rsid w:val="002134A1"/>
    <w:rsid w:val="00213774"/>
    <w:rsid w:val="002137D6"/>
    <w:rsid w:val="00213880"/>
    <w:rsid w:val="00213953"/>
    <w:rsid w:val="00213A1A"/>
    <w:rsid w:val="00213BBB"/>
    <w:rsid w:val="00213C17"/>
    <w:rsid w:val="00213D1A"/>
    <w:rsid w:val="00213DB1"/>
    <w:rsid w:val="00213EB8"/>
    <w:rsid w:val="00214051"/>
    <w:rsid w:val="002140E5"/>
    <w:rsid w:val="002140F4"/>
    <w:rsid w:val="002141A9"/>
    <w:rsid w:val="002142C6"/>
    <w:rsid w:val="00214425"/>
    <w:rsid w:val="0021456C"/>
    <w:rsid w:val="002145C5"/>
    <w:rsid w:val="0021483E"/>
    <w:rsid w:val="00214A72"/>
    <w:rsid w:val="00214C56"/>
    <w:rsid w:val="00214D3F"/>
    <w:rsid w:val="00214DD6"/>
    <w:rsid w:val="0021510E"/>
    <w:rsid w:val="0021511B"/>
    <w:rsid w:val="0021519C"/>
    <w:rsid w:val="00215207"/>
    <w:rsid w:val="00215213"/>
    <w:rsid w:val="00215234"/>
    <w:rsid w:val="002152C1"/>
    <w:rsid w:val="0021543C"/>
    <w:rsid w:val="002156A7"/>
    <w:rsid w:val="0021573F"/>
    <w:rsid w:val="00215778"/>
    <w:rsid w:val="00215A77"/>
    <w:rsid w:val="00215BDC"/>
    <w:rsid w:val="0021609B"/>
    <w:rsid w:val="002160ED"/>
    <w:rsid w:val="002162FA"/>
    <w:rsid w:val="00216373"/>
    <w:rsid w:val="0021668F"/>
    <w:rsid w:val="00216736"/>
    <w:rsid w:val="00216740"/>
    <w:rsid w:val="00216777"/>
    <w:rsid w:val="00216858"/>
    <w:rsid w:val="00216A11"/>
    <w:rsid w:val="00216C3E"/>
    <w:rsid w:val="00216D67"/>
    <w:rsid w:val="00216DE0"/>
    <w:rsid w:val="00216E2F"/>
    <w:rsid w:val="00216EAF"/>
    <w:rsid w:val="00216FC5"/>
    <w:rsid w:val="00216FFE"/>
    <w:rsid w:val="002170A6"/>
    <w:rsid w:val="0021711D"/>
    <w:rsid w:val="00217317"/>
    <w:rsid w:val="00217320"/>
    <w:rsid w:val="0021735B"/>
    <w:rsid w:val="002175B0"/>
    <w:rsid w:val="0021763B"/>
    <w:rsid w:val="0021766D"/>
    <w:rsid w:val="0021770F"/>
    <w:rsid w:val="002179A1"/>
    <w:rsid w:val="00217A5F"/>
    <w:rsid w:val="00217B19"/>
    <w:rsid w:val="00217DA3"/>
    <w:rsid w:val="0022010C"/>
    <w:rsid w:val="0022019C"/>
    <w:rsid w:val="00220217"/>
    <w:rsid w:val="0022027E"/>
    <w:rsid w:val="002202E1"/>
    <w:rsid w:val="00220394"/>
    <w:rsid w:val="002204FC"/>
    <w:rsid w:val="00220571"/>
    <w:rsid w:val="0022061B"/>
    <w:rsid w:val="002207C4"/>
    <w:rsid w:val="002208E9"/>
    <w:rsid w:val="00220AE6"/>
    <w:rsid w:val="00220B2A"/>
    <w:rsid w:val="00220C6D"/>
    <w:rsid w:val="00220DCD"/>
    <w:rsid w:val="00220E1E"/>
    <w:rsid w:val="00220F90"/>
    <w:rsid w:val="00220F94"/>
    <w:rsid w:val="0022111C"/>
    <w:rsid w:val="0022112C"/>
    <w:rsid w:val="00221205"/>
    <w:rsid w:val="00221263"/>
    <w:rsid w:val="002213AE"/>
    <w:rsid w:val="00221427"/>
    <w:rsid w:val="0022147A"/>
    <w:rsid w:val="002214EC"/>
    <w:rsid w:val="00221642"/>
    <w:rsid w:val="002216C0"/>
    <w:rsid w:val="002216F4"/>
    <w:rsid w:val="002217BE"/>
    <w:rsid w:val="00221894"/>
    <w:rsid w:val="002218DA"/>
    <w:rsid w:val="00221A82"/>
    <w:rsid w:val="00221CB9"/>
    <w:rsid w:val="00221D10"/>
    <w:rsid w:val="00221D59"/>
    <w:rsid w:val="00221FF5"/>
    <w:rsid w:val="0022221F"/>
    <w:rsid w:val="002222ED"/>
    <w:rsid w:val="00222614"/>
    <w:rsid w:val="002227D4"/>
    <w:rsid w:val="00222B2C"/>
    <w:rsid w:val="00222C11"/>
    <w:rsid w:val="00222E8B"/>
    <w:rsid w:val="00222F3A"/>
    <w:rsid w:val="00222FB9"/>
    <w:rsid w:val="002230CC"/>
    <w:rsid w:val="00223314"/>
    <w:rsid w:val="002233F9"/>
    <w:rsid w:val="002234F8"/>
    <w:rsid w:val="00223635"/>
    <w:rsid w:val="002237F1"/>
    <w:rsid w:val="00223802"/>
    <w:rsid w:val="00223AEF"/>
    <w:rsid w:val="00223BDC"/>
    <w:rsid w:val="00223C12"/>
    <w:rsid w:val="00223CFC"/>
    <w:rsid w:val="00223D14"/>
    <w:rsid w:val="00223D6D"/>
    <w:rsid w:val="00223E84"/>
    <w:rsid w:val="00223ED5"/>
    <w:rsid w:val="00223F5C"/>
    <w:rsid w:val="002240EE"/>
    <w:rsid w:val="0022419C"/>
    <w:rsid w:val="0022429B"/>
    <w:rsid w:val="00224455"/>
    <w:rsid w:val="00224565"/>
    <w:rsid w:val="002245A2"/>
    <w:rsid w:val="002245C7"/>
    <w:rsid w:val="002245D8"/>
    <w:rsid w:val="00224831"/>
    <w:rsid w:val="0022494B"/>
    <w:rsid w:val="00224B8A"/>
    <w:rsid w:val="00224BBB"/>
    <w:rsid w:val="00224C26"/>
    <w:rsid w:val="00224CB0"/>
    <w:rsid w:val="00224CEB"/>
    <w:rsid w:val="00224D26"/>
    <w:rsid w:val="00224D49"/>
    <w:rsid w:val="00224F49"/>
    <w:rsid w:val="00224F80"/>
    <w:rsid w:val="0022564B"/>
    <w:rsid w:val="0022574D"/>
    <w:rsid w:val="00225A05"/>
    <w:rsid w:val="00225B3C"/>
    <w:rsid w:val="00225C34"/>
    <w:rsid w:val="00225DE3"/>
    <w:rsid w:val="00225E7C"/>
    <w:rsid w:val="00225F8E"/>
    <w:rsid w:val="00225FBD"/>
    <w:rsid w:val="0022606F"/>
    <w:rsid w:val="00226124"/>
    <w:rsid w:val="00226551"/>
    <w:rsid w:val="00226582"/>
    <w:rsid w:val="002266A9"/>
    <w:rsid w:val="00226833"/>
    <w:rsid w:val="0022686D"/>
    <w:rsid w:val="00226979"/>
    <w:rsid w:val="00226A0D"/>
    <w:rsid w:val="00226AAF"/>
    <w:rsid w:val="00226C4E"/>
    <w:rsid w:val="00226C55"/>
    <w:rsid w:val="00226FCC"/>
    <w:rsid w:val="002271B0"/>
    <w:rsid w:val="002271E3"/>
    <w:rsid w:val="00227211"/>
    <w:rsid w:val="00227237"/>
    <w:rsid w:val="0022739F"/>
    <w:rsid w:val="002274F1"/>
    <w:rsid w:val="00227592"/>
    <w:rsid w:val="0022780D"/>
    <w:rsid w:val="00227857"/>
    <w:rsid w:val="00227860"/>
    <w:rsid w:val="0022786F"/>
    <w:rsid w:val="00227B4B"/>
    <w:rsid w:val="00227D0E"/>
    <w:rsid w:val="00227D25"/>
    <w:rsid w:val="00227E23"/>
    <w:rsid w:val="002300A7"/>
    <w:rsid w:val="00230166"/>
    <w:rsid w:val="0023019A"/>
    <w:rsid w:val="00230396"/>
    <w:rsid w:val="00230598"/>
    <w:rsid w:val="00230648"/>
    <w:rsid w:val="00230782"/>
    <w:rsid w:val="00230BA5"/>
    <w:rsid w:val="00230DD5"/>
    <w:rsid w:val="00230DF8"/>
    <w:rsid w:val="00230FE5"/>
    <w:rsid w:val="00231007"/>
    <w:rsid w:val="002310D5"/>
    <w:rsid w:val="002311A9"/>
    <w:rsid w:val="0023126D"/>
    <w:rsid w:val="0023127F"/>
    <w:rsid w:val="002312AD"/>
    <w:rsid w:val="00231300"/>
    <w:rsid w:val="0023149A"/>
    <w:rsid w:val="002316E7"/>
    <w:rsid w:val="002318C3"/>
    <w:rsid w:val="002318F1"/>
    <w:rsid w:val="002319D0"/>
    <w:rsid w:val="002319E5"/>
    <w:rsid w:val="00231A22"/>
    <w:rsid w:val="00231BB2"/>
    <w:rsid w:val="00231BC5"/>
    <w:rsid w:val="00231CBA"/>
    <w:rsid w:val="00231D35"/>
    <w:rsid w:val="00231E0A"/>
    <w:rsid w:val="00231F93"/>
    <w:rsid w:val="002320F6"/>
    <w:rsid w:val="00232185"/>
    <w:rsid w:val="002321D5"/>
    <w:rsid w:val="00232205"/>
    <w:rsid w:val="0023248C"/>
    <w:rsid w:val="0023254A"/>
    <w:rsid w:val="0023271D"/>
    <w:rsid w:val="00232785"/>
    <w:rsid w:val="0023291B"/>
    <w:rsid w:val="00232A73"/>
    <w:rsid w:val="00232B14"/>
    <w:rsid w:val="00232D9C"/>
    <w:rsid w:val="0023301C"/>
    <w:rsid w:val="002330A1"/>
    <w:rsid w:val="00233198"/>
    <w:rsid w:val="002333CE"/>
    <w:rsid w:val="002336E3"/>
    <w:rsid w:val="00233741"/>
    <w:rsid w:val="00233A15"/>
    <w:rsid w:val="00233A32"/>
    <w:rsid w:val="00233B70"/>
    <w:rsid w:val="00233CFC"/>
    <w:rsid w:val="00233D08"/>
    <w:rsid w:val="00233DE3"/>
    <w:rsid w:val="00233F3D"/>
    <w:rsid w:val="00233FA1"/>
    <w:rsid w:val="002342B3"/>
    <w:rsid w:val="00234328"/>
    <w:rsid w:val="00234403"/>
    <w:rsid w:val="00234560"/>
    <w:rsid w:val="0023460C"/>
    <w:rsid w:val="00234723"/>
    <w:rsid w:val="00234790"/>
    <w:rsid w:val="00234B90"/>
    <w:rsid w:val="00234E27"/>
    <w:rsid w:val="00234E2C"/>
    <w:rsid w:val="00234E98"/>
    <w:rsid w:val="00234F32"/>
    <w:rsid w:val="00234F9A"/>
    <w:rsid w:val="0023510E"/>
    <w:rsid w:val="00235194"/>
    <w:rsid w:val="00235197"/>
    <w:rsid w:val="002351E2"/>
    <w:rsid w:val="0023533C"/>
    <w:rsid w:val="002353A5"/>
    <w:rsid w:val="0023554C"/>
    <w:rsid w:val="002356D5"/>
    <w:rsid w:val="002358B9"/>
    <w:rsid w:val="002358C1"/>
    <w:rsid w:val="0023592A"/>
    <w:rsid w:val="00235AF9"/>
    <w:rsid w:val="00235B34"/>
    <w:rsid w:val="00235CCD"/>
    <w:rsid w:val="00235F77"/>
    <w:rsid w:val="0023647B"/>
    <w:rsid w:val="00236655"/>
    <w:rsid w:val="00236671"/>
    <w:rsid w:val="00236703"/>
    <w:rsid w:val="00236760"/>
    <w:rsid w:val="002367CD"/>
    <w:rsid w:val="002369CA"/>
    <w:rsid w:val="00236A61"/>
    <w:rsid w:val="00236A70"/>
    <w:rsid w:val="00236B1A"/>
    <w:rsid w:val="00236F03"/>
    <w:rsid w:val="00237048"/>
    <w:rsid w:val="002371EF"/>
    <w:rsid w:val="0023722D"/>
    <w:rsid w:val="002372B9"/>
    <w:rsid w:val="002372BB"/>
    <w:rsid w:val="002373FB"/>
    <w:rsid w:val="0023740C"/>
    <w:rsid w:val="002375D2"/>
    <w:rsid w:val="002375FD"/>
    <w:rsid w:val="002376EE"/>
    <w:rsid w:val="00237726"/>
    <w:rsid w:val="0023772D"/>
    <w:rsid w:val="00237A3E"/>
    <w:rsid w:val="00237CF9"/>
    <w:rsid w:val="00237D47"/>
    <w:rsid w:val="00237ED6"/>
    <w:rsid w:val="00237F2B"/>
    <w:rsid w:val="00237FDC"/>
    <w:rsid w:val="00237FE6"/>
    <w:rsid w:val="00240055"/>
    <w:rsid w:val="002403C7"/>
    <w:rsid w:val="002405C2"/>
    <w:rsid w:val="002405C3"/>
    <w:rsid w:val="002407FF"/>
    <w:rsid w:val="00240812"/>
    <w:rsid w:val="00240A9C"/>
    <w:rsid w:val="00240D48"/>
    <w:rsid w:val="00240F5B"/>
    <w:rsid w:val="0024103B"/>
    <w:rsid w:val="0024103C"/>
    <w:rsid w:val="00241047"/>
    <w:rsid w:val="00241081"/>
    <w:rsid w:val="0024116F"/>
    <w:rsid w:val="002411D4"/>
    <w:rsid w:val="00241366"/>
    <w:rsid w:val="002414AB"/>
    <w:rsid w:val="002414EA"/>
    <w:rsid w:val="0024162A"/>
    <w:rsid w:val="002417C1"/>
    <w:rsid w:val="00241807"/>
    <w:rsid w:val="00241A7A"/>
    <w:rsid w:val="00241C26"/>
    <w:rsid w:val="00241DF8"/>
    <w:rsid w:val="00242014"/>
    <w:rsid w:val="0024212E"/>
    <w:rsid w:val="0024218D"/>
    <w:rsid w:val="00242236"/>
    <w:rsid w:val="0024225A"/>
    <w:rsid w:val="002422C0"/>
    <w:rsid w:val="002422F0"/>
    <w:rsid w:val="0024244E"/>
    <w:rsid w:val="0024256B"/>
    <w:rsid w:val="00242684"/>
    <w:rsid w:val="0024269E"/>
    <w:rsid w:val="002426B4"/>
    <w:rsid w:val="002427BC"/>
    <w:rsid w:val="002429EE"/>
    <w:rsid w:val="00242B03"/>
    <w:rsid w:val="00242B1A"/>
    <w:rsid w:val="00242D82"/>
    <w:rsid w:val="00242D89"/>
    <w:rsid w:val="00242E77"/>
    <w:rsid w:val="00242F47"/>
    <w:rsid w:val="00242FAC"/>
    <w:rsid w:val="00243296"/>
    <w:rsid w:val="00243430"/>
    <w:rsid w:val="0024343D"/>
    <w:rsid w:val="00243818"/>
    <w:rsid w:val="00243937"/>
    <w:rsid w:val="00243A1A"/>
    <w:rsid w:val="00243A64"/>
    <w:rsid w:val="00243AD4"/>
    <w:rsid w:val="00243BC8"/>
    <w:rsid w:val="00243C00"/>
    <w:rsid w:val="00243D4D"/>
    <w:rsid w:val="00243EAF"/>
    <w:rsid w:val="00244028"/>
    <w:rsid w:val="002440E8"/>
    <w:rsid w:val="002441C2"/>
    <w:rsid w:val="00244217"/>
    <w:rsid w:val="00244585"/>
    <w:rsid w:val="0024470E"/>
    <w:rsid w:val="002448BA"/>
    <w:rsid w:val="00244957"/>
    <w:rsid w:val="00244A0A"/>
    <w:rsid w:val="00244B07"/>
    <w:rsid w:val="00244B58"/>
    <w:rsid w:val="00244B6B"/>
    <w:rsid w:val="00244B77"/>
    <w:rsid w:val="00244C15"/>
    <w:rsid w:val="00244C85"/>
    <w:rsid w:val="00244E1F"/>
    <w:rsid w:val="00244E54"/>
    <w:rsid w:val="00244FA4"/>
    <w:rsid w:val="00245133"/>
    <w:rsid w:val="002457FB"/>
    <w:rsid w:val="00245847"/>
    <w:rsid w:val="00245A66"/>
    <w:rsid w:val="00245B7A"/>
    <w:rsid w:val="00245BBD"/>
    <w:rsid w:val="00245DC9"/>
    <w:rsid w:val="00245F86"/>
    <w:rsid w:val="00245FF9"/>
    <w:rsid w:val="0024607C"/>
    <w:rsid w:val="00246258"/>
    <w:rsid w:val="00246392"/>
    <w:rsid w:val="002464B0"/>
    <w:rsid w:val="002464F0"/>
    <w:rsid w:val="00246776"/>
    <w:rsid w:val="002467D6"/>
    <w:rsid w:val="002467DE"/>
    <w:rsid w:val="00246885"/>
    <w:rsid w:val="002468E6"/>
    <w:rsid w:val="002469B9"/>
    <w:rsid w:val="00246B03"/>
    <w:rsid w:val="00246C98"/>
    <w:rsid w:val="00246D0B"/>
    <w:rsid w:val="00246D90"/>
    <w:rsid w:val="00246DD0"/>
    <w:rsid w:val="00246E44"/>
    <w:rsid w:val="00246E80"/>
    <w:rsid w:val="00246EE5"/>
    <w:rsid w:val="002472AA"/>
    <w:rsid w:val="002476F6"/>
    <w:rsid w:val="002478B1"/>
    <w:rsid w:val="002479C3"/>
    <w:rsid w:val="00247B30"/>
    <w:rsid w:val="00247C4E"/>
    <w:rsid w:val="00247E2D"/>
    <w:rsid w:val="00247EDA"/>
    <w:rsid w:val="00247F36"/>
    <w:rsid w:val="00247F98"/>
    <w:rsid w:val="0025018C"/>
    <w:rsid w:val="002503BB"/>
    <w:rsid w:val="002505E1"/>
    <w:rsid w:val="002506AA"/>
    <w:rsid w:val="002509EA"/>
    <w:rsid w:val="00250E71"/>
    <w:rsid w:val="0025101C"/>
    <w:rsid w:val="0025104A"/>
    <w:rsid w:val="0025104E"/>
    <w:rsid w:val="002511BD"/>
    <w:rsid w:val="002511ED"/>
    <w:rsid w:val="00251389"/>
    <w:rsid w:val="002513EB"/>
    <w:rsid w:val="00251469"/>
    <w:rsid w:val="00251525"/>
    <w:rsid w:val="0025156D"/>
    <w:rsid w:val="00251619"/>
    <w:rsid w:val="002516DC"/>
    <w:rsid w:val="0025178A"/>
    <w:rsid w:val="0025183F"/>
    <w:rsid w:val="002518A7"/>
    <w:rsid w:val="00251905"/>
    <w:rsid w:val="002519DD"/>
    <w:rsid w:val="00251A25"/>
    <w:rsid w:val="00251C31"/>
    <w:rsid w:val="00251D27"/>
    <w:rsid w:val="00251D58"/>
    <w:rsid w:val="00251D5D"/>
    <w:rsid w:val="00252074"/>
    <w:rsid w:val="002520A4"/>
    <w:rsid w:val="002523A7"/>
    <w:rsid w:val="00252465"/>
    <w:rsid w:val="00252580"/>
    <w:rsid w:val="002525C7"/>
    <w:rsid w:val="002526A9"/>
    <w:rsid w:val="00252742"/>
    <w:rsid w:val="002527F2"/>
    <w:rsid w:val="002528A3"/>
    <w:rsid w:val="0025294A"/>
    <w:rsid w:val="0025295C"/>
    <w:rsid w:val="00252B4E"/>
    <w:rsid w:val="00252D1C"/>
    <w:rsid w:val="00252D2B"/>
    <w:rsid w:val="00252D9C"/>
    <w:rsid w:val="00252DC9"/>
    <w:rsid w:val="00252FDD"/>
    <w:rsid w:val="00253061"/>
    <w:rsid w:val="00253067"/>
    <w:rsid w:val="002530E2"/>
    <w:rsid w:val="00253601"/>
    <w:rsid w:val="00253A11"/>
    <w:rsid w:val="00253C97"/>
    <w:rsid w:val="00253D5C"/>
    <w:rsid w:val="00253DA2"/>
    <w:rsid w:val="00253E95"/>
    <w:rsid w:val="00253F14"/>
    <w:rsid w:val="00253F54"/>
    <w:rsid w:val="002540BA"/>
    <w:rsid w:val="002543D2"/>
    <w:rsid w:val="002545E7"/>
    <w:rsid w:val="00254633"/>
    <w:rsid w:val="002549D9"/>
    <w:rsid w:val="0025500B"/>
    <w:rsid w:val="002550BB"/>
    <w:rsid w:val="002555AA"/>
    <w:rsid w:val="00255617"/>
    <w:rsid w:val="00255836"/>
    <w:rsid w:val="00255877"/>
    <w:rsid w:val="00255B1F"/>
    <w:rsid w:val="00255B2C"/>
    <w:rsid w:val="00255B97"/>
    <w:rsid w:val="00255C4C"/>
    <w:rsid w:val="00255C65"/>
    <w:rsid w:val="00255D81"/>
    <w:rsid w:val="00255F77"/>
    <w:rsid w:val="00256069"/>
    <w:rsid w:val="002561D5"/>
    <w:rsid w:val="002562E1"/>
    <w:rsid w:val="00256362"/>
    <w:rsid w:val="002565B6"/>
    <w:rsid w:val="00256664"/>
    <w:rsid w:val="0025687D"/>
    <w:rsid w:val="00256B39"/>
    <w:rsid w:val="00256C7F"/>
    <w:rsid w:val="0025704E"/>
    <w:rsid w:val="00257085"/>
    <w:rsid w:val="0025716A"/>
    <w:rsid w:val="002576BF"/>
    <w:rsid w:val="0025788A"/>
    <w:rsid w:val="00257AF0"/>
    <w:rsid w:val="00257CDF"/>
    <w:rsid w:val="00257CEA"/>
    <w:rsid w:val="00257CF2"/>
    <w:rsid w:val="00257EB1"/>
    <w:rsid w:val="00260051"/>
    <w:rsid w:val="0026009D"/>
    <w:rsid w:val="002600BD"/>
    <w:rsid w:val="0026051F"/>
    <w:rsid w:val="00260568"/>
    <w:rsid w:val="0026062E"/>
    <w:rsid w:val="0026068F"/>
    <w:rsid w:val="0026073D"/>
    <w:rsid w:val="002609BF"/>
    <w:rsid w:val="00260C76"/>
    <w:rsid w:val="00260E5A"/>
    <w:rsid w:val="002610BD"/>
    <w:rsid w:val="0026111C"/>
    <w:rsid w:val="0026128B"/>
    <w:rsid w:val="002612CF"/>
    <w:rsid w:val="0026132A"/>
    <w:rsid w:val="002613C5"/>
    <w:rsid w:val="00261591"/>
    <w:rsid w:val="002615FC"/>
    <w:rsid w:val="0026173E"/>
    <w:rsid w:val="00261799"/>
    <w:rsid w:val="0026184A"/>
    <w:rsid w:val="00261A27"/>
    <w:rsid w:val="00261D40"/>
    <w:rsid w:val="00261DCA"/>
    <w:rsid w:val="00261F6B"/>
    <w:rsid w:val="00262062"/>
    <w:rsid w:val="00262281"/>
    <w:rsid w:val="0026228C"/>
    <w:rsid w:val="00262533"/>
    <w:rsid w:val="002625FF"/>
    <w:rsid w:val="00262667"/>
    <w:rsid w:val="00262741"/>
    <w:rsid w:val="00262797"/>
    <w:rsid w:val="002627A5"/>
    <w:rsid w:val="0026287C"/>
    <w:rsid w:val="002628F7"/>
    <w:rsid w:val="00262950"/>
    <w:rsid w:val="002629ED"/>
    <w:rsid w:val="00262BA5"/>
    <w:rsid w:val="00262BD4"/>
    <w:rsid w:val="00262E67"/>
    <w:rsid w:val="00263094"/>
    <w:rsid w:val="002630A7"/>
    <w:rsid w:val="00263354"/>
    <w:rsid w:val="00263687"/>
    <w:rsid w:val="002638A2"/>
    <w:rsid w:val="00263E68"/>
    <w:rsid w:val="00264074"/>
    <w:rsid w:val="002642D4"/>
    <w:rsid w:val="00264387"/>
    <w:rsid w:val="00264820"/>
    <w:rsid w:val="00264B03"/>
    <w:rsid w:val="00264C6B"/>
    <w:rsid w:val="00264CA7"/>
    <w:rsid w:val="00264E43"/>
    <w:rsid w:val="00264F86"/>
    <w:rsid w:val="00265084"/>
    <w:rsid w:val="0026519B"/>
    <w:rsid w:val="0026520F"/>
    <w:rsid w:val="00265255"/>
    <w:rsid w:val="002652EE"/>
    <w:rsid w:val="00265949"/>
    <w:rsid w:val="00265C57"/>
    <w:rsid w:val="00265CE0"/>
    <w:rsid w:val="00265EFE"/>
    <w:rsid w:val="002660A2"/>
    <w:rsid w:val="002660C1"/>
    <w:rsid w:val="002661E3"/>
    <w:rsid w:val="002663A5"/>
    <w:rsid w:val="002664AE"/>
    <w:rsid w:val="00266543"/>
    <w:rsid w:val="002667A3"/>
    <w:rsid w:val="00266CED"/>
    <w:rsid w:val="0026722E"/>
    <w:rsid w:val="0026725B"/>
    <w:rsid w:val="00267311"/>
    <w:rsid w:val="0026747C"/>
    <w:rsid w:val="00267570"/>
    <w:rsid w:val="002675A8"/>
    <w:rsid w:val="002676C0"/>
    <w:rsid w:val="00267785"/>
    <w:rsid w:val="00267803"/>
    <w:rsid w:val="00267B16"/>
    <w:rsid w:val="00267B6C"/>
    <w:rsid w:val="00267E65"/>
    <w:rsid w:val="002702A2"/>
    <w:rsid w:val="0027035C"/>
    <w:rsid w:val="0027049F"/>
    <w:rsid w:val="002704AE"/>
    <w:rsid w:val="002706B5"/>
    <w:rsid w:val="00270B26"/>
    <w:rsid w:val="00270B93"/>
    <w:rsid w:val="00270C32"/>
    <w:rsid w:val="00270DAD"/>
    <w:rsid w:val="00270F69"/>
    <w:rsid w:val="00271069"/>
    <w:rsid w:val="00271284"/>
    <w:rsid w:val="00271379"/>
    <w:rsid w:val="00271400"/>
    <w:rsid w:val="0027156A"/>
    <w:rsid w:val="00271689"/>
    <w:rsid w:val="0027179F"/>
    <w:rsid w:val="0027191D"/>
    <w:rsid w:val="00271936"/>
    <w:rsid w:val="0027197F"/>
    <w:rsid w:val="0027198F"/>
    <w:rsid w:val="00271990"/>
    <w:rsid w:val="00271DB8"/>
    <w:rsid w:val="00272061"/>
    <w:rsid w:val="00272301"/>
    <w:rsid w:val="002724F0"/>
    <w:rsid w:val="0027255D"/>
    <w:rsid w:val="00272619"/>
    <w:rsid w:val="002726C5"/>
    <w:rsid w:val="0027271A"/>
    <w:rsid w:val="0027274C"/>
    <w:rsid w:val="0027280D"/>
    <w:rsid w:val="00272897"/>
    <w:rsid w:val="0027289D"/>
    <w:rsid w:val="002729CD"/>
    <w:rsid w:val="00272B8B"/>
    <w:rsid w:val="00272F58"/>
    <w:rsid w:val="00273030"/>
    <w:rsid w:val="002730C5"/>
    <w:rsid w:val="002731E4"/>
    <w:rsid w:val="002735A5"/>
    <w:rsid w:val="002737A7"/>
    <w:rsid w:val="002738D5"/>
    <w:rsid w:val="00273FB4"/>
    <w:rsid w:val="00273FF7"/>
    <w:rsid w:val="00274002"/>
    <w:rsid w:val="002741F0"/>
    <w:rsid w:val="00274232"/>
    <w:rsid w:val="002744B1"/>
    <w:rsid w:val="0027457B"/>
    <w:rsid w:val="00274659"/>
    <w:rsid w:val="002746C9"/>
    <w:rsid w:val="0027483D"/>
    <w:rsid w:val="0027492E"/>
    <w:rsid w:val="00274AA5"/>
    <w:rsid w:val="00274BB1"/>
    <w:rsid w:val="00274D7F"/>
    <w:rsid w:val="00274ED8"/>
    <w:rsid w:val="00274F87"/>
    <w:rsid w:val="002751B6"/>
    <w:rsid w:val="0027543B"/>
    <w:rsid w:val="00275768"/>
    <w:rsid w:val="002758B7"/>
    <w:rsid w:val="002758C2"/>
    <w:rsid w:val="0027597C"/>
    <w:rsid w:val="00275C32"/>
    <w:rsid w:val="00275C46"/>
    <w:rsid w:val="00275D5F"/>
    <w:rsid w:val="00275D6E"/>
    <w:rsid w:val="00275E5A"/>
    <w:rsid w:val="00275EC9"/>
    <w:rsid w:val="00275F48"/>
    <w:rsid w:val="00275F62"/>
    <w:rsid w:val="00276007"/>
    <w:rsid w:val="00276017"/>
    <w:rsid w:val="00276291"/>
    <w:rsid w:val="0027643F"/>
    <w:rsid w:val="00276698"/>
    <w:rsid w:val="002767EB"/>
    <w:rsid w:val="002768FA"/>
    <w:rsid w:val="00276AA1"/>
    <w:rsid w:val="00276AA2"/>
    <w:rsid w:val="00276B2E"/>
    <w:rsid w:val="00276C08"/>
    <w:rsid w:val="00276D38"/>
    <w:rsid w:val="00276E76"/>
    <w:rsid w:val="00276E7E"/>
    <w:rsid w:val="00276E8C"/>
    <w:rsid w:val="00276F61"/>
    <w:rsid w:val="00277424"/>
    <w:rsid w:val="002774E5"/>
    <w:rsid w:val="002774EA"/>
    <w:rsid w:val="002775BC"/>
    <w:rsid w:val="002775CB"/>
    <w:rsid w:val="002775DC"/>
    <w:rsid w:val="00277718"/>
    <w:rsid w:val="0027780A"/>
    <w:rsid w:val="002778E1"/>
    <w:rsid w:val="002778FA"/>
    <w:rsid w:val="0027799B"/>
    <w:rsid w:val="00277AF3"/>
    <w:rsid w:val="00277BD3"/>
    <w:rsid w:val="00277C9B"/>
    <w:rsid w:val="00277D3A"/>
    <w:rsid w:val="00277D7F"/>
    <w:rsid w:val="00277DFD"/>
    <w:rsid w:val="00277EFB"/>
    <w:rsid w:val="00277F92"/>
    <w:rsid w:val="0028001B"/>
    <w:rsid w:val="0028018C"/>
    <w:rsid w:val="00280473"/>
    <w:rsid w:val="002805D1"/>
    <w:rsid w:val="0028063A"/>
    <w:rsid w:val="00280767"/>
    <w:rsid w:val="0028077E"/>
    <w:rsid w:val="00280820"/>
    <w:rsid w:val="002809EF"/>
    <w:rsid w:val="00280A9F"/>
    <w:rsid w:val="00280C76"/>
    <w:rsid w:val="00280CEF"/>
    <w:rsid w:val="00280FA4"/>
    <w:rsid w:val="00281098"/>
    <w:rsid w:val="00281170"/>
    <w:rsid w:val="00281269"/>
    <w:rsid w:val="002812E1"/>
    <w:rsid w:val="00281366"/>
    <w:rsid w:val="002813B0"/>
    <w:rsid w:val="002813EB"/>
    <w:rsid w:val="00281419"/>
    <w:rsid w:val="0028157C"/>
    <w:rsid w:val="002815EF"/>
    <w:rsid w:val="0028173D"/>
    <w:rsid w:val="002818ED"/>
    <w:rsid w:val="00281B54"/>
    <w:rsid w:val="00281D88"/>
    <w:rsid w:val="00281F83"/>
    <w:rsid w:val="00282016"/>
    <w:rsid w:val="0028209C"/>
    <w:rsid w:val="00282271"/>
    <w:rsid w:val="00282307"/>
    <w:rsid w:val="002823E6"/>
    <w:rsid w:val="00282405"/>
    <w:rsid w:val="00282416"/>
    <w:rsid w:val="002824A0"/>
    <w:rsid w:val="0028252D"/>
    <w:rsid w:val="002825EE"/>
    <w:rsid w:val="0028266F"/>
    <w:rsid w:val="002826B7"/>
    <w:rsid w:val="00282733"/>
    <w:rsid w:val="00282745"/>
    <w:rsid w:val="0028280E"/>
    <w:rsid w:val="00282B5F"/>
    <w:rsid w:val="00282D6B"/>
    <w:rsid w:val="00282E69"/>
    <w:rsid w:val="00282EB0"/>
    <w:rsid w:val="00282EDD"/>
    <w:rsid w:val="00282F4A"/>
    <w:rsid w:val="00282F6F"/>
    <w:rsid w:val="00283056"/>
    <w:rsid w:val="002832F2"/>
    <w:rsid w:val="002833D7"/>
    <w:rsid w:val="002834BF"/>
    <w:rsid w:val="0028358C"/>
    <w:rsid w:val="002835C5"/>
    <w:rsid w:val="002835E2"/>
    <w:rsid w:val="002835E4"/>
    <w:rsid w:val="00283620"/>
    <w:rsid w:val="002838C5"/>
    <w:rsid w:val="00283A28"/>
    <w:rsid w:val="00283DE2"/>
    <w:rsid w:val="00283E90"/>
    <w:rsid w:val="00283EFC"/>
    <w:rsid w:val="00283FD0"/>
    <w:rsid w:val="00283FD3"/>
    <w:rsid w:val="00284151"/>
    <w:rsid w:val="002841D5"/>
    <w:rsid w:val="002842C2"/>
    <w:rsid w:val="00284549"/>
    <w:rsid w:val="00284945"/>
    <w:rsid w:val="00284A8E"/>
    <w:rsid w:val="00284AB9"/>
    <w:rsid w:val="00284BCD"/>
    <w:rsid w:val="00284C57"/>
    <w:rsid w:val="00284DE8"/>
    <w:rsid w:val="00284E08"/>
    <w:rsid w:val="00284E90"/>
    <w:rsid w:val="00284ED9"/>
    <w:rsid w:val="00284F61"/>
    <w:rsid w:val="00285091"/>
    <w:rsid w:val="00285698"/>
    <w:rsid w:val="00285788"/>
    <w:rsid w:val="00285837"/>
    <w:rsid w:val="00285865"/>
    <w:rsid w:val="00285873"/>
    <w:rsid w:val="00285903"/>
    <w:rsid w:val="00285B68"/>
    <w:rsid w:val="00285EA5"/>
    <w:rsid w:val="0028606B"/>
    <w:rsid w:val="002865D6"/>
    <w:rsid w:val="002868C2"/>
    <w:rsid w:val="002869A9"/>
    <w:rsid w:val="00286A71"/>
    <w:rsid w:val="00286AE3"/>
    <w:rsid w:val="00286D80"/>
    <w:rsid w:val="00286D81"/>
    <w:rsid w:val="00286E8C"/>
    <w:rsid w:val="00286EF2"/>
    <w:rsid w:val="002870F9"/>
    <w:rsid w:val="00287268"/>
    <w:rsid w:val="00287346"/>
    <w:rsid w:val="0028734E"/>
    <w:rsid w:val="00287359"/>
    <w:rsid w:val="00287589"/>
    <w:rsid w:val="0028760C"/>
    <w:rsid w:val="0028762E"/>
    <w:rsid w:val="0028769D"/>
    <w:rsid w:val="00287C28"/>
    <w:rsid w:val="00287D8E"/>
    <w:rsid w:val="00287F20"/>
    <w:rsid w:val="00287FC0"/>
    <w:rsid w:val="00287FE0"/>
    <w:rsid w:val="002900FB"/>
    <w:rsid w:val="002903B1"/>
    <w:rsid w:val="002905F1"/>
    <w:rsid w:val="002906A3"/>
    <w:rsid w:val="002906BE"/>
    <w:rsid w:val="002907E4"/>
    <w:rsid w:val="00290877"/>
    <w:rsid w:val="00290A52"/>
    <w:rsid w:val="00290B4D"/>
    <w:rsid w:val="00290BE7"/>
    <w:rsid w:val="00290EF9"/>
    <w:rsid w:val="0029100A"/>
    <w:rsid w:val="002910A2"/>
    <w:rsid w:val="0029112C"/>
    <w:rsid w:val="0029114B"/>
    <w:rsid w:val="00291188"/>
    <w:rsid w:val="002913A6"/>
    <w:rsid w:val="002913F5"/>
    <w:rsid w:val="0029185A"/>
    <w:rsid w:val="0029192C"/>
    <w:rsid w:val="00291A9E"/>
    <w:rsid w:val="00291AE9"/>
    <w:rsid w:val="00291D99"/>
    <w:rsid w:val="00291EC2"/>
    <w:rsid w:val="00291EEB"/>
    <w:rsid w:val="00291EFA"/>
    <w:rsid w:val="00291FE0"/>
    <w:rsid w:val="00291FF6"/>
    <w:rsid w:val="0029231B"/>
    <w:rsid w:val="0029235B"/>
    <w:rsid w:val="0029255B"/>
    <w:rsid w:val="00292814"/>
    <w:rsid w:val="002929F9"/>
    <w:rsid w:val="00292E33"/>
    <w:rsid w:val="00292F2A"/>
    <w:rsid w:val="00293426"/>
    <w:rsid w:val="00293582"/>
    <w:rsid w:val="002937AA"/>
    <w:rsid w:val="002937DC"/>
    <w:rsid w:val="0029382F"/>
    <w:rsid w:val="00293A10"/>
    <w:rsid w:val="00293AFE"/>
    <w:rsid w:val="00293C45"/>
    <w:rsid w:val="00293D7A"/>
    <w:rsid w:val="00293F8A"/>
    <w:rsid w:val="00294087"/>
    <w:rsid w:val="0029422C"/>
    <w:rsid w:val="002944F0"/>
    <w:rsid w:val="002948BC"/>
    <w:rsid w:val="00294AE6"/>
    <w:rsid w:val="00294DEA"/>
    <w:rsid w:val="002952F4"/>
    <w:rsid w:val="002952F6"/>
    <w:rsid w:val="0029542B"/>
    <w:rsid w:val="0029542D"/>
    <w:rsid w:val="0029556C"/>
    <w:rsid w:val="002955A6"/>
    <w:rsid w:val="002955B7"/>
    <w:rsid w:val="00295618"/>
    <w:rsid w:val="002956B4"/>
    <w:rsid w:val="0029570B"/>
    <w:rsid w:val="0029571D"/>
    <w:rsid w:val="00295798"/>
    <w:rsid w:val="002957CF"/>
    <w:rsid w:val="0029588A"/>
    <w:rsid w:val="00295973"/>
    <w:rsid w:val="002959A9"/>
    <w:rsid w:val="002959C8"/>
    <w:rsid w:val="00295A2A"/>
    <w:rsid w:val="00295AAA"/>
    <w:rsid w:val="00295B43"/>
    <w:rsid w:val="00295B71"/>
    <w:rsid w:val="00295BD5"/>
    <w:rsid w:val="00295E90"/>
    <w:rsid w:val="00295F58"/>
    <w:rsid w:val="0029626B"/>
    <w:rsid w:val="0029645E"/>
    <w:rsid w:val="002964F5"/>
    <w:rsid w:val="00296518"/>
    <w:rsid w:val="00296629"/>
    <w:rsid w:val="002967DA"/>
    <w:rsid w:val="002967E2"/>
    <w:rsid w:val="0029693C"/>
    <w:rsid w:val="002969BF"/>
    <w:rsid w:val="00296A68"/>
    <w:rsid w:val="00296AB0"/>
    <w:rsid w:val="00296CC2"/>
    <w:rsid w:val="002971AB"/>
    <w:rsid w:val="00297761"/>
    <w:rsid w:val="00297A74"/>
    <w:rsid w:val="00297CAC"/>
    <w:rsid w:val="00297D05"/>
    <w:rsid w:val="00297E46"/>
    <w:rsid w:val="002A021F"/>
    <w:rsid w:val="002A0240"/>
    <w:rsid w:val="002A038D"/>
    <w:rsid w:val="002A07D0"/>
    <w:rsid w:val="002A087B"/>
    <w:rsid w:val="002A0905"/>
    <w:rsid w:val="002A09F2"/>
    <w:rsid w:val="002A0B55"/>
    <w:rsid w:val="002A0B87"/>
    <w:rsid w:val="002A0C0B"/>
    <w:rsid w:val="002A0C28"/>
    <w:rsid w:val="002A0C3E"/>
    <w:rsid w:val="002A0C8C"/>
    <w:rsid w:val="002A0E1F"/>
    <w:rsid w:val="002A1156"/>
    <w:rsid w:val="002A1219"/>
    <w:rsid w:val="002A121E"/>
    <w:rsid w:val="002A138E"/>
    <w:rsid w:val="002A139B"/>
    <w:rsid w:val="002A1468"/>
    <w:rsid w:val="002A16BC"/>
    <w:rsid w:val="002A1857"/>
    <w:rsid w:val="002A1887"/>
    <w:rsid w:val="002A1896"/>
    <w:rsid w:val="002A18A1"/>
    <w:rsid w:val="002A1C44"/>
    <w:rsid w:val="002A1CE2"/>
    <w:rsid w:val="002A20DF"/>
    <w:rsid w:val="002A217E"/>
    <w:rsid w:val="002A22AD"/>
    <w:rsid w:val="002A22B2"/>
    <w:rsid w:val="002A23F7"/>
    <w:rsid w:val="002A2864"/>
    <w:rsid w:val="002A293A"/>
    <w:rsid w:val="002A2B69"/>
    <w:rsid w:val="002A2B82"/>
    <w:rsid w:val="002A2B9C"/>
    <w:rsid w:val="002A3090"/>
    <w:rsid w:val="002A30F7"/>
    <w:rsid w:val="002A318A"/>
    <w:rsid w:val="002A3595"/>
    <w:rsid w:val="002A36C9"/>
    <w:rsid w:val="002A373B"/>
    <w:rsid w:val="002A3752"/>
    <w:rsid w:val="002A376C"/>
    <w:rsid w:val="002A3890"/>
    <w:rsid w:val="002A38CF"/>
    <w:rsid w:val="002A3900"/>
    <w:rsid w:val="002A39B9"/>
    <w:rsid w:val="002A3A6E"/>
    <w:rsid w:val="002A3AEB"/>
    <w:rsid w:val="002A3B72"/>
    <w:rsid w:val="002A3D63"/>
    <w:rsid w:val="002A3E8B"/>
    <w:rsid w:val="002A3F21"/>
    <w:rsid w:val="002A403F"/>
    <w:rsid w:val="002A418C"/>
    <w:rsid w:val="002A41E2"/>
    <w:rsid w:val="002A4302"/>
    <w:rsid w:val="002A433B"/>
    <w:rsid w:val="002A4448"/>
    <w:rsid w:val="002A45D4"/>
    <w:rsid w:val="002A4630"/>
    <w:rsid w:val="002A468A"/>
    <w:rsid w:val="002A47EF"/>
    <w:rsid w:val="002A4847"/>
    <w:rsid w:val="002A489A"/>
    <w:rsid w:val="002A499D"/>
    <w:rsid w:val="002A4B32"/>
    <w:rsid w:val="002A4CEA"/>
    <w:rsid w:val="002A4DE9"/>
    <w:rsid w:val="002A4EA2"/>
    <w:rsid w:val="002A4EF0"/>
    <w:rsid w:val="002A547B"/>
    <w:rsid w:val="002A54C1"/>
    <w:rsid w:val="002A551B"/>
    <w:rsid w:val="002A5633"/>
    <w:rsid w:val="002A573C"/>
    <w:rsid w:val="002A57BD"/>
    <w:rsid w:val="002A581E"/>
    <w:rsid w:val="002A59F8"/>
    <w:rsid w:val="002A5A3C"/>
    <w:rsid w:val="002A5B8F"/>
    <w:rsid w:val="002A5C03"/>
    <w:rsid w:val="002A60BC"/>
    <w:rsid w:val="002A61EA"/>
    <w:rsid w:val="002A6361"/>
    <w:rsid w:val="002A63A9"/>
    <w:rsid w:val="002A691D"/>
    <w:rsid w:val="002A6A80"/>
    <w:rsid w:val="002A6C18"/>
    <w:rsid w:val="002A6F73"/>
    <w:rsid w:val="002A6FC1"/>
    <w:rsid w:val="002A701F"/>
    <w:rsid w:val="002A70AA"/>
    <w:rsid w:val="002A70F9"/>
    <w:rsid w:val="002A7127"/>
    <w:rsid w:val="002A7425"/>
    <w:rsid w:val="002A742A"/>
    <w:rsid w:val="002A7503"/>
    <w:rsid w:val="002A7676"/>
    <w:rsid w:val="002A777E"/>
    <w:rsid w:val="002A77AC"/>
    <w:rsid w:val="002A7B73"/>
    <w:rsid w:val="002A7F32"/>
    <w:rsid w:val="002A7FC3"/>
    <w:rsid w:val="002B0087"/>
    <w:rsid w:val="002B0104"/>
    <w:rsid w:val="002B0217"/>
    <w:rsid w:val="002B0288"/>
    <w:rsid w:val="002B068F"/>
    <w:rsid w:val="002B0708"/>
    <w:rsid w:val="002B0746"/>
    <w:rsid w:val="002B0E2B"/>
    <w:rsid w:val="002B0EFF"/>
    <w:rsid w:val="002B1167"/>
    <w:rsid w:val="002B1220"/>
    <w:rsid w:val="002B1337"/>
    <w:rsid w:val="002B13BC"/>
    <w:rsid w:val="002B1428"/>
    <w:rsid w:val="002B15D9"/>
    <w:rsid w:val="002B166F"/>
    <w:rsid w:val="002B16F3"/>
    <w:rsid w:val="002B1977"/>
    <w:rsid w:val="002B1CE4"/>
    <w:rsid w:val="002B1D60"/>
    <w:rsid w:val="002B1D79"/>
    <w:rsid w:val="002B1E64"/>
    <w:rsid w:val="002B1E8B"/>
    <w:rsid w:val="002B201E"/>
    <w:rsid w:val="002B211D"/>
    <w:rsid w:val="002B227A"/>
    <w:rsid w:val="002B2346"/>
    <w:rsid w:val="002B26D7"/>
    <w:rsid w:val="002B270D"/>
    <w:rsid w:val="002B28E9"/>
    <w:rsid w:val="002B292C"/>
    <w:rsid w:val="002B2A51"/>
    <w:rsid w:val="002B2AF0"/>
    <w:rsid w:val="002B2C34"/>
    <w:rsid w:val="002B2F22"/>
    <w:rsid w:val="002B3074"/>
    <w:rsid w:val="002B315E"/>
    <w:rsid w:val="002B32BA"/>
    <w:rsid w:val="002B32C5"/>
    <w:rsid w:val="002B341C"/>
    <w:rsid w:val="002B3430"/>
    <w:rsid w:val="002B3521"/>
    <w:rsid w:val="002B35E2"/>
    <w:rsid w:val="002B35F1"/>
    <w:rsid w:val="002B363B"/>
    <w:rsid w:val="002B3782"/>
    <w:rsid w:val="002B379E"/>
    <w:rsid w:val="002B3873"/>
    <w:rsid w:val="002B389A"/>
    <w:rsid w:val="002B3A4F"/>
    <w:rsid w:val="002B3BFB"/>
    <w:rsid w:val="002B3CBD"/>
    <w:rsid w:val="002B4218"/>
    <w:rsid w:val="002B42E0"/>
    <w:rsid w:val="002B434A"/>
    <w:rsid w:val="002B44F7"/>
    <w:rsid w:val="002B4608"/>
    <w:rsid w:val="002B4A40"/>
    <w:rsid w:val="002B4AF2"/>
    <w:rsid w:val="002B4B1B"/>
    <w:rsid w:val="002B4BC1"/>
    <w:rsid w:val="002B4C82"/>
    <w:rsid w:val="002B4D12"/>
    <w:rsid w:val="002B51B2"/>
    <w:rsid w:val="002B5272"/>
    <w:rsid w:val="002B53BD"/>
    <w:rsid w:val="002B564B"/>
    <w:rsid w:val="002B56FC"/>
    <w:rsid w:val="002B598F"/>
    <w:rsid w:val="002B5992"/>
    <w:rsid w:val="002B5A6B"/>
    <w:rsid w:val="002B5EB9"/>
    <w:rsid w:val="002B5F94"/>
    <w:rsid w:val="002B60F9"/>
    <w:rsid w:val="002B614E"/>
    <w:rsid w:val="002B633D"/>
    <w:rsid w:val="002B6362"/>
    <w:rsid w:val="002B643A"/>
    <w:rsid w:val="002B643B"/>
    <w:rsid w:val="002B64C4"/>
    <w:rsid w:val="002B64E6"/>
    <w:rsid w:val="002B65E1"/>
    <w:rsid w:val="002B68C0"/>
    <w:rsid w:val="002B68D8"/>
    <w:rsid w:val="002B6A94"/>
    <w:rsid w:val="002B6ACD"/>
    <w:rsid w:val="002B6CCC"/>
    <w:rsid w:val="002B6DB2"/>
    <w:rsid w:val="002B6F79"/>
    <w:rsid w:val="002B70AE"/>
    <w:rsid w:val="002B7119"/>
    <w:rsid w:val="002B72C0"/>
    <w:rsid w:val="002B7437"/>
    <w:rsid w:val="002B7669"/>
    <w:rsid w:val="002B7737"/>
    <w:rsid w:val="002B79F9"/>
    <w:rsid w:val="002B7CEA"/>
    <w:rsid w:val="002B7E56"/>
    <w:rsid w:val="002B7FCF"/>
    <w:rsid w:val="002B7FF4"/>
    <w:rsid w:val="002C00B4"/>
    <w:rsid w:val="002C0135"/>
    <w:rsid w:val="002C017F"/>
    <w:rsid w:val="002C02BE"/>
    <w:rsid w:val="002C0307"/>
    <w:rsid w:val="002C030F"/>
    <w:rsid w:val="002C0435"/>
    <w:rsid w:val="002C0609"/>
    <w:rsid w:val="002C06D6"/>
    <w:rsid w:val="002C07CB"/>
    <w:rsid w:val="002C097E"/>
    <w:rsid w:val="002C09A1"/>
    <w:rsid w:val="002C0C15"/>
    <w:rsid w:val="002C0C8D"/>
    <w:rsid w:val="002C0D06"/>
    <w:rsid w:val="002C0ED5"/>
    <w:rsid w:val="002C0F3F"/>
    <w:rsid w:val="002C1093"/>
    <w:rsid w:val="002C1181"/>
    <w:rsid w:val="002C130C"/>
    <w:rsid w:val="002C14B0"/>
    <w:rsid w:val="002C1571"/>
    <w:rsid w:val="002C161C"/>
    <w:rsid w:val="002C1728"/>
    <w:rsid w:val="002C1AEA"/>
    <w:rsid w:val="002C1D13"/>
    <w:rsid w:val="002C1D20"/>
    <w:rsid w:val="002C1D2F"/>
    <w:rsid w:val="002C2015"/>
    <w:rsid w:val="002C2032"/>
    <w:rsid w:val="002C2116"/>
    <w:rsid w:val="002C213A"/>
    <w:rsid w:val="002C2572"/>
    <w:rsid w:val="002C277B"/>
    <w:rsid w:val="002C2872"/>
    <w:rsid w:val="002C287F"/>
    <w:rsid w:val="002C290E"/>
    <w:rsid w:val="002C2B5B"/>
    <w:rsid w:val="002C2CD5"/>
    <w:rsid w:val="002C2D66"/>
    <w:rsid w:val="002C2D90"/>
    <w:rsid w:val="002C2E70"/>
    <w:rsid w:val="002C332E"/>
    <w:rsid w:val="002C3596"/>
    <w:rsid w:val="002C360B"/>
    <w:rsid w:val="002C3691"/>
    <w:rsid w:val="002C3821"/>
    <w:rsid w:val="002C38BA"/>
    <w:rsid w:val="002C3955"/>
    <w:rsid w:val="002C3C69"/>
    <w:rsid w:val="002C3D4D"/>
    <w:rsid w:val="002C3DC7"/>
    <w:rsid w:val="002C3DFF"/>
    <w:rsid w:val="002C3F16"/>
    <w:rsid w:val="002C4243"/>
    <w:rsid w:val="002C42F9"/>
    <w:rsid w:val="002C43A1"/>
    <w:rsid w:val="002C43C1"/>
    <w:rsid w:val="002C45C8"/>
    <w:rsid w:val="002C460C"/>
    <w:rsid w:val="002C4917"/>
    <w:rsid w:val="002C49E7"/>
    <w:rsid w:val="002C4A02"/>
    <w:rsid w:val="002C4E50"/>
    <w:rsid w:val="002C4FBD"/>
    <w:rsid w:val="002C5097"/>
    <w:rsid w:val="002C51DC"/>
    <w:rsid w:val="002C5236"/>
    <w:rsid w:val="002C524F"/>
    <w:rsid w:val="002C52A2"/>
    <w:rsid w:val="002C54F7"/>
    <w:rsid w:val="002C5533"/>
    <w:rsid w:val="002C5666"/>
    <w:rsid w:val="002C56CE"/>
    <w:rsid w:val="002C571C"/>
    <w:rsid w:val="002C58D2"/>
    <w:rsid w:val="002C5BF2"/>
    <w:rsid w:val="002C5C16"/>
    <w:rsid w:val="002C5C45"/>
    <w:rsid w:val="002C5CE8"/>
    <w:rsid w:val="002C5D62"/>
    <w:rsid w:val="002C5DCF"/>
    <w:rsid w:val="002C5E9E"/>
    <w:rsid w:val="002C6017"/>
    <w:rsid w:val="002C6124"/>
    <w:rsid w:val="002C615D"/>
    <w:rsid w:val="002C630D"/>
    <w:rsid w:val="002C63C0"/>
    <w:rsid w:val="002C6446"/>
    <w:rsid w:val="002C6608"/>
    <w:rsid w:val="002C6664"/>
    <w:rsid w:val="002C6B21"/>
    <w:rsid w:val="002C6B60"/>
    <w:rsid w:val="002C6CEF"/>
    <w:rsid w:val="002C6DAF"/>
    <w:rsid w:val="002C6FE5"/>
    <w:rsid w:val="002C7049"/>
    <w:rsid w:val="002C738A"/>
    <w:rsid w:val="002C73E6"/>
    <w:rsid w:val="002C764F"/>
    <w:rsid w:val="002C76A2"/>
    <w:rsid w:val="002C775B"/>
    <w:rsid w:val="002C77F1"/>
    <w:rsid w:val="002C79B0"/>
    <w:rsid w:val="002C7A19"/>
    <w:rsid w:val="002C7B1F"/>
    <w:rsid w:val="002C7BB7"/>
    <w:rsid w:val="002C7C68"/>
    <w:rsid w:val="002C7D4E"/>
    <w:rsid w:val="002C7E0D"/>
    <w:rsid w:val="002C7F79"/>
    <w:rsid w:val="002C7FF1"/>
    <w:rsid w:val="002D0459"/>
    <w:rsid w:val="002D047A"/>
    <w:rsid w:val="002D04CA"/>
    <w:rsid w:val="002D052E"/>
    <w:rsid w:val="002D05DF"/>
    <w:rsid w:val="002D086C"/>
    <w:rsid w:val="002D0B56"/>
    <w:rsid w:val="002D0CE6"/>
    <w:rsid w:val="002D0D71"/>
    <w:rsid w:val="002D0D98"/>
    <w:rsid w:val="002D0E41"/>
    <w:rsid w:val="002D1042"/>
    <w:rsid w:val="002D108D"/>
    <w:rsid w:val="002D1166"/>
    <w:rsid w:val="002D1501"/>
    <w:rsid w:val="002D1548"/>
    <w:rsid w:val="002D1611"/>
    <w:rsid w:val="002D167F"/>
    <w:rsid w:val="002D1746"/>
    <w:rsid w:val="002D1872"/>
    <w:rsid w:val="002D1D82"/>
    <w:rsid w:val="002D1F5B"/>
    <w:rsid w:val="002D203C"/>
    <w:rsid w:val="002D2081"/>
    <w:rsid w:val="002D223F"/>
    <w:rsid w:val="002D2376"/>
    <w:rsid w:val="002D239A"/>
    <w:rsid w:val="002D23A0"/>
    <w:rsid w:val="002D23C7"/>
    <w:rsid w:val="002D2455"/>
    <w:rsid w:val="002D2481"/>
    <w:rsid w:val="002D2536"/>
    <w:rsid w:val="002D26CD"/>
    <w:rsid w:val="002D29FF"/>
    <w:rsid w:val="002D2BB8"/>
    <w:rsid w:val="002D2D12"/>
    <w:rsid w:val="002D2D53"/>
    <w:rsid w:val="002D2E1B"/>
    <w:rsid w:val="002D2E77"/>
    <w:rsid w:val="002D2F68"/>
    <w:rsid w:val="002D3056"/>
    <w:rsid w:val="002D30F5"/>
    <w:rsid w:val="002D3161"/>
    <w:rsid w:val="002D32E2"/>
    <w:rsid w:val="002D3419"/>
    <w:rsid w:val="002D3598"/>
    <w:rsid w:val="002D381B"/>
    <w:rsid w:val="002D38C9"/>
    <w:rsid w:val="002D3DFA"/>
    <w:rsid w:val="002D3EC8"/>
    <w:rsid w:val="002D4155"/>
    <w:rsid w:val="002D41A3"/>
    <w:rsid w:val="002D42EE"/>
    <w:rsid w:val="002D4549"/>
    <w:rsid w:val="002D464A"/>
    <w:rsid w:val="002D4665"/>
    <w:rsid w:val="002D477A"/>
    <w:rsid w:val="002D48E7"/>
    <w:rsid w:val="002D4C21"/>
    <w:rsid w:val="002D4F23"/>
    <w:rsid w:val="002D500E"/>
    <w:rsid w:val="002D5126"/>
    <w:rsid w:val="002D52A3"/>
    <w:rsid w:val="002D55F7"/>
    <w:rsid w:val="002D5764"/>
    <w:rsid w:val="002D5771"/>
    <w:rsid w:val="002D5878"/>
    <w:rsid w:val="002D5953"/>
    <w:rsid w:val="002D5993"/>
    <w:rsid w:val="002D5A1E"/>
    <w:rsid w:val="002D5EE8"/>
    <w:rsid w:val="002D5F81"/>
    <w:rsid w:val="002D618F"/>
    <w:rsid w:val="002D664E"/>
    <w:rsid w:val="002D67AC"/>
    <w:rsid w:val="002D67C0"/>
    <w:rsid w:val="002D6924"/>
    <w:rsid w:val="002D6A12"/>
    <w:rsid w:val="002D6AB8"/>
    <w:rsid w:val="002D6C0B"/>
    <w:rsid w:val="002D6D7B"/>
    <w:rsid w:val="002D6F18"/>
    <w:rsid w:val="002D7087"/>
    <w:rsid w:val="002D7309"/>
    <w:rsid w:val="002D73F2"/>
    <w:rsid w:val="002D74AC"/>
    <w:rsid w:val="002D75B9"/>
    <w:rsid w:val="002D75D8"/>
    <w:rsid w:val="002D7791"/>
    <w:rsid w:val="002D780B"/>
    <w:rsid w:val="002D7993"/>
    <w:rsid w:val="002D7A94"/>
    <w:rsid w:val="002D7BDE"/>
    <w:rsid w:val="002D7D18"/>
    <w:rsid w:val="002D7DF6"/>
    <w:rsid w:val="002D7E13"/>
    <w:rsid w:val="002D7F1A"/>
    <w:rsid w:val="002E00DD"/>
    <w:rsid w:val="002E00E7"/>
    <w:rsid w:val="002E010D"/>
    <w:rsid w:val="002E0133"/>
    <w:rsid w:val="002E028F"/>
    <w:rsid w:val="002E03AF"/>
    <w:rsid w:val="002E05D4"/>
    <w:rsid w:val="002E065A"/>
    <w:rsid w:val="002E06D7"/>
    <w:rsid w:val="002E0745"/>
    <w:rsid w:val="002E07E7"/>
    <w:rsid w:val="002E0AA5"/>
    <w:rsid w:val="002E0AC1"/>
    <w:rsid w:val="002E0F09"/>
    <w:rsid w:val="002E1029"/>
    <w:rsid w:val="002E10FB"/>
    <w:rsid w:val="002E11BA"/>
    <w:rsid w:val="002E1344"/>
    <w:rsid w:val="002E14DB"/>
    <w:rsid w:val="002E1583"/>
    <w:rsid w:val="002E16A9"/>
    <w:rsid w:val="002E18E8"/>
    <w:rsid w:val="002E18F8"/>
    <w:rsid w:val="002E1A48"/>
    <w:rsid w:val="002E1A89"/>
    <w:rsid w:val="002E1B4D"/>
    <w:rsid w:val="002E1D7E"/>
    <w:rsid w:val="002E1E47"/>
    <w:rsid w:val="002E1F27"/>
    <w:rsid w:val="002E1FD4"/>
    <w:rsid w:val="002E2003"/>
    <w:rsid w:val="002E20AA"/>
    <w:rsid w:val="002E2194"/>
    <w:rsid w:val="002E2253"/>
    <w:rsid w:val="002E2361"/>
    <w:rsid w:val="002E25DB"/>
    <w:rsid w:val="002E2AA9"/>
    <w:rsid w:val="002E2AC8"/>
    <w:rsid w:val="002E2D50"/>
    <w:rsid w:val="002E2D92"/>
    <w:rsid w:val="002E2E60"/>
    <w:rsid w:val="002E2F88"/>
    <w:rsid w:val="002E30BA"/>
    <w:rsid w:val="002E3208"/>
    <w:rsid w:val="002E3366"/>
    <w:rsid w:val="002E33AB"/>
    <w:rsid w:val="002E37E9"/>
    <w:rsid w:val="002E388A"/>
    <w:rsid w:val="002E3C13"/>
    <w:rsid w:val="002E3D5D"/>
    <w:rsid w:val="002E3DCD"/>
    <w:rsid w:val="002E3F58"/>
    <w:rsid w:val="002E3F6A"/>
    <w:rsid w:val="002E40FB"/>
    <w:rsid w:val="002E41E3"/>
    <w:rsid w:val="002E4306"/>
    <w:rsid w:val="002E43A3"/>
    <w:rsid w:val="002E43FA"/>
    <w:rsid w:val="002E44C7"/>
    <w:rsid w:val="002E45FD"/>
    <w:rsid w:val="002E461A"/>
    <w:rsid w:val="002E465C"/>
    <w:rsid w:val="002E4660"/>
    <w:rsid w:val="002E46FA"/>
    <w:rsid w:val="002E481B"/>
    <w:rsid w:val="002E49EC"/>
    <w:rsid w:val="002E4A0B"/>
    <w:rsid w:val="002E4D62"/>
    <w:rsid w:val="002E4E68"/>
    <w:rsid w:val="002E4EE0"/>
    <w:rsid w:val="002E5056"/>
    <w:rsid w:val="002E50B2"/>
    <w:rsid w:val="002E514B"/>
    <w:rsid w:val="002E51D0"/>
    <w:rsid w:val="002E51D9"/>
    <w:rsid w:val="002E52EF"/>
    <w:rsid w:val="002E5415"/>
    <w:rsid w:val="002E5571"/>
    <w:rsid w:val="002E5615"/>
    <w:rsid w:val="002E56F9"/>
    <w:rsid w:val="002E581E"/>
    <w:rsid w:val="002E58D5"/>
    <w:rsid w:val="002E59FE"/>
    <w:rsid w:val="002E5A61"/>
    <w:rsid w:val="002E5A9F"/>
    <w:rsid w:val="002E5AB2"/>
    <w:rsid w:val="002E5C43"/>
    <w:rsid w:val="002E5C5A"/>
    <w:rsid w:val="002E5CB8"/>
    <w:rsid w:val="002E5CEC"/>
    <w:rsid w:val="002E603B"/>
    <w:rsid w:val="002E6044"/>
    <w:rsid w:val="002E6125"/>
    <w:rsid w:val="002E6181"/>
    <w:rsid w:val="002E6225"/>
    <w:rsid w:val="002E631B"/>
    <w:rsid w:val="002E65BB"/>
    <w:rsid w:val="002E68D9"/>
    <w:rsid w:val="002E6933"/>
    <w:rsid w:val="002E6A36"/>
    <w:rsid w:val="002E6A4E"/>
    <w:rsid w:val="002E6CBD"/>
    <w:rsid w:val="002E6CE9"/>
    <w:rsid w:val="002E6E78"/>
    <w:rsid w:val="002E708C"/>
    <w:rsid w:val="002E7128"/>
    <w:rsid w:val="002E7148"/>
    <w:rsid w:val="002E735E"/>
    <w:rsid w:val="002E736C"/>
    <w:rsid w:val="002E7404"/>
    <w:rsid w:val="002E7425"/>
    <w:rsid w:val="002E7445"/>
    <w:rsid w:val="002E756C"/>
    <w:rsid w:val="002E7573"/>
    <w:rsid w:val="002E757A"/>
    <w:rsid w:val="002E7643"/>
    <w:rsid w:val="002E7786"/>
    <w:rsid w:val="002E7813"/>
    <w:rsid w:val="002E7894"/>
    <w:rsid w:val="002E7999"/>
    <w:rsid w:val="002E7AF1"/>
    <w:rsid w:val="002E7BA4"/>
    <w:rsid w:val="002E7BF8"/>
    <w:rsid w:val="002E7C11"/>
    <w:rsid w:val="002E7C85"/>
    <w:rsid w:val="002E7DA0"/>
    <w:rsid w:val="002EE1C5"/>
    <w:rsid w:val="002F0156"/>
    <w:rsid w:val="002F0365"/>
    <w:rsid w:val="002F038A"/>
    <w:rsid w:val="002F06D2"/>
    <w:rsid w:val="002F074B"/>
    <w:rsid w:val="002F08F2"/>
    <w:rsid w:val="002F0960"/>
    <w:rsid w:val="002F0976"/>
    <w:rsid w:val="002F0985"/>
    <w:rsid w:val="002F0AAA"/>
    <w:rsid w:val="002F0C49"/>
    <w:rsid w:val="002F0CA2"/>
    <w:rsid w:val="002F0E72"/>
    <w:rsid w:val="002F1134"/>
    <w:rsid w:val="002F1176"/>
    <w:rsid w:val="002F1181"/>
    <w:rsid w:val="002F146E"/>
    <w:rsid w:val="002F15C3"/>
    <w:rsid w:val="002F17C4"/>
    <w:rsid w:val="002F194E"/>
    <w:rsid w:val="002F19F0"/>
    <w:rsid w:val="002F1A27"/>
    <w:rsid w:val="002F1C60"/>
    <w:rsid w:val="002F1F04"/>
    <w:rsid w:val="002F1F51"/>
    <w:rsid w:val="002F2023"/>
    <w:rsid w:val="002F2029"/>
    <w:rsid w:val="002F229C"/>
    <w:rsid w:val="002F233D"/>
    <w:rsid w:val="002F23AD"/>
    <w:rsid w:val="002F2566"/>
    <w:rsid w:val="002F25EE"/>
    <w:rsid w:val="002F2868"/>
    <w:rsid w:val="002F2A01"/>
    <w:rsid w:val="002F2B64"/>
    <w:rsid w:val="002F2C9F"/>
    <w:rsid w:val="002F3105"/>
    <w:rsid w:val="002F32E5"/>
    <w:rsid w:val="002F3492"/>
    <w:rsid w:val="002F36AC"/>
    <w:rsid w:val="002F36E8"/>
    <w:rsid w:val="002F3709"/>
    <w:rsid w:val="002F377D"/>
    <w:rsid w:val="002F397C"/>
    <w:rsid w:val="002F3985"/>
    <w:rsid w:val="002F3AB2"/>
    <w:rsid w:val="002F3AFD"/>
    <w:rsid w:val="002F3C00"/>
    <w:rsid w:val="002F3C34"/>
    <w:rsid w:val="002F3DDB"/>
    <w:rsid w:val="002F4130"/>
    <w:rsid w:val="002F416D"/>
    <w:rsid w:val="002F4324"/>
    <w:rsid w:val="002F4457"/>
    <w:rsid w:val="002F45A5"/>
    <w:rsid w:val="002F45E0"/>
    <w:rsid w:val="002F492E"/>
    <w:rsid w:val="002F4A93"/>
    <w:rsid w:val="002F4CA9"/>
    <w:rsid w:val="002F4EB1"/>
    <w:rsid w:val="002F4EDA"/>
    <w:rsid w:val="002F4FC7"/>
    <w:rsid w:val="002F50F4"/>
    <w:rsid w:val="002F51B2"/>
    <w:rsid w:val="002F52F3"/>
    <w:rsid w:val="002F536B"/>
    <w:rsid w:val="002F54B5"/>
    <w:rsid w:val="002F56A8"/>
    <w:rsid w:val="002F5903"/>
    <w:rsid w:val="002F5CF5"/>
    <w:rsid w:val="002F5EDA"/>
    <w:rsid w:val="002F5EED"/>
    <w:rsid w:val="002F60AA"/>
    <w:rsid w:val="002F61DE"/>
    <w:rsid w:val="002F631E"/>
    <w:rsid w:val="002F639F"/>
    <w:rsid w:val="002F63A6"/>
    <w:rsid w:val="002F6460"/>
    <w:rsid w:val="002F66C2"/>
    <w:rsid w:val="002F67F0"/>
    <w:rsid w:val="002F6811"/>
    <w:rsid w:val="002F6941"/>
    <w:rsid w:val="002F6A38"/>
    <w:rsid w:val="002F6D65"/>
    <w:rsid w:val="002F6D67"/>
    <w:rsid w:val="002F6D74"/>
    <w:rsid w:val="002F6E52"/>
    <w:rsid w:val="002F6E75"/>
    <w:rsid w:val="002F7034"/>
    <w:rsid w:val="002F7091"/>
    <w:rsid w:val="002F7405"/>
    <w:rsid w:val="002F7473"/>
    <w:rsid w:val="002F75C6"/>
    <w:rsid w:val="002F7651"/>
    <w:rsid w:val="002F768B"/>
    <w:rsid w:val="002F7B8E"/>
    <w:rsid w:val="002F7CEE"/>
    <w:rsid w:val="00300015"/>
    <w:rsid w:val="00300042"/>
    <w:rsid w:val="00300141"/>
    <w:rsid w:val="00300159"/>
    <w:rsid w:val="003001C0"/>
    <w:rsid w:val="00300310"/>
    <w:rsid w:val="0030069F"/>
    <w:rsid w:val="003006C6"/>
    <w:rsid w:val="003007C6"/>
    <w:rsid w:val="0030088C"/>
    <w:rsid w:val="003008C1"/>
    <w:rsid w:val="00300925"/>
    <w:rsid w:val="00300952"/>
    <w:rsid w:val="00300B67"/>
    <w:rsid w:val="00300C20"/>
    <w:rsid w:val="00300C92"/>
    <w:rsid w:val="00300CB5"/>
    <w:rsid w:val="00300DA5"/>
    <w:rsid w:val="00300FA9"/>
    <w:rsid w:val="003011D8"/>
    <w:rsid w:val="003011FB"/>
    <w:rsid w:val="00301439"/>
    <w:rsid w:val="0030150F"/>
    <w:rsid w:val="00301581"/>
    <w:rsid w:val="00301680"/>
    <w:rsid w:val="00301740"/>
    <w:rsid w:val="00301782"/>
    <w:rsid w:val="0030183F"/>
    <w:rsid w:val="003019F2"/>
    <w:rsid w:val="00301A44"/>
    <w:rsid w:val="00301A7E"/>
    <w:rsid w:val="00301ADF"/>
    <w:rsid w:val="00301B3F"/>
    <w:rsid w:val="00301E7D"/>
    <w:rsid w:val="00302579"/>
    <w:rsid w:val="0030270E"/>
    <w:rsid w:val="00302768"/>
    <w:rsid w:val="003027F8"/>
    <w:rsid w:val="00302836"/>
    <w:rsid w:val="0030284C"/>
    <w:rsid w:val="00302874"/>
    <w:rsid w:val="00302B8B"/>
    <w:rsid w:val="00302C33"/>
    <w:rsid w:val="00302C7C"/>
    <w:rsid w:val="00302E50"/>
    <w:rsid w:val="00302F67"/>
    <w:rsid w:val="0030309B"/>
    <w:rsid w:val="0030317B"/>
    <w:rsid w:val="003034DB"/>
    <w:rsid w:val="003036C4"/>
    <w:rsid w:val="0030378B"/>
    <w:rsid w:val="0030383D"/>
    <w:rsid w:val="003038E7"/>
    <w:rsid w:val="0030394F"/>
    <w:rsid w:val="00303AC2"/>
    <w:rsid w:val="00303D06"/>
    <w:rsid w:val="00303DBB"/>
    <w:rsid w:val="00303E89"/>
    <w:rsid w:val="00303EE5"/>
    <w:rsid w:val="0030403A"/>
    <w:rsid w:val="00304052"/>
    <w:rsid w:val="00304502"/>
    <w:rsid w:val="003046F9"/>
    <w:rsid w:val="003046FA"/>
    <w:rsid w:val="00304B14"/>
    <w:rsid w:val="00304B2D"/>
    <w:rsid w:val="00304B44"/>
    <w:rsid w:val="00304B75"/>
    <w:rsid w:val="00304CCF"/>
    <w:rsid w:val="0030500D"/>
    <w:rsid w:val="003050C5"/>
    <w:rsid w:val="0030511A"/>
    <w:rsid w:val="003051A4"/>
    <w:rsid w:val="003051E5"/>
    <w:rsid w:val="003051F0"/>
    <w:rsid w:val="003053BA"/>
    <w:rsid w:val="003053D0"/>
    <w:rsid w:val="003054B2"/>
    <w:rsid w:val="003055DB"/>
    <w:rsid w:val="003059C2"/>
    <w:rsid w:val="003059FE"/>
    <w:rsid w:val="00305A92"/>
    <w:rsid w:val="00305AB0"/>
    <w:rsid w:val="00305B37"/>
    <w:rsid w:val="00305C1B"/>
    <w:rsid w:val="00305DAC"/>
    <w:rsid w:val="00305DD4"/>
    <w:rsid w:val="00305FCF"/>
    <w:rsid w:val="003061BC"/>
    <w:rsid w:val="00306490"/>
    <w:rsid w:val="003064C3"/>
    <w:rsid w:val="003067AB"/>
    <w:rsid w:val="00306966"/>
    <w:rsid w:val="00306B87"/>
    <w:rsid w:val="00306B92"/>
    <w:rsid w:val="00306CBD"/>
    <w:rsid w:val="00306D6E"/>
    <w:rsid w:val="00306E1F"/>
    <w:rsid w:val="00306E4D"/>
    <w:rsid w:val="00306E57"/>
    <w:rsid w:val="00306F68"/>
    <w:rsid w:val="0030705C"/>
    <w:rsid w:val="003071E6"/>
    <w:rsid w:val="0030747E"/>
    <w:rsid w:val="00307498"/>
    <w:rsid w:val="003076CA"/>
    <w:rsid w:val="003076FB"/>
    <w:rsid w:val="00307703"/>
    <w:rsid w:val="0030779C"/>
    <w:rsid w:val="003077A9"/>
    <w:rsid w:val="0030785D"/>
    <w:rsid w:val="00307B13"/>
    <w:rsid w:val="00307B73"/>
    <w:rsid w:val="00307CF3"/>
    <w:rsid w:val="00307FA5"/>
    <w:rsid w:val="00310072"/>
    <w:rsid w:val="00310173"/>
    <w:rsid w:val="0031020F"/>
    <w:rsid w:val="003103EC"/>
    <w:rsid w:val="0031042B"/>
    <w:rsid w:val="00310453"/>
    <w:rsid w:val="003104BE"/>
    <w:rsid w:val="0031050C"/>
    <w:rsid w:val="00310634"/>
    <w:rsid w:val="003106AB"/>
    <w:rsid w:val="00310759"/>
    <w:rsid w:val="0031076D"/>
    <w:rsid w:val="00310A7E"/>
    <w:rsid w:val="00310D24"/>
    <w:rsid w:val="00310E4A"/>
    <w:rsid w:val="00310E99"/>
    <w:rsid w:val="00310FDD"/>
    <w:rsid w:val="00311142"/>
    <w:rsid w:val="00311333"/>
    <w:rsid w:val="0031143A"/>
    <w:rsid w:val="00311611"/>
    <w:rsid w:val="0031176D"/>
    <w:rsid w:val="0031177B"/>
    <w:rsid w:val="003117B1"/>
    <w:rsid w:val="00311907"/>
    <w:rsid w:val="00311A6A"/>
    <w:rsid w:val="00311B20"/>
    <w:rsid w:val="00311B38"/>
    <w:rsid w:val="00311C93"/>
    <w:rsid w:val="00311CF5"/>
    <w:rsid w:val="00311D25"/>
    <w:rsid w:val="00311DC2"/>
    <w:rsid w:val="00311DD1"/>
    <w:rsid w:val="00312443"/>
    <w:rsid w:val="003126B8"/>
    <w:rsid w:val="0031297C"/>
    <w:rsid w:val="00312BC0"/>
    <w:rsid w:val="00312BEB"/>
    <w:rsid w:val="00312CF8"/>
    <w:rsid w:val="00312DFE"/>
    <w:rsid w:val="00312ECE"/>
    <w:rsid w:val="00313030"/>
    <w:rsid w:val="00313041"/>
    <w:rsid w:val="0031304A"/>
    <w:rsid w:val="003130B9"/>
    <w:rsid w:val="00313114"/>
    <w:rsid w:val="00313169"/>
    <w:rsid w:val="00313171"/>
    <w:rsid w:val="003133BA"/>
    <w:rsid w:val="003133D1"/>
    <w:rsid w:val="00313401"/>
    <w:rsid w:val="0031356E"/>
    <w:rsid w:val="0031367B"/>
    <w:rsid w:val="00313696"/>
    <w:rsid w:val="0031370F"/>
    <w:rsid w:val="00313729"/>
    <w:rsid w:val="00313861"/>
    <w:rsid w:val="003138AB"/>
    <w:rsid w:val="003139B3"/>
    <w:rsid w:val="003139B5"/>
    <w:rsid w:val="00313AEE"/>
    <w:rsid w:val="00313BC7"/>
    <w:rsid w:val="00313BF7"/>
    <w:rsid w:val="00313DB0"/>
    <w:rsid w:val="00313E34"/>
    <w:rsid w:val="00313F93"/>
    <w:rsid w:val="00313FA0"/>
    <w:rsid w:val="00314259"/>
    <w:rsid w:val="0031428B"/>
    <w:rsid w:val="00314549"/>
    <w:rsid w:val="00314660"/>
    <w:rsid w:val="003149EF"/>
    <w:rsid w:val="00314CE7"/>
    <w:rsid w:val="00314CFD"/>
    <w:rsid w:val="00314DF8"/>
    <w:rsid w:val="00314E28"/>
    <w:rsid w:val="00314FE3"/>
    <w:rsid w:val="00315682"/>
    <w:rsid w:val="00315721"/>
    <w:rsid w:val="003158DD"/>
    <w:rsid w:val="00315B92"/>
    <w:rsid w:val="00315C2F"/>
    <w:rsid w:val="00315CCF"/>
    <w:rsid w:val="00315CE6"/>
    <w:rsid w:val="00316031"/>
    <w:rsid w:val="00316045"/>
    <w:rsid w:val="0031620C"/>
    <w:rsid w:val="00316344"/>
    <w:rsid w:val="0031647E"/>
    <w:rsid w:val="003164DA"/>
    <w:rsid w:val="003164EA"/>
    <w:rsid w:val="00316517"/>
    <w:rsid w:val="003166BC"/>
    <w:rsid w:val="0031697E"/>
    <w:rsid w:val="00316984"/>
    <w:rsid w:val="00316D51"/>
    <w:rsid w:val="00316D76"/>
    <w:rsid w:val="00316E48"/>
    <w:rsid w:val="00316F7B"/>
    <w:rsid w:val="00316FAE"/>
    <w:rsid w:val="003170EC"/>
    <w:rsid w:val="003171B2"/>
    <w:rsid w:val="003172A4"/>
    <w:rsid w:val="0031744B"/>
    <w:rsid w:val="003174DA"/>
    <w:rsid w:val="003174E6"/>
    <w:rsid w:val="00317528"/>
    <w:rsid w:val="003175B7"/>
    <w:rsid w:val="003176FF"/>
    <w:rsid w:val="0031774E"/>
    <w:rsid w:val="0031780A"/>
    <w:rsid w:val="00317881"/>
    <w:rsid w:val="00317999"/>
    <w:rsid w:val="00317C3E"/>
    <w:rsid w:val="00317E84"/>
    <w:rsid w:val="00317FBF"/>
    <w:rsid w:val="00320005"/>
    <w:rsid w:val="00320175"/>
    <w:rsid w:val="00320379"/>
    <w:rsid w:val="003203AF"/>
    <w:rsid w:val="00320407"/>
    <w:rsid w:val="0032048F"/>
    <w:rsid w:val="00320A1C"/>
    <w:rsid w:val="00320A2C"/>
    <w:rsid w:val="00320B11"/>
    <w:rsid w:val="00320B7F"/>
    <w:rsid w:val="00320F5E"/>
    <w:rsid w:val="00320F7A"/>
    <w:rsid w:val="0032115C"/>
    <w:rsid w:val="003211E1"/>
    <w:rsid w:val="0032132D"/>
    <w:rsid w:val="003213A0"/>
    <w:rsid w:val="003215C3"/>
    <w:rsid w:val="003215C7"/>
    <w:rsid w:val="00321803"/>
    <w:rsid w:val="0032191F"/>
    <w:rsid w:val="00321C1F"/>
    <w:rsid w:val="00321C4E"/>
    <w:rsid w:val="00321C64"/>
    <w:rsid w:val="00321E11"/>
    <w:rsid w:val="00322099"/>
    <w:rsid w:val="0032213A"/>
    <w:rsid w:val="003221EC"/>
    <w:rsid w:val="00322670"/>
    <w:rsid w:val="00322919"/>
    <w:rsid w:val="003229EA"/>
    <w:rsid w:val="00322A02"/>
    <w:rsid w:val="00322B35"/>
    <w:rsid w:val="00322B4F"/>
    <w:rsid w:val="00322B50"/>
    <w:rsid w:val="00322F66"/>
    <w:rsid w:val="00323174"/>
    <w:rsid w:val="003232CE"/>
    <w:rsid w:val="00323353"/>
    <w:rsid w:val="003233D1"/>
    <w:rsid w:val="003233F3"/>
    <w:rsid w:val="003235FA"/>
    <w:rsid w:val="0032365C"/>
    <w:rsid w:val="00323752"/>
    <w:rsid w:val="003237C4"/>
    <w:rsid w:val="0032391E"/>
    <w:rsid w:val="0032393E"/>
    <w:rsid w:val="00323DF7"/>
    <w:rsid w:val="00323E32"/>
    <w:rsid w:val="00323F2A"/>
    <w:rsid w:val="00323FC8"/>
    <w:rsid w:val="00324306"/>
    <w:rsid w:val="00324423"/>
    <w:rsid w:val="0032467D"/>
    <w:rsid w:val="003249DB"/>
    <w:rsid w:val="00324BBD"/>
    <w:rsid w:val="00324CAF"/>
    <w:rsid w:val="00324E5B"/>
    <w:rsid w:val="00325160"/>
    <w:rsid w:val="003251BB"/>
    <w:rsid w:val="00325206"/>
    <w:rsid w:val="003253F7"/>
    <w:rsid w:val="00325400"/>
    <w:rsid w:val="00325486"/>
    <w:rsid w:val="00325497"/>
    <w:rsid w:val="00325623"/>
    <w:rsid w:val="003258A4"/>
    <w:rsid w:val="003258E8"/>
    <w:rsid w:val="00325A3C"/>
    <w:rsid w:val="00325A60"/>
    <w:rsid w:val="00325AD8"/>
    <w:rsid w:val="00325B59"/>
    <w:rsid w:val="00325B9F"/>
    <w:rsid w:val="00325CAF"/>
    <w:rsid w:val="00325CD1"/>
    <w:rsid w:val="00325E39"/>
    <w:rsid w:val="00325E97"/>
    <w:rsid w:val="00325F8A"/>
    <w:rsid w:val="00325FB1"/>
    <w:rsid w:val="00325FCA"/>
    <w:rsid w:val="0032607B"/>
    <w:rsid w:val="0032622E"/>
    <w:rsid w:val="003262BA"/>
    <w:rsid w:val="003262C8"/>
    <w:rsid w:val="00326341"/>
    <w:rsid w:val="003263D5"/>
    <w:rsid w:val="0032640A"/>
    <w:rsid w:val="003264C4"/>
    <w:rsid w:val="00326699"/>
    <w:rsid w:val="0032678A"/>
    <w:rsid w:val="00326948"/>
    <w:rsid w:val="00326AF5"/>
    <w:rsid w:val="00326B44"/>
    <w:rsid w:val="00326B49"/>
    <w:rsid w:val="00326B76"/>
    <w:rsid w:val="00326B77"/>
    <w:rsid w:val="00326B8F"/>
    <w:rsid w:val="00326C9B"/>
    <w:rsid w:val="00326D50"/>
    <w:rsid w:val="00326F4F"/>
    <w:rsid w:val="00327074"/>
    <w:rsid w:val="00327295"/>
    <w:rsid w:val="00327420"/>
    <w:rsid w:val="00327447"/>
    <w:rsid w:val="00327574"/>
    <w:rsid w:val="003275C2"/>
    <w:rsid w:val="00327600"/>
    <w:rsid w:val="00327758"/>
    <w:rsid w:val="00327785"/>
    <w:rsid w:val="003279AD"/>
    <w:rsid w:val="00327B0E"/>
    <w:rsid w:val="00327B18"/>
    <w:rsid w:val="00327B74"/>
    <w:rsid w:val="00327B94"/>
    <w:rsid w:val="00327C67"/>
    <w:rsid w:val="00327CB4"/>
    <w:rsid w:val="00327F1D"/>
    <w:rsid w:val="00327FC2"/>
    <w:rsid w:val="00327FDD"/>
    <w:rsid w:val="0033006E"/>
    <w:rsid w:val="003300BD"/>
    <w:rsid w:val="0033029B"/>
    <w:rsid w:val="003302EA"/>
    <w:rsid w:val="0033035A"/>
    <w:rsid w:val="0033041E"/>
    <w:rsid w:val="00330433"/>
    <w:rsid w:val="0033058D"/>
    <w:rsid w:val="00330592"/>
    <w:rsid w:val="003305E6"/>
    <w:rsid w:val="00330828"/>
    <w:rsid w:val="0033086E"/>
    <w:rsid w:val="00330B5A"/>
    <w:rsid w:val="003312AA"/>
    <w:rsid w:val="003313B8"/>
    <w:rsid w:val="00331486"/>
    <w:rsid w:val="003316E1"/>
    <w:rsid w:val="00331713"/>
    <w:rsid w:val="00331B6B"/>
    <w:rsid w:val="00331BA3"/>
    <w:rsid w:val="00331CBC"/>
    <w:rsid w:val="00331E4D"/>
    <w:rsid w:val="00331F5F"/>
    <w:rsid w:val="003324FE"/>
    <w:rsid w:val="00332553"/>
    <w:rsid w:val="003325C8"/>
    <w:rsid w:val="00332666"/>
    <w:rsid w:val="00332833"/>
    <w:rsid w:val="00332AB6"/>
    <w:rsid w:val="00332C61"/>
    <w:rsid w:val="00332D67"/>
    <w:rsid w:val="00332E17"/>
    <w:rsid w:val="0033318A"/>
    <w:rsid w:val="003331BD"/>
    <w:rsid w:val="003334AA"/>
    <w:rsid w:val="003335CB"/>
    <w:rsid w:val="00333652"/>
    <w:rsid w:val="003336B5"/>
    <w:rsid w:val="003336BB"/>
    <w:rsid w:val="0033370F"/>
    <w:rsid w:val="003338A2"/>
    <w:rsid w:val="00333906"/>
    <w:rsid w:val="00333AB3"/>
    <w:rsid w:val="00333BED"/>
    <w:rsid w:val="00333D02"/>
    <w:rsid w:val="00333D23"/>
    <w:rsid w:val="00333E77"/>
    <w:rsid w:val="00334005"/>
    <w:rsid w:val="00334122"/>
    <w:rsid w:val="0033413F"/>
    <w:rsid w:val="00334221"/>
    <w:rsid w:val="00334243"/>
    <w:rsid w:val="0033424E"/>
    <w:rsid w:val="0033427B"/>
    <w:rsid w:val="00334578"/>
    <w:rsid w:val="003345EF"/>
    <w:rsid w:val="0033475B"/>
    <w:rsid w:val="003348CD"/>
    <w:rsid w:val="00334944"/>
    <w:rsid w:val="003349D8"/>
    <w:rsid w:val="00334A7C"/>
    <w:rsid w:val="00334BE1"/>
    <w:rsid w:val="00334CCF"/>
    <w:rsid w:val="00334D02"/>
    <w:rsid w:val="00334D54"/>
    <w:rsid w:val="00335060"/>
    <w:rsid w:val="003350D5"/>
    <w:rsid w:val="00335170"/>
    <w:rsid w:val="0033538E"/>
    <w:rsid w:val="003354BD"/>
    <w:rsid w:val="00335664"/>
    <w:rsid w:val="00335676"/>
    <w:rsid w:val="003356E7"/>
    <w:rsid w:val="0033574D"/>
    <w:rsid w:val="00335764"/>
    <w:rsid w:val="003357B5"/>
    <w:rsid w:val="00335B8A"/>
    <w:rsid w:val="00335D57"/>
    <w:rsid w:val="00335D8E"/>
    <w:rsid w:val="00335FAB"/>
    <w:rsid w:val="00336205"/>
    <w:rsid w:val="00336397"/>
    <w:rsid w:val="0033644A"/>
    <w:rsid w:val="00336452"/>
    <w:rsid w:val="0033647D"/>
    <w:rsid w:val="003364E1"/>
    <w:rsid w:val="003366DE"/>
    <w:rsid w:val="00336948"/>
    <w:rsid w:val="00336B6B"/>
    <w:rsid w:val="00336FBE"/>
    <w:rsid w:val="003370EA"/>
    <w:rsid w:val="00337116"/>
    <w:rsid w:val="003371D0"/>
    <w:rsid w:val="003371F2"/>
    <w:rsid w:val="003372FB"/>
    <w:rsid w:val="0033750A"/>
    <w:rsid w:val="00337689"/>
    <w:rsid w:val="0033785A"/>
    <w:rsid w:val="00337A74"/>
    <w:rsid w:val="00337AF7"/>
    <w:rsid w:val="00337C8D"/>
    <w:rsid w:val="00337CD4"/>
    <w:rsid w:val="00337D20"/>
    <w:rsid w:val="00337D3E"/>
    <w:rsid w:val="00337E38"/>
    <w:rsid w:val="00337F69"/>
    <w:rsid w:val="00340013"/>
    <w:rsid w:val="0034009F"/>
    <w:rsid w:val="00340204"/>
    <w:rsid w:val="0034038D"/>
    <w:rsid w:val="003404F1"/>
    <w:rsid w:val="0034053C"/>
    <w:rsid w:val="00340709"/>
    <w:rsid w:val="00340AAC"/>
    <w:rsid w:val="00340AD3"/>
    <w:rsid w:val="00340DAD"/>
    <w:rsid w:val="00340E14"/>
    <w:rsid w:val="00340E48"/>
    <w:rsid w:val="00340F3E"/>
    <w:rsid w:val="00340F40"/>
    <w:rsid w:val="00340FBC"/>
    <w:rsid w:val="0034109E"/>
    <w:rsid w:val="003410AF"/>
    <w:rsid w:val="003410D3"/>
    <w:rsid w:val="0034136D"/>
    <w:rsid w:val="00341840"/>
    <w:rsid w:val="003418C0"/>
    <w:rsid w:val="00341931"/>
    <w:rsid w:val="003419CC"/>
    <w:rsid w:val="00341A81"/>
    <w:rsid w:val="00341B94"/>
    <w:rsid w:val="00341BCB"/>
    <w:rsid w:val="003421A8"/>
    <w:rsid w:val="00342319"/>
    <w:rsid w:val="003423EE"/>
    <w:rsid w:val="003424A6"/>
    <w:rsid w:val="00342514"/>
    <w:rsid w:val="003425FA"/>
    <w:rsid w:val="00342784"/>
    <w:rsid w:val="00342805"/>
    <w:rsid w:val="003428AA"/>
    <w:rsid w:val="0034292E"/>
    <w:rsid w:val="00342C96"/>
    <w:rsid w:val="00342E2C"/>
    <w:rsid w:val="00342E5D"/>
    <w:rsid w:val="00342EC4"/>
    <w:rsid w:val="00342EE7"/>
    <w:rsid w:val="00342F4B"/>
    <w:rsid w:val="00342FD5"/>
    <w:rsid w:val="00343005"/>
    <w:rsid w:val="003430C9"/>
    <w:rsid w:val="003431C8"/>
    <w:rsid w:val="00343412"/>
    <w:rsid w:val="00343508"/>
    <w:rsid w:val="0034351D"/>
    <w:rsid w:val="00343527"/>
    <w:rsid w:val="0034388C"/>
    <w:rsid w:val="00343912"/>
    <w:rsid w:val="00343980"/>
    <w:rsid w:val="00343A79"/>
    <w:rsid w:val="00343B40"/>
    <w:rsid w:val="00343D03"/>
    <w:rsid w:val="00343D49"/>
    <w:rsid w:val="00343D7D"/>
    <w:rsid w:val="00343E98"/>
    <w:rsid w:val="00343F78"/>
    <w:rsid w:val="0034401B"/>
    <w:rsid w:val="003440C3"/>
    <w:rsid w:val="00344280"/>
    <w:rsid w:val="00344319"/>
    <w:rsid w:val="0034434A"/>
    <w:rsid w:val="003444C4"/>
    <w:rsid w:val="003445EA"/>
    <w:rsid w:val="003447CB"/>
    <w:rsid w:val="003448E9"/>
    <w:rsid w:val="00344A81"/>
    <w:rsid w:val="00344E6F"/>
    <w:rsid w:val="00344ECE"/>
    <w:rsid w:val="00344FBF"/>
    <w:rsid w:val="00344FCD"/>
    <w:rsid w:val="0034523C"/>
    <w:rsid w:val="00345468"/>
    <w:rsid w:val="00345487"/>
    <w:rsid w:val="003457DD"/>
    <w:rsid w:val="003457E9"/>
    <w:rsid w:val="003457EB"/>
    <w:rsid w:val="00345933"/>
    <w:rsid w:val="00345941"/>
    <w:rsid w:val="003459F3"/>
    <w:rsid w:val="00345A93"/>
    <w:rsid w:val="00345B6B"/>
    <w:rsid w:val="00345D83"/>
    <w:rsid w:val="00345FEA"/>
    <w:rsid w:val="0034600B"/>
    <w:rsid w:val="003460B6"/>
    <w:rsid w:val="00346203"/>
    <w:rsid w:val="003462B7"/>
    <w:rsid w:val="00346324"/>
    <w:rsid w:val="00346471"/>
    <w:rsid w:val="003465D5"/>
    <w:rsid w:val="00346A28"/>
    <w:rsid w:val="00346A51"/>
    <w:rsid w:val="00346C6B"/>
    <w:rsid w:val="00346E74"/>
    <w:rsid w:val="00346EBF"/>
    <w:rsid w:val="00346F55"/>
    <w:rsid w:val="00346FDA"/>
    <w:rsid w:val="0034711D"/>
    <w:rsid w:val="003471AB"/>
    <w:rsid w:val="0034725D"/>
    <w:rsid w:val="0034730D"/>
    <w:rsid w:val="00347321"/>
    <w:rsid w:val="00347388"/>
    <w:rsid w:val="0034739B"/>
    <w:rsid w:val="003473C9"/>
    <w:rsid w:val="003473F9"/>
    <w:rsid w:val="0034749A"/>
    <w:rsid w:val="00347564"/>
    <w:rsid w:val="00347638"/>
    <w:rsid w:val="00347822"/>
    <w:rsid w:val="00347823"/>
    <w:rsid w:val="00347A74"/>
    <w:rsid w:val="00347CC0"/>
    <w:rsid w:val="00347D02"/>
    <w:rsid w:val="00347D53"/>
    <w:rsid w:val="00347DCD"/>
    <w:rsid w:val="00347DDE"/>
    <w:rsid w:val="00347E8E"/>
    <w:rsid w:val="00347EE5"/>
    <w:rsid w:val="00347F22"/>
    <w:rsid w:val="003503AB"/>
    <w:rsid w:val="00350486"/>
    <w:rsid w:val="00350607"/>
    <w:rsid w:val="0035064F"/>
    <w:rsid w:val="003506DF"/>
    <w:rsid w:val="003506E8"/>
    <w:rsid w:val="00350750"/>
    <w:rsid w:val="003507B1"/>
    <w:rsid w:val="003507C3"/>
    <w:rsid w:val="0035085E"/>
    <w:rsid w:val="003508D9"/>
    <w:rsid w:val="00350A1D"/>
    <w:rsid w:val="00350BA7"/>
    <w:rsid w:val="00350C88"/>
    <w:rsid w:val="00350E77"/>
    <w:rsid w:val="00351022"/>
    <w:rsid w:val="003510C3"/>
    <w:rsid w:val="00351143"/>
    <w:rsid w:val="0035128B"/>
    <w:rsid w:val="00351565"/>
    <w:rsid w:val="00351600"/>
    <w:rsid w:val="003517C1"/>
    <w:rsid w:val="003517D8"/>
    <w:rsid w:val="00351958"/>
    <w:rsid w:val="00351985"/>
    <w:rsid w:val="00351C23"/>
    <w:rsid w:val="00351C9B"/>
    <w:rsid w:val="00351CF8"/>
    <w:rsid w:val="00351D86"/>
    <w:rsid w:val="00351FB4"/>
    <w:rsid w:val="00351FB6"/>
    <w:rsid w:val="00351FDB"/>
    <w:rsid w:val="003523F2"/>
    <w:rsid w:val="0035246D"/>
    <w:rsid w:val="003524F5"/>
    <w:rsid w:val="0035266F"/>
    <w:rsid w:val="00352973"/>
    <w:rsid w:val="00352B3F"/>
    <w:rsid w:val="00352BF3"/>
    <w:rsid w:val="00352C72"/>
    <w:rsid w:val="00352DDF"/>
    <w:rsid w:val="00352E27"/>
    <w:rsid w:val="00352F37"/>
    <w:rsid w:val="00352F40"/>
    <w:rsid w:val="00352F71"/>
    <w:rsid w:val="003531AE"/>
    <w:rsid w:val="00353300"/>
    <w:rsid w:val="00353381"/>
    <w:rsid w:val="00353453"/>
    <w:rsid w:val="003537ED"/>
    <w:rsid w:val="00353AE6"/>
    <w:rsid w:val="00353BF5"/>
    <w:rsid w:val="00353C0B"/>
    <w:rsid w:val="00353D34"/>
    <w:rsid w:val="00353DE8"/>
    <w:rsid w:val="00353E79"/>
    <w:rsid w:val="00353F60"/>
    <w:rsid w:val="00353FB5"/>
    <w:rsid w:val="00353FCE"/>
    <w:rsid w:val="00353FF5"/>
    <w:rsid w:val="00354247"/>
    <w:rsid w:val="003542BC"/>
    <w:rsid w:val="003542FB"/>
    <w:rsid w:val="00354568"/>
    <w:rsid w:val="0035464E"/>
    <w:rsid w:val="00354650"/>
    <w:rsid w:val="00354690"/>
    <w:rsid w:val="0035470D"/>
    <w:rsid w:val="00354753"/>
    <w:rsid w:val="00354790"/>
    <w:rsid w:val="003547F4"/>
    <w:rsid w:val="003548A9"/>
    <w:rsid w:val="00354AED"/>
    <w:rsid w:val="00354C34"/>
    <w:rsid w:val="00354DFF"/>
    <w:rsid w:val="00354E02"/>
    <w:rsid w:val="00354E18"/>
    <w:rsid w:val="00354EAD"/>
    <w:rsid w:val="00354F38"/>
    <w:rsid w:val="0035534E"/>
    <w:rsid w:val="00355372"/>
    <w:rsid w:val="0035552C"/>
    <w:rsid w:val="0035571B"/>
    <w:rsid w:val="0035585E"/>
    <w:rsid w:val="00355914"/>
    <w:rsid w:val="00355D51"/>
    <w:rsid w:val="00355D98"/>
    <w:rsid w:val="00355F2C"/>
    <w:rsid w:val="0035602D"/>
    <w:rsid w:val="00356054"/>
    <w:rsid w:val="00356123"/>
    <w:rsid w:val="003561DF"/>
    <w:rsid w:val="00356230"/>
    <w:rsid w:val="00356354"/>
    <w:rsid w:val="003563A6"/>
    <w:rsid w:val="0035690F"/>
    <w:rsid w:val="003569E3"/>
    <w:rsid w:val="00356A32"/>
    <w:rsid w:val="00356A86"/>
    <w:rsid w:val="00356AA1"/>
    <w:rsid w:val="00356BF2"/>
    <w:rsid w:val="00356D32"/>
    <w:rsid w:val="00356D57"/>
    <w:rsid w:val="00356DA4"/>
    <w:rsid w:val="00356E2D"/>
    <w:rsid w:val="00356ED9"/>
    <w:rsid w:val="00356F55"/>
    <w:rsid w:val="00357018"/>
    <w:rsid w:val="003571FA"/>
    <w:rsid w:val="0035734E"/>
    <w:rsid w:val="003573AF"/>
    <w:rsid w:val="00357490"/>
    <w:rsid w:val="003575FC"/>
    <w:rsid w:val="00357686"/>
    <w:rsid w:val="003576B2"/>
    <w:rsid w:val="003576F9"/>
    <w:rsid w:val="003579C4"/>
    <w:rsid w:val="00357CF6"/>
    <w:rsid w:val="00357DDC"/>
    <w:rsid w:val="00357E0A"/>
    <w:rsid w:val="00357E4E"/>
    <w:rsid w:val="00357F33"/>
    <w:rsid w:val="00357F90"/>
    <w:rsid w:val="00360320"/>
    <w:rsid w:val="00360443"/>
    <w:rsid w:val="00360472"/>
    <w:rsid w:val="003605C9"/>
    <w:rsid w:val="003606A9"/>
    <w:rsid w:val="0036071D"/>
    <w:rsid w:val="00360793"/>
    <w:rsid w:val="003608A7"/>
    <w:rsid w:val="00360A63"/>
    <w:rsid w:val="00360AD0"/>
    <w:rsid w:val="00360F59"/>
    <w:rsid w:val="00360FF4"/>
    <w:rsid w:val="00361180"/>
    <w:rsid w:val="00361399"/>
    <w:rsid w:val="003615B0"/>
    <w:rsid w:val="003615D0"/>
    <w:rsid w:val="003618D1"/>
    <w:rsid w:val="00361AAD"/>
    <w:rsid w:val="00361FDB"/>
    <w:rsid w:val="003621F8"/>
    <w:rsid w:val="00362252"/>
    <w:rsid w:val="0036260F"/>
    <w:rsid w:val="003626B3"/>
    <w:rsid w:val="003626E5"/>
    <w:rsid w:val="003629CD"/>
    <w:rsid w:val="00362A3B"/>
    <w:rsid w:val="00362CF3"/>
    <w:rsid w:val="00362D31"/>
    <w:rsid w:val="00362DB5"/>
    <w:rsid w:val="00362E87"/>
    <w:rsid w:val="00362EE9"/>
    <w:rsid w:val="00362F53"/>
    <w:rsid w:val="00363085"/>
    <w:rsid w:val="00363306"/>
    <w:rsid w:val="0036345B"/>
    <w:rsid w:val="0036347B"/>
    <w:rsid w:val="00363593"/>
    <w:rsid w:val="0036375F"/>
    <w:rsid w:val="00363949"/>
    <w:rsid w:val="003639A2"/>
    <w:rsid w:val="003639C8"/>
    <w:rsid w:val="00363BD2"/>
    <w:rsid w:val="00363CC0"/>
    <w:rsid w:val="00363CDB"/>
    <w:rsid w:val="00364380"/>
    <w:rsid w:val="0036456A"/>
    <w:rsid w:val="0036470A"/>
    <w:rsid w:val="00364724"/>
    <w:rsid w:val="0036486D"/>
    <w:rsid w:val="00364AAA"/>
    <w:rsid w:val="00364AC6"/>
    <w:rsid w:val="00364B0C"/>
    <w:rsid w:val="00364BB2"/>
    <w:rsid w:val="00364C04"/>
    <w:rsid w:val="00364C50"/>
    <w:rsid w:val="00364D6C"/>
    <w:rsid w:val="00364E06"/>
    <w:rsid w:val="00364F88"/>
    <w:rsid w:val="00364FF9"/>
    <w:rsid w:val="0036503F"/>
    <w:rsid w:val="0036511F"/>
    <w:rsid w:val="003653A3"/>
    <w:rsid w:val="0036546F"/>
    <w:rsid w:val="003654CE"/>
    <w:rsid w:val="003658C1"/>
    <w:rsid w:val="00365911"/>
    <w:rsid w:val="00365CAC"/>
    <w:rsid w:val="00365FFB"/>
    <w:rsid w:val="00366414"/>
    <w:rsid w:val="003665A9"/>
    <w:rsid w:val="003665C3"/>
    <w:rsid w:val="003665CD"/>
    <w:rsid w:val="00366806"/>
    <w:rsid w:val="00366ABF"/>
    <w:rsid w:val="00366AE7"/>
    <w:rsid w:val="00366CAF"/>
    <w:rsid w:val="00366E45"/>
    <w:rsid w:val="00366F70"/>
    <w:rsid w:val="003673A5"/>
    <w:rsid w:val="003673B7"/>
    <w:rsid w:val="00367451"/>
    <w:rsid w:val="00367757"/>
    <w:rsid w:val="00367838"/>
    <w:rsid w:val="003678B9"/>
    <w:rsid w:val="0036794F"/>
    <w:rsid w:val="00367994"/>
    <w:rsid w:val="00367A4A"/>
    <w:rsid w:val="00367A88"/>
    <w:rsid w:val="00367B28"/>
    <w:rsid w:val="00367E8C"/>
    <w:rsid w:val="00367ED1"/>
    <w:rsid w:val="00367F3E"/>
    <w:rsid w:val="00367F59"/>
    <w:rsid w:val="00370127"/>
    <w:rsid w:val="003701BA"/>
    <w:rsid w:val="003701D8"/>
    <w:rsid w:val="0037022E"/>
    <w:rsid w:val="0037025B"/>
    <w:rsid w:val="0037029A"/>
    <w:rsid w:val="0037030A"/>
    <w:rsid w:val="00370425"/>
    <w:rsid w:val="0037049B"/>
    <w:rsid w:val="00370521"/>
    <w:rsid w:val="0037055B"/>
    <w:rsid w:val="0037073B"/>
    <w:rsid w:val="0037075A"/>
    <w:rsid w:val="00370916"/>
    <w:rsid w:val="00370972"/>
    <w:rsid w:val="00370A9B"/>
    <w:rsid w:val="00370B0E"/>
    <w:rsid w:val="00370B67"/>
    <w:rsid w:val="00370CAE"/>
    <w:rsid w:val="00370DC3"/>
    <w:rsid w:val="00371015"/>
    <w:rsid w:val="0037109A"/>
    <w:rsid w:val="0037119D"/>
    <w:rsid w:val="00371283"/>
    <w:rsid w:val="00371349"/>
    <w:rsid w:val="003713CE"/>
    <w:rsid w:val="003715F9"/>
    <w:rsid w:val="00371624"/>
    <w:rsid w:val="00371638"/>
    <w:rsid w:val="00371699"/>
    <w:rsid w:val="003716EA"/>
    <w:rsid w:val="00371893"/>
    <w:rsid w:val="00371A28"/>
    <w:rsid w:val="00371CFB"/>
    <w:rsid w:val="00371D53"/>
    <w:rsid w:val="00371EF5"/>
    <w:rsid w:val="00371F6A"/>
    <w:rsid w:val="00371FB7"/>
    <w:rsid w:val="0037211A"/>
    <w:rsid w:val="00372337"/>
    <w:rsid w:val="003723E9"/>
    <w:rsid w:val="003723ED"/>
    <w:rsid w:val="003726B1"/>
    <w:rsid w:val="003726FB"/>
    <w:rsid w:val="00372899"/>
    <w:rsid w:val="00372975"/>
    <w:rsid w:val="00372BC7"/>
    <w:rsid w:val="00372C55"/>
    <w:rsid w:val="00372D6C"/>
    <w:rsid w:val="00372E40"/>
    <w:rsid w:val="00372EA5"/>
    <w:rsid w:val="0037300C"/>
    <w:rsid w:val="00373398"/>
    <w:rsid w:val="00373483"/>
    <w:rsid w:val="003734BC"/>
    <w:rsid w:val="0037358E"/>
    <w:rsid w:val="00373711"/>
    <w:rsid w:val="00373C4A"/>
    <w:rsid w:val="00373C51"/>
    <w:rsid w:val="00373E02"/>
    <w:rsid w:val="00373F87"/>
    <w:rsid w:val="003742B9"/>
    <w:rsid w:val="003743CD"/>
    <w:rsid w:val="003746DE"/>
    <w:rsid w:val="003747BA"/>
    <w:rsid w:val="003747E4"/>
    <w:rsid w:val="00374860"/>
    <w:rsid w:val="00374872"/>
    <w:rsid w:val="00374957"/>
    <w:rsid w:val="0037498B"/>
    <w:rsid w:val="0037499B"/>
    <w:rsid w:val="003749F2"/>
    <w:rsid w:val="00374A70"/>
    <w:rsid w:val="00374D35"/>
    <w:rsid w:val="00374EEB"/>
    <w:rsid w:val="00374F32"/>
    <w:rsid w:val="00374F40"/>
    <w:rsid w:val="00374F84"/>
    <w:rsid w:val="00375237"/>
    <w:rsid w:val="003752BD"/>
    <w:rsid w:val="003752C7"/>
    <w:rsid w:val="00375397"/>
    <w:rsid w:val="0037558F"/>
    <w:rsid w:val="0037573B"/>
    <w:rsid w:val="003757A3"/>
    <w:rsid w:val="00375853"/>
    <w:rsid w:val="003758F5"/>
    <w:rsid w:val="0037599B"/>
    <w:rsid w:val="003759C3"/>
    <w:rsid w:val="00375CC3"/>
    <w:rsid w:val="00375CD6"/>
    <w:rsid w:val="00375DDA"/>
    <w:rsid w:val="00375F48"/>
    <w:rsid w:val="00375F5E"/>
    <w:rsid w:val="00375F9C"/>
    <w:rsid w:val="00376061"/>
    <w:rsid w:val="0037609A"/>
    <w:rsid w:val="003760CC"/>
    <w:rsid w:val="003762B2"/>
    <w:rsid w:val="003762E4"/>
    <w:rsid w:val="0037661F"/>
    <w:rsid w:val="00376758"/>
    <w:rsid w:val="003767BB"/>
    <w:rsid w:val="003767C1"/>
    <w:rsid w:val="003769C6"/>
    <w:rsid w:val="00376ACD"/>
    <w:rsid w:val="00376B27"/>
    <w:rsid w:val="00376C4C"/>
    <w:rsid w:val="00376E15"/>
    <w:rsid w:val="00376FEF"/>
    <w:rsid w:val="00377113"/>
    <w:rsid w:val="00377175"/>
    <w:rsid w:val="003773A2"/>
    <w:rsid w:val="0037749A"/>
    <w:rsid w:val="0037765D"/>
    <w:rsid w:val="00377682"/>
    <w:rsid w:val="003776C7"/>
    <w:rsid w:val="00377780"/>
    <w:rsid w:val="003779C2"/>
    <w:rsid w:val="00377AD7"/>
    <w:rsid w:val="00377DA2"/>
    <w:rsid w:val="00377DD1"/>
    <w:rsid w:val="00377E4C"/>
    <w:rsid w:val="0038009B"/>
    <w:rsid w:val="0038012A"/>
    <w:rsid w:val="00380232"/>
    <w:rsid w:val="003802FE"/>
    <w:rsid w:val="0038043E"/>
    <w:rsid w:val="00380496"/>
    <w:rsid w:val="003806B9"/>
    <w:rsid w:val="0038092A"/>
    <w:rsid w:val="003809E6"/>
    <w:rsid w:val="00380ED0"/>
    <w:rsid w:val="00380EE5"/>
    <w:rsid w:val="003810D4"/>
    <w:rsid w:val="003810FD"/>
    <w:rsid w:val="0038116B"/>
    <w:rsid w:val="00381209"/>
    <w:rsid w:val="00381224"/>
    <w:rsid w:val="0038137C"/>
    <w:rsid w:val="00381485"/>
    <w:rsid w:val="00381506"/>
    <w:rsid w:val="0038158B"/>
    <w:rsid w:val="00381646"/>
    <w:rsid w:val="0038184E"/>
    <w:rsid w:val="003818A6"/>
    <w:rsid w:val="00381A1C"/>
    <w:rsid w:val="00381B12"/>
    <w:rsid w:val="00381CF2"/>
    <w:rsid w:val="00381D41"/>
    <w:rsid w:val="00381E35"/>
    <w:rsid w:val="00381EFF"/>
    <w:rsid w:val="003820DC"/>
    <w:rsid w:val="003820F2"/>
    <w:rsid w:val="00382122"/>
    <w:rsid w:val="00382287"/>
    <w:rsid w:val="003823C2"/>
    <w:rsid w:val="003824CD"/>
    <w:rsid w:val="00382688"/>
    <w:rsid w:val="00382712"/>
    <w:rsid w:val="0038284B"/>
    <w:rsid w:val="003829F1"/>
    <w:rsid w:val="00382ACA"/>
    <w:rsid w:val="00382BCD"/>
    <w:rsid w:val="00382D1B"/>
    <w:rsid w:val="00382DA5"/>
    <w:rsid w:val="00382E36"/>
    <w:rsid w:val="00382E69"/>
    <w:rsid w:val="00382E7B"/>
    <w:rsid w:val="003832CD"/>
    <w:rsid w:val="00383653"/>
    <w:rsid w:val="0038367D"/>
    <w:rsid w:val="003836C1"/>
    <w:rsid w:val="003837A1"/>
    <w:rsid w:val="00383900"/>
    <w:rsid w:val="00383B70"/>
    <w:rsid w:val="00383CA7"/>
    <w:rsid w:val="00383D15"/>
    <w:rsid w:val="00383E98"/>
    <w:rsid w:val="00383E9D"/>
    <w:rsid w:val="00383ED1"/>
    <w:rsid w:val="00383F67"/>
    <w:rsid w:val="00384094"/>
    <w:rsid w:val="0038416F"/>
    <w:rsid w:val="003842B9"/>
    <w:rsid w:val="003844DC"/>
    <w:rsid w:val="003846FD"/>
    <w:rsid w:val="0038476B"/>
    <w:rsid w:val="00384887"/>
    <w:rsid w:val="00384B35"/>
    <w:rsid w:val="00384BE1"/>
    <w:rsid w:val="00384D46"/>
    <w:rsid w:val="00384FC0"/>
    <w:rsid w:val="00385188"/>
    <w:rsid w:val="003851F3"/>
    <w:rsid w:val="00385229"/>
    <w:rsid w:val="00385232"/>
    <w:rsid w:val="003852AE"/>
    <w:rsid w:val="00385349"/>
    <w:rsid w:val="003854D1"/>
    <w:rsid w:val="003854E5"/>
    <w:rsid w:val="0038591F"/>
    <w:rsid w:val="0038598E"/>
    <w:rsid w:val="00385A30"/>
    <w:rsid w:val="00385B76"/>
    <w:rsid w:val="00385BBE"/>
    <w:rsid w:val="00385F5A"/>
    <w:rsid w:val="0038605C"/>
    <w:rsid w:val="0038607E"/>
    <w:rsid w:val="00386101"/>
    <w:rsid w:val="00386129"/>
    <w:rsid w:val="00386143"/>
    <w:rsid w:val="00386342"/>
    <w:rsid w:val="00386487"/>
    <w:rsid w:val="00386569"/>
    <w:rsid w:val="003869D5"/>
    <w:rsid w:val="00386A74"/>
    <w:rsid w:val="00386B46"/>
    <w:rsid w:val="00386B8A"/>
    <w:rsid w:val="00386BF0"/>
    <w:rsid w:val="00386C5B"/>
    <w:rsid w:val="00386D12"/>
    <w:rsid w:val="00386DD9"/>
    <w:rsid w:val="00386FF3"/>
    <w:rsid w:val="003872A0"/>
    <w:rsid w:val="00387336"/>
    <w:rsid w:val="0038745A"/>
    <w:rsid w:val="003877E4"/>
    <w:rsid w:val="00387964"/>
    <w:rsid w:val="00387ABA"/>
    <w:rsid w:val="00387BF7"/>
    <w:rsid w:val="00387D50"/>
    <w:rsid w:val="00387E2D"/>
    <w:rsid w:val="00387E5E"/>
    <w:rsid w:val="00387EBE"/>
    <w:rsid w:val="00387FC2"/>
    <w:rsid w:val="003900A0"/>
    <w:rsid w:val="003900C1"/>
    <w:rsid w:val="003900ED"/>
    <w:rsid w:val="003904C9"/>
    <w:rsid w:val="00390657"/>
    <w:rsid w:val="00390720"/>
    <w:rsid w:val="0039078C"/>
    <w:rsid w:val="003908BB"/>
    <w:rsid w:val="0039096C"/>
    <w:rsid w:val="00390BCD"/>
    <w:rsid w:val="00390E81"/>
    <w:rsid w:val="00390FB3"/>
    <w:rsid w:val="00390FE1"/>
    <w:rsid w:val="00390FF5"/>
    <w:rsid w:val="00391160"/>
    <w:rsid w:val="003911CC"/>
    <w:rsid w:val="003911F4"/>
    <w:rsid w:val="003912DC"/>
    <w:rsid w:val="003913C5"/>
    <w:rsid w:val="00391A54"/>
    <w:rsid w:val="00391D01"/>
    <w:rsid w:val="00391D4C"/>
    <w:rsid w:val="00391D67"/>
    <w:rsid w:val="00391ED3"/>
    <w:rsid w:val="00392180"/>
    <w:rsid w:val="003921D1"/>
    <w:rsid w:val="00392236"/>
    <w:rsid w:val="00392292"/>
    <w:rsid w:val="0039238F"/>
    <w:rsid w:val="003924B0"/>
    <w:rsid w:val="0039252F"/>
    <w:rsid w:val="00392644"/>
    <w:rsid w:val="003926D6"/>
    <w:rsid w:val="00392A1E"/>
    <w:rsid w:val="00392A46"/>
    <w:rsid w:val="00392B05"/>
    <w:rsid w:val="00392B3F"/>
    <w:rsid w:val="00392D2E"/>
    <w:rsid w:val="00392F53"/>
    <w:rsid w:val="00392F87"/>
    <w:rsid w:val="00392FFF"/>
    <w:rsid w:val="00393136"/>
    <w:rsid w:val="00393201"/>
    <w:rsid w:val="00393268"/>
    <w:rsid w:val="00393277"/>
    <w:rsid w:val="003932A4"/>
    <w:rsid w:val="0039331D"/>
    <w:rsid w:val="00393497"/>
    <w:rsid w:val="003934C5"/>
    <w:rsid w:val="003934F3"/>
    <w:rsid w:val="00393512"/>
    <w:rsid w:val="0039365D"/>
    <w:rsid w:val="003936F7"/>
    <w:rsid w:val="0039376A"/>
    <w:rsid w:val="00393825"/>
    <w:rsid w:val="0039382E"/>
    <w:rsid w:val="0039397F"/>
    <w:rsid w:val="00393BA7"/>
    <w:rsid w:val="00393CAE"/>
    <w:rsid w:val="00393DBF"/>
    <w:rsid w:val="00393DE9"/>
    <w:rsid w:val="00393DFE"/>
    <w:rsid w:val="00393E46"/>
    <w:rsid w:val="00393E61"/>
    <w:rsid w:val="00393FA0"/>
    <w:rsid w:val="00393FC0"/>
    <w:rsid w:val="0039409D"/>
    <w:rsid w:val="0039439B"/>
    <w:rsid w:val="00394496"/>
    <w:rsid w:val="0039484D"/>
    <w:rsid w:val="0039484E"/>
    <w:rsid w:val="00394893"/>
    <w:rsid w:val="003948F8"/>
    <w:rsid w:val="00394939"/>
    <w:rsid w:val="00394A9D"/>
    <w:rsid w:val="00394B0A"/>
    <w:rsid w:val="00394D94"/>
    <w:rsid w:val="00394F9B"/>
    <w:rsid w:val="003951C6"/>
    <w:rsid w:val="003951EA"/>
    <w:rsid w:val="003952A6"/>
    <w:rsid w:val="0039535D"/>
    <w:rsid w:val="003955BF"/>
    <w:rsid w:val="0039566F"/>
    <w:rsid w:val="00395756"/>
    <w:rsid w:val="003958CE"/>
    <w:rsid w:val="00395A3D"/>
    <w:rsid w:val="00395A7F"/>
    <w:rsid w:val="00395B06"/>
    <w:rsid w:val="00395F8E"/>
    <w:rsid w:val="00395FFF"/>
    <w:rsid w:val="003962B3"/>
    <w:rsid w:val="003962EE"/>
    <w:rsid w:val="003963D4"/>
    <w:rsid w:val="0039644F"/>
    <w:rsid w:val="0039645F"/>
    <w:rsid w:val="00396606"/>
    <w:rsid w:val="00396660"/>
    <w:rsid w:val="00396705"/>
    <w:rsid w:val="00396752"/>
    <w:rsid w:val="0039678F"/>
    <w:rsid w:val="0039691B"/>
    <w:rsid w:val="00396BBC"/>
    <w:rsid w:val="00396C4C"/>
    <w:rsid w:val="00396C7E"/>
    <w:rsid w:val="00396D2A"/>
    <w:rsid w:val="00396E22"/>
    <w:rsid w:val="00396E8C"/>
    <w:rsid w:val="00396EF7"/>
    <w:rsid w:val="00396F6F"/>
    <w:rsid w:val="00396F84"/>
    <w:rsid w:val="00396F92"/>
    <w:rsid w:val="00396F9B"/>
    <w:rsid w:val="0039728A"/>
    <w:rsid w:val="003972C9"/>
    <w:rsid w:val="00397314"/>
    <w:rsid w:val="00397523"/>
    <w:rsid w:val="003978D5"/>
    <w:rsid w:val="00397AB3"/>
    <w:rsid w:val="00397AF3"/>
    <w:rsid w:val="00397D11"/>
    <w:rsid w:val="00397E4A"/>
    <w:rsid w:val="003A0119"/>
    <w:rsid w:val="003A0298"/>
    <w:rsid w:val="003A03D6"/>
    <w:rsid w:val="003A03EF"/>
    <w:rsid w:val="003A0491"/>
    <w:rsid w:val="003A0506"/>
    <w:rsid w:val="003A05F8"/>
    <w:rsid w:val="003A0851"/>
    <w:rsid w:val="003A09A6"/>
    <w:rsid w:val="003A0DEE"/>
    <w:rsid w:val="003A12FC"/>
    <w:rsid w:val="003A1410"/>
    <w:rsid w:val="003A14E3"/>
    <w:rsid w:val="003A173E"/>
    <w:rsid w:val="003A190D"/>
    <w:rsid w:val="003A19FF"/>
    <w:rsid w:val="003A1A1E"/>
    <w:rsid w:val="003A1B05"/>
    <w:rsid w:val="003A1DB4"/>
    <w:rsid w:val="003A1DDD"/>
    <w:rsid w:val="003A1DF5"/>
    <w:rsid w:val="003A2009"/>
    <w:rsid w:val="003A201F"/>
    <w:rsid w:val="003A2057"/>
    <w:rsid w:val="003A20A4"/>
    <w:rsid w:val="003A22A0"/>
    <w:rsid w:val="003A2308"/>
    <w:rsid w:val="003A232F"/>
    <w:rsid w:val="003A235D"/>
    <w:rsid w:val="003A23EB"/>
    <w:rsid w:val="003A252C"/>
    <w:rsid w:val="003A25A9"/>
    <w:rsid w:val="003A264D"/>
    <w:rsid w:val="003A2677"/>
    <w:rsid w:val="003A26D0"/>
    <w:rsid w:val="003A26FD"/>
    <w:rsid w:val="003A2839"/>
    <w:rsid w:val="003A2932"/>
    <w:rsid w:val="003A297A"/>
    <w:rsid w:val="003A2A36"/>
    <w:rsid w:val="003A2B1A"/>
    <w:rsid w:val="003A2B1D"/>
    <w:rsid w:val="003A2BF8"/>
    <w:rsid w:val="003A2D38"/>
    <w:rsid w:val="003A2ECC"/>
    <w:rsid w:val="003A2FED"/>
    <w:rsid w:val="003A304D"/>
    <w:rsid w:val="003A3208"/>
    <w:rsid w:val="003A3255"/>
    <w:rsid w:val="003A36CA"/>
    <w:rsid w:val="003A3727"/>
    <w:rsid w:val="003A3812"/>
    <w:rsid w:val="003A383F"/>
    <w:rsid w:val="003A38B5"/>
    <w:rsid w:val="003A38BB"/>
    <w:rsid w:val="003A38FC"/>
    <w:rsid w:val="003A3999"/>
    <w:rsid w:val="003A39C1"/>
    <w:rsid w:val="003A3A7E"/>
    <w:rsid w:val="003A3A9F"/>
    <w:rsid w:val="003A3B99"/>
    <w:rsid w:val="003A3C33"/>
    <w:rsid w:val="003A3DDE"/>
    <w:rsid w:val="003A409D"/>
    <w:rsid w:val="003A40F3"/>
    <w:rsid w:val="003A43E6"/>
    <w:rsid w:val="003A44F7"/>
    <w:rsid w:val="003A4548"/>
    <w:rsid w:val="003A4641"/>
    <w:rsid w:val="003A4744"/>
    <w:rsid w:val="003A4858"/>
    <w:rsid w:val="003A4891"/>
    <w:rsid w:val="003A4AF7"/>
    <w:rsid w:val="003A4C16"/>
    <w:rsid w:val="003A4CE7"/>
    <w:rsid w:val="003A4CEC"/>
    <w:rsid w:val="003A4DA7"/>
    <w:rsid w:val="003A4E96"/>
    <w:rsid w:val="003A4FFF"/>
    <w:rsid w:val="003A506E"/>
    <w:rsid w:val="003A5162"/>
    <w:rsid w:val="003A54BE"/>
    <w:rsid w:val="003A5637"/>
    <w:rsid w:val="003A56B9"/>
    <w:rsid w:val="003A5858"/>
    <w:rsid w:val="003A5873"/>
    <w:rsid w:val="003A594A"/>
    <w:rsid w:val="003A59D4"/>
    <w:rsid w:val="003A5A40"/>
    <w:rsid w:val="003A5AB4"/>
    <w:rsid w:val="003A5BC4"/>
    <w:rsid w:val="003A5BE4"/>
    <w:rsid w:val="003A5CBA"/>
    <w:rsid w:val="003A5FA6"/>
    <w:rsid w:val="003A6630"/>
    <w:rsid w:val="003A67D2"/>
    <w:rsid w:val="003A69A1"/>
    <w:rsid w:val="003A6A5A"/>
    <w:rsid w:val="003A6D37"/>
    <w:rsid w:val="003A6DED"/>
    <w:rsid w:val="003A7157"/>
    <w:rsid w:val="003A71EB"/>
    <w:rsid w:val="003A7221"/>
    <w:rsid w:val="003A72F1"/>
    <w:rsid w:val="003A76B4"/>
    <w:rsid w:val="003A777B"/>
    <w:rsid w:val="003A7895"/>
    <w:rsid w:val="003A7B0B"/>
    <w:rsid w:val="003A7B13"/>
    <w:rsid w:val="003A7CA1"/>
    <w:rsid w:val="003A7D58"/>
    <w:rsid w:val="003A7D6D"/>
    <w:rsid w:val="003A7E04"/>
    <w:rsid w:val="003A7E85"/>
    <w:rsid w:val="003A7EE7"/>
    <w:rsid w:val="003A7FB0"/>
    <w:rsid w:val="003B0122"/>
    <w:rsid w:val="003B0196"/>
    <w:rsid w:val="003B03B5"/>
    <w:rsid w:val="003B03C7"/>
    <w:rsid w:val="003B03FE"/>
    <w:rsid w:val="003B0447"/>
    <w:rsid w:val="003B051D"/>
    <w:rsid w:val="003B07E9"/>
    <w:rsid w:val="003B0A1F"/>
    <w:rsid w:val="003B0CE1"/>
    <w:rsid w:val="003B11C6"/>
    <w:rsid w:val="003B123F"/>
    <w:rsid w:val="003B1489"/>
    <w:rsid w:val="003B14EF"/>
    <w:rsid w:val="003B1657"/>
    <w:rsid w:val="003B1721"/>
    <w:rsid w:val="003B181C"/>
    <w:rsid w:val="003B18DD"/>
    <w:rsid w:val="003B1C5F"/>
    <w:rsid w:val="003B1E6E"/>
    <w:rsid w:val="003B1ECB"/>
    <w:rsid w:val="003B21AB"/>
    <w:rsid w:val="003B2AB6"/>
    <w:rsid w:val="003B2C97"/>
    <w:rsid w:val="003B2CD3"/>
    <w:rsid w:val="003B2DDC"/>
    <w:rsid w:val="003B31CC"/>
    <w:rsid w:val="003B31F6"/>
    <w:rsid w:val="003B33B6"/>
    <w:rsid w:val="003B3625"/>
    <w:rsid w:val="003B36F8"/>
    <w:rsid w:val="003B38D3"/>
    <w:rsid w:val="003B3E79"/>
    <w:rsid w:val="003B3EA0"/>
    <w:rsid w:val="003B412B"/>
    <w:rsid w:val="003B41A9"/>
    <w:rsid w:val="003B41C6"/>
    <w:rsid w:val="003B4367"/>
    <w:rsid w:val="003B4752"/>
    <w:rsid w:val="003B4786"/>
    <w:rsid w:val="003B47BB"/>
    <w:rsid w:val="003B4820"/>
    <w:rsid w:val="003B4898"/>
    <w:rsid w:val="003B48A7"/>
    <w:rsid w:val="003B4A98"/>
    <w:rsid w:val="003B4AAC"/>
    <w:rsid w:val="003B4C15"/>
    <w:rsid w:val="003B4D2F"/>
    <w:rsid w:val="003B4E7C"/>
    <w:rsid w:val="003B4FE9"/>
    <w:rsid w:val="003B5115"/>
    <w:rsid w:val="003B5124"/>
    <w:rsid w:val="003B51D1"/>
    <w:rsid w:val="003B51F8"/>
    <w:rsid w:val="003B5309"/>
    <w:rsid w:val="003B53CA"/>
    <w:rsid w:val="003B5652"/>
    <w:rsid w:val="003B580D"/>
    <w:rsid w:val="003B580F"/>
    <w:rsid w:val="003B5858"/>
    <w:rsid w:val="003B5948"/>
    <w:rsid w:val="003B5965"/>
    <w:rsid w:val="003B5BC9"/>
    <w:rsid w:val="003B5C7F"/>
    <w:rsid w:val="003B5CC8"/>
    <w:rsid w:val="003B5E4B"/>
    <w:rsid w:val="003B5EA0"/>
    <w:rsid w:val="003B6336"/>
    <w:rsid w:val="003B63B8"/>
    <w:rsid w:val="003B64D3"/>
    <w:rsid w:val="003B66AD"/>
    <w:rsid w:val="003B67AD"/>
    <w:rsid w:val="003B693A"/>
    <w:rsid w:val="003B6A0F"/>
    <w:rsid w:val="003B6C7F"/>
    <w:rsid w:val="003B6D23"/>
    <w:rsid w:val="003B6F24"/>
    <w:rsid w:val="003B6FB4"/>
    <w:rsid w:val="003B70A7"/>
    <w:rsid w:val="003B70EC"/>
    <w:rsid w:val="003B71D2"/>
    <w:rsid w:val="003B720F"/>
    <w:rsid w:val="003B7629"/>
    <w:rsid w:val="003B7908"/>
    <w:rsid w:val="003B79F9"/>
    <w:rsid w:val="003B7C99"/>
    <w:rsid w:val="003B7CF8"/>
    <w:rsid w:val="003B7EAB"/>
    <w:rsid w:val="003C01DE"/>
    <w:rsid w:val="003C0241"/>
    <w:rsid w:val="003C03D1"/>
    <w:rsid w:val="003C0427"/>
    <w:rsid w:val="003C0691"/>
    <w:rsid w:val="003C0884"/>
    <w:rsid w:val="003C09D1"/>
    <w:rsid w:val="003C09EC"/>
    <w:rsid w:val="003C0A1D"/>
    <w:rsid w:val="003C0CBD"/>
    <w:rsid w:val="003C0D65"/>
    <w:rsid w:val="003C0E34"/>
    <w:rsid w:val="003C0F47"/>
    <w:rsid w:val="003C105C"/>
    <w:rsid w:val="003C115B"/>
    <w:rsid w:val="003C1168"/>
    <w:rsid w:val="003C1283"/>
    <w:rsid w:val="003C12E0"/>
    <w:rsid w:val="003C160A"/>
    <w:rsid w:val="003C162F"/>
    <w:rsid w:val="003C1642"/>
    <w:rsid w:val="003C17D8"/>
    <w:rsid w:val="003C17F4"/>
    <w:rsid w:val="003C19D4"/>
    <w:rsid w:val="003C1A46"/>
    <w:rsid w:val="003C1DE6"/>
    <w:rsid w:val="003C2500"/>
    <w:rsid w:val="003C2704"/>
    <w:rsid w:val="003C29BB"/>
    <w:rsid w:val="003C2B76"/>
    <w:rsid w:val="003C2DD8"/>
    <w:rsid w:val="003C301C"/>
    <w:rsid w:val="003C3038"/>
    <w:rsid w:val="003C3070"/>
    <w:rsid w:val="003C3100"/>
    <w:rsid w:val="003C3282"/>
    <w:rsid w:val="003C3406"/>
    <w:rsid w:val="003C34AB"/>
    <w:rsid w:val="003C35D4"/>
    <w:rsid w:val="003C3984"/>
    <w:rsid w:val="003C3996"/>
    <w:rsid w:val="003C3C37"/>
    <w:rsid w:val="003C3CBE"/>
    <w:rsid w:val="003C3D0D"/>
    <w:rsid w:val="003C3E21"/>
    <w:rsid w:val="003C3E76"/>
    <w:rsid w:val="003C3F22"/>
    <w:rsid w:val="003C4073"/>
    <w:rsid w:val="003C42D0"/>
    <w:rsid w:val="003C43FA"/>
    <w:rsid w:val="003C44B1"/>
    <w:rsid w:val="003C44FB"/>
    <w:rsid w:val="003C471D"/>
    <w:rsid w:val="003C4945"/>
    <w:rsid w:val="003C49F4"/>
    <w:rsid w:val="003C4C24"/>
    <w:rsid w:val="003C4D8E"/>
    <w:rsid w:val="003C4F04"/>
    <w:rsid w:val="003C504A"/>
    <w:rsid w:val="003C51E8"/>
    <w:rsid w:val="003C520D"/>
    <w:rsid w:val="003C53C6"/>
    <w:rsid w:val="003C58D0"/>
    <w:rsid w:val="003C58E8"/>
    <w:rsid w:val="003C596A"/>
    <w:rsid w:val="003C5A21"/>
    <w:rsid w:val="003C5A98"/>
    <w:rsid w:val="003C5D79"/>
    <w:rsid w:val="003C5D7E"/>
    <w:rsid w:val="003C5F47"/>
    <w:rsid w:val="003C5F4B"/>
    <w:rsid w:val="003C6161"/>
    <w:rsid w:val="003C6202"/>
    <w:rsid w:val="003C631E"/>
    <w:rsid w:val="003C632E"/>
    <w:rsid w:val="003C6483"/>
    <w:rsid w:val="003C696A"/>
    <w:rsid w:val="003C698D"/>
    <w:rsid w:val="003C6B25"/>
    <w:rsid w:val="003C7000"/>
    <w:rsid w:val="003C706C"/>
    <w:rsid w:val="003C721E"/>
    <w:rsid w:val="003C736B"/>
    <w:rsid w:val="003C73D0"/>
    <w:rsid w:val="003C74CD"/>
    <w:rsid w:val="003C75FC"/>
    <w:rsid w:val="003C7689"/>
    <w:rsid w:val="003C788E"/>
    <w:rsid w:val="003C78EF"/>
    <w:rsid w:val="003C79EA"/>
    <w:rsid w:val="003C7A9A"/>
    <w:rsid w:val="003C7CC8"/>
    <w:rsid w:val="003C7CCD"/>
    <w:rsid w:val="003C7DA4"/>
    <w:rsid w:val="003D00DF"/>
    <w:rsid w:val="003D012C"/>
    <w:rsid w:val="003D01C8"/>
    <w:rsid w:val="003D0318"/>
    <w:rsid w:val="003D035A"/>
    <w:rsid w:val="003D052D"/>
    <w:rsid w:val="003D05DB"/>
    <w:rsid w:val="003D06C9"/>
    <w:rsid w:val="003D07B7"/>
    <w:rsid w:val="003D0822"/>
    <w:rsid w:val="003D0928"/>
    <w:rsid w:val="003D0A46"/>
    <w:rsid w:val="003D0ACB"/>
    <w:rsid w:val="003D0AEC"/>
    <w:rsid w:val="003D0C81"/>
    <w:rsid w:val="003D0D00"/>
    <w:rsid w:val="003D0F83"/>
    <w:rsid w:val="003D10D8"/>
    <w:rsid w:val="003D1146"/>
    <w:rsid w:val="003D1287"/>
    <w:rsid w:val="003D13F4"/>
    <w:rsid w:val="003D1425"/>
    <w:rsid w:val="003D142E"/>
    <w:rsid w:val="003D14BC"/>
    <w:rsid w:val="003D1678"/>
    <w:rsid w:val="003D1779"/>
    <w:rsid w:val="003D1910"/>
    <w:rsid w:val="003D1B45"/>
    <w:rsid w:val="003D1C0E"/>
    <w:rsid w:val="003D1DBF"/>
    <w:rsid w:val="003D1DFE"/>
    <w:rsid w:val="003D1F40"/>
    <w:rsid w:val="003D1F7F"/>
    <w:rsid w:val="003D1FC5"/>
    <w:rsid w:val="003D2011"/>
    <w:rsid w:val="003D205B"/>
    <w:rsid w:val="003D2061"/>
    <w:rsid w:val="003D2196"/>
    <w:rsid w:val="003D2222"/>
    <w:rsid w:val="003D229C"/>
    <w:rsid w:val="003D2322"/>
    <w:rsid w:val="003D2391"/>
    <w:rsid w:val="003D25D0"/>
    <w:rsid w:val="003D265C"/>
    <w:rsid w:val="003D28D8"/>
    <w:rsid w:val="003D29B2"/>
    <w:rsid w:val="003D29E2"/>
    <w:rsid w:val="003D2A6B"/>
    <w:rsid w:val="003D2B8C"/>
    <w:rsid w:val="003D2CA8"/>
    <w:rsid w:val="003D301B"/>
    <w:rsid w:val="003D30D7"/>
    <w:rsid w:val="003D322B"/>
    <w:rsid w:val="003D332E"/>
    <w:rsid w:val="003D3531"/>
    <w:rsid w:val="003D3546"/>
    <w:rsid w:val="003D3864"/>
    <w:rsid w:val="003D38BC"/>
    <w:rsid w:val="003D397E"/>
    <w:rsid w:val="003D3C0A"/>
    <w:rsid w:val="003D3D61"/>
    <w:rsid w:val="003D3FA8"/>
    <w:rsid w:val="003D4118"/>
    <w:rsid w:val="003D430D"/>
    <w:rsid w:val="003D43B2"/>
    <w:rsid w:val="003D4438"/>
    <w:rsid w:val="003D4595"/>
    <w:rsid w:val="003D464D"/>
    <w:rsid w:val="003D46F0"/>
    <w:rsid w:val="003D4800"/>
    <w:rsid w:val="003D49E0"/>
    <w:rsid w:val="003D49F1"/>
    <w:rsid w:val="003D4ABE"/>
    <w:rsid w:val="003D4B36"/>
    <w:rsid w:val="003D4C36"/>
    <w:rsid w:val="003D4DE9"/>
    <w:rsid w:val="003D4E7D"/>
    <w:rsid w:val="003D4EE5"/>
    <w:rsid w:val="003D4F53"/>
    <w:rsid w:val="003D4F83"/>
    <w:rsid w:val="003D5110"/>
    <w:rsid w:val="003D5217"/>
    <w:rsid w:val="003D5318"/>
    <w:rsid w:val="003D535A"/>
    <w:rsid w:val="003D55FC"/>
    <w:rsid w:val="003D5631"/>
    <w:rsid w:val="003D5795"/>
    <w:rsid w:val="003D5C30"/>
    <w:rsid w:val="003D5C7D"/>
    <w:rsid w:val="003D6061"/>
    <w:rsid w:val="003D60CE"/>
    <w:rsid w:val="003D60F6"/>
    <w:rsid w:val="003D6109"/>
    <w:rsid w:val="003D6486"/>
    <w:rsid w:val="003D64C2"/>
    <w:rsid w:val="003D6562"/>
    <w:rsid w:val="003D684E"/>
    <w:rsid w:val="003D68AE"/>
    <w:rsid w:val="003D699D"/>
    <w:rsid w:val="003D6B92"/>
    <w:rsid w:val="003D6CD3"/>
    <w:rsid w:val="003D6FAC"/>
    <w:rsid w:val="003D7020"/>
    <w:rsid w:val="003D7128"/>
    <w:rsid w:val="003D7210"/>
    <w:rsid w:val="003D72EE"/>
    <w:rsid w:val="003D735D"/>
    <w:rsid w:val="003D738B"/>
    <w:rsid w:val="003D7461"/>
    <w:rsid w:val="003D7703"/>
    <w:rsid w:val="003D77AC"/>
    <w:rsid w:val="003D7ACD"/>
    <w:rsid w:val="003D7CCD"/>
    <w:rsid w:val="003D7D89"/>
    <w:rsid w:val="003E00D9"/>
    <w:rsid w:val="003E02A1"/>
    <w:rsid w:val="003E02DB"/>
    <w:rsid w:val="003E030E"/>
    <w:rsid w:val="003E03C7"/>
    <w:rsid w:val="003E0406"/>
    <w:rsid w:val="003E0427"/>
    <w:rsid w:val="003E0470"/>
    <w:rsid w:val="003E050C"/>
    <w:rsid w:val="003E05B4"/>
    <w:rsid w:val="003E07EA"/>
    <w:rsid w:val="003E0971"/>
    <w:rsid w:val="003E09E0"/>
    <w:rsid w:val="003E0A21"/>
    <w:rsid w:val="003E0BB8"/>
    <w:rsid w:val="003E0D44"/>
    <w:rsid w:val="003E113F"/>
    <w:rsid w:val="003E11A2"/>
    <w:rsid w:val="003E1644"/>
    <w:rsid w:val="003E16A8"/>
    <w:rsid w:val="003E172E"/>
    <w:rsid w:val="003E1882"/>
    <w:rsid w:val="003E19C1"/>
    <w:rsid w:val="003E1A3C"/>
    <w:rsid w:val="003E1AFB"/>
    <w:rsid w:val="003E1B69"/>
    <w:rsid w:val="003E1C13"/>
    <w:rsid w:val="003E1CDC"/>
    <w:rsid w:val="003E1D75"/>
    <w:rsid w:val="003E1E53"/>
    <w:rsid w:val="003E1FB4"/>
    <w:rsid w:val="003E2092"/>
    <w:rsid w:val="003E21A7"/>
    <w:rsid w:val="003E2231"/>
    <w:rsid w:val="003E2249"/>
    <w:rsid w:val="003E2262"/>
    <w:rsid w:val="003E2296"/>
    <w:rsid w:val="003E2368"/>
    <w:rsid w:val="003E27EA"/>
    <w:rsid w:val="003E2851"/>
    <w:rsid w:val="003E28B3"/>
    <w:rsid w:val="003E28D7"/>
    <w:rsid w:val="003E2A49"/>
    <w:rsid w:val="003E2AFE"/>
    <w:rsid w:val="003E2F2E"/>
    <w:rsid w:val="003E2F65"/>
    <w:rsid w:val="003E3092"/>
    <w:rsid w:val="003E3338"/>
    <w:rsid w:val="003E3393"/>
    <w:rsid w:val="003E33F9"/>
    <w:rsid w:val="003E34DD"/>
    <w:rsid w:val="003E34E1"/>
    <w:rsid w:val="003E34F4"/>
    <w:rsid w:val="003E3528"/>
    <w:rsid w:val="003E3562"/>
    <w:rsid w:val="003E357F"/>
    <w:rsid w:val="003E3758"/>
    <w:rsid w:val="003E391F"/>
    <w:rsid w:val="003E3948"/>
    <w:rsid w:val="003E3C07"/>
    <w:rsid w:val="003E3C68"/>
    <w:rsid w:val="003E3E9C"/>
    <w:rsid w:val="003E40DE"/>
    <w:rsid w:val="003E4397"/>
    <w:rsid w:val="003E47A2"/>
    <w:rsid w:val="003E4B90"/>
    <w:rsid w:val="003E4D00"/>
    <w:rsid w:val="003E4EF1"/>
    <w:rsid w:val="003E4F00"/>
    <w:rsid w:val="003E4FBA"/>
    <w:rsid w:val="003E4FF8"/>
    <w:rsid w:val="003E5366"/>
    <w:rsid w:val="003E573A"/>
    <w:rsid w:val="003E59E7"/>
    <w:rsid w:val="003E5A00"/>
    <w:rsid w:val="003E5A50"/>
    <w:rsid w:val="003E5BF5"/>
    <w:rsid w:val="003E5D0F"/>
    <w:rsid w:val="003E5EC1"/>
    <w:rsid w:val="003E61D2"/>
    <w:rsid w:val="003E6792"/>
    <w:rsid w:val="003E698B"/>
    <w:rsid w:val="003E69A6"/>
    <w:rsid w:val="003E69AE"/>
    <w:rsid w:val="003E6C4A"/>
    <w:rsid w:val="003E6CFB"/>
    <w:rsid w:val="003E6D76"/>
    <w:rsid w:val="003E6E40"/>
    <w:rsid w:val="003E6E92"/>
    <w:rsid w:val="003E6F51"/>
    <w:rsid w:val="003E6FA3"/>
    <w:rsid w:val="003E6FE0"/>
    <w:rsid w:val="003E73E4"/>
    <w:rsid w:val="003E7474"/>
    <w:rsid w:val="003E791C"/>
    <w:rsid w:val="003E7B21"/>
    <w:rsid w:val="003E7FD9"/>
    <w:rsid w:val="003F0069"/>
    <w:rsid w:val="003F016F"/>
    <w:rsid w:val="003F01D1"/>
    <w:rsid w:val="003F03FC"/>
    <w:rsid w:val="003F0434"/>
    <w:rsid w:val="003F075A"/>
    <w:rsid w:val="003F0878"/>
    <w:rsid w:val="003F08BE"/>
    <w:rsid w:val="003F0A0D"/>
    <w:rsid w:val="003F0A9A"/>
    <w:rsid w:val="003F0AC7"/>
    <w:rsid w:val="003F0B2D"/>
    <w:rsid w:val="003F0CAD"/>
    <w:rsid w:val="003F0D13"/>
    <w:rsid w:val="003F0F2F"/>
    <w:rsid w:val="003F1058"/>
    <w:rsid w:val="003F110E"/>
    <w:rsid w:val="003F11BD"/>
    <w:rsid w:val="003F13DF"/>
    <w:rsid w:val="003F13E8"/>
    <w:rsid w:val="003F1419"/>
    <w:rsid w:val="003F1546"/>
    <w:rsid w:val="003F1728"/>
    <w:rsid w:val="003F17E5"/>
    <w:rsid w:val="003F189F"/>
    <w:rsid w:val="003F1AFD"/>
    <w:rsid w:val="003F1B75"/>
    <w:rsid w:val="003F1C2F"/>
    <w:rsid w:val="003F1E0D"/>
    <w:rsid w:val="003F1E4C"/>
    <w:rsid w:val="003F1F17"/>
    <w:rsid w:val="003F1FF0"/>
    <w:rsid w:val="003F2165"/>
    <w:rsid w:val="003F224F"/>
    <w:rsid w:val="003F2270"/>
    <w:rsid w:val="003F23B3"/>
    <w:rsid w:val="003F25FD"/>
    <w:rsid w:val="003F2892"/>
    <w:rsid w:val="003F29C0"/>
    <w:rsid w:val="003F2F1B"/>
    <w:rsid w:val="003F2F5B"/>
    <w:rsid w:val="003F2F8E"/>
    <w:rsid w:val="003F2FE1"/>
    <w:rsid w:val="003F3099"/>
    <w:rsid w:val="003F30F5"/>
    <w:rsid w:val="003F32D1"/>
    <w:rsid w:val="003F32E7"/>
    <w:rsid w:val="003F3402"/>
    <w:rsid w:val="003F3679"/>
    <w:rsid w:val="003F3737"/>
    <w:rsid w:val="003F3934"/>
    <w:rsid w:val="003F3A3B"/>
    <w:rsid w:val="003F3A5B"/>
    <w:rsid w:val="003F3B2C"/>
    <w:rsid w:val="003F3C7D"/>
    <w:rsid w:val="003F3D05"/>
    <w:rsid w:val="003F3DF3"/>
    <w:rsid w:val="003F3E1C"/>
    <w:rsid w:val="003F3E39"/>
    <w:rsid w:val="003F40E7"/>
    <w:rsid w:val="003F42C8"/>
    <w:rsid w:val="003F444F"/>
    <w:rsid w:val="003F4480"/>
    <w:rsid w:val="003F4496"/>
    <w:rsid w:val="003F46C6"/>
    <w:rsid w:val="003F47D9"/>
    <w:rsid w:val="003F49AB"/>
    <w:rsid w:val="003F4FAA"/>
    <w:rsid w:val="003F508C"/>
    <w:rsid w:val="003F5136"/>
    <w:rsid w:val="003F530D"/>
    <w:rsid w:val="003F53BA"/>
    <w:rsid w:val="003F53DD"/>
    <w:rsid w:val="003F54E2"/>
    <w:rsid w:val="003F55A3"/>
    <w:rsid w:val="003F562E"/>
    <w:rsid w:val="003F58A0"/>
    <w:rsid w:val="003F5B2E"/>
    <w:rsid w:val="003F5E02"/>
    <w:rsid w:val="003F6176"/>
    <w:rsid w:val="003F63F1"/>
    <w:rsid w:val="003F643A"/>
    <w:rsid w:val="003F647A"/>
    <w:rsid w:val="003F6596"/>
    <w:rsid w:val="003F65B1"/>
    <w:rsid w:val="003F67B1"/>
    <w:rsid w:val="003F67BE"/>
    <w:rsid w:val="003F6877"/>
    <w:rsid w:val="003F6896"/>
    <w:rsid w:val="003F68DB"/>
    <w:rsid w:val="003F68E0"/>
    <w:rsid w:val="003F6A35"/>
    <w:rsid w:val="003F6BCF"/>
    <w:rsid w:val="003F6FAC"/>
    <w:rsid w:val="003F7191"/>
    <w:rsid w:val="003F7257"/>
    <w:rsid w:val="003F7413"/>
    <w:rsid w:val="003F7431"/>
    <w:rsid w:val="003F75D5"/>
    <w:rsid w:val="003F7673"/>
    <w:rsid w:val="003F76E3"/>
    <w:rsid w:val="003F7B65"/>
    <w:rsid w:val="003F7BAB"/>
    <w:rsid w:val="004000AD"/>
    <w:rsid w:val="004002F9"/>
    <w:rsid w:val="00400302"/>
    <w:rsid w:val="004004BD"/>
    <w:rsid w:val="0040063B"/>
    <w:rsid w:val="00400641"/>
    <w:rsid w:val="004008F4"/>
    <w:rsid w:val="00400B62"/>
    <w:rsid w:val="00400C11"/>
    <w:rsid w:val="00400C51"/>
    <w:rsid w:val="00400E02"/>
    <w:rsid w:val="00400E4D"/>
    <w:rsid w:val="00400EDE"/>
    <w:rsid w:val="00400F14"/>
    <w:rsid w:val="004010AC"/>
    <w:rsid w:val="00401264"/>
    <w:rsid w:val="0040135F"/>
    <w:rsid w:val="004013CA"/>
    <w:rsid w:val="004013D4"/>
    <w:rsid w:val="004014DF"/>
    <w:rsid w:val="00401678"/>
    <w:rsid w:val="0040172A"/>
    <w:rsid w:val="00401831"/>
    <w:rsid w:val="00401AAB"/>
    <w:rsid w:val="00401D84"/>
    <w:rsid w:val="00401DA6"/>
    <w:rsid w:val="00401F03"/>
    <w:rsid w:val="004021BD"/>
    <w:rsid w:val="00402226"/>
    <w:rsid w:val="00402735"/>
    <w:rsid w:val="0040286C"/>
    <w:rsid w:val="00402C83"/>
    <w:rsid w:val="00402E57"/>
    <w:rsid w:val="004030D9"/>
    <w:rsid w:val="0040324A"/>
    <w:rsid w:val="00403420"/>
    <w:rsid w:val="004034E7"/>
    <w:rsid w:val="004034FA"/>
    <w:rsid w:val="0040353E"/>
    <w:rsid w:val="004035A3"/>
    <w:rsid w:val="004035CB"/>
    <w:rsid w:val="004035FA"/>
    <w:rsid w:val="004038B5"/>
    <w:rsid w:val="0040397C"/>
    <w:rsid w:val="00403A6D"/>
    <w:rsid w:val="00403AA9"/>
    <w:rsid w:val="00403C1F"/>
    <w:rsid w:val="00403CC9"/>
    <w:rsid w:val="00403DF5"/>
    <w:rsid w:val="00403EBE"/>
    <w:rsid w:val="0040409B"/>
    <w:rsid w:val="00404168"/>
    <w:rsid w:val="00404192"/>
    <w:rsid w:val="004042D5"/>
    <w:rsid w:val="004043CA"/>
    <w:rsid w:val="004044E2"/>
    <w:rsid w:val="00404569"/>
    <w:rsid w:val="0040472E"/>
    <w:rsid w:val="0040474A"/>
    <w:rsid w:val="00404A11"/>
    <w:rsid w:val="00404A71"/>
    <w:rsid w:val="00404B6F"/>
    <w:rsid w:val="00404C31"/>
    <w:rsid w:val="00404C92"/>
    <w:rsid w:val="00404EA4"/>
    <w:rsid w:val="00404FFB"/>
    <w:rsid w:val="00405188"/>
    <w:rsid w:val="004053D9"/>
    <w:rsid w:val="00405435"/>
    <w:rsid w:val="0040558B"/>
    <w:rsid w:val="004055E0"/>
    <w:rsid w:val="004056D9"/>
    <w:rsid w:val="004057BF"/>
    <w:rsid w:val="00405A0A"/>
    <w:rsid w:val="00405BBE"/>
    <w:rsid w:val="00405CEC"/>
    <w:rsid w:val="00405DD2"/>
    <w:rsid w:val="0040602E"/>
    <w:rsid w:val="004063C7"/>
    <w:rsid w:val="00406575"/>
    <w:rsid w:val="00406B5F"/>
    <w:rsid w:val="00406C6F"/>
    <w:rsid w:val="00406EEC"/>
    <w:rsid w:val="00406F0F"/>
    <w:rsid w:val="00406FCA"/>
    <w:rsid w:val="004070C7"/>
    <w:rsid w:val="00407116"/>
    <w:rsid w:val="004071DA"/>
    <w:rsid w:val="0040725E"/>
    <w:rsid w:val="004072E1"/>
    <w:rsid w:val="0040745E"/>
    <w:rsid w:val="00407529"/>
    <w:rsid w:val="00407587"/>
    <w:rsid w:val="0040759F"/>
    <w:rsid w:val="004076DA"/>
    <w:rsid w:val="004077DC"/>
    <w:rsid w:val="00407800"/>
    <w:rsid w:val="00407A7D"/>
    <w:rsid w:val="00407C2A"/>
    <w:rsid w:val="00407DBD"/>
    <w:rsid w:val="00407E55"/>
    <w:rsid w:val="00407E75"/>
    <w:rsid w:val="00407EA4"/>
    <w:rsid w:val="00407F76"/>
    <w:rsid w:val="00407F7E"/>
    <w:rsid w:val="0041014A"/>
    <w:rsid w:val="004102D0"/>
    <w:rsid w:val="00410320"/>
    <w:rsid w:val="004103FF"/>
    <w:rsid w:val="00410A98"/>
    <w:rsid w:val="00410B5A"/>
    <w:rsid w:val="00410C38"/>
    <w:rsid w:val="00410C65"/>
    <w:rsid w:val="00410EBC"/>
    <w:rsid w:val="00410F9E"/>
    <w:rsid w:val="00410FDE"/>
    <w:rsid w:val="0041112A"/>
    <w:rsid w:val="00411180"/>
    <w:rsid w:val="004113A8"/>
    <w:rsid w:val="00411787"/>
    <w:rsid w:val="004117D6"/>
    <w:rsid w:val="004118C7"/>
    <w:rsid w:val="00411B80"/>
    <w:rsid w:val="00411C75"/>
    <w:rsid w:val="00411D0E"/>
    <w:rsid w:val="00411DEB"/>
    <w:rsid w:val="00411F85"/>
    <w:rsid w:val="00412177"/>
    <w:rsid w:val="004121A3"/>
    <w:rsid w:val="00412211"/>
    <w:rsid w:val="004122DD"/>
    <w:rsid w:val="004123F8"/>
    <w:rsid w:val="004123FE"/>
    <w:rsid w:val="00412493"/>
    <w:rsid w:val="004125BD"/>
    <w:rsid w:val="004126CD"/>
    <w:rsid w:val="0041270B"/>
    <w:rsid w:val="00412759"/>
    <w:rsid w:val="0041284D"/>
    <w:rsid w:val="00412887"/>
    <w:rsid w:val="004129E0"/>
    <w:rsid w:val="00412F08"/>
    <w:rsid w:val="00412F3A"/>
    <w:rsid w:val="00413089"/>
    <w:rsid w:val="0041328A"/>
    <w:rsid w:val="00413299"/>
    <w:rsid w:val="00413691"/>
    <w:rsid w:val="004136CF"/>
    <w:rsid w:val="00413843"/>
    <w:rsid w:val="004139FE"/>
    <w:rsid w:val="00413AFC"/>
    <w:rsid w:val="00413D42"/>
    <w:rsid w:val="00413DB8"/>
    <w:rsid w:val="0041403D"/>
    <w:rsid w:val="00414276"/>
    <w:rsid w:val="004143B4"/>
    <w:rsid w:val="004144AD"/>
    <w:rsid w:val="004144E3"/>
    <w:rsid w:val="004144F6"/>
    <w:rsid w:val="004145F0"/>
    <w:rsid w:val="0041477C"/>
    <w:rsid w:val="00414ACC"/>
    <w:rsid w:val="00414B6D"/>
    <w:rsid w:val="00414C9A"/>
    <w:rsid w:val="00414DD5"/>
    <w:rsid w:val="00414E3D"/>
    <w:rsid w:val="00414F51"/>
    <w:rsid w:val="00414F52"/>
    <w:rsid w:val="00414FCB"/>
    <w:rsid w:val="004150D6"/>
    <w:rsid w:val="00415409"/>
    <w:rsid w:val="00415446"/>
    <w:rsid w:val="004154BB"/>
    <w:rsid w:val="00415593"/>
    <w:rsid w:val="00415629"/>
    <w:rsid w:val="00415674"/>
    <w:rsid w:val="0041575D"/>
    <w:rsid w:val="00415857"/>
    <w:rsid w:val="0041598B"/>
    <w:rsid w:val="00415A31"/>
    <w:rsid w:val="00415D02"/>
    <w:rsid w:val="00415E76"/>
    <w:rsid w:val="004160FA"/>
    <w:rsid w:val="00416126"/>
    <w:rsid w:val="00416463"/>
    <w:rsid w:val="004165FE"/>
    <w:rsid w:val="00416769"/>
    <w:rsid w:val="004168BA"/>
    <w:rsid w:val="00416A09"/>
    <w:rsid w:val="00416A85"/>
    <w:rsid w:val="00416A8F"/>
    <w:rsid w:val="00416AFB"/>
    <w:rsid w:val="00416B39"/>
    <w:rsid w:val="00416C0D"/>
    <w:rsid w:val="00416C15"/>
    <w:rsid w:val="00416C28"/>
    <w:rsid w:val="00416C30"/>
    <w:rsid w:val="00416C34"/>
    <w:rsid w:val="00416C4F"/>
    <w:rsid w:val="00416CB7"/>
    <w:rsid w:val="00416E08"/>
    <w:rsid w:val="00416E19"/>
    <w:rsid w:val="00416E5C"/>
    <w:rsid w:val="00416E88"/>
    <w:rsid w:val="00416EA3"/>
    <w:rsid w:val="004172FF"/>
    <w:rsid w:val="004173F5"/>
    <w:rsid w:val="00417658"/>
    <w:rsid w:val="00417818"/>
    <w:rsid w:val="004178CD"/>
    <w:rsid w:val="0041794F"/>
    <w:rsid w:val="00417979"/>
    <w:rsid w:val="004179E0"/>
    <w:rsid w:val="00417A14"/>
    <w:rsid w:val="00417A5C"/>
    <w:rsid w:val="00417B88"/>
    <w:rsid w:val="00417D14"/>
    <w:rsid w:val="00417DCE"/>
    <w:rsid w:val="00420344"/>
    <w:rsid w:val="00420421"/>
    <w:rsid w:val="0042042F"/>
    <w:rsid w:val="00420550"/>
    <w:rsid w:val="0042060C"/>
    <w:rsid w:val="004206BD"/>
    <w:rsid w:val="0042080A"/>
    <w:rsid w:val="00420A50"/>
    <w:rsid w:val="00420CB6"/>
    <w:rsid w:val="00420D0A"/>
    <w:rsid w:val="004211C1"/>
    <w:rsid w:val="004214DC"/>
    <w:rsid w:val="004215F6"/>
    <w:rsid w:val="00421867"/>
    <w:rsid w:val="004219F3"/>
    <w:rsid w:val="00421A04"/>
    <w:rsid w:val="00421ABA"/>
    <w:rsid w:val="00421B96"/>
    <w:rsid w:val="00421BA8"/>
    <w:rsid w:val="00421C8B"/>
    <w:rsid w:val="00421EE4"/>
    <w:rsid w:val="00421FE2"/>
    <w:rsid w:val="00422358"/>
    <w:rsid w:val="0042258D"/>
    <w:rsid w:val="0042262C"/>
    <w:rsid w:val="0042279F"/>
    <w:rsid w:val="004228C0"/>
    <w:rsid w:val="004229C9"/>
    <w:rsid w:val="00422BA1"/>
    <w:rsid w:val="00422C0E"/>
    <w:rsid w:val="00422C73"/>
    <w:rsid w:val="0042306C"/>
    <w:rsid w:val="00423249"/>
    <w:rsid w:val="00423425"/>
    <w:rsid w:val="00423727"/>
    <w:rsid w:val="00423771"/>
    <w:rsid w:val="004238A6"/>
    <w:rsid w:val="00423A7B"/>
    <w:rsid w:val="00423CEA"/>
    <w:rsid w:val="00423D15"/>
    <w:rsid w:val="00423D4B"/>
    <w:rsid w:val="00423D68"/>
    <w:rsid w:val="00423DFE"/>
    <w:rsid w:val="0042434C"/>
    <w:rsid w:val="00424414"/>
    <w:rsid w:val="0042492E"/>
    <w:rsid w:val="0042495F"/>
    <w:rsid w:val="00424B02"/>
    <w:rsid w:val="00424B25"/>
    <w:rsid w:val="00424BA3"/>
    <w:rsid w:val="00424BDC"/>
    <w:rsid w:val="00424E46"/>
    <w:rsid w:val="00424EF1"/>
    <w:rsid w:val="004250F3"/>
    <w:rsid w:val="00425100"/>
    <w:rsid w:val="0042512E"/>
    <w:rsid w:val="004252A4"/>
    <w:rsid w:val="00425368"/>
    <w:rsid w:val="00425487"/>
    <w:rsid w:val="004254B5"/>
    <w:rsid w:val="004256A7"/>
    <w:rsid w:val="004259C0"/>
    <w:rsid w:val="004259D5"/>
    <w:rsid w:val="00425B55"/>
    <w:rsid w:val="00425DB1"/>
    <w:rsid w:val="00425E19"/>
    <w:rsid w:val="004260BA"/>
    <w:rsid w:val="00426221"/>
    <w:rsid w:val="00426295"/>
    <w:rsid w:val="004266F5"/>
    <w:rsid w:val="00426BD9"/>
    <w:rsid w:val="00426BDB"/>
    <w:rsid w:val="00426D52"/>
    <w:rsid w:val="0042716B"/>
    <w:rsid w:val="004271F6"/>
    <w:rsid w:val="00427443"/>
    <w:rsid w:val="00427B15"/>
    <w:rsid w:val="00427D3D"/>
    <w:rsid w:val="00427F7A"/>
    <w:rsid w:val="0043028A"/>
    <w:rsid w:val="004305B5"/>
    <w:rsid w:val="00430610"/>
    <w:rsid w:val="00430637"/>
    <w:rsid w:val="00430992"/>
    <w:rsid w:val="00430C73"/>
    <w:rsid w:val="00430E38"/>
    <w:rsid w:val="00431007"/>
    <w:rsid w:val="00431071"/>
    <w:rsid w:val="00431080"/>
    <w:rsid w:val="004311E7"/>
    <w:rsid w:val="004316B5"/>
    <w:rsid w:val="004317AA"/>
    <w:rsid w:val="004317AD"/>
    <w:rsid w:val="004317B9"/>
    <w:rsid w:val="00431876"/>
    <w:rsid w:val="004319A8"/>
    <w:rsid w:val="00431B75"/>
    <w:rsid w:val="00431B91"/>
    <w:rsid w:val="00431BC3"/>
    <w:rsid w:val="00431C96"/>
    <w:rsid w:val="00431D10"/>
    <w:rsid w:val="00431D2E"/>
    <w:rsid w:val="00431D58"/>
    <w:rsid w:val="00431E21"/>
    <w:rsid w:val="00431EE7"/>
    <w:rsid w:val="0043205B"/>
    <w:rsid w:val="004323C6"/>
    <w:rsid w:val="0043246D"/>
    <w:rsid w:val="004325E6"/>
    <w:rsid w:val="0043266A"/>
    <w:rsid w:val="00432706"/>
    <w:rsid w:val="00432743"/>
    <w:rsid w:val="00432769"/>
    <w:rsid w:val="004327C4"/>
    <w:rsid w:val="004328E3"/>
    <w:rsid w:val="00432A1B"/>
    <w:rsid w:val="00432A34"/>
    <w:rsid w:val="00432AFC"/>
    <w:rsid w:val="00432CE2"/>
    <w:rsid w:val="00432DFB"/>
    <w:rsid w:val="00432E76"/>
    <w:rsid w:val="00432ECC"/>
    <w:rsid w:val="00432FB1"/>
    <w:rsid w:val="00433190"/>
    <w:rsid w:val="004331FD"/>
    <w:rsid w:val="00433272"/>
    <w:rsid w:val="004333BF"/>
    <w:rsid w:val="00433448"/>
    <w:rsid w:val="0043369D"/>
    <w:rsid w:val="004336B4"/>
    <w:rsid w:val="004336E8"/>
    <w:rsid w:val="004337DF"/>
    <w:rsid w:val="0043384B"/>
    <w:rsid w:val="00433865"/>
    <w:rsid w:val="004338C9"/>
    <w:rsid w:val="00433B51"/>
    <w:rsid w:val="0043401C"/>
    <w:rsid w:val="004341C9"/>
    <w:rsid w:val="00434232"/>
    <w:rsid w:val="00434281"/>
    <w:rsid w:val="004343DC"/>
    <w:rsid w:val="0043449D"/>
    <w:rsid w:val="004344C8"/>
    <w:rsid w:val="004347F5"/>
    <w:rsid w:val="00434812"/>
    <w:rsid w:val="00434866"/>
    <w:rsid w:val="00434992"/>
    <w:rsid w:val="00434D85"/>
    <w:rsid w:val="00434D98"/>
    <w:rsid w:val="00434DCE"/>
    <w:rsid w:val="00434EA3"/>
    <w:rsid w:val="00434F3D"/>
    <w:rsid w:val="0043519F"/>
    <w:rsid w:val="004353B3"/>
    <w:rsid w:val="004353FA"/>
    <w:rsid w:val="00435408"/>
    <w:rsid w:val="004355BA"/>
    <w:rsid w:val="00435675"/>
    <w:rsid w:val="0043579F"/>
    <w:rsid w:val="00435A28"/>
    <w:rsid w:val="00435CC3"/>
    <w:rsid w:val="00435DB0"/>
    <w:rsid w:val="00435ED2"/>
    <w:rsid w:val="00435FDC"/>
    <w:rsid w:val="004366A5"/>
    <w:rsid w:val="00436728"/>
    <w:rsid w:val="00436779"/>
    <w:rsid w:val="004368BE"/>
    <w:rsid w:val="004368E0"/>
    <w:rsid w:val="00436B12"/>
    <w:rsid w:val="00436C2B"/>
    <w:rsid w:val="00436C75"/>
    <w:rsid w:val="00436CAE"/>
    <w:rsid w:val="00436D51"/>
    <w:rsid w:val="0043700D"/>
    <w:rsid w:val="00437080"/>
    <w:rsid w:val="004370D1"/>
    <w:rsid w:val="004371FB"/>
    <w:rsid w:val="00437434"/>
    <w:rsid w:val="004376EF"/>
    <w:rsid w:val="00437706"/>
    <w:rsid w:val="0043786A"/>
    <w:rsid w:val="00437AE2"/>
    <w:rsid w:val="00437BAA"/>
    <w:rsid w:val="00437BAE"/>
    <w:rsid w:val="00437D08"/>
    <w:rsid w:val="00437F6E"/>
    <w:rsid w:val="004400B9"/>
    <w:rsid w:val="00440147"/>
    <w:rsid w:val="004403BD"/>
    <w:rsid w:val="00440419"/>
    <w:rsid w:val="00440539"/>
    <w:rsid w:val="0044061E"/>
    <w:rsid w:val="00440ABC"/>
    <w:rsid w:val="00440C07"/>
    <w:rsid w:val="00440FCE"/>
    <w:rsid w:val="004411A6"/>
    <w:rsid w:val="004412BB"/>
    <w:rsid w:val="00441372"/>
    <w:rsid w:val="004414A6"/>
    <w:rsid w:val="0044180B"/>
    <w:rsid w:val="0044183C"/>
    <w:rsid w:val="00441ADF"/>
    <w:rsid w:val="00441BDD"/>
    <w:rsid w:val="00441DAF"/>
    <w:rsid w:val="00441FC8"/>
    <w:rsid w:val="0044200D"/>
    <w:rsid w:val="00442145"/>
    <w:rsid w:val="0044217A"/>
    <w:rsid w:val="00442304"/>
    <w:rsid w:val="00442482"/>
    <w:rsid w:val="00442505"/>
    <w:rsid w:val="004425BB"/>
    <w:rsid w:val="00442646"/>
    <w:rsid w:val="00442890"/>
    <w:rsid w:val="004429B9"/>
    <w:rsid w:val="00442A80"/>
    <w:rsid w:val="00442B25"/>
    <w:rsid w:val="00442C3E"/>
    <w:rsid w:val="00442D8C"/>
    <w:rsid w:val="00442F60"/>
    <w:rsid w:val="00442FB1"/>
    <w:rsid w:val="00442FB8"/>
    <w:rsid w:val="00443278"/>
    <w:rsid w:val="004432C7"/>
    <w:rsid w:val="0044341C"/>
    <w:rsid w:val="0044360C"/>
    <w:rsid w:val="0044378B"/>
    <w:rsid w:val="00443794"/>
    <w:rsid w:val="004438B1"/>
    <w:rsid w:val="004438DD"/>
    <w:rsid w:val="004438E0"/>
    <w:rsid w:val="0044392B"/>
    <w:rsid w:val="00443B1B"/>
    <w:rsid w:val="00443EF9"/>
    <w:rsid w:val="00443F29"/>
    <w:rsid w:val="00443FE0"/>
    <w:rsid w:val="004440F1"/>
    <w:rsid w:val="004442CC"/>
    <w:rsid w:val="00444312"/>
    <w:rsid w:val="0044431E"/>
    <w:rsid w:val="004443D4"/>
    <w:rsid w:val="0044458D"/>
    <w:rsid w:val="0044470B"/>
    <w:rsid w:val="00444913"/>
    <w:rsid w:val="00444C3C"/>
    <w:rsid w:val="00444C42"/>
    <w:rsid w:val="00444D5B"/>
    <w:rsid w:val="00444EE9"/>
    <w:rsid w:val="00445041"/>
    <w:rsid w:val="004451F6"/>
    <w:rsid w:val="00445495"/>
    <w:rsid w:val="004456BE"/>
    <w:rsid w:val="004457CF"/>
    <w:rsid w:val="00445830"/>
    <w:rsid w:val="00445AFE"/>
    <w:rsid w:val="00445B99"/>
    <w:rsid w:val="00445BBF"/>
    <w:rsid w:val="00445D40"/>
    <w:rsid w:val="00445DD8"/>
    <w:rsid w:val="00445DDD"/>
    <w:rsid w:val="00445F7B"/>
    <w:rsid w:val="00446189"/>
    <w:rsid w:val="004461C7"/>
    <w:rsid w:val="0044671F"/>
    <w:rsid w:val="004468B1"/>
    <w:rsid w:val="004468B7"/>
    <w:rsid w:val="004468F5"/>
    <w:rsid w:val="004468F6"/>
    <w:rsid w:val="004469D0"/>
    <w:rsid w:val="00446A5A"/>
    <w:rsid w:val="00446ACB"/>
    <w:rsid w:val="00446B38"/>
    <w:rsid w:val="00446BBA"/>
    <w:rsid w:val="00446CA1"/>
    <w:rsid w:val="00446CB1"/>
    <w:rsid w:val="00446DB6"/>
    <w:rsid w:val="00446E7C"/>
    <w:rsid w:val="00447269"/>
    <w:rsid w:val="004472C1"/>
    <w:rsid w:val="0044730B"/>
    <w:rsid w:val="0044734F"/>
    <w:rsid w:val="004477E7"/>
    <w:rsid w:val="0044798C"/>
    <w:rsid w:val="004479B2"/>
    <w:rsid w:val="004479C2"/>
    <w:rsid w:val="004479E4"/>
    <w:rsid w:val="00447D57"/>
    <w:rsid w:val="00447F85"/>
    <w:rsid w:val="0045018F"/>
    <w:rsid w:val="004501CD"/>
    <w:rsid w:val="00450229"/>
    <w:rsid w:val="0045041D"/>
    <w:rsid w:val="004506C9"/>
    <w:rsid w:val="004507F1"/>
    <w:rsid w:val="004509E4"/>
    <w:rsid w:val="00450A0C"/>
    <w:rsid w:val="00450AA6"/>
    <w:rsid w:val="00450F32"/>
    <w:rsid w:val="004510B9"/>
    <w:rsid w:val="0045134F"/>
    <w:rsid w:val="0045144B"/>
    <w:rsid w:val="00451498"/>
    <w:rsid w:val="004514C3"/>
    <w:rsid w:val="004514E0"/>
    <w:rsid w:val="0045152C"/>
    <w:rsid w:val="00451579"/>
    <w:rsid w:val="00451944"/>
    <w:rsid w:val="00451CCD"/>
    <w:rsid w:val="00451CEB"/>
    <w:rsid w:val="00451DAA"/>
    <w:rsid w:val="00451DB3"/>
    <w:rsid w:val="00451ECB"/>
    <w:rsid w:val="00452080"/>
    <w:rsid w:val="004520CD"/>
    <w:rsid w:val="00452263"/>
    <w:rsid w:val="00452590"/>
    <w:rsid w:val="0045259F"/>
    <w:rsid w:val="004526DD"/>
    <w:rsid w:val="00452729"/>
    <w:rsid w:val="004529F9"/>
    <w:rsid w:val="00452B68"/>
    <w:rsid w:val="00452C42"/>
    <w:rsid w:val="00452D51"/>
    <w:rsid w:val="00452D57"/>
    <w:rsid w:val="00452E2A"/>
    <w:rsid w:val="00452FAA"/>
    <w:rsid w:val="0045319A"/>
    <w:rsid w:val="004531E5"/>
    <w:rsid w:val="004532D0"/>
    <w:rsid w:val="00453349"/>
    <w:rsid w:val="0045341F"/>
    <w:rsid w:val="0045342F"/>
    <w:rsid w:val="00453431"/>
    <w:rsid w:val="00453453"/>
    <w:rsid w:val="00453477"/>
    <w:rsid w:val="0045353A"/>
    <w:rsid w:val="0045361E"/>
    <w:rsid w:val="00453B8B"/>
    <w:rsid w:val="00453C52"/>
    <w:rsid w:val="00453D3F"/>
    <w:rsid w:val="00453D54"/>
    <w:rsid w:val="00453EB5"/>
    <w:rsid w:val="004540A4"/>
    <w:rsid w:val="004540BB"/>
    <w:rsid w:val="004540DC"/>
    <w:rsid w:val="00454131"/>
    <w:rsid w:val="0045434D"/>
    <w:rsid w:val="004544CF"/>
    <w:rsid w:val="004544FB"/>
    <w:rsid w:val="00454509"/>
    <w:rsid w:val="004545C2"/>
    <w:rsid w:val="004545D1"/>
    <w:rsid w:val="004546AB"/>
    <w:rsid w:val="0045475C"/>
    <w:rsid w:val="0045484D"/>
    <w:rsid w:val="00454898"/>
    <w:rsid w:val="004548C8"/>
    <w:rsid w:val="004549AA"/>
    <w:rsid w:val="00454B43"/>
    <w:rsid w:val="00454E2B"/>
    <w:rsid w:val="00454F57"/>
    <w:rsid w:val="00455012"/>
    <w:rsid w:val="004550E8"/>
    <w:rsid w:val="004550EE"/>
    <w:rsid w:val="004551D4"/>
    <w:rsid w:val="00455709"/>
    <w:rsid w:val="00455733"/>
    <w:rsid w:val="00455756"/>
    <w:rsid w:val="00455AE1"/>
    <w:rsid w:val="00455AEF"/>
    <w:rsid w:val="00455C11"/>
    <w:rsid w:val="00455C3E"/>
    <w:rsid w:val="00455D7C"/>
    <w:rsid w:val="00455E35"/>
    <w:rsid w:val="00455E7E"/>
    <w:rsid w:val="00456064"/>
    <w:rsid w:val="004561E0"/>
    <w:rsid w:val="004562A5"/>
    <w:rsid w:val="00456478"/>
    <w:rsid w:val="004565A4"/>
    <w:rsid w:val="0045666B"/>
    <w:rsid w:val="004566AD"/>
    <w:rsid w:val="004566F2"/>
    <w:rsid w:val="004567E7"/>
    <w:rsid w:val="00456A6C"/>
    <w:rsid w:val="00456A99"/>
    <w:rsid w:val="00456B65"/>
    <w:rsid w:val="00456B9F"/>
    <w:rsid w:val="00456C39"/>
    <w:rsid w:val="00456CD2"/>
    <w:rsid w:val="00456CEE"/>
    <w:rsid w:val="00456D6D"/>
    <w:rsid w:val="00456DBF"/>
    <w:rsid w:val="00456F7B"/>
    <w:rsid w:val="0045706C"/>
    <w:rsid w:val="0045713E"/>
    <w:rsid w:val="0045735E"/>
    <w:rsid w:val="00457394"/>
    <w:rsid w:val="004573F3"/>
    <w:rsid w:val="0045740C"/>
    <w:rsid w:val="00457441"/>
    <w:rsid w:val="00457553"/>
    <w:rsid w:val="00457563"/>
    <w:rsid w:val="00457586"/>
    <w:rsid w:val="00457737"/>
    <w:rsid w:val="00457870"/>
    <w:rsid w:val="004578AC"/>
    <w:rsid w:val="004579CE"/>
    <w:rsid w:val="00457C68"/>
    <w:rsid w:val="00457CFF"/>
    <w:rsid w:val="00457DEB"/>
    <w:rsid w:val="00457EDD"/>
    <w:rsid w:val="004604F7"/>
    <w:rsid w:val="00460502"/>
    <w:rsid w:val="004607EA"/>
    <w:rsid w:val="00460867"/>
    <w:rsid w:val="004608D7"/>
    <w:rsid w:val="0046097C"/>
    <w:rsid w:val="00460C8E"/>
    <w:rsid w:val="00460D8F"/>
    <w:rsid w:val="00460E5A"/>
    <w:rsid w:val="004612AA"/>
    <w:rsid w:val="00461374"/>
    <w:rsid w:val="004613F9"/>
    <w:rsid w:val="0046155C"/>
    <w:rsid w:val="00461785"/>
    <w:rsid w:val="00461912"/>
    <w:rsid w:val="00461998"/>
    <w:rsid w:val="00461E7B"/>
    <w:rsid w:val="00462075"/>
    <w:rsid w:val="004620A6"/>
    <w:rsid w:val="0046215D"/>
    <w:rsid w:val="0046218B"/>
    <w:rsid w:val="004622E4"/>
    <w:rsid w:val="00462310"/>
    <w:rsid w:val="004623E2"/>
    <w:rsid w:val="00462470"/>
    <w:rsid w:val="004624A8"/>
    <w:rsid w:val="0046258B"/>
    <w:rsid w:val="00462700"/>
    <w:rsid w:val="004627CF"/>
    <w:rsid w:val="0046292F"/>
    <w:rsid w:val="004629FA"/>
    <w:rsid w:val="00462A4E"/>
    <w:rsid w:val="00462AF4"/>
    <w:rsid w:val="00462BA6"/>
    <w:rsid w:val="00462DDD"/>
    <w:rsid w:val="00462E96"/>
    <w:rsid w:val="00462F35"/>
    <w:rsid w:val="0046305C"/>
    <w:rsid w:val="004630AC"/>
    <w:rsid w:val="004630D2"/>
    <w:rsid w:val="004632CC"/>
    <w:rsid w:val="00463357"/>
    <w:rsid w:val="00463431"/>
    <w:rsid w:val="0046361E"/>
    <w:rsid w:val="00463816"/>
    <w:rsid w:val="0046387A"/>
    <w:rsid w:val="00463905"/>
    <w:rsid w:val="0046391B"/>
    <w:rsid w:val="00463999"/>
    <w:rsid w:val="004639C5"/>
    <w:rsid w:val="00463A06"/>
    <w:rsid w:val="00463AA1"/>
    <w:rsid w:val="00463B63"/>
    <w:rsid w:val="00463C9C"/>
    <w:rsid w:val="00463CFD"/>
    <w:rsid w:val="00463DDF"/>
    <w:rsid w:val="00463E7F"/>
    <w:rsid w:val="00463ECB"/>
    <w:rsid w:val="00463F75"/>
    <w:rsid w:val="004642A1"/>
    <w:rsid w:val="00464577"/>
    <w:rsid w:val="0046493B"/>
    <w:rsid w:val="00464A5C"/>
    <w:rsid w:val="00464C9C"/>
    <w:rsid w:val="00464DC9"/>
    <w:rsid w:val="00464E00"/>
    <w:rsid w:val="00464E12"/>
    <w:rsid w:val="00464EC8"/>
    <w:rsid w:val="00464F3C"/>
    <w:rsid w:val="0046527C"/>
    <w:rsid w:val="004652FF"/>
    <w:rsid w:val="00465396"/>
    <w:rsid w:val="0046580A"/>
    <w:rsid w:val="00465813"/>
    <w:rsid w:val="00465887"/>
    <w:rsid w:val="00465917"/>
    <w:rsid w:val="00465A5A"/>
    <w:rsid w:val="00465A78"/>
    <w:rsid w:val="00465C45"/>
    <w:rsid w:val="00465DAA"/>
    <w:rsid w:val="00465E28"/>
    <w:rsid w:val="00465F27"/>
    <w:rsid w:val="00466012"/>
    <w:rsid w:val="00466072"/>
    <w:rsid w:val="00466120"/>
    <w:rsid w:val="004661F6"/>
    <w:rsid w:val="004663D6"/>
    <w:rsid w:val="00466495"/>
    <w:rsid w:val="00466674"/>
    <w:rsid w:val="00466737"/>
    <w:rsid w:val="0046678A"/>
    <w:rsid w:val="004667CF"/>
    <w:rsid w:val="00466ADC"/>
    <w:rsid w:val="00466B3D"/>
    <w:rsid w:val="00466B75"/>
    <w:rsid w:val="00466BBA"/>
    <w:rsid w:val="00466C82"/>
    <w:rsid w:val="00466DC0"/>
    <w:rsid w:val="00466DC8"/>
    <w:rsid w:val="00466DF6"/>
    <w:rsid w:val="00466E89"/>
    <w:rsid w:val="00466EAC"/>
    <w:rsid w:val="00466FF1"/>
    <w:rsid w:val="00466FFB"/>
    <w:rsid w:val="00467087"/>
    <w:rsid w:val="0046747F"/>
    <w:rsid w:val="004674DE"/>
    <w:rsid w:val="004674FA"/>
    <w:rsid w:val="00467597"/>
    <w:rsid w:val="004675C7"/>
    <w:rsid w:val="00467632"/>
    <w:rsid w:val="004677FB"/>
    <w:rsid w:val="004678CA"/>
    <w:rsid w:val="00467923"/>
    <w:rsid w:val="00467A2E"/>
    <w:rsid w:val="00467B7C"/>
    <w:rsid w:val="00467B88"/>
    <w:rsid w:val="00467BC5"/>
    <w:rsid w:val="00467C4F"/>
    <w:rsid w:val="00467C58"/>
    <w:rsid w:val="004701F6"/>
    <w:rsid w:val="004702B2"/>
    <w:rsid w:val="00470348"/>
    <w:rsid w:val="0047034A"/>
    <w:rsid w:val="004703C1"/>
    <w:rsid w:val="00470435"/>
    <w:rsid w:val="004705E3"/>
    <w:rsid w:val="00470743"/>
    <w:rsid w:val="00470856"/>
    <w:rsid w:val="00470957"/>
    <w:rsid w:val="00470971"/>
    <w:rsid w:val="00470A6A"/>
    <w:rsid w:val="00470DF8"/>
    <w:rsid w:val="004712A9"/>
    <w:rsid w:val="0047131C"/>
    <w:rsid w:val="0047136B"/>
    <w:rsid w:val="004713A9"/>
    <w:rsid w:val="004713F1"/>
    <w:rsid w:val="004714F1"/>
    <w:rsid w:val="0047150C"/>
    <w:rsid w:val="004716EF"/>
    <w:rsid w:val="0047177B"/>
    <w:rsid w:val="0047178E"/>
    <w:rsid w:val="00471891"/>
    <w:rsid w:val="004718B7"/>
    <w:rsid w:val="0047193E"/>
    <w:rsid w:val="00471981"/>
    <w:rsid w:val="00471994"/>
    <w:rsid w:val="00471E7A"/>
    <w:rsid w:val="00471F86"/>
    <w:rsid w:val="00472039"/>
    <w:rsid w:val="0047252D"/>
    <w:rsid w:val="004725BC"/>
    <w:rsid w:val="0047267A"/>
    <w:rsid w:val="004726D1"/>
    <w:rsid w:val="00473103"/>
    <w:rsid w:val="00473321"/>
    <w:rsid w:val="004735E2"/>
    <w:rsid w:val="0047368B"/>
    <w:rsid w:val="0047383C"/>
    <w:rsid w:val="00473975"/>
    <w:rsid w:val="004739BA"/>
    <w:rsid w:val="004739C5"/>
    <w:rsid w:val="00473C81"/>
    <w:rsid w:val="00473E16"/>
    <w:rsid w:val="00473E28"/>
    <w:rsid w:val="00473E9A"/>
    <w:rsid w:val="0047405E"/>
    <w:rsid w:val="004741E4"/>
    <w:rsid w:val="004743B6"/>
    <w:rsid w:val="004744DC"/>
    <w:rsid w:val="00474693"/>
    <w:rsid w:val="004748A9"/>
    <w:rsid w:val="00474984"/>
    <w:rsid w:val="00474A63"/>
    <w:rsid w:val="00474AC6"/>
    <w:rsid w:val="00474B88"/>
    <w:rsid w:val="00474BF3"/>
    <w:rsid w:val="00474D31"/>
    <w:rsid w:val="00474D57"/>
    <w:rsid w:val="00474E5C"/>
    <w:rsid w:val="00474E97"/>
    <w:rsid w:val="00474FE9"/>
    <w:rsid w:val="004752B3"/>
    <w:rsid w:val="00475386"/>
    <w:rsid w:val="0047538D"/>
    <w:rsid w:val="00475421"/>
    <w:rsid w:val="00475495"/>
    <w:rsid w:val="00475597"/>
    <w:rsid w:val="00475642"/>
    <w:rsid w:val="0047566E"/>
    <w:rsid w:val="00475672"/>
    <w:rsid w:val="00475782"/>
    <w:rsid w:val="00475842"/>
    <w:rsid w:val="004758AE"/>
    <w:rsid w:val="004759AD"/>
    <w:rsid w:val="00475AA7"/>
    <w:rsid w:val="00475C8F"/>
    <w:rsid w:val="00475D7A"/>
    <w:rsid w:val="00475F68"/>
    <w:rsid w:val="0047637B"/>
    <w:rsid w:val="0047640D"/>
    <w:rsid w:val="00476413"/>
    <w:rsid w:val="0047641C"/>
    <w:rsid w:val="004764FD"/>
    <w:rsid w:val="0047654D"/>
    <w:rsid w:val="0047658B"/>
    <w:rsid w:val="00476638"/>
    <w:rsid w:val="00476712"/>
    <w:rsid w:val="0047686A"/>
    <w:rsid w:val="00476950"/>
    <w:rsid w:val="004769E0"/>
    <w:rsid w:val="00476AC0"/>
    <w:rsid w:val="00476AF4"/>
    <w:rsid w:val="00476F54"/>
    <w:rsid w:val="004770C2"/>
    <w:rsid w:val="0047712D"/>
    <w:rsid w:val="0047729E"/>
    <w:rsid w:val="00477558"/>
    <w:rsid w:val="00477570"/>
    <w:rsid w:val="004775EA"/>
    <w:rsid w:val="004776DA"/>
    <w:rsid w:val="00477859"/>
    <w:rsid w:val="00477A91"/>
    <w:rsid w:val="00477C3A"/>
    <w:rsid w:val="00477C90"/>
    <w:rsid w:val="00477EF5"/>
    <w:rsid w:val="00477FDF"/>
    <w:rsid w:val="00480018"/>
    <w:rsid w:val="00480116"/>
    <w:rsid w:val="0048019D"/>
    <w:rsid w:val="004802A0"/>
    <w:rsid w:val="004802D8"/>
    <w:rsid w:val="00480347"/>
    <w:rsid w:val="00480352"/>
    <w:rsid w:val="00480392"/>
    <w:rsid w:val="00480411"/>
    <w:rsid w:val="00480565"/>
    <w:rsid w:val="004806ED"/>
    <w:rsid w:val="00480796"/>
    <w:rsid w:val="00480ACD"/>
    <w:rsid w:val="00480B91"/>
    <w:rsid w:val="00480C5D"/>
    <w:rsid w:val="00480DF5"/>
    <w:rsid w:val="00480E76"/>
    <w:rsid w:val="00480ECE"/>
    <w:rsid w:val="00480ED5"/>
    <w:rsid w:val="00480FB9"/>
    <w:rsid w:val="00480FF8"/>
    <w:rsid w:val="0048104B"/>
    <w:rsid w:val="004811A7"/>
    <w:rsid w:val="0048144A"/>
    <w:rsid w:val="0048194D"/>
    <w:rsid w:val="004819AF"/>
    <w:rsid w:val="004819CB"/>
    <w:rsid w:val="00481A92"/>
    <w:rsid w:val="00481B22"/>
    <w:rsid w:val="00481B62"/>
    <w:rsid w:val="00481EF4"/>
    <w:rsid w:val="00482038"/>
    <w:rsid w:val="004820BD"/>
    <w:rsid w:val="004820F7"/>
    <w:rsid w:val="004821B5"/>
    <w:rsid w:val="00482227"/>
    <w:rsid w:val="004822D8"/>
    <w:rsid w:val="004827D3"/>
    <w:rsid w:val="00482817"/>
    <w:rsid w:val="0048289F"/>
    <w:rsid w:val="00482AEF"/>
    <w:rsid w:val="00482BAE"/>
    <w:rsid w:val="00482BD4"/>
    <w:rsid w:val="00482C97"/>
    <w:rsid w:val="00482EB1"/>
    <w:rsid w:val="00482F53"/>
    <w:rsid w:val="00482F58"/>
    <w:rsid w:val="004831C5"/>
    <w:rsid w:val="004833AC"/>
    <w:rsid w:val="0048343E"/>
    <w:rsid w:val="0048344B"/>
    <w:rsid w:val="0048351B"/>
    <w:rsid w:val="0048357E"/>
    <w:rsid w:val="004835DA"/>
    <w:rsid w:val="004835E7"/>
    <w:rsid w:val="00483604"/>
    <w:rsid w:val="0048361A"/>
    <w:rsid w:val="00483879"/>
    <w:rsid w:val="004838EB"/>
    <w:rsid w:val="00483934"/>
    <w:rsid w:val="00483996"/>
    <w:rsid w:val="004839D2"/>
    <w:rsid w:val="004840EB"/>
    <w:rsid w:val="00484254"/>
    <w:rsid w:val="00484273"/>
    <w:rsid w:val="0048453D"/>
    <w:rsid w:val="004845AE"/>
    <w:rsid w:val="004846B0"/>
    <w:rsid w:val="004846BD"/>
    <w:rsid w:val="00484731"/>
    <w:rsid w:val="004847C8"/>
    <w:rsid w:val="004847C9"/>
    <w:rsid w:val="0048488C"/>
    <w:rsid w:val="0048497E"/>
    <w:rsid w:val="00484A62"/>
    <w:rsid w:val="00484AB2"/>
    <w:rsid w:val="00484BCC"/>
    <w:rsid w:val="00484BF7"/>
    <w:rsid w:val="00484C87"/>
    <w:rsid w:val="00484D90"/>
    <w:rsid w:val="00484EB2"/>
    <w:rsid w:val="00485043"/>
    <w:rsid w:val="0048517D"/>
    <w:rsid w:val="00485257"/>
    <w:rsid w:val="004852B6"/>
    <w:rsid w:val="00485481"/>
    <w:rsid w:val="004855D7"/>
    <w:rsid w:val="0048571E"/>
    <w:rsid w:val="00485945"/>
    <w:rsid w:val="00485995"/>
    <w:rsid w:val="00485BDF"/>
    <w:rsid w:val="00485E96"/>
    <w:rsid w:val="004863D8"/>
    <w:rsid w:val="00486417"/>
    <w:rsid w:val="0048641E"/>
    <w:rsid w:val="004868F9"/>
    <w:rsid w:val="0048695A"/>
    <w:rsid w:val="00486A05"/>
    <w:rsid w:val="00486A69"/>
    <w:rsid w:val="00486B33"/>
    <w:rsid w:val="00486B70"/>
    <w:rsid w:val="00486C60"/>
    <w:rsid w:val="00486CDC"/>
    <w:rsid w:val="00486D50"/>
    <w:rsid w:val="00486E25"/>
    <w:rsid w:val="00486E6F"/>
    <w:rsid w:val="00486FB0"/>
    <w:rsid w:val="00487271"/>
    <w:rsid w:val="0048735B"/>
    <w:rsid w:val="00487558"/>
    <w:rsid w:val="004875BC"/>
    <w:rsid w:val="0048765F"/>
    <w:rsid w:val="00487683"/>
    <w:rsid w:val="004876B3"/>
    <w:rsid w:val="004876F8"/>
    <w:rsid w:val="00487711"/>
    <w:rsid w:val="0048781D"/>
    <w:rsid w:val="00487831"/>
    <w:rsid w:val="00487847"/>
    <w:rsid w:val="00487867"/>
    <w:rsid w:val="004878BF"/>
    <w:rsid w:val="004879A0"/>
    <w:rsid w:val="004879E5"/>
    <w:rsid w:val="0049000A"/>
    <w:rsid w:val="00490014"/>
    <w:rsid w:val="0049029D"/>
    <w:rsid w:val="00490684"/>
    <w:rsid w:val="00490842"/>
    <w:rsid w:val="00490A55"/>
    <w:rsid w:val="00490B9A"/>
    <w:rsid w:val="00490C61"/>
    <w:rsid w:val="00490D87"/>
    <w:rsid w:val="00490FA1"/>
    <w:rsid w:val="00491035"/>
    <w:rsid w:val="00491100"/>
    <w:rsid w:val="0049118F"/>
    <w:rsid w:val="00491511"/>
    <w:rsid w:val="004915A0"/>
    <w:rsid w:val="0049160C"/>
    <w:rsid w:val="004918DC"/>
    <w:rsid w:val="00491CD6"/>
    <w:rsid w:val="00491D18"/>
    <w:rsid w:val="00491D29"/>
    <w:rsid w:val="00491DBB"/>
    <w:rsid w:val="00491E5A"/>
    <w:rsid w:val="004920D7"/>
    <w:rsid w:val="00492306"/>
    <w:rsid w:val="0049240A"/>
    <w:rsid w:val="0049245C"/>
    <w:rsid w:val="00492537"/>
    <w:rsid w:val="00492562"/>
    <w:rsid w:val="00492719"/>
    <w:rsid w:val="0049274E"/>
    <w:rsid w:val="00492752"/>
    <w:rsid w:val="00492899"/>
    <w:rsid w:val="004929EA"/>
    <w:rsid w:val="00492D4B"/>
    <w:rsid w:val="00492EEF"/>
    <w:rsid w:val="004930DC"/>
    <w:rsid w:val="0049334C"/>
    <w:rsid w:val="004933E0"/>
    <w:rsid w:val="004934D0"/>
    <w:rsid w:val="0049353D"/>
    <w:rsid w:val="004937B9"/>
    <w:rsid w:val="004937DE"/>
    <w:rsid w:val="00493817"/>
    <w:rsid w:val="00493875"/>
    <w:rsid w:val="004938DF"/>
    <w:rsid w:val="0049394C"/>
    <w:rsid w:val="00493A75"/>
    <w:rsid w:val="00493B60"/>
    <w:rsid w:val="00493BD3"/>
    <w:rsid w:val="00493CE4"/>
    <w:rsid w:val="00494009"/>
    <w:rsid w:val="0049406F"/>
    <w:rsid w:val="00494131"/>
    <w:rsid w:val="004941EA"/>
    <w:rsid w:val="0049423B"/>
    <w:rsid w:val="0049425D"/>
    <w:rsid w:val="004943AE"/>
    <w:rsid w:val="0049445B"/>
    <w:rsid w:val="004944AF"/>
    <w:rsid w:val="00494517"/>
    <w:rsid w:val="00494605"/>
    <w:rsid w:val="00494618"/>
    <w:rsid w:val="0049471D"/>
    <w:rsid w:val="00494A28"/>
    <w:rsid w:val="00495156"/>
    <w:rsid w:val="0049515A"/>
    <w:rsid w:val="004954F0"/>
    <w:rsid w:val="004954F5"/>
    <w:rsid w:val="0049552F"/>
    <w:rsid w:val="004956C4"/>
    <w:rsid w:val="004957BA"/>
    <w:rsid w:val="00495C77"/>
    <w:rsid w:val="00495E44"/>
    <w:rsid w:val="00495E97"/>
    <w:rsid w:val="00496038"/>
    <w:rsid w:val="004960CB"/>
    <w:rsid w:val="0049616A"/>
    <w:rsid w:val="004961EB"/>
    <w:rsid w:val="00496269"/>
    <w:rsid w:val="00496384"/>
    <w:rsid w:val="004964BB"/>
    <w:rsid w:val="0049653C"/>
    <w:rsid w:val="00496601"/>
    <w:rsid w:val="00496765"/>
    <w:rsid w:val="004967BE"/>
    <w:rsid w:val="004969C3"/>
    <w:rsid w:val="00496B0C"/>
    <w:rsid w:val="00496B9D"/>
    <w:rsid w:val="00496F19"/>
    <w:rsid w:val="00496F63"/>
    <w:rsid w:val="00496F91"/>
    <w:rsid w:val="00497034"/>
    <w:rsid w:val="00497067"/>
    <w:rsid w:val="0049706A"/>
    <w:rsid w:val="00497197"/>
    <w:rsid w:val="004972CD"/>
    <w:rsid w:val="0049738C"/>
    <w:rsid w:val="0049746A"/>
    <w:rsid w:val="004977ED"/>
    <w:rsid w:val="004978F1"/>
    <w:rsid w:val="00497989"/>
    <w:rsid w:val="00497D1D"/>
    <w:rsid w:val="00497D7E"/>
    <w:rsid w:val="00497FAE"/>
    <w:rsid w:val="004A00CE"/>
    <w:rsid w:val="004A0180"/>
    <w:rsid w:val="004A020B"/>
    <w:rsid w:val="004A020C"/>
    <w:rsid w:val="004A02F9"/>
    <w:rsid w:val="004A05D9"/>
    <w:rsid w:val="004A05F8"/>
    <w:rsid w:val="004A06A7"/>
    <w:rsid w:val="004A07E6"/>
    <w:rsid w:val="004A095F"/>
    <w:rsid w:val="004A0974"/>
    <w:rsid w:val="004A0A80"/>
    <w:rsid w:val="004A0B22"/>
    <w:rsid w:val="004A0EA1"/>
    <w:rsid w:val="004A0F59"/>
    <w:rsid w:val="004A1031"/>
    <w:rsid w:val="004A10EC"/>
    <w:rsid w:val="004A11AB"/>
    <w:rsid w:val="004A129F"/>
    <w:rsid w:val="004A15C0"/>
    <w:rsid w:val="004A1754"/>
    <w:rsid w:val="004A1B90"/>
    <w:rsid w:val="004A1D94"/>
    <w:rsid w:val="004A1DC8"/>
    <w:rsid w:val="004A1E91"/>
    <w:rsid w:val="004A1F6D"/>
    <w:rsid w:val="004A2013"/>
    <w:rsid w:val="004A2294"/>
    <w:rsid w:val="004A241A"/>
    <w:rsid w:val="004A2465"/>
    <w:rsid w:val="004A24CB"/>
    <w:rsid w:val="004A2587"/>
    <w:rsid w:val="004A2683"/>
    <w:rsid w:val="004A2751"/>
    <w:rsid w:val="004A27BF"/>
    <w:rsid w:val="004A2A3B"/>
    <w:rsid w:val="004A2EBC"/>
    <w:rsid w:val="004A2EBD"/>
    <w:rsid w:val="004A2ED0"/>
    <w:rsid w:val="004A3047"/>
    <w:rsid w:val="004A305C"/>
    <w:rsid w:val="004A322D"/>
    <w:rsid w:val="004A3288"/>
    <w:rsid w:val="004A32F6"/>
    <w:rsid w:val="004A33D3"/>
    <w:rsid w:val="004A359B"/>
    <w:rsid w:val="004A36E1"/>
    <w:rsid w:val="004A3789"/>
    <w:rsid w:val="004A38FF"/>
    <w:rsid w:val="004A3AC3"/>
    <w:rsid w:val="004A3BD3"/>
    <w:rsid w:val="004A3C8C"/>
    <w:rsid w:val="004A3DB9"/>
    <w:rsid w:val="004A3F53"/>
    <w:rsid w:val="004A4005"/>
    <w:rsid w:val="004A410E"/>
    <w:rsid w:val="004A4292"/>
    <w:rsid w:val="004A42BB"/>
    <w:rsid w:val="004A450C"/>
    <w:rsid w:val="004A4549"/>
    <w:rsid w:val="004A4564"/>
    <w:rsid w:val="004A4597"/>
    <w:rsid w:val="004A4745"/>
    <w:rsid w:val="004A48C7"/>
    <w:rsid w:val="004A49A2"/>
    <w:rsid w:val="004A4CC7"/>
    <w:rsid w:val="004A4F94"/>
    <w:rsid w:val="004A507B"/>
    <w:rsid w:val="004A52B5"/>
    <w:rsid w:val="004A53AE"/>
    <w:rsid w:val="004A53DD"/>
    <w:rsid w:val="004A53FC"/>
    <w:rsid w:val="004A56E2"/>
    <w:rsid w:val="004A583D"/>
    <w:rsid w:val="004A5857"/>
    <w:rsid w:val="004A58EE"/>
    <w:rsid w:val="004A5A7C"/>
    <w:rsid w:val="004A5A84"/>
    <w:rsid w:val="004A5C26"/>
    <w:rsid w:val="004A5DDF"/>
    <w:rsid w:val="004A5E2D"/>
    <w:rsid w:val="004A5E72"/>
    <w:rsid w:val="004A6087"/>
    <w:rsid w:val="004A60DC"/>
    <w:rsid w:val="004A60E6"/>
    <w:rsid w:val="004A6133"/>
    <w:rsid w:val="004A6326"/>
    <w:rsid w:val="004A6441"/>
    <w:rsid w:val="004A6564"/>
    <w:rsid w:val="004A65AF"/>
    <w:rsid w:val="004A6615"/>
    <w:rsid w:val="004A6686"/>
    <w:rsid w:val="004A6AAA"/>
    <w:rsid w:val="004A6ABF"/>
    <w:rsid w:val="004A6BB2"/>
    <w:rsid w:val="004A6BCA"/>
    <w:rsid w:val="004A6C0F"/>
    <w:rsid w:val="004A6CD6"/>
    <w:rsid w:val="004A6CDE"/>
    <w:rsid w:val="004A6E07"/>
    <w:rsid w:val="004A6FDF"/>
    <w:rsid w:val="004A70D3"/>
    <w:rsid w:val="004A7273"/>
    <w:rsid w:val="004A72C2"/>
    <w:rsid w:val="004A730D"/>
    <w:rsid w:val="004A73E3"/>
    <w:rsid w:val="004A740C"/>
    <w:rsid w:val="004A74A6"/>
    <w:rsid w:val="004A7604"/>
    <w:rsid w:val="004A7631"/>
    <w:rsid w:val="004A7685"/>
    <w:rsid w:val="004A76B0"/>
    <w:rsid w:val="004A7804"/>
    <w:rsid w:val="004A7869"/>
    <w:rsid w:val="004A78AB"/>
    <w:rsid w:val="004A799E"/>
    <w:rsid w:val="004A7A31"/>
    <w:rsid w:val="004A7BF1"/>
    <w:rsid w:val="004A7C44"/>
    <w:rsid w:val="004A7C63"/>
    <w:rsid w:val="004A7C6E"/>
    <w:rsid w:val="004A7CA3"/>
    <w:rsid w:val="004A7CDA"/>
    <w:rsid w:val="004A7D73"/>
    <w:rsid w:val="004A7F22"/>
    <w:rsid w:val="004B000B"/>
    <w:rsid w:val="004B0168"/>
    <w:rsid w:val="004B0241"/>
    <w:rsid w:val="004B02CA"/>
    <w:rsid w:val="004B0361"/>
    <w:rsid w:val="004B039D"/>
    <w:rsid w:val="004B0413"/>
    <w:rsid w:val="004B04E1"/>
    <w:rsid w:val="004B086F"/>
    <w:rsid w:val="004B08B5"/>
    <w:rsid w:val="004B08F7"/>
    <w:rsid w:val="004B092B"/>
    <w:rsid w:val="004B0AAF"/>
    <w:rsid w:val="004B0AEE"/>
    <w:rsid w:val="004B0E16"/>
    <w:rsid w:val="004B0F9D"/>
    <w:rsid w:val="004B1024"/>
    <w:rsid w:val="004B19B3"/>
    <w:rsid w:val="004B1AD2"/>
    <w:rsid w:val="004B1C19"/>
    <w:rsid w:val="004B1C5A"/>
    <w:rsid w:val="004B1CAD"/>
    <w:rsid w:val="004B2012"/>
    <w:rsid w:val="004B21D4"/>
    <w:rsid w:val="004B220D"/>
    <w:rsid w:val="004B269E"/>
    <w:rsid w:val="004B26A5"/>
    <w:rsid w:val="004B2936"/>
    <w:rsid w:val="004B2950"/>
    <w:rsid w:val="004B29B1"/>
    <w:rsid w:val="004B2A28"/>
    <w:rsid w:val="004B2AD0"/>
    <w:rsid w:val="004B2BF2"/>
    <w:rsid w:val="004B2E50"/>
    <w:rsid w:val="004B2E70"/>
    <w:rsid w:val="004B2E7B"/>
    <w:rsid w:val="004B30A6"/>
    <w:rsid w:val="004B33E4"/>
    <w:rsid w:val="004B35BB"/>
    <w:rsid w:val="004B37E8"/>
    <w:rsid w:val="004B37F6"/>
    <w:rsid w:val="004B3809"/>
    <w:rsid w:val="004B382C"/>
    <w:rsid w:val="004B3928"/>
    <w:rsid w:val="004B3B72"/>
    <w:rsid w:val="004B3F09"/>
    <w:rsid w:val="004B405B"/>
    <w:rsid w:val="004B4211"/>
    <w:rsid w:val="004B4310"/>
    <w:rsid w:val="004B4320"/>
    <w:rsid w:val="004B44D8"/>
    <w:rsid w:val="004B46ED"/>
    <w:rsid w:val="004B4A36"/>
    <w:rsid w:val="004B4B8C"/>
    <w:rsid w:val="004B4BB6"/>
    <w:rsid w:val="004B4DD5"/>
    <w:rsid w:val="004B4E70"/>
    <w:rsid w:val="004B5099"/>
    <w:rsid w:val="004B509A"/>
    <w:rsid w:val="004B509F"/>
    <w:rsid w:val="004B51FB"/>
    <w:rsid w:val="004B57EB"/>
    <w:rsid w:val="004B5DC9"/>
    <w:rsid w:val="004B5E17"/>
    <w:rsid w:val="004B5F7D"/>
    <w:rsid w:val="004B63CD"/>
    <w:rsid w:val="004B6407"/>
    <w:rsid w:val="004B6553"/>
    <w:rsid w:val="004B6742"/>
    <w:rsid w:val="004B6795"/>
    <w:rsid w:val="004B67D2"/>
    <w:rsid w:val="004B68A8"/>
    <w:rsid w:val="004B696D"/>
    <w:rsid w:val="004B6A6B"/>
    <w:rsid w:val="004B6AAD"/>
    <w:rsid w:val="004B6B22"/>
    <w:rsid w:val="004B6B80"/>
    <w:rsid w:val="004B6B86"/>
    <w:rsid w:val="004B6BB4"/>
    <w:rsid w:val="004B6F35"/>
    <w:rsid w:val="004B6F77"/>
    <w:rsid w:val="004B7081"/>
    <w:rsid w:val="004B7108"/>
    <w:rsid w:val="004B719A"/>
    <w:rsid w:val="004B72E9"/>
    <w:rsid w:val="004B7321"/>
    <w:rsid w:val="004B7532"/>
    <w:rsid w:val="004B782F"/>
    <w:rsid w:val="004B7888"/>
    <w:rsid w:val="004B78C0"/>
    <w:rsid w:val="004B7BB1"/>
    <w:rsid w:val="004B7C07"/>
    <w:rsid w:val="004B7D50"/>
    <w:rsid w:val="004B7DB9"/>
    <w:rsid w:val="004B7E27"/>
    <w:rsid w:val="004B7FEF"/>
    <w:rsid w:val="004C016D"/>
    <w:rsid w:val="004C017F"/>
    <w:rsid w:val="004C019C"/>
    <w:rsid w:val="004C0373"/>
    <w:rsid w:val="004C0380"/>
    <w:rsid w:val="004C0504"/>
    <w:rsid w:val="004C05EC"/>
    <w:rsid w:val="004C08A6"/>
    <w:rsid w:val="004C092C"/>
    <w:rsid w:val="004C0931"/>
    <w:rsid w:val="004C0B97"/>
    <w:rsid w:val="004C0C31"/>
    <w:rsid w:val="004C0D3F"/>
    <w:rsid w:val="004C0F7A"/>
    <w:rsid w:val="004C15E4"/>
    <w:rsid w:val="004C1741"/>
    <w:rsid w:val="004C1788"/>
    <w:rsid w:val="004C1794"/>
    <w:rsid w:val="004C1DA0"/>
    <w:rsid w:val="004C1F83"/>
    <w:rsid w:val="004C208F"/>
    <w:rsid w:val="004C20F3"/>
    <w:rsid w:val="004C21D0"/>
    <w:rsid w:val="004C22B6"/>
    <w:rsid w:val="004C2579"/>
    <w:rsid w:val="004C2696"/>
    <w:rsid w:val="004C2C9A"/>
    <w:rsid w:val="004C2E5B"/>
    <w:rsid w:val="004C2E85"/>
    <w:rsid w:val="004C306B"/>
    <w:rsid w:val="004C328A"/>
    <w:rsid w:val="004C33A7"/>
    <w:rsid w:val="004C35BA"/>
    <w:rsid w:val="004C35D7"/>
    <w:rsid w:val="004C36EF"/>
    <w:rsid w:val="004C3785"/>
    <w:rsid w:val="004C37F9"/>
    <w:rsid w:val="004C38BB"/>
    <w:rsid w:val="004C3AB4"/>
    <w:rsid w:val="004C3BBD"/>
    <w:rsid w:val="004C3CF5"/>
    <w:rsid w:val="004C3E98"/>
    <w:rsid w:val="004C3F2A"/>
    <w:rsid w:val="004C3F49"/>
    <w:rsid w:val="004C3F7E"/>
    <w:rsid w:val="004C4340"/>
    <w:rsid w:val="004C43D1"/>
    <w:rsid w:val="004C446F"/>
    <w:rsid w:val="004C4724"/>
    <w:rsid w:val="004C49B4"/>
    <w:rsid w:val="004C4AD0"/>
    <w:rsid w:val="004C4B8F"/>
    <w:rsid w:val="004C515A"/>
    <w:rsid w:val="004C51CD"/>
    <w:rsid w:val="004C523A"/>
    <w:rsid w:val="004C5276"/>
    <w:rsid w:val="004C54F8"/>
    <w:rsid w:val="004C557F"/>
    <w:rsid w:val="004C559E"/>
    <w:rsid w:val="004C592D"/>
    <w:rsid w:val="004C59CF"/>
    <w:rsid w:val="004C59E7"/>
    <w:rsid w:val="004C5A00"/>
    <w:rsid w:val="004C5A71"/>
    <w:rsid w:val="004C5BA2"/>
    <w:rsid w:val="004C5C59"/>
    <w:rsid w:val="004C5C76"/>
    <w:rsid w:val="004C5D27"/>
    <w:rsid w:val="004C5E26"/>
    <w:rsid w:val="004C6069"/>
    <w:rsid w:val="004C60B8"/>
    <w:rsid w:val="004C64C5"/>
    <w:rsid w:val="004C6520"/>
    <w:rsid w:val="004C679D"/>
    <w:rsid w:val="004C67E8"/>
    <w:rsid w:val="004C67EB"/>
    <w:rsid w:val="004C6A3E"/>
    <w:rsid w:val="004C6A47"/>
    <w:rsid w:val="004C6AB7"/>
    <w:rsid w:val="004C6B05"/>
    <w:rsid w:val="004C6B1D"/>
    <w:rsid w:val="004C6B27"/>
    <w:rsid w:val="004C6C9B"/>
    <w:rsid w:val="004C6DDC"/>
    <w:rsid w:val="004C6E14"/>
    <w:rsid w:val="004C7042"/>
    <w:rsid w:val="004C7069"/>
    <w:rsid w:val="004C7163"/>
    <w:rsid w:val="004C728D"/>
    <w:rsid w:val="004C73C2"/>
    <w:rsid w:val="004C7422"/>
    <w:rsid w:val="004C7431"/>
    <w:rsid w:val="004C7648"/>
    <w:rsid w:val="004C7A28"/>
    <w:rsid w:val="004C7D20"/>
    <w:rsid w:val="004C7E2C"/>
    <w:rsid w:val="004C7E66"/>
    <w:rsid w:val="004C7EC7"/>
    <w:rsid w:val="004C7F17"/>
    <w:rsid w:val="004D0119"/>
    <w:rsid w:val="004D01A9"/>
    <w:rsid w:val="004D0650"/>
    <w:rsid w:val="004D07CC"/>
    <w:rsid w:val="004D08B6"/>
    <w:rsid w:val="004D09CC"/>
    <w:rsid w:val="004D0BB4"/>
    <w:rsid w:val="004D0D0F"/>
    <w:rsid w:val="004D0D35"/>
    <w:rsid w:val="004D0E56"/>
    <w:rsid w:val="004D0ED5"/>
    <w:rsid w:val="004D0F7E"/>
    <w:rsid w:val="004D112B"/>
    <w:rsid w:val="004D1211"/>
    <w:rsid w:val="004D142B"/>
    <w:rsid w:val="004D1432"/>
    <w:rsid w:val="004D1523"/>
    <w:rsid w:val="004D162F"/>
    <w:rsid w:val="004D16BD"/>
    <w:rsid w:val="004D16FD"/>
    <w:rsid w:val="004D171D"/>
    <w:rsid w:val="004D1915"/>
    <w:rsid w:val="004D195B"/>
    <w:rsid w:val="004D19BE"/>
    <w:rsid w:val="004D1AA7"/>
    <w:rsid w:val="004D1AFC"/>
    <w:rsid w:val="004D245B"/>
    <w:rsid w:val="004D2533"/>
    <w:rsid w:val="004D25CD"/>
    <w:rsid w:val="004D25E2"/>
    <w:rsid w:val="004D2659"/>
    <w:rsid w:val="004D2699"/>
    <w:rsid w:val="004D27A8"/>
    <w:rsid w:val="004D286F"/>
    <w:rsid w:val="004D29B7"/>
    <w:rsid w:val="004D2A11"/>
    <w:rsid w:val="004D2BA2"/>
    <w:rsid w:val="004D2D0D"/>
    <w:rsid w:val="004D2D34"/>
    <w:rsid w:val="004D2E36"/>
    <w:rsid w:val="004D2FB2"/>
    <w:rsid w:val="004D3065"/>
    <w:rsid w:val="004D319B"/>
    <w:rsid w:val="004D322D"/>
    <w:rsid w:val="004D32A0"/>
    <w:rsid w:val="004D32A3"/>
    <w:rsid w:val="004D343C"/>
    <w:rsid w:val="004D358F"/>
    <w:rsid w:val="004D36CC"/>
    <w:rsid w:val="004D36CE"/>
    <w:rsid w:val="004D374E"/>
    <w:rsid w:val="004D3751"/>
    <w:rsid w:val="004D3848"/>
    <w:rsid w:val="004D3C4A"/>
    <w:rsid w:val="004D3CA1"/>
    <w:rsid w:val="004D3CD7"/>
    <w:rsid w:val="004D4035"/>
    <w:rsid w:val="004D40DD"/>
    <w:rsid w:val="004D4123"/>
    <w:rsid w:val="004D4154"/>
    <w:rsid w:val="004D415A"/>
    <w:rsid w:val="004D431F"/>
    <w:rsid w:val="004D4544"/>
    <w:rsid w:val="004D4594"/>
    <w:rsid w:val="004D45C5"/>
    <w:rsid w:val="004D45FD"/>
    <w:rsid w:val="004D46DA"/>
    <w:rsid w:val="004D474F"/>
    <w:rsid w:val="004D48AE"/>
    <w:rsid w:val="004D4C11"/>
    <w:rsid w:val="004D4F07"/>
    <w:rsid w:val="004D5023"/>
    <w:rsid w:val="004D5097"/>
    <w:rsid w:val="004D52CE"/>
    <w:rsid w:val="004D531B"/>
    <w:rsid w:val="004D540B"/>
    <w:rsid w:val="004D5578"/>
    <w:rsid w:val="004D5599"/>
    <w:rsid w:val="004D5702"/>
    <w:rsid w:val="004D5756"/>
    <w:rsid w:val="004D599F"/>
    <w:rsid w:val="004D5B7A"/>
    <w:rsid w:val="004D5CE2"/>
    <w:rsid w:val="004D5CEA"/>
    <w:rsid w:val="004D5CFA"/>
    <w:rsid w:val="004D5E11"/>
    <w:rsid w:val="004D6051"/>
    <w:rsid w:val="004D6727"/>
    <w:rsid w:val="004D6882"/>
    <w:rsid w:val="004D6904"/>
    <w:rsid w:val="004D693C"/>
    <w:rsid w:val="004D69F9"/>
    <w:rsid w:val="004D6B31"/>
    <w:rsid w:val="004D6BC8"/>
    <w:rsid w:val="004D6D37"/>
    <w:rsid w:val="004D6F3E"/>
    <w:rsid w:val="004D6F4E"/>
    <w:rsid w:val="004D6F78"/>
    <w:rsid w:val="004D720D"/>
    <w:rsid w:val="004D726C"/>
    <w:rsid w:val="004D72E4"/>
    <w:rsid w:val="004D7305"/>
    <w:rsid w:val="004D7336"/>
    <w:rsid w:val="004D734B"/>
    <w:rsid w:val="004D7371"/>
    <w:rsid w:val="004D73A5"/>
    <w:rsid w:val="004D7409"/>
    <w:rsid w:val="004D7819"/>
    <w:rsid w:val="004D788A"/>
    <w:rsid w:val="004D7A3E"/>
    <w:rsid w:val="004D7D17"/>
    <w:rsid w:val="004D7E98"/>
    <w:rsid w:val="004D7F47"/>
    <w:rsid w:val="004E01D4"/>
    <w:rsid w:val="004E028E"/>
    <w:rsid w:val="004E0432"/>
    <w:rsid w:val="004E0581"/>
    <w:rsid w:val="004E0700"/>
    <w:rsid w:val="004E096F"/>
    <w:rsid w:val="004E0ADE"/>
    <w:rsid w:val="004E0C7E"/>
    <w:rsid w:val="004E0D7B"/>
    <w:rsid w:val="004E0DA2"/>
    <w:rsid w:val="004E0F3B"/>
    <w:rsid w:val="004E1312"/>
    <w:rsid w:val="004E150D"/>
    <w:rsid w:val="004E188D"/>
    <w:rsid w:val="004E1BEC"/>
    <w:rsid w:val="004E1CB5"/>
    <w:rsid w:val="004E1D33"/>
    <w:rsid w:val="004E1E5A"/>
    <w:rsid w:val="004E1EF6"/>
    <w:rsid w:val="004E1F93"/>
    <w:rsid w:val="004E207F"/>
    <w:rsid w:val="004E21EE"/>
    <w:rsid w:val="004E2273"/>
    <w:rsid w:val="004E23B0"/>
    <w:rsid w:val="004E23E8"/>
    <w:rsid w:val="004E25DB"/>
    <w:rsid w:val="004E272D"/>
    <w:rsid w:val="004E281A"/>
    <w:rsid w:val="004E29F4"/>
    <w:rsid w:val="004E29FC"/>
    <w:rsid w:val="004E2A81"/>
    <w:rsid w:val="004E2AF7"/>
    <w:rsid w:val="004E2B2A"/>
    <w:rsid w:val="004E2BAD"/>
    <w:rsid w:val="004E2C2A"/>
    <w:rsid w:val="004E2DB2"/>
    <w:rsid w:val="004E2F5D"/>
    <w:rsid w:val="004E2F7B"/>
    <w:rsid w:val="004E308B"/>
    <w:rsid w:val="004E30C4"/>
    <w:rsid w:val="004E3119"/>
    <w:rsid w:val="004E3217"/>
    <w:rsid w:val="004E32B9"/>
    <w:rsid w:val="004E355E"/>
    <w:rsid w:val="004E373F"/>
    <w:rsid w:val="004E3B1C"/>
    <w:rsid w:val="004E3FF7"/>
    <w:rsid w:val="004E407B"/>
    <w:rsid w:val="004E41E9"/>
    <w:rsid w:val="004E4312"/>
    <w:rsid w:val="004E43B1"/>
    <w:rsid w:val="004E442C"/>
    <w:rsid w:val="004E4640"/>
    <w:rsid w:val="004E468E"/>
    <w:rsid w:val="004E46B3"/>
    <w:rsid w:val="004E4786"/>
    <w:rsid w:val="004E4936"/>
    <w:rsid w:val="004E4B4C"/>
    <w:rsid w:val="004E4E11"/>
    <w:rsid w:val="004E4E84"/>
    <w:rsid w:val="004E5018"/>
    <w:rsid w:val="004E504A"/>
    <w:rsid w:val="004E512E"/>
    <w:rsid w:val="004E5233"/>
    <w:rsid w:val="004E53D8"/>
    <w:rsid w:val="004E54D3"/>
    <w:rsid w:val="004E55AA"/>
    <w:rsid w:val="004E5633"/>
    <w:rsid w:val="004E5671"/>
    <w:rsid w:val="004E56AB"/>
    <w:rsid w:val="004E5AB1"/>
    <w:rsid w:val="004E5AB8"/>
    <w:rsid w:val="004E5AE4"/>
    <w:rsid w:val="004E5B5E"/>
    <w:rsid w:val="004E5B9D"/>
    <w:rsid w:val="004E5BC9"/>
    <w:rsid w:val="004E5C4E"/>
    <w:rsid w:val="004E5D57"/>
    <w:rsid w:val="004E5DAC"/>
    <w:rsid w:val="004E5DC0"/>
    <w:rsid w:val="004E6026"/>
    <w:rsid w:val="004E6027"/>
    <w:rsid w:val="004E604A"/>
    <w:rsid w:val="004E64E7"/>
    <w:rsid w:val="004E653E"/>
    <w:rsid w:val="004E660B"/>
    <w:rsid w:val="004E6773"/>
    <w:rsid w:val="004E67BA"/>
    <w:rsid w:val="004E68A8"/>
    <w:rsid w:val="004E693F"/>
    <w:rsid w:val="004E69D8"/>
    <w:rsid w:val="004E6BEA"/>
    <w:rsid w:val="004E6D1E"/>
    <w:rsid w:val="004E6FC8"/>
    <w:rsid w:val="004E705D"/>
    <w:rsid w:val="004E72F5"/>
    <w:rsid w:val="004E75C8"/>
    <w:rsid w:val="004E77AC"/>
    <w:rsid w:val="004E7B1A"/>
    <w:rsid w:val="004E7B2A"/>
    <w:rsid w:val="004E7C2F"/>
    <w:rsid w:val="004E7E79"/>
    <w:rsid w:val="004E7F81"/>
    <w:rsid w:val="004F0080"/>
    <w:rsid w:val="004F04F2"/>
    <w:rsid w:val="004F05AD"/>
    <w:rsid w:val="004F05F5"/>
    <w:rsid w:val="004F0651"/>
    <w:rsid w:val="004F0731"/>
    <w:rsid w:val="004F087E"/>
    <w:rsid w:val="004F0B5B"/>
    <w:rsid w:val="004F0BE7"/>
    <w:rsid w:val="004F0D35"/>
    <w:rsid w:val="004F0D8E"/>
    <w:rsid w:val="004F0DD3"/>
    <w:rsid w:val="004F10D4"/>
    <w:rsid w:val="004F1224"/>
    <w:rsid w:val="004F1557"/>
    <w:rsid w:val="004F169C"/>
    <w:rsid w:val="004F171F"/>
    <w:rsid w:val="004F1743"/>
    <w:rsid w:val="004F17C7"/>
    <w:rsid w:val="004F17D0"/>
    <w:rsid w:val="004F190B"/>
    <w:rsid w:val="004F1B54"/>
    <w:rsid w:val="004F1D40"/>
    <w:rsid w:val="004F1EAC"/>
    <w:rsid w:val="004F1F4B"/>
    <w:rsid w:val="004F20A4"/>
    <w:rsid w:val="004F2150"/>
    <w:rsid w:val="004F2167"/>
    <w:rsid w:val="004F2263"/>
    <w:rsid w:val="004F2301"/>
    <w:rsid w:val="004F2410"/>
    <w:rsid w:val="004F24C4"/>
    <w:rsid w:val="004F25D8"/>
    <w:rsid w:val="004F25DA"/>
    <w:rsid w:val="004F280B"/>
    <w:rsid w:val="004F290C"/>
    <w:rsid w:val="004F2A73"/>
    <w:rsid w:val="004F2BC4"/>
    <w:rsid w:val="004F3041"/>
    <w:rsid w:val="004F3266"/>
    <w:rsid w:val="004F33C3"/>
    <w:rsid w:val="004F346E"/>
    <w:rsid w:val="004F38B3"/>
    <w:rsid w:val="004F3973"/>
    <w:rsid w:val="004F3A7E"/>
    <w:rsid w:val="004F3ACE"/>
    <w:rsid w:val="004F3BA7"/>
    <w:rsid w:val="004F3BF2"/>
    <w:rsid w:val="004F3E7E"/>
    <w:rsid w:val="004F3EEC"/>
    <w:rsid w:val="004F3F78"/>
    <w:rsid w:val="004F401E"/>
    <w:rsid w:val="004F40B6"/>
    <w:rsid w:val="004F40E7"/>
    <w:rsid w:val="004F412B"/>
    <w:rsid w:val="004F4138"/>
    <w:rsid w:val="004F454C"/>
    <w:rsid w:val="004F4696"/>
    <w:rsid w:val="004F4922"/>
    <w:rsid w:val="004F4CCA"/>
    <w:rsid w:val="004F4D04"/>
    <w:rsid w:val="004F4DEE"/>
    <w:rsid w:val="004F4F17"/>
    <w:rsid w:val="004F508A"/>
    <w:rsid w:val="004F51F0"/>
    <w:rsid w:val="004F5441"/>
    <w:rsid w:val="004F56E2"/>
    <w:rsid w:val="004F57D1"/>
    <w:rsid w:val="004F5822"/>
    <w:rsid w:val="004F5864"/>
    <w:rsid w:val="004F58D0"/>
    <w:rsid w:val="004F5970"/>
    <w:rsid w:val="004F5B01"/>
    <w:rsid w:val="004F5D5A"/>
    <w:rsid w:val="004F5DBE"/>
    <w:rsid w:val="004F5E65"/>
    <w:rsid w:val="004F5F4E"/>
    <w:rsid w:val="004F5F70"/>
    <w:rsid w:val="004F60E3"/>
    <w:rsid w:val="004F648F"/>
    <w:rsid w:val="004F64C7"/>
    <w:rsid w:val="004F65B2"/>
    <w:rsid w:val="004F65F8"/>
    <w:rsid w:val="004F68E9"/>
    <w:rsid w:val="004F69AD"/>
    <w:rsid w:val="004F6AA2"/>
    <w:rsid w:val="004F6B44"/>
    <w:rsid w:val="004F6B9D"/>
    <w:rsid w:val="004F6C09"/>
    <w:rsid w:val="004F6CFA"/>
    <w:rsid w:val="004F6EA2"/>
    <w:rsid w:val="004F70C0"/>
    <w:rsid w:val="004F70CC"/>
    <w:rsid w:val="004F7195"/>
    <w:rsid w:val="004F71E3"/>
    <w:rsid w:val="004F72F8"/>
    <w:rsid w:val="004F7437"/>
    <w:rsid w:val="004F743E"/>
    <w:rsid w:val="004F746E"/>
    <w:rsid w:val="004F77BE"/>
    <w:rsid w:val="004F78C6"/>
    <w:rsid w:val="004F7B1E"/>
    <w:rsid w:val="004F7CC3"/>
    <w:rsid w:val="004F7E3F"/>
    <w:rsid w:val="0050001B"/>
    <w:rsid w:val="005000C3"/>
    <w:rsid w:val="0050045C"/>
    <w:rsid w:val="00500579"/>
    <w:rsid w:val="00500657"/>
    <w:rsid w:val="005007BD"/>
    <w:rsid w:val="0050084D"/>
    <w:rsid w:val="005008A9"/>
    <w:rsid w:val="005008AF"/>
    <w:rsid w:val="00500961"/>
    <w:rsid w:val="00500A05"/>
    <w:rsid w:val="00500A24"/>
    <w:rsid w:val="00500BEB"/>
    <w:rsid w:val="00500CA5"/>
    <w:rsid w:val="00500D37"/>
    <w:rsid w:val="00500D4E"/>
    <w:rsid w:val="00500F25"/>
    <w:rsid w:val="00501030"/>
    <w:rsid w:val="005014BC"/>
    <w:rsid w:val="0050159D"/>
    <w:rsid w:val="005015D9"/>
    <w:rsid w:val="005018BE"/>
    <w:rsid w:val="00501C32"/>
    <w:rsid w:val="00501CC1"/>
    <w:rsid w:val="00501F11"/>
    <w:rsid w:val="00502287"/>
    <w:rsid w:val="005024B3"/>
    <w:rsid w:val="00502528"/>
    <w:rsid w:val="0050257B"/>
    <w:rsid w:val="0050264E"/>
    <w:rsid w:val="005026FC"/>
    <w:rsid w:val="00502786"/>
    <w:rsid w:val="00502805"/>
    <w:rsid w:val="00502835"/>
    <w:rsid w:val="00502B56"/>
    <w:rsid w:val="00502B77"/>
    <w:rsid w:val="00502B99"/>
    <w:rsid w:val="00502CE8"/>
    <w:rsid w:val="00502CF7"/>
    <w:rsid w:val="00502D3A"/>
    <w:rsid w:val="00502F4F"/>
    <w:rsid w:val="00502F85"/>
    <w:rsid w:val="00503043"/>
    <w:rsid w:val="0050313F"/>
    <w:rsid w:val="00503213"/>
    <w:rsid w:val="0050321C"/>
    <w:rsid w:val="005032D5"/>
    <w:rsid w:val="0050366C"/>
    <w:rsid w:val="00503735"/>
    <w:rsid w:val="00503765"/>
    <w:rsid w:val="00503997"/>
    <w:rsid w:val="00503A48"/>
    <w:rsid w:val="00503DDE"/>
    <w:rsid w:val="00503FF2"/>
    <w:rsid w:val="005043F8"/>
    <w:rsid w:val="00504402"/>
    <w:rsid w:val="0050449F"/>
    <w:rsid w:val="005044EC"/>
    <w:rsid w:val="005045BA"/>
    <w:rsid w:val="00504622"/>
    <w:rsid w:val="00504688"/>
    <w:rsid w:val="00504862"/>
    <w:rsid w:val="0050487B"/>
    <w:rsid w:val="005048D2"/>
    <w:rsid w:val="00504A7D"/>
    <w:rsid w:val="00504C93"/>
    <w:rsid w:val="00504E05"/>
    <w:rsid w:val="005052D1"/>
    <w:rsid w:val="00505455"/>
    <w:rsid w:val="0050551B"/>
    <w:rsid w:val="005055D1"/>
    <w:rsid w:val="00505704"/>
    <w:rsid w:val="00505A00"/>
    <w:rsid w:val="00505BA7"/>
    <w:rsid w:val="00505D99"/>
    <w:rsid w:val="00505E31"/>
    <w:rsid w:val="0050602C"/>
    <w:rsid w:val="005067DC"/>
    <w:rsid w:val="005068E3"/>
    <w:rsid w:val="00506980"/>
    <w:rsid w:val="00506AAD"/>
    <w:rsid w:val="00506AC9"/>
    <w:rsid w:val="00506EE3"/>
    <w:rsid w:val="00507061"/>
    <w:rsid w:val="005071B6"/>
    <w:rsid w:val="005071D5"/>
    <w:rsid w:val="005074CC"/>
    <w:rsid w:val="00507526"/>
    <w:rsid w:val="005077E5"/>
    <w:rsid w:val="00507C43"/>
    <w:rsid w:val="00507D1F"/>
    <w:rsid w:val="00507ECA"/>
    <w:rsid w:val="00510319"/>
    <w:rsid w:val="0051049A"/>
    <w:rsid w:val="00510507"/>
    <w:rsid w:val="005105C0"/>
    <w:rsid w:val="00510712"/>
    <w:rsid w:val="0051075D"/>
    <w:rsid w:val="0051078D"/>
    <w:rsid w:val="0051089B"/>
    <w:rsid w:val="005108EB"/>
    <w:rsid w:val="00510906"/>
    <w:rsid w:val="00510966"/>
    <w:rsid w:val="00510B91"/>
    <w:rsid w:val="00510BF8"/>
    <w:rsid w:val="00510D8F"/>
    <w:rsid w:val="00510E60"/>
    <w:rsid w:val="00510F23"/>
    <w:rsid w:val="00511105"/>
    <w:rsid w:val="0051114C"/>
    <w:rsid w:val="00511276"/>
    <w:rsid w:val="005114B5"/>
    <w:rsid w:val="00511BFC"/>
    <w:rsid w:val="00511FC2"/>
    <w:rsid w:val="00512429"/>
    <w:rsid w:val="0051261C"/>
    <w:rsid w:val="00512648"/>
    <w:rsid w:val="00512A2D"/>
    <w:rsid w:val="00512A50"/>
    <w:rsid w:val="00512DC3"/>
    <w:rsid w:val="00512F02"/>
    <w:rsid w:val="00512FD5"/>
    <w:rsid w:val="005130CE"/>
    <w:rsid w:val="0051319F"/>
    <w:rsid w:val="00513219"/>
    <w:rsid w:val="00513341"/>
    <w:rsid w:val="005133AD"/>
    <w:rsid w:val="00513550"/>
    <w:rsid w:val="0051363B"/>
    <w:rsid w:val="005136D7"/>
    <w:rsid w:val="005136F4"/>
    <w:rsid w:val="00513854"/>
    <w:rsid w:val="005138F8"/>
    <w:rsid w:val="00513B4D"/>
    <w:rsid w:val="00513BCC"/>
    <w:rsid w:val="00513C71"/>
    <w:rsid w:val="00513D52"/>
    <w:rsid w:val="00513D76"/>
    <w:rsid w:val="00513F04"/>
    <w:rsid w:val="00514094"/>
    <w:rsid w:val="00514128"/>
    <w:rsid w:val="0051418D"/>
    <w:rsid w:val="00514218"/>
    <w:rsid w:val="005142EC"/>
    <w:rsid w:val="00514521"/>
    <w:rsid w:val="005146A7"/>
    <w:rsid w:val="005147CF"/>
    <w:rsid w:val="00514E74"/>
    <w:rsid w:val="00514F64"/>
    <w:rsid w:val="00514FF8"/>
    <w:rsid w:val="005151D4"/>
    <w:rsid w:val="00515209"/>
    <w:rsid w:val="005152A8"/>
    <w:rsid w:val="005154B0"/>
    <w:rsid w:val="00515545"/>
    <w:rsid w:val="005155E9"/>
    <w:rsid w:val="005157B6"/>
    <w:rsid w:val="00515A62"/>
    <w:rsid w:val="00515AAB"/>
    <w:rsid w:val="00515AED"/>
    <w:rsid w:val="00516098"/>
    <w:rsid w:val="00516149"/>
    <w:rsid w:val="005161E0"/>
    <w:rsid w:val="005165E0"/>
    <w:rsid w:val="0051667A"/>
    <w:rsid w:val="0051674E"/>
    <w:rsid w:val="00516764"/>
    <w:rsid w:val="005167C7"/>
    <w:rsid w:val="005167CE"/>
    <w:rsid w:val="005167DF"/>
    <w:rsid w:val="00516876"/>
    <w:rsid w:val="00516961"/>
    <w:rsid w:val="00516B29"/>
    <w:rsid w:val="00516B8B"/>
    <w:rsid w:val="00516BCD"/>
    <w:rsid w:val="00516CF0"/>
    <w:rsid w:val="00516D8E"/>
    <w:rsid w:val="00516E4E"/>
    <w:rsid w:val="00516E65"/>
    <w:rsid w:val="00516EAA"/>
    <w:rsid w:val="005173C0"/>
    <w:rsid w:val="005174DB"/>
    <w:rsid w:val="00517693"/>
    <w:rsid w:val="005176E4"/>
    <w:rsid w:val="0051778B"/>
    <w:rsid w:val="00517898"/>
    <w:rsid w:val="005178A6"/>
    <w:rsid w:val="00517956"/>
    <w:rsid w:val="005179F6"/>
    <w:rsid w:val="00517A60"/>
    <w:rsid w:val="00517AD5"/>
    <w:rsid w:val="00517B2D"/>
    <w:rsid w:val="0052017B"/>
    <w:rsid w:val="005201B7"/>
    <w:rsid w:val="0052021E"/>
    <w:rsid w:val="0052029F"/>
    <w:rsid w:val="00520325"/>
    <w:rsid w:val="0052043F"/>
    <w:rsid w:val="005207A3"/>
    <w:rsid w:val="005208B5"/>
    <w:rsid w:val="005208CC"/>
    <w:rsid w:val="00520B98"/>
    <w:rsid w:val="00520CE1"/>
    <w:rsid w:val="00520D6E"/>
    <w:rsid w:val="00520D9C"/>
    <w:rsid w:val="00520E6C"/>
    <w:rsid w:val="00520FAE"/>
    <w:rsid w:val="00521011"/>
    <w:rsid w:val="00521061"/>
    <w:rsid w:val="00521089"/>
    <w:rsid w:val="00521173"/>
    <w:rsid w:val="00521175"/>
    <w:rsid w:val="00521378"/>
    <w:rsid w:val="005215D0"/>
    <w:rsid w:val="0052167C"/>
    <w:rsid w:val="0052168E"/>
    <w:rsid w:val="00521889"/>
    <w:rsid w:val="00521C02"/>
    <w:rsid w:val="00521F6B"/>
    <w:rsid w:val="00521FFB"/>
    <w:rsid w:val="0052202D"/>
    <w:rsid w:val="00522073"/>
    <w:rsid w:val="0052227C"/>
    <w:rsid w:val="00522334"/>
    <w:rsid w:val="005224BA"/>
    <w:rsid w:val="005224F2"/>
    <w:rsid w:val="0052252A"/>
    <w:rsid w:val="0052262F"/>
    <w:rsid w:val="0052283D"/>
    <w:rsid w:val="0052289F"/>
    <w:rsid w:val="00522B04"/>
    <w:rsid w:val="00522CEE"/>
    <w:rsid w:val="00522D92"/>
    <w:rsid w:val="00522DAD"/>
    <w:rsid w:val="00523299"/>
    <w:rsid w:val="0052331B"/>
    <w:rsid w:val="005233DE"/>
    <w:rsid w:val="00523605"/>
    <w:rsid w:val="005236FA"/>
    <w:rsid w:val="00523842"/>
    <w:rsid w:val="005238C1"/>
    <w:rsid w:val="00523919"/>
    <w:rsid w:val="00523B4F"/>
    <w:rsid w:val="00523BA2"/>
    <w:rsid w:val="00523C6E"/>
    <w:rsid w:val="00523EE4"/>
    <w:rsid w:val="00523FEE"/>
    <w:rsid w:val="00524017"/>
    <w:rsid w:val="00524082"/>
    <w:rsid w:val="00524131"/>
    <w:rsid w:val="0052413A"/>
    <w:rsid w:val="00524187"/>
    <w:rsid w:val="005241AF"/>
    <w:rsid w:val="005242BE"/>
    <w:rsid w:val="00524383"/>
    <w:rsid w:val="0052478E"/>
    <w:rsid w:val="0052481F"/>
    <w:rsid w:val="00524A7F"/>
    <w:rsid w:val="00524B21"/>
    <w:rsid w:val="00524C0C"/>
    <w:rsid w:val="00524C2C"/>
    <w:rsid w:val="00524C4D"/>
    <w:rsid w:val="00524FC4"/>
    <w:rsid w:val="0052520E"/>
    <w:rsid w:val="005252D9"/>
    <w:rsid w:val="00525406"/>
    <w:rsid w:val="005254F4"/>
    <w:rsid w:val="0052550C"/>
    <w:rsid w:val="0052552E"/>
    <w:rsid w:val="005256A5"/>
    <w:rsid w:val="00525924"/>
    <w:rsid w:val="00525E94"/>
    <w:rsid w:val="00525EDC"/>
    <w:rsid w:val="00525F16"/>
    <w:rsid w:val="00525F6B"/>
    <w:rsid w:val="00525FFC"/>
    <w:rsid w:val="005262D9"/>
    <w:rsid w:val="005263C6"/>
    <w:rsid w:val="005267AF"/>
    <w:rsid w:val="005268EC"/>
    <w:rsid w:val="00526946"/>
    <w:rsid w:val="00526A1D"/>
    <w:rsid w:val="00526F58"/>
    <w:rsid w:val="00527057"/>
    <w:rsid w:val="00527079"/>
    <w:rsid w:val="005272B4"/>
    <w:rsid w:val="0052732B"/>
    <w:rsid w:val="0052758B"/>
    <w:rsid w:val="00527958"/>
    <w:rsid w:val="00527A2F"/>
    <w:rsid w:val="00527A84"/>
    <w:rsid w:val="00527AE6"/>
    <w:rsid w:val="00527D73"/>
    <w:rsid w:val="0053002F"/>
    <w:rsid w:val="0053018A"/>
    <w:rsid w:val="00530415"/>
    <w:rsid w:val="00530496"/>
    <w:rsid w:val="005305E3"/>
    <w:rsid w:val="005306E6"/>
    <w:rsid w:val="0053079F"/>
    <w:rsid w:val="00530924"/>
    <w:rsid w:val="005309C7"/>
    <w:rsid w:val="005309DA"/>
    <w:rsid w:val="00530A72"/>
    <w:rsid w:val="00530BBD"/>
    <w:rsid w:val="00530C0C"/>
    <w:rsid w:val="00530C11"/>
    <w:rsid w:val="00530F57"/>
    <w:rsid w:val="00530FB9"/>
    <w:rsid w:val="0053101D"/>
    <w:rsid w:val="005310BC"/>
    <w:rsid w:val="005310C2"/>
    <w:rsid w:val="005310F8"/>
    <w:rsid w:val="00531137"/>
    <w:rsid w:val="0053132B"/>
    <w:rsid w:val="00531554"/>
    <w:rsid w:val="005315EF"/>
    <w:rsid w:val="005315F6"/>
    <w:rsid w:val="005316DC"/>
    <w:rsid w:val="00531789"/>
    <w:rsid w:val="005317DA"/>
    <w:rsid w:val="005317E3"/>
    <w:rsid w:val="0053187F"/>
    <w:rsid w:val="00531BE6"/>
    <w:rsid w:val="00531D42"/>
    <w:rsid w:val="00531DD5"/>
    <w:rsid w:val="00531E1D"/>
    <w:rsid w:val="00531E87"/>
    <w:rsid w:val="00531EBD"/>
    <w:rsid w:val="00531EF0"/>
    <w:rsid w:val="00531F2A"/>
    <w:rsid w:val="00531F83"/>
    <w:rsid w:val="0053212A"/>
    <w:rsid w:val="0053225F"/>
    <w:rsid w:val="00532380"/>
    <w:rsid w:val="005323ED"/>
    <w:rsid w:val="0053252E"/>
    <w:rsid w:val="00532591"/>
    <w:rsid w:val="00532679"/>
    <w:rsid w:val="005326D6"/>
    <w:rsid w:val="00532977"/>
    <w:rsid w:val="00532D7F"/>
    <w:rsid w:val="00532E12"/>
    <w:rsid w:val="00532ECF"/>
    <w:rsid w:val="00533068"/>
    <w:rsid w:val="005330E6"/>
    <w:rsid w:val="00533263"/>
    <w:rsid w:val="00533417"/>
    <w:rsid w:val="0053343A"/>
    <w:rsid w:val="00533667"/>
    <w:rsid w:val="00533CCC"/>
    <w:rsid w:val="00533EEB"/>
    <w:rsid w:val="0053421E"/>
    <w:rsid w:val="005343AF"/>
    <w:rsid w:val="00534436"/>
    <w:rsid w:val="0053448B"/>
    <w:rsid w:val="0053488F"/>
    <w:rsid w:val="005348E1"/>
    <w:rsid w:val="005349A9"/>
    <w:rsid w:val="00534B60"/>
    <w:rsid w:val="00534CED"/>
    <w:rsid w:val="00534D68"/>
    <w:rsid w:val="00534F7D"/>
    <w:rsid w:val="00535007"/>
    <w:rsid w:val="00535069"/>
    <w:rsid w:val="00535127"/>
    <w:rsid w:val="0053512C"/>
    <w:rsid w:val="00535375"/>
    <w:rsid w:val="00535472"/>
    <w:rsid w:val="005354FC"/>
    <w:rsid w:val="005356AB"/>
    <w:rsid w:val="00535736"/>
    <w:rsid w:val="005358CF"/>
    <w:rsid w:val="0053596C"/>
    <w:rsid w:val="00535A7B"/>
    <w:rsid w:val="00535BB2"/>
    <w:rsid w:val="00535E4C"/>
    <w:rsid w:val="00535F93"/>
    <w:rsid w:val="0053605B"/>
    <w:rsid w:val="005362C0"/>
    <w:rsid w:val="00536352"/>
    <w:rsid w:val="00536491"/>
    <w:rsid w:val="005366CC"/>
    <w:rsid w:val="0053681B"/>
    <w:rsid w:val="005368A1"/>
    <w:rsid w:val="0053696C"/>
    <w:rsid w:val="00536C13"/>
    <w:rsid w:val="00536D10"/>
    <w:rsid w:val="0053700F"/>
    <w:rsid w:val="005370C7"/>
    <w:rsid w:val="0053715D"/>
    <w:rsid w:val="00537536"/>
    <w:rsid w:val="0053757D"/>
    <w:rsid w:val="005377F2"/>
    <w:rsid w:val="005379BD"/>
    <w:rsid w:val="00537A05"/>
    <w:rsid w:val="00537AE4"/>
    <w:rsid w:val="00537C53"/>
    <w:rsid w:val="00537D54"/>
    <w:rsid w:val="00537ED5"/>
    <w:rsid w:val="00537F29"/>
    <w:rsid w:val="00537F4F"/>
    <w:rsid w:val="0054020D"/>
    <w:rsid w:val="005403EA"/>
    <w:rsid w:val="005404EE"/>
    <w:rsid w:val="00540791"/>
    <w:rsid w:val="0054091B"/>
    <w:rsid w:val="0054092B"/>
    <w:rsid w:val="00540B76"/>
    <w:rsid w:val="00540B9C"/>
    <w:rsid w:val="00540C42"/>
    <w:rsid w:val="00540DCD"/>
    <w:rsid w:val="00540DE8"/>
    <w:rsid w:val="00540E02"/>
    <w:rsid w:val="00540F3F"/>
    <w:rsid w:val="00540FB4"/>
    <w:rsid w:val="00541161"/>
    <w:rsid w:val="0054124A"/>
    <w:rsid w:val="00541545"/>
    <w:rsid w:val="005415A8"/>
    <w:rsid w:val="00541739"/>
    <w:rsid w:val="0054196E"/>
    <w:rsid w:val="00541B36"/>
    <w:rsid w:val="00541CE2"/>
    <w:rsid w:val="00541DC3"/>
    <w:rsid w:val="00541E42"/>
    <w:rsid w:val="00541E5D"/>
    <w:rsid w:val="00541F6F"/>
    <w:rsid w:val="00541F7B"/>
    <w:rsid w:val="00541FB1"/>
    <w:rsid w:val="0054202A"/>
    <w:rsid w:val="0054204E"/>
    <w:rsid w:val="00542127"/>
    <w:rsid w:val="005422A2"/>
    <w:rsid w:val="00542348"/>
    <w:rsid w:val="005423D9"/>
    <w:rsid w:val="005427D2"/>
    <w:rsid w:val="005428BF"/>
    <w:rsid w:val="00542920"/>
    <w:rsid w:val="00542921"/>
    <w:rsid w:val="00542968"/>
    <w:rsid w:val="00542A6F"/>
    <w:rsid w:val="00542B02"/>
    <w:rsid w:val="00542BC8"/>
    <w:rsid w:val="00542BDB"/>
    <w:rsid w:val="00542BFA"/>
    <w:rsid w:val="00542D8B"/>
    <w:rsid w:val="00542E1A"/>
    <w:rsid w:val="00542EA4"/>
    <w:rsid w:val="00542EC2"/>
    <w:rsid w:val="005431CB"/>
    <w:rsid w:val="0054332A"/>
    <w:rsid w:val="005433B2"/>
    <w:rsid w:val="005437D0"/>
    <w:rsid w:val="0054393C"/>
    <w:rsid w:val="00543A97"/>
    <w:rsid w:val="00543B02"/>
    <w:rsid w:val="00543C59"/>
    <w:rsid w:val="00543DAE"/>
    <w:rsid w:val="00543DE8"/>
    <w:rsid w:val="00543F8D"/>
    <w:rsid w:val="00543FC5"/>
    <w:rsid w:val="0054405D"/>
    <w:rsid w:val="005443DE"/>
    <w:rsid w:val="0054476E"/>
    <w:rsid w:val="00544841"/>
    <w:rsid w:val="0054485E"/>
    <w:rsid w:val="005448CF"/>
    <w:rsid w:val="005448EC"/>
    <w:rsid w:val="0054493B"/>
    <w:rsid w:val="00544BF0"/>
    <w:rsid w:val="00544D1C"/>
    <w:rsid w:val="00544F11"/>
    <w:rsid w:val="00544FBB"/>
    <w:rsid w:val="005451F2"/>
    <w:rsid w:val="005453AF"/>
    <w:rsid w:val="00545402"/>
    <w:rsid w:val="0054568B"/>
    <w:rsid w:val="00545716"/>
    <w:rsid w:val="00545895"/>
    <w:rsid w:val="005458F3"/>
    <w:rsid w:val="005459F4"/>
    <w:rsid w:val="00545A73"/>
    <w:rsid w:val="00545B68"/>
    <w:rsid w:val="00545BBE"/>
    <w:rsid w:val="00545C64"/>
    <w:rsid w:val="00545C6D"/>
    <w:rsid w:val="00545D7B"/>
    <w:rsid w:val="00545E42"/>
    <w:rsid w:val="005461A5"/>
    <w:rsid w:val="005461FA"/>
    <w:rsid w:val="00546249"/>
    <w:rsid w:val="0054630E"/>
    <w:rsid w:val="005466B3"/>
    <w:rsid w:val="005466F4"/>
    <w:rsid w:val="00546729"/>
    <w:rsid w:val="00546734"/>
    <w:rsid w:val="0054676B"/>
    <w:rsid w:val="005468FA"/>
    <w:rsid w:val="005469AF"/>
    <w:rsid w:val="00546C91"/>
    <w:rsid w:val="00546E00"/>
    <w:rsid w:val="00546E73"/>
    <w:rsid w:val="00546E8F"/>
    <w:rsid w:val="00546F6C"/>
    <w:rsid w:val="00547059"/>
    <w:rsid w:val="005470D6"/>
    <w:rsid w:val="005471BC"/>
    <w:rsid w:val="0054722A"/>
    <w:rsid w:val="00547274"/>
    <w:rsid w:val="005473D9"/>
    <w:rsid w:val="0054751B"/>
    <w:rsid w:val="00547689"/>
    <w:rsid w:val="005476E9"/>
    <w:rsid w:val="005477C6"/>
    <w:rsid w:val="00547875"/>
    <w:rsid w:val="005478B3"/>
    <w:rsid w:val="005478FF"/>
    <w:rsid w:val="005479E8"/>
    <w:rsid w:val="00547A05"/>
    <w:rsid w:val="00547A54"/>
    <w:rsid w:val="00547BF6"/>
    <w:rsid w:val="00547BFB"/>
    <w:rsid w:val="00547CD7"/>
    <w:rsid w:val="00550204"/>
    <w:rsid w:val="00550374"/>
    <w:rsid w:val="005503AA"/>
    <w:rsid w:val="00550747"/>
    <w:rsid w:val="00550A30"/>
    <w:rsid w:val="00550A49"/>
    <w:rsid w:val="00550ADA"/>
    <w:rsid w:val="00550B26"/>
    <w:rsid w:val="00550C16"/>
    <w:rsid w:val="00550CE8"/>
    <w:rsid w:val="00550D22"/>
    <w:rsid w:val="00550D94"/>
    <w:rsid w:val="00550DAC"/>
    <w:rsid w:val="00550DB6"/>
    <w:rsid w:val="00551098"/>
    <w:rsid w:val="005511F7"/>
    <w:rsid w:val="005512D2"/>
    <w:rsid w:val="00551309"/>
    <w:rsid w:val="00551537"/>
    <w:rsid w:val="005515A7"/>
    <w:rsid w:val="005516E1"/>
    <w:rsid w:val="0055179C"/>
    <w:rsid w:val="005517EF"/>
    <w:rsid w:val="00551814"/>
    <w:rsid w:val="0055186C"/>
    <w:rsid w:val="005518AF"/>
    <w:rsid w:val="005519DD"/>
    <w:rsid w:val="00551D36"/>
    <w:rsid w:val="00551E4B"/>
    <w:rsid w:val="00551EFB"/>
    <w:rsid w:val="00551EFC"/>
    <w:rsid w:val="00551F78"/>
    <w:rsid w:val="0055215B"/>
    <w:rsid w:val="00552184"/>
    <w:rsid w:val="005521AE"/>
    <w:rsid w:val="005521CC"/>
    <w:rsid w:val="0055222B"/>
    <w:rsid w:val="005522F6"/>
    <w:rsid w:val="005523A7"/>
    <w:rsid w:val="00552544"/>
    <w:rsid w:val="005527B7"/>
    <w:rsid w:val="00552C8E"/>
    <w:rsid w:val="00552CA3"/>
    <w:rsid w:val="00552E6E"/>
    <w:rsid w:val="00552E9E"/>
    <w:rsid w:val="00553293"/>
    <w:rsid w:val="005533F8"/>
    <w:rsid w:val="00553540"/>
    <w:rsid w:val="005535B9"/>
    <w:rsid w:val="005536E7"/>
    <w:rsid w:val="0055393D"/>
    <w:rsid w:val="00553CE0"/>
    <w:rsid w:val="00553F38"/>
    <w:rsid w:val="00554039"/>
    <w:rsid w:val="0055417F"/>
    <w:rsid w:val="0055426E"/>
    <w:rsid w:val="005542E1"/>
    <w:rsid w:val="005544C5"/>
    <w:rsid w:val="0055462F"/>
    <w:rsid w:val="00554688"/>
    <w:rsid w:val="00554739"/>
    <w:rsid w:val="005547FE"/>
    <w:rsid w:val="00554A1C"/>
    <w:rsid w:val="00554A53"/>
    <w:rsid w:val="00554AAA"/>
    <w:rsid w:val="00554BF6"/>
    <w:rsid w:val="00554C84"/>
    <w:rsid w:val="00554D68"/>
    <w:rsid w:val="00554E95"/>
    <w:rsid w:val="00555042"/>
    <w:rsid w:val="00555460"/>
    <w:rsid w:val="00555556"/>
    <w:rsid w:val="005555B4"/>
    <w:rsid w:val="005556CC"/>
    <w:rsid w:val="00555869"/>
    <w:rsid w:val="0055597C"/>
    <w:rsid w:val="005559AA"/>
    <w:rsid w:val="00555A7C"/>
    <w:rsid w:val="00555B10"/>
    <w:rsid w:val="00555B5B"/>
    <w:rsid w:val="00555BCF"/>
    <w:rsid w:val="00555D64"/>
    <w:rsid w:val="005560F2"/>
    <w:rsid w:val="00556388"/>
    <w:rsid w:val="005566D7"/>
    <w:rsid w:val="005567B8"/>
    <w:rsid w:val="00556A9B"/>
    <w:rsid w:val="00556B29"/>
    <w:rsid w:val="00556DA6"/>
    <w:rsid w:val="00556DF3"/>
    <w:rsid w:val="00556F57"/>
    <w:rsid w:val="00556F7B"/>
    <w:rsid w:val="00556FC4"/>
    <w:rsid w:val="0055703E"/>
    <w:rsid w:val="00557080"/>
    <w:rsid w:val="005571E6"/>
    <w:rsid w:val="0055740F"/>
    <w:rsid w:val="00557805"/>
    <w:rsid w:val="00557AC2"/>
    <w:rsid w:val="00557B8D"/>
    <w:rsid w:val="00557D3E"/>
    <w:rsid w:val="00557E28"/>
    <w:rsid w:val="00557E86"/>
    <w:rsid w:val="00557EB6"/>
    <w:rsid w:val="00557F26"/>
    <w:rsid w:val="00559334"/>
    <w:rsid w:val="0056009A"/>
    <w:rsid w:val="005600EA"/>
    <w:rsid w:val="00560125"/>
    <w:rsid w:val="00560145"/>
    <w:rsid w:val="0056014F"/>
    <w:rsid w:val="00560307"/>
    <w:rsid w:val="0056038D"/>
    <w:rsid w:val="005603EF"/>
    <w:rsid w:val="00560492"/>
    <w:rsid w:val="005604F3"/>
    <w:rsid w:val="005606D7"/>
    <w:rsid w:val="00560840"/>
    <w:rsid w:val="00560892"/>
    <w:rsid w:val="00560A1D"/>
    <w:rsid w:val="00560DF1"/>
    <w:rsid w:val="00560EE6"/>
    <w:rsid w:val="00560EF5"/>
    <w:rsid w:val="00560F9A"/>
    <w:rsid w:val="00561000"/>
    <w:rsid w:val="00561040"/>
    <w:rsid w:val="0056117F"/>
    <w:rsid w:val="00561257"/>
    <w:rsid w:val="005612CB"/>
    <w:rsid w:val="005612DA"/>
    <w:rsid w:val="005615DC"/>
    <w:rsid w:val="00561668"/>
    <w:rsid w:val="005616F8"/>
    <w:rsid w:val="00561719"/>
    <w:rsid w:val="005618A8"/>
    <w:rsid w:val="005618B0"/>
    <w:rsid w:val="005618BB"/>
    <w:rsid w:val="00561987"/>
    <w:rsid w:val="00561A8F"/>
    <w:rsid w:val="00561B04"/>
    <w:rsid w:val="00561C34"/>
    <w:rsid w:val="00561E5C"/>
    <w:rsid w:val="00562038"/>
    <w:rsid w:val="005620F7"/>
    <w:rsid w:val="00562101"/>
    <w:rsid w:val="005621A7"/>
    <w:rsid w:val="0056220F"/>
    <w:rsid w:val="0056239E"/>
    <w:rsid w:val="0056245A"/>
    <w:rsid w:val="005625DB"/>
    <w:rsid w:val="005627BC"/>
    <w:rsid w:val="005627BF"/>
    <w:rsid w:val="005629C2"/>
    <w:rsid w:val="00562A5B"/>
    <w:rsid w:val="00562B42"/>
    <w:rsid w:val="00562C7A"/>
    <w:rsid w:val="00562FA1"/>
    <w:rsid w:val="00562FDF"/>
    <w:rsid w:val="0056305C"/>
    <w:rsid w:val="00563156"/>
    <w:rsid w:val="0056318B"/>
    <w:rsid w:val="005633A9"/>
    <w:rsid w:val="00563463"/>
    <w:rsid w:val="00563491"/>
    <w:rsid w:val="005638F1"/>
    <w:rsid w:val="005639CB"/>
    <w:rsid w:val="00563A59"/>
    <w:rsid w:val="00563D06"/>
    <w:rsid w:val="00563DB4"/>
    <w:rsid w:val="00563E9E"/>
    <w:rsid w:val="00563F46"/>
    <w:rsid w:val="00563F6A"/>
    <w:rsid w:val="005641E4"/>
    <w:rsid w:val="005641E8"/>
    <w:rsid w:val="0056439C"/>
    <w:rsid w:val="00564740"/>
    <w:rsid w:val="00564810"/>
    <w:rsid w:val="005648AB"/>
    <w:rsid w:val="005649EF"/>
    <w:rsid w:val="00564B86"/>
    <w:rsid w:val="00564C22"/>
    <w:rsid w:val="00564CC8"/>
    <w:rsid w:val="00564DA8"/>
    <w:rsid w:val="00564DC4"/>
    <w:rsid w:val="00564EBE"/>
    <w:rsid w:val="00564F0B"/>
    <w:rsid w:val="00565097"/>
    <w:rsid w:val="00565216"/>
    <w:rsid w:val="005655F6"/>
    <w:rsid w:val="0056571E"/>
    <w:rsid w:val="00565828"/>
    <w:rsid w:val="005658D9"/>
    <w:rsid w:val="0056594F"/>
    <w:rsid w:val="00565C5D"/>
    <w:rsid w:val="00565CD6"/>
    <w:rsid w:val="00565E32"/>
    <w:rsid w:val="00565EA4"/>
    <w:rsid w:val="0056613E"/>
    <w:rsid w:val="005661AA"/>
    <w:rsid w:val="00566259"/>
    <w:rsid w:val="005662DC"/>
    <w:rsid w:val="0056650F"/>
    <w:rsid w:val="00566527"/>
    <w:rsid w:val="00566794"/>
    <w:rsid w:val="00566996"/>
    <w:rsid w:val="00566A64"/>
    <w:rsid w:val="00566A9C"/>
    <w:rsid w:val="00566BD4"/>
    <w:rsid w:val="00566D33"/>
    <w:rsid w:val="00566EC9"/>
    <w:rsid w:val="00567012"/>
    <w:rsid w:val="0056713C"/>
    <w:rsid w:val="0056741B"/>
    <w:rsid w:val="005674D5"/>
    <w:rsid w:val="0056759A"/>
    <w:rsid w:val="00567636"/>
    <w:rsid w:val="0056767C"/>
    <w:rsid w:val="0056769F"/>
    <w:rsid w:val="00567766"/>
    <w:rsid w:val="00567845"/>
    <w:rsid w:val="00567871"/>
    <w:rsid w:val="00567C50"/>
    <w:rsid w:val="00567DF2"/>
    <w:rsid w:val="00567FDB"/>
    <w:rsid w:val="00567FFB"/>
    <w:rsid w:val="0057009D"/>
    <w:rsid w:val="005701B0"/>
    <w:rsid w:val="005701FA"/>
    <w:rsid w:val="00570466"/>
    <w:rsid w:val="005707ED"/>
    <w:rsid w:val="005708C5"/>
    <w:rsid w:val="005708D1"/>
    <w:rsid w:val="00570E9D"/>
    <w:rsid w:val="00570EC9"/>
    <w:rsid w:val="00570EEE"/>
    <w:rsid w:val="00570F55"/>
    <w:rsid w:val="005711EB"/>
    <w:rsid w:val="00571253"/>
    <w:rsid w:val="005712BF"/>
    <w:rsid w:val="005712CD"/>
    <w:rsid w:val="005713DB"/>
    <w:rsid w:val="00571C25"/>
    <w:rsid w:val="00572393"/>
    <w:rsid w:val="005724AE"/>
    <w:rsid w:val="005724B8"/>
    <w:rsid w:val="00572692"/>
    <w:rsid w:val="005726C6"/>
    <w:rsid w:val="00572745"/>
    <w:rsid w:val="0057297B"/>
    <w:rsid w:val="00572A02"/>
    <w:rsid w:val="00572B64"/>
    <w:rsid w:val="00572B7F"/>
    <w:rsid w:val="00572C88"/>
    <w:rsid w:val="00572D71"/>
    <w:rsid w:val="00572D7D"/>
    <w:rsid w:val="00572F86"/>
    <w:rsid w:val="005730F0"/>
    <w:rsid w:val="00573218"/>
    <w:rsid w:val="00573472"/>
    <w:rsid w:val="005734D0"/>
    <w:rsid w:val="005735B1"/>
    <w:rsid w:val="0057368E"/>
    <w:rsid w:val="00573691"/>
    <w:rsid w:val="00573755"/>
    <w:rsid w:val="005738F6"/>
    <w:rsid w:val="00573B38"/>
    <w:rsid w:val="00573BC5"/>
    <w:rsid w:val="00573BE8"/>
    <w:rsid w:val="00573C3A"/>
    <w:rsid w:val="00573C3F"/>
    <w:rsid w:val="00573F98"/>
    <w:rsid w:val="00573FEA"/>
    <w:rsid w:val="0057419E"/>
    <w:rsid w:val="00574398"/>
    <w:rsid w:val="005747F3"/>
    <w:rsid w:val="00574839"/>
    <w:rsid w:val="005748F9"/>
    <w:rsid w:val="005749F2"/>
    <w:rsid w:val="00574BDC"/>
    <w:rsid w:val="00574BEF"/>
    <w:rsid w:val="00574CCF"/>
    <w:rsid w:val="00574D70"/>
    <w:rsid w:val="00575153"/>
    <w:rsid w:val="0057515C"/>
    <w:rsid w:val="005751B1"/>
    <w:rsid w:val="005751ED"/>
    <w:rsid w:val="00575244"/>
    <w:rsid w:val="00575349"/>
    <w:rsid w:val="00575979"/>
    <w:rsid w:val="00575B1D"/>
    <w:rsid w:val="00575B68"/>
    <w:rsid w:val="00575BC5"/>
    <w:rsid w:val="00575C50"/>
    <w:rsid w:val="00575DDC"/>
    <w:rsid w:val="00575DFF"/>
    <w:rsid w:val="005760F2"/>
    <w:rsid w:val="005761CB"/>
    <w:rsid w:val="00576246"/>
    <w:rsid w:val="005763B7"/>
    <w:rsid w:val="00576423"/>
    <w:rsid w:val="00576435"/>
    <w:rsid w:val="005764F7"/>
    <w:rsid w:val="00576514"/>
    <w:rsid w:val="0057690D"/>
    <w:rsid w:val="005769BA"/>
    <w:rsid w:val="00576A13"/>
    <w:rsid w:val="00576AF5"/>
    <w:rsid w:val="00576EE7"/>
    <w:rsid w:val="00576F0B"/>
    <w:rsid w:val="00576FB9"/>
    <w:rsid w:val="005771CF"/>
    <w:rsid w:val="005773BF"/>
    <w:rsid w:val="0057740F"/>
    <w:rsid w:val="005774CA"/>
    <w:rsid w:val="00577503"/>
    <w:rsid w:val="0057751E"/>
    <w:rsid w:val="00577524"/>
    <w:rsid w:val="00577704"/>
    <w:rsid w:val="00577745"/>
    <w:rsid w:val="0057774B"/>
    <w:rsid w:val="00577984"/>
    <w:rsid w:val="005779F9"/>
    <w:rsid w:val="00577BC7"/>
    <w:rsid w:val="00577D58"/>
    <w:rsid w:val="00577D7F"/>
    <w:rsid w:val="00577DF5"/>
    <w:rsid w:val="00580231"/>
    <w:rsid w:val="00580236"/>
    <w:rsid w:val="005802DF"/>
    <w:rsid w:val="00580493"/>
    <w:rsid w:val="005805B3"/>
    <w:rsid w:val="005805EA"/>
    <w:rsid w:val="005807F8"/>
    <w:rsid w:val="005808C5"/>
    <w:rsid w:val="00580981"/>
    <w:rsid w:val="005809D8"/>
    <w:rsid w:val="005809E6"/>
    <w:rsid w:val="00580A34"/>
    <w:rsid w:val="00580A54"/>
    <w:rsid w:val="00580A7D"/>
    <w:rsid w:val="00580AC4"/>
    <w:rsid w:val="00580B41"/>
    <w:rsid w:val="00580BD3"/>
    <w:rsid w:val="00580CE2"/>
    <w:rsid w:val="00580D51"/>
    <w:rsid w:val="00580D92"/>
    <w:rsid w:val="00580E80"/>
    <w:rsid w:val="00580EC9"/>
    <w:rsid w:val="00581070"/>
    <w:rsid w:val="005811E6"/>
    <w:rsid w:val="00581276"/>
    <w:rsid w:val="005814A5"/>
    <w:rsid w:val="005814C8"/>
    <w:rsid w:val="0058162B"/>
    <w:rsid w:val="0058164B"/>
    <w:rsid w:val="00581826"/>
    <w:rsid w:val="005818F9"/>
    <w:rsid w:val="00581A1B"/>
    <w:rsid w:val="00581A20"/>
    <w:rsid w:val="00581B24"/>
    <w:rsid w:val="00581D87"/>
    <w:rsid w:val="00581D98"/>
    <w:rsid w:val="00581DFA"/>
    <w:rsid w:val="00581F37"/>
    <w:rsid w:val="00581F3C"/>
    <w:rsid w:val="00581F79"/>
    <w:rsid w:val="00582183"/>
    <w:rsid w:val="005822C3"/>
    <w:rsid w:val="0058256D"/>
    <w:rsid w:val="005829EB"/>
    <w:rsid w:val="00582CFE"/>
    <w:rsid w:val="0058302B"/>
    <w:rsid w:val="005831AA"/>
    <w:rsid w:val="00583324"/>
    <w:rsid w:val="00583357"/>
    <w:rsid w:val="00583455"/>
    <w:rsid w:val="0058371A"/>
    <w:rsid w:val="00583844"/>
    <w:rsid w:val="00583A53"/>
    <w:rsid w:val="00583BD2"/>
    <w:rsid w:val="00583E0B"/>
    <w:rsid w:val="00583E59"/>
    <w:rsid w:val="00583EBE"/>
    <w:rsid w:val="00583F0B"/>
    <w:rsid w:val="00583FA1"/>
    <w:rsid w:val="00584079"/>
    <w:rsid w:val="005841E7"/>
    <w:rsid w:val="0058428B"/>
    <w:rsid w:val="0058439C"/>
    <w:rsid w:val="005843AE"/>
    <w:rsid w:val="0058455D"/>
    <w:rsid w:val="00584568"/>
    <w:rsid w:val="00584853"/>
    <w:rsid w:val="005849FB"/>
    <w:rsid w:val="00584A3C"/>
    <w:rsid w:val="00584B40"/>
    <w:rsid w:val="00584BEC"/>
    <w:rsid w:val="00584EF3"/>
    <w:rsid w:val="005850DF"/>
    <w:rsid w:val="005851D9"/>
    <w:rsid w:val="0058524D"/>
    <w:rsid w:val="00585278"/>
    <w:rsid w:val="00585712"/>
    <w:rsid w:val="00585822"/>
    <w:rsid w:val="0058594E"/>
    <w:rsid w:val="00585A9D"/>
    <w:rsid w:val="00585C60"/>
    <w:rsid w:val="00585EAB"/>
    <w:rsid w:val="005863F2"/>
    <w:rsid w:val="00586672"/>
    <w:rsid w:val="005866B6"/>
    <w:rsid w:val="00586855"/>
    <w:rsid w:val="00586896"/>
    <w:rsid w:val="00586916"/>
    <w:rsid w:val="00586AF0"/>
    <w:rsid w:val="00586BBE"/>
    <w:rsid w:val="00586E58"/>
    <w:rsid w:val="00586EDC"/>
    <w:rsid w:val="00586F62"/>
    <w:rsid w:val="0058705C"/>
    <w:rsid w:val="00587260"/>
    <w:rsid w:val="00587336"/>
    <w:rsid w:val="00587508"/>
    <w:rsid w:val="00587543"/>
    <w:rsid w:val="00587660"/>
    <w:rsid w:val="00587857"/>
    <w:rsid w:val="00587A48"/>
    <w:rsid w:val="00587DEB"/>
    <w:rsid w:val="00590222"/>
    <w:rsid w:val="005902FA"/>
    <w:rsid w:val="005904F9"/>
    <w:rsid w:val="00590579"/>
    <w:rsid w:val="005905ED"/>
    <w:rsid w:val="00590674"/>
    <w:rsid w:val="0059073F"/>
    <w:rsid w:val="00590948"/>
    <w:rsid w:val="00590999"/>
    <w:rsid w:val="00590B36"/>
    <w:rsid w:val="00590EDE"/>
    <w:rsid w:val="00590F6D"/>
    <w:rsid w:val="00591101"/>
    <w:rsid w:val="0059128E"/>
    <w:rsid w:val="00591345"/>
    <w:rsid w:val="005913F4"/>
    <w:rsid w:val="00591538"/>
    <w:rsid w:val="005915E3"/>
    <w:rsid w:val="00591658"/>
    <w:rsid w:val="00591A2D"/>
    <w:rsid w:val="00591D95"/>
    <w:rsid w:val="005921AA"/>
    <w:rsid w:val="0059226A"/>
    <w:rsid w:val="00592388"/>
    <w:rsid w:val="00592403"/>
    <w:rsid w:val="00592405"/>
    <w:rsid w:val="00592409"/>
    <w:rsid w:val="00592422"/>
    <w:rsid w:val="00592450"/>
    <w:rsid w:val="00592476"/>
    <w:rsid w:val="0059256B"/>
    <w:rsid w:val="005926F1"/>
    <w:rsid w:val="00592813"/>
    <w:rsid w:val="005929E5"/>
    <w:rsid w:val="00592BA9"/>
    <w:rsid w:val="00592E53"/>
    <w:rsid w:val="00592F74"/>
    <w:rsid w:val="00593011"/>
    <w:rsid w:val="005934F0"/>
    <w:rsid w:val="005936FE"/>
    <w:rsid w:val="00593780"/>
    <w:rsid w:val="0059379C"/>
    <w:rsid w:val="005937FC"/>
    <w:rsid w:val="0059397B"/>
    <w:rsid w:val="005939FF"/>
    <w:rsid w:val="00593C3D"/>
    <w:rsid w:val="00593F57"/>
    <w:rsid w:val="0059402D"/>
    <w:rsid w:val="00594105"/>
    <w:rsid w:val="00594175"/>
    <w:rsid w:val="0059420C"/>
    <w:rsid w:val="00594247"/>
    <w:rsid w:val="00594271"/>
    <w:rsid w:val="005942B9"/>
    <w:rsid w:val="0059451C"/>
    <w:rsid w:val="00594523"/>
    <w:rsid w:val="005945C1"/>
    <w:rsid w:val="005948B3"/>
    <w:rsid w:val="00594B36"/>
    <w:rsid w:val="00594B8E"/>
    <w:rsid w:val="00594D34"/>
    <w:rsid w:val="00594D7C"/>
    <w:rsid w:val="00594DB1"/>
    <w:rsid w:val="00594ECF"/>
    <w:rsid w:val="00594EF8"/>
    <w:rsid w:val="00594FFD"/>
    <w:rsid w:val="00595047"/>
    <w:rsid w:val="00595079"/>
    <w:rsid w:val="005950AC"/>
    <w:rsid w:val="00595168"/>
    <w:rsid w:val="005953D6"/>
    <w:rsid w:val="005953E4"/>
    <w:rsid w:val="005953F9"/>
    <w:rsid w:val="005954F1"/>
    <w:rsid w:val="00595600"/>
    <w:rsid w:val="00595708"/>
    <w:rsid w:val="00595719"/>
    <w:rsid w:val="00595756"/>
    <w:rsid w:val="005958D2"/>
    <w:rsid w:val="00595ADE"/>
    <w:rsid w:val="00595AFD"/>
    <w:rsid w:val="00595BBF"/>
    <w:rsid w:val="00595C16"/>
    <w:rsid w:val="00595E46"/>
    <w:rsid w:val="00595F04"/>
    <w:rsid w:val="00596226"/>
    <w:rsid w:val="0059631E"/>
    <w:rsid w:val="00596323"/>
    <w:rsid w:val="005963EF"/>
    <w:rsid w:val="00596614"/>
    <w:rsid w:val="00596725"/>
    <w:rsid w:val="005967BB"/>
    <w:rsid w:val="00596892"/>
    <w:rsid w:val="0059693B"/>
    <w:rsid w:val="0059695C"/>
    <w:rsid w:val="00596AE0"/>
    <w:rsid w:val="00596AF8"/>
    <w:rsid w:val="00596CBE"/>
    <w:rsid w:val="00596CC2"/>
    <w:rsid w:val="00596D6C"/>
    <w:rsid w:val="00596E1C"/>
    <w:rsid w:val="00597151"/>
    <w:rsid w:val="0059716B"/>
    <w:rsid w:val="0059720A"/>
    <w:rsid w:val="00597218"/>
    <w:rsid w:val="0059738E"/>
    <w:rsid w:val="00597395"/>
    <w:rsid w:val="00597432"/>
    <w:rsid w:val="00597512"/>
    <w:rsid w:val="00597517"/>
    <w:rsid w:val="0059764B"/>
    <w:rsid w:val="00597705"/>
    <w:rsid w:val="005978B2"/>
    <w:rsid w:val="00597C31"/>
    <w:rsid w:val="00597C6D"/>
    <w:rsid w:val="00597FB7"/>
    <w:rsid w:val="005A0094"/>
    <w:rsid w:val="005A0387"/>
    <w:rsid w:val="005A044E"/>
    <w:rsid w:val="005A046B"/>
    <w:rsid w:val="005A0A84"/>
    <w:rsid w:val="005A0B9B"/>
    <w:rsid w:val="005A0BE4"/>
    <w:rsid w:val="005A0BF5"/>
    <w:rsid w:val="005A0E1E"/>
    <w:rsid w:val="005A0EEA"/>
    <w:rsid w:val="005A0FCB"/>
    <w:rsid w:val="005A0FF4"/>
    <w:rsid w:val="005A1102"/>
    <w:rsid w:val="005A12DB"/>
    <w:rsid w:val="005A1494"/>
    <w:rsid w:val="005A14ED"/>
    <w:rsid w:val="005A1620"/>
    <w:rsid w:val="005A1633"/>
    <w:rsid w:val="005A1674"/>
    <w:rsid w:val="005A1689"/>
    <w:rsid w:val="005A16B2"/>
    <w:rsid w:val="005A16D7"/>
    <w:rsid w:val="005A1996"/>
    <w:rsid w:val="005A1A69"/>
    <w:rsid w:val="005A1C2B"/>
    <w:rsid w:val="005A1E54"/>
    <w:rsid w:val="005A1EF7"/>
    <w:rsid w:val="005A20E3"/>
    <w:rsid w:val="005A24F0"/>
    <w:rsid w:val="005A259D"/>
    <w:rsid w:val="005A25E8"/>
    <w:rsid w:val="005A2686"/>
    <w:rsid w:val="005A26AB"/>
    <w:rsid w:val="005A285A"/>
    <w:rsid w:val="005A28B4"/>
    <w:rsid w:val="005A2A26"/>
    <w:rsid w:val="005A2BEC"/>
    <w:rsid w:val="005A2DEA"/>
    <w:rsid w:val="005A2E64"/>
    <w:rsid w:val="005A2EE2"/>
    <w:rsid w:val="005A3123"/>
    <w:rsid w:val="005A3219"/>
    <w:rsid w:val="005A321A"/>
    <w:rsid w:val="005A32BE"/>
    <w:rsid w:val="005A3306"/>
    <w:rsid w:val="005A3423"/>
    <w:rsid w:val="005A3530"/>
    <w:rsid w:val="005A35A2"/>
    <w:rsid w:val="005A3760"/>
    <w:rsid w:val="005A386E"/>
    <w:rsid w:val="005A38C6"/>
    <w:rsid w:val="005A3AD6"/>
    <w:rsid w:val="005A3B9C"/>
    <w:rsid w:val="005A3C4E"/>
    <w:rsid w:val="005A3C9E"/>
    <w:rsid w:val="005A3D1D"/>
    <w:rsid w:val="005A3E50"/>
    <w:rsid w:val="005A3E54"/>
    <w:rsid w:val="005A4155"/>
    <w:rsid w:val="005A456B"/>
    <w:rsid w:val="005A4A22"/>
    <w:rsid w:val="005A4AA7"/>
    <w:rsid w:val="005A4B1A"/>
    <w:rsid w:val="005A4CF5"/>
    <w:rsid w:val="005A4F17"/>
    <w:rsid w:val="005A512B"/>
    <w:rsid w:val="005A564C"/>
    <w:rsid w:val="005A5898"/>
    <w:rsid w:val="005A58C4"/>
    <w:rsid w:val="005A5977"/>
    <w:rsid w:val="005A5B57"/>
    <w:rsid w:val="005A5F0D"/>
    <w:rsid w:val="005A5F69"/>
    <w:rsid w:val="005A6064"/>
    <w:rsid w:val="005A61AE"/>
    <w:rsid w:val="005A65BF"/>
    <w:rsid w:val="005A673C"/>
    <w:rsid w:val="005A67E0"/>
    <w:rsid w:val="005A6827"/>
    <w:rsid w:val="005A68BD"/>
    <w:rsid w:val="005A6916"/>
    <w:rsid w:val="005A6BB0"/>
    <w:rsid w:val="005A6BBB"/>
    <w:rsid w:val="005A6D54"/>
    <w:rsid w:val="005A6E26"/>
    <w:rsid w:val="005A6FD3"/>
    <w:rsid w:val="005A7010"/>
    <w:rsid w:val="005A71F0"/>
    <w:rsid w:val="005A728A"/>
    <w:rsid w:val="005A73AF"/>
    <w:rsid w:val="005A7403"/>
    <w:rsid w:val="005A740D"/>
    <w:rsid w:val="005A74C8"/>
    <w:rsid w:val="005A74DC"/>
    <w:rsid w:val="005A74F4"/>
    <w:rsid w:val="005A77D8"/>
    <w:rsid w:val="005A79B0"/>
    <w:rsid w:val="005A7CD8"/>
    <w:rsid w:val="005A7D80"/>
    <w:rsid w:val="005A7E92"/>
    <w:rsid w:val="005A7F6B"/>
    <w:rsid w:val="005B00F8"/>
    <w:rsid w:val="005B0102"/>
    <w:rsid w:val="005B039B"/>
    <w:rsid w:val="005B0403"/>
    <w:rsid w:val="005B0418"/>
    <w:rsid w:val="005B0437"/>
    <w:rsid w:val="005B04D7"/>
    <w:rsid w:val="005B0576"/>
    <w:rsid w:val="005B059A"/>
    <w:rsid w:val="005B05E7"/>
    <w:rsid w:val="005B0627"/>
    <w:rsid w:val="005B0838"/>
    <w:rsid w:val="005B0975"/>
    <w:rsid w:val="005B0B47"/>
    <w:rsid w:val="005B0CE5"/>
    <w:rsid w:val="005B0D85"/>
    <w:rsid w:val="005B0DFF"/>
    <w:rsid w:val="005B1161"/>
    <w:rsid w:val="005B11DE"/>
    <w:rsid w:val="005B1400"/>
    <w:rsid w:val="005B1529"/>
    <w:rsid w:val="005B1551"/>
    <w:rsid w:val="005B167A"/>
    <w:rsid w:val="005B1757"/>
    <w:rsid w:val="005B17A9"/>
    <w:rsid w:val="005B17B4"/>
    <w:rsid w:val="005B17E3"/>
    <w:rsid w:val="005B18BF"/>
    <w:rsid w:val="005B1A45"/>
    <w:rsid w:val="005B1CDA"/>
    <w:rsid w:val="005B1E61"/>
    <w:rsid w:val="005B1EA0"/>
    <w:rsid w:val="005B2035"/>
    <w:rsid w:val="005B216D"/>
    <w:rsid w:val="005B21A7"/>
    <w:rsid w:val="005B24C9"/>
    <w:rsid w:val="005B266F"/>
    <w:rsid w:val="005B28DB"/>
    <w:rsid w:val="005B2A71"/>
    <w:rsid w:val="005B2AE0"/>
    <w:rsid w:val="005B2B72"/>
    <w:rsid w:val="005B2BBC"/>
    <w:rsid w:val="005B2D29"/>
    <w:rsid w:val="005B2DBC"/>
    <w:rsid w:val="005B2F97"/>
    <w:rsid w:val="005B2FF2"/>
    <w:rsid w:val="005B312E"/>
    <w:rsid w:val="005B31C2"/>
    <w:rsid w:val="005B31D1"/>
    <w:rsid w:val="005B341E"/>
    <w:rsid w:val="005B34D8"/>
    <w:rsid w:val="005B3538"/>
    <w:rsid w:val="005B3552"/>
    <w:rsid w:val="005B359F"/>
    <w:rsid w:val="005B3688"/>
    <w:rsid w:val="005B369C"/>
    <w:rsid w:val="005B36C3"/>
    <w:rsid w:val="005B3A32"/>
    <w:rsid w:val="005B3B15"/>
    <w:rsid w:val="005B3C02"/>
    <w:rsid w:val="005B3E85"/>
    <w:rsid w:val="005B4098"/>
    <w:rsid w:val="005B40DE"/>
    <w:rsid w:val="005B4208"/>
    <w:rsid w:val="005B4302"/>
    <w:rsid w:val="005B4378"/>
    <w:rsid w:val="005B45AC"/>
    <w:rsid w:val="005B46E9"/>
    <w:rsid w:val="005B4A0D"/>
    <w:rsid w:val="005B4AE8"/>
    <w:rsid w:val="005B4BAD"/>
    <w:rsid w:val="005B4BE3"/>
    <w:rsid w:val="005B4C1A"/>
    <w:rsid w:val="005B4C51"/>
    <w:rsid w:val="005B4C67"/>
    <w:rsid w:val="005B4CD8"/>
    <w:rsid w:val="005B4DF8"/>
    <w:rsid w:val="005B4F71"/>
    <w:rsid w:val="005B50E3"/>
    <w:rsid w:val="005B544C"/>
    <w:rsid w:val="005B5574"/>
    <w:rsid w:val="005B5680"/>
    <w:rsid w:val="005B5845"/>
    <w:rsid w:val="005B591F"/>
    <w:rsid w:val="005B5951"/>
    <w:rsid w:val="005B5B03"/>
    <w:rsid w:val="005B5B9B"/>
    <w:rsid w:val="005B5C72"/>
    <w:rsid w:val="005B5E18"/>
    <w:rsid w:val="005B5E3D"/>
    <w:rsid w:val="005B5E50"/>
    <w:rsid w:val="005B5E5A"/>
    <w:rsid w:val="005B5E66"/>
    <w:rsid w:val="005B613C"/>
    <w:rsid w:val="005B61AB"/>
    <w:rsid w:val="005B63EB"/>
    <w:rsid w:val="005B6674"/>
    <w:rsid w:val="005B668F"/>
    <w:rsid w:val="005B66F9"/>
    <w:rsid w:val="005B6741"/>
    <w:rsid w:val="005B67B2"/>
    <w:rsid w:val="005B6864"/>
    <w:rsid w:val="005B6991"/>
    <w:rsid w:val="005B69BA"/>
    <w:rsid w:val="005B6B8B"/>
    <w:rsid w:val="005B6CDB"/>
    <w:rsid w:val="005B70C6"/>
    <w:rsid w:val="005B7137"/>
    <w:rsid w:val="005B736E"/>
    <w:rsid w:val="005B7421"/>
    <w:rsid w:val="005B745F"/>
    <w:rsid w:val="005B7588"/>
    <w:rsid w:val="005B7590"/>
    <w:rsid w:val="005B761F"/>
    <w:rsid w:val="005B77AE"/>
    <w:rsid w:val="005B7927"/>
    <w:rsid w:val="005B798F"/>
    <w:rsid w:val="005B7ADE"/>
    <w:rsid w:val="005B7B3D"/>
    <w:rsid w:val="005B7B8C"/>
    <w:rsid w:val="005B7C4F"/>
    <w:rsid w:val="005B7C84"/>
    <w:rsid w:val="005B7DAA"/>
    <w:rsid w:val="005B7E5B"/>
    <w:rsid w:val="005B7E5C"/>
    <w:rsid w:val="005B7F84"/>
    <w:rsid w:val="005B7F94"/>
    <w:rsid w:val="005C0184"/>
    <w:rsid w:val="005C0316"/>
    <w:rsid w:val="005C054A"/>
    <w:rsid w:val="005C058E"/>
    <w:rsid w:val="005C05C8"/>
    <w:rsid w:val="005C05D4"/>
    <w:rsid w:val="005C06E7"/>
    <w:rsid w:val="005C081C"/>
    <w:rsid w:val="005C095F"/>
    <w:rsid w:val="005C0969"/>
    <w:rsid w:val="005C09E3"/>
    <w:rsid w:val="005C0AD9"/>
    <w:rsid w:val="005C0BDD"/>
    <w:rsid w:val="005C0C59"/>
    <w:rsid w:val="005C0D2A"/>
    <w:rsid w:val="005C0E9B"/>
    <w:rsid w:val="005C0FF7"/>
    <w:rsid w:val="005C1018"/>
    <w:rsid w:val="005C10E0"/>
    <w:rsid w:val="005C11F5"/>
    <w:rsid w:val="005C12E1"/>
    <w:rsid w:val="005C153B"/>
    <w:rsid w:val="005C167D"/>
    <w:rsid w:val="005C17E4"/>
    <w:rsid w:val="005C18AB"/>
    <w:rsid w:val="005C18DE"/>
    <w:rsid w:val="005C1987"/>
    <w:rsid w:val="005C1A86"/>
    <w:rsid w:val="005C1A8E"/>
    <w:rsid w:val="005C1AEC"/>
    <w:rsid w:val="005C1B16"/>
    <w:rsid w:val="005C1B64"/>
    <w:rsid w:val="005C1B9C"/>
    <w:rsid w:val="005C1C0C"/>
    <w:rsid w:val="005C1D0D"/>
    <w:rsid w:val="005C1EA0"/>
    <w:rsid w:val="005C1EB0"/>
    <w:rsid w:val="005C1EE8"/>
    <w:rsid w:val="005C1F65"/>
    <w:rsid w:val="005C1F66"/>
    <w:rsid w:val="005C1FA2"/>
    <w:rsid w:val="005C2103"/>
    <w:rsid w:val="005C212E"/>
    <w:rsid w:val="005C230C"/>
    <w:rsid w:val="005C244D"/>
    <w:rsid w:val="005C2775"/>
    <w:rsid w:val="005C2930"/>
    <w:rsid w:val="005C2B06"/>
    <w:rsid w:val="005C2BDA"/>
    <w:rsid w:val="005C2D51"/>
    <w:rsid w:val="005C2FC8"/>
    <w:rsid w:val="005C319C"/>
    <w:rsid w:val="005C31BE"/>
    <w:rsid w:val="005C3484"/>
    <w:rsid w:val="005C3630"/>
    <w:rsid w:val="005C36A7"/>
    <w:rsid w:val="005C378A"/>
    <w:rsid w:val="005C37E0"/>
    <w:rsid w:val="005C37E3"/>
    <w:rsid w:val="005C3A0F"/>
    <w:rsid w:val="005C3ABE"/>
    <w:rsid w:val="005C3B8C"/>
    <w:rsid w:val="005C3C9F"/>
    <w:rsid w:val="005C3F60"/>
    <w:rsid w:val="005C3FAD"/>
    <w:rsid w:val="005C4458"/>
    <w:rsid w:val="005C4533"/>
    <w:rsid w:val="005C4656"/>
    <w:rsid w:val="005C46D3"/>
    <w:rsid w:val="005C46F4"/>
    <w:rsid w:val="005C4AAA"/>
    <w:rsid w:val="005C4B27"/>
    <w:rsid w:val="005C4BBC"/>
    <w:rsid w:val="005C4D3A"/>
    <w:rsid w:val="005C4FA4"/>
    <w:rsid w:val="005C4FD9"/>
    <w:rsid w:val="005C5155"/>
    <w:rsid w:val="005C557C"/>
    <w:rsid w:val="005C56C7"/>
    <w:rsid w:val="005C5709"/>
    <w:rsid w:val="005C5886"/>
    <w:rsid w:val="005C58BF"/>
    <w:rsid w:val="005C5AAE"/>
    <w:rsid w:val="005C5B4D"/>
    <w:rsid w:val="005C5B56"/>
    <w:rsid w:val="005C5C28"/>
    <w:rsid w:val="005C5C34"/>
    <w:rsid w:val="005C5E3A"/>
    <w:rsid w:val="005C5F5C"/>
    <w:rsid w:val="005C5FF6"/>
    <w:rsid w:val="005C61FB"/>
    <w:rsid w:val="005C64BB"/>
    <w:rsid w:val="005C678B"/>
    <w:rsid w:val="005C681A"/>
    <w:rsid w:val="005C68FB"/>
    <w:rsid w:val="005C6AFF"/>
    <w:rsid w:val="005C6B55"/>
    <w:rsid w:val="005C6BFD"/>
    <w:rsid w:val="005C6C7D"/>
    <w:rsid w:val="005C6CA7"/>
    <w:rsid w:val="005C6D95"/>
    <w:rsid w:val="005C6E48"/>
    <w:rsid w:val="005C726E"/>
    <w:rsid w:val="005C72A4"/>
    <w:rsid w:val="005C7522"/>
    <w:rsid w:val="005C767F"/>
    <w:rsid w:val="005C7712"/>
    <w:rsid w:val="005C77A5"/>
    <w:rsid w:val="005C7A4A"/>
    <w:rsid w:val="005C7B71"/>
    <w:rsid w:val="005C7BC2"/>
    <w:rsid w:val="005C7C79"/>
    <w:rsid w:val="005C7CD2"/>
    <w:rsid w:val="005C7E22"/>
    <w:rsid w:val="005C7EA7"/>
    <w:rsid w:val="005C7F58"/>
    <w:rsid w:val="005D005F"/>
    <w:rsid w:val="005D011E"/>
    <w:rsid w:val="005D01C8"/>
    <w:rsid w:val="005D0268"/>
    <w:rsid w:val="005D02FA"/>
    <w:rsid w:val="005D032D"/>
    <w:rsid w:val="005D08D9"/>
    <w:rsid w:val="005D09B7"/>
    <w:rsid w:val="005D0B09"/>
    <w:rsid w:val="005D0C70"/>
    <w:rsid w:val="005D0CA5"/>
    <w:rsid w:val="005D0D45"/>
    <w:rsid w:val="005D0D91"/>
    <w:rsid w:val="005D0DCF"/>
    <w:rsid w:val="005D0F32"/>
    <w:rsid w:val="005D0FBD"/>
    <w:rsid w:val="005D0FF0"/>
    <w:rsid w:val="005D10A1"/>
    <w:rsid w:val="005D129A"/>
    <w:rsid w:val="005D12DF"/>
    <w:rsid w:val="005D1373"/>
    <w:rsid w:val="005D1696"/>
    <w:rsid w:val="005D1952"/>
    <w:rsid w:val="005D199D"/>
    <w:rsid w:val="005D1AD4"/>
    <w:rsid w:val="005D1BD8"/>
    <w:rsid w:val="005D1C06"/>
    <w:rsid w:val="005D1C07"/>
    <w:rsid w:val="005D1D02"/>
    <w:rsid w:val="005D2084"/>
    <w:rsid w:val="005D214D"/>
    <w:rsid w:val="005D219F"/>
    <w:rsid w:val="005D228B"/>
    <w:rsid w:val="005D22B8"/>
    <w:rsid w:val="005D23F1"/>
    <w:rsid w:val="005D2558"/>
    <w:rsid w:val="005D27EC"/>
    <w:rsid w:val="005D2887"/>
    <w:rsid w:val="005D2888"/>
    <w:rsid w:val="005D2AB1"/>
    <w:rsid w:val="005D2BBE"/>
    <w:rsid w:val="005D2BCF"/>
    <w:rsid w:val="005D2C50"/>
    <w:rsid w:val="005D2D78"/>
    <w:rsid w:val="005D2DC8"/>
    <w:rsid w:val="005D31E5"/>
    <w:rsid w:val="005D33A7"/>
    <w:rsid w:val="005D3493"/>
    <w:rsid w:val="005D34DE"/>
    <w:rsid w:val="005D35C6"/>
    <w:rsid w:val="005D36E7"/>
    <w:rsid w:val="005D3864"/>
    <w:rsid w:val="005D3952"/>
    <w:rsid w:val="005D3AFE"/>
    <w:rsid w:val="005D3B41"/>
    <w:rsid w:val="005D3C21"/>
    <w:rsid w:val="005D3C4D"/>
    <w:rsid w:val="005D3C59"/>
    <w:rsid w:val="005D3C60"/>
    <w:rsid w:val="005D3CAB"/>
    <w:rsid w:val="005D3DF0"/>
    <w:rsid w:val="005D3F9F"/>
    <w:rsid w:val="005D4067"/>
    <w:rsid w:val="005D40EC"/>
    <w:rsid w:val="005D43FB"/>
    <w:rsid w:val="005D44F2"/>
    <w:rsid w:val="005D451A"/>
    <w:rsid w:val="005D4657"/>
    <w:rsid w:val="005D488B"/>
    <w:rsid w:val="005D4CF1"/>
    <w:rsid w:val="005D4D2B"/>
    <w:rsid w:val="005D4F35"/>
    <w:rsid w:val="005D4FF6"/>
    <w:rsid w:val="005D5133"/>
    <w:rsid w:val="005D514A"/>
    <w:rsid w:val="005D5303"/>
    <w:rsid w:val="005D53C5"/>
    <w:rsid w:val="005D552B"/>
    <w:rsid w:val="005D56D0"/>
    <w:rsid w:val="005D57F5"/>
    <w:rsid w:val="005D5809"/>
    <w:rsid w:val="005D5898"/>
    <w:rsid w:val="005D5959"/>
    <w:rsid w:val="005D597B"/>
    <w:rsid w:val="005D5B59"/>
    <w:rsid w:val="005D5B9C"/>
    <w:rsid w:val="005D5C36"/>
    <w:rsid w:val="005D5EAF"/>
    <w:rsid w:val="005D5F83"/>
    <w:rsid w:val="005D60DC"/>
    <w:rsid w:val="005D62B3"/>
    <w:rsid w:val="005D6377"/>
    <w:rsid w:val="005D6516"/>
    <w:rsid w:val="005D662B"/>
    <w:rsid w:val="005D6709"/>
    <w:rsid w:val="005D6A73"/>
    <w:rsid w:val="005D6BF7"/>
    <w:rsid w:val="005D6D81"/>
    <w:rsid w:val="005D6D88"/>
    <w:rsid w:val="005D6F22"/>
    <w:rsid w:val="005D6F65"/>
    <w:rsid w:val="005D7114"/>
    <w:rsid w:val="005D712D"/>
    <w:rsid w:val="005D716E"/>
    <w:rsid w:val="005D71E8"/>
    <w:rsid w:val="005D7322"/>
    <w:rsid w:val="005D73BF"/>
    <w:rsid w:val="005D774A"/>
    <w:rsid w:val="005D7870"/>
    <w:rsid w:val="005D7BF7"/>
    <w:rsid w:val="005D7CE1"/>
    <w:rsid w:val="005D7D4A"/>
    <w:rsid w:val="005D7DC6"/>
    <w:rsid w:val="005D7F5E"/>
    <w:rsid w:val="005E0039"/>
    <w:rsid w:val="005E013E"/>
    <w:rsid w:val="005E0234"/>
    <w:rsid w:val="005E02C0"/>
    <w:rsid w:val="005E02FF"/>
    <w:rsid w:val="005E04DB"/>
    <w:rsid w:val="005E058D"/>
    <w:rsid w:val="005E05E5"/>
    <w:rsid w:val="005E0737"/>
    <w:rsid w:val="005E073D"/>
    <w:rsid w:val="005E0AF0"/>
    <w:rsid w:val="005E0D61"/>
    <w:rsid w:val="005E0DAB"/>
    <w:rsid w:val="005E0E9A"/>
    <w:rsid w:val="005E0F9E"/>
    <w:rsid w:val="005E1091"/>
    <w:rsid w:val="005E109C"/>
    <w:rsid w:val="005E10C3"/>
    <w:rsid w:val="005E13D5"/>
    <w:rsid w:val="005E1459"/>
    <w:rsid w:val="005E1490"/>
    <w:rsid w:val="005E149F"/>
    <w:rsid w:val="005E154E"/>
    <w:rsid w:val="005E18FB"/>
    <w:rsid w:val="005E19D6"/>
    <w:rsid w:val="005E1C15"/>
    <w:rsid w:val="005E1D12"/>
    <w:rsid w:val="005E1F75"/>
    <w:rsid w:val="005E1F93"/>
    <w:rsid w:val="005E1FB3"/>
    <w:rsid w:val="005E21CB"/>
    <w:rsid w:val="005E21E8"/>
    <w:rsid w:val="005E2214"/>
    <w:rsid w:val="005E23FE"/>
    <w:rsid w:val="005E25A1"/>
    <w:rsid w:val="005E2610"/>
    <w:rsid w:val="005E2636"/>
    <w:rsid w:val="005E26B8"/>
    <w:rsid w:val="005E2BA1"/>
    <w:rsid w:val="005E2C66"/>
    <w:rsid w:val="005E2C77"/>
    <w:rsid w:val="005E2CBF"/>
    <w:rsid w:val="005E2CF5"/>
    <w:rsid w:val="005E2FBA"/>
    <w:rsid w:val="005E2FE6"/>
    <w:rsid w:val="005E318B"/>
    <w:rsid w:val="005E3272"/>
    <w:rsid w:val="005E34B0"/>
    <w:rsid w:val="005E3514"/>
    <w:rsid w:val="005E365B"/>
    <w:rsid w:val="005E37F8"/>
    <w:rsid w:val="005E3931"/>
    <w:rsid w:val="005E3A03"/>
    <w:rsid w:val="005E3A0D"/>
    <w:rsid w:val="005E3BE2"/>
    <w:rsid w:val="005E3C97"/>
    <w:rsid w:val="005E3F1B"/>
    <w:rsid w:val="005E404C"/>
    <w:rsid w:val="005E405A"/>
    <w:rsid w:val="005E4357"/>
    <w:rsid w:val="005E43B7"/>
    <w:rsid w:val="005E44F4"/>
    <w:rsid w:val="005E45B0"/>
    <w:rsid w:val="005E45D5"/>
    <w:rsid w:val="005E485B"/>
    <w:rsid w:val="005E4A6A"/>
    <w:rsid w:val="005E4C68"/>
    <w:rsid w:val="005E4D73"/>
    <w:rsid w:val="005E4E67"/>
    <w:rsid w:val="005E4FB4"/>
    <w:rsid w:val="005E50E5"/>
    <w:rsid w:val="005E50E6"/>
    <w:rsid w:val="005E5313"/>
    <w:rsid w:val="005E55CE"/>
    <w:rsid w:val="005E56E4"/>
    <w:rsid w:val="005E56FE"/>
    <w:rsid w:val="005E5B2B"/>
    <w:rsid w:val="005E5D03"/>
    <w:rsid w:val="005E5DBC"/>
    <w:rsid w:val="005E5DE1"/>
    <w:rsid w:val="005E5E78"/>
    <w:rsid w:val="005E5F01"/>
    <w:rsid w:val="005E611F"/>
    <w:rsid w:val="005E6124"/>
    <w:rsid w:val="005E64B7"/>
    <w:rsid w:val="005E6604"/>
    <w:rsid w:val="005E6659"/>
    <w:rsid w:val="005E6741"/>
    <w:rsid w:val="005E690A"/>
    <w:rsid w:val="005E694E"/>
    <w:rsid w:val="005E6D0B"/>
    <w:rsid w:val="005E6E33"/>
    <w:rsid w:val="005E722D"/>
    <w:rsid w:val="005E7235"/>
    <w:rsid w:val="005E7445"/>
    <w:rsid w:val="005E74C4"/>
    <w:rsid w:val="005E75B3"/>
    <w:rsid w:val="005E7740"/>
    <w:rsid w:val="005E78A6"/>
    <w:rsid w:val="005E795E"/>
    <w:rsid w:val="005E798E"/>
    <w:rsid w:val="005E7BBA"/>
    <w:rsid w:val="005E7CF7"/>
    <w:rsid w:val="005E7D26"/>
    <w:rsid w:val="005E7F9E"/>
    <w:rsid w:val="005E7FAF"/>
    <w:rsid w:val="005F0081"/>
    <w:rsid w:val="005F0275"/>
    <w:rsid w:val="005F02D6"/>
    <w:rsid w:val="005F0306"/>
    <w:rsid w:val="005F0787"/>
    <w:rsid w:val="005F0792"/>
    <w:rsid w:val="005F0821"/>
    <w:rsid w:val="005F0999"/>
    <w:rsid w:val="005F0AC0"/>
    <w:rsid w:val="005F0D8D"/>
    <w:rsid w:val="005F105A"/>
    <w:rsid w:val="005F1093"/>
    <w:rsid w:val="005F110D"/>
    <w:rsid w:val="005F112E"/>
    <w:rsid w:val="005F1196"/>
    <w:rsid w:val="005F12A8"/>
    <w:rsid w:val="005F12ED"/>
    <w:rsid w:val="005F1744"/>
    <w:rsid w:val="005F1907"/>
    <w:rsid w:val="005F19C9"/>
    <w:rsid w:val="005F1B88"/>
    <w:rsid w:val="005F1BFF"/>
    <w:rsid w:val="005F1D09"/>
    <w:rsid w:val="005F1D3F"/>
    <w:rsid w:val="005F1E0B"/>
    <w:rsid w:val="005F1F34"/>
    <w:rsid w:val="005F200B"/>
    <w:rsid w:val="005F21FE"/>
    <w:rsid w:val="005F2284"/>
    <w:rsid w:val="005F239F"/>
    <w:rsid w:val="005F2490"/>
    <w:rsid w:val="005F2824"/>
    <w:rsid w:val="005F2946"/>
    <w:rsid w:val="005F2A61"/>
    <w:rsid w:val="005F2B14"/>
    <w:rsid w:val="005F2B68"/>
    <w:rsid w:val="005F2C9A"/>
    <w:rsid w:val="005F3018"/>
    <w:rsid w:val="005F3074"/>
    <w:rsid w:val="005F3151"/>
    <w:rsid w:val="005F3221"/>
    <w:rsid w:val="005F32B8"/>
    <w:rsid w:val="005F33ED"/>
    <w:rsid w:val="005F3605"/>
    <w:rsid w:val="005F36C0"/>
    <w:rsid w:val="005F39C7"/>
    <w:rsid w:val="005F3A4A"/>
    <w:rsid w:val="005F3A93"/>
    <w:rsid w:val="005F3CC1"/>
    <w:rsid w:val="005F3D50"/>
    <w:rsid w:val="005F3DD5"/>
    <w:rsid w:val="005F3E3D"/>
    <w:rsid w:val="005F3E61"/>
    <w:rsid w:val="005F3ECE"/>
    <w:rsid w:val="005F3EF5"/>
    <w:rsid w:val="005F4090"/>
    <w:rsid w:val="005F4289"/>
    <w:rsid w:val="005F43FC"/>
    <w:rsid w:val="005F454E"/>
    <w:rsid w:val="005F4553"/>
    <w:rsid w:val="005F45AD"/>
    <w:rsid w:val="005F45BA"/>
    <w:rsid w:val="005F477E"/>
    <w:rsid w:val="005F49C3"/>
    <w:rsid w:val="005F4A4A"/>
    <w:rsid w:val="005F4A60"/>
    <w:rsid w:val="005F4AD9"/>
    <w:rsid w:val="005F4B89"/>
    <w:rsid w:val="005F4E8A"/>
    <w:rsid w:val="005F4F16"/>
    <w:rsid w:val="005F4F23"/>
    <w:rsid w:val="005F50AB"/>
    <w:rsid w:val="005F51A7"/>
    <w:rsid w:val="005F5302"/>
    <w:rsid w:val="005F541E"/>
    <w:rsid w:val="005F54BB"/>
    <w:rsid w:val="005F550C"/>
    <w:rsid w:val="005F55BA"/>
    <w:rsid w:val="005F570F"/>
    <w:rsid w:val="005F584E"/>
    <w:rsid w:val="005F5971"/>
    <w:rsid w:val="005F5C65"/>
    <w:rsid w:val="005F5E81"/>
    <w:rsid w:val="005F5F6F"/>
    <w:rsid w:val="005F610B"/>
    <w:rsid w:val="005F6479"/>
    <w:rsid w:val="005F6493"/>
    <w:rsid w:val="005F6806"/>
    <w:rsid w:val="005F6B66"/>
    <w:rsid w:val="005F6C22"/>
    <w:rsid w:val="005F6CD9"/>
    <w:rsid w:val="005F6DF7"/>
    <w:rsid w:val="005F7070"/>
    <w:rsid w:val="005F7087"/>
    <w:rsid w:val="005F70FD"/>
    <w:rsid w:val="005F7207"/>
    <w:rsid w:val="005F77E4"/>
    <w:rsid w:val="005F787F"/>
    <w:rsid w:val="005F78F5"/>
    <w:rsid w:val="005F79A4"/>
    <w:rsid w:val="005F7BC0"/>
    <w:rsid w:val="005F7BC1"/>
    <w:rsid w:val="005F7C67"/>
    <w:rsid w:val="005F7C85"/>
    <w:rsid w:val="005F7D8A"/>
    <w:rsid w:val="005F7DF1"/>
    <w:rsid w:val="005F7E45"/>
    <w:rsid w:val="006000D3"/>
    <w:rsid w:val="00600261"/>
    <w:rsid w:val="006003F0"/>
    <w:rsid w:val="006004AD"/>
    <w:rsid w:val="006007A1"/>
    <w:rsid w:val="006007D0"/>
    <w:rsid w:val="00600821"/>
    <w:rsid w:val="00600827"/>
    <w:rsid w:val="00600978"/>
    <w:rsid w:val="00600A85"/>
    <w:rsid w:val="00600B53"/>
    <w:rsid w:val="00600BA0"/>
    <w:rsid w:val="00600BC7"/>
    <w:rsid w:val="00600CC1"/>
    <w:rsid w:val="00600E7E"/>
    <w:rsid w:val="00600EB3"/>
    <w:rsid w:val="0060104E"/>
    <w:rsid w:val="00601066"/>
    <w:rsid w:val="00601086"/>
    <w:rsid w:val="006010AF"/>
    <w:rsid w:val="00601164"/>
    <w:rsid w:val="006012B5"/>
    <w:rsid w:val="006012D7"/>
    <w:rsid w:val="00601557"/>
    <w:rsid w:val="00601610"/>
    <w:rsid w:val="0060195F"/>
    <w:rsid w:val="00601A44"/>
    <w:rsid w:val="00601B05"/>
    <w:rsid w:val="00601C76"/>
    <w:rsid w:val="00601DA0"/>
    <w:rsid w:val="00601DA8"/>
    <w:rsid w:val="00601E1E"/>
    <w:rsid w:val="00601E4C"/>
    <w:rsid w:val="00601EAF"/>
    <w:rsid w:val="006020E5"/>
    <w:rsid w:val="00602129"/>
    <w:rsid w:val="006022AF"/>
    <w:rsid w:val="00602396"/>
    <w:rsid w:val="00602466"/>
    <w:rsid w:val="00602503"/>
    <w:rsid w:val="00602517"/>
    <w:rsid w:val="006026A3"/>
    <w:rsid w:val="006026D1"/>
    <w:rsid w:val="00602A67"/>
    <w:rsid w:val="00602D1A"/>
    <w:rsid w:val="0060332C"/>
    <w:rsid w:val="0060336C"/>
    <w:rsid w:val="006033AC"/>
    <w:rsid w:val="006034AE"/>
    <w:rsid w:val="006034C8"/>
    <w:rsid w:val="006036BC"/>
    <w:rsid w:val="0060379F"/>
    <w:rsid w:val="006039AF"/>
    <w:rsid w:val="00603A0E"/>
    <w:rsid w:val="0060407D"/>
    <w:rsid w:val="006041D1"/>
    <w:rsid w:val="006042A1"/>
    <w:rsid w:val="00604318"/>
    <w:rsid w:val="006043D2"/>
    <w:rsid w:val="006043D7"/>
    <w:rsid w:val="00604683"/>
    <w:rsid w:val="0060476C"/>
    <w:rsid w:val="00604857"/>
    <w:rsid w:val="00604A4E"/>
    <w:rsid w:val="00604B3A"/>
    <w:rsid w:val="00604C1D"/>
    <w:rsid w:val="00604E07"/>
    <w:rsid w:val="00604FAB"/>
    <w:rsid w:val="00605339"/>
    <w:rsid w:val="006054ED"/>
    <w:rsid w:val="00605626"/>
    <w:rsid w:val="0060573D"/>
    <w:rsid w:val="0060574A"/>
    <w:rsid w:val="00605791"/>
    <w:rsid w:val="00605823"/>
    <w:rsid w:val="0060599B"/>
    <w:rsid w:val="00605A3E"/>
    <w:rsid w:val="00605A6F"/>
    <w:rsid w:val="00605ABE"/>
    <w:rsid w:val="00605E50"/>
    <w:rsid w:val="00605F62"/>
    <w:rsid w:val="00605F72"/>
    <w:rsid w:val="00605F9C"/>
    <w:rsid w:val="006060A3"/>
    <w:rsid w:val="00606127"/>
    <w:rsid w:val="0060620A"/>
    <w:rsid w:val="0060641D"/>
    <w:rsid w:val="0060643F"/>
    <w:rsid w:val="0060645A"/>
    <w:rsid w:val="006064DE"/>
    <w:rsid w:val="006065BF"/>
    <w:rsid w:val="006069B1"/>
    <w:rsid w:val="00606A4C"/>
    <w:rsid w:val="00606B58"/>
    <w:rsid w:val="00606D8D"/>
    <w:rsid w:val="00606E12"/>
    <w:rsid w:val="00606F9B"/>
    <w:rsid w:val="00607471"/>
    <w:rsid w:val="0060760F"/>
    <w:rsid w:val="0060763B"/>
    <w:rsid w:val="006076C3"/>
    <w:rsid w:val="00607735"/>
    <w:rsid w:val="0060776C"/>
    <w:rsid w:val="00607844"/>
    <w:rsid w:val="0060787E"/>
    <w:rsid w:val="00607AFF"/>
    <w:rsid w:val="00607F80"/>
    <w:rsid w:val="0061020F"/>
    <w:rsid w:val="00610318"/>
    <w:rsid w:val="00610403"/>
    <w:rsid w:val="0061041E"/>
    <w:rsid w:val="006104F3"/>
    <w:rsid w:val="006105CE"/>
    <w:rsid w:val="00610B0E"/>
    <w:rsid w:val="00610C97"/>
    <w:rsid w:val="00610CEF"/>
    <w:rsid w:val="00610D2B"/>
    <w:rsid w:val="0061121D"/>
    <w:rsid w:val="0061137A"/>
    <w:rsid w:val="006116C5"/>
    <w:rsid w:val="006117F3"/>
    <w:rsid w:val="00611A85"/>
    <w:rsid w:val="00611DCA"/>
    <w:rsid w:val="00611E18"/>
    <w:rsid w:val="00611F27"/>
    <w:rsid w:val="00611F6A"/>
    <w:rsid w:val="0061249C"/>
    <w:rsid w:val="006124C8"/>
    <w:rsid w:val="00612559"/>
    <w:rsid w:val="0061255D"/>
    <w:rsid w:val="0061258C"/>
    <w:rsid w:val="00612604"/>
    <w:rsid w:val="006126F7"/>
    <w:rsid w:val="0061286E"/>
    <w:rsid w:val="00612886"/>
    <w:rsid w:val="0061291D"/>
    <w:rsid w:val="00612996"/>
    <w:rsid w:val="006129F8"/>
    <w:rsid w:val="00612AC7"/>
    <w:rsid w:val="00612C1C"/>
    <w:rsid w:val="00612C84"/>
    <w:rsid w:val="00612CD7"/>
    <w:rsid w:val="00612D30"/>
    <w:rsid w:val="00612E34"/>
    <w:rsid w:val="00612E41"/>
    <w:rsid w:val="00612EE4"/>
    <w:rsid w:val="00612F61"/>
    <w:rsid w:val="00612F65"/>
    <w:rsid w:val="00613010"/>
    <w:rsid w:val="00613017"/>
    <w:rsid w:val="0061319D"/>
    <w:rsid w:val="00613243"/>
    <w:rsid w:val="006136E2"/>
    <w:rsid w:val="006137F3"/>
    <w:rsid w:val="006138C5"/>
    <w:rsid w:val="00613A23"/>
    <w:rsid w:val="00613A7C"/>
    <w:rsid w:val="00613AB3"/>
    <w:rsid w:val="00613AF0"/>
    <w:rsid w:val="00613D89"/>
    <w:rsid w:val="00613D8B"/>
    <w:rsid w:val="006140AB"/>
    <w:rsid w:val="006142AA"/>
    <w:rsid w:val="006142E1"/>
    <w:rsid w:val="00614468"/>
    <w:rsid w:val="00614580"/>
    <w:rsid w:val="00614727"/>
    <w:rsid w:val="006147F4"/>
    <w:rsid w:val="006147FA"/>
    <w:rsid w:val="0061486B"/>
    <w:rsid w:val="006149FC"/>
    <w:rsid w:val="00614BF8"/>
    <w:rsid w:val="00614CFA"/>
    <w:rsid w:val="00614D8D"/>
    <w:rsid w:val="006150DA"/>
    <w:rsid w:val="006153C5"/>
    <w:rsid w:val="00615559"/>
    <w:rsid w:val="006155B2"/>
    <w:rsid w:val="006155D7"/>
    <w:rsid w:val="00615731"/>
    <w:rsid w:val="00615B73"/>
    <w:rsid w:val="00615B99"/>
    <w:rsid w:val="00615C43"/>
    <w:rsid w:val="00615E94"/>
    <w:rsid w:val="00615F0D"/>
    <w:rsid w:val="00616077"/>
    <w:rsid w:val="006161AA"/>
    <w:rsid w:val="00616275"/>
    <w:rsid w:val="006163EA"/>
    <w:rsid w:val="00616873"/>
    <w:rsid w:val="0061688D"/>
    <w:rsid w:val="006168F4"/>
    <w:rsid w:val="00616904"/>
    <w:rsid w:val="00616993"/>
    <w:rsid w:val="00616A4F"/>
    <w:rsid w:val="00616A80"/>
    <w:rsid w:val="00616ABA"/>
    <w:rsid w:val="00616AC2"/>
    <w:rsid w:val="00616E27"/>
    <w:rsid w:val="00616E61"/>
    <w:rsid w:val="00617003"/>
    <w:rsid w:val="00617065"/>
    <w:rsid w:val="0061714B"/>
    <w:rsid w:val="006171E1"/>
    <w:rsid w:val="00617381"/>
    <w:rsid w:val="00617469"/>
    <w:rsid w:val="006176CE"/>
    <w:rsid w:val="0061774E"/>
    <w:rsid w:val="006177BE"/>
    <w:rsid w:val="006178AC"/>
    <w:rsid w:val="00617A4F"/>
    <w:rsid w:val="00617BAE"/>
    <w:rsid w:val="00617D5A"/>
    <w:rsid w:val="00617DD7"/>
    <w:rsid w:val="00617E98"/>
    <w:rsid w:val="00617FD0"/>
    <w:rsid w:val="0062011B"/>
    <w:rsid w:val="00620293"/>
    <w:rsid w:val="006202E9"/>
    <w:rsid w:val="0062031D"/>
    <w:rsid w:val="00620347"/>
    <w:rsid w:val="006203AC"/>
    <w:rsid w:val="006205AD"/>
    <w:rsid w:val="00620953"/>
    <w:rsid w:val="00620B65"/>
    <w:rsid w:val="00620C92"/>
    <w:rsid w:val="00620C95"/>
    <w:rsid w:val="00620D0C"/>
    <w:rsid w:val="0062106F"/>
    <w:rsid w:val="006211F8"/>
    <w:rsid w:val="00621252"/>
    <w:rsid w:val="00621328"/>
    <w:rsid w:val="00621556"/>
    <w:rsid w:val="0062183C"/>
    <w:rsid w:val="0062187D"/>
    <w:rsid w:val="0062190E"/>
    <w:rsid w:val="00621B91"/>
    <w:rsid w:val="00621CBD"/>
    <w:rsid w:val="00621EC5"/>
    <w:rsid w:val="00621F9C"/>
    <w:rsid w:val="006220B1"/>
    <w:rsid w:val="0062215F"/>
    <w:rsid w:val="00622166"/>
    <w:rsid w:val="0062225B"/>
    <w:rsid w:val="00622451"/>
    <w:rsid w:val="0062254F"/>
    <w:rsid w:val="00622583"/>
    <w:rsid w:val="00622602"/>
    <w:rsid w:val="00622715"/>
    <w:rsid w:val="00622743"/>
    <w:rsid w:val="0062288B"/>
    <w:rsid w:val="006228E7"/>
    <w:rsid w:val="00622900"/>
    <w:rsid w:val="00622AD7"/>
    <w:rsid w:val="00622AE3"/>
    <w:rsid w:val="00622B8D"/>
    <w:rsid w:val="00622BC0"/>
    <w:rsid w:val="00622C5E"/>
    <w:rsid w:val="00622C9E"/>
    <w:rsid w:val="00622CEE"/>
    <w:rsid w:val="00622E63"/>
    <w:rsid w:val="0062322A"/>
    <w:rsid w:val="006234EB"/>
    <w:rsid w:val="006238B7"/>
    <w:rsid w:val="0062398B"/>
    <w:rsid w:val="00623B56"/>
    <w:rsid w:val="00624018"/>
    <w:rsid w:val="006241B4"/>
    <w:rsid w:val="006241C7"/>
    <w:rsid w:val="00624291"/>
    <w:rsid w:val="00624370"/>
    <w:rsid w:val="0062447A"/>
    <w:rsid w:val="00624505"/>
    <w:rsid w:val="006245BF"/>
    <w:rsid w:val="006246CF"/>
    <w:rsid w:val="006247CC"/>
    <w:rsid w:val="00624804"/>
    <w:rsid w:val="006248A3"/>
    <w:rsid w:val="00624A37"/>
    <w:rsid w:val="00624AC0"/>
    <w:rsid w:val="00624E92"/>
    <w:rsid w:val="00624F07"/>
    <w:rsid w:val="00624F20"/>
    <w:rsid w:val="00625084"/>
    <w:rsid w:val="00625116"/>
    <w:rsid w:val="00625137"/>
    <w:rsid w:val="00625152"/>
    <w:rsid w:val="00625305"/>
    <w:rsid w:val="006253CB"/>
    <w:rsid w:val="00625792"/>
    <w:rsid w:val="00625D22"/>
    <w:rsid w:val="006260B4"/>
    <w:rsid w:val="00626135"/>
    <w:rsid w:val="006261D4"/>
    <w:rsid w:val="0062663B"/>
    <w:rsid w:val="0062686E"/>
    <w:rsid w:val="00626A8C"/>
    <w:rsid w:val="00626BC2"/>
    <w:rsid w:val="00626C00"/>
    <w:rsid w:val="00626C39"/>
    <w:rsid w:val="00626D1E"/>
    <w:rsid w:val="00626D6D"/>
    <w:rsid w:val="00626D9D"/>
    <w:rsid w:val="00626DA0"/>
    <w:rsid w:val="00626DA1"/>
    <w:rsid w:val="00626E5C"/>
    <w:rsid w:val="00626ECC"/>
    <w:rsid w:val="00626F6D"/>
    <w:rsid w:val="00627083"/>
    <w:rsid w:val="0062715C"/>
    <w:rsid w:val="006272FF"/>
    <w:rsid w:val="00627365"/>
    <w:rsid w:val="0062739B"/>
    <w:rsid w:val="006274AB"/>
    <w:rsid w:val="00627F3E"/>
    <w:rsid w:val="00627F85"/>
    <w:rsid w:val="0063000B"/>
    <w:rsid w:val="00630025"/>
    <w:rsid w:val="006300C0"/>
    <w:rsid w:val="00630311"/>
    <w:rsid w:val="006303D3"/>
    <w:rsid w:val="006305EC"/>
    <w:rsid w:val="006308E0"/>
    <w:rsid w:val="0063090A"/>
    <w:rsid w:val="00630A1A"/>
    <w:rsid w:val="00630B58"/>
    <w:rsid w:val="00630B84"/>
    <w:rsid w:val="00630BF4"/>
    <w:rsid w:val="00630F7C"/>
    <w:rsid w:val="00631253"/>
    <w:rsid w:val="006314A8"/>
    <w:rsid w:val="006316CD"/>
    <w:rsid w:val="0063176A"/>
    <w:rsid w:val="006317FC"/>
    <w:rsid w:val="0063187F"/>
    <w:rsid w:val="00631994"/>
    <w:rsid w:val="00631BDD"/>
    <w:rsid w:val="00631C90"/>
    <w:rsid w:val="00631E79"/>
    <w:rsid w:val="00631EF0"/>
    <w:rsid w:val="00631F2D"/>
    <w:rsid w:val="00631F95"/>
    <w:rsid w:val="00632455"/>
    <w:rsid w:val="006324C1"/>
    <w:rsid w:val="006326AB"/>
    <w:rsid w:val="006328EB"/>
    <w:rsid w:val="00632995"/>
    <w:rsid w:val="00632A3D"/>
    <w:rsid w:val="00632ABB"/>
    <w:rsid w:val="00632B09"/>
    <w:rsid w:val="00632B8E"/>
    <w:rsid w:val="00632CC8"/>
    <w:rsid w:val="00632D85"/>
    <w:rsid w:val="00632E09"/>
    <w:rsid w:val="00632E93"/>
    <w:rsid w:val="00632F2C"/>
    <w:rsid w:val="00632F86"/>
    <w:rsid w:val="0063306E"/>
    <w:rsid w:val="006330C0"/>
    <w:rsid w:val="00633338"/>
    <w:rsid w:val="0063368D"/>
    <w:rsid w:val="006338CD"/>
    <w:rsid w:val="00633C85"/>
    <w:rsid w:val="00633D1D"/>
    <w:rsid w:val="00633D51"/>
    <w:rsid w:val="006340D9"/>
    <w:rsid w:val="006342C5"/>
    <w:rsid w:val="00634446"/>
    <w:rsid w:val="00634659"/>
    <w:rsid w:val="006346DC"/>
    <w:rsid w:val="006349B1"/>
    <w:rsid w:val="00634BF9"/>
    <w:rsid w:val="00634C78"/>
    <w:rsid w:val="00634CC6"/>
    <w:rsid w:val="00634D92"/>
    <w:rsid w:val="00634EAB"/>
    <w:rsid w:val="00634F11"/>
    <w:rsid w:val="006350FD"/>
    <w:rsid w:val="006351AB"/>
    <w:rsid w:val="006351EA"/>
    <w:rsid w:val="006352FD"/>
    <w:rsid w:val="00635474"/>
    <w:rsid w:val="006355D8"/>
    <w:rsid w:val="006355E7"/>
    <w:rsid w:val="0063567C"/>
    <w:rsid w:val="00635733"/>
    <w:rsid w:val="00635816"/>
    <w:rsid w:val="00635A4D"/>
    <w:rsid w:val="00635DE0"/>
    <w:rsid w:val="00635E91"/>
    <w:rsid w:val="0063613D"/>
    <w:rsid w:val="0063630A"/>
    <w:rsid w:val="00636374"/>
    <w:rsid w:val="006367C4"/>
    <w:rsid w:val="00636892"/>
    <w:rsid w:val="006368C9"/>
    <w:rsid w:val="00636946"/>
    <w:rsid w:val="006369F0"/>
    <w:rsid w:val="00636EEE"/>
    <w:rsid w:val="00636F90"/>
    <w:rsid w:val="00637143"/>
    <w:rsid w:val="0063733C"/>
    <w:rsid w:val="006374E6"/>
    <w:rsid w:val="00637554"/>
    <w:rsid w:val="0063757A"/>
    <w:rsid w:val="00637740"/>
    <w:rsid w:val="0063776B"/>
    <w:rsid w:val="0063790F"/>
    <w:rsid w:val="00637A2E"/>
    <w:rsid w:val="00637D1C"/>
    <w:rsid w:val="00637E6B"/>
    <w:rsid w:val="00637F2C"/>
    <w:rsid w:val="0064002D"/>
    <w:rsid w:val="0064006E"/>
    <w:rsid w:val="006400E8"/>
    <w:rsid w:val="006401D2"/>
    <w:rsid w:val="0064063A"/>
    <w:rsid w:val="0064067C"/>
    <w:rsid w:val="006407EF"/>
    <w:rsid w:val="006408A9"/>
    <w:rsid w:val="006409DC"/>
    <w:rsid w:val="00640BB5"/>
    <w:rsid w:val="00640CB9"/>
    <w:rsid w:val="00640D1F"/>
    <w:rsid w:val="00640DA7"/>
    <w:rsid w:val="00640E4B"/>
    <w:rsid w:val="00640F74"/>
    <w:rsid w:val="006412C8"/>
    <w:rsid w:val="006412E7"/>
    <w:rsid w:val="0064173F"/>
    <w:rsid w:val="00641757"/>
    <w:rsid w:val="00641781"/>
    <w:rsid w:val="006417E3"/>
    <w:rsid w:val="006418A0"/>
    <w:rsid w:val="0064199E"/>
    <w:rsid w:val="00642060"/>
    <w:rsid w:val="00642076"/>
    <w:rsid w:val="006423B0"/>
    <w:rsid w:val="00642401"/>
    <w:rsid w:val="00642520"/>
    <w:rsid w:val="006427AF"/>
    <w:rsid w:val="006427CA"/>
    <w:rsid w:val="00642839"/>
    <w:rsid w:val="006428C3"/>
    <w:rsid w:val="00642B96"/>
    <w:rsid w:val="00643036"/>
    <w:rsid w:val="00643129"/>
    <w:rsid w:val="00643289"/>
    <w:rsid w:val="0064345C"/>
    <w:rsid w:val="006435CD"/>
    <w:rsid w:val="006437D6"/>
    <w:rsid w:val="00643974"/>
    <w:rsid w:val="00643A8C"/>
    <w:rsid w:val="00643A8F"/>
    <w:rsid w:val="00643B9B"/>
    <w:rsid w:val="00643CE4"/>
    <w:rsid w:val="00643ECF"/>
    <w:rsid w:val="00643F0C"/>
    <w:rsid w:val="00644514"/>
    <w:rsid w:val="00644530"/>
    <w:rsid w:val="0064491C"/>
    <w:rsid w:val="006449BD"/>
    <w:rsid w:val="00644A49"/>
    <w:rsid w:val="00644C42"/>
    <w:rsid w:val="00644C7E"/>
    <w:rsid w:val="00644DCA"/>
    <w:rsid w:val="00644E5B"/>
    <w:rsid w:val="00644F38"/>
    <w:rsid w:val="00644F72"/>
    <w:rsid w:val="0064508D"/>
    <w:rsid w:val="00645093"/>
    <w:rsid w:val="00645143"/>
    <w:rsid w:val="00645145"/>
    <w:rsid w:val="00645180"/>
    <w:rsid w:val="006451D8"/>
    <w:rsid w:val="006452A4"/>
    <w:rsid w:val="006453F0"/>
    <w:rsid w:val="00645454"/>
    <w:rsid w:val="006454A8"/>
    <w:rsid w:val="006459DE"/>
    <w:rsid w:val="00645B16"/>
    <w:rsid w:val="00645C6F"/>
    <w:rsid w:val="00645D32"/>
    <w:rsid w:val="00645FB9"/>
    <w:rsid w:val="0064604F"/>
    <w:rsid w:val="00646188"/>
    <w:rsid w:val="0064626F"/>
    <w:rsid w:val="00646482"/>
    <w:rsid w:val="006465DF"/>
    <w:rsid w:val="00646714"/>
    <w:rsid w:val="00646749"/>
    <w:rsid w:val="006468FD"/>
    <w:rsid w:val="00646945"/>
    <w:rsid w:val="00646A4F"/>
    <w:rsid w:val="00646BCE"/>
    <w:rsid w:val="00646BEC"/>
    <w:rsid w:val="00646C58"/>
    <w:rsid w:val="00646C9D"/>
    <w:rsid w:val="00646E11"/>
    <w:rsid w:val="00646FA6"/>
    <w:rsid w:val="00647090"/>
    <w:rsid w:val="006470DB"/>
    <w:rsid w:val="00647149"/>
    <w:rsid w:val="0064718A"/>
    <w:rsid w:val="00647199"/>
    <w:rsid w:val="006471CF"/>
    <w:rsid w:val="00647330"/>
    <w:rsid w:val="006473B0"/>
    <w:rsid w:val="006473C8"/>
    <w:rsid w:val="00647488"/>
    <w:rsid w:val="006475AC"/>
    <w:rsid w:val="00647702"/>
    <w:rsid w:val="006477B0"/>
    <w:rsid w:val="00647845"/>
    <w:rsid w:val="00647931"/>
    <w:rsid w:val="0064795E"/>
    <w:rsid w:val="006479C6"/>
    <w:rsid w:val="00647A0C"/>
    <w:rsid w:val="00647AF2"/>
    <w:rsid w:val="00647C04"/>
    <w:rsid w:val="00647C77"/>
    <w:rsid w:val="00647CBA"/>
    <w:rsid w:val="00647DA2"/>
    <w:rsid w:val="0065011F"/>
    <w:rsid w:val="00650175"/>
    <w:rsid w:val="00650188"/>
    <w:rsid w:val="0065039F"/>
    <w:rsid w:val="006503BF"/>
    <w:rsid w:val="006504FA"/>
    <w:rsid w:val="00650668"/>
    <w:rsid w:val="0065071D"/>
    <w:rsid w:val="00650761"/>
    <w:rsid w:val="00650C78"/>
    <w:rsid w:val="00650C8B"/>
    <w:rsid w:val="00650D23"/>
    <w:rsid w:val="00650E4E"/>
    <w:rsid w:val="00650E52"/>
    <w:rsid w:val="00650FD4"/>
    <w:rsid w:val="0065122B"/>
    <w:rsid w:val="00651343"/>
    <w:rsid w:val="0065146F"/>
    <w:rsid w:val="00651747"/>
    <w:rsid w:val="0065174F"/>
    <w:rsid w:val="006517AA"/>
    <w:rsid w:val="00651877"/>
    <w:rsid w:val="00651B0D"/>
    <w:rsid w:val="00651B5B"/>
    <w:rsid w:val="00651CF8"/>
    <w:rsid w:val="00651E2B"/>
    <w:rsid w:val="00651E46"/>
    <w:rsid w:val="00651FB2"/>
    <w:rsid w:val="0065201E"/>
    <w:rsid w:val="0065219F"/>
    <w:rsid w:val="00652283"/>
    <w:rsid w:val="006523A9"/>
    <w:rsid w:val="006523D0"/>
    <w:rsid w:val="006524F4"/>
    <w:rsid w:val="00652588"/>
    <w:rsid w:val="00652612"/>
    <w:rsid w:val="00652689"/>
    <w:rsid w:val="00652739"/>
    <w:rsid w:val="00652A4A"/>
    <w:rsid w:val="00652ABD"/>
    <w:rsid w:val="00652AFD"/>
    <w:rsid w:val="00653284"/>
    <w:rsid w:val="006532BC"/>
    <w:rsid w:val="00653352"/>
    <w:rsid w:val="006533BD"/>
    <w:rsid w:val="006533ED"/>
    <w:rsid w:val="006534DD"/>
    <w:rsid w:val="00653626"/>
    <w:rsid w:val="006536EA"/>
    <w:rsid w:val="00653B60"/>
    <w:rsid w:val="00653C71"/>
    <w:rsid w:val="00653CBB"/>
    <w:rsid w:val="00653CE3"/>
    <w:rsid w:val="00653FD5"/>
    <w:rsid w:val="0065402C"/>
    <w:rsid w:val="006540AC"/>
    <w:rsid w:val="006540E8"/>
    <w:rsid w:val="00654104"/>
    <w:rsid w:val="0065410F"/>
    <w:rsid w:val="006544B1"/>
    <w:rsid w:val="00654542"/>
    <w:rsid w:val="00654543"/>
    <w:rsid w:val="006545B3"/>
    <w:rsid w:val="006549B2"/>
    <w:rsid w:val="00654A34"/>
    <w:rsid w:val="00654BA1"/>
    <w:rsid w:val="00654DAF"/>
    <w:rsid w:val="00655072"/>
    <w:rsid w:val="0065522F"/>
    <w:rsid w:val="0065591C"/>
    <w:rsid w:val="006559BB"/>
    <w:rsid w:val="00655E2D"/>
    <w:rsid w:val="00655E3B"/>
    <w:rsid w:val="00655F97"/>
    <w:rsid w:val="0065601D"/>
    <w:rsid w:val="0065610B"/>
    <w:rsid w:val="00656122"/>
    <w:rsid w:val="00656227"/>
    <w:rsid w:val="0065627E"/>
    <w:rsid w:val="006564BF"/>
    <w:rsid w:val="006564F8"/>
    <w:rsid w:val="00656580"/>
    <w:rsid w:val="006565A4"/>
    <w:rsid w:val="006567A0"/>
    <w:rsid w:val="00656802"/>
    <w:rsid w:val="006568BB"/>
    <w:rsid w:val="00656906"/>
    <w:rsid w:val="00656912"/>
    <w:rsid w:val="00656A16"/>
    <w:rsid w:val="00656C37"/>
    <w:rsid w:val="00656D4E"/>
    <w:rsid w:val="00656F9C"/>
    <w:rsid w:val="00657457"/>
    <w:rsid w:val="006574B4"/>
    <w:rsid w:val="006575FE"/>
    <w:rsid w:val="006578A0"/>
    <w:rsid w:val="0065792B"/>
    <w:rsid w:val="00657AB0"/>
    <w:rsid w:val="00657E4D"/>
    <w:rsid w:val="00660039"/>
    <w:rsid w:val="006600A3"/>
    <w:rsid w:val="006600A5"/>
    <w:rsid w:val="006602CD"/>
    <w:rsid w:val="006602D6"/>
    <w:rsid w:val="006603BC"/>
    <w:rsid w:val="006604C8"/>
    <w:rsid w:val="0066064F"/>
    <w:rsid w:val="00660AEE"/>
    <w:rsid w:val="00660C15"/>
    <w:rsid w:val="00661093"/>
    <w:rsid w:val="006610F1"/>
    <w:rsid w:val="006611A1"/>
    <w:rsid w:val="006612DF"/>
    <w:rsid w:val="006613AD"/>
    <w:rsid w:val="00661422"/>
    <w:rsid w:val="00661518"/>
    <w:rsid w:val="006616F0"/>
    <w:rsid w:val="006616FD"/>
    <w:rsid w:val="006617EA"/>
    <w:rsid w:val="0066199B"/>
    <w:rsid w:val="00661A85"/>
    <w:rsid w:val="00661C20"/>
    <w:rsid w:val="00661D3D"/>
    <w:rsid w:val="00661DA4"/>
    <w:rsid w:val="00661DF6"/>
    <w:rsid w:val="00662262"/>
    <w:rsid w:val="0066233F"/>
    <w:rsid w:val="00662425"/>
    <w:rsid w:val="00662442"/>
    <w:rsid w:val="00662598"/>
    <w:rsid w:val="006625CC"/>
    <w:rsid w:val="00662604"/>
    <w:rsid w:val="00662666"/>
    <w:rsid w:val="0066266D"/>
    <w:rsid w:val="0066272D"/>
    <w:rsid w:val="006628EA"/>
    <w:rsid w:val="00662F63"/>
    <w:rsid w:val="0066305A"/>
    <w:rsid w:val="0066306B"/>
    <w:rsid w:val="0066325A"/>
    <w:rsid w:val="00663359"/>
    <w:rsid w:val="00663566"/>
    <w:rsid w:val="0066361E"/>
    <w:rsid w:val="00663688"/>
    <w:rsid w:val="00663A62"/>
    <w:rsid w:val="00663B49"/>
    <w:rsid w:val="00663B68"/>
    <w:rsid w:val="00663CDF"/>
    <w:rsid w:val="00663D8B"/>
    <w:rsid w:val="00663DB8"/>
    <w:rsid w:val="00663F92"/>
    <w:rsid w:val="0066412B"/>
    <w:rsid w:val="006641BD"/>
    <w:rsid w:val="00664314"/>
    <w:rsid w:val="00664693"/>
    <w:rsid w:val="006648AD"/>
    <w:rsid w:val="00664960"/>
    <w:rsid w:val="00664AD7"/>
    <w:rsid w:val="00664BA2"/>
    <w:rsid w:val="00664CC8"/>
    <w:rsid w:val="00664DB0"/>
    <w:rsid w:val="00664FF0"/>
    <w:rsid w:val="006651D9"/>
    <w:rsid w:val="006652C1"/>
    <w:rsid w:val="00665393"/>
    <w:rsid w:val="006653FB"/>
    <w:rsid w:val="006654C1"/>
    <w:rsid w:val="00665789"/>
    <w:rsid w:val="0066589C"/>
    <w:rsid w:val="00665B37"/>
    <w:rsid w:val="00665B4C"/>
    <w:rsid w:val="00665BE7"/>
    <w:rsid w:val="00665CF8"/>
    <w:rsid w:val="00665DE3"/>
    <w:rsid w:val="00665FAF"/>
    <w:rsid w:val="006661E6"/>
    <w:rsid w:val="006661EC"/>
    <w:rsid w:val="006663B7"/>
    <w:rsid w:val="00666529"/>
    <w:rsid w:val="0066652D"/>
    <w:rsid w:val="00666550"/>
    <w:rsid w:val="006666D7"/>
    <w:rsid w:val="00666715"/>
    <w:rsid w:val="00666875"/>
    <w:rsid w:val="0066691B"/>
    <w:rsid w:val="00666A75"/>
    <w:rsid w:val="00666F28"/>
    <w:rsid w:val="00666F5F"/>
    <w:rsid w:val="00667117"/>
    <w:rsid w:val="006671B2"/>
    <w:rsid w:val="00667282"/>
    <w:rsid w:val="006673C1"/>
    <w:rsid w:val="006674A3"/>
    <w:rsid w:val="0066763F"/>
    <w:rsid w:val="00667872"/>
    <w:rsid w:val="0066795F"/>
    <w:rsid w:val="00667BE1"/>
    <w:rsid w:val="00667C86"/>
    <w:rsid w:val="00667E1C"/>
    <w:rsid w:val="00667EC5"/>
    <w:rsid w:val="00670030"/>
    <w:rsid w:val="00670191"/>
    <w:rsid w:val="006701C2"/>
    <w:rsid w:val="00670225"/>
    <w:rsid w:val="00670376"/>
    <w:rsid w:val="0067049D"/>
    <w:rsid w:val="0067077F"/>
    <w:rsid w:val="006707E2"/>
    <w:rsid w:val="00670824"/>
    <w:rsid w:val="00670974"/>
    <w:rsid w:val="00670A28"/>
    <w:rsid w:val="00670B46"/>
    <w:rsid w:val="00670BDB"/>
    <w:rsid w:val="00670F04"/>
    <w:rsid w:val="0067101C"/>
    <w:rsid w:val="00671068"/>
    <w:rsid w:val="00671079"/>
    <w:rsid w:val="00671114"/>
    <w:rsid w:val="00671356"/>
    <w:rsid w:val="006713F6"/>
    <w:rsid w:val="0067147A"/>
    <w:rsid w:val="006718B0"/>
    <w:rsid w:val="006718DA"/>
    <w:rsid w:val="00671A70"/>
    <w:rsid w:val="00671C77"/>
    <w:rsid w:val="00671DD6"/>
    <w:rsid w:val="00671E91"/>
    <w:rsid w:val="00671F1D"/>
    <w:rsid w:val="00671FAF"/>
    <w:rsid w:val="00671FE5"/>
    <w:rsid w:val="00672088"/>
    <w:rsid w:val="006721E1"/>
    <w:rsid w:val="006723E0"/>
    <w:rsid w:val="0067241A"/>
    <w:rsid w:val="0067249F"/>
    <w:rsid w:val="006724E5"/>
    <w:rsid w:val="00672509"/>
    <w:rsid w:val="006725A0"/>
    <w:rsid w:val="0067280F"/>
    <w:rsid w:val="00672B6B"/>
    <w:rsid w:val="00672D5F"/>
    <w:rsid w:val="00672DC1"/>
    <w:rsid w:val="00672E25"/>
    <w:rsid w:val="00672F1A"/>
    <w:rsid w:val="0067304F"/>
    <w:rsid w:val="00673103"/>
    <w:rsid w:val="00673347"/>
    <w:rsid w:val="00673620"/>
    <w:rsid w:val="00673A31"/>
    <w:rsid w:val="00673A9F"/>
    <w:rsid w:val="00673DE8"/>
    <w:rsid w:val="006741F4"/>
    <w:rsid w:val="00674308"/>
    <w:rsid w:val="00674471"/>
    <w:rsid w:val="006744F3"/>
    <w:rsid w:val="00674651"/>
    <w:rsid w:val="006747E6"/>
    <w:rsid w:val="00674C63"/>
    <w:rsid w:val="0067509D"/>
    <w:rsid w:val="00675114"/>
    <w:rsid w:val="006752C5"/>
    <w:rsid w:val="006752EB"/>
    <w:rsid w:val="00675444"/>
    <w:rsid w:val="006754D8"/>
    <w:rsid w:val="006756AE"/>
    <w:rsid w:val="00675793"/>
    <w:rsid w:val="0067580B"/>
    <w:rsid w:val="00675869"/>
    <w:rsid w:val="0067586C"/>
    <w:rsid w:val="00675A52"/>
    <w:rsid w:val="00675A57"/>
    <w:rsid w:val="00675AEA"/>
    <w:rsid w:val="00675BC2"/>
    <w:rsid w:val="00675E87"/>
    <w:rsid w:val="00675E92"/>
    <w:rsid w:val="00675EEC"/>
    <w:rsid w:val="00675FB9"/>
    <w:rsid w:val="00675FD6"/>
    <w:rsid w:val="006762E9"/>
    <w:rsid w:val="006763B7"/>
    <w:rsid w:val="0067654E"/>
    <w:rsid w:val="0067673F"/>
    <w:rsid w:val="00676750"/>
    <w:rsid w:val="00676783"/>
    <w:rsid w:val="006767E5"/>
    <w:rsid w:val="006768CC"/>
    <w:rsid w:val="00676912"/>
    <w:rsid w:val="00676DAD"/>
    <w:rsid w:val="00676E4C"/>
    <w:rsid w:val="00676F2E"/>
    <w:rsid w:val="00676FC1"/>
    <w:rsid w:val="006772F7"/>
    <w:rsid w:val="00677318"/>
    <w:rsid w:val="0067747C"/>
    <w:rsid w:val="00677702"/>
    <w:rsid w:val="006777B7"/>
    <w:rsid w:val="006778CE"/>
    <w:rsid w:val="00677981"/>
    <w:rsid w:val="00677B6E"/>
    <w:rsid w:val="00677C06"/>
    <w:rsid w:val="00677D61"/>
    <w:rsid w:val="00677D8D"/>
    <w:rsid w:val="00677E52"/>
    <w:rsid w:val="00680125"/>
    <w:rsid w:val="0068020A"/>
    <w:rsid w:val="00680229"/>
    <w:rsid w:val="00680399"/>
    <w:rsid w:val="006806F5"/>
    <w:rsid w:val="0068070D"/>
    <w:rsid w:val="00680725"/>
    <w:rsid w:val="0068078D"/>
    <w:rsid w:val="006807D1"/>
    <w:rsid w:val="006808F1"/>
    <w:rsid w:val="00680A75"/>
    <w:rsid w:val="00680DB3"/>
    <w:rsid w:val="00680EBC"/>
    <w:rsid w:val="00680F9B"/>
    <w:rsid w:val="006810EE"/>
    <w:rsid w:val="00681191"/>
    <w:rsid w:val="006813C8"/>
    <w:rsid w:val="00681569"/>
    <w:rsid w:val="006815DE"/>
    <w:rsid w:val="00681602"/>
    <w:rsid w:val="0068162E"/>
    <w:rsid w:val="00681745"/>
    <w:rsid w:val="006817BB"/>
    <w:rsid w:val="0068194C"/>
    <w:rsid w:val="00681C2C"/>
    <w:rsid w:val="00681C46"/>
    <w:rsid w:val="00681E36"/>
    <w:rsid w:val="00681E4F"/>
    <w:rsid w:val="00681EC5"/>
    <w:rsid w:val="00681EFA"/>
    <w:rsid w:val="00681F2A"/>
    <w:rsid w:val="00681FA4"/>
    <w:rsid w:val="0068220B"/>
    <w:rsid w:val="006823D1"/>
    <w:rsid w:val="006825AD"/>
    <w:rsid w:val="00682611"/>
    <w:rsid w:val="006827E4"/>
    <w:rsid w:val="0068280B"/>
    <w:rsid w:val="00682845"/>
    <w:rsid w:val="00682846"/>
    <w:rsid w:val="006828AF"/>
    <w:rsid w:val="0068291D"/>
    <w:rsid w:val="00682B56"/>
    <w:rsid w:val="00682B82"/>
    <w:rsid w:val="00682D5F"/>
    <w:rsid w:val="00683053"/>
    <w:rsid w:val="0068309D"/>
    <w:rsid w:val="006830DC"/>
    <w:rsid w:val="00683172"/>
    <w:rsid w:val="00683260"/>
    <w:rsid w:val="00683267"/>
    <w:rsid w:val="00683726"/>
    <w:rsid w:val="006837E5"/>
    <w:rsid w:val="00683884"/>
    <w:rsid w:val="00683B4E"/>
    <w:rsid w:val="00683D00"/>
    <w:rsid w:val="00683E53"/>
    <w:rsid w:val="0068402E"/>
    <w:rsid w:val="00684330"/>
    <w:rsid w:val="00684341"/>
    <w:rsid w:val="006844B4"/>
    <w:rsid w:val="006845F3"/>
    <w:rsid w:val="0068465E"/>
    <w:rsid w:val="00684942"/>
    <w:rsid w:val="006849FC"/>
    <w:rsid w:val="00684B86"/>
    <w:rsid w:val="00684C15"/>
    <w:rsid w:val="00684D09"/>
    <w:rsid w:val="00684D8D"/>
    <w:rsid w:val="00684E50"/>
    <w:rsid w:val="00684F0B"/>
    <w:rsid w:val="00684F6F"/>
    <w:rsid w:val="00685047"/>
    <w:rsid w:val="006851B5"/>
    <w:rsid w:val="0068523B"/>
    <w:rsid w:val="006855CE"/>
    <w:rsid w:val="00685977"/>
    <w:rsid w:val="00685E03"/>
    <w:rsid w:val="00685E37"/>
    <w:rsid w:val="00685E91"/>
    <w:rsid w:val="0068615F"/>
    <w:rsid w:val="00686213"/>
    <w:rsid w:val="0068626A"/>
    <w:rsid w:val="0068629D"/>
    <w:rsid w:val="006862B2"/>
    <w:rsid w:val="00686509"/>
    <w:rsid w:val="006866A3"/>
    <w:rsid w:val="00686707"/>
    <w:rsid w:val="0068699D"/>
    <w:rsid w:val="00686A04"/>
    <w:rsid w:val="00686AFF"/>
    <w:rsid w:val="00686B6D"/>
    <w:rsid w:val="00686C34"/>
    <w:rsid w:val="00686DF5"/>
    <w:rsid w:val="00686EC3"/>
    <w:rsid w:val="00687006"/>
    <w:rsid w:val="006870A6"/>
    <w:rsid w:val="0068714B"/>
    <w:rsid w:val="00687181"/>
    <w:rsid w:val="00687348"/>
    <w:rsid w:val="006874F2"/>
    <w:rsid w:val="00687707"/>
    <w:rsid w:val="00687A17"/>
    <w:rsid w:val="00687B5B"/>
    <w:rsid w:val="00687F23"/>
    <w:rsid w:val="006904B8"/>
    <w:rsid w:val="00690536"/>
    <w:rsid w:val="006906CD"/>
    <w:rsid w:val="00690738"/>
    <w:rsid w:val="006908AE"/>
    <w:rsid w:val="006908F5"/>
    <w:rsid w:val="00690A13"/>
    <w:rsid w:val="00690B63"/>
    <w:rsid w:val="00690CDF"/>
    <w:rsid w:val="00690D5A"/>
    <w:rsid w:val="00690E82"/>
    <w:rsid w:val="00690FBF"/>
    <w:rsid w:val="006911E9"/>
    <w:rsid w:val="0069135C"/>
    <w:rsid w:val="006914AF"/>
    <w:rsid w:val="0069180B"/>
    <w:rsid w:val="0069194A"/>
    <w:rsid w:val="006919D9"/>
    <w:rsid w:val="00691B13"/>
    <w:rsid w:val="00691BFD"/>
    <w:rsid w:val="00691C63"/>
    <w:rsid w:val="00691DAB"/>
    <w:rsid w:val="00691E5E"/>
    <w:rsid w:val="00691EC6"/>
    <w:rsid w:val="00691F0B"/>
    <w:rsid w:val="00691F20"/>
    <w:rsid w:val="00692024"/>
    <w:rsid w:val="0069203F"/>
    <w:rsid w:val="0069242F"/>
    <w:rsid w:val="0069259F"/>
    <w:rsid w:val="0069274F"/>
    <w:rsid w:val="0069282C"/>
    <w:rsid w:val="006929A9"/>
    <w:rsid w:val="00692A2B"/>
    <w:rsid w:val="00692B3D"/>
    <w:rsid w:val="00692BDD"/>
    <w:rsid w:val="00692D60"/>
    <w:rsid w:val="00692FE1"/>
    <w:rsid w:val="0069305E"/>
    <w:rsid w:val="00693411"/>
    <w:rsid w:val="006935B4"/>
    <w:rsid w:val="006937B9"/>
    <w:rsid w:val="00693B7B"/>
    <w:rsid w:val="00693D92"/>
    <w:rsid w:val="00693DD6"/>
    <w:rsid w:val="00694173"/>
    <w:rsid w:val="00694228"/>
    <w:rsid w:val="00694281"/>
    <w:rsid w:val="00694385"/>
    <w:rsid w:val="00694542"/>
    <w:rsid w:val="006945F4"/>
    <w:rsid w:val="00694625"/>
    <w:rsid w:val="0069465F"/>
    <w:rsid w:val="0069496D"/>
    <w:rsid w:val="00694BDE"/>
    <w:rsid w:val="00694D7B"/>
    <w:rsid w:val="00694F73"/>
    <w:rsid w:val="00695083"/>
    <w:rsid w:val="00695088"/>
    <w:rsid w:val="00695246"/>
    <w:rsid w:val="006953E3"/>
    <w:rsid w:val="0069540B"/>
    <w:rsid w:val="006955D7"/>
    <w:rsid w:val="0069574D"/>
    <w:rsid w:val="006957DE"/>
    <w:rsid w:val="00695883"/>
    <w:rsid w:val="006958BD"/>
    <w:rsid w:val="00695A54"/>
    <w:rsid w:val="00695B0B"/>
    <w:rsid w:val="00695B7A"/>
    <w:rsid w:val="00695C63"/>
    <w:rsid w:val="00695E3F"/>
    <w:rsid w:val="00695FEC"/>
    <w:rsid w:val="00696025"/>
    <w:rsid w:val="0069602E"/>
    <w:rsid w:val="0069619E"/>
    <w:rsid w:val="00696437"/>
    <w:rsid w:val="00696476"/>
    <w:rsid w:val="00696503"/>
    <w:rsid w:val="006966EF"/>
    <w:rsid w:val="00696728"/>
    <w:rsid w:val="00696C62"/>
    <w:rsid w:val="00696C93"/>
    <w:rsid w:val="00696CA9"/>
    <w:rsid w:val="00696CAE"/>
    <w:rsid w:val="00696D0C"/>
    <w:rsid w:val="00696D1A"/>
    <w:rsid w:val="006973D2"/>
    <w:rsid w:val="0069740B"/>
    <w:rsid w:val="00697589"/>
    <w:rsid w:val="006975A2"/>
    <w:rsid w:val="0069776E"/>
    <w:rsid w:val="006977E5"/>
    <w:rsid w:val="006979D9"/>
    <w:rsid w:val="00697A72"/>
    <w:rsid w:val="00697B39"/>
    <w:rsid w:val="00697B97"/>
    <w:rsid w:val="00697BE6"/>
    <w:rsid w:val="00697E50"/>
    <w:rsid w:val="00697F1A"/>
    <w:rsid w:val="00697FC0"/>
    <w:rsid w:val="006A0011"/>
    <w:rsid w:val="006A0240"/>
    <w:rsid w:val="006A0329"/>
    <w:rsid w:val="006A0363"/>
    <w:rsid w:val="006A0394"/>
    <w:rsid w:val="006A096F"/>
    <w:rsid w:val="006A0BDE"/>
    <w:rsid w:val="006A0C6F"/>
    <w:rsid w:val="006A0C9A"/>
    <w:rsid w:val="006A0E31"/>
    <w:rsid w:val="006A0ED7"/>
    <w:rsid w:val="006A0F7E"/>
    <w:rsid w:val="006A0F93"/>
    <w:rsid w:val="006A0F94"/>
    <w:rsid w:val="006A1005"/>
    <w:rsid w:val="006A10F2"/>
    <w:rsid w:val="006A114D"/>
    <w:rsid w:val="006A1156"/>
    <w:rsid w:val="006A1269"/>
    <w:rsid w:val="006A12BE"/>
    <w:rsid w:val="006A12D8"/>
    <w:rsid w:val="006A13E8"/>
    <w:rsid w:val="006A14A4"/>
    <w:rsid w:val="006A14FF"/>
    <w:rsid w:val="006A159E"/>
    <w:rsid w:val="006A16FD"/>
    <w:rsid w:val="006A17BF"/>
    <w:rsid w:val="006A18F9"/>
    <w:rsid w:val="006A1A58"/>
    <w:rsid w:val="006A1A96"/>
    <w:rsid w:val="006A1A97"/>
    <w:rsid w:val="006A1B3A"/>
    <w:rsid w:val="006A1B9D"/>
    <w:rsid w:val="006A1C2A"/>
    <w:rsid w:val="006A1CE2"/>
    <w:rsid w:val="006A1D4F"/>
    <w:rsid w:val="006A1D9C"/>
    <w:rsid w:val="006A1DFC"/>
    <w:rsid w:val="006A1F79"/>
    <w:rsid w:val="006A1F9A"/>
    <w:rsid w:val="006A2058"/>
    <w:rsid w:val="006A20EC"/>
    <w:rsid w:val="006A214C"/>
    <w:rsid w:val="006A21BF"/>
    <w:rsid w:val="006A23E7"/>
    <w:rsid w:val="006A2470"/>
    <w:rsid w:val="006A2586"/>
    <w:rsid w:val="006A29BC"/>
    <w:rsid w:val="006A2D15"/>
    <w:rsid w:val="006A2E48"/>
    <w:rsid w:val="006A2ED6"/>
    <w:rsid w:val="006A2F53"/>
    <w:rsid w:val="006A3021"/>
    <w:rsid w:val="006A3229"/>
    <w:rsid w:val="006A3232"/>
    <w:rsid w:val="006A3237"/>
    <w:rsid w:val="006A328D"/>
    <w:rsid w:val="006A3325"/>
    <w:rsid w:val="006A338E"/>
    <w:rsid w:val="006A34D7"/>
    <w:rsid w:val="006A350C"/>
    <w:rsid w:val="006A3539"/>
    <w:rsid w:val="006A3773"/>
    <w:rsid w:val="006A38AB"/>
    <w:rsid w:val="006A3940"/>
    <w:rsid w:val="006A3A26"/>
    <w:rsid w:val="006A3B72"/>
    <w:rsid w:val="006A3C2E"/>
    <w:rsid w:val="006A3C56"/>
    <w:rsid w:val="006A3D35"/>
    <w:rsid w:val="006A3E11"/>
    <w:rsid w:val="006A3E69"/>
    <w:rsid w:val="006A3F6B"/>
    <w:rsid w:val="006A403A"/>
    <w:rsid w:val="006A40C4"/>
    <w:rsid w:val="006A40EF"/>
    <w:rsid w:val="006A41E3"/>
    <w:rsid w:val="006A421F"/>
    <w:rsid w:val="006A4257"/>
    <w:rsid w:val="006A4337"/>
    <w:rsid w:val="006A4377"/>
    <w:rsid w:val="006A44E6"/>
    <w:rsid w:val="006A45AE"/>
    <w:rsid w:val="006A45B5"/>
    <w:rsid w:val="006A47AA"/>
    <w:rsid w:val="006A49B9"/>
    <w:rsid w:val="006A4A50"/>
    <w:rsid w:val="006A4BF4"/>
    <w:rsid w:val="006A4D04"/>
    <w:rsid w:val="006A4D7C"/>
    <w:rsid w:val="006A4DB9"/>
    <w:rsid w:val="006A4E27"/>
    <w:rsid w:val="006A4EBA"/>
    <w:rsid w:val="006A4F0D"/>
    <w:rsid w:val="006A4F4D"/>
    <w:rsid w:val="006A504D"/>
    <w:rsid w:val="006A5165"/>
    <w:rsid w:val="006A5233"/>
    <w:rsid w:val="006A5398"/>
    <w:rsid w:val="006A53A6"/>
    <w:rsid w:val="006A552E"/>
    <w:rsid w:val="006A55EF"/>
    <w:rsid w:val="006A5631"/>
    <w:rsid w:val="006A5864"/>
    <w:rsid w:val="006A592A"/>
    <w:rsid w:val="006A5A2D"/>
    <w:rsid w:val="006A5D13"/>
    <w:rsid w:val="006A5DCF"/>
    <w:rsid w:val="006A6022"/>
    <w:rsid w:val="006A61D6"/>
    <w:rsid w:val="006A623F"/>
    <w:rsid w:val="006A62BA"/>
    <w:rsid w:val="006A6726"/>
    <w:rsid w:val="006A6769"/>
    <w:rsid w:val="006A6A8C"/>
    <w:rsid w:val="006A6B04"/>
    <w:rsid w:val="006A6C20"/>
    <w:rsid w:val="006A7007"/>
    <w:rsid w:val="006A7216"/>
    <w:rsid w:val="006A73D5"/>
    <w:rsid w:val="006A743C"/>
    <w:rsid w:val="006A7634"/>
    <w:rsid w:val="006A7A4D"/>
    <w:rsid w:val="006A7A96"/>
    <w:rsid w:val="006A7DAC"/>
    <w:rsid w:val="006A7F65"/>
    <w:rsid w:val="006A7F83"/>
    <w:rsid w:val="006A7FAE"/>
    <w:rsid w:val="006A7FC8"/>
    <w:rsid w:val="006B00EF"/>
    <w:rsid w:val="006B0184"/>
    <w:rsid w:val="006B01AD"/>
    <w:rsid w:val="006B01FA"/>
    <w:rsid w:val="006B0206"/>
    <w:rsid w:val="006B0223"/>
    <w:rsid w:val="006B0333"/>
    <w:rsid w:val="006B041E"/>
    <w:rsid w:val="006B0560"/>
    <w:rsid w:val="006B0919"/>
    <w:rsid w:val="006B0CCE"/>
    <w:rsid w:val="006B0D3E"/>
    <w:rsid w:val="006B0DFE"/>
    <w:rsid w:val="006B1099"/>
    <w:rsid w:val="006B1135"/>
    <w:rsid w:val="006B1157"/>
    <w:rsid w:val="006B1290"/>
    <w:rsid w:val="006B1380"/>
    <w:rsid w:val="006B14DD"/>
    <w:rsid w:val="006B1637"/>
    <w:rsid w:val="006B17DC"/>
    <w:rsid w:val="006B1842"/>
    <w:rsid w:val="006B1920"/>
    <w:rsid w:val="006B1A9B"/>
    <w:rsid w:val="006B1BC8"/>
    <w:rsid w:val="006B1CDD"/>
    <w:rsid w:val="006B1E50"/>
    <w:rsid w:val="006B1F31"/>
    <w:rsid w:val="006B2063"/>
    <w:rsid w:val="006B239B"/>
    <w:rsid w:val="006B2671"/>
    <w:rsid w:val="006B2678"/>
    <w:rsid w:val="006B28F4"/>
    <w:rsid w:val="006B2A90"/>
    <w:rsid w:val="006B2BAF"/>
    <w:rsid w:val="006B2BDB"/>
    <w:rsid w:val="006B2C0D"/>
    <w:rsid w:val="006B2C44"/>
    <w:rsid w:val="006B2D7C"/>
    <w:rsid w:val="006B2F64"/>
    <w:rsid w:val="006B3118"/>
    <w:rsid w:val="006B316E"/>
    <w:rsid w:val="006B3241"/>
    <w:rsid w:val="006B345A"/>
    <w:rsid w:val="006B34EB"/>
    <w:rsid w:val="006B38BC"/>
    <w:rsid w:val="006B3986"/>
    <w:rsid w:val="006B3B41"/>
    <w:rsid w:val="006B3C24"/>
    <w:rsid w:val="006B3E13"/>
    <w:rsid w:val="006B3F83"/>
    <w:rsid w:val="006B3F8A"/>
    <w:rsid w:val="006B3FB5"/>
    <w:rsid w:val="006B3FBB"/>
    <w:rsid w:val="006B3FDA"/>
    <w:rsid w:val="006B439F"/>
    <w:rsid w:val="006B43C1"/>
    <w:rsid w:val="006B44D0"/>
    <w:rsid w:val="006B4510"/>
    <w:rsid w:val="006B4693"/>
    <w:rsid w:val="006B4894"/>
    <w:rsid w:val="006B4AAD"/>
    <w:rsid w:val="006B4D4A"/>
    <w:rsid w:val="006B4E91"/>
    <w:rsid w:val="006B519A"/>
    <w:rsid w:val="006B5432"/>
    <w:rsid w:val="006B5487"/>
    <w:rsid w:val="006B5731"/>
    <w:rsid w:val="006B5855"/>
    <w:rsid w:val="006B592D"/>
    <w:rsid w:val="006B5C5D"/>
    <w:rsid w:val="006B5E0E"/>
    <w:rsid w:val="006B5E46"/>
    <w:rsid w:val="006B6009"/>
    <w:rsid w:val="006B62E2"/>
    <w:rsid w:val="006B64D2"/>
    <w:rsid w:val="006B65B1"/>
    <w:rsid w:val="006B65D2"/>
    <w:rsid w:val="006B6930"/>
    <w:rsid w:val="006B6C44"/>
    <w:rsid w:val="006B6C74"/>
    <w:rsid w:val="006B6CE4"/>
    <w:rsid w:val="006B6D63"/>
    <w:rsid w:val="006B6E22"/>
    <w:rsid w:val="006B7165"/>
    <w:rsid w:val="006B717F"/>
    <w:rsid w:val="006B724A"/>
    <w:rsid w:val="006B7300"/>
    <w:rsid w:val="006B7607"/>
    <w:rsid w:val="006B76B4"/>
    <w:rsid w:val="006B7762"/>
    <w:rsid w:val="006B77DC"/>
    <w:rsid w:val="006B79BC"/>
    <w:rsid w:val="006B7BD8"/>
    <w:rsid w:val="006B7C03"/>
    <w:rsid w:val="006B7C3F"/>
    <w:rsid w:val="006B7C81"/>
    <w:rsid w:val="006B7D86"/>
    <w:rsid w:val="006C00C4"/>
    <w:rsid w:val="006C0144"/>
    <w:rsid w:val="006C02EB"/>
    <w:rsid w:val="006C094D"/>
    <w:rsid w:val="006C09C8"/>
    <w:rsid w:val="006C0DFD"/>
    <w:rsid w:val="006C0EF1"/>
    <w:rsid w:val="006C13E5"/>
    <w:rsid w:val="006C1449"/>
    <w:rsid w:val="006C177A"/>
    <w:rsid w:val="006C1923"/>
    <w:rsid w:val="006C1A13"/>
    <w:rsid w:val="006C1C50"/>
    <w:rsid w:val="006C1D47"/>
    <w:rsid w:val="006C1DA1"/>
    <w:rsid w:val="006C1E4C"/>
    <w:rsid w:val="006C1EE5"/>
    <w:rsid w:val="006C1EEF"/>
    <w:rsid w:val="006C1EFC"/>
    <w:rsid w:val="006C221D"/>
    <w:rsid w:val="006C2313"/>
    <w:rsid w:val="006C23FD"/>
    <w:rsid w:val="006C2452"/>
    <w:rsid w:val="006C266C"/>
    <w:rsid w:val="006C281D"/>
    <w:rsid w:val="006C287D"/>
    <w:rsid w:val="006C28AE"/>
    <w:rsid w:val="006C2B4A"/>
    <w:rsid w:val="006C2B62"/>
    <w:rsid w:val="006C2BD6"/>
    <w:rsid w:val="006C2DD0"/>
    <w:rsid w:val="006C2F53"/>
    <w:rsid w:val="006C3030"/>
    <w:rsid w:val="006C33F0"/>
    <w:rsid w:val="006C3605"/>
    <w:rsid w:val="006C3762"/>
    <w:rsid w:val="006C3781"/>
    <w:rsid w:val="006C379B"/>
    <w:rsid w:val="006C389B"/>
    <w:rsid w:val="006C3A43"/>
    <w:rsid w:val="006C3ACD"/>
    <w:rsid w:val="006C3B09"/>
    <w:rsid w:val="006C3B4A"/>
    <w:rsid w:val="006C3CFD"/>
    <w:rsid w:val="006C3DEA"/>
    <w:rsid w:val="006C3F47"/>
    <w:rsid w:val="006C43BD"/>
    <w:rsid w:val="006C4465"/>
    <w:rsid w:val="006C452A"/>
    <w:rsid w:val="006C46AE"/>
    <w:rsid w:val="006C47D9"/>
    <w:rsid w:val="006C499A"/>
    <w:rsid w:val="006C49B9"/>
    <w:rsid w:val="006C4A95"/>
    <w:rsid w:val="006C4B63"/>
    <w:rsid w:val="006C4B71"/>
    <w:rsid w:val="006C4BB8"/>
    <w:rsid w:val="006C4E02"/>
    <w:rsid w:val="006C4E7A"/>
    <w:rsid w:val="006C4EB0"/>
    <w:rsid w:val="006C5348"/>
    <w:rsid w:val="006C534D"/>
    <w:rsid w:val="006C56C1"/>
    <w:rsid w:val="006C56CE"/>
    <w:rsid w:val="006C572D"/>
    <w:rsid w:val="006C5A2C"/>
    <w:rsid w:val="006C5A77"/>
    <w:rsid w:val="006C5D56"/>
    <w:rsid w:val="006C5EB4"/>
    <w:rsid w:val="006C61C5"/>
    <w:rsid w:val="006C61D4"/>
    <w:rsid w:val="006C61E5"/>
    <w:rsid w:val="006C62C8"/>
    <w:rsid w:val="006C62F5"/>
    <w:rsid w:val="006C66D9"/>
    <w:rsid w:val="006C670B"/>
    <w:rsid w:val="006C6780"/>
    <w:rsid w:val="006C69A8"/>
    <w:rsid w:val="006C6D45"/>
    <w:rsid w:val="006C6D4D"/>
    <w:rsid w:val="006C709E"/>
    <w:rsid w:val="006C7100"/>
    <w:rsid w:val="006C7170"/>
    <w:rsid w:val="006C7573"/>
    <w:rsid w:val="006C77B6"/>
    <w:rsid w:val="006C7847"/>
    <w:rsid w:val="006C789E"/>
    <w:rsid w:val="006C7908"/>
    <w:rsid w:val="006C7996"/>
    <w:rsid w:val="006C799E"/>
    <w:rsid w:val="006C7ED9"/>
    <w:rsid w:val="006C7EED"/>
    <w:rsid w:val="006D0198"/>
    <w:rsid w:val="006D01EE"/>
    <w:rsid w:val="006D0260"/>
    <w:rsid w:val="006D032A"/>
    <w:rsid w:val="006D033D"/>
    <w:rsid w:val="006D0348"/>
    <w:rsid w:val="006D04A0"/>
    <w:rsid w:val="006D0541"/>
    <w:rsid w:val="006D090D"/>
    <w:rsid w:val="006D0A76"/>
    <w:rsid w:val="006D0B9D"/>
    <w:rsid w:val="006D0E32"/>
    <w:rsid w:val="006D10BC"/>
    <w:rsid w:val="006D11E6"/>
    <w:rsid w:val="006D134D"/>
    <w:rsid w:val="006D157F"/>
    <w:rsid w:val="006D167A"/>
    <w:rsid w:val="006D1686"/>
    <w:rsid w:val="006D18A8"/>
    <w:rsid w:val="006D18CD"/>
    <w:rsid w:val="006D19C5"/>
    <w:rsid w:val="006D1AA6"/>
    <w:rsid w:val="006D1AAA"/>
    <w:rsid w:val="006D1BB8"/>
    <w:rsid w:val="006D1C9F"/>
    <w:rsid w:val="006D1D89"/>
    <w:rsid w:val="006D1E92"/>
    <w:rsid w:val="006D212E"/>
    <w:rsid w:val="006D2330"/>
    <w:rsid w:val="006D234A"/>
    <w:rsid w:val="006D246F"/>
    <w:rsid w:val="006D24D0"/>
    <w:rsid w:val="006D2709"/>
    <w:rsid w:val="006D273A"/>
    <w:rsid w:val="006D273D"/>
    <w:rsid w:val="006D27E1"/>
    <w:rsid w:val="006D294B"/>
    <w:rsid w:val="006D2C10"/>
    <w:rsid w:val="006D2C62"/>
    <w:rsid w:val="006D2D5E"/>
    <w:rsid w:val="006D2EA7"/>
    <w:rsid w:val="006D2EB1"/>
    <w:rsid w:val="006D2F1A"/>
    <w:rsid w:val="006D2F1E"/>
    <w:rsid w:val="006D2F6C"/>
    <w:rsid w:val="006D2F9E"/>
    <w:rsid w:val="006D31B7"/>
    <w:rsid w:val="006D3266"/>
    <w:rsid w:val="006D3558"/>
    <w:rsid w:val="006D3888"/>
    <w:rsid w:val="006D3954"/>
    <w:rsid w:val="006D3966"/>
    <w:rsid w:val="006D3A94"/>
    <w:rsid w:val="006D3B0F"/>
    <w:rsid w:val="006D3C4A"/>
    <w:rsid w:val="006D3CF4"/>
    <w:rsid w:val="006D3D18"/>
    <w:rsid w:val="006D4016"/>
    <w:rsid w:val="006D4037"/>
    <w:rsid w:val="006D40D0"/>
    <w:rsid w:val="006D4118"/>
    <w:rsid w:val="006D4300"/>
    <w:rsid w:val="006D4308"/>
    <w:rsid w:val="006D4505"/>
    <w:rsid w:val="006D4518"/>
    <w:rsid w:val="006D4542"/>
    <w:rsid w:val="006D45F6"/>
    <w:rsid w:val="006D46EC"/>
    <w:rsid w:val="006D4968"/>
    <w:rsid w:val="006D4A50"/>
    <w:rsid w:val="006D4B10"/>
    <w:rsid w:val="006D4B96"/>
    <w:rsid w:val="006D4E59"/>
    <w:rsid w:val="006D4EDA"/>
    <w:rsid w:val="006D5358"/>
    <w:rsid w:val="006D548D"/>
    <w:rsid w:val="006D5526"/>
    <w:rsid w:val="006D5643"/>
    <w:rsid w:val="006D577C"/>
    <w:rsid w:val="006D57A0"/>
    <w:rsid w:val="006D58FA"/>
    <w:rsid w:val="006D5A7C"/>
    <w:rsid w:val="006D5C25"/>
    <w:rsid w:val="006D5C7D"/>
    <w:rsid w:val="006D5CB6"/>
    <w:rsid w:val="006D5E63"/>
    <w:rsid w:val="006D5EC1"/>
    <w:rsid w:val="006D5F02"/>
    <w:rsid w:val="006D600D"/>
    <w:rsid w:val="006D6096"/>
    <w:rsid w:val="006D60F0"/>
    <w:rsid w:val="006D61BC"/>
    <w:rsid w:val="006D61CA"/>
    <w:rsid w:val="006D6276"/>
    <w:rsid w:val="006D62C3"/>
    <w:rsid w:val="006D62F5"/>
    <w:rsid w:val="006D6601"/>
    <w:rsid w:val="006D666F"/>
    <w:rsid w:val="006D66E8"/>
    <w:rsid w:val="006D6795"/>
    <w:rsid w:val="006D6B34"/>
    <w:rsid w:val="006D6B63"/>
    <w:rsid w:val="006D6C7B"/>
    <w:rsid w:val="006D6CC7"/>
    <w:rsid w:val="006D6ED3"/>
    <w:rsid w:val="006D6F61"/>
    <w:rsid w:val="006D701D"/>
    <w:rsid w:val="006D70F8"/>
    <w:rsid w:val="006D715F"/>
    <w:rsid w:val="006D7817"/>
    <w:rsid w:val="006D78D9"/>
    <w:rsid w:val="006D7995"/>
    <w:rsid w:val="006D7ACF"/>
    <w:rsid w:val="006D7B2B"/>
    <w:rsid w:val="006D7CAD"/>
    <w:rsid w:val="006D7E0C"/>
    <w:rsid w:val="006D7E43"/>
    <w:rsid w:val="006D7E7E"/>
    <w:rsid w:val="006D7E83"/>
    <w:rsid w:val="006D7FE6"/>
    <w:rsid w:val="006E0067"/>
    <w:rsid w:val="006E013A"/>
    <w:rsid w:val="006E023E"/>
    <w:rsid w:val="006E02DE"/>
    <w:rsid w:val="006E02FE"/>
    <w:rsid w:val="006E034F"/>
    <w:rsid w:val="006E03F4"/>
    <w:rsid w:val="006E0552"/>
    <w:rsid w:val="006E06E7"/>
    <w:rsid w:val="006E07EC"/>
    <w:rsid w:val="006E09A2"/>
    <w:rsid w:val="006E0BC8"/>
    <w:rsid w:val="006E0CAF"/>
    <w:rsid w:val="006E0DA2"/>
    <w:rsid w:val="006E0DEC"/>
    <w:rsid w:val="006E0EEF"/>
    <w:rsid w:val="006E109A"/>
    <w:rsid w:val="006E117C"/>
    <w:rsid w:val="006E1190"/>
    <w:rsid w:val="006E135C"/>
    <w:rsid w:val="006E1396"/>
    <w:rsid w:val="006E1425"/>
    <w:rsid w:val="006E1742"/>
    <w:rsid w:val="006E1829"/>
    <w:rsid w:val="006E199E"/>
    <w:rsid w:val="006E1B1D"/>
    <w:rsid w:val="006E1BB2"/>
    <w:rsid w:val="006E1C8F"/>
    <w:rsid w:val="006E1D83"/>
    <w:rsid w:val="006E1E0F"/>
    <w:rsid w:val="006E22EA"/>
    <w:rsid w:val="006E2462"/>
    <w:rsid w:val="006E24C8"/>
    <w:rsid w:val="006E24EE"/>
    <w:rsid w:val="006E24FF"/>
    <w:rsid w:val="006E2562"/>
    <w:rsid w:val="006E266C"/>
    <w:rsid w:val="006E2674"/>
    <w:rsid w:val="006E2921"/>
    <w:rsid w:val="006E2A26"/>
    <w:rsid w:val="006E2ACD"/>
    <w:rsid w:val="006E2CE4"/>
    <w:rsid w:val="006E2D18"/>
    <w:rsid w:val="006E2D36"/>
    <w:rsid w:val="006E2DEB"/>
    <w:rsid w:val="006E2F9B"/>
    <w:rsid w:val="006E3360"/>
    <w:rsid w:val="006E365C"/>
    <w:rsid w:val="006E368B"/>
    <w:rsid w:val="006E39FE"/>
    <w:rsid w:val="006E3ABC"/>
    <w:rsid w:val="006E3EC0"/>
    <w:rsid w:val="006E3F07"/>
    <w:rsid w:val="006E404F"/>
    <w:rsid w:val="006E4159"/>
    <w:rsid w:val="006E41C7"/>
    <w:rsid w:val="006E4207"/>
    <w:rsid w:val="006E4251"/>
    <w:rsid w:val="006E42FE"/>
    <w:rsid w:val="006E4659"/>
    <w:rsid w:val="006E4737"/>
    <w:rsid w:val="006E4750"/>
    <w:rsid w:val="006E477D"/>
    <w:rsid w:val="006E487D"/>
    <w:rsid w:val="006E4A30"/>
    <w:rsid w:val="006E4CC4"/>
    <w:rsid w:val="006E4D7F"/>
    <w:rsid w:val="006E4F0E"/>
    <w:rsid w:val="006E4F18"/>
    <w:rsid w:val="006E522A"/>
    <w:rsid w:val="006E52F3"/>
    <w:rsid w:val="006E55D9"/>
    <w:rsid w:val="006E5665"/>
    <w:rsid w:val="006E5697"/>
    <w:rsid w:val="006E5801"/>
    <w:rsid w:val="006E58D3"/>
    <w:rsid w:val="006E5AB8"/>
    <w:rsid w:val="006E5C9B"/>
    <w:rsid w:val="006E5CA7"/>
    <w:rsid w:val="006E5D5C"/>
    <w:rsid w:val="006E5DEE"/>
    <w:rsid w:val="006E5F2C"/>
    <w:rsid w:val="006E5FFC"/>
    <w:rsid w:val="006E60B2"/>
    <w:rsid w:val="006E6111"/>
    <w:rsid w:val="006E612E"/>
    <w:rsid w:val="006E6142"/>
    <w:rsid w:val="006E61F4"/>
    <w:rsid w:val="006E62AB"/>
    <w:rsid w:val="006E633F"/>
    <w:rsid w:val="006E639C"/>
    <w:rsid w:val="006E63DC"/>
    <w:rsid w:val="006E65D8"/>
    <w:rsid w:val="006E66A1"/>
    <w:rsid w:val="006E67BB"/>
    <w:rsid w:val="006E693E"/>
    <w:rsid w:val="006E6A01"/>
    <w:rsid w:val="006E6D77"/>
    <w:rsid w:val="006E6D96"/>
    <w:rsid w:val="006E6F48"/>
    <w:rsid w:val="006E707D"/>
    <w:rsid w:val="006E70D9"/>
    <w:rsid w:val="006E717D"/>
    <w:rsid w:val="006E7244"/>
    <w:rsid w:val="006E727C"/>
    <w:rsid w:val="006E7333"/>
    <w:rsid w:val="006E7406"/>
    <w:rsid w:val="006E7570"/>
    <w:rsid w:val="006E758E"/>
    <w:rsid w:val="006E75D0"/>
    <w:rsid w:val="006E7A28"/>
    <w:rsid w:val="006E7C27"/>
    <w:rsid w:val="006E7D22"/>
    <w:rsid w:val="006F004C"/>
    <w:rsid w:val="006F00B0"/>
    <w:rsid w:val="006F00CB"/>
    <w:rsid w:val="006F02D1"/>
    <w:rsid w:val="006F03C6"/>
    <w:rsid w:val="006F0473"/>
    <w:rsid w:val="006F04FB"/>
    <w:rsid w:val="006F08D8"/>
    <w:rsid w:val="006F08EA"/>
    <w:rsid w:val="006F0D42"/>
    <w:rsid w:val="006F0DBF"/>
    <w:rsid w:val="006F0E12"/>
    <w:rsid w:val="006F0F0B"/>
    <w:rsid w:val="006F0F74"/>
    <w:rsid w:val="006F107F"/>
    <w:rsid w:val="006F1092"/>
    <w:rsid w:val="006F109C"/>
    <w:rsid w:val="006F110A"/>
    <w:rsid w:val="006F1275"/>
    <w:rsid w:val="006F136A"/>
    <w:rsid w:val="006F13CA"/>
    <w:rsid w:val="006F1491"/>
    <w:rsid w:val="006F160F"/>
    <w:rsid w:val="006F1814"/>
    <w:rsid w:val="006F18B1"/>
    <w:rsid w:val="006F1C5E"/>
    <w:rsid w:val="006F2021"/>
    <w:rsid w:val="006F2114"/>
    <w:rsid w:val="006F2127"/>
    <w:rsid w:val="006F2305"/>
    <w:rsid w:val="006F23E3"/>
    <w:rsid w:val="006F2400"/>
    <w:rsid w:val="006F2486"/>
    <w:rsid w:val="006F251A"/>
    <w:rsid w:val="006F25A7"/>
    <w:rsid w:val="006F25B1"/>
    <w:rsid w:val="006F2672"/>
    <w:rsid w:val="006F2802"/>
    <w:rsid w:val="006F28C1"/>
    <w:rsid w:val="006F29D8"/>
    <w:rsid w:val="006F2B3A"/>
    <w:rsid w:val="006F2BA5"/>
    <w:rsid w:val="006F2C5A"/>
    <w:rsid w:val="006F3189"/>
    <w:rsid w:val="006F3373"/>
    <w:rsid w:val="006F33ED"/>
    <w:rsid w:val="006F3410"/>
    <w:rsid w:val="006F3531"/>
    <w:rsid w:val="006F366D"/>
    <w:rsid w:val="006F3825"/>
    <w:rsid w:val="006F38A8"/>
    <w:rsid w:val="006F398D"/>
    <w:rsid w:val="006F3B72"/>
    <w:rsid w:val="006F3B86"/>
    <w:rsid w:val="006F3C57"/>
    <w:rsid w:val="006F3C70"/>
    <w:rsid w:val="006F3CD9"/>
    <w:rsid w:val="006F3EDF"/>
    <w:rsid w:val="006F41E8"/>
    <w:rsid w:val="006F42D0"/>
    <w:rsid w:val="006F450F"/>
    <w:rsid w:val="006F470F"/>
    <w:rsid w:val="006F47F9"/>
    <w:rsid w:val="006F4987"/>
    <w:rsid w:val="006F4A68"/>
    <w:rsid w:val="006F4BC6"/>
    <w:rsid w:val="006F4CBD"/>
    <w:rsid w:val="006F4EA5"/>
    <w:rsid w:val="006F506E"/>
    <w:rsid w:val="006F5269"/>
    <w:rsid w:val="006F52B6"/>
    <w:rsid w:val="006F538F"/>
    <w:rsid w:val="006F53C0"/>
    <w:rsid w:val="006F541D"/>
    <w:rsid w:val="006F5493"/>
    <w:rsid w:val="006F557C"/>
    <w:rsid w:val="006F5634"/>
    <w:rsid w:val="006F5A6E"/>
    <w:rsid w:val="006F5B50"/>
    <w:rsid w:val="006F627D"/>
    <w:rsid w:val="006F666F"/>
    <w:rsid w:val="006F6845"/>
    <w:rsid w:val="006F69C7"/>
    <w:rsid w:val="006F69DC"/>
    <w:rsid w:val="006F6A98"/>
    <w:rsid w:val="006F6B8A"/>
    <w:rsid w:val="006F6D48"/>
    <w:rsid w:val="006F6DAF"/>
    <w:rsid w:val="006F6DE3"/>
    <w:rsid w:val="006F7042"/>
    <w:rsid w:val="006F7063"/>
    <w:rsid w:val="006F70B3"/>
    <w:rsid w:val="006F72E6"/>
    <w:rsid w:val="006F7392"/>
    <w:rsid w:val="006F750F"/>
    <w:rsid w:val="006F7650"/>
    <w:rsid w:val="006F78D5"/>
    <w:rsid w:val="006F7A38"/>
    <w:rsid w:val="006F7A57"/>
    <w:rsid w:val="006F7AED"/>
    <w:rsid w:val="006F7D5D"/>
    <w:rsid w:val="006F7E8A"/>
    <w:rsid w:val="006F7E8D"/>
    <w:rsid w:val="006F7FB2"/>
    <w:rsid w:val="006F7FB6"/>
    <w:rsid w:val="00700045"/>
    <w:rsid w:val="00700055"/>
    <w:rsid w:val="0070026A"/>
    <w:rsid w:val="007002B4"/>
    <w:rsid w:val="007005FC"/>
    <w:rsid w:val="007007CA"/>
    <w:rsid w:val="007007ED"/>
    <w:rsid w:val="00700C66"/>
    <w:rsid w:val="00700D49"/>
    <w:rsid w:val="00700EEB"/>
    <w:rsid w:val="00700FFF"/>
    <w:rsid w:val="007013B3"/>
    <w:rsid w:val="007015FD"/>
    <w:rsid w:val="0070169A"/>
    <w:rsid w:val="00701717"/>
    <w:rsid w:val="0070188D"/>
    <w:rsid w:val="00701A19"/>
    <w:rsid w:val="00701A72"/>
    <w:rsid w:val="00701B08"/>
    <w:rsid w:val="00701BF1"/>
    <w:rsid w:val="00701E45"/>
    <w:rsid w:val="0070211E"/>
    <w:rsid w:val="00702314"/>
    <w:rsid w:val="007023E5"/>
    <w:rsid w:val="007024DD"/>
    <w:rsid w:val="0070257B"/>
    <w:rsid w:val="007025BD"/>
    <w:rsid w:val="007027C7"/>
    <w:rsid w:val="007027DA"/>
    <w:rsid w:val="0070280D"/>
    <w:rsid w:val="00702946"/>
    <w:rsid w:val="00702984"/>
    <w:rsid w:val="00702A27"/>
    <w:rsid w:val="00702B9E"/>
    <w:rsid w:val="00702BC6"/>
    <w:rsid w:val="00702D5A"/>
    <w:rsid w:val="00702ED9"/>
    <w:rsid w:val="00702FAE"/>
    <w:rsid w:val="00702FB8"/>
    <w:rsid w:val="0070302F"/>
    <w:rsid w:val="0070306F"/>
    <w:rsid w:val="00703145"/>
    <w:rsid w:val="007031B9"/>
    <w:rsid w:val="0070361B"/>
    <w:rsid w:val="0070365C"/>
    <w:rsid w:val="007036A8"/>
    <w:rsid w:val="007037E4"/>
    <w:rsid w:val="00703865"/>
    <w:rsid w:val="007038C3"/>
    <w:rsid w:val="00703C8D"/>
    <w:rsid w:val="00703DE5"/>
    <w:rsid w:val="00703FD8"/>
    <w:rsid w:val="0070403A"/>
    <w:rsid w:val="007041E6"/>
    <w:rsid w:val="00704257"/>
    <w:rsid w:val="007042FD"/>
    <w:rsid w:val="00704323"/>
    <w:rsid w:val="00704616"/>
    <w:rsid w:val="00704823"/>
    <w:rsid w:val="00704896"/>
    <w:rsid w:val="00704A3B"/>
    <w:rsid w:val="00704B57"/>
    <w:rsid w:val="00704B66"/>
    <w:rsid w:val="00704BCE"/>
    <w:rsid w:val="00704C50"/>
    <w:rsid w:val="00704DC5"/>
    <w:rsid w:val="00704DF0"/>
    <w:rsid w:val="00704E14"/>
    <w:rsid w:val="00704F3D"/>
    <w:rsid w:val="007050D2"/>
    <w:rsid w:val="0070558A"/>
    <w:rsid w:val="0070564A"/>
    <w:rsid w:val="00705736"/>
    <w:rsid w:val="0070587D"/>
    <w:rsid w:val="00705998"/>
    <w:rsid w:val="00705A21"/>
    <w:rsid w:val="00705CC0"/>
    <w:rsid w:val="00705E1E"/>
    <w:rsid w:val="0070609F"/>
    <w:rsid w:val="00706233"/>
    <w:rsid w:val="00706286"/>
    <w:rsid w:val="007062B5"/>
    <w:rsid w:val="0070631D"/>
    <w:rsid w:val="00706331"/>
    <w:rsid w:val="0070636A"/>
    <w:rsid w:val="0070656C"/>
    <w:rsid w:val="00706591"/>
    <w:rsid w:val="0070659A"/>
    <w:rsid w:val="00706695"/>
    <w:rsid w:val="007066CA"/>
    <w:rsid w:val="007067A8"/>
    <w:rsid w:val="007069E8"/>
    <w:rsid w:val="00706A3D"/>
    <w:rsid w:val="00706B9F"/>
    <w:rsid w:val="00706CD7"/>
    <w:rsid w:val="00706E2D"/>
    <w:rsid w:val="00706E41"/>
    <w:rsid w:val="00707010"/>
    <w:rsid w:val="0070708C"/>
    <w:rsid w:val="0070714F"/>
    <w:rsid w:val="007071D8"/>
    <w:rsid w:val="007071EE"/>
    <w:rsid w:val="007071F8"/>
    <w:rsid w:val="00707210"/>
    <w:rsid w:val="007072A1"/>
    <w:rsid w:val="007072B9"/>
    <w:rsid w:val="00707328"/>
    <w:rsid w:val="007074DA"/>
    <w:rsid w:val="007074FA"/>
    <w:rsid w:val="00707640"/>
    <w:rsid w:val="007078D0"/>
    <w:rsid w:val="00707972"/>
    <w:rsid w:val="00707AE8"/>
    <w:rsid w:val="00707B55"/>
    <w:rsid w:val="00707D9D"/>
    <w:rsid w:val="00707E65"/>
    <w:rsid w:val="00707EE5"/>
    <w:rsid w:val="00707F0A"/>
    <w:rsid w:val="00707F78"/>
    <w:rsid w:val="00707FA8"/>
    <w:rsid w:val="007101DB"/>
    <w:rsid w:val="00710259"/>
    <w:rsid w:val="007105A9"/>
    <w:rsid w:val="0071068D"/>
    <w:rsid w:val="0071077D"/>
    <w:rsid w:val="007107B4"/>
    <w:rsid w:val="00710821"/>
    <w:rsid w:val="007108BF"/>
    <w:rsid w:val="007109B2"/>
    <w:rsid w:val="00710CAC"/>
    <w:rsid w:val="00710D25"/>
    <w:rsid w:val="00710E04"/>
    <w:rsid w:val="00710EB0"/>
    <w:rsid w:val="00710F4C"/>
    <w:rsid w:val="00711009"/>
    <w:rsid w:val="00711072"/>
    <w:rsid w:val="007110AB"/>
    <w:rsid w:val="00711663"/>
    <w:rsid w:val="007117B7"/>
    <w:rsid w:val="0071184B"/>
    <w:rsid w:val="00711BE4"/>
    <w:rsid w:val="00711BE6"/>
    <w:rsid w:val="00711CBF"/>
    <w:rsid w:val="00711CC3"/>
    <w:rsid w:val="00711CD9"/>
    <w:rsid w:val="00711E88"/>
    <w:rsid w:val="007120DE"/>
    <w:rsid w:val="0071218E"/>
    <w:rsid w:val="007122AC"/>
    <w:rsid w:val="007123B0"/>
    <w:rsid w:val="007124B1"/>
    <w:rsid w:val="007125BF"/>
    <w:rsid w:val="00712758"/>
    <w:rsid w:val="00712B49"/>
    <w:rsid w:val="00712BE5"/>
    <w:rsid w:val="00712CEF"/>
    <w:rsid w:val="00712FB6"/>
    <w:rsid w:val="0071324A"/>
    <w:rsid w:val="0071340A"/>
    <w:rsid w:val="007136B2"/>
    <w:rsid w:val="007136C6"/>
    <w:rsid w:val="00713794"/>
    <w:rsid w:val="00713E6B"/>
    <w:rsid w:val="00713EC0"/>
    <w:rsid w:val="00713F04"/>
    <w:rsid w:val="00713FAA"/>
    <w:rsid w:val="00713FBF"/>
    <w:rsid w:val="0071423D"/>
    <w:rsid w:val="0071428D"/>
    <w:rsid w:val="007142E2"/>
    <w:rsid w:val="00714408"/>
    <w:rsid w:val="00714416"/>
    <w:rsid w:val="007144F8"/>
    <w:rsid w:val="00714517"/>
    <w:rsid w:val="0071460A"/>
    <w:rsid w:val="00714627"/>
    <w:rsid w:val="00714711"/>
    <w:rsid w:val="007147F3"/>
    <w:rsid w:val="0071483B"/>
    <w:rsid w:val="007148BC"/>
    <w:rsid w:val="00714909"/>
    <w:rsid w:val="0071497B"/>
    <w:rsid w:val="00714A5F"/>
    <w:rsid w:val="00714ABB"/>
    <w:rsid w:val="00714B6A"/>
    <w:rsid w:val="00714B96"/>
    <w:rsid w:val="00714BDA"/>
    <w:rsid w:val="00714CD1"/>
    <w:rsid w:val="00714FCE"/>
    <w:rsid w:val="00715021"/>
    <w:rsid w:val="007150B3"/>
    <w:rsid w:val="00715164"/>
    <w:rsid w:val="007151D1"/>
    <w:rsid w:val="007156A1"/>
    <w:rsid w:val="007157BA"/>
    <w:rsid w:val="00715816"/>
    <w:rsid w:val="00715918"/>
    <w:rsid w:val="00715945"/>
    <w:rsid w:val="00715A78"/>
    <w:rsid w:val="00715AED"/>
    <w:rsid w:val="00715C4C"/>
    <w:rsid w:val="00715C65"/>
    <w:rsid w:val="00715D18"/>
    <w:rsid w:val="00715D4A"/>
    <w:rsid w:val="00715D69"/>
    <w:rsid w:val="00716089"/>
    <w:rsid w:val="00716113"/>
    <w:rsid w:val="0071641B"/>
    <w:rsid w:val="0071662B"/>
    <w:rsid w:val="007168D9"/>
    <w:rsid w:val="00716962"/>
    <w:rsid w:val="00716A2A"/>
    <w:rsid w:val="00716A70"/>
    <w:rsid w:val="00716ABC"/>
    <w:rsid w:val="00716B2C"/>
    <w:rsid w:val="00716D29"/>
    <w:rsid w:val="00716F6F"/>
    <w:rsid w:val="00716F93"/>
    <w:rsid w:val="00716FB1"/>
    <w:rsid w:val="007171C2"/>
    <w:rsid w:val="00717343"/>
    <w:rsid w:val="00717412"/>
    <w:rsid w:val="007177C9"/>
    <w:rsid w:val="007177E3"/>
    <w:rsid w:val="0071790C"/>
    <w:rsid w:val="007179F1"/>
    <w:rsid w:val="00717A20"/>
    <w:rsid w:val="00717AAC"/>
    <w:rsid w:val="00717B06"/>
    <w:rsid w:val="00717BE0"/>
    <w:rsid w:val="00717D4A"/>
    <w:rsid w:val="00717E31"/>
    <w:rsid w:val="00717EF3"/>
    <w:rsid w:val="0072004C"/>
    <w:rsid w:val="00720074"/>
    <w:rsid w:val="0072016F"/>
    <w:rsid w:val="007201BC"/>
    <w:rsid w:val="007201C4"/>
    <w:rsid w:val="007201FB"/>
    <w:rsid w:val="0072028D"/>
    <w:rsid w:val="007203C0"/>
    <w:rsid w:val="00720745"/>
    <w:rsid w:val="00720747"/>
    <w:rsid w:val="007207EB"/>
    <w:rsid w:val="00720967"/>
    <w:rsid w:val="007209CF"/>
    <w:rsid w:val="00720A7B"/>
    <w:rsid w:val="00720B97"/>
    <w:rsid w:val="00720BC0"/>
    <w:rsid w:val="00720C97"/>
    <w:rsid w:val="00720CBB"/>
    <w:rsid w:val="00720E92"/>
    <w:rsid w:val="00720F3B"/>
    <w:rsid w:val="00720F96"/>
    <w:rsid w:val="00720FD7"/>
    <w:rsid w:val="00721005"/>
    <w:rsid w:val="00721264"/>
    <w:rsid w:val="007213E1"/>
    <w:rsid w:val="00721486"/>
    <w:rsid w:val="00721532"/>
    <w:rsid w:val="00721777"/>
    <w:rsid w:val="007219A5"/>
    <w:rsid w:val="00721A69"/>
    <w:rsid w:val="00721A79"/>
    <w:rsid w:val="00721BD0"/>
    <w:rsid w:val="00721C09"/>
    <w:rsid w:val="00721CA3"/>
    <w:rsid w:val="00721DF6"/>
    <w:rsid w:val="00721F13"/>
    <w:rsid w:val="00721F1B"/>
    <w:rsid w:val="00722014"/>
    <w:rsid w:val="0072208B"/>
    <w:rsid w:val="0072208C"/>
    <w:rsid w:val="007221BC"/>
    <w:rsid w:val="0072237F"/>
    <w:rsid w:val="007223FF"/>
    <w:rsid w:val="00722417"/>
    <w:rsid w:val="00722732"/>
    <w:rsid w:val="007228CE"/>
    <w:rsid w:val="007229AC"/>
    <w:rsid w:val="00722A6E"/>
    <w:rsid w:val="00722CB4"/>
    <w:rsid w:val="00722D6F"/>
    <w:rsid w:val="00722F45"/>
    <w:rsid w:val="0072335A"/>
    <w:rsid w:val="007234FA"/>
    <w:rsid w:val="0072352D"/>
    <w:rsid w:val="007235D0"/>
    <w:rsid w:val="00723800"/>
    <w:rsid w:val="00723C47"/>
    <w:rsid w:val="00723CB3"/>
    <w:rsid w:val="00723E4D"/>
    <w:rsid w:val="00723EEE"/>
    <w:rsid w:val="00724000"/>
    <w:rsid w:val="00724142"/>
    <w:rsid w:val="00724159"/>
    <w:rsid w:val="007244CE"/>
    <w:rsid w:val="007244DA"/>
    <w:rsid w:val="0072489F"/>
    <w:rsid w:val="00724999"/>
    <w:rsid w:val="007249F1"/>
    <w:rsid w:val="007250D0"/>
    <w:rsid w:val="00725129"/>
    <w:rsid w:val="007253F3"/>
    <w:rsid w:val="00725415"/>
    <w:rsid w:val="00725838"/>
    <w:rsid w:val="007258A6"/>
    <w:rsid w:val="007258B7"/>
    <w:rsid w:val="007258F8"/>
    <w:rsid w:val="007259B8"/>
    <w:rsid w:val="00725C69"/>
    <w:rsid w:val="00725C88"/>
    <w:rsid w:val="00725CDC"/>
    <w:rsid w:val="00725D9B"/>
    <w:rsid w:val="00725DDC"/>
    <w:rsid w:val="00725EB4"/>
    <w:rsid w:val="00725F43"/>
    <w:rsid w:val="007260FB"/>
    <w:rsid w:val="0072611E"/>
    <w:rsid w:val="00726191"/>
    <w:rsid w:val="0072644C"/>
    <w:rsid w:val="0072665B"/>
    <w:rsid w:val="00726660"/>
    <w:rsid w:val="00726940"/>
    <w:rsid w:val="00726AC3"/>
    <w:rsid w:val="00726CB7"/>
    <w:rsid w:val="00726CF6"/>
    <w:rsid w:val="00726CFE"/>
    <w:rsid w:val="00726E40"/>
    <w:rsid w:val="00726EAB"/>
    <w:rsid w:val="00726FEA"/>
    <w:rsid w:val="0072710F"/>
    <w:rsid w:val="00727128"/>
    <w:rsid w:val="007271F3"/>
    <w:rsid w:val="00727228"/>
    <w:rsid w:val="00727426"/>
    <w:rsid w:val="00727478"/>
    <w:rsid w:val="00727644"/>
    <w:rsid w:val="007276D6"/>
    <w:rsid w:val="00727748"/>
    <w:rsid w:val="00727889"/>
    <w:rsid w:val="0072797B"/>
    <w:rsid w:val="00727A2A"/>
    <w:rsid w:val="00727AB3"/>
    <w:rsid w:val="00727B58"/>
    <w:rsid w:val="00727CAF"/>
    <w:rsid w:val="00727DBC"/>
    <w:rsid w:val="00727E70"/>
    <w:rsid w:val="00727FDE"/>
    <w:rsid w:val="00727FF5"/>
    <w:rsid w:val="0073000E"/>
    <w:rsid w:val="007300A5"/>
    <w:rsid w:val="007300BD"/>
    <w:rsid w:val="007300C9"/>
    <w:rsid w:val="0073013C"/>
    <w:rsid w:val="007302EE"/>
    <w:rsid w:val="0073043E"/>
    <w:rsid w:val="00730471"/>
    <w:rsid w:val="0073058F"/>
    <w:rsid w:val="007308AE"/>
    <w:rsid w:val="00730AE6"/>
    <w:rsid w:val="00730DAB"/>
    <w:rsid w:val="00730F88"/>
    <w:rsid w:val="007311AC"/>
    <w:rsid w:val="00731445"/>
    <w:rsid w:val="0073162A"/>
    <w:rsid w:val="00731646"/>
    <w:rsid w:val="00731768"/>
    <w:rsid w:val="0073194B"/>
    <w:rsid w:val="007319AD"/>
    <w:rsid w:val="00731AC5"/>
    <w:rsid w:val="00731B0A"/>
    <w:rsid w:val="00731E51"/>
    <w:rsid w:val="00731FE9"/>
    <w:rsid w:val="007320A5"/>
    <w:rsid w:val="0073218C"/>
    <w:rsid w:val="007325DE"/>
    <w:rsid w:val="0073265B"/>
    <w:rsid w:val="00732898"/>
    <w:rsid w:val="00732900"/>
    <w:rsid w:val="007329BD"/>
    <w:rsid w:val="00732ADC"/>
    <w:rsid w:val="00732D99"/>
    <w:rsid w:val="00732FCD"/>
    <w:rsid w:val="0073315F"/>
    <w:rsid w:val="00733179"/>
    <w:rsid w:val="007331F4"/>
    <w:rsid w:val="007333CE"/>
    <w:rsid w:val="00733456"/>
    <w:rsid w:val="007335C4"/>
    <w:rsid w:val="00733668"/>
    <w:rsid w:val="00733700"/>
    <w:rsid w:val="007337EF"/>
    <w:rsid w:val="00733A0A"/>
    <w:rsid w:val="00733AD8"/>
    <w:rsid w:val="00733B38"/>
    <w:rsid w:val="00733C88"/>
    <w:rsid w:val="00733CD8"/>
    <w:rsid w:val="00733D21"/>
    <w:rsid w:val="00733DA1"/>
    <w:rsid w:val="007340BF"/>
    <w:rsid w:val="007342C5"/>
    <w:rsid w:val="007342D6"/>
    <w:rsid w:val="0073446F"/>
    <w:rsid w:val="007344CD"/>
    <w:rsid w:val="007345BC"/>
    <w:rsid w:val="00734721"/>
    <w:rsid w:val="00734732"/>
    <w:rsid w:val="0073476F"/>
    <w:rsid w:val="007348C6"/>
    <w:rsid w:val="007349D7"/>
    <w:rsid w:val="007350C0"/>
    <w:rsid w:val="00735123"/>
    <w:rsid w:val="007351D7"/>
    <w:rsid w:val="007351DD"/>
    <w:rsid w:val="00735214"/>
    <w:rsid w:val="007352EA"/>
    <w:rsid w:val="00735422"/>
    <w:rsid w:val="00735582"/>
    <w:rsid w:val="007355B9"/>
    <w:rsid w:val="007356BD"/>
    <w:rsid w:val="007356DC"/>
    <w:rsid w:val="00735981"/>
    <w:rsid w:val="00735A74"/>
    <w:rsid w:val="00735BCB"/>
    <w:rsid w:val="00735CFC"/>
    <w:rsid w:val="00735E9D"/>
    <w:rsid w:val="00736645"/>
    <w:rsid w:val="00736653"/>
    <w:rsid w:val="0073669A"/>
    <w:rsid w:val="007367B9"/>
    <w:rsid w:val="0073691F"/>
    <w:rsid w:val="0073696D"/>
    <w:rsid w:val="0073699C"/>
    <w:rsid w:val="007369C6"/>
    <w:rsid w:val="00736B42"/>
    <w:rsid w:val="00736B7B"/>
    <w:rsid w:val="00736B86"/>
    <w:rsid w:val="00737092"/>
    <w:rsid w:val="0073722E"/>
    <w:rsid w:val="0073728A"/>
    <w:rsid w:val="007372C7"/>
    <w:rsid w:val="00737480"/>
    <w:rsid w:val="007374A3"/>
    <w:rsid w:val="0073754D"/>
    <w:rsid w:val="007377F4"/>
    <w:rsid w:val="00737866"/>
    <w:rsid w:val="007378E2"/>
    <w:rsid w:val="007379AC"/>
    <w:rsid w:val="007379C9"/>
    <w:rsid w:val="00737AE8"/>
    <w:rsid w:val="00737DEB"/>
    <w:rsid w:val="0074000D"/>
    <w:rsid w:val="007400C5"/>
    <w:rsid w:val="0074022D"/>
    <w:rsid w:val="00740269"/>
    <w:rsid w:val="007404C3"/>
    <w:rsid w:val="007406EA"/>
    <w:rsid w:val="0074071D"/>
    <w:rsid w:val="00740A0C"/>
    <w:rsid w:val="00740DA2"/>
    <w:rsid w:val="00740E4C"/>
    <w:rsid w:val="00740EC9"/>
    <w:rsid w:val="00741051"/>
    <w:rsid w:val="007410DF"/>
    <w:rsid w:val="0074110F"/>
    <w:rsid w:val="00741162"/>
    <w:rsid w:val="0074143B"/>
    <w:rsid w:val="007415EF"/>
    <w:rsid w:val="007417B1"/>
    <w:rsid w:val="0074182A"/>
    <w:rsid w:val="007418CD"/>
    <w:rsid w:val="0074192F"/>
    <w:rsid w:val="00741AAC"/>
    <w:rsid w:val="00741B53"/>
    <w:rsid w:val="00741BCA"/>
    <w:rsid w:val="00741DFF"/>
    <w:rsid w:val="00741E50"/>
    <w:rsid w:val="007421E0"/>
    <w:rsid w:val="00742430"/>
    <w:rsid w:val="00742622"/>
    <w:rsid w:val="00742634"/>
    <w:rsid w:val="007429C0"/>
    <w:rsid w:val="00742A6E"/>
    <w:rsid w:val="00742A98"/>
    <w:rsid w:val="00742B0E"/>
    <w:rsid w:val="00742DFD"/>
    <w:rsid w:val="00742EB6"/>
    <w:rsid w:val="00742F1A"/>
    <w:rsid w:val="00743076"/>
    <w:rsid w:val="007430C3"/>
    <w:rsid w:val="00743123"/>
    <w:rsid w:val="0074319C"/>
    <w:rsid w:val="007431A3"/>
    <w:rsid w:val="007431BC"/>
    <w:rsid w:val="0074325D"/>
    <w:rsid w:val="007432DE"/>
    <w:rsid w:val="00743335"/>
    <w:rsid w:val="0074350D"/>
    <w:rsid w:val="007435DB"/>
    <w:rsid w:val="007435DD"/>
    <w:rsid w:val="00743820"/>
    <w:rsid w:val="00743BFA"/>
    <w:rsid w:val="00743D5E"/>
    <w:rsid w:val="00743D65"/>
    <w:rsid w:val="00743DB0"/>
    <w:rsid w:val="00743E7C"/>
    <w:rsid w:val="00743FD3"/>
    <w:rsid w:val="007440C1"/>
    <w:rsid w:val="00744171"/>
    <w:rsid w:val="007441F2"/>
    <w:rsid w:val="007442BD"/>
    <w:rsid w:val="0074455E"/>
    <w:rsid w:val="00744567"/>
    <w:rsid w:val="00744A6A"/>
    <w:rsid w:val="00744B00"/>
    <w:rsid w:val="00744C48"/>
    <w:rsid w:val="00744CF8"/>
    <w:rsid w:val="00744D9D"/>
    <w:rsid w:val="00744E8C"/>
    <w:rsid w:val="00745081"/>
    <w:rsid w:val="00745148"/>
    <w:rsid w:val="007453F5"/>
    <w:rsid w:val="00745477"/>
    <w:rsid w:val="007455DA"/>
    <w:rsid w:val="0074569A"/>
    <w:rsid w:val="007458E3"/>
    <w:rsid w:val="00745A70"/>
    <w:rsid w:val="00745CA8"/>
    <w:rsid w:val="00745E21"/>
    <w:rsid w:val="00745E31"/>
    <w:rsid w:val="00745EBE"/>
    <w:rsid w:val="00746390"/>
    <w:rsid w:val="0074645E"/>
    <w:rsid w:val="0074646C"/>
    <w:rsid w:val="007464FD"/>
    <w:rsid w:val="0074657B"/>
    <w:rsid w:val="007465A5"/>
    <w:rsid w:val="00746698"/>
    <w:rsid w:val="0074673C"/>
    <w:rsid w:val="00746884"/>
    <w:rsid w:val="007468B4"/>
    <w:rsid w:val="00746988"/>
    <w:rsid w:val="00746B45"/>
    <w:rsid w:val="00746EFE"/>
    <w:rsid w:val="00747160"/>
    <w:rsid w:val="007471CA"/>
    <w:rsid w:val="007473C9"/>
    <w:rsid w:val="00747597"/>
    <w:rsid w:val="00747662"/>
    <w:rsid w:val="00747B57"/>
    <w:rsid w:val="00747C54"/>
    <w:rsid w:val="00747DCC"/>
    <w:rsid w:val="00747E96"/>
    <w:rsid w:val="00747F95"/>
    <w:rsid w:val="00750178"/>
    <w:rsid w:val="007502F2"/>
    <w:rsid w:val="00750782"/>
    <w:rsid w:val="007507BA"/>
    <w:rsid w:val="00750817"/>
    <w:rsid w:val="007508AA"/>
    <w:rsid w:val="0075094B"/>
    <w:rsid w:val="00750A4B"/>
    <w:rsid w:val="00750AF7"/>
    <w:rsid w:val="00750BBD"/>
    <w:rsid w:val="00751182"/>
    <w:rsid w:val="00751183"/>
    <w:rsid w:val="007513B6"/>
    <w:rsid w:val="007513F9"/>
    <w:rsid w:val="007514FD"/>
    <w:rsid w:val="00751668"/>
    <w:rsid w:val="0075183C"/>
    <w:rsid w:val="00751A57"/>
    <w:rsid w:val="00751ABB"/>
    <w:rsid w:val="00751B56"/>
    <w:rsid w:val="00751BF9"/>
    <w:rsid w:val="00751C08"/>
    <w:rsid w:val="00752229"/>
    <w:rsid w:val="00752268"/>
    <w:rsid w:val="007523DB"/>
    <w:rsid w:val="007524CE"/>
    <w:rsid w:val="00752586"/>
    <w:rsid w:val="007526F6"/>
    <w:rsid w:val="007527BD"/>
    <w:rsid w:val="007527C6"/>
    <w:rsid w:val="007529AE"/>
    <w:rsid w:val="00752BC0"/>
    <w:rsid w:val="00752CEE"/>
    <w:rsid w:val="00752D4F"/>
    <w:rsid w:val="00752EDD"/>
    <w:rsid w:val="00752F76"/>
    <w:rsid w:val="007530C1"/>
    <w:rsid w:val="00753230"/>
    <w:rsid w:val="00753256"/>
    <w:rsid w:val="00753331"/>
    <w:rsid w:val="00753445"/>
    <w:rsid w:val="007535E5"/>
    <w:rsid w:val="00753831"/>
    <w:rsid w:val="00753833"/>
    <w:rsid w:val="0075393B"/>
    <w:rsid w:val="00753A5E"/>
    <w:rsid w:val="00753CF6"/>
    <w:rsid w:val="00753D20"/>
    <w:rsid w:val="00753D5C"/>
    <w:rsid w:val="00753D7C"/>
    <w:rsid w:val="00754077"/>
    <w:rsid w:val="00754180"/>
    <w:rsid w:val="00754201"/>
    <w:rsid w:val="0075426D"/>
    <w:rsid w:val="00754410"/>
    <w:rsid w:val="00754593"/>
    <w:rsid w:val="007545EC"/>
    <w:rsid w:val="00754662"/>
    <w:rsid w:val="0075470E"/>
    <w:rsid w:val="007548FA"/>
    <w:rsid w:val="00754912"/>
    <w:rsid w:val="00754940"/>
    <w:rsid w:val="007549EF"/>
    <w:rsid w:val="00754AC1"/>
    <w:rsid w:val="00754C5D"/>
    <w:rsid w:val="00754CE8"/>
    <w:rsid w:val="00754D88"/>
    <w:rsid w:val="00754DB4"/>
    <w:rsid w:val="00754E34"/>
    <w:rsid w:val="00754F97"/>
    <w:rsid w:val="007551B9"/>
    <w:rsid w:val="00755348"/>
    <w:rsid w:val="00755375"/>
    <w:rsid w:val="007553AA"/>
    <w:rsid w:val="007554D4"/>
    <w:rsid w:val="0075558F"/>
    <w:rsid w:val="00755605"/>
    <w:rsid w:val="0075575F"/>
    <w:rsid w:val="007557C0"/>
    <w:rsid w:val="007559E8"/>
    <w:rsid w:val="00755A6E"/>
    <w:rsid w:val="00755CF3"/>
    <w:rsid w:val="00756192"/>
    <w:rsid w:val="00756205"/>
    <w:rsid w:val="007562EE"/>
    <w:rsid w:val="00756322"/>
    <w:rsid w:val="00756536"/>
    <w:rsid w:val="0075657B"/>
    <w:rsid w:val="007565C2"/>
    <w:rsid w:val="007568A1"/>
    <w:rsid w:val="007568CC"/>
    <w:rsid w:val="00756D3C"/>
    <w:rsid w:val="00757048"/>
    <w:rsid w:val="007571B5"/>
    <w:rsid w:val="007571F8"/>
    <w:rsid w:val="00757225"/>
    <w:rsid w:val="007572D8"/>
    <w:rsid w:val="00757336"/>
    <w:rsid w:val="00757467"/>
    <w:rsid w:val="007574BE"/>
    <w:rsid w:val="007576AA"/>
    <w:rsid w:val="007579AA"/>
    <w:rsid w:val="007579C2"/>
    <w:rsid w:val="00757A22"/>
    <w:rsid w:val="00757C91"/>
    <w:rsid w:val="00757F36"/>
    <w:rsid w:val="0076002C"/>
    <w:rsid w:val="0076006C"/>
    <w:rsid w:val="00760964"/>
    <w:rsid w:val="00760A70"/>
    <w:rsid w:val="00760A74"/>
    <w:rsid w:val="00760AE7"/>
    <w:rsid w:val="00760E1B"/>
    <w:rsid w:val="00760E2C"/>
    <w:rsid w:val="00760EFA"/>
    <w:rsid w:val="00761007"/>
    <w:rsid w:val="00761171"/>
    <w:rsid w:val="007612F2"/>
    <w:rsid w:val="0076130D"/>
    <w:rsid w:val="00761370"/>
    <w:rsid w:val="00761394"/>
    <w:rsid w:val="00761543"/>
    <w:rsid w:val="007617B4"/>
    <w:rsid w:val="007619F1"/>
    <w:rsid w:val="00761AE8"/>
    <w:rsid w:val="00761B25"/>
    <w:rsid w:val="00761EF6"/>
    <w:rsid w:val="00762217"/>
    <w:rsid w:val="00762334"/>
    <w:rsid w:val="00762367"/>
    <w:rsid w:val="0076245F"/>
    <w:rsid w:val="0076250C"/>
    <w:rsid w:val="00762559"/>
    <w:rsid w:val="0076268F"/>
    <w:rsid w:val="0076279A"/>
    <w:rsid w:val="007629DA"/>
    <w:rsid w:val="00762B10"/>
    <w:rsid w:val="00762B9D"/>
    <w:rsid w:val="00762C5C"/>
    <w:rsid w:val="00762CE7"/>
    <w:rsid w:val="00762D39"/>
    <w:rsid w:val="00762E3A"/>
    <w:rsid w:val="00762FA9"/>
    <w:rsid w:val="00762FEB"/>
    <w:rsid w:val="00763022"/>
    <w:rsid w:val="0076308C"/>
    <w:rsid w:val="007630DC"/>
    <w:rsid w:val="0076322D"/>
    <w:rsid w:val="00763235"/>
    <w:rsid w:val="0076330B"/>
    <w:rsid w:val="00763631"/>
    <w:rsid w:val="0076368A"/>
    <w:rsid w:val="00763A7F"/>
    <w:rsid w:val="00763D5A"/>
    <w:rsid w:val="00763E64"/>
    <w:rsid w:val="00763EDF"/>
    <w:rsid w:val="0076416E"/>
    <w:rsid w:val="00764257"/>
    <w:rsid w:val="0076425F"/>
    <w:rsid w:val="0076442A"/>
    <w:rsid w:val="00764516"/>
    <w:rsid w:val="00764576"/>
    <w:rsid w:val="007646A3"/>
    <w:rsid w:val="00764712"/>
    <w:rsid w:val="00764AC9"/>
    <w:rsid w:val="00764B16"/>
    <w:rsid w:val="00764E5E"/>
    <w:rsid w:val="00764E8F"/>
    <w:rsid w:val="00764E9F"/>
    <w:rsid w:val="00764ECF"/>
    <w:rsid w:val="007650FF"/>
    <w:rsid w:val="0076525B"/>
    <w:rsid w:val="007653BA"/>
    <w:rsid w:val="0076542F"/>
    <w:rsid w:val="0076548A"/>
    <w:rsid w:val="007654D0"/>
    <w:rsid w:val="00765531"/>
    <w:rsid w:val="007655EA"/>
    <w:rsid w:val="00765887"/>
    <w:rsid w:val="00765AB3"/>
    <w:rsid w:val="00765AEF"/>
    <w:rsid w:val="00765F8F"/>
    <w:rsid w:val="007660E0"/>
    <w:rsid w:val="00766101"/>
    <w:rsid w:val="0076612C"/>
    <w:rsid w:val="007661E8"/>
    <w:rsid w:val="0076621D"/>
    <w:rsid w:val="0076623F"/>
    <w:rsid w:val="0076636A"/>
    <w:rsid w:val="007663DB"/>
    <w:rsid w:val="00766625"/>
    <w:rsid w:val="00766744"/>
    <w:rsid w:val="00766AF1"/>
    <w:rsid w:val="00766B57"/>
    <w:rsid w:val="00766BB0"/>
    <w:rsid w:val="00766BBA"/>
    <w:rsid w:val="00766BE2"/>
    <w:rsid w:val="007670A3"/>
    <w:rsid w:val="00767271"/>
    <w:rsid w:val="0076733F"/>
    <w:rsid w:val="007673C1"/>
    <w:rsid w:val="007678C1"/>
    <w:rsid w:val="00767A3F"/>
    <w:rsid w:val="00767B3D"/>
    <w:rsid w:val="00767B41"/>
    <w:rsid w:val="00767C3A"/>
    <w:rsid w:val="00767E16"/>
    <w:rsid w:val="00767F01"/>
    <w:rsid w:val="00767FE9"/>
    <w:rsid w:val="00770113"/>
    <w:rsid w:val="00770119"/>
    <w:rsid w:val="00770647"/>
    <w:rsid w:val="007706B5"/>
    <w:rsid w:val="0077076C"/>
    <w:rsid w:val="0077086A"/>
    <w:rsid w:val="0077091E"/>
    <w:rsid w:val="007709F1"/>
    <w:rsid w:val="00770C24"/>
    <w:rsid w:val="00770CD7"/>
    <w:rsid w:val="00770D52"/>
    <w:rsid w:val="00771372"/>
    <w:rsid w:val="0077143B"/>
    <w:rsid w:val="0077157F"/>
    <w:rsid w:val="007717A4"/>
    <w:rsid w:val="0077196E"/>
    <w:rsid w:val="00771B41"/>
    <w:rsid w:val="00771E1B"/>
    <w:rsid w:val="00771EBA"/>
    <w:rsid w:val="00771FAC"/>
    <w:rsid w:val="007721F2"/>
    <w:rsid w:val="0077220A"/>
    <w:rsid w:val="00772438"/>
    <w:rsid w:val="0077246D"/>
    <w:rsid w:val="007724B0"/>
    <w:rsid w:val="00772531"/>
    <w:rsid w:val="007725C8"/>
    <w:rsid w:val="007725E5"/>
    <w:rsid w:val="00772658"/>
    <w:rsid w:val="0077268C"/>
    <w:rsid w:val="00772972"/>
    <w:rsid w:val="00772975"/>
    <w:rsid w:val="00772A0A"/>
    <w:rsid w:val="00772A79"/>
    <w:rsid w:val="00772BCF"/>
    <w:rsid w:val="00772BD1"/>
    <w:rsid w:val="00772ED7"/>
    <w:rsid w:val="00772F01"/>
    <w:rsid w:val="007730E4"/>
    <w:rsid w:val="00773134"/>
    <w:rsid w:val="0077328C"/>
    <w:rsid w:val="007732F9"/>
    <w:rsid w:val="007733DB"/>
    <w:rsid w:val="0077345F"/>
    <w:rsid w:val="00773566"/>
    <w:rsid w:val="00773820"/>
    <w:rsid w:val="00773901"/>
    <w:rsid w:val="00773924"/>
    <w:rsid w:val="00773A45"/>
    <w:rsid w:val="00773A78"/>
    <w:rsid w:val="00773B2B"/>
    <w:rsid w:val="00773B33"/>
    <w:rsid w:val="00773B88"/>
    <w:rsid w:val="00773C07"/>
    <w:rsid w:val="00773C7A"/>
    <w:rsid w:val="00773CF0"/>
    <w:rsid w:val="00773DD6"/>
    <w:rsid w:val="00774091"/>
    <w:rsid w:val="007740A7"/>
    <w:rsid w:val="0077443C"/>
    <w:rsid w:val="00774456"/>
    <w:rsid w:val="00774787"/>
    <w:rsid w:val="00774803"/>
    <w:rsid w:val="007748B3"/>
    <w:rsid w:val="00774C37"/>
    <w:rsid w:val="00774D64"/>
    <w:rsid w:val="00774EC3"/>
    <w:rsid w:val="0077509B"/>
    <w:rsid w:val="007750A4"/>
    <w:rsid w:val="00775138"/>
    <w:rsid w:val="00775284"/>
    <w:rsid w:val="0077587E"/>
    <w:rsid w:val="0077587F"/>
    <w:rsid w:val="00775A51"/>
    <w:rsid w:val="00775C74"/>
    <w:rsid w:val="00775CBD"/>
    <w:rsid w:val="00775CD1"/>
    <w:rsid w:val="00775CF0"/>
    <w:rsid w:val="00775DA1"/>
    <w:rsid w:val="00775DD5"/>
    <w:rsid w:val="00775F7D"/>
    <w:rsid w:val="00775FC9"/>
    <w:rsid w:val="00776053"/>
    <w:rsid w:val="00776077"/>
    <w:rsid w:val="00776506"/>
    <w:rsid w:val="0077651A"/>
    <w:rsid w:val="00776744"/>
    <w:rsid w:val="007767D5"/>
    <w:rsid w:val="00776910"/>
    <w:rsid w:val="00776976"/>
    <w:rsid w:val="007769AF"/>
    <w:rsid w:val="00776A3B"/>
    <w:rsid w:val="00776B3C"/>
    <w:rsid w:val="00776BF8"/>
    <w:rsid w:val="00776CF8"/>
    <w:rsid w:val="00776E88"/>
    <w:rsid w:val="00776F2C"/>
    <w:rsid w:val="00776F7D"/>
    <w:rsid w:val="007772D3"/>
    <w:rsid w:val="0077733D"/>
    <w:rsid w:val="0077751E"/>
    <w:rsid w:val="007778FF"/>
    <w:rsid w:val="00777D04"/>
    <w:rsid w:val="00777D96"/>
    <w:rsid w:val="00777E15"/>
    <w:rsid w:val="00777EAD"/>
    <w:rsid w:val="00777F61"/>
    <w:rsid w:val="00777FF6"/>
    <w:rsid w:val="007800C1"/>
    <w:rsid w:val="007800FA"/>
    <w:rsid w:val="00780210"/>
    <w:rsid w:val="00780423"/>
    <w:rsid w:val="00780493"/>
    <w:rsid w:val="0078064F"/>
    <w:rsid w:val="007807B5"/>
    <w:rsid w:val="0078081C"/>
    <w:rsid w:val="007809FB"/>
    <w:rsid w:val="00780C46"/>
    <w:rsid w:val="00780F4A"/>
    <w:rsid w:val="00781185"/>
    <w:rsid w:val="0078134A"/>
    <w:rsid w:val="0078158E"/>
    <w:rsid w:val="007816B1"/>
    <w:rsid w:val="00781725"/>
    <w:rsid w:val="00781745"/>
    <w:rsid w:val="00781A34"/>
    <w:rsid w:val="00781CB6"/>
    <w:rsid w:val="00781D41"/>
    <w:rsid w:val="00781D7E"/>
    <w:rsid w:val="00781E89"/>
    <w:rsid w:val="00781E95"/>
    <w:rsid w:val="007820B3"/>
    <w:rsid w:val="00782443"/>
    <w:rsid w:val="00782473"/>
    <w:rsid w:val="00782575"/>
    <w:rsid w:val="00782733"/>
    <w:rsid w:val="007827D8"/>
    <w:rsid w:val="007829AE"/>
    <w:rsid w:val="007829C9"/>
    <w:rsid w:val="00782D19"/>
    <w:rsid w:val="00782D69"/>
    <w:rsid w:val="00782D8B"/>
    <w:rsid w:val="00782E43"/>
    <w:rsid w:val="00782E81"/>
    <w:rsid w:val="00782E9C"/>
    <w:rsid w:val="00783034"/>
    <w:rsid w:val="007830A5"/>
    <w:rsid w:val="00783189"/>
    <w:rsid w:val="007831A7"/>
    <w:rsid w:val="0078327B"/>
    <w:rsid w:val="00783320"/>
    <w:rsid w:val="0078335E"/>
    <w:rsid w:val="00783360"/>
    <w:rsid w:val="007835C6"/>
    <w:rsid w:val="0078361E"/>
    <w:rsid w:val="0078374E"/>
    <w:rsid w:val="007837BF"/>
    <w:rsid w:val="007837E6"/>
    <w:rsid w:val="00783A00"/>
    <w:rsid w:val="00783C31"/>
    <w:rsid w:val="00783C79"/>
    <w:rsid w:val="00783D6F"/>
    <w:rsid w:val="00783E87"/>
    <w:rsid w:val="00783F25"/>
    <w:rsid w:val="00783F7C"/>
    <w:rsid w:val="00784389"/>
    <w:rsid w:val="007844B9"/>
    <w:rsid w:val="00784683"/>
    <w:rsid w:val="00784717"/>
    <w:rsid w:val="0078490D"/>
    <w:rsid w:val="00784969"/>
    <w:rsid w:val="007849B3"/>
    <w:rsid w:val="00784A0E"/>
    <w:rsid w:val="00784A65"/>
    <w:rsid w:val="00784A6C"/>
    <w:rsid w:val="00784A9C"/>
    <w:rsid w:val="00784B84"/>
    <w:rsid w:val="00784CB1"/>
    <w:rsid w:val="00784D00"/>
    <w:rsid w:val="00784EDE"/>
    <w:rsid w:val="007850CB"/>
    <w:rsid w:val="00785117"/>
    <w:rsid w:val="00785176"/>
    <w:rsid w:val="0078522D"/>
    <w:rsid w:val="007852AB"/>
    <w:rsid w:val="007852B6"/>
    <w:rsid w:val="007852F1"/>
    <w:rsid w:val="00785337"/>
    <w:rsid w:val="007856C9"/>
    <w:rsid w:val="007858F6"/>
    <w:rsid w:val="00785A41"/>
    <w:rsid w:val="00785BAB"/>
    <w:rsid w:val="00785CD2"/>
    <w:rsid w:val="00785E2E"/>
    <w:rsid w:val="00786015"/>
    <w:rsid w:val="00786236"/>
    <w:rsid w:val="007862C7"/>
    <w:rsid w:val="007863C6"/>
    <w:rsid w:val="00786521"/>
    <w:rsid w:val="007865A6"/>
    <w:rsid w:val="0078683D"/>
    <w:rsid w:val="007868A1"/>
    <w:rsid w:val="00786A32"/>
    <w:rsid w:val="00786AD9"/>
    <w:rsid w:val="00786DF8"/>
    <w:rsid w:val="00786E0A"/>
    <w:rsid w:val="00786F48"/>
    <w:rsid w:val="00786F79"/>
    <w:rsid w:val="0078707B"/>
    <w:rsid w:val="00787130"/>
    <w:rsid w:val="007873BC"/>
    <w:rsid w:val="007874DA"/>
    <w:rsid w:val="00787577"/>
    <w:rsid w:val="0078768B"/>
    <w:rsid w:val="0078785B"/>
    <w:rsid w:val="00787971"/>
    <w:rsid w:val="00787AD6"/>
    <w:rsid w:val="00787B7A"/>
    <w:rsid w:val="00787B7E"/>
    <w:rsid w:val="00787BCB"/>
    <w:rsid w:val="00787D67"/>
    <w:rsid w:val="00787E12"/>
    <w:rsid w:val="00787EA7"/>
    <w:rsid w:val="007901BE"/>
    <w:rsid w:val="00790230"/>
    <w:rsid w:val="00790294"/>
    <w:rsid w:val="00790314"/>
    <w:rsid w:val="007903AC"/>
    <w:rsid w:val="00790495"/>
    <w:rsid w:val="0079068E"/>
    <w:rsid w:val="00790809"/>
    <w:rsid w:val="00790899"/>
    <w:rsid w:val="00790AEE"/>
    <w:rsid w:val="00790B38"/>
    <w:rsid w:val="00790B82"/>
    <w:rsid w:val="00790C2C"/>
    <w:rsid w:val="00790E96"/>
    <w:rsid w:val="00791239"/>
    <w:rsid w:val="007912BF"/>
    <w:rsid w:val="00791387"/>
    <w:rsid w:val="0079171D"/>
    <w:rsid w:val="00791767"/>
    <w:rsid w:val="007918C8"/>
    <w:rsid w:val="00791916"/>
    <w:rsid w:val="00791927"/>
    <w:rsid w:val="00791A22"/>
    <w:rsid w:val="00791C1E"/>
    <w:rsid w:val="00791E13"/>
    <w:rsid w:val="00792445"/>
    <w:rsid w:val="007924FF"/>
    <w:rsid w:val="0079262E"/>
    <w:rsid w:val="007927F1"/>
    <w:rsid w:val="00792919"/>
    <w:rsid w:val="00792977"/>
    <w:rsid w:val="00792A96"/>
    <w:rsid w:val="00792C26"/>
    <w:rsid w:val="00792CC1"/>
    <w:rsid w:val="00792F7B"/>
    <w:rsid w:val="00792FC8"/>
    <w:rsid w:val="007933BB"/>
    <w:rsid w:val="007933F4"/>
    <w:rsid w:val="00793483"/>
    <w:rsid w:val="007935DE"/>
    <w:rsid w:val="007937C1"/>
    <w:rsid w:val="00793811"/>
    <w:rsid w:val="00793A9E"/>
    <w:rsid w:val="00793AFC"/>
    <w:rsid w:val="00793BF7"/>
    <w:rsid w:val="00793D63"/>
    <w:rsid w:val="00793F0E"/>
    <w:rsid w:val="00793F5E"/>
    <w:rsid w:val="007941C1"/>
    <w:rsid w:val="007941C2"/>
    <w:rsid w:val="007942F6"/>
    <w:rsid w:val="007945CD"/>
    <w:rsid w:val="00794723"/>
    <w:rsid w:val="00794867"/>
    <w:rsid w:val="007948B7"/>
    <w:rsid w:val="00794955"/>
    <w:rsid w:val="007949FE"/>
    <w:rsid w:val="00794B5D"/>
    <w:rsid w:val="00794F71"/>
    <w:rsid w:val="0079534C"/>
    <w:rsid w:val="0079539F"/>
    <w:rsid w:val="007954E7"/>
    <w:rsid w:val="007954EF"/>
    <w:rsid w:val="00795631"/>
    <w:rsid w:val="00795649"/>
    <w:rsid w:val="00795655"/>
    <w:rsid w:val="00795936"/>
    <w:rsid w:val="007959E7"/>
    <w:rsid w:val="00795A25"/>
    <w:rsid w:val="00795C2F"/>
    <w:rsid w:val="00795D79"/>
    <w:rsid w:val="00795DA4"/>
    <w:rsid w:val="00795DE6"/>
    <w:rsid w:val="00796025"/>
    <w:rsid w:val="00796162"/>
    <w:rsid w:val="007961DB"/>
    <w:rsid w:val="00796489"/>
    <w:rsid w:val="00796703"/>
    <w:rsid w:val="0079684E"/>
    <w:rsid w:val="00796A58"/>
    <w:rsid w:val="00796AD0"/>
    <w:rsid w:val="00796C3C"/>
    <w:rsid w:val="00796DE2"/>
    <w:rsid w:val="00796E44"/>
    <w:rsid w:val="00796F26"/>
    <w:rsid w:val="0079717C"/>
    <w:rsid w:val="00797271"/>
    <w:rsid w:val="0079735F"/>
    <w:rsid w:val="007974A8"/>
    <w:rsid w:val="007976A0"/>
    <w:rsid w:val="007976B8"/>
    <w:rsid w:val="0079784B"/>
    <w:rsid w:val="007978CC"/>
    <w:rsid w:val="00797B60"/>
    <w:rsid w:val="00797BA2"/>
    <w:rsid w:val="00797C74"/>
    <w:rsid w:val="00797CB4"/>
    <w:rsid w:val="00797ED0"/>
    <w:rsid w:val="007A0011"/>
    <w:rsid w:val="007A00EC"/>
    <w:rsid w:val="007A0199"/>
    <w:rsid w:val="007A01CF"/>
    <w:rsid w:val="007A024B"/>
    <w:rsid w:val="007A026E"/>
    <w:rsid w:val="007A0391"/>
    <w:rsid w:val="007A0475"/>
    <w:rsid w:val="007A0671"/>
    <w:rsid w:val="007A078B"/>
    <w:rsid w:val="007A07AB"/>
    <w:rsid w:val="007A07BA"/>
    <w:rsid w:val="007A0832"/>
    <w:rsid w:val="007A08BB"/>
    <w:rsid w:val="007A08C8"/>
    <w:rsid w:val="007A0920"/>
    <w:rsid w:val="007A0A01"/>
    <w:rsid w:val="007A0B1A"/>
    <w:rsid w:val="007A0B58"/>
    <w:rsid w:val="007A0CB4"/>
    <w:rsid w:val="007A0CD0"/>
    <w:rsid w:val="007A0D10"/>
    <w:rsid w:val="007A0E2C"/>
    <w:rsid w:val="007A103C"/>
    <w:rsid w:val="007A1145"/>
    <w:rsid w:val="007A117B"/>
    <w:rsid w:val="007A11D1"/>
    <w:rsid w:val="007A129C"/>
    <w:rsid w:val="007A14AD"/>
    <w:rsid w:val="007A1D21"/>
    <w:rsid w:val="007A1E57"/>
    <w:rsid w:val="007A207E"/>
    <w:rsid w:val="007A2131"/>
    <w:rsid w:val="007A21B2"/>
    <w:rsid w:val="007A2265"/>
    <w:rsid w:val="007A238D"/>
    <w:rsid w:val="007A2502"/>
    <w:rsid w:val="007A259B"/>
    <w:rsid w:val="007A2743"/>
    <w:rsid w:val="007A28E5"/>
    <w:rsid w:val="007A2983"/>
    <w:rsid w:val="007A2BB2"/>
    <w:rsid w:val="007A2C5A"/>
    <w:rsid w:val="007A30BA"/>
    <w:rsid w:val="007A3154"/>
    <w:rsid w:val="007A31E7"/>
    <w:rsid w:val="007A32BD"/>
    <w:rsid w:val="007A32FD"/>
    <w:rsid w:val="007A33E2"/>
    <w:rsid w:val="007A34FC"/>
    <w:rsid w:val="007A361D"/>
    <w:rsid w:val="007A3663"/>
    <w:rsid w:val="007A36C4"/>
    <w:rsid w:val="007A3702"/>
    <w:rsid w:val="007A3703"/>
    <w:rsid w:val="007A378C"/>
    <w:rsid w:val="007A37DB"/>
    <w:rsid w:val="007A39FB"/>
    <w:rsid w:val="007A3AE1"/>
    <w:rsid w:val="007A3B18"/>
    <w:rsid w:val="007A3EFF"/>
    <w:rsid w:val="007A3FE3"/>
    <w:rsid w:val="007A405C"/>
    <w:rsid w:val="007A40BE"/>
    <w:rsid w:val="007A4114"/>
    <w:rsid w:val="007A4806"/>
    <w:rsid w:val="007A49BF"/>
    <w:rsid w:val="007A4A07"/>
    <w:rsid w:val="007A4A3A"/>
    <w:rsid w:val="007A4A92"/>
    <w:rsid w:val="007A4BA9"/>
    <w:rsid w:val="007A4C3A"/>
    <w:rsid w:val="007A4DC5"/>
    <w:rsid w:val="007A4EA1"/>
    <w:rsid w:val="007A4EB6"/>
    <w:rsid w:val="007A52AD"/>
    <w:rsid w:val="007A54D3"/>
    <w:rsid w:val="007A550D"/>
    <w:rsid w:val="007A57CC"/>
    <w:rsid w:val="007A57F7"/>
    <w:rsid w:val="007A58D2"/>
    <w:rsid w:val="007A5912"/>
    <w:rsid w:val="007A5AC5"/>
    <w:rsid w:val="007A5B61"/>
    <w:rsid w:val="007A5D83"/>
    <w:rsid w:val="007A5D95"/>
    <w:rsid w:val="007A5DB9"/>
    <w:rsid w:val="007A5E47"/>
    <w:rsid w:val="007A5E80"/>
    <w:rsid w:val="007A5F30"/>
    <w:rsid w:val="007A5F67"/>
    <w:rsid w:val="007A61F6"/>
    <w:rsid w:val="007A62CB"/>
    <w:rsid w:val="007A6307"/>
    <w:rsid w:val="007A634A"/>
    <w:rsid w:val="007A638A"/>
    <w:rsid w:val="007A6408"/>
    <w:rsid w:val="007A657C"/>
    <w:rsid w:val="007A65FA"/>
    <w:rsid w:val="007A67EA"/>
    <w:rsid w:val="007A67F8"/>
    <w:rsid w:val="007A682C"/>
    <w:rsid w:val="007A685B"/>
    <w:rsid w:val="007A68C0"/>
    <w:rsid w:val="007A6914"/>
    <w:rsid w:val="007A6984"/>
    <w:rsid w:val="007A69CA"/>
    <w:rsid w:val="007A6E75"/>
    <w:rsid w:val="007A6EB9"/>
    <w:rsid w:val="007A6ECF"/>
    <w:rsid w:val="007A6F65"/>
    <w:rsid w:val="007A705C"/>
    <w:rsid w:val="007A707D"/>
    <w:rsid w:val="007A7156"/>
    <w:rsid w:val="007A721B"/>
    <w:rsid w:val="007A7351"/>
    <w:rsid w:val="007A742E"/>
    <w:rsid w:val="007A7460"/>
    <w:rsid w:val="007A74BD"/>
    <w:rsid w:val="007A78C1"/>
    <w:rsid w:val="007A7922"/>
    <w:rsid w:val="007A792A"/>
    <w:rsid w:val="007A79BA"/>
    <w:rsid w:val="007A7A24"/>
    <w:rsid w:val="007A7C25"/>
    <w:rsid w:val="007A7C4A"/>
    <w:rsid w:val="007A7C57"/>
    <w:rsid w:val="007A7D1E"/>
    <w:rsid w:val="007A7D81"/>
    <w:rsid w:val="007A7D88"/>
    <w:rsid w:val="007A7F5E"/>
    <w:rsid w:val="007B0408"/>
    <w:rsid w:val="007B04C8"/>
    <w:rsid w:val="007B056E"/>
    <w:rsid w:val="007B06BB"/>
    <w:rsid w:val="007B06CB"/>
    <w:rsid w:val="007B06CD"/>
    <w:rsid w:val="007B07EA"/>
    <w:rsid w:val="007B0869"/>
    <w:rsid w:val="007B08A7"/>
    <w:rsid w:val="007B08B3"/>
    <w:rsid w:val="007B0A6B"/>
    <w:rsid w:val="007B0AE5"/>
    <w:rsid w:val="007B0B72"/>
    <w:rsid w:val="007B0E6C"/>
    <w:rsid w:val="007B0FA9"/>
    <w:rsid w:val="007B1034"/>
    <w:rsid w:val="007B134A"/>
    <w:rsid w:val="007B1463"/>
    <w:rsid w:val="007B15FD"/>
    <w:rsid w:val="007B16A3"/>
    <w:rsid w:val="007B197F"/>
    <w:rsid w:val="007B1F52"/>
    <w:rsid w:val="007B23EB"/>
    <w:rsid w:val="007B2404"/>
    <w:rsid w:val="007B245E"/>
    <w:rsid w:val="007B28D1"/>
    <w:rsid w:val="007B2935"/>
    <w:rsid w:val="007B29F1"/>
    <w:rsid w:val="007B2ACD"/>
    <w:rsid w:val="007B2B1D"/>
    <w:rsid w:val="007B2B83"/>
    <w:rsid w:val="007B2C52"/>
    <w:rsid w:val="007B2C78"/>
    <w:rsid w:val="007B2D8F"/>
    <w:rsid w:val="007B2DF7"/>
    <w:rsid w:val="007B2E8B"/>
    <w:rsid w:val="007B2F52"/>
    <w:rsid w:val="007B2F8A"/>
    <w:rsid w:val="007B32D7"/>
    <w:rsid w:val="007B3330"/>
    <w:rsid w:val="007B348F"/>
    <w:rsid w:val="007B35A0"/>
    <w:rsid w:val="007B35A4"/>
    <w:rsid w:val="007B36CE"/>
    <w:rsid w:val="007B3745"/>
    <w:rsid w:val="007B3B30"/>
    <w:rsid w:val="007B3BE0"/>
    <w:rsid w:val="007B3D1C"/>
    <w:rsid w:val="007B3D53"/>
    <w:rsid w:val="007B3D97"/>
    <w:rsid w:val="007B4095"/>
    <w:rsid w:val="007B4139"/>
    <w:rsid w:val="007B4158"/>
    <w:rsid w:val="007B44C6"/>
    <w:rsid w:val="007B4751"/>
    <w:rsid w:val="007B4763"/>
    <w:rsid w:val="007B484E"/>
    <w:rsid w:val="007B48CD"/>
    <w:rsid w:val="007B4A10"/>
    <w:rsid w:val="007B4B33"/>
    <w:rsid w:val="007B4B50"/>
    <w:rsid w:val="007B4B5A"/>
    <w:rsid w:val="007B4D04"/>
    <w:rsid w:val="007B4E64"/>
    <w:rsid w:val="007B501F"/>
    <w:rsid w:val="007B52B9"/>
    <w:rsid w:val="007B5380"/>
    <w:rsid w:val="007B54D4"/>
    <w:rsid w:val="007B56A8"/>
    <w:rsid w:val="007B57F8"/>
    <w:rsid w:val="007B58C6"/>
    <w:rsid w:val="007B5AF0"/>
    <w:rsid w:val="007B5BB3"/>
    <w:rsid w:val="007B5CC1"/>
    <w:rsid w:val="007B5DB5"/>
    <w:rsid w:val="007B5E79"/>
    <w:rsid w:val="007B5E83"/>
    <w:rsid w:val="007B5FD4"/>
    <w:rsid w:val="007B63F6"/>
    <w:rsid w:val="007B6615"/>
    <w:rsid w:val="007B69E3"/>
    <w:rsid w:val="007B6DB8"/>
    <w:rsid w:val="007B6F3B"/>
    <w:rsid w:val="007B6F68"/>
    <w:rsid w:val="007B7048"/>
    <w:rsid w:val="007B7070"/>
    <w:rsid w:val="007B7078"/>
    <w:rsid w:val="007B7186"/>
    <w:rsid w:val="007B74BF"/>
    <w:rsid w:val="007B7505"/>
    <w:rsid w:val="007B751C"/>
    <w:rsid w:val="007B78CB"/>
    <w:rsid w:val="007B7B34"/>
    <w:rsid w:val="007B7C3A"/>
    <w:rsid w:val="007B7CBD"/>
    <w:rsid w:val="007C00E2"/>
    <w:rsid w:val="007C026A"/>
    <w:rsid w:val="007C04A8"/>
    <w:rsid w:val="007C0564"/>
    <w:rsid w:val="007C075A"/>
    <w:rsid w:val="007C0B33"/>
    <w:rsid w:val="007C0B99"/>
    <w:rsid w:val="007C0CAE"/>
    <w:rsid w:val="007C0EAB"/>
    <w:rsid w:val="007C0EEC"/>
    <w:rsid w:val="007C0F35"/>
    <w:rsid w:val="007C0FAE"/>
    <w:rsid w:val="007C1018"/>
    <w:rsid w:val="007C117B"/>
    <w:rsid w:val="007C11AB"/>
    <w:rsid w:val="007C122D"/>
    <w:rsid w:val="007C1274"/>
    <w:rsid w:val="007C132F"/>
    <w:rsid w:val="007C1456"/>
    <w:rsid w:val="007C159D"/>
    <w:rsid w:val="007C15AA"/>
    <w:rsid w:val="007C1738"/>
    <w:rsid w:val="007C1761"/>
    <w:rsid w:val="007C1793"/>
    <w:rsid w:val="007C18BC"/>
    <w:rsid w:val="007C18E4"/>
    <w:rsid w:val="007C1CC2"/>
    <w:rsid w:val="007C1D8F"/>
    <w:rsid w:val="007C1EDC"/>
    <w:rsid w:val="007C1F5B"/>
    <w:rsid w:val="007C2270"/>
    <w:rsid w:val="007C22F3"/>
    <w:rsid w:val="007C23BE"/>
    <w:rsid w:val="007C244A"/>
    <w:rsid w:val="007C24BA"/>
    <w:rsid w:val="007C24D8"/>
    <w:rsid w:val="007C2823"/>
    <w:rsid w:val="007C286E"/>
    <w:rsid w:val="007C2967"/>
    <w:rsid w:val="007C2BB6"/>
    <w:rsid w:val="007C2D68"/>
    <w:rsid w:val="007C2DBF"/>
    <w:rsid w:val="007C2EB1"/>
    <w:rsid w:val="007C2F4B"/>
    <w:rsid w:val="007C3111"/>
    <w:rsid w:val="007C3113"/>
    <w:rsid w:val="007C3529"/>
    <w:rsid w:val="007C35B3"/>
    <w:rsid w:val="007C3640"/>
    <w:rsid w:val="007C373D"/>
    <w:rsid w:val="007C387D"/>
    <w:rsid w:val="007C39CC"/>
    <w:rsid w:val="007C3A72"/>
    <w:rsid w:val="007C3AD6"/>
    <w:rsid w:val="007C3D6E"/>
    <w:rsid w:val="007C3F6B"/>
    <w:rsid w:val="007C43AD"/>
    <w:rsid w:val="007C452F"/>
    <w:rsid w:val="007C454F"/>
    <w:rsid w:val="007C455D"/>
    <w:rsid w:val="007C4585"/>
    <w:rsid w:val="007C45D6"/>
    <w:rsid w:val="007C47C2"/>
    <w:rsid w:val="007C48FE"/>
    <w:rsid w:val="007C4F9E"/>
    <w:rsid w:val="007C503D"/>
    <w:rsid w:val="007C5142"/>
    <w:rsid w:val="007C51B0"/>
    <w:rsid w:val="007C5602"/>
    <w:rsid w:val="007C567F"/>
    <w:rsid w:val="007C5763"/>
    <w:rsid w:val="007C57EB"/>
    <w:rsid w:val="007C5836"/>
    <w:rsid w:val="007C5896"/>
    <w:rsid w:val="007C5909"/>
    <w:rsid w:val="007C5A4F"/>
    <w:rsid w:val="007C5B0E"/>
    <w:rsid w:val="007C5B72"/>
    <w:rsid w:val="007C5B84"/>
    <w:rsid w:val="007C5D21"/>
    <w:rsid w:val="007C5F35"/>
    <w:rsid w:val="007C5F37"/>
    <w:rsid w:val="007C5F8D"/>
    <w:rsid w:val="007C6066"/>
    <w:rsid w:val="007C61D1"/>
    <w:rsid w:val="007C61F0"/>
    <w:rsid w:val="007C620D"/>
    <w:rsid w:val="007C621F"/>
    <w:rsid w:val="007C637E"/>
    <w:rsid w:val="007C6404"/>
    <w:rsid w:val="007C6637"/>
    <w:rsid w:val="007C6996"/>
    <w:rsid w:val="007C699A"/>
    <w:rsid w:val="007C6B64"/>
    <w:rsid w:val="007C6BF5"/>
    <w:rsid w:val="007C70A9"/>
    <w:rsid w:val="007C7175"/>
    <w:rsid w:val="007C7224"/>
    <w:rsid w:val="007C74A6"/>
    <w:rsid w:val="007C752D"/>
    <w:rsid w:val="007C7591"/>
    <w:rsid w:val="007C779B"/>
    <w:rsid w:val="007C7B93"/>
    <w:rsid w:val="007C7BB9"/>
    <w:rsid w:val="007C7D0B"/>
    <w:rsid w:val="007C7D92"/>
    <w:rsid w:val="007C7DBD"/>
    <w:rsid w:val="007C7DCD"/>
    <w:rsid w:val="007C7EDE"/>
    <w:rsid w:val="007D007C"/>
    <w:rsid w:val="007D0088"/>
    <w:rsid w:val="007D009A"/>
    <w:rsid w:val="007D0148"/>
    <w:rsid w:val="007D08BC"/>
    <w:rsid w:val="007D09E1"/>
    <w:rsid w:val="007D09E5"/>
    <w:rsid w:val="007D0B3E"/>
    <w:rsid w:val="007D111A"/>
    <w:rsid w:val="007D125E"/>
    <w:rsid w:val="007D12B1"/>
    <w:rsid w:val="007D12DE"/>
    <w:rsid w:val="007D132C"/>
    <w:rsid w:val="007D134D"/>
    <w:rsid w:val="007D1422"/>
    <w:rsid w:val="007D1522"/>
    <w:rsid w:val="007D15D7"/>
    <w:rsid w:val="007D16EE"/>
    <w:rsid w:val="007D1889"/>
    <w:rsid w:val="007D1B67"/>
    <w:rsid w:val="007D1B9F"/>
    <w:rsid w:val="007D1C60"/>
    <w:rsid w:val="007D1D80"/>
    <w:rsid w:val="007D1DCC"/>
    <w:rsid w:val="007D2028"/>
    <w:rsid w:val="007D2045"/>
    <w:rsid w:val="007D20BD"/>
    <w:rsid w:val="007D214F"/>
    <w:rsid w:val="007D2176"/>
    <w:rsid w:val="007D2198"/>
    <w:rsid w:val="007D2376"/>
    <w:rsid w:val="007D273B"/>
    <w:rsid w:val="007D27E8"/>
    <w:rsid w:val="007D2815"/>
    <w:rsid w:val="007D28C4"/>
    <w:rsid w:val="007D294E"/>
    <w:rsid w:val="007D2A8D"/>
    <w:rsid w:val="007D2A98"/>
    <w:rsid w:val="007D2B2C"/>
    <w:rsid w:val="007D2CE5"/>
    <w:rsid w:val="007D2D8F"/>
    <w:rsid w:val="007D31A6"/>
    <w:rsid w:val="007D320D"/>
    <w:rsid w:val="007D3321"/>
    <w:rsid w:val="007D33A5"/>
    <w:rsid w:val="007D345C"/>
    <w:rsid w:val="007D3500"/>
    <w:rsid w:val="007D3550"/>
    <w:rsid w:val="007D374C"/>
    <w:rsid w:val="007D3776"/>
    <w:rsid w:val="007D37B9"/>
    <w:rsid w:val="007D38EA"/>
    <w:rsid w:val="007D3BC2"/>
    <w:rsid w:val="007D3BD8"/>
    <w:rsid w:val="007D3C79"/>
    <w:rsid w:val="007D3DE7"/>
    <w:rsid w:val="007D40EC"/>
    <w:rsid w:val="007D41F6"/>
    <w:rsid w:val="007D4319"/>
    <w:rsid w:val="007D44FB"/>
    <w:rsid w:val="007D4566"/>
    <w:rsid w:val="007D465D"/>
    <w:rsid w:val="007D47B5"/>
    <w:rsid w:val="007D47F5"/>
    <w:rsid w:val="007D4ACA"/>
    <w:rsid w:val="007D4AEA"/>
    <w:rsid w:val="007D4AEB"/>
    <w:rsid w:val="007D4CED"/>
    <w:rsid w:val="007D5058"/>
    <w:rsid w:val="007D5290"/>
    <w:rsid w:val="007D5351"/>
    <w:rsid w:val="007D5389"/>
    <w:rsid w:val="007D551E"/>
    <w:rsid w:val="007D55B9"/>
    <w:rsid w:val="007D5701"/>
    <w:rsid w:val="007D575E"/>
    <w:rsid w:val="007D5787"/>
    <w:rsid w:val="007D5889"/>
    <w:rsid w:val="007D5A48"/>
    <w:rsid w:val="007D5AAE"/>
    <w:rsid w:val="007D5AE1"/>
    <w:rsid w:val="007D5B8A"/>
    <w:rsid w:val="007D5BC2"/>
    <w:rsid w:val="007D5DFA"/>
    <w:rsid w:val="007D5F9F"/>
    <w:rsid w:val="007D6065"/>
    <w:rsid w:val="007D60A3"/>
    <w:rsid w:val="007D60F0"/>
    <w:rsid w:val="007D6158"/>
    <w:rsid w:val="007D629F"/>
    <w:rsid w:val="007D658C"/>
    <w:rsid w:val="007D670C"/>
    <w:rsid w:val="007D675F"/>
    <w:rsid w:val="007D6836"/>
    <w:rsid w:val="007D6A8F"/>
    <w:rsid w:val="007D6BC8"/>
    <w:rsid w:val="007D6BEE"/>
    <w:rsid w:val="007D6D18"/>
    <w:rsid w:val="007D6DF3"/>
    <w:rsid w:val="007D6E92"/>
    <w:rsid w:val="007D6F54"/>
    <w:rsid w:val="007D719B"/>
    <w:rsid w:val="007D71A5"/>
    <w:rsid w:val="007D71A7"/>
    <w:rsid w:val="007D7313"/>
    <w:rsid w:val="007D732B"/>
    <w:rsid w:val="007D778F"/>
    <w:rsid w:val="007D7B25"/>
    <w:rsid w:val="007D7E17"/>
    <w:rsid w:val="007E02F4"/>
    <w:rsid w:val="007E034E"/>
    <w:rsid w:val="007E03A9"/>
    <w:rsid w:val="007E057F"/>
    <w:rsid w:val="007E0A3B"/>
    <w:rsid w:val="007E0A7B"/>
    <w:rsid w:val="007E0AA8"/>
    <w:rsid w:val="007E0C34"/>
    <w:rsid w:val="007E0EBC"/>
    <w:rsid w:val="007E10B7"/>
    <w:rsid w:val="007E11FE"/>
    <w:rsid w:val="007E124A"/>
    <w:rsid w:val="007E1270"/>
    <w:rsid w:val="007E13B3"/>
    <w:rsid w:val="007E142B"/>
    <w:rsid w:val="007E153D"/>
    <w:rsid w:val="007E19B1"/>
    <w:rsid w:val="007E19E4"/>
    <w:rsid w:val="007E1A83"/>
    <w:rsid w:val="007E1B73"/>
    <w:rsid w:val="007E1F21"/>
    <w:rsid w:val="007E1F34"/>
    <w:rsid w:val="007E20C8"/>
    <w:rsid w:val="007E22BE"/>
    <w:rsid w:val="007E22CE"/>
    <w:rsid w:val="007E22FC"/>
    <w:rsid w:val="007E23F8"/>
    <w:rsid w:val="007E24A3"/>
    <w:rsid w:val="007E25DA"/>
    <w:rsid w:val="007E28DD"/>
    <w:rsid w:val="007E29BD"/>
    <w:rsid w:val="007E2A47"/>
    <w:rsid w:val="007E2A4F"/>
    <w:rsid w:val="007E2AA9"/>
    <w:rsid w:val="007E2AE9"/>
    <w:rsid w:val="007E2B40"/>
    <w:rsid w:val="007E2B6A"/>
    <w:rsid w:val="007E2B71"/>
    <w:rsid w:val="007E2C4B"/>
    <w:rsid w:val="007E2D47"/>
    <w:rsid w:val="007E2F07"/>
    <w:rsid w:val="007E310D"/>
    <w:rsid w:val="007E3128"/>
    <w:rsid w:val="007E318E"/>
    <w:rsid w:val="007E31D7"/>
    <w:rsid w:val="007E34AF"/>
    <w:rsid w:val="007E36B5"/>
    <w:rsid w:val="007E3908"/>
    <w:rsid w:val="007E3920"/>
    <w:rsid w:val="007E3AA6"/>
    <w:rsid w:val="007E3AB9"/>
    <w:rsid w:val="007E3BAE"/>
    <w:rsid w:val="007E3BE4"/>
    <w:rsid w:val="007E3CA0"/>
    <w:rsid w:val="007E3E05"/>
    <w:rsid w:val="007E3E2F"/>
    <w:rsid w:val="007E3E67"/>
    <w:rsid w:val="007E3E9B"/>
    <w:rsid w:val="007E3EA9"/>
    <w:rsid w:val="007E3F33"/>
    <w:rsid w:val="007E435B"/>
    <w:rsid w:val="007E4548"/>
    <w:rsid w:val="007E4724"/>
    <w:rsid w:val="007E4771"/>
    <w:rsid w:val="007E492A"/>
    <w:rsid w:val="007E4930"/>
    <w:rsid w:val="007E493B"/>
    <w:rsid w:val="007E4C55"/>
    <w:rsid w:val="007E4CD5"/>
    <w:rsid w:val="007E4D01"/>
    <w:rsid w:val="007E4DA1"/>
    <w:rsid w:val="007E4EE3"/>
    <w:rsid w:val="007E4F45"/>
    <w:rsid w:val="007E4F71"/>
    <w:rsid w:val="007E4FAF"/>
    <w:rsid w:val="007E4FC9"/>
    <w:rsid w:val="007E4FE6"/>
    <w:rsid w:val="007E5032"/>
    <w:rsid w:val="007E509E"/>
    <w:rsid w:val="007E50F8"/>
    <w:rsid w:val="007E5237"/>
    <w:rsid w:val="007E528E"/>
    <w:rsid w:val="007E53AA"/>
    <w:rsid w:val="007E546B"/>
    <w:rsid w:val="007E55D5"/>
    <w:rsid w:val="007E5707"/>
    <w:rsid w:val="007E5792"/>
    <w:rsid w:val="007E5793"/>
    <w:rsid w:val="007E5812"/>
    <w:rsid w:val="007E59AA"/>
    <w:rsid w:val="007E5C1E"/>
    <w:rsid w:val="007E5CDD"/>
    <w:rsid w:val="007E5F76"/>
    <w:rsid w:val="007E60F6"/>
    <w:rsid w:val="007E627E"/>
    <w:rsid w:val="007E62CD"/>
    <w:rsid w:val="007E6361"/>
    <w:rsid w:val="007E637B"/>
    <w:rsid w:val="007E63BA"/>
    <w:rsid w:val="007E6A1B"/>
    <w:rsid w:val="007E6AA3"/>
    <w:rsid w:val="007E6BAF"/>
    <w:rsid w:val="007E6CA6"/>
    <w:rsid w:val="007E6CC8"/>
    <w:rsid w:val="007E6E30"/>
    <w:rsid w:val="007E6FDA"/>
    <w:rsid w:val="007E70AF"/>
    <w:rsid w:val="007E72DA"/>
    <w:rsid w:val="007E759F"/>
    <w:rsid w:val="007E75BB"/>
    <w:rsid w:val="007E75FB"/>
    <w:rsid w:val="007E760D"/>
    <w:rsid w:val="007E77F6"/>
    <w:rsid w:val="007E795F"/>
    <w:rsid w:val="007E7AF8"/>
    <w:rsid w:val="007E7B7E"/>
    <w:rsid w:val="007E7BD6"/>
    <w:rsid w:val="007E7FB5"/>
    <w:rsid w:val="007E7FEF"/>
    <w:rsid w:val="007F029C"/>
    <w:rsid w:val="007F0358"/>
    <w:rsid w:val="007F03B5"/>
    <w:rsid w:val="007F03FC"/>
    <w:rsid w:val="007F0417"/>
    <w:rsid w:val="007F07FD"/>
    <w:rsid w:val="007F0832"/>
    <w:rsid w:val="007F0920"/>
    <w:rsid w:val="007F095B"/>
    <w:rsid w:val="007F0A01"/>
    <w:rsid w:val="007F0A2D"/>
    <w:rsid w:val="007F0A49"/>
    <w:rsid w:val="007F0AB4"/>
    <w:rsid w:val="007F0BA0"/>
    <w:rsid w:val="007F0C36"/>
    <w:rsid w:val="007F0E4C"/>
    <w:rsid w:val="007F0ECA"/>
    <w:rsid w:val="007F0EE1"/>
    <w:rsid w:val="007F1001"/>
    <w:rsid w:val="007F1014"/>
    <w:rsid w:val="007F108A"/>
    <w:rsid w:val="007F12DB"/>
    <w:rsid w:val="007F13BE"/>
    <w:rsid w:val="007F147C"/>
    <w:rsid w:val="007F15F2"/>
    <w:rsid w:val="007F177C"/>
    <w:rsid w:val="007F17AB"/>
    <w:rsid w:val="007F17F8"/>
    <w:rsid w:val="007F1808"/>
    <w:rsid w:val="007F1988"/>
    <w:rsid w:val="007F19A2"/>
    <w:rsid w:val="007F1B3B"/>
    <w:rsid w:val="007F1D9F"/>
    <w:rsid w:val="007F1EC8"/>
    <w:rsid w:val="007F1EF9"/>
    <w:rsid w:val="007F201F"/>
    <w:rsid w:val="007F20D1"/>
    <w:rsid w:val="007F2168"/>
    <w:rsid w:val="007F22E0"/>
    <w:rsid w:val="007F2336"/>
    <w:rsid w:val="007F2486"/>
    <w:rsid w:val="007F25C2"/>
    <w:rsid w:val="007F26A9"/>
    <w:rsid w:val="007F26B5"/>
    <w:rsid w:val="007F2889"/>
    <w:rsid w:val="007F2A96"/>
    <w:rsid w:val="007F2ABD"/>
    <w:rsid w:val="007F2B1F"/>
    <w:rsid w:val="007F2EFF"/>
    <w:rsid w:val="007F3080"/>
    <w:rsid w:val="007F31D1"/>
    <w:rsid w:val="007F3252"/>
    <w:rsid w:val="007F330C"/>
    <w:rsid w:val="007F331A"/>
    <w:rsid w:val="007F33DE"/>
    <w:rsid w:val="007F3479"/>
    <w:rsid w:val="007F3516"/>
    <w:rsid w:val="007F35C2"/>
    <w:rsid w:val="007F371E"/>
    <w:rsid w:val="007F3726"/>
    <w:rsid w:val="007F37D0"/>
    <w:rsid w:val="007F397A"/>
    <w:rsid w:val="007F3A9B"/>
    <w:rsid w:val="007F3F46"/>
    <w:rsid w:val="007F402A"/>
    <w:rsid w:val="007F4073"/>
    <w:rsid w:val="007F434B"/>
    <w:rsid w:val="007F45BE"/>
    <w:rsid w:val="007F45E8"/>
    <w:rsid w:val="007F4664"/>
    <w:rsid w:val="007F4788"/>
    <w:rsid w:val="007F4A06"/>
    <w:rsid w:val="007F4C58"/>
    <w:rsid w:val="007F4D40"/>
    <w:rsid w:val="007F4F87"/>
    <w:rsid w:val="007F4FE4"/>
    <w:rsid w:val="007F4FF5"/>
    <w:rsid w:val="007F5168"/>
    <w:rsid w:val="007F53C7"/>
    <w:rsid w:val="007F540E"/>
    <w:rsid w:val="007F549A"/>
    <w:rsid w:val="007F58B5"/>
    <w:rsid w:val="007F5911"/>
    <w:rsid w:val="007F5936"/>
    <w:rsid w:val="007F59B8"/>
    <w:rsid w:val="007F59DE"/>
    <w:rsid w:val="007F5C0A"/>
    <w:rsid w:val="007F5F29"/>
    <w:rsid w:val="007F5F61"/>
    <w:rsid w:val="007F5F76"/>
    <w:rsid w:val="007F5FB6"/>
    <w:rsid w:val="007F605C"/>
    <w:rsid w:val="007F635B"/>
    <w:rsid w:val="007F63F0"/>
    <w:rsid w:val="007F6498"/>
    <w:rsid w:val="007F64CE"/>
    <w:rsid w:val="007F660C"/>
    <w:rsid w:val="007F6798"/>
    <w:rsid w:val="007F69F8"/>
    <w:rsid w:val="007F6F28"/>
    <w:rsid w:val="007F7080"/>
    <w:rsid w:val="007F70EC"/>
    <w:rsid w:val="007F710F"/>
    <w:rsid w:val="007F7148"/>
    <w:rsid w:val="007F71CB"/>
    <w:rsid w:val="007F751A"/>
    <w:rsid w:val="007F7664"/>
    <w:rsid w:val="007F7783"/>
    <w:rsid w:val="007F7887"/>
    <w:rsid w:val="007F7A74"/>
    <w:rsid w:val="007F7AC6"/>
    <w:rsid w:val="007F7BBC"/>
    <w:rsid w:val="007F7D6F"/>
    <w:rsid w:val="007F7D86"/>
    <w:rsid w:val="007F7F25"/>
    <w:rsid w:val="007F7F7E"/>
    <w:rsid w:val="007F7FA8"/>
    <w:rsid w:val="007F7FC7"/>
    <w:rsid w:val="00800360"/>
    <w:rsid w:val="008006CD"/>
    <w:rsid w:val="0080076A"/>
    <w:rsid w:val="0080078A"/>
    <w:rsid w:val="008009B3"/>
    <w:rsid w:val="00800A07"/>
    <w:rsid w:val="00800BF3"/>
    <w:rsid w:val="00800DA5"/>
    <w:rsid w:val="00800E14"/>
    <w:rsid w:val="00801068"/>
    <w:rsid w:val="008014B0"/>
    <w:rsid w:val="0080178D"/>
    <w:rsid w:val="00801834"/>
    <w:rsid w:val="008019D8"/>
    <w:rsid w:val="00801AD4"/>
    <w:rsid w:val="00801B12"/>
    <w:rsid w:val="00801B83"/>
    <w:rsid w:val="00801BF2"/>
    <w:rsid w:val="00802048"/>
    <w:rsid w:val="008020CA"/>
    <w:rsid w:val="00802123"/>
    <w:rsid w:val="00802136"/>
    <w:rsid w:val="00802685"/>
    <w:rsid w:val="008026C3"/>
    <w:rsid w:val="008026DF"/>
    <w:rsid w:val="008027E8"/>
    <w:rsid w:val="00802AA2"/>
    <w:rsid w:val="00802B58"/>
    <w:rsid w:val="00802C85"/>
    <w:rsid w:val="00802C92"/>
    <w:rsid w:val="00802E19"/>
    <w:rsid w:val="00802E7B"/>
    <w:rsid w:val="00803084"/>
    <w:rsid w:val="00803213"/>
    <w:rsid w:val="0080335C"/>
    <w:rsid w:val="008033DA"/>
    <w:rsid w:val="00803603"/>
    <w:rsid w:val="008036CB"/>
    <w:rsid w:val="008036D6"/>
    <w:rsid w:val="008039BF"/>
    <w:rsid w:val="00803C01"/>
    <w:rsid w:val="00803D0B"/>
    <w:rsid w:val="00803DE6"/>
    <w:rsid w:val="00803E98"/>
    <w:rsid w:val="00803EA4"/>
    <w:rsid w:val="00803EFD"/>
    <w:rsid w:val="00804291"/>
    <w:rsid w:val="00804354"/>
    <w:rsid w:val="00804355"/>
    <w:rsid w:val="00804492"/>
    <w:rsid w:val="008044A5"/>
    <w:rsid w:val="00804702"/>
    <w:rsid w:val="0080486A"/>
    <w:rsid w:val="00804873"/>
    <w:rsid w:val="0080495C"/>
    <w:rsid w:val="008049E7"/>
    <w:rsid w:val="00804A00"/>
    <w:rsid w:val="00804C78"/>
    <w:rsid w:val="00804E45"/>
    <w:rsid w:val="00804E7D"/>
    <w:rsid w:val="00804FF8"/>
    <w:rsid w:val="008050B0"/>
    <w:rsid w:val="008055B8"/>
    <w:rsid w:val="00805B2B"/>
    <w:rsid w:val="00805BFF"/>
    <w:rsid w:val="00805C1D"/>
    <w:rsid w:val="00805CF9"/>
    <w:rsid w:val="00805D25"/>
    <w:rsid w:val="00805EB9"/>
    <w:rsid w:val="00805FB8"/>
    <w:rsid w:val="00806168"/>
    <w:rsid w:val="008061E2"/>
    <w:rsid w:val="00806243"/>
    <w:rsid w:val="0080627A"/>
    <w:rsid w:val="00806375"/>
    <w:rsid w:val="0080655B"/>
    <w:rsid w:val="00806660"/>
    <w:rsid w:val="00806678"/>
    <w:rsid w:val="00806703"/>
    <w:rsid w:val="00806758"/>
    <w:rsid w:val="008067C2"/>
    <w:rsid w:val="008067C8"/>
    <w:rsid w:val="00806858"/>
    <w:rsid w:val="00806902"/>
    <w:rsid w:val="0080695D"/>
    <w:rsid w:val="00806A35"/>
    <w:rsid w:val="00806B6C"/>
    <w:rsid w:val="00806C1E"/>
    <w:rsid w:val="00806D29"/>
    <w:rsid w:val="00806DBE"/>
    <w:rsid w:val="0080705A"/>
    <w:rsid w:val="0080727D"/>
    <w:rsid w:val="0080728D"/>
    <w:rsid w:val="0080744F"/>
    <w:rsid w:val="008076CC"/>
    <w:rsid w:val="0080782B"/>
    <w:rsid w:val="008078AF"/>
    <w:rsid w:val="0080794D"/>
    <w:rsid w:val="00807AC5"/>
    <w:rsid w:val="00807BAF"/>
    <w:rsid w:val="00807C2A"/>
    <w:rsid w:val="00807E28"/>
    <w:rsid w:val="00807EC8"/>
    <w:rsid w:val="00807F3C"/>
    <w:rsid w:val="008102A2"/>
    <w:rsid w:val="0081032A"/>
    <w:rsid w:val="008103E9"/>
    <w:rsid w:val="0081049E"/>
    <w:rsid w:val="008104B4"/>
    <w:rsid w:val="00810600"/>
    <w:rsid w:val="0081083B"/>
    <w:rsid w:val="0081089E"/>
    <w:rsid w:val="008108D0"/>
    <w:rsid w:val="00810A22"/>
    <w:rsid w:val="00810A27"/>
    <w:rsid w:val="00810BD1"/>
    <w:rsid w:val="00810E4F"/>
    <w:rsid w:val="00810E6C"/>
    <w:rsid w:val="00810FF0"/>
    <w:rsid w:val="008112E6"/>
    <w:rsid w:val="0081154E"/>
    <w:rsid w:val="008115CC"/>
    <w:rsid w:val="008117B4"/>
    <w:rsid w:val="00811B86"/>
    <w:rsid w:val="00811C12"/>
    <w:rsid w:val="00811C3B"/>
    <w:rsid w:val="00811D0C"/>
    <w:rsid w:val="00811D11"/>
    <w:rsid w:val="00811D74"/>
    <w:rsid w:val="00811DF2"/>
    <w:rsid w:val="00811FF8"/>
    <w:rsid w:val="0081227A"/>
    <w:rsid w:val="008122F7"/>
    <w:rsid w:val="008126E2"/>
    <w:rsid w:val="0081299D"/>
    <w:rsid w:val="00812C88"/>
    <w:rsid w:val="00812CFF"/>
    <w:rsid w:val="00812D4C"/>
    <w:rsid w:val="00812E47"/>
    <w:rsid w:val="00812F9F"/>
    <w:rsid w:val="008130DB"/>
    <w:rsid w:val="00813152"/>
    <w:rsid w:val="008131AD"/>
    <w:rsid w:val="008138C1"/>
    <w:rsid w:val="00813931"/>
    <w:rsid w:val="00813947"/>
    <w:rsid w:val="008139BC"/>
    <w:rsid w:val="00813A13"/>
    <w:rsid w:val="00813A82"/>
    <w:rsid w:val="00813B08"/>
    <w:rsid w:val="00813CA6"/>
    <w:rsid w:val="00813CD0"/>
    <w:rsid w:val="00813DF5"/>
    <w:rsid w:val="0081405B"/>
    <w:rsid w:val="00814118"/>
    <w:rsid w:val="008141D6"/>
    <w:rsid w:val="008143C6"/>
    <w:rsid w:val="00814452"/>
    <w:rsid w:val="008147DA"/>
    <w:rsid w:val="008147DC"/>
    <w:rsid w:val="00814994"/>
    <w:rsid w:val="00814B4A"/>
    <w:rsid w:val="00814C33"/>
    <w:rsid w:val="00814DF1"/>
    <w:rsid w:val="00814E03"/>
    <w:rsid w:val="00814E59"/>
    <w:rsid w:val="00814EBC"/>
    <w:rsid w:val="008150C7"/>
    <w:rsid w:val="0081515E"/>
    <w:rsid w:val="0081521A"/>
    <w:rsid w:val="008152DE"/>
    <w:rsid w:val="00815396"/>
    <w:rsid w:val="008155D4"/>
    <w:rsid w:val="0081562F"/>
    <w:rsid w:val="008159C3"/>
    <w:rsid w:val="00815B59"/>
    <w:rsid w:val="00815EE3"/>
    <w:rsid w:val="00816419"/>
    <w:rsid w:val="0081648A"/>
    <w:rsid w:val="00816492"/>
    <w:rsid w:val="008164A7"/>
    <w:rsid w:val="00816513"/>
    <w:rsid w:val="008165C6"/>
    <w:rsid w:val="00816760"/>
    <w:rsid w:val="00816853"/>
    <w:rsid w:val="00816939"/>
    <w:rsid w:val="008169BD"/>
    <w:rsid w:val="008169DC"/>
    <w:rsid w:val="00816BC3"/>
    <w:rsid w:val="00816EB8"/>
    <w:rsid w:val="00816ED6"/>
    <w:rsid w:val="00817280"/>
    <w:rsid w:val="008172EC"/>
    <w:rsid w:val="00817318"/>
    <w:rsid w:val="00817451"/>
    <w:rsid w:val="008174E9"/>
    <w:rsid w:val="008175A0"/>
    <w:rsid w:val="008175D7"/>
    <w:rsid w:val="0081798D"/>
    <w:rsid w:val="00817A1D"/>
    <w:rsid w:val="00817B24"/>
    <w:rsid w:val="00817D84"/>
    <w:rsid w:val="00817E36"/>
    <w:rsid w:val="00817FEC"/>
    <w:rsid w:val="0082000B"/>
    <w:rsid w:val="0082011C"/>
    <w:rsid w:val="008203AE"/>
    <w:rsid w:val="008203B3"/>
    <w:rsid w:val="0082055E"/>
    <w:rsid w:val="00820589"/>
    <w:rsid w:val="008206B9"/>
    <w:rsid w:val="008207DF"/>
    <w:rsid w:val="0082085D"/>
    <w:rsid w:val="0082097E"/>
    <w:rsid w:val="00820B23"/>
    <w:rsid w:val="00820D3D"/>
    <w:rsid w:val="00820D97"/>
    <w:rsid w:val="00820DA8"/>
    <w:rsid w:val="00820EBA"/>
    <w:rsid w:val="00821135"/>
    <w:rsid w:val="008212E6"/>
    <w:rsid w:val="00821486"/>
    <w:rsid w:val="0082164D"/>
    <w:rsid w:val="00821680"/>
    <w:rsid w:val="00821B28"/>
    <w:rsid w:val="00821B86"/>
    <w:rsid w:val="00821B96"/>
    <w:rsid w:val="0082204D"/>
    <w:rsid w:val="0082205F"/>
    <w:rsid w:val="008221BA"/>
    <w:rsid w:val="00822398"/>
    <w:rsid w:val="008223F3"/>
    <w:rsid w:val="00822516"/>
    <w:rsid w:val="008227AE"/>
    <w:rsid w:val="00822808"/>
    <w:rsid w:val="008228A1"/>
    <w:rsid w:val="00822A20"/>
    <w:rsid w:val="00822C04"/>
    <w:rsid w:val="00822D57"/>
    <w:rsid w:val="00822DEF"/>
    <w:rsid w:val="00822F38"/>
    <w:rsid w:val="00822FA5"/>
    <w:rsid w:val="0082308C"/>
    <w:rsid w:val="00823151"/>
    <w:rsid w:val="008235AE"/>
    <w:rsid w:val="008236DC"/>
    <w:rsid w:val="008237B6"/>
    <w:rsid w:val="00823808"/>
    <w:rsid w:val="00823A5C"/>
    <w:rsid w:val="00823B4A"/>
    <w:rsid w:val="00823BEC"/>
    <w:rsid w:val="00823C8E"/>
    <w:rsid w:val="00823F26"/>
    <w:rsid w:val="0082417A"/>
    <w:rsid w:val="008242F1"/>
    <w:rsid w:val="00824540"/>
    <w:rsid w:val="00824584"/>
    <w:rsid w:val="00824645"/>
    <w:rsid w:val="0082468F"/>
    <w:rsid w:val="008246D7"/>
    <w:rsid w:val="0082481F"/>
    <w:rsid w:val="00824887"/>
    <w:rsid w:val="00824A7C"/>
    <w:rsid w:val="00824BC5"/>
    <w:rsid w:val="00824C11"/>
    <w:rsid w:val="00824C6B"/>
    <w:rsid w:val="00824CA0"/>
    <w:rsid w:val="00824E24"/>
    <w:rsid w:val="00824EC3"/>
    <w:rsid w:val="00824EF2"/>
    <w:rsid w:val="0082506D"/>
    <w:rsid w:val="00825122"/>
    <w:rsid w:val="0082519B"/>
    <w:rsid w:val="008255E4"/>
    <w:rsid w:val="0082578D"/>
    <w:rsid w:val="00825846"/>
    <w:rsid w:val="008259D9"/>
    <w:rsid w:val="00825B6C"/>
    <w:rsid w:val="00825C2C"/>
    <w:rsid w:val="00825CDE"/>
    <w:rsid w:val="00825D4E"/>
    <w:rsid w:val="00825FE4"/>
    <w:rsid w:val="00826014"/>
    <w:rsid w:val="008261E9"/>
    <w:rsid w:val="00826248"/>
    <w:rsid w:val="008266EF"/>
    <w:rsid w:val="008267F8"/>
    <w:rsid w:val="00826A0D"/>
    <w:rsid w:val="00826ACF"/>
    <w:rsid w:val="00826AD9"/>
    <w:rsid w:val="00826B4E"/>
    <w:rsid w:val="00826B8B"/>
    <w:rsid w:val="00826B99"/>
    <w:rsid w:val="00826C78"/>
    <w:rsid w:val="00826C83"/>
    <w:rsid w:val="00826C98"/>
    <w:rsid w:val="00826DF9"/>
    <w:rsid w:val="00826F3D"/>
    <w:rsid w:val="00826F71"/>
    <w:rsid w:val="00826FBB"/>
    <w:rsid w:val="008270CD"/>
    <w:rsid w:val="008271DD"/>
    <w:rsid w:val="00827497"/>
    <w:rsid w:val="00827786"/>
    <w:rsid w:val="0082778F"/>
    <w:rsid w:val="00827950"/>
    <w:rsid w:val="00827B08"/>
    <w:rsid w:val="00827C9C"/>
    <w:rsid w:val="00827D29"/>
    <w:rsid w:val="008300A2"/>
    <w:rsid w:val="008300AC"/>
    <w:rsid w:val="00830131"/>
    <w:rsid w:val="0083029A"/>
    <w:rsid w:val="008306F5"/>
    <w:rsid w:val="0083078A"/>
    <w:rsid w:val="0083086C"/>
    <w:rsid w:val="00830A54"/>
    <w:rsid w:val="00830A75"/>
    <w:rsid w:val="00830A83"/>
    <w:rsid w:val="00830B92"/>
    <w:rsid w:val="00830BAC"/>
    <w:rsid w:val="00830BDD"/>
    <w:rsid w:val="00830C04"/>
    <w:rsid w:val="00830E5E"/>
    <w:rsid w:val="00831005"/>
    <w:rsid w:val="0083101A"/>
    <w:rsid w:val="008312F2"/>
    <w:rsid w:val="008313A2"/>
    <w:rsid w:val="008313D3"/>
    <w:rsid w:val="0083143B"/>
    <w:rsid w:val="008314D5"/>
    <w:rsid w:val="00831501"/>
    <w:rsid w:val="0083151B"/>
    <w:rsid w:val="00831689"/>
    <w:rsid w:val="008318E5"/>
    <w:rsid w:val="00831B67"/>
    <w:rsid w:val="00831C6A"/>
    <w:rsid w:val="00831E00"/>
    <w:rsid w:val="008320B6"/>
    <w:rsid w:val="00832621"/>
    <w:rsid w:val="008326F7"/>
    <w:rsid w:val="0083283B"/>
    <w:rsid w:val="00832B0D"/>
    <w:rsid w:val="00832B1C"/>
    <w:rsid w:val="00832BAB"/>
    <w:rsid w:val="00832C44"/>
    <w:rsid w:val="00832E9D"/>
    <w:rsid w:val="00832FEA"/>
    <w:rsid w:val="0083324C"/>
    <w:rsid w:val="0083338D"/>
    <w:rsid w:val="0083347A"/>
    <w:rsid w:val="008334AB"/>
    <w:rsid w:val="00833566"/>
    <w:rsid w:val="00833626"/>
    <w:rsid w:val="008336DE"/>
    <w:rsid w:val="008336F0"/>
    <w:rsid w:val="008337D7"/>
    <w:rsid w:val="0083391B"/>
    <w:rsid w:val="00833B4A"/>
    <w:rsid w:val="00833DC5"/>
    <w:rsid w:val="00833FD6"/>
    <w:rsid w:val="0083425C"/>
    <w:rsid w:val="008342D2"/>
    <w:rsid w:val="008343AE"/>
    <w:rsid w:val="008343EF"/>
    <w:rsid w:val="00834574"/>
    <w:rsid w:val="008345F5"/>
    <w:rsid w:val="0083470A"/>
    <w:rsid w:val="00834793"/>
    <w:rsid w:val="00834CDA"/>
    <w:rsid w:val="00834DC8"/>
    <w:rsid w:val="00834DEA"/>
    <w:rsid w:val="00835010"/>
    <w:rsid w:val="0083527C"/>
    <w:rsid w:val="0083527D"/>
    <w:rsid w:val="00835315"/>
    <w:rsid w:val="00835336"/>
    <w:rsid w:val="0083533D"/>
    <w:rsid w:val="00835490"/>
    <w:rsid w:val="008355BF"/>
    <w:rsid w:val="0083578F"/>
    <w:rsid w:val="00835872"/>
    <w:rsid w:val="00835904"/>
    <w:rsid w:val="00835A20"/>
    <w:rsid w:val="00835A41"/>
    <w:rsid w:val="00835D12"/>
    <w:rsid w:val="00835DB5"/>
    <w:rsid w:val="00835DD2"/>
    <w:rsid w:val="00835E6C"/>
    <w:rsid w:val="00835FAA"/>
    <w:rsid w:val="00835FF0"/>
    <w:rsid w:val="00836415"/>
    <w:rsid w:val="0083644F"/>
    <w:rsid w:val="0083653A"/>
    <w:rsid w:val="00836772"/>
    <w:rsid w:val="00836775"/>
    <w:rsid w:val="0083677E"/>
    <w:rsid w:val="00836807"/>
    <w:rsid w:val="008368F9"/>
    <w:rsid w:val="00836967"/>
    <w:rsid w:val="008369EE"/>
    <w:rsid w:val="00836DDD"/>
    <w:rsid w:val="00836EE7"/>
    <w:rsid w:val="00836F34"/>
    <w:rsid w:val="00837020"/>
    <w:rsid w:val="00837026"/>
    <w:rsid w:val="00837093"/>
    <w:rsid w:val="008370F1"/>
    <w:rsid w:val="0083717E"/>
    <w:rsid w:val="008371A2"/>
    <w:rsid w:val="0083745B"/>
    <w:rsid w:val="008375AB"/>
    <w:rsid w:val="008375D5"/>
    <w:rsid w:val="00837628"/>
    <w:rsid w:val="00837703"/>
    <w:rsid w:val="00837712"/>
    <w:rsid w:val="00837761"/>
    <w:rsid w:val="008378D7"/>
    <w:rsid w:val="00837E3A"/>
    <w:rsid w:val="00837F57"/>
    <w:rsid w:val="008400B3"/>
    <w:rsid w:val="00840141"/>
    <w:rsid w:val="0084016B"/>
    <w:rsid w:val="0084019D"/>
    <w:rsid w:val="008401E4"/>
    <w:rsid w:val="0084037A"/>
    <w:rsid w:val="0084056F"/>
    <w:rsid w:val="008406D4"/>
    <w:rsid w:val="008409F9"/>
    <w:rsid w:val="00840AC0"/>
    <w:rsid w:val="00840DAC"/>
    <w:rsid w:val="008410D1"/>
    <w:rsid w:val="008411E1"/>
    <w:rsid w:val="008411F3"/>
    <w:rsid w:val="0084122F"/>
    <w:rsid w:val="008413DD"/>
    <w:rsid w:val="0084146E"/>
    <w:rsid w:val="00841482"/>
    <w:rsid w:val="00841631"/>
    <w:rsid w:val="0084168F"/>
    <w:rsid w:val="00841724"/>
    <w:rsid w:val="00841870"/>
    <w:rsid w:val="0084187E"/>
    <w:rsid w:val="008418EE"/>
    <w:rsid w:val="008418FD"/>
    <w:rsid w:val="00841964"/>
    <w:rsid w:val="008419D4"/>
    <w:rsid w:val="008419E3"/>
    <w:rsid w:val="00841AD7"/>
    <w:rsid w:val="00841BB8"/>
    <w:rsid w:val="00841BE8"/>
    <w:rsid w:val="00842453"/>
    <w:rsid w:val="008424F4"/>
    <w:rsid w:val="008426DB"/>
    <w:rsid w:val="008427DF"/>
    <w:rsid w:val="00842843"/>
    <w:rsid w:val="008429A9"/>
    <w:rsid w:val="00842BBD"/>
    <w:rsid w:val="00842CFD"/>
    <w:rsid w:val="00842D79"/>
    <w:rsid w:val="00842D86"/>
    <w:rsid w:val="00842E30"/>
    <w:rsid w:val="00842F07"/>
    <w:rsid w:val="008432E1"/>
    <w:rsid w:val="00843397"/>
    <w:rsid w:val="00843687"/>
    <w:rsid w:val="00843735"/>
    <w:rsid w:val="008437EF"/>
    <w:rsid w:val="00843890"/>
    <w:rsid w:val="00843976"/>
    <w:rsid w:val="00843993"/>
    <w:rsid w:val="008439CE"/>
    <w:rsid w:val="00843A15"/>
    <w:rsid w:val="00843C36"/>
    <w:rsid w:val="00843C61"/>
    <w:rsid w:val="00843D60"/>
    <w:rsid w:val="00843E26"/>
    <w:rsid w:val="00844223"/>
    <w:rsid w:val="008443F1"/>
    <w:rsid w:val="008443FC"/>
    <w:rsid w:val="00844457"/>
    <w:rsid w:val="00844509"/>
    <w:rsid w:val="00844673"/>
    <w:rsid w:val="008449B3"/>
    <w:rsid w:val="008449F3"/>
    <w:rsid w:val="00844CD1"/>
    <w:rsid w:val="00844D15"/>
    <w:rsid w:val="00844E88"/>
    <w:rsid w:val="008453B1"/>
    <w:rsid w:val="00845606"/>
    <w:rsid w:val="0084566A"/>
    <w:rsid w:val="008456BE"/>
    <w:rsid w:val="008456E2"/>
    <w:rsid w:val="00845768"/>
    <w:rsid w:val="0084585C"/>
    <w:rsid w:val="00845880"/>
    <w:rsid w:val="00845C34"/>
    <w:rsid w:val="00845CBC"/>
    <w:rsid w:val="00845DE5"/>
    <w:rsid w:val="00845FBB"/>
    <w:rsid w:val="0084616B"/>
    <w:rsid w:val="00846328"/>
    <w:rsid w:val="00846506"/>
    <w:rsid w:val="0084652C"/>
    <w:rsid w:val="00846593"/>
    <w:rsid w:val="008465A6"/>
    <w:rsid w:val="00846629"/>
    <w:rsid w:val="0084663C"/>
    <w:rsid w:val="00846670"/>
    <w:rsid w:val="00846768"/>
    <w:rsid w:val="00846854"/>
    <w:rsid w:val="00846A64"/>
    <w:rsid w:val="00846AB2"/>
    <w:rsid w:val="00846AF4"/>
    <w:rsid w:val="00846BD2"/>
    <w:rsid w:val="00846DC6"/>
    <w:rsid w:val="00846F46"/>
    <w:rsid w:val="0084711B"/>
    <w:rsid w:val="008472F8"/>
    <w:rsid w:val="008473B9"/>
    <w:rsid w:val="008473D4"/>
    <w:rsid w:val="00847452"/>
    <w:rsid w:val="00847508"/>
    <w:rsid w:val="00847511"/>
    <w:rsid w:val="00847790"/>
    <w:rsid w:val="00847AFB"/>
    <w:rsid w:val="00847D08"/>
    <w:rsid w:val="00847D5C"/>
    <w:rsid w:val="00847E59"/>
    <w:rsid w:val="00847FD8"/>
    <w:rsid w:val="008500DE"/>
    <w:rsid w:val="00850193"/>
    <w:rsid w:val="008501F5"/>
    <w:rsid w:val="008503EC"/>
    <w:rsid w:val="008503F2"/>
    <w:rsid w:val="00850513"/>
    <w:rsid w:val="0085052B"/>
    <w:rsid w:val="0085054F"/>
    <w:rsid w:val="008506B2"/>
    <w:rsid w:val="008506F4"/>
    <w:rsid w:val="00850762"/>
    <w:rsid w:val="008508C2"/>
    <w:rsid w:val="0085098A"/>
    <w:rsid w:val="00850B2F"/>
    <w:rsid w:val="00850B35"/>
    <w:rsid w:val="00850B51"/>
    <w:rsid w:val="00850D6C"/>
    <w:rsid w:val="00850DB4"/>
    <w:rsid w:val="00850EB2"/>
    <w:rsid w:val="00851522"/>
    <w:rsid w:val="0085166D"/>
    <w:rsid w:val="008517B8"/>
    <w:rsid w:val="00851A5B"/>
    <w:rsid w:val="00851BD4"/>
    <w:rsid w:val="00851C1E"/>
    <w:rsid w:val="00851C27"/>
    <w:rsid w:val="00851D1E"/>
    <w:rsid w:val="00851DC3"/>
    <w:rsid w:val="00851DDD"/>
    <w:rsid w:val="00851E46"/>
    <w:rsid w:val="00851E4B"/>
    <w:rsid w:val="00851F29"/>
    <w:rsid w:val="0085217B"/>
    <w:rsid w:val="00852207"/>
    <w:rsid w:val="00852298"/>
    <w:rsid w:val="008522AE"/>
    <w:rsid w:val="00852361"/>
    <w:rsid w:val="0085244E"/>
    <w:rsid w:val="00852669"/>
    <w:rsid w:val="008526D5"/>
    <w:rsid w:val="00852800"/>
    <w:rsid w:val="00852896"/>
    <w:rsid w:val="008528D2"/>
    <w:rsid w:val="0085294B"/>
    <w:rsid w:val="00852CAD"/>
    <w:rsid w:val="00852D16"/>
    <w:rsid w:val="00852DF2"/>
    <w:rsid w:val="00852E92"/>
    <w:rsid w:val="00853011"/>
    <w:rsid w:val="0085304B"/>
    <w:rsid w:val="00853193"/>
    <w:rsid w:val="0085345A"/>
    <w:rsid w:val="0085349A"/>
    <w:rsid w:val="0085370E"/>
    <w:rsid w:val="008537D7"/>
    <w:rsid w:val="008537FD"/>
    <w:rsid w:val="0085385C"/>
    <w:rsid w:val="00853AD0"/>
    <w:rsid w:val="00853BE6"/>
    <w:rsid w:val="00853BF1"/>
    <w:rsid w:val="00853C7A"/>
    <w:rsid w:val="00853DF7"/>
    <w:rsid w:val="0085401D"/>
    <w:rsid w:val="0085402D"/>
    <w:rsid w:val="00854165"/>
    <w:rsid w:val="00854226"/>
    <w:rsid w:val="00854433"/>
    <w:rsid w:val="00854479"/>
    <w:rsid w:val="00854519"/>
    <w:rsid w:val="008545E5"/>
    <w:rsid w:val="0085470F"/>
    <w:rsid w:val="0085477A"/>
    <w:rsid w:val="00854935"/>
    <w:rsid w:val="008549FE"/>
    <w:rsid w:val="00854A48"/>
    <w:rsid w:val="00854A81"/>
    <w:rsid w:val="00854D6C"/>
    <w:rsid w:val="00854ECC"/>
    <w:rsid w:val="00855039"/>
    <w:rsid w:val="00855175"/>
    <w:rsid w:val="0085531F"/>
    <w:rsid w:val="008553EC"/>
    <w:rsid w:val="008554F4"/>
    <w:rsid w:val="008557F0"/>
    <w:rsid w:val="008559DB"/>
    <w:rsid w:val="00855A84"/>
    <w:rsid w:val="00855B66"/>
    <w:rsid w:val="00855C07"/>
    <w:rsid w:val="00855C13"/>
    <w:rsid w:val="00855CC8"/>
    <w:rsid w:val="00855F0E"/>
    <w:rsid w:val="00856133"/>
    <w:rsid w:val="0085616D"/>
    <w:rsid w:val="00856215"/>
    <w:rsid w:val="0085644F"/>
    <w:rsid w:val="0085646F"/>
    <w:rsid w:val="00856579"/>
    <w:rsid w:val="0085684F"/>
    <w:rsid w:val="00856894"/>
    <w:rsid w:val="0085694B"/>
    <w:rsid w:val="00856A36"/>
    <w:rsid w:val="00856B8E"/>
    <w:rsid w:val="00856BE9"/>
    <w:rsid w:val="00856CAA"/>
    <w:rsid w:val="00856D2F"/>
    <w:rsid w:val="00857128"/>
    <w:rsid w:val="00857141"/>
    <w:rsid w:val="00857236"/>
    <w:rsid w:val="00857319"/>
    <w:rsid w:val="008573AE"/>
    <w:rsid w:val="00857429"/>
    <w:rsid w:val="00857640"/>
    <w:rsid w:val="008577C2"/>
    <w:rsid w:val="00857880"/>
    <w:rsid w:val="00857C6E"/>
    <w:rsid w:val="00857CDC"/>
    <w:rsid w:val="00857FC7"/>
    <w:rsid w:val="0086005C"/>
    <w:rsid w:val="0086009F"/>
    <w:rsid w:val="008601AB"/>
    <w:rsid w:val="008601E6"/>
    <w:rsid w:val="00860283"/>
    <w:rsid w:val="008603DC"/>
    <w:rsid w:val="00860AC6"/>
    <w:rsid w:val="00860AE8"/>
    <w:rsid w:val="00860D6E"/>
    <w:rsid w:val="00860E7A"/>
    <w:rsid w:val="00860ECE"/>
    <w:rsid w:val="0086144A"/>
    <w:rsid w:val="0086151E"/>
    <w:rsid w:val="00861533"/>
    <w:rsid w:val="008615F9"/>
    <w:rsid w:val="008616AC"/>
    <w:rsid w:val="00861703"/>
    <w:rsid w:val="00861740"/>
    <w:rsid w:val="00861810"/>
    <w:rsid w:val="00861818"/>
    <w:rsid w:val="0086186E"/>
    <w:rsid w:val="00861A23"/>
    <w:rsid w:val="00861D1B"/>
    <w:rsid w:val="00861D54"/>
    <w:rsid w:val="00861F5E"/>
    <w:rsid w:val="0086205A"/>
    <w:rsid w:val="00862084"/>
    <w:rsid w:val="0086226B"/>
    <w:rsid w:val="00862343"/>
    <w:rsid w:val="00862447"/>
    <w:rsid w:val="00862628"/>
    <w:rsid w:val="00862672"/>
    <w:rsid w:val="0086271A"/>
    <w:rsid w:val="00862747"/>
    <w:rsid w:val="008627E1"/>
    <w:rsid w:val="00862881"/>
    <w:rsid w:val="00862ACC"/>
    <w:rsid w:val="00862CCB"/>
    <w:rsid w:val="00862F77"/>
    <w:rsid w:val="00863000"/>
    <w:rsid w:val="008630E0"/>
    <w:rsid w:val="00863348"/>
    <w:rsid w:val="008633A7"/>
    <w:rsid w:val="008634BC"/>
    <w:rsid w:val="008634FA"/>
    <w:rsid w:val="008635C1"/>
    <w:rsid w:val="008635DF"/>
    <w:rsid w:val="0086363A"/>
    <w:rsid w:val="0086373D"/>
    <w:rsid w:val="0086383C"/>
    <w:rsid w:val="0086390C"/>
    <w:rsid w:val="00863934"/>
    <w:rsid w:val="00863AC9"/>
    <w:rsid w:val="00863B69"/>
    <w:rsid w:val="00863B9F"/>
    <w:rsid w:val="00863C3B"/>
    <w:rsid w:val="00863C70"/>
    <w:rsid w:val="00863C8D"/>
    <w:rsid w:val="00863D90"/>
    <w:rsid w:val="00863E64"/>
    <w:rsid w:val="00863F6B"/>
    <w:rsid w:val="00864027"/>
    <w:rsid w:val="00864182"/>
    <w:rsid w:val="008641F4"/>
    <w:rsid w:val="008644D6"/>
    <w:rsid w:val="008645BE"/>
    <w:rsid w:val="008646A5"/>
    <w:rsid w:val="008646DB"/>
    <w:rsid w:val="0086470E"/>
    <w:rsid w:val="0086497E"/>
    <w:rsid w:val="00864DE9"/>
    <w:rsid w:val="00865116"/>
    <w:rsid w:val="00865122"/>
    <w:rsid w:val="008652CA"/>
    <w:rsid w:val="0086533D"/>
    <w:rsid w:val="00865555"/>
    <w:rsid w:val="00865570"/>
    <w:rsid w:val="008655BD"/>
    <w:rsid w:val="00865668"/>
    <w:rsid w:val="00865889"/>
    <w:rsid w:val="0086589F"/>
    <w:rsid w:val="00865952"/>
    <w:rsid w:val="008659D0"/>
    <w:rsid w:val="008659F3"/>
    <w:rsid w:val="00865A10"/>
    <w:rsid w:val="00865BDC"/>
    <w:rsid w:val="00865C94"/>
    <w:rsid w:val="00865D1B"/>
    <w:rsid w:val="00865D46"/>
    <w:rsid w:val="00865DB8"/>
    <w:rsid w:val="00865E5C"/>
    <w:rsid w:val="00866117"/>
    <w:rsid w:val="0086628F"/>
    <w:rsid w:val="0086662F"/>
    <w:rsid w:val="008666B9"/>
    <w:rsid w:val="0086672D"/>
    <w:rsid w:val="008668E3"/>
    <w:rsid w:val="00866C2E"/>
    <w:rsid w:val="00866CE0"/>
    <w:rsid w:val="00866D3D"/>
    <w:rsid w:val="00866F28"/>
    <w:rsid w:val="0086702A"/>
    <w:rsid w:val="00867188"/>
    <w:rsid w:val="008673C7"/>
    <w:rsid w:val="00867850"/>
    <w:rsid w:val="008679DF"/>
    <w:rsid w:val="00867A5B"/>
    <w:rsid w:val="00867D15"/>
    <w:rsid w:val="00867EEB"/>
    <w:rsid w:val="00867F11"/>
    <w:rsid w:val="00870110"/>
    <w:rsid w:val="00870152"/>
    <w:rsid w:val="0087043E"/>
    <w:rsid w:val="00870478"/>
    <w:rsid w:val="00870535"/>
    <w:rsid w:val="00870757"/>
    <w:rsid w:val="0087077D"/>
    <w:rsid w:val="00870839"/>
    <w:rsid w:val="00870946"/>
    <w:rsid w:val="00870A1A"/>
    <w:rsid w:val="00870A6D"/>
    <w:rsid w:val="00870B30"/>
    <w:rsid w:val="00870B66"/>
    <w:rsid w:val="00870B85"/>
    <w:rsid w:val="00870C06"/>
    <w:rsid w:val="00870C6D"/>
    <w:rsid w:val="00870F8F"/>
    <w:rsid w:val="00870FBD"/>
    <w:rsid w:val="0087110D"/>
    <w:rsid w:val="00871134"/>
    <w:rsid w:val="0087113F"/>
    <w:rsid w:val="00871174"/>
    <w:rsid w:val="0087140E"/>
    <w:rsid w:val="008715C2"/>
    <w:rsid w:val="00871772"/>
    <w:rsid w:val="0087191E"/>
    <w:rsid w:val="0087195A"/>
    <w:rsid w:val="00871AE6"/>
    <w:rsid w:val="00871C03"/>
    <w:rsid w:val="00871DBC"/>
    <w:rsid w:val="00871DC8"/>
    <w:rsid w:val="00872278"/>
    <w:rsid w:val="0087239A"/>
    <w:rsid w:val="008723C9"/>
    <w:rsid w:val="008724E5"/>
    <w:rsid w:val="00872609"/>
    <w:rsid w:val="008728B6"/>
    <w:rsid w:val="0087298E"/>
    <w:rsid w:val="00872E87"/>
    <w:rsid w:val="00873140"/>
    <w:rsid w:val="00873141"/>
    <w:rsid w:val="008732AD"/>
    <w:rsid w:val="008732AF"/>
    <w:rsid w:val="0087335D"/>
    <w:rsid w:val="008734F9"/>
    <w:rsid w:val="00873563"/>
    <w:rsid w:val="008737B7"/>
    <w:rsid w:val="008737D5"/>
    <w:rsid w:val="00873C8F"/>
    <w:rsid w:val="00873CB2"/>
    <w:rsid w:val="00873DF8"/>
    <w:rsid w:val="00874AEE"/>
    <w:rsid w:val="00874C62"/>
    <w:rsid w:val="00874FFD"/>
    <w:rsid w:val="00875012"/>
    <w:rsid w:val="0087506C"/>
    <w:rsid w:val="00875107"/>
    <w:rsid w:val="0087513A"/>
    <w:rsid w:val="00875284"/>
    <w:rsid w:val="008752BC"/>
    <w:rsid w:val="008752DF"/>
    <w:rsid w:val="00875360"/>
    <w:rsid w:val="008754A9"/>
    <w:rsid w:val="0087560E"/>
    <w:rsid w:val="00875688"/>
    <w:rsid w:val="00875948"/>
    <w:rsid w:val="00875B0F"/>
    <w:rsid w:val="00875C75"/>
    <w:rsid w:val="00875D58"/>
    <w:rsid w:val="00875EEE"/>
    <w:rsid w:val="00875FFD"/>
    <w:rsid w:val="00876040"/>
    <w:rsid w:val="0087615F"/>
    <w:rsid w:val="008761EE"/>
    <w:rsid w:val="00876684"/>
    <w:rsid w:val="00876693"/>
    <w:rsid w:val="0087680A"/>
    <w:rsid w:val="0087683A"/>
    <w:rsid w:val="008768BC"/>
    <w:rsid w:val="008768C2"/>
    <w:rsid w:val="00876ABC"/>
    <w:rsid w:val="00876B36"/>
    <w:rsid w:val="00876B89"/>
    <w:rsid w:val="00876FFC"/>
    <w:rsid w:val="00877265"/>
    <w:rsid w:val="008773AF"/>
    <w:rsid w:val="008774DD"/>
    <w:rsid w:val="008777D2"/>
    <w:rsid w:val="0087795C"/>
    <w:rsid w:val="00877C8B"/>
    <w:rsid w:val="00877D84"/>
    <w:rsid w:val="00877EA3"/>
    <w:rsid w:val="00877F49"/>
    <w:rsid w:val="0088003B"/>
    <w:rsid w:val="00880104"/>
    <w:rsid w:val="00880224"/>
    <w:rsid w:val="008802AC"/>
    <w:rsid w:val="008804EF"/>
    <w:rsid w:val="0088055D"/>
    <w:rsid w:val="0088057A"/>
    <w:rsid w:val="008808A2"/>
    <w:rsid w:val="00880916"/>
    <w:rsid w:val="008809DA"/>
    <w:rsid w:val="00880D2D"/>
    <w:rsid w:val="00880D85"/>
    <w:rsid w:val="00880E40"/>
    <w:rsid w:val="00880EBA"/>
    <w:rsid w:val="0088101E"/>
    <w:rsid w:val="008810C4"/>
    <w:rsid w:val="008813F3"/>
    <w:rsid w:val="0088142B"/>
    <w:rsid w:val="00881656"/>
    <w:rsid w:val="00881761"/>
    <w:rsid w:val="00881AFB"/>
    <w:rsid w:val="00881B22"/>
    <w:rsid w:val="00881BC2"/>
    <w:rsid w:val="00881BD9"/>
    <w:rsid w:val="00881C7E"/>
    <w:rsid w:val="00881E34"/>
    <w:rsid w:val="00881F54"/>
    <w:rsid w:val="00882025"/>
    <w:rsid w:val="0088202D"/>
    <w:rsid w:val="008820FA"/>
    <w:rsid w:val="00882359"/>
    <w:rsid w:val="008827EF"/>
    <w:rsid w:val="00882969"/>
    <w:rsid w:val="00882A11"/>
    <w:rsid w:val="00882D6C"/>
    <w:rsid w:val="00882E92"/>
    <w:rsid w:val="00882F31"/>
    <w:rsid w:val="008830F9"/>
    <w:rsid w:val="008831D5"/>
    <w:rsid w:val="0088323E"/>
    <w:rsid w:val="008834DE"/>
    <w:rsid w:val="0088351A"/>
    <w:rsid w:val="00883830"/>
    <w:rsid w:val="008839D1"/>
    <w:rsid w:val="00884017"/>
    <w:rsid w:val="00884162"/>
    <w:rsid w:val="0088416D"/>
    <w:rsid w:val="008843A1"/>
    <w:rsid w:val="008848EC"/>
    <w:rsid w:val="0088497E"/>
    <w:rsid w:val="008849D6"/>
    <w:rsid w:val="00884B2F"/>
    <w:rsid w:val="00884B85"/>
    <w:rsid w:val="00884BB6"/>
    <w:rsid w:val="00884C3F"/>
    <w:rsid w:val="00884D70"/>
    <w:rsid w:val="00884D97"/>
    <w:rsid w:val="00884EAE"/>
    <w:rsid w:val="00884EB4"/>
    <w:rsid w:val="00884F20"/>
    <w:rsid w:val="00885438"/>
    <w:rsid w:val="00885464"/>
    <w:rsid w:val="008855ED"/>
    <w:rsid w:val="00885819"/>
    <w:rsid w:val="0088581B"/>
    <w:rsid w:val="008859E1"/>
    <w:rsid w:val="00885D31"/>
    <w:rsid w:val="00885DB2"/>
    <w:rsid w:val="00885E07"/>
    <w:rsid w:val="00885FE8"/>
    <w:rsid w:val="008860BF"/>
    <w:rsid w:val="008860EA"/>
    <w:rsid w:val="008861CF"/>
    <w:rsid w:val="008862AE"/>
    <w:rsid w:val="008862BE"/>
    <w:rsid w:val="00886370"/>
    <w:rsid w:val="008863CB"/>
    <w:rsid w:val="00886622"/>
    <w:rsid w:val="00886624"/>
    <w:rsid w:val="00886799"/>
    <w:rsid w:val="00886990"/>
    <w:rsid w:val="00886A6C"/>
    <w:rsid w:val="00886B5A"/>
    <w:rsid w:val="00886B6F"/>
    <w:rsid w:val="00886DAC"/>
    <w:rsid w:val="00886F6E"/>
    <w:rsid w:val="00886FE4"/>
    <w:rsid w:val="00886FF3"/>
    <w:rsid w:val="008871AB"/>
    <w:rsid w:val="00887229"/>
    <w:rsid w:val="008872C2"/>
    <w:rsid w:val="008872FB"/>
    <w:rsid w:val="008874D3"/>
    <w:rsid w:val="00887794"/>
    <w:rsid w:val="008877F6"/>
    <w:rsid w:val="00887841"/>
    <w:rsid w:val="0088786E"/>
    <w:rsid w:val="00887907"/>
    <w:rsid w:val="00887926"/>
    <w:rsid w:val="008879D2"/>
    <w:rsid w:val="00887AD7"/>
    <w:rsid w:val="00887C95"/>
    <w:rsid w:val="00887CF8"/>
    <w:rsid w:val="00887D88"/>
    <w:rsid w:val="00887DD4"/>
    <w:rsid w:val="00887F0A"/>
    <w:rsid w:val="00887FF2"/>
    <w:rsid w:val="00890081"/>
    <w:rsid w:val="0089073F"/>
    <w:rsid w:val="00890B29"/>
    <w:rsid w:val="00890F40"/>
    <w:rsid w:val="0089112D"/>
    <w:rsid w:val="00891183"/>
    <w:rsid w:val="0089119D"/>
    <w:rsid w:val="008911D4"/>
    <w:rsid w:val="0089121C"/>
    <w:rsid w:val="00891485"/>
    <w:rsid w:val="008914A0"/>
    <w:rsid w:val="00891797"/>
    <w:rsid w:val="00891919"/>
    <w:rsid w:val="008919AA"/>
    <w:rsid w:val="00891A04"/>
    <w:rsid w:val="00891B61"/>
    <w:rsid w:val="00891CF9"/>
    <w:rsid w:val="00891DC6"/>
    <w:rsid w:val="00891DCF"/>
    <w:rsid w:val="00891EB0"/>
    <w:rsid w:val="00891ED5"/>
    <w:rsid w:val="008920B3"/>
    <w:rsid w:val="008921F3"/>
    <w:rsid w:val="00892227"/>
    <w:rsid w:val="00892463"/>
    <w:rsid w:val="00892550"/>
    <w:rsid w:val="008926A9"/>
    <w:rsid w:val="00892B2F"/>
    <w:rsid w:val="00892BFC"/>
    <w:rsid w:val="00892F91"/>
    <w:rsid w:val="00892FBE"/>
    <w:rsid w:val="00892FDB"/>
    <w:rsid w:val="00893009"/>
    <w:rsid w:val="00893084"/>
    <w:rsid w:val="008930D9"/>
    <w:rsid w:val="008930F8"/>
    <w:rsid w:val="008931A4"/>
    <w:rsid w:val="00893430"/>
    <w:rsid w:val="008935A7"/>
    <w:rsid w:val="0089372C"/>
    <w:rsid w:val="00893806"/>
    <w:rsid w:val="00893DE7"/>
    <w:rsid w:val="00893E80"/>
    <w:rsid w:val="00893ED8"/>
    <w:rsid w:val="00893F90"/>
    <w:rsid w:val="00893FEC"/>
    <w:rsid w:val="008940F5"/>
    <w:rsid w:val="0089429E"/>
    <w:rsid w:val="00894922"/>
    <w:rsid w:val="00894951"/>
    <w:rsid w:val="00894A12"/>
    <w:rsid w:val="00894C23"/>
    <w:rsid w:val="00894DD7"/>
    <w:rsid w:val="00894F6F"/>
    <w:rsid w:val="008950F1"/>
    <w:rsid w:val="008951CA"/>
    <w:rsid w:val="008952E7"/>
    <w:rsid w:val="008952FB"/>
    <w:rsid w:val="008957BC"/>
    <w:rsid w:val="00895973"/>
    <w:rsid w:val="00895BA0"/>
    <w:rsid w:val="00895D8A"/>
    <w:rsid w:val="00895E30"/>
    <w:rsid w:val="00895E48"/>
    <w:rsid w:val="00895ECF"/>
    <w:rsid w:val="00895EE4"/>
    <w:rsid w:val="00895FB3"/>
    <w:rsid w:val="00896013"/>
    <w:rsid w:val="00896146"/>
    <w:rsid w:val="00896214"/>
    <w:rsid w:val="00896234"/>
    <w:rsid w:val="008962C1"/>
    <w:rsid w:val="008963B5"/>
    <w:rsid w:val="008964DF"/>
    <w:rsid w:val="008964E0"/>
    <w:rsid w:val="00896540"/>
    <w:rsid w:val="008966B6"/>
    <w:rsid w:val="00896728"/>
    <w:rsid w:val="00896946"/>
    <w:rsid w:val="00896972"/>
    <w:rsid w:val="0089699B"/>
    <w:rsid w:val="00896AA8"/>
    <w:rsid w:val="00896B6D"/>
    <w:rsid w:val="00896C85"/>
    <w:rsid w:val="00896EAF"/>
    <w:rsid w:val="00896F94"/>
    <w:rsid w:val="0089702A"/>
    <w:rsid w:val="00897324"/>
    <w:rsid w:val="00897343"/>
    <w:rsid w:val="008973A2"/>
    <w:rsid w:val="0089760A"/>
    <w:rsid w:val="008976CF"/>
    <w:rsid w:val="008977EB"/>
    <w:rsid w:val="008979C5"/>
    <w:rsid w:val="00897F5B"/>
    <w:rsid w:val="008A005E"/>
    <w:rsid w:val="008A0370"/>
    <w:rsid w:val="008A0427"/>
    <w:rsid w:val="008A0439"/>
    <w:rsid w:val="008A04D0"/>
    <w:rsid w:val="008A04F9"/>
    <w:rsid w:val="008A0802"/>
    <w:rsid w:val="008A08DA"/>
    <w:rsid w:val="008A0A2A"/>
    <w:rsid w:val="008A0E7D"/>
    <w:rsid w:val="008A0F7A"/>
    <w:rsid w:val="008A0FF0"/>
    <w:rsid w:val="008A0FFF"/>
    <w:rsid w:val="008A1030"/>
    <w:rsid w:val="008A151D"/>
    <w:rsid w:val="008A1776"/>
    <w:rsid w:val="008A18C8"/>
    <w:rsid w:val="008A1941"/>
    <w:rsid w:val="008A1975"/>
    <w:rsid w:val="008A1C1F"/>
    <w:rsid w:val="008A1D7F"/>
    <w:rsid w:val="008A1F7F"/>
    <w:rsid w:val="008A20B6"/>
    <w:rsid w:val="008A2182"/>
    <w:rsid w:val="008A231B"/>
    <w:rsid w:val="008A2420"/>
    <w:rsid w:val="008A250E"/>
    <w:rsid w:val="008A2535"/>
    <w:rsid w:val="008A25A6"/>
    <w:rsid w:val="008A25CE"/>
    <w:rsid w:val="008A28AF"/>
    <w:rsid w:val="008A2A5B"/>
    <w:rsid w:val="008A2C40"/>
    <w:rsid w:val="008A2CC7"/>
    <w:rsid w:val="008A2E0E"/>
    <w:rsid w:val="008A2F16"/>
    <w:rsid w:val="008A30BB"/>
    <w:rsid w:val="008A3139"/>
    <w:rsid w:val="008A318D"/>
    <w:rsid w:val="008A31F8"/>
    <w:rsid w:val="008A3407"/>
    <w:rsid w:val="008A34F7"/>
    <w:rsid w:val="008A3535"/>
    <w:rsid w:val="008A35C9"/>
    <w:rsid w:val="008A367F"/>
    <w:rsid w:val="008A36AD"/>
    <w:rsid w:val="008A38EE"/>
    <w:rsid w:val="008A393D"/>
    <w:rsid w:val="008A3A23"/>
    <w:rsid w:val="008A3AF8"/>
    <w:rsid w:val="008A3D45"/>
    <w:rsid w:val="008A3EC2"/>
    <w:rsid w:val="008A3ED9"/>
    <w:rsid w:val="008A413F"/>
    <w:rsid w:val="008A418A"/>
    <w:rsid w:val="008A41CF"/>
    <w:rsid w:val="008A4340"/>
    <w:rsid w:val="008A43B3"/>
    <w:rsid w:val="008A44A1"/>
    <w:rsid w:val="008A465D"/>
    <w:rsid w:val="008A46D8"/>
    <w:rsid w:val="008A47A6"/>
    <w:rsid w:val="008A4A01"/>
    <w:rsid w:val="008A4A0E"/>
    <w:rsid w:val="008A4B2C"/>
    <w:rsid w:val="008A4F66"/>
    <w:rsid w:val="008A523A"/>
    <w:rsid w:val="008A5333"/>
    <w:rsid w:val="008A5382"/>
    <w:rsid w:val="008A5511"/>
    <w:rsid w:val="008A5763"/>
    <w:rsid w:val="008A57A6"/>
    <w:rsid w:val="008A591B"/>
    <w:rsid w:val="008A5A92"/>
    <w:rsid w:val="008A5B1C"/>
    <w:rsid w:val="008A5CE9"/>
    <w:rsid w:val="008A5F47"/>
    <w:rsid w:val="008A5FE1"/>
    <w:rsid w:val="008A601F"/>
    <w:rsid w:val="008A615F"/>
    <w:rsid w:val="008A61B3"/>
    <w:rsid w:val="008A62DA"/>
    <w:rsid w:val="008A6591"/>
    <w:rsid w:val="008A662F"/>
    <w:rsid w:val="008A671D"/>
    <w:rsid w:val="008A67B7"/>
    <w:rsid w:val="008A690B"/>
    <w:rsid w:val="008A691F"/>
    <w:rsid w:val="008A6A29"/>
    <w:rsid w:val="008A6B61"/>
    <w:rsid w:val="008A6B67"/>
    <w:rsid w:val="008A6C39"/>
    <w:rsid w:val="008A6EAD"/>
    <w:rsid w:val="008A6F29"/>
    <w:rsid w:val="008A6F9A"/>
    <w:rsid w:val="008A70D0"/>
    <w:rsid w:val="008A74BB"/>
    <w:rsid w:val="008A78F4"/>
    <w:rsid w:val="008A792B"/>
    <w:rsid w:val="008A7935"/>
    <w:rsid w:val="008A795B"/>
    <w:rsid w:val="008A7AE2"/>
    <w:rsid w:val="008A7B0D"/>
    <w:rsid w:val="008A7B4E"/>
    <w:rsid w:val="008A7B6E"/>
    <w:rsid w:val="008A7BFE"/>
    <w:rsid w:val="008A7CCE"/>
    <w:rsid w:val="008A7E2D"/>
    <w:rsid w:val="008B0124"/>
    <w:rsid w:val="008B039E"/>
    <w:rsid w:val="008B03A4"/>
    <w:rsid w:val="008B03AA"/>
    <w:rsid w:val="008B0442"/>
    <w:rsid w:val="008B050B"/>
    <w:rsid w:val="008B05DF"/>
    <w:rsid w:val="008B0679"/>
    <w:rsid w:val="008B068E"/>
    <w:rsid w:val="008B078D"/>
    <w:rsid w:val="008B0857"/>
    <w:rsid w:val="008B08B9"/>
    <w:rsid w:val="008B0FF4"/>
    <w:rsid w:val="008B1073"/>
    <w:rsid w:val="008B12EB"/>
    <w:rsid w:val="008B1374"/>
    <w:rsid w:val="008B1411"/>
    <w:rsid w:val="008B14EA"/>
    <w:rsid w:val="008B1561"/>
    <w:rsid w:val="008B1646"/>
    <w:rsid w:val="008B1820"/>
    <w:rsid w:val="008B18F9"/>
    <w:rsid w:val="008B19D5"/>
    <w:rsid w:val="008B1B71"/>
    <w:rsid w:val="008B1C2C"/>
    <w:rsid w:val="008B1C71"/>
    <w:rsid w:val="008B228A"/>
    <w:rsid w:val="008B268F"/>
    <w:rsid w:val="008B27ED"/>
    <w:rsid w:val="008B2862"/>
    <w:rsid w:val="008B2926"/>
    <w:rsid w:val="008B29B1"/>
    <w:rsid w:val="008B29B6"/>
    <w:rsid w:val="008B2B44"/>
    <w:rsid w:val="008B2C2C"/>
    <w:rsid w:val="008B2EDA"/>
    <w:rsid w:val="008B302E"/>
    <w:rsid w:val="008B3050"/>
    <w:rsid w:val="008B312C"/>
    <w:rsid w:val="008B31BC"/>
    <w:rsid w:val="008B320F"/>
    <w:rsid w:val="008B3514"/>
    <w:rsid w:val="008B356A"/>
    <w:rsid w:val="008B362C"/>
    <w:rsid w:val="008B37E4"/>
    <w:rsid w:val="008B384A"/>
    <w:rsid w:val="008B38D1"/>
    <w:rsid w:val="008B3C08"/>
    <w:rsid w:val="008B3C36"/>
    <w:rsid w:val="008B3EC0"/>
    <w:rsid w:val="008B3F05"/>
    <w:rsid w:val="008B4016"/>
    <w:rsid w:val="008B4046"/>
    <w:rsid w:val="008B41EF"/>
    <w:rsid w:val="008B4223"/>
    <w:rsid w:val="008B42E9"/>
    <w:rsid w:val="008B42FD"/>
    <w:rsid w:val="008B4408"/>
    <w:rsid w:val="008B44DA"/>
    <w:rsid w:val="008B4596"/>
    <w:rsid w:val="008B45B0"/>
    <w:rsid w:val="008B4862"/>
    <w:rsid w:val="008B48E5"/>
    <w:rsid w:val="008B49F9"/>
    <w:rsid w:val="008B4AFA"/>
    <w:rsid w:val="008B4BF0"/>
    <w:rsid w:val="008B4D2C"/>
    <w:rsid w:val="008B4DD5"/>
    <w:rsid w:val="008B4F92"/>
    <w:rsid w:val="008B4FF6"/>
    <w:rsid w:val="008B50D5"/>
    <w:rsid w:val="008B51D3"/>
    <w:rsid w:val="008B54B7"/>
    <w:rsid w:val="008B59C4"/>
    <w:rsid w:val="008B59EA"/>
    <w:rsid w:val="008B5A5F"/>
    <w:rsid w:val="008B5D2B"/>
    <w:rsid w:val="008B5D3C"/>
    <w:rsid w:val="008B5E27"/>
    <w:rsid w:val="008B5E5A"/>
    <w:rsid w:val="008B5ED2"/>
    <w:rsid w:val="008B6123"/>
    <w:rsid w:val="008B617F"/>
    <w:rsid w:val="008B6218"/>
    <w:rsid w:val="008B6333"/>
    <w:rsid w:val="008B637B"/>
    <w:rsid w:val="008B638E"/>
    <w:rsid w:val="008B6443"/>
    <w:rsid w:val="008B648E"/>
    <w:rsid w:val="008B64C3"/>
    <w:rsid w:val="008B6522"/>
    <w:rsid w:val="008B6557"/>
    <w:rsid w:val="008B65D2"/>
    <w:rsid w:val="008B67D9"/>
    <w:rsid w:val="008B695F"/>
    <w:rsid w:val="008B69EB"/>
    <w:rsid w:val="008B6A05"/>
    <w:rsid w:val="008B6D29"/>
    <w:rsid w:val="008B6D9A"/>
    <w:rsid w:val="008B6EB1"/>
    <w:rsid w:val="008B7013"/>
    <w:rsid w:val="008B7176"/>
    <w:rsid w:val="008B7298"/>
    <w:rsid w:val="008B72A7"/>
    <w:rsid w:val="008B75C7"/>
    <w:rsid w:val="008B7689"/>
    <w:rsid w:val="008B76DB"/>
    <w:rsid w:val="008B7748"/>
    <w:rsid w:val="008B77D3"/>
    <w:rsid w:val="008B7802"/>
    <w:rsid w:val="008B7C54"/>
    <w:rsid w:val="008B7E3F"/>
    <w:rsid w:val="008B7FCC"/>
    <w:rsid w:val="008C008F"/>
    <w:rsid w:val="008C02AB"/>
    <w:rsid w:val="008C02EA"/>
    <w:rsid w:val="008C0583"/>
    <w:rsid w:val="008C0594"/>
    <w:rsid w:val="008C08F9"/>
    <w:rsid w:val="008C09AA"/>
    <w:rsid w:val="008C0AC1"/>
    <w:rsid w:val="008C0AE7"/>
    <w:rsid w:val="008C0B5D"/>
    <w:rsid w:val="008C0C4E"/>
    <w:rsid w:val="008C0D16"/>
    <w:rsid w:val="008C0D54"/>
    <w:rsid w:val="008C10EE"/>
    <w:rsid w:val="008C11C2"/>
    <w:rsid w:val="008C11E4"/>
    <w:rsid w:val="008C14A3"/>
    <w:rsid w:val="008C1588"/>
    <w:rsid w:val="008C15CD"/>
    <w:rsid w:val="008C1661"/>
    <w:rsid w:val="008C16B6"/>
    <w:rsid w:val="008C18B7"/>
    <w:rsid w:val="008C18FB"/>
    <w:rsid w:val="008C1A31"/>
    <w:rsid w:val="008C1D66"/>
    <w:rsid w:val="008C1DBE"/>
    <w:rsid w:val="008C1DFF"/>
    <w:rsid w:val="008C1E94"/>
    <w:rsid w:val="008C1F03"/>
    <w:rsid w:val="008C200B"/>
    <w:rsid w:val="008C2090"/>
    <w:rsid w:val="008C225E"/>
    <w:rsid w:val="008C226F"/>
    <w:rsid w:val="008C2382"/>
    <w:rsid w:val="008C23FF"/>
    <w:rsid w:val="008C2477"/>
    <w:rsid w:val="008C24D8"/>
    <w:rsid w:val="008C2502"/>
    <w:rsid w:val="008C26B5"/>
    <w:rsid w:val="008C27D0"/>
    <w:rsid w:val="008C28AD"/>
    <w:rsid w:val="008C2AD8"/>
    <w:rsid w:val="008C2BFD"/>
    <w:rsid w:val="008C3057"/>
    <w:rsid w:val="008C306E"/>
    <w:rsid w:val="008C3072"/>
    <w:rsid w:val="008C3108"/>
    <w:rsid w:val="008C312D"/>
    <w:rsid w:val="008C3134"/>
    <w:rsid w:val="008C3195"/>
    <w:rsid w:val="008C32C0"/>
    <w:rsid w:val="008C32E4"/>
    <w:rsid w:val="008C3481"/>
    <w:rsid w:val="008C3517"/>
    <w:rsid w:val="008C3569"/>
    <w:rsid w:val="008C35E5"/>
    <w:rsid w:val="008C35FD"/>
    <w:rsid w:val="008C376F"/>
    <w:rsid w:val="008C38AE"/>
    <w:rsid w:val="008C3901"/>
    <w:rsid w:val="008C3FDB"/>
    <w:rsid w:val="008C3FF1"/>
    <w:rsid w:val="008C405B"/>
    <w:rsid w:val="008C4099"/>
    <w:rsid w:val="008C40EE"/>
    <w:rsid w:val="008C416B"/>
    <w:rsid w:val="008C4217"/>
    <w:rsid w:val="008C443F"/>
    <w:rsid w:val="008C46AE"/>
    <w:rsid w:val="008C49B5"/>
    <w:rsid w:val="008C49D4"/>
    <w:rsid w:val="008C4A71"/>
    <w:rsid w:val="008C4AB9"/>
    <w:rsid w:val="008C4CB5"/>
    <w:rsid w:val="008C516A"/>
    <w:rsid w:val="008C5248"/>
    <w:rsid w:val="008C529F"/>
    <w:rsid w:val="008C552E"/>
    <w:rsid w:val="008C5628"/>
    <w:rsid w:val="008C56C7"/>
    <w:rsid w:val="008C59B2"/>
    <w:rsid w:val="008C5B3C"/>
    <w:rsid w:val="008C5B4F"/>
    <w:rsid w:val="008C5B6F"/>
    <w:rsid w:val="008C5C7D"/>
    <w:rsid w:val="008C5D27"/>
    <w:rsid w:val="008C5DE5"/>
    <w:rsid w:val="008C5DF0"/>
    <w:rsid w:val="008C6267"/>
    <w:rsid w:val="008C63F0"/>
    <w:rsid w:val="008C6760"/>
    <w:rsid w:val="008C6769"/>
    <w:rsid w:val="008C6948"/>
    <w:rsid w:val="008C69E3"/>
    <w:rsid w:val="008C6A05"/>
    <w:rsid w:val="008C6A6A"/>
    <w:rsid w:val="008C6AE9"/>
    <w:rsid w:val="008C6B32"/>
    <w:rsid w:val="008C6C1A"/>
    <w:rsid w:val="008C6DD0"/>
    <w:rsid w:val="008C6F45"/>
    <w:rsid w:val="008C6FED"/>
    <w:rsid w:val="008C7377"/>
    <w:rsid w:val="008C738B"/>
    <w:rsid w:val="008C73C2"/>
    <w:rsid w:val="008C7569"/>
    <w:rsid w:val="008C75F9"/>
    <w:rsid w:val="008C7682"/>
    <w:rsid w:val="008C76BF"/>
    <w:rsid w:val="008C78A4"/>
    <w:rsid w:val="008C7935"/>
    <w:rsid w:val="008C7E54"/>
    <w:rsid w:val="008C7E5A"/>
    <w:rsid w:val="008C7F50"/>
    <w:rsid w:val="008D03DD"/>
    <w:rsid w:val="008D043C"/>
    <w:rsid w:val="008D044D"/>
    <w:rsid w:val="008D0694"/>
    <w:rsid w:val="008D06A3"/>
    <w:rsid w:val="008D0840"/>
    <w:rsid w:val="008D08F6"/>
    <w:rsid w:val="008D0B5B"/>
    <w:rsid w:val="008D0B90"/>
    <w:rsid w:val="008D0D26"/>
    <w:rsid w:val="008D0D85"/>
    <w:rsid w:val="008D0EAB"/>
    <w:rsid w:val="008D0EC9"/>
    <w:rsid w:val="008D0ECC"/>
    <w:rsid w:val="008D1120"/>
    <w:rsid w:val="008D126C"/>
    <w:rsid w:val="008D1328"/>
    <w:rsid w:val="008D13E1"/>
    <w:rsid w:val="008D1431"/>
    <w:rsid w:val="008D1532"/>
    <w:rsid w:val="008D1577"/>
    <w:rsid w:val="008D1667"/>
    <w:rsid w:val="008D1725"/>
    <w:rsid w:val="008D17CB"/>
    <w:rsid w:val="008D1871"/>
    <w:rsid w:val="008D1A98"/>
    <w:rsid w:val="008D1C5F"/>
    <w:rsid w:val="008D1C60"/>
    <w:rsid w:val="008D1DE1"/>
    <w:rsid w:val="008D1FBB"/>
    <w:rsid w:val="008D2124"/>
    <w:rsid w:val="008D22C1"/>
    <w:rsid w:val="008D24A8"/>
    <w:rsid w:val="008D2720"/>
    <w:rsid w:val="008D2752"/>
    <w:rsid w:val="008D28FE"/>
    <w:rsid w:val="008D2A97"/>
    <w:rsid w:val="008D2B73"/>
    <w:rsid w:val="008D2D27"/>
    <w:rsid w:val="008D2D6F"/>
    <w:rsid w:val="008D2EF0"/>
    <w:rsid w:val="008D31F7"/>
    <w:rsid w:val="008D3276"/>
    <w:rsid w:val="008D342E"/>
    <w:rsid w:val="008D344E"/>
    <w:rsid w:val="008D34D1"/>
    <w:rsid w:val="008D351D"/>
    <w:rsid w:val="008D365F"/>
    <w:rsid w:val="008D3709"/>
    <w:rsid w:val="008D37B2"/>
    <w:rsid w:val="008D37C5"/>
    <w:rsid w:val="008D37FE"/>
    <w:rsid w:val="008D381B"/>
    <w:rsid w:val="008D3836"/>
    <w:rsid w:val="008D38E2"/>
    <w:rsid w:val="008D3984"/>
    <w:rsid w:val="008D39D4"/>
    <w:rsid w:val="008D3C7B"/>
    <w:rsid w:val="008D3D76"/>
    <w:rsid w:val="008D40C3"/>
    <w:rsid w:val="008D40F6"/>
    <w:rsid w:val="008D4130"/>
    <w:rsid w:val="008D4672"/>
    <w:rsid w:val="008D4686"/>
    <w:rsid w:val="008D483D"/>
    <w:rsid w:val="008D4953"/>
    <w:rsid w:val="008D49FF"/>
    <w:rsid w:val="008D4B4A"/>
    <w:rsid w:val="008D4B72"/>
    <w:rsid w:val="008D4C8A"/>
    <w:rsid w:val="008D4DE8"/>
    <w:rsid w:val="008D4EA5"/>
    <w:rsid w:val="008D5008"/>
    <w:rsid w:val="008D5203"/>
    <w:rsid w:val="008D525E"/>
    <w:rsid w:val="008D5333"/>
    <w:rsid w:val="008D54C1"/>
    <w:rsid w:val="008D55C2"/>
    <w:rsid w:val="008D5688"/>
    <w:rsid w:val="008D569F"/>
    <w:rsid w:val="008D56EB"/>
    <w:rsid w:val="008D5851"/>
    <w:rsid w:val="008D5A6D"/>
    <w:rsid w:val="008D5C4E"/>
    <w:rsid w:val="008D5CEE"/>
    <w:rsid w:val="008D5D1B"/>
    <w:rsid w:val="008D5D59"/>
    <w:rsid w:val="008D5DC7"/>
    <w:rsid w:val="008D5DF9"/>
    <w:rsid w:val="008D5E0A"/>
    <w:rsid w:val="008D5E6E"/>
    <w:rsid w:val="008D5E8E"/>
    <w:rsid w:val="008D5EAF"/>
    <w:rsid w:val="008D5EEA"/>
    <w:rsid w:val="008D6199"/>
    <w:rsid w:val="008D61F9"/>
    <w:rsid w:val="008D629B"/>
    <w:rsid w:val="008D656D"/>
    <w:rsid w:val="008D657E"/>
    <w:rsid w:val="008D65C9"/>
    <w:rsid w:val="008D66B0"/>
    <w:rsid w:val="008D66BE"/>
    <w:rsid w:val="008D6703"/>
    <w:rsid w:val="008D6852"/>
    <w:rsid w:val="008D6864"/>
    <w:rsid w:val="008D6886"/>
    <w:rsid w:val="008D689F"/>
    <w:rsid w:val="008D68B8"/>
    <w:rsid w:val="008D69FE"/>
    <w:rsid w:val="008D6AC5"/>
    <w:rsid w:val="008D6AD0"/>
    <w:rsid w:val="008D6BF2"/>
    <w:rsid w:val="008D6C0D"/>
    <w:rsid w:val="008D6DF8"/>
    <w:rsid w:val="008D6E60"/>
    <w:rsid w:val="008D6F46"/>
    <w:rsid w:val="008D6FE2"/>
    <w:rsid w:val="008D7127"/>
    <w:rsid w:val="008D73BD"/>
    <w:rsid w:val="008D7487"/>
    <w:rsid w:val="008D74AF"/>
    <w:rsid w:val="008D75ED"/>
    <w:rsid w:val="008D77B6"/>
    <w:rsid w:val="008D7893"/>
    <w:rsid w:val="008D7899"/>
    <w:rsid w:val="008D7919"/>
    <w:rsid w:val="008D7A22"/>
    <w:rsid w:val="008D7A61"/>
    <w:rsid w:val="008D7DBA"/>
    <w:rsid w:val="008E017E"/>
    <w:rsid w:val="008E0463"/>
    <w:rsid w:val="008E098E"/>
    <w:rsid w:val="008E09FF"/>
    <w:rsid w:val="008E0A24"/>
    <w:rsid w:val="008E0ACF"/>
    <w:rsid w:val="008E0D77"/>
    <w:rsid w:val="008E0F4C"/>
    <w:rsid w:val="008E1124"/>
    <w:rsid w:val="008E115D"/>
    <w:rsid w:val="008E15B2"/>
    <w:rsid w:val="008E166D"/>
    <w:rsid w:val="008E1704"/>
    <w:rsid w:val="008E1903"/>
    <w:rsid w:val="008E1AEA"/>
    <w:rsid w:val="008E1B05"/>
    <w:rsid w:val="008E1C00"/>
    <w:rsid w:val="008E1CB0"/>
    <w:rsid w:val="008E1E4D"/>
    <w:rsid w:val="008E1E75"/>
    <w:rsid w:val="008E1FD2"/>
    <w:rsid w:val="008E2070"/>
    <w:rsid w:val="008E219E"/>
    <w:rsid w:val="008E2233"/>
    <w:rsid w:val="008E229C"/>
    <w:rsid w:val="008E2541"/>
    <w:rsid w:val="008E254C"/>
    <w:rsid w:val="008E2659"/>
    <w:rsid w:val="008E2668"/>
    <w:rsid w:val="008E26B2"/>
    <w:rsid w:val="008E2918"/>
    <w:rsid w:val="008E292F"/>
    <w:rsid w:val="008E2992"/>
    <w:rsid w:val="008E2AA2"/>
    <w:rsid w:val="008E2AAF"/>
    <w:rsid w:val="008E2B0D"/>
    <w:rsid w:val="008E2EE2"/>
    <w:rsid w:val="008E2EE8"/>
    <w:rsid w:val="008E30B9"/>
    <w:rsid w:val="008E310A"/>
    <w:rsid w:val="008E3342"/>
    <w:rsid w:val="008E348E"/>
    <w:rsid w:val="008E35B0"/>
    <w:rsid w:val="008E381F"/>
    <w:rsid w:val="008E3821"/>
    <w:rsid w:val="008E38C2"/>
    <w:rsid w:val="008E3C0A"/>
    <w:rsid w:val="008E3C73"/>
    <w:rsid w:val="008E3DBA"/>
    <w:rsid w:val="008E3F4A"/>
    <w:rsid w:val="008E3F93"/>
    <w:rsid w:val="008E3FB2"/>
    <w:rsid w:val="008E3FF9"/>
    <w:rsid w:val="008E40E9"/>
    <w:rsid w:val="008E413C"/>
    <w:rsid w:val="008E416E"/>
    <w:rsid w:val="008E41E6"/>
    <w:rsid w:val="008E425B"/>
    <w:rsid w:val="008E42DA"/>
    <w:rsid w:val="008E46C1"/>
    <w:rsid w:val="008E4734"/>
    <w:rsid w:val="008E47E1"/>
    <w:rsid w:val="008E4808"/>
    <w:rsid w:val="008E4883"/>
    <w:rsid w:val="008E4B70"/>
    <w:rsid w:val="008E4C08"/>
    <w:rsid w:val="008E4CAE"/>
    <w:rsid w:val="008E4CF6"/>
    <w:rsid w:val="008E4E0F"/>
    <w:rsid w:val="008E4E35"/>
    <w:rsid w:val="008E4F35"/>
    <w:rsid w:val="008E4F38"/>
    <w:rsid w:val="008E5056"/>
    <w:rsid w:val="008E519B"/>
    <w:rsid w:val="008E52A1"/>
    <w:rsid w:val="008E52F9"/>
    <w:rsid w:val="008E5472"/>
    <w:rsid w:val="008E5577"/>
    <w:rsid w:val="008E557A"/>
    <w:rsid w:val="008E5587"/>
    <w:rsid w:val="008E564E"/>
    <w:rsid w:val="008E567A"/>
    <w:rsid w:val="008E56B4"/>
    <w:rsid w:val="008E573C"/>
    <w:rsid w:val="008E5A35"/>
    <w:rsid w:val="008E5BED"/>
    <w:rsid w:val="008E5C0F"/>
    <w:rsid w:val="008E5CC8"/>
    <w:rsid w:val="008E5CDA"/>
    <w:rsid w:val="008E5E55"/>
    <w:rsid w:val="008E5F84"/>
    <w:rsid w:val="008E5FAC"/>
    <w:rsid w:val="008E60B9"/>
    <w:rsid w:val="008E65EA"/>
    <w:rsid w:val="008E675B"/>
    <w:rsid w:val="008E6884"/>
    <w:rsid w:val="008E6904"/>
    <w:rsid w:val="008E6926"/>
    <w:rsid w:val="008E6AC0"/>
    <w:rsid w:val="008E6D12"/>
    <w:rsid w:val="008E6D45"/>
    <w:rsid w:val="008E6D6C"/>
    <w:rsid w:val="008E6E7C"/>
    <w:rsid w:val="008E7024"/>
    <w:rsid w:val="008E719E"/>
    <w:rsid w:val="008E75C9"/>
    <w:rsid w:val="008E76DE"/>
    <w:rsid w:val="008E76DF"/>
    <w:rsid w:val="008E782F"/>
    <w:rsid w:val="008E7868"/>
    <w:rsid w:val="008E7878"/>
    <w:rsid w:val="008E7ADB"/>
    <w:rsid w:val="008E7BA1"/>
    <w:rsid w:val="008E7BA5"/>
    <w:rsid w:val="008E7C1A"/>
    <w:rsid w:val="008E7C38"/>
    <w:rsid w:val="008E7D27"/>
    <w:rsid w:val="008E7F20"/>
    <w:rsid w:val="008E7F3F"/>
    <w:rsid w:val="008F001B"/>
    <w:rsid w:val="008F0026"/>
    <w:rsid w:val="008F01A3"/>
    <w:rsid w:val="008F086A"/>
    <w:rsid w:val="008F0BAF"/>
    <w:rsid w:val="008F130D"/>
    <w:rsid w:val="008F14FF"/>
    <w:rsid w:val="008F1610"/>
    <w:rsid w:val="008F1691"/>
    <w:rsid w:val="008F16A6"/>
    <w:rsid w:val="008F1974"/>
    <w:rsid w:val="008F19FE"/>
    <w:rsid w:val="008F1B12"/>
    <w:rsid w:val="008F1D3C"/>
    <w:rsid w:val="008F1E6F"/>
    <w:rsid w:val="008F2063"/>
    <w:rsid w:val="008F207C"/>
    <w:rsid w:val="008F21A7"/>
    <w:rsid w:val="008F2256"/>
    <w:rsid w:val="008F2284"/>
    <w:rsid w:val="008F228F"/>
    <w:rsid w:val="008F2311"/>
    <w:rsid w:val="008F2348"/>
    <w:rsid w:val="008F24CE"/>
    <w:rsid w:val="008F25AE"/>
    <w:rsid w:val="008F27D3"/>
    <w:rsid w:val="008F27D7"/>
    <w:rsid w:val="008F286A"/>
    <w:rsid w:val="008F28BB"/>
    <w:rsid w:val="008F28E9"/>
    <w:rsid w:val="008F2956"/>
    <w:rsid w:val="008F2984"/>
    <w:rsid w:val="008F2A65"/>
    <w:rsid w:val="008F2B17"/>
    <w:rsid w:val="008F2C25"/>
    <w:rsid w:val="008F2D8E"/>
    <w:rsid w:val="008F2E81"/>
    <w:rsid w:val="008F2FA9"/>
    <w:rsid w:val="008F30E7"/>
    <w:rsid w:val="008F3120"/>
    <w:rsid w:val="008F3245"/>
    <w:rsid w:val="008F36B7"/>
    <w:rsid w:val="008F3810"/>
    <w:rsid w:val="008F3898"/>
    <w:rsid w:val="008F393B"/>
    <w:rsid w:val="008F3A21"/>
    <w:rsid w:val="008F3D42"/>
    <w:rsid w:val="008F3FFA"/>
    <w:rsid w:val="008F40B5"/>
    <w:rsid w:val="008F40FD"/>
    <w:rsid w:val="008F4367"/>
    <w:rsid w:val="008F443B"/>
    <w:rsid w:val="008F44B8"/>
    <w:rsid w:val="008F47F7"/>
    <w:rsid w:val="008F4B96"/>
    <w:rsid w:val="008F4C56"/>
    <w:rsid w:val="008F4C8A"/>
    <w:rsid w:val="008F4D36"/>
    <w:rsid w:val="008F4FA8"/>
    <w:rsid w:val="008F522B"/>
    <w:rsid w:val="008F5374"/>
    <w:rsid w:val="008F54EE"/>
    <w:rsid w:val="008F55AF"/>
    <w:rsid w:val="008F57C9"/>
    <w:rsid w:val="008F5A18"/>
    <w:rsid w:val="008F5BC5"/>
    <w:rsid w:val="008F5C0F"/>
    <w:rsid w:val="008F5C70"/>
    <w:rsid w:val="008F5F35"/>
    <w:rsid w:val="008F6154"/>
    <w:rsid w:val="008F62D1"/>
    <w:rsid w:val="008F6720"/>
    <w:rsid w:val="008F68B4"/>
    <w:rsid w:val="008F6ABA"/>
    <w:rsid w:val="008F6B55"/>
    <w:rsid w:val="008F6CDD"/>
    <w:rsid w:val="008F6EE8"/>
    <w:rsid w:val="008F6F13"/>
    <w:rsid w:val="008F6F47"/>
    <w:rsid w:val="008F6FB8"/>
    <w:rsid w:val="008F70CF"/>
    <w:rsid w:val="008F718D"/>
    <w:rsid w:val="008F72D6"/>
    <w:rsid w:val="008F731F"/>
    <w:rsid w:val="008F74BB"/>
    <w:rsid w:val="008F7530"/>
    <w:rsid w:val="008F7569"/>
    <w:rsid w:val="008F75D7"/>
    <w:rsid w:val="008F7796"/>
    <w:rsid w:val="008F77D8"/>
    <w:rsid w:val="008F7887"/>
    <w:rsid w:val="008F7998"/>
    <w:rsid w:val="008F7B7C"/>
    <w:rsid w:val="008F7D5C"/>
    <w:rsid w:val="00900148"/>
    <w:rsid w:val="009001D7"/>
    <w:rsid w:val="009002C1"/>
    <w:rsid w:val="00900476"/>
    <w:rsid w:val="009004D6"/>
    <w:rsid w:val="00900598"/>
    <w:rsid w:val="009008B2"/>
    <w:rsid w:val="00900989"/>
    <w:rsid w:val="00900BBD"/>
    <w:rsid w:val="00900BC7"/>
    <w:rsid w:val="00900E3C"/>
    <w:rsid w:val="00901033"/>
    <w:rsid w:val="00901131"/>
    <w:rsid w:val="0090120B"/>
    <w:rsid w:val="009012C1"/>
    <w:rsid w:val="0090148B"/>
    <w:rsid w:val="009014D7"/>
    <w:rsid w:val="0090166D"/>
    <w:rsid w:val="00901790"/>
    <w:rsid w:val="00901913"/>
    <w:rsid w:val="00901B4C"/>
    <w:rsid w:val="00901BDC"/>
    <w:rsid w:val="00901C5D"/>
    <w:rsid w:val="00901DE3"/>
    <w:rsid w:val="00901DE5"/>
    <w:rsid w:val="00901E28"/>
    <w:rsid w:val="00901EBF"/>
    <w:rsid w:val="00902011"/>
    <w:rsid w:val="009020D2"/>
    <w:rsid w:val="0090223C"/>
    <w:rsid w:val="009023FA"/>
    <w:rsid w:val="00902481"/>
    <w:rsid w:val="0090253E"/>
    <w:rsid w:val="00902585"/>
    <w:rsid w:val="00902906"/>
    <w:rsid w:val="0090293C"/>
    <w:rsid w:val="0090296D"/>
    <w:rsid w:val="00902989"/>
    <w:rsid w:val="00902A05"/>
    <w:rsid w:val="00902B0F"/>
    <w:rsid w:val="00902B81"/>
    <w:rsid w:val="00902C2E"/>
    <w:rsid w:val="00902C85"/>
    <w:rsid w:val="00903043"/>
    <w:rsid w:val="009030D7"/>
    <w:rsid w:val="009030FA"/>
    <w:rsid w:val="009032C5"/>
    <w:rsid w:val="0090331F"/>
    <w:rsid w:val="0090339B"/>
    <w:rsid w:val="00903A71"/>
    <w:rsid w:val="00903ACA"/>
    <w:rsid w:val="00903CFE"/>
    <w:rsid w:val="00903E41"/>
    <w:rsid w:val="00903E74"/>
    <w:rsid w:val="00903F1E"/>
    <w:rsid w:val="00903F41"/>
    <w:rsid w:val="00903FAB"/>
    <w:rsid w:val="0090407B"/>
    <w:rsid w:val="0090479C"/>
    <w:rsid w:val="0090496A"/>
    <w:rsid w:val="00904AED"/>
    <w:rsid w:val="00904BB0"/>
    <w:rsid w:val="00904CCF"/>
    <w:rsid w:val="00904CFF"/>
    <w:rsid w:val="00904E7A"/>
    <w:rsid w:val="00905292"/>
    <w:rsid w:val="009053FF"/>
    <w:rsid w:val="00905450"/>
    <w:rsid w:val="0090551C"/>
    <w:rsid w:val="00905598"/>
    <w:rsid w:val="009057AE"/>
    <w:rsid w:val="009057CC"/>
    <w:rsid w:val="00905969"/>
    <w:rsid w:val="009059EA"/>
    <w:rsid w:val="00905AA2"/>
    <w:rsid w:val="00905AD8"/>
    <w:rsid w:val="00905B7C"/>
    <w:rsid w:val="00905C1C"/>
    <w:rsid w:val="00905DDD"/>
    <w:rsid w:val="00905E0C"/>
    <w:rsid w:val="00905E2E"/>
    <w:rsid w:val="00905E9A"/>
    <w:rsid w:val="00905EC2"/>
    <w:rsid w:val="00905F63"/>
    <w:rsid w:val="00905F84"/>
    <w:rsid w:val="00905FBD"/>
    <w:rsid w:val="00906123"/>
    <w:rsid w:val="00906127"/>
    <w:rsid w:val="009063CF"/>
    <w:rsid w:val="009066EC"/>
    <w:rsid w:val="00906771"/>
    <w:rsid w:val="009068B9"/>
    <w:rsid w:val="009068F1"/>
    <w:rsid w:val="0090697B"/>
    <w:rsid w:val="009069B6"/>
    <w:rsid w:val="00906A7E"/>
    <w:rsid w:val="00906B66"/>
    <w:rsid w:val="00906C6E"/>
    <w:rsid w:val="00906D8E"/>
    <w:rsid w:val="00906E4A"/>
    <w:rsid w:val="00906F3B"/>
    <w:rsid w:val="0090706C"/>
    <w:rsid w:val="00907119"/>
    <w:rsid w:val="009074F3"/>
    <w:rsid w:val="00907506"/>
    <w:rsid w:val="00907693"/>
    <w:rsid w:val="009076E1"/>
    <w:rsid w:val="0090776A"/>
    <w:rsid w:val="009077EB"/>
    <w:rsid w:val="00907954"/>
    <w:rsid w:val="009079CA"/>
    <w:rsid w:val="00907A67"/>
    <w:rsid w:val="00907EA3"/>
    <w:rsid w:val="00907F8B"/>
    <w:rsid w:val="00907F9E"/>
    <w:rsid w:val="00907FC1"/>
    <w:rsid w:val="009100E0"/>
    <w:rsid w:val="009103FC"/>
    <w:rsid w:val="009104F9"/>
    <w:rsid w:val="00910764"/>
    <w:rsid w:val="00910789"/>
    <w:rsid w:val="009107CF"/>
    <w:rsid w:val="009109AE"/>
    <w:rsid w:val="00910A77"/>
    <w:rsid w:val="00910E00"/>
    <w:rsid w:val="00910E2D"/>
    <w:rsid w:val="00910E57"/>
    <w:rsid w:val="00911305"/>
    <w:rsid w:val="00911658"/>
    <w:rsid w:val="00911C82"/>
    <w:rsid w:val="00911D2D"/>
    <w:rsid w:val="00911E68"/>
    <w:rsid w:val="0091210E"/>
    <w:rsid w:val="009121E0"/>
    <w:rsid w:val="00912331"/>
    <w:rsid w:val="0091233C"/>
    <w:rsid w:val="00912357"/>
    <w:rsid w:val="00912372"/>
    <w:rsid w:val="00912423"/>
    <w:rsid w:val="00912467"/>
    <w:rsid w:val="009124AC"/>
    <w:rsid w:val="009125AC"/>
    <w:rsid w:val="009125F9"/>
    <w:rsid w:val="0091264F"/>
    <w:rsid w:val="00912AA6"/>
    <w:rsid w:val="00912C34"/>
    <w:rsid w:val="00912D03"/>
    <w:rsid w:val="00912DC4"/>
    <w:rsid w:val="00912DC8"/>
    <w:rsid w:val="0091318F"/>
    <w:rsid w:val="009131A3"/>
    <w:rsid w:val="00913509"/>
    <w:rsid w:val="00913710"/>
    <w:rsid w:val="009138C3"/>
    <w:rsid w:val="009138D4"/>
    <w:rsid w:val="0091397F"/>
    <w:rsid w:val="00913AFC"/>
    <w:rsid w:val="00913CC0"/>
    <w:rsid w:val="00913DED"/>
    <w:rsid w:val="00913E60"/>
    <w:rsid w:val="00914024"/>
    <w:rsid w:val="0091413B"/>
    <w:rsid w:val="009142E2"/>
    <w:rsid w:val="009142E4"/>
    <w:rsid w:val="009143BF"/>
    <w:rsid w:val="0091450C"/>
    <w:rsid w:val="009145EE"/>
    <w:rsid w:val="00914666"/>
    <w:rsid w:val="009146C8"/>
    <w:rsid w:val="00914828"/>
    <w:rsid w:val="00914895"/>
    <w:rsid w:val="009148D9"/>
    <w:rsid w:val="00914DF5"/>
    <w:rsid w:val="00914E65"/>
    <w:rsid w:val="00914FD5"/>
    <w:rsid w:val="00915012"/>
    <w:rsid w:val="00915022"/>
    <w:rsid w:val="009154B0"/>
    <w:rsid w:val="009154C2"/>
    <w:rsid w:val="0091550D"/>
    <w:rsid w:val="0091569D"/>
    <w:rsid w:val="009157D8"/>
    <w:rsid w:val="00915BE2"/>
    <w:rsid w:val="00915C31"/>
    <w:rsid w:val="00915DAF"/>
    <w:rsid w:val="00915ED7"/>
    <w:rsid w:val="00915EF4"/>
    <w:rsid w:val="00916257"/>
    <w:rsid w:val="00916340"/>
    <w:rsid w:val="00916398"/>
    <w:rsid w:val="00916495"/>
    <w:rsid w:val="009166B4"/>
    <w:rsid w:val="00916898"/>
    <w:rsid w:val="00916899"/>
    <w:rsid w:val="009168F2"/>
    <w:rsid w:val="00916938"/>
    <w:rsid w:val="0091699B"/>
    <w:rsid w:val="009169C5"/>
    <w:rsid w:val="00916BEB"/>
    <w:rsid w:val="00916C39"/>
    <w:rsid w:val="00916C48"/>
    <w:rsid w:val="00916CDE"/>
    <w:rsid w:val="00916DCE"/>
    <w:rsid w:val="00916DFE"/>
    <w:rsid w:val="00916E76"/>
    <w:rsid w:val="009172C7"/>
    <w:rsid w:val="0091740E"/>
    <w:rsid w:val="00917762"/>
    <w:rsid w:val="00917836"/>
    <w:rsid w:val="0091788B"/>
    <w:rsid w:val="00917907"/>
    <w:rsid w:val="00917949"/>
    <w:rsid w:val="00917B53"/>
    <w:rsid w:val="00917C1F"/>
    <w:rsid w:val="00917DDD"/>
    <w:rsid w:val="00917E4B"/>
    <w:rsid w:val="00917E73"/>
    <w:rsid w:val="00917ED3"/>
    <w:rsid w:val="00917F37"/>
    <w:rsid w:val="00917FEA"/>
    <w:rsid w:val="00920279"/>
    <w:rsid w:val="00920715"/>
    <w:rsid w:val="00920767"/>
    <w:rsid w:val="009207C9"/>
    <w:rsid w:val="0092087B"/>
    <w:rsid w:val="00920891"/>
    <w:rsid w:val="009208F7"/>
    <w:rsid w:val="00920AF2"/>
    <w:rsid w:val="00920B95"/>
    <w:rsid w:val="00920E32"/>
    <w:rsid w:val="00920EE8"/>
    <w:rsid w:val="0092101C"/>
    <w:rsid w:val="00921089"/>
    <w:rsid w:val="009210FF"/>
    <w:rsid w:val="00921125"/>
    <w:rsid w:val="00921406"/>
    <w:rsid w:val="00921455"/>
    <w:rsid w:val="00921531"/>
    <w:rsid w:val="0092154F"/>
    <w:rsid w:val="009215DA"/>
    <w:rsid w:val="00921860"/>
    <w:rsid w:val="009218A4"/>
    <w:rsid w:val="009218D3"/>
    <w:rsid w:val="00921955"/>
    <w:rsid w:val="00921A2F"/>
    <w:rsid w:val="00921C1A"/>
    <w:rsid w:val="00921C5A"/>
    <w:rsid w:val="00921CBE"/>
    <w:rsid w:val="00921CC5"/>
    <w:rsid w:val="00921F4C"/>
    <w:rsid w:val="00921FC5"/>
    <w:rsid w:val="009221F0"/>
    <w:rsid w:val="009222A7"/>
    <w:rsid w:val="009223A6"/>
    <w:rsid w:val="009223DE"/>
    <w:rsid w:val="0092267F"/>
    <w:rsid w:val="0092273B"/>
    <w:rsid w:val="0092291D"/>
    <w:rsid w:val="009229B5"/>
    <w:rsid w:val="00922ABE"/>
    <w:rsid w:val="00922AD4"/>
    <w:rsid w:val="00922BE7"/>
    <w:rsid w:val="00922E12"/>
    <w:rsid w:val="00922F40"/>
    <w:rsid w:val="00923115"/>
    <w:rsid w:val="00923260"/>
    <w:rsid w:val="009232C3"/>
    <w:rsid w:val="0092335C"/>
    <w:rsid w:val="009233B9"/>
    <w:rsid w:val="009234F4"/>
    <w:rsid w:val="00923661"/>
    <w:rsid w:val="009236B1"/>
    <w:rsid w:val="00923850"/>
    <w:rsid w:val="00923913"/>
    <w:rsid w:val="00923941"/>
    <w:rsid w:val="009239FA"/>
    <w:rsid w:val="00923A97"/>
    <w:rsid w:val="00923AF6"/>
    <w:rsid w:val="00923C34"/>
    <w:rsid w:val="0092403A"/>
    <w:rsid w:val="009241DE"/>
    <w:rsid w:val="00924396"/>
    <w:rsid w:val="0092451B"/>
    <w:rsid w:val="009246E7"/>
    <w:rsid w:val="0092474D"/>
    <w:rsid w:val="009247EC"/>
    <w:rsid w:val="009247FA"/>
    <w:rsid w:val="009248B1"/>
    <w:rsid w:val="00924A1F"/>
    <w:rsid w:val="00924A3C"/>
    <w:rsid w:val="00924AC2"/>
    <w:rsid w:val="00924B1C"/>
    <w:rsid w:val="00924B95"/>
    <w:rsid w:val="00924C4F"/>
    <w:rsid w:val="00924D11"/>
    <w:rsid w:val="00924DDF"/>
    <w:rsid w:val="00924F4C"/>
    <w:rsid w:val="00924FAE"/>
    <w:rsid w:val="00924FC3"/>
    <w:rsid w:val="0092501E"/>
    <w:rsid w:val="00925138"/>
    <w:rsid w:val="009251A2"/>
    <w:rsid w:val="009251EE"/>
    <w:rsid w:val="00925513"/>
    <w:rsid w:val="009256B3"/>
    <w:rsid w:val="009258D4"/>
    <w:rsid w:val="0092597B"/>
    <w:rsid w:val="00925A22"/>
    <w:rsid w:val="00925EDA"/>
    <w:rsid w:val="00925EDD"/>
    <w:rsid w:val="00925EE8"/>
    <w:rsid w:val="00925EEA"/>
    <w:rsid w:val="00926312"/>
    <w:rsid w:val="009263D9"/>
    <w:rsid w:val="00926400"/>
    <w:rsid w:val="0092644B"/>
    <w:rsid w:val="0092652F"/>
    <w:rsid w:val="00926688"/>
    <w:rsid w:val="00926946"/>
    <w:rsid w:val="00926977"/>
    <w:rsid w:val="00926B5A"/>
    <w:rsid w:val="00926C8E"/>
    <w:rsid w:val="00926D90"/>
    <w:rsid w:val="00926EA3"/>
    <w:rsid w:val="0092708A"/>
    <w:rsid w:val="00927095"/>
    <w:rsid w:val="0092716D"/>
    <w:rsid w:val="009271A1"/>
    <w:rsid w:val="00927281"/>
    <w:rsid w:val="009272FF"/>
    <w:rsid w:val="00927340"/>
    <w:rsid w:val="00927341"/>
    <w:rsid w:val="0092749E"/>
    <w:rsid w:val="00927628"/>
    <w:rsid w:val="0092763A"/>
    <w:rsid w:val="00927779"/>
    <w:rsid w:val="009277AE"/>
    <w:rsid w:val="009278DC"/>
    <w:rsid w:val="009279AF"/>
    <w:rsid w:val="009279EF"/>
    <w:rsid w:val="00927A68"/>
    <w:rsid w:val="00927B9E"/>
    <w:rsid w:val="00927BD8"/>
    <w:rsid w:val="00927E6F"/>
    <w:rsid w:val="00927ECF"/>
    <w:rsid w:val="009300B6"/>
    <w:rsid w:val="009300C8"/>
    <w:rsid w:val="009300E2"/>
    <w:rsid w:val="00930178"/>
    <w:rsid w:val="00930235"/>
    <w:rsid w:val="00930358"/>
    <w:rsid w:val="00930419"/>
    <w:rsid w:val="00930562"/>
    <w:rsid w:val="00930579"/>
    <w:rsid w:val="009305E4"/>
    <w:rsid w:val="009306F2"/>
    <w:rsid w:val="00930736"/>
    <w:rsid w:val="00930833"/>
    <w:rsid w:val="00930838"/>
    <w:rsid w:val="00930BEE"/>
    <w:rsid w:val="00930E84"/>
    <w:rsid w:val="00930FF3"/>
    <w:rsid w:val="0093104D"/>
    <w:rsid w:val="009310C8"/>
    <w:rsid w:val="0093110C"/>
    <w:rsid w:val="00931295"/>
    <w:rsid w:val="009312A2"/>
    <w:rsid w:val="009316FE"/>
    <w:rsid w:val="009317A6"/>
    <w:rsid w:val="00931903"/>
    <w:rsid w:val="00931A6C"/>
    <w:rsid w:val="00931A88"/>
    <w:rsid w:val="00931ACB"/>
    <w:rsid w:val="00931B75"/>
    <w:rsid w:val="00931DF1"/>
    <w:rsid w:val="00931E4E"/>
    <w:rsid w:val="009320A1"/>
    <w:rsid w:val="009321F2"/>
    <w:rsid w:val="00932251"/>
    <w:rsid w:val="0093225B"/>
    <w:rsid w:val="009322EC"/>
    <w:rsid w:val="00932312"/>
    <w:rsid w:val="009323C7"/>
    <w:rsid w:val="0093241E"/>
    <w:rsid w:val="00932494"/>
    <w:rsid w:val="00932517"/>
    <w:rsid w:val="009325A1"/>
    <w:rsid w:val="009325BE"/>
    <w:rsid w:val="00932839"/>
    <w:rsid w:val="00932A3E"/>
    <w:rsid w:val="00932B76"/>
    <w:rsid w:val="00932CD0"/>
    <w:rsid w:val="00932E42"/>
    <w:rsid w:val="00932E48"/>
    <w:rsid w:val="00932EFC"/>
    <w:rsid w:val="0093303B"/>
    <w:rsid w:val="00933088"/>
    <w:rsid w:val="0093321F"/>
    <w:rsid w:val="009333CA"/>
    <w:rsid w:val="0093352C"/>
    <w:rsid w:val="009336FC"/>
    <w:rsid w:val="009337A0"/>
    <w:rsid w:val="0093392E"/>
    <w:rsid w:val="00933C20"/>
    <w:rsid w:val="00933CB5"/>
    <w:rsid w:val="00933CC7"/>
    <w:rsid w:val="00933E41"/>
    <w:rsid w:val="00933FFB"/>
    <w:rsid w:val="00934033"/>
    <w:rsid w:val="00934035"/>
    <w:rsid w:val="0093428D"/>
    <w:rsid w:val="0093445A"/>
    <w:rsid w:val="00934518"/>
    <w:rsid w:val="00934664"/>
    <w:rsid w:val="0093475D"/>
    <w:rsid w:val="00934994"/>
    <w:rsid w:val="00934A37"/>
    <w:rsid w:val="00934A74"/>
    <w:rsid w:val="00934AA1"/>
    <w:rsid w:val="00934B35"/>
    <w:rsid w:val="00934B4B"/>
    <w:rsid w:val="00934EAF"/>
    <w:rsid w:val="00934F68"/>
    <w:rsid w:val="00934FB6"/>
    <w:rsid w:val="00935070"/>
    <w:rsid w:val="009351AF"/>
    <w:rsid w:val="009351B8"/>
    <w:rsid w:val="009352A6"/>
    <w:rsid w:val="009352CD"/>
    <w:rsid w:val="00935456"/>
    <w:rsid w:val="00935578"/>
    <w:rsid w:val="00935827"/>
    <w:rsid w:val="009359B7"/>
    <w:rsid w:val="009359CA"/>
    <w:rsid w:val="00935B04"/>
    <w:rsid w:val="00935E98"/>
    <w:rsid w:val="00935FEB"/>
    <w:rsid w:val="00936022"/>
    <w:rsid w:val="00936027"/>
    <w:rsid w:val="009361F5"/>
    <w:rsid w:val="00936203"/>
    <w:rsid w:val="0093646C"/>
    <w:rsid w:val="009364EF"/>
    <w:rsid w:val="0093656D"/>
    <w:rsid w:val="009365CE"/>
    <w:rsid w:val="009365EE"/>
    <w:rsid w:val="00936740"/>
    <w:rsid w:val="00936AE3"/>
    <w:rsid w:val="00936B4A"/>
    <w:rsid w:val="00936B4C"/>
    <w:rsid w:val="00936CD0"/>
    <w:rsid w:val="00936DF4"/>
    <w:rsid w:val="00936EB3"/>
    <w:rsid w:val="00936F52"/>
    <w:rsid w:val="00937183"/>
    <w:rsid w:val="00937241"/>
    <w:rsid w:val="0093729C"/>
    <w:rsid w:val="009377EA"/>
    <w:rsid w:val="0093780B"/>
    <w:rsid w:val="00937865"/>
    <w:rsid w:val="00937931"/>
    <w:rsid w:val="009379C7"/>
    <w:rsid w:val="00937E0D"/>
    <w:rsid w:val="00937EE9"/>
    <w:rsid w:val="009403AC"/>
    <w:rsid w:val="009403E0"/>
    <w:rsid w:val="009403F2"/>
    <w:rsid w:val="0094044B"/>
    <w:rsid w:val="00940546"/>
    <w:rsid w:val="0094085B"/>
    <w:rsid w:val="00940873"/>
    <w:rsid w:val="0094097C"/>
    <w:rsid w:val="00940A30"/>
    <w:rsid w:val="00940AB7"/>
    <w:rsid w:val="00940B2D"/>
    <w:rsid w:val="00940BF2"/>
    <w:rsid w:val="00940CE8"/>
    <w:rsid w:val="00941356"/>
    <w:rsid w:val="00941456"/>
    <w:rsid w:val="0094172C"/>
    <w:rsid w:val="009418B8"/>
    <w:rsid w:val="009418DA"/>
    <w:rsid w:val="009419FD"/>
    <w:rsid w:val="00941AE6"/>
    <w:rsid w:val="00941AED"/>
    <w:rsid w:val="00941BDA"/>
    <w:rsid w:val="00941DA7"/>
    <w:rsid w:val="0094207C"/>
    <w:rsid w:val="00942118"/>
    <w:rsid w:val="00942301"/>
    <w:rsid w:val="0094244E"/>
    <w:rsid w:val="00942548"/>
    <w:rsid w:val="00942690"/>
    <w:rsid w:val="0094272D"/>
    <w:rsid w:val="00942993"/>
    <w:rsid w:val="00942B39"/>
    <w:rsid w:val="00942B60"/>
    <w:rsid w:val="00942BBA"/>
    <w:rsid w:val="00942C69"/>
    <w:rsid w:val="00942D2B"/>
    <w:rsid w:val="00942D79"/>
    <w:rsid w:val="00942E52"/>
    <w:rsid w:val="00942F42"/>
    <w:rsid w:val="00942F76"/>
    <w:rsid w:val="009430CF"/>
    <w:rsid w:val="00943126"/>
    <w:rsid w:val="00943153"/>
    <w:rsid w:val="009431C3"/>
    <w:rsid w:val="009431D0"/>
    <w:rsid w:val="009432A8"/>
    <w:rsid w:val="00943377"/>
    <w:rsid w:val="009433FB"/>
    <w:rsid w:val="00943650"/>
    <w:rsid w:val="0094380A"/>
    <w:rsid w:val="00943D5D"/>
    <w:rsid w:val="00943EFF"/>
    <w:rsid w:val="00943F4E"/>
    <w:rsid w:val="00943F6D"/>
    <w:rsid w:val="0094400C"/>
    <w:rsid w:val="00944154"/>
    <w:rsid w:val="009442A1"/>
    <w:rsid w:val="00944323"/>
    <w:rsid w:val="009444A2"/>
    <w:rsid w:val="009445A5"/>
    <w:rsid w:val="009445CC"/>
    <w:rsid w:val="009446C4"/>
    <w:rsid w:val="009446C7"/>
    <w:rsid w:val="009447BC"/>
    <w:rsid w:val="00944948"/>
    <w:rsid w:val="00944A11"/>
    <w:rsid w:val="00944AB8"/>
    <w:rsid w:val="00944DE0"/>
    <w:rsid w:val="00945288"/>
    <w:rsid w:val="009452AE"/>
    <w:rsid w:val="009453E2"/>
    <w:rsid w:val="009453EA"/>
    <w:rsid w:val="0094540A"/>
    <w:rsid w:val="0094542C"/>
    <w:rsid w:val="009455AB"/>
    <w:rsid w:val="0094567D"/>
    <w:rsid w:val="009456DF"/>
    <w:rsid w:val="0094581D"/>
    <w:rsid w:val="009458AE"/>
    <w:rsid w:val="00945909"/>
    <w:rsid w:val="00945A18"/>
    <w:rsid w:val="00945B93"/>
    <w:rsid w:val="00945BB7"/>
    <w:rsid w:val="00945D5D"/>
    <w:rsid w:val="00945EA3"/>
    <w:rsid w:val="00946028"/>
    <w:rsid w:val="00946036"/>
    <w:rsid w:val="00946072"/>
    <w:rsid w:val="0094608C"/>
    <w:rsid w:val="009461E5"/>
    <w:rsid w:val="009462BC"/>
    <w:rsid w:val="0094633E"/>
    <w:rsid w:val="009463BF"/>
    <w:rsid w:val="00946457"/>
    <w:rsid w:val="0094646B"/>
    <w:rsid w:val="009464D2"/>
    <w:rsid w:val="0094658C"/>
    <w:rsid w:val="00946591"/>
    <w:rsid w:val="00946673"/>
    <w:rsid w:val="009466E4"/>
    <w:rsid w:val="00946764"/>
    <w:rsid w:val="00946930"/>
    <w:rsid w:val="00946A14"/>
    <w:rsid w:val="00946A74"/>
    <w:rsid w:val="00946A8A"/>
    <w:rsid w:val="00946C83"/>
    <w:rsid w:val="00946D6A"/>
    <w:rsid w:val="00946ED2"/>
    <w:rsid w:val="00946FEF"/>
    <w:rsid w:val="00947539"/>
    <w:rsid w:val="00947546"/>
    <w:rsid w:val="00947588"/>
    <w:rsid w:val="00947674"/>
    <w:rsid w:val="00947750"/>
    <w:rsid w:val="00947816"/>
    <w:rsid w:val="0094786D"/>
    <w:rsid w:val="00947876"/>
    <w:rsid w:val="0094787E"/>
    <w:rsid w:val="00947B00"/>
    <w:rsid w:val="00947DD1"/>
    <w:rsid w:val="00947F97"/>
    <w:rsid w:val="00950004"/>
    <w:rsid w:val="00950257"/>
    <w:rsid w:val="00950284"/>
    <w:rsid w:val="009502CA"/>
    <w:rsid w:val="00950399"/>
    <w:rsid w:val="009503F1"/>
    <w:rsid w:val="009505DA"/>
    <w:rsid w:val="00950647"/>
    <w:rsid w:val="00950703"/>
    <w:rsid w:val="00950A72"/>
    <w:rsid w:val="00950AC1"/>
    <w:rsid w:val="00950C15"/>
    <w:rsid w:val="00950DD1"/>
    <w:rsid w:val="00950E1D"/>
    <w:rsid w:val="0095119B"/>
    <w:rsid w:val="00951261"/>
    <w:rsid w:val="009517A2"/>
    <w:rsid w:val="009517BC"/>
    <w:rsid w:val="00951950"/>
    <w:rsid w:val="00951A2F"/>
    <w:rsid w:val="00951A30"/>
    <w:rsid w:val="00951A37"/>
    <w:rsid w:val="00951C14"/>
    <w:rsid w:val="00951CAD"/>
    <w:rsid w:val="00951CD6"/>
    <w:rsid w:val="00951E87"/>
    <w:rsid w:val="00951EA5"/>
    <w:rsid w:val="00951F42"/>
    <w:rsid w:val="009520EF"/>
    <w:rsid w:val="00952195"/>
    <w:rsid w:val="0095264F"/>
    <w:rsid w:val="00952CE3"/>
    <w:rsid w:val="00953022"/>
    <w:rsid w:val="009531A7"/>
    <w:rsid w:val="00953284"/>
    <w:rsid w:val="00953379"/>
    <w:rsid w:val="00953643"/>
    <w:rsid w:val="009536C1"/>
    <w:rsid w:val="009536F1"/>
    <w:rsid w:val="00953726"/>
    <w:rsid w:val="00953885"/>
    <w:rsid w:val="00953B9D"/>
    <w:rsid w:val="00953DCF"/>
    <w:rsid w:val="00953E8A"/>
    <w:rsid w:val="00953F38"/>
    <w:rsid w:val="0095407B"/>
    <w:rsid w:val="009540AE"/>
    <w:rsid w:val="009542AE"/>
    <w:rsid w:val="009543D2"/>
    <w:rsid w:val="0095450A"/>
    <w:rsid w:val="009545B4"/>
    <w:rsid w:val="009546FB"/>
    <w:rsid w:val="009549B4"/>
    <w:rsid w:val="00954A52"/>
    <w:rsid w:val="00954A99"/>
    <w:rsid w:val="00954DA8"/>
    <w:rsid w:val="00954DB6"/>
    <w:rsid w:val="00954DF1"/>
    <w:rsid w:val="00954E3D"/>
    <w:rsid w:val="00954EF3"/>
    <w:rsid w:val="0095506E"/>
    <w:rsid w:val="00955360"/>
    <w:rsid w:val="0095566A"/>
    <w:rsid w:val="009556CD"/>
    <w:rsid w:val="0095579A"/>
    <w:rsid w:val="0095580B"/>
    <w:rsid w:val="00955876"/>
    <w:rsid w:val="0095591E"/>
    <w:rsid w:val="00955A04"/>
    <w:rsid w:val="00955A5A"/>
    <w:rsid w:val="00955AFB"/>
    <w:rsid w:val="00955AFC"/>
    <w:rsid w:val="00955B51"/>
    <w:rsid w:val="00955D6F"/>
    <w:rsid w:val="00955F14"/>
    <w:rsid w:val="00955FA3"/>
    <w:rsid w:val="00955FDD"/>
    <w:rsid w:val="00956181"/>
    <w:rsid w:val="009564C5"/>
    <w:rsid w:val="0095654A"/>
    <w:rsid w:val="00956626"/>
    <w:rsid w:val="0095662E"/>
    <w:rsid w:val="00956885"/>
    <w:rsid w:val="009568F7"/>
    <w:rsid w:val="00956921"/>
    <w:rsid w:val="00956926"/>
    <w:rsid w:val="009569B5"/>
    <w:rsid w:val="009569BC"/>
    <w:rsid w:val="009569D8"/>
    <w:rsid w:val="00956B33"/>
    <w:rsid w:val="00956DA4"/>
    <w:rsid w:val="00956EBB"/>
    <w:rsid w:val="00956F1D"/>
    <w:rsid w:val="00956F66"/>
    <w:rsid w:val="009572E1"/>
    <w:rsid w:val="00957774"/>
    <w:rsid w:val="0095780E"/>
    <w:rsid w:val="009579BD"/>
    <w:rsid w:val="00957AA5"/>
    <w:rsid w:val="00957AE3"/>
    <w:rsid w:val="00957CFD"/>
    <w:rsid w:val="00957FD7"/>
    <w:rsid w:val="00957FF1"/>
    <w:rsid w:val="00960051"/>
    <w:rsid w:val="009601D5"/>
    <w:rsid w:val="009605D0"/>
    <w:rsid w:val="0096066F"/>
    <w:rsid w:val="00960903"/>
    <w:rsid w:val="009609AA"/>
    <w:rsid w:val="00960B97"/>
    <w:rsid w:val="00960D31"/>
    <w:rsid w:val="00960D77"/>
    <w:rsid w:val="00960DBF"/>
    <w:rsid w:val="00960EE1"/>
    <w:rsid w:val="00960FA7"/>
    <w:rsid w:val="00960FD9"/>
    <w:rsid w:val="009612AC"/>
    <w:rsid w:val="009613EC"/>
    <w:rsid w:val="0096155C"/>
    <w:rsid w:val="00961C25"/>
    <w:rsid w:val="00961E87"/>
    <w:rsid w:val="00961F83"/>
    <w:rsid w:val="00962141"/>
    <w:rsid w:val="009621AC"/>
    <w:rsid w:val="00962277"/>
    <w:rsid w:val="00962364"/>
    <w:rsid w:val="00962508"/>
    <w:rsid w:val="009627D7"/>
    <w:rsid w:val="00962954"/>
    <w:rsid w:val="00962971"/>
    <w:rsid w:val="00962B15"/>
    <w:rsid w:val="00962BDC"/>
    <w:rsid w:val="00962BE8"/>
    <w:rsid w:val="00962DE6"/>
    <w:rsid w:val="00962FA1"/>
    <w:rsid w:val="009630BD"/>
    <w:rsid w:val="00963163"/>
    <w:rsid w:val="0096324E"/>
    <w:rsid w:val="00963345"/>
    <w:rsid w:val="00963441"/>
    <w:rsid w:val="00963577"/>
    <w:rsid w:val="00963977"/>
    <w:rsid w:val="00963A82"/>
    <w:rsid w:val="00963B5E"/>
    <w:rsid w:val="00963B6F"/>
    <w:rsid w:val="00963BE1"/>
    <w:rsid w:val="00963D14"/>
    <w:rsid w:val="00963D85"/>
    <w:rsid w:val="00963E28"/>
    <w:rsid w:val="009640C3"/>
    <w:rsid w:val="0096413B"/>
    <w:rsid w:val="00964302"/>
    <w:rsid w:val="0096443B"/>
    <w:rsid w:val="00964502"/>
    <w:rsid w:val="00964695"/>
    <w:rsid w:val="0096476D"/>
    <w:rsid w:val="009647D9"/>
    <w:rsid w:val="0096494A"/>
    <w:rsid w:val="00964A14"/>
    <w:rsid w:val="00964BBD"/>
    <w:rsid w:val="00964C4D"/>
    <w:rsid w:val="00964F43"/>
    <w:rsid w:val="00964FDB"/>
    <w:rsid w:val="00965054"/>
    <w:rsid w:val="009650AD"/>
    <w:rsid w:val="00965163"/>
    <w:rsid w:val="009652E1"/>
    <w:rsid w:val="00965493"/>
    <w:rsid w:val="009654A4"/>
    <w:rsid w:val="00965507"/>
    <w:rsid w:val="00965756"/>
    <w:rsid w:val="00965845"/>
    <w:rsid w:val="00965A25"/>
    <w:rsid w:val="00965DB8"/>
    <w:rsid w:val="00965E21"/>
    <w:rsid w:val="00965F8A"/>
    <w:rsid w:val="00965FD0"/>
    <w:rsid w:val="00966156"/>
    <w:rsid w:val="00966248"/>
    <w:rsid w:val="00966292"/>
    <w:rsid w:val="0096670C"/>
    <w:rsid w:val="00966830"/>
    <w:rsid w:val="00966940"/>
    <w:rsid w:val="00966AD0"/>
    <w:rsid w:val="00966AE0"/>
    <w:rsid w:val="00966BC9"/>
    <w:rsid w:val="00966C12"/>
    <w:rsid w:val="00966CCB"/>
    <w:rsid w:val="00966CF8"/>
    <w:rsid w:val="00966DCA"/>
    <w:rsid w:val="00966DF1"/>
    <w:rsid w:val="00966F28"/>
    <w:rsid w:val="00966FD4"/>
    <w:rsid w:val="009675BF"/>
    <w:rsid w:val="009676DB"/>
    <w:rsid w:val="00967748"/>
    <w:rsid w:val="00967837"/>
    <w:rsid w:val="0096793B"/>
    <w:rsid w:val="00967A35"/>
    <w:rsid w:val="00967C1B"/>
    <w:rsid w:val="00967CF2"/>
    <w:rsid w:val="00967DDC"/>
    <w:rsid w:val="00967E8D"/>
    <w:rsid w:val="00970418"/>
    <w:rsid w:val="00970486"/>
    <w:rsid w:val="00970563"/>
    <w:rsid w:val="00970634"/>
    <w:rsid w:val="00970667"/>
    <w:rsid w:val="00970688"/>
    <w:rsid w:val="00970758"/>
    <w:rsid w:val="009707BF"/>
    <w:rsid w:val="0097096F"/>
    <w:rsid w:val="00970AC5"/>
    <w:rsid w:val="00970C70"/>
    <w:rsid w:val="00970E3A"/>
    <w:rsid w:val="00970F2D"/>
    <w:rsid w:val="00970FD5"/>
    <w:rsid w:val="00970FE1"/>
    <w:rsid w:val="00971054"/>
    <w:rsid w:val="00971282"/>
    <w:rsid w:val="009712C5"/>
    <w:rsid w:val="009715CB"/>
    <w:rsid w:val="00971629"/>
    <w:rsid w:val="0097171A"/>
    <w:rsid w:val="0097192C"/>
    <w:rsid w:val="009719BC"/>
    <w:rsid w:val="009719C2"/>
    <w:rsid w:val="00971B71"/>
    <w:rsid w:val="00971DAC"/>
    <w:rsid w:val="00971E4B"/>
    <w:rsid w:val="00971EB0"/>
    <w:rsid w:val="00971F11"/>
    <w:rsid w:val="00971F2E"/>
    <w:rsid w:val="0097201D"/>
    <w:rsid w:val="0097215C"/>
    <w:rsid w:val="00972267"/>
    <w:rsid w:val="0097240C"/>
    <w:rsid w:val="0097249B"/>
    <w:rsid w:val="009725B9"/>
    <w:rsid w:val="00972683"/>
    <w:rsid w:val="0097294E"/>
    <w:rsid w:val="00972B4B"/>
    <w:rsid w:val="00972C1A"/>
    <w:rsid w:val="00972CAE"/>
    <w:rsid w:val="00972E3F"/>
    <w:rsid w:val="00973141"/>
    <w:rsid w:val="00973182"/>
    <w:rsid w:val="00973312"/>
    <w:rsid w:val="009733B6"/>
    <w:rsid w:val="0097343C"/>
    <w:rsid w:val="0097367C"/>
    <w:rsid w:val="009737BF"/>
    <w:rsid w:val="0097398F"/>
    <w:rsid w:val="00973A10"/>
    <w:rsid w:val="00973A8A"/>
    <w:rsid w:val="00973D23"/>
    <w:rsid w:val="00973E0E"/>
    <w:rsid w:val="00973E47"/>
    <w:rsid w:val="0097408A"/>
    <w:rsid w:val="00974261"/>
    <w:rsid w:val="00974486"/>
    <w:rsid w:val="00974525"/>
    <w:rsid w:val="0097492D"/>
    <w:rsid w:val="00974A64"/>
    <w:rsid w:val="00974C3B"/>
    <w:rsid w:val="00974D0B"/>
    <w:rsid w:val="00974D29"/>
    <w:rsid w:val="00974DC2"/>
    <w:rsid w:val="00974ED9"/>
    <w:rsid w:val="00974F5B"/>
    <w:rsid w:val="009750D4"/>
    <w:rsid w:val="0097558F"/>
    <w:rsid w:val="009755E2"/>
    <w:rsid w:val="009756F6"/>
    <w:rsid w:val="00975892"/>
    <w:rsid w:val="00975925"/>
    <w:rsid w:val="00975A40"/>
    <w:rsid w:val="00975A9B"/>
    <w:rsid w:val="00975BDF"/>
    <w:rsid w:val="00975BF2"/>
    <w:rsid w:val="00975CAA"/>
    <w:rsid w:val="00975CDB"/>
    <w:rsid w:val="00975E20"/>
    <w:rsid w:val="00975F48"/>
    <w:rsid w:val="009760A3"/>
    <w:rsid w:val="009760A9"/>
    <w:rsid w:val="00976204"/>
    <w:rsid w:val="00976225"/>
    <w:rsid w:val="00976260"/>
    <w:rsid w:val="009763D6"/>
    <w:rsid w:val="009764B0"/>
    <w:rsid w:val="009764DB"/>
    <w:rsid w:val="0097652F"/>
    <w:rsid w:val="009765AC"/>
    <w:rsid w:val="009765C2"/>
    <w:rsid w:val="009765F2"/>
    <w:rsid w:val="009768B0"/>
    <w:rsid w:val="009768DD"/>
    <w:rsid w:val="00976A03"/>
    <w:rsid w:val="00976A86"/>
    <w:rsid w:val="00976B18"/>
    <w:rsid w:val="00976C35"/>
    <w:rsid w:val="00976C56"/>
    <w:rsid w:val="00976D0D"/>
    <w:rsid w:val="00976EA5"/>
    <w:rsid w:val="00977010"/>
    <w:rsid w:val="009770B0"/>
    <w:rsid w:val="00977201"/>
    <w:rsid w:val="00977489"/>
    <w:rsid w:val="009774C4"/>
    <w:rsid w:val="009778BE"/>
    <w:rsid w:val="0097793E"/>
    <w:rsid w:val="00977B88"/>
    <w:rsid w:val="00977D2D"/>
    <w:rsid w:val="00977D8A"/>
    <w:rsid w:val="00977DE4"/>
    <w:rsid w:val="00977E0C"/>
    <w:rsid w:val="00977F24"/>
    <w:rsid w:val="00977FB4"/>
    <w:rsid w:val="00980083"/>
    <w:rsid w:val="009802A0"/>
    <w:rsid w:val="009806C6"/>
    <w:rsid w:val="009806F9"/>
    <w:rsid w:val="009807A7"/>
    <w:rsid w:val="009807C5"/>
    <w:rsid w:val="009808B4"/>
    <w:rsid w:val="009808FA"/>
    <w:rsid w:val="00980972"/>
    <w:rsid w:val="00980AA9"/>
    <w:rsid w:val="00980AAE"/>
    <w:rsid w:val="00980C48"/>
    <w:rsid w:val="00980F55"/>
    <w:rsid w:val="0098110C"/>
    <w:rsid w:val="009811D0"/>
    <w:rsid w:val="009812DD"/>
    <w:rsid w:val="009813B2"/>
    <w:rsid w:val="00981487"/>
    <w:rsid w:val="009816B9"/>
    <w:rsid w:val="00981774"/>
    <w:rsid w:val="009818C9"/>
    <w:rsid w:val="009818D5"/>
    <w:rsid w:val="00981B55"/>
    <w:rsid w:val="00981E3A"/>
    <w:rsid w:val="00981F51"/>
    <w:rsid w:val="00981FC6"/>
    <w:rsid w:val="0098202B"/>
    <w:rsid w:val="00982178"/>
    <w:rsid w:val="009822AA"/>
    <w:rsid w:val="009823AE"/>
    <w:rsid w:val="00982477"/>
    <w:rsid w:val="0098256F"/>
    <w:rsid w:val="009828D1"/>
    <w:rsid w:val="00982A2A"/>
    <w:rsid w:val="00982AA2"/>
    <w:rsid w:val="00982ADC"/>
    <w:rsid w:val="00982B8A"/>
    <w:rsid w:val="00982BDC"/>
    <w:rsid w:val="00982BEF"/>
    <w:rsid w:val="009830AF"/>
    <w:rsid w:val="00983102"/>
    <w:rsid w:val="009833FA"/>
    <w:rsid w:val="00983469"/>
    <w:rsid w:val="0098379B"/>
    <w:rsid w:val="00983B4B"/>
    <w:rsid w:val="00983C8E"/>
    <w:rsid w:val="00983E43"/>
    <w:rsid w:val="00983E82"/>
    <w:rsid w:val="00983FDA"/>
    <w:rsid w:val="0098403B"/>
    <w:rsid w:val="00984156"/>
    <w:rsid w:val="00984160"/>
    <w:rsid w:val="009841B3"/>
    <w:rsid w:val="0098434D"/>
    <w:rsid w:val="00984405"/>
    <w:rsid w:val="00984446"/>
    <w:rsid w:val="0098454F"/>
    <w:rsid w:val="009845BE"/>
    <w:rsid w:val="0098489F"/>
    <w:rsid w:val="009848EA"/>
    <w:rsid w:val="00984971"/>
    <w:rsid w:val="00984BDB"/>
    <w:rsid w:val="00984E0E"/>
    <w:rsid w:val="00984E89"/>
    <w:rsid w:val="0098500F"/>
    <w:rsid w:val="0098505F"/>
    <w:rsid w:val="0098509C"/>
    <w:rsid w:val="009850E6"/>
    <w:rsid w:val="0098522A"/>
    <w:rsid w:val="00985325"/>
    <w:rsid w:val="009854DA"/>
    <w:rsid w:val="00985618"/>
    <w:rsid w:val="00985684"/>
    <w:rsid w:val="00985724"/>
    <w:rsid w:val="00985AD1"/>
    <w:rsid w:val="00985D66"/>
    <w:rsid w:val="009860A8"/>
    <w:rsid w:val="00986225"/>
    <w:rsid w:val="00986272"/>
    <w:rsid w:val="00986396"/>
    <w:rsid w:val="00986514"/>
    <w:rsid w:val="009865B7"/>
    <w:rsid w:val="009866BD"/>
    <w:rsid w:val="009869FE"/>
    <w:rsid w:val="00986A8E"/>
    <w:rsid w:val="00986AE4"/>
    <w:rsid w:val="00986AFC"/>
    <w:rsid w:val="00986BE2"/>
    <w:rsid w:val="00986C6B"/>
    <w:rsid w:val="00986DEB"/>
    <w:rsid w:val="00986E8B"/>
    <w:rsid w:val="00986F4E"/>
    <w:rsid w:val="00986F93"/>
    <w:rsid w:val="00987474"/>
    <w:rsid w:val="009874C4"/>
    <w:rsid w:val="00987857"/>
    <w:rsid w:val="00987917"/>
    <w:rsid w:val="009879E9"/>
    <w:rsid w:val="00987B20"/>
    <w:rsid w:val="00987B91"/>
    <w:rsid w:val="00987D7C"/>
    <w:rsid w:val="00987ED3"/>
    <w:rsid w:val="00987F03"/>
    <w:rsid w:val="00987F92"/>
    <w:rsid w:val="009900F9"/>
    <w:rsid w:val="00990130"/>
    <w:rsid w:val="0099013C"/>
    <w:rsid w:val="00990281"/>
    <w:rsid w:val="0099041A"/>
    <w:rsid w:val="00990620"/>
    <w:rsid w:val="009906C4"/>
    <w:rsid w:val="009907AD"/>
    <w:rsid w:val="00990970"/>
    <w:rsid w:val="00990B13"/>
    <w:rsid w:val="00990C99"/>
    <w:rsid w:val="00990D84"/>
    <w:rsid w:val="00990E77"/>
    <w:rsid w:val="0099109F"/>
    <w:rsid w:val="0099144B"/>
    <w:rsid w:val="009915C8"/>
    <w:rsid w:val="00991671"/>
    <w:rsid w:val="00991B4E"/>
    <w:rsid w:val="00991D9F"/>
    <w:rsid w:val="00991E88"/>
    <w:rsid w:val="00991EA1"/>
    <w:rsid w:val="00991FF9"/>
    <w:rsid w:val="009920E6"/>
    <w:rsid w:val="0099215E"/>
    <w:rsid w:val="009921D9"/>
    <w:rsid w:val="009925EB"/>
    <w:rsid w:val="0099263B"/>
    <w:rsid w:val="00992EA7"/>
    <w:rsid w:val="00993048"/>
    <w:rsid w:val="009931A9"/>
    <w:rsid w:val="009931EB"/>
    <w:rsid w:val="009931FF"/>
    <w:rsid w:val="00993302"/>
    <w:rsid w:val="0099338C"/>
    <w:rsid w:val="00993554"/>
    <w:rsid w:val="0099363D"/>
    <w:rsid w:val="00993649"/>
    <w:rsid w:val="009937A1"/>
    <w:rsid w:val="009938C9"/>
    <w:rsid w:val="009938EF"/>
    <w:rsid w:val="00993C14"/>
    <w:rsid w:val="00993C17"/>
    <w:rsid w:val="00993F51"/>
    <w:rsid w:val="00993F64"/>
    <w:rsid w:val="00993F69"/>
    <w:rsid w:val="00993FA8"/>
    <w:rsid w:val="00993FF1"/>
    <w:rsid w:val="00994057"/>
    <w:rsid w:val="009940D0"/>
    <w:rsid w:val="0099419F"/>
    <w:rsid w:val="0099424D"/>
    <w:rsid w:val="00994273"/>
    <w:rsid w:val="0099435A"/>
    <w:rsid w:val="00994541"/>
    <w:rsid w:val="0099462C"/>
    <w:rsid w:val="00994850"/>
    <w:rsid w:val="00994934"/>
    <w:rsid w:val="009949F2"/>
    <w:rsid w:val="00994A59"/>
    <w:rsid w:val="00994B09"/>
    <w:rsid w:val="00994C0C"/>
    <w:rsid w:val="00994D9C"/>
    <w:rsid w:val="00994DCB"/>
    <w:rsid w:val="00994E20"/>
    <w:rsid w:val="00994E94"/>
    <w:rsid w:val="00994F93"/>
    <w:rsid w:val="00995117"/>
    <w:rsid w:val="00995246"/>
    <w:rsid w:val="009953F1"/>
    <w:rsid w:val="009956E1"/>
    <w:rsid w:val="00995739"/>
    <w:rsid w:val="009957A2"/>
    <w:rsid w:val="009957D2"/>
    <w:rsid w:val="009958F6"/>
    <w:rsid w:val="00995A0F"/>
    <w:rsid w:val="00995B99"/>
    <w:rsid w:val="00995D4D"/>
    <w:rsid w:val="00995DCC"/>
    <w:rsid w:val="00995E9C"/>
    <w:rsid w:val="00995ED8"/>
    <w:rsid w:val="00995F49"/>
    <w:rsid w:val="00996131"/>
    <w:rsid w:val="00996379"/>
    <w:rsid w:val="00996551"/>
    <w:rsid w:val="009966B2"/>
    <w:rsid w:val="009966D5"/>
    <w:rsid w:val="00996783"/>
    <w:rsid w:val="009968C9"/>
    <w:rsid w:val="00996B35"/>
    <w:rsid w:val="00996BE2"/>
    <w:rsid w:val="00996CE6"/>
    <w:rsid w:val="0099708B"/>
    <w:rsid w:val="0099712F"/>
    <w:rsid w:val="00997275"/>
    <w:rsid w:val="009972A6"/>
    <w:rsid w:val="0099745D"/>
    <w:rsid w:val="00997592"/>
    <w:rsid w:val="0099762B"/>
    <w:rsid w:val="00997A8C"/>
    <w:rsid w:val="00997BBA"/>
    <w:rsid w:val="00997C03"/>
    <w:rsid w:val="00997C07"/>
    <w:rsid w:val="00997CFB"/>
    <w:rsid w:val="00997D34"/>
    <w:rsid w:val="00997E5D"/>
    <w:rsid w:val="009A00A9"/>
    <w:rsid w:val="009A00D8"/>
    <w:rsid w:val="009A0153"/>
    <w:rsid w:val="009A0222"/>
    <w:rsid w:val="009A03B3"/>
    <w:rsid w:val="009A0750"/>
    <w:rsid w:val="009A083C"/>
    <w:rsid w:val="009A08DC"/>
    <w:rsid w:val="009A08EF"/>
    <w:rsid w:val="009A0928"/>
    <w:rsid w:val="009A0989"/>
    <w:rsid w:val="009A0BCF"/>
    <w:rsid w:val="009A0C7E"/>
    <w:rsid w:val="009A0DBB"/>
    <w:rsid w:val="009A0EC1"/>
    <w:rsid w:val="009A0F2D"/>
    <w:rsid w:val="009A1166"/>
    <w:rsid w:val="009A11F6"/>
    <w:rsid w:val="009A126D"/>
    <w:rsid w:val="009A135C"/>
    <w:rsid w:val="009A1394"/>
    <w:rsid w:val="009A1499"/>
    <w:rsid w:val="009A14E3"/>
    <w:rsid w:val="009A15C7"/>
    <w:rsid w:val="009A15F6"/>
    <w:rsid w:val="009A17FC"/>
    <w:rsid w:val="009A1837"/>
    <w:rsid w:val="009A18FF"/>
    <w:rsid w:val="009A196B"/>
    <w:rsid w:val="009A1C45"/>
    <w:rsid w:val="009A1CF9"/>
    <w:rsid w:val="009A1E7C"/>
    <w:rsid w:val="009A1EA9"/>
    <w:rsid w:val="009A1EDD"/>
    <w:rsid w:val="009A20D1"/>
    <w:rsid w:val="009A20F2"/>
    <w:rsid w:val="009A22FC"/>
    <w:rsid w:val="009A2449"/>
    <w:rsid w:val="009A249F"/>
    <w:rsid w:val="009A25D5"/>
    <w:rsid w:val="009A2629"/>
    <w:rsid w:val="009A2798"/>
    <w:rsid w:val="009A27E4"/>
    <w:rsid w:val="009A2841"/>
    <w:rsid w:val="009A2A39"/>
    <w:rsid w:val="009A2E6D"/>
    <w:rsid w:val="009A30D9"/>
    <w:rsid w:val="009A370A"/>
    <w:rsid w:val="009A3727"/>
    <w:rsid w:val="009A3757"/>
    <w:rsid w:val="009A383E"/>
    <w:rsid w:val="009A3841"/>
    <w:rsid w:val="009A3B31"/>
    <w:rsid w:val="009A3CF2"/>
    <w:rsid w:val="009A3DFE"/>
    <w:rsid w:val="009A3F95"/>
    <w:rsid w:val="009A41D1"/>
    <w:rsid w:val="009A431F"/>
    <w:rsid w:val="009A43BB"/>
    <w:rsid w:val="009A43D2"/>
    <w:rsid w:val="009A43FC"/>
    <w:rsid w:val="009A4525"/>
    <w:rsid w:val="009A4559"/>
    <w:rsid w:val="009A45D3"/>
    <w:rsid w:val="009A47FC"/>
    <w:rsid w:val="009A4861"/>
    <w:rsid w:val="009A489C"/>
    <w:rsid w:val="009A48CB"/>
    <w:rsid w:val="009A48FE"/>
    <w:rsid w:val="009A4B25"/>
    <w:rsid w:val="009A4B84"/>
    <w:rsid w:val="009A4B9D"/>
    <w:rsid w:val="009A4E2D"/>
    <w:rsid w:val="009A4E70"/>
    <w:rsid w:val="009A4F2D"/>
    <w:rsid w:val="009A4F88"/>
    <w:rsid w:val="009A51B5"/>
    <w:rsid w:val="009A5271"/>
    <w:rsid w:val="009A529D"/>
    <w:rsid w:val="009A53F5"/>
    <w:rsid w:val="009A5567"/>
    <w:rsid w:val="009A55AD"/>
    <w:rsid w:val="009A5635"/>
    <w:rsid w:val="009A567E"/>
    <w:rsid w:val="009A5718"/>
    <w:rsid w:val="009A5758"/>
    <w:rsid w:val="009A58C4"/>
    <w:rsid w:val="009A5A7C"/>
    <w:rsid w:val="009A5C53"/>
    <w:rsid w:val="009A5C96"/>
    <w:rsid w:val="009A5D2F"/>
    <w:rsid w:val="009A5E2B"/>
    <w:rsid w:val="009A5F5C"/>
    <w:rsid w:val="009A5FB3"/>
    <w:rsid w:val="009A6275"/>
    <w:rsid w:val="009A62E2"/>
    <w:rsid w:val="009A64CF"/>
    <w:rsid w:val="009A64E6"/>
    <w:rsid w:val="009A6613"/>
    <w:rsid w:val="009A6645"/>
    <w:rsid w:val="009A66B8"/>
    <w:rsid w:val="009A66EB"/>
    <w:rsid w:val="009A6D0A"/>
    <w:rsid w:val="009A6D4E"/>
    <w:rsid w:val="009A6E73"/>
    <w:rsid w:val="009A6EF6"/>
    <w:rsid w:val="009A70D2"/>
    <w:rsid w:val="009A729B"/>
    <w:rsid w:val="009A7405"/>
    <w:rsid w:val="009A7687"/>
    <w:rsid w:val="009A77FA"/>
    <w:rsid w:val="009A787C"/>
    <w:rsid w:val="009A7A54"/>
    <w:rsid w:val="009A7ADF"/>
    <w:rsid w:val="009A7BF5"/>
    <w:rsid w:val="009A7C23"/>
    <w:rsid w:val="009A7D76"/>
    <w:rsid w:val="009A7FD5"/>
    <w:rsid w:val="009B000A"/>
    <w:rsid w:val="009B0169"/>
    <w:rsid w:val="009B032A"/>
    <w:rsid w:val="009B036C"/>
    <w:rsid w:val="009B037B"/>
    <w:rsid w:val="009B0396"/>
    <w:rsid w:val="009B0417"/>
    <w:rsid w:val="009B04EE"/>
    <w:rsid w:val="009B0537"/>
    <w:rsid w:val="009B05BB"/>
    <w:rsid w:val="009B05D2"/>
    <w:rsid w:val="009B061B"/>
    <w:rsid w:val="009B0694"/>
    <w:rsid w:val="009B06A5"/>
    <w:rsid w:val="009B086E"/>
    <w:rsid w:val="009B093D"/>
    <w:rsid w:val="009B09AF"/>
    <w:rsid w:val="009B0BB9"/>
    <w:rsid w:val="009B0C26"/>
    <w:rsid w:val="009B0DC8"/>
    <w:rsid w:val="009B104A"/>
    <w:rsid w:val="009B1135"/>
    <w:rsid w:val="009B1237"/>
    <w:rsid w:val="009B12C4"/>
    <w:rsid w:val="009B12D5"/>
    <w:rsid w:val="009B134B"/>
    <w:rsid w:val="009B147F"/>
    <w:rsid w:val="009B14F7"/>
    <w:rsid w:val="009B1539"/>
    <w:rsid w:val="009B157B"/>
    <w:rsid w:val="009B1751"/>
    <w:rsid w:val="009B1794"/>
    <w:rsid w:val="009B18D0"/>
    <w:rsid w:val="009B1C39"/>
    <w:rsid w:val="009B1E72"/>
    <w:rsid w:val="009B1F53"/>
    <w:rsid w:val="009B2200"/>
    <w:rsid w:val="009B2259"/>
    <w:rsid w:val="009B23FE"/>
    <w:rsid w:val="009B26B8"/>
    <w:rsid w:val="009B2741"/>
    <w:rsid w:val="009B28AE"/>
    <w:rsid w:val="009B2946"/>
    <w:rsid w:val="009B298C"/>
    <w:rsid w:val="009B2A15"/>
    <w:rsid w:val="009B2AAA"/>
    <w:rsid w:val="009B2C44"/>
    <w:rsid w:val="009B2C67"/>
    <w:rsid w:val="009B2CA7"/>
    <w:rsid w:val="009B2CA8"/>
    <w:rsid w:val="009B2CD6"/>
    <w:rsid w:val="009B2E4D"/>
    <w:rsid w:val="009B306E"/>
    <w:rsid w:val="009B3082"/>
    <w:rsid w:val="009B30A6"/>
    <w:rsid w:val="009B330C"/>
    <w:rsid w:val="009B331C"/>
    <w:rsid w:val="009B33ED"/>
    <w:rsid w:val="009B35AC"/>
    <w:rsid w:val="009B35CC"/>
    <w:rsid w:val="009B363B"/>
    <w:rsid w:val="009B372D"/>
    <w:rsid w:val="009B379F"/>
    <w:rsid w:val="009B391B"/>
    <w:rsid w:val="009B3DA5"/>
    <w:rsid w:val="009B3E09"/>
    <w:rsid w:val="009B3EDF"/>
    <w:rsid w:val="009B4322"/>
    <w:rsid w:val="009B4376"/>
    <w:rsid w:val="009B4510"/>
    <w:rsid w:val="009B45B4"/>
    <w:rsid w:val="009B4789"/>
    <w:rsid w:val="009B47E8"/>
    <w:rsid w:val="009B4AE8"/>
    <w:rsid w:val="009B4CF2"/>
    <w:rsid w:val="009B4D23"/>
    <w:rsid w:val="009B4E2F"/>
    <w:rsid w:val="009B4F86"/>
    <w:rsid w:val="009B4FE3"/>
    <w:rsid w:val="009B5289"/>
    <w:rsid w:val="009B528C"/>
    <w:rsid w:val="009B52EB"/>
    <w:rsid w:val="009B53DD"/>
    <w:rsid w:val="009B53E0"/>
    <w:rsid w:val="009B55F9"/>
    <w:rsid w:val="009B56E8"/>
    <w:rsid w:val="009B57E7"/>
    <w:rsid w:val="009B58AA"/>
    <w:rsid w:val="009B59C2"/>
    <w:rsid w:val="009B5A65"/>
    <w:rsid w:val="009B5A6C"/>
    <w:rsid w:val="009B5AC9"/>
    <w:rsid w:val="009B5B95"/>
    <w:rsid w:val="009B5BCF"/>
    <w:rsid w:val="009B5C1A"/>
    <w:rsid w:val="009B5C62"/>
    <w:rsid w:val="009B5C8A"/>
    <w:rsid w:val="009B5EB7"/>
    <w:rsid w:val="009B60C2"/>
    <w:rsid w:val="009B63CE"/>
    <w:rsid w:val="009B64F0"/>
    <w:rsid w:val="009B6514"/>
    <w:rsid w:val="009B652C"/>
    <w:rsid w:val="009B65D9"/>
    <w:rsid w:val="009B65FC"/>
    <w:rsid w:val="009B6690"/>
    <w:rsid w:val="009B6A8C"/>
    <w:rsid w:val="009B6BEA"/>
    <w:rsid w:val="009B6C79"/>
    <w:rsid w:val="009B6CAF"/>
    <w:rsid w:val="009B6D1E"/>
    <w:rsid w:val="009B6D1F"/>
    <w:rsid w:val="009B6D22"/>
    <w:rsid w:val="009B6EB3"/>
    <w:rsid w:val="009B700B"/>
    <w:rsid w:val="009B70D7"/>
    <w:rsid w:val="009B7175"/>
    <w:rsid w:val="009B725D"/>
    <w:rsid w:val="009B73AF"/>
    <w:rsid w:val="009B7467"/>
    <w:rsid w:val="009B746B"/>
    <w:rsid w:val="009B74DD"/>
    <w:rsid w:val="009B7502"/>
    <w:rsid w:val="009B7540"/>
    <w:rsid w:val="009B7C60"/>
    <w:rsid w:val="009B7D21"/>
    <w:rsid w:val="009C0006"/>
    <w:rsid w:val="009C0054"/>
    <w:rsid w:val="009C006C"/>
    <w:rsid w:val="009C01BE"/>
    <w:rsid w:val="009C01C7"/>
    <w:rsid w:val="009C01CE"/>
    <w:rsid w:val="009C0220"/>
    <w:rsid w:val="009C02D6"/>
    <w:rsid w:val="009C0504"/>
    <w:rsid w:val="009C054C"/>
    <w:rsid w:val="009C0666"/>
    <w:rsid w:val="009C06CC"/>
    <w:rsid w:val="009C0784"/>
    <w:rsid w:val="009C07F0"/>
    <w:rsid w:val="009C0804"/>
    <w:rsid w:val="009C0847"/>
    <w:rsid w:val="009C08B2"/>
    <w:rsid w:val="009C0ADE"/>
    <w:rsid w:val="009C0D83"/>
    <w:rsid w:val="009C0E15"/>
    <w:rsid w:val="009C0E98"/>
    <w:rsid w:val="009C0ED0"/>
    <w:rsid w:val="009C0F5C"/>
    <w:rsid w:val="009C0FAA"/>
    <w:rsid w:val="009C0FF2"/>
    <w:rsid w:val="009C12BB"/>
    <w:rsid w:val="009C138F"/>
    <w:rsid w:val="009C15CA"/>
    <w:rsid w:val="009C1600"/>
    <w:rsid w:val="009C16D1"/>
    <w:rsid w:val="009C1733"/>
    <w:rsid w:val="009C1910"/>
    <w:rsid w:val="009C193E"/>
    <w:rsid w:val="009C199B"/>
    <w:rsid w:val="009C19A6"/>
    <w:rsid w:val="009C1B66"/>
    <w:rsid w:val="009C1CA7"/>
    <w:rsid w:val="009C1D1E"/>
    <w:rsid w:val="009C1F33"/>
    <w:rsid w:val="009C1F7F"/>
    <w:rsid w:val="009C1F90"/>
    <w:rsid w:val="009C202D"/>
    <w:rsid w:val="009C20FA"/>
    <w:rsid w:val="009C243A"/>
    <w:rsid w:val="009C24ED"/>
    <w:rsid w:val="009C24EF"/>
    <w:rsid w:val="009C2830"/>
    <w:rsid w:val="009C2922"/>
    <w:rsid w:val="009C297D"/>
    <w:rsid w:val="009C2BD5"/>
    <w:rsid w:val="009C2BF5"/>
    <w:rsid w:val="009C2CF3"/>
    <w:rsid w:val="009C2D2E"/>
    <w:rsid w:val="009C2E0D"/>
    <w:rsid w:val="009C2E21"/>
    <w:rsid w:val="009C2E24"/>
    <w:rsid w:val="009C2E43"/>
    <w:rsid w:val="009C2ED3"/>
    <w:rsid w:val="009C2F4C"/>
    <w:rsid w:val="009C2FE0"/>
    <w:rsid w:val="009C3080"/>
    <w:rsid w:val="009C30A5"/>
    <w:rsid w:val="009C310E"/>
    <w:rsid w:val="009C3189"/>
    <w:rsid w:val="009C3436"/>
    <w:rsid w:val="009C355A"/>
    <w:rsid w:val="009C3630"/>
    <w:rsid w:val="009C3642"/>
    <w:rsid w:val="009C3670"/>
    <w:rsid w:val="009C367E"/>
    <w:rsid w:val="009C3880"/>
    <w:rsid w:val="009C38E3"/>
    <w:rsid w:val="009C39CA"/>
    <w:rsid w:val="009C3C78"/>
    <w:rsid w:val="009C3CB1"/>
    <w:rsid w:val="009C3D90"/>
    <w:rsid w:val="009C40DF"/>
    <w:rsid w:val="009C42C1"/>
    <w:rsid w:val="009C43C7"/>
    <w:rsid w:val="009C43F7"/>
    <w:rsid w:val="009C44E4"/>
    <w:rsid w:val="009C4BC2"/>
    <w:rsid w:val="009C4CA0"/>
    <w:rsid w:val="009C4CB1"/>
    <w:rsid w:val="009C4CFE"/>
    <w:rsid w:val="009C4D3F"/>
    <w:rsid w:val="009C4E76"/>
    <w:rsid w:val="009C5020"/>
    <w:rsid w:val="009C50E7"/>
    <w:rsid w:val="009C5145"/>
    <w:rsid w:val="009C5191"/>
    <w:rsid w:val="009C534F"/>
    <w:rsid w:val="009C5369"/>
    <w:rsid w:val="009C54F4"/>
    <w:rsid w:val="009C5592"/>
    <w:rsid w:val="009C5697"/>
    <w:rsid w:val="009C5840"/>
    <w:rsid w:val="009C597B"/>
    <w:rsid w:val="009C5ACE"/>
    <w:rsid w:val="009C5BE1"/>
    <w:rsid w:val="009C5EF7"/>
    <w:rsid w:val="009C61A2"/>
    <w:rsid w:val="009C61B7"/>
    <w:rsid w:val="009C6209"/>
    <w:rsid w:val="009C6368"/>
    <w:rsid w:val="009C6414"/>
    <w:rsid w:val="009C6524"/>
    <w:rsid w:val="009C66F9"/>
    <w:rsid w:val="009C6889"/>
    <w:rsid w:val="009C6906"/>
    <w:rsid w:val="009C695D"/>
    <w:rsid w:val="009C6AE7"/>
    <w:rsid w:val="009C6B53"/>
    <w:rsid w:val="009C6D27"/>
    <w:rsid w:val="009C6D7F"/>
    <w:rsid w:val="009C6E12"/>
    <w:rsid w:val="009C6FC4"/>
    <w:rsid w:val="009C7072"/>
    <w:rsid w:val="009C7129"/>
    <w:rsid w:val="009C7507"/>
    <w:rsid w:val="009C7534"/>
    <w:rsid w:val="009C75EC"/>
    <w:rsid w:val="009C77EF"/>
    <w:rsid w:val="009C7A60"/>
    <w:rsid w:val="009C7C47"/>
    <w:rsid w:val="009C7D79"/>
    <w:rsid w:val="009C7F83"/>
    <w:rsid w:val="009C7FBE"/>
    <w:rsid w:val="009D006F"/>
    <w:rsid w:val="009D00AF"/>
    <w:rsid w:val="009D01AE"/>
    <w:rsid w:val="009D0201"/>
    <w:rsid w:val="009D0245"/>
    <w:rsid w:val="009D0326"/>
    <w:rsid w:val="009D0377"/>
    <w:rsid w:val="009D0538"/>
    <w:rsid w:val="009D07C0"/>
    <w:rsid w:val="009D090E"/>
    <w:rsid w:val="009D0B42"/>
    <w:rsid w:val="009D0B59"/>
    <w:rsid w:val="009D0C11"/>
    <w:rsid w:val="009D0CD5"/>
    <w:rsid w:val="009D0E8E"/>
    <w:rsid w:val="009D1240"/>
    <w:rsid w:val="009D13A0"/>
    <w:rsid w:val="009D15BA"/>
    <w:rsid w:val="009D16CB"/>
    <w:rsid w:val="009D1827"/>
    <w:rsid w:val="009D18CE"/>
    <w:rsid w:val="009D19C9"/>
    <w:rsid w:val="009D1BC4"/>
    <w:rsid w:val="009D1CC0"/>
    <w:rsid w:val="009D1EB8"/>
    <w:rsid w:val="009D1FDA"/>
    <w:rsid w:val="009D21DA"/>
    <w:rsid w:val="009D2206"/>
    <w:rsid w:val="009D22FE"/>
    <w:rsid w:val="009D248E"/>
    <w:rsid w:val="009D2508"/>
    <w:rsid w:val="009D28FB"/>
    <w:rsid w:val="009D2933"/>
    <w:rsid w:val="009D29F3"/>
    <w:rsid w:val="009D2FD9"/>
    <w:rsid w:val="009D3143"/>
    <w:rsid w:val="009D3168"/>
    <w:rsid w:val="009D320C"/>
    <w:rsid w:val="009D3213"/>
    <w:rsid w:val="009D3525"/>
    <w:rsid w:val="009D35A4"/>
    <w:rsid w:val="009D3764"/>
    <w:rsid w:val="009D3922"/>
    <w:rsid w:val="009D3942"/>
    <w:rsid w:val="009D3B2C"/>
    <w:rsid w:val="009D3C42"/>
    <w:rsid w:val="009D3D71"/>
    <w:rsid w:val="009D3D9B"/>
    <w:rsid w:val="009D3E9B"/>
    <w:rsid w:val="009D3F0E"/>
    <w:rsid w:val="009D3F57"/>
    <w:rsid w:val="009D4045"/>
    <w:rsid w:val="009D40CB"/>
    <w:rsid w:val="009D41D8"/>
    <w:rsid w:val="009D446D"/>
    <w:rsid w:val="009D448B"/>
    <w:rsid w:val="009D45E2"/>
    <w:rsid w:val="009D4601"/>
    <w:rsid w:val="009D46F1"/>
    <w:rsid w:val="009D4775"/>
    <w:rsid w:val="009D4A9C"/>
    <w:rsid w:val="009D4AB6"/>
    <w:rsid w:val="009D4B09"/>
    <w:rsid w:val="009D4B6E"/>
    <w:rsid w:val="009D4B80"/>
    <w:rsid w:val="009D4DC5"/>
    <w:rsid w:val="009D5078"/>
    <w:rsid w:val="009D514D"/>
    <w:rsid w:val="009D5279"/>
    <w:rsid w:val="009D54C4"/>
    <w:rsid w:val="009D5922"/>
    <w:rsid w:val="009D5963"/>
    <w:rsid w:val="009D5A67"/>
    <w:rsid w:val="009D5B80"/>
    <w:rsid w:val="009D5B92"/>
    <w:rsid w:val="009D5C5C"/>
    <w:rsid w:val="009D5CB5"/>
    <w:rsid w:val="009D5E0A"/>
    <w:rsid w:val="009D5E35"/>
    <w:rsid w:val="009D5EA7"/>
    <w:rsid w:val="009D5EFF"/>
    <w:rsid w:val="009D5F0E"/>
    <w:rsid w:val="009D5F6B"/>
    <w:rsid w:val="009D60A9"/>
    <w:rsid w:val="009D61FC"/>
    <w:rsid w:val="009D65C5"/>
    <w:rsid w:val="009D6744"/>
    <w:rsid w:val="009D6801"/>
    <w:rsid w:val="009D6AE2"/>
    <w:rsid w:val="009D6C29"/>
    <w:rsid w:val="009D6C3C"/>
    <w:rsid w:val="009D6CF2"/>
    <w:rsid w:val="009D6E41"/>
    <w:rsid w:val="009D6E5F"/>
    <w:rsid w:val="009D70D6"/>
    <w:rsid w:val="009D7260"/>
    <w:rsid w:val="009D73B2"/>
    <w:rsid w:val="009D7472"/>
    <w:rsid w:val="009D7482"/>
    <w:rsid w:val="009D7636"/>
    <w:rsid w:val="009D7666"/>
    <w:rsid w:val="009D772A"/>
    <w:rsid w:val="009D7786"/>
    <w:rsid w:val="009D79B5"/>
    <w:rsid w:val="009D7B29"/>
    <w:rsid w:val="009D7DB4"/>
    <w:rsid w:val="009D7F2E"/>
    <w:rsid w:val="009E0082"/>
    <w:rsid w:val="009E0124"/>
    <w:rsid w:val="009E0127"/>
    <w:rsid w:val="009E0281"/>
    <w:rsid w:val="009E0578"/>
    <w:rsid w:val="009E05B1"/>
    <w:rsid w:val="009E05B9"/>
    <w:rsid w:val="009E067B"/>
    <w:rsid w:val="009E0834"/>
    <w:rsid w:val="009E097D"/>
    <w:rsid w:val="009E0ACC"/>
    <w:rsid w:val="009E0C88"/>
    <w:rsid w:val="009E0CE4"/>
    <w:rsid w:val="009E0D8C"/>
    <w:rsid w:val="009E0EC5"/>
    <w:rsid w:val="009E0F48"/>
    <w:rsid w:val="009E1158"/>
    <w:rsid w:val="009E118E"/>
    <w:rsid w:val="009E11B2"/>
    <w:rsid w:val="009E1253"/>
    <w:rsid w:val="009E13AD"/>
    <w:rsid w:val="009E140F"/>
    <w:rsid w:val="009E1424"/>
    <w:rsid w:val="009E1539"/>
    <w:rsid w:val="009E1622"/>
    <w:rsid w:val="009E1626"/>
    <w:rsid w:val="009E173E"/>
    <w:rsid w:val="009E1954"/>
    <w:rsid w:val="009E1D25"/>
    <w:rsid w:val="009E1D8D"/>
    <w:rsid w:val="009E1EA9"/>
    <w:rsid w:val="009E1F27"/>
    <w:rsid w:val="009E1F4A"/>
    <w:rsid w:val="009E208D"/>
    <w:rsid w:val="009E230F"/>
    <w:rsid w:val="009E2479"/>
    <w:rsid w:val="009E24B5"/>
    <w:rsid w:val="009E250A"/>
    <w:rsid w:val="009E25EE"/>
    <w:rsid w:val="009E2B22"/>
    <w:rsid w:val="009E2BD4"/>
    <w:rsid w:val="009E2C43"/>
    <w:rsid w:val="009E2C53"/>
    <w:rsid w:val="009E2CDE"/>
    <w:rsid w:val="009E2D83"/>
    <w:rsid w:val="009E2DC8"/>
    <w:rsid w:val="009E2EDF"/>
    <w:rsid w:val="009E350A"/>
    <w:rsid w:val="009E360B"/>
    <w:rsid w:val="009E362B"/>
    <w:rsid w:val="009E380E"/>
    <w:rsid w:val="009E3A93"/>
    <w:rsid w:val="009E3AC1"/>
    <w:rsid w:val="009E3B22"/>
    <w:rsid w:val="009E3DE4"/>
    <w:rsid w:val="009E3F05"/>
    <w:rsid w:val="009E3FBD"/>
    <w:rsid w:val="009E4032"/>
    <w:rsid w:val="009E4069"/>
    <w:rsid w:val="009E44A8"/>
    <w:rsid w:val="009E458A"/>
    <w:rsid w:val="009E47E0"/>
    <w:rsid w:val="009E4833"/>
    <w:rsid w:val="009E48DB"/>
    <w:rsid w:val="009E48DC"/>
    <w:rsid w:val="009E4E1F"/>
    <w:rsid w:val="009E4E50"/>
    <w:rsid w:val="009E4F1F"/>
    <w:rsid w:val="009E50C5"/>
    <w:rsid w:val="009E5136"/>
    <w:rsid w:val="009E51AF"/>
    <w:rsid w:val="009E51F1"/>
    <w:rsid w:val="009E52FF"/>
    <w:rsid w:val="009E5329"/>
    <w:rsid w:val="009E5337"/>
    <w:rsid w:val="009E5543"/>
    <w:rsid w:val="009E578D"/>
    <w:rsid w:val="009E57B6"/>
    <w:rsid w:val="009E5824"/>
    <w:rsid w:val="009E58D5"/>
    <w:rsid w:val="009E58F4"/>
    <w:rsid w:val="009E5976"/>
    <w:rsid w:val="009E5A0B"/>
    <w:rsid w:val="009E5A45"/>
    <w:rsid w:val="009E5A5A"/>
    <w:rsid w:val="009E5A67"/>
    <w:rsid w:val="009E5B79"/>
    <w:rsid w:val="009E603D"/>
    <w:rsid w:val="009E6058"/>
    <w:rsid w:val="009E61E6"/>
    <w:rsid w:val="009E62B7"/>
    <w:rsid w:val="009E6322"/>
    <w:rsid w:val="009E63D2"/>
    <w:rsid w:val="009E63EE"/>
    <w:rsid w:val="009E65C7"/>
    <w:rsid w:val="009E664B"/>
    <w:rsid w:val="009E66B2"/>
    <w:rsid w:val="009E671B"/>
    <w:rsid w:val="009E6A14"/>
    <w:rsid w:val="009E6AAC"/>
    <w:rsid w:val="009E6B19"/>
    <w:rsid w:val="009E6E2B"/>
    <w:rsid w:val="009E710A"/>
    <w:rsid w:val="009E75DA"/>
    <w:rsid w:val="009E7679"/>
    <w:rsid w:val="009E7ACA"/>
    <w:rsid w:val="009E7E1C"/>
    <w:rsid w:val="009F0028"/>
    <w:rsid w:val="009F0083"/>
    <w:rsid w:val="009F013D"/>
    <w:rsid w:val="009F02BF"/>
    <w:rsid w:val="009F02FA"/>
    <w:rsid w:val="009F03B3"/>
    <w:rsid w:val="009F0550"/>
    <w:rsid w:val="009F05F7"/>
    <w:rsid w:val="009F0667"/>
    <w:rsid w:val="009F0879"/>
    <w:rsid w:val="009F0970"/>
    <w:rsid w:val="009F0B70"/>
    <w:rsid w:val="009F0D00"/>
    <w:rsid w:val="009F0FC2"/>
    <w:rsid w:val="009F1052"/>
    <w:rsid w:val="009F10D1"/>
    <w:rsid w:val="009F10F5"/>
    <w:rsid w:val="009F1393"/>
    <w:rsid w:val="009F15D2"/>
    <w:rsid w:val="009F169C"/>
    <w:rsid w:val="009F16FE"/>
    <w:rsid w:val="009F1BE8"/>
    <w:rsid w:val="009F1C22"/>
    <w:rsid w:val="009F1DB2"/>
    <w:rsid w:val="009F1F3B"/>
    <w:rsid w:val="009F1F7F"/>
    <w:rsid w:val="009F1FC6"/>
    <w:rsid w:val="009F211C"/>
    <w:rsid w:val="009F2181"/>
    <w:rsid w:val="009F2512"/>
    <w:rsid w:val="009F2621"/>
    <w:rsid w:val="009F292D"/>
    <w:rsid w:val="009F295F"/>
    <w:rsid w:val="009F2BD1"/>
    <w:rsid w:val="009F2D53"/>
    <w:rsid w:val="009F2D7F"/>
    <w:rsid w:val="009F2DC8"/>
    <w:rsid w:val="009F2DD8"/>
    <w:rsid w:val="009F2EE2"/>
    <w:rsid w:val="009F2F11"/>
    <w:rsid w:val="009F3221"/>
    <w:rsid w:val="009F3332"/>
    <w:rsid w:val="009F341F"/>
    <w:rsid w:val="009F3939"/>
    <w:rsid w:val="009F3ED0"/>
    <w:rsid w:val="009F401A"/>
    <w:rsid w:val="009F40C8"/>
    <w:rsid w:val="009F4159"/>
    <w:rsid w:val="009F41DC"/>
    <w:rsid w:val="009F440E"/>
    <w:rsid w:val="009F441A"/>
    <w:rsid w:val="009F45F9"/>
    <w:rsid w:val="009F467C"/>
    <w:rsid w:val="009F4775"/>
    <w:rsid w:val="009F47D8"/>
    <w:rsid w:val="009F48D3"/>
    <w:rsid w:val="009F4CA8"/>
    <w:rsid w:val="009F4EBB"/>
    <w:rsid w:val="009F4F7B"/>
    <w:rsid w:val="009F4FF9"/>
    <w:rsid w:val="009F5032"/>
    <w:rsid w:val="009F540E"/>
    <w:rsid w:val="009F5430"/>
    <w:rsid w:val="009F5953"/>
    <w:rsid w:val="009F5C58"/>
    <w:rsid w:val="009F5CEF"/>
    <w:rsid w:val="009F5D3D"/>
    <w:rsid w:val="009F5FB4"/>
    <w:rsid w:val="009F5FD8"/>
    <w:rsid w:val="009F61F6"/>
    <w:rsid w:val="009F6211"/>
    <w:rsid w:val="009F6367"/>
    <w:rsid w:val="009F6430"/>
    <w:rsid w:val="009F64DC"/>
    <w:rsid w:val="009F64F2"/>
    <w:rsid w:val="009F6611"/>
    <w:rsid w:val="009F671E"/>
    <w:rsid w:val="009F6A0A"/>
    <w:rsid w:val="009F6E00"/>
    <w:rsid w:val="009F6E70"/>
    <w:rsid w:val="009F6FD7"/>
    <w:rsid w:val="009F7013"/>
    <w:rsid w:val="009F70E6"/>
    <w:rsid w:val="009F713C"/>
    <w:rsid w:val="009F72B1"/>
    <w:rsid w:val="009F7374"/>
    <w:rsid w:val="009F764A"/>
    <w:rsid w:val="009F770C"/>
    <w:rsid w:val="009F7904"/>
    <w:rsid w:val="009F7B23"/>
    <w:rsid w:val="009F7C2A"/>
    <w:rsid w:val="009F7CC6"/>
    <w:rsid w:val="009F7D3B"/>
    <w:rsid w:val="009F7E25"/>
    <w:rsid w:val="009F7EA0"/>
    <w:rsid w:val="009F7F9C"/>
    <w:rsid w:val="00A001C1"/>
    <w:rsid w:val="00A0069D"/>
    <w:rsid w:val="00A009A6"/>
    <w:rsid w:val="00A00A46"/>
    <w:rsid w:val="00A00B77"/>
    <w:rsid w:val="00A00DFC"/>
    <w:rsid w:val="00A00E02"/>
    <w:rsid w:val="00A00E6B"/>
    <w:rsid w:val="00A0103B"/>
    <w:rsid w:val="00A011C8"/>
    <w:rsid w:val="00A012B3"/>
    <w:rsid w:val="00A01428"/>
    <w:rsid w:val="00A014C3"/>
    <w:rsid w:val="00A01532"/>
    <w:rsid w:val="00A01793"/>
    <w:rsid w:val="00A01AB7"/>
    <w:rsid w:val="00A01B3F"/>
    <w:rsid w:val="00A01FB3"/>
    <w:rsid w:val="00A0208B"/>
    <w:rsid w:val="00A02116"/>
    <w:rsid w:val="00A02266"/>
    <w:rsid w:val="00A022B5"/>
    <w:rsid w:val="00A0241F"/>
    <w:rsid w:val="00A0251D"/>
    <w:rsid w:val="00A02677"/>
    <w:rsid w:val="00A028C1"/>
    <w:rsid w:val="00A029B5"/>
    <w:rsid w:val="00A029DF"/>
    <w:rsid w:val="00A02A00"/>
    <w:rsid w:val="00A03100"/>
    <w:rsid w:val="00A03258"/>
    <w:rsid w:val="00A03296"/>
    <w:rsid w:val="00A0330F"/>
    <w:rsid w:val="00A03451"/>
    <w:rsid w:val="00A035AE"/>
    <w:rsid w:val="00A0373F"/>
    <w:rsid w:val="00A03768"/>
    <w:rsid w:val="00A038A1"/>
    <w:rsid w:val="00A038D0"/>
    <w:rsid w:val="00A03997"/>
    <w:rsid w:val="00A03A09"/>
    <w:rsid w:val="00A03A30"/>
    <w:rsid w:val="00A03A7F"/>
    <w:rsid w:val="00A03B86"/>
    <w:rsid w:val="00A03D75"/>
    <w:rsid w:val="00A03DA5"/>
    <w:rsid w:val="00A03DF5"/>
    <w:rsid w:val="00A03FE3"/>
    <w:rsid w:val="00A04052"/>
    <w:rsid w:val="00A04234"/>
    <w:rsid w:val="00A0426E"/>
    <w:rsid w:val="00A043A6"/>
    <w:rsid w:val="00A043A9"/>
    <w:rsid w:val="00A04494"/>
    <w:rsid w:val="00A0459E"/>
    <w:rsid w:val="00A045D4"/>
    <w:rsid w:val="00A047AD"/>
    <w:rsid w:val="00A0491A"/>
    <w:rsid w:val="00A049D7"/>
    <w:rsid w:val="00A04A97"/>
    <w:rsid w:val="00A04AC7"/>
    <w:rsid w:val="00A04BD1"/>
    <w:rsid w:val="00A04CFA"/>
    <w:rsid w:val="00A04D02"/>
    <w:rsid w:val="00A04F1B"/>
    <w:rsid w:val="00A04F5C"/>
    <w:rsid w:val="00A050AA"/>
    <w:rsid w:val="00A05166"/>
    <w:rsid w:val="00A051A1"/>
    <w:rsid w:val="00A052B3"/>
    <w:rsid w:val="00A05313"/>
    <w:rsid w:val="00A05391"/>
    <w:rsid w:val="00A054F5"/>
    <w:rsid w:val="00A05674"/>
    <w:rsid w:val="00A0569B"/>
    <w:rsid w:val="00A05A0D"/>
    <w:rsid w:val="00A05C87"/>
    <w:rsid w:val="00A05DE6"/>
    <w:rsid w:val="00A05E65"/>
    <w:rsid w:val="00A05F13"/>
    <w:rsid w:val="00A0601F"/>
    <w:rsid w:val="00A06132"/>
    <w:rsid w:val="00A0627E"/>
    <w:rsid w:val="00A0643D"/>
    <w:rsid w:val="00A06504"/>
    <w:rsid w:val="00A06584"/>
    <w:rsid w:val="00A065A9"/>
    <w:rsid w:val="00A065E0"/>
    <w:rsid w:val="00A065F2"/>
    <w:rsid w:val="00A067D4"/>
    <w:rsid w:val="00A068C3"/>
    <w:rsid w:val="00A0695E"/>
    <w:rsid w:val="00A06AAB"/>
    <w:rsid w:val="00A06B58"/>
    <w:rsid w:val="00A06C8B"/>
    <w:rsid w:val="00A06C8C"/>
    <w:rsid w:val="00A06D3C"/>
    <w:rsid w:val="00A06EE8"/>
    <w:rsid w:val="00A06F95"/>
    <w:rsid w:val="00A06FE6"/>
    <w:rsid w:val="00A07029"/>
    <w:rsid w:val="00A0720E"/>
    <w:rsid w:val="00A0722B"/>
    <w:rsid w:val="00A0725F"/>
    <w:rsid w:val="00A072B6"/>
    <w:rsid w:val="00A07342"/>
    <w:rsid w:val="00A07406"/>
    <w:rsid w:val="00A07497"/>
    <w:rsid w:val="00A074AA"/>
    <w:rsid w:val="00A07653"/>
    <w:rsid w:val="00A07706"/>
    <w:rsid w:val="00A077A7"/>
    <w:rsid w:val="00A077C3"/>
    <w:rsid w:val="00A07825"/>
    <w:rsid w:val="00A07866"/>
    <w:rsid w:val="00A07A8D"/>
    <w:rsid w:val="00A07A90"/>
    <w:rsid w:val="00A07ADE"/>
    <w:rsid w:val="00A07C0A"/>
    <w:rsid w:val="00A07D31"/>
    <w:rsid w:val="00A07D4D"/>
    <w:rsid w:val="00A07E63"/>
    <w:rsid w:val="00A07EEE"/>
    <w:rsid w:val="00A07F1A"/>
    <w:rsid w:val="00A07F1D"/>
    <w:rsid w:val="00A10034"/>
    <w:rsid w:val="00A100F0"/>
    <w:rsid w:val="00A10242"/>
    <w:rsid w:val="00A1048E"/>
    <w:rsid w:val="00A105A7"/>
    <w:rsid w:val="00A10764"/>
    <w:rsid w:val="00A10839"/>
    <w:rsid w:val="00A10892"/>
    <w:rsid w:val="00A108CD"/>
    <w:rsid w:val="00A10D4D"/>
    <w:rsid w:val="00A10E9C"/>
    <w:rsid w:val="00A10EBE"/>
    <w:rsid w:val="00A10F57"/>
    <w:rsid w:val="00A10FBC"/>
    <w:rsid w:val="00A11027"/>
    <w:rsid w:val="00A1129D"/>
    <w:rsid w:val="00A1134B"/>
    <w:rsid w:val="00A113DF"/>
    <w:rsid w:val="00A1158B"/>
    <w:rsid w:val="00A1164B"/>
    <w:rsid w:val="00A116AA"/>
    <w:rsid w:val="00A116D3"/>
    <w:rsid w:val="00A1185C"/>
    <w:rsid w:val="00A1185E"/>
    <w:rsid w:val="00A11864"/>
    <w:rsid w:val="00A1189F"/>
    <w:rsid w:val="00A118C6"/>
    <w:rsid w:val="00A11CB9"/>
    <w:rsid w:val="00A11D5D"/>
    <w:rsid w:val="00A11FE0"/>
    <w:rsid w:val="00A12148"/>
    <w:rsid w:val="00A1227F"/>
    <w:rsid w:val="00A1233E"/>
    <w:rsid w:val="00A12402"/>
    <w:rsid w:val="00A12587"/>
    <w:rsid w:val="00A1275B"/>
    <w:rsid w:val="00A1293D"/>
    <w:rsid w:val="00A12A00"/>
    <w:rsid w:val="00A12BBC"/>
    <w:rsid w:val="00A12BF3"/>
    <w:rsid w:val="00A12F9F"/>
    <w:rsid w:val="00A12FE0"/>
    <w:rsid w:val="00A13026"/>
    <w:rsid w:val="00A130F4"/>
    <w:rsid w:val="00A13177"/>
    <w:rsid w:val="00A13233"/>
    <w:rsid w:val="00A134A9"/>
    <w:rsid w:val="00A134E5"/>
    <w:rsid w:val="00A135BA"/>
    <w:rsid w:val="00A13733"/>
    <w:rsid w:val="00A13804"/>
    <w:rsid w:val="00A13979"/>
    <w:rsid w:val="00A13E2F"/>
    <w:rsid w:val="00A13E71"/>
    <w:rsid w:val="00A13F76"/>
    <w:rsid w:val="00A1416A"/>
    <w:rsid w:val="00A146E3"/>
    <w:rsid w:val="00A14AF5"/>
    <w:rsid w:val="00A14C00"/>
    <w:rsid w:val="00A14C8B"/>
    <w:rsid w:val="00A15021"/>
    <w:rsid w:val="00A150CB"/>
    <w:rsid w:val="00A15242"/>
    <w:rsid w:val="00A15582"/>
    <w:rsid w:val="00A15A3B"/>
    <w:rsid w:val="00A15D33"/>
    <w:rsid w:val="00A15FD0"/>
    <w:rsid w:val="00A16004"/>
    <w:rsid w:val="00A162EF"/>
    <w:rsid w:val="00A16342"/>
    <w:rsid w:val="00A163D8"/>
    <w:rsid w:val="00A163FD"/>
    <w:rsid w:val="00A164B4"/>
    <w:rsid w:val="00A164B8"/>
    <w:rsid w:val="00A1680B"/>
    <w:rsid w:val="00A16ABE"/>
    <w:rsid w:val="00A16D24"/>
    <w:rsid w:val="00A16DB3"/>
    <w:rsid w:val="00A16DEE"/>
    <w:rsid w:val="00A16E29"/>
    <w:rsid w:val="00A16EEA"/>
    <w:rsid w:val="00A170D3"/>
    <w:rsid w:val="00A1725F"/>
    <w:rsid w:val="00A172E3"/>
    <w:rsid w:val="00A173BD"/>
    <w:rsid w:val="00A17427"/>
    <w:rsid w:val="00A1743F"/>
    <w:rsid w:val="00A1746C"/>
    <w:rsid w:val="00A1748E"/>
    <w:rsid w:val="00A175E6"/>
    <w:rsid w:val="00A178CA"/>
    <w:rsid w:val="00A1790F"/>
    <w:rsid w:val="00A17987"/>
    <w:rsid w:val="00A17BB0"/>
    <w:rsid w:val="00A17C8B"/>
    <w:rsid w:val="00A17CE8"/>
    <w:rsid w:val="00A17DD0"/>
    <w:rsid w:val="00A17E2E"/>
    <w:rsid w:val="00A17E47"/>
    <w:rsid w:val="00A17E7F"/>
    <w:rsid w:val="00A17F02"/>
    <w:rsid w:val="00A200BF"/>
    <w:rsid w:val="00A201B8"/>
    <w:rsid w:val="00A20620"/>
    <w:rsid w:val="00A2071F"/>
    <w:rsid w:val="00A20748"/>
    <w:rsid w:val="00A20C1C"/>
    <w:rsid w:val="00A20C4A"/>
    <w:rsid w:val="00A20E7E"/>
    <w:rsid w:val="00A211F8"/>
    <w:rsid w:val="00A213C9"/>
    <w:rsid w:val="00A21439"/>
    <w:rsid w:val="00A214E6"/>
    <w:rsid w:val="00A214F3"/>
    <w:rsid w:val="00A2187D"/>
    <w:rsid w:val="00A21889"/>
    <w:rsid w:val="00A2193A"/>
    <w:rsid w:val="00A21A0A"/>
    <w:rsid w:val="00A21B52"/>
    <w:rsid w:val="00A21C04"/>
    <w:rsid w:val="00A21D17"/>
    <w:rsid w:val="00A21D54"/>
    <w:rsid w:val="00A21F55"/>
    <w:rsid w:val="00A2201F"/>
    <w:rsid w:val="00A2212E"/>
    <w:rsid w:val="00A22454"/>
    <w:rsid w:val="00A2252C"/>
    <w:rsid w:val="00A2258B"/>
    <w:rsid w:val="00A225E0"/>
    <w:rsid w:val="00A2271B"/>
    <w:rsid w:val="00A22837"/>
    <w:rsid w:val="00A228A4"/>
    <w:rsid w:val="00A22A9D"/>
    <w:rsid w:val="00A22AD2"/>
    <w:rsid w:val="00A22B01"/>
    <w:rsid w:val="00A22B72"/>
    <w:rsid w:val="00A22C11"/>
    <w:rsid w:val="00A22C9C"/>
    <w:rsid w:val="00A22F0D"/>
    <w:rsid w:val="00A23071"/>
    <w:rsid w:val="00A23092"/>
    <w:rsid w:val="00A23096"/>
    <w:rsid w:val="00A230F2"/>
    <w:rsid w:val="00A231F8"/>
    <w:rsid w:val="00A23298"/>
    <w:rsid w:val="00A233A1"/>
    <w:rsid w:val="00A2351A"/>
    <w:rsid w:val="00A235E0"/>
    <w:rsid w:val="00A23836"/>
    <w:rsid w:val="00A238A2"/>
    <w:rsid w:val="00A23983"/>
    <w:rsid w:val="00A23C0C"/>
    <w:rsid w:val="00A23DCF"/>
    <w:rsid w:val="00A23EA1"/>
    <w:rsid w:val="00A23F25"/>
    <w:rsid w:val="00A23F9D"/>
    <w:rsid w:val="00A2417E"/>
    <w:rsid w:val="00A24274"/>
    <w:rsid w:val="00A2433F"/>
    <w:rsid w:val="00A24502"/>
    <w:rsid w:val="00A24638"/>
    <w:rsid w:val="00A2472B"/>
    <w:rsid w:val="00A247A8"/>
    <w:rsid w:val="00A24802"/>
    <w:rsid w:val="00A248EA"/>
    <w:rsid w:val="00A24A42"/>
    <w:rsid w:val="00A24BF3"/>
    <w:rsid w:val="00A24D4D"/>
    <w:rsid w:val="00A24D81"/>
    <w:rsid w:val="00A24DBF"/>
    <w:rsid w:val="00A24DD7"/>
    <w:rsid w:val="00A24E0B"/>
    <w:rsid w:val="00A24E61"/>
    <w:rsid w:val="00A2508C"/>
    <w:rsid w:val="00A2526E"/>
    <w:rsid w:val="00A253BD"/>
    <w:rsid w:val="00A25621"/>
    <w:rsid w:val="00A2593F"/>
    <w:rsid w:val="00A25A80"/>
    <w:rsid w:val="00A25DF0"/>
    <w:rsid w:val="00A25E0D"/>
    <w:rsid w:val="00A260CB"/>
    <w:rsid w:val="00A26190"/>
    <w:rsid w:val="00A261A0"/>
    <w:rsid w:val="00A263FE"/>
    <w:rsid w:val="00A2644E"/>
    <w:rsid w:val="00A264D5"/>
    <w:rsid w:val="00A26531"/>
    <w:rsid w:val="00A26581"/>
    <w:rsid w:val="00A265EA"/>
    <w:rsid w:val="00A268C1"/>
    <w:rsid w:val="00A2691B"/>
    <w:rsid w:val="00A269F6"/>
    <w:rsid w:val="00A26A4E"/>
    <w:rsid w:val="00A26AB2"/>
    <w:rsid w:val="00A26F2E"/>
    <w:rsid w:val="00A26F54"/>
    <w:rsid w:val="00A26FF6"/>
    <w:rsid w:val="00A2708B"/>
    <w:rsid w:val="00A27139"/>
    <w:rsid w:val="00A2717B"/>
    <w:rsid w:val="00A271D5"/>
    <w:rsid w:val="00A2720A"/>
    <w:rsid w:val="00A2727A"/>
    <w:rsid w:val="00A272F1"/>
    <w:rsid w:val="00A2737E"/>
    <w:rsid w:val="00A27484"/>
    <w:rsid w:val="00A27589"/>
    <w:rsid w:val="00A27597"/>
    <w:rsid w:val="00A275E5"/>
    <w:rsid w:val="00A27612"/>
    <w:rsid w:val="00A27672"/>
    <w:rsid w:val="00A27763"/>
    <w:rsid w:val="00A27A07"/>
    <w:rsid w:val="00A27A14"/>
    <w:rsid w:val="00A27D83"/>
    <w:rsid w:val="00A27DAA"/>
    <w:rsid w:val="00A27E9A"/>
    <w:rsid w:val="00A30188"/>
    <w:rsid w:val="00A30294"/>
    <w:rsid w:val="00A3039C"/>
    <w:rsid w:val="00A3043E"/>
    <w:rsid w:val="00A306C4"/>
    <w:rsid w:val="00A30770"/>
    <w:rsid w:val="00A3080B"/>
    <w:rsid w:val="00A308A0"/>
    <w:rsid w:val="00A30939"/>
    <w:rsid w:val="00A309FE"/>
    <w:rsid w:val="00A30B21"/>
    <w:rsid w:val="00A30C1E"/>
    <w:rsid w:val="00A30D35"/>
    <w:rsid w:val="00A30E6A"/>
    <w:rsid w:val="00A30F89"/>
    <w:rsid w:val="00A311CC"/>
    <w:rsid w:val="00A311E9"/>
    <w:rsid w:val="00A311F8"/>
    <w:rsid w:val="00A31237"/>
    <w:rsid w:val="00A3143B"/>
    <w:rsid w:val="00A3146C"/>
    <w:rsid w:val="00A31638"/>
    <w:rsid w:val="00A316A1"/>
    <w:rsid w:val="00A319E4"/>
    <w:rsid w:val="00A31A18"/>
    <w:rsid w:val="00A31A56"/>
    <w:rsid w:val="00A31E1A"/>
    <w:rsid w:val="00A31F5B"/>
    <w:rsid w:val="00A31FE2"/>
    <w:rsid w:val="00A321EE"/>
    <w:rsid w:val="00A32627"/>
    <w:rsid w:val="00A3267C"/>
    <w:rsid w:val="00A327DA"/>
    <w:rsid w:val="00A32A04"/>
    <w:rsid w:val="00A32B25"/>
    <w:rsid w:val="00A32C21"/>
    <w:rsid w:val="00A32D33"/>
    <w:rsid w:val="00A32DAF"/>
    <w:rsid w:val="00A32E82"/>
    <w:rsid w:val="00A3302A"/>
    <w:rsid w:val="00A330B0"/>
    <w:rsid w:val="00A330B7"/>
    <w:rsid w:val="00A332FB"/>
    <w:rsid w:val="00A333DB"/>
    <w:rsid w:val="00A3344E"/>
    <w:rsid w:val="00A3346D"/>
    <w:rsid w:val="00A33492"/>
    <w:rsid w:val="00A334F0"/>
    <w:rsid w:val="00A33762"/>
    <w:rsid w:val="00A33A2F"/>
    <w:rsid w:val="00A33A93"/>
    <w:rsid w:val="00A33CA1"/>
    <w:rsid w:val="00A33E70"/>
    <w:rsid w:val="00A33FD7"/>
    <w:rsid w:val="00A33FEE"/>
    <w:rsid w:val="00A340B3"/>
    <w:rsid w:val="00A341D9"/>
    <w:rsid w:val="00A3422D"/>
    <w:rsid w:val="00A34382"/>
    <w:rsid w:val="00A344E7"/>
    <w:rsid w:val="00A346DA"/>
    <w:rsid w:val="00A34765"/>
    <w:rsid w:val="00A34973"/>
    <w:rsid w:val="00A349BE"/>
    <w:rsid w:val="00A34D6D"/>
    <w:rsid w:val="00A34DA6"/>
    <w:rsid w:val="00A34FBD"/>
    <w:rsid w:val="00A3518E"/>
    <w:rsid w:val="00A3524C"/>
    <w:rsid w:val="00A3527D"/>
    <w:rsid w:val="00A353D4"/>
    <w:rsid w:val="00A35464"/>
    <w:rsid w:val="00A35520"/>
    <w:rsid w:val="00A355CD"/>
    <w:rsid w:val="00A357F5"/>
    <w:rsid w:val="00A35888"/>
    <w:rsid w:val="00A35A82"/>
    <w:rsid w:val="00A35B5A"/>
    <w:rsid w:val="00A35B78"/>
    <w:rsid w:val="00A36011"/>
    <w:rsid w:val="00A36232"/>
    <w:rsid w:val="00A3628A"/>
    <w:rsid w:val="00A36338"/>
    <w:rsid w:val="00A364EE"/>
    <w:rsid w:val="00A366CD"/>
    <w:rsid w:val="00A366E9"/>
    <w:rsid w:val="00A368B3"/>
    <w:rsid w:val="00A36959"/>
    <w:rsid w:val="00A36BFD"/>
    <w:rsid w:val="00A36DAC"/>
    <w:rsid w:val="00A37132"/>
    <w:rsid w:val="00A37180"/>
    <w:rsid w:val="00A372DF"/>
    <w:rsid w:val="00A37465"/>
    <w:rsid w:val="00A37517"/>
    <w:rsid w:val="00A3757D"/>
    <w:rsid w:val="00A375DE"/>
    <w:rsid w:val="00A37646"/>
    <w:rsid w:val="00A378B3"/>
    <w:rsid w:val="00A378CB"/>
    <w:rsid w:val="00A378EB"/>
    <w:rsid w:val="00A37922"/>
    <w:rsid w:val="00A37B1D"/>
    <w:rsid w:val="00A37D21"/>
    <w:rsid w:val="00A40438"/>
    <w:rsid w:val="00A40D15"/>
    <w:rsid w:val="00A40D75"/>
    <w:rsid w:val="00A40DFB"/>
    <w:rsid w:val="00A40F61"/>
    <w:rsid w:val="00A411A4"/>
    <w:rsid w:val="00A411A7"/>
    <w:rsid w:val="00A415DB"/>
    <w:rsid w:val="00A41627"/>
    <w:rsid w:val="00A416E7"/>
    <w:rsid w:val="00A416EF"/>
    <w:rsid w:val="00A41776"/>
    <w:rsid w:val="00A4196B"/>
    <w:rsid w:val="00A419AC"/>
    <w:rsid w:val="00A419DB"/>
    <w:rsid w:val="00A41C78"/>
    <w:rsid w:val="00A41C87"/>
    <w:rsid w:val="00A41D90"/>
    <w:rsid w:val="00A41EEB"/>
    <w:rsid w:val="00A41FE3"/>
    <w:rsid w:val="00A42140"/>
    <w:rsid w:val="00A421D3"/>
    <w:rsid w:val="00A42466"/>
    <w:rsid w:val="00A424B7"/>
    <w:rsid w:val="00A42701"/>
    <w:rsid w:val="00A42CFA"/>
    <w:rsid w:val="00A42EAB"/>
    <w:rsid w:val="00A43381"/>
    <w:rsid w:val="00A434EA"/>
    <w:rsid w:val="00A4359F"/>
    <w:rsid w:val="00A4360F"/>
    <w:rsid w:val="00A436D3"/>
    <w:rsid w:val="00A43912"/>
    <w:rsid w:val="00A43A1D"/>
    <w:rsid w:val="00A43D57"/>
    <w:rsid w:val="00A43D6E"/>
    <w:rsid w:val="00A43EB2"/>
    <w:rsid w:val="00A43F30"/>
    <w:rsid w:val="00A43F3A"/>
    <w:rsid w:val="00A43F7E"/>
    <w:rsid w:val="00A44020"/>
    <w:rsid w:val="00A44136"/>
    <w:rsid w:val="00A441A7"/>
    <w:rsid w:val="00A4425E"/>
    <w:rsid w:val="00A443BF"/>
    <w:rsid w:val="00A443D9"/>
    <w:rsid w:val="00A44444"/>
    <w:rsid w:val="00A44579"/>
    <w:rsid w:val="00A44584"/>
    <w:rsid w:val="00A445D3"/>
    <w:rsid w:val="00A447A1"/>
    <w:rsid w:val="00A447F1"/>
    <w:rsid w:val="00A449DE"/>
    <w:rsid w:val="00A44ABF"/>
    <w:rsid w:val="00A44B73"/>
    <w:rsid w:val="00A44C12"/>
    <w:rsid w:val="00A44CE1"/>
    <w:rsid w:val="00A44E71"/>
    <w:rsid w:val="00A45032"/>
    <w:rsid w:val="00A450EF"/>
    <w:rsid w:val="00A45144"/>
    <w:rsid w:val="00A45251"/>
    <w:rsid w:val="00A454C8"/>
    <w:rsid w:val="00A45606"/>
    <w:rsid w:val="00A45640"/>
    <w:rsid w:val="00A4567A"/>
    <w:rsid w:val="00A456AC"/>
    <w:rsid w:val="00A456E6"/>
    <w:rsid w:val="00A4572F"/>
    <w:rsid w:val="00A457DA"/>
    <w:rsid w:val="00A45AC1"/>
    <w:rsid w:val="00A45BD9"/>
    <w:rsid w:val="00A45BE3"/>
    <w:rsid w:val="00A45D23"/>
    <w:rsid w:val="00A46030"/>
    <w:rsid w:val="00A46561"/>
    <w:rsid w:val="00A465E4"/>
    <w:rsid w:val="00A467C2"/>
    <w:rsid w:val="00A4690D"/>
    <w:rsid w:val="00A469F2"/>
    <w:rsid w:val="00A46BBE"/>
    <w:rsid w:val="00A46BDD"/>
    <w:rsid w:val="00A46BFF"/>
    <w:rsid w:val="00A46D0B"/>
    <w:rsid w:val="00A46D15"/>
    <w:rsid w:val="00A46EBD"/>
    <w:rsid w:val="00A4701B"/>
    <w:rsid w:val="00A47186"/>
    <w:rsid w:val="00A47329"/>
    <w:rsid w:val="00A4734C"/>
    <w:rsid w:val="00A47359"/>
    <w:rsid w:val="00A47511"/>
    <w:rsid w:val="00A47BDF"/>
    <w:rsid w:val="00A47CD3"/>
    <w:rsid w:val="00A47D47"/>
    <w:rsid w:val="00A47E12"/>
    <w:rsid w:val="00A47F22"/>
    <w:rsid w:val="00A50054"/>
    <w:rsid w:val="00A50175"/>
    <w:rsid w:val="00A50293"/>
    <w:rsid w:val="00A502AD"/>
    <w:rsid w:val="00A502BA"/>
    <w:rsid w:val="00A503F8"/>
    <w:rsid w:val="00A50509"/>
    <w:rsid w:val="00A50512"/>
    <w:rsid w:val="00A50656"/>
    <w:rsid w:val="00A5072F"/>
    <w:rsid w:val="00A5074A"/>
    <w:rsid w:val="00A5074E"/>
    <w:rsid w:val="00A508D2"/>
    <w:rsid w:val="00A509DD"/>
    <w:rsid w:val="00A50A24"/>
    <w:rsid w:val="00A50D8A"/>
    <w:rsid w:val="00A50EEA"/>
    <w:rsid w:val="00A50F20"/>
    <w:rsid w:val="00A50F29"/>
    <w:rsid w:val="00A50FC6"/>
    <w:rsid w:val="00A51041"/>
    <w:rsid w:val="00A5104C"/>
    <w:rsid w:val="00A510E2"/>
    <w:rsid w:val="00A5116D"/>
    <w:rsid w:val="00A513BC"/>
    <w:rsid w:val="00A514AC"/>
    <w:rsid w:val="00A51733"/>
    <w:rsid w:val="00A51C56"/>
    <w:rsid w:val="00A51DC5"/>
    <w:rsid w:val="00A51F6F"/>
    <w:rsid w:val="00A5210A"/>
    <w:rsid w:val="00A522CE"/>
    <w:rsid w:val="00A52314"/>
    <w:rsid w:val="00A52506"/>
    <w:rsid w:val="00A5264F"/>
    <w:rsid w:val="00A5270F"/>
    <w:rsid w:val="00A527BE"/>
    <w:rsid w:val="00A52900"/>
    <w:rsid w:val="00A529CA"/>
    <w:rsid w:val="00A529E4"/>
    <w:rsid w:val="00A52AAE"/>
    <w:rsid w:val="00A52FE3"/>
    <w:rsid w:val="00A53029"/>
    <w:rsid w:val="00A53037"/>
    <w:rsid w:val="00A530D8"/>
    <w:rsid w:val="00A531FC"/>
    <w:rsid w:val="00A5335E"/>
    <w:rsid w:val="00A53413"/>
    <w:rsid w:val="00A53548"/>
    <w:rsid w:val="00A53574"/>
    <w:rsid w:val="00A5367B"/>
    <w:rsid w:val="00A536AE"/>
    <w:rsid w:val="00A536B3"/>
    <w:rsid w:val="00A536FA"/>
    <w:rsid w:val="00A5379A"/>
    <w:rsid w:val="00A53856"/>
    <w:rsid w:val="00A53AC2"/>
    <w:rsid w:val="00A53ADF"/>
    <w:rsid w:val="00A53B01"/>
    <w:rsid w:val="00A53B6A"/>
    <w:rsid w:val="00A53D39"/>
    <w:rsid w:val="00A53D92"/>
    <w:rsid w:val="00A53DD2"/>
    <w:rsid w:val="00A53F61"/>
    <w:rsid w:val="00A5401C"/>
    <w:rsid w:val="00A541A7"/>
    <w:rsid w:val="00A541C7"/>
    <w:rsid w:val="00A541EE"/>
    <w:rsid w:val="00A543DA"/>
    <w:rsid w:val="00A544B8"/>
    <w:rsid w:val="00A545ED"/>
    <w:rsid w:val="00A5472E"/>
    <w:rsid w:val="00A5473E"/>
    <w:rsid w:val="00A5481A"/>
    <w:rsid w:val="00A54AE7"/>
    <w:rsid w:val="00A54B37"/>
    <w:rsid w:val="00A54D12"/>
    <w:rsid w:val="00A54DF1"/>
    <w:rsid w:val="00A54E2F"/>
    <w:rsid w:val="00A54E71"/>
    <w:rsid w:val="00A54E78"/>
    <w:rsid w:val="00A55044"/>
    <w:rsid w:val="00A5510F"/>
    <w:rsid w:val="00A5512F"/>
    <w:rsid w:val="00A55402"/>
    <w:rsid w:val="00A554BD"/>
    <w:rsid w:val="00A555C4"/>
    <w:rsid w:val="00A555C6"/>
    <w:rsid w:val="00A555DD"/>
    <w:rsid w:val="00A55648"/>
    <w:rsid w:val="00A5570B"/>
    <w:rsid w:val="00A55761"/>
    <w:rsid w:val="00A55986"/>
    <w:rsid w:val="00A559D9"/>
    <w:rsid w:val="00A55AB2"/>
    <w:rsid w:val="00A55B58"/>
    <w:rsid w:val="00A55C3C"/>
    <w:rsid w:val="00A55E16"/>
    <w:rsid w:val="00A55EDD"/>
    <w:rsid w:val="00A55F9D"/>
    <w:rsid w:val="00A55FCF"/>
    <w:rsid w:val="00A5603D"/>
    <w:rsid w:val="00A561B6"/>
    <w:rsid w:val="00A56232"/>
    <w:rsid w:val="00A5640A"/>
    <w:rsid w:val="00A565B2"/>
    <w:rsid w:val="00A565EC"/>
    <w:rsid w:val="00A56785"/>
    <w:rsid w:val="00A56862"/>
    <w:rsid w:val="00A56963"/>
    <w:rsid w:val="00A56C11"/>
    <w:rsid w:val="00A56E13"/>
    <w:rsid w:val="00A57072"/>
    <w:rsid w:val="00A57144"/>
    <w:rsid w:val="00A5761C"/>
    <w:rsid w:val="00A57717"/>
    <w:rsid w:val="00A577CC"/>
    <w:rsid w:val="00A578B3"/>
    <w:rsid w:val="00A579CF"/>
    <w:rsid w:val="00A57B06"/>
    <w:rsid w:val="00A57B51"/>
    <w:rsid w:val="00A57BAA"/>
    <w:rsid w:val="00A57DAA"/>
    <w:rsid w:val="00A57E50"/>
    <w:rsid w:val="00A60046"/>
    <w:rsid w:val="00A6018B"/>
    <w:rsid w:val="00A601EB"/>
    <w:rsid w:val="00A60219"/>
    <w:rsid w:val="00A602C4"/>
    <w:rsid w:val="00A60330"/>
    <w:rsid w:val="00A604F0"/>
    <w:rsid w:val="00A608F5"/>
    <w:rsid w:val="00A60A82"/>
    <w:rsid w:val="00A60C3B"/>
    <w:rsid w:val="00A60D3F"/>
    <w:rsid w:val="00A60DB8"/>
    <w:rsid w:val="00A61241"/>
    <w:rsid w:val="00A612A1"/>
    <w:rsid w:val="00A6133B"/>
    <w:rsid w:val="00A61354"/>
    <w:rsid w:val="00A6157E"/>
    <w:rsid w:val="00A615CA"/>
    <w:rsid w:val="00A6176A"/>
    <w:rsid w:val="00A61A05"/>
    <w:rsid w:val="00A61B5F"/>
    <w:rsid w:val="00A61B8F"/>
    <w:rsid w:val="00A61D2A"/>
    <w:rsid w:val="00A61E09"/>
    <w:rsid w:val="00A61E2C"/>
    <w:rsid w:val="00A61EAB"/>
    <w:rsid w:val="00A621F4"/>
    <w:rsid w:val="00A622FA"/>
    <w:rsid w:val="00A6244A"/>
    <w:rsid w:val="00A62563"/>
    <w:rsid w:val="00A62881"/>
    <w:rsid w:val="00A628B6"/>
    <w:rsid w:val="00A62A54"/>
    <w:rsid w:val="00A62BF3"/>
    <w:rsid w:val="00A62D02"/>
    <w:rsid w:val="00A62F4C"/>
    <w:rsid w:val="00A62F93"/>
    <w:rsid w:val="00A63192"/>
    <w:rsid w:val="00A6323A"/>
    <w:rsid w:val="00A632D5"/>
    <w:rsid w:val="00A63640"/>
    <w:rsid w:val="00A63717"/>
    <w:rsid w:val="00A6392D"/>
    <w:rsid w:val="00A63A92"/>
    <w:rsid w:val="00A63CEF"/>
    <w:rsid w:val="00A63D98"/>
    <w:rsid w:val="00A63ED3"/>
    <w:rsid w:val="00A63EF8"/>
    <w:rsid w:val="00A6410F"/>
    <w:rsid w:val="00A64384"/>
    <w:rsid w:val="00A643A2"/>
    <w:rsid w:val="00A646F4"/>
    <w:rsid w:val="00A6476A"/>
    <w:rsid w:val="00A647B6"/>
    <w:rsid w:val="00A649BD"/>
    <w:rsid w:val="00A64D53"/>
    <w:rsid w:val="00A64DEF"/>
    <w:rsid w:val="00A64E45"/>
    <w:rsid w:val="00A64F03"/>
    <w:rsid w:val="00A651DE"/>
    <w:rsid w:val="00A65429"/>
    <w:rsid w:val="00A654A3"/>
    <w:rsid w:val="00A6589F"/>
    <w:rsid w:val="00A65A65"/>
    <w:rsid w:val="00A65AA9"/>
    <w:rsid w:val="00A65BF6"/>
    <w:rsid w:val="00A65E48"/>
    <w:rsid w:val="00A65F14"/>
    <w:rsid w:val="00A66230"/>
    <w:rsid w:val="00A66426"/>
    <w:rsid w:val="00A66490"/>
    <w:rsid w:val="00A6687A"/>
    <w:rsid w:val="00A66A0C"/>
    <w:rsid w:val="00A66B71"/>
    <w:rsid w:val="00A66BA6"/>
    <w:rsid w:val="00A66C25"/>
    <w:rsid w:val="00A66C79"/>
    <w:rsid w:val="00A67116"/>
    <w:rsid w:val="00A6716E"/>
    <w:rsid w:val="00A6718A"/>
    <w:rsid w:val="00A671BF"/>
    <w:rsid w:val="00A67306"/>
    <w:rsid w:val="00A67316"/>
    <w:rsid w:val="00A67363"/>
    <w:rsid w:val="00A67553"/>
    <w:rsid w:val="00A67822"/>
    <w:rsid w:val="00A678E5"/>
    <w:rsid w:val="00A67914"/>
    <w:rsid w:val="00A67A36"/>
    <w:rsid w:val="00A67B44"/>
    <w:rsid w:val="00A67B93"/>
    <w:rsid w:val="00A67C32"/>
    <w:rsid w:val="00A67C43"/>
    <w:rsid w:val="00A67E45"/>
    <w:rsid w:val="00A70220"/>
    <w:rsid w:val="00A702B3"/>
    <w:rsid w:val="00A70515"/>
    <w:rsid w:val="00A705FD"/>
    <w:rsid w:val="00A70649"/>
    <w:rsid w:val="00A707DB"/>
    <w:rsid w:val="00A70B2B"/>
    <w:rsid w:val="00A70D09"/>
    <w:rsid w:val="00A70EC0"/>
    <w:rsid w:val="00A70FC4"/>
    <w:rsid w:val="00A71056"/>
    <w:rsid w:val="00A710CB"/>
    <w:rsid w:val="00A7114B"/>
    <w:rsid w:val="00A7115C"/>
    <w:rsid w:val="00A711CA"/>
    <w:rsid w:val="00A712C1"/>
    <w:rsid w:val="00A713A5"/>
    <w:rsid w:val="00A71417"/>
    <w:rsid w:val="00A7154E"/>
    <w:rsid w:val="00A7155B"/>
    <w:rsid w:val="00A715EE"/>
    <w:rsid w:val="00A71786"/>
    <w:rsid w:val="00A7179B"/>
    <w:rsid w:val="00A71916"/>
    <w:rsid w:val="00A71A34"/>
    <w:rsid w:val="00A71B28"/>
    <w:rsid w:val="00A71B90"/>
    <w:rsid w:val="00A71DD9"/>
    <w:rsid w:val="00A71E0A"/>
    <w:rsid w:val="00A72098"/>
    <w:rsid w:val="00A72189"/>
    <w:rsid w:val="00A72273"/>
    <w:rsid w:val="00A7229D"/>
    <w:rsid w:val="00A7241C"/>
    <w:rsid w:val="00A724AF"/>
    <w:rsid w:val="00A725F8"/>
    <w:rsid w:val="00A7285D"/>
    <w:rsid w:val="00A728C1"/>
    <w:rsid w:val="00A72970"/>
    <w:rsid w:val="00A729DD"/>
    <w:rsid w:val="00A729E5"/>
    <w:rsid w:val="00A72AF3"/>
    <w:rsid w:val="00A72C2F"/>
    <w:rsid w:val="00A72CB1"/>
    <w:rsid w:val="00A72E10"/>
    <w:rsid w:val="00A72EB4"/>
    <w:rsid w:val="00A72F5A"/>
    <w:rsid w:val="00A730B8"/>
    <w:rsid w:val="00A731AA"/>
    <w:rsid w:val="00A731FD"/>
    <w:rsid w:val="00A731FF"/>
    <w:rsid w:val="00A7343F"/>
    <w:rsid w:val="00A73584"/>
    <w:rsid w:val="00A735DC"/>
    <w:rsid w:val="00A73604"/>
    <w:rsid w:val="00A73638"/>
    <w:rsid w:val="00A7364A"/>
    <w:rsid w:val="00A73782"/>
    <w:rsid w:val="00A73858"/>
    <w:rsid w:val="00A739A4"/>
    <w:rsid w:val="00A739D0"/>
    <w:rsid w:val="00A73A25"/>
    <w:rsid w:val="00A73BCD"/>
    <w:rsid w:val="00A73CC0"/>
    <w:rsid w:val="00A73DED"/>
    <w:rsid w:val="00A73FAB"/>
    <w:rsid w:val="00A7413C"/>
    <w:rsid w:val="00A742C0"/>
    <w:rsid w:val="00A744B0"/>
    <w:rsid w:val="00A745D1"/>
    <w:rsid w:val="00A74706"/>
    <w:rsid w:val="00A7475E"/>
    <w:rsid w:val="00A7478D"/>
    <w:rsid w:val="00A747C1"/>
    <w:rsid w:val="00A747FC"/>
    <w:rsid w:val="00A7480D"/>
    <w:rsid w:val="00A74AEC"/>
    <w:rsid w:val="00A74B5F"/>
    <w:rsid w:val="00A74CD0"/>
    <w:rsid w:val="00A74EDF"/>
    <w:rsid w:val="00A7510A"/>
    <w:rsid w:val="00A75159"/>
    <w:rsid w:val="00A75161"/>
    <w:rsid w:val="00A753EC"/>
    <w:rsid w:val="00A753FC"/>
    <w:rsid w:val="00A754CF"/>
    <w:rsid w:val="00A75744"/>
    <w:rsid w:val="00A75793"/>
    <w:rsid w:val="00A75C8A"/>
    <w:rsid w:val="00A75E20"/>
    <w:rsid w:val="00A75F58"/>
    <w:rsid w:val="00A76198"/>
    <w:rsid w:val="00A7619B"/>
    <w:rsid w:val="00A7628E"/>
    <w:rsid w:val="00A762C6"/>
    <w:rsid w:val="00A762C9"/>
    <w:rsid w:val="00A76418"/>
    <w:rsid w:val="00A7647D"/>
    <w:rsid w:val="00A766F1"/>
    <w:rsid w:val="00A7677F"/>
    <w:rsid w:val="00A767B0"/>
    <w:rsid w:val="00A76936"/>
    <w:rsid w:val="00A769D7"/>
    <w:rsid w:val="00A76B85"/>
    <w:rsid w:val="00A76BD4"/>
    <w:rsid w:val="00A76CB0"/>
    <w:rsid w:val="00A76D68"/>
    <w:rsid w:val="00A76DE6"/>
    <w:rsid w:val="00A76EBD"/>
    <w:rsid w:val="00A770AD"/>
    <w:rsid w:val="00A77199"/>
    <w:rsid w:val="00A7719C"/>
    <w:rsid w:val="00A774D9"/>
    <w:rsid w:val="00A775EF"/>
    <w:rsid w:val="00A77813"/>
    <w:rsid w:val="00A7784A"/>
    <w:rsid w:val="00A778C3"/>
    <w:rsid w:val="00A77940"/>
    <w:rsid w:val="00A77A47"/>
    <w:rsid w:val="00A77A58"/>
    <w:rsid w:val="00A77B3A"/>
    <w:rsid w:val="00A77C0E"/>
    <w:rsid w:val="00A77C35"/>
    <w:rsid w:val="00A77F49"/>
    <w:rsid w:val="00A801AF"/>
    <w:rsid w:val="00A803DF"/>
    <w:rsid w:val="00A80432"/>
    <w:rsid w:val="00A80464"/>
    <w:rsid w:val="00A8056F"/>
    <w:rsid w:val="00A80659"/>
    <w:rsid w:val="00A8067D"/>
    <w:rsid w:val="00A806E7"/>
    <w:rsid w:val="00A808B1"/>
    <w:rsid w:val="00A80945"/>
    <w:rsid w:val="00A809AF"/>
    <w:rsid w:val="00A80BAD"/>
    <w:rsid w:val="00A80C03"/>
    <w:rsid w:val="00A80EED"/>
    <w:rsid w:val="00A811D8"/>
    <w:rsid w:val="00A81243"/>
    <w:rsid w:val="00A8145A"/>
    <w:rsid w:val="00A8157C"/>
    <w:rsid w:val="00A81784"/>
    <w:rsid w:val="00A817B5"/>
    <w:rsid w:val="00A81842"/>
    <w:rsid w:val="00A8198D"/>
    <w:rsid w:val="00A819A5"/>
    <w:rsid w:val="00A819C1"/>
    <w:rsid w:val="00A81A58"/>
    <w:rsid w:val="00A81ABA"/>
    <w:rsid w:val="00A81B3D"/>
    <w:rsid w:val="00A81B81"/>
    <w:rsid w:val="00A81CC8"/>
    <w:rsid w:val="00A81DCB"/>
    <w:rsid w:val="00A82017"/>
    <w:rsid w:val="00A82051"/>
    <w:rsid w:val="00A82076"/>
    <w:rsid w:val="00A8214A"/>
    <w:rsid w:val="00A82176"/>
    <w:rsid w:val="00A82282"/>
    <w:rsid w:val="00A82459"/>
    <w:rsid w:val="00A824D3"/>
    <w:rsid w:val="00A82542"/>
    <w:rsid w:val="00A8258C"/>
    <w:rsid w:val="00A827E5"/>
    <w:rsid w:val="00A8285C"/>
    <w:rsid w:val="00A828CA"/>
    <w:rsid w:val="00A82D66"/>
    <w:rsid w:val="00A82FA9"/>
    <w:rsid w:val="00A8319A"/>
    <w:rsid w:val="00A831D9"/>
    <w:rsid w:val="00A83263"/>
    <w:rsid w:val="00A834C0"/>
    <w:rsid w:val="00A8357E"/>
    <w:rsid w:val="00A83582"/>
    <w:rsid w:val="00A83651"/>
    <w:rsid w:val="00A83715"/>
    <w:rsid w:val="00A8387A"/>
    <w:rsid w:val="00A83941"/>
    <w:rsid w:val="00A83A71"/>
    <w:rsid w:val="00A83AEB"/>
    <w:rsid w:val="00A83C2E"/>
    <w:rsid w:val="00A83CC8"/>
    <w:rsid w:val="00A83DD5"/>
    <w:rsid w:val="00A83FE7"/>
    <w:rsid w:val="00A844CE"/>
    <w:rsid w:val="00A84536"/>
    <w:rsid w:val="00A847AD"/>
    <w:rsid w:val="00A84995"/>
    <w:rsid w:val="00A8499B"/>
    <w:rsid w:val="00A84AA9"/>
    <w:rsid w:val="00A84B78"/>
    <w:rsid w:val="00A84BD8"/>
    <w:rsid w:val="00A84CF4"/>
    <w:rsid w:val="00A84D0C"/>
    <w:rsid w:val="00A84D9C"/>
    <w:rsid w:val="00A84DA2"/>
    <w:rsid w:val="00A84DD0"/>
    <w:rsid w:val="00A84F05"/>
    <w:rsid w:val="00A84FFA"/>
    <w:rsid w:val="00A8502F"/>
    <w:rsid w:val="00A850AA"/>
    <w:rsid w:val="00A85165"/>
    <w:rsid w:val="00A853FE"/>
    <w:rsid w:val="00A8564C"/>
    <w:rsid w:val="00A856DE"/>
    <w:rsid w:val="00A857E1"/>
    <w:rsid w:val="00A85849"/>
    <w:rsid w:val="00A85912"/>
    <w:rsid w:val="00A85C8E"/>
    <w:rsid w:val="00A85D3D"/>
    <w:rsid w:val="00A85E3C"/>
    <w:rsid w:val="00A85E82"/>
    <w:rsid w:val="00A86070"/>
    <w:rsid w:val="00A8612B"/>
    <w:rsid w:val="00A8652F"/>
    <w:rsid w:val="00A8661C"/>
    <w:rsid w:val="00A8679F"/>
    <w:rsid w:val="00A869BB"/>
    <w:rsid w:val="00A86A9D"/>
    <w:rsid w:val="00A86AA2"/>
    <w:rsid w:val="00A86E17"/>
    <w:rsid w:val="00A86F30"/>
    <w:rsid w:val="00A874DB"/>
    <w:rsid w:val="00A878A1"/>
    <w:rsid w:val="00A87A15"/>
    <w:rsid w:val="00A87CA8"/>
    <w:rsid w:val="00A87CFB"/>
    <w:rsid w:val="00A87D44"/>
    <w:rsid w:val="00A9007A"/>
    <w:rsid w:val="00A900B8"/>
    <w:rsid w:val="00A904F4"/>
    <w:rsid w:val="00A90580"/>
    <w:rsid w:val="00A90808"/>
    <w:rsid w:val="00A908AD"/>
    <w:rsid w:val="00A90B03"/>
    <w:rsid w:val="00A90B7A"/>
    <w:rsid w:val="00A90BDE"/>
    <w:rsid w:val="00A90D6E"/>
    <w:rsid w:val="00A91074"/>
    <w:rsid w:val="00A910D6"/>
    <w:rsid w:val="00A91246"/>
    <w:rsid w:val="00A91472"/>
    <w:rsid w:val="00A91516"/>
    <w:rsid w:val="00A918CE"/>
    <w:rsid w:val="00A91B9E"/>
    <w:rsid w:val="00A91BCA"/>
    <w:rsid w:val="00A91C49"/>
    <w:rsid w:val="00A91CEE"/>
    <w:rsid w:val="00A91D77"/>
    <w:rsid w:val="00A91E13"/>
    <w:rsid w:val="00A921D3"/>
    <w:rsid w:val="00A925CA"/>
    <w:rsid w:val="00A92638"/>
    <w:rsid w:val="00A926A0"/>
    <w:rsid w:val="00A92732"/>
    <w:rsid w:val="00A92846"/>
    <w:rsid w:val="00A92A60"/>
    <w:rsid w:val="00A92B50"/>
    <w:rsid w:val="00A92B5A"/>
    <w:rsid w:val="00A92B7C"/>
    <w:rsid w:val="00A92B8D"/>
    <w:rsid w:val="00A92DC1"/>
    <w:rsid w:val="00A92EEE"/>
    <w:rsid w:val="00A92F55"/>
    <w:rsid w:val="00A92F5D"/>
    <w:rsid w:val="00A93044"/>
    <w:rsid w:val="00A9309D"/>
    <w:rsid w:val="00A9337D"/>
    <w:rsid w:val="00A933ED"/>
    <w:rsid w:val="00A9340C"/>
    <w:rsid w:val="00A935EB"/>
    <w:rsid w:val="00A9367B"/>
    <w:rsid w:val="00A936E3"/>
    <w:rsid w:val="00A938F3"/>
    <w:rsid w:val="00A93A61"/>
    <w:rsid w:val="00A93A93"/>
    <w:rsid w:val="00A93AE0"/>
    <w:rsid w:val="00A93B1B"/>
    <w:rsid w:val="00A93C69"/>
    <w:rsid w:val="00A93E52"/>
    <w:rsid w:val="00A93F68"/>
    <w:rsid w:val="00A94170"/>
    <w:rsid w:val="00A94254"/>
    <w:rsid w:val="00A94588"/>
    <w:rsid w:val="00A9470B"/>
    <w:rsid w:val="00A94711"/>
    <w:rsid w:val="00A94923"/>
    <w:rsid w:val="00A94939"/>
    <w:rsid w:val="00A94A00"/>
    <w:rsid w:val="00A94A9A"/>
    <w:rsid w:val="00A94CDA"/>
    <w:rsid w:val="00A950D2"/>
    <w:rsid w:val="00A9559E"/>
    <w:rsid w:val="00A9567A"/>
    <w:rsid w:val="00A95733"/>
    <w:rsid w:val="00A95817"/>
    <w:rsid w:val="00A9588F"/>
    <w:rsid w:val="00A958F0"/>
    <w:rsid w:val="00A95972"/>
    <w:rsid w:val="00A95AC7"/>
    <w:rsid w:val="00A95C8C"/>
    <w:rsid w:val="00A95CCE"/>
    <w:rsid w:val="00A95D2F"/>
    <w:rsid w:val="00A95D75"/>
    <w:rsid w:val="00A95F2D"/>
    <w:rsid w:val="00A96127"/>
    <w:rsid w:val="00A96235"/>
    <w:rsid w:val="00A96285"/>
    <w:rsid w:val="00A96304"/>
    <w:rsid w:val="00A9636E"/>
    <w:rsid w:val="00A963F6"/>
    <w:rsid w:val="00A96418"/>
    <w:rsid w:val="00A9641E"/>
    <w:rsid w:val="00A964E5"/>
    <w:rsid w:val="00A96730"/>
    <w:rsid w:val="00A96776"/>
    <w:rsid w:val="00A96787"/>
    <w:rsid w:val="00A96795"/>
    <w:rsid w:val="00A967CA"/>
    <w:rsid w:val="00A96840"/>
    <w:rsid w:val="00A96858"/>
    <w:rsid w:val="00A96884"/>
    <w:rsid w:val="00A96A81"/>
    <w:rsid w:val="00A96A90"/>
    <w:rsid w:val="00A96F38"/>
    <w:rsid w:val="00A97067"/>
    <w:rsid w:val="00A97239"/>
    <w:rsid w:val="00A97545"/>
    <w:rsid w:val="00A97643"/>
    <w:rsid w:val="00A97736"/>
    <w:rsid w:val="00A97760"/>
    <w:rsid w:val="00A97AE5"/>
    <w:rsid w:val="00A97BE7"/>
    <w:rsid w:val="00A97F1C"/>
    <w:rsid w:val="00A97F38"/>
    <w:rsid w:val="00A97FB0"/>
    <w:rsid w:val="00AA0076"/>
    <w:rsid w:val="00AA025D"/>
    <w:rsid w:val="00AA02E1"/>
    <w:rsid w:val="00AA0380"/>
    <w:rsid w:val="00AA03CB"/>
    <w:rsid w:val="00AA04CD"/>
    <w:rsid w:val="00AA0587"/>
    <w:rsid w:val="00AA06EE"/>
    <w:rsid w:val="00AA0929"/>
    <w:rsid w:val="00AA09DB"/>
    <w:rsid w:val="00AA0A6E"/>
    <w:rsid w:val="00AA0AC4"/>
    <w:rsid w:val="00AA0B88"/>
    <w:rsid w:val="00AA0C64"/>
    <w:rsid w:val="00AA0D5D"/>
    <w:rsid w:val="00AA1036"/>
    <w:rsid w:val="00AA10CA"/>
    <w:rsid w:val="00AA124A"/>
    <w:rsid w:val="00AA14F4"/>
    <w:rsid w:val="00AA17AA"/>
    <w:rsid w:val="00AA1865"/>
    <w:rsid w:val="00AA1975"/>
    <w:rsid w:val="00AA19F2"/>
    <w:rsid w:val="00AA1AE8"/>
    <w:rsid w:val="00AA1E35"/>
    <w:rsid w:val="00AA1FC1"/>
    <w:rsid w:val="00AA21ED"/>
    <w:rsid w:val="00AA2276"/>
    <w:rsid w:val="00AA24D0"/>
    <w:rsid w:val="00AA2508"/>
    <w:rsid w:val="00AA2571"/>
    <w:rsid w:val="00AA271C"/>
    <w:rsid w:val="00AA28BA"/>
    <w:rsid w:val="00AA2C0B"/>
    <w:rsid w:val="00AA2C81"/>
    <w:rsid w:val="00AA2CFA"/>
    <w:rsid w:val="00AA2D52"/>
    <w:rsid w:val="00AA2E3E"/>
    <w:rsid w:val="00AA2EA4"/>
    <w:rsid w:val="00AA2EB8"/>
    <w:rsid w:val="00AA3199"/>
    <w:rsid w:val="00AA3264"/>
    <w:rsid w:val="00AA3285"/>
    <w:rsid w:val="00AA335E"/>
    <w:rsid w:val="00AA3572"/>
    <w:rsid w:val="00AA3796"/>
    <w:rsid w:val="00AA382F"/>
    <w:rsid w:val="00AA385E"/>
    <w:rsid w:val="00AA3A44"/>
    <w:rsid w:val="00AA3AC5"/>
    <w:rsid w:val="00AA3B7B"/>
    <w:rsid w:val="00AA3C25"/>
    <w:rsid w:val="00AA3CDA"/>
    <w:rsid w:val="00AA3E0E"/>
    <w:rsid w:val="00AA3E6C"/>
    <w:rsid w:val="00AA406D"/>
    <w:rsid w:val="00AA4099"/>
    <w:rsid w:val="00AA419D"/>
    <w:rsid w:val="00AA420B"/>
    <w:rsid w:val="00AA4402"/>
    <w:rsid w:val="00AA4845"/>
    <w:rsid w:val="00AA4939"/>
    <w:rsid w:val="00AA49CB"/>
    <w:rsid w:val="00AA4F3B"/>
    <w:rsid w:val="00AA50A2"/>
    <w:rsid w:val="00AA5183"/>
    <w:rsid w:val="00AA51EE"/>
    <w:rsid w:val="00AA5233"/>
    <w:rsid w:val="00AA57DD"/>
    <w:rsid w:val="00AA57FD"/>
    <w:rsid w:val="00AA58B5"/>
    <w:rsid w:val="00AA5990"/>
    <w:rsid w:val="00AA59EA"/>
    <w:rsid w:val="00AA5B75"/>
    <w:rsid w:val="00AA5BFE"/>
    <w:rsid w:val="00AA5DF9"/>
    <w:rsid w:val="00AA5E66"/>
    <w:rsid w:val="00AA5EB1"/>
    <w:rsid w:val="00AA60A9"/>
    <w:rsid w:val="00AA629C"/>
    <w:rsid w:val="00AA636E"/>
    <w:rsid w:val="00AA6385"/>
    <w:rsid w:val="00AA6396"/>
    <w:rsid w:val="00AA6448"/>
    <w:rsid w:val="00AA64A6"/>
    <w:rsid w:val="00AA64F2"/>
    <w:rsid w:val="00AA660F"/>
    <w:rsid w:val="00AA6762"/>
    <w:rsid w:val="00AA68DD"/>
    <w:rsid w:val="00AA690F"/>
    <w:rsid w:val="00AA69AA"/>
    <w:rsid w:val="00AA6AAD"/>
    <w:rsid w:val="00AA6BDA"/>
    <w:rsid w:val="00AA6C5A"/>
    <w:rsid w:val="00AA6D70"/>
    <w:rsid w:val="00AA6DCF"/>
    <w:rsid w:val="00AA6E4E"/>
    <w:rsid w:val="00AA72CF"/>
    <w:rsid w:val="00AA733E"/>
    <w:rsid w:val="00AA73F7"/>
    <w:rsid w:val="00AA74C0"/>
    <w:rsid w:val="00AA755C"/>
    <w:rsid w:val="00AA7A1B"/>
    <w:rsid w:val="00AA7BA5"/>
    <w:rsid w:val="00AA7BCF"/>
    <w:rsid w:val="00AA7D06"/>
    <w:rsid w:val="00AA7E71"/>
    <w:rsid w:val="00AA7EE5"/>
    <w:rsid w:val="00AA7F59"/>
    <w:rsid w:val="00AB013E"/>
    <w:rsid w:val="00AB0175"/>
    <w:rsid w:val="00AB02D0"/>
    <w:rsid w:val="00AB0404"/>
    <w:rsid w:val="00AB047F"/>
    <w:rsid w:val="00AB056B"/>
    <w:rsid w:val="00AB07BD"/>
    <w:rsid w:val="00AB0851"/>
    <w:rsid w:val="00AB09BE"/>
    <w:rsid w:val="00AB0AFE"/>
    <w:rsid w:val="00AB0DED"/>
    <w:rsid w:val="00AB0E24"/>
    <w:rsid w:val="00AB100B"/>
    <w:rsid w:val="00AB1026"/>
    <w:rsid w:val="00AB1091"/>
    <w:rsid w:val="00AB1164"/>
    <w:rsid w:val="00AB1299"/>
    <w:rsid w:val="00AB12ED"/>
    <w:rsid w:val="00AB1409"/>
    <w:rsid w:val="00AB143C"/>
    <w:rsid w:val="00AB1565"/>
    <w:rsid w:val="00AB15F8"/>
    <w:rsid w:val="00AB1601"/>
    <w:rsid w:val="00AB16E0"/>
    <w:rsid w:val="00AB17AC"/>
    <w:rsid w:val="00AB1856"/>
    <w:rsid w:val="00AB189E"/>
    <w:rsid w:val="00AB1942"/>
    <w:rsid w:val="00AB1A62"/>
    <w:rsid w:val="00AB1C84"/>
    <w:rsid w:val="00AB1CA7"/>
    <w:rsid w:val="00AB2094"/>
    <w:rsid w:val="00AB21F1"/>
    <w:rsid w:val="00AB224E"/>
    <w:rsid w:val="00AB2292"/>
    <w:rsid w:val="00AB2358"/>
    <w:rsid w:val="00AB2550"/>
    <w:rsid w:val="00AB25F8"/>
    <w:rsid w:val="00AB2648"/>
    <w:rsid w:val="00AB2712"/>
    <w:rsid w:val="00AB27E0"/>
    <w:rsid w:val="00AB2A86"/>
    <w:rsid w:val="00AB2AE4"/>
    <w:rsid w:val="00AB2B5B"/>
    <w:rsid w:val="00AB2C2F"/>
    <w:rsid w:val="00AB2DF9"/>
    <w:rsid w:val="00AB2E39"/>
    <w:rsid w:val="00AB2E7B"/>
    <w:rsid w:val="00AB2F3E"/>
    <w:rsid w:val="00AB2F45"/>
    <w:rsid w:val="00AB2FE7"/>
    <w:rsid w:val="00AB31CA"/>
    <w:rsid w:val="00AB328E"/>
    <w:rsid w:val="00AB3416"/>
    <w:rsid w:val="00AB3478"/>
    <w:rsid w:val="00AB3654"/>
    <w:rsid w:val="00AB3BB9"/>
    <w:rsid w:val="00AB3C6E"/>
    <w:rsid w:val="00AB3EA3"/>
    <w:rsid w:val="00AB4156"/>
    <w:rsid w:val="00AB416F"/>
    <w:rsid w:val="00AB422A"/>
    <w:rsid w:val="00AB4332"/>
    <w:rsid w:val="00AB4415"/>
    <w:rsid w:val="00AB4475"/>
    <w:rsid w:val="00AB454C"/>
    <w:rsid w:val="00AB4794"/>
    <w:rsid w:val="00AB4B88"/>
    <w:rsid w:val="00AB5143"/>
    <w:rsid w:val="00AB525F"/>
    <w:rsid w:val="00AB5288"/>
    <w:rsid w:val="00AB52FE"/>
    <w:rsid w:val="00AB561F"/>
    <w:rsid w:val="00AB5699"/>
    <w:rsid w:val="00AB57FD"/>
    <w:rsid w:val="00AB5860"/>
    <w:rsid w:val="00AB58A6"/>
    <w:rsid w:val="00AB591E"/>
    <w:rsid w:val="00AB59D4"/>
    <w:rsid w:val="00AB59FD"/>
    <w:rsid w:val="00AB5EF0"/>
    <w:rsid w:val="00AB5F4B"/>
    <w:rsid w:val="00AB6123"/>
    <w:rsid w:val="00AB6660"/>
    <w:rsid w:val="00AB67C6"/>
    <w:rsid w:val="00AB68BF"/>
    <w:rsid w:val="00AB6922"/>
    <w:rsid w:val="00AB6BB4"/>
    <w:rsid w:val="00AB6C04"/>
    <w:rsid w:val="00AB6D01"/>
    <w:rsid w:val="00AB6DA5"/>
    <w:rsid w:val="00AB6DB0"/>
    <w:rsid w:val="00AB6FEA"/>
    <w:rsid w:val="00AB7017"/>
    <w:rsid w:val="00AB7161"/>
    <w:rsid w:val="00AB7191"/>
    <w:rsid w:val="00AB7468"/>
    <w:rsid w:val="00AB74C9"/>
    <w:rsid w:val="00AB764C"/>
    <w:rsid w:val="00AB7865"/>
    <w:rsid w:val="00AB7C1E"/>
    <w:rsid w:val="00AB7D0C"/>
    <w:rsid w:val="00AB7DE9"/>
    <w:rsid w:val="00AB7E3C"/>
    <w:rsid w:val="00AB7F23"/>
    <w:rsid w:val="00AB7FB3"/>
    <w:rsid w:val="00AC0005"/>
    <w:rsid w:val="00AC00EA"/>
    <w:rsid w:val="00AC010F"/>
    <w:rsid w:val="00AC02B2"/>
    <w:rsid w:val="00AC0351"/>
    <w:rsid w:val="00AC058E"/>
    <w:rsid w:val="00AC05DB"/>
    <w:rsid w:val="00AC078E"/>
    <w:rsid w:val="00AC07D4"/>
    <w:rsid w:val="00AC0854"/>
    <w:rsid w:val="00AC08F6"/>
    <w:rsid w:val="00AC092A"/>
    <w:rsid w:val="00AC09B2"/>
    <w:rsid w:val="00AC09CF"/>
    <w:rsid w:val="00AC0A0A"/>
    <w:rsid w:val="00AC0AE2"/>
    <w:rsid w:val="00AC0BEE"/>
    <w:rsid w:val="00AC0D2D"/>
    <w:rsid w:val="00AC0DCE"/>
    <w:rsid w:val="00AC0FCF"/>
    <w:rsid w:val="00AC1057"/>
    <w:rsid w:val="00AC109F"/>
    <w:rsid w:val="00AC1112"/>
    <w:rsid w:val="00AC1357"/>
    <w:rsid w:val="00AC136B"/>
    <w:rsid w:val="00AC1457"/>
    <w:rsid w:val="00AC18AC"/>
    <w:rsid w:val="00AC1B6A"/>
    <w:rsid w:val="00AC1EA5"/>
    <w:rsid w:val="00AC1F09"/>
    <w:rsid w:val="00AC1F47"/>
    <w:rsid w:val="00AC2016"/>
    <w:rsid w:val="00AC20F5"/>
    <w:rsid w:val="00AC2116"/>
    <w:rsid w:val="00AC218C"/>
    <w:rsid w:val="00AC2445"/>
    <w:rsid w:val="00AC245E"/>
    <w:rsid w:val="00AC24EC"/>
    <w:rsid w:val="00AC251D"/>
    <w:rsid w:val="00AC25A0"/>
    <w:rsid w:val="00AC262E"/>
    <w:rsid w:val="00AC2A67"/>
    <w:rsid w:val="00AC2BA9"/>
    <w:rsid w:val="00AC2C47"/>
    <w:rsid w:val="00AC2D56"/>
    <w:rsid w:val="00AC2DD6"/>
    <w:rsid w:val="00AC2EC4"/>
    <w:rsid w:val="00AC2F90"/>
    <w:rsid w:val="00AC2F9D"/>
    <w:rsid w:val="00AC3028"/>
    <w:rsid w:val="00AC30AD"/>
    <w:rsid w:val="00AC31CC"/>
    <w:rsid w:val="00AC322C"/>
    <w:rsid w:val="00AC327A"/>
    <w:rsid w:val="00AC32A0"/>
    <w:rsid w:val="00AC33D0"/>
    <w:rsid w:val="00AC3440"/>
    <w:rsid w:val="00AC345C"/>
    <w:rsid w:val="00AC345F"/>
    <w:rsid w:val="00AC34E6"/>
    <w:rsid w:val="00AC36AB"/>
    <w:rsid w:val="00AC370A"/>
    <w:rsid w:val="00AC3826"/>
    <w:rsid w:val="00AC393E"/>
    <w:rsid w:val="00AC3B59"/>
    <w:rsid w:val="00AC3D33"/>
    <w:rsid w:val="00AC3EA8"/>
    <w:rsid w:val="00AC3EE5"/>
    <w:rsid w:val="00AC3F51"/>
    <w:rsid w:val="00AC41FF"/>
    <w:rsid w:val="00AC4264"/>
    <w:rsid w:val="00AC4280"/>
    <w:rsid w:val="00AC43D3"/>
    <w:rsid w:val="00AC44B5"/>
    <w:rsid w:val="00AC459B"/>
    <w:rsid w:val="00AC4734"/>
    <w:rsid w:val="00AC495A"/>
    <w:rsid w:val="00AC4B8F"/>
    <w:rsid w:val="00AC4CA7"/>
    <w:rsid w:val="00AC4EEB"/>
    <w:rsid w:val="00AC5171"/>
    <w:rsid w:val="00AC5196"/>
    <w:rsid w:val="00AC5230"/>
    <w:rsid w:val="00AC5293"/>
    <w:rsid w:val="00AC5343"/>
    <w:rsid w:val="00AC543D"/>
    <w:rsid w:val="00AC5441"/>
    <w:rsid w:val="00AC5481"/>
    <w:rsid w:val="00AC553C"/>
    <w:rsid w:val="00AC5656"/>
    <w:rsid w:val="00AC5718"/>
    <w:rsid w:val="00AC5797"/>
    <w:rsid w:val="00AC57BF"/>
    <w:rsid w:val="00AC58E3"/>
    <w:rsid w:val="00AC58EE"/>
    <w:rsid w:val="00AC58FF"/>
    <w:rsid w:val="00AC5A1A"/>
    <w:rsid w:val="00AC5CAF"/>
    <w:rsid w:val="00AC5F2B"/>
    <w:rsid w:val="00AC5F42"/>
    <w:rsid w:val="00AC632E"/>
    <w:rsid w:val="00AC6362"/>
    <w:rsid w:val="00AC6365"/>
    <w:rsid w:val="00AC6561"/>
    <w:rsid w:val="00AC6703"/>
    <w:rsid w:val="00AC67AD"/>
    <w:rsid w:val="00AC6AA9"/>
    <w:rsid w:val="00AC6B2D"/>
    <w:rsid w:val="00AC6CEE"/>
    <w:rsid w:val="00AC6F05"/>
    <w:rsid w:val="00AC6F5D"/>
    <w:rsid w:val="00AC6F6E"/>
    <w:rsid w:val="00AC701C"/>
    <w:rsid w:val="00AC72BA"/>
    <w:rsid w:val="00AC73D3"/>
    <w:rsid w:val="00AC78F0"/>
    <w:rsid w:val="00AC7A0C"/>
    <w:rsid w:val="00AC7CAD"/>
    <w:rsid w:val="00AC7E39"/>
    <w:rsid w:val="00AC7EEC"/>
    <w:rsid w:val="00AC7F5D"/>
    <w:rsid w:val="00AC7F71"/>
    <w:rsid w:val="00AD00C5"/>
    <w:rsid w:val="00AD0335"/>
    <w:rsid w:val="00AD033A"/>
    <w:rsid w:val="00AD0433"/>
    <w:rsid w:val="00AD04C9"/>
    <w:rsid w:val="00AD086E"/>
    <w:rsid w:val="00AD0A3A"/>
    <w:rsid w:val="00AD0A60"/>
    <w:rsid w:val="00AD0C51"/>
    <w:rsid w:val="00AD0DFA"/>
    <w:rsid w:val="00AD0E14"/>
    <w:rsid w:val="00AD0EF6"/>
    <w:rsid w:val="00AD0F2A"/>
    <w:rsid w:val="00AD10AD"/>
    <w:rsid w:val="00AD11F6"/>
    <w:rsid w:val="00AD14D8"/>
    <w:rsid w:val="00AD1629"/>
    <w:rsid w:val="00AD18C5"/>
    <w:rsid w:val="00AD18F6"/>
    <w:rsid w:val="00AD1B1B"/>
    <w:rsid w:val="00AD1CD3"/>
    <w:rsid w:val="00AD1E8E"/>
    <w:rsid w:val="00AD20A2"/>
    <w:rsid w:val="00AD20B0"/>
    <w:rsid w:val="00AD23F2"/>
    <w:rsid w:val="00AD2420"/>
    <w:rsid w:val="00AD24F0"/>
    <w:rsid w:val="00AD254B"/>
    <w:rsid w:val="00AD25D6"/>
    <w:rsid w:val="00AD2639"/>
    <w:rsid w:val="00AD266A"/>
    <w:rsid w:val="00AD2785"/>
    <w:rsid w:val="00AD2788"/>
    <w:rsid w:val="00AD29E9"/>
    <w:rsid w:val="00AD2D02"/>
    <w:rsid w:val="00AD2DA4"/>
    <w:rsid w:val="00AD3135"/>
    <w:rsid w:val="00AD3187"/>
    <w:rsid w:val="00AD3389"/>
    <w:rsid w:val="00AD338A"/>
    <w:rsid w:val="00AD3435"/>
    <w:rsid w:val="00AD3439"/>
    <w:rsid w:val="00AD34BF"/>
    <w:rsid w:val="00AD3599"/>
    <w:rsid w:val="00AD379C"/>
    <w:rsid w:val="00AD38FD"/>
    <w:rsid w:val="00AD39F2"/>
    <w:rsid w:val="00AD3B92"/>
    <w:rsid w:val="00AD3BC4"/>
    <w:rsid w:val="00AD3EF7"/>
    <w:rsid w:val="00AD3F0F"/>
    <w:rsid w:val="00AD40FD"/>
    <w:rsid w:val="00AD411D"/>
    <w:rsid w:val="00AD4280"/>
    <w:rsid w:val="00AD433D"/>
    <w:rsid w:val="00AD48F9"/>
    <w:rsid w:val="00AD4A82"/>
    <w:rsid w:val="00AD4C4A"/>
    <w:rsid w:val="00AD4C54"/>
    <w:rsid w:val="00AD4C91"/>
    <w:rsid w:val="00AD4F3E"/>
    <w:rsid w:val="00AD4F7C"/>
    <w:rsid w:val="00AD5043"/>
    <w:rsid w:val="00AD507C"/>
    <w:rsid w:val="00AD526A"/>
    <w:rsid w:val="00AD53CE"/>
    <w:rsid w:val="00AD54F4"/>
    <w:rsid w:val="00AD550F"/>
    <w:rsid w:val="00AD5541"/>
    <w:rsid w:val="00AD55ED"/>
    <w:rsid w:val="00AD560C"/>
    <w:rsid w:val="00AD56C1"/>
    <w:rsid w:val="00AD581B"/>
    <w:rsid w:val="00AD5974"/>
    <w:rsid w:val="00AD5986"/>
    <w:rsid w:val="00AD5BD1"/>
    <w:rsid w:val="00AD5BE7"/>
    <w:rsid w:val="00AD5CCA"/>
    <w:rsid w:val="00AD5D38"/>
    <w:rsid w:val="00AD5D97"/>
    <w:rsid w:val="00AD5DB7"/>
    <w:rsid w:val="00AD5E2D"/>
    <w:rsid w:val="00AD5E3F"/>
    <w:rsid w:val="00AD5FBC"/>
    <w:rsid w:val="00AD602E"/>
    <w:rsid w:val="00AD609E"/>
    <w:rsid w:val="00AD60D8"/>
    <w:rsid w:val="00AD61C8"/>
    <w:rsid w:val="00AD6220"/>
    <w:rsid w:val="00AD62D5"/>
    <w:rsid w:val="00AD631B"/>
    <w:rsid w:val="00AD634C"/>
    <w:rsid w:val="00AD6357"/>
    <w:rsid w:val="00AD63F5"/>
    <w:rsid w:val="00AD665A"/>
    <w:rsid w:val="00AD669A"/>
    <w:rsid w:val="00AD6797"/>
    <w:rsid w:val="00AD67B1"/>
    <w:rsid w:val="00AD6809"/>
    <w:rsid w:val="00AD69A0"/>
    <w:rsid w:val="00AD6A29"/>
    <w:rsid w:val="00AD6B63"/>
    <w:rsid w:val="00AD6C2F"/>
    <w:rsid w:val="00AD6D85"/>
    <w:rsid w:val="00AD6FE5"/>
    <w:rsid w:val="00AD7160"/>
    <w:rsid w:val="00AD71E3"/>
    <w:rsid w:val="00AD7209"/>
    <w:rsid w:val="00AD73F4"/>
    <w:rsid w:val="00AD73FD"/>
    <w:rsid w:val="00AD7447"/>
    <w:rsid w:val="00AD75B9"/>
    <w:rsid w:val="00AD75D7"/>
    <w:rsid w:val="00AD785D"/>
    <w:rsid w:val="00AD785E"/>
    <w:rsid w:val="00AD792D"/>
    <w:rsid w:val="00AD7977"/>
    <w:rsid w:val="00AD79B1"/>
    <w:rsid w:val="00AD7A06"/>
    <w:rsid w:val="00AD7B9A"/>
    <w:rsid w:val="00AD7C91"/>
    <w:rsid w:val="00AD7FD4"/>
    <w:rsid w:val="00AE0062"/>
    <w:rsid w:val="00AE0075"/>
    <w:rsid w:val="00AE0080"/>
    <w:rsid w:val="00AE020C"/>
    <w:rsid w:val="00AE0274"/>
    <w:rsid w:val="00AE037A"/>
    <w:rsid w:val="00AE05D2"/>
    <w:rsid w:val="00AE0678"/>
    <w:rsid w:val="00AE0753"/>
    <w:rsid w:val="00AE0867"/>
    <w:rsid w:val="00AE08EB"/>
    <w:rsid w:val="00AE0931"/>
    <w:rsid w:val="00AE0989"/>
    <w:rsid w:val="00AE09EC"/>
    <w:rsid w:val="00AE0A44"/>
    <w:rsid w:val="00AE0AAE"/>
    <w:rsid w:val="00AE0B17"/>
    <w:rsid w:val="00AE0B6B"/>
    <w:rsid w:val="00AE0D6D"/>
    <w:rsid w:val="00AE0F0C"/>
    <w:rsid w:val="00AE0F52"/>
    <w:rsid w:val="00AE14D5"/>
    <w:rsid w:val="00AE165D"/>
    <w:rsid w:val="00AE1DE9"/>
    <w:rsid w:val="00AE1EAD"/>
    <w:rsid w:val="00AE2146"/>
    <w:rsid w:val="00AE2331"/>
    <w:rsid w:val="00AE2371"/>
    <w:rsid w:val="00AE25D8"/>
    <w:rsid w:val="00AE26DB"/>
    <w:rsid w:val="00AE2710"/>
    <w:rsid w:val="00AE2938"/>
    <w:rsid w:val="00AE2A66"/>
    <w:rsid w:val="00AE2A96"/>
    <w:rsid w:val="00AE2C6C"/>
    <w:rsid w:val="00AE2CBB"/>
    <w:rsid w:val="00AE2CF5"/>
    <w:rsid w:val="00AE2D89"/>
    <w:rsid w:val="00AE2DD8"/>
    <w:rsid w:val="00AE2F8D"/>
    <w:rsid w:val="00AE3102"/>
    <w:rsid w:val="00AE320D"/>
    <w:rsid w:val="00AE3301"/>
    <w:rsid w:val="00AE333F"/>
    <w:rsid w:val="00AE3544"/>
    <w:rsid w:val="00AE3642"/>
    <w:rsid w:val="00AE3659"/>
    <w:rsid w:val="00AE388B"/>
    <w:rsid w:val="00AE3BEF"/>
    <w:rsid w:val="00AE3DAD"/>
    <w:rsid w:val="00AE3EAE"/>
    <w:rsid w:val="00AE4007"/>
    <w:rsid w:val="00AE4148"/>
    <w:rsid w:val="00AE4264"/>
    <w:rsid w:val="00AE456F"/>
    <w:rsid w:val="00AE457F"/>
    <w:rsid w:val="00AE45B3"/>
    <w:rsid w:val="00AE4674"/>
    <w:rsid w:val="00AE485E"/>
    <w:rsid w:val="00AE4969"/>
    <w:rsid w:val="00AE4A51"/>
    <w:rsid w:val="00AE4CCC"/>
    <w:rsid w:val="00AE4CE6"/>
    <w:rsid w:val="00AE4CF0"/>
    <w:rsid w:val="00AE4FAA"/>
    <w:rsid w:val="00AE50B3"/>
    <w:rsid w:val="00AE53BE"/>
    <w:rsid w:val="00AE55F3"/>
    <w:rsid w:val="00AE569B"/>
    <w:rsid w:val="00AE57B4"/>
    <w:rsid w:val="00AE587D"/>
    <w:rsid w:val="00AE5D06"/>
    <w:rsid w:val="00AE5F99"/>
    <w:rsid w:val="00AE620B"/>
    <w:rsid w:val="00AE63BB"/>
    <w:rsid w:val="00AE64FD"/>
    <w:rsid w:val="00AE6731"/>
    <w:rsid w:val="00AE67E3"/>
    <w:rsid w:val="00AE6864"/>
    <w:rsid w:val="00AE6954"/>
    <w:rsid w:val="00AE69C5"/>
    <w:rsid w:val="00AE6AA7"/>
    <w:rsid w:val="00AE6B43"/>
    <w:rsid w:val="00AE6B6E"/>
    <w:rsid w:val="00AE71A4"/>
    <w:rsid w:val="00AE73DA"/>
    <w:rsid w:val="00AE740D"/>
    <w:rsid w:val="00AE7468"/>
    <w:rsid w:val="00AE7543"/>
    <w:rsid w:val="00AE75FC"/>
    <w:rsid w:val="00AE7614"/>
    <w:rsid w:val="00AE772F"/>
    <w:rsid w:val="00AE782B"/>
    <w:rsid w:val="00AE7994"/>
    <w:rsid w:val="00AE79C2"/>
    <w:rsid w:val="00AE79FC"/>
    <w:rsid w:val="00AE7A5B"/>
    <w:rsid w:val="00AE7A62"/>
    <w:rsid w:val="00AE7ADC"/>
    <w:rsid w:val="00AE7B9F"/>
    <w:rsid w:val="00AE7C2C"/>
    <w:rsid w:val="00AE7D74"/>
    <w:rsid w:val="00AE7E95"/>
    <w:rsid w:val="00AE7F5B"/>
    <w:rsid w:val="00AF018F"/>
    <w:rsid w:val="00AF030B"/>
    <w:rsid w:val="00AF0404"/>
    <w:rsid w:val="00AF0711"/>
    <w:rsid w:val="00AF07D7"/>
    <w:rsid w:val="00AF09F3"/>
    <w:rsid w:val="00AF0D52"/>
    <w:rsid w:val="00AF0DA7"/>
    <w:rsid w:val="00AF0DB8"/>
    <w:rsid w:val="00AF0E19"/>
    <w:rsid w:val="00AF0E44"/>
    <w:rsid w:val="00AF0E4E"/>
    <w:rsid w:val="00AF1067"/>
    <w:rsid w:val="00AF12F9"/>
    <w:rsid w:val="00AF13EB"/>
    <w:rsid w:val="00AF1613"/>
    <w:rsid w:val="00AF184E"/>
    <w:rsid w:val="00AF1890"/>
    <w:rsid w:val="00AF1894"/>
    <w:rsid w:val="00AF18EC"/>
    <w:rsid w:val="00AF192C"/>
    <w:rsid w:val="00AF1AAD"/>
    <w:rsid w:val="00AF1B24"/>
    <w:rsid w:val="00AF1C54"/>
    <w:rsid w:val="00AF1C6F"/>
    <w:rsid w:val="00AF1E09"/>
    <w:rsid w:val="00AF1FA9"/>
    <w:rsid w:val="00AF1FB2"/>
    <w:rsid w:val="00AF2088"/>
    <w:rsid w:val="00AF2121"/>
    <w:rsid w:val="00AF21E1"/>
    <w:rsid w:val="00AF21E5"/>
    <w:rsid w:val="00AF220E"/>
    <w:rsid w:val="00AF231D"/>
    <w:rsid w:val="00AF272A"/>
    <w:rsid w:val="00AF2762"/>
    <w:rsid w:val="00AF2936"/>
    <w:rsid w:val="00AF2980"/>
    <w:rsid w:val="00AF2AB1"/>
    <w:rsid w:val="00AF2ADD"/>
    <w:rsid w:val="00AF2BC4"/>
    <w:rsid w:val="00AF2D29"/>
    <w:rsid w:val="00AF2D51"/>
    <w:rsid w:val="00AF2ECA"/>
    <w:rsid w:val="00AF31CD"/>
    <w:rsid w:val="00AF32BE"/>
    <w:rsid w:val="00AF348B"/>
    <w:rsid w:val="00AF35B3"/>
    <w:rsid w:val="00AF3686"/>
    <w:rsid w:val="00AF368E"/>
    <w:rsid w:val="00AF3B5B"/>
    <w:rsid w:val="00AF3BE0"/>
    <w:rsid w:val="00AF3C67"/>
    <w:rsid w:val="00AF3EEE"/>
    <w:rsid w:val="00AF3F37"/>
    <w:rsid w:val="00AF406E"/>
    <w:rsid w:val="00AF406F"/>
    <w:rsid w:val="00AF40F3"/>
    <w:rsid w:val="00AF41AE"/>
    <w:rsid w:val="00AF42D8"/>
    <w:rsid w:val="00AF42FC"/>
    <w:rsid w:val="00AF43A9"/>
    <w:rsid w:val="00AF43D3"/>
    <w:rsid w:val="00AF46A8"/>
    <w:rsid w:val="00AF4716"/>
    <w:rsid w:val="00AF4833"/>
    <w:rsid w:val="00AF4954"/>
    <w:rsid w:val="00AF498F"/>
    <w:rsid w:val="00AF49B3"/>
    <w:rsid w:val="00AF4C2A"/>
    <w:rsid w:val="00AF4D0E"/>
    <w:rsid w:val="00AF5258"/>
    <w:rsid w:val="00AF5313"/>
    <w:rsid w:val="00AF5373"/>
    <w:rsid w:val="00AF55EE"/>
    <w:rsid w:val="00AF5846"/>
    <w:rsid w:val="00AF5A35"/>
    <w:rsid w:val="00AF5C6B"/>
    <w:rsid w:val="00AF5FF0"/>
    <w:rsid w:val="00AF6358"/>
    <w:rsid w:val="00AF6374"/>
    <w:rsid w:val="00AF6388"/>
    <w:rsid w:val="00AF63DF"/>
    <w:rsid w:val="00AF63E1"/>
    <w:rsid w:val="00AF651C"/>
    <w:rsid w:val="00AF6641"/>
    <w:rsid w:val="00AF6748"/>
    <w:rsid w:val="00AF6862"/>
    <w:rsid w:val="00AF68BB"/>
    <w:rsid w:val="00AF6907"/>
    <w:rsid w:val="00AF69DA"/>
    <w:rsid w:val="00AF6AA5"/>
    <w:rsid w:val="00AF6C74"/>
    <w:rsid w:val="00AF6E92"/>
    <w:rsid w:val="00AF6EAF"/>
    <w:rsid w:val="00AF6EBB"/>
    <w:rsid w:val="00AF6FC1"/>
    <w:rsid w:val="00AF6FEF"/>
    <w:rsid w:val="00AF7222"/>
    <w:rsid w:val="00AF739E"/>
    <w:rsid w:val="00AF76D5"/>
    <w:rsid w:val="00AF76FD"/>
    <w:rsid w:val="00AF7903"/>
    <w:rsid w:val="00AF796C"/>
    <w:rsid w:val="00AF79DA"/>
    <w:rsid w:val="00AF7A86"/>
    <w:rsid w:val="00AF7B8A"/>
    <w:rsid w:val="00AF7C78"/>
    <w:rsid w:val="00AF7DBE"/>
    <w:rsid w:val="00AF7E14"/>
    <w:rsid w:val="00B000FA"/>
    <w:rsid w:val="00B0028D"/>
    <w:rsid w:val="00B00317"/>
    <w:rsid w:val="00B0040E"/>
    <w:rsid w:val="00B0055B"/>
    <w:rsid w:val="00B00615"/>
    <w:rsid w:val="00B006A1"/>
    <w:rsid w:val="00B0075D"/>
    <w:rsid w:val="00B00764"/>
    <w:rsid w:val="00B007BD"/>
    <w:rsid w:val="00B00AE2"/>
    <w:rsid w:val="00B01482"/>
    <w:rsid w:val="00B014BA"/>
    <w:rsid w:val="00B0152A"/>
    <w:rsid w:val="00B01656"/>
    <w:rsid w:val="00B01696"/>
    <w:rsid w:val="00B01725"/>
    <w:rsid w:val="00B01767"/>
    <w:rsid w:val="00B01A3F"/>
    <w:rsid w:val="00B01AE0"/>
    <w:rsid w:val="00B01BFD"/>
    <w:rsid w:val="00B01C36"/>
    <w:rsid w:val="00B01C7B"/>
    <w:rsid w:val="00B01DE1"/>
    <w:rsid w:val="00B01FB2"/>
    <w:rsid w:val="00B02276"/>
    <w:rsid w:val="00B02346"/>
    <w:rsid w:val="00B02478"/>
    <w:rsid w:val="00B024BE"/>
    <w:rsid w:val="00B02615"/>
    <w:rsid w:val="00B0266E"/>
    <w:rsid w:val="00B02A13"/>
    <w:rsid w:val="00B02DF3"/>
    <w:rsid w:val="00B02E60"/>
    <w:rsid w:val="00B0315C"/>
    <w:rsid w:val="00B03245"/>
    <w:rsid w:val="00B032DB"/>
    <w:rsid w:val="00B033DB"/>
    <w:rsid w:val="00B033E1"/>
    <w:rsid w:val="00B0342E"/>
    <w:rsid w:val="00B03526"/>
    <w:rsid w:val="00B03683"/>
    <w:rsid w:val="00B036C0"/>
    <w:rsid w:val="00B03869"/>
    <w:rsid w:val="00B03B0E"/>
    <w:rsid w:val="00B03BBC"/>
    <w:rsid w:val="00B03CA9"/>
    <w:rsid w:val="00B03E33"/>
    <w:rsid w:val="00B03FA1"/>
    <w:rsid w:val="00B03FF1"/>
    <w:rsid w:val="00B04087"/>
    <w:rsid w:val="00B0409E"/>
    <w:rsid w:val="00B04159"/>
    <w:rsid w:val="00B0425C"/>
    <w:rsid w:val="00B0430C"/>
    <w:rsid w:val="00B0455A"/>
    <w:rsid w:val="00B045AA"/>
    <w:rsid w:val="00B0482C"/>
    <w:rsid w:val="00B04A52"/>
    <w:rsid w:val="00B04CD4"/>
    <w:rsid w:val="00B04CF0"/>
    <w:rsid w:val="00B04D46"/>
    <w:rsid w:val="00B04E5D"/>
    <w:rsid w:val="00B04F59"/>
    <w:rsid w:val="00B05372"/>
    <w:rsid w:val="00B05388"/>
    <w:rsid w:val="00B0577C"/>
    <w:rsid w:val="00B057E3"/>
    <w:rsid w:val="00B059FA"/>
    <w:rsid w:val="00B05AC7"/>
    <w:rsid w:val="00B05B90"/>
    <w:rsid w:val="00B05C28"/>
    <w:rsid w:val="00B05CA3"/>
    <w:rsid w:val="00B05CAE"/>
    <w:rsid w:val="00B05DA1"/>
    <w:rsid w:val="00B05F23"/>
    <w:rsid w:val="00B05FA7"/>
    <w:rsid w:val="00B05FEA"/>
    <w:rsid w:val="00B06139"/>
    <w:rsid w:val="00B06197"/>
    <w:rsid w:val="00B0630B"/>
    <w:rsid w:val="00B063AE"/>
    <w:rsid w:val="00B064F1"/>
    <w:rsid w:val="00B06659"/>
    <w:rsid w:val="00B06711"/>
    <w:rsid w:val="00B0695C"/>
    <w:rsid w:val="00B06965"/>
    <w:rsid w:val="00B069EB"/>
    <w:rsid w:val="00B069F6"/>
    <w:rsid w:val="00B06A57"/>
    <w:rsid w:val="00B06C50"/>
    <w:rsid w:val="00B06DCA"/>
    <w:rsid w:val="00B07114"/>
    <w:rsid w:val="00B071A4"/>
    <w:rsid w:val="00B071DC"/>
    <w:rsid w:val="00B07469"/>
    <w:rsid w:val="00B0791D"/>
    <w:rsid w:val="00B07AA5"/>
    <w:rsid w:val="00B07ABB"/>
    <w:rsid w:val="00B07ADF"/>
    <w:rsid w:val="00B07B8D"/>
    <w:rsid w:val="00B07BB1"/>
    <w:rsid w:val="00B07C58"/>
    <w:rsid w:val="00B07CC6"/>
    <w:rsid w:val="00B07CED"/>
    <w:rsid w:val="00B07E5E"/>
    <w:rsid w:val="00B07ED2"/>
    <w:rsid w:val="00B10124"/>
    <w:rsid w:val="00B101B6"/>
    <w:rsid w:val="00B1024B"/>
    <w:rsid w:val="00B1033A"/>
    <w:rsid w:val="00B103BF"/>
    <w:rsid w:val="00B1043D"/>
    <w:rsid w:val="00B10581"/>
    <w:rsid w:val="00B10618"/>
    <w:rsid w:val="00B10AB4"/>
    <w:rsid w:val="00B10ABF"/>
    <w:rsid w:val="00B10D2B"/>
    <w:rsid w:val="00B10E85"/>
    <w:rsid w:val="00B10E9F"/>
    <w:rsid w:val="00B10EC1"/>
    <w:rsid w:val="00B10FFE"/>
    <w:rsid w:val="00B1119D"/>
    <w:rsid w:val="00B11222"/>
    <w:rsid w:val="00B115B1"/>
    <w:rsid w:val="00B11646"/>
    <w:rsid w:val="00B1172C"/>
    <w:rsid w:val="00B11789"/>
    <w:rsid w:val="00B11840"/>
    <w:rsid w:val="00B11858"/>
    <w:rsid w:val="00B119B9"/>
    <w:rsid w:val="00B11A1B"/>
    <w:rsid w:val="00B11A7C"/>
    <w:rsid w:val="00B11BCF"/>
    <w:rsid w:val="00B11BF2"/>
    <w:rsid w:val="00B11CCC"/>
    <w:rsid w:val="00B11D89"/>
    <w:rsid w:val="00B11DBE"/>
    <w:rsid w:val="00B11EDA"/>
    <w:rsid w:val="00B1207B"/>
    <w:rsid w:val="00B12083"/>
    <w:rsid w:val="00B1235E"/>
    <w:rsid w:val="00B125AA"/>
    <w:rsid w:val="00B1264D"/>
    <w:rsid w:val="00B127F5"/>
    <w:rsid w:val="00B12AE3"/>
    <w:rsid w:val="00B12DFC"/>
    <w:rsid w:val="00B12E53"/>
    <w:rsid w:val="00B130FB"/>
    <w:rsid w:val="00B1314D"/>
    <w:rsid w:val="00B1317B"/>
    <w:rsid w:val="00B13211"/>
    <w:rsid w:val="00B1326E"/>
    <w:rsid w:val="00B1379E"/>
    <w:rsid w:val="00B13889"/>
    <w:rsid w:val="00B13AEA"/>
    <w:rsid w:val="00B1427B"/>
    <w:rsid w:val="00B1435D"/>
    <w:rsid w:val="00B14403"/>
    <w:rsid w:val="00B14472"/>
    <w:rsid w:val="00B1455C"/>
    <w:rsid w:val="00B145B2"/>
    <w:rsid w:val="00B1467B"/>
    <w:rsid w:val="00B147D8"/>
    <w:rsid w:val="00B14932"/>
    <w:rsid w:val="00B14AA9"/>
    <w:rsid w:val="00B14B36"/>
    <w:rsid w:val="00B14D5C"/>
    <w:rsid w:val="00B14DAF"/>
    <w:rsid w:val="00B14ED4"/>
    <w:rsid w:val="00B14EE9"/>
    <w:rsid w:val="00B14FF4"/>
    <w:rsid w:val="00B151DF"/>
    <w:rsid w:val="00B152DE"/>
    <w:rsid w:val="00B15358"/>
    <w:rsid w:val="00B15454"/>
    <w:rsid w:val="00B1566A"/>
    <w:rsid w:val="00B1577C"/>
    <w:rsid w:val="00B15909"/>
    <w:rsid w:val="00B15BFE"/>
    <w:rsid w:val="00B15D77"/>
    <w:rsid w:val="00B15E78"/>
    <w:rsid w:val="00B15F96"/>
    <w:rsid w:val="00B16276"/>
    <w:rsid w:val="00B16288"/>
    <w:rsid w:val="00B162BE"/>
    <w:rsid w:val="00B16396"/>
    <w:rsid w:val="00B1695A"/>
    <w:rsid w:val="00B1697B"/>
    <w:rsid w:val="00B169B1"/>
    <w:rsid w:val="00B169F2"/>
    <w:rsid w:val="00B16A41"/>
    <w:rsid w:val="00B16EAD"/>
    <w:rsid w:val="00B16FE0"/>
    <w:rsid w:val="00B1713D"/>
    <w:rsid w:val="00B17201"/>
    <w:rsid w:val="00B17249"/>
    <w:rsid w:val="00B17320"/>
    <w:rsid w:val="00B1740C"/>
    <w:rsid w:val="00B175DA"/>
    <w:rsid w:val="00B17832"/>
    <w:rsid w:val="00B17835"/>
    <w:rsid w:val="00B17892"/>
    <w:rsid w:val="00B1791E"/>
    <w:rsid w:val="00B17A33"/>
    <w:rsid w:val="00B17A8F"/>
    <w:rsid w:val="00B17B7C"/>
    <w:rsid w:val="00B17C90"/>
    <w:rsid w:val="00B17E77"/>
    <w:rsid w:val="00B17F74"/>
    <w:rsid w:val="00B17FAB"/>
    <w:rsid w:val="00B20130"/>
    <w:rsid w:val="00B2043D"/>
    <w:rsid w:val="00B204B0"/>
    <w:rsid w:val="00B20747"/>
    <w:rsid w:val="00B2076A"/>
    <w:rsid w:val="00B20AAA"/>
    <w:rsid w:val="00B20B8E"/>
    <w:rsid w:val="00B20BCF"/>
    <w:rsid w:val="00B20CC9"/>
    <w:rsid w:val="00B20E8C"/>
    <w:rsid w:val="00B2111E"/>
    <w:rsid w:val="00B21152"/>
    <w:rsid w:val="00B211C6"/>
    <w:rsid w:val="00B2145F"/>
    <w:rsid w:val="00B21709"/>
    <w:rsid w:val="00B218C0"/>
    <w:rsid w:val="00B219A0"/>
    <w:rsid w:val="00B21A73"/>
    <w:rsid w:val="00B21A8A"/>
    <w:rsid w:val="00B21AE8"/>
    <w:rsid w:val="00B21EB1"/>
    <w:rsid w:val="00B223F8"/>
    <w:rsid w:val="00B2257F"/>
    <w:rsid w:val="00B22645"/>
    <w:rsid w:val="00B226BF"/>
    <w:rsid w:val="00B227CA"/>
    <w:rsid w:val="00B22AB6"/>
    <w:rsid w:val="00B22ADE"/>
    <w:rsid w:val="00B22B59"/>
    <w:rsid w:val="00B22BC7"/>
    <w:rsid w:val="00B22CDD"/>
    <w:rsid w:val="00B22CE4"/>
    <w:rsid w:val="00B22DA0"/>
    <w:rsid w:val="00B22E35"/>
    <w:rsid w:val="00B22E52"/>
    <w:rsid w:val="00B22FEB"/>
    <w:rsid w:val="00B230AE"/>
    <w:rsid w:val="00B230F2"/>
    <w:rsid w:val="00B23460"/>
    <w:rsid w:val="00B2346B"/>
    <w:rsid w:val="00B2346F"/>
    <w:rsid w:val="00B23492"/>
    <w:rsid w:val="00B23498"/>
    <w:rsid w:val="00B235D0"/>
    <w:rsid w:val="00B237AE"/>
    <w:rsid w:val="00B2398B"/>
    <w:rsid w:val="00B23C8D"/>
    <w:rsid w:val="00B23C9C"/>
    <w:rsid w:val="00B23D50"/>
    <w:rsid w:val="00B23EB5"/>
    <w:rsid w:val="00B23EBB"/>
    <w:rsid w:val="00B24094"/>
    <w:rsid w:val="00B24120"/>
    <w:rsid w:val="00B24218"/>
    <w:rsid w:val="00B242CC"/>
    <w:rsid w:val="00B24749"/>
    <w:rsid w:val="00B248E4"/>
    <w:rsid w:val="00B248EF"/>
    <w:rsid w:val="00B24F3B"/>
    <w:rsid w:val="00B24FFC"/>
    <w:rsid w:val="00B25114"/>
    <w:rsid w:val="00B2526B"/>
    <w:rsid w:val="00B254EB"/>
    <w:rsid w:val="00B2558C"/>
    <w:rsid w:val="00B2561F"/>
    <w:rsid w:val="00B2586B"/>
    <w:rsid w:val="00B2586E"/>
    <w:rsid w:val="00B25A0B"/>
    <w:rsid w:val="00B25AD7"/>
    <w:rsid w:val="00B25BB7"/>
    <w:rsid w:val="00B25C9D"/>
    <w:rsid w:val="00B25DD7"/>
    <w:rsid w:val="00B25E73"/>
    <w:rsid w:val="00B26236"/>
    <w:rsid w:val="00B26299"/>
    <w:rsid w:val="00B2638B"/>
    <w:rsid w:val="00B26585"/>
    <w:rsid w:val="00B265E5"/>
    <w:rsid w:val="00B26605"/>
    <w:rsid w:val="00B2690A"/>
    <w:rsid w:val="00B26A70"/>
    <w:rsid w:val="00B26C49"/>
    <w:rsid w:val="00B26DB3"/>
    <w:rsid w:val="00B26DFD"/>
    <w:rsid w:val="00B26EC1"/>
    <w:rsid w:val="00B2702D"/>
    <w:rsid w:val="00B27060"/>
    <w:rsid w:val="00B271D6"/>
    <w:rsid w:val="00B27251"/>
    <w:rsid w:val="00B272BC"/>
    <w:rsid w:val="00B2733A"/>
    <w:rsid w:val="00B273DB"/>
    <w:rsid w:val="00B2755D"/>
    <w:rsid w:val="00B275F7"/>
    <w:rsid w:val="00B277A1"/>
    <w:rsid w:val="00B278C1"/>
    <w:rsid w:val="00B278DF"/>
    <w:rsid w:val="00B27AD2"/>
    <w:rsid w:val="00B27C55"/>
    <w:rsid w:val="00B27DDC"/>
    <w:rsid w:val="00B27E3F"/>
    <w:rsid w:val="00B27F24"/>
    <w:rsid w:val="00B27FE0"/>
    <w:rsid w:val="00B3017F"/>
    <w:rsid w:val="00B303C8"/>
    <w:rsid w:val="00B30566"/>
    <w:rsid w:val="00B306A0"/>
    <w:rsid w:val="00B307AB"/>
    <w:rsid w:val="00B308DB"/>
    <w:rsid w:val="00B30BAB"/>
    <w:rsid w:val="00B30CAD"/>
    <w:rsid w:val="00B30E2D"/>
    <w:rsid w:val="00B30ECE"/>
    <w:rsid w:val="00B310AE"/>
    <w:rsid w:val="00B311F7"/>
    <w:rsid w:val="00B312F6"/>
    <w:rsid w:val="00B3150D"/>
    <w:rsid w:val="00B316CF"/>
    <w:rsid w:val="00B316DB"/>
    <w:rsid w:val="00B31790"/>
    <w:rsid w:val="00B317DC"/>
    <w:rsid w:val="00B31830"/>
    <w:rsid w:val="00B31C36"/>
    <w:rsid w:val="00B31CDB"/>
    <w:rsid w:val="00B31E16"/>
    <w:rsid w:val="00B31FDB"/>
    <w:rsid w:val="00B32110"/>
    <w:rsid w:val="00B321F6"/>
    <w:rsid w:val="00B322DC"/>
    <w:rsid w:val="00B32526"/>
    <w:rsid w:val="00B325A1"/>
    <w:rsid w:val="00B326E0"/>
    <w:rsid w:val="00B327AF"/>
    <w:rsid w:val="00B32916"/>
    <w:rsid w:val="00B32A3E"/>
    <w:rsid w:val="00B32C51"/>
    <w:rsid w:val="00B32C7E"/>
    <w:rsid w:val="00B32D17"/>
    <w:rsid w:val="00B32E4B"/>
    <w:rsid w:val="00B32F22"/>
    <w:rsid w:val="00B32FB1"/>
    <w:rsid w:val="00B33020"/>
    <w:rsid w:val="00B332C2"/>
    <w:rsid w:val="00B3344B"/>
    <w:rsid w:val="00B33466"/>
    <w:rsid w:val="00B33669"/>
    <w:rsid w:val="00B33674"/>
    <w:rsid w:val="00B3368A"/>
    <w:rsid w:val="00B3370D"/>
    <w:rsid w:val="00B33ACC"/>
    <w:rsid w:val="00B33B9E"/>
    <w:rsid w:val="00B33D14"/>
    <w:rsid w:val="00B33EC9"/>
    <w:rsid w:val="00B33F23"/>
    <w:rsid w:val="00B33F30"/>
    <w:rsid w:val="00B3418E"/>
    <w:rsid w:val="00B342E2"/>
    <w:rsid w:val="00B34356"/>
    <w:rsid w:val="00B34375"/>
    <w:rsid w:val="00B34381"/>
    <w:rsid w:val="00B343D6"/>
    <w:rsid w:val="00B3447A"/>
    <w:rsid w:val="00B34578"/>
    <w:rsid w:val="00B3467D"/>
    <w:rsid w:val="00B346C4"/>
    <w:rsid w:val="00B3477C"/>
    <w:rsid w:val="00B349D5"/>
    <w:rsid w:val="00B34B2D"/>
    <w:rsid w:val="00B34B6F"/>
    <w:rsid w:val="00B34C2E"/>
    <w:rsid w:val="00B34D2E"/>
    <w:rsid w:val="00B34DB2"/>
    <w:rsid w:val="00B34F98"/>
    <w:rsid w:val="00B3500A"/>
    <w:rsid w:val="00B3500F"/>
    <w:rsid w:val="00B35055"/>
    <w:rsid w:val="00B35090"/>
    <w:rsid w:val="00B35125"/>
    <w:rsid w:val="00B35159"/>
    <w:rsid w:val="00B35248"/>
    <w:rsid w:val="00B35642"/>
    <w:rsid w:val="00B35915"/>
    <w:rsid w:val="00B359E3"/>
    <w:rsid w:val="00B35A35"/>
    <w:rsid w:val="00B35AC0"/>
    <w:rsid w:val="00B35B48"/>
    <w:rsid w:val="00B35CA3"/>
    <w:rsid w:val="00B35D9D"/>
    <w:rsid w:val="00B35E44"/>
    <w:rsid w:val="00B35F15"/>
    <w:rsid w:val="00B361FE"/>
    <w:rsid w:val="00B3625C"/>
    <w:rsid w:val="00B3632F"/>
    <w:rsid w:val="00B36355"/>
    <w:rsid w:val="00B36357"/>
    <w:rsid w:val="00B36360"/>
    <w:rsid w:val="00B363AC"/>
    <w:rsid w:val="00B367CB"/>
    <w:rsid w:val="00B36895"/>
    <w:rsid w:val="00B36973"/>
    <w:rsid w:val="00B369B0"/>
    <w:rsid w:val="00B369B4"/>
    <w:rsid w:val="00B36BA7"/>
    <w:rsid w:val="00B36CCC"/>
    <w:rsid w:val="00B36ED1"/>
    <w:rsid w:val="00B36F1E"/>
    <w:rsid w:val="00B3706F"/>
    <w:rsid w:val="00B370B4"/>
    <w:rsid w:val="00B370B9"/>
    <w:rsid w:val="00B37238"/>
    <w:rsid w:val="00B3728C"/>
    <w:rsid w:val="00B37419"/>
    <w:rsid w:val="00B374BA"/>
    <w:rsid w:val="00B3774E"/>
    <w:rsid w:val="00B37898"/>
    <w:rsid w:val="00B378BE"/>
    <w:rsid w:val="00B37952"/>
    <w:rsid w:val="00B37A65"/>
    <w:rsid w:val="00B37E92"/>
    <w:rsid w:val="00B37EB6"/>
    <w:rsid w:val="00B37ED4"/>
    <w:rsid w:val="00B37F2E"/>
    <w:rsid w:val="00B4000D"/>
    <w:rsid w:val="00B4005A"/>
    <w:rsid w:val="00B401EE"/>
    <w:rsid w:val="00B40261"/>
    <w:rsid w:val="00B40358"/>
    <w:rsid w:val="00B40383"/>
    <w:rsid w:val="00B40711"/>
    <w:rsid w:val="00B40940"/>
    <w:rsid w:val="00B40A92"/>
    <w:rsid w:val="00B40CBD"/>
    <w:rsid w:val="00B40CE6"/>
    <w:rsid w:val="00B40D35"/>
    <w:rsid w:val="00B40F05"/>
    <w:rsid w:val="00B40F93"/>
    <w:rsid w:val="00B41456"/>
    <w:rsid w:val="00B41665"/>
    <w:rsid w:val="00B41686"/>
    <w:rsid w:val="00B4174B"/>
    <w:rsid w:val="00B418BE"/>
    <w:rsid w:val="00B418CE"/>
    <w:rsid w:val="00B4196A"/>
    <w:rsid w:val="00B41A50"/>
    <w:rsid w:val="00B41CDE"/>
    <w:rsid w:val="00B41D86"/>
    <w:rsid w:val="00B41EBD"/>
    <w:rsid w:val="00B42186"/>
    <w:rsid w:val="00B421A8"/>
    <w:rsid w:val="00B424AD"/>
    <w:rsid w:val="00B42535"/>
    <w:rsid w:val="00B425A3"/>
    <w:rsid w:val="00B426F6"/>
    <w:rsid w:val="00B42728"/>
    <w:rsid w:val="00B42846"/>
    <w:rsid w:val="00B42870"/>
    <w:rsid w:val="00B4296B"/>
    <w:rsid w:val="00B42988"/>
    <w:rsid w:val="00B42A8B"/>
    <w:rsid w:val="00B42D8F"/>
    <w:rsid w:val="00B43501"/>
    <w:rsid w:val="00B437FC"/>
    <w:rsid w:val="00B43836"/>
    <w:rsid w:val="00B43AE4"/>
    <w:rsid w:val="00B43B57"/>
    <w:rsid w:val="00B43CF7"/>
    <w:rsid w:val="00B44149"/>
    <w:rsid w:val="00B441C4"/>
    <w:rsid w:val="00B4447B"/>
    <w:rsid w:val="00B446ED"/>
    <w:rsid w:val="00B447BF"/>
    <w:rsid w:val="00B44A89"/>
    <w:rsid w:val="00B44BAF"/>
    <w:rsid w:val="00B44BD8"/>
    <w:rsid w:val="00B44DC1"/>
    <w:rsid w:val="00B4505E"/>
    <w:rsid w:val="00B450EB"/>
    <w:rsid w:val="00B4511D"/>
    <w:rsid w:val="00B45192"/>
    <w:rsid w:val="00B451DE"/>
    <w:rsid w:val="00B452B8"/>
    <w:rsid w:val="00B45454"/>
    <w:rsid w:val="00B457A4"/>
    <w:rsid w:val="00B457FA"/>
    <w:rsid w:val="00B45D91"/>
    <w:rsid w:val="00B45DEA"/>
    <w:rsid w:val="00B45E2C"/>
    <w:rsid w:val="00B45F60"/>
    <w:rsid w:val="00B45F8F"/>
    <w:rsid w:val="00B460AC"/>
    <w:rsid w:val="00B461C7"/>
    <w:rsid w:val="00B463E5"/>
    <w:rsid w:val="00B465F3"/>
    <w:rsid w:val="00B4672C"/>
    <w:rsid w:val="00B467A7"/>
    <w:rsid w:val="00B46849"/>
    <w:rsid w:val="00B469D7"/>
    <w:rsid w:val="00B469DC"/>
    <w:rsid w:val="00B46E33"/>
    <w:rsid w:val="00B46F2A"/>
    <w:rsid w:val="00B46F61"/>
    <w:rsid w:val="00B46FDE"/>
    <w:rsid w:val="00B47278"/>
    <w:rsid w:val="00B472E8"/>
    <w:rsid w:val="00B4744A"/>
    <w:rsid w:val="00B47454"/>
    <w:rsid w:val="00B474D0"/>
    <w:rsid w:val="00B47513"/>
    <w:rsid w:val="00B47662"/>
    <w:rsid w:val="00B477BF"/>
    <w:rsid w:val="00B478AF"/>
    <w:rsid w:val="00B479D9"/>
    <w:rsid w:val="00B47A3C"/>
    <w:rsid w:val="00B47AD6"/>
    <w:rsid w:val="00B47EBB"/>
    <w:rsid w:val="00B50391"/>
    <w:rsid w:val="00B5041A"/>
    <w:rsid w:val="00B507E7"/>
    <w:rsid w:val="00B509F8"/>
    <w:rsid w:val="00B50A5C"/>
    <w:rsid w:val="00B50A80"/>
    <w:rsid w:val="00B50B29"/>
    <w:rsid w:val="00B50BF2"/>
    <w:rsid w:val="00B50C21"/>
    <w:rsid w:val="00B50CF8"/>
    <w:rsid w:val="00B50D78"/>
    <w:rsid w:val="00B510B9"/>
    <w:rsid w:val="00B51157"/>
    <w:rsid w:val="00B511CB"/>
    <w:rsid w:val="00B51387"/>
    <w:rsid w:val="00B514D6"/>
    <w:rsid w:val="00B514EA"/>
    <w:rsid w:val="00B518C2"/>
    <w:rsid w:val="00B51A45"/>
    <w:rsid w:val="00B51BF1"/>
    <w:rsid w:val="00B51CB1"/>
    <w:rsid w:val="00B51E24"/>
    <w:rsid w:val="00B51F02"/>
    <w:rsid w:val="00B51F78"/>
    <w:rsid w:val="00B520D8"/>
    <w:rsid w:val="00B5233E"/>
    <w:rsid w:val="00B523CC"/>
    <w:rsid w:val="00B52413"/>
    <w:rsid w:val="00B52442"/>
    <w:rsid w:val="00B5246A"/>
    <w:rsid w:val="00B524C2"/>
    <w:rsid w:val="00B52602"/>
    <w:rsid w:val="00B52704"/>
    <w:rsid w:val="00B5283A"/>
    <w:rsid w:val="00B5284F"/>
    <w:rsid w:val="00B52B24"/>
    <w:rsid w:val="00B52F00"/>
    <w:rsid w:val="00B52F6A"/>
    <w:rsid w:val="00B52FFA"/>
    <w:rsid w:val="00B5302D"/>
    <w:rsid w:val="00B530F6"/>
    <w:rsid w:val="00B5314A"/>
    <w:rsid w:val="00B53339"/>
    <w:rsid w:val="00B533A7"/>
    <w:rsid w:val="00B5383A"/>
    <w:rsid w:val="00B5392C"/>
    <w:rsid w:val="00B53A9A"/>
    <w:rsid w:val="00B53C03"/>
    <w:rsid w:val="00B53CBC"/>
    <w:rsid w:val="00B5435F"/>
    <w:rsid w:val="00B543FC"/>
    <w:rsid w:val="00B54400"/>
    <w:rsid w:val="00B546A2"/>
    <w:rsid w:val="00B546DA"/>
    <w:rsid w:val="00B54838"/>
    <w:rsid w:val="00B5486A"/>
    <w:rsid w:val="00B54B95"/>
    <w:rsid w:val="00B54D79"/>
    <w:rsid w:val="00B54F76"/>
    <w:rsid w:val="00B54FF4"/>
    <w:rsid w:val="00B5512E"/>
    <w:rsid w:val="00B551C4"/>
    <w:rsid w:val="00B55219"/>
    <w:rsid w:val="00B5533B"/>
    <w:rsid w:val="00B55461"/>
    <w:rsid w:val="00B554B5"/>
    <w:rsid w:val="00B5556C"/>
    <w:rsid w:val="00B55678"/>
    <w:rsid w:val="00B556D5"/>
    <w:rsid w:val="00B55805"/>
    <w:rsid w:val="00B5582C"/>
    <w:rsid w:val="00B558CD"/>
    <w:rsid w:val="00B55921"/>
    <w:rsid w:val="00B55A31"/>
    <w:rsid w:val="00B55A41"/>
    <w:rsid w:val="00B55C43"/>
    <w:rsid w:val="00B55C4A"/>
    <w:rsid w:val="00B55D43"/>
    <w:rsid w:val="00B560B3"/>
    <w:rsid w:val="00B561D3"/>
    <w:rsid w:val="00B56268"/>
    <w:rsid w:val="00B56294"/>
    <w:rsid w:val="00B56584"/>
    <w:rsid w:val="00B5680F"/>
    <w:rsid w:val="00B5683C"/>
    <w:rsid w:val="00B56922"/>
    <w:rsid w:val="00B56982"/>
    <w:rsid w:val="00B56A32"/>
    <w:rsid w:val="00B56ACA"/>
    <w:rsid w:val="00B56B00"/>
    <w:rsid w:val="00B56C1C"/>
    <w:rsid w:val="00B56E04"/>
    <w:rsid w:val="00B56E9D"/>
    <w:rsid w:val="00B570E2"/>
    <w:rsid w:val="00B573B6"/>
    <w:rsid w:val="00B573C9"/>
    <w:rsid w:val="00B574AA"/>
    <w:rsid w:val="00B57570"/>
    <w:rsid w:val="00B575DF"/>
    <w:rsid w:val="00B57693"/>
    <w:rsid w:val="00B57791"/>
    <w:rsid w:val="00B579C8"/>
    <w:rsid w:val="00B57A81"/>
    <w:rsid w:val="00B57AD7"/>
    <w:rsid w:val="00B57C93"/>
    <w:rsid w:val="00B57C9D"/>
    <w:rsid w:val="00B57CDF"/>
    <w:rsid w:val="00B57D99"/>
    <w:rsid w:val="00B57DBF"/>
    <w:rsid w:val="00B57E66"/>
    <w:rsid w:val="00B57E76"/>
    <w:rsid w:val="00B57EC2"/>
    <w:rsid w:val="00B600AC"/>
    <w:rsid w:val="00B60103"/>
    <w:rsid w:val="00B60140"/>
    <w:rsid w:val="00B601BF"/>
    <w:rsid w:val="00B60327"/>
    <w:rsid w:val="00B603BF"/>
    <w:rsid w:val="00B60C24"/>
    <w:rsid w:val="00B60C67"/>
    <w:rsid w:val="00B60CD4"/>
    <w:rsid w:val="00B60EE7"/>
    <w:rsid w:val="00B6103E"/>
    <w:rsid w:val="00B610F6"/>
    <w:rsid w:val="00B61136"/>
    <w:rsid w:val="00B611FD"/>
    <w:rsid w:val="00B61328"/>
    <w:rsid w:val="00B615D1"/>
    <w:rsid w:val="00B6184C"/>
    <w:rsid w:val="00B619A0"/>
    <w:rsid w:val="00B61B70"/>
    <w:rsid w:val="00B61BBF"/>
    <w:rsid w:val="00B61C2F"/>
    <w:rsid w:val="00B61C8B"/>
    <w:rsid w:val="00B61FFC"/>
    <w:rsid w:val="00B62075"/>
    <w:rsid w:val="00B620C8"/>
    <w:rsid w:val="00B621F7"/>
    <w:rsid w:val="00B62483"/>
    <w:rsid w:val="00B6272A"/>
    <w:rsid w:val="00B62744"/>
    <w:rsid w:val="00B627DC"/>
    <w:rsid w:val="00B628F7"/>
    <w:rsid w:val="00B629D3"/>
    <w:rsid w:val="00B62A88"/>
    <w:rsid w:val="00B62A8D"/>
    <w:rsid w:val="00B62BDA"/>
    <w:rsid w:val="00B62D24"/>
    <w:rsid w:val="00B6304F"/>
    <w:rsid w:val="00B6307F"/>
    <w:rsid w:val="00B63144"/>
    <w:rsid w:val="00B6320C"/>
    <w:rsid w:val="00B63289"/>
    <w:rsid w:val="00B63428"/>
    <w:rsid w:val="00B6343C"/>
    <w:rsid w:val="00B6359E"/>
    <w:rsid w:val="00B6360A"/>
    <w:rsid w:val="00B6364F"/>
    <w:rsid w:val="00B6399C"/>
    <w:rsid w:val="00B639C7"/>
    <w:rsid w:val="00B63A04"/>
    <w:rsid w:val="00B63ABF"/>
    <w:rsid w:val="00B63B40"/>
    <w:rsid w:val="00B63C0A"/>
    <w:rsid w:val="00B63ECE"/>
    <w:rsid w:val="00B6405B"/>
    <w:rsid w:val="00B6429C"/>
    <w:rsid w:val="00B642A0"/>
    <w:rsid w:val="00B6446F"/>
    <w:rsid w:val="00B64531"/>
    <w:rsid w:val="00B648C5"/>
    <w:rsid w:val="00B64994"/>
    <w:rsid w:val="00B64A80"/>
    <w:rsid w:val="00B64B73"/>
    <w:rsid w:val="00B64C28"/>
    <w:rsid w:val="00B64C5E"/>
    <w:rsid w:val="00B64CC1"/>
    <w:rsid w:val="00B64DA7"/>
    <w:rsid w:val="00B64FAA"/>
    <w:rsid w:val="00B6504B"/>
    <w:rsid w:val="00B6506B"/>
    <w:rsid w:val="00B6529B"/>
    <w:rsid w:val="00B65319"/>
    <w:rsid w:val="00B65413"/>
    <w:rsid w:val="00B654E4"/>
    <w:rsid w:val="00B65599"/>
    <w:rsid w:val="00B65683"/>
    <w:rsid w:val="00B656B5"/>
    <w:rsid w:val="00B65752"/>
    <w:rsid w:val="00B6596E"/>
    <w:rsid w:val="00B65C17"/>
    <w:rsid w:val="00B65D3B"/>
    <w:rsid w:val="00B65DB6"/>
    <w:rsid w:val="00B6619B"/>
    <w:rsid w:val="00B6627B"/>
    <w:rsid w:val="00B662E0"/>
    <w:rsid w:val="00B663C3"/>
    <w:rsid w:val="00B66471"/>
    <w:rsid w:val="00B664AF"/>
    <w:rsid w:val="00B667BB"/>
    <w:rsid w:val="00B667E4"/>
    <w:rsid w:val="00B66A80"/>
    <w:rsid w:val="00B66B2B"/>
    <w:rsid w:val="00B66FA0"/>
    <w:rsid w:val="00B66FE8"/>
    <w:rsid w:val="00B672F4"/>
    <w:rsid w:val="00B6745B"/>
    <w:rsid w:val="00B67528"/>
    <w:rsid w:val="00B678B9"/>
    <w:rsid w:val="00B67A78"/>
    <w:rsid w:val="00B67A9A"/>
    <w:rsid w:val="00B67B7B"/>
    <w:rsid w:val="00B67D52"/>
    <w:rsid w:val="00B67FD9"/>
    <w:rsid w:val="00B70001"/>
    <w:rsid w:val="00B7002D"/>
    <w:rsid w:val="00B70216"/>
    <w:rsid w:val="00B702CF"/>
    <w:rsid w:val="00B703C0"/>
    <w:rsid w:val="00B70484"/>
    <w:rsid w:val="00B70494"/>
    <w:rsid w:val="00B70541"/>
    <w:rsid w:val="00B70739"/>
    <w:rsid w:val="00B707F7"/>
    <w:rsid w:val="00B70845"/>
    <w:rsid w:val="00B709CE"/>
    <w:rsid w:val="00B70AE5"/>
    <w:rsid w:val="00B70B60"/>
    <w:rsid w:val="00B70C36"/>
    <w:rsid w:val="00B70D4D"/>
    <w:rsid w:val="00B70F7F"/>
    <w:rsid w:val="00B70F9D"/>
    <w:rsid w:val="00B71225"/>
    <w:rsid w:val="00B712E8"/>
    <w:rsid w:val="00B71360"/>
    <w:rsid w:val="00B715E4"/>
    <w:rsid w:val="00B71A28"/>
    <w:rsid w:val="00B71BCA"/>
    <w:rsid w:val="00B71BDF"/>
    <w:rsid w:val="00B71D5D"/>
    <w:rsid w:val="00B72051"/>
    <w:rsid w:val="00B7218B"/>
    <w:rsid w:val="00B721D9"/>
    <w:rsid w:val="00B721E8"/>
    <w:rsid w:val="00B72260"/>
    <w:rsid w:val="00B72682"/>
    <w:rsid w:val="00B7271B"/>
    <w:rsid w:val="00B72908"/>
    <w:rsid w:val="00B72A9F"/>
    <w:rsid w:val="00B72C26"/>
    <w:rsid w:val="00B72D0F"/>
    <w:rsid w:val="00B72D36"/>
    <w:rsid w:val="00B72E6D"/>
    <w:rsid w:val="00B72EF6"/>
    <w:rsid w:val="00B72F15"/>
    <w:rsid w:val="00B7321D"/>
    <w:rsid w:val="00B7369F"/>
    <w:rsid w:val="00B73786"/>
    <w:rsid w:val="00B73A83"/>
    <w:rsid w:val="00B73B87"/>
    <w:rsid w:val="00B73CB3"/>
    <w:rsid w:val="00B73F02"/>
    <w:rsid w:val="00B73F83"/>
    <w:rsid w:val="00B73FC4"/>
    <w:rsid w:val="00B74264"/>
    <w:rsid w:val="00B7426E"/>
    <w:rsid w:val="00B745D3"/>
    <w:rsid w:val="00B748C5"/>
    <w:rsid w:val="00B74A4D"/>
    <w:rsid w:val="00B74B85"/>
    <w:rsid w:val="00B74CA6"/>
    <w:rsid w:val="00B74F50"/>
    <w:rsid w:val="00B751CC"/>
    <w:rsid w:val="00B752B8"/>
    <w:rsid w:val="00B75556"/>
    <w:rsid w:val="00B755D7"/>
    <w:rsid w:val="00B759FC"/>
    <w:rsid w:val="00B75CC4"/>
    <w:rsid w:val="00B75D8E"/>
    <w:rsid w:val="00B75E9E"/>
    <w:rsid w:val="00B75F28"/>
    <w:rsid w:val="00B76024"/>
    <w:rsid w:val="00B761FC"/>
    <w:rsid w:val="00B762EC"/>
    <w:rsid w:val="00B763A0"/>
    <w:rsid w:val="00B7658D"/>
    <w:rsid w:val="00B7684A"/>
    <w:rsid w:val="00B768D3"/>
    <w:rsid w:val="00B76902"/>
    <w:rsid w:val="00B7691F"/>
    <w:rsid w:val="00B76939"/>
    <w:rsid w:val="00B76993"/>
    <w:rsid w:val="00B769C2"/>
    <w:rsid w:val="00B76BC1"/>
    <w:rsid w:val="00B76C79"/>
    <w:rsid w:val="00B76C82"/>
    <w:rsid w:val="00B76E73"/>
    <w:rsid w:val="00B76EC1"/>
    <w:rsid w:val="00B76F47"/>
    <w:rsid w:val="00B77066"/>
    <w:rsid w:val="00B77201"/>
    <w:rsid w:val="00B77311"/>
    <w:rsid w:val="00B7743B"/>
    <w:rsid w:val="00B774B3"/>
    <w:rsid w:val="00B775B8"/>
    <w:rsid w:val="00B7777F"/>
    <w:rsid w:val="00B777BD"/>
    <w:rsid w:val="00B777E3"/>
    <w:rsid w:val="00B77825"/>
    <w:rsid w:val="00B7792B"/>
    <w:rsid w:val="00B77A00"/>
    <w:rsid w:val="00B77EC3"/>
    <w:rsid w:val="00B77EF7"/>
    <w:rsid w:val="00B802B9"/>
    <w:rsid w:val="00B80584"/>
    <w:rsid w:val="00B80765"/>
    <w:rsid w:val="00B8082E"/>
    <w:rsid w:val="00B80970"/>
    <w:rsid w:val="00B80984"/>
    <w:rsid w:val="00B80AAF"/>
    <w:rsid w:val="00B80ADE"/>
    <w:rsid w:val="00B80BA2"/>
    <w:rsid w:val="00B80CA3"/>
    <w:rsid w:val="00B80D68"/>
    <w:rsid w:val="00B80D98"/>
    <w:rsid w:val="00B80DFE"/>
    <w:rsid w:val="00B80FFF"/>
    <w:rsid w:val="00B810D3"/>
    <w:rsid w:val="00B81166"/>
    <w:rsid w:val="00B81210"/>
    <w:rsid w:val="00B81319"/>
    <w:rsid w:val="00B8157C"/>
    <w:rsid w:val="00B81749"/>
    <w:rsid w:val="00B8174C"/>
    <w:rsid w:val="00B8191C"/>
    <w:rsid w:val="00B81A4C"/>
    <w:rsid w:val="00B81A5F"/>
    <w:rsid w:val="00B81AC0"/>
    <w:rsid w:val="00B81C4F"/>
    <w:rsid w:val="00B81C74"/>
    <w:rsid w:val="00B821FF"/>
    <w:rsid w:val="00B8225D"/>
    <w:rsid w:val="00B82289"/>
    <w:rsid w:val="00B8242E"/>
    <w:rsid w:val="00B825CE"/>
    <w:rsid w:val="00B82845"/>
    <w:rsid w:val="00B828BA"/>
    <w:rsid w:val="00B828E5"/>
    <w:rsid w:val="00B8297C"/>
    <w:rsid w:val="00B82D47"/>
    <w:rsid w:val="00B82DB6"/>
    <w:rsid w:val="00B82E7D"/>
    <w:rsid w:val="00B82F0F"/>
    <w:rsid w:val="00B82F9D"/>
    <w:rsid w:val="00B831E8"/>
    <w:rsid w:val="00B832DD"/>
    <w:rsid w:val="00B8363F"/>
    <w:rsid w:val="00B8365E"/>
    <w:rsid w:val="00B83725"/>
    <w:rsid w:val="00B83735"/>
    <w:rsid w:val="00B837AA"/>
    <w:rsid w:val="00B837AE"/>
    <w:rsid w:val="00B83B3F"/>
    <w:rsid w:val="00B83C0E"/>
    <w:rsid w:val="00B83C1F"/>
    <w:rsid w:val="00B83CC2"/>
    <w:rsid w:val="00B83D30"/>
    <w:rsid w:val="00B83D68"/>
    <w:rsid w:val="00B83D86"/>
    <w:rsid w:val="00B8400D"/>
    <w:rsid w:val="00B841D0"/>
    <w:rsid w:val="00B84209"/>
    <w:rsid w:val="00B843DF"/>
    <w:rsid w:val="00B8476B"/>
    <w:rsid w:val="00B847FF"/>
    <w:rsid w:val="00B8496C"/>
    <w:rsid w:val="00B84A58"/>
    <w:rsid w:val="00B84CED"/>
    <w:rsid w:val="00B84E4C"/>
    <w:rsid w:val="00B84E86"/>
    <w:rsid w:val="00B84E88"/>
    <w:rsid w:val="00B84EF9"/>
    <w:rsid w:val="00B84F0F"/>
    <w:rsid w:val="00B85040"/>
    <w:rsid w:val="00B851FE"/>
    <w:rsid w:val="00B8544F"/>
    <w:rsid w:val="00B85512"/>
    <w:rsid w:val="00B85656"/>
    <w:rsid w:val="00B85699"/>
    <w:rsid w:val="00B856A4"/>
    <w:rsid w:val="00B85759"/>
    <w:rsid w:val="00B858EF"/>
    <w:rsid w:val="00B8590B"/>
    <w:rsid w:val="00B85924"/>
    <w:rsid w:val="00B85C39"/>
    <w:rsid w:val="00B85CFD"/>
    <w:rsid w:val="00B85D2F"/>
    <w:rsid w:val="00B85DD7"/>
    <w:rsid w:val="00B86135"/>
    <w:rsid w:val="00B861A0"/>
    <w:rsid w:val="00B861C7"/>
    <w:rsid w:val="00B86282"/>
    <w:rsid w:val="00B862A2"/>
    <w:rsid w:val="00B862BB"/>
    <w:rsid w:val="00B863D6"/>
    <w:rsid w:val="00B865E1"/>
    <w:rsid w:val="00B86623"/>
    <w:rsid w:val="00B86661"/>
    <w:rsid w:val="00B8693E"/>
    <w:rsid w:val="00B8694D"/>
    <w:rsid w:val="00B86AB2"/>
    <w:rsid w:val="00B86AC2"/>
    <w:rsid w:val="00B86B5C"/>
    <w:rsid w:val="00B86CCA"/>
    <w:rsid w:val="00B86D26"/>
    <w:rsid w:val="00B86E18"/>
    <w:rsid w:val="00B870D8"/>
    <w:rsid w:val="00B871B3"/>
    <w:rsid w:val="00B87466"/>
    <w:rsid w:val="00B874AA"/>
    <w:rsid w:val="00B875EB"/>
    <w:rsid w:val="00B87673"/>
    <w:rsid w:val="00B8770B"/>
    <w:rsid w:val="00B87763"/>
    <w:rsid w:val="00B8783E"/>
    <w:rsid w:val="00B87849"/>
    <w:rsid w:val="00B87A55"/>
    <w:rsid w:val="00B87AE6"/>
    <w:rsid w:val="00B87BC0"/>
    <w:rsid w:val="00B87CA8"/>
    <w:rsid w:val="00B87D0B"/>
    <w:rsid w:val="00B87D43"/>
    <w:rsid w:val="00B87D73"/>
    <w:rsid w:val="00B87DC0"/>
    <w:rsid w:val="00B9006D"/>
    <w:rsid w:val="00B90184"/>
    <w:rsid w:val="00B9043F"/>
    <w:rsid w:val="00B90658"/>
    <w:rsid w:val="00B906A0"/>
    <w:rsid w:val="00B906B5"/>
    <w:rsid w:val="00B90777"/>
    <w:rsid w:val="00B907FE"/>
    <w:rsid w:val="00B9083E"/>
    <w:rsid w:val="00B909F8"/>
    <w:rsid w:val="00B90AC9"/>
    <w:rsid w:val="00B90BE8"/>
    <w:rsid w:val="00B90CB0"/>
    <w:rsid w:val="00B90CD2"/>
    <w:rsid w:val="00B90DFD"/>
    <w:rsid w:val="00B90EA5"/>
    <w:rsid w:val="00B90EBF"/>
    <w:rsid w:val="00B9135F"/>
    <w:rsid w:val="00B91457"/>
    <w:rsid w:val="00B9149C"/>
    <w:rsid w:val="00B91608"/>
    <w:rsid w:val="00B9161F"/>
    <w:rsid w:val="00B9169F"/>
    <w:rsid w:val="00B916B5"/>
    <w:rsid w:val="00B919E4"/>
    <w:rsid w:val="00B91A57"/>
    <w:rsid w:val="00B91B0C"/>
    <w:rsid w:val="00B91C13"/>
    <w:rsid w:val="00B91D0A"/>
    <w:rsid w:val="00B91D4E"/>
    <w:rsid w:val="00B91E66"/>
    <w:rsid w:val="00B91E79"/>
    <w:rsid w:val="00B91EEE"/>
    <w:rsid w:val="00B922E9"/>
    <w:rsid w:val="00B92421"/>
    <w:rsid w:val="00B9252F"/>
    <w:rsid w:val="00B925C7"/>
    <w:rsid w:val="00B927D2"/>
    <w:rsid w:val="00B92853"/>
    <w:rsid w:val="00B928D1"/>
    <w:rsid w:val="00B92946"/>
    <w:rsid w:val="00B9296C"/>
    <w:rsid w:val="00B92B9D"/>
    <w:rsid w:val="00B92BF9"/>
    <w:rsid w:val="00B92D1A"/>
    <w:rsid w:val="00B92FA1"/>
    <w:rsid w:val="00B93147"/>
    <w:rsid w:val="00B931B9"/>
    <w:rsid w:val="00B931BE"/>
    <w:rsid w:val="00B933A2"/>
    <w:rsid w:val="00B93414"/>
    <w:rsid w:val="00B93550"/>
    <w:rsid w:val="00B93764"/>
    <w:rsid w:val="00B93908"/>
    <w:rsid w:val="00B939B5"/>
    <w:rsid w:val="00B93AE6"/>
    <w:rsid w:val="00B93BD2"/>
    <w:rsid w:val="00B93BFC"/>
    <w:rsid w:val="00B93F4B"/>
    <w:rsid w:val="00B942CD"/>
    <w:rsid w:val="00B9434C"/>
    <w:rsid w:val="00B9437A"/>
    <w:rsid w:val="00B943EF"/>
    <w:rsid w:val="00B94532"/>
    <w:rsid w:val="00B94571"/>
    <w:rsid w:val="00B9478E"/>
    <w:rsid w:val="00B949A3"/>
    <w:rsid w:val="00B94B96"/>
    <w:rsid w:val="00B94BA7"/>
    <w:rsid w:val="00B94C75"/>
    <w:rsid w:val="00B94CCA"/>
    <w:rsid w:val="00B94CE8"/>
    <w:rsid w:val="00B94DCD"/>
    <w:rsid w:val="00B94DDD"/>
    <w:rsid w:val="00B94E0B"/>
    <w:rsid w:val="00B94E83"/>
    <w:rsid w:val="00B9514F"/>
    <w:rsid w:val="00B952A0"/>
    <w:rsid w:val="00B9540D"/>
    <w:rsid w:val="00B95593"/>
    <w:rsid w:val="00B955F4"/>
    <w:rsid w:val="00B95628"/>
    <w:rsid w:val="00B9597C"/>
    <w:rsid w:val="00B95986"/>
    <w:rsid w:val="00B959AE"/>
    <w:rsid w:val="00B95A33"/>
    <w:rsid w:val="00B95B23"/>
    <w:rsid w:val="00B95B2D"/>
    <w:rsid w:val="00B95DA7"/>
    <w:rsid w:val="00B96134"/>
    <w:rsid w:val="00B9613E"/>
    <w:rsid w:val="00B963D5"/>
    <w:rsid w:val="00B963E0"/>
    <w:rsid w:val="00B964D4"/>
    <w:rsid w:val="00B965BC"/>
    <w:rsid w:val="00B965D4"/>
    <w:rsid w:val="00B96659"/>
    <w:rsid w:val="00B966E9"/>
    <w:rsid w:val="00B967DB"/>
    <w:rsid w:val="00B96838"/>
    <w:rsid w:val="00B96842"/>
    <w:rsid w:val="00B9699C"/>
    <w:rsid w:val="00B969DB"/>
    <w:rsid w:val="00B96B71"/>
    <w:rsid w:val="00B96BE5"/>
    <w:rsid w:val="00B96C26"/>
    <w:rsid w:val="00B96D1A"/>
    <w:rsid w:val="00B970B3"/>
    <w:rsid w:val="00B971D7"/>
    <w:rsid w:val="00B9721F"/>
    <w:rsid w:val="00B972CB"/>
    <w:rsid w:val="00B9742A"/>
    <w:rsid w:val="00B97468"/>
    <w:rsid w:val="00B97506"/>
    <w:rsid w:val="00B97531"/>
    <w:rsid w:val="00B97627"/>
    <w:rsid w:val="00B979B2"/>
    <w:rsid w:val="00B97A36"/>
    <w:rsid w:val="00B97C3C"/>
    <w:rsid w:val="00B97C98"/>
    <w:rsid w:val="00B97E40"/>
    <w:rsid w:val="00BA0139"/>
    <w:rsid w:val="00BA029F"/>
    <w:rsid w:val="00BA0389"/>
    <w:rsid w:val="00BA03A2"/>
    <w:rsid w:val="00BA0404"/>
    <w:rsid w:val="00BA048D"/>
    <w:rsid w:val="00BA04FD"/>
    <w:rsid w:val="00BA0525"/>
    <w:rsid w:val="00BA0528"/>
    <w:rsid w:val="00BA09B8"/>
    <w:rsid w:val="00BA09F2"/>
    <w:rsid w:val="00BA0CC2"/>
    <w:rsid w:val="00BA0D26"/>
    <w:rsid w:val="00BA0E46"/>
    <w:rsid w:val="00BA0E5E"/>
    <w:rsid w:val="00BA1721"/>
    <w:rsid w:val="00BA184D"/>
    <w:rsid w:val="00BA191A"/>
    <w:rsid w:val="00BA1A23"/>
    <w:rsid w:val="00BA1A72"/>
    <w:rsid w:val="00BA1BDA"/>
    <w:rsid w:val="00BA1C7F"/>
    <w:rsid w:val="00BA1D71"/>
    <w:rsid w:val="00BA1DA3"/>
    <w:rsid w:val="00BA1ECA"/>
    <w:rsid w:val="00BA1F2A"/>
    <w:rsid w:val="00BA1FAE"/>
    <w:rsid w:val="00BA2117"/>
    <w:rsid w:val="00BA2152"/>
    <w:rsid w:val="00BA22E0"/>
    <w:rsid w:val="00BA2303"/>
    <w:rsid w:val="00BA2343"/>
    <w:rsid w:val="00BA2455"/>
    <w:rsid w:val="00BA2570"/>
    <w:rsid w:val="00BA2585"/>
    <w:rsid w:val="00BA2686"/>
    <w:rsid w:val="00BA2766"/>
    <w:rsid w:val="00BA2923"/>
    <w:rsid w:val="00BA2B64"/>
    <w:rsid w:val="00BA2BBE"/>
    <w:rsid w:val="00BA2CFC"/>
    <w:rsid w:val="00BA2DA9"/>
    <w:rsid w:val="00BA2DD0"/>
    <w:rsid w:val="00BA30E8"/>
    <w:rsid w:val="00BA3157"/>
    <w:rsid w:val="00BA3304"/>
    <w:rsid w:val="00BA3311"/>
    <w:rsid w:val="00BA3355"/>
    <w:rsid w:val="00BA33C1"/>
    <w:rsid w:val="00BA3400"/>
    <w:rsid w:val="00BA3509"/>
    <w:rsid w:val="00BA357F"/>
    <w:rsid w:val="00BA35E2"/>
    <w:rsid w:val="00BA36BB"/>
    <w:rsid w:val="00BA3720"/>
    <w:rsid w:val="00BA382C"/>
    <w:rsid w:val="00BA38E8"/>
    <w:rsid w:val="00BA38F2"/>
    <w:rsid w:val="00BA3C4E"/>
    <w:rsid w:val="00BA3D99"/>
    <w:rsid w:val="00BA3E76"/>
    <w:rsid w:val="00BA42F2"/>
    <w:rsid w:val="00BA431B"/>
    <w:rsid w:val="00BA433A"/>
    <w:rsid w:val="00BA44CE"/>
    <w:rsid w:val="00BA453E"/>
    <w:rsid w:val="00BA4710"/>
    <w:rsid w:val="00BA47EE"/>
    <w:rsid w:val="00BA4856"/>
    <w:rsid w:val="00BA49B4"/>
    <w:rsid w:val="00BA4A32"/>
    <w:rsid w:val="00BA4A72"/>
    <w:rsid w:val="00BA4B48"/>
    <w:rsid w:val="00BA4CA3"/>
    <w:rsid w:val="00BA4CCA"/>
    <w:rsid w:val="00BA4D09"/>
    <w:rsid w:val="00BA4DCC"/>
    <w:rsid w:val="00BA4F7F"/>
    <w:rsid w:val="00BA4FC6"/>
    <w:rsid w:val="00BA5016"/>
    <w:rsid w:val="00BA505D"/>
    <w:rsid w:val="00BA5156"/>
    <w:rsid w:val="00BA52B6"/>
    <w:rsid w:val="00BA55F9"/>
    <w:rsid w:val="00BA56F9"/>
    <w:rsid w:val="00BA5703"/>
    <w:rsid w:val="00BA59E6"/>
    <w:rsid w:val="00BA5AD0"/>
    <w:rsid w:val="00BA5B94"/>
    <w:rsid w:val="00BA5BE3"/>
    <w:rsid w:val="00BA5D7A"/>
    <w:rsid w:val="00BA5F9D"/>
    <w:rsid w:val="00BA604D"/>
    <w:rsid w:val="00BA6075"/>
    <w:rsid w:val="00BA60D0"/>
    <w:rsid w:val="00BA6394"/>
    <w:rsid w:val="00BA6725"/>
    <w:rsid w:val="00BA6762"/>
    <w:rsid w:val="00BA6930"/>
    <w:rsid w:val="00BA6A6E"/>
    <w:rsid w:val="00BA6BF7"/>
    <w:rsid w:val="00BA6E19"/>
    <w:rsid w:val="00BA6E47"/>
    <w:rsid w:val="00BA6F8C"/>
    <w:rsid w:val="00BA7189"/>
    <w:rsid w:val="00BA7233"/>
    <w:rsid w:val="00BA726E"/>
    <w:rsid w:val="00BA72E8"/>
    <w:rsid w:val="00BA738B"/>
    <w:rsid w:val="00BA7478"/>
    <w:rsid w:val="00BA77A4"/>
    <w:rsid w:val="00BA77B7"/>
    <w:rsid w:val="00BA7B34"/>
    <w:rsid w:val="00BA7CB8"/>
    <w:rsid w:val="00BA7D26"/>
    <w:rsid w:val="00BA7FCD"/>
    <w:rsid w:val="00BB00CD"/>
    <w:rsid w:val="00BB016E"/>
    <w:rsid w:val="00BB04B4"/>
    <w:rsid w:val="00BB0608"/>
    <w:rsid w:val="00BB0C92"/>
    <w:rsid w:val="00BB0D49"/>
    <w:rsid w:val="00BB0E63"/>
    <w:rsid w:val="00BB0EC5"/>
    <w:rsid w:val="00BB1084"/>
    <w:rsid w:val="00BB1098"/>
    <w:rsid w:val="00BB126C"/>
    <w:rsid w:val="00BB13BD"/>
    <w:rsid w:val="00BB14D2"/>
    <w:rsid w:val="00BB166E"/>
    <w:rsid w:val="00BB171B"/>
    <w:rsid w:val="00BB180A"/>
    <w:rsid w:val="00BB19E5"/>
    <w:rsid w:val="00BB1A99"/>
    <w:rsid w:val="00BB1C24"/>
    <w:rsid w:val="00BB1C28"/>
    <w:rsid w:val="00BB1E56"/>
    <w:rsid w:val="00BB1F3E"/>
    <w:rsid w:val="00BB1FA2"/>
    <w:rsid w:val="00BB22C7"/>
    <w:rsid w:val="00BB233C"/>
    <w:rsid w:val="00BB24F7"/>
    <w:rsid w:val="00BB25A2"/>
    <w:rsid w:val="00BB2A92"/>
    <w:rsid w:val="00BB2AEC"/>
    <w:rsid w:val="00BB2B10"/>
    <w:rsid w:val="00BB2B72"/>
    <w:rsid w:val="00BB2E79"/>
    <w:rsid w:val="00BB3163"/>
    <w:rsid w:val="00BB32BC"/>
    <w:rsid w:val="00BB32DB"/>
    <w:rsid w:val="00BB3411"/>
    <w:rsid w:val="00BB3448"/>
    <w:rsid w:val="00BB34A9"/>
    <w:rsid w:val="00BB3600"/>
    <w:rsid w:val="00BB3613"/>
    <w:rsid w:val="00BB3677"/>
    <w:rsid w:val="00BB3702"/>
    <w:rsid w:val="00BB382F"/>
    <w:rsid w:val="00BB39DB"/>
    <w:rsid w:val="00BB3C71"/>
    <w:rsid w:val="00BB3ECF"/>
    <w:rsid w:val="00BB3F45"/>
    <w:rsid w:val="00BB4033"/>
    <w:rsid w:val="00BB409E"/>
    <w:rsid w:val="00BB4231"/>
    <w:rsid w:val="00BB427C"/>
    <w:rsid w:val="00BB42E8"/>
    <w:rsid w:val="00BB43AA"/>
    <w:rsid w:val="00BB453F"/>
    <w:rsid w:val="00BB4587"/>
    <w:rsid w:val="00BB4640"/>
    <w:rsid w:val="00BB4897"/>
    <w:rsid w:val="00BB4AE7"/>
    <w:rsid w:val="00BB4B57"/>
    <w:rsid w:val="00BB4DDF"/>
    <w:rsid w:val="00BB4E1C"/>
    <w:rsid w:val="00BB4E65"/>
    <w:rsid w:val="00BB4FB5"/>
    <w:rsid w:val="00BB4FC7"/>
    <w:rsid w:val="00BB507F"/>
    <w:rsid w:val="00BB51BD"/>
    <w:rsid w:val="00BB529B"/>
    <w:rsid w:val="00BB55C4"/>
    <w:rsid w:val="00BB5662"/>
    <w:rsid w:val="00BB5842"/>
    <w:rsid w:val="00BB5A97"/>
    <w:rsid w:val="00BB5CE0"/>
    <w:rsid w:val="00BB6133"/>
    <w:rsid w:val="00BB62EA"/>
    <w:rsid w:val="00BB681B"/>
    <w:rsid w:val="00BB6858"/>
    <w:rsid w:val="00BB6AE8"/>
    <w:rsid w:val="00BB6C4F"/>
    <w:rsid w:val="00BB6EB6"/>
    <w:rsid w:val="00BB7030"/>
    <w:rsid w:val="00BB70EB"/>
    <w:rsid w:val="00BB7138"/>
    <w:rsid w:val="00BB71B3"/>
    <w:rsid w:val="00BB7219"/>
    <w:rsid w:val="00BB721F"/>
    <w:rsid w:val="00BB7443"/>
    <w:rsid w:val="00BB74C9"/>
    <w:rsid w:val="00BB75B0"/>
    <w:rsid w:val="00BB75FF"/>
    <w:rsid w:val="00BB7677"/>
    <w:rsid w:val="00BB77B8"/>
    <w:rsid w:val="00BB790F"/>
    <w:rsid w:val="00BB7985"/>
    <w:rsid w:val="00BB7998"/>
    <w:rsid w:val="00BB7AB2"/>
    <w:rsid w:val="00BB7C37"/>
    <w:rsid w:val="00BB7C75"/>
    <w:rsid w:val="00BB7F0E"/>
    <w:rsid w:val="00BB7F90"/>
    <w:rsid w:val="00BC0299"/>
    <w:rsid w:val="00BC0407"/>
    <w:rsid w:val="00BC0467"/>
    <w:rsid w:val="00BC0551"/>
    <w:rsid w:val="00BC0578"/>
    <w:rsid w:val="00BC05A3"/>
    <w:rsid w:val="00BC0636"/>
    <w:rsid w:val="00BC0692"/>
    <w:rsid w:val="00BC0851"/>
    <w:rsid w:val="00BC0AE0"/>
    <w:rsid w:val="00BC0C5B"/>
    <w:rsid w:val="00BC0D4E"/>
    <w:rsid w:val="00BC0E79"/>
    <w:rsid w:val="00BC1050"/>
    <w:rsid w:val="00BC1354"/>
    <w:rsid w:val="00BC13E1"/>
    <w:rsid w:val="00BC1410"/>
    <w:rsid w:val="00BC153F"/>
    <w:rsid w:val="00BC16A0"/>
    <w:rsid w:val="00BC16B9"/>
    <w:rsid w:val="00BC16E6"/>
    <w:rsid w:val="00BC171C"/>
    <w:rsid w:val="00BC1874"/>
    <w:rsid w:val="00BC1981"/>
    <w:rsid w:val="00BC1A71"/>
    <w:rsid w:val="00BC1B2D"/>
    <w:rsid w:val="00BC1B7C"/>
    <w:rsid w:val="00BC1BAB"/>
    <w:rsid w:val="00BC1BC5"/>
    <w:rsid w:val="00BC1FE3"/>
    <w:rsid w:val="00BC201E"/>
    <w:rsid w:val="00BC20C0"/>
    <w:rsid w:val="00BC217C"/>
    <w:rsid w:val="00BC2403"/>
    <w:rsid w:val="00BC249E"/>
    <w:rsid w:val="00BC265F"/>
    <w:rsid w:val="00BC2664"/>
    <w:rsid w:val="00BC2797"/>
    <w:rsid w:val="00BC2A0A"/>
    <w:rsid w:val="00BC2DB3"/>
    <w:rsid w:val="00BC2ED0"/>
    <w:rsid w:val="00BC2F01"/>
    <w:rsid w:val="00BC2FA1"/>
    <w:rsid w:val="00BC30ED"/>
    <w:rsid w:val="00BC3197"/>
    <w:rsid w:val="00BC34BB"/>
    <w:rsid w:val="00BC3526"/>
    <w:rsid w:val="00BC36B5"/>
    <w:rsid w:val="00BC36C2"/>
    <w:rsid w:val="00BC36C4"/>
    <w:rsid w:val="00BC3792"/>
    <w:rsid w:val="00BC386C"/>
    <w:rsid w:val="00BC39AB"/>
    <w:rsid w:val="00BC39BD"/>
    <w:rsid w:val="00BC3A58"/>
    <w:rsid w:val="00BC3B3E"/>
    <w:rsid w:val="00BC3FBB"/>
    <w:rsid w:val="00BC4217"/>
    <w:rsid w:val="00BC4441"/>
    <w:rsid w:val="00BC44C6"/>
    <w:rsid w:val="00BC4502"/>
    <w:rsid w:val="00BC4760"/>
    <w:rsid w:val="00BC47B6"/>
    <w:rsid w:val="00BC488D"/>
    <w:rsid w:val="00BC4A10"/>
    <w:rsid w:val="00BC4A32"/>
    <w:rsid w:val="00BC4B55"/>
    <w:rsid w:val="00BC4BA2"/>
    <w:rsid w:val="00BC4DBA"/>
    <w:rsid w:val="00BC4DF0"/>
    <w:rsid w:val="00BC4DF4"/>
    <w:rsid w:val="00BC4E18"/>
    <w:rsid w:val="00BC4ED5"/>
    <w:rsid w:val="00BC544D"/>
    <w:rsid w:val="00BC5677"/>
    <w:rsid w:val="00BC5C67"/>
    <w:rsid w:val="00BC5CD0"/>
    <w:rsid w:val="00BC5D7B"/>
    <w:rsid w:val="00BC5DDC"/>
    <w:rsid w:val="00BC5F0B"/>
    <w:rsid w:val="00BC5F23"/>
    <w:rsid w:val="00BC5FDF"/>
    <w:rsid w:val="00BC6189"/>
    <w:rsid w:val="00BC659E"/>
    <w:rsid w:val="00BC6C01"/>
    <w:rsid w:val="00BC6CC0"/>
    <w:rsid w:val="00BC6CE1"/>
    <w:rsid w:val="00BC6E09"/>
    <w:rsid w:val="00BC6EDD"/>
    <w:rsid w:val="00BC6FD3"/>
    <w:rsid w:val="00BC70AE"/>
    <w:rsid w:val="00BC70B0"/>
    <w:rsid w:val="00BC71EB"/>
    <w:rsid w:val="00BC71F7"/>
    <w:rsid w:val="00BC725F"/>
    <w:rsid w:val="00BC73A0"/>
    <w:rsid w:val="00BC75A2"/>
    <w:rsid w:val="00BC7637"/>
    <w:rsid w:val="00BC7642"/>
    <w:rsid w:val="00BC76DD"/>
    <w:rsid w:val="00BC76F6"/>
    <w:rsid w:val="00BC77FF"/>
    <w:rsid w:val="00BC798A"/>
    <w:rsid w:val="00BC7B45"/>
    <w:rsid w:val="00BC7C85"/>
    <w:rsid w:val="00BC7CA9"/>
    <w:rsid w:val="00BC7E2F"/>
    <w:rsid w:val="00BC7FD1"/>
    <w:rsid w:val="00BC7FE1"/>
    <w:rsid w:val="00BD027B"/>
    <w:rsid w:val="00BD0397"/>
    <w:rsid w:val="00BD05B5"/>
    <w:rsid w:val="00BD0671"/>
    <w:rsid w:val="00BD087F"/>
    <w:rsid w:val="00BD09C4"/>
    <w:rsid w:val="00BD0A9C"/>
    <w:rsid w:val="00BD0AAF"/>
    <w:rsid w:val="00BD0C1B"/>
    <w:rsid w:val="00BD0CF8"/>
    <w:rsid w:val="00BD0D55"/>
    <w:rsid w:val="00BD0E80"/>
    <w:rsid w:val="00BD0FD0"/>
    <w:rsid w:val="00BD1049"/>
    <w:rsid w:val="00BD15E4"/>
    <w:rsid w:val="00BD1864"/>
    <w:rsid w:val="00BD19C9"/>
    <w:rsid w:val="00BD1A64"/>
    <w:rsid w:val="00BD1AC1"/>
    <w:rsid w:val="00BD1D7B"/>
    <w:rsid w:val="00BD1D90"/>
    <w:rsid w:val="00BD1DCE"/>
    <w:rsid w:val="00BD1E9A"/>
    <w:rsid w:val="00BD1F61"/>
    <w:rsid w:val="00BD1F79"/>
    <w:rsid w:val="00BD1FB6"/>
    <w:rsid w:val="00BD20B8"/>
    <w:rsid w:val="00BD20E6"/>
    <w:rsid w:val="00BD223F"/>
    <w:rsid w:val="00BD230E"/>
    <w:rsid w:val="00BD2552"/>
    <w:rsid w:val="00BD2587"/>
    <w:rsid w:val="00BD25B9"/>
    <w:rsid w:val="00BD27B5"/>
    <w:rsid w:val="00BD27CF"/>
    <w:rsid w:val="00BD27D7"/>
    <w:rsid w:val="00BD28A2"/>
    <w:rsid w:val="00BD28AF"/>
    <w:rsid w:val="00BD2B13"/>
    <w:rsid w:val="00BD2B5B"/>
    <w:rsid w:val="00BD2BAB"/>
    <w:rsid w:val="00BD2DD1"/>
    <w:rsid w:val="00BD2E30"/>
    <w:rsid w:val="00BD2E8E"/>
    <w:rsid w:val="00BD2FA4"/>
    <w:rsid w:val="00BD3080"/>
    <w:rsid w:val="00BD3288"/>
    <w:rsid w:val="00BD3372"/>
    <w:rsid w:val="00BD3377"/>
    <w:rsid w:val="00BD344E"/>
    <w:rsid w:val="00BD3481"/>
    <w:rsid w:val="00BD3483"/>
    <w:rsid w:val="00BD34FF"/>
    <w:rsid w:val="00BD36BC"/>
    <w:rsid w:val="00BD37A5"/>
    <w:rsid w:val="00BD3961"/>
    <w:rsid w:val="00BD3969"/>
    <w:rsid w:val="00BD39E7"/>
    <w:rsid w:val="00BD3A14"/>
    <w:rsid w:val="00BD3B4A"/>
    <w:rsid w:val="00BD3CA1"/>
    <w:rsid w:val="00BD3CD4"/>
    <w:rsid w:val="00BD3D77"/>
    <w:rsid w:val="00BD3E8A"/>
    <w:rsid w:val="00BD3EB8"/>
    <w:rsid w:val="00BD3F5E"/>
    <w:rsid w:val="00BD4006"/>
    <w:rsid w:val="00BD40E1"/>
    <w:rsid w:val="00BD40E4"/>
    <w:rsid w:val="00BD41A6"/>
    <w:rsid w:val="00BD41B2"/>
    <w:rsid w:val="00BD41F4"/>
    <w:rsid w:val="00BD42F2"/>
    <w:rsid w:val="00BD4390"/>
    <w:rsid w:val="00BD4401"/>
    <w:rsid w:val="00BD457E"/>
    <w:rsid w:val="00BD4837"/>
    <w:rsid w:val="00BD49AB"/>
    <w:rsid w:val="00BD4A4E"/>
    <w:rsid w:val="00BD4D09"/>
    <w:rsid w:val="00BD4D26"/>
    <w:rsid w:val="00BD4DFB"/>
    <w:rsid w:val="00BD4E0E"/>
    <w:rsid w:val="00BD4F77"/>
    <w:rsid w:val="00BD4FF0"/>
    <w:rsid w:val="00BD5372"/>
    <w:rsid w:val="00BD557F"/>
    <w:rsid w:val="00BD5609"/>
    <w:rsid w:val="00BD5612"/>
    <w:rsid w:val="00BD568E"/>
    <w:rsid w:val="00BD596F"/>
    <w:rsid w:val="00BD5E89"/>
    <w:rsid w:val="00BD611F"/>
    <w:rsid w:val="00BD6444"/>
    <w:rsid w:val="00BD64F8"/>
    <w:rsid w:val="00BD660E"/>
    <w:rsid w:val="00BD66D7"/>
    <w:rsid w:val="00BD6927"/>
    <w:rsid w:val="00BD6961"/>
    <w:rsid w:val="00BD69C1"/>
    <w:rsid w:val="00BD6BD7"/>
    <w:rsid w:val="00BD6C1E"/>
    <w:rsid w:val="00BD6E3A"/>
    <w:rsid w:val="00BD6E83"/>
    <w:rsid w:val="00BD70E2"/>
    <w:rsid w:val="00BD726A"/>
    <w:rsid w:val="00BD73BE"/>
    <w:rsid w:val="00BD7419"/>
    <w:rsid w:val="00BD75C2"/>
    <w:rsid w:val="00BD76E1"/>
    <w:rsid w:val="00BD7898"/>
    <w:rsid w:val="00BD7A6A"/>
    <w:rsid w:val="00BD7AB0"/>
    <w:rsid w:val="00BD7ABE"/>
    <w:rsid w:val="00BD7C22"/>
    <w:rsid w:val="00BD7C82"/>
    <w:rsid w:val="00BD7D81"/>
    <w:rsid w:val="00BE0004"/>
    <w:rsid w:val="00BE0011"/>
    <w:rsid w:val="00BE00E1"/>
    <w:rsid w:val="00BE01F9"/>
    <w:rsid w:val="00BE0372"/>
    <w:rsid w:val="00BE0389"/>
    <w:rsid w:val="00BE03F6"/>
    <w:rsid w:val="00BE063E"/>
    <w:rsid w:val="00BE0663"/>
    <w:rsid w:val="00BE066C"/>
    <w:rsid w:val="00BE077E"/>
    <w:rsid w:val="00BE0815"/>
    <w:rsid w:val="00BE09F7"/>
    <w:rsid w:val="00BE0B24"/>
    <w:rsid w:val="00BE0B26"/>
    <w:rsid w:val="00BE0D6A"/>
    <w:rsid w:val="00BE0E86"/>
    <w:rsid w:val="00BE0EB9"/>
    <w:rsid w:val="00BE0EE1"/>
    <w:rsid w:val="00BE0F86"/>
    <w:rsid w:val="00BE0F8A"/>
    <w:rsid w:val="00BE0FBC"/>
    <w:rsid w:val="00BE1066"/>
    <w:rsid w:val="00BE11A2"/>
    <w:rsid w:val="00BE13C9"/>
    <w:rsid w:val="00BE13E3"/>
    <w:rsid w:val="00BE1439"/>
    <w:rsid w:val="00BE1486"/>
    <w:rsid w:val="00BE169C"/>
    <w:rsid w:val="00BE194A"/>
    <w:rsid w:val="00BE1A34"/>
    <w:rsid w:val="00BE1E7C"/>
    <w:rsid w:val="00BE2014"/>
    <w:rsid w:val="00BE20E6"/>
    <w:rsid w:val="00BE2175"/>
    <w:rsid w:val="00BE2217"/>
    <w:rsid w:val="00BE221F"/>
    <w:rsid w:val="00BE231B"/>
    <w:rsid w:val="00BE2372"/>
    <w:rsid w:val="00BE248E"/>
    <w:rsid w:val="00BE252F"/>
    <w:rsid w:val="00BE267C"/>
    <w:rsid w:val="00BE26E4"/>
    <w:rsid w:val="00BE27E8"/>
    <w:rsid w:val="00BE283C"/>
    <w:rsid w:val="00BE2846"/>
    <w:rsid w:val="00BE2A65"/>
    <w:rsid w:val="00BE2AAC"/>
    <w:rsid w:val="00BE2B12"/>
    <w:rsid w:val="00BE2B24"/>
    <w:rsid w:val="00BE30D4"/>
    <w:rsid w:val="00BE333A"/>
    <w:rsid w:val="00BE3528"/>
    <w:rsid w:val="00BE359B"/>
    <w:rsid w:val="00BE35BF"/>
    <w:rsid w:val="00BE368D"/>
    <w:rsid w:val="00BE3727"/>
    <w:rsid w:val="00BE3BE5"/>
    <w:rsid w:val="00BE3C58"/>
    <w:rsid w:val="00BE3C89"/>
    <w:rsid w:val="00BE3DB2"/>
    <w:rsid w:val="00BE444F"/>
    <w:rsid w:val="00BE44EF"/>
    <w:rsid w:val="00BE466F"/>
    <w:rsid w:val="00BE473B"/>
    <w:rsid w:val="00BE4B0E"/>
    <w:rsid w:val="00BE4B13"/>
    <w:rsid w:val="00BE4CDE"/>
    <w:rsid w:val="00BE4D1C"/>
    <w:rsid w:val="00BE4DDD"/>
    <w:rsid w:val="00BE4E5B"/>
    <w:rsid w:val="00BE50E3"/>
    <w:rsid w:val="00BE52C7"/>
    <w:rsid w:val="00BE52FF"/>
    <w:rsid w:val="00BE5476"/>
    <w:rsid w:val="00BE5616"/>
    <w:rsid w:val="00BE5695"/>
    <w:rsid w:val="00BE594B"/>
    <w:rsid w:val="00BE5BF4"/>
    <w:rsid w:val="00BE5C5B"/>
    <w:rsid w:val="00BE5D14"/>
    <w:rsid w:val="00BE5D71"/>
    <w:rsid w:val="00BE5EE6"/>
    <w:rsid w:val="00BE603B"/>
    <w:rsid w:val="00BE6118"/>
    <w:rsid w:val="00BE6216"/>
    <w:rsid w:val="00BE6416"/>
    <w:rsid w:val="00BE64D2"/>
    <w:rsid w:val="00BE657F"/>
    <w:rsid w:val="00BE66BC"/>
    <w:rsid w:val="00BE66C6"/>
    <w:rsid w:val="00BE6813"/>
    <w:rsid w:val="00BE6843"/>
    <w:rsid w:val="00BE684C"/>
    <w:rsid w:val="00BE687B"/>
    <w:rsid w:val="00BE6922"/>
    <w:rsid w:val="00BE6A37"/>
    <w:rsid w:val="00BE6B25"/>
    <w:rsid w:val="00BE6B6A"/>
    <w:rsid w:val="00BE6B76"/>
    <w:rsid w:val="00BE6C32"/>
    <w:rsid w:val="00BE6C97"/>
    <w:rsid w:val="00BE6DD9"/>
    <w:rsid w:val="00BE70A7"/>
    <w:rsid w:val="00BE7146"/>
    <w:rsid w:val="00BE7272"/>
    <w:rsid w:val="00BE74FE"/>
    <w:rsid w:val="00BE75D9"/>
    <w:rsid w:val="00BE776B"/>
    <w:rsid w:val="00BE7A46"/>
    <w:rsid w:val="00BE7BEC"/>
    <w:rsid w:val="00BE7C3C"/>
    <w:rsid w:val="00BE7CB8"/>
    <w:rsid w:val="00BE7D46"/>
    <w:rsid w:val="00BF0050"/>
    <w:rsid w:val="00BF009C"/>
    <w:rsid w:val="00BF017B"/>
    <w:rsid w:val="00BF028F"/>
    <w:rsid w:val="00BF068F"/>
    <w:rsid w:val="00BF06C4"/>
    <w:rsid w:val="00BF0731"/>
    <w:rsid w:val="00BF0796"/>
    <w:rsid w:val="00BF08AA"/>
    <w:rsid w:val="00BF09EF"/>
    <w:rsid w:val="00BF0E6B"/>
    <w:rsid w:val="00BF0F1C"/>
    <w:rsid w:val="00BF0F82"/>
    <w:rsid w:val="00BF0FB5"/>
    <w:rsid w:val="00BF104B"/>
    <w:rsid w:val="00BF108A"/>
    <w:rsid w:val="00BF108B"/>
    <w:rsid w:val="00BF10EB"/>
    <w:rsid w:val="00BF1180"/>
    <w:rsid w:val="00BF12D7"/>
    <w:rsid w:val="00BF1352"/>
    <w:rsid w:val="00BF1392"/>
    <w:rsid w:val="00BF149D"/>
    <w:rsid w:val="00BF15E7"/>
    <w:rsid w:val="00BF16BD"/>
    <w:rsid w:val="00BF18B1"/>
    <w:rsid w:val="00BF18C5"/>
    <w:rsid w:val="00BF1B9A"/>
    <w:rsid w:val="00BF1CE1"/>
    <w:rsid w:val="00BF1DF7"/>
    <w:rsid w:val="00BF21B5"/>
    <w:rsid w:val="00BF21DC"/>
    <w:rsid w:val="00BF2248"/>
    <w:rsid w:val="00BF2381"/>
    <w:rsid w:val="00BF23FD"/>
    <w:rsid w:val="00BF2AA8"/>
    <w:rsid w:val="00BF2AAE"/>
    <w:rsid w:val="00BF2B66"/>
    <w:rsid w:val="00BF2C9C"/>
    <w:rsid w:val="00BF2D24"/>
    <w:rsid w:val="00BF2D4B"/>
    <w:rsid w:val="00BF2D72"/>
    <w:rsid w:val="00BF2FB0"/>
    <w:rsid w:val="00BF30F9"/>
    <w:rsid w:val="00BF315A"/>
    <w:rsid w:val="00BF317A"/>
    <w:rsid w:val="00BF31D3"/>
    <w:rsid w:val="00BF31D5"/>
    <w:rsid w:val="00BF3252"/>
    <w:rsid w:val="00BF32FF"/>
    <w:rsid w:val="00BF333E"/>
    <w:rsid w:val="00BF34EB"/>
    <w:rsid w:val="00BF3514"/>
    <w:rsid w:val="00BF369F"/>
    <w:rsid w:val="00BF3765"/>
    <w:rsid w:val="00BF396E"/>
    <w:rsid w:val="00BF3A12"/>
    <w:rsid w:val="00BF3A56"/>
    <w:rsid w:val="00BF3C58"/>
    <w:rsid w:val="00BF3D54"/>
    <w:rsid w:val="00BF3FC4"/>
    <w:rsid w:val="00BF423B"/>
    <w:rsid w:val="00BF431A"/>
    <w:rsid w:val="00BF44CB"/>
    <w:rsid w:val="00BF4551"/>
    <w:rsid w:val="00BF45DE"/>
    <w:rsid w:val="00BF48B0"/>
    <w:rsid w:val="00BF4921"/>
    <w:rsid w:val="00BF4D84"/>
    <w:rsid w:val="00BF4DB4"/>
    <w:rsid w:val="00BF4E3D"/>
    <w:rsid w:val="00BF4E8D"/>
    <w:rsid w:val="00BF4E95"/>
    <w:rsid w:val="00BF510D"/>
    <w:rsid w:val="00BF53D8"/>
    <w:rsid w:val="00BF54B9"/>
    <w:rsid w:val="00BF5575"/>
    <w:rsid w:val="00BF5781"/>
    <w:rsid w:val="00BF589C"/>
    <w:rsid w:val="00BF59B6"/>
    <w:rsid w:val="00BF5A4A"/>
    <w:rsid w:val="00BF5AA1"/>
    <w:rsid w:val="00BF5AB6"/>
    <w:rsid w:val="00BF5BA4"/>
    <w:rsid w:val="00BF5BA5"/>
    <w:rsid w:val="00BF5DAF"/>
    <w:rsid w:val="00BF5F42"/>
    <w:rsid w:val="00BF5F59"/>
    <w:rsid w:val="00BF607E"/>
    <w:rsid w:val="00BF6133"/>
    <w:rsid w:val="00BF6248"/>
    <w:rsid w:val="00BF62BA"/>
    <w:rsid w:val="00BF650B"/>
    <w:rsid w:val="00BF65AC"/>
    <w:rsid w:val="00BF663C"/>
    <w:rsid w:val="00BF6726"/>
    <w:rsid w:val="00BF67D6"/>
    <w:rsid w:val="00BF6AE5"/>
    <w:rsid w:val="00BF6B9A"/>
    <w:rsid w:val="00BF6CF7"/>
    <w:rsid w:val="00BF6E61"/>
    <w:rsid w:val="00BF6F72"/>
    <w:rsid w:val="00BF6F81"/>
    <w:rsid w:val="00BF70DD"/>
    <w:rsid w:val="00BF73E9"/>
    <w:rsid w:val="00BF7423"/>
    <w:rsid w:val="00BF7612"/>
    <w:rsid w:val="00BF7741"/>
    <w:rsid w:val="00BF780D"/>
    <w:rsid w:val="00BF783E"/>
    <w:rsid w:val="00BF78BB"/>
    <w:rsid w:val="00BF7916"/>
    <w:rsid w:val="00BF79B8"/>
    <w:rsid w:val="00BF7C66"/>
    <w:rsid w:val="00BF7D3D"/>
    <w:rsid w:val="00BF7F27"/>
    <w:rsid w:val="00BF7F2D"/>
    <w:rsid w:val="00C00065"/>
    <w:rsid w:val="00C0011D"/>
    <w:rsid w:val="00C004A0"/>
    <w:rsid w:val="00C00564"/>
    <w:rsid w:val="00C005D1"/>
    <w:rsid w:val="00C00666"/>
    <w:rsid w:val="00C009BC"/>
    <w:rsid w:val="00C00BAA"/>
    <w:rsid w:val="00C00D09"/>
    <w:rsid w:val="00C00D52"/>
    <w:rsid w:val="00C00E85"/>
    <w:rsid w:val="00C00F98"/>
    <w:rsid w:val="00C01020"/>
    <w:rsid w:val="00C01084"/>
    <w:rsid w:val="00C0117B"/>
    <w:rsid w:val="00C01264"/>
    <w:rsid w:val="00C01327"/>
    <w:rsid w:val="00C01341"/>
    <w:rsid w:val="00C0137B"/>
    <w:rsid w:val="00C014B5"/>
    <w:rsid w:val="00C0163C"/>
    <w:rsid w:val="00C01685"/>
    <w:rsid w:val="00C01753"/>
    <w:rsid w:val="00C0188B"/>
    <w:rsid w:val="00C01986"/>
    <w:rsid w:val="00C0199F"/>
    <w:rsid w:val="00C01AB2"/>
    <w:rsid w:val="00C01AB6"/>
    <w:rsid w:val="00C01C34"/>
    <w:rsid w:val="00C01F0D"/>
    <w:rsid w:val="00C02074"/>
    <w:rsid w:val="00C0211C"/>
    <w:rsid w:val="00C021BF"/>
    <w:rsid w:val="00C0220A"/>
    <w:rsid w:val="00C02224"/>
    <w:rsid w:val="00C022CD"/>
    <w:rsid w:val="00C0237F"/>
    <w:rsid w:val="00C0246D"/>
    <w:rsid w:val="00C02837"/>
    <w:rsid w:val="00C028D7"/>
    <w:rsid w:val="00C02AFE"/>
    <w:rsid w:val="00C02B1B"/>
    <w:rsid w:val="00C02BEA"/>
    <w:rsid w:val="00C02C16"/>
    <w:rsid w:val="00C02EFB"/>
    <w:rsid w:val="00C02FFF"/>
    <w:rsid w:val="00C0300E"/>
    <w:rsid w:val="00C03085"/>
    <w:rsid w:val="00C03130"/>
    <w:rsid w:val="00C031CF"/>
    <w:rsid w:val="00C0324B"/>
    <w:rsid w:val="00C034E5"/>
    <w:rsid w:val="00C0359F"/>
    <w:rsid w:val="00C03820"/>
    <w:rsid w:val="00C038AE"/>
    <w:rsid w:val="00C03917"/>
    <w:rsid w:val="00C0398D"/>
    <w:rsid w:val="00C03B61"/>
    <w:rsid w:val="00C03CC5"/>
    <w:rsid w:val="00C03D99"/>
    <w:rsid w:val="00C03E37"/>
    <w:rsid w:val="00C0406A"/>
    <w:rsid w:val="00C041C6"/>
    <w:rsid w:val="00C0425F"/>
    <w:rsid w:val="00C042BD"/>
    <w:rsid w:val="00C0438D"/>
    <w:rsid w:val="00C04510"/>
    <w:rsid w:val="00C04527"/>
    <w:rsid w:val="00C0466B"/>
    <w:rsid w:val="00C046B7"/>
    <w:rsid w:val="00C047A9"/>
    <w:rsid w:val="00C04817"/>
    <w:rsid w:val="00C0484B"/>
    <w:rsid w:val="00C048B3"/>
    <w:rsid w:val="00C048CA"/>
    <w:rsid w:val="00C049B1"/>
    <w:rsid w:val="00C04B5A"/>
    <w:rsid w:val="00C04CDB"/>
    <w:rsid w:val="00C04E53"/>
    <w:rsid w:val="00C04E54"/>
    <w:rsid w:val="00C05218"/>
    <w:rsid w:val="00C0534E"/>
    <w:rsid w:val="00C0551E"/>
    <w:rsid w:val="00C05847"/>
    <w:rsid w:val="00C05D4E"/>
    <w:rsid w:val="00C05F20"/>
    <w:rsid w:val="00C06006"/>
    <w:rsid w:val="00C06044"/>
    <w:rsid w:val="00C061EC"/>
    <w:rsid w:val="00C06290"/>
    <w:rsid w:val="00C0633A"/>
    <w:rsid w:val="00C06391"/>
    <w:rsid w:val="00C06411"/>
    <w:rsid w:val="00C066FF"/>
    <w:rsid w:val="00C06755"/>
    <w:rsid w:val="00C067C8"/>
    <w:rsid w:val="00C067E5"/>
    <w:rsid w:val="00C069AB"/>
    <w:rsid w:val="00C06A40"/>
    <w:rsid w:val="00C06ADD"/>
    <w:rsid w:val="00C06B56"/>
    <w:rsid w:val="00C06CC7"/>
    <w:rsid w:val="00C06CDF"/>
    <w:rsid w:val="00C06D76"/>
    <w:rsid w:val="00C06DE2"/>
    <w:rsid w:val="00C06E8D"/>
    <w:rsid w:val="00C06F6E"/>
    <w:rsid w:val="00C070BF"/>
    <w:rsid w:val="00C071E6"/>
    <w:rsid w:val="00C07332"/>
    <w:rsid w:val="00C07507"/>
    <w:rsid w:val="00C076B7"/>
    <w:rsid w:val="00C076D4"/>
    <w:rsid w:val="00C07A75"/>
    <w:rsid w:val="00C07A91"/>
    <w:rsid w:val="00C07AC9"/>
    <w:rsid w:val="00C07C00"/>
    <w:rsid w:val="00C07C27"/>
    <w:rsid w:val="00C07C7A"/>
    <w:rsid w:val="00C07DD7"/>
    <w:rsid w:val="00C07E48"/>
    <w:rsid w:val="00C07F05"/>
    <w:rsid w:val="00C07F14"/>
    <w:rsid w:val="00C1010D"/>
    <w:rsid w:val="00C101C9"/>
    <w:rsid w:val="00C102A6"/>
    <w:rsid w:val="00C103F4"/>
    <w:rsid w:val="00C1097B"/>
    <w:rsid w:val="00C109A8"/>
    <w:rsid w:val="00C10A63"/>
    <w:rsid w:val="00C10AB5"/>
    <w:rsid w:val="00C10D73"/>
    <w:rsid w:val="00C10FFA"/>
    <w:rsid w:val="00C11261"/>
    <w:rsid w:val="00C1136C"/>
    <w:rsid w:val="00C1145D"/>
    <w:rsid w:val="00C116B3"/>
    <w:rsid w:val="00C116D1"/>
    <w:rsid w:val="00C119B7"/>
    <w:rsid w:val="00C119EC"/>
    <w:rsid w:val="00C11AEF"/>
    <w:rsid w:val="00C11DB7"/>
    <w:rsid w:val="00C11E35"/>
    <w:rsid w:val="00C11FCC"/>
    <w:rsid w:val="00C120B8"/>
    <w:rsid w:val="00C120C8"/>
    <w:rsid w:val="00C12101"/>
    <w:rsid w:val="00C121C9"/>
    <w:rsid w:val="00C12344"/>
    <w:rsid w:val="00C1256E"/>
    <w:rsid w:val="00C12715"/>
    <w:rsid w:val="00C1277A"/>
    <w:rsid w:val="00C12801"/>
    <w:rsid w:val="00C12AE1"/>
    <w:rsid w:val="00C12CC6"/>
    <w:rsid w:val="00C12D78"/>
    <w:rsid w:val="00C12EBE"/>
    <w:rsid w:val="00C12F02"/>
    <w:rsid w:val="00C12F7C"/>
    <w:rsid w:val="00C13184"/>
    <w:rsid w:val="00C133FC"/>
    <w:rsid w:val="00C13540"/>
    <w:rsid w:val="00C1358B"/>
    <w:rsid w:val="00C1365A"/>
    <w:rsid w:val="00C136CB"/>
    <w:rsid w:val="00C1391F"/>
    <w:rsid w:val="00C139A3"/>
    <w:rsid w:val="00C13A67"/>
    <w:rsid w:val="00C13B91"/>
    <w:rsid w:val="00C13EA6"/>
    <w:rsid w:val="00C13EF6"/>
    <w:rsid w:val="00C1433E"/>
    <w:rsid w:val="00C14347"/>
    <w:rsid w:val="00C143B7"/>
    <w:rsid w:val="00C1472F"/>
    <w:rsid w:val="00C147A0"/>
    <w:rsid w:val="00C147C0"/>
    <w:rsid w:val="00C14AA6"/>
    <w:rsid w:val="00C14ACB"/>
    <w:rsid w:val="00C14AEC"/>
    <w:rsid w:val="00C14B35"/>
    <w:rsid w:val="00C14B37"/>
    <w:rsid w:val="00C14B4C"/>
    <w:rsid w:val="00C14B8A"/>
    <w:rsid w:val="00C14C80"/>
    <w:rsid w:val="00C14CCF"/>
    <w:rsid w:val="00C14D4A"/>
    <w:rsid w:val="00C14D50"/>
    <w:rsid w:val="00C14DB3"/>
    <w:rsid w:val="00C14DD2"/>
    <w:rsid w:val="00C14FED"/>
    <w:rsid w:val="00C1506D"/>
    <w:rsid w:val="00C15195"/>
    <w:rsid w:val="00C15234"/>
    <w:rsid w:val="00C155B9"/>
    <w:rsid w:val="00C15646"/>
    <w:rsid w:val="00C15999"/>
    <w:rsid w:val="00C15A7A"/>
    <w:rsid w:val="00C15AF3"/>
    <w:rsid w:val="00C15C13"/>
    <w:rsid w:val="00C15D35"/>
    <w:rsid w:val="00C15D62"/>
    <w:rsid w:val="00C1600B"/>
    <w:rsid w:val="00C160AD"/>
    <w:rsid w:val="00C16253"/>
    <w:rsid w:val="00C162BB"/>
    <w:rsid w:val="00C163FA"/>
    <w:rsid w:val="00C16528"/>
    <w:rsid w:val="00C16548"/>
    <w:rsid w:val="00C165A7"/>
    <w:rsid w:val="00C1689C"/>
    <w:rsid w:val="00C16AD1"/>
    <w:rsid w:val="00C16BC2"/>
    <w:rsid w:val="00C16D1B"/>
    <w:rsid w:val="00C16E6E"/>
    <w:rsid w:val="00C16ECC"/>
    <w:rsid w:val="00C1712F"/>
    <w:rsid w:val="00C171FE"/>
    <w:rsid w:val="00C1721D"/>
    <w:rsid w:val="00C172AC"/>
    <w:rsid w:val="00C17480"/>
    <w:rsid w:val="00C174C1"/>
    <w:rsid w:val="00C1768B"/>
    <w:rsid w:val="00C176B7"/>
    <w:rsid w:val="00C17961"/>
    <w:rsid w:val="00C17A31"/>
    <w:rsid w:val="00C17AFB"/>
    <w:rsid w:val="00C17C18"/>
    <w:rsid w:val="00C17DD7"/>
    <w:rsid w:val="00C17E0F"/>
    <w:rsid w:val="00C17E55"/>
    <w:rsid w:val="00C17E9C"/>
    <w:rsid w:val="00C17F4B"/>
    <w:rsid w:val="00C2011E"/>
    <w:rsid w:val="00C20132"/>
    <w:rsid w:val="00C2029D"/>
    <w:rsid w:val="00C202DB"/>
    <w:rsid w:val="00C20332"/>
    <w:rsid w:val="00C206A7"/>
    <w:rsid w:val="00C2073D"/>
    <w:rsid w:val="00C20A1B"/>
    <w:rsid w:val="00C20AD5"/>
    <w:rsid w:val="00C20C34"/>
    <w:rsid w:val="00C20C56"/>
    <w:rsid w:val="00C20F85"/>
    <w:rsid w:val="00C20FC5"/>
    <w:rsid w:val="00C20FF1"/>
    <w:rsid w:val="00C2118D"/>
    <w:rsid w:val="00C213ED"/>
    <w:rsid w:val="00C2142F"/>
    <w:rsid w:val="00C21623"/>
    <w:rsid w:val="00C21631"/>
    <w:rsid w:val="00C218C0"/>
    <w:rsid w:val="00C21971"/>
    <w:rsid w:val="00C21AF4"/>
    <w:rsid w:val="00C21BDB"/>
    <w:rsid w:val="00C21C2A"/>
    <w:rsid w:val="00C21D46"/>
    <w:rsid w:val="00C21DE7"/>
    <w:rsid w:val="00C21E46"/>
    <w:rsid w:val="00C21EBF"/>
    <w:rsid w:val="00C21EC2"/>
    <w:rsid w:val="00C21F19"/>
    <w:rsid w:val="00C21FE6"/>
    <w:rsid w:val="00C22049"/>
    <w:rsid w:val="00C221C1"/>
    <w:rsid w:val="00C224A8"/>
    <w:rsid w:val="00C22714"/>
    <w:rsid w:val="00C2279F"/>
    <w:rsid w:val="00C2290F"/>
    <w:rsid w:val="00C22DC4"/>
    <w:rsid w:val="00C23226"/>
    <w:rsid w:val="00C232D6"/>
    <w:rsid w:val="00C235C4"/>
    <w:rsid w:val="00C236C3"/>
    <w:rsid w:val="00C23751"/>
    <w:rsid w:val="00C2380A"/>
    <w:rsid w:val="00C2384E"/>
    <w:rsid w:val="00C23858"/>
    <w:rsid w:val="00C238A4"/>
    <w:rsid w:val="00C23910"/>
    <w:rsid w:val="00C23F5B"/>
    <w:rsid w:val="00C241F6"/>
    <w:rsid w:val="00C24281"/>
    <w:rsid w:val="00C24349"/>
    <w:rsid w:val="00C246FA"/>
    <w:rsid w:val="00C24A11"/>
    <w:rsid w:val="00C24A89"/>
    <w:rsid w:val="00C24DBA"/>
    <w:rsid w:val="00C250E7"/>
    <w:rsid w:val="00C25235"/>
    <w:rsid w:val="00C2526B"/>
    <w:rsid w:val="00C2534C"/>
    <w:rsid w:val="00C253EF"/>
    <w:rsid w:val="00C2558C"/>
    <w:rsid w:val="00C257B2"/>
    <w:rsid w:val="00C25888"/>
    <w:rsid w:val="00C259F2"/>
    <w:rsid w:val="00C25AA4"/>
    <w:rsid w:val="00C25AA7"/>
    <w:rsid w:val="00C25AD2"/>
    <w:rsid w:val="00C25B0F"/>
    <w:rsid w:val="00C25C71"/>
    <w:rsid w:val="00C25D5C"/>
    <w:rsid w:val="00C25DF1"/>
    <w:rsid w:val="00C25EB1"/>
    <w:rsid w:val="00C25F17"/>
    <w:rsid w:val="00C25FE2"/>
    <w:rsid w:val="00C2602D"/>
    <w:rsid w:val="00C26065"/>
    <w:rsid w:val="00C2613B"/>
    <w:rsid w:val="00C26229"/>
    <w:rsid w:val="00C26276"/>
    <w:rsid w:val="00C2631A"/>
    <w:rsid w:val="00C26423"/>
    <w:rsid w:val="00C265EC"/>
    <w:rsid w:val="00C266C2"/>
    <w:rsid w:val="00C267C1"/>
    <w:rsid w:val="00C26868"/>
    <w:rsid w:val="00C268FF"/>
    <w:rsid w:val="00C269C7"/>
    <w:rsid w:val="00C26B8D"/>
    <w:rsid w:val="00C26D63"/>
    <w:rsid w:val="00C26D8A"/>
    <w:rsid w:val="00C26F6D"/>
    <w:rsid w:val="00C270B4"/>
    <w:rsid w:val="00C270F5"/>
    <w:rsid w:val="00C27502"/>
    <w:rsid w:val="00C27730"/>
    <w:rsid w:val="00C27974"/>
    <w:rsid w:val="00C27A77"/>
    <w:rsid w:val="00C27AC0"/>
    <w:rsid w:val="00C27C27"/>
    <w:rsid w:val="00C27D6E"/>
    <w:rsid w:val="00C27DF9"/>
    <w:rsid w:val="00C27F26"/>
    <w:rsid w:val="00C27FD8"/>
    <w:rsid w:val="00C3009D"/>
    <w:rsid w:val="00C300B5"/>
    <w:rsid w:val="00C301D1"/>
    <w:rsid w:val="00C3024B"/>
    <w:rsid w:val="00C30280"/>
    <w:rsid w:val="00C3041A"/>
    <w:rsid w:val="00C3041E"/>
    <w:rsid w:val="00C304CB"/>
    <w:rsid w:val="00C3059D"/>
    <w:rsid w:val="00C306A3"/>
    <w:rsid w:val="00C306D8"/>
    <w:rsid w:val="00C30707"/>
    <w:rsid w:val="00C30891"/>
    <w:rsid w:val="00C3097D"/>
    <w:rsid w:val="00C30A08"/>
    <w:rsid w:val="00C30EA3"/>
    <w:rsid w:val="00C31376"/>
    <w:rsid w:val="00C313CD"/>
    <w:rsid w:val="00C313DC"/>
    <w:rsid w:val="00C315DA"/>
    <w:rsid w:val="00C316F5"/>
    <w:rsid w:val="00C31929"/>
    <w:rsid w:val="00C319A3"/>
    <w:rsid w:val="00C319D3"/>
    <w:rsid w:val="00C31B6E"/>
    <w:rsid w:val="00C31C84"/>
    <w:rsid w:val="00C31F5E"/>
    <w:rsid w:val="00C322B5"/>
    <w:rsid w:val="00C32342"/>
    <w:rsid w:val="00C325F8"/>
    <w:rsid w:val="00C326E5"/>
    <w:rsid w:val="00C32734"/>
    <w:rsid w:val="00C3278F"/>
    <w:rsid w:val="00C327BC"/>
    <w:rsid w:val="00C327E9"/>
    <w:rsid w:val="00C328D7"/>
    <w:rsid w:val="00C32979"/>
    <w:rsid w:val="00C32A63"/>
    <w:rsid w:val="00C32B26"/>
    <w:rsid w:val="00C32CC8"/>
    <w:rsid w:val="00C32EF6"/>
    <w:rsid w:val="00C32F43"/>
    <w:rsid w:val="00C32FBF"/>
    <w:rsid w:val="00C330A9"/>
    <w:rsid w:val="00C33122"/>
    <w:rsid w:val="00C33175"/>
    <w:rsid w:val="00C3317D"/>
    <w:rsid w:val="00C3321E"/>
    <w:rsid w:val="00C332E6"/>
    <w:rsid w:val="00C333C0"/>
    <w:rsid w:val="00C3343B"/>
    <w:rsid w:val="00C3349A"/>
    <w:rsid w:val="00C33581"/>
    <w:rsid w:val="00C33FC6"/>
    <w:rsid w:val="00C34079"/>
    <w:rsid w:val="00C340C2"/>
    <w:rsid w:val="00C34282"/>
    <w:rsid w:val="00C342C8"/>
    <w:rsid w:val="00C34409"/>
    <w:rsid w:val="00C34446"/>
    <w:rsid w:val="00C34482"/>
    <w:rsid w:val="00C3454E"/>
    <w:rsid w:val="00C34576"/>
    <w:rsid w:val="00C34694"/>
    <w:rsid w:val="00C346E2"/>
    <w:rsid w:val="00C34787"/>
    <w:rsid w:val="00C34897"/>
    <w:rsid w:val="00C348A1"/>
    <w:rsid w:val="00C34A2D"/>
    <w:rsid w:val="00C34C45"/>
    <w:rsid w:val="00C34D50"/>
    <w:rsid w:val="00C35028"/>
    <w:rsid w:val="00C35064"/>
    <w:rsid w:val="00C3506A"/>
    <w:rsid w:val="00C35226"/>
    <w:rsid w:val="00C35271"/>
    <w:rsid w:val="00C35356"/>
    <w:rsid w:val="00C353F1"/>
    <w:rsid w:val="00C3546B"/>
    <w:rsid w:val="00C355AB"/>
    <w:rsid w:val="00C355DB"/>
    <w:rsid w:val="00C356CC"/>
    <w:rsid w:val="00C356D8"/>
    <w:rsid w:val="00C359A5"/>
    <w:rsid w:val="00C35B2F"/>
    <w:rsid w:val="00C35B6D"/>
    <w:rsid w:val="00C35B85"/>
    <w:rsid w:val="00C35D5B"/>
    <w:rsid w:val="00C35D6F"/>
    <w:rsid w:val="00C35E42"/>
    <w:rsid w:val="00C35E8E"/>
    <w:rsid w:val="00C35F05"/>
    <w:rsid w:val="00C3613A"/>
    <w:rsid w:val="00C3626D"/>
    <w:rsid w:val="00C36272"/>
    <w:rsid w:val="00C3632D"/>
    <w:rsid w:val="00C36374"/>
    <w:rsid w:val="00C36589"/>
    <w:rsid w:val="00C365C9"/>
    <w:rsid w:val="00C365EC"/>
    <w:rsid w:val="00C3682D"/>
    <w:rsid w:val="00C3690B"/>
    <w:rsid w:val="00C369B6"/>
    <w:rsid w:val="00C369FD"/>
    <w:rsid w:val="00C36C5B"/>
    <w:rsid w:val="00C36CCF"/>
    <w:rsid w:val="00C36CEC"/>
    <w:rsid w:val="00C3726E"/>
    <w:rsid w:val="00C373C6"/>
    <w:rsid w:val="00C37428"/>
    <w:rsid w:val="00C37599"/>
    <w:rsid w:val="00C375C8"/>
    <w:rsid w:val="00C375D9"/>
    <w:rsid w:val="00C3780D"/>
    <w:rsid w:val="00C3792D"/>
    <w:rsid w:val="00C37936"/>
    <w:rsid w:val="00C379F7"/>
    <w:rsid w:val="00C37A63"/>
    <w:rsid w:val="00C37A89"/>
    <w:rsid w:val="00C37AE6"/>
    <w:rsid w:val="00C37B67"/>
    <w:rsid w:val="00C37C2F"/>
    <w:rsid w:val="00C37CA6"/>
    <w:rsid w:val="00C37CDD"/>
    <w:rsid w:val="00C37E5D"/>
    <w:rsid w:val="00C37F0B"/>
    <w:rsid w:val="00C37F48"/>
    <w:rsid w:val="00C37FD1"/>
    <w:rsid w:val="00C40203"/>
    <w:rsid w:val="00C4025F"/>
    <w:rsid w:val="00C4034B"/>
    <w:rsid w:val="00C403C3"/>
    <w:rsid w:val="00C404B8"/>
    <w:rsid w:val="00C405C3"/>
    <w:rsid w:val="00C40688"/>
    <w:rsid w:val="00C40693"/>
    <w:rsid w:val="00C406DA"/>
    <w:rsid w:val="00C4070A"/>
    <w:rsid w:val="00C40713"/>
    <w:rsid w:val="00C40ADB"/>
    <w:rsid w:val="00C40CDC"/>
    <w:rsid w:val="00C40D3D"/>
    <w:rsid w:val="00C40E55"/>
    <w:rsid w:val="00C40F6B"/>
    <w:rsid w:val="00C40FDE"/>
    <w:rsid w:val="00C4105D"/>
    <w:rsid w:val="00C4110A"/>
    <w:rsid w:val="00C4120A"/>
    <w:rsid w:val="00C41247"/>
    <w:rsid w:val="00C41307"/>
    <w:rsid w:val="00C41527"/>
    <w:rsid w:val="00C41879"/>
    <w:rsid w:val="00C418A2"/>
    <w:rsid w:val="00C418C1"/>
    <w:rsid w:val="00C41B40"/>
    <w:rsid w:val="00C41CF7"/>
    <w:rsid w:val="00C420A3"/>
    <w:rsid w:val="00C421DE"/>
    <w:rsid w:val="00C421F2"/>
    <w:rsid w:val="00C4233A"/>
    <w:rsid w:val="00C4254B"/>
    <w:rsid w:val="00C4282A"/>
    <w:rsid w:val="00C4288D"/>
    <w:rsid w:val="00C42A1F"/>
    <w:rsid w:val="00C42AEE"/>
    <w:rsid w:val="00C43194"/>
    <w:rsid w:val="00C431B4"/>
    <w:rsid w:val="00C431BC"/>
    <w:rsid w:val="00C43356"/>
    <w:rsid w:val="00C436EA"/>
    <w:rsid w:val="00C4395A"/>
    <w:rsid w:val="00C43963"/>
    <w:rsid w:val="00C43AE3"/>
    <w:rsid w:val="00C43C82"/>
    <w:rsid w:val="00C43EDE"/>
    <w:rsid w:val="00C43FD9"/>
    <w:rsid w:val="00C44012"/>
    <w:rsid w:val="00C440BC"/>
    <w:rsid w:val="00C440E2"/>
    <w:rsid w:val="00C44314"/>
    <w:rsid w:val="00C4441B"/>
    <w:rsid w:val="00C44436"/>
    <w:rsid w:val="00C4448C"/>
    <w:rsid w:val="00C444C3"/>
    <w:rsid w:val="00C444DF"/>
    <w:rsid w:val="00C4472B"/>
    <w:rsid w:val="00C447D3"/>
    <w:rsid w:val="00C448DF"/>
    <w:rsid w:val="00C4498E"/>
    <w:rsid w:val="00C44AAB"/>
    <w:rsid w:val="00C44AC9"/>
    <w:rsid w:val="00C45043"/>
    <w:rsid w:val="00C45205"/>
    <w:rsid w:val="00C4532D"/>
    <w:rsid w:val="00C45427"/>
    <w:rsid w:val="00C4542E"/>
    <w:rsid w:val="00C4571E"/>
    <w:rsid w:val="00C45776"/>
    <w:rsid w:val="00C45AA2"/>
    <w:rsid w:val="00C45B06"/>
    <w:rsid w:val="00C45BA5"/>
    <w:rsid w:val="00C45BE6"/>
    <w:rsid w:val="00C45D1F"/>
    <w:rsid w:val="00C45D69"/>
    <w:rsid w:val="00C45F75"/>
    <w:rsid w:val="00C462A0"/>
    <w:rsid w:val="00C4630E"/>
    <w:rsid w:val="00C46380"/>
    <w:rsid w:val="00C4668D"/>
    <w:rsid w:val="00C46722"/>
    <w:rsid w:val="00C4673E"/>
    <w:rsid w:val="00C4695D"/>
    <w:rsid w:val="00C46B0C"/>
    <w:rsid w:val="00C46C8D"/>
    <w:rsid w:val="00C46CA4"/>
    <w:rsid w:val="00C46CD8"/>
    <w:rsid w:val="00C46E4A"/>
    <w:rsid w:val="00C46F7A"/>
    <w:rsid w:val="00C473D3"/>
    <w:rsid w:val="00C47424"/>
    <w:rsid w:val="00C47A58"/>
    <w:rsid w:val="00C47C37"/>
    <w:rsid w:val="00C47D39"/>
    <w:rsid w:val="00C47D5E"/>
    <w:rsid w:val="00C47E59"/>
    <w:rsid w:val="00C47FE9"/>
    <w:rsid w:val="00C5013F"/>
    <w:rsid w:val="00C50150"/>
    <w:rsid w:val="00C5031B"/>
    <w:rsid w:val="00C5032A"/>
    <w:rsid w:val="00C503A6"/>
    <w:rsid w:val="00C50769"/>
    <w:rsid w:val="00C50775"/>
    <w:rsid w:val="00C5079B"/>
    <w:rsid w:val="00C5098E"/>
    <w:rsid w:val="00C50B5F"/>
    <w:rsid w:val="00C50BF5"/>
    <w:rsid w:val="00C50DDD"/>
    <w:rsid w:val="00C50E13"/>
    <w:rsid w:val="00C50E7D"/>
    <w:rsid w:val="00C50F87"/>
    <w:rsid w:val="00C5100B"/>
    <w:rsid w:val="00C5116C"/>
    <w:rsid w:val="00C513BC"/>
    <w:rsid w:val="00C51406"/>
    <w:rsid w:val="00C514B5"/>
    <w:rsid w:val="00C51547"/>
    <w:rsid w:val="00C51720"/>
    <w:rsid w:val="00C51754"/>
    <w:rsid w:val="00C51B67"/>
    <w:rsid w:val="00C51C65"/>
    <w:rsid w:val="00C51CFE"/>
    <w:rsid w:val="00C51D45"/>
    <w:rsid w:val="00C51DAC"/>
    <w:rsid w:val="00C51DC9"/>
    <w:rsid w:val="00C51E1B"/>
    <w:rsid w:val="00C51ECE"/>
    <w:rsid w:val="00C51F78"/>
    <w:rsid w:val="00C520AD"/>
    <w:rsid w:val="00C52120"/>
    <w:rsid w:val="00C522B5"/>
    <w:rsid w:val="00C522DD"/>
    <w:rsid w:val="00C524FC"/>
    <w:rsid w:val="00C528EE"/>
    <w:rsid w:val="00C52C2D"/>
    <w:rsid w:val="00C52C7D"/>
    <w:rsid w:val="00C52D1E"/>
    <w:rsid w:val="00C52D40"/>
    <w:rsid w:val="00C52DB7"/>
    <w:rsid w:val="00C52DBE"/>
    <w:rsid w:val="00C52E17"/>
    <w:rsid w:val="00C53061"/>
    <w:rsid w:val="00C531FE"/>
    <w:rsid w:val="00C53333"/>
    <w:rsid w:val="00C534DC"/>
    <w:rsid w:val="00C5388D"/>
    <w:rsid w:val="00C53AA9"/>
    <w:rsid w:val="00C53BAA"/>
    <w:rsid w:val="00C53DA3"/>
    <w:rsid w:val="00C53E61"/>
    <w:rsid w:val="00C53FE0"/>
    <w:rsid w:val="00C54030"/>
    <w:rsid w:val="00C54210"/>
    <w:rsid w:val="00C5439D"/>
    <w:rsid w:val="00C544D5"/>
    <w:rsid w:val="00C544DD"/>
    <w:rsid w:val="00C54507"/>
    <w:rsid w:val="00C5460C"/>
    <w:rsid w:val="00C54778"/>
    <w:rsid w:val="00C5485C"/>
    <w:rsid w:val="00C548F2"/>
    <w:rsid w:val="00C5490F"/>
    <w:rsid w:val="00C54BBE"/>
    <w:rsid w:val="00C54D39"/>
    <w:rsid w:val="00C54D3D"/>
    <w:rsid w:val="00C55058"/>
    <w:rsid w:val="00C551BA"/>
    <w:rsid w:val="00C5520B"/>
    <w:rsid w:val="00C5528B"/>
    <w:rsid w:val="00C552D1"/>
    <w:rsid w:val="00C55420"/>
    <w:rsid w:val="00C5552A"/>
    <w:rsid w:val="00C555DB"/>
    <w:rsid w:val="00C55643"/>
    <w:rsid w:val="00C55655"/>
    <w:rsid w:val="00C558D2"/>
    <w:rsid w:val="00C55927"/>
    <w:rsid w:val="00C55D8F"/>
    <w:rsid w:val="00C55D98"/>
    <w:rsid w:val="00C55EC7"/>
    <w:rsid w:val="00C56022"/>
    <w:rsid w:val="00C565C7"/>
    <w:rsid w:val="00C56755"/>
    <w:rsid w:val="00C56759"/>
    <w:rsid w:val="00C5683D"/>
    <w:rsid w:val="00C5695C"/>
    <w:rsid w:val="00C569C3"/>
    <w:rsid w:val="00C56D03"/>
    <w:rsid w:val="00C56D45"/>
    <w:rsid w:val="00C56ECC"/>
    <w:rsid w:val="00C571DA"/>
    <w:rsid w:val="00C5721B"/>
    <w:rsid w:val="00C57248"/>
    <w:rsid w:val="00C57705"/>
    <w:rsid w:val="00C578B7"/>
    <w:rsid w:val="00C57935"/>
    <w:rsid w:val="00C57A27"/>
    <w:rsid w:val="00C57ADF"/>
    <w:rsid w:val="00C57B4D"/>
    <w:rsid w:val="00C6007F"/>
    <w:rsid w:val="00C60435"/>
    <w:rsid w:val="00C60438"/>
    <w:rsid w:val="00C60461"/>
    <w:rsid w:val="00C60503"/>
    <w:rsid w:val="00C6064C"/>
    <w:rsid w:val="00C60775"/>
    <w:rsid w:val="00C607C4"/>
    <w:rsid w:val="00C6090A"/>
    <w:rsid w:val="00C609AA"/>
    <w:rsid w:val="00C60B20"/>
    <w:rsid w:val="00C60EC5"/>
    <w:rsid w:val="00C60ED8"/>
    <w:rsid w:val="00C60EE3"/>
    <w:rsid w:val="00C61182"/>
    <w:rsid w:val="00C6134A"/>
    <w:rsid w:val="00C613B7"/>
    <w:rsid w:val="00C614E2"/>
    <w:rsid w:val="00C61506"/>
    <w:rsid w:val="00C6157D"/>
    <w:rsid w:val="00C61731"/>
    <w:rsid w:val="00C61758"/>
    <w:rsid w:val="00C6184B"/>
    <w:rsid w:val="00C61A3C"/>
    <w:rsid w:val="00C61AEC"/>
    <w:rsid w:val="00C61C5B"/>
    <w:rsid w:val="00C61DF9"/>
    <w:rsid w:val="00C61E72"/>
    <w:rsid w:val="00C61F04"/>
    <w:rsid w:val="00C61FD8"/>
    <w:rsid w:val="00C62058"/>
    <w:rsid w:val="00C6227F"/>
    <w:rsid w:val="00C62352"/>
    <w:rsid w:val="00C62376"/>
    <w:rsid w:val="00C62587"/>
    <w:rsid w:val="00C62612"/>
    <w:rsid w:val="00C628BA"/>
    <w:rsid w:val="00C62A2C"/>
    <w:rsid w:val="00C62C38"/>
    <w:rsid w:val="00C62E8E"/>
    <w:rsid w:val="00C62EF9"/>
    <w:rsid w:val="00C630D2"/>
    <w:rsid w:val="00C63122"/>
    <w:rsid w:val="00C63131"/>
    <w:rsid w:val="00C63182"/>
    <w:rsid w:val="00C6322A"/>
    <w:rsid w:val="00C63488"/>
    <w:rsid w:val="00C634D5"/>
    <w:rsid w:val="00C63583"/>
    <w:rsid w:val="00C63644"/>
    <w:rsid w:val="00C636BD"/>
    <w:rsid w:val="00C636EE"/>
    <w:rsid w:val="00C63775"/>
    <w:rsid w:val="00C638B6"/>
    <w:rsid w:val="00C63961"/>
    <w:rsid w:val="00C639FD"/>
    <w:rsid w:val="00C63A63"/>
    <w:rsid w:val="00C63B92"/>
    <w:rsid w:val="00C63CA2"/>
    <w:rsid w:val="00C63D17"/>
    <w:rsid w:val="00C63D8F"/>
    <w:rsid w:val="00C63EA1"/>
    <w:rsid w:val="00C640D0"/>
    <w:rsid w:val="00C64187"/>
    <w:rsid w:val="00C64249"/>
    <w:rsid w:val="00C6438B"/>
    <w:rsid w:val="00C643ED"/>
    <w:rsid w:val="00C644BF"/>
    <w:rsid w:val="00C644C0"/>
    <w:rsid w:val="00C64525"/>
    <w:rsid w:val="00C6453A"/>
    <w:rsid w:val="00C645BE"/>
    <w:rsid w:val="00C6462C"/>
    <w:rsid w:val="00C64646"/>
    <w:rsid w:val="00C64A8D"/>
    <w:rsid w:val="00C64C8F"/>
    <w:rsid w:val="00C64CD9"/>
    <w:rsid w:val="00C64D23"/>
    <w:rsid w:val="00C64D3E"/>
    <w:rsid w:val="00C64D57"/>
    <w:rsid w:val="00C64DAE"/>
    <w:rsid w:val="00C64EB7"/>
    <w:rsid w:val="00C64F6E"/>
    <w:rsid w:val="00C650DF"/>
    <w:rsid w:val="00C6547C"/>
    <w:rsid w:val="00C654B4"/>
    <w:rsid w:val="00C6558F"/>
    <w:rsid w:val="00C65758"/>
    <w:rsid w:val="00C657B9"/>
    <w:rsid w:val="00C658E6"/>
    <w:rsid w:val="00C65BDF"/>
    <w:rsid w:val="00C65DB1"/>
    <w:rsid w:val="00C65E0E"/>
    <w:rsid w:val="00C65ECC"/>
    <w:rsid w:val="00C660DA"/>
    <w:rsid w:val="00C660FB"/>
    <w:rsid w:val="00C66249"/>
    <w:rsid w:val="00C663D9"/>
    <w:rsid w:val="00C66446"/>
    <w:rsid w:val="00C66448"/>
    <w:rsid w:val="00C6669C"/>
    <w:rsid w:val="00C6670B"/>
    <w:rsid w:val="00C6678F"/>
    <w:rsid w:val="00C668E7"/>
    <w:rsid w:val="00C66905"/>
    <w:rsid w:val="00C669C1"/>
    <w:rsid w:val="00C66A2A"/>
    <w:rsid w:val="00C66AD4"/>
    <w:rsid w:val="00C66BD6"/>
    <w:rsid w:val="00C66F3F"/>
    <w:rsid w:val="00C67167"/>
    <w:rsid w:val="00C67254"/>
    <w:rsid w:val="00C67258"/>
    <w:rsid w:val="00C67366"/>
    <w:rsid w:val="00C673D5"/>
    <w:rsid w:val="00C67428"/>
    <w:rsid w:val="00C6751B"/>
    <w:rsid w:val="00C67567"/>
    <w:rsid w:val="00C676B6"/>
    <w:rsid w:val="00C6770F"/>
    <w:rsid w:val="00C67A24"/>
    <w:rsid w:val="00C67AD8"/>
    <w:rsid w:val="00C67B44"/>
    <w:rsid w:val="00C67BE9"/>
    <w:rsid w:val="00C67C96"/>
    <w:rsid w:val="00C67DCC"/>
    <w:rsid w:val="00C67FCC"/>
    <w:rsid w:val="00C70139"/>
    <w:rsid w:val="00C702B9"/>
    <w:rsid w:val="00C70318"/>
    <w:rsid w:val="00C7036C"/>
    <w:rsid w:val="00C70446"/>
    <w:rsid w:val="00C7046E"/>
    <w:rsid w:val="00C7048F"/>
    <w:rsid w:val="00C705E6"/>
    <w:rsid w:val="00C70927"/>
    <w:rsid w:val="00C70A3E"/>
    <w:rsid w:val="00C70AB6"/>
    <w:rsid w:val="00C70CC6"/>
    <w:rsid w:val="00C70CCD"/>
    <w:rsid w:val="00C71124"/>
    <w:rsid w:val="00C71373"/>
    <w:rsid w:val="00C7144B"/>
    <w:rsid w:val="00C7146F"/>
    <w:rsid w:val="00C7149C"/>
    <w:rsid w:val="00C714C7"/>
    <w:rsid w:val="00C716B4"/>
    <w:rsid w:val="00C716EF"/>
    <w:rsid w:val="00C7193D"/>
    <w:rsid w:val="00C7194F"/>
    <w:rsid w:val="00C71A8D"/>
    <w:rsid w:val="00C71AE9"/>
    <w:rsid w:val="00C71B02"/>
    <w:rsid w:val="00C71E02"/>
    <w:rsid w:val="00C71E8F"/>
    <w:rsid w:val="00C720C1"/>
    <w:rsid w:val="00C7219F"/>
    <w:rsid w:val="00C722CE"/>
    <w:rsid w:val="00C7240D"/>
    <w:rsid w:val="00C72533"/>
    <w:rsid w:val="00C727F5"/>
    <w:rsid w:val="00C72811"/>
    <w:rsid w:val="00C72960"/>
    <w:rsid w:val="00C729C8"/>
    <w:rsid w:val="00C729EC"/>
    <w:rsid w:val="00C72C1B"/>
    <w:rsid w:val="00C72F26"/>
    <w:rsid w:val="00C7315D"/>
    <w:rsid w:val="00C73656"/>
    <w:rsid w:val="00C73783"/>
    <w:rsid w:val="00C737FB"/>
    <w:rsid w:val="00C738DB"/>
    <w:rsid w:val="00C73902"/>
    <w:rsid w:val="00C7396A"/>
    <w:rsid w:val="00C73B2F"/>
    <w:rsid w:val="00C73BA7"/>
    <w:rsid w:val="00C73BD6"/>
    <w:rsid w:val="00C73D29"/>
    <w:rsid w:val="00C73DB5"/>
    <w:rsid w:val="00C73E48"/>
    <w:rsid w:val="00C73FD0"/>
    <w:rsid w:val="00C7415F"/>
    <w:rsid w:val="00C74185"/>
    <w:rsid w:val="00C741D5"/>
    <w:rsid w:val="00C74288"/>
    <w:rsid w:val="00C7435A"/>
    <w:rsid w:val="00C743B0"/>
    <w:rsid w:val="00C743C5"/>
    <w:rsid w:val="00C7465A"/>
    <w:rsid w:val="00C746E7"/>
    <w:rsid w:val="00C746FF"/>
    <w:rsid w:val="00C74704"/>
    <w:rsid w:val="00C748D1"/>
    <w:rsid w:val="00C7492A"/>
    <w:rsid w:val="00C74971"/>
    <w:rsid w:val="00C74A01"/>
    <w:rsid w:val="00C74A2F"/>
    <w:rsid w:val="00C74C73"/>
    <w:rsid w:val="00C74D89"/>
    <w:rsid w:val="00C74E33"/>
    <w:rsid w:val="00C74FEC"/>
    <w:rsid w:val="00C7539B"/>
    <w:rsid w:val="00C754DB"/>
    <w:rsid w:val="00C7557F"/>
    <w:rsid w:val="00C755E4"/>
    <w:rsid w:val="00C75867"/>
    <w:rsid w:val="00C758DE"/>
    <w:rsid w:val="00C75AC6"/>
    <w:rsid w:val="00C75B4F"/>
    <w:rsid w:val="00C75B77"/>
    <w:rsid w:val="00C76001"/>
    <w:rsid w:val="00C7601A"/>
    <w:rsid w:val="00C76151"/>
    <w:rsid w:val="00C762CD"/>
    <w:rsid w:val="00C76457"/>
    <w:rsid w:val="00C765E1"/>
    <w:rsid w:val="00C76758"/>
    <w:rsid w:val="00C76783"/>
    <w:rsid w:val="00C76853"/>
    <w:rsid w:val="00C7693F"/>
    <w:rsid w:val="00C769C0"/>
    <w:rsid w:val="00C76A1A"/>
    <w:rsid w:val="00C76ABA"/>
    <w:rsid w:val="00C76B3E"/>
    <w:rsid w:val="00C76BE2"/>
    <w:rsid w:val="00C76D71"/>
    <w:rsid w:val="00C76DFE"/>
    <w:rsid w:val="00C76E11"/>
    <w:rsid w:val="00C76FE2"/>
    <w:rsid w:val="00C77011"/>
    <w:rsid w:val="00C77132"/>
    <w:rsid w:val="00C77284"/>
    <w:rsid w:val="00C774F9"/>
    <w:rsid w:val="00C7755F"/>
    <w:rsid w:val="00C7771B"/>
    <w:rsid w:val="00C77767"/>
    <w:rsid w:val="00C7794A"/>
    <w:rsid w:val="00C77978"/>
    <w:rsid w:val="00C77CD5"/>
    <w:rsid w:val="00C77D9D"/>
    <w:rsid w:val="00C8004F"/>
    <w:rsid w:val="00C80124"/>
    <w:rsid w:val="00C80213"/>
    <w:rsid w:val="00C803CD"/>
    <w:rsid w:val="00C806F6"/>
    <w:rsid w:val="00C80B71"/>
    <w:rsid w:val="00C80D50"/>
    <w:rsid w:val="00C80F87"/>
    <w:rsid w:val="00C811A2"/>
    <w:rsid w:val="00C81259"/>
    <w:rsid w:val="00C813E1"/>
    <w:rsid w:val="00C8147D"/>
    <w:rsid w:val="00C81492"/>
    <w:rsid w:val="00C81654"/>
    <w:rsid w:val="00C8165C"/>
    <w:rsid w:val="00C8180D"/>
    <w:rsid w:val="00C818CE"/>
    <w:rsid w:val="00C81BB6"/>
    <w:rsid w:val="00C81CC9"/>
    <w:rsid w:val="00C81DBD"/>
    <w:rsid w:val="00C81E8A"/>
    <w:rsid w:val="00C8208E"/>
    <w:rsid w:val="00C82116"/>
    <w:rsid w:val="00C821C8"/>
    <w:rsid w:val="00C8244C"/>
    <w:rsid w:val="00C824AF"/>
    <w:rsid w:val="00C82583"/>
    <w:rsid w:val="00C82645"/>
    <w:rsid w:val="00C8271D"/>
    <w:rsid w:val="00C8289C"/>
    <w:rsid w:val="00C82957"/>
    <w:rsid w:val="00C82BD2"/>
    <w:rsid w:val="00C82CD2"/>
    <w:rsid w:val="00C82DA0"/>
    <w:rsid w:val="00C8300B"/>
    <w:rsid w:val="00C83085"/>
    <w:rsid w:val="00C8308B"/>
    <w:rsid w:val="00C8312A"/>
    <w:rsid w:val="00C8323B"/>
    <w:rsid w:val="00C83338"/>
    <w:rsid w:val="00C834F0"/>
    <w:rsid w:val="00C834F6"/>
    <w:rsid w:val="00C83662"/>
    <w:rsid w:val="00C83949"/>
    <w:rsid w:val="00C83983"/>
    <w:rsid w:val="00C839FF"/>
    <w:rsid w:val="00C83C66"/>
    <w:rsid w:val="00C83E14"/>
    <w:rsid w:val="00C83EAC"/>
    <w:rsid w:val="00C83FF6"/>
    <w:rsid w:val="00C84019"/>
    <w:rsid w:val="00C841F2"/>
    <w:rsid w:val="00C8429C"/>
    <w:rsid w:val="00C842DE"/>
    <w:rsid w:val="00C845C4"/>
    <w:rsid w:val="00C84A1D"/>
    <w:rsid w:val="00C84A4C"/>
    <w:rsid w:val="00C84A50"/>
    <w:rsid w:val="00C84A7A"/>
    <w:rsid w:val="00C84B03"/>
    <w:rsid w:val="00C84B9C"/>
    <w:rsid w:val="00C84BBC"/>
    <w:rsid w:val="00C84C2C"/>
    <w:rsid w:val="00C84D0C"/>
    <w:rsid w:val="00C84D5C"/>
    <w:rsid w:val="00C84E22"/>
    <w:rsid w:val="00C84F5E"/>
    <w:rsid w:val="00C85013"/>
    <w:rsid w:val="00C8519F"/>
    <w:rsid w:val="00C8521B"/>
    <w:rsid w:val="00C8537D"/>
    <w:rsid w:val="00C85449"/>
    <w:rsid w:val="00C85462"/>
    <w:rsid w:val="00C856DE"/>
    <w:rsid w:val="00C859CD"/>
    <w:rsid w:val="00C85BFD"/>
    <w:rsid w:val="00C860B9"/>
    <w:rsid w:val="00C860CD"/>
    <w:rsid w:val="00C8622C"/>
    <w:rsid w:val="00C862EF"/>
    <w:rsid w:val="00C86472"/>
    <w:rsid w:val="00C864E8"/>
    <w:rsid w:val="00C865A3"/>
    <w:rsid w:val="00C86796"/>
    <w:rsid w:val="00C86878"/>
    <w:rsid w:val="00C868F1"/>
    <w:rsid w:val="00C86AAD"/>
    <w:rsid w:val="00C86AB6"/>
    <w:rsid w:val="00C86B3F"/>
    <w:rsid w:val="00C86BDA"/>
    <w:rsid w:val="00C86C9A"/>
    <w:rsid w:val="00C86CAD"/>
    <w:rsid w:val="00C86F3E"/>
    <w:rsid w:val="00C8701F"/>
    <w:rsid w:val="00C870FB"/>
    <w:rsid w:val="00C87111"/>
    <w:rsid w:val="00C87475"/>
    <w:rsid w:val="00C8753C"/>
    <w:rsid w:val="00C87572"/>
    <w:rsid w:val="00C8760B"/>
    <w:rsid w:val="00C87757"/>
    <w:rsid w:val="00C877A7"/>
    <w:rsid w:val="00C87857"/>
    <w:rsid w:val="00C8791C"/>
    <w:rsid w:val="00C879DB"/>
    <w:rsid w:val="00C87A76"/>
    <w:rsid w:val="00C87AB6"/>
    <w:rsid w:val="00C87BA8"/>
    <w:rsid w:val="00C87D70"/>
    <w:rsid w:val="00C87FB7"/>
    <w:rsid w:val="00C9000E"/>
    <w:rsid w:val="00C90060"/>
    <w:rsid w:val="00C90088"/>
    <w:rsid w:val="00C900DA"/>
    <w:rsid w:val="00C90233"/>
    <w:rsid w:val="00C90484"/>
    <w:rsid w:val="00C9068A"/>
    <w:rsid w:val="00C906CC"/>
    <w:rsid w:val="00C90882"/>
    <w:rsid w:val="00C90D35"/>
    <w:rsid w:val="00C90E75"/>
    <w:rsid w:val="00C90F49"/>
    <w:rsid w:val="00C912CB"/>
    <w:rsid w:val="00C91310"/>
    <w:rsid w:val="00C91339"/>
    <w:rsid w:val="00C91520"/>
    <w:rsid w:val="00C9168D"/>
    <w:rsid w:val="00C91AA2"/>
    <w:rsid w:val="00C91BBD"/>
    <w:rsid w:val="00C91C09"/>
    <w:rsid w:val="00C91C1D"/>
    <w:rsid w:val="00C91C6A"/>
    <w:rsid w:val="00C91CAF"/>
    <w:rsid w:val="00C91F9B"/>
    <w:rsid w:val="00C92203"/>
    <w:rsid w:val="00C92272"/>
    <w:rsid w:val="00C92313"/>
    <w:rsid w:val="00C92595"/>
    <w:rsid w:val="00C9266F"/>
    <w:rsid w:val="00C926FA"/>
    <w:rsid w:val="00C9293D"/>
    <w:rsid w:val="00C9297D"/>
    <w:rsid w:val="00C929C9"/>
    <w:rsid w:val="00C92A69"/>
    <w:rsid w:val="00C92AAB"/>
    <w:rsid w:val="00C92AC0"/>
    <w:rsid w:val="00C92C1F"/>
    <w:rsid w:val="00C92DE9"/>
    <w:rsid w:val="00C92DFE"/>
    <w:rsid w:val="00C92E19"/>
    <w:rsid w:val="00C92E93"/>
    <w:rsid w:val="00C92F18"/>
    <w:rsid w:val="00C93013"/>
    <w:rsid w:val="00C93045"/>
    <w:rsid w:val="00C9313F"/>
    <w:rsid w:val="00C93463"/>
    <w:rsid w:val="00C935F0"/>
    <w:rsid w:val="00C93617"/>
    <w:rsid w:val="00C93714"/>
    <w:rsid w:val="00C93725"/>
    <w:rsid w:val="00C9372A"/>
    <w:rsid w:val="00C938E6"/>
    <w:rsid w:val="00C93930"/>
    <w:rsid w:val="00C93992"/>
    <w:rsid w:val="00C939D1"/>
    <w:rsid w:val="00C939FD"/>
    <w:rsid w:val="00C93B02"/>
    <w:rsid w:val="00C93C19"/>
    <w:rsid w:val="00C93C77"/>
    <w:rsid w:val="00C93C7B"/>
    <w:rsid w:val="00C93C9C"/>
    <w:rsid w:val="00C93CAB"/>
    <w:rsid w:val="00C93CE4"/>
    <w:rsid w:val="00C93D3E"/>
    <w:rsid w:val="00C93E4A"/>
    <w:rsid w:val="00C94022"/>
    <w:rsid w:val="00C9403F"/>
    <w:rsid w:val="00C94292"/>
    <w:rsid w:val="00C943B2"/>
    <w:rsid w:val="00C94453"/>
    <w:rsid w:val="00C9452C"/>
    <w:rsid w:val="00C9462F"/>
    <w:rsid w:val="00C9469B"/>
    <w:rsid w:val="00C946D6"/>
    <w:rsid w:val="00C947DD"/>
    <w:rsid w:val="00C94891"/>
    <w:rsid w:val="00C949C8"/>
    <w:rsid w:val="00C94A58"/>
    <w:rsid w:val="00C94BEB"/>
    <w:rsid w:val="00C94CA7"/>
    <w:rsid w:val="00C94E6A"/>
    <w:rsid w:val="00C9500D"/>
    <w:rsid w:val="00C9501A"/>
    <w:rsid w:val="00C951EB"/>
    <w:rsid w:val="00C951FE"/>
    <w:rsid w:val="00C9521E"/>
    <w:rsid w:val="00C952F4"/>
    <w:rsid w:val="00C9531A"/>
    <w:rsid w:val="00C95451"/>
    <w:rsid w:val="00C9552B"/>
    <w:rsid w:val="00C956D7"/>
    <w:rsid w:val="00C95937"/>
    <w:rsid w:val="00C95945"/>
    <w:rsid w:val="00C95989"/>
    <w:rsid w:val="00C95A1B"/>
    <w:rsid w:val="00C95C45"/>
    <w:rsid w:val="00C95CBA"/>
    <w:rsid w:val="00C95CC0"/>
    <w:rsid w:val="00C95D24"/>
    <w:rsid w:val="00C95E21"/>
    <w:rsid w:val="00C95F95"/>
    <w:rsid w:val="00C96228"/>
    <w:rsid w:val="00C9628C"/>
    <w:rsid w:val="00C96389"/>
    <w:rsid w:val="00C9647E"/>
    <w:rsid w:val="00C96568"/>
    <w:rsid w:val="00C96680"/>
    <w:rsid w:val="00C96931"/>
    <w:rsid w:val="00C96C57"/>
    <w:rsid w:val="00C9716D"/>
    <w:rsid w:val="00C9723A"/>
    <w:rsid w:val="00C97475"/>
    <w:rsid w:val="00C9754E"/>
    <w:rsid w:val="00C977C7"/>
    <w:rsid w:val="00C9788F"/>
    <w:rsid w:val="00C97926"/>
    <w:rsid w:val="00C9798F"/>
    <w:rsid w:val="00C97A04"/>
    <w:rsid w:val="00C97CA0"/>
    <w:rsid w:val="00C97F36"/>
    <w:rsid w:val="00CA00DE"/>
    <w:rsid w:val="00CA01BB"/>
    <w:rsid w:val="00CA03EF"/>
    <w:rsid w:val="00CA04AF"/>
    <w:rsid w:val="00CA052D"/>
    <w:rsid w:val="00CA0619"/>
    <w:rsid w:val="00CA06D2"/>
    <w:rsid w:val="00CA073A"/>
    <w:rsid w:val="00CA07B1"/>
    <w:rsid w:val="00CA08DC"/>
    <w:rsid w:val="00CA0A1B"/>
    <w:rsid w:val="00CA0CE5"/>
    <w:rsid w:val="00CA0D9B"/>
    <w:rsid w:val="00CA1041"/>
    <w:rsid w:val="00CA1215"/>
    <w:rsid w:val="00CA138C"/>
    <w:rsid w:val="00CA1431"/>
    <w:rsid w:val="00CA143F"/>
    <w:rsid w:val="00CA1653"/>
    <w:rsid w:val="00CA1672"/>
    <w:rsid w:val="00CA16FB"/>
    <w:rsid w:val="00CA19FF"/>
    <w:rsid w:val="00CA1A43"/>
    <w:rsid w:val="00CA1EFA"/>
    <w:rsid w:val="00CA2021"/>
    <w:rsid w:val="00CA2028"/>
    <w:rsid w:val="00CA236B"/>
    <w:rsid w:val="00CA292C"/>
    <w:rsid w:val="00CA2940"/>
    <w:rsid w:val="00CA2961"/>
    <w:rsid w:val="00CA2B08"/>
    <w:rsid w:val="00CA2BB1"/>
    <w:rsid w:val="00CA2CEF"/>
    <w:rsid w:val="00CA2D40"/>
    <w:rsid w:val="00CA2FF1"/>
    <w:rsid w:val="00CA30F8"/>
    <w:rsid w:val="00CA3240"/>
    <w:rsid w:val="00CA32C6"/>
    <w:rsid w:val="00CA338D"/>
    <w:rsid w:val="00CA35F9"/>
    <w:rsid w:val="00CA3648"/>
    <w:rsid w:val="00CA36B9"/>
    <w:rsid w:val="00CA379E"/>
    <w:rsid w:val="00CA37DB"/>
    <w:rsid w:val="00CA3801"/>
    <w:rsid w:val="00CA387E"/>
    <w:rsid w:val="00CA3A80"/>
    <w:rsid w:val="00CA3B7D"/>
    <w:rsid w:val="00CA3CC9"/>
    <w:rsid w:val="00CA3DB7"/>
    <w:rsid w:val="00CA3EC5"/>
    <w:rsid w:val="00CA3F76"/>
    <w:rsid w:val="00CA3FB1"/>
    <w:rsid w:val="00CA3FF9"/>
    <w:rsid w:val="00CA4010"/>
    <w:rsid w:val="00CA424D"/>
    <w:rsid w:val="00CA4284"/>
    <w:rsid w:val="00CA441A"/>
    <w:rsid w:val="00CA4489"/>
    <w:rsid w:val="00CA46DE"/>
    <w:rsid w:val="00CA4703"/>
    <w:rsid w:val="00CA476A"/>
    <w:rsid w:val="00CA4775"/>
    <w:rsid w:val="00CA48F5"/>
    <w:rsid w:val="00CA49D7"/>
    <w:rsid w:val="00CA4A19"/>
    <w:rsid w:val="00CA4ACF"/>
    <w:rsid w:val="00CA4E02"/>
    <w:rsid w:val="00CA4E20"/>
    <w:rsid w:val="00CA4E62"/>
    <w:rsid w:val="00CA4EBF"/>
    <w:rsid w:val="00CA50A3"/>
    <w:rsid w:val="00CA50B2"/>
    <w:rsid w:val="00CA52FE"/>
    <w:rsid w:val="00CA5320"/>
    <w:rsid w:val="00CA5529"/>
    <w:rsid w:val="00CA5596"/>
    <w:rsid w:val="00CA5626"/>
    <w:rsid w:val="00CA577C"/>
    <w:rsid w:val="00CA5808"/>
    <w:rsid w:val="00CA582F"/>
    <w:rsid w:val="00CA5B40"/>
    <w:rsid w:val="00CA5CD1"/>
    <w:rsid w:val="00CA5DE3"/>
    <w:rsid w:val="00CA5E1A"/>
    <w:rsid w:val="00CA5E39"/>
    <w:rsid w:val="00CA5ED6"/>
    <w:rsid w:val="00CA61A0"/>
    <w:rsid w:val="00CA6376"/>
    <w:rsid w:val="00CA6425"/>
    <w:rsid w:val="00CA6480"/>
    <w:rsid w:val="00CA673F"/>
    <w:rsid w:val="00CA69A2"/>
    <w:rsid w:val="00CA6B36"/>
    <w:rsid w:val="00CA6B44"/>
    <w:rsid w:val="00CA6FA0"/>
    <w:rsid w:val="00CA71AD"/>
    <w:rsid w:val="00CA71EB"/>
    <w:rsid w:val="00CA7237"/>
    <w:rsid w:val="00CA725C"/>
    <w:rsid w:val="00CA73A6"/>
    <w:rsid w:val="00CA76B3"/>
    <w:rsid w:val="00CA7774"/>
    <w:rsid w:val="00CA77A2"/>
    <w:rsid w:val="00CA78DB"/>
    <w:rsid w:val="00CA7A10"/>
    <w:rsid w:val="00CA7A5E"/>
    <w:rsid w:val="00CA7B7C"/>
    <w:rsid w:val="00CA7CA0"/>
    <w:rsid w:val="00CA7CEE"/>
    <w:rsid w:val="00CA7E89"/>
    <w:rsid w:val="00CA7F21"/>
    <w:rsid w:val="00CB005E"/>
    <w:rsid w:val="00CB0157"/>
    <w:rsid w:val="00CB01DA"/>
    <w:rsid w:val="00CB0360"/>
    <w:rsid w:val="00CB042E"/>
    <w:rsid w:val="00CB04C4"/>
    <w:rsid w:val="00CB0587"/>
    <w:rsid w:val="00CB09E4"/>
    <w:rsid w:val="00CB0A65"/>
    <w:rsid w:val="00CB0B14"/>
    <w:rsid w:val="00CB0B19"/>
    <w:rsid w:val="00CB0BD8"/>
    <w:rsid w:val="00CB0BFB"/>
    <w:rsid w:val="00CB0E5B"/>
    <w:rsid w:val="00CB0ED4"/>
    <w:rsid w:val="00CB11DA"/>
    <w:rsid w:val="00CB120E"/>
    <w:rsid w:val="00CB12C1"/>
    <w:rsid w:val="00CB1385"/>
    <w:rsid w:val="00CB14A2"/>
    <w:rsid w:val="00CB14F2"/>
    <w:rsid w:val="00CB15EE"/>
    <w:rsid w:val="00CB15F4"/>
    <w:rsid w:val="00CB1684"/>
    <w:rsid w:val="00CB17A7"/>
    <w:rsid w:val="00CB18FF"/>
    <w:rsid w:val="00CB1928"/>
    <w:rsid w:val="00CB1A2C"/>
    <w:rsid w:val="00CB1A4E"/>
    <w:rsid w:val="00CB1AC4"/>
    <w:rsid w:val="00CB1D12"/>
    <w:rsid w:val="00CB1F30"/>
    <w:rsid w:val="00CB1F5A"/>
    <w:rsid w:val="00CB2108"/>
    <w:rsid w:val="00CB21C8"/>
    <w:rsid w:val="00CB2230"/>
    <w:rsid w:val="00CB2321"/>
    <w:rsid w:val="00CB2328"/>
    <w:rsid w:val="00CB272D"/>
    <w:rsid w:val="00CB2AAB"/>
    <w:rsid w:val="00CB2AE2"/>
    <w:rsid w:val="00CB2B91"/>
    <w:rsid w:val="00CB2BA1"/>
    <w:rsid w:val="00CB2BF4"/>
    <w:rsid w:val="00CB2E82"/>
    <w:rsid w:val="00CB2F8F"/>
    <w:rsid w:val="00CB30C9"/>
    <w:rsid w:val="00CB30F1"/>
    <w:rsid w:val="00CB339D"/>
    <w:rsid w:val="00CB3589"/>
    <w:rsid w:val="00CB37DE"/>
    <w:rsid w:val="00CB381D"/>
    <w:rsid w:val="00CB3A01"/>
    <w:rsid w:val="00CB3A27"/>
    <w:rsid w:val="00CB3CE6"/>
    <w:rsid w:val="00CB415B"/>
    <w:rsid w:val="00CB4176"/>
    <w:rsid w:val="00CB4181"/>
    <w:rsid w:val="00CB41C5"/>
    <w:rsid w:val="00CB4229"/>
    <w:rsid w:val="00CB4250"/>
    <w:rsid w:val="00CB4260"/>
    <w:rsid w:val="00CB42D2"/>
    <w:rsid w:val="00CB43D1"/>
    <w:rsid w:val="00CB4686"/>
    <w:rsid w:val="00CB4734"/>
    <w:rsid w:val="00CB49B3"/>
    <w:rsid w:val="00CB49F8"/>
    <w:rsid w:val="00CB4C36"/>
    <w:rsid w:val="00CB4CA0"/>
    <w:rsid w:val="00CB4D19"/>
    <w:rsid w:val="00CB4E16"/>
    <w:rsid w:val="00CB4F44"/>
    <w:rsid w:val="00CB5000"/>
    <w:rsid w:val="00CB50E9"/>
    <w:rsid w:val="00CB51CA"/>
    <w:rsid w:val="00CB532B"/>
    <w:rsid w:val="00CB5356"/>
    <w:rsid w:val="00CB5365"/>
    <w:rsid w:val="00CB5384"/>
    <w:rsid w:val="00CB53E0"/>
    <w:rsid w:val="00CB540B"/>
    <w:rsid w:val="00CB549B"/>
    <w:rsid w:val="00CB55E6"/>
    <w:rsid w:val="00CB5698"/>
    <w:rsid w:val="00CB575E"/>
    <w:rsid w:val="00CB59EA"/>
    <w:rsid w:val="00CB5A32"/>
    <w:rsid w:val="00CB5D24"/>
    <w:rsid w:val="00CB5D32"/>
    <w:rsid w:val="00CB5E31"/>
    <w:rsid w:val="00CB5EE6"/>
    <w:rsid w:val="00CB5F41"/>
    <w:rsid w:val="00CB5FEB"/>
    <w:rsid w:val="00CB6190"/>
    <w:rsid w:val="00CB6311"/>
    <w:rsid w:val="00CB6324"/>
    <w:rsid w:val="00CB6370"/>
    <w:rsid w:val="00CB65D9"/>
    <w:rsid w:val="00CB65DB"/>
    <w:rsid w:val="00CB690F"/>
    <w:rsid w:val="00CB69B5"/>
    <w:rsid w:val="00CB6B25"/>
    <w:rsid w:val="00CB6C63"/>
    <w:rsid w:val="00CB6C7C"/>
    <w:rsid w:val="00CB6CED"/>
    <w:rsid w:val="00CB6EF8"/>
    <w:rsid w:val="00CB6F4C"/>
    <w:rsid w:val="00CB6FDA"/>
    <w:rsid w:val="00CB6FDB"/>
    <w:rsid w:val="00CB7190"/>
    <w:rsid w:val="00CB72B0"/>
    <w:rsid w:val="00CB72E4"/>
    <w:rsid w:val="00CB73DB"/>
    <w:rsid w:val="00CB747F"/>
    <w:rsid w:val="00CB76F5"/>
    <w:rsid w:val="00CB787C"/>
    <w:rsid w:val="00CB7931"/>
    <w:rsid w:val="00CB79ED"/>
    <w:rsid w:val="00CB7A38"/>
    <w:rsid w:val="00CB7A75"/>
    <w:rsid w:val="00CB7B4A"/>
    <w:rsid w:val="00CB7CF8"/>
    <w:rsid w:val="00CB7D76"/>
    <w:rsid w:val="00CB7D92"/>
    <w:rsid w:val="00CB7FFC"/>
    <w:rsid w:val="00CC006C"/>
    <w:rsid w:val="00CC0087"/>
    <w:rsid w:val="00CC00FC"/>
    <w:rsid w:val="00CC011A"/>
    <w:rsid w:val="00CC051E"/>
    <w:rsid w:val="00CC05BF"/>
    <w:rsid w:val="00CC0622"/>
    <w:rsid w:val="00CC0885"/>
    <w:rsid w:val="00CC0CA1"/>
    <w:rsid w:val="00CC0E56"/>
    <w:rsid w:val="00CC0F12"/>
    <w:rsid w:val="00CC1023"/>
    <w:rsid w:val="00CC1338"/>
    <w:rsid w:val="00CC13BA"/>
    <w:rsid w:val="00CC13BE"/>
    <w:rsid w:val="00CC147C"/>
    <w:rsid w:val="00CC1485"/>
    <w:rsid w:val="00CC15BE"/>
    <w:rsid w:val="00CC15ED"/>
    <w:rsid w:val="00CC184E"/>
    <w:rsid w:val="00CC1AFE"/>
    <w:rsid w:val="00CC1F65"/>
    <w:rsid w:val="00CC1FAB"/>
    <w:rsid w:val="00CC207B"/>
    <w:rsid w:val="00CC2230"/>
    <w:rsid w:val="00CC224D"/>
    <w:rsid w:val="00CC22A4"/>
    <w:rsid w:val="00CC22DA"/>
    <w:rsid w:val="00CC2333"/>
    <w:rsid w:val="00CC233E"/>
    <w:rsid w:val="00CC28F8"/>
    <w:rsid w:val="00CC295B"/>
    <w:rsid w:val="00CC29B2"/>
    <w:rsid w:val="00CC2AC0"/>
    <w:rsid w:val="00CC2CBA"/>
    <w:rsid w:val="00CC2DD0"/>
    <w:rsid w:val="00CC3063"/>
    <w:rsid w:val="00CC323E"/>
    <w:rsid w:val="00CC3265"/>
    <w:rsid w:val="00CC3373"/>
    <w:rsid w:val="00CC33A0"/>
    <w:rsid w:val="00CC3463"/>
    <w:rsid w:val="00CC35BB"/>
    <w:rsid w:val="00CC363C"/>
    <w:rsid w:val="00CC36EF"/>
    <w:rsid w:val="00CC37DD"/>
    <w:rsid w:val="00CC3971"/>
    <w:rsid w:val="00CC39A3"/>
    <w:rsid w:val="00CC3A04"/>
    <w:rsid w:val="00CC3AB3"/>
    <w:rsid w:val="00CC3C65"/>
    <w:rsid w:val="00CC3DE7"/>
    <w:rsid w:val="00CC3EE7"/>
    <w:rsid w:val="00CC3F8A"/>
    <w:rsid w:val="00CC40B4"/>
    <w:rsid w:val="00CC40E5"/>
    <w:rsid w:val="00CC42F7"/>
    <w:rsid w:val="00CC4425"/>
    <w:rsid w:val="00CC444E"/>
    <w:rsid w:val="00CC444F"/>
    <w:rsid w:val="00CC44F6"/>
    <w:rsid w:val="00CC45B6"/>
    <w:rsid w:val="00CC4673"/>
    <w:rsid w:val="00CC475C"/>
    <w:rsid w:val="00CC48CA"/>
    <w:rsid w:val="00CC4C86"/>
    <w:rsid w:val="00CC4C9B"/>
    <w:rsid w:val="00CC4D7B"/>
    <w:rsid w:val="00CC4E3C"/>
    <w:rsid w:val="00CC4FBF"/>
    <w:rsid w:val="00CC50F8"/>
    <w:rsid w:val="00CC5242"/>
    <w:rsid w:val="00CC526B"/>
    <w:rsid w:val="00CC526E"/>
    <w:rsid w:val="00CC52FA"/>
    <w:rsid w:val="00CC551B"/>
    <w:rsid w:val="00CC5547"/>
    <w:rsid w:val="00CC569C"/>
    <w:rsid w:val="00CC5727"/>
    <w:rsid w:val="00CC57D7"/>
    <w:rsid w:val="00CC5825"/>
    <w:rsid w:val="00CC5892"/>
    <w:rsid w:val="00CC5987"/>
    <w:rsid w:val="00CC5A2F"/>
    <w:rsid w:val="00CC5B03"/>
    <w:rsid w:val="00CC5DAD"/>
    <w:rsid w:val="00CC5F7B"/>
    <w:rsid w:val="00CC5FAC"/>
    <w:rsid w:val="00CC6070"/>
    <w:rsid w:val="00CC608F"/>
    <w:rsid w:val="00CC6320"/>
    <w:rsid w:val="00CC649D"/>
    <w:rsid w:val="00CC679B"/>
    <w:rsid w:val="00CC67A6"/>
    <w:rsid w:val="00CC69A0"/>
    <w:rsid w:val="00CC6A94"/>
    <w:rsid w:val="00CC6B78"/>
    <w:rsid w:val="00CC6CD1"/>
    <w:rsid w:val="00CC6D2E"/>
    <w:rsid w:val="00CC6E7A"/>
    <w:rsid w:val="00CC6E94"/>
    <w:rsid w:val="00CC6FA1"/>
    <w:rsid w:val="00CC7070"/>
    <w:rsid w:val="00CC7300"/>
    <w:rsid w:val="00CC7320"/>
    <w:rsid w:val="00CC7321"/>
    <w:rsid w:val="00CC746C"/>
    <w:rsid w:val="00CC782F"/>
    <w:rsid w:val="00CC7AFB"/>
    <w:rsid w:val="00CC7B1B"/>
    <w:rsid w:val="00CC7BA3"/>
    <w:rsid w:val="00CC7BC5"/>
    <w:rsid w:val="00CC7F90"/>
    <w:rsid w:val="00CD00CC"/>
    <w:rsid w:val="00CD012A"/>
    <w:rsid w:val="00CD02EF"/>
    <w:rsid w:val="00CD04C1"/>
    <w:rsid w:val="00CD058C"/>
    <w:rsid w:val="00CD05A2"/>
    <w:rsid w:val="00CD06CE"/>
    <w:rsid w:val="00CD0747"/>
    <w:rsid w:val="00CD081A"/>
    <w:rsid w:val="00CD087F"/>
    <w:rsid w:val="00CD0AE9"/>
    <w:rsid w:val="00CD104F"/>
    <w:rsid w:val="00CD1113"/>
    <w:rsid w:val="00CD118D"/>
    <w:rsid w:val="00CD125A"/>
    <w:rsid w:val="00CD139A"/>
    <w:rsid w:val="00CD139E"/>
    <w:rsid w:val="00CD15CC"/>
    <w:rsid w:val="00CD1666"/>
    <w:rsid w:val="00CD17CA"/>
    <w:rsid w:val="00CD193F"/>
    <w:rsid w:val="00CD1A83"/>
    <w:rsid w:val="00CD1B02"/>
    <w:rsid w:val="00CD1B37"/>
    <w:rsid w:val="00CD1BD3"/>
    <w:rsid w:val="00CD1DA9"/>
    <w:rsid w:val="00CD1DB5"/>
    <w:rsid w:val="00CD1E79"/>
    <w:rsid w:val="00CD1F88"/>
    <w:rsid w:val="00CD221D"/>
    <w:rsid w:val="00CD22EF"/>
    <w:rsid w:val="00CD2316"/>
    <w:rsid w:val="00CD2452"/>
    <w:rsid w:val="00CD2481"/>
    <w:rsid w:val="00CD290B"/>
    <w:rsid w:val="00CD2969"/>
    <w:rsid w:val="00CD29A8"/>
    <w:rsid w:val="00CD2A3C"/>
    <w:rsid w:val="00CD2AD3"/>
    <w:rsid w:val="00CD2B95"/>
    <w:rsid w:val="00CD2E7F"/>
    <w:rsid w:val="00CD3016"/>
    <w:rsid w:val="00CD31BC"/>
    <w:rsid w:val="00CD31C3"/>
    <w:rsid w:val="00CD31F9"/>
    <w:rsid w:val="00CD32E2"/>
    <w:rsid w:val="00CD3383"/>
    <w:rsid w:val="00CD34A9"/>
    <w:rsid w:val="00CD3759"/>
    <w:rsid w:val="00CD37B5"/>
    <w:rsid w:val="00CD3835"/>
    <w:rsid w:val="00CD39BB"/>
    <w:rsid w:val="00CD3A88"/>
    <w:rsid w:val="00CD3BDA"/>
    <w:rsid w:val="00CD3F21"/>
    <w:rsid w:val="00CD4150"/>
    <w:rsid w:val="00CD416B"/>
    <w:rsid w:val="00CD417B"/>
    <w:rsid w:val="00CD4191"/>
    <w:rsid w:val="00CD42C0"/>
    <w:rsid w:val="00CD43BC"/>
    <w:rsid w:val="00CD43C1"/>
    <w:rsid w:val="00CD44BE"/>
    <w:rsid w:val="00CD44E7"/>
    <w:rsid w:val="00CD4600"/>
    <w:rsid w:val="00CD4854"/>
    <w:rsid w:val="00CD4A22"/>
    <w:rsid w:val="00CD4C1E"/>
    <w:rsid w:val="00CD4DBE"/>
    <w:rsid w:val="00CD4FD1"/>
    <w:rsid w:val="00CD4FFD"/>
    <w:rsid w:val="00CD5060"/>
    <w:rsid w:val="00CD5095"/>
    <w:rsid w:val="00CD50D2"/>
    <w:rsid w:val="00CD51CD"/>
    <w:rsid w:val="00CD52C1"/>
    <w:rsid w:val="00CD55BE"/>
    <w:rsid w:val="00CD5606"/>
    <w:rsid w:val="00CD5735"/>
    <w:rsid w:val="00CD57A4"/>
    <w:rsid w:val="00CD5815"/>
    <w:rsid w:val="00CD59FC"/>
    <w:rsid w:val="00CD5B0E"/>
    <w:rsid w:val="00CD5C2C"/>
    <w:rsid w:val="00CD5CED"/>
    <w:rsid w:val="00CD5D5C"/>
    <w:rsid w:val="00CD5DAA"/>
    <w:rsid w:val="00CD5E33"/>
    <w:rsid w:val="00CD5F53"/>
    <w:rsid w:val="00CD61BC"/>
    <w:rsid w:val="00CD63FF"/>
    <w:rsid w:val="00CD642F"/>
    <w:rsid w:val="00CD6445"/>
    <w:rsid w:val="00CD6586"/>
    <w:rsid w:val="00CD68B8"/>
    <w:rsid w:val="00CD68D5"/>
    <w:rsid w:val="00CD68FF"/>
    <w:rsid w:val="00CD6A23"/>
    <w:rsid w:val="00CD6AB7"/>
    <w:rsid w:val="00CD6BA9"/>
    <w:rsid w:val="00CD6C1D"/>
    <w:rsid w:val="00CD6E4C"/>
    <w:rsid w:val="00CD6FC4"/>
    <w:rsid w:val="00CD7207"/>
    <w:rsid w:val="00CD7209"/>
    <w:rsid w:val="00CD724A"/>
    <w:rsid w:val="00CD74B3"/>
    <w:rsid w:val="00CD7527"/>
    <w:rsid w:val="00CD7969"/>
    <w:rsid w:val="00CD7987"/>
    <w:rsid w:val="00CD7A71"/>
    <w:rsid w:val="00CD7CBD"/>
    <w:rsid w:val="00CD7CF2"/>
    <w:rsid w:val="00CD7D8F"/>
    <w:rsid w:val="00CD7E69"/>
    <w:rsid w:val="00CD7FE6"/>
    <w:rsid w:val="00CE0159"/>
    <w:rsid w:val="00CE028B"/>
    <w:rsid w:val="00CE03B4"/>
    <w:rsid w:val="00CE03EC"/>
    <w:rsid w:val="00CE0403"/>
    <w:rsid w:val="00CE0597"/>
    <w:rsid w:val="00CE065A"/>
    <w:rsid w:val="00CE06FE"/>
    <w:rsid w:val="00CE0734"/>
    <w:rsid w:val="00CE0802"/>
    <w:rsid w:val="00CE08A4"/>
    <w:rsid w:val="00CE0954"/>
    <w:rsid w:val="00CE0BE1"/>
    <w:rsid w:val="00CE0C12"/>
    <w:rsid w:val="00CE0CE4"/>
    <w:rsid w:val="00CE0D37"/>
    <w:rsid w:val="00CE0DB6"/>
    <w:rsid w:val="00CE0FE7"/>
    <w:rsid w:val="00CE115A"/>
    <w:rsid w:val="00CE11EF"/>
    <w:rsid w:val="00CE1217"/>
    <w:rsid w:val="00CE1287"/>
    <w:rsid w:val="00CE1366"/>
    <w:rsid w:val="00CE137A"/>
    <w:rsid w:val="00CE148A"/>
    <w:rsid w:val="00CE174F"/>
    <w:rsid w:val="00CE1799"/>
    <w:rsid w:val="00CE18F9"/>
    <w:rsid w:val="00CE1989"/>
    <w:rsid w:val="00CE1B80"/>
    <w:rsid w:val="00CE1C4F"/>
    <w:rsid w:val="00CE1EFA"/>
    <w:rsid w:val="00CE1F4A"/>
    <w:rsid w:val="00CE2091"/>
    <w:rsid w:val="00CE21CE"/>
    <w:rsid w:val="00CE23E2"/>
    <w:rsid w:val="00CE251B"/>
    <w:rsid w:val="00CE2585"/>
    <w:rsid w:val="00CE25DA"/>
    <w:rsid w:val="00CE2635"/>
    <w:rsid w:val="00CE290A"/>
    <w:rsid w:val="00CE2913"/>
    <w:rsid w:val="00CE2986"/>
    <w:rsid w:val="00CE2A70"/>
    <w:rsid w:val="00CE2ABA"/>
    <w:rsid w:val="00CE2B89"/>
    <w:rsid w:val="00CE2BDE"/>
    <w:rsid w:val="00CE2CEE"/>
    <w:rsid w:val="00CE2DAD"/>
    <w:rsid w:val="00CE2E06"/>
    <w:rsid w:val="00CE2E6D"/>
    <w:rsid w:val="00CE301C"/>
    <w:rsid w:val="00CE3096"/>
    <w:rsid w:val="00CE32C1"/>
    <w:rsid w:val="00CE3492"/>
    <w:rsid w:val="00CE34BF"/>
    <w:rsid w:val="00CE350B"/>
    <w:rsid w:val="00CE3663"/>
    <w:rsid w:val="00CE3A14"/>
    <w:rsid w:val="00CE3DCF"/>
    <w:rsid w:val="00CE4020"/>
    <w:rsid w:val="00CE4197"/>
    <w:rsid w:val="00CE4198"/>
    <w:rsid w:val="00CE4283"/>
    <w:rsid w:val="00CE42B3"/>
    <w:rsid w:val="00CE43BD"/>
    <w:rsid w:val="00CE4420"/>
    <w:rsid w:val="00CE44C5"/>
    <w:rsid w:val="00CE4517"/>
    <w:rsid w:val="00CE4592"/>
    <w:rsid w:val="00CE46A3"/>
    <w:rsid w:val="00CE46E5"/>
    <w:rsid w:val="00CE4785"/>
    <w:rsid w:val="00CE490D"/>
    <w:rsid w:val="00CE4BFD"/>
    <w:rsid w:val="00CE524B"/>
    <w:rsid w:val="00CE5627"/>
    <w:rsid w:val="00CE56FE"/>
    <w:rsid w:val="00CE5786"/>
    <w:rsid w:val="00CE5875"/>
    <w:rsid w:val="00CE5BCC"/>
    <w:rsid w:val="00CE5C0A"/>
    <w:rsid w:val="00CE5D8B"/>
    <w:rsid w:val="00CE5F92"/>
    <w:rsid w:val="00CE5FC7"/>
    <w:rsid w:val="00CE6004"/>
    <w:rsid w:val="00CE6081"/>
    <w:rsid w:val="00CE61D8"/>
    <w:rsid w:val="00CE6723"/>
    <w:rsid w:val="00CE6815"/>
    <w:rsid w:val="00CE68B2"/>
    <w:rsid w:val="00CE68DA"/>
    <w:rsid w:val="00CE6A8C"/>
    <w:rsid w:val="00CE6A90"/>
    <w:rsid w:val="00CE6B2D"/>
    <w:rsid w:val="00CE6CAA"/>
    <w:rsid w:val="00CE6CB3"/>
    <w:rsid w:val="00CE6E12"/>
    <w:rsid w:val="00CE6E8E"/>
    <w:rsid w:val="00CE6EBB"/>
    <w:rsid w:val="00CE70FF"/>
    <w:rsid w:val="00CE721A"/>
    <w:rsid w:val="00CE72F6"/>
    <w:rsid w:val="00CE7401"/>
    <w:rsid w:val="00CE74B0"/>
    <w:rsid w:val="00CE753F"/>
    <w:rsid w:val="00CE7657"/>
    <w:rsid w:val="00CE7893"/>
    <w:rsid w:val="00CE7967"/>
    <w:rsid w:val="00CE79E3"/>
    <w:rsid w:val="00CE7A25"/>
    <w:rsid w:val="00CE7A66"/>
    <w:rsid w:val="00CE7AB0"/>
    <w:rsid w:val="00CE7B3C"/>
    <w:rsid w:val="00CE7C79"/>
    <w:rsid w:val="00CE7C7A"/>
    <w:rsid w:val="00CE7CCD"/>
    <w:rsid w:val="00CE7D7B"/>
    <w:rsid w:val="00CE7DF5"/>
    <w:rsid w:val="00CE7E31"/>
    <w:rsid w:val="00CE7F2F"/>
    <w:rsid w:val="00CE7F48"/>
    <w:rsid w:val="00CF0041"/>
    <w:rsid w:val="00CF0137"/>
    <w:rsid w:val="00CF0535"/>
    <w:rsid w:val="00CF0554"/>
    <w:rsid w:val="00CF0605"/>
    <w:rsid w:val="00CF060D"/>
    <w:rsid w:val="00CF085A"/>
    <w:rsid w:val="00CF0C7B"/>
    <w:rsid w:val="00CF0F31"/>
    <w:rsid w:val="00CF0F4C"/>
    <w:rsid w:val="00CF1037"/>
    <w:rsid w:val="00CF11D5"/>
    <w:rsid w:val="00CF1261"/>
    <w:rsid w:val="00CF14D7"/>
    <w:rsid w:val="00CF1508"/>
    <w:rsid w:val="00CF160E"/>
    <w:rsid w:val="00CF16DA"/>
    <w:rsid w:val="00CF16E9"/>
    <w:rsid w:val="00CF17A7"/>
    <w:rsid w:val="00CF185A"/>
    <w:rsid w:val="00CF1970"/>
    <w:rsid w:val="00CF1C8D"/>
    <w:rsid w:val="00CF1D3E"/>
    <w:rsid w:val="00CF1E97"/>
    <w:rsid w:val="00CF20FB"/>
    <w:rsid w:val="00CF21C0"/>
    <w:rsid w:val="00CF2409"/>
    <w:rsid w:val="00CF25FA"/>
    <w:rsid w:val="00CF26F6"/>
    <w:rsid w:val="00CF2917"/>
    <w:rsid w:val="00CF2BFC"/>
    <w:rsid w:val="00CF2BFE"/>
    <w:rsid w:val="00CF2C9B"/>
    <w:rsid w:val="00CF2D34"/>
    <w:rsid w:val="00CF2EED"/>
    <w:rsid w:val="00CF2EF9"/>
    <w:rsid w:val="00CF2F60"/>
    <w:rsid w:val="00CF3026"/>
    <w:rsid w:val="00CF3083"/>
    <w:rsid w:val="00CF321A"/>
    <w:rsid w:val="00CF331E"/>
    <w:rsid w:val="00CF33ED"/>
    <w:rsid w:val="00CF3420"/>
    <w:rsid w:val="00CF3620"/>
    <w:rsid w:val="00CF3744"/>
    <w:rsid w:val="00CF384B"/>
    <w:rsid w:val="00CF38D3"/>
    <w:rsid w:val="00CF3B57"/>
    <w:rsid w:val="00CF3B9E"/>
    <w:rsid w:val="00CF3BFB"/>
    <w:rsid w:val="00CF3CA7"/>
    <w:rsid w:val="00CF3D00"/>
    <w:rsid w:val="00CF3DF4"/>
    <w:rsid w:val="00CF3DFC"/>
    <w:rsid w:val="00CF3E17"/>
    <w:rsid w:val="00CF3E80"/>
    <w:rsid w:val="00CF3F1F"/>
    <w:rsid w:val="00CF4015"/>
    <w:rsid w:val="00CF43F7"/>
    <w:rsid w:val="00CF4434"/>
    <w:rsid w:val="00CF45EE"/>
    <w:rsid w:val="00CF46E5"/>
    <w:rsid w:val="00CF4BE1"/>
    <w:rsid w:val="00CF4C1F"/>
    <w:rsid w:val="00CF5182"/>
    <w:rsid w:val="00CF539A"/>
    <w:rsid w:val="00CF53FD"/>
    <w:rsid w:val="00CF545E"/>
    <w:rsid w:val="00CF548D"/>
    <w:rsid w:val="00CF54EC"/>
    <w:rsid w:val="00CF5558"/>
    <w:rsid w:val="00CF566F"/>
    <w:rsid w:val="00CF5739"/>
    <w:rsid w:val="00CF5B54"/>
    <w:rsid w:val="00CF5CB7"/>
    <w:rsid w:val="00CF5EDC"/>
    <w:rsid w:val="00CF604E"/>
    <w:rsid w:val="00CF6050"/>
    <w:rsid w:val="00CF6203"/>
    <w:rsid w:val="00CF6363"/>
    <w:rsid w:val="00CF6377"/>
    <w:rsid w:val="00CF6605"/>
    <w:rsid w:val="00CF66A8"/>
    <w:rsid w:val="00CF66ED"/>
    <w:rsid w:val="00CF67A3"/>
    <w:rsid w:val="00CF67C6"/>
    <w:rsid w:val="00CF67D7"/>
    <w:rsid w:val="00CF6C82"/>
    <w:rsid w:val="00CF6C8A"/>
    <w:rsid w:val="00CF6CF4"/>
    <w:rsid w:val="00CF6DDC"/>
    <w:rsid w:val="00CF6DE3"/>
    <w:rsid w:val="00CF6E49"/>
    <w:rsid w:val="00CF6ECC"/>
    <w:rsid w:val="00CF72AA"/>
    <w:rsid w:val="00CF736A"/>
    <w:rsid w:val="00CF74BA"/>
    <w:rsid w:val="00CF75EB"/>
    <w:rsid w:val="00CF7634"/>
    <w:rsid w:val="00CF7669"/>
    <w:rsid w:val="00CF76F2"/>
    <w:rsid w:val="00CF7756"/>
    <w:rsid w:val="00CF79B6"/>
    <w:rsid w:val="00CF7A81"/>
    <w:rsid w:val="00CF7B04"/>
    <w:rsid w:val="00CF7B3C"/>
    <w:rsid w:val="00CF7BD3"/>
    <w:rsid w:val="00CF7CC9"/>
    <w:rsid w:val="00CF7D63"/>
    <w:rsid w:val="00D00160"/>
    <w:rsid w:val="00D003EE"/>
    <w:rsid w:val="00D004EA"/>
    <w:rsid w:val="00D00503"/>
    <w:rsid w:val="00D0066A"/>
    <w:rsid w:val="00D006CE"/>
    <w:rsid w:val="00D00852"/>
    <w:rsid w:val="00D00884"/>
    <w:rsid w:val="00D00AE4"/>
    <w:rsid w:val="00D00B6F"/>
    <w:rsid w:val="00D00B89"/>
    <w:rsid w:val="00D00BDD"/>
    <w:rsid w:val="00D00D95"/>
    <w:rsid w:val="00D00ECF"/>
    <w:rsid w:val="00D00EE8"/>
    <w:rsid w:val="00D00EF8"/>
    <w:rsid w:val="00D00F63"/>
    <w:rsid w:val="00D00FDA"/>
    <w:rsid w:val="00D01187"/>
    <w:rsid w:val="00D012A2"/>
    <w:rsid w:val="00D01462"/>
    <w:rsid w:val="00D01571"/>
    <w:rsid w:val="00D015DF"/>
    <w:rsid w:val="00D016A3"/>
    <w:rsid w:val="00D016C4"/>
    <w:rsid w:val="00D016E4"/>
    <w:rsid w:val="00D01C50"/>
    <w:rsid w:val="00D01CB1"/>
    <w:rsid w:val="00D01D51"/>
    <w:rsid w:val="00D01E5D"/>
    <w:rsid w:val="00D0216A"/>
    <w:rsid w:val="00D022C9"/>
    <w:rsid w:val="00D0253A"/>
    <w:rsid w:val="00D025A6"/>
    <w:rsid w:val="00D026A8"/>
    <w:rsid w:val="00D02781"/>
    <w:rsid w:val="00D02793"/>
    <w:rsid w:val="00D0288B"/>
    <w:rsid w:val="00D028FD"/>
    <w:rsid w:val="00D0294D"/>
    <w:rsid w:val="00D02B8A"/>
    <w:rsid w:val="00D02BCC"/>
    <w:rsid w:val="00D02C9A"/>
    <w:rsid w:val="00D031BD"/>
    <w:rsid w:val="00D0339A"/>
    <w:rsid w:val="00D03449"/>
    <w:rsid w:val="00D03475"/>
    <w:rsid w:val="00D03B40"/>
    <w:rsid w:val="00D03B96"/>
    <w:rsid w:val="00D03CAE"/>
    <w:rsid w:val="00D03DA4"/>
    <w:rsid w:val="00D03DBB"/>
    <w:rsid w:val="00D03E57"/>
    <w:rsid w:val="00D04039"/>
    <w:rsid w:val="00D040AB"/>
    <w:rsid w:val="00D0412D"/>
    <w:rsid w:val="00D041F1"/>
    <w:rsid w:val="00D04CA2"/>
    <w:rsid w:val="00D04F2B"/>
    <w:rsid w:val="00D04F68"/>
    <w:rsid w:val="00D05123"/>
    <w:rsid w:val="00D051CB"/>
    <w:rsid w:val="00D052A5"/>
    <w:rsid w:val="00D0556A"/>
    <w:rsid w:val="00D05655"/>
    <w:rsid w:val="00D05810"/>
    <w:rsid w:val="00D05CCE"/>
    <w:rsid w:val="00D05DF1"/>
    <w:rsid w:val="00D0601E"/>
    <w:rsid w:val="00D06277"/>
    <w:rsid w:val="00D062F6"/>
    <w:rsid w:val="00D063A3"/>
    <w:rsid w:val="00D06437"/>
    <w:rsid w:val="00D064EB"/>
    <w:rsid w:val="00D066B3"/>
    <w:rsid w:val="00D06919"/>
    <w:rsid w:val="00D069FF"/>
    <w:rsid w:val="00D06AE0"/>
    <w:rsid w:val="00D06B6A"/>
    <w:rsid w:val="00D06DA9"/>
    <w:rsid w:val="00D06DBC"/>
    <w:rsid w:val="00D06F38"/>
    <w:rsid w:val="00D06FB3"/>
    <w:rsid w:val="00D071EF"/>
    <w:rsid w:val="00D07217"/>
    <w:rsid w:val="00D07369"/>
    <w:rsid w:val="00D075A3"/>
    <w:rsid w:val="00D07670"/>
    <w:rsid w:val="00D077F6"/>
    <w:rsid w:val="00D078E1"/>
    <w:rsid w:val="00D07A0E"/>
    <w:rsid w:val="00D07AFB"/>
    <w:rsid w:val="00D07B55"/>
    <w:rsid w:val="00D07CEF"/>
    <w:rsid w:val="00D07F84"/>
    <w:rsid w:val="00D10016"/>
    <w:rsid w:val="00D1004F"/>
    <w:rsid w:val="00D101F6"/>
    <w:rsid w:val="00D1026B"/>
    <w:rsid w:val="00D10577"/>
    <w:rsid w:val="00D105F5"/>
    <w:rsid w:val="00D10668"/>
    <w:rsid w:val="00D106E9"/>
    <w:rsid w:val="00D1075A"/>
    <w:rsid w:val="00D1099C"/>
    <w:rsid w:val="00D10A1F"/>
    <w:rsid w:val="00D10B07"/>
    <w:rsid w:val="00D10C4B"/>
    <w:rsid w:val="00D10DF4"/>
    <w:rsid w:val="00D1114B"/>
    <w:rsid w:val="00D1119C"/>
    <w:rsid w:val="00D111A7"/>
    <w:rsid w:val="00D111EA"/>
    <w:rsid w:val="00D117C3"/>
    <w:rsid w:val="00D11979"/>
    <w:rsid w:val="00D11B92"/>
    <w:rsid w:val="00D11C56"/>
    <w:rsid w:val="00D11CFF"/>
    <w:rsid w:val="00D120AF"/>
    <w:rsid w:val="00D120FA"/>
    <w:rsid w:val="00D121A4"/>
    <w:rsid w:val="00D1228C"/>
    <w:rsid w:val="00D12324"/>
    <w:rsid w:val="00D1255E"/>
    <w:rsid w:val="00D125B0"/>
    <w:rsid w:val="00D125EC"/>
    <w:rsid w:val="00D12611"/>
    <w:rsid w:val="00D12638"/>
    <w:rsid w:val="00D12693"/>
    <w:rsid w:val="00D1280A"/>
    <w:rsid w:val="00D12876"/>
    <w:rsid w:val="00D128AB"/>
    <w:rsid w:val="00D12A8B"/>
    <w:rsid w:val="00D12C29"/>
    <w:rsid w:val="00D12D1C"/>
    <w:rsid w:val="00D12F86"/>
    <w:rsid w:val="00D13065"/>
    <w:rsid w:val="00D130A6"/>
    <w:rsid w:val="00D130E5"/>
    <w:rsid w:val="00D131D5"/>
    <w:rsid w:val="00D134CB"/>
    <w:rsid w:val="00D135F0"/>
    <w:rsid w:val="00D13678"/>
    <w:rsid w:val="00D136BC"/>
    <w:rsid w:val="00D136E8"/>
    <w:rsid w:val="00D1396A"/>
    <w:rsid w:val="00D13A45"/>
    <w:rsid w:val="00D13B26"/>
    <w:rsid w:val="00D13C7C"/>
    <w:rsid w:val="00D13EEC"/>
    <w:rsid w:val="00D13FD1"/>
    <w:rsid w:val="00D14355"/>
    <w:rsid w:val="00D14688"/>
    <w:rsid w:val="00D149F7"/>
    <w:rsid w:val="00D14BEB"/>
    <w:rsid w:val="00D14C1F"/>
    <w:rsid w:val="00D14E05"/>
    <w:rsid w:val="00D14E10"/>
    <w:rsid w:val="00D14E77"/>
    <w:rsid w:val="00D14FF3"/>
    <w:rsid w:val="00D15061"/>
    <w:rsid w:val="00D150A5"/>
    <w:rsid w:val="00D15100"/>
    <w:rsid w:val="00D1514B"/>
    <w:rsid w:val="00D15367"/>
    <w:rsid w:val="00D15475"/>
    <w:rsid w:val="00D154E9"/>
    <w:rsid w:val="00D15565"/>
    <w:rsid w:val="00D155D2"/>
    <w:rsid w:val="00D15932"/>
    <w:rsid w:val="00D15B32"/>
    <w:rsid w:val="00D15BE4"/>
    <w:rsid w:val="00D15D2D"/>
    <w:rsid w:val="00D15D5A"/>
    <w:rsid w:val="00D15E1F"/>
    <w:rsid w:val="00D1602A"/>
    <w:rsid w:val="00D16044"/>
    <w:rsid w:val="00D16463"/>
    <w:rsid w:val="00D166A9"/>
    <w:rsid w:val="00D16B83"/>
    <w:rsid w:val="00D16D77"/>
    <w:rsid w:val="00D16DEF"/>
    <w:rsid w:val="00D16E76"/>
    <w:rsid w:val="00D16FC8"/>
    <w:rsid w:val="00D170CF"/>
    <w:rsid w:val="00D17109"/>
    <w:rsid w:val="00D1714B"/>
    <w:rsid w:val="00D17403"/>
    <w:rsid w:val="00D17440"/>
    <w:rsid w:val="00D1783A"/>
    <w:rsid w:val="00D17AF9"/>
    <w:rsid w:val="00D17B1B"/>
    <w:rsid w:val="00D17B3A"/>
    <w:rsid w:val="00D17C19"/>
    <w:rsid w:val="00D17C93"/>
    <w:rsid w:val="00D20105"/>
    <w:rsid w:val="00D201CC"/>
    <w:rsid w:val="00D201FA"/>
    <w:rsid w:val="00D201FF"/>
    <w:rsid w:val="00D20275"/>
    <w:rsid w:val="00D203BB"/>
    <w:rsid w:val="00D20727"/>
    <w:rsid w:val="00D20791"/>
    <w:rsid w:val="00D20981"/>
    <w:rsid w:val="00D209DE"/>
    <w:rsid w:val="00D20A00"/>
    <w:rsid w:val="00D20A51"/>
    <w:rsid w:val="00D20ACD"/>
    <w:rsid w:val="00D20AEE"/>
    <w:rsid w:val="00D20B8E"/>
    <w:rsid w:val="00D20BC4"/>
    <w:rsid w:val="00D20C13"/>
    <w:rsid w:val="00D20C3E"/>
    <w:rsid w:val="00D20E29"/>
    <w:rsid w:val="00D20EC3"/>
    <w:rsid w:val="00D21092"/>
    <w:rsid w:val="00D210F2"/>
    <w:rsid w:val="00D213C5"/>
    <w:rsid w:val="00D21538"/>
    <w:rsid w:val="00D216EE"/>
    <w:rsid w:val="00D21828"/>
    <w:rsid w:val="00D21A4E"/>
    <w:rsid w:val="00D21F04"/>
    <w:rsid w:val="00D21FA4"/>
    <w:rsid w:val="00D2222B"/>
    <w:rsid w:val="00D2233F"/>
    <w:rsid w:val="00D2238A"/>
    <w:rsid w:val="00D2262A"/>
    <w:rsid w:val="00D227B3"/>
    <w:rsid w:val="00D22BCA"/>
    <w:rsid w:val="00D22BF8"/>
    <w:rsid w:val="00D22D01"/>
    <w:rsid w:val="00D22D20"/>
    <w:rsid w:val="00D22DD1"/>
    <w:rsid w:val="00D235E7"/>
    <w:rsid w:val="00D23886"/>
    <w:rsid w:val="00D2392E"/>
    <w:rsid w:val="00D23C43"/>
    <w:rsid w:val="00D23D45"/>
    <w:rsid w:val="00D23FAF"/>
    <w:rsid w:val="00D2406C"/>
    <w:rsid w:val="00D24117"/>
    <w:rsid w:val="00D241A1"/>
    <w:rsid w:val="00D241E7"/>
    <w:rsid w:val="00D2421B"/>
    <w:rsid w:val="00D24323"/>
    <w:rsid w:val="00D24432"/>
    <w:rsid w:val="00D244FA"/>
    <w:rsid w:val="00D246C1"/>
    <w:rsid w:val="00D2488A"/>
    <w:rsid w:val="00D24C07"/>
    <w:rsid w:val="00D24D3F"/>
    <w:rsid w:val="00D24E76"/>
    <w:rsid w:val="00D24E86"/>
    <w:rsid w:val="00D24ED4"/>
    <w:rsid w:val="00D24F5F"/>
    <w:rsid w:val="00D24FA2"/>
    <w:rsid w:val="00D2500D"/>
    <w:rsid w:val="00D2502C"/>
    <w:rsid w:val="00D25107"/>
    <w:rsid w:val="00D25113"/>
    <w:rsid w:val="00D2516E"/>
    <w:rsid w:val="00D257AC"/>
    <w:rsid w:val="00D2580F"/>
    <w:rsid w:val="00D259DA"/>
    <w:rsid w:val="00D25A71"/>
    <w:rsid w:val="00D25B9C"/>
    <w:rsid w:val="00D25D53"/>
    <w:rsid w:val="00D25DC4"/>
    <w:rsid w:val="00D25DE2"/>
    <w:rsid w:val="00D26036"/>
    <w:rsid w:val="00D26204"/>
    <w:rsid w:val="00D262BE"/>
    <w:rsid w:val="00D2635B"/>
    <w:rsid w:val="00D26655"/>
    <w:rsid w:val="00D267FE"/>
    <w:rsid w:val="00D26853"/>
    <w:rsid w:val="00D26A77"/>
    <w:rsid w:val="00D26B98"/>
    <w:rsid w:val="00D26BF5"/>
    <w:rsid w:val="00D26C7E"/>
    <w:rsid w:val="00D26CD2"/>
    <w:rsid w:val="00D26CFC"/>
    <w:rsid w:val="00D26FCA"/>
    <w:rsid w:val="00D27122"/>
    <w:rsid w:val="00D273E9"/>
    <w:rsid w:val="00D2746D"/>
    <w:rsid w:val="00D27541"/>
    <w:rsid w:val="00D277ED"/>
    <w:rsid w:val="00D27824"/>
    <w:rsid w:val="00D278B8"/>
    <w:rsid w:val="00D27D0A"/>
    <w:rsid w:val="00D27EE5"/>
    <w:rsid w:val="00D27F08"/>
    <w:rsid w:val="00D30066"/>
    <w:rsid w:val="00D30276"/>
    <w:rsid w:val="00D30378"/>
    <w:rsid w:val="00D303CC"/>
    <w:rsid w:val="00D303F5"/>
    <w:rsid w:val="00D30428"/>
    <w:rsid w:val="00D30519"/>
    <w:rsid w:val="00D3051B"/>
    <w:rsid w:val="00D305A4"/>
    <w:rsid w:val="00D30630"/>
    <w:rsid w:val="00D306A5"/>
    <w:rsid w:val="00D309A5"/>
    <w:rsid w:val="00D30A76"/>
    <w:rsid w:val="00D30A7A"/>
    <w:rsid w:val="00D30E71"/>
    <w:rsid w:val="00D31048"/>
    <w:rsid w:val="00D310B6"/>
    <w:rsid w:val="00D310CC"/>
    <w:rsid w:val="00D31529"/>
    <w:rsid w:val="00D31551"/>
    <w:rsid w:val="00D31552"/>
    <w:rsid w:val="00D3165E"/>
    <w:rsid w:val="00D316B7"/>
    <w:rsid w:val="00D31892"/>
    <w:rsid w:val="00D31B46"/>
    <w:rsid w:val="00D31CA0"/>
    <w:rsid w:val="00D31ED5"/>
    <w:rsid w:val="00D31FFE"/>
    <w:rsid w:val="00D320A3"/>
    <w:rsid w:val="00D32216"/>
    <w:rsid w:val="00D32276"/>
    <w:rsid w:val="00D32339"/>
    <w:rsid w:val="00D32347"/>
    <w:rsid w:val="00D32813"/>
    <w:rsid w:val="00D328C3"/>
    <w:rsid w:val="00D3290A"/>
    <w:rsid w:val="00D32944"/>
    <w:rsid w:val="00D32B11"/>
    <w:rsid w:val="00D32BB9"/>
    <w:rsid w:val="00D32C15"/>
    <w:rsid w:val="00D32C2E"/>
    <w:rsid w:val="00D32CA6"/>
    <w:rsid w:val="00D32D3E"/>
    <w:rsid w:val="00D32E00"/>
    <w:rsid w:val="00D32E50"/>
    <w:rsid w:val="00D33008"/>
    <w:rsid w:val="00D33096"/>
    <w:rsid w:val="00D33175"/>
    <w:rsid w:val="00D331A8"/>
    <w:rsid w:val="00D33248"/>
    <w:rsid w:val="00D33296"/>
    <w:rsid w:val="00D333AA"/>
    <w:rsid w:val="00D33534"/>
    <w:rsid w:val="00D335CA"/>
    <w:rsid w:val="00D336AC"/>
    <w:rsid w:val="00D33719"/>
    <w:rsid w:val="00D33943"/>
    <w:rsid w:val="00D33AFA"/>
    <w:rsid w:val="00D33D2E"/>
    <w:rsid w:val="00D33D55"/>
    <w:rsid w:val="00D33DF4"/>
    <w:rsid w:val="00D33F0C"/>
    <w:rsid w:val="00D34124"/>
    <w:rsid w:val="00D34307"/>
    <w:rsid w:val="00D34470"/>
    <w:rsid w:val="00D34A26"/>
    <w:rsid w:val="00D34B48"/>
    <w:rsid w:val="00D34DCB"/>
    <w:rsid w:val="00D34F73"/>
    <w:rsid w:val="00D35009"/>
    <w:rsid w:val="00D3526F"/>
    <w:rsid w:val="00D3529F"/>
    <w:rsid w:val="00D352E3"/>
    <w:rsid w:val="00D35428"/>
    <w:rsid w:val="00D354FE"/>
    <w:rsid w:val="00D356C6"/>
    <w:rsid w:val="00D357F7"/>
    <w:rsid w:val="00D35855"/>
    <w:rsid w:val="00D35917"/>
    <w:rsid w:val="00D3595D"/>
    <w:rsid w:val="00D359C9"/>
    <w:rsid w:val="00D35A27"/>
    <w:rsid w:val="00D35C7B"/>
    <w:rsid w:val="00D35DD3"/>
    <w:rsid w:val="00D35F2B"/>
    <w:rsid w:val="00D361CE"/>
    <w:rsid w:val="00D361D4"/>
    <w:rsid w:val="00D36612"/>
    <w:rsid w:val="00D367E3"/>
    <w:rsid w:val="00D36973"/>
    <w:rsid w:val="00D36AF6"/>
    <w:rsid w:val="00D36BF6"/>
    <w:rsid w:val="00D36D64"/>
    <w:rsid w:val="00D36E79"/>
    <w:rsid w:val="00D36F7B"/>
    <w:rsid w:val="00D3715D"/>
    <w:rsid w:val="00D3717A"/>
    <w:rsid w:val="00D3763F"/>
    <w:rsid w:val="00D37650"/>
    <w:rsid w:val="00D3776A"/>
    <w:rsid w:val="00D377A0"/>
    <w:rsid w:val="00D37873"/>
    <w:rsid w:val="00D3792E"/>
    <w:rsid w:val="00D3792F"/>
    <w:rsid w:val="00D379D5"/>
    <w:rsid w:val="00D37B65"/>
    <w:rsid w:val="00D37DD8"/>
    <w:rsid w:val="00D37DF8"/>
    <w:rsid w:val="00D40115"/>
    <w:rsid w:val="00D4029B"/>
    <w:rsid w:val="00D403F3"/>
    <w:rsid w:val="00D4047A"/>
    <w:rsid w:val="00D404D4"/>
    <w:rsid w:val="00D405B9"/>
    <w:rsid w:val="00D406BD"/>
    <w:rsid w:val="00D40882"/>
    <w:rsid w:val="00D408CA"/>
    <w:rsid w:val="00D408D0"/>
    <w:rsid w:val="00D409BF"/>
    <w:rsid w:val="00D40A4B"/>
    <w:rsid w:val="00D40B84"/>
    <w:rsid w:val="00D40BD9"/>
    <w:rsid w:val="00D40BEC"/>
    <w:rsid w:val="00D40F64"/>
    <w:rsid w:val="00D41083"/>
    <w:rsid w:val="00D41109"/>
    <w:rsid w:val="00D41316"/>
    <w:rsid w:val="00D4136E"/>
    <w:rsid w:val="00D414BA"/>
    <w:rsid w:val="00D4163E"/>
    <w:rsid w:val="00D4167F"/>
    <w:rsid w:val="00D4168A"/>
    <w:rsid w:val="00D41695"/>
    <w:rsid w:val="00D4169B"/>
    <w:rsid w:val="00D41894"/>
    <w:rsid w:val="00D418D2"/>
    <w:rsid w:val="00D4194B"/>
    <w:rsid w:val="00D419F5"/>
    <w:rsid w:val="00D41C48"/>
    <w:rsid w:val="00D41E48"/>
    <w:rsid w:val="00D41E86"/>
    <w:rsid w:val="00D42008"/>
    <w:rsid w:val="00D4201D"/>
    <w:rsid w:val="00D42117"/>
    <w:rsid w:val="00D42135"/>
    <w:rsid w:val="00D42214"/>
    <w:rsid w:val="00D425DD"/>
    <w:rsid w:val="00D425F0"/>
    <w:rsid w:val="00D4279C"/>
    <w:rsid w:val="00D427AF"/>
    <w:rsid w:val="00D429BB"/>
    <w:rsid w:val="00D42A4F"/>
    <w:rsid w:val="00D42ADB"/>
    <w:rsid w:val="00D42E02"/>
    <w:rsid w:val="00D4328D"/>
    <w:rsid w:val="00D4334D"/>
    <w:rsid w:val="00D433DF"/>
    <w:rsid w:val="00D433FB"/>
    <w:rsid w:val="00D43676"/>
    <w:rsid w:val="00D436BA"/>
    <w:rsid w:val="00D439F6"/>
    <w:rsid w:val="00D43AB7"/>
    <w:rsid w:val="00D43AF4"/>
    <w:rsid w:val="00D43D8A"/>
    <w:rsid w:val="00D43DD3"/>
    <w:rsid w:val="00D43E46"/>
    <w:rsid w:val="00D43E90"/>
    <w:rsid w:val="00D43F6D"/>
    <w:rsid w:val="00D43FCD"/>
    <w:rsid w:val="00D440DB"/>
    <w:rsid w:val="00D442F7"/>
    <w:rsid w:val="00D44360"/>
    <w:rsid w:val="00D44531"/>
    <w:rsid w:val="00D447B3"/>
    <w:rsid w:val="00D44AC8"/>
    <w:rsid w:val="00D44ADB"/>
    <w:rsid w:val="00D44B40"/>
    <w:rsid w:val="00D44B65"/>
    <w:rsid w:val="00D44C6C"/>
    <w:rsid w:val="00D44D0A"/>
    <w:rsid w:val="00D44F30"/>
    <w:rsid w:val="00D44F66"/>
    <w:rsid w:val="00D44F6D"/>
    <w:rsid w:val="00D44FBB"/>
    <w:rsid w:val="00D4506C"/>
    <w:rsid w:val="00D45114"/>
    <w:rsid w:val="00D451DA"/>
    <w:rsid w:val="00D4540C"/>
    <w:rsid w:val="00D45417"/>
    <w:rsid w:val="00D45491"/>
    <w:rsid w:val="00D45498"/>
    <w:rsid w:val="00D454AC"/>
    <w:rsid w:val="00D4552B"/>
    <w:rsid w:val="00D4557A"/>
    <w:rsid w:val="00D455D6"/>
    <w:rsid w:val="00D455F6"/>
    <w:rsid w:val="00D458C2"/>
    <w:rsid w:val="00D458CC"/>
    <w:rsid w:val="00D45A00"/>
    <w:rsid w:val="00D45A03"/>
    <w:rsid w:val="00D45E6A"/>
    <w:rsid w:val="00D45FB1"/>
    <w:rsid w:val="00D45FCD"/>
    <w:rsid w:val="00D46017"/>
    <w:rsid w:val="00D46238"/>
    <w:rsid w:val="00D46384"/>
    <w:rsid w:val="00D463E5"/>
    <w:rsid w:val="00D465C2"/>
    <w:rsid w:val="00D4674D"/>
    <w:rsid w:val="00D4675D"/>
    <w:rsid w:val="00D46825"/>
    <w:rsid w:val="00D46BCA"/>
    <w:rsid w:val="00D46C43"/>
    <w:rsid w:val="00D46D68"/>
    <w:rsid w:val="00D46E45"/>
    <w:rsid w:val="00D46EBB"/>
    <w:rsid w:val="00D47004"/>
    <w:rsid w:val="00D47140"/>
    <w:rsid w:val="00D47165"/>
    <w:rsid w:val="00D47230"/>
    <w:rsid w:val="00D47365"/>
    <w:rsid w:val="00D47461"/>
    <w:rsid w:val="00D474E1"/>
    <w:rsid w:val="00D4762B"/>
    <w:rsid w:val="00D4763D"/>
    <w:rsid w:val="00D477C6"/>
    <w:rsid w:val="00D4796F"/>
    <w:rsid w:val="00D47CA3"/>
    <w:rsid w:val="00D47CE3"/>
    <w:rsid w:val="00D47CFD"/>
    <w:rsid w:val="00D47F78"/>
    <w:rsid w:val="00D50304"/>
    <w:rsid w:val="00D5067C"/>
    <w:rsid w:val="00D506B5"/>
    <w:rsid w:val="00D506DE"/>
    <w:rsid w:val="00D507F2"/>
    <w:rsid w:val="00D50AF5"/>
    <w:rsid w:val="00D50C06"/>
    <w:rsid w:val="00D50D07"/>
    <w:rsid w:val="00D50E98"/>
    <w:rsid w:val="00D51130"/>
    <w:rsid w:val="00D51151"/>
    <w:rsid w:val="00D51382"/>
    <w:rsid w:val="00D513E8"/>
    <w:rsid w:val="00D51409"/>
    <w:rsid w:val="00D515DC"/>
    <w:rsid w:val="00D51655"/>
    <w:rsid w:val="00D51813"/>
    <w:rsid w:val="00D51859"/>
    <w:rsid w:val="00D518C9"/>
    <w:rsid w:val="00D51904"/>
    <w:rsid w:val="00D5194B"/>
    <w:rsid w:val="00D51AF9"/>
    <w:rsid w:val="00D51CB4"/>
    <w:rsid w:val="00D51F51"/>
    <w:rsid w:val="00D520ED"/>
    <w:rsid w:val="00D5220E"/>
    <w:rsid w:val="00D5223E"/>
    <w:rsid w:val="00D522B8"/>
    <w:rsid w:val="00D52464"/>
    <w:rsid w:val="00D525F9"/>
    <w:rsid w:val="00D526ED"/>
    <w:rsid w:val="00D52706"/>
    <w:rsid w:val="00D52882"/>
    <w:rsid w:val="00D52CE2"/>
    <w:rsid w:val="00D53247"/>
    <w:rsid w:val="00D53269"/>
    <w:rsid w:val="00D533F6"/>
    <w:rsid w:val="00D53692"/>
    <w:rsid w:val="00D536C4"/>
    <w:rsid w:val="00D53862"/>
    <w:rsid w:val="00D53994"/>
    <w:rsid w:val="00D53999"/>
    <w:rsid w:val="00D53AAF"/>
    <w:rsid w:val="00D53C1B"/>
    <w:rsid w:val="00D53CDB"/>
    <w:rsid w:val="00D53DB6"/>
    <w:rsid w:val="00D53E83"/>
    <w:rsid w:val="00D53ED9"/>
    <w:rsid w:val="00D53F2A"/>
    <w:rsid w:val="00D54170"/>
    <w:rsid w:val="00D542AF"/>
    <w:rsid w:val="00D543D1"/>
    <w:rsid w:val="00D54473"/>
    <w:rsid w:val="00D544A3"/>
    <w:rsid w:val="00D54557"/>
    <w:rsid w:val="00D547C1"/>
    <w:rsid w:val="00D5483C"/>
    <w:rsid w:val="00D54983"/>
    <w:rsid w:val="00D549CC"/>
    <w:rsid w:val="00D54A99"/>
    <w:rsid w:val="00D54ACF"/>
    <w:rsid w:val="00D54DCC"/>
    <w:rsid w:val="00D54F0C"/>
    <w:rsid w:val="00D54F90"/>
    <w:rsid w:val="00D54FE9"/>
    <w:rsid w:val="00D55023"/>
    <w:rsid w:val="00D550EE"/>
    <w:rsid w:val="00D55257"/>
    <w:rsid w:val="00D552DA"/>
    <w:rsid w:val="00D55511"/>
    <w:rsid w:val="00D556F3"/>
    <w:rsid w:val="00D5580C"/>
    <w:rsid w:val="00D55827"/>
    <w:rsid w:val="00D55841"/>
    <w:rsid w:val="00D55907"/>
    <w:rsid w:val="00D55BB5"/>
    <w:rsid w:val="00D55C4E"/>
    <w:rsid w:val="00D55C65"/>
    <w:rsid w:val="00D562B5"/>
    <w:rsid w:val="00D563A5"/>
    <w:rsid w:val="00D563E8"/>
    <w:rsid w:val="00D56457"/>
    <w:rsid w:val="00D56649"/>
    <w:rsid w:val="00D5666C"/>
    <w:rsid w:val="00D56707"/>
    <w:rsid w:val="00D56770"/>
    <w:rsid w:val="00D567DF"/>
    <w:rsid w:val="00D56803"/>
    <w:rsid w:val="00D56822"/>
    <w:rsid w:val="00D56A8C"/>
    <w:rsid w:val="00D56C29"/>
    <w:rsid w:val="00D56C50"/>
    <w:rsid w:val="00D56DFD"/>
    <w:rsid w:val="00D56EF5"/>
    <w:rsid w:val="00D570B6"/>
    <w:rsid w:val="00D57137"/>
    <w:rsid w:val="00D571D3"/>
    <w:rsid w:val="00D57264"/>
    <w:rsid w:val="00D57295"/>
    <w:rsid w:val="00D574C7"/>
    <w:rsid w:val="00D57681"/>
    <w:rsid w:val="00D57766"/>
    <w:rsid w:val="00D577F0"/>
    <w:rsid w:val="00D57A44"/>
    <w:rsid w:val="00D57AA6"/>
    <w:rsid w:val="00D57B04"/>
    <w:rsid w:val="00D57CDA"/>
    <w:rsid w:val="00D57DB8"/>
    <w:rsid w:val="00D57E0E"/>
    <w:rsid w:val="00D57FCF"/>
    <w:rsid w:val="00D6000A"/>
    <w:rsid w:val="00D60013"/>
    <w:rsid w:val="00D6008E"/>
    <w:rsid w:val="00D600C1"/>
    <w:rsid w:val="00D601F3"/>
    <w:rsid w:val="00D60368"/>
    <w:rsid w:val="00D6061B"/>
    <w:rsid w:val="00D60701"/>
    <w:rsid w:val="00D6084F"/>
    <w:rsid w:val="00D6097D"/>
    <w:rsid w:val="00D60A64"/>
    <w:rsid w:val="00D60C29"/>
    <w:rsid w:val="00D60D56"/>
    <w:rsid w:val="00D60FB1"/>
    <w:rsid w:val="00D61029"/>
    <w:rsid w:val="00D61040"/>
    <w:rsid w:val="00D61304"/>
    <w:rsid w:val="00D615A5"/>
    <w:rsid w:val="00D61831"/>
    <w:rsid w:val="00D6183F"/>
    <w:rsid w:val="00D61A89"/>
    <w:rsid w:val="00D61BCB"/>
    <w:rsid w:val="00D61C08"/>
    <w:rsid w:val="00D61C0E"/>
    <w:rsid w:val="00D61DE3"/>
    <w:rsid w:val="00D620C8"/>
    <w:rsid w:val="00D6239A"/>
    <w:rsid w:val="00D6260F"/>
    <w:rsid w:val="00D628B9"/>
    <w:rsid w:val="00D6297B"/>
    <w:rsid w:val="00D62A40"/>
    <w:rsid w:val="00D62B04"/>
    <w:rsid w:val="00D62D52"/>
    <w:rsid w:val="00D62E0E"/>
    <w:rsid w:val="00D6342C"/>
    <w:rsid w:val="00D6345F"/>
    <w:rsid w:val="00D63552"/>
    <w:rsid w:val="00D637BE"/>
    <w:rsid w:val="00D639A8"/>
    <w:rsid w:val="00D63BA5"/>
    <w:rsid w:val="00D63C86"/>
    <w:rsid w:val="00D63D34"/>
    <w:rsid w:val="00D63E5C"/>
    <w:rsid w:val="00D64082"/>
    <w:rsid w:val="00D640B7"/>
    <w:rsid w:val="00D64153"/>
    <w:rsid w:val="00D644ED"/>
    <w:rsid w:val="00D64B0C"/>
    <w:rsid w:val="00D64C34"/>
    <w:rsid w:val="00D64C66"/>
    <w:rsid w:val="00D64CFE"/>
    <w:rsid w:val="00D64FF2"/>
    <w:rsid w:val="00D6532D"/>
    <w:rsid w:val="00D654BF"/>
    <w:rsid w:val="00D656EA"/>
    <w:rsid w:val="00D65711"/>
    <w:rsid w:val="00D6598B"/>
    <w:rsid w:val="00D659BB"/>
    <w:rsid w:val="00D65A46"/>
    <w:rsid w:val="00D65BCA"/>
    <w:rsid w:val="00D65C7B"/>
    <w:rsid w:val="00D65DF5"/>
    <w:rsid w:val="00D65EF3"/>
    <w:rsid w:val="00D66155"/>
    <w:rsid w:val="00D66170"/>
    <w:rsid w:val="00D6622F"/>
    <w:rsid w:val="00D662C8"/>
    <w:rsid w:val="00D66543"/>
    <w:rsid w:val="00D6659D"/>
    <w:rsid w:val="00D665AE"/>
    <w:rsid w:val="00D668F4"/>
    <w:rsid w:val="00D66931"/>
    <w:rsid w:val="00D66987"/>
    <w:rsid w:val="00D66A9B"/>
    <w:rsid w:val="00D66BFF"/>
    <w:rsid w:val="00D66C90"/>
    <w:rsid w:val="00D66CBA"/>
    <w:rsid w:val="00D66D3C"/>
    <w:rsid w:val="00D673CB"/>
    <w:rsid w:val="00D67458"/>
    <w:rsid w:val="00D675D6"/>
    <w:rsid w:val="00D675FB"/>
    <w:rsid w:val="00D67761"/>
    <w:rsid w:val="00D67AD1"/>
    <w:rsid w:val="00D67D72"/>
    <w:rsid w:val="00D67F1D"/>
    <w:rsid w:val="00D67F7B"/>
    <w:rsid w:val="00D70844"/>
    <w:rsid w:val="00D70879"/>
    <w:rsid w:val="00D709C6"/>
    <w:rsid w:val="00D709D0"/>
    <w:rsid w:val="00D70A1F"/>
    <w:rsid w:val="00D70A87"/>
    <w:rsid w:val="00D70BDC"/>
    <w:rsid w:val="00D71028"/>
    <w:rsid w:val="00D71089"/>
    <w:rsid w:val="00D712D0"/>
    <w:rsid w:val="00D713EF"/>
    <w:rsid w:val="00D71416"/>
    <w:rsid w:val="00D71639"/>
    <w:rsid w:val="00D716E9"/>
    <w:rsid w:val="00D71724"/>
    <w:rsid w:val="00D71726"/>
    <w:rsid w:val="00D71774"/>
    <w:rsid w:val="00D717B6"/>
    <w:rsid w:val="00D7181C"/>
    <w:rsid w:val="00D718B0"/>
    <w:rsid w:val="00D719DC"/>
    <w:rsid w:val="00D71B6F"/>
    <w:rsid w:val="00D71F25"/>
    <w:rsid w:val="00D72031"/>
    <w:rsid w:val="00D72535"/>
    <w:rsid w:val="00D72586"/>
    <w:rsid w:val="00D726AE"/>
    <w:rsid w:val="00D7275B"/>
    <w:rsid w:val="00D7276A"/>
    <w:rsid w:val="00D7285A"/>
    <w:rsid w:val="00D72BC3"/>
    <w:rsid w:val="00D72CC2"/>
    <w:rsid w:val="00D72CCD"/>
    <w:rsid w:val="00D72E89"/>
    <w:rsid w:val="00D72FB3"/>
    <w:rsid w:val="00D73112"/>
    <w:rsid w:val="00D73356"/>
    <w:rsid w:val="00D736CB"/>
    <w:rsid w:val="00D7384E"/>
    <w:rsid w:val="00D73AF7"/>
    <w:rsid w:val="00D73BAA"/>
    <w:rsid w:val="00D73ED6"/>
    <w:rsid w:val="00D74117"/>
    <w:rsid w:val="00D741D6"/>
    <w:rsid w:val="00D742C2"/>
    <w:rsid w:val="00D743E8"/>
    <w:rsid w:val="00D7454C"/>
    <w:rsid w:val="00D74611"/>
    <w:rsid w:val="00D74686"/>
    <w:rsid w:val="00D74736"/>
    <w:rsid w:val="00D7477C"/>
    <w:rsid w:val="00D74814"/>
    <w:rsid w:val="00D74978"/>
    <w:rsid w:val="00D74980"/>
    <w:rsid w:val="00D74A52"/>
    <w:rsid w:val="00D74A6B"/>
    <w:rsid w:val="00D74CC9"/>
    <w:rsid w:val="00D74D64"/>
    <w:rsid w:val="00D74E63"/>
    <w:rsid w:val="00D75299"/>
    <w:rsid w:val="00D752AB"/>
    <w:rsid w:val="00D75300"/>
    <w:rsid w:val="00D75304"/>
    <w:rsid w:val="00D753F1"/>
    <w:rsid w:val="00D754B2"/>
    <w:rsid w:val="00D7593E"/>
    <w:rsid w:val="00D75A6E"/>
    <w:rsid w:val="00D75C59"/>
    <w:rsid w:val="00D75CFD"/>
    <w:rsid w:val="00D75D90"/>
    <w:rsid w:val="00D75D99"/>
    <w:rsid w:val="00D75DF3"/>
    <w:rsid w:val="00D75E38"/>
    <w:rsid w:val="00D75E7B"/>
    <w:rsid w:val="00D75E96"/>
    <w:rsid w:val="00D75F91"/>
    <w:rsid w:val="00D75FCA"/>
    <w:rsid w:val="00D76029"/>
    <w:rsid w:val="00D7606C"/>
    <w:rsid w:val="00D76129"/>
    <w:rsid w:val="00D76195"/>
    <w:rsid w:val="00D761F2"/>
    <w:rsid w:val="00D764F2"/>
    <w:rsid w:val="00D76548"/>
    <w:rsid w:val="00D765A2"/>
    <w:rsid w:val="00D769D9"/>
    <w:rsid w:val="00D76ADE"/>
    <w:rsid w:val="00D76D53"/>
    <w:rsid w:val="00D77025"/>
    <w:rsid w:val="00D7710E"/>
    <w:rsid w:val="00D771FC"/>
    <w:rsid w:val="00D77388"/>
    <w:rsid w:val="00D77422"/>
    <w:rsid w:val="00D7762A"/>
    <w:rsid w:val="00D77661"/>
    <w:rsid w:val="00D77723"/>
    <w:rsid w:val="00D7786D"/>
    <w:rsid w:val="00D77941"/>
    <w:rsid w:val="00D77A4E"/>
    <w:rsid w:val="00D77B54"/>
    <w:rsid w:val="00D77CE4"/>
    <w:rsid w:val="00D77E0E"/>
    <w:rsid w:val="00D77FF3"/>
    <w:rsid w:val="00D7923E"/>
    <w:rsid w:val="00D80052"/>
    <w:rsid w:val="00D801C1"/>
    <w:rsid w:val="00D8036F"/>
    <w:rsid w:val="00D80433"/>
    <w:rsid w:val="00D80473"/>
    <w:rsid w:val="00D804C8"/>
    <w:rsid w:val="00D8053D"/>
    <w:rsid w:val="00D80560"/>
    <w:rsid w:val="00D80685"/>
    <w:rsid w:val="00D808FD"/>
    <w:rsid w:val="00D80BD6"/>
    <w:rsid w:val="00D80C33"/>
    <w:rsid w:val="00D80E19"/>
    <w:rsid w:val="00D80F73"/>
    <w:rsid w:val="00D81060"/>
    <w:rsid w:val="00D81400"/>
    <w:rsid w:val="00D815FE"/>
    <w:rsid w:val="00D816B7"/>
    <w:rsid w:val="00D816D2"/>
    <w:rsid w:val="00D818A2"/>
    <w:rsid w:val="00D818A5"/>
    <w:rsid w:val="00D81911"/>
    <w:rsid w:val="00D81929"/>
    <w:rsid w:val="00D81997"/>
    <w:rsid w:val="00D81A67"/>
    <w:rsid w:val="00D81AC1"/>
    <w:rsid w:val="00D81B5E"/>
    <w:rsid w:val="00D81F0A"/>
    <w:rsid w:val="00D821C6"/>
    <w:rsid w:val="00D82296"/>
    <w:rsid w:val="00D82376"/>
    <w:rsid w:val="00D82471"/>
    <w:rsid w:val="00D82472"/>
    <w:rsid w:val="00D82653"/>
    <w:rsid w:val="00D827CC"/>
    <w:rsid w:val="00D827CF"/>
    <w:rsid w:val="00D827DB"/>
    <w:rsid w:val="00D8280A"/>
    <w:rsid w:val="00D828DE"/>
    <w:rsid w:val="00D829EA"/>
    <w:rsid w:val="00D82A78"/>
    <w:rsid w:val="00D82A87"/>
    <w:rsid w:val="00D82A8C"/>
    <w:rsid w:val="00D82CE1"/>
    <w:rsid w:val="00D82D60"/>
    <w:rsid w:val="00D82E35"/>
    <w:rsid w:val="00D82EE1"/>
    <w:rsid w:val="00D83132"/>
    <w:rsid w:val="00D832C9"/>
    <w:rsid w:val="00D832CF"/>
    <w:rsid w:val="00D8330C"/>
    <w:rsid w:val="00D8349C"/>
    <w:rsid w:val="00D836AD"/>
    <w:rsid w:val="00D8376A"/>
    <w:rsid w:val="00D83792"/>
    <w:rsid w:val="00D837CA"/>
    <w:rsid w:val="00D837EE"/>
    <w:rsid w:val="00D837FC"/>
    <w:rsid w:val="00D838C5"/>
    <w:rsid w:val="00D83A15"/>
    <w:rsid w:val="00D83B50"/>
    <w:rsid w:val="00D83C96"/>
    <w:rsid w:val="00D83CC9"/>
    <w:rsid w:val="00D83DC9"/>
    <w:rsid w:val="00D83DF2"/>
    <w:rsid w:val="00D83DFC"/>
    <w:rsid w:val="00D83EAF"/>
    <w:rsid w:val="00D83EED"/>
    <w:rsid w:val="00D83EFE"/>
    <w:rsid w:val="00D83F54"/>
    <w:rsid w:val="00D84268"/>
    <w:rsid w:val="00D845C1"/>
    <w:rsid w:val="00D84758"/>
    <w:rsid w:val="00D84885"/>
    <w:rsid w:val="00D8489F"/>
    <w:rsid w:val="00D84A47"/>
    <w:rsid w:val="00D84B4E"/>
    <w:rsid w:val="00D84D50"/>
    <w:rsid w:val="00D84E24"/>
    <w:rsid w:val="00D84EE5"/>
    <w:rsid w:val="00D854CA"/>
    <w:rsid w:val="00D857DD"/>
    <w:rsid w:val="00D857E6"/>
    <w:rsid w:val="00D85A1D"/>
    <w:rsid w:val="00D85A2C"/>
    <w:rsid w:val="00D85A47"/>
    <w:rsid w:val="00D85B70"/>
    <w:rsid w:val="00D85BDC"/>
    <w:rsid w:val="00D85C0C"/>
    <w:rsid w:val="00D85D3A"/>
    <w:rsid w:val="00D86474"/>
    <w:rsid w:val="00D8659A"/>
    <w:rsid w:val="00D865E6"/>
    <w:rsid w:val="00D86874"/>
    <w:rsid w:val="00D8687F"/>
    <w:rsid w:val="00D86A13"/>
    <w:rsid w:val="00D86A79"/>
    <w:rsid w:val="00D86AC7"/>
    <w:rsid w:val="00D86DE9"/>
    <w:rsid w:val="00D86E2C"/>
    <w:rsid w:val="00D86E9E"/>
    <w:rsid w:val="00D86F29"/>
    <w:rsid w:val="00D870EB"/>
    <w:rsid w:val="00D8711F"/>
    <w:rsid w:val="00D87525"/>
    <w:rsid w:val="00D875A6"/>
    <w:rsid w:val="00D87627"/>
    <w:rsid w:val="00D87660"/>
    <w:rsid w:val="00D8766B"/>
    <w:rsid w:val="00D8787E"/>
    <w:rsid w:val="00D87940"/>
    <w:rsid w:val="00D87964"/>
    <w:rsid w:val="00D87B68"/>
    <w:rsid w:val="00D87BD6"/>
    <w:rsid w:val="00D87C06"/>
    <w:rsid w:val="00D87C8E"/>
    <w:rsid w:val="00D87D0F"/>
    <w:rsid w:val="00D87DBB"/>
    <w:rsid w:val="00D87F98"/>
    <w:rsid w:val="00D87FFC"/>
    <w:rsid w:val="00D9010A"/>
    <w:rsid w:val="00D9017D"/>
    <w:rsid w:val="00D901AE"/>
    <w:rsid w:val="00D90236"/>
    <w:rsid w:val="00D90511"/>
    <w:rsid w:val="00D906E5"/>
    <w:rsid w:val="00D907A7"/>
    <w:rsid w:val="00D9085F"/>
    <w:rsid w:val="00D908C9"/>
    <w:rsid w:val="00D909D0"/>
    <w:rsid w:val="00D90A2D"/>
    <w:rsid w:val="00D90ACC"/>
    <w:rsid w:val="00D90B69"/>
    <w:rsid w:val="00D90BC0"/>
    <w:rsid w:val="00D90C7D"/>
    <w:rsid w:val="00D90D7E"/>
    <w:rsid w:val="00D90D8D"/>
    <w:rsid w:val="00D90E2E"/>
    <w:rsid w:val="00D90ED3"/>
    <w:rsid w:val="00D90F3C"/>
    <w:rsid w:val="00D91245"/>
    <w:rsid w:val="00D9126B"/>
    <w:rsid w:val="00D91298"/>
    <w:rsid w:val="00D913BD"/>
    <w:rsid w:val="00D916DE"/>
    <w:rsid w:val="00D91711"/>
    <w:rsid w:val="00D91788"/>
    <w:rsid w:val="00D917C2"/>
    <w:rsid w:val="00D91823"/>
    <w:rsid w:val="00D91839"/>
    <w:rsid w:val="00D91878"/>
    <w:rsid w:val="00D919D3"/>
    <w:rsid w:val="00D91BA5"/>
    <w:rsid w:val="00D91CD2"/>
    <w:rsid w:val="00D91CF3"/>
    <w:rsid w:val="00D91D7D"/>
    <w:rsid w:val="00D91EF9"/>
    <w:rsid w:val="00D91F6E"/>
    <w:rsid w:val="00D91F91"/>
    <w:rsid w:val="00D9204C"/>
    <w:rsid w:val="00D9211C"/>
    <w:rsid w:val="00D9215D"/>
    <w:rsid w:val="00D922CF"/>
    <w:rsid w:val="00D9239C"/>
    <w:rsid w:val="00D92447"/>
    <w:rsid w:val="00D92473"/>
    <w:rsid w:val="00D924F2"/>
    <w:rsid w:val="00D925C2"/>
    <w:rsid w:val="00D92625"/>
    <w:rsid w:val="00D92670"/>
    <w:rsid w:val="00D92718"/>
    <w:rsid w:val="00D927CB"/>
    <w:rsid w:val="00D92A0F"/>
    <w:rsid w:val="00D92CB3"/>
    <w:rsid w:val="00D92E88"/>
    <w:rsid w:val="00D92E92"/>
    <w:rsid w:val="00D92F08"/>
    <w:rsid w:val="00D92F5F"/>
    <w:rsid w:val="00D92F7D"/>
    <w:rsid w:val="00D92F92"/>
    <w:rsid w:val="00D92FF5"/>
    <w:rsid w:val="00D93282"/>
    <w:rsid w:val="00D9347B"/>
    <w:rsid w:val="00D936AB"/>
    <w:rsid w:val="00D936B3"/>
    <w:rsid w:val="00D9386D"/>
    <w:rsid w:val="00D93C2E"/>
    <w:rsid w:val="00D93D1A"/>
    <w:rsid w:val="00D93D2A"/>
    <w:rsid w:val="00D93D63"/>
    <w:rsid w:val="00D93DDD"/>
    <w:rsid w:val="00D93FC2"/>
    <w:rsid w:val="00D941A9"/>
    <w:rsid w:val="00D94479"/>
    <w:rsid w:val="00D944E0"/>
    <w:rsid w:val="00D94508"/>
    <w:rsid w:val="00D94563"/>
    <w:rsid w:val="00D946D9"/>
    <w:rsid w:val="00D94731"/>
    <w:rsid w:val="00D94841"/>
    <w:rsid w:val="00D94A92"/>
    <w:rsid w:val="00D94BD1"/>
    <w:rsid w:val="00D94C13"/>
    <w:rsid w:val="00D94C35"/>
    <w:rsid w:val="00D94E79"/>
    <w:rsid w:val="00D94F2C"/>
    <w:rsid w:val="00D94FCE"/>
    <w:rsid w:val="00D95227"/>
    <w:rsid w:val="00D9523E"/>
    <w:rsid w:val="00D95266"/>
    <w:rsid w:val="00D952AD"/>
    <w:rsid w:val="00D952CF"/>
    <w:rsid w:val="00D9550C"/>
    <w:rsid w:val="00D955AE"/>
    <w:rsid w:val="00D958BD"/>
    <w:rsid w:val="00D95A91"/>
    <w:rsid w:val="00D95BB0"/>
    <w:rsid w:val="00D95D14"/>
    <w:rsid w:val="00D95E2F"/>
    <w:rsid w:val="00D95F06"/>
    <w:rsid w:val="00D960EE"/>
    <w:rsid w:val="00D96232"/>
    <w:rsid w:val="00D962DE"/>
    <w:rsid w:val="00D96545"/>
    <w:rsid w:val="00D96574"/>
    <w:rsid w:val="00D96586"/>
    <w:rsid w:val="00D965CE"/>
    <w:rsid w:val="00D9666C"/>
    <w:rsid w:val="00D96717"/>
    <w:rsid w:val="00D969F6"/>
    <w:rsid w:val="00D96AC8"/>
    <w:rsid w:val="00D96BB6"/>
    <w:rsid w:val="00D96DF5"/>
    <w:rsid w:val="00D96E6E"/>
    <w:rsid w:val="00D970A3"/>
    <w:rsid w:val="00D97217"/>
    <w:rsid w:val="00D97288"/>
    <w:rsid w:val="00D97335"/>
    <w:rsid w:val="00D97398"/>
    <w:rsid w:val="00D973F9"/>
    <w:rsid w:val="00D97435"/>
    <w:rsid w:val="00D9774B"/>
    <w:rsid w:val="00D978A1"/>
    <w:rsid w:val="00D979E2"/>
    <w:rsid w:val="00D97CA6"/>
    <w:rsid w:val="00D97CAE"/>
    <w:rsid w:val="00D97D35"/>
    <w:rsid w:val="00D97D59"/>
    <w:rsid w:val="00D97DD6"/>
    <w:rsid w:val="00D97F80"/>
    <w:rsid w:val="00D97F84"/>
    <w:rsid w:val="00D9A233"/>
    <w:rsid w:val="00DA00A7"/>
    <w:rsid w:val="00DA0132"/>
    <w:rsid w:val="00DA0139"/>
    <w:rsid w:val="00DA019A"/>
    <w:rsid w:val="00DA01DD"/>
    <w:rsid w:val="00DA02EF"/>
    <w:rsid w:val="00DA0357"/>
    <w:rsid w:val="00DA0380"/>
    <w:rsid w:val="00DA0395"/>
    <w:rsid w:val="00DA03EB"/>
    <w:rsid w:val="00DA04BD"/>
    <w:rsid w:val="00DA069A"/>
    <w:rsid w:val="00DA0810"/>
    <w:rsid w:val="00DA09DB"/>
    <w:rsid w:val="00DA0BE3"/>
    <w:rsid w:val="00DA0D77"/>
    <w:rsid w:val="00DA0EE1"/>
    <w:rsid w:val="00DA0F01"/>
    <w:rsid w:val="00DA10B5"/>
    <w:rsid w:val="00DA146E"/>
    <w:rsid w:val="00DA14BF"/>
    <w:rsid w:val="00DA164C"/>
    <w:rsid w:val="00DA1710"/>
    <w:rsid w:val="00DA1A47"/>
    <w:rsid w:val="00DA1A6A"/>
    <w:rsid w:val="00DA1C47"/>
    <w:rsid w:val="00DA1DC5"/>
    <w:rsid w:val="00DA1E5E"/>
    <w:rsid w:val="00DA2119"/>
    <w:rsid w:val="00DA21C2"/>
    <w:rsid w:val="00DA2300"/>
    <w:rsid w:val="00DA2483"/>
    <w:rsid w:val="00DA2485"/>
    <w:rsid w:val="00DA2658"/>
    <w:rsid w:val="00DA2758"/>
    <w:rsid w:val="00DA27FB"/>
    <w:rsid w:val="00DA2884"/>
    <w:rsid w:val="00DA29C0"/>
    <w:rsid w:val="00DA29C2"/>
    <w:rsid w:val="00DA2A2F"/>
    <w:rsid w:val="00DA2B2F"/>
    <w:rsid w:val="00DA2C42"/>
    <w:rsid w:val="00DA2F4F"/>
    <w:rsid w:val="00DA3053"/>
    <w:rsid w:val="00DA31D0"/>
    <w:rsid w:val="00DA3239"/>
    <w:rsid w:val="00DA3286"/>
    <w:rsid w:val="00DA33FD"/>
    <w:rsid w:val="00DA3711"/>
    <w:rsid w:val="00DA381C"/>
    <w:rsid w:val="00DA393F"/>
    <w:rsid w:val="00DA396D"/>
    <w:rsid w:val="00DA3A3C"/>
    <w:rsid w:val="00DA3B41"/>
    <w:rsid w:val="00DA3BD9"/>
    <w:rsid w:val="00DA4305"/>
    <w:rsid w:val="00DA43CF"/>
    <w:rsid w:val="00DA4545"/>
    <w:rsid w:val="00DA4768"/>
    <w:rsid w:val="00DA4792"/>
    <w:rsid w:val="00DA4809"/>
    <w:rsid w:val="00DA4863"/>
    <w:rsid w:val="00DA4967"/>
    <w:rsid w:val="00DA4968"/>
    <w:rsid w:val="00DA4B30"/>
    <w:rsid w:val="00DA4BB0"/>
    <w:rsid w:val="00DA4C09"/>
    <w:rsid w:val="00DA4C1C"/>
    <w:rsid w:val="00DA4C4B"/>
    <w:rsid w:val="00DA4C8A"/>
    <w:rsid w:val="00DA5017"/>
    <w:rsid w:val="00DA50E0"/>
    <w:rsid w:val="00DA52D2"/>
    <w:rsid w:val="00DA532A"/>
    <w:rsid w:val="00DA53F2"/>
    <w:rsid w:val="00DA5482"/>
    <w:rsid w:val="00DA54EF"/>
    <w:rsid w:val="00DA55A8"/>
    <w:rsid w:val="00DA58CB"/>
    <w:rsid w:val="00DA5C5C"/>
    <w:rsid w:val="00DA60FD"/>
    <w:rsid w:val="00DA6200"/>
    <w:rsid w:val="00DA6216"/>
    <w:rsid w:val="00DA6591"/>
    <w:rsid w:val="00DA6649"/>
    <w:rsid w:val="00DA67C3"/>
    <w:rsid w:val="00DA68B8"/>
    <w:rsid w:val="00DA6915"/>
    <w:rsid w:val="00DA6C37"/>
    <w:rsid w:val="00DA6C7A"/>
    <w:rsid w:val="00DA6C81"/>
    <w:rsid w:val="00DA6D29"/>
    <w:rsid w:val="00DA6D2F"/>
    <w:rsid w:val="00DA6DA3"/>
    <w:rsid w:val="00DA6DCE"/>
    <w:rsid w:val="00DA6DCF"/>
    <w:rsid w:val="00DA6DE5"/>
    <w:rsid w:val="00DA6E19"/>
    <w:rsid w:val="00DA6F3D"/>
    <w:rsid w:val="00DA714D"/>
    <w:rsid w:val="00DA71B0"/>
    <w:rsid w:val="00DA73C3"/>
    <w:rsid w:val="00DA7609"/>
    <w:rsid w:val="00DA7670"/>
    <w:rsid w:val="00DA7B1E"/>
    <w:rsid w:val="00DA7CBE"/>
    <w:rsid w:val="00DA7DFD"/>
    <w:rsid w:val="00DA7E98"/>
    <w:rsid w:val="00DA7FC2"/>
    <w:rsid w:val="00DB0024"/>
    <w:rsid w:val="00DB004A"/>
    <w:rsid w:val="00DB023A"/>
    <w:rsid w:val="00DB02C1"/>
    <w:rsid w:val="00DB0336"/>
    <w:rsid w:val="00DB036B"/>
    <w:rsid w:val="00DB03B1"/>
    <w:rsid w:val="00DB0623"/>
    <w:rsid w:val="00DB0680"/>
    <w:rsid w:val="00DB070C"/>
    <w:rsid w:val="00DB0722"/>
    <w:rsid w:val="00DB080F"/>
    <w:rsid w:val="00DB083F"/>
    <w:rsid w:val="00DB0877"/>
    <w:rsid w:val="00DB0884"/>
    <w:rsid w:val="00DB08CC"/>
    <w:rsid w:val="00DB0915"/>
    <w:rsid w:val="00DB0D8D"/>
    <w:rsid w:val="00DB0DE7"/>
    <w:rsid w:val="00DB1007"/>
    <w:rsid w:val="00DB1018"/>
    <w:rsid w:val="00DB11EB"/>
    <w:rsid w:val="00DB125F"/>
    <w:rsid w:val="00DB131B"/>
    <w:rsid w:val="00DB13B4"/>
    <w:rsid w:val="00DB1416"/>
    <w:rsid w:val="00DB1470"/>
    <w:rsid w:val="00DB14AB"/>
    <w:rsid w:val="00DB16CA"/>
    <w:rsid w:val="00DB16D4"/>
    <w:rsid w:val="00DB17E5"/>
    <w:rsid w:val="00DB188F"/>
    <w:rsid w:val="00DB18A7"/>
    <w:rsid w:val="00DB18E3"/>
    <w:rsid w:val="00DB1C9B"/>
    <w:rsid w:val="00DB2006"/>
    <w:rsid w:val="00DB22B4"/>
    <w:rsid w:val="00DB2354"/>
    <w:rsid w:val="00DB255D"/>
    <w:rsid w:val="00DB261F"/>
    <w:rsid w:val="00DB2756"/>
    <w:rsid w:val="00DB289D"/>
    <w:rsid w:val="00DB28C4"/>
    <w:rsid w:val="00DB29C3"/>
    <w:rsid w:val="00DB29EC"/>
    <w:rsid w:val="00DB2B94"/>
    <w:rsid w:val="00DB2D34"/>
    <w:rsid w:val="00DB336F"/>
    <w:rsid w:val="00DB3564"/>
    <w:rsid w:val="00DB357E"/>
    <w:rsid w:val="00DB35CD"/>
    <w:rsid w:val="00DB378B"/>
    <w:rsid w:val="00DB387D"/>
    <w:rsid w:val="00DB38FF"/>
    <w:rsid w:val="00DB39F8"/>
    <w:rsid w:val="00DB3BAA"/>
    <w:rsid w:val="00DB3CE4"/>
    <w:rsid w:val="00DB4112"/>
    <w:rsid w:val="00DB41B7"/>
    <w:rsid w:val="00DB4327"/>
    <w:rsid w:val="00DB4621"/>
    <w:rsid w:val="00DB4823"/>
    <w:rsid w:val="00DB48C2"/>
    <w:rsid w:val="00DB4913"/>
    <w:rsid w:val="00DB4EC4"/>
    <w:rsid w:val="00DB4EFD"/>
    <w:rsid w:val="00DB50D3"/>
    <w:rsid w:val="00DB5100"/>
    <w:rsid w:val="00DB529B"/>
    <w:rsid w:val="00DB52A9"/>
    <w:rsid w:val="00DB565A"/>
    <w:rsid w:val="00DB569E"/>
    <w:rsid w:val="00DB5906"/>
    <w:rsid w:val="00DB59A8"/>
    <w:rsid w:val="00DB5B5C"/>
    <w:rsid w:val="00DB5BBB"/>
    <w:rsid w:val="00DB5C7A"/>
    <w:rsid w:val="00DB5DDA"/>
    <w:rsid w:val="00DB5DEC"/>
    <w:rsid w:val="00DB5E99"/>
    <w:rsid w:val="00DB5FA5"/>
    <w:rsid w:val="00DB60CF"/>
    <w:rsid w:val="00DB612A"/>
    <w:rsid w:val="00DB6140"/>
    <w:rsid w:val="00DB619C"/>
    <w:rsid w:val="00DB61C8"/>
    <w:rsid w:val="00DB62B8"/>
    <w:rsid w:val="00DB6808"/>
    <w:rsid w:val="00DB6B21"/>
    <w:rsid w:val="00DB6E29"/>
    <w:rsid w:val="00DB6F10"/>
    <w:rsid w:val="00DB7033"/>
    <w:rsid w:val="00DB7048"/>
    <w:rsid w:val="00DB7171"/>
    <w:rsid w:val="00DB71EF"/>
    <w:rsid w:val="00DB74E1"/>
    <w:rsid w:val="00DB762A"/>
    <w:rsid w:val="00DB78FF"/>
    <w:rsid w:val="00DB79D2"/>
    <w:rsid w:val="00DB7A49"/>
    <w:rsid w:val="00DB7A9A"/>
    <w:rsid w:val="00DB7BC3"/>
    <w:rsid w:val="00DB7C71"/>
    <w:rsid w:val="00DB7D0E"/>
    <w:rsid w:val="00DB7D68"/>
    <w:rsid w:val="00DB7D8A"/>
    <w:rsid w:val="00DB7E0D"/>
    <w:rsid w:val="00DC0146"/>
    <w:rsid w:val="00DC0178"/>
    <w:rsid w:val="00DC028B"/>
    <w:rsid w:val="00DC0354"/>
    <w:rsid w:val="00DC0767"/>
    <w:rsid w:val="00DC077E"/>
    <w:rsid w:val="00DC0879"/>
    <w:rsid w:val="00DC0A29"/>
    <w:rsid w:val="00DC0CB9"/>
    <w:rsid w:val="00DC0E06"/>
    <w:rsid w:val="00DC0EF1"/>
    <w:rsid w:val="00DC0F78"/>
    <w:rsid w:val="00DC0FC5"/>
    <w:rsid w:val="00DC1007"/>
    <w:rsid w:val="00DC12AC"/>
    <w:rsid w:val="00DC13CD"/>
    <w:rsid w:val="00DC14A4"/>
    <w:rsid w:val="00DC1825"/>
    <w:rsid w:val="00DC1CDA"/>
    <w:rsid w:val="00DC1D97"/>
    <w:rsid w:val="00DC1ECC"/>
    <w:rsid w:val="00DC1F3C"/>
    <w:rsid w:val="00DC1F54"/>
    <w:rsid w:val="00DC1F7C"/>
    <w:rsid w:val="00DC20E0"/>
    <w:rsid w:val="00DC222B"/>
    <w:rsid w:val="00DC25FB"/>
    <w:rsid w:val="00DC2669"/>
    <w:rsid w:val="00DC26B7"/>
    <w:rsid w:val="00DC2714"/>
    <w:rsid w:val="00DC2749"/>
    <w:rsid w:val="00DC2783"/>
    <w:rsid w:val="00DC282C"/>
    <w:rsid w:val="00DC2942"/>
    <w:rsid w:val="00DC2BCF"/>
    <w:rsid w:val="00DC2CA3"/>
    <w:rsid w:val="00DC2D5D"/>
    <w:rsid w:val="00DC2E8A"/>
    <w:rsid w:val="00DC2F09"/>
    <w:rsid w:val="00DC3035"/>
    <w:rsid w:val="00DC3163"/>
    <w:rsid w:val="00DC3219"/>
    <w:rsid w:val="00DC321C"/>
    <w:rsid w:val="00DC3437"/>
    <w:rsid w:val="00DC35D8"/>
    <w:rsid w:val="00DC3795"/>
    <w:rsid w:val="00DC37A8"/>
    <w:rsid w:val="00DC37FB"/>
    <w:rsid w:val="00DC3B66"/>
    <w:rsid w:val="00DC3C9D"/>
    <w:rsid w:val="00DC4033"/>
    <w:rsid w:val="00DC42FD"/>
    <w:rsid w:val="00DC4495"/>
    <w:rsid w:val="00DC45A4"/>
    <w:rsid w:val="00DC47BA"/>
    <w:rsid w:val="00DC4803"/>
    <w:rsid w:val="00DC48ED"/>
    <w:rsid w:val="00DC499D"/>
    <w:rsid w:val="00DC4C0A"/>
    <w:rsid w:val="00DC4D7F"/>
    <w:rsid w:val="00DC4E12"/>
    <w:rsid w:val="00DC4E71"/>
    <w:rsid w:val="00DC4EEB"/>
    <w:rsid w:val="00DC5015"/>
    <w:rsid w:val="00DC516C"/>
    <w:rsid w:val="00DC5181"/>
    <w:rsid w:val="00DC527E"/>
    <w:rsid w:val="00DC5419"/>
    <w:rsid w:val="00DC5465"/>
    <w:rsid w:val="00DC54AC"/>
    <w:rsid w:val="00DC558A"/>
    <w:rsid w:val="00DC5973"/>
    <w:rsid w:val="00DC598E"/>
    <w:rsid w:val="00DC5C20"/>
    <w:rsid w:val="00DC5F8C"/>
    <w:rsid w:val="00DC62B4"/>
    <w:rsid w:val="00DC6337"/>
    <w:rsid w:val="00DC6371"/>
    <w:rsid w:val="00DC6546"/>
    <w:rsid w:val="00DC6959"/>
    <w:rsid w:val="00DC6990"/>
    <w:rsid w:val="00DC69BB"/>
    <w:rsid w:val="00DC6A31"/>
    <w:rsid w:val="00DC6C99"/>
    <w:rsid w:val="00DC6F0C"/>
    <w:rsid w:val="00DC6FBA"/>
    <w:rsid w:val="00DC7011"/>
    <w:rsid w:val="00DC7020"/>
    <w:rsid w:val="00DC7049"/>
    <w:rsid w:val="00DC712E"/>
    <w:rsid w:val="00DC717A"/>
    <w:rsid w:val="00DC71E5"/>
    <w:rsid w:val="00DC7243"/>
    <w:rsid w:val="00DC72AD"/>
    <w:rsid w:val="00DC72BC"/>
    <w:rsid w:val="00DC73C4"/>
    <w:rsid w:val="00DC73CD"/>
    <w:rsid w:val="00DC7733"/>
    <w:rsid w:val="00DC7786"/>
    <w:rsid w:val="00DC7AC7"/>
    <w:rsid w:val="00DC7E50"/>
    <w:rsid w:val="00DC7F94"/>
    <w:rsid w:val="00DD005A"/>
    <w:rsid w:val="00DD02B7"/>
    <w:rsid w:val="00DD02C1"/>
    <w:rsid w:val="00DD03A5"/>
    <w:rsid w:val="00DD0567"/>
    <w:rsid w:val="00DD0761"/>
    <w:rsid w:val="00DD07C9"/>
    <w:rsid w:val="00DD0946"/>
    <w:rsid w:val="00DD0DB8"/>
    <w:rsid w:val="00DD0ED6"/>
    <w:rsid w:val="00DD0F3F"/>
    <w:rsid w:val="00DD10DA"/>
    <w:rsid w:val="00DD1258"/>
    <w:rsid w:val="00DD1342"/>
    <w:rsid w:val="00DD14CB"/>
    <w:rsid w:val="00DD17E8"/>
    <w:rsid w:val="00DD186F"/>
    <w:rsid w:val="00DD1A4D"/>
    <w:rsid w:val="00DD1BE7"/>
    <w:rsid w:val="00DD1D11"/>
    <w:rsid w:val="00DD1DD7"/>
    <w:rsid w:val="00DD1E1C"/>
    <w:rsid w:val="00DD2010"/>
    <w:rsid w:val="00DD2065"/>
    <w:rsid w:val="00DD2290"/>
    <w:rsid w:val="00DD2590"/>
    <w:rsid w:val="00DD261D"/>
    <w:rsid w:val="00DD2699"/>
    <w:rsid w:val="00DD28BB"/>
    <w:rsid w:val="00DD28DF"/>
    <w:rsid w:val="00DD298D"/>
    <w:rsid w:val="00DD2AE1"/>
    <w:rsid w:val="00DD2C22"/>
    <w:rsid w:val="00DD2DCD"/>
    <w:rsid w:val="00DD2ECA"/>
    <w:rsid w:val="00DD2FDF"/>
    <w:rsid w:val="00DD30AD"/>
    <w:rsid w:val="00DD34A6"/>
    <w:rsid w:val="00DD3523"/>
    <w:rsid w:val="00DD355E"/>
    <w:rsid w:val="00DD3599"/>
    <w:rsid w:val="00DD35A5"/>
    <w:rsid w:val="00DD360F"/>
    <w:rsid w:val="00DD366F"/>
    <w:rsid w:val="00DD37F3"/>
    <w:rsid w:val="00DD3A9A"/>
    <w:rsid w:val="00DD3ABE"/>
    <w:rsid w:val="00DD3D39"/>
    <w:rsid w:val="00DD3D70"/>
    <w:rsid w:val="00DD3DAE"/>
    <w:rsid w:val="00DD3DC2"/>
    <w:rsid w:val="00DD3DDD"/>
    <w:rsid w:val="00DD3DEC"/>
    <w:rsid w:val="00DD4046"/>
    <w:rsid w:val="00DD41FA"/>
    <w:rsid w:val="00DD4212"/>
    <w:rsid w:val="00DD427A"/>
    <w:rsid w:val="00DD42AC"/>
    <w:rsid w:val="00DD4319"/>
    <w:rsid w:val="00DD45D0"/>
    <w:rsid w:val="00DD45E0"/>
    <w:rsid w:val="00DD45E4"/>
    <w:rsid w:val="00DD482F"/>
    <w:rsid w:val="00DD48CC"/>
    <w:rsid w:val="00DD4A60"/>
    <w:rsid w:val="00DD4C35"/>
    <w:rsid w:val="00DD4DE7"/>
    <w:rsid w:val="00DD4EC0"/>
    <w:rsid w:val="00DD4FB9"/>
    <w:rsid w:val="00DD523B"/>
    <w:rsid w:val="00DD5630"/>
    <w:rsid w:val="00DD5732"/>
    <w:rsid w:val="00DD5927"/>
    <w:rsid w:val="00DD592B"/>
    <w:rsid w:val="00DD5A9A"/>
    <w:rsid w:val="00DD5B3C"/>
    <w:rsid w:val="00DD5B8B"/>
    <w:rsid w:val="00DD5F05"/>
    <w:rsid w:val="00DD6053"/>
    <w:rsid w:val="00DD60CE"/>
    <w:rsid w:val="00DD61A8"/>
    <w:rsid w:val="00DD63E6"/>
    <w:rsid w:val="00DD64CA"/>
    <w:rsid w:val="00DD69DE"/>
    <w:rsid w:val="00DD6B6C"/>
    <w:rsid w:val="00DD6B7F"/>
    <w:rsid w:val="00DD6B9E"/>
    <w:rsid w:val="00DD6BB7"/>
    <w:rsid w:val="00DD6FCB"/>
    <w:rsid w:val="00DD7073"/>
    <w:rsid w:val="00DD710C"/>
    <w:rsid w:val="00DD712A"/>
    <w:rsid w:val="00DD72CC"/>
    <w:rsid w:val="00DD7419"/>
    <w:rsid w:val="00DD7496"/>
    <w:rsid w:val="00DD76A9"/>
    <w:rsid w:val="00DD7761"/>
    <w:rsid w:val="00DD7848"/>
    <w:rsid w:val="00DD7980"/>
    <w:rsid w:val="00DD7A49"/>
    <w:rsid w:val="00DD7B86"/>
    <w:rsid w:val="00DD7C78"/>
    <w:rsid w:val="00DE0426"/>
    <w:rsid w:val="00DE084B"/>
    <w:rsid w:val="00DE08A3"/>
    <w:rsid w:val="00DE093D"/>
    <w:rsid w:val="00DE097A"/>
    <w:rsid w:val="00DE0A58"/>
    <w:rsid w:val="00DE0AD1"/>
    <w:rsid w:val="00DE0D11"/>
    <w:rsid w:val="00DE0EC9"/>
    <w:rsid w:val="00DE0FE0"/>
    <w:rsid w:val="00DE114B"/>
    <w:rsid w:val="00DE1214"/>
    <w:rsid w:val="00DE1377"/>
    <w:rsid w:val="00DE13F6"/>
    <w:rsid w:val="00DE1720"/>
    <w:rsid w:val="00DE186F"/>
    <w:rsid w:val="00DE1897"/>
    <w:rsid w:val="00DE1903"/>
    <w:rsid w:val="00DE199B"/>
    <w:rsid w:val="00DE1C5A"/>
    <w:rsid w:val="00DE1CE0"/>
    <w:rsid w:val="00DE2008"/>
    <w:rsid w:val="00DE20FB"/>
    <w:rsid w:val="00DE2117"/>
    <w:rsid w:val="00DE22E1"/>
    <w:rsid w:val="00DE276C"/>
    <w:rsid w:val="00DE284B"/>
    <w:rsid w:val="00DE285A"/>
    <w:rsid w:val="00DE295B"/>
    <w:rsid w:val="00DE2A31"/>
    <w:rsid w:val="00DE2A7D"/>
    <w:rsid w:val="00DE2AD2"/>
    <w:rsid w:val="00DE2D0F"/>
    <w:rsid w:val="00DE2D2A"/>
    <w:rsid w:val="00DE2D77"/>
    <w:rsid w:val="00DE2E29"/>
    <w:rsid w:val="00DE2F9A"/>
    <w:rsid w:val="00DE3114"/>
    <w:rsid w:val="00DE3223"/>
    <w:rsid w:val="00DE32FB"/>
    <w:rsid w:val="00DE34A6"/>
    <w:rsid w:val="00DE35AE"/>
    <w:rsid w:val="00DE3726"/>
    <w:rsid w:val="00DE37D0"/>
    <w:rsid w:val="00DE38E7"/>
    <w:rsid w:val="00DE3A77"/>
    <w:rsid w:val="00DE3CF9"/>
    <w:rsid w:val="00DE3DBA"/>
    <w:rsid w:val="00DE3DC1"/>
    <w:rsid w:val="00DE3F16"/>
    <w:rsid w:val="00DE4015"/>
    <w:rsid w:val="00DE408F"/>
    <w:rsid w:val="00DE40E8"/>
    <w:rsid w:val="00DE41F3"/>
    <w:rsid w:val="00DE4213"/>
    <w:rsid w:val="00DE42EC"/>
    <w:rsid w:val="00DE4419"/>
    <w:rsid w:val="00DE464C"/>
    <w:rsid w:val="00DE4704"/>
    <w:rsid w:val="00DE478B"/>
    <w:rsid w:val="00DE47A2"/>
    <w:rsid w:val="00DE4858"/>
    <w:rsid w:val="00DE4935"/>
    <w:rsid w:val="00DE4A1A"/>
    <w:rsid w:val="00DE4ADA"/>
    <w:rsid w:val="00DE4D7A"/>
    <w:rsid w:val="00DE5029"/>
    <w:rsid w:val="00DE50B7"/>
    <w:rsid w:val="00DE52FF"/>
    <w:rsid w:val="00DE5308"/>
    <w:rsid w:val="00DE5508"/>
    <w:rsid w:val="00DE55F6"/>
    <w:rsid w:val="00DE577B"/>
    <w:rsid w:val="00DE5A7B"/>
    <w:rsid w:val="00DE5AEB"/>
    <w:rsid w:val="00DE5BD4"/>
    <w:rsid w:val="00DE5E02"/>
    <w:rsid w:val="00DE5E91"/>
    <w:rsid w:val="00DE5F21"/>
    <w:rsid w:val="00DE601F"/>
    <w:rsid w:val="00DE619D"/>
    <w:rsid w:val="00DE6445"/>
    <w:rsid w:val="00DE6565"/>
    <w:rsid w:val="00DE665B"/>
    <w:rsid w:val="00DE66AB"/>
    <w:rsid w:val="00DE67F0"/>
    <w:rsid w:val="00DE684B"/>
    <w:rsid w:val="00DE6A0A"/>
    <w:rsid w:val="00DE6AA0"/>
    <w:rsid w:val="00DE6ACB"/>
    <w:rsid w:val="00DE6B8B"/>
    <w:rsid w:val="00DE6C39"/>
    <w:rsid w:val="00DE6C43"/>
    <w:rsid w:val="00DE6E19"/>
    <w:rsid w:val="00DE6E4F"/>
    <w:rsid w:val="00DE6F01"/>
    <w:rsid w:val="00DE6FE3"/>
    <w:rsid w:val="00DE6FF4"/>
    <w:rsid w:val="00DE71B1"/>
    <w:rsid w:val="00DE72C0"/>
    <w:rsid w:val="00DE7337"/>
    <w:rsid w:val="00DE74BB"/>
    <w:rsid w:val="00DE7527"/>
    <w:rsid w:val="00DE75AF"/>
    <w:rsid w:val="00DE7659"/>
    <w:rsid w:val="00DE77EC"/>
    <w:rsid w:val="00DE7864"/>
    <w:rsid w:val="00DE799C"/>
    <w:rsid w:val="00DE79BD"/>
    <w:rsid w:val="00DE7A38"/>
    <w:rsid w:val="00DE7D5D"/>
    <w:rsid w:val="00DE7FA7"/>
    <w:rsid w:val="00DF012A"/>
    <w:rsid w:val="00DF01D5"/>
    <w:rsid w:val="00DF02B6"/>
    <w:rsid w:val="00DF035C"/>
    <w:rsid w:val="00DF0740"/>
    <w:rsid w:val="00DF0B16"/>
    <w:rsid w:val="00DF0B2C"/>
    <w:rsid w:val="00DF0DE6"/>
    <w:rsid w:val="00DF0F06"/>
    <w:rsid w:val="00DF0F8F"/>
    <w:rsid w:val="00DF10AE"/>
    <w:rsid w:val="00DF1100"/>
    <w:rsid w:val="00DF1105"/>
    <w:rsid w:val="00DF12EF"/>
    <w:rsid w:val="00DF1392"/>
    <w:rsid w:val="00DF13E0"/>
    <w:rsid w:val="00DF140F"/>
    <w:rsid w:val="00DF14D6"/>
    <w:rsid w:val="00DF1572"/>
    <w:rsid w:val="00DF1623"/>
    <w:rsid w:val="00DF16CF"/>
    <w:rsid w:val="00DF173E"/>
    <w:rsid w:val="00DF19A4"/>
    <w:rsid w:val="00DF1AD5"/>
    <w:rsid w:val="00DF1B38"/>
    <w:rsid w:val="00DF1D40"/>
    <w:rsid w:val="00DF1EC4"/>
    <w:rsid w:val="00DF1F3F"/>
    <w:rsid w:val="00DF2036"/>
    <w:rsid w:val="00DF2130"/>
    <w:rsid w:val="00DF22DE"/>
    <w:rsid w:val="00DF25A8"/>
    <w:rsid w:val="00DF2725"/>
    <w:rsid w:val="00DF2A92"/>
    <w:rsid w:val="00DF2B7E"/>
    <w:rsid w:val="00DF2E52"/>
    <w:rsid w:val="00DF301B"/>
    <w:rsid w:val="00DF31B7"/>
    <w:rsid w:val="00DF31BC"/>
    <w:rsid w:val="00DF3204"/>
    <w:rsid w:val="00DF33EC"/>
    <w:rsid w:val="00DF36E6"/>
    <w:rsid w:val="00DF3887"/>
    <w:rsid w:val="00DF396E"/>
    <w:rsid w:val="00DF3A46"/>
    <w:rsid w:val="00DF3AD2"/>
    <w:rsid w:val="00DF3C68"/>
    <w:rsid w:val="00DF3D65"/>
    <w:rsid w:val="00DF3F3A"/>
    <w:rsid w:val="00DF3F3C"/>
    <w:rsid w:val="00DF42EB"/>
    <w:rsid w:val="00DF4517"/>
    <w:rsid w:val="00DF4545"/>
    <w:rsid w:val="00DF4719"/>
    <w:rsid w:val="00DF4772"/>
    <w:rsid w:val="00DF47B3"/>
    <w:rsid w:val="00DF4852"/>
    <w:rsid w:val="00DF495B"/>
    <w:rsid w:val="00DF4992"/>
    <w:rsid w:val="00DF4A43"/>
    <w:rsid w:val="00DF4B81"/>
    <w:rsid w:val="00DF4D53"/>
    <w:rsid w:val="00DF50C4"/>
    <w:rsid w:val="00DF51F1"/>
    <w:rsid w:val="00DF5305"/>
    <w:rsid w:val="00DF5371"/>
    <w:rsid w:val="00DF5440"/>
    <w:rsid w:val="00DF54B1"/>
    <w:rsid w:val="00DF5510"/>
    <w:rsid w:val="00DF5589"/>
    <w:rsid w:val="00DF55D6"/>
    <w:rsid w:val="00DF55DF"/>
    <w:rsid w:val="00DF578B"/>
    <w:rsid w:val="00DF5836"/>
    <w:rsid w:val="00DF5AE7"/>
    <w:rsid w:val="00DF5CEA"/>
    <w:rsid w:val="00DF62DA"/>
    <w:rsid w:val="00DF6393"/>
    <w:rsid w:val="00DF654B"/>
    <w:rsid w:val="00DF66FC"/>
    <w:rsid w:val="00DF67DA"/>
    <w:rsid w:val="00DF685E"/>
    <w:rsid w:val="00DF6C9E"/>
    <w:rsid w:val="00DF6CF4"/>
    <w:rsid w:val="00DF6D15"/>
    <w:rsid w:val="00DF6D74"/>
    <w:rsid w:val="00DF7055"/>
    <w:rsid w:val="00DF7192"/>
    <w:rsid w:val="00DF71C6"/>
    <w:rsid w:val="00DF71F6"/>
    <w:rsid w:val="00DF7276"/>
    <w:rsid w:val="00DF744E"/>
    <w:rsid w:val="00DF75D3"/>
    <w:rsid w:val="00DF776F"/>
    <w:rsid w:val="00DF7797"/>
    <w:rsid w:val="00DF795B"/>
    <w:rsid w:val="00DF79CC"/>
    <w:rsid w:val="00DF7BA9"/>
    <w:rsid w:val="00DF7C95"/>
    <w:rsid w:val="00DF7D71"/>
    <w:rsid w:val="00DF7DF3"/>
    <w:rsid w:val="00DF7E52"/>
    <w:rsid w:val="00DF7E8E"/>
    <w:rsid w:val="00E0011E"/>
    <w:rsid w:val="00E0014D"/>
    <w:rsid w:val="00E001F0"/>
    <w:rsid w:val="00E0038E"/>
    <w:rsid w:val="00E0039D"/>
    <w:rsid w:val="00E003E4"/>
    <w:rsid w:val="00E009B2"/>
    <w:rsid w:val="00E00CC6"/>
    <w:rsid w:val="00E00DE8"/>
    <w:rsid w:val="00E00E39"/>
    <w:rsid w:val="00E00FD0"/>
    <w:rsid w:val="00E010D0"/>
    <w:rsid w:val="00E011D1"/>
    <w:rsid w:val="00E0134B"/>
    <w:rsid w:val="00E01625"/>
    <w:rsid w:val="00E0184E"/>
    <w:rsid w:val="00E01AA3"/>
    <w:rsid w:val="00E01AB5"/>
    <w:rsid w:val="00E01B1D"/>
    <w:rsid w:val="00E01C1C"/>
    <w:rsid w:val="00E01C3B"/>
    <w:rsid w:val="00E01E74"/>
    <w:rsid w:val="00E01FE9"/>
    <w:rsid w:val="00E02066"/>
    <w:rsid w:val="00E0213C"/>
    <w:rsid w:val="00E02216"/>
    <w:rsid w:val="00E02386"/>
    <w:rsid w:val="00E02441"/>
    <w:rsid w:val="00E02443"/>
    <w:rsid w:val="00E0277D"/>
    <w:rsid w:val="00E02C10"/>
    <w:rsid w:val="00E02C83"/>
    <w:rsid w:val="00E02E9F"/>
    <w:rsid w:val="00E02F0F"/>
    <w:rsid w:val="00E03034"/>
    <w:rsid w:val="00E031CA"/>
    <w:rsid w:val="00E03357"/>
    <w:rsid w:val="00E03771"/>
    <w:rsid w:val="00E03925"/>
    <w:rsid w:val="00E03AED"/>
    <w:rsid w:val="00E03BB1"/>
    <w:rsid w:val="00E03C83"/>
    <w:rsid w:val="00E03D02"/>
    <w:rsid w:val="00E03D45"/>
    <w:rsid w:val="00E03E67"/>
    <w:rsid w:val="00E03FCE"/>
    <w:rsid w:val="00E04162"/>
    <w:rsid w:val="00E04295"/>
    <w:rsid w:val="00E042C6"/>
    <w:rsid w:val="00E04340"/>
    <w:rsid w:val="00E04348"/>
    <w:rsid w:val="00E04363"/>
    <w:rsid w:val="00E04480"/>
    <w:rsid w:val="00E044E4"/>
    <w:rsid w:val="00E04720"/>
    <w:rsid w:val="00E04897"/>
    <w:rsid w:val="00E0497B"/>
    <w:rsid w:val="00E049A8"/>
    <w:rsid w:val="00E04B09"/>
    <w:rsid w:val="00E04C33"/>
    <w:rsid w:val="00E04D12"/>
    <w:rsid w:val="00E05179"/>
    <w:rsid w:val="00E052E7"/>
    <w:rsid w:val="00E0546E"/>
    <w:rsid w:val="00E055D9"/>
    <w:rsid w:val="00E05713"/>
    <w:rsid w:val="00E0576C"/>
    <w:rsid w:val="00E05792"/>
    <w:rsid w:val="00E05917"/>
    <w:rsid w:val="00E0596E"/>
    <w:rsid w:val="00E05BC0"/>
    <w:rsid w:val="00E05C50"/>
    <w:rsid w:val="00E05C88"/>
    <w:rsid w:val="00E05DBD"/>
    <w:rsid w:val="00E05DCA"/>
    <w:rsid w:val="00E05E72"/>
    <w:rsid w:val="00E05EC4"/>
    <w:rsid w:val="00E06028"/>
    <w:rsid w:val="00E060A0"/>
    <w:rsid w:val="00E06169"/>
    <w:rsid w:val="00E062C6"/>
    <w:rsid w:val="00E06678"/>
    <w:rsid w:val="00E0679B"/>
    <w:rsid w:val="00E0682B"/>
    <w:rsid w:val="00E06B77"/>
    <w:rsid w:val="00E06D7D"/>
    <w:rsid w:val="00E06D84"/>
    <w:rsid w:val="00E06DA8"/>
    <w:rsid w:val="00E06DF5"/>
    <w:rsid w:val="00E07084"/>
    <w:rsid w:val="00E07133"/>
    <w:rsid w:val="00E0732B"/>
    <w:rsid w:val="00E0733D"/>
    <w:rsid w:val="00E073AD"/>
    <w:rsid w:val="00E07436"/>
    <w:rsid w:val="00E07721"/>
    <w:rsid w:val="00E077B9"/>
    <w:rsid w:val="00E077C9"/>
    <w:rsid w:val="00E07A35"/>
    <w:rsid w:val="00E07A87"/>
    <w:rsid w:val="00E1025D"/>
    <w:rsid w:val="00E10273"/>
    <w:rsid w:val="00E102E1"/>
    <w:rsid w:val="00E1054F"/>
    <w:rsid w:val="00E10743"/>
    <w:rsid w:val="00E108C8"/>
    <w:rsid w:val="00E10996"/>
    <w:rsid w:val="00E10A28"/>
    <w:rsid w:val="00E10A45"/>
    <w:rsid w:val="00E10A70"/>
    <w:rsid w:val="00E10B4A"/>
    <w:rsid w:val="00E10BA9"/>
    <w:rsid w:val="00E10BCF"/>
    <w:rsid w:val="00E10C6B"/>
    <w:rsid w:val="00E10D26"/>
    <w:rsid w:val="00E10D3C"/>
    <w:rsid w:val="00E10ED8"/>
    <w:rsid w:val="00E10F43"/>
    <w:rsid w:val="00E10F54"/>
    <w:rsid w:val="00E11066"/>
    <w:rsid w:val="00E11079"/>
    <w:rsid w:val="00E1117D"/>
    <w:rsid w:val="00E11199"/>
    <w:rsid w:val="00E1135E"/>
    <w:rsid w:val="00E1151A"/>
    <w:rsid w:val="00E1168B"/>
    <w:rsid w:val="00E1179C"/>
    <w:rsid w:val="00E118FB"/>
    <w:rsid w:val="00E11B7A"/>
    <w:rsid w:val="00E11BA7"/>
    <w:rsid w:val="00E11E5C"/>
    <w:rsid w:val="00E11E84"/>
    <w:rsid w:val="00E11ED7"/>
    <w:rsid w:val="00E12022"/>
    <w:rsid w:val="00E126F7"/>
    <w:rsid w:val="00E1271E"/>
    <w:rsid w:val="00E1276B"/>
    <w:rsid w:val="00E129D2"/>
    <w:rsid w:val="00E12B6E"/>
    <w:rsid w:val="00E12BC4"/>
    <w:rsid w:val="00E12BF8"/>
    <w:rsid w:val="00E12DD8"/>
    <w:rsid w:val="00E12E7D"/>
    <w:rsid w:val="00E12ECC"/>
    <w:rsid w:val="00E12FA2"/>
    <w:rsid w:val="00E130B7"/>
    <w:rsid w:val="00E1336E"/>
    <w:rsid w:val="00E1355A"/>
    <w:rsid w:val="00E13A50"/>
    <w:rsid w:val="00E13C06"/>
    <w:rsid w:val="00E13C7E"/>
    <w:rsid w:val="00E13D44"/>
    <w:rsid w:val="00E13EEB"/>
    <w:rsid w:val="00E1401F"/>
    <w:rsid w:val="00E141AD"/>
    <w:rsid w:val="00E141F6"/>
    <w:rsid w:val="00E142B8"/>
    <w:rsid w:val="00E144E4"/>
    <w:rsid w:val="00E146B6"/>
    <w:rsid w:val="00E14726"/>
    <w:rsid w:val="00E147D8"/>
    <w:rsid w:val="00E1482D"/>
    <w:rsid w:val="00E1484F"/>
    <w:rsid w:val="00E14858"/>
    <w:rsid w:val="00E14B45"/>
    <w:rsid w:val="00E14B9C"/>
    <w:rsid w:val="00E14DA3"/>
    <w:rsid w:val="00E14EDF"/>
    <w:rsid w:val="00E15123"/>
    <w:rsid w:val="00E15181"/>
    <w:rsid w:val="00E15221"/>
    <w:rsid w:val="00E1525A"/>
    <w:rsid w:val="00E153ED"/>
    <w:rsid w:val="00E1587B"/>
    <w:rsid w:val="00E158F2"/>
    <w:rsid w:val="00E15916"/>
    <w:rsid w:val="00E159DF"/>
    <w:rsid w:val="00E15A24"/>
    <w:rsid w:val="00E15B3F"/>
    <w:rsid w:val="00E15F11"/>
    <w:rsid w:val="00E15F8E"/>
    <w:rsid w:val="00E162A0"/>
    <w:rsid w:val="00E163D4"/>
    <w:rsid w:val="00E16435"/>
    <w:rsid w:val="00E1661A"/>
    <w:rsid w:val="00E166D0"/>
    <w:rsid w:val="00E167EF"/>
    <w:rsid w:val="00E16956"/>
    <w:rsid w:val="00E16A0D"/>
    <w:rsid w:val="00E16C03"/>
    <w:rsid w:val="00E16C42"/>
    <w:rsid w:val="00E16DE4"/>
    <w:rsid w:val="00E16FA5"/>
    <w:rsid w:val="00E170B3"/>
    <w:rsid w:val="00E17204"/>
    <w:rsid w:val="00E172C7"/>
    <w:rsid w:val="00E17389"/>
    <w:rsid w:val="00E1753D"/>
    <w:rsid w:val="00E17673"/>
    <w:rsid w:val="00E176FD"/>
    <w:rsid w:val="00E1773D"/>
    <w:rsid w:val="00E1774B"/>
    <w:rsid w:val="00E1777E"/>
    <w:rsid w:val="00E1785B"/>
    <w:rsid w:val="00E1789C"/>
    <w:rsid w:val="00E178E5"/>
    <w:rsid w:val="00E17BD3"/>
    <w:rsid w:val="00E17C24"/>
    <w:rsid w:val="00E17C65"/>
    <w:rsid w:val="00E17CA0"/>
    <w:rsid w:val="00E17CDD"/>
    <w:rsid w:val="00E17DA8"/>
    <w:rsid w:val="00E2001B"/>
    <w:rsid w:val="00E2003E"/>
    <w:rsid w:val="00E202B9"/>
    <w:rsid w:val="00E202BB"/>
    <w:rsid w:val="00E204EE"/>
    <w:rsid w:val="00E205B8"/>
    <w:rsid w:val="00E20654"/>
    <w:rsid w:val="00E20A9C"/>
    <w:rsid w:val="00E20AF7"/>
    <w:rsid w:val="00E20B59"/>
    <w:rsid w:val="00E20B90"/>
    <w:rsid w:val="00E20C68"/>
    <w:rsid w:val="00E20D91"/>
    <w:rsid w:val="00E20F76"/>
    <w:rsid w:val="00E21289"/>
    <w:rsid w:val="00E212CC"/>
    <w:rsid w:val="00E2170A"/>
    <w:rsid w:val="00E21720"/>
    <w:rsid w:val="00E21781"/>
    <w:rsid w:val="00E21860"/>
    <w:rsid w:val="00E21C25"/>
    <w:rsid w:val="00E21DA9"/>
    <w:rsid w:val="00E22114"/>
    <w:rsid w:val="00E22284"/>
    <w:rsid w:val="00E22328"/>
    <w:rsid w:val="00E223C6"/>
    <w:rsid w:val="00E224B7"/>
    <w:rsid w:val="00E225C7"/>
    <w:rsid w:val="00E225F1"/>
    <w:rsid w:val="00E22A0B"/>
    <w:rsid w:val="00E22B76"/>
    <w:rsid w:val="00E22EED"/>
    <w:rsid w:val="00E22F4C"/>
    <w:rsid w:val="00E22F7E"/>
    <w:rsid w:val="00E22FDC"/>
    <w:rsid w:val="00E2302A"/>
    <w:rsid w:val="00E231DC"/>
    <w:rsid w:val="00E2332C"/>
    <w:rsid w:val="00E234FA"/>
    <w:rsid w:val="00E2356B"/>
    <w:rsid w:val="00E23628"/>
    <w:rsid w:val="00E236EC"/>
    <w:rsid w:val="00E237A7"/>
    <w:rsid w:val="00E23976"/>
    <w:rsid w:val="00E2399C"/>
    <w:rsid w:val="00E23B1F"/>
    <w:rsid w:val="00E23CA1"/>
    <w:rsid w:val="00E23F26"/>
    <w:rsid w:val="00E23F89"/>
    <w:rsid w:val="00E23FE1"/>
    <w:rsid w:val="00E23FEE"/>
    <w:rsid w:val="00E24085"/>
    <w:rsid w:val="00E2409D"/>
    <w:rsid w:val="00E240F8"/>
    <w:rsid w:val="00E24150"/>
    <w:rsid w:val="00E24301"/>
    <w:rsid w:val="00E243EB"/>
    <w:rsid w:val="00E24A46"/>
    <w:rsid w:val="00E24BC3"/>
    <w:rsid w:val="00E24CC5"/>
    <w:rsid w:val="00E24D59"/>
    <w:rsid w:val="00E24ED3"/>
    <w:rsid w:val="00E25026"/>
    <w:rsid w:val="00E250DC"/>
    <w:rsid w:val="00E25135"/>
    <w:rsid w:val="00E2518D"/>
    <w:rsid w:val="00E25201"/>
    <w:rsid w:val="00E2555E"/>
    <w:rsid w:val="00E25577"/>
    <w:rsid w:val="00E255EE"/>
    <w:rsid w:val="00E25704"/>
    <w:rsid w:val="00E25878"/>
    <w:rsid w:val="00E2590B"/>
    <w:rsid w:val="00E25963"/>
    <w:rsid w:val="00E259E1"/>
    <w:rsid w:val="00E25AD4"/>
    <w:rsid w:val="00E25C40"/>
    <w:rsid w:val="00E25CF6"/>
    <w:rsid w:val="00E25D69"/>
    <w:rsid w:val="00E25E02"/>
    <w:rsid w:val="00E25F24"/>
    <w:rsid w:val="00E25F36"/>
    <w:rsid w:val="00E25FD7"/>
    <w:rsid w:val="00E26005"/>
    <w:rsid w:val="00E2601F"/>
    <w:rsid w:val="00E26137"/>
    <w:rsid w:val="00E266A7"/>
    <w:rsid w:val="00E26D0E"/>
    <w:rsid w:val="00E26D9C"/>
    <w:rsid w:val="00E26DEF"/>
    <w:rsid w:val="00E27171"/>
    <w:rsid w:val="00E2721A"/>
    <w:rsid w:val="00E2766B"/>
    <w:rsid w:val="00E27763"/>
    <w:rsid w:val="00E27778"/>
    <w:rsid w:val="00E27A26"/>
    <w:rsid w:val="00E27C13"/>
    <w:rsid w:val="00E27EA1"/>
    <w:rsid w:val="00E27F7C"/>
    <w:rsid w:val="00E3001A"/>
    <w:rsid w:val="00E3001C"/>
    <w:rsid w:val="00E30098"/>
    <w:rsid w:val="00E300A4"/>
    <w:rsid w:val="00E3048D"/>
    <w:rsid w:val="00E30618"/>
    <w:rsid w:val="00E3062E"/>
    <w:rsid w:val="00E30675"/>
    <w:rsid w:val="00E306CF"/>
    <w:rsid w:val="00E306DA"/>
    <w:rsid w:val="00E30921"/>
    <w:rsid w:val="00E30974"/>
    <w:rsid w:val="00E30991"/>
    <w:rsid w:val="00E309A1"/>
    <w:rsid w:val="00E30ACC"/>
    <w:rsid w:val="00E30C70"/>
    <w:rsid w:val="00E30CF1"/>
    <w:rsid w:val="00E30DF4"/>
    <w:rsid w:val="00E310C6"/>
    <w:rsid w:val="00E31125"/>
    <w:rsid w:val="00E31269"/>
    <w:rsid w:val="00E31353"/>
    <w:rsid w:val="00E314A1"/>
    <w:rsid w:val="00E3186C"/>
    <w:rsid w:val="00E31AC9"/>
    <w:rsid w:val="00E31B7B"/>
    <w:rsid w:val="00E31E0A"/>
    <w:rsid w:val="00E31F38"/>
    <w:rsid w:val="00E3248D"/>
    <w:rsid w:val="00E325A4"/>
    <w:rsid w:val="00E325D7"/>
    <w:rsid w:val="00E327F8"/>
    <w:rsid w:val="00E329F7"/>
    <w:rsid w:val="00E32A10"/>
    <w:rsid w:val="00E32B74"/>
    <w:rsid w:val="00E32B88"/>
    <w:rsid w:val="00E32CE1"/>
    <w:rsid w:val="00E32CE6"/>
    <w:rsid w:val="00E32DE7"/>
    <w:rsid w:val="00E32E19"/>
    <w:rsid w:val="00E32F05"/>
    <w:rsid w:val="00E330CC"/>
    <w:rsid w:val="00E33228"/>
    <w:rsid w:val="00E33339"/>
    <w:rsid w:val="00E333F1"/>
    <w:rsid w:val="00E334FD"/>
    <w:rsid w:val="00E33739"/>
    <w:rsid w:val="00E338A2"/>
    <w:rsid w:val="00E338DA"/>
    <w:rsid w:val="00E33D15"/>
    <w:rsid w:val="00E33FA7"/>
    <w:rsid w:val="00E34070"/>
    <w:rsid w:val="00E341D2"/>
    <w:rsid w:val="00E34241"/>
    <w:rsid w:val="00E343F0"/>
    <w:rsid w:val="00E344CB"/>
    <w:rsid w:val="00E34565"/>
    <w:rsid w:val="00E3461A"/>
    <w:rsid w:val="00E34742"/>
    <w:rsid w:val="00E34795"/>
    <w:rsid w:val="00E347A5"/>
    <w:rsid w:val="00E34865"/>
    <w:rsid w:val="00E34866"/>
    <w:rsid w:val="00E34933"/>
    <w:rsid w:val="00E34945"/>
    <w:rsid w:val="00E34A47"/>
    <w:rsid w:val="00E34AAD"/>
    <w:rsid w:val="00E34E9F"/>
    <w:rsid w:val="00E35066"/>
    <w:rsid w:val="00E35119"/>
    <w:rsid w:val="00E3511E"/>
    <w:rsid w:val="00E35353"/>
    <w:rsid w:val="00E3543C"/>
    <w:rsid w:val="00E3551D"/>
    <w:rsid w:val="00E35539"/>
    <w:rsid w:val="00E356F6"/>
    <w:rsid w:val="00E35711"/>
    <w:rsid w:val="00E35763"/>
    <w:rsid w:val="00E3586F"/>
    <w:rsid w:val="00E35937"/>
    <w:rsid w:val="00E35AEF"/>
    <w:rsid w:val="00E35D8C"/>
    <w:rsid w:val="00E35E6F"/>
    <w:rsid w:val="00E35EC4"/>
    <w:rsid w:val="00E35FEE"/>
    <w:rsid w:val="00E36130"/>
    <w:rsid w:val="00E36368"/>
    <w:rsid w:val="00E363C4"/>
    <w:rsid w:val="00E3647F"/>
    <w:rsid w:val="00E36535"/>
    <w:rsid w:val="00E3664F"/>
    <w:rsid w:val="00E36668"/>
    <w:rsid w:val="00E367C7"/>
    <w:rsid w:val="00E3686B"/>
    <w:rsid w:val="00E36C06"/>
    <w:rsid w:val="00E36C66"/>
    <w:rsid w:val="00E36CAC"/>
    <w:rsid w:val="00E36E81"/>
    <w:rsid w:val="00E36F48"/>
    <w:rsid w:val="00E370BA"/>
    <w:rsid w:val="00E3739A"/>
    <w:rsid w:val="00E37408"/>
    <w:rsid w:val="00E3769D"/>
    <w:rsid w:val="00E37751"/>
    <w:rsid w:val="00E37845"/>
    <w:rsid w:val="00E37BE7"/>
    <w:rsid w:val="00E37C58"/>
    <w:rsid w:val="00E37E65"/>
    <w:rsid w:val="00E4018B"/>
    <w:rsid w:val="00E40454"/>
    <w:rsid w:val="00E404FA"/>
    <w:rsid w:val="00E40578"/>
    <w:rsid w:val="00E4065A"/>
    <w:rsid w:val="00E40699"/>
    <w:rsid w:val="00E40769"/>
    <w:rsid w:val="00E407EB"/>
    <w:rsid w:val="00E40815"/>
    <w:rsid w:val="00E40B26"/>
    <w:rsid w:val="00E40C7A"/>
    <w:rsid w:val="00E40D9D"/>
    <w:rsid w:val="00E40E1B"/>
    <w:rsid w:val="00E40E58"/>
    <w:rsid w:val="00E410CC"/>
    <w:rsid w:val="00E4117D"/>
    <w:rsid w:val="00E41200"/>
    <w:rsid w:val="00E41243"/>
    <w:rsid w:val="00E412D9"/>
    <w:rsid w:val="00E4139C"/>
    <w:rsid w:val="00E418DD"/>
    <w:rsid w:val="00E41A49"/>
    <w:rsid w:val="00E41B8B"/>
    <w:rsid w:val="00E41BD5"/>
    <w:rsid w:val="00E41C55"/>
    <w:rsid w:val="00E41CB0"/>
    <w:rsid w:val="00E41CB7"/>
    <w:rsid w:val="00E420D2"/>
    <w:rsid w:val="00E42182"/>
    <w:rsid w:val="00E421B6"/>
    <w:rsid w:val="00E42524"/>
    <w:rsid w:val="00E4265E"/>
    <w:rsid w:val="00E427B7"/>
    <w:rsid w:val="00E4294C"/>
    <w:rsid w:val="00E42ABD"/>
    <w:rsid w:val="00E42C96"/>
    <w:rsid w:val="00E42CBB"/>
    <w:rsid w:val="00E42E75"/>
    <w:rsid w:val="00E42EDD"/>
    <w:rsid w:val="00E42F28"/>
    <w:rsid w:val="00E42F34"/>
    <w:rsid w:val="00E43145"/>
    <w:rsid w:val="00E432E3"/>
    <w:rsid w:val="00E43314"/>
    <w:rsid w:val="00E433A8"/>
    <w:rsid w:val="00E433F7"/>
    <w:rsid w:val="00E436D8"/>
    <w:rsid w:val="00E436F0"/>
    <w:rsid w:val="00E43750"/>
    <w:rsid w:val="00E43867"/>
    <w:rsid w:val="00E438CC"/>
    <w:rsid w:val="00E43959"/>
    <w:rsid w:val="00E4398E"/>
    <w:rsid w:val="00E439ED"/>
    <w:rsid w:val="00E43B64"/>
    <w:rsid w:val="00E43B69"/>
    <w:rsid w:val="00E43C8F"/>
    <w:rsid w:val="00E43F21"/>
    <w:rsid w:val="00E43FE5"/>
    <w:rsid w:val="00E442DB"/>
    <w:rsid w:val="00E44354"/>
    <w:rsid w:val="00E4436B"/>
    <w:rsid w:val="00E443CB"/>
    <w:rsid w:val="00E4486D"/>
    <w:rsid w:val="00E44B7C"/>
    <w:rsid w:val="00E44BDB"/>
    <w:rsid w:val="00E44E79"/>
    <w:rsid w:val="00E44EB1"/>
    <w:rsid w:val="00E44FA7"/>
    <w:rsid w:val="00E4504C"/>
    <w:rsid w:val="00E45078"/>
    <w:rsid w:val="00E450E0"/>
    <w:rsid w:val="00E451F8"/>
    <w:rsid w:val="00E452BB"/>
    <w:rsid w:val="00E453B2"/>
    <w:rsid w:val="00E4543B"/>
    <w:rsid w:val="00E4588E"/>
    <w:rsid w:val="00E458CA"/>
    <w:rsid w:val="00E45951"/>
    <w:rsid w:val="00E45CC7"/>
    <w:rsid w:val="00E45CF1"/>
    <w:rsid w:val="00E45DD6"/>
    <w:rsid w:val="00E460E5"/>
    <w:rsid w:val="00E461E2"/>
    <w:rsid w:val="00E46221"/>
    <w:rsid w:val="00E4654F"/>
    <w:rsid w:val="00E4695F"/>
    <w:rsid w:val="00E46996"/>
    <w:rsid w:val="00E46A67"/>
    <w:rsid w:val="00E46AFA"/>
    <w:rsid w:val="00E46BCF"/>
    <w:rsid w:val="00E46CE6"/>
    <w:rsid w:val="00E46DBE"/>
    <w:rsid w:val="00E46EA3"/>
    <w:rsid w:val="00E4700D"/>
    <w:rsid w:val="00E47030"/>
    <w:rsid w:val="00E47089"/>
    <w:rsid w:val="00E4718E"/>
    <w:rsid w:val="00E4721C"/>
    <w:rsid w:val="00E4724B"/>
    <w:rsid w:val="00E47320"/>
    <w:rsid w:val="00E474FA"/>
    <w:rsid w:val="00E47662"/>
    <w:rsid w:val="00E47747"/>
    <w:rsid w:val="00E478B6"/>
    <w:rsid w:val="00E478E0"/>
    <w:rsid w:val="00E4798B"/>
    <w:rsid w:val="00E479D8"/>
    <w:rsid w:val="00E47BB5"/>
    <w:rsid w:val="00E47DCE"/>
    <w:rsid w:val="00E47E43"/>
    <w:rsid w:val="00E47F0E"/>
    <w:rsid w:val="00E47F3C"/>
    <w:rsid w:val="00E47F66"/>
    <w:rsid w:val="00E50011"/>
    <w:rsid w:val="00E50068"/>
    <w:rsid w:val="00E50098"/>
    <w:rsid w:val="00E5009B"/>
    <w:rsid w:val="00E50131"/>
    <w:rsid w:val="00E502CE"/>
    <w:rsid w:val="00E50390"/>
    <w:rsid w:val="00E503DC"/>
    <w:rsid w:val="00E5049D"/>
    <w:rsid w:val="00E50505"/>
    <w:rsid w:val="00E50536"/>
    <w:rsid w:val="00E505F9"/>
    <w:rsid w:val="00E50686"/>
    <w:rsid w:val="00E50A2C"/>
    <w:rsid w:val="00E50B51"/>
    <w:rsid w:val="00E50C3D"/>
    <w:rsid w:val="00E50D06"/>
    <w:rsid w:val="00E50D1D"/>
    <w:rsid w:val="00E50D52"/>
    <w:rsid w:val="00E50E33"/>
    <w:rsid w:val="00E50F58"/>
    <w:rsid w:val="00E5101C"/>
    <w:rsid w:val="00E510F8"/>
    <w:rsid w:val="00E511E0"/>
    <w:rsid w:val="00E5124A"/>
    <w:rsid w:val="00E51285"/>
    <w:rsid w:val="00E514A1"/>
    <w:rsid w:val="00E514B6"/>
    <w:rsid w:val="00E51604"/>
    <w:rsid w:val="00E51671"/>
    <w:rsid w:val="00E51719"/>
    <w:rsid w:val="00E51761"/>
    <w:rsid w:val="00E5181C"/>
    <w:rsid w:val="00E51821"/>
    <w:rsid w:val="00E519DD"/>
    <w:rsid w:val="00E519EF"/>
    <w:rsid w:val="00E51DE1"/>
    <w:rsid w:val="00E523F0"/>
    <w:rsid w:val="00E5274D"/>
    <w:rsid w:val="00E527CD"/>
    <w:rsid w:val="00E527F0"/>
    <w:rsid w:val="00E52834"/>
    <w:rsid w:val="00E52AA3"/>
    <w:rsid w:val="00E52D8D"/>
    <w:rsid w:val="00E52DB4"/>
    <w:rsid w:val="00E52F1B"/>
    <w:rsid w:val="00E52F86"/>
    <w:rsid w:val="00E53192"/>
    <w:rsid w:val="00E531C2"/>
    <w:rsid w:val="00E531CB"/>
    <w:rsid w:val="00E53287"/>
    <w:rsid w:val="00E5333A"/>
    <w:rsid w:val="00E5356D"/>
    <w:rsid w:val="00E5358D"/>
    <w:rsid w:val="00E53625"/>
    <w:rsid w:val="00E53652"/>
    <w:rsid w:val="00E537AC"/>
    <w:rsid w:val="00E53860"/>
    <w:rsid w:val="00E5399E"/>
    <w:rsid w:val="00E539B3"/>
    <w:rsid w:val="00E53A7D"/>
    <w:rsid w:val="00E53EA5"/>
    <w:rsid w:val="00E542BA"/>
    <w:rsid w:val="00E542EA"/>
    <w:rsid w:val="00E54312"/>
    <w:rsid w:val="00E543BA"/>
    <w:rsid w:val="00E547C5"/>
    <w:rsid w:val="00E5483D"/>
    <w:rsid w:val="00E549EE"/>
    <w:rsid w:val="00E54A2A"/>
    <w:rsid w:val="00E54A65"/>
    <w:rsid w:val="00E54BE5"/>
    <w:rsid w:val="00E5513C"/>
    <w:rsid w:val="00E55204"/>
    <w:rsid w:val="00E558C0"/>
    <w:rsid w:val="00E55BDF"/>
    <w:rsid w:val="00E55BE3"/>
    <w:rsid w:val="00E55CC7"/>
    <w:rsid w:val="00E56100"/>
    <w:rsid w:val="00E5614F"/>
    <w:rsid w:val="00E561FF"/>
    <w:rsid w:val="00E56455"/>
    <w:rsid w:val="00E564E0"/>
    <w:rsid w:val="00E56545"/>
    <w:rsid w:val="00E565CB"/>
    <w:rsid w:val="00E56793"/>
    <w:rsid w:val="00E567C9"/>
    <w:rsid w:val="00E567E3"/>
    <w:rsid w:val="00E56817"/>
    <w:rsid w:val="00E56909"/>
    <w:rsid w:val="00E569AA"/>
    <w:rsid w:val="00E56CA4"/>
    <w:rsid w:val="00E56DE3"/>
    <w:rsid w:val="00E56F5E"/>
    <w:rsid w:val="00E56FB6"/>
    <w:rsid w:val="00E56FD1"/>
    <w:rsid w:val="00E57094"/>
    <w:rsid w:val="00E570BC"/>
    <w:rsid w:val="00E57386"/>
    <w:rsid w:val="00E573B0"/>
    <w:rsid w:val="00E575FF"/>
    <w:rsid w:val="00E577B0"/>
    <w:rsid w:val="00E57A9A"/>
    <w:rsid w:val="00E57DEB"/>
    <w:rsid w:val="00E57E33"/>
    <w:rsid w:val="00E57E56"/>
    <w:rsid w:val="00E57EA4"/>
    <w:rsid w:val="00E6016F"/>
    <w:rsid w:val="00E6028C"/>
    <w:rsid w:val="00E603A1"/>
    <w:rsid w:val="00E60408"/>
    <w:rsid w:val="00E604D8"/>
    <w:rsid w:val="00E605BE"/>
    <w:rsid w:val="00E6060F"/>
    <w:rsid w:val="00E60765"/>
    <w:rsid w:val="00E607C8"/>
    <w:rsid w:val="00E608D1"/>
    <w:rsid w:val="00E60C3E"/>
    <w:rsid w:val="00E60D6E"/>
    <w:rsid w:val="00E60F48"/>
    <w:rsid w:val="00E60F59"/>
    <w:rsid w:val="00E61100"/>
    <w:rsid w:val="00E61156"/>
    <w:rsid w:val="00E6119F"/>
    <w:rsid w:val="00E6120F"/>
    <w:rsid w:val="00E61317"/>
    <w:rsid w:val="00E61327"/>
    <w:rsid w:val="00E613B3"/>
    <w:rsid w:val="00E61465"/>
    <w:rsid w:val="00E6155C"/>
    <w:rsid w:val="00E61582"/>
    <w:rsid w:val="00E615B3"/>
    <w:rsid w:val="00E616D6"/>
    <w:rsid w:val="00E61828"/>
    <w:rsid w:val="00E618DE"/>
    <w:rsid w:val="00E61D3C"/>
    <w:rsid w:val="00E62027"/>
    <w:rsid w:val="00E620D2"/>
    <w:rsid w:val="00E62421"/>
    <w:rsid w:val="00E62664"/>
    <w:rsid w:val="00E62911"/>
    <w:rsid w:val="00E62954"/>
    <w:rsid w:val="00E62ADA"/>
    <w:rsid w:val="00E62C0F"/>
    <w:rsid w:val="00E62D16"/>
    <w:rsid w:val="00E62E6B"/>
    <w:rsid w:val="00E62EB6"/>
    <w:rsid w:val="00E62F0C"/>
    <w:rsid w:val="00E62FDE"/>
    <w:rsid w:val="00E63009"/>
    <w:rsid w:val="00E633BA"/>
    <w:rsid w:val="00E633FA"/>
    <w:rsid w:val="00E6371F"/>
    <w:rsid w:val="00E63720"/>
    <w:rsid w:val="00E6373B"/>
    <w:rsid w:val="00E63850"/>
    <w:rsid w:val="00E63970"/>
    <w:rsid w:val="00E63C21"/>
    <w:rsid w:val="00E63DC0"/>
    <w:rsid w:val="00E63F6F"/>
    <w:rsid w:val="00E6409B"/>
    <w:rsid w:val="00E64136"/>
    <w:rsid w:val="00E6413A"/>
    <w:rsid w:val="00E64188"/>
    <w:rsid w:val="00E6431C"/>
    <w:rsid w:val="00E6436F"/>
    <w:rsid w:val="00E64393"/>
    <w:rsid w:val="00E6443E"/>
    <w:rsid w:val="00E64463"/>
    <w:rsid w:val="00E644A3"/>
    <w:rsid w:val="00E64631"/>
    <w:rsid w:val="00E64726"/>
    <w:rsid w:val="00E6499E"/>
    <w:rsid w:val="00E649C6"/>
    <w:rsid w:val="00E649C8"/>
    <w:rsid w:val="00E64BCE"/>
    <w:rsid w:val="00E64CD2"/>
    <w:rsid w:val="00E65016"/>
    <w:rsid w:val="00E650CE"/>
    <w:rsid w:val="00E6518A"/>
    <w:rsid w:val="00E65227"/>
    <w:rsid w:val="00E6552F"/>
    <w:rsid w:val="00E65593"/>
    <w:rsid w:val="00E6560B"/>
    <w:rsid w:val="00E65660"/>
    <w:rsid w:val="00E657C1"/>
    <w:rsid w:val="00E657C2"/>
    <w:rsid w:val="00E658F2"/>
    <w:rsid w:val="00E6590F"/>
    <w:rsid w:val="00E659E5"/>
    <w:rsid w:val="00E65A43"/>
    <w:rsid w:val="00E65A57"/>
    <w:rsid w:val="00E65B49"/>
    <w:rsid w:val="00E65D21"/>
    <w:rsid w:val="00E65EA2"/>
    <w:rsid w:val="00E65F57"/>
    <w:rsid w:val="00E66103"/>
    <w:rsid w:val="00E66271"/>
    <w:rsid w:val="00E66285"/>
    <w:rsid w:val="00E6633E"/>
    <w:rsid w:val="00E663C6"/>
    <w:rsid w:val="00E6647A"/>
    <w:rsid w:val="00E664A6"/>
    <w:rsid w:val="00E665C2"/>
    <w:rsid w:val="00E66753"/>
    <w:rsid w:val="00E66886"/>
    <w:rsid w:val="00E6692C"/>
    <w:rsid w:val="00E66946"/>
    <w:rsid w:val="00E66A06"/>
    <w:rsid w:val="00E66C33"/>
    <w:rsid w:val="00E66CB4"/>
    <w:rsid w:val="00E66D2A"/>
    <w:rsid w:val="00E66E8D"/>
    <w:rsid w:val="00E66FB2"/>
    <w:rsid w:val="00E67035"/>
    <w:rsid w:val="00E67091"/>
    <w:rsid w:val="00E670E2"/>
    <w:rsid w:val="00E67119"/>
    <w:rsid w:val="00E67164"/>
    <w:rsid w:val="00E67218"/>
    <w:rsid w:val="00E67233"/>
    <w:rsid w:val="00E67448"/>
    <w:rsid w:val="00E67449"/>
    <w:rsid w:val="00E67532"/>
    <w:rsid w:val="00E678F6"/>
    <w:rsid w:val="00E678FA"/>
    <w:rsid w:val="00E67A32"/>
    <w:rsid w:val="00E67CE2"/>
    <w:rsid w:val="00E67DA3"/>
    <w:rsid w:val="00E67DF4"/>
    <w:rsid w:val="00E67E51"/>
    <w:rsid w:val="00E67E87"/>
    <w:rsid w:val="00E700CA"/>
    <w:rsid w:val="00E70228"/>
    <w:rsid w:val="00E7026B"/>
    <w:rsid w:val="00E70283"/>
    <w:rsid w:val="00E70557"/>
    <w:rsid w:val="00E70808"/>
    <w:rsid w:val="00E70920"/>
    <w:rsid w:val="00E7099A"/>
    <w:rsid w:val="00E709A9"/>
    <w:rsid w:val="00E70B25"/>
    <w:rsid w:val="00E71026"/>
    <w:rsid w:val="00E710EE"/>
    <w:rsid w:val="00E7117E"/>
    <w:rsid w:val="00E712AE"/>
    <w:rsid w:val="00E715F9"/>
    <w:rsid w:val="00E7174F"/>
    <w:rsid w:val="00E717E1"/>
    <w:rsid w:val="00E718D5"/>
    <w:rsid w:val="00E71930"/>
    <w:rsid w:val="00E71959"/>
    <w:rsid w:val="00E719B6"/>
    <w:rsid w:val="00E719F0"/>
    <w:rsid w:val="00E71CFF"/>
    <w:rsid w:val="00E71E94"/>
    <w:rsid w:val="00E71FD1"/>
    <w:rsid w:val="00E721EA"/>
    <w:rsid w:val="00E72272"/>
    <w:rsid w:val="00E72294"/>
    <w:rsid w:val="00E72328"/>
    <w:rsid w:val="00E723C4"/>
    <w:rsid w:val="00E728D4"/>
    <w:rsid w:val="00E729F0"/>
    <w:rsid w:val="00E72A73"/>
    <w:rsid w:val="00E72BC9"/>
    <w:rsid w:val="00E72C0E"/>
    <w:rsid w:val="00E72CB3"/>
    <w:rsid w:val="00E72DDD"/>
    <w:rsid w:val="00E72E62"/>
    <w:rsid w:val="00E731B0"/>
    <w:rsid w:val="00E73828"/>
    <w:rsid w:val="00E73872"/>
    <w:rsid w:val="00E7389C"/>
    <w:rsid w:val="00E738A9"/>
    <w:rsid w:val="00E73930"/>
    <w:rsid w:val="00E73B09"/>
    <w:rsid w:val="00E73BFC"/>
    <w:rsid w:val="00E73D1A"/>
    <w:rsid w:val="00E73F90"/>
    <w:rsid w:val="00E741BE"/>
    <w:rsid w:val="00E741D0"/>
    <w:rsid w:val="00E74299"/>
    <w:rsid w:val="00E7440D"/>
    <w:rsid w:val="00E7463A"/>
    <w:rsid w:val="00E747CA"/>
    <w:rsid w:val="00E74839"/>
    <w:rsid w:val="00E74891"/>
    <w:rsid w:val="00E7492E"/>
    <w:rsid w:val="00E74963"/>
    <w:rsid w:val="00E74980"/>
    <w:rsid w:val="00E749D6"/>
    <w:rsid w:val="00E74A46"/>
    <w:rsid w:val="00E74AF9"/>
    <w:rsid w:val="00E74B5B"/>
    <w:rsid w:val="00E74C96"/>
    <w:rsid w:val="00E74D80"/>
    <w:rsid w:val="00E750BE"/>
    <w:rsid w:val="00E75292"/>
    <w:rsid w:val="00E75294"/>
    <w:rsid w:val="00E754B5"/>
    <w:rsid w:val="00E75593"/>
    <w:rsid w:val="00E755D0"/>
    <w:rsid w:val="00E755F5"/>
    <w:rsid w:val="00E75632"/>
    <w:rsid w:val="00E7574F"/>
    <w:rsid w:val="00E75795"/>
    <w:rsid w:val="00E758FF"/>
    <w:rsid w:val="00E759A7"/>
    <w:rsid w:val="00E75ACF"/>
    <w:rsid w:val="00E75B8A"/>
    <w:rsid w:val="00E75B9F"/>
    <w:rsid w:val="00E75C72"/>
    <w:rsid w:val="00E75D24"/>
    <w:rsid w:val="00E75EDA"/>
    <w:rsid w:val="00E760BB"/>
    <w:rsid w:val="00E760BF"/>
    <w:rsid w:val="00E761CA"/>
    <w:rsid w:val="00E76222"/>
    <w:rsid w:val="00E763EB"/>
    <w:rsid w:val="00E7647E"/>
    <w:rsid w:val="00E7653B"/>
    <w:rsid w:val="00E766B2"/>
    <w:rsid w:val="00E766B8"/>
    <w:rsid w:val="00E76767"/>
    <w:rsid w:val="00E7689B"/>
    <w:rsid w:val="00E76911"/>
    <w:rsid w:val="00E769A2"/>
    <w:rsid w:val="00E769AE"/>
    <w:rsid w:val="00E76A4B"/>
    <w:rsid w:val="00E76B4D"/>
    <w:rsid w:val="00E76C8D"/>
    <w:rsid w:val="00E76DCF"/>
    <w:rsid w:val="00E76E40"/>
    <w:rsid w:val="00E77053"/>
    <w:rsid w:val="00E770FA"/>
    <w:rsid w:val="00E77128"/>
    <w:rsid w:val="00E7736D"/>
    <w:rsid w:val="00E773DA"/>
    <w:rsid w:val="00E77BE8"/>
    <w:rsid w:val="00E77E30"/>
    <w:rsid w:val="00E77E4F"/>
    <w:rsid w:val="00E77E58"/>
    <w:rsid w:val="00E77FC4"/>
    <w:rsid w:val="00E800BE"/>
    <w:rsid w:val="00E801F1"/>
    <w:rsid w:val="00E803F0"/>
    <w:rsid w:val="00E8044C"/>
    <w:rsid w:val="00E8072B"/>
    <w:rsid w:val="00E8081F"/>
    <w:rsid w:val="00E80875"/>
    <w:rsid w:val="00E80A28"/>
    <w:rsid w:val="00E80D4C"/>
    <w:rsid w:val="00E80D85"/>
    <w:rsid w:val="00E81040"/>
    <w:rsid w:val="00E81129"/>
    <w:rsid w:val="00E8117E"/>
    <w:rsid w:val="00E8131B"/>
    <w:rsid w:val="00E81385"/>
    <w:rsid w:val="00E813D7"/>
    <w:rsid w:val="00E81411"/>
    <w:rsid w:val="00E81559"/>
    <w:rsid w:val="00E8165E"/>
    <w:rsid w:val="00E81674"/>
    <w:rsid w:val="00E81A22"/>
    <w:rsid w:val="00E81E0D"/>
    <w:rsid w:val="00E81E45"/>
    <w:rsid w:val="00E820DC"/>
    <w:rsid w:val="00E820DF"/>
    <w:rsid w:val="00E82113"/>
    <w:rsid w:val="00E8217C"/>
    <w:rsid w:val="00E821C1"/>
    <w:rsid w:val="00E82311"/>
    <w:rsid w:val="00E8237C"/>
    <w:rsid w:val="00E824B2"/>
    <w:rsid w:val="00E82694"/>
    <w:rsid w:val="00E8277E"/>
    <w:rsid w:val="00E82860"/>
    <w:rsid w:val="00E828BD"/>
    <w:rsid w:val="00E829D9"/>
    <w:rsid w:val="00E82A28"/>
    <w:rsid w:val="00E82B2B"/>
    <w:rsid w:val="00E82C62"/>
    <w:rsid w:val="00E82C7A"/>
    <w:rsid w:val="00E82D51"/>
    <w:rsid w:val="00E82D71"/>
    <w:rsid w:val="00E82FF3"/>
    <w:rsid w:val="00E8308E"/>
    <w:rsid w:val="00E83094"/>
    <w:rsid w:val="00E8311C"/>
    <w:rsid w:val="00E83577"/>
    <w:rsid w:val="00E838AF"/>
    <w:rsid w:val="00E83A89"/>
    <w:rsid w:val="00E83C4C"/>
    <w:rsid w:val="00E83CD4"/>
    <w:rsid w:val="00E83DA6"/>
    <w:rsid w:val="00E83E71"/>
    <w:rsid w:val="00E83F0A"/>
    <w:rsid w:val="00E83FD6"/>
    <w:rsid w:val="00E84198"/>
    <w:rsid w:val="00E841B0"/>
    <w:rsid w:val="00E844B5"/>
    <w:rsid w:val="00E8453E"/>
    <w:rsid w:val="00E8458C"/>
    <w:rsid w:val="00E8459B"/>
    <w:rsid w:val="00E848E0"/>
    <w:rsid w:val="00E84917"/>
    <w:rsid w:val="00E84BD9"/>
    <w:rsid w:val="00E84BE0"/>
    <w:rsid w:val="00E84BFA"/>
    <w:rsid w:val="00E84C5D"/>
    <w:rsid w:val="00E84CFF"/>
    <w:rsid w:val="00E84D7A"/>
    <w:rsid w:val="00E84E7D"/>
    <w:rsid w:val="00E84FEE"/>
    <w:rsid w:val="00E85281"/>
    <w:rsid w:val="00E85296"/>
    <w:rsid w:val="00E852A9"/>
    <w:rsid w:val="00E85355"/>
    <w:rsid w:val="00E853E4"/>
    <w:rsid w:val="00E853FD"/>
    <w:rsid w:val="00E854E6"/>
    <w:rsid w:val="00E8550C"/>
    <w:rsid w:val="00E85584"/>
    <w:rsid w:val="00E8572D"/>
    <w:rsid w:val="00E85826"/>
    <w:rsid w:val="00E8582E"/>
    <w:rsid w:val="00E85A4C"/>
    <w:rsid w:val="00E85C34"/>
    <w:rsid w:val="00E85D93"/>
    <w:rsid w:val="00E85DD2"/>
    <w:rsid w:val="00E85E08"/>
    <w:rsid w:val="00E85E31"/>
    <w:rsid w:val="00E85F6B"/>
    <w:rsid w:val="00E85F80"/>
    <w:rsid w:val="00E85F87"/>
    <w:rsid w:val="00E86102"/>
    <w:rsid w:val="00E86464"/>
    <w:rsid w:val="00E864E6"/>
    <w:rsid w:val="00E864F2"/>
    <w:rsid w:val="00E867A4"/>
    <w:rsid w:val="00E869DF"/>
    <w:rsid w:val="00E86BA1"/>
    <w:rsid w:val="00E86DBB"/>
    <w:rsid w:val="00E86E04"/>
    <w:rsid w:val="00E86E77"/>
    <w:rsid w:val="00E86F30"/>
    <w:rsid w:val="00E86F4D"/>
    <w:rsid w:val="00E86F7D"/>
    <w:rsid w:val="00E86FB7"/>
    <w:rsid w:val="00E87067"/>
    <w:rsid w:val="00E871C6"/>
    <w:rsid w:val="00E872BF"/>
    <w:rsid w:val="00E87399"/>
    <w:rsid w:val="00E87AD7"/>
    <w:rsid w:val="00E87EFE"/>
    <w:rsid w:val="00E87F03"/>
    <w:rsid w:val="00E90196"/>
    <w:rsid w:val="00E901EA"/>
    <w:rsid w:val="00E90395"/>
    <w:rsid w:val="00E904BC"/>
    <w:rsid w:val="00E9085D"/>
    <w:rsid w:val="00E90A0D"/>
    <w:rsid w:val="00E9140C"/>
    <w:rsid w:val="00E91561"/>
    <w:rsid w:val="00E91580"/>
    <w:rsid w:val="00E9165C"/>
    <w:rsid w:val="00E9172E"/>
    <w:rsid w:val="00E91779"/>
    <w:rsid w:val="00E9180B"/>
    <w:rsid w:val="00E91821"/>
    <w:rsid w:val="00E91857"/>
    <w:rsid w:val="00E91AFE"/>
    <w:rsid w:val="00E91B94"/>
    <w:rsid w:val="00E91BB3"/>
    <w:rsid w:val="00E91BC6"/>
    <w:rsid w:val="00E91C02"/>
    <w:rsid w:val="00E91CC8"/>
    <w:rsid w:val="00E91D0B"/>
    <w:rsid w:val="00E920C2"/>
    <w:rsid w:val="00E9225F"/>
    <w:rsid w:val="00E922AE"/>
    <w:rsid w:val="00E92305"/>
    <w:rsid w:val="00E9245C"/>
    <w:rsid w:val="00E927C5"/>
    <w:rsid w:val="00E92B46"/>
    <w:rsid w:val="00E92E87"/>
    <w:rsid w:val="00E932F4"/>
    <w:rsid w:val="00E93315"/>
    <w:rsid w:val="00E9334A"/>
    <w:rsid w:val="00E933CB"/>
    <w:rsid w:val="00E93512"/>
    <w:rsid w:val="00E9360C"/>
    <w:rsid w:val="00E9378D"/>
    <w:rsid w:val="00E93931"/>
    <w:rsid w:val="00E93A1B"/>
    <w:rsid w:val="00E93ACA"/>
    <w:rsid w:val="00E93B17"/>
    <w:rsid w:val="00E93C01"/>
    <w:rsid w:val="00E93D04"/>
    <w:rsid w:val="00E93DA2"/>
    <w:rsid w:val="00E93E61"/>
    <w:rsid w:val="00E94134"/>
    <w:rsid w:val="00E94285"/>
    <w:rsid w:val="00E943B4"/>
    <w:rsid w:val="00E94611"/>
    <w:rsid w:val="00E94634"/>
    <w:rsid w:val="00E94640"/>
    <w:rsid w:val="00E94672"/>
    <w:rsid w:val="00E9472B"/>
    <w:rsid w:val="00E947B6"/>
    <w:rsid w:val="00E94809"/>
    <w:rsid w:val="00E94976"/>
    <w:rsid w:val="00E94ABD"/>
    <w:rsid w:val="00E94B30"/>
    <w:rsid w:val="00E94C01"/>
    <w:rsid w:val="00E94E7C"/>
    <w:rsid w:val="00E94EB8"/>
    <w:rsid w:val="00E95056"/>
    <w:rsid w:val="00E950E3"/>
    <w:rsid w:val="00E95120"/>
    <w:rsid w:val="00E951D0"/>
    <w:rsid w:val="00E952CC"/>
    <w:rsid w:val="00E9555B"/>
    <w:rsid w:val="00E95B3C"/>
    <w:rsid w:val="00E95B4A"/>
    <w:rsid w:val="00E95D72"/>
    <w:rsid w:val="00E95DC9"/>
    <w:rsid w:val="00E95DF7"/>
    <w:rsid w:val="00E95E3D"/>
    <w:rsid w:val="00E95EE2"/>
    <w:rsid w:val="00E961EC"/>
    <w:rsid w:val="00E96252"/>
    <w:rsid w:val="00E963C8"/>
    <w:rsid w:val="00E963FF"/>
    <w:rsid w:val="00E96432"/>
    <w:rsid w:val="00E96505"/>
    <w:rsid w:val="00E965F4"/>
    <w:rsid w:val="00E966D7"/>
    <w:rsid w:val="00E96765"/>
    <w:rsid w:val="00E96887"/>
    <w:rsid w:val="00E96C00"/>
    <w:rsid w:val="00E96EAD"/>
    <w:rsid w:val="00E97130"/>
    <w:rsid w:val="00E9715B"/>
    <w:rsid w:val="00E971A8"/>
    <w:rsid w:val="00E9723D"/>
    <w:rsid w:val="00E9739C"/>
    <w:rsid w:val="00E9773F"/>
    <w:rsid w:val="00E97762"/>
    <w:rsid w:val="00E977E2"/>
    <w:rsid w:val="00E9790E"/>
    <w:rsid w:val="00E979A5"/>
    <w:rsid w:val="00E97A4A"/>
    <w:rsid w:val="00E97AC1"/>
    <w:rsid w:val="00E97AF8"/>
    <w:rsid w:val="00E97C56"/>
    <w:rsid w:val="00E97E59"/>
    <w:rsid w:val="00E97EB1"/>
    <w:rsid w:val="00EA001C"/>
    <w:rsid w:val="00EA0256"/>
    <w:rsid w:val="00EA04E8"/>
    <w:rsid w:val="00EA04ED"/>
    <w:rsid w:val="00EA05C6"/>
    <w:rsid w:val="00EA0635"/>
    <w:rsid w:val="00EA06A8"/>
    <w:rsid w:val="00EA0BEB"/>
    <w:rsid w:val="00EA0C78"/>
    <w:rsid w:val="00EA0E83"/>
    <w:rsid w:val="00EA0EB9"/>
    <w:rsid w:val="00EA0FFF"/>
    <w:rsid w:val="00EA101F"/>
    <w:rsid w:val="00EA102D"/>
    <w:rsid w:val="00EA1040"/>
    <w:rsid w:val="00EA1070"/>
    <w:rsid w:val="00EA1715"/>
    <w:rsid w:val="00EA17B8"/>
    <w:rsid w:val="00EA181E"/>
    <w:rsid w:val="00EA1AB8"/>
    <w:rsid w:val="00EA1B5E"/>
    <w:rsid w:val="00EA1C05"/>
    <w:rsid w:val="00EA1D1E"/>
    <w:rsid w:val="00EA1D88"/>
    <w:rsid w:val="00EA1DD8"/>
    <w:rsid w:val="00EA1EC6"/>
    <w:rsid w:val="00EA203A"/>
    <w:rsid w:val="00EA20DB"/>
    <w:rsid w:val="00EA224A"/>
    <w:rsid w:val="00EA24A9"/>
    <w:rsid w:val="00EA253E"/>
    <w:rsid w:val="00EA258E"/>
    <w:rsid w:val="00EA25B6"/>
    <w:rsid w:val="00EA279A"/>
    <w:rsid w:val="00EA27A9"/>
    <w:rsid w:val="00EA29C1"/>
    <w:rsid w:val="00EA2A4D"/>
    <w:rsid w:val="00EA2B4B"/>
    <w:rsid w:val="00EA2B99"/>
    <w:rsid w:val="00EA2C5A"/>
    <w:rsid w:val="00EA2DA3"/>
    <w:rsid w:val="00EA2DDC"/>
    <w:rsid w:val="00EA2E64"/>
    <w:rsid w:val="00EA30EA"/>
    <w:rsid w:val="00EA3185"/>
    <w:rsid w:val="00EA31D5"/>
    <w:rsid w:val="00EA3202"/>
    <w:rsid w:val="00EA320A"/>
    <w:rsid w:val="00EA3273"/>
    <w:rsid w:val="00EA329F"/>
    <w:rsid w:val="00EA340C"/>
    <w:rsid w:val="00EA34B0"/>
    <w:rsid w:val="00EA3550"/>
    <w:rsid w:val="00EA35AA"/>
    <w:rsid w:val="00EA37B8"/>
    <w:rsid w:val="00EA37CE"/>
    <w:rsid w:val="00EA37D9"/>
    <w:rsid w:val="00EA38AB"/>
    <w:rsid w:val="00EA394B"/>
    <w:rsid w:val="00EA39A2"/>
    <w:rsid w:val="00EA39D2"/>
    <w:rsid w:val="00EA3BC4"/>
    <w:rsid w:val="00EA3C67"/>
    <w:rsid w:val="00EA3D35"/>
    <w:rsid w:val="00EA3DF3"/>
    <w:rsid w:val="00EA3FC9"/>
    <w:rsid w:val="00EA433A"/>
    <w:rsid w:val="00EA439A"/>
    <w:rsid w:val="00EA43C2"/>
    <w:rsid w:val="00EA43F5"/>
    <w:rsid w:val="00EA448F"/>
    <w:rsid w:val="00EA4699"/>
    <w:rsid w:val="00EA4765"/>
    <w:rsid w:val="00EA4842"/>
    <w:rsid w:val="00EA4930"/>
    <w:rsid w:val="00EA4A95"/>
    <w:rsid w:val="00EA4B4E"/>
    <w:rsid w:val="00EA4C81"/>
    <w:rsid w:val="00EA4CB1"/>
    <w:rsid w:val="00EA4E0E"/>
    <w:rsid w:val="00EA5172"/>
    <w:rsid w:val="00EA523A"/>
    <w:rsid w:val="00EA5287"/>
    <w:rsid w:val="00EA52FE"/>
    <w:rsid w:val="00EA53B1"/>
    <w:rsid w:val="00EA5504"/>
    <w:rsid w:val="00EA5759"/>
    <w:rsid w:val="00EA579B"/>
    <w:rsid w:val="00EA57FA"/>
    <w:rsid w:val="00EA580E"/>
    <w:rsid w:val="00EA586D"/>
    <w:rsid w:val="00EA5B53"/>
    <w:rsid w:val="00EA5ED2"/>
    <w:rsid w:val="00EA5F2C"/>
    <w:rsid w:val="00EA5F33"/>
    <w:rsid w:val="00EA61CE"/>
    <w:rsid w:val="00EA62C0"/>
    <w:rsid w:val="00EA6308"/>
    <w:rsid w:val="00EA6354"/>
    <w:rsid w:val="00EA643B"/>
    <w:rsid w:val="00EA64A0"/>
    <w:rsid w:val="00EA64D6"/>
    <w:rsid w:val="00EA65DF"/>
    <w:rsid w:val="00EA6768"/>
    <w:rsid w:val="00EA677E"/>
    <w:rsid w:val="00EA697F"/>
    <w:rsid w:val="00EA6A71"/>
    <w:rsid w:val="00EA6B2A"/>
    <w:rsid w:val="00EA6C15"/>
    <w:rsid w:val="00EA6C68"/>
    <w:rsid w:val="00EA6C80"/>
    <w:rsid w:val="00EA6D7D"/>
    <w:rsid w:val="00EA6DBF"/>
    <w:rsid w:val="00EA6F7F"/>
    <w:rsid w:val="00EA6F9C"/>
    <w:rsid w:val="00EA7079"/>
    <w:rsid w:val="00EA723E"/>
    <w:rsid w:val="00EA726E"/>
    <w:rsid w:val="00EA72E5"/>
    <w:rsid w:val="00EA7428"/>
    <w:rsid w:val="00EA7798"/>
    <w:rsid w:val="00EA7811"/>
    <w:rsid w:val="00EA78BF"/>
    <w:rsid w:val="00EA78ED"/>
    <w:rsid w:val="00EA79F1"/>
    <w:rsid w:val="00EA7AAE"/>
    <w:rsid w:val="00EA7C6B"/>
    <w:rsid w:val="00EA7CE2"/>
    <w:rsid w:val="00EA7E80"/>
    <w:rsid w:val="00EA7FBE"/>
    <w:rsid w:val="00EB0071"/>
    <w:rsid w:val="00EB00A8"/>
    <w:rsid w:val="00EB0150"/>
    <w:rsid w:val="00EB03DA"/>
    <w:rsid w:val="00EB04DC"/>
    <w:rsid w:val="00EB054E"/>
    <w:rsid w:val="00EB06B6"/>
    <w:rsid w:val="00EB06FD"/>
    <w:rsid w:val="00EB0706"/>
    <w:rsid w:val="00EB089D"/>
    <w:rsid w:val="00EB0986"/>
    <w:rsid w:val="00EB0B49"/>
    <w:rsid w:val="00EB0B68"/>
    <w:rsid w:val="00EB0CD8"/>
    <w:rsid w:val="00EB0D8C"/>
    <w:rsid w:val="00EB0E0E"/>
    <w:rsid w:val="00EB0E49"/>
    <w:rsid w:val="00EB0F5E"/>
    <w:rsid w:val="00EB0F73"/>
    <w:rsid w:val="00EB0FEC"/>
    <w:rsid w:val="00EB104F"/>
    <w:rsid w:val="00EB12A2"/>
    <w:rsid w:val="00EB14E3"/>
    <w:rsid w:val="00EB17AD"/>
    <w:rsid w:val="00EB17FC"/>
    <w:rsid w:val="00EB186B"/>
    <w:rsid w:val="00EB1A0E"/>
    <w:rsid w:val="00EB1BFF"/>
    <w:rsid w:val="00EB1CB4"/>
    <w:rsid w:val="00EB1CC1"/>
    <w:rsid w:val="00EB1D20"/>
    <w:rsid w:val="00EB1D38"/>
    <w:rsid w:val="00EB1F35"/>
    <w:rsid w:val="00EB1FCA"/>
    <w:rsid w:val="00EB2015"/>
    <w:rsid w:val="00EB20A7"/>
    <w:rsid w:val="00EB20C4"/>
    <w:rsid w:val="00EB20C5"/>
    <w:rsid w:val="00EB2187"/>
    <w:rsid w:val="00EB2354"/>
    <w:rsid w:val="00EB2376"/>
    <w:rsid w:val="00EB256A"/>
    <w:rsid w:val="00EB2578"/>
    <w:rsid w:val="00EB259B"/>
    <w:rsid w:val="00EB25F7"/>
    <w:rsid w:val="00EB26D6"/>
    <w:rsid w:val="00EB2864"/>
    <w:rsid w:val="00EB29DF"/>
    <w:rsid w:val="00EB2BA3"/>
    <w:rsid w:val="00EB2E83"/>
    <w:rsid w:val="00EB2ED7"/>
    <w:rsid w:val="00EB2F57"/>
    <w:rsid w:val="00EB30CB"/>
    <w:rsid w:val="00EB323F"/>
    <w:rsid w:val="00EB3403"/>
    <w:rsid w:val="00EB3462"/>
    <w:rsid w:val="00EB34A1"/>
    <w:rsid w:val="00EB34AE"/>
    <w:rsid w:val="00EB36B4"/>
    <w:rsid w:val="00EB3741"/>
    <w:rsid w:val="00EB3764"/>
    <w:rsid w:val="00EB37BC"/>
    <w:rsid w:val="00EB37CF"/>
    <w:rsid w:val="00EB3ACA"/>
    <w:rsid w:val="00EB3B7A"/>
    <w:rsid w:val="00EB3C68"/>
    <w:rsid w:val="00EB3D1C"/>
    <w:rsid w:val="00EB3EC4"/>
    <w:rsid w:val="00EB4064"/>
    <w:rsid w:val="00EB413D"/>
    <w:rsid w:val="00EB41DC"/>
    <w:rsid w:val="00EB4215"/>
    <w:rsid w:val="00EB421E"/>
    <w:rsid w:val="00EB453A"/>
    <w:rsid w:val="00EB46B1"/>
    <w:rsid w:val="00EB48F2"/>
    <w:rsid w:val="00EB4904"/>
    <w:rsid w:val="00EB496D"/>
    <w:rsid w:val="00EB499F"/>
    <w:rsid w:val="00EB4CF0"/>
    <w:rsid w:val="00EB4D3A"/>
    <w:rsid w:val="00EB4E00"/>
    <w:rsid w:val="00EB4E0E"/>
    <w:rsid w:val="00EB4F10"/>
    <w:rsid w:val="00EB4F6E"/>
    <w:rsid w:val="00EB52BE"/>
    <w:rsid w:val="00EB52BF"/>
    <w:rsid w:val="00EB53DA"/>
    <w:rsid w:val="00EB555A"/>
    <w:rsid w:val="00EB55BC"/>
    <w:rsid w:val="00EB55CD"/>
    <w:rsid w:val="00EB56C9"/>
    <w:rsid w:val="00EB5762"/>
    <w:rsid w:val="00EB59E8"/>
    <w:rsid w:val="00EB5ABD"/>
    <w:rsid w:val="00EB5AD0"/>
    <w:rsid w:val="00EB5AD7"/>
    <w:rsid w:val="00EB5ADC"/>
    <w:rsid w:val="00EB5B26"/>
    <w:rsid w:val="00EB5BA0"/>
    <w:rsid w:val="00EB5BCB"/>
    <w:rsid w:val="00EB5D71"/>
    <w:rsid w:val="00EB5DAB"/>
    <w:rsid w:val="00EB5DF6"/>
    <w:rsid w:val="00EB5E02"/>
    <w:rsid w:val="00EB602C"/>
    <w:rsid w:val="00EB61C9"/>
    <w:rsid w:val="00EB626C"/>
    <w:rsid w:val="00EB62A9"/>
    <w:rsid w:val="00EB6361"/>
    <w:rsid w:val="00EB63B4"/>
    <w:rsid w:val="00EB64D8"/>
    <w:rsid w:val="00EB64E9"/>
    <w:rsid w:val="00EB6626"/>
    <w:rsid w:val="00EB662B"/>
    <w:rsid w:val="00EB66E2"/>
    <w:rsid w:val="00EB6737"/>
    <w:rsid w:val="00EB68CC"/>
    <w:rsid w:val="00EB6918"/>
    <w:rsid w:val="00EB6A7E"/>
    <w:rsid w:val="00EB6A88"/>
    <w:rsid w:val="00EB6F49"/>
    <w:rsid w:val="00EB710D"/>
    <w:rsid w:val="00EB72FC"/>
    <w:rsid w:val="00EB7444"/>
    <w:rsid w:val="00EB74E4"/>
    <w:rsid w:val="00EB7607"/>
    <w:rsid w:val="00EB79F9"/>
    <w:rsid w:val="00EB7AB8"/>
    <w:rsid w:val="00EB7B8C"/>
    <w:rsid w:val="00EB7D71"/>
    <w:rsid w:val="00EB7DB1"/>
    <w:rsid w:val="00EB7FBD"/>
    <w:rsid w:val="00EC0225"/>
    <w:rsid w:val="00EC026C"/>
    <w:rsid w:val="00EC02B3"/>
    <w:rsid w:val="00EC0364"/>
    <w:rsid w:val="00EC045A"/>
    <w:rsid w:val="00EC045B"/>
    <w:rsid w:val="00EC0545"/>
    <w:rsid w:val="00EC071B"/>
    <w:rsid w:val="00EC0A99"/>
    <w:rsid w:val="00EC0B66"/>
    <w:rsid w:val="00EC0E77"/>
    <w:rsid w:val="00EC0FD3"/>
    <w:rsid w:val="00EC103B"/>
    <w:rsid w:val="00EC1289"/>
    <w:rsid w:val="00EC1473"/>
    <w:rsid w:val="00EC1524"/>
    <w:rsid w:val="00EC15A4"/>
    <w:rsid w:val="00EC15FD"/>
    <w:rsid w:val="00EC1667"/>
    <w:rsid w:val="00EC17FE"/>
    <w:rsid w:val="00EC18DD"/>
    <w:rsid w:val="00EC195E"/>
    <w:rsid w:val="00EC19FD"/>
    <w:rsid w:val="00EC1B18"/>
    <w:rsid w:val="00EC1B2F"/>
    <w:rsid w:val="00EC1EA7"/>
    <w:rsid w:val="00EC1F94"/>
    <w:rsid w:val="00EC2018"/>
    <w:rsid w:val="00EC2081"/>
    <w:rsid w:val="00EC21AD"/>
    <w:rsid w:val="00EC2214"/>
    <w:rsid w:val="00EC2272"/>
    <w:rsid w:val="00EC2291"/>
    <w:rsid w:val="00EC22EE"/>
    <w:rsid w:val="00EC26BE"/>
    <w:rsid w:val="00EC2742"/>
    <w:rsid w:val="00EC2781"/>
    <w:rsid w:val="00EC2CAF"/>
    <w:rsid w:val="00EC2DB9"/>
    <w:rsid w:val="00EC2FCF"/>
    <w:rsid w:val="00EC3057"/>
    <w:rsid w:val="00EC3387"/>
    <w:rsid w:val="00EC34A3"/>
    <w:rsid w:val="00EC368F"/>
    <w:rsid w:val="00EC36A6"/>
    <w:rsid w:val="00EC36B9"/>
    <w:rsid w:val="00EC36CF"/>
    <w:rsid w:val="00EC39A5"/>
    <w:rsid w:val="00EC39DA"/>
    <w:rsid w:val="00EC3A48"/>
    <w:rsid w:val="00EC3B60"/>
    <w:rsid w:val="00EC3D88"/>
    <w:rsid w:val="00EC4017"/>
    <w:rsid w:val="00EC429A"/>
    <w:rsid w:val="00EC4361"/>
    <w:rsid w:val="00EC473E"/>
    <w:rsid w:val="00EC47D9"/>
    <w:rsid w:val="00EC480B"/>
    <w:rsid w:val="00EC4A88"/>
    <w:rsid w:val="00EC4AC8"/>
    <w:rsid w:val="00EC5041"/>
    <w:rsid w:val="00EC52DD"/>
    <w:rsid w:val="00EC5542"/>
    <w:rsid w:val="00EC55DC"/>
    <w:rsid w:val="00EC55EE"/>
    <w:rsid w:val="00EC571C"/>
    <w:rsid w:val="00EC5742"/>
    <w:rsid w:val="00EC57A2"/>
    <w:rsid w:val="00EC584B"/>
    <w:rsid w:val="00EC58F0"/>
    <w:rsid w:val="00EC5985"/>
    <w:rsid w:val="00EC5AB0"/>
    <w:rsid w:val="00EC5B43"/>
    <w:rsid w:val="00EC5BCB"/>
    <w:rsid w:val="00EC5C19"/>
    <w:rsid w:val="00EC5C4D"/>
    <w:rsid w:val="00EC5ED1"/>
    <w:rsid w:val="00EC5FE5"/>
    <w:rsid w:val="00EC60FC"/>
    <w:rsid w:val="00EC6308"/>
    <w:rsid w:val="00EC63EE"/>
    <w:rsid w:val="00EC6708"/>
    <w:rsid w:val="00EC676F"/>
    <w:rsid w:val="00EC67F6"/>
    <w:rsid w:val="00EC69A8"/>
    <w:rsid w:val="00EC6A23"/>
    <w:rsid w:val="00EC6AC2"/>
    <w:rsid w:val="00EC6B62"/>
    <w:rsid w:val="00EC6C95"/>
    <w:rsid w:val="00EC6D9A"/>
    <w:rsid w:val="00EC70AD"/>
    <w:rsid w:val="00EC712B"/>
    <w:rsid w:val="00EC7169"/>
    <w:rsid w:val="00EC7301"/>
    <w:rsid w:val="00EC7347"/>
    <w:rsid w:val="00EC735B"/>
    <w:rsid w:val="00EC73B6"/>
    <w:rsid w:val="00EC7500"/>
    <w:rsid w:val="00EC7520"/>
    <w:rsid w:val="00EC777D"/>
    <w:rsid w:val="00EC7BC6"/>
    <w:rsid w:val="00EC7CCE"/>
    <w:rsid w:val="00EC7CF8"/>
    <w:rsid w:val="00EC7D56"/>
    <w:rsid w:val="00EC7E5D"/>
    <w:rsid w:val="00EC7FEA"/>
    <w:rsid w:val="00ED00DF"/>
    <w:rsid w:val="00ED0132"/>
    <w:rsid w:val="00ED01BA"/>
    <w:rsid w:val="00ED023D"/>
    <w:rsid w:val="00ED040F"/>
    <w:rsid w:val="00ED0482"/>
    <w:rsid w:val="00ED05F1"/>
    <w:rsid w:val="00ED0667"/>
    <w:rsid w:val="00ED06C2"/>
    <w:rsid w:val="00ED0754"/>
    <w:rsid w:val="00ED08B9"/>
    <w:rsid w:val="00ED0943"/>
    <w:rsid w:val="00ED099E"/>
    <w:rsid w:val="00ED0B36"/>
    <w:rsid w:val="00ED0F0A"/>
    <w:rsid w:val="00ED0F40"/>
    <w:rsid w:val="00ED103D"/>
    <w:rsid w:val="00ED109B"/>
    <w:rsid w:val="00ED1665"/>
    <w:rsid w:val="00ED1714"/>
    <w:rsid w:val="00ED171A"/>
    <w:rsid w:val="00ED175D"/>
    <w:rsid w:val="00ED1835"/>
    <w:rsid w:val="00ED1898"/>
    <w:rsid w:val="00ED1924"/>
    <w:rsid w:val="00ED1B40"/>
    <w:rsid w:val="00ED1B60"/>
    <w:rsid w:val="00ED1C31"/>
    <w:rsid w:val="00ED1D58"/>
    <w:rsid w:val="00ED1D7C"/>
    <w:rsid w:val="00ED1D93"/>
    <w:rsid w:val="00ED1DBD"/>
    <w:rsid w:val="00ED2028"/>
    <w:rsid w:val="00ED2032"/>
    <w:rsid w:val="00ED215D"/>
    <w:rsid w:val="00ED2191"/>
    <w:rsid w:val="00ED2271"/>
    <w:rsid w:val="00ED227C"/>
    <w:rsid w:val="00ED22D4"/>
    <w:rsid w:val="00ED2306"/>
    <w:rsid w:val="00ED24F9"/>
    <w:rsid w:val="00ED27A8"/>
    <w:rsid w:val="00ED2864"/>
    <w:rsid w:val="00ED2A71"/>
    <w:rsid w:val="00ED2BFE"/>
    <w:rsid w:val="00ED2D11"/>
    <w:rsid w:val="00ED2D2D"/>
    <w:rsid w:val="00ED2F4D"/>
    <w:rsid w:val="00ED2F79"/>
    <w:rsid w:val="00ED2FF8"/>
    <w:rsid w:val="00ED328E"/>
    <w:rsid w:val="00ED33EE"/>
    <w:rsid w:val="00ED34AF"/>
    <w:rsid w:val="00ED3782"/>
    <w:rsid w:val="00ED37E2"/>
    <w:rsid w:val="00ED3821"/>
    <w:rsid w:val="00ED383C"/>
    <w:rsid w:val="00ED38D2"/>
    <w:rsid w:val="00ED39C5"/>
    <w:rsid w:val="00ED3B64"/>
    <w:rsid w:val="00ED3B90"/>
    <w:rsid w:val="00ED3CB3"/>
    <w:rsid w:val="00ED3F3E"/>
    <w:rsid w:val="00ED4017"/>
    <w:rsid w:val="00ED403F"/>
    <w:rsid w:val="00ED413F"/>
    <w:rsid w:val="00ED4276"/>
    <w:rsid w:val="00ED4281"/>
    <w:rsid w:val="00ED4304"/>
    <w:rsid w:val="00ED46C8"/>
    <w:rsid w:val="00ED46E2"/>
    <w:rsid w:val="00ED4847"/>
    <w:rsid w:val="00ED4B69"/>
    <w:rsid w:val="00ED4BB4"/>
    <w:rsid w:val="00ED4BC8"/>
    <w:rsid w:val="00ED4CA0"/>
    <w:rsid w:val="00ED4CB8"/>
    <w:rsid w:val="00ED4D29"/>
    <w:rsid w:val="00ED4DE5"/>
    <w:rsid w:val="00ED523F"/>
    <w:rsid w:val="00ED52D3"/>
    <w:rsid w:val="00ED5551"/>
    <w:rsid w:val="00ED55E6"/>
    <w:rsid w:val="00ED5617"/>
    <w:rsid w:val="00ED56D7"/>
    <w:rsid w:val="00ED572D"/>
    <w:rsid w:val="00ED574B"/>
    <w:rsid w:val="00ED5780"/>
    <w:rsid w:val="00ED579B"/>
    <w:rsid w:val="00ED5B70"/>
    <w:rsid w:val="00ED5DD6"/>
    <w:rsid w:val="00ED6130"/>
    <w:rsid w:val="00ED62DF"/>
    <w:rsid w:val="00ED65CF"/>
    <w:rsid w:val="00ED670C"/>
    <w:rsid w:val="00ED6724"/>
    <w:rsid w:val="00ED67F9"/>
    <w:rsid w:val="00ED69B3"/>
    <w:rsid w:val="00ED6AAF"/>
    <w:rsid w:val="00ED6CE3"/>
    <w:rsid w:val="00ED6D80"/>
    <w:rsid w:val="00ED6DAB"/>
    <w:rsid w:val="00ED6DD3"/>
    <w:rsid w:val="00ED706E"/>
    <w:rsid w:val="00ED73AC"/>
    <w:rsid w:val="00ED761B"/>
    <w:rsid w:val="00ED769A"/>
    <w:rsid w:val="00ED79DE"/>
    <w:rsid w:val="00ED7B40"/>
    <w:rsid w:val="00ED7C4B"/>
    <w:rsid w:val="00ED7D4A"/>
    <w:rsid w:val="00ED7E99"/>
    <w:rsid w:val="00ED7E9F"/>
    <w:rsid w:val="00ED7F82"/>
    <w:rsid w:val="00EE0065"/>
    <w:rsid w:val="00EE01AC"/>
    <w:rsid w:val="00EE0482"/>
    <w:rsid w:val="00EE050E"/>
    <w:rsid w:val="00EE05F9"/>
    <w:rsid w:val="00EE0665"/>
    <w:rsid w:val="00EE067A"/>
    <w:rsid w:val="00EE07EA"/>
    <w:rsid w:val="00EE086C"/>
    <w:rsid w:val="00EE087E"/>
    <w:rsid w:val="00EE0898"/>
    <w:rsid w:val="00EE0A0D"/>
    <w:rsid w:val="00EE0BC0"/>
    <w:rsid w:val="00EE0C1E"/>
    <w:rsid w:val="00EE0D01"/>
    <w:rsid w:val="00EE0D78"/>
    <w:rsid w:val="00EE0DC7"/>
    <w:rsid w:val="00EE11CB"/>
    <w:rsid w:val="00EE11DE"/>
    <w:rsid w:val="00EE14F2"/>
    <w:rsid w:val="00EE1597"/>
    <w:rsid w:val="00EE15A3"/>
    <w:rsid w:val="00EE15E1"/>
    <w:rsid w:val="00EE1639"/>
    <w:rsid w:val="00EE1685"/>
    <w:rsid w:val="00EE1694"/>
    <w:rsid w:val="00EE189E"/>
    <w:rsid w:val="00EE1954"/>
    <w:rsid w:val="00EE1A14"/>
    <w:rsid w:val="00EE1A9A"/>
    <w:rsid w:val="00EE1B22"/>
    <w:rsid w:val="00EE1C97"/>
    <w:rsid w:val="00EE1D57"/>
    <w:rsid w:val="00EE1D81"/>
    <w:rsid w:val="00EE1DB5"/>
    <w:rsid w:val="00EE1DD9"/>
    <w:rsid w:val="00EE1F41"/>
    <w:rsid w:val="00EE20D9"/>
    <w:rsid w:val="00EE21AA"/>
    <w:rsid w:val="00EE2238"/>
    <w:rsid w:val="00EE22BF"/>
    <w:rsid w:val="00EE2386"/>
    <w:rsid w:val="00EE242D"/>
    <w:rsid w:val="00EE2479"/>
    <w:rsid w:val="00EE24B9"/>
    <w:rsid w:val="00EE25E3"/>
    <w:rsid w:val="00EE26A0"/>
    <w:rsid w:val="00EE271E"/>
    <w:rsid w:val="00EE278C"/>
    <w:rsid w:val="00EE28A9"/>
    <w:rsid w:val="00EE2A9C"/>
    <w:rsid w:val="00EE2C36"/>
    <w:rsid w:val="00EE2C87"/>
    <w:rsid w:val="00EE3147"/>
    <w:rsid w:val="00EE3325"/>
    <w:rsid w:val="00EE34D0"/>
    <w:rsid w:val="00EE353F"/>
    <w:rsid w:val="00EE3C3C"/>
    <w:rsid w:val="00EE3DAE"/>
    <w:rsid w:val="00EE3F14"/>
    <w:rsid w:val="00EE41F9"/>
    <w:rsid w:val="00EE4363"/>
    <w:rsid w:val="00EE4526"/>
    <w:rsid w:val="00EE45D6"/>
    <w:rsid w:val="00EE4646"/>
    <w:rsid w:val="00EE4776"/>
    <w:rsid w:val="00EE4803"/>
    <w:rsid w:val="00EE49AD"/>
    <w:rsid w:val="00EE4B39"/>
    <w:rsid w:val="00EE4B51"/>
    <w:rsid w:val="00EE4EA5"/>
    <w:rsid w:val="00EE4F17"/>
    <w:rsid w:val="00EE5149"/>
    <w:rsid w:val="00EE51B8"/>
    <w:rsid w:val="00EE525E"/>
    <w:rsid w:val="00EE5452"/>
    <w:rsid w:val="00EE55D2"/>
    <w:rsid w:val="00EE5692"/>
    <w:rsid w:val="00EE56C8"/>
    <w:rsid w:val="00EE56FB"/>
    <w:rsid w:val="00EE5A4D"/>
    <w:rsid w:val="00EE5C34"/>
    <w:rsid w:val="00EE5CE1"/>
    <w:rsid w:val="00EE5D1D"/>
    <w:rsid w:val="00EE5D8D"/>
    <w:rsid w:val="00EE5D8F"/>
    <w:rsid w:val="00EE5F20"/>
    <w:rsid w:val="00EE60CD"/>
    <w:rsid w:val="00EE6137"/>
    <w:rsid w:val="00EE61E7"/>
    <w:rsid w:val="00EE6327"/>
    <w:rsid w:val="00EE6421"/>
    <w:rsid w:val="00EE6567"/>
    <w:rsid w:val="00EE6598"/>
    <w:rsid w:val="00EE663E"/>
    <w:rsid w:val="00EE66C6"/>
    <w:rsid w:val="00EE6704"/>
    <w:rsid w:val="00EE673B"/>
    <w:rsid w:val="00EE67D9"/>
    <w:rsid w:val="00EE6A56"/>
    <w:rsid w:val="00EE6BA2"/>
    <w:rsid w:val="00EE6D17"/>
    <w:rsid w:val="00EE6EB5"/>
    <w:rsid w:val="00EE7158"/>
    <w:rsid w:val="00EE732C"/>
    <w:rsid w:val="00EE766E"/>
    <w:rsid w:val="00EE79BB"/>
    <w:rsid w:val="00EE7ABB"/>
    <w:rsid w:val="00EE7AE0"/>
    <w:rsid w:val="00EE7B10"/>
    <w:rsid w:val="00EE7B11"/>
    <w:rsid w:val="00EE7B5D"/>
    <w:rsid w:val="00EE7EDB"/>
    <w:rsid w:val="00EF0003"/>
    <w:rsid w:val="00EF00AD"/>
    <w:rsid w:val="00EF0133"/>
    <w:rsid w:val="00EF022D"/>
    <w:rsid w:val="00EF0467"/>
    <w:rsid w:val="00EF04E3"/>
    <w:rsid w:val="00EF063A"/>
    <w:rsid w:val="00EF07A4"/>
    <w:rsid w:val="00EF07B9"/>
    <w:rsid w:val="00EF09EE"/>
    <w:rsid w:val="00EF0C15"/>
    <w:rsid w:val="00EF0C4E"/>
    <w:rsid w:val="00EF1018"/>
    <w:rsid w:val="00EF1277"/>
    <w:rsid w:val="00EF12EF"/>
    <w:rsid w:val="00EF140D"/>
    <w:rsid w:val="00EF1562"/>
    <w:rsid w:val="00EF176F"/>
    <w:rsid w:val="00EF1787"/>
    <w:rsid w:val="00EF1937"/>
    <w:rsid w:val="00EF19C1"/>
    <w:rsid w:val="00EF19E0"/>
    <w:rsid w:val="00EF1B88"/>
    <w:rsid w:val="00EF1C1B"/>
    <w:rsid w:val="00EF1C27"/>
    <w:rsid w:val="00EF1C5A"/>
    <w:rsid w:val="00EF1E7E"/>
    <w:rsid w:val="00EF1F08"/>
    <w:rsid w:val="00EF1F66"/>
    <w:rsid w:val="00EF25DD"/>
    <w:rsid w:val="00EF275E"/>
    <w:rsid w:val="00EF27C3"/>
    <w:rsid w:val="00EF28DB"/>
    <w:rsid w:val="00EF2923"/>
    <w:rsid w:val="00EF29B1"/>
    <w:rsid w:val="00EF2AE4"/>
    <w:rsid w:val="00EF2B68"/>
    <w:rsid w:val="00EF2B8F"/>
    <w:rsid w:val="00EF310E"/>
    <w:rsid w:val="00EF3131"/>
    <w:rsid w:val="00EF3139"/>
    <w:rsid w:val="00EF31A2"/>
    <w:rsid w:val="00EF322D"/>
    <w:rsid w:val="00EF33DF"/>
    <w:rsid w:val="00EF348F"/>
    <w:rsid w:val="00EF3695"/>
    <w:rsid w:val="00EF377E"/>
    <w:rsid w:val="00EF39BB"/>
    <w:rsid w:val="00EF3D90"/>
    <w:rsid w:val="00EF422A"/>
    <w:rsid w:val="00EF42B0"/>
    <w:rsid w:val="00EF4433"/>
    <w:rsid w:val="00EF4470"/>
    <w:rsid w:val="00EF45E2"/>
    <w:rsid w:val="00EF4889"/>
    <w:rsid w:val="00EF4941"/>
    <w:rsid w:val="00EF4955"/>
    <w:rsid w:val="00EF4988"/>
    <w:rsid w:val="00EF49C3"/>
    <w:rsid w:val="00EF49FE"/>
    <w:rsid w:val="00EF4B6E"/>
    <w:rsid w:val="00EF4C01"/>
    <w:rsid w:val="00EF4CED"/>
    <w:rsid w:val="00EF4D1D"/>
    <w:rsid w:val="00EF4DD9"/>
    <w:rsid w:val="00EF4FCF"/>
    <w:rsid w:val="00EF51F9"/>
    <w:rsid w:val="00EF5214"/>
    <w:rsid w:val="00EF560A"/>
    <w:rsid w:val="00EF579C"/>
    <w:rsid w:val="00EF57F3"/>
    <w:rsid w:val="00EF5886"/>
    <w:rsid w:val="00EF58F6"/>
    <w:rsid w:val="00EF5976"/>
    <w:rsid w:val="00EF5C44"/>
    <w:rsid w:val="00EF5FF6"/>
    <w:rsid w:val="00EF5FFD"/>
    <w:rsid w:val="00EF6024"/>
    <w:rsid w:val="00EF60E0"/>
    <w:rsid w:val="00EF6162"/>
    <w:rsid w:val="00EF6231"/>
    <w:rsid w:val="00EF6321"/>
    <w:rsid w:val="00EF6691"/>
    <w:rsid w:val="00EF671C"/>
    <w:rsid w:val="00EF6750"/>
    <w:rsid w:val="00EF69E3"/>
    <w:rsid w:val="00EF6A15"/>
    <w:rsid w:val="00EF6B88"/>
    <w:rsid w:val="00EF6BA6"/>
    <w:rsid w:val="00EF6BD4"/>
    <w:rsid w:val="00EF6CDC"/>
    <w:rsid w:val="00EF6DD6"/>
    <w:rsid w:val="00EF6EDB"/>
    <w:rsid w:val="00EF6FB3"/>
    <w:rsid w:val="00EF705A"/>
    <w:rsid w:val="00EF7272"/>
    <w:rsid w:val="00EF73D9"/>
    <w:rsid w:val="00EF73E0"/>
    <w:rsid w:val="00EF74B0"/>
    <w:rsid w:val="00EF76D9"/>
    <w:rsid w:val="00EF7994"/>
    <w:rsid w:val="00EF79AD"/>
    <w:rsid w:val="00EF7BD1"/>
    <w:rsid w:val="00EF7E0C"/>
    <w:rsid w:val="00EF7F89"/>
    <w:rsid w:val="00EF7FF3"/>
    <w:rsid w:val="00F00238"/>
    <w:rsid w:val="00F00325"/>
    <w:rsid w:val="00F00787"/>
    <w:rsid w:val="00F007A5"/>
    <w:rsid w:val="00F0080D"/>
    <w:rsid w:val="00F009F3"/>
    <w:rsid w:val="00F00B0A"/>
    <w:rsid w:val="00F00B3F"/>
    <w:rsid w:val="00F00B70"/>
    <w:rsid w:val="00F00DF6"/>
    <w:rsid w:val="00F00F2D"/>
    <w:rsid w:val="00F0103A"/>
    <w:rsid w:val="00F010B3"/>
    <w:rsid w:val="00F017C5"/>
    <w:rsid w:val="00F0194A"/>
    <w:rsid w:val="00F01952"/>
    <w:rsid w:val="00F019E3"/>
    <w:rsid w:val="00F01A84"/>
    <w:rsid w:val="00F01D93"/>
    <w:rsid w:val="00F01DC6"/>
    <w:rsid w:val="00F01E34"/>
    <w:rsid w:val="00F01FD0"/>
    <w:rsid w:val="00F02291"/>
    <w:rsid w:val="00F02292"/>
    <w:rsid w:val="00F0231E"/>
    <w:rsid w:val="00F023F6"/>
    <w:rsid w:val="00F024EB"/>
    <w:rsid w:val="00F0260A"/>
    <w:rsid w:val="00F0265A"/>
    <w:rsid w:val="00F026DC"/>
    <w:rsid w:val="00F026F6"/>
    <w:rsid w:val="00F027B2"/>
    <w:rsid w:val="00F02935"/>
    <w:rsid w:val="00F029BA"/>
    <w:rsid w:val="00F02A14"/>
    <w:rsid w:val="00F02A55"/>
    <w:rsid w:val="00F02AFD"/>
    <w:rsid w:val="00F02B5A"/>
    <w:rsid w:val="00F02BA3"/>
    <w:rsid w:val="00F02CCB"/>
    <w:rsid w:val="00F02D4D"/>
    <w:rsid w:val="00F02FB0"/>
    <w:rsid w:val="00F031A1"/>
    <w:rsid w:val="00F03209"/>
    <w:rsid w:val="00F032BB"/>
    <w:rsid w:val="00F033AC"/>
    <w:rsid w:val="00F034CA"/>
    <w:rsid w:val="00F034FD"/>
    <w:rsid w:val="00F03507"/>
    <w:rsid w:val="00F0381E"/>
    <w:rsid w:val="00F039EF"/>
    <w:rsid w:val="00F03ABC"/>
    <w:rsid w:val="00F03ACA"/>
    <w:rsid w:val="00F03CF5"/>
    <w:rsid w:val="00F03DD0"/>
    <w:rsid w:val="00F03E41"/>
    <w:rsid w:val="00F03ECD"/>
    <w:rsid w:val="00F03F2A"/>
    <w:rsid w:val="00F0406C"/>
    <w:rsid w:val="00F0407A"/>
    <w:rsid w:val="00F040A9"/>
    <w:rsid w:val="00F040B7"/>
    <w:rsid w:val="00F04274"/>
    <w:rsid w:val="00F043B2"/>
    <w:rsid w:val="00F0446C"/>
    <w:rsid w:val="00F044B8"/>
    <w:rsid w:val="00F045E4"/>
    <w:rsid w:val="00F046AE"/>
    <w:rsid w:val="00F0497C"/>
    <w:rsid w:val="00F04AD0"/>
    <w:rsid w:val="00F04D66"/>
    <w:rsid w:val="00F04D9A"/>
    <w:rsid w:val="00F04DC2"/>
    <w:rsid w:val="00F04F33"/>
    <w:rsid w:val="00F04FBD"/>
    <w:rsid w:val="00F05233"/>
    <w:rsid w:val="00F05351"/>
    <w:rsid w:val="00F05461"/>
    <w:rsid w:val="00F05634"/>
    <w:rsid w:val="00F0563D"/>
    <w:rsid w:val="00F0570D"/>
    <w:rsid w:val="00F05724"/>
    <w:rsid w:val="00F05899"/>
    <w:rsid w:val="00F058DD"/>
    <w:rsid w:val="00F05AB9"/>
    <w:rsid w:val="00F05C06"/>
    <w:rsid w:val="00F05D36"/>
    <w:rsid w:val="00F05E09"/>
    <w:rsid w:val="00F05E32"/>
    <w:rsid w:val="00F06198"/>
    <w:rsid w:val="00F0619D"/>
    <w:rsid w:val="00F061A3"/>
    <w:rsid w:val="00F061FC"/>
    <w:rsid w:val="00F06204"/>
    <w:rsid w:val="00F06336"/>
    <w:rsid w:val="00F06490"/>
    <w:rsid w:val="00F0688E"/>
    <w:rsid w:val="00F06B21"/>
    <w:rsid w:val="00F06B4C"/>
    <w:rsid w:val="00F06B90"/>
    <w:rsid w:val="00F06DEF"/>
    <w:rsid w:val="00F06E44"/>
    <w:rsid w:val="00F06F07"/>
    <w:rsid w:val="00F06F3A"/>
    <w:rsid w:val="00F06F47"/>
    <w:rsid w:val="00F06FD4"/>
    <w:rsid w:val="00F0700E"/>
    <w:rsid w:val="00F071B9"/>
    <w:rsid w:val="00F0731A"/>
    <w:rsid w:val="00F0733B"/>
    <w:rsid w:val="00F07569"/>
    <w:rsid w:val="00F0765F"/>
    <w:rsid w:val="00F0779E"/>
    <w:rsid w:val="00F07812"/>
    <w:rsid w:val="00F0792D"/>
    <w:rsid w:val="00F0799B"/>
    <w:rsid w:val="00F079AB"/>
    <w:rsid w:val="00F07D58"/>
    <w:rsid w:val="00F07E91"/>
    <w:rsid w:val="00F07F82"/>
    <w:rsid w:val="00F1011E"/>
    <w:rsid w:val="00F10302"/>
    <w:rsid w:val="00F10398"/>
    <w:rsid w:val="00F103E8"/>
    <w:rsid w:val="00F105BE"/>
    <w:rsid w:val="00F106C1"/>
    <w:rsid w:val="00F1071D"/>
    <w:rsid w:val="00F10744"/>
    <w:rsid w:val="00F10751"/>
    <w:rsid w:val="00F1082D"/>
    <w:rsid w:val="00F109B4"/>
    <w:rsid w:val="00F10B5C"/>
    <w:rsid w:val="00F10BC9"/>
    <w:rsid w:val="00F10BE6"/>
    <w:rsid w:val="00F10CE3"/>
    <w:rsid w:val="00F10ECA"/>
    <w:rsid w:val="00F10F0D"/>
    <w:rsid w:val="00F1126A"/>
    <w:rsid w:val="00F113ED"/>
    <w:rsid w:val="00F118E6"/>
    <w:rsid w:val="00F11A34"/>
    <w:rsid w:val="00F11A3F"/>
    <w:rsid w:val="00F11ACA"/>
    <w:rsid w:val="00F11BFA"/>
    <w:rsid w:val="00F11D2F"/>
    <w:rsid w:val="00F1215C"/>
    <w:rsid w:val="00F12251"/>
    <w:rsid w:val="00F1234E"/>
    <w:rsid w:val="00F1240B"/>
    <w:rsid w:val="00F125B5"/>
    <w:rsid w:val="00F1260E"/>
    <w:rsid w:val="00F12633"/>
    <w:rsid w:val="00F126C8"/>
    <w:rsid w:val="00F1276C"/>
    <w:rsid w:val="00F12797"/>
    <w:rsid w:val="00F127A7"/>
    <w:rsid w:val="00F12938"/>
    <w:rsid w:val="00F12940"/>
    <w:rsid w:val="00F12967"/>
    <w:rsid w:val="00F129D5"/>
    <w:rsid w:val="00F12ADF"/>
    <w:rsid w:val="00F12C82"/>
    <w:rsid w:val="00F12D3E"/>
    <w:rsid w:val="00F12D52"/>
    <w:rsid w:val="00F12D5D"/>
    <w:rsid w:val="00F12DC9"/>
    <w:rsid w:val="00F12EA1"/>
    <w:rsid w:val="00F130A2"/>
    <w:rsid w:val="00F1324F"/>
    <w:rsid w:val="00F13324"/>
    <w:rsid w:val="00F1337C"/>
    <w:rsid w:val="00F13488"/>
    <w:rsid w:val="00F13760"/>
    <w:rsid w:val="00F13785"/>
    <w:rsid w:val="00F137EA"/>
    <w:rsid w:val="00F13959"/>
    <w:rsid w:val="00F13B98"/>
    <w:rsid w:val="00F13BC4"/>
    <w:rsid w:val="00F13CB4"/>
    <w:rsid w:val="00F13DF5"/>
    <w:rsid w:val="00F13E3C"/>
    <w:rsid w:val="00F13E8E"/>
    <w:rsid w:val="00F14031"/>
    <w:rsid w:val="00F1408E"/>
    <w:rsid w:val="00F1409E"/>
    <w:rsid w:val="00F14118"/>
    <w:rsid w:val="00F1411B"/>
    <w:rsid w:val="00F141A6"/>
    <w:rsid w:val="00F14216"/>
    <w:rsid w:val="00F142A1"/>
    <w:rsid w:val="00F142F0"/>
    <w:rsid w:val="00F1443D"/>
    <w:rsid w:val="00F14492"/>
    <w:rsid w:val="00F14786"/>
    <w:rsid w:val="00F14883"/>
    <w:rsid w:val="00F14A0D"/>
    <w:rsid w:val="00F14A1F"/>
    <w:rsid w:val="00F14E34"/>
    <w:rsid w:val="00F14FA7"/>
    <w:rsid w:val="00F150FC"/>
    <w:rsid w:val="00F150FF"/>
    <w:rsid w:val="00F15130"/>
    <w:rsid w:val="00F15166"/>
    <w:rsid w:val="00F152C1"/>
    <w:rsid w:val="00F15308"/>
    <w:rsid w:val="00F15505"/>
    <w:rsid w:val="00F15580"/>
    <w:rsid w:val="00F1571F"/>
    <w:rsid w:val="00F159D4"/>
    <w:rsid w:val="00F159DE"/>
    <w:rsid w:val="00F15BE3"/>
    <w:rsid w:val="00F15D71"/>
    <w:rsid w:val="00F15F49"/>
    <w:rsid w:val="00F15FD0"/>
    <w:rsid w:val="00F160D5"/>
    <w:rsid w:val="00F16133"/>
    <w:rsid w:val="00F161E7"/>
    <w:rsid w:val="00F164C0"/>
    <w:rsid w:val="00F1678A"/>
    <w:rsid w:val="00F16809"/>
    <w:rsid w:val="00F16882"/>
    <w:rsid w:val="00F16D77"/>
    <w:rsid w:val="00F16D9E"/>
    <w:rsid w:val="00F16F46"/>
    <w:rsid w:val="00F16F8A"/>
    <w:rsid w:val="00F16FF5"/>
    <w:rsid w:val="00F1704A"/>
    <w:rsid w:val="00F171C3"/>
    <w:rsid w:val="00F172E6"/>
    <w:rsid w:val="00F1735D"/>
    <w:rsid w:val="00F1759B"/>
    <w:rsid w:val="00F17717"/>
    <w:rsid w:val="00F1796A"/>
    <w:rsid w:val="00F17C74"/>
    <w:rsid w:val="00F17DCF"/>
    <w:rsid w:val="00F17F54"/>
    <w:rsid w:val="00F17F58"/>
    <w:rsid w:val="00F200A2"/>
    <w:rsid w:val="00F200E1"/>
    <w:rsid w:val="00F2010B"/>
    <w:rsid w:val="00F201ED"/>
    <w:rsid w:val="00F2041F"/>
    <w:rsid w:val="00F20473"/>
    <w:rsid w:val="00F205CF"/>
    <w:rsid w:val="00F2063E"/>
    <w:rsid w:val="00F206AE"/>
    <w:rsid w:val="00F20723"/>
    <w:rsid w:val="00F208DF"/>
    <w:rsid w:val="00F20AD2"/>
    <w:rsid w:val="00F20B93"/>
    <w:rsid w:val="00F20C43"/>
    <w:rsid w:val="00F20DB4"/>
    <w:rsid w:val="00F20DCF"/>
    <w:rsid w:val="00F20EAB"/>
    <w:rsid w:val="00F20F21"/>
    <w:rsid w:val="00F20F52"/>
    <w:rsid w:val="00F210EA"/>
    <w:rsid w:val="00F2133B"/>
    <w:rsid w:val="00F2149C"/>
    <w:rsid w:val="00F2152C"/>
    <w:rsid w:val="00F21584"/>
    <w:rsid w:val="00F21661"/>
    <w:rsid w:val="00F2177B"/>
    <w:rsid w:val="00F21BD9"/>
    <w:rsid w:val="00F21DD0"/>
    <w:rsid w:val="00F21E49"/>
    <w:rsid w:val="00F21EE0"/>
    <w:rsid w:val="00F2216D"/>
    <w:rsid w:val="00F22195"/>
    <w:rsid w:val="00F224A9"/>
    <w:rsid w:val="00F22522"/>
    <w:rsid w:val="00F225C9"/>
    <w:rsid w:val="00F22772"/>
    <w:rsid w:val="00F22A24"/>
    <w:rsid w:val="00F22B12"/>
    <w:rsid w:val="00F22C1C"/>
    <w:rsid w:val="00F22CFE"/>
    <w:rsid w:val="00F22D26"/>
    <w:rsid w:val="00F22D77"/>
    <w:rsid w:val="00F22DB8"/>
    <w:rsid w:val="00F22FB0"/>
    <w:rsid w:val="00F22FC4"/>
    <w:rsid w:val="00F230F2"/>
    <w:rsid w:val="00F2329A"/>
    <w:rsid w:val="00F2331D"/>
    <w:rsid w:val="00F234FF"/>
    <w:rsid w:val="00F23534"/>
    <w:rsid w:val="00F23671"/>
    <w:rsid w:val="00F236AE"/>
    <w:rsid w:val="00F236F3"/>
    <w:rsid w:val="00F23A4B"/>
    <w:rsid w:val="00F23B4E"/>
    <w:rsid w:val="00F23CBE"/>
    <w:rsid w:val="00F23E16"/>
    <w:rsid w:val="00F23F52"/>
    <w:rsid w:val="00F24031"/>
    <w:rsid w:val="00F2451C"/>
    <w:rsid w:val="00F24545"/>
    <w:rsid w:val="00F2480A"/>
    <w:rsid w:val="00F24932"/>
    <w:rsid w:val="00F24985"/>
    <w:rsid w:val="00F24995"/>
    <w:rsid w:val="00F249F9"/>
    <w:rsid w:val="00F24B66"/>
    <w:rsid w:val="00F24CD5"/>
    <w:rsid w:val="00F24F4E"/>
    <w:rsid w:val="00F25039"/>
    <w:rsid w:val="00F25117"/>
    <w:rsid w:val="00F256C2"/>
    <w:rsid w:val="00F25715"/>
    <w:rsid w:val="00F2571E"/>
    <w:rsid w:val="00F25738"/>
    <w:rsid w:val="00F25761"/>
    <w:rsid w:val="00F25779"/>
    <w:rsid w:val="00F257C6"/>
    <w:rsid w:val="00F25889"/>
    <w:rsid w:val="00F258A8"/>
    <w:rsid w:val="00F25D74"/>
    <w:rsid w:val="00F25EBF"/>
    <w:rsid w:val="00F26014"/>
    <w:rsid w:val="00F260AC"/>
    <w:rsid w:val="00F26303"/>
    <w:rsid w:val="00F26318"/>
    <w:rsid w:val="00F2647A"/>
    <w:rsid w:val="00F26499"/>
    <w:rsid w:val="00F26590"/>
    <w:rsid w:val="00F265D4"/>
    <w:rsid w:val="00F26683"/>
    <w:rsid w:val="00F266C6"/>
    <w:rsid w:val="00F268DB"/>
    <w:rsid w:val="00F268FD"/>
    <w:rsid w:val="00F26926"/>
    <w:rsid w:val="00F26B36"/>
    <w:rsid w:val="00F26B78"/>
    <w:rsid w:val="00F26BE7"/>
    <w:rsid w:val="00F26E2E"/>
    <w:rsid w:val="00F27185"/>
    <w:rsid w:val="00F2721C"/>
    <w:rsid w:val="00F272B4"/>
    <w:rsid w:val="00F2792F"/>
    <w:rsid w:val="00F279A7"/>
    <w:rsid w:val="00F279DA"/>
    <w:rsid w:val="00F27B1F"/>
    <w:rsid w:val="00F27B29"/>
    <w:rsid w:val="00F27C05"/>
    <w:rsid w:val="00F27C41"/>
    <w:rsid w:val="00F27D9D"/>
    <w:rsid w:val="00F27E7D"/>
    <w:rsid w:val="00F27F6B"/>
    <w:rsid w:val="00F300EB"/>
    <w:rsid w:val="00F30249"/>
    <w:rsid w:val="00F3024E"/>
    <w:rsid w:val="00F304C2"/>
    <w:rsid w:val="00F308E6"/>
    <w:rsid w:val="00F30959"/>
    <w:rsid w:val="00F30968"/>
    <w:rsid w:val="00F30B08"/>
    <w:rsid w:val="00F30B2C"/>
    <w:rsid w:val="00F30F58"/>
    <w:rsid w:val="00F31037"/>
    <w:rsid w:val="00F3104C"/>
    <w:rsid w:val="00F31085"/>
    <w:rsid w:val="00F310A0"/>
    <w:rsid w:val="00F311E0"/>
    <w:rsid w:val="00F312B5"/>
    <w:rsid w:val="00F3133F"/>
    <w:rsid w:val="00F315C6"/>
    <w:rsid w:val="00F31945"/>
    <w:rsid w:val="00F319A1"/>
    <w:rsid w:val="00F319AC"/>
    <w:rsid w:val="00F31A14"/>
    <w:rsid w:val="00F31A2C"/>
    <w:rsid w:val="00F31A38"/>
    <w:rsid w:val="00F31BDE"/>
    <w:rsid w:val="00F31DCC"/>
    <w:rsid w:val="00F31DE1"/>
    <w:rsid w:val="00F31ECB"/>
    <w:rsid w:val="00F31F09"/>
    <w:rsid w:val="00F320F4"/>
    <w:rsid w:val="00F32297"/>
    <w:rsid w:val="00F32412"/>
    <w:rsid w:val="00F3271D"/>
    <w:rsid w:val="00F3275C"/>
    <w:rsid w:val="00F3282A"/>
    <w:rsid w:val="00F32842"/>
    <w:rsid w:val="00F32895"/>
    <w:rsid w:val="00F3290D"/>
    <w:rsid w:val="00F329E1"/>
    <w:rsid w:val="00F32A61"/>
    <w:rsid w:val="00F32E8A"/>
    <w:rsid w:val="00F3303B"/>
    <w:rsid w:val="00F3331B"/>
    <w:rsid w:val="00F33358"/>
    <w:rsid w:val="00F33407"/>
    <w:rsid w:val="00F3352F"/>
    <w:rsid w:val="00F33592"/>
    <w:rsid w:val="00F33646"/>
    <w:rsid w:val="00F336C1"/>
    <w:rsid w:val="00F3385F"/>
    <w:rsid w:val="00F339D4"/>
    <w:rsid w:val="00F33CAD"/>
    <w:rsid w:val="00F33D63"/>
    <w:rsid w:val="00F3411C"/>
    <w:rsid w:val="00F342D3"/>
    <w:rsid w:val="00F3435F"/>
    <w:rsid w:val="00F3466F"/>
    <w:rsid w:val="00F3480B"/>
    <w:rsid w:val="00F34841"/>
    <w:rsid w:val="00F348C5"/>
    <w:rsid w:val="00F349BC"/>
    <w:rsid w:val="00F34A13"/>
    <w:rsid w:val="00F34AAE"/>
    <w:rsid w:val="00F34AEC"/>
    <w:rsid w:val="00F34C70"/>
    <w:rsid w:val="00F34D2C"/>
    <w:rsid w:val="00F34DC4"/>
    <w:rsid w:val="00F34E34"/>
    <w:rsid w:val="00F34E35"/>
    <w:rsid w:val="00F34EE9"/>
    <w:rsid w:val="00F34F77"/>
    <w:rsid w:val="00F34FDE"/>
    <w:rsid w:val="00F35054"/>
    <w:rsid w:val="00F3520E"/>
    <w:rsid w:val="00F3545C"/>
    <w:rsid w:val="00F354B5"/>
    <w:rsid w:val="00F355EA"/>
    <w:rsid w:val="00F35847"/>
    <w:rsid w:val="00F358BE"/>
    <w:rsid w:val="00F358F9"/>
    <w:rsid w:val="00F35A01"/>
    <w:rsid w:val="00F35AEE"/>
    <w:rsid w:val="00F35B63"/>
    <w:rsid w:val="00F35C85"/>
    <w:rsid w:val="00F35CAB"/>
    <w:rsid w:val="00F35EFA"/>
    <w:rsid w:val="00F36027"/>
    <w:rsid w:val="00F360A1"/>
    <w:rsid w:val="00F360BD"/>
    <w:rsid w:val="00F360F3"/>
    <w:rsid w:val="00F36102"/>
    <w:rsid w:val="00F36239"/>
    <w:rsid w:val="00F3628B"/>
    <w:rsid w:val="00F362D2"/>
    <w:rsid w:val="00F36378"/>
    <w:rsid w:val="00F363F2"/>
    <w:rsid w:val="00F36552"/>
    <w:rsid w:val="00F365DC"/>
    <w:rsid w:val="00F36743"/>
    <w:rsid w:val="00F36861"/>
    <w:rsid w:val="00F36911"/>
    <w:rsid w:val="00F36945"/>
    <w:rsid w:val="00F36A26"/>
    <w:rsid w:val="00F36B5A"/>
    <w:rsid w:val="00F36B95"/>
    <w:rsid w:val="00F36CDD"/>
    <w:rsid w:val="00F36D52"/>
    <w:rsid w:val="00F36D6D"/>
    <w:rsid w:val="00F36D8B"/>
    <w:rsid w:val="00F36F06"/>
    <w:rsid w:val="00F36FD5"/>
    <w:rsid w:val="00F3711A"/>
    <w:rsid w:val="00F3724A"/>
    <w:rsid w:val="00F37264"/>
    <w:rsid w:val="00F37535"/>
    <w:rsid w:val="00F3754F"/>
    <w:rsid w:val="00F376F7"/>
    <w:rsid w:val="00F377D5"/>
    <w:rsid w:val="00F37863"/>
    <w:rsid w:val="00F37AE7"/>
    <w:rsid w:val="00F37B16"/>
    <w:rsid w:val="00F37B5C"/>
    <w:rsid w:val="00F40029"/>
    <w:rsid w:val="00F4010A"/>
    <w:rsid w:val="00F40340"/>
    <w:rsid w:val="00F404B6"/>
    <w:rsid w:val="00F4059E"/>
    <w:rsid w:val="00F40860"/>
    <w:rsid w:val="00F40878"/>
    <w:rsid w:val="00F408E4"/>
    <w:rsid w:val="00F40911"/>
    <w:rsid w:val="00F40B90"/>
    <w:rsid w:val="00F40D2E"/>
    <w:rsid w:val="00F40E15"/>
    <w:rsid w:val="00F41274"/>
    <w:rsid w:val="00F413CB"/>
    <w:rsid w:val="00F4174E"/>
    <w:rsid w:val="00F417E5"/>
    <w:rsid w:val="00F41860"/>
    <w:rsid w:val="00F418BE"/>
    <w:rsid w:val="00F41EF6"/>
    <w:rsid w:val="00F41EF9"/>
    <w:rsid w:val="00F41FDA"/>
    <w:rsid w:val="00F42086"/>
    <w:rsid w:val="00F42307"/>
    <w:rsid w:val="00F42315"/>
    <w:rsid w:val="00F425D1"/>
    <w:rsid w:val="00F425EE"/>
    <w:rsid w:val="00F42603"/>
    <w:rsid w:val="00F42719"/>
    <w:rsid w:val="00F42769"/>
    <w:rsid w:val="00F42801"/>
    <w:rsid w:val="00F429AB"/>
    <w:rsid w:val="00F42C7D"/>
    <w:rsid w:val="00F42D7C"/>
    <w:rsid w:val="00F42DCD"/>
    <w:rsid w:val="00F42E5D"/>
    <w:rsid w:val="00F42F36"/>
    <w:rsid w:val="00F42FE1"/>
    <w:rsid w:val="00F430E1"/>
    <w:rsid w:val="00F43535"/>
    <w:rsid w:val="00F43577"/>
    <w:rsid w:val="00F43592"/>
    <w:rsid w:val="00F435A0"/>
    <w:rsid w:val="00F43838"/>
    <w:rsid w:val="00F43CA1"/>
    <w:rsid w:val="00F43D6D"/>
    <w:rsid w:val="00F43F52"/>
    <w:rsid w:val="00F4415A"/>
    <w:rsid w:val="00F44185"/>
    <w:rsid w:val="00F441DA"/>
    <w:rsid w:val="00F442FC"/>
    <w:rsid w:val="00F44435"/>
    <w:rsid w:val="00F44454"/>
    <w:rsid w:val="00F44455"/>
    <w:rsid w:val="00F44489"/>
    <w:rsid w:val="00F444C9"/>
    <w:rsid w:val="00F44530"/>
    <w:rsid w:val="00F44534"/>
    <w:rsid w:val="00F4458F"/>
    <w:rsid w:val="00F446E7"/>
    <w:rsid w:val="00F448EF"/>
    <w:rsid w:val="00F449C3"/>
    <w:rsid w:val="00F44D5A"/>
    <w:rsid w:val="00F44FE7"/>
    <w:rsid w:val="00F4506B"/>
    <w:rsid w:val="00F450D8"/>
    <w:rsid w:val="00F450FE"/>
    <w:rsid w:val="00F4515E"/>
    <w:rsid w:val="00F45312"/>
    <w:rsid w:val="00F454FB"/>
    <w:rsid w:val="00F455D5"/>
    <w:rsid w:val="00F456EA"/>
    <w:rsid w:val="00F45890"/>
    <w:rsid w:val="00F45BC0"/>
    <w:rsid w:val="00F45CFC"/>
    <w:rsid w:val="00F45E39"/>
    <w:rsid w:val="00F45F13"/>
    <w:rsid w:val="00F4611C"/>
    <w:rsid w:val="00F4617A"/>
    <w:rsid w:val="00F461D8"/>
    <w:rsid w:val="00F46505"/>
    <w:rsid w:val="00F468A5"/>
    <w:rsid w:val="00F469D8"/>
    <w:rsid w:val="00F46A5E"/>
    <w:rsid w:val="00F46A94"/>
    <w:rsid w:val="00F46AC5"/>
    <w:rsid w:val="00F46DE3"/>
    <w:rsid w:val="00F46E58"/>
    <w:rsid w:val="00F475E1"/>
    <w:rsid w:val="00F4776D"/>
    <w:rsid w:val="00F47845"/>
    <w:rsid w:val="00F4787A"/>
    <w:rsid w:val="00F478E6"/>
    <w:rsid w:val="00F4795C"/>
    <w:rsid w:val="00F479EC"/>
    <w:rsid w:val="00F47CD5"/>
    <w:rsid w:val="00F47DC9"/>
    <w:rsid w:val="00F47DDF"/>
    <w:rsid w:val="00F47F7E"/>
    <w:rsid w:val="00F500DA"/>
    <w:rsid w:val="00F502C0"/>
    <w:rsid w:val="00F503E3"/>
    <w:rsid w:val="00F50470"/>
    <w:rsid w:val="00F50811"/>
    <w:rsid w:val="00F50870"/>
    <w:rsid w:val="00F509EE"/>
    <w:rsid w:val="00F50AE0"/>
    <w:rsid w:val="00F50B2C"/>
    <w:rsid w:val="00F50E25"/>
    <w:rsid w:val="00F50F48"/>
    <w:rsid w:val="00F51074"/>
    <w:rsid w:val="00F5109D"/>
    <w:rsid w:val="00F51157"/>
    <w:rsid w:val="00F511E5"/>
    <w:rsid w:val="00F51292"/>
    <w:rsid w:val="00F51311"/>
    <w:rsid w:val="00F513AE"/>
    <w:rsid w:val="00F5140E"/>
    <w:rsid w:val="00F51672"/>
    <w:rsid w:val="00F51CE8"/>
    <w:rsid w:val="00F51D92"/>
    <w:rsid w:val="00F51EFA"/>
    <w:rsid w:val="00F51FD1"/>
    <w:rsid w:val="00F52144"/>
    <w:rsid w:val="00F52176"/>
    <w:rsid w:val="00F521D8"/>
    <w:rsid w:val="00F52262"/>
    <w:rsid w:val="00F526BA"/>
    <w:rsid w:val="00F52773"/>
    <w:rsid w:val="00F52B9B"/>
    <w:rsid w:val="00F52C74"/>
    <w:rsid w:val="00F52D5C"/>
    <w:rsid w:val="00F52D87"/>
    <w:rsid w:val="00F52DF8"/>
    <w:rsid w:val="00F52F15"/>
    <w:rsid w:val="00F5304A"/>
    <w:rsid w:val="00F5305B"/>
    <w:rsid w:val="00F530F1"/>
    <w:rsid w:val="00F531AD"/>
    <w:rsid w:val="00F5320B"/>
    <w:rsid w:val="00F53442"/>
    <w:rsid w:val="00F534A2"/>
    <w:rsid w:val="00F534B5"/>
    <w:rsid w:val="00F537FE"/>
    <w:rsid w:val="00F538E9"/>
    <w:rsid w:val="00F539CE"/>
    <w:rsid w:val="00F53AFC"/>
    <w:rsid w:val="00F53B64"/>
    <w:rsid w:val="00F53C3D"/>
    <w:rsid w:val="00F53CFE"/>
    <w:rsid w:val="00F53F97"/>
    <w:rsid w:val="00F54306"/>
    <w:rsid w:val="00F5434C"/>
    <w:rsid w:val="00F547B6"/>
    <w:rsid w:val="00F54832"/>
    <w:rsid w:val="00F54867"/>
    <w:rsid w:val="00F549CF"/>
    <w:rsid w:val="00F54A6F"/>
    <w:rsid w:val="00F54C43"/>
    <w:rsid w:val="00F54C71"/>
    <w:rsid w:val="00F54DBA"/>
    <w:rsid w:val="00F550C5"/>
    <w:rsid w:val="00F550E3"/>
    <w:rsid w:val="00F552CD"/>
    <w:rsid w:val="00F55319"/>
    <w:rsid w:val="00F55477"/>
    <w:rsid w:val="00F55631"/>
    <w:rsid w:val="00F5565E"/>
    <w:rsid w:val="00F556BA"/>
    <w:rsid w:val="00F556FF"/>
    <w:rsid w:val="00F55885"/>
    <w:rsid w:val="00F55890"/>
    <w:rsid w:val="00F55940"/>
    <w:rsid w:val="00F559B1"/>
    <w:rsid w:val="00F559CB"/>
    <w:rsid w:val="00F55B50"/>
    <w:rsid w:val="00F55D0C"/>
    <w:rsid w:val="00F55D12"/>
    <w:rsid w:val="00F55D9A"/>
    <w:rsid w:val="00F561C6"/>
    <w:rsid w:val="00F562E7"/>
    <w:rsid w:val="00F56453"/>
    <w:rsid w:val="00F565A8"/>
    <w:rsid w:val="00F566AD"/>
    <w:rsid w:val="00F566CA"/>
    <w:rsid w:val="00F569DB"/>
    <w:rsid w:val="00F56ABA"/>
    <w:rsid w:val="00F56AC3"/>
    <w:rsid w:val="00F56B0B"/>
    <w:rsid w:val="00F56CF5"/>
    <w:rsid w:val="00F56D57"/>
    <w:rsid w:val="00F56E41"/>
    <w:rsid w:val="00F56FB2"/>
    <w:rsid w:val="00F56FE3"/>
    <w:rsid w:val="00F570B5"/>
    <w:rsid w:val="00F571AE"/>
    <w:rsid w:val="00F572A1"/>
    <w:rsid w:val="00F573AF"/>
    <w:rsid w:val="00F573C7"/>
    <w:rsid w:val="00F5759D"/>
    <w:rsid w:val="00F5772A"/>
    <w:rsid w:val="00F57757"/>
    <w:rsid w:val="00F579BB"/>
    <w:rsid w:val="00F57A03"/>
    <w:rsid w:val="00F57D00"/>
    <w:rsid w:val="00F57D70"/>
    <w:rsid w:val="00F57E22"/>
    <w:rsid w:val="00F57EB1"/>
    <w:rsid w:val="00F60094"/>
    <w:rsid w:val="00F601C0"/>
    <w:rsid w:val="00F601D4"/>
    <w:rsid w:val="00F60238"/>
    <w:rsid w:val="00F602E5"/>
    <w:rsid w:val="00F60306"/>
    <w:rsid w:val="00F6047D"/>
    <w:rsid w:val="00F6065A"/>
    <w:rsid w:val="00F60790"/>
    <w:rsid w:val="00F607AA"/>
    <w:rsid w:val="00F60803"/>
    <w:rsid w:val="00F6088F"/>
    <w:rsid w:val="00F60A10"/>
    <w:rsid w:val="00F60EF6"/>
    <w:rsid w:val="00F6116B"/>
    <w:rsid w:val="00F611CE"/>
    <w:rsid w:val="00F61356"/>
    <w:rsid w:val="00F613BD"/>
    <w:rsid w:val="00F61422"/>
    <w:rsid w:val="00F616CC"/>
    <w:rsid w:val="00F6170C"/>
    <w:rsid w:val="00F6198C"/>
    <w:rsid w:val="00F61A03"/>
    <w:rsid w:val="00F61B54"/>
    <w:rsid w:val="00F61E3B"/>
    <w:rsid w:val="00F61E61"/>
    <w:rsid w:val="00F61ED1"/>
    <w:rsid w:val="00F61FC3"/>
    <w:rsid w:val="00F621ED"/>
    <w:rsid w:val="00F62267"/>
    <w:rsid w:val="00F622A8"/>
    <w:rsid w:val="00F624BD"/>
    <w:rsid w:val="00F626ED"/>
    <w:rsid w:val="00F62793"/>
    <w:rsid w:val="00F6279C"/>
    <w:rsid w:val="00F62840"/>
    <w:rsid w:val="00F629A2"/>
    <w:rsid w:val="00F62AA1"/>
    <w:rsid w:val="00F62AD3"/>
    <w:rsid w:val="00F62C22"/>
    <w:rsid w:val="00F62F70"/>
    <w:rsid w:val="00F62F7A"/>
    <w:rsid w:val="00F631B6"/>
    <w:rsid w:val="00F631FB"/>
    <w:rsid w:val="00F63375"/>
    <w:rsid w:val="00F633CE"/>
    <w:rsid w:val="00F63477"/>
    <w:rsid w:val="00F634D4"/>
    <w:rsid w:val="00F6355E"/>
    <w:rsid w:val="00F63600"/>
    <w:rsid w:val="00F63608"/>
    <w:rsid w:val="00F636C5"/>
    <w:rsid w:val="00F638F3"/>
    <w:rsid w:val="00F63A8C"/>
    <w:rsid w:val="00F63B52"/>
    <w:rsid w:val="00F63BAA"/>
    <w:rsid w:val="00F63C50"/>
    <w:rsid w:val="00F63E5B"/>
    <w:rsid w:val="00F63FFC"/>
    <w:rsid w:val="00F6412D"/>
    <w:rsid w:val="00F6420C"/>
    <w:rsid w:val="00F64456"/>
    <w:rsid w:val="00F64707"/>
    <w:rsid w:val="00F6470F"/>
    <w:rsid w:val="00F647C4"/>
    <w:rsid w:val="00F647E6"/>
    <w:rsid w:val="00F6481D"/>
    <w:rsid w:val="00F6488F"/>
    <w:rsid w:val="00F64903"/>
    <w:rsid w:val="00F64C1D"/>
    <w:rsid w:val="00F64C4C"/>
    <w:rsid w:val="00F64D45"/>
    <w:rsid w:val="00F64D8F"/>
    <w:rsid w:val="00F64DAF"/>
    <w:rsid w:val="00F65017"/>
    <w:rsid w:val="00F65048"/>
    <w:rsid w:val="00F651A8"/>
    <w:rsid w:val="00F653BF"/>
    <w:rsid w:val="00F653DA"/>
    <w:rsid w:val="00F6561B"/>
    <w:rsid w:val="00F6563E"/>
    <w:rsid w:val="00F656BB"/>
    <w:rsid w:val="00F65893"/>
    <w:rsid w:val="00F6597F"/>
    <w:rsid w:val="00F65985"/>
    <w:rsid w:val="00F65C4C"/>
    <w:rsid w:val="00F65DAA"/>
    <w:rsid w:val="00F65F2E"/>
    <w:rsid w:val="00F66021"/>
    <w:rsid w:val="00F66105"/>
    <w:rsid w:val="00F661B9"/>
    <w:rsid w:val="00F661DE"/>
    <w:rsid w:val="00F66215"/>
    <w:rsid w:val="00F66333"/>
    <w:rsid w:val="00F665F1"/>
    <w:rsid w:val="00F6660B"/>
    <w:rsid w:val="00F66693"/>
    <w:rsid w:val="00F6673E"/>
    <w:rsid w:val="00F66819"/>
    <w:rsid w:val="00F6696C"/>
    <w:rsid w:val="00F66A77"/>
    <w:rsid w:val="00F66AF6"/>
    <w:rsid w:val="00F66B49"/>
    <w:rsid w:val="00F66C66"/>
    <w:rsid w:val="00F66D3C"/>
    <w:rsid w:val="00F67045"/>
    <w:rsid w:val="00F670F2"/>
    <w:rsid w:val="00F6712F"/>
    <w:rsid w:val="00F6762E"/>
    <w:rsid w:val="00F6768D"/>
    <w:rsid w:val="00F676A7"/>
    <w:rsid w:val="00F6771F"/>
    <w:rsid w:val="00F6781E"/>
    <w:rsid w:val="00F678B9"/>
    <w:rsid w:val="00F67A2B"/>
    <w:rsid w:val="00F67B1F"/>
    <w:rsid w:val="00F67C2E"/>
    <w:rsid w:val="00F67C6E"/>
    <w:rsid w:val="00F67E93"/>
    <w:rsid w:val="00F67F46"/>
    <w:rsid w:val="00F67F84"/>
    <w:rsid w:val="00F700D1"/>
    <w:rsid w:val="00F7010D"/>
    <w:rsid w:val="00F7022F"/>
    <w:rsid w:val="00F70359"/>
    <w:rsid w:val="00F704CA"/>
    <w:rsid w:val="00F70550"/>
    <w:rsid w:val="00F706B5"/>
    <w:rsid w:val="00F7075D"/>
    <w:rsid w:val="00F707EF"/>
    <w:rsid w:val="00F70946"/>
    <w:rsid w:val="00F709B4"/>
    <w:rsid w:val="00F709EA"/>
    <w:rsid w:val="00F70A3B"/>
    <w:rsid w:val="00F711A4"/>
    <w:rsid w:val="00F71384"/>
    <w:rsid w:val="00F71402"/>
    <w:rsid w:val="00F71517"/>
    <w:rsid w:val="00F715F8"/>
    <w:rsid w:val="00F71746"/>
    <w:rsid w:val="00F7179E"/>
    <w:rsid w:val="00F718D3"/>
    <w:rsid w:val="00F7190D"/>
    <w:rsid w:val="00F719FB"/>
    <w:rsid w:val="00F71E4A"/>
    <w:rsid w:val="00F71EF1"/>
    <w:rsid w:val="00F72023"/>
    <w:rsid w:val="00F7209B"/>
    <w:rsid w:val="00F720E6"/>
    <w:rsid w:val="00F72140"/>
    <w:rsid w:val="00F722F1"/>
    <w:rsid w:val="00F723E4"/>
    <w:rsid w:val="00F72698"/>
    <w:rsid w:val="00F72882"/>
    <w:rsid w:val="00F729A4"/>
    <w:rsid w:val="00F72B8F"/>
    <w:rsid w:val="00F72C61"/>
    <w:rsid w:val="00F72CB8"/>
    <w:rsid w:val="00F72D2F"/>
    <w:rsid w:val="00F72ECB"/>
    <w:rsid w:val="00F73091"/>
    <w:rsid w:val="00F731DC"/>
    <w:rsid w:val="00F73208"/>
    <w:rsid w:val="00F7336F"/>
    <w:rsid w:val="00F7339E"/>
    <w:rsid w:val="00F737F4"/>
    <w:rsid w:val="00F739FB"/>
    <w:rsid w:val="00F73A2D"/>
    <w:rsid w:val="00F73DC6"/>
    <w:rsid w:val="00F73E7B"/>
    <w:rsid w:val="00F73F55"/>
    <w:rsid w:val="00F74030"/>
    <w:rsid w:val="00F740A9"/>
    <w:rsid w:val="00F7428E"/>
    <w:rsid w:val="00F742AB"/>
    <w:rsid w:val="00F74381"/>
    <w:rsid w:val="00F743E2"/>
    <w:rsid w:val="00F744CA"/>
    <w:rsid w:val="00F745C8"/>
    <w:rsid w:val="00F74642"/>
    <w:rsid w:val="00F74687"/>
    <w:rsid w:val="00F746A0"/>
    <w:rsid w:val="00F746CB"/>
    <w:rsid w:val="00F746E4"/>
    <w:rsid w:val="00F749FF"/>
    <w:rsid w:val="00F74AD4"/>
    <w:rsid w:val="00F74B40"/>
    <w:rsid w:val="00F74B6B"/>
    <w:rsid w:val="00F74B82"/>
    <w:rsid w:val="00F74EED"/>
    <w:rsid w:val="00F74F23"/>
    <w:rsid w:val="00F74FBF"/>
    <w:rsid w:val="00F755DC"/>
    <w:rsid w:val="00F75809"/>
    <w:rsid w:val="00F759D6"/>
    <w:rsid w:val="00F75A3B"/>
    <w:rsid w:val="00F75B67"/>
    <w:rsid w:val="00F75C39"/>
    <w:rsid w:val="00F75C9E"/>
    <w:rsid w:val="00F75CDB"/>
    <w:rsid w:val="00F75CDF"/>
    <w:rsid w:val="00F75E35"/>
    <w:rsid w:val="00F760B7"/>
    <w:rsid w:val="00F76142"/>
    <w:rsid w:val="00F76181"/>
    <w:rsid w:val="00F7637F"/>
    <w:rsid w:val="00F764D8"/>
    <w:rsid w:val="00F764EE"/>
    <w:rsid w:val="00F76772"/>
    <w:rsid w:val="00F767DA"/>
    <w:rsid w:val="00F76D61"/>
    <w:rsid w:val="00F76E67"/>
    <w:rsid w:val="00F76E6C"/>
    <w:rsid w:val="00F76F21"/>
    <w:rsid w:val="00F770D5"/>
    <w:rsid w:val="00F77503"/>
    <w:rsid w:val="00F77641"/>
    <w:rsid w:val="00F7764A"/>
    <w:rsid w:val="00F777BE"/>
    <w:rsid w:val="00F778FF"/>
    <w:rsid w:val="00F80038"/>
    <w:rsid w:val="00F80061"/>
    <w:rsid w:val="00F80101"/>
    <w:rsid w:val="00F80283"/>
    <w:rsid w:val="00F8029E"/>
    <w:rsid w:val="00F80311"/>
    <w:rsid w:val="00F8042C"/>
    <w:rsid w:val="00F80949"/>
    <w:rsid w:val="00F809AC"/>
    <w:rsid w:val="00F80A47"/>
    <w:rsid w:val="00F80BD5"/>
    <w:rsid w:val="00F80FFB"/>
    <w:rsid w:val="00F8102E"/>
    <w:rsid w:val="00F81111"/>
    <w:rsid w:val="00F81266"/>
    <w:rsid w:val="00F81370"/>
    <w:rsid w:val="00F814FB"/>
    <w:rsid w:val="00F81584"/>
    <w:rsid w:val="00F81601"/>
    <w:rsid w:val="00F817E2"/>
    <w:rsid w:val="00F817E6"/>
    <w:rsid w:val="00F81856"/>
    <w:rsid w:val="00F81EB3"/>
    <w:rsid w:val="00F81EF8"/>
    <w:rsid w:val="00F81FFC"/>
    <w:rsid w:val="00F8201F"/>
    <w:rsid w:val="00F82179"/>
    <w:rsid w:val="00F821D0"/>
    <w:rsid w:val="00F822A1"/>
    <w:rsid w:val="00F82453"/>
    <w:rsid w:val="00F82502"/>
    <w:rsid w:val="00F82835"/>
    <w:rsid w:val="00F828EB"/>
    <w:rsid w:val="00F82987"/>
    <w:rsid w:val="00F829C7"/>
    <w:rsid w:val="00F82A7F"/>
    <w:rsid w:val="00F82C75"/>
    <w:rsid w:val="00F82CA3"/>
    <w:rsid w:val="00F82E16"/>
    <w:rsid w:val="00F82E18"/>
    <w:rsid w:val="00F8304D"/>
    <w:rsid w:val="00F83082"/>
    <w:rsid w:val="00F83163"/>
    <w:rsid w:val="00F8327D"/>
    <w:rsid w:val="00F8334E"/>
    <w:rsid w:val="00F83377"/>
    <w:rsid w:val="00F835D2"/>
    <w:rsid w:val="00F83768"/>
    <w:rsid w:val="00F837A6"/>
    <w:rsid w:val="00F83B94"/>
    <w:rsid w:val="00F83D82"/>
    <w:rsid w:val="00F83F0F"/>
    <w:rsid w:val="00F83FCD"/>
    <w:rsid w:val="00F841C1"/>
    <w:rsid w:val="00F844C5"/>
    <w:rsid w:val="00F844D4"/>
    <w:rsid w:val="00F84547"/>
    <w:rsid w:val="00F84563"/>
    <w:rsid w:val="00F846F2"/>
    <w:rsid w:val="00F84749"/>
    <w:rsid w:val="00F8474F"/>
    <w:rsid w:val="00F84786"/>
    <w:rsid w:val="00F8484A"/>
    <w:rsid w:val="00F848D8"/>
    <w:rsid w:val="00F84A49"/>
    <w:rsid w:val="00F84C59"/>
    <w:rsid w:val="00F84CD5"/>
    <w:rsid w:val="00F84E76"/>
    <w:rsid w:val="00F84EC7"/>
    <w:rsid w:val="00F85265"/>
    <w:rsid w:val="00F853E1"/>
    <w:rsid w:val="00F856B5"/>
    <w:rsid w:val="00F858B5"/>
    <w:rsid w:val="00F8590D"/>
    <w:rsid w:val="00F85AC9"/>
    <w:rsid w:val="00F85BF0"/>
    <w:rsid w:val="00F85C26"/>
    <w:rsid w:val="00F85C70"/>
    <w:rsid w:val="00F85DD2"/>
    <w:rsid w:val="00F85F57"/>
    <w:rsid w:val="00F86078"/>
    <w:rsid w:val="00F86140"/>
    <w:rsid w:val="00F86272"/>
    <w:rsid w:val="00F862B8"/>
    <w:rsid w:val="00F86438"/>
    <w:rsid w:val="00F86559"/>
    <w:rsid w:val="00F865B9"/>
    <w:rsid w:val="00F86649"/>
    <w:rsid w:val="00F86788"/>
    <w:rsid w:val="00F867A2"/>
    <w:rsid w:val="00F869DD"/>
    <w:rsid w:val="00F86B21"/>
    <w:rsid w:val="00F86B79"/>
    <w:rsid w:val="00F86D03"/>
    <w:rsid w:val="00F86F01"/>
    <w:rsid w:val="00F86F10"/>
    <w:rsid w:val="00F86F71"/>
    <w:rsid w:val="00F86F74"/>
    <w:rsid w:val="00F86FD9"/>
    <w:rsid w:val="00F86FE5"/>
    <w:rsid w:val="00F871C5"/>
    <w:rsid w:val="00F87310"/>
    <w:rsid w:val="00F873B0"/>
    <w:rsid w:val="00F873E7"/>
    <w:rsid w:val="00F8748E"/>
    <w:rsid w:val="00F874DD"/>
    <w:rsid w:val="00F87547"/>
    <w:rsid w:val="00F8759E"/>
    <w:rsid w:val="00F876D7"/>
    <w:rsid w:val="00F876FD"/>
    <w:rsid w:val="00F8774C"/>
    <w:rsid w:val="00F878C0"/>
    <w:rsid w:val="00F87971"/>
    <w:rsid w:val="00F87A08"/>
    <w:rsid w:val="00F87A7B"/>
    <w:rsid w:val="00F87B13"/>
    <w:rsid w:val="00F87C1B"/>
    <w:rsid w:val="00F87DDE"/>
    <w:rsid w:val="00F87E85"/>
    <w:rsid w:val="00F87F32"/>
    <w:rsid w:val="00F90099"/>
    <w:rsid w:val="00F900B5"/>
    <w:rsid w:val="00F902F6"/>
    <w:rsid w:val="00F90341"/>
    <w:rsid w:val="00F90579"/>
    <w:rsid w:val="00F905A1"/>
    <w:rsid w:val="00F90677"/>
    <w:rsid w:val="00F9067C"/>
    <w:rsid w:val="00F90708"/>
    <w:rsid w:val="00F90B15"/>
    <w:rsid w:val="00F90C7D"/>
    <w:rsid w:val="00F90EBD"/>
    <w:rsid w:val="00F90F44"/>
    <w:rsid w:val="00F91334"/>
    <w:rsid w:val="00F918EB"/>
    <w:rsid w:val="00F9198F"/>
    <w:rsid w:val="00F919C0"/>
    <w:rsid w:val="00F919D0"/>
    <w:rsid w:val="00F91A66"/>
    <w:rsid w:val="00F91BB4"/>
    <w:rsid w:val="00F91D18"/>
    <w:rsid w:val="00F91E4C"/>
    <w:rsid w:val="00F9201D"/>
    <w:rsid w:val="00F92284"/>
    <w:rsid w:val="00F922D4"/>
    <w:rsid w:val="00F923D9"/>
    <w:rsid w:val="00F924CA"/>
    <w:rsid w:val="00F92514"/>
    <w:rsid w:val="00F92534"/>
    <w:rsid w:val="00F926AA"/>
    <w:rsid w:val="00F926E9"/>
    <w:rsid w:val="00F92774"/>
    <w:rsid w:val="00F9287A"/>
    <w:rsid w:val="00F928F3"/>
    <w:rsid w:val="00F92987"/>
    <w:rsid w:val="00F92D68"/>
    <w:rsid w:val="00F92D69"/>
    <w:rsid w:val="00F92FB4"/>
    <w:rsid w:val="00F931EE"/>
    <w:rsid w:val="00F932D4"/>
    <w:rsid w:val="00F935EB"/>
    <w:rsid w:val="00F9375C"/>
    <w:rsid w:val="00F93931"/>
    <w:rsid w:val="00F93BC1"/>
    <w:rsid w:val="00F93E95"/>
    <w:rsid w:val="00F93EA8"/>
    <w:rsid w:val="00F93F4D"/>
    <w:rsid w:val="00F93F4F"/>
    <w:rsid w:val="00F94022"/>
    <w:rsid w:val="00F94067"/>
    <w:rsid w:val="00F9406D"/>
    <w:rsid w:val="00F94104"/>
    <w:rsid w:val="00F9427A"/>
    <w:rsid w:val="00F94379"/>
    <w:rsid w:val="00F94565"/>
    <w:rsid w:val="00F945E9"/>
    <w:rsid w:val="00F9465F"/>
    <w:rsid w:val="00F947D8"/>
    <w:rsid w:val="00F94849"/>
    <w:rsid w:val="00F94853"/>
    <w:rsid w:val="00F9499C"/>
    <w:rsid w:val="00F94A47"/>
    <w:rsid w:val="00F94A5F"/>
    <w:rsid w:val="00F94BAB"/>
    <w:rsid w:val="00F94C57"/>
    <w:rsid w:val="00F94CA2"/>
    <w:rsid w:val="00F94DF0"/>
    <w:rsid w:val="00F94E04"/>
    <w:rsid w:val="00F94E28"/>
    <w:rsid w:val="00F94EC8"/>
    <w:rsid w:val="00F94F1A"/>
    <w:rsid w:val="00F95072"/>
    <w:rsid w:val="00F95140"/>
    <w:rsid w:val="00F95419"/>
    <w:rsid w:val="00F9547C"/>
    <w:rsid w:val="00F9550A"/>
    <w:rsid w:val="00F958FE"/>
    <w:rsid w:val="00F95932"/>
    <w:rsid w:val="00F95985"/>
    <w:rsid w:val="00F95A2D"/>
    <w:rsid w:val="00F95A47"/>
    <w:rsid w:val="00F95B16"/>
    <w:rsid w:val="00F95CBD"/>
    <w:rsid w:val="00F95D4C"/>
    <w:rsid w:val="00F95D9F"/>
    <w:rsid w:val="00F95E8D"/>
    <w:rsid w:val="00F95E9D"/>
    <w:rsid w:val="00F96066"/>
    <w:rsid w:val="00F9614B"/>
    <w:rsid w:val="00F965DB"/>
    <w:rsid w:val="00F9661D"/>
    <w:rsid w:val="00F96650"/>
    <w:rsid w:val="00F96752"/>
    <w:rsid w:val="00F967A6"/>
    <w:rsid w:val="00F96967"/>
    <w:rsid w:val="00F969E1"/>
    <w:rsid w:val="00F969F7"/>
    <w:rsid w:val="00F96A95"/>
    <w:rsid w:val="00F96AF1"/>
    <w:rsid w:val="00F96E8B"/>
    <w:rsid w:val="00F96F09"/>
    <w:rsid w:val="00F9700C"/>
    <w:rsid w:val="00F9700D"/>
    <w:rsid w:val="00F972BE"/>
    <w:rsid w:val="00F97347"/>
    <w:rsid w:val="00F9738F"/>
    <w:rsid w:val="00F9769C"/>
    <w:rsid w:val="00F976B9"/>
    <w:rsid w:val="00F978E1"/>
    <w:rsid w:val="00F978E2"/>
    <w:rsid w:val="00F978FA"/>
    <w:rsid w:val="00F97A91"/>
    <w:rsid w:val="00F97ADE"/>
    <w:rsid w:val="00F97B32"/>
    <w:rsid w:val="00F97B7C"/>
    <w:rsid w:val="00F97D5F"/>
    <w:rsid w:val="00FA0137"/>
    <w:rsid w:val="00FA01B9"/>
    <w:rsid w:val="00FA021E"/>
    <w:rsid w:val="00FA0244"/>
    <w:rsid w:val="00FA0287"/>
    <w:rsid w:val="00FA066E"/>
    <w:rsid w:val="00FA0679"/>
    <w:rsid w:val="00FA071E"/>
    <w:rsid w:val="00FA09E7"/>
    <w:rsid w:val="00FA0D44"/>
    <w:rsid w:val="00FA0DBA"/>
    <w:rsid w:val="00FA1109"/>
    <w:rsid w:val="00FA11CB"/>
    <w:rsid w:val="00FA11D2"/>
    <w:rsid w:val="00FA131F"/>
    <w:rsid w:val="00FA13A8"/>
    <w:rsid w:val="00FA178C"/>
    <w:rsid w:val="00FA18BF"/>
    <w:rsid w:val="00FA1997"/>
    <w:rsid w:val="00FA19E4"/>
    <w:rsid w:val="00FA1A0E"/>
    <w:rsid w:val="00FA1A38"/>
    <w:rsid w:val="00FA1C97"/>
    <w:rsid w:val="00FA1D64"/>
    <w:rsid w:val="00FA1E30"/>
    <w:rsid w:val="00FA1F1E"/>
    <w:rsid w:val="00FA1FF7"/>
    <w:rsid w:val="00FA200C"/>
    <w:rsid w:val="00FA20D6"/>
    <w:rsid w:val="00FA2174"/>
    <w:rsid w:val="00FA2350"/>
    <w:rsid w:val="00FA26ED"/>
    <w:rsid w:val="00FA279B"/>
    <w:rsid w:val="00FA297E"/>
    <w:rsid w:val="00FA2A5D"/>
    <w:rsid w:val="00FA2A62"/>
    <w:rsid w:val="00FA2B00"/>
    <w:rsid w:val="00FA2B02"/>
    <w:rsid w:val="00FA2B2F"/>
    <w:rsid w:val="00FA2CED"/>
    <w:rsid w:val="00FA2D80"/>
    <w:rsid w:val="00FA2DF4"/>
    <w:rsid w:val="00FA2ECB"/>
    <w:rsid w:val="00FA2F30"/>
    <w:rsid w:val="00FA2FEC"/>
    <w:rsid w:val="00FA30D3"/>
    <w:rsid w:val="00FA3200"/>
    <w:rsid w:val="00FA32E0"/>
    <w:rsid w:val="00FA33FF"/>
    <w:rsid w:val="00FA3415"/>
    <w:rsid w:val="00FA3464"/>
    <w:rsid w:val="00FA346C"/>
    <w:rsid w:val="00FA3627"/>
    <w:rsid w:val="00FA363E"/>
    <w:rsid w:val="00FA375F"/>
    <w:rsid w:val="00FA3787"/>
    <w:rsid w:val="00FA3B3C"/>
    <w:rsid w:val="00FA3D0C"/>
    <w:rsid w:val="00FA3D5E"/>
    <w:rsid w:val="00FA3EEC"/>
    <w:rsid w:val="00FA3F09"/>
    <w:rsid w:val="00FA3F1C"/>
    <w:rsid w:val="00FA4187"/>
    <w:rsid w:val="00FA42E2"/>
    <w:rsid w:val="00FA4358"/>
    <w:rsid w:val="00FA43B3"/>
    <w:rsid w:val="00FA44D3"/>
    <w:rsid w:val="00FA4521"/>
    <w:rsid w:val="00FA4617"/>
    <w:rsid w:val="00FA47CD"/>
    <w:rsid w:val="00FA4806"/>
    <w:rsid w:val="00FA486C"/>
    <w:rsid w:val="00FA48B1"/>
    <w:rsid w:val="00FA4B60"/>
    <w:rsid w:val="00FA4B89"/>
    <w:rsid w:val="00FA4C68"/>
    <w:rsid w:val="00FA4CF7"/>
    <w:rsid w:val="00FA4EE2"/>
    <w:rsid w:val="00FA5036"/>
    <w:rsid w:val="00FA512D"/>
    <w:rsid w:val="00FA5277"/>
    <w:rsid w:val="00FA5560"/>
    <w:rsid w:val="00FA57E9"/>
    <w:rsid w:val="00FA587F"/>
    <w:rsid w:val="00FA58E6"/>
    <w:rsid w:val="00FA5A69"/>
    <w:rsid w:val="00FA5AA7"/>
    <w:rsid w:val="00FA5B72"/>
    <w:rsid w:val="00FA5C6D"/>
    <w:rsid w:val="00FA5DA1"/>
    <w:rsid w:val="00FA5E4E"/>
    <w:rsid w:val="00FA5F34"/>
    <w:rsid w:val="00FA5F87"/>
    <w:rsid w:val="00FA60A6"/>
    <w:rsid w:val="00FA6175"/>
    <w:rsid w:val="00FA6399"/>
    <w:rsid w:val="00FA6517"/>
    <w:rsid w:val="00FA65B3"/>
    <w:rsid w:val="00FA664D"/>
    <w:rsid w:val="00FA671B"/>
    <w:rsid w:val="00FA6876"/>
    <w:rsid w:val="00FA6971"/>
    <w:rsid w:val="00FA6AFF"/>
    <w:rsid w:val="00FA6BA1"/>
    <w:rsid w:val="00FA6BA3"/>
    <w:rsid w:val="00FA6C98"/>
    <w:rsid w:val="00FA6CCB"/>
    <w:rsid w:val="00FA6D8C"/>
    <w:rsid w:val="00FA709D"/>
    <w:rsid w:val="00FA70D0"/>
    <w:rsid w:val="00FA71BA"/>
    <w:rsid w:val="00FA72A3"/>
    <w:rsid w:val="00FA72D1"/>
    <w:rsid w:val="00FA752C"/>
    <w:rsid w:val="00FA7D7A"/>
    <w:rsid w:val="00FA7F16"/>
    <w:rsid w:val="00FA7F5C"/>
    <w:rsid w:val="00FB016E"/>
    <w:rsid w:val="00FB0173"/>
    <w:rsid w:val="00FB0311"/>
    <w:rsid w:val="00FB0517"/>
    <w:rsid w:val="00FB0530"/>
    <w:rsid w:val="00FB0585"/>
    <w:rsid w:val="00FB0724"/>
    <w:rsid w:val="00FB0763"/>
    <w:rsid w:val="00FB0CBE"/>
    <w:rsid w:val="00FB0CCA"/>
    <w:rsid w:val="00FB1699"/>
    <w:rsid w:val="00FB16C8"/>
    <w:rsid w:val="00FB1766"/>
    <w:rsid w:val="00FB19B4"/>
    <w:rsid w:val="00FB1A6A"/>
    <w:rsid w:val="00FB1CF6"/>
    <w:rsid w:val="00FB1D8E"/>
    <w:rsid w:val="00FB1E5E"/>
    <w:rsid w:val="00FB20EC"/>
    <w:rsid w:val="00FB232B"/>
    <w:rsid w:val="00FB2485"/>
    <w:rsid w:val="00FB26CF"/>
    <w:rsid w:val="00FB2811"/>
    <w:rsid w:val="00FB2EB0"/>
    <w:rsid w:val="00FB30C4"/>
    <w:rsid w:val="00FB322F"/>
    <w:rsid w:val="00FB32C2"/>
    <w:rsid w:val="00FB3343"/>
    <w:rsid w:val="00FB342D"/>
    <w:rsid w:val="00FB354E"/>
    <w:rsid w:val="00FB395D"/>
    <w:rsid w:val="00FB3971"/>
    <w:rsid w:val="00FB39D1"/>
    <w:rsid w:val="00FB3E2D"/>
    <w:rsid w:val="00FB3F4D"/>
    <w:rsid w:val="00FB4071"/>
    <w:rsid w:val="00FB42CE"/>
    <w:rsid w:val="00FB46CC"/>
    <w:rsid w:val="00FB48C2"/>
    <w:rsid w:val="00FB49DF"/>
    <w:rsid w:val="00FB4A53"/>
    <w:rsid w:val="00FB4B2D"/>
    <w:rsid w:val="00FB4F22"/>
    <w:rsid w:val="00FB533D"/>
    <w:rsid w:val="00FB5375"/>
    <w:rsid w:val="00FB542A"/>
    <w:rsid w:val="00FB5753"/>
    <w:rsid w:val="00FB584A"/>
    <w:rsid w:val="00FB598D"/>
    <w:rsid w:val="00FB5A4C"/>
    <w:rsid w:val="00FB5AE9"/>
    <w:rsid w:val="00FB5C96"/>
    <w:rsid w:val="00FB5F2B"/>
    <w:rsid w:val="00FB5F2C"/>
    <w:rsid w:val="00FB5F30"/>
    <w:rsid w:val="00FB5F74"/>
    <w:rsid w:val="00FB5FCB"/>
    <w:rsid w:val="00FB6084"/>
    <w:rsid w:val="00FB60AB"/>
    <w:rsid w:val="00FB60B1"/>
    <w:rsid w:val="00FB61EA"/>
    <w:rsid w:val="00FB63E4"/>
    <w:rsid w:val="00FB6526"/>
    <w:rsid w:val="00FB6714"/>
    <w:rsid w:val="00FB6719"/>
    <w:rsid w:val="00FB678D"/>
    <w:rsid w:val="00FB699D"/>
    <w:rsid w:val="00FB6B07"/>
    <w:rsid w:val="00FB6BD9"/>
    <w:rsid w:val="00FB6BE7"/>
    <w:rsid w:val="00FB6D24"/>
    <w:rsid w:val="00FB6ED3"/>
    <w:rsid w:val="00FB6F7E"/>
    <w:rsid w:val="00FB708D"/>
    <w:rsid w:val="00FB7501"/>
    <w:rsid w:val="00FB75FF"/>
    <w:rsid w:val="00FB7757"/>
    <w:rsid w:val="00FB776B"/>
    <w:rsid w:val="00FB77A3"/>
    <w:rsid w:val="00FB7876"/>
    <w:rsid w:val="00FB7931"/>
    <w:rsid w:val="00FB7943"/>
    <w:rsid w:val="00FB7955"/>
    <w:rsid w:val="00FB79AF"/>
    <w:rsid w:val="00FB7A76"/>
    <w:rsid w:val="00FB7AF9"/>
    <w:rsid w:val="00FB7CAC"/>
    <w:rsid w:val="00FB7D37"/>
    <w:rsid w:val="00FB7F98"/>
    <w:rsid w:val="00FBF99B"/>
    <w:rsid w:val="00FC01CB"/>
    <w:rsid w:val="00FC03E9"/>
    <w:rsid w:val="00FC060D"/>
    <w:rsid w:val="00FC0BEF"/>
    <w:rsid w:val="00FC0CE0"/>
    <w:rsid w:val="00FC0DC7"/>
    <w:rsid w:val="00FC0E51"/>
    <w:rsid w:val="00FC1005"/>
    <w:rsid w:val="00FC1016"/>
    <w:rsid w:val="00FC10B8"/>
    <w:rsid w:val="00FC13B3"/>
    <w:rsid w:val="00FC148E"/>
    <w:rsid w:val="00FC154C"/>
    <w:rsid w:val="00FC1642"/>
    <w:rsid w:val="00FC1744"/>
    <w:rsid w:val="00FC1814"/>
    <w:rsid w:val="00FC187C"/>
    <w:rsid w:val="00FC18BD"/>
    <w:rsid w:val="00FC19D9"/>
    <w:rsid w:val="00FC1BF4"/>
    <w:rsid w:val="00FC1EB7"/>
    <w:rsid w:val="00FC1FDA"/>
    <w:rsid w:val="00FC217A"/>
    <w:rsid w:val="00FC2223"/>
    <w:rsid w:val="00FC22B9"/>
    <w:rsid w:val="00FC24BF"/>
    <w:rsid w:val="00FC24DF"/>
    <w:rsid w:val="00FC27F8"/>
    <w:rsid w:val="00FC29AA"/>
    <w:rsid w:val="00FC29BB"/>
    <w:rsid w:val="00FC2A9B"/>
    <w:rsid w:val="00FC2C04"/>
    <w:rsid w:val="00FC2CDB"/>
    <w:rsid w:val="00FC2CE6"/>
    <w:rsid w:val="00FC3033"/>
    <w:rsid w:val="00FC3047"/>
    <w:rsid w:val="00FC31E9"/>
    <w:rsid w:val="00FC342D"/>
    <w:rsid w:val="00FC3665"/>
    <w:rsid w:val="00FC37E8"/>
    <w:rsid w:val="00FC39B7"/>
    <w:rsid w:val="00FC3BB8"/>
    <w:rsid w:val="00FC3D30"/>
    <w:rsid w:val="00FC3D57"/>
    <w:rsid w:val="00FC3D7D"/>
    <w:rsid w:val="00FC3D9A"/>
    <w:rsid w:val="00FC3EBA"/>
    <w:rsid w:val="00FC3EF1"/>
    <w:rsid w:val="00FC3FFD"/>
    <w:rsid w:val="00FC41AD"/>
    <w:rsid w:val="00FC4351"/>
    <w:rsid w:val="00FC4394"/>
    <w:rsid w:val="00FC444C"/>
    <w:rsid w:val="00FC453B"/>
    <w:rsid w:val="00FC45AA"/>
    <w:rsid w:val="00FC4880"/>
    <w:rsid w:val="00FC4917"/>
    <w:rsid w:val="00FC499D"/>
    <w:rsid w:val="00FC4A6A"/>
    <w:rsid w:val="00FC4B6A"/>
    <w:rsid w:val="00FC4D40"/>
    <w:rsid w:val="00FC4E36"/>
    <w:rsid w:val="00FC4F1F"/>
    <w:rsid w:val="00FC510B"/>
    <w:rsid w:val="00FC5231"/>
    <w:rsid w:val="00FC5265"/>
    <w:rsid w:val="00FC540E"/>
    <w:rsid w:val="00FC5499"/>
    <w:rsid w:val="00FC5565"/>
    <w:rsid w:val="00FC5569"/>
    <w:rsid w:val="00FC56A0"/>
    <w:rsid w:val="00FC57C9"/>
    <w:rsid w:val="00FC57E1"/>
    <w:rsid w:val="00FC57EA"/>
    <w:rsid w:val="00FC5934"/>
    <w:rsid w:val="00FC5C40"/>
    <w:rsid w:val="00FC5D13"/>
    <w:rsid w:val="00FC5FAB"/>
    <w:rsid w:val="00FC6014"/>
    <w:rsid w:val="00FC6169"/>
    <w:rsid w:val="00FC61D5"/>
    <w:rsid w:val="00FC63CD"/>
    <w:rsid w:val="00FC64C9"/>
    <w:rsid w:val="00FC6956"/>
    <w:rsid w:val="00FC6AA5"/>
    <w:rsid w:val="00FC6AFE"/>
    <w:rsid w:val="00FC6D1F"/>
    <w:rsid w:val="00FC6D8B"/>
    <w:rsid w:val="00FC6D9A"/>
    <w:rsid w:val="00FC6DA6"/>
    <w:rsid w:val="00FC6FED"/>
    <w:rsid w:val="00FC7009"/>
    <w:rsid w:val="00FC7074"/>
    <w:rsid w:val="00FC7094"/>
    <w:rsid w:val="00FC710E"/>
    <w:rsid w:val="00FC73E6"/>
    <w:rsid w:val="00FC74C8"/>
    <w:rsid w:val="00FC75D8"/>
    <w:rsid w:val="00FC77CC"/>
    <w:rsid w:val="00FC7877"/>
    <w:rsid w:val="00FC7BA7"/>
    <w:rsid w:val="00FC7BEE"/>
    <w:rsid w:val="00FC7C91"/>
    <w:rsid w:val="00FC7DE2"/>
    <w:rsid w:val="00FC7F03"/>
    <w:rsid w:val="00FC7F0E"/>
    <w:rsid w:val="00FD0012"/>
    <w:rsid w:val="00FD00A7"/>
    <w:rsid w:val="00FD017C"/>
    <w:rsid w:val="00FD021C"/>
    <w:rsid w:val="00FD026E"/>
    <w:rsid w:val="00FD035C"/>
    <w:rsid w:val="00FD03BB"/>
    <w:rsid w:val="00FD0544"/>
    <w:rsid w:val="00FD0546"/>
    <w:rsid w:val="00FD05CA"/>
    <w:rsid w:val="00FD0614"/>
    <w:rsid w:val="00FD061D"/>
    <w:rsid w:val="00FD06BA"/>
    <w:rsid w:val="00FD06F1"/>
    <w:rsid w:val="00FD076E"/>
    <w:rsid w:val="00FD07BB"/>
    <w:rsid w:val="00FD0832"/>
    <w:rsid w:val="00FD0854"/>
    <w:rsid w:val="00FD0927"/>
    <w:rsid w:val="00FD0AAC"/>
    <w:rsid w:val="00FD0B02"/>
    <w:rsid w:val="00FD0B60"/>
    <w:rsid w:val="00FD0B8A"/>
    <w:rsid w:val="00FD0C66"/>
    <w:rsid w:val="00FD0D05"/>
    <w:rsid w:val="00FD0D80"/>
    <w:rsid w:val="00FD0F87"/>
    <w:rsid w:val="00FD0FE8"/>
    <w:rsid w:val="00FD1109"/>
    <w:rsid w:val="00FD126E"/>
    <w:rsid w:val="00FD1332"/>
    <w:rsid w:val="00FD1374"/>
    <w:rsid w:val="00FD1382"/>
    <w:rsid w:val="00FD18F5"/>
    <w:rsid w:val="00FD1C2F"/>
    <w:rsid w:val="00FD20F4"/>
    <w:rsid w:val="00FD230F"/>
    <w:rsid w:val="00FD23B2"/>
    <w:rsid w:val="00FD25BD"/>
    <w:rsid w:val="00FD263A"/>
    <w:rsid w:val="00FD2747"/>
    <w:rsid w:val="00FD2816"/>
    <w:rsid w:val="00FD2867"/>
    <w:rsid w:val="00FD29D6"/>
    <w:rsid w:val="00FD29E9"/>
    <w:rsid w:val="00FD2CBE"/>
    <w:rsid w:val="00FD2D4E"/>
    <w:rsid w:val="00FD2E41"/>
    <w:rsid w:val="00FD2F45"/>
    <w:rsid w:val="00FD33DD"/>
    <w:rsid w:val="00FD3481"/>
    <w:rsid w:val="00FD3584"/>
    <w:rsid w:val="00FD35E5"/>
    <w:rsid w:val="00FD37D8"/>
    <w:rsid w:val="00FD3A8E"/>
    <w:rsid w:val="00FD3DD1"/>
    <w:rsid w:val="00FD3DDC"/>
    <w:rsid w:val="00FD4148"/>
    <w:rsid w:val="00FD4309"/>
    <w:rsid w:val="00FD4587"/>
    <w:rsid w:val="00FD45BE"/>
    <w:rsid w:val="00FD45C9"/>
    <w:rsid w:val="00FD461A"/>
    <w:rsid w:val="00FD4726"/>
    <w:rsid w:val="00FD485A"/>
    <w:rsid w:val="00FD48A0"/>
    <w:rsid w:val="00FD48E6"/>
    <w:rsid w:val="00FD4C67"/>
    <w:rsid w:val="00FD4C8F"/>
    <w:rsid w:val="00FD4D01"/>
    <w:rsid w:val="00FD4D5B"/>
    <w:rsid w:val="00FD4ECA"/>
    <w:rsid w:val="00FD511F"/>
    <w:rsid w:val="00FD51C3"/>
    <w:rsid w:val="00FD5317"/>
    <w:rsid w:val="00FD55F1"/>
    <w:rsid w:val="00FD569A"/>
    <w:rsid w:val="00FD5748"/>
    <w:rsid w:val="00FD5805"/>
    <w:rsid w:val="00FD5ACA"/>
    <w:rsid w:val="00FD5B4C"/>
    <w:rsid w:val="00FD5BCA"/>
    <w:rsid w:val="00FD5C7F"/>
    <w:rsid w:val="00FD5C8D"/>
    <w:rsid w:val="00FD5CCF"/>
    <w:rsid w:val="00FD5E96"/>
    <w:rsid w:val="00FD5FDA"/>
    <w:rsid w:val="00FD610B"/>
    <w:rsid w:val="00FD62A2"/>
    <w:rsid w:val="00FD62F3"/>
    <w:rsid w:val="00FD6555"/>
    <w:rsid w:val="00FD670D"/>
    <w:rsid w:val="00FD6739"/>
    <w:rsid w:val="00FD6965"/>
    <w:rsid w:val="00FD6A8D"/>
    <w:rsid w:val="00FD6B25"/>
    <w:rsid w:val="00FD6B74"/>
    <w:rsid w:val="00FD6D35"/>
    <w:rsid w:val="00FD6DB8"/>
    <w:rsid w:val="00FD6E06"/>
    <w:rsid w:val="00FD6E5D"/>
    <w:rsid w:val="00FD70F4"/>
    <w:rsid w:val="00FD7578"/>
    <w:rsid w:val="00FD784B"/>
    <w:rsid w:val="00FD7BDD"/>
    <w:rsid w:val="00FD7DE2"/>
    <w:rsid w:val="00FD7E57"/>
    <w:rsid w:val="00FD7F27"/>
    <w:rsid w:val="00FE00A7"/>
    <w:rsid w:val="00FE01AD"/>
    <w:rsid w:val="00FE0235"/>
    <w:rsid w:val="00FE03B1"/>
    <w:rsid w:val="00FE049E"/>
    <w:rsid w:val="00FE0518"/>
    <w:rsid w:val="00FE068E"/>
    <w:rsid w:val="00FE0712"/>
    <w:rsid w:val="00FE0B44"/>
    <w:rsid w:val="00FE0DEF"/>
    <w:rsid w:val="00FE0FE4"/>
    <w:rsid w:val="00FE1037"/>
    <w:rsid w:val="00FE125C"/>
    <w:rsid w:val="00FE140D"/>
    <w:rsid w:val="00FE143B"/>
    <w:rsid w:val="00FE1616"/>
    <w:rsid w:val="00FE16A5"/>
    <w:rsid w:val="00FE183A"/>
    <w:rsid w:val="00FE185E"/>
    <w:rsid w:val="00FE1A24"/>
    <w:rsid w:val="00FE1AF5"/>
    <w:rsid w:val="00FE1E8A"/>
    <w:rsid w:val="00FE2171"/>
    <w:rsid w:val="00FE21D2"/>
    <w:rsid w:val="00FE248C"/>
    <w:rsid w:val="00FE2521"/>
    <w:rsid w:val="00FE253A"/>
    <w:rsid w:val="00FE2589"/>
    <w:rsid w:val="00FE25C9"/>
    <w:rsid w:val="00FE2851"/>
    <w:rsid w:val="00FE2854"/>
    <w:rsid w:val="00FE2EEB"/>
    <w:rsid w:val="00FE2F17"/>
    <w:rsid w:val="00FE2F86"/>
    <w:rsid w:val="00FE2FD9"/>
    <w:rsid w:val="00FE2FF2"/>
    <w:rsid w:val="00FE2FF5"/>
    <w:rsid w:val="00FE3031"/>
    <w:rsid w:val="00FE307D"/>
    <w:rsid w:val="00FE309F"/>
    <w:rsid w:val="00FE30B7"/>
    <w:rsid w:val="00FE30D3"/>
    <w:rsid w:val="00FE30F7"/>
    <w:rsid w:val="00FE3247"/>
    <w:rsid w:val="00FE342A"/>
    <w:rsid w:val="00FE39C7"/>
    <w:rsid w:val="00FE3A47"/>
    <w:rsid w:val="00FE3AA2"/>
    <w:rsid w:val="00FE40A1"/>
    <w:rsid w:val="00FE4273"/>
    <w:rsid w:val="00FE427D"/>
    <w:rsid w:val="00FE435C"/>
    <w:rsid w:val="00FE43F2"/>
    <w:rsid w:val="00FE45CA"/>
    <w:rsid w:val="00FE45E4"/>
    <w:rsid w:val="00FE4751"/>
    <w:rsid w:val="00FE4819"/>
    <w:rsid w:val="00FE482A"/>
    <w:rsid w:val="00FE4864"/>
    <w:rsid w:val="00FE4C39"/>
    <w:rsid w:val="00FE4C5A"/>
    <w:rsid w:val="00FE4DDE"/>
    <w:rsid w:val="00FE4F50"/>
    <w:rsid w:val="00FE51F1"/>
    <w:rsid w:val="00FE5240"/>
    <w:rsid w:val="00FE544B"/>
    <w:rsid w:val="00FE55DC"/>
    <w:rsid w:val="00FE5600"/>
    <w:rsid w:val="00FE561D"/>
    <w:rsid w:val="00FE5886"/>
    <w:rsid w:val="00FE5905"/>
    <w:rsid w:val="00FE5D30"/>
    <w:rsid w:val="00FE5D36"/>
    <w:rsid w:val="00FE5D7E"/>
    <w:rsid w:val="00FE5EF9"/>
    <w:rsid w:val="00FE5FF1"/>
    <w:rsid w:val="00FE612A"/>
    <w:rsid w:val="00FE6183"/>
    <w:rsid w:val="00FE6276"/>
    <w:rsid w:val="00FE630D"/>
    <w:rsid w:val="00FE63A0"/>
    <w:rsid w:val="00FE6416"/>
    <w:rsid w:val="00FE642B"/>
    <w:rsid w:val="00FE64B7"/>
    <w:rsid w:val="00FE6859"/>
    <w:rsid w:val="00FE694F"/>
    <w:rsid w:val="00FE6954"/>
    <w:rsid w:val="00FE695A"/>
    <w:rsid w:val="00FE6CD9"/>
    <w:rsid w:val="00FE6FD0"/>
    <w:rsid w:val="00FE71D8"/>
    <w:rsid w:val="00FE7224"/>
    <w:rsid w:val="00FE7371"/>
    <w:rsid w:val="00FE73DF"/>
    <w:rsid w:val="00FE742D"/>
    <w:rsid w:val="00FE77EC"/>
    <w:rsid w:val="00FE78CA"/>
    <w:rsid w:val="00FE79B2"/>
    <w:rsid w:val="00FE7C47"/>
    <w:rsid w:val="00FE7EB1"/>
    <w:rsid w:val="00FF0015"/>
    <w:rsid w:val="00FF0296"/>
    <w:rsid w:val="00FF03A7"/>
    <w:rsid w:val="00FF0626"/>
    <w:rsid w:val="00FF0696"/>
    <w:rsid w:val="00FF095D"/>
    <w:rsid w:val="00FF0985"/>
    <w:rsid w:val="00FF0A53"/>
    <w:rsid w:val="00FF0F67"/>
    <w:rsid w:val="00FF1056"/>
    <w:rsid w:val="00FF109B"/>
    <w:rsid w:val="00FF10B4"/>
    <w:rsid w:val="00FF10D7"/>
    <w:rsid w:val="00FF111D"/>
    <w:rsid w:val="00FF1122"/>
    <w:rsid w:val="00FF1201"/>
    <w:rsid w:val="00FF1395"/>
    <w:rsid w:val="00FF13E7"/>
    <w:rsid w:val="00FF1427"/>
    <w:rsid w:val="00FF146B"/>
    <w:rsid w:val="00FF1482"/>
    <w:rsid w:val="00FF1526"/>
    <w:rsid w:val="00FF162B"/>
    <w:rsid w:val="00FF16D5"/>
    <w:rsid w:val="00FF175D"/>
    <w:rsid w:val="00FF179B"/>
    <w:rsid w:val="00FF17BE"/>
    <w:rsid w:val="00FF1853"/>
    <w:rsid w:val="00FF1A41"/>
    <w:rsid w:val="00FF1AB5"/>
    <w:rsid w:val="00FF1BEA"/>
    <w:rsid w:val="00FF1E81"/>
    <w:rsid w:val="00FF1F16"/>
    <w:rsid w:val="00FF2246"/>
    <w:rsid w:val="00FF236A"/>
    <w:rsid w:val="00FF24AE"/>
    <w:rsid w:val="00FF24C1"/>
    <w:rsid w:val="00FF258E"/>
    <w:rsid w:val="00FF2613"/>
    <w:rsid w:val="00FF270A"/>
    <w:rsid w:val="00FF2808"/>
    <w:rsid w:val="00FF2B54"/>
    <w:rsid w:val="00FF2B62"/>
    <w:rsid w:val="00FF2C6D"/>
    <w:rsid w:val="00FF2E11"/>
    <w:rsid w:val="00FF2E99"/>
    <w:rsid w:val="00FF2F4D"/>
    <w:rsid w:val="00FF35F4"/>
    <w:rsid w:val="00FF361A"/>
    <w:rsid w:val="00FF37CB"/>
    <w:rsid w:val="00FF37F3"/>
    <w:rsid w:val="00FF3916"/>
    <w:rsid w:val="00FF39B1"/>
    <w:rsid w:val="00FF3A9D"/>
    <w:rsid w:val="00FF3C43"/>
    <w:rsid w:val="00FF3CD2"/>
    <w:rsid w:val="00FF3EEC"/>
    <w:rsid w:val="00FF3FD1"/>
    <w:rsid w:val="00FF41E1"/>
    <w:rsid w:val="00FF41FB"/>
    <w:rsid w:val="00FF4413"/>
    <w:rsid w:val="00FF459E"/>
    <w:rsid w:val="00FF4697"/>
    <w:rsid w:val="00FF46FB"/>
    <w:rsid w:val="00FF4844"/>
    <w:rsid w:val="00FF4AF1"/>
    <w:rsid w:val="00FF4F69"/>
    <w:rsid w:val="00FF4FCC"/>
    <w:rsid w:val="00FF4FD0"/>
    <w:rsid w:val="00FF50C7"/>
    <w:rsid w:val="00FF518F"/>
    <w:rsid w:val="00FF5242"/>
    <w:rsid w:val="00FF525E"/>
    <w:rsid w:val="00FF5321"/>
    <w:rsid w:val="00FF5369"/>
    <w:rsid w:val="00FF53C0"/>
    <w:rsid w:val="00FF5436"/>
    <w:rsid w:val="00FF5452"/>
    <w:rsid w:val="00FF5460"/>
    <w:rsid w:val="00FF551F"/>
    <w:rsid w:val="00FF553B"/>
    <w:rsid w:val="00FF5663"/>
    <w:rsid w:val="00FF5678"/>
    <w:rsid w:val="00FF583A"/>
    <w:rsid w:val="00FF5BA3"/>
    <w:rsid w:val="00FF5C13"/>
    <w:rsid w:val="00FF60CE"/>
    <w:rsid w:val="00FF6130"/>
    <w:rsid w:val="00FF61C5"/>
    <w:rsid w:val="00FF61E7"/>
    <w:rsid w:val="00FF676E"/>
    <w:rsid w:val="00FF687A"/>
    <w:rsid w:val="00FF68ED"/>
    <w:rsid w:val="00FF694B"/>
    <w:rsid w:val="00FF6A79"/>
    <w:rsid w:val="00FF6A98"/>
    <w:rsid w:val="00FF6AB0"/>
    <w:rsid w:val="00FF6B1E"/>
    <w:rsid w:val="00FF6B7D"/>
    <w:rsid w:val="00FF6BBE"/>
    <w:rsid w:val="00FF6D3F"/>
    <w:rsid w:val="00FF6F72"/>
    <w:rsid w:val="00FF708D"/>
    <w:rsid w:val="00FF7265"/>
    <w:rsid w:val="00FF73E2"/>
    <w:rsid w:val="00FF74F1"/>
    <w:rsid w:val="00FF753E"/>
    <w:rsid w:val="00FF7594"/>
    <w:rsid w:val="00FF762B"/>
    <w:rsid w:val="00FF76D7"/>
    <w:rsid w:val="00FF76E5"/>
    <w:rsid w:val="00FF7C38"/>
    <w:rsid w:val="00FF7D01"/>
    <w:rsid w:val="00FF7ED9"/>
    <w:rsid w:val="00FF7F81"/>
    <w:rsid w:val="0103FFA7"/>
    <w:rsid w:val="010A2596"/>
    <w:rsid w:val="012EC732"/>
    <w:rsid w:val="015160FF"/>
    <w:rsid w:val="01520C9E"/>
    <w:rsid w:val="0152DF5F"/>
    <w:rsid w:val="0165698E"/>
    <w:rsid w:val="01898AD6"/>
    <w:rsid w:val="01B2334F"/>
    <w:rsid w:val="01BC2689"/>
    <w:rsid w:val="01D3381F"/>
    <w:rsid w:val="01D3FF2C"/>
    <w:rsid w:val="01DA62FA"/>
    <w:rsid w:val="01DE153A"/>
    <w:rsid w:val="01E43A08"/>
    <w:rsid w:val="01E73606"/>
    <w:rsid w:val="01F6EF99"/>
    <w:rsid w:val="02138520"/>
    <w:rsid w:val="02171BF8"/>
    <w:rsid w:val="02216403"/>
    <w:rsid w:val="0257009F"/>
    <w:rsid w:val="025AD7FE"/>
    <w:rsid w:val="028AB752"/>
    <w:rsid w:val="028D646B"/>
    <w:rsid w:val="029543F1"/>
    <w:rsid w:val="02ADC65E"/>
    <w:rsid w:val="02AF9801"/>
    <w:rsid w:val="02B9E1B5"/>
    <w:rsid w:val="02DD574A"/>
    <w:rsid w:val="02E1E385"/>
    <w:rsid w:val="02EF52D8"/>
    <w:rsid w:val="02F4C8CA"/>
    <w:rsid w:val="0310CDAE"/>
    <w:rsid w:val="0322C2DA"/>
    <w:rsid w:val="034AEC0A"/>
    <w:rsid w:val="03580BBC"/>
    <w:rsid w:val="0376A254"/>
    <w:rsid w:val="0399D548"/>
    <w:rsid w:val="03AB07C5"/>
    <w:rsid w:val="03B545FA"/>
    <w:rsid w:val="03BC3C30"/>
    <w:rsid w:val="03E6FE51"/>
    <w:rsid w:val="03F5EF58"/>
    <w:rsid w:val="04086037"/>
    <w:rsid w:val="040A64F8"/>
    <w:rsid w:val="04142CEB"/>
    <w:rsid w:val="041A3928"/>
    <w:rsid w:val="043672A1"/>
    <w:rsid w:val="046FFE81"/>
    <w:rsid w:val="047CDE8A"/>
    <w:rsid w:val="04823B71"/>
    <w:rsid w:val="048F88EB"/>
    <w:rsid w:val="04A6B645"/>
    <w:rsid w:val="04DE5A66"/>
    <w:rsid w:val="052436CA"/>
    <w:rsid w:val="052E7C83"/>
    <w:rsid w:val="0546DAB9"/>
    <w:rsid w:val="0558598C"/>
    <w:rsid w:val="05594FA4"/>
    <w:rsid w:val="0559679B"/>
    <w:rsid w:val="056EC521"/>
    <w:rsid w:val="05716E00"/>
    <w:rsid w:val="058B2A10"/>
    <w:rsid w:val="059FE9FE"/>
    <w:rsid w:val="05A11390"/>
    <w:rsid w:val="05C42C87"/>
    <w:rsid w:val="05D91C03"/>
    <w:rsid w:val="05F2B077"/>
    <w:rsid w:val="05F946D3"/>
    <w:rsid w:val="0604EE64"/>
    <w:rsid w:val="06080C4A"/>
    <w:rsid w:val="060F6DE4"/>
    <w:rsid w:val="063CDC3B"/>
    <w:rsid w:val="063DF8CA"/>
    <w:rsid w:val="068DAB24"/>
    <w:rsid w:val="06B45DA9"/>
    <w:rsid w:val="06C935C9"/>
    <w:rsid w:val="06D2246C"/>
    <w:rsid w:val="06D8CDE2"/>
    <w:rsid w:val="06E2B40E"/>
    <w:rsid w:val="07345D13"/>
    <w:rsid w:val="0743FA1C"/>
    <w:rsid w:val="07479754"/>
    <w:rsid w:val="078C8D28"/>
    <w:rsid w:val="07921F0A"/>
    <w:rsid w:val="07AA0704"/>
    <w:rsid w:val="07EA72CF"/>
    <w:rsid w:val="07F03FCC"/>
    <w:rsid w:val="07F1F6EE"/>
    <w:rsid w:val="07F5F080"/>
    <w:rsid w:val="082ACF98"/>
    <w:rsid w:val="082C0A14"/>
    <w:rsid w:val="083B9808"/>
    <w:rsid w:val="083D4EF0"/>
    <w:rsid w:val="088D5CD8"/>
    <w:rsid w:val="08940A58"/>
    <w:rsid w:val="08974A72"/>
    <w:rsid w:val="089F7F04"/>
    <w:rsid w:val="08B4F1B2"/>
    <w:rsid w:val="08D57BCA"/>
    <w:rsid w:val="08E192BC"/>
    <w:rsid w:val="08E88B6C"/>
    <w:rsid w:val="08EC7A2B"/>
    <w:rsid w:val="08F73C65"/>
    <w:rsid w:val="090EE748"/>
    <w:rsid w:val="09240819"/>
    <w:rsid w:val="092C0669"/>
    <w:rsid w:val="093CB16D"/>
    <w:rsid w:val="09661F6E"/>
    <w:rsid w:val="0990DE42"/>
    <w:rsid w:val="09A1265A"/>
    <w:rsid w:val="09AA4DCE"/>
    <w:rsid w:val="09B36031"/>
    <w:rsid w:val="09D5701B"/>
    <w:rsid w:val="09ECA9D2"/>
    <w:rsid w:val="0A615C3F"/>
    <w:rsid w:val="0AC45A75"/>
    <w:rsid w:val="0AF1B586"/>
    <w:rsid w:val="0AF268B5"/>
    <w:rsid w:val="0AF8347B"/>
    <w:rsid w:val="0AF96282"/>
    <w:rsid w:val="0B28EF58"/>
    <w:rsid w:val="0B292666"/>
    <w:rsid w:val="0B2AF27E"/>
    <w:rsid w:val="0B45C3E7"/>
    <w:rsid w:val="0B52ED0F"/>
    <w:rsid w:val="0B5AAB95"/>
    <w:rsid w:val="0B68BEB1"/>
    <w:rsid w:val="0B97D4D0"/>
    <w:rsid w:val="0BAA5647"/>
    <w:rsid w:val="0BAF1323"/>
    <w:rsid w:val="0BCA6DA5"/>
    <w:rsid w:val="0BCEB3AF"/>
    <w:rsid w:val="0BF051C9"/>
    <w:rsid w:val="0BF3C65D"/>
    <w:rsid w:val="0BF402D3"/>
    <w:rsid w:val="0C122522"/>
    <w:rsid w:val="0C2681CF"/>
    <w:rsid w:val="0C32AC98"/>
    <w:rsid w:val="0C3651FE"/>
    <w:rsid w:val="0C4C5770"/>
    <w:rsid w:val="0C5163D0"/>
    <w:rsid w:val="0C64ED14"/>
    <w:rsid w:val="0C7241C0"/>
    <w:rsid w:val="0C7DBCB7"/>
    <w:rsid w:val="0C883B6B"/>
    <w:rsid w:val="0C938A65"/>
    <w:rsid w:val="0CE41013"/>
    <w:rsid w:val="0D0A7384"/>
    <w:rsid w:val="0D274C06"/>
    <w:rsid w:val="0D5D78BE"/>
    <w:rsid w:val="0D749ED0"/>
    <w:rsid w:val="0D770D51"/>
    <w:rsid w:val="0D896AE9"/>
    <w:rsid w:val="0DA6322C"/>
    <w:rsid w:val="0DC0D1B3"/>
    <w:rsid w:val="0DCE1CCC"/>
    <w:rsid w:val="0DE3F907"/>
    <w:rsid w:val="0DE7A80D"/>
    <w:rsid w:val="0E002FB4"/>
    <w:rsid w:val="0E022419"/>
    <w:rsid w:val="0E0C51E8"/>
    <w:rsid w:val="0E16D56E"/>
    <w:rsid w:val="0E252534"/>
    <w:rsid w:val="0E266E61"/>
    <w:rsid w:val="0E351F6A"/>
    <w:rsid w:val="0E36578E"/>
    <w:rsid w:val="0E491F00"/>
    <w:rsid w:val="0E612662"/>
    <w:rsid w:val="0E9568F6"/>
    <w:rsid w:val="0EACCEA0"/>
    <w:rsid w:val="0EADEFEA"/>
    <w:rsid w:val="0EAE53D3"/>
    <w:rsid w:val="0EB24FDD"/>
    <w:rsid w:val="0EB9ED8E"/>
    <w:rsid w:val="0EC9FD32"/>
    <w:rsid w:val="0EEF3024"/>
    <w:rsid w:val="0EF67817"/>
    <w:rsid w:val="0F01B1CF"/>
    <w:rsid w:val="0F05CEB0"/>
    <w:rsid w:val="0F0CB55F"/>
    <w:rsid w:val="0F8B0C8C"/>
    <w:rsid w:val="0F8D63F6"/>
    <w:rsid w:val="0FA9F2AC"/>
    <w:rsid w:val="0FB35D77"/>
    <w:rsid w:val="0FD3683B"/>
    <w:rsid w:val="10182523"/>
    <w:rsid w:val="103B8DEA"/>
    <w:rsid w:val="10410893"/>
    <w:rsid w:val="107CA874"/>
    <w:rsid w:val="10BB1C5D"/>
    <w:rsid w:val="10BF07BB"/>
    <w:rsid w:val="10DABE5D"/>
    <w:rsid w:val="10E207B5"/>
    <w:rsid w:val="10E4A9CF"/>
    <w:rsid w:val="11576969"/>
    <w:rsid w:val="11862EF2"/>
    <w:rsid w:val="11B47D30"/>
    <w:rsid w:val="11B8AFAF"/>
    <w:rsid w:val="11C113D9"/>
    <w:rsid w:val="11F4B8CE"/>
    <w:rsid w:val="12110888"/>
    <w:rsid w:val="1214DEDA"/>
    <w:rsid w:val="12254566"/>
    <w:rsid w:val="124D6D78"/>
    <w:rsid w:val="12648F88"/>
    <w:rsid w:val="12766D90"/>
    <w:rsid w:val="127971D5"/>
    <w:rsid w:val="128DEB7A"/>
    <w:rsid w:val="12A93F8F"/>
    <w:rsid w:val="12B8A243"/>
    <w:rsid w:val="12C50288"/>
    <w:rsid w:val="12CF2D06"/>
    <w:rsid w:val="1312AC0F"/>
    <w:rsid w:val="131AFAE0"/>
    <w:rsid w:val="13272784"/>
    <w:rsid w:val="1329280E"/>
    <w:rsid w:val="1340E850"/>
    <w:rsid w:val="1340FDA6"/>
    <w:rsid w:val="134B6C65"/>
    <w:rsid w:val="1376B25B"/>
    <w:rsid w:val="138902E2"/>
    <w:rsid w:val="1396F3E2"/>
    <w:rsid w:val="139A90B7"/>
    <w:rsid w:val="139CE72F"/>
    <w:rsid w:val="13CECE4A"/>
    <w:rsid w:val="13D43523"/>
    <w:rsid w:val="13F600CF"/>
    <w:rsid w:val="13F67EEB"/>
    <w:rsid w:val="142DF670"/>
    <w:rsid w:val="14312566"/>
    <w:rsid w:val="143AE679"/>
    <w:rsid w:val="14593F6B"/>
    <w:rsid w:val="14900393"/>
    <w:rsid w:val="1499640D"/>
    <w:rsid w:val="149D1EF7"/>
    <w:rsid w:val="14A104ED"/>
    <w:rsid w:val="14B3B89E"/>
    <w:rsid w:val="14C1503F"/>
    <w:rsid w:val="14C1DD2C"/>
    <w:rsid w:val="14D65F6D"/>
    <w:rsid w:val="153BE01B"/>
    <w:rsid w:val="1546BD9A"/>
    <w:rsid w:val="155B9F12"/>
    <w:rsid w:val="1564E8AC"/>
    <w:rsid w:val="156E228D"/>
    <w:rsid w:val="15871300"/>
    <w:rsid w:val="15D01792"/>
    <w:rsid w:val="15E7F02D"/>
    <w:rsid w:val="15F4B2A0"/>
    <w:rsid w:val="161D4C41"/>
    <w:rsid w:val="1622FB1E"/>
    <w:rsid w:val="162BEDF5"/>
    <w:rsid w:val="16316A37"/>
    <w:rsid w:val="165C715E"/>
    <w:rsid w:val="165E8D6E"/>
    <w:rsid w:val="16788137"/>
    <w:rsid w:val="16AC1596"/>
    <w:rsid w:val="16B9318D"/>
    <w:rsid w:val="16C0B625"/>
    <w:rsid w:val="16C85C85"/>
    <w:rsid w:val="16DCD698"/>
    <w:rsid w:val="16F5070C"/>
    <w:rsid w:val="1715FE2E"/>
    <w:rsid w:val="17189B2F"/>
    <w:rsid w:val="171ECE55"/>
    <w:rsid w:val="174B25FB"/>
    <w:rsid w:val="175954C3"/>
    <w:rsid w:val="1787970B"/>
    <w:rsid w:val="1799666A"/>
    <w:rsid w:val="17A3AAE9"/>
    <w:rsid w:val="17B95A1A"/>
    <w:rsid w:val="17BCD6FD"/>
    <w:rsid w:val="17D2C31E"/>
    <w:rsid w:val="17D2F637"/>
    <w:rsid w:val="17D43288"/>
    <w:rsid w:val="17E2B9C1"/>
    <w:rsid w:val="17E41B74"/>
    <w:rsid w:val="17F06DBE"/>
    <w:rsid w:val="17F66ACC"/>
    <w:rsid w:val="18090BA6"/>
    <w:rsid w:val="1823A54E"/>
    <w:rsid w:val="1829F7A2"/>
    <w:rsid w:val="18325AA1"/>
    <w:rsid w:val="18332FD8"/>
    <w:rsid w:val="18379986"/>
    <w:rsid w:val="184EC79A"/>
    <w:rsid w:val="18717753"/>
    <w:rsid w:val="1889C7EB"/>
    <w:rsid w:val="189CC4E2"/>
    <w:rsid w:val="18A66DEB"/>
    <w:rsid w:val="18A71BF0"/>
    <w:rsid w:val="18CF6373"/>
    <w:rsid w:val="1921B866"/>
    <w:rsid w:val="193878B9"/>
    <w:rsid w:val="1967CA22"/>
    <w:rsid w:val="19891CBD"/>
    <w:rsid w:val="19920C6D"/>
    <w:rsid w:val="19A8F3AB"/>
    <w:rsid w:val="19B8391B"/>
    <w:rsid w:val="19D24751"/>
    <w:rsid w:val="19D95AE0"/>
    <w:rsid w:val="19F6F62D"/>
    <w:rsid w:val="1A0CDBAB"/>
    <w:rsid w:val="1A1DEDE4"/>
    <w:rsid w:val="1A4A4A62"/>
    <w:rsid w:val="1A5049ED"/>
    <w:rsid w:val="1A55D61C"/>
    <w:rsid w:val="1A616957"/>
    <w:rsid w:val="1A797D07"/>
    <w:rsid w:val="1A7E1685"/>
    <w:rsid w:val="1A90EEB0"/>
    <w:rsid w:val="1A950FF3"/>
    <w:rsid w:val="1A952331"/>
    <w:rsid w:val="1A9A65DC"/>
    <w:rsid w:val="1ACD88F2"/>
    <w:rsid w:val="1ADD2C41"/>
    <w:rsid w:val="1B219ADC"/>
    <w:rsid w:val="1B75CBAB"/>
    <w:rsid w:val="1BC33D81"/>
    <w:rsid w:val="1BD1FE9E"/>
    <w:rsid w:val="1BD783F7"/>
    <w:rsid w:val="1C0DB961"/>
    <w:rsid w:val="1C24AB37"/>
    <w:rsid w:val="1C498344"/>
    <w:rsid w:val="1C5F1A73"/>
    <w:rsid w:val="1C6DE891"/>
    <w:rsid w:val="1C95DF95"/>
    <w:rsid w:val="1C9AC111"/>
    <w:rsid w:val="1CE3C5DF"/>
    <w:rsid w:val="1D06130F"/>
    <w:rsid w:val="1D14A1CC"/>
    <w:rsid w:val="1D1ABCEE"/>
    <w:rsid w:val="1D5BA69C"/>
    <w:rsid w:val="1D5D1194"/>
    <w:rsid w:val="1D786B78"/>
    <w:rsid w:val="1D851827"/>
    <w:rsid w:val="1DB44367"/>
    <w:rsid w:val="1DBED853"/>
    <w:rsid w:val="1DF1DF5D"/>
    <w:rsid w:val="1DFB7D5B"/>
    <w:rsid w:val="1DFC1DED"/>
    <w:rsid w:val="1E04E42D"/>
    <w:rsid w:val="1E0D6BB2"/>
    <w:rsid w:val="1E2AA4D0"/>
    <w:rsid w:val="1E2FF67E"/>
    <w:rsid w:val="1E363CC7"/>
    <w:rsid w:val="1E3C565C"/>
    <w:rsid w:val="1E693B4C"/>
    <w:rsid w:val="1E7A893F"/>
    <w:rsid w:val="1EA1F10A"/>
    <w:rsid w:val="1EBB9BC1"/>
    <w:rsid w:val="1EBD2FFA"/>
    <w:rsid w:val="1ED4C73C"/>
    <w:rsid w:val="1EE2D281"/>
    <w:rsid w:val="1EE32273"/>
    <w:rsid w:val="1EFD1504"/>
    <w:rsid w:val="1F174A60"/>
    <w:rsid w:val="1F2D5DAC"/>
    <w:rsid w:val="1F652CED"/>
    <w:rsid w:val="1F6A7F7E"/>
    <w:rsid w:val="1F7BB37B"/>
    <w:rsid w:val="1F910BDE"/>
    <w:rsid w:val="1F9F143C"/>
    <w:rsid w:val="1F9FAE22"/>
    <w:rsid w:val="2018BB62"/>
    <w:rsid w:val="2032177A"/>
    <w:rsid w:val="2065AFB0"/>
    <w:rsid w:val="20702BBF"/>
    <w:rsid w:val="207C6E79"/>
    <w:rsid w:val="20872A18"/>
    <w:rsid w:val="209C6832"/>
    <w:rsid w:val="209EE0D0"/>
    <w:rsid w:val="20A23C74"/>
    <w:rsid w:val="20ADB615"/>
    <w:rsid w:val="20EDF237"/>
    <w:rsid w:val="210829BB"/>
    <w:rsid w:val="211A1482"/>
    <w:rsid w:val="2124C37A"/>
    <w:rsid w:val="2124D98C"/>
    <w:rsid w:val="212C572A"/>
    <w:rsid w:val="215601EC"/>
    <w:rsid w:val="21573CCE"/>
    <w:rsid w:val="216017EB"/>
    <w:rsid w:val="21698026"/>
    <w:rsid w:val="2174AC81"/>
    <w:rsid w:val="2177F43D"/>
    <w:rsid w:val="2179D3E0"/>
    <w:rsid w:val="217B3898"/>
    <w:rsid w:val="2180FC65"/>
    <w:rsid w:val="2183541A"/>
    <w:rsid w:val="21ADFF4F"/>
    <w:rsid w:val="21CE28E1"/>
    <w:rsid w:val="21D98613"/>
    <w:rsid w:val="220202F9"/>
    <w:rsid w:val="22294A3C"/>
    <w:rsid w:val="223B8367"/>
    <w:rsid w:val="223E803C"/>
    <w:rsid w:val="223FAF51"/>
    <w:rsid w:val="22627621"/>
    <w:rsid w:val="226C90F7"/>
    <w:rsid w:val="22A23485"/>
    <w:rsid w:val="22B3FFD9"/>
    <w:rsid w:val="22CAE23E"/>
    <w:rsid w:val="22FDFA29"/>
    <w:rsid w:val="23106B89"/>
    <w:rsid w:val="23129281"/>
    <w:rsid w:val="23590D31"/>
    <w:rsid w:val="2372CA92"/>
    <w:rsid w:val="23759969"/>
    <w:rsid w:val="23772FC1"/>
    <w:rsid w:val="2377BF18"/>
    <w:rsid w:val="23961B73"/>
    <w:rsid w:val="239E1507"/>
    <w:rsid w:val="23A22F8F"/>
    <w:rsid w:val="23A6A0F6"/>
    <w:rsid w:val="23C23076"/>
    <w:rsid w:val="23C6D56B"/>
    <w:rsid w:val="23C9E23D"/>
    <w:rsid w:val="23CFFF4B"/>
    <w:rsid w:val="23D0D507"/>
    <w:rsid w:val="23D8A0EF"/>
    <w:rsid w:val="23ED3C5D"/>
    <w:rsid w:val="23FED194"/>
    <w:rsid w:val="2410002A"/>
    <w:rsid w:val="24390241"/>
    <w:rsid w:val="244B1A78"/>
    <w:rsid w:val="2458E0C9"/>
    <w:rsid w:val="245DE10E"/>
    <w:rsid w:val="2462735E"/>
    <w:rsid w:val="2464FA98"/>
    <w:rsid w:val="2473F2E7"/>
    <w:rsid w:val="2478C929"/>
    <w:rsid w:val="24805D39"/>
    <w:rsid w:val="24933552"/>
    <w:rsid w:val="24945CEB"/>
    <w:rsid w:val="24DB92EE"/>
    <w:rsid w:val="24F0FA49"/>
    <w:rsid w:val="25124D8F"/>
    <w:rsid w:val="256308D7"/>
    <w:rsid w:val="2588D8B7"/>
    <w:rsid w:val="25B98A7B"/>
    <w:rsid w:val="25BEAA81"/>
    <w:rsid w:val="25BECFC6"/>
    <w:rsid w:val="25EFDEFC"/>
    <w:rsid w:val="264B855C"/>
    <w:rsid w:val="2670698E"/>
    <w:rsid w:val="2675E93A"/>
    <w:rsid w:val="26A83877"/>
    <w:rsid w:val="26BEE922"/>
    <w:rsid w:val="26D3919A"/>
    <w:rsid w:val="272A9730"/>
    <w:rsid w:val="2752CA5E"/>
    <w:rsid w:val="276A2BA3"/>
    <w:rsid w:val="279F631D"/>
    <w:rsid w:val="27C77E0E"/>
    <w:rsid w:val="27E9D238"/>
    <w:rsid w:val="28017CB6"/>
    <w:rsid w:val="281825D1"/>
    <w:rsid w:val="282BCF95"/>
    <w:rsid w:val="2876542A"/>
    <w:rsid w:val="28903615"/>
    <w:rsid w:val="289088BA"/>
    <w:rsid w:val="28946699"/>
    <w:rsid w:val="28AC1A83"/>
    <w:rsid w:val="28ADD0A0"/>
    <w:rsid w:val="28F5A293"/>
    <w:rsid w:val="291C4EF7"/>
    <w:rsid w:val="2928EB56"/>
    <w:rsid w:val="292C7817"/>
    <w:rsid w:val="293A866D"/>
    <w:rsid w:val="293CD2E5"/>
    <w:rsid w:val="29524111"/>
    <w:rsid w:val="295C512A"/>
    <w:rsid w:val="29669FD2"/>
    <w:rsid w:val="2973EF3B"/>
    <w:rsid w:val="29A9E66A"/>
    <w:rsid w:val="29AB5463"/>
    <w:rsid w:val="29CC8431"/>
    <w:rsid w:val="29D0099D"/>
    <w:rsid w:val="29DBA30B"/>
    <w:rsid w:val="29E08AB2"/>
    <w:rsid w:val="29E9B07B"/>
    <w:rsid w:val="29EB2962"/>
    <w:rsid w:val="2A0A4C6E"/>
    <w:rsid w:val="2A0EFE34"/>
    <w:rsid w:val="2A1E05B8"/>
    <w:rsid w:val="2A50BA2A"/>
    <w:rsid w:val="2A6CDCA0"/>
    <w:rsid w:val="2A9FC6F8"/>
    <w:rsid w:val="2ABC7734"/>
    <w:rsid w:val="2ACF9F2B"/>
    <w:rsid w:val="2AD7F674"/>
    <w:rsid w:val="2AEFE9B9"/>
    <w:rsid w:val="2AF00ADA"/>
    <w:rsid w:val="2AF07AE8"/>
    <w:rsid w:val="2AFDE7B9"/>
    <w:rsid w:val="2B0B8312"/>
    <w:rsid w:val="2B4294B7"/>
    <w:rsid w:val="2B5D6561"/>
    <w:rsid w:val="2B720FC9"/>
    <w:rsid w:val="2B7B7BCF"/>
    <w:rsid w:val="2B8EAC58"/>
    <w:rsid w:val="2BA2F9D7"/>
    <w:rsid w:val="2BABE403"/>
    <w:rsid w:val="2BADACA6"/>
    <w:rsid w:val="2BB54A5A"/>
    <w:rsid w:val="2BBD6B8D"/>
    <w:rsid w:val="2BD2F4FD"/>
    <w:rsid w:val="2BE5235F"/>
    <w:rsid w:val="2BE8FE81"/>
    <w:rsid w:val="2BFEF384"/>
    <w:rsid w:val="2C1AF0F8"/>
    <w:rsid w:val="2CD96304"/>
    <w:rsid w:val="2CDDE1FA"/>
    <w:rsid w:val="2D017461"/>
    <w:rsid w:val="2D029BA8"/>
    <w:rsid w:val="2D0C4D2F"/>
    <w:rsid w:val="2D123A96"/>
    <w:rsid w:val="2D2336E7"/>
    <w:rsid w:val="2D3643BC"/>
    <w:rsid w:val="2D36857E"/>
    <w:rsid w:val="2D4C0595"/>
    <w:rsid w:val="2D568140"/>
    <w:rsid w:val="2D79EBEC"/>
    <w:rsid w:val="2D7B057E"/>
    <w:rsid w:val="2D80F8DF"/>
    <w:rsid w:val="2D9A173B"/>
    <w:rsid w:val="2D9B26B3"/>
    <w:rsid w:val="2DECB539"/>
    <w:rsid w:val="2DF18513"/>
    <w:rsid w:val="2DF8D84C"/>
    <w:rsid w:val="2E23BABC"/>
    <w:rsid w:val="2E649D32"/>
    <w:rsid w:val="2E9C4EC5"/>
    <w:rsid w:val="2EA4090D"/>
    <w:rsid w:val="2EC20B45"/>
    <w:rsid w:val="2EC9C64A"/>
    <w:rsid w:val="2ECAFC57"/>
    <w:rsid w:val="2ECE56EE"/>
    <w:rsid w:val="2EEF6B61"/>
    <w:rsid w:val="2EEFB828"/>
    <w:rsid w:val="2F06A9C1"/>
    <w:rsid w:val="2F11AF8C"/>
    <w:rsid w:val="2F1A258B"/>
    <w:rsid w:val="2F44CFFC"/>
    <w:rsid w:val="2F4A53EE"/>
    <w:rsid w:val="2F57FCCD"/>
    <w:rsid w:val="2F5DA095"/>
    <w:rsid w:val="2FA376FB"/>
    <w:rsid w:val="2FA81A7C"/>
    <w:rsid w:val="2FC4633B"/>
    <w:rsid w:val="2FC5BB73"/>
    <w:rsid w:val="2FE2E55F"/>
    <w:rsid w:val="2FF306BF"/>
    <w:rsid w:val="2FFD929F"/>
    <w:rsid w:val="2FFF2C56"/>
    <w:rsid w:val="3022F682"/>
    <w:rsid w:val="303B9EE6"/>
    <w:rsid w:val="303C8DB9"/>
    <w:rsid w:val="3040900D"/>
    <w:rsid w:val="304ECDBC"/>
    <w:rsid w:val="304F57E4"/>
    <w:rsid w:val="306520E7"/>
    <w:rsid w:val="30A55A91"/>
    <w:rsid w:val="30B95A8A"/>
    <w:rsid w:val="30C854BD"/>
    <w:rsid w:val="30DD06D6"/>
    <w:rsid w:val="30DD189F"/>
    <w:rsid w:val="30F7B8CA"/>
    <w:rsid w:val="31027796"/>
    <w:rsid w:val="3113D168"/>
    <w:rsid w:val="312179D3"/>
    <w:rsid w:val="312FDB11"/>
    <w:rsid w:val="313E8C95"/>
    <w:rsid w:val="3140404D"/>
    <w:rsid w:val="314DEA11"/>
    <w:rsid w:val="31634FDD"/>
    <w:rsid w:val="31A0EF48"/>
    <w:rsid w:val="31A38A25"/>
    <w:rsid w:val="31BF5A75"/>
    <w:rsid w:val="31D43300"/>
    <w:rsid w:val="31DD2022"/>
    <w:rsid w:val="31E33B9C"/>
    <w:rsid w:val="3220F19E"/>
    <w:rsid w:val="3227A955"/>
    <w:rsid w:val="3230E5F4"/>
    <w:rsid w:val="324D2648"/>
    <w:rsid w:val="32506399"/>
    <w:rsid w:val="325EA5D2"/>
    <w:rsid w:val="326453E4"/>
    <w:rsid w:val="32777615"/>
    <w:rsid w:val="32C257AA"/>
    <w:rsid w:val="32C534D8"/>
    <w:rsid w:val="32D87B9A"/>
    <w:rsid w:val="32F01E6E"/>
    <w:rsid w:val="33256F73"/>
    <w:rsid w:val="3346304D"/>
    <w:rsid w:val="33573CBA"/>
    <w:rsid w:val="33630DBC"/>
    <w:rsid w:val="33758A05"/>
    <w:rsid w:val="337CD7D4"/>
    <w:rsid w:val="337E330F"/>
    <w:rsid w:val="33BAE35E"/>
    <w:rsid w:val="33C086E2"/>
    <w:rsid w:val="33CCC4CA"/>
    <w:rsid w:val="33F26DFC"/>
    <w:rsid w:val="34036706"/>
    <w:rsid w:val="3413DF97"/>
    <w:rsid w:val="34293906"/>
    <w:rsid w:val="346099C5"/>
    <w:rsid w:val="3465FFBF"/>
    <w:rsid w:val="3466245D"/>
    <w:rsid w:val="34A00204"/>
    <w:rsid w:val="34A3BA4D"/>
    <w:rsid w:val="34B572B3"/>
    <w:rsid w:val="34B983EA"/>
    <w:rsid w:val="34C045C6"/>
    <w:rsid w:val="34E308AB"/>
    <w:rsid w:val="34E6169A"/>
    <w:rsid w:val="35065516"/>
    <w:rsid w:val="35080556"/>
    <w:rsid w:val="351B79D3"/>
    <w:rsid w:val="352AC9FE"/>
    <w:rsid w:val="352D3971"/>
    <w:rsid w:val="35631E6A"/>
    <w:rsid w:val="357ED88E"/>
    <w:rsid w:val="35A5C9F1"/>
    <w:rsid w:val="35ADB10A"/>
    <w:rsid w:val="35FF1B6A"/>
    <w:rsid w:val="3603751F"/>
    <w:rsid w:val="36500750"/>
    <w:rsid w:val="3667DEF3"/>
    <w:rsid w:val="368242AF"/>
    <w:rsid w:val="368BABF3"/>
    <w:rsid w:val="36A73ED6"/>
    <w:rsid w:val="36A79F60"/>
    <w:rsid w:val="36B0F23F"/>
    <w:rsid w:val="36C57A90"/>
    <w:rsid w:val="37052ACD"/>
    <w:rsid w:val="370FA6B1"/>
    <w:rsid w:val="372523F4"/>
    <w:rsid w:val="37435689"/>
    <w:rsid w:val="3745447F"/>
    <w:rsid w:val="3760DD4A"/>
    <w:rsid w:val="37753411"/>
    <w:rsid w:val="378C8F14"/>
    <w:rsid w:val="37AB2A69"/>
    <w:rsid w:val="37B57B34"/>
    <w:rsid w:val="37E38DD2"/>
    <w:rsid w:val="37F95398"/>
    <w:rsid w:val="3852AAC4"/>
    <w:rsid w:val="3870C8FC"/>
    <w:rsid w:val="38904E59"/>
    <w:rsid w:val="38960489"/>
    <w:rsid w:val="38A32BD3"/>
    <w:rsid w:val="38AAD12C"/>
    <w:rsid w:val="38E73F61"/>
    <w:rsid w:val="3928AF84"/>
    <w:rsid w:val="394815EF"/>
    <w:rsid w:val="397EE827"/>
    <w:rsid w:val="398823F2"/>
    <w:rsid w:val="39BEB2E5"/>
    <w:rsid w:val="3A028038"/>
    <w:rsid w:val="3A06B907"/>
    <w:rsid w:val="3A3011A0"/>
    <w:rsid w:val="3A47F384"/>
    <w:rsid w:val="3A492D0B"/>
    <w:rsid w:val="3A4F2192"/>
    <w:rsid w:val="3A5A0A2D"/>
    <w:rsid w:val="3A71A969"/>
    <w:rsid w:val="3A7367A5"/>
    <w:rsid w:val="3A816D6D"/>
    <w:rsid w:val="3AA065FE"/>
    <w:rsid w:val="3ABB8FFE"/>
    <w:rsid w:val="3AC2E45E"/>
    <w:rsid w:val="3AC6D6A8"/>
    <w:rsid w:val="3AD1A2F6"/>
    <w:rsid w:val="3AFF5447"/>
    <w:rsid w:val="3B157418"/>
    <w:rsid w:val="3B1670C5"/>
    <w:rsid w:val="3B1A17D9"/>
    <w:rsid w:val="3B3A5620"/>
    <w:rsid w:val="3B697B80"/>
    <w:rsid w:val="3B73FBD2"/>
    <w:rsid w:val="3B80C759"/>
    <w:rsid w:val="3B90B031"/>
    <w:rsid w:val="3BE9D71A"/>
    <w:rsid w:val="3BF37C1B"/>
    <w:rsid w:val="3BF926DD"/>
    <w:rsid w:val="3BFD1070"/>
    <w:rsid w:val="3BFF7204"/>
    <w:rsid w:val="3C5E78C2"/>
    <w:rsid w:val="3C68A4E0"/>
    <w:rsid w:val="3C76E383"/>
    <w:rsid w:val="3C7D9214"/>
    <w:rsid w:val="3C7DF015"/>
    <w:rsid w:val="3C7F1BC7"/>
    <w:rsid w:val="3C8A9A3E"/>
    <w:rsid w:val="3C9723BB"/>
    <w:rsid w:val="3CAA0B5A"/>
    <w:rsid w:val="3CB08B75"/>
    <w:rsid w:val="3CB846EC"/>
    <w:rsid w:val="3CCF161D"/>
    <w:rsid w:val="3CD145D0"/>
    <w:rsid w:val="3CFC9951"/>
    <w:rsid w:val="3D067302"/>
    <w:rsid w:val="3D06FA52"/>
    <w:rsid w:val="3D0C9325"/>
    <w:rsid w:val="3D4D2615"/>
    <w:rsid w:val="3D71A5C4"/>
    <w:rsid w:val="3DAABE29"/>
    <w:rsid w:val="3DB2478E"/>
    <w:rsid w:val="3DC6CD0E"/>
    <w:rsid w:val="3DEDD1E4"/>
    <w:rsid w:val="3E00CFEA"/>
    <w:rsid w:val="3E40A9F2"/>
    <w:rsid w:val="3E4415FA"/>
    <w:rsid w:val="3E52B119"/>
    <w:rsid w:val="3E6335F4"/>
    <w:rsid w:val="3E7917D6"/>
    <w:rsid w:val="3E994F08"/>
    <w:rsid w:val="3EB8F91F"/>
    <w:rsid w:val="3ECA8310"/>
    <w:rsid w:val="3F00B3F9"/>
    <w:rsid w:val="3F0CDDE3"/>
    <w:rsid w:val="3F11082E"/>
    <w:rsid w:val="3F1F8501"/>
    <w:rsid w:val="3F260746"/>
    <w:rsid w:val="3F3E1FF6"/>
    <w:rsid w:val="3F8F359C"/>
    <w:rsid w:val="3F9D9B62"/>
    <w:rsid w:val="3FA3302A"/>
    <w:rsid w:val="3FA7F6E3"/>
    <w:rsid w:val="3FAF0B40"/>
    <w:rsid w:val="3FB80351"/>
    <w:rsid w:val="3FEE204C"/>
    <w:rsid w:val="3FF37CFA"/>
    <w:rsid w:val="4013FF4C"/>
    <w:rsid w:val="40240680"/>
    <w:rsid w:val="4030D9F5"/>
    <w:rsid w:val="4036EC62"/>
    <w:rsid w:val="40967E0E"/>
    <w:rsid w:val="40D026ED"/>
    <w:rsid w:val="40DFE613"/>
    <w:rsid w:val="40E769AE"/>
    <w:rsid w:val="40F1BEE4"/>
    <w:rsid w:val="4103A5CA"/>
    <w:rsid w:val="41053E06"/>
    <w:rsid w:val="410F0965"/>
    <w:rsid w:val="41101E91"/>
    <w:rsid w:val="412A7C29"/>
    <w:rsid w:val="412C631A"/>
    <w:rsid w:val="41338ED2"/>
    <w:rsid w:val="413C531D"/>
    <w:rsid w:val="41647B8C"/>
    <w:rsid w:val="416523AE"/>
    <w:rsid w:val="416857C6"/>
    <w:rsid w:val="416875E6"/>
    <w:rsid w:val="4192DE72"/>
    <w:rsid w:val="41BF8A33"/>
    <w:rsid w:val="41C2DF6D"/>
    <w:rsid w:val="41D896C0"/>
    <w:rsid w:val="41FBBC67"/>
    <w:rsid w:val="4287FEED"/>
    <w:rsid w:val="42A691C5"/>
    <w:rsid w:val="42A74A06"/>
    <w:rsid w:val="42BBDDFC"/>
    <w:rsid w:val="42C1360B"/>
    <w:rsid w:val="42CD3ED6"/>
    <w:rsid w:val="42CF850C"/>
    <w:rsid w:val="42E052BF"/>
    <w:rsid w:val="42E3FF52"/>
    <w:rsid w:val="42F31B21"/>
    <w:rsid w:val="42FC93B4"/>
    <w:rsid w:val="430B23CB"/>
    <w:rsid w:val="430CE136"/>
    <w:rsid w:val="43143F11"/>
    <w:rsid w:val="433761CD"/>
    <w:rsid w:val="435CA304"/>
    <w:rsid w:val="436725A8"/>
    <w:rsid w:val="43680DA3"/>
    <w:rsid w:val="4375C5D1"/>
    <w:rsid w:val="43866CDD"/>
    <w:rsid w:val="43948563"/>
    <w:rsid w:val="43DC1C46"/>
    <w:rsid w:val="43E3B000"/>
    <w:rsid w:val="43E8DCEE"/>
    <w:rsid w:val="43F02D0E"/>
    <w:rsid w:val="44107305"/>
    <w:rsid w:val="4418550F"/>
    <w:rsid w:val="44186153"/>
    <w:rsid w:val="441D0250"/>
    <w:rsid w:val="441DDE88"/>
    <w:rsid w:val="4425CA65"/>
    <w:rsid w:val="44306B6E"/>
    <w:rsid w:val="4445D389"/>
    <w:rsid w:val="445C14A4"/>
    <w:rsid w:val="445E464D"/>
    <w:rsid w:val="4463247C"/>
    <w:rsid w:val="447588E8"/>
    <w:rsid w:val="4494302D"/>
    <w:rsid w:val="44C31C52"/>
    <w:rsid w:val="44E953EB"/>
    <w:rsid w:val="44F0F380"/>
    <w:rsid w:val="44F3A60C"/>
    <w:rsid w:val="45030796"/>
    <w:rsid w:val="4505E78D"/>
    <w:rsid w:val="45175E80"/>
    <w:rsid w:val="451FD601"/>
    <w:rsid w:val="4526F224"/>
    <w:rsid w:val="454CE9A0"/>
    <w:rsid w:val="4550F82B"/>
    <w:rsid w:val="456773ED"/>
    <w:rsid w:val="457CBA7F"/>
    <w:rsid w:val="45A521E0"/>
    <w:rsid w:val="45E3CB87"/>
    <w:rsid w:val="45EB0739"/>
    <w:rsid w:val="45F653B8"/>
    <w:rsid w:val="4601A073"/>
    <w:rsid w:val="46020CF9"/>
    <w:rsid w:val="4636622F"/>
    <w:rsid w:val="4637EF91"/>
    <w:rsid w:val="46A10F8C"/>
    <w:rsid w:val="46A604E4"/>
    <w:rsid w:val="46A67285"/>
    <w:rsid w:val="46B28799"/>
    <w:rsid w:val="46B55E81"/>
    <w:rsid w:val="46C59261"/>
    <w:rsid w:val="46D79A2F"/>
    <w:rsid w:val="46DE485B"/>
    <w:rsid w:val="470D7BD8"/>
    <w:rsid w:val="470F01E6"/>
    <w:rsid w:val="473B88B5"/>
    <w:rsid w:val="473F8C3E"/>
    <w:rsid w:val="47657C7C"/>
    <w:rsid w:val="4778E970"/>
    <w:rsid w:val="477E8B20"/>
    <w:rsid w:val="47E32C55"/>
    <w:rsid w:val="47FF9E1A"/>
    <w:rsid w:val="4831877D"/>
    <w:rsid w:val="48410A74"/>
    <w:rsid w:val="48714F5E"/>
    <w:rsid w:val="4872FFF4"/>
    <w:rsid w:val="48783370"/>
    <w:rsid w:val="48AF6033"/>
    <w:rsid w:val="48C01A1F"/>
    <w:rsid w:val="48D3648E"/>
    <w:rsid w:val="48D4B4A4"/>
    <w:rsid w:val="48E438FA"/>
    <w:rsid w:val="48FB9516"/>
    <w:rsid w:val="49001F20"/>
    <w:rsid w:val="490108BB"/>
    <w:rsid w:val="49436B83"/>
    <w:rsid w:val="49547F4E"/>
    <w:rsid w:val="49816F11"/>
    <w:rsid w:val="4981BAF4"/>
    <w:rsid w:val="498DED90"/>
    <w:rsid w:val="4997CD55"/>
    <w:rsid w:val="49AD1818"/>
    <w:rsid w:val="49C81B18"/>
    <w:rsid w:val="49FF27FE"/>
    <w:rsid w:val="4A08099B"/>
    <w:rsid w:val="4A32C1E8"/>
    <w:rsid w:val="4A4E04FE"/>
    <w:rsid w:val="4A53AB53"/>
    <w:rsid w:val="4A61D332"/>
    <w:rsid w:val="4A7EAF67"/>
    <w:rsid w:val="4A859E3E"/>
    <w:rsid w:val="4A87F250"/>
    <w:rsid w:val="4A880255"/>
    <w:rsid w:val="4A8D9A71"/>
    <w:rsid w:val="4AA20A67"/>
    <w:rsid w:val="4AEAE98B"/>
    <w:rsid w:val="4AEEE9AB"/>
    <w:rsid w:val="4B0CBCE2"/>
    <w:rsid w:val="4B20D415"/>
    <w:rsid w:val="4B22A80C"/>
    <w:rsid w:val="4B5F0B25"/>
    <w:rsid w:val="4B64E4FF"/>
    <w:rsid w:val="4B6D191A"/>
    <w:rsid w:val="4B74AB11"/>
    <w:rsid w:val="4B9E378D"/>
    <w:rsid w:val="4B9E8746"/>
    <w:rsid w:val="4BBACAEB"/>
    <w:rsid w:val="4BDA51CB"/>
    <w:rsid w:val="4BEB22C8"/>
    <w:rsid w:val="4BFE05C7"/>
    <w:rsid w:val="4C1040E4"/>
    <w:rsid w:val="4C44A6ED"/>
    <w:rsid w:val="4C45F76A"/>
    <w:rsid w:val="4C49E763"/>
    <w:rsid w:val="4C64400F"/>
    <w:rsid w:val="4C6F8B44"/>
    <w:rsid w:val="4C71265A"/>
    <w:rsid w:val="4C86322D"/>
    <w:rsid w:val="4C887F8F"/>
    <w:rsid w:val="4CB7137E"/>
    <w:rsid w:val="4CBAAFA9"/>
    <w:rsid w:val="4CBEE9FC"/>
    <w:rsid w:val="4CC2B62A"/>
    <w:rsid w:val="4CD6BFC0"/>
    <w:rsid w:val="4CEE85AB"/>
    <w:rsid w:val="4D1A43DA"/>
    <w:rsid w:val="4D4D4DFC"/>
    <w:rsid w:val="4D9F975E"/>
    <w:rsid w:val="4DA3DC5B"/>
    <w:rsid w:val="4DCEDC24"/>
    <w:rsid w:val="4DD86C97"/>
    <w:rsid w:val="4DF41EEB"/>
    <w:rsid w:val="4DFA3E2D"/>
    <w:rsid w:val="4E29F74A"/>
    <w:rsid w:val="4E6089CF"/>
    <w:rsid w:val="4E62C97A"/>
    <w:rsid w:val="4E6D049C"/>
    <w:rsid w:val="4E7D8CA1"/>
    <w:rsid w:val="4E9126E0"/>
    <w:rsid w:val="4E9FCE0D"/>
    <w:rsid w:val="4EAF41CC"/>
    <w:rsid w:val="4EBBEF18"/>
    <w:rsid w:val="4ECE93E9"/>
    <w:rsid w:val="4ED3EF42"/>
    <w:rsid w:val="4EF65F21"/>
    <w:rsid w:val="4F0C47B0"/>
    <w:rsid w:val="4F29F3E6"/>
    <w:rsid w:val="4F567FEC"/>
    <w:rsid w:val="4F5ACE99"/>
    <w:rsid w:val="4F768B12"/>
    <w:rsid w:val="4F905D91"/>
    <w:rsid w:val="4FB654D7"/>
    <w:rsid w:val="4FDA9DF7"/>
    <w:rsid w:val="4FF57AED"/>
    <w:rsid w:val="50061D1F"/>
    <w:rsid w:val="5019A470"/>
    <w:rsid w:val="5029FFB6"/>
    <w:rsid w:val="502CBA61"/>
    <w:rsid w:val="5089B030"/>
    <w:rsid w:val="509685DC"/>
    <w:rsid w:val="50AD9694"/>
    <w:rsid w:val="50AEF34F"/>
    <w:rsid w:val="50E5B3F8"/>
    <w:rsid w:val="51018264"/>
    <w:rsid w:val="51253D78"/>
    <w:rsid w:val="513B423E"/>
    <w:rsid w:val="514597DA"/>
    <w:rsid w:val="514E5823"/>
    <w:rsid w:val="5167C0C9"/>
    <w:rsid w:val="5169382B"/>
    <w:rsid w:val="51756399"/>
    <w:rsid w:val="51784294"/>
    <w:rsid w:val="517928E1"/>
    <w:rsid w:val="51C08474"/>
    <w:rsid w:val="51C162E1"/>
    <w:rsid w:val="51C54AAF"/>
    <w:rsid w:val="51C54F32"/>
    <w:rsid w:val="51E94076"/>
    <w:rsid w:val="51F3BCBD"/>
    <w:rsid w:val="5232C55E"/>
    <w:rsid w:val="5241D0C0"/>
    <w:rsid w:val="52BC8DE3"/>
    <w:rsid w:val="52C85FBD"/>
    <w:rsid w:val="52DF2C7D"/>
    <w:rsid w:val="52E3B3CC"/>
    <w:rsid w:val="52EB71C9"/>
    <w:rsid w:val="52F275D8"/>
    <w:rsid w:val="530EB591"/>
    <w:rsid w:val="533DFCEA"/>
    <w:rsid w:val="53501400"/>
    <w:rsid w:val="5362834F"/>
    <w:rsid w:val="538673EC"/>
    <w:rsid w:val="53DCCB04"/>
    <w:rsid w:val="541A08AB"/>
    <w:rsid w:val="5420F9F9"/>
    <w:rsid w:val="54254C04"/>
    <w:rsid w:val="542B94D7"/>
    <w:rsid w:val="542FF95D"/>
    <w:rsid w:val="54649F96"/>
    <w:rsid w:val="548DF7F7"/>
    <w:rsid w:val="54982F88"/>
    <w:rsid w:val="54D480B1"/>
    <w:rsid w:val="54F92CA9"/>
    <w:rsid w:val="55230375"/>
    <w:rsid w:val="552656A1"/>
    <w:rsid w:val="557AE356"/>
    <w:rsid w:val="557B2E62"/>
    <w:rsid w:val="559E5EA4"/>
    <w:rsid w:val="55AAA09F"/>
    <w:rsid w:val="55B911CD"/>
    <w:rsid w:val="55C91A36"/>
    <w:rsid w:val="55D294B1"/>
    <w:rsid w:val="55D6806B"/>
    <w:rsid w:val="55E1F24B"/>
    <w:rsid w:val="55EBEDBF"/>
    <w:rsid w:val="563A03D7"/>
    <w:rsid w:val="563E51E0"/>
    <w:rsid w:val="5647AFF5"/>
    <w:rsid w:val="566E819B"/>
    <w:rsid w:val="566F54C3"/>
    <w:rsid w:val="5673754B"/>
    <w:rsid w:val="56975B1F"/>
    <w:rsid w:val="56CEB20F"/>
    <w:rsid w:val="56D77E0E"/>
    <w:rsid w:val="56DC9C60"/>
    <w:rsid w:val="56FE4557"/>
    <w:rsid w:val="56FE5DCC"/>
    <w:rsid w:val="57509971"/>
    <w:rsid w:val="577722C2"/>
    <w:rsid w:val="577A8EA4"/>
    <w:rsid w:val="57917A94"/>
    <w:rsid w:val="57AB6381"/>
    <w:rsid w:val="57AF48C9"/>
    <w:rsid w:val="57B246F3"/>
    <w:rsid w:val="57BD45F0"/>
    <w:rsid w:val="57C1D729"/>
    <w:rsid w:val="57F51711"/>
    <w:rsid w:val="57F9E7C1"/>
    <w:rsid w:val="57FE62AE"/>
    <w:rsid w:val="580C75F1"/>
    <w:rsid w:val="580E22A5"/>
    <w:rsid w:val="5814A3B5"/>
    <w:rsid w:val="58247C76"/>
    <w:rsid w:val="58252616"/>
    <w:rsid w:val="583168D8"/>
    <w:rsid w:val="58376E01"/>
    <w:rsid w:val="585B835A"/>
    <w:rsid w:val="58704602"/>
    <w:rsid w:val="588D7327"/>
    <w:rsid w:val="58A767EB"/>
    <w:rsid w:val="58AF0E36"/>
    <w:rsid w:val="58C67FCB"/>
    <w:rsid w:val="58C9D793"/>
    <w:rsid w:val="5925E630"/>
    <w:rsid w:val="592E19DD"/>
    <w:rsid w:val="59412AA5"/>
    <w:rsid w:val="594C2FAA"/>
    <w:rsid w:val="594C499D"/>
    <w:rsid w:val="5961ADE5"/>
    <w:rsid w:val="5968E2F0"/>
    <w:rsid w:val="59709F87"/>
    <w:rsid w:val="59746EDE"/>
    <w:rsid w:val="59B10E34"/>
    <w:rsid w:val="59B72984"/>
    <w:rsid w:val="59C1BC28"/>
    <w:rsid w:val="59DEABDC"/>
    <w:rsid w:val="59E532A3"/>
    <w:rsid w:val="59EA2FB3"/>
    <w:rsid w:val="5A0D390E"/>
    <w:rsid w:val="5A29A451"/>
    <w:rsid w:val="5A2E8076"/>
    <w:rsid w:val="5A3C8E8E"/>
    <w:rsid w:val="5A53B3C8"/>
    <w:rsid w:val="5A5DC6C0"/>
    <w:rsid w:val="5A68CAFE"/>
    <w:rsid w:val="5A8A6903"/>
    <w:rsid w:val="5A964447"/>
    <w:rsid w:val="5AAC6982"/>
    <w:rsid w:val="5AB69BBD"/>
    <w:rsid w:val="5AB6E6AE"/>
    <w:rsid w:val="5AB87C8C"/>
    <w:rsid w:val="5AC74E5A"/>
    <w:rsid w:val="5AE65B7E"/>
    <w:rsid w:val="5AF8F019"/>
    <w:rsid w:val="5B0591F5"/>
    <w:rsid w:val="5B0CE6DC"/>
    <w:rsid w:val="5B199B14"/>
    <w:rsid w:val="5B1E1925"/>
    <w:rsid w:val="5B24F99B"/>
    <w:rsid w:val="5B2F68CA"/>
    <w:rsid w:val="5B673AFE"/>
    <w:rsid w:val="5B688AE3"/>
    <w:rsid w:val="5B7AB246"/>
    <w:rsid w:val="5B84EE43"/>
    <w:rsid w:val="5B88EC87"/>
    <w:rsid w:val="5B9B2CF8"/>
    <w:rsid w:val="5B9D439E"/>
    <w:rsid w:val="5BB2D79B"/>
    <w:rsid w:val="5BB5036A"/>
    <w:rsid w:val="5BD2D4C9"/>
    <w:rsid w:val="5BD6290D"/>
    <w:rsid w:val="5BEA7D30"/>
    <w:rsid w:val="5C1C0CEA"/>
    <w:rsid w:val="5C2B71BB"/>
    <w:rsid w:val="5C44D2BF"/>
    <w:rsid w:val="5C4933FB"/>
    <w:rsid w:val="5C59296F"/>
    <w:rsid w:val="5C6340FE"/>
    <w:rsid w:val="5C6C2505"/>
    <w:rsid w:val="5C6EE5B0"/>
    <w:rsid w:val="5C6FAB3E"/>
    <w:rsid w:val="5CA15E27"/>
    <w:rsid w:val="5CBF0274"/>
    <w:rsid w:val="5D3C8695"/>
    <w:rsid w:val="5D43C6DA"/>
    <w:rsid w:val="5D445029"/>
    <w:rsid w:val="5D5137A5"/>
    <w:rsid w:val="5D554625"/>
    <w:rsid w:val="5D74A7AE"/>
    <w:rsid w:val="5D89E7C6"/>
    <w:rsid w:val="5D8F736C"/>
    <w:rsid w:val="5D93F7F8"/>
    <w:rsid w:val="5D9C3769"/>
    <w:rsid w:val="5DDC1B11"/>
    <w:rsid w:val="5DF065E5"/>
    <w:rsid w:val="5DF7488E"/>
    <w:rsid w:val="5E091775"/>
    <w:rsid w:val="5E169C04"/>
    <w:rsid w:val="5E27A166"/>
    <w:rsid w:val="5E3B8983"/>
    <w:rsid w:val="5E41CD8D"/>
    <w:rsid w:val="5E49799D"/>
    <w:rsid w:val="5E9A5E61"/>
    <w:rsid w:val="5EBD3F18"/>
    <w:rsid w:val="5EF2CF2F"/>
    <w:rsid w:val="5EF2EB65"/>
    <w:rsid w:val="5EF7C7E6"/>
    <w:rsid w:val="5EF91BD3"/>
    <w:rsid w:val="5F2FE669"/>
    <w:rsid w:val="5F45519F"/>
    <w:rsid w:val="5F533368"/>
    <w:rsid w:val="5F5DAFAD"/>
    <w:rsid w:val="5F877E9B"/>
    <w:rsid w:val="5F895D0C"/>
    <w:rsid w:val="5F93661B"/>
    <w:rsid w:val="5F93F633"/>
    <w:rsid w:val="5FEA60AA"/>
    <w:rsid w:val="5FF80E9A"/>
    <w:rsid w:val="5FF9F4CD"/>
    <w:rsid w:val="60038EA1"/>
    <w:rsid w:val="6013145F"/>
    <w:rsid w:val="604120C4"/>
    <w:rsid w:val="6047BBAB"/>
    <w:rsid w:val="608C7D62"/>
    <w:rsid w:val="60BB7019"/>
    <w:rsid w:val="60C7F2AA"/>
    <w:rsid w:val="60D1B386"/>
    <w:rsid w:val="60EA6B12"/>
    <w:rsid w:val="61126EAF"/>
    <w:rsid w:val="6115B5F8"/>
    <w:rsid w:val="612E138B"/>
    <w:rsid w:val="61310D4C"/>
    <w:rsid w:val="6140FEFD"/>
    <w:rsid w:val="616AD16C"/>
    <w:rsid w:val="617432C3"/>
    <w:rsid w:val="619114AF"/>
    <w:rsid w:val="61BA0088"/>
    <w:rsid w:val="61BE295E"/>
    <w:rsid w:val="61C6451C"/>
    <w:rsid w:val="61C78F89"/>
    <w:rsid w:val="61F576D2"/>
    <w:rsid w:val="62002F2E"/>
    <w:rsid w:val="62441EC7"/>
    <w:rsid w:val="6264FF5B"/>
    <w:rsid w:val="62779A7D"/>
    <w:rsid w:val="628BFE3C"/>
    <w:rsid w:val="629FDFED"/>
    <w:rsid w:val="62A3E6A3"/>
    <w:rsid w:val="62A4C2CB"/>
    <w:rsid w:val="62AFBA35"/>
    <w:rsid w:val="62BE69E8"/>
    <w:rsid w:val="62C843B1"/>
    <w:rsid w:val="62CED66B"/>
    <w:rsid w:val="631D14DF"/>
    <w:rsid w:val="6342A205"/>
    <w:rsid w:val="63539D3E"/>
    <w:rsid w:val="636AC76B"/>
    <w:rsid w:val="6379CC79"/>
    <w:rsid w:val="637E4C59"/>
    <w:rsid w:val="63918917"/>
    <w:rsid w:val="63AE04AC"/>
    <w:rsid w:val="63BB7A5E"/>
    <w:rsid w:val="63E77010"/>
    <w:rsid w:val="63F00A61"/>
    <w:rsid w:val="64087D3E"/>
    <w:rsid w:val="64159C56"/>
    <w:rsid w:val="6429D250"/>
    <w:rsid w:val="642FAA6E"/>
    <w:rsid w:val="64579A95"/>
    <w:rsid w:val="646157D9"/>
    <w:rsid w:val="646E75E7"/>
    <w:rsid w:val="647F1615"/>
    <w:rsid w:val="648C81E4"/>
    <w:rsid w:val="64CCC900"/>
    <w:rsid w:val="65095D92"/>
    <w:rsid w:val="6514476A"/>
    <w:rsid w:val="65234168"/>
    <w:rsid w:val="656C1BC1"/>
    <w:rsid w:val="6591AA28"/>
    <w:rsid w:val="65A440AD"/>
    <w:rsid w:val="65A884E7"/>
    <w:rsid w:val="65B3025D"/>
    <w:rsid w:val="65C1AC6B"/>
    <w:rsid w:val="65DC897A"/>
    <w:rsid w:val="65E19630"/>
    <w:rsid w:val="65EDABEF"/>
    <w:rsid w:val="66021D02"/>
    <w:rsid w:val="6606867F"/>
    <w:rsid w:val="660823E9"/>
    <w:rsid w:val="66172312"/>
    <w:rsid w:val="66372120"/>
    <w:rsid w:val="664AB7AC"/>
    <w:rsid w:val="664F688B"/>
    <w:rsid w:val="6660C420"/>
    <w:rsid w:val="6668B48C"/>
    <w:rsid w:val="66788571"/>
    <w:rsid w:val="668105CC"/>
    <w:rsid w:val="6686E307"/>
    <w:rsid w:val="66A13589"/>
    <w:rsid w:val="66A39255"/>
    <w:rsid w:val="66C54B48"/>
    <w:rsid w:val="66CB7D80"/>
    <w:rsid w:val="66ED26F9"/>
    <w:rsid w:val="66EEC86E"/>
    <w:rsid w:val="66F3166F"/>
    <w:rsid w:val="671B78D6"/>
    <w:rsid w:val="675124EA"/>
    <w:rsid w:val="6754E270"/>
    <w:rsid w:val="676C1863"/>
    <w:rsid w:val="67919AFE"/>
    <w:rsid w:val="67A416FB"/>
    <w:rsid w:val="67AA3760"/>
    <w:rsid w:val="67B94EA7"/>
    <w:rsid w:val="67CFB699"/>
    <w:rsid w:val="68914CD7"/>
    <w:rsid w:val="68A67E35"/>
    <w:rsid w:val="68BC75B1"/>
    <w:rsid w:val="68E0F8ED"/>
    <w:rsid w:val="68F0D99A"/>
    <w:rsid w:val="6905B71C"/>
    <w:rsid w:val="693DAAE7"/>
    <w:rsid w:val="6950BFAA"/>
    <w:rsid w:val="699F88A4"/>
    <w:rsid w:val="69AE49BC"/>
    <w:rsid w:val="69B80235"/>
    <w:rsid w:val="69C9658B"/>
    <w:rsid w:val="69F9954D"/>
    <w:rsid w:val="6A196111"/>
    <w:rsid w:val="6A36EA08"/>
    <w:rsid w:val="6A93FE0E"/>
    <w:rsid w:val="6AB0C6DA"/>
    <w:rsid w:val="6AB586B5"/>
    <w:rsid w:val="6AB9350A"/>
    <w:rsid w:val="6ABC64FE"/>
    <w:rsid w:val="6AD4278E"/>
    <w:rsid w:val="6AE4A0FE"/>
    <w:rsid w:val="6B07E9E7"/>
    <w:rsid w:val="6B0953C4"/>
    <w:rsid w:val="6B1EA5FC"/>
    <w:rsid w:val="6B25CAAD"/>
    <w:rsid w:val="6B2DBA4B"/>
    <w:rsid w:val="6B30C49D"/>
    <w:rsid w:val="6B40B5E4"/>
    <w:rsid w:val="6B473AB8"/>
    <w:rsid w:val="6B4E252D"/>
    <w:rsid w:val="6B56BB49"/>
    <w:rsid w:val="6B6BEC68"/>
    <w:rsid w:val="6B6F90FC"/>
    <w:rsid w:val="6B712F75"/>
    <w:rsid w:val="6B9BDA2B"/>
    <w:rsid w:val="6BC717D9"/>
    <w:rsid w:val="6BEC26BC"/>
    <w:rsid w:val="6C04F975"/>
    <w:rsid w:val="6C0A9945"/>
    <w:rsid w:val="6C1BF37C"/>
    <w:rsid w:val="6C50A331"/>
    <w:rsid w:val="6C85AC00"/>
    <w:rsid w:val="6C938857"/>
    <w:rsid w:val="6C9730DD"/>
    <w:rsid w:val="6CA58A6F"/>
    <w:rsid w:val="6CBD5E78"/>
    <w:rsid w:val="6CCF5E28"/>
    <w:rsid w:val="6CE006CB"/>
    <w:rsid w:val="6CFA6C55"/>
    <w:rsid w:val="6D0E4E65"/>
    <w:rsid w:val="6D2E7BC2"/>
    <w:rsid w:val="6D2FADD7"/>
    <w:rsid w:val="6D315ED3"/>
    <w:rsid w:val="6D477C0E"/>
    <w:rsid w:val="6D62CC94"/>
    <w:rsid w:val="6D88B9A4"/>
    <w:rsid w:val="6D9055D4"/>
    <w:rsid w:val="6D9875F8"/>
    <w:rsid w:val="6DB63734"/>
    <w:rsid w:val="6DC5FCA5"/>
    <w:rsid w:val="6DCB1B48"/>
    <w:rsid w:val="6DCEF9C1"/>
    <w:rsid w:val="6DE6A6DA"/>
    <w:rsid w:val="6DF6B21D"/>
    <w:rsid w:val="6E05D233"/>
    <w:rsid w:val="6E09BA51"/>
    <w:rsid w:val="6E0AFE1D"/>
    <w:rsid w:val="6E0D990F"/>
    <w:rsid w:val="6E19E452"/>
    <w:rsid w:val="6E342FF8"/>
    <w:rsid w:val="6E3C6353"/>
    <w:rsid w:val="6E866ADC"/>
    <w:rsid w:val="6E8BB4C7"/>
    <w:rsid w:val="6EAF1B23"/>
    <w:rsid w:val="6EFA1A0C"/>
    <w:rsid w:val="6F16B0E9"/>
    <w:rsid w:val="6F236FC5"/>
    <w:rsid w:val="6F313497"/>
    <w:rsid w:val="6F3AE7C8"/>
    <w:rsid w:val="6F42E762"/>
    <w:rsid w:val="6F50C6BF"/>
    <w:rsid w:val="6F663A59"/>
    <w:rsid w:val="6F70B47B"/>
    <w:rsid w:val="6FD5FF41"/>
    <w:rsid w:val="6FF82829"/>
    <w:rsid w:val="701A4CE7"/>
    <w:rsid w:val="701AB596"/>
    <w:rsid w:val="7028ABE6"/>
    <w:rsid w:val="704E6F2F"/>
    <w:rsid w:val="70B4F7BA"/>
    <w:rsid w:val="70B86EE8"/>
    <w:rsid w:val="70BCCE0E"/>
    <w:rsid w:val="70CD40C1"/>
    <w:rsid w:val="71201323"/>
    <w:rsid w:val="7122E87E"/>
    <w:rsid w:val="712F05BA"/>
    <w:rsid w:val="714292CF"/>
    <w:rsid w:val="71546D27"/>
    <w:rsid w:val="71557913"/>
    <w:rsid w:val="716856BA"/>
    <w:rsid w:val="7169EBA0"/>
    <w:rsid w:val="717DBB9D"/>
    <w:rsid w:val="71A8C0E0"/>
    <w:rsid w:val="71C7CA14"/>
    <w:rsid w:val="71DE3EA7"/>
    <w:rsid w:val="71EDE028"/>
    <w:rsid w:val="72190A63"/>
    <w:rsid w:val="724C9653"/>
    <w:rsid w:val="725AA959"/>
    <w:rsid w:val="726169CD"/>
    <w:rsid w:val="7267A2AB"/>
    <w:rsid w:val="7272A0AF"/>
    <w:rsid w:val="72BFFA12"/>
    <w:rsid w:val="72C0118A"/>
    <w:rsid w:val="72DFAE0E"/>
    <w:rsid w:val="72E67078"/>
    <w:rsid w:val="72F9FBD3"/>
    <w:rsid w:val="7304DCF7"/>
    <w:rsid w:val="731130E6"/>
    <w:rsid w:val="73156FCA"/>
    <w:rsid w:val="7333493C"/>
    <w:rsid w:val="734FE9F5"/>
    <w:rsid w:val="735F4AE1"/>
    <w:rsid w:val="7382F0D3"/>
    <w:rsid w:val="7395CA13"/>
    <w:rsid w:val="73989992"/>
    <w:rsid w:val="73C3F0D6"/>
    <w:rsid w:val="73D71178"/>
    <w:rsid w:val="74005BCD"/>
    <w:rsid w:val="74071FD2"/>
    <w:rsid w:val="74362A9F"/>
    <w:rsid w:val="7459622A"/>
    <w:rsid w:val="747A7165"/>
    <w:rsid w:val="747AD1A9"/>
    <w:rsid w:val="74A79E79"/>
    <w:rsid w:val="74B33C2A"/>
    <w:rsid w:val="74C785A6"/>
    <w:rsid w:val="74C96E09"/>
    <w:rsid w:val="74E1ED91"/>
    <w:rsid w:val="74F81892"/>
    <w:rsid w:val="7510ABE9"/>
    <w:rsid w:val="7512D5CB"/>
    <w:rsid w:val="751460A3"/>
    <w:rsid w:val="75172D39"/>
    <w:rsid w:val="752CEA2C"/>
    <w:rsid w:val="752E20DB"/>
    <w:rsid w:val="7538CA07"/>
    <w:rsid w:val="753BDBC7"/>
    <w:rsid w:val="7550F873"/>
    <w:rsid w:val="75578DB7"/>
    <w:rsid w:val="755DACEA"/>
    <w:rsid w:val="7562F37C"/>
    <w:rsid w:val="7565AB73"/>
    <w:rsid w:val="75A64378"/>
    <w:rsid w:val="75B6096A"/>
    <w:rsid w:val="75D375E8"/>
    <w:rsid w:val="75D46A3F"/>
    <w:rsid w:val="760871D2"/>
    <w:rsid w:val="76133EA6"/>
    <w:rsid w:val="7643C4E6"/>
    <w:rsid w:val="764A1F65"/>
    <w:rsid w:val="764E6CD8"/>
    <w:rsid w:val="7668AEE4"/>
    <w:rsid w:val="7677C000"/>
    <w:rsid w:val="76DE7C40"/>
    <w:rsid w:val="76EB0029"/>
    <w:rsid w:val="77121CF0"/>
    <w:rsid w:val="77139190"/>
    <w:rsid w:val="771AEC0E"/>
    <w:rsid w:val="77230DB8"/>
    <w:rsid w:val="7746638D"/>
    <w:rsid w:val="774ACAC5"/>
    <w:rsid w:val="775D1B47"/>
    <w:rsid w:val="775F10D3"/>
    <w:rsid w:val="777617A6"/>
    <w:rsid w:val="778E463D"/>
    <w:rsid w:val="7793B94A"/>
    <w:rsid w:val="779D220F"/>
    <w:rsid w:val="77B9B42C"/>
    <w:rsid w:val="77DCF17A"/>
    <w:rsid w:val="77FBA6C4"/>
    <w:rsid w:val="78119715"/>
    <w:rsid w:val="78224EDA"/>
    <w:rsid w:val="78246E82"/>
    <w:rsid w:val="782DD136"/>
    <w:rsid w:val="7834B6D8"/>
    <w:rsid w:val="783B03A8"/>
    <w:rsid w:val="7844F413"/>
    <w:rsid w:val="7891A3E1"/>
    <w:rsid w:val="78C6F4BE"/>
    <w:rsid w:val="78EDE18B"/>
    <w:rsid w:val="78F31D3C"/>
    <w:rsid w:val="790BC7B6"/>
    <w:rsid w:val="792ABD37"/>
    <w:rsid w:val="7942E711"/>
    <w:rsid w:val="79437852"/>
    <w:rsid w:val="7950FCE2"/>
    <w:rsid w:val="795AAB9C"/>
    <w:rsid w:val="79A317EC"/>
    <w:rsid w:val="79AC584E"/>
    <w:rsid w:val="79C4ED2B"/>
    <w:rsid w:val="79D21296"/>
    <w:rsid w:val="79DCFE2D"/>
    <w:rsid w:val="79E6D986"/>
    <w:rsid w:val="79EE986C"/>
    <w:rsid w:val="79F6A2A3"/>
    <w:rsid w:val="79F7129E"/>
    <w:rsid w:val="79FE8DC4"/>
    <w:rsid w:val="7A012D8F"/>
    <w:rsid w:val="7A2B54B8"/>
    <w:rsid w:val="7A31F68D"/>
    <w:rsid w:val="7A360B46"/>
    <w:rsid w:val="7A390310"/>
    <w:rsid w:val="7A3DB621"/>
    <w:rsid w:val="7A3E2333"/>
    <w:rsid w:val="7A4EF01F"/>
    <w:rsid w:val="7A56B16B"/>
    <w:rsid w:val="7A715B79"/>
    <w:rsid w:val="7A772DCC"/>
    <w:rsid w:val="7A95CDE9"/>
    <w:rsid w:val="7AB6B8D4"/>
    <w:rsid w:val="7AC17712"/>
    <w:rsid w:val="7AE8713E"/>
    <w:rsid w:val="7AEAFEB7"/>
    <w:rsid w:val="7AEDFE57"/>
    <w:rsid w:val="7AF303BA"/>
    <w:rsid w:val="7B093476"/>
    <w:rsid w:val="7B0DBDC6"/>
    <w:rsid w:val="7B0E2B97"/>
    <w:rsid w:val="7B10E996"/>
    <w:rsid w:val="7B2AD306"/>
    <w:rsid w:val="7B2D75B9"/>
    <w:rsid w:val="7B381EB0"/>
    <w:rsid w:val="7B45F33B"/>
    <w:rsid w:val="7B57E7BE"/>
    <w:rsid w:val="7B759DCE"/>
    <w:rsid w:val="7BB7C5AA"/>
    <w:rsid w:val="7BBB193F"/>
    <w:rsid w:val="7BCAD2CE"/>
    <w:rsid w:val="7BF8985C"/>
    <w:rsid w:val="7C23FC21"/>
    <w:rsid w:val="7C373FAF"/>
    <w:rsid w:val="7C44630B"/>
    <w:rsid w:val="7C57A0B3"/>
    <w:rsid w:val="7C664DD7"/>
    <w:rsid w:val="7C6B01F2"/>
    <w:rsid w:val="7C724FB5"/>
    <w:rsid w:val="7C762EE0"/>
    <w:rsid w:val="7C792660"/>
    <w:rsid w:val="7C7DA95F"/>
    <w:rsid w:val="7CB2F7A2"/>
    <w:rsid w:val="7CCA4DF3"/>
    <w:rsid w:val="7CD327DC"/>
    <w:rsid w:val="7D1A76C0"/>
    <w:rsid w:val="7D221B54"/>
    <w:rsid w:val="7D23C48A"/>
    <w:rsid w:val="7D2B59C5"/>
    <w:rsid w:val="7D8A0DD7"/>
    <w:rsid w:val="7D99FF17"/>
    <w:rsid w:val="7DA3F230"/>
    <w:rsid w:val="7DAE5B08"/>
    <w:rsid w:val="7DD159D1"/>
    <w:rsid w:val="7DEF4A9C"/>
    <w:rsid w:val="7DFB19A6"/>
    <w:rsid w:val="7DFF7110"/>
    <w:rsid w:val="7E407021"/>
    <w:rsid w:val="7E821A84"/>
    <w:rsid w:val="7EB9E942"/>
    <w:rsid w:val="7ED5DFB2"/>
    <w:rsid w:val="7EE34320"/>
    <w:rsid w:val="7EFCCF90"/>
    <w:rsid w:val="7F0CB977"/>
    <w:rsid w:val="7F32341F"/>
    <w:rsid w:val="7F4922B3"/>
    <w:rsid w:val="7F4A0C01"/>
    <w:rsid w:val="7F56D601"/>
    <w:rsid w:val="7F5819A5"/>
    <w:rsid w:val="7F7B3AD3"/>
    <w:rsid w:val="7F9A6122"/>
    <w:rsid w:val="7FA5298E"/>
    <w:rsid w:val="7FF86DF5"/>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5D24B9"/>
  <w15:chartTrackingRefBased/>
  <w15:docId w15:val="{56D8E010-5CD7-4A46-9417-6000A277C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381B"/>
    <w:pPr>
      <w:jc w:val="both"/>
    </w:pPr>
    <w:rPr>
      <w:rFonts w:ascii="Arial" w:hAnsi="Arial"/>
    </w:rPr>
  </w:style>
  <w:style w:type="paragraph" w:styleId="Ttulo1">
    <w:name w:val="heading 1"/>
    <w:basedOn w:val="Normal"/>
    <w:next w:val="Normal"/>
    <w:link w:val="Ttulo1Car"/>
    <w:uiPriority w:val="9"/>
    <w:qFormat/>
    <w:rsid w:val="00185164"/>
    <w:pPr>
      <w:keepNext/>
      <w:keepLines/>
      <w:spacing w:before="360" w:after="80"/>
      <w:outlineLvl w:val="0"/>
    </w:pPr>
    <w:rPr>
      <w:rFonts w:eastAsiaTheme="majorEastAsia" w:cstheme="majorBidi"/>
      <w:b/>
      <w:szCs w:val="40"/>
    </w:rPr>
  </w:style>
  <w:style w:type="paragraph" w:styleId="Ttulo2">
    <w:name w:val="heading 2"/>
    <w:basedOn w:val="Normal"/>
    <w:next w:val="Normal"/>
    <w:link w:val="Ttulo2Car"/>
    <w:uiPriority w:val="9"/>
    <w:unhideWhenUsed/>
    <w:qFormat/>
    <w:rsid w:val="000A3325"/>
    <w:pPr>
      <w:keepNext/>
      <w:keepLines/>
      <w:spacing w:before="160" w:after="80"/>
      <w:outlineLvl w:val="1"/>
    </w:pPr>
    <w:rPr>
      <w:rFonts w:eastAsiaTheme="majorEastAsia" w:cstheme="majorBidi"/>
      <w:szCs w:val="32"/>
    </w:rPr>
  </w:style>
  <w:style w:type="paragraph" w:styleId="Ttulo3">
    <w:name w:val="heading 3"/>
    <w:basedOn w:val="Normal"/>
    <w:next w:val="Normal"/>
    <w:link w:val="Ttulo3Car"/>
    <w:uiPriority w:val="9"/>
    <w:unhideWhenUsed/>
    <w:qFormat/>
    <w:rsid w:val="00340AAC"/>
    <w:pPr>
      <w:keepNext/>
      <w:keepLines/>
      <w:spacing w:before="160" w:after="80"/>
      <w:outlineLvl w:val="2"/>
    </w:pPr>
    <w:rPr>
      <w:rFonts w:eastAsiaTheme="majorEastAsia" w:cstheme="majorBidi"/>
      <w:szCs w:val="28"/>
    </w:rPr>
  </w:style>
  <w:style w:type="paragraph" w:styleId="Ttulo4">
    <w:name w:val="heading 4"/>
    <w:basedOn w:val="Normal"/>
    <w:next w:val="Normal"/>
    <w:link w:val="Ttulo4Car"/>
    <w:uiPriority w:val="9"/>
    <w:unhideWhenUsed/>
    <w:qFormat/>
    <w:rsid w:val="00D90ACC"/>
    <w:pPr>
      <w:keepNext/>
      <w:keepLines/>
      <w:numPr>
        <w:numId w:val="8"/>
      </w:numPr>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unhideWhenUsed/>
    <w:qFormat/>
    <w:rsid w:val="00D90ACC"/>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D90ACC"/>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D90ACC"/>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90ACC"/>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90ACC"/>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85164"/>
    <w:rPr>
      <w:rFonts w:ascii="Arial" w:eastAsiaTheme="majorEastAsia" w:hAnsi="Arial" w:cstheme="majorBidi"/>
      <w:b/>
      <w:szCs w:val="40"/>
    </w:rPr>
  </w:style>
  <w:style w:type="character" w:customStyle="1" w:styleId="Ttulo2Car">
    <w:name w:val="Título 2 Car"/>
    <w:basedOn w:val="Fuentedeprrafopredeter"/>
    <w:link w:val="Ttulo2"/>
    <w:uiPriority w:val="9"/>
    <w:rsid w:val="00185164"/>
    <w:rPr>
      <w:rFonts w:ascii="Arial" w:eastAsiaTheme="majorEastAsia" w:hAnsi="Arial" w:cstheme="majorBidi"/>
      <w:szCs w:val="32"/>
    </w:rPr>
  </w:style>
  <w:style w:type="character" w:customStyle="1" w:styleId="Ttulo3Car">
    <w:name w:val="Título 3 Car"/>
    <w:basedOn w:val="Fuentedeprrafopredeter"/>
    <w:link w:val="Ttulo3"/>
    <w:uiPriority w:val="9"/>
    <w:rsid w:val="00D90ACC"/>
    <w:rPr>
      <w:rFonts w:ascii="Arial" w:eastAsiaTheme="majorEastAsia" w:hAnsi="Arial" w:cstheme="majorBidi"/>
      <w:szCs w:val="28"/>
    </w:rPr>
  </w:style>
  <w:style w:type="character" w:customStyle="1" w:styleId="Ttulo4Car">
    <w:name w:val="Título 4 Car"/>
    <w:basedOn w:val="Fuentedeprrafopredeter"/>
    <w:link w:val="Ttulo4"/>
    <w:uiPriority w:val="9"/>
    <w:rsid w:val="00D90ACC"/>
    <w:rPr>
      <w:rFonts w:ascii="Arial" w:eastAsiaTheme="majorEastAsia" w:hAnsi="Arial" w:cstheme="majorBidi"/>
      <w:i/>
      <w:iCs/>
      <w:color w:val="0F4761" w:themeColor="accent1" w:themeShade="BF"/>
    </w:rPr>
  </w:style>
  <w:style w:type="character" w:customStyle="1" w:styleId="Ttulo5Car">
    <w:name w:val="Título 5 Car"/>
    <w:basedOn w:val="Fuentedeprrafopredeter"/>
    <w:link w:val="Ttulo5"/>
    <w:uiPriority w:val="9"/>
    <w:rsid w:val="00D90ACC"/>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D90AC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D90AC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D90AC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D90ACC"/>
    <w:rPr>
      <w:rFonts w:eastAsiaTheme="majorEastAsia" w:cstheme="majorBidi"/>
      <w:color w:val="272727" w:themeColor="text1" w:themeTint="D8"/>
    </w:rPr>
  </w:style>
  <w:style w:type="paragraph" w:styleId="Ttulo">
    <w:name w:val="Title"/>
    <w:basedOn w:val="Normal"/>
    <w:next w:val="Normal"/>
    <w:link w:val="TtuloCar"/>
    <w:uiPriority w:val="10"/>
    <w:qFormat/>
    <w:rsid w:val="00D90AC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D90AC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D90ACC"/>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D90AC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90ACC"/>
    <w:pPr>
      <w:spacing w:before="160"/>
      <w:jc w:val="center"/>
    </w:pPr>
    <w:rPr>
      <w:i/>
      <w:iCs/>
      <w:color w:val="404040" w:themeColor="text1" w:themeTint="BF"/>
    </w:rPr>
  </w:style>
  <w:style w:type="character" w:customStyle="1" w:styleId="CitaCar">
    <w:name w:val="Cita Car"/>
    <w:basedOn w:val="Fuentedeprrafopredeter"/>
    <w:link w:val="Cita"/>
    <w:uiPriority w:val="29"/>
    <w:rsid w:val="00D90ACC"/>
    <w:rPr>
      <w:i/>
      <w:iCs/>
      <w:color w:val="404040" w:themeColor="text1" w:themeTint="BF"/>
    </w:rPr>
  </w:style>
  <w:style w:type="paragraph" w:styleId="Prrafodelista">
    <w:name w:val="List Paragraph"/>
    <w:aliases w:val="titulo 5,Bolita,Betulia Título 1,HOJA,Viñeta 2,Guión,Párrafo de lista3,BOLA,Párrafo de lista21,Titulo 8,Colorful List Accent 1,Colorful List - Accent 11,Viñeta 6,Lista vistosa - Énfasis 11,BOLADEF,Lista multicolor - Énfasis 11,Lista HD"/>
    <w:basedOn w:val="Normal"/>
    <w:link w:val="PrrafodelistaCar"/>
    <w:uiPriority w:val="34"/>
    <w:qFormat/>
    <w:rsid w:val="00D90ACC"/>
    <w:pPr>
      <w:ind w:left="720"/>
      <w:contextualSpacing/>
    </w:pPr>
  </w:style>
  <w:style w:type="character" w:styleId="nfasisintenso">
    <w:name w:val="Intense Emphasis"/>
    <w:basedOn w:val="Fuentedeprrafopredeter"/>
    <w:uiPriority w:val="21"/>
    <w:qFormat/>
    <w:rsid w:val="00D90ACC"/>
    <w:rPr>
      <w:i/>
      <w:iCs/>
      <w:color w:val="0F4761" w:themeColor="accent1" w:themeShade="BF"/>
    </w:rPr>
  </w:style>
  <w:style w:type="paragraph" w:styleId="Citadestacada">
    <w:name w:val="Intense Quote"/>
    <w:basedOn w:val="Normal"/>
    <w:next w:val="Normal"/>
    <w:link w:val="CitadestacadaCar"/>
    <w:uiPriority w:val="30"/>
    <w:qFormat/>
    <w:rsid w:val="00D90AC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90ACC"/>
    <w:rPr>
      <w:i/>
      <w:iCs/>
      <w:color w:val="0F4761" w:themeColor="accent1" w:themeShade="BF"/>
    </w:rPr>
  </w:style>
  <w:style w:type="character" w:styleId="Referenciaintensa">
    <w:name w:val="Intense Reference"/>
    <w:basedOn w:val="Fuentedeprrafopredeter"/>
    <w:uiPriority w:val="32"/>
    <w:qFormat/>
    <w:rsid w:val="00D90ACC"/>
    <w:rPr>
      <w:b/>
      <w:bCs/>
      <w:smallCaps/>
      <w:color w:val="0F4761" w:themeColor="accent1" w:themeShade="BF"/>
      <w:spacing w:val="5"/>
    </w:rPr>
  </w:style>
  <w:style w:type="paragraph" w:styleId="Textoindependiente">
    <w:name w:val="Body Text"/>
    <w:basedOn w:val="Normal"/>
    <w:link w:val="TextoindependienteCar"/>
    <w:uiPriority w:val="1"/>
    <w:qFormat/>
    <w:rsid w:val="00D90ACC"/>
    <w:pPr>
      <w:widowControl w:val="0"/>
      <w:autoSpaceDE w:val="0"/>
      <w:autoSpaceDN w:val="0"/>
      <w:spacing w:after="0" w:line="240" w:lineRule="auto"/>
    </w:pPr>
    <w:rPr>
      <w:rFonts w:ascii="Verdana" w:eastAsia="Verdana" w:hAnsi="Verdana" w:cs="Verdana"/>
      <w:kern w:val="0"/>
      <w:sz w:val="22"/>
      <w:szCs w:val="22"/>
      <w:lang w:val="es-ES"/>
      <w14:ligatures w14:val="none"/>
    </w:rPr>
  </w:style>
  <w:style w:type="character" w:customStyle="1" w:styleId="TextoindependienteCar">
    <w:name w:val="Texto independiente Car"/>
    <w:basedOn w:val="Fuentedeprrafopredeter"/>
    <w:link w:val="Textoindependiente"/>
    <w:uiPriority w:val="1"/>
    <w:rsid w:val="00D90ACC"/>
    <w:rPr>
      <w:rFonts w:ascii="Verdana" w:eastAsia="Verdana" w:hAnsi="Verdana" w:cs="Verdana"/>
      <w:kern w:val="0"/>
      <w:sz w:val="22"/>
      <w:szCs w:val="22"/>
      <w:lang w:val="es-ES"/>
      <w14:ligatures w14:val="none"/>
    </w:rPr>
  </w:style>
  <w:style w:type="paragraph" w:styleId="Encabezado">
    <w:name w:val="header"/>
    <w:basedOn w:val="Normal"/>
    <w:link w:val="EncabezadoCar"/>
    <w:uiPriority w:val="99"/>
    <w:unhideWhenUsed/>
    <w:rsid w:val="007F4F8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F4F87"/>
  </w:style>
  <w:style w:type="paragraph" w:styleId="Piedepgina">
    <w:name w:val="footer"/>
    <w:basedOn w:val="Normal"/>
    <w:link w:val="PiedepginaCar"/>
    <w:uiPriority w:val="99"/>
    <w:unhideWhenUsed/>
    <w:rsid w:val="007F4F8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F4F87"/>
  </w:style>
  <w:style w:type="table" w:styleId="Tablaconcuadrcula">
    <w:name w:val="Table Grid"/>
    <w:basedOn w:val="Tablanormal"/>
    <w:uiPriority w:val="59"/>
    <w:rsid w:val="00E719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ipervnculo">
    <w:name w:val="Hyperlink"/>
    <w:basedOn w:val="Fuentedeprrafopredeter"/>
    <w:uiPriority w:val="99"/>
    <w:unhideWhenUsed/>
    <w:rsid w:val="0055426E"/>
    <w:rPr>
      <w:color w:val="467886"/>
      <w:u w:val="single"/>
    </w:rPr>
  </w:style>
  <w:style w:type="paragraph" w:styleId="Textocomentario">
    <w:name w:val="annotation text"/>
    <w:basedOn w:val="Normal"/>
    <w:link w:val="TextocomentarioCar"/>
    <w:uiPriority w:val="99"/>
    <w:unhideWhenUsed/>
    <w:rsid w:val="0055426E"/>
    <w:pPr>
      <w:spacing w:line="240" w:lineRule="auto"/>
    </w:pPr>
    <w:rPr>
      <w:sz w:val="20"/>
      <w:szCs w:val="20"/>
    </w:rPr>
  </w:style>
  <w:style w:type="character" w:customStyle="1" w:styleId="TextocomentarioCar">
    <w:name w:val="Texto comentario Car"/>
    <w:basedOn w:val="Fuentedeprrafopredeter"/>
    <w:link w:val="Textocomentario"/>
    <w:uiPriority w:val="99"/>
    <w:rsid w:val="0055426E"/>
    <w:rPr>
      <w:rFonts w:ascii="Arial" w:hAnsi="Arial"/>
      <w:sz w:val="20"/>
      <w:szCs w:val="20"/>
    </w:rPr>
  </w:style>
  <w:style w:type="character" w:styleId="Refdecomentario">
    <w:name w:val="annotation reference"/>
    <w:basedOn w:val="Fuentedeprrafopredeter"/>
    <w:uiPriority w:val="99"/>
    <w:semiHidden/>
    <w:unhideWhenUsed/>
    <w:rsid w:val="0055426E"/>
    <w:rPr>
      <w:sz w:val="16"/>
      <w:szCs w:val="16"/>
    </w:rPr>
  </w:style>
  <w:style w:type="paragraph" w:styleId="Asuntodelcomentario">
    <w:name w:val="annotation subject"/>
    <w:basedOn w:val="Textocomentario"/>
    <w:next w:val="Textocomentario"/>
    <w:link w:val="AsuntodelcomentarioCar"/>
    <w:uiPriority w:val="99"/>
    <w:semiHidden/>
    <w:unhideWhenUsed/>
    <w:rsid w:val="0055426E"/>
    <w:rPr>
      <w:b/>
      <w:bCs/>
    </w:rPr>
  </w:style>
  <w:style w:type="character" w:customStyle="1" w:styleId="AsuntodelcomentarioCar">
    <w:name w:val="Asunto del comentario Car"/>
    <w:basedOn w:val="TextocomentarioCar"/>
    <w:link w:val="Asuntodelcomentario"/>
    <w:uiPriority w:val="99"/>
    <w:semiHidden/>
    <w:rsid w:val="0055426E"/>
    <w:rPr>
      <w:rFonts w:ascii="Arial" w:hAnsi="Arial"/>
      <w:b/>
      <w:bCs/>
      <w:sz w:val="20"/>
      <w:szCs w:val="20"/>
    </w:rPr>
  </w:style>
  <w:style w:type="paragraph" w:styleId="TtuloTDC">
    <w:name w:val="TOC Heading"/>
    <w:basedOn w:val="Ttulo1"/>
    <w:next w:val="Normal"/>
    <w:uiPriority w:val="39"/>
    <w:unhideWhenUsed/>
    <w:qFormat/>
    <w:rsid w:val="00EC5AB0"/>
    <w:pPr>
      <w:spacing w:before="240" w:after="0" w:line="259" w:lineRule="auto"/>
      <w:jc w:val="left"/>
      <w:outlineLvl w:val="9"/>
    </w:pPr>
    <w:rPr>
      <w:rFonts w:asciiTheme="majorHAnsi" w:hAnsiTheme="majorHAnsi"/>
      <w:b w:val="0"/>
      <w:color w:val="0F4761" w:themeColor="accent1" w:themeShade="BF"/>
      <w:kern w:val="0"/>
      <w:sz w:val="32"/>
      <w:szCs w:val="32"/>
      <w:lang w:val="en-US"/>
      <w14:ligatures w14:val="none"/>
    </w:rPr>
  </w:style>
  <w:style w:type="paragraph" w:styleId="TDC1">
    <w:name w:val="toc 1"/>
    <w:basedOn w:val="Normal"/>
    <w:next w:val="Normal"/>
    <w:autoRedefine/>
    <w:uiPriority w:val="39"/>
    <w:unhideWhenUsed/>
    <w:rsid w:val="00EC5AB0"/>
    <w:pPr>
      <w:spacing w:after="100"/>
    </w:pPr>
  </w:style>
  <w:style w:type="paragraph" w:styleId="TDC2">
    <w:name w:val="toc 2"/>
    <w:basedOn w:val="Normal"/>
    <w:next w:val="Normal"/>
    <w:autoRedefine/>
    <w:uiPriority w:val="39"/>
    <w:unhideWhenUsed/>
    <w:rsid w:val="00955A5A"/>
    <w:pPr>
      <w:tabs>
        <w:tab w:val="left" w:pos="880"/>
        <w:tab w:val="right" w:leader="dot" w:pos="8828"/>
      </w:tabs>
      <w:spacing w:after="100"/>
      <w:ind w:left="240"/>
    </w:pPr>
    <w:rPr>
      <w:noProof/>
    </w:rPr>
  </w:style>
  <w:style w:type="paragraph" w:styleId="TDC3">
    <w:name w:val="toc 3"/>
    <w:basedOn w:val="Normal"/>
    <w:next w:val="Normal"/>
    <w:autoRedefine/>
    <w:uiPriority w:val="39"/>
    <w:unhideWhenUsed/>
    <w:rsid w:val="00325B9F"/>
    <w:pPr>
      <w:tabs>
        <w:tab w:val="left" w:pos="1440"/>
        <w:tab w:val="left" w:pos="1701"/>
        <w:tab w:val="right" w:leader="dot" w:pos="8828"/>
      </w:tabs>
      <w:spacing w:after="100"/>
      <w:ind w:left="480"/>
    </w:pPr>
  </w:style>
  <w:style w:type="paragraph" w:styleId="Descripcin">
    <w:name w:val="caption"/>
    <w:basedOn w:val="Normal"/>
    <w:next w:val="Normal"/>
    <w:uiPriority w:val="35"/>
    <w:unhideWhenUsed/>
    <w:qFormat/>
    <w:rsid w:val="00B23C9C"/>
    <w:pPr>
      <w:spacing w:after="0" w:line="240" w:lineRule="auto"/>
      <w:jc w:val="center"/>
    </w:pPr>
    <w:rPr>
      <w:i/>
      <w:iCs/>
      <w:color w:val="0E2841" w:themeColor="text2"/>
      <w:sz w:val="18"/>
      <w:szCs w:val="18"/>
    </w:rPr>
  </w:style>
  <w:style w:type="character" w:styleId="Textoennegrita">
    <w:name w:val="Strong"/>
    <w:basedOn w:val="Fuentedeprrafopredeter"/>
    <w:uiPriority w:val="22"/>
    <w:qFormat/>
    <w:rsid w:val="008152DE"/>
    <w:rPr>
      <w:b/>
      <w:bCs/>
    </w:rPr>
  </w:style>
  <w:style w:type="character" w:customStyle="1" w:styleId="eop">
    <w:name w:val="eop"/>
    <w:basedOn w:val="Fuentedeprrafopredeter"/>
    <w:uiPriority w:val="1"/>
    <w:rsid w:val="005F110D"/>
    <w:rPr>
      <w:rFonts w:asciiTheme="minorHAnsi" w:eastAsiaTheme="minorEastAsia" w:hAnsiTheme="minorHAnsi" w:cstheme="minorBidi"/>
      <w:sz w:val="24"/>
      <w:szCs w:val="24"/>
    </w:rPr>
  </w:style>
  <w:style w:type="paragraph" w:styleId="Textonotapie">
    <w:name w:val="footnote text"/>
    <w:basedOn w:val="Normal"/>
    <w:link w:val="TextonotapieCar"/>
    <w:uiPriority w:val="99"/>
    <w:semiHidden/>
    <w:unhideWhenUsed/>
    <w:rsid w:val="004F2410"/>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4F2410"/>
    <w:rPr>
      <w:rFonts w:ascii="Arial" w:hAnsi="Arial"/>
      <w:sz w:val="20"/>
      <w:szCs w:val="20"/>
    </w:rPr>
  </w:style>
  <w:style w:type="character" w:styleId="Refdenotaalpie">
    <w:name w:val="footnote reference"/>
    <w:basedOn w:val="Fuentedeprrafopredeter"/>
    <w:uiPriority w:val="99"/>
    <w:semiHidden/>
    <w:unhideWhenUsed/>
    <w:rsid w:val="004F2410"/>
    <w:rPr>
      <w:vertAlign w:val="superscript"/>
    </w:rPr>
  </w:style>
  <w:style w:type="paragraph" w:styleId="HTMLconformatoprevio">
    <w:name w:val="HTML Preformatted"/>
    <w:basedOn w:val="Normal"/>
    <w:link w:val="HTMLconformatoprevioCar"/>
    <w:uiPriority w:val="99"/>
    <w:semiHidden/>
    <w:unhideWhenUsed/>
    <w:rsid w:val="004F2410"/>
    <w:pPr>
      <w:spacing w:after="0" w:line="240" w:lineRule="auto"/>
    </w:pPr>
    <w:rPr>
      <w:rFonts w:ascii="Consolas" w:hAnsi="Consolas"/>
      <w:sz w:val="20"/>
      <w:szCs w:val="20"/>
    </w:rPr>
  </w:style>
  <w:style w:type="character" w:customStyle="1" w:styleId="HTMLconformatoprevioCar">
    <w:name w:val="HTML con formato previo Car"/>
    <w:basedOn w:val="Fuentedeprrafopredeter"/>
    <w:link w:val="HTMLconformatoprevio"/>
    <w:uiPriority w:val="99"/>
    <w:semiHidden/>
    <w:rsid w:val="004F2410"/>
    <w:rPr>
      <w:rFonts w:ascii="Consolas" w:hAnsi="Consolas"/>
      <w:sz w:val="20"/>
      <w:szCs w:val="20"/>
    </w:rPr>
  </w:style>
  <w:style w:type="table" w:styleId="Tablanormal2">
    <w:name w:val="Plain Table 2"/>
    <w:basedOn w:val="Tablanormal"/>
    <w:uiPriority w:val="42"/>
    <w:rsid w:val="004F241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5oscura-nfasis51">
    <w:name w:val="Tabla con cuadrícula 5 oscura - Énfasis 51"/>
    <w:basedOn w:val="Tablanormal"/>
    <w:next w:val="Tablaconcuadrcula5oscura-nfasis5"/>
    <w:uiPriority w:val="50"/>
    <w:rsid w:val="004F2410"/>
    <w:pPr>
      <w:spacing w:after="0" w:line="240" w:lineRule="auto"/>
    </w:pPr>
    <w:rPr>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Tablaconcuadrcula5oscura-nfasis5">
    <w:name w:val="Grid Table 5 Dark Accent 5"/>
    <w:basedOn w:val="Tablanormal"/>
    <w:uiPriority w:val="50"/>
    <w:rsid w:val="004F24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CEE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02B93"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02B93"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02B93"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02B93" w:themeFill="accent5"/>
      </w:tcPr>
    </w:tblStylePr>
    <w:tblStylePr w:type="band1Vert">
      <w:tblPr/>
      <w:tcPr>
        <w:shd w:val="clear" w:color="auto" w:fill="E59EDC" w:themeFill="accent5" w:themeFillTint="66"/>
      </w:tcPr>
    </w:tblStylePr>
    <w:tblStylePr w:type="band1Horz">
      <w:tblPr/>
      <w:tcPr>
        <w:shd w:val="clear" w:color="auto" w:fill="E59EDC" w:themeFill="accent5" w:themeFillTint="66"/>
      </w:tcPr>
    </w:tblStylePr>
  </w:style>
  <w:style w:type="table" w:customStyle="1" w:styleId="Tablaconcuadrcula1">
    <w:name w:val="Tabla con cuadrícula1"/>
    <w:basedOn w:val="Tablanormal"/>
    <w:next w:val="Tablaconcuadrcula"/>
    <w:uiPriority w:val="39"/>
    <w:rsid w:val="004F2410"/>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3">
    <w:name w:val="Grid Table 4 Accent 3"/>
    <w:basedOn w:val="Tablanormal"/>
    <w:uiPriority w:val="49"/>
    <w:rsid w:val="003275C2"/>
    <w:pPr>
      <w:spacing w:after="0" w:line="240" w:lineRule="auto"/>
    </w:pPr>
    <w:rPr>
      <w:lang w:val="en-US"/>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color w:val="FFFFFF" w:themeColor="background1"/>
      </w:rPr>
      <w:tblPr/>
      <w:tcPr>
        <w:tcBorders>
          <w:top w:val="single" w:sz="4" w:space="0" w:color="196B24" w:themeColor="accent3"/>
          <w:left w:val="single" w:sz="4" w:space="0" w:color="196B24" w:themeColor="accent3"/>
          <w:bottom w:val="single" w:sz="4" w:space="0" w:color="196B24" w:themeColor="accent3"/>
          <w:right w:val="single" w:sz="4" w:space="0" w:color="196B24" w:themeColor="accent3"/>
          <w:insideH w:val="nil"/>
          <w:insideV w:val="nil"/>
        </w:tcBorders>
        <w:shd w:val="clear" w:color="auto" w:fill="196B24" w:themeFill="accent3"/>
      </w:tcPr>
    </w:tblStylePr>
    <w:tblStylePr w:type="lastRow">
      <w:rPr>
        <w:b/>
        <w:bCs/>
      </w:rPr>
      <w:tblPr/>
      <w:tcPr>
        <w:tcBorders>
          <w:top w:val="double" w:sz="4" w:space="0" w:color="196B24" w:themeColor="accent3"/>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character" w:styleId="Mencinsinresolver">
    <w:name w:val="Unresolved Mention"/>
    <w:basedOn w:val="Fuentedeprrafopredeter"/>
    <w:uiPriority w:val="99"/>
    <w:semiHidden/>
    <w:unhideWhenUsed/>
    <w:rsid w:val="006A1A97"/>
    <w:rPr>
      <w:color w:val="605E5C"/>
      <w:shd w:val="clear" w:color="auto" w:fill="E1DFDD"/>
    </w:rPr>
  </w:style>
  <w:style w:type="character" w:styleId="Mencionar">
    <w:name w:val="Mention"/>
    <w:basedOn w:val="Fuentedeprrafopredeter"/>
    <w:uiPriority w:val="99"/>
    <w:unhideWhenUsed/>
    <w:rsid w:val="00092A1B"/>
    <w:rPr>
      <w:color w:val="2B579A"/>
      <w:shd w:val="clear" w:color="auto" w:fill="E1DFDD"/>
    </w:rPr>
  </w:style>
  <w:style w:type="table" w:styleId="Tabladecuadrcula3">
    <w:name w:val="Grid Table 3"/>
    <w:basedOn w:val="Tablanormal"/>
    <w:uiPriority w:val="48"/>
    <w:rsid w:val="00092A1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PrrafodelistaCar">
    <w:name w:val="Párrafo de lista Car"/>
    <w:aliases w:val="titulo 5 Car,Bolita Car,Betulia Título 1 Car,HOJA Car,Viñeta 2 Car,Guión Car,Párrafo de lista3 Car,BOLA Car,Párrafo de lista21 Car,Titulo 8 Car,Colorful List Accent 1 Car,Colorful List - Accent 11 Car,Viñeta 6 Car,BOLADEF Car"/>
    <w:link w:val="Prrafodelista"/>
    <w:uiPriority w:val="34"/>
    <w:qFormat/>
    <w:locked/>
    <w:rsid w:val="00E234FA"/>
    <w:rPr>
      <w:rFonts w:ascii="Arial" w:hAnsi="Arial"/>
    </w:rPr>
  </w:style>
  <w:style w:type="table" w:styleId="Tablanormal3">
    <w:name w:val="Plain Table 3"/>
    <w:basedOn w:val="Tablanormal"/>
    <w:uiPriority w:val="43"/>
    <w:rsid w:val="004B02CA"/>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Revisin">
    <w:name w:val="Revision"/>
    <w:hidden/>
    <w:uiPriority w:val="99"/>
    <w:semiHidden/>
    <w:rsid w:val="00223CFC"/>
    <w:pPr>
      <w:spacing w:after="0" w:line="240" w:lineRule="auto"/>
    </w:pPr>
    <w:rPr>
      <w:rFonts w:ascii="Arial" w:hAnsi="Arial"/>
    </w:rPr>
  </w:style>
  <w:style w:type="paragraph" w:styleId="NormalWeb">
    <w:name w:val="Normal (Web)"/>
    <w:basedOn w:val="Normal"/>
    <w:uiPriority w:val="99"/>
    <w:unhideWhenUsed/>
    <w:rsid w:val="00223CFC"/>
    <w:pPr>
      <w:spacing w:before="100" w:beforeAutospacing="1" w:after="100" w:afterAutospacing="1" w:line="240" w:lineRule="auto"/>
      <w:jc w:val="left"/>
    </w:pPr>
    <w:rPr>
      <w:rFonts w:ascii="Times New Roman" w:eastAsia="Times New Roman" w:hAnsi="Times New Roman" w:cs="Times New Roman"/>
      <w:kern w:val="0"/>
      <w:lang w:val="en-US"/>
      <w14:ligatures w14:val="none"/>
    </w:rPr>
  </w:style>
  <w:style w:type="character" w:styleId="nfasis">
    <w:name w:val="Emphasis"/>
    <w:basedOn w:val="Fuentedeprrafopredeter"/>
    <w:uiPriority w:val="20"/>
    <w:qFormat/>
    <w:rsid w:val="00223CFC"/>
    <w:rPr>
      <w:i/>
      <w:iCs/>
    </w:rPr>
  </w:style>
  <w:style w:type="paragraph" w:styleId="Tabladeilustraciones">
    <w:name w:val="table of figures"/>
    <w:basedOn w:val="Normal"/>
    <w:next w:val="Normal"/>
    <w:uiPriority w:val="99"/>
    <w:unhideWhenUsed/>
    <w:rsid w:val="00223CFC"/>
    <w:pPr>
      <w:spacing w:after="0"/>
    </w:pPr>
  </w:style>
  <w:style w:type="paragraph" w:styleId="Textonotaalfinal">
    <w:name w:val="endnote text"/>
    <w:basedOn w:val="Normal"/>
    <w:link w:val="TextonotaalfinalCar"/>
    <w:uiPriority w:val="99"/>
    <w:semiHidden/>
    <w:unhideWhenUsed/>
    <w:rsid w:val="00223CFC"/>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223CFC"/>
    <w:rPr>
      <w:rFonts w:ascii="Arial" w:hAnsi="Arial"/>
      <w:sz w:val="20"/>
      <w:szCs w:val="20"/>
    </w:rPr>
  </w:style>
  <w:style w:type="character" w:styleId="Refdenotaalfinal">
    <w:name w:val="endnote reference"/>
    <w:basedOn w:val="Fuentedeprrafopredeter"/>
    <w:uiPriority w:val="99"/>
    <w:semiHidden/>
    <w:unhideWhenUsed/>
    <w:rsid w:val="00223CFC"/>
    <w:rPr>
      <w:vertAlign w:val="superscript"/>
    </w:rPr>
  </w:style>
  <w:style w:type="paragraph" w:styleId="Bibliografa">
    <w:name w:val="Bibliography"/>
    <w:basedOn w:val="Normal"/>
    <w:next w:val="Normal"/>
    <w:uiPriority w:val="37"/>
    <w:unhideWhenUsed/>
    <w:rsid w:val="00C57248"/>
  </w:style>
  <w:style w:type="table" w:styleId="Tablaconcuadrculaclara">
    <w:name w:val="Grid Table Light"/>
    <w:basedOn w:val="Tablanormal"/>
    <w:uiPriority w:val="40"/>
    <w:rsid w:val="009D763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
    <w:name w:val="paragraph"/>
    <w:basedOn w:val="Normal"/>
    <w:rsid w:val="00BB4033"/>
    <w:pPr>
      <w:spacing w:before="100" w:beforeAutospacing="1" w:after="100" w:afterAutospacing="1" w:line="240" w:lineRule="auto"/>
      <w:jc w:val="left"/>
    </w:pPr>
    <w:rPr>
      <w:rFonts w:ascii="Times New Roman" w:eastAsia="Times New Roman" w:hAnsi="Times New Roman" w:cs="Times New Roman"/>
      <w:kern w:val="0"/>
      <w:lang w:eastAsia="es-CO"/>
      <w14:ligatures w14:val="none"/>
    </w:rPr>
  </w:style>
  <w:style w:type="character" w:customStyle="1" w:styleId="normaltextrun">
    <w:name w:val="normaltextrun"/>
    <w:basedOn w:val="Fuentedeprrafopredeter"/>
    <w:rsid w:val="00BB4033"/>
  </w:style>
  <w:style w:type="character" w:styleId="Hipervnculovisitado">
    <w:name w:val="FollowedHyperlink"/>
    <w:basedOn w:val="Fuentedeprrafopredeter"/>
    <w:uiPriority w:val="99"/>
    <w:semiHidden/>
    <w:unhideWhenUsed/>
    <w:rsid w:val="0026287C"/>
    <w:rPr>
      <w:color w:val="96607D" w:themeColor="followedHyperlink"/>
      <w:u w:val="single"/>
    </w:rPr>
  </w:style>
  <w:style w:type="table" w:customStyle="1" w:styleId="Tablaconcuadrcula3">
    <w:name w:val="Tabla con cuadrícula3"/>
    <w:basedOn w:val="Tablanormal"/>
    <w:next w:val="Tablaconcuadrcula"/>
    <w:uiPriority w:val="59"/>
    <w:rsid w:val="004B37E8"/>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1clara">
    <w:name w:val="Grid Table 1 Light"/>
    <w:basedOn w:val="Tablanormal"/>
    <w:uiPriority w:val="46"/>
    <w:rsid w:val="004412B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rsid w:val="00934664"/>
    <w:pPr>
      <w:spacing w:before="100" w:beforeAutospacing="1" w:after="100" w:afterAutospacing="1" w:line="240" w:lineRule="auto"/>
      <w:jc w:val="left"/>
    </w:pPr>
    <w:rPr>
      <w:rFonts w:ascii="Times New Roman" w:eastAsia="Times New Roman" w:hAnsi="Times New Roman" w:cs="Times New Roman"/>
      <w:kern w:val="0"/>
      <w:lang w:eastAsia="es-CO"/>
      <w14:ligatures w14:val="none"/>
    </w:rPr>
  </w:style>
  <w:style w:type="character" w:customStyle="1" w:styleId="ms-05">
    <w:name w:val="ms-0.5"/>
    <w:basedOn w:val="Fuentedeprrafopredeter"/>
    <w:rsid w:val="009346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73">
      <w:bodyDiv w:val="1"/>
      <w:marLeft w:val="0"/>
      <w:marRight w:val="0"/>
      <w:marTop w:val="0"/>
      <w:marBottom w:val="0"/>
      <w:divBdr>
        <w:top w:val="none" w:sz="0" w:space="0" w:color="auto"/>
        <w:left w:val="none" w:sz="0" w:space="0" w:color="auto"/>
        <w:bottom w:val="none" w:sz="0" w:space="0" w:color="auto"/>
        <w:right w:val="none" w:sz="0" w:space="0" w:color="auto"/>
      </w:divBdr>
    </w:div>
    <w:div w:id="11359">
      <w:bodyDiv w:val="1"/>
      <w:marLeft w:val="0"/>
      <w:marRight w:val="0"/>
      <w:marTop w:val="0"/>
      <w:marBottom w:val="0"/>
      <w:divBdr>
        <w:top w:val="none" w:sz="0" w:space="0" w:color="auto"/>
        <w:left w:val="none" w:sz="0" w:space="0" w:color="auto"/>
        <w:bottom w:val="none" w:sz="0" w:space="0" w:color="auto"/>
        <w:right w:val="none" w:sz="0" w:space="0" w:color="auto"/>
      </w:divBdr>
    </w:div>
    <w:div w:id="131359">
      <w:bodyDiv w:val="1"/>
      <w:marLeft w:val="0"/>
      <w:marRight w:val="0"/>
      <w:marTop w:val="0"/>
      <w:marBottom w:val="0"/>
      <w:divBdr>
        <w:top w:val="none" w:sz="0" w:space="0" w:color="auto"/>
        <w:left w:val="none" w:sz="0" w:space="0" w:color="auto"/>
        <w:bottom w:val="none" w:sz="0" w:space="0" w:color="auto"/>
        <w:right w:val="none" w:sz="0" w:space="0" w:color="auto"/>
      </w:divBdr>
    </w:div>
    <w:div w:id="131656">
      <w:bodyDiv w:val="1"/>
      <w:marLeft w:val="0"/>
      <w:marRight w:val="0"/>
      <w:marTop w:val="0"/>
      <w:marBottom w:val="0"/>
      <w:divBdr>
        <w:top w:val="none" w:sz="0" w:space="0" w:color="auto"/>
        <w:left w:val="none" w:sz="0" w:space="0" w:color="auto"/>
        <w:bottom w:val="none" w:sz="0" w:space="0" w:color="auto"/>
        <w:right w:val="none" w:sz="0" w:space="0" w:color="auto"/>
      </w:divBdr>
    </w:div>
    <w:div w:id="161907">
      <w:bodyDiv w:val="1"/>
      <w:marLeft w:val="0"/>
      <w:marRight w:val="0"/>
      <w:marTop w:val="0"/>
      <w:marBottom w:val="0"/>
      <w:divBdr>
        <w:top w:val="none" w:sz="0" w:space="0" w:color="auto"/>
        <w:left w:val="none" w:sz="0" w:space="0" w:color="auto"/>
        <w:bottom w:val="none" w:sz="0" w:space="0" w:color="auto"/>
        <w:right w:val="none" w:sz="0" w:space="0" w:color="auto"/>
      </w:divBdr>
    </w:div>
    <w:div w:id="283681">
      <w:bodyDiv w:val="1"/>
      <w:marLeft w:val="0"/>
      <w:marRight w:val="0"/>
      <w:marTop w:val="0"/>
      <w:marBottom w:val="0"/>
      <w:divBdr>
        <w:top w:val="none" w:sz="0" w:space="0" w:color="auto"/>
        <w:left w:val="none" w:sz="0" w:space="0" w:color="auto"/>
        <w:bottom w:val="none" w:sz="0" w:space="0" w:color="auto"/>
        <w:right w:val="none" w:sz="0" w:space="0" w:color="auto"/>
      </w:divBdr>
    </w:div>
    <w:div w:id="396243">
      <w:bodyDiv w:val="1"/>
      <w:marLeft w:val="0"/>
      <w:marRight w:val="0"/>
      <w:marTop w:val="0"/>
      <w:marBottom w:val="0"/>
      <w:divBdr>
        <w:top w:val="none" w:sz="0" w:space="0" w:color="auto"/>
        <w:left w:val="none" w:sz="0" w:space="0" w:color="auto"/>
        <w:bottom w:val="none" w:sz="0" w:space="0" w:color="auto"/>
        <w:right w:val="none" w:sz="0" w:space="0" w:color="auto"/>
      </w:divBdr>
    </w:div>
    <w:div w:id="403120">
      <w:bodyDiv w:val="1"/>
      <w:marLeft w:val="0"/>
      <w:marRight w:val="0"/>
      <w:marTop w:val="0"/>
      <w:marBottom w:val="0"/>
      <w:divBdr>
        <w:top w:val="none" w:sz="0" w:space="0" w:color="auto"/>
        <w:left w:val="none" w:sz="0" w:space="0" w:color="auto"/>
        <w:bottom w:val="none" w:sz="0" w:space="0" w:color="auto"/>
        <w:right w:val="none" w:sz="0" w:space="0" w:color="auto"/>
      </w:divBdr>
    </w:div>
    <w:div w:id="470577">
      <w:bodyDiv w:val="1"/>
      <w:marLeft w:val="0"/>
      <w:marRight w:val="0"/>
      <w:marTop w:val="0"/>
      <w:marBottom w:val="0"/>
      <w:divBdr>
        <w:top w:val="none" w:sz="0" w:space="0" w:color="auto"/>
        <w:left w:val="none" w:sz="0" w:space="0" w:color="auto"/>
        <w:bottom w:val="none" w:sz="0" w:space="0" w:color="auto"/>
        <w:right w:val="none" w:sz="0" w:space="0" w:color="auto"/>
      </w:divBdr>
    </w:div>
    <w:div w:id="861767">
      <w:bodyDiv w:val="1"/>
      <w:marLeft w:val="0"/>
      <w:marRight w:val="0"/>
      <w:marTop w:val="0"/>
      <w:marBottom w:val="0"/>
      <w:divBdr>
        <w:top w:val="none" w:sz="0" w:space="0" w:color="auto"/>
        <w:left w:val="none" w:sz="0" w:space="0" w:color="auto"/>
        <w:bottom w:val="none" w:sz="0" w:space="0" w:color="auto"/>
        <w:right w:val="none" w:sz="0" w:space="0" w:color="auto"/>
      </w:divBdr>
    </w:div>
    <w:div w:id="1008716">
      <w:bodyDiv w:val="1"/>
      <w:marLeft w:val="0"/>
      <w:marRight w:val="0"/>
      <w:marTop w:val="0"/>
      <w:marBottom w:val="0"/>
      <w:divBdr>
        <w:top w:val="none" w:sz="0" w:space="0" w:color="auto"/>
        <w:left w:val="none" w:sz="0" w:space="0" w:color="auto"/>
        <w:bottom w:val="none" w:sz="0" w:space="0" w:color="auto"/>
        <w:right w:val="none" w:sz="0" w:space="0" w:color="auto"/>
      </w:divBdr>
    </w:div>
    <w:div w:id="1050115">
      <w:bodyDiv w:val="1"/>
      <w:marLeft w:val="0"/>
      <w:marRight w:val="0"/>
      <w:marTop w:val="0"/>
      <w:marBottom w:val="0"/>
      <w:divBdr>
        <w:top w:val="none" w:sz="0" w:space="0" w:color="auto"/>
        <w:left w:val="none" w:sz="0" w:space="0" w:color="auto"/>
        <w:bottom w:val="none" w:sz="0" w:space="0" w:color="auto"/>
        <w:right w:val="none" w:sz="0" w:space="0" w:color="auto"/>
      </w:divBdr>
    </w:div>
    <w:div w:id="1050315">
      <w:bodyDiv w:val="1"/>
      <w:marLeft w:val="0"/>
      <w:marRight w:val="0"/>
      <w:marTop w:val="0"/>
      <w:marBottom w:val="0"/>
      <w:divBdr>
        <w:top w:val="none" w:sz="0" w:space="0" w:color="auto"/>
        <w:left w:val="none" w:sz="0" w:space="0" w:color="auto"/>
        <w:bottom w:val="none" w:sz="0" w:space="0" w:color="auto"/>
        <w:right w:val="none" w:sz="0" w:space="0" w:color="auto"/>
      </w:divBdr>
    </w:div>
    <w:div w:id="1052340">
      <w:bodyDiv w:val="1"/>
      <w:marLeft w:val="0"/>
      <w:marRight w:val="0"/>
      <w:marTop w:val="0"/>
      <w:marBottom w:val="0"/>
      <w:divBdr>
        <w:top w:val="none" w:sz="0" w:space="0" w:color="auto"/>
        <w:left w:val="none" w:sz="0" w:space="0" w:color="auto"/>
        <w:bottom w:val="none" w:sz="0" w:space="0" w:color="auto"/>
        <w:right w:val="none" w:sz="0" w:space="0" w:color="auto"/>
      </w:divBdr>
    </w:div>
    <w:div w:id="1058553">
      <w:bodyDiv w:val="1"/>
      <w:marLeft w:val="0"/>
      <w:marRight w:val="0"/>
      <w:marTop w:val="0"/>
      <w:marBottom w:val="0"/>
      <w:divBdr>
        <w:top w:val="none" w:sz="0" w:space="0" w:color="auto"/>
        <w:left w:val="none" w:sz="0" w:space="0" w:color="auto"/>
        <w:bottom w:val="none" w:sz="0" w:space="0" w:color="auto"/>
        <w:right w:val="none" w:sz="0" w:space="0" w:color="auto"/>
      </w:divBdr>
    </w:div>
    <w:div w:id="1131295">
      <w:bodyDiv w:val="1"/>
      <w:marLeft w:val="0"/>
      <w:marRight w:val="0"/>
      <w:marTop w:val="0"/>
      <w:marBottom w:val="0"/>
      <w:divBdr>
        <w:top w:val="none" w:sz="0" w:space="0" w:color="auto"/>
        <w:left w:val="none" w:sz="0" w:space="0" w:color="auto"/>
        <w:bottom w:val="none" w:sz="0" w:space="0" w:color="auto"/>
        <w:right w:val="none" w:sz="0" w:space="0" w:color="auto"/>
      </w:divBdr>
    </w:div>
    <w:div w:id="1317727">
      <w:bodyDiv w:val="1"/>
      <w:marLeft w:val="0"/>
      <w:marRight w:val="0"/>
      <w:marTop w:val="0"/>
      <w:marBottom w:val="0"/>
      <w:divBdr>
        <w:top w:val="none" w:sz="0" w:space="0" w:color="auto"/>
        <w:left w:val="none" w:sz="0" w:space="0" w:color="auto"/>
        <w:bottom w:val="none" w:sz="0" w:space="0" w:color="auto"/>
        <w:right w:val="none" w:sz="0" w:space="0" w:color="auto"/>
      </w:divBdr>
    </w:div>
    <w:div w:id="1514111">
      <w:bodyDiv w:val="1"/>
      <w:marLeft w:val="0"/>
      <w:marRight w:val="0"/>
      <w:marTop w:val="0"/>
      <w:marBottom w:val="0"/>
      <w:divBdr>
        <w:top w:val="none" w:sz="0" w:space="0" w:color="auto"/>
        <w:left w:val="none" w:sz="0" w:space="0" w:color="auto"/>
        <w:bottom w:val="none" w:sz="0" w:space="0" w:color="auto"/>
        <w:right w:val="none" w:sz="0" w:space="0" w:color="auto"/>
      </w:divBdr>
    </w:div>
    <w:div w:id="1514907">
      <w:bodyDiv w:val="1"/>
      <w:marLeft w:val="0"/>
      <w:marRight w:val="0"/>
      <w:marTop w:val="0"/>
      <w:marBottom w:val="0"/>
      <w:divBdr>
        <w:top w:val="none" w:sz="0" w:space="0" w:color="auto"/>
        <w:left w:val="none" w:sz="0" w:space="0" w:color="auto"/>
        <w:bottom w:val="none" w:sz="0" w:space="0" w:color="auto"/>
        <w:right w:val="none" w:sz="0" w:space="0" w:color="auto"/>
      </w:divBdr>
    </w:div>
    <w:div w:id="1594859">
      <w:bodyDiv w:val="1"/>
      <w:marLeft w:val="0"/>
      <w:marRight w:val="0"/>
      <w:marTop w:val="0"/>
      <w:marBottom w:val="0"/>
      <w:divBdr>
        <w:top w:val="none" w:sz="0" w:space="0" w:color="auto"/>
        <w:left w:val="none" w:sz="0" w:space="0" w:color="auto"/>
        <w:bottom w:val="none" w:sz="0" w:space="0" w:color="auto"/>
        <w:right w:val="none" w:sz="0" w:space="0" w:color="auto"/>
      </w:divBdr>
    </w:div>
    <w:div w:id="1860464">
      <w:bodyDiv w:val="1"/>
      <w:marLeft w:val="0"/>
      <w:marRight w:val="0"/>
      <w:marTop w:val="0"/>
      <w:marBottom w:val="0"/>
      <w:divBdr>
        <w:top w:val="none" w:sz="0" w:space="0" w:color="auto"/>
        <w:left w:val="none" w:sz="0" w:space="0" w:color="auto"/>
        <w:bottom w:val="none" w:sz="0" w:space="0" w:color="auto"/>
        <w:right w:val="none" w:sz="0" w:space="0" w:color="auto"/>
      </w:divBdr>
    </w:div>
    <w:div w:id="1973493">
      <w:bodyDiv w:val="1"/>
      <w:marLeft w:val="0"/>
      <w:marRight w:val="0"/>
      <w:marTop w:val="0"/>
      <w:marBottom w:val="0"/>
      <w:divBdr>
        <w:top w:val="none" w:sz="0" w:space="0" w:color="auto"/>
        <w:left w:val="none" w:sz="0" w:space="0" w:color="auto"/>
        <w:bottom w:val="none" w:sz="0" w:space="0" w:color="auto"/>
        <w:right w:val="none" w:sz="0" w:space="0" w:color="auto"/>
      </w:divBdr>
    </w:div>
    <w:div w:id="1976294">
      <w:bodyDiv w:val="1"/>
      <w:marLeft w:val="0"/>
      <w:marRight w:val="0"/>
      <w:marTop w:val="0"/>
      <w:marBottom w:val="0"/>
      <w:divBdr>
        <w:top w:val="none" w:sz="0" w:space="0" w:color="auto"/>
        <w:left w:val="none" w:sz="0" w:space="0" w:color="auto"/>
        <w:bottom w:val="none" w:sz="0" w:space="0" w:color="auto"/>
        <w:right w:val="none" w:sz="0" w:space="0" w:color="auto"/>
      </w:divBdr>
    </w:div>
    <w:div w:id="2516162">
      <w:bodyDiv w:val="1"/>
      <w:marLeft w:val="0"/>
      <w:marRight w:val="0"/>
      <w:marTop w:val="0"/>
      <w:marBottom w:val="0"/>
      <w:divBdr>
        <w:top w:val="none" w:sz="0" w:space="0" w:color="auto"/>
        <w:left w:val="none" w:sz="0" w:space="0" w:color="auto"/>
        <w:bottom w:val="none" w:sz="0" w:space="0" w:color="auto"/>
        <w:right w:val="none" w:sz="0" w:space="0" w:color="auto"/>
      </w:divBdr>
    </w:div>
    <w:div w:id="2631718">
      <w:bodyDiv w:val="1"/>
      <w:marLeft w:val="0"/>
      <w:marRight w:val="0"/>
      <w:marTop w:val="0"/>
      <w:marBottom w:val="0"/>
      <w:divBdr>
        <w:top w:val="none" w:sz="0" w:space="0" w:color="auto"/>
        <w:left w:val="none" w:sz="0" w:space="0" w:color="auto"/>
        <w:bottom w:val="none" w:sz="0" w:space="0" w:color="auto"/>
        <w:right w:val="none" w:sz="0" w:space="0" w:color="auto"/>
      </w:divBdr>
    </w:div>
    <w:div w:id="2637673">
      <w:bodyDiv w:val="1"/>
      <w:marLeft w:val="0"/>
      <w:marRight w:val="0"/>
      <w:marTop w:val="0"/>
      <w:marBottom w:val="0"/>
      <w:divBdr>
        <w:top w:val="none" w:sz="0" w:space="0" w:color="auto"/>
        <w:left w:val="none" w:sz="0" w:space="0" w:color="auto"/>
        <w:bottom w:val="none" w:sz="0" w:space="0" w:color="auto"/>
        <w:right w:val="none" w:sz="0" w:space="0" w:color="auto"/>
      </w:divBdr>
    </w:div>
    <w:div w:id="2780988">
      <w:bodyDiv w:val="1"/>
      <w:marLeft w:val="0"/>
      <w:marRight w:val="0"/>
      <w:marTop w:val="0"/>
      <w:marBottom w:val="0"/>
      <w:divBdr>
        <w:top w:val="none" w:sz="0" w:space="0" w:color="auto"/>
        <w:left w:val="none" w:sz="0" w:space="0" w:color="auto"/>
        <w:bottom w:val="none" w:sz="0" w:space="0" w:color="auto"/>
        <w:right w:val="none" w:sz="0" w:space="0" w:color="auto"/>
      </w:divBdr>
    </w:div>
    <w:div w:id="2822642">
      <w:bodyDiv w:val="1"/>
      <w:marLeft w:val="0"/>
      <w:marRight w:val="0"/>
      <w:marTop w:val="0"/>
      <w:marBottom w:val="0"/>
      <w:divBdr>
        <w:top w:val="none" w:sz="0" w:space="0" w:color="auto"/>
        <w:left w:val="none" w:sz="0" w:space="0" w:color="auto"/>
        <w:bottom w:val="none" w:sz="0" w:space="0" w:color="auto"/>
        <w:right w:val="none" w:sz="0" w:space="0" w:color="auto"/>
      </w:divBdr>
    </w:div>
    <w:div w:id="3090617">
      <w:bodyDiv w:val="1"/>
      <w:marLeft w:val="0"/>
      <w:marRight w:val="0"/>
      <w:marTop w:val="0"/>
      <w:marBottom w:val="0"/>
      <w:divBdr>
        <w:top w:val="none" w:sz="0" w:space="0" w:color="auto"/>
        <w:left w:val="none" w:sz="0" w:space="0" w:color="auto"/>
        <w:bottom w:val="none" w:sz="0" w:space="0" w:color="auto"/>
        <w:right w:val="none" w:sz="0" w:space="0" w:color="auto"/>
      </w:divBdr>
    </w:div>
    <w:div w:id="3097918">
      <w:bodyDiv w:val="1"/>
      <w:marLeft w:val="0"/>
      <w:marRight w:val="0"/>
      <w:marTop w:val="0"/>
      <w:marBottom w:val="0"/>
      <w:divBdr>
        <w:top w:val="none" w:sz="0" w:space="0" w:color="auto"/>
        <w:left w:val="none" w:sz="0" w:space="0" w:color="auto"/>
        <w:bottom w:val="none" w:sz="0" w:space="0" w:color="auto"/>
        <w:right w:val="none" w:sz="0" w:space="0" w:color="auto"/>
      </w:divBdr>
    </w:div>
    <w:div w:id="3166908">
      <w:bodyDiv w:val="1"/>
      <w:marLeft w:val="0"/>
      <w:marRight w:val="0"/>
      <w:marTop w:val="0"/>
      <w:marBottom w:val="0"/>
      <w:divBdr>
        <w:top w:val="none" w:sz="0" w:space="0" w:color="auto"/>
        <w:left w:val="none" w:sz="0" w:space="0" w:color="auto"/>
        <w:bottom w:val="none" w:sz="0" w:space="0" w:color="auto"/>
        <w:right w:val="none" w:sz="0" w:space="0" w:color="auto"/>
      </w:divBdr>
    </w:div>
    <w:div w:id="3216550">
      <w:bodyDiv w:val="1"/>
      <w:marLeft w:val="0"/>
      <w:marRight w:val="0"/>
      <w:marTop w:val="0"/>
      <w:marBottom w:val="0"/>
      <w:divBdr>
        <w:top w:val="none" w:sz="0" w:space="0" w:color="auto"/>
        <w:left w:val="none" w:sz="0" w:space="0" w:color="auto"/>
        <w:bottom w:val="none" w:sz="0" w:space="0" w:color="auto"/>
        <w:right w:val="none" w:sz="0" w:space="0" w:color="auto"/>
      </w:divBdr>
    </w:div>
    <w:div w:id="3241160">
      <w:bodyDiv w:val="1"/>
      <w:marLeft w:val="0"/>
      <w:marRight w:val="0"/>
      <w:marTop w:val="0"/>
      <w:marBottom w:val="0"/>
      <w:divBdr>
        <w:top w:val="none" w:sz="0" w:space="0" w:color="auto"/>
        <w:left w:val="none" w:sz="0" w:space="0" w:color="auto"/>
        <w:bottom w:val="none" w:sz="0" w:space="0" w:color="auto"/>
        <w:right w:val="none" w:sz="0" w:space="0" w:color="auto"/>
      </w:divBdr>
    </w:div>
    <w:div w:id="3288083">
      <w:bodyDiv w:val="1"/>
      <w:marLeft w:val="0"/>
      <w:marRight w:val="0"/>
      <w:marTop w:val="0"/>
      <w:marBottom w:val="0"/>
      <w:divBdr>
        <w:top w:val="none" w:sz="0" w:space="0" w:color="auto"/>
        <w:left w:val="none" w:sz="0" w:space="0" w:color="auto"/>
        <w:bottom w:val="none" w:sz="0" w:space="0" w:color="auto"/>
        <w:right w:val="none" w:sz="0" w:space="0" w:color="auto"/>
      </w:divBdr>
    </w:div>
    <w:div w:id="3482929">
      <w:bodyDiv w:val="1"/>
      <w:marLeft w:val="0"/>
      <w:marRight w:val="0"/>
      <w:marTop w:val="0"/>
      <w:marBottom w:val="0"/>
      <w:divBdr>
        <w:top w:val="none" w:sz="0" w:space="0" w:color="auto"/>
        <w:left w:val="none" w:sz="0" w:space="0" w:color="auto"/>
        <w:bottom w:val="none" w:sz="0" w:space="0" w:color="auto"/>
        <w:right w:val="none" w:sz="0" w:space="0" w:color="auto"/>
      </w:divBdr>
    </w:div>
    <w:div w:id="3555793">
      <w:bodyDiv w:val="1"/>
      <w:marLeft w:val="0"/>
      <w:marRight w:val="0"/>
      <w:marTop w:val="0"/>
      <w:marBottom w:val="0"/>
      <w:divBdr>
        <w:top w:val="none" w:sz="0" w:space="0" w:color="auto"/>
        <w:left w:val="none" w:sz="0" w:space="0" w:color="auto"/>
        <w:bottom w:val="none" w:sz="0" w:space="0" w:color="auto"/>
        <w:right w:val="none" w:sz="0" w:space="0" w:color="auto"/>
      </w:divBdr>
    </w:div>
    <w:div w:id="3748837">
      <w:bodyDiv w:val="1"/>
      <w:marLeft w:val="0"/>
      <w:marRight w:val="0"/>
      <w:marTop w:val="0"/>
      <w:marBottom w:val="0"/>
      <w:divBdr>
        <w:top w:val="none" w:sz="0" w:space="0" w:color="auto"/>
        <w:left w:val="none" w:sz="0" w:space="0" w:color="auto"/>
        <w:bottom w:val="none" w:sz="0" w:space="0" w:color="auto"/>
        <w:right w:val="none" w:sz="0" w:space="0" w:color="auto"/>
      </w:divBdr>
    </w:div>
    <w:div w:id="3829242">
      <w:bodyDiv w:val="1"/>
      <w:marLeft w:val="0"/>
      <w:marRight w:val="0"/>
      <w:marTop w:val="0"/>
      <w:marBottom w:val="0"/>
      <w:divBdr>
        <w:top w:val="none" w:sz="0" w:space="0" w:color="auto"/>
        <w:left w:val="none" w:sz="0" w:space="0" w:color="auto"/>
        <w:bottom w:val="none" w:sz="0" w:space="0" w:color="auto"/>
        <w:right w:val="none" w:sz="0" w:space="0" w:color="auto"/>
      </w:divBdr>
    </w:div>
    <w:div w:id="3867579">
      <w:bodyDiv w:val="1"/>
      <w:marLeft w:val="0"/>
      <w:marRight w:val="0"/>
      <w:marTop w:val="0"/>
      <w:marBottom w:val="0"/>
      <w:divBdr>
        <w:top w:val="none" w:sz="0" w:space="0" w:color="auto"/>
        <w:left w:val="none" w:sz="0" w:space="0" w:color="auto"/>
        <w:bottom w:val="none" w:sz="0" w:space="0" w:color="auto"/>
        <w:right w:val="none" w:sz="0" w:space="0" w:color="auto"/>
      </w:divBdr>
    </w:div>
    <w:div w:id="3944207">
      <w:bodyDiv w:val="1"/>
      <w:marLeft w:val="0"/>
      <w:marRight w:val="0"/>
      <w:marTop w:val="0"/>
      <w:marBottom w:val="0"/>
      <w:divBdr>
        <w:top w:val="none" w:sz="0" w:space="0" w:color="auto"/>
        <w:left w:val="none" w:sz="0" w:space="0" w:color="auto"/>
        <w:bottom w:val="none" w:sz="0" w:space="0" w:color="auto"/>
        <w:right w:val="none" w:sz="0" w:space="0" w:color="auto"/>
      </w:divBdr>
    </w:div>
    <w:div w:id="4334370">
      <w:bodyDiv w:val="1"/>
      <w:marLeft w:val="0"/>
      <w:marRight w:val="0"/>
      <w:marTop w:val="0"/>
      <w:marBottom w:val="0"/>
      <w:divBdr>
        <w:top w:val="none" w:sz="0" w:space="0" w:color="auto"/>
        <w:left w:val="none" w:sz="0" w:space="0" w:color="auto"/>
        <w:bottom w:val="none" w:sz="0" w:space="0" w:color="auto"/>
        <w:right w:val="none" w:sz="0" w:space="0" w:color="auto"/>
      </w:divBdr>
    </w:div>
    <w:div w:id="4476476">
      <w:bodyDiv w:val="1"/>
      <w:marLeft w:val="0"/>
      <w:marRight w:val="0"/>
      <w:marTop w:val="0"/>
      <w:marBottom w:val="0"/>
      <w:divBdr>
        <w:top w:val="none" w:sz="0" w:space="0" w:color="auto"/>
        <w:left w:val="none" w:sz="0" w:space="0" w:color="auto"/>
        <w:bottom w:val="none" w:sz="0" w:space="0" w:color="auto"/>
        <w:right w:val="none" w:sz="0" w:space="0" w:color="auto"/>
      </w:divBdr>
    </w:div>
    <w:div w:id="4677242">
      <w:bodyDiv w:val="1"/>
      <w:marLeft w:val="0"/>
      <w:marRight w:val="0"/>
      <w:marTop w:val="0"/>
      <w:marBottom w:val="0"/>
      <w:divBdr>
        <w:top w:val="none" w:sz="0" w:space="0" w:color="auto"/>
        <w:left w:val="none" w:sz="0" w:space="0" w:color="auto"/>
        <w:bottom w:val="none" w:sz="0" w:space="0" w:color="auto"/>
        <w:right w:val="none" w:sz="0" w:space="0" w:color="auto"/>
      </w:divBdr>
    </w:div>
    <w:div w:id="4719635">
      <w:bodyDiv w:val="1"/>
      <w:marLeft w:val="0"/>
      <w:marRight w:val="0"/>
      <w:marTop w:val="0"/>
      <w:marBottom w:val="0"/>
      <w:divBdr>
        <w:top w:val="none" w:sz="0" w:space="0" w:color="auto"/>
        <w:left w:val="none" w:sz="0" w:space="0" w:color="auto"/>
        <w:bottom w:val="none" w:sz="0" w:space="0" w:color="auto"/>
        <w:right w:val="none" w:sz="0" w:space="0" w:color="auto"/>
      </w:divBdr>
    </w:div>
    <w:div w:id="4790421">
      <w:bodyDiv w:val="1"/>
      <w:marLeft w:val="0"/>
      <w:marRight w:val="0"/>
      <w:marTop w:val="0"/>
      <w:marBottom w:val="0"/>
      <w:divBdr>
        <w:top w:val="none" w:sz="0" w:space="0" w:color="auto"/>
        <w:left w:val="none" w:sz="0" w:space="0" w:color="auto"/>
        <w:bottom w:val="none" w:sz="0" w:space="0" w:color="auto"/>
        <w:right w:val="none" w:sz="0" w:space="0" w:color="auto"/>
      </w:divBdr>
    </w:div>
    <w:div w:id="4943064">
      <w:bodyDiv w:val="1"/>
      <w:marLeft w:val="0"/>
      <w:marRight w:val="0"/>
      <w:marTop w:val="0"/>
      <w:marBottom w:val="0"/>
      <w:divBdr>
        <w:top w:val="none" w:sz="0" w:space="0" w:color="auto"/>
        <w:left w:val="none" w:sz="0" w:space="0" w:color="auto"/>
        <w:bottom w:val="none" w:sz="0" w:space="0" w:color="auto"/>
        <w:right w:val="none" w:sz="0" w:space="0" w:color="auto"/>
      </w:divBdr>
    </w:div>
    <w:div w:id="4983755">
      <w:bodyDiv w:val="1"/>
      <w:marLeft w:val="0"/>
      <w:marRight w:val="0"/>
      <w:marTop w:val="0"/>
      <w:marBottom w:val="0"/>
      <w:divBdr>
        <w:top w:val="none" w:sz="0" w:space="0" w:color="auto"/>
        <w:left w:val="none" w:sz="0" w:space="0" w:color="auto"/>
        <w:bottom w:val="none" w:sz="0" w:space="0" w:color="auto"/>
        <w:right w:val="none" w:sz="0" w:space="0" w:color="auto"/>
      </w:divBdr>
    </w:div>
    <w:div w:id="4990176">
      <w:bodyDiv w:val="1"/>
      <w:marLeft w:val="0"/>
      <w:marRight w:val="0"/>
      <w:marTop w:val="0"/>
      <w:marBottom w:val="0"/>
      <w:divBdr>
        <w:top w:val="none" w:sz="0" w:space="0" w:color="auto"/>
        <w:left w:val="none" w:sz="0" w:space="0" w:color="auto"/>
        <w:bottom w:val="none" w:sz="0" w:space="0" w:color="auto"/>
        <w:right w:val="none" w:sz="0" w:space="0" w:color="auto"/>
      </w:divBdr>
    </w:div>
    <w:div w:id="5135853">
      <w:bodyDiv w:val="1"/>
      <w:marLeft w:val="0"/>
      <w:marRight w:val="0"/>
      <w:marTop w:val="0"/>
      <w:marBottom w:val="0"/>
      <w:divBdr>
        <w:top w:val="none" w:sz="0" w:space="0" w:color="auto"/>
        <w:left w:val="none" w:sz="0" w:space="0" w:color="auto"/>
        <w:bottom w:val="none" w:sz="0" w:space="0" w:color="auto"/>
        <w:right w:val="none" w:sz="0" w:space="0" w:color="auto"/>
      </w:divBdr>
    </w:div>
    <w:div w:id="5255492">
      <w:bodyDiv w:val="1"/>
      <w:marLeft w:val="0"/>
      <w:marRight w:val="0"/>
      <w:marTop w:val="0"/>
      <w:marBottom w:val="0"/>
      <w:divBdr>
        <w:top w:val="none" w:sz="0" w:space="0" w:color="auto"/>
        <w:left w:val="none" w:sz="0" w:space="0" w:color="auto"/>
        <w:bottom w:val="none" w:sz="0" w:space="0" w:color="auto"/>
        <w:right w:val="none" w:sz="0" w:space="0" w:color="auto"/>
      </w:divBdr>
    </w:div>
    <w:div w:id="5256702">
      <w:bodyDiv w:val="1"/>
      <w:marLeft w:val="0"/>
      <w:marRight w:val="0"/>
      <w:marTop w:val="0"/>
      <w:marBottom w:val="0"/>
      <w:divBdr>
        <w:top w:val="none" w:sz="0" w:space="0" w:color="auto"/>
        <w:left w:val="none" w:sz="0" w:space="0" w:color="auto"/>
        <w:bottom w:val="none" w:sz="0" w:space="0" w:color="auto"/>
        <w:right w:val="none" w:sz="0" w:space="0" w:color="auto"/>
      </w:divBdr>
    </w:div>
    <w:div w:id="5330637">
      <w:bodyDiv w:val="1"/>
      <w:marLeft w:val="0"/>
      <w:marRight w:val="0"/>
      <w:marTop w:val="0"/>
      <w:marBottom w:val="0"/>
      <w:divBdr>
        <w:top w:val="none" w:sz="0" w:space="0" w:color="auto"/>
        <w:left w:val="none" w:sz="0" w:space="0" w:color="auto"/>
        <w:bottom w:val="none" w:sz="0" w:space="0" w:color="auto"/>
        <w:right w:val="none" w:sz="0" w:space="0" w:color="auto"/>
      </w:divBdr>
    </w:div>
    <w:div w:id="5444451">
      <w:bodyDiv w:val="1"/>
      <w:marLeft w:val="0"/>
      <w:marRight w:val="0"/>
      <w:marTop w:val="0"/>
      <w:marBottom w:val="0"/>
      <w:divBdr>
        <w:top w:val="none" w:sz="0" w:space="0" w:color="auto"/>
        <w:left w:val="none" w:sz="0" w:space="0" w:color="auto"/>
        <w:bottom w:val="none" w:sz="0" w:space="0" w:color="auto"/>
        <w:right w:val="none" w:sz="0" w:space="0" w:color="auto"/>
      </w:divBdr>
    </w:div>
    <w:div w:id="5518629">
      <w:bodyDiv w:val="1"/>
      <w:marLeft w:val="0"/>
      <w:marRight w:val="0"/>
      <w:marTop w:val="0"/>
      <w:marBottom w:val="0"/>
      <w:divBdr>
        <w:top w:val="none" w:sz="0" w:space="0" w:color="auto"/>
        <w:left w:val="none" w:sz="0" w:space="0" w:color="auto"/>
        <w:bottom w:val="none" w:sz="0" w:space="0" w:color="auto"/>
        <w:right w:val="none" w:sz="0" w:space="0" w:color="auto"/>
      </w:divBdr>
    </w:div>
    <w:div w:id="5520427">
      <w:bodyDiv w:val="1"/>
      <w:marLeft w:val="0"/>
      <w:marRight w:val="0"/>
      <w:marTop w:val="0"/>
      <w:marBottom w:val="0"/>
      <w:divBdr>
        <w:top w:val="none" w:sz="0" w:space="0" w:color="auto"/>
        <w:left w:val="none" w:sz="0" w:space="0" w:color="auto"/>
        <w:bottom w:val="none" w:sz="0" w:space="0" w:color="auto"/>
        <w:right w:val="none" w:sz="0" w:space="0" w:color="auto"/>
      </w:divBdr>
    </w:div>
    <w:div w:id="5523930">
      <w:bodyDiv w:val="1"/>
      <w:marLeft w:val="0"/>
      <w:marRight w:val="0"/>
      <w:marTop w:val="0"/>
      <w:marBottom w:val="0"/>
      <w:divBdr>
        <w:top w:val="none" w:sz="0" w:space="0" w:color="auto"/>
        <w:left w:val="none" w:sz="0" w:space="0" w:color="auto"/>
        <w:bottom w:val="none" w:sz="0" w:space="0" w:color="auto"/>
        <w:right w:val="none" w:sz="0" w:space="0" w:color="auto"/>
      </w:divBdr>
    </w:div>
    <w:div w:id="6099291">
      <w:bodyDiv w:val="1"/>
      <w:marLeft w:val="0"/>
      <w:marRight w:val="0"/>
      <w:marTop w:val="0"/>
      <w:marBottom w:val="0"/>
      <w:divBdr>
        <w:top w:val="none" w:sz="0" w:space="0" w:color="auto"/>
        <w:left w:val="none" w:sz="0" w:space="0" w:color="auto"/>
        <w:bottom w:val="none" w:sz="0" w:space="0" w:color="auto"/>
        <w:right w:val="none" w:sz="0" w:space="0" w:color="auto"/>
      </w:divBdr>
    </w:div>
    <w:div w:id="6178534">
      <w:bodyDiv w:val="1"/>
      <w:marLeft w:val="0"/>
      <w:marRight w:val="0"/>
      <w:marTop w:val="0"/>
      <w:marBottom w:val="0"/>
      <w:divBdr>
        <w:top w:val="none" w:sz="0" w:space="0" w:color="auto"/>
        <w:left w:val="none" w:sz="0" w:space="0" w:color="auto"/>
        <w:bottom w:val="none" w:sz="0" w:space="0" w:color="auto"/>
        <w:right w:val="none" w:sz="0" w:space="0" w:color="auto"/>
      </w:divBdr>
    </w:div>
    <w:div w:id="6293533">
      <w:bodyDiv w:val="1"/>
      <w:marLeft w:val="0"/>
      <w:marRight w:val="0"/>
      <w:marTop w:val="0"/>
      <w:marBottom w:val="0"/>
      <w:divBdr>
        <w:top w:val="none" w:sz="0" w:space="0" w:color="auto"/>
        <w:left w:val="none" w:sz="0" w:space="0" w:color="auto"/>
        <w:bottom w:val="none" w:sz="0" w:space="0" w:color="auto"/>
        <w:right w:val="none" w:sz="0" w:space="0" w:color="auto"/>
      </w:divBdr>
    </w:div>
    <w:div w:id="6442464">
      <w:bodyDiv w:val="1"/>
      <w:marLeft w:val="0"/>
      <w:marRight w:val="0"/>
      <w:marTop w:val="0"/>
      <w:marBottom w:val="0"/>
      <w:divBdr>
        <w:top w:val="none" w:sz="0" w:space="0" w:color="auto"/>
        <w:left w:val="none" w:sz="0" w:space="0" w:color="auto"/>
        <w:bottom w:val="none" w:sz="0" w:space="0" w:color="auto"/>
        <w:right w:val="none" w:sz="0" w:space="0" w:color="auto"/>
      </w:divBdr>
    </w:div>
    <w:div w:id="6450259">
      <w:bodyDiv w:val="1"/>
      <w:marLeft w:val="0"/>
      <w:marRight w:val="0"/>
      <w:marTop w:val="0"/>
      <w:marBottom w:val="0"/>
      <w:divBdr>
        <w:top w:val="none" w:sz="0" w:space="0" w:color="auto"/>
        <w:left w:val="none" w:sz="0" w:space="0" w:color="auto"/>
        <w:bottom w:val="none" w:sz="0" w:space="0" w:color="auto"/>
        <w:right w:val="none" w:sz="0" w:space="0" w:color="auto"/>
      </w:divBdr>
    </w:div>
    <w:div w:id="6519474">
      <w:bodyDiv w:val="1"/>
      <w:marLeft w:val="0"/>
      <w:marRight w:val="0"/>
      <w:marTop w:val="0"/>
      <w:marBottom w:val="0"/>
      <w:divBdr>
        <w:top w:val="none" w:sz="0" w:space="0" w:color="auto"/>
        <w:left w:val="none" w:sz="0" w:space="0" w:color="auto"/>
        <w:bottom w:val="none" w:sz="0" w:space="0" w:color="auto"/>
        <w:right w:val="none" w:sz="0" w:space="0" w:color="auto"/>
      </w:divBdr>
    </w:div>
    <w:div w:id="6519639">
      <w:bodyDiv w:val="1"/>
      <w:marLeft w:val="0"/>
      <w:marRight w:val="0"/>
      <w:marTop w:val="0"/>
      <w:marBottom w:val="0"/>
      <w:divBdr>
        <w:top w:val="none" w:sz="0" w:space="0" w:color="auto"/>
        <w:left w:val="none" w:sz="0" w:space="0" w:color="auto"/>
        <w:bottom w:val="none" w:sz="0" w:space="0" w:color="auto"/>
        <w:right w:val="none" w:sz="0" w:space="0" w:color="auto"/>
      </w:divBdr>
    </w:div>
    <w:div w:id="6562286">
      <w:bodyDiv w:val="1"/>
      <w:marLeft w:val="0"/>
      <w:marRight w:val="0"/>
      <w:marTop w:val="0"/>
      <w:marBottom w:val="0"/>
      <w:divBdr>
        <w:top w:val="none" w:sz="0" w:space="0" w:color="auto"/>
        <w:left w:val="none" w:sz="0" w:space="0" w:color="auto"/>
        <w:bottom w:val="none" w:sz="0" w:space="0" w:color="auto"/>
        <w:right w:val="none" w:sz="0" w:space="0" w:color="auto"/>
      </w:divBdr>
    </w:div>
    <w:div w:id="6563695">
      <w:bodyDiv w:val="1"/>
      <w:marLeft w:val="0"/>
      <w:marRight w:val="0"/>
      <w:marTop w:val="0"/>
      <w:marBottom w:val="0"/>
      <w:divBdr>
        <w:top w:val="none" w:sz="0" w:space="0" w:color="auto"/>
        <w:left w:val="none" w:sz="0" w:space="0" w:color="auto"/>
        <w:bottom w:val="none" w:sz="0" w:space="0" w:color="auto"/>
        <w:right w:val="none" w:sz="0" w:space="0" w:color="auto"/>
      </w:divBdr>
    </w:div>
    <w:div w:id="6637130">
      <w:bodyDiv w:val="1"/>
      <w:marLeft w:val="0"/>
      <w:marRight w:val="0"/>
      <w:marTop w:val="0"/>
      <w:marBottom w:val="0"/>
      <w:divBdr>
        <w:top w:val="none" w:sz="0" w:space="0" w:color="auto"/>
        <w:left w:val="none" w:sz="0" w:space="0" w:color="auto"/>
        <w:bottom w:val="none" w:sz="0" w:space="0" w:color="auto"/>
        <w:right w:val="none" w:sz="0" w:space="0" w:color="auto"/>
      </w:divBdr>
    </w:div>
    <w:div w:id="6759823">
      <w:bodyDiv w:val="1"/>
      <w:marLeft w:val="0"/>
      <w:marRight w:val="0"/>
      <w:marTop w:val="0"/>
      <w:marBottom w:val="0"/>
      <w:divBdr>
        <w:top w:val="none" w:sz="0" w:space="0" w:color="auto"/>
        <w:left w:val="none" w:sz="0" w:space="0" w:color="auto"/>
        <w:bottom w:val="none" w:sz="0" w:space="0" w:color="auto"/>
        <w:right w:val="none" w:sz="0" w:space="0" w:color="auto"/>
      </w:divBdr>
    </w:div>
    <w:div w:id="7023600">
      <w:bodyDiv w:val="1"/>
      <w:marLeft w:val="0"/>
      <w:marRight w:val="0"/>
      <w:marTop w:val="0"/>
      <w:marBottom w:val="0"/>
      <w:divBdr>
        <w:top w:val="none" w:sz="0" w:space="0" w:color="auto"/>
        <w:left w:val="none" w:sz="0" w:space="0" w:color="auto"/>
        <w:bottom w:val="none" w:sz="0" w:space="0" w:color="auto"/>
        <w:right w:val="none" w:sz="0" w:space="0" w:color="auto"/>
      </w:divBdr>
    </w:div>
    <w:div w:id="7175959">
      <w:bodyDiv w:val="1"/>
      <w:marLeft w:val="0"/>
      <w:marRight w:val="0"/>
      <w:marTop w:val="0"/>
      <w:marBottom w:val="0"/>
      <w:divBdr>
        <w:top w:val="none" w:sz="0" w:space="0" w:color="auto"/>
        <w:left w:val="none" w:sz="0" w:space="0" w:color="auto"/>
        <w:bottom w:val="none" w:sz="0" w:space="0" w:color="auto"/>
        <w:right w:val="none" w:sz="0" w:space="0" w:color="auto"/>
      </w:divBdr>
    </w:div>
    <w:div w:id="7290826">
      <w:bodyDiv w:val="1"/>
      <w:marLeft w:val="0"/>
      <w:marRight w:val="0"/>
      <w:marTop w:val="0"/>
      <w:marBottom w:val="0"/>
      <w:divBdr>
        <w:top w:val="none" w:sz="0" w:space="0" w:color="auto"/>
        <w:left w:val="none" w:sz="0" w:space="0" w:color="auto"/>
        <w:bottom w:val="none" w:sz="0" w:space="0" w:color="auto"/>
        <w:right w:val="none" w:sz="0" w:space="0" w:color="auto"/>
      </w:divBdr>
    </w:div>
    <w:div w:id="7298797">
      <w:bodyDiv w:val="1"/>
      <w:marLeft w:val="0"/>
      <w:marRight w:val="0"/>
      <w:marTop w:val="0"/>
      <w:marBottom w:val="0"/>
      <w:divBdr>
        <w:top w:val="none" w:sz="0" w:space="0" w:color="auto"/>
        <w:left w:val="none" w:sz="0" w:space="0" w:color="auto"/>
        <w:bottom w:val="none" w:sz="0" w:space="0" w:color="auto"/>
        <w:right w:val="none" w:sz="0" w:space="0" w:color="auto"/>
      </w:divBdr>
    </w:div>
    <w:div w:id="7491673">
      <w:bodyDiv w:val="1"/>
      <w:marLeft w:val="0"/>
      <w:marRight w:val="0"/>
      <w:marTop w:val="0"/>
      <w:marBottom w:val="0"/>
      <w:divBdr>
        <w:top w:val="none" w:sz="0" w:space="0" w:color="auto"/>
        <w:left w:val="none" w:sz="0" w:space="0" w:color="auto"/>
        <w:bottom w:val="none" w:sz="0" w:space="0" w:color="auto"/>
        <w:right w:val="none" w:sz="0" w:space="0" w:color="auto"/>
      </w:divBdr>
    </w:div>
    <w:div w:id="7761081">
      <w:bodyDiv w:val="1"/>
      <w:marLeft w:val="0"/>
      <w:marRight w:val="0"/>
      <w:marTop w:val="0"/>
      <w:marBottom w:val="0"/>
      <w:divBdr>
        <w:top w:val="none" w:sz="0" w:space="0" w:color="auto"/>
        <w:left w:val="none" w:sz="0" w:space="0" w:color="auto"/>
        <w:bottom w:val="none" w:sz="0" w:space="0" w:color="auto"/>
        <w:right w:val="none" w:sz="0" w:space="0" w:color="auto"/>
      </w:divBdr>
    </w:div>
    <w:div w:id="7829360">
      <w:bodyDiv w:val="1"/>
      <w:marLeft w:val="0"/>
      <w:marRight w:val="0"/>
      <w:marTop w:val="0"/>
      <w:marBottom w:val="0"/>
      <w:divBdr>
        <w:top w:val="none" w:sz="0" w:space="0" w:color="auto"/>
        <w:left w:val="none" w:sz="0" w:space="0" w:color="auto"/>
        <w:bottom w:val="none" w:sz="0" w:space="0" w:color="auto"/>
        <w:right w:val="none" w:sz="0" w:space="0" w:color="auto"/>
      </w:divBdr>
    </w:div>
    <w:div w:id="8025975">
      <w:bodyDiv w:val="1"/>
      <w:marLeft w:val="0"/>
      <w:marRight w:val="0"/>
      <w:marTop w:val="0"/>
      <w:marBottom w:val="0"/>
      <w:divBdr>
        <w:top w:val="none" w:sz="0" w:space="0" w:color="auto"/>
        <w:left w:val="none" w:sz="0" w:space="0" w:color="auto"/>
        <w:bottom w:val="none" w:sz="0" w:space="0" w:color="auto"/>
        <w:right w:val="none" w:sz="0" w:space="0" w:color="auto"/>
      </w:divBdr>
    </w:div>
    <w:div w:id="8143646">
      <w:bodyDiv w:val="1"/>
      <w:marLeft w:val="0"/>
      <w:marRight w:val="0"/>
      <w:marTop w:val="0"/>
      <w:marBottom w:val="0"/>
      <w:divBdr>
        <w:top w:val="none" w:sz="0" w:space="0" w:color="auto"/>
        <w:left w:val="none" w:sz="0" w:space="0" w:color="auto"/>
        <w:bottom w:val="none" w:sz="0" w:space="0" w:color="auto"/>
        <w:right w:val="none" w:sz="0" w:space="0" w:color="auto"/>
      </w:divBdr>
    </w:div>
    <w:div w:id="8219175">
      <w:bodyDiv w:val="1"/>
      <w:marLeft w:val="0"/>
      <w:marRight w:val="0"/>
      <w:marTop w:val="0"/>
      <w:marBottom w:val="0"/>
      <w:divBdr>
        <w:top w:val="none" w:sz="0" w:space="0" w:color="auto"/>
        <w:left w:val="none" w:sz="0" w:space="0" w:color="auto"/>
        <w:bottom w:val="none" w:sz="0" w:space="0" w:color="auto"/>
        <w:right w:val="none" w:sz="0" w:space="0" w:color="auto"/>
      </w:divBdr>
    </w:div>
    <w:div w:id="8260013">
      <w:bodyDiv w:val="1"/>
      <w:marLeft w:val="0"/>
      <w:marRight w:val="0"/>
      <w:marTop w:val="0"/>
      <w:marBottom w:val="0"/>
      <w:divBdr>
        <w:top w:val="none" w:sz="0" w:space="0" w:color="auto"/>
        <w:left w:val="none" w:sz="0" w:space="0" w:color="auto"/>
        <w:bottom w:val="none" w:sz="0" w:space="0" w:color="auto"/>
        <w:right w:val="none" w:sz="0" w:space="0" w:color="auto"/>
      </w:divBdr>
    </w:div>
    <w:div w:id="8341255">
      <w:bodyDiv w:val="1"/>
      <w:marLeft w:val="0"/>
      <w:marRight w:val="0"/>
      <w:marTop w:val="0"/>
      <w:marBottom w:val="0"/>
      <w:divBdr>
        <w:top w:val="none" w:sz="0" w:space="0" w:color="auto"/>
        <w:left w:val="none" w:sz="0" w:space="0" w:color="auto"/>
        <w:bottom w:val="none" w:sz="0" w:space="0" w:color="auto"/>
        <w:right w:val="none" w:sz="0" w:space="0" w:color="auto"/>
      </w:divBdr>
    </w:div>
    <w:div w:id="8719621">
      <w:bodyDiv w:val="1"/>
      <w:marLeft w:val="0"/>
      <w:marRight w:val="0"/>
      <w:marTop w:val="0"/>
      <w:marBottom w:val="0"/>
      <w:divBdr>
        <w:top w:val="none" w:sz="0" w:space="0" w:color="auto"/>
        <w:left w:val="none" w:sz="0" w:space="0" w:color="auto"/>
        <w:bottom w:val="none" w:sz="0" w:space="0" w:color="auto"/>
        <w:right w:val="none" w:sz="0" w:space="0" w:color="auto"/>
      </w:divBdr>
    </w:div>
    <w:div w:id="8799491">
      <w:bodyDiv w:val="1"/>
      <w:marLeft w:val="0"/>
      <w:marRight w:val="0"/>
      <w:marTop w:val="0"/>
      <w:marBottom w:val="0"/>
      <w:divBdr>
        <w:top w:val="none" w:sz="0" w:space="0" w:color="auto"/>
        <w:left w:val="none" w:sz="0" w:space="0" w:color="auto"/>
        <w:bottom w:val="none" w:sz="0" w:space="0" w:color="auto"/>
        <w:right w:val="none" w:sz="0" w:space="0" w:color="auto"/>
      </w:divBdr>
    </w:div>
    <w:div w:id="8871821">
      <w:bodyDiv w:val="1"/>
      <w:marLeft w:val="0"/>
      <w:marRight w:val="0"/>
      <w:marTop w:val="0"/>
      <w:marBottom w:val="0"/>
      <w:divBdr>
        <w:top w:val="none" w:sz="0" w:space="0" w:color="auto"/>
        <w:left w:val="none" w:sz="0" w:space="0" w:color="auto"/>
        <w:bottom w:val="none" w:sz="0" w:space="0" w:color="auto"/>
        <w:right w:val="none" w:sz="0" w:space="0" w:color="auto"/>
      </w:divBdr>
    </w:div>
    <w:div w:id="8918402">
      <w:bodyDiv w:val="1"/>
      <w:marLeft w:val="0"/>
      <w:marRight w:val="0"/>
      <w:marTop w:val="0"/>
      <w:marBottom w:val="0"/>
      <w:divBdr>
        <w:top w:val="none" w:sz="0" w:space="0" w:color="auto"/>
        <w:left w:val="none" w:sz="0" w:space="0" w:color="auto"/>
        <w:bottom w:val="none" w:sz="0" w:space="0" w:color="auto"/>
        <w:right w:val="none" w:sz="0" w:space="0" w:color="auto"/>
      </w:divBdr>
    </w:div>
    <w:div w:id="9064032">
      <w:bodyDiv w:val="1"/>
      <w:marLeft w:val="0"/>
      <w:marRight w:val="0"/>
      <w:marTop w:val="0"/>
      <w:marBottom w:val="0"/>
      <w:divBdr>
        <w:top w:val="none" w:sz="0" w:space="0" w:color="auto"/>
        <w:left w:val="none" w:sz="0" w:space="0" w:color="auto"/>
        <w:bottom w:val="none" w:sz="0" w:space="0" w:color="auto"/>
        <w:right w:val="none" w:sz="0" w:space="0" w:color="auto"/>
      </w:divBdr>
    </w:div>
    <w:div w:id="9064269">
      <w:bodyDiv w:val="1"/>
      <w:marLeft w:val="0"/>
      <w:marRight w:val="0"/>
      <w:marTop w:val="0"/>
      <w:marBottom w:val="0"/>
      <w:divBdr>
        <w:top w:val="none" w:sz="0" w:space="0" w:color="auto"/>
        <w:left w:val="none" w:sz="0" w:space="0" w:color="auto"/>
        <w:bottom w:val="none" w:sz="0" w:space="0" w:color="auto"/>
        <w:right w:val="none" w:sz="0" w:space="0" w:color="auto"/>
      </w:divBdr>
    </w:div>
    <w:div w:id="9064809">
      <w:bodyDiv w:val="1"/>
      <w:marLeft w:val="0"/>
      <w:marRight w:val="0"/>
      <w:marTop w:val="0"/>
      <w:marBottom w:val="0"/>
      <w:divBdr>
        <w:top w:val="none" w:sz="0" w:space="0" w:color="auto"/>
        <w:left w:val="none" w:sz="0" w:space="0" w:color="auto"/>
        <w:bottom w:val="none" w:sz="0" w:space="0" w:color="auto"/>
        <w:right w:val="none" w:sz="0" w:space="0" w:color="auto"/>
      </w:divBdr>
    </w:div>
    <w:div w:id="9454745">
      <w:bodyDiv w:val="1"/>
      <w:marLeft w:val="0"/>
      <w:marRight w:val="0"/>
      <w:marTop w:val="0"/>
      <w:marBottom w:val="0"/>
      <w:divBdr>
        <w:top w:val="none" w:sz="0" w:space="0" w:color="auto"/>
        <w:left w:val="none" w:sz="0" w:space="0" w:color="auto"/>
        <w:bottom w:val="none" w:sz="0" w:space="0" w:color="auto"/>
        <w:right w:val="none" w:sz="0" w:space="0" w:color="auto"/>
      </w:divBdr>
    </w:div>
    <w:div w:id="9530240">
      <w:bodyDiv w:val="1"/>
      <w:marLeft w:val="0"/>
      <w:marRight w:val="0"/>
      <w:marTop w:val="0"/>
      <w:marBottom w:val="0"/>
      <w:divBdr>
        <w:top w:val="none" w:sz="0" w:space="0" w:color="auto"/>
        <w:left w:val="none" w:sz="0" w:space="0" w:color="auto"/>
        <w:bottom w:val="none" w:sz="0" w:space="0" w:color="auto"/>
        <w:right w:val="none" w:sz="0" w:space="0" w:color="auto"/>
      </w:divBdr>
    </w:div>
    <w:div w:id="9718028">
      <w:bodyDiv w:val="1"/>
      <w:marLeft w:val="0"/>
      <w:marRight w:val="0"/>
      <w:marTop w:val="0"/>
      <w:marBottom w:val="0"/>
      <w:divBdr>
        <w:top w:val="none" w:sz="0" w:space="0" w:color="auto"/>
        <w:left w:val="none" w:sz="0" w:space="0" w:color="auto"/>
        <w:bottom w:val="none" w:sz="0" w:space="0" w:color="auto"/>
        <w:right w:val="none" w:sz="0" w:space="0" w:color="auto"/>
      </w:divBdr>
    </w:div>
    <w:div w:id="9765476">
      <w:bodyDiv w:val="1"/>
      <w:marLeft w:val="0"/>
      <w:marRight w:val="0"/>
      <w:marTop w:val="0"/>
      <w:marBottom w:val="0"/>
      <w:divBdr>
        <w:top w:val="none" w:sz="0" w:space="0" w:color="auto"/>
        <w:left w:val="none" w:sz="0" w:space="0" w:color="auto"/>
        <w:bottom w:val="none" w:sz="0" w:space="0" w:color="auto"/>
        <w:right w:val="none" w:sz="0" w:space="0" w:color="auto"/>
      </w:divBdr>
    </w:div>
    <w:div w:id="9769207">
      <w:bodyDiv w:val="1"/>
      <w:marLeft w:val="0"/>
      <w:marRight w:val="0"/>
      <w:marTop w:val="0"/>
      <w:marBottom w:val="0"/>
      <w:divBdr>
        <w:top w:val="none" w:sz="0" w:space="0" w:color="auto"/>
        <w:left w:val="none" w:sz="0" w:space="0" w:color="auto"/>
        <w:bottom w:val="none" w:sz="0" w:space="0" w:color="auto"/>
        <w:right w:val="none" w:sz="0" w:space="0" w:color="auto"/>
      </w:divBdr>
    </w:div>
    <w:div w:id="9794003">
      <w:bodyDiv w:val="1"/>
      <w:marLeft w:val="0"/>
      <w:marRight w:val="0"/>
      <w:marTop w:val="0"/>
      <w:marBottom w:val="0"/>
      <w:divBdr>
        <w:top w:val="none" w:sz="0" w:space="0" w:color="auto"/>
        <w:left w:val="none" w:sz="0" w:space="0" w:color="auto"/>
        <w:bottom w:val="none" w:sz="0" w:space="0" w:color="auto"/>
        <w:right w:val="none" w:sz="0" w:space="0" w:color="auto"/>
      </w:divBdr>
    </w:div>
    <w:div w:id="9912247">
      <w:bodyDiv w:val="1"/>
      <w:marLeft w:val="0"/>
      <w:marRight w:val="0"/>
      <w:marTop w:val="0"/>
      <w:marBottom w:val="0"/>
      <w:divBdr>
        <w:top w:val="none" w:sz="0" w:space="0" w:color="auto"/>
        <w:left w:val="none" w:sz="0" w:space="0" w:color="auto"/>
        <w:bottom w:val="none" w:sz="0" w:space="0" w:color="auto"/>
        <w:right w:val="none" w:sz="0" w:space="0" w:color="auto"/>
      </w:divBdr>
    </w:div>
    <w:div w:id="9992316">
      <w:bodyDiv w:val="1"/>
      <w:marLeft w:val="0"/>
      <w:marRight w:val="0"/>
      <w:marTop w:val="0"/>
      <w:marBottom w:val="0"/>
      <w:divBdr>
        <w:top w:val="none" w:sz="0" w:space="0" w:color="auto"/>
        <w:left w:val="none" w:sz="0" w:space="0" w:color="auto"/>
        <w:bottom w:val="none" w:sz="0" w:space="0" w:color="auto"/>
        <w:right w:val="none" w:sz="0" w:space="0" w:color="auto"/>
      </w:divBdr>
    </w:div>
    <w:div w:id="10030978">
      <w:bodyDiv w:val="1"/>
      <w:marLeft w:val="0"/>
      <w:marRight w:val="0"/>
      <w:marTop w:val="0"/>
      <w:marBottom w:val="0"/>
      <w:divBdr>
        <w:top w:val="none" w:sz="0" w:space="0" w:color="auto"/>
        <w:left w:val="none" w:sz="0" w:space="0" w:color="auto"/>
        <w:bottom w:val="none" w:sz="0" w:space="0" w:color="auto"/>
        <w:right w:val="none" w:sz="0" w:space="0" w:color="auto"/>
      </w:divBdr>
    </w:div>
    <w:div w:id="10183903">
      <w:bodyDiv w:val="1"/>
      <w:marLeft w:val="0"/>
      <w:marRight w:val="0"/>
      <w:marTop w:val="0"/>
      <w:marBottom w:val="0"/>
      <w:divBdr>
        <w:top w:val="none" w:sz="0" w:space="0" w:color="auto"/>
        <w:left w:val="none" w:sz="0" w:space="0" w:color="auto"/>
        <w:bottom w:val="none" w:sz="0" w:space="0" w:color="auto"/>
        <w:right w:val="none" w:sz="0" w:space="0" w:color="auto"/>
      </w:divBdr>
    </w:div>
    <w:div w:id="10188169">
      <w:bodyDiv w:val="1"/>
      <w:marLeft w:val="0"/>
      <w:marRight w:val="0"/>
      <w:marTop w:val="0"/>
      <w:marBottom w:val="0"/>
      <w:divBdr>
        <w:top w:val="none" w:sz="0" w:space="0" w:color="auto"/>
        <w:left w:val="none" w:sz="0" w:space="0" w:color="auto"/>
        <w:bottom w:val="none" w:sz="0" w:space="0" w:color="auto"/>
        <w:right w:val="none" w:sz="0" w:space="0" w:color="auto"/>
      </w:divBdr>
    </w:div>
    <w:div w:id="10224906">
      <w:bodyDiv w:val="1"/>
      <w:marLeft w:val="0"/>
      <w:marRight w:val="0"/>
      <w:marTop w:val="0"/>
      <w:marBottom w:val="0"/>
      <w:divBdr>
        <w:top w:val="none" w:sz="0" w:space="0" w:color="auto"/>
        <w:left w:val="none" w:sz="0" w:space="0" w:color="auto"/>
        <w:bottom w:val="none" w:sz="0" w:space="0" w:color="auto"/>
        <w:right w:val="none" w:sz="0" w:space="0" w:color="auto"/>
      </w:divBdr>
    </w:div>
    <w:div w:id="10376651">
      <w:bodyDiv w:val="1"/>
      <w:marLeft w:val="0"/>
      <w:marRight w:val="0"/>
      <w:marTop w:val="0"/>
      <w:marBottom w:val="0"/>
      <w:divBdr>
        <w:top w:val="none" w:sz="0" w:space="0" w:color="auto"/>
        <w:left w:val="none" w:sz="0" w:space="0" w:color="auto"/>
        <w:bottom w:val="none" w:sz="0" w:space="0" w:color="auto"/>
        <w:right w:val="none" w:sz="0" w:space="0" w:color="auto"/>
      </w:divBdr>
    </w:div>
    <w:div w:id="10494966">
      <w:bodyDiv w:val="1"/>
      <w:marLeft w:val="0"/>
      <w:marRight w:val="0"/>
      <w:marTop w:val="0"/>
      <w:marBottom w:val="0"/>
      <w:divBdr>
        <w:top w:val="none" w:sz="0" w:space="0" w:color="auto"/>
        <w:left w:val="none" w:sz="0" w:space="0" w:color="auto"/>
        <w:bottom w:val="none" w:sz="0" w:space="0" w:color="auto"/>
        <w:right w:val="none" w:sz="0" w:space="0" w:color="auto"/>
      </w:divBdr>
    </w:div>
    <w:div w:id="10643494">
      <w:bodyDiv w:val="1"/>
      <w:marLeft w:val="0"/>
      <w:marRight w:val="0"/>
      <w:marTop w:val="0"/>
      <w:marBottom w:val="0"/>
      <w:divBdr>
        <w:top w:val="none" w:sz="0" w:space="0" w:color="auto"/>
        <w:left w:val="none" w:sz="0" w:space="0" w:color="auto"/>
        <w:bottom w:val="none" w:sz="0" w:space="0" w:color="auto"/>
        <w:right w:val="none" w:sz="0" w:space="0" w:color="auto"/>
      </w:divBdr>
    </w:div>
    <w:div w:id="10880912">
      <w:bodyDiv w:val="1"/>
      <w:marLeft w:val="0"/>
      <w:marRight w:val="0"/>
      <w:marTop w:val="0"/>
      <w:marBottom w:val="0"/>
      <w:divBdr>
        <w:top w:val="none" w:sz="0" w:space="0" w:color="auto"/>
        <w:left w:val="none" w:sz="0" w:space="0" w:color="auto"/>
        <w:bottom w:val="none" w:sz="0" w:space="0" w:color="auto"/>
        <w:right w:val="none" w:sz="0" w:space="0" w:color="auto"/>
      </w:divBdr>
    </w:div>
    <w:div w:id="10883088">
      <w:bodyDiv w:val="1"/>
      <w:marLeft w:val="0"/>
      <w:marRight w:val="0"/>
      <w:marTop w:val="0"/>
      <w:marBottom w:val="0"/>
      <w:divBdr>
        <w:top w:val="none" w:sz="0" w:space="0" w:color="auto"/>
        <w:left w:val="none" w:sz="0" w:space="0" w:color="auto"/>
        <w:bottom w:val="none" w:sz="0" w:space="0" w:color="auto"/>
        <w:right w:val="none" w:sz="0" w:space="0" w:color="auto"/>
      </w:divBdr>
    </w:div>
    <w:div w:id="10961338">
      <w:bodyDiv w:val="1"/>
      <w:marLeft w:val="0"/>
      <w:marRight w:val="0"/>
      <w:marTop w:val="0"/>
      <w:marBottom w:val="0"/>
      <w:divBdr>
        <w:top w:val="none" w:sz="0" w:space="0" w:color="auto"/>
        <w:left w:val="none" w:sz="0" w:space="0" w:color="auto"/>
        <w:bottom w:val="none" w:sz="0" w:space="0" w:color="auto"/>
        <w:right w:val="none" w:sz="0" w:space="0" w:color="auto"/>
      </w:divBdr>
    </w:div>
    <w:div w:id="10961618">
      <w:bodyDiv w:val="1"/>
      <w:marLeft w:val="0"/>
      <w:marRight w:val="0"/>
      <w:marTop w:val="0"/>
      <w:marBottom w:val="0"/>
      <w:divBdr>
        <w:top w:val="none" w:sz="0" w:space="0" w:color="auto"/>
        <w:left w:val="none" w:sz="0" w:space="0" w:color="auto"/>
        <w:bottom w:val="none" w:sz="0" w:space="0" w:color="auto"/>
        <w:right w:val="none" w:sz="0" w:space="0" w:color="auto"/>
      </w:divBdr>
    </w:div>
    <w:div w:id="11035187">
      <w:bodyDiv w:val="1"/>
      <w:marLeft w:val="0"/>
      <w:marRight w:val="0"/>
      <w:marTop w:val="0"/>
      <w:marBottom w:val="0"/>
      <w:divBdr>
        <w:top w:val="none" w:sz="0" w:space="0" w:color="auto"/>
        <w:left w:val="none" w:sz="0" w:space="0" w:color="auto"/>
        <w:bottom w:val="none" w:sz="0" w:space="0" w:color="auto"/>
        <w:right w:val="none" w:sz="0" w:space="0" w:color="auto"/>
      </w:divBdr>
    </w:div>
    <w:div w:id="11297794">
      <w:bodyDiv w:val="1"/>
      <w:marLeft w:val="0"/>
      <w:marRight w:val="0"/>
      <w:marTop w:val="0"/>
      <w:marBottom w:val="0"/>
      <w:divBdr>
        <w:top w:val="none" w:sz="0" w:space="0" w:color="auto"/>
        <w:left w:val="none" w:sz="0" w:space="0" w:color="auto"/>
        <w:bottom w:val="none" w:sz="0" w:space="0" w:color="auto"/>
        <w:right w:val="none" w:sz="0" w:space="0" w:color="auto"/>
      </w:divBdr>
    </w:div>
    <w:div w:id="11346211">
      <w:bodyDiv w:val="1"/>
      <w:marLeft w:val="0"/>
      <w:marRight w:val="0"/>
      <w:marTop w:val="0"/>
      <w:marBottom w:val="0"/>
      <w:divBdr>
        <w:top w:val="none" w:sz="0" w:space="0" w:color="auto"/>
        <w:left w:val="none" w:sz="0" w:space="0" w:color="auto"/>
        <w:bottom w:val="none" w:sz="0" w:space="0" w:color="auto"/>
        <w:right w:val="none" w:sz="0" w:space="0" w:color="auto"/>
      </w:divBdr>
    </w:div>
    <w:div w:id="11541867">
      <w:bodyDiv w:val="1"/>
      <w:marLeft w:val="0"/>
      <w:marRight w:val="0"/>
      <w:marTop w:val="0"/>
      <w:marBottom w:val="0"/>
      <w:divBdr>
        <w:top w:val="none" w:sz="0" w:space="0" w:color="auto"/>
        <w:left w:val="none" w:sz="0" w:space="0" w:color="auto"/>
        <w:bottom w:val="none" w:sz="0" w:space="0" w:color="auto"/>
        <w:right w:val="none" w:sz="0" w:space="0" w:color="auto"/>
      </w:divBdr>
    </w:div>
    <w:div w:id="11734881">
      <w:bodyDiv w:val="1"/>
      <w:marLeft w:val="0"/>
      <w:marRight w:val="0"/>
      <w:marTop w:val="0"/>
      <w:marBottom w:val="0"/>
      <w:divBdr>
        <w:top w:val="none" w:sz="0" w:space="0" w:color="auto"/>
        <w:left w:val="none" w:sz="0" w:space="0" w:color="auto"/>
        <w:bottom w:val="none" w:sz="0" w:space="0" w:color="auto"/>
        <w:right w:val="none" w:sz="0" w:space="0" w:color="auto"/>
      </w:divBdr>
    </w:div>
    <w:div w:id="11760227">
      <w:bodyDiv w:val="1"/>
      <w:marLeft w:val="0"/>
      <w:marRight w:val="0"/>
      <w:marTop w:val="0"/>
      <w:marBottom w:val="0"/>
      <w:divBdr>
        <w:top w:val="none" w:sz="0" w:space="0" w:color="auto"/>
        <w:left w:val="none" w:sz="0" w:space="0" w:color="auto"/>
        <w:bottom w:val="none" w:sz="0" w:space="0" w:color="auto"/>
        <w:right w:val="none" w:sz="0" w:space="0" w:color="auto"/>
      </w:divBdr>
    </w:div>
    <w:div w:id="11760996">
      <w:bodyDiv w:val="1"/>
      <w:marLeft w:val="0"/>
      <w:marRight w:val="0"/>
      <w:marTop w:val="0"/>
      <w:marBottom w:val="0"/>
      <w:divBdr>
        <w:top w:val="none" w:sz="0" w:space="0" w:color="auto"/>
        <w:left w:val="none" w:sz="0" w:space="0" w:color="auto"/>
        <w:bottom w:val="none" w:sz="0" w:space="0" w:color="auto"/>
        <w:right w:val="none" w:sz="0" w:space="0" w:color="auto"/>
      </w:divBdr>
    </w:div>
    <w:div w:id="11880473">
      <w:bodyDiv w:val="1"/>
      <w:marLeft w:val="0"/>
      <w:marRight w:val="0"/>
      <w:marTop w:val="0"/>
      <w:marBottom w:val="0"/>
      <w:divBdr>
        <w:top w:val="none" w:sz="0" w:space="0" w:color="auto"/>
        <w:left w:val="none" w:sz="0" w:space="0" w:color="auto"/>
        <w:bottom w:val="none" w:sz="0" w:space="0" w:color="auto"/>
        <w:right w:val="none" w:sz="0" w:space="0" w:color="auto"/>
      </w:divBdr>
    </w:div>
    <w:div w:id="11927775">
      <w:bodyDiv w:val="1"/>
      <w:marLeft w:val="0"/>
      <w:marRight w:val="0"/>
      <w:marTop w:val="0"/>
      <w:marBottom w:val="0"/>
      <w:divBdr>
        <w:top w:val="none" w:sz="0" w:space="0" w:color="auto"/>
        <w:left w:val="none" w:sz="0" w:space="0" w:color="auto"/>
        <w:bottom w:val="none" w:sz="0" w:space="0" w:color="auto"/>
        <w:right w:val="none" w:sz="0" w:space="0" w:color="auto"/>
      </w:divBdr>
    </w:div>
    <w:div w:id="12002562">
      <w:bodyDiv w:val="1"/>
      <w:marLeft w:val="0"/>
      <w:marRight w:val="0"/>
      <w:marTop w:val="0"/>
      <w:marBottom w:val="0"/>
      <w:divBdr>
        <w:top w:val="none" w:sz="0" w:space="0" w:color="auto"/>
        <w:left w:val="none" w:sz="0" w:space="0" w:color="auto"/>
        <w:bottom w:val="none" w:sz="0" w:space="0" w:color="auto"/>
        <w:right w:val="none" w:sz="0" w:space="0" w:color="auto"/>
      </w:divBdr>
    </w:div>
    <w:div w:id="12072958">
      <w:bodyDiv w:val="1"/>
      <w:marLeft w:val="0"/>
      <w:marRight w:val="0"/>
      <w:marTop w:val="0"/>
      <w:marBottom w:val="0"/>
      <w:divBdr>
        <w:top w:val="none" w:sz="0" w:space="0" w:color="auto"/>
        <w:left w:val="none" w:sz="0" w:space="0" w:color="auto"/>
        <w:bottom w:val="none" w:sz="0" w:space="0" w:color="auto"/>
        <w:right w:val="none" w:sz="0" w:space="0" w:color="auto"/>
      </w:divBdr>
    </w:div>
    <w:div w:id="12076031">
      <w:bodyDiv w:val="1"/>
      <w:marLeft w:val="0"/>
      <w:marRight w:val="0"/>
      <w:marTop w:val="0"/>
      <w:marBottom w:val="0"/>
      <w:divBdr>
        <w:top w:val="none" w:sz="0" w:space="0" w:color="auto"/>
        <w:left w:val="none" w:sz="0" w:space="0" w:color="auto"/>
        <w:bottom w:val="none" w:sz="0" w:space="0" w:color="auto"/>
        <w:right w:val="none" w:sz="0" w:space="0" w:color="auto"/>
      </w:divBdr>
    </w:div>
    <w:div w:id="12149373">
      <w:bodyDiv w:val="1"/>
      <w:marLeft w:val="0"/>
      <w:marRight w:val="0"/>
      <w:marTop w:val="0"/>
      <w:marBottom w:val="0"/>
      <w:divBdr>
        <w:top w:val="none" w:sz="0" w:space="0" w:color="auto"/>
        <w:left w:val="none" w:sz="0" w:space="0" w:color="auto"/>
        <w:bottom w:val="none" w:sz="0" w:space="0" w:color="auto"/>
        <w:right w:val="none" w:sz="0" w:space="0" w:color="auto"/>
      </w:divBdr>
    </w:div>
    <w:div w:id="12153678">
      <w:bodyDiv w:val="1"/>
      <w:marLeft w:val="0"/>
      <w:marRight w:val="0"/>
      <w:marTop w:val="0"/>
      <w:marBottom w:val="0"/>
      <w:divBdr>
        <w:top w:val="none" w:sz="0" w:space="0" w:color="auto"/>
        <w:left w:val="none" w:sz="0" w:space="0" w:color="auto"/>
        <w:bottom w:val="none" w:sz="0" w:space="0" w:color="auto"/>
        <w:right w:val="none" w:sz="0" w:space="0" w:color="auto"/>
      </w:divBdr>
    </w:div>
    <w:div w:id="12346800">
      <w:bodyDiv w:val="1"/>
      <w:marLeft w:val="0"/>
      <w:marRight w:val="0"/>
      <w:marTop w:val="0"/>
      <w:marBottom w:val="0"/>
      <w:divBdr>
        <w:top w:val="none" w:sz="0" w:space="0" w:color="auto"/>
        <w:left w:val="none" w:sz="0" w:space="0" w:color="auto"/>
        <w:bottom w:val="none" w:sz="0" w:space="0" w:color="auto"/>
        <w:right w:val="none" w:sz="0" w:space="0" w:color="auto"/>
      </w:divBdr>
    </w:div>
    <w:div w:id="12348114">
      <w:bodyDiv w:val="1"/>
      <w:marLeft w:val="0"/>
      <w:marRight w:val="0"/>
      <w:marTop w:val="0"/>
      <w:marBottom w:val="0"/>
      <w:divBdr>
        <w:top w:val="none" w:sz="0" w:space="0" w:color="auto"/>
        <w:left w:val="none" w:sz="0" w:space="0" w:color="auto"/>
        <w:bottom w:val="none" w:sz="0" w:space="0" w:color="auto"/>
        <w:right w:val="none" w:sz="0" w:space="0" w:color="auto"/>
      </w:divBdr>
    </w:div>
    <w:div w:id="12465178">
      <w:bodyDiv w:val="1"/>
      <w:marLeft w:val="0"/>
      <w:marRight w:val="0"/>
      <w:marTop w:val="0"/>
      <w:marBottom w:val="0"/>
      <w:divBdr>
        <w:top w:val="none" w:sz="0" w:space="0" w:color="auto"/>
        <w:left w:val="none" w:sz="0" w:space="0" w:color="auto"/>
        <w:bottom w:val="none" w:sz="0" w:space="0" w:color="auto"/>
        <w:right w:val="none" w:sz="0" w:space="0" w:color="auto"/>
      </w:divBdr>
    </w:div>
    <w:div w:id="12583678">
      <w:bodyDiv w:val="1"/>
      <w:marLeft w:val="0"/>
      <w:marRight w:val="0"/>
      <w:marTop w:val="0"/>
      <w:marBottom w:val="0"/>
      <w:divBdr>
        <w:top w:val="none" w:sz="0" w:space="0" w:color="auto"/>
        <w:left w:val="none" w:sz="0" w:space="0" w:color="auto"/>
        <w:bottom w:val="none" w:sz="0" w:space="0" w:color="auto"/>
        <w:right w:val="none" w:sz="0" w:space="0" w:color="auto"/>
      </w:divBdr>
    </w:div>
    <w:div w:id="12733146">
      <w:bodyDiv w:val="1"/>
      <w:marLeft w:val="0"/>
      <w:marRight w:val="0"/>
      <w:marTop w:val="0"/>
      <w:marBottom w:val="0"/>
      <w:divBdr>
        <w:top w:val="none" w:sz="0" w:space="0" w:color="auto"/>
        <w:left w:val="none" w:sz="0" w:space="0" w:color="auto"/>
        <w:bottom w:val="none" w:sz="0" w:space="0" w:color="auto"/>
        <w:right w:val="none" w:sz="0" w:space="0" w:color="auto"/>
      </w:divBdr>
    </w:div>
    <w:div w:id="12851281">
      <w:bodyDiv w:val="1"/>
      <w:marLeft w:val="0"/>
      <w:marRight w:val="0"/>
      <w:marTop w:val="0"/>
      <w:marBottom w:val="0"/>
      <w:divBdr>
        <w:top w:val="none" w:sz="0" w:space="0" w:color="auto"/>
        <w:left w:val="none" w:sz="0" w:space="0" w:color="auto"/>
        <w:bottom w:val="none" w:sz="0" w:space="0" w:color="auto"/>
        <w:right w:val="none" w:sz="0" w:space="0" w:color="auto"/>
      </w:divBdr>
    </w:div>
    <w:div w:id="12919710">
      <w:bodyDiv w:val="1"/>
      <w:marLeft w:val="0"/>
      <w:marRight w:val="0"/>
      <w:marTop w:val="0"/>
      <w:marBottom w:val="0"/>
      <w:divBdr>
        <w:top w:val="none" w:sz="0" w:space="0" w:color="auto"/>
        <w:left w:val="none" w:sz="0" w:space="0" w:color="auto"/>
        <w:bottom w:val="none" w:sz="0" w:space="0" w:color="auto"/>
        <w:right w:val="none" w:sz="0" w:space="0" w:color="auto"/>
      </w:divBdr>
    </w:div>
    <w:div w:id="13114753">
      <w:bodyDiv w:val="1"/>
      <w:marLeft w:val="0"/>
      <w:marRight w:val="0"/>
      <w:marTop w:val="0"/>
      <w:marBottom w:val="0"/>
      <w:divBdr>
        <w:top w:val="none" w:sz="0" w:space="0" w:color="auto"/>
        <w:left w:val="none" w:sz="0" w:space="0" w:color="auto"/>
        <w:bottom w:val="none" w:sz="0" w:space="0" w:color="auto"/>
        <w:right w:val="none" w:sz="0" w:space="0" w:color="auto"/>
      </w:divBdr>
    </w:div>
    <w:div w:id="13239695">
      <w:bodyDiv w:val="1"/>
      <w:marLeft w:val="0"/>
      <w:marRight w:val="0"/>
      <w:marTop w:val="0"/>
      <w:marBottom w:val="0"/>
      <w:divBdr>
        <w:top w:val="none" w:sz="0" w:space="0" w:color="auto"/>
        <w:left w:val="none" w:sz="0" w:space="0" w:color="auto"/>
        <w:bottom w:val="none" w:sz="0" w:space="0" w:color="auto"/>
        <w:right w:val="none" w:sz="0" w:space="0" w:color="auto"/>
      </w:divBdr>
    </w:div>
    <w:div w:id="13381954">
      <w:bodyDiv w:val="1"/>
      <w:marLeft w:val="0"/>
      <w:marRight w:val="0"/>
      <w:marTop w:val="0"/>
      <w:marBottom w:val="0"/>
      <w:divBdr>
        <w:top w:val="none" w:sz="0" w:space="0" w:color="auto"/>
        <w:left w:val="none" w:sz="0" w:space="0" w:color="auto"/>
        <w:bottom w:val="none" w:sz="0" w:space="0" w:color="auto"/>
        <w:right w:val="none" w:sz="0" w:space="0" w:color="auto"/>
      </w:divBdr>
    </w:div>
    <w:div w:id="13387487">
      <w:bodyDiv w:val="1"/>
      <w:marLeft w:val="0"/>
      <w:marRight w:val="0"/>
      <w:marTop w:val="0"/>
      <w:marBottom w:val="0"/>
      <w:divBdr>
        <w:top w:val="none" w:sz="0" w:space="0" w:color="auto"/>
        <w:left w:val="none" w:sz="0" w:space="0" w:color="auto"/>
        <w:bottom w:val="none" w:sz="0" w:space="0" w:color="auto"/>
        <w:right w:val="none" w:sz="0" w:space="0" w:color="auto"/>
      </w:divBdr>
    </w:div>
    <w:div w:id="13505465">
      <w:bodyDiv w:val="1"/>
      <w:marLeft w:val="0"/>
      <w:marRight w:val="0"/>
      <w:marTop w:val="0"/>
      <w:marBottom w:val="0"/>
      <w:divBdr>
        <w:top w:val="none" w:sz="0" w:space="0" w:color="auto"/>
        <w:left w:val="none" w:sz="0" w:space="0" w:color="auto"/>
        <w:bottom w:val="none" w:sz="0" w:space="0" w:color="auto"/>
        <w:right w:val="none" w:sz="0" w:space="0" w:color="auto"/>
      </w:divBdr>
    </w:div>
    <w:div w:id="13650146">
      <w:bodyDiv w:val="1"/>
      <w:marLeft w:val="0"/>
      <w:marRight w:val="0"/>
      <w:marTop w:val="0"/>
      <w:marBottom w:val="0"/>
      <w:divBdr>
        <w:top w:val="none" w:sz="0" w:space="0" w:color="auto"/>
        <w:left w:val="none" w:sz="0" w:space="0" w:color="auto"/>
        <w:bottom w:val="none" w:sz="0" w:space="0" w:color="auto"/>
        <w:right w:val="none" w:sz="0" w:space="0" w:color="auto"/>
      </w:divBdr>
    </w:div>
    <w:div w:id="13651567">
      <w:bodyDiv w:val="1"/>
      <w:marLeft w:val="0"/>
      <w:marRight w:val="0"/>
      <w:marTop w:val="0"/>
      <w:marBottom w:val="0"/>
      <w:divBdr>
        <w:top w:val="none" w:sz="0" w:space="0" w:color="auto"/>
        <w:left w:val="none" w:sz="0" w:space="0" w:color="auto"/>
        <w:bottom w:val="none" w:sz="0" w:space="0" w:color="auto"/>
        <w:right w:val="none" w:sz="0" w:space="0" w:color="auto"/>
      </w:divBdr>
    </w:div>
    <w:div w:id="13653085">
      <w:bodyDiv w:val="1"/>
      <w:marLeft w:val="0"/>
      <w:marRight w:val="0"/>
      <w:marTop w:val="0"/>
      <w:marBottom w:val="0"/>
      <w:divBdr>
        <w:top w:val="none" w:sz="0" w:space="0" w:color="auto"/>
        <w:left w:val="none" w:sz="0" w:space="0" w:color="auto"/>
        <w:bottom w:val="none" w:sz="0" w:space="0" w:color="auto"/>
        <w:right w:val="none" w:sz="0" w:space="0" w:color="auto"/>
      </w:divBdr>
    </w:div>
    <w:div w:id="13698615">
      <w:bodyDiv w:val="1"/>
      <w:marLeft w:val="0"/>
      <w:marRight w:val="0"/>
      <w:marTop w:val="0"/>
      <w:marBottom w:val="0"/>
      <w:divBdr>
        <w:top w:val="none" w:sz="0" w:space="0" w:color="auto"/>
        <w:left w:val="none" w:sz="0" w:space="0" w:color="auto"/>
        <w:bottom w:val="none" w:sz="0" w:space="0" w:color="auto"/>
        <w:right w:val="none" w:sz="0" w:space="0" w:color="auto"/>
      </w:divBdr>
    </w:div>
    <w:div w:id="13769083">
      <w:bodyDiv w:val="1"/>
      <w:marLeft w:val="0"/>
      <w:marRight w:val="0"/>
      <w:marTop w:val="0"/>
      <w:marBottom w:val="0"/>
      <w:divBdr>
        <w:top w:val="none" w:sz="0" w:space="0" w:color="auto"/>
        <w:left w:val="none" w:sz="0" w:space="0" w:color="auto"/>
        <w:bottom w:val="none" w:sz="0" w:space="0" w:color="auto"/>
        <w:right w:val="none" w:sz="0" w:space="0" w:color="auto"/>
      </w:divBdr>
    </w:div>
    <w:div w:id="13772829">
      <w:bodyDiv w:val="1"/>
      <w:marLeft w:val="0"/>
      <w:marRight w:val="0"/>
      <w:marTop w:val="0"/>
      <w:marBottom w:val="0"/>
      <w:divBdr>
        <w:top w:val="none" w:sz="0" w:space="0" w:color="auto"/>
        <w:left w:val="none" w:sz="0" w:space="0" w:color="auto"/>
        <w:bottom w:val="none" w:sz="0" w:space="0" w:color="auto"/>
        <w:right w:val="none" w:sz="0" w:space="0" w:color="auto"/>
      </w:divBdr>
    </w:div>
    <w:div w:id="14119181">
      <w:bodyDiv w:val="1"/>
      <w:marLeft w:val="0"/>
      <w:marRight w:val="0"/>
      <w:marTop w:val="0"/>
      <w:marBottom w:val="0"/>
      <w:divBdr>
        <w:top w:val="none" w:sz="0" w:space="0" w:color="auto"/>
        <w:left w:val="none" w:sz="0" w:space="0" w:color="auto"/>
        <w:bottom w:val="none" w:sz="0" w:space="0" w:color="auto"/>
        <w:right w:val="none" w:sz="0" w:space="0" w:color="auto"/>
      </w:divBdr>
    </w:div>
    <w:div w:id="14380939">
      <w:bodyDiv w:val="1"/>
      <w:marLeft w:val="0"/>
      <w:marRight w:val="0"/>
      <w:marTop w:val="0"/>
      <w:marBottom w:val="0"/>
      <w:divBdr>
        <w:top w:val="none" w:sz="0" w:space="0" w:color="auto"/>
        <w:left w:val="none" w:sz="0" w:space="0" w:color="auto"/>
        <w:bottom w:val="none" w:sz="0" w:space="0" w:color="auto"/>
        <w:right w:val="none" w:sz="0" w:space="0" w:color="auto"/>
      </w:divBdr>
    </w:div>
    <w:div w:id="14382989">
      <w:bodyDiv w:val="1"/>
      <w:marLeft w:val="0"/>
      <w:marRight w:val="0"/>
      <w:marTop w:val="0"/>
      <w:marBottom w:val="0"/>
      <w:divBdr>
        <w:top w:val="none" w:sz="0" w:space="0" w:color="auto"/>
        <w:left w:val="none" w:sz="0" w:space="0" w:color="auto"/>
        <w:bottom w:val="none" w:sz="0" w:space="0" w:color="auto"/>
        <w:right w:val="none" w:sz="0" w:space="0" w:color="auto"/>
      </w:divBdr>
    </w:div>
    <w:div w:id="14383734">
      <w:bodyDiv w:val="1"/>
      <w:marLeft w:val="0"/>
      <w:marRight w:val="0"/>
      <w:marTop w:val="0"/>
      <w:marBottom w:val="0"/>
      <w:divBdr>
        <w:top w:val="none" w:sz="0" w:space="0" w:color="auto"/>
        <w:left w:val="none" w:sz="0" w:space="0" w:color="auto"/>
        <w:bottom w:val="none" w:sz="0" w:space="0" w:color="auto"/>
        <w:right w:val="none" w:sz="0" w:space="0" w:color="auto"/>
      </w:divBdr>
    </w:div>
    <w:div w:id="14506583">
      <w:bodyDiv w:val="1"/>
      <w:marLeft w:val="0"/>
      <w:marRight w:val="0"/>
      <w:marTop w:val="0"/>
      <w:marBottom w:val="0"/>
      <w:divBdr>
        <w:top w:val="none" w:sz="0" w:space="0" w:color="auto"/>
        <w:left w:val="none" w:sz="0" w:space="0" w:color="auto"/>
        <w:bottom w:val="none" w:sz="0" w:space="0" w:color="auto"/>
        <w:right w:val="none" w:sz="0" w:space="0" w:color="auto"/>
      </w:divBdr>
    </w:div>
    <w:div w:id="14692215">
      <w:bodyDiv w:val="1"/>
      <w:marLeft w:val="0"/>
      <w:marRight w:val="0"/>
      <w:marTop w:val="0"/>
      <w:marBottom w:val="0"/>
      <w:divBdr>
        <w:top w:val="none" w:sz="0" w:space="0" w:color="auto"/>
        <w:left w:val="none" w:sz="0" w:space="0" w:color="auto"/>
        <w:bottom w:val="none" w:sz="0" w:space="0" w:color="auto"/>
        <w:right w:val="none" w:sz="0" w:space="0" w:color="auto"/>
      </w:divBdr>
    </w:div>
    <w:div w:id="14842935">
      <w:bodyDiv w:val="1"/>
      <w:marLeft w:val="0"/>
      <w:marRight w:val="0"/>
      <w:marTop w:val="0"/>
      <w:marBottom w:val="0"/>
      <w:divBdr>
        <w:top w:val="none" w:sz="0" w:space="0" w:color="auto"/>
        <w:left w:val="none" w:sz="0" w:space="0" w:color="auto"/>
        <w:bottom w:val="none" w:sz="0" w:space="0" w:color="auto"/>
        <w:right w:val="none" w:sz="0" w:space="0" w:color="auto"/>
      </w:divBdr>
    </w:div>
    <w:div w:id="14891200">
      <w:bodyDiv w:val="1"/>
      <w:marLeft w:val="0"/>
      <w:marRight w:val="0"/>
      <w:marTop w:val="0"/>
      <w:marBottom w:val="0"/>
      <w:divBdr>
        <w:top w:val="none" w:sz="0" w:space="0" w:color="auto"/>
        <w:left w:val="none" w:sz="0" w:space="0" w:color="auto"/>
        <w:bottom w:val="none" w:sz="0" w:space="0" w:color="auto"/>
        <w:right w:val="none" w:sz="0" w:space="0" w:color="auto"/>
      </w:divBdr>
    </w:div>
    <w:div w:id="14968195">
      <w:bodyDiv w:val="1"/>
      <w:marLeft w:val="0"/>
      <w:marRight w:val="0"/>
      <w:marTop w:val="0"/>
      <w:marBottom w:val="0"/>
      <w:divBdr>
        <w:top w:val="none" w:sz="0" w:space="0" w:color="auto"/>
        <w:left w:val="none" w:sz="0" w:space="0" w:color="auto"/>
        <w:bottom w:val="none" w:sz="0" w:space="0" w:color="auto"/>
        <w:right w:val="none" w:sz="0" w:space="0" w:color="auto"/>
      </w:divBdr>
    </w:div>
    <w:div w:id="14969385">
      <w:bodyDiv w:val="1"/>
      <w:marLeft w:val="0"/>
      <w:marRight w:val="0"/>
      <w:marTop w:val="0"/>
      <w:marBottom w:val="0"/>
      <w:divBdr>
        <w:top w:val="none" w:sz="0" w:space="0" w:color="auto"/>
        <w:left w:val="none" w:sz="0" w:space="0" w:color="auto"/>
        <w:bottom w:val="none" w:sz="0" w:space="0" w:color="auto"/>
        <w:right w:val="none" w:sz="0" w:space="0" w:color="auto"/>
      </w:divBdr>
    </w:div>
    <w:div w:id="15010674">
      <w:bodyDiv w:val="1"/>
      <w:marLeft w:val="0"/>
      <w:marRight w:val="0"/>
      <w:marTop w:val="0"/>
      <w:marBottom w:val="0"/>
      <w:divBdr>
        <w:top w:val="none" w:sz="0" w:space="0" w:color="auto"/>
        <w:left w:val="none" w:sz="0" w:space="0" w:color="auto"/>
        <w:bottom w:val="none" w:sz="0" w:space="0" w:color="auto"/>
        <w:right w:val="none" w:sz="0" w:space="0" w:color="auto"/>
      </w:divBdr>
    </w:div>
    <w:div w:id="15084118">
      <w:bodyDiv w:val="1"/>
      <w:marLeft w:val="0"/>
      <w:marRight w:val="0"/>
      <w:marTop w:val="0"/>
      <w:marBottom w:val="0"/>
      <w:divBdr>
        <w:top w:val="none" w:sz="0" w:space="0" w:color="auto"/>
        <w:left w:val="none" w:sz="0" w:space="0" w:color="auto"/>
        <w:bottom w:val="none" w:sz="0" w:space="0" w:color="auto"/>
        <w:right w:val="none" w:sz="0" w:space="0" w:color="auto"/>
      </w:divBdr>
    </w:div>
    <w:div w:id="15087189">
      <w:bodyDiv w:val="1"/>
      <w:marLeft w:val="0"/>
      <w:marRight w:val="0"/>
      <w:marTop w:val="0"/>
      <w:marBottom w:val="0"/>
      <w:divBdr>
        <w:top w:val="none" w:sz="0" w:space="0" w:color="auto"/>
        <w:left w:val="none" w:sz="0" w:space="0" w:color="auto"/>
        <w:bottom w:val="none" w:sz="0" w:space="0" w:color="auto"/>
        <w:right w:val="none" w:sz="0" w:space="0" w:color="auto"/>
      </w:divBdr>
    </w:div>
    <w:div w:id="15204727">
      <w:bodyDiv w:val="1"/>
      <w:marLeft w:val="0"/>
      <w:marRight w:val="0"/>
      <w:marTop w:val="0"/>
      <w:marBottom w:val="0"/>
      <w:divBdr>
        <w:top w:val="none" w:sz="0" w:space="0" w:color="auto"/>
        <w:left w:val="none" w:sz="0" w:space="0" w:color="auto"/>
        <w:bottom w:val="none" w:sz="0" w:space="0" w:color="auto"/>
        <w:right w:val="none" w:sz="0" w:space="0" w:color="auto"/>
      </w:divBdr>
    </w:div>
    <w:div w:id="15473066">
      <w:bodyDiv w:val="1"/>
      <w:marLeft w:val="0"/>
      <w:marRight w:val="0"/>
      <w:marTop w:val="0"/>
      <w:marBottom w:val="0"/>
      <w:divBdr>
        <w:top w:val="none" w:sz="0" w:space="0" w:color="auto"/>
        <w:left w:val="none" w:sz="0" w:space="0" w:color="auto"/>
        <w:bottom w:val="none" w:sz="0" w:space="0" w:color="auto"/>
        <w:right w:val="none" w:sz="0" w:space="0" w:color="auto"/>
      </w:divBdr>
    </w:div>
    <w:div w:id="15740510">
      <w:bodyDiv w:val="1"/>
      <w:marLeft w:val="0"/>
      <w:marRight w:val="0"/>
      <w:marTop w:val="0"/>
      <w:marBottom w:val="0"/>
      <w:divBdr>
        <w:top w:val="none" w:sz="0" w:space="0" w:color="auto"/>
        <w:left w:val="none" w:sz="0" w:space="0" w:color="auto"/>
        <w:bottom w:val="none" w:sz="0" w:space="0" w:color="auto"/>
        <w:right w:val="none" w:sz="0" w:space="0" w:color="auto"/>
      </w:divBdr>
    </w:div>
    <w:div w:id="15815247">
      <w:bodyDiv w:val="1"/>
      <w:marLeft w:val="0"/>
      <w:marRight w:val="0"/>
      <w:marTop w:val="0"/>
      <w:marBottom w:val="0"/>
      <w:divBdr>
        <w:top w:val="none" w:sz="0" w:space="0" w:color="auto"/>
        <w:left w:val="none" w:sz="0" w:space="0" w:color="auto"/>
        <w:bottom w:val="none" w:sz="0" w:space="0" w:color="auto"/>
        <w:right w:val="none" w:sz="0" w:space="0" w:color="auto"/>
      </w:divBdr>
    </w:div>
    <w:div w:id="16196120">
      <w:bodyDiv w:val="1"/>
      <w:marLeft w:val="0"/>
      <w:marRight w:val="0"/>
      <w:marTop w:val="0"/>
      <w:marBottom w:val="0"/>
      <w:divBdr>
        <w:top w:val="none" w:sz="0" w:space="0" w:color="auto"/>
        <w:left w:val="none" w:sz="0" w:space="0" w:color="auto"/>
        <w:bottom w:val="none" w:sz="0" w:space="0" w:color="auto"/>
        <w:right w:val="none" w:sz="0" w:space="0" w:color="auto"/>
      </w:divBdr>
    </w:div>
    <w:div w:id="16197903">
      <w:bodyDiv w:val="1"/>
      <w:marLeft w:val="0"/>
      <w:marRight w:val="0"/>
      <w:marTop w:val="0"/>
      <w:marBottom w:val="0"/>
      <w:divBdr>
        <w:top w:val="none" w:sz="0" w:space="0" w:color="auto"/>
        <w:left w:val="none" w:sz="0" w:space="0" w:color="auto"/>
        <w:bottom w:val="none" w:sz="0" w:space="0" w:color="auto"/>
        <w:right w:val="none" w:sz="0" w:space="0" w:color="auto"/>
      </w:divBdr>
    </w:div>
    <w:div w:id="16471433">
      <w:bodyDiv w:val="1"/>
      <w:marLeft w:val="0"/>
      <w:marRight w:val="0"/>
      <w:marTop w:val="0"/>
      <w:marBottom w:val="0"/>
      <w:divBdr>
        <w:top w:val="none" w:sz="0" w:space="0" w:color="auto"/>
        <w:left w:val="none" w:sz="0" w:space="0" w:color="auto"/>
        <w:bottom w:val="none" w:sz="0" w:space="0" w:color="auto"/>
        <w:right w:val="none" w:sz="0" w:space="0" w:color="auto"/>
      </w:divBdr>
    </w:div>
    <w:div w:id="17127208">
      <w:bodyDiv w:val="1"/>
      <w:marLeft w:val="0"/>
      <w:marRight w:val="0"/>
      <w:marTop w:val="0"/>
      <w:marBottom w:val="0"/>
      <w:divBdr>
        <w:top w:val="none" w:sz="0" w:space="0" w:color="auto"/>
        <w:left w:val="none" w:sz="0" w:space="0" w:color="auto"/>
        <w:bottom w:val="none" w:sz="0" w:space="0" w:color="auto"/>
        <w:right w:val="none" w:sz="0" w:space="0" w:color="auto"/>
      </w:divBdr>
    </w:div>
    <w:div w:id="17195052">
      <w:bodyDiv w:val="1"/>
      <w:marLeft w:val="0"/>
      <w:marRight w:val="0"/>
      <w:marTop w:val="0"/>
      <w:marBottom w:val="0"/>
      <w:divBdr>
        <w:top w:val="none" w:sz="0" w:space="0" w:color="auto"/>
        <w:left w:val="none" w:sz="0" w:space="0" w:color="auto"/>
        <w:bottom w:val="none" w:sz="0" w:space="0" w:color="auto"/>
        <w:right w:val="none" w:sz="0" w:space="0" w:color="auto"/>
      </w:divBdr>
    </w:div>
    <w:div w:id="17198306">
      <w:bodyDiv w:val="1"/>
      <w:marLeft w:val="0"/>
      <w:marRight w:val="0"/>
      <w:marTop w:val="0"/>
      <w:marBottom w:val="0"/>
      <w:divBdr>
        <w:top w:val="none" w:sz="0" w:space="0" w:color="auto"/>
        <w:left w:val="none" w:sz="0" w:space="0" w:color="auto"/>
        <w:bottom w:val="none" w:sz="0" w:space="0" w:color="auto"/>
        <w:right w:val="none" w:sz="0" w:space="0" w:color="auto"/>
      </w:divBdr>
    </w:div>
    <w:div w:id="17241091">
      <w:bodyDiv w:val="1"/>
      <w:marLeft w:val="0"/>
      <w:marRight w:val="0"/>
      <w:marTop w:val="0"/>
      <w:marBottom w:val="0"/>
      <w:divBdr>
        <w:top w:val="none" w:sz="0" w:space="0" w:color="auto"/>
        <w:left w:val="none" w:sz="0" w:space="0" w:color="auto"/>
        <w:bottom w:val="none" w:sz="0" w:space="0" w:color="auto"/>
        <w:right w:val="none" w:sz="0" w:space="0" w:color="auto"/>
      </w:divBdr>
    </w:div>
    <w:div w:id="17394353">
      <w:bodyDiv w:val="1"/>
      <w:marLeft w:val="0"/>
      <w:marRight w:val="0"/>
      <w:marTop w:val="0"/>
      <w:marBottom w:val="0"/>
      <w:divBdr>
        <w:top w:val="none" w:sz="0" w:space="0" w:color="auto"/>
        <w:left w:val="none" w:sz="0" w:space="0" w:color="auto"/>
        <w:bottom w:val="none" w:sz="0" w:space="0" w:color="auto"/>
        <w:right w:val="none" w:sz="0" w:space="0" w:color="auto"/>
      </w:divBdr>
    </w:div>
    <w:div w:id="17433493">
      <w:bodyDiv w:val="1"/>
      <w:marLeft w:val="0"/>
      <w:marRight w:val="0"/>
      <w:marTop w:val="0"/>
      <w:marBottom w:val="0"/>
      <w:divBdr>
        <w:top w:val="none" w:sz="0" w:space="0" w:color="auto"/>
        <w:left w:val="none" w:sz="0" w:space="0" w:color="auto"/>
        <w:bottom w:val="none" w:sz="0" w:space="0" w:color="auto"/>
        <w:right w:val="none" w:sz="0" w:space="0" w:color="auto"/>
      </w:divBdr>
    </w:div>
    <w:div w:id="17775703">
      <w:bodyDiv w:val="1"/>
      <w:marLeft w:val="0"/>
      <w:marRight w:val="0"/>
      <w:marTop w:val="0"/>
      <w:marBottom w:val="0"/>
      <w:divBdr>
        <w:top w:val="none" w:sz="0" w:space="0" w:color="auto"/>
        <w:left w:val="none" w:sz="0" w:space="0" w:color="auto"/>
        <w:bottom w:val="none" w:sz="0" w:space="0" w:color="auto"/>
        <w:right w:val="none" w:sz="0" w:space="0" w:color="auto"/>
      </w:divBdr>
    </w:div>
    <w:div w:id="18044814">
      <w:bodyDiv w:val="1"/>
      <w:marLeft w:val="0"/>
      <w:marRight w:val="0"/>
      <w:marTop w:val="0"/>
      <w:marBottom w:val="0"/>
      <w:divBdr>
        <w:top w:val="none" w:sz="0" w:space="0" w:color="auto"/>
        <w:left w:val="none" w:sz="0" w:space="0" w:color="auto"/>
        <w:bottom w:val="none" w:sz="0" w:space="0" w:color="auto"/>
        <w:right w:val="none" w:sz="0" w:space="0" w:color="auto"/>
      </w:divBdr>
    </w:div>
    <w:div w:id="18091230">
      <w:bodyDiv w:val="1"/>
      <w:marLeft w:val="0"/>
      <w:marRight w:val="0"/>
      <w:marTop w:val="0"/>
      <w:marBottom w:val="0"/>
      <w:divBdr>
        <w:top w:val="none" w:sz="0" w:space="0" w:color="auto"/>
        <w:left w:val="none" w:sz="0" w:space="0" w:color="auto"/>
        <w:bottom w:val="none" w:sz="0" w:space="0" w:color="auto"/>
        <w:right w:val="none" w:sz="0" w:space="0" w:color="auto"/>
      </w:divBdr>
    </w:div>
    <w:div w:id="18165751">
      <w:bodyDiv w:val="1"/>
      <w:marLeft w:val="0"/>
      <w:marRight w:val="0"/>
      <w:marTop w:val="0"/>
      <w:marBottom w:val="0"/>
      <w:divBdr>
        <w:top w:val="none" w:sz="0" w:space="0" w:color="auto"/>
        <w:left w:val="none" w:sz="0" w:space="0" w:color="auto"/>
        <w:bottom w:val="none" w:sz="0" w:space="0" w:color="auto"/>
        <w:right w:val="none" w:sz="0" w:space="0" w:color="auto"/>
      </w:divBdr>
    </w:div>
    <w:div w:id="18315436">
      <w:bodyDiv w:val="1"/>
      <w:marLeft w:val="0"/>
      <w:marRight w:val="0"/>
      <w:marTop w:val="0"/>
      <w:marBottom w:val="0"/>
      <w:divBdr>
        <w:top w:val="none" w:sz="0" w:space="0" w:color="auto"/>
        <w:left w:val="none" w:sz="0" w:space="0" w:color="auto"/>
        <w:bottom w:val="none" w:sz="0" w:space="0" w:color="auto"/>
        <w:right w:val="none" w:sz="0" w:space="0" w:color="auto"/>
      </w:divBdr>
    </w:div>
    <w:div w:id="18355010">
      <w:bodyDiv w:val="1"/>
      <w:marLeft w:val="0"/>
      <w:marRight w:val="0"/>
      <w:marTop w:val="0"/>
      <w:marBottom w:val="0"/>
      <w:divBdr>
        <w:top w:val="none" w:sz="0" w:space="0" w:color="auto"/>
        <w:left w:val="none" w:sz="0" w:space="0" w:color="auto"/>
        <w:bottom w:val="none" w:sz="0" w:space="0" w:color="auto"/>
        <w:right w:val="none" w:sz="0" w:space="0" w:color="auto"/>
      </w:divBdr>
    </w:div>
    <w:div w:id="18358381">
      <w:bodyDiv w:val="1"/>
      <w:marLeft w:val="0"/>
      <w:marRight w:val="0"/>
      <w:marTop w:val="0"/>
      <w:marBottom w:val="0"/>
      <w:divBdr>
        <w:top w:val="none" w:sz="0" w:space="0" w:color="auto"/>
        <w:left w:val="none" w:sz="0" w:space="0" w:color="auto"/>
        <w:bottom w:val="none" w:sz="0" w:space="0" w:color="auto"/>
        <w:right w:val="none" w:sz="0" w:space="0" w:color="auto"/>
      </w:divBdr>
    </w:div>
    <w:div w:id="18430102">
      <w:bodyDiv w:val="1"/>
      <w:marLeft w:val="0"/>
      <w:marRight w:val="0"/>
      <w:marTop w:val="0"/>
      <w:marBottom w:val="0"/>
      <w:divBdr>
        <w:top w:val="none" w:sz="0" w:space="0" w:color="auto"/>
        <w:left w:val="none" w:sz="0" w:space="0" w:color="auto"/>
        <w:bottom w:val="none" w:sz="0" w:space="0" w:color="auto"/>
        <w:right w:val="none" w:sz="0" w:space="0" w:color="auto"/>
      </w:divBdr>
    </w:div>
    <w:div w:id="18700084">
      <w:bodyDiv w:val="1"/>
      <w:marLeft w:val="0"/>
      <w:marRight w:val="0"/>
      <w:marTop w:val="0"/>
      <w:marBottom w:val="0"/>
      <w:divBdr>
        <w:top w:val="none" w:sz="0" w:space="0" w:color="auto"/>
        <w:left w:val="none" w:sz="0" w:space="0" w:color="auto"/>
        <w:bottom w:val="none" w:sz="0" w:space="0" w:color="auto"/>
        <w:right w:val="none" w:sz="0" w:space="0" w:color="auto"/>
      </w:divBdr>
    </w:div>
    <w:div w:id="18702460">
      <w:bodyDiv w:val="1"/>
      <w:marLeft w:val="0"/>
      <w:marRight w:val="0"/>
      <w:marTop w:val="0"/>
      <w:marBottom w:val="0"/>
      <w:divBdr>
        <w:top w:val="none" w:sz="0" w:space="0" w:color="auto"/>
        <w:left w:val="none" w:sz="0" w:space="0" w:color="auto"/>
        <w:bottom w:val="none" w:sz="0" w:space="0" w:color="auto"/>
        <w:right w:val="none" w:sz="0" w:space="0" w:color="auto"/>
      </w:divBdr>
    </w:div>
    <w:div w:id="18744841">
      <w:bodyDiv w:val="1"/>
      <w:marLeft w:val="0"/>
      <w:marRight w:val="0"/>
      <w:marTop w:val="0"/>
      <w:marBottom w:val="0"/>
      <w:divBdr>
        <w:top w:val="none" w:sz="0" w:space="0" w:color="auto"/>
        <w:left w:val="none" w:sz="0" w:space="0" w:color="auto"/>
        <w:bottom w:val="none" w:sz="0" w:space="0" w:color="auto"/>
        <w:right w:val="none" w:sz="0" w:space="0" w:color="auto"/>
      </w:divBdr>
    </w:div>
    <w:div w:id="18748861">
      <w:bodyDiv w:val="1"/>
      <w:marLeft w:val="0"/>
      <w:marRight w:val="0"/>
      <w:marTop w:val="0"/>
      <w:marBottom w:val="0"/>
      <w:divBdr>
        <w:top w:val="none" w:sz="0" w:space="0" w:color="auto"/>
        <w:left w:val="none" w:sz="0" w:space="0" w:color="auto"/>
        <w:bottom w:val="none" w:sz="0" w:space="0" w:color="auto"/>
        <w:right w:val="none" w:sz="0" w:space="0" w:color="auto"/>
      </w:divBdr>
    </w:div>
    <w:div w:id="18820598">
      <w:bodyDiv w:val="1"/>
      <w:marLeft w:val="0"/>
      <w:marRight w:val="0"/>
      <w:marTop w:val="0"/>
      <w:marBottom w:val="0"/>
      <w:divBdr>
        <w:top w:val="none" w:sz="0" w:space="0" w:color="auto"/>
        <w:left w:val="none" w:sz="0" w:space="0" w:color="auto"/>
        <w:bottom w:val="none" w:sz="0" w:space="0" w:color="auto"/>
        <w:right w:val="none" w:sz="0" w:space="0" w:color="auto"/>
      </w:divBdr>
    </w:div>
    <w:div w:id="18939909">
      <w:bodyDiv w:val="1"/>
      <w:marLeft w:val="0"/>
      <w:marRight w:val="0"/>
      <w:marTop w:val="0"/>
      <w:marBottom w:val="0"/>
      <w:divBdr>
        <w:top w:val="none" w:sz="0" w:space="0" w:color="auto"/>
        <w:left w:val="none" w:sz="0" w:space="0" w:color="auto"/>
        <w:bottom w:val="none" w:sz="0" w:space="0" w:color="auto"/>
        <w:right w:val="none" w:sz="0" w:space="0" w:color="auto"/>
      </w:divBdr>
    </w:div>
    <w:div w:id="19019289">
      <w:bodyDiv w:val="1"/>
      <w:marLeft w:val="0"/>
      <w:marRight w:val="0"/>
      <w:marTop w:val="0"/>
      <w:marBottom w:val="0"/>
      <w:divBdr>
        <w:top w:val="none" w:sz="0" w:space="0" w:color="auto"/>
        <w:left w:val="none" w:sz="0" w:space="0" w:color="auto"/>
        <w:bottom w:val="none" w:sz="0" w:space="0" w:color="auto"/>
        <w:right w:val="none" w:sz="0" w:space="0" w:color="auto"/>
      </w:divBdr>
    </w:div>
    <w:div w:id="19137245">
      <w:bodyDiv w:val="1"/>
      <w:marLeft w:val="0"/>
      <w:marRight w:val="0"/>
      <w:marTop w:val="0"/>
      <w:marBottom w:val="0"/>
      <w:divBdr>
        <w:top w:val="none" w:sz="0" w:space="0" w:color="auto"/>
        <w:left w:val="none" w:sz="0" w:space="0" w:color="auto"/>
        <w:bottom w:val="none" w:sz="0" w:space="0" w:color="auto"/>
        <w:right w:val="none" w:sz="0" w:space="0" w:color="auto"/>
      </w:divBdr>
    </w:div>
    <w:div w:id="19203981">
      <w:bodyDiv w:val="1"/>
      <w:marLeft w:val="0"/>
      <w:marRight w:val="0"/>
      <w:marTop w:val="0"/>
      <w:marBottom w:val="0"/>
      <w:divBdr>
        <w:top w:val="none" w:sz="0" w:space="0" w:color="auto"/>
        <w:left w:val="none" w:sz="0" w:space="0" w:color="auto"/>
        <w:bottom w:val="none" w:sz="0" w:space="0" w:color="auto"/>
        <w:right w:val="none" w:sz="0" w:space="0" w:color="auto"/>
      </w:divBdr>
    </w:div>
    <w:div w:id="19281673">
      <w:bodyDiv w:val="1"/>
      <w:marLeft w:val="0"/>
      <w:marRight w:val="0"/>
      <w:marTop w:val="0"/>
      <w:marBottom w:val="0"/>
      <w:divBdr>
        <w:top w:val="none" w:sz="0" w:space="0" w:color="auto"/>
        <w:left w:val="none" w:sz="0" w:space="0" w:color="auto"/>
        <w:bottom w:val="none" w:sz="0" w:space="0" w:color="auto"/>
        <w:right w:val="none" w:sz="0" w:space="0" w:color="auto"/>
      </w:divBdr>
    </w:div>
    <w:div w:id="19400802">
      <w:bodyDiv w:val="1"/>
      <w:marLeft w:val="0"/>
      <w:marRight w:val="0"/>
      <w:marTop w:val="0"/>
      <w:marBottom w:val="0"/>
      <w:divBdr>
        <w:top w:val="none" w:sz="0" w:space="0" w:color="auto"/>
        <w:left w:val="none" w:sz="0" w:space="0" w:color="auto"/>
        <w:bottom w:val="none" w:sz="0" w:space="0" w:color="auto"/>
        <w:right w:val="none" w:sz="0" w:space="0" w:color="auto"/>
      </w:divBdr>
    </w:div>
    <w:div w:id="19476924">
      <w:bodyDiv w:val="1"/>
      <w:marLeft w:val="0"/>
      <w:marRight w:val="0"/>
      <w:marTop w:val="0"/>
      <w:marBottom w:val="0"/>
      <w:divBdr>
        <w:top w:val="none" w:sz="0" w:space="0" w:color="auto"/>
        <w:left w:val="none" w:sz="0" w:space="0" w:color="auto"/>
        <w:bottom w:val="none" w:sz="0" w:space="0" w:color="auto"/>
        <w:right w:val="none" w:sz="0" w:space="0" w:color="auto"/>
      </w:divBdr>
    </w:div>
    <w:div w:id="19479771">
      <w:bodyDiv w:val="1"/>
      <w:marLeft w:val="0"/>
      <w:marRight w:val="0"/>
      <w:marTop w:val="0"/>
      <w:marBottom w:val="0"/>
      <w:divBdr>
        <w:top w:val="none" w:sz="0" w:space="0" w:color="auto"/>
        <w:left w:val="none" w:sz="0" w:space="0" w:color="auto"/>
        <w:bottom w:val="none" w:sz="0" w:space="0" w:color="auto"/>
        <w:right w:val="none" w:sz="0" w:space="0" w:color="auto"/>
      </w:divBdr>
    </w:div>
    <w:div w:id="19555199">
      <w:bodyDiv w:val="1"/>
      <w:marLeft w:val="0"/>
      <w:marRight w:val="0"/>
      <w:marTop w:val="0"/>
      <w:marBottom w:val="0"/>
      <w:divBdr>
        <w:top w:val="none" w:sz="0" w:space="0" w:color="auto"/>
        <w:left w:val="none" w:sz="0" w:space="0" w:color="auto"/>
        <w:bottom w:val="none" w:sz="0" w:space="0" w:color="auto"/>
        <w:right w:val="none" w:sz="0" w:space="0" w:color="auto"/>
      </w:divBdr>
    </w:div>
    <w:div w:id="19747722">
      <w:bodyDiv w:val="1"/>
      <w:marLeft w:val="0"/>
      <w:marRight w:val="0"/>
      <w:marTop w:val="0"/>
      <w:marBottom w:val="0"/>
      <w:divBdr>
        <w:top w:val="none" w:sz="0" w:space="0" w:color="auto"/>
        <w:left w:val="none" w:sz="0" w:space="0" w:color="auto"/>
        <w:bottom w:val="none" w:sz="0" w:space="0" w:color="auto"/>
        <w:right w:val="none" w:sz="0" w:space="0" w:color="auto"/>
      </w:divBdr>
    </w:div>
    <w:div w:id="19819807">
      <w:bodyDiv w:val="1"/>
      <w:marLeft w:val="0"/>
      <w:marRight w:val="0"/>
      <w:marTop w:val="0"/>
      <w:marBottom w:val="0"/>
      <w:divBdr>
        <w:top w:val="none" w:sz="0" w:space="0" w:color="auto"/>
        <w:left w:val="none" w:sz="0" w:space="0" w:color="auto"/>
        <w:bottom w:val="none" w:sz="0" w:space="0" w:color="auto"/>
        <w:right w:val="none" w:sz="0" w:space="0" w:color="auto"/>
      </w:divBdr>
    </w:div>
    <w:div w:id="19935064">
      <w:bodyDiv w:val="1"/>
      <w:marLeft w:val="0"/>
      <w:marRight w:val="0"/>
      <w:marTop w:val="0"/>
      <w:marBottom w:val="0"/>
      <w:divBdr>
        <w:top w:val="none" w:sz="0" w:space="0" w:color="auto"/>
        <w:left w:val="none" w:sz="0" w:space="0" w:color="auto"/>
        <w:bottom w:val="none" w:sz="0" w:space="0" w:color="auto"/>
        <w:right w:val="none" w:sz="0" w:space="0" w:color="auto"/>
      </w:divBdr>
    </w:div>
    <w:div w:id="20323278">
      <w:bodyDiv w:val="1"/>
      <w:marLeft w:val="0"/>
      <w:marRight w:val="0"/>
      <w:marTop w:val="0"/>
      <w:marBottom w:val="0"/>
      <w:divBdr>
        <w:top w:val="none" w:sz="0" w:space="0" w:color="auto"/>
        <w:left w:val="none" w:sz="0" w:space="0" w:color="auto"/>
        <w:bottom w:val="none" w:sz="0" w:space="0" w:color="auto"/>
        <w:right w:val="none" w:sz="0" w:space="0" w:color="auto"/>
      </w:divBdr>
    </w:div>
    <w:div w:id="20324508">
      <w:bodyDiv w:val="1"/>
      <w:marLeft w:val="0"/>
      <w:marRight w:val="0"/>
      <w:marTop w:val="0"/>
      <w:marBottom w:val="0"/>
      <w:divBdr>
        <w:top w:val="none" w:sz="0" w:space="0" w:color="auto"/>
        <w:left w:val="none" w:sz="0" w:space="0" w:color="auto"/>
        <w:bottom w:val="none" w:sz="0" w:space="0" w:color="auto"/>
        <w:right w:val="none" w:sz="0" w:space="0" w:color="auto"/>
      </w:divBdr>
    </w:div>
    <w:div w:id="20401305">
      <w:bodyDiv w:val="1"/>
      <w:marLeft w:val="0"/>
      <w:marRight w:val="0"/>
      <w:marTop w:val="0"/>
      <w:marBottom w:val="0"/>
      <w:divBdr>
        <w:top w:val="none" w:sz="0" w:space="0" w:color="auto"/>
        <w:left w:val="none" w:sz="0" w:space="0" w:color="auto"/>
        <w:bottom w:val="none" w:sz="0" w:space="0" w:color="auto"/>
        <w:right w:val="none" w:sz="0" w:space="0" w:color="auto"/>
      </w:divBdr>
    </w:div>
    <w:div w:id="20516066">
      <w:bodyDiv w:val="1"/>
      <w:marLeft w:val="0"/>
      <w:marRight w:val="0"/>
      <w:marTop w:val="0"/>
      <w:marBottom w:val="0"/>
      <w:divBdr>
        <w:top w:val="none" w:sz="0" w:space="0" w:color="auto"/>
        <w:left w:val="none" w:sz="0" w:space="0" w:color="auto"/>
        <w:bottom w:val="none" w:sz="0" w:space="0" w:color="auto"/>
        <w:right w:val="none" w:sz="0" w:space="0" w:color="auto"/>
      </w:divBdr>
    </w:div>
    <w:div w:id="20521287">
      <w:bodyDiv w:val="1"/>
      <w:marLeft w:val="0"/>
      <w:marRight w:val="0"/>
      <w:marTop w:val="0"/>
      <w:marBottom w:val="0"/>
      <w:divBdr>
        <w:top w:val="none" w:sz="0" w:space="0" w:color="auto"/>
        <w:left w:val="none" w:sz="0" w:space="0" w:color="auto"/>
        <w:bottom w:val="none" w:sz="0" w:space="0" w:color="auto"/>
        <w:right w:val="none" w:sz="0" w:space="0" w:color="auto"/>
      </w:divBdr>
    </w:div>
    <w:div w:id="20787916">
      <w:bodyDiv w:val="1"/>
      <w:marLeft w:val="0"/>
      <w:marRight w:val="0"/>
      <w:marTop w:val="0"/>
      <w:marBottom w:val="0"/>
      <w:divBdr>
        <w:top w:val="none" w:sz="0" w:space="0" w:color="auto"/>
        <w:left w:val="none" w:sz="0" w:space="0" w:color="auto"/>
        <w:bottom w:val="none" w:sz="0" w:space="0" w:color="auto"/>
        <w:right w:val="none" w:sz="0" w:space="0" w:color="auto"/>
      </w:divBdr>
    </w:div>
    <w:div w:id="20860981">
      <w:bodyDiv w:val="1"/>
      <w:marLeft w:val="0"/>
      <w:marRight w:val="0"/>
      <w:marTop w:val="0"/>
      <w:marBottom w:val="0"/>
      <w:divBdr>
        <w:top w:val="none" w:sz="0" w:space="0" w:color="auto"/>
        <w:left w:val="none" w:sz="0" w:space="0" w:color="auto"/>
        <w:bottom w:val="none" w:sz="0" w:space="0" w:color="auto"/>
        <w:right w:val="none" w:sz="0" w:space="0" w:color="auto"/>
      </w:divBdr>
    </w:div>
    <w:div w:id="20863658">
      <w:bodyDiv w:val="1"/>
      <w:marLeft w:val="0"/>
      <w:marRight w:val="0"/>
      <w:marTop w:val="0"/>
      <w:marBottom w:val="0"/>
      <w:divBdr>
        <w:top w:val="none" w:sz="0" w:space="0" w:color="auto"/>
        <w:left w:val="none" w:sz="0" w:space="0" w:color="auto"/>
        <w:bottom w:val="none" w:sz="0" w:space="0" w:color="auto"/>
        <w:right w:val="none" w:sz="0" w:space="0" w:color="auto"/>
      </w:divBdr>
    </w:div>
    <w:div w:id="20938150">
      <w:bodyDiv w:val="1"/>
      <w:marLeft w:val="0"/>
      <w:marRight w:val="0"/>
      <w:marTop w:val="0"/>
      <w:marBottom w:val="0"/>
      <w:divBdr>
        <w:top w:val="none" w:sz="0" w:space="0" w:color="auto"/>
        <w:left w:val="none" w:sz="0" w:space="0" w:color="auto"/>
        <w:bottom w:val="none" w:sz="0" w:space="0" w:color="auto"/>
        <w:right w:val="none" w:sz="0" w:space="0" w:color="auto"/>
      </w:divBdr>
    </w:div>
    <w:div w:id="20978107">
      <w:bodyDiv w:val="1"/>
      <w:marLeft w:val="0"/>
      <w:marRight w:val="0"/>
      <w:marTop w:val="0"/>
      <w:marBottom w:val="0"/>
      <w:divBdr>
        <w:top w:val="none" w:sz="0" w:space="0" w:color="auto"/>
        <w:left w:val="none" w:sz="0" w:space="0" w:color="auto"/>
        <w:bottom w:val="none" w:sz="0" w:space="0" w:color="auto"/>
        <w:right w:val="none" w:sz="0" w:space="0" w:color="auto"/>
      </w:divBdr>
    </w:div>
    <w:div w:id="20980479">
      <w:bodyDiv w:val="1"/>
      <w:marLeft w:val="0"/>
      <w:marRight w:val="0"/>
      <w:marTop w:val="0"/>
      <w:marBottom w:val="0"/>
      <w:divBdr>
        <w:top w:val="none" w:sz="0" w:space="0" w:color="auto"/>
        <w:left w:val="none" w:sz="0" w:space="0" w:color="auto"/>
        <w:bottom w:val="none" w:sz="0" w:space="0" w:color="auto"/>
        <w:right w:val="none" w:sz="0" w:space="0" w:color="auto"/>
      </w:divBdr>
    </w:div>
    <w:div w:id="21249834">
      <w:bodyDiv w:val="1"/>
      <w:marLeft w:val="0"/>
      <w:marRight w:val="0"/>
      <w:marTop w:val="0"/>
      <w:marBottom w:val="0"/>
      <w:divBdr>
        <w:top w:val="none" w:sz="0" w:space="0" w:color="auto"/>
        <w:left w:val="none" w:sz="0" w:space="0" w:color="auto"/>
        <w:bottom w:val="none" w:sz="0" w:space="0" w:color="auto"/>
        <w:right w:val="none" w:sz="0" w:space="0" w:color="auto"/>
      </w:divBdr>
    </w:div>
    <w:div w:id="21323085">
      <w:bodyDiv w:val="1"/>
      <w:marLeft w:val="0"/>
      <w:marRight w:val="0"/>
      <w:marTop w:val="0"/>
      <w:marBottom w:val="0"/>
      <w:divBdr>
        <w:top w:val="none" w:sz="0" w:space="0" w:color="auto"/>
        <w:left w:val="none" w:sz="0" w:space="0" w:color="auto"/>
        <w:bottom w:val="none" w:sz="0" w:space="0" w:color="auto"/>
        <w:right w:val="none" w:sz="0" w:space="0" w:color="auto"/>
      </w:divBdr>
    </w:div>
    <w:div w:id="21370823">
      <w:bodyDiv w:val="1"/>
      <w:marLeft w:val="0"/>
      <w:marRight w:val="0"/>
      <w:marTop w:val="0"/>
      <w:marBottom w:val="0"/>
      <w:divBdr>
        <w:top w:val="none" w:sz="0" w:space="0" w:color="auto"/>
        <w:left w:val="none" w:sz="0" w:space="0" w:color="auto"/>
        <w:bottom w:val="none" w:sz="0" w:space="0" w:color="auto"/>
        <w:right w:val="none" w:sz="0" w:space="0" w:color="auto"/>
      </w:divBdr>
    </w:div>
    <w:div w:id="21520903">
      <w:bodyDiv w:val="1"/>
      <w:marLeft w:val="0"/>
      <w:marRight w:val="0"/>
      <w:marTop w:val="0"/>
      <w:marBottom w:val="0"/>
      <w:divBdr>
        <w:top w:val="none" w:sz="0" w:space="0" w:color="auto"/>
        <w:left w:val="none" w:sz="0" w:space="0" w:color="auto"/>
        <w:bottom w:val="none" w:sz="0" w:space="0" w:color="auto"/>
        <w:right w:val="none" w:sz="0" w:space="0" w:color="auto"/>
      </w:divBdr>
    </w:div>
    <w:div w:id="21590782">
      <w:bodyDiv w:val="1"/>
      <w:marLeft w:val="0"/>
      <w:marRight w:val="0"/>
      <w:marTop w:val="0"/>
      <w:marBottom w:val="0"/>
      <w:divBdr>
        <w:top w:val="none" w:sz="0" w:space="0" w:color="auto"/>
        <w:left w:val="none" w:sz="0" w:space="0" w:color="auto"/>
        <w:bottom w:val="none" w:sz="0" w:space="0" w:color="auto"/>
        <w:right w:val="none" w:sz="0" w:space="0" w:color="auto"/>
      </w:divBdr>
    </w:div>
    <w:div w:id="21634985">
      <w:bodyDiv w:val="1"/>
      <w:marLeft w:val="0"/>
      <w:marRight w:val="0"/>
      <w:marTop w:val="0"/>
      <w:marBottom w:val="0"/>
      <w:divBdr>
        <w:top w:val="none" w:sz="0" w:space="0" w:color="auto"/>
        <w:left w:val="none" w:sz="0" w:space="0" w:color="auto"/>
        <w:bottom w:val="none" w:sz="0" w:space="0" w:color="auto"/>
        <w:right w:val="none" w:sz="0" w:space="0" w:color="auto"/>
      </w:divBdr>
    </w:div>
    <w:div w:id="21980682">
      <w:bodyDiv w:val="1"/>
      <w:marLeft w:val="0"/>
      <w:marRight w:val="0"/>
      <w:marTop w:val="0"/>
      <w:marBottom w:val="0"/>
      <w:divBdr>
        <w:top w:val="none" w:sz="0" w:space="0" w:color="auto"/>
        <w:left w:val="none" w:sz="0" w:space="0" w:color="auto"/>
        <w:bottom w:val="none" w:sz="0" w:space="0" w:color="auto"/>
        <w:right w:val="none" w:sz="0" w:space="0" w:color="auto"/>
      </w:divBdr>
    </w:div>
    <w:div w:id="22024715">
      <w:bodyDiv w:val="1"/>
      <w:marLeft w:val="0"/>
      <w:marRight w:val="0"/>
      <w:marTop w:val="0"/>
      <w:marBottom w:val="0"/>
      <w:divBdr>
        <w:top w:val="none" w:sz="0" w:space="0" w:color="auto"/>
        <w:left w:val="none" w:sz="0" w:space="0" w:color="auto"/>
        <w:bottom w:val="none" w:sz="0" w:space="0" w:color="auto"/>
        <w:right w:val="none" w:sz="0" w:space="0" w:color="auto"/>
      </w:divBdr>
    </w:div>
    <w:div w:id="22024980">
      <w:bodyDiv w:val="1"/>
      <w:marLeft w:val="0"/>
      <w:marRight w:val="0"/>
      <w:marTop w:val="0"/>
      <w:marBottom w:val="0"/>
      <w:divBdr>
        <w:top w:val="none" w:sz="0" w:space="0" w:color="auto"/>
        <w:left w:val="none" w:sz="0" w:space="0" w:color="auto"/>
        <w:bottom w:val="none" w:sz="0" w:space="0" w:color="auto"/>
        <w:right w:val="none" w:sz="0" w:space="0" w:color="auto"/>
      </w:divBdr>
    </w:div>
    <w:div w:id="22101392">
      <w:bodyDiv w:val="1"/>
      <w:marLeft w:val="0"/>
      <w:marRight w:val="0"/>
      <w:marTop w:val="0"/>
      <w:marBottom w:val="0"/>
      <w:divBdr>
        <w:top w:val="none" w:sz="0" w:space="0" w:color="auto"/>
        <w:left w:val="none" w:sz="0" w:space="0" w:color="auto"/>
        <w:bottom w:val="none" w:sz="0" w:space="0" w:color="auto"/>
        <w:right w:val="none" w:sz="0" w:space="0" w:color="auto"/>
      </w:divBdr>
    </w:div>
    <w:div w:id="22292047">
      <w:bodyDiv w:val="1"/>
      <w:marLeft w:val="0"/>
      <w:marRight w:val="0"/>
      <w:marTop w:val="0"/>
      <w:marBottom w:val="0"/>
      <w:divBdr>
        <w:top w:val="none" w:sz="0" w:space="0" w:color="auto"/>
        <w:left w:val="none" w:sz="0" w:space="0" w:color="auto"/>
        <w:bottom w:val="none" w:sz="0" w:space="0" w:color="auto"/>
        <w:right w:val="none" w:sz="0" w:space="0" w:color="auto"/>
      </w:divBdr>
    </w:div>
    <w:div w:id="22362934">
      <w:bodyDiv w:val="1"/>
      <w:marLeft w:val="0"/>
      <w:marRight w:val="0"/>
      <w:marTop w:val="0"/>
      <w:marBottom w:val="0"/>
      <w:divBdr>
        <w:top w:val="none" w:sz="0" w:space="0" w:color="auto"/>
        <w:left w:val="none" w:sz="0" w:space="0" w:color="auto"/>
        <w:bottom w:val="none" w:sz="0" w:space="0" w:color="auto"/>
        <w:right w:val="none" w:sz="0" w:space="0" w:color="auto"/>
      </w:divBdr>
    </w:div>
    <w:div w:id="22437442">
      <w:bodyDiv w:val="1"/>
      <w:marLeft w:val="0"/>
      <w:marRight w:val="0"/>
      <w:marTop w:val="0"/>
      <w:marBottom w:val="0"/>
      <w:divBdr>
        <w:top w:val="none" w:sz="0" w:space="0" w:color="auto"/>
        <w:left w:val="none" w:sz="0" w:space="0" w:color="auto"/>
        <w:bottom w:val="none" w:sz="0" w:space="0" w:color="auto"/>
        <w:right w:val="none" w:sz="0" w:space="0" w:color="auto"/>
      </w:divBdr>
    </w:div>
    <w:div w:id="22676270">
      <w:bodyDiv w:val="1"/>
      <w:marLeft w:val="0"/>
      <w:marRight w:val="0"/>
      <w:marTop w:val="0"/>
      <w:marBottom w:val="0"/>
      <w:divBdr>
        <w:top w:val="none" w:sz="0" w:space="0" w:color="auto"/>
        <w:left w:val="none" w:sz="0" w:space="0" w:color="auto"/>
        <w:bottom w:val="none" w:sz="0" w:space="0" w:color="auto"/>
        <w:right w:val="none" w:sz="0" w:space="0" w:color="auto"/>
      </w:divBdr>
    </w:div>
    <w:div w:id="22748546">
      <w:bodyDiv w:val="1"/>
      <w:marLeft w:val="0"/>
      <w:marRight w:val="0"/>
      <w:marTop w:val="0"/>
      <w:marBottom w:val="0"/>
      <w:divBdr>
        <w:top w:val="none" w:sz="0" w:space="0" w:color="auto"/>
        <w:left w:val="none" w:sz="0" w:space="0" w:color="auto"/>
        <w:bottom w:val="none" w:sz="0" w:space="0" w:color="auto"/>
        <w:right w:val="none" w:sz="0" w:space="0" w:color="auto"/>
      </w:divBdr>
    </w:div>
    <w:div w:id="22899585">
      <w:bodyDiv w:val="1"/>
      <w:marLeft w:val="0"/>
      <w:marRight w:val="0"/>
      <w:marTop w:val="0"/>
      <w:marBottom w:val="0"/>
      <w:divBdr>
        <w:top w:val="none" w:sz="0" w:space="0" w:color="auto"/>
        <w:left w:val="none" w:sz="0" w:space="0" w:color="auto"/>
        <w:bottom w:val="none" w:sz="0" w:space="0" w:color="auto"/>
        <w:right w:val="none" w:sz="0" w:space="0" w:color="auto"/>
      </w:divBdr>
    </w:div>
    <w:div w:id="22950837">
      <w:bodyDiv w:val="1"/>
      <w:marLeft w:val="0"/>
      <w:marRight w:val="0"/>
      <w:marTop w:val="0"/>
      <w:marBottom w:val="0"/>
      <w:divBdr>
        <w:top w:val="none" w:sz="0" w:space="0" w:color="auto"/>
        <w:left w:val="none" w:sz="0" w:space="0" w:color="auto"/>
        <w:bottom w:val="none" w:sz="0" w:space="0" w:color="auto"/>
        <w:right w:val="none" w:sz="0" w:space="0" w:color="auto"/>
      </w:divBdr>
    </w:div>
    <w:div w:id="23017935">
      <w:bodyDiv w:val="1"/>
      <w:marLeft w:val="0"/>
      <w:marRight w:val="0"/>
      <w:marTop w:val="0"/>
      <w:marBottom w:val="0"/>
      <w:divBdr>
        <w:top w:val="none" w:sz="0" w:space="0" w:color="auto"/>
        <w:left w:val="none" w:sz="0" w:space="0" w:color="auto"/>
        <w:bottom w:val="none" w:sz="0" w:space="0" w:color="auto"/>
        <w:right w:val="none" w:sz="0" w:space="0" w:color="auto"/>
      </w:divBdr>
    </w:div>
    <w:div w:id="23093193">
      <w:bodyDiv w:val="1"/>
      <w:marLeft w:val="0"/>
      <w:marRight w:val="0"/>
      <w:marTop w:val="0"/>
      <w:marBottom w:val="0"/>
      <w:divBdr>
        <w:top w:val="none" w:sz="0" w:space="0" w:color="auto"/>
        <w:left w:val="none" w:sz="0" w:space="0" w:color="auto"/>
        <w:bottom w:val="none" w:sz="0" w:space="0" w:color="auto"/>
        <w:right w:val="none" w:sz="0" w:space="0" w:color="auto"/>
      </w:divBdr>
    </w:div>
    <w:div w:id="23215675">
      <w:bodyDiv w:val="1"/>
      <w:marLeft w:val="0"/>
      <w:marRight w:val="0"/>
      <w:marTop w:val="0"/>
      <w:marBottom w:val="0"/>
      <w:divBdr>
        <w:top w:val="none" w:sz="0" w:space="0" w:color="auto"/>
        <w:left w:val="none" w:sz="0" w:space="0" w:color="auto"/>
        <w:bottom w:val="none" w:sz="0" w:space="0" w:color="auto"/>
        <w:right w:val="none" w:sz="0" w:space="0" w:color="auto"/>
      </w:divBdr>
    </w:div>
    <w:div w:id="23336312">
      <w:bodyDiv w:val="1"/>
      <w:marLeft w:val="0"/>
      <w:marRight w:val="0"/>
      <w:marTop w:val="0"/>
      <w:marBottom w:val="0"/>
      <w:divBdr>
        <w:top w:val="none" w:sz="0" w:space="0" w:color="auto"/>
        <w:left w:val="none" w:sz="0" w:space="0" w:color="auto"/>
        <w:bottom w:val="none" w:sz="0" w:space="0" w:color="auto"/>
        <w:right w:val="none" w:sz="0" w:space="0" w:color="auto"/>
      </w:divBdr>
    </w:div>
    <w:div w:id="23362596">
      <w:bodyDiv w:val="1"/>
      <w:marLeft w:val="0"/>
      <w:marRight w:val="0"/>
      <w:marTop w:val="0"/>
      <w:marBottom w:val="0"/>
      <w:divBdr>
        <w:top w:val="none" w:sz="0" w:space="0" w:color="auto"/>
        <w:left w:val="none" w:sz="0" w:space="0" w:color="auto"/>
        <w:bottom w:val="none" w:sz="0" w:space="0" w:color="auto"/>
        <w:right w:val="none" w:sz="0" w:space="0" w:color="auto"/>
      </w:divBdr>
    </w:div>
    <w:div w:id="23406791">
      <w:bodyDiv w:val="1"/>
      <w:marLeft w:val="0"/>
      <w:marRight w:val="0"/>
      <w:marTop w:val="0"/>
      <w:marBottom w:val="0"/>
      <w:divBdr>
        <w:top w:val="none" w:sz="0" w:space="0" w:color="auto"/>
        <w:left w:val="none" w:sz="0" w:space="0" w:color="auto"/>
        <w:bottom w:val="none" w:sz="0" w:space="0" w:color="auto"/>
        <w:right w:val="none" w:sz="0" w:space="0" w:color="auto"/>
      </w:divBdr>
    </w:div>
    <w:div w:id="23412679">
      <w:bodyDiv w:val="1"/>
      <w:marLeft w:val="0"/>
      <w:marRight w:val="0"/>
      <w:marTop w:val="0"/>
      <w:marBottom w:val="0"/>
      <w:divBdr>
        <w:top w:val="none" w:sz="0" w:space="0" w:color="auto"/>
        <w:left w:val="none" w:sz="0" w:space="0" w:color="auto"/>
        <w:bottom w:val="none" w:sz="0" w:space="0" w:color="auto"/>
        <w:right w:val="none" w:sz="0" w:space="0" w:color="auto"/>
      </w:divBdr>
    </w:div>
    <w:div w:id="23555419">
      <w:bodyDiv w:val="1"/>
      <w:marLeft w:val="0"/>
      <w:marRight w:val="0"/>
      <w:marTop w:val="0"/>
      <w:marBottom w:val="0"/>
      <w:divBdr>
        <w:top w:val="none" w:sz="0" w:space="0" w:color="auto"/>
        <w:left w:val="none" w:sz="0" w:space="0" w:color="auto"/>
        <w:bottom w:val="none" w:sz="0" w:space="0" w:color="auto"/>
        <w:right w:val="none" w:sz="0" w:space="0" w:color="auto"/>
      </w:divBdr>
    </w:div>
    <w:div w:id="23605840">
      <w:bodyDiv w:val="1"/>
      <w:marLeft w:val="0"/>
      <w:marRight w:val="0"/>
      <w:marTop w:val="0"/>
      <w:marBottom w:val="0"/>
      <w:divBdr>
        <w:top w:val="none" w:sz="0" w:space="0" w:color="auto"/>
        <w:left w:val="none" w:sz="0" w:space="0" w:color="auto"/>
        <w:bottom w:val="none" w:sz="0" w:space="0" w:color="auto"/>
        <w:right w:val="none" w:sz="0" w:space="0" w:color="auto"/>
      </w:divBdr>
    </w:div>
    <w:div w:id="23747573">
      <w:bodyDiv w:val="1"/>
      <w:marLeft w:val="0"/>
      <w:marRight w:val="0"/>
      <w:marTop w:val="0"/>
      <w:marBottom w:val="0"/>
      <w:divBdr>
        <w:top w:val="none" w:sz="0" w:space="0" w:color="auto"/>
        <w:left w:val="none" w:sz="0" w:space="0" w:color="auto"/>
        <w:bottom w:val="none" w:sz="0" w:space="0" w:color="auto"/>
        <w:right w:val="none" w:sz="0" w:space="0" w:color="auto"/>
      </w:divBdr>
    </w:div>
    <w:div w:id="23874652">
      <w:bodyDiv w:val="1"/>
      <w:marLeft w:val="0"/>
      <w:marRight w:val="0"/>
      <w:marTop w:val="0"/>
      <w:marBottom w:val="0"/>
      <w:divBdr>
        <w:top w:val="none" w:sz="0" w:space="0" w:color="auto"/>
        <w:left w:val="none" w:sz="0" w:space="0" w:color="auto"/>
        <w:bottom w:val="none" w:sz="0" w:space="0" w:color="auto"/>
        <w:right w:val="none" w:sz="0" w:space="0" w:color="auto"/>
      </w:divBdr>
    </w:div>
    <w:div w:id="23941408">
      <w:bodyDiv w:val="1"/>
      <w:marLeft w:val="0"/>
      <w:marRight w:val="0"/>
      <w:marTop w:val="0"/>
      <w:marBottom w:val="0"/>
      <w:divBdr>
        <w:top w:val="none" w:sz="0" w:space="0" w:color="auto"/>
        <w:left w:val="none" w:sz="0" w:space="0" w:color="auto"/>
        <w:bottom w:val="none" w:sz="0" w:space="0" w:color="auto"/>
        <w:right w:val="none" w:sz="0" w:space="0" w:color="auto"/>
      </w:divBdr>
    </w:div>
    <w:div w:id="23950080">
      <w:bodyDiv w:val="1"/>
      <w:marLeft w:val="0"/>
      <w:marRight w:val="0"/>
      <w:marTop w:val="0"/>
      <w:marBottom w:val="0"/>
      <w:divBdr>
        <w:top w:val="none" w:sz="0" w:space="0" w:color="auto"/>
        <w:left w:val="none" w:sz="0" w:space="0" w:color="auto"/>
        <w:bottom w:val="none" w:sz="0" w:space="0" w:color="auto"/>
        <w:right w:val="none" w:sz="0" w:space="0" w:color="auto"/>
      </w:divBdr>
    </w:div>
    <w:div w:id="24065589">
      <w:bodyDiv w:val="1"/>
      <w:marLeft w:val="0"/>
      <w:marRight w:val="0"/>
      <w:marTop w:val="0"/>
      <w:marBottom w:val="0"/>
      <w:divBdr>
        <w:top w:val="none" w:sz="0" w:space="0" w:color="auto"/>
        <w:left w:val="none" w:sz="0" w:space="0" w:color="auto"/>
        <w:bottom w:val="none" w:sz="0" w:space="0" w:color="auto"/>
        <w:right w:val="none" w:sz="0" w:space="0" w:color="auto"/>
      </w:divBdr>
    </w:div>
    <w:div w:id="24135174">
      <w:bodyDiv w:val="1"/>
      <w:marLeft w:val="0"/>
      <w:marRight w:val="0"/>
      <w:marTop w:val="0"/>
      <w:marBottom w:val="0"/>
      <w:divBdr>
        <w:top w:val="none" w:sz="0" w:space="0" w:color="auto"/>
        <w:left w:val="none" w:sz="0" w:space="0" w:color="auto"/>
        <w:bottom w:val="none" w:sz="0" w:space="0" w:color="auto"/>
        <w:right w:val="none" w:sz="0" w:space="0" w:color="auto"/>
      </w:divBdr>
    </w:div>
    <w:div w:id="24143278">
      <w:bodyDiv w:val="1"/>
      <w:marLeft w:val="0"/>
      <w:marRight w:val="0"/>
      <w:marTop w:val="0"/>
      <w:marBottom w:val="0"/>
      <w:divBdr>
        <w:top w:val="none" w:sz="0" w:space="0" w:color="auto"/>
        <w:left w:val="none" w:sz="0" w:space="0" w:color="auto"/>
        <w:bottom w:val="none" w:sz="0" w:space="0" w:color="auto"/>
        <w:right w:val="none" w:sz="0" w:space="0" w:color="auto"/>
      </w:divBdr>
    </w:div>
    <w:div w:id="24253988">
      <w:bodyDiv w:val="1"/>
      <w:marLeft w:val="0"/>
      <w:marRight w:val="0"/>
      <w:marTop w:val="0"/>
      <w:marBottom w:val="0"/>
      <w:divBdr>
        <w:top w:val="none" w:sz="0" w:space="0" w:color="auto"/>
        <w:left w:val="none" w:sz="0" w:space="0" w:color="auto"/>
        <w:bottom w:val="none" w:sz="0" w:space="0" w:color="auto"/>
        <w:right w:val="none" w:sz="0" w:space="0" w:color="auto"/>
      </w:divBdr>
    </w:div>
    <w:div w:id="24454953">
      <w:bodyDiv w:val="1"/>
      <w:marLeft w:val="0"/>
      <w:marRight w:val="0"/>
      <w:marTop w:val="0"/>
      <w:marBottom w:val="0"/>
      <w:divBdr>
        <w:top w:val="none" w:sz="0" w:space="0" w:color="auto"/>
        <w:left w:val="none" w:sz="0" w:space="0" w:color="auto"/>
        <w:bottom w:val="none" w:sz="0" w:space="0" w:color="auto"/>
        <w:right w:val="none" w:sz="0" w:space="0" w:color="auto"/>
      </w:divBdr>
    </w:div>
    <w:div w:id="24529366">
      <w:bodyDiv w:val="1"/>
      <w:marLeft w:val="0"/>
      <w:marRight w:val="0"/>
      <w:marTop w:val="0"/>
      <w:marBottom w:val="0"/>
      <w:divBdr>
        <w:top w:val="none" w:sz="0" w:space="0" w:color="auto"/>
        <w:left w:val="none" w:sz="0" w:space="0" w:color="auto"/>
        <w:bottom w:val="none" w:sz="0" w:space="0" w:color="auto"/>
        <w:right w:val="none" w:sz="0" w:space="0" w:color="auto"/>
      </w:divBdr>
    </w:div>
    <w:div w:id="24603785">
      <w:bodyDiv w:val="1"/>
      <w:marLeft w:val="0"/>
      <w:marRight w:val="0"/>
      <w:marTop w:val="0"/>
      <w:marBottom w:val="0"/>
      <w:divBdr>
        <w:top w:val="none" w:sz="0" w:space="0" w:color="auto"/>
        <w:left w:val="none" w:sz="0" w:space="0" w:color="auto"/>
        <w:bottom w:val="none" w:sz="0" w:space="0" w:color="auto"/>
        <w:right w:val="none" w:sz="0" w:space="0" w:color="auto"/>
      </w:divBdr>
    </w:div>
    <w:div w:id="24642921">
      <w:bodyDiv w:val="1"/>
      <w:marLeft w:val="0"/>
      <w:marRight w:val="0"/>
      <w:marTop w:val="0"/>
      <w:marBottom w:val="0"/>
      <w:divBdr>
        <w:top w:val="none" w:sz="0" w:space="0" w:color="auto"/>
        <w:left w:val="none" w:sz="0" w:space="0" w:color="auto"/>
        <w:bottom w:val="none" w:sz="0" w:space="0" w:color="auto"/>
        <w:right w:val="none" w:sz="0" w:space="0" w:color="auto"/>
      </w:divBdr>
    </w:div>
    <w:div w:id="24643529">
      <w:bodyDiv w:val="1"/>
      <w:marLeft w:val="0"/>
      <w:marRight w:val="0"/>
      <w:marTop w:val="0"/>
      <w:marBottom w:val="0"/>
      <w:divBdr>
        <w:top w:val="none" w:sz="0" w:space="0" w:color="auto"/>
        <w:left w:val="none" w:sz="0" w:space="0" w:color="auto"/>
        <w:bottom w:val="none" w:sz="0" w:space="0" w:color="auto"/>
        <w:right w:val="none" w:sz="0" w:space="0" w:color="auto"/>
      </w:divBdr>
    </w:div>
    <w:div w:id="24714719">
      <w:bodyDiv w:val="1"/>
      <w:marLeft w:val="0"/>
      <w:marRight w:val="0"/>
      <w:marTop w:val="0"/>
      <w:marBottom w:val="0"/>
      <w:divBdr>
        <w:top w:val="none" w:sz="0" w:space="0" w:color="auto"/>
        <w:left w:val="none" w:sz="0" w:space="0" w:color="auto"/>
        <w:bottom w:val="none" w:sz="0" w:space="0" w:color="auto"/>
        <w:right w:val="none" w:sz="0" w:space="0" w:color="auto"/>
      </w:divBdr>
    </w:div>
    <w:div w:id="24790783">
      <w:bodyDiv w:val="1"/>
      <w:marLeft w:val="0"/>
      <w:marRight w:val="0"/>
      <w:marTop w:val="0"/>
      <w:marBottom w:val="0"/>
      <w:divBdr>
        <w:top w:val="none" w:sz="0" w:space="0" w:color="auto"/>
        <w:left w:val="none" w:sz="0" w:space="0" w:color="auto"/>
        <w:bottom w:val="none" w:sz="0" w:space="0" w:color="auto"/>
        <w:right w:val="none" w:sz="0" w:space="0" w:color="auto"/>
      </w:divBdr>
    </w:div>
    <w:div w:id="24798245">
      <w:bodyDiv w:val="1"/>
      <w:marLeft w:val="0"/>
      <w:marRight w:val="0"/>
      <w:marTop w:val="0"/>
      <w:marBottom w:val="0"/>
      <w:divBdr>
        <w:top w:val="none" w:sz="0" w:space="0" w:color="auto"/>
        <w:left w:val="none" w:sz="0" w:space="0" w:color="auto"/>
        <w:bottom w:val="none" w:sz="0" w:space="0" w:color="auto"/>
        <w:right w:val="none" w:sz="0" w:space="0" w:color="auto"/>
      </w:divBdr>
    </w:div>
    <w:div w:id="24839101">
      <w:bodyDiv w:val="1"/>
      <w:marLeft w:val="0"/>
      <w:marRight w:val="0"/>
      <w:marTop w:val="0"/>
      <w:marBottom w:val="0"/>
      <w:divBdr>
        <w:top w:val="none" w:sz="0" w:space="0" w:color="auto"/>
        <w:left w:val="none" w:sz="0" w:space="0" w:color="auto"/>
        <w:bottom w:val="none" w:sz="0" w:space="0" w:color="auto"/>
        <w:right w:val="none" w:sz="0" w:space="0" w:color="auto"/>
      </w:divBdr>
    </w:div>
    <w:div w:id="25375448">
      <w:bodyDiv w:val="1"/>
      <w:marLeft w:val="0"/>
      <w:marRight w:val="0"/>
      <w:marTop w:val="0"/>
      <w:marBottom w:val="0"/>
      <w:divBdr>
        <w:top w:val="none" w:sz="0" w:space="0" w:color="auto"/>
        <w:left w:val="none" w:sz="0" w:space="0" w:color="auto"/>
        <w:bottom w:val="none" w:sz="0" w:space="0" w:color="auto"/>
        <w:right w:val="none" w:sz="0" w:space="0" w:color="auto"/>
      </w:divBdr>
    </w:div>
    <w:div w:id="25376619">
      <w:bodyDiv w:val="1"/>
      <w:marLeft w:val="0"/>
      <w:marRight w:val="0"/>
      <w:marTop w:val="0"/>
      <w:marBottom w:val="0"/>
      <w:divBdr>
        <w:top w:val="none" w:sz="0" w:space="0" w:color="auto"/>
        <w:left w:val="none" w:sz="0" w:space="0" w:color="auto"/>
        <w:bottom w:val="none" w:sz="0" w:space="0" w:color="auto"/>
        <w:right w:val="none" w:sz="0" w:space="0" w:color="auto"/>
      </w:divBdr>
    </w:div>
    <w:div w:id="25449650">
      <w:bodyDiv w:val="1"/>
      <w:marLeft w:val="0"/>
      <w:marRight w:val="0"/>
      <w:marTop w:val="0"/>
      <w:marBottom w:val="0"/>
      <w:divBdr>
        <w:top w:val="none" w:sz="0" w:space="0" w:color="auto"/>
        <w:left w:val="none" w:sz="0" w:space="0" w:color="auto"/>
        <w:bottom w:val="none" w:sz="0" w:space="0" w:color="auto"/>
        <w:right w:val="none" w:sz="0" w:space="0" w:color="auto"/>
      </w:divBdr>
    </w:div>
    <w:div w:id="25571099">
      <w:bodyDiv w:val="1"/>
      <w:marLeft w:val="0"/>
      <w:marRight w:val="0"/>
      <w:marTop w:val="0"/>
      <w:marBottom w:val="0"/>
      <w:divBdr>
        <w:top w:val="none" w:sz="0" w:space="0" w:color="auto"/>
        <w:left w:val="none" w:sz="0" w:space="0" w:color="auto"/>
        <w:bottom w:val="none" w:sz="0" w:space="0" w:color="auto"/>
        <w:right w:val="none" w:sz="0" w:space="0" w:color="auto"/>
      </w:divBdr>
    </w:div>
    <w:div w:id="25643632">
      <w:bodyDiv w:val="1"/>
      <w:marLeft w:val="0"/>
      <w:marRight w:val="0"/>
      <w:marTop w:val="0"/>
      <w:marBottom w:val="0"/>
      <w:divBdr>
        <w:top w:val="none" w:sz="0" w:space="0" w:color="auto"/>
        <w:left w:val="none" w:sz="0" w:space="0" w:color="auto"/>
        <w:bottom w:val="none" w:sz="0" w:space="0" w:color="auto"/>
        <w:right w:val="none" w:sz="0" w:space="0" w:color="auto"/>
      </w:divBdr>
    </w:div>
    <w:div w:id="25645746">
      <w:bodyDiv w:val="1"/>
      <w:marLeft w:val="0"/>
      <w:marRight w:val="0"/>
      <w:marTop w:val="0"/>
      <w:marBottom w:val="0"/>
      <w:divBdr>
        <w:top w:val="none" w:sz="0" w:space="0" w:color="auto"/>
        <w:left w:val="none" w:sz="0" w:space="0" w:color="auto"/>
        <w:bottom w:val="none" w:sz="0" w:space="0" w:color="auto"/>
        <w:right w:val="none" w:sz="0" w:space="0" w:color="auto"/>
      </w:divBdr>
    </w:div>
    <w:div w:id="25914719">
      <w:bodyDiv w:val="1"/>
      <w:marLeft w:val="0"/>
      <w:marRight w:val="0"/>
      <w:marTop w:val="0"/>
      <w:marBottom w:val="0"/>
      <w:divBdr>
        <w:top w:val="none" w:sz="0" w:space="0" w:color="auto"/>
        <w:left w:val="none" w:sz="0" w:space="0" w:color="auto"/>
        <w:bottom w:val="none" w:sz="0" w:space="0" w:color="auto"/>
        <w:right w:val="none" w:sz="0" w:space="0" w:color="auto"/>
      </w:divBdr>
    </w:div>
    <w:div w:id="25952489">
      <w:bodyDiv w:val="1"/>
      <w:marLeft w:val="0"/>
      <w:marRight w:val="0"/>
      <w:marTop w:val="0"/>
      <w:marBottom w:val="0"/>
      <w:divBdr>
        <w:top w:val="none" w:sz="0" w:space="0" w:color="auto"/>
        <w:left w:val="none" w:sz="0" w:space="0" w:color="auto"/>
        <w:bottom w:val="none" w:sz="0" w:space="0" w:color="auto"/>
        <w:right w:val="none" w:sz="0" w:space="0" w:color="auto"/>
      </w:divBdr>
    </w:div>
    <w:div w:id="26177484">
      <w:bodyDiv w:val="1"/>
      <w:marLeft w:val="0"/>
      <w:marRight w:val="0"/>
      <w:marTop w:val="0"/>
      <w:marBottom w:val="0"/>
      <w:divBdr>
        <w:top w:val="none" w:sz="0" w:space="0" w:color="auto"/>
        <w:left w:val="none" w:sz="0" w:space="0" w:color="auto"/>
        <w:bottom w:val="none" w:sz="0" w:space="0" w:color="auto"/>
        <w:right w:val="none" w:sz="0" w:space="0" w:color="auto"/>
      </w:divBdr>
    </w:div>
    <w:div w:id="26177588">
      <w:bodyDiv w:val="1"/>
      <w:marLeft w:val="0"/>
      <w:marRight w:val="0"/>
      <w:marTop w:val="0"/>
      <w:marBottom w:val="0"/>
      <w:divBdr>
        <w:top w:val="none" w:sz="0" w:space="0" w:color="auto"/>
        <w:left w:val="none" w:sz="0" w:space="0" w:color="auto"/>
        <w:bottom w:val="none" w:sz="0" w:space="0" w:color="auto"/>
        <w:right w:val="none" w:sz="0" w:space="0" w:color="auto"/>
      </w:divBdr>
    </w:div>
    <w:div w:id="26219784">
      <w:bodyDiv w:val="1"/>
      <w:marLeft w:val="0"/>
      <w:marRight w:val="0"/>
      <w:marTop w:val="0"/>
      <w:marBottom w:val="0"/>
      <w:divBdr>
        <w:top w:val="none" w:sz="0" w:space="0" w:color="auto"/>
        <w:left w:val="none" w:sz="0" w:space="0" w:color="auto"/>
        <w:bottom w:val="none" w:sz="0" w:space="0" w:color="auto"/>
        <w:right w:val="none" w:sz="0" w:space="0" w:color="auto"/>
      </w:divBdr>
    </w:div>
    <w:div w:id="26223456">
      <w:bodyDiv w:val="1"/>
      <w:marLeft w:val="0"/>
      <w:marRight w:val="0"/>
      <w:marTop w:val="0"/>
      <w:marBottom w:val="0"/>
      <w:divBdr>
        <w:top w:val="none" w:sz="0" w:space="0" w:color="auto"/>
        <w:left w:val="none" w:sz="0" w:space="0" w:color="auto"/>
        <w:bottom w:val="none" w:sz="0" w:space="0" w:color="auto"/>
        <w:right w:val="none" w:sz="0" w:space="0" w:color="auto"/>
      </w:divBdr>
    </w:div>
    <w:div w:id="26487471">
      <w:bodyDiv w:val="1"/>
      <w:marLeft w:val="0"/>
      <w:marRight w:val="0"/>
      <w:marTop w:val="0"/>
      <w:marBottom w:val="0"/>
      <w:divBdr>
        <w:top w:val="none" w:sz="0" w:space="0" w:color="auto"/>
        <w:left w:val="none" w:sz="0" w:space="0" w:color="auto"/>
        <w:bottom w:val="none" w:sz="0" w:space="0" w:color="auto"/>
        <w:right w:val="none" w:sz="0" w:space="0" w:color="auto"/>
      </w:divBdr>
    </w:div>
    <w:div w:id="26686853">
      <w:bodyDiv w:val="1"/>
      <w:marLeft w:val="0"/>
      <w:marRight w:val="0"/>
      <w:marTop w:val="0"/>
      <w:marBottom w:val="0"/>
      <w:divBdr>
        <w:top w:val="none" w:sz="0" w:space="0" w:color="auto"/>
        <w:left w:val="none" w:sz="0" w:space="0" w:color="auto"/>
        <w:bottom w:val="none" w:sz="0" w:space="0" w:color="auto"/>
        <w:right w:val="none" w:sz="0" w:space="0" w:color="auto"/>
      </w:divBdr>
    </w:div>
    <w:div w:id="26687693">
      <w:bodyDiv w:val="1"/>
      <w:marLeft w:val="0"/>
      <w:marRight w:val="0"/>
      <w:marTop w:val="0"/>
      <w:marBottom w:val="0"/>
      <w:divBdr>
        <w:top w:val="none" w:sz="0" w:space="0" w:color="auto"/>
        <w:left w:val="none" w:sz="0" w:space="0" w:color="auto"/>
        <w:bottom w:val="none" w:sz="0" w:space="0" w:color="auto"/>
        <w:right w:val="none" w:sz="0" w:space="0" w:color="auto"/>
      </w:divBdr>
    </w:div>
    <w:div w:id="26950836">
      <w:bodyDiv w:val="1"/>
      <w:marLeft w:val="0"/>
      <w:marRight w:val="0"/>
      <w:marTop w:val="0"/>
      <w:marBottom w:val="0"/>
      <w:divBdr>
        <w:top w:val="none" w:sz="0" w:space="0" w:color="auto"/>
        <w:left w:val="none" w:sz="0" w:space="0" w:color="auto"/>
        <w:bottom w:val="none" w:sz="0" w:space="0" w:color="auto"/>
        <w:right w:val="none" w:sz="0" w:space="0" w:color="auto"/>
      </w:divBdr>
    </w:div>
    <w:div w:id="26957319">
      <w:bodyDiv w:val="1"/>
      <w:marLeft w:val="0"/>
      <w:marRight w:val="0"/>
      <w:marTop w:val="0"/>
      <w:marBottom w:val="0"/>
      <w:divBdr>
        <w:top w:val="none" w:sz="0" w:space="0" w:color="auto"/>
        <w:left w:val="none" w:sz="0" w:space="0" w:color="auto"/>
        <w:bottom w:val="none" w:sz="0" w:space="0" w:color="auto"/>
        <w:right w:val="none" w:sz="0" w:space="0" w:color="auto"/>
      </w:divBdr>
    </w:div>
    <w:div w:id="27030563">
      <w:bodyDiv w:val="1"/>
      <w:marLeft w:val="0"/>
      <w:marRight w:val="0"/>
      <w:marTop w:val="0"/>
      <w:marBottom w:val="0"/>
      <w:divBdr>
        <w:top w:val="none" w:sz="0" w:space="0" w:color="auto"/>
        <w:left w:val="none" w:sz="0" w:space="0" w:color="auto"/>
        <w:bottom w:val="none" w:sz="0" w:space="0" w:color="auto"/>
        <w:right w:val="none" w:sz="0" w:space="0" w:color="auto"/>
      </w:divBdr>
    </w:div>
    <w:div w:id="27033387">
      <w:bodyDiv w:val="1"/>
      <w:marLeft w:val="0"/>
      <w:marRight w:val="0"/>
      <w:marTop w:val="0"/>
      <w:marBottom w:val="0"/>
      <w:divBdr>
        <w:top w:val="none" w:sz="0" w:space="0" w:color="auto"/>
        <w:left w:val="none" w:sz="0" w:space="0" w:color="auto"/>
        <w:bottom w:val="none" w:sz="0" w:space="0" w:color="auto"/>
        <w:right w:val="none" w:sz="0" w:space="0" w:color="auto"/>
      </w:divBdr>
    </w:div>
    <w:div w:id="27072427">
      <w:bodyDiv w:val="1"/>
      <w:marLeft w:val="0"/>
      <w:marRight w:val="0"/>
      <w:marTop w:val="0"/>
      <w:marBottom w:val="0"/>
      <w:divBdr>
        <w:top w:val="none" w:sz="0" w:space="0" w:color="auto"/>
        <w:left w:val="none" w:sz="0" w:space="0" w:color="auto"/>
        <w:bottom w:val="none" w:sz="0" w:space="0" w:color="auto"/>
        <w:right w:val="none" w:sz="0" w:space="0" w:color="auto"/>
      </w:divBdr>
    </w:div>
    <w:div w:id="27148556">
      <w:bodyDiv w:val="1"/>
      <w:marLeft w:val="0"/>
      <w:marRight w:val="0"/>
      <w:marTop w:val="0"/>
      <w:marBottom w:val="0"/>
      <w:divBdr>
        <w:top w:val="none" w:sz="0" w:space="0" w:color="auto"/>
        <w:left w:val="none" w:sz="0" w:space="0" w:color="auto"/>
        <w:bottom w:val="none" w:sz="0" w:space="0" w:color="auto"/>
        <w:right w:val="none" w:sz="0" w:space="0" w:color="auto"/>
      </w:divBdr>
    </w:div>
    <w:div w:id="27528468">
      <w:bodyDiv w:val="1"/>
      <w:marLeft w:val="0"/>
      <w:marRight w:val="0"/>
      <w:marTop w:val="0"/>
      <w:marBottom w:val="0"/>
      <w:divBdr>
        <w:top w:val="none" w:sz="0" w:space="0" w:color="auto"/>
        <w:left w:val="none" w:sz="0" w:space="0" w:color="auto"/>
        <w:bottom w:val="none" w:sz="0" w:space="0" w:color="auto"/>
        <w:right w:val="none" w:sz="0" w:space="0" w:color="auto"/>
      </w:divBdr>
    </w:div>
    <w:div w:id="27530972">
      <w:bodyDiv w:val="1"/>
      <w:marLeft w:val="0"/>
      <w:marRight w:val="0"/>
      <w:marTop w:val="0"/>
      <w:marBottom w:val="0"/>
      <w:divBdr>
        <w:top w:val="none" w:sz="0" w:space="0" w:color="auto"/>
        <w:left w:val="none" w:sz="0" w:space="0" w:color="auto"/>
        <w:bottom w:val="none" w:sz="0" w:space="0" w:color="auto"/>
        <w:right w:val="none" w:sz="0" w:space="0" w:color="auto"/>
      </w:divBdr>
    </w:div>
    <w:div w:id="27679093">
      <w:bodyDiv w:val="1"/>
      <w:marLeft w:val="0"/>
      <w:marRight w:val="0"/>
      <w:marTop w:val="0"/>
      <w:marBottom w:val="0"/>
      <w:divBdr>
        <w:top w:val="none" w:sz="0" w:space="0" w:color="auto"/>
        <w:left w:val="none" w:sz="0" w:space="0" w:color="auto"/>
        <w:bottom w:val="none" w:sz="0" w:space="0" w:color="auto"/>
        <w:right w:val="none" w:sz="0" w:space="0" w:color="auto"/>
      </w:divBdr>
    </w:div>
    <w:div w:id="27724847">
      <w:bodyDiv w:val="1"/>
      <w:marLeft w:val="0"/>
      <w:marRight w:val="0"/>
      <w:marTop w:val="0"/>
      <w:marBottom w:val="0"/>
      <w:divBdr>
        <w:top w:val="none" w:sz="0" w:space="0" w:color="auto"/>
        <w:left w:val="none" w:sz="0" w:space="0" w:color="auto"/>
        <w:bottom w:val="none" w:sz="0" w:space="0" w:color="auto"/>
        <w:right w:val="none" w:sz="0" w:space="0" w:color="auto"/>
      </w:divBdr>
    </w:div>
    <w:div w:id="27875130">
      <w:bodyDiv w:val="1"/>
      <w:marLeft w:val="0"/>
      <w:marRight w:val="0"/>
      <w:marTop w:val="0"/>
      <w:marBottom w:val="0"/>
      <w:divBdr>
        <w:top w:val="none" w:sz="0" w:space="0" w:color="auto"/>
        <w:left w:val="none" w:sz="0" w:space="0" w:color="auto"/>
        <w:bottom w:val="none" w:sz="0" w:space="0" w:color="auto"/>
        <w:right w:val="none" w:sz="0" w:space="0" w:color="auto"/>
      </w:divBdr>
    </w:div>
    <w:div w:id="27875930">
      <w:bodyDiv w:val="1"/>
      <w:marLeft w:val="0"/>
      <w:marRight w:val="0"/>
      <w:marTop w:val="0"/>
      <w:marBottom w:val="0"/>
      <w:divBdr>
        <w:top w:val="none" w:sz="0" w:space="0" w:color="auto"/>
        <w:left w:val="none" w:sz="0" w:space="0" w:color="auto"/>
        <w:bottom w:val="none" w:sz="0" w:space="0" w:color="auto"/>
        <w:right w:val="none" w:sz="0" w:space="0" w:color="auto"/>
      </w:divBdr>
    </w:div>
    <w:div w:id="27993355">
      <w:bodyDiv w:val="1"/>
      <w:marLeft w:val="0"/>
      <w:marRight w:val="0"/>
      <w:marTop w:val="0"/>
      <w:marBottom w:val="0"/>
      <w:divBdr>
        <w:top w:val="none" w:sz="0" w:space="0" w:color="auto"/>
        <w:left w:val="none" w:sz="0" w:space="0" w:color="auto"/>
        <w:bottom w:val="none" w:sz="0" w:space="0" w:color="auto"/>
        <w:right w:val="none" w:sz="0" w:space="0" w:color="auto"/>
      </w:divBdr>
    </w:div>
    <w:div w:id="27994997">
      <w:bodyDiv w:val="1"/>
      <w:marLeft w:val="0"/>
      <w:marRight w:val="0"/>
      <w:marTop w:val="0"/>
      <w:marBottom w:val="0"/>
      <w:divBdr>
        <w:top w:val="none" w:sz="0" w:space="0" w:color="auto"/>
        <w:left w:val="none" w:sz="0" w:space="0" w:color="auto"/>
        <w:bottom w:val="none" w:sz="0" w:space="0" w:color="auto"/>
        <w:right w:val="none" w:sz="0" w:space="0" w:color="auto"/>
      </w:divBdr>
    </w:div>
    <w:div w:id="27995211">
      <w:bodyDiv w:val="1"/>
      <w:marLeft w:val="0"/>
      <w:marRight w:val="0"/>
      <w:marTop w:val="0"/>
      <w:marBottom w:val="0"/>
      <w:divBdr>
        <w:top w:val="none" w:sz="0" w:space="0" w:color="auto"/>
        <w:left w:val="none" w:sz="0" w:space="0" w:color="auto"/>
        <w:bottom w:val="none" w:sz="0" w:space="0" w:color="auto"/>
        <w:right w:val="none" w:sz="0" w:space="0" w:color="auto"/>
      </w:divBdr>
    </w:div>
    <w:div w:id="28069076">
      <w:bodyDiv w:val="1"/>
      <w:marLeft w:val="0"/>
      <w:marRight w:val="0"/>
      <w:marTop w:val="0"/>
      <w:marBottom w:val="0"/>
      <w:divBdr>
        <w:top w:val="none" w:sz="0" w:space="0" w:color="auto"/>
        <w:left w:val="none" w:sz="0" w:space="0" w:color="auto"/>
        <w:bottom w:val="none" w:sz="0" w:space="0" w:color="auto"/>
        <w:right w:val="none" w:sz="0" w:space="0" w:color="auto"/>
      </w:divBdr>
    </w:div>
    <w:div w:id="28144657">
      <w:bodyDiv w:val="1"/>
      <w:marLeft w:val="0"/>
      <w:marRight w:val="0"/>
      <w:marTop w:val="0"/>
      <w:marBottom w:val="0"/>
      <w:divBdr>
        <w:top w:val="none" w:sz="0" w:space="0" w:color="auto"/>
        <w:left w:val="none" w:sz="0" w:space="0" w:color="auto"/>
        <w:bottom w:val="none" w:sz="0" w:space="0" w:color="auto"/>
        <w:right w:val="none" w:sz="0" w:space="0" w:color="auto"/>
      </w:divBdr>
    </w:div>
    <w:div w:id="28192009">
      <w:bodyDiv w:val="1"/>
      <w:marLeft w:val="0"/>
      <w:marRight w:val="0"/>
      <w:marTop w:val="0"/>
      <w:marBottom w:val="0"/>
      <w:divBdr>
        <w:top w:val="none" w:sz="0" w:space="0" w:color="auto"/>
        <w:left w:val="none" w:sz="0" w:space="0" w:color="auto"/>
        <w:bottom w:val="none" w:sz="0" w:space="0" w:color="auto"/>
        <w:right w:val="none" w:sz="0" w:space="0" w:color="auto"/>
      </w:divBdr>
    </w:div>
    <w:div w:id="28381671">
      <w:bodyDiv w:val="1"/>
      <w:marLeft w:val="0"/>
      <w:marRight w:val="0"/>
      <w:marTop w:val="0"/>
      <w:marBottom w:val="0"/>
      <w:divBdr>
        <w:top w:val="none" w:sz="0" w:space="0" w:color="auto"/>
        <w:left w:val="none" w:sz="0" w:space="0" w:color="auto"/>
        <w:bottom w:val="none" w:sz="0" w:space="0" w:color="auto"/>
        <w:right w:val="none" w:sz="0" w:space="0" w:color="auto"/>
      </w:divBdr>
    </w:div>
    <w:div w:id="28384312">
      <w:bodyDiv w:val="1"/>
      <w:marLeft w:val="0"/>
      <w:marRight w:val="0"/>
      <w:marTop w:val="0"/>
      <w:marBottom w:val="0"/>
      <w:divBdr>
        <w:top w:val="none" w:sz="0" w:space="0" w:color="auto"/>
        <w:left w:val="none" w:sz="0" w:space="0" w:color="auto"/>
        <w:bottom w:val="none" w:sz="0" w:space="0" w:color="auto"/>
        <w:right w:val="none" w:sz="0" w:space="0" w:color="auto"/>
      </w:divBdr>
    </w:div>
    <w:div w:id="28606120">
      <w:bodyDiv w:val="1"/>
      <w:marLeft w:val="0"/>
      <w:marRight w:val="0"/>
      <w:marTop w:val="0"/>
      <w:marBottom w:val="0"/>
      <w:divBdr>
        <w:top w:val="none" w:sz="0" w:space="0" w:color="auto"/>
        <w:left w:val="none" w:sz="0" w:space="0" w:color="auto"/>
        <w:bottom w:val="none" w:sz="0" w:space="0" w:color="auto"/>
        <w:right w:val="none" w:sz="0" w:space="0" w:color="auto"/>
      </w:divBdr>
    </w:div>
    <w:div w:id="28647052">
      <w:bodyDiv w:val="1"/>
      <w:marLeft w:val="0"/>
      <w:marRight w:val="0"/>
      <w:marTop w:val="0"/>
      <w:marBottom w:val="0"/>
      <w:divBdr>
        <w:top w:val="none" w:sz="0" w:space="0" w:color="auto"/>
        <w:left w:val="none" w:sz="0" w:space="0" w:color="auto"/>
        <w:bottom w:val="none" w:sz="0" w:space="0" w:color="auto"/>
        <w:right w:val="none" w:sz="0" w:space="0" w:color="auto"/>
      </w:divBdr>
    </w:div>
    <w:div w:id="28843721">
      <w:bodyDiv w:val="1"/>
      <w:marLeft w:val="0"/>
      <w:marRight w:val="0"/>
      <w:marTop w:val="0"/>
      <w:marBottom w:val="0"/>
      <w:divBdr>
        <w:top w:val="none" w:sz="0" w:space="0" w:color="auto"/>
        <w:left w:val="none" w:sz="0" w:space="0" w:color="auto"/>
        <w:bottom w:val="none" w:sz="0" w:space="0" w:color="auto"/>
        <w:right w:val="none" w:sz="0" w:space="0" w:color="auto"/>
      </w:divBdr>
    </w:div>
    <w:div w:id="28845913">
      <w:bodyDiv w:val="1"/>
      <w:marLeft w:val="0"/>
      <w:marRight w:val="0"/>
      <w:marTop w:val="0"/>
      <w:marBottom w:val="0"/>
      <w:divBdr>
        <w:top w:val="none" w:sz="0" w:space="0" w:color="auto"/>
        <w:left w:val="none" w:sz="0" w:space="0" w:color="auto"/>
        <w:bottom w:val="none" w:sz="0" w:space="0" w:color="auto"/>
        <w:right w:val="none" w:sz="0" w:space="0" w:color="auto"/>
      </w:divBdr>
    </w:div>
    <w:div w:id="29040893">
      <w:bodyDiv w:val="1"/>
      <w:marLeft w:val="0"/>
      <w:marRight w:val="0"/>
      <w:marTop w:val="0"/>
      <w:marBottom w:val="0"/>
      <w:divBdr>
        <w:top w:val="none" w:sz="0" w:space="0" w:color="auto"/>
        <w:left w:val="none" w:sz="0" w:space="0" w:color="auto"/>
        <w:bottom w:val="none" w:sz="0" w:space="0" w:color="auto"/>
        <w:right w:val="none" w:sz="0" w:space="0" w:color="auto"/>
      </w:divBdr>
    </w:div>
    <w:div w:id="29109700">
      <w:bodyDiv w:val="1"/>
      <w:marLeft w:val="0"/>
      <w:marRight w:val="0"/>
      <w:marTop w:val="0"/>
      <w:marBottom w:val="0"/>
      <w:divBdr>
        <w:top w:val="none" w:sz="0" w:space="0" w:color="auto"/>
        <w:left w:val="none" w:sz="0" w:space="0" w:color="auto"/>
        <w:bottom w:val="none" w:sz="0" w:space="0" w:color="auto"/>
        <w:right w:val="none" w:sz="0" w:space="0" w:color="auto"/>
      </w:divBdr>
    </w:div>
    <w:div w:id="29377509">
      <w:bodyDiv w:val="1"/>
      <w:marLeft w:val="0"/>
      <w:marRight w:val="0"/>
      <w:marTop w:val="0"/>
      <w:marBottom w:val="0"/>
      <w:divBdr>
        <w:top w:val="none" w:sz="0" w:space="0" w:color="auto"/>
        <w:left w:val="none" w:sz="0" w:space="0" w:color="auto"/>
        <w:bottom w:val="none" w:sz="0" w:space="0" w:color="auto"/>
        <w:right w:val="none" w:sz="0" w:space="0" w:color="auto"/>
      </w:divBdr>
    </w:div>
    <w:div w:id="29378772">
      <w:bodyDiv w:val="1"/>
      <w:marLeft w:val="0"/>
      <w:marRight w:val="0"/>
      <w:marTop w:val="0"/>
      <w:marBottom w:val="0"/>
      <w:divBdr>
        <w:top w:val="none" w:sz="0" w:space="0" w:color="auto"/>
        <w:left w:val="none" w:sz="0" w:space="0" w:color="auto"/>
        <w:bottom w:val="none" w:sz="0" w:space="0" w:color="auto"/>
        <w:right w:val="none" w:sz="0" w:space="0" w:color="auto"/>
      </w:divBdr>
    </w:div>
    <w:div w:id="29570069">
      <w:bodyDiv w:val="1"/>
      <w:marLeft w:val="0"/>
      <w:marRight w:val="0"/>
      <w:marTop w:val="0"/>
      <w:marBottom w:val="0"/>
      <w:divBdr>
        <w:top w:val="none" w:sz="0" w:space="0" w:color="auto"/>
        <w:left w:val="none" w:sz="0" w:space="0" w:color="auto"/>
        <w:bottom w:val="none" w:sz="0" w:space="0" w:color="auto"/>
        <w:right w:val="none" w:sz="0" w:space="0" w:color="auto"/>
      </w:divBdr>
    </w:div>
    <w:div w:id="29689123">
      <w:bodyDiv w:val="1"/>
      <w:marLeft w:val="0"/>
      <w:marRight w:val="0"/>
      <w:marTop w:val="0"/>
      <w:marBottom w:val="0"/>
      <w:divBdr>
        <w:top w:val="none" w:sz="0" w:space="0" w:color="auto"/>
        <w:left w:val="none" w:sz="0" w:space="0" w:color="auto"/>
        <w:bottom w:val="none" w:sz="0" w:space="0" w:color="auto"/>
        <w:right w:val="none" w:sz="0" w:space="0" w:color="auto"/>
      </w:divBdr>
    </w:div>
    <w:div w:id="30106866">
      <w:bodyDiv w:val="1"/>
      <w:marLeft w:val="0"/>
      <w:marRight w:val="0"/>
      <w:marTop w:val="0"/>
      <w:marBottom w:val="0"/>
      <w:divBdr>
        <w:top w:val="none" w:sz="0" w:space="0" w:color="auto"/>
        <w:left w:val="none" w:sz="0" w:space="0" w:color="auto"/>
        <w:bottom w:val="none" w:sz="0" w:space="0" w:color="auto"/>
        <w:right w:val="none" w:sz="0" w:space="0" w:color="auto"/>
      </w:divBdr>
    </w:div>
    <w:div w:id="30109755">
      <w:bodyDiv w:val="1"/>
      <w:marLeft w:val="0"/>
      <w:marRight w:val="0"/>
      <w:marTop w:val="0"/>
      <w:marBottom w:val="0"/>
      <w:divBdr>
        <w:top w:val="none" w:sz="0" w:space="0" w:color="auto"/>
        <w:left w:val="none" w:sz="0" w:space="0" w:color="auto"/>
        <w:bottom w:val="none" w:sz="0" w:space="0" w:color="auto"/>
        <w:right w:val="none" w:sz="0" w:space="0" w:color="auto"/>
      </w:divBdr>
    </w:div>
    <w:div w:id="30233219">
      <w:bodyDiv w:val="1"/>
      <w:marLeft w:val="0"/>
      <w:marRight w:val="0"/>
      <w:marTop w:val="0"/>
      <w:marBottom w:val="0"/>
      <w:divBdr>
        <w:top w:val="none" w:sz="0" w:space="0" w:color="auto"/>
        <w:left w:val="none" w:sz="0" w:space="0" w:color="auto"/>
        <w:bottom w:val="none" w:sz="0" w:space="0" w:color="auto"/>
        <w:right w:val="none" w:sz="0" w:space="0" w:color="auto"/>
      </w:divBdr>
    </w:div>
    <w:div w:id="30233231">
      <w:bodyDiv w:val="1"/>
      <w:marLeft w:val="0"/>
      <w:marRight w:val="0"/>
      <w:marTop w:val="0"/>
      <w:marBottom w:val="0"/>
      <w:divBdr>
        <w:top w:val="none" w:sz="0" w:space="0" w:color="auto"/>
        <w:left w:val="none" w:sz="0" w:space="0" w:color="auto"/>
        <w:bottom w:val="none" w:sz="0" w:space="0" w:color="auto"/>
        <w:right w:val="none" w:sz="0" w:space="0" w:color="auto"/>
      </w:divBdr>
    </w:div>
    <w:div w:id="30308759">
      <w:bodyDiv w:val="1"/>
      <w:marLeft w:val="0"/>
      <w:marRight w:val="0"/>
      <w:marTop w:val="0"/>
      <w:marBottom w:val="0"/>
      <w:divBdr>
        <w:top w:val="none" w:sz="0" w:space="0" w:color="auto"/>
        <w:left w:val="none" w:sz="0" w:space="0" w:color="auto"/>
        <w:bottom w:val="none" w:sz="0" w:space="0" w:color="auto"/>
        <w:right w:val="none" w:sz="0" w:space="0" w:color="auto"/>
      </w:divBdr>
    </w:div>
    <w:div w:id="30496282">
      <w:bodyDiv w:val="1"/>
      <w:marLeft w:val="0"/>
      <w:marRight w:val="0"/>
      <w:marTop w:val="0"/>
      <w:marBottom w:val="0"/>
      <w:divBdr>
        <w:top w:val="none" w:sz="0" w:space="0" w:color="auto"/>
        <w:left w:val="none" w:sz="0" w:space="0" w:color="auto"/>
        <w:bottom w:val="none" w:sz="0" w:space="0" w:color="auto"/>
        <w:right w:val="none" w:sz="0" w:space="0" w:color="auto"/>
      </w:divBdr>
    </w:div>
    <w:div w:id="30540744">
      <w:bodyDiv w:val="1"/>
      <w:marLeft w:val="0"/>
      <w:marRight w:val="0"/>
      <w:marTop w:val="0"/>
      <w:marBottom w:val="0"/>
      <w:divBdr>
        <w:top w:val="none" w:sz="0" w:space="0" w:color="auto"/>
        <w:left w:val="none" w:sz="0" w:space="0" w:color="auto"/>
        <w:bottom w:val="none" w:sz="0" w:space="0" w:color="auto"/>
        <w:right w:val="none" w:sz="0" w:space="0" w:color="auto"/>
      </w:divBdr>
    </w:div>
    <w:div w:id="30569229">
      <w:bodyDiv w:val="1"/>
      <w:marLeft w:val="0"/>
      <w:marRight w:val="0"/>
      <w:marTop w:val="0"/>
      <w:marBottom w:val="0"/>
      <w:divBdr>
        <w:top w:val="none" w:sz="0" w:space="0" w:color="auto"/>
        <w:left w:val="none" w:sz="0" w:space="0" w:color="auto"/>
        <w:bottom w:val="none" w:sz="0" w:space="0" w:color="auto"/>
        <w:right w:val="none" w:sz="0" w:space="0" w:color="auto"/>
      </w:divBdr>
    </w:div>
    <w:div w:id="30616848">
      <w:bodyDiv w:val="1"/>
      <w:marLeft w:val="0"/>
      <w:marRight w:val="0"/>
      <w:marTop w:val="0"/>
      <w:marBottom w:val="0"/>
      <w:divBdr>
        <w:top w:val="none" w:sz="0" w:space="0" w:color="auto"/>
        <w:left w:val="none" w:sz="0" w:space="0" w:color="auto"/>
        <w:bottom w:val="none" w:sz="0" w:space="0" w:color="auto"/>
        <w:right w:val="none" w:sz="0" w:space="0" w:color="auto"/>
      </w:divBdr>
    </w:div>
    <w:div w:id="30617788">
      <w:bodyDiv w:val="1"/>
      <w:marLeft w:val="0"/>
      <w:marRight w:val="0"/>
      <w:marTop w:val="0"/>
      <w:marBottom w:val="0"/>
      <w:divBdr>
        <w:top w:val="none" w:sz="0" w:space="0" w:color="auto"/>
        <w:left w:val="none" w:sz="0" w:space="0" w:color="auto"/>
        <w:bottom w:val="none" w:sz="0" w:space="0" w:color="auto"/>
        <w:right w:val="none" w:sz="0" w:space="0" w:color="auto"/>
      </w:divBdr>
    </w:div>
    <w:div w:id="30805652">
      <w:bodyDiv w:val="1"/>
      <w:marLeft w:val="0"/>
      <w:marRight w:val="0"/>
      <w:marTop w:val="0"/>
      <w:marBottom w:val="0"/>
      <w:divBdr>
        <w:top w:val="none" w:sz="0" w:space="0" w:color="auto"/>
        <w:left w:val="none" w:sz="0" w:space="0" w:color="auto"/>
        <w:bottom w:val="none" w:sz="0" w:space="0" w:color="auto"/>
        <w:right w:val="none" w:sz="0" w:space="0" w:color="auto"/>
      </w:divBdr>
    </w:div>
    <w:div w:id="31149137">
      <w:bodyDiv w:val="1"/>
      <w:marLeft w:val="0"/>
      <w:marRight w:val="0"/>
      <w:marTop w:val="0"/>
      <w:marBottom w:val="0"/>
      <w:divBdr>
        <w:top w:val="none" w:sz="0" w:space="0" w:color="auto"/>
        <w:left w:val="none" w:sz="0" w:space="0" w:color="auto"/>
        <w:bottom w:val="none" w:sz="0" w:space="0" w:color="auto"/>
        <w:right w:val="none" w:sz="0" w:space="0" w:color="auto"/>
      </w:divBdr>
    </w:div>
    <w:div w:id="31613633">
      <w:bodyDiv w:val="1"/>
      <w:marLeft w:val="0"/>
      <w:marRight w:val="0"/>
      <w:marTop w:val="0"/>
      <w:marBottom w:val="0"/>
      <w:divBdr>
        <w:top w:val="none" w:sz="0" w:space="0" w:color="auto"/>
        <w:left w:val="none" w:sz="0" w:space="0" w:color="auto"/>
        <w:bottom w:val="none" w:sz="0" w:space="0" w:color="auto"/>
        <w:right w:val="none" w:sz="0" w:space="0" w:color="auto"/>
      </w:divBdr>
    </w:div>
    <w:div w:id="31656209">
      <w:bodyDiv w:val="1"/>
      <w:marLeft w:val="0"/>
      <w:marRight w:val="0"/>
      <w:marTop w:val="0"/>
      <w:marBottom w:val="0"/>
      <w:divBdr>
        <w:top w:val="none" w:sz="0" w:space="0" w:color="auto"/>
        <w:left w:val="none" w:sz="0" w:space="0" w:color="auto"/>
        <w:bottom w:val="none" w:sz="0" w:space="0" w:color="auto"/>
        <w:right w:val="none" w:sz="0" w:space="0" w:color="auto"/>
      </w:divBdr>
    </w:div>
    <w:div w:id="31735878">
      <w:bodyDiv w:val="1"/>
      <w:marLeft w:val="0"/>
      <w:marRight w:val="0"/>
      <w:marTop w:val="0"/>
      <w:marBottom w:val="0"/>
      <w:divBdr>
        <w:top w:val="none" w:sz="0" w:space="0" w:color="auto"/>
        <w:left w:val="none" w:sz="0" w:space="0" w:color="auto"/>
        <w:bottom w:val="none" w:sz="0" w:space="0" w:color="auto"/>
        <w:right w:val="none" w:sz="0" w:space="0" w:color="auto"/>
      </w:divBdr>
    </w:div>
    <w:div w:id="31810809">
      <w:bodyDiv w:val="1"/>
      <w:marLeft w:val="0"/>
      <w:marRight w:val="0"/>
      <w:marTop w:val="0"/>
      <w:marBottom w:val="0"/>
      <w:divBdr>
        <w:top w:val="none" w:sz="0" w:space="0" w:color="auto"/>
        <w:left w:val="none" w:sz="0" w:space="0" w:color="auto"/>
        <w:bottom w:val="none" w:sz="0" w:space="0" w:color="auto"/>
        <w:right w:val="none" w:sz="0" w:space="0" w:color="auto"/>
      </w:divBdr>
    </w:div>
    <w:div w:id="31997359">
      <w:bodyDiv w:val="1"/>
      <w:marLeft w:val="0"/>
      <w:marRight w:val="0"/>
      <w:marTop w:val="0"/>
      <w:marBottom w:val="0"/>
      <w:divBdr>
        <w:top w:val="none" w:sz="0" w:space="0" w:color="auto"/>
        <w:left w:val="none" w:sz="0" w:space="0" w:color="auto"/>
        <w:bottom w:val="none" w:sz="0" w:space="0" w:color="auto"/>
        <w:right w:val="none" w:sz="0" w:space="0" w:color="auto"/>
      </w:divBdr>
    </w:div>
    <w:div w:id="32074769">
      <w:bodyDiv w:val="1"/>
      <w:marLeft w:val="0"/>
      <w:marRight w:val="0"/>
      <w:marTop w:val="0"/>
      <w:marBottom w:val="0"/>
      <w:divBdr>
        <w:top w:val="none" w:sz="0" w:space="0" w:color="auto"/>
        <w:left w:val="none" w:sz="0" w:space="0" w:color="auto"/>
        <w:bottom w:val="none" w:sz="0" w:space="0" w:color="auto"/>
        <w:right w:val="none" w:sz="0" w:space="0" w:color="auto"/>
      </w:divBdr>
    </w:div>
    <w:div w:id="32078321">
      <w:bodyDiv w:val="1"/>
      <w:marLeft w:val="0"/>
      <w:marRight w:val="0"/>
      <w:marTop w:val="0"/>
      <w:marBottom w:val="0"/>
      <w:divBdr>
        <w:top w:val="none" w:sz="0" w:space="0" w:color="auto"/>
        <w:left w:val="none" w:sz="0" w:space="0" w:color="auto"/>
        <w:bottom w:val="none" w:sz="0" w:space="0" w:color="auto"/>
        <w:right w:val="none" w:sz="0" w:space="0" w:color="auto"/>
      </w:divBdr>
    </w:div>
    <w:div w:id="32123830">
      <w:bodyDiv w:val="1"/>
      <w:marLeft w:val="0"/>
      <w:marRight w:val="0"/>
      <w:marTop w:val="0"/>
      <w:marBottom w:val="0"/>
      <w:divBdr>
        <w:top w:val="none" w:sz="0" w:space="0" w:color="auto"/>
        <w:left w:val="none" w:sz="0" w:space="0" w:color="auto"/>
        <w:bottom w:val="none" w:sz="0" w:space="0" w:color="auto"/>
        <w:right w:val="none" w:sz="0" w:space="0" w:color="auto"/>
      </w:divBdr>
    </w:div>
    <w:div w:id="32313538">
      <w:bodyDiv w:val="1"/>
      <w:marLeft w:val="0"/>
      <w:marRight w:val="0"/>
      <w:marTop w:val="0"/>
      <w:marBottom w:val="0"/>
      <w:divBdr>
        <w:top w:val="none" w:sz="0" w:space="0" w:color="auto"/>
        <w:left w:val="none" w:sz="0" w:space="0" w:color="auto"/>
        <w:bottom w:val="none" w:sz="0" w:space="0" w:color="auto"/>
        <w:right w:val="none" w:sz="0" w:space="0" w:color="auto"/>
      </w:divBdr>
    </w:div>
    <w:div w:id="32388425">
      <w:bodyDiv w:val="1"/>
      <w:marLeft w:val="0"/>
      <w:marRight w:val="0"/>
      <w:marTop w:val="0"/>
      <w:marBottom w:val="0"/>
      <w:divBdr>
        <w:top w:val="none" w:sz="0" w:space="0" w:color="auto"/>
        <w:left w:val="none" w:sz="0" w:space="0" w:color="auto"/>
        <w:bottom w:val="none" w:sz="0" w:space="0" w:color="auto"/>
        <w:right w:val="none" w:sz="0" w:space="0" w:color="auto"/>
      </w:divBdr>
    </w:div>
    <w:div w:id="32464200">
      <w:bodyDiv w:val="1"/>
      <w:marLeft w:val="0"/>
      <w:marRight w:val="0"/>
      <w:marTop w:val="0"/>
      <w:marBottom w:val="0"/>
      <w:divBdr>
        <w:top w:val="none" w:sz="0" w:space="0" w:color="auto"/>
        <w:left w:val="none" w:sz="0" w:space="0" w:color="auto"/>
        <w:bottom w:val="none" w:sz="0" w:space="0" w:color="auto"/>
        <w:right w:val="none" w:sz="0" w:space="0" w:color="auto"/>
      </w:divBdr>
    </w:div>
    <w:div w:id="32656518">
      <w:bodyDiv w:val="1"/>
      <w:marLeft w:val="0"/>
      <w:marRight w:val="0"/>
      <w:marTop w:val="0"/>
      <w:marBottom w:val="0"/>
      <w:divBdr>
        <w:top w:val="none" w:sz="0" w:space="0" w:color="auto"/>
        <w:left w:val="none" w:sz="0" w:space="0" w:color="auto"/>
        <w:bottom w:val="none" w:sz="0" w:space="0" w:color="auto"/>
        <w:right w:val="none" w:sz="0" w:space="0" w:color="auto"/>
      </w:divBdr>
    </w:div>
    <w:div w:id="32657960">
      <w:bodyDiv w:val="1"/>
      <w:marLeft w:val="0"/>
      <w:marRight w:val="0"/>
      <w:marTop w:val="0"/>
      <w:marBottom w:val="0"/>
      <w:divBdr>
        <w:top w:val="none" w:sz="0" w:space="0" w:color="auto"/>
        <w:left w:val="none" w:sz="0" w:space="0" w:color="auto"/>
        <w:bottom w:val="none" w:sz="0" w:space="0" w:color="auto"/>
        <w:right w:val="none" w:sz="0" w:space="0" w:color="auto"/>
      </w:divBdr>
    </w:div>
    <w:div w:id="32735046">
      <w:bodyDiv w:val="1"/>
      <w:marLeft w:val="0"/>
      <w:marRight w:val="0"/>
      <w:marTop w:val="0"/>
      <w:marBottom w:val="0"/>
      <w:divBdr>
        <w:top w:val="none" w:sz="0" w:space="0" w:color="auto"/>
        <w:left w:val="none" w:sz="0" w:space="0" w:color="auto"/>
        <w:bottom w:val="none" w:sz="0" w:space="0" w:color="auto"/>
        <w:right w:val="none" w:sz="0" w:space="0" w:color="auto"/>
      </w:divBdr>
    </w:div>
    <w:div w:id="32845858">
      <w:bodyDiv w:val="1"/>
      <w:marLeft w:val="0"/>
      <w:marRight w:val="0"/>
      <w:marTop w:val="0"/>
      <w:marBottom w:val="0"/>
      <w:divBdr>
        <w:top w:val="none" w:sz="0" w:space="0" w:color="auto"/>
        <w:left w:val="none" w:sz="0" w:space="0" w:color="auto"/>
        <w:bottom w:val="none" w:sz="0" w:space="0" w:color="auto"/>
        <w:right w:val="none" w:sz="0" w:space="0" w:color="auto"/>
      </w:divBdr>
    </w:div>
    <w:div w:id="32852538">
      <w:bodyDiv w:val="1"/>
      <w:marLeft w:val="0"/>
      <w:marRight w:val="0"/>
      <w:marTop w:val="0"/>
      <w:marBottom w:val="0"/>
      <w:divBdr>
        <w:top w:val="none" w:sz="0" w:space="0" w:color="auto"/>
        <w:left w:val="none" w:sz="0" w:space="0" w:color="auto"/>
        <w:bottom w:val="none" w:sz="0" w:space="0" w:color="auto"/>
        <w:right w:val="none" w:sz="0" w:space="0" w:color="auto"/>
      </w:divBdr>
    </w:div>
    <w:div w:id="32925253">
      <w:bodyDiv w:val="1"/>
      <w:marLeft w:val="0"/>
      <w:marRight w:val="0"/>
      <w:marTop w:val="0"/>
      <w:marBottom w:val="0"/>
      <w:divBdr>
        <w:top w:val="none" w:sz="0" w:space="0" w:color="auto"/>
        <w:left w:val="none" w:sz="0" w:space="0" w:color="auto"/>
        <w:bottom w:val="none" w:sz="0" w:space="0" w:color="auto"/>
        <w:right w:val="none" w:sz="0" w:space="0" w:color="auto"/>
      </w:divBdr>
    </w:div>
    <w:div w:id="32973072">
      <w:bodyDiv w:val="1"/>
      <w:marLeft w:val="0"/>
      <w:marRight w:val="0"/>
      <w:marTop w:val="0"/>
      <w:marBottom w:val="0"/>
      <w:divBdr>
        <w:top w:val="none" w:sz="0" w:space="0" w:color="auto"/>
        <w:left w:val="none" w:sz="0" w:space="0" w:color="auto"/>
        <w:bottom w:val="none" w:sz="0" w:space="0" w:color="auto"/>
        <w:right w:val="none" w:sz="0" w:space="0" w:color="auto"/>
      </w:divBdr>
    </w:div>
    <w:div w:id="32996770">
      <w:bodyDiv w:val="1"/>
      <w:marLeft w:val="0"/>
      <w:marRight w:val="0"/>
      <w:marTop w:val="0"/>
      <w:marBottom w:val="0"/>
      <w:divBdr>
        <w:top w:val="none" w:sz="0" w:space="0" w:color="auto"/>
        <w:left w:val="none" w:sz="0" w:space="0" w:color="auto"/>
        <w:bottom w:val="none" w:sz="0" w:space="0" w:color="auto"/>
        <w:right w:val="none" w:sz="0" w:space="0" w:color="auto"/>
      </w:divBdr>
    </w:div>
    <w:div w:id="33045383">
      <w:bodyDiv w:val="1"/>
      <w:marLeft w:val="0"/>
      <w:marRight w:val="0"/>
      <w:marTop w:val="0"/>
      <w:marBottom w:val="0"/>
      <w:divBdr>
        <w:top w:val="none" w:sz="0" w:space="0" w:color="auto"/>
        <w:left w:val="none" w:sz="0" w:space="0" w:color="auto"/>
        <w:bottom w:val="none" w:sz="0" w:space="0" w:color="auto"/>
        <w:right w:val="none" w:sz="0" w:space="0" w:color="auto"/>
      </w:divBdr>
    </w:div>
    <w:div w:id="33047274">
      <w:bodyDiv w:val="1"/>
      <w:marLeft w:val="0"/>
      <w:marRight w:val="0"/>
      <w:marTop w:val="0"/>
      <w:marBottom w:val="0"/>
      <w:divBdr>
        <w:top w:val="none" w:sz="0" w:space="0" w:color="auto"/>
        <w:left w:val="none" w:sz="0" w:space="0" w:color="auto"/>
        <w:bottom w:val="none" w:sz="0" w:space="0" w:color="auto"/>
        <w:right w:val="none" w:sz="0" w:space="0" w:color="auto"/>
      </w:divBdr>
    </w:div>
    <w:div w:id="33047715">
      <w:bodyDiv w:val="1"/>
      <w:marLeft w:val="0"/>
      <w:marRight w:val="0"/>
      <w:marTop w:val="0"/>
      <w:marBottom w:val="0"/>
      <w:divBdr>
        <w:top w:val="none" w:sz="0" w:space="0" w:color="auto"/>
        <w:left w:val="none" w:sz="0" w:space="0" w:color="auto"/>
        <w:bottom w:val="none" w:sz="0" w:space="0" w:color="auto"/>
        <w:right w:val="none" w:sz="0" w:space="0" w:color="auto"/>
      </w:divBdr>
    </w:div>
    <w:div w:id="33164416">
      <w:bodyDiv w:val="1"/>
      <w:marLeft w:val="0"/>
      <w:marRight w:val="0"/>
      <w:marTop w:val="0"/>
      <w:marBottom w:val="0"/>
      <w:divBdr>
        <w:top w:val="none" w:sz="0" w:space="0" w:color="auto"/>
        <w:left w:val="none" w:sz="0" w:space="0" w:color="auto"/>
        <w:bottom w:val="none" w:sz="0" w:space="0" w:color="auto"/>
        <w:right w:val="none" w:sz="0" w:space="0" w:color="auto"/>
      </w:divBdr>
    </w:div>
    <w:div w:id="33166047">
      <w:bodyDiv w:val="1"/>
      <w:marLeft w:val="0"/>
      <w:marRight w:val="0"/>
      <w:marTop w:val="0"/>
      <w:marBottom w:val="0"/>
      <w:divBdr>
        <w:top w:val="none" w:sz="0" w:space="0" w:color="auto"/>
        <w:left w:val="none" w:sz="0" w:space="0" w:color="auto"/>
        <w:bottom w:val="none" w:sz="0" w:space="0" w:color="auto"/>
        <w:right w:val="none" w:sz="0" w:space="0" w:color="auto"/>
      </w:divBdr>
    </w:div>
    <w:div w:id="33191719">
      <w:bodyDiv w:val="1"/>
      <w:marLeft w:val="0"/>
      <w:marRight w:val="0"/>
      <w:marTop w:val="0"/>
      <w:marBottom w:val="0"/>
      <w:divBdr>
        <w:top w:val="none" w:sz="0" w:space="0" w:color="auto"/>
        <w:left w:val="none" w:sz="0" w:space="0" w:color="auto"/>
        <w:bottom w:val="none" w:sz="0" w:space="0" w:color="auto"/>
        <w:right w:val="none" w:sz="0" w:space="0" w:color="auto"/>
      </w:divBdr>
    </w:div>
    <w:div w:id="33241873">
      <w:bodyDiv w:val="1"/>
      <w:marLeft w:val="0"/>
      <w:marRight w:val="0"/>
      <w:marTop w:val="0"/>
      <w:marBottom w:val="0"/>
      <w:divBdr>
        <w:top w:val="none" w:sz="0" w:space="0" w:color="auto"/>
        <w:left w:val="none" w:sz="0" w:space="0" w:color="auto"/>
        <w:bottom w:val="none" w:sz="0" w:space="0" w:color="auto"/>
        <w:right w:val="none" w:sz="0" w:space="0" w:color="auto"/>
      </w:divBdr>
    </w:div>
    <w:div w:id="33358994">
      <w:bodyDiv w:val="1"/>
      <w:marLeft w:val="0"/>
      <w:marRight w:val="0"/>
      <w:marTop w:val="0"/>
      <w:marBottom w:val="0"/>
      <w:divBdr>
        <w:top w:val="none" w:sz="0" w:space="0" w:color="auto"/>
        <w:left w:val="none" w:sz="0" w:space="0" w:color="auto"/>
        <w:bottom w:val="none" w:sz="0" w:space="0" w:color="auto"/>
        <w:right w:val="none" w:sz="0" w:space="0" w:color="auto"/>
      </w:divBdr>
    </w:div>
    <w:div w:id="33501356">
      <w:bodyDiv w:val="1"/>
      <w:marLeft w:val="0"/>
      <w:marRight w:val="0"/>
      <w:marTop w:val="0"/>
      <w:marBottom w:val="0"/>
      <w:divBdr>
        <w:top w:val="none" w:sz="0" w:space="0" w:color="auto"/>
        <w:left w:val="none" w:sz="0" w:space="0" w:color="auto"/>
        <w:bottom w:val="none" w:sz="0" w:space="0" w:color="auto"/>
        <w:right w:val="none" w:sz="0" w:space="0" w:color="auto"/>
      </w:divBdr>
    </w:div>
    <w:div w:id="33502647">
      <w:bodyDiv w:val="1"/>
      <w:marLeft w:val="0"/>
      <w:marRight w:val="0"/>
      <w:marTop w:val="0"/>
      <w:marBottom w:val="0"/>
      <w:divBdr>
        <w:top w:val="none" w:sz="0" w:space="0" w:color="auto"/>
        <w:left w:val="none" w:sz="0" w:space="0" w:color="auto"/>
        <w:bottom w:val="none" w:sz="0" w:space="0" w:color="auto"/>
        <w:right w:val="none" w:sz="0" w:space="0" w:color="auto"/>
      </w:divBdr>
    </w:div>
    <w:div w:id="33579919">
      <w:bodyDiv w:val="1"/>
      <w:marLeft w:val="0"/>
      <w:marRight w:val="0"/>
      <w:marTop w:val="0"/>
      <w:marBottom w:val="0"/>
      <w:divBdr>
        <w:top w:val="none" w:sz="0" w:space="0" w:color="auto"/>
        <w:left w:val="none" w:sz="0" w:space="0" w:color="auto"/>
        <w:bottom w:val="none" w:sz="0" w:space="0" w:color="auto"/>
        <w:right w:val="none" w:sz="0" w:space="0" w:color="auto"/>
      </w:divBdr>
    </w:div>
    <w:div w:id="33580647">
      <w:bodyDiv w:val="1"/>
      <w:marLeft w:val="0"/>
      <w:marRight w:val="0"/>
      <w:marTop w:val="0"/>
      <w:marBottom w:val="0"/>
      <w:divBdr>
        <w:top w:val="none" w:sz="0" w:space="0" w:color="auto"/>
        <w:left w:val="none" w:sz="0" w:space="0" w:color="auto"/>
        <w:bottom w:val="none" w:sz="0" w:space="0" w:color="auto"/>
        <w:right w:val="none" w:sz="0" w:space="0" w:color="auto"/>
      </w:divBdr>
    </w:div>
    <w:div w:id="33622418">
      <w:bodyDiv w:val="1"/>
      <w:marLeft w:val="0"/>
      <w:marRight w:val="0"/>
      <w:marTop w:val="0"/>
      <w:marBottom w:val="0"/>
      <w:divBdr>
        <w:top w:val="none" w:sz="0" w:space="0" w:color="auto"/>
        <w:left w:val="none" w:sz="0" w:space="0" w:color="auto"/>
        <w:bottom w:val="none" w:sz="0" w:space="0" w:color="auto"/>
        <w:right w:val="none" w:sz="0" w:space="0" w:color="auto"/>
      </w:divBdr>
    </w:div>
    <w:div w:id="33624199">
      <w:bodyDiv w:val="1"/>
      <w:marLeft w:val="0"/>
      <w:marRight w:val="0"/>
      <w:marTop w:val="0"/>
      <w:marBottom w:val="0"/>
      <w:divBdr>
        <w:top w:val="none" w:sz="0" w:space="0" w:color="auto"/>
        <w:left w:val="none" w:sz="0" w:space="0" w:color="auto"/>
        <w:bottom w:val="none" w:sz="0" w:space="0" w:color="auto"/>
        <w:right w:val="none" w:sz="0" w:space="0" w:color="auto"/>
      </w:divBdr>
    </w:div>
    <w:div w:id="33627817">
      <w:bodyDiv w:val="1"/>
      <w:marLeft w:val="0"/>
      <w:marRight w:val="0"/>
      <w:marTop w:val="0"/>
      <w:marBottom w:val="0"/>
      <w:divBdr>
        <w:top w:val="none" w:sz="0" w:space="0" w:color="auto"/>
        <w:left w:val="none" w:sz="0" w:space="0" w:color="auto"/>
        <w:bottom w:val="none" w:sz="0" w:space="0" w:color="auto"/>
        <w:right w:val="none" w:sz="0" w:space="0" w:color="auto"/>
      </w:divBdr>
    </w:div>
    <w:div w:id="33773647">
      <w:bodyDiv w:val="1"/>
      <w:marLeft w:val="0"/>
      <w:marRight w:val="0"/>
      <w:marTop w:val="0"/>
      <w:marBottom w:val="0"/>
      <w:divBdr>
        <w:top w:val="none" w:sz="0" w:space="0" w:color="auto"/>
        <w:left w:val="none" w:sz="0" w:space="0" w:color="auto"/>
        <w:bottom w:val="none" w:sz="0" w:space="0" w:color="auto"/>
        <w:right w:val="none" w:sz="0" w:space="0" w:color="auto"/>
      </w:divBdr>
    </w:div>
    <w:div w:id="33849028">
      <w:bodyDiv w:val="1"/>
      <w:marLeft w:val="0"/>
      <w:marRight w:val="0"/>
      <w:marTop w:val="0"/>
      <w:marBottom w:val="0"/>
      <w:divBdr>
        <w:top w:val="none" w:sz="0" w:space="0" w:color="auto"/>
        <w:left w:val="none" w:sz="0" w:space="0" w:color="auto"/>
        <w:bottom w:val="none" w:sz="0" w:space="0" w:color="auto"/>
        <w:right w:val="none" w:sz="0" w:space="0" w:color="auto"/>
      </w:divBdr>
    </w:div>
    <w:div w:id="33893284">
      <w:bodyDiv w:val="1"/>
      <w:marLeft w:val="0"/>
      <w:marRight w:val="0"/>
      <w:marTop w:val="0"/>
      <w:marBottom w:val="0"/>
      <w:divBdr>
        <w:top w:val="none" w:sz="0" w:space="0" w:color="auto"/>
        <w:left w:val="none" w:sz="0" w:space="0" w:color="auto"/>
        <w:bottom w:val="none" w:sz="0" w:space="0" w:color="auto"/>
        <w:right w:val="none" w:sz="0" w:space="0" w:color="auto"/>
      </w:divBdr>
    </w:div>
    <w:div w:id="33895269">
      <w:bodyDiv w:val="1"/>
      <w:marLeft w:val="0"/>
      <w:marRight w:val="0"/>
      <w:marTop w:val="0"/>
      <w:marBottom w:val="0"/>
      <w:divBdr>
        <w:top w:val="none" w:sz="0" w:space="0" w:color="auto"/>
        <w:left w:val="none" w:sz="0" w:space="0" w:color="auto"/>
        <w:bottom w:val="none" w:sz="0" w:space="0" w:color="auto"/>
        <w:right w:val="none" w:sz="0" w:space="0" w:color="auto"/>
      </w:divBdr>
    </w:div>
    <w:div w:id="33970901">
      <w:bodyDiv w:val="1"/>
      <w:marLeft w:val="0"/>
      <w:marRight w:val="0"/>
      <w:marTop w:val="0"/>
      <w:marBottom w:val="0"/>
      <w:divBdr>
        <w:top w:val="none" w:sz="0" w:space="0" w:color="auto"/>
        <w:left w:val="none" w:sz="0" w:space="0" w:color="auto"/>
        <w:bottom w:val="none" w:sz="0" w:space="0" w:color="auto"/>
        <w:right w:val="none" w:sz="0" w:space="0" w:color="auto"/>
      </w:divBdr>
    </w:div>
    <w:div w:id="34039899">
      <w:bodyDiv w:val="1"/>
      <w:marLeft w:val="0"/>
      <w:marRight w:val="0"/>
      <w:marTop w:val="0"/>
      <w:marBottom w:val="0"/>
      <w:divBdr>
        <w:top w:val="none" w:sz="0" w:space="0" w:color="auto"/>
        <w:left w:val="none" w:sz="0" w:space="0" w:color="auto"/>
        <w:bottom w:val="none" w:sz="0" w:space="0" w:color="auto"/>
        <w:right w:val="none" w:sz="0" w:space="0" w:color="auto"/>
      </w:divBdr>
    </w:div>
    <w:div w:id="34081303">
      <w:bodyDiv w:val="1"/>
      <w:marLeft w:val="0"/>
      <w:marRight w:val="0"/>
      <w:marTop w:val="0"/>
      <w:marBottom w:val="0"/>
      <w:divBdr>
        <w:top w:val="none" w:sz="0" w:space="0" w:color="auto"/>
        <w:left w:val="none" w:sz="0" w:space="0" w:color="auto"/>
        <w:bottom w:val="none" w:sz="0" w:space="0" w:color="auto"/>
        <w:right w:val="none" w:sz="0" w:space="0" w:color="auto"/>
      </w:divBdr>
    </w:div>
    <w:div w:id="34086006">
      <w:bodyDiv w:val="1"/>
      <w:marLeft w:val="0"/>
      <w:marRight w:val="0"/>
      <w:marTop w:val="0"/>
      <w:marBottom w:val="0"/>
      <w:divBdr>
        <w:top w:val="none" w:sz="0" w:space="0" w:color="auto"/>
        <w:left w:val="none" w:sz="0" w:space="0" w:color="auto"/>
        <w:bottom w:val="none" w:sz="0" w:space="0" w:color="auto"/>
        <w:right w:val="none" w:sz="0" w:space="0" w:color="auto"/>
      </w:divBdr>
    </w:div>
    <w:div w:id="34350532">
      <w:bodyDiv w:val="1"/>
      <w:marLeft w:val="0"/>
      <w:marRight w:val="0"/>
      <w:marTop w:val="0"/>
      <w:marBottom w:val="0"/>
      <w:divBdr>
        <w:top w:val="none" w:sz="0" w:space="0" w:color="auto"/>
        <w:left w:val="none" w:sz="0" w:space="0" w:color="auto"/>
        <w:bottom w:val="none" w:sz="0" w:space="0" w:color="auto"/>
        <w:right w:val="none" w:sz="0" w:space="0" w:color="auto"/>
      </w:divBdr>
    </w:div>
    <w:div w:id="34430554">
      <w:bodyDiv w:val="1"/>
      <w:marLeft w:val="0"/>
      <w:marRight w:val="0"/>
      <w:marTop w:val="0"/>
      <w:marBottom w:val="0"/>
      <w:divBdr>
        <w:top w:val="none" w:sz="0" w:space="0" w:color="auto"/>
        <w:left w:val="none" w:sz="0" w:space="0" w:color="auto"/>
        <w:bottom w:val="none" w:sz="0" w:space="0" w:color="auto"/>
        <w:right w:val="none" w:sz="0" w:space="0" w:color="auto"/>
      </w:divBdr>
    </w:div>
    <w:div w:id="34738504">
      <w:bodyDiv w:val="1"/>
      <w:marLeft w:val="0"/>
      <w:marRight w:val="0"/>
      <w:marTop w:val="0"/>
      <w:marBottom w:val="0"/>
      <w:divBdr>
        <w:top w:val="none" w:sz="0" w:space="0" w:color="auto"/>
        <w:left w:val="none" w:sz="0" w:space="0" w:color="auto"/>
        <w:bottom w:val="none" w:sz="0" w:space="0" w:color="auto"/>
        <w:right w:val="none" w:sz="0" w:space="0" w:color="auto"/>
      </w:divBdr>
    </w:div>
    <w:div w:id="34812203">
      <w:bodyDiv w:val="1"/>
      <w:marLeft w:val="0"/>
      <w:marRight w:val="0"/>
      <w:marTop w:val="0"/>
      <w:marBottom w:val="0"/>
      <w:divBdr>
        <w:top w:val="none" w:sz="0" w:space="0" w:color="auto"/>
        <w:left w:val="none" w:sz="0" w:space="0" w:color="auto"/>
        <w:bottom w:val="none" w:sz="0" w:space="0" w:color="auto"/>
        <w:right w:val="none" w:sz="0" w:space="0" w:color="auto"/>
      </w:divBdr>
    </w:div>
    <w:div w:id="34819080">
      <w:bodyDiv w:val="1"/>
      <w:marLeft w:val="0"/>
      <w:marRight w:val="0"/>
      <w:marTop w:val="0"/>
      <w:marBottom w:val="0"/>
      <w:divBdr>
        <w:top w:val="none" w:sz="0" w:space="0" w:color="auto"/>
        <w:left w:val="none" w:sz="0" w:space="0" w:color="auto"/>
        <w:bottom w:val="none" w:sz="0" w:space="0" w:color="auto"/>
        <w:right w:val="none" w:sz="0" w:space="0" w:color="auto"/>
      </w:divBdr>
    </w:div>
    <w:div w:id="34938464">
      <w:bodyDiv w:val="1"/>
      <w:marLeft w:val="0"/>
      <w:marRight w:val="0"/>
      <w:marTop w:val="0"/>
      <w:marBottom w:val="0"/>
      <w:divBdr>
        <w:top w:val="none" w:sz="0" w:space="0" w:color="auto"/>
        <w:left w:val="none" w:sz="0" w:space="0" w:color="auto"/>
        <w:bottom w:val="none" w:sz="0" w:space="0" w:color="auto"/>
        <w:right w:val="none" w:sz="0" w:space="0" w:color="auto"/>
      </w:divBdr>
    </w:div>
    <w:div w:id="35131222">
      <w:bodyDiv w:val="1"/>
      <w:marLeft w:val="0"/>
      <w:marRight w:val="0"/>
      <w:marTop w:val="0"/>
      <w:marBottom w:val="0"/>
      <w:divBdr>
        <w:top w:val="none" w:sz="0" w:space="0" w:color="auto"/>
        <w:left w:val="none" w:sz="0" w:space="0" w:color="auto"/>
        <w:bottom w:val="none" w:sz="0" w:space="0" w:color="auto"/>
        <w:right w:val="none" w:sz="0" w:space="0" w:color="auto"/>
      </w:divBdr>
    </w:div>
    <w:div w:id="35206497">
      <w:bodyDiv w:val="1"/>
      <w:marLeft w:val="0"/>
      <w:marRight w:val="0"/>
      <w:marTop w:val="0"/>
      <w:marBottom w:val="0"/>
      <w:divBdr>
        <w:top w:val="none" w:sz="0" w:space="0" w:color="auto"/>
        <w:left w:val="none" w:sz="0" w:space="0" w:color="auto"/>
        <w:bottom w:val="none" w:sz="0" w:space="0" w:color="auto"/>
        <w:right w:val="none" w:sz="0" w:space="0" w:color="auto"/>
      </w:divBdr>
    </w:div>
    <w:div w:id="35354953">
      <w:bodyDiv w:val="1"/>
      <w:marLeft w:val="0"/>
      <w:marRight w:val="0"/>
      <w:marTop w:val="0"/>
      <w:marBottom w:val="0"/>
      <w:divBdr>
        <w:top w:val="none" w:sz="0" w:space="0" w:color="auto"/>
        <w:left w:val="none" w:sz="0" w:space="0" w:color="auto"/>
        <w:bottom w:val="none" w:sz="0" w:space="0" w:color="auto"/>
        <w:right w:val="none" w:sz="0" w:space="0" w:color="auto"/>
      </w:divBdr>
    </w:div>
    <w:div w:id="35546140">
      <w:bodyDiv w:val="1"/>
      <w:marLeft w:val="0"/>
      <w:marRight w:val="0"/>
      <w:marTop w:val="0"/>
      <w:marBottom w:val="0"/>
      <w:divBdr>
        <w:top w:val="none" w:sz="0" w:space="0" w:color="auto"/>
        <w:left w:val="none" w:sz="0" w:space="0" w:color="auto"/>
        <w:bottom w:val="none" w:sz="0" w:space="0" w:color="auto"/>
        <w:right w:val="none" w:sz="0" w:space="0" w:color="auto"/>
      </w:divBdr>
    </w:div>
    <w:div w:id="35740897">
      <w:bodyDiv w:val="1"/>
      <w:marLeft w:val="0"/>
      <w:marRight w:val="0"/>
      <w:marTop w:val="0"/>
      <w:marBottom w:val="0"/>
      <w:divBdr>
        <w:top w:val="none" w:sz="0" w:space="0" w:color="auto"/>
        <w:left w:val="none" w:sz="0" w:space="0" w:color="auto"/>
        <w:bottom w:val="none" w:sz="0" w:space="0" w:color="auto"/>
        <w:right w:val="none" w:sz="0" w:space="0" w:color="auto"/>
      </w:divBdr>
    </w:div>
    <w:div w:id="35785318">
      <w:bodyDiv w:val="1"/>
      <w:marLeft w:val="0"/>
      <w:marRight w:val="0"/>
      <w:marTop w:val="0"/>
      <w:marBottom w:val="0"/>
      <w:divBdr>
        <w:top w:val="none" w:sz="0" w:space="0" w:color="auto"/>
        <w:left w:val="none" w:sz="0" w:space="0" w:color="auto"/>
        <w:bottom w:val="none" w:sz="0" w:space="0" w:color="auto"/>
        <w:right w:val="none" w:sz="0" w:space="0" w:color="auto"/>
      </w:divBdr>
    </w:div>
    <w:div w:id="35856571">
      <w:bodyDiv w:val="1"/>
      <w:marLeft w:val="0"/>
      <w:marRight w:val="0"/>
      <w:marTop w:val="0"/>
      <w:marBottom w:val="0"/>
      <w:divBdr>
        <w:top w:val="none" w:sz="0" w:space="0" w:color="auto"/>
        <w:left w:val="none" w:sz="0" w:space="0" w:color="auto"/>
        <w:bottom w:val="none" w:sz="0" w:space="0" w:color="auto"/>
        <w:right w:val="none" w:sz="0" w:space="0" w:color="auto"/>
      </w:divBdr>
    </w:div>
    <w:div w:id="35936508">
      <w:bodyDiv w:val="1"/>
      <w:marLeft w:val="0"/>
      <w:marRight w:val="0"/>
      <w:marTop w:val="0"/>
      <w:marBottom w:val="0"/>
      <w:divBdr>
        <w:top w:val="none" w:sz="0" w:space="0" w:color="auto"/>
        <w:left w:val="none" w:sz="0" w:space="0" w:color="auto"/>
        <w:bottom w:val="none" w:sz="0" w:space="0" w:color="auto"/>
        <w:right w:val="none" w:sz="0" w:space="0" w:color="auto"/>
      </w:divBdr>
    </w:div>
    <w:div w:id="36130226">
      <w:bodyDiv w:val="1"/>
      <w:marLeft w:val="0"/>
      <w:marRight w:val="0"/>
      <w:marTop w:val="0"/>
      <w:marBottom w:val="0"/>
      <w:divBdr>
        <w:top w:val="none" w:sz="0" w:space="0" w:color="auto"/>
        <w:left w:val="none" w:sz="0" w:space="0" w:color="auto"/>
        <w:bottom w:val="none" w:sz="0" w:space="0" w:color="auto"/>
        <w:right w:val="none" w:sz="0" w:space="0" w:color="auto"/>
      </w:divBdr>
    </w:div>
    <w:div w:id="36316379">
      <w:bodyDiv w:val="1"/>
      <w:marLeft w:val="0"/>
      <w:marRight w:val="0"/>
      <w:marTop w:val="0"/>
      <w:marBottom w:val="0"/>
      <w:divBdr>
        <w:top w:val="none" w:sz="0" w:space="0" w:color="auto"/>
        <w:left w:val="none" w:sz="0" w:space="0" w:color="auto"/>
        <w:bottom w:val="none" w:sz="0" w:space="0" w:color="auto"/>
        <w:right w:val="none" w:sz="0" w:space="0" w:color="auto"/>
      </w:divBdr>
    </w:div>
    <w:div w:id="36392541">
      <w:bodyDiv w:val="1"/>
      <w:marLeft w:val="0"/>
      <w:marRight w:val="0"/>
      <w:marTop w:val="0"/>
      <w:marBottom w:val="0"/>
      <w:divBdr>
        <w:top w:val="none" w:sz="0" w:space="0" w:color="auto"/>
        <w:left w:val="none" w:sz="0" w:space="0" w:color="auto"/>
        <w:bottom w:val="none" w:sz="0" w:space="0" w:color="auto"/>
        <w:right w:val="none" w:sz="0" w:space="0" w:color="auto"/>
      </w:divBdr>
    </w:div>
    <w:div w:id="36397812">
      <w:bodyDiv w:val="1"/>
      <w:marLeft w:val="0"/>
      <w:marRight w:val="0"/>
      <w:marTop w:val="0"/>
      <w:marBottom w:val="0"/>
      <w:divBdr>
        <w:top w:val="none" w:sz="0" w:space="0" w:color="auto"/>
        <w:left w:val="none" w:sz="0" w:space="0" w:color="auto"/>
        <w:bottom w:val="none" w:sz="0" w:space="0" w:color="auto"/>
        <w:right w:val="none" w:sz="0" w:space="0" w:color="auto"/>
      </w:divBdr>
    </w:div>
    <w:div w:id="36468459">
      <w:bodyDiv w:val="1"/>
      <w:marLeft w:val="0"/>
      <w:marRight w:val="0"/>
      <w:marTop w:val="0"/>
      <w:marBottom w:val="0"/>
      <w:divBdr>
        <w:top w:val="none" w:sz="0" w:space="0" w:color="auto"/>
        <w:left w:val="none" w:sz="0" w:space="0" w:color="auto"/>
        <w:bottom w:val="none" w:sz="0" w:space="0" w:color="auto"/>
        <w:right w:val="none" w:sz="0" w:space="0" w:color="auto"/>
      </w:divBdr>
    </w:div>
    <w:div w:id="36516172">
      <w:bodyDiv w:val="1"/>
      <w:marLeft w:val="0"/>
      <w:marRight w:val="0"/>
      <w:marTop w:val="0"/>
      <w:marBottom w:val="0"/>
      <w:divBdr>
        <w:top w:val="none" w:sz="0" w:space="0" w:color="auto"/>
        <w:left w:val="none" w:sz="0" w:space="0" w:color="auto"/>
        <w:bottom w:val="none" w:sz="0" w:space="0" w:color="auto"/>
        <w:right w:val="none" w:sz="0" w:space="0" w:color="auto"/>
      </w:divBdr>
    </w:div>
    <w:div w:id="36659640">
      <w:bodyDiv w:val="1"/>
      <w:marLeft w:val="0"/>
      <w:marRight w:val="0"/>
      <w:marTop w:val="0"/>
      <w:marBottom w:val="0"/>
      <w:divBdr>
        <w:top w:val="none" w:sz="0" w:space="0" w:color="auto"/>
        <w:left w:val="none" w:sz="0" w:space="0" w:color="auto"/>
        <w:bottom w:val="none" w:sz="0" w:space="0" w:color="auto"/>
        <w:right w:val="none" w:sz="0" w:space="0" w:color="auto"/>
      </w:divBdr>
    </w:div>
    <w:div w:id="36659914">
      <w:bodyDiv w:val="1"/>
      <w:marLeft w:val="0"/>
      <w:marRight w:val="0"/>
      <w:marTop w:val="0"/>
      <w:marBottom w:val="0"/>
      <w:divBdr>
        <w:top w:val="none" w:sz="0" w:space="0" w:color="auto"/>
        <w:left w:val="none" w:sz="0" w:space="0" w:color="auto"/>
        <w:bottom w:val="none" w:sz="0" w:space="0" w:color="auto"/>
        <w:right w:val="none" w:sz="0" w:space="0" w:color="auto"/>
      </w:divBdr>
    </w:div>
    <w:div w:id="36706341">
      <w:bodyDiv w:val="1"/>
      <w:marLeft w:val="0"/>
      <w:marRight w:val="0"/>
      <w:marTop w:val="0"/>
      <w:marBottom w:val="0"/>
      <w:divBdr>
        <w:top w:val="none" w:sz="0" w:space="0" w:color="auto"/>
        <w:left w:val="none" w:sz="0" w:space="0" w:color="auto"/>
        <w:bottom w:val="none" w:sz="0" w:space="0" w:color="auto"/>
        <w:right w:val="none" w:sz="0" w:space="0" w:color="auto"/>
      </w:divBdr>
    </w:div>
    <w:div w:id="36898857">
      <w:bodyDiv w:val="1"/>
      <w:marLeft w:val="0"/>
      <w:marRight w:val="0"/>
      <w:marTop w:val="0"/>
      <w:marBottom w:val="0"/>
      <w:divBdr>
        <w:top w:val="none" w:sz="0" w:space="0" w:color="auto"/>
        <w:left w:val="none" w:sz="0" w:space="0" w:color="auto"/>
        <w:bottom w:val="none" w:sz="0" w:space="0" w:color="auto"/>
        <w:right w:val="none" w:sz="0" w:space="0" w:color="auto"/>
      </w:divBdr>
    </w:div>
    <w:div w:id="36973210">
      <w:bodyDiv w:val="1"/>
      <w:marLeft w:val="0"/>
      <w:marRight w:val="0"/>
      <w:marTop w:val="0"/>
      <w:marBottom w:val="0"/>
      <w:divBdr>
        <w:top w:val="none" w:sz="0" w:space="0" w:color="auto"/>
        <w:left w:val="none" w:sz="0" w:space="0" w:color="auto"/>
        <w:bottom w:val="none" w:sz="0" w:space="0" w:color="auto"/>
        <w:right w:val="none" w:sz="0" w:space="0" w:color="auto"/>
      </w:divBdr>
    </w:div>
    <w:div w:id="37048261">
      <w:bodyDiv w:val="1"/>
      <w:marLeft w:val="0"/>
      <w:marRight w:val="0"/>
      <w:marTop w:val="0"/>
      <w:marBottom w:val="0"/>
      <w:divBdr>
        <w:top w:val="none" w:sz="0" w:space="0" w:color="auto"/>
        <w:left w:val="none" w:sz="0" w:space="0" w:color="auto"/>
        <w:bottom w:val="none" w:sz="0" w:space="0" w:color="auto"/>
        <w:right w:val="none" w:sz="0" w:space="0" w:color="auto"/>
      </w:divBdr>
    </w:div>
    <w:div w:id="37055752">
      <w:bodyDiv w:val="1"/>
      <w:marLeft w:val="0"/>
      <w:marRight w:val="0"/>
      <w:marTop w:val="0"/>
      <w:marBottom w:val="0"/>
      <w:divBdr>
        <w:top w:val="none" w:sz="0" w:space="0" w:color="auto"/>
        <w:left w:val="none" w:sz="0" w:space="0" w:color="auto"/>
        <w:bottom w:val="none" w:sz="0" w:space="0" w:color="auto"/>
        <w:right w:val="none" w:sz="0" w:space="0" w:color="auto"/>
      </w:divBdr>
    </w:div>
    <w:div w:id="37166284">
      <w:bodyDiv w:val="1"/>
      <w:marLeft w:val="0"/>
      <w:marRight w:val="0"/>
      <w:marTop w:val="0"/>
      <w:marBottom w:val="0"/>
      <w:divBdr>
        <w:top w:val="none" w:sz="0" w:space="0" w:color="auto"/>
        <w:left w:val="none" w:sz="0" w:space="0" w:color="auto"/>
        <w:bottom w:val="none" w:sz="0" w:space="0" w:color="auto"/>
        <w:right w:val="none" w:sz="0" w:space="0" w:color="auto"/>
      </w:divBdr>
    </w:div>
    <w:div w:id="37169314">
      <w:bodyDiv w:val="1"/>
      <w:marLeft w:val="0"/>
      <w:marRight w:val="0"/>
      <w:marTop w:val="0"/>
      <w:marBottom w:val="0"/>
      <w:divBdr>
        <w:top w:val="none" w:sz="0" w:space="0" w:color="auto"/>
        <w:left w:val="none" w:sz="0" w:space="0" w:color="auto"/>
        <w:bottom w:val="none" w:sz="0" w:space="0" w:color="auto"/>
        <w:right w:val="none" w:sz="0" w:space="0" w:color="auto"/>
      </w:divBdr>
    </w:div>
    <w:div w:id="37244217">
      <w:bodyDiv w:val="1"/>
      <w:marLeft w:val="0"/>
      <w:marRight w:val="0"/>
      <w:marTop w:val="0"/>
      <w:marBottom w:val="0"/>
      <w:divBdr>
        <w:top w:val="none" w:sz="0" w:space="0" w:color="auto"/>
        <w:left w:val="none" w:sz="0" w:space="0" w:color="auto"/>
        <w:bottom w:val="none" w:sz="0" w:space="0" w:color="auto"/>
        <w:right w:val="none" w:sz="0" w:space="0" w:color="auto"/>
      </w:divBdr>
    </w:div>
    <w:div w:id="37248710">
      <w:bodyDiv w:val="1"/>
      <w:marLeft w:val="0"/>
      <w:marRight w:val="0"/>
      <w:marTop w:val="0"/>
      <w:marBottom w:val="0"/>
      <w:divBdr>
        <w:top w:val="none" w:sz="0" w:space="0" w:color="auto"/>
        <w:left w:val="none" w:sz="0" w:space="0" w:color="auto"/>
        <w:bottom w:val="none" w:sz="0" w:space="0" w:color="auto"/>
        <w:right w:val="none" w:sz="0" w:space="0" w:color="auto"/>
      </w:divBdr>
    </w:div>
    <w:div w:id="37434902">
      <w:bodyDiv w:val="1"/>
      <w:marLeft w:val="0"/>
      <w:marRight w:val="0"/>
      <w:marTop w:val="0"/>
      <w:marBottom w:val="0"/>
      <w:divBdr>
        <w:top w:val="none" w:sz="0" w:space="0" w:color="auto"/>
        <w:left w:val="none" w:sz="0" w:space="0" w:color="auto"/>
        <w:bottom w:val="none" w:sz="0" w:space="0" w:color="auto"/>
        <w:right w:val="none" w:sz="0" w:space="0" w:color="auto"/>
      </w:divBdr>
    </w:div>
    <w:div w:id="37439632">
      <w:bodyDiv w:val="1"/>
      <w:marLeft w:val="0"/>
      <w:marRight w:val="0"/>
      <w:marTop w:val="0"/>
      <w:marBottom w:val="0"/>
      <w:divBdr>
        <w:top w:val="none" w:sz="0" w:space="0" w:color="auto"/>
        <w:left w:val="none" w:sz="0" w:space="0" w:color="auto"/>
        <w:bottom w:val="none" w:sz="0" w:space="0" w:color="auto"/>
        <w:right w:val="none" w:sz="0" w:space="0" w:color="auto"/>
      </w:divBdr>
    </w:div>
    <w:div w:id="37558043">
      <w:bodyDiv w:val="1"/>
      <w:marLeft w:val="0"/>
      <w:marRight w:val="0"/>
      <w:marTop w:val="0"/>
      <w:marBottom w:val="0"/>
      <w:divBdr>
        <w:top w:val="none" w:sz="0" w:space="0" w:color="auto"/>
        <w:left w:val="none" w:sz="0" w:space="0" w:color="auto"/>
        <w:bottom w:val="none" w:sz="0" w:space="0" w:color="auto"/>
        <w:right w:val="none" w:sz="0" w:space="0" w:color="auto"/>
      </w:divBdr>
    </w:div>
    <w:div w:id="37558054">
      <w:bodyDiv w:val="1"/>
      <w:marLeft w:val="0"/>
      <w:marRight w:val="0"/>
      <w:marTop w:val="0"/>
      <w:marBottom w:val="0"/>
      <w:divBdr>
        <w:top w:val="none" w:sz="0" w:space="0" w:color="auto"/>
        <w:left w:val="none" w:sz="0" w:space="0" w:color="auto"/>
        <w:bottom w:val="none" w:sz="0" w:space="0" w:color="auto"/>
        <w:right w:val="none" w:sz="0" w:space="0" w:color="auto"/>
      </w:divBdr>
    </w:div>
    <w:div w:id="37752336">
      <w:bodyDiv w:val="1"/>
      <w:marLeft w:val="0"/>
      <w:marRight w:val="0"/>
      <w:marTop w:val="0"/>
      <w:marBottom w:val="0"/>
      <w:divBdr>
        <w:top w:val="none" w:sz="0" w:space="0" w:color="auto"/>
        <w:left w:val="none" w:sz="0" w:space="0" w:color="auto"/>
        <w:bottom w:val="none" w:sz="0" w:space="0" w:color="auto"/>
        <w:right w:val="none" w:sz="0" w:space="0" w:color="auto"/>
      </w:divBdr>
    </w:div>
    <w:div w:id="37826098">
      <w:bodyDiv w:val="1"/>
      <w:marLeft w:val="0"/>
      <w:marRight w:val="0"/>
      <w:marTop w:val="0"/>
      <w:marBottom w:val="0"/>
      <w:divBdr>
        <w:top w:val="none" w:sz="0" w:space="0" w:color="auto"/>
        <w:left w:val="none" w:sz="0" w:space="0" w:color="auto"/>
        <w:bottom w:val="none" w:sz="0" w:space="0" w:color="auto"/>
        <w:right w:val="none" w:sz="0" w:space="0" w:color="auto"/>
      </w:divBdr>
    </w:div>
    <w:div w:id="38019333">
      <w:bodyDiv w:val="1"/>
      <w:marLeft w:val="0"/>
      <w:marRight w:val="0"/>
      <w:marTop w:val="0"/>
      <w:marBottom w:val="0"/>
      <w:divBdr>
        <w:top w:val="none" w:sz="0" w:space="0" w:color="auto"/>
        <w:left w:val="none" w:sz="0" w:space="0" w:color="auto"/>
        <w:bottom w:val="none" w:sz="0" w:space="0" w:color="auto"/>
        <w:right w:val="none" w:sz="0" w:space="0" w:color="auto"/>
      </w:divBdr>
    </w:div>
    <w:div w:id="38239923">
      <w:bodyDiv w:val="1"/>
      <w:marLeft w:val="0"/>
      <w:marRight w:val="0"/>
      <w:marTop w:val="0"/>
      <w:marBottom w:val="0"/>
      <w:divBdr>
        <w:top w:val="none" w:sz="0" w:space="0" w:color="auto"/>
        <w:left w:val="none" w:sz="0" w:space="0" w:color="auto"/>
        <w:bottom w:val="none" w:sz="0" w:space="0" w:color="auto"/>
        <w:right w:val="none" w:sz="0" w:space="0" w:color="auto"/>
      </w:divBdr>
    </w:div>
    <w:div w:id="38281555">
      <w:bodyDiv w:val="1"/>
      <w:marLeft w:val="0"/>
      <w:marRight w:val="0"/>
      <w:marTop w:val="0"/>
      <w:marBottom w:val="0"/>
      <w:divBdr>
        <w:top w:val="none" w:sz="0" w:space="0" w:color="auto"/>
        <w:left w:val="none" w:sz="0" w:space="0" w:color="auto"/>
        <w:bottom w:val="none" w:sz="0" w:space="0" w:color="auto"/>
        <w:right w:val="none" w:sz="0" w:space="0" w:color="auto"/>
      </w:divBdr>
    </w:div>
    <w:div w:id="38359077">
      <w:bodyDiv w:val="1"/>
      <w:marLeft w:val="0"/>
      <w:marRight w:val="0"/>
      <w:marTop w:val="0"/>
      <w:marBottom w:val="0"/>
      <w:divBdr>
        <w:top w:val="none" w:sz="0" w:space="0" w:color="auto"/>
        <w:left w:val="none" w:sz="0" w:space="0" w:color="auto"/>
        <w:bottom w:val="none" w:sz="0" w:space="0" w:color="auto"/>
        <w:right w:val="none" w:sz="0" w:space="0" w:color="auto"/>
      </w:divBdr>
    </w:div>
    <w:div w:id="38361617">
      <w:bodyDiv w:val="1"/>
      <w:marLeft w:val="0"/>
      <w:marRight w:val="0"/>
      <w:marTop w:val="0"/>
      <w:marBottom w:val="0"/>
      <w:divBdr>
        <w:top w:val="none" w:sz="0" w:space="0" w:color="auto"/>
        <w:left w:val="none" w:sz="0" w:space="0" w:color="auto"/>
        <w:bottom w:val="none" w:sz="0" w:space="0" w:color="auto"/>
        <w:right w:val="none" w:sz="0" w:space="0" w:color="auto"/>
      </w:divBdr>
    </w:div>
    <w:div w:id="38482217">
      <w:bodyDiv w:val="1"/>
      <w:marLeft w:val="0"/>
      <w:marRight w:val="0"/>
      <w:marTop w:val="0"/>
      <w:marBottom w:val="0"/>
      <w:divBdr>
        <w:top w:val="none" w:sz="0" w:space="0" w:color="auto"/>
        <w:left w:val="none" w:sz="0" w:space="0" w:color="auto"/>
        <w:bottom w:val="none" w:sz="0" w:space="0" w:color="auto"/>
        <w:right w:val="none" w:sz="0" w:space="0" w:color="auto"/>
      </w:divBdr>
    </w:div>
    <w:div w:id="38552949">
      <w:bodyDiv w:val="1"/>
      <w:marLeft w:val="0"/>
      <w:marRight w:val="0"/>
      <w:marTop w:val="0"/>
      <w:marBottom w:val="0"/>
      <w:divBdr>
        <w:top w:val="none" w:sz="0" w:space="0" w:color="auto"/>
        <w:left w:val="none" w:sz="0" w:space="0" w:color="auto"/>
        <w:bottom w:val="none" w:sz="0" w:space="0" w:color="auto"/>
        <w:right w:val="none" w:sz="0" w:space="0" w:color="auto"/>
      </w:divBdr>
    </w:div>
    <w:div w:id="38627802">
      <w:bodyDiv w:val="1"/>
      <w:marLeft w:val="0"/>
      <w:marRight w:val="0"/>
      <w:marTop w:val="0"/>
      <w:marBottom w:val="0"/>
      <w:divBdr>
        <w:top w:val="none" w:sz="0" w:space="0" w:color="auto"/>
        <w:left w:val="none" w:sz="0" w:space="0" w:color="auto"/>
        <w:bottom w:val="none" w:sz="0" w:space="0" w:color="auto"/>
        <w:right w:val="none" w:sz="0" w:space="0" w:color="auto"/>
      </w:divBdr>
    </w:div>
    <w:div w:id="38745217">
      <w:bodyDiv w:val="1"/>
      <w:marLeft w:val="0"/>
      <w:marRight w:val="0"/>
      <w:marTop w:val="0"/>
      <w:marBottom w:val="0"/>
      <w:divBdr>
        <w:top w:val="none" w:sz="0" w:space="0" w:color="auto"/>
        <w:left w:val="none" w:sz="0" w:space="0" w:color="auto"/>
        <w:bottom w:val="none" w:sz="0" w:space="0" w:color="auto"/>
        <w:right w:val="none" w:sz="0" w:space="0" w:color="auto"/>
      </w:divBdr>
    </w:div>
    <w:div w:id="38822475">
      <w:bodyDiv w:val="1"/>
      <w:marLeft w:val="0"/>
      <w:marRight w:val="0"/>
      <w:marTop w:val="0"/>
      <w:marBottom w:val="0"/>
      <w:divBdr>
        <w:top w:val="none" w:sz="0" w:space="0" w:color="auto"/>
        <w:left w:val="none" w:sz="0" w:space="0" w:color="auto"/>
        <w:bottom w:val="none" w:sz="0" w:space="0" w:color="auto"/>
        <w:right w:val="none" w:sz="0" w:space="0" w:color="auto"/>
      </w:divBdr>
    </w:div>
    <w:div w:id="38894104">
      <w:bodyDiv w:val="1"/>
      <w:marLeft w:val="0"/>
      <w:marRight w:val="0"/>
      <w:marTop w:val="0"/>
      <w:marBottom w:val="0"/>
      <w:divBdr>
        <w:top w:val="none" w:sz="0" w:space="0" w:color="auto"/>
        <w:left w:val="none" w:sz="0" w:space="0" w:color="auto"/>
        <w:bottom w:val="none" w:sz="0" w:space="0" w:color="auto"/>
        <w:right w:val="none" w:sz="0" w:space="0" w:color="auto"/>
      </w:divBdr>
    </w:div>
    <w:div w:id="39018079">
      <w:bodyDiv w:val="1"/>
      <w:marLeft w:val="0"/>
      <w:marRight w:val="0"/>
      <w:marTop w:val="0"/>
      <w:marBottom w:val="0"/>
      <w:divBdr>
        <w:top w:val="none" w:sz="0" w:space="0" w:color="auto"/>
        <w:left w:val="none" w:sz="0" w:space="0" w:color="auto"/>
        <w:bottom w:val="none" w:sz="0" w:space="0" w:color="auto"/>
        <w:right w:val="none" w:sz="0" w:space="0" w:color="auto"/>
      </w:divBdr>
    </w:div>
    <w:div w:id="39212122">
      <w:bodyDiv w:val="1"/>
      <w:marLeft w:val="0"/>
      <w:marRight w:val="0"/>
      <w:marTop w:val="0"/>
      <w:marBottom w:val="0"/>
      <w:divBdr>
        <w:top w:val="none" w:sz="0" w:space="0" w:color="auto"/>
        <w:left w:val="none" w:sz="0" w:space="0" w:color="auto"/>
        <w:bottom w:val="none" w:sz="0" w:space="0" w:color="auto"/>
        <w:right w:val="none" w:sz="0" w:space="0" w:color="auto"/>
      </w:divBdr>
    </w:div>
    <w:div w:id="39520376">
      <w:bodyDiv w:val="1"/>
      <w:marLeft w:val="0"/>
      <w:marRight w:val="0"/>
      <w:marTop w:val="0"/>
      <w:marBottom w:val="0"/>
      <w:divBdr>
        <w:top w:val="none" w:sz="0" w:space="0" w:color="auto"/>
        <w:left w:val="none" w:sz="0" w:space="0" w:color="auto"/>
        <w:bottom w:val="none" w:sz="0" w:space="0" w:color="auto"/>
        <w:right w:val="none" w:sz="0" w:space="0" w:color="auto"/>
      </w:divBdr>
    </w:div>
    <w:div w:id="39595993">
      <w:bodyDiv w:val="1"/>
      <w:marLeft w:val="0"/>
      <w:marRight w:val="0"/>
      <w:marTop w:val="0"/>
      <w:marBottom w:val="0"/>
      <w:divBdr>
        <w:top w:val="none" w:sz="0" w:space="0" w:color="auto"/>
        <w:left w:val="none" w:sz="0" w:space="0" w:color="auto"/>
        <w:bottom w:val="none" w:sz="0" w:space="0" w:color="auto"/>
        <w:right w:val="none" w:sz="0" w:space="0" w:color="auto"/>
      </w:divBdr>
    </w:div>
    <w:div w:id="39978706">
      <w:bodyDiv w:val="1"/>
      <w:marLeft w:val="0"/>
      <w:marRight w:val="0"/>
      <w:marTop w:val="0"/>
      <w:marBottom w:val="0"/>
      <w:divBdr>
        <w:top w:val="none" w:sz="0" w:space="0" w:color="auto"/>
        <w:left w:val="none" w:sz="0" w:space="0" w:color="auto"/>
        <w:bottom w:val="none" w:sz="0" w:space="0" w:color="auto"/>
        <w:right w:val="none" w:sz="0" w:space="0" w:color="auto"/>
      </w:divBdr>
    </w:div>
    <w:div w:id="40061476">
      <w:bodyDiv w:val="1"/>
      <w:marLeft w:val="0"/>
      <w:marRight w:val="0"/>
      <w:marTop w:val="0"/>
      <w:marBottom w:val="0"/>
      <w:divBdr>
        <w:top w:val="none" w:sz="0" w:space="0" w:color="auto"/>
        <w:left w:val="none" w:sz="0" w:space="0" w:color="auto"/>
        <w:bottom w:val="none" w:sz="0" w:space="0" w:color="auto"/>
        <w:right w:val="none" w:sz="0" w:space="0" w:color="auto"/>
      </w:divBdr>
    </w:div>
    <w:div w:id="40327628">
      <w:bodyDiv w:val="1"/>
      <w:marLeft w:val="0"/>
      <w:marRight w:val="0"/>
      <w:marTop w:val="0"/>
      <w:marBottom w:val="0"/>
      <w:divBdr>
        <w:top w:val="none" w:sz="0" w:space="0" w:color="auto"/>
        <w:left w:val="none" w:sz="0" w:space="0" w:color="auto"/>
        <w:bottom w:val="none" w:sz="0" w:space="0" w:color="auto"/>
        <w:right w:val="none" w:sz="0" w:space="0" w:color="auto"/>
      </w:divBdr>
    </w:div>
    <w:div w:id="40446856">
      <w:bodyDiv w:val="1"/>
      <w:marLeft w:val="0"/>
      <w:marRight w:val="0"/>
      <w:marTop w:val="0"/>
      <w:marBottom w:val="0"/>
      <w:divBdr>
        <w:top w:val="none" w:sz="0" w:space="0" w:color="auto"/>
        <w:left w:val="none" w:sz="0" w:space="0" w:color="auto"/>
        <w:bottom w:val="none" w:sz="0" w:space="0" w:color="auto"/>
        <w:right w:val="none" w:sz="0" w:space="0" w:color="auto"/>
      </w:divBdr>
    </w:div>
    <w:div w:id="40448651">
      <w:bodyDiv w:val="1"/>
      <w:marLeft w:val="0"/>
      <w:marRight w:val="0"/>
      <w:marTop w:val="0"/>
      <w:marBottom w:val="0"/>
      <w:divBdr>
        <w:top w:val="none" w:sz="0" w:space="0" w:color="auto"/>
        <w:left w:val="none" w:sz="0" w:space="0" w:color="auto"/>
        <w:bottom w:val="none" w:sz="0" w:space="0" w:color="auto"/>
        <w:right w:val="none" w:sz="0" w:space="0" w:color="auto"/>
      </w:divBdr>
    </w:div>
    <w:div w:id="41025762">
      <w:bodyDiv w:val="1"/>
      <w:marLeft w:val="0"/>
      <w:marRight w:val="0"/>
      <w:marTop w:val="0"/>
      <w:marBottom w:val="0"/>
      <w:divBdr>
        <w:top w:val="none" w:sz="0" w:space="0" w:color="auto"/>
        <w:left w:val="none" w:sz="0" w:space="0" w:color="auto"/>
        <w:bottom w:val="none" w:sz="0" w:space="0" w:color="auto"/>
        <w:right w:val="none" w:sz="0" w:space="0" w:color="auto"/>
      </w:divBdr>
    </w:div>
    <w:div w:id="41057840">
      <w:bodyDiv w:val="1"/>
      <w:marLeft w:val="0"/>
      <w:marRight w:val="0"/>
      <w:marTop w:val="0"/>
      <w:marBottom w:val="0"/>
      <w:divBdr>
        <w:top w:val="none" w:sz="0" w:space="0" w:color="auto"/>
        <w:left w:val="none" w:sz="0" w:space="0" w:color="auto"/>
        <w:bottom w:val="none" w:sz="0" w:space="0" w:color="auto"/>
        <w:right w:val="none" w:sz="0" w:space="0" w:color="auto"/>
      </w:divBdr>
    </w:div>
    <w:div w:id="41096198">
      <w:bodyDiv w:val="1"/>
      <w:marLeft w:val="0"/>
      <w:marRight w:val="0"/>
      <w:marTop w:val="0"/>
      <w:marBottom w:val="0"/>
      <w:divBdr>
        <w:top w:val="none" w:sz="0" w:space="0" w:color="auto"/>
        <w:left w:val="none" w:sz="0" w:space="0" w:color="auto"/>
        <w:bottom w:val="none" w:sz="0" w:space="0" w:color="auto"/>
        <w:right w:val="none" w:sz="0" w:space="0" w:color="auto"/>
      </w:divBdr>
    </w:div>
    <w:div w:id="41104716">
      <w:bodyDiv w:val="1"/>
      <w:marLeft w:val="0"/>
      <w:marRight w:val="0"/>
      <w:marTop w:val="0"/>
      <w:marBottom w:val="0"/>
      <w:divBdr>
        <w:top w:val="none" w:sz="0" w:space="0" w:color="auto"/>
        <w:left w:val="none" w:sz="0" w:space="0" w:color="auto"/>
        <w:bottom w:val="none" w:sz="0" w:space="0" w:color="auto"/>
        <w:right w:val="none" w:sz="0" w:space="0" w:color="auto"/>
      </w:divBdr>
    </w:div>
    <w:div w:id="41174457">
      <w:bodyDiv w:val="1"/>
      <w:marLeft w:val="0"/>
      <w:marRight w:val="0"/>
      <w:marTop w:val="0"/>
      <w:marBottom w:val="0"/>
      <w:divBdr>
        <w:top w:val="none" w:sz="0" w:space="0" w:color="auto"/>
        <w:left w:val="none" w:sz="0" w:space="0" w:color="auto"/>
        <w:bottom w:val="none" w:sz="0" w:space="0" w:color="auto"/>
        <w:right w:val="none" w:sz="0" w:space="0" w:color="auto"/>
      </w:divBdr>
    </w:div>
    <w:div w:id="41373890">
      <w:bodyDiv w:val="1"/>
      <w:marLeft w:val="0"/>
      <w:marRight w:val="0"/>
      <w:marTop w:val="0"/>
      <w:marBottom w:val="0"/>
      <w:divBdr>
        <w:top w:val="none" w:sz="0" w:space="0" w:color="auto"/>
        <w:left w:val="none" w:sz="0" w:space="0" w:color="auto"/>
        <w:bottom w:val="none" w:sz="0" w:space="0" w:color="auto"/>
        <w:right w:val="none" w:sz="0" w:space="0" w:color="auto"/>
      </w:divBdr>
    </w:div>
    <w:div w:id="41488451">
      <w:bodyDiv w:val="1"/>
      <w:marLeft w:val="0"/>
      <w:marRight w:val="0"/>
      <w:marTop w:val="0"/>
      <w:marBottom w:val="0"/>
      <w:divBdr>
        <w:top w:val="none" w:sz="0" w:space="0" w:color="auto"/>
        <w:left w:val="none" w:sz="0" w:space="0" w:color="auto"/>
        <w:bottom w:val="none" w:sz="0" w:space="0" w:color="auto"/>
        <w:right w:val="none" w:sz="0" w:space="0" w:color="auto"/>
      </w:divBdr>
    </w:div>
    <w:div w:id="42097057">
      <w:bodyDiv w:val="1"/>
      <w:marLeft w:val="0"/>
      <w:marRight w:val="0"/>
      <w:marTop w:val="0"/>
      <w:marBottom w:val="0"/>
      <w:divBdr>
        <w:top w:val="none" w:sz="0" w:space="0" w:color="auto"/>
        <w:left w:val="none" w:sz="0" w:space="0" w:color="auto"/>
        <w:bottom w:val="none" w:sz="0" w:space="0" w:color="auto"/>
        <w:right w:val="none" w:sz="0" w:space="0" w:color="auto"/>
      </w:divBdr>
    </w:div>
    <w:div w:id="42100155">
      <w:bodyDiv w:val="1"/>
      <w:marLeft w:val="0"/>
      <w:marRight w:val="0"/>
      <w:marTop w:val="0"/>
      <w:marBottom w:val="0"/>
      <w:divBdr>
        <w:top w:val="none" w:sz="0" w:space="0" w:color="auto"/>
        <w:left w:val="none" w:sz="0" w:space="0" w:color="auto"/>
        <w:bottom w:val="none" w:sz="0" w:space="0" w:color="auto"/>
        <w:right w:val="none" w:sz="0" w:space="0" w:color="auto"/>
      </w:divBdr>
    </w:div>
    <w:div w:id="42145538">
      <w:bodyDiv w:val="1"/>
      <w:marLeft w:val="0"/>
      <w:marRight w:val="0"/>
      <w:marTop w:val="0"/>
      <w:marBottom w:val="0"/>
      <w:divBdr>
        <w:top w:val="none" w:sz="0" w:space="0" w:color="auto"/>
        <w:left w:val="none" w:sz="0" w:space="0" w:color="auto"/>
        <w:bottom w:val="none" w:sz="0" w:space="0" w:color="auto"/>
        <w:right w:val="none" w:sz="0" w:space="0" w:color="auto"/>
      </w:divBdr>
    </w:div>
    <w:div w:id="42411018">
      <w:bodyDiv w:val="1"/>
      <w:marLeft w:val="0"/>
      <w:marRight w:val="0"/>
      <w:marTop w:val="0"/>
      <w:marBottom w:val="0"/>
      <w:divBdr>
        <w:top w:val="none" w:sz="0" w:space="0" w:color="auto"/>
        <w:left w:val="none" w:sz="0" w:space="0" w:color="auto"/>
        <w:bottom w:val="none" w:sz="0" w:space="0" w:color="auto"/>
        <w:right w:val="none" w:sz="0" w:space="0" w:color="auto"/>
      </w:divBdr>
    </w:div>
    <w:div w:id="42486304">
      <w:bodyDiv w:val="1"/>
      <w:marLeft w:val="0"/>
      <w:marRight w:val="0"/>
      <w:marTop w:val="0"/>
      <w:marBottom w:val="0"/>
      <w:divBdr>
        <w:top w:val="none" w:sz="0" w:space="0" w:color="auto"/>
        <w:left w:val="none" w:sz="0" w:space="0" w:color="auto"/>
        <w:bottom w:val="none" w:sz="0" w:space="0" w:color="auto"/>
        <w:right w:val="none" w:sz="0" w:space="0" w:color="auto"/>
      </w:divBdr>
    </w:div>
    <w:div w:id="42563525">
      <w:bodyDiv w:val="1"/>
      <w:marLeft w:val="0"/>
      <w:marRight w:val="0"/>
      <w:marTop w:val="0"/>
      <w:marBottom w:val="0"/>
      <w:divBdr>
        <w:top w:val="none" w:sz="0" w:space="0" w:color="auto"/>
        <w:left w:val="none" w:sz="0" w:space="0" w:color="auto"/>
        <w:bottom w:val="none" w:sz="0" w:space="0" w:color="auto"/>
        <w:right w:val="none" w:sz="0" w:space="0" w:color="auto"/>
      </w:divBdr>
    </w:div>
    <w:div w:id="42797166">
      <w:bodyDiv w:val="1"/>
      <w:marLeft w:val="0"/>
      <w:marRight w:val="0"/>
      <w:marTop w:val="0"/>
      <w:marBottom w:val="0"/>
      <w:divBdr>
        <w:top w:val="none" w:sz="0" w:space="0" w:color="auto"/>
        <w:left w:val="none" w:sz="0" w:space="0" w:color="auto"/>
        <w:bottom w:val="none" w:sz="0" w:space="0" w:color="auto"/>
        <w:right w:val="none" w:sz="0" w:space="0" w:color="auto"/>
      </w:divBdr>
    </w:div>
    <w:div w:id="42801423">
      <w:bodyDiv w:val="1"/>
      <w:marLeft w:val="0"/>
      <w:marRight w:val="0"/>
      <w:marTop w:val="0"/>
      <w:marBottom w:val="0"/>
      <w:divBdr>
        <w:top w:val="none" w:sz="0" w:space="0" w:color="auto"/>
        <w:left w:val="none" w:sz="0" w:space="0" w:color="auto"/>
        <w:bottom w:val="none" w:sz="0" w:space="0" w:color="auto"/>
        <w:right w:val="none" w:sz="0" w:space="0" w:color="auto"/>
      </w:divBdr>
    </w:div>
    <w:div w:id="43146292">
      <w:bodyDiv w:val="1"/>
      <w:marLeft w:val="0"/>
      <w:marRight w:val="0"/>
      <w:marTop w:val="0"/>
      <w:marBottom w:val="0"/>
      <w:divBdr>
        <w:top w:val="none" w:sz="0" w:space="0" w:color="auto"/>
        <w:left w:val="none" w:sz="0" w:space="0" w:color="auto"/>
        <w:bottom w:val="none" w:sz="0" w:space="0" w:color="auto"/>
        <w:right w:val="none" w:sz="0" w:space="0" w:color="auto"/>
      </w:divBdr>
    </w:div>
    <w:div w:id="43408249">
      <w:bodyDiv w:val="1"/>
      <w:marLeft w:val="0"/>
      <w:marRight w:val="0"/>
      <w:marTop w:val="0"/>
      <w:marBottom w:val="0"/>
      <w:divBdr>
        <w:top w:val="none" w:sz="0" w:space="0" w:color="auto"/>
        <w:left w:val="none" w:sz="0" w:space="0" w:color="auto"/>
        <w:bottom w:val="none" w:sz="0" w:space="0" w:color="auto"/>
        <w:right w:val="none" w:sz="0" w:space="0" w:color="auto"/>
      </w:divBdr>
    </w:div>
    <w:div w:id="43409739">
      <w:bodyDiv w:val="1"/>
      <w:marLeft w:val="0"/>
      <w:marRight w:val="0"/>
      <w:marTop w:val="0"/>
      <w:marBottom w:val="0"/>
      <w:divBdr>
        <w:top w:val="none" w:sz="0" w:space="0" w:color="auto"/>
        <w:left w:val="none" w:sz="0" w:space="0" w:color="auto"/>
        <w:bottom w:val="none" w:sz="0" w:space="0" w:color="auto"/>
        <w:right w:val="none" w:sz="0" w:space="0" w:color="auto"/>
      </w:divBdr>
    </w:div>
    <w:div w:id="43411151">
      <w:bodyDiv w:val="1"/>
      <w:marLeft w:val="0"/>
      <w:marRight w:val="0"/>
      <w:marTop w:val="0"/>
      <w:marBottom w:val="0"/>
      <w:divBdr>
        <w:top w:val="none" w:sz="0" w:space="0" w:color="auto"/>
        <w:left w:val="none" w:sz="0" w:space="0" w:color="auto"/>
        <w:bottom w:val="none" w:sz="0" w:space="0" w:color="auto"/>
        <w:right w:val="none" w:sz="0" w:space="0" w:color="auto"/>
      </w:divBdr>
    </w:div>
    <w:div w:id="43605144">
      <w:bodyDiv w:val="1"/>
      <w:marLeft w:val="0"/>
      <w:marRight w:val="0"/>
      <w:marTop w:val="0"/>
      <w:marBottom w:val="0"/>
      <w:divBdr>
        <w:top w:val="none" w:sz="0" w:space="0" w:color="auto"/>
        <w:left w:val="none" w:sz="0" w:space="0" w:color="auto"/>
        <w:bottom w:val="none" w:sz="0" w:space="0" w:color="auto"/>
        <w:right w:val="none" w:sz="0" w:space="0" w:color="auto"/>
      </w:divBdr>
    </w:div>
    <w:div w:id="44110322">
      <w:bodyDiv w:val="1"/>
      <w:marLeft w:val="0"/>
      <w:marRight w:val="0"/>
      <w:marTop w:val="0"/>
      <w:marBottom w:val="0"/>
      <w:divBdr>
        <w:top w:val="none" w:sz="0" w:space="0" w:color="auto"/>
        <w:left w:val="none" w:sz="0" w:space="0" w:color="auto"/>
        <w:bottom w:val="none" w:sz="0" w:space="0" w:color="auto"/>
        <w:right w:val="none" w:sz="0" w:space="0" w:color="auto"/>
      </w:divBdr>
    </w:div>
    <w:div w:id="44304834">
      <w:bodyDiv w:val="1"/>
      <w:marLeft w:val="0"/>
      <w:marRight w:val="0"/>
      <w:marTop w:val="0"/>
      <w:marBottom w:val="0"/>
      <w:divBdr>
        <w:top w:val="none" w:sz="0" w:space="0" w:color="auto"/>
        <w:left w:val="none" w:sz="0" w:space="0" w:color="auto"/>
        <w:bottom w:val="none" w:sz="0" w:space="0" w:color="auto"/>
        <w:right w:val="none" w:sz="0" w:space="0" w:color="auto"/>
      </w:divBdr>
    </w:div>
    <w:div w:id="44305745">
      <w:bodyDiv w:val="1"/>
      <w:marLeft w:val="0"/>
      <w:marRight w:val="0"/>
      <w:marTop w:val="0"/>
      <w:marBottom w:val="0"/>
      <w:divBdr>
        <w:top w:val="none" w:sz="0" w:space="0" w:color="auto"/>
        <w:left w:val="none" w:sz="0" w:space="0" w:color="auto"/>
        <w:bottom w:val="none" w:sz="0" w:space="0" w:color="auto"/>
        <w:right w:val="none" w:sz="0" w:space="0" w:color="auto"/>
      </w:divBdr>
    </w:div>
    <w:div w:id="44572696">
      <w:bodyDiv w:val="1"/>
      <w:marLeft w:val="0"/>
      <w:marRight w:val="0"/>
      <w:marTop w:val="0"/>
      <w:marBottom w:val="0"/>
      <w:divBdr>
        <w:top w:val="none" w:sz="0" w:space="0" w:color="auto"/>
        <w:left w:val="none" w:sz="0" w:space="0" w:color="auto"/>
        <w:bottom w:val="none" w:sz="0" w:space="0" w:color="auto"/>
        <w:right w:val="none" w:sz="0" w:space="0" w:color="auto"/>
      </w:divBdr>
    </w:div>
    <w:div w:id="44762692">
      <w:bodyDiv w:val="1"/>
      <w:marLeft w:val="0"/>
      <w:marRight w:val="0"/>
      <w:marTop w:val="0"/>
      <w:marBottom w:val="0"/>
      <w:divBdr>
        <w:top w:val="none" w:sz="0" w:space="0" w:color="auto"/>
        <w:left w:val="none" w:sz="0" w:space="0" w:color="auto"/>
        <w:bottom w:val="none" w:sz="0" w:space="0" w:color="auto"/>
        <w:right w:val="none" w:sz="0" w:space="0" w:color="auto"/>
      </w:divBdr>
    </w:div>
    <w:div w:id="44909677">
      <w:bodyDiv w:val="1"/>
      <w:marLeft w:val="0"/>
      <w:marRight w:val="0"/>
      <w:marTop w:val="0"/>
      <w:marBottom w:val="0"/>
      <w:divBdr>
        <w:top w:val="none" w:sz="0" w:space="0" w:color="auto"/>
        <w:left w:val="none" w:sz="0" w:space="0" w:color="auto"/>
        <w:bottom w:val="none" w:sz="0" w:space="0" w:color="auto"/>
        <w:right w:val="none" w:sz="0" w:space="0" w:color="auto"/>
      </w:divBdr>
    </w:div>
    <w:div w:id="44986931">
      <w:bodyDiv w:val="1"/>
      <w:marLeft w:val="0"/>
      <w:marRight w:val="0"/>
      <w:marTop w:val="0"/>
      <w:marBottom w:val="0"/>
      <w:divBdr>
        <w:top w:val="none" w:sz="0" w:space="0" w:color="auto"/>
        <w:left w:val="none" w:sz="0" w:space="0" w:color="auto"/>
        <w:bottom w:val="none" w:sz="0" w:space="0" w:color="auto"/>
        <w:right w:val="none" w:sz="0" w:space="0" w:color="auto"/>
      </w:divBdr>
    </w:div>
    <w:div w:id="44988193">
      <w:bodyDiv w:val="1"/>
      <w:marLeft w:val="0"/>
      <w:marRight w:val="0"/>
      <w:marTop w:val="0"/>
      <w:marBottom w:val="0"/>
      <w:divBdr>
        <w:top w:val="none" w:sz="0" w:space="0" w:color="auto"/>
        <w:left w:val="none" w:sz="0" w:space="0" w:color="auto"/>
        <w:bottom w:val="none" w:sz="0" w:space="0" w:color="auto"/>
        <w:right w:val="none" w:sz="0" w:space="0" w:color="auto"/>
      </w:divBdr>
    </w:div>
    <w:div w:id="45033055">
      <w:bodyDiv w:val="1"/>
      <w:marLeft w:val="0"/>
      <w:marRight w:val="0"/>
      <w:marTop w:val="0"/>
      <w:marBottom w:val="0"/>
      <w:divBdr>
        <w:top w:val="none" w:sz="0" w:space="0" w:color="auto"/>
        <w:left w:val="none" w:sz="0" w:space="0" w:color="auto"/>
        <w:bottom w:val="none" w:sz="0" w:space="0" w:color="auto"/>
        <w:right w:val="none" w:sz="0" w:space="0" w:color="auto"/>
      </w:divBdr>
    </w:div>
    <w:div w:id="45297332">
      <w:bodyDiv w:val="1"/>
      <w:marLeft w:val="0"/>
      <w:marRight w:val="0"/>
      <w:marTop w:val="0"/>
      <w:marBottom w:val="0"/>
      <w:divBdr>
        <w:top w:val="none" w:sz="0" w:space="0" w:color="auto"/>
        <w:left w:val="none" w:sz="0" w:space="0" w:color="auto"/>
        <w:bottom w:val="none" w:sz="0" w:space="0" w:color="auto"/>
        <w:right w:val="none" w:sz="0" w:space="0" w:color="auto"/>
      </w:divBdr>
    </w:div>
    <w:div w:id="45302567">
      <w:bodyDiv w:val="1"/>
      <w:marLeft w:val="0"/>
      <w:marRight w:val="0"/>
      <w:marTop w:val="0"/>
      <w:marBottom w:val="0"/>
      <w:divBdr>
        <w:top w:val="none" w:sz="0" w:space="0" w:color="auto"/>
        <w:left w:val="none" w:sz="0" w:space="0" w:color="auto"/>
        <w:bottom w:val="none" w:sz="0" w:space="0" w:color="auto"/>
        <w:right w:val="none" w:sz="0" w:space="0" w:color="auto"/>
      </w:divBdr>
    </w:div>
    <w:div w:id="45377151">
      <w:bodyDiv w:val="1"/>
      <w:marLeft w:val="0"/>
      <w:marRight w:val="0"/>
      <w:marTop w:val="0"/>
      <w:marBottom w:val="0"/>
      <w:divBdr>
        <w:top w:val="none" w:sz="0" w:space="0" w:color="auto"/>
        <w:left w:val="none" w:sz="0" w:space="0" w:color="auto"/>
        <w:bottom w:val="none" w:sz="0" w:space="0" w:color="auto"/>
        <w:right w:val="none" w:sz="0" w:space="0" w:color="auto"/>
      </w:divBdr>
    </w:div>
    <w:div w:id="45419929">
      <w:bodyDiv w:val="1"/>
      <w:marLeft w:val="0"/>
      <w:marRight w:val="0"/>
      <w:marTop w:val="0"/>
      <w:marBottom w:val="0"/>
      <w:divBdr>
        <w:top w:val="none" w:sz="0" w:space="0" w:color="auto"/>
        <w:left w:val="none" w:sz="0" w:space="0" w:color="auto"/>
        <w:bottom w:val="none" w:sz="0" w:space="0" w:color="auto"/>
        <w:right w:val="none" w:sz="0" w:space="0" w:color="auto"/>
      </w:divBdr>
    </w:div>
    <w:div w:id="45684451">
      <w:bodyDiv w:val="1"/>
      <w:marLeft w:val="0"/>
      <w:marRight w:val="0"/>
      <w:marTop w:val="0"/>
      <w:marBottom w:val="0"/>
      <w:divBdr>
        <w:top w:val="none" w:sz="0" w:space="0" w:color="auto"/>
        <w:left w:val="none" w:sz="0" w:space="0" w:color="auto"/>
        <w:bottom w:val="none" w:sz="0" w:space="0" w:color="auto"/>
        <w:right w:val="none" w:sz="0" w:space="0" w:color="auto"/>
      </w:divBdr>
    </w:div>
    <w:div w:id="45836707">
      <w:bodyDiv w:val="1"/>
      <w:marLeft w:val="0"/>
      <w:marRight w:val="0"/>
      <w:marTop w:val="0"/>
      <w:marBottom w:val="0"/>
      <w:divBdr>
        <w:top w:val="none" w:sz="0" w:space="0" w:color="auto"/>
        <w:left w:val="none" w:sz="0" w:space="0" w:color="auto"/>
        <w:bottom w:val="none" w:sz="0" w:space="0" w:color="auto"/>
        <w:right w:val="none" w:sz="0" w:space="0" w:color="auto"/>
      </w:divBdr>
    </w:div>
    <w:div w:id="46031675">
      <w:bodyDiv w:val="1"/>
      <w:marLeft w:val="0"/>
      <w:marRight w:val="0"/>
      <w:marTop w:val="0"/>
      <w:marBottom w:val="0"/>
      <w:divBdr>
        <w:top w:val="none" w:sz="0" w:space="0" w:color="auto"/>
        <w:left w:val="none" w:sz="0" w:space="0" w:color="auto"/>
        <w:bottom w:val="none" w:sz="0" w:space="0" w:color="auto"/>
        <w:right w:val="none" w:sz="0" w:space="0" w:color="auto"/>
      </w:divBdr>
    </w:div>
    <w:div w:id="46072861">
      <w:bodyDiv w:val="1"/>
      <w:marLeft w:val="0"/>
      <w:marRight w:val="0"/>
      <w:marTop w:val="0"/>
      <w:marBottom w:val="0"/>
      <w:divBdr>
        <w:top w:val="none" w:sz="0" w:space="0" w:color="auto"/>
        <w:left w:val="none" w:sz="0" w:space="0" w:color="auto"/>
        <w:bottom w:val="none" w:sz="0" w:space="0" w:color="auto"/>
        <w:right w:val="none" w:sz="0" w:space="0" w:color="auto"/>
      </w:divBdr>
    </w:div>
    <w:div w:id="46341526">
      <w:bodyDiv w:val="1"/>
      <w:marLeft w:val="0"/>
      <w:marRight w:val="0"/>
      <w:marTop w:val="0"/>
      <w:marBottom w:val="0"/>
      <w:divBdr>
        <w:top w:val="none" w:sz="0" w:space="0" w:color="auto"/>
        <w:left w:val="none" w:sz="0" w:space="0" w:color="auto"/>
        <w:bottom w:val="none" w:sz="0" w:space="0" w:color="auto"/>
        <w:right w:val="none" w:sz="0" w:space="0" w:color="auto"/>
      </w:divBdr>
    </w:div>
    <w:div w:id="46342294">
      <w:bodyDiv w:val="1"/>
      <w:marLeft w:val="0"/>
      <w:marRight w:val="0"/>
      <w:marTop w:val="0"/>
      <w:marBottom w:val="0"/>
      <w:divBdr>
        <w:top w:val="none" w:sz="0" w:space="0" w:color="auto"/>
        <w:left w:val="none" w:sz="0" w:space="0" w:color="auto"/>
        <w:bottom w:val="none" w:sz="0" w:space="0" w:color="auto"/>
        <w:right w:val="none" w:sz="0" w:space="0" w:color="auto"/>
      </w:divBdr>
    </w:div>
    <w:div w:id="46489691">
      <w:bodyDiv w:val="1"/>
      <w:marLeft w:val="0"/>
      <w:marRight w:val="0"/>
      <w:marTop w:val="0"/>
      <w:marBottom w:val="0"/>
      <w:divBdr>
        <w:top w:val="none" w:sz="0" w:space="0" w:color="auto"/>
        <w:left w:val="none" w:sz="0" w:space="0" w:color="auto"/>
        <w:bottom w:val="none" w:sz="0" w:space="0" w:color="auto"/>
        <w:right w:val="none" w:sz="0" w:space="0" w:color="auto"/>
      </w:divBdr>
    </w:div>
    <w:div w:id="46492514">
      <w:bodyDiv w:val="1"/>
      <w:marLeft w:val="0"/>
      <w:marRight w:val="0"/>
      <w:marTop w:val="0"/>
      <w:marBottom w:val="0"/>
      <w:divBdr>
        <w:top w:val="none" w:sz="0" w:space="0" w:color="auto"/>
        <w:left w:val="none" w:sz="0" w:space="0" w:color="auto"/>
        <w:bottom w:val="none" w:sz="0" w:space="0" w:color="auto"/>
        <w:right w:val="none" w:sz="0" w:space="0" w:color="auto"/>
      </w:divBdr>
    </w:div>
    <w:div w:id="46536327">
      <w:bodyDiv w:val="1"/>
      <w:marLeft w:val="0"/>
      <w:marRight w:val="0"/>
      <w:marTop w:val="0"/>
      <w:marBottom w:val="0"/>
      <w:divBdr>
        <w:top w:val="none" w:sz="0" w:space="0" w:color="auto"/>
        <w:left w:val="none" w:sz="0" w:space="0" w:color="auto"/>
        <w:bottom w:val="none" w:sz="0" w:space="0" w:color="auto"/>
        <w:right w:val="none" w:sz="0" w:space="0" w:color="auto"/>
      </w:divBdr>
    </w:div>
    <w:div w:id="46803017">
      <w:bodyDiv w:val="1"/>
      <w:marLeft w:val="0"/>
      <w:marRight w:val="0"/>
      <w:marTop w:val="0"/>
      <w:marBottom w:val="0"/>
      <w:divBdr>
        <w:top w:val="none" w:sz="0" w:space="0" w:color="auto"/>
        <w:left w:val="none" w:sz="0" w:space="0" w:color="auto"/>
        <w:bottom w:val="none" w:sz="0" w:space="0" w:color="auto"/>
        <w:right w:val="none" w:sz="0" w:space="0" w:color="auto"/>
      </w:divBdr>
    </w:div>
    <w:div w:id="46804604">
      <w:bodyDiv w:val="1"/>
      <w:marLeft w:val="0"/>
      <w:marRight w:val="0"/>
      <w:marTop w:val="0"/>
      <w:marBottom w:val="0"/>
      <w:divBdr>
        <w:top w:val="none" w:sz="0" w:space="0" w:color="auto"/>
        <w:left w:val="none" w:sz="0" w:space="0" w:color="auto"/>
        <w:bottom w:val="none" w:sz="0" w:space="0" w:color="auto"/>
        <w:right w:val="none" w:sz="0" w:space="0" w:color="auto"/>
      </w:divBdr>
    </w:div>
    <w:div w:id="47076531">
      <w:bodyDiv w:val="1"/>
      <w:marLeft w:val="0"/>
      <w:marRight w:val="0"/>
      <w:marTop w:val="0"/>
      <w:marBottom w:val="0"/>
      <w:divBdr>
        <w:top w:val="none" w:sz="0" w:space="0" w:color="auto"/>
        <w:left w:val="none" w:sz="0" w:space="0" w:color="auto"/>
        <w:bottom w:val="none" w:sz="0" w:space="0" w:color="auto"/>
        <w:right w:val="none" w:sz="0" w:space="0" w:color="auto"/>
      </w:divBdr>
    </w:div>
    <w:div w:id="47149263">
      <w:bodyDiv w:val="1"/>
      <w:marLeft w:val="0"/>
      <w:marRight w:val="0"/>
      <w:marTop w:val="0"/>
      <w:marBottom w:val="0"/>
      <w:divBdr>
        <w:top w:val="none" w:sz="0" w:space="0" w:color="auto"/>
        <w:left w:val="none" w:sz="0" w:space="0" w:color="auto"/>
        <w:bottom w:val="none" w:sz="0" w:space="0" w:color="auto"/>
        <w:right w:val="none" w:sz="0" w:space="0" w:color="auto"/>
      </w:divBdr>
    </w:div>
    <w:div w:id="47464602">
      <w:bodyDiv w:val="1"/>
      <w:marLeft w:val="0"/>
      <w:marRight w:val="0"/>
      <w:marTop w:val="0"/>
      <w:marBottom w:val="0"/>
      <w:divBdr>
        <w:top w:val="none" w:sz="0" w:space="0" w:color="auto"/>
        <w:left w:val="none" w:sz="0" w:space="0" w:color="auto"/>
        <w:bottom w:val="none" w:sz="0" w:space="0" w:color="auto"/>
        <w:right w:val="none" w:sz="0" w:space="0" w:color="auto"/>
      </w:divBdr>
    </w:div>
    <w:div w:id="47580104">
      <w:bodyDiv w:val="1"/>
      <w:marLeft w:val="0"/>
      <w:marRight w:val="0"/>
      <w:marTop w:val="0"/>
      <w:marBottom w:val="0"/>
      <w:divBdr>
        <w:top w:val="none" w:sz="0" w:space="0" w:color="auto"/>
        <w:left w:val="none" w:sz="0" w:space="0" w:color="auto"/>
        <w:bottom w:val="none" w:sz="0" w:space="0" w:color="auto"/>
        <w:right w:val="none" w:sz="0" w:space="0" w:color="auto"/>
      </w:divBdr>
    </w:div>
    <w:div w:id="47725540">
      <w:bodyDiv w:val="1"/>
      <w:marLeft w:val="0"/>
      <w:marRight w:val="0"/>
      <w:marTop w:val="0"/>
      <w:marBottom w:val="0"/>
      <w:divBdr>
        <w:top w:val="none" w:sz="0" w:space="0" w:color="auto"/>
        <w:left w:val="none" w:sz="0" w:space="0" w:color="auto"/>
        <w:bottom w:val="none" w:sz="0" w:space="0" w:color="auto"/>
        <w:right w:val="none" w:sz="0" w:space="0" w:color="auto"/>
      </w:divBdr>
    </w:div>
    <w:div w:id="47728322">
      <w:bodyDiv w:val="1"/>
      <w:marLeft w:val="0"/>
      <w:marRight w:val="0"/>
      <w:marTop w:val="0"/>
      <w:marBottom w:val="0"/>
      <w:divBdr>
        <w:top w:val="none" w:sz="0" w:space="0" w:color="auto"/>
        <w:left w:val="none" w:sz="0" w:space="0" w:color="auto"/>
        <w:bottom w:val="none" w:sz="0" w:space="0" w:color="auto"/>
        <w:right w:val="none" w:sz="0" w:space="0" w:color="auto"/>
      </w:divBdr>
    </w:div>
    <w:div w:id="47803279">
      <w:bodyDiv w:val="1"/>
      <w:marLeft w:val="0"/>
      <w:marRight w:val="0"/>
      <w:marTop w:val="0"/>
      <w:marBottom w:val="0"/>
      <w:divBdr>
        <w:top w:val="none" w:sz="0" w:space="0" w:color="auto"/>
        <w:left w:val="none" w:sz="0" w:space="0" w:color="auto"/>
        <w:bottom w:val="none" w:sz="0" w:space="0" w:color="auto"/>
        <w:right w:val="none" w:sz="0" w:space="0" w:color="auto"/>
      </w:divBdr>
    </w:div>
    <w:div w:id="47917651">
      <w:bodyDiv w:val="1"/>
      <w:marLeft w:val="0"/>
      <w:marRight w:val="0"/>
      <w:marTop w:val="0"/>
      <w:marBottom w:val="0"/>
      <w:divBdr>
        <w:top w:val="none" w:sz="0" w:space="0" w:color="auto"/>
        <w:left w:val="none" w:sz="0" w:space="0" w:color="auto"/>
        <w:bottom w:val="none" w:sz="0" w:space="0" w:color="auto"/>
        <w:right w:val="none" w:sz="0" w:space="0" w:color="auto"/>
      </w:divBdr>
    </w:div>
    <w:div w:id="47995736">
      <w:bodyDiv w:val="1"/>
      <w:marLeft w:val="0"/>
      <w:marRight w:val="0"/>
      <w:marTop w:val="0"/>
      <w:marBottom w:val="0"/>
      <w:divBdr>
        <w:top w:val="none" w:sz="0" w:space="0" w:color="auto"/>
        <w:left w:val="none" w:sz="0" w:space="0" w:color="auto"/>
        <w:bottom w:val="none" w:sz="0" w:space="0" w:color="auto"/>
        <w:right w:val="none" w:sz="0" w:space="0" w:color="auto"/>
      </w:divBdr>
    </w:div>
    <w:div w:id="48111787">
      <w:bodyDiv w:val="1"/>
      <w:marLeft w:val="0"/>
      <w:marRight w:val="0"/>
      <w:marTop w:val="0"/>
      <w:marBottom w:val="0"/>
      <w:divBdr>
        <w:top w:val="none" w:sz="0" w:space="0" w:color="auto"/>
        <w:left w:val="none" w:sz="0" w:space="0" w:color="auto"/>
        <w:bottom w:val="none" w:sz="0" w:space="0" w:color="auto"/>
        <w:right w:val="none" w:sz="0" w:space="0" w:color="auto"/>
      </w:divBdr>
    </w:div>
    <w:div w:id="48113496">
      <w:bodyDiv w:val="1"/>
      <w:marLeft w:val="0"/>
      <w:marRight w:val="0"/>
      <w:marTop w:val="0"/>
      <w:marBottom w:val="0"/>
      <w:divBdr>
        <w:top w:val="none" w:sz="0" w:space="0" w:color="auto"/>
        <w:left w:val="none" w:sz="0" w:space="0" w:color="auto"/>
        <w:bottom w:val="none" w:sz="0" w:space="0" w:color="auto"/>
        <w:right w:val="none" w:sz="0" w:space="0" w:color="auto"/>
      </w:divBdr>
    </w:div>
    <w:div w:id="48501848">
      <w:bodyDiv w:val="1"/>
      <w:marLeft w:val="0"/>
      <w:marRight w:val="0"/>
      <w:marTop w:val="0"/>
      <w:marBottom w:val="0"/>
      <w:divBdr>
        <w:top w:val="none" w:sz="0" w:space="0" w:color="auto"/>
        <w:left w:val="none" w:sz="0" w:space="0" w:color="auto"/>
        <w:bottom w:val="none" w:sz="0" w:space="0" w:color="auto"/>
        <w:right w:val="none" w:sz="0" w:space="0" w:color="auto"/>
      </w:divBdr>
    </w:div>
    <w:div w:id="48648235">
      <w:bodyDiv w:val="1"/>
      <w:marLeft w:val="0"/>
      <w:marRight w:val="0"/>
      <w:marTop w:val="0"/>
      <w:marBottom w:val="0"/>
      <w:divBdr>
        <w:top w:val="none" w:sz="0" w:space="0" w:color="auto"/>
        <w:left w:val="none" w:sz="0" w:space="0" w:color="auto"/>
        <w:bottom w:val="none" w:sz="0" w:space="0" w:color="auto"/>
        <w:right w:val="none" w:sz="0" w:space="0" w:color="auto"/>
      </w:divBdr>
    </w:div>
    <w:div w:id="48653487">
      <w:bodyDiv w:val="1"/>
      <w:marLeft w:val="0"/>
      <w:marRight w:val="0"/>
      <w:marTop w:val="0"/>
      <w:marBottom w:val="0"/>
      <w:divBdr>
        <w:top w:val="none" w:sz="0" w:space="0" w:color="auto"/>
        <w:left w:val="none" w:sz="0" w:space="0" w:color="auto"/>
        <w:bottom w:val="none" w:sz="0" w:space="0" w:color="auto"/>
        <w:right w:val="none" w:sz="0" w:space="0" w:color="auto"/>
      </w:divBdr>
    </w:div>
    <w:div w:id="48917235">
      <w:bodyDiv w:val="1"/>
      <w:marLeft w:val="0"/>
      <w:marRight w:val="0"/>
      <w:marTop w:val="0"/>
      <w:marBottom w:val="0"/>
      <w:divBdr>
        <w:top w:val="none" w:sz="0" w:space="0" w:color="auto"/>
        <w:left w:val="none" w:sz="0" w:space="0" w:color="auto"/>
        <w:bottom w:val="none" w:sz="0" w:space="0" w:color="auto"/>
        <w:right w:val="none" w:sz="0" w:space="0" w:color="auto"/>
      </w:divBdr>
    </w:div>
    <w:div w:id="49039066">
      <w:bodyDiv w:val="1"/>
      <w:marLeft w:val="0"/>
      <w:marRight w:val="0"/>
      <w:marTop w:val="0"/>
      <w:marBottom w:val="0"/>
      <w:divBdr>
        <w:top w:val="none" w:sz="0" w:space="0" w:color="auto"/>
        <w:left w:val="none" w:sz="0" w:space="0" w:color="auto"/>
        <w:bottom w:val="none" w:sz="0" w:space="0" w:color="auto"/>
        <w:right w:val="none" w:sz="0" w:space="0" w:color="auto"/>
      </w:divBdr>
    </w:div>
    <w:div w:id="49043537">
      <w:bodyDiv w:val="1"/>
      <w:marLeft w:val="0"/>
      <w:marRight w:val="0"/>
      <w:marTop w:val="0"/>
      <w:marBottom w:val="0"/>
      <w:divBdr>
        <w:top w:val="none" w:sz="0" w:space="0" w:color="auto"/>
        <w:left w:val="none" w:sz="0" w:space="0" w:color="auto"/>
        <w:bottom w:val="none" w:sz="0" w:space="0" w:color="auto"/>
        <w:right w:val="none" w:sz="0" w:space="0" w:color="auto"/>
      </w:divBdr>
    </w:div>
    <w:div w:id="49116170">
      <w:bodyDiv w:val="1"/>
      <w:marLeft w:val="0"/>
      <w:marRight w:val="0"/>
      <w:marTop w:val="0"/>
      <w:marBottom w:val="0"/>
      <w:divBdr>
        <w:top w:val="none" w:sz="0" w:space="0" w:color="auto"/>
        <w:left w:val="none" w:sz="0" w:space="0" w:color="auto"/>
        <w:bottom w:val="none" w:sz="0" w:space="0" w:color="auto"/>
        <w:right w:val="none" w:sz="0" w:space="0" w:color="auto"/>
      </w:divBdr>
    </w:div>
    <w:div w:id="49153529">
      <w:bodyDiv w:val="1"/>
      <w:marLeft w:val="0"/>
      <w:marRight w:val="0"/>
      <w:marTop w:val="0"/>
      <w:marBottom w:val="0"/>
      <w:divBdr>
        <w:top w:val="none" w:sz="0" w:space="0" w:color="auto"/>
        <w:left w:val="none" w:sz="0" w:space="0" w:color="auto"/>
        <w:bottom w:val="none" w:sz="0" w:space="0" w:color="auto"/>
        <w:right w:val="none" w:sz="0" w:space="0" w:color="auto"/>
      </w:divBdr>
    </w:div>
    <w:div w:id="49234840">
      <w:bodyDiv w:val="1"/>
      <w:marLeft w:val="0"/>
      <w:marRight w:val="0"/>
      <w:marTop w:val="0"/>
      <w:marBottom w:val="0"/>
      <w:divBdr>
        <w:top w:val="none" w:sz="0" w:space="0" w:color="auto"/>
        <w:left w:val="none" w:sz="0" w:space="0" w:color="auto"/>
        <w:bottom w:val="none" w:sz="0" w:space="0" w:color="auto"/>
        <w:right w:val="none" w:sz="0" w:space="0" w:color="auto"/>
      </w:divBdr>
    </w:div>
    <w:div w:id="49308400">
      <w:bodyDiv w:val="1"/>
      <w:marLeft w:val="0"/>
      <w:marRight w:val="0"/>
      <w:marTop w:val="0"/>
      <w:marBottom w:val="0"/>
      <w:divBdr>
        <w:top w:val="none" w:sz="0" w:space="0" w:color="auto"/>
        <w:left w:val="none" w:sz="0" w:space="0" w:color="auto"/>
        <w:bottom w:val="none" w:sz="0" w:space="0" w:color="auto"/>
        <w:right w:val="none" w:sz="0" w:space="0" w:color="auto"/>
      </w:divBdr>
    </w:div>
    <w:div w:id="49500697">
      <w:bodyDiv w:val="1"/>
      <w:marLeft w:val="0"/>
      <w:marRight w:val="0"/>
      <w:marTop w:val="0"/>
      <w:marBottom w:val="0"/>
      <w:divBdr>
        <w:top w:val="none" w:sz="0" w:space="0" w:color="auto"/>
        <w:left w:val="none" w:sz="0" w:space="0" w:color="auto"/>
        <w:bottom w:val="none" w:sz="0" w:space="0" w:color="auto"/>
        <w:right w:val="none" w:sz="0" w:space="0" w:color="auto"/>
      </w:divBdr>
    </w:div>
    <w:div w:id="49504366">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49767055">
      <w:bodyDiv w:val="1"/>
      <w:marLeft w:val="0"/>
      <w:marRight w:val="0"/>
      <w:marTop w:val="0"/>
      <w:marBottom w:val="0"/>
      <w:divBdr>
        <w:top w:val="none" w:sz="0" w:space="0" w:color="auto"/>
        <w:left w:val="none" w:sz="0" w:space="0" w:color="auto"/>
        <w:bottom w:val="none" w:sz="0" w:space="0" w:color="auto"/>
        <w:right w:val="none" w:sz="0" w:space="0" w:color="auto"/>
      </w:divBdr>
    </w:div>
    <w:div w:id="49774125">
      <w:bodyDiv w:val="1"/>
      <w:marLeft w:val="0"/>
      <w:marRight w:val="0"/>
      <w:marTop w:val="0"/>
      <w:marBottom w:val="0"/>
      <w:divBdr>
        <w:top w:val="none" w:sz="0" w:space="0" w:color="auto"/>
        <w:left w:val="none" w:sz="0" w:space="0" w:color="auto"/>
        <w:bottom w:val="none" w:sz="0" w:space="0" w:color="auto"/>
        <w:right w:val="none" w:sz="0" w:space="0" w:color="auto"/>
      </w:divBdr>
    </w:div>
    <w:div w:id="49816499">
      <w:bodyDiv w:val="1"/>
      <w:marLeft w:val="0"/>
      <w:marRight w:val="0"/>
      <w:marTop w:val="0"/>
      <w:marBottom w:val="0"/>
      <w:divBdr>
        <w:top w:val="none" w:sz="0" w:space="0" w:color="auto"/>
        <w:left w:val="none" w:sz="0" w:space="0" w:color="auto"/>
        <w:bottom w:val="none" w:sz="0" w:space="0" w:color="auto"/>
        <w:right w:val="none" w:sz="0" w:space="0" w:color="auto"/>
      </w:divBdr>
    </w:div>
    <w:div w:id="49885069">
      <w:bodyDiv w:val="1"/>
      <w:marLeft w:val="0"/>
      <w:marRight w:val="0"/>
      <w:marTop w:val="0"/>
      <w:marBottom w:val="0"/>
      <w:divBdr>
        <w:top w:val="none" w:sz="0" w:space="0" w:color="auto"/>
        <w:left w:val="none" w:sz="0" w:space="0" w:color="auto"/>
        <w:bottom w:val="none" w:sz="0" w:space="0" w:color="auto"/>
        <w:right w:val="none" w:sz="0" w:space="0" w:color="auto"/>
      </w:divBdr>
    </w:div>
    <w:div w:id="49888363">
      <w:bodyDiv w:val="1"/>
      <w:marLeft w:val="0"/>
      <w:marRight w:val="0"/>
      <w:marTop w:val="0"/>
      <w:marBottom w:val="0"/>
      <w:divBdr>
        <w:top w:val="none" w:sz="0" w:space="0" w:color="auto"/>
        <w:left w:val="none" w:sz="0" w:space="0" w:color="auto"/>
        <w:bottom w:val="none" w:sz="0" w:space="0" w:color="auto"/>
        <w:right w:val="none" w:sz="0" w:space="0" w:color="auto"/>
      </w:divBdr>
    </w:div>
    <w:div w:id="49962610">
      <w:bodyDiv w:val="1"/>
      <w:marLeft w:val="0"/>
      <w:marRight w:val="0"/>
      <w:marTop w:val="0"/>
      <w:marBottom w:val="0"/>
      <w:divBdr>
        <w:top w:val="none" w:sz="0" w:space="0" w:color="auto"/>
        <w:left w:val="none" w:sz="0" w:space="0" w:color="auto"/>
        <w:bottom w:val="none" w:sz="0" w:space="0" w:color="auto"/>
        <w:right w:val="none" w:sz="0" w:space="0" w:color="auto"/>
      </w:divBdr>
    </w:div>
    <w:div w:id="49967547">
      <w:bodyDiv w:val="1"/>
      <w:marLeft w:val="0"/>
      <w:marRight w:val="0"/>
      <w:marTop w:val="0"/>
      <w:marBottom w:val="0"/>
      <w:divBdr>
        <w:top w:val="none" w:sz="0" w:space="0" w:color="auto"/>
        <w:left w:val="none" w:sz="0" w:space="0" w:color="auto"/>
        <w:bottom w:val="none" w:sz="0" w:space="0" w:color="auto"/>
        <w:right w:val="none" w:sz="0" w:space="0" w:color="auto"/>
      </w:divBdr>
    </w:div>
    <w:div w:id="50153865">
      <w:bodyDiv w:val="1"/>
      <w:marLeft w:val="0"/>
      <w:marRight w:val="0"/>
      <w:marTop w:val="0"/>
      <w:marBottom w:val="0"/>
      <w:divBdr>
        <w:top w:val="none" w:sz="0" w:space="0" w:color="auto"/>
        <w:left w:val="none" w:sz="0" w:space="0" w:color="auto"/>
        <w:bottom w:val="none" w:sz="0" w:space="0" w:color="auto"/>
        <w:right w:val="none" w:sz="0" w:space="0" w:color="auto"/>
      </w:divBdr>
    </w:div>
    <w:div w:id="50539370">
      <w:bodyDiv w:val="1"/>
      <w:marLeft w:val="0"/>
      <w:marRight w:val="0"/>
      <w:marTop w:val="0"/>
      <w:marBottom w:val="0"/>
      <w:divBdr>
        <w:top w:val="none" w:sz="0" w:space="0" w:color="auto"/>
        <w:left w:val="none" w:sz="0" w:space="0" w:color="auto"/>
        <w:bottom w:val="none" w:sz="0" w:space="0" w:color="auto"/>
        <w:right w:val="none" w:sz="0" w:space="0" w:color="auto"/>
      </w:divBdr>
    </w:div>
    <w:div w:id="50620069">
      <w:bodyDiv w:val="1"/>
      <w:marLeft w:val="0"/>
      <w:marRight w:val="0"/>
      <w:marTop w:val="0"/>
      <w:marBottom w:val="0"/>
      <w:divBdr>
        <w:top w:val="none" w:sz="0" w:space="0" w:color="auto"/>
        <w:left w:val="none" w:sz="0" w:space="0" w:color="auto"/>
        <w:bottom w:val="none" w:sz="0" w:space="0" w:color="auto"/>
        <w:right w:val="none" w:sz="0" w:space="0" w:color="auto"/>
      </w:divBdr>
    </w:div>
    <w:div w:id="50689495">
      <w:bodyDiv w:val="1"/>
      <w:marLeft w:val="0"/>
      <w:marRight w:val="0"/>
      <w:marTop w:val="0"/>
      <w:marBottom w:val="0"/>
      <w:divBdr>
        <w:top w:val="none" w:sz="0" w:space="0" w:color="auto"/>
        <w:left w:val="none" w:sz="0" w:space="0" w:color="auto"/>
        <w:bottom w:val="none" w:sz="0" w:space="0" w:color="auto"/>
        <w:right w:val="none" w:sz="0" w:space="0" w:color="auto"/>
      </w:divBdr>
    </w:div>
    <w:div w:id="50738528">
      <w:bodyDiv w:val="1"/>
      <w:marLeft w:val="0"/>
      <w:marRight w:val="0"/>
      <w:marTop w:val="0"/>
      <w:marBottom w:val="0"/>
      <w:divBdr>
        <w:top w:val="none" w:sz="0" w:space="0" w:color="auto"/>
        <w:left w:val="none" w:sz="0" w:space="0" w:color="auto"/>
        <w:bottom w:val="none" w:sz="0" w:space="0" w:color="auto"/>
        <w:right w:val="none" w:sz="0" w:space="0" w:color="auto"/>
      </w:divBdr>
    </w:div>
    <w:div w:id="51075980">
      <w:bodyDiv w:val="1"/>
      <w:marLeft w:val="0"/>
      <w:marRight w:val="0"/>
      <w:marTop w:val="0"/>
      <w:marBottom w:val="0"/>
      <w:divBdr>
        <w:top w:val="none" w:sz="0" w:space="0" w:color="auto"/>
        <w:left w:val="none" w:sz="0" w:space="0" w:color="auto"/>
        <w:bottom w:val="none" w:sz="0" w:space="0" w:color="auto"/>
        <w:right w:val="none" w:sz="0" w:space="0" w:color="auto"/>
      </w:divBdr>
    </w:div>
    <w:div w:id="51076155">
      <w:bodyDiv w:val="1"/>
      <w:marLeft w:val="0"/>
      <w:marRight w:val="0"/>
      <w:marTop w:val="0"/>
      <w:marBottom w:val="0"/>
      <w:divBdr>
        <w:top w:val="none" w:sz="0" w:space="0" w:color="auto"/>
        <w:left w:val="none" w:sz="0" w:space="0" w:color="auto"/>
        <w:bottom w:val="none" w:sz="0" w:space="0" w:color="auto"/>
        <w:right w:val="none" w:sz="0" w:space="0" w:color="auto"/>
      </w:divBdr>
    </w:div>
    <w:div w:id="51077500">
      <w:bodyDiv w:val="1"/>
      <w:marLeft w:val="0"/>
      <w:marRight w:val="0"/>
      <w:marTop w:val="0"/>
      <w:marBottom w:val="0"/>
      <w:divBdr>
        <w:top w:val="none" w:sz="0" w:space="0" w:color="auto"/>
        <w:left w:val="none" w:sz="0" w:space="0" w:color="auto"/>
        <w:bottom w:val="none" w:sz="0" w:space="0" w:color="auto"/>
        <w:right w:val="none" w:sz="0" w:space="0" w:color="auto"/>
      </w:divBdr>
    </w:div>
    <w:div w:id="51080075">
      <w:bodyDiv w:val="1"/>
      <w:marLeft w:val="0"/>
      <w:marRight w:val="0"/>
      <w:marTop w:val="0"/>
      <w:marBottom w:val="0"/>
      <w:divBdr>
        <w:top w:val="none" w:sz="0" w:space="0" w:color="auto"/>
        <w:left w:val="none" w:sz="0" w:space="0" w:color="auto"/>
        <w:bottom w:val="none" w:sz="0" w:space="0" w:color="auto"/>
        <w:right w:val="none" w:sz="0" w:space="0" w:color="auto"/>
      </w:divBdr>
    </w:div>
    <w:div w:id="51081354">
      <w:bodyDiv w:val="1"/>
      <w:marLeft w:val="0"/>
      <w:marRight w:val="0"/>
      <w:marTop w:val="0"/>
      <w:marBottom w:val="0"/>
      <w:divBdr>
        <w:top w:val="none" w:sz="0" w:space="0" w:color="auto"/>
        <w:left w:val="none" w:sz="0" w:space="0" w:color="auto"/>
        <w:bottom w:val="none" w:sz="0" w:space="0" w:color="auto"/>
        <w:right w:val="none" w:sz="0" w:space="0" w:color="auto"/>
      </w:divBdr>
    </w:div>
    <w:div w:id="51085125">
      <w:bodyDiv w:val="1"/>
      <w:marLeft w:val="0"/>
      <w:marRight w:val="0"/>
      <w:marTop w:val="0"/>
      <w:marBottom w:val="0"/>
      <w:divBdr>
        <w:top w:val="none" w:sz="0" w:space="0" w:color="auto"/>
        <w:left w:val="none" w:sz="0" w:space="0" w:color="auto"/>
        <w:bottom w:val="none" w:sz="0" w:space="0" w:color="auto"/>
        <w:right w:val="none" w:sz="0" w:space="0" w:color="auto"/>
      </w:divBdr>
    </w:div>
    <w:div w:id="51319475">
      <w:bodyDiv w:val="1"/>
      <w:marLeft w:val="0"/>
      <w:marRight w:val="0"/>
      <w:marTop w:val="0"/>
      <w:marBottom w:val="0"/>
      <w:divBdr>
        <w:top w:val="none" w:sz="0" w:space="0" w:color="auto"/>
        <w:left w:val="none" w:sz="0" w:space="0" w:color="auto"/>
        <w:bottom w:val="none" w:sz="0" w:space="0" w:color="auto"/>
        <w:right w:val="none" w:sz="0" w:space="0" w:color="auto"/>
      </w:divBdr>
    </w:div>
    <w:div w:id="51344300">
      <w:bodyDiv w:val="1"/>
      <w:marLeft w:val="0"/>
      <w:marRight w:val="0"/>
      <w:marTop w:val="0"/>
      <w:marBottom w:val="0"/>
      <w:divBdr>
        <w:top w:val="none" w:sz="0" w:space="0" w:color="auto"/>
        <w:left w:val="none" w:sz="0" w:space="0" w:color="auto"/>
        <w:bottom w:val="none" w:sz="0" w:space="0" w:color="auto"/>
        <w:right w:val="none" w:sz="0" w:space="0" w:color="auto"/>
      </w:divBdr>
    </w:div>
    <w:div w:id="51394469">
      <w:bodyDiv w:val="1"/>
      <w:marLeft w:val="0"/>
      <w:marRight w:val="0"/>
      <w:marTop w:val="0"/>
      <w:marBottom w:val="0"/>
      <w:divBdr>
        <w:top w:val="none" w:sz="0" w:space="0" w:color="auto"/>
        <w:left w:val="none" w:sz="0" w:space="0" w:color="auto"/>
        <w:bottom w:val="none" w:sz="0" w:space="0" w:color="auto"/>
        <w:right w:val="none" w:sz="0" w:space="0" w:color="auto"/>
      </w:divBdr>
    </w:div>
    <w:div w:id="51583673">
      <w:bodyDiv w:val="1"/>
      <w:marLeft w:val="0"/>
      <w:marRight w:val="0"/>
      <w:marTop w:val="0"/>
      <w:marBottom w:val="0"/>
      <w:divBdr>
        <w:top w:val="none" w:sz="0" w:space="0" w:color="auto"/>
        <w:left w:val="none" w:sz="0" w:space="0" w:color="auto"/>
        <w:bottom w:val="none" w:sz="0" w:space="0" w:color="auto"/>
        <w:right w:val="none" w:sz="0" w:space="0" w:color="auto"/>
      </w:divBdr>
    </w:div>
    <w:div w:id="51655378">
      <w:bodyDiv w:val="1"/>
      <w:marLeft w:val="0"/>
      <w:marRight w:val="0"/>
      <w:marTop w:val="0"/>
      <w:marBottom w:val="0"/>
      <w:divBdr>
        <w:top w:val="none" w:sz="0" w:space="0" w:color="auto"/>
        <w:left w:val="none" w:sz="0" w:space="0" w:color="auto"/>
        <w:bottom w:val="none" w:sz="0" w:space="0" w:color="auto"/>
        <w:right w:val="none" w:sz="0" w:space="0" w:color="auto"/>
      </w:divBdr>
    </w:div>
    <w:div w:id="51733335">
      <w:bodyDiv w:val="1"/>
      <w:marLeft w:val="0"/>
      <w:marRight w:val="0"/>
      <w:marTop w:val="0"/>
      <w:marBottom w:val="0"/>
      <w:divBdr>
        <w:top w:val="none" w:sz="0" w:space="0" w:color="auto"/>
        <w:left w:val="none" w:sz="0" w:space="0" w:color="auto"/>
        <w:bottom w:val="none" w:sz="0" w:space="0" w:color="auto"/>
        <w:right w:val="none" w:sz="0" w:space="0" w:color="auto"/>
      </w:divBdr>
    </w:div>
    <w:div w:id="51926761">
      <w:bodyDiv w:val="1"/>
      <w:marLeft w:val="0"/>
      <w:marRight w:val="0"/>
      <w:marTop w:val="0"/>
      <w:marBottom w:val="0"/>
      <w:divBdr>
        <w:top w:val="none" w:sz="0" w:space="0" w:color="auto"/>
        <w:left w:val="none" w:sz="0" w:space="0" w:color="auto"/>
        <w:bottom w:val="none" w:sz="0" w:space="0" w:color="auto"/>
        <w:right w:val="none" w:sz="0" w:space="0" w:color="auto"/>
      </w:divBdr>
    </w:div>
    <w:div w:id="51928636">
      <w:bodyDiv w:val="1"/>
      <w:marLeft w:val="0"/>
      <w:marRight w:val="0"/>
      <w:marTop w:val="0"/>
      <w:marBottom w:val="0"/>
      <w:divBdr>
        <w:top w:val="none" w:sz="0" w:space="0" w:color="auto"/>
        <w:left w:val="none" w:sz="0" w:space="0" w:color="auto"/>
        <w:bottom w:val="none" w:sz="0" w:space="0" w:color="auto"/>
        <w:right w:val="none" w:sz="0" w:space="0" w:color="auto"/>
      </w:divBdr>
    </w:div>
    <w:div w:id="51973962">
      <w:bodyDiv w:val="1"/>
      <w:marLeft w:val="0"/>
      <w:marRight w:val="0"/>
      <w:marTop w:val="0"/>
      <w:marBottom w:val="0"/>
      <w:divBdr>
        <w:top w:val="none" w:sz="0" w:space="0" w:color="auto"/>
        <w:left w:val="none" w:sz="0" w:space="0" w:color="auto"/>
        <w:bottom w:val="none" w:sz="0" w:space="0" w:color="auto"/>
        <w:right w:val="none" w:sz="0" w:space="0" w:color="auto"/>
      </w:divBdr>
    </w:div>
    <w:div w:id="51975560">
      <w:bodyDiv w:val="1"/>
      <w:marLeft w:val="0"/>
      <w:marRight w:val="0"/>
      <w:marTop w:val="0"/>
      <w:marBottom w:val="0"/>
      <w:divBdr>
        <w:top w:val="none" w:sz="0" w:space="0" w:color="auto"/>
        <w:left w:val="none" w:sz="0" w:space="0" w:color="auto"/>
        <w:bottom w:val="none" w:sz="0" w:space="0" w:color="auto"/>
        <w:right w:val="none" w:sz="0" w:space="0" w:color="auto"/>
      </w:divBdr>
    </w:div>
    <w:div w:id="52121182">
      <w:bodyDiv w:val="1"/>
      <w:marLeft w:val="0"/>
      <w:marRight w:val="0"/>
      <w:marTop w:val="0"/>
      <w:marBottom w:val="0"/>
      <w:divBdr>
        <w:top w:val="none" w:sz="0" w:space="0" w:color="auto"/>
        <w:left w:val="none" w:sz="0" w:space="0" w:color="auto"/>
        <w:bottom w:val="none" w:sz="0" w:space="0" w:color="auto"/>
        <w:right w:val="none" w:sz="0" w:space="0" w:color="auto"/>
      </w:divBdr>
    </w:div>
    <w:div w:id="52193041">
      <w:bodyDiv w:val="1"/>
      <w:marLeft w:val="0"/>
      <w:marRight w:val="0"/>
      <w:marTop w:val="0"/>
      <w:marBottom w:val="0"/>
      <w:divBdr>
        <w:top w:val="none" w:sz="0" w:space="0" w:color="auto"/>
        <w:left w:val="none" w:sz="0" w:space="0" w:color="auto"/>
        <w:bottom w:val="none" w:sz="0" w:space="0" w:color="auto"/>
        <w:right w:val="none" w:sz="0" w:space="0" w:color="auto"/>
      </w:divBdr>
    </w:div>
    <w:div w:id="52238358">
      <w:bodyDiv w:val="1"/>
      <w:marLeft w:val="0"/>
      <w:marRight w:val="0"/>
      <w:marTop w:val="0"/>
      <w:marBottom w:val="0"/>
      <w:divBdr>
        <w:top w:val="none" w:sz="0" w:space="0" w:color="auto"/>
        <w:left w:val="none" w:sz="0" w:space="0" w:color="auto"/>
        <w:bottom w:val="none" w:sz="0" w:space="0" w:color="auto"/>
        <w:right w:val="none" w:sz="0" w:space="0" w:color="auto"/>
      </w:divBdr>
    </w:div>
    <w:div w:id="52240879">
      <w:bodyDiv w:val="1"/>
      <w:marLeft w:val="0"/>
      <w:marRight w:val="0"/>
      <w:marTop w:val="0"/>
      <w:marBottom w:val="0"/>
      <w:divBdr>
        <w:top w:val="none" w:sz="0" w:space="0" w:color="auto"/>
        <w:left w:val="none" w:sz="0" w:space="0" w:color="auto"/>
        <w:bottom w:val="none" w:sz="0" w:space="0" w:color="auto"/>
        <w:right w:val="none" w:sz="0" w:space="0" w:color="auto"/>
      </w:divBdr>
    </w:div>
    <w:div w:id="52580274">
      <w:bodyDiv w:val="1"/>
      <w:marLeft w:val="0"/>
      <w:marRight w:val="0"/>
      <w:marTop w:val="0"/>
      <w:marBottom w:val="0"/>
      <w:divBdr>
        <w:top w:val="none" w:sz="0" w:space="0" w:color="auto"/>
        <w:left w:val="none" w:sz="0" w:space="0" w:color="auto"/>
        <w:bottom w:val="none" w:sz="0" w:space="0" w:color="auto"/>
        <w:right w:val="none" w:sz="0" w:space="0" w:color="auto"/>
      </w:divBdr>
    </w:div>
    <w:div w:id="52969516">
      <w:bodyDiv w:val="1"/>
      <w:marLeft w:val="0"/>
      <w:marRight w:val="0"/>
      <w:marTop w:val="0"/>
      <w:marBottom w:val="0"/>
      <w:divBdr>
        <w:top w:val="none" w:sz="0" w:space="0" w:color="auto"/>
        <w:left w:val="none" w:sz="0" w:space="0" w:color="auto"/>
        <w:bottom w:val="none" w:sz="0" w:space="0" w:color="auto"/>
        <w:right w:val="none" w:sz="0" w:space="0" w:color="auto"/>
      </w:divBdr>
    </w:div>
    <w:div w:id="53239094">
      <w:bodyDiv w:val="1"/>
      <w:marLeft w:val="0"/>
      <w:marRight w:val="0"/>
      <w:marTop w:val="0"/>
      <w:marBottom w:val="0"/>
      <w:divBdr>
        <w:top w:val="none" w:sz="0" w:space="0" w:color="auto"/>
        <w:left w:val="none" w:sz="0" w:space="0" w:color="auto"/>
        <w:bottom w:val="none" w:sz="0" w:space="0" w:color="auto"/>
        <w:right w:val="none" w:sz="0" w:space="0" w:color="auto"/>
      </w:divBdr>
    </w:div>
    <w:div w:id="53359089">
      <w:bodyDiv w:val="1"/>
      <w:marLeft w:val="0"/>
      <w:marRight w:val="0"/>
      <w:marTop w:val="0"/>
      <w:marBottom w:val="0"/>
      <w:divBdr>
        <w:top w:val="none" w:sz="0" w:space="0" w:color="auto"/>
        <w:left w:val="none" w:sz="0" w:space="0" w:color="auto"/>
        <w:bottom w:val="none" w:sz="0" w:space="0" w:color="auto"/>
        <w:right w:val="none" w:sz="0" w:space="0" w:color="auto"/>
      </w:divBdr>
    </w:div>
    <w:div w:id="53505574">
      <w:bodyDiv w:val="1"/>
      <w:marLeft w:val="0"/>
      <w:marRight w:val="0"/>
      <w:marTop w:val="0"/>
      <w:marBottom w:val="0"/>
      <w:divBdr>
        <w:top w:val="none" w:sz="0" w:space="0" w:color="auto"/>
        <w:left w:val="none" w:sz="0" w:space="0" w:color="auto"/>
        <w:bottom w:val="none" w:sz="0" w:space="0" w:color="auto"/>
        <w:right w:val="none" w:sz="0" w:space="0" w:color="auto"/>
      </w:divBdr>
    </w:div>
    <w:div w:id="53552316">
      <w:bodyDiv w:val="1"/>
      <w:marLeft w:val="0"/>
      <w:marRight w:val="0"/>
      <w:marTop w:val="0"/>
      <w:marBottom w:val="0"/>
      <w:divBdr>
        <w:top w:val="none" w:sz="0" w:space="0" w:color="auto"/>
        <w:left w:val="none" w:sz="0" w:space="0" w:color="auto"/>
        <w:bottom w:val="none" w:sz="0" w:space="0" w:color="auto"/>
        <w:right w:val="none" w:sz="0" w:space="0" w:color="auto"/>
      </w:divBdr>
    </w:div>
    <w:div w:id="53553477">
      <w:bodyDiv w:val="1"/>
      <w:marLeft w:val="0"/>
      <w:marRight w:val="0"/>
      <w:marTop w:val="0"/>
      <w:marBottom w:val="0"/>
      <w:divBdr>
        <w:top w:val="none" w:sz="0" w:space="0" w:color="auto"/>
        <w:left w:val="none" w:sz="0" w:space="0" w:color="auto"/>
        <w:bottom w:val="none" w:sz="0" w:space="0" w:color="auto"/>
        <w:right w:val="none" w:sz="0" w:space="0" w:color="auto"/>
      </w:divBdr>
    </w:div>
    <w:div w:id="53899021">
      <w:bodyDiv w:val="1"/>
      <w:marLeft w:val="0"/>
      <w:marRight w:val="0"/>
      <w:marTop w:val="0"/>
      <w:marBottom w:val="0"/>
      <w:divBdr>
        <w:top w:val="none" w:sz="0" w:space="0" w:color="auto"/>
        <w:left w:val="none" w:sz="0" w:space="0" w:color="auto"/>
        <w:bottom w:val="none" w:sz="0" w:space="0" w:color="auto"/>
        <w:right w:val="none" w:sz="0" w:space="0" w:color="auto"/>
      </w:divBdr>
    </w:div>
    <w:div w:id="53937536">
      <w:bodyDiv w:val="1"/>
      <w:marLeft w:val="0"/>
      <w:marRight w:val="0"/>
      <w:marTop w:val="0"/>
      <w:marBottom w:val="0"/>
      <w:divBdr>
        <w:top w:val="none" w:sz="0" w:space="0" w:color="auto"/>
        <w:left w:val="none" w:sz="0" w:space="0" w:color="auto"/>
        <w:bottom w:val="none" w:sz="0" w:space="0" w:color="auto"/>
        <w:right w:val="none" w:sz="0" w:space="0" w:color="auto"/>
      </w:divBdr>
    </w:div>
    <w:div w:id="53967624">
      <w:bodyDiv w:val="1"/>
      <w:marLeft w:val="0"/>
      <w:marRight w:val="0"/>
      <w:marTop w:val="0"/>
      <w:marBottom w:val="0"/>
      <w:divBdr>
        <w:top w:val="none" w:sz="0" w:space="0" w:color="auto"/>
        <w:left w:val="none" w:sz="0" w:space="0" w:color="auto"/>
        <w:bottom w:val="none" w:sz="0" w:space="0" w:color="auto"/>
        <w:right w:val="none" w:sz="0" w:space="0" w:color="auto"/>
      </w:divBdr>
    </w:div>
    <w:div w:id="54206462">
      <w:bodyDiv w:val="1"/>
      <w:marLeft w:val="0"/>
      <w:marRight w:val="0"/>
      <w:marTop w:val="0"/>
      <w:marBottom w:val="0"/>
      <w:divBdr>
        <w:top w:val="none" w:sz="0" w:space="0" w:color="auto"/>
        <w:left w:val="none" w:sz="0" w:space="0" w:color="auto"/>
        <w:bottom w:val="none" w:sz="0" w:space="0" w:color="auto"/>
        <w:right w:val="none" w:sz="0" w:space="0" w:color="auto"/>
      </w:divBdr>
    </w:div>
    <w:div w:id="54357854">
      <w:bodyDiv w:val="1"/>
      <w:marLeft w:val="0"/>
      <w:marRight w:val="0"/>
      <w:marTop w:val="0"/>
      <w:marBottom w:val="0"/>
      <w:divBdr>
        <w:top w:val="none" w:sz="0" w:space="0" w:color="auto"/>
        <w:left w:val="none" w:sz="0" w:space="0" w:color="auto"/>
        <w:bottom w:val="none" w:sz="0" w:space="0" w:color="auto"/>
        <w:right w:val="none" w:sz="0" w:space="0" w:color="auto"/>
      </w:divBdr>
    </w:div>
    <w:div w:id="54395513">
      <w:bodyDiv w:val="1"/>
      <w:marLeft w:val="0"/>
      <w:marRight w:val="0"/>
      <w:marTop w:val="0"/>
      <w:marBottom w:val="0"/>
      <w:divBdr>
        <w:top w:val="none" w:sz="0" w:space="0" w:color="auto"/>
        <w:left w:val="none" w:sz="0" w:space="0" w:color="auto"/>
        <w:bottom w:val="none" w:sz="0" w:space="0" w:color="auto"/>
        <w:right w:val="none" w:sz="0" w:space="0" w:color="auto"/>
      </w:divBdr>
    </w:div>
    <w:div w:id="54470746">
      <w:bodyDiv w:val="1"/>
      <w:marLeft w:val="0"/>
      <w:marRight w:val="0"/>
      <w:marTop w:val="0"/>
      <w:marBottom w:val="0"/>
      <w:divBdr>
        <w:top w:val="none" w:sz="0" w:space="0" w:color="auto"/>
        <w:left w:val="none" w:sz="0" w:space="0" w:color="auto"/>
        <w:bottom w:val="none" w:sz="0" w:space="0" w:color="auto"/>
        <w:right w:val="none" w:sz="0" w:space="0" w:color="auto"/>
      </w:divBdr>
    </w:div>
    <w:div w:id="54546518">
      <w:bodyDiv w:val="1"/>
      <w:marLeft w:val="0"/>
      <w:marRight w:val="0"/>
      <w:marTop w:val="0"/>
      <w:marBottom w:val="0"/>
      <w:divBdr>
        <w:top w:val="none" w:sz="0" w:space="0" w:color="auto"/>
        <w:left w:val="none" w:sz="0" w:space="0" w:color="auto"/>
        <w:bottom w:val="none" w:sz="0" w:space="0" w:color="auto"/>
        <w:right w:val="none" w:sz="0" w:space="0" w:color="auto"/>
      </w:divBdr>
    </w:div>
    <w:div w:id="54551214">
      <w:bodyDiv w:val="1"/>
      <w:marLeft w:val="0"/>
      <w:marRight w:val="0"/>
      <w:marTop w:val="0"/>
      <w:marBottom w:val="0"/>
      <w:divBdr>
        <w:top w:val="none" w:sz="0" w:space="0" w:color="auto"/>
        <w:left w:val="none" w:sz="0" w:space="0" w:color="auto"/>
        <w:bottom w:val="none" w:sz="0" w:space="0" w:color="auto"/>
        <w:right w:val="none" w:sz="0" w:space="0" w:color="auto"/>
      </w:divBdr>
    </w:div>
    <w:div w:id="54623299">
      <w:bodyDiv w:val="1"/>
      <w:marLeft w:val="0"/>
      <w:marRight w:val="0"/>
      <w:marTop w:val="0"/>
      <w:marBottom w:val="0"/>
      <w:divBdr>
        <w:top w:val="none" w:sz="0" w:space="0" w:color="auto"/>
        <w:left w:val="none" w:sz="0" w:space="0" w:color="auto"/>
        <w:bottom w:val="none" w:sz="0" w:space="0" w:color="auto"/>
        <w:right w:val="none" w:sz="0" w:space="0" w:color="auto"/>
      </w:divBdr>
    </w:div>
    <w:div w:id="54663141">
      <w:bodyDiv w:val="1"/>
      <w:marLeft w:val="0"/>
      <w:marRight w:val="0"/>
      <w:marTop w:val="0"/>
      <w:marBottom w:val="0"/>
      <w:divBdr>
        <w:top w:val="none" w:sz="0" w:space="0" w:color="auto"/>
        <w:left w:val="none" w:sz="0" w:space="0" w:color="auto"/>
        <w:bottom w:val="none" w:sz="0" w:space="0" w:color="auto"/>
        <w:right w:val="none" w:sz="0" w:space="0" w:color="auto"/>
      </w:divBdr>
    </w:div>
    <w:div w:id="54816394">
      <w:bodyDiv w:val="1"/>
      <w:marLeft w:val="0"/>
      <w:marRight w:val="0"/>
      <w:marTop w:val="0"/>
      <w:marBottom w:val="0"/>
      <w:divBdr>
        <w:top w:val="none" w:sz="0" w:space="0" w:color="auto"/>
        <w:left w:val="none" w:sz="0" w:space="0" w:color="auto"/>
        <w:bottom w:val="none" w:sz="0" w:space="0" w:color="auto"/>
        <w:right w:val="none" w:sz="0" w:space="0" w:color="auto"/>
      </w:divBdr>
    </w:div>
    <w:div w:id="55009159">
      <w:bodyDiv w:val="1"/>
      <w:marLeft w:val="0"/>
      <w:marRight w:val="0"/>
      <w:marTop w:val="0"/>
      <w:marBottom w:val="0"/>
      <w:divBdr>
        <w:top w:val="none" w:sz="0" w:space="0" w:color="auto"/>
        <w:left w:val="none" w:sz="0" w:space="0" w:color="auto"/>
        <w:bottom w:val="none" w:sz="0" w:space="0" w:color="auto"/>
        <w:right w:val="none" w:sz="0" w:space="0" w:color="auto"/>
      </w:divBdr>
    </w:div>
    <w:div w:id="55325840">
      <w:bodyDiv w:val="1"/>
      <w:marLeft w:val="0"/>
      <w:marRight w:val="0"/>
      <w:marTop w:val="0"/>
      <w:marBottom w:val="0"/>
      <w:divBdr>
        <w:top w:val="none" w:sz="0" w:space="0" w:color="auto"/>
        <w:left w:val="none" w:sz="0" w:space="0" w:color="auto"/>
        <w:bottom w:val="none" w:sz="0" w:space="0" w:color="auto"/>
        <w:right w:val="none" w:sz="0" w:space="0" w:color="auto"/>
      </w:divBdr>
    </w:div>
    <w:div w:id="55859056">
      <w:bodyDiv w:val="1"/>
      <w:marLeft w:val="0"/>
      <w:marRight w:val="0"/>
      <w:marTop w:val="0"/>
      <w:marBottom w:val="0"/>
      <w:divBdr>
        <w:top w:val="none" w:sz="0" w:space="0" w:color="auto"/>
        <w:left w:val="none" w:sz="0" w:space="0" w:color="auto"/>
        <w:bottom w:val="none" w:sz="0" w:space="0" w:color="auto"/>
        <w:right w:val="none" w:sz="0" w:space="0" w:color="auto"/>
      </w:divBdr>
    </w:div>
    <w:div w:id="55859951">
      <w:bodyDiv w:val="1"/>
      <w:marLeft w:val="0"/>
      <w:marRight w:val="0"/>
      <w:marTop w:val="0"/>
      <w:marBottom w:val="0"/>
      <w:divBdr>
        <w:top w:val="none" w:sz="0" w:space="0" w:color="auto"/>
        <w:left w:val="none" w:sz="0" w:space="0" w:color="auto"/>
        <w:bottom w:val="none" w:sz="0" w:space="0" w:color="auto"/>
        <w:right w:val="none" w:sz="0" w:space="0" w:color="auto"/>
      </w:divBdr>
    </w:div>
    <w:div w:id="55860609">
      <w:bodyDiv w:val="1"/>
      <w:marLeft w:val="0"/>
      <w:marRight w:val="0"/>
      <w:marTop w:val="0"/>
      <w:marBottom w:val="0"/>
      <w:divBdr>
        <w:top w:val="none" w:sz="0" w:space="0" w:color="auto"/>
        <w:left w:val="none" w:sz="0" w:space="0" w:color="auto"/>
        <w:bottom w:val="none" w:sz="0" w:space="0" w:color="auto"/>
        <w:right w:val="none" w:sz="0" w:space="0" w:color="auto"/>
      </w:divBdr>
    </w:div>
    <w:div w:id="55903866">
      <w:bodyDiv w:val="1"/>
      <w:marLeft w:val="0"/>
      <w:marRight w:val="0"/>
      <w:marTop w:val="0"/>
      <w:marBottom w:val="0"/>
      <w:divBdr>
        <w:top w:val="none" w:sz="0" w:space="0" w:color="auto"/>
        <w:left w:val="none" w:sz="0" w:space="0" w:color="auto"/>
        <w:bottom w:val="none" w:sz="0" w:space="0" w:color="auto"/>
        <w:right w:val="none" w:sz="0" w:space="0" w:color="auto"/>
      </w:divBdr>
    </w:div>
    <w:div w:id="55980912">
      <w:bodyDiv w:val="1"/>
      <w:marLeft w:val="0"/>
      <w:marRight w:val="0"/>
      <w:marTop w:val="0"/>
      <w:marBottom w:val="0"/>
      <w:divBdr>
        <w:top w:val="none" w:sz="0" w:space="0" w:color="auto"/>
        <w:left w:val="none" w:sz="0" w:space="0" w:color="auto"/>
        <w:bottom w:val="none" w:sz="0" w:space="0" w:color="auto"/>
        <w:right w:val="none" w:sz="0" w:space="0" w:color="auto"/>
      </w:divBdr>
    </w:div>
    <w:div w:id="56130912">
      <w:bodyDiv w:val="1"/>
      <w:marLeft w:val="0"/>
      <w:marRight w:val="0"/>
      <w:marTop w:val="0"/>
      <w:marBottom w:val="0"/>
      <w:divBdr>
        <w:top w:val="none" w:sz="0" w:space="0" w:color="auto"/>
        <w:left w:val="none" w:sz="0" w:space="0" w:color="auto"/>
        <w:bottom w:val="none" w:sz="0" w:space="0" w:color="auto"/>
        <w:right w:val="none" w:sz="0" w:space="0" w:color="auto"/>
      </w:divBdr>
    </w:div>
    <w:div w:id="56170551">
      <w:bodyDiv w:val="1"/>
      <w:marLeft w:val="0"/>
      <w:marRight w:val="0"/>
      <w:marTop w:val="0"/>
      <w:marBottom w:val="0"/>
      <w:divBdr>
        <w:top w:val="none" w:sz="0" w:space="0" w:color="auto"/>
        <w:left w:val="none" w:sz="0" w:space="0" w:color="auto"/>
        <w:bottom w:val="none" w:sz="0" w:space="0" w:color="auto"/>
        <w:right w:val="none" w:sz="0" w:space="0" w:color="auto"/>
      </w:divBdr>
    </w:div>
    <w:div w:id="56247584">
      <w:bodyDiv w:val="1"/>
      <w:marLeft w:val="0"/>
      <w:marRight w:val="0"/>
      <w:marTop w:val="0"/>
      <w:marBottom w:val="0"/>
      <w:divBdr>
        <w:top w:val="none" w:sz="0" w:space="0" w:color="auto"/>
        <w:left w:val="none" w:sz="0" w:space="0" w:color="auto"/>
        <w:bottom w:val="none" w:sz="0" w:space="0" w:color="auto"/>
        <w:right w:val="none" w:sz="0" w:space="0" w:color="auto"/>
      </w:divBdr>
    </w:div>
    <w:div w:id="56442983">
      <w:bodyDiv w:val="1"/>
      <w:marLeft w:val="0"/>
      <w:marRight w:val="0"/>
      <w:marTop w:val="0"/>
      <w:marBottom w:val="0"/>
      <w:divBdr>
        <w:top w:val="none" w:sz="0" w:space="0" w:color="auto"/>
        <w:left w:val="none" w:sz="0" w:space="0" w:color="auto"/>
        <w:bottom w:val="none" w:sz="0" w:space="0" w:color="auto"/>
        <w:right w:val="none" w:sz="0" w:space="0" w:color="auto"/>
      </w:divBdr>
    </w:div>
    <w:div w:id="56514437">
      <w:bodyDiv w:val="1"/>
      <w:marLeft w:val="0"/>
      <w:marRight w:val="0"/>
      <w:marTop w:val="0"/>
      <w:marBottom w:val="0"/>
      <w:divBdr>
        <w:top w:val="none" w:sz="0" w:space="0" w:color="auto"/>
        <w:left w:val="none" w:sz="0" w:space="0" w:color="auto"/>
        <w:bottom w:val="none" w:sz="0" w:space="0" w:color="auto"/>
        <w:right w:val="none" w:sz="0" w:space="0" w:color="auto"/>
      </w:divBdr>
    </w:div>
    <w:div w:id="56588432">
      <w:bodyDiv w:val="1"/>
      <w:marLeft w:val="0"/>
      <w:marRight w:val="0"/>
      <w:marTop w:val="0"/>
      <w:marBottom w:val="0"/>
      <w:divBdr>
        <w:top w:val="none" w:sz="0" w:space="0" w:color="auto"/>
        <w:left w:val="none" w:sz="0" w:space="0" w:color="auto"/>
        <w:bottom w:val="none" w:sz="0" w:space="0" w:color="auto"/>
        <w:right w:val="none" w:sz="0" w:space="0" w:color="auto"/>
      </w:divBdr>
    </w:div>
    <w:div w:id="56588447">
      <w:bodyDiv w:val="1"/>
      <w:marLeft w:val="0"/>
      <w:marRight w:val="0"/>
      <w:marTop w:val="0"/>
      <w:marBottom w:val="0"/>
      <w:divBdr>
        <w:top w:val="none" w:sz="0" w:space="0" w:color="auto"/>
        <w:left w:val="none" w:sz="0" w:space="0" w:color="auto"/>
        <w:bottom w:val="none" w:sz="0" w:space="0" w:color="auto"/>
        <w:right w:val="none" w:sz="0" w:space="0" w:color="auto"/>
      </w:divBdr>
    </w:div>
    <w:div w:id="56973067">
      <w:bodyDiv w:val="1"/>
      <w:marLeft w:val="0"/>
      <w:marRight w:val="0"/>
      <w:marTop w:val="0"/>
      <w:marBottom w:val="0"/>
      <w:divBdr>
        <w:top w:val="none" w:sz="0" w:space="0" w:color="auto"/>
        <w:left w:val="none" w:sz="0" w:space="0" w:color="auto"/>
        <w:bottom w:val="none" w:sz="0" w:space="0" w:color="auto"/>
        <w:right w:val="none" w:sz="0" w:space="0" w:color="auto"/>
      </w:divBdr>
    </w:div>
    <w:div w:id="57096773">
      <w:bodyDiv w:val="1"/>
      <w:marLeft w:val="0"/>
      <w:marRight w:val="0"/>
      <w:marTop w:val="0"/>
      <w:marBottom w:val="0"/>
      <w:divBdr>
        <w:top w:val="none" w:sz="0" w:space="0" w:color="auto"/>
        <w:left w:val="none" w:sz="0" w:space="0" w:color="auto"/>
        <w:bottom w:val="none" w:sz="0" w:space="0" w:color="auto"/>
        <w:right w:val="none" w:sz="0" w:space="0" w:color="auto"/>
      </w:divBdr>
    </w:div>
    <w:div w:id="57169756">
      <w:bodyDiv w:val="1"/>
      <w:marLeft w:val="0"/>
      <w:marRight w:val="0"/>
      <w:marTop w:val="0"/>
      <w:marBottom w:val="0"/>
      <w:divBdr>
        <w:top w:val="none" w:sz="0" w:space="0" w:color="auto"/>
        <w:left w:val="none" w:sz="0" w:space="0" w:color="auto"/>
        <w:bottom w:val="none" w:sz="0" w:space="0" w:color="auto"/>
        <w:right w:val="none" w:sz="0" w:space="0" w:color="auto"/>
      </w:divBdr>
    </w:div>
    <w:div w:id="57242164">
      <w:bodyDiv w:val="1"/>
      <w:marLeft w:val="0"/>
      <w:marRight w:val="0"/>
      <w:marTop w:val="0"/>
      <w:marBottom w:val="0"/>
      <w:divBdr>
        <w:top w:val="none" w:sz="0" w:space="0" w:color="auto"/>
        <w:left w:val="none" w:sz="0" w:space="0" w:color="auto"/>
        <w:bottom w:val="none" w:sz="0" w:space="0" w:color="auto"/>
        <w:right w:val="none" w:sz="0" w:space="0" w:color="auto"/>
      </w:divBdr>
    </w:div>
    <w:div w:id="57242866">
      <w:bodyDiv w:val="1"/>
      <w:marLeft w:val="0"/>
      <w:marRight w:val="0"/>
      <w:marTop w:val="0"/>
      <w:marBottom w:val="0"/>
      <w:divBdr>
        <w:top w:val="none" w:sz="0" w:space="0" w:color="auto"/>
        <w:left w:val="none" w:sz="0" w:space="0" w:color="auto"/>
        <w:bottom w:val="none" w:sz="0" w:space="0" w:color="auto"/>
        <w:right w:val="none" w:sz="0" w:space="0" w:color="auto"/>
      </w:divBdr>
    </w:div>
    <w:div w:id="57558612">
      <w:bodyDiv w:val="1"/>
      <w:marLeft w:val="0"/>
      <w:marRight w:val="0"/>
      <w:marTop w:val="0"/>
      <w:marBottom w:val="0"/>
      <w:divBdr>
        <w:top w:val="none" w:sz="0" w:space="0" w:color="auto"/>
        <w:left w:val="none" w:sz="0" w:space="0" w:color="auto"/>
        <w:bottom w:val="none" w:sz="0" w:space="0" w:color="auto"/>
        <w:right w:val="none" w:sz="0" w:space="0" w:color="auto"/>
      </w:divBdr>
    </w:div>
    <w:div w:id="57747664">
      <w:bodyDiv w:val="1"/>
      <w:marLeft w:val="0"/>
      <w:marRight w:val="0"/>
      <w:marTop w:val="0"/>
      <w:marBottom w:val="0"/>
      <w:divBdr>
        <w:top w:val="none" w:sz="0" w:space="0" w:color="auto"/>
        <w:left w:val="none" w:sz="0" w:space="0" w:color="auto"/>
        <w:bottom w:val="none" w:sz="0" w:space="0" w:color="auto"/>
        <w:right w:val="none" w:sz="0" w:space="0" w:color="auto"/>
      </w:divBdr>
    </w:div>
    <w:div w:id="57749995">
      <w:bodyDiv w:val="1"/>
      <w:marLeft w:val="0"/>
      <w:marRight w:val="0"/>
      <w:marTop w:val="0"/>
      <w:marBottom w:val="0"/>
      <w:divBdr>
        <w:top w:val="none" w:sz="0" w:space="0" w:color="auto"/>
        <w:left w:val="none" w:sz="0" w:space="0" w:color="auto"/>
        <w:bottom w:val="none" w:sz="0" w:space="0" w:color="auto"/>
        <w:right w:val="none" w:sz="0" w:space="0" w:color="auto"/>
      </w:divBdr>
    </w:div>
    <w:div w:id="57755000">
      <w:bodyDiv w:val="1"/>
      <w:marLeft w:val="0"/>
      <w:marRight w:val="0"/>
      <w:marTop w:val="0"/>
      <w:marBottom w:val="0"/>
      <w:divBdr>
        <w:top w:val="none" w:sz="0" w:space="0" w:color="auto"/>
        <w:left w:val="none" w:sz="0" w:space="0" w:color="auto"/>
        <w:bottom w:val="none" w:sz="0" w:space="0" w:color="auto"/>
        <w:right w:val="none" w:sz="0" w:space="0" w:color="auto"/>
      </w:divBdr>
    </w:div>
    <w:div w:id="58066409">
      <w:bodyDiv w:val="1"/>
      <w:marLeft w:val="0"/>
      <w:marRight w:val="0"/>
      <w:marTop w:val="0"/>
      <w:marBottom w:val="0"/>
      <w:divBdr>
        <w:top w:val="none" w:sz="0" w:space="0" w:color="auto"/>
        <w:left w:val="none" w:sz="0" w:space="0" w:color="auto"/>
        <w:bottom w:val="none" w:sz="0" w:space="0" w:color="auto"/>
        <w:right w:val="none" w:sz="0" w:space="0" w:color="auto"/>
      </w:divBdr>
    </w:div>
    <w:div w:id="58092474">
      <w:bodyDiv w:val="1"/>
      <w:marLeft w:val="0"/>
      <w:marRight w:val="0"/>
      <w:marTop w:val="0"/>
      <w:marBottom w:val="0"/>
      <w:divBdr>
        <w:top w:val="none" w:sz="0" w:space="0" w:color="auto"/>
        <w:left w:val="none" w:sz="0" w:space="0" w:color="auto"/>
        <w:bottom w:val="none" w:sz="0" w:space="0" w:color="auto"/>
        <w:right w:val="none" w:sz="0" w:space="0" w:color="auto"/>
      </w:divBdr>
    </w:div>
    <w:div w:id="58137328">
      <w:bodyDiv w:val="1"/>
      <w:marLeft w:val="0"/>
      <w:marRight w:val="0"/>
      <w:marTop w:val="0"/>
      <w:marBottom w:val="0"/>
      <w:divBdr>
        <w:top w:val="none" w:sz="0" w:space="0" w:color="auto"/>
        <w:left w:val="none" w:sz="0" w:space="0" w:color="auto"/>
        <w:bottom w:val="none" w:sz="0" w:space="0" w:color="auto"/>
        <w:right w:val="none" w:sz="0" w:space="0" w:color="auto"/>
      </w:divBdr>
    </w:div>
    <w:div w:id="58290716">
      <w:bodyDiv w:val="1"/>
      <w:marLeft w:val="0"/>
      <w:marRight w:val="0"/>
      <w:marTop w:val="0"/>
      <w:marBottom w:val="0"/>
      <w:divBdr>
        <w:top w:val="none" w:sz="0" w:space="0" w:color="auto"/>
        <w:left w:val="none" w:sz="0" w:space="0" w:color="auto"/>
        <w:bottom w:val="none" w:sz="0" w:space="0" w:color="auto"/>
        <w:right w:val="none" w:sz="0" w:space="0" w:color="auto"/>
      </w:divBdr>
    </w:div>
    <w:div w:id="58528045">
      <w:bodyDiv w:val="1"/>
      <w:marLeft w:val="0"/>
      <w:marRight w:val="0"/>
      <w:marTop w:val="0"/>
      <w:marBottom w:val="0"/>
      <w:divBdr>
        <w:top w:val="none" w:sz="0" w:space="0" w:color="auto"/>
        <w:left w:val="none" w:sz="0" w:space="0" w:color="auto"/>
        <w:bottom w:val="none" w:sz="0" w:space="0" w:color="auto"/>
        <w:right w:val="none" w:sz="0" w:space="0" w:color="auto"/>
      </w:divBdr>
    </w:div>
    <w:div w:id="58555966">
      <w:bodyDiv w:val="1"/>
      <w:marLeft w:val="0"/>
      <w:marRight w:val="0"/>
      <w:marTop w:val="0"/>
      <w:marBottom w:val="0"/>
      <w:divBdr>
        <w:top w:val="none" w:sz="0" w:space="0" w:color="auto"/>
        <w:left w:val="none" w:sz="0" w:space="0" w:color="auto"/>
        <w:bottom w:val="none" w:sz="0" w:space="0" w:color="auto"/>
        <w:right w:val="none" w:sz="0" w:space="0" w:color="auto"/>
      </w:divBdr>
    </w:div>
    <w:div w:id="58596274">
      <w:bodyDiv w:val="1"/>
      <w:marLeft w:val="0"/>
      <w:marRight w:val="0"/>
      <w:marTop w:val="0"/>
      <w:marBottom w:val="0"/>
      <w:divBdr>
        <w:top w:val="none" w:sz="0" w:space="0" w:color="auto"/>
        <w:left w:val="none" w:sz="0" w:space="0" w:color="auto"/>
        <w:bottom w:val="none" w:sz="0" w:space="0" w:color="auto"/>
        <w:right w:val="none" w:sz="0" w:space="0" w:color="auto"/>
      </w:divBdr>
    </w:div>
    <w:div w:id="58864842">
      <w:bodyDiv w:val="1"/>
      <w:marLeft w:val="0"/>
      <w:marRight w:val="0"/>
      <w:marTop w:val="0"/>
      <w:marBottom w:val="0"/>
      <w:divBdr>
        <w:top w:val="none" w:sz="0" w:space="0" w:color="auto"/>
        <w:left w:val="none" w:sz="0" w:space="0" w:color="auto"/>
        <w:bottom w:val="none" w:sz="0" w:space="0" w:color="auto"/>
        <w:right w:val="none" w:sz="0" w:space="0" w:color="auto"/>
      </w:divBdr>
    </w:div>
    <w:div w:id="59014262">
      <w:bodyDiv w:val="1"/>
      <w:marLeft w:val="0"/>
      <w:marRight w:val="0"/>
      <w:marTop w:val="0"/>
      <w:marBottom w:val="0"/>
      <w:divBdr>
        <w:top w:val="none" w:sz="0" w:space="0" w:color="auto"/>
        <w:left w:val="none" w:sz="0" w:space="0" w:color="auto"/>
        <w:bottom w:val="none" w:sz="0" w:space="0" w:color="auto"/>
        <w:right w:val="none" w:sz="0" w:space="0" w:color="auto"/>
      </w:divBdr>
    </w:div>
    <w:div w:id="59182820">
      <w:bodyDiv w:val="1"/>
      <w:marLeft w:val="0"/>
      <w:marRight w:val="0"/>
      <w:marTop w:val="0"/>
      <w:marBottom w:val="0"/>
      <w:divBdr>
        <w:top w:val="none" w:sz="0" w:space="0" w:color="auto"/>
        <w:left w:val="none" w:sz="0" w:space="0" w:color="auto"/>
        <w:bottom w:val="none" w:sz="0" w:space="0" w:color="auto"/>
        <w:right w:val="none" w:sz="0" w:space="0" w:color="auto"/>
      </w:divBdr>
    </w:div>
    <w:div w:id="59252376">
      <w:bodyDiv w:val="1"/>
      <w:marLeft w:val="0"/>
      <w:marRight w:val="0"/>
      <w:marTop w:val="0"/>
      <w:marBottom w:val="0"/>
      <w:divBdr>
        <w:top w:val="none" w:sz="0" w:space="0" w:color="auto"/>
        <w:left w:val="none" w:sz="0" w:space="0" w:color="auto"/>
        <w:bottom w:val="none" w:sz="0" w:space="0" w:color="auto"/>
        <w:right w:val="none" w:sz="0" w:space="0" w:color="auto"/>
      </w:divBdr>
    </w:div>
    <w:div w:id="59257067">
      <w:bodyDiv w:val="1"/>
      <w:marLeft w:val="0"/>
      <w:marRight w:val="0"/>
      <w:marTop w:val="0"/>
      <w:marBottom w:val="0"/>
      <w:divBdr>
        <w:top w:val="none" w:sz="0" w:space="0" w:color="auto"/>
        <w:left w:val="none" w:sz="0" w:space="0" w:color="auto"/>
        <w:bottom w:val="none" w:sz="0" w:space="0" w:color="auto"/>
        <w:right w:val="none" w:sz="0" w:space="0" w:color="auto"/>
      </w:divBdr>
    </w:div>
    <w:div w:id="59400524">
      <w:bodyDiv w:val="1"/>
      <w:marLeft w:val="0"/>
      <w:marRight w:val="0"/>
      <w:marTop w:val="0"/>
      <w:marBottom w:val="0"/>
      <w:divBdr>
        <w:top w:val="none" w:sz="0" w:space="0" w:color="auto"/>
        <w:left w:val="none" w:sz="0" w:space="0" w:color="auto"/>
        <w:bottom w:val="none" w:sz="0" w:space="0" w:color="auto"/>
        <w:right w:val="none" w:sz="0" w:space="0" w:color="auto"/>
      </w:divBdr>
    </w:div>
    <w:div w:id="59448568">
      <w:bodyDiv w:val="1"/>
      <w:marLeft w:val="0"/>
      <w:marRight w:val="0"/>
      <w:marTop w:val="0"/>
      <w:marBottom w:val="0"/>
      <w:divBdr>
        <w:top w:val="none" w:sz="0" w:space="0" w:color="auto"/>
        <w:left w:val="none" w:sz="0" w:space="0" w:color="auto"/>
        <w:bottom w:val="none" w:sz="0" w:space="0" w:color="auto"/>
        <w:right w:val="none" w:sz="0" w:space="0" w:color="auto"/>
      </w:divBdr>
    </w:div>
    <w:div w:id="59523217">
      <w:bodyDiv w:val="1"/>
      <w:marLeft w:val="0"/>
      <w:marRight w:val="0"/>
      <w:marTop w:val="0"/>
      <w:marBottom w:val="0"/>
      <w:divBdr>
        <w:top w:val="none" w:sz="0" w:space="0" w:color="auto"/>
        <w:left w:val="none" w:sz="0" w:space="0" w:color="auto"/>
        <w:bottom w:val="none" w:sz="0" w:space="0" w:color="auto"/>
        <w:right w:val="none" w:sz="0" w:space="0" w:color="auto"/>
      </w:divBdr>
    </w:div>
    <w:div w:id="59595657">
      <w:bodyDiv w:val="1"/>
      <w:marLeft w:val="0"/>
      <w:marRight w:val="0"/>
      <w:marTop w:val="0"/>
      <w:marBottom w:val="0"/>
      <w:divBdr>
        <w:top w:val="none" w:sz="0" w:space="0" w:color="auto"/>
        <w:left w:val="none" w:sz="0" w:space="0" w:color="auto"/>
        <w:bottom w:val="none" w:sz="0" w:space="0" w:color="auto"/>
        <w:right w:val="none" w:sz="0" w:space="0" w:color="auto"/>
      </w:divBdr>
    </w:div>
    <w:div w:id="59793723">
      <w:bodyDiv w:val="1"/>
      <w:marLeft w:val="0"/>
      <w:marRight w:val="0"/>
      <w:marTop w:val="0"/>
      <w:marBottom w:val="0"/>
      <w:divBdr>
        <w:top w:val="none" w:sz="0" w:space="0" w:color="auto"/>
        <w:left w:val="none" w:sz="0" w:space="0" w:color="auto"/>
        <w:bottom w:val="none" w:sz="0" w:space="0" w:color="auto"/>
        <w:right w:val="none" w:sz="0" w:space="0" w:color="auto"/>
      </w:divBdr>
    </w:div>
    <w:div w:id="59909347">
      <w:bodyDiv w:val="1"/>
      <w:marLeft w:val="0"/>
      <w:marRight w:val="0"/>
      <w:marTop w:val="0"/>
      <w:marBottom w:val="0"/>
      <w:divBdr>
        <w:top w:val="none" w:sz="0" w:space="0" w:color="auto"/>
        <w:left w:val="none" w:sz="0" w:space="0" w:color="auto"/>
        <w:bottom w:val="none" w:sz="0" w:space="0" w:color="auto"/>
        <w:right w:val="none" w:sz="0" w:space="0" w:color="auto"/>
      </w:divBdr>
    </w:div>
    <w:div w:id="59984561">
      <w:bodyDiv w:val="1"/>
      <w:marLeft w:val="0"/>
      <w:marRight w:val="0"/>
      <w:marTop w:val="0"/>
      <w:marBottom w:val="0"/>
      <w:divBdr>
        <w:top w:val="none" w:sz="0" w:space="0" w:color="auto"/>
        <w:left w:val="none" w:sz="0" w:space="0" w:color="auto"/>
        <w:bottom w:val="none" w:sz="0" w:space="0" w:color="auto"/>
        <w:right w:val="none" w:sz="0" w:space="0" w:color="auto"/>
      </w:divBdr>
    </w:div>
    <w:div w:id="59990132">
      <w:bodyDiv w:val="1"/>
      <w:marLeft w:val="0"/>
      <w:marRight w:val="0"/>
      <w:marTop w:val="0"/>
      <w:marBottom w:val="0"/>
      <w:divBdr>
        <w:top w:val="none" w:sz="0" w:space="0" w:color="auto"/>
        <w:left w:val="none" w:sz="0" w:space="0" w:color="auto"/>
        <w:bottom w:val="none" w:sz="0" w:space="0" w:color="auto"/>
        <w:right w:val="none" w:sz="0" w:space="0" w:color="auto"/>
      </w:divBdr>
    </w:div>
    <w:div w:id="60102174">
      <w:bodyDiv w:val="1"/>
      <w:marLeft w:val="0"/>
      <w:marRight w:val="0"/>
      <w:marTop w:val="0"/>
      <w:marBottom w:val="0"/>
      <w:divBdr>
        <w:top w:val="none" w:sz="0" w:space="0" w:color="auto"/>
        <w:left w:val="none" w:sz="0" w:space="0" w:color="auto"/>
        <w:bottom w:val="none" w:sz="0" w:space="0" w:color="auto"/>
        <w:right w:val="none" w:sz="0" w:space="0" w:color="auto"/>
      </w:divBdr>
    </w:div>
    <w:div w:id="60250573">
      <w:bodyDiv w:val="1"/>
      <w:marLeft w:val="0"/>
      <w:marRight w:val="0"/>
      <w:marTop w:val="0"/>
      <w:marBottom w:val="0"/>
      <w:divBdr>
        <w:top w:val="none" w:sz="0" w:space="0" w:color="auto"/>
        <w:left w:val="none" w:sz="0" w:space="0" w:color="auto"/>
        <w:bottom w:val="none" w:sz="0" w:space="0" w:color="auto"/>
        <w:right w:val="none" w:sz="0" w:space="0" w:color="auto"/>
      </w:divBdr>
    </w:div>
    <w:div w:id="60294200">
      <w:bodyDiv w:val="1"/>
      <w:marLeft w:val="0"/>
      <w:marRight w:val="0"/>
      <w:marTop w:val="0"/>
      <w:marBottom w:val="0"/>
      <w:divBdr>
        <w:top w:val="none" w:sz="0" w:space="0" w:color="auto"/>
        <w:left w:val="none" w:sz="0" w:space="0" w:color="auto"/>
        <w:bottom w:val="none" w:sz="0" w:space="0" w:color="auto"/>
        <w:right w:val="none" w:sz="0" w:space="0" w:color="auto"/>
      </w:divBdr>
    </w:div>
    <w:div w:id="60564195">
      <w:bodyDiv w:val="1"/>
      <w:marLeft w:val="0"/>
      <w:marRight w:val="0"/>
      <w:marTop w:val="0"/>
      <w:marBottom w:val="0"/>
      <w:divBdr>
        <w:top w:val="none" w:sz="0" w:space="0" w:color="auto"/>
        <w:left w:val="none" w:sz="0" w:space="0" w:color="auto"/>
        <w:bottom w:val="none" w:sz="0" w:space="0" w:color="auto"/>
        <w:right w:val="none" w:sz="0" w:space="0" w:color="auto"/>
      </w:divBdr>
    </w:div>
    <w:div w:id="60636411">
      <w:bodyDiv w:val="1"/>
      <w:marLeft w:val="0"/>
      <w:marRight w:val="0"/>
      <w:marTop w:val="0"/>
      <w:marBottom w:val="0"/>
      <w:divBdr>
        <w:top w:val="none" w:sz="0" w:space="0" w:color="auto"/>
        <w:left w:val="none" w:sz="0" w:space="0" w:color="auto"/>
        <w:bottom w:val="none" w:sz="0" w:space="0" w:color="auto"/>
        <w:right w:val="none" w:sz="0" w:space="0" w:color="auto"/>
      </w:divBdr>
    </w:div>
    <w:div w:id="60713515">
      <w:bodyDiv w:val="1"/>
      <w:marLeft w:val="0"/>
      <w:marRight w:val="0"/>
      <w:marTop w:val="0"/>
      <w:marBottom w:val="0"/>
      <w:divBdr>
        <w:top w:val="none" w:sz="0" w:space="0" w:color="auto"/>
        <w:left w:val="none" w:sz="0" w:space="0" w:color="auto"/>
        <w:bottom w:val="none" w:sz="0" w:space="0" w:color="auto"/>
        <w:right w:val="none" w:sz="0" w:space="0" w:color="auto"/>
      </w:divBdr>
    </w:div>
    <w:div w:id="60714148">
      <w:bodyDiv w:val="1"/>
      <w:marLeft w:val="0"/>
      <w:marRight w:val="0"/>
      <w:marTop w:val="0"/>
      <w:marBottom w:val="0"/>
      <w:divBdr>
        <w:top w:val="none" w:sz="0" w:space="0" w:color="auto"/>
        <w:left w:val="none" w:sz="0" w:space="0" w:color="auto"/>
        <w:bottom w:val="none" w:sz="0" w:space="0" w:color="auto"/>
        <w:right w:val="none" w:sz="0" w:space="0" w:color="auto"/>
      </w:divBdr>
    </w:div>
    <w:div w:id="60760058">
      <w:bodyDiv w:val="1"/>
      <w:marLeft w:val="0"/>
      <w:marRight w:val="0"/>
      <w:marTop w:val="0"/>
      <w:marBottom w:val="0"/>
      <w:divBdr>
        <w:top w:val="none" w:sz="0" w:space="0" w:color="auto"/>
        <w:left w:val="none" w:sz="0" w:space="0" w:color="auto"/>
        <w:bottom w:val="none" w:sz="0" w:space="0" w:color="auto"/>
        <w:right w:val="none" w:sz="0" w:space="0" w:color="auto"/>
      </w:divBdr>
    </w:div>
    <w:div w:id="60832259">
      <w:bodyDiv w:val="1"/>
      <w:marLeft w:val="0"/>
      <w:marRight w:val="0"/>
      <w:marTop w:val="0"/>
      <w:marBottom w:val="0"/>
      <w:divBdr>
        <w:top w:val="none" w:sz="0" w:space="0" w:color="auto"/>
        <w:left w:val="none" w:sz="0" w:space="0" w:color="auto"/>
        <w:bottom w:val="none" w:sz="0" w:space="0" w:color="auto"/>
        <w:right w:val="none" w:sz="0" w:space="0" w:color="auto"/>
      </w:divBdr>
    </w:div>
    <w:div w:id="61409775">
      <w:bodyDiv w:val="1"/>
      <w:marLeft w:val="0"/>
      <w:marRight w:val="0"/>
      <w:marTop w:val="0"/>
      <w:marBottom w:val="0"/>
      <w:divBdr>
        <w:top w:val="none" w:sz="0" w:space="0" w:color="auto"/>
        <w:left w:val="none" w:sz="0" w:space="0" w:color="auto"/>
        <w:bottom w:val="none" w:sz="0" w:space="0" w:color="auto"/>
        <w:right w:val="none" w:sz="0" w:space="0" w:color="auto"/>
      </w:divBdr>
    </w:div>
    <w:div w:id="61568454">
      <w:bodyDiv w:val="1"/>
      <w:marLeft w:val="0"/>
      <w:marRight w:val="0"/>
      <w:marTop w:val="0"/>
      <w:marBottom w:val="0"/>
      <w:divBdr>
        <w:top w:val="none" w:sz="0" w:space="0" w:color="auto"/>
        <w:left w:val="none" w:sz="0" w:space="0" w:color="auto"/>
        <w:bottom w:val="none" w:sz="0" w:space="0" w:color="auto"/>
        <w:right w:val="none" w:sz="0" w:space="0" w:color="auto"/>
      </w:divBdr>
    </w:div>
    <w:div w:id="61610225">
      <w:bodyDiv w:val="1"/>
      <w:marLeft w:val="0"/>
      <w:marRight w:val="0"/>
      <w:marTop w:val="0"/>
      <w:marBottom w:val="0"/>
      <w:divBdr>
        <w:top w:val="none" w:sz="0" w:space="0" w:color="auto"/>
        <w:left w:val="none" w:sz="0" w:space="0" w:color="auto"/>
        <w:bottom w:val="none" w:sz="0" w:space="0" w:color="auto"/>
        <w:right w:val="none" w:sz="0" w:space="0" w:color="auto"/>
      </w:divBdr>
    </w:div>
    <w:div w:id="61635562">
      <w:bodyDiv w:val="1"/>
      <w:marLeft w:val="0"/>
      <w:marRight w:val="0"/>
      <w:marTop w:val="0"/>
      <w:marBottom w:val="0"/>
      <w:divBdr>
        <w:top w:val="none" w:sz="0" w:space="0" w:color="auto"/>
        <w:left w:val="none" w:sz="0" w:space="0" w:color="auto"/>
        <w:bottom w:val="none" w:sz="0" w:space="0" w:color="auto"/>
        <w:right w:val="none" w:sz="0" w:space="0" w:color="auto"/>
      </w:divBdr>
    </w:div>
    <w:div w:id="62022832">
      <w:bodyDiv w:val="1"/>
      <w:marLeft w:val="0"/>
      <w:marRight w:val="0"/>
      <w:marTop w:val="0"/>
      <w:marBottom w:val="0"/>
      <w:divBdr>
        <w:top w:val="none" w:sz="0" w:space="0" w:color="auto"/>
        <w:left w:val="none" w:sz="0" w:space="0" w:color="auto"/>
        <w:bottom w:val="none" w:sz="0" w:space="0" w:color="auto"/>
        <w:right w:val="none" w:sz="0" w:space="0" w:color="auto"/>
      </w:divBdr>
    </w:div>
    <w:div w:id="62266278">
      <w:bodyDiv w:val="1"/>
      <w:marLeft w:val="0"/>
      <w:marRight w:val="0"/>
      <w:marTop w:val="0"/>
      <w:marBottom w:val="0"/>
      <w:divBdr>
        <w:top w:val="none" w:sz="0" w:space="0" w:color="auto"/>
        <w:left w:val="none" w:sz="0" w:space="0" w:color="auto"/>
        <w:bottom w:val="none" w:sz="0" w:space="0" w:color="auto"/>
        <w:right w:val="none" w:sz="0" w:space="0" w:color="auto"/>
      </w:divBdr>
    </w:div>
    <w:div w:id="62334963">
      <w:bodyDiv w:val="1"/>
      <w:marLeft w:val="0"/>
      <w:marRight w:val="0"/>
      <w:marTop w:val="0"/>
      <w:marBottom w:val="0"/>
      <w:divBdr>
        <w:top w:val="none" w:sz="0" w:space="0" w:color="auto"/>
        <w:left w:val="none" w:sz="0" w:space="0" w:color="auto"/>
        <w:bottom w:val="none" w:sz="0" w:space="0" w:color="auto"/>
        <w:right w:val="none" w:sz="0" w:space="0" w:color="auto"/>
      </w:divBdr>
    </w:div>
    <w:div w:id="62604379">
      <w:bodyDiv w:val="1"/>
      <w:marLeft w:val="0"/>
      <w:marRight w:val="0"/>
      <w:marTop w:val="0"/>
      <w:marBottom w:val="0"/>
      <w:divBdr>
        <w:top w:val="none" w:sz="0" w:space="0" w:color="auto"/>
        <w:left w:val="none" w:sz="0" w:space="0" w:color="auto"/>
        <w:bottom w:val="none" w:sz="0" w:space="0" w:color="auto"/>
        <w:right w:val="none" w:sz="0" w:space="0" w:color="auto"/>
      </w:divBdr>
    </w:div>
    <w:div w:id="62609779">
      <w:bodyDiv w:val="1"/>
      <w:marLeft w:val="0"/>
      <w:marRight w:val="0"/>
      <w:marTop w:val="0"/>
      <w:marBottom w:val="0"/>
      <w:divBdr>
        <w:top w:val="none" w:sz="0" w:space="0" w:color="auto"/>
        <w:left w:val="none" w:sz="0" w:space="0" w:color="auto"/>
        <w:bottom w:val="none" w:sz="0" w:space="0" w:color="auto"/>
        <w:right w:val="none" w:sz="0" w:space="0" w:color="auto"/>
      </w:divBdr>
    </w:div>
    <w:div w:id="62610638">
      <w:bodyDiv w:val="1"/>
      <w:marLeft w:val="0"/>
      <w:marRight w:val="0"/>
      <w:marTop w:val="0"/>
      <w:marBottom w:val="0"/>
      <w:divBdr>
        <w:top w:val="none" w:sz="0" w:space="0" w:color="auto"/>
        <w:left w:val="none" w:sz="0" w:space="0" w:color="auto"/>
        <w:bottom w:val="none" w:sz="0" w:space="0" w:color="auto"/>
        <w:right w:val="none" w:sz="0" w:space="0" w:color="auto"/>
      </w:divBdr>
    </w:div>
    <w:div w:id="62721447">
      <w:bodyDiv w:val="1"/>
      <w:marLeft w:val="0"/>
      <w:marRight w:val="0"/>
      <w:marTop w:val="0"/>
      <w:marBottom w:val="0"/>
      <w:divBdr>
        <w:top w:val="none" w:sz="0" w:space="0" w:color="auto"/>
        <w:left w:val="none" w:sz="0" w:space="0" w:color="auto"/>
        <w:bottom w:val="none" w:sz="0" w:space="0" w:color="auto"/>
        <w:right w:val="none" w:sz="0" w:space="0" w:color="auto"/>
      </w:divBdr>
    </w:div>
    <w:div w:id="62723659">
      <w:bodyDiv w:val="1"/>
      <w:marLeft w:val="0"/>
      <w:marRight w:val="0"/>
      <w:marTop w:val="0"/>
      <w:marBottom w:val="0"/>
      <w:divBdr>
        <w:top w:val="none" w:sz="0" w:space="0" w:color="auto"/>
        <w:left w:val="none" w:sz="0" w:space="0" w:color="auto"/>
        <w:bottom w:val="none" w:sz="0" w:space="0" w:color="auto"/>
        <w:right w:val="none" w:sz="0" w:space="0" w:color="auto"/>
      </w:divBdr>
    </w:div>
    <w:div w:id="62946310">
      <w:bodyDiv w:val="1"/>
      <w:marLeft w:val="0"/>
      <w:marRight w:val="0"/>
      <w:marTop w:val="0"/>
      <w:marBottom w:val="0"/>
      <w:divBdr>
        <w:top w:val="none" w:sz="0" w:space="0" w:color="auto"/>
        <w:left w:val="none" w:sz="0" w:space="0" w:color="auto"/>
        <w:bottom w:val="none" w:sz="0" w:space="0" w:color="auto"/>
        <w:right w:val="none" w:sz="0" w:space="0" w:color="auto"/>
      </w:divBdr>
    </w:div>
    <w:div w:id="62993295">
      <w:bodyDiv w:val="1"/>
      <w:marLeft w:val="0"/>
      <w:marRight w:val="0"/>
      <w:marTop w:val="0"/>
      <w:marBottom w:val="0"/>
      <w:divBdr>
        <w:top w:val="none" w:sz="0" w:space="0" w:color="auto"/>
        <w:left w:val="none" w:sz="0" w:space="0" w:color="auto"/>
        <w:bottom w:val="none" w:sz="0" w:space="0" w:color="auto"/>
        <w:right w:val="none" w:sz="0" w:space="0" w:color="auto"/>
      </w:divBdr>
    </w:div>
    <w:div w:id="63189605">
      <w:bodyDiv w:val="1"/>
      <w:marLeft w:val="0"/>
      <w:marRight w:val="0"/>
      <w:marTop w:val="0"/>
      <w:marBottom w:val="0"/>
      <w:divBdr>
        <w:top w:val="none" w:sz="0" w:space="0" w:color="auto"/>
        <w:left w:val="none" w:sz="0" w:space="0" w:color="auto"/>
        <w:bottom w:val="none" w:sz="0" w:space="0" w:color="auto"/>
        <w:right w:val="none" w:sz="0" w:space="0" w:color="auto"/>
      </w:divBdr>
    </w:div>
    <w:div w:id="63794688">
      <w:bodyDiv w:val="1"/>
      <w:marLeft w:val="0"/>
      <w:marRight w:val="0"/>
      <w:marTop w:val="0"/>
      <w:marBottom w:val="0"/>
      <w:divBdr>
        <w:top w:val="none" w:sz="0" w:space="0" w:color="auto"/>
        <w:left w:val="none" w:sz="0" w:space="0" w:color="auto"/>
        <w:bottom w:val="none" w:sz="0" w:space="0" w:color="auto"/>
        <w:right w:val="none" w:sz="0" w:space="0" w:color="auto"/>
      </w:divBdr>
    </w:div>
    <w:div w:id="63799140">
      <w:bodyDiv w:val="1"/>
      <w:marLeft w:val="0"/>
      <w:marRight w:val="0"/>
      <w:marTop w:val="0"/>
      <w:marBottom w:val="0"/>
      <w:divBdr>
        <w:top w:val="none" w:sz="0" w:space="0" w:color="auto"/>
        <w:left w:val="none" w:sz="0" w:space="0" w:color="auto"/>
        <w:bottom w:val="none" w:sz="0" w:space="0" w:color="auto"/>
        <w:right w:val="none" w:sz="0" w:space="0" w:color="auto"/>
      </w:divBdr>
    </w:div>
    <w:div w:id="63843920">
      <w:bodyDiv w:val="1"/>
      <w:marLeft w:val="0"/>
      <w:marRight w:val="0"/>
      <w:marTop w:val="0"/>
      <w:marBottom w:val="0"/>
      <w:divBdr>
        <w:top w:val="none" w:sz="0" w:space="0" w:color="auto"/>
        <w:left w:val="none" w:sz="0" w:space="0" w:color="auto"/>
        <w:bottom w:val="none" w:sz="0" w:space="0" w:color="auto"/>
        <w:right w:val="none" w:sz="0" w:space="0" w:color="auto"/>
      </w:divBdr>
    </w:div>
    <w:div w:id="63914819">
      <w:bodyDiv w:val="1"/>
      <w:marLeft w:val="0"/>
      <w:marRight w:val="0"/>
      <w:marTop w:val="0"/>
      <w:marBottom w:val="0"/>
      <w:divBdr>
        <w:top w:val="none" w:sz="0" w:space="0" w:color="auto"/>
        <w:left w:val="none" w:sz="0" w:space="0" w:color="auto"/>
        <w:bottom w:val="none" w:sz="0" w:space="0" w:color="auto"/>
        <w:right w:val="none" w:sz="0" w:space="0" w:color="auto"/>
      </w:divBdr>
    </w:div>
    <w:div w:id="64114381">
      <w:bodyDiv w:val="1"/>
      <w:marLeft w:val="0"/>
      <w:marRight w:val="0"/>
      <w:marTop w:val="0"/>
      <w:marBottom w:val="0"/>
      <w:divBdr>
        <w:top w:val="none" w:sz="0" w:space="0" w:color="auto"/>
        <w:left w:val="none" w:sz="0" w:space="0" w:color="auto"/>
        <w:bottom w:val="none" w:sz="0" w:space="0" w:color="auto"/>
        <w:right w:val="none" w:sz="0" w:space="0" w:color="auto"/>
      </w:divBdr>
    </w:div>
    <w:div w:id="64231286">
      <w:bodyDiv w:val="1"/>
      <w:marLeft w:val="0"/>
      <w:marRight w:val="0"/>
      <w:marTop w:val="0"/>
      <w:marBottom w:val="0"/>
      <w:divBdr>
        <w:top w:val="none" w:sz="0" w:space="0" w:color="auto"/>
        <w:left w:val="none" w:sz="0" w:space="0" w:color="auto"/>
        <w:bottom w:val="none" w:sz="0" w:space="0" w:color="auto"/>
        <w:right w:val="none" w:sz="0" w:space="0" w:color="auto"/>
      </w:divBdr>
    </w:div>
    <w:div w:id="64304682">
      <w:bodyDiv w:val="1"/>
      <w:marLeft w:val="0"/>
      <w:marRight w:val="0"/>
      <w:marTop w:val="0"/>
      <w:marBottom w:val="0"/>
      <w:divBdr>
        <w:top w:val="none" w:sz="0" w:space="0" w:color="auto"/>
        <w:left w:val="none" w:sz="0" w:space="0" w:color="auto"/>
        <w:bottom w:val="none" w:sz="0" w:space="0" w:color="auto"/>
        <w:right w:val="none" w:sz="0" w:space="0" w:color="auto"/>
      </w:divBdr>
    </w:div>
    <w:div w:id="64376741">
      <w:bodyDiv w:val="1"/>
      <w:marLeft w:val="0"/>
      <w:marRight w:val="0"/>
      <w:marTop w:val="0"/>
      <w:marBottom w:val="0"/>
      <w:divBdr>
        <w:top w:val="none" w:sz="0" w:space="0" w:color="auto"/>
        <w:left w:val="none" w:sz="0" w:space="0" w:color="auto"/>
        <w:bottom w:val="none" w:sz="0" w:space="0" w:color="auto"/>
        <w:right w:val="none" w:sz="0" w:space="0" w:color="auto"/>
      </w:divBdr>
    </w:div>
    <w:div w:id="64380208">
      <w:bodyDiv w:val="1"/>
      <w:marLeft w:val="0"/>
      <w:marRight w:val="0"/>
      <w:marTop w:val="0"/>
      <w:marBottom w:val="0"/>
      <w:divBdr>
        <w:top w:val="none" w:sz="0" w:space="0" w:color="auto"/>
        <w:left w:val="none" w:sz="0" w:space="0" w:color="auto"/>
        <w:bottom w:val="none" w:sz="0" w:space="0" w:color="auto"/>
        <w:right w:val="none" w:sz="0" w:space="0" w:color="auto"/>
      </w:divBdr>
    </w:div>
    <w:div w:id="64644901">
      <w:bodyDiv w:val="1"/>
      <w:marLeft w:val="0"/>
      <w:marRight w:val="0"/>
      <w:marTop w:val="0"/>
      <w:marBottom w:val="0"/>
      <w:divBdr>
        <w:top w:val="none" w:sz="0" w:space="0" w:color="auto"/>
        <w:left w:val="none" w:sz="0" w:space="0" w:color="auto"/>
        <w:bottom w:val="none" w:sz="0" w:space="0" w:color="auto"/>
        <w:right w:val="none" w:sz="0" w:space="0" w:color="auto"/>
      </w:divBdr>
    </w:div>
    <w:div w:id="64766045">
      <w:bodyDiv w:val="1"/>
      <w:marLeft w:val="0"/>
      <w:marRight w:val="0"/>
      <w:marTop w:val="0"/>
      <w:marBottom w:val="0"/>
      <w:divBdr>
        <w:top w:val="none" w:sz="0" w:space="0" w:color="auto"/>
        <w:left w:val="none" w:sz="0" w:space="0" w:color="auto"/>
        <w:bottom w:val="none" w:sz="0" w:space="0" w:color="auto"/>
        <w:right w:val="none" w:sz="0" w:space="0" w:color="auto"/>
      </w:divBdr>
    </w:div>
    <w:div w:id="64838210">
      <w:bodyDiv w:val="1"/>
      <w:marLeft w:val="0"/>
      <w:marRight w:val="0"/>
      <w:marTop w:val="0"/>
      <w:marBottom w:val="0"/>
      <w:divBdr>
        <w:top w:val="none" w:sz="0" w:space="0" w:color="auto"/>
        <w:left w:val="none" w:sz="0" w:space="0" w:color="auto"/>
        <w:bottom w:val="none" w:sz="0" w:space="0" w:color="auto"/>
        <w:right w:val="none" w:sz="0" w:space="0" w:color="auto"/>
      </w:divBdr>
    </w:div>
    <w:div w:id="64911667">
      <w:bodyDiv w:val="1"/>
      <w:marLeft w:val="0"/>
      <w:marRight w:val="0"/>
      <w:marTop w:val="0"/>
      <w:marBottom w:val="0"/>
      <w:divBdr>
        <w:top w:val="none" w:sz="0" w:space="0" w:color="auto"/>
        <w:left w:val="none" w:sz="0" w:space="0" w:color="auto"/>
        <w:bottom w:val="none" w:sz="0" w:space="0" w:color="auto"/>
        <w:right w:val="none" w:sz="0" w:space="0" w:color="auto"/>
      </w:divBdr>
    </w:div>
    <w:div w:id="64957826">
      <w:bodyDiv w:val="1"/>
      <w:marLeft w:val="0"/>
      <w:marRight w:val="0"/>
      <w:marTop w:val="0"/>
      <w:marBottom w:val="0"/>
      <w:divBdr>
        <w:top w:val="none" w:sz="0" w:space="0" w:color="auto"/>
        <w:left w:val="none" w:sz="0" w:space="0" w:color="auto"/>
        <w:bottom w:val="none" w:sz="0" w:space="0" w:color="auto"/>
        <w:right w:val="none" w:sz="0" w:space="0" w:color="auto"/>
      </w:divBdr>
    </w:div>
    <w:div w:id="65305651">
      <w:bodyDiv w:val="1"/>
      <w:marLeft w:val="0"/>
      <w:marRight w:val="0"/>
      <w:marTop w:val="0"/>
      <w:marBottom w:val="0"/>
      <w:divBdr>
        <w:top w:val="none" w:sz="0" w:space="0" w:color="auto"/>
        <w:left w:val="none" w:sz="0" w:space="0" w:color="auto"/>
        <w:bottom w:val="none" w:sz="0" w:space="0" w:color="auto"/>
        <w:right w:val="none" w:sz="0" w:space="0" w:color="auto"/>
      </w:divBdr>
    </w:div>
    <w:div w:id="65420878">
      <w:bodyDiv w:val="1"/>
      <w:marLeft w:val="0"/>
      <w:marRight w:val="0"/>
      <w:marTop w:val="0"/>
      <w:marBottom w:val="0"/>
      <w:divBdr>
        <w:top w:val="none" w:sz="0" w:space="0" w:color="auto"/>
        <w:left w:val="none" w:sz="0" w:space="0" w:color="auto"/>
        <w:bottom w:val="none" w:sz="0" w:space="0" w:color="auto"/>
        <w:right w:val="none" w:sz="0" w:space="0" w:color="auto"/>
      </w:divBdr>
    </w:div>
    <w:div w:id="65886259">
      <w:bodyDiv w:val="1"/>
      <w:marLeft w:val="0"/>
      <w:marRight w:val="0"/>
      <w:marTop w:val="0"/>
      <w:marBottom w:val="0"/>
      <w:divBdr>
        <w:top w:val="none" w:sz="0" w:space="0" w:color="auto"/>
        <w:left w:val="none" w:sz="0" w:space="0" w:color="auto"/>
        <w:bottom w:val="none" w:sz="0" w:space="0" w:color="auto"/>
        <w:right w:val="none" w:sz="0" w:space="0" w:color="auto"/>
      </w:divBdr>
    </w:div>
    <w:div w:id="65954867">
      <w:bodyDiv w:val="1"/>
      <w:marLeft w:val="0"/>
      <w:marRight w:val="0"/>
      <w:marTop w:val="0"/>
      <w:marBottom w:val="0"/>
      <w:divBdr>
        <w:top w:val="none" w:sz="0" w:space="0" w:color="auto"/>
        <w:left w:val="none" w:sz="0" w:space="0" w:color="auto"/>
        <w:bottom w:val="none" w:sz="0" w:space="0" w:color="auto"/>
        <w:right w:val="none" w:sz="0" w:space="0" w:color="auto"/>
      </w:divBdr>
    </w:div>
    <w:div w:id="66078391">
      <w:bodyDiv w:val="1"/>
      <w:marLeft w:val="0"/>
      <w:marRight w:val="0"/>
      <w:marTop w:val="0"/>
      <w:marBottom w:val="0"/>
      <w:divBdr>
        <w:top w:val="none" w:sz="0" w:space="0" w:color="auto"/>
        <w:left w:val="none" w:sz="0" w:space="0" w:color="auto"/>
        <w:bottom w:val="none" w:sz="0" w:space="0" w:color="auto"/>
        <w:right w:val="none" w:sz="0" w:space="0" w:color="auto"/>
      </w:divBdr>
    </w:div>
    <w:div w:id="66197421">
      <w:bodyDiv w:val="1"/>
      <w:marLeft w:val="0"/>
      <w:marRight w:val="0"/>
      <w:marTop w:val="0"/>
      <w:marBottom w:val="0"/>
      <w:divBdr>
        <w:top w:val="none" w:sz="0" w:space="0" w:color="auto"/>
        <w:left w:val="none" w:sz="0" w:space="0" w:color="auto"/>
        <w:bottom w:val="none" w:sz="0" w:space="0" w:color="auto"/>
        <w:right w:val="none" w:sz="0" w:space="0" w:color="auto"/>
      </w:divBdr>
    </w:div>
    <w:div w:id="66264697">
      <w:bodyDiv w:val="1"/>
      <w:marLeft w:val="0"/>
      <w:marRight w:val="0"/>
      <w:marTop w:val="0"/>
      <w:marBottom w:val="0"/>
      <w:divBdr>
        <w:top w:val="none" w:sz="0" w:space="0" w:color="auto"/>
        <w:left w:val="none" w:sz="0" w:space="0" w:color="auto"/>
        <w:bottom w:val="none" w:sz="0" w:space="0" w:color="auto"/>
        <w:right w:val="none" w:sz="0" w:space="0" w:color="auto"/>
      </w:divBdr>
    </w:div>
    <w:div w:id="66342212">
      <w:bodyDiv w:val="1"/>
      <w:marLeft w:val="0"/>
      <w:marRight w:val="0"/>
      <w:marTop w:val="0"/>
      <w:marBottom w:val="0"/>
      <w:divBdr>
        <w:top w:val="none" w:sz="0" w:space="0" w:color="auto"/>
        <w:left w:val="none" w:sz="0" w:space="0" w:color="auto"/>
        <w:bottom w:val="none" w:sz="0" w:space="0" w:color="auto"/>
        <w:right w:val="none" w:sz="0" w:space="0" w:color="auto"/>
      </w:divBdr>
    </w:div>
    <w:div w:id="66611374">
      <w:bodyDiv w:val="1"/>
      <w:marLeft w:val="0"/>
      <w:marRight w:val="0"/>
      <w:marTop w:val="0"/>
      <w:marBottom w:val="0"/>
      <w:divBdr>
        <w:top w:val="none" w:sz="0" w:space="0" w:color="auto"/>
        <w:left w:val="none" w:sz="0" w:space="0" w:color="auto"/>
        <w:bottom w:val="none" w:sz="0" w:space="0" w:color="auto"/>
        <w:right w:val="none" w:sz="0" w:space="0" w:color="auto"/>
      </w:divBdr>
    </w:div>
    <w:div w:id="66655373">
      <w:bodyDiv w:val="1"/>
      <w:marLeft w:val="0"/>
      <w:marRight w:val="0"/>
      <w:marTop w:val="0"/>
      <w:marBottom w:val="0"/>
      <w:divBdr>
        <w:top w:val="none" w:sz="0" w:space="0" w:color="auto"/>
        <w:left w:val="none" w:sz="0" w:space="0" w:color="auto"/>
        <w:bottom w:val="none" w:sz="0" w:space="0" w:color="auto"/>
        <w:right w:val="none" w:sz="0" w:space="0" w:color="auto"/>
      </w:divBdr>
    </w:div>
    <w:div w:id="66879239">
      <w:bodyDiv w:val="1"/>
      <w:marLeft w:val="0"/>
      <w:marRight w:val="0"/>
      <w:marTop w:val="0"/>
      <w:marBottom w:val="0"/>
      <w:divBdr>
        <w:top w:val="none" w:sz="0" w:space="0" w:color="auto"/>
        <w:left w:val="none" w:sz="0" w:space="0" w:color="auto"/>
        <w:bottom w:val="none" w:sz="0" w:space="0" w:color="auto"/>
        <w:right w:val="none" w:sz="0" w:space="0" w:color="auto"/>
      </w:divBdr>
    </w:div>
    <w:div w:id="67000105">
      <w:bodyDiv w:val="1"/>
      <w:marLeft w:val="0"/>
      <w:marRight w:val="0"/>
      <w:marTop w:val="0"/>
      <w:marBottom w:val="0"/>
      <w:divBdr>
        <w:top w:val="none" w:sz="0" w:space="0" w:color="auto"/>
        <w:left w:val="none" w:sz="0" w:space="0" w:color="auto"/>
        <w:bottom w:val="none" w:sz="0" w:space="0" w:color="auto"/>
        <w:right w:val="none" w:sz="0" w:space="0" w:color="auto"/>
      </w:divBdr>
    </w:div>
    <w:div w:id="67003551">
      <w:bodyDiv w:val="1"/>
      <w:marLeft w:val="0"/>
      <w:marRight w:val="0"/>
      <w:marTop w:val="0"/>
      <w:marBottom w:val="0"/>
      <w:divBdr>
        <w:top w:val="none" w:sz="0" w:space="0" w:color="auto"/>
        <w:left w:val="none" w:sz="0" w:space="0" w:color="auto"/>
        <w:bottom w:val="none" w:sz="0" w:space="0" w:color="auto"/>
        <w:right w:val="none" w:sz="0" w:space="0" w:color="auto"/>
      </w:divBdr>
    </w:div>
    <w:div w:id="67271241">
      <w:bodyDiv w:val="1"/>
      <w:marLeft w:val="0"/>
      <w:marRight w:val="0"/>
      <w:marTop w:val="0"/>
      <w:marBottom w:val="0"/>
      <w:divBdr>
        <w:top w:val="none" w:sz="0" w:space="0" w:color="auto"/>
        <w:left w:val="none" w:sz="0" w:space="0" w:color="auto"/>
        <w:bottom w:val="none" w:sz="0" w:space="0" w:color="auto"/>
        <w:right w:val="none" w:sz="0" w:space="0" w:color="auto"/>
      </w:divBdr>
    </w:div>
    <w:div w:id="67459367">
      <w:bodyDiv w:val="1"/>
      <w:marLeft w:val="0"/>
      <w:marRight w:val="0"/>
      <w:marTop w:val="0"/>
      <w:marBottom w:val="0"/>
      <w:divBdr>
        <w:top w:val="none" w:sz="0" w:space="0" w:color="auto"/>
        <w:left w:val="none" w:sz="0" w:space="0" w:color="auto"/>
        <w:bottom w:val="none" w:sz="0" w:space="0" w:color="auto"/>
        <w:right w:val="none" w:sz="0" w:space="0" w:color="auto"/>
      </w:divBdr>
    </w:div>
    <w:div w:id="67534128">
      <w:bodyDiv w:val="1"/>
      <w:marLeft w:val="0"/>
      <w:marRight w:val="0"/>
      <w:marTop w:val="0"/>
      <w:marBottom w:val="0"/>
      <w:divBdr>
        <w:top w:val="none" w:sz="0" w:space="0" w:color="auto"/>
        <w:left w:val="none" w:sz="0" w:space="0" w:color="auto"/>
        <w:bottom w:val="none" w:sz="0" w:space="0" w:color="auto"/>
        <w:right w:val="none" w:sz="0" w:space="0" w:color="auto"/>
      </w:divBdr>
    </w:div>
    <w:div w:id="67657160">
      <w:bodyDiv w:val="1"/>
      <w:marLeft w:val="0"/>
      <w:marRight w:val="0"/>
      <w:marTop w:val="0"/>
      <w:marBottom w:val="0"/>
      <w:divBdr>
        <w:top w:val="none" w:sz="0" w:space="0" w:color="auto"/>
        <w:left w:val="none" w:sz="0" w:space="0" w:color="auto"/>
        <w:bottom w:val="none" w:sz="0" w:space="0" w:color="auto"/>
        <w:right w:val="none" w:sz="0" w:space="0" w:color="auto"/>
      </w:divBdr>
    </w:div>
    <w:div w:id="67699155">
      <w:bodyDiv w:val="1"/>
      <w:marLeft w:val="0"/>
      <w:marRight w:val="0"/>
      <w:marTop w:val="0"/>
      <w:marBottom w:val="0"/>
      <w:divBdr>
        <w:top w:val="none" w:sz="0" w:space="0" w:color="auto"/>
        <w:left w:val="none" w:sz="0" w:space="0" w:color="auto"/>
        <w:bottom w:val="none" w:sz="0" w:space="0" w:color="auto"/>
        <w:right w:val="none" w:sz="0" w:space="0" w:color="auto"/>
      </w:divBdr>
    </w:div>
    <w:div w:id="67725770">
      <w:bodyDiv w:val="1"/>
      <w:marLeft w:val="0"/>
      <w:marRight w:val="0"/>
      <w:marTop w:val="0"/>
      <w:marBottom w:val="0"/>
      <w:divBdr>
        <w:top w:val="none" w:sz="0" w:space="0" w:color="auto"/>
        <w:left w:val="none" w:sz="0" w:space="0" w:color="auto"/>
        <w:bottom w:val="none" w:sz="0" w:space="0" w:color="auto"/>
        <w:right w:val="none" w:sz="0" w:space="0" w:color="auto"/>
      </w:divBdr>
    </w:div>
    <w:div w:id="67776670">
      <w:bodyDiv w:val="1"/>
      <w:marLeft w:val="0"/>
      <w:marRight w:val="0"/>
      <w:marTop w:val="0"/>
      <w:marBottom w:val="0"/>
      <w:divBdr>
        <w:top w:val="none" w:sz="0" w:space="0" w:color="auto"/>
        <w:left w:val="none" w:sz="0" w:space="0" w:color="auto"/>
        <w:bottom w:val="none" w:sz="0" w:space="0" w:color="auto"/>
        <w:right w:val="none" w:sz="0" w:space="0" w:color="auto"/>
      </w:divBdr>
    </w:div>
    <w:div w:id="67923184">
      <w:bodyDiv w:val="1"/>
      <w:marLeft w:val="0"/>
      <w:marRight w:val="0"/>
      <w:marTop w:val="0"/>
      <w:marBottom w:val="0"/>
      <w:divBdr>
        <w:top w:val="none" w:sz="0" w:space="0" w:color="auto"/>
        <w:left w:val="none" w:sz="0" w:space="0" w:color="auto"/>
        <w:bottom w:val="none" w:sz="0" w:space="0" w:color="auto"/>
        <w:right w:val="none" w:sz="0" w:space="0" w:color="auto"/>
      </w:divBdr>
    </w:div>
    <w:div w:id="68113341">
      <w:bodyDiv w:val="1"/>
      <w:marLeft w:val="0"/>
      <w:marRight w:val="0"/>
      <w:marTop w:val="0"/>
      <w:marBottom w:val="0"/>
      <w:divBdr>
        <w:top w:val="none" w:sz="0" w:space="0" w:color="auto"/>
        <w:left w:val="none" w:sz="0" w:space="0" w:color="auto"/>
        <w:bottom w:val="none" w:sz="0" w:space="0" w:color="auto"/>
        <w:right w:val="none" w:sz="0" w:space="0" w:color="auto"/>
      </w:divBdr>
    </w:div>
    <w:div w:id="68188849">
      <w:bodyDiv w:val="1"/>
      <w:marLeft w:val="0"/>
      <w:marRight w:val="0"/>
      <w:marTop w:val="0"/>
      <w:marBottom w:val="0"/>
      <w:divBdr>
        <w:top w:val="none" w:sz="0" w:space="0" w:color="auto"/>
        <w:left w:val="none" w:sz="0" w:space="0" w:color="auto"/>
        <w:bottom w:val="none" w:sz="0" w:space="0" w:color="auto"/>
        <w:right w:val="none" w:sz="0" w:space="0" w:color="auto"/>
      </w:divBdr>
    </w:div>
    <w:div w:id="68238638">
      <w:bodyDiv w:val="1"/>
      <w:marLeft w:val="0"/>
      <w:marRight w:val="0"/>
      <w:marTop w:val="0"/>
      <w:marBottom w:val="0"/>
      <w:divBdr>
        <w:top w:val="none" w:sz="0" w:space="0" w:color="auto"/>
        <w:left w:val="none" w:sz="0" w:space="0" w:color="auto"/>
        <w:bottom w:val="none" w:sz="0" w:space="0" w:color="auto"/>
        <w:right w:val="none" w:sz="0" w:space="0" w:color="auto"/>
      </w:divBdr>
    </w:div>
    <w:div w:id="68239354">
      <w:bodyDiv w:val="1"/>
      <w:marLeft w:val="0"/>
      <w:marRight w:val="0"/>
      <w:marTop w:val="0"/>
      <w:marBottom w:val="0"/>
      <w:divBdr>
        <w:top w:val="none" w:sz="0" w:space="0" w:color="auto"/>
        <w:left w:val="none" w:sz="0" w:space="0" w:color="auto"/>
        <w:bottom w:val="none" w:sz="0" w:space="0" w:color="auto"/>
        <w:right w:val="none" w:sz="0" w:space="0" w:color="auto"/>
      </w:divBdr>
    </w:div>
    <w:div w:id="68357374">
      <w:bodyDiv w:val="1"/>
      <w:marLeft w:val="0"/>
      <w:marRight w:val="0"/>
      <w:marTop w:val="0"/>
      <w:marBottom w:val="0"/>
      <w:divBdr>
        <w:top w:val="none" w:sz="0" w:space="0" w:color="auto"/>
        <w:left w:val="none" w:sz="0" w:space="0" w:color="auto"/>
        <w:bottom w:val="none" w:sz="0" w:space="0" w:color="auto"/>
        <w:right w:val="none" w:sz="0" w:space="0" w:color="auto"/>
      </w:divBdr>
    </w:div>
    <w:div w:id="68384639">
      <w:bodyDiv w:val="1"/>
      <w:marLeft w:val="0"/>
      <w:marRight w:val="0"/>
      <w:marTop w:val="0"/>
      <w:marBottom w:val="0"/>
      <w:divBdr>
        <w:top w:val="none" w:sz="0" w:space="0" w:color="auto"/>
        <w:left w:val="none" w:sz="0" w:space="0" w:color="auto"/>
        <w:bottom w:val="none" w:sz="0" w:space="0" w:color="auto"/>
        <w:right w:val="none" w:sz="0" w:space="0" w:color="auto"/>
      </w:divBdr>
    </w:div>
    <w:div w:id="68433251">
      <w:bodyDiv w:val="1"/>
      <w:marLeft w:val="0"/>
      <w:marRight w:val="0"/>
      <w:marTop w:val="0"/>
      <w:marBottom w:val="0"/>
      <w:divBdr>
        <w:top w:val="none" w:sz="0" w:space="0" w:color="auto"/>
        <w:left w:val="none" w:sz="0" w:space="0" w:color="auto"/>
        <w:bottom w:val="none" w:sz="0" w:space="0" w:color="auto"/>
        <w:right w:val="none" w:sz="0" w:space="0" w:color="auto"/>
      </w:divBdr>
    </w:div>
    <w:div w:id="68697519">
      <w:bodyDiv w:val="1"/>
      <w:marLeft w:val="0"/>
      <w:marRight w:val="0"/>
      <w:marTop w:val="0"/>
      <w:marBottom w:val="0"/>
      <w:divBdr>
        <w:top w:val="none" w:sz="0" w:space="0" w:color="auto"/>
        <w:left w:val="none" w:sz="0" w:space="0" w:color="auto"/>
        <w:bottom w:val="none" w:sz="0" w:space="0" w:color="auto"/>
        <w:right w:val="none" w:sz="0" w:space="0" w:color="auto"/>
      </w:divBdr>
    </w:div>
    <w:div w:id="68700242">
      <w:bodyDiv w:val="1"/>
      <w:marLeft w:val="0"/>
      <w:marRight w:val="0"/>
      <w:marTop w:val="0"/>
      <w:marBottom w:val="0"/>
      <w:divBdr>
        <w:top w:val="none" w:sz="0" w:space="0" w:color="auto"/>
        <w:left w:val="none" w:sz="0" w:space="0" w:color="auto"/>
        <w:bottom w:val="none" w:sz="0" w:space="0" w:color="auto"/>
        <w:right w:val="none" w:sz="0" w:space="0" w:color="auto"/>
      </w:divBdr>
    </w:div>
    <w:div w:id="68890489">
      <w:bodyDiv w:val="1"/>
      <w:marLeft w:val="0"/>
      <w:marRight w:val="0"/>
      <w:marTop w:val="0"/>
      <w:marBottom w:val="0"/>
      <w:divBdr>
        <w:top w:val="none" w:sz="0" w:space="0" w:color="auto"/>
        <w:left w:val="none" w:sz="0" w:space="0" w:color="auto"/>
        <w:bottom w:val="none" w:sz="0" w:space="0" w:color="auto"/>
        <w:right w:val="none" w:sz="0" w:space="0" w:color="auto"/>
      </w:divBdr>
    </w:div>
    <w:div w:id="68890740">
      <w:bodyDiv w:val="1"/>
      <w:marLeft w:val="0"/>
      <w:marRight w:val="0"/>
      <w:marTop w:val="0"/>
      <w:marBottom w:val="0"/>
      <w:divBdr>
        <w:top w:val="none" w:sz="0" w:space="0" w:color="auto"/>
        <w:left w:val="none" w:sz="0" w:space="0" w:color="auto"/>
        <w:bottom w:val="none" w:sz="0" w:space="0" w:color="auto"/>
        <w:right w:val="none" w:sz="0" w:space="0" w:color="auto"/>
      </w:divBdr>
    </w:div>
    <w:div w:id="68965862">
      <w:bodyDiv w:val="1"/>
      <w:marLeft w:val="0"/>
      <w:marRight w:val="0"/>
      <w:marTop w:val="0"/>
      <w:marBottom w:val="0"/>
      <w:divBdr>
        <w:top w:val="none" w:sz="0" w:space="0" w:color="auto"/>
        <w:left w:val="none" w:sz="0" w:space="0" w:color="auto"/>
        <w:bottom w:val="none" w:sz="0" w:space="0" w:color="auto"/>
        <w:right w:val="none" w:sz="0" w:space="0" w:color="auto"/>
      </w:divBdr>
    </w:div>
    <w:div w:id="69037609">
      <w:bodyDiv w:val="1"/>
      <w:marLeft w:val="0"/>
      <w:marRight w:val="0"/>
      <w:marTop w:val="0"/>
      <w:marBottom w:val="0"/>
      <w:divBdr>
        <w:top w:val="none" w:sz="0" w:space="0" w:color="auto"/>
        <w:left w:val="none" w:sz="0" w:space="0" w:color="auto"/>
        <w:bottom w:val="none" w:sz="0" w:space="0" w:color="auto"/>
        <w:right w:val="none" w:sz="0" w:space="0" w:color="auto"/>
      </w:divBdr>
    </w:div>
    <w:div w:id="69082837">
      <w:bodyDiv w:val="1"/>
      <w:marLeft w:val="0"/>
      <w:marRight w:val="0"/>
      <w:marTop w:val="0"/>
      <w:marBottom w:val="0"/>
      <w:divBdr>
        <w:top w:val="none" w:sz="0" w:space="0" w:color="auto"/>
        <w:left w:val="none" w:sz="0" w:space="0" w:color="auto"/>
        <w:bottom w:val="none" w:sz="0" w:space="0" w:color="auto"/>
        <w:right w:val="none" w:sz="0" w:space="0" w:color="auto"/>
      </w:divBdr>
    </w:div>
    <w:div w:id="69236869">
      <w:bodyDiv w:val="1"/>
      <w:marLeft w:val="0"/>
      <w:marRight w:val="0"/>
      <w:marTop w:val="0"/>
      <w:marBottom w:val="0"/>
      <w:divBdr>
        <w:top w:val="none" w:sz="0" w:space="0" w:color="auto"/>
        <w:left w:val="none" w:sz="0" w:space="0" w:color="auto"/>
        <w:bottom w:val="none" w:sz="0" w:space="0" w:color="auto"/>
        <w:right w:val="none" w:sz="0" w:space="0" w:color="auto"/>
      </w:divBdr>
    </w:div>
    <w:div w:id="69273827">
      <w:bodyDiv w:val="1"/>
      <w:marLeft w:val="0"/>
      <w:marRight w:val="0"/>
      <w:marTop w:val="0"/>
      <w:marBottom w:val="0"/>
      <w:divBdr>
        <w:top w:val="none" w:sz="0" w:space="0" w:color="auto"/>
        <w:left w:val="none" w:sz="0" w:space="0" w:color="auto"/>
        <w:bottom w:val="none" w:sz="0" w:space="0" w:color="auto"/>
        <w:right w:val="none" w:sz="0" w:space="0" w:color="auto"/>
      </w:divBdr>
    </w:div>
    <w:div w:id="69430761">
      <w:bodyDiv w:val="1"/>
      <w:marLeft w:val="0"/>
      <w:marRight w:val="0"/>
      <w:marTop w:val="0"/>
      <w:marBottom w:val="0"/>
      <w:divBdr>
        <w:top w:val="none" w:sz="0" w:space="0" w:color="auto"/>
        <w:left w:val="none" w:sz="0" w:space="0" w:color="auto"/>
        <w:bottom w:val="none" w:sz="0" w:space="0" w:color="auto"/>
        <w:right w:val="none" w:sz="0" w:space="0" w:color="auto"/>
      </w:divBdr>
    </w:div>
    <w:div w:id="69697085">
      <w:bodyDiv w:val="1"/>
      <w:marLeft w:val="0"/>
      <w:marRight w:val="0"/>
      <w:marTop w:val="0"/>
      <w:marBottom w:val="0"/>
      <w:divBdr>
        <w:top w:val="none" w:sz="0" w:space="0" w:color="auto"/>
        <w:left w:val="none" w:sz="0" w:space="0" w:color="auto"/>
        <w:bottom w:val="none" w:sz="0" w:space="0" w:color="auto"/>
        <w:right w:val="none" w:sz="0" w:space="0" w:color="auto"/>
      </w:divBdr>
    </w:div>
    <w:div w:id="69814457">
      <w:bodyDiv w:val="1"/>
      <w:marLeft w:val="0"/>
      <w:marRight w:val="0"/>
      <w:marTop w:val="0"/>
      <w:marBottom w:val="0"/>
      <w:divBdr>
        <w:top w:val="none" w:sz="0" w:space="0" w:color="auto"/>
        <w:left w:val="none" w:sz="0" w:space="0" w:color="auto"/>
        <w:bottom w:val="none" w:sz="0" w:space="0" w:color="auto"/>
        <w:right w:val="none" w:sz="0" w:space="0" w:color="auto"/>
      </w:divBdr>
    </w:div>
    <w:div w:id="70079496">
      <w:bodyDiv w:val="1"/>
      <w:marLeft w:val="0"/>
      <w:marRight w:val="0"/>
      <w:marTop w:val="0"/>
      <w:marBottom w:val="0"/>
      <w:divBdr>
        <w:top w:val="none" w:sz="0" w:space="0" w:color="auto"/>
        <w:left w:val="none" w:sz="0" w:space="0" w:color="auto"/>
        <w:bottom w:val="none" w:sz="0" w:space="0" w:color="auto"/>
        <w:right w:val="none" w:sz="0" w:space="0" w:color="auto"/>
      </w:divBdr>
    </w:div>
    <w:div w:id="70129388">
      <w:bodyDiv w:val="1"/>
      <w:marLeft w:val="0"/>
      <w:marRight w:val="0"/>
      <w:marTop w:val="0"/>
      <w:marBottom w:val="0"/>
      <w:divBdr>
        <w:top w:val="none" w:sz="0" w:space="0" w:color="auto"/>
        <w:left w:val="none" w:sz="0" w:space="0" w:color="auto"/>
        <w:bottom w:val="none" w:sz="0" w:space="0" w:color="auto"/>
        <w:right w:val="none" w:sz="0" w:space="0" w:color="auto"/>
      </w:divBdr>
    </w:div>
    <w:div w:id="70196127">
      <w:bodyDiv w:val="1"/>
      <w:marLeft w:val="0"/>
      <w:marRight w:val="0"/>
      <w:marTop w:val="0"/>
      <w:marBottom w:val="0"/>
      <w:divBdr>
        <w:top w:val="none" w:sz="0" w:space="0" w:color="auto"/>
        <w:left w:val="none" w:sz="0" w:space="0" w:color="auto"/>
        <w:bottom w:val="none" w:sz="0" w:space="0" w:color="auto"/>
        <w:right w:val="none" w:sz="0" w:space="0" w:color="auto"/>
      </w:divBdr>
    </w:div>
    <w:div w:id="70348903">
      <w:bodyDiv w:val="1"/>
      <w:marLeft w:val="0"/>
      <w:marRight w:val="0"/>
      <w:marTop w:val="0"/>
      <w:marBottom w:val="0"/>
      <w:divBdr>
        <w:top w:val="none" w:sz="0" w:space="0" w:color="auto"/>
        <w:left w:val="none" w:sz="0" w:space="0" w:color="auto"/>
        <w:bottom w:val="none" w:sz="0" w:space="0" w:color="auto"/>
        <w:right w:val="none" w:sz="0" w:space="0" w:color="auto"/>
      </w:divBdr>
    </w:div>
    <w:div w:id="70470986">
      <w:bodyDiv w:val="1"/>
      <w:marLeft w:val="0"/>
      <w:marRight w:val="0"/>
      <w:marTop w:val="0"/>
      <w:marBottom w:val="0"/>
      <w:divBdr>
        <w:top w:val="none" w:sz="0" w:space="0" w:color="auto"/>
        <w:left w:val="none" w:sz="0" w:space="0" w:color="auto"/>
        <w:bottom w:val="none" w:sz="0" w:space="0" w:color="auto"/>
        <w:right w:val="none" w:sz="0" w:space="0" w:color="auto"/>
      </w:divBdr>
    </w:div>
    <w:div w:id="70517134">
      <w:bodyDiv w:val="1"/>
      <w:marLeft w:val="0"/>
      <w:marRight w:val="0"/>
      <w:marTop w:val="0"/>
      <w:marBottom w:val="0"/>
      <w:divBdr>
        <w:top w:val="none" w:sz="0" w:space="0" w:color="auto"/>
        <w:left w:val="none" w:sz="0" w:space="0" w:color="auto"/>
        <w:bottom w:val="none" w:sz="0" w:space="0" w:color="auto"/>
        <w:right w:val="none" w:sz="0" w:space="0" w:color="auto"/>
      </w:divBdr>
    </w:div>
    <w:div w:id="70659529">
      <w:bodyDiv w:val="1"/>
      <w:marLeft w:val="0"/>
      <w:marRight w:val="0"/>
      <w:marTop w:val="0"/>
      <w:marBottom w:val="0"/>
      <w:divBdr>
        <w:top w:val="none" w:sz="0" w:space="0" w:color="auto"/>
        <w:left w:val="none" w:sz="0" w:space="0" w:color="auto"/>
        <w:bottom w:val="none" w:sz="0" w:space="0" w:color="auto"/>
        <w:right w:val="none" w:sz="0" w:space="0" w:color="auto"/>
      </w:divBdr>
    </w:div>
    <w:div w:id="70734132">
      <w:bodyDiv w:val="1"/>
      <w:marLeft w:val="0"/>
      <w:marRight w:val="0"/>
      <w:marTop w:val="0"/>
      <w:marBottom w:val="0"/>
      <w:divBdr>
        <w:top w:val="none" w:sz="0" w:space="0" w:color="auto"/>
        <w:left w:val="none" w:sz="0" w:space="0" w:color="auto"/>
        <w:bottom w:val="none" w:sz="0" w:space="0" w:color="auto"/>
        <w:right w:val="none" w:sz="0" w:space="0" w:color="auto"/>
      </w:divBdr>
    </w:div>
    <w:div w:id="70741262">
      <w:bodyDiv w:val="1"/>
      <w:marLeft w:val="0"/>
      <w:marRight w:val="0"/>
      <w:marTop w:val="0"/>
      <w:marBottom w:val="0"/>
      <w:divBdr>
        <w:top w:val="none" w:sz="0" w:space="0" w:color="auto"/>
        <w:left w:val="none" w:sz="0" w:space="0" w:color="auto"/>
        <w:bottom w:val="none" w:sz="0" w:space="0" w:color="auto"/>
        <w:right w:val="none" w:sz="0" w:space="0" w:color="auto"/>
      </w:divBdr>
    </w:div>
    <w:div w:id="70785020">
      <w:bodyDiv w:val="1"/>
      <w:marLeft w:val="0"/>
      <w:marRight w:val="0"/>
      <w:marTop w:val="0"/>
      <w:marBottom w:val="0"/>
      <w:divBdr>
        <w:top w:val="none" w:sz="0" w:space="0" w:color="auto"/>
        <w:left w:val="none" w:sz="0" w:space="0" w:color="auto"/>
        <w:bottom w:val="none" w:sz="0" w:space="0" w:color="auto"/>
        <w:right w:val="none" w:sz="0" w:space="0" w:color="auto"/>
      </w:divBdr>
    </w:div>
    <w:div w:id="70855749">
      <w:bodyDiv w:val="1"/>
      <w:marLeft w:val="0"/>
      <w:marRight w:val="0"/>
      <w:marTop w:val="0"/>
      <w:marBottom w:val="0"/>
      <w:divBdr>
        <w:top w:val="none" w:sz="0" w:space="0" w:color="auto"/>
        <w:left w:val="none" w:sz="0" w:space="0" w:color="auto"/>
        <w:bottom w:val="none" w:sz="0" w:space="0" w:color="auto"/>
        <w:right w:val="none" w:sz="0" w:space="0" w:color="auto"/>
      </w:divBdr>
    </w:div>
    <w:div w:id="71239606">
      <w:bodyDiv w:val="1"/>
      <w:marLeft w:val="0"/>
      <w:marRight w:val="0"/>
      <w:marTop w:val="0"/>
      <w:marBottom w:val="0"/>
      <w:divBdr>
        <w:top w:val="none" w:sz="0" w:space="0" w:color="auto"/>
        <w:left w:val="none" w:sz="0" w:space="0" w:color="auto"/>
        <w:bottom w:val="none" w:sz="0" w:space="0" w:color="auto"/>
        <w:right w:val="none" w:sz="0" w:space="0" w:color="auto"/>
      </w:divBdr>
    </w:div>
    <w:div w:id="71392212">
      <w:bodyDiv w:val="1"/>
      <w:marLeft w:val="0"/>
      <w:marRight w:val="0"/>
      <w:marTop w:val="0"/>
      <w:marBottom w:val="0"/>
      <w:divBdr>
        <w:top w:val="none" w:sz="0" w:space="0" w:color="auto"/>
        <w:left w:val="none" w:sz="0" w:space="0" w:color="auto"/>
        <w:bottom w:val="none" w:sz="0" w:space="0" w:color="auto"/>
        <w:right w:val="none" w:sz="0" w:space="0" w:color="auto"/>
      </w:divBdr>
    </w:div>
    <w:div w:id="71464812">
      <w:bodyDiv w:val="1"/>
      <w:marLeft w:val="0"/>
      <w:marRight w:val="0"/>
      <w:marTop w:val="0"/>
      <w:marBottom w:val="0"/>
      <w:divBdr>
        <w:top w:val="none" w:sz="0" w:space="0" w:color="auto"/>
        <w:left w:val="none" w:sz="0" w:space="0" w:color="auto"/>
        <w:bottom w:val="none" w:sz="0" w:space="0" w:color="auto"/>
        <w:right w:val="none" w:sz="0" w:space="0" w:color="auto"/>
      </w:divBdr>
    </w:div>
    <w:div w:id="71508706">
      <w:bodyDiv w:val="1"/>
      <w:marLeft w:val="0"/>
      <w:marRight w:val="0"/>
      <w:marTop w:val="0"/>
      <w:marBottom w:val="0"/>
      <w:divBdr>
        <w:top w:val="none" w:sz="0" w:space="0" w:color="auto"/>
        <w:left w:val="none" w:sz="0" w:space="0" w:color="auto"/>
        <w:bottom w:val="none" w:sz="0" w:space="0" w:color="auto"/>
        <w:right w:val="none" w:sz="0" w:space="0" w:color="auto"/>
      </w:divBdr>
    </w:div>
    <w:div w:id="71632322">
      <w:bodyDiv w:val="1"/>
      <w:marLeft w:val="0"/>
      <w:marRight w:val="0"/>
      <w:marTop w:val="0"/>
      <w:marBottom w:val="0"/>
      <w:divBdr>
        <w:top w:val="none" w:sz="0" w:space="0" w:color="auto"/>
        <w:left w:val="none" w:sz="0" w:space="0" w:color="auto"/>
        <w:bottom w:val="none" w:sz="0" w:space="0" w:color="auto"/>
        <w:right w:val="none" w:sz="0" w:space="0" w:color="auto"/>
      </w:divBdr>
    </w:div>
    <w:div w:id="71700840">
      <w:bodyDiv w:val="1"/>
      <w:marLeft w:val="0"/>
      <w:marRight w:val="0"/>
      <w:marTop w:val="0"/>
      <w:marBottom w:val="0"/>
      <w:divBdr>
        <w:top w:val="none" w:sz="0" w:space="0" w:color="auto"/>
        <w:left w:val="none" w:sz="0" w:space="0" w:color="auto"/>
        <w:bottom w:val="none" w:sz="0" w:space="0" w:color="auto"/>
        <w:right w:val="none" w:sz="0" w:space="0" w:color="auto"/>
      </w:divBdr>
    </w:div>
    <w:div w:id="71707877">
      <w:bodyDiv w:val="1"/>
      <w:marLeft w:val="0"/>
      <w:marRight w:val="0"/>
      <w:marTop w:val="0"/>
      <w:marBottom w:val="0"/>
      <w:divBdr>
        <w:top w:val="none" w:sz="0" w:space="0" w:color="auto"/>
        <w:left w:val="none" w:sz="0" w:space="0" w:color="auto"/>
        <w:bottom w:val="none" w:sz="0" w:space="0" w:color="auto"/>
        <w:right w:val="none" w:sz="0" w:space="0" w:color="auto"/>
      </w:divBdr>
    </w:div>
    <w:div w:id="71972336">
      <w:bodyDiv w:val="1"/>
      <w:marLeft w:val="0"/>
      <w:marRight w:val="0"/>
      <w:marTop w:val="0"/>
      <w:marBottom w:val="0"/>
      <w:divBdr>
        <w:top w:val="none" w:sz="0" w:space="0" w:color="auto"/>
        <w:left w:val="none" w:sz="0" w:space="0" w:color="auto"/>
        <w:bottom w:val="none" w:sz="0" w:space="0" w:color="auto"/>
        <w:right w:val="none" w:sz="0" w:space="0" w:color="auto"/>
      </w:divBdr>
    </w:div>
    <w:div w:id="72089820">
      <w:bodyDiv w:val="1"/>
      <w:marLeft w:val="0"/>
      <w:marRight w:val="0"/>
      <w:marTop w:val="0"/>
      <w:marBottom w:val="0"/>
      <w:divBdr>
        <w:top w:val="none" w:sz="0" w:space="0" w:color="auto"/>
        <w:left w:val="none" w:sz="0" w:space="0" w:color="auto"/>
        <w:bottom w:val="none" w:sz="0" w:space="0" w:color="auto"/>
        <w:right w:val="none" w:sz="0" w:space="0" w:color="auto"/>
      </w:divBdr>
    </w:div>
    <w:div w:id="72093711">
      <w:bodyDiv w:val="1"/>
      <w:marLeft w:val="0"/>
      <w:marRight w:val="0"/>
      <w:marTop w:val="0"/>
      <w:marBottom w:val="0"/>
      <w:divBdr>
        <w:top w:val="none" w:sz="0" w:space="0" w:color="auto"/>
        <w:left w:val="none" w:sz="0" w:space="0" w:color="auto"/>
        <w:bottom w:val="none" w:sz="0" w:space="0" w:color="auto"/>
        <w:right w:val="none" w:sz="0" w:space="0" w:color="auto"/>
      </w:divBdr>
    </w:div>
    <w:div w:id="72171645">
      <w:bodyDiv w:val="1"/>
      <w:marLeft w:val="0"/>
      <w:marRight w:val="0"/>
      <w:marTop w:val="0"/>
      <w:marBottom w:val="0"/>
      <w:divBdr>
        <w:top w:val="none" w:sz="0" w:space="0" w:color="auto"/>
        <w:left w:val="none" w:sz="0" w:space="0" w:color="auto"/>
        <w:bottom w:val="none" w:sz="0" w:space="0" w:color="auto"/>
        <w:right w:val="none" w:sz="0" w:space="0" w:color="auto"/>
      </w:divBdr>
    </w:div>
    <w:div w:id="72507237">
      <w:bodyDiv w:val="1"/>
      <w:marLeft w:val="0"/>
      <w:marRight w:val="0"/>
      <w:marTop w:val="0"/>
      <w:marBottom w:val="0"/>
      <w:divBdr>
        <w:top w:val="none" w:sz="0" w:space="0" w:color="auto"/>
        <w:left w:val="none" w:sz="0" w:space="0" w:color="auto"/>
        <w:bottom w:val="none" w:sz="0" w:space="0" w:color="auto"/>
        <w:right w:val="none" w:sz="0" w:space="0" w:color="auto"/>
      </w:divBdr>
    </w:div>
    <w:div w:id="72630659">
      <w:bodyDiv w:val="1"/>
      <w:marLeft w:val="0"/>
      <w:marRight w:val="0"/>
      <w:marTop w:val="0"/>
      <w:marBottom w:val="0"/>
      <w:divBdr>
        <w:top w:val="none" w:sz="0" w:space="0" w:color="auto"/>
        <w:left w:val="none" w:sz="0" w:space="0" w:color="auto"/>
        <w:bottom w:val="none" w:sz="0" w:space="0" w:color="auto"/>
        <w:right w:val="none" w:sz="0" w:space="0" w:color="auto"/>
      </w:divBdr>
    </w:div>
    <w:div w:id="72631554">
      <w:bodyDiv w:val="1"/>
      <w:marLeft w:val="0"/>
      <w:marRight w:val="0"/>
      <w:marTop w:val="0"/>
      <w:marBottom w:val="0"/>
      <w:divBdr>
        <w:top w:val="none" w:sz="0" w:space="0" w:color="auto"/>
        <w:left w:val="none" w:sz="0" w:space="0" w:color="auto"/>
        <w:bottom w:val="none" w:sz="0" w:space="0" w:color="auto"/>
        <w:right w:val="none" w:sz="0" w:space="0" w:color="auto"/>
      </w:divBdr>
    </w:div>
    <w:div w:id="73085808">
      <w:bodyDiv w:val="1"/>
      <w:marLeft w:val="0"/>
      <w:marRight w:val="0"/>
      <w:marTop w:val="0"/>
      <w:marBottom w:val="0"/>
      <w:divBdr>
        <w:top w:val="none" w:sz="0" w:space="0" w:color="auto"/>
        <w:left w:val="none" w:sz="0" w:space="0" w:color="auto"/>
        <w:bottom w:val="none" w:sz="0" w:space="0" w:color="auto"/>
        <w:right w:val="none" w:sz="0" w:space="0" w:color="auto"/>
      </w:divBdr>
    </w:div>
    <w:div w:id="73284159">
      <w:bodyDiv w:val="1"/>
      <w:marLeft w:val="0"/>
      <w:marRight w:val="0"/>
      <w:marTop w:val="0"/>
      <w:marBottom w:val="0"/>
      <w:divBdr>
        <w:top w:val="none" w:sz="0" w:space="0" w:color="auto"/>
        <w:left w:val="none" w:sz="0" w:space="0" w:color="auto"/>
        <w:bottom w:val="none" w:sz="0" w:space="0" w:color="auto"/>
        <w:right w:val="none" w:sz="0" w:space="0" w:color="auto"/>
      </w:divBdr>
    </w:div>
    <w:div w:id="73402722">
      <w:bodyDiv w:val="1"/>
      <w:marLeft w:val="0"/>
      <w:marRight w:val="0"/>
      <w:marTop w:val="0"/>
      <w:marBottom w:val="0"/>
      <w:divBdr>
        <w:top w:val="none" w:sz="0" w:space="0" w:color="auto"/>
        <w:left w:val="none" w:sz="0" w:space="0" w:color="auto"/>
        <w:bottom w:val="none" w:sz="0" w:space="0" w:color="auto"/>
        <w:right w:val="none" w:sz="0" w:space="0" w:color="auto"/>
      </w:divBdr>
    </w:div>
    <w:div w:id="73475987">
      <w:bodyDiv w:val="1"/>
      <w:marLeft w:val="0"/>
      <w:marRight w:val="0"/>
      <w:marTop w:val="0"/>
      <w:marBottom w:val="0"/>
      <w:divBdr>
        <w:top w:val="none" w:sz="0" w:space="0" w:color="auto"/>
        <w:left w:val="none" w:sz="0" w:space="0" w:color="auto"/>
        <w:bottom w:val="none" w:sz="0" w:space="0" w:color="auto"/>
        <w:right w:val="none" w:sz="0" w:space="0" w:color="auto"/>
      </w:divBdr>
    </w:div>
    <w:div w:id="73478381">
      <w:bodyDiv w:val="1"/>
      <w:marLeft w:val="0"/>
      <w:marRight w:val="0"/>
      <w:marTop w:val="0"/>
      <w:marBottom w:val="0"/>
      <w:divBdr>
        <w:top w:val="none" w:sz="0" w:space="0" w:color="auto"/>
        <w:left w:val="none" w:sz="0" w:space="0" w:color="auto"/>
        <w:bottom w:val="none" w:sz="0" w:space="0" w:color="auto"/>
        <w:right w:val="none" w:sz="0" w:space="0" w:color="auto"/>
      </w:divBdr>
    </w:div>
    <w:div w:id="73671155">
      <w:bodyDiv w:val="1"/>
      <w:marLeft w:val="0"/>
      <w:marRight w:val="0"/>
      <w:marTop w:val="0"/>
      <w:marBottom w:val="0"/>
      <w:divBdr>
        <w:top w:val="none" w:sz="0" w:space="0" w:color="auto"/>
        <w:left w:val="none" w:sz="0" w:space="0" w:color="auto"/>
        <w:bottom w:val="none" w:sz="0" w:space="0" w:color="auto"/>
        <w:right w:val="none" w:sz="0" w:space="0" w:color="auto"/>
      </w:divBdr>
    </w:div>
    <w:div w:id="73823197">
      <w:bodyDiv w:val="1"/>
      <w:marLeft w:val="0"/>
      <w:marRight w:val="0"/>
      <w:marTop w:val="0"/>
      <w:marBottom w:val="0"/>
      <w:divBdr>
        <w:top w:val="none" w:sz="0" w:space="0" w:color="auto"/>
        <w:left w:val="none" w:sz="0" w:space="0" w:color="auto"/>
        <w:bottom w:val="none" w:sz="0" w:space="0" w:color="auto"/>
        <w:right w:val="none" w:sz="0" w:space="0" w:color="auto"/>
      </w:divBdr>
    </w:div>
    <w:div w:id="73866897">
      <w:bodyDiv w:val="1"/>
      <w:marLeft w:val="0"/>
      <w:marRight w:val="0"/>
      <w:marTop w:val="0"/>
      <w:marBottom w:val="0"/>
      <w:divBdr>
        <w:top w:val="none" w:sz="0" w:space="0" w:color="auto"/>
        <w:left w:val="none" w:sz="0" w:space="0" w:color="auto"/>
        <w:bottom w:val="none" w:sz="0" w:space="0" w:color="auto"/>
        <w:right w:val="none" w:sz="0" w:space="0" w:color="auto"/>
      </w:divBdr>
    </w:div>
    <w:div w:id="73941721">
      <w:bodyDiv w:val="1"/>
      <w:marLeft w:val="0"/>
      <w:marRight w:val="0"/>
      <w:marTop w:val="0"/>
      <w:marBottom w:val="0"/>
      <w:divBdr>
        <w:top w:val="none" w:sz="0" w:space="0" w:color="auto"/>
        <w:left w:val="none" w:sz="0" w:space="0" w:color="auto"/>
        <w:bottom w:val="none" w:sz="0" w:space="0" w:color="auto"/>
        <w:right w:val="none" w:sz="0" w:space="0" w:color="auto"/>
      </w:divBdr>
    </w:div>
    <w:div w:id="74018914">
      <w:bodyDiv w:val="1"/>
      <w:marLeft w:val="0"/>
      <w:marRight w:val="0"/>
      <w:marTop w:val="0"/>
      <w:marBottom w:val="0"/>
      <w:divBdr>
        <w:top w:val="none" w:sz="0" w:space="0" w:color="auto"/>
        <w:left w:val="none" w:sz="0" w:space="0" w:color="auto"/>
        <w:bottom w:val="none" w:sz="0" w:space="0" w:color="auto"/>
        <w:right w:val="none" w:sz="0" w:space="0" w:color="auto"/>
      </w:divBdr>
    </w:div>
    <w:div w:id="74591678">
      <w:bodyDiv w:val="1"/>
      <w:marLeft w:val="0"/>
      <w:marRight w:val="0"/>
      <w:marTop w:val="0"/>
      <w:marBottom w:val="0"/>
      <w:divBdr>
        <w:top w:val="none" w:sz="0" w:space="0" w:color="auto"/>
        <w:left w:val="none" w:sz="0" w:space="0" w:color="auto"/>
        <w:bottom w:val="none" w:sz="0" w:space="0" w:color="auto"/>
        <w:right w:val="none" w:sz="0" w:space="0" w:color="auto"/>
      </w:divBdr>
    </w:div>
    <w:div w:id="75053254">
      <w:bodyDiv w:val="1"/>
      <w:marLeft w:val="0"/>
      <w:marRight w:val="0"/>
      <w:marTop w:val="0"/>
      <w:marBottom w:val="0"/>
      <w:divBdr>
        <w:top w:val="none" w:sz="0" w:space="0" w:color="auto"/>
        <w:left w:val="none" w:sz="0" w:space="0" w:color="auto"/>
        <w:bottom w:val="none" w:sz="0" w:space="0" w:color="auto"/>
        <w:right w:val="none" w:sz="0" w:space="0" w:color="auto"/>
      </w:divBdr>
    </w:div>
    <w:div w:id="75128222">
      <w:bodyDiv w:val="1"/>
      <w:marLeft w:val="0"/>
      <w:marRight w:val="0"/>
      <w:marTop w:val="0"/>
      <w:marBottom w:val="0"/>
      <w:divBdr>
        <w:top w:val="none" w:sz="0" w:space="0" w:color="auto"/>
        <w:left w:val="none" w:sz="0" w:space="0" w:color="auto"/>
        <w:bottom w:val="none" w:sz="0" w:space="0" w:color="auto"/>
        <w:right w:val="none" w:sz="0" w:space="0" w:color="auto"/>
      </w:divBdr>
    </w:div>
    <w:div w:id="75170725">
      <w:bodyDiv w:val="1"/>
      <w:marLeft w:val="0"/>
      <w:marRight w:val="0"/>
      <w:marTop w:val="0"/>
      <w:marBottom w:val="0"/>
      <w:divBdr>
        <w:top w:val="none" w:sz="0" w:space="0" w:color="auto"/>
        <w:left w:val="none" w:sz="0" w:space="0" w:color="auto"/>
        <w:bottom w:val="none" w:sz="0" w:space="0" w:color="auto"/>
        <w:right w:val="none" w:sz="0" w:space="0" w:color="auto"/>
      </w:divBdr>
    </w:div>
    <w:div w:id="75321550">
      <w:bodyDiv w:val="1"/>
      <w:marLeft w:val="0"/>
      <w:marRight w:val="0"/>
      <w:marTop w:val="0"/>
      <w:marBottom w:val="0"/>
      <w:divBdr>
        <w:top w:val="none" w:sz="0" w:space="0" w:color="auto"/>
        <w:left w:val="none" w:sz="0" w:space="0" w:color="auto"/>
        <w:bottom w:val="none" w:sz="0" w:space="0" w:color="auto"/>
        <w:right w:val="none" w:sz="0" w:space="0" w:color="auto"/>
      </w:divBdr>
    </w:div>
    <w:div w:id="75323526">
      <w:bodyDiv w:val="1"/>
      <w:marLeft w:val="0"/>
      <w:marRight w:val="0"/>
      <w:marTop w:val="0"/>
      <w:marBottom w:val="0"/>
      <w:divBdr>
        <w:top w:val="none" w:sz="0" w:space="0" w:color="auto"/>
        <w:left w:val="none" w:sz="0" w:space="0" w:color="auto"/>
        <w:bottom w:val="none" w:sz="0" w:space="0" w:color="auto"/>
        <w:right w:val="none" w:sz="0" w:space="0" w:color="auto"/>
      </w:divBdr>
    </w:div>
    <w:div w:id="75325325">
      <w:bodyDiv w:val="1"/>
      <w:marLeft w:val="0"/>
      <w:marRight w:val="0"/>
      <w:marTop w:val="0"/>
      <w:marBottom w:val="0"/>
      <w:divBdr>
        <w:top w:val="none" w:sz="0" w:space="0" w:color="auto"/>
        <w:left w:val="none" w:sz="0" w:space="0" w:color="auto"/>
        <w:bottom w:val="none" w:sz="0" w:space="0" w:color="auto"/>
        <w:right w:val="none" w:sz="0" w:space="0" w:color="auto"/>
      </w:divBdr>
    </w:div>
    <w:div w:id="75443669">
      <w:bodyDiv w:val="1"/>
      <w:marLeft w:val="0"/>
      <w:marRight w:val="0"/>
      <w:marTop w:val="0"/>
      <w:marBottom w:val="0"/>
      <w:divBdr>
        <w:top w:val="none" w:sz="0" w:space="0" w:color="auto"/>
        <w:left w:val="none" w:sz="0" w:space="0" w:color="auto"/>
        <w:bottom w:val="none" w:sz="0" w:space="0" w:color="auto"/>
        <w:right w:val="none" w:sz="0" w:space="0" w:color="auto"/>
      </w:divBdr>
    </w:div>
    <w:div w:id="75444590">
      <w:bodyDiv w:val="1"/>
      <w:marLeft w:val="0"/>
      <w:marRight w:val="0"/>
      <w:marTop w:val="0"/>
      <w:marBottom w:val="0"/>
      <w:divBdr>
        <w:top w:val="none" w:sz="0" w:space="0" w:color="auto"/>
        <w:left w:val="none" w:sz="0" w:space="0" w:color="auto"/>
        <w:bottom w:val="none" w:sz="0" w:space="0" w:color="auto"/>
        <w:right w:val="none" w:sz="0" w:space="0" w:color="auto"/>
      </w:divBdr>
    </w:div>
    <w:div w:id="75564563">
      <w:bodyDiv w:val="1"/>
      <w:marLeft w:val="0"/>
      <w:marRight w:val="0"/>
      <w:marTop w:val="0"/>
      <w:marBottom w:val="0"/>
      <w:divBdr>
        <w:top w:val="none" w:sz="0" w:space="0" w:color="auto"/>
        <w:left w:val="none" w:sz="0" w:space="0" w:color="auto"/>
        <w:bottom w:val="none" w:sz="0" w:space="0" w:color="auto"/>
        <w:right w:val="none" w:sz="0" w:space="0" w:color="auto"/>
      </w:divBdr>
    </w:div>
    <w:div w:id="75635776">
      <w:bodyDiv w:val="1"/>
      <w:marLeft w:val="0"/>
      <w:marRight w:val="0"/>
      <w:marTop w:val="0"/>
      <w:marBottom w:val="0"/>
      <w:divBdr>
        <w:top w:val="none" w:sz="0" w:space="0" w:color="auto"/>
        <w:left w:val="none" w:sz="0" w:space="0" w:color="auto"/>
        <w:bottom w:val="none" w:sz="0" w:space="0" w:color="auto"/>
        <w:right w:val="none" w:sz="0" w:space="0" w:color="auto"/>
      </w:divBdr>
    </w:div>
    <w:div w:id="75787938">
      <w:bodyDiv w:val="1"/>
      <w:marLeft w:val="0"/>
      <w:marRight w:val="0"/>
      <w:marTop w:val="0"/>
      <w:marBottom w:val="0"/>
      <w:divBdr>
        <w:top w:val="none" w:sz="0" w:space="0" w:color="auto"/>
        <w:left w:val="none" w:sz="0" w:space="0" w:color="auto"/>
        <w:bottom w:val="none" w:sz="0" w:space="0" w:color="auto"/>
        <w:right w:val="none" w:sz="0" w:space="0" w:color="auto"/>
      </w:divBdr>
    </w:div>
    <w:div w:id="75789105">
      <w:bodyDiv w:val="1"/>
      <w:marLeft w:val="0"/>
      <w:marRight w:val="0"/>
      <w:marTop w:val="0"/>
      <w:marBottom w:val="0"/>
      <w:divBdr>
        <w:top w:val="none" w:sz="0" w:space="0" w:color="auto"/>
        <w:left w:val="none" w:sz="0" w:space="0" w:color="auto"/>
        <w:bottom w:val="none" w:sz="0" w:space="0" w:color="auto"/>
        <w:right w:val="none" w:sz="0" w:space="0" w:color="auto"/>
      </w:divBdr>
    </w:div>
    <w:div w:id="75976055">
      <w:bodyDiv w:val="1"/>
      <w:marLeft w:val="0"/>
      <w:marRight w:val="0"/>
      <w:marTop w:val="0"/>
      <w:marBottom w:val="0"/>
      <w:divBdr>
        <w:top w:val="none" w:sz="0" w:space="0" w:color="auto"/>
        <w:left w:val="none" w:sz="0" w:space="0" w:color="auto"/>
        <w:bottom w:val="none" w:sz="0" w:space="0" w:color="auto"/>
        <w:right w:val="none" w:sz="0" w:space="0" w:color="auto"/>
      </w:divBdr>
    </w:div>
    <w:div w:id="75979770">
      <w:bodyDiv w:val="1"/>
      <w:marLeft w:val="0"/>
      <w:marRight w:val="0"/>
      <w:marTop w:val="0"/>
      <w:marBottom w:val="0"/>
      <w:divBdr>
        <w:top w:val="none" w:sz="0" w:space="0" w:color="auto"/>
        <w:left w:val="none" w:sz="0" w:space="0" w:color="auto"/>
        <w:bottom w:val="none" w:sz="0" w:space="0" w:color="auto"/>
        <w:right w:val="none" w:sz="0" w:space="0" w:color="auto"/>
      </w:divBdr>
    </w:div>
    <w:div w:id="76102991">
      <w:bodyDiv w:val="1"/>
      <w:marLeft w:val="0"/>
      <w:marRight w:val="0"/>
      <w:marTop w:val="0"/>
      <w:marBottom w:val="0"/>
      <w:divBdr>
        <w:top w:val="none" w:sz="0" w:space="0" w:color="auto"/>
        <w:left w:val="none" w:sz="0" w:space="0" w:color="auto"/>
        <w:bottom w:val="none" w:sz="0" w:space="0" w:color="auto"/>
        <w:right w:val="none" w:sz="0" w:space="0" w:color="auto"/>
      </w:divBdr>
    </w:div>
    <w:div w:id="76439235">
      <w:bodyDiv w:val="1"/>
      <w:marLeft w:val="0"/>
      <w:marRight w:val="0"/>
      <w:marTop w:val="0"/>
      <w:marBottom w:val="0"/>
      <w:divBdr>
        <w:top w:val="none" w:sz="0" w:space="0" w:color="auto"/>
        <w:left w:val="none" w:sz="0" w:space="0" w:color="auto"/>
        <w:bottom w:val="none" w:sz="0" w:space="0" w:color="auto"/>
        <w:right w:val="none" w:sz="0" w:space="0" w:color="auto"/>
      </w:divBdr>
    </w:div>
    <w:div w:id="76561035">
      <w:bodyDiv w:val="1"/>
      <w:marLeft w:val="0"/>
      <w:marRight w:val="0"/>
      <w:marTop w:val="0"/>
      <w:marBottom w:val="0"/>
      <w:divBdr>
        <w:top w:val="none" w:sz="0" w:space="0" w:color="auto"/>
        <w:left w:val="none" w:sz="0" w:space="0" w:color="auto"/>
        <w:bottom w:val="none" w:sz="0" w:space="0" w:color="auto"/>
        <w:right w:val="none" w:sz="0" w:space="0" w:color="auto"/>
      </w:divBdr>
    </w:div>
    <w:div w:id="76636424">
      <w:bodyDiv w:val="1"/>
      <w:marLeft w:val="0"/>
      <w:marRight w:val="0"/>
      <w:marTop w:val="0"/>
      <w:marBottom w:val="0"/>
      <w:divBdr>
        <w:top w:val="none" w:sz="0" w:space="0" w:color="auto"/>
        <w:left w:val="none" w:sz="0" w:space="0" w:color="auto"/>
        <w:bottom w:val="none" w:sz="0" w:space="0" w:color="auto"/>
        <w:right w:val="none" w:sz="0" w:space="0" w:color="auto"/>
      </w:divBdr>
    </w:div>
    <w:div w:id="76638727">
      <w:bodyDiv w:val="1"/>
      <w:marLeft w:val="0"/>
      <w:marRight w:val="0"/>
      <w:marTop w:val="0"/>
      <w:marBottom w:val="0"/>
      <w:divBdr>
        <w:top w:val="none" w:sz="0" w:space="0" w:color="auto"/>
        <w:left w:val="none" w:sz="0" w:space="0" w:color="auto"/>
        <w:bottom w:val="none" w:sz="0" w:space="0" w:color="auto"/>
        <w:right w:val="none" w:sz="0" w:space="0" w:color="auto"/>
      </w:divBdr>
    </w:div>
    <w:div w:id="76750886">
      <w:bodyDiv w:val="1"/>
      <w:marLeft w:val="0"/>
      <w:marRight w:val="0"/>
      <w:marTop w:val="0"/>
      <w:marBottom w:val="0"/>
      <w:divBdr>
        <w:top w:val="none" w:sz="0" w:space="0" w:color="auto"/>
        <w:left w:val="none" w:sz="0" w:space="0" w:color="auto"/>
        <w:bottom w:val="none" w:sz="0" w:space="0" w:color="auto"/>
        <w:right w:val="none" w:sz="0" w:space="0" w:color="auto"/>
      </w:divBdr>
    </w:div>
    <w:div w:id="76824334">
      <w:bodyDiv w:val="1"/>
      <w:marLeft w:val="0"/>
      <w:marRight w:val="0"/>
      <w:marTop w:val="0"/>
      <w:marBottom w:val="0"/>
      <w:divBdr>
        <w:top w:val="none" w:sz="0" w:space="0" w:color="auto"/>
        <w:left w:val="none" w:sz="0" w:space="0" w:color="auto"/>
        <w:bottom w:val="none" w:sz="0" w:space="0" w:color="auto"/>
        <w:right w:val="none" w:sz="0" w:space="0" w:color="auto"/>
      </w:divBdr>
    </w:div>
    <w:div w:id="77136546">
      <w:bodyDiv w:val="1"/>
      <w:marLeft w:val="0"/>
      <w:marRight w:val="0"/>
      <w:marTop w:val="0"/>
      <w:marBottom w:val="0"/>
      <w:divBdr>
        <w:top w:val="none" w:sz="0" w:space="0" w:color="auto"/>
        <w:left w:val="none" w:sz="0" w:space="0" w:color="auto"/>
        <w:bottom w:val="none" w:sz="0" w:space="0" w:color="auto"/>
        <w:right w:val="none" w:sz="0" w:space="0" w:color="auto"/>
      </w:divBdr>
    </w:div>
    <w:div w:id="77140622">
      <w:bodyDiv w:val="1"/>
      <w:marLeft w:val="0"/>
      <w:marRight w:val="0"/>
      <w:marTop w:val="0"/>
      <w:marBottom w:val="0"/>
      <w:divBdr>
        <w:top w:val="none" w:sz="0" w:space="0" w:color="auto"/>
        <w:left w:val="none" w:sz="0" w:space="0" w:color="auto"/>
        <w:bottom w:val="none" w:sz="0" w:space="0" w:color="auto"/>
        <w:right w:val="none" w:sz="0" w:space="0" w:color="auto"/>
      </w:divBdr>
    </w:div>
    <w:div w:id="77143300">
      <w:bodyDiv w:val="1"/>
      <w:marLeft w:val="0"/>
      <w:marRight w:val="0"/>
      <w:marTop w:val="0"/>
      <w:marBottom w:val="0"/>
      <w:divBdr>
        <w:top w:val="none" w:sz="0" w:space="0" w:color="auto"/>
        <w:left w:val="none" w:sz="0" w:space="0" w:color="auto"/>
        <w:bottom w:val="none" w:sz="0" w:space="0" w:color="auto"/>
        <w:right w:val="none" w:sz="0" w:space="0" w:color="auto"/>
      </w:divBdr>
    </w:div>
    <w:div w:id="77292587">
      <w:bodyDiv w:val="1"/>
      <w:marLeft w:val="0"/>
      <w:marRight w:val="0"/>
      <w:marTop w:val="0"/>
      <w:marBottom w:val="0"/>
      <w:divBdr>
        <w:top w:val="none" w:sz="0" w:space="0" w:color="auto"/>
        <w:left w:val="none" w:sz="0" w:space="0" w:color="auto"/>
        <w:bottom w:val="none" w:sz="0" w:space="0" w:color="auto"/>
        <w:right w:val="none" w:sz="0" w:space="0" w:color="auto"/>
      </w:divBdr>
    </w:div>
    <w:div w:id="77556051">
      <w:bodyDiv w:val="1"/>
      <w:marLeft w:val="0"/>
      <w:marRight w:val="0"/>
      <w:marTop w:val="0"/>
      <w:marBottom w:val="0"/>
      <w:divBdr>
        <w:top w:val="none" w:sz="0" w:space="0" w:color="auto"/>
        <w:left w:val="none" w:sz="0" w:space="0" w:color="auto"/>
        <w:bottom w:val="none" w:sz="0" w:space="0" w:color="auto"/>
        <w:right w:val="none" w:sz="0" w:space="0" w:color="auto"/>
      </w:divBdr>
    </w:div>
    <w:div w:id="77605507">
      <w:bodyDiv w:val="1"/>
      <w:marLeft w:val="0"/>
      <w:marRight w:val="0"/>
      <w:marTop w:val="0"/>
      <w:marBottom w:val="0"/>
      <w:divBdr>
        <w:top w:val="none" w:sz="0" w:space="0" w:color="auto"/>
        <w:left w:val="none" w:sz="0" w:space="0" w:color="auto"/>
        <w:bottom w:val="none" w:sz="0" w:space="0" w:color="auto"/>
        <w:right w:val="none" w:sz="0" w:space="0" w:color="auto"/>
      </w:divBdr>
    </w:div>
    <w:div w:id="77748708">
      <w:bodyDiv w:val="1"/>
      <w:marLeft w:val="0"/>
      <w:marRight w:val="0"/>
      <w:marTop w:val="0"/>
      <w:marBottom w:val="0"/>
      <w:divBdr>
        <w:top w:val="none" w:sz="0" w:space="0" w:color="auto"/>
        <w:left w:val="none" w:sz="0" w:space="0" w:color="auto"/>
        <w:bottom w:val="none" w:sz="0" w:space="0" w:color="auto"/>
        <w:right w:val="none" w:sz="0" w:space="0" w:color="auto"/>
      </w:divBdr>
    </w:div>
    <w:div w:id="77753846">
      <w:bodyDiv w:val="1"/>
      <w:marLeft w:val="0"/>
      <w:marRight w:val="0"/>
      <w:marTop w:val="0"/>
      <w:marBottom w:val="0"/>
      <w:divBdr>
        <w:top w:val="none" w:sz="0" w:space="0" w:color="auto"/>
        <w:left w:val="none" w:sz="0" w:space="0" w:color="auto"/>
        <w:bottom w:val="none" w:sz="0" w:space="0" w:color="auto"/>
        <w:right w:val="none" w:sz="0" w:space="0" w:color="auto"/>
      </w:divBdr>
    </w:div>
    <w:div w:id="77756252">
      <w:bodyDiv w:val="1"/>
      <w:marLeft w:val="0"/>
      <w:marRight w:val="0"/>
      <w:marTop w:val="0"/>
      <w:marBottom w:val="0"/>
      <w:divBdr>
        <w:top w:val="none" w:sz="0" w:space="0" w:color="auto"/>
        <w:left w:val="none" w:sz="0" w:space="0" w:color="auto"/>
        <w:bottom w:val="none" w:sz="0" w:space="0" w:color="auto"/>
        <w:right w:val="none" w:sz="0" w:space="0" w:color="auto"/>
      </w:divBdr>
    </w:div>
    <w:div w:id="78061810">
      <w:bodyDiv w:val="1"/>
      <w:marLeft w:val="0"/>
      <w:marRight w:val="0"/>
      <w:marTop w:val="0"/>
      <w:marBottom w:val="0"/>
      <w:divBdr>
        <w:top w:val="none" w:sz="0" w:space="0" w:color="auto"/>
        <w:left w:val="none" w:sz="0" w:space="0" w:color="auto"/>
        <w:bottom w:val="none" w:sz="0" w:space="0" w:color="auto"/>
        <w:right w:val="none" w:sz="0" w:space="0" w:color="auto"/>
      </w:divBdr>
    </w:div>
    <w:div w:id="78257835">
      <w:bodyDiv w:val="1"/>
      <w:marLeft w:val="0"/>
      <w:marRight w:val="0"/>
      <w:marTop w:val="0"/>
      <w:marBottom w:val="0"/>
      <w:divBdr>
        <w:top w:val="none" w:sz="0" w:space="0" w:color="auto"/>
        <w:left w:val="none" w:sz="0" w:space="0" w:color="auto"/>
        <w:bottom w:val="none" w:sz="0" w:space="0" w:color="auto"/>
        <w:right w:val="none" w:sz="0" w:space="0" w:color="auto"/>
      </w:divBdr>
    </w:div>
    <w:div w:id="78329993">
      <w:bodyDiv w:val="1"/>
      <w:marLeft w:val="0"/>
      <w:marRight w:val="0"/>
      <w:marTop w:val="0"/>
      <w:marBottom w:val="0"/>
      <w:divBdr>
        <w:top w:val="none" w:sz="0" w:space="0" w:color="auto"/>
        <w:left w:val="none" w:sz="0" w:space="0" w:color="auto"/>
        <w:bottom w:val="none" w:sz="0" w:space="0" w:color="auto"/>
        <w:right w:val="none" w:sz="0" w:space="0" w:color="auto"/>
      </w:divBdr>
    </w:div>
    <w:div w:id="78452006">
      <w:bodyDiv w:val="1"/>
      <w:marLeft w:val="0"/>
      <w:marRight w:val="0"/>
      <w:marTop w:val="0"/>
      <w:marBottom w:val="0"/>
      <w:divBdr>
        <w:top w:val="none" w:sz="0" w:space="0" w:color="auto"/>
        <w:left w:val="none" w:sz="0" w:space="0" w:color="auto"/>
        <w:bottom w:val="none" w:sz="0" w:space="0" w:color="auto"/>
        <w:right w:val="none" w:sz="0" w:space="0" w:color="auto"/>
      </w:divBdr>
    </w:div>
    <w:div w:id="78526763">
      <w:bodyDiv w:val="1"/>
      <w:marLeft w:val="0"/>
      <w:marRight w:val="0"/>
      <w:marTop w:val="0"/>
      <w:marBottom w:val="0"/>
      <w:divBdr>
        <w:top w:val="none" w:sz="0" w:space="0" w:color="auto"/>
        <w:left w:val="none" w:sz="0" w:space="0" w:color="auto"/>
        <w:bottom w:val="none" w:sz="0" w:space="0" w:color="auto"/>
        <w:right w:val="none" w:sz="0" w:space="0" w:color="auto"/>
      </w:divBdr>
    </w:div>
    <w:div w:id="78597505">
      <w:bodyDiv w:val="1"/>
      <w:marLeft w:val="0"/>
      <w:marRight w:val="0"/>
      <w:marTop w:val="0"/>
      <w:marBottom w:val="0"/>
      <w:divBdr>
        <w:top w:val="none" w:sz="0" w:space="0" w:color="auto"/>
        <w:left w:val="none" w:sz="0" w:space="0" w:color="auto"/>
        <w:bottom w:val="none" w:sz="0" w:space="0" w:color="auto"/>
        <w:right w:val="none" w:sz="0" w:space="0" w:color="auto"/>
      </w:divBdr>
    </w:div>
    <w:div w:id="78796877">
      <w:bodyDiv w:val="1"/>
      <w:marLeft w:val="0"/>
      <w:marRight w:val="0"/>
      <w:marTop w:val="0"/>
      <w:marBottom w:val="0"/>
      <w:divBdr>
        <w:top w:val="none" w:sz="0" w:space="0" w:color="auto"/>
        <w:left w:val="none" w:sz="0" w:space="0" w:color="auto"/>
        <w:bottom w:val="none" w:sz="0" w:space="0" w:color="auto"/>
        <w:right w:val="none" w:sz="0" w:space="0" w:color="auto"/>
      </w:divBdr>
    </w:div>
    <w:div w:id="79058962">
      <w:bodyDiv w:val="1"/>
      <w:marLeft w:val="0"/>
      <w:marRight w:val="0"/>
      <w:marTop w:val="0"/>
      <w:marBottom w:val="0"/>
      <w:divBdr>
        <w:top w:val="none" w:sz="0" w:space="0" w:color="auto"/>
        <w:left w:val="none" w:sz="0" w:space="0" w:color="auto"/>
        <w:bottom w:val="none" w:sz="0" w:space="0" w:color="auto"/>
        <w:right w:val="none" w:sz="0" w:space="0" w:color="auto"/>
      </w:divBdr>
    </w:div>
    <w:div w:id="79184791">
      <w:bodyDiv w:val="1"/>
      <w:marLeft w:val="0"/>
      <w:marRight w:val="0"/>
      <w:marTop w:val="0"/>
      <w:marBottom w:val="0"/>
      <w:divBdr>
        <w:top w:val="none" w:sz="0" w:space="0" w:color="auto"/>
        <w:left w:val="none" w:sz="0" w:space="0" w:color="auto"/>
        <w:bottom w:val="none" w:sz="0" w:space="0" w:color="auto"/>
        <w:right w:val="none" w:sz="0" w:space="0" w:color="auto"/>
      </w:divBdr>
    </w:div>
    <w:div w:id="79255414">
      <w:bodyDiv w:val="1"/>
      <w:marLeft w:val="0"/>
      <w:marRight w:val="0"/>
      <w:marTop w:val="0"/>
      <w:marBottom w:val="0"/>
      <w:divBdr>
        <w:top w:val="none" w:sz="0" w:space="0" w:color="auto"/>
        <w:left w:val="none" w:sz="0" w:space="0" w:color="auto"/>
        <w:bottom w:val="none" w:sz="0" w:space="0" w:color="auto"/>
        <w:right w:val="none" w:sz="0" w:space="0" w:color="auto"/>
      </w:divBdr>
    </w:div>
    <w:div w:id="79450965">
      <w:bodyDiv w:val="1"/>
      <w:marLeft w:val="0"/>
      <w:marRight w:val="0"/>
      <w:marTop w:val="0"/>
      <w:marBottom w:val="0"/>
      <w:divBdr>
        <w:top w:val="none" w:sz="0" w:space="0" w:color="auto"/>
        <w:left w:val="none" w:sz="0" w:space="0" w:color="auto"/>
        <w:bottom w:val="none" w:sz="0" w:space="0" w:color="auto"/>
        <w:right w:val="none" w:sz="0" w:space="0" w:color="auto"/>
      </w:divBdr>
    </w:div>
    <w:div w:id="79523226">
      <w:bodyDiv w:val="1"/>
      <w:marLeft w:val="0"/>
      <w:marRight w:val="0"/>
      <w:marTop w:val="0"/>
      <w:marBottom w:val="0"/>
      <w:divBdr>
        <w:top w:val="none" w:sz="0" w:space="0" w:color="auto"/>
        <w:left w:val="none" w:sz="0" w:space="0" w:color="auto"/>
        <w:bottom w:val="none" w:sz="0" w:space="0" w:color="auto"/>
        <w:right w:val="none" w:sz="0" w:space="0" w:color="auto"/>
      </w:divBdr>
    </w:div>
    <w:div w:id="79567172">
      <w:bodyDiv w:val="1"/>
      <w:marLeft w:val="0"/>
      <w:marRight w:val="0"/>
      <w:marTop w:val="0"/>
      <w:marBottom w:val="0"/>
      <w:divBdr>
        <w:top w:val="none" w:sz="0" w:space="0" w:color="auto"/>
        <w:left w:val="none" w:sz="0" w:space="0" w:color="auto"/>
        <w:bottom w:val="none" w:sz="0" w:space="0" w:color="auto"/>
        <w:right w:val="none" w:sz="0" w:space="0" w:color="auto"/>
      </w:divBdr>
    </w:div>
    <w:div w:id="79715732">
      <w:bodyDiv w:val="1"/>
      <w:marLeft w:val="0"/>
      <w:marRight w:val="0"/>
      <w:marTop w:val="0"/>
      <w:marBottom w:val="0"/>
      <w:divBdr>
        <w:top w:val="none" w:sz="0" w:space="0" w:color="auto"/>
        <w:left w:val="none" w:sz="0" w:space="0" w:color="auto"/>
        <w:bottom w:val="none" w:sz="0" w:space="0" w:color="auto"/>
        <w:right w:val="none" w:sz="0" w:space="0" w:color="auto"/>
      </w:divBdr>
    </w:div>
    <w:div w:id="79719722">
      <w:bodyDiv w:val="1"/>
      <w:marLeft w:val="0"/>
      <w:marRight w:val="0"/>
      <w:marTop w:val="0"/>
      <w:marBottom w:val="0"/>
      <w:divBdr>
        <w:top w:val="none" w:sz="0" w:space="0" w:color="auto"/>
        <w:left w:val="none" w:sz="0" w:space="0" w:color="auto"/>
        <w:bottom w:val="none" w:sz="0" w:space="0" w:color="auto"/>
        <w:right w:val="none" w:sz="0" w:space="0" w:color="auto"/>
      </w:divBdr>
    </w:div>
    <w:div w:id="79762276">
      <w:bodyDiv w:val="1"/>
      <w:marLeft w:val="0"/>
      <w:marRight w:val="0"/>
      <w:marTop w:val="0"/>
      <w:marBottom w:val="0"/>
      <w:divBdr>
        <w:top w:val="none" w:sz="0" w:space="0" w:color="auto"/>
        <w:left w:val="none" w:sz="0" w:space="0" w:color="auto"/>
        <w:bottom w:val="none" w:sz="0" w:space="0" w:color="auto"/>
        <w:right w:val="none" w:sz="0" w:space="0" w:color="auto"/>
      </w:divBdr>
    </w:div>
    <w:div w:id="79908232">
      <w:bodyDiv w:val="1"/>
      <w:marLeft w:val="0"/>
      <w:marRight w:val="0"/>
      <w:marTop w:val="0"/>
      <w:marBottom w:val="0"/>
      <w:divBdr>
        <w:top w:val="none" w:sz="0" w:space="0" w:color="auto"/>
        <w:left w:val="none" w:sz="0" w:space="0" w:color="auto"/>
        <w:bottom w:val="none" w:sz="0" w:space="0" w:color="auto"/>
        <w:right w:val="none" w:sz="0" w:space="0" w:color="auto"/>
      </w:divBdr>
    </w:div>
    <w:div w:id="79955744">
      <w:bodyDiv w:val="1"/>
      <w:marLeft w:val="0"/>
      <w:marRight w:val="0"/>
      <w:marTop w:val="0"/>
      <w:marBottom w:val="0"/>
      <w:divBdr>
        <w:top w:val="none" w:sz="0" w:space="0" w:color="auto"/>
        <w:left w:val="none" w:sz="0" w:space="0" w:color="auto"/>
        <w:bottom w:val="none" w:sz="0" w:space="0" w:color="auto"/>
        <w:right w:val="none" w:sz="0" w:space="0" w:color="auto"/>
      </w:divBdr>
    </w:div>
    <w:div w:id="80025835">
      <w:bodyDiv w:val="1"/>
      <w:marLeft w:val="0"/>
      <w:marRight w:val="0"/>
      <w:marTop w:val="0"/>
      <w:marBottom w:val="0"/>
      <w:divBdr>
        <w:top w:val="none" w:sz="0" w:space="0" w:color="auto"/>
        <w:left w:val="none" w:sz="0" w:space="0" w:color="auto"/>
        <w:bottom w:val="none" w:sz="0" w:space="0" w:color="auto"/>
        <w:right w:val="none" w:sz="0" w:space="0" w:color="auto"/>
      </w:divBdr>
    </w:div>
    <w:div w:id="80026784">
      <w:bodyDiv w:val="1"/>
      <w:marLeft w:val="0"/>
      <w:marRight w:val="0"/>
      <w:marTop w:val="0"/>
      <w:marBottom w:val="0"/>
      <w:divBdr>
        <w:top w:val="none" w:sz="0" w:space="0" w:color="auto"/>
        <w:left w:val="none" w:sz="0" w:space="0" w:color="auto"/>
        <w:bottom w:val="none" w:sz="0" w:space="0" w:color="auto"/>
        <w:right w:val="none" w:sz="0" w:space="0" w:color="auto"/>
      </w:divBdr>
    </w:div>
    <w:div w:id="80218466">
      <w:bodyDiv w:val="1"/>
      <w:marLeft w:val="0"/>
      <w:marRight w:val="0"/>
      <w:marTop w:val="0"/>
      <w:marBottom w:val="0"/>
      <w:divBdr>
        <w:top w:val="none" w:sz="0" w:space="0" w:color="auto"/>
        <w:left w:val="none" w:sz="0" w:space="0" w:color="auto"/>
        <w:bottom w:val="none" w:sz="0" w:space="0" w:color="auto"/>
        <w:right w:val="none" w:sz="0" w:space="0" w:color="auto"/>
      </w:divBdr>
    </w:div>
    <w:div w:id="80374610">
      <w:bodyDiv w:val="1"/>
      <w:marLeft w:val="0"/>
      <w:marRight w:val="0"/>
      <w:marTop w:val="0"/>
      <w:marBottom w:val="0"/>
      <w:divBdr>
        <w:top w:val="none" w:sz="0" w:space="0" w:color="auto"/>
        <w:left w:val="none" w:sz="0" w:space="0" w:color="auto"/>
        <w:bottom w:val="none" w:sz="0" w:space="0" w:color="auto"/>
        <w:right w:val="none" w:sz="0" w:space="0" w:color="auto"/>
      </w:divBdr>
    </w:div>
    <w:div w:id="80413532">
      <w:bodyDiv w:val="1"/>
      <w:marLeft w:val="0"/>
      <w:marRight w:val="0"/>
      <w:marTop w:val="0"/>
      <w:marBottom w:val="0"/>
      <w:divBdr>
        <w:top w:val="none" w:sz="0" w:space="0" w:color="auto"/>
        <w:left w:val="none" w:sz="0" w:space="0" w:color="auto"/>
        <w:bottom w:val="none" w:sz="0" w:space="0" w:color="auto"/>
        <w:right w:val="none" w:sz="0" w:space="0" w:color="auto"/>
      </w:divBdr>
    </w:div>
    <w:div w:id="80568500">
      <w:bodyDiv w:val="1"/>
      <w:marLeft w:val="0"/>
      <w:marRight w:val="0"/>
      <w:marTop w:val="0"/>
      <w:marBottom w:val="0"/>
      <w:divBdr>
        <w:top w:val="none" w:sz="0" w:space="0" w:color="auto"/>
        <w:left w:val="none" w:sz="0" w:space="0" w:color="auto"/>
        <w:bottom w:val="none" w:sz="0" w:space="0" w:color="auto"/>
        <w:right w:val="none" w:sz="0" w:space="0" w:color="auto"/>
      </w:divBdr>
    </w:div>
    <w:div w:id="80684967">
      <w:bodyDiv w:val="1"/>
      <w:marLeft w:val="0"/>
      <w:marRight w:val="0"/>
      <w:marTop w:val="0"/>
      <w:marBottom w:val="0"/>
      <w:divBdr>
        <w:top w:val="none" w:sz="0" w:space="0" w:color="auto"/>
        <w:left w:val="none" w:sz="0" w:space="0" w:color="auto"/>
        <w:bottom w:val="none" w:sz="0" w:space="0" w:color="auto"/>
        <w:right w:val="none" w:sz="0" w:space="0" w:color="auto"/>
      </w:divBdr>
    </w:div>
    <w:div w:id="80836472">
      <w:bodyDiv w:val="1"/>
      <w:marLeft w:val="0"/>
      <w:marRight w:val="0"/>
      <w:marTop w:val="0"/>
      <w:marBottom w:val="0"/>
      <w:divBdr>
        <w:top w:val="none" w:sz="0" w:space="0" w:color="auto"/>
        <w:left w:val="none" w:sz="0" w:space="0" w:color="auto"/>
        <w:bottom w:val="none" w:sz="0" w:space="0" w:color="auto"/>
        <w:right w:val="none" w:sz="0" w:space="0" w:color="auto"/>
      </w:divBdr>
    </w:div>
    <w:div w:id="81074430">
      <w:bodyDiv w:val="1"/>
      <w:marLeft w:val="0"/>
      <w:marRight w:val="0"/>
      <w:marTop w:val="0"/>
      <w:marBottom w:val="0"/>
      <w:divBdr>
        <w:top w:val="none" w:sz="0" w:space="0" w:color="auto"/>
        <w:left w:val="none" w:sz="0" w:space="0" w:color="auto"/>
        <w:bottom w:val="none" w:sz="0" w:space="0" w:color="auto"/>
        <w:right w:val="none" w:sz="0" w:space="0" w:color="auto"/>
      </w:divBdr>
    </w:div>
    <w:div w:id="81076307">
      <w:bodyDiv w:val="1"/>
      <w:marLeft w:val="0"/>
      <w:marRight w:val="0"/>
      <w:marTop w:val="0"/>
      <w:marBottom w:val="0"/>
      <w:divBdr>
        <w:top w:val="none" w:sz="0" w:space="0" w:color="auto"/>
        <w:left w:val="none" w:sz="0" w:space="0" w:color="auto"/>
        <w:bottom w:val="none" w:sz="0" w:space="0" w:color="auto"/>
        <w:right w:val="none" w:sz="0" w:space="0" w:color="auto"/>
      </w:divBdr>
    </w:div>
    <w:div w:id="81336122">
      <w:bodyDiv w:val="1"/>
      <w:marLeft w:val="0"/>
      <w:marRight w:val="0"/>
      <w:marTop w:val="0"/>
      <w:marBottom w:val="0"/>
      <w:divBdr>
        <w:top w:val="none" w:sz="0" w:space="0" w:color="auto"/>
        <w:left w:val="none" w:sz="0" w:space="0" w:color="auto"/>
        <w:bottom w:val="none" w:sz="0" w:space="0" w:color="auto"/>
        <w:right w:val="none" w:sz="0" w:space="0" w:color="auto"/>
      </w:divBdr>
    </w:div>
    <w:div w:id="81337903">
      <w:bodyDiv w:val="1"/>
      <w:marLeft w:val="0"/>
      <w:marRight w:val="0"/>
      <w:marTop w:val="0"/>
      <w:marBottom w:val="0"/>
      <w:divBdr>
        <w:top w:val="none" w:sz="0" w:space="0" w:color="auto"/>
        <w:left w:val="none" w:sz="0" w:space="0" w:color="auto"/>
        <w:bottom w:val="none" w:sz="0" w:space="0" w:color="auto"/>
        <w:right w:val="none" w:sz="0" w:space="0" w:color="auto"/>
      </w:divBdr>
    </w:div>
    <w:div w:id="81461532">
      <w:bodyDiv w:val="1"/>
      <w:marLeft w:val="0"/>
      <w:marRight w:val="0"/>
      <w:marTop w:val="0"/>
      <w:marBottom w:val="0"/>
      <w:divBdr>
        <w:top w:val="none" w:sz="0" w:space="0" w:color="auto"/>
        <w:left w:val="none" w:sz="0" w:space="0" w:color="auto"/>
        <w:bottom w:val="none" w:sz="0" w:space="0" w:color="auto"/>
        <w:right w:val="none" w:sz="0" w:space="0" w:color="auto"/>
      </w:divBdr>
    </w:div>
    <w:div w:id="81487966">
      <w:bodyDiv w:val="1"/>
      <w:marLeft w:val="0"/>
      <w:marRight w:val="0"/>
      <w:marTop w:val="0"/>
      <w:marBottom w:val="0"/>
      <w:divBdr>
        <w:top w:val="none" w:sz="0" w:space="0" w:color="auto"/>
        <w:left w:val="none" w:sz="0" w:space="0" w:color="auto"/>
        <w:bottom w:val="none" w:sz="0" w:space="0" w:color="auto"/>
        <w:right w:val="none" w:sz="0" w:space="0" w:color="auto"/>
      </w:divBdr>
    </w:div>
    <w:div w:id="81488612">
      <w:bodyDiv w:val="1"/>
      <w:marLeft w:val="0"/>
      <w:marRight w:val="0"/>
      <w:marTop w:val="0"/>
      <w:marBottom w:val="0"/>
      <w:divBdr>
        <w:top w:val="none" w:sz="0" w:space="0" w:color="auto"/>
        <w:left w:val="none" w:sz="0" w:space="0" w:color="auto"/>
        <w:bottom w:val="none" w:sz="0" w:space="0" w:color="auto"/>
        <w:right w:val="none" w:sz="0" w:space="0" w:color="auto"/>
      </w:divBdr>
    </w:div>
    <w:div w:id="81531379">
      <w:bodyDiv w:val="1"/>
      <w:marLeft w:val="0"/>
      <w:marRight w:val="0"/>
      <w:marTop w:val="0"/>
      <w:marBottom w:val="0"/>
      <w:divBdr>
        <w:top w:val="none" w:sz="0" w:space="0" w:color="auto"/>
        <w:left w:val="none" w:sz="0" w:space="0" w:color="auto"/>
        <w:bottom w:val="none" w:sz="0" w:space="0" w:color="auto"/>
        <w:right w:val="none" w:sz="0" w:space="0" w:color="auto"/>
      </w:divBdr>
    </w:div>
    <w:div w:id="81611709">
      <w:bodyDiv w:val="1"/>
      <w:marLeft w:val="0"/>
      <w:marRight w:val="0"/>
      <w:marTop w:val="0"/>
      <w:marBottom w:val="0"/>
      <w:divBdr>
        <w:top w:val="none" w:sz="0" w:space="0" w:color="auto"/>
        <w:left w:val="none" w:sz="0" w:space="0" w:color="auto"/>
        <w:bottom w:val="none" w:sz="0" w:space="0" w:color="auto"/>
        <w:right w:val="none" w:sz="0" w:space="0" w:color="auto"/>
      </w:divBdr>
    </w:div>
    <w:div w:id="81681945">
      <w:bodyDiv w:val="1"/>
      <w:marLeft w:val="0"/>
      <w:marRight w:val="0"/>
      <w:marTop w:val="0"/>
      <w:marBottom w:val="0"/>
      <w:divBdr>
        <w:top w:val="none" w:sz="0" w:space="0" w:color="auto"/>
        <w:left w:val="none" w:sz="0" w:space="0" w:color="auto"/>
        <w:bottom w:val="none" w:sz="0" w:space="0" w:color="auto"/>
        <w:right w:val="none" w:sz="0" w:space="0" w:color="auto"/>
      </w:divBdr>
    </w:div>
    <w:div w:id="82068211">
      <w:bodyDiv w:val="1"/>
      <w:marLeft w:val="0"/>
      <w:marRight w:val="0"/>
      <w:marTop w:val="0"/>
      <w:marBottom w:val="0"/>
      <w:divBdr>
        <w:top w:val="none" w:sz="0" w:space="0" w:color="auto"/>
        <w:left w:val="none" w:sz="0" w:space="0" w:color="auto"/>
        <w:bottom w:val="none" w:sz="0" w:space="0" w:color="auto"/>
        <w:right w:val="none" w:sz="0" w:space="0" w:color="auto"/>
      </w:divBdr>
    </w:div>
    <w:div w:id="82117126">
      <w:bodyDiv w:val="1"/>
      <w:marLeft w:val="0"/>
      <w:marRight w:val="0"/>
      <w:marTop w:val="0"/>
      <w:marBottom w:val="0"/>
      <w:divBdr>
        <w:top w:val="none" w:sz="0" w:space="0" w:color="auto"/>
        <w:left w:val="none" w:sz="0" w:space="0" w:color="auto"/>
        <w:bottom w:val="none" w:sz="0" w:space="0" w:color="auto"/>
        <w:right w:val="none" w:sz="0" w:space="0" w:color="auto"/>
      </w:divBdr>
    </w:div>
    <w:div w:id="82461890">
      <w:bodyDiv w:val="1"/>
      <w:marLeft w:val="0"/>
      <w:marRight w:val="0"/>
      <w:marTop w:val="0"/>
      <w:marBottom w:val="0"/>
      <w:divBdr>
        <w:top w:val="none" w:sz="0" w:space="0" w:color="auto"/>
        <w:left w:val="none" w:sz="0" w:space="0" w:color="auto"/>
        <w:bottom w:val="none" w:sz="0" w:space="0" w:color="auto"/>
        <w:right w:val="none" w:sz="0" w:space="0" w:color="auto"/>
      </w:divBdr>
    </w:div>
    <w:div w:id="82528880">
      <w:bodyDiv w:val="1"/>
      <w:marLeft w:val="0"/>
      <w:marRight w:val="0"/>
      <w:marTop w:val="0"/>
      <w:marBottom w:val="0"/>
      <w:divBdr>
        <w:top w:val="none" w:sz="0" w:space="0" w:color="auto"/>
        <w:left w:val="none" w:sz="0" w:space="0" w:color="auto"/>
        <w:bottom w:val="none" w:sz="0" w:space="0" w:color="auto"/>
        <w:right w:val="none" w:sz="0" w:space="0" w:color="auto"/>
      </w:divBdr>
    </w:div>
    <w:div w:id="82536553">
      <w:bodyDiv w:val="1"/>
      <w:marLeft w:val="0"/>
      <w:marRight w:val="0"/>
      <w:marTop w:val="0"/>
      <w:marBottom w:val="0"/>
      <w:divBdr>
        <w:top w:val="none" w:sz="0" w:space="0" w:color="auto"/>
        <w:left w:val="none" w:sz="0" w:space="0" w:color="auto"/>
        <w:bottom w:val="none" w:sz="0" w:space="0" w:color="auto"/>
        <w:right w:val="none" w:sz="0" w:space="0" w:color="auto"/>
      </w:divBdr>
    </w:div>
    <w:div w:id="82651115">
      <w:bodyDiv w:val="1"/>
      <w:marLeft w:val="0"/>
      <w:marRight w:val="0"/>
      <w:marTop w:val="0"/>
      <w:marBottom w:val="0"/>
      <w:divBdr>
        <w:top w:val="none" w:sz="0" w:space="0" w:color="auto"/>
        <w:left w:val="none" w:sz="0" w:space="0" w:color="auto"/>
        <w:bottom w:val="none" w:sz="0" w:space="0" w:color="auto"/>
        <w:right w:val="none" w:sz="0" w:space="0" w:color="auto"/>
      </w:divBdr>
    </w:div>
    <w:div w:id="82654993">
      <w:bodyDiv w:val="1"/>
      <w:marLeft w:val="0"/>
      <w:marRight w:val="0"/>
      <w:marTop w:val="0"/>
      <w:marBottom w:val="0"/>
      <w:divBdr>
        <w:top w:val="none" w:sz="0" w:space="0" w:color="auto"/>
        <w:left w:val="none" w:sz="0" w:space="0" w:color="auto"/>
        <w:bottom w:val="none" w:sz="0" w:space="0" w:color="auto"/>
        <w:right w:val="none" w:sz="0" w:space="0" w:color="auto"/>
      </w:divBdr>
    </w:div>
    <w:div w:id="82723068">
      <w:bodyDiv w:val="1"/>
      <w:marLeft w:val="0"/>
      <w:marRight w:val="0"/>
      <w:marTop w:val="0"/>
      <w:marBottom w:val="0"/>
      <w:divBdr>
        <w:top w:val="none" w:sz="0" w:space="0" w:color="auto"/>
        <w:left w:val="none" w:sz="0" w:space="0" w:color="auto"/>
        <w:bottom w:val="none" w:sz="0" w:space="0" w:color="auto"/>
        <w:right w:val="none" w:sz="0" w:space="0" w:color="auto"/>
      </w:divBdr>
    </w:div>
    <w:div w:id="83066843">
      <w:bodyDiv w:val="1"/>
      <w:marLeft w:val="0"/>
      <w:marRight w:val="0"/>
      <w:marTop w:val="0"/>
      <w:marBottom w:val="0"/>
      <w:divBdr>
        <w:top w:val="none" w:sz="0" w:space="0" w:color="auto"/>
        <w:left w:val="none" w:sz="0" w:space="0" w:color="auto"/>
        <w:bottom w:val="none" w:sz="0" w:space="0" w:color="auto"/>
        <w:right w:val="none" w:sz="0" w:space="0" w:color="auto"/>
      </w:divBdr>
    </w:div>
    <w:div w:id="83189977">
      <w:bodyDiv w:val="1"/>
      <w:marLeft w:val="0"/>
      <w:marRight w:val="0"/>
      <w:marTop w:val="0"/>
      <w:marBottom w:val="0"/>
      <w:divBdr>
        <w:top w:val="none" w:sz="0" w:space="0" w:color="auto"/>
        <w:left w:val="none" w:sz="0" w:space="0" w:color="auto"/>
        <w:bottom w:val="none" w:sz="0" w:space="0" w:color="auto"/>
        <w:right w:val="none" w:sz="0" w:space="0" w:color="auto"/>
      </w:divBdr>
    </w:div>
    <w:div w:id="83305605">
      <w:bodyDiv w:val="1"/>
      <w:marLeft w:val="0"/>
      <w:marRight w:val="0"/>
      <w:marTop w:val="0"/>
      <w:marBottom w:val="0"/>
      <w:divBdr>
        <w:top w:val="none" w:sz="0" w:space="0" w:color="auto"/>
        <w:left w:val="none" w:sz="0" w:space="0" w:color="auto"/>
        <w:bottom w:val="none" w:sz="0" w:space="0" w:color="auto"/>
        <w:right w:val="none" w:sz="0" w:space="0" w:color="auto"/>
      </w:divBdr>
    </w:div>
    <w:div w:id="83306063">
      <w:bodyDiv w:val="1"/>
      <w:marLeft w:val="0"/>
      <w:marRight w:val="0"/>
      <w:marTop w:val="0"/>
      <w:marBottom w:val="0"/>
      <w:divBdr>
        <w:top w:val="none" w:sz="0" w:space="0" w:color="auto"/>
        <w:left w:val="none" w:sz="0" w:space="0" w:color="auto"/>
        <w:bottom w:val="none" w:sz="0" w:space="0" w:color="auto"/>
        <w:right w:val="none" w:sz="0" w:space="0" w:color="auto"/>
      </w:divBdr>
    </w:div>
    <w:div w:id="83306882">
      <w:bodyDiv w:val="1"/>
      <w:marLeft w:val="0"/>
      <w:marRight w:val="0"/>
      <w:marTop w:val="0"/>
      <w:marBottom w:val="0"/>
      <w:divBdr>
        <w:top w:val="none" w:sz="0" w:space="0" w:color="auto"/>
        <w:left w:val="none" w:sz="0" w:space="0" w:color="auto"/>
        <w:bottom w:val="none" w:sz="0" w:space="0" w:color="auto"/>
        <w:right w:val="none" w:sz="0" w:space="0" w:color="auto"/>
      </w:divBdr>
    </w:div>
    <w:div w:id="83308121">
      <w:bodyDiv w:val="1"/>
      <w:marLeft w:val="0"/>
      <w:marRight w:val="0"/>
      <w:marTop w:val="0"/>
      <w:marBottom w:val="0"/>
      <w:divBdr>
        <w:top w:val="none" w:sz="0" w:space="0" w:color="auto"/>
        <w:left w:val="none" w:sz="0" w:space="0" w:color="auto"/>
        <w:bottom w:val="none" w:sz="0" w:space="0" w:color="auto"/>
        <w:right w:val="none" w:sz="0" w:space="0" w:color="auto"/>
      </w:divBdr>
    </w:div>
    <w:div w:id="83504357">
      <w:bodyDiv w:val="1"/>
      <w:marLeft w:val="0"/>
      <w:marRight w:val="0"/>
      <w:marTop w:val="0"/>
      <w:marBottom w:val="0"/>
      <w:divBdr>
        <w:top w:val="none" w:sz="0" w:space="0" w:color="auto"/>
        <w:left w:val="none" w:sz="0" w:space="0" w:color="auto"/>
        <w:bottom w:val="none" w:sz="0" w:space="0" w:color="auto"/>
        <w:right w:val="none" w:sz="0" w:space="0" w:color="auto"/>
      </w:divBdr>
    </w:div>
    <w:div w:id="83842415">
      <w:bodyDiv w:val="1"/>
      <w:marLeft w:val="0"/>
      <w:marRight w:val="0"/>
      <w:marTop w:val="0"/>
      <w:marBottom w:val="0"/>
      <w:divBdr>
        <w:top w:val="none" w:sz="0" w:space="0" w:color="auto"/>
        <w:left w:val="none" w:sz="0" w:space="0" w:color="auto"/>
        <w:bottom w:val="none" w:sz="0" w:space="0" w:color="auto"/>
        <w:right w:val="none" w:sz="0" w:space="0" w:color="auto"/>
      </w:divBdr>
    </w:div>
    <w:div w:id="83917385">
      <w:bodyDiv w:val="1"/>
      <w:marLeft w:val="0"/>
      <w:marRight w:val="0"/>
      <w:marTop w:val="0"/>
      <w:marBottom w:val="0"/>
      <w:divBdr>
        <w:top w:val="none" w:sz="0" w:space="0" w:color="auto"/>
        <w:left w:val="none" w:sz="0" w:space="0" w:color="auto"/>
        <w:bottom w:val="none" w:sz="0" w:space="0" w:color="auto"/>
        <w:right w:val="none" w:sz="0" w:space="0" w:color="auto"/>
      </w:divBdr>
    </w:div>
    <w:div w:id="83964023">
      <w:bodyDiv w:val="1"/>
      <w:marLeft w:val="0"/>
      <w:marRight w:val="0"/>
      <w:marTop w:val="0"/>
      <w:marBottom w:val="0"/>
      <w:divBdr>
        <w:top w:val="none" w:sz="0" w:space="0" w:color="auto"/>
        <w:left w:val="none" w:sz="0" w:space="0" w:color="auto"/>
        <w:bottom w:val="none" w:sz="0" w:space="0" w:color="auto"/>
        <w:right w:val="none" w:sz="0" w:space="0" w:color="auto"/>
      </w:divBdr>
    </w:div>
    <w:div w:id="84228892">
      <w:bodyDiv w:val="1"/>
      <w:marLeft w:val="0"/>
      <w:marRight w:val="0"/>
      <w:marTop w:val="0"/>
      <w:marBottom w:val="0"/>
      <w:divBdr>
        <w:top w:val="none" w:sz="0" w:space="0" w:color="auto"/>
        <w:left w:val="none" w:sz="0" w:space="0" w:color="auto"/>
        <w:bottom w:val="none" w:sz="0" w:space="0" w:color="auto"/>
        <w:right w:val="none" w:sz="0" w:space="0" w:color="auto"/>
      </w:divBdr>
    </w:div>
    <w:div w:id="84229387">
      <w:bodyDiv w:val="1"/>
      <w:marLeft w:val="0"/>
      <w:marRight w:val="0"/>
      <w:marTop w:val="0"/>
      <w:marBottom w:val="0"/>
      <w:divBdr>
        <w:top w:val="none" w:sz="0" w:space="0" w:color="auto"/>
        <w:left w:val="none" w:sz="0" w:space="0" w:color="auto"/>
        <w:bottom w:val="none" w:sz="0" w:space="0" w:color="auto"/>
        <w:right w:val="none" w:sz="0" w:space="0" w:color="auto"/>
      </w:divBdr>
    </w:div>
    <w:div w:id="84306812">
      <w:bodyDiv w:val="1"/>
      <w:marLeft w:val="0"/>
      <w:marRight w:val="0"/>
      <w:marTop w:val="0"/>
      <w:marBottom w:val="0"/>
      <w:divBdr>
        <w:top w:val="none" w:sz="0" w:space="0" w:color="auto"/>
        <w:left w:val="none" w:sz="0" w:space="0" w:color="auto"/>
        <w:bottom w:val="none" w:sz="0" w:space="0" w:color="auto"/>
        <w:right w:val="none" w:sz="0" w:space="0" w:color="auto"/>
      </w:divBdr>
    </w:div>
    <w:div w:id="84345686">
      <w:bodyDiv w:val="1"/>
      <w:marLeft w:val="0"/>
      <w:marRight w:val="0"/>
      <w:marTop w:val="0"/>
      <w:marBottom w:val="0"/>
      <w:divBdr>
        <w:top w:val="none" w:sz="0" w:space="0" w:color="auto"/>
        <w:left w:val="none" w:sz="0" w:space="0" w:color="auto"/>
        <w:bottom w:val="none" w:sz="0" w:space="0" w:color="auto"/>
        <w:right w:val="none" w:sz="0" w:space="0" w:color="auto"/>
      </w:divBdr>
    </w:div>
    <w:div w:id="84349936">
      <w:bodyDiv w:val="1"/>
      <w:marLeft w:val="0"/>
      <w:marRight w:val="0"/>
      <w:marTop w:val="0"/>
      <w:marBottom w:val="0"/>
      <w:divBdr>
        <w:top w:val="none" w:sz="0" w:space="0" w:color="auto"/>
        <w:left w:val="none" w:sz="0" w:space="0" w:color="auto"/>
        <w:bottom w:val="none" w:sz="0" w:space="0" w:color="auto"/>
        <w:right w:val="none" w:sz="0" w:space="0" w:color="auto"/>
      </w:divBdr>
    </w:div>
    <w:div w:id="84352046">
      <w:bodyDiv w:val="1"/>
      <w:marLeft w:val="0"/>
      <w:marRight w:val="0"/>
      <w:marTop w:val="0"/>
      <w:marBottom w:val="0"/>
      <w:divBdr>
        <w:top w:val="none" w:sz="0" w:space="0" w:color="auto"/>
        <w:left w:val="none" w:sz="0" w:space="0" w:color="auto"/>
        <w:bottom w:val="none" w:sz="0" w:space="0" w:color="auto"/>
        <w:right w:val="none" w:sz="0" w:space="0" w:color="auto"/>
      </w:divBdr>
    </w:div>
    <w:div w:id="84770369">
      <w:bodyDiv w:val="1"/>
      <w:marLeft w:val="0"/>
      <w:marRight w:val="0"/>
      <w:marTop w:val="0"/>
      <w:marBottom w:val="0"/>
      <w:divBdr>
        <w:top w:val="none" w:sz="0" w:space="0" w:color="auto"/>
        <w:left w:val="none" w:sz="0" w:space="0" w:color="auto"/>
        <w:bottom w:val="none" w:sz="0" w:space="0" w:color="auto"/>
        <w:right w:val="none" w:sz="0" w:space="0" w:color="auto"/>
      </w:divBdr>
    </w:div>
    <w:div w:id="84883978">
      <w:bodyDiv w:val="1"/>
      <w:marLeft w:val="0"/>
      <w:marRight w:val="0"/>
      <w:marTop w:val="0"/>
      <w:marBottom w:val="0"/>
      <w:divBdr>
        <w:top w:val="none" w:sz="0" w:space="0" w:color="auto"/>
        <w:left w:val="none" w:sz="0" w:space="0" w:color="auto"/>
        <w:bottom w:val="none" w:sz="0" w:space="0" w:color="auto"/>
        <w:right w:val="none" w:sz="0" w:space="0" w:color="auto"/>
      </w:divBdr>
    </w:div>
    <w:div w:id="85149634">
      <w:bodyDiv w:val="1"/>
      <w:marLeft w:val="0"/>
      <w:marRight w:val="0"/>
      <w:marTop w:val="0"/>
      <w:marBottom w:val="0"/>
      <w:divBdr>
        <w:top w:val="none" w:sz="0" w:space="0" w:color="auto"/>
        <w:left w:val="none" w:sz="0" w:space="0" w:color="auto"/>
        <w:bottom w:val="none" w:sz="0" w:space="0" w:color="auto"/>
        <w:right w:val="none" w:sz="0" w:space="0" w:color="auto"/>
      </w:divBdr>
    </w:div>
    <w:div w:id="85152089">
      <w:bodyDiv w:val="1"/>
      <w:marLeft w:val="0"/>
      <w:marRight w:val="0"/>
      <w:marTop w:val="0"/>
      <w:marBottom w:val="0"/>
      <w:divBdr>
        <w:top w:val="none" w:sz="0" w:space="0" w:color="auto"/>
        <w:left w:val="none" w:sz="0" w:space="0" w:color="auto"/>
        <w:bottom w:val="none" w:sz="0" w:space="0" w:color="auto"/>
        <w:right w:val="none" w:sz="0" w:space="0" w:color="auto"/>
      </w:divBdr>
    </w:div>
    <w:div w:id="85419338">
      <w:bodyDiv w:val="1"/>
      <w:marLeft w:val="0"/>
      <w:marRight w:val="0"/>
      <w:marTop w:val="0"/>
      <w:marBottom w:val="0"/>
      <w:divBdr>
        <w:top w:val="none" w:sz="0" w:space="0" w:color="auto"/>
        <w:left w:val="none" w:sz="0" w:space="0" w:color="auto"/>
        <w:bottom w:val="none" w:sz="0" w:space="0" w:color="auto"/>
        <w:right w:val="none" w:sz="0" w:space="0" w:color="auto"/>
      </w:divBdr>
    </w:div>
    <w:div w:id="85537036">
      <w:bodyDiv w:val="1"/>
      <w:marLeft w:val="0"/>
      <w:marRight w:val="0"/>
      <w:marTop w:val="0"/>
      <w:marBottom w:val="0"/>
      <w:divBdr>
        <w:top w:val="none" w:sz="0" w:space="0" w:color="auto"/>
        <w:left w:val="none" w:sz="0" w:space="0" w:color="auto"/>
        <w:bottom w:val="none" w:sz="0" w:space="0" w:color="auto"/>
        <w:right w:val="none" w:sz="0" w:space="0" w:color="auto"/>
      </w:divBdr>
    </w:div>
    <w:div w:id="85659334">
      <w:bodyDiv w:val="1"/>
      <w:marLeft w:val="0"/>
      <w:marRight w:val="0"/>
      <w:marTop w:val="0"/>
      <w:marBottom w:val="0"/>
      <w:divBdr>
        <w:top w:val="none" w:sz="0" w:space="0" w:color="auto"/>
        <w:left w:val="none" w:sz="0" w:space="0" w:color="auto"/>
        <w:bottom w:val="none" w:sz="0" w:space="0" w:color="auto"/>
        <w:right w:val="none" w:sz="0" w:space="0" w:color="auto"/>
      </w:divBdr>
    </w:div>
    <w:div w:id="85734821">
      <w:bodyDiv w:val="1"/>
      <w:marLeft w:val="0"/>
      <w:marRight w:val="0"/>
      <w:marTop w:val="0"/>
      <w:marBottom w:val="0"/>
      <w:divBdr>
        <w:top w:val="none" w:sz="0" w:space="0" w:color="auto"/>
        <w:left w:val="none" w:sz="0" w:space="0" w:color="auto"/>
        <w:bottom w:val="none" w:sz="0" w:space="0" w:color="auto"/>
        <w:right w:val="none" w:sz="0" w:space="0" w:color="auto"/>
      </w:divBdr>
    </w:div>
    <w:div w:id="85855487">
      <w:bodyDiv w:val="1"/>
      <w:marLeft w:val="0"/>
      <w:marRight w:val="0"/>
      <w:marTop w:val="0"/>
      <w:marBottom w:val="0"/>
      <w:divBdr>
        <w:top w:val="none" w:sz="0" w:space="0" w:color="auto"/>
        <w:left w:val="none" w:sz="0" w:space="0" w:color="auto"/>
        <w:bottom w:val="none" w:sz="0" w:space="0" w:color="auto"/>
        <w:right w:val="none" w:sz="0" w:space="0" w:color="auto"/>
      </w:divBdr>
    </w:div>
    <w:div w:id="85924350">
      <w:bodyDiv w:val="1"/>
      <w:marLeft w:val="0"/>
      <w:marRight w:val="0"/>
      <w:marTop w:val="0"/>
      <w:marBottom w:val="0"/>
      <w:divBdr>
        <w:top w:val="none" w:sz="0" w:space="0" w:color="auto"/>
        <w:left w:val="none" w:sz="0" w:space="0" w:color="auto"/>
        <w:bottom w:val="none" w:sz="0" w:space="0" w:color="auto"/>
        <w:right w:val="none" w:sz="0" w:space="0" w:color="auto"/>
      </w:divBdr>
    </w:div>
    <w:div w:id="86121532">
      <w:bodyDiv w:val="1"/>
      <w:marLeft w:val="0"/>
      <w:marRight w:val="0"/>
      <w:marTop w:val="0"/>
      <w:marBottom w:val="0"/>
      <w:divBdr>
        <w:top w:val="none" w:sz="0" w:space="0" w:color="auto"/>
        <w:left w:val="none" w:sz="0" w:space="0" w:color="auto"/>
        <w:bottom w:val="none" w:sz="0" w:space="0" w:color="auto"/>
        <w:right w:val="none" w:sz="0" w:space="0" w:color="auto"/>
      </w:divBdr>
    </w:div>
    <w:div w:id="86197855">
      <w:bodyDiv w:val="1"/>
      <w:marLeft w:val="0"/>
      <w:marRight w:val="0"/>
      <w:marTop w:val="0"/>
      <w:marBottom w:val="0"/>
      <w:divBdr>
        <w:top w:val="none" w:sz="0" w:space="0" w:color="auto"/>
        <w:left w:val="none" w:sz="0" w:space="0" w:color="auto"/>
        <w:bottom w:val="none" w:sz="0" w:space="0" w:color="auto"/>
        <w:right w:val="none" w:sz="0" w:space="0" w:color="auto"/>
      </w:divBdr>
    </w:div>
    <w:div w:id="86199999">
      <w:bodyDiv w:val="1"/>
      <w:marLeft w:val="0"/>
      <w:marRight w:val="0"/>
      <w:marTop w:val="0"/>
      <w:marBottom w:val="0"/>
      <w:divBdr>
        <w:top w:val="none" w:sz="0" w:space="0" w:color="auto"/>
        <w:left w:val="none" w:sz="0" w:space="0" w:color="auto"/>
        <w:bottom w:val="none" w:sz="0" w:space="0" w:color="auto"/>
        <w:right w:val="none" w:sz="0" w:space="0" w:color="auto"/>
      </w:divBdr>
    </w:div>
    <w:div w:id="86200913">
      <w:bodyDiv w:val="1"/>
      <w:marLeft w:val="0"/>
      <w:marRight w:val="0"/>
      <w:marTop w:val="0"/>
      <w:marBottom w:val="0"/>
      <w:divBdr>
        <w:top w:val="none" w:sz="0" w:space="0" w:color="auto"/>
        <w:left w:val="none" w:sz="0" w:space="0" w:color="auto"/>
        <w:bottom w:val="none" w:sz="0" w:space="0" w:color="auto"/>
        <w:right w:val="none" w:sz="0" w:space="0" w:color="auto"/>
      </w:divBdr>
    </w:div>
    <w:div w:id="86392027">
      <w:bodyDiv w:val="1"/>
      <w:marLeft w:val="0"/>
      <w:marRight w:val="0"/>
      <w:marTop w:val="0"/>
      <w:marBottom w:val="0"/>
      <w:divBdr>
        <w:top w:val="none" w:sz="0" w:space="0" w:color="auto"/>
        <w:left w:val="none" w:sz="0" w:space="0" w:color="auto"/>
        <w:bottom w:val="none" w:sz="0" w:space="0" w:color="auto"/>
        <w:right w:val="none" w:sz="0" w:space="0" w:color="auto"/>
      </w:divBdr>
    </w:div>
    <w:div w:id="86463315">
      <w:bodyDiv w:val="1"/>
      <w:marLeft w:val="0"/>
      <w:marRight w:val="0"/>
      <w:marTop w:val="0"/>
      <w:marBottom w:val="0"/>
      <w:divBdr>
        <w:top w:val="none" w:sz="0" w:space="0" w:color="auto"/>
        <w:left w:val="none" w:sz="0" w:space="0" w:color="auto"/>
        <w:bottom w:val="none" w:sz="0" w:space="0" w:color="auto"/>
        <w:right w:val="none" w:sz="0" w:space="0" w:color="auto"/>
      </w:divBdr>
    </w:div>
    <w:div w:id="86581817">
      <w:bodyDiv w:val="1"/>
      <w:marLeft w:val="0"/>
      <w:marRight w:val="0"/>
      <w:marTop w:val="0"/>
      <w:marBottom w:val="0"/>
      <w:divBdr>
        <w:top w:val="none" w:sz="0" w:space="0" w:color="auto"/>
        <w:left w:val="none" w:sz="0" w:space="0" w:color="auto"/>
        <w:bottom w:val="none" w:sz="0" w:space="0" w:color="auto"/>
        <w:right w:val="none" w:sz="0" w:space="0" w:color="auto"/>
      </w:divBdr>
    </w:div>
    <w:div w:id="86654249">
      <w:bodyDiv w:val="1"/>
      <w:marLeft w:val="0"/>
      <w:marRight w:val="0"/>
      <w:marTop w:val="0"/>
      <w:marBottom w:val="0"/>
      <w:divBdr>
        <w:top w:val="none" w:sz="0" w:space="0" w:color="auto"/>
        <w:left w:val="none" w:sz="0" w:space="0" w:color="auto"/>
        <w:bottom w:val="none" w:sz="0" w:space="0" w:color="auto"/>
        <w:right w:val="none" w:sz="0" w:space="0" w:color="auto"/>
      </w:divBdr>
    </w:div>
    <w:div w:id="86728581">
      <w:bodyDiv w:val="1"/>
      <w:marLeft w:val="0"/>
      <w:marRight w:val="0"/>
      <w:marTop w:val="0"/>
      <w:marBottom w:val="0"/>
      <w:divBdr>
        <w:top w:val="none" w:sz="0" w:space="0" w:color="auto"/>
        <w:left w:val="none" w:sz="0" w:space="0" w:color="auto"/>
        <w:bottom w:val="none" w:sz="0" w:space="0" w:color="auto"/>
        <w:right w:val="none" w:sz="0" w:space="0" w:color="auto"/>
      </w:divBdr>
    </w:div>
    <w:div w:id="87046643">
      <w:bodyDiv w:val="1"/>
      <w:marLeft w:val="0"/>
      <w:marRight w:val="0"/>
      <w:marTop w:val="0"/>
      <w:marBottom w:val="0"/>
      <w:divBdr>
        <w:top w:val="none" w:sz="0" w:space="0" w:color="auto"/>
        <w:left w:val="none" w:sz="0" w:space="0" w:color="auto"/>
        <w:bottom w:val="none" w:sz="0" w:space="0" w:color="auto"/>
        <w:right w:val="none" w:sz="0" w:space="0" w:color="auto"/>
      </w:divBdr>
    </w:div>
    <w:div w:id="87193976">
      <w:bodyDiv w:val="1"/>
      <w:marLeft w:val="0"/>
      <w:marRight w:val="0"/>
      <w:marTop w:val="0"/>
      <w:marBottom w:val="0"/>
      <w:divBdr>
        <w:top w:val="none" w:sz="0" w:space="0" w:color="auto"/>
        <w:left w:val="none" w:sz="0" w:space="0" w:color="auto"/>
        <w:bottom w:val="none" w:sz="0" w:space="0" w:color="auto"/>
        <w:right w:val="none" w:sz="0" w:space="0" w:color="auto"/>
      </w:divBdr>
    </w:div>
    <w:div w:id="87503101">
      <w:bodyDiv w:val="1"/>
      <w:marLeft w:val="0"/>
      <w:marRight w:val="0"/>
      <w:marTop w:val="0"/>
      <w:marBottom w:val="0"/>
      <w:divBdr>
        <w:top w:val="none" w:sz="0" w:space="0" w:color="auto"/>
        <w:left w:val="none" w:sz="0" w:space="0" w:color="auto"/>
        <w:bottom w:val="none" w:sz="0" w:space="0" w:color="auto"/>
        <w:right w:val="none" w:sz="0" w:space="0" w:color="auto"/>
      </w:divBdr>
    </w:div>
    <w:div w:id="87585554">
      <w:bodyDiv w:val="1"/>
      <w:marLeft w:val="0"/>
      <w:marRight w:val="0"/>
      <w:marTop w:val="0"/>
      <w:marBottom w:val="0"/>
      <w:divBdr>
        <w:top w:val="none" w:sz="0" w:space="0" w:color="auto"/>
        <w:left w:val="none" w:sz="0" w:space="0" w:color="auto"/>
        <w:bottom w:val="none" w:sz="0" w:space="0" w:color="auto"/>
        <w:right w:val="none" w:sz="0" w:space="0" w:color="auto"/>
      </w:divBdr>
    </w:div>
    <w:div w:id="87652605">
      <w:bodyDiv w:val="1"/>
      <w:marLeft w:val="0"/>
      <w:marRight w:val="0"/>
      <w:marTop w:val="0"/>
      <w:marBottom w:val="0"/>
      <w:divBdr>
        <w:top w:val="none" w:sz="0" w:space="0" w:color="auto"/>
        <w:left w:val="none" w:sz="0" w:space="0" w:color="auto"/>
        <w:bottom w:val="none" w:sz="0" w:space="0" w:color="auto"/>
        <w:right w:val="none" w:sz="0" w:space="0" w:color="auto"/>
      </w:divBdr>
    </w:div>
    <w:div w:id="87699534">
      <w:bodyDiv w:val="1"/>
      <w:marLeft w:val="0"/>
      <w:marRight w:val="0"/>
      <w:marTop w:val="0"/>
      <w:marBottom w:val="0"/>
      <w:divBdr>
        <w:top w:val="none" w:sz="0" w:space="0" w:color="auto"/>
        <w:left w:val="none" w:sz="0" w:space="0" w:color="auto"/>
        <w:bottom w:val="none" w:sz="0" w:space="0" w:color="auto"/>
        <w:right w:val="none" w:sz="0" w:space="0" w:color="auto"/>
      </w:divBdr>
    </w:div>
    <w:div w:id="87701007">
      <w:bodyDiv w:val="1"/>
      <w:marLeft w:val="0"/>
      <w:marRight w:val="0"/>
      <w:marTop w:val="0"/>
      <w:marBottom w:val="0"/>
      <w:divBdr>
        <w:top w:val="none" w:sz="0" w:space="0" w:color="auto"/>
        <w:left w:val="none" w:sz="0" w:space="0" w:color="auto"/>
        <w:bottom w:val="none" w:sz="0" w:space="0" w:color="auto"/>
        <w:right w:val="none" w:sz="0" w:space="0" w:color="auto"/>
      </w:divBdr>
    </w:div>
    <w:div w:id="87775206">
      <w:bodyDiv w:val="1"/>
      <w:marLeft w:val="0"/>
      <w:marRight w:val="0"/>
      <w:marTop w:val="0"/>
      <w:marBottom w:val="0"/>
      <w:divBdr>
        <w:top w:val="none" w:sz="0" w:space="0" w:color="auto"/>
        <w:left w:val="none" w:sz="0" w:space="0" w:color="auto"/>
        <w:bottom w:val="none" w:sz="0" w:space="0" w:color="auto"/>
        <w:right w:val="none" w:sz="0" w:space="0" w:color="auto"/>
      </w:divBdr>
    </w:div>
    <w:div w:id="87965673">
      <w:bodyDiv w:val="1"/>
      <w:marLeft w:val="0"/>
      <w:marRight w:val="0"/>
      <w:marTop w:val="0"/>
      <w:marBottom w:val="0"/>
      <w:divBdr>
        <w:top w:val="none" w:sz="0" w:space="0" w:color="auto"/>
        <w:left w:val="none" w:sz="0" w:space="0" w:color="auto"/>
        <w:bottom w:val="none" w:sz="0" w:space="0" w:color="auto"/>
        <w:right w:val="none" w:sz="0" w:space="0" w:color="auto"/>
      </w:divBdr>
    </w:div>
    <w:div w:id="87966236">
      <w:bodyDiv w:val="1"/>
      <w:marLeft w:val="0"/>
      <w:marRight w:val="0"/>
      <w:marTop w:val="0"/>
      <w:marBottom w:val="0"/>
      <w:divBdr>
        <w:top w:val="none" w:sz="0" w:space="0" w:color="auto"/>
        <w:left w:val="none" w:sz="0" w:space="0" w:color="auto"/>
        <w:bottom w:val="none" w:sz="0" w:space="0" w:color="auto"/>
        <w:right w:val="none" w:sz="0" w:space="0" w:color="auto"/>
      </w:divBdr>
    </w:div>
    <w:div w:id="88014907">
      <w:bodyDiv w:val="1"/>
      <w:marLeft w:val="0"/>
      <w:marRight w:val="0"/>
      <w:marTop w:val="0"/>
      <w:marBottom w:val="0"/>
      <w:divBdr>
        <w:top w:val="none" w:sz="0" w:space="0" w:color="auto"/>
        <w:left w:val="none" w:sz="0" w:space="0" w:color="auto"/>
        <w:bottom w:val="none" w:sz="0" w:space="0" w:color="auto"/>
        <w:right w:val="none" w:sz="0" w:space="0" w:color="auto"/>
      </w:divBdr>
    </w:div>
    <w:div w:id="88545752">
      <w:bodyDiv w:val="1"/>
      <w:marLeft w:val="0"/>
      <w:marRight w:val="0"/>
      <w:marTop w:val="0"/>
      <w:marBottom w:val="0"/>
      <w:divBdr>
        <w:top w:val="none" w:sz="0" w:space="0" w:color="auto"/>
        <w:left w:val="none" w:sz="0" w:space="0" w:color="auto"/>
        <w:bottom w:val="none" w:sz="0" w:space="0" w:color="auto"/>
        <w:right w:val="none" w:sz="0" w:space="0" w:color="auto"/>
      </w:divBdr>
    </w:div>
    <w:div w:id="88626474">
      <w:bodyDiv w:val="1"/>
      <w:marLeft w:val="0"/>
      <w:marRight w:val="0"/>
      <w:marTop w:val="0"/>
      <w:marBottom w:val="0"/>
      <w:divBdr>
        <w:top w:val="none" w:sz="0" w:space="0" w:color="auto"/>
        <w:left w:val="none" w:sz="0" w:space="0" w:color="auto"/>
        <w:bottom w:val="none" w:sz="0" w:space="0" w:color="auto"/>
        <w:right w:val="none" w:sz="0" w:space="0" w:color="auto"/>
      </w:divBdr>
    </w:div>
    <w:div w:id="88627183">
      <w:bodyDiv w:val="1"/>
      <w:marLeft w:val="0"/>
      <w:marRight w:val="0"/>
      <w:marTop w:val="0"/>
      <w:marBottom w:val="0"/>
      <w:divBdr>
        <w:top w:val="none" w:sz="0" w:space="0" w:color="auto"/>
        <w:left w:val="none" w:sz="0" w:space="0" w:color="auto"/>
        <w:bottom w:val="none" w:sz="0" w:space="0" w:color="auto"/>
        <w:right w:val="none" w:sz="0" w:space="0" w:color="auto"/>
      </w:divBdr>
    </w:div>
    <w:div w:id="88700072">
      <w:bodyDiv w:val="1"/>
      <w:marLeft w:val="0"/>
      <w:marRight w:val="0"/>
      <w:marTop w:val="0"/>
      <w:marBottom w:val="0"/>
      <w:divBdr>
        <w:top w:val="none" w:sz="0" w:space="0" w:color="auto"/>
        <w:left w:val="none" w:sz="0" w:space="0" w:color="auto"/>
        <w:bottom w:val="none" w:sz="0" w:space="0" w:color="auto"/>
        <w:right w:val="none" w:sz="0" w:space="0" w:color="auto"/>
      </w:divBdr>
    </w:div>
    <w:div w:id="88892274">
      <w:bodyDiv w:val="1"/>
      <w:marLeft w:val="0"/>
      <w:marRight w:val="0"/>
      <w:marTop w:val="0"/>
      <w:marBottom w:val="0"/>
      <w:divBdr>
        <w:top w:val="none" w:sz="0" w:space="0" w:color="auto"/>
        <w:left w:val="none" w:sz="0" w:space="0" w:color="auto"/>
        <w:bottom w:val="none" w:sz="0" w:space="0" w:color="auto"/>
        <w:right w:val="none" w:sz="0" w:space="0" w:color="auto"/>
      </w:divBdr>
    </w:div>
    <w:div w:id="88893497">
      <w:bodyDiv w:val="1"/>
      <w:marLeft w:val="0"/>
      <w:marRight w:val="0"/>
      <w:marTop w:val="0"/>
      <w:marBottom w:val="0"/>
      <w:divBdr>
        <w:top w:val="none" w:sz="0" w:space="0" w:color="auto"/>
        <w:left w:val="none" w:sz="0" w:space="0" w:color="auto"/>
        <w:bottom w:val="none" w:sz="0" w:space="0" w:color="auto"/>
        <w:right w:val="none" w:sz="0" w:space="0" w:color="auto"/>
      </w:divBdr>
    </w:div>
    <w:div w:id="89087962">
      <w:bodyDiv w:val="1"/>
      <w:marLeft w:val="0"/>
      <w:marRight w:val="0"/>
      <w:marTop w:val="0"/>
      <w:marBottom w:val="0"/>
      <w:divBdr>
        <w:top w:val="none" w:sz="0" w:space="0" w:color="auto"/>
        <w:left w:val="none" w:sz="0" w:space="0" w:color="auto"/>
        <w:bottom w:val="none" w:sz="0" w:space="0" w:color="auto"/>
        <w:right w:val="none" w:sz="0" w:space="0" w:color="auto"/>
      </w:divBdr>
    </w:div>
    <w:div w:id="89203251">
      <w:bodyDiv w:val="1"/>
      <w:marLeft w:val="0"/>
      <w:marRight w:val="0"/>
      <w:marTop w:val="0"/>
      <w:marBottom w:val="0"/>
      <w:divBdr>
        <w:top w:val="none" w:sz="0" w:space="0" w:color="auto"/>
        <w:left w:val="none" w:sz="0" w:space="0" w:color="auto"/>
        <w:bottom w:val="none" w:sz="0" w:space="0" w:color="auto"/>
        <w:right w:val="none" w:sz="0" w:space="0" w:color="auto"/>
      </w:divBdr>
    </w:div>
    <w:div w:id="89280643">
      <w:bodyDiv w:val="1"/>
      <w:marLeft w:val="0"/>
      <w:marRight w:val="0"/>
      <w:marTop w:val="0"/>
      <w:marBottom w:val="0"/>
      <w:divBdr>
        <w:top w:val="none" w:sz="0" w:space="0" w:color="auto"/>
        <w:left w:val="none" w:sz="0" w:space="0" w:color="auto"/>
        <w:bottom w:val="none" w:sz="0" w:space="0" w:color="auto"/>
        <w:right w:val="none" w:sz="0" w:space="0" w:color="auto"/>
      </w:divBdr>
    </w:div>
    <w:div w:id="89476260">
      <w:bodyDiv w:val="1"/>
      <w:marLeft w:val="0"/>
      <w:marRight w:val="0"/>
      <w:marTop w:val="0"/>
      <w:marBottom w:val="0"/>
      <w:divBdr>
        <w:top w:val="none" w:sz="0" w:space="0" w:color="auto"/>
        <w:left w:val="none" w:sz="0" w:space="0" w:color="auto"/>
        <w:bottom w:val="none" w:sz="0" w:space="0" w:color="auto"/>
        <w:right w:val="none" w:sz="0" w:space="0" w:color="auto"/>
      </w:divBdr>
    </w:div>
    <w:div w:id="89662649">
      <w:bodyDiv w:val="1"/>
      <w:marLeft w:val="0"/>
      <w:marRight w:val="0"/>
      <w:marTop w:val="0"/>
      <w:marBottom w:val="0"/>
      <w:divBdr>
        <w:top w:val="none" w:sz="0" w:space="0" w:color="auto"/>
        <w:left w:val="none" w:sz="0" w:space="0" w:color="auto"/>
        <w:bottom w:val="none" w:sz="0" w:space="0" w:color="auto"/>
        <w:right w:val="none" w:sz="0" w:space="0" w:color="auto"/>
      </w:divBdr>
    </w:div>
    <w:div w:id="89859345">
      <w:bodyDiv w:val="1"/>
      <w:marLeft w:val="0"/>
      <w:marRight w:val="0"/>
      <w:marTop w:val="0"/>
      <w:marBottom w:val="0"/>
      <w:divBdr>
        <w:top w:val="none" w:sz="0" w:space="0" w:color="auto"/>
        <w:left w:val="none" w:sz="0" w:space="0" w:color="auto"/>
        <w:bottom w:val="none" w:sz="0" w:space="0" w:color="auto"/>
        <w:right w:val="none" w:sz="0" w:space="0" w:color="auto"/>
      </w:divBdr>
    </w:div>
    <w:div w:id="90056389">
      <w:bodyDiv w:val="1"/>
      <w:marLeft w:val="0"/>
      <w:marRight w:val="0"/>
      <w:marTop w:val="0"/>
      <w:marBottom w:val="0"/>
      <w:divBdr>
        <w:top w:val="none" w:sz="0" w:space="0" w:color="auto"/>
        <w:left w:val="none" w:sz="0" w:space="0" w:color="auto"/>
        <w:bottom w:val="none" w:sz="0" w:space="0" w:color="auto"/>
        <w:right w:val="none" w:sz="0" w:space="0" w:color="auto"/>
      </w:divBdr>
    </w:div>
    <w:div w:id="90130603">
      <w:bodyDiv w:val="1"/>
      <w:marLeft w:val="0"/>
      <w:marRight w:val="0"/>
      <w:marTop w:val="0"/>
      <w:marBottom w:val="0"/>
      <w:divBdr>
        <w:top w:val="none" w:sz="0" w:space="0" w:color="auto"/>
        <w:left w:val="none" w:sz="0" w:space="0" w:color="auto"/>
        <w:bottom w:val="none" w:sz="0" w:space="0" w:color="auto"/>
        <w:right w:val="none" w:sz="0" w:space="0" w:color="auto"/>
      </w:divBdr>
    </w:div>
    <w:div w:id="90199459">
      <w:bodyDiv w:val="1"/>
      <w:marLeft w:val="0"/>
      <w:marRight w:val="0"/>
      <w:marTop w:val="0"/>
      <w:marBottom w:val="0"/>
      <w:divBdr>
        <w:top w:val="none" w:sz="0" w:space="0" w:color="auto"/>
        <w:left w:val="none" w:sz="0" w:space="0" w:color="auto"/>
        <w:bottom w:val="none" w:sz="0" w:space="0" w:color="auto"/>
        <w:right w:val="none" w:sz="0" w:space="0" w:color="auto"/>
      </w:divBdr>
    </w:div>
    <w:div w:id="90273921">
      <w:bodyDiv w:val="1"/>
      <w:marLeft w:val="0"/>
      <w:marRight w:val="0"/>
      <w:marTop w:val="0"/>
      <w:marBottom w:val="0"/>
      <w:divBdr>
        <w:top w:val="none" w:sz="0" w:space="0" w:color="auto"/>
        <w:left w:val="none" w:sz="0" w:space="0" w:color="auto"/>
        <w:bottom w:val="none" w:sz="0" w:space="0" w:color="auto"/>
        <w:right w:val="none" w:sz="0" w:space="0" w:color="auto"/>
      </w:divBdr>
    </w:div>
    <w:div w:id="90467041">
      <w:bodyDiv w:val="1"/>
      <w:marLeft w:val="0"/>
      <w:marRight w:val="0"/>
      <w:marTop w:val="0"/>
      <w:marBottom w:val="0"/>
      <w:divBdr>
        <w:top w:val="none" w:sz="0" w:space="0" w:color="auto"/>
        <w:left w:val="none" w:sz="0" w:space="0" w:color="auto"/>
        <w:bottom w:val="none" w:sz="0" w:space="0" w:color="auto"/>
        <w:right w:val="none" w:sz="0" w:space="0" w:color="auto"/>
      </w:divBdr>
    </w:div>
    <w:div w:id="90589686">
      <w:bodyDiv w:val="1"/>
      <w:marLeft w:val="0"/>
      <w:marRight w:val="0"/>
      <w:marTop w:val="0"/>
      <w:marBottom w:val="0"/>
      <w:divBdr>
        <w:top w:val="none" w:sz="0" w:space="0" w:color="auto"/>
        <w:left w:val="none" w:sz="0" w:space="0" w:color="auto"/>
        <w:bottom w:val="none" w:sz="0" w:space="0" w:color="auto"/>
        <w:right w:val="none" w:sz="0" w:space="0" w:color="auto"/>
      </w:divBdr>
    </w:div>
    <w:div w:id="90591209">
      <w:bodyDiv w:val="1"/>
      <w:marLeft w:val="0"/>
      <w:marRight w:val="0"/>
      <w:marTop w:val="0"/>
      <w:marBottom w:val="0"/>
      <w:divBdr>
        <w:top w:val="none" w:sz="0" w:space="0" w:color="auto"/>
        <w:left w:val="none" w:sz="0" w:space="0" w:color="auto"/>
        <w:bottom w:val="none" w:sz="0" w:space="0" w:color="auto"/>
        <w:right w:val="none" w:sz="0" w:space="0" w:color="auto"/>
      </w:divBdr>
    </w:div>
    <w:div w:id="90778813">
      <w:bodyDiv w:val="1"/>
      <w:marLeft w:val="0"/>
      <w:marRight w:val="0"/>
      <w:marTop w:val="0"/>
      <w:marBottom w:val="0"/>
      <w:divBdr>
        <w:top w:val="none" w:sz="0" w:space="0" w:color="auto"/>
        <w:left w:val="none" w:sz="0" w:space="0" w:color="auto"/>
        <w:bottom w:val="none" w:sz="0" w:space="0" w:color="auto"/>
        <w:right w:val="none" w:sz="0" w:space="0" w:color="auto"/>
      </w:divBdr>
    </w:div>
    <w:div w:id="91240738">
      <w:bodyDiv w:val="1"/>
      <w:marLeft w:val="0"/>
      <w:marRight w:val="0"/>
      <w:marTop w:val="0"/>
      <w:marBottom w:val="0"/>
      <w:divBdr>
        <w:top w:val="none" w:sz="0" w:space="0" w:color="auto"/>
        <w:left w:val="none" w:sz="0" w:space="0" w:color="auto"/>
        <w:bottom w:val="none" w:sz="0" w:space="0" w:color="auto"/>
        <w:right w:val="none" w:sz="0" w:space="0" w:color="auto"/>
      </w:divBdr>
    </w:div>
    <w:div w:id="91321614">
      <w:bodyDiv w:val="1"/>
      <w:marLeft w:val="0"/>
      <w:marRight w:val="0"/>
      <w:marTop w:val="0"/>
      <w:marBottom w:val="0"/>
      <w:divBdr>
        <w:top w:val="none" w:sz="0" w:space="0" w:color="auto"/>
        <w:left w:val="none" w:sz="0" w:space="0" w:color="auto"/>
        <w:bottom w:val="none" w:sz="0" w:space="0" w:color="auto"/>
        <w:right w:val="none" w:sz="0" w:space="0" w:color="auto"/>
      </w:divBdr>
    </w:div>
    <w:div w:id="91363234">
      <w:bodyDiv w:val="1"/>
      <w:marLeft w:val="0"/>
      <w:marRight w:val="0"/>
      <w:marTop w:val="0"/>
      <w:marBottom w:val="0"/>
      <w:divBdr>
        <w:top w:val="none" w:sz="0" w:space="0" w:color="auto"/>
        <w:left w:val="none" w:sz="0" w:space="0" w:color="auto"/>
        <w:bottom w:val="none" w:sz="0" w:space="0" w:color="auto"/>
        <w:right w:val="none" w:sz="0" w:space="0" w:color="auto"/>
      </w:divBdr>
    </w:div>
    <w:div w:id="91440033">
      <w:bodyDiv w:val="1"/>
      <w:marLeft w:val="0"/>
      <w:marRight w:val="0"/>
      <w:marTop w:val="0"/>
      <w:marBottom w:val="0"/>
      <w:divBdr>
        <w:top w:val="none" w:sz="0" w:space="0" w:color="auto"/>
        <w:left w:val="none" w:sz="0" w:space="0" w:color="auto"/>
        <w:bottom w:val="none" w:sz="0" w:space="0" w:color="auto"/>
        <w:right w:val="none" w:sz="0" w:space="0" w:color="auto"/>
      </w:divBdr>
    </w:div>
    <w:div w:id="91510211">
      <w:bodyDiv w:val="1"/>
      <w:marLeft w:val="0"/>
      <w:marRight w:val="0"/>
      <w:marTop w:val="0"/>
      <w:marBottom w:val="0"/>
      <w:divBdr>
        <w:top w:val="none" w:sz="0" w:space="0" w:color="auto"/>
        <w:left w:val="none" w:sz="0" w:space="0" w:color="auto"/>
        <w:bottom w:val="none" w:sz="0" w:space="0" w:color="auto"/>
        <w:right w:val="none" w:sz="0" w:space="0" w:color="auto"/>
      </w:divBdr>
    </w:div>
    <w:div w:id="91584553">
      <w:bodyDiv w:val="1"/>
      <w:marLeft w:val="0"/>
      <w:marRight w:val="0"/>
      <w:marTop w:val="0"/>
      <w:marBottom w:val="0"/>
      <w:divBdr>
        <w:top w:val="none" w:sz="0" w:space="0" w:color="auto"/>
        <w:left w:val="none" w:sz="0" w:space="0" w:color="auto"/>
        <w:bottom w:val="none" w:sz="0" w:space="0" w:color="auto"/>
        <w:right w:val="none" w:sz="0" w:space="0" w:color="auto"/>
      </w:divBdr>
    </w:div>
    <w:div w:id="91585319">
      <w:bodyDiv w:val="1"/>
      <w:marLeft w:val="0"/>
      <w:marRight w:val="0"/>
      <w:marTop w:val="0"/>
      <w:marBottom w:val="0"/>
      <w:divBdr>
        <w:top w:val="none" w:sz="0" w:space="0" w:color="auto"/>
        <w:left w:val="none" w:sz="0" w:space="0" w:color="auto"/>
        <w:bottom w:val="none" w:sz="0" w:space="0" w:color="auto"/>
        <w:right w:val="none" w:sz="0" w:space="0" w:color="auto"/>
      </w:divBdr>
    </w:div>
    <w:div w:id="91752879">
      <w:bodyDiv w:val="1"/>
      <w:marLeft w:val="0"/>
      <w:marRight w:val="0"/>
      <w:marTop w:val="0"/>
      <w:marBottom w:val="0"/>
      <w:divBdr>
        <w:top w:val="none" w:sz="0" w:space="0" w:color="auto"/>
        <w:left w:val="none" w:sz="0" w:space="0" w:color="auto"/>
        <w:bottom w:val="none" w:sz="0" w:space="0" w:color="auto"/>
        <w:right w:val="none" w:sz="0" w:space="0" w:color="auto"/>
      </w:divBdr>
    </w:div>
    <w:div w:id="91977011">
      <w:bodyDiv w:val="1"/>
      <w:marLeft w:val="0"/>
      <w:marRight w:val="0"/>
      <w:marTop w:val="0"/>
      <w:marBottom w:val="0"/>
      <w:divBdr>
        <w:top w:val="none" w:sz="0" w:space="0" w:color="auto"/>
        <w:left w:val="none" w:sz="0" w:space="0" w:color="auto"/>
        <w:bottom w:val="none" w:sz="0" w:space="0" w:color="auto"/>
        <w:right w:val="none" w:sz="0" w:space="0" w:color="auto"/>
      </w:divBdr>
    </w:div>
    <w:div w:id="92284540">
      <w:bodyDiv w:val="1"/>
      <w:marLeft w:val="0"/>
      <w:marRight w:val="0"/>
      <w:marTop w:val="0"/>
      <w:marBottom w:val="0"/>
      <w:divBdr>
        <w:top w:val="none" w:sz="0" w:space="0" w:color="auto"/>
        <w:left w:val="none" w:sz="0" w:space="0" w:color="auto"/>
        <w:bottom w:val="none" w:sz="0" w:space="0" w:color="auto"/>
        <w:right w:val="none" w:sz="0" w:space="0" w:color="auto"/>
      </w:divBdr>
    </w:div>
    <w:div w:id="92286099">
      <w:bodyDiv w:val="1"/>
      <w:marLeft w:val="0"/>
      <w:marRight w:val="0"/>
      <w:marTop w:val="0"/>
      <w:marBottom w:val="0"/>
      <w:divBdr>
        <w:top w:val="none" w:sz="0" w:space="0" w:color="auto"/>
        <w:left w:val="none" w:sz="0" w:space="0" w:color="auto"/>
        <w:bottom w:val="none" w:sz="0" w:space="0" w:color="auto"/>
        <w:right w:val="none" w:sz="0" w:space="0" w:color="auto"/>
      </w:divBdr>
    </w:div>
    <w:div w:id="92288743">
      <w:bodyDiv w:val="1"/>
      <w:marLeft w:val="0"/>
      <w:marRight w:val="0"/>
      <w:marTop w:val="0"/>
      <w:marBottom w:val="0"/>
      <w:divBdr>
        <w:top w:val="none" w:sz="0" w:space="0" w:color="auto"/>
        <w:left w:val="none" w:sz="0" w:space="0" w:color="auto"/>
        <w:bottom w:val="none" w:sz="0" w:space="0" w:color="auto"/>
        <w:right w:val="none" w:sz="0" w:space="0" w:color="auto"/>
      </w:divBdr>
    </w:div>
    <w:div w:id="92552228">
      <w:bodyDiv w:val="1"/>
      <w:marLeft w:val="0"/>
      <w:marRight w:val="0"/>
      <w:marTop w:val="0"/>
      <w:marBottom w:val="0"/>
      <w:divBdr>
        <w:top w:val="none" w:sz="0" w:space="0" w:color="auto"/>
        <w:left w:val="none" w:sz="0" w:space="0" w:color="auto"/>
        <w:bottom w:val="none" w:sz="0" w:space="0" w:color="auto"/>
        <w:right w:val="none" w:sz="0" w:space="0" w:color="auto"/>
      </w:divBdr>
    </w:div>
    <w:div w:id="92630604">
      <w:bodyDiv w:val="1"/>
      <w:marLeft w:val="0"/>
      <w:marRight w:val="0"/>
      <w:marTop w:val="0"/>
      <w:marBottom w:val="0"/>
      <w:divBdr>
        <w:top w:val="none" w:sz="0" w:space="0" w:color="auto"/>
        <w:left w:val="none" w:sz="0" w:space="0" w:color="auto"/>
        <w:bottom w:val="none" w:sz="0" w:space="0" w:color="auto"/>
        <w:right w:val="none" w:sz="0" w:space="0" w:color="auto"/>
      </w:divBdr>
    </w:div>
    <w:div w:id="92670772">
      <w:bodyDiv w:val="1"/>
      <w:marLeft w:val="0"/>
      <w:marRight w:val="0"/>
      <w:marTop w:val="0"/>
      <w:marBottom w:val="0"/>
      <w:divBdr>
        <w:top w:val="none" w:sz="0" w:space="0" w:color="auto"/>
        <w:left w:val="none" w:sz="0" w:space="0" w:color="auto"/>
        <w:bottom w:val="none" w:sz="0" w:space="0" w:color="auto"/>
        <w:right w:val="none" w:sz="0" w:space="0" w:color="auto"/>
      </w:divBdr>
    </w:div>
    <w:div w:id="92744790">
      <w:bodyDiv w:val="1"/>
      <w:marLeft w:val="0"/>
      <w:marRight w:val="0"/>
      <w:marTop w:val="0"/>
      <w:marBottom w:val="0"/>
      <w:divBdr>
        <w:top w:val="none" w:sz="0" w:space="0" w:color="auto"/>
        <w:left w:val="none" w:sz="0" w:space="0" w:color="auto"/>
        <w:bottom w:val="none" w:sz="0" w:space="0" w:color="auto"/>
        <w:right w:val="none" w:sz="0" w:space="0" w:color="auto"/>
      </w:divBdr>
    </w:div>
    <w:div w:id="92749937">
      <w:bodyDiv w:val="1"/>
      <w:marLeft w:val="0"/>
      <w:marRight w:val="0"/>
      <w:marTop w:val="0"/>
      <w:marBottom w:val="0"/>
      <w:divBdr>
        <w:top w:val="none" w:sz="0" w:space="0" w:color="auto"/>
        <w:left w:val="none" w:sz="0" w:space="0" w:color="auto"/>
        <w:bottom w:val="none" w:sz="0" w:space="0" w:color="auto"/>
        <w:right w:val="none" w:sz="0" w:space="0" w:color="auto"/>
      </w:divBdr>
    </w:div>
    <w:div w:id="92944802">
      <w:bodyDiv w:val="1"/>
      <w:marLeft w:val="0"/>
      <w:marRight w:val="0"/>
      <w:marTop w:val="0"/>
      <w:marBottom w:val="0"/>
      <w:divBdr>
        <w:top w:val="none" w:sz="0" w:space="0" w:color="auto"/>
        <w:left w:val="none" w:sz="0" w:space="0" w:color="auto"/>
        <w:bottom w:val="none" w:sz="0" w:space="0" w:color="auto"/>
        <w:right w:val="none" w:sz="0" w:space="0" w:color="auto"/>
      </w:divBdr>
    </w:div>
    <w:div w:id="92945680">
      <w:bodyDiv w:val="1"/>
      <w:marLeft w:val="0"/>
      <w:marRight w:val="0"/>
      <w:marTop w:val="0"/>
      <w:marBottom w:val="0"/>
      <w:divBdr>
        <w:top w:val="none" w:sz="0" w:space="0" w:color="auto"/>
        <w:left w:val="none" w:sz="0" w:space="0" w:color="auto"/>
        <w:bottom w:val="none" w:sz="0" w:space="0" w:color="auto"/>
        <w:right w:val="none" w:sz="0" w:space="0" w:color="auto"/>
      </w:divBdr>
    </w:div>
    <w:div w:id="93061269">
      <w:bodyDiv w:val="1"/>
      <w:marLeft w:val="0"/>
      <w:marRight w:val="0"/>
      <w:marTop w:val="0"/>
      <w:marBottom w:val="0"/>
      <w:divBdr>
        <w:top w:val="none" w:sz="0" w:space="0" w:color="auto"/>
        <w:left w:val="none" w:sz="0" w:space="0" w:color="auto"/>
        <w:bottom w:val="none" w:sz="0" w:space="0" w:color="auto"/>
        <w:right w:val="none" w:sz="0" w:space="0" w:color="auto"/>
      </w:divBdr>
    </w:div>
    <w:div w:id="93093214">
      <w:bodyDiv w:val="1"/>
      <w:marLeft w:val="0"/>
      <w:marRight w:val="0"/>
      <w:marTop w:val="0"/>
      <w:marBottom w:val="0"/>
      <w:divBdr>
        <w:top w:val="none" w:sz="0" w:space="0" w:color="auto"/>
        <w:left w:val="none" w:sz="0" w:space="0" w:color="auto"/>
        <w:bottom w:val="none" w:sz="0" w:space="0" w:color="auto"/>
        <w:right w:val="none" w:sz="0" w:space="0" w:color="auto"/>
      </w:divBdr>
    </w:div>
    <w:div w:id="93132135">
      <w:bodyDiv w:val="1"/>
      <w:marLeft w:val="0"/>
      <w:marRight w:val="0"/>
      <w:marTop w:val="0"/>
      <w:marBottom w:val="0"/>
      <w:divBdr>
        <w:top w:val="none" w:sz="0" w:space="0" w:color="auto"/>
        <w:left w:val="none" w:sz="0" w:space="0" w:color="auto"/>
        <w:bottom w:val="none" w:sz="0" w:space="0" w:color="auto"/>
        <w:right w:val="none" w:sz="0" w:space="0" w:color="auto"/>
      </w:divBdr>
    </w:div>
    <w:div w:id="93133896">
      <w:bodyDiv w:val="1"/>
      <w:marLeft w:val="0"/>
      <w:marRight w:val="0"/>
      <w:marTop w:val="0"/>
      <w:marBottom w:val="0"/>
      <w:divBdr>
        <w:top w:val="none" w:sz="0" w:space="0" w:color="auto"/>
        <w:left w:val="none" w:sz="0" w:space="0" w:color="auto"/>
        <w:bottom w:val="none" w:sz="0" w:space="0" w:color="auto"/>
        <w:right w:val="none" w:sz="0" w:space="0" w:color="auto"/>
      </w:divBdr>
    </w:div>
    <w:div w:id="93209058">
      <w:bodyDiv w:val="1"/>
      <w:marLeft w:val="0"/>
      <w:marRight w:val="0"/>
      <w:marTop w:val="0"/>
      <w:marBottom w:val="0"/>
      <w:divBdr>
        <w:top w:val="none" w:sz="0" w:space="0" w:color="auto"/>
        <w:left w:val="none" w:sz="0" w:space="0" w:color="auto"/>
        <w:bottom w:val="none" w:sz="0" w:space="0" w:color="auto"/>
        <w:right w:val="none" w:sz="0" w:space="0" w:color="auto"/>
      </w:divBdr>
    </w:div>
    <w:div w:id="93287730">
      <w:bodyDiv w:val="1"/>
      <w:marLeft w:val="0"/>
      <w:marRight w:val="0"/>
      <w:marTop w:val="0"/>
      <w:marBottom w:val="0"/>
      <w:divBdr>
        <w:top w:val="none" w:sz="0" w:space="0" w:color="auto"/>
        <w:left w:val="none" w:sz="0" w:space="0" w:color="auto"/>
        <w:bottom w:val="none" w:sz="0" w:space="0" w:color="auto"/>
        <w:right w:val="none" w:sz="0" w:space="0" w:color="auto"/>
      </w:divBdr>
    </w:div>
    <w:div w:id="93480018">
      <w:bodyDiv w:val="1"/>
      <w:marLeft w:val="0"/>
      <w:marRight w:val="0"/>
      <w:marTop w:val="0"/>
      <w:marBottom w:val="0"/>
      <w:divBdr>
        <w:top w:val="none" w:sz="0" w:space="0" w:color="auto"/>
        <w:left w:val="none" w:sz="0" w:space="0" w:color="auto"/>
        <w:bottom w:val="none" w:sz="0" w:space="0" w:color="auto"/>
        <w:right w:val="none" w:sz="0" w:space="0" w:color="auto"/>
      </w:divBdr>
    </w:div>
    <w:div w:id="93525915">
      <w:bodyDiv w:val="1"/>
      <w:marLeft w:val="0"/>
      <w:marRight w:val="0"/>
      <w:marTop w:val="0"/>
      <w:marBottom w:val="0"/>
      <w:divBdr>
        <w:top w:val="none" w:sz="0" w:space="0" w:color="auto"/>
        <w:left w:val="none" w:sz="0" w:space="0" w:color="auto"/>
        <w:bottom w:val="none" w:sz="0" w:space="0" w:color="auto"/>
        <w:right w:val="none" w:sz="0" w:space="0" w:color="auto"/>
      </w:divBdr>
    </w:div>
    <w:div w:id="93787647">
      <w:bodyDiv w:val="1"/>
      <w:marLeft w:val="0"/>
      <w:marRight w:val="0"/>
      <w:marTop w:val="0"/>
      <w:marBottom w:val="0"/>
      <w:divBdr>
        <w:top w:val="none" w:sz="0" w:space="0" w:color="auto"/>
        <w:left w:val="none" w:sz="0" w:space="0" w:color="auto"/>
        <w:bottom w:val="none" w:sz="0" w:space="0" w:color="auto"/>
        <w:right w:val="none" w:sz="0" w:space="0" w:color="auto"/>
      </w:divBdr>
    </w:div>
    <w:div w:id="94063667">
      <w:bodyDiv w:val="1"/>
      <w:marLeft w:val="0"/>
      <w:marRight w:val="0"/>
      <w:marTop w:val="0"/>
      <w:marBottom w:val="0"/>
      <w:divBdr>
        <w:top w:val="none" w:sz="0" w:space="0" w:color="auto"/>
        <w:left w:val="none" w:sz="0" w:space="0" w:color="auto"/>
        <w:bottom w:val="none" w:sz="0" w:space="0" w:color="auto"/>
        <w:right w:val="none" w:sz="0" w:space="0" w:color="auto"/>
      </w:divBdr>
    </w:div>
    <w:div w:id="94255079">
      <w:bodyDiv w:val="1"/>
      <w:marLeft w:val="0"/>
      <w:marRight w:val="0"/>
      <w:marTop w:val="0"/>
      <w:marBottom w:val="0"/>
      <w:divBdr>
        <w:top w:val="none" w:sz="0" w:space="0" w:color="auto"/>
        <w:left w:val="none" w:sz="0" w:space="0" w:color="auto"/>
        <w:bottom w:val="none" w:sz="0" w:space="0" w:color="auto"/>
        <w:right w:val="none" w:sz="0" w:space="0" w:color="auto"/>
      </w:divBdr>
    </w:div>
    <w:div w:id="94255584">
      <w:bodyDiv w:val="1"/>
      <w:marLeft w:val="0"/>
      <w:marRight w:val="0"/>
      <w:marTop w:val="0"/>
      <w:marBottom w:val="0"/>
      <w:divBdr>
        <w:top w:val="none" w:sz="0" w:space="0" w:color="auto"/>
        <w:left w:val="none" w:sz="0" w:space="0" w:color="auto"/>
        <w:bottom w:val="none" w:sz="0" w:space="0" w:color="auto"/>
        <w:right w:val="none" w:sz="0" w:space="0" w:color="auto"/>
      </w:divBdr>
    </w:div>
    <w:div w:id="94330102">
      <w:bodyDiv w:val="1"/>
      <w:marLeft w:val="0"/>
      <w:marRight w:val="0"/>
      <w:marTop w:val="0"/>
      <w:marBottom w:val="0"/>
      <w:divBdr>
        <w:top w:val="none" w:sz="0" w:space="0" w:color="auto"/>
        <w:left w:val="none" w:sz="0" w:space="0" w:color="auto"/>
        <w:bottom w:val="none" w:sz="0" w:space="0" w:color="auto"/>
        <w:right w:val="none" w:sz="0" w:space="0" w:color="auto"/>
      </w:divBdr>
    </w:div>
    <w:div w:id="94520562">
      <w:bodyDiv w:val="1"/>
      <w:marLeft w:val="0"/>
      <w:marRight w:val="0"/>
      <w:marTop w:val="0"/>
      <w:marBottom w:val="0"/>
      <w:divBdr>
        <w:top w:val="none" w:sz="0" w:space="0" w:color="auto"/>
        <w:left w:val="none" w:sz="0" w:space="0" w:color="auto"/>
        <w:bottom w:val="none" w:sz="0" w:space="0" w:color="auto"/>
        <w:right w:val="none" w:sz="0" w:space="0" w:color="auto"/>
      </w:divBdr>
    </w:div>
    <w:div w:id="94521107">
      <w:bodyDiv w:val="1"/>
      <w:marLeft w:val="0"/>
      <w:marRight w:val="0"/>
      <w:marTop w:val="0"/>
      <w:marBottom w:val="0"/>
      <w:divBdr>
        <w:top w:val="none" w:sz="0" w:space="0" w:color="auto"/>
        <w:left w:val="none" w:sz="0" w:space="0" w:color="auto"/>
        <w:bottom w:val="none" w:sz="0" w:space="0" w:color="auto"/>
        <w:right w:val="none" w:sz="0" w:space="0" w:color="auto"/>
      </w:divBdr>
    </w:div>
    <w:div w:id="94979687">
      <w:bodyDiv w:val="1"/>
      <w:marLeft w:val="0"/>
      <w:marRight w:val="0"/>
      <w:marTop w:val="0"/>
      <w:marBottom w:val="0"/>
      <w:divBdr>
        <w:top w:val="none" w:sz="0" w:space="0" w:color="auto"/>
        <w:left w:val="none" w:sz="0" w:space="0" w:color="auto"/>
        <w:bottom w:val="none" w:sz="0" w:space="0" w:color="auto"/>
        <w:right w:val="none" w:sz="0" w:space="0" w:color="auto"/>
      </w:divBdr>
    </w:div>
    <w:div w:id="94981068">
      <w:bodyDiv w:val="1"/>
      <w:marLeft w:val="0"/>
      <w:marRight w:val="0"/>
      <w:marTop w:val="0"/>
      <w:marBottom w:val="0"/>
      <w:divBdr>
        <w:top w:val="none" w:sz="0" w:space="0" w:color="auto"/>
        <w:left w:val="none" w:sz="0" w:space="0" w:color="auto"/>
        <w:bottom w:val="none" w:sz="0" w:space="0" w:color="auto"/>
        <w:right w:val="none" w:sz="0" w:space="0" w:color="auto"/>
      </w:divBdr>
    </w:div>
    <w:div w:id="94982803">
      <w:bodyDiv w:val="1"/>
      <w:marLeft w:val="0"/>
      <w:marRight w:val="0"/>
      <w:marTop w:val="0"/>
      <w:marBottom w:val="0"/>
      <w:divBdr>
        <w:top w:val="none" w:sz="0" w:space="0" w:color="auto"/>
        <w:left w:val="none" w:sz="0" w:space="0" w:color="auto"/>
        <w:bottom w:val="none" w:sz="0" w:space="0" w:color="auto"/>
        <w:right w:val="none" w:sz="0" w:space="0" w:color="auto"/>
      </w:divBdr>
    </w:div>
    <w:div w:id="95054558">
      <w:bodyDiv w:val="1"/>
      <w:marLeft w:val="0"/>
      <w:marRight w:val="0"/>
      <w:marTop w:val="0"/>
      <w:marBottom w:val="0"/>
      <w:divBdr>
        <w:top w:val="none" w:sz="0" w:space="0" w:color="auto"/>
        <w:left w:val="none" w:sz="0" w:space="0" w:color="auto"/>
        <w:bottom w:val="none" w:sz="0" w:space="0" w:color="auto"/>
        <w:right w:val="none" w:sz="0" w:space="0" w:color="auto"/>
      </w:divBdr>
    </w:div>
    <w:div w:id="95099415">
      <w:bodyDiv w:val="1"/>
      <w:marLeft w:val="0"/>
      <w:marRight w:val="0"/>
      <w:marTop w:val="0"/>
      <w:marBottom w:val="0"/>
      <w:divBdr>
        <w:top w:val="none" w:sz="0" w:space="0" w:color="auto"/>
        <w:left w:val="none" w:sz="0" w:space="0" w:color="auto"/>
        <w:bottom w:val="none" w:sz="0" w:space="0" w:color="auto"/>
        <w:right w:val="none" w:sz="0" w:space="0" w:color="auto"/>
      </w:divBdr>
    </w:div>
    <w:div w:id="95753294">
      <w:bodyDiv w:val="1"/>
      <w:marLeft w:val="0"/>
      <w:marRight w:val="0"/>
      <w:marTop w:val="0"/>
      <w:marBottom w:val="0"/>
      <w:divBdr>
        <w:top w:val="none" w:sz="0" w:space="0" w:color="auto"/>
        <w:left w:val="none" w:sz="0" w:space="0" w:color="auto"/>
        <w:bottom w:val="none" w:sz="0" w:space="0" w:color="auto"/>
        <w:right w:val="none" w:sz="0" w:space="0" w:color="auto"/>
      </w:divBdr>
    </w:div>
    <w:div w:id="95754296">
      <w:bodyDiv w:val="1"/>
      <w:marLeft w:val="0"/>
      <w:marRight w:val="0"/>
      <w:marTop w:val="0"/>
      <w:marBottom w:val="0"/>
      <w:divBdr>
        <w:top w:val="none" w:sz="0" w:space="0" w:color="auto"/>
        <w:left w:val="none" w:sz="0" w:space="0" w:color="auto"/>
        <w:bottom w:val="none" w:sz="0" w:space="0" w:color="auto"/>
        <w:right w:val="none" w:sz="0" w:space="0" w:color="auto"/>
      </w:divBdr>
    </w:div>
    <w:div w:id="96021142">
      <w:bodyDiv w:val="1"/>
      <w:marLeft w:val="0"/>
      <w:marRight w:val="0"/>
      <w:marTop w:val="0"/>
      <w:marBottom w:val="0"/>
      <w:divBdr>
        <w:top w:val="none" w:sz="0" w:space="0" w:color="auto"/>
        <w:left w:val="none" w:sz="0" w:space="0" w:color="auto"/>
        <w:bottom w:val="none" w:sz="0" w:space="0" w:color="auto"/>
        <w:right w:val="none" w:sz="0" w:space="0" w:color="auto"/>
      </w:divBdr>
    </w:div>
    <w:div w:id="96022005">
      <w:bodyDiv w:val="1"/>
      <w:marLeft w:val="0"/>
      <w:marRight w:val="0"/>
      <w:marTop w:val="0"/>
      <w:marBottom w:val="0"/>
      <w:divBdr>
        <w:top w:val="none" w:sz="0" w:space="0" w:color="auto"/>
        <w:left w:val="none" w:sz="0" w:space="0" w:color="auto"/>
        <w:bottom w:val="none" w:sz="0" w:space="0" w:color="auto"/>
        <w:right w:val="none" w:sz="0" w:space="0" w:color="auto"/>
      </w:divBdr>
    </w:div>
    <w:div w:id="96022218">
      <w:bodyDiv w:val="1"/>
      <w:marLeft w:val="0"/>
      <w:marRight w:val="0"/>
      <w:marTop w:val="0"/>
      <w:marBottom w:val="0"/>
      <w:divBdr>
        <w:top w:val="none" w:sz="0" w:space="0" w:color="auto"/>
        <w:left w:val="none" w:sz="0" w:space="0" w:color="auto"/>
        <w:bottom w:val="none" w:sz="0" w:space="0" w:color="auto"/>
        <w:right w:val="none" w:sz="0" w:space="0" w:color="auto"/>
      </w:divBdr>
    </w:div>
    <w:div w:id="96146390">
      <w:bodyDiv w:val="1"/>
      <w:marLeft w:val="0"/>
      <w:marRight w:val="0"/>
      <w:marTop w:val="0"/>
      <w:marBottom w:val="0"/>
      <w:divBdr>
        <w:top w:val="none" w:sz="0" w:space="0" w:color="auto"/>
        <w:left w:val="none" w:sz="0" w:space="0" w:color="auto"/>
        <w:bottom w:val="none" w:sz="0" w:space="0" w:color="auto"/>
        <w:right w:val="none" w:sz="0" w:space="0" w:color="auto"/>
      </w:divBdr>
    </w:div>
    <w:div w:id="96368295">
      <w:bodyDiv w:val="1"/>
      <w:marLeft w:val="0"/>
      <w:marRight w:val="0"/>
      <w:marTop w:val="0"/>
      <w:marBottom w:val="0"/>
      <w:divBdr>
        <w:top w:val="none" w:sz="0" w:space="0" w:color="auto"/>
        <w:left w:val="none" w:sz="0" w:space="0" w:color="auto"/>
        <w:bottom w:val="none" w:sz="0" w:space="0" w:color="auto"/>
        <w:right w:val="none" w:sz="0" w:space="0" w:color="auto"/>
      </w:divBdr>
    </w:div>
    <w:div w:id="96560521">
      <w:bodyDiv w:val="1"/>
      <w:marLeft w:val="0"/>
      <w:marRight w:val="0"/>
      <w:marTop w:val="0"/>
      <w:marBottom w:val="0"/>
      <w:divBdr>
        <w:top w:val="none" w:sz="0" w:space="0" w:color="auto"/>
        <w:left w:val="none" w:sz="0" w:space="0" w:color="auto"/>
        <w:bottom w:val="none" w:sz="0" w:space="0" w:color="auto"/>
        <w:right w:val="none" w:sz="0" w:space="0" w:color="auto"/>
      </w:divBdr>
    </w:div>
    <w:div w:id="96682334">
      <w:bodyDiv w:val="1"/>
      <w:marLeft w:val="0"/>
      <w:marRight w:val="0"/>
      <w:marTop w:val="0"/>
      <w:marBottom w:val="0"/>
      <w:divBdr>
        <w:top w:val="none" w:sz="0" w:space="0" w:color="auto"/>
        <w:left w:val="none" w:sz="0" w:space="0" w:color="auto"/>
        <w:bottom w:val="none" w:sz="0" w:space="0" w:color="auto"/>
        <w:right w:val="none" w:sz="0" w:space="0" w:color="auto"/>
      </w:divBdr>
    </w:div>
    <w:div w:id="96798110">
      <w:bodyDiv w:val="1"/>
      <w:marLeft w:val="0"/>
      <w:marRight w:val="0"/>
      <w:marTop w:val="0"/>
      <w:marBottom w:val="0"/>
      <w:divBdr>
        <w:top w:val="none" w:sz="0" w:space="0" w:color="auto"/>
        <w:left w:val="none" w:sz="0" w:space="0" w:color="auto"/>
        <w:bottom w:val="none" w:sz="0" w:space="0" w:color="auto"/>
        <w:right w:val="none" w:sz="0" w:space="0" w:color="auto"/>
      </w:divBdr>
    </w:div>
    <w:div w:id="96949454">
      <w:bodyDiv w:val="1"/>
      <w:marLeft w:val="0"/>
      <w:marRight w:val="0"/>
      <w:marTop w:val="0"/>
      <w:marBottom w:val="0"/>
      <w:divBdr>
        <w:top w:val="none" w:sz="0" w:space="0" w:color="auto"/>
        <w:left w:val="none" w:sz="0" w:space="0" w:color="auto"/>
        <w:bottom w:val="none" w:sz="0" w:space="0" w:color="auto"/>
        <w:right w:val="none" w:sz="0" w:space="0" w:color="auto"/>
      </w:divBdr>
    </w:div>
    <w:div w:id="97146306">
      <w:bodyDiv w:val="1"/>
      <w:marLeft w:val="0"/>
      <w:marRight w:val="0"/>
      <w:marTop w:val="0"/>
      <w:marBottom w:val="0"/>
      <w:divBdr>
        <w:top w:val="none" w:sz="0" w:space="0" w:color="auto"/>
        <w:left w:val="none" w:sz="0" w:space="0" w:color="auto"/>
        <w:bottom w:val="none" w:sz="0" w:space="0" w:color="auto"/>
        <w:right w:val="none" w:sz="0" w:space="0" w:color="auto"/>
      </w:divBdr>
    </w:div>
    <w:div w:id="97217775">
      <w:bodyDiv w:val="1"/>
      <w:marLeft w:val="0"/>
      <w:marRight w:val="0"/>
      <w:marTop w:val="0"/>
      <w:marBottom w:val="0"/>
      <w:divBdr>
        <w:top w:val="none" w:sz="0" w:space="0" w:color="auto"/>
        <w:left w:val="none" w:sz="0" w:space="0" w:color="auto"/>
        <w:bottom w:val="none" w:sz="0" w:space="0" w:color="auto"/>
        <w:right w:val="none" w:sz="0" w:space="0" w:color="auto"/>
      </w:divBdr>
    </w:div>
    <w:div w:id="97257634">
      <w:bodyDiv w:val="1"/>
      <w:marLeft w:val="0"/>
      <w:marRight w:val="0"/>
      <w:marTop w:val="0"/>
      <w:marBottom w:val="0"/>
      <w:divBdr>
        <w:top w:val="none" w:sz="0" w:space="0" w:color="auto"/>
        <w:left w:val="none" w:sz="0" w:space="0" w:color="auto"/>
        <w:bottom w:val="none" w:sz="0" w:space="0" w:color="auto"/>
        <w:right w:val="none" w:sz="0" w:space="0" w:color="auto"/>
      </w:divBdr>
    </w:div>
    <w:div w:id="97599831">
      <w:bodyDiv w:val="1"/>
      <w:marLeft w:val="0"/>
      <w:marRight w:val="0"/>
      <w:marTop w:val="0"/>
      <w:marBottom w:val="0"/>
      <w:divBdr>
        <w:top w:val="none" w:sz="0" w:space="0" w:color="auto"/>
        <w:left w:val="none" w:sz="0" w:space="0" w:color="auto"/>
        <w:bottom w:val="none" w:sz="0" w:space="0" w:color="auto"/>
        <w:right w:val="none" w:sz="0" w:space="0" w:color="auto"/>
      </w:divBdr>
    </w:div>
    <w:div w:id="98065587">
      <w:bodyDiv w:val="1"/>
      <w:marLeft w:val="0"/>
      <w:marRight w:val="0"/>
      <w:marTop w:val="0"/>
      <w:marBottom w:val="0"/>
      <w:divBdr>
        <w:top w:val="none" w:sz="0" w:space="0" w:color="auto"/>
        <w:left w:val="none" w:sz="0" w:space="0" w:color="auto"/>
        <w:bottom w:val="none" w:sz="0" w:space="0" w:color="auto"/>
        <w:right w:val="none" w:sz="0" w:space="0" w:color="auto"/>
      </w:divBdr>
    </w:div>
    <w:div w:id="98110024">
      <w:bodyDiv w:val="1"/>
      <w:marLeft w:val="0"/>
      <w:marRight w:val="0"/>
      <w:marTop w:val="0"/>
      <w:marBottom w:val="0"/>
      <w:divBdr>
        <w:top w:val="none" w:sz="0" w:space="0" w:color="auto"/>
        <w:left w:val="none" w:sz="0" w:space="0" w:color="auto"/>
        <w:bottom w:val="none" w:sz="0" w:space="0" w:color="auto"/>
        <w:right w:val="none" w:sz="0" w:space="0" w:color="auto"/>
      </w:divBdr>
    </w:div>
    <w:div w:id="98111202">
      <w:bodyDiv w:val="1"/>
      <w:marLeft w:val="0"/>
      <w:marRight w:val="0"/>
      <w:marTop w:val="0"/>
      <w:marBottom w:val="0"/>
      <w:divBdr>
        <w:top w:val="none" w:sz="0" w:space="0" w:color="auto"/>
        <w:left w:val="none" w:sz="0" w:space="0" w:color="auto"/>
        <w:bottom w:val="none" w:sz="0" w:space="0" w:color="auto"/>
        <w:right w:val="none" w:sz="0" w:space="0" w:color="auto"/>
      </w:divBdr>
    </w:div>
    <w:div w:id="98180057">
      <w:bodyDiv w:val="1"/>
      <w:marLeft w:val="0"/>
      <w:marRight w:val="0"/>
      <w:marTop w:val="0"/>
      <w:marBottom w:val="0"/>
      <w:divBdr>
        <w:top w:val="none" w:sz="0" w:space="0" w:color="auto"/>
        <w:left w:val="none" w:sz="0" w:space="0" w:color="auto"/>
        <w:bottom w:val="none" w:sz="0" w:space="0" w:color="auto"/>
        <w:right w:val="none" w:sz="0" w:space="0" w:color="auto"/>
      </w:divBdr>
    </w:div>
    <w:div w:id="98305189">
      <w:bodyDiv w:val="1"/>
      <w:marLeft w:val="0"/>
      <w:marRight w:val="0"/>
      <w:marTop w:val="0"/>
      <w:marBottom w:val="0"/>
      <w:divBdr>
        <w:top w:val="none" w:sz="0" w:space="0" w:color="auto"/>
        <w:left w:val="none" w:sz="0" w:space="0" w:color="auto"/>
        <w:bottom w:val="none" w:sz="0" w:space="0" w:color="auto"/>
        <w:right w:val="none" w:sz="0" w:space="0" w:color="auto"/>
      </w:divBdr>
    </w:div>
    <w:div w:id="98453606">
      <w:bodyDiv w:val="1"/>
      <w:marLeft w:val="0"/>
      <w:marRight w:val="0"/>
      <w:marTop w:val="0"/>
      <w:marBottom w:val="0"/>
      <w:divBdr>
        <w:top w:val="none" w:sz="0" w:space="0" w:color="auto"/>
        <w:left w:val="none" w:sz="0" w:space="0" w:color="auto"/>
        <w:bottom w:val="none" w:sz="0" w:space="0" w:color="auto"/>
        <w:right w:val="none" w:sz="0" w:space="0" w:color="auto"/>
      </w:divBdr>
    </w:div>
    <w:div w:id="98985671">
      <w:bodyDiv w:val="1"/>
      <w:marLeft w:val="0"/>
      <w:marRight w:val="0"/>
      <w:marTop w:val="0"/>
      <w:marBottom w:val="0"/>
      <w:divBdr>
        <w:top w:val="none" w:sz="0" w:space="0" w:color="auto"/>
        <w:left w:val="none" w:sz="0" w:space="0" w:color="auto"/>
        <w:bottom w:val="none" w:sz="0" w:space="0" w:color="auto"/>
        <w:right w:val="none" w:sz="0" w:space="0" w:color="auto"/>
      </w:divBdr>
    </w:div>
    <w:div w:id="99106352">
      <w:bodyDiv w:val="1"/>
      <w:marLeft w:val="0"/>
      <w:marRight w:val="0"/>
      <w:marTop w:val="0"/>
      <w:marBottom w:val="0"/>
      <w:divBdr>
        <w:top w:val="none" w:sz="0" w:space="0" w:color="auto"/>
        <w:left w:val="none" w:sz="0" w:space="0" w:color="auto"/>
        <w:bottom w:val="none" w:sz="0" w:space="0" w:color="auto"/>
        <w:right w:val="none" w:sz="0" w:space="0" w:color="auto"/>
      </w:divBdr>
    </w:div>
    <w:div w:id="99227547">
      <w:bodyDiv w:val="1"/>
      <w:marLeft w:val="0"/>
      <w:marRight w:val="0"/>
      <w:marTop w:val="0"/>
      <w:marBottom w:val="0"/>
      <w:divBdr>
        <w:top w:val="none" w:sz="0" w:space="0" w:color="auto"/>
        <w:left w:val="none" w:sz="0" w:space="0" w:color="auto"/>
        <w:bottom w:val="none" w:sz="0" w:space="0" w:color="auto"/>
        <w:right w:val="none" w:sz="0" w:space="0" w:color="auto"/>
      </w:divBdr>
    </w:div>
    <w:div w:id="99299607">
      <w:bodyDiv w:val="1"/>
      <w:marLeft w:val="0"/>
      <w:marRight w:val="0"/>
      <w:marTop w:val="0"/>
      <w:marBottom w:val="0"/>
      <w:divBdr>
        <w:top w:val="none" w:sz="0" w:space="0" w:color="auto"/>
        <w:left w:val="none" w:sz="0" w:space="0" w:color="auto"/>
        <w:bottom w:val="none" w:sz="0" w:space="0" w:color="auto"/>
        <w:right w:val="none" w:sz="0" w:space="0" w:color="auto"/>
      </w:divBdr>
    </w:div>
    <w:div w:id="99371929">
      <w:bodyDiv w:val="1"/>
      <w:marLeft w:val="0"/>
      <w:marRight w:val="0"/>
      <w:marTop w:val="0"/>
      <w:marBottom w:val="0"/>
      <w:divBdr>
        <w:top w:val="none" w:sz="0" w:space="0" w:color="auto"/>
        <w:left w:val="none" w:sz="0" w:space="0" w:color="auto"/>
        <w:bottom w:val="none" w:sz="0" w:space="0" w:color="auto"/>
        <w:right w:val="none" w:sz="0" w:space="0" w:color="auto"/>
      </w:divBdr>
    </w:div>
    <w:div w:id="99421432">
      <w:bodyDiv w:val="1"/>
      <w:marLeft w:val="0"/>
      <w:marRight w:val="0"/>
      <w:marTop w:val="0"/>
      <w:marBottom w:val="0"/>
      <w:divBdr>
        <w:top w:val="none" w:sz="0" w:space="0" w:color="auto"/>
        <w:left w:val="none" w:sz="0" w:space="0" w:color="auto"/>
        <w:bottom w:val="none" w:sz="0" w:space="0" w:color="auto"/>
        <w:right w:val="none" w:sz="0" w:space="0" w:color="auto"/>
      </w:divBdr>
    </w:div>
    <w:div w:id="99423558">
      <w:bodyDiv w:val="1"/>
      <w:marLeft w:val="0"/>
      <w:marRight w:val="0"/>
      <w:marTop w:val="0"/>
      <w:marBottom w:val="0"/>
      <w:divBdr>
        <w:top w:val="none" w:sz="0" w:space="0" w:color="auto"/>
        <w:left w:val="none" w:sz="0" w:space="0" w:color="auto"/>
        <w:bottom w:val="none" w:sz="0" w:space="0" w:color="auto"/>
        <w:right w:val="none" w:sz="0" w:space="0" w:color="auto"/>
      </w:divBdr>
    </w:div>
    <w:div w:id="99835708">
      <w:bodyDiv w:val="1"/>
      <w:marLeft w:val="0"/>
      <w:marRight w:val="0"/>
      <w:marTop w:val="0"/>
      <w:marBottom w:val="0"/>
      <w:divBdr>
        <w:top w:val="none" w:sz="0" w:space="0" w:color="auto"/>
        <w:left w:val="none" w:sz="0" w:space="0" w:color="auto"/>
        <w:bottom w:val="none" w:sz="0" w:space="0" w:color="auto"/>
        <w:right w:val="none" w:sz="0" w:space="0" w:color="auto"/>
      </w:divBdr>
    </w:div>
    <w:div w:id="99883400">
      <w:bodyDiv w:val="1"/>
      <w:marLeft w:val="0"/>
      <w:marRight w:val="0"/>
      <w:marTop w:val="0"/>
      <w:marBottom w:val="0"/>
      <w:divBdr>
        <w:top w:val="none" w:sz="0" w:space="0" w:color="auto"/>
        <w:left w:val="none" w:sz="0" w:space="0" w:color="auto"/>
        <w:bottom w:val="none" w:sz="0" w:space="0" w:color="auto"/>
        <w:right w:val="none" w:sz="0" w:space="0" w:color="auto"/>
      </w:divBdr>
    </w:div>
    <w:div w:id="100033233">
      <w:bodyDiv w:val="1"/>
      <w:marLeft w:val="0"/>
      <w:marRight w:val="0"/>
      <w:marTop w:val="0"/>
      <w:marBottom w:val="0"/>
      <w:divBdr>
        <w:top w:val="none" w:sz="0" w:space="0" w:color="auto"/>
        <w:left w:val="none" w:sz="0" w:space="0" w:color="auto"/>
        <w:bottom w:val="none" w:sz="0" w:space="0" w:color="auto"/>
        <w:right w:val="none" w:sz="0" w:space="0" w:color="auto"/>
      </w:divBdr>
    </w:div>
    <w:div w:id="100077687">
      <w:bodyDiv w:val="1"/>
      <w:marLeft w:val="0"/>
      <w:marRight w:val="0"/>
      <w:marTop w:val="0"/>
      <w:marBottom w:val="0"/>
      <w:divBdr>
        <w:top w:val="none" w:sz="0" w:space="0" w:color="auto"/>
        <w:left w:val="none" w:sz="0" w:space="0" w:color="auto"/>
        <w:bottom w:val="none" w:sz="0" w:space="0" w:color="auto"/>
        <w:right w:val="none" w:sz="0" w:space="0" w:color="auto"/>
      </w:divBdr>
    </w:div>
    <w:div w:id="100613789">
      <w:bodyDiv w:val="1"/>
      <w:marLeft w:val="0"/>
      <w:marRight w:val="0"/>
      <w:marTop w:val="0"/>
      <w:marBottom w:val="0"/>
      <w:divBdr>
        <w:top w:val="none" w:sz="0" w:space="0" w:color="auto"/>
        <w:left w:val="none" w:sz="0" w:space="0" w:color="auto"/>
        <w:bottom w:val="none" w:sz="0" w:space="0" w:color="auto"/>
        <w:right w:val="none" w:sz="0" w:space="0" w:color="auto"/>
      </w:divBdr>
    </w:div>
    <w:div w:id="100683858">
      <w:bodyDiv w:val="1"/>
      <w:marLeft w:val="0"/>
      <w:marRight w:val="0"/>
      <w:marTop w:val="0"/>
      <w:marBottom w:val="0"/>
      <w:divBdr>
        <w:top w:val="none" w:sz="0" w:space="0" w:color="auto"/>
        <w:left w:val="none" w:sz="0" w:space="0" w:color="auto"/>
        <w:bottom w:val="none" w:sz="0" w:space="0" w:color="auto"/>
        <w:right w:val="none" w:sz="0" w:space="0" w:color="auto"/>
      </w:divBdr>
    </w:div>
    <w:div w:id="100758590">
      <w:bodyDiv w:val="1"/>
      <w:marLeft w:val="0"/>
      <w:marRight w:val="0"/>
      <w:marTop w:val="0"/>
      <w:marBottom w:val="0"/>
      <w:divBdr>
        <w:top w:val="none" w:sz="0" w:space="0" w:color="auto"/>
        <w:left w:val="none" w:sz="0" w:space="0" w:color="auto"/>
        <w:bottom w:val="none" w:sz="0" w:space="0" w:color="auto"/>
        <w:right w:val="none" w:sz="0" w:space="0" w:color="auto"/>
      </w:divBdr>
    </w:div>
    <w:div w:id="100801068">
      <w:bodyDiv w:val="1"/>
      <w:marLeft w:val="0"/>
      <w:marRight w:val="0"/>
      <w:marTop w:val="0"/>
      <w:marBottom w:val="0"/>
      <w:divBdr>
        <w:top w:val="none" w:sz="0" w:space="0" w:color="auto"/>
        <w:left w:val="none" w:sz="0" w:space="0" w:color="auto"/>
        <w:bottom w:val="none" w:sz="0" w:space="0" w:color="auto"/>
        <w:right w:val="none" w:sz="0" w:space="0" w:color="auto"/>
      </w:divBdr>
    </w:div>
    <w:div w:id="100802437">
      <w:bodyDiv w:val="1"/>
      <w:marLeft w:val="0"/>
      <w:marRight w:val="0"/>
      <w:marTop w:val="0"/>
      <w:marBottom w:val="0"/>
      <w:divBdr>
        <w:top w:val="none" w:sz="0" w:space="0" w:color="auto"/>
        <w:left w:val="none" w:sz="0" w:space="0" w:color="auto"/>
        <w:bottom w:val="none" w:sz="0" w:space="0" w:color="auto"/>
        <w:right w:val="none" w:sz="0" w:space="0" w:color="auto"/>
      </w:divBdr>
    </w:div>
    <w:div w:id="100926472">
      <w:bodyDiv w:val="1"/>
      <w:marLeft w:val="0"/>
      <w:marRight w:val="0"/>
      <w:marTop w:val="0"/>
      <w:marBottom w:val="0"/>
      <w:divBdr>
        <w:top w:val="none" w:sz="0" w:space="0" w:color="auto"/>
        <w:left w:val="none" w:sz="0" w:space="0" w:color="auto"/>
        <w:bottom w:val="none" w:sz="0" w:space="0" w:color="auto"/>
        <w:right w:val="none" w:sz="0" w:space="0" w:color="auto"/>
      </w:divBdr>
    </w:div>
    <w:div w:id="101264832">
      <w:bodyDiv w:val="1"/>
      <w:marLeft w:val="0"/>
      <w:marRight w:val="0"/>
      <w:marTop w:val="0"/>
      <w:marBottom w:val="0"/>
      <w:divBdr>
        <w:top w:val="none" w:sz="0" w:space="0" w:color="auto"/>
        <w:left w:val="none" w:sz="0" w:space="0" w:color="auto"/>
        <w:bottom w:val="none" w:sz="0" w:space="0" w:color="auto"/>
        <w:right w:val="none" w:sz="0" w:space="0" w:color="auto"/>
      </w:divBdr>
    </w:div>
    <w:div w:id="101339690">
      <w:bodyDiv w:val="1"/>
      <w:marLeft w:val="0"/>
      <w:marRight w:val="0"/>
      <w:marTop w:val="0"/>
      <w:marBottom w:val="0"/>
      <w:divBdr>
        <w:top w:val="none" w:sz="0" w:space="0" w:color="auto"/>
        <w:left w:val="none" w:sz="0" w:space="0" w:color="auto"/>
        <w:bottom w:val="none" w:sz="0" w:space="0" w:color="auto"/>
        <w:right w:val="none" w:sz="0" w:space="0" w:color="auto"/>
      </w:divBdr>
    </w:div>
    <w:div w:id="101465111">
      <w:bodyDiv w:val="1"/>
      <w:marLeft w:val="0"/>
      <w:marRight w:val="0"/>
      <w:marTop w:val="0"/>
      <w:marBottom w:val="0"/>
      <w:divBdr>
        <w:top w:val="none" w:sz="0" w:space="0" w:color="auto"/>
        <w:left w:val="none" w:sz="0" w:space="0" w:color="auto"/>
        <w:bottom w:val="none" w:sz="0" w:space="0" w:color="auto"/>
        <w:right w:val="none" w:sz="0" w:space="0" w:color="auto"/>
      </w:divBdr>
    </w:div>
    <w:div w:id="101535721">
      <w:bodyDiv w:val="1"/>
      <w:marLeft w:val="0"/>
      <w:marRight w:val="0"/>
      <w:marTop w:val="0"/>
      <w:marBottom w:val="0"/>
      <w:divBdr>
        <w:top w:val="none" w:sz="0" w:space="0" w:color="auto"/>
        <w:left w:val="none" w:sz="0" w:space="0" w:color="auto"/>
        <w:bottom w:val="none" w:sz="0" w:space="0" w:color="auto"/>
        <w:right w:val="none" w:sz="0" w:space="0" w:color="auto"/>
      </w:divBdr>
    </w:div>
    <w:div w:id="101725674">
      <w:bodyDiv w:val="1"/>
      <w:marLeft w:val="0"/>
      <w:marRight w:val="0"/>
      <w:marTop w:val="0"/>
      <w:marBottom w:val="0"/>
      <w:divBdr>
        <w:top w:val="none" w:sz="0" w:space="0" w:color="auto"/>
        <w:left w:val="none" w:sz="0" w:space="0" w:color="auto"/>
        <w:bottom w:val="none" w:sz="0" w:space="0" w:color="auto"/>
        <w:right w:val="none" w:sz="0" w:space="0" w:color="auto"/>
      </w:divBdr>
    </w:div>
    <w:div w:id="102115951">
      <w:bodyDiv w:val="1"/>
      <w:marLeft w:val="0"/>
      <w:marRight w:val="0"/>
      <w:marTop w:val="0"/>
      <w:marBottom w:val="0"/>
      <w:divBdr>
        <w:top w:val="none" w:sz="0" w:space="0" w:color="auto"/>
        <w:left w:val="none" w:sz="0" w:space="0" w:color="auto"/>
        <w:bottom w:val="none" w:sz="0" w:space="0" w:color="auto"/>
        <w:right w:val="none" w:sz="0" w:space="0" w:color="auto"/>
      </w:divBdr>
    </w:div>
    <w:div w:id="102120637">
      <w:bodyDiv w:val="1"/>
      <w:marLeft w:val="0"/>
      <w:marRight w:val="0"/>
      <w:marTop w:val="0"/>
      <w:marBottom w:val="0"/>
      <w:divBdr>
        <w:top w:val="none" w:sz="0" w:space="0" w:color="auto"/>
        <w:left w:val="none" w:sz="0" w:space="0" w:color="auto"/>
        <w:bottom w:val="none" w:sz="0" w:space="0" w:color="auto"/>
        <w:right w:val="none" w:sz="0" w:space="0" w:color="auto"/>
      </w:divBdr>
    </w:div>
    <w:div w:id="102309158">
      <w:bodyDiv w:val="1"/>
      <w:marLeft w:val="0"/>
      <w:marRight w:val="0"/>
      <w:marTop w:val="0"/>
      <w:marBottom w:val="0"/>
      <w:divBdr>
        <w:top w:val="none" w:sz="0" w:space="0" w:color="auto"/>
        <w:left w:val="none" w:sz="0" w:space="0" w:color="auto"/>
        <w:bottom w:val="none" w:sz="0" w:space="0" w:color="auto"/>
        <w:right w:val="none" w:sz="0" w:space="0" w:color="auto"/>
      </w:divBdr>
    </w:div>
    <w:div w:id="102501918">
      <w:bodyDiv w:val="1"/>
      <w:marLeft w:val="0"/>
      <w:marRight w:val="0"/>
      <w:marTop w:val="0"/>
      <w:marBottom w:val="0"/>
      <w:divBdr>
        <w:top w:val="none" w:sz="0" w:space="0" w:color="auto"/>
        <w:left w:val="none" w:sz="0" w:space="0" w:color="auto"/>
        <w:bottom w:val="none" w:sz="0" w:space="0" w:color="auto"/>
        <w:right w:val="none" w:sz="0" w:space="0" w:color="auto"/>
      </w:divBdr>
    </w:div>
    <w:div w:id="102657255">
      <w:bodyDiv w:val="1"/>
      <w:marLeft w:val="0"/>
      <w:marRight w:val="0"/>
      <w:marTop w:val="0"/>
      <w:marBottom w:val="0"/>
      <w:divBdr>
        <w:top w:val="none" w:sz="0" w:space="0" w:color="auto"/>
        <w:left w:val="none" w:sz="0" w:space="0" w:color="auto"/>
        <w:bottom w:val="none" w:sz="0" w:space="0" w:color="auto"/>
        <w:right w:val="none" w:sz="0" w:space="0" w:color="auto"/>
      </w:divBdr>
    </w:div>
    <w:div w:id="102696490">
      <w:bodyDiv w:val="1"/>
      <w:marLeft w:val="0"/>
      <w:marRight w:val="0"/>
      <w:marTop w:val="0"/>
      <w:marBottom w:val="0"/>
      <w:divBdr>
        <w:top w:val="none" w:sz="0" w:space="0" w:color="auto"/>
        <w:left w:val="none" w:sz="0" w:space="0" w:color="auto"/>
        <w:bottom w:val="none" w:sz="0" w:space="0" w:color="auto"/>
        <w:right w:val="none" w:sz="0" w:space="0" w:color="auto"/>
      </w:divBdr>
    </w:div>
    <w:div w:id="102920299">
      <w:bodyDiv w:val="1"/>
      <w:marLeft w:val="0"/>
      <w:marRight w:val="0"/>
      <w:marTop w:val="0"/>
      <w:marBottom w:val="0"/>
      <w:divBdr>
        <w:top w:val="none" w:sz="0" w:space="0" w:color="auto"/>
        <w:left w:val="none" w:sz="0" w:space="0" w:color="auto"/>
        <w:bottom w:val="none" w:sz="0" w:space="0" w:color="auto"/>
        <w:right w:val="none" w:sz="0" w:space="0" w:color="auto"/>
      </w:divBdr>
    </w:div>
    <w:div w:id="102959775">
      <w:bodyDiv w:val="1"/>
      <w:marLeft w:val="0"/>
      <w:marRight w:val="0"/>
      <w:marTop w:val="0"/>
      <w:marBottom w:val="0"/>
      <w:divBdr>
        <w:top w:val="none" w:sz="0" w:space="0" w:color="auto"/>
        <w:left w:val="none" w:sz="0" w:space="0" w:color="auto"/>
        <w:bottom w:val="none" w:sz="0" w:space="0" w:color="auto"/>
        <w:right w:val="none" w:sz="0" w:space="0" w:color="auto"/>
      </w:divBdr>
    </w:div>
    <w:div w:id="103042122">
      <w:bodyDiv w:val="1"/>
      <w:marLeft w:val="0"/>
      <w:marRight w:val="0"/>
      <w:marTop w:val="0"/>
      <w:marBottom w:val="0"/>
      <w:divBdr>
        <w:top w:val="none" w:sz="0" w:space="0" w:color="auto"/>
        <w:left w:val="none" w:sz="0" w:space="0" w:color="auto"/>
        <w:bottom w:val="none" w:sz="0" w:space="0" w:color="auto"/>
        <w:right w:val="none" w:sz="0" w:space="0" w:color="auto"/>
      </w:divBdr>
    </w:div>
    <w:div w:id="103159980">
      <w:bodyDiv w:val="1"/>
      <w:marLeft w:val="0"/>
      <w:marRight w:val="0"/>
      <w:marTop w:val="0"/>
      <w:marBottom w:val="0"/>
      <w:divBdr>
        <w:top w:val="none" w:sz="0" w:space="0" w:color="auto"/>
        <w:left w:val="none" w:sz="0" w:space="0" w:color="auto"/>
        <w:bottom w:val="none" w:sz="0" w:space="0" w:color="auto"/>
        <w:right w:val="none" w:sz="0" w:space="0" w:color="auto"/>
      </w:divBdr>
    </w:div>
    <w:div w:id="103231468">
      <w:bodyDiv w:val="1"/>
      <w:marLeft w:val="0"/>
      <w:marRight w:val="0"/>
      <w:marTop w:val="0"/>
      <w:marBottom w:val="0"/>
      <w:divBdr>
        <w:top w:val="none" w:sz="0" w:space="0" w:color="auto"/>
        <w:left w:val="none" w:sz="0" w:space="0" w:color="auto"/>
        <w:bottom w:val="none" w:sz="0" w:space="0" w:color="auto"/>
        <w:right w:val="none" w:sz="0" w:space="0" w:color="auto"/>
      </w:divBdr>
    </w:div>
    <w:div w:id="103303859">
      <w:bodyDiv w:val="1"/>
      <w:marLeft w:val="0"/>
      <w:marRight w:val="0"/>
      <w:marTop w:val="0"/>
      <w:marBottom w:val="0"/>
      <w:divBdr>
        <w:top w:val="none" w:sz="0" w:space="0" w:color="auto"/>
        <w:left w:val="none" w:sz="0" w:space="0" w:color="auto"/>
        <w:bottom w:val="none" w:sz="0" w:space="0" w:color="auto"/>
        <w:right w:val="none" w:sz="0" w:space="0" w:color="auto"/>
      </w:divBdr>
    </w:div>
    <w:div w:id="103354506">
      <w:bodyDiv w:val="1"/>
      <w:marLeft w:val="0"/>
      <w:marRight w:val="0"/>
      <w:marTop w:val="0"/>
      <w:marBottom w:val="0"/>
      <w:divBdr>
        <w:top w:val="none" w:sz="0" w:space="0" w:color="auto"/>
        <w:left w:val="none" w:sz="0" w:space="0" w:color="auto"/>
        <w:bottom w:val="none" w:sz="0" w:space="0" w:color="auto"/>
        <w:right w:val="none" w:sz="0" w:space="0" w:color="auto"/>
      </w:divBdr>
    </w:div>
    <w:div w:id="103500632">
      <w:bodyDiv w:val="1"/>
      <w:marLeft w:val="0"/>
      <w:marRight w:val="0"/>
      <w:marTop w:val="0"/>
      <w:marBottom w:val="0"/>
      <w:divBdr>
        <w:top w:val="none" w:sz="0" w:space="0" w:color="auto"/>
        <w:left w:val="none" w:sz="0" w:space="0" w:color="auto"/>
        <w:bottom w:val="none" w:sz="0" w:space="0" w:color="auto"/>
        <w:right w:val="none" w:sz="0" w:space="0" w:color="auto"/>
      </w:divBdr>
    </w:div>
    <w:div w:id="103577357">
      <w:bodyDiv w:val="1"/>
      <w:marLeft w:val="0"/>
      <w:marRight w:val="0"/>
      <w:marTop w:val="0"/>
      <w:marBottom w:val="0"/>
      <w:divBdr>
        <w:top w:val="none" w:sz="0" w:space="0" w:color="auto"/>
        <w:left w:val="none" w:sz="0" w:space="0" w:color="auto"/>
        <w:bottom w:val="none" w:sz="0" w:space="0" w:color="auto"/>
        <w:right w:val="none" w:sz="0" w:space="0" w:color="auto"/>
      </w:divBdr>
    </w:div>
    <w:div w:id="103623711">
      <w:bodyDiv w:val="1"/>
      <w:marLeft w:val="0"/>
      <w:marRight w:val="0"/>
      <w:marTop w:val="0"/>
      <w:marBottom w:val="0"/>
      <w:divBdr>
        <w:top w:val="none" w:sz="0" w:space="0" w:color="auto"/>
        <w:left w:val="none" w:sz="0" w:space="0" w:color="auto"/>
        <w:bottom w:val="none" w:sz="0" w:space="0" w:color="auto"/>
        <w:right w:val="none" w:sz="0" w:space="0" w:color="auto"/>
      </w:divBdr>
    </w:div>
    <w:div w:id="103770999">
      <w:bodyDiv w:val="1"/>
      <w:marLeft w:val="0"/>
      <w:marRight w:val="0"/>
      <w:marTop w:val="0"/>
      <w:marBottom w:val="0"/>
      <w:divBdr>
        <w:top w:val="none" w:sz="0" w:space="0" w:color="auto"/>
        <w:left w:val="none" w:sz="0" w:space="0" w:color="auto"/>
        <w:bottom w:val="none" w:sz="0" w:space="0" w:color="auto"/>
        <w:right w:val="none" w:sz="0" w:space="0" w:color="auto"/>
      </w:divBdr>
    </w:div>
    <w:div w:id="104233097">
      <w:bodyDiv w:val="1"/>
      <w:marLeft w:val="0"/>
      <w:marRight w:val="0"/>
      <w:marTop w:val="0"/>
      <w:marBottom w:val="0"/>
      <w:divBdr>
        <w:top w:val="none" w:sz="0" w:space="0" w:color="auto"/>
        <w:left w:val="none" w:sz="0" w:space="0" w:color="auto"/>
        <w:bottom w:val="none" w:sz="0" w:space="0" w:color="auto"/>
        <w:right w:val="none" w:sz="0" w:space="0" w:color="auto"/>
      </w:divBdr>
    </w:div>
    <w:div w:id="104270677">
      <w:bodyDiv w:val="1"/>
      <w:marLeft w:val="0"/>
      <w:marRight w:val="0"/>
      <w:marTop w:val="0"/>
      <w:marBottom w:val="0"/>
      <w:divBdr>
        <w:top w:val="none" w:sz="0" w:space="0" w:color="auto"/>
        <w:left w:val="none" w:sz="0" w:space="0" w:color="auto"/>
        <w:bottom w:val="none" w:sz="0" w:space="0" w:color="auto"/>
        <w:right w:val="none" w:sz="0" w:space="0" w:color="auto"/>
      </w:divBdr>
    </w:div>
    <w:div w:id="104279805">
      <w:bodyDiv w:val="1"/>
      <w:marLeft w:val="0"/>
      <w:marRight w:val="0"/>
      <w:marTop w:val="0"/>
      <w:marBottom w:val="0"/>
      <w:divBdr>
        <w:top w:val="none" w:sz="0" w:space="0" w:color="auto"/>
        <w:left w:val="none" w:sz="0" w:space="0" w:color="auto"/>
        <w:bottom w:val="none" w:sz="0" w:space="0" w:color="auto"/>
        <w:right w:val="none" w:sz="0" w:space="0" w:color="auto"/>
      </w:divBdr>
    </w:div>
    <w:div w:id="104422201">
      <w:bodyDiv w:val="1"/>
      <w:marLeft w:val="0"/>
      <w:marRight w:val="0"/>
      <w:marTop w:val="0"/>
      <w:marBottom w:val="0"/>
      <w:divBdr>
        <w:top w:val="none" w:sz="0" w:space="0" w:color="auto"/>
        <w:left w:val="none" w:sz="0" w:space="0" w:color="auto"/>
        <w:bottom w:val="none" w:sz="0" w:space="0" w:color="auto"/>
        <w:right w:val="none" w:sz="0" w:space="0" w:color="auto"/>
      </w:divBdr>
    </w:div>
    <w:div w:id="104423737">
      <w:bodyDiv w:val="1"/>
      <w:marLeft w:val="0"/>
      <w:marRight w:val="0"/>
      <w:marTop w:val="0"/>
      <w:marBottom w:val="0"/>
      <w:divBdr>
        <w:top w:val="none" w:sz="0" w:space="0" w:color="auto"/>
        <w:left w:val="none" w:sz="0" w:space="0" w:color="auto"/>
        <w:bottom w:val="none" w:sz="0" w:space="0" w:color="auto"/>
        <w:right w:val="none" w:sz="0" w:space="0" w:color="auto"/>
      </w:divBdr>
    </w:div>
    <w:div w:id="104472075">
      <w:bodyDiv w:val="1"/>
      <w:marLeft w:val="0"/>
      <w:marRight w:val="0"/>
      <w:marTop w:val="0"/>
      <w:marBottom w:val="0"/>
      <w:divBdr>
        <w:top w:val="none" w:sz="0" w:space="0" w:color="auto"/>
        <w:left w:val="none" w:sz="0" w:space="0" w:color="auto"/>
        <w:bottom w:val="none" w:sz="0" w:space="0" w:color="auto"/>
        <w:right w:val="none" w:sz="0" w:space="0" w:color="auto"/>
      </w:divBdr>
    </w:div>
    <w:div w:id="104539397">
      <w:bodyDiv w:val="1"/>
      <w:marLeft w:val="0"/>
      <w:marRight w:val="0"/>
      <w:marTop w:val="0"/>
      <w:marBottom w:val="0"/>
      <w:divBdr>
        <w:top w:val="none" w:sz="0" w:space="0" w:color="auto"/>
        <w:left w:val="none" w:sz="0" w:space="0" w:color="auto"/>
        <w:bottom w:val="none" w:sz="0" w:space="0" w:color="auto"/>
        <w:right w:val="none" w:sz="0" w:space="0" w:color="auto"/>
      </w:divBdr>
    </w:div>
    <w:div w:id="104540507">
      <w:bodyDiv w:val="1"/>
      <w:marLeft w:val="0"/>
      <w:marRight w:val="0"/>
      <w:marTop w:val="0"/>
      <w:marBottom w:val="0"/>
      <w:divBdr>
        <w:top w:val="none" w:sz="0" w:space="0" w:color="auto"/>
        <w:left w:val="none" w:sz="0" w:space="0" w:color="auto"/>
        <w:bottom w:val="none" w:sz="0" w:space="0" w:color="auto"/>
        <w:right w:val="none" w:sz="0" w:space="0" w:color="auto"/>
      </w:divBdr>
    </w:div>
    <w:div w:id="104662031">
      <w:bodyDiv w:val="1"/>
      <w:marLeft w:val="0"/>
      <w:marRight w:val="0"/>
      <w:marTop w:val="0"/>
      <w:marBottom w:val="0"/>
      <w:divBdr>
        <w:top w:val="none" w:sz="0" w:space="0" w:color="auto"/>
        <w:left w:val="none" w:sz="0" w:space="0" w:color="auto"/>
        <w:bottom w:val="none" w:sz="0" w:space="0" w:color="auto"/>
        <w:right w:val="none" w:sz="0" w:space="0" w:color="auto"/>
      </w:divBdr>
    </w:div>
    <w:div w:id="104813566">
      <w:bodyDiv w:val="1"/>
      <w:marLeft w:val="0"/>
      <w:marRight w:val="0"/>
      <w:marTop w:val="0"/>
      <w:marBottom w:val="0"/>
      <w:divBdr>
        <w:top w:val="none" w:sz="0" w:space="0" w:color="auto"/>
        <w:left w:val="none" w:sz="0" w:space="0" w:color="auto"/>
        <w:bottom w:val="none" w:sz="0" w:space="0" w:color="auto"/>
        <w:right w:val="none" w:sz="0" w:space="0" w:color="auto"/>
      </w:divBdr>
    </w:div>
    <w:div w:id="104932347">
      <w:bodyDiv w:val="1"/>
      <w:marLeft w:val="0"/>
      <w:marRight w:val="0"/>
      <w:marTop w:val="0"/>
      <w:marBottom w:val="0"/>
      <w:divBdr>
        <w:top w:val="none" w:sz="0" w:space="0" w:color="auto"/>
        <w:left w:val="none" w:sz="0" w:space="0" w:color="auto"/>
        <w:bottom w:val="none" w:sz="0" w:space="0" w:color="auto"/>
        <w:right w:val="none" w:sz="0" w:space="0" w:color="auto"/>
      </w:divBdr>
    </w:div>
    <w:div w:id="105008563">
      <w:bodyDiv w:val="1"/>
      <w:marLeft w:val="0"/>
      <w:marRight w:val="0"/>
      <w:marTop w:val="0"/>
      <w:marBottom w:val="0"/>
      <w:divBdr>
        <w:top w:val="none" w:sz="0" w:space="0" w:color="auto"/>
        <w:left w:val="none" w:sz="0" w:space="0" w:color="auto"/>
        <w:bottom w:val="none" w:sz="0" w:space="0" w:color="auto"/>
        <w:right w:val="none" w:sz="0" w:space="0" w:color="auto"/>
      </w:divBdr>
    </w:div>
    <w:div w:id="105077396">
      <w:bodyDiv w:val="1"/>
      <w:marLeft w:val="0"/>
      <w:marRight w:val="0"/>
      <w:marTop w:val="0"/>
      <w:marBottom w:val="0"/>
      <w:divBdr>
        <w:top w:val="none" w:sz="0" w:space="0" w:color="auto"/>
        <w:left w:val="none" w:sz="0" w:space="0" w:color="auto"/>
        <w:bottom w:val="none" w:sz="0" w:space="0" w:color="auto"/>
        <w:right w:val="none" w:sz="0" w:space="0" w:color="auto"/>
      </w:divBdr>
    </w:div>
    <w:div w:id="105080930">
      <w:bodyDiv w:val="1"/>
      <w:marLeft w:val="0"/>
      <w:marRight w:val="0"/>
      <w:marTop w:val="0"/>
      <w:marBottom w:val="0"/>
      <w:divBdr>
        <w:top w:val="none" w:sz="0" w:space="0" w:color="auto"/>
        <w:left w:val="none" w:sz="0" w:space="0" w:color="auto"/>
        <w:bottom w:val="none" w:sz="0" w:space="0" w:color="auto"/>
        <w:right w:val="none" w:sz="0" w:space="0" w:color="auto"/>
      </w:divBdr>
    </w:div>
    <w:div w:id="105083760">
      <w:bodyDiv w:val="1"/>
      <w:marLeft w:val="0"/>
      <w:marRight w:val="0"/>
      <w:marTop w:val="0"/>
      <w:marBottom w:val="0"/>
      <w:divBdr>
        <w:top w:val="none" w:sz="0" w:space="0" w:color="auto"/>
        <w:left w:val="none" w:sz="0" w:space="0" w:color="auto"/>
        <w:bottom w:val="none" w:sz="0" w:space="0" w:color="auto"/>
        <w:right w:val="none" w:sz="0" w:space="0" w:color="auto"/>
      </w:divBdr>
    </w:div>
    <w:div w:id="105124974">
      <w:bodyDiv w:val="1"/>
      <w:marLeft w:val="0"/>
      <w:marRight w:val="0"/>
      <w:marTop w:val="0"/>
      <w:marBottom w:val="0"/>
      <w:divBdr>
        <w:top w:val="none" w:sz="0" w:space="0" w:color="auto"/>
        <w:left w:val="none" w:sz="0" w:space="0" w:color="auto"/>
        <w:bottom w:val="none" w:sz="0" w:space="0" w:color="auto"/>
        <w:right w:val="none" w:sz="0" w:space="0" w:color="auto"/>
      </w:divBdr>
    </w:div>
    <w:div w:id="105583858">
      <w:bodyDiv w:val="1"/>
      <w:marLeft w:val="0"/>
      <w:marRight w:val="0"/>
      <w:marTop w:val="0"/>
      <w:marBottom w:val="0"/>
      <w:divBdr>
        <w:top w:val="none" w:sz="0" w:space="0" w:color="auto"/>
        <w:left w:val="none" w:sz="0" w:space="0" w:color="auto"/>
        <w:bottom w:val="none" w:sz="0" w:space="0" w:color="auto"/>
        <w:right w:val="none" w:sz="0" w:space="0" w:color="auto"/>
      </w:divBdr>
    </w:div>
    <w:div w:id="105657970">
      <w:bodyDiv w:val="1"/>
      <w:marLeft w:val="0"/>
      <w:marRight w:val="0"/>
      <w:marTop w:val="0"/>
      <w:marBottom w:val="0"/>
      <w:divBdr>
        <w:top w:val="none" w:sz="0" w:space="0" w:color="auto"/>
        <w:left w:val="none" w:sz="0" w:space="0" w:color="auto"/>
        <w:bottom w:val="none" w:sz="0" w:space="0" w:color="auto"/>
        <w:right w:val="none" w:sz="0" w:space="0" w:color="auto"/>
      </w:divBdr>
    </w:div>
    <w:div w:id="105658248">
      <w:bodyDiv w:val="1"/>
      <w:marLeft w:val="0"/>
      <w:marRight w:val="0"/>
      <w:marTop w:val="0"/>
      <w:marBottom w:val="0"/>
      <w:divBdr>
        <w:top w:val="none" w:sz="0" w:space="0" w:color="auto"/>
        <w:left w:val="none" w:sz="0" w:space="0" w:color="auto"/>
        <w:bottom w:val="none" w:sz="0" w:space="0" w:color="auto"/>
        <w:right w:val="none" w:sz="0" w:space="0" w:color="auto"/>
      </w:divBdr>
    </w:div>
    <w:div w:id="106051416">
      <w:bodyDiv w:val="1"/>
      <w:marLeft w:val="0"/>
      <w:marRight w:val="0"/>
      <w:marTop w:val="0"/>
      <w:marBottom w:val="0"/>
      <w:divBdr>
        <w:top w:val="none" w:sz="0" w:space="0" w:color="auto"/>
        <w:left w:val="none" w:sz="0" w:space="0" w:color="auto"/>
        <w:bottom w:val="none" w:sz="0" w:space="0" w:color="auto"/>
        <w:right w:val="none" w:sz="0" w:space="0" w:color="auto"/>
      </w:divBdr>
    </w:div>
    <w:div w:id="106586197">
      <w:bodyDiv w:val="1"/>
      <w:marLeft w:val="0"/>
      <w:marRight w:val="0"/>
      <w:marTop w:val="0"/>
      <w:marBottom w:val="0"/>
      <w:divBdr>
        <w:top w:val="none" w:sz="0" w:space="0" w:color="auto"/>
        <w:left w:val="none" w:sz="0" w:space="0" w:color="auto"/>
        <w:bottom w:val="none" w:sz="0" w:space="0" w:color="auto"/>
        <w:right w:val="none" w:sz="0" w:space="0" w:color="auto"/>
      </w:divBdr>
    </w:div>
    <w:div w:id="106853014">
      <w:bodyDiv w:val="1"/>
      <w:marLeft w:val="0"/>
      <w:marRight w:val="0"/>
      <w:marTop w:val="0"/>
      <w:marBottom w:val="0"/>
      <w:divBdr>
        <w:top w:val="none" w:sz="0" w:space="0" w:color="auto"/>
        <w:left w:val="none" w:sz="0" w:space="0" w:color="auto"/>
        <w:bottom w:val="none" w:sz="0" w:space="0" w:color="auto"/>
        <w:right w:val="none" w:sz="0" w:space="0" w:color="auto"/>
      </w:divBdr>
    </w:div>
    <w:div w:id="106893903">
      <w:bodyDiv w:val="1"/>
      <w:marLeft w:val="0"/>
      <w:marRight w:val="0"/>
      <w:marTop w:val="0"/>
      <w:marBottom w:val="0"/>
      <w:divBdr>
        <w:top w:val="none" w:sz="0" w:space="0" w:color="auto"/>
        <w:left w:val="none" w:sz="0" w:space="0" w:color="auto"/>
        <w:bottom w:val="none" w:sz="0" w:space="0" w:color="auto"/>
        <w:right w:val="none" w:sz="0" w:space="0" w:color="auto"/>
      </w:divBdr>
    </w:div>
    <w:div w:id="106897111">
      <w:bodyDiv w:val="1"/>
      <w:marLeft w:val="0"/>
      <w:marRight w:val="0"/>
      <w:marTop w:val="0"/>
      <w:marBottom w:val="0"/>
      <w:divBdr>
        <w:top w:val="none" w:sz="0" w:space="0" w:color="auto"/>
        <w:left w:val="none" w:sz="0" w:space="0" w:color="auto"/>
        <w:bottom w:val="none" w:sz="0" w:space="0" w:color="auto"/>
        <w:right w:val="none" w:sz="0" w:space="0" w:color="auto"/>
      </w:divBdr>
    </w:div>
    <w:div w:id="106898058">
      <w:bodyDiv w:val="1"/>
      <w:marLeft w:val="0"/>
      <w:marRight w:val="0"/>
      <w:marTop w:val="0"/>
      <w:marBottom w:val="0"/>
      <w:divBdr>
        <w:top w:val="none" w:sz="0" w:space="0" w:color="auto"/>
        <w:left w:val="none" w:sz="0" w:space="0" w:color="auto"/>
        <w:bottom w:val="none" w:sz="0" w:space="0" w:color="auto"/>
        <w:right w:val="none" w:sz="0" w:space="0" w:color="auto"/>
      </w:divBdr>
    </w:div>
    <w:div w:id="106898681">
      <w:bodyDiv w:val="1"/>
      <w:marLeft w:val="0"/>
      <w:marRight w:val="0"/>
      <w:marTop w:val="0"/>
      <w:marBottom w:val="0"/>
      <w:divBdr>
        <w:top w:val="none" w:sz="0" w:space="0" w:color="auto"/>
        <w:left w:val="none" w:sz="0" w:space="0" w:color="auto"/>
        <w:bottom w:val="none" w:sz="0" w:space="0" w:color="auto"/>
        <w:right w:val="none" w:sz="0" w:space="0" w:color="auto"/>
      </w:divBdr>
    </w:div>
    <w:div w:id="106969066">
      <w:bodyDiv w:val="1"/>
      <w:marLeft w:val="0"/>
      <w:marRight w:val="0"/>
      <w:marTop w:val="0"/>
      <w:marBottom w:val="0"/>
      <w:divBdr>
        <w:top w:val="none" w:sz="0" w:space="0" w:color="auto"/>
        <w:left w:val="none" w:sz="0" w:space="0" w:color="auto"/>
        <w:bottom w:val="none" w:sz="0" w:space="0" w:color="auto"/>
        <w:right w:val="none" w:sz="0" w:space="0" w:color="auto"/>
      </w:divBdr>
    </w:div>
    <w:div w:id="107089334">
      <w:bodyDiv w:val="1"/>
      <w:marLeft w:val="0"/>
      <w:marRight w:val="0"/>
      <w:marTop w:val="0"/>
      <w:marBottom w:val="0"/>
      <w:divBdr>
        <w:top w:val="none" w:sz="0" w:space="0" w:color="auto"/>
        <w:left w:val="none" w:sz="0" w:space="0" w:color="auto"/>
        <w:bottom w:val="none" w:sz="0" w:space="0" w:color="auto"/>
        <w:right w:val="none" w:sz="0" w:space="0" w:color="auto"/>
      </w:divBdr>
    </w:div>
    <w:div w:id="107093513">
      <w:bodyDiv w:val="1"/>
      <w:marLeft w:val="0"/>
      <w:marRight w:val="0"/>
      <w:marTop w:val="0"/>
      <w:marBottom w:val="0"/>
      <w:divBdr>
        <w:top w:val="none" w:sz="0" w:space="0" w:color="auto"/>
        <w:left w:val="none" w:sz="0" w:space="0" w:color="auto"/>
        <w:bottom w:val="none" w:sz="0" w:space="0" w:color="auto"/>
        <w:right w:val="none" w:sz="0" w:space="0" w:color="auto"/>
      </w:divBdr>
    </w:div>
    <w:div w:id="107630209">
      <w:bodyDiv w:val="1"/>
      <w:marLeft w:val="0"/>
      <w:marRight w:val="0"/>
      <w:marTop w:val="0"/>
      <w:marBottom w:val="0"/>
      <w:divBdr>
        <w:top w:val="none" w:sz="0" w:space="0" w:color="auto"/>
        <w:left w:val="none" w:sz="0" w:space="0" w:color="auto"/>
        <w:bottom w:val="none" w:sz="0" w:space="0" w:color="auto"/>
        <w:right w:val="none" w:sz="0" w:space="0" w:color="auto"/>
      </w:divBdr>
    </w:div>
    <w:div w:id="107816264">
      <w:bodyDiv w:val="1"/>
      <w:marLeft w:val="0"/>
      <w:marRight w:val="0"/>
      <w:marTop w:val="0"/>
      <w:marBottom w:val="0"/>
      <w:divBdr>
        <w:top w:val="none" w:sz="0" w:space="0" w:color="auto"/>
        <w:left w:val="none" w:sz="0" w:space="0" w:color="auto"/>
        <w:bottom w:val="none" w:sz="0" w:space="0" w:color="auto"/>
        <w:right w:val="none" w:sz="0" w:space="0" w:color="auto"/>
      </w:divBdr>
    </w:div>
    <w:div w:id="107821525">
      <w:bodyDiv w:val="1"/>
      <w:marLeft w:val="0"/>
      <w:marRight w:val="0"/>
      <w:marTop w:val="0"/>
      <w:marBottom w:val="0"/>
      <w:divBdr>
        <w:top w:val="none" w:sz="0" w:space="0" w:color="auto"/>
        <w:left w:val="none" w:sz="0" w:space="0" w:color="auto"/>
        <w:bottom w:val="none" w:sz="0" w:space="0" w:color="auto"/>
        <w:right w:val="none" w:sz="0" w:space="0" w:color="auto"/>
      </w:divBdr>
    </w:div>
    <w:div w:id="108204052">
      <w:bodyDiv w:val="1"/>
      <w:marLeft w:val="0"/>
      <w:marRight w:val="0"/>
      <w:marTop w:val="0"/>
      <w:marBottom w:val="0"/>
      <w:divBdr>
        <w:top w:val="none" w:sz="0" w:space="0" w:color="auto"/>
        <w:left w:val="none" w:sz="0" w:space="0" w:color="auto"/>
        <w:bottom w:val="none" w:sz="0" w:space="0" w:color="auto"/>
        <w:right w:val="none" w:sz="0" w:space="0" w:color="auto"/>
      </w:divBdr>
    </w:div>
    <w:div w:id="108739088">
      <w:bodyDiv w:val="1"/>
      <w:marLeft w:val="0"/>
      <w:marRight w:val="0"/>
      <w:marTop w:val="0"/>
      <w:marBottom w:val="0"/>
      <w:divBdr>
        <w:top w:val="none" w:sz="0" w:space="0" w:color="auto"/>
        <w:left w:val="none" w:sz="0" w:space="0" w:color="auto"/>
        <w:bottom w:val="none" w:sz="0" w:space="0" w:color="auto"/>
        <w:right w:val="none" w:sz="0" w:space="0" w:color="auto"/>
      </w:divBdr>
    </w:div>
    <w:div w:id="108740618">
      <w:bodyDiv w:val="1"/>
      <w:marLeft w:val="0"/>
      <w:marRight w:val="0"/>
      <w:marTop w:val="0"/>
      <w:marBottom w:val="0"/>
      <w:divBdr>
        <w:top w:val="none" w:sz="0" w:space="0" w:color="auto"/>
        <w:left w:val="none" w:sz="0" w:space="0" w:color="auto"/>
        <w:bottom w:val="none" w:sz="0" w:space="0" w:color="auto"/>
        <w:right w:val="none" w:sz="0" w:space="0" w:color="auto"/>
      </w:divBdr>
    </w:div>
    <w:div w:id="108742274">
      <w:bodyDiv w:val="1"/>
      <w:marLeft w:val="0"/>
      <w:marRight w:val="0"/>
      <w:marTop w:val="0"/>
      <w:marBottom w:val="0"/>
      <w:divBdr>
        <w:top w:val="none" w:sz="0" w:space="0" w:color="auto"/>
        <w:left w:val="none" w:sz="0" w:space="0" w:color="auto"/>
        <w:bottom w:val="none" w:sz="0" w:space="0" w:color="auto"/>
        <w:right w:val="none" w:sz="0" w:space="0" w:color="auto"/>
      </w:divBdr>
    </w:div>
    <w:div w:id="108861950">
      <w:bodyDiv w:val="1"/>
      <w:marLeft w:val="0"/>
      <w:marRight w:val="0"/>
      <w:marTop w:val="0"/>
      <w:marBottom w:val="0"/>
      <w:divBdr>
        <w:top w:val="none" w:sz="0" w:space="0" w:color="auto"/>
        <w:left w:val="none" w:sz="0" w:space="0" w:color="auto"/>
        <w:bottom w:val="none" w:sz="0" w:space="0" w:color="auto"/>
        <w:right w:val="none" w:sz="0" w:space="0" w:color="auto"/>
      </w:divBdr>
    </w:div>
    <w:div w:id="108866475">
      <w:bodyDiv w:val="1"/>
      <w:marLeft w:val="0"/>
      <w:marRight w:val="0"/>
      <w:marTop w:val="0"/>
      <w:marBottom w:val="0"/>
      <w:divBdr>
        <w:top w:val="none" w:sz="0" w:space="0" w:color="auto"/>
        <w:left w:val="none" w:sz="0" w:space="0" w:color="auto"/>
        <w:bottom w:val="none" w:sz="0" w:space="0" w:color="auto"/>
        <w:right w:val="none" w:sz="0" w:space="0" w:color="auto"/>
      </w:divBdr>
    </w:div>
    <w:div w:id="108935547">
      <w:bodyDiv w:val="1"/>
      <w:marLeft w:val="0"/>
      <w:marRight w:val="0"/>
      <w:marTop w:val="0"/>
      <w:marBottom w:val="0"/>
      <w:divBdr>
        <w:top w:val="none" w:sz="0" w:space="0" w:color="auto"/>
        <w:left w:val="none" w:sz="0" w:space="0" w:color="auto"/>
        <w:bottom w:val="none" w:sz="0" w:space="0" w:color="auto"/>
        <w:right w:val="none" w:sz="0" w:space="0" w:color="auto"/>
      </w:divBdr>
    </w:div>
    <w:div w:id="108941143">
      <w:bodyDiv w:val="1"/>
      <w:marLeft w:val="0"/>
      <w:marRight w:val="0"/>
      <w:marTop w:val="0"/>
      <w:marBottom w:val="0"/>
      <w:divBdr>
        <w:top w:val="none" w:sz="0" w:space="0" w:color="auto"/>
        <w:left w:val="none" w:sz="0" w:space="0" w:color="auto"/>
        <w:bottom w:val="none" w:sz="0" w:space="0" w:color="auto"/>
        <w:right w:val="none" w:sz="0" w:space="0" w:color="auto"/>
      </w:divBdr>
    </w:div>
    <w:div w:id="109008875">
      <w:bodyDiv w:val="1"/>
      <w:marLeft w:val="0"/>
      <w:marRight w:val="0"/>
      <w:marTop w:val="0"/>
      <w:marBottom w:val="0"/>
      <w:divBdr>
        <w:top w:val="none" w:sz="0" w:space="0" w:color="auto"/>
        <w:left w:val="none" w:sz="0" w:space="0" w:color="auto"/>
        <w:bottom w:val="none" w:sz="0" w:space="0" w:color="auto"/>
        <w:right w:val="none" w:sz="0" w:space="0" w:color="auto"/>
      </w:divBdr>
    </w:div>
    <w:div w:id="109053704">
      <w:bodyDiv w:val="1"/>
      <w:marLeft w:val="0"/>
      <w:marRight w:val="0"/>
      <w:marTop w:val="0"/>
      <w:marBottom w:val="0"/>
      <w:divBdr>
        <w:top w:val="none" w:sz="0" w:space="0" w:color="auto"/>
        <w:left w:val="none" w:sz="0" w:space="0" w:color="auto"/>
        <w:bottom w:val="none" w:sz="0" w:space="0" w:color="auto"/>
        <w:right w:val="none" w:sz="0" w:space="0" w:color="auto"/>
      </w:divBdr>
    </w:div>
    <w:div w:id="109201555">
      <w:bodyDiv w:val="1"/>
      <w:marLeft w:val="0"/>
      <w:marRight w:val="0"/>
      <w:marTop w:val="0"/>
      <w:marBottom w:val="0"/>
      <w:divBdr>
        <w:top w:val="none" w:sz="0" w:space="0" w:color="auto"/>
        <w:left w:val="none" w:sz="0" w:space="0" w:color="auto"/>
        <w:bottom w:val="none" w:sz="0" w:space="0" w:color="auto"/>
        <w:right w:val="none" w:sz="0" w:space="0" w:color="auto"/>
      </w:divBdr>
    </w:div>
    <w:div w:id="109203417">
      <w:bodyDiv w:val="1"/>
      <w:marLeft w:val="0"/>
      <w:marRight w:val="0"/>
      <w:marTop w:val="0"/>
      <w:marBottom w:val="0"/>
      <w:divBdr>
        <w:top w:val="none" w:sz="0" w:space="0" w:color="auto"/>
        <w:left w:val="none" w:sz="0" w:space="0" w:color="auto"/>
        <w:bottom w:val="none" w:sz="0" w:space="0" w:color="auto"/>
        <w:right w:val="none" w:sz="0" w:space="0" w:color="auto"/>
      </w:divBdr>
    </w:div>
    <w:div w:id="109474540">
      <w:bodyDiv w:val="1"/>
      <w:marLeft w:val="0"/>
      <w:marRight w:val="0"/>
      <w:marTop w:val="0"/>
      <w:marBottom w:val="0"/>
      <w:divBdr>
        <w:top w:val="none" w:sz="0" w:space="0" w:color="auto"/>
        <w:left w:val="none" w:sz="0" w:space="0" w:color="auto"/>
        <w:bottom w:val="none" w:sz="0" w:space="0" w:color="auto"/>
        <w:right w:val="none" w:sz="0" w:space="0" w:color="auto"/>
      </w:divBdr>
    </w:div>
    <w:div w:id="109667978">
      <w:bodyDiv w:val="1"/>
      <w:marLeft w:val="0"/>
      <w:marRight w:val="0"/>
      <w:marTop w:val="0"/>
      <w:marBottom w:val="0"/>
      <w:divBdr>
        <w:top w:val="none" w:sz="0" w:space="0" w:color="auto"/>
        <w:left w:val="none" w:sz="0" w:space="0" w:color="auto"/>
        <w:bottom w:val="none" w:sz="0" w:space="0" w:color="auto"/>
        <w:right w:val="none" w:sz="0" w:space="0" w:color="auto"/>
      </w:divBdr>
    </w:div>
    <w:div w:id="109712147">
      <w:bodyDiv w:val="1"/>
      <w:marLeft w:val="0"/>
      <w:marRight w:val="0"/>
      <w:marTop w:val="0"/>
      <w:marBottom w:val="0"/>
      <w:divBdr>
        <w:top w:val="none" w:sz="0" w:space="0" w:color="auto"/>
        <w:left w:val="none" w:sz="0" w:space="0" w:color="auto"/>
        <w:bottom w:val="none" w:sz="0" w:space="0" w:color="auto"/>
        <w:right w:val="none" w:sz="0" w:space="0" w:color="auto"/>
      </w:divBdr>
    </w:div>
    <w:div w:id="109788827">
      <w:bodyDiv w:val="1"/>
      <w:marLeft w:val="0"/>
      <w:marRight w:val="0"/>
      <w:marTop w:val="0"/>
      <w:marBottom w:val="0"/>
      <w:divBdr>
        <w:top w:val="none" w:sz="0" w:space="0" w:color="auto"/>
        <w:left w:val="none" w:sz="0" w:space="0" w:color="auto"/>
        <w:bottom w:val="none" w:sz="0" w:space="0" w:color="auto"/>
        <w:right w:val="none" w:sz="0" w:space="0" w:color="auto"/>
      </w:divBdr>
    </w:div>
    <w:div w:id="109974682">
      <w:bodyDiv w:val="1"/>
      <w:marLeft w:val="0"/>
      <w:marRight w:val="0"/>
      <w:marTop w:val="0"/>
      <w:marBottom w:val="0"/>
      <w:divBdr>
        <w:top w:val="none" w:sz="0" w:space="0" w:color="auto"/>
        <w:left w:val="none" w:sz="0" w:space="0" w:color="auto"/>
        <w:bottom w:val="none" w:sz="0" w:space="0" w:color="auto"/>
        <w:right w:val="none" w:sz="0" w:space="0" w:color="auto"/>
      </w:divBdr>
    </w:div>
    <w:div w:id="110174782">
      <w:bodyDiv w:val="1"/>
      <w:marLeft w:val="0"/>
      <w:marRight w:val="0"/>
      <w:marTop w:val="0"/>
      <w:marBottom w:val="0"/>
      <w:divBdr>
        <w:top w:val="none" w:sz="0" w:space="0" w:color="auto"/>
        <w:left w:val="none" w:sz="0" w:space="0" w:color="auto"/>
        <w:bottom w:val="none" w:sz="0" w:space="0" w:color="auto"/>
        <w:right w:val="none" w:sz="0" w:space="0" w:color="auto"/>
      </w:divBdr>
    </w:div>
    <w:div w:id="110705813">
      <w:bodyDiv w:val="1"/>
      <w:marLeft w:val="0"/>
      <w:marRight w:val="0"/>
      <w:marTop w:val="0"/>
      <w:marBottom w:val="0"/>
      <w:divBdr>
        <w:top w:val="none" w:sz="0" w:space="0" w:color="auto"/>
        <w:left w:val="none" w:sz="0" w:space="0" w:color="auto"/>
        <w:bottom w:val="none" w:sz="0" w:space="0" w:color="auto"/>
        <w:right w:val="none" w:sz="0" w:space="0" w:color="auto"/>
      </w:divBdr>
    </w:div>
    <w:div w:id="110713182">
      <w:bodyDiv w:val="1"/>
      <w:marLeft w:val="0"/>
      <w:marRight w:val="0"/>
      <w:marTop w:val="0"/>
      <w:marBottom w:val="0"/>
      <w:divBdr>
        <w:top w:val="none" w:sz="0" w:space="0" w:color="auto"/>
        <w:left w:val="none" w:sz="0" w:space="0" w:color="auto"/>
        <w:bottom w:val="none" w:sz="0" w:space="0" w:color="auto"/>
        <w:right w:val="none" w:sz="0" w:space="0" w:color="auto"/>
      </w:divBdr>
    </w:div>
    <w:div w:id="110831483">
      <w:bodyDiv w:val="1"/>
      <w:marLeft w:val="0"/>
      <w:marRight w:val="0"/>
      <w:marTop w:val="0"/>
      <w:marBottom w:val="0"/>
      <w:divBdr>
        <w:top w:val="none" w:sz="0" w:space="0" w:color="auto"/>
        <w:left w:val="none" w:sz="0" w:space="0" w:color="auto"/>
        <w:bottom w:val="none" w:sz="0" w:space="0" w:color="auto"/>
        <w:right w:val="none" w:sz="0" w:space="0" w:color="auto"/>
      </w:divBdr>
    </w:div>
    <w:div w:id="111167624">
      <w:bodyDiv w:val="1"/>
      <w:marLeft w:val="0"/>
      <w:marRight w:val="0"/>
      <w:marTop w:val="0"/>
      <w:marBottom w:val="0"/>
      <w:divBdr>
        <w:top w:val="none" w:sz="0" w:space="0" w:color="auto"/>
        <w:left w:val="none" w:sz="0" w:space="0" w:color="auto"/>
        <w:bottom w:val="none" w:sz="0" w:space="0" w:color="auto"/>
        <w:right w:val="none" w:sz="0" w:space="0" w:color="auto"/>
      </w:divBdr>
    </w:div>
    <w:div w:id="111167911">
      <w:bodyDiv w:val="1"/>
      <w:marLeft w:val="0"/>
      <w:marRight w:val="0"/>
      <w:marTop w:val="0"/>
      <w:marBottom w:val="0"/>
      <w:divBdr>
        <w:top w:val="none" w:sz="0" w:space="0" w:color="auto"/>
        <w:left w:val="none" w:sz="0" w:space="0" w:color="auto"/>
        <w:bottom w:val="none" w:sz="0" w:space="0" w:color="auto"/>
        <w:right w:val="none" w:sz="0" w:space="0" w:color="auto"/>
      </w:divBdr>
    </w:div>
    <w:div w:id="111171771">
      <w:bodyDiv w:val="1"/>
      <w:marLeft w:val="0"/>
      <w:marRight w:val="0"/>
      <w:marTop w:val="0"/>
      <w:marBottom w:val="0"/>
      <w:divBdr>
        <w:top w:val="none" w:sz="0" w:space="0" w:color="auto"/>
        <w:left w:val="none" w:sz="0" w:space="0" w:color="auto"/>
        <w:bottom w:val="none" w:sz="0" w:space="0" w:color="auto"/>
        <w:right w:val="none" w:sz="0" w:space="0" w:color="auto"/>
      </w:divBdr>
    </w:div>
    <w:div w:id="111219072">
      <w:bodyDiv w:val="1"/>
      <w:marLeft w:val="0"/>
      <w:marRight w:val="0"/>
      <w:marTop w:val="0"/>
      <w:marBottom w:val="0"/>
      <w:divBdr>
        <w:top w:val="none" w:sz="0" w:space="0" w:color="auto"/>
        <w:left w:val="none" w:sz="0" w:space="0" w:color="auto"/>
        <w:bottom w:val="none" w:sz="0" w:space="0" w:color="auto"/>
        <w:right w:val="none" w:sz="0" w:space="0" w:color="auto"/>
      </w:divBdr>
    </w:div>
    <w:div w:id="111442598">
      <w:bodyDiv w:val="1"/>
      <w:marLeft w:val="0"/>
      <w:marRight w:val="0"/>
      <w:marTop w:val="0"/>
      <w:marBottom w:val="0"/>
      <w:divBdr>
        <w:top w:val="none" w:sz="0" w:space="0" w:color="auto"/>
        <w:left w:val="none" w:sz="0" w:space="0" w:color="auto"/>
        <w:bottom w:val="none" w:sz="0" w:space="0" w:color="auto"/>
        <w:right w:val="none" w:sz="0" w:space="0" w:color="auto"/>
      </w:divBdr>
    </w:div>
    <w:div w:id="111557556">
      <w:bodyDiv w:val="1"/>
      <w:marLeft w:val="0"/>
      <w:marRight w:val="0"/>
      <w:marTop w:val="0"/>
      <w:marBottom w:val="0"/>
      <w:divBdr>
        <w:top w:val="none" w:sz="0" w:space="0" w:color="auto"/>
        <w:left w:val="none" w:sz="0" w:space="0" w:color="auto"/>
        <w:bottom w:val="none" w:sz="0" w:space="0" w:color="auto"/>
        <w:right w:val="none" w:sz="0" w:space="0" w:color="auto"/>
      </w:divBdr>
    </w:div>
    <w:div w:id="111561881">
      <w:bodyDiv w:val="1"/>
      <w:marLeft w:val="0"/>
      <w:marRight w:val="0"/>
      <w:marTop w:val="0"/>
      <w:marBottom w:val="0"/>
      <w:divBdr>
        <w:top w:val="none" w:sz="0" w:space="0" w:color="auto"/>
        <w:left w:val="none" w:sz="0" w:space="0" w:color="auto"/>
        <w:bottom w:val="none" w:sz="0" w:space="0" w:color="auto"/>
        <w:right w:val="none" w:sz="0" w:space="0" w:color="auto"/>
      </w:divBdr>
    </w:div>
    <w:div w:id="111630261">
      <w:bodyDiv w:val="1"/>
      <w:marLeft w:val="0"/>
      <w:marRight w:val="0"/>
      <w:marTop w:val="0"/>
      <w:marBottom w:val="0"/>
      <w:divBdr>
        <w:top w:val="none" w:sz="0" w:space="0" w:color="auto"/>
        <w:left w:val="none" w:sz="0" w:space="0" w:color="auto"/>
        <w:bottom w:val="none" w:sz="0" w:space="0" w:color="auto"/>
        <w:right w:val="none" w:sz="0" w:space="0" w:color="auto"/>
      </w:divBdr>
    </w:div>
    <w:div w:id="111631887">
      <w:bodyDiv w:val="1"/>
      <w:marLeft w:val="0"/>
      <w:marRight w:val="0"/>
      <w:marTop w:val="0"/>
      <w:marBottom w:val="0"/>
      <w:divBdr>
        <w:top w:val="none" w:sz="0" w:space="0" w:color="auto"/>
        <w:left w:val="none" w:sz="0" w:space="0" w:color="auto"/>
        <w:bottom w:val="none" w:sz="0" w:space="0" w:color="auto"/>
        <w:right w:val="none" w:sz="0" w:space="0" w:color="auto"/>
      </w:divBdr>
    </w:div>
    <w:div w:id="111755962">
      <w:bodyDiv w:val="1"/>
      <w:marLeft w:val="0"/>
      <w:marRight w:val="0"/>
      <w:marTop w:val="0"/>
      <w:marBottom w:val="0"/>
      <w:divBdr>
        <w:top w:val="none" w:sz="0" w:space="0" w:color="auto"/>
        <w:left w:val="none" w:sz="0" w:space="0" w:color="auto"/>
        <w:bottom w:val="none" w:sz="0" w:space="0" w:color="auto"/>
        <w:right w:val="none" w:sz="0" w:space="0" w:color="auto"/>
      </w:divBdr>
    </w:div>
    <w:div w:id="112090805">
      <w:bodyDiv w:val="1"/>
      <w:marLeft w:val="0"/>
      <w:marRight w:val="0"/>
      <w:marTop w:val="0"/>
      <w:marBottom w:val="0"/>
      <w:divBdr>
        <w:top w:val="none" w:sz="0" w:space="0" w:color="auto"/>
        <w:left w:val="none" w:sz="0" w:space="0" w:color="auto"/>
        <w:bottom w:val="none" w:sz="0" w:space="0" w:color="auto"/>
        <w:right w:val="none" w:sz="0" w:space="0" w:color="auto"/>
      </w:divBdr>
    </w:div>
    <w:div w:id="112141278">
      <w:bodyDiv w:val="1"/>
      <w:marLeft w:val="0"/>
      <w:marRight w:val="0"/>
      <w:marTop w:val="0"/>
      <w:marBottom w:val="0"/>
      <w:divBdr>
        <w:top w:val="none" w:sz="0" w:space="0" w:color="auto"/>
        <w:left w:val="none" w:sz="0" w:space="0" w:color="auto"/>
        <w:bottom w:val="none" w:sz="0" w:space="0" w:color="auto"/>
        <w:right w:val="none" w:sz="0" w:space="0" w:color="auto"/>
      </w:divBdr>
    </w:div>
    <w:div w:id="112288945">
      <w:bodyDiv w:val="1"/>
      <w:marLeft w:val="0"/>
      <w:marRight w:val="0"/>
      <w:marTop w:val="0"/>
      <w:marBottom w:val="0"/>
      <w:divBdr>
        <w:top w:val="none" w:sz="0" w:space="0" w:color="auto"/>
        <w:left w:val="none" w:sz="0" w:space="0" w:color="auto"/>
        <w:bottom w:val="none" w:sz="0" w:space="0" w:color="auto"/>
        <w:right w:val="none" w:sz="0" w:space="0" w:color="auto"/>
      </w:divBdr>
    </w:div>
    <w:div w:id="112407090">
      <w:bodyDiv w:val="1"/>
      <w:marLeft w:val="0"/>
      <w:marRight w:val="0"/>
      <w:marTop w:val="0"/>
      <w:marBottom w:val="0"/>
      <w:divBdr>
        <w:top w:val="none" w:sz="0" w:space="0" w:color="auto"/>
        <w:left w:val="none" w:sz="0" w:space="0" w:color="auto"/>
        <w:bottom w:val="none" w:sz="0" w:space="0" w:color="auto"/>
        <w:right w:val="none" w:sz="0" w:space="0" w:color="auto"/>
      </w:divBdr>
    </w:div>
    <w:div w:id="112597242">
      <w:bodyDiv w:val="1"/>
      <w:marLeft w:val="0"/>
      <w:marRight w:val="0"/>
      <w:marTop w:val="0"/>
      <w:marBottom w:val="0"/>
      <w:divBdr>
        <w:top w:val="none" w:sz="0" w:space="0" w:color="auto"/>
        <w:left w:val="none" w:sz="0" w:space="0" w:color="auto"/>
        <w:bottom w:val="none" w:sz="0" w:space="0" w:color="auto"/>
        <w:right w:val="none" w:sz="0" w:space="0" w:color="auto"/>
      </w:divBdr>
    </w:div>
    <w:div w:id="112797638">
      <w:bodyDiv w:val="1"/>
      <w:marLeft w:val="0"/>
      <w:marRight w:val="0"/>
      <w:marTop w:val="0"/>
      <w:marBottom w:val="0"/>
      <w:divBdr>
        <w:top w:val="none" w:sz="0" w:space="0" w:color="auto"/>
        <w:left w:val="none" w:sz="0" w:space="0" w:color="auto"/>
        <w:bottom w:val="none" w:sz="0" w:space="0" w:color="auto"/>
        <w:right w:val="none" w:sz="0" w:space="0" w:color="auto"/>
      </w:divBdr>
    </w:div>
    <w:div w:id="112871463">
      <w:bodyDiv w:val="1"/>
      <w:marLeft w:val="0"/>
      <w:marRight w:val="0"/>
      <w:marTop w:val="0"/>
      <w:marBottom w:val="0"/>
      <w:divBdr>
        <w:top w:val="none" w:sz="0" w:space="0" w:color="auto"/>
        <w:left w:val="none" w:sz="0" w:space="0" w:color="auto"/>
        <w:bottom w:val="none" w:sz="0" w:space="0" w:color="auto"/>
        <w:right w:val="none" w:sz="0" w:space="0" w:color="auto"/>
      </w:divBdr>
    </w:div>
    <w:div w:id="113064096">
      <w:bodyDiv w:val="1"/>
      <w:marLeft w:val="0"/>
      <w:marRight w:val="0"/>
      <w:marTop w:val="0"/>
      <w:marBottom w:val="0"/>
      <w:divBdr>
        <w:top w:val="none" w:sz="0" w:space="0" w:color="auto"/>
        <w:left w:val="none" w:sz="0" w:space="0" w:color="auto"/>
        <w:bottom w:val="none" w:sz="0" w:space="0" w:color="auto"/>
        <w:right w:val="none" w:sz="0" w:space="0" w:color="auto"/>
      </w:divBdr>
    </w:div>
    <w:div w:id="113138580">
      <w:bodyDiv w:val="1"/>
      <w:marLeft w:val="0"/>
      <w:marRight w:val="0"/>
      <w:marTop w:val="0"/>
      <w:marBottom w:val="0"/>
      <w:divBdr>
        <w:top w:val="none" w:sz="0" w:space="0" w:color="auto"/>
        <w:left w:val="none" w:sz="0" w:space="0" w:color="auto"/>
        <w:bottom w:val="none" w:sz="0" w:space="0" w:color="auto"/>
        <w:right w:val="none" w:sz="0" w:space="0" w:color="auto"/>
      </w:divBdr>
    </w:div>
    <w:div w:id="113140605">
      <w:bodyDiv w:val="1"/>
      <w:marLeft w:val="0"/>
      <w:marRight w:val="0"/>
      <w:marTop w:val="0"/>
      <w:marBottom w:val="0"/>
      <w:divBdr>
        <w:top w:val="none" w:sz="0" w:space="0" w:color="auto"/>
        <w:left w:val="none" w:sz="0" w:space="0" w:color="auto"/>
        <w:bottom w:val="none" w:sz="0" w:space="0" w:color="auto"/>
        <w:right w:val="none" w:sz="0" w:space="0" w:color="auto"/>
      </w:divBdr>
    </w:div>
    <w:div w:id="113404302">
      <w:bodyDiv w:val="1"/>
      <w:marLeft w:val="0"/>
      <w:marRight w:val="0"/>
      <w:marTop w:val="0"/>
      <w:marBottom w:val="0"/>
      <w:divBdr>
        <w:top w:val="none" w:sz="0" w:space="0" w:color="auto"/>
        <w:left w:val="none" w:sz="0" w:space="0" w:color="auto"/>
        <w:bottom w:val="none" w:sz="0" w:space="0" w:color="auto"/>
        <w:right w:val="none" w:sz="0" w:space="0" w:color="auto"/>
      </w:divBdr>
    </w:div>
    <w:div w:id="113639775">
      <w:bodyDiv w:val="1"/>
      <w:marLeft w:val="0"/>
      <w:marRight w:val="0"/>
      <w:marTop w:val="0"/>
      <w:marBottom w:val="0"/>
      <w:divBdr>
        <w:top w:val="none" w:sz="0" w:space="0" w:color="auto"/>
        <w:left w:val="none" w:sz="0" w:space="0" w:color="auto"/>
        <w:bottom w:val="none" w:sz="0" w:space="0" w:color="auto"/>
        <w:right w:val="none" w:sz="0" w:space="0" w:color="auto"/>
      </w:divBdr>
    </w:div>
    <w:div w:id="113670042">
      <w:bodyDiv w:val="1"/>
      <w:marLeft w:val="0"/>
      <w:marRight w:val="0"/>
      <w:marTop w:val="0"/>
      <w:marBottom w:val="0"/>
      <w:divBdr>
        <w:top w:val="none" w:sz="0" w:space="0" w:color="auto"/>
        <w:left w:val="none" w:sz="0" w:space="0" w:color="auto"/>
        <w:bottom w:val="none" w:sz="0" w:space="0" w:color="auto"/>
        <w:right w:val="none" w:sz="0" w:space="0" w:color="auto"/>
      </w:divBdr>
    </w:div>
    <w:div w:id="113789888">
      <w:bodyDiv w:val="1"/>
      <w:marLeft w:val="0"/>
      <w:marRight w:val="0"/>
      <w:marTop w:val="0"/>
      <w:marBottom w:val="0"/>
      <w:divBdr>
        <w:top w:val="none" w:sz="0" w:space="0" w:color="auto"/>
        <w:left w:val="none" w:sz="0" w:space="0" w:color="auto"/>
        <w:bottom w:val="none" w:sz="0" w:space="0" w:color="auto"/>
        <w:right w:val="none" w:sz="0" w:space="0" w:color="auto"/>
      </w:divBdr>
    </w:div>
    <w:div w:id="113984586">
      <w:bodyDiv w:val="1"/>
      <w:marLeft w:val="0"/>
      <w:marRight w:val="0"/>
      <w:marTop w:val="0"/>
      <w:marBottom w:val="0"/>
      <w:divBdr>
        <w:top w:val="none" w:sz="0" w:space="0" w:color="auto"/>
        <w:left w:val="none" w:sz="0" w:space="0" w:color="auto"/>
        <w:bottom w:val="none" w:sz="0" w:space="0" w:color="auto"/>
        <w:right w:val="none" w:sz="0" w:space="0" w:color="auto"/>
      </w:divBdr>
    </w:div>
    <w:div w:id="113988701">
      <w:bodyDiv w:val="1"/>
      <w:marLeft w:val="0"/>
      <w:marRight w:val="0"/>
      <w:marTop w:val="0"/>
      <w:marBottom w:val="0"/>
      <w:divBdr>
        <w:top w:val="none" w:sz="0" w:space="0" w:color="auto"/>
        <w:left w:val="none" w:sz="0" w:space="0" w:color="auto"/>
        <w:bottom w:val="none" w:sz="0" w:space="0" w:color="auto"/>
        <w:right w:val="none" w:sz="0" w:space="0" w:color="auto"/>
      </w:divBdr>
    </w:div>
    <w:div w:id="114175010">
      <w:bodyDiv w:val="1"/>
      <w:marLeft w:val="0"/>
      <w:marRight w:val="0"/>
      <w:marTop w:val="0"/>
      <w:marBottom w:val="0"/>
      <w:divBdr>
        <w:top w:val="none" w:sz="0" w:space="0" w:color="auto"/>
        <w:left w:val="none" w:sz="0" w:space="0" w:color="auto"/>
        <w:bottom w:val="none" w:sz="0" w:space="0" w:color="auto"/>
        <w:right w:val="none" w:sz="0" w:space="0" w:color="auto"/>
      </w:divBdr>
    </w:div>
    <w:div w:id="114251175">
      <w:bodyDiv w:val="1"/>
      <w:marLeft w:val="0"/>
      <w:marRight w:val="0"/>
      <w:marTop w:val="0"/>
      <w:marBottom w:val="0"/>
      <w:divBdr>
        <w:top w:val="none" w:sz="0" w:space="0" w:color="auto"/>
        <w:left w:val="none" w:sz="0" w:space="0" w:color="auto"/>
        <w:bottom w:val="none" w:sz="0" w:space="0" w:color="auto"/>
        <w:right w:val="none" w:sz="0" w:space="0" w:color="auto"/>
      </w:divBdr>
    </w:div>
    <w:div w:id="114251760">
      <w:bodyDiv w:val="1"/>
      <w:marLeft w:val="0"/>
      <w:marRight w:val="0"/>
      <w:marTop w:val="0"/>
      <w:marBottom w:val="0"/>
      <w:divBdr>
        <w:top w:val="none" w:sz="0" w:space="0" w:color="auto"/>
        <w:left w:val="none" w:sz="0" w:space="0" w:color="auto"/>
        <w:bottom w:val="none" w:sz="0" w:space="0" w:color="auto"/>
        <w:right w:val="none" w:sz="0" w:space="0" w:color="auto"/>
      </w:divBdr>
    </w:div>
    <w:div w:id="114253390">
      <w:bodyDiv w:val="1"/>
      <w:marLeft w:val="0"/>
      <w:marRight w:val="0"/>
      <w:marTop w:val="0"/>
      <w:marBottom w:val="0"/>
      <w:divBdr>
        <w:top w:val="none" w:sz="0" w:space="0" w:color="auto"/>
        <w:left w:val="none" w:sz="0" w:space="0" w:color="auto"/>
        <w:bottom w:val="none" w:sz="0" w:space="0" w:color="auto"/>
        <w:right w:val="none" w:sz="0" w:space="0" w:color="auto"/>
      </w:divBdr>
    </w:div>
    <w:div w:id="115149190">
      <w:bodyDiv w:val="1"/>
      <w:marLeft w:val="0"/>
      <w:marRight w:val="0"/>
      <w:marTop w:val="0"/>
      <w:marBottom w:val="0"/>
      <w:divBdr>
        <w:top w:val="none" w:sz="0" w:space="0" w:color="auto"/>
        <w:left w:val="none" w:sz="0" w:space="0" w:color="auto"/>
        <w:bottom w:val="none" w:sz="0" w:space="0" w:color="auto"/>
        <w:right w:val="none" w:sz="0" w:space="0" w:color="auto"/>
      </w:divBdr>
    </w:div>
    <w:div w:id="115149477">
      <w:bodyDiv w:val="1"/>
      <w:marLeft w:val="0"/>
      <w:marRight w:val="0"/>
      <w:marTop w:val="0"/>
      <w:marBottom w:val="0"/>
      <w:divBdr>
        <w:top w:val="none" w:sz="0" w:space="0" w:color="auto"/>
        <w:left w:val="none" w:sz="0" w:space="0" w:color="auto"/>
        <w:bottom w:val="none" w:sz="0" w:space="0" w:color="auto"/>
        <w:right w:val="none" w:sz="0" w:space="0" w:color="auto"/>
      </w:divBdr>
    </w:div>
    <w:div w:id="115222108">
      <w:bodyDiv w:val="1"/>
      <w:marLeft w:val="0"/>
      <w:marRight w:val="0"/>
      <w:marTop w:val="0"/>
      <w:marBottom w:val="0"/>
      <w:divBdr>
        <w:top w:val="none" w:sz="0" w:space="0" w:color="auto"/>
        <w:left w:val="none" w:sz="0" w:space="0" w:color="auto"/>
        <w:bottom w:val="none" w:sz="0" w:space="0" w:color="auto"/>
        <w:right w:val="none" w:sz="0" w:space="0" w:color="auto"/>
      </w:divBdr>
    </w:div>
    <w:div w:id="115367618">
      <w:bodyDiv w:val="1"/>
      <w:marLeft w:val="0"/>
      <w:marRight w:val="0"/>
      <w:marTop w:val="0"/>
      <w:marBottom w:val="0"/>
      <w:divBdr>
        <w:top w:val="none" w:sz="0" w:space="0" w:color="auto"/>
        <w:left w:val="none" w:sz="0" w:space="0" w:color="auto"/>
        <w:bottom w:val="none" w:sz="0" w:space="0" w:color="auto"/>
        <w:right w:val="none" w:sz="0" w:space="0" w:color="auto"/>
      </w:divBdr>
    </w:div>
    <w:div w:id="115410922">
      <w:bodyDiv w:val="1"/>
      <w:marLeft w:val="0"/>
      <w:marRight w:val="0"/>
      <w:marTop w:val="0"/>
      <w:marBottom w:val="0"/>
      <w:divBdr>
        <w:top w:val="none" w:sz="0" w:space="0" w:color="auto"/>
        <w:left w:val="none" w:sz="0" w:space="0" w:color="auto"/>
        <w:bottom w:val="none" w:sz="0" w:space="0" w:color="auto"/>
        <w:right w:val="none" w:sz="0" w:space="0" w:color="auto"/>
      </w:divBdr>
    </w:div>
    <w:div w:id="115416229">
      <w:bodyDiv w:val="1"/>
      <w:marLeft w:val="0"/>
      <w:marRight w:val="0"/>
      <w:marTop w:val="0"/>
      <w:marBottom w:val="0"/>
      <w:divBdr>
        <w:top w:val="none" w:sz="0" w:space="0" w:color="auto"/>
        <w:left w:val="none" w:sz="0" w:space="0" w:color="auto"/>
        <w:bottom w:val="none" w:sz="0" w:space="0" w:color="auto"/>
        <w:right w:val="none" w:sz="0" w:space="0" w:color="auto"/>
      </w:divBdr>
    </w:div>
    <w:div w:id="115492254">
      <w:bodyDiv w:val="1"/>
      <w:marLeft w:val="0"/>
      <w:marRight w:val="0"/>
      <w:marTop w:val="0"/>
      <w:marBottom w:val="0"/>
      <w:divBdr>
        <w:top w:val="none" w:sz="0" w:space="0" w:color="auto"/>
        <w:left w:val="none" w:sz="0" w:space="0" w:color="auto"/>
        <w:bottom w:val="none" w:sz="0" w:space="0" w:color="auto"/>
        <w:right w:val="none" w:sz="0" w:space="0" w:color="auto"/>
      </w:divBdr>
    </w:div>
    <w:div w:id="115567857">
      <w:bodyDiv w:val="1"/>
      <w:marLeft w:val="0"/>
      <w:marRight w:val="0"/>
      <w:marTop w:val="0"/>
      <w:marBottom w:val="0"/>
      <w:divBdr>
        <w:top w:val="none" w:sz="0" w:space="0" w:color="auto"/>
        <w:left w:val="none" w:sz="0" w:space="0" w:color="auto"/>
        <w:bottom w:val="none" w:sz="0" w:space="0" w:color="auto"/>
        <w:right w:val="none" w:sz="0" w:space="0" w:color="auto"/>
      </w:divBdr>
    </w:div>
    <w:div w:id="115568495">
      <w:bodyDiv w:val="1"/>
      <w:marLeft w:val="0"/>
      <w:marRight w:val="0"/>
      <w:marTop w:val="0"/>
      <w:marBottom w:val="0"/>
      <w:divBdr>
        <w:top w:val="none" w:sz="0" w:space="0" w:color="auto"/>
        <w:left w:val="none" w:sz="0" w:space="0" w:color="auto"/>
        <w:bottom w:val="none" w:sz="0" w:space="0" w:color="auto"/>
        <w:right w:val="none" w:sz="0" w:space="0" w:color="auto"/>
      </w:divBdr>
    </w:div>
    <w:div w:id="115569000">
      <w:bodyDiv w:val="1"/>
      <w:marLeft w:val="0"/>
      <w:marRight w:val="0"/>
      <w:marTop w:val="0"/>
      <w:marBottom w:val="0"/>
      <w:divBdr>
        <w:top w:val="none" w:sz="0" w:space="0" w:color="auto"/>
        <w:left w:val="none" w:sz="0" w:space="0" w:color="auto"/>
        <w:bottom w:val="none" w:sz="0" w:space="0" w:color="auto"/>
        <w:right w:val="none" w:sz="0" w:space="0" w:color="auto"/>
      </w:divBdr>
    </w:div>
    <w:div w:id="115680076">
      <w:bodyDiv w:val="1"/>
      <w:marLeft w:val="0"/>
      <w:marRight w:val="0"/>
      <w:marTop w:val="0"/>
      <w:marBottom w:val="0"/>
      <w:divBdr>
        <w:top w:val="none" w:sz="0" w:space="0" w:color="auto"/>
        <w:left w:val="none" w:sz="0" w:space="0" w:color="auto"/>
        <w:bottom w:val="none" w:sz="0" w:space="0" w:color="auto"/>
        <w:right w:val="none" w:sz="0" w:space="0" w:color="auto"/>
      </w:divBdr>
    </w:div>
    <w:div w:id="115681350">
      <w:bodyDiv w:val="1"/>
      <w:marLeft w:val="0"/>
      <w:marRight w:val="0"/>
      <w:marTop w:val="0"/>
      <w:marBottom w:val="0"/>
      <w:divBdr>
        <w:top w:val="none" w:sz="0" w:space="0" w:color="auto"/>
        <w:left w:val="none" w:sz="0" w:space="0" w:color="auto"/>
        <w:bottom w:val="none" w:sz="0" w:space="0" w:color="auto"/>
        <w:right w:val="none" w:sz="0" w:space="0" w:color="auto"/>
      </w:divBdr>
    </w:div>
    <w:div w:id="115759294">
      <w:bodyDiv w:val="1"/>
      <w:marLeft w:val="0"/>
      <w:marRight w:val="0"/>
      <w:marTop w:val="0"/>
      <w:marBottom w:val="0"/>
      <w:divBdr>
        <w:top w:val="none" w:sz="0" w:space="0" w:color="auto"/>
        <w:left w:val="none" w:sz="0" w:space="0" w:color="auto"/>
        <w:bottom w:val="none" w:sz="0" w:space="0" w:color="auto"/>
        <w:right w:val="none" w:sz="0" w:space="0" w:color="auto"/>
      </w:divBdr>
    </w:div>
    <w:div w:id="116026543">
      <w:bodyDiv w:val="1"/>
      <w:marLeft w:val="0"/>
      <w:marRight w:val="0"/>
      <w:marTop w:val="0"/>
      <w:marBottom w:val="0"/>
      <w:divBdr>
        <w:top w:val="none" w:sz="0" w:space="0" w:color="auto"/>
        <w:left w:val="none" w:sz="0" w:space="0" w:color="auto"/>
        <w:bottom w:val="none" w:sz="0" w:space="0" w:color="auto"/>
        <w:right w:val="none" w:sz="0" w:space="0" w:color="auto"/>
      </w:divBdr>
    </w:div>
    <w:div w:id="116030447">
      <w:bodyDiv w:val="1"/>
      <w:marLeft w:val="0"/>
      <w:marRight w:val="0"/>
      <w:marTop w:val="0"/>
      <w:marBottom w:val="0"/>
      <w:divBdr>
        <w:top w:val="none" w:sz="0" w:space="0" w:color="auto"/>
        <w:left w:val="none" w:sz="0" w:space="0" w:color="auto"/>
        <w:bottom w:val="none" w:sz="0" w:space="0" w:color="auto"/>
        <w:right w:val="none" w:sz="0" w:space="0" w:color="auto"/>
      </w:divBdr>
    </w:div>
    <w:div w:id="116222311">
      <w:bodyDiv w:val="1"/>
      <w:marLeft w:val="0"/>
      <w:marRight w:val="0"/>
      <w:marTop w:val="0"/>
      <w:marBottom w:val="0"/>
      <w:divBdr>
        <w:top w:val="none" w:sz="0" w:space="0" w:color="auto"/>
        <w:left w:val="none" w:sz="0" w:space="0" w:color="auto"/>
        <w:bottom w:val="none" w:sz="0" w:space="0" w:color="auto"/>
        <w:right w:val="none" w:sz="0" w:space="0" w:color="auto"/>
      </w:divBdr>
    </w:div>
    <w:div w:id="116338873">
      <w:bodyDiv w:val="1"/>
      <w:marLeft w:val="0"/>
      <w:marRight w:val="0"/>
      <w:marTop w:val="0"/>
      <w:marBottom w:val="0"/>
      <w:divBdr>
        <w:top w:val="none" w:sz="0" w:space="0" w:color="auto"/>
        <w:left w:val="none" w:sz="0" w:space="0" w:color="auto"/>
        <w:bottom w:val="none" w:sz="0" w:space="0" w:color="auto"/>
        <w:right w:val="none" w:sz="0" w:space="0" w:color="auto"/>
      </w:divBdr>
    </w:div>
    <w:div w:id="116654486">
      <w:bodyDiv w:val="1"/>
      <w:marLeft w:val="0"/>
      <w:marRight w:val="0"/>
      <w:marTop w:val="0"/>
      <w:marBottom w:val="0"/>
      <w:divBdr>
        <w:top w:val="none" w:sz="0" w:space="0" w:color="auto"/>
        <w:left w:val="none" w:sz="0" w:space="0" w:color="auto"/>
        <w:bottom w:val="none" w:sz="0" w:space="0" w:color="auto"/>
        <w:right w:val="none" w:sz="0" w:space="0" w:color="auto"/>
      </w:divBdr>
    </w:div>
    <w:div w:id="116804069">
      <w:bodyDiv w:val="1"/>
      <w:marLeft w:val="0"/>
      <w:marRight w:val="0"/>
      <w:marTop w:val="0"/>
      <w:marBottom w:val="0"/>
      <w:divBdr>
        <w:top w:val="none" w:sz="0" w:space="0" w:color="auto"/>
        <w:left w:val="none" w:sz="0" w:space="0" w:color="auto"/>
        <w:bottom w:val="none" w:sz="0" w:space="0" w:color="auto"/>
        <w:right w:val="none" w:sz="0" w:space="0" w:color="auto"/>
      </w:divBdr>
    </w:div>
    <w:div w:id="116876553">
      <w:bodyDiv w:val="1"/>
      <w:marLeft w:val="0"/>
      <w:marRight w:val="0"/>
      <w:marTop w:val="0"/>
      <w:marBottom w:val="0"/>
      <w:divBdr>
        <w:top w:val="none" w:sz="0" w:space="0" w:color="auto"/>
        <w:left w:val="none" w:sz="0" w:space="0" w:color="auto"/>
        <w:bottom w:val="none" w:sz="0" w:space="0" w:color="auto"/>
        <w:right w:val="none" w:sz="0" w:space="0" w:color="auto"/>
      </w:divBdr>
    </w:div>
    <w:div w:id="116995096">
      <w:bodyDiv w:val="1"/>
      <w:marLeft w:val="0"/>
      <w:marRight w:val="0"/>
      <w:marTop w:val="0"/>
      <w:marBottom w:val="0"/>
      <w:divBdr>
        <w:top w:val="none" w:sz="0" w:space="0" w:color="auto"/>
        <w:left w:val="none" w:sz="0" w:space="0" w:color="auto"/>
        <w:bottom w:val="none" w:sz="0" w:space="0" w:color="auto"/>
        <w:right w:val="none" w:sz="0" w:space="0" w:color="auto"/>
      </w:divBdr>
    </w:div>
    <w:div w:id="117065365">
      <w:bodyDiv w:val="1"/>
      <w:marLeft w:val="0"/>
      <w:marRight w:val="0"/>
      <w:marTop w:val="0"/>
      <w:marBottom w:val="0"/>
      <w:divBdr>
        <w:top w:val="none" w:sz="0" w:space="0" w:color="auto"/>
        <w:left w:val="none" w:sz="0" w:space="0" w:color="auto"/>
        <w:bottom w:val="none" w:sz="0" w:space="0" w:color="auto"/>
        <w:right w:val="none" w:sz="0" w:space="0" w:color="auto"/>
      </w:divBdr>
    </w:div>
    <w:div w:id="117073228">
      <w:bodyDiv w:val="1"/>
      <w:marLeft w:val="0"/>
      <w:marRight w:val="0"/>
      <w:marTop w:val="0"/>
      <w:marBottom w:val="0"/>
      <w:divBdr>
        <w:top w:val="none" w:sz="0" w:space="0" w:color="auto"/>
        <w:left w:val="none" w:sz="0" w:space="0" w:color="auto"/>
        <w:bottom w:val="none" w:sz="0" w:space="0" w:color="auto"/>
        <w:right w:val="none" w:sz="0" w:space="0" w:color="auto"/>
      </w:divBdr>
    </w:div>
    <w:div w:id="117339304">
      <w:bodyDiv w:val="1"/>
      <w:marLeft w:val="0"/>
      <w:marRight w:val="0"/>
      <w:marTop w:val="0"/>
      <w:marBottom w:val="0"/>
      <w:divBdr>
        <w:top w:val="none" w:sz="0" w:space="0" w:color="auto"/>
        <w:left w:val="none" w:sz="0" w:space="0" w:color="auto"/>
        <w:bottom w:val="none" w:sz="0" w:space="0" w:color="auto"/>
        <w:right w:val="none" w:sz="0" w:space="0" w:color="auto"/>
      </w:divBdr>
    </w:div>
    <w:div w:id="117531291">
      <w:bodyDiv w:val="1"/>
      <w:marLeft w:val="0"/>
      <w:marRight w:val="0"/>
      <w:marTop w:val="0"/>
      <w:marBottom w:val="0"/>
      <w:divBdr>
        <w:top w:val="none" w:sz="0" w:space="0" w:color="auto"/>
        <w:left w:val="none" w:sz="0" w:space="0" w:color="auto"/>
        <w:bottom w:val="none" w:sz="0" w:space="0" w:color="auto"/>
        <w:right w:val="none" w:sz="0" w:space="0" w:color="auto"/>
      </w:divBdr>
    </w:div>
    <w:div w:id="117647649">
      <w:bodyDiv w:val="1"/>
      <w:marLeft w:val="0"/>
      <w:marRight w:val="0"/>
      <w:marTop w:val="0"/>
      <w:marBottom w:val="0"/>
      <w:divBdr>
        <w:top w:val="none" w:sz="0" w:space="0" w:color="auto"/>
        <w:left w:val="none" w:sz="0" w:space="0" w:color="auto"/>
        <w:bottom w:val="none" w:sz="0" w:space="0" w:color="auto"/>
        <w:right w:val="none" w:sz="0" w:space="0" w:color="auto"/>
      </w:divBdr>
    </w:div>
    <w:div w:id="117649648">
      <w:bodyDiv w:val="1"/>
      <w:marLeft w:val="0"/>
      <w:marRight w:val="0"/>
      <w:marTop w:val="0"/>
      <w:marBottom w:val="0"/>
      <w:divBdr>
        <w:top w:val="none" w:sz="0" w:space="0" w:color="auto"/>
        <w:left w:val="none" w:sz="0" w:space="0" w:color="auto"/>
        <w:bottom w:val="none" w:sz="0" w:space="0" w:color="auto"/>
        <w:right w:val="none" w:sz="0" w:space="0" w:color="auto"/>
      </w:divBdr>
    </w:div>
    <w:div w:id="117721314">
      <w:bodyDiv w:val="1"/>
      <w:marLeft w:val="0"/>
      <w:marRight w:val="0"/>
      <w:marTop w:val="0"/>
      <w:marBottom w:val="0"/>
      <w:divBdr>
        <w:top w:val="none" w:sz="0" w:space="0" w:color="auto"/>
        <w:left w:val="none" w:sz="0" w:space="0" w:color="auto"/>
        <w:bottom w:val="none" w:sz="0" w:space="0" w:color="auto"/>
        <w:right w:val="none" w:sz="0" w:space="0" w:color="auto"/>
      </w:divBdr>
    </w:div>
    <w:div w:id="117727408">
      <w:bodyDiv w:val="1"/>
      <w:marLeft w:val="0"/>
      <w:marRight w:val="0"/>
      <w:marTop w:val="0"/>
      <w:marBottom w:val="0"/>
      <w:divBdr>
        <w:top w:val="none" w:sz="0" w:space="0" w:color="auto"/>
        <w:left w:val="none" w:sz="0" w:space="0" w:color="auto"/>
        <w:bottom w:val="none" w:sz="0" w:space="0" w:color="auto"/>
        <w:right w:val="none" w:sz="0" w:space="0" w:color="auto"/>
      </w:divBdr>
    </w:div>
    <w:div w:id="118108078">
      <w:bodyDiv w:val="1"/>
      <w:marLeft w:val="0"/>
      <w:marRight w:val="0"/>
      <w:marTop w:val="0"/>
      <w:marBottom w:val="0"/>
      <w:divBdr>
        <w:top w:val="none" w:sz="0" w:space="0" w:color="auto"/>
        <w:left w:val="none" w:sz="0" w:space="0" w:color="auto"/>
        <w:bottom w:val="none" w:sz="0" w:space="0" w:color="auto"/>
        <w:right w:val="none" w:sz="0" w:space="0" w:color="auto"/>
      </w:divBdr>
    </w:div>
    <w:div w:id="118186978">
      <w:bodyDiv w:val="1"/>
      <w:marLeft w:val="0"/>
      <w:marRight w:val="0"/>
      <w:marTop w:val="0"/>
      <w:marBottom w:val="0"/>
      <w:divBdr>
        <w:top w:val="none" w:sz="0" w:space="0" w:color="auto"/>
        <w:left w:val="none" w:sz="0" w:space="0" w:color="auto"/>
        <w:bottom w:val="none" w:sz="0" w:space="0" w:color="auto"/>
        <w:right w:val="none" w:sz="0" w:space="0" w:color="auto"/>
      </w:divBdr>
    </w:div>
    <w:div w:id="118187231">
      <w:bodyDiv w:val="1"/>
      <w:marLeft w:val="0"/>
      <w:marRight w:val="0"/>
      <w:marTop w:val="0"/>
      <w:marBottom w:val="0"/>
      <w:divBdr>
        <w:top w:val="none" w:sz="0" w:space="0" w:color="auto"/>
        <w:left w:val="none" w:sz="0" w:space="0" w:color="auto"/>
        <w:bottom w:val="none" w:sz="0" w:space="0" w:color="auto"/>
        <w:right w:val="none" w:sz="0" w:space="0" w:color="auto"/>
      </w:divBdr>
    </w:div>
    <w:div w:id="118227696">
      <w:bodyDiv w:val="1"/>
      <w:marLeft w:val="0"/>
      <w:marRight w:val="0"/>
      <w:marTop w:val="0"/>
      <w:marBottom w:val="0"/>
      <w:divBdr>
        <w:top w:val="none" w:sz="0" w:space="0" w:color="auto"/>
        <w:left w:val="none" w:sz="0" w:space="0" w:color="auto"/>
        <w:bottom w:val="none" w:sz="0" w:space="0" w:color="auto"/>
        <w:right w:val="none" w:sz="0" w:space="0" w:color="auto"/>
      </w:divBdr>
    </w:div>
    <w:div w:id="118228482">
      <w:bodyDiv w:val="1"/>
      <w:marLeft w:val="0"/>
      <w:marRight w:val="0"/>
      <w:marTop w:val="0"/>
      <w:marBottom w:val="0"/>
      <w:divBdr>
        <w:top w:val="none" w:sz="0" w:space="0" w:color="auto"/>
        <w:left w:val="none" w:sz="0" w:space="0" w:color="auto"/>
        <w:bottom w:val="none" w:sz="0" w:space="0" w:color="auto"/>
        <w:right w:val="none" w:sz="0" w:space="0" w:color="auto"/>
      </w:divBdr>
    </w:div>
    <w:div w:id="118231132">
      <w:bodyDiv w:val="1"/>
      <w:marLeft w:val="0"/>
      <w:marRight w:val="0"/>
      <w:marTop w:val="0"/>
      <w:marBottom w:val="0"/>
      <w:divBdr>
        <w:top w:val="none" w:sz="0" w:space="0" w:color="auto"/>
        <w:left w:val="none" w:sz="0" w:space="0" w:color="auto"/>
        <w:bottom w:val="none" w:sz="0" w:space="0" w:color="auto"/>
        <w:right w:val="none" w:sz="0" w:space="0" w:color="auto"/>
      </w:divBdr>
    </w:div>
    <w:div w:id="118378131">
      <w:bodyDiv w:val="1"/>
      <w:marLeft w:val="0"/>
      <w:marRight w:val="0"/>
      <w:marTop w:val="0"/>
      <w:marBottom w:val="0"/>
      <w:divBdr>
        <w:top w:val="none" w:sz="0" w:space="0" w:color="auto"/>
        <w:left w:val="none" w:sz="0" w:space="0" w:color="auto"/>
        <w:bottom w:val="none" w:sz="0" w:space="0" w:color="auto"/>
        <w:right w:val="none" w:sz="0" w:space="0" w:color="auto"/>
      </w:divBdr>
    </w:div>
    <w:div w:id="118645425">
      <w:bodyDiv w:val="1"/>
      <w:marLeft w:val="0"/>
      <w:marRight w:val="0"/>
      <w:marTop w:val="0"/>
      <w:marBottom w:val="0"/>
      <w:divBdr>
        <w:top w:val="none" w:sz="0" w:space="0" w:color="auto"/>
        <w:left w:val="none" w:sz="0" w:space="0" w:color="auto"/>
        <w:bottom w:val="none" w:sz="0" w:space="0" w:color="auto"/>
        <w:right w:val="none" w:sz="0" w:space="0" w:color="auto"/>
      </w:divBdr>
    </w:div>
    <w:div w:id="119150758">
      <w:bodyDiv w:val="1"/>
      <w:marLeft w:val="0"/>
      <w:marRight w:val="0"/>
      <w:marTop w:val="0"/>
      <w:marBottom w:val="0"/>
      <w:divBdr>
        <w:top w:val="none" w:sz="0" w:space="0" w:color="auto"/>
        <w:left w:val="none" w:sz="0" w:space="0" w:color="auto"/>
        <w:bottom w:val="none" w:sz="0" w:space="0" w:color="auto"/>
        <w:right w:val="none" w:sz="0" w:space="0" w:color="auto"/>
      </w:divBdr>
    </w:div>
    <w:div w:id="119301363">
      <w:bodyDiv w:val="1"/>
      <w:marLeft w:val="0"/>
      <w:marRight w:val="0"/>
      <w:marTop w:val="0"/>
      <w:marBottom w:val="0"/>
      <w:divBdr>
        <w:top w:val="none" w:sz="0" w:space="0" w:color="auto"/>
        <w:left w:val="none" w:sz="0" w:space="0" w:color="auto"/>
        <w:bottom w:val="none" w:sz="0" w:space="0" w:color="auto"/>
        <w:right w:val="none" w:sz="0" w:space="0" w:color="auto"/>
      </w:divBdr>
    </w:div>
    <w:div w:id="119418080">
      <w:bodyDiv w:val="1"/>
      <w:marLeft w:val="0"/>
      <w:marRight w:val="0"/>
      <w:marTop w:val="0"/>
      <w:marBottom w:val="0"/>
      <w:divBdr>
        <w:top w:val="none" w:sz="0" w:space="0" w:color="auto"/>
        <w:left w:val="none" w:sz="0" w:space="0" w:color="auto"/>
        <w:bottom w:val="none" w:sz="0" w:space="0" w:color="auto"/>
        <w:right w:val="none" w:sz="0" w:space="0" w:color="auto"/>
      </w:divBdr>
    </w:div>
    <w:div w:id="119537673">
      <w:bodyDiv w:val="1"/>
      <w:marLeft w:val="0"/>
      <w:marRight w:val="0"/>
      <w:marTop w:val="0"/>
      <w:marBottom w:val="0"/>
      <w:divBdr>
        <w:top w:val="none" w:sz="0" w:space="0" w:color="auto"/>
        <w:left w:val="none" w:sz="0" w:space="0" w:color="auto"/>
        <w:bottom w:val="none" w:sz="0" w:space="0" w:color="auto"/>
        <w:right w:val="none" w:sz="0" w:space="0" w:color="auto"/>
      </w:divBdr>
    </w:div>
    <w:div w:id="119619366">
      <w:bodyDiv w:val="1"/>
      <w:marLeft w:val="0"/>
      <w:marRight w:val="0"/>
      <w:marTop w:val="0"/>
      <w:marBottom w:val="0"/>
      <w:divBdr>
        <w:top w:val="none" w:sz="0" w:space="0" w:color="auto"/>
        <w:left w:val="none" w:sz="0" w:space="0" w:color="auto"/>
        <w:bottom w:val="none" w:sz="0" w:space="0" w:color="auto"/>
        <w:right w:val="none" w:sz="0" w:space="0" w:color="auto"/>
      </w:divBdr>
    </w:div>
    <w:div w:id="119689176">
      <w:bodyDiv w:val="1"/>
      <w:marLeft w:val="0"/>
      <w:marRight w:val="0"/>
      <w:marTop w:val="0"/>
      <w:marBottom w:val="0"/>
      <w:divBdr>
        <w:top w:val="none" w:sz="0" w:space="0" w:color="auto"/>
        <w:left w:val="none" w:sz="0" w:space="0" w:color="auto"/>
        <w:bottom w:val="none" w:sz="0" w:space="0" w:color="auto"/>
        <w:right w:val="none" w:sz="0" w:space="0" w:color="auto"/>
      </w:divBdr>
    </w:div>
    <w:div w:id="119762435">
      <w:bodyDiv w:val="1"/>
      <w:marLeft w:val="0"/>
      <w:marRight w:val="0"/>
      <w:marTop w:val="0"/>
      <w:marBottom w:val="0"/>
      <w:divBdr>
        <w:top w:val="none" w:sz="0" w:space="0" w:color="auto"/>
        <w:left w:val="none" w:sz="0" w:space="0" w:color="auto"/>
        <w:bottom w:val="none" w:sz="0" w:space="0" w:color="auto"/>
        <w:right w:val="none" w:sz="0" w:space="0" w:color="auto"/>
      </w:divBdr>
    </w:div>
    <w:div w:id="120072722">
      <w:bodyDiv w:val="1"/>
      <w:marLeft w:val="0"/>
      <w:marRight w:val="0"/>
      <w:marTop w:val="0"/>
      <w:marBottom w:val="0"/>
      <w:divBdr>
        <w:top w:val="none" w:sz="0" w:space="0" w:color="auto"/>
        <w:left w:val="none" w:sz="0" w:space="0" w:color="auto"/>
        <w:bottom w:val="none" w:sz="0" w:space="0" w:color="auto"/>
        <w:right w:val="none" w:sz="0" w:space="0" w:color="auto"/>
      </w:divBdr>
    </w:div>
    <w:div w:id="120150785">
      <w:bodyDiv w:val="1"/>
      <w:marLeft w:val="0"/>
      <w:marRight w:val="0"/>
      <w:marTop w:val="0"/>
      <w:marBottom w:val="0"/>
      <w:divBdr>
        <w:top w:val="none" w:sz="0" w:space="0" w:color="auto"/>
        <w:left w:val="none" w:sz="0" w:space="0" w:color="auto"/>
        <w:bottom w:val="none" w:sz="0" w:space="0" w:color="auto"/>
        <w:right w:val="none" w:sz="0" w:space="0" w:color="auto"/>
      </w:divBdr>
    </w:div>
    <w:div w:id="120156062">
      <w:bodyDiv w:val="1"/>
      <w:marLeft w:val="0"/>
      <w:marRight w:val="0"/>
      <w:marTop w:val="0"/>
      <w:marBottom w:val="0"/>
      <w:divBdr>
        <w:top w:val="none" w:sz="0" w:space="0" w:color="auto"/>
        <w:left w:val="none" w:sz="0" w:space="0" w:color="auto"/>
        <w:bottom w:val="none" w:sz="0" w:space="0" w:color="auto"/>
        <w:right w:val="none" w:sz="0" w:space="0" w:color="auto"/>
      </w:divBdr>
    </w:div>
    <w:div w:id="120194965">
      <w:bodyDiv w:val="1"/>
      <w:marLeft w:val="0"/>
      <w:marRight w:val="0"/>
      <w:marTop w:val="0"/>
      <w:marBottom w:val="0"/>
      <w:divBdr>
        <w:top w:val="none" w:sz="0" w:space="0" w:color="auto"/>
        <w:left w:val="none" w:sz="0" w:space="0" w:color="auto"/>
        <w:bottom w:val="none" w:sz="0" w:space="0" w:color="auto"/>
        <w:right w:val="none" w:sz="0" w:space="0" w:color="auto"/>
      </w:divBdr>
    </w:div>
    <w:div w:id="120196179">
      <w:bodyDiv w:val="1"/>
      <w:marLeft w:val="0"/>
      <w:marRight w:val="0"/>
      <w:marTop w:val="0"/>
      <w:marBottom w:val="0"/>
      <w:divBdr>
        <w:top w:val="none" w:sz="0" w:space="0" w:color="auto"/>
        <w:left w:val="none" w:sz="0" w:space="0" w:color="auto"/>
        <w:bottom w:val="none" w:sz="0" w:space="0" w:color="auto"/>
        <w:right w:val="none" w:sz="0" w:space="0" w:color="auto"/>
      </w:divBdr>
    </w:div>
    <w:div w:id="120617229">
      <w:bodyDiv w:val="1"/>
      <w:marLeft w:val="0"/>
      <w:marRight w:val="0"/>
      <w:marTop w:val="0"/>
      <w:marBottom w:val="0"/>
      <w:divBdr>
        <w:top w:val="none" w:sz="0" w:space="0" w:color="auto"/>
        <w:left w:val="none" w:sz="0" w:space="0" w:color="auto"/>
        <w:bottom w:val="none" w:sz="0" w:space="0" w:color="auto"/>
        <w:right w:val="none" w:sz="0" w:space="0" w:color="auto"/>
      </w:divBdr>
    </w:div>
    <w:div w:id="120653681">
      <w:bodyDiv w:val="1"/>
      <w:marLeft w:val="0"/>
      <w:marRight w:val="0"/>
      <w:marTop w:val="0"/>
      <w:marBottom w:val="0"/>
      <w:divBdr>
        <w:top w:val="none" w:sz="0" w:space="0" w:color="auto"/>
        <w:left w:val="none" w:sz="0" w:space="0" w:color="auto"/>
        <w:bottom w:val="none" w:sz="0" w:space="0" w:color="auto"/>
        <w:right w:val="none" w:sz="0" w:space="0" w:color="auto"/>
      </w:divBdr>
    </w:div>
    <w:div w:id="120659565">
      <w:bodyDiv w:val="1"/>
      <w:marLeft w:val="0"/>
      <w:marRight w:val="0"/>
      <w:marTop w:val="0"/>
      <w:marBottom w:val="0"/>
      <w:divBdr>
        <w:top w:val="none" w:sz="0" w:space="0" w:color="auto"/>
        <w:left w:val="none" w:sz="0" w:space="0" w:color="auto"/>
        <w:bottom w:val="none" w:sz="0" w:space="0" w:color="auto"/>
        <w:right w:val="none" w:sz="0" w:space="0" w:color="auto"/>
      </w:divBdr>
    </w:div>
    <w:div w:id="120735822">
      <w:bodyDiv w:val="1"/>
      <w:marLeft w:val="0"/>
      <w:marRight w:val="0"/>
      <w:marTop w:val="0"/>
      <w:marBottom w:val="0"/>
      <w:divBdr>
        <w:top w:val="none" w:sz="0" w:space="0" w:color="auto"/>
        <w:left w:val="none" w:sz="0" w:space="0" w:color="auto"/>
        <w:bottom w:val="none" w:sz="0" w:space="0" w:color="auto"/>
        <w:right w:val="none" w:sz="0" w:space="0" w:color="auto"/>
      </w:divBdr>
    </w:div>
    <w:div w:id="120805251">
      <w:bodyDiv w:val="1"/>
      <w:marLeft w:val="0"/>
      <w:marRight w:val="0"/>
      <w:marTop w:val="0"/>
      <w:marBottom w:val="0"/>
      <w:divBdr>
        <w:top w:val="none" w:sz="0" w:space="0" w:color="auto"/>
        <w:left w:val="none" w:sz="0" w:space="0" w:color="auto"/>
        <w:bottom w:val="none" w:sz="0" w:space="0" w:color="auto"/>
        <w:right w:val="none" w:sz="0" w:space="0" w:color="auto"/>
      </w:divBdr>
    </w:div>
    <w:div w:id="120923856">
      <w:bodyDiv w:val="1"/>
      <w:marLeft w:val="0"/>
      <w:marRight w:val="0"/>
      <w:marTop w:val="0"/>
      <w:marBottom w:val="0"/>
      <w:divBdr>
        <w:top w:val="none" w:sz="0" w:space="0" w:color="auto"/>
        <w:left w:val="none" w:sz="0" w:space="0" w:color="auto"/>
        <w:bottom w:val="none" w:sz="0" w:space="0" w:color="auto"/>
        <w:right w:val="none" w:sz="0" w:space="0" w:color="auto"/>
      </w:divBdr>
    </w:div>
    <w:div w:id="120925741">
      <w:bodyDiv w:val="1"/>
      <w:marLeft w:val="0"/>
      <w:marRight w:val="0"/>
      <w:marTop w:val="0"/>
      <w:marBottom w:val="0"/>
      <w:divBdr>
        <w:top w:val="none" w:sz="0" w:space="0" w:color="auto"/>
        <w:left w:val="none" w:sz="0" w:space="0" w:color="auto"/>
        <w:bottom w:val="none" w:sz="0" w:space="0" w:color="auto"/>
        <w:right w:val="none" w:sz="0" w:space="0" w:color="auto"/>
      </w:divBdr>
    </w:div>
    <w:div w:id="121048076">
      <w:bodyDiv w:val="1"/>
      <w:marLeft w:val="0"/>
      <w:marRight w:val="0"/>
      <w:marTop w:val="0"/>
      <w:marBottom w:val="0"/>
      <w:divBdr>
        <w:top w:val="none" w:sz="0" w:space="0" w:color="auto"/>
        <w:left w:val="none" w:sz="0" w:space="0" w:color="auto"/>
        <w:bottom w:val="none" w:sz="0" w:space="0" w:color="auto"/>
        <w:right w:val="none" w:sz="0" w:space="0" w:color="auto"/>
      </w:divBdr>
    </w:div>
    <w:div w:id="121073851">
      <w:bodyDiv w:val="1"/>
      <w:marLeft w:val="0"/>
      <w:marRight w:val="0"/>
      <w:marTop w:val="0"/>
      <w:marBottom w:val="0"/>
      <w:divBdr>
        <w:top w:val="none" w:sz="0" w:space="0" w:color="auto"/>
        <w:left w:val="none" w:sz="0" w:space="0" w:color="auto"/>
        <w:bottom w:val="none" w:sz="0" w:space="0" w:color="auto"/>
        <w:right w:val="none" w:sz="0" w:space="0" w:color="auto"/>
      </w:divBdr>
    </w:div>
    <w:div w:id="121074703">
      <w:bodyDiv w:val="1"/>
      <w:marLeft w:val="0"/>
      <w:marRight w:val="0"/>
      <w:marTop w:val="0"/>
      <w:marBottom w:val="0"/>
      <w:divBdr>
        <w:top w:val="none" w:sz="0" w:space="0" w:color="auto"/>
        <w:left w:val="none" w:sz="0" w:space="0" w:color="auto"/>
        <w:bottom w:val="none" w:sz="0" w:space="0" w:color="auto"/>
        <w:right w:val="none" w:sz="0" w:space="0" w:color="auto"/>
      </w:divBdr>
    </w:div>
    <w:div w:id="121074817">
      <w:bodyDiv w:val="1"/>
      <w:marLeft w:val="0"/>
      <w:marRight w:val="0"/>
      <w:marTop w:val="0"/>
      <w:marBottom w:val="0"/>
      <w:divBdr>
        <w:top w:val="none" w:sz="0" w:space="0" w:color="auto"/>
        <w:left w:val="none" w:sz="0" w:space="0" w:color="auto"/>
        <w:bottom w:val="none" w:sz="0" w:space="0" w:color="auto"/>
        <w:right w:val="none" w:sz="0" w:space="0" w:color="auto"/>
      </w:divBdr>
    </w:div>
    <w:div w:id="121268081">
      <w:bodyDiv w:val="1"/>
      <w:marLeft w:val="0"/>
      <w:marRight w:val="0"/>
      <w:marTop w:val="0"/>
      <w:marBottom w:val="0"/>
      <w:divBdr>
        <w:top w:val="none" w:sz="0" w:space="0" w:color="auto"/>
        <w:left w:val="none" w:sz="0" w:space="0" w:color="auto"/>
        <w:bottom w:val="none" w:sz="0" w:space="0" w:color="auto"/>
        <w:right w:val="none" w:sz="0" w:space="0" w:color="auto"/>
      </w:divBdr>
    </w:div>
    <w:div w:id="121576242">
      <w:bodyDiv w:val="1"/>
      <w:marLeft w:val="0"/>
      <w:marRight w:val="0"/>
      <w:marTop w:val="0"/>
      <w:marBottom w:val="0"/>
      <w:divBdr>
        <w:top w:val="none" w:sz="0" w:space="0" w:color="auto"/>
        <w:left w:val="none" w:sz="0" w:space="0" w:color="auto"/>
        <w:bottom w:val="none" w:sz="0" w:space="0" w:color="auto"/>
        <w:right w:val="none" w:sz="0" w:space="0" w:color="auto"/>
      </w:divBdr>
    </w:div>
    <w:div w:id="121970405">
      <w:bodyDiv w:val="1"/>
      <w:marLeft w:val="0"/>
      <w:marRight w:val="0"/>
      <w:marTop w:val="0"/>
      <w:marBottom w:val="0"/>
      <w:divBdr>
        <w:top w:val="none" w:sz="0" w:space="0" w:color="auto"/>
        <w:left w:val="none" w:sz="0" w:space="0" w:color="auto"/>
        <w:bottom w:val="none" w:sz="0" w:space="0" w:color="auto"/>
        <w:right w:val="none" w:sz="0" w:space="0" w:color="auto"/>
      </w:divBdr>
    </w:div>
    <w:div w:id="122038553">
      <w:bodyDiv w:val="1"/>
      <w:marLeft w:val="0"/>
      <w:marRight w:val="0"/>
      <w:marTop w:val="0"/>
      <w:marBottom w:val="0"/>
      <w:divBdr>
        <w:top w:val="none" w:sz="0" w:space="0" w:color="auto"/>
        <w:left w:val="none" w:sz="0" w:space="0" w:color="auto"/>
        <w:bottom w:val="none" w:sz="0" w:space="0" w:color="auto"/>
        <w:right w:val="none" w:sz="0" w:space="0" w:color="auto"/>
      </w:divBdr>
    </w:div>
    <w:div w:id="122427397">
      <w:bodyDiv w:val="1"/>
      <w:marLeft w:val="0"/>
      <w:marRight w:val="0"/>
      <w:marTop w:val="0"/>
      <w:marBottom w:val="0"/>
      <w:divBdr>
        <w:top w:val="none" w:sz="0" w:space="0" w:color="auto"/>
        <w:left w:val="none" w:sz="0" w:space="0" w:color="auto"/>
        <w:bottom w:val="none" w:sz="0" w:space="0" w:color="auto"/>
        <w:right w:val="none" w:sz="0" w:space="0" w:color="auto"/>
      </w:divBdr>
    </w:div>
    <w:div w:id="122580210">
      <w:bodyDiv w:val="1"/>
      <w:marLeft w:val="0"/>
      <w:marRight w:val="0"/>
      <w:marTop w:val="0"/>
      <w:marBottom w:val="0"/>
      <w:divBdr>
        <w:top w:val="none" w:sz="0" w:space="0" w:color="auto"/>
        <w:left w:val="none" w:sz="0" w:space="0" w:color="auto"/>
        <w:bottom w:val="none" w:sz="0" w:space="0" w:color="auto"/>
        <w:right w:val="none" w:sz="0" w:space="0" w:color="auto"/>
      </w:divBdr>
    </w:div>
    <w:div w:id="122698758">
      <w:bodyDiv w:val="1"/>
      <w:marLeft w:val="0"/>
      <w:marRight w:val="0"/>
      <w:marTop w:val="0"/>
      <w:marBottom w:val="0"/>
      <w:divBdr>
        <w:top w:val="none" w:sz="0" w:space="0" w:color="auto"/>
        <w:left w:val="none" w:sz="0" w:space="0" w:color="auto"/>
        <w:bottom w:val="none" w:sz="0" w:space="0" w:color="auto"/>
        <w:right w:val="none" w:sz="0" w:space="0" w:color="auto"/>
      </w:divBdr>
    </w:div>
    <w:div w:id="123081416">
      <w:bodyDiv w:val="1"/>
      <w:marLeft w:val="0"/>
      <w:marRight w:val="0"/>
      <w:marTop w:val="0"/>
      <w:marBottom w:val="0"/>
      <w:divBdr>
        <w:top w:val="none" w:sz="0" w:space="0" w:color="auto"/>
        <w:left w:val="none" w:sz="0" w:space="0" w:color="auto"/>
        <w:bottom w:val="none" w:sz="0" w:space="0" w:color="auto"/>
        <w:right w:val="none" w:sz="0" w:space="0" w:color="auto"/>
      </w:divBdr>
    </w:div>
    <w:div w:id="123083382">
      <w:bodyDiv w:val="1"/>
      <w:marLeft w:val="0"/>
      <w:marRight w:val="0"/>
      <w:marTop w:val="0"/>
      <w:marBottom w:val="0"/>
      <w:divBdr>
        <w:top w:val="none" w:sz="0" w:space="0" w:color="auto"/>
        <w:left w:val="none" w:sz="0" w:space="0" w:color="auto"/>
        <w:bottom w:val="none" w:sz="0" w:space="0" w:color="auto"/>
        <w:right w:val="none" w:sz="0" w:space="0" w:color="auto"/>
      </w:divBdr>
    </w:div>
    <w:div w:id="123089082">
      <w:bodyDiv w:val="1"/>
      <w:marLeft w:val="0"/>
      <w:marRight w:val="0"/>
      <w:marTop w:val="0"/>
      <w:marBottom w:val="0"/>
      <w:divBdr>
        <w:top w:val="none" w:sz="0" w:space="0" w:color="auto"/>
        <w:left w:val="none" w:sz="0" w:space="0" w:color="auto"/>
        <w:bottom w:val="none" w:sz="0" w:space="0" w:color="auto"/>
        <w:right w:val="none" w:sz="0" w:space="0" w:color="auto"/>
      </w:divBdr>
    </w:div>
    <w:div w:id="123160685">
      <w:bodyDiv w:val="1"/>
      <w:marLeft w:val="0"/>
      <w:marRight w:val="0"/>
      <w:marTop w:val="0"/>
      <w:marBottom w:val="0"/>
      <w:divBdr>
        <w:top w:val="none" w:sz="0" w:space="0" w:color="auto"/>
        <w:left w:val="none" w:sz="0" w:space="0" w:color="auto"/>
        <w:bottom w:val="none" w:sz="0" w:space="0" w:color="auto"/>
        <w:right w:val="none" w:sz="0" w:space="0" w:color="auto"/>
      </w:divBdr>
    </w:div>
    <w:div w:id="123350399">
      <w:bodyDiv w:val="1"/>
      <w:marLeft w:val="0"/>
      <w:marRight w:val="0"/>
      <w:marTop w:val="0"/>
      <w:marBottom w:val="0"/>
      <w:divBdr>
        <w:top w:val="none" w:sz="0" w:space="0" w:color="auto"/>
        <w:left w:val="none" w:sz="0" w:space="0" w:color="auto"/>
        <w:bottom w:val="none" w:sz="0" w:space="0" w:color="auto"/>
        <w:right w:val="none" w:sz="0" w:space="0" w:color="auto"/>
      </w:divBdr>
    </w:div>
    <w:div w:id="123475834">
      <w:bodyDiv w:val="1"/>
      <w:marLeft w:val="0"/>
      <w:marRight w:val="0"/>
      <w:marTop w:val="0"/>
      <w:marBottom w:val="0"/>
      <w:divBdr>
        <w:top w:val="none" w:sz="0" w:space="0" w:color="auto"/>
        <w:left w:val="none" w:sz="0" w:space="0" w:color="auto"/>
        <w:bottom w:val="none" w:sz="0" w:space="0" w:color="auto"/>
        <w:right w:val="none" w:sz="0" w:space="0" w:color="auto"/>
      </w:divBdr>
    </w:div>
    <w:div w:id="123621391">
      <w:bodyDiv w:val="1"/>
      <w:marLeft w:val="0"/>
      <w:marRight w:val="0"/>
      <w:marTop w:val="0"/>
      <w:marBottom w:val="0"/>
      <w:divBdr>
        <w:top w:val="none" w:sz="0" w:space="0" w:color="auto"/>
        <w:left w:val="none" w:sz="0" w:space="0" w:color="auto"/>
        <w:bottom w:val="none" w:sz="0" w:space="0" w:color="auto"/>
        <w:right w:val="none" w:sz="0" w:space="0" w:color="auto"/>
      </w:divBdr>
    </w:div>
    <w:div w:id="123738187">
      <w:bodyDiv w:val="1"/>
      <w:marLeft w:val="0"/>
      <w:marRight w:val="0"/>
      <w:marTop w:val="0"/>
      <w:marBottom w:val="0"/>
      <w:divBdr>
        <w:top w:val="none" w:sz="0" w:space="0" w:color="auto"/>
        <w:left w:val="none" w:sz="0" w:space="0" w:color="auto"/>
        <w:bottom w:val="none" w:sz="0" w:space="0" w:color="auto"/>
        <w:right w:val="none" w:sz="0" w:space="0" w:color="auto"/>
      </w:divBdr>
    </w:div>
    <w:div w:id="124086832">
      <w:bodyDiv w:val="1"/>
      <w:marLeft w:val="0"/>
      <w:marRight w:val="0"/>
      <w:marTop w:val="0"/>
      <w:marBottom w:val="0"/>
      <w:divBdr>
        <w:top w:val="none" w:sz="0" w:space="0" w:color="auto"/>
        <w:left w:val="none" w:sz="0" w:space="0" w:color="auto"/>
        <w:bottom w:val="none" w:sz="0" w:space="0" w:color="auto"/>
        <w:right w:val="none" w:sz="0" w:space="0" w:color="auto"/>
      </w:divBdr>
    </w:div>
    <w:div w:id="124351854">
      <w:bodyDiv w:val="1"/>
      <w:marLeft w:val="0"/>
      <w:marRight w:val="0"/>
      <w:marTop w:val="0"/>
      <w:marBottom w:val="0"/>
      <w:divBdr>
        <w:top w:val="none" w:sz="0" w:space="0" w:color="auto"/>
        <w:left w:val="none" w:sz="0" w:space="0" w:color="auto"/>
        <w:bottom w:val="none" w:sz="0" w:space="0" w:color="auto"/>
        <w:right w:val="none" w:sz="0" w:space="0" w:color="auto"/>
      </w:divBdr>
    </w:div>
    <w:div w:id="124391649">
      <w:bodyDiv w:val="1"/>
      <w:marLeft w:val="0"/>
      <w:marRight w:val="0"/>
      <w:marTop w:val="0"/>
      <w:marBottom w:val="0"/>
      <w:divBdr>
        <w:top w:val="none" w:sz="0" w:space="0" w:color="auto"/>
        <w:left w:val="none" w:sz="0" w:space="0" w:color="auto"/>
        <w:bottom w:val="none" w:sz="0" w:space="0" w:color="auto"/>
        <w:right w:val="none" w:sz="0" w:space="0" w:color="auto"/>
      </w:divBdr>
    </w:div>
    <w:div w:id="124471294">
      <w:bodyDiv w:val="1"/>
      <w:marLeft w:val="0"/>
      <w:marRight w:val="0"/>
      <w:marTop w:val="0"/>
      <w:marBottom w:val="0"/>
      <w:divBdr>
        <w:top w:val="none" w:sz="0" w:space="0" w:color="auto"/>
        <w:left w:val="none" w:sz="0" w:space="0" w:color="auto"/>
        <w:bottom w:val="none" w:sz="0" w:space="0" w:color="auto"/>
        <w:right w:val="none" w:sz="0" w:space="0" w:color="auto"/>
      </w:divBdr>
    </w:div>
    <w:div w:id="124471610">
      <w:bodyDiv w:val="1"/>
      <w:marLeft w:val="0"/>
      <w:marRight w:val="0"/>
      <w:marTop w:val="0"/>
      <w:marBottom w:val="0"/>
      <w:divBdr>
        <w:top w:val="none" w:sz="0" w:space="0" w:color="auto"/>
        <w:left w:val="none" w:sz="0" w:space="0" w:color="auto"/>
        <w:bottom w:val="none" w:sz="0" w:space="0" w:color="auto"/>
        <w:right w:val="none" w:sz="0" w:space="0" w:color="auto"/>
      </w:divBdr>
    </w:div>
    <w:div w:id="124546465">
      <w:bodyDiv w:val="1"/>
      <w:marLeft w:val="0"/>
      <w:marRight w:val="0"/>
      <w:marTop w:val="0"/>
      <w:marBottom w:val="0"/>
      <w:divBdr>
        <w:top w:val="none" w:sz="0" w:space="0" w:color="auto"/>
        <w:left w:val="none" w:sz="0" w:space="0" w:color="auto"/>
        <w:bottom w:val="none" w:sz="0" w:space="0" w:color="auto"/>
        <w:right w:val="none" w:sz="0" w:space="0" w:color="auto"/>
      </w:divBdr>
    </w:div>
    <w:div w:id="124592703">
      <w:bodyDiv w:val="1"/>
      <w:marLeft w:val="0"/>
      <w:marRight w:val="0"/>
      <w:marTop w:val="0"/>
      <w:marBottom w:val="0"/>
      <w:divBdr>
        <w:top w:val="none" w:sz="0" w:space="0" w:color="auto"/>
        <w:left w:val="none" w:sz="0" w:space="0" w:color="auto"/>
        <w:bottom w:val="none" w:sz="0" w:space="0" w:color="auto"/>
        <w:right w:val="none" w:sz="0" w:space="0" w:color="auto"/>
      </w:divBdr>
    </w:div>
    <w:div w:id="124668457">
      <w:bodyDiv w:val="1"/>
      <w:marLeft w:val="0"/>
      <w:marRight w:val="0"/>
      <w:marTop w:val="0"/>
      <w:marBottom w:val="0"/>
      <w:divBdr>
        <w:top w:val="none" w:sz="0" w:space="0" w:color="auto"/>
        <w:left w:val="none" w:sz="0" w:space="0" w:color="auto"/>
        <w:bottom w:val="none" w:sz="0" w:space="0" w:color="auto"/>
        <w:right w:val="none" w:sz="0" w:space="0" w:color="auto"/>
      </w:divBdr>
    </w:div>
    <w:div w:id="124735673">
      <w:bodyDiv w:val="1"/>
      <w:marLeft w:val="0"/>
      <w:marRight w:val="0"/>
      <w:marTop w:val="0"/>
      <w:marBottom w:val="0"/>
      <w:divBdr>
        <w:top w:val="none" w:sz="0" w:space="0" w:color="auto"/>
        <w:left w:val="none" w:sz="0" w:space="0" w:color="auto"/>
        <w:bottom w:val="none" w:sz="0" w:space="0" w:color="auto"/>
        <w:right w:val="none" w:sz="0" w:space="0" w:color="auto"/>
      </w:divBdr>
    </w:div>
    <w:div w:id="124738258">
      <w:bodyDiv w:val="1"/>
      <w:marLeft w:val="0"/>
      <w:marRight w:val="0"/>
      <w:marTop w:val="0"/>
      <w:marBottom w:val="0"/>
      <w:divBdr>
        <w:top w:val="none" w:sz="0" w:space="0" w:color="auto"/>
        <w:left w:val="none" w:sz="0" w:space="0" w:color="auto"/>
        <w:bottom w:val="none" w:sz="0" w:space="0" w:color="auto"/>
        <w:right w:val="none" w:sz="0" w:space="0" w:color="auto"/>
      </w:divBdr>
    </w:div>
    <w:div w:id="124738748">
      <w:bodyDiv w:val="1"/>
      <w:marLeft w:val="0"/>
      <w:marRight w:val="0"/>
      <w:marTop w:val="0"/>
      <w:marBottom w:val="0"/>
      <w:divBdr>
        <w:top w:val="none" w:sz="0" w:space="0" w:color="auto"/>
        <w:left w:val="none" w:sz="0" w:space="0" w:color="auto"/>
        <w:bottom w:val="none" w:sz="0" w:space="0" w:color="auto"/>
        <w:right w:val="none" w:sz="0" w:space="0" w:color="auto"/>
      </w:divBdr>
    </w:div>
    <w:div w:id="124742075">
      <w:bodyDiv w:val="1"/>
      <w:marLeft w:val="0"/>
      <w:marRight w:val="0"/>
      <w:marTop w:val="0"/>
      <w:marBottom w:val="0"/>
      <w:divBdr>
        <w:top w:val="none" w:sz="0" w:space="0" w:color="auto"/>
        <w:left w:val="none" w:sz="0" w:space="0" w:color="auto"/>
        <w:bottom w:val="none" w:sz="0" w:space="0" w:color="auto"/>
        <w:right w:val="none" w:sz="0" w:space="0" w:color="auto"/>
      </w:divBdr>
    </w:div>
    <w:div w:id="124742099">
      <w:bodyDiv w:val="1"/>
      <w:marLeft w:val="0"/>
      <w:marRight w:val="0"/>
      <w:marTop w:val="0"/>
      <w:marBottom w:val="0"/>
      <w:divBdr>
        <w:top w:val="none" w:sz="0" w:space="0" w:color="auto"/>
        <w:left w:val="none" w:sz="0" w:space="0" w:color="auto"/>
        <w:bottom w:val="none" w:sz="0" w:space="0" w:color="auto"/>
        <w:right w:val="none" w:sz="0" w:space="0" w:color="auto"/>
      </w:divBdr>
    </w:div>
    <w:div w:id="124855692">
      <w:bodyDiv w:val="1"/>
      <w:marLeft w:val="0"/>
      <w:marRight w:val="0"/>
      <w:marTop w:val="0"/>
      <w:marBottom w:val="0"/>
      <w:divBdr>
        <w:top w:val="none" w:sz="0" w:space="0" w:color="auto"/>
        <w:left w:val="none" w:sz="0" w:space="0" w:color="auto"/>
        <w:bottom w:val="none" w:sz="0" w:space="0" w:color="auto"/>
        <w:right w:val="none" w:sz="0" w:space="0" w:color="auto"/>
      </w:divBdr>
    </w:div>
    <w:div w:id="124934975">
      <w:bodyDiv w:val="1"/>
      <w:marLeft w:val="0"/>
      <w:marRight w:val="0"/>
      <w:marTop w:val="0"/>
      <w:marBottom w:val="0"/>
      <w:divBdr>
        <w:top w:val="none" w:sz="0" w:space="0" w:color="auto"/>
        <w:left w:val="none" w:sz="0" w:space="0" w:color="auto"/>
        <w:bottom w:val="none" w:sz="0" w:space="0" w:color="auto"/>
        <w:right w:val="none" w:sz="0" w:space="0" w:color="auto"/>
      </w:divBdr>
    </w:div>
    <w:div w:id="125046068">
      <w:bodyDiv w:val="1"/>
      <w:marLeft w:val="0"/>
      <w:marRight w:val="0"/>
      <w:marTop w:val="0"/>
      <w:marBottom w:val="0"/>
      <w:divBdr>
        <w:top w:val="none" w:sz="0" w:space="0" w:color="auto"/>
        <w:left w:val="none" w:sz="0" w:space="0" w:color="auto"/>
        <w:bottom w:val="none" w:sz="0" w:space="0" w:color="auto"/>
        <w:right w:val="none" w:sz="0" w:space="0" w:color="auto"/>
      </w:divBdr>
    </w:div>
    <w:div w:id="125047556">
      <w:bodyDiv w:val="1"/>
      <w:marLeft w:val="0"/>
      <w:marRight w:val="0"/>
      <w:marTop w:val="0"/>
      <w:marBottom w:val="0"/>
      <w:divBdr>
        <w:top w:val="none" w:sz="0" w:space="0" w:color="auto"/>
        <w:left w:val="none" w:sz="0" w:space="0" w:color="auto"/>
        <w:bottom w:val="none" w:sz="0" w:space="0" w:color="auto"/>
        <w:right w:val="none" w:sz="0" w:space="0" w:color="auto"/>
      </w:divBdr>
    </w:div>
    <w:div w:id="125124045">
      <w:bodyDiv w:val="1"/>
      <w:marLeft w:val="0"/>
      <w:marRight w:val="0"/>
      <w:marTop w:val="0"/>
      <w:marBottom w:val="0"/>
      <w:divBdr>
        <w:top w:val="none" w:sz="0" w:space="0" w:color="auto"/>
        <w:left w:val="none" w:sz="0" w:space="0" w:color="auto"/>
        <w:bottom w:val="none" w:sz="0" w:space="0" w:color="auto"/>
        <w:right w:val="none" w:sz="0" w:space="0" w:color="auto"/>
      </w:divBdr>
    </w:div>
    <w:div w:id="125124666">
      <w:bodyDiv w:val="1"/>
      <w:marLeft w:val="0"/>
      <w:marRight w:val="0"/>
      <w:marTop w:val="0"/>
      <w:marBottom w:val="0"/>
      <w:divBdr>
        <w:top w:val="none" w:sz="0" w:space="0" w:color="auto"/>
        <w:left w:val="none" w:sz="0" w:space="0" w:color="auto"/>
        <w:bottom w:val="none" w:sz="0" w:space="0" w:color="auto"/>
        <w:right w:val="none" w:sz="0" w:space="0" w:color="auto"/>
      </w:divBdr>
    </w:div>
    <w:div w:id="125393590">
      <w:bodyDiv w:val="1"/>
      <w:marLeft w:val="0"/>
      <w:marRight w:val="0"/>
      <w:marTop w:val="0"/>
      <w:marBottom w:val="0"/>
      <w:divBdr>
        <w:top w:val="none" w:sz="0" w:space="0" w:color="auto"/>
        <w:left w:val="none" w:sz="0" w:space="0" w:color="auto"/>
        <w:bottom w:val="none" w:sz="0" w:space="0" w:color="auto"/>
        <w:right w:val="none" w:sz="0" w:space="0" w:color="auto"/>
      </w:divBdr>
    </w:div>
    <w:div w:id="125436368">
      <w:bodyDiv w:val="1"/>
      <w:marLeft w:val="0"/>
      <w:marRight w:val="0"/>
      <w:marTop w:val="0"/>
      <w:marBottom w:val="0"/>
      <w:divBdr>
        <w:top w:val="none" w:sz="0" w:space="0" w:color="auto"/>
        <w:left w:val="none" w:sz="0" w:space="0" w:color="auto"/>
        <w:bottom w:val="none" w:sz="0" w:space="0" w:color="auto"/>
        <w:right w:val="none" w:sz="0" w:space="0" w:color="auto"/>
      </w:divBdr>
    </w:div>
    <w:div w:id="125587224">
      <w:bodyDiv w:val="1"/>
      <w:marLeft w:val="0"/>
      <w:marRight w:val="0"/>
      <w:marTop w:val="0"/>
      <w:marBottom w:val="0"/>
      <w:divBdr>
        <w:top w:val="none" w:sz="0" w:space="0" w:color="auto"/>
        <w:left w:val="none" w:sz="0" w:space="0" w:color="auto"/>
        <w:bottom w:val="none" w:sz="0" w:space="0" w:color="auto"/>
        <w:right w:val="none" w:sz="0" w:space="0" w:color="auto"/>
      </w:divBdr>
    </w:div>
    <w:div w:id="125590237">
      <w:bodyDiv w:val="1"/>
      <w:marLeft w:val="0"/>
      <w:marRight w:val="0"/>
      <w:marTop w:val="0"/>
      <w:marBottom w:val="0"/>
      <w:divBdr>
        <w:top w:val="none" w:sz="0" w:space="0" w:color="auto"/>
        <w:left w:val="none" w:sz="0" w:space="0" w:color="auto"/>
        <w:bottom w:val="none" w:sz="0" w:space="0" w:color="auto"/>
        <w:right w:val="none" w:sz="0" w:space="0" w:color="auto"/>
      </w:divBdr>
    </w:div>
    <w:div w:id="125703830">
      <w:bodyDiv w:val="1"/>
      <w:marLeft w:val="0"/>
      <w:marRight w:val="0"/>
      <w:marTop w:val="0"/>
      <w:marBottom w:val="0"/>
      <w:divBdr>
        <w:top w:val="none" w:sz="0" w:space="0" w:color="auto"/>
        <w:left w:val="none" w:sz="0" w:space="0" w:color="auto"/>
        <w:bottom w:val="none" w:sz="0" w:space="0" w:color="auto"/>
        <w:right w:val="none" w:sz="0" w:space="0" w:color="auto"/>
      </w:divBdr>
    </w:div>
    <w:div w:id="125894936">
      <w:bodyDiv w:val="1"/>
      <w:marLeft w:val="0"/>
      <w:marRight w:val="0"/>
      <w:marTop w:val="0"/>
      <w:marBottom w:val="0"/>
      <w:divBdr>
        <w:top w:val="none" w:sz="0" w:space="0" w:color="auto"/>
        <w:left w:val="none" w:sz="0" w:space="0" w:color="auto"/>
        <w:bottom w:val="none" w:sz="0" w:space="0" w:color="auto"/>
        <w:right w:val="none" w:sz="0" w:space="0" w:color="auto"/>
      </w:divBdr>
    </w:div>
    <w:div w:id="125897866">
      <w:bodyDiv w:val="1"/>
      <w:marLeft w:val="0"/>
      <w:marRight w:val="0"/>
      <w:marTop w:val="0"/>
      <w:marBottom w:val="0"/>
      <w:divBdr>
        <w:top w:val="none" w:sz="0" w:space="0" w:color="auto"/>
        <w:left w:val="none" w:sz="0" w:space="0" w:color="auto"/>
        <w:bottom w:val="none" w:sz="0" w:space="0" w:color="auto"/>
        <w:right w:val="none" w:sz="0" w:space="0" w:color="auto"/>
      </w:divBdr>
    </w:div>
    <w:div w:id="126168882">
      <w:bodyDiv w:val="1"/>
      <w:marLeft w:val="0"/>
      <w:marRight w:val="0"/>
      <w:marTop w:val="0"/>
      <w:marBottom w:val="0"/>
      <w:divBdr>
        <w:top w:val="none" w:sz="0" w:space="0" w:color="auto"/>
        <w:left w:val="none" w:sz="0" w:space="0" w:color="auto"/>
        <w:bottom w:val="none" w:sz="0" w:space="0" w:color="auto"/>
        <w:right w:val="none" w:sz="0" w:space="0" w:color="auto"/>
      </w:divBdr>
    </w:div>
    <w:div w:id="126247251">
      <w:bodyDiv w:val="1"/>
      <w:marLeft w:val="0"/>
      <w:marRight w:val="0"/>
      <w:marTop w:val="0"/>
      <w:marBottom w:val="0"/>
      <w:divBdr>
        <w:top w:val="none" w:sz="0" w:space="0" w:color="auto"/>
        <w:left w:val="none" w:sz="0" w:space="0" w:color="auto"/>
        <w:bottom w:val="none" w:sz="0" w:space="0" w:color="auto"/>
        <w:right w:val="none" w:sz="0" w:space="0" w:color="auto"/>
      </w:divBdr>
    </w:div>
    <w:div w:id="126315845">
      <w:bodyDiv w:val="1"/>
      <w:marLeft w:val="0"/>
      <w:marRight w:val="0"/>
      <w:marTop w:val="0"/>
      <w:marBottom w:val="0"/>
      <w:divBdr>
        <w:top w:val="none" w:sz="0" w:space="0" w:color="auto"/>
        <w:left w:val="none" w:sz="0" w:space="0" w:color="auto"/>
        <w:bottom w:val="none" w:sz="0" w:space="0" w:color="auto"/>
        <w:right w:val="none" w:sz="0" w:space="0" w:color="auto"/>
      </w:divBdr>
    </w:div>
    <w:div w:id="126433558">
      <w:bodyDiv w:val="1"/>
      <w:marLeft w:val="0"/>
      <w:marRight w:val="0"/>
      <w:marTop w:val="0"/>
      <w:marBottom w:val="0"/>
      <w:divBdr>
        <w:top w:val="none" w:sz="0" w:space="0" w:color="auto"/>
        <w:left w:val="none" w:sz="0" w:space="0" w:color="auto"/>
        <w:bottom w:val="none" w:sz="0" w:space="0" w:color="auto"/>
        <w:right w:val="none" w:sz="0" w:space="0" w:color="auto"/>
      </w:divBdr>
    </w:div>
    <w:div w:id="126556510">
      <w:bodyDiv w:val="1"/>
      <w:marLeft w:val="0"/>
      <w:marRight w:val="0"/>
      <w:marTop w:val="0"/>
      <w:marBottom w:val="0"/>
      <w:divBdr>
        <w:top w:val="none" w:sz="0" w:space="0" w:color="auto"/>
        <w:left w:val="none" w:sz="0" w:space="0" w:color="auto"/>
        <w:bottom w:val="none" w:sz="0" w:space="0" w:color="auto"/>
        <w:right w:val="none" w:sz="0" w:space="0" w:color="auto"/>
      </w:divBdr>
    </w:div>
    <w:div w:id="126627249">
      <w:bodyDiv w:val="1"/>
      <w:marLeft w:val="0"/>
      <w:marRight w:val="0"/>
      <w:marTop w:val="0"/>
      <w:marBottom w:val="0"/>
      <w:divBdr>
        <w:top w:val="none" w:sz="0" w:space="0" w:color="auto"/>
        <w:left w:val="none" w:sz="0" w:space="0" w:color="auto"/>
        <w:bottom w:val="none" w:sz="0" w:space="0" w:color="auto"/>
        <w:right w:val="none" w:sz="0" w:space="0" w:color="auto"/>
      </w:divBdr>
    </w:div>
    <w:div w:id="126628828">
      <w:bodyDiv w:val="1"/>
      <w:marLeft w:val="0"/>
      <w:marRight w:val="0"/>
      <w:marTop w:val="0"/>
      <w:marBottom w:val="0"/>
      <w:divBdr>
        <w:top w:val="none" w:sz="0" w:space="0" w:color="auto"/>
        <w:left w:val="none" w:sz="0" w:space="0" w:color="auto"/>
        <w:bottom w:val="none" w:sz="0" w:space="0" w:color="auto"/>
        <w:right w:val="none" w:sz="0" w:space="0" w:color="auto"/>
      </w:divBdr>
    </w:div>
    <w:div w:id="126631683">
      <w:bodyDiv w:val="1"/>
      <w:marLeft w:val="0"/>
      <w:marRight w:val="0"/>
      <w:marTop w:val="0"/>
      <w:marBottom w:val="0"/>
      <w:divBdr>
        <w:top w:val="none" w:sz="0" w:space="0" w:color="auto"/>
        <w:left w:val="none" w:sz="0" w:space="0" w:color="auto"/>
        <w:bottom w:val="none" w:sz="0" w:space="0" w:color="auto"/>
        <w:right w:val="none" w:sz="0" w:space="0" w:color="auto"/>
      </w:divBdr>
    </w:div>
    <w:div w:id="126776906">
      <w:bodyDiv w:val="1"/>
      <w:marLeft w:val="0"/>
      <w:marRight w:val="0"/>
      <w:marTop w:val="0"/>
      <w:marBottom w:val="0"/>
      <w:divBdr>
        <w:top w:val="none" w:sz="0" w:space="0" w:color="auto"/>
        <w:left w:val="none" w:sz="0" w:space="0" w:color="auto"/>
        <w:bottom w:val="none" w:sz="0" w:space="0" w:color="auto"/>
        <w:right w:val="none" w:sz="0" w:space="0" w:color="auto"/>
      </w:divBdr>
    </w:div>
    <w:div w:id="126902939">
      <w:bodyDiv w:val="1"/>
      <w:marLeft w:val="0"/>
      <w:marRight w:val="0"/>
      <w:marTop w:val="0"/>
      <w:marBottom w:val="0"/>
      <w:divBdr>
        <w:top w:val="none" w:sz="0" w:space="0" w:color="auto"/>
        <w:left w:val="none" w:sz="0" w:space="0" w:color="auto"/>
        <w:bottom w:val="none" w:sz="0" w:space="0" w:color="auto"/>
        <w:right w:val="none" w:sz="0" w:space="0" w:color="auto"/>
      </w:divBdr>
    </w:div>
    <w:div w:id="127017884">
      <w:bodyDiv w:val="1"/>
      <w:marLeft w:val="0"/>
      <w:marRight w:val="0"/>
      <w:marTop w:val="0"/>
      <w:marBottom w:val="0"/>
      <w:divBdr>
        <w:top w:val="none" w:sz="0" w:space="0" w:color="auto"/>
        <w:left w:val="none" w:sz="0" w:space="0" w:color="auto"/>
        <w:bottom w:val="none" w:sz="0" w:space="0" w:color="auto"/>
        <w:right w:val="none" w:sz="0" w:space="0" w:color="auto"/>
      </w:divBdr>
    </w:div>
    <w:div w:id="127281210">
      <w:bodyDiv w:val="1"/>
      <w:marLeft w:val="0"/>
      <w:marRight w:val="0"/>
      <w:marTop w:val="0"/>
      <w:marBottom w:val="0"/>
      <w:divBdr>
        <w:top w:val="none" w:sz="0" w:space="0" w:color="auto"/>
        <w:left w:val="none" w:sz="0" w:space="0" w:color="auto"/>
        <w:bottom w:val="none" w:sz="0" w:space="0" w:color="auto"/>
        <w:right w:val="none" w:sz="0" w:space="0" w:color="auto"/>
      </w:divBdr>
    </w:div>
    <w:div w:id="127282723">
      <w:bodyDiv w:val="1"/>
      <w:marLeft w:val="0"/>
      <w:marRight w:val="0"/>
      <w:marTop w:val="0"/>
      <w:marBottom w:val="0"/>
      <w:divBdr>
        <w:top w:val="none" w:sz="0" w:space="0" w:color="auto"/>
        <w:left w:val="none" w:sz="0" w:space="0" w:color="auto"/>
        <w:bottom w:val="none" w:sz="0" w:space="0" w:color="auto"/>
        <w:right w:val="none" w:sz="0" w:space="0" w:color="auto"/>
      </w:divBdr>
    </w:div>
    <w:div w:id="127363157">
      <w:bodyDiv w:val="1"/>
      <w:marLeft w:val="0"/>
      <w:marRight w:val="0"/>
      <w:marTop w:val="0"/>
      <w:marBottom w:val="0"/>
      <w:divBdr>
        <w:top w:val="none" w:sz="0" w:space="0" w:color="auto"/>
        <w:left w:val="none" w:sz="0" w:space="0" w:color="auto"/>
        <w:bottom w:val="none" w:sz="0" w:space="0" w:color="auto"/>
        <w:right w:val="none" w:sz="0" w:space="0" w:color="auto"/>
      </w:divBdr>
    </w:div>
    <w:div w:id="127432325">
      <w:bodyDiv w:val="1"/>
      <w:marLeft w:val="0"/>
      <w:marRight w:val="0"/>
      <w:marTop w:val="0"/>
      <w:marBottom w:val="0"/>
      <w:divBdr>
        <w:top w:val="none" w:sz="0" w:space="0" w:color="auto"/>
        <w:left w:val="none" w:sz="0" w:space="0" w:color="auto"/>
        <w:bottom w:val="none" w:sz="0" w:space="0" w:color="auto"/>
        <w:right w:val="none" w:sz="0" w:space="0" w:color="auto"/>
      </w:divBdr>
    </w:div>
    <w:div w:id="127473703">
      <w:bodyDiv w:val="1"/>
      <w:marLeft w:val="0"/>
      <w:marRight w:val="0"/>
      <w:marTop w:val="0"/>
      <w:marBottom w:val="0"/>
      <w:divBdr>
        <w:top w:val="none" w:sz="0" w:space="0" w:color="auto"/>
        <w:left w:val="none" w:sz="0" w:space="0" w:color="auto"/>
        <w:bottom w:val="none" w:sz="0" w:space="0" w:color="auto"/>
        <w:right w:val="none" w:sz="0" w:space="0" w:color="auto"/>
      </w:divBdr>
    </w:div>
    <w:div w:id="127481854">
      <w:bodyDiv w:val="1"/>
      <w:marLeft w:val="0"/>
      <w:marRight w:val="0"/>
      <w:marTop w:val="0"/>
      <w:marBottom w:val="0"/>
      <w:divBdr>
        <w:top w:val="none" w:sz="0" w:space="0" w:color="auto"/>
        <w:left w:val="none" w:sz="0" w:space="0" w:color="auto"/>
        <w:bottom w:val="none" w:sz="0" w:space="0" w:color="auto"/>
        <w:right w:val="none" w:sz="0" w:space="0" w:color="auto"/>
      </w:divBdr>
    </w:div>
    <w:div w:id="127556477">
      <w:bodyDiv w:val="1"/>
      <w:marLeft w:val="0"/>
      <w:marRight w:val="0"/>
      <w:marTop w:val="0"/>
      <w:marBottom w:val="0"/>
      <w:divBdr>
        <w:top w:val="none" w:sz="0" w:space="0" w:color="auto"/>
        <w:left w:val="none" w:sz="0" w:space="0" w:color="auto"/>
        <w:bottom w:val="none" w:sz="0" w:space="0" w:color="auto"/>
        <w:right w:val="none" w:sz="0" w:space="0" w:color="auto"/>
      </w:divBdr>
    </w:div>
    <w:div w:id="127626353">
      <w:bodyDiv w:val="1"/>
      <w:marLeft w:val="0"/>
      <w:marRight w:val="0"/>
      <w:marTop w:val="0"/>
      <w:marBottom w:val="0"/>
      <w:divBdr>
        <w:top w:val="none" w:sz="0" w:space="0" w:color="auto"/>
        <w:left w:val="none" w:sz="0" w:space="0" w:color="auto"/>
        <w:bottom w:val="none" w:sz="0" w:space="0" w:color="auto"/>
        <w:right w:val="none" w:sz="0" w:space="0" w:color="auto"/>
      </w:divBdr>
    </w:div>
    <w:div w:id="127666531">
      <w:bodyDiv w:val="1"/>
      <w:marLeft w:val="0"/>
      <w:marRight w:val="0"/>
      <w:marTop w:val="0"/>
      <w:marBottom w:val="0"/>
      <w:divBdr>
        <w:top w:val="none" w:sz="0" w:space="0" w:color="auto"/>
        <w:left w:val="none" w:sz="0" w:space="0" w:color="auto"/>
        <w:bottom w:val="none" w:sz="0" w:space="0" w:color="auto"/>
        <w:right w:val="none" w:sz="0" w:space="0" w:color="auto"/>
      </w:divBdr>
    </w:div>
    <w:div w:id="127860827">
      <w:bodyDiv w:val="1"/>
      <w:marLeft w:val="0"/>
      <w:marRight w:val="0"/>
      <w:marTop w:val="0"/>
      <w:marBottom w:val="0"/>
      <w:divBdr>
        <w:top w:val="none" w:sz="0" w:space="0" w:color="auto"/>
        <w:left w:val="none" w:sz="0" w:space="0" w:color="auto"/>
        <w:bottom w:val="none" w:sz="0" w:space="0" w:color="auto"/>
        <w:right w:val="none" w:sz="0" w:space="0" w:color="auto"/>
      </w:divBdr>
    </w:div>
    <w:div w:id="128059143">
      <w:bodyDiv w:val="1"/>
      <w:marLeft w:val="0"/>
      <w:marRight w:val="0"/>
      <w:marTop w:val="0"/>
      <w:marBottom w:val="0"/>
      <w:divBdr>
        <w:top w:val="none" w:sz="0" w:space="0" w:color="auto"/>
        <w:left w:val="none" w:sz="0" w:space="0" w:color="auto"/>
        <w:bottom w:val="none" w:sz="0" w:space="0" w:color="auto"/>
        <w:right w:val="none" w:sz="0" w:space="0" w:color="auto"/>
      </w:divBdr>
    </w:div>
    <w:div w:id="128059211">
      <w:bodyDiv w:val="1"/>
      <w:marLeft w:val="0"/>
      <w:marRight w:val="0"/>
      <w:marTop w:val="0"/>
      <w:marBottom w:val="0"/>
      <w:divBdr>
        <w:top w:val="none" w:sz="0" w:space="0" w:color="auto"/>
        <w:left w:val="none" w:sz="0" w:space="0" w:color="auto"/>
        <w:bottom w:val="none" w:sz="0" w:space="0" w:color="auto"/>
        <w:right w:val="none" w:sz="0" w:space="0" w:color="auto"/>
      </w:divBdr>
    </w:div>
    <w:div w:id="128061334">
      <w:bodyDiv w:val="1"/>
      <w:marLeft w:val="0"/>
      <w:marRight w:val="0"/>
      <w:marTop w:val="0"/>
      <w:marBottom w:val="0"/>
      <w:divBdr>
        <w:top w:val="none" w:sz="0" w:space="0" w:color="auto"/>
        <w:left w:val="none" w:sz="0" w:space="0" w:color="auto"/>
        <w:bottom w:val="none" w:sz="0" w:space="0" w:color="auto"/>
        <w:right w:val="none" w:sz="0" w:space="0" w:color="auto"/>
      </w:divBdr>
    </w:div>
    <w:div w:id="128088334">
      <w:bodyDiv w:val="1"/>
      <w:marLeft w:val="0"/>
      <w:marRight w:val="0"/>
      <w:marTop w:val="0"/>
      <w:marBottom w:val="0"/>
      <w:divBdr>
        <w:top w:val="none" w:sz="0" w:space="0" w:color="auto"/>
        <w:left w:val="none" w:sz="0" w:space="0" w:color="auto"/>
        <w:bottom w:val="none" w:sz="0" w:space="0" w:color="auto"/>
        <w:right w:val="none" w:sz="0" w:space="0" w:color="auto"/>
      </w:divBdr>
    </w:div>
    <w:div w:id="128128871">
      <w:bodyDiv w:val="1"/>
      <w:marLeft w:val="0"/>
      <w:marRight w:val="0"/>
      <w:marTop w:val="0"/>
      <w:marBottom w:val="0"/>
      <w:divBdr>
        <w:top w:val="none" w:sz="0" w:space="0" w:color="auto"/>
        <w:left w:val="none" w:sz="0" w:space="0" w:color="auto"/>
        <w:bottom w:val="none" w:sz="0" w:space="0" w:color="auto"/>
        <w:right w:val="none" w:sz="0" w:space="0" w:color="auto"/>
      </w:divBdr>
    </w:div>
    <w:div w:id="128134248">
      <w:bodyDiv w:val="1"/>
      <w:marLeft w:val="0"/>
      <w:marRight w:val="0"/>
      <w:marTop w:val="0"/>
      <w:marBottom w:val="0"/>
      <w:divBdr>
        <w:top w:val="none" w:sz="0" w:space="0" w:color="auto"/>
        <w:left w:val="none" w:sz="0" w:space="0" w:color="auto"/>
        <w:bottom w:val="none" w:sz="0" w:space="0" w:color="auto"/>
        <w:right w:val="none" w:sz="0" w:space="0" w:color="auto"/>
      </w:divBdr>
    </w:div>
    <w:div w:id="128211688">
      <w:bodyDiv w:val="1"/>
      <w:marLeft w:val="0"/>
      <w:marRight w:val="0"/>
      <w:marTop w:val="0"/>
      <w:marBottom w:val="0"/>
      <w:divBdr>
        <w:top w:val="none" w:sz="0" w:space="0" w:color="auto"/>
        <w:left w:val="none" w:sz="0" w:space="0" w:color="auto"/>
        <w:bottom w:val="none" w:sz="0" w:space="0" w:color="auto"/>
        <w:right w:val="none" w:sz="0" w:space="0" w:color="auto"/>
      </w:divBdr>
    </w:div>
    <w:div w:id="128211850">
      <w:bodyDiv w:val="1"/>
      <w:marLeft w:val="0"/>
      <w:marRight w:val="0"/>
      <w:marTop w:val="0"/>
      <w:marBottom w:val="0"/>
      <w:divBdr>
        <w:top w:val="none" w:sz="0" w:space="0" w:color="auto"/>
        <w:left w:val="none" w:sz="0" w:space="0" w:color="auto"/>
        <w:bottom w:val="none" w:sz="0" w:space="0" w:color="auto"/>
        <w:right w:val="none" w:sz="0" w:space="0" w:color="auto"/>
      </w:divBdr>
    </w:div>
    <w:div w:id="128402237">
      <w:bodyDiv w:val="1"/>
      <w:marLeft w:val="0"/>
      <w:marRight w:val="0"/>
      <w:marTop w:val="0"/>
      <w:marBottom w:val="0"/>
      <w:divBdr>
        <w:top w:val="none" w:sz="0" w:space="0" w:color="auto"/>
        <w:left w:val="none" w:sz="0" w:space="0" w:color="auto"/>
        <w:bottom w:val="none" w:sz="0" w:space="0" w:color="auto"/>
        <w:right w:val="none" w:sz="0" w:space="0" w:color="auto"/>
      </w:divBdr>
    </w:div>
    <w:div w:id="128481434">
      <w:bodyDiv w:val="1"/>
      <w:marLeft w:val="0"/>
      <w:marRight w:val="0"/>
      <w:marTop w:val="0"/>
      <w:marBottom w:val="0"/>
      <w:divBdr>
        <w:top w:val="none" w:sz="0" w:space="0" w:color="auto"/>
        <w:left w:val="none" w:sz="0" w:space="0" w:color="auto"/>
        <w:bottom w:val="none" w:sz="0" w:space="0" w:color="auto"/>
        <w:right w:val="none" w:sz="0" w:space="0" w:color="auto"/>
      </w:divBdr>
    </w:div>
    <w:div w:id="128671995">
      <w:bodyDiv w:val="1"/>
      <w:marLeft w:val="0"/>
      <w:marRight w:val="0"/>
      <w:marTop w:val="0"/>
      <w:marBottom w:val="0"/>
      <w:divBdr>
        <w:top w:val="none" w:sz="0" w:space="0" w:color="auto"/>
        <w:left w:val="none" w:sz="0" w:space="0" w:color="auto"/>
        <w:bottom w:val="none" w:sz="0" w:space="0" w:color="auto"/>
        <w:right w:val="none" w:sz="0" w:space="0" w:color="auto"/>
      </w:divBdr>
    </w:div>
    <w:div w:id="128674336">
      <w:bodyDiv w:val="1"/>
      <w:marLeft w:val="0"/>
      <w:marRight w:val="0"/>
      <w:marTop w:val="0"/>
      <w:marBottom w:val="0"/>
      <w:divBdr>
        <w:top w:val="none" w:sz="0" w:space="0" w:color="auto"/>
        <w:left w:val="none" w:sz="0" w:space="0" w:color="auto"/>
        <w:bottom w:val="none" w:sz="0" w:space="0" w:color="auto"/>
        <w:right w:val="none" w:sz="0" w:space="0" w:color="auto"/>
      </w:divBdr>
    </w:div>
    <w:div w:id="128939622">
      <w:bodyDiv w:val="1"/>
      <w:marLeft w:val="0"/>
      <w:marRight w:val="0"/>
      <w:marTop w:val="0"/>
      <w:marBottom w:val="0"/>
      <w:divBdr>
        <w:top w:val="none" w:sz="0" w:space="0" w:color="auto"/>
        <w:left w:val="none" w:sz="0" w:space="0" w:color="auto"/>
        <w:bottom w:val="none" w:sz="0" w:space="0" w:color="auto"/>
        <w:right w:val="none" w:sz="0" w:space="0" w:color="auto"/>
      </w:divBdr>
    </w:div>
    <w:div w:id="128978420">
      <w:bodyDiv w:val="1"/>
      <w:marLeft w:val="0"/>
      <w:marRight w:val="0"/>
      <w:marTop w:val="0"/>
      <w:marBottom w:val="0"/>
      <w:divBdr>
        <w:top w:val="none" w:sz="0" w:space="0" w:color="auto"/>
        <w:left w:val="none" w:sz="0" w:space="0" w:color="auto"/>
        <w:bottom w:val="none" w:sz="0" w:space="0" w:color="auto"/>
        <w:right w:val="none" w:sz="0" w:space="0" w:color="auto"/>
      </w:divBdr>
    </w:div>
    <w:div w:id="129131437">
      <w:bodyDiv w:val="1"/>
      <w:marLeft w:val="0"/>
      <w:marRight w:val="0"/>
      <w:marTop w:val="0"/>
      <w:marBottom w:val="0"/>
      <w:divBdr>
        <w:top w:val="none" w:sz="0" w:space="0" w:color="auto"/>
        <w:left w:val="none" w:sz="0" w:space="0" w:color="auto"/>
        <w:bottom w:val="none" w:sz="0" w:space="0" w:color="auto"/>
        <w:right w:val="none" w:sz="0" w:space="0" w:color="auto"/>
      </w:divBdr>
    </w:div>
    <w:div w:id="129254324">
      <w:bodyDiv w:val="1"/>
      <w:marLeft w:val="0"/>
      <w:marRight w:val="0"/>
      <w:marTop w:val="0"/>
      <w:marBottom w:val="0"/>
      <w:divBdr>
        <w:top w:val="none" w:sz="0" w:space="0" w:color="auto"/>
        <w:left w:val="none" w:sz="0" w:space="0" w:color="auto"/>
        <w:bottom w:val="none" w:sz="0" w:space="0" w:color="auto"/>
        <w:right w:val="none" w:sz="0" w:space="0" w:color="auto"/>
      </w:divBdr>
    </w:div>
    <w:div w:id="129330042">
      <w:bodyDiv w:val="1"/>
      <w:marLeft w:val="0"/>
      <w:marRight w:val="0"/>
      <w:marTop w:val="0"/>
      <w:marBottom w:val="0"/>
      <w:divBdr>
        <w:top w:val="none" w:sz="0" w:space="0" w:color="auto"/>
        <w:left w:val="none" w:sz="0" w:space="0" w:color="auto"/>
        <w:bottom w:val="none" w:sz="0" w:space="0" w:color="auto"/>
        <w:right w:val="none" w:sz="0" w:space="0" w:color="auto"/>
      </w:divBdr>
    </w:div>
    <w:div w:id="129901383">
      <w:bodyDiv w:val="1"/>
      <w:marLeft w:val="0"/>
      <w:marRight w:val="0"/>
      <w:marTop w:val="0"/>
      <w:marBottom w:val="0"/>
      <w:divBdr>
        <w:top w:val="none" w:sz="0" w:space="0" w:color="auto"/>
        <w:left w:val="none" w:sz="0" w:space="0" w:color="auto"/>
        <w:bottom w:val="none" w:sz="0" w:space="0" w:color="auto"/>
        <w:right w:val="none" w:sz="0" w:space="0" w:color="auto"/>
      </w:divBdr>
    </w:div>
    <w:div w:id="130054162">
      <w:bodyDiv w:val="1"/>
      <w:marLeft w:val="0"/>
      <w:marRight w:val="0"/>
      <w:marTop w:val="0"/>
      <w:marBottom w:val="0"/>
      <w:divBdr>
        <w:top w:val="none" w:sz="0" w:space="0" w:color="auto"/>
        <w:left w:val="none" w:sz="0" w:space="0" w:color="auto"/>
        <w:bottom w:val="none" w:sz="0" w:space="0" w:color="auto"/>
        <w:right w:val="none" w:sz="0" w:space="0" w:color="auto"/>
      </w:divBdr>
    </w:div>
    <w:div w:id="130055369">
      <w:bodyDiv w:val="1"/>
      <w:marLeft w:val="0"/>
      <w:marRight w:val="0"/>
      <w:marTop w:val="0"/>
      <w:marBottom w:val="0"/>
      <w:divBdr>
        <w:top w:val="none" w:sz="0" w:space="0" w:color="auto"/>
        <w:left w:val="none" w:sz="0" w:space="0" w:color="auto"/>
        <w:bottom w:val="none" w:sz="0" w:space="0" w:color="auto"/>
        <w:right w:val="none" w:sz="0" w:space="0" w:color="auto"/>
      </w:divBdr>
    </w:div>
    <w:div w:id="130096555">
      <w:bodyDiv w:val="1"/>
      <w:marLeft w:val="0"/>
      <w:marRight w:val="0"/>
      <w:marTop w:val="0"/>
      <w:marBottom w:val="0"/>
      <w:divBdr>
        <w:top w:val="none" w:sz="0" w:space="0" w:color="auto"/>
        <w:left w:val="none" w:sz="0" w:space="0" w:color="auto"/>
        <w:bottom w:val="none" w:sz="0" w:space="0" w:color="auto"/>
        <w:right w:val="none" w:sz="0" w:space="0" w:color="auto"/>
      </w:divBdr>
    </w:div>
    <w:div w:id="130099190">
      <w:bodyDiv w:val="1"/>
      <w:marLeft w:val="0"/>
      <w:marRight w:val="0"/>
      <w:marTop w:val="0"/>
      <w:marBottom w:val="0"/>
      <w:divBdr>
        <w:top w:val="none" w:sz="0" w:space="0" w:color="auto"/>
        <w:left w:val="none" w:sz="0" w:space="0" w:color="auto"/>
        <w:bottom w:val="none" w:sz="0" w:space="0" w:color="auto"/>
        <w:right w:val="none" w:sz="0" w:space="0" w:color="auto"/>
      </w:divBdr>
    </w:div>
    <w:div w:id="130290593">
      <w:bodyDiv w:val="1"/>
      <w:marLeft w:val="0"/>
      <w:marRight w:val="0"/>
      <w:marTop w:val="0"/>
      <w:marBottom w:val="0"/>
      <w:divBdr>
        <w:top w:val="none" w:sz="0" w:space="0" w:color="auto"/>
        <w:left w:val="none" w:sz="0" w:space="0" w:color="auto"/>
        <w:bottom w:val="none" w:sz="0" w:space="0" w:color="auto"/>
        <w:right w:val="none" w:sz="0" w:space="0" w:color="auto"/>
      </w:divBdr>
    </w:div>
    <w:div w:id="130447215">
      <w:bodyDiv w:val="1"/>
      <w:marLeft w:val="0"/>
      <w:marRight w:val="0"/>
      <w:marTop w:val="0"/>
      <w:marBottom w:val="0"/>
      <w:divBdr>
        <w:top w:val="none" w:sz="0" w:space="0" w:color="auto"/>
        <w:left w:val="none" w:sz="0" w:space="0" w:color="auto"/>
        <w:bottom w:val="none" w:sz="0" w:space="0" w:color="auto"/>
        <w:right w:val="none" w:sz="0" w:space="0" w:color="auto"/>
      </w:divBdr>
    </w:div>
    <w:div w:id="130490213">
      <w:bodyDiv w:val="1"/>
      <w:marLeft w:val="0"/>
      <w:marRight w:val="0"/>
      <w:marTop w:val="0"/>
      <w:marBottom w:val="0"/>
      <w:divBdr>
        <w:top w:val="none" w:sz="0" w:space="0" w:color="auto"/>
        <w:left w:val="none" w:sz="0" w:space="0" w:color="auto"/>
        <w:bottom w:val="none" w:sz="0" w:space="0" w:color="auto"/>
        <w:right w:val="none" w:sz="0" w:space="0" w:color="auto"/>
      </w:divBdr>
    </w:div>
    <w:div w:id="130514137">
      <w:bodyDiv w:val="1"/>
      <w:marLeft w:val="0"/>
      <w:marRight w:val="0"/>
      <w:marTop w:val="0"/>
      <w:marBottom w:val="0"/>
      <w:divBdr>
        <w:top w:val="none" w:sz="0" w:space="0" w:color="auto"/>
        <w:left w:val="none" w:sz="0" w:space="0" w:color="auto"/>
        <w:bottom w:val="none" w:sz="0" w:space="0" w:color="auto"/>
        <w:right w:val="none" w:sz="0" w:space="0" w:color="auto"/>
      </w:divBdr>
    </w:div>
    <w:div w:id="130562022">
      <w:bodyDiv w:val="1"/>
      <w:marLeft w:val="0"/>
      <w:marRight w:val="0"/>
      <w:marTop w:val="0"/>
      <w:marBottom w:val="0"/>
      <w:divBdr>
        <w:top w:val="none" w:sz="0" w:space="0" w:color="auto"/>
        <w:left w:val="none" w:sz="0" w:space="0" w:color="auto"/>
        <w:bottom w:val="none" w:sz="0" w:space="0" w:color="auto"/>
        <w:right w:val="none" w:sz="0" w:space="0" w:color="auto"/>
      </w:divBdr>
    </w:div>
    <w:div w:id="130563193">
      <w:bodyDiv w:val="1"/>
      <w:marLeft w:val="0"/>
      <w:marRight w:val="0"/>
      <w:marTop w:val="0"/>
      <w:marBottom w:val="0"/>
      <w:divBdr>
        <w:top w:val="none" w:sz="0" w:space="0" w:color="auto"/>
        <w:left w:val="none" w:sz="0" w:space="0" w:color="auto"/>
        <w:bottom w:val="none" w:sz="0" w:space="0" w:color="auto"/>
        <w:right w:val="none" w:sz="0" w:space="0" w:color="auto"/>
      </w:divBdr>
    </w:div>
    <w:div w:id="130682447">
      <w:bodyDiv w:val="1"/>
      <w:marLeft w:val="0"/>
      <w:marRight w:val="0"/>
      <w:marTop w:val="0"/>
      <w:marBottom w:val="0"/>
      <w:divBdr>
        <w:top w:val="none" w:sz="0" w:space="0" w:color="auto"/>
        <w:left w:val="none" w:sz="0" w:space="0" w:color="auto"/>
        <w:bottom w:val="none" w:sz="0" w:space="0" w:color="auto"/>
        <w:right w:val="none" w:sz="0" w:space="0" w:color="auto"/>
      </w:divBdr>
    </w:div>
    <w:div w:id="130907850">
      <w:bodyDiv w:val="1"/>
      <w:marLeft w:val="0"/>
      <w:marRight w:val="0"/>
      <w:marTop w:val="0"/>
      <w:marBottom w:val="0"/>
      <w:divBdr>
        <w:top w:val="none" w:sz="0" w:space="0" w:color="auto"/>
        <w:left w:val="none" w:sz="0" w:space="0" w:color="auto"/>
        <w:bottom w:val="none" w:sz="0" w:space="0" w:color="auto"/>
        <w:right w:val="none" w:sz="0" w:space="0" w:color="auto"/>
      </w:divBdr>
    </w:div>
    <w:div w:id="130951616">
      <w:bodyDiv w:val="1"/>
      <w:marLeft w:val="0"/>
      <w:marRight w:val="0"/>
      <w:marTop w:val="0"/>
      <w:marBottom w:val="0"/>
      <w:divBdr>
        <w:top w:val="none" w:sz="0" w:space="0" w:color="auto"/>
        <w:left w:val="none" w:sz="0" w:space="0" w:color="auto"/>
        <w:bottom w:val="none" w:sz="0" w:space="0" w:color="auto"/>
        <w:right w:val="none" w:sz="0" w:space="0" w:color="auto"/>
      </w:divBdr>
    </w:div>
    <w:div w:id="130951688">
      <w:bodyDiv w:val="1"/>
      <w:marLeft w:val="0"/>
      <w:marRight w:val="0"/>
      <w:marTop w:val="0"/>
      <w:marBottom w:val="0"/>
      <w:divBdr>
        <w:top w:val="none" w:sz="0" w:space="0" w:color="auto"/>
        <w:left w:val="none" w:sz="0" w:space="0" w:color="auto"/>
        <w:bottom w:val="none" w:sz="0" w:space="0" w:color="auto"/>
        <w:right w:val="none" w:sz="0" w:space="0" w:color="auto"/>
      </w:divBdr>
    </w:div>
    <w:div w:id="131139952">
      <w:bodyDiv w:val="1"/>
      <w:marLeft w:val="0"/>
      <w:marRight w:val="0"/>
      <w:marTop w:val="0"/>
      <w:marBottom w:val="0"/>
      <w:divBdr>
        <w:top w:val="none" w:sz="0" w:space="0" w:color="auto"/>
        <w:left w:val="none" w:sz="0" w:space="0" w:color="auto"/>
        <w:bottom w:val="none" w:sz="0" w:space="0" w:color="auto"/>
        <w:right w:val="none" w:sz="0" w:space="0" w:color="auto"/>
      </w:divBdr>
    </w:div>
    <w:div w:id="131215758">
      <w:bodyDiv w:val="1"/>
      <w:marLeft w:val="0"/>
      <w:marRight w:val="0"/>
      <w:marTop w:val="0"/>
      <w:marBottom w:val="0"/>
      <w:divBdr>
        <w:top w:val="none" w:sz="0" w:space="0" w:color="auto"/>
        <w:left w:val="none" w:sz="0" w:space="0" w:color="auto"/>
        <w:bottom w:val="none" w:sz="0" w:space="0" w:color="auto"/>
        <w:right w:val="none" w:sz="0" w:space="0" w:color="auto"/>
      </w:divBdr>
    </w:div>
    <w:div w:id="131217247">
      <w:bodyDiv w:val="1"/>
      <w:marLeft w:val="0"/>
      <w:marRight w:val="0"/>
      <w:marTop w:val="0"/>
      <w:marBottom w:val="0"/>
      <w:divBdr>
        <w:top w:val="none" w:sz="0" w:space="0" w:color="auto"/>
        <w:left w:val="none" w:sz="0" w:space="0" w:color="auto"/>
        <w:bottom w:val="none" w:sz="0" w:space="0" w:color="auto"/>
        <w:right w:val="none" w:sz="0" w:space="0" w:color="auto"/>
      </w:divBdr>
    </w:div>
    <w:div w:id="131337910">
      <w:bodyDiv w:val="1"/>
      <w:marLeft w:val="0"/>
      <w:marRight w:val="0"/>
      <w:marTop w:val="0"/>
      <w:marBottom w:val="0"/>
      <w:divBdr>
        <w:top w:val="none" w:sz="0" w:space="0" w:color="auto"/>
        <w:left w:val="none" w:sz="0" w:space="0" w:color="auto"/>
        <w:bottom w:val="none" w:sz="0" w:space="0" w:color="auto"/>
        <w:right w:val="none" w:sz="0" w:space="0" w:color="auto"/>
      </w:divBdr>
    </w:div>
    <w:div w:id="131363061">
      <w:bodyDiv w:val="1"/>
      <w:marLeft w:val="0"/>
      <w:marRight w:val="0"/>
      <w:marTop w:val="0"/>
      <w:marBottom w:val="0"/>
      <w:divBdr>
        <w:top w:val="none" w:sz="0" w:space="0" w:color="auto"/>
        <w:left w:val="none" w:sz="0" w:space="0" w:color="auto"/>
        <w:bottom w:val="none" w:sz="0" w:space="0" w:color="auto"/>
        <w:right w:val="none" w:sz="0" w:space="0" w:color="auto"/>
      </w:divBdr>
    </w:div>
    <w:div w:id="131366561">
      <w:bodyDiv w:val="1"/>
      <w:marLeft w:val="0"/>
      <w:marRight w:val="0"/>
      <w:marTop w:val="0"/>
      <w:marBottom w:val="0"/>
      <w:divBdr>
        <w:top w:val="none" w:sz="0" w:space="0" w:color="auto"/>
        <w:left w:val="none" w:sz="0" w:space="0" w:color="auto"/>
        <w:bottom w:val="none" w:sz="0" w:space="0" w:color="auto"/>
        <w:right w:val="none" w:sz="0" w:space="0" w:color="auto"/>
      </w:divBdr>
    </w:div>
    <w:div w:id="131486016">
      <w:bodyDiv w:val="1"/>
      <w:marLeft w:val="0"/>
      <w:marRight w:val="0"/>
      <w:marTop w:val="0"/>
      <w:marBottom w:val="0"/>
      <w:divBdr>
        <w:top w:val="none" w:sz="0" w:space="0" w:color="auto"/>
        <w:left w:val="none" w:sz="0" w:space="0" w:color="auto"/>
        <w:bottom w:val="none" w:sz="0" w:space="0" w:color="auto"/>
        <w:right w:val="none" w:sz="0" w:space="0" w:color="auto"/>
      </w:divBdr>
    </w:div>
    <w:div w:id="131599387">
      <w:bodyDiv w:val="1"/>
      <w:marLeft w:val="0"/>
      <w:marRight w:val="0"/>
      <w:marTop w:val="0"/>
      <w:marBottom w:val="0"/>
      <w:divBdr>
        <w:top w:val="none" w:sz="0" w:space="0" w:color="auto"/>
        <w:left w:val="none" w:sz="0" w:space="0" w:color="auto"/>
        <w:bottom w:val="none" w:sz="0" w:space="0" w:color="auto"/>
        <w:right w:val="none" w:sz="0" w:space="0" w:color="auto"/>
      </w:divBdr>
    </w:div>
    <w:div w:id="131673672">
      <w:bodyDiv w:val="1"/>
      <w:marLeft w:val="0"/>
      <w:marRight w:val="0"/>
      <w:marTop w:val="0"/>
      <w:marBottom w:val="0"/>
      <w:divBdr>
        <w:top w:val="none" w:sz="0" w:space="0" w:color="auto"/>
        <w:left w:val="none" w:sz="0" w:space="0" w:color="auto"/>
        <w:bottom w:val="none" w:sz="0" w:space="0" w:color="auto"/>
        <w:right w:val="none" w:sz="0" w:space="0" w:color="auto"/>
      </w:divBdr>
    </w:div>
    <w:div w:id="131757757">
      <w:bodyDiv w:val="1"/>
      <w:marLeft w:val="0"/>
      <w:marRight w:val="0"/>
      <w:marTop w:val="0"/>
      <w:marBottom w:val="0"/>
      <w:divBdr>
        <w:top w:val="none" w:sz="0" w:space="0" w:color="auto"/>
        <w:left w:val="none" w:sz="0" w:space="0" w:color="auto"/>
        <w:bottom w:val="none" w:sz="0" w:space="0" w:color="auto"/>
        <w:right w:val="none" w:sz="0" w:space="0" w:color="auto"/>
      </w:divBdr>
    </w:div>
    <w:div w:id="131795501">
      <w:bodyDiv w:val="1"/>
      <w:marLeft w:val="0"/>
      <w:marRight w:val="0"/>
      <w:marTop w:val="0"/>
      <w:marBottom w:val="0"/>
      <w:divBdr>
        <w:top w:val="none" w:sz="0" w:space="0" w:color="auto"/>
        <w:left w:val="none" w:sz="0" w:space="0" w:color="auto"/>
        <w:bottom w:val="none" w:sz="0" w:space="0" w:color="auto"/>
        <w:right w:val="none" w:sz="0" w:space="0" w:color="auto"/>
      </w:divBdr>
    </w:div>
    <w:div w:id="131824304">
      <w:bodyDiv w:val="1"/>
      <w:marLeft w:val="0"/>
      <w:marRight w:val="0"/>
      <w:marTop w:val="0"/>
      <w:marBottom w:val="0"/>
      <w:divBdr>
        <w:top w:val="none" w:sz="0" w:space="0" w:color="auto"/>
        <w:left w:val="none" w:sz="0" w:space="0" w:color="auto"/>
        <w:bottom w:val="none" w:sz="0" w:space="0" w:color="auto"/>
        <w:right w:val="none" w:sz="0" w:space="0" w:color="auto"/>
      </w:divBdr>
    </w:div>
    <w:div w:id="131871235">
      <w:bodyDiv w:val="1"/>
      <w:marLeft w:val="0"/>
      <w:marRight w:val="0"/>
      <w:marTop w:val="0"/>
      <w:marBottom w:val="0"/>
      <w:divBdr>
        <w:top w:val="none" w:sz="0" w:space="0" w:color="auto"/>
        <w:left w:val="none" w:sz="0" w:space="0" w:color="auto"/>
        <w:bottom w:val="none" w:sz="0" w:space="0" w:color="auto"/>
        <w:right w:val="none" w:sz="0" w:space="0" w:color="auto"/>
      </w:divBdr>
    </w:div>
    <w:div w:id="131946246">
      <w:bodyDiv w:val="1"/>
      <w:marLeft w:val="0"/>
      <w:marRight w:val="0"/>
      <w:marTop w:val="0"/>
      <w:marBottom w:val="0"/>
      <w:divBdr>
        <w:top w:val="none" w:sz="0" w:space="0" w:color="auto"/>
        <w:left w:val="none" w:sz="0" w:space="0" w:color="auto"/>
        <w:bottom w:val="none" w:sz="0" w:space="0" w:color="auto"/>
        <w:right w:val="none" w:sz="0" w:space="0" w:color="auto"/>
      </w:divBdr>
    </w:div>
    <w:div w:id="132214418">
      <w:bodyDiv w:val="1"/>
      <w:marLeft w:val="0"/>
      <w:marRight w:val="0"/>
      <w:marTop w:val="0"/>
      <w:marBottom w:val="0"/>
      <w:divBdr>
        <w:top w:val="none" w:sz="0" w:space="0" w:color="auto"/>
        <w:left w:val="none" w:sz="0" w:space="0" w:color="auto"/>
        <w:bottom w:val="none" w:sz="0" w:space="0" w:color="auto"/>
        <w:right w:val="none" w:sz="0" w:space="0" w:color="auto"/>
      </w:divBdr>
    </w:div>
    <w:div w:id="132261029">
      <w:bodyDiv w:val="1"/>
      <w:marLeft w:val="0"/>
      <w:marRight w:val="0"/>
      <w:marTop w:val="0"/>
      <w:marBottom w:val="0"/>
      <w:divBdr>
        <w:top w:val="none" w:sz="0" w:space="0" w:color="auto"/>
        <w:left w:val="none" w:sz="0" w:space="0" w:color="auto"/>
        <w:bottom w:val="none" w:sz="0" w:space="0" w:color="auto"/>
        <w:right w:val="none" w:sz="0" w:space="0" w:color="auto"/>
      </w:divBdr>
    </w:div>
    <w:div w:id="132599956">
      <w:bodyDiv w:val="1"/>
      <w:marLeft w:val="0"/>
      <w:marRight w:val="0"/>
      <w:marTop w:val="0"/>
      <w:marBottom w:val="0"/>
      <w:divBdr>
        <w:top w:val="none" w:sz="0" w:space="0" w:color="auto"/>
        <w:left w:val="none" w:sz="0" w:space="0" w:color="auto"/>
        <w:bottom w:val="none" w:sz="0" w:space="0" w:color="auto"/>
        <w:right w:val="none" w:sz="0" w:space="0" w:color="auto"/>
      </w:divBdr>
    </w:div>
    <w:div w:id="132602460">
      <w:bodyDiv w:val="1"/>
      <w:marLeft w:val="0"/>
      <w:marRight w:val="0"/>
      <w:marTop w:val="0"/>
      <w:marBottom w:val="0"/>
      <w:divBdr>
        <w:top w:val="none" w:sz="0" w:space="0" w:color="auto"/>
        <w:left w:val="none" w:sz="0" w:space="0" w:color="auto"/>
        <w:bottom w:val="none" w:sz="0" w:space="0" w:color="auto"/>
        <w:right w:val="none" w:sz="0" w:space="0" w:color="auto"/>
      </w:divBdr>
    </w:div>
    <w:div w:id="132646774">
      <w:bodyDiv w:val="1"/>
      <w:marLeft w:val="0"/>
      <w:marRight w:val="0"/>
      <w:marTop w:val="0"/>
      <w:marBottom w:val="0"/>
      <w:divBdr>
        <w:top w:val="none" w:sz="0" w:space="0" w:color="auto"/>
        <w:left w:val="none" w:sz="0" w:space="0" w:color="auto"/>
        <w:bottom w:val="none" w:sz="0" w:space="0" w:color="auto"/>
        <w:right w:val="none" w:sz="0" w:space="0" w:color="auto"/>
      </w:divBdr>
    </w:div>
    <w:div w:id="132649463">
      <w:bodyDiv w:val="1"/>
      <w:marLeft w:val="0"/>
      <w:marRight w:val="0"/>
      <w:marTop w:val="0"/>
      <w:marBottom w:val="0"/>
      <w:divBdr>
        <w:top w:val="none" w:sz="0" w:space="0" w:color="auto"/>
        <w:left w:val="none" w:sz="0" w:space="0" w:color="auto"/>
        <w:bottom w:val="none" w:sz="0" w:space="0" w:color="auto"/>
        <w:right w:val="none" w:sz="0" w:space="0" w:color="auto"/>
      </w:divBdr>
    </w:div>
    <w:div w:id="132675492">
      <w:bodyDiv w:val="1"/>
      <w:marLeft w:val="0"/>
      <w:marRight w:val="0"/>
      <w:marTop w:val="0"/>
      <w:marBottom w:val="0"/>
      <w:divBdr>
        <w:top w:val="none" w:sz="0" w:space="0" w:color="auto"/>
        <w:left w:val="none" w:sz="0" w:space="0" w:color="auto"/>
        <w:bottom w:val="none" w:sz="0" w:space="0" w:color="auto"/>
        <w:right w:val="none" w:sz="0" w:space="0" w:color="auto"/>
      </w:divBdr>
    </w:div>
    <w:div w:id="132910944">
      <w:bodyDiv w:val="1"/>
      <w:marLeft w:val="0"/>
      <w:marRight w:val="0"/>
      <w:marTop w:val="0"/>
      <w:marBottom w:val="0"/>
      <w:divBdr>
        <w:top w:val="none" w:sz="0" w:space="0" w:color="auto"/>
        <w:left w:val="none" w:sz="0" w:space="0" w:color="auto"/>
        <w:bottom w:val="none" w:sz="0" w:space="0" w:color="auto"/>
        <w:right w:val="none" w:sz="0" w:space="0" w:color="auto"/>
      </w:divBdr>
    </w:div>
    <w:div w:id="133067182">
      <w:bodyDiv w:val="1"/>
      <w:marLeft w:val="0"/>
      <w:marRight w:val="0"/>
      <w:marTop w:val="0"/>
      <w:marBottom w:val="0"/>
      <w:divBdr>
        <w:top w:val="none" w:sz="0" w:space="0" w:color="auto"/>
        <w:left w:val="none" w:sz="0" w:space="0" w:color="auto"/>
        <w:bottom w:val="none" w:sz="0" w:space="0" w:color="auto"/>
        <w:right w:val="none" w:sz="0" w:space="0" w:color="auto"/>
      </w:divBdr>
    </w:div>
    <w:div w:id="133104282">
      <w:bodyDiv w:val="1"/>
      <w:marLeft w:val="0"/>
      <w:marRight w:val="0"/>
      <w:marTop w:val="0"/>
      <w:marBottom w:val="0"/>
      <w:divBdr>
        <w:top w:val="none" w:sz="0" w:space="0" w:color="auto"/>
        <w:left w:val="none" w:sz="0" w:space="0" w:color="auto"/>
        <w:bottom w:val="none" w:sz="0" w:space="0" w:color="auto"/>
        <w:right w:val="none" w:sz="0" w:space="0" w:color="auto"/>
      </w:divBdr>
    </w:div>
    <w:div w:id="133378717">
      <w:bodyDiv w:val="1"/>
      <w:marLeft w:val="0"/>
      <w:marRight w:val="0"/>
      <w:marTop w:val="0"/>
      <w:marBottom w:val="0"/>
      <w:divBdr>
        <w:top w:val="none" w:sz="0" w:space="0" w:color="auto"/>
        <w:left w:val="none" w:sz="0" w:space="0" w:color="auto"/>
        <w:bottom w:val="none" w:sz="0" w:space="0" w:color="auto"/>
        <w:right w:val="none" w:sz="0" w:space="0" w:color="auto"/>
      </w:divBdr>
    </w:div>
    <w:div w:id="133724298">
      <w:bodyDiv w:val="1"/>
      <w:marLeft w:val="0"/>
      <w:marRight w:val="0"/>
      <w:marTop w:val="0"/>
      <w:marBottom w:val="0"/>
      <w:divBdr>
        <w:top w:val="none" w:sz="0" w:space="0" w:color="auto"/>
        <w:left w:val="none" w:sz="0" w:space="0" w:color="auto"/>
        <w:bottom w:val="none" w:sz="0" w:space="0" w:color="auto"/>
        <w:right w:val="none" w:sz="0" w:space="0" w:color="auto"/>
      </w:divBdr>
    </w:div>
    <w:div w:id="133908749">
      <w:bodyDiv w:val="1"/>
      <w:marLeft w:val="0"/>
      <w:marRight w:val="0"/>
      <w:marTop w:val="0"/>
      <w:marBottom w:val="0"/>
      <w:divBdr>
        <w:top w:val="none" w:sz="0" w:space="0" w:color="auto"/>
        <w:left w:val="none" w:sz="0" w:space="0" w:color="auto"/>
        <w:bottom w:val="none" w:sz="0" w:space="0" w:color="auto"/>
        <w:right w:val="none" w:sz="0" w:space="0" w:color="auto"/>
      </w:divBdr>
    </w:div>
    <w:div w:id="133910978">
      <w:bodyDiv w:val="1"/>
      <w:marLeft w:val="0"/>
      <w:marRight w:val="0"/>
      <w:marTop w:val="0"/>
      <w:marBottom w:val="0"/>
      <w:divBdr>
        <w:top w:val="none" w:sz="0" w:space="0" w:color="auto"/>
        <w:left w:val="none" w:sz="0" w:space="0" w:color="auto"/>
        <w:bottom w:val="none" w:sz="0" w:space="0" w:color="auto"/>
        <w:right w:val="none" w:sz="0" w:space="0" w:color="auto"/>
      </w:divBdr>
    </w:div>
    <w:div w:id="133911430">
      <w:bodyDiv w:val="1"/>
      <w:marLeft w:val="0"/>
      <w:marRight w:val="0"/>
      <w:marTop w:val="0"/>
      <w:marBottom w:val="0"/>
      <w:divBdr>
        <w:top w:val="none" w:sz="0" w:space="0" w:color="auto"/>
        <w:left w:val="none" w:sz="0" w:space="0" w:color="auto"/>
        <w:bottom w:val="none" w:sz="0" w:space="0" w:color="auto"/>
        <w:right w:val="none" w:sz="0" w:space="0" w:color="auto"/>
      </w:divBdr>
    </w:div>
    <w:div w:id="133917319">
      <w:bodyDiv w:val="1"/>
      <w:marLeft w:val="0"/>
      <w:marRight w:val="0"/>
      <w:marTop w:val="0"/>
      <w:marBottom w:val="0"/>
      <w:divBdr>
        <w:top w:val="none" w:sz="0" w:space="0" w:color="auto"/>
        <w:left w:val="none" w:sz="0" w:space="0" w:color="auto"/>
        <w:bottom w:val="none" w:sz="0" w:space="0" w:color="auto"/>
        <w:right w:val="none" w:sz="0" w:space="0" w:color="auto"/>
      </w:divBdr>
    </w:div>
    <w:div w:id="133957359">
      <w:bodyDiv w:val="1"/>
      <w:marLeft w:val="0"/>
      <w:marRight w:val="0"/>
      <w:marTop w:val="0"/>
      <w:marBottom w:val="0"/>
      <w:divBdr>
        <w:top w:val="none" w:sz="0" w:space="0" w:color="auto"/>
        <w:left w:val="none" w:sz="0" w:space="0" w:color="auto"/>
        <w:bottom w:val="none" w:sz="0" w:space="0" w:color="auto"/>
        <w:right w:val="none" w:sz="0" w:space="0" w:color="auto"/>
      </w:divBdr>
    </w:div>
    <w:div w:id="133987767">
      <w:bodyDiv w:val="1"/>
      <w:marLeft w:val="0"/>
      <w:marRight w:val="0"/>
      <w:marTop w:val="0"/>
      <w:marBottom w:val="0"/>
      <w:divBdr>
        <w:top w:val="none" w:sz="0" w:space="0" w:color="auto"/>
        <w:left w:val="none" w:sz="0" w:space="0" w:color="auto"/>
        <w:bottom w:val="none" w:sz="0" w:space="0" w:color="auto"/>
        <w:right w:val="none" w:sz="0" w:space="0" w:color="auto"/>
      </w:divBdr>
    </w:div>
    <w:div w:id="134182871">
      <w:bodyDiv w:val="1"/>
      <w:marLeft w:val="0"/>
      <w:marRight w:val="0"/>
      <w:marTop w:val="0"/>
      <w:marBottom w:val="0"/>
      <w:divBdr>
        <w:top w:val="none" w:sz="0" w:space="0" w:color="auto"/>
        <w:left w:val="none" w:sz="0" w:space="0" w:color="auto"/>
        <w:bottom w:val="none" w:sz="0" w:space="0" w:color="auto"/>
        <w:right w:val="none" w:sz="0" w:space="0" w:color="auto"/>
      </w:divBdr>
    </w:div>
    <w:div w:id="134226780">
      <w:bodyDiv w:val="1"/>
      <w:marLeft w:val="0"/>
      <w:marRight w:val="0"/>
      <w:marTop w:val="0"/>
      <w:marBottom w:val="0"/>
      <w:divBdr>
        <w:top w:val="none" w:sz="0" w:space="0" w:color="auto"/>
        <w:left w:val="none" w:sz="0" w:space="0" w:color="auto"/>
        <w:bottom w:val="none" w:sz="0" w:space="0" w:color="auto"/>
        <w:right w:val="none" w:sz="0" w:space="0" w:color="auto"/>
      </w:divBdr>
    </w:div>
    <w:div w:id="134227597">
      <w:bodyDiv w:val="1"/>
      <w:marLeft w:val="0"/>
      <w:marRight w:val="0"/>
      <w:marTop w:val="0"/>
      <w:marBottom w:val="0"/>
      <w:divBdr>
        <w:top w:val="none" w:sz="0" w:space="0" w:color="auto"/>
        <w:left w:val="none" w:sz="0" w:space="0" w:color="auto"/>
        <w:bottom w:val="none" w:sz="0" w:space="0" w:color="auto"/>
        <w:right w:val="none" w:sz="0" w:space="0" w:color="auto"/>
      </w:divBdr>
    </w:div>
    <w:div w:id="134295539">
      <w:bodyDiv w:val="1"/>
      <w:marLeft w:val="0"/>
      <w:marRight w:val="0"/>
      <w:marTop w:val="0"/>
      <w:marBottom w:val="0"/>
      <w:divBdr>
        <w:top w:val="none" w:sz="0" w:space="0" w:color="auto"/>
        <w:left w:val="none" w:sz="0" w:space="0" w:color="auto"/>
        <w:bottom w:val="none" w:sz="0" w:space="0" w:color="auto"/>
        <w:right w:val="none" w:sz="0" w:space="0" w:color="auto"/>
      </w:divBdr>
    </w:div>
    <w:div w:id="134376800">
      <w:bodyDiv w:val="1"/>
      <w:marLeft w:val="0"/>
      <w:marRight w:val="0"/>
      <w:marTop w:val="0"/>
      <w:marBottom w:val="0"/>
      <w:divBdr>
        <w:top w:val="none" w:sz="0" w:space="0" w:color="auto"/>
        <w:left w:val="none" w:sz="0" w:space="0" w:color="auto"/>
        <w:bottom w:val="none" w:sz="0" w:space="0" w:color="auto"/>
        <w:right w:val="none" w:sz="0" w:space="0" w:color="auto"/>
      </w:divBdr>
    </w:div>
    <w:div w:id="134420985">
      <w:bodyDiv w:val="1"/>
      <w:marLeft w:val="0"/>
      <w:marRight w:val="0"/>
      <w:marTop w:val="0"/>
      <w:marBottom w:val="0"/>
      <w:divBdr>
        <w:top w:val="none" w:sz="0" w:space="0" w:color="auto"/>
        <w:left w:val="none" w:sz="0" w:space="0" w:color="auto"/>
        <w:bottom w:val="none" w:sz="0" w:space="0" w:color="auto"/>
        <w:right w:val="none" w:sz="0" w:space="0" w:color="auto"/>
      </w:divBdr>
    </w:div>
    <w:div w:id="134566253">
      <w:bodyDiv w:val="1"/>
      <w:marLeft w:val="0"/>
      <w:marRight w:val="0"/>
      <w:marTop w:val="0"/>
      <w:marBottom w:val="0"/>
      <w:divBdr>
        <w:top w:val="none" w:sz="0" w:space="0" w:color="auto"/>
        <w:left w:val="none" w:sz="0" w:space="0" w:color="auto"/>
        <w:bottom w:val="none" w:sz="0" w:space="0" w:color="auto"/>
        <w:right w:val="none" w:sz="0" w:space="0" w:color="auto"/>
      </w:divBdr>
    </w:div>
    <w:div w:id="134568106">
      <w:bodyDiv w:val="1"/>
      <w:marLeft w:val="0"/>
      <w:marRight w:val="0"/>
      <w:marTop w:val="0"/>
      <w:marBottom w:val="0"/>
      <w:divBdr>
        <w:top w:val="none" w:sz="0" w:space="0" w:color="auto"/>
        <w:left w:val="none" w:sz="0" w:space="0" w:color="auto"/>
        <w:bottom w:val="none" w:sz="0" w:space="0" w:color="auto"/>
        <w:right w:val="none" w:sz="0" w:space="0" w:color="auto"/>
      </w:divBdr>
    </w:div>
    <w:div w:id="134683841">
      <w:bodyDiv w:val="1"/>
      <w:marLeft w:val="0"/>
      <w:marRight w:val="0"/>
      <w:marTop w:val="0"/>
      <w:marBottom w:val="0"/>
      <w:divBdr>
        <w:top w:val="none" w:sz="0" w:space="0" w:color="auto"/>
        <w:left w:val="none" w:sz="0" w:space="0" w:color="auto"/>
        <w:bottom w:val="none" w:sz="0" w:space="0" w:color="auto"/>
        <w:right w:val="none" w:sz="0" w:space="0" w:color="auto"/>
      </w:divBdr>
    </w:div>
    <w:div w:id="134756664">
      <w:bodyDiv w:val="1"/>
      <w:marLeft w:val="0"/>
      <w:marRight w:val="0"/>
      <w:marTop w:val="0"/>
      <w:marBottom w:val="0"/>
      <w:divBdr>
        <w:top w:val="none" w:sz="0" w:space="0" w:color="auto"/>
        <w:left w:val="none" w:sz="0" w:space="0" w:color="auto"/>
        <w:bottom w:val="none" w:sz="0" w:space="0" w:color="auto"/>
        <w:right w:val="none" w:sz="0" w:space="0" w:color="auto"/>
      </w:divBdr>
    </w:div>
    <w:div w:id="134765411">
      <w:bodyDiv w:val="1"/>
      <w:marLeft w:val="0"/>
      <w:marRight w:val="0"/>
      <w:marTop w:val="0"/>
      <w:marBottom w:val="0"/>
      <w:divBdr>
        <w:top w:val="none" w:sz="0" w:space="0" w:color="auto"/>
        <w:left w:val="none" w:sz="0" w:space="0" w:color="auto"/>
        <w:bottom w:val="none" w:sz="0" w:space="0" w:color="auto"/>
        <w:right w:val="none" w:sz="0" w:space="0" w:color="auto"/>
      </w:divBdr>
    </w:div>
    <w:div w:id="134835336">
      <w:bodyDiv w:val="1"/>
      <w:marLeft w:val="0"/>
      <w:marRight w:val="0"/>
      <w:marTop w:val="0"/>
      <w:marBottom w:val="0"/>
      <w:divBdr>
        <w:top w:val="none" w:sz="0" w:space="0" w:color="auto"/>
        <w:left w:val="none" w:sz="0" w:space="0" w:color="auto"/>
        <w:bottom w:val="none" w:sz="0" w:space="0" w:color="auto"/>
        <w:right w:val="none" w:sz="0" w:space="0" w:color="auto"/>
      </w:divBdr>
    </w:div>
    <w:div w:id="134950996">
      <w:bodyDiv w:val="1"/>
      <w:marLeft w:val="0"/>
      <w:marRight w:val="0"/>
      <w:marTop w:val="0"/>
      <w:marBottom w:val="0"/>
      <w:divBdr>
        <w:top w:val="none" w:sz="0" w:space="0" w:color="auto"/>
        <w:left w:val="none" w:sz="0" w:space="0" w:color="auto"/>
        <w:bottom w:val="none" w:sz="0" w:space="0" w:color="auto"/>
        <w:right w:val="none" w:sz="0" w:space="0" w:color="auto"/>
      </w:divBdr>
    </w:div>
    <w:div w:id="134952787">
      <w:bodyDiv w:val="1"/>
      <w:marLeft w:val="0"/>
      <w:marRight w:val="0"/>
      <w:marTop w:val="0"/>
      <w:marBottom w:val="0"/>
      <w:divBdr>
        <w:top w:val="none" w:sz="0" w:space="0" w:color="auto"/>
        <w:left w:val="none" w:sz="0" w:space="0" w:color="auto"/>
        <w:bottom w:val="none" w:sz="0" w:space="0" w:color="auto"/>
        <w:right w:val="none" w:sz="0" w:space="0" w:color="auto"/>
      </w:divBdr>
    </w:div>
    <w:div w:id="134958325">
      <w:bodyDiv w:val="1"/>
      <w:marLeft w:val="0"/>
      <w:marRight w:val="0"/>
      <w:marTop w:val="0"/>
      <w:marBottom w:val="0"/>
      <w:divBdr>
        <w:top w:val="none" w:sz="0" w:space="0" w:color="auto"/>
        <w:left w:val="none" w:sz="0" w:space="0" w:color="auto"/>
        <w:bottom w:val="none" w:sz="0" w:space="0" w:color="auto"/>
        <w:right w:val="none" w:sz="0" w:space="0" w:color="auto"/>
      </w:divBdr>
    </w:div>
    <w:div w:id="135075672">
      <w:bodyDiv w:val="1"/>
      <w:marLeft w:val="0"/>
      <w:marRight w:val="0"/>
      <w:marTop w:val="0"/>
      <w:marBottom w:val="0"/>
      <w:divBdr>
        <w:top w:val="none" w:sz="0" w:space="0" w:color="auto"/>
        <w:left w:val="none" w:sz="0" w:space="0" w:color="auto"/>
        <w:bottom w:val="none" w:sz="0" w:space="0" w:color="auto"/>
        <w:right w:val="none" w:sz="0" w:space="0" w:color="auto"/>
      </w:divBdr>
    </w:div>
    <w:div w:id="135222851">
      <w:bodyDiv w:val="1"/>
      <w:marLeft w:val="0"/>
      <w:marRight w:val="0"/>
      <w:marTop w:val="0"/>
      <w:marBottom w:val="0"/>
      <w:divBdr>
        <w:top w:val="none" w:sz="0" w:space="0" w:color="auto"/>
        <w:left w:val="none" w:sz="0" w:space="0" w:color="auto"/>
        <w:bottom w:val="none" w:sz="0" w:space="0" w:color="auto"/>
        <w:right w:val="none" w:sz="0" w:space="0" w:color="auto"/>
      </w:divBdr>
    </w:div>
    <w:div w:id="135227787">
      <w:bodyDiv w:val="1"/>
      <w:marLeft w:val="0"/>
      <w:marRight w:val="0"/>
      <w:marTop w:val="0"/>
      <w:marBottom w:val="0"/>
      <w:divBdr>
        <w:top w:val="none" w:sz="0" w:space="0" w:color="auto"/>
        <w:left w:val="none" w:sz="0" w:space="0" w:color="auto"/>
        <w:bottom w:val="none" w:sz="0" w:space="0" w:color="auto"/>
        <w:right w:val="none" w:sz="0" w:space="0" w:color="auto"/>
      </w:divBdr>
    </w:div>
    <w:div w:id="135267512">
      <w:bodyDiv w:val="1"/>
      <w:marLeft w:val="0"/>
      <w:marRight w:val="0"/>
      <w:marTop w:val="0"/>
      <w:marBottom w:val="0"/>
      <w:divBdr>
        <w:top w:val="none" w:sz="0" w:space="0" w:color="auto"/>
        <w:left w:val="none" w:sz="0" w:space="0" w:color="auto"/>
        <w:bottom w:val="none" w:sz="0" w:space="0" w:color="auto"/>
        <w:right w:val="none" w:sz="0" w:space="0" w:color="auto"/>
      </w:divBdr>
    </w:div>
    <w:div w:id="135340119">
      <w:bodyDiv w:val="1"/>
      <w:marLeft w:val="0"/>
      <w:marRight w:val="0"/>
      <w:marTop w:val="0"/>
      <w:marBottom w:val="0"/>
      <w:divBdr>
        <w:top w:val="none" w:sz="0" w:space="0" w:color="auto"/>
        <w:left w:val="none" w:sz="0" w:space="0" w:color="auto"/>
        <w:bottom w:val="none" w:sz="0" w:space="0" w:color="auto"/>
        <w:right w:val="none" w:sz="0" w:space="0" w:color="auto"/>
      </w:divBdr>
    </w:div>
    <w:div w:id="135680707">
      <w:bodyDiv w:val="1"/>
      <w:marLeft w:val="0"/>
      <w:marRight w:val="0"/>
      <w:marTop w:val="0"/>
      <w:marBottom w:val="0"/>
      <w:divBdr>
        <w:top w:val="none" w:sz="0" w:space="0" w:color="auto"/>
        <w:left w:val="none" w:sz="0" w:space="0" w:color="auto"/>
        <w:bottom w:val="none" w:sz="0" w:space="0" w:color="auto"/>
        <w:right w:val="none" w:sz="0" w:space="0" w:color="auto"/>
      </w:divBdr>
    </w:div>
    <w:div w:id="135682297">
      <w:bodyDiv w:val="1"/>
      <w:marLeft w:val="0"/>
      <w:marRight w:val="0"/>
      <w:marTop w:val="0"/>
      <w:marBottom w:val="0"/>
      <w:divBdr>
        <w:top w:val="none" w:sz="0" w:space="0" w:color="auto"/>
        <w:left w:val="none" w:sz="0" w:space="0" w:color="auto"/>
        <w:bottom w:val="none" w:sz="0" w:space="0" w:color="auto"/>
        <w:right w:val="none" w:sz="0" w:space="0" w:color="auto"/>
      </w:divBdr>
    </w:div>
    <w:div w:id="135725966">
      <w:bodyDiv w:val="1"/>
      <w:marLeft w:val="0"/>
      <w:marRight w:val="0"/>
      <w:marTop w:val="0"/>
      <w:marBottom w:val="0"/>
      <w:divBdr>
        <w:top w:val="none" w:sz="0" w:space="0" w:color="auto"/>
        <w:left w:val="none" w:sz="0" w:space="0" w:color="auto"/>
        <w:bottom w:val="none" w:sz="0" w:space="0" w:color="auto"/>
        <w:right w:val="none" w:sz="0" w:space="0" w:color="auto"/>
      </w:divBdr>
    </w:div>
    <w:div w:id="135922151">
      <w:bodyDiv w:val="1"/>
      <w:marLeft w:val="0"/>
      <w:marRight w:val="0"/>
      <w:marTop w:val="0"/>
      <w:marBottom w:val="0"/>
      <w:divBdr>
        <w:top w:val="none" w:sz="0" w:space="0" w:color="auto"/>
        <w:left w:val="none" w:sz="0" w:space="0" w:color="auto"/>
        <w:bottom w:val="none" w:sz="0" w:space="0" w:color="auto"/>
        <w:right w:val="none" w:sz="0" w:space="0" w:color="auto"/>
      </w:divBdr>
    </w:div>
    <w:div w:id="136071704">
      <w:bodyDiv w:val="1"/>
      <w:marLeft w:val="0"/>
      <w:marRight w:val="0"/>
      <w:marTop w:val="0"/>
      <w:marBottom w:val="0"/>
      <w:divBdr>
        <w:top w:val="none" w:sz="0" w:space="0" w:color="auto"/>
        <w:left w:val="none" w:sz="0" w:space="0" w:color="auto"/>
        <w:bottom w:val="none" w:sz="0" w:space="0" w:color="auto"/>
        <w:right w:val="none" w:sz="0" w:space="0" w:color="auto"/>
      </w:divBdr>
    </w:div>
    <w:div w:id="136148005">
      <w:bodyDiv w:val="1"/>
      <w:marLeft w:val="0"/>
      <w:marRight w:val="0"/>
      <w:marTop w:val="0"/>
      <w:marBottom w:val="0"/>
      <w:divBdr>
        <w:top w:val="none" w:sz="0" w:space="0" w:color="auto"/>
        <w:left w:val="none" w:sz="0" w:space="0" w:color="auto"/>
        <w:bottom w:val="none" w:sz="0" w:space="0" w:color="auto"/>
        <w:right w:val="none" w:sz="0" w:space="0" w:color="auto"/>
      </w:divBdr>
    </w:div>
    <w:div w:id="136187423">
      <w:bodyDiv w:val="1"/>
      <w:marLeft w:val="0"/>
      <w:marRight w:val="0"/>
      <w:marTop w:val="0"/>
      <w:marBottom w:val="0"/>
      <w:divBdr>
        <w:top w:val="none" w:sz="0" w:space="0" w:color="auto"/>
        <w:left w:val="none" w:sz="0" w:space="0" w:color="auto"/>
        <w:bottom w:val="none" w:sz="0" w:space="0" w:color="auto"/>
        <w:right w:val="none" w:sz="0" w:space="0" w:color="auto"/>
      </w:divBdr>
    </w:div>
    <w:div w:id="136383327">
      <w:bodyDiv w:val="1"/>
      <w:marLeft w:val="0"/>
      <w:marRight w:val="0"/>
      <w:marTop w:val="0"/>
      <w:marBottom w:val="0"/>
      <w:divBdr>
        <w:top w:val="none" w:sz="0" w:space="0" w:color="auto"/>
        <w:left w:val="none" w:sz="0" w:space="0" w:color="auto"/>
        <w:bottom w:val="none" w:sz="0" w:space="0" w:color="auto"/>
        <w:right w:val="none" w:sz="0" w:space="0" w:color="auto"/>
      </w:divBdr>
    </w:div>
    <w:div w:id="136538432">
      <w:bodyDiv w:val="1"/>
      <w:marLeft w:val="0"/>
      <w:marRight w:val="0"/>
      <w:marTop w:val="0"/>
      <w:marBottom w:val="0"/>
      <w:divBdr>
        <w:top w:val="none" w:sz="0" w:space="0" w:color="auto"/>
        <w:left w:val="none" w:sz="0" w:space="0" w:color="auto"/>
        <w:bottom w:val="none" w:sz="0" w:space="0" w:color="auto"/>
        <w:right w:val="none" w:sz="0" w:space="0" w:color="auto"/>
      </w:divBdr>
    </w:div>
    <w:div w:id="136580870">
      <w:bodyDiv w:val="1"/>
      <w:marLeft w:val="0"/>
      <w:marRight w:val="0"/>
      <w:marTop w:val="0"/>
      <w:marBottom w:val="0"/>
      <w:divBdr>
        <w:top w:val="none" w:sz="0" w:space="0" w:color="auto"/>
        <w:left w:val="none" w:sz="0" w:space="0" w:color="auto"/>
        <w:bottom w:val="none" w:sz="0" w:space="0" w:color="auto"/>
        <w:right w:val="none" w:sz="0" w:space="0" w:color="auto"/>
      </w:divBdr>
    </w:div>
    <w:div w:id="136840783">
      <w:bodyDiv w:val="1"/>
      <w:marLeft w:val="0"/>
      <w:marRight w:val="0"/>
      <w:marTop w:val="0"/>
      <w:marBottom w:val="0"/>
      <w:divBdr>
        <w:top w:val="none" w:sz="0" w:space="0" w:color="auto"/>
        <w:left w:val="none" w:sz="0" w:space="0" w:color="auto"/>
        <w:bottom w:val="none" w:sz="0" w:space="0" w:color="auto"/>
        <w:right w:val="none" w:sz="0" w:space="0" w:color="auto"/>
      </w:divBdr>
    </w:div>
    <w:div w:id="137495808">
      <w:bodyDiv w:val="1"/>
      <w:marLeft w:val="0"/>
      <w:marRight w:val="0"/>
      <w:marTop w:val="0"/>
      <w:marBottom w:val="0"/>
      <w:divBdr>
        <w:top w:val="none" w:sz="0" w:space="0" w:color="auto"/>
        <w:left w:val="none" w:sz="0" w:space="0" w:color="auto"/>
        <w:bottom w:val="none" w:sz="0" w:space="0" w:color="auto"/>
        <w:right w:val="none" w:sz="0" w:space="0" w:color="auto"/>
      </w:divBdr>
    </w:div>
    <w:div w:id="137575889">
      <w:bodyDiv w:val="1"/>
      <w:marLeft w:val="0"/>
      <w:marRight w:val="0"/>
      <w:marTop w:val="0"/>
      <w:marBottom w:val="0"/>
      <w:divBdr>
        <w:top w:val="none" w:sz="0" w:space="0" w:color="auto"/>
        <w:left w:val="none" w:sz="0" w:space="0" w:color="auto"/>
        <w:bottom w:val="none" w:sz="0" w:space="0" w:color="auto"/>
        <w:right w:val="none" w:sz="0" w:space="0" w:color="auto"/>
      </w:divBdr>
    </w:div>
    <w:div w:id="137840227">
      <w:bodyDiv w:val="1"/>
      <w:marLeft w:val="0"/>
      <w:marRight w:val="0"/>
      <w:marTop w:val="0"/>
      <w:marBottom w:val="0"/>
      <w:divBdr>
        <w:top w:val="none" w:sz="0" w:space="0" w:color="auto"/>
        <w:left w:val="none" w:sz="0" w:space="0" w:color="auto"/>
        <w:bottom w:val="none" w:sz="0" w:space="0" w:color="auto"/>
        <w:right w:val="none" w:sz="0" w:space="0" w:color="auto"/>
      </w:divBdr>
    </w:div>
    <w:div w:id="137959039">
      <w:bodyDiv w:val="1"/>
      <w:marLeft w:val="0"/>
      <w:marRight w:val="0"/>
      <w:marTop w:val="0"/>
      <w:marBottom w:val="0"/>
      <w:divBdr>
        <w:top w:val="none" w:sz="0" w:space="0" w:color="auto"/>
        <w:left w:val="none" w:sz="0" w:space="0" w:color="auto"/>
        <w:bottom w:val="none" w:sz="0" w:space="0" w:color="auto"/>
        <w:right w:val="none" w:sz="0" w:space="0" w:color="auto"/>
      </w:divBdr>
    </w:div>
    <w:div w:id="138041190">
      <w:bodyDiv w:val="1"/>
      <w:marLeft w:val="0"/>
      <w:marRight w:val="0"/>
      <w:marTop w:val="0"/>
      <w:marBottom w:val="0"/>
      <w:divBdr>
        <w:top w:val="none" w:sz="0" w:space="0" w:color="auto"/>
        <w:left w:val="none" w:sz="0" w:space="0" w:color="auto"/>
        <w:bottom w:val="none" w:sz="0" w:space="0" w:color="auto"/>
        <w:right w:val="none" w:sz="0" w:space="0" w:color="auto"/>
      </w:divBdr>
    </w:div>
    <w:div w:id="138158559">
      <w:bodyDiv w:val="1"/>
      <w:marLeft w:val="0"/>
      <w:marRight w:val="0"/>
      <w:marTop w:val="0"/>
      <w:marBottom w:val="0"/>
      <w:divBdr>
        <w:top w:val="none" w:sz="0" w:space="0" w:color="auto"/>
        <w:left w:val="none" w:sz="0" w:space="0" w:color="auto"/>
        <w:bottom w:val="none" w:sz="0" w:space="0" w:color="auto"/>
        <w:right w:val="none" w:sz="0" w:space="0" w:color="auto"/>
      </w:divBdr>
    </w:div>
    <w:div w:id="138304540">
      <w:bodyDiv w:val="1"/>
      <w:marLeft w:val="0"/>
      <w:marRight w:val="0"/>
      <w:marTop w:val="0"/>
      <w:marBottom w:val="0"/>
      <w:divBdr>
        <w:top w:val="none" w:sz="0" w:space="0" w:color="auto"/>
        <w:left w:val="none" w:sz="0" w:space="0" w:color="auto"/>
        <w:bottom w:val="none" w:sz="0" w:space="0" w:color="auto"/>
        <w:right w:val="none" w:sz="0" w:space="0" w:color="auto"/>
      </w:divBdr>
    </w:div>
    <w:div w:id="138350816">
      <w:bodyDiv w:val="1"/>
      <w:marLeft w:val="0"/>
      <w:marRight w:val="0"/>
      <w:marTop w:val="0"/>
      <w:marBottom w:val="0"/>
      <w:divBdr>
        <w:top w:val="none" w:sz="0" w:space="0" w:color="auto"/>
        <w:left w:val="none" w:sz="0" w:space="0" w:color="auto"/>
        <w:bottom w:val="none" w:sz="0" w:space="0" w:color="auto"/>
        <w:right w:val="none" w:sz="0" w:space="0" w:color="auto"/>
      </w:divBdr>
    </w:div>
    <w:div w:id="138420203">
      <w:bodyDiv w:val="1"/>
      <w:marLeft w:val="0"/>
      <w:marRight w:val="0"/>
      <w:marTop w:val="0"/>
      <w:marBottom w:val="0"/>
      <w:divBdr>
        <w:top w:val="none" w:sz="0" w:space="0" w:color="auto"/>
        <w:left w:val="none" w:sz="0" w:space="0" w:color="auto"/>
        <w:bottom w:val="none" w:sz="0" w:space="0" w:color="auto"/>
        <w:right w:val="none" w:sz="0" w:space="0" w:color="auto"/>
      </w:divBdr>
    </w:div>
    <w:div w:id="138546660">
      <w:bodyDiv w:val="1"/>
      <w:marLeft w:val="0"/>
      <w:marRight w:val="0"/>
      <w:marTop w:val="0"/>
      <w:marBottom w:val="0"/>
      <w:divBdr>
        <w:top w:val="none" w:sz="0" w:space="0" w:color="auto"/>
        <w:left w:val="none" w:sz="0" w:space="0" w:color="auto"/>
        <w:bottom w:val="none" w:sz="0" w:space="0" w:color="auto"/>
        <w:right w:val="none" w:sz="0" w:space="0" w:color="auto"/>
      </w:divBdr>
    </w:div>
    <w:div w:id="138764425">
      <w:bodyDiv w:val="1"/>
      <w:marLeft w:val="0"/>
      <w:marRight w:val="0"/>
      <w:marTop w:val="0"/>
      <w:marBottom w:val="0"/>
      <w:divBdr>
        <w:top w:val="none" w:sz="0" w:space="0" w:color="auto"/>
        <w:left w:val="none" w:sz="0" w:space="0" w:color="auto"/>
        <w:bottom w:val="none" w:sz="0" w:space="0" w:color="auto"/>
        <w:right w:val="none" w:sz="0" w:space="0" w:color="auto"/>
      </w:divBdr>
    </w:div>
    <w:div w:id="138964636">
      <w:bodyDiv w:val="1"/>
      <w:marLeft w:val="0"/>
      <w:marRight w:val="0"/>
      <w:marTop w:val="0"/>
      <w:marBottom w:val="0"/>
      <w:divBdr>
        <w:top w:val="none" w:sz="0" w:space="0" w:color="auto"/>
        <w:left w:val="none" w:sz="0" w:space="0" w:color="auto"/>
        <w:bottom w:val="none" w:sz="0" w:space="0" w:color="auto"/>
        <w:right w:val="none" w:sz="0" w:space="0" w:color="auto"/>
      </w:divBdr>
    </w:div>
    <w:div w:id="139154557">
      <w:bodyDiv w:val="1"/>
      <w:marLeft w:val="0"/>
      <w:marRight w:val="0"/>
      <w:marTop w:val="0"/>
      <w:marBottom w:val="0"/>
      <w:divBdr>
        <w:top w:val="none" w:sz="0" w:space="0" w:color="auto"/>
        <w:left w:val="none" w:sz="0" w:space="0" w:color="auto"/>
        <w:bottom w:val="none" w:sz="0" w:space="0" w:color="auto"/>
        <w:right w:val="none" w:sz="0" w:space="0" w:color="auto"/>
      </w:divBdr>
    </w:div>
    <w:div w:id="139156034">
      <w:bodyDiv w:val="1"/>
      <w:marLeft w:val="0"/>
      <w:marRight w:val="0"/>
      <w:marTop w:val="0"/>
      <w:marBottom w:val="0"/>
      <w:divBdr>
        <w:top w:val="none" w:sz="0" w:space="0" w:color="auto"/>
        <w:left w:val="none" w:sz="0" w:space="0" w:color="auto"/>
        <w:bottom w:val="none" w:sz="0" w:space="0" w:color="auto"/>
        <w:right w:val="none" w:sz="0" w:space="0" w:color="auto"/>
      </w:divBdr>
    </w:div>
    <w:div w:id="139345096">
      <w:bodyDiv w:val="1"/>
      <w:marLeft w:val="0"/>
      <w:marRight w:val="0"/>
      <w:marTop w:val="0"/>
      <w:marBottom w:val="0"/>
      <w:divBdr>
        <w:top w:val="none" w:sz="0" w:space="0" w:color="auto"/>
        <w:left w:val="none" w:sz="0" w:space="0" w:color="auto"/>
        <w:bottom w:val="none" w:sz="0" w:space="0" w:color="auto"/>
        <w:right w:val="none" w:sz="0" w:space="0" w:color="auto"/>
      </w:divBdr>
    </w:div>
    <w:div w:id="139352800">
      <w:bodyDiv w:val="1"/>
      <w:marLeft w:val="0"/>
      <w:marRight w:val="0"/>
      <w:marTop w:val="0"/>
      <w:marBottom w:val="0"/>
      <w:divBdr>
        <w:top w:val="none" w:sz="0" w:space="0" w:color="auto"/>
        <w:left w:val="none" w:sz="0" w:space="0" w:color="auto"/>
        <w:bottom w:val="none" w:sz="0" w:space="0" w:color="auto"/>
        <w:right w:val="none" w:sz="0" w:space="0" w:color="auto"/>
      </w:divBdr>
    </w:div>
    <w:div w:id="139542739">
      <w:bodyDiv w:val="1"/>
      <w:marLeft w:val="0"/>
      <w:marRight w:val="0"/>
      <w:marTop w:val="0"/>
      <w:marBottom w:val="0"/>
      <w:divBdr>
        <w:top w:val="none" w:sz="0" w:space="0" w:color="auto"/>
        <w:left w:val="none" w:sz="0" w:space="0" w:color="auto"/>
        <w:bottom w:val="none" w:sz="0" w:space="0" w:color="auto"/>
        <w:right w:val="none" w:sz="0" w:space="0" w:color="auto"/>
      </w:divBdr>
    </w:div>
    <w:div w:id="139612307">
      <w:bodyDiv w:val="1"/>
      <w:marLeft w:val="0"/>
      <w:marRight w:val="0"/>
      <w:marTop w:val="0"/>
      <w:marBottom w:val="0"/>
      <w:divBdr>
        <w:top w:val="none" w:sz="0" w:space="0" w:color="auto"/>
        <w:left w:val="none" w:sz="0" w:space="0" w:color="auto"/>
        <w:bottom w:val="none" w:sz="0" w:space="0" w:color="auto"/>
        <w:right w:val="none" w:sz="0" w:space="0" w:color="auto"/>
      </w:divBdr>
    </w:div>
    <w:div w:id="139615739">
      <w:bodyDiv w:val="1"/>
      <w:marLeft w:val="0"/>
      <w:marRight w:val="0"/>
      <w:marTop w:val="0"/>
      <w:marBottom w:val="0"/>
      <w:divBdr>
        <w:top w:val="none" w:sz="0" w:space="0" w:color="auto"/>
        <w:left w:val="none" w:sz="0" w:space="0" w:color="auto"/>
        <w:bottom w:val="none" w:sz="0" w:space="0" w:color="auto"/>
        <w:right w:val="none" w:sz="0" w:space="0" w:color="auto"/>
      </w:divBdr>
    </w:div>
    <w:div w:id="139662155">
      <w:bodyDiv w:val="1"/>
      <w:marLeft w:val="0"/>
      <w:marRight w:val="0"/>
      <w:marTop w:val="0"/>
      <w:marBottom w:val="0"/>
      <w:divBdr>
        <w:top w:val="none" w:sz="0" w:space="0" w:color="auto"/>
        <w:left w:val="none" w:sz="0" w:space="0" w:color="auto"/>
        <w:bottom w:val="none" w:sz="0" w:space="0" w:color="auto"/>
        <w:right w:val="none" w:sz="0" w:space="0" w:color="auto"/>
      </w:divBdr>
    </w:div>
    <w:div w:id="139663743">
      <w:bodyDiv w:val="1"/>
      <w:marLeft w:val="0"/>
      <w:marRight w:val="0"/>
      <w:marTop w:val="0"/>
      <w:marBottom w:val="0"/>
      <w:divBdr>
        <w:top w:val="none" w:sz="0" w:space="0" w:color="auto"/>
        <w:left w:val="none" w:sz="0" w:space="0" w:color="auto"/>
        <w:bottom w:val="none" w:sz="0" w:space="0" w:color="auto"/>
        <w:right w:val="none" w:sz="0" w:space="0" w:color="auto"/>
      </w:divBdr>
    </w:div>
    <w:div w:id="139687444">
      <w:bodyDiv w:val="1"/>
      <w:marLeft w:val="0"/>
      <w:marRight w:val="0"/>
      <w:marTop w:val="0"/>
      <w:marBottom w:val="0"/>
      <w:divBdr>
        <w:top w:val="none" w:sz="0" w:space="0" w:color="auto"/>
        <w:left w:val="none" w:sz="0" w:space="0" w:color="auto"/>
        <w:bottom w:val="none" w:sz="0" w:space="0" w:color="auto"/>
        <w:right w:val="none" w:sz="0" w:space="0" w:color="auto"/>
      </w:divBdr>
    </w:div>
    <w:div w:id="139806098">
      <w:bodyDiv w:val="1"/>
      <w:marLeft w:val="0"/>
      <w:marRight w:val="0"/>
      <w:marTop w:val="0"/>
      <w:marBottom w:val="0"/>
      <w:divBdr>
        <w:top w:val="none" w:sz="0" w:space="0" w:color="auto"/>
        <w:left w:val="none" w:sz="0" w:space="0" w:color="auto"/>
        <w:bottom w:val="none" w:sz="0" w:space="0" w:color="auto"/>
        <w:right w:val="none" w:sz="0" w:space="0" w:color="auto"/>
      </w:divBdr>
    </w:div>
    <w:div w:id="139854948">
      <w:bodyDiv w:val="1"/>
      <w:marLeft w:val="0"/>
      <w:marRight w:val="0"/>
      <w:marTop w:val="0"/>
      <w:marBottom w:val="0"/>
      <w:divBdr>
        <w:top w:val="none" w:sz="0" w:space="0" w:color="auto"/>
        <w:left w:val="none" w:sz="0" w:space="0" w:color="auto"/>
        <w:bottom w:val="none" w:sz="0" w:space="0" w:color="auto"/>
        <w:right w:val="none" w:sz="0" w:space="0" w:color="auto"/>
      </w:divBdr>
    </w:div>
    <w:div w:id="139884731">
      <w:bodyDiv w:val="1"/>
      <w:marLeft w:val="0"/>
      <w:marRight w:val="0"/>
      <w:marTop w:val="0"/>
      <w:marBottom w:val="0"/>
      <w:divBdr>
        <w:top w:val="none" w:sz="0" w:space="0" w:color="auto"/>
        <w:left w:val="none" w:sz="0" w:space="0" w:color="auto"/>
        <w:bottom w:val="none" w:sz="0" w:space="0" w:color="auto"/>
        <w:right w:val="none" w:sz="0" w:space="0" w:color="auto"/>
      </w:divBdr>
    </w:div>
    <w:div w:id="139931806">
      <w:bodyDiv w:val="1"/>
      <w:marLeft w:val="0"/>
      <w:marRight w:val="0"/>
      <w:marTop w:val="0"/>
      <w:marBottom w:val="0"/>
      <w:divBdr>
        <w:top w:val="none" w:sz="0" w:space="0" w:color="auto"/>
        <w:left w:val="none" w:sz="0" w:space="0" w:color="auto"/>
        <w:bottom w:val="none" w:sz="0" w:space="0" w:color="auto"/>
        <w:right w:val="none" w:sz="0" w:space="0" w:color="auto"/>
      </w:divBdr>
    </w:div>
    <w:div w:id="140079244">
      <w:bodyDiv w:val="1"/>
      <w:marLeft w:val="0"/>
      <w:marRight w:val="0"/>
      <w:marTop w:val="0"/>
      <w:marBottom w:val="0"/>
      <w:divBdr>
        <w:top w:val="none" w:sz="0" w:space="0" w:color="auto"/>
        <w:left w:val="none" w:sz="0" w:space="0" w:color="auto"/>
        <w:bottom w:val="none" w:sz="0" w:space="0" w:color="auto"/>
        <w:right w:val="none" w:sz="0" w:space="0" w:color="auto"/>
      </w:divBdr>
    </w:div>
    <w:div w:id="140120902">
      <w:bodyDiv w:val="1"/>
      <w:marLeft w:val="0"/>
      <w:marRight w:val="0"/>
      <w:marTop w:val="0"/>
      <w:marBottom w:val="0"/>
      <w:divBdr>
        <w:top w:val="none" w:sz="0" w:space="0" w:color="auto"/>
        <w:left w:val="none" w:sz="0" w:space="0" w:color="auto"/>
        <w:bottom w:val="none" w:sz="0" w:space="0" w:color="auto"/>
        <w:right w:val="none" w:sz="0" w:space="0" w:color="auto"/>
      </w:divBdr>
    </w:div>
    <w:div w:id="140464426">
      <w:bodyDiv w:val="1"/>
      <w:marLeft w:val="0"/>
      <w:marRight w:val="0"/>
      <w:marTop w:val="0"/>
      <w:marBottom w:val="0"/>
      <w:divBdr>
        <w:top w:val="none" w:sz="0" w:space="0" w:color="auto"/>
        <w:left w:val="none" w:sz="0" w:space="0" w:color="auto"/>
        <w:bottom w:val="none" w:sz="0" w:space="0" w:color="auto"/>
        <w:right w:val="none" w:sz="0" w:space="0" w:color="auto"/>
      </w:divBdr>
    </w:div>
    <w:div w:id="140657469">
      <w:bodyDiv w:val="1"/>
      <w:marLeft w:val="0"/>
      <w:marRight w:val="0"/>
      <w:marTop w:val="0"/>
      <w:marBottom w:val="0"/>
      <w:divBdr>
        <w:top w:val="none" w:sz="0" w:space="0" w:color="auto"/>
        <w:left w:val="none" w:sz="0" w:space="0" w:color="auto"/>
        <w:bottom w:val="none" w:sz="0" w:space="0" w:color="auto"/>
        <w:right w:val="none" w:sz="0" w:space="0" w:color="auto"/>
      </w:divBdr>
    </w:div>
    <w:div w:id="140731056">
      <w:bodyDiv w:val="1"/>
      <w:marLeft w:val="0"/>
      <w:marRight w:val="0"/>
      <w:marTop w:val="0"/>
      <w:marBottom w:val="0"/>
      <w:divBdr>
        <w:top w:val="none" w:sz="0" w:space="0" w:color="auto"/>
        <w:left w:val="none" w:sz="0" w:space="0" w:color="auto"/>
        <w:bottom w:val="none" w:sz="0" w:space="0" w:color="auto"/>
        <w:right w:val="none" w:sz="0" w:space="0" w:color="auto"/>
      </w:divBdr>
    </w:div>
    <w:div w:id="140853206">
      <w:bodyDiv w:val="1"/>
      <w:marLeft w:val="0"/>
      <w:marRight w:val="0"/>
      <w:marTop w:val="0"/>
      <w:marBottom w:val="0"/>
      <w:divBdr>
        <w:top w:val="none" w:sz="0" w:space="0" w:color="auto"/>
        <w:left w:val="none" w:sz="0" w:space="0" w:color="auto"/>
        <w:bottom w:val="none" w:sz="0" w:space="0" w:color="auto"/>
        <w:right w:val="none" w:sz="0" w:space="0" w:color="auto"/>
      </w:divBdr>
    </w:div>
    <w:div w:id="140922797">
      <w:bodyDiv w:val="1"/>
      <w:marLeft w:val="0"/>
      <w:marRight w:val="0"/>
      <w:marTop w:val="0"/>
      <w:marBottom w:val="0"/>
      <w:divBdr>
        <w:top w:val="none" w:sz="0" w:space="0" w:color="auto"/>
        <w:left w:val="none" w:sz="0" w:space="0" w:color="auto"/>
        <w:bottom w:val="none" w:sz="0" w:space="0" w:color="auto"/>
        <w:right w:val="none" w:sz="0" w:space="0" w:color="auto"/>
      </w:divBdr>
    </w:div>
    <w:div w:id="141118417">
      <w:bodyDiv w:val="1"/>
      <w:marLeft w:val="0"/>
      <w:marRight w:val="0"/>
      <w:marTop w:val="0"/>
      <w:marBottom w:val="0"/>
      <w:divBdr>
        <w:top w:val="none" w:sz="0" w:space="0" w:color="auto"/>
        <w:left w:val="none" w:sz="0" w:space="0" w:color="auto"/>
        <w:bottom w:val="none" w:sz="0" w:space="0" w:color="auto"/>
        <w:right w:val="none" w:sz="0" w:space="0" w:color="auto"/>
      </w:divBdr>
    </w:div>
    <w:div w:id="141314864">
      <w:bodyDiv w:val="1"/>
      <w:marLeft w:val="0"/>
      <w:marRight w:val="0"/>
      <w:marTop w:val="0"/>
      <w:marBottom w:val="0"/>
      <w:divBdr>
        <w:top w:val="none" w:sz="0" w:space="0" w:color="auto"/>
        <w:left w:val="none" w:sz="0" w:space="0" w:color="auto"/>
        <w:bottom w:val="none" w:sz="0" w:space="0" w:color="auto"/>
        <w:right w:val="none" w:sz="0" w:space="0" w:color="auto"/>
      </w:divBdr>
    </w:div>
    <w:div w:id="141315070">
      <w:bodyDiv w:val="1"/>
      <w:marLeft w:val="0"/>
      <w:marRight w:val="0"/>
      <w:marTop w:val="0"/>
      <w:marBottom w:val="0"/>
      <w:divBdr>
        <w:top w:val="none" w:sz="0" w:space="0" w:color="auto"/>
        <w:left w:val="none" w:sz="0" w:space="0" w:color="auto"/>
        <w:bottom w:val="none" w:sz="0" w:space="0" w:color="auto"/>
        <w:right w:val="none" w:sz="0" w:space="0" w:color="auto"/>
      </w:divBdr>
    </w:div>
    <w:div w:id="141506010">
      <w:bodyDiv w:val="1"/>
      <w:marLeft w:val="0"/>
      <w:marRight w:val="0"/>
      <w:marTop w:val="0"/>
      <w:marBottom w:val="0"/>
      <w:divBdr>
        <w:top w:val="none" w:sz="0" w:space="0" w:color="auto"/>
        <w:left w:val="none" w:sz="0" w:space="0" w:color="auto"/>
        <w:bottom w:val="none" w:sz="0" w:space="0" w:color="auto"/>
        <w:right w:val="none" w:sz="0" w:space="0" w:color="auto"/>
      </w:divBdr>
    </w:div>
    <w:div w:id="141700454">
      <w:bodyDiv w:val="1"/>
      <w:marLeft w:val="0"/>
      <w:marRight w:val="0"/>
      <w:marTop w:val="0"/>
      <w:marBottom w:val="0"/>
      <w:divBdr>
        <w:top w:val="none" w:sz="0" w:space="0" w:color="auto"/>
        <w:left w:val="none" w:sz="0" w:space="0" w:color="auto"/>
        <w:bottom w:val="none" w:sz="0" w:space="0" w:color="auto"/>
        <w:right w:val="none" w:sz="0" w:space="0" w:color="auto"/>
      </w:divBdr>
    </w:div>
    <w:div w:id="141772087">
      <w:bodyDiv w:val="1"/>
      <w:marLeft w:val="0"/>
      <w:marRight w:val="0"/>
      <w:marTop w:val="0"/>
      <w:marBottom w:val="0"/>
      <w:divBdr>
        <w:top w:val="none" w:sz="0" w:space="0" w:color="auto"/>
        <w:left w:val="none" w:sz="0" w:space="0" w:color="auto"/>
        <w:bottom w:val="none" w:sz="0" w:space="0" w:color="auto"/>
        <w:right w:val="none" w:sz="0" w:space="0" w:color="auto"/>
      </w:divBdr>
    </w:div>
    <w:div w:id="142086517">
      <w:bodyDiv w:val="1"/>
      <w:marLeft w:val="0"/>
      <w:marRight w:val="0"/>
      <w:marTop w:val="0"/>
      <w:marBottom w:val="0"/>
      <w:divBdr>
        <w:top w:val="none" w:sz="0" w:space="0" w:color="auto"/>
        <w:left w:val="none" w:sz="0" w:space="0" w:color="auto"/>
        <w:bottom w:val="none" w:sz="0" w:space="0" w:color="auto"/>
        <w:right w:val="none" w:sz="0" w:space="0" w:color="auto"/>
      </w:divBdr>
    </w:div>
    <w:div w:id="142158038">
      <w:bodyDiv w:val="1"/>
      <w:marLeft w:val="0"/>
      <w:marRight w:val="0"/>
      <w:marTop w:val="0"/>
      <w:marBottom w:val="0"/>
      <w:divBdr>
        <w:top w:val="none" w:sz="0" w:space="0" w:color="auto"/>
        <w:left w:val="none" w:sz="0" w:space="0" w:color="auto"/>
        <w:bottom w:val="none" w:sz="0" w:space="0" w:color="auto"/>
        <w:right w:val="none" w:sz="0" w:space="0" w:color="auto"/>
      </w:divBdr>
    </w:div>
    <w:div w:id="142242039">
      <w:bodyDiv w:val="1"/>
      <w:marLeft w:val="0"/>
      <w:marRight w:val="0"/>
      <w:marTop w:val="0"/>
      <w:marBottom w:val="0"/>
      <w:divBdr>
        <w:top w:val="none" w:sz="0" w:space="0" w:color="auto"/>
        <w:left w:val="none" w:sz="0" w:space="0" w:color="auto"/>
        <w:bottom w:val="none" w:sz="0" w:space="0" w:color="auto"/>
        <w:right w:val="none" w:sz="0" w:space="0" w:color="auto"/>
      </w:divBdr>
    </w:div>
    <w:div w:id="142283242">
      <w:bodyDiv w:val="1"/>
      <w:marLeft w:val="0"/>
      <w:marRight w:val="0"/>
      <w:marTop w:val="0"/>
      <w:marBottom w:val="0"/>
      <w:divBdr>
        <w:top w:val="none" w:sz="0" w:space="0" w:color="auto"/>
        <w:left w:val="none" w:sz="0" w:space="0" w:color="auto"/>
        <w:bottom w:val="none" w:sz="0" w:space="0" w:color="auto"/>
        <w:right w:val="none" w:sz="0" w:space="0" w:color="auto"/>
      </w:divBdr>
    </w:div>
    <w:div w:id="142354299">
      <w:bodyDiv w:val="1"/>
      <w:marLeft w:val="0"/>
      <w:marRight w:val="0"/>
      <w:marTop w:val="0"/>
      <w:marBottom w:val="0"/>
      <w:divBdr>
        <w:top w:val="none" w:sz="0" w:space="0" w:color="auto"/>
        <w:left w:val="none" w:sz="0" w:space="0" w:color="auto"/>
        <w:bottom w:val="none" w:sz="0" w:space="0" w:color="auto"/>
        <w:right w:val="none" w:sz="0" w:space="0" w:color="auto"/>
      </w:divBdr>
    </w:div>
    <w:div w:id="142357651">
      <w:bodyDiv w:val="1"/>
      <w:marLeft w:val="0"/>
      <w:marRight w:val="0"/>
      <w:marTop w:val="0"/>
      <w:marBottom w:val="0"/>
      <w:divBdr>
        <w:top w:val="none" w:sz="0" w:space="0" w:color="auto"/>
        <w:left w:val="none" w:sz="0" w:space="0" w:color="auto"/>
        <w:bottom w:val="none" w:sz="0" w:space="0" w:color="auto"/>
        <w:right w:val="none" w:sz="0" w:space="0" w:color="auto"/>
      </w:divBdr>
    </w:div>
    <w:div w:id="142430681">
      <w:bodyDiv w:val="1"/>
      <w:marLeft w:val="0"/>
      <w:marRight w:val="0"/>
      <w:marTop w:val="0"/>
      <w:marBottom w:val="0"/>
      <w:divBdr>
        <w:top w:val="none" w:sz="0" w:space="0" w:color="auto"/>
        <w:left w:val="none" w:sz="0" w:space="0" w:color="auto"/>
        <w:bottom w:val="none" w:sz="0" w:space="0" w:color="auto"/>
        <w:right w:val="none" w:sz="0" w:space="0" w:color="auto"/>
      </w:divBdr>
    </w:div>
    <w:div w:id="142433545">
      <w:bodyDiv w:val="1"/>
      <w:marLeft w:val="0"/>
      <w:marRight w:val="0"/>
      <w:marTop w:val="0"/>
      <w:marBottom w:val="0"/>
      <w:divBdr>
        <w:top w:val="none" w:sz="0" w:space="0" w:color="auto"/>
        <w:left w:val="none" w:sz="0" w:space="0" w:color="auto"/>
        <w:bottom w:val="none" w:sz="0" w:space="0" w:color="auto"/>
        <w:right w:val="none" w:sz="0" w:space="0" w:color="auto"/>
      </w:divBdr>
    </w:div>
    <w:div w:id="142620898">
      <w:bodyDiv w:val="1"/>
      <w:marLeft w:val="0"/>
      <w:marRight w:val="0"/>
      <w:marTop w:val="0"/>
      <w:marBottom w:val="0"/>
      <w:divBdr>
        <w:top w:val="none" w:sz="0" w:space="0" w:color="auto"/>
        <w:left w:val="none" w:sz="0" w:space="0" w:color="auto"/>
        <w:bottom w:val="none" w:sz="0" w:space="0" w:color="auto"/>
        <w:right w:val="none" w:sz="0" w:space="0" w:color="auto"/>
      </w:divBdr>
    </w:div>
    <w:div w:id="142627379">
      <w:bodyDiv w:val="1"/>
      <w:marLeft w:val="0"/>
      <w:marRight w:val="0"/>
      <w:marTop w:val="0"/>
      <w:marBottom w:val="0"/>
      <w:divBdr>
        <w:top w:val="none" w:sz="0" w:space="0" w:color="auto"/>
        <w:left w:val="none" w:sz="0" w:space="0" w:color="auto"/>
        <w:bottom w:val="none" w:sz="0" w:space="0" w:color="auto"/>
        <w:right w:val="none" w:sz="0" w:space="0" w:color="auto"/>
      </w:divBdr>
    </w:div>
    <w:div w:id="142743986">
      <w:bodyDiv w:val="1"/>
      <w:marLeft w:val="0"/>
      <w:marRight w:val="0"/>
      <w:marTop w:val="0"/>
      <w:marBottom w:val="0"/>
      <w:divBdr>
        <w:top w:val="none" w:sz="0" w:space="0" w:color="auto"/>
        <w:left w:val="none" w:sz="0" w:space="0" w:color="auto"/>
        <w:bottom w:val="none" w:sz="0" w:space="0" w:color="auto"/>
        <w:right w:val="none" w:sz="0" w:space="0" w:color="auto"/>
      </w:divBdr>
    </w:div>
    <w:div w:id="142822392">
      <w:bodyDiv w:val="1"/>
      <w:marLeft w:val="0"/>
      <w:marRight w:val="0"/>
      <w:marTop w:val="0"/>
      <w:marBottom w:val="0"/>
      <w:divBdr>
        <w:top w:val="none" w:sz="0" w:space="0" w:color="auto"/>
        <w:left w:val="none" w:sz="0" w:space="0" w:color="auto"/>
        <w:bottom w:val="none" w:sz="0" w:space="0" w:color="auto"/>
        <w:right w:val="none" w:sz="0" w:space="0" w:color="auto"/>
      </w:divBdr>
    </w:div>
    <w:div w:id="142939980">
      <w:bodyDiv w:val="1"/>
      <w:marLeft w:val="0"/>
      <w:marRight w:val="0"/>
      <w:marTop w:val="0"/>
      <w:marBottom w:val="0"/>
      <w:divBdr>
        <w:top w:val="none" w:sz="0" w:space="0" w:color="auto"/>
        <w:left w:val="none" w:sz="0" w:space="0" w:color="auto"/>
        <w:bottom w:val="none" w:sz="0" w:space="0" w:color="auto"/>
        <w:right w:val="none" w:sz="0" w:space="0" w:color="auto"/>
      </w:divBdr>
    </w:div>
    <w:div w:id="143088250">
      <w:bodyDiv w:val="1"/>
      <w:marLeft w:val="0"/>
      <w:marRight w:val="0"/>
      <w:marTop w:val="0"/>
      <w:marBottom w:val="0"/>
      <w:divBdr>
        <w:top w:val="none" w:sz="0" w:space="0" w:color="auto"/>
        <w:left w:val="none" w:sz="0" w:space="0" w:color="auto"/>
        <w:bottom w:val="none" w:sz="0" w:space="0" w:color="auto"/>
        <w:right w:val="none" w:sz="0" w:space="0" w:color="auto"/>
      </w:divBdr>
    </w:div>
    <w:div w:id="143208690">
      <w:bodyDiv w:val="1"/>
      <w:marLeft w:val="0"/>
      <w:marRight w:val="0"/>
      <w:marTop w:val="0"/>
      <w:marBottom w:val="0"/>
      <w:divBdr>
        <w:top w:val="none" w:sz="0" w:space="0" w:color="auto"/>
        <w:left w:val="none" w:sz="0" w:space="0" w:color="auto"/>
        <w:bottom w:val="none" w:sz="0" w:space="0" w:color="auto"/>
        <w:right w:val="none" w:sz="0" w:space="0" w:color="auto"/>
      </w:divBdr>
    </w:div>
    <w:div w:id="143208837">
      <w:bodyDiv w:val="1"/>
      <w:marLeft w:val="0"/>
      <w:marRight w:val="0"/>
      <w:marTop w:val="0"/>
      <w:marBottom w:val="0"/>
      <w:divBdr>
        <w:top w:val="none" w:sz="0" w:space="0" w:color="auto"/>
        <w:left w:val="none" w:sz="0" w:space="0" w:color="auto"/>
        <w:bottom w:val="none" w:sz="0" w:space="0" w:color="auto"/>
        <w:right w:val="none" w:sz="0" w:space="0" w:color="auto"/>
      </w:divBdr>
    </w:div>
    <w:div w:id="143209020">
      <w:bodyDiv w:val="1"/>
      <w:marLeft w:val="0"/>
      <w:marRight w:val="0"/>
      <w:marTop w:val="0"/>
      <w:marBottom w:val="0"/>
      <w:divBdr>
        <w:top w:val="none" w:sz="0" w:space="0" w:color="auto"/>
        <w:left w:val="none" w:sz="0" w:space="0" w:color="auto"/>
        <w:bottom w:val="none" w:sz="0" w:space="0" w:color="auto"/>
        <w:right w:val="none" w:sz="0" w:space="0" w:color="auto"/>
      </w:divBdr>
    </w:div>
    <w:div w:id="143209240">
      <w:bodyDiv w:val="1"/>
      <w:marLeft w:val="0"/>
      <w:marRight w:val="0"/>
      <w:marTop w:val="0"/>
      <w:marBottom w:val="0"/>
      <w:divBdr>
        <w:top w:val="none" w:sz="0" w:space="0" w:color="auto"/>
        <w:left w:val="none" w:sz="0" w:space="0" w:color="auto"/>
        <w:bottom w:val="none" w:sz="0" w:space="0" w:color="auto"/>
        <w:right w:val="none" w:sz="0" w:space="0" w:color="auto"/>
      </w:divBdr>
    </w:div>
    <w:div w:id="143862457">
      <w:bodyDiv w:val="1"/>
      <w:marLeft w:val="0"/>
      <w:marRight w:val="0"/>
      <w:marTop w:val="0"/>
      <w:marBottom w:val="0"/>
      <w:divBdr>
        <w:top w:val="none" w:sz="0" w:space="0" w:color="auto"/>
        <w:left w:val="none" w:sz="0" w:space="0" w:color="auto"/>
        <w:bottom w:val="none" w:sz="0" w:space="0" w:color="auto"/>
        <w:right w:val="none" w:sz="0" w:space="0" w:color="auto"/>
      </w:divBdr>
    </w:div>
    <w:div w:id="143863676">
      <w:bodyDiv w:val="1"/>
      <w:marLeft w:val="0"/>
      <w:marRight w:val="0"/>
      <w:marTop w:val="0"/>
      <w:marBottom w:val="0"/>
      <w:divBdr>
        <w:top w:val="none" w:sz="0" w:space="0" w:color="auto"/>
        <w:left w:val="none" w:sz="0" w:space="0" w:color="auto"/>
        <w:bottom w:val="none" w:sz="0" w:space="0" w:color="auto"/>
        <w:right w:val="none" w:sz="0" w:space="0" w:color="auto"/>
      </w:divBdr>
    </w:div>
    <w:div w:id="143939734">
      <w:bodyDiv w:val="1"/>
      <w:marLeft w:val="0"/>
      <w:marRight w:val="0"/>
      <w:marTop w:val="0"/>
      <w:marBottom w:val="0"/>
      <w:divBdr>
        <w:top w:val="none" w:sz="0" w:space="0" w:color="auto"/>
        <w:left w:val="none" w:sz="0" w:space="0" w:color="auto"/>
        <w:bottom w:val="none" w:sz="0" w:space="0" w:color="auto"/>
        <w:right w:val="none" w:sz="0" w:space="0" w:color="auto"/>
      </w:divBdr>
    </w:div>
    <w:div w:id="144011203">
      <w:bodyDiv w:val="1"/>
      <w:marLeft w:val="0"/>
      <w:marRight w:val="0"/>
      <w:marTop w:val="0"/>
      <w:marBottom w:val="0"/>
      <w:divBdr>
        <w:top w:val="none" w:sz="0" w:space="0" w:color="auto"/>
        <w:left w:val="none" w:sz="0" w:space="0" w:color="auto"/>
        <w:bottom w:val="none" w:sz="0" w:space="0" w:color="auto"/>
        <w:right w:val="none" w:sz="0" w:space="0" w:color="auto"/>
      </w:divBdr>
    </w:div>
    <w:div w:id="144127784">
      <w:bodyDiv w:val="1"/>
      <w:marLeft w:val="0"/>
      <w:marRight w:val="0"/>
      <w:marTop w:val="0"/>
      <w:marBottom w:val="0"/>
      <w:divBdr>
        <w:top w:val="none" w:sz="0" w:space="0" w:color="auto"/>
        <w:left w:val="none" w:sz="0" w:space="0" w:color="auto"/>
        <w:bottom w:val="none" w:sz="0" w:space="0" w:color="auto"/>
        <w:right w:val="none" w:sz="0" w:space="0" w:color="auto"/>
      </w:divBdr>
    </w:div>
    <w:div w:id="144276550">
      <w:bodyDiv w:val="1"/>
      <w:marLeft w:val="0"/>
      <w:marRight w:val="0"/>
      <w:marTop w:val="0"/>
      <w:marBottom w:val="0"/>
      <w:divBdr>
        <w:top w:val="none" w:sz="0" w:space="0" w:color="auto"/>
        <w:left w:val="none" w:sz="0" w:space="0" w:color="auto"/>
        <w:bottom w:val="none" w:sz="0" w:space="0" w:color="auto"/>
        <w:right w:val="none" w:sz="0" w:space="0" w:color="auto"/>
      </w:divBdr>
    </w:div>
    <w:div w:id="144398560">
      <w:bodyDiv w:val="1"/>
      <w:marLeft w:val="0"/>
      <w:marRight w:val="0"/>
      <w:marTop w:val="0"/>
      <w:marBottom w:val="0"/>
      <w:divBdr>
        <w:top w:val="none" w:sz="0" w:space="0" w:color="auto"/>
        <w:left w:val="none" w:sz="0" w:space="0" w:color="auto"/>
        <w:bottom w:val="none" w:sz="0" w:space="0" w:color="auto"/>
        <w:right w:val="none" w:sz="0" w:space="0" w:color="auto"/>
      </w:divBdr>
    </w:div>
    <w:div w:id="144467542">
      <w:bodyDiv w:val="1"/>
      <w:marLeft w:val="0"/>
      <w:marRight w:val="0"/>
      <w:marTop w:val="0"/>
      <w:marBottom w:val="0"/>
      <w:divBdr>
        <w:top w:val="none" w:sz="0" w:space="0" w:color="auto"/>
        <w:left w:val="none" w:sz="0" w:space="0" w:color="auto"/>
        <w:bottom w:val="none" w:sz="0" w:space="0" w:color="auto"/>
        <w:right w:val="none" w:sz="0" w:space="0" w:color="auto"/>
      </w:divBdr>
    </w:div>
    <w:div w:id="144471425">
      <w:bodyDiv w:val="1"/>
      <w:marLeft w:val="0"/>
      <w:marRight w:val="0"/>
      <w:marTop w:val="0"/>
      <w:marBottom w:val="0"/>
      <w:divBdr>
        <w:top w:val="none" w:sz="0" w:space="0" w:color="auto"/>
        <w:left w:val="none" w:sz="0" w:space="0" w:color="auto"/>
        <w:bottom w:val="none" w:sz="0" w:space="0" w:color="auto"/>
        <w:right w:val="none" w:sz="0" w:space="0" w:color="auto"/>
      </w:divBdr>
    </w:div>
    <w:div w:id="144515644">
      <w:bodyDiv w:val="1"/>
      <w:marLeft w:val="0"/>
      <w:marRight w:val="0"/>
      <w:marTop w:val="0"/>
      <w:marBottom w:val="0"/>
      <w:divBdr>
        <w:top w:val="none" w:sz="0" w:space="0" w:color="auto"/>
        <w:left w:val="none" w:sz="0" w:space="0" w:color="auto"/>
        <w:bottom w:val="none" w:sz="0" w:space="0" w:color="auto"/>
        <w:right w:val="none" w:sz="0" w:space="0" w:color="auto"/>
      </w:divBdr>
    </w:div>
    <w:div w:id="144663001">
      <w:bodyDiv w:val="1"/>
      <w:marLeft w:val="0"/>
      <w:marRight w:val="0"/>
      <w:marTop w:val="0"/>
      <w:marBottom w:val="0"/>
      <w:divBdr>
        <w:top w:val="none" w:sz="0" w:space="0" w:color="auto"/>
        <w:left w:val="none" w:sz="0" w:space="0" w:color="auto"/>
        <w:bottom w:val="none" w:sz="0" w:space="0" w:color="auto"/>
        <w:right w:val="none" w:sz="0" w:space="0" w:color="auto"/>
      </w:divBdr>
    </w:div>
    <w:div w:id="144781088">
      <w:bodyDiv w:val="1"/>
      <w:marLeft w:val="0"/>
      <w:marRight w:val="0"/>
      <w:marTop w:val="0"/>
      <w:marBottom w:val="0"/>
      <w:divBdr>
        <w:top w:val="none" w:sz="0" w:space="0" w:color="auto"/>
        <w:left w:val="none" w:sz="0" w:space="0" w:color="auto"/>
        <w:bottom w:val="none" w:sz="0" w:space="0" w:color="auto"/>
        <w:right w:val="none" w:sz="0" w:space="0" w:color="auto"/>
      </w:divBdr>
    </w:div>
    <w:div w:id="144901206">
      <w:bodyDiv w:val="1"/>
      <w:marLeft w:val="0"/>
      <w:marRight w:val="0"/>
      <w:marTop w:val="0"/>
      <w:marBottom w:val="0"/>
      <w:divBdr>
        <w:top w:val="none" w:sz="0" w:space="0" w:color="auto"/>
        <w:left w:val="none" w:sz="0" w:space="0" w:color="auto"/>
        <w:bottom w:val="none" w:sz="0" w:space="0" w:color="auto"/>
        <w:right w:val="none" w:sz="0" w:space="0" w:color="auto"/>
      </w:divBdr>
    </w:div>
    <w:div w:id="144978816">
      <w:bodyDiv w:val="1"/>
      <w:marLeft w:val="0"/>
      <w:marRight w:val="0"/>
      <w:marTop w:val="0"/>
      <w:marBottom w:val="0"/>
      <w:divBdr>
        <w:top w:val="none" w:sz="0" w:space="0" w:color="auto"/>
        <w:left w:val="none" w:sz="0" w:space="0" w:color="auto"/>
        <w:bottom w:val="none" w:sz="0" w:space="0" w:color="auto"/>
        <w:right w:val="none" w:sz="0" w:space="0" w:color="auto"/>
      </w:divBdr>
    </w:div>
    <w:div w:id="145098150">
      <w:bodyDiv w:val="1"/>
      <w:marLeft w:val="0"/>
      <w:marRight w:val="0"/>
      <w:marTop w:val="0"/>
      <w:marBottom w:val="0"/>
      <w:divBdr>
        <w:top w:val="none" w:sz="0" w:space="0" w:color="auto"/>
        <w:left w:val="none" w:sz="0" w:space="0" w:color="auto"/>
        <w:bottom w:val="none" w:sz="0" w:space="0" w:color="auto"/>
        <w:right w:val="none" w:sz="0" w:space="0" w:color="auto"/>
      </w:divBdr>
    </w:div>
    <w:div w:id="145165557">
      <w:bodyDiv w:val="1"/>
      <w:marLeft w:val="0"/>
      <w:marRight w:val="0"/>
      <w:marTop w:val="0"/>
      <w:marBottom w:val="0"/>
      <w:divBdr>
        <w:top w:val="none" w:sz="0" w:space="0" w:color="auto"/>
        <w:left w:val="none" w:sz="0" w:space="0" w:color="auto"/>
        <w:bottom w:val="none" w:sz="0" w:space="0" w:color="auto"/>
        <w:right w:val="none" w:sz="0" w:space="0" w:color="auto"/>
      </w:divBdr>
    </w:div>
    <w:div w:id="145243312">
      <w:bodyDiv w:val="1"/>
      <w:marLeft w:val="0"/>
      <w:marRight w:val="0"/>
      <w:marTop w:val="0"/>
      <w:marBottom w:val="0"/>
      <w:divBdr>
        <w:top w:val="none" w:sz="0" w:space="0" w:color="auto"/>
        <w:left w:val="none" w:sz="0" w:space="0" w:color="auto"/>
        <w:bottom w:val="none" w:sz="0" w:space="0" w:color="auto"/>
        <w:right w:val="none" w:sz="0" w:space="0" w:color="auto"/>
      </w:divBdr>
    </w:div>
    <w:div w:id="145364867">
      <w:bodyDiv w:val="1"/>
      <w:marLeft w:val="0"/>
      <w:marRight w:val="0"/>
      <w:marTop w:val="0"/>
      <w:marBottom w:val="0"/>
      <w:divBdr>
        <w:top w:val="none" w:sz="0" w:space="0" w:color="auto"/>
        <w:left w:val="none" w:sz="0" w:space="0" w:color="auto"/>
        <w:bottom w:val="none" w:sz="0" w:space="0" w:color="auto"/>
        <w:right w:val="none" w:sz="0" w:space="0" w:color="auto"/>
      </w:divBdr>
    </w:div>
    <w:div w:id="145822789">
      <w:bodyDiv w:val="1"/>
      <w:marLeft w:val="0"/>
      <w:marRight w:val="0"/>
      <w:marTop w:val="0"/>
      <w:marBottom w:val="0"/>
      <w:divBdr>
        <w:top w:val="none" w:sz="0" w:space="0" w:color="auto"/>
        <w:left w:val="none" w:sz="0" w:space="0" w:color="auto"/>
        <w:bottom w:val="none" w:sz="0" w:space="0" w:color="auto"/>
        <w:right w:val="none" w:sz="0" w:space="0" w:color="auto"/>
      </w:divBdr>
    </w:div>
    <w:div w:id="145976358">
      <w:bodyDiv w:val="1"/>
      <w:marLeft w:val="0"/>
      <w:marRight w:val="0"/>
      <w:marTop w:val="0"/>
      <w:marBottom w:val="0"/>
      <w:divBdr>
        <w:top w:val="none" w:sz="0" w:space="0" w:color="auto"/>
        <w:left w:val="none" w:sz="0" w:space="0" w:color="auto"/>
        <w:bottom w:val="none" w:sz="0" w:space="0" w:color="auto"/>
        <w:right w:val="none" w:sz="0" w:space="0" w:color="auto"/>
      </w:divBdr>
    </w:div>
    <w:div w:id="146021647">
      <w:bodyDiv w:val="1"/>
      <w:marLeft w:val="0"/>
      <w:marRight w:val="0"/>
      <w:marTop w:val="0"/>
      <w:marBottom w:val="0"/>
      <w:divBdr>
        <w:top w:val="none" w:sz="0" w:space="0" w:color="auto"/>
        <w:left w:val="none" w:sz="0" w:space="0" w:color="auto"/>
        <w:bottom w:val="none" w:sz="0" w:space="0" w:color="auto"/>
        <w:right w:val="none" w:sz="0" w:space="0" w:color="auto"/>
      </w:divBdr>
    </w:div>
    <w:div w:id="146367729">
      <w:bodyDiv w:val="1"/>
      <w:marLeft w:val="0"/>
      <w:marRight w:val="0"/>
      <w:marTop w:val="0"/>
      <w:marBottom w:val="0"/>
      <w:divBdr>
        <w:top w:val="none" w:sz="0" w:space="0" w:color="auto"/>
        <w:left w:val="none" w:sz="0" w:space="0" w:color="auto"/>
        <w:bottom w:val="none" w:sz="0" w:space="0" w:color="auto"/>
        <w:right w:val="none" w:sz="0" w:space="0" w:color="auto"/>
      </w:divBdr>
    </w:div>
    <w:div w:id="146476618">
      <w:bodyDiv w:val="1"/>
      <w:marLeft w:val="0"/>
      <w:marRight w:val="0"/>
      <w:marTop w:val="0"/>
      <w:marBottom w:val="0"/>
      <w:divBdr>
        <w:top w:val="none" w:sz="0" w:space="0" w:color="auto"/>
        <w:left w:val="none" w:sz="0" w:space="0" w:color="auto"/>
        <w:bottom w:val="none" w:sz="0" w:space="0" w:color="auto"/>
        <w:right w:val="none" w:sz="0" w:space="0" w:color="auto"/>
      </w:divBdr>
    </w:div>
    <w:div w:id="146479606">
      <w:bodyDiv w:val="1"/>
      <w:marLeft w:val="0"/>
      <w:marRight w:val="0"/>
      <w:marTop w:val="0"/>
      <w:marBottom w:val="0"/>
      <w:divBdr>
        <w:top w:val="none" w:sz="0" w:space="0" w:color="auto"/>
        <w:left w:val="none" w:sz="0" w:space="0" w:color="auto"/>
        <w:bottom w:val="none" w:sz="0" w:space="0" w:color="auto"/>
        <w:right w:val="none" w:sz="0" w:space="0" w:color="auto"/>
      </w:divBdr>
    </w:div>
    <w:div w:id="146557448">
      <w:bodyDiv w:val="1"/>
      <w:marLeft w:val="0"/>
      <w:marRight w:val="0"/>
      <w:marTop w:val="0"/>
      <w:marBottom w:val="0"/>
      <w:divBdr>
        <w:top w:val="none" w:sz="0" w:space="0" w:color="auto"/>
        <w:left w:val="none" w:sz="0" w:space="0" w:color="auto"/>
        <w:bottom w:val="none" w:sz="0" w:space="0" w:color="auto"/>
        <w:right w:val="none" w:sz="0" w:space="0" w:color="auto"/>
      </w:divBdr>
    </w:div>
    <w:div w:id="146559470">
      <w:bodyDiv w:val="1"/>
      <w:marLeft w:val="0"/>
      <w:marRight w:val="0"/>
      <w:marTop w:val="0"/>
      <w:marBottom w:val="0"/>
      <w:divBdr>
        <w:top w:val="none" w:sz="0" w:space="0" w:color="auto"/>
        <w:left w:val="none" w:sz="0" w:space="0" w:color="auto"/>
        <w:bottom w:val="none" w:sz="0" w:space="0" w:color="auto"/>
        <w:right w:val="none" w:sz="0" w:space="0" w:color="auto"/>
      </w:divBdr>
    </w:div>
    <w:div w:id="146678137">
      <w:bodyDiv w:val="1"/>
      <w:marLeft w:val="0"/>
      <w:marRight w:val="0"/>
      <w:marTop w:val="0"/>
      <w:marBottom w:val="0"/>
      <w:divBdr>
        <w:top w:val="none" w:sz="0" w:space="0" w:color="auto"/>
        <w:left w:val="none" w:sz="0" w:space="0" w:color="auto"/>
        <w:bottom w:val="none" w:sz="0" w:space="0" w:color="auto"/>
        <w:right w:val="none" w:sz="0" w:space="0" w:color="auto"/>
      </w:divBdr>
    </w:div>
    <w:div w:id="146753623">
      <w:bodyDiv w:val="1"/>
      <w:marLeft w:val="0"/>
      <w:marRight w:val="0"/>
      <w:marTop w:val="0"/>
      <w:marBottom w:val="0"/>
      <w:divBdr>
        <w:top w:val="none" w:sz="0" w:space="0" w:color="auto"/>
        <w:left w:val="none" w:sz="0" w:space="0" w:color="auto"/>
        <w:bottom w:val="none" w:sz="0" w:space="0" w:color="auto"/>
        <w:right w:val="none" w:sz="0" w:space="0" w:color="auto"/>
      </w:divBdr>
    </w:div>
    <w:div w:id="146867368">
      <w:bodyDiv w:val="1"/>
      <w:marLeft w:val="0"/>
      <w:marRight w:val="0"/>
      <w:marTop w:val="0"/>
      <w:marBottom w:val="0"/>
      <w:divBdr>
        <w:top w:val="none" w:sz="0" w:space="0" w:color="auto"/>
        <w:left w:val="none" w:sz="0" w:space="0" w:color="auto"/>
        <w:bottom w:val="none" w:sz="0" w:space="0" w:color="auto"/>
        <w:right w:val="none" w:sz="0" w:space="0" w:color="auto"/>
      </w:divBdr>
    </w:div>
    <w:div w:id="146945647">
      <w:bodyDiv w:val="1"/>
      <w:marLeft w:val="0"/>
      <w:marRight w:val="0"/>
      <w:marTop w:val="0"/>
      <w:marBottom w:val="0"/>
      <w:divBdr>
        <w:top w:val="none" w:sz="0" w:space="0" w:color="auto"/>
        <w:left w:val="none" w:sz="0" w:space="0" w:color="auto"/>
        <w:bottom w:val="none" w:sz="0" w:space="0" w:color="auto"/>
        <w:right w:val="none" w:sz="0" w:space="0" w:color="auto"/>
      </w:divBdr>
    </w:div>
    <w:div w:id="147018329">
      <w:bodyDiv w:val="1"/>
      <w:marLeft w:val="0"/>
      <w:marRight w:val="0"/>
      <w:marTop w:val="0"/>
      <w:marBottom w:val="0"/>
      <w:divBdr>
        <w:top w:val="none" w:sz="0" w:space="0" w:color="auto"/>
        <w:left w:val="none" w:sz="0" w:space="0" w:color="auto"/>
        <w:bottom w:val="none" w:sz="0" w:space="0" w:color="auto"/>
        <w:right w:val="none" w:sz="0" w:space="0" w:color="auto"/>
      </w:divBdr>
    </w:div>
    <w:div w:id="147090311">
      <w:bodyDiv w:val="1"/>
      <w:marLeft w:val="0"/>
      <w:marRight w:val="0"/>
      <w:marTop w:val="0"/>
      <w:marBottom w:val="0"/>
      <w:divBdr>
        <w:top w:val="none" w:sz="0" w:space="0" w:color="auto"/>
        <w:left w:val="none" w:sz="0" w:space="0" w:color="auto"/>
        <w:bottom w:val="none" w:sz="0" w:space="0" w:color="auto"/>
        <w:right w:val="none" w:sz="0" w:space="0" w:color="auto"/>
      </w:divBdr>
    </w:div>
    <w:div w:id="147206898">
      <w:bodyDiv w:val="1"/>
      <w:marLeft w:val="0"/>
      <w:marRight w:val="0"/>
      <w:marTop w:val="0"/>
      <w:marBottom w:val="0"/>
      <w:divBdr>
        <w:top w:val="none" w:sz="0" w:space="0" w:color="auto"/>
        <w:left w:val="none" w:sz="0" w:space="0" w:color="auto"/>
        <w:bottom w:val="none" w:sz="0" w:space="0" w:color="auto"/>
        <w:right w:val="none" w:sz="0" w:space="0" w:color="auto"/>
      </w:divBdr>
    </w:div>
    <w:div w:id="147282420">
      <w:bodyDiv w:val="1"/>
      <w:marLeft w:val="0"/>
      <w:marRight w:val="0"/>
      <w:marTop w:val="0"/>
      <w:marBottom w:val="0"/>
      <w:divBdr>
        <w:top w:val="none" w:sz="0" w:space="0" w:color="auto"/>
        <w:left w:val="none" w:sz="0" w:space="0" w:color="auto"/>
        <w:bottom w:val="none" w:sz="0" w:space="0" w:color="auto"/>
        <w:right w:val="none" w:sz="0" w:space="0" w:color="auto"/>
      </w:divBdr>
    </w:div>
    <w:div w:id="147331064">
      <w:bodyDiv w:val="1"/>
      <w:marLeft w:val="0"/>
      <w:marRight w:val="0"/>
      <w:marTop w:val="0"/>
      <w:marBottom w:val="0"/>
      <w:divBdr>
        <w:top w:val="none" w:sz="0" w:space="0" w:color="auto"/>
        <w:left w:val="none" w:sz="0" w:space="0" w:color="auto"/>
        <w:bottom w:val="none" w:sz="0" w:space="0" w:color="auto"/>
        <w:right w:val="none" w:sz="0" w:space="0" w:color="auto"/>
      </w:divBdr>
    </w:div>
    <w:div w:id="147597423">
      <w:bodyDiv w:val="1"/>
      <w:marLeft w:val="0"/>
      <w:marRight w:val="0"/>
      <w:marTop w:val="0"/>
      <w:marBottom w:val="0"/>
      <w:divBdr>
        <w:top w:val="none" w:sz="0" w:space="0" w:color="auto"/>
        <w:left w:val="none" w:sz="0" w:space="0" w:color="auto"/>
        <w:bottom w:val="none" w:sz="0" w:space="0" w:color="auto"/>
        <w:right w:val="none" w:sz="0" w:space="0" w:color="auto"/>
      </w:divBdr>
    </w:div>
    <w:div w:id="147598747">
      <w:bodyDiv w:val="1"/>
      <w:marLeft w:val="0"/>
      <w:marRight w:val="0"/>
      <w:marTop w:val="0"/>
      <w:marBottom w:val="0"/>
      <w:divBdr>
        <w:top w:val="none" w:sz="0" w:space="0" w:color="auto"/>
        <w:left w:val="none" w:sz="0" w:space="0" w:color="auto"/>
        <w:bottom w:val="none" w:sz="0" w:space="0" w:color="auto"/>
        <w:right w:val="none" w:sz="0" w:space="0" w:color="auto"/>
      </w:divBdr>
    </w:div>
    <w:div w:id="147600926">
      <w:bodyDiv w:val="1"/>
      <w:marLeft w:val="0"/>
      <w:marRight w:val="0"/>
      <w:marTop w:val="0"/>
      <w:marBottom w:val="0"/>
      <w:divBdr>
        <w:top w:val="none" w:sz="0" w:space="0" w:color="auto"/>
        <w:left w:val="none" w:sz="0" w:space="0" w:color="auto"/>
        <w:bottom w:val="none" w:sz="0" w:space="0" w:color="auto"/>
        <w:right w:val="none" w:sz="0" w:space="0" w:color="auto"/>
      </w:divBdr>
    </w:div>
    <w:div w:id="148013047">
      <w:bodyDiv w:val="1"/>
      <w:marLeft w:val="0"/>
      <w:marRight w:val="0"/>
      <w:marTop w:val="0"/>
      <w:marBottom w:val="0"/>
      <w:divBdr>
        <w:top w:val="none" w:sz="0" w:space="0" w:color="auto"/>
        <w:left w:val="none" w:sz="0" w:space="0" w:color="auto"/>
        <w:bottom w:val="none" w:sz="0" w:space="0" w:color="auto"/>
        <w:right w:val="none" w:sz="0" w:space="0" w:color="auto"/>
      </w:divBdr>
    </w:div>
    <w:div w:id="148057568">
      <w:bodyDiv w:val="1"/>
      <w:marLeft w:val="0"/>
      <w:marRight w:val="0"/>
      <w:marTop w:val="0"/>
      <w:marBottom w:val="0"/>
      <w:divBdr>
        <w:top w:val="none" w:sz="0" w:space="0" w:color="auto"/>
        <w:left w:val="none" w:sz="0" w:space="0" w:color="auto"/>
        <w:bottom w:val="none" w:sz="0" w:space="0" w:color="auto"/>
        <w:right w:val="none" w:sz="0" w:space="0" w:color="auto"/>
      </w:divBdr>
    </w:div>
    <w:div w:id="148135297">
      <w:bodyDiv w:val="1"/>
      <w:marLeft w:val="0"/>
      <w:marRight w:val="0"/>
      <w:marTop w:val="0"/>
      <w:marBottom w:val="0"/>
      <w:divBdr>
        <w:top w:val="none" w:sz="0" w:space="0" w:color="auto"/>
        <w:left w:val="none" w:sz="0" w:space="0" w:color="auto"/>
        <w:bottom w:val="none" w:sz="0" w:space="0" w:color="auto"/>
        <w:right w:val="none" w:sz="0" w:space="0" w:color="auto"/>
      </w:divBdr>
    </w:div>
    <w:div w:id="148135615">
      <w:bodyDiv w:val="1"/>
      <w:marLeft w:val="0"/>
      <w:marRight w:val="0"/>
      <w:marTop w:val="0"/>
      <w:marBottom w:val="0"/>
      <w:divBdr>
        <w:top w:val="none" w:sz="0" w:space="0" w:color="auto"/>
        <w:left w:val="none" w:sz="0" w:space="0" w:color="auto"/>
        <w:bottom w:val="none" w:sz="0" w:space="0" w:color="auto"/>
        <w:right w:val="none" w:sz="0" w:space="0" w:color="auto"/>
      </w:divBdr>
    </w:div>
    <w:div w:id="148135979">
      <w:bodyDiv w:val="1"/>
      <w:marLeft w:val="0"/>
      <w:marRight w:val="0"/>
      <w:marTop w:val="0"/>
      <w:marBottom w:val="0"/>
      <w:divBdr>
        <w:top w:val="none" w:sz="0" w:space="0" w:color="auto"/>
        <w:left w:val="none" w:sz="0" w:space="0" w:color="auto"/>
        <w:bottom w:val="none" w:sz="0" w:space="0" w:color="auto"/>
        <w:right w:val="none" w:sz="0" w:space="0" w:color="auto"/>
      </w:divBdr>
    </w:div>
    <w:div w:id="148445397">
      <w:bodyDiv w:val="1"/>
      <w:marLeft w:val="0"/>
      <w:marRight w:val="0"/>
      <w:marTop w:val="0"/>
      <w:marBottom w:val="0"/>
      <w:divBdr>
        <w:top w:val="none" w:sz="0" w:space="0" w:color="auto"/>
        <w:left w:val="none" w:sz="0" w:space="0" w:color="auto"/>
        <w:bottom w:val="none" w:sz="0" w:space="0" w:color="auto"/>
        <w:right w:val="none" w:sz="0" w:space="0" w:color="auto"/>
      </w:divBdr>
    </w:div>
    <w:div w:id="148522702">
      <w:bodyDiv w:val="1"/>
      <w:marLeft w:val="0"/>
      <w:marRight w:val="0"/>
      <w:marTop w:val="0"/>
      <w:marBottom w:val="0"/>
      <w:divBdr>
        <w:top w:val="none" w:sz="0" w:space="0" w:color="auto"/>
        <w:left w:val="none" w:sz="0" w:space="0" w:color="auto"/>
        <w:bottom w:val="none" w:sz="0" w:space="0" w:color="auto"/>
        <w:right w:val="none" w:sz="0" w:space="0" w:color="auto"/>
      </w:divBdr>
    </w:div>
    <w:div w:id="148524281">
      <w:bodyDiv w:val="1"/>
      <w:marLeft w:val="0"/>
      <w:marRight w:val="0"/>
      <w:marTop w:val="0"/>
      <w:marBottom w:val="0"/>
      <w:divBdr>
        <w:top w:val="none" w:sz="0" w:space="0" w:color="auto"/>
        <w:left w:val="none" w:sz="0" w:space="0" w:color="auto"/>
        <w:bottom w:val="none" w:sz="0" w:space="0" w:color="auto"/>
        <w:right w:val="none" w:sz="0" w:space="0" w:color="auto"/>
      </w:divBdr>
    </w:div>
    <w:div w:id="148789571">
      <w:bodyDiv w:val="1"/>
      <w:marLeft w:val="0"/>
      <w:marRight w:val="0"/>
      <w:marTop w:val="0"/>
      <w:marBottom w:val="0"/>
      <w:divBdr>
        <w:top w:val="none" w:sz="0" w:space="0" w:color="auto"/>
        <w:left w:val="none" w:sz="0" w:space="0" w:color="auto"/>
        <w:bottom w:val="none" w:sz="0" w:space="0" w:color="auto"/>
        <w:right w:val="none" w:sz="0" w:space="0" w:color="auto"/>
      </w:divBdr>
    </w:div>
    <w:div w:id="148863375">
      <w:bodyDiv w:val="1"/>
      <w:marLeft w:val="0"/>
      <w:marRight w:val="0"/>
      <w:marTop w:val="0"/>
      <w:marBottom w:val="0"/>
      <w:divBdr>
        <w:top w:val="none" w:sz="0" w:space="0" w:color="auto"/>
        <w:left w:val="none" w:sz="0" w:space="0" w:color="auto"/>
        <w:bottom w:val="none" w:sz="0" w:space="0" w:color="auto"/>
        <w:right w:val="none" w:sz="0" w:space="0" w:color="auto"/>
      </w:divBdr>
    </w:div>
    <w:div w:id="148905612">
      <w:bodyDiv w:val="1"/>
      <w:marLeft w:val="0"/>
      <w:marRight w:val="0"/>
      <w:marTop w:val="0"/>
      <w:marBottom w:val="0"/>
      <w:divBdr>
        <w:top w:val="none" w:sz="0" w:space="0" w:color="auto"/>
        <w:left w:val="none" w:sz="0" w:space="0" w:color="auto"/>
        <w:bottom w:val="none" w:sz="0" w:space="0" w:color="auto"/>
        <w:right w:val="none" w:sz="0" w:space="0" w:color="auto"/>
      </w:divBdr>
    </w:div>
    <w:div w:id="149058774">
      <w:bodyDiv w:val="1"/>
      <w:marLeft w:val="0"/>
      <w:marRight w:val="0"/>
      <w:marTop w:val="0"/>
      <w:marBottom w:val="0"/>
      <w:divBdr>
        <w:top w:val="none" w:sz="0" w:space="0" w:color="auto"/>
        <w:left w:val="none" w:sz="0" w:space="0" w:color="auto"/>
        <w:bottom w:val="none" w:sz="0" w:space="0" w:color="auto"/>
        <w:right w:val="none" w:sz="0" w:space="0" w:color="auto"/>
      </w:divBdr>
    </w:div>
    <w:div w:id="149100142">
      <w:bodyDiv w:val="1"/>
      <w:marLeft w:val="0"/>
      <w:marRight w:val="0"/>
      <w:marTop w:val="0"/>
      <w:marBottom w:val="0"/>
      <w:divBdr>
        <w:top w:val="none" w:sz="0" w:space="0" w:color="auto"/>
        <w:left w:val="none" w:sz="0" w:space="0" w:color="auto"/>
        <w:bottom w:val="none" w:sz="0" w:space="0" w:color="auto"/>
        <w:right w:val="none" w:sz="0" w:space="0" w:color="auto"/>
      </w:divBdr>
    </w:div>
    <w:div w:id="149175280">
      <w:bodyDiv w:val="1"/>
      <w:marLeft w:val="0"/>
      <w:marRight w:val="0"/>
      <w:marTop w:val="0"/>
      <w:marBottom w:val="0"/>
      <w:divBdr>
        <w:top w:val="none" w:sz="0" w:space="0" w:color="auto"/>
        <w:left w:val="none" w:sz="0" w:space="0" w:color="auto"/>
        <w:bottom w:val="none" w:sz="0" w:space="0" w:color="auto"/>
        <w:right w:val="none" w:sz="0" w:space="0" w:color="auto"/>
      </w:divBdr>
    </w:div>
    <w:div w:id="149755746">
      <w:bodyDiv w:val="1"/>
      <w:marLeft w:val="0"/>
      <w:marRight w:val="0"/>
      <w:marTop w:val="0"/>
      <w:marBottom w:val="0"/>
      <w:divBdr>
        <w:top w:val="none" w:sz="0" w:space="0" w:color="auto"/>
        <w:left w:val="none" w:sz="0" w:space="0" w:color="auto"/>
        <w:bottom w:val="none" w:sz="0" w:space="0" w:color="auto"/>
        <w:right w:val="none" w:sz="0" w:space="0" w:color="auto"/>
      </w:divBdr>
    </w:div>
    <w:div w:id="149758840">
      <w:bodyDiv w:val="1"/>
      <w:marLeft w:val="0"/>
      <w:marRight w:val="0"/>
      <w:marTop w:val="0"/>
      <w:marBottom w:val="0"/>
      <w:divBdr>
        <w:top w:val="none" w:sz="0" w:space="0" w:color="auto"/>
        <w:left w:val="none" w:sz="0" w:space="0" w:color="auto"/>
        <w:bottom w:val="none" w:sz="0" w:space="0" w:color="auto"/>
        <w:right w:val="none" w:sz="0" w:space="0" w:color="auto"/>
      </w:divBdr>
    </w:div>
    <w:div w:id="149910689">
      <w:bodyDiv w:val="1"/>
      <w:marLeft w:val="0"/>
      <w:marRight w:val="0"/>
      <w:marTop w:val="0"/>
      <w:marBottom w:val="0"/>
      <w:divBdr>
        <w:top w:val="none" w:sz="0" w:space="0" w:color="auto"/>
        <w:left w:val="none" w:sz="0" w:space="0" w:color="auto"/>
        <w:bottom w:val="none" w:sz="0" w:space="0" w:color="auto"/>
        <w:right w:val="none" w:sz="0" w:space="0" w:color="auto"/>
      </w:divBdr>
    </w:div>
    <w:div w:id="149948470">
      <w:bodyDiv w:val="1"/>
      <w:marLeft w:val="0"/>
      <w:marRight w:val="0"/>
      <w:marTop w:val="0"/>
      <w:marBottom w:val="0"/>
      <w:divBdr>
        <w:top w:val="none" w:sz="0" w:space="0" w:color="auto"/>
        <w:left w:val="none" w:sz="0" w:space="0" w:color="auto"/>
        <w:bottom w:val="none" w:sz="0" w:space="0" w:color="auto"/>
        <w:right w:val="none" w:sz="0" w:space="0" w:color="auto"/>
      </w:divBdr>
    </w:div>
    <w:div w:id="150026428">
      <w:bodyDiv w:val="1"/>
      <w:marLeft w:val="0"/>
      <w:marRight w:val="0"/>
      <w:marTop w:val="0"/>
      <w:marBottom w:val="0"/>
      <w:divBdr>
        <w:top w:val="none" w:sz="0" w:space="0" w:color="auto"/>
        <w:left w:val="none" w:sz="0" w:space="0" w:color="auto"/>
        <w:bottom w:val="none" w:sz="0" w:space="0" w:color="auto"/>
        <w:right w:val="none" w:sz="0" w:space="0" w:color="auto"/>
      </w:divBdr>
    </w:div>
    <w:div w:id="150104359">
      <w:bodyDiv w:val="1"/>
      <w:marLeft w:val="0"/>
      <w:marRight w:val="0"/>
      <w:marTop w:val="0"/>
      <w:marBottom w:val="0"/>
      <w:divBdr>
        <w:top w:val="none" w:sz="0" w:space="0" w:color="auto"/>
        <w:left w:val="none" w:sz="0" w:space="0" w:color="auto"/>
        <w:bottom w:val="none" w:sz="0" w:space="0" w:color="auto"/>
        <w:right w:val="none" w:sz="0" w:space="0" w:color="auto"/>
      </w:divBdr>
    </w:div>
    <w:div w:id="150290162">
      <w:bodyDiv w:val="1"/>
      <w:marLeft w:val="0"/>
      <w:marRight w:val="0"/>
      <w:marTop w:val="0"/>
      <w:marBottom w:val="0"/>
      <w:divBdr>
        <w:top w:val="none" w:sz="0" w:space="0" w:color="auto"/>
        <w:left w:val="none" w:sz="0" w:space="0" w:color="auto"/>
        <w:bottom w:val="none" w:sz="0" w:space="0" w:color="auto"/>
        <w:right w:val="none" w:sz="0" w:space="0" w:color="auto"/>
      </w:divBdr>
    </w:div>
    <w:div w:id="150486972">
      <w:bodyDiv w:val="1"/>
      <w:marLeft w:val="0"/>
      <w:marRight w:val="0"/>
      <w:marTop w:val="0"/>
      <w:marBottom w:val="0"/>
      <w:divBdr>
        <w:top w:val="none" w:sz="0" w:space="0" w:color="auto"/>
        <w:left w:val="none" w:sz="0" w:space="0" w:color="auto"/>
        <w:bottom w:val="none" w:sz="0" w:space="0" w:color="auto"/>
        <w:right w:val="none" w:sz="0" w:space="0" w:color="auto"/>
      </w:divBdr>
    </w:div>
    <w:div w:id="150490562">
      <w:bodyDiv w:val="1"/>
      <w:marLeft w:val="0"/>
      <w:marRight w:val="0"/>
      <w:marTop w:val="0"/>
      <w:marBottom w:val="0"/>
      <w:divBdr>
        <w:top w:val="none" w:sz="0" w:space="0" w:color="auto"/>
        <w:left w:val="none" w:sz="0" w:space="0" w:color="auto"/>
        <w:bottom w:val="none" w:sz="0" w:space="0" w:color="auto"/>
        <w:right w:val="none" w:sz="0" w:space="0" w:color="auto"/>
      </w:divBdr>
    </w:div>
    <w:div w:id="150560316">
      <w:bodyDiv w:val="1"/>
      <w:marLeft w:val="0"/>
      <w:marRight w:val="0"/>
      <w:marTop w:val="0"/>
      <w:marBottom w:val="0"/>
      <w:divBdr>
        <w:top w:val="none" w:sz="0" w:space="0" w:color="auto"/>
        <w:left w:val="none" w:sz="0" w:space="0" w:color="auto"/>
        <w:bottom w:val="none" w:sz="0" w:space="0" w:color="auto"/>
        <w:right w:val="none" w:sz="0" w:space="0" w:color="auto"/>
      </w:divBdr>
    </w:div>
    <w:div w:id="150872469">
      <w:bodyDiv w:val="1"/>
      <w:marLeft w:val="0"/>
      <w:marRight w:val="0"/>
      <w:marTop w:val="0"/>
      <w:marBottom w:val="0"/>
      <w:divBdr>
        <w:top w:val="none" w:sz="0" w:space="0" w:color="auto"/>
        <w:left w:val="none" w:sz="0" w:space="0" w:color="auto"/>
        <w:bottom w:val="none" w:sz="0" w:space="0" w:color="auto"/>
        <w:right w:val="none" w:sz="0" w:space="0" w:color="auto"/>
      </w:divBdr>
    </w:div>
    <w:div w:id="151217697">
      <w:bodyDiv w:val="1"/>
      <w:marLeft w:val="0"/>
      <w:marRight w:val="0"/>
      <w:marTop w:val="0"/>
      <w:marBottom w:val="0"/>
      <w:divBdr>
        <w:top w:val="none" w:sz="0" w:space="0" w:color="auto"/>
        <w:left w:val="none" w:sz="0" w:space="0" w:color="auto"/>
        <w:bottom w:val="none" w:sz="0" w:space="0" w:color="auto"/>
        <w:right w:val="none" w:sz="0" w:space="0" w:color="auto"/>
      </w:divBdr>
    </w:div>
    <w:div w:id="151265110">
      <w:bodyDiv w:val="1"/>
      <w:marLeft w:val="0"/>
      <w:marRight w:val="0"/>
      <w:marTop w:val="0"/>
      <w:marBottom w:val="0"/>
      <w:divBdr>
        <w:top w:val="none" w:sz="0" w:space="0" w:color="auto"/>
        <w:left w:val="none" w:sz="0" w:space="0" w:color="auto"/>
        <w:bottom w:val="none" w:sz="0" w:space="0" w:color="auto"/>
        <w:right w:val="none" w:sz="0" w:space="0" w:color="auto"/>
      </w:divBdr>
    </w:div>
    <w:div w:id="151652163">
      <w:bodyDiv w:val="1"/>
      <w:marLeft w:val="0"/>
      <w:marRight w:val="0"/>
      <w:marTop w:val="0"/>
      <w:marBottom w:val="0"/>
      <w:divBdr>
        <w:top w:val="none" w:sz="0" w:space="0" w:color="auto"/>
        <w:left w:val="none" w:sz="0" w:space="0" w:color="auto"/>
        <w:bottom w:val="none" w:sz="0" w:space="0" w:color="auto"/>
        <w:right w:val="none" w:sz="0" w:space="0" w:color="auto"/>
      </w:divBdr>
    </w:div>
    <w:div w:id="151675550">
      <w:bodyDiv w:val="1"/>
      <w:marLeft w:val="0"/>
      <w:marRight w:val="0"/>
      <w:marTop w:val="0"/>
      <w:marBottom w:val="0"/>
      <w:divBdr>
        <w:top w:val="none" w:sz="0" w:space="0" w:color="auto"/>
        <w:left w:val="none" w:sz="0" w:space="0" w:color="auto"/>
        <w:bottom w:val="none" w:sz="0" w:space="0" w:color="auto"/>
        <w:right w:val="none" w:sz="0" w:space="0" w:color="auto"/>
      </w:divBdr>
    </w:div>
    <w:div w:id="151727209">
      <w:bodyDiv w:val="1"/>
      <w:marLeft w:val="0"/>
      <w:marRight w:val="0"/>
      <w:marTop w:val="0"/>
      <w:marBottom w:val="0"/>
      <w:divBdr>
        <w:top w:val="none" w:sz="0" w:space="0" w:color="auto"/>
        <w:left w:val="none" w:sz="0" w:space="0" w:color="auto"/>
        <w:bottom w:val="none" w:sz="0" w:space="0" w:color="auto"/>
        <w:right w:val="none" w:sz="0" w:space="0" w:color="auto"/>
      </w:divBdr>
    </w:div>
    <w:div w:id="151795937">
      <w:bodyDiv w:val="1"/>
      <w:marLeft w:val="0"/>
      <w:marRight w:val="0"/>
      <w:marTop w:val="0"/>
      <w:marBottom w:val="0"/>
      <w:divBdr>
        <w:top w:val="none" w:sz="0" w:space="0" w:color="auto"/>
        <w:left w:val="none" w:sz="0" w:space="0" w:color="auto"/>
        <w:bottom w:val="none" w:sz="0" w:space="0" w:color="auto"/>
        <w:right w:val="none" w:sz="0" w:space="0" w:color="auto"/>
      </w:divBdr>
    </w:div>
    <w:div w:id="151869427">
      <w:bodyDiv w:val="1"/>
      <w:marLeft w:val="0"/>
      <w:marRight w:val="0"/>
      <w:marTop w:val="0"/>
      <w:marBottom w:val="0"/>
      <w:divBdr>
        <w:top w:val="none" w:sz="0" w:space="0" w:color="auto"/>
        <w:left w:val="none" w:sz="0" w:space="0" w:color="auto"/>
        <w:bottom w:val="none" w:sz="0" w:space="0" w:color="auto"/>
        <w:right w:val="none" w:sz="0" w:space="0" w:color="auto"/>
      </w:divBdr>
    </w:div>
    <w:div w:id="151872171">
      <w:bodyDiv w:val="1"/>
      <w:marLeft w:val="0"/>
      <w:marRight w:val="0"/>
      <w:marTop w:val="0"/>
      <w:marBottom w:val="0"/>
      <w:divBdr>
        <w:top w:val="none" w:sz="0" w:space="0" w:color="auto"/>
        <w:left w:val="none" w:sz="0" w:space="0" w:color="auto"/>
        <w:bottom w:val="none" w:sz="0" w:space="0" w:color="auto"/>
        <w:right w:val="none" w:sz="0" w:space="0" w:color="auto"/>
      </w:divBdr>
    </w:div>
    <w:div w:id="151917568">
      <w:bodyDiv w:val="1"/>
      <w:marLeft w:val="0"/>
      <w:marRight w:val="0"/>
      <w:marTop w:val="0"/>
      <w:marBottom w:val="0"/>
      <w:divBdr>
        <w:top w:val="none" w:sz="0" w:space="0" w:color="auto"/>
        <w:left w:val="none" w:sz="0" w:space="0" w:color="auto"/>
        <w:bottom w:val="none" w:sz="0" w:space="0" w:color="auto"/>
        <w:right w:val="none" w:sz="0" w:space="0" w:color="auto"/>
      </w:divBdr>
    </w:div>
    <w:div w:id="151919019">
      <w:bodyDiv w:val="1"/>
      <w:marLeft w:val="0"/>
      <w:marRight w:val="0"/>
      <w:marTop w:val="0"/>
      <w:marBottom w:val="0"/>
      <w:divBdr>
        <w:top w:val="none" w:sz="0" w:space="0" w:color="auto"/>
        <w:left w:val="none" w:sz="0" w:space="0" w:color="auto"/>
        <w:bottom w:val="none" w:sz="0" w:space="0" w:color="auto"/>
        <w:right w:val="none" w:sz="0" w:space="0" w:color="auto"/>
      </w:divBdr>
    </w:div>
    <w:div w:id="152114453">
      <w:bodyDiv w:val="1"/>
      <w:marLeft w:val="0"/>
      <w:marRight w:val="0"/>
      <w:marTop w:val="0"/>
      <w:marBottom w:val="0"/>
      <w:divBdr>
        <w:top w:val="none" w:sz="0" w:space="0" w:color="auto"/>
        <w:left w:val="none" w:sz="0" w:space="0" w:color="auto"/>
        <w:bottom w:val="none" w:sz="0" w:space="0" w:color="auto"/>
        <w:right w:val="none" w:sz="0" w:space="0" w:color="auto"/>
      </w:divBdr>
    </w:div>
    <w:div w:id="152185510">
      <w:bodyDiv w:val="1"/>
      <w:marLeft w:val="0"/>
      <w:marRight w:val="0"/>
      <w:marTop w:val="0"/>
      <w:marBottom w:val="0"/>
      <w:divBdr>
        <w:top w:val="none" w:sz="0" w:space="0" w:color="auto"/>
        <w:left w:val="none" w:sz="0" w:space="0" w:color="auto"/>
        <w:bottom w:val="none" w:sz="0" w:space="0" w:color="auto"/>
        <w:right w:val="none" w:sz="0" w:space="0" w:color="auto"/>
      </w:divBdr>
    </w:div>
    <w:div w:id="152450793">
      <w:bodyDiv w:val="1"/>
      <w:marLeft w:val="0"/>
      <w:marRight w:val="0"/>
      <w:marTop w:val="0"/>
      <w:marBottom w:val="0"/>
      <w:divBdr>
        <w:top w:val="none" w:sz="0" w:space="0" w:color="auto"/>
        <w:left w:val="none" w:sz="0" w:space="0" w:color="auto"/>
        <w:bottom w:val="none" w:sz="0" w:space="0" w:color="auto"/>
        <w:right w:val="none" w:sz="0" w:space="0" w:color="auto"/>
      </w:divBdr>
    </w:div>
    <w:div w:id="152454960">
      <w:bodyDiv w:val="1"/>
      <w:marLeft w:val="0"/>
      <w:marRight w:val="0"/>
      <w:marTop w:val="0"/>
      <w:marBottom w:val="0"/>
      <w:divBdr>
        <w:top w:val="none" w:sz="0" w:space="0" w:color="auto"/>
        <w:left w:val="none" w:sz="0" w:space="0" w:color="auto"/>
        <w:bottom w:val="none" w:sz="0" w:space="0" w:color="auto"/>
        <w:right w:val="none" w:sz="0" w:space="0" w:color="auto"/>
      </w:divBdr>
    </w:div>
    <w:div w:id="152574657">
      <w:bodyDiv w:val="1"/>
      <w:marLeft w:val="0"/>
      <w:marRight w:val="0"/>
      <w:marTop w:val="0"/>
      <w:marBottom w:val="0"/>
      <w:divBdr>
        <w:top w:val="none" w:sz="0" w:space="0" w:color="auto"/>
        <w:left w:val="none" w:sz="0" w:space="0" w:color="auto"/>
        <w:bottom w:val="none" w:sz="0" w:space="0" w:color="auto"/>
        <w:right w:val="none" w:sz="0" w:space="0" w:color="auto"/>
      </w:divBdr>
    </w:div>
    <w:div w:id="152912183">
      <w:bodyDiv w:val="1"/>
      <w:marLeft w:val="0"/>
      <w:marRight w:val="0"/>
      <w:marTop w:val="0"/>
      <w:marBottom w:val="0"/>
      <w:divBdr>
        <w:top w:val="none" w:sz="0" w:space="0" w:color="auto"/>
        <w:left w:val="none" w:sz="0" w:space="0" w:color="auto"/>
        <w:bottom w:val="none" w:sz="0" w:space="0" w:color="auto"/>
        <w:right w:val="none" w:sz="0" w:space="0" w:color="auto"/>
      </w:divBdr>
    </w:div>
    <w:div w:id="153035193">
      <w:bodyDiv w:val="1"/>
      <w:marLeft w:val="0"/>
      <w:marRight w:val="0"/>
      <w:marTop w:val="0"/>
      <w:marBottom w:val="0"/>
      <w:divBdr>
        <w:top w:val="none" w:sz="0" w:space="0" w:color="auto"/>
        <w:left w:val="none" w:sz="0" w:space="0" w:color="auto"/>
        <w:bottom w:val="none" w:sz="0" w:space="0" w:color="auto"/>
        <w:right w:val="none" w:sz="0" w:space="0" w:color="auto"/>
      </w:divBdr>
    </w:div>
    <w:div w:id="153181308">
      <w:bodyDiv w:val="1"/>
      <w:marLeft w:val="0"/>
      <w:marRight w:val="0"/>
      <w:marTop w:val="0"/>
      <w:marBottom w:val="0"/>
      <w:divBdr>
        <w:top w:val="none" w:sz="0" w:space="0" w:color="auto"/>
        <w:left w:val="none" w:sz="0" w:space="0" w:color="auto"/>
        <w:bottom w:val="none" w:sz="0" w:space="0" w:color="auto"/>
        <w:right w:val="none" w:sz="0" w:space="0" w:color="auto"/>
      </w:divBdr>
    </w:div>
    <w:div w:id="153184585">
      <w:bodyDiv w:val="1"/>
      <w:marLeft w:val="0"/>
      <w:marRight w:val="0"/>
      <w:marTop w:val="0"/>
      <w:marBottom w:val="0"/>
      <w:divBdr>
        <w:top w:val="none" w:sz="0" w:space="0" w:color="auto"/>
        <w:left w:val="none" w:sz="0" w:space="0" w:color="auto"/>
        <w:bottom w:val="none" w:sz="0" w:space="0" w:color="auto"/>
        <w:right w:val="none" w:sz="0" w:space="0" w:color="auto"/>
      </w:divBdr>
    </w:div>
    <w:div w:id="153188976">
      <w:bodyDiv w:val="1"/>
      <w:marLeft w:val="0"/>
      <w:marRight w:val="0"/>
      <w:marTop w:val="0"/>
      <w:marBottom w:val="0"/>
      <w:divBdr>
        <w:top w:val="none" w:sz="0" w:space="0" w:color="auto"/>
        <w:left w:val="none" w:sz="0" w:space="0" w:color="auto"/>
        <w:bottom w:val="none" w:sz="0" w:space="0" w:color="auto"/>
        <w:right w:val="none" w:sz="0" w:space="0" w:color="auto"/>
      </w:divBdr>
    </w:div>
    <w:div w:id="153227892">
      <w:bodyDiv w:val="1"/>
      <w:marLeft w:val="0"/>
      <w:marRight w:val="0"/>
      <w:marTop w:val="0"/>
      <w:marBottom w:val="0"/>
      <w:divBdr>
        <w:top w:val="none" w:sz="0" w:space="0" w:color="auto"/>
        <w:left w:val="none" w:sz="0" w:space="0" w:color="auto"/>
        <w:bottom w:val="none" w:sz="0" w:space="0" w:color="auto"/>
        <w:right w:val="none" w:sz="0" w:space="0" w:color="auto"/>
      </w:divBdr>
    </w:div>
    <w:div w:id="153421191">
      <w:bodyDiv w:val="1"/>
      <w:marLeft w:val="0"/>
      <w:marRight w:val="0"/>
      <w:marTop w:val="0"/>
      <w:marBottom w:val="0"/>
      <w:divBdr>
        <w:top w:val="none" w:sz="0" w:space="0" w:color="auto"/>
        <w:left w:val="none" w:sz="0" w:space="0" w:color="auto"/>
        <w:bottom w:val="none" w:sz="0" w:space="0" w:color="auto"/>
        <w:right w:val="none" w:sz="0" w:space="0" w:color="auto"/>
      </w:divBdr>
    </w:div>
    <w:div w:id="153498870">
      <w:bodyDiv w:val="1"/>
      <w:marLeft w:val="0"/>
      <w:marRight w:val="0"/>
      <w:marTop w:val="0"/>
      <w:marBottom w:val="0"/>
      <w:divBdr>
        <w:top w:val="none" w:sz="0" w:space="0" w:color="auto"/>
        <w:left w:val="none" w:sz="0" w:space="0" w:color="auto"/>
        <w:bottom w:val="none" w:sz="0" w:space="0" w:color="auto"/>
        <w:right w:val="none" w:sz="0" w:space="0" w:color="auto"/>
      </w:divBdr>
    </w:div>
    <w:div w:id="153646936">
      <w:bodyDiv w:val="1"/>
      <w:marLeft w:val="0"/>
      <w:marRight w:val="0"/>
      <w:marTop w:val="0"/>
      <w:marBottom w:val="0"/>
      <w:divBdr>
        <w:top w:val="none" w:sz="0" w:space="0" w:color="auto"/>
        <w:left w:val="none" w:sz="0" w:space="0" w:color="auto"/>
        <w:bottom w:val="none" w:sz="0" w:space="0" w:color="auto"/>
        <w:right w:val="none" w:sz="0" w:space="0" w:color="auto"/>
      </w:divBdr>
    </w:div>
    <w:div w:id="153767614">
      <w:bodyDiv w:val="1"/>
      <w:marLeft w:val="0"/>
      <w:marRight w:val="0"/>
      <w:marTop w:val="0"/>
      <w:marBottom w:val="0"/>
      <w:divBdr>
        <w:top w:val="none" w:sz="0" w:space="0" w:color="auto"/>
        <w:left w:val="none" w:sz="0" w:space="0" w:color="auto"/>
        <w:bottom w:val="none" w:sz="0" w:space="0" w:color="auto"/>
        <w:right w:val="none" w:sz="0" w:space="0" w:color="auto"/>
      </w:divBdr>
    </w:div>
    <w:div w:id="153841282">
      <w:bodyDiv w:val="1"/>
      <w:marLeft w:val="0"/>
      <w:marRight w:val="0"/>
      <w:marTop w:val="0"/>
      <w:marBottom w:val="0"/>
      <w:divBdr>
        <w:top w:val="none" w:sz="0" w:space="0" w:color="auto"/>
        <w:left w:val="none" w:sz="0" w:space="0" w:color="auto"/>
        <w:bottom w:val="none" w:sz="0" w:space="0" w:color="auto"/>
        <w:right w:val="none" w:sz="0" w:space="0" w:color="auto"/>
      </w:divBdr>
    </w:div>
    <w:div w:id="153879193">
      <w:bodyDiv w:val="1"/>
      <w:marLeft w:val="0"/>
      <w:marRight w:val="0"/>
      <w:marTop w:val="0"/>
      <w:marBottom w:val="0"/>
      <w:divBdr>
        <w:top w:val="none" w:sz="0" w:space="0" w:color="auto"/>
        <w:left w:val="none" w:sz="0" w:space="0" w:color="auto"/>
        <w:bottom w:val="none" w:sz="0" w:space="0" w:color="auto"/>
        <w:right w:val="none" w:sz="0" w:space="0" w:color="auto"/>
      </w:divBdr>
    </w:div>
    <w:div w:id="153880217">
      <w:bodyDiv w:val="1"/>
      <w:marLeft w:val="0"/>
      <w:marRight w:val="0"/>
      <w:marTop w:val="0"/>
      <w:marBottom w:val="0"/>
      <w:divBdr>
        <w:top w:val="none" w:sz="0" w:space="0" w:color="auto"/>
        <w:left w:val="none" w:sz="0" w:space="0" w:color="auto"/>
        <w:bottom w:val="none" w:sz="0" w:space="0" w:color="auto"/>
        <w:right w:val="none" w:sz="0" w:space="0" w:color="auto"/>
      </w:divBdr>
    </w:div>
    <w:div w:id="153882639">
      <w:bodyDiv w:val="1"/>
      <w:marLeft w:val="0"/>
      <w:marRight w:val="0"/>
      <w:marTop w:val="0"/>
      <w:marBottom w:val="0"/>
      <w:divBdr>
        <w:top w:val="none" w:sz="0" w:space="0" w:color="auto"/>
        <w:left w:val="none" w:sz="0" w:space="0" w:color="auto"/>
        <w:bottom w:val="none" w:sz="0" w:space="0" w:color="auto"/>
        <w:right w:val="none" w:sz="0" w:space="0" w:color="auto"/>
      </w:divBdr>
    </w:div>
    <w:div w:id="153959838">
      <w:bodyDiv w:val="1"/>
      <w:marLeft w:val="0"/>
      <w:marRight w:val="0"/>
      <w:marTop w:val="0"/>
      <w:marBottom w:val="0"/>
      <w:divBdr>
        <w:top w:val="none" w:sz="0" w:space="0" w:color="auto"/>
        <w:left w:val="none" w:sz="0" w:space="0" w:color="auto"/>
        <w:bottom w:val="none" w:sz="0" w:space="0" w:color="auto"/>
        <w:right w:val="none" w:sz="0" w:space="0" w:color="auto"/>
      </w:divBdr>
    </w:div>
    <w:div w:id="153961068">
      <w:bodyDiv w:val="1"/>
      <w:marLeft w:val="0"/>
      <w:marRight w:val="0"/>
      <w:marTop w:val="0"/>
      <w:marBottom w:val="0"/>
      <w:divBdr>
        <w:top w:val="none" w:sz="0" w:space="0" w:color="auto"/>
        <w:left w:val="none" w:sz="0" w:space="0" w:color="auto"/>
        <w:bottom w:val="none" w:sz="0" w:space="0" w:color="auto"/>
        <w:right w:val="none" w:sz="0" w:space="0" w:color="auto"/>
      </w:divBdr>
    </w:div>
    <w:div w:id="154104762">
      <w:bodyDiv w:val="1"/>
      <w:marLeft w:val="0"/>
      <w:marRight w:val="0"/>
      <w:marTop w:val="0"/>
      <w:marBottom w:val="0"/>
      <w:divBdr>
        <w:top w:val="none" w:sz="0" w:space="0" w:color="auto"/>
        <w:left w:val="none" w:sz="0" w:space="0" w:color="auto"/>
        <w:bottom w:val="none" w:sz="0" w:space="0" w:color="auto"/>
        <w:right w:val="none" w:sz="0" w:space="0" w:color="auto"/>
      </w:divBdr>
    </w:div>
    <w:div w:id="154341274">
      <w:bodyDiv w:val="1"/>
      <w:marLeft w:val="0"/>
      <w:marRight w:val="0"/>
      <w:marTop w:val="0"/>
      <w:marBottom w:val="0"/>
      <w:divBdr>
        <w:top w:val="none" w:sz="0" w:space="0" w:color="auto"/>
        <w:left w:val="none" w:sz="0" w:space="0" w:color="auto"/>
        <w:bottom w:val="none" w:sz="0" w:space="0" w:color="auto"/>
        <w:right w:val="none" w:sz="0" w:space="0" w:color="auto"/>
      </w:divBdr>
    </w:div>
    <w:div w:id="154342529">
      <w:bodyDiv w:val="1"/>
      <w:marLeft w:val="0"/>
      <w:marRight w:val="0"/>
      <w:marTop w:val="0"/>
      <w:marBottom w:val="0"/>
      <w:divBdr>
        <w:top w:val="none" w:sz="0" w:space="0" w:color="auto"/>
        <w:left w:val="none" w:sz="0" w:space="0" w:color="auto"/>
        <w:bottom w:val="none" w:sz="0" w:space="0" w:color="auto"/>
        <w:right w:val="none" w:sz="0" w:space="0" w:color="auto"/>
      </w:divBdr>
    </w:div>
    <w:div w:id="154343168">
      <w:bodyDiv w:val="1"/>
      <w:marLeft w:val="0"/>
      <w:marRight w:val="0"/>
      <w:marTop w:val="0"/>
      <w:marBottom w:val="0"/>
      <w:divBdr>
        <w:top w:val="none" w:sz="0" w:space="0" w:color="auto"/>
        <w:left w:val="none" w:sz="0" w:space="0" w:color="auto"/>
        <w:bottom w:val="none" w:sz="0" w:space="0" w:color="auto"/>
        <w:right w:val="none" w:sz="0" w:space="0" w:color="auto"/>
      </w:divBdr>
    </w:div>
    <w:div w:id="154414975">
      <w:bodyDiv w:val="1"/>
      <w:marLeft w:val="0"/>
      <w:marRight w:val="0"/>
      <w:marTop w:val="0"/>
      <w:marBottom w:val="0"/>
      <w:divBdr>
        <w:top w:val="none" w:sz="0" w:space="0" w:color="auto"/>
        <w:left w:val="none" w:sz="0" w:space="0" w:color="auto"/>
        <w:bottom w:val="none" w:sz="0" w:space="0" w:color="auto"/>
        <w:right w:val="none" w:sz="0" w:space="0" w:color="auto"/>
      </w:divBdr>
    </w:div>
    <w:div w:id="154423249">
      <w:bodyDiv w:val="1"/>
      <w:marLeft w:val="0"/>
      <w:marRight w:val="0"/>
      <w:marTop w:val="0"/>
      <w:marBottom w:val="0"/>
      <w:divBdr>
        <w:top w:val="none" w:sz="0" w:space="0" w:color="auto"/>
        <w:left w:val="none" w:sz="0" w:space="0" w:color="auto"/>
        <w:bottom w:val="none" w:sz="0" w:space="0" w:color="auto"/>
        <w:right w:val="none" w:sz="0" w:space="0" w:color="auto"/>
      </w:divBdr>
    </w:div>
    <w:div w:id="154494189">
      <w:bodyDiv w:val="1"/>
      <w:marLeft w:val="0"/>
      <w:marRight w:val="0"/>
      <w:marTop w:val="0"/>
      <w:marBottom w:val="0"/>
      <w:divBdr>
        <w:top w:val="none" w:sz="0" w:space="0" w:color="auto"/>
        <w:left w:val="none" w:sz="0" w:space="0" w:color="auto"/>
        <w:bottom w:val="none" w:sz="0" w:space="0" w:color="auto"/>
        <w:right w:val="none" w:sz="0" w:space="0" w:color="auto"/>
      </w:divBdr>
    </w:div>
    <w:div w:id="154535721">
      <w:bodyDiv w:val="1"/>
      <w:marLeft w:val="0"/>
      <w:marRight w:val="0"/>
      <w:marTop w:val="0"/>
      <w:marBottom w:val="0"/>
      <w:divBdr>
        <w:top w:val="none" w:sz="0" w:space="0" w:color="auto"/>
        <w:left w:val="none" w:sz="0" w:space="0" w:color="auto"/>
        <w:bottom w:val="none" w:sz="0" w:space="0" w:color="auto"/>
        <w:right w:val="none" w:sz="0" w:space="0" w:color="auto"/>
      </w:divBdr>
    </w:div>
    <w:div w:id="154801669">
      <w:bodyDiv w:val="1"/>
      <w:marLeft w:val="0"/>
      <w:marRight w:val="0"/>
      <w:marTop w:val="0"/>
      <w:marBottom w:val="0"/>
      <w:divBdr>
        <w:top w:val="none" w:sz="0" w:space="0" w:color="auto"/>
        <w:left w:val="none" w:sz="0" w:space="0" w:color="auto"/>
        <w:bottom w:val="none" w:sz="0" w:space="0" w:color="auto"/>
        <w:right w:val="none" w:sz="0" w:space="0" w:color="auto"/>
      </w:divBdr>
    </w:div>
    <w:div w:id="154885275">
      <w:bodyDiv w:val="1"/>
      <w:marLeft w:val="0"/>
      <w:marRight w:val="0"/>
      <w:marTop w:val="0"/>
      <w:marBottom w:val="0"/>
      <w:divBdr>
        <w:top w:val="none" w:sz="0" w:space="0" w:color="auto"/>
        <w:left w:val="none" w:sz="0" w:space="0" w:color="auto"/>
        <w:bottom w:val="none" w:sz="0" w:space="0" w:color="auto"/>
        <w:right w:val="none" w:sz="0" w:space="0" w:color="auto"/>
      </w:divBdr>
    </w:div>
    <w:div w:id="154952988">
      <w:bodyDiv w:val="1"/>
      <w:marLeft w:val="0"/>
      <w:marRight w:val="0"/>
      <w:marTop w:val="0"/>
      <w:marBottom w:val="0"/>
      <w:divBdr>
        <w:top w:val="none" w:sz="0" w:space="0" w:color="auto"/>
        <w:left w:val="none" w:sz="0" w:space="0" w:color="auto"/>
        <w:bottom w:val="none" w:sz="0" w:space="0" w:color="auto"/>
        <w:right w:val="none" w:sz="0" w:space="0" w:color="auto"/>
      </w:divBdr>
    </w:div>
    <w:div w:id="154995394">
      <w:bodyDiv w:val="1"/>
      <w:marLeft w:val="0"/>
      <w:marRight w:val="0"/>
      <w:marTop w:val="0"/>
      <w:marBottom w:val="0"/>
      <w:divBdr>
        <w:top w:val="none" w:sz="0" w:space="0" w:color="auto"/>
        <w:left w:val="none" w:sz="0" w:space="0" w:color="auto"/>
        <w:bottom w:val="none" w:sz="0" w:space="0" w:color="auto"/>
        <w:right w:val="none" w:sz="0" w:space="0" w:color="auto"/>
      </w:divBdr>
    </w:div>
    <w:div w:id="154998862">
      <w:bodyDiv w:val="1"/>
      <w:marLeft w:val="0"/>
      <w:marRight w:val="0"/>
      <w:marTop w:val="0"/>
      <w:marBottom w:val="0"/>
      <w:divBdr>
        <w:top w:val="none" w:sz="0" w:space="0" w:color="auto"/>
        <w:left w:val="none" w:sz="0" w:space="0" w:color="auto"/>
        <w:bottom w:val="none" w:sz="0" w:space="0" w:color="auto"/>
        <w:right w:val="none" w:sz="0" w:space="0" w:color="auto"/>
      </w:divBdr>
    </w:div>
    <w:div w:id="155072170">
      <w:bodyDiv w:val="1"/>
      <w:marLeft w:val="0"/>
      <w:marRight w:val="0"/>
      <w:marTop w:val="0"/>
      <w:marBottom w:val="0"/>
      <w:divBdr>
        <w:top w:val="none" w:sz="0" w:space="0" w:color="auto"/>
        <w:left w:val="none" w:sz="0" w:space="0" w:color="auto"/>
        <w:bottom w:val="none" w:sz="0" w:space="0" w:color="auto"/>
        <w:right w:val="none" w:sz="0" w:space="0" w:color="auto"/>
      </w:divBdr>
    </w:div>
    <w:div w:id="155146599">
      <w:bodyDiv w:val="1"/>
      <w:marLeft w:val="0"/>
      <w:marRight w:val="0"/>
      <w:marTop w:val="0"/>
      <w:marBottom w:val="0"/>
      <w:divBdr>
        <w:top w:val="none" w:sz="0" w:space="0" w:color="auto"/>
        <w:left w:val="none" w:sz="0" w:space="0" w:color="auto"/>
        <w:bottom w:val="none" w:sz="0" w:space="0" w:color="auto"/>
        <w:right w:val="none" w:sz="0" w:space="0" w:color="auto"/>
      </w:divBdr>
    </w:div>
    <w:div w:id="155191571">
      <w:bodyDiv w:val="1"/>
      <w:marLeft w:val="0"/>
      <w:marRight w:val="0"/>
      <w:marTop w:val="0"/>
      <w:marBottom w:val="0"/>
      <w:divBdr>
        <w:top w:val="none" w:sz="0" w:space="0" w:color="auto"/>
        <w:left w:val="none" w:sz="0" w:space="0" w:color="auto"/>
        <w:bottom w:val="none" w:sz="0" w:space="0" w:color="auto"/>
        <w:right w:val="none" w:sz="0" w:space="0" w:color="auto"/>
      </w:divBdr>
    </w:div>
    <w:div w:id="155414953">
      <w:bodyDiv w:val="1"/>
      <w:marLeft w:val="0"/>
      <w:marRight w:val="0"/>
      <w:marTop w:val="0"/>
      <w:marBottom w:val="0"/>
      <w:divBdr>
        <w:top w:val="none" w:sz="0" w:space="0" w:color="auto"/>
        <w:left w:val="none" w:sz="0" w:space="0" w:color="auto"/>
        <w:bottom w:val="none" w:sz="0" w:space="0" w:color="auto"/>
        <w:right w:val="none" w:sz="0" w:space="0" w:color="auto"/>
      </w:divBdr>
    </w:div>
    <w:div w:id="155457999">
      <w:bodyDiv w:val="1"/>
      <w:marLeft w:val="0"/>
      <w:marRight w:val="0"/>
      <w:marTop w:val="0"/>
      <w:marBottom w:val="0"/>
      <w:divBdr>
        <w:top w:val="none" w:sz="0" w:space="0" w:color="auto"/>
        <w:left w:val="none" w:sz="0" w:space="0" w:color="auto"/>
        <w:bottom w:val="none" w:sz="0" w:space="0" w:color="auto"/>
        <w:right w:val="none" w:sz="0" w:space="0" w:color="auto"/>
      </w:divBdr>
    </w:div>
    <w:div w:id="155532132">
      <w:bodyDiv w:val="1"/>
      <w:marLeft w:val="0"/>
      <w:marRight w:val="0"/>
      <w:marTop w:val="0"/>
      <w:marBottom w:val="0"/>
      <w:divBdr>
        <w:top w:val="none" w:sz="0" w:space="0" w:color="auto"/>
        <w:left w:val="none" w:sz="0" w:space="0" w:color="auto"/>
        <w:bottom w:val="none" w:sz="0" w:space="0" w:color="auto"/>
        <w:right w:val="none" w:sz="0" w:space="0" w:color="auto"/>
      </w:divBdr>
    </w:div>
    <w:div w:id="155536314">
      <w:bodyDiv w:val="1"/>
      <w:marLeft w:val="0"/>
      <w:marRight w:val="0"/>
      <w:marTop w:val="0"/>
      <w:marBottom w:val="0"/>
      <w:divBdr>
        <w:top w:val="none" w:sz="0" w:space="0" w:color="auto"/>
        <w:left w:val="none" w:sz="0" w:space="0" w:color="auto"/>
        <w:bottom w:val="none" w:sz="0" w:space="0" w:color="auto"/>
        <w:right w:val="none" w:sz="0" w:space="0" w:color="auto"/>
      </w:divBdr>
    </w:div>
    <w:div w:id="155537334">
      <w:bodyDiv w:val="1"/>
      <w:marLeft w:val="0"/>
      <w:marRight w:val="0"/>
      <w:marTop w:val="0"/>
      <w:marBottom w:val="0"/>
      <w:divBdr>
        <w:top w:val="none" w:sz="0" w:space="0" w:color="auto"/>
        <w:left w:val="none" w:sz="0" w:space="0" w:color="auto"/>
        <w:bottom w:val="none" w:sz="0" w:space="0" w:color="auto"/>
        <w:right w:val="none" w:sz="0" w:space="0" w:color="auto"/>
      </w:divBdr>
    </w:div>
    <w:div w:id="155650576">
      <w:bodyDiv w:val="1"/>
      <w:marLeft w:val="0"/>
      <w:marRight w:val="0"/>
      <w:marTop w:val="0"/>
      <w:marBottom w:val="0"/>
      <w:divBdr>
        <w:top w:val="none" w:sz="0" w:space="0" w:color="auto"/>
        <w:left w:val="none" w:sz="0" w:space="0" w:color="auto"/>
        <w:bottom w:val="none" w:sz="0" w:space="0" w:color="auto"/>
        <w:right w:val="none" w:sz="0" w:space="0" w:color="auto"/>
      </w:divBdr>
    </w:div>
    <w:div w:id="155652874">
      <w:bodyDiv w:val="1"/>
      <w:marLeft w:val="0"/>
      <w:marRight w:val="0"/>
      <w:marTop w:val="0"/>
      <w:marBottom w:val="0"/>
      <w:divBdr>
        <w:top w:val="none" w:sz="0" w:space="0" w:color="auto"/>
        <w:left w:val="none" w:sz="0" w:space="0" w:color="auto"/>
        <w:bottom w:val="none" w:sz="0" w:space="0" w:color="auto"/>
        <w:right w:val="none" w:sz="0" w:space="0" w:color="auto"/>
      </w:divBdr>
    </w:div>
    <w:div w:id="155805800">
      <w:bodyDiv w:val="1"/>
      <w:marLeft w:val="0"/>
      <w:marRight w:val="0"/>
      <w:marTop w:val="0"/>
      <w:marBottom w:val="0"/>
      <w:divBdr>
        <w:top w:val="none" w:sz="0" w:space="0" w:color="auto"/>
        <w:left w:val="none" w:sz="0" w:space="0" w:color="auto"/>
        <w:bottom w:val="none" w:sz="0" w:space="0" w:color="auto"/>
        <w:right w:val="none" w:sz="0" w:space="0" w:color="auto"/>
      </w:divBdr>
    </w:div>
    <w:div w:id="155807393">
      <w:bodyDiv w:val="1"/>
      <w:marLeft w:val="0"/>
      <w:marRight w:val="0"/>
      <w:marTop w:val="0"/>
      <w:marBottom w:val="0"/>
      <w:divBdr>
        <w:top w:val="none" w:sz="0" w:space="0" w:color="auto"/>
        <w:left w:val="none" w:sz="0" w:space="0" w:color="auto"/>
        <w:bottom w:val="none" w:sz="0" w:space="0" w:color="auto"/>
        <w:right w:val="none" w:sz="0" w:space="0" w:color="auto"/>
      </w:divBdr>
    </w:div>
    <w:div w:id="155807705">
      <w:bodyDiv w:val="1"/>
      <w:marLeft w:val="0"/>
      <w:marRight w:val="0"/>
      <w:marTop w:val="0"/>
      <w:marBottom w:val="0"/>
      <w:divBdr>
        <w:top w:val="none" w:sz="0" w:space="0" w:color="auto"/>
        <w:left w:val="none" w:sz="0" w:space="0" w:color="auto"/>
        <w:bottom w:val="none" w:sz="0" w:space="0" w:color="auto"/>
        <w:right w:val="none" w:sz="0" w:space="0" w:color="auto"/>
      </w:divBdr>
    </w:div>
    <w:div w:id="155852095">
      <w:bodyDiv w:val="1"/>
      <w:marLeft w:val="0"/>
      <w:marRight w:val="0"/>
      <w:marTop w:val="0"/>
      <w:marBottom w:val="0"/>
      <w:divBdr>
        <w:top w:val="none" w:sz="0" w:space="0" w:color="auto"/>
        <w:left w:val="none" w:sz="0" w:space="0" w:color="auto"/>
        <w:bottom w:val="none" w:sz="0" w:space="0" w:color="auto"/>
        <w:right w:val="none" w:sz="0" w:space="0" w:color="auto"/>
      </w:divBdr>
    </w:div>
    <w:div w:id="155852647">
      <w:bodyDiv w:val="1"/>
      <w:marLeft w:val="0"/>
      <w:marRight w:val="0"/>
      <w:marTop w:val="0"/>
      <w:marBottom w:val="0"/>
      <w:divBdr>
        <w:top w:val="none" w:sz="0" w:space="0" w:color="auto"/>
        <w:left w:val="none" w:sz="0" w:space="0" w:color="auto"/>
        <w:bottom w:val="none" w:sz="0" w:space="0" w:color="auto"/>
        <w:right w:val="none" w:sz="0" w:space="0" w:color="auto"/>
      </w:divBdr>
    </w:div>
    <w:div w:id="155921893">
      <w:bodyDiv w:val="1"/>
      <w:marLeft w:val="0"/>
      <w:marRight w:val="0"/>
      <w:marTop w:val="0"/>
      <w:marBottom w:val="0"/>
      <w:divBdr>
        <w:top w:val="none" w:sz="0" w:space="0" w:color="auto"/>
        <w:left w:val="none" w:sz="0" w:space="0" w:color="auto"/>
        <w:bottom w:val="none" w:sz="0" w:space="0" w:color="auto"/>
        <w:right w:val="none" w:sz="0" w:space="0" w:color="auto"/>
      </w:divBdr>
    </w:div>
    <w:div w:id="156042029">
      <w:bodyDiv w:val="1"/>
      <w:marLeft w:val="0"/>
      <w:marRight w:val="0"/>
      <w:marTop w:val="0"/>
      <w:marBottom w:val="0"/>
      <w:divBdr>
        <w:top w:val="none" w:sz="0" w:space="0" w:color="auto"/>
        <w:left w:val="none" w:sz="0" w:space="0" w:color="auto"/>
        <w:bottom w:val="none" w:sz="0" w:space="0" w:color="auto"/>
        <w:right w:val="none" w:sz="0" w:space="0" w:color="auto"/>
      </w:divBdr>
    </w:div>
    <w:div w:id="156119900">
      <w:bodyDiv w:val="1"/>
      <w:marLeft w:val="0"/>
      <w:marRight w:val="0"/>
      <w:marTop w:val="0"/>
      <w:marBottom w:val="0"/>
      <w:divBdr>
        <w:top w:val="none" w:sz="0" w:space="0" w:color="auto"/>
        <w:left w:val="none" w:sz="0" w:space="0" w:color="auto"/>
        <w:bottom w:val="none" w:sz="0" w:space="0" w:color="auto"/>
        <w:right w:val="none" w:sz="0" w:space="0" w:color="auto"/>
      </w:divBdr>
    </w:div>
    <w:div w:id="156313681">
      <w:bodyDiv w:val="1"/>
      <w:marLeft w:val="0"/>
      <w:marRight w:val="0"/>
      <w:marTop w:val="0"/>
      <w:marBottom w:val="0"/>
      <w:divBdr>
        <w:top w:val="none" w:sz="0" w:space="0" w:color="auto"/>
        <w:left w:val="none" w:sz="0" w:space="0" w:color="auto"/>
        <w:bottom w:val="none" w:sz="0" w:space="0" w:color="auto"/>
        <w:right w:val="none" w:sz="0" w:space="0" w:color="auto"/>
      </w:divBdr>
    </w:div>
    <w:div w:id="156578687">
      <w:bodyDiv w:val="1"/>
      <w:marLeft w:val="0"/>
      <w:marRight w:val="0"/>
      <w:marTop w:val="0"/>
      <w:marBottom w:val="0"/>
      <w:divBdr>
        <w:top w:val="none" w:sz="0" w:space="0" w:color="auto"/>
        <w:left w:val="none" w:sz="0" w:space="0" w:color="auto"/>
        <w:bottom w:val="none" w:sz="0" w:space="0" w:color="auto"/>
        <w:right w:val="none" w:sz="0" w:space="0" w:color="auto"/>
      </w:divBdr>
    </w:div>
    <w:div w:id="156700559">
      <w:bodyDiv w:val="1"/>
      <w:marLeft w:val="0"/>
      <w:marRight w:val="0"/>
      <w:marTop w:val="0"/>
      <w:marBottom w:val="0"/>
      <w:divBdr>
        <w:top w:val="none" w:sz="0" w:space="0" w:color="auto"/>
        <w:left w:val="none" w:sz="0" w:space="0" w:color="auto"/>
        <w:bottom w:val="none" w:sz="0" w:space="0" w:color="auto"/>
        <w:right w:val="none" w:sz="0" w:space="0" w:color="auto"/>
      </w:divBdr>
    </w:div>
    <w:div w:id="156773913">
      <w:bodyDiv w:val="1"/>
      <w:marLeft w:val="0"/>
      <w:marRight w:val="0"/>
      <w:marTop w:val="0"/>
      <w:marBottom w:val="0"/>
      <w:divBdr>
        <w:top w:val="none" w:sz="0" w:space="0" w:color="auto"/>
        <w:left w:val="none" w:sz="0" w:space="0" w:color="auto"/>
        <w:bottom w:val="none" w:sz="0" w:space="0" w:color="auto"/>
        <w:right w:val="none" w:sz="0" w:space="0" w:color="auto"/>
      </w:divBdr>
    </w:div>
    <w:div w:id="157039589">
      <w:bodyDiv w:val="1"/>
      <w:marLeft w:val="0"/>
      <w:marRight w:val="0"/>
      <w:marTop w:val="0"/>
      <w:marBottom w:val="0"/>
      <w:divBdr>
        <w:top w:val="none" w:sz="0" w:space="0" w:color="auto"/>
        <w:left w:val="none" w:sz="0" w:space="0" w:color="auto"/>
        <w:bottom w:val="none" w:sz="0" w:space="0" w:color="auto"/>
        <w:right w:val="none" w:sz="0" w:space="0" w:color="auto"/>
      </w:divBdr>
    </w:div>
    <w:div w:id="157158323">
      <w:bodyDiv w:val="1"/>
      <w:marLeft w:val="0"/>
      <w:marRight w:val="0"/>
      <w:marTop w:val="0"/>
      <w:marBottom w:val="0"/>
      <w:divBdr>
        <w:top w:val="none" w:sz="0" w:space="0" w:color="auto"/>
        <w:left w:val="none" w:sz="0" w:space="0" w:color="auto"/>
        <w:bottom w:val="none" w:sz="0" w:space="0" w:color="auto"/>
        <w:right w:val="none" w:sz="0" w:space="0" w:color="auto"/>
      </w:divBdr>
    </w:div>
    <w:div w:id="157160136">
      <w:bodyDiv w:val="1"/>
      <w:marLeft w:val="0"/>
      <w:marRight w:val="0"/>
      <w:marTop w:val="0"/>
      <w:marBottom w:val="0"/>
      <w:divBdr>
        <w:top w:val="none" w:sz="0" w:space="0" w:color="auto"/>
        <w:left w:val="none" w:sz="0" w:space="0" w:color="auto"/>
        <w:bottom w:val="none" w:sz="0" w:space="0" w:color="auto"/>
        <w:right w:val="none" w:sz="0" w:space="0" w:color="auto"/>
      </w:divBdr>
    </w:div>
    <w:div w:id="157309843">
      <w:bodyDiv w:val="1"/>
      <w:marLeft w:val="0"/>
      <w:marRight w:val="0"/>
      <w:marTop w:val="0"/>
      <w:marBottom w:val="0"/>
      <w:divBdr>
        <w:top w:val="none" w:sz="0" w:space="0" w:color="auto"/>
        <w:left w:val="none" w:sz="0" w:space="0" w:color="auto"/>
        <w:bottom w:val="none" w:sz="0" w:space="0" w:color="auto"/>
        <w:right w:val="none" w:sz="0" w:space="0" w:color="auto"/>
      </w:divBdr>
    </w:div>
    <w:div w:id="157352832">
      <w:bodyDiv w:val="1"/>
      <w:marLeft w:val="0"/>
      <w:marRight w:val="0"/>
      <w:marTop w:val="0"/>
      <w:marBottom w:val="0"/>
      <w:divBdr>
        <w:top w:val="none" w:sz="0" w:space="0" w:color="auto"/>
        <w:left w:val="none" w:sz="0" w:space="0" w:color="auto"/>
        <w:bottom w:val="none" w:sz="0" w:space="0" w:color="auto"/>
        <w:right w:val="none" w:sz="0" w:space="0" w:color="auto"/>
      </w:divBdr>
    </w:div>
    <w:div w:id="157504273">
      <w:bodyDiv w:val="1"/>
      <w:marLeft w:val="0"/>
      <w:marRight w:val="0"/>
      <w:marTop w:val="0"/>
      <w:marBottom w:val="0"/>
      <w:divBdr>
        <w:top w:val="none" w:sz="0" w:space="0" w:color="auto"/>
        <w:left w:val="none" w:sz="0" w:space="0" w:color="auto"/>
        <w:bottom w:val="none" w:sz="0" w:space="0" w:color="auto"/>
        <w:right w:val="none" w:sz="0" w:space="0" w:color="auto"/>
      </w:divBdr>
    </w:div>
    <w:div w:id="157507149">
      <w:bodyDiv w:val="1"/>
      <w:marLeft w:val="0"/>
      <w:marRight w:val="0"/>
      <w:marTop w:val="0"/>
      <w:marBottom w:val="0"/>
      <w:divBdr>
        <w:top w:val="none" w:sz="0" w:space="0" w:color="auto"/>
        <w:left w:val="none" w:sz="0" w:space="0" w:color="auto"/>
        <w:bottom w:val="none" w:sz="0" w:space="0" w:color="auto"/>
        <w:right w:val="none" w:sz="0" w:space="0" w:color="auto"/>
      </w:divBdr>
    </w:div>
    <w:div w:id="157966012">
      <w:bodyDiv w:val="1"/>
      <w:marLeft w:val="0"/>
      <w:marRight w:val="0"/>
      <w:marTop w:val="0"/>
      <w:marBottom w:val="0"/>
      <w:divBdr>
        <w:top w:val="none" w:sz="0" w:space="0" w:color="auto"/>
        <w:left w:val="none" w:sz="0" w:space="0" w:color="auto"/>
        <w:bottom w:val="none" w:sz="0" w:space="0" w:color="auto"/>
        <w:right w:val="none" w:sz="0" w:space="0" w:color="auto"/>
      </w:divBdr>
    </w:div>
    <w:div w:id="158234796">
      <w:bodyDiv w:val="1"/>
      <w:marLeft w:val="0"/>
      <w:marRight w:val="0"/>
      <w:marTop w:val="0"/>
      <w:marBottom w:val="0"/>
      <w:divBdr>
        <w:top w:val="none" w:sz="0" w:space="0" w:color="auto"/>
        <w:left w:val="none" w:sz="0" w:space="0" w:color="auto"/>
        <w:bottom w:val="none" w:sz="0" w:space="0" w:color="auto"/>
        <w:right w:val="none" w:sz="0" w:space="0" w:color="auto"/>
      </w:divBdr>
    </w:div>
    <w:div w:id="158349948">
      <w:bodyDiv w:val="1"/>
      <w:marLeft w:val="0"/>
      <w:marRight w:val="0"/>
      <w:marTop w:val="0"/>
      <w:marBottom w:val="0"/>
      <w:divBdr>
        <w:top w:val="none" w:sz="0" w:space="0" w:color="auto"/>
        <w:left w:val="none" w:sz="0" w:space="0" w:color="auto"/>
        <w:bottom w:val="none" w:sz="0" w:space="0" w:color="auto"/>
        <w:right w:val="none" w:sz="0" w:space="0" w:color="auto"/>
      </w:divBdr>
    </w:div>
    <w:div w:id="158351934">
      <w:bodyDiv w:val="1"/>
      <w:marLeft w:val="0"/>
      <w:marRight w:val="0"/>
      <w:marTop w:val="0"/>
      <w:marBottom w:val="0"/>
      <w:divBdr>
        <w:top w:val="none" w:sz="0" w:space="0" w:color="auto"/>
        <w:left w:val="none" w:sz="0" w:space="0" w:color="auto"/>
        <w:bottom w:val="none" w:sz="0" w:space="0" w:color="auto"/>
        <w:right w:val="none" w:sz="0" w:space="0" w:color="auto"/>
      </w:divBdr>
    </w:div>
    <w:div w:id="158540634">
      <w:bodyDiv w:val="1"/>
      <w:marLeft w:val="0"/>
      <w:marRight w:val="0"/>
      <w:marTop w:val="0"/>
      <w:marBottom w:val="0"/>
      <w:divBdr>
        <w:top w:val="none" w:sz="0" w:space="0" w:color="auto"/>
        <w:left w:val="none" w:sz="0" w:space="0" w:color="auto"/>
        <w:bottom w:val="none" w:sz="0" w:space="0" w:color="auto"/>
        <w:right w:val="none" w:sz="0" w:space="0" w:color="auto"/>
      </w:divBdr>
    </w:div>
    <w:div w:id="158544295">
      <w:bodyDiv w:val="1"/>
      <w:marLeft w:val="0"/>
      <w:marRight w:val="0"/>
      <w:marTop w:val="0"/>
      <w:marBottom w:val="0"/>
      <w:divBdr>
        <w:top w:val="none" w:sz="0" w:space="0" w:color="auto"/>
        <w:left w:val="none" w:sz="0" w:space="0" w:color="auto"/>
        <w:bottom w:val="none" w:sz="0" w:space="0" w:color="auto"/>
        <w:right w:val="none" w:sz="0" w:space="0" w:color="auto"/>
      </w:divBdr>
    </w:div>
    <w:div w:id="158690758">
      <w:bodyDiv w:val="1"/>
      <w:marLeft w:val="0"/>
      <w:marRight w:val="0"/>
      <w:marTop w:val="0"/>
      <w:marBottom w:val="0"/>
      <w:divBdr>
        <w:top w:val="none" w:sz="0" w:space="0" w:color="auto"/>
        <w:left w:val="none" w:sz="0" w:space="0" w:color="auto"/>
        <w:bottom w:val="none" w:sz="0" w:space="0" w:color="auto"/>
        <w:right w:val="none" w:sz="0" w:space="0" w:color="auto"/>
      </w:divBdr>
    </w:div>
    <w:div w:id="158859999">
      <w:bodyDiv w:val="1"/>
      <w:marLeft w:val="0"/>
      <w:marRight w:val="0"/>
      <w:marTop w:val="0"/>
      <w:marBottom w:val="0"/>
      <w:divBdr>
        <w:top w:val="none" w:sz="0" w:space="0" w:color="auto"/>
        <w:left w:val="none" w:sz="0" w:space="0" w:color="auto"/>
        <w:bottom w:val="none" w:sz="0" w:space="0" w:color="auto"/>
        <w:right w:val="none" w:sz="0" w:space="0" w:color="auto"/>
      </w:divBdr>
    </w:div>
    <w:div w:id="158886181">
      <w:bodyDiv w:val="1"/>
      <w:marLeft w:val="0"/>
      <w:marRight w:val="0"/>
      <w:marTop w:val="0"/>
      <w:marBottom w:val="0"/>
      <w:divBdr>
        <w:top w:val="none" w:sz="0" w:space="0" w:color="auto"/>
        <w:left w:val="none" w:sz="0" w:space="0" w:color="auto"/>
        <w:bottom w:val="none" w:sz="0" w:space="0" w:color="auto"/>
        <w:right w:val="none" w:sz="0" w:space="0" w:color="auto"/>
      </w:divBdr>
    </w:div>
    <w:div w:id="159078490">
      <w:bodyDiv w:val="1"/>
      <w:marLeft w:val="0"/>
      <w:marRight w:val="0"/>
      <w:marTop w:val="0"/>
      <w:marBottom w:val="0"/>
      <w:divBdr>
        <w:top w:val="none" w:sz="0" w:space="0" w:color="auto"/>
        <w:left w:val="none" w:sz="0" w:space="0" w:color="auto"/>
        <w:bottom w:val="none" w:sz="0" w:space="0" w:color="auto"/>
        <w:right w:val="none" w:sz="0" w:space="0" w:color="auto"/>
      </w:divBdr>
    </w:div>
    <w:div w:id="159122827">
      <w:bodyDiv w:val="1"/>
      <w:marLeft w:val="0"/>
      <w:marRight w:val="0"/>
      <w:marTop w:val="0"/>
      <w:marBottom w:val="0"/>
      <w:divBdr>
        <w:top w:val="none" w:sz="0" w:space="0" w:color="auto"/>
        <w:left w:val="none" w:sz="0" w:space="0" w:color="auto"/>
        <w:bottom w:val="none" w:sz="0" w:space="0" w:color="auto"/>
        <w:right w:val="none" w:sz="0" w:space="0" w:color="auto"/>
      </w:divBdr>
    </w:div>
    <w:div w:id="159126218">
      <w:bodyDiv w:val="1"/>
      <w:marLeft w:val="0"/>
      <w:marRight w:val="0"/>
      <w:marTop w:val="0"/>
      <w:marBottom w:val="0"/>
      <w:divBdr>
        <w:top w:val="none" w:sz="0" w:space="0" w:color="auto"/>
        <w:left w:val="none" w:sz="0" w:space="0" w:color="auto"/>
        <w:bottom w:val="none" w:sz="0" w:space="0" w:color="auto"/>
        <w:right w:val="none" w:sz="0" w:space="0" w:color="auto"/>
      </w:divBdr>
    </w:div>
    <w:div w:id="159197859">
      <w:bodyDiv w:val="1"/>
      <w:marLeft w:val="0"/>
      <w:marRight w:val="0"/>
      <w:marTop w:val="0"/>
      <w:marBottom w:val="0"/>
      <w:divBdr>
        <w:top w:val="none" w:sz="0" w:space="0" w:color="auto"/>
        <w:left w:val="none" w:sz="0" w:space="0" w:color="auto"/>
        <w:bottom w:val="none" w:sz="0" w:space="0" w:color="auto"/>
        <w:right w:val="none" w:sz="0" w:space="0" w:color="auto"/>
      </w:divBdr>
    </w:div>
    <w:div w:id="159203138">
      <w:bodyDiv w:val="1"/>
      <w:marLeft w:val="0"/>
      <w:marRight w:val="0"/>
      <w:marTop w:val="0"/>
      <w:marBottom w:val="0"/>
      <w:divBdr>
        <w:top w:val="none" w:sz="0" w:space="0" w:color="auto"/>
        <w:left w:val="none" w:sz="0" w:space="0" w:color="auto"/>
        <w:bottom w:val="none" w:sz="0" w:space="0" w:color="auto"/>
        <w:right w:val="none" w:sz="0" w:space="0" w:color="auto"/>
      </w:divBdr>
    </w:div>
    <w:div w:id="159272262">
      <w:bodyDiv w:val="1"/>
      <w:marLeft w:val="0"/>
      <w:marRight w:val="0"/>
      <w:marTop w:val="0"/>
      <w:marBottom w:val="0"/>
      <w:divBdr>
        <w:top w:val="none" w:sz="0" w:space="0" w:color="auto"/>
        <w:left w:val="none" w:sz="0" w:space="0" w:color="auto"/>
        <w:bottom w:val="none" w:sz="0" w:space="0" w:color="auto"/>
        <w:right w:val="none" w:sz="0" w:space="0" w:color="auto"/>
      </w:divBdr>
    </w:div>
    <w:div w:id="159277232">
      <w:bodyDiv w:val="1"/>
      <w:marLeft w:val="0"/>
      <w:marRight w:val="0"/>
      <w:marTop w:val="0"/>
      <w:marBottom w:val="0"/>
      <w:divBdr>
        <w:top w:val="none" w:sz="0" w:space="0" w:color="auto"/>
        <w:left w:val="none" w:sz="0" w:space="0" w:color="auto"/>
        <w:bottom w:val="none" w:sz="0" w:space="0" w:color="auto"/>
        <w:right w:val="none" w:sz="0" w:space="0" w:color="auto"/>
      </w:divBdr>
    </w:div>
    <w:div w:id="159583061">
      <w:bodyDiv w:val="1"/>
      <w:marLeft w:val="0"/>
      <w:marRight w:val="0"/>
      <w:marTop w:val="0"/>
      <w:marBottom w:val="0"/>
      <w:divBdr>
        <w:top w:val="none" w:sz="0" w:space="0" w:color="auto"/>
        <w:left w:val="none" w:sz="0" w:space="0" w:color="auto"/>
        <w:bottom w:val="none" w:sz="0" w:space="0" w:color="auto"/>
        <w:right w:val="none" w:sz="0" w:space="0" w:color="auto"/>
      </w:divBdr>
    </w:div>
    <w:div w:id="159663963">
      <w:bodyDiv w:val="1"/>
      <w:marLeft w:val="0"/>
      <w:marRight w:val="0"/>
      <w:marTop w:val="0"/>
      <w:marBottom w:val="0"/>
      <w:divBdr>
        <w:top w:val="none" w:sz="0" w:space="0" w:color="auto"/>
        <w:left w:val="none" w:sz="0" w:space="0" w:color="auto"/>
        <w:bottom w:val="none" w:sz="0" w:space="0" w:color="auto"/>
        <w:right w:val="none" w:sz="0" w:space="0" w:color="auto"/>
      </w:divBdr>
    </w:div>
    <w:div w:id="159733121">
      <w:bodyDiv w:val="1"/>
      <w:marLeft w:val="0"/>
      <w:marRight w:val="0"/>
      <w:marTop w:val="0"/>
      <w:marBottom w:val="0"/>
      <w:divBdr>
        <w:top w:val="none" w:sz="0" w:space="0" w:color="auto"/>
        <w:left w:val="none" w:sz="0" w:space="0" w:color="auto"/>
        <w:bottom w:val="none" w:sz="0" w:space="0" w:color="auto"/>
        <w:right w:val="none" w:sz="0" w:space="0" w:color="auto"/>
      </w:divBdr>
    </w:div>
    <w:div w:id="159781568">
      <w:bodyDiv w:val="1"/>
      <w:marLeft w:val="0"/>
      <w:marRight w:val="0"/>
      <w:marTop w:val="0"/>
      <w:marBottom w:val="0"/>
      <w:divBdr>
        <w:top w:val="none" w:sz="0" w:space="0" w:color="auto"/>
        <w:left w:val="none" w:sz="0" w:space="0" w:color="auto"/>
        <w:bottom w:val="none" w:sz="0" w:space="0" w:color="auto"/>
        <w:right w:val="none" w:sz="0" w:space="0" w:color="auto"/>
      </w:divBdr>
    </w:div>
    <w:div w:id="159851807">
      <w:bodyDiv w:val="1"/>
      <w:marLeft w:val="0"/>
      <w:marRight w:val="0"/>
      <w:marTop w:val="0"/>
      <w:marBottom w:val="0"/>
      <w:divBdr>
        <w:top w:val="none" w:sz="0" w:space="0" w:color="auto"/>
        <w:left w:val="none" w:sz="0" w:space="0" w:color="auto"/>
        <w:bottom w:val="none" w:sz="0" w:space="0" w:color="auto"/>
        <w:right w:val="none" w:sz="0" w:space="0" w:color="auto"/>
      </w:divBdr>
    </w:div>
    <w:div w:id="159858364">
      <w:bodyDiv w:val="1"/>
      <w:marLeft w:val="0"/>
      <w:marRight w:val="0"/>
      <w:marTop w:val="0"/>
      <w:marBottom w:val="0"/>
      <w:divBdr>
        <w:top w:val="none" w:sz="0" w:space="0" w:color="auto"/>
        <w:left w:val="none" w:sz="0" w:space="0" w:color="auto"/>
        <w:bottom w:val="none" w:sz="0" w:space="0" w:color="auto"/>
        <w:right w:val="none" w:sz="0" w:space="0" w:color="auto"/>
      </w:divBdr>
    </w:div>
    <w:div w:id="159977208">
      <w:bodyDiv w:val="1"/>
      <w:marLeft w:val="0"/>
      <w:marRight w:val="0"/>
      <w:marTop w:val="0"/>
      <w:marBottom w:val="0"/>
      <w:divBdr>
        <w:top w:val="none" w:sz="0" w:space="0" w:color="auto"/>
        <w:left w:val="none" w:sz="0" w:space="0" w:color="auto"/>
        <w:bottom w:val="none" w:sz="0" w:space="0" w:color="auto"/>
        <w:right w:val="none" w:sz="0" w:space="0" w:color="auto"/>
      </w:divBdr>
    </w:div>
    <w:div w:id="160003789">
      <w:bodyDiv w:val="1"/>
      <w:marLeft w:val="0"/>
      <w:marRight w:val="0"/>
      <w:marTop w:val="0"/>
      <w:marBottom w:val="0"/>
      <w:divBdr>
        <w:top w:val="none" w:sz="0" w:space="0" w:color="auto"/>
        <w:left w:val="none" w:sz="0" w:space="0" w:color="auto"/>
        <w:bottom w:val="none" w:sz="0" w:space="0" w:color="auto"/>
        <w:right w:val="none" w:sz="0" w:space="0" w:color="auto"/>
      </w:divBdr>
    </w:div>
    <w:div w:id="160198334">
      <w:bodyDiv w:val="1"/>
      <w:marLeft w:val="0"/>
      <w:marRight w:val="0"/>
      <w:marTop w:val="0"/>
      <w:marBottom w:val="0"/>
      <w:divBdr>
        <w:top w:val="none" w:sz="0" w:space="0" w:color="auto"/>
        <w:left w:val="none" w:sz="0" w:space="0" w:color="auto"/>
        <w:bottom w:val="none" w:sz="0" w:space="0" w:color="auto"/>
        <w:right w:val="none" w:sz="0" w:space="0" w:color="auto"/>
      </w:divBdr>
    </w:div>
    <w:div w:id="160199765">
      <w:bodyDiv w:val="1"/>
      <w:marLeft w:val="0"/>
      <w:marRight w:val="0"/>
      <w:marTop w:val="0"/>
      <w:marBottom w:val="0"/>
      <w:divBdr>
        <w:top w:val="none" w:sz="0" w:space="0" w:color="auto"/>
        <w:left w:val="none" w:sz="0" w:space="0" w:color="auto"/>
        <w:bottom w:val="none" w:sz="0" w:space="0" w:color="auto"/>
        <w:right w:val="none" w:sz="0" w:space="0" w:color="auto"/>
      </w:divBdr>
    </w:div>
    <w:div w:id="160200185">
      <w:bodyDiv w:val="1"/>
      <w:marLeft w:val="0"/>
      <w:marRight w:val="0"/>
      <w:marTop w:val="0"/>
      <w:marBottom w:val="0"/>
      <w:divBdr>
        <w:top w:val="none" w:sz="0" w:space="0" w:color="auto"/>
        <w:left w:val="none" w:sz="0" w:space="0" w:color="auto"/>
        <w:bottom w:val="none" w:sz="0" w:space="0" w:color="auto"/>
        <w:right w:val="none" w:sz="0" w:space="0" w:color="auto"/>
      </w:divBdr>
    </w:div>
    <w:div w:id="160242167">
      <w:bodyDiv w:val="1"/>
      <w:marLeft w:val="0"/>
      <w:marRight w:val="0"/>
      <w:marTop w:val="0"/>
      <w:marBottom w:val="0"/>
      <w:divBdr>
        <w:top w:val="none" w:sz="0" w:space="0" w:color="auto"/>
        <w:left w:val="none" w:sz="0" w:space="0" w:color="auto"/>
        <w:bottom w:val="none" w:sz="0" w:space="0" w:color="auto"/>
        <w:right w:val="none" w:sz="0" w:space="0" w:color="auto"/>
      </w:divBdr>
    </w:div>
    <w:div w:id="160313472">
      <w:bodyDiv w:val="1"/>
      <w:marLeft w:val="0"/>
      <w:marRight w:val="0"/>
      <w:marTop w:val="0"/>
      <w:marBottom w:val="0"/>
      <w:divBdr>
        <w:top w:val="none" w:sz="0" w:space="0" w:color="auto"/>
        <w:left w:val="none" w:sz="0" w:space="0" w:color="auto"/>
        <w:bottom w:val="none" w:sz="0" w:space="0" w:color="auto"/>
        <w:right w:val="none" w:sz="0" w:space="0" w:color="auto"/>
      </w:divBdr>
    </w:div>
    <w:div w:id="160390897">
      <w:bodyDiv w:val="1"/>
      <w:marLeft w:val="0"/>
      <w:marRight w:val="0"/>
      <w:marTop w:val="0"/>
      <w:marBottom w:val="0"/>
      <w:divBdr>
        <w:top w:val="none" w:sz="0" w:space="0" w:color="auto"/>
        <w:left w:val="none" w:sz="0" w:space="0" w:color="auto"/>
        <w:bottom w:val="none" w:sz="0" w:space="0" w:color="auto"/>
        <w:right w:val="none" w:sz="0" w:space="0" w:color="auto"/>
      </w:divBdr>
    </w:div>
    <w:div w:id="160660681">
      <w:bodyDiv w:val="1"/>
      <w:marLeft w:val="0"/>
      <w:marRight w:val="0"/>
      <w:marTop w:val="0"/>
      <w:marBottom w:val="0"/>
      <w:divBdr>
        <w:top w:val="none" w:sz="0" w:space="0" w:color="auto"/>
        <w:left w:val="none" w:sz="0" w:space="0" w:color="auto"/>
        <w:bottom w:val="none" w:sz="0" w:space="0" w:color="auto"/>
        <w:right w:val="none" w:sz="0" w:space="0" w:color="auto"/>
      </w:divBdr>
    </w:div>
    <w:div w:id="161093864">
      <w:bodyDiv w:val="1"/>
      <w:marLeft w:val="0"/>
      <w:marRight w:val="0"/>
      <w:marTop w:val="0"/>
      <w:marBottom w:val="0"/>
      <w:divBdr>
        <w:top w:val="none" w:sz="0" w:space="0" w:color="auto"/>
        <w:left w:val="none" w:sz="0" w:space="0" w:color="auto"/>
        <w:bottom w:val="none" w:sz="0" w:space="0" w:color="auto"/>
        <w:right w:val="none" w:sz="0" w:space="0" w:color="auto"/>
      </w:divBdr>
    </w:div>
    <w:div w:id="161163168">
      <w:bodyDiv w:val="1"/>
      <w:marLeft w:val="0"/>
      <w:marRight w:val="0"/>
      <w:marTop w:val="0"/>
      <w:marBottom w:val="0"/>
      <w:divBdr>
        <w:top w:val="none" w:sz="0" w:space="0" w:color="auto"/>
        <w:left w:val="none" w:sz="0" w:space="0" w:color="auto"/>
        <w:bottom w:val="none" w:sz="0" w:space="0" w:color="auto"/>
        <w:right w:val="none" w:sz="0" w:space="0" w:color="auto"/>
      </w:divBdr>
    </w:div>
    <w:div w:id="161164290">
      <w:bodyDiv w:val="1"/>
      <w:marLeft w:val="0"/>
      <w:marRight w:val="0"/>
      <w:marTop w:val="0"/>
      <w:marBottom w:val="0"/>
      <w:divBdr>
        <w:top w:val="none" w:sz="0" w:space="0" w:color="auto"/>
        <w:left w:val="none" w:sz="0" w:space="0" w:color="auto"/>
        <w:bottom w:val="none" w:sz="0" w:space="0" w:color="auto"/>
        <w:right w:val="none" w:sz="0" w:space="0" w:color="auto"/>
      </w:divBdr>
    </w:div>
    <w:div w:id="161167954">
      <w:bodyDiv w:val="1"/>
      <w:marLeft w:val="0"/>
      <w:marRight w:val="0"/>
      <w:marTop w:val="0"/>
      <w:marBottom w:val="0"/>
      <w:divBdr>
        <w:top w:val="none" w:sz="0" w:space="0" w:color="auto"/>
        <w:left w:val="none" w:sz="0" w:space="0" w:color="auto"/>
        <w:bottom w:val="none" w:sz="0" w:space="0" w:color="auto"/>
        <w:right w:val="none" w:sz="0" w:space="0" w:color="auto"/>
      </w:divBdr>
    </w:div>
    <w:div w:id="161237697">
      <w:bodyDiv w:val="1"/>
      <w:marLeft w:val="0"/>
      <w:marRight w:val="0"/>
      <w:marTop w:val="0"/>
      <w:marBottom w:val="0"/>
      <w:divBdr>
        <w:top w:val="none" w:sz="0" w:space="0" w:color="auto"/>
        <w:left w:val="none" w:sz="0" w:space="0" w:color="auto"/>
        <w:bottom w:val="none" w:sz="0" w:space="0" w:color="auto"/>
        <w:right w:val="none" w:sz="0" w:space="0" w:color="auto"/>
      </w:divBdr>
    </w:div>
    <w:div w:id="161286023">
      <w:bodyDiv w:val="1"/>
      <w:marLeft w:val="0"/>
      <w:marRight w:val="0"/>
      <w:marTop w:val="0"/>
      <w:marBottom w:val="0"/>
      <w:divBdr>
        <w:top w:val="none" w:sz="0" w:space="0" w:color="auto"/>
        <w:left w:val="none" w:sz="0" w:space="0" w:color="auto"/>
        <w:bottom w:val="none" w:sz="0" w:space="0" w:color="auto"/>
        <w:right w:val="none" w:sz="0" w:space="0" w:color="auto"/>
      </w:divBdr>
    </w:div>
    <w:div w:id="161360544">
      <w:bodyDiv w:val="1"/>
      <w:marLeft w:val="0"/>
      <w:marRight w:val="0"/>
      <w:marTop w:val="0"/>
      <w:marBottom w:val="0"/>
      <w:divBdr>
        <w:top w:val="none" w:sz="0" w:space="0" w:color="auto"/>
        <w:left w:val="none" w:sz="0" w:space="0" w:color="auto"/>
        <w:bottom w:val="none" w:sz="0" w:space="0" w:color="auto"/>
        <w:right w:val="none" w:sz="0" w:space="0" w:color="auto"/>
      </w:divBdr>
    </w:div>
    <w:div w:id="161820678">
      <w:bodyDiv w:val="1"/>
      <w:marLeft w:val="0"/>
      <w:marRight w:val="0"/>
      <w:marTop w:val="0"/>
      <w:marBottom w:val="0"/>
      <w:divBdr>
        <w:top w:val="none" w:sz="0" w:space="0" w:color="auto"/>
        <w:left w:val="none" w:sz="0" w:space="0" w:color="auto"/>
        <w:bottom w:val="none" w:sz="0" w:space="0" w:color="auto"/>
        <w:right w:val="none" w:sz="0" w:space="0" w:color="auto"/>
      </w:divBdr>
    </w:div>
    <w:div w:id="161967187">
      <w:bodyDiv w:val="1"/>
      <w:marLeft w:val="0"/>
      <w:marRight w:val="0"/>
      <w:marTop w:val="0"/>
      <w:marBottom w:val="0"/>
      <w:divBdr>
        <w:top w:val="none" w:sz="0" w:space="0" w:color="auto"/>
        <w:left w:val="none" w:sz="0" w:space="0" w:color="auto"/>
        <w:bottom w:val="none" w:sz="0" w:space="0" w:color="auto"/>
        <w:right w:val="none" w:sz="0" w:space="0" w:color="auto"/>
      </w:divBdr>
    </w:div>
    <w:div w:id="162088674">
      <w:bodyDiv w:val="1"/>
      <w:marLeft w:val="0"/>
      <w:marRight w:val="0"/>
      <w:marTop w:val="0"/>
      <w:marBottom w:val="0"/>
      <w:divBdr>
        <w:top w:val="none" w:sz="0" w:space="0" w:color="auto"/>
        <w:left w:val="none" w:sz="0" w:space="0" w:color="auto"/>
        <w:bottom w:val="none" w:sz="0" w:space="0" w:color="auto"/>
        <w:right w:val="none" w:sz="0" w:space="0" w:color="auto"/>
      </w:divBdr>
    </w:div>
    <w:div w:id="162090029">
      <w:bodyDiv w:val="1"/>
      <w:marLeft w:val="0"/>
      <w:marRight w:val="0"/>
      <w:marTop w:val="0"/>
      <w:marBottom w:val="0"/>
      <w:divBdr>
        <w:top w:val="none" w:sz="0" w:space="0" w:color="auto"/>
        <w:left w:val="none" w:sz="0" w:space="0" w:color="auto"/>
        <w:bottom w:val="none" w:sz="0" w:space="0" w:color="auto"/>
        <w:right w:val="none" w:sz="0" w:space="0" w:color="auto"/>
      </w:divBdr>
    </w:div>
    <w:div w:id="162165476">
      <w:bodyDiv w:val="1"/>
      <w:marLeft w:val="0"/>
      <w:marRight w:val="0"/>
      <w:marTop w:val="0"/>
      <w:marBottom w:val="0"/>
      <w:divBdr>
        <w:top w:val="none" w:sz="0" w:space="0" w:color="auto"/>
        <w:left w:val="none" w:sz="0" w:space="0" w:color="auto"/>
        <w:bottom w:val="none" w:sz="0" w:space="0" w:color="auto"/>
        <w:right w:val="none" w:sz="0" w:space="0" w:color="auto"/>
      </w:divBdr>
    </w:div>
    <w:div w:id="162166295">
      <w:bodyDiv w:val="1"/>
      <w:marLeft w:val="0"/>
      <w:marRight w:val="0"/>
      <w:marTop w:val="0"/>
      <w:marBottom w:val="0"/>
      <w:divBdr>
        <w:top w:val="none" w:sz="0" w:space="0" w:color="auto"/>
        <w:left w:val="none" w:sz="0" w:space="0" w:color="auto"/>
        <w:bottom w:val="none" w:sz="0" w:space="0" w:color="auto"/>
        <w:right w:val="none" w:sz="0" w:space="0" w:color="auto"/>
      </w:divBdr>
    </w:div>
    <w:div w:id="162398769">
      <w:bodyDiv w:val="1"/>
      <w:marLeft w:val="0"/>
      <w:marRight w:val="0"/>
      <w:marTop w:val="0"/>
      <w:marBottom w:val="0"/>
      <w:divBdr>
        <w:top w:val="none" w:sz="0" w:space="0" w:color="auto"/>
        <w:left w:val="none" w:sz="0" w:space="0" w:color="auto"/>
        <w:bottom w:val="none" w:sz="0" w:space="0" w:color="auto"/>
        <w:right w:val="none" w:sz="0" w:space="0" w:color="auto"/>
      </w:divBdr>
    </w:div>
    <w:div w:id="162596885">
      <w:bodyDiv w:val="1"/>
      <w:marLeft w:val="0"/>
      <w:marRight w:val="0"/>
      <w:marTop w:val="0"/>
      <w:marBottom w:val="0"/>
      <w:divBdr>
        <w:top w:val="none" w:sz="0" w:space="0" w:color="auto"/>
        <w:left w:val="none" w:sz="0" w:space="0" w:color="auto"/>
        <w:bottom w:val="none" w:sz="0" w:space="0" w:color="auto"/>
        <w:right w:val="none" w:sz="0" w:space="0" w:color="auto"/>
      </w:divBdr>
    </w:div>
    <w:div w:id="162863195">
      <w:bodyDiv w:val="1"/>
      <w:marLeft w:val="0"/>
      <w:marRight w:val="0"/>
      <w:marTop w:val="0"/>
      <w:marBottom w:val="0"/>
      <w:divBdr>
        <w:top w:val="none" w:sz="0" w:space="0" w:color="auto"/>
        <w:left w:val="none" w:sz="0" w:space="0" w:color="auto"/>
        <w:bottom w:val="none" w:sz="0" w:space="0" w:color="auto"/>
        <w:right w:val="none" w:sz="0" w:space="0" w:color="auto"/>
      </w:divBdr>
    </w:div>
    <w:div w:id="162933757">
      <w:bodyDiv w:val="1"/>
      <w:marLeft w:val="0"/>
      <w:marRight w:val="0"/>
      <w:marTop w:val="0"/>
      <w:marBottom w:val="0"/>
      <w:divBdr>
        <w:top w:val="none" w:sz="0" w:space="0" w:color="auto"/>
        <w:left w:val="none" w:sz="0" w:space="0" w:color="auto"/>
        <w:bottom w:val="none" w:sz="0" w:space="0" w:color="auto"/>
        <w:right w:val="none" w:sz="0" w:space="0" w:color="auto"/>
      </w:divBdr>
    </w:div>
    <w:div w:id="162936026">
      <w:bodyDiv w:val="1"/>
      <w:marLeft w:val="0"/>
      <w:marRight w:val="0"/>
      <w:marTop w:val="0"/>
      <w:marBottom w:val="0"/>
      <w:divBdr>
        <w:top w:val="none" w:sz="0" w:space="0" w:color="auto"/>
        <w:left w:val="none" w:sz="0" w:space="0" w:color="auto"/>
        <w:bottom w:val="none" w:sz="0" w:space="0" w:color="auto"/>
        <w:right w:val="none" w:sz="0" w:space="0" w:color="auto"/>
      </w:divBdr>
    </w:div>
    <w:div w:id="162942343">
      <w:bodyDiv w:val="1"/>
      <w:marLeft w:val="0"/>
      <w:marRight w:val="0"/>
      <w:marTop w:val="0"/>
      <w:marBottom w:val="0"/>
      <w:divBdr>
        <w:top w:val="none" w:sz="0" w:space="0" w:color="auto"/>
        <w:left w:val="none" w:sz="0" w:space="0" w:color="auto"/>
        <w:bottom w:val="none" w:sz="0" w:space="0" w:color="auto"/>
        <w:right w:val="none" w:sz="0" w:space="0" w:color="auto"/>
      </w:divBdr>
    </w:div>
    <w:div w:id="163011283">
      <w:bodyDiv w:val="1"/>
      <w:marLeft w:val="0"/>
      <w:marRight w:val="0"/>
      <w:marTop w:val="0"/>
      <w:marBottom w:val="0"/>
      <w:divBdr>
        <w:top w:val="none" w:sz="0" w:space="0" w:color="auto"/>
        <w:left w:val="none" w:sz="0" w:space="0" w:color="auto"/>
        <w:bottom w:val="none" w:sz="0" w:space="0" w:color="auto"/>
        <w:right w:val="none" w:sz="0" w:space="0" w:color="auto"/>
      </w:divBdr>
    </w:div>
    <w:div w:id="163207989">
      <w:bodyDiv w:val="1"/>
      <w:marLeft w:val="0"/>
      <w:marRight w:val="0"/>
      <w:marTop w:val="0"/>
      <w:marBottom w:val="0"/>
      <w:divBdr>
        <w:top w:val="none" w:sz="0" w:space="0" w:color="auto"/>
        <w:left w:val="none" w:sz="0" w:space="0" w:color="auto"/>
        <w:bottom w:val="none" w:sz="0" w:space="0" w:color="auto"/>
        <w:right w:val="none" w:sz="0" w:space="0" w:color="auto"/>
      </w:divBdr>
    </w:div>
    <w:div w:id="163208829">
      <w:bodyDiv w:val="1"/>
      <w:marLeft w:val="0"/>
      <w:marRight w:val="0"/>
      <w:marTop w:val="0"/>
      <w:marBottom w:val="0"/>
      <w:divBdr>
        <w:top w:val="none" w:sz="0" w:space="0" w:color="auto"/>
        <w:left w:val="none" w:sz="0" w:space="0" w:color="auto"/>
        <w:bottom w:val="none" w:sz="0" w:space="0" w:color="auto"/>
        <w:right w:val="none" w:sz="0" w:space="0" w:color="auto"/>
      </w:divBdr>
    </w:div>
    <w:div w:id="163252572">
      <w:bodyDiv w:val="1"/>
      <w:marLeft w:val="0"/>
      <w:marRight w:val="0"/>
      <w:marTop w:val="0"/>
      <w:marBottom w:val="0"/>
      <w:divBdr>
        <w:top w:val="none" w:sz="0" w:space="0" w:color="auto"/>
        <w:left w:val="none" w:sz="0" w:space="0" w:color="auto"/>
        <w:bottom w:val="none" w:sz="0" w:space="0" w:color="auto"/>
        <w:right w:val="none" w:sz="0" w:space="0" w:color="auto"/>
      </w:divBdr>
    </w:div>
    <w:div w:id="163279968">
      <w:bodyDiv w:val="1"/>
      <w:marLeft w:val="0"/>
      <w:marRight w:val="0"/>
      <w:marTop w:val="0"/>
      <w:marBottom w:val="0"/>
      <w:divBdr>
        <w:top w:val="none" w:sz="0" w:space="0" w:color="auto"/>
        <w:left w:val="none" w:sz="0" w:space="0" w:color="auto"/>
        <w:bottom w:val="none" w:sz="0" w:space="0" w:color="auto"/>
        <w:right w:val="none" w:sz="0" w:space="0" w:color="auto"/>
      </w:divBdr>
    </w:div>
    <w:div w:id="163399913">
      <w:bodyDiv w:val="1"/>
      <w:marLeft w:val="0"/>
      <w:marRight w:val="0"/>
      <w:marTop w:val="0"/>
      <w:marBottom w:val="0"/>
      <w:divBdr>
        <w:top w:val="none" w:sz="0" w:space="0" w:color="auto"/>
        <w:left w:val="none" w:sz="0" w:space="0" w:color="auto"/>
        <w:bottom w:val="none" w:sz="0" w:space="0" w:color="auto"/>
        <w:right w:val="none" w:sz="0" w:space="0" w:color="auto"/>
      </w:divBdr>
    </w:div>
    <w:div w:id="163474875">
      <w:bodyDiv w:val="1"/>
      <w:marLeft w:val="0"/>
      <w:marRight w:val="0"/>
      <w:marTop w:val="0"/>
      <w:marBottom w:val="0"/>
      <w:divBdr>
        <w:top w:val="none" w:sz="0" w:space="0" w:color="auto"/>
        <w:left w:val="none" w:sz="0" w:space="0" w:color="auto"/>
        <w:bottom w:val="none" w:sz="0" w:space="0" w:color="auto"/>
        <w:right w:val="none" w:sz="0" w:space="0" w:color="auto"/>
      </w:divBdr>
    </w:div>
    <w:div w:id="163522235">
      <w:bodyDiv w:val="1"/>
      <w:marLeft w:val="0"/>
      <w:marRight w:val="0"/>
      <w:marTop w:val="0"/>
      <w:marBottom w:val="0"/>
      <w:divBdr>
        <w:top w:val="none" w:sz="0" w:space="0" w:color="auto"/>
        <w:left w:val="none" w:sz="0" w:space="0" w:color="auto"/>
        <w:bottom w:val="none" w:sz="0" w:space="0" w:color="auto"/>
        <w:right w:val="none" w:sz="0" w:space="0" w:color="auto"/>
      </w:divBdr>
    </w:div>
    <w:div w:id="163597153">
      <w:bodyDiv w:val="1"/>
      <w:marLeft w:val="0"/>
      <w:marRight w:val="0"/>
      <w:marTop w:val="0"/>
      <w:marBottom w:val="0"/>
      <w:divBdr>
        <w:top w:val="none" w:sz="0" w:space="0" w:color="auto"/>
        <w:left w:val="none" w:sz="0" w:space="0" w:color="auto"/>
        <w:bottom w:val="none" w:sz="0" w:space="0" w:color="auto"/>
        <w:right w:val="none" w:sz="0" w:space="0" w:color="auto"/>
      </w:divBdr>
    </w:div>
    <w:div w:id="163790263">
      <w:bodyDiv w:val="1"/>
      <w:marLeft w:val="0"/>
      <w:marRight w:val="0"/>
      <w:marTop w:val="0"/>
      <w:marBottom w:val="0"/>
      <w:divBdr>
        <w:top w:val="none" w:sz="0" w:space="0" w:color="auto"/>
        <w:left w:val="none" w:sz="0" w:space="0" w:color="auto"/>
        <w:bottom w:val="none" w:sz="0" w:space="0" w:color="auto"/>
        <w:right w:val="none" w:sz="0" w:space="0" w:color="auto"/>
      </w:divBdr>
    </w:div>
    <w:div w:id="163857316">
      <w:bodyDiv w:val="1"/>
      <w:marLeft w:val="0"/>
      <w:marRight w:val="0"/>
      <w:marTop w:val="0"/>
      <w:marBottom w:val="0"/>
      <w:divBdr>
        <w:top w:val="none" w:sz="0" w:space="0" w:color="auto"/>
        <w:left w:val="none" w:sz="0" w:space="0" w:color="auto"/>
        <w:bottom w:val="none" w:sz="0" w:space="0" w:color="auto"/>
        <w:right w:val="none" w:sz="0" w:space="0" w:color="auto"/>
      </w:divBdr>
    </w:div>
    <w:div w:id="163934375">
      <w:bodyDiv w:val="1"/>
      <w:marLeft w:val="0"/>
      <w:marRight w:val="0"/>
      <w:marTop w:val="0"/>
      <w:marBottom w:val="0"/>
      <w:divBdr>
        <w:top w:val="none" w:sz="0" w:space="0" w:color="auto"/>
        <w:left w:val="none" w:sz="0" w:space="0" w:color="auto"/>
        <w:bottom w:val="none" w:sz="0" w:space="0" w:color="auto"/>
        <w:right w:val="none" w:sz="0" w:space="0" w:color="auto"/>
      </w:divBdr>
    </w:div>
    <w:div w:id="164131928">
      <w:bodyDiv w:val="1"/>
      <w:marLeft w:val="0"/>
      <w:marRight w:val="0"/>
      <w:marTop w:val="0"/>
      <w:marBottom w:val="0"/>
      <w:divBdr>
        <w:top w:val="none" w:sz="0" w:space="0" w:color="auto"/>
        <w:left w:val="none" w:sz="0" w:space="0" w:color="auto"/>
        <w:bottom w:val="none" w:sz="0" w:space="0" w:color="auto"/>
        <w:right w:val="none" w:sz="0" w:space="0" w:color="auto"/>
      </w:divBdr>
    </w:div>
    <w:div w:id="164172978">
      <w:bodyDiv w:val="1"/>
      <w:marLeft w:val="0"/>
      <w:marRight w:val="0"/>
      <w:marTop w:val="0"/>
      <w:marBottom w:val="0"/>
      <w:divBdr>
        <w:top w:val="none" w:sz="0" w:space="0" w:color="auto"/>
        <w:left w:val="none" w:sz="0" w:space="0" w:color="auto"/>
        <w:bottom w:val="none" w:sz="0" w:space="0" w:color="auto"/>
        <w:right w:val="none" w:sz="0" w:space="0" w:color="auto"/>
      </w:divBdr>
    </w:div>
    <w:div w:id="164249796">
      <w:bodyDiv w:val="1"/>
      <w:marLeft w:val="0"/>
      <w:marRight w:val="0"/>
      <w:marTop w:val="0"/>
      <w:marBottom w:val="0"/>
      <w:divBdr>
        <w:top w:val="none" w:sz="0" w:space="0" w:color="auto"/>
        <w:left w:val="none" w:sz="0" w:space="0" w:color="auto"/>
        <w:bottom w:val="none" w:sz="0" w:space="0" w:color="auto"/>
        <w:right w:val="none" w:sz="0" w:space="0" w:color="auto"/>
      </w:divBdr>
    </w:div>
    <w:div w:id="164324766">
      <w:bodyDiv w:val="1"/>
      <w:marLeft w:val="0"/>
      <w:marRight w:val="0"/>
      <w:marTop w:val="0"/>
      <w:marBottom w:val="0"/>
      <w:divBdr>
        <w:top w:val="none" w:sz="0" w:space="0" w:color="auto"/>
        <w:left w:val="none" w:sz="0" w:space="0" w:color="auto"/>
        <w:bottom w:val="none" w:sz="0" w:space="0" w:color="auto"/>
        <w:right w:val="none" w:sz="0" w:space="0" w:color="auto"/>
      </w:divBdr>
    </w:div>
    <w:div w:id="164325992">
      <w:bodyDiv w:val="1"/>
      <w:marLeft w:val="0"/>
      <w:marRight w:val="0"/>
      <w:marTop w:val="0"/>
      <w:marBottom w:val="0"/>
      <w:divBdr>
        <w:top w:val="none" w:sz="0" w:space="0" w:color="auto"/>
        <w:left w:val="none" w:sz="0" w:space="0" w:color="auto"/>
        <w:bottom w:val="none" w:sz="0" w:space="0" w:color="auto"/>
        <w:right w:val="none" w:sz="0" w:space="0" w:color="auto"/>
      </w:divBdr>
    </w:div>
    <w:div w:id="164364909">
      <w:bodyDiv w:val="1"/>
      <w:marLeft w:val="0"/>
      <w:marRight w:val="0"/>
      <w:marTop w:val="0"/>
      <w:marBottom w:val="0"/>
      <w:divBdr>
        <w:top w:val="none" w:sz="0" w:space="0" w:color="auto"/>
        <w:left w:val="none" w:sz="0" w:space="0" w:color="auto"/>
        <w:bottom w:val="none" w:sz="0" w:space="0" w:color="auto"/>
        <w:right w:val="none" w:sz="0" w:space="0" w:color="auto"/>
      </w:divBdr>
    </w:div>
    <w:div w:id="164366708">
      <w:bodyDiv w:val="1"/>
      <w:marLeft w:val="0"/>
      <w:marRight w:val="0"/>
      <w:marTop w:val="0"/>
      <w:marBottom w:val="0"/>
      <w:divBdr>
        <w:top w:val="none" w:sz="0" w:space="0" w:color="auto"/>
        <w:left w:val="none" w:sz="0" w:space="0" w:color="auto"/>
        <w:bottom w:val="none" w:sz="0" w:space="0" w:color="auto"/>
        <w:right w:val="none" w:sz="0" w:space="0" w:color="auto"/>
      </w:divBdr>
    </w:div>
    <w:div w:id="164446180">
      <w:bodyDiv w:val="1"/>
      <w:marLeft w:val="0"/>
      <w:marRight w:val="0"/>
      <w:marTop w:val="0"/>
      <w:marBottom w:val="0"/>
      <w:divBdr>
        <w:top w:val="none" w:sz="0" w:space="0" w:color="auto"/>
        <w:left w:val="none" w:sz="0" w:space="0" w:color="auto"/>
        <w:bottom w:val="none" w:sz="0" w:space="0" w:color="auto"/>
        <w:right w:val="none" w:sz="0" w:space="0" w:color="auto"/>
      </w:divBdr>
    </w:div>
    <w:div w:id="164512221">
      <w:bodyDiv w:val="1"/>
      <w:marLeft w:val="0"/>
      <w:marRight w:val="0"/>
      <w:marTop w:val="0"/>
      <w:marBottom w:val="0"/>
      <w:divBdr>
        <w:top w:val="none" w:sz="0" w:space="0" w:color="auto"/>
        <w:left w:val="none" w:sz="0" w:space="0" w:color="auto"/>
        <w:bottom w:val="none" w:sz="0" w:space="0" w:color="auto"/>
        <w:right w:val="none" w:sz="0" w:space="0" w:color="auto"/>
      </w:divBdr>
    </w:div>
    <w:div w:id="164563097">
      <w:bodyDiv w:val="1"/>
      <w:marLeft w:val="0"/>
      <w:marRight w:val="0"/>
      <w:marTop w:val="0"/>
      <w:marBottom w:val="0"/>
      <w:divBdr>
        <w:top w:val="none" w:sz="0" w:space="0" w:color="auto"/>
        <w:left w:val="none" w:sz="0" w:space="0" w:color="auto"/>
        <w:bottom w:val="none" w:sz="0" w:space="0" w:color="auto"/>
        <w:right w:val="none" w:sz="0" w:space="0" w:color="auto"/>
      </w:divBdr>
    </w:div>
    <w:div w:id="164563866">
      <w:bodyDiv w:val="1"/>
      <w:marLeft w:val="0"/>
      <w:marRight w:val="0"/>
      <w:marTop w:val="0"/>
      <w:marBottom w:val="0"/>
      <w:divBdr>
        <w:top w:val="none" w:sz="0" w:space="0" w:color="auto"/>
        <w:left w:val="none" w:sz="0" w:space="0" w:color="auto"/>
        <w:bottom w:val="none" w:sz="0" w:space="0" w:color="auto"/>
        <w:right w:val="none" w:sz="0" w:space="0" w:color="auto"/>
      </w:divBdr>
    </w:div>
    <w:div w:id="164707607">
      <w:bodyDiv w:val="1"/>
      <w:marLeft w:val="0"/>
      <w:marRight w:val="0"/>
      <w:marTop w:val="0"/>
      <w:marBottom w:val="0"/>
      <w:divBdr>
        <w:top w:val="none" w:sz="0" w:space="0" w:color="auto"/>
        <w:left w:val="none" w:sz="0" w:space="0" w:color="auto"/>
        <w:bottom w:val="none" w:sz="0" w:space="0" w:color="auto"/>
        <w:right w:val="none" w:sz="0" w:space="0" w:color="auto"/>
      </w:divBdr>
    </w:div>
    <w:div w:id="164826661">
      <w:bodyDiv w:val="1"/>
      <w:marLeft w:val="0"/>
      <w:marRight w:val="0"/>
      <w:marTop w:val="0"/>
      <w:marBottom w:val="0"/>
      <w:divBdr>
        <w:top w:val="none" w:sz="0" w:space="0" w:color="auto"/>
        <w:left w:val="none" w:sz="0" w:space="0" w:color="auto"/>
        <w:bottom w:val="none" w:sz="0" w:space="0" w:color="auto"/>
        <w:right w:val="none" w:sz="0" w:space="0" w:color="auto"/>
      </w:divBdr>
    </w:div>
    <w:div w:id="164903875">
      <w:bodyDiv w:val="1"/>
      <w:marLeft w:val="0"/>
      <w:marRight w:val="0"/>
      <w:marTop w:val="0"/>
      <w:marBottom w:val="0"/>
      <w:divBdr>
        <w:top w:val="none" w:sz="0" w:space="0" w:color="auto"/>
        <w:left w:val="none" w:sz="0" w:space="0" w:color="auto"/>
        <w:bottom w:val="none" w:sz="0" w:space="0" w:color="auto"/>
        <w:right w:val="none" w:sz="0" w:space="0" w:color="auto"/>
      </w:divBdr>
    </w:div>
    <w:div w:id="164979693">
      <w:bodyDiv w:val="1"/>
      <w:marLeft w:val="0"/>
      <w:marRight w:val="0"/>
      <w:marTop w:val="0"/>
      <w:marBottom w:val="0"/>
      <w:divBdr>
        <w:top w:val="none" w:sz="0" w:space="0" w:color="auto"/>
        <w:left w:val="none" w:sz="0" w:space="0" w:color="auto"/>
        <w:bottom w:val="none" w:sz="0" w:space="0" w:color="auto"/>
        <w:right w:val="none" w:sz="0" w:space="0" w:color="auto"/>
      </w:divBdr>
    </w:div>
    <w:div w:id="165095372">
      <w:bodyDiv w:val="1"/>
      <w:marLeft w:val="0"/>
      <w:marRight w:val="0"/>
      <w:marTop w:val="0"/>
      <w:marBottom w:val="0"/>
      <w:divBdr>
        <w:top w:val="none" w:sz="0" w:space="0" w:color="auto"/>
        <w:left w:val="none" w:sz="0" w:space="0" w:color="auto"/>
        <w:bottom w:val="none" w:sz="0" w:space="0" w:color="auto"/>
        <w:right w:val="none" w:sz="0" w:space="0" w:color="auto"/>
      </w:divBdr>
    </w:div>
    <w:div w:id="165440734">
      <w:bodyDiv w:val="1"/>
      <w:marLeft w:val="0"/>
      <w:marRight w:val="0"/>
      <w:marTop w:val="0"/>
      <w:marBottom w:val="0"/>
      <w:divBdr>
        <w:top w:val="none" w:sz="0" w:space="0" w:color="auto"/>
        <w:left w:val="none" w:sz="0" w:space="0" w:color="auto"/>
        <w:bottom w:val="none" w:sz="0" w:space="0" w:color="auto"/>
        <w:right w:val="none" w:sz="0" w:space="0" w:color="auto"/>
      </w:divBdr>
    </w:div>
    <w:div w:id="165485337">
      <w:bodyDiv w:val="1"/>
      <w:marLeft w:val="0"/>
      <w:marRight w:val="0"/>
      <w:marTop w:val="0"/>
      <w:marBottom w:val="0"/>
      <w:divBdr>
        <w:top w:val="none" w:sz="0" w:space="0" w:color="auto"/>
        <w:left w:val="none" w:sz="0" w:space="0" w:color="auto"/>
        <w:bottom w:val="none" w:sz="0" w:space="0" w:color="auto"/>
        <w:right w:val="none" w:sz="0" w:space="0" w:color="auto"/>
      </w:divBdr>
    </w:div>
    <w:div w:id="165562191">
      <w:bodyDiv w:val="1"/>
      <w:marLeft w:val="0"/>
      <w:marRight w:val="0"/>
      <w:marTop w:val="0"/>
      <w:marBottom w:val="0"/>
      <w:divBdr>
        <w:top w:val="none" w:sz="0" w:space="0" w:color="auto"/>
        <w:left w:val="none" w:sz="0" w:space="0" w:color="auto"/>
        <w:bottom w:val="none" w:sz="0" w:space="0" w:color="auto"/>
        <w:right w:val="none" w:sz="0" w:space="0" w:color="auto"/>
      </w:divBdr>
    </w:div>
    <w:div w:id="165678754">
      <w:bodyDiv w:val="1"/>
      <w:marLeft w:val="0"/>
      <w:marRight w:val="0"/>
      <w:marTop w:val="0"/>
      <w:marBottom w:val="0"/>
      <w:divBdr>
        <w:top w:val="none" w:sz="0" w:space="0" w:color="auto"/>
        <w:left w:val="none" w:sz="0" w:space="0" w:color="auto"/>
        <w:bottom w:val="none" w:sz="0" w:space="0" w:color="auto"/>
        <w:right w:val="none" w:sz="0" w:space="0" w:color="auto"/>
      </w:divBdr>
    </w:div>
    <w:div w:id="165681612">
      <w:bodyDiv w:val="1"/>
      <w:marLeft w:val="0"/>
      <w:marRight w:val="0"/>
      <w:marTop w:val="0"/>
      <w:marBottom w:val="0"/>
      <w:divBdr>
        <w:top w:val="none" w:sz="0" w:space="0" w:color="auto"/>
        <w:left w:val="none" w:sz="0" w:space="0" w:color="auto"/>
        <w:bottom w:val="none" w:sz="0" w:space="0" w:color="auto"/>
        <w:right w:val="none" w:sz="0" w:space="0" w:color="auto"/>
      </w:divBdr>
    </w:div>
    <w:div w:id="165681837">
      <w:bodyDiv w:val="1"/>
      <w:marLeft w:val="0"/>
      <w:marRight w:val="0"/>
      <w:marTop w:val="0"/>
      <w:marBottom w:val="0"/>
      <w:divBdr>
        <w:top w:val="none" w:sz="0" w:space="0" w:color="auto"/>
        <w:left w:val="none" w:sz="0" w:space="0" w:color="auto"/>
        <w:bottom w:val="none" w:sz="0" w:space="0" w:color="auto"/>
        <w:right w:val="none" w:sz="0" w:space="0" w:color="auto"/>
      </w:divBdr>
    </w:div>
    <w:div w:id="165706860">
      <w:bodyDiv w:val="1"/>
      <w:marLeft w:val="0"/>
      <w:marRight w:val="0"/>
      <w:marTop w:val="0"/>
      <w:marBottom w:val="0"/>
      <w:divBdr>
        <w:top w:val="none" w:sz="0" w:space="0" w:color="auto"/>
        <w:left w:val="none" w:sz="0" w:space="0" w:color="auto"/>
        <w:bottom w:val="none" w:sz="0" w:space="0" w:color="auto"/>
        <w:right w:val="none" w:sz="0" w:space="0" w:color="auto"/>
      </w:divBdr>
    </w:div>
    <w:div w:id="165749957">
      <w:bodyDiv w:val="1"/>
      <w:marLeft w:val="0"/>
      <w:marRight w:val="0"/>
      <w:marTop w:val="0"/>
      <w:marBottom w:val="0"/>
      <w:divBdr>
        <w:top w:val="none" w:sz="0" w:space="0" w:color="auto"/>
        <w:left w:val="none" w:sz="0" w:space="0" w:color="auto"/>
        <w:bottom w:val="none" w:sz="0" w:space="0" w:color="auto"/>
        <w:right w:val="none" w:sz="0" w:space="0" w:color="auto"/>
      </w:divBdr>
    </w:div>
    <w:div w:id="165750020">
      <w:bodyDiv w:val="1"/>
      <w:marLeft w:val="0"/>
      <w:marRight w:val="0"/>
      <w:marTop w:val="0"/>
      <w:marBottom w:val="0"/>
      <w:divBdr>
        <w:top w:val="none" w:sz="0" w:space="0" w:color="auto"/>
        <w:left w:val="none" w:sz="0" w:space="0" w:color="auto"/>
        <w:bottom w:val="none" w:sz="0" w:space="0" w:color="auto"/>
        <w:right w:val="none" w:sz="0" w:space="0" w:color="auto"/>
      </w:divBdr>
    </w:div>
    <w:div w:id="165751311">
      <w:bodyDiv w:val="1"/>
      <w:marLeft w:val="0"/>
      <w:marRight w:val="0"/>
      <w:marTop w:val="0"/>
      <w:marBottom w:val="0"/>
      <w:divBdr>
        <w:top w:val="none" w:sz="0" w:space="0" w:color="auto"/>
        <w:left w:val="none" w:sz="0" w:space="0" w:color="auto"/>
        <w:bottom w:val="none" w:sz="0" w:space="0" w:color="auto"/>
        <w:right w:val="none" w:sz="0" w:space="0" w:color="auto"/>
      </w:divBdr>
    </w:div>
    <w:div w:id="165756276">
      <w:bodyDiv w:val="1"/>
      <w:marLeft w:val="0"/>
      <w:marRight w:val="0"/>
      <w:marTop w:val="0"/>
      <w:marBottom w:val="0"/>
      <w:divBdr>
        <w:top w:val="none" w:sz="0" w:space="0" w:color="auto"/>
        <w:left w:val="none" w:sz="0" w:space="0" w:color="auto"/>
        <w:bottom w:val="none" w:sz="0" w:space="0" w:color="auto"/>
        <w:right w:val="none" w:sz="0" w:space="0" w:color="auto"/>
      </w:divBdr>
    </w:div>
    <w:div w:id="165824417">
      <w:bodyDiv w:val="1"/>
      <w:marLeft w:val="0"/>
      <w:marRight w:val="0"/>
      <w:marTop w:val="0"/>
      <w:marBottom w:val="0"/>
      <w:divBdr>
        <w:top w:val="none" w:sz="0" w:space="0" w:color="auto"/>
        <w:left w:val="none" w:sz="0" w:space="0" w:color="auto"/>
        <w:bottom w:val="none" w:sz="0" w:space="0" w:color="auto"/>
        <w:right w:val="none" w:sz="0" w:space="0" w:color="auto"/>
      </w:divBdr>
    </w:div>
    <w:div w:id="166096137">
      <w:bodyDiv w:val="1"/>
      <w:marLeft w:val="0"/>
      <w:marRight w:val="0"/>
      <w:marTop w:val="0"/>
      <w:marBottom w:val="0"/>
      <w:divBdr>
        <w:top w:val="none" w:sz="0" w:space="0" w:color="auto"/>
        <w:left w:val="none" w:sz="0" w:space="0" w:color="auto"/>
        <w:bottom w:val="none" w:sz="0" w:space="0" w:color="auto"/>
        <w:right w:val="none" w:sz="0" w:space="0" w:color="auto"/>
      </w:divBdr>
    </w:div>
    <w:div w:id="166137081">
      <w:bodyDiv w:val="1"/>
      <w:marLeft w:val="0"/>
      <w:marRight w:val="0"/>
      <w:marTop w:val="0"/>
      <w:marBottom w:val="0"/>
      <w:divBdr>
        <w:top w:val="none" w:sz="0" w:space="0" w:color="auto"/>
        <w:left w:val="none" w:sz="0" w:space="0" w:color="auto"/>
        <w:bottom w:val="none" w:sz="0" w:space="0" w:color="auto"/>
        <w:right w:val="none" w:sz="0" w:space="0" w:color="auto"/>
      </w:divBdr>
    </w:div>
    <w:div w:id="166140937">
      <w:bodyDiv w:val="1"/>
      <w:marLeft w:val="0"/>
      <w:marRight w:val="0"/>
      <w:marTop w:val="0"/>
      <w:marBottom w:val="0"/>
      <w:divBdr>
        <w:top w:val="none" w:sz="0" w:space="0" w:color="auto"/>
        <w:left w:val="none" w:sz="0" w:space="0" w:color="auto"/>
        <w:bottom w:val="none" w:sz="0" w:space="0" w:color="auto"/>
        <w:right w:val="none" w:sz="0" w:space="0" w:color="auto"/>
      </w:divBdr>
    </w:div>
    <w:div w:id="166215590">
      <w:bodyDiv w:val="1"/>
      <w:marLeft w:val="0"/>
      <w:marRight w:val="0"/>
      <w:marTop w:val="0"/>
      <w:marBottom w:val="0"/>
      <w:divBdr>
        <w:top w:val="none" w:sz="0" w:space="0" w:color="auto"/>
        <w:left w:val="none" w:sz="0" w:space="0" w:color="auto"/>
        <w:bottom w:val="none" w:sz="0" w:space="0" w:color="auto"/>
        <w:right w:val="none" w:sz="0" w:space="0" w:color="auto"/>
      </w:divBdr>
    </w:div>
    <w:div w:id="166528405">
      <w:bodyDiv w:val="1"/>
      <w:marLeft w:val="0"/>
      <w:marRight w:val="0"/>
      <w:marTop w:val="0"/>
      <w:marBottom w:val="0"/>
      <w:divBdr>
        <w:top w:val="none" w:sz="0" w:space="0" w:color="auto"/>
        <w:left w:val="none" w:sz="0" w:space="0" w:color="auto"/>
        <w:bottom w:val="none" w:sz="0" w:space="0" w:color="auto"/>
        <w:right w:val="none" w:sz="0" w:space="0" w:color="auto"/>
      </w:divBdr>
    </w:div>
    <w:div w:id="166555394">
      <w:bodyDiv w:val="1"/>
      <w:marLeft w:val="0"/>
      <w:marRight w:val="0"/>
      <w:marTop w:val="0"/>
      <w:marBottom w:val="0"/>
      <w:divBdr>
        <w:top w:val="none" w:sz="0" w:space="0" w:color="auto"/>
        <w:left w:val="none" w:sz="0" w:space="0" w:color="auto"/>
        <w:bottom w:val="none" w:sz="0" w:space="0" w:color="auto"/>
        <w:right w:val="none" w:sz="0" w:space="0" w:color="auto"/>
      </w:divBdr>
    </w:div>
    <w:div w:id="166602489">
      <w:bodyDiv w:val="1"/>
      <w:marLeft w:val="0"/>
      <w:marRight w:val="0"/>
      <w:marTop w:val="0"/>
      <w:marBottom w:val="0"/>
      <w:divBdr>
        <w:top w:val="none" w:sz="0" w:space="0" w:color="auto"/>
        <w:left w:val="none" w:sz="0" w:space="0" w:color="auto"/>
        <w:bottom w:val="none" w:sz="0" w:space="0" w:color="auto"/>
        <w:right w:val="none" w:sz="0" w:space="0" w:color="auto"/>
      </w:divBdr>
    </w:div>
    <w:div w:id="166604012">
      <w:bodyDiv w:val="1"/>
      <w:marLeft w:val="0"/>
      <w:marRight w:val="0"/>
      <w:marTop w:val="0"/>
      <w:marBottom w:val="0"/>
      <w:divBdr>
        <w:top w:val="none" w:sz="0" w:space="0" w:color="auto"/>
        <w:left w:val="none" w:sz="0" w:space="0" w:color="auto"/>
        <w:bottom w:val="none" w:sz="0" w:space="0" w:color="auto"/>
        <w:right w:val="none" w:sz="0" w:space="0" w:color="auto"/>
      </w:divBdr>
    </w:div>
    <w:div w:id="166605786">
      <w:bodyDiv w:val="1"/>
      <w:marLeft w:val="0"/>
      <w:marRight w:val="0"/>
      <w:marTop w:val="0"/>
      <w:marBottom w:val="0"/>
      <w:divBdr>
        <w:top w:val="none" w:sz="0" w:space="0" w:color="auto"/>
        <w:left w:val="none" w:sz="0" w:space="0" w:color="auto"/>
        <w:bottom w:val="none" w:sz="0" w:space="0" w:color="auto"/>
        <w:right w:val="none" w:sz="0" w:space="0" w:color="auto"/>
      </w:divBdr>
    </w:div>
    <w:div w:id="166792597">
      <w:bodyDiv w:val="1"/>
      <w:marLeft w:val="0"/>
      <w:marRight w:val="0"/>
      <w:marTop w:val="0"/>
      <w:marBottom w:val="0"/>
      <w:divBdr>
        <w:top w:val="none" w:sz="0" w:space="0" w:color="auto"/>
        <w:left w:val="none" w:sz="0" w:space="0" w:color="auto"/>
        <w:bottom w:val="none" w:sz="0" w:space="0" w:color="auto"/>
        <w:right w:val="none" w:sz="0" w:space="0" w:color="auto"/>
      </w:divBdr>
    </w:div>
    <w:div w:id="166870376">
      <w:bodyDiv w:val="1"/>
      <w:marLeft w:val="0"/>
      <w:marRight w:val="0"/>
      <w:marTop w:val="0"/>
      <w:marBottom w:val="0"/>
      <w:divBdr>
        <w:top w:val="none" w:sz="0" w:space="0" w:color="auto"/>
        <w:left w:val="none" w:sz="0" w:space="0" w:color="auto"/>
        <w:bottom w:val="none" w:sz="0" w:space="0" w:color="auto"/>
        <w:right w:val="none" w:sz="0" w:space="0" w:color="auto"/>
      </w:divBdr>
    </w:div>
    <w:div w:id="166943665">
      <w:bodyDiv w:val="1"/>
      <w:marLeft w:val="0"/>
      <w:marRight w:val="0"/>
      <w:marTop w:val="0"/>
      <w:marBottom w:val="0"/>
      <w:divBdr>
        <w:top w:val="none" w:sz="0" w:space="0" w:color="auto"/>
        <w:left w:val="none" w:sz="0" w:space="0" w:color="auto"/>
        <w:bottom w:val="none" w:sz="0" w:space="0" w:color="auto"/>
        <w:right w:val="none" w:sz="0" w:space="0" w:color="auto"/>
      </w:divBdr>
    </w:div>
    <w:div w:id="167015793">
      <w:bodyDiv w:val="1"/>
      <w:marLeft w:val="0"/>
      <w:marRight w:val="0"/>
      <w:marTop w:val="0"/>
      <w:marBottom w:val="0"/>
      <w:divBdr>
        <w:top w:val="none" w:sz="0" w:space="0" w:color="auto"/>
        <w:left w:val="none" w:sz="0" w:space="0" w:color="auto"/>
        <w:bottom w:val="none" w:sz="0" w:space="0" w:color="auto"/>
        <w:right w:val="none" w:sz="0" w:space="0" w:color="auto"/>
      </w:divBdr>
    </w:div>
    <w:div w:id="167059313">
      <w:bodyDiv w:val="1"/>
      <w:marLeft w:val="0"/>
      <w:marRight w:val="0"/>
      <w:marTop w:val="0"/>
      <w:marBottom w:val="0"/>
      <w:divBdr>
        <w:top w:val="none" w:sz="0" w:space="0" w:color="auto"/>
        <w:left w:val="none" w:sz="0" w:space="0" w:color="auto"/>
        <w:bottom w:val="none" w:sz="0" w:space="0" w:color="auto"/>
        <w:right w:val="none" w:sz="0" w:space="0" w:color="auto"/>
      </w:divBdr>
    </w:div>
    <w:div w:id="167064969">
      <w:bodyDiv w:val="1"/>
      <w:marLeft w:val="0"/>
      <w:marRight w:val="0"/>
      <w:marTop w:val="0"/>
      <w:marBottom w:val="0"/>
      <w:divBdr>
        <w:top w:val="none" w:sz="0" w:space="0" w:color="auto"/>
        <w:left w:val="none" w:sz="0" w:space="0" w:color="auto"/>
        <w:bottom w:val="none" w:sz="0" w:space="0" w:color="auto"/>
        <w:right w:val="none" w:sz="0" w:space="0" w:color="auto"/>
      </w:divBdr>
    </w:div>
    <w:div w:id="167140864">
      <w:bodyDiv w:val="1"/>
      <w:marLeft w:val="0"/>
      <w:marRight w:val="0"/>
      <w:marTop w:val="0"/>
      <w:marBottom w:val="0"/>
      <w:divBdr>
        <w:top w:val="none" w:sz="0" w:space="0" w:color="auto"/>
        <w:left w:val="none" w:sz="0" w:space="0" w:color="auto"/>
        <w:bottom w:val="none" w:sz="0" w:space="0" w:color="auto"/>
        <w:right w:val="none" w:sz="0" w:space="0" w:color="auto"/>
      </w:divBdr>
    </w:div>
    <w:div w:id="167254135">
      <w:bodyDiv w:val="1"/>
      <w:marLeft w:val="0"/>
      <w:marRight w:val="0"/>
      <w:marTop w:val="0"/>
      <w:marBottom w:val="0"/>
      <w:divBdr>
        <w:top w:val="none" w:sz="0" w:space="0" w:color="auto"/>
        <w:left w:val="none" w:sz="0" w:space="0" w:color="auto"/>
        <w:bottom w:val="none" w:sz="0" w:space="0" w:color="auto"/>
        <w:right w:val="none" w:sz="0" w:space="0" w:color="auto"/>
      </w:divBdr>
    </w:div>
    <w:div w:id="167255643">
      <w:bodyDiv w:val="1"/>
      <w:marLeft w:val="0"/>
      <w:marRight w:val="0"/>
      <w:marTop w:val="0"/>
      <w:marBottom w:val="0"/>
      <w:divBdr>
        <w:top w:val="none" w:sz="0" w:space="0" w:color="auto"/>
        <w:left w:val="none" w:sz="0" w:space="0" w:color="auto"/>
        <w:bottom w:val="none" w:sz="0" w:space="0" w:color="auto"/>
        <w:right w:val="none" w:sz="0" w:space="0" w:color="auto"/>
      </w:divBdr>
    </w:div>
    <w:div w:id="167525175">
      <w:bodyDiv w:val="1"/>
      <w:marLeft w:val="0"/>
      <w:marRight w:val="0"/>
      <w:marTop w:val="0"/>
      <w:marBottom w:val="0"/>
      <w:divBdr>
        <w:top w:val="none" w:sz="0" w:space="0" w:color="auto"/>
        <w:left w:val="none" w:sz="0" w:space="0" w:color="auto"/>
        <w:bottom w:val="none" w:sz="0" w:space="0" w:color="auto"/>
        <w:right w:val="none" w:sz="0" w:space="0" w:color="auto"/>
      </w:divBdr>
    </w:div>
    <w:div w:id="167673368">
      <w:bodyDiv w:val="1"/>
      <w:marLeft w:val="0"/>
      <w:marRight w:val="0"/>
      <w:marTop w:val="0"/>
      <w:marBottom w:val="0"/>
      <w:divBdr>
        <w:top w:val="none" w:sz="0" w:space="0" w:color="auto"/>
        <w:left w:val="none" w:sz="0" w:space="0" w:color="auto"/>
        <w:bottom w:val="none" w:sz="0" w:space="0" w:color="auto"/>
        <w:right w:val="none" w:sz="0" w:space="0" w:color="auto"/>
      </w:divBdr>
    </w:div>
    <w:div w:id="167673721">
      <w:bodyDiv w:val="1"/>
      <w:marLeft w:val="0"/>
      <w:marRight w:val="0"/>
      <w:marTop w:val="0"/>
      <w:marBottom w:val="0"/>
      <w:divBdr>
        <w:top w:val="none" w:sz="0" w:space="0" w:color="auto"/>
        <w:left w:val="none" w:sz="0" w:space="0" w:color="auto"/>
        <w:bottom w:val="none" w:sz="0" w:space="0" w:color="auto"/>
        <w:right w:val="none" w:sz="0" w:space="0" w:color="auto"/>
      </w:divBdr>
    </w:div>
    <w:div w:id="167718473">
      <w:bodyDiv w:val="1"/>
      <w:marLeft w:val="0"/>
      <w:marRight w:val="0"/>
      <w:marTop w:val="0"/>
      <w:marBottom w:val="0"/>
      <w:divBdr>
        <w:top w:val="none" w:sz="0" w:space="0" w:color="auto"/>
        <w:left w:val="none" w:sz="0" w:space="0" w:color="auto"/>
        <w:bottom w:val="none" w:sz="0" w:space="0" w:color="auto"/>
        <w:right w:val="none" w:sz="0" w:space="0" w:color="auto"/>
      </w:divBdr>
    </w:div>
    <w:div w:id="167796895">
      <w:bodyDiv w:val="1"/>
      <w:marLeft w:val="0"/>
      <w:marRight w:val="0"/>
      <w:marTop w:val="0"/>
      <w:marBottom w:val="0"/>
      <w:divBdr>
        <w:top w:val="none" w:sz="0" w:space="0" w:color="auto"/>
        <w:left w:val="none" w:sz="0" w:space="0" w:color="auto"/>
        <w:bottom w:val="none" w:sz="0" w:space="0" w:color="auto"/>
        <w:right w:val="none" w:sz="0" w:space="0" w:color="auto"/>
      </w:divBdr>
    </w:div>
    <w:div w:id="168060154">
      <w:bodyDiv w:val="1"/>
      <w:marLeft w:val="0"/>
      <w:marRight w:val="0"/>
      <w:marTop w:val="0"/>
      <w:marBottom w:val="0"/>
      <w:divBdr>
        <w:top w:val="none" w:sz="0" w:space="0" w:color="auto"/>
        <w:left w:val="none" w:sz="0" w:space="0" w:color="auto"/>
        <w:bottom w:val="none" w:sz="0" w:space="0" w:color="auto"/>
        <w:right w:val="none" w:sz="0" w:space="0" w:color="auto"/>
      </w:divBdr>
    </w:div>
    <w:div w:id="168104126">
      <w:bodyDiv w:val="1"/>
      <w:marLeft w:val="0"/>
      <w:marRight w:val="0"/>
      <w:marTop w:val="0"/>
      <w:marBottom w:val="0"/>
      <w:divBdr>
        <w:top w:val="none" w:sz="0" w:space="0" w:color="auto"/>
        <w:left w:val="none" w:sz="0" w:space="0" w:color="auto"/>
        <w:bottom w:val="none" w:sz="0" w:space="0" w:color="auto"/>
        <w:right w:val="none" w:sz="0" w:space="0" w:color="auto"/>
      </w:divBdr>
    </w:div>
    <w:div w:id="168252366">
      <w:bodyDiv w:val="1"/>
      <w:marLeft w:val="0"/>
      <w:marRight w:val="0"/>
      <w:marTop w:val="0"/>
      <w:marBottom w:val="0"/>
      <w:divBdr>
        <w:top w:val="none" w:sz="0" w:space="0" w:color="auto"/>
        <w:left w:val="none" w:sz="0" w:space="0" w:color="auto"/>
        <w:bottom w:val="none" w:sz="0" w:space="0" w:color="auto"/>
        <w:right w:val="none" w:sz="0" w:space="0" w:color="auto"/>
      </w:divBdr>
    </w:div>
    <w:div w:id="168326895">
      <w:bodyDiv w:val="1"/>
      <w:marLeft w:val="0"/>
      <w:marRight w:val="0"/>
      <w:marTop w:val="0"/>
      <w:marBottom w:val="0"/>
      <w:divBdr>
        <w:top w:val="none" w:sz="0" w:space="0" w:color="auto"/>
        <w:left w:val="none" w:sz="0" w:space="0" w:color="auto"/>
        <w:bottom w:val="none" w:sz="0" w:space="0" w:color="auto"/>
        <w:right w:val="none" w:sz="0" w:space="0" w:color="auto"/>
      </w:divBdr>
    </w:div>
    <w:div w:id="168452455">
      <w:bodyDiv w:val="1"/>
      <w:marLeft w:val="0"/>
      <w:marRight w:val="0"/>
      <w:marTop w:val="0"/>
      <w:marBottom w:val="0"/>
      <w:divBdr>
        <w:top w:val="none" w:sz="0" w:space="0" w:color="auto"/>
        <w:left w:val="none" w:sz="0" w:space="0" w:color="auto"/>
        <w:bottom w:val="none" w:sz="0" w:space="0" w:color="auto"/>
        <w:right w:val="none" w:sz="0" w:space="0" w:color="auto"/>
      </w:divBdr>
    </w:div>
    <w:div w:id="168525185">
      <w:bodyDiv w:val="1"/>
      <w:marLeft w:val="0"/>
      <w:marRight w:val="0"/>
      <w:marTop w:val="0"/>
      <w:marBottom w:val="0"/>
      <w:divBdr>
        <w:top w:val="none" w:sz="0" w:space="0" w:color="auto"/>
        <w:left w:val="none" w:sz="0" w:space="0" w:color="auto"/>
        <w:bottom w:val="none" w:sz="0" w:space="0" w:color="auto"/>
        <w:right w:val="none" w:sz="0" w:space="0" w:color="auto"/>
      </w:divBdr>
    </w:div>
    <w:div w:id="168525496">
      <w:bodyDiv w:val="1"/>
      <w:marLeft w:val="0"/>
      <w:marRight w:val="0"/>
      <w:marTop w:val="0"/>
      <w:marBottom w:val="0"/>
      <w:divBdr>
        <w:top w:val="none" w:sz="0" w:space="0" w:color="auto"/>
        <w:left w:val="none" w:sz="0" w:space="0" w:color="auto"/>
        <w:bottom w:val="none" w:sz="0" w:space="0" w:color="auto"/>
        <w:right w:val="none" w:sz="0" w:space="0" w:color="auto"/>
      </w:divBdr>
    </w:div>
    <w:div w:id="168714297">
      <w:bodyDiv w:val="1"/>
      <w:marLeft w:val="0"/>
      <w:marRight w:val="0"/>
      <w:marTop w:val="0"/>
      <w:marBottom w:val="0"/>
      <w:divBdr>
        <w:top w:val="none" w:sz="0" w:space="0" w:color="auto"/>
        <w:left w:val="none" w:sz="0" w:space="0" w:color="auto"/>
        <w:bottom w:val="none" w:sz="0" w:space="0" w:color="auto"/>
        <w:right w:val="none" w:sz="0" w:space="0" w:color="auto"/>
      </w:divBdr>
    </w:div>
    <w:div w:id="169032945">
      <w:bodyDiv w:val="1"/>
      <w:marLeft w:val="0"/>
      <w:marRight w:val="0"/>
      <w:marTop w:val="0"/>
      <w:marBottom w:val="0"/>
      <w:divBdr>
        <w:top w:val="none" w:sz="0" w:space="0" w:color="auto"/>
        <w:left w:val="none" w:sz="0" w:space="0" w:color="auto"/>
        <w:bottom w:val="none" w:sz="0" w:space="0" w:color="auto"/>
        <w:right w:val="none" w:sz="0" w:space="0" w:color="auto"/>
      </w:divBdr>
    </w:div>
    <w:div w:id="169103962">
      <w:bodyDiv w:val="1"/>
      <w:marLeft w:val="0"/>
      <w:marRight w:val="0"/>
      <w:marTop w:val="0"/>
      <w:marBottom w:val="0"/>
      <w:divBdr>
        <w:top w:val="none" w:sz="0" w:space="0" w:color="auto"/>
        <w:left w:val="none" w:sz="0" w:space="0" w:color="auto"/>
        <w:bottom w:val="none" w:sz="0" w:space="0" w:color="auto"/>
        <w:right w:val="none" w:sz="0" w:space="0" w:color="auto"/>
      </w:divBdr>
    </w:div>
    <w:div w:id="169107743">
      <w:bodyDiv w:val="1"/>
      <w:marLeft w:val="0"/>
      <w:marRight w:val="0"/>
      <w:marTop w:val="0"/>
      <w:marBottom w:val="0"/>
      <w:divBdr>
        <w:top w:val="none" w:sz="0" w:space="0" w:color="auto"/>
        <w:left w:val="none" w:sz="0" w:space="0" w:color="auto"/>
        <w:bottom w:val="none" w:sz="0" w:space="0" w:color="auto"/>
        <w:right w:val="none" w:sz="0" w:space="0" w:color="auto"/>
      </w:divBdr>
    </w:div>
    <w:div w:id="169150189">
      <w:bodyDiv w:val="1"/>
      <w:marLeft w:val="0"/>
      <w:marRight w:val="0"/>
      <w:marTop w:val="0"/>
      <w:marBottom w:val="0"/>
      <w:divBdr>
        <w:top w:val="none" w:sz="0" w:space="0" w:color="auto"/>
        <w:left w:val="none" w:sz="0" w:space="0" w:color="auto"/>
        <w:bottom w:val="none" w:sz="0" w:space="0" w:color="auto"/>
        <w:right w:val="none" w:sz="0" w:space="0" w:color="auto"/>
      </w:divBdr>
    </w:div>
    <w:div w:id="169174524">
      <w:bodyDiv w:val="1"/>
      <w:marLeft w:val="0"/>
      <w:marRight w:val="0"/>
      <w:marTop w:val="0"/>
      <w:marBottom w:val="0"/>
      <w:divBdr>
        <w:top w:val="none" w:sz="0" w:space="0" w:color="auto"/>
        <w:left w:val="none" w:sz="0" w:space="0" w:color="auto"/>
        <w:bottom w:val="none" w:sz="0" w:space="0" w:color="auto"/>
        <w:right w:val="none" w:sz="0" w:space="0" w:color="auto"/>
      </w:divBdr>
    </w:div>
    <w:div w:id="169179679">
      <w:bodyDiv w:val="1"/>
      <w:marLeft w:val="0"/>
      <w:marRight w:val="0"/>
      <w:marTop w:val="0"/>
      <w:marBottom w:val="0"/>
      <w:divBdr>
        <w:top w:val="none" w:sz="0" w:space="0" w:color="auto"/>
        <w:left w:val="none" w:sz="0" w:space="0" w:color="auto"/>
        <w:bottom w:val="none" w:sz="0" w:space="0" w:color="auto"/>
        <w:right w:val="none" w:sz="0" w:space="0" w:color="auto"/>
      </w:divBdr>
    </w:div>
    <w:div w:id="169221718">
      <w:bodyDiv w:val="1"/>
      <w:marLeft w:val="0"/>
      <w:marRight w:val="0"/>
      <w:marTop w:val="0"/>
      <w:marBottom w:val="0"/>
      <w:divBdr>
        <w:top w:val="none" w:sz="0" w:space="0" w:color="auto"/>
        <w:left w:val="none" w:sz="0" w:space="0" w:color="auto"/>
        <w:bottom w:val="none" w:sz="0" w:space="0" w:color="auto"/>
        <w:right w:val="none" w:sz="0" w:space="0" w:color="auto"/>
      </w:divBdr>
    </w:div>
    <w:div w:id="169371257">
      <w:bodyDiv w:val="1"/>
      <w:marLeft w:val="0"/>
      <w:marRight w:val="0"/>
      <w:marTop w:val="0"/>
      <w:marBottom w:val="0"/>
      <w:divBdr>
        <w:top w:val="none" w:sz="0" w:space="0" w:color="auto"/>
        <w:left w:val="none" w:sz="0" w:space="0" w:color="auto"/>
        <w:bottom w:val="none" w:sz="0" w:space="0" w:color="auto"/>
        <w:right w:val="none" w:sz="0" w:space="0" w:color="auto"/>
      </w:divBdr>
    </w:div>
    <w:div w:id="169486608">
      <w:bodyDiv w:val="1"/>
      <w:marLeft w:val="0"/>
      <w:marRight w:val="0"/>
      <w:marTop w:val="0"/>
      <w:marBottom w:val="0"/>
      <w:divBdr>
        <w:top w:val="none" w:sz="0" w:space="0" w:color="auto"/>
        <w:left w:val="none" w:sz="0" w:space="0" w:color="auto"/>
        <w:bottom w:val="none" w:sz="0" w:space="0" w:color="auto"/>
        <w:right w:val="none" w:sz="0" w:space="0" w:color="auto"/>
      </w:divBdr>
    </w:div>
    <w:div w:id="169562067">
      <w:bodyDiv w:val="1"/>
      <w:marLeft w:val="0"/>
      <w:marRight w:val="0"/>
      <w:marTop w:val="0"/>
      <w:marBottom w:val="0"/>
      <w:divBdr>
        <w:top w:val="none" w:sz="0" w:space="0" w:color="auto"/>
        <w:left w:val="none" w:sz="0" w:space="0" w:color="auto"/>
        <w:bottom w:val="none" w:sz="0" w:space="0" w:color="auto"/>
        <w:right w:val="none" w:sz="0" w:space="0" w:color="auto"/>
      </w:divBdr>
    </w:div>
    <w:div w:id="169609493">
      <w:bodyDiv w:val="1"/>
      <w:marLeft w:val="0"/>
      <w:marRight w:val="0"/>
      <w:marTop w:val="0"/>
      <w:marBottom w:val="0"/>
      <w:divBdr>
        <w:top w:val="none" w:sz="0" w:space="0" w:color="auto"/>
        <w:left w:val="none" w:sz="0" w:space="0" w:color="auto"/>
        <w:bottom w:val="none" w:sz="0" w:space="0" w:color="auto"/>
        <w:right w:val="none" w:sz="0" w:space="0" w:color="auto"/>
      </w:divBdr>
    </w:div>
    <w:div w:id="169755669">
      <w:bodyDiv w:val="1"/>
      <w:marLeft w:val="0"/>
      <w:marRight w:val="0"/>
      <w:marTop w:val="0"/>
      <w:marBottom w:val="0"/>
      <w:divBdr>
        <w:top w:val="none" w:sz="0" w:space="0" w:color="auto"/>
        <w:left w:val="none" w:sz="0" w:space="0" w:color="auto"/>
        <w:bottom w:val="none" w:sz="0" w:space="0" w:color="auto"/>
        <w:right w:val="none" w:sz="0" w:space="0" w:color="auto"/>
      </w:divBdr>
    </w:div>
    <w:div w:id="170411758">
      <w:bodyDiv w:val="1"/>
      <w:marLeft w:val="0"/>
      <w:marRight w:val="0"/>
      <w:marTop w:val="0"/>
      <w:marBottom w:val="0"/>
      <w:divBdr>
        <w:top w:val="none" w:sz="0" w:space="0" w:color="auto"/>
        <w:left w:val="none" w:sz="0" w:space="0" w:color="auto"/>
        <w:bottom w:val="none" w:sz="0" w:space="0" w:color="auto"/>
        <w:right w:val="none" w:sz="0" w:space="0" w:color="auto"/>
      </w:divBdr>
    </w:div>
    <w:div w:id="170414097">
      <w:bodyDiv w:val="1"/>
      <w:marLeft w:val="0"/>
      <w:marRight w:val="0"/>
      <w:marTop w:val="0"/>
      <w:marBottom w:val="0"/>
      <w:divBdr>
        <w:top w:val="none" w:sz="0" w:space="0" w:color="auto"/>
        <w:left w:val="none" w:sz="0" w:space="0" w:color="auto"/>
        <w:bottom w:val="none" w:sz="0" w:space="0" w:color="auto"/>
        <w:right w:val="none" w:sz="0" w:space="0" w:color="auto"/>
      </w:divBdr>
    </w:div>
    <w:div w:id="170459721">
      <w:bodyDiv w:val="1"/>
      <w:marLeft w:val="0"/>
      <w:marRight w:val="0"/>
      <w:marTop w:val="0"/>
      <w:marBottom w:val="0"/>
      <w:divBdr>
        <w:top w:val="none" w:sz="0" w:space="0" w:color="auto"/>
        <w:left w:val="none" w:sz="0" w:space="0" w:color="auto"/>
        <w:bottom w:val="none" w:sz="0" w:space="0" w:color="auto"/>
        <w:right w:val="none" w:sz="0" w:space="0" w:color="auto"/>
      </w:divBdr>
    </w:div>
    <w:div w:id="170462034">
      <w:bodyDiv w:val="1"/>
      <w:marLeft w:val="0"/>
      <w:marRight w:val="0"/>
      <w:marTop w:val="0"/>
      <w:marBottom w:val="0"/>
      <w:divBdr>
        <w:top w:val="none" w:sz="0" w:space="0" w:color="auto"/>
        <w:left w:val="none" w:sz="0" w:space="0" w:color="auto"/>
        <w:bottom w:val="none" w:sz="0" w:space="0" w:color="auto"/>
        <w:right w:val="none" w:sz="0" w:space="0" w:color="auto"/>
      </w:divBdr>
    </w:div>
    <w:div w:id="170684025">
      <w:bodyDiv w:val="1"/>
      <w:marLeft w:val="0"/>
      <w:marRight w:val="0"/>
      <w:marTop w:val="0"/>
      <w:marBottom w:val="0"/>
      <w:divBdr>
        <w:top w:val="none" w:sz="0" w:space="0" w:color="auto"/>
        <w:left w:val="none" w:sz="0" w:space="0" w:color="auto"/>
        <w:bottom w:val="none" w:sz="0" w:space="0" w:color="auto"/>
        <w:right w:val="none" w:sz="0" w:space="0" w:color="auto"/>
      </w:divBdr>
    </w:div>
    <w:div w:id="170798126">
      <w:bodyDiv w:val="1"/>
      <w:marLeft w:val="0"/>
      <w:marRight w:val="0"/>
      <w:marTop w:val="0"/>
      <w:marBottom w:val="0"/>
      <w:divBdr>
        <w:top w:val="none" w:sz="0" w:space="0" w:color="auto"/>
        <w:left w:val="none" w:sz="0" w:space="0" w:color="auto"/>
        <w:bottom w:val="none" w:sz="0" w:space="0" w:color="auto"/>
        <w:right w:val="none" w:sz="0" w:space="0" w:color="auto"/>
      </w:divBdr>
    </w:div>
    <w:div w:id="171191374">
      <w:bodyDiv w:val="1"/>
      <w:marLeft w:val="0"/>
      <w:marRight w:val="0"/>
      <w:marTop w:val="0"/>
      <w:marBottom w:val="0"/>
      <w:divBdr>
        <w:top w:val="none" w:sz="0" w:space="0" w:color="auto"/>
        <w:left w:val="none" w:sz="0" w:space="0" w:color="auto"/>
        <w:bottom w:val="none" w:sz="0" w:space="0" w:color="auto"/>
        <w:right w:val="none" w:sz="0" w:space="0" w:color="auto"/>
      </w:divBdr>
    </w:div>
    <w:div w:id="171260948">
      <w:bodyDiv w:val="1"/>
      <w:marLeft w:val="0"/>
      <w:marRight w:val="0"/>
      <w:marTop w:val="0"/>
      <w:marBottom w:val="0"/>
      <w:divBdr>
        <w:top w:val="none" w:sz="0" w:space="0" w:color="auto"/>
        <w:left w:val="none" w:sz="0" w:space="0" w:color="auto"/>
        <w:bottom w:val="none" w:sz="0" w:space="0" w:color="auto"/>
        <w:right w:val="none" w:sz="0" w:space="0" w:color="auto"/>
      </w:divBdr>
    </w:div>
    <w:div w:id="171263347">
      <w:bodyDiv w:val="1"/>
      <w:marLeft w:val="0"/>
      <w:marRight w:val="0"/>
      <w:marTop w:val="0"/>
      <w:marBottom w:val="0"/>
      <w:divBdr>
        <w:top w:val="none" w:sz="0" w:space="0" w:color="auto"/>
        <w:left w:val="none" w:sz="0" w:space="0" w:color="auto"/>
        <w:bottom w:val="none" w:sz="0" w:space="0" w:color="auto"/>
        <w:right w:val="none" w:sz="0" w:space="0" w:color="auto"/>
      </w:divBdr>
    </w:div>
    <w:div w:id="171379812">
      <w:bodyDiv w:val="1"/>
      <w:marLeft w:val="0"/>
      <w:marRight w:val="0"/>
      <w:marTop w:val="0"/>
      <w:marBottom w:val="0"/>
      <w:divBdr>
        <w:top w:val="none" w:sz="0" w:space="0" w:color="auto"/>
        <w:left w:val="none" w:sz="0" w:space="0" w:color="auto"/>
        <w:bottom w:val="none" w:sz="0" w:space="0" w:color="auto"/>
        <w:right w:val="none" w:sz="0" w:space="0" w:color="auto"/>
      </w:divBdr>
    </w:div>
    <w:div w:id="171530934">
      <w:bodyDiv w:val="1"/>
      <w:marLeft w:val="0"/>
      <w:marRight w:val="0"/>
      <w:marTop w:val="0"/>
      <w:marBottom w:val="0"/>
      <w:divBdr>
        <w:top w:val="none" w:sz="0" w:space="0" w:color="auto"/>
        <w:left w:val="none" w:sz="0" w:space="0" w:color="auto"/>
        <w:bottom w:val="none" w:sz="0" w:space="0" w:color="auto"/>
        <w:right w:val="none" w:sz="0" w:space="0" w:color="auto"/>
      </w:divBdr>
    </w:div>
    <w:div w:id="171654268">
      <w:bodyDiv w:val="1"/>
      <w:marLeft w:val="0"/>
      <w:marRight w:val="0"/>
      <w:marTop w:val="0"/>
      <w:marBottom w:val="0"/>
      <w:divBdr>
        <w:top w:val="none" w:sz="0" w:space="0" w:color="auto"/>
        <w:left w:val="none" w:sz="0" w:space="0" w:color="auto"/>
        <w:bottom w:val="none" w:sz="0" w:space="0" w:color="auto"/>
        <w:right w:val="none" w:sz="0" w:space="0" w:color="auto"/>
      </w:divBdr>
    </w:div>
    <w:div w:id="171771118">
      <w:bodyDiv w:val="1"/>
      <w:marLeft w:val="0"/>
      <w:marRight w:val="0"/>
      <w:marTop w:val="0"/>
      <w:marBottom w:val="0"/>
      <w:divBdr>
        <w:top w:val="none" w:sz="0" w:space="0" w:color="auto"/>
        <w:left w:val="none" w:sz="0" w:space="0" w:color="auto"/>
        <w:bottom w:val="none" w:sz="0" w:space="0" w:color="auto"/>
        <w:right w:val="none" w:sz="0" w:space="0" w:color="auto"/>
      </w:divBdr>
    </w:div>
    <w:div w:id="171799587">
      <w:bodyDiv w:val="1"/>
      <w:marLeft w:val="0"/>
      <w:marRight w:val="0"/>
      <w:marTop w:val="0"/>
      <w:marBottom w:val="0"/>
      <w:divBdr>
        <w:top w:val="none" w:sz="0" w:space="0" w:color="auto"/>
        <w:left w:val="none" w:sz="0" w:space="0" w:color="auto"/>
        <w:bottom w:val="none" w:sz="0" w:space="0" w:color="auto"/>
        <w:right w:val="none" w:sz="0" w:space="0" w:color="auto"/>
      </w:divBdr>
    </w:div>
    <w:div w:id="171998416">
      <w:bodyDiv w:val="1"/>
      <w:marLeft w:val="0"/>
      <w:marRight w:val="0"/>
      <w:marTop w:val="0"/>
      <w:marBottom w:val="0"/>
      <w:divBdr>
        <w:top w:val="none" w:sz="0" w:space="0" w:color="auto"/>
        <w:left w:val="none" w:sz="0" w:space="0" w:color="auto"/>
        <w:bottom w:val="none" w:sz="0" w:space="0" w:color="auto"/>
        <w:right w:val="none" w:sz="0" w:space="0" w:color="auto"/>
      </w:divBdr>
    </w:div>
    <w:div w:id="172425641">
      <w:bodyDiv w:val="1"/>
      <w:marLeft w:val="0"/>
      <w:marRight w:val="0"/>
      <w:marTop w:val="0"/>
      <w:marBottom w:val="0"/>
      <w:divBdr>
        <w:top w:val="none" w:sz="0" w:space="0" w:color="auto"/>
        <w:left w:val="none" w:sz="0" w:space="0" w:color="auto"/>
        <w:bottom w:val="none" w:sz="0" w:space="0" w:color="auto"/>
        <w:right w:val="none" w:sz="0" w:space="0" w:color="auto"/>
      </w:divBdr>
    </w:div>
    <w:div w:id="172764211">
      <w:bodyDiv w:val="1"/>
      <w:marLeft w:val="0"/>
      <w:marRight w:val="0"/>
      <w:marTop w:val="0"/>
      <w:marBottom w:val="0"/>
      <w:divBdr>
        <w:top w:val="none" w:sz="0" w:space="0" w:color="auto"/>
        <w:left w:val="none" w:sz="0" w:space="0" w:color="auto"/>
        <w:bottom w:val="none" w:sz="0" w:space="0" w:color="auto"/>
        <w:right w:val="none" w:sz="0" w:space="0" w:color="auto"/>
      </w:divBdr>
    </w:div>
    <w:div w:id="172887623">
      <w:bodyDiv w:val="1"/>
      <w:marLeft w:val="0"/>
      <w:marRight w:val="0"/>
      <w:marTop w:val="0"/>
      <w:marBottom w:val="0"/>
      <w:divBdr>
        <w:top w:val="none" w:sz="0" w:space="0" w:color="auto"/>
        <w:left w:val="none" w:sz="0" w:space="0" w:color="auto"/>
        <w:bottom w:val="none" w:sz="0" w:space="0" w:color="auto"/>
        <w:right w:val="none" w:sz="0" w:space="0" w:color="auto"/>
      </w:divBdr>
    </w:div>
    <w:div w:id="173228548">
      <w:bodyDiv w:val="1"/>
      <w:marLeft w:val="0"/>
      <w:marRight w:val="0"/>
      <w:marTop w:val="0"/>
      <w:marBottom w:val="0"/>
      <w:divBdr>
        <w:top w:val="none" w:sz="0" w:space="0" w:color="auto"/>
        <w:left w:val="none" w:sz="0" w:space="0" w:color="auto"/>
        <w:bottom w:val="none" w:sz="0" w:space="0" w:color="auto"/>
        <w:right w:val="none" w:sz="0" w:space="0" w:color="auto"/>
      </w:divBdr>
    </w:div>
    <w:div w:id="173496949">
      <w:bodyDiv w:val="1"/>
      <w:marLeft w:val="0"/>
      <w:marRight w:val="0"/>
      <w:marTop w:val="0"/>
      <w:marBottom w:val="0"/>
      <w:divBdr>
        <w:top w:val="none" w:sz="0" w:space="0" w:color="auto"/>
        <w:left w:val="none" w:sz="0" w:space="0" w:color="auto"/>
        <w:bottom w:val="none" w:sz="0" w:space="0" w:color="auto"/>
        <w:right w:val="none" w:sz="0" w:space="0" w:color="auto"/>
      </w:divBdr>
    </w:div>
    <w:div w:id="173540192">
      <w:bodyDiv w:val="1"/>
      <w:marLeft w:val="0"/>
      <w:marRight w:val="0"/>
      <w:marTop w:val="0"/>
      <w:marBottom w:val="0"/>
      <w:divBdr>
        <w:top w:val="none" w:sz="0" w:space="0" w:color="auto"/>
        <w:left w:val="none" w:sz="0" w:space="0" w:color="auto"/>
        <w:bottom w:val="none" w:sz="0" w:space="0" w:color="auto"/>
        <w:right w:val="none" w:sz="0" w:space="0" w:color="auto"/>
      </w:divBdr>
    </w:div>
    <w:div w:id="173610645">
      <w:bodyDiv w:val="1"/>
      <w:marLeft w:val="0"/>
      <w:marRight w:val="0"/>
      <w:marTop w:val="0"/>
      <w:marBottom w:val="0"/>
      <w:divBdr>
        <w:top w:val="none" w:sz="0" w:space="0" w:color="auto"/>
        <w:left w:val="none" w:sz="0" w:space="0" w:color="auto"/>
        <w:bottom w:val="none" w:sz="0" w:space="0" w:color="auto"/>
        <w:right w:val="none" w:sz="0" w:space="0" w:color="auto"/>
      </w:divBdr>
    </w:div>
    <w:div w:id="174000585">
      <w:bodyDiv w:val="1"/>
      <w:marLeft w:val="0"/>
      <w:marRight w:val="0"/>
      <w:marTop w:val="0"/>
      <w:marBottom w:val="0"/>
      <w:divBdr>
        <w:top w:val="none" w:sz="0" w:space="0" w:color="auto"/>
        <w:left w:val="none" w:sz="0" w:space="0" w:color="auto"/>
        <w:bottom w:val="none" w:sz="0" w:space="0" w:color="auto"/>
        <w:right w:val="none" w:sz="0" w:space="0" w:color="auto"/>
      </w:divBdr>
    </w:div>
    <w:div w:id="174003722">
      <w:bodyDiv w:val="1"/>
      <w:marLeft w:val="0"/>
      <w:marRight w:val="0"/>
      <w:marTop w:val="0"/>
      <w:marBottom w:val="0"/>
      <w:divBdr>
        <w:top w:val="none" w:sz="0" w:space="0" w:color="auto"/>
        <w:left w:val="none" w:sz="0" w:space="0" w:color="auto"/>
        <w:bottom w:val="none" w:sz="0" w:space="0" w:color="auto"/>
        <w:right w:val="none" w:sz="0" w:space="0" w:color="auto"/>
      </w:divBdr>
    </w:div>
    <w:div w:id="174079552">
      <w:bodyDiv w:val="1"/>
      <w:marLeft w:val="0"/>
      <w:marRight w:val="0"/>
      <w:marTop w:val="0"/>
      <w:marBottom w:val="0"/>
      <w:divBdr>
        <w:top w:val="none" w:sz="0" w:space="0" w:color="auto"/>
        <w:left w:val="none" w:sz="0" w:space="0" w:color="auto"/>
        <w:bottom w:val="none" w:sz="0" w:space="0" w:color="auto"/>
        <w:right w:val="none" w:sz="0" w:space="0" w:color="auto"/>
      </w:divBdr>
    </w:div>
    <w:div w:id="174223620">
      <w:bodyDiv w:val="1"/>
      <w:marLeft w:val="0"/>
      <w:marRight w:val="0"/>
      <w:marTop w:val="0"/>
      <w:marBottom w:val="0"/>
      <w:divBdr>
        <w:top w:val="none" w:sz="0" w:space="0" w:color="auto"/>
        <w:left w:val="none" w:sz="0" w:space="0" w:color="auto"/>
        <w:bottom w:val="none" w:sz="0" w:space="0" w:color="auto"/>
        <w:right w:val="none" w:sz="0" w:space="0" w:color="auto"/>
      </w:divBdr>
    </w:div>
    <w:div w:id="174343352">
      <w:bodyDiv w:val="1"/>
      <w:marLeft w:val="0"/>
      <w:marRight w:val="0"/>
      <w:marTop w:val="0"/>
      <w:marBottom w:val="0"/>
      <w:divBdr>
        <w:top w:val="none" w:sz="0" w:space="0" w:color="auto"/>
        <w:left w:val="none" w:sz="0" w:space="0" w:color="auto"/>
        <w:bottom w:val="none" w:sz="0" w:space="0" w:color="auto"/>
        <w:right w:val="none" w:sz="0" w:space="0" w:color="auto"/>
      </w:divBdr>
    </w:div>
    <w:div w:id="174536858">
      <w:bodyDiv w:val="1"/>
      <w:marLeft w:val="0"/>
      <w:marRight w:val="0"/>
      <w:marTop w:val="0"/>
      <w:marBottom w:val="0"/>
      <w:divBdr>
        <w:top w:val="none" w:sz="0" w:space="0" w:color="auto"/>
        <w:left w:val="none" w:sz="0" w:space="0" w:color="auto"/>
        <w:bottom w:val="none" w:sz="0" w:space="0" w:color="auto"/>
        <w:right w:val="none" w:sz="0" w:space="0" w:color="auto"/>
      </w:divBdr>
    </w:div>
    <w:div w:id="174539533">
      <w:bodyDiv w:val="1"/>
      <w:marLeft w:val="0"/>
      <w:marRight w:val="0"/>
      <w:marTop w:val="0"/>
      <w:marBottom w:val="0"/>
      <w:divBdr>
        <w:top w:val="none" w:sz="0" w:space="0" w:color="auto"/>
        <w:left w:val="none" w:sz="0" w:space="0" w:color="auto"/>
        <w:bottom w:val="none" w:sz="0" w:space="0" w:color="auto"/>
        <w:right w:val="none" w:sz="0" w:space="0" w:color="auto"/>
      </w:divBdr>
    </w:div>
    <w:div w:id="174811397">
      <w:bodyDiv w:val="1"/>
      <w:marLeft w:val="0"/>
      <w:marRight w:val="0"/>
      <w:marTop w:val="0"/>
      <w:marBottom w:val="0"/>
      <w:divBdr>
        <w:top w:val="none" w:sz="0" w:space="0" w:color="auto"/>
        <w:left w:val="none" w:sz="0" w:space="0" w:color="auto"/>
        <w:bottom w:val="none" w:sz="0" w:space="0" w:color="auto"/>
        <w:right w:val="none" w:sz="0" w:space="0" w:color="auto"/>
      </w:divBdr>
    </w:div>
    <w:div w:id="174850222">
      <w:bodyDiv w:val="1"/>
      <w:marLeft w:val="0"/>
      <w:marRight w:val="0"/>
      <w:marTop w:val="0"/>
      <w:marBottom w:val="0"/>
      <w:divBdr>
        <w:top w:val="none" w:sz="0" w:space="0" w:color="auto"/>
        <w:left w:val="none" w:sz="0" w:space="0" w:color="auto"/>
        <w:bottom w:val="none" w:sz="0" w:space="0" w:color="auto"/>
        <w:right w:val="none" w:sz="0" w:space="0" w:color="auto"/>
      </w:divBdr>
    </w:div>
    <w:div w:id="175118576">
      <w:bodyDiv w:val="1"/>
      <w:marLeft w:val="0"/>
      <w:marRight w:val="0"/>
      <w:marTop w:val="0"/>
      <w:marBottom w:val="0"/>
      <w:divBdr>
        <w:top w:val="none" w:sz="0" w:space="0" w:color="auto"/>
        <w:left w:val="none" w:sz="0" w:space="0" w:color="auto"/>
        <w:bottom w:val="none" w:sz="0" w:space="0" w:color="auto"/>
        <w:right w:val="none" w:sz="0" w:space="0" w:color="auto"/>
      </w:divBdr>
    </w:div>
    <w:div w:id="175191873">
      <w:bodyDiv w:val="1"/>
      <w:marLeft w:val="0"/>
      <w:marRight w:val="0"/>
      <w:marTop w:val="0"/>
      <w:marBottom w:val="0"/>
      <w:divBdr>
        <w:top w:val="none" w:sz="0" w:space="0" w:color="auto"/>
        <w:left w:val="none" w:sz="0" w:space="0" w:color="auto"/>
        <w:bottom w:val="none" w:sz="0" w:space="0" w:color="auto"/>
        <w:right w:val="none" w:sz="0" w:space="0" w:color="auto"/>
      </w:divBdr>
    </w:div>
    <w:div w:id="175197869">
      <w:bodyDiv w:val="1"/>
      <w:marLeft w:val="0"/>
      <w:marRight w:val="0"/>
      <w:marTop w:val="0"/>
      <w:marBottom w:val="0"/>
      <w:divBdr>
        <w:top w:val="none" w:sz="0" w:space="0" w:color="auto"/>
        <w:left w:val="none" w:sz="0" w:space="0" w:color="auto"/>
        <w:bottom w:val="none" w:sz="0" w:space="0" w:color="auto"/>
        <w:right w:val="none" w:sz="0" w:space="0" w:color="auto"/>
      </w:divBdr>
    </w:div>
    <w:div w:id="175266989">
      <w:bodyDiv w:val="1"/>
      <w:marLeft w:val="0"/>
      <w:marRight w:val="0"/>
      <w:marTop w:val="0"/>
      <w:marBottom w:val="0"/>
      <w:divBdr>
        <w:top w:val="none" w:sz="0" w:space="0" w:color="auto"/>
        <w:left w:val="none" w:sz="0" w:space="0" w:color="auto"/>
        <w:bottom w:val="none" w:sz="0" w:space="0" w:color="auto"/>
        <w:right w:val="none" w:sz="0" w:space="0" w:color="auto"/>
      </w:divBdr>
    </w:div>
    <w:div w:id="175274366">
      <w:bodyDiv w:val="1"/>
      <w:marLeft w:val="0"/>
      <w:marRight w:val="0"/>
      <w:marTop w:val="0"/>
      <w:marBottom w:val="0"/>
      <w:divBdr>
        <w:top w:val="none" w:sz="0" w:space="0" w:color="auto"/>
        <w:left w:val="none" w:sz="0" w:space="0" w:color="auto"/>
        <w:bottom w:val="none" w:sz="0" w:space="0" w:color="auto"/>
        <w:right w:val="none" w:sz="0" w:space="0" w:color="auto"/>
      </w:divBdr>
    </w:div>
    <w:div w:id="175460271">
      <w:bodyDiv w:val="1"/>
      <w:marLeft w:val="0"/>
      <w:marRight w:val="0"/>
      <w:marTop w:val="0"/>
      <w:marBottom w:val="0"/>
      <w:divBdr>
        <w:top w:val="none" w:sz="0" w:space="0" w:color="auto"/>
        <w:left w:val="none" w:sz="0" w:space="0" w:color="auto"/>
        <w:bottom w:val="none" w:sz="0" w:space="0" w:color="auto"/>
        <w:right w:val="none" w:sz="0" w:space="0" w:color="auto"/>
      </w:divBdr>
    </w:div>
    <w:div w:id="175585064">
      <w:bodyDiv w:val="1"/>
      <w:marLeft w:val="0"/>
      <w:marRight w:val="0"/>
      <w:marTop w:val="0"/>
      <w:marBottom w:val="0"/>
      <w:divBdr>
        <w:top w:val="none" w:sz="0" w:space="0" w:color="auto"/>
        <w:left w:val="none" w:sz="0" w:space="0" w:color="auto"/>
        <w:bottom w:val="none" w:sz="0" w:space="0" w:color="auto"/>
        <w:right w:val="none" w:sz="0" w:space="0" w:color="auto"/>
      </w:divBdr>
    </w:div>
    <w:div w:id="175652072">
      <w:bodyDiv w:val="1"/>
      <w:marLeft w:val="0"/>
      <w:marRight w:val="0"/>
      <w:marTop w:val="0"/>
      <w:marBottom w:val="0"/>
      <w:divBdr>
        <w:top w:val="none" w:sz="0" w:space="0" w:color="auto"/>
        <w:left w:val="none" w:sz="0" w:space="0" w:color="auto"/>
        <w:bottom w:val="none" w:sz="0" w:space="0" w:color="auto"/>
        <w:right w:val="none" w:sz="0" w:space="0" w:color="auto"/>
      </w:divBdr>
    </w:div>
    <w:div w:id="175652882">
      <w:bodyDiv w:val="1"/>
      <w:marLeft w:val="0"/>
      <w:marRight w:val="0"/>
      <w:marTop w:val="0"/>
      <w:marBottom w:val="0"/>
      <w:divBdr>
        <w:top w:val="none" w:sz="0" w:space="0" w:color="auto"/>
        <w:left w:val="none" w:sz="0" w:space="0" w:color="auto"/>
        <w:bottom w:val="none" w:sz="0" w:space="0" w:color="auto"/>
        <w:right w:val="none" w:sz="0" w:space="0" w:color="auto"/>
      </w:divBdr>
    </w:div>
    <w:div w:id="175656481">
      <w:bodyDiv w:val="1"/>
      <w:marLeft w:val="0"/>
      <w:marRight w:val="0"/>
      <w:marTop w:val="0"/>
      <w:marBottom w:val="0"/>
      <w:divBdr>
        <w:top w:val="none" w:sz="0" w:space="0" w:color="auto"/>
        <w:left w:val="none" w:sz="0" w:space="0" w:color="auto"/>
        <w:bottom w:val="none" w:sz="0" w:space="0" w:color="auto"/>
        <w:right w:val="none" w:sz="0" w:space="0" w:color="auto"/>
      </w:divBdr>
    </w:div>
    <w:div w:id="176047628">
      <w:bodyDiv w:val="1"/>
      <w:marLeft w:val="0"/>
      <w:marRight w:val="0"/>
      <w:marTop w:val="0"/>
      <w:marBottom w:val="0"/>
      <w:divBdr>
        <w:top w:val="none" w:sz="0" w:space="0" w:color="auto"/>
        <w:left w:val="none" w:sz="0" w:space="0" w:color="auto"/>
        <w:bottom w:val="none" w:sz="0" w:space="0" w:color="auto"/>
        <w:right w:val="none" w:sz="0" w:space="0" w:color="auto"/>
      </w:divBdr>
    </w:div>
    <w:div w:id="176117235">
      <w:bodyDiv w:val="1"/>
      <w:marLeft w:val="0"/>
      <w:marRight w:val="0"/>
      <w:marTop w:val="0"/>
      <w:marBottom w:val="0"/>
      <w:divBdr>
        <w:top w:val="none" w:sz="0" w:space="0" w:color="auto"/>
        <w:left w:val="none" w:sz="0" w:space="0" w:color="auto"/>
        <w:bottom w:val="none" w:sz="0" w:space="0" w:color="auto"/>
        <w:right w:val="none" w:sz="0" w:space="0" w:color="auto"/>
      </w:divBdr>
    </w:div>
    <w:div w:id="176165886">
      <w:bodyDiv w:val="1"/>
      <w:marLeft w:val="0"/>
      <w:marRight w:val="0"/>
      <w:marTop w:val="0"/>
      <w:marBottom w:val="0"/>
      <w:divBdr>
        <w:top w:val="none" w:sz="0" w:space="0" w:color="auto"/>
        <w:left w:val="none" w:sz="0" w:space="0" w:color="auto"/>
        <w:bottom w:val="none" w:sz="0" w:space="0" w:color="auto"/>
        <w:right w:val="none" w:sz="0" w:space="0" w:color="auto"/>
      </w:divBdr>
    </w:div>
    <w:div w:id="176307746">
      <w:bodyDiv w:val="1"/>
      <w:marLeft w:val="0"/>
      <w:marRight w:val="0"/>
      <w:marTop w:val="0"/>
      <w:marBottom w:val="0"/>
      <w:divBdr>
        <w:top w:val="none" w:sz="0" w:space="0" w:color="auto"/>
        <w:left w:val="none" w:sz="0" w:space="0" w:color="auto"/>
        <w:bottom w:val="none" w:sz="0" w:space="0" w:color="auto"/>
        <w:right w:val="none" w:sz="0" w:space="0" w:color="auto"/>
      </w:divBdr>
    </w:div>
    <w:div w:id="176316283">
      <w:bodyDiv w:val="1"/>
      <w:marLeft w:val="0"/>
      <w:marRight w:val="0"/>
      <w:marTop w:val="0"/>
      <w:marBottom w:val="0"/>
      <w:divBdr>
        <w:top w:val="none" w:sz="0" w:space="0" w:color="auto"/>
        <w:left w:val="none" w:sz="0" w:space="0" w:color="auto"/>
        <w:bottom w:val="none" w:sz="0" w:space="0" w:color="auto"/>
        <w:right w:val="none" w:sz="0" w:space="0" w:color="auto"/>
      </w:divBdr>
    </w:div>
    <w:div w:id="176506155">
      <w:bodyDiv w:val="1"/>
      <w:marLeft w:val="0"/>
      <w:marRight w:val="0"/>
      <w:marTop w:val="0"/>
      <w:marBottom w:val="0"/>
      <w:divBdr>
        <w:top w:val="none" w:sz="0" w:space="0" w:color="auto"/>
        <w:left w:val="none" w:sz="0" w:space="0" w:color="auto"/>
        <w:bottom w:val="none" w:sz="0" w:space="0" w:color="auto"/>
        <w:right w:val="none" w:sz="0" w:space="0" w:color="auto"/>
      </w:divBdr>
    </w:div>
    <w:div w:id="176576512">
      <w:bodyDiv w:val="1"/>
      <w:marLeft w:val="0"/>
      <w:marRight w:val="0"/>
      <w:marTop w:val="0"/>
      <w:marBottom w:val="0"/>
      <w:divBdr>
        <w:top w:val="none" w:sz="0" w:space="0" w:color="auto"/>
        <w:left w:val="none" w:sz="0" w:space="0" w:color="auto"/>
        <w:bottom w:val="none" w:sz="0" w:space="0" w:color="auto"/>
        <w:right w:val="none" w:sz="0" w:space="0" w:color="auto"/>
      </w:divBdr>
    </w:div>
    <w:div w:id="176582469">
      <w:bodyDiv w:val="1"/>
      <w:marLeft w:val="0"/>
      <w:marRight w:val="0"/>
      <w:marTop w:val="0"/>
      <w:marBottom w:val="0"/>
      <w:divBdr>
        <w:top w:val="none" w:sz="0" w:space="0" w:color="auto"/>
        <w:left w:val="none" w:sz="0" w:space="0" w:color="auto"/>
        <w:bottom w:val="none" w:sz="0" w:space="0" w:color="auto"/>
        <w:right w:val="none" w:sz="0" w:space="0" w:color="auto"/>
      </w:divBdr>
    </w:div>
    <w:div w:id="176623815">
      <w:bodyDiv w:val="1"/>
      <w:marLeft w:val="0"/>
      <w:marRight w:val="0"/>
      <w:marTop w:val="0"/>
      <w:marBottom w:val="0"/>
      <w:divBdr>
        <w:top w:val="none" w:sz="0" w:space="0" w:color="auto"/>
        <w:left w:val="none" w:sz="0" w:space="0" w:color="auto"/>
        <w:bottom w:val="none" w:sz="0" w:space="0" w:color="auto"/>
        <w:right w:val="none" w:sz="0" w:space="0" w:color="auto"/>
      </w:divBdr>
    </w:div>
    <w:div w:id="176816693">
      <w:bodyDiv w:val="1"/>
      <w:marLeft w:val="0"/>
      <w:marRight w:val="0"/>
      <w:marTop w:val="0"/>
      <w:marBottom w:val="0"/>
      <w:divBdr>
        <w:top w:val="none" w:sz="0" w:space="0" w:color="auto"/>
        <w:left w:val="none" w:sz="0" w:space="0" w:color="auto"/>
        <w:bottom w:val="none" w:sz="0" w:space="0" w:color="auto"/>
        <w:right w:val="none" w:sz="0" w:space="0" w:color="auto"/>
      </w:divBdr>
    </w:div>
    <w:div w:id="177014391">
      <w:bodyDiv w:val="1"/>
      <w:marLeft w:val="0"/>
      <w:marRight w:val="0"/>
      <w:marTop w:val="0"/>
      <w:marBottom w:val="0"/>
      <w:divBdr>
        <w:top w:val="none" w:sz="0" w:space="0" w:color="auto"/>
        <w:left w:val="none" w:sz="0" w:space="0" w:color="auto"/>
        <w:bottom w:val="none" w:sz="0" w:space="0" w:color="auto"/>
        <w:right w:val="none" w:sz="0" w:space="0" w:color="auto"/>
      </w:divBdr>
    </w:div>
    <w:div w:id="177277840">
      <w:bodyDiv w:val="1"/>
      <w:marLeft w:val="0"/>
      <w:marRight w:val="0"/>
      <w:marTop w:val="0"/>
      <w:marBottom w:val="0"/>
      <w:divBdr>
        <w:top w:val="none" w:sz="0" w:space="0" w:color="auto"/>
        <w:left w:val="none" w:sz="0" w:space="0" w:color="auto"/>
        <w:bottom w:val="none" w:sz="0" w:space="0" w:color="auto"/>
        <w:right w:val="none" w:sz="0" w:space="0" w:color="auto"/>
      </w:divBdr>
    </w:div>
    <w:div w:id="177306564">
      <w:bodyDiv w:val="1"/>
      <w:marLeft w:val="0"/>
      <w:marRight w:val="0"/>
      <w:marTop w:val="0"/>
      <w:marBottom w:val="0"/>
      <w:divBdr>
        <w:top w:val="none" w:sz="0" w:space="0" w:color="auto"/>
        <w:left w:val="none" w:sz="0" w:space="0" w:color="auto"/>
        <w:bottom w:val="none" w:sz="0" w:space="0" w:color="auto"/>
        <w:right w:val="none" w:sz="0" w:space="0" w:color="auto"/>
      </w:divBdr>
    </w:div>
    <w:div w:id="177355349">
      <w:bodyDiv w:val="1"/>
      <w:marLeft w:val="0"/>
      <w:marRight w:val="0"/>
      <w:marTop w:val="0"/>
      <w:marBottom w:val="0"/>
      <w:divBdr>
        <w:top w:val="none" w:sz="0" w:space="0" w:color="auto"/>
        <w:left w:val="none" w:sz="0" w:space="0" w:color="auto"/>
        <w:bottom w:val="none" w:sz="0" w:space="0" w:color="auto"/>
        <w:right w:val="none" w:sz="0" w:space="0" w:color="auto"/>
      </w:divBdr>
    </w:div>
    <w:div w:id="177545212">
      <w:bodyDiv w:val="1"/>
      <w:marLeft w:val="0"/>
      <w:marRight w:val="0"/>
      <w:marTop w:val="0"/>
      <w:marBottom w:val="0"/>
      <w:divBdr>
        <w:top w:val="none" w:sz="0" w:space="0" w:color="auto"/>
        <w:left w:val="none" w:sz="0" w:space="0" w:color="auto"/>
        <w:bottom w:val="none" w:sz="0" w:space="0" w:color="auto"/>
        <w:right w:val="none" w:sz="0" w:space="0" w:color="auto"/>
      </w:divBdr>
    </w:div>
    <w:div w:id="177545964">
      <w:bodyDiv w:val="1"/>
      <w:marLeft w:val="0"/>
      <w:marRight w:val="0"/>
      <w:marTop w:val="0"/>
      <w:marBottom w:val="0"/>
      <w:divBdr>
        <w:top w:val="none" w:sz="0" w:space="0" w:color="auto"/>
        <w:left w:val="none" w:sz="0" w:space="0" w:color="auto"/>
        <w:bottom w:val="none" w:sz="0" w:space="0" w:color="auto"/>
        <w:right w:val="none" w:sz="0" w:space="0" w:color="auto"/>
      </w:divBdr>
    </w:div>
    <w:div w:id="177669506">
      <w:bodyDiv w:val="1"/>
      <w:marLeft w:val="0"/>
      <w:marRight w:val="0"/>
      <w:marTop w:val="0"/>
      <w:marBottom w:val="0"/>
      <w:divBdr>
        <w:top w:val="none" w:sz="0" w:space="0" w:color="auto"/>
        <w:left w:val="none" w:sz="0" w:space="0" w:color="auto"/>
        <w:bottom w:val="none" w:sz="0" w:space="0" w:color="auto"/>
        <w:right w:val="none" w:sz="0" w:space="0" w:color="auto"/>
      </w:divBdr>
    </w:div>
    <w:div w:id="177694335">
      <w:bodyDiv w:val="1"/>
      <w:marLeft w:val="0"/>
      <w:marRight w:val="0"/>
      <w:marTop w:val="0"/>
      <w:marBottom w:val="0"/>
      <w:divBdr>
        <w:top w:val="none" w:sz="0" w:space="0" w:color="auto"/>
        <w:left w:val="none" w:sz="0" w:space="0" w:color="auto"/>
        <w:bottom w:val="none" w:sz="0" w:space="0" w:color="auto"/>
        <w:right w:val="none" w:sz="0" w:space="0" w:color="auto"/>
      </w:divBdr>
    </w:div>
    <w:div w:id="177891707">
      <w:bodyDiv w:val="1"/>
      <w:marLeft w:val="0"/>
      <w:marRight w:val="0"/>
      <w:marTop w:val="0"/>
      <w:marBottom w:val="0"/>
      <w:divBdr>
        <w:top w:val="none" w:sz="0" w:space="0" w:color="auto"/>
        <w:left w:val="none" w:sz="0" w:space="0" w:color="auto"/>
        <w:bottom w:val="none" w:sz="0" w:space="0" w:color="auto"/>
        <w:right w:val="none" w:sz="0" w:space="0" w:color="auto"/>
      </w:divBdr>
    </w:div>
    <w:div w:id="177934344">
      <w:bodyDiv w:val="1"/>
      <w:marLeft w:val="0"/>
      <w:marRight w:val="0"/>
      <w:marTop w:val="0"/>
      <w:marBottom w:val="0"/>
      <w:divBdr>
        <w:top w:val="none" w:sz="0" w:space="0" w:color="auto"/>
        <w:left w:val="none" w:sz="0" w:space="0" w:color="auto"/>
        <w:bottom w:val="none" w:sz="0" w:space="0" w:color="auto"/>
        <w:right w:val="none" w:sz="0" w:space="0" w:color="auto"/>
      </w:divBdr>
    </w:div>
    <w:div w:id="178082484">
      <w:bodyDiv w:val="1"/>
      <w:marLeft w:val="0"/>
      <w:marRight w:val="0"/>
      <w:marTop w:val="0"/>
      <w:marBottom w:val="0"/>
      <w:divBdr>
        <w:top w:val="none" w:sz="0" w:space="0" w:color="auto"/>
        <w:left w:val="none" w:sz="0" w:space="0" w:color="auto"/>
        <w:bottom w:val="none" w:sz="0" w:space="0" w:color="auto"/>
        <w:right w:val="none" w:sz="0" w:space="0" w:color="auto"/>
      </w:divBdr>
    </w:div>
    <w:div w:id="178199833">
      <w:bodyDiv w:val="1"/>
      <w:marLeft w:val="0"/>
      <w:marRight w:val="0"/>
      <w:marTop w:val="0"/>
      <w:marBottom w:val="0"/>
      <w:divBdr>
        <w:top w:val="none" w:sz="0" w:space="0" w:color="auto"/>
        <w:left w:val="none" w:sz="0" w:space="0" w:color="auto"/>
        <w:bottom w:val="none" w:sz="0" w:space="0" w:color="auto"/>
        <w:right w:val="none" w:sz="0" w:space="0" w:color="auto"/>
      </w:divBdr>
    </w:div>
    <w:div w:id="178397114">
      <w:bodyDiv w:val="1"/>
      <w:marLeft w:val="0"/>
      <w:marRight w:val="0"/>
      <w:marTop w:val="0"/>
      <w:marBottom w:val="0"/>
      <w:divBdr>
        <w:top w:val="none" w:sz="0" w:space="0" w:color="auto"/>
        <w:left w:val="none" w:sz="0" w:space="0" w:color="auto"/>
        <w:bottom w:val="none" w:sz="0" w:space="0" w:color="auto"/>
        <w:right w:val="none" w:sz="0" w:space="0" w:color="auto"/>
      </w:divBdr>
    </w:div>
    <w:div w:id="178468934">
      <w:bodyDiv w:val="1"/>
      <w:marLeft w:val="0"/>
      <w:marRight w:val="0"/>
      <w:marTop w:val="0"/>
      <w:marBottom w:val="0"/>
      <w:divBdr>
        <w:top w:val="none" w:sz="0" w:space="0" w:color="auto"/>
        <w:left w:val="none" w:sz="0" w:space="0" w:color="auto"/>
        <w:bottom w:val="none" w:sz="0" w:space="0" w:color="auto"/>
        <w:right w:val="none" w:sz="0" w:space="0" w:color="auto"/>
      </w:divBdr>
    </w:div>
    <w:div w:id="178736726">
      <w:bodyDiv w:val="1"/>
      <w:marLeft w:val="0"/>
      <w:marRight w:val="0"/>
      <w:marTop w:val="0"/>
      <w:marBottom w:val="0"/>
      <w:divBdr>
        <w:top w:val="none" w:sz="0" w:space="0" w:color="auto"/>
        <w:left w:val="none" w:sz="0" w:space="0" w:color="auto"/>
        <w:bottom w:val="none" w:sz="0" w:space="0" w:color="auto"/>
        <w:right w:val="none" w:sz="0" w:space="0" w:color="auto"/>
      </w:divBdr>
    </w:div>
    <w:div w:id="178737328">
      <w:bodyDiv w:val="1"/>
      <w:marLeft w:val="0"/>
      <w:marRight w:val="0"/>
      <w:marTop w:val="0"/>
      <w:marBottom w:val="0"/>
      <w:divBdr>
        <w:top w:val="none" w:sz="0" w:space="0" w:color="auto"/>
        <w:left w:val="none" w:sz="0" w:space="0" w:color="auto"/>
        <w:bottom w:val="none" w:sz="0" w:space="0" w:color="auto"/>
        <w:right w:val="none" w:sz="0" w:space="0" w:color="auto"/>
      </w:divBdr>
    </w:div>
    <w:div w:id="178812262">
      <w:bodyDiv w:val="1"/>
      <w:marLeft w:val="0"/>
      <w:marRight w:val="0"/>
      <w:marTop w:val="0"/>
      <w:marBottom w:val="0"/>
      <w:divBdr>
        <w:top w:val="none" w:sz="0" w:space="0" w:color="auto"/>
        <w:left w:val="none" w:sz="0" w:space="0" w:color="auto"/>
        <w:bottom w:val="none" w:sz="0" w:space="0" w:color="auto"/>
        <w:right w:val="none" w:sz="0" w:space="0" w:color="auto"/>
      </w:divBdr>
    </w:div>
    <w:div w:id="178852992">
      <w:bodyDiv w:val="1"/>
      <w:marLeft w:val="0"/>
      <w:marRight w:val="0"/>
      <w:marTop w:val="0"/>
      <w:marBottom w:val="0"/>
      <w:divBdr>
        <w:top w:val="none" w:sz="0" w:space="0" w:color="auto"/>
        <w:left w:val="none" w:sz="0" w:space="0" w:color="auto"/>
        <w:bottom w:val="none" w:sz="0" w:space="0" w:color="auto"/>
        <w:right w:val="none" w:sz="0" w:space="0" w:color="auto"/>
      </w:divBdr>
    </w:div>
    <w:div w:id="178855908">
      <w:bodyDiv w:val="1"/>
      <w:marLeft w:val="0"/>
      <w:marRight w:val="0"/>
      <w:marTop w:val="0"/>
      <w:marBottom w:val="0"/>
      <w:divBdr>
        <w:top w:val="none" w:sz="0" w:space="0" w:color="auto"/>
        <w:left w:val="none" w:sz="0" w:space="0" w:color="auto"/>
        <w:bottom w:val="none" w:sz="0" w:space="0" w:color="auto"/>
        <w:right w:val="none" w:sz="0" w:space="0" w:color="auto"/>
      </w:divBdr>
    </w:div>
    <w:div w:id="179202876">
      <w:bodyDiv w:val="1"/>
      <w:marLeft w:val="0"/>
      <w:marRight w:val="0"/>
      <w:marTop w:val="0"/>
      <w:marBottom w:val="0"/>
      <w:divBdr>
        <w:top w:val="none" w:sz="0" w:space="0" w:color="auto"/>
        <w:left w:val="none" w:sz="0" w:space="0" w:color="auto"/>
        <w:bottom w:val="none" w:sz="0" w:space="0" w:color="auto"/>
        <w:right w:val="none" w:sz="0" w:space="0" w:color="auto"/>
      </w:divBdr>
    </w:div>
    <w:div w:id="179246761">
      <w:bodyDiv w:val="1"/>
      <w:marLeft w:val="0"/>
      <w:marRight w:val="0"/>
      <w:marTop w:val="0"/>
      <w:marBottom w:val="0"/>
      <w:divBdr>
        <w:top w:val="none" w:sz="0" w:space="0" w:color="auto"/>
        <w:left w:val="none" w:sz="0" w:space="0" w:color="auto"/>
        <w:bottom w:val="none" w:sz="0" w:space="0" w:color="auto"/>
        <w:right w:val="none" w:sz="0" w:space="0" w:color="auto"/>
      </w:divBdr>
    </w:div>
    <w:div w:id="179705680">
      <w:bodyDiv w:val="1"/>
      <w:marLeft w:val="0"/>
      <w:marRight w:val="0"/>
      <w:marTop w:val="0"/>
      <w:marBottom w:val="0"/>
      <w:divBdr>
        <w:top w:val="none" w:sz="0" w:space="0" w:color="auto"/>
        <w:left w:val="none" w:sz="0" w:space="0" w:color="auto"/>
        <w:bottom w:val="none" w:sz="0" w:space="0" w:color="auto"/>
        <w:right w:val="none" w:sz="0" w:space="0" w:color="auto"/>
      </w:divBdr>
    </w:div>
    <w:div w:id="179706757">
      <w:bodyDiv w:val="1"/>
      <w:marLeft w:val="0"/>
      <w:marRight w:val="0"/>
      <w:marTop w:val="0"/>
      <w:marBottom w:val="0"/>
      <w:divBdr>
        <w:top w:val="none" w:sz="0" w:space="0" w:color="auto"/>
        <w:left w:val="none" w:sz="0" w:space="0" w:color="auto"/>
        <w:bottom w:val="none" w:sz="0" w:space="0" w:color="auto"/>
        <w:right w:val="none" w:sz="0" w:space="0" w:color="auto"/>
      </w:divBdr>
    </w:div>
    <w:div w:id="179709830">
      <w:bodyDiv w:val="1"/>
      <w:marLeft w:val="0"/>
      <w:marRight w:val="0"/>
      <w:marTop w:val="0"/>
      <w:marBottom w:val="0"/>
      <w:divBdr>
        <w:top w:val="none" w:sz="0" w:space="0" w:color="auto"/>
        <w:left w:val="none" w:sz="0" w:space="0" w:color="auto"/>
        <w:bottom w:val="none" w:sz="0" w:space="0" w:color="auto"/>
        <w:right w:val="none" w:sz="0" w:space="0" w:color="auto"/>
      </w:divBdr>
    </w:div>
    <w:div w:id="179854168">
      <w:bodyDiv w:val="1"/>
      <w:marLeft w:val="0"/>
      <w:marRight w:val="0"/>
      <w:marTop w:val="0"/>
      <w:marBottom w:val="0"/>
      <w:divBdr>
        <w:top w:val="none" w:sz="0" w:space="0" w:color="auto"/>
        <w:left w:val="none" w:sz="0" w:space="0" w:color="auto"/>
        <w:bottom w:val="none" w:sz="0" w:space="0" w:color="auto"/>
        <w:right w:val="none" w:sz="0" w:space="0" w:color="auto"/>
      </w:divBdr>
    </w:div>
    <w:div w:id="179901232">
      <w:bodyDiv w:val="1"/>
      <w:marLeft w:val="0"/>
      <w:marRight w:val="0"/>
      <w:marTop w:val="0"/>
      <w:marBottom w:val="0"/>
      <w:divBdr>
        <w:top w:val="none" w:sz="0" w:space="0" w:color="auto"/>
        <w:left w:val="none" w:sz="0" w:space="0" w:color="auto"/>
        <w:bottom w:val="none" w:sz="0" w:space="0" w:color="auto"/>
        <w:right w:val="none" w:sz="0" w:space="0" w:color="auto"/>
      </w:divBdr>
    </w:div>
    <w:div w:id="180433218">
      <w:bodyDiv w:val="1"/>
      <w:marLeft w:val="0"/>
      <w:marRight w:val="0"/>
      <w:marTop w:val="0"/>
      <w:marBottom w:val="0"/>
      <w:divBdr>
        <w:top w:val="none" w:sz="0" w:space="0" w:color="auto"/>
        <w:left w:val="none" w:sz="0" w:space="0" w:color="auto"/>
        <w:bottom w:val="none" w:sz="0" w:space="0" w:color="auto"/>
        <w:right w:val="none" w:sz="0" w:space="0" w:color="auto"/>
      </w:divBdr>
    </w:div>
    <w:div w:id="180508434">
      <w:bodyDiv w:val="1"/>
      <w:marLeft w:val="0"/>
      <w:marRight w:val="0"/>
      <w:marTop w:val="0"/>
      <w:marBottom w:val="0"/>
      <w:divBdr>
        <w:top w:val="none" w:sz="0" w:space="0" w:color="auto"/>
        <w:left w:val="none" w:sz="0" w:space="0" w:color="auto"/>
        <w:bottom w:val="none" w:sz="0" w:space="0" w:color="auto"/>
        <w:right w:val="none" w:sz="0" w:space="0" w:color="auto"/>
      </w:divBdr>
    </w:div>
    <w:div w:id="180626783">
      <w:bodyDiv w:val="1"/>
      <w:marLeft w:val="0"/>
      <w:marRight w:val="0"/>
      <w:marTop w:val="0"/>
      <w:marBottom w:val="0"/>
      <w:divBdr>
        <w:top w:val="none" w:sz="0" w:space="0" w:color="auto"/>
        <w:left w:val="none" w:sz="0" w:space="0" w:color="auto"/>
        <w:bottom w:val="none" w:sz="0" w:space="0" w:color="auto"/>
        <w:right w:val="none" w:sz="0" w:space="0" w:color="auto"/>
      </w:divBdr>
    </w:div>
    <w:div w:id="180822187">
      <w:bodyDiv w:val="1"/>
      <w:marLeft w:val="0"/>
      <w:marRight w:val="0"/>
      <w:marTop w:val="0"/>
      <w:marBottom w:val="0"/>
      <w:divBdr>
        <w:top w:val="none" w:sz="0" w:space="0" w:color="auto"/>
        <w:left w:val="none" w:sz="0" w:space="0" w:color="auto"/>
        <w:bottom w:val="none" w:sz="0" w:space="0" w:color="auto"/>
        <w:right w:val="none" w:sz="0" w:space="0" w:color="auto"/>
      </w:divBdr>
    </w:div>
    <w:div w:id="180975372">
      <w:bodyDiv w:val="1"/>
      <w:marLeft w:val="0"/>
      <w:marRight w:val="0"/>
      <w:marTop w:val="0"/>
      <w:marBottom w:val="0"/>
      <w:divBdr>
        <w:top w:val="none" w:sz="0" w:space="0" w:color="auto"/>
        <w:left w:val="none" w:sz="0" w:space="0" w:color="auto"/>
        <w:bottom w:val="none" w:sz="0" w:space="0" w:color="auto"/>
        <w:right w:val="none" w:sz="0" w:space="0" w:color="auto"/>
      </w:divBdr>
    </w:div>
    <w:div w:id="181168498">
      <w:bodyDiv w:val="1"/>
      <w:marLeft w:val="0"/>
      <w:marRight w:val="0"/>
      <w:marTop w:val="0"/>
      <w:marBottom w:val="0"/>
      <w:divBdr>
        <w:top w:val="none" w:sz="0" w:space="0" w:color="auto"/>
        <w:left w:val="none" w:sz="0" w:space="0" w:color="auto"/>
        <w:bottom w:val="none" w:sz="0" w:space="0" w:color="auto"/>
        <w:right w:val="none" w:sz="0" w:space="0" w:color="auto"/>
      </w:divBdr>
    </w:div>
    <w:div w:id="181169481">
      <w:bodyDiv w:val="1"/>
      <w:marLeft w:val="0"/>
      <w:marRight w:val="0"/>
      <w:marTop w:val="0"/>
      <w:marBottom w:val="0"/>
      <w:divBdr>
        <w:top w:val="none" w:sz="0" w:space="0" w:color="auto"/>
        <w:left w:val="none" w:sz="0" w:space="0" w:color="auto"/>
        <w:bottom w:val="none" w:sz="0" w:space="0" w:color="auto"/>
        <w:right w:val="none" w:sz="0" w:space="0" w:color="auto"/>
      </w:divBdr>
    </w:div>
    <w:div w:id="181212676">
      <w:bodyDiv w:val="1"/>
      <w:marLeft w:val="0"/>
      <w:marRight w:val="0"/>
      <w:marTop w:val="0"/>
      <w:marBottom w:val="0"/>
      <w:divBdr>
        <w:top w:val="none" w:sz="0" w:space="0" w:color="auto"/>
        <w:left w:val="none" w:sz="0" w:space="0" w:color="auto"/>
        <w:bottom w:val="none" w:sz="0" w:space="0" w:color="auto"/>
        <w:right w:val="none" w:sz="0" w:space="0" w:color="auto"/>
      </w:divBdr>
    </w:div>
    <w:div w:id="181357722">
      <w:bodyDiv w:val="1"/>
      <w:marLeft w:val="0"/>
      <w:marRight w:val="0"/>
      <w:marTop w:val="0"/>
      <w:marBottom w:val="0"/>
      <w:divBdr>
        <w:top w:val="none" w:sz="0" w:space="0" w:color="auto"/>
        <w:left w:val="none" w:sz="0" w:space="0" w:color="auto"/>
        <w:bottom w:val="none" w:sz="0" w:space="0" w:color="auto"/>
        <w:right w:val="none" w:sz="0" w:space="0" w:color="auto"/>
      </w:divBdr>
    </w:div>
    <w:div w:id="181363256">
      <w:bodyDiv w:val="1"/>
      <w:marLeft w:val="0"/>
      <w:marRight w:val="0"/>
      <w:marTop w:val="0"/>
      <w:marBottom w:val="0"/>
      <w:divBdr>
        <w:top w:val="none" w:sz="0" w:space="0" w:color="auto"/>
        <w:left w:val="none" w:sz="0" w:space="0" w:color="auto"/>
        <w:bottom w:val="none" w:sz="0" w:space="0" w:color="auto"/>
        <w:right w:val="none" w:sz="0" w:space="0" w:color="auto"/>
      </w:divBdr>
    </w:div>
    <w:div w:id="181364010">
      <w:bodyDiv w:val="1"/>
      <w:marLeft w:val="0"/>
      <w:marRight w:val="0"/>
      <w:marTop w:val="0"/>
      <w:marBottom w:val="0"/>
      <w:divBdr>
        <w:top w:val="none" w:sz="0" w:space="0" w:color="auto"/>
        <w:left w:val="none" w:sz="0" w:space="0" w:color="auto"/>
        <w:bottom w:val="none" w:sz="0" w:space="0" w:color="auto"/>
        <w:right w:val="none" w:sz="0" w:space="0" w:color="auto"/>
      </w:divBdr>
    </w:div>
    <w:div w:id="181403970">
      <w:bodyDiv w:val="1"/>
      <w:marLeft w:val="0"/>
      <w:marRight w:val="0"/>
      <w:marTop w:val="0"/>
      <w:marBottom w:val="0"/>
      <w:divBdr>
        <w:top w:val="none" w:sz="0" w:space="0" w:color="auto"/>
        <w:left w:val="none" w:sz="0" w:space="0" w:color="auto"/>
        <w:bottom w:val="none" w:sz="0" w:space="0" w:color="auto"/>
        <w:right w:val="none" w:sz="0" w:space="0" w:color="auto"/>
      </w:divBdr>
    </w:div>
    <w:div w:id="181433423">
      <w:bodyDiv w:val="1"/>
      <w:marLeft w:val="0"/>
      <w:marRight w:val="0"/>
      <w:marTop w:val="0"/>
      <w:marBottom w:val="0"/>
      <w:divBdr>
        <w:top w:val="none" w:sz="0" w:space="0" w:color="auto"/>
        <w:left w:val="none" w:sz="0" w:space="0" w:color="auto"/>
        <w:bottom w:val="none" w:sz="0" w:space="0" w:color="auto"/>
        <w:right w:val="none" w:sz="0" w:space="0" w:color="auto"/>
      </w:divBdr>
    </w:div>
    <w:div w:id="181750188">
      <w:bodyDiv w:val="1"/>
      <w:marLeft w:val="0"/>
      <w:marRight w:val="0"/>
      <w:marTop w:val="0"/>
      <w:marBottom w:val="0"/>
      <w:divBdr>
        <w:top w:val="none" w:sz="0" w:space="0" w:color="auto"/>
        <w:left w:val="none" w:sz="0" w:space="0" w:color="auto"/>
        <w:bottom w:val="none" w:sz="0" w:space="0" w:color="auto"/>
        <w:right w:val="none" w:sz="0" w:space="0" w:color="auto"/>
      </w:divBdr>
    </w:div>
    <w:div w:id="181823897">
      <w:bodyDiv w:val="1"/>
      <w:marLeft w:val="0"/>
      <w:marRight w:val="0"/>
      <w:marTop w:val="0"/>
      <w:marBottom w:val="0"/>
      <w:divBdr>
        <w:top w:val="none" w:sz="0" w:space="0" w:color="auto"/>
        <w:left w:val="none" w:sz="0" w:space="0" w:color="auto"/>
        <w:bottom w:val="none" w:sz="0" w:space="0" w:color="auto"/>
        <w:right w:val="none" w:sz="0" w:space="0" w:color="auto"/>
      </w:divBdr>
    </w:div>
    <w:div w:id="181826031">
      <w:bodyDiv w:val="1"/>
      <w:marLeft w:val="0"/>
      <w:marRight w:val="0"/>
      <w:marTop w:val="0"/>
      <w:marBottom w:val="0"/>
      <w:divBdr>
        <w:top w:val="none" w:sz="0" w:space="0" w:color="auto"/>
        <w:left w:val="none" w:sz="0" w:space="0" w:color="auto"/>
        <w:bottom w:val="none" w:sz="0" w:space="0" w:color="auto"/>
        <w:right w:val="none" w:sz="0" w:space="0" w:color="auto"/>
      </w:divBdr>
    </w:div>
    <w:div w:id="181869573">
      <w:bodyDiv w:val="1"/>
      <w:marLeft w:val="0"/>
      <w:marRight w:val="0"/>
      <w:marTop w:val="0"/>
      <w:marBottom w:val="0"/>
      <w:divBdr>
        <w:top w:val="none" w:sz="0" w:space="0" w:color="auto"/>
        <w:left w:val="none" w:sz="0" w:space="0" w:color="auto"/>
        <w:bottom w:val="none" w:sz="0" w:space="0" w:color="auto"/>
        <w:right w:val="none" w:sz="0" w:space="0" w:color="auto"/>
      </w:divBdr>
    </w:div>
    <w:div w:id="181944203">
      <w:bodyDiv w:val="1"/>
      <w:marLeft w:val="0"/>
      <w:marRight w:val="0"/>
      <w:marTop w:val="0"/>
      <w:marBottom w:val="0"/>
      <w:divBdr>
        <w:top w:val="none" w:sz="0" w:space="0" w:color="auto"/>
        <w:left w:val="none" w:sz="0" w:space="0" w:color="auto"/>
        <w:bottom w:val="none" w:sz="0" w:space="0" w:color="auto"/>
        <w:right w:val="none" w:sz="0" w:space="0" w:color="auto"/>
      </w:divBdr>
    </w:div>
    <w:div w:id="182012998">
      <w:bodyDiv w:val="1"/>
      <w:marLeft w:val="0"/>
      <w:marRight w:val="0"/>
      <w:marTop w:val="0"/>
      <w:marBottom w:val="0"/>
      <w:divBdr>
        <w:top w:val="none" w:sz="0" w:space="0" w:color="auto"/>
        <w:left w:val="none" w:sz="0" w:space="0" w:color="auto"/>
        <w:bottom w:val="none" w:sz="0" w:space="0" w:color="auto"/>
        <w:right w:val="none" w:sz="0" w:space="0" w:color="auto"/>
      </w:divBdr>
    </w:div>
    <w:div w:id="182061765">
      <w:bodyDiv w:val="1"/>
      <w:marLeft w:val="0"/>
      <w:marRight w:val="0"/>
      <w:marTop w:val="0"/>
      <w:marBottom w:val="0"/>
      <w:divBdr>
        <w:top w:val="none" w:sz="0" w:space="0" w:color="auto"/>
        <w:left w:val="none" w:sz="0" w:space="0" w:color="auto"/>
        <w:bottom w:val="none" w:sz="0" w:space="0" w:color="auto"/>
        <w:right w:val="none" w:sz="0" w:space="0" w:color="auto"/>
      </w:divBdr>
    </w:div>
    <w:div w:id="182086924">
      <w:bodyDiv w:val="1"/>
      <w:marLeft w:val="0"/>
      <w:marRight w:val="0"/>
      <w:marTop w:val="0"/>
      <w:marBottom w:val="0"/>
      <w:divBdr>
        <w:top w:val="none" w:sz="0" w:space="0" w:color="auto"/>
        <w:left w:val="none" w:sz="0" w:space="0" w:color="auto"/>
        <w:bottom w:val="none" w:sz="0" w:space="0" w:color="auto"/>
        <w:right w:val="none" w:sz="0" w:space="0" w:color="auto"/>
      </w:divBdr>
    </w:div>
    <w:div w:id="182213261">
      <w:bodyDiv w:val="1"/>
      <w:marLeft w:val="0"/>
      <w:marRight w:val="0"/>
      <w:marTop w:val="0"/>
      <w:marBottom w:val="0"/>
      <w:divBdr>
        <w:top w:val="none" w:sz="0" w:space="0" w:color="auto"/>
        <w:left w:val="none" w:sz="0" w:space="0" w:color="auto"/>
        <w:bottom w:val="none" w:sz="0" w:space="0" w:color="auto"/>
        <w:right w:val="none" w:sz="0" w:space="0" w:color="auto"/>
      </w:divBdr>
    </w:div>
    <w:div w:id="182404028">
      <w:bodyDiv w:val="1"/>
      <w:marLeft w:val="0"/>
      <w:marRight w:val="0"/>
      <w:marTop w:val="0"/>
      <w:marBottom w:val="0"/>
      <w:divBdr>
        <w:top w:val="none" w:sz="0" w:space="0" w:color="auto"/>
        <w:left w:val="none" w:sz="0" w:space="0" w:color="auto"/>
        <w:bottom w:val="none" w:sz="0" w:space="0" w:color="auto"/>
        <w:right w:val="none" w:sz="0" w:space="0" w:color="auto"/>
      </w:divBdr>
    </w:div>
    <w:div w:id="182667160">
      <w:bodyDiv w:val="1"/>
      <w:marLeft w:val="0"/>
      <w:marRight w:val="0"/>
      <w:marTop w:val="0"/>
      <w:marBottom w:val="0"/>
      <w:divBdr>
        <w:top w:val="none" w:sz="0" w:space="0" w:color="auto"/>
        <w:left w:val="none" w:sz="0" w:space="0" w:color="auto"/>
        <w:bottom w:val="none" w:sz="0" w:space="0" w:color="auto"/>
        <w:right w:val="none" w:sz="0" w:space="0" w:color="auto"/>
      </w:divBdr>
    </w:div>
    <w:div w:id="182717034">
      <w:bodyDiv w:val="1"/>
      <w:marLeft w:val="0"/>
      <w:marRight w:val="0"/>
      <w:marTop w:val="0"/>
      <w:marBottom w:val="0"/>
      <w:divBdr>
        <w:top w:val="none" w:sz="0" w:space="0" w:color="auto"/>
        <w:left w:val="none" w:sz="0" w:space="0" w:color="auto"/>
        <w:bottom w:val="none" w:sz="0" w:space="0" w:color="auto"/>
        <w:right w:val="none" w:sz="0" w:space="0" w:color="auto"/>
      </w:divBdr>
    </w:div>
    <w:div w:id="182785775">
      <w:bodyDiv w:val="1"/>
      <w:marLeft w:val="0"/>
      <w:marRight w:val="0"/>
      <w:marTop w:val="0"/>
      <w:marBottom w:val="0"/>
      <w:divBdr>
        <w:top w:val="none" w:sz="0" w:space="0" w:color="auto"/>
        <w:left w:val="none" w:sz="0" w:space="0" w:color="auto"/>
        <w:bottom w:val="none" w:sz="0" w:space="0" w:color="auto"/>
        <w:right w:val="none" w:sz="0" w:space="0" w:color="auto"/>
      </w:divBdr>
    </w:div>
    <w:div w:id="183058353">
      <w:bodyDiv w:val="1"/>
      <w:marLeft w:val="0"/>
      <w:marRight w:val="0"/>
      <w:marTop w:val="0"/>
      <w:marBottom w:val="0"/>
      <w:divBdr>
        <w:top w:val="none" w:sz="0" w:space="0" w:color="auto"/>
        <w:left w:val="none" w:sz="0" w:space="0" w:color="auto"/>
        <w:bottom w:val="none" w:sz="0" w:space="0" w:color="auto"/>
        <w:right w:val="none" w:sz="0" w:space="0" w:color="auto"/>
      </w:divBdr>
    </w:div>
    <w:div w:id="183177530">
      <w:bodyDiv w:val="1"/>
      <w:marLeft w:val="0"/>
      <w:marRight w:val="0"/>
      <w:marTop w:val="0"/>
      <w:marBottom w:val="0"/>
      <w:divBdr>
        <w:top w:val="none" w:sz="0" w:space="0" w:color="auto"/>
        <w:left w:val="none" w:sz="0" w:space="0" w:color="auto"/>
        <w:bottom w:val="none" w:sz="0" w:space="0" w:color="auto"/>
        <w:right w:val="none" w:sz="0" w:space="0" w:color="auto"/>
      </w:divBdr>
    </w:div>
    <w:div w:id="183204476">
      <w:bodyDiv w:val="1"/>
      <w:marLeft w:val="0"/>
      <w:marRight w:val="0"/>
      <w:marTop w:val="0"/>
      <w:marBottom w:val="0"/>
      <w:divBdr>
        <w:top w:val="none" w:sz="0" w:space="0" w:color="auto"/>
        <w:left w:val="none" w:sz="0" w:space="0" w:color="auto"/>
        <w:bottom w:val="none" w:sz="0" w:space="0" w:color="auto"/>
        <w:right w:val="none" w:sz="0" w:space="0" w:color="auto"/>
      </w:divBdr>
    </w:div>
    <w:div w:id="183249655">
      <w:bodyDiv w:val="1"/>
      <w:marLeft w:val="0"/>
      <w:marRight w:val="0"/>
      <w:marTop w:val="0"/>
      <w:marBottom w:val="0"/>
      <w:divBdr>
        <w:top w:val="none" w:sz="0" w:space="0" w:color="auto"/>
        <w:left w:val="none" w:sz="0" w:space="0" w:color="auto"/>
        <w:bottom w:val="none" w:sz="0" w:space="0" w:color="auto"/>
        <w:right w:val="none" w:sz="0" w:space="0" w:color="auto"/>
      </w:divBdr>
    </w:div>
    <w:div w:id="183331366">
      <w:bodyDiv w:val="1"/>
      <w:marLeft w:val="0"/>
      <w:marRight w:val="0"/>
      <w:marTop w:val="0"/>
      <w:marBottom w:val="0"/>
      <w:divBdr>
        <w:top w:val="none" w:sz="0" w:space="0" w:color="auto"/>
        <w:left w:val="none" w:sz="0" w:space="0" w:color="auto"/>
        <w:bottom w:val="none" w:sz="0" w:space="0" w:color="auto"/>
        <w:right w:val="none" w:sz="0" w:space="0" w:color="auto"/>
      </w:divBdr>
    </w:div>
    <w:div w:id="183372386">
      <w:bodyDiv w:val="1"/>
      <w:marLeft w:val="0"/>
      <w:marRight w:val="0"/>
      <w:marTop w:val="0"/>
      <w:marBottom w:val="0"/>
      <w:divBdr>
        <w:top w:val="none" w:sz="0" w:space="0" w:color="auto"/>
        <w:left w:val="none" w:sz="0" w:space="0" w:color="auto"/>
        <w:bottom w:val="none" w:sz="0" w:space="0" w:color="auto"/>
        <w:right w:val="none" w:sz="0" w:space="0" w:color="auto"/>
      </w:divBdr>
    </w:div>
    <w:div w:id="183598217">
      <w:bodyDiv w:val="1"/>
      <w:marLeft w:val="0"/>
      <w:marRight w:val="0"/>
      <w:marTop w:val="0"/>
      <w:marBottom w:val="0"/>
      <w:divBdr>
        <w:top w:val="none" w:sz="0" w:space="0" w:color="auto"/>
        <w:left w:val="none" w:sz="0" w:space="0" w:color="auto"/>
        <w:bottom w:val="none" w:sz="0" w:space="0" w:color="auto"/>
        <w:right w:val="none" w:sz="0" w:space="0" w:color="auto"/>
      </w:divBdr>
    </w:div>
    <w:div w:id="183640004">
      <w:bodyDiv w:val="1"/>
      <w:marLeft w:val="0"/>
      <w:marRight w:val="0"/>
      <w:marTop w:val="0"/>
      <w:marBottom w:val="0"/>
      <w:divBdr>
        <w:top w:val="none" w:sz="0" w:space="0" w:color="auto"/>
        <w:left w:val="none" w:sz="0" w:space="0" w:color="auto"/>
        <w:bottom w:val="none" w:sz="0" w:space="0" w:color="auto"/>
        <w:right w:val="none" w:sz="0" w:space="0" w:color="auto"/>
      </w:divBdr>
    </w:div>
    <w:div w:id="183790900">
      <w:bodyDiv w:val="1"/>
      <w:marLeft w:val="0"/>
      <w:marRight w:val="0"/>
      <w:marTop w:val="0"/>
      <w:marBottom w:val="0"/>
      <w:divBdr>
        <w:top w:val="none" w:sz="0" w:space="0" w:color="auto"/>
        <w:left w:val="none" w:sz="0" w:space="0" w:color="auto"/>
        <w:bottom w:val="none" w:sz="0" w:space="0" w:color="auto"/>
        <w:right w:val="none" w:sz="0" w:space="0" w:color="auto"/>
      </w:divBdr>
    </w:div>
    <w:div w:id="183901650">
      <w:bodyDiv w:val="1"/>
      <w:marLeft w:val="0"/>
      <w:marRight w:val="0"/>
      <w:marTop w:val="0"/>
      <w:marBottom w:val="0"/>
      <w:divBdr>
        <w:top w:val="none" w:sz="0" w:space="0" w:color="auto"/>
        <w:left w:val="none" w:sz="0" w:space="0" w:color="auto"/>
        <w:bottom w:val="none" w:sz="0" w:space="0" w:color="auto"/>
        <w:right w:val="none" w:sz="0" w:space="0" w:color="auto"/>
      </w:divBdr>
    </w:div>
    <w:div w:id="184056374">
      <w:bodyDiv w:val="1"/>
      <w:marLeft w:val="0"/>
      <w:marRight w:val="0"/>
      <w:marTop w:val="0"/>
      <w:marBottom w:val="0"/>
      <w:divBdr>
        <w:top w:val="none" w:sz="0" w:space="0" w:color="auto"/>
        <w:left w:val="none" w:sz="0" w:space="0" w:color="auto"/>
        <w:bottom w:val="none" w:sz="0" w:space="0" w:color="auto"/>
        <w:right w:val="none" w:sz="0" w:space="0" w:color="auto"/>
      </w:divBdr>
    </w:div>
    <w:div w:id="184294319">
      <w:bodyDiv w:val="1"/>
      <w:marLeft w:val="0"/>
      <w:marRight w:val="0"/>
      <w:marTop w:val="0"/>
      <w:marBottom w:val="0"/>
      <w:divBdr>
        <w:top w:val="none" w:sz="0" w:space="0" w:color="auto"/>
        <w:left w:val="none" w:sz="0" w:space="0" w:color="auto"/>
        <w:bottom w:val="none" w:sz="0" w:space="0" w:color="auto"/>
        <w:right w:val="none" w:sz="0" w:space="0" w:color="auto"/>
      </w:divBdr>
    </w:div>
    <w:div w:id="184369287">
      <w:bodyDiv w:val="1"/>
      <w:marLeft w:val="0"/>
      <w:marRight w:val="0"/>
      <w:marTop w:val="0"/>
      <w:marBottom w:val="0"/>
      <w:divBdr>
        <w:top w:val="none" w:sz="0" w:space="0" w:color="auto"/>
        <w:left w:val="none" w:sz="0" w:space="0" w:color="auto"/>
        <w:bottom w:val="none" w:sz="0" w:space="0" w:color="auto"/>
        <w:right w:val="none" w:sz="0" w:space="0" w:color="auto"/>
      </w:divBdr>
    </w:div>
    <w:div w:id="184371731">
      <w:bodyDiv w:val="1"/>
      <w:marLeft w:val="0"/>
      <w:marRight w:val="0"/>
      <w:marTop w:val="0"/>
      <w:marBottom w:val="0"/>
      <w:divBdr>
        <w:top w:val="none" w:sz="0" w:space="0" w:color="auto"/>
        <w:left w:val="none" w:sz="0" w:space="0" w:color="auto"/>
        <w:bottom w:val="none" w:sz="0" w:space="0" w:color="auto"/>
        <w:right w:val="none" w:sz="0" w:space="0" w:color="auto"/>
      </w:divBdr>
    </w:div>
    <w:div w:id="184441318">
      <w:bodyDiv w:val="1"/>
      <w:marLeft w:val="0"/>
      <w:marRight w:val="0"/>
      <w:marTop w:val="0"/>
      <w:marBottom w:val="0"/>
      <w:divBdr>
        <w:top w:val="none" w:sz="0" w:space="0" w:color="auto"/>
        <w:left w:val="none" w:sz="0" w:space="0" w:color="auto"/>
        <w:bottom w:val="none" w:sz="0" w:space="0" w:color="auto"/>
        <w:right w:val="none" w:sz="0" w:space="0" w:color="auto"/>
      </w:divBdr>
    </w:div>
    <w:div w:id="184486674">
      <w:bodyDiv w:val="1"/>
      <w:marLeft w:val="0"/>
      <w:marRight w:val="0"/>
      <w:marTop w:val="0"/>
      <w:marBottom w:val="0"/>
      <w:divBdr>
        <w:top w:val="none" w:sz="0" w:space="0" w:color="auto"/>
        <w:left w:val="none" w:sz="0" w:space="0" w:color="auto"/>
        <w:bottom w:val="none" w:sz="0" w:space="0" w:color="auto"/>
        <w:right w:val="none" w:sz="0" w:space="0" w:color="auto"/>
      </w:divBdr>
    </w:div>
    <w:div w:id="184486904">
      <w:bodyDiv w:val="1"/>
      <w:marLeft w:val="0"/>
      <w:marRight w:val="0"/>
      <w:marTop w:val="0"/>
      <w:marBottom w:val="0"/>
      <w:divBdr>
        <w:top w:val="none" w:sz="0" w:space="0" w:color="auto"/>
        <w:left w:val="none" w:sz="0" w:space="0" w:color="auto"/>
        <w:bottom w:val="none" w:sz="0" w:space="0" w:color="auto"/>
        <w:right w:val="none" w:sz="0" w:space="0" w:color="auto"/>
      </w:divBdr>
    </w:div>
    <w:div w:id="184640864">
      <w:bodyDiv w:val="1"/>
      <w:marLeft w:val="0"/>
      <w:marRight w:val="0"/>
      <w:marTop w:val="0"/>
      <w:marBottom w:val="0"/>
      <w:divBdr>
        <w:top w:val="none" w:sz="0" w:space="0" w:color="auto"/>
        <w:left w:val="none" w:sz="0" w:space="0" w:color="auto"/>
        <w:bottom w:val="none" w:sz="0" w:space="0" w:color="auto"/>
        <w:right w:val="none" w:sz="0" w:space="0" w:color="auto"/>
      </w:divBdr>
    </w:div>
    <w:div w:id="184751473">
      <w:bodyDiv w:val="1"/>
      <w:marLeft w:val="0"/>
      <w:marRight w:val="0"/>
      <w:marTop w:val="0"/>
      <w:marBottom w:val="0"/>
      <w:divBdr>
        <w:top w:val="none" w:sz="0" w:space="0" w:color="auto"/>
        <w:left w:val="none" w:sz="0" w:space="0" w:color="auto"/>
        <w:bottom w:val="none" w:sz="0" w:space="0" w:color="auto"/>
        <w:right w:val="none" w:sz="0" w:space="0" w:color="auto"/>
      </w:divBdr>
    </w:div>
    <w:div w:id="184908244">
      <w:bodyDiv w:val="1"/>
      <w:marLeft w:val="0"/>
      <w:marRight w:val="0"/>
      <w:marTop w:val="0"/>
      <w:marBottom w:val="0"/>
      <w:divBdr>
        <w:top w:val="none" w:sz="0" w:space="0" w:color="auto"/>
        <w:left w:val="none" w:sz="0" w:space="0" w:color="auto"/>
        <w:bottom w:val="none" w:sz="0" w:space="0" w:color="auto"/>
        <w:right w:val="none" w:sz="0" w:space="0" w:color="auto"/>
      </w:divBdr>
    </w:div>
    <w:div w:id="184953314">
      <w:bodyDiv w:val="1"/>
      <w:marLeft w:val="0"/>
      <w:marRight w:val="0"/>
      <w:marTop w:val="0"/>
      <w:marBottom w:val="0"/>
      <w:divBdr>
        <w:top w:val="none" w:sz="0" w:space="0" w:color="auto"/>
        <w:left w:val="none" w:sz="0" w:space="0" w:color="auto"/>
        <w:bottom w:val="none" w:sz="0" w:space="0" w:color="auto"/>
        <w:right w:val="none" w:sz="0" w:space="0" w:color="auto"/>
      </w:divBdr>
    </w:div>
    <w:div w:id="185022416">
      <w:bodyDiv w:val="1"/>
      <w:marLeft w:val="0"/>
      <w:marRight w:val="0"/>
      <w:marTop w:val="0"/>
      <w:marBottom w:val="0"/>
      <w:divBdr>
        <w:top w:val="none" w:sz="0" w:space="0" w:color="auto"/>
        <w:left w:val="none" w:sz="0" w:space="0" w:color="auto"/>
        <w:bottom w:val="none" w:sz="0" w:space="0" w:color="auto"/>
        <w:right w:val="none" w:sz="0" w:space="0" w:color="auto"/>
      </w:divBdr>
    </w:div>
    <w:div w:id="185103736">
      <w:bodyDiv w:val="1"/>
      <w:marLeft w:val="0"/>
      <w:marRight w:val="0"/>
      <w:marTop w:val="0"/>
      <w:marBottom w:val="0"/>
      <w:divBdr>
        <w:top w:val="none" w:sz="0" w:space="0" w:color="auto"/>
        <w:left w:val="none" w:sz="0" w:space="0" w:color="auto"/>
        <w:bottom w:val="none" w:sz="0" w:space="0" w:color="auto"/>
        <w:right w:val="none" w:sz="0" w:space="0" w:color="auto"/>
      </w:divBdr>
    </w:div>
    <w:div w:id="185144733">
      <w:bodyDiv w:val="1"/>
      <w:marLeft w:val="0"/>
      <w:marRight w:val="0"/>
      <w:marTop w:val="0"/>
      <w:marBottom w:val="0"/>
      <w:divBdr>
        <w:top w:val="none" w:sz="0" w:space="0" w:color="auto"/>
        <w:left w:val="none" w:sz="0" w:space="0" w:color="auto"/>
        <w:bottom w:val="none" w:sz="0" w:space="0" w:color="auto"/>
        <w:right w:val="none" w:sz="0" w:space="0" w:color="auto"/>
      </w:divBdr>
    </w:div>
    <w:div w:id="185214625">
      <w:bodyDiv w:val="1"/>
      <w:marLeft w:val="0"/>
      <w:marRight w:val="0"/>
      <w:marTop w:val="0"/>
      <w:marBottom w:val="0"/>
      <w:divBdr>
        <w:top w:val="none" w:sz="0" w:space="0" w:color="auto"/>
        <w:left w:val="none" w:sz="0" w:space="0" w:color="auto"/>
        <w:bottom w:val="none" w:sz="0" w:space="0" w:color="auto"/>
        <w:right w:val="none" w:sz="0" w:space="0" w:color="auto"/>
      </w:divBdr>
    </w:div>
    <w:div w:id="185336224">
      <w:bodyDiv w:val="1"/>
      <w:marLeft w:val="0"/>
      <w:marRight w:val="0"/>
      <w:marTop w:val="0"/>
      <w:marBottom w:val="0"/>
      <w:divBdr>
        <w:top w:val="none" w:sz="0" w:space="0" w:color="auto"/>
        <w:left w:val="none" w:sz="0" w:space="0" w:color="auto"/>
        <w:bottom w:val="none" w:sz="0" w:space="0" w:color="auto"/>
        <w:right w:val="none" w:sz="0" w:space="0" w:color="auto"/>
      </w:divBdr>
    </w:div>
    <w:div w:id="185408159">
      <w:bodyDiv w:val="1"/>
      <w:marLeft w:val="0"/>
      <w:marRight w:val="0"/>
      <w:marTop w:val="0"/>
      <w:marBottom w:val="0"/>
      <w:divBdr>
        <w:top w:val="none" w:sz="0" w:space="0" w:color="auto"/>
        <w:left w:val="none" w:sz="0" w:space="0" w:color="auto"/>
        <w:bottom w:val="none" w:sz="0" w:space="0" w:color="auto"/>
        <w:right w:val="none" w:sz="0" w:space="0" w:color="auto"/>
      </w:divBdr>
    </w:div>
    <w:div w:id="185756295">
      <w:bodyDiv w:val="1"/>
      <w:marLeft w:val="0"/>
      <w:marRight w:val="0"/>
      <w:marTop w:val="0"/>
      <w:marBottom w:val="0"/>
      <w:divBdr>
        <w:top w:val="none" w:sz="0" w:space="0" w:color="auto"/>
        <w:left w:val="none" w:sz="0" w:space="0" w:color="auto"/>
        <w:bottom w:val="none" w:sz="0" w:space="0" w:color="auto"/>
        <w:right w:val="none" w:sz="0" w:space="0" w:color="auto"/>
      </w:divBdr>
    </w:div>
    <w:div w:id="185799765">
      <w:bodyDiv w:val="1"/>
      <w:marLeft w:val="0"/>
      <w:marRight w:val="0"/>
      <w:marTop w:val="0"/>
      <w:marBottom w:val="0"/>
      <w:divBdr>
        <w:top w:val="none" w:sz="0" w:space="0" w:color="auto"/>
        <w:left w:val="none" w:sz="0" w:space="0" w:color="auto"/>
        <w:bottom w:val="none" w:sz="0" w:space="0" w:color="auto"/>
        <w:right w:val="none" w:sz="0" w:space="0" w:color="auto"/>
      </w:divBdr>
    </w:div>
    <w:div w:id="186336743">
      <w:bodyDiv w:val="1"/>
      <w:marLeft w:val="0"/>
      <w:marRight w:val="0"/>
      <w:marTop w:val="0"/>
      <w:marBottom w:val="0"/>
      <w:divBdr>
        <w:top w:val="none" w:sz="0" w:space="0" w:color="auto"/>
        <w:left w:val="none" w:sz="0" w:space="0" w:color="auto"/>
        <w:bottom w:val="none" w:sz="0" w:space="0" w:color="auto"/>
        <w:right w:val="none" w:sz="0" w:space="0" w:color="auto"/>
      </w:divBdr>
    </w:div>
    <w:div w:id="186450180">
      <w:bodyDiv w:val="1"/>
      <w:marLeft w:val="0"/>
      <w:marRight w:val="0"/>
      <w:marTop w:val="0"/>
      <w:marBottom w:val="0"/>
      <w:divBdr>
        <w:top w:val="none" w:sz="0" w:space="0" w:color="auto"/>
        <w:left w:val="none" w:sz="0" w:space="0" w:color="auto"/>
        <w:bottom w:val="none" w:sz="0" w:space="0" w:color="auto"/>
        <w:right w:val="none" w:sz="0" w:space="0" w:color="auto"/>
      </w:divBdr>
    </w:div>
    <w:div w:id="186524249">
      <w:bodyDiv w:val="1"/>
      <w:marLeft w:val="0"/>
      <w:marRight w:val="0"/>
      <w:marTop w:val="0"/>
      <w:marBottom w:val="0"/>
      <w:divBdr>
        <w:top w:val="none" w:sz="0" w:space="0" w:color="auto"/>
        <w:left w:val="none" w:sz="0" w:space="0" w:color="auto"/>
        <w:bottom w:val="none" w:sz="0" w:space="0" w:color="auto"/>
        <w:right w:val="none" w:sz="0" w:space="0" w:color="auto"/>
      </w:divBdr>
    </w:div>
    <w:div w:id="186673808">
      <w:bodyDiv w:val="1"/>
      <w:marLeft w:val="0"/>
      <w:marRight w:val="0"/>
      <w:marTop w:val="0"/>
      <w:marBottom w:val="0"/>
      <w:divBdr>
        <w:top w:val="none" w:sz="0" w:space="0" w:color="auto"/>
        <w:left w:val="none" w:sz="0" w:space="0" w:color="auto"/>
        <w:bottom w:val="none" w:sz="0" w:space="0" w:color="auto"/>
        <w:right w:val="none" w:sz="0" w:space="0" w:color="auto"/>
      </w:divBdr>
    </w:div>
    <w:div w:id="186719105">
      <w:bodyDiv w:val="1"/>
      <w:marLeft w:val="0"/>
      <w:marRight w:val="0"/>
      <w:marTop w:val="0"/>
      <w:marBottom w:val="0"/>
      <w:divBdr>
        <w:top w:val="none" w:sz="0" w:space="0" w:color="auto"/>
        <w:left w:val="none" w:sz="0" w:space="0" w:color="auto"/>
        <w:bottom w:val="none" w:sz="0" w:space="0" w:color="auto"/>
        <w:right w:val="none" w:sz="0" w:space="0" w:color="auto"/>
      </w:divBdr>
    </w:div>
    <w:div w:id="186725046">
      <w:bodyDiv w:val="1"/>
      <w:marLeft w:val="0"/>
      <w:marRight w:val="0"/>
      <w:marTop w:val="0"/>
      <w:marBottom w:val="0"/>
      <w:divBdr>
        <w:top w:val="none" w:sz="0" w:space="0" w:color="auto"/>
        <w:left w:val="none" w:sz="0" w:space="0" w:color="auto"/>
        <w:bottom w:val="none" w:sz="0" w:space="0" w:color="auto"/>
        <w:right w:val="none" w:sz="0" w:space="0" w:color="auto"/>
      </w:divBdr>
    </w:div>
    <w:div w:id="186911980">
      <w:bodyDiv w:val="1"/>
      <w:marLeft w:val="0"/>
      <w:marRight w:val="0"/>
      <w:marTop w:val="0"/>
      <w:marBottom w:val="0"/>
      <w:divBdr>
        <w:top w:val="none" w:sz="0" w:space="0" w:color="auto"/>
        <w:left w:val="none" w:sz="0" w:space="0" w:color="auto"/>
        <w:bottom w:val="none" w:sz="0" w:space="0" w:color="auto"/>
        <w:right w:val="none" w:sz="0" w:space="0" w:color="auto"/>
      </w:divBdr>
    </w:div>
    <w:div w:id="187331766">
      <w:bodyDiv w:val="1"/>
      <w:marLeft w:val="0"/>
      <w:marRight w:val="0"/>
      <w:marTop w:val="0"/>
      <w:marBottom w:val="0"/>
      <w:divBdr>
        <w:top w:val="none" w:sz="0" w:space="0" w:color="auto"/>
        <w:left w:val="none" w:sz="0" w:space="0" w:color="auto"/>
        <w:bottom w:val="none" w:sz="0" w:space="0" w:color="auto"/>
        <w:right w:val="none" w:sz="0" w:space="0" w:color="auto"/>
      </w:divBdr>
    </w:div>
    <w:div w:id="187723298">
      <w:bodyDiv w:val="1"/>
      <w:marLeft w:val="0"/>
      <w:marRight w:val="0"/>
      <w:marTop w:val="0"/>
      <w:marBottom w:val="0"/>
      <w:divBdr>
        <w:top w:val="none" w:sz="0" w:space="0" w:color="auto"/>
        <w:left w:val="none" w:sz="0" w:space="0" w:color="auto"/>
        <w:bottom w:val="none" w:sz="0" w:space="0" w:color="auto"/>
        <w:right w:val="none" w:sz="0" w:space="0" w:color="auto"/>
      </w:divBdr>
    </w:div>
    <w:div w:id="187763410">
      <w:bodyDiv w:val="1"/>
      <w:marLeft w:val="0"/>
      <w:marRight w:val="0"/>
      <w:marTop w:val="0"/>
      <w:marBottom w:val="0"/>
      <w:divBdr>
        <w:top w:val="none" w:sz="0" w:space="0" w:color="auto"/>
        <w:left w:val="none" w:sz="0" w:space="0" w:color="auto"/>
        <w:bottom w:val="none" w:sz="0" w:space="0" w:color="auto"/>
        <w:right w:val="none" w:sz="0" w:space="0" w:color="auto"/>
      </w:divBdr>
    </w:div>
    <w:div w:id="187834394">
      <w:bodyDiv w:val="1"/>
      <w:marLeft w:val="0"/>
      <w:marRight w:val="0"/>
      <w:marTop w:val="0"/>
      <w:marBottom w:val="0"/>
      <w:divBdr>
        <w:top w:val="none" w:sz="0" w:space="0" w:color="auto"/>
        <w:left w:val="none" w:sz="0" w:space="0" w:color="auto"/>
        <w:bottom w:val="none" w:sz="0" w:space="0" w:color="auto"/>
        <w:right w:val="none" w:sz="0" w:space="0" w:color="auto"/>
      </w:divBdr>
    </w:div>
    <w:div w:id="188111199">
      <w:bodyDiv w:val="1"/>
      <w:marLeft w:val="0"/>
      <w:marRight w:val="0"/>
      <w:marTop w:val="0"/>
      <w:marBottom w:val="0"/>
      <w:divBdr>
        <w:top w:val="none" w:sz="0" w:space="0" w:color="auto"/>
        <w:left w:val="none" w:sz="0" w:space="0" w:color="auto"/>
        <w:bottom w:val="none" w:sz="0" w:space="0" w:color="auto"/>
        <w:right w:val="none" w:sz="0" w:space="0" w:color="auto"/>
      </w:divBdr>
    </w:div>
    <w:div w:id="188181969">
      <w:bodyDiv w:val="1"/>
      <w:marLeft w:val="0"/>
      <w:marRight w:val="0"/>
      <w:marTop w:val="0"/>
      <w:marBottom w:val="0"/>
      <w:divBdr>
        <w:top w:val="none" w:sz="0" w:space="0" w:color="auto"/>
        <w:left w:val="none" w:sz="0" w:space="0" w:color="auto"/>
        <w:bottom w:val="none" w:sz="0" w:space="0" w:color="auto"/>
        <w:right w:val="none" w:sz="0" w:space="0" w:color="auto"/>
      </w:divBdr>
    </w:div>
    <w:div w:id="188224215">
      <w:bodyDiv w:val="1"/>
      <w:marLeft w:val="0"/>
      <w:marRight w:val="0"/>
      <w:marTop w:val="0"/>
      <w:marBottom w:val="0"/>
      <w:divBdr>
        <w:top w:val="none" w:sz="0" w:space="0" w:color="auto"/>
        <w:left w:val="none" w:sz="0" w:space="0" w:color="auto"/>
        <w:bottom w:val="none" w:sz="0" w:space="0" w:color="auto"/>
        <w:right w:val="none" w:sz="0" w:space="0" w:color="auto"/>
      </w:divBdr>
    </w:div>
    <w:div w:id="188303512">
      <w:bodyDiv w:val="1"/>
      <w:marLeft w:val="0"/>
      <w:marRight w:val="0"/>
      <w:marTop w:val="0"/>
      <w:marBottom w:val="0"/>
      <w:divBdr>
        <w:top w:val="none" w:sz="0" w:space="0" w:color="auto"/>
        <w:left w:val="none" w:sz="0" w:space="0" w:color="auto"/>
        <w:bottom w:val="none" w:sz="0" w:space="0" w:color="auto"/>
        <w:right w:val="none" w:sz="0" w:space="0" w:color="auto"/>
      </w:divBdr>
    </w:div>
    <w:div w:id="188374995">
      <w:bodyDiv w:val="1"/>
      <w:marLeft w:val="0"/>
      <w:marRight w:val="0"/>
      <w:marTop w:val="0"/>
      <w:marBottom w:val="0"/>
      <w:divBdr>
        <w:top w:val="none" w:sz="0" w:space="0" w:color="auto"/>
        <w:left w:val="none" w:sz="0" w:space="0" w:color="auto"/>
        <w:bottom w:val="none" w:sz="0" w:space="0" w:color="auto"/>
        <w:right w:val="none" w:sz="0" w:space="0" w:color="auto"/>
      </w:divBdr>
    </w:div>
    <w:div w:id="188641148">
      <w:bodyDiv w:val="1"/>
      <w:marLeft w:val="0"/>
      <w:marRight w:val="0"/>
      <w:marTop w:val="0"/>
      <w:marBottom w:val="0"/>
      <w:divBdr>
        <w:top w:val="none" w:sz="0" w:space="0" w:color="auto"/>
        <w:left w:val="none" w:sz="0" w:space="0" w:color="auto"/>
        <w:bottom w:val="none" w:sz="0" w:space="0" w:color="auto"/>
        <w:right w:val="none" w:sz="0" w:space="0" w:color="auto"/>
      </w:divBdr>
    </w:div>
    <w:div w:id="189220972">
      <w:bodyDiv w:val="1"/>
      <w:marLeft w:val="0"/>
      <w:marRight w:val="0"/>
      <w:marTop w:val="0"/>
      <w:marBottom w:val="0"/>
      <w:divBdr>
        <w:top w:val="none" w:sz="0" w:space="0" w:color="auto"/>
        <w:left w:val="none" w:sz="0" w:space="0" w:color="auto"/>
        <w:bottom w:val="none" w:sz="0" w:space="0" w:color="auto"/>
        <w:right w:val="none" w:sz="0" w:space="0" w:color="auto"/>
      </w:divBdr>
    </w:div>
    <w:div w:id="189341575">
      <w:bodyDiv w:val="1"/>
      <w:marLeft w:val="0"/>
      <w:marRight w:val="0"/>
      <w:marTop w:val="0"/>
      <w:marBottom w:val="0"/>
      <w:divBdr>
        <w:top w:val="none" w:sz="0" w:space="0" w:color="auto"/>
        <w:left w:val="none" w:sz="0" w:space="0" w:color="auto"/>
        <w:bottom w:val="none" w:sz="0" w:space="0" w:color="auto"/>
        <w:right w:val="none" w:sz="0" w:space="0" w:color="auto"/>
      </w:divBdr>
    </w:div>
    <w:div w:id="189412752">
      <w:bodyDiv w:val="1"/>
      <w:marLeft w:val="0"/>
      <w:marRight w:val="0"/>
      <w:marTop w:val="0"/>
      <w:marBottom w:val="0"/>
      <w:divBdr>
        <w:top w:val="none" w:sz="0" w:space="0" w:color="auto"/>
        <w:left w:val="none" w:sz="0" w:space="0" w:color="auto"/>
        <w:bottom w:val="none" w:sz="0" w:space="0" w:color="auto"/>
        <w:right w:val="none" w:sz="0" w:space="0" w:color="auto"/>
      </w:divBdr>
    </w:div>
    <w:div w:id="189487798">
      <w:bodyDiv w:val="1"/>
      <w:marLeft w:val="0"/>
      <w:marRight w:val="0"/>
      <w:marTop w:val="0"/>
      <w:marBottom w:val="0"/>
      <w:divBdr>
        <w:top w:val="none" w:sz="0" w:space="0" w:color="auto"/>
        <w:left w:val="none" w:sz="0" w:space="0" w:color="auto"/>
        <w:bottom w:val="none" w:sz="0" w:space="0" w:color="auto"/>
        <w:right w:val="none" w:sz="0" w:space="0" w:color="auto"/>
      </w:divBdr>
    </w:div>
    <w:div w:id="189489811">
      <w:bodyDiv w:val="1"/>
      <w:marLeft w:val="0"/>
      <w:marRight w:val="0"/>
      <w:marTop w:val="0"/>
      <w:marBottom w:val="0"/>
      <w:divBdr>
        <w:top w:val="none" w:sz="0" w:space="0" w:color="auto"/>
        <w:left w:val="none" w:sz="0" w:space="0" w:color="auto"/>
        <w:bottom w:val="none" w:sz="0" w:space="0" w:color="auto"/>
        <w:right w:val="none" w:sz="0" w:space="0" w:color="auto"/>
      </w:divBdr>
    </w:div>
    <w:div w:id="189494976">
      <w:bodyDiv w:val="1"/>
      <w:marLeft w:val="0"/>
      <w:marRight w:val="0"/>
      <w:marTop w:val="0"/>
      <w:marBottom w:val="0"/>
      <w:divBdr>
        <w:top w:val="none" w:sz="0" w:space="0" w:color="auto"/>
        <w:left w:val="none" w:sz="0" w:space="0" w:color="auto"/>
        <w:bottom w:val="none" w:sz="0" w:space="0" w:color="auto"/>
        <w:right w:val="none" w:sz="0" w:space="0" w:color="auto"/>
      </w:divBdr>
    </w:div>
    <w:div w:id="189496805">
      <w:bodyDiv w:val="1"/>
      <w:marLeft w:val="0"/>
      <w:marRight w:val="0"/>
      <w:marTop w:val="0"/>
      <w:marBottom w:val="0"/>
      <w:divBdr>
        <w:top w:val="none" w:sz="0" w:space="0" w:color="auto"/>
        <w:left w:val="none" w:sz="0" w:space="0" w:color="auto"/>
        <w:bottom w:val="none" w:sz="0" w:space="0" w:color="auto"/>
        <w:right w:val="none" w:sz="0" w:space="0" w:color="auto"/>
      </w:divBdr>
    </w:div>
    <w:div w:id="189532102">
      <w:bodyDiv w:val="1"/>
      <w:marLeft w:val="0"/>
      <w:marRight w:val="0"/>
      <w:marTop w:val="0"/>
      <w:marBottom w:val="0"/>
      <w:divBdr>
        <w:top w:val="none" w:sz="0" w:space="0" w:color="auto"/>
        <w:left w:val="none" w:sz="0" w:space="0" w:color="auto"/>
        <w:bottom w:val="none" w:sz="0" w:space="0" w:color="auto"/>
        <w:right w:val="none" w:sz="0" w:space="0" w:color="auto"/>
      </w:divBdr>
    </w:div>
    <w:div w:id="189536288">
      <w:bodyDiv w:val="1"/>
      <w:marLeft w:val="0"/>
      <w:marRight w:val="0"/>
      <w:marTop w:val="0"/>
      <w:marBottom w:val="0"/>
      <w:divBdr>
        <w:top w:val="none" w:sz="0" w:space="0" w:color="auto"/>
        <w:left w:val="none" w:sz="0" w:space="0" w:color="auto"/>
        <w:bottom w:val="none" w:sz="0" w:space="0" w:color="auto"/>
        <w:right w:val="none" w:sz="0" w:space="0" w:color="auto"/>
      </w:divBdr>
    </w:div>
    <w:div w:id="189606545">
      <w:bodyDiv w:val="1"/>
      <w:marLeft w:val="0"/>
      <w:marRight w:val="0"/>
      <w:marTop w:val="0"/>
      <w:marBottom w:val="0"/>
      <w:divBdr>
        <w:top w:val="none" w:sz="0" w:space="0" w:color="auto"/>
        <w:left w:val="none" w:sz="0" w:space="0" w:color="auto"/>
        <w:bottom w:val="none" w:sz="0" w:space="0" w:color="auto"/>
        <w:right w:val="none" w:sz="0" w:space="0" w:color="auto"/>
      </w:divBdr>
    </w:div>
    <w:div w:id="189614098">
      <w:bodyDiv w:val="1"/>
      <w:marLeft w:val="0"/>
      <w:marRight w:val="0"/>
      <w:marTop w:val="0"/>
      <w:marBottom w:val="0"/>
      <w:divBdr>
        <w:top w:val="none" w:sz="0" w:space="0" w:color="auto"/>
        <w:left w:val="none" w:sz="0" w:space="0" w:color="auto"/>
        <w:bottom w:val="none" w:sz="0" w:space="0" w:color="auto"/>
        <w:right w:val="none" w:sz="0" w:space="0" w:color="auto"/>
      </w:divBdr>
    </w:div>
    <w:div w:id="189683419">
      <w:bodyDiv w:val="1"/>
      <w:marLeft w:val="0"/>
      <w:marRight w:val="0"/>
      <w:marTop w:val="0"/>
      <w:marBottom w:val="0"/>
      <w:divBdr>
        <w:top w:val="none" w:sz="0" w:space="0" w:color="auto"/>
        <w:left w:val="none" w:sz="0" w:space="0" w:color="auto"/>
        <w:bottom w:val="none" w:sz="0" w:space="0" w:color="auto"/>
        <w:right w:val="none" w:sz="0" w:space="0" w:color="auto"/>
      </w:divBdr>
    </w:div>
    <w:div w:id="189727120">
      <w:bodyDiv w:val="1"/>
      <w:marLeft w:val="0"/>
      <w:marRight w:val="0"/>
      <w:marTop w:val="0"/>
      <w:marBottom w:val="0"/>
      <w:divBdr>
        <w:top w:val="none" w:sz="0" w:space="0" w:color="auto"/>
        <w:left w:val="none" w:sz="0" w:space="0" w:color="auto"/>
        <w:bottom w:val="none" w:sz="0" w:space="0" w:color="auto"/>
        <w:right w:val="none" w:sz="0" w:space="0" w:color="auto"/>
      </w:divBdr>
    </w:div>
    <w:div w:id="189881234">
      <w:bodyDiv w:val="1"/>
      <w:marLeft w:val="0"/>
      <w:marRight w:val="0"/>
      <w:marTop w:val="0"/>
      <w:marBottom w:val="0"/>
      <w:divBdr>
        <w:top w:val="none" w:sz="0" w:space="0" w:color="auto"/>
        <w:left w:val="none" w:sz="0" w:space="0" w:color="auto"/>
        <w:bottom w:val="none" w:sz="0" w:space="0" w:color="auto"/>
        <w:right w:val="none" w:sz="0" w:space="0" w:color="auto"/>
      </w:divBdr>
    </w:div>
    <w:div w:id="190068184">
      <w:bodyDiv w:val="1"/>
      <w:marLeft w:val="0"/>
      <w:marRight w:val="0"/>
      <w:marTop w:val="0"/>
      <w:marBottom w:val="0"/>
      <w:divBdr>
        <w:top w:val="none" w:sz="0" w:space="0" w:color="auto"/>
        <w:left w:val="none" w:sz="0" w:space="0" w:color="auto"/>
        <w:bottom w:val="none" w:sz="0" w:space="0" w:color="auto"/>
        <w:right w:val="none" w:sz="0" w:space="0" w:color="auto"/>
      </w:divBdr>
    </w:div>
    <w:div w:id="190070037">
      <w:bodyDiv w:val="1"/>
      <w:marLeft w:val="0"/>
      <w:marRight w:val="0"/>
      <w:marTop w:val="0"/>
      <w:marBottom w:val="0"/>
      <w:divBdr>
        <w:top w:val="none" w:sz="0" w:space="0" w:color="auto"/>
        <w:left w:val="none" w:sz="0" w:space="0" w:color="auto"/>
        <w:bottom w:val="none" w:sz="0" w:space="0" w:color="auto"/>
        <w:right w:val="none" w:sz="0" w:space="0" w:color="auto"/>
      </w:divBdr>
    </w:div>
    <w:div w:id="190072251">
      <w:bodyDiv w:val="1"/>
      <w:marLeft w:val="0"/>
      <w:marRight w:val="0"/>
      <w:marTop w:val="0"/>
      <w:marBottom w:val="0"/>
      <w:divBdr>
        <w:top w:val="none" w:sz="0" w:space="0" w:color="auto"/>
        <w:left w:val="none" w:sz="0" w:space="0" w:color="auto"/>
        <w:bottom w:val="none" w:sz="0" w:space="0" w:color="auto"/>
        <w:right w:val="none" w:sz="0" w:space="0" w:color="auto"/>
      </w:divBdr>
    </w:div>
    <w:div w:id="190152632">
      <w:bodyDiv w:val="1"/>
      <w:marLeft w:val="0"/>
      <w:marRight w:val="0"/>
      <w:marTop w:val="0"/>
      <w:marBottom w:val="0"/>
      <w:divBdr>
        <w:top w:val="none" w:sz="0" w:space="0" w:color="auto"/>
        <w:left w:val="none" w:sz="0" w:space="0" w:color="auto"/>
        <w:bottom w:val="none" w:sz="0" w:space="0" w:color="auto"/>
        <w:right w:val="none" w:sz="0" w:space="0" w:color="auto"/>
      </w:divBdr>
    </w:div>
    <w:div w:id="190411950">
      <w:bodyDiv w:val="1"/>
      <w:marLeft w:val="0"/>
      <w:marRight w:val="0"/>
      <w:marTop w:val="0"/>
      <w:marBottom w:val="0"/>
      <w:divBdr>
        <w:top w:val="none" w:sz="0" w:space="0" w:color="auto"/>
        <w:left w:val="none" w:sz="0" w:space="0" w:color="auto"/>
        <w:bottom w:val="none" w:sz="0" w:space="0" w:color="auto"/>
        <w:right w:val="none" w:sz="0" w:space="0" w:color="auto"/>
      </w:divBdr>
    </w:div>
    <w:div w:id="190534850">
      <w:bodyDiv w:val="1"/>
      <w:marLeft w:val="0"/>
      <w:marRight w:val="0"/>
      <w:marTop w:val="0"/>
      <w:marBottom w:val="0"/>
      <w:divBdr>
        <w:top w:val="none" w:sz="0" w:space="0" w:color="auto"/>
        <w:left w:val="none" w:sz="0" w:space="0" w:color="auto"/>
        <w:bottom w:val="none" w:sz="0" w:space="0" w:color="auto"/>
        <w:right w:val="none" w:sz="0" w:space="0" w:color="auto"/>
      </w:divBdr>
    </w:div>
    <w:div w:id="190652706">
      <w:bodyDiv w:val="1"/>
      <w:marLeft w:val="0"/>
      <w:marRight w:val="0"/>
      <w:marTop w:val="0"/>
      <w:marBottom w:val="0"/>
      <w:divBdr>
        <w:top w:val="none" w:sz="0" w:space="0" w:color="auto"/>
        <w:left w:val="none" w:sz="0" w:space="0" w:color="auto"/>
        <w:bottom w:val="none" w:sz="0" w:space="0" w:color="auto"/>
        <w:right w:val="none" w:sz="0" w:space="0" w:color="auto"/>
      </w:divBdr>
    </w:div>
    <w:div w:id="190723257">
      <w:bodyDiv w:val="1"/>
      <w:marLeft w:val="0"/>
      <w:marRight w:val="0"/>
      <w:marTop w:val="0"/>
      <w:marBottom w:val="0"/>
      <w:divBdr>
        <w:top w:val="none" w:sz="0" w:space="0" w:color="auto"/>
        <w:left w:val="none" w:sz="0" w:space="0" w:color="auto"/>
        <w:bottom w:val="none" w:sz="0" w:space="0" w:color="auto"/>
        <w:right w:val="none" w:sz="0" w:space="0" w:color="auto"/>
      </w:divBdr>
    </w:div>
    <w:div w:id="190841208">
      <w:bodyDiv w:val="1"/>
      <w:marLeft w:val="0"/>
      <w:marRight w:val="0"/>
      <w:marTop w:val="0"/>
      <w:marBottom w:val="0"/>
      <w:divBdr>
        <w:top w:val="none" w:sz="0" w:space="0" w:color="auto"/>
        <w:left w:val="none" w:sz="0" w:space="0" w:color="auto"/>
        <w:bottom w:val="none" w:sz="0" w:space="0" w:color="auto"/>
        <w:right w:val="none" w:sz="0" w:space="0" w:color="auto"/>
      </w:divBdr>
    </w:div>
    <w:div w:id="190841304">
      <w:bodyDiv w:val="1"/>
      <w:marLeft w:val="0"/>
      <w:marRight w:val="0"/>
      <w:marTop w:val="0"/>
      <w:marBottom w:val="0"/>
      <w:divBdr>
        <w:top w:val="none" w:sz="0" w:space="0" w:color="auto"/>
        <w:left w:val="none" w:sz="0" w:space="0" w:color="auto"/>
        <w:bottom w:val="none" w:sz="0" w:space="0" w:color="auto"/>
        <w:right w:val="none" w:sz="0" w:space="0" w:color="auto"/>
      </w:divBdr>
    </w:div>
    <w:div w:id="190843682">
      <w:bodyDiv w:val="1"/>
      <w:marLeft w:val="0"/>
      <w:marRight w:val="0"/>
      <w:marTop w:val="0"/>
      <w:marBottom w:val="0"/>
      <w:divBdr>
        <w:top w:val="none" w:sz="0" w:space="0" w:color="auto"/>
        <w:left w:val="none" w:sz="0" w:space="0" w:color="auto"/>
        <w:bottom w:val="none" w:sz="0" w:space="0" w:color="auto"/>
        <w:right w:val="none" w:sz="0" w:space="0" w:color="auto"/>
      </w:divBdr>
    </w:div>
    <w:div w:id="190845787">
      <w:bodyDiv w:val="1"/>
      <w:marLeft w:val="0"/>
      <w:marRight w:val="0"/>
      <w:marTop w:val="0"/>
      <w:marBottom w:val="0"/>
      <w:divBdr>
        <w:top w:val="none" w:sz="0" w:space="0" w:color="auto"/>
        <w:left w:val="none" w:sz="0" w:space="0" w:color="auto"/>
        <w:bottom w:val="none" w:sz="0" w:space="0" w:color="auto"/>
        <w:right w:val="none" w:sz="0" w:space="0" w:color="auto"/>
      </w:divBdr>
    </w:div>
    <w:div w:id="191041753">
      <w:bodyDiv w:val="1"/>
      <w:marLeft w:val="0"/>
      <w:marRight w:val="0"/>
      <w:marTop w:val="0"/>
      <w:marBottom w:val="0"/>
      <w:divBdr>
        <w:top w:val="none" w:sz="0" w:space="0" w:color="auto"/>
        <w:left w:val="none" w:sz="0" w:space="0" w:color="auto"/>
        <w:bottom w:val="none" w:sz="0" w:space="0" w:color="auto"/>
        <w:right w:val="none" w:sz="0" w:space="0" w:color="auto"/>
      </w:divBdr>
    </w:div>
    <w:div w:id="191067727">
      <w:bodyDiv w:val="1"/>
      <w:marLeft w:val="0"/>
      <w:marRight w:val="0"/>
      <w:marTop w:val="0"/>
      <w:marBottom w:val="0"/>
      <w:divBdr>
        <w:top w:val="none" w:sz="0" w:space="0" w:color="auto"/>
        <w:left w:val="none" w:sz="0" w:space="0" w:color="auto"/>
        <w:bottom w:val="none" w:sz="0" w:space="0" w:color="auto"/>
        <w:right w:val="none" w:sz="0" w:space="0" w:color="auto"/>
      </w:divBdr>
    </w:div>
    <w:div w:id="191116306">
      <w:bodyDiv w:val="1"/>
      <w:marLeft w:val="0"/>
      <w:marRight w:val="0"/>
      <w:marTop w:val="0"/>
      <w:marBottom w:val="0"/>
      <w:divBdr>
        <w:top w:val="none" w:sz="0" w:space="0" w:color="auto"/>
        <w:left w:val="none" w:sz="0" w:space="0" w:color="auto"/>
        <w:bottom w:val="none" w:sz="0" w:space="0" w:color="auto"/>
        <w:right w:val="none" w:sz="0" w:space="0" w:color="auto"/>
      </w:divBdr>
    </w:div>
    <w:div w:id="191263258">
      <w:bodyDiv w:val="1"/>
      <w:marLeft w:val="0"/>
      <w:marRight w:val="0"/>
      <w:marTop w:val="0"/>
      <w:marBottom w:val="0"/>
      <w:divBdr>
        <w:top w:val="none" w:sz="0" w:space="0" w:color="auto"/>
        <w:left w:val="none" w:sz="0" w:space="0" w:color="auto"/>
        <w:bottom w:val="none" w:sz="0" w:space="0" w:color="auto"/>
        <w:right w:val="none" w:sz="0" w:space="0" w:color="auto"/>
      </w:divBdr>
    </w:div>
    <w:div w:id="191572451">
      <w:bodyDiv w:val="1"/>
      <w:marLeft w:val="0"/>
      <w:marRight w:val="0"/>
      <w:marTop w:val="0"/>
      <w:marBottom w:val="0"/>
      <w:divBdr>
        <w:top w:val="none" w:sz="0" w:space="0" w:color="auto"/>
        <w:left w:val="none" w:sz="0" w:space="0" w:color="auto"/>
        <w:bottom w:val="none" w:sz="0" w:space="0" w:color="auto"/>
        <w:right w:val="none" w:sz="0" w:space="0" w:color="auto"/>
      </w:divBdr>
    </w:div>
    <w:div w:id="191693508">
      <w:bodyDiv w:val="1"/>
      <w:marLeft w:val="0"/>
      <w:marRight w:val="0"/>
      <w:marTop w:val="0"/>
      <w:marBottom w:val="0"/>
      <w:divBdr>
        <w:top w:val="none" w:sz="0" w:space="0" w:color="auto"/>
        <w:left w:val="none" w:sz="0" w:space="0" w:color="auto"/>
        <w:bottom w:val="none" w:sz="0" w:space="0" w:color="auto"/>
        <w:right w:val="none" w:sz="0" w:space="0" w:color="auto"/>
      </w:divBdr>
    </w:div>
    <w:div w:id="192037746">
      <w:bodyDiv w:val="1"/>
      <w:marLeft w:val="0"/>
      <w:marRight w:val="0"/>
      <w:marTop w:val="0"/>
      <w:marBottom w:val="0"/>
      <w:divBdr>
        <w:top w:val="none" w:sz="0" w:space="0" w:color="auto"/>
        <w:left w:val="none" w:sz="0" w:space="0" w:color="auto"/>
        <w:bottom w:val="none" w:sz="0" w:space="0" w:color="auto"/>
        <w:right w:val="none" w:sz="0" w:space="0" w:color="auto"/>
      </w:divBdr>
    </w:div>
    <w:div w:id="192232524">
      <w:bodyDiv w:val="1"/>
      <w:marLeft w:val="0"/>
      <w:marRight w:val="0"/>
      <w:marTop w:val="0"/>
      <w:marBottom w:val="0"/>
      <w:divBdr>
        <w:top w:val="none" w:sz="0" w:space="0" w:color="auto"/>
        <w:left w:val="none" w:sz="0" w:space="0" w:color="auto"/>
        <w:bottom w:val="none" w:sz="0" w:space="0" w:color="auto"/>
        <w:right w:val="none" w:sz="0" w:space="0" w:color="auto"/>
      </w:divBdr>
    </w:div>
    <w:div w:id="192235803">
      <w:bodyDiv w:val="1"/>
      <w:marLeft w:val="0"/>
      <w:marRight w:val="0"/>
      <w:marTop w:val="0"/>
      <w:marBottom w:val="0"/>
      <w:divBdr>
        <w:top w:val="none" w:sz="0" w:space="0" w:color="auto"/>
        <w:left w:val="none" w:sz="0" w:space="0" w:color="auto"/>
        <w:bottom w:val="none" w:sz="0" w:space="0" w:color="auto"/>
        <w:right w:val="none" w:sz="0" w:space="0" w:color="auto"/>
      </w:divBdr>
    </w:div>
    <w:div w:id="192547710">
      <w:bodyDiv w:val="1"/>
      <w:marLeft w:val="0"/>
      <w:marRight w:val="0"/>
      <w:marTop w:val="0"/>
      <w:marBottom w:val="0"/>
      <w:divBdr>
        <w:top w:val="none" w:sz="0" w:space="0" w:color="auto"/>
        <w:left w:val="none" w:sz="0" w:space="0" w:color="auto"/>
        <w:bottom w:val="none" w:sz="0" w:space="0" w:color="auto"/>
        <w:right w:val="none" w:sz="0" w:space="0" w:color="auto"/>
      </w:divBdr>
    </w:div>
    <w:div w:id="192693481">
      <w:bodyDiv w:val="1"/>
      <w:marLeft w:val="0"/>
      <w:marRight w:val="0"/>
      <w:marTop w:val="0"/>
      <w:marBottom w:val="0"/>
      <w:divBdr>
        <w:top w:val="none" w:sz="0" w:space="0" w:color="auto"/>
        <w:left w:val="none" w:sz="0" w:space="0" w:color="auto"/>
        <w:bottom w:val="none" w:sz="0" w:space="0" w:color="auto"/>
        <w:right w:val="none" w:sz="0" w:space="0" w:color="auto"/>
      </w:divBdr>
    </w:div>
    <w:div w:id="192695526">
      <w:bodyDiv w:val="1"/>
      <w:marLeft w:val="0"/>
      <w:marRight w:val="0"/>
      <w:marTop w:val="0"/>
      <w:marBottom w:val="0"/>
      <w:divBdr>
        <w:top w:val="none" w:sz="0" w:space="0" w:color="auto"/>
        <w:left w:val="none" w:sz="0" w:space="0" w:color="auto"/>
        <w:bottom w:val="none" w:sz="0" w:space="0" w:color="auto"/>
        <w:right w:val="none" w:sz="0" w:space="0" w:color="auto"/>
      </w:divBdr>
    </w:div>
    <w:div w:id="192771977">
      <w:bodyDiv w:val="1"/>
      <w:marLeft w:val="0"/>
      <w:marRight w:val="0"/>
      <w:marTop w:val="0"/>
      <w:marBottom w:val="0"/>
      <w:divBdr>
        <w:top w:val="none" w:sz="0" w:space="0" w:color="auto"/>
        <w:left w:val="none" w:sz="0" w:space="0" w:color="auto"/>
        <w:bottom w:val="none" w:sz="0" w:space="0" w:color="auto"/>
        <w:right w:val="none" w:sz="0" w:space="0" w:color="auto"/>
      </w:divBdr>
    </w:div>
    <w:div w:id="192816454">
      <w:bodyDiv w:val="1"/>
      <w:marLeft w:val="0"/>
      <w:marRight w:val="0"/>
      <w:marTop w:val="0"/>
      <w:marBottom w:val="0"/>
      <w:divBdr>
        <w:top w:val="none" w:sz="0" w:space="0" w:color="auto"/>
        <w:left w:val="none" w:sz="0" w:space="0" w:color="auto"/>
        <w:bottom w:val="none" w:sz="0" w:space="0" w:color="auto"/>
        <w:right w:val="none" w:sz="0" w:space="0" w:color="auto"/>
      </w:divBdr>
    </w:div>
    <w:div w:id="192891005">
      <w:bodyDiv w:val="1"/>
      <w:marLeft w:val="0"/>
      <w:marRight w:val="0"/>
      <w:marTop w:val="0"/>
      <w:marBottom w:val="0"/>
      <w:divBdr>
        <w:top w:val="none" w:sz="0" w:space="0" w:color="auto"/>
        <w:left w:val="none" w:sz="0" w:space="0" w:color="auto"/>
        <w:bottom w:val="none" w:sz="0" w:space="0" w:color="auto"/>
        <w:right w:val="none" w:sz="0" w:space="0" w:color="auto"/>
      </w:divBdr>
    </w:div>
    <w:div w:id="193081645">
      <w:bodyDiv w:val="1"/>
      <w:marLeft w:val="0"/>
      <w:marRight w:val="0"/>
      <w:marTop w:val="0"/>
      <w:marBottom w:val="0"/>
      <w:divBdr>
        <w:top w:val="none" w:sz="0" w:space="0" w:color="auto"/>
        <w:left w:val="none" w:sz="0" w:space="0" w:color="auto"/>
        <w:bottom w:val="none" w:sz="0" w:space="0" w:color="auto"/>
        <w:right w:val="none" w:sz="0" w:space="0" w:color="auto"/>
      </w:divBdr>
    </w:div>
    <w:div w:id="193272919">
      <w:bodyDiv w:val="1"/>
      <w:marLeft w:val="0"/>
      <w:marRight w:val="0"/>
      <w:marTop w:val="0"/>
      <w:marBottom w:val="0"/>
      <w:divBdr>
        <w:top w:val="none" w:sz="0" w:space="0" w:color="auto"/>
        <w:left w:val="none" w:sz="0" w:space="0" w:color="auto"/>
        <w:bottom w:val="none" w:sz="0" w:space="0" w:color="auto"/>
        <w:right w:val="none" w:sz="0" w:space="0" w:color="auto"/>
      </w:divBdr>
    </w:div>
    <w:div w:id="193353411">
      <w:bodyDiv w:val="1"/>
      <w:marLeft w:val="0"/>
      <w:marRight w:val="0"/>
      <w:marTop w:val="0"/>
      <w:marBottom w:val="0"/>
      <w:divBdr>
        <w:top w:val="none" w:sz="0" w:space="0" w:color="auto"/>
        <w:left w:val="none" w:sz="0" w:space="0" w:color="auto"/>
        <w:bottom w:val="none" w:sz="0" w:space="0" w:color="auto"/>
        <w:right w:val="none" w:sz="0" w:space="0" w:color="auto"/>
      </w:divBdr>
    </w:div>
    <w:div w:id="193541644">
      <w:bodyDiv w:val="1"/>
      <w:marLeft w:val="0"/>
      <w:marRight w:val="0"/>
      <w:marTop w:val="0"/>
      <w:marBottom w:val="0"/>
      <w:divBdr>
        <w:top w:val="none" w:sz="0" w:space="0" w:color="auto"/>
        <w:left w:val="none" w:sz="0" w:space="0" w:color="auto"/>
        <w:bottom w:val="none" w:sz="0" w:space="0" w:color="auto"/>
        <w:right w:val="none" w:sz="0" w:space="0" w:color="auto"/>
      </w:divBdr>
    </w:div>
    <w:div w:id="193662520">
      <w:bodyDiv w:val="1"/>
      <w:marLeft w:val="0"/>
      <w:marRight w:val="0"/>
      <w:marTop w:val="0"/>
      <w:marBottom w:val="0"/>
      <w:divBdr>
        <w:top w:val="none" w:sz="0" w:space="0" w:color="auto"/>
        <w:left w:val="none" w:sz="0" w:space="0" w:color="auto"/>
        <w:bottom w:val="none" w:sz="0" w:space="0" w:color="auto"/>
        <w:right w:val="none" w:sz="0" w:space="0" w:color="auto"/>
      </w:divBdr>
    </w:div>
    <w:div w:id="193732913">
      <w:bodyDiv w:val="1"/>
      <w:marLeft w:val="0"/>
      <w:marRight w:val="0"/>
      <w:marTop w:val="0"/>
      <w:marBottom w:val="0"/>
      <w:divBdr>
        <w:top w:val="none" w:sz="0" w:space="0" w:color="auto"/>
        <w:left w:val="none" w:sz="0" w:space="0" w:color="auto"/>
        <w:bottom w:val="none" w:sz="0" w:space="0" w:color="auto"/>
        <w:right w:val="none" w:sz="0" w:space="0" w:color="auto"/>
      </w:divBdr>
    </w:div>
    <w:div w:id="193734686">
      <w:bodyDiv w:val="1"/>
      <w:marLeft w:val="0"/>
      <w:marRight w:val="0"/>
      <w:marTop w:val="0"/>
      <w:marBottom w:val="0"/>
      <w:divBdr>
        <w:top w:val="none" w:sz="0" w:space="0" w:color="auto"/>
        <w:left w:val="none" w:sz="0" w:space="0" w:color="auto"/>
        <w:bottom w:val="none" w:sz="0" w:space="0" w:color="auto"/>
        <w:right w:val="none" w:sz="0" w:space="0" w:color="auto"/>
      </w:divBdr>
    </w:div>
    <w:div w:id="193736169">
      <w:bodyDiv w:val="1"/>
      <w:marLeft w:val="0"/>
      <w:marRight w:val="0"/>
      <w:marTop w:val="0"/>
      <w:marBottom w:val="0"/>
      <w:divBdr>
        <w:top w:val="none" w:sz="0" w:space="0" w:color="auto"/>
        <w:left w:val="none" w:sz="0" w:space="0" w:color="auto"/>
        <w:bottom w:val="none" w:sz="0" w:space="0" w:color="auto"/>
        <w:right w:val="none" w:sz="0" w:space="0" w:color="auto"/>
      </w:divBdr>
    </w:div>
    <w:div w:id="193886070">
      <w:bodyDiv w:val="1"/>
      <w:marLeft w:val="0"/>
      <w:marRight w:val="0"/>
      <w:marTop w:val="0"/>
      <w:marBottom w:val="0"/>
      <w:divBdr>
        <w:top w:val="none" w:sz="0" w:space="0" w:color="auto"/>
        <w:left w:val="none" w:sz="0" w:space="0" w:color="auto"/>
        <w:bottom w:val="none" w:sz="0" w:space="0" w:color="auto"/>
        <w:right w:val="none" w:sz="0" w:space="0" w:color="auto"/>
      </w:divBdr>
    </w:div>
    <w:div w:id="193926122">
      <w:bodyDiv w:val="1"/>
      <w:marLeft w:val="0"/>
      <w:marRight w:val="0"/>
      <w:marTop w:val="0"/>
      <w:marBottom w:val="0"/>
      <w:divBdr>
        <w:top w:val="none" w:sz="0" w:space="0" w:color="auto"/>
        <w:left w:val="none" w:sz="0" w:space="0" w:color="auto"/>
        <w:bottom w:val="none" w:sz="0" w:space="0" w:color="auto"/>
        <w:right w:val="none" w:sz="0" w:space="0" w:color="auto"/>
      </w:divBdr>
    </w:div>
    <w:div w:id="194001584">
      <w:bodyDiv w:val="1"/>
      <w:marLeft w:val="0"/>
      <w:marRight w:val="0"/>
      <w:marTop w:val="0"/>
      <w:marBottom w:val="0"/>
      <w:divBdr>
        <w:top w:val="none" w:sz="0" w:space="0" w:color="auto"/>
        <w:left w:val="none" w:sz="0" w:space="0" w:color="auto"/>
        <w:bottom w:val="none" w:sz="0" w:space="0" w:color="auto"/>
        <w:right w:val="none" w:sz="0" w:space="0" w:color="auto"/>
      </w:divBdr>
    </w:div>
    <w:div w:id="194125366">
      <w:bodyDiv w:val="1"/>
      <w:marLeft w:val="0"/>
      <w:marRight w:val="0"/>
      <w:marTop w:val="0"/>
      <w:marBottom w:val="0"/>
      <w:divBdr>
        <w:top w:val="none" w:sz="0" w:space="0" w:color="auto"/>
        <w:left w:val="none" w:sz="0" w:space="0" w:color="auto"/>
        <w:bottom w:val="none" w:sz="0" w:space="0" w:color="auto"/>
        <w:right w:val="none" w:sz="0" w:space="0" w:color="auto"/>
      </w:divBdr>
    </w:div>
    <w:div w:id="194471064">
      <w:bodyDiv w:val="1"/>
      <w:marLeft w:val="0"/>
      <w:marRight w:val="0"/>
      <w:marTop w:val="0"/>
      <w:marBottom w:val="0"/>
      <w:divBdr>
        <w:top w:val="none" w:sz="0" w:space="0" w:color="auto"/>
        <w:left w:val="none" w:sz="0" w:space="0" w:color="auto"/>
        <w:bottom w:val="none" w:sz="0" w:space="0" w:color="auto"/>
        <w:right w:val="none" w:sz="0" w:space="0" w:color="auto"/>
      </w:divBdr>
    </w:div>
    <w:div w:id="194584321">
      <w:bodyDiv w:val="1"/>
      <w:marLeft w:val="0"/>
      <w:marRight w:val="0"/>
      <w:marTop w:val="0"/>
      <w:marBottom w:val="0"/>
      <w:divBdr>
        <w:top w:val="none" w:sz="0" w:space="0" w:color="auto"/>
        <w:left w:val="none" w:sz="0" w:space="0" w:color="auto"/>
        <w:bottom w:val="none" w:sz="0" w:space="0" w:color="auto"/>
        <w:right w:val="none" w:sz="0" w:space="0" w:color="auto"/>
      </w:divBdr>
    </w:div>
    <w:div w:id="194732226">
      <w:bodyDiv w:val="1"/>
      <w:marLeft w:val="0"/>
      <w:marRight w:val="0"/>
      <w:marTop w:val="0"/>
      <w:marBottom w:val="0"/>
      <w:divBdr>
        <w:top w:val="none" w:sz="0" w:space="0" w:color="auto"/>
        <w:left w:val="none" w:sz="0" w:space="0" w:color="auto"/>
        <w:bottom w:val="none" w:sz="0" w:space="0" w:color="auto"/>
        <w:right w:val="none" w:sz="0" w:space="0" w:color="auto"/>
      </w:divBdr>
    </w:div>
    <w:div w:id="194739051">
      <w:bodyDiv w:val="1"/>
      <w:marLeft w:val="0"/>
      <w:marRight w:val="0"/>
      <w:marTop w:val="0"/>
      <w:marBottom w:val="0"/>
      <w:divBdr>
        <w:top w:val="none" w:sz="0" w:space="0" w:color="auto"/>
        <w:left w:val="none" w:sz="0" w:space="0" w:color="auto"/>
        <w:bottom w:val="none" w:sz="0" w:space="0" w:color="auto"/>
        <w:right w:val="none" w:sz="0" w:space="0" w:color="auto"/>
      </w:divBdr>
    </w:div>
    <w:div w:id="194925903">
      <w:bodyDiv w:val="1"/>
      <w:marLeft w:val="0"/>
      <w:marRight w:val="0"/>
      <w:marTop w:val="0"/>
      <w:marBottom w:val="0"/>
      <w:divBdr>
        <w:top w:val="none" w:sz="0" w:space="0" w:color="auto"/>
        <w:left w:val="none" w:sz="0" w:space="0" w:color="auto"/>
        <w:bottom w:val="none" w:sz="0" w:space="0" w:color="auto"/>
        <w:right w:val="none" w:sz="0" w:space="0" w:color="auto"/>
      </w:divBdr>
    </w:div>
    <w:div w:id="194975159">
      <w:bodyDiv w:val="1"/>
      <w:marLeft w:val="0"/>
      <w:marRight w:val="0"/>
      <w:marTop w:val="0"/>
      <w:marBottom w:val="0"/>
      <w:divBdr>
        <w:top w:val="none" w:sz="0" w:space="0" w:color="auto"/>
        <w:left w:val="none" w:sz="0" w:space="0" w:color="auto"/>
        <w:bottom w:val="none" w:sz="0" w:space="0" w:color="auto"/>
        <w:right w:val="none" w:sz="0" w:space="0" w:color="auto"/>
      </w:divBdr>
    </w:div>
    <w:div w:id="195387522">
      <w:bodyDiv w:val="1"/>
      <w:marLeft w:val="0"/>
      <w:marRight w:val="0"/>
      <w:marTop w:val="0"/>
      <w:marBottom w:val="0"/>
      <w:divBdr>
        <w:top w:val="none" w:sz="0" w:space="0" w:color="auto"/>
        <w:left w:val="none" w:sz="0" w:space="0" w:color="auto"/>
        <w:bottom w:val="none" w:sz="0" w:space="0" w:color="auto"/>
        <w:right w:val="none" w:sz="0" w:space="0" w:color="auto"/>
      </w:divBdr>
    </w:div>
    <w:div w:id="195390540">
      <w:bodyDiv w:val="1"/>
      <w:marLeft w:val="0"/>
      <w:marRight w:val="0"/>
      <w:marTop w:val="0"/>
      <w:marBottom w:val="0"/>
      <w:divBdr>
        <w:top w:val="none" w:sz="0" w:space="0" w:color="auto"/>
        <w:left w:val="none" w:sz="0" w:space="0" w:color="auto"/>
        <w:bottom w:val="none" w:sz="0" w:space="0" w:color="auto"/>
        <w:right w:val="none" w:sz="0" w:space="0" w:color="auto"/>
      </w:divBdr>
    </w:div>
    <w:div w:id="195581225">
      <w:bodyDiv w:val="1"/>
      <w:marLeft w:val="0"/>
      <w:marRight w:val="0"/>
      <w:marTop w:val="0"/>
      <w:marBottom w:val="0"/>
      <w:divBdr>
        <w:top w:val="none" w:sz="0" w:space="0" w:color="auto"/>
        <w:left w:val="none" w:sz="0" w:space="0" w:color="auto"/>
        <w:bottom w:val="none" w:sz="0" w:space="0" w:color="auto"/>
        <w:right w:val="none" w:sz="0" w:space="0" w:color="auto"/>
      </w:divBdr>
    </w:div>
    <w:div w:id="195854157">
      <w:bodyDiv w:val="1"/>
      <w:marLeft w:val="0"/>
      <w:marRight w:val="0"/>
      <w:marTop w:val="0"/>
      <w:marBottom w:val="0"/>
      <w:divBdr>
        <w:top w:val="none" w:sz="0" w:space="0" w:color="auto"/>
        <w:left w:val="none" w:sz="0" w:space="0" w:color="auto"/>
        <w:bottom w:val="none" w:sz="0" w:space="0" w:color="auto"/>
        <w:right w:val="none" w:sz="0" w:space="0" w:color="auto"/>
      </w:divBdr>
    </w:div>
    <w:div w:id="195972181">
      <w:bodyDiv w:val="1"/>
      <w:marLeft w:val="0"/>
      <w:marRight w:val="0"/>
      <w:marTop w:val="0"/>
      <w:marBottom w:val="0"/>
      <w:divBdr>
        <w:top w:val="none" w:sz="0" w:space="0" w:color="auto"/>
        <w:left w:val="none" w:sz="0" w:space="0" w:color="auto"/>
        <w:bottom w:val="none" w:sz="0" w:space="0" w:color="auto"/>
        <w:right w:val="none" w:sz="0" w:space="0" w:color="auto"/>
      </w:divBdr>
    </w:div>
    <w:div w:id="195972849">
      <w:bodyDiv w:val="1"/>
      <w:marLeft w:val="0"/>
      <w:marRight w:val="0"/>
      <w:marTop w:val="0"/>
      <w:marBottom w:val="0"/>
      <w:divBdr>
        <w:top w:val="none" w:sz="0" w:space="0" w:color="auto"/>
        <w:left w:val="none" w:sz="0" w:space="0" w:color="auto"/>
        <w:bottom w:val="none" w:sz="0" w:space="0" w:color="auto"/>
        <w:right w:val="none" w:sz="0" w:space="0" w:color="auto"/>
      </w:divBdr>
    </w:div>
    <w:div w:id="195973824">
      <w:bodyDiv w:val="1"/>
      <w:marLeft w:val="0"/>
      <w:marRight w:val="0"/>
      <w:marTop w:val="0"/>
      <w:marBottom w:val="0"/>
      <w:divBdr>
        <w:top w:val="none" w:sz="0" w:space="0" w:color="auto"/>
        <w:left w:val="none" w:sz="0" w:space="0" w:color="auto"/>
        <w:bottom w:val="none" w:sz="0" w:space="0" w:color="auto"/>
        <w:right w:val="none" w:sz="0" w:space="0" w:color="auto"/>
      </w:divBdr>
    </w:div>
    <w:div w:id="196040954">
      <w:bodyDiv w:val="1"/>
      <w:marLeft w:val="0"/>
      <w:marRight w:val="0"/>
      <w:marTop w:val="0"/>
      <w:marBottom w:val="0"/>
      <w:divBdr>
        <w:top w:val="none" w:sz="0" w:space="0" w:color="auto"/>
        <w:left w:val="none" w:sz="0" w:space="0" w:color="auto"/>
        <w:bottom w:val="none" w:sz="0" w:space="0" w:color="auto"/>
        <w:right w:val="none" w:sz="0" w:space="0" w:color="auto"/>
      </w:divBdr>
    </w:div>
    <w:div w:id="196045441">
      <w:bodyDiv w:val="1"/>
      <w:marLeft w:val="0"/>
      <w:marRight w:val="0"/>
      <w:marTop w:val="0"/>
      <w:marBottom w:val="0"/>
      <w:divBdr>
        <w:top w:val="none" w:sz="0" w:space="0" w:color="auto"/>
        <w:left w:val="none" w:sz="0" w:space="0" w:color="auto"/>
        <w:bottom w:val="none" w:sz="0" w:space="0" w:color="auto"/>
        <w:right w:val="none" w:sz="0" w:space="0" w:color="auto"/>
      </w:divBdr>
    </w:div>
    <w:div w:id="196046913">
      <w:bodyDiv w:val="1"/>
      <w:marLeft w:val="0"/>
      <w:marRight w:val="0"/>
      <w:marTop w:val="0"/>
      <w:marBottom w:val="0"/>
      <w:divBdr>
        <w:top w:val="none" w:sz="0" w:space="0" w:color="auto"/>
        <w:left w:val="none" w:sz="0" w:space="0" w:color="auto"/>
        <w:bottom w:val="none" w:sz="0" w:space="0" w:color="auto"/>
        <w:right w:val="none" w:sz="0" w:space="0" w:color="auto"/>
      </w:divBdr>
    </w:div>
    <w:div w:id="196086680">
      <w:bodyDiv w:val="1"/>
      <w:marLeft w:val="0"/>
      <w:marRight w:val="0"/>
      <w:marTop w:val="0"/>
      <w:marBottom w:val="0"/>
      <w:divBdr>
        <w:top w:val="none" w:sz="0" w:space="0" w:color="auto"/>
        <w:left w:val="none" w:sz="0" w:space="0" w:color="auto"/>
        <w:bottom w:val="none" w:sz="0" w:space="0" w:color="auto"/>
        <w:right w:val="none" w:sz="0" w:space="0" w:color="auto"/>
      </w:divBdr>
    </w:div>
    <w:div w:id="196089930">
      <w:bodyDiv w:val="1"/>
      <w:marLeft w:val="0"/>
      <w:marRight w:val="0"/>
      <w:marTop w:val="0"/>
      <w:marBottom w:val="0"/>
      <w:divBdr>
        <w:top w:val="none" w:sz="0" w:space="0" w:color="auto"/>
        <w:left w:val="none" w:sz="0" w:space="0" w:color="auto"/>
        <w:bottom w:val="none" w:sz="0" w:space="0" w:color="auto"/>
        <w:right w:val="none" w:sz="0" w:space="0" w:color="auto"/>
      </w:divBdr>
    </w:div>
    <w:div w:id="196242462">
      <w:bodyDiv w:val="1"/>
      <w:marLeft w:val="0"/>
      <w:marRight w:val="0"/>
      <w:marTop w:val="0"/>
      <w:marBottom w:val="0"/>
      <w:divBdr>
        <w:top w:val="none" w:sz="0" w:space="0" w:color="auto"/>
        <w:left w:val="none" w:sz="0" w:space="0" w:color="auto"/>
        <w:bottom w:val="none" w:sz="0" w:space="0" w:color="auto"/>
        <w:right w:val="none" w:sz="0" w:space="0" w:color="auto"/>
      </w:divBdr>
    </w:div>
    <w:div w:id="196312968">
      <w:bodyDiv w:val="1"/>
      <w:marLeft w:val="0"/>
      <w:marRight w:val="0"/>
      <w:marTop w:val="0"/>
      <w:marBottom w:val="0"/>
      <w:divBdr>
        <w:top w:val="none" w:sz="0" w:space="0" w:color="auto"/>
        <w:left w:val="none" w:sz="0" w:space="0" w:color="auto"/>
        <w:bottom w:val="none" w:sz="0" w:space="0" w:color="auto"/>
        <w:right w:val="none" w:sz="0" w:space="0" w:color="auto"/>
      </w:divBdr>
    </w:div>
    <w:div w:id="196359213">
      <w:bodyDiv w:val="1"/>
      <w:marLeft w:val="0"/>
      <w:marRight w:val="0"/>
      <w:marTop w:val="0"/>
      <w:marBottom w:val="0"/>
      <w:divBdr>
        <w:top w:val="none" w:sz="0" w:space="0" w:color="auto"/>
        <w:left w:val="none" w:sz="0" w:space="0" w:color="auto"/>
        <w:bottom w:val="none" w:sz="0" w:space="0" w:color="auto"/>
        <w:right w:val="none" w:sz="0" w:space="0" w:color="auto"/>
      </w:divBdr>
    </w:div>
    <w:div w:id="196434895">
      <w:bodyDiv w:val="1"/>
      <w:marLeft w:val="0"/>
      <w:marRight w:val="0"/>
      <w:marTop w:val="0"/>
      <w:marBottom w:val="0"/>
      <w:divBdr>
        <w:top w:val="none" w:sz="0" w:space="0" w:color="auto"/>
        <w:left w:val="none" w:sz="0" w:space="0" w:color="auto"/>
        <w:bottom w:val="none" w:sz="0" w:space="0" w:color="auto"/>
        <w:right w:val="none" w:sz="0" w:space="0" w:color="auto"/>
      </w:divBdr>
    </w:div>
    <w:div w:id="196549886">
      <w:bodyDiv w:val="1"/>
      <w:marLeft w:val="0"/>
      <w:marRight w:val="0"/>
      <w:marTop w:val="0"/>
      <w:marBottom w:val="0"/>
      <w:divBdr>
        <w:top w:val="none" w:sz="0" w:space="0" w:color="auto"/>
        <w:left w:val="none" w:sz="0" w:space="0" w:color="auto"/>
        <w:bottom w:val="none" w:sz="0" w:space="0" w:color="auto"/>
        <w:right w:val="none" w:sz="0" w:space="0" w:color="auto"/>
      </w:divBdr>
    </w:div>
    <w:div w:id="196549927">
      <w:bodyDiv w:val="1"/>
      <w:marLeft w:val="0"/>
      <w:marRight w:val="0"/>
      <w:marTop w:val="0"/>
      <w:marBottom w:val="0"/>
      <w:divBdr>
        <w:top w:val="none" w:sz="0" w:space="0" w:color="auto"/>
        <w:left w:val="none" w:sz="0" w:space="0" w:color="auto"/>
        <w:bottom w:val="none" w:sz="0" w:space="0" w:color="auto"/>
        <w:right w:val="none" w:sz="0" w:space="0" w:color="auto"/>
      </w:divBdr>
    </w:div>
    <w:div w:id="196621161">
      <w:bodyDiv w:val="1"/>
      <w:marLeft w:val="0"/>
      <w:marRight w:val="0"/>
      <w:marTop w:val="0"/>
      <w:marBottom w:val="0"/>
      <w:divBdr>
        <w:top w:val="none" w:sz="0" w:space="0" w:color="auto"/>
        <w:left w:val="none" w:sz="0" w:space="0" w:color="auto"/>
        <w:bottom w:val="none" w:sz="0" w:space="0" w:color="auto"/>
        <w:right w:val="none" w:sz="0" w:space="0" w:color="auto"/>
      </w:divBdr>
    </w:div>
    <w:div w:id="196629885">
      <w:bodyDiv w:val="1"/>
      <w:marLeft w:val="0"/>
      <w:marRight w:val="0"/>
      <w:marTop w:val="0"/>
      <w:marBottom w:val="0"/>
      <w:divBdr>
        <w:top w:val="none" w:sz="0" w:space="0" w:color="auto"/>
        <w:left w:val="none" w:sz="0" w:space="0" w:color="auto"/>
        <w:bottom w:val="none" w:sz="0" w:space="0" w:color="auto"/>
        <w:right w:val="none" w:sz="0" w:space="0" w:color="auto"/>
      </w:divBdr>
    </w:div>
    <w:div w:id="196696741">
      <w:bodyDiv w:val="1"/>
      <w:marLeft w:val="0"/>
      <w:marRight w:val="0"/>
      <w:marTop w:val="0"/>
      <w:marBottom w:val="0"/>
      <w:divBdr>
        <w:top w:val="none" w:sz="0" w:space="0" w:color="auto"/>
        <w:left w:val="none" w:sz="0" w:space="0" w:color="auto"/>
        <w:bottom w:val="none" w:sz="0" w:space="0" w:color="auto"/>
        <w:right w:val="none" w:sz="0" w:space="0" w:color="auto"/>
      </w:divBdr>
    </w:div>
    <w:div w:id="196697143">
      <w:bodyDiv w:val="1"/>
      <w:marLeft w:val="0"/>
      <w:marRight w:val="0"/>
      <w:marTop w:val="0"/>
      <w:marBottom w:val="0"/>
      <w:divBdr>
        <w:top w:val="none" w:sz="0" w:space="0" w:color="auto"/>
        <w:left w:val="none" w:sz="0" w:space="0" w:color="auto"/>
        <w:bottom w:val="none" w:sz="0" w:space="0" w:color="auto"/>
        <w:right w:val="none" w:sz="0" w:space="0" w:color="auto"/>
      </w:divBdr>
    </w:div>
    <w:div w:id="196705279">
      <w:bodyDiv w:val="1"/>
      <w:marLeft w:val="0"/>
      <w:marRight w:val="0"/>
      <w:marTop w:val="0"/>
      <w:marBottom w:val="0"/>
      <w:divBdr>
        <w:top w:val="none" w:sz="0" w:space="0" w:color="auto"/>
        <w:left w:val="none" w:sz="0" w:space="0" w:color="auto"/>
        <w:bottom w:val="none" w:sz="0" w:space="0" w:color="auto"/>
        <w:right w:val="none" w:sz="0" w:space="0" w:color="auto"/>
      </w:divBdr>
    </w:div>
    <w:div w:id="196965087">
      <w:bodyDiv w:val="1"/>
      <w:marLeft w:val="0"/>
      <w:marRight w:val="0"/>
      <w:marTop w:val="0"/>
      <w:marBottom w:val="0"/>
      <w:divBdr>
        <w:top w:val="none" w:sz="0" w:space="0" w:color="auto"/>
        <w:left w:val="none" w:sz="0" w:space="0" w:color="auto"/>
        <w:bottom w:val="none" w:sz="0" w:space="0" w:color="auto"/>
        <w:right w:val="none" w:sz="0" w:space="0" w:color="auto"/>
      </w:divBdr>
    </w:div>
    <w:div w:id="197014870">
      <w:bodyDiv w:val="1"/>
      <w:marLeft w:val="0"/>
      <w:marRight w:val="0"/>
      <w:marTop w:val="0"/>
      <w:marBottom w:val="0"/>
      <w:divBdr>
        <w:top w:val="none" w:sz="0" w:space="0" w:color="auto"/>
        <w:left w:val="none" w:sz="0" w:space="0" w:color="auto"/>
        <w:bottom w:val="none" w:sz="0" w:space="0" w:color="auto"/>
        <w:right w:val="none" w:sz="0" w:space="0" w:color="auto"/>
      </w:divBdr>
    </w:div>
    <w:div w:id="197202456">
      <w:bodyDiv w:val="1"/>
      <w:marLeft w:val="0"/>
      <w:marRight w:val="0"/>
      <w:marTop w:val="0"/>
      <w:marBottom w:val="0"/>
      <w:divBdr>
        <w:top w:val="none" w:sz="0" w:space="0" w:color="auto"/>
        <w:left w:val="none" w:sz="0" w:space="0" w:color="auto"/>
        <w:bottom w:val="none" w:sz="0" w:space="0" w:color="auto"/>
        <w:right w:val="none" w:sz="0" w:space="0" w:color="auto"/>
      </w:divBdr>
    </w:div>
    <w:div w:id="197204676">
      <w:bodyDiv w:val="1"/>
      <w:marLeft w:val="0"/>
      <w:marRight w:val="0"/>
      <w:marTop w:val="0"/>
      <w:marBottom w:val="0"/>
      <w:divBdr>
        <w:top w:val="none" w:sz="0" w:space="0" w:color="auto"/>
        <w:left w:val="none" w:sz="0" w:space="0" w:color="auto"/>
        <w:bottom w:val="none" w:sz="0" w:space="0" w:color="auto"/>
        <w:right w:val="none" w:sz="0" w:space="0" w:color="auto"/>
      </w:divBdr>
    </w:div>
    <w:div w:id="197280270">
      <w:bodyDiv w:val="1"/>
      <w:marLeft w:val="0"/>
      <w:marRight w:val="0"/>
      <w:marTop w:val="0"/>
      <w:marBottom w:val="0"/>
      <w:divBdr>
        <w:top w:val="none" w:sz="0" w:space="0" w:color="auto"/>
        <w:left w:val="none" w:sz="0" w:space="0" w:color="auto"/>
        <w:bottom w:val="none" w:sz="0" w:space="0" w:color="auto"/>
        <w:right w:val="none" w:sz="0" w:space="0" w:color="auto"/>
      </w:divBdr>
    </w:div>
    <w:div w:id="197354866">
      <w:bodyDiv w:val="1"/>
      <w:marLeft w:val="0"/>
      <w:marRight w:val="0"/>
      <w:marTop w:val="0"/>
      <w:marBottom w:val="0"/>
      <w:divBdr>
        <w:top w:val="none" w:sz="0" w:space="0" w:color="auto"/>
        <w:left w:val="none" w:sz="0" w:space="0" w:color="auto"/>
        <w:bottom w:val="none" w:sz="0" w:space="0" w:color="auto"/>
        <w:right w:val="none" w:sz="0" w:space="0" w:color="auto"/>
      </w:divBdr>
    </w:div>
    <w:div w:id="197399556">
      <w:bodyDiv w:val="1"/>
      <w:marLeft w:val="0"/>
      <w:marRight w:val="0"/>
      <w:marTop w:val="0"/>
      <w:marBottom w:val="0"/>
      <w:divBdr>
        <w:top w:val="none" w:sz="0" w:space="0" w:color="auto"/>
        <w:left w:val="none" w:sz="0" w:space="0" w:color="auto"/>
        <w:bottom w:val="none" w:sz="0" w:space="0" w:color="auto"/>
        <w:right w:val="none" w:sz="0" w:space="0" w:color="auto"/>
      </w:divBdr>
    </w:div>
    <w:div w:id="197549172">
      <w:bodyDiv w:val="1"/>
      <w:marLeft w:val="0"/>
      <w:marRight w:val="0"/>
      <w:marTop w:val="0"/>
      <w:marBottom w:val="0"/>
      <w:divBdr>
        <w:top w:val="none" w:sz="0" w:space="0" w:color="auto"/>
        <w:left w:val="none" w:sz="0" w:space="0" w:color="auto"/>
        <w:bottom w:val="none" w:sz="0" w:space="0" w:color="auto"/>
        <w:right w:val="none" w:sz="0" w:space="0" w:color="auto"/>
      </w:divBdr>
    </w:div>
    <w:div w:id="197553323">
      <w:bodyDiv w:val="1"/>
      <w:marLeft w:val="0"/>
      <w:marRight w:val="0"/>
      <w:marTop w:val="0"/>
      <w:marBottom w:val="0"/>
      <w:divBdr>
        <w:top w:val="none" w:sz="0" w:space="0" w:color="auto"/>
        <w:left w:val="none" w:sz="0" w:space="0" w:color="auto"/>
        <w:bottom w:val="none" w:sz="0" w:space="0" w:color="auto"/>
        <w:right w:val="none" w:sz="0" w:space="0" w:color="auto"/>
      </w:divBdr>
    </w:div>
    <w:div w:id="197662470">
      <w:bodyDiv w:val="1"/>
      <w:marLeft w:val="0"/>
      <w:marRight w:val="0"/>
      <w:marTop w:val="0"/>
      <w:marBottom w:val="0"/>
      <w:divBdr>
        <w:top w:val="none" w:sz="0" w:space="0" w:color="auto"/>
        <w:left w:val="none" w:sz="0" w:space="0" w:color="auto"/>
        <w:bottom w:val="none" w:sz="0" w:space="0" w:color="auto"/>
        <w:right w:val="none" w:sz="0" w:space="0" w:color="auto"/>
      </w:divBdr>
    </w:div>
    <w:div w:id="198133788">
      <w:bodyDiv w:val="1"/>
      <w:marLeft w:val="0"/>
      <w:marRight w:val="0"/>
      <w:marTop w:val="0"/>
      <w:marBottom w:val="0"/>
      <w:divBdr>
        <w:top w:val="none" w:sz="0" w:space="0" w:color="auto"/>
        <w:left w:val="none" w:sz="0" w:space="0" w:color="auto"/>
        <w:bottom w:val="none" w:sz="0" w:space="0" w:color="auto"/>
        <w:right w:val="none" w:sz="0" w:space="0" w:color="auto"/>
      </w:divBdr>
    </w:div>
    <w:div w:id="198514338">
      <w:bodyDiv w:val="1"/>
      <w:marLeft w:val="0"/>
      <w:marRight w:val="0"/>
      <w:marTop w:val="0"/>
      <w:marBottom w:val="0"/>
      <w:divBdr>
        <w:top w:val="none" w:sz="0" w:space="0" w:color="auto"/>
        <w:left w:val="none" w:sz="0" w:space="0" w:color="auto"/>
        <w:bottom w:val="none" w:sz="0" w:space="0" w:color="auto"/>
        <w:right w:val="none" w:sz="0" w:space="0" w:color="auto"/>
      </w:divBdr>
    </w:div>
    <w:div w:id="198590013">
      <w:bodyDiv w:val="1"/>
      <w:marLeft w:val="0"/>
      <w:marRight w:val="0"/>
      <w:marTop w:val="0"/>
      <w:marBottom w:val="0"/>
      <w:divBdr>
        <w:top w:val="none" w:sz="0" w:space="0" w:color="auto"/>
        <w:left w:val="none" w:sz="0" w:space="0" w:color="auto"/>
        <w:bottom w:val="none" w:sz="0" w:space="0" w:color="auto"/>
        <w:right w:val="none" w:sz="0" w:space="0" w:color="auto"/>
      </w:divBdr>
    </w:div>
    <w:div w:id="198903382">
      <w:bodyDiv w:val="1"/>
      <w:marLeft w:val="0"/>
      <w:marRight w:val="0"/>
      <w:marTop w:val="0"/>
      <w:marBottom w:val="0"/>
      <w:divBdr>
        <w:top w:val="none" w:sz="0" w:space="0" w:color="auto"/>
        <w:left w:val="none" w:sz="0" w:space="0" w:color="auto"/>
        <w:bottom w:val="none" w:sz="0" w:space="0" w:color="auto"/>
        <w:right w:val="none" w:sz="0" w:space="0" w:color="auto"/>
      </w:divBdr>
    </w:div>
    <w:div w:id="199056106">
      <w:bodyDiv w:val="1"/>
      <w:marLeft w:val="0"/>
      <w:marRight w:val="0"/>
      <w:marTop w:val="0"/>
      <w:marBottom w:val="0"/>
      <w:divBdr>
        <w:top w:val="none" w:sz="0" w:space="0" w:color="auto"/>
        <w:left w:val="none" w:sz="0" w:space="0" w:color="auto"/>
        <w:bottom w:val="none" w:sz="0" w:space="0" w:color="auto"/>
        <w:right w:val="none" w:sz="0" w:space="0" w:color="auto"/>
      </w:divBdr>
    </w:div>
    <w:div w:id="199126968">
      <w:bodyDiv w:val="1"/>
      <w:marLeft w:val="0"/>
      <w:marRight w:val="0"/>
      <w:marTop w:val="0"/>
      <w:marBottom w:val="0"/>
      <w:divBdr>
        <w:top w:val="none" w:sz="0" w:space="0" w:color="auto"/>
        <w:left w:val="none" w:sz="0" w:space="0" w:color="auto"/>
        <w:bottom w:val="none" w:sz="0" w:space="0" w:color="auto"/>
        <w:right w:val="none" w:sz="0" w:space="0" w:color="auto"/>
      </w:divBdr>
    </w:div>
    <w:div w:id="199168991">
      <w:bodyDiv w:val="1"/>
      <w:marLeft w:val="0"/>
      <w:marRight w:val="0"/>
      <w:marTop w:val="0"/>
      <w:marBottom w:val="0"/>
      <w:divBdr>
        <w:top w:val="none" w:sz="0" w:space="0" w:color="auto"/>
        <w:left w:val="none" w:sz="0" w:space="0" w:color="auto"/>
        <w:bottom w:val="none" w:sz="0" w:space="0" w:color="auto"/>
        <w:right w:val="none" w:sz="0" w:space="0" w:color="auto"/>
      </w:divBdr>
    </w:div>
    <w:div w:id="199175834">
      <w:bodyDiv w:val="1"/>
      <w:marLeft w:val="0"/>
      <w:marRight w:val="0"/>
      <w:marTop w:val="0"/>
      <w:marBottom w:val="0"/>
      <w:divBdr>
        <w:top w:val="none" w:sz="0" w:space="0" w:color="auto"/>
        <w:left w:val="none" w:sz="0" w:space="0" w:color="auto"/>
        <w:bottom w:val="none" w:sz="0" w:space="0" w:color="auto"/>
        <w:right w:val="none" w:sz="0" w:space="0" w:color="auto"/>
      </w:divBdr>
    </w:div>
    <w:div w:id="199251272">
      <w:bodyDiv w:val="1"/>
      <w:marLeft w:val="0"/>
      <w:marRight w:val="0"/>
      <w:marTop w:val="0"/>
      <w:marBottom w:val="0"/>
      <w:divBdr>
        <w:top w:val="none" w:sz="0" w:space="0" w:color="auto"/>
        <w:left w:val="none" w:sz="0" w:space="0" w:color="auto"/>
        <w:bottom w:val="none" w:sz="0" w:space="0" w:color="auto"/>
        <w:right w:val="none" w:sz="0" w:space="0" w:color="auto"/>
      </w:divBdr>
    </w:div>
    <w:div w:id="199361113">
      <w:bodyDiv w:val="1"/>
      <w:marLeft w:val="0"/>
      <w:marRight w:val="0"/>
      <w:marTop w:val="0"/>
      <w:marBottom w:val="0"/>
      <w:divBdr>
        <w:top w:val="none" w:sz="0" w:space="0" w:color="auto"/>
        <w:left w:val="none" w:sz="0" w:space="0" w:color="auto"/>
        <w:bottom w:val="none" w:sz="0" w:space="0" w:color="auto"/>
        <w:right w:val="none" w:sz="0" w:space="0" w:color="auto"/>
      </w:divBdr>
    </w:div>
    <w:div w:id="199361648">
      <w:bodyDiv w:val="1"/>
      <w:marLeft w:val="0"/>
      <w:marRight w:val="0"/>
      <w:marTop w:val="0"/>
      <w:marBottom w:val="0"/>
      <w:divBdr>
        <w:top w:val="none" w:sz="0" w:space="0" w:color="auto"/>
        <w:left w:val="none" w:sz="0" w:space="0" w:color="auto"/>
        <w:bottom w:val="none" w:sz="0" w:space="0" w:color="auto"/>
        <w:right w:val="none" w:sz="0" w:space="0" w:color="auto"/>
      </w:divBdr>
    </w:div>
    <w:div w:id="199362381">
      <w:bodyDiv w:val="1"/>
      <w:marLeft w:val="0"/>
      <w:marRight w:val="0"/>
      <w:marTop w:val="0"/>
      <w:marBottom w:val="0"/>
      <w:divBdr>
        <w:top w:val="none" w:sz="0" w:space="0" w:color="auto"/>
        <w:left w:val="none" w:sz="0" w:space="0" w:color="auto"/>
        <w:bottom w:val="none" w:sz="0" w:space="0" w:color="auto"/>
        <w:right w:val="none" w:sz="0" w:space="0" w:color="auto"/>
      </w:divBdr>
    </w:div>
    <w:div w:id="199440377">
      <w:bodyDiv w:val="1"/>
      <w:marLeft w:val="0"/>
      <w:marRight w:val="0"/>
      <w:marTop w:val="0"/>
      <w:marBottom w:val="0"/>
      <w:divBdr>
        <w:top w:val="none" w:sz="0" w:space="0" w:color="auto"/>
        <w:left w:val="none" w:sz="0" w:space="0" w:color="auto"/>
        <w:bottom w:val="none" w:sz="0" w:space="0" w:color="auto"/>
        <w:right w:val="none" w:sz="0" w:space="0" w:color="auto"/>
      </w:divBdr>
    </w:div>
    <w:div w:id="199561339">
      <w:bodyDiv w:val="1"/>
      <w:marLeft w:val="0"/>
      <w:marRight w:val="0"/>
      <w:marTop w:val="0"/>
      <w:marBottom w:val="0"/>
      <w:divBdr>
        <w:top w:val="none" w:sz="0" w:space="0" w:color="auto"/>
        <w:left w:val="none" w:sz="0" w:space="0" w:color="auto"/>
        <w:bottom w:val="none" w:sz="0" w:space="0" w:color="auto"/>
        <w:right w:val="none" w:sz="0" w:space="0" w:color="auto"/>
      </w:divBdr>
    </w:div>
    <w:div w:id="199628575">
      <w:bodyDiv w:val="1"/>
      <w:marLeft w:val="0"/>
      <w:marRight w:val="0"/>
      <w:marTop w:val="0"/>
      <w:marBottom w:val="0"/>
      <w:divBdr>
        <w:top w:val="none" w:sz="0" w:space="0" w:color="auto"/>
        <w:left w:val="none" w:sz="0" w:space="0" w:color="auto"/>
        <w:bottom w:val="none" w:sz="0" w:space="0" w:color="auto"/>
        <w:right w:val="none" w:sz="0" w:space="0" w:color="auto"/>
      </w:divBdr>
    </w:div>
    <w:div w:id="199631101">
      <w:bodyDiv w:val="1"/>
      <w:marLeft w:val="0"/>
      <w:marRight w:val="0"/>
      <w:marTop w:val="0"/>
      <w:marBottom w:val="0"/>
      <w:divBdr>
        <w:top w:val="none" w:sz="0" w:space="0" w:color="auto"/>
        <w:left w:val="none" w:sz="0" w:space="0" w:color="auto"/>
        <w:bottom w:val="none" w:sz="0" w:space="0" w:color="auto"/>
        <w:right w:val="none" w:sz="0" w:space="0" w:color="auto"/>
      </w:divBdr>
    </w:div>
    <w:div w:id="199705679">
      <w:bodyDiv w:val="1"/>
      <w:marLeft w:val="0"/>
      <w:marRight w:val="0"/>
      <w:marTop w:val="0"/>
      <w:marBottom w:val="0"/>
      <w:divBdr>
        <w:top w:val="none" w:sz="0" w:space="0" w:color="auto"/>
        <w:left w:val="none" w:sz="0" w:space="0" w:color="auto"/>
        <w:bottom w:val="none" w:sz="0" w:space="0" w:color="auto"/>
        <w:right w:val="none" w:sz="0" w:space="0" w:color="auto"/>
      </w:divBdr>
    </w:div>
    <w:div w:id="199708229">
      <w:bodyDiv w:val="1"/>
      <w:marLeft w:val="0"/>
      <w:marRight w:val="0"/>
      <w:marTop w:val="0"/>
      <w:marBottom w:val="0"/>
      <w:divBdr>
        <w:top w:val="none" w:sz="0" w:space="0" w:color="auto"/>
        <w:left w:val="none" w:sz="0" w:space="0" w:color="auto"/>
        <w:bottom w:val="none" w:sz="0" w:space="0" w:color="auto"/>
        <w:right w:val="none" w:sz="0" w:space="0" w:color="auto"/>
      </w:divBdr>
    </w:div>
    <w:div w:id="199899623">
      <w:bodyDiv w:val="1"/>
      <w:marLeft w:val="0"/>
      <w:marRight w:val="0"/>
      <w:marTop w:val="0"/>
      <w:marBottom w:val="0"/>
      <w:divBdr>
        <w:top w:val="none" w:sz="0" w:space="0" w:color="auto"/>
        <w:left w:val="none" w:sz="0" w:space="0" w:color="auto"/>
        <w:bottom w:val="none" w:sz="0" w:space="0" w:color="auto"/>
        <w:right w:val="none" w:sz="0" w:space="0" w:color="auto"/>
      </w:divBdr>
    </w:div>
    <w:div w:id="199975463">
      <w:bodyDiv w:val="1"/>
      <w:marLeft w:val="0"/>
      <w:marRight w:val="0"/>
      <w:marTop w:val="0"/>
      <w:marBottom w:val="0"/>
      <w:divBdr>
        <w:top w:val="none" w:sz="0" w:space="0" w:color="auto"/>
        <w:left w:val="none" w:sz="0" w:space="0" w:color="auto"/>
        <w:bottom w:val="none" w:sz="0" w:space="0" w:color="auto"/>
        <w:right w:val="none" w:sz="0" w:space="0" w:color="auto"/>
      </w:divBdr>
    </w:div>
    <w:div w:id="200097292">
      <w:bodyDiv w:val="1"/>
      <w:marLeft w:val="0"/>
      <w:marRight w:val="0"/>
      <w:marTop w:val="0"/>
      <w:marBottom w:val="0"/>
      <w:divBdr>
        <w:top w:val="none" w:sz="0" w:space="0" w:color="auto"/>
        <w:left w:val="none" w:sz="0" w:space="0" w:color="auto"/>
        <w:bottom w:val="none" w:sz="0" w:space="0" w:color="auto"/>
        <w:right w:val="none" w:sz="0" w:space="0" w:color="auto"/>
      </w:divBdr>
    </w:div>
    <w:div w:id="200241601">
      <w:bodyDiv w:val="1"/>
      <w:marLeft w:val="0"/>
      <w:marRight w:val="0"/>
      <w:marTop w:val="0"/>
      <w:marBottom w:val="0"/>
      <w:divBdr>
        <w:top w:val="none" w:sz="0" w:space="0" w:color="auto"/>
        <w:left w:val="none" w:sz="0" w:space="0" w:color="auto"/>
        <w:bottom w:val="none" w:sz="0" w:space="0" w:color="auto"/>
        <w:right w:val="none" w:sz="0" w:space="0" w:color="auto"/>
      </w:divBdr>
    </w:div>
    <w:div w:id="200243064">
      <w:bodyDiv w:val="1"/>
      <w:marLeft w:val="0"/>
      <w:marRight w:val="0"/>
      <w:marTop w:val="0"/>
      <w:marBottom w:val="0"/>
      <w:divBdr>
        <w:top w:val="none" w:sz="0" w:space="0" w:color="auto"/>
        <w:left w:val="none" w:sz="0" w:space="0" w:color="auto"/>
        <w:bottom w:val="none" w:sz="0" w:space="0" w:color="auto"/>
        <w:right w:val="none" w:sz="0" w:space="0" w:color="auto"/>
      </w:divBdr>
    </w:div>
    <w:div w:id="200361741">
      <w:bodyDiv w:val="1"/>
      <w:marLeft w:val="0"/>
      <w:marRight w:val="0"/>
      <w:marTop w:val="0"/>
      <w:marBottom w:val="0"/>
      <w:divBdr>
        <w:top w:val="none" w:sz="0" w:space="0" w:color="auto"/>
        <w:left w:val="none" w:sz="0" w:space="0" w:color="auto"/>
        <w:bottom w:val="none" w:sz="0" w:space="0" w:color="auto"/>
        <w:right w:val="none" w:sz="0" w:space="0" w:color="auto"/>
      </w:divBdr>
    </w:div>
    <w:div w:id="200365328">
      <w:bodyDiv w:val="1"/>
      <w:marLeft w:val="0"/>
      <w:marRight w:val="0"/>
      <w:marTop w:val="0"/>
      <w:marBottom w:val="0"/>
      <w:divBdr>
        <w:top w:val="none" w:sz="0" w:space="0" w:color="auto"/>
        <w:left w:val="none" w:sz="0" w:space="0" w:color="auto"/>
        <w:bottom w:val="none" w:sz="0" w:space="0" w:color="auto"/>
        <w:right w:val="none" w:sz="0" w:space="0" w:color="auto"/>
      </w:divBdr>
    </w:div>
    <w:div w:id="200629219">
      <w:bodyDiv w:val="1"/>
      <w:marLeft w:val="0"/>
      <w:marRight w:val="0"/>
      <w:marTop w:val="0"/>
      <w:marBottom w:val="0"/>
      <w:divBdr>
        <w:top w:val="none" w:sz="0" w:space="0" w:color="auto"/>
        <w:left w:val="none" w:sz="0" w:space="0" w:color="auto"/>
        <w:bottom w:val="none" w:sz="0" w:space="0" w:color="auto"/>
        <w:right w:val="none" w:sz="0" w:space="0" w:color="auto"/>
      </w:divBdr>
    </w:div>
    <w:div w:id="200636164">
      <w:bodyDiv w:val="1"/>
      <w:marLeft w:val="0"/>
      <w:marRight w:val="0"/>
      <w:marTop w:val="0"/>
      <w:marBottom w:val="0"/>
      <w:divBdr>
        <w:top w:val="none" w:sz="0" w:space="0" w:color="auto"/>
        <w:left w:val="none" w:sz="0" w:space="0" w:color="auto"/>
        <w:bottom w:val="none" w:sz="0" w:space="0" w:color="auto"/>
        <w:right w:val="none" w:sz="0" w:space="0" w:color="auto"/>
      </w:divBdr>
    </w:div>
    <w:div w:id="201216211">
      <w:bodyDiv w:val="1"/>
      <w:marLeft w:val="0"/>
      <w:marRight w:val="0"/>
      <w:marTop w:val="0"/>
      <w:marBottom w:val="0"/>
      <w:divBdr>
        <w:top w:val="none" w:sz="0" w:space="0" w:color="auto"/>
        <w:left w:val="none" w:sz="0" w:space="0" w:color="auto"/>
        <w:bottom w:val="none" w:sz="0" w:space="0" w:color="auto"/>
        <w:right w:val="none" w:sz="0" w:space="0" w:color="auto"/>
      </w:divBdr>
    </w:div>
    <w:div w:id="201288474">
      <w:bodyDiv w:val="1"/>
      <w:marLeft w:val="0"/>
      <w:marRight w:val="0"/>
      <w:marTop w:val="0"/>
      <w:marBottom w:val="0"/>
      <w:divBdr>
        <w:top w:val="none" w:sz="0" w:space="0" w:color="auto"/>
        <w:left w:val="none" w:sz="0" w:space="0" w:color="auto"/>
        <w:bottom w:val="none" w:sz="0" w:space="0" w:color="auto"/>
        <w:right w:val="none" w:sz="0" w:space="0" w:color="auto"/>
      </w:divBdr>
    </w:div>
    <w:div w:id="201484017">
      <w:bodyDiv w:val="1"/>
      <w:marLeft w:val="0"/>
      <w:marRight w:val="0"/>
      <w:marTop w:val="0"/>
      <w:marBottom w:val="0"/>
      <w:divBdr>
        <w:top w:val="none" w:sz="0" w:space="0" w:color="auto"/>
        <w:left w:val="none" w:sz="0" w:space="0" w:color="auto"/>
        <w:bottom w:val="none" w:sz="0" w:space="0" w:color="auto"/>
        <w:right w:val="none" w:sz="0" w:space="0" w:color="auto"/>
      </w:divBdr>
    </w:div>
    <w:div w:id="201551624">
      <w:bodyDiv w:val="1"/>
      <w:marLeft w:val="0"/>
      <w:marRight w:val="0"/>
      <w:marTop w:val="0"/>
      <w:marBottom w:val="0"/>
      <w:divBdr>
        <w:top w:val="none" w:sz="0" w:space="0" w:color="auto"/>
        <w:left w:val="none" w:sz="0" w:space="0" w:color="auto"/>
        <w:bottom w:val="none" w:sz="0" w:space="0" w:color="auto"/>
        <w:right w:val="none" w:sz="0" w:space="0" w:color="auto"/>
      </w:divBdr>
    </w:div>
    <w:div w:id="201551856">
      <w:bodyDiv w:val="1"/>
      <w:marLeft w:val="0"/>
      <w:marRight w:val="0"/>
      <w:marTop w:val="0"/>
      <w:marBottom w:val="0"/>
      <w:divBdr>
        <w:top w:val="none" w:sz="0" w:space="0" w:color="auto"/>
        <w:left w:val="none" w:sz="0" w:space="0" w:color="auto"/>
        <w:bottom w:val="none" w:sz="0" w:space="0" w:color="auto"/>
        <w:right w:val="none" w:sz="0" w:space="0" w:color="auto"/>
      </w:divBdr>
    </w:div>
    <w:div w:id="201675715">
      <w:bodyDiv w:val="1"/>
      <w:marLeft w:val="0"/>
      <w:marRight w:val="0"/>
      <w:marTop w:val="0"/>
      <w:marBottom w:val="0"/>
      <w:divBdr>
        <w:top w:val="none" w:sz="0" w:space="0" w:color="auto"/>
        <w:left w:val="none" w:sz="0" w:space="0" w:color="auto"/>
        <w:bottom w:val="none" w:sz="0" w:space="0" w:color="auto"/>
        <w:right w:val="none" w:sz="0" w:space="0" w:color="auto"/>
      </w:divBdr>
    </w:div>
    <w:div w:id="201793147">
      <w:bodyDiv w:val="1"/>
      <w:marLeft w:val="0"/>
      <w:marRight w:val="0"/>
      <w:marTop w:val="0"/>
      <w:marBottom w:val="0"/>
      <w:divBdr>
        <w:top w:val="none" w:sz="0" w:space="0" w:color="auto"/>
        <w:left w:val="none" w:sz="0" w:space="0" w:color="auto"/>
        <w:bottom w:val="none" w:sz="0" w:space="0" w:color="auto"/>
        <w:right w:val="none" w:sz="0" w:space="0" w:color="auto"/>
      </w:divBdr>
    </w:div>
    <w:div w:id="201945657">
      <w:bodyDiv w:val="1"/>
      <w:marLeft w:val="0"/>
      <w:marRight w:val="0"/>
      <w:marTop w:val="0"/>
      <w:marBottom w:val="0"/>
      <w:divBdr>
        <w:top w:val="none" w:sz="0" w:space="0" w:color="auto"/>
        <w:left w:val="none" w:sz="0" w:space="0" w:color="auto"/>
        <w:bottom w:val="none" w:sz="0" w:space="0" w:color="auto"/>
        <w:right w:val="none" w:sz="0" w:space="0" w:color="auto"/>
      </w:divBdr>
    </w:div>
    <w:div w:id="201984112">
      <w:bodyDiv w:val="1"/>
      <w:marLeft w:val="0"/>
      <w:marRight w:val="0"/>
      <w:marTop w:val="0"/>
      <w:marBottom w:val="0"/>
      <w:divBdr>
        <w:top w:val="none" w:sz="0" w:space="0" w:color="auto"/>
        <w:left w:val="none" w:sz="0" w:space="0" w:color="auto"/>
        <w:bottom w:val="none" w:sz="0" w:space="0" w:color="auto"/>
        <w:right w:val="none" w:sz="0" w:space="0" w:color="auto"/>
      </w:divBdr>
    </w:div>
    <w:div w:id="201985963">
      <w:bodyDiv w:val="1"/>
      <w:marLeft w:val="0"/>
      <w:marRight w:val="0"/>
      <w:marTop w:val="0"/>
      <w:marBottom w:val="0"/>
      <w:divBdr>
        <w:top w:val="none" w:sz="0" w:space="0" w:color="auto"/>
        <w:left w:val="none" w:sz="0" w:space="0" w:color="auto"/>
        <w:bottom w:val="none" w:sz="0" w:space="0" w:color="auto"/>
        <w:right w:val="none" w:sz="0" w:space="0" w:color="auto"/>
      </w:divBdr>
    </w:div>
    <w:div w:id="201988879">
      <w:bodyDiv w:val="1"/>
      <w:marLeft w:val="0"/>
      <w:marRight w:val="0"/>
      <w:marTop w:val="0"/>
      <w:marBottom w:val="0"/>
      <w:divBdr>
        <w:top w:val="none" w:sz="0" w:space="0" w:color="auto"/>
        <w:left w:val="none" w:sz="0" w:space="0" w:color="auto"/>
        <w:bottom w:val="none" w:sz="0" w:space="0" w:color="auto"/>
        <w:right w:val="none" w:sz="0" w:space="0" w:color="auto"/>
      </w:divBdr>
    </w:div>
    <w:div w:id="202521348">
      <w:bodyDiv w:val="1"/>
      <w:marLeft w:val="0"/>
      <w:marRight w:val="0"/>
      <w:marTop w:val="0"/>
      <w:marBottom w:val="0"/>
      <w:divBdr>
        <w:top w:val="none" w:sz="0" w:space="0" w:color="auto"/>
        <w:left w:val="none" w:sz="0" w:space="0" w:color="auto"/>
        <w:bottom w:val="none" w:sz="0" w:space="0" w:color="auto"/>
        <w:right w:val="none" w:sz="0" w:space="0" w:color="auto"/>
      </w:divBdr>
    </w:div>
    <w:div w:id="202525865">
      <w:bodyDiv w:val="1"/>
      <w:marLeft w:val="0"/>
      <w:marRight w:val="0"/>
      <w:marTop w:val="0"/>
      <w:marBottom w:val="0"/>
      <w:divBdr>
        <w:top w:val="none" w:sz="0" w:space="0" w:color="auto"/>
        <w:left w:val="none" w:sz="0" w:space="0" w:color="auto"/>
        <w:bottom w:val="none" w:sz="0" w:space="0" w:color="auto"/>
        <w:right w:val="none" w:sz="0" w:space="0" w:color="auto"/>
      </w:divBdr>
    </w:div>
    <w:div w:id="202526703">
      <w:bodyDiv w:val="1"/>
      <w:marLeft w:val="0"/>
      <w:marRight w:val="0"/>
      <w:marTop w:val="0"/>
      <w:marBottom w:val="0"/>
      <w:divBdr>
        <w:top w:val="none" w:sz="0" w:space="0" w:color="auto"/>
        <w:left w:val="none" w:sz="0" w:space="0" w:color="auto"/>
        <w:bottom w:val="none" w:sz="0" w:space="0" w:color="auto"/>
        <w:right w:val="none" w:sz="0" w:space="0" w:color="auto"/>
      </w:divBdr>
    </w:div>
    <w:div w:id="202643973">
      <w:bodyDiv w:val="1"/>
      <w:marLeft w:val="0"/>
      <w:marRight w:val="0"/>
      <w:marTop w:val="0"/>
      <w:marBottom w:val="0"/>
      <w:divBdr>
        <w:top w:val="none" w:sz="0" w:space="0" w:color="auto"/>
        <w:left w:val="none" w:sz="0" w:space="0" w:color="auto"/>
        <w:bottom w:val="none" w:sz="0" w:space="0" w:color="auto"/>
        <w:right w:val="none" w:sz="0" w:space="0" w:color="auto"/>
      </w:divBdr>
    </w:div>
    <w:div w:id="202714033">
      <w:bodyDiv w:val="1"/>
      <w:marLeft w:val="0"/>
      <w:marRight w:val="0"/>
      <w:marTop w:val="0"/>
      <w:marBottom w:val="0"/>
      <w:divBdr>
        <w:top w:val="none" w:sz="0" w:space="0" w:color="auto"/>
        <w:left w:val="none" w:sz="0" w:space="0" w:color="auto"/>
        <w:bottom w:val="none" w:sz="0" w:space="0" w:color="auto"/>
        <w:right w:val="none" w:sz="0" w:space="0" w:color="auto"/>
      </w:divBdr>
    </w:div>
    <w:div w:id="202791424">
      <w:bodyDiv w:val="1"/>
      <w:marLeft w:val="0"/>
      <w:marRight w:val="0"/>
      <w:marTop w:val="0"/>
      <w:marBottom w:val="0"/>
      <w:divBdr>
        <w:top w:val="none" w:sz="0" w:space="0" w:color="auto"/>
        <w:left w:val="none" w:sz="0" w:space="0" w:color="auto"/>
        <w:bottom w:val="none" w:sz="0" w:space="0" w:color="auto"/>
        <w:right w:val="none" w:sz="0" w:space="0" w:color="auto"/>
      </w:divBdr>
    </w:div>
    <w:div w:id="202864716">
      <w:bodyDiv w:val="1"/>
      <w:marLeft w:val="0"/>
      <w:marRight w:val="0"/>
      <w:marTop w:val="0"/>
      <w:marBottom w:val="0"/>
      <w:divBdr>
        <w:top w:val="none" w:sz="0" w:space="0" w:color="auto"/>
        <w:left w:val="none" w:sz="0" w:space="0" w:color="auto"/>
        <w:bottom w:val="none" w:sz="0" w:space="0" w:color="auto"/>
        <w:right w:val="none" w:sz="0" w:space="0" w:color="auto"/>
      </w:divBdr>
    </w:div>
    <w:div w:id="203059568">
      <w:bodyDiv w:val="1"/>
      <w:marLeft w:val="0"/>
      <w:marRight w:val="0"/>
      <w:marTop w:val="0"/>
      <w:marBottom w:val="0"/>
      <w:divBdr>
        <w:top w:val="none" w:sz="0" w:space="0" w:color="auto"/>
        <w:left w:val="none" w:sz="0" w:space="0" w:color="auto"/>
        <w:bottom w:val="none" w:sz="0" w:space="0" w:color="auto"/>
        <w:right w:val="none" w:sz="0" w:space="0" w:color="auto"/>
      </w:divBdr>
    </w:div>
    <w:div w:id="203061389">
      <w:bodyDiv w:val="1"/>
      <w:marLeft w:val="0"/>
      <w:marRight w:val="0"/>
      <w:marTop w:val="0"/>
      <w:marBottom w:val="0"/>
      <w:divBdr>
        <w:top w:val="none" w:sz="0" w:space="0" w:color="auto"/>
        <w:left w:val="none" w:sz="0" w:space="0" w:color="auto"/>
        <w:bottom w:val="none" w:sz="0" w:space="0" w:color="auto"/>
        <w:right w:val="none" w:sz="0" w:space="0" w:color="auto"/>
      </w:divBdr>
    </w:div>
    <w:div w:id="203063038">
      <w:bodyDiv w:val="1"/>
      <w:marLeft w:val="0"/>
      <w:marRight w:val="0"/>
      <w:marTop w:val="0"/>
      <w:marBottom w:val="0"/>
      <w:divBdr>
        <w:top w:val="none" w:sz="0" w:space="0" w:color="auto"/>
        <w:left w:val="none" w:sz="0" w:space="0" w:color="auto"/>
        <w:bottom w:val="none" w:sz="0" w:space="0" w:color="auto"/>
        <w:right w:val="none" w:sz="0" w:space="0" w:color="auto"/>
      </w:divBdr>
    </w:div>
    <w:div w:id="203294338">
      <w:bodyDiv w:val="1"/>
      <w:marLeft w:val="0"/>
      <w:marRight w:val="0"/>
      <w:marTop w:val="0"/>
      <w:marBottom w:val="0"/>
      <w:divBdr>
        <w:top w:val="none" w:sz="0" w:space="0" w:color="auto"/>
        <w:left w:val="none" w:sz="0" w:space="0" w:color="auto"/>
        <w:bottom w:val="none" w:sz="0" w:space="0" w:color="auto"/>
        <w:right w:val="none" w:sz="0" w:space="0" w:color="auto"/>
      </w:divBdr>
    </w:div>
    <w:div w:id="203519444">
      <w:bodyDiv w:val="1"/>
      <w:marLeft w:val="0"/>
      <w:marRight w:val="0"/>
      <w:marTop w:val="0"/>
      <w:marBottom w:val="0"/>
      <w:divBdr>
        <w:top w:val="none" w:sz="0" w:space="0" w:color="auto"/>
        <w:left w:val="none" w:sz="0" w:space="0" w:color="auto"/>
        <w:bottom w:val="none" w:sz="0" w:space="0" w:color="auto"/>
        <w:right w:val="none" w:sz="0" w:space="0" w:color="auto"/>
      </w:divBdr>
    </w:div>
    <w:div w:id="203564746">
      <w:bodyDiv w:val="1"/>
      <w:marLeft w:val="0"/>
      <w:marRight w:val="0"/>
      <w:marTop w:val="0"/>
      <w:marBottom w:val="0"/>
      <w:divBdr>
        <w:top w:val="none" w:sz="0" w:space="0" w:color="auto"/>
        <w:left w:val="none" w:sz="0" w:space="0" w:color="auto"/>
        <w:bottom w:val="none" w:sz="0" w:space="0" w:color="auto"/>
        <w:right w:val="none" w:sz="0" w:space="0" w:color="auto"/>
      </w:divBdr>
    </w:div>
    <w:div w:id="204173685">
      <w:bodyDiv w:val="1"/>
      <w:marLeft w:val="0"/>
      <w:marRight w:val="0"/>
      <w:marTop w:val="0"/>
      <w:marBottom w:val="0"/>
      <w:divBdr>
        <w:top w:val="none" w:sz="0" w:space="0" w:color="auto"/>
        <w:left w:val="none" w:sz="0" w:space="0" w:color="auto"/>
        <w:bottom w:val="none" w:sz="0" w:space="0" w:color="auto"/>
        <w:right w:val="none" w:sz="0" w:space="0" w:color="auto"/>
      </w:divBdr>
    </w:div>
    <w:div w:id="204366275">
      <w:bodyDiv w:val="1"/>
      <w:marLeft w:val="0"/>
      <w:marRight w:val="0"/>
      <w:marTop w:val="0"/>
      <w:marBottom w:val="0"/>
      <w:divBdr>
        <w:top w:val="none" w:sz="0" w:space="0" w:color="auto"/>
        <w:left w:val="none" w:sz="0" w:space="0" w:color="auto"/>
        <w:bottom w:val="none" w:sz="0" w:space="0" w:color="auto"/>
        <w:right w:val="none" w:sz="0" w:space="0" w:color="auto"/>
      </w:divBdr>
    </w:div>
    <w:div w:id="204409815">
      <w:bodyDiv w:val="1"/>
      <w:marLeft w:val="0"/>
      <w:marRight w:val="0"/>
      <w:marTop w:val="0"/>
      <w:marBottom w:val="0"/>
      <w:divBdr>
        <w:top w:val="none" w:sz="0" w:space="0" w:color="auto"/>
        <w:left w:val="none" w:sz="0" w:space="0" w:color="auto"/>
        <w:bottom w:val="none" w:sz="0" w:space="0" w:color="auto"/>
        <w:right w:val="none" w:sz="0" w:space="0" w:color="auto"/>
      </w:divBdr>
    </w:div>
    <w:div w:id="204563745">
      <w:bodyDiv w:val="1"/>
      <w:marLeft w:val="0"/>
      <w:marRight w:val="0"/>
      <w:marTop w:val="0"/>
      <w:marBottom w:val="0"/>
      <w:divBdr>
        <w:top w:val="none" w:sz="0" w:space="0" w:color="auto"/>
        <w:left w:val="none" w:sz="0" w:space="0" w:color="auto"/>
        <w:bottom w:val="none" w:sz="0" w:space="0" w:color="auto"/>
        <w:right w:val="none" w:sz="0" w:space="0" w:color="auto"/>
      </w:divBdr>
    </w:div>
    <w:div w:id="204606942">
      <w:bodyDiv w:val="1"/>
      <w:marLeft w:val="0"/>
      <w:marRight w:val="0"/>
      <w:marTop w:val="0"/>
      <w:marBottom w:val="0"/>
      <w:divBdr>
        <w:top w:val="none" w:sz="0" w:space="0" w:color="auto"/>
        <w:left w:val="none" w:sz="0" w:space="0" w:color="auto"/>
        <w:bottom w:val="none" w:sz="0" w:space="0" w:color="auto"/>
        <w:right w:val="none" w:sz="0" w:space="0" w:color="auto"/>
      </w:divBdr>
    </w:div>
    <w:div w:id="204761484">
      <w:bodyDiv w:val="1"/>
      <w:marLeft w:val="0"/>
      <w:marRight w:val="0"/>
      <w:marTop w:val="0"/>
      <w:marBottom w:val="0"/>
      <w:divBdr>
        <w:top w:val="none" w:sz="0" w:space="0" w:color="auto"/>
        <w:left w:val="none" w:sz="0" w:space="0" w:color="auto"/>
        <w:bottom w:val="none" w:sz="0" w:space="0" w:color="auto"/>
        <w:right w:val="none" w:sz="0" w:space="0" w:color="auto"/>
      </w:divBdr>
    </w:div>
    <w:div w:id="204761487">
      <w:bodyDiv w:val="1"/>
      <w:marLeft w:val="0"/>
      <w:marRight w:val="0"/>
      <w:marTop w:val="0"/>
      <w:marBottom w:val="0"/>
      <w:divBdr>
        <w:top w:val="none" w:sz="0" w:space="0" w:color="auto"/>
        <w:left w:val="none" w:sz="0" w:space="0" w:color="auto"/>
        <w:bottom w:val="none" w:sz="0" w:space="0" w:color="auto"/>
        <w:right w:val="none" w:sz="0" w:space="0" w:color="auto"/>
      </w:divBdr>
    </w:div>
    <w:div w:id="204828095">
      <w:bodyDiv w:val="1"/>
      <w:marLeft w:val="0"/>
      <w:marRight w:val="0"/>
      <w:marTop w:val="0"/>
      <w:marBottom w:val="0"/>
      <w:divBdr>
        <w:top w:val="none" w:sz="0" w:space="0" w:color="auto"/>
        <w:left w:val="none" w:sz="0" w:space="0" w:color="auto"/>
        <w:bottom w:val="none" w:sz="0" w:space="0" w:color="auto"/>
        <w:right w:val="none" w:sz="0" w:space="0" w:color="auto"/>
      </w:divBdr>
    </w:div>
    <w:div w:id="204945672">
      <w:bodyDiv w:val="1"/>
      <w:marLeft w:val="0"/>
      <w:marRight w:val="0"/>
      <w:marTop w:val="0"/>
      <w:marBottom w:val="0"/>
      <w:divBdr>
        <w:top w:val="none" w:sz="0" w:space="0" w:color="auto"/>
        <w:left w:val="none" w:sz="0" w:space="0" w:color="auto"/>
        <w:bottom w:val="none" w:sz="0" w:space="0" w:color="auto"/>
        <w:right w:val="none" w:sz="0" w:space="0" w:color="auto"/>
      </w:divBdr>
    </w:div>
    <w:div w:id="204948513">
      <w:bodyDiv w:val="1"/>
      <w:marLeft w:val="0"/>
      <w:marRight w:val="0"/>
      <w:marTop w:val="0"/>
      <w:marBottom w:val="0"/>
      <w:divBdr>
        <w:top w:val="none" w:sz="0" w:space="0" w:color="auto"/>
        <w:left w:val="none" w:sz="0" w:space="0" w:color="auto"/>
        <w:bottom w:val="none" w:sz="0" w:space="0" w:color="auto"/>
        <w:right w:val="none" w:sz="0" w:space="0" w:color="auto"/>
      </w:divBdr>
    </w:div>
    <w:div w:id="205028927">
      <w:bodyDiv w:val="1"/>
      <w:marLeft w:val="0"/>
      <w:marRight w:val="0"/>
      <w:marTop w:val="0"/>
      <w:marBottom w:val="0"/>
      <w:divBdr>
        <w:top w:val="none" w:sz="0" w:space="0" w:color="auto"/>
        <w:left w:val="none" w:sz="0" w:space="0" w:color="auto"/>
        <w:bottom w:val="none" w:sz="0" w:space="0" w:color="auto"/>
        <w:right w:val="none" w:sz="0" w:space="0" w:color="auto"/>
      </w:divBdr>
    </w:div>
    <w:div w:id="205140779">
      <w:bodyDiv w:val="1"/>
      <w:marLeft w:val="0"/>
      <w:marRight w:val="0"/>
      <w:marTop w:val="0"/>
      <w:marBottom w:val="0"/>
      <w:divBdr>
        <w:top w:val="none" w:sz="0" w:space="0" w:color="auto"/>
        <w:left w:val="none" w:sz="0" w:space="0" w:color="auto"/>
        <w:bottom w:val="none" w:sz="0" w:space="0" w:color="auto"/>
        <w:right w:val="none" w:sz="0" w:space="0" w:color="auto"/>
      </w:divBdr>
    </w:div>
    <w:div w:id="205143232">
      <w:bodyDiv w:val="1"/>
      <w:marLeft w:val="0"/>
      <w:marRight w:val="0"/>
      <w:marTop w:val="0"/>
      <w:marBottom w:val="0"/>
      <w:divBdr>
        <w:top w:val="none" w:sz="0" w:space="0" w:color="auto"/>
        <w:left w:val="none" w:sz="0" w:space="0" w:color="auto"/>
        <w:bottom w:val="none" w:sz="0" w:space="0" w:color="auto"/>
        <w:right w:val="none" w:sz="0" w:space="0" w:color="auto"/>
      </w:divBdr>
    </w:div>
    <w:div w:id="205215451">
      <w:bodyDiv w:val="1"/>
      <w:marLeft w:val="0"/>
      <w:marRight w:val="0"/>
      <w:marTop w:val="0"/>
      <w:marBottom w:val="0"/>
      <w:divBdr>
        <w:top w:val="none" w:sz="0" w:space="0" w:color="auto"/>
        <w:left w:val="none" w:sz="0" w:space="0" w:color="auto"/>
        <w:bottom w:val="none" w:sz="0" w:space="0" w:color="auto"/>
        <w:right w:val="none" w:sz="0" w:space="0" w:color="auto"/>
      </w:divBdr>
    </w:div>
    <w:div w:id="205217713">
      <w:bodyDiv w:val="1"/>
      <w:marLeft w:val="0"/>
      <w:marRight w:val="0"/>
      <w:marTop w:val="0"/>
      <w:marBottom w:val="0"/>
      <w:divBdr>
        <w:top w:val="none" w:sz="0" w:space="0" w:color="auto"/>
        <w:left w:val="none" w:sz="0" w:space="0" w:color="auto"/>
        <w:bottom w:val="none" w:sz="0" w:space="0" w:color="auto"/>
        <w:right w:val="none" w:sz="0" w:space="0" w:color="auto"/>
      </w:divBdr>
    </w:div>
    <w:div w:id="205265631">
      <w:bodyDiv w:val="1"/>
      <w:marLeft w:val="0"/>
      <w:marRight w:val="0"/>
      <w:marTop w:val="0"/>
      <w:marBottom w:val="0"/>
      <w:divBdr>
        <w:top w:val="none" w:sz="0" w:space="0" w:color="auto"/>
        <w:left w:val="none" w:sz="0" w:space="0" w:color="auto"/>
        <w:bottom w:val="none" w:sz="0" w:space="0" w:color="auto"/>
        <w:right w:val="none" w:sz="0" w:space="0" w:color="auto"/>
      </w:divBdr>
    </w:div>
    <w:div w:id="205340108">
      <w:bodyDiv w:val="1"/>
      <w:marLeft w:val="0"/>
      <w:marRight w:val="0"/>
      <w:marTop w:val="0"/>
      <w:marBottom w:val="0"/>
      <w:divBdr>
        <w:top w:val="none" w:sz="0" w:space="0" w:color="auto"/>
        <w:left w:val="none" w:sz="0" w:space="0" w:color="auto"/>
        <w:bottom w:val="none" w:sz="0" w:space="0" w:color="auto"/>
        <w:right w:val="none" w:sz="0" w:space="0" w:color="auto"/>
      </w:divBdr>
    </w:div>
    <w:div w:id="205528738">
      <w:bodyDiv w:val="1"/>
      <w:marLeft w:val="0"/>
      <w:marRight w:val="0"/>
      <w:marTop w:val="0"/>
      <w:marBottom w:val="0"/>
      <w:divBdr>
        <w:top w:val="none" w:sz="0" w:space="0" w:color="auto"/>
        <w:left w:val="none" w:sz="0" w:space="0" w:color="auto"/>
        <w:bottom w:val="none" w:sz="0" w:space="0" w:color="auto"/>
        <w:right w:val="none" w:sz="0" w:space="0" w:color="auto"/>
      </w:divBdr>
    </w:div>
    <w:div w:id="205918453">
      <w:bodyDiv w:val="1"/>
      <w:marLeft w:val="0"/>
      <w:marRight w:val="0"/>
      <w:marTop w:val="0"/>
      <w:marBottom w:val="0"/>
      <w:divBdr>
        <w:top w:val="none" w:sz="0" w:space="0" w:color="auto"/>
        <w:left w:val="none" w:sz="0" w:space="0" w:color="auto"/>
        <w:bottom w:val="none" w:sz="0" w:space="0" w:color="auto"/>
        <w:right w:val="none" w:sz="0" w:space="0" w:color="auto"/>
      </w:divBdr>
    </w:div>
    <w:div w:id="205920519">
      <w:bodyDiv w:val="1"/>
      <w:marLeft w:val="0"/>
      <w:marRight w:val="0"/>
      <w:marTop w:val="0"/>
      <w:marBottom w:val="0"/>
      <w:divBdr>
        <w:top w:val="none" w:sz="0" w:space="0" w:color="auto"/>
        <w:left w:val="none" w:sz="0" w:space="0" w:color="auto"/>
        <w:bottom w:val="none" w:sz="0" w:space="0" w:color="auto"/>
        <w:right w:val="none" w:sz="0" w:space="0" w:color="auto"/>
      </w:divBdr>
    </w:div>
    <w:div w:id="205996048">
      <w:bodyDiv w:val="1"/>
      <w:marLeft w:val="0"/>
      <w:marRight w:val="0"/>
      <w:marTop w:val="0"/>
      <w:marBottom w:val="0"/>
      <w:divBdr>
        <w:top w:val="none" w:sz="0" w:space="0" w:color="auto"/>
        <w:left w:val="none" w:sz="0" w:space="0" w:color="auto"/>
        <w:bottom w:val="none" w:sz="0" w:space="0" w:color="auto"/>
        <w:right w:val="none" w:sz="0" w:space="0" w:color="auto"/>
      </w:divBdr>
    </w:div>
    <w:div w:id="206113129">
      <w:bodyDiv w:val="1"/>
      <w:marLeft w:val="0"/>
      <w:marRight w:val="0"/>
      <w:marTop w:val="0"/>
      <w:marBottom w:val="0"/>
      <w:divBdr>
        <w:top w:val="none" w:sz="0" w:space="0" w:color="auto"/>
        <w:left w:val="none" w:sz="0" w:space="0" w:color="auto"/>
        <w:bottom w:val="none" w:sz="0" w:space="0" w:color="auto"/>
        <w:right w:val="none" w:sz="0" w:space="0" w:color="auto"/>
      </w:divBdr>
    </w:div>
    <w:div w:id="206257827">
      <w:bodyDiv w:val="1"/>
      <w:marLeft w:val="0"/>
      <w:marRight w:val="0"/>
      <w:marTop w:val="0"/>
      <w:marBottom w:val="0"/>
      <w:divBdr>
        <w:top w:val="none" w:sz="0" w:space="0" w:color="auto"/>
        <w:left w:val="none" w:sz="0" w:space="0" w:color="auto"/>
        <w:bottom w:val="none" w:sz="0" w:space="0" w:color="auto"/>
        <w:right w:val="none" w:sz="0" w:space="0" w:color="auto"/>
      </w:divBdr>
    </w:div>
    <w:div w:id="206333384">
      <w:bodyDiv w:val="1"/>
      <w:marLeft w:val="0"/>
      <w:marRight w:val="0"/>
      <w:marTop w:val="0"/>
      <w:marBottom w:val="0"/>
      <w:divBdr>
        <w:top w:val="none" w:sz="0" w:space="0" w:color="auto"/>
        <w:left w:val="none" w:sz="0" w:space="0" w:color="auto"/>
        <w:bottom w:val="none" w:sz="0" w:space="0" w:color="auto"/>
        <w:right w:val="none" w:sz="0" w:space="0" w:color="auto"/>
      </w:divBdr>
    </w:div>
    <w:div w:id="206375743">
      <w:bodyDiv w:val="1"/>
      <w:marLeft w:val="0"/>
      <w:marRight w:val="0"/>
      <w:marTop w:val="0"/>
      <w:marBottom w:val="0"/>
      <w:divBdr>
        <w:top w:val="none" w:sz="0" w:space="0" w:color="auto"/>
        <w:left w:val="none" w:sz="0" w:space="0" w:color="auto"/>
        <w:bottom w:val="none" w:sz="0" w:space="0" w:color="auto"/>
        <w:right w:val="none" w:sz="0" w:space="0" w:color="auto"/>
      </w:divBdr>
    </w:div>
    <w:div w:id="206381588">
      <w:bodyDiv w:val="1"/>
      <w:marLeft w:val="0"/>
      <w:marRight w:val="0"/>
      <w:marTop w:val="0"/>
      <w:marBottom w:val="0"/>
      <w:divBdr>
        <w:top w:val="none" w:sz="0" w:space="0" w:color="auto"/>
        <w:left w:val="none" w:sz="0" w:space="0" w:color="auto"/>
        <w:bottom w:val="none" w:sz="0" w:space="0" w:color="auto"/>
        <w:right w:val="none" w:sz="0" w:space="0" w:color="auto"/>
      </w:divBdr>
    </w:div>
    <w:div w:id="206525902">
      <w:bodyDiv w:val="1"/>
      <w:marLeft w:val="0"/>
      <w:marRight w:val="0"/>
      <w:marTop w:val="0"/>
      <w:marBottom w:val="0"/>
      <w:divBdr>
        <w:top w:val="none" w:sz="0" w:space="0" w:color="auto"/>
        <w:left w:val="none" w:sz="0" w:space="0" w:color="auto"/>
        <w:bottom w:val="none" w:sz="0" w:space="0" w:color="auto"/>
        <w:right w:val="none" w:sz="0" w:space="0" w:color="auto"/>
      </w:divBdr>
    </w:div>
    <w:div w:id="206573191">
      <w:bodyDiv w:val="1"/>
      <w:marLeft w:val="0"/>
      <w:marRight w:val="0"/>
      <w:marTop w:val="0"/>
      <w:marBottom w:val="0"/>
      <w:divBdr>
        <w:top w:val="none" w:sz="0" w:space="0" w:color="auto"/>
        <w:left w:val="none" w:sz="0" w:space="0" w:color="auto"/>
        <w:bottom w:val="none" w:sz="0" w:space="0" w:color="auto"/>
        <w:right w:val="none" w:sz="0" w:space="0" w:color="auto"/>
      </w:divBdr>
    </w:div>
    <w:div w:id="206643013">
      <w:bodyDiv w:val="1"/>
      <w:marLeft w:val="0"/>
      <w:marRight w:val="0"/>
      <w:marTop w:val="0"/>
      <w:marBottom w:val="0"/>
      <w:divBdr>
        <w:top w:val="none" w:sz="0" w:space="0" w:color="auto"/>
        <w:left w:val="none" w:sz="0" w:space="0" w:color="auto"/>
        <w:bottom w:val="none" w:sz="0" w:space="0" w:color="auto"/>
        <w:right w:val="none" w:sz="0" w:space="0" w:color="auto"/>
      </w:divBdr>
    </w:div>
    <w:div w:id="206725579">
      <w:bodyDiv w:val="1"/>
      <w:marLeft w:val="0"/>
      <w:marRight w:val="0"/>
      <w:marTop w:val="0"/>
      <w:marBottom w:val="0"/>
      <w:divBdr>
        <w:top w:val="none" w:sz="0" w:space="0" w:color="auto"/>
        <w:left w:val="none" w:sz="0" w:space="0" w:color="auto"/>
        <w:bottom w:val="none" w:sz="0" w:space="0" w:color="auto"/>
        <w:right w:val="none" w:sz="0" w:space="0" w:color="auto"/>
      </w:divBdr>
    </w:div>
    <w:div w:id="207183674">
      <w:bodyDiv w:val="1"/>
      <w:marLeft w:val="0"/>
      <w:marRight w:val="0"/>
      <w:marTop w:val="0"/>
      <w:marBottom w:val="0"/>
      <w:divBdr>
        <w:top w:val="none" w:sz="0" w:space="0" w:color="auto"/>
        <w:left w:val="none" w:sz="0" w:space="0" w:color="auto"/>
        <w:bottom w:val="none" w:sz="0" w:space="0" w:color="auto"/>
        <w:right w:val="none" w:sz="0" w:space="0" w:color="auto"/>
      </w:divBdr>
    </w:div>
    <w:div w:id="207421783">
      <w:bodyDiv w:val="1"/>
      <w:marLeft w:val="0"/>
      <w:marRight w:val="0"/>
      <w:marTop w:val="0"/>
      <w:marBottom w:val="0"/>
      <w:divBdr>
        <w:top w:val="none" w:sz="0" w:space="0" w:color="auto"/>
        <w:left w:val="none" w:sz="0" w:space="0" w:color="auto"/>
        <w:bottom w:val="none" w:sz="0" w:space="0" w:color="auto"/>
        <w:right w:val="none" w:sz="0" w:space="0" w:color="auto"/>
      </w:divBdr>
    </w:div>
    <w:div w:id="207573526">
      <w:bodyDiv w:val="1"/>
      <w:marLeft w:val="0"/>
      <w:marRight w:val="0"/>
      <w:marTop w:val="0"/>
      <w:marBottom w:val="0"/>
      <w:divBdr>
        <w:top w:val="none" w:sz="0" w:space="0" w:color="auto"/>
        <w:left w:val="none" w:sz="0" w:space="0" w:color="auto"/>
        <w:bottom w:val="none" w:sz="0" w:space="0" w:color="auto"/>
        <w:right w:val="none" w:sz="0" w:space="0" w:color="auto"/>
      </w:divBdr>
    </w:div>
    <w:div w:id="207645535">
      <w:bodyDiv w:val="1"/>
      <w:marLeft w:val="0"/>
      <w:marRight w:val="0"/>
      <w:marTop w:val="0"/>
      <w:marBottom w:val="0"/>
      <w:divBdr>
        <w:top w:val="none" w:sz="0" w:space="0" w:color="auto"/>
        <w:left w:val="none" w:sz="0" w:space="0" w:color="auto"/>
        <w:bottom w:val="none" w:sz="0" w:space="0" w:color="auto"/>
        <w:right w:val="none" w:sz="0" w:space="0" w:color="auto"/>
      </w:divBdr>
    </w:div>
    <w:div w:id="207686343">
      <w:bodyDiv w:val="1"/>
      <w:marLeft w:val="0"/>
      <w:marRight w:val="0"/>
      <w:marTop w:val="0"/>
      <w:marBottom w:val="0"/>
      <w:divBdr>
        <w:top w:val="none" w:sz="0" w:space="0" w:color="auto"/>
        <w:left w:val="none" w:sz="0" w:space="0" w:color="auto"/>
        <w:bottom w:val="none" w:sz="0" w:space="0" w:color="auto"/>
        <w:right w:val="none" w:sz="0" w:space="0" w:color="auto"/>
      </w:divBdr>
    </w:div>
    <w:div w:id="207885546">
      <w:bodyDiv w:val="1"/>
      <w:marLeft w:val="0"/>
      <w:marRight w:val="0"/>
      <w:marTop w:val="0"/>
      <w:marBottom w:val="0"/>
      <w:divBdr>
        <w:top w:val="none" w:sz="0" w:space="0" w:color="auto"/>
        <w:left w:val="none" w:sz="0" w:space="0" w:color="auto"/>
        <w:bottom w:val="none" w:sz="0" w:space="0" w:color="auto"/>
        <w:right w:val="none" w:sz="0" w:space="0" w:color="auto"/>
      </w:divBdr>
    </w:div>
    <w:div w:id="207960370">
      <w:bodyDiv w:val="1"/>
      <w:marLeft w:val="0"/>
      <w:marRight w:val="0"/>
      <w:marTop w:val="0"/>
      <w:marBottom w:val="0"/>
      <w:divBdr>
        <w:top w:val="none" w:sz="0" w:space="0" w:color="auto"/>
        <w:left w:val="none" w:sz="0" w:space="0" w:color="auto"/>
        <w:bottom w:val="none" w:sz="0" w:space="0" w:color="auto"/>
        <w:right w:val="none" w:sz="0" w:space="0" w:color="auto"/>
      </w:divBdr>
    </w:div>
    <w:div w:id="208030229">
      <w:bodyDiv w:val="1"/>
      <w:marLeft w:val="0"/>
      <w:marRight w:val="0"/>
      <w:marTop w:val="0"/>
      <w:marBottom w:val="0"/>
      <w:divBdr>
        <w:top w:val="none" w:sz="0" w:space="0" w:color="auto"/>
        <w:left w:val="none" w:sz="0" w:space="0" w:color="auto"/>
        <w:bottom w:val="none" w:sz="0" w:space="0" w:color="auto"/>
        <w:right w:val="none" w:sz="0" w:space="0" w:color="auto"/>
      </w:divBdr>
    </w:div>
    <w:div w:id="208301588">
      <w:bodyDiv w:val="1"/>
      <w:marLeft w:val="0"/>
      <w:marRight w:val="0"/>
      <w:marTop w:val="0"/>
      <w:marBottom w:val="0"/>
      <w:divBdr>
        <w:top w:val="none" w:sz="0" w:space="0" w:color="auto"/>
        <w:left w:val="none" w:sz="0" w:space="0" w:color="auto"/>
        <w:bottom w:val="none" w:sz="0" w:space="0" w:color="auto"/>
        <w:right w:val="none" w:sz="0" w:space="0" w:color="auto"/>
      </w:divBdr>
    </w:div>
    <w:div w:id="208344014">
      <w:bodyDiv w:val="1"/>
      <w:marLeft w:val="0"/>
      <w:marRight w:val="0"/>
      <w:marTop w:val="0"/>
      <w:marBottom w:val="0"/>
      <w:divBdr>
        <w:top w:val="none" w:sz="0" w:space="0" w:color="auto"/>
        <w:left w:val="none" w:sz="0" w:space="0" w:color="auto"/>
        <w:bottom w:val="none" w:sz="0" w:space="0" w:color="auto"/>
        <w:right w:val="none" w:sz="0" w:space="0" w:color="auto"/>
      </w:divBdr>
    </w:div>
    <w:div w:id="208416039">
      <w:bodyDiv w:val="1"/>
      <w:marLeft w:val="0"/>
      <w:marRight w:val="0"/>
      <w:marTop w:val="0"/>
      <w:marBottom w:val="0"/>
      <w:divBdr>
        <w:top w:val="none" w:sz="0" w:space="0" w:color="auto"/>
        <w:left w:val="none" w:sz="0" w:space="0" w:color="auto"/>
        <w:bottom w:val="none" w:sz="0" w:space="0" w:color="auto"/>
        <w:right w:val="none" w:sz="0" w:space="0" w:color="auto"/>
      </w:divBdr>
    </w:div>
    <w:div w:id="208494366">
      <w:bodyDiv w:val="1"/>
      <w:marLeft w:val="0"/>
      <w:marRight w:val="0"/>
      <w:marTop w:val="0"/>
      <w:marBottom w:val="0"/>
      <w:divBdr>
        <w:top w:val="none" w:sz="0" w:space="0" w:color="auto"/>
        <w:left w:val="none" w:sz="0" w:space="0" w:color="auto"/>
        <w:bottom w:val="none" w:sz="0" w:space="0" w:color="auto"/>
        <w:right w:val="none" w:sz="0" w:space="0" w:color="auto"/>
      </w:divBdr>
    </w:div>
    <w:div w:id="208615656">
      <w:bodyDiv w:val="1"/>
      <w:marLeft w:val="0"/>
      <w:marRight w:val="0"/>
      <w:marTop w:val="0"/>
      <w:marBottom w:val="0"/>
      <w:divBdr>
        <w:top w:val="none" w:sz="0" w:space="0" w:color="auto"/>
        <w:left w:val="none" w:sz="0" w:space="0" w:color="auto"/>
        <w:bottom w:val="none" w:sz="0" w:space="0" w:color="auto"/>
        <w:right w:val="none" w:sz="0" w:space="0" w:color="auto"/>
      </w:divBdr>
    </w:div>
    <w:div w:id="208688665">
      <w:bodyDiv w:val="1"/>
      <w:marLeft w:val="0"/>
      <w:marRight w:val="0"/>
      <w:marTop w:val="0"/>
      <w:marBottom w:val="0"/>
      <w:divBdr>
        <w:top w:val="none" w:sz="0" w:space="0" w:color="auto"/>
        <w:left w:val="none" w:sz="0" w:space="0" w:color="auto"/>
        <w:bottom w:val="none" w:sz="0" w:space="0" w:color="auto"/>
        <w:right w:val="none" w:sz="0" w:space="0" w:color="auto"/>
      </w:divBdr>
    </w:div>
    <w:div w:id="208808222">
      <w:bodyDiv w:val="1"/>
      <w:marLeft w:val="0"/>
      <w:marRight w:val="0"/>
      <w:marTop w:val="0"/>
      <w:marBottom w:val="0"/>
      <w:divBdr>
        <w:top w:val="none" w:sz="0" w:space="0" w:color="auto"/>
        <w:left w:val="none" w:sz="0" w:space="0" w:color="auto"/>
        <w:bottom w:val="none" w:sz="0" w:space="0" w:color="auto"/>
        <w:right w:val="none" w:sz="0" w:space="0" w:color="auto"/>
      </w:divBdr>
    </w:div>
    <w:div w:id="209077826">
      <w:bodyDiv w:val="1"/>
      <w:marLeft w:val="0"/>
      <w:marRight w:val="0"/>
      <w:marTop w:val="0"/>
      <w:marBottom w:val="0"/>
      <w:divBdr>
        <w:top w:val="none" w:sz="0" w:space="0" w:color="auto"/>
        <w:left w:val="none" w:sz="0" w:space="0" w:color="auto"/>
        <w:bottom w:val="none" w:sz="0" w:space="0" w:color="auto"/>
        <w:right w:val="none" w:sz="0" w:space="0" w:color="auto"/>
      </w:divBdr>
    </w:div>
    <w:div w:id="209191077">
      <w:bodyDiv w:val="1"/>
      <w:marLeft w:val="0"/>
      <w:marRight w:val="0"/>
      <w:marTop w:val="0"/>
      <w:marBottom w:val="0"/>
      <w:divBdr>
        <w:top w:val="none" w:sz="0" w:space="0" w:color="auto"/>
        <w:left w:val="none" w:sz="0" w:space="0" w:color="auto"/>
        <w:bottom w:val="none" w:sz="0" w:space="0" w:color="auto"/>
        <w:right w:val="none" w:sz="0" w:space="0" w:color="auto"/>
      </w:divBdr>
    </w:div>
    <w:div w:id="209540779">
      <w:bodyDiv w:val="1"/>
      <w:marLeft w:val="0"/>
      <w:marRight w:val="0"/>
      <w:marTop w:val="0"/>
      <w:marBottom w:val="0"/>
      <w:divBdr>
        <w:top w:val="none" w:sz="0" w:space="0" w:color="auto"/>
        <w:left w:val="none" w:sz="0" w:space="0" w:color="auto"/>
        <w:bottom w:val="none" w:sz="0" w:space="0" w:color="auto"/>
        <w:right w:val="none" w:sz="0" w:space="0" w:color="auto"/>
      </w:divBdr>
    </w:div>
    <w:div w:id="209659180">
      <w:bodyDiv w:val="1"/>
      <w:marLeft w:val="0"/>
      <w:marRight w:val="0"/>
      <w:marTop w:val="0"/>
      <w:marBottom w:val="0"/>
      <w:divBdr>
        <w:top w:val="none" w:sz="0" w:space="0" w:color="auto"/>
        <w:left w:val="none" w:sz="0" w:space="0" w:color="auto"/>
        <w:bottom w:val="none" w:sz="0" w:space="0" w:color="auto"/>
        <w:right w:val="none" w:sz="0" w:space="0" w:color="auto"/>
      </w:divBdr>
    </w:div>
    <w:div w:id="209847724">
      <w:bodyDiv w:val="1"/>
      <w:marLeft w:val="0"/>
      <w:marRight w:val="0"/>
      <w:marTop w:val="0"/>
      <w:marBottom w:val="0"/>
      <w:divBdr>
        <w:top w:val="none" w:sz="0" w:space="0" w:color="auto"/>
        <w:left w:val="none" w:sz="0" w:space="0" w:color="auto"/>
        <w:bottom w:val="none" w:sz="0" w:space="0" w:color="auto"/>
        <w:right w:val="none" w:sz="0" w:space="0" w:color="auto"/>
      </w:divBdr>
    </w:div>
    <w:div w:id="209995885">
      <w:bodyDiv w:val="1"/>
      <w:marLeft w:val="0"/>
      <w:marRight w:val="0"/>
      <w:marTop w:val="0"/>
      <w:marBottom w:val="0"/>
      <w:divBdr>
        <w:top w:val="none" w:sz="0" w:space="0" w:color="auto"/>
        <w:left w:val="none" w:sz="0" w:space="0" w:color="auto"/>
        <w:bottom w:val="none" w:sz="0" w:space="0" w:color="auto"/>
        <w:right w:val="none" w:sz="0" w:space="0" w:color="auto"/>
      </w:divBdr>
    </w:div>
    <w:div w:id="210073745">
      <w:bodyDiv w:val="1"/>
      <w:marLeft w:val="0"/>
      <w:marRight w:val="0"/>
      <w:marTop w:val="0"/>
      <w:marBottom w:val="0"/>
      <w:divBdr>
        <w:top w:val="none" w:sz="0" w:space="0" w:color="auto"/>
        <w:left w:val="none" w:sz="0" w:space="0" w:color="auto"/>
        <w:bottom w:val="none" w:sz="0" w:space="0" w:color="auto"/>
        <w:right w:val="none" w:sz="0" w:space="0" w:color="auto"/>
      </w:divBdr>
    </w:div>
    <w:div w:id="210118396">
      <w:bodyDiv w:val="1"/>
      <w:marLeft w:val="0"/>
      <w:marRight w:val="0"/>
      <w:marTop w:val="0"/>
      <w:marBottom w:val="0"/>
      <w:divBdr>
        <w:top w:val="none" w:sz="0" w:space="0" w:color="auto"/>
        <w:left w:val="none" w:sz="0" w:space="0" w:color="auto"/>
        <w:bottom w:val="none" w:sz="0" w:space="0" w:color="auto"/>
        <w:right w:val="none" w:sz="0" w:space="0" w:color="auto"/>
      </w:divBdr>
    </w:div>
    <w:div w:id="210119350">
      <w:bodyDiv w:val="1"/>
      <w:marLeft w:val="0"/>
      <w:marRight w:val="0"/>
      <w:marTop w:val="0"/>
      <w:marBottom w:val="0"/>
      <w:divBdr>
        <w:top w:val="none" w:sz="0" w:space="0" w:color="auto"/>
        <w:left w:val="none" w:sz="0" w:space="0" w:color="auto"/>
        <w:bottom w:val="none" w:sz="0" w:space="0" w:color="auto"/>
        <w:right w:val="none" w:sz="0" w:space="0" w:color="auto"/>
      </w:divBdr>
    </w:div>
    <w:div w:id="210121856">
      <w:bodyDiv w:val="1"/>
      <w:marLeft w:val="0"/>
      <w:marRight w:val="0"/>
      <w:marTop w:val="0"/>
      <w:marBottom w:val="0"/>
      <w:divBdr>
        <w:top w:val="none" w:sz="0" w:space="0" w:color="auto"/>
        <w:left w:val="none" w:sz="0" w:space="0" w:color="auto"/>
        <w:bottom w:val="none" w:sz="0" w:space="0" w:color="auto"/>
        <w:right w:val="none" w:sz="0" w:space="0" w:color="auto"/>
      </w:divBdr>
    </w:div>
    <w:div w:id="210189840">
      <w:bodyDiv w:val="1"/>
      <w:marLeft w:val="0"/>
      <w:marRight w:val="0"/>
      <w:marTop w:val="0"/>
      <w:marBottom w:val="0"/>
      <w:divBdr>
        <w:top w:val="none" w:sz="0" w:space="0" w:color="auto"/>
        <w:left w:val="none" w:sz="0" w:space="0" w:color="auto"/>
        <w:bottom w:val="none" w:sz="0" w:space="0" w:color="auto"/>
        <w:right w:val="none" w:sz="0" w:space="0" w:color="auto"/>
      </w:divBdr>
    </w:div>
    <w:div w:id="210196304">
      <w:bodyDiv w:val="1"/>
      <w:marLeft w:val="0"/>
      <w:marRight w:val="0"/>
      <w:marTop w:val="0"/>
      <w:marBottom w:val="0"/>
      <w:divBdr>
        <w:top w:val="none" w:sz="0" w:space="0" w:color="auto"/>
        <w:left w:val="none" w:sz="0" w:space="0" w:color="auto"/>
        <w:bottom w:val="none" w:sz="0" w:space="0" w:color="auto"/>
        <w:right w:val="none" w:sz="0" w:space="0" w:color="auto"/>
      </w:divBdr>
    </w:div>
    <w:div w:id="210456551">
      <w:bodyDiv w:val="1"/>
      <w:marLeft w:val="0"/>
      <w:marRight w:val="0"/>
      <w:marTop w:val="0"/>
      <w:marBottom w:val="0"/>
      <w:divBdr>
        <w:top w:val="none" w:sz="0" w:space="0" w:color="auto"/>
        <w:left w:val="none" w:sz="0" w:space="0" w:color="auto"/>
        <w:bottom w:val="none" w:sz="0" w:space="0" w:color="auto"/>
        <w:right w:val="none" w:sz="0" w:space="0" w:color="auto"/>
      </w:divBdr>
    </w:div>
    <w:div w:id="210575033">
      <w:bodyDiv w:val="1"/>
      <w:marLeft w:val="0"/>
      <w:marRight w:val="0"/>
      <w:marTop w:val="0"/>
      <w:marBottom w:val="0"/>
      <w:divBdr>
        <w:top w:val="none" w:sz="0" w:space="0" w:color="auto"/>
        <w:left w:val="none" w:sz="0" w:space="0" w:color="auto"/>
        <w:bottom w:val="none" w:sz="0" w:space="0" w:color="auto"/>
        <w:right w:val="none" w:sz="0" w:space="0" w:color="auto"/>
      </w:divBdr>
    </w:div>
    <w:div w:id="210579703">
      <w:bodyDiv w:val="1"/>
      <w:marLeft w:val="0"/>
      <w:marRight w:val="0"/>
      <w:marTop w:val="0"/>
      <w:marBottom w:val="0"/>
      <w:divBdr>
        <w:top w:val="none" w:sz="0" w:space="0" w:color="auto"/>
        <w:left w:val="none" w:sz="0" w:space="0" w:color="auto"/>
        <w:bottom w:val="none" w:sz="0" w:space="0" w:color="auto"/>
        <w:right w:val="none" w:sz="0" w:space="0" w:color="auto"/>
      </w:divBdr>
    </w:div>
    <w:div w:id="210700022">
      <w:bodyDiv w:val="1"/>
      <w:marLeft w:val="0"/>
      <w:marRight w:val="0"/>
      <w:marTop w:val="0"/>
      <w:marBottom w:val="0"/>
      <w:divBdr>
        <w:top w:val="none" w:sz="0" w:space="0" w:color="auto"/>
        <w:left w:val="none" w:sz="0" w:space="0" w:color="auto"/>
        <w:bottom w:val="none" w:sz="0" w:space="0" w:color="auto"/>
        <w:right w:val="none" w:sz="0" w:space="0" w:color="auto"/>
      </w:divBdr>
    </w:div>
    <w:div w:id="210771711">
      <w:bodyDiv w:val="1"/>
      <w:marLeft w:val="0"/>
      <w:marRight w:val="0"/>
      <w:marTop w:val="0"/>
      <w:marBottom w:val="0"/>
      <w:divBdr>
        <w:top w:val="none" w:sz="0" w:space="0" w:color="auto"/>
        <w:left w:val="none" w:sz="0" w:space="0" w:color="auto"/>
        <w:bottom w:val="none" w:sz="0" w:space="0" w:color="auto"/>
        <w:right w:val="none" w:sz="0" w:space="0" w:color="auto"/>
      </w:divBdr>
    </w:div>
    <w:div w:id="210777400">
      <w:bodyDiv w:val="1"/>
      <w:marLeft w:val="0"/>
      <w:marRight w:val="0"/>
      <w:marTop w:val="0"/>
      <w:marBottom w:val="0"/>
      <w:divBdr>
        <w:top w:val="none" w:sz="0" w:space="0" w:color="auto"/>
        <w:left w:val="none" w:sz="0" w:space="0" w:color="auto"/>
        <w:bottom w:val="none" w:sz="0" w:space="0" w:color="auto"/>
        <w:right w:val="none" w:sz="0" w:space="0" w:color="auto"/>
      </w:divBdr>
    </w:div>
    <w:div w:id="210849180">
      <w:bodyDiv w:val="1"/>
      <w:marLeft w:val="0"/>
      <w:marRight w:val="0"/>
      <w:marTop w:val="0"/>
      <w:marBottom w:val="0"/>
      <w:divBdr>
        <w:top w:val="none" w:sz="0" w:space="0" w:color="auto"/>
        <w:left w:val="none" w:sz="0" w:space="0" w:color="auto"/>
        <w:bottom w:val="none" w:sz="0" w:space="0" w:color="auto"/>
        <w:right w:val="none" w:sz="0" w:space="0" w:color="auto"/>
      </w:divBdr>
    </w:div>
    <w:div w:id="211045543">
      <w:bodyDiv w:val="1"/>
      <w:marLeft w:val="0"/>
      <w:marRight w:val="0"/>
      <w:marTop w:val="0"/>
      <w:marBottom w:val="0"/>
      <w:divBdr>
        <w:top w:val="none" w:sz="0" w:space="0" w:color="auto"/>
        <w:left w:val="none" w:sz="0" w:space="0" w:color="auto"/>
        <w:bottom w:val="none" w:sz="0" w:space="0" w:color="auto"/>
        <w:right w:val="none" w:sz="0" w:space="0" w:color="auto"/>
      </w:divBdr>
    </w:div>
    <w:div w:id="211159641">
      <w:bodyDiv w:val="1"/>
      <w:marLeft w:val="0"/>
      <w:marRight w:val="0"/>
      <w:marTop w:val="0"/>
      <w:marBottom w:val="0"/>
      <w:divBdr>
        <w:top w:val="none" w:sz="0" w:space="0" w:color="auto"/>
        <w:left w:val="none" w:sz="0" w:space="0" w:color="auto"/>
        <w:bottom w:val="none" w:sz="0" w:space="0" w:color="auto"/>
        <w:right w:val="none" w:sz="0" w:space="0" w:color="auto"/>
      </w:divBdr>
    </w:div>
    <w:div w:id="211233651">
      <w:bodyDiv w:val="1"/>
      <w:marLeft w:val="0"/>
      <w:marRight w:val="0"/>
      <w:marTop w:val="0"/>
      <w:marBottom w:val="0"/>
      <w:divBdr>
        <w:top w:val="none" w:sz="0" w:space="0" w:color="auto"/>
        <w:left w:val="none" w:sz="0" w:space="0" w:color="auto"/>
        <w:bottom w:val="none" w:sz="0" w:space="0" w:color="auto"/>
        <w:right w:val="none" w:sz="0" w:space="0" w:color="auto"/>
      </w:divBdr>
    </w:div>
    <w:div w:id="211577256">
      <w:bodyDiv w:val="1"/>
      <w:marLeft w:val="0"/>
      <w:marRight w:val="0"/>
      <w:marTop w:val="0"/>
      <w:marBottom w:val="0"/>
      <w:divBdr>
        <w:top w:val="none" w:sz="0" w:space="0" w:color="auto"/>
        <w:left w:val="none" w:sz="0" w:space="0" w:color="auto"/>
        <w:bottom w:val="none" w:sz="0" w:space="0" w:color="auto"/>
        <w:right w:val="none" w:sz="0" w:space="0" w:color="auto"/>
      </w:divBdr>
    </w:div>
    <w:div w:id="211577841">
      <w:bodyDiv w:val="1"/>
      <w:marLeft w:val="0"/>
      <w:marRight w:val="0"/>
      <w:marTop w:val="0"/>
      <w:marBottom w:val="0"/>
      <w:divBdr>
        <w:top w:val="none" w:sz="0" w:space="0" w:color="auto"/>
        <w:left w:val="none" w:sz="0" w:space="0" w:color="auto"/>
        <w:bottom w:val="none" w:sz="0" w:space="0" w:color="auto"/>
        <w:right w:val="none" w:sz="0" w:space="0" w:color="auto"/>
      </w:divBdr>
    </w:div>
    <w:div w:id="211694445">
      <w:bodyDiv w:val="1"/>
      <w:marLeft w:val="0"/>
      <w:marRight w:val="0"/>
      <w:marTop w:val="0"/>
      <w:marBottom w:val="0"/>
      <w:divBdr>
        <w:top w:val="none" w:sz="0" w:space="0" w:color="auto"/>
        <w:left w:val="none" w:sz="0" w:space="0" w:color="auto"/>
        <w:bottom w:val="none" w:sz="0" w:space="0" w:color="auto"/>
        <w:right w:val="none" w:sz="0" w:space="0" w:color="auto"/>
      </w:divBdr>
    </w:div>
    <w:div w:id="211695756">
      <w:bodyDiv w:val="1"/>
      <w:marLeft w:val="0"/>
      <w:marRight w:val="0"/>
      <w:marTop w:val="0"/>
      <w:marBottom w:val="0"/>
      <w:divBdr>
        <w:top w:val="none" w:sz="0" w:space="0" w:color="auto"/>
        <w:left w:val="none" w:sz="0" w:space="0" w:color="auto"/>
        <w:bottom w:val="none" w:sz="0" w:space="0" w:color="auto"/>
        <w:right w:val="none" w:sz="0" w:space="0" w:color="auto"/>
      </w:divBdr>
    </w:div>
    <w:div w:id="211843590">
      <w:bodyDiv w:val="1"/>
      <w:marLeft w:val="0"/>
      <w:marRight w:val="0"/>
      <w:marTop w:val="0"/>
      <w:marBottom w:val="0"/>
      <w:divBdr>
        <w:top w:val="none" w:sz="0" w:space="0" w:color="auto"/>
        <w:left w:val="none" w:sz="0" w:space="0" w:color="auto"/>
        <w:bottom w:val="none" w:sz="0" w:space="0" w:color="auto"/>
        <w:right w:val="none" w:sz="0" w:space="0" w:color="auto"/>
      </w:divBdr>
    </w:div>
    <w:div w:id="212083788">
      <w:bodyDiv w:val="1"/>
      <w:marLeft w:val="0"/>
      <w:marRight w:val="0"/>
      <w:marTop w:val="0"/>
      <w:marBottom w:val="0"/>
      <w:divBdr>
        <w:top w:val="none" w:sz="0" w:space="0" w:color="auto"/>
        <w:left w:val="none" w:sz="0" w:space="0" w:color="auto"/>
        <w:bottom w:val="none" w:sz="0" w:space="0" w:color="auto"/>
        <w:right w:val="none" w:sz="0" w:space="0" w:color="auto"/>
      </w:divBdr>
    </w:div>
    <w:div w:id="212085745">
      <w:bodyDiv w:val="1"/>
      <w:marLeft w:val="0"/>
      <w:marRight w:val="0"/>
      <w:marTop w:val="0"/>
      <w:marBottom w:val="0"/>
      <w:divBdr>
        <w:top w:val="none" w:sz="0" w:space="0" w:color="auto"/>
        <w:left w:val="none" w:sz="0" w:space="0" w:color="auto"/>
        <w:bottom w:val="none" w:sz="0" w:space="0" w:color="auto"/>
        <w:right w:val="none" w:sz="0" w:space="0" w:color="auto"/>
      </w:divBdr>
    </w:div>
    <w:div w:id="212229843">
      <w:bodyDiv w:val="1"/>
      <w:marLeft w:val="0"/>
      <w:marRight w:val="0"/>
      <w:marTop w:val="0"/>
      <w:marBottom w:val="0"/>
      <w:divBdr>
        <w:top w:val="none" w:sz="0" w:space="0" w:color="auto"/>
        <w:left w:val="none" w:sz="0" w:space="0" w:color="auto"/>
        <w:bottom w:val="none" w:sz="0" w:space="0" w:color="auto"/>
        <w:right w:val="none" w:sz="0" w:space="0" w:color="auto"/>
      </w:divBdr>
    </w:div>
    <w:div w:id="212278931">
      <w:bodyDiv w:val="1"/>
      <w:marLeft w:val="0"/>
      <w:marRight w:val="0"/>
      <w:marTop w:val="0"/>
      <w:marBottom w:val="0"/>
      <w:divBdr>
        <w:top w:val="none" w:sz="0" w:space="0" w:color="auto"/>
        <w:left w:val="none" w:sz="0" w:space="0" w:color="auto"/>
        <w:bottom w:val="none" w:sz="0" w:space="0" w:color="auto"/>
        <w:right w:val="none" w:sz="0" w:space="0" w:color="auto"/>
      </w:divBdr>
    </w:div>
    <w:div w:id="212429991">
      <w:bodyDiv w:val="1"/>
      <w:marLeft w:val="0"/>
      <w:marRight w:val="0"/>
      <w:marTop w:val="0"/>
      <w:marBottom w:val="0"/>
      <w:divBdr>
        <w:top w:val="none" w:sz="0" w:space="0" w:color="auto"/>
        <w:left w:val="none" w:sz="0" w:space="0" w:color="auto"/>
        <w:bottom w:val="none" w:sz="0" w:space="0" w:color="auto"/>
        <w:right w:val="none" w:sz="0" w:space="0" w:color="auto"/>
      </w:divBdr>
    </w:div>
    <w:div w:id="212469456">
      <w:bodyDiv w:val="1"/>
      <w:marLeft w:val="0"/>
      <w:marRight w:val="0"/>
      <w:marTop w:val="0"/>
      <w:marBottom w:val="0"/>
      <w:divBdr>
        <w:top w:val="none" w:sz="0" w:space="0" w:color="auto"/>
        <w:left w:val="none" w:sz="0" w:space="0" w:color="auto"/>
        <w:bottom w:val="none" w:sz="0" w:space="0" w:color="auto"/>
        <w:right w:val="none" w:sz="0" w:space="0" w:color="auto"/>
      </w:divBdr>
    </w:div>
    <w:div w:id="212810746">
      <w:bodyDiv w:val="1"/>
      <w:marLeft w:val="0"/>
      <w:marRight w:val="0"/>
      <w:marTop w:val="0"/>
      <w:marBottom w:val="0"/>
      <w:divBdr>
        <w:top w:val="none" w:sz="0" w:space="0" w:color="auto"/>
        <w:left w:val="none" w:sz="0" w:space="0" w:color="auto"/>
        <w:bottom w:val="none" w:sz="0" w:space="0" w:color="auto"/>
        <w:right w:val="none" w:sz="0" w:space="0" w:color="auto"/>
      </w:divBdr>
    </w:div>
    <w:div w:id="212817099">
      <w:bodyDiv w:val="1"/>
      <w:marLeft w:val="0"/>
      <w:marRight w:val="0"/>
      <w:marTop w:val="0"/>
      <w:marBottom w:val="0"/>
      <w:divBdr>
        <w:top w:val="none" w:sz="0" w:space="0" w:color="auto"/>
        <w:left w:val="none" w:sz="0" w:space="0" w:color="auto"/>
        <w:bottom w:val="none" w:sz="0" w:space="0" w:color="auto"/>
        <w:right w:val="none" w:sz="0" w:space="0" w:color="auto"/>
      </w:divBdr>
    </w:div>
    <w:div w:id="212817750">
      <w:bodyDiv w:val="1"/>
      <w:marLeft w:val="0"/>
      <w:marRight w:val="0"/>
      <w:marTop w:val="0"/>
      <w:marBottom w:val="0"/>
      <w:divBdr>
        <w:top w:val="none" w:sz="0" w:space="0" w:color="auto"/>
        <w:left w:val="none" w:sz="0" w:space="0" w:color="auto"/>
        <w:bottom w:val="none" w:sz="0" w:space="0" w:color="auto"/>
        <w:right w:val="none" w:sz="0" w:space="0" w:color="auto"/>
      </w:divBdr>
    </w:div>
    <w:div w:id="212926970">
      <w:bodyDiv w:val="1"/>
      <w:marLeft w:val="0"/>
      <w:marRight w:val="0"/>
      <w:marTop w:val="0"/>
      <w:marBottom w:val="0"/>
      <w:divBdr>
        <w:top w:val="none" w:sz="0" w:space="0" w:color="auto"/>
        <w:left w:val="none" w:sz="0" w:space="0" w:color="auto"/>
        <w:bottom w:val="none" w:sz="0" w:space="0" w:color="auto"/>
        <w:right w:val="none" w:sz="0" w:space="0" w:color="auto"/>
      </w:divBdr>
    </w:div>
    <w:div w:id="213011720">
      <w:bodyDiv w:val="1"/>
      <w:marLeft w:val="0"/>
      <w:marRight w:val="0"/>
      <w:marTop w:val="0"/>
      <w:marBottom w:val="0"/>
      <w:divBdr>
        <w:top w:val="none" w:sz="0" w:space="0" w:color="auto"/>
        <w:left w:val="none" w:sz="0" w:space="0" w:color="auto"/>
        <w:bottom w:val="none" w:sz="0" w:space="0" w:color="auto"/>
        <w:right w:val="none" w:sz="0" w:space="0" w:color="auto"/>
      </w:divBdr>
    </w:div>
    <w:div w:id="213197862">
      <w:bodyDiv w:val="1"/>
      <w:marLeft w:val="0"/>
      <w:marRight w:val="0"/>
      <w:marTop w:val="0"/>
      <w:marBottom w:val="0"/>
      <w:divBdr>
        <w:top w:val="none" w:sz="0" w:space="0" w:color="auto"/>
        <w:left w:val="none" w:sz="0" w:space="0" w:color="auto"/>
        <w:bottom w:val="none" w:sz="0" w:space="0" w:color="auto"/>
        <w:right w:val="none" w:sz="0" w:space="0" w:color="auto"/>
      </w:divBdr>
    </w:div>
    <w:div w:id="213320708">
      <w:bodyDiv w:val="1"/>
      <w:marLeft w:val="0"/>
      <w:marRight w:val="0"/>
      <w:marTop w:val="0"/>
      <w:marBottom w:val="0"/>
      <w:divBdr>
        <w:top w:val="none" w:sz="0" w:space="0" w:color="auto"/>
        <w:left w:val="none" w:sz="0" w:space="0" w:color="auto"/>
        <w:bottom w:val="none" w:sz="0" w:space="0" w:color="auto"/>
        <w:right w:val="none" w:sz="0" w:space="0" w:color="auto"/>
      </w:divBdr>
    </w:div>
    <w:div w:id="213348333">
      <w:bodyDiv w:val="1"/>
      <w:marLeft w:val="0"/>
      <w:marRight w:val="0"/>
      <w:marTop w:val="0"/>
      <w:marBottom w:val="0"/>
      <w:divBdr>
        <w:top w:val="none" w:sz="0" w:space="0" w:color="auto"/>
        <w:left w:val="none" w:sz="0" w:space="0" w:color="auto"/>
        <w:bottom w:val="none" w:sz="0" w:space="0" w:color="auto"/>
        <w:right w:val="none" w:sz="0" w:space="0" w:color="auto"/>
      </w:divBdr>
    </w:div>
    <w:div w:id="213465413">
      <w:bodyDiv w:val="1"/>
      <w:marLeft w:val="0"/>
      <w:marRight w:val="0"/>
      <w:marTop w:val="0"/>
      <w:marBottom w:val="0"/>
      <w:divBdr>
        <w:top w:val="none" w:sz="0" w:space="0" w:color="auto"/>
        <w:left w:val="none" w:sz="0" w:space="0" w:color="auto"/>
        <w:bottom w:val="none" w:sz="0" w:space="0" w:color="auto"/>
        <w:right w:val="none" w:sz="0" w:space="0" w:color="auto"/>
      </w:divBdr>
    </w:div>
    <w:div w:id="213588865">
      <w:bodyDiv w:val="1"/>
      <w:marLeft w:val="0"/>
      <w:marRight w:val="0"/>
      <w:marTop w:val="0"/>
      <w:marBottom w:val="0"/>
      <w:divBdr>
        <w:top w:val="none" w:sz="0" w:space="0" w:color="auto"/>
        <w:left w:val="none" w:sz="0" w:space="0" w:color="auto"/>
        <w:bottom w:val="none" w:sz="0" w:space="0" w:color="auto"/>
        <w:right w:val="none" w:sz="0" w:space="0" w:color="auto"/>
      </w:divBdr>
    </w:div>
    <w:div w:id="213733408">
      <w:bodyDiv w:val="1"/>
      <w:marLeft w:val="0"/>
      <w:marRight w:val="0"/>
      <w:marTop w:val="0"/>
      <w:marBottom w:val="0"/>
      <w:divBdr>
        <w:top w:val="none" w:sz="0" w:space="0" w:color="auto"/>
        <w:left w:val="none" w:sz="0" w:space="0" w:color="auto"/>
        <w:bottom w:val="none" w:sz="0" w:space="0" w:color="auto"/>
        <w:right w:val="none" w:sz="0" w:space="0" w:color="auto"/>
      </w:divBdr>
    </w:div>
    <w:div w:id="213742202">
      <w:bodyDiv w:val="1"/>
      <w:marLeft w:val="0"/>
      <w:marRight w:val="0"/>
      <w:marTop w:val="0"/>
      <w:marBottom w:val="0"/>
      <w:divBdr>
        <w:top w:val="none" w:sz="0" w:space="0" w:color="auto"/>
        <w:left w:val="none" w:sz="0" w:space="0" w:color="auto"/>
        <w:bottom w:val="none" w:sz="0" w:space="0" w:color="auto"/>
        <w:right w:val="none" w:sz="0" w:space="0" w:color="auto"/>
      </w:divBdr>
    </w:div>
    <w:div w:id="213927702">
      <w:bodyDiv w:val="1"/>
      <w:marLeft w:val="0"/>
      <w:marRight w:val="0"/>
      <w:marTop w:val="0"/>
      <w:marBottom w:val="0"/>
      <w:divBdr>
        <w:top w:val="none" w:sz="0" w:space="0" w:color="auto"/>
        <w:left w:val="none" w:sz="0" w:space="0" w:color="auto"/>
        <w:bottom w:val="none" w:sz="0" w:space="0" w:color="auto"/>
        <w:right w:val="none" w:sz="0" w:space="0" w:color="auto"/>
      </w:divBdr>
    </w:div>
    <w:div w:id="214004577">
      <w:bodyDiv w:val="1"/>
      <w:marLeft w:val="0"/>
      <w:marRight w:val="0"/>
      <w:marTop w:val="0"/>
      <w:marBottom w:val="0"/>
      <w:divBdr>
        <w:top w:val="none" w:sz="0" w:space="0" w:color="auto"/>
        <w:left w:val="none" w:sz="0" w:space="0" w:color="auto"/>
        <w:bottom w:val="none" w:sz="0" w:space="0" w:color="auto"/>
        <w:right w:val="none" w:sz="0" w:space="0" w:color="auto"/>
      </w:divBdr>
    </w:div>
    <w:div w:id="214047788">
      <w:bodyDiv w:val="1"/>
      <w:marLeft w:val="0"/>
      <w:marRight w:val="0"/>
      <w:marTop w:val="0"/>
      <w:marBottom w:val="0"/>
      <w:divBdr>
        <w:top w:val="none" w:sz="0" w:space="0" w:color="auto"/>
        <w:left w:val="none" w:sz="0" w:space="0" w:color="auto"/>
        <w:bottom w:val="none" w:sz="0" w:space="0" w:color="auto"/>
        <w:right w:val="none" w:sz="0" w:space="0" w:color="auto"/>
      </w:divBdr>
    </w:div>
    <w:div w:id="214123716">
      <w:bodyDiv w:val="1"/>
      <w:marLeft w:val="0"/>
      <w:marRight w:val="0"/>
      <w:marTop w:val="0"/>
      <w:marBottom w:val="0"/>
      <w:divBdr>
        <w:top w:val="none" w:sz="0" w:space="0" w:color="auto"/>
        <w:left w:val="none" w:sz="0" w:space="0" w:color="auto"/>
        <w:bottom w:val="none" w:sz="0" w:space="0" w:color="auto"/>
        <w:right w:val="none" w:sz="0" w:space="0" w:color="auto"/>
      </w:divBdr>
    </w:div>
    <w:div w:id="214195662">
      <w:bodyDiv w:val="1"/>
      <w:marLeft w:val="0"/>
      <w:marRight w:val="0"/>
      <w:marTop w:val="0"/>
      <w:marBottom w:val="0"/>
      <w:divBdr>
        <w:top w:val="none" w:sz="0" w:space="0" w:color="auto"/>
        <w:left w:val="none" w:sz="0" w:space="0" w:color="auto"/>
        <w:bottom w:val="none" w:sz="0" w:space="0" w:color="auto"/>
        <w:right w:val="none" w:sz="0" w:space="0" w:color="auto"/>
      </w:divBdr>
    </w:div>
    <w:div w:id="214243472">
      <w:bodyDiv w:val="1"/>
      <w:marLeft w:val="0"/>
      <w:marRight w:val="0"/>
      <w:marTop w:val="0"/>
      <w:marBottom w:val="0"/>
      <w:divBdr>
        <w:top w:val="none" w:sz="0" w:space="0" w:color="auto"/>
        <w:left w:val="none" w:sz="0" w:space="0" w:color="auto"/>
        <w:bottom w:val="none" w:sz="0" w:space="0" w:color="auto"/>
        <w:right w:val="none" w:sz="0" w:space="0" w:color="auto"/>
      </w:divBdr>
    </w:div>
    <w:div w:id="214394420">
      <w:bodyDiv w:val="1"/>
      <w:marLeft w:val="0"/>
      <w:marRight w:val="0"/>
      <w:marTop w:val="0"/>
      <w:marBottom w:val="0"/>
      <w:divBdr>
        <w:top w:val="none" w:sz="0" w:space="0" w:color="auto"/>
        <w:left w:val="none" w:sz="0" w:space="0" w:color="auto"/>
        <w:bottom w:val="none" w:sz="0" w:space="0" w:color="auto"/>
        <w:right w:val="none" w:sz="0" w:space="0" w:color="auto"/>
      </w:divBdr>
    </w:div>
    <w:div w:id="214775502">
      <w:bodyDiv w:val="1"/>
      <w:marLeft w:val="0"/>
      <w:marRight w:val="0"/>
      <w:marTop w:val="0"/>
      <w:marBottom w:val="0"/>
      <w:divBdr>
        <w:top w:val="none" w:sz="0" w:space="0" w:color="auto"/>
        <w:left w:val="none" w:sz="0" w:space="0" w:color="auto"/>
        <w:bottom w:val="none" w:sz="0" w:space="0" w:color="auto"/>
        <w:right w:val="none" w:sz="0" w:space="0" w:color="auto"/>
      </w:divBdr>
    </w:div>
    <w:div w:id="215359591">
      <w:bodyDiv w:val="1"/>
      <w:marLeft w:val="0"/>
      <w:marRight w:val="0"/>
      <w:marTop w:val="0"/>
      <w:marBottom w:val="0"/>
      <w:divBdr>
        <w:top w:val="none" w:sz="0" w:space="0" w:color="auto"/>
        <w:left w:val="none" w:sz="0" w:space="0" w:color="auto"/>
        <w:bottom w:val="none" w:sz="0" w:space="0" w:color="auto"/>
        <w:right w:val="none" w:sz="0" w:space="0" w:color="auto"/>
      </w:divBdr>
    </w:div>
    <w:div w:id="215510897">
      <w:bodyDiv w:val="1"/>
      <w:marLeft w:val="0"/>
      <w:marRight w:val="0"/>
      <w:marTop w:val="0"/>
      <w:marBottom w:val="0"/>
      <w:divBdr>
        <w:top w:val="none" w:sz="0" w:space="0" w:color="auto"/>
        <w:left w:val="none" w:sz="0" w:space="0" w:color="auto"/>
        <w:bottom w:val="none" w:sz="0" w:space="0" w:color="auto"/>
        <w:right w:val="none" w:sz="0" w:space="0" w:color="auto"/>
      </w:divBdr>
    </w:div>
    <w:div w:id="215625904">
      <w:bodyDiv w:val="1"/>
      <w:marLeft w:val="0"/>
      <w:marRight w:val="0"/>
      <w:marTop w:val="0"/>
      <w:marBottom w:val="0"/>
      <w:divBdr>
        <w:top w:val="none" w:sz="0" w:space="0" w:color="auto"/>
        <w:left w:val="none" w:sz="0" w:space="0" w:color="auto"/>
        <w:bottom w:val="none" w:sz="0" w:space="0" w:color="auto"/>
        <w:right w:val="none" w:sz="0" w:space="0" w:color="auto"/>
      </w:divBdr>
    </w:div>
    <w:div w:id="215708072">
      <w:bodyDiv w:val="1"/>
      <w:marLeft w:val="0"/>
      <w:marRight w:val="0"/>
      <w:marTop w:val="0"/>
      <w:marBottom w:val="0"/>
      <w:divBdr>
        <w:top w:val="none" w:sz="0" w:space="0" w:color="auto"/>
        <w:left w:val="none" w:sz="0" w:space="0" w:color="auto"/>
        <w:bottom w:val="none" w:sz="0" w:space="0" w:color="auto"/>
        <w:right w:val="none" w:sz="0" w:space="0" w:color="auto"/>
      </w:divBdr>
    </w:div>
    <w:div w:id="215818830">
      <w:bodyDiv w:val="1"/>
      <w:marLeft w:val="0"/>
      <w:marRight w:val="0"/>
      <w:marTop w:val="0"/>
      <w:marBottom w:val="0"/>
      <w:divBdr>
        <w:top w:val="none" w:sz="0" w:space="0" w:color="auto"/>
        <w:left w:val="none" w:sz="0" w:space="0" w:color="auto"/>
        <w:bottom w:val="none" w:sz="0" w:space="0" w:color="auto"/>
        <w:right w:val="none" w:sz="0" w:space="0" w:color="auto"/>
      </w:divBdr>
    </w:div>
    <w:div w:id="215823805">
      <w:bodyDiv w:val="1"/>
      <w:marLeft w:val="0"/>
      <w:marRight w:val="0"/>
      <w:marTop w:val="0"/>
      <w:marBottom w:val="0"/>
      <w:divBdr>
        <w:top w:val="none" w:sz="0" w:space="0" w:color="auto"/>
        <w:left w:val="none" w:sz="0" w:space="0" w:color="auto"/>
        <w:bottom w:val="none" w:sz="0" w:space="0" w:color="auto"/>
        <w:right w:val="none" w:sz="0" w:space="0" w:color="auto"/>
      </w:divBdr>
    </w:div>
    <w:div w:id="216010930">
      <w:bodyDiv w:val="1"/>
      <w:marLeft w:val="0"/>
      <w:marRight w:val="0"/>
      <w:marTop w:val="0"/>
      <w:marBottom w:val="0"/>
      <w:divBdr>
        <w:top w:val="none" w:sz="0" w:space="0" w:color="auto"/>
        <w:left w:val="none" w:sz="0" w:space="0" w:color="auto"/>
        <w:bottom w:val="none" w:sz="0" w:space="0" w:color="auto"/>
        <w:right w:val="none" w:sz="0" w:space="0" w:color="auto"/>
      </w:divBdr>
    </w:div>
    <w:div w:id="216093520">
      <w:bodyDiv w:val="1"/>
      <w:marLeft w:val="0"/>
      <w:marRight w:val="0"/>
      <w:marTop w:val="0"/>
      <w:marBottom w:val="0"/>
      <w:divBdr>
        <w:top w:val="none" w:sz="0" w:space="0" w:color="auto"/>
        <w:left w:val="none" w:sz="0" w:space="0" w:color="auto"/>
        <w:bottom w:val="none" w:sz="0" w:space="0" w:color="auto"/>
        <w:right w:val="none" w:sz="0" w:space="0" w:color="auto"/>
      </w:divBdr>
    </w:div>
    <w:div w:id="216356986">
      <w:bodyDiv w:val="1"/>
      <w:marLeft w:val="0"/>
      <w:marRight w:val="0"/>
      <w:marTop w:val="0"/>
      <w:marBottom w:val="0"/>
      <w:divBdr>
        <w:top w:val="none" w:sz="0" w:space="0" w:color="auto"/>
        <w:left w:val="none" w:sz="0" w:space="0" w:color="auto"/>
        <w:bottom w:val="none" w:sz="0" w:space="0" w:color="auto"/>
        <w:right w:val="none" w:sz="0" w:space="0" w:color="auto"/>
      </w:divBdr>
    </w:div>
    <w:div w:id="216748949">
      <w:bodyDiv w:val="1"/>
      <w:marLeft w:val="0"/>
      <w:marRight w:val="0"/>
      <w:marTop w:val="0"/>
      <w:marBottom w:val="0"/>
      <w:divBdr>
        <w:top w:val="none" w:sz="0" w:space="0" w:color="auto"/>
        <w:left w:val="none" w:sz="0" w:space="0" w:color="auto"/>
        <w:bottom w:val="none" w:sz="0" w:space="0" w:color="auto"/>
        <w:right w:val="none" w:sz="0" w:space="0" w:color="auto"/>
      </w:divBdr>
    </w:div>
    <w:div w:id="216825294">
      <w:bodyDiv w:val="1"/>
      <w:marLeft w:val="0"/>
      <w:marRight w:val="0"/>
      <w:marTop w:val="0"/>
      <w:marBottom w:val="0"/>
      <w:divBdr>
        <w:top w:val="none" w:sz="0" w:space="0" w:color="auto"/>
        <w:left w:val="none" w:sz="0" w:space="0" w:color="auto"/>
        <w:bottom w:val="none" w:sz="0" w:space="0" w:color="auto"/>
        <w:right w:val="none" w:sz="0" w:space="0" w:color="auto"/>
      </w:divBdr>
    </w:div>
    <w:div w:id="216863185">
      <w:bodyDiv w:val="1"/>
      <w:marLeft w:val="0"/>
      <w:marRight w:val="0"/>
      <w:marTop w:val="0"/>
      <w:marBottom w:val="0"/>
      <w:divBdr>
        <w:top w:val="none" w:sz="0" w:space="0" w:color="auto"/>
        <w:left w:val="none" w:sz="0" w:space="0" w:color="auto"/>
        <w:bottom w:val="none" w:sz="0" w:space="0" w:color="auto"/>
        <w:right w:val="none" w:sz="0" w:space="0" w:color="auto"/>
      </w:divBdr>
    </w:div>
    <w:div w:id="216942555">
      <w:bodyDiv w:val="1"/>
      <w:marLeft w:val="0"/>
      <w:marRight w:val="0"/>
      <w:marTop w:val="0"/>
      <w:marBottom w:val="0"/>
      <w:divBdr>
        <w:top w:val="none" w:sz="0" w:space="0" w:color="auto"/>
        <w:left w:val="none" w:sz="0" w:space="0" w:color="auto"/>
        <w:bottom w:val="none" w:sz="0" w:space="0" w:color="auto"/>
        <w:right w:val="none" w:sz="0" w:space="0" w:color="auto"/>
      </w:divBdr>
    </w:div>
    <w:div w:id="217012870">
      <w:bodyDiv w:val="1"/>
      <w:marLeft w:val="0"/>
      <w:marRight w:val="0"/>
      <w:marTop w:val="0"/>
      <w:marBottom w:val="0"/>
      <w:divBdr>
        <w:top w:val="none" w:sz="0" w:space="0" w:color="auto"/>
        <w:left w:val="none" w:sz="0" w:space="0" w:color="auto"/>
        <w:bottom w:val="none" w:sz="0" w:space="0" w:color="auto"/>
        <w:right w:val="none" w:sz="0" w:space="0" w:color="auto"/>
      </w:divBdr>
    </w:div>
    <w:div w:id="217127959">
      <w:bodyDiv w:val="1"/>
      <w:marLeft w:val="0"/>
      <w:marRight w:val="0"/>
      <w:marTop w:val="0"/>
      <w:marBottom w:val="0"/>
      <w:divBdr>
        <w:top w:val="none" w:sz="0" w:space="0" w:color="auto"/>
        <w:left w:val="none" w:sz="0" w:space="0" w:color="auto"/>
        <w:bottom w:val="none" w:sz="0" w:space="0" w:color="auto"/>
        <w:right w:val="none" w:sz="0" w:space="0" w:color="auto"/>
      </w:divBdr>
    </w:div>
    <w:div w:id="217283057">
      <w:bodyDiv w:val="1"/>
      <w:marLeft w:val="0"/>
      <w:marRight w:val="0"/>
      <w:marTop w:val="0"/>
      <w:marBottom w:val="0"/>
      <w:divBdr>
        <w:top w:val="none" w:sz="0" w:space="0" w:color="auto"/>
        <w:left w:val="none" w:sz="0" w:space="0" w:color="auto"/>
        <w:bottom w:val="none" w:sz="0" w:space="0" w:color="auto"/>
        <w:right w:val="none" w:sz="0" w:space="0" w:color="auto"/>
      </w:divBdr>
    </w:div>
    <w:div w:id="217284259">
      <w:bodyDiv w:val="1"/>
      <w:marLeft w:val="0"/>
      <w:marRight w:val="0"/>
      <w:marTop w:val="0"/>
      <w:marBottom w:val="0"/>
      <w:divBdr>
        <w:top w:val="none" w:sz="0" w:space="0" w:color="auto"/>
        <w:left w:val="none" w:sz="0" w:space="0" w:color="auto"/>
        <w:bottom w:val="none" w:sz="0" w:space="0" w:color="auto"/>
        <w:right w:val="none" w:sz="0" w:space="0" w:color="auto"/>
      </w:divBdr>
    </w:div>
    <w:div w:id="217400318">
      <w:bodyDiv w:val="1"/>
      <w:marLeft w:val="0"/>
      <w:marRight w:val="0"/>
      <w:marTop w:val="0"/>
      <w:marBottom w:val="0"/>
      <w:divBdr>
        <w:top w:val="none" w:sz="0" w:space="0" w:color="auto"/>
        <w:left w:val="none" w:sz="0" w:space="0" w:color="auto"/>
        <w:bottom w:val="none" w:sz="0" w:space="0" w:color="auto"/>
        <w:right w:val="none" w:sz="0" w:space="0" w:color="auto"/>
      </w:divBdr>
    </w:div>
    <w:div w:id="217522197">
      <w:bodyDiv w:val="1"/>
      <w:marLeft w:val="0"/>
      <w:marRight w:val="0"/>
      <w:marTop w:val="0"/>
      <w:marBottom w:val="0"/>
      <w:divBdr>
        <w:top w:val="none" w:sz="0" w:space="0" w:color="auto"/>
        <w:left w:val="none" w:sz="0" w:space="0" w:color="auto"/>
        <w:bottom w:val="none" w:sz="0" w:space="0" w:color="auto"/>
        <w:right w:val="none" w:sz="0" w:space="0" w:color="auto"/>
      </w:divBdr>
    </w:div>
    <w:div w:id="217598334">
      <w:bodyDiv w:val="1"/>
      <w:marLeft w:val="0"/>
      <w:marRight w:val="0"/>
      <w:marTop w:val="0"/>
      <w:marBottom w:val="0"/>
      <w:divBdr>
        <w:top w:val="none" w:sz="0" w:space="0" w:color="auto"/>
        <w:left w:val="none" w:sz="0" w:space="0" w:color="auto"/>
        <w:bottom w:val="none" w:sz="0" w:space="0" w:color="auto"/>
        <w:right w:val="none" w:sz="0" w:space="0" w:color="auto"/>
      </w:divBdr>
    </w:div>
    <w:div w:id="217665862">
      <w:bodyDiv w:val="1"/>
      <w:marLeft w:val="0"/>
      <w:marRight w:val="0"/>
      <w:marTop w:val="0"/>
      <w:marBottom w:val="0"/>
      <w:divBdr>
        <w:top w:val="none" w:sz="0" w:space="0" w:color="auto"/>
        <w:left w:val="none" w:sz="0" w:space="0" w:color="auto"/>
        <w:bottom w:val="none" w:sz="0" w:space="0" w:color="auto"/>
        <w:right w:val="none" w:sz="0" w:space="0" w:color="auto"/>
      </w:divBdr>
    </w:div>
    <w:div w:id="217716281">
      <w:bodyDiv w:val="1"/>
      <w:marLeft w:val="0"/>
      <w:marRight w:val="0"/>
      <w:marTop w:val="0"/>
      <w:marBottom w:val="0"/>
      <w:divBdr>
        <w:top w:val="none" w:sz="0" w:space="0" w:color="auto"/>
        <w:left w:val="none" w:sz="0" w:space="0" w:color="auto"/>
        <w:bottom w:val="none" w:sz="0" w:space="0" w:color="auto"/>
        <w:right w:val="none" w:sz="0" w:space="0" w:color="auto"/>
      </w:divBdr>
    </w:div>
    <w:div w:id="217862448">
      <w:bodyDiv w:val="1"/>
      <w:marLeft w:val="0"/>
      <w:marRight w:val="0"/>
      <w:marTop w:val="0"/>
      <w:marBottom w:val="0"/>
      <w:divBdr>
        <w:top w:val="none" w:sz="0" w:space="0" w:color="auto"/>
        <w:left w:val="none" w:sz="0" w:space="0" w:color="auto"/>
        <w:bottom w:val="none" w:sz="0" w:space="0" w:color="auto"/>
        <w:right w:val="none" w:sz="0" w:space="0" w:color="auto"/>
      </w:divBdr>
    </w:div>
    <w:div w:id="217982039">
      <w:bodyDiv w:val="1"/>
      <w:marLeft w:val="0"/>
      <w:marRight w:val="0"/>
      <w:marTop w:val="0"/>
      <w:marBottom w:val="0"/>
      <w:divBdr>
        <w:top w:val="none" w:sz="0" w:space="0" w:color="auto"/>
        <w:left w:val="none" w:sz="0" w:space="0" w:color="auto"/>
        <w:bottom w:val="none" w:sz="0" w:space="0" w:color="auto"/>
        <w:right w:val="none" w:sz="0" w:space="0" w:color="auto"/>
      </w:divBdr>
    </w:div>
    <w:div w:id="217984807">
      <w:bodyDiv w:val="1"/>
      <w:marLeft w:val="0"/>
      <w:marRight w:val="0"/>
      <w:marTop w:val="0"/>
      <w:marBottom w:val="0"/>
      <w:divBdr>
        <w:top w:val="none" w:sz="0" w:space="0" w:color="auto"/>
        <w:left w:val="none" w:sz="0" w:space="0" w:color="auto"/>
        <w:bottom w:val="none" w:sz="0" w:space="0" w:color="auto"/>
        <w:right w:val="none" w:sz="0" w:space="0" w:color="auto"/>
      </w:divBdr>
    </w:div>
    <w:div w:id="218169595">
      <w:bodyDiv w:val="1"/>
      <w:marLeft w:val="0"/>
      <w:marRight w:val="0"/>
      <w:marTop w:val="0"/>
      <w:marBottom w:val="0"/>
      <w:divBdr>
        <w:top w:val="none" w:sz="0" w:space="0" w:color="auto"/>
        <w:left w:val="none" w:sz="0" w:space="0" w:color="auto"/>
        <w:bottom w:val="none" w:sz="0" w:space="0" w:color="auto"/>
        <w:right w:val="none" w:sz="0" w:space="0" w:color="auto"/>
      </w:divBdr>
    </w:div>
    <w:div w:id="218371270">
      <w:bodyDiv w:val="1"/>
      <w:marLeft w:val="0"/>
      <w:marRight w:val="0"/>
      <w:marTop w:val="0"/>
      <w:marBottom w:val="0"/>
      <w:divBdr>
        <w:top w:val="none" w:sz="0" w:space="0" w:color="auto"/>
        <w:left w:val="none" w:sz="0" w:space="0" w:color="auto"/>
        <w:bottom w:val="none" w:sz="0" w:space="0" w:color="auto"/>
        <w:right w:val="none" w:sz="0" w:space="0" w:color="auto"/>
      </w:divBdr>
    </w:div>
    <w:div w:id="218441044">
      <w:bodyDiv w:val="1"/>
      <w:marLeft w:val="0"/>
      <w:marRight w:val="0"/>
      <w:marTop w:val="0"/>
      <w:marBottom w:val="0"/>
      <w:divBdr>
        <w:top w:val="none" w:sz="0" w:space="0" w:color="auto"/>
        <w:left w:val="none" w:sz="0" w:space="0" w:color="auto"/>
        <w:bottom w:val="none" w:sz="0" w:space="0" w:color="auto"/>
        <w:right w:val="none" w:sz="0" w:space="0" w:color="auto"/>
      </w:divBdr>
    </w:div>
    <w:div w:id="218513368">
      <w:bodyDiv w:val="1"/>
      <w:marLeft w:val="0"/>
      <w:marRight w:val="0"/>
      <w:marTop w:val="0"/>
      <w:marBottom w:val="0"/>
      <w:divBdr>
        <w:top w:val="none" w:sz="0" w:space="0" w:color="auto"/>
        <w:left w:val="none" w:sz="0" w:space="0" w:color="auto"/>
        <w:bottom w:val="none" w:sz="0" w:space="0" w:color="auto"/>
        <w:right w:val="none" w:sz="0" w:space="0" w:color="auto"/>
      </w:divBdr>
    </w:div>
    <w:div w:id="218515264">
      <w:bodyDiv w:val="1"/>
      <w:marLeft w:val="0"/>
      <w:marRight w:val="0"/>
      <w:marTop w:val="0"/>
      <w:marBottom w:val="0"/>
      <w:divBdr>
        <w:top w:val="none" w:sz="0" w:space="0" w:color="auto"/>
        <w:left w:val="none" w:sz="0" w:space="0" w:color="auto"/>
        <w:bottom w:val="none" w:sz="0" w:space="0" w:color="auto"/>
        <w:right w:val="none" w:sz="0" w:space="0" w:color="auto"/>
      </w:divBdr>
    </w:div>
    <w:div w:id="218588672">
      <w:bodyDiv w:val="1"/>
      <w:marLeft w:val="0"/>
      <w:marRight w:val="0"/>
      <w:marTop w:val="0"/>
      <w:marBottom w:val="0"/>
      <w:divBdr>
        <w:top w:val="none" w:sz="0" w:space="0" w:color="auto"/>
        <w:left w:val="none" w:sz="0" w:space="0" w:color="auto"/>
        <w:bottom w:val="none" w:sz="0" w:space="0" w:color="auto"/>
        <w:right w:val="none" w:sz="0" w:space="0" w:color="auto"/>
      </w:divBdr>
    </w:div>
    <w:div w:id="218709850">
      <w:bodyDiv w:val="1"/>
      <w:marLeft w:val="0"/>
      <w:marRight w:val="0"/>
      <w:marTop w:val="0"/>
      <w:marBottom w:val="0"/>
      <w:divBdr>
        <w:top w:val="none" w:sz="0" w:space="0" w:color="auto"/>
        <w:left w:val="none" w:sz="0" w:space="0" w:color="auto"/>
        <w:bottom w:val="none" w:sz="0" w:space="0" w:color="auto"/>
        <w:right w:val="none" w:sz="0" w:space="0" w:color="auto"/>
      </w:divBdr>
    </w:div>
    <w:div w:id="218712682">
      <w:bodyDiv w:val="1"/>
      <w:marLeft w:val="0"/>
      <w:marRight w:val="0"/>
      <w:marTop w:val="0"/>
      <w:marBottom w:val="0"/>
      <w:divBdr>
        <w:top w:val="none" w:sz="0" w:space="0" w:color="auto"/>
        <w:left w:val="none" w:sz="0" w:space="0" w:color="auto"/>
        <w:bottom w:val="none" w:sz="0" w:space="0" w:color="auto"/>
        <w:right w:val="none" w:sz="0" w:space="0" w:color="auto"/>
      </w:divBdr>
    </w:div>
    <w:div w:id="218826269">
      <w:bodyDiv w:val="1"/>
      <w:marLeft w:val="0"/>
      <w:marRight w:val="0"/>
      <w:marTop w:val="0"/>
      <w:marBottom w:val="0"/>
      <w:divBdr>
        <w:top w:val="none" w:sz="0" w:space="0" w:color="auto"/>
        <w:left w:val="none" w:sz="0" w:space="0" w:color="auto"/>
        <w:bottom w:val="none" w:sz="0" w:space="0" w:color="auto"/>
        <w:right w:val="none" w:sz="0" w:space="0" w:color="auto"/>
      </w:divBdr>
    </w:div>
    <w:div w:id="218832411">
      <w:bodyDiv w:val="1"/>
      <w:marLeft w:val="0"/>
      <w:marRight w:val="0"/>
      <w:marTop w:val="0"/>
      <w:marBottom w:val="0"/>
      <w:divBdr>
        <w:top w:val="none" w:sz="0" w:space="0" w:color="auto"/>
        <w:left w:val="none" w:sz="0" w:space="0" w:color="auto"/>
        <w:bottom w:val="none" w:sz="0" w:space="0" w:color="auto"/>
        <w:right w:val="none" w:sz="0" w:space="0" w:color="auto"/>
      </w:divBdr>
    </w:div>
    <w:div w:id="218901026">
      <w:bodyDiv w:val="1"/>
      <w:marLeft w:val="0"/>
      <w:marRight w:val="0"/>
      <w:marTop w:val="0"/>
      <w:marBottom w:val="0"/>
      <w:divBdr>
        <w:top w:val="none" w:sz="0" w:space="0" w:color="auto"/>
        <w:left w:val="none" w:sz="0" w:space="0" w:color="auto"/>
        <w:bottom w:val="none" w:sz="0" w:space="0" w:color="auto"/>
        <w:right w:val="none" w:sz="0" w:space="0" w:color="auto"/>
      </w:divBdr>
    </w:div>
    <w:div w:id="218903794">
      <w:bodyDiv w:val="1"/>
      <w:marLeft w:val="0"/>
      <w:marRight w:val="0"/>
      <w:marTop w:val="0"/>
      <w:marBottom w:val="0"/>
      <w:divBdr>
        <w:top w:val="none" w:sz="0" w:space="0" w:color="auto"/>
        <w:left w:val="none" w:sz="0" w:space="0" w:color="auto"/>
        <w:bottom w:val="none" w:sz="0" w:space="0" w:color="auto"/>
        <w:right w:val="none" w:sz="0" w:space="0" w:color="auto"/>
      </w:divBdr>
    </w:div>
    <w:div w:id="219174280">
      <w:bodyDiv w:val="1"/>
      <w:marLeft w:val="0"/>
      <w:marRight w:val="0"/>
      <w:marTop w:val="0"/>
      <w:marBottom w:val="0"/>
      <w:divBdr>
        <w:top w:val="none" w:sz="0" w:space="0" w:color="auto"/>
        <w:left w:val="none" w:sz="0" w:space="0" w:color="auto"/>
        <w:bottom w:val="none" w:sz="0" w:space="0" w:color="auto"/>
        <w:right w:val="none" w:sz="0" w:space="0" w:color="auto"/>
      </w:divBdr>
    </w:div>
    <w:div w:id="219247711">
      <w:bodyDiv w:val="1"/>
      <w:marLeft w:val="0"/>
      <w:marRight w:val="0"/>
      <w:marTop w:val="0"/>
      <w:marBottom w:val="0"/>
      <w:divBdr>
        <w:top w:val="none" w:sz="0" w:space="0" w:color="auto"/>
        <w:left w:val="none" w:sz="0" w:space="0" w:color="auto"/>
        <w:bottom w:val="none" w:sz="0" w:space="0" w:color="auto"/>
        <w:right w:val="none" w:sz="0" w:space="0" w:color="auto"/>
      </w:divBdr>
    </w:div>
    <w:div w:id="219294811">
      <w:bodyDiv w:val="1"/>
      <w:marLeft w:val="0"/>
      <w:marRight w:val="0"/>
      <w:marTop w:val="0"/>
      <w:marBottom w:val="0"/>
      <w:divBdr>
        <w:top w:val="none" w:sz="0" w:space="0" w:color="auto"/>
        <w:left w:val="none" w:sz="0" w:space="0" w:color="auto"/>
        <w:bottom w:val="none" w:sz="0" w:space="0" w:color="auto"/>
        <w:right w:val="none" w:sz="0" w:space="0" w:color="auto"/>
      </w:divBdr>
    </w:div>
    <w:div w:id="219370326">
      <w:bodyDiv w:val="1"/>
      <w:marLeft w:val="0"/>
      <w:marRight w:val="0"/>
      <w:marTop w:val="0"/>
      <w:marBottom w:val="0"/>
      <w:divBdr>
        <w:top w:val="none" w:sz="0" w:space="0" w:color="auto"/>
        <w:left w:val="none" w:sz="0" w:space="0" w:color="auto"/>
        <w:bottom w:val="none" w:sz="0" w:space="0" w:color="auto"/>
        <w:right w:val="none" w:sz="0" w:space="0" w:color="auto"/>
      </w:divBdr>
    </w:div>
    <w:div w:id="219557997">
      <w:bodyDiv w:val="1"/>
      <w:marLeft w:val="0"/>
      <w:marRight w:val="0"/>
      <w:marTop w:val="0"/>
      <w:marBottom w:val="0"/>
      <w:divBdr>
        <w:top w:val="none" w:sz="0" w:space="0" w:color="auto"/>
        <w:left w:val="none" w:sz="0" w:space="0" w:color="auto"/>
        <w:bottom w:val="none" w:sz="0" w:space="0" w:color="auto"/>
        <w:right w:val="none" w:sz="0" w:space="0" w:color="auto"/>
      </w:divBdr>
    </w:div>
    <w:div w:id="219630557">
      <w:bodyDiv w:val="1"/>
      <w:marLeft w:val="0"/>
      <w:marRight w:val="0"/>
      <w:marTop w:val="0"/>
      <w:marBottom w:val="0"/>
      <w:divBdr>
        <w:top w:val="none" w:sz="0" w:space="0" w:color="auto"/>
        <w:left w:val="none" w:sz="0" w:space="0" w:color="auto"/>
        <w:bottom w:val="none" w:sz="0" w:space="0" w:color="auto"/>
        <w:right w:val="none" w:sz="0" w:space="0" w:color="auto"/>
      </w:divBdr>
    </w:div>
    <w:div w:id="219630727">
      <w:bodyDiv w:val="1"/>
      <w:marLeft w:val="0"/>
      <w:marRight w:val="0"/>
      <w:marTop w:val="0"/>
      <w:marBottom w:val="0"/>
      <w:divBdr>
        <w:top w:val="none" w:sz="0" w:space="0" w:color="auto"/>
        <w:left w:val="none" w:sz="0" w:space="0" w:color="auto"/>
        <w:bottom w:val="none" w:sz="0" w:space="0" w:color="auto"/>
        <w:right w:val="none" w:sz="0" w:space="0" w:color="auto"/>
      </w:divBdr>
    </w:div>
    <w:div w:id="219677133">
      <w:bodyDiv w:val="1"/>
      <w:marLeft w:val="0"/>
      <w:marRight w:val="0"/>
      <w:marTop w:val="0"/>
      <w:marBottom w:val="0"/>
      <w:divBdr>
        <w:top w:val="none" w:sz="0" w:space="0" w:color="auto"/>
        <w:left w:val="none" w:sz="0" w:space="0" w:color="auto"/>
        <w:bottom w:val="none" w:sz="0" w:space="0" w:color="auto"/>
        <w:right w:val="none" w:sz="0" w:space="0" w:color="auto"/>
      </w:divBdr>
    </w:div>
    <w:div w:id="219943997">
      <w:bodyDiv w:val="1"/>
      <w:marLeft w:val="0"/>
      <w:marRight w:val="0"/>
      <w:marTop w:val="0"/>
      <w:marBottom w:val="0"/>
      <w:divBdr>
        <w:top w:val="none" w:sz="0" w:space="0" w:color="auto"/>
        <w:left w:val="none" w:sz="0" w:space="0" w:color="auto"/>
        <w:bottom w:val="none" w:sz="0" w:space="0" w:color="auto"/>
        <w:right w:val="none" w:sz="0" w:space="0" w:color="auto"/>
      </w:divBdr>
    </w:div>
    <w:div w:id="220094331">
      <w:bodyDiv w:val="1"/>
      <w:marLeft w:val="0"/>
      <w:marRight w:val="0"/>
      <w:marTop w:val="0"/>
      <w:marBottom w:val="0"/>
      <w:divBdr>
        <w:top w:val="none" w:sz="0" w:space="0" w:color="auto"/>
        <w:left w:val="none" w:sz="0" w:space="0" w:color="auto"/>
        <w:bottom w:val="none" w:sz="0" w:space="0" w:color="auto"/>
        <w:right w:val="none" w:sz="0" w:space="0" w:color="auto"/>
      </w:divBdr>
    </w:div>
    <w:div w:id="220099616">
      <w:bodyDiv w:val="1"/>
      <w:marLeft w:val="0"/>
      <w:marRight w:val="0"/>
      <w:marTop w:val="0"/>
      <w:marBottom w:val="0"/>
      <w:divBdr>
        <w:top w:val="none" w:sz="0" w:space="0" w:color="auto"/>
        <w:left w:val="none" w:sz="0" w:space="0" w:color="auto"/>
        <w:bottom w:val="none" w:sz="0" w:space="0" w:color="auto"/>
        <w:right w:val="none" w:sz="0" w:space="0" w:color="auto"/>
      </w:divBdr>
    </w:div>
    <w:div w:id="220288712">
      <w:bodyDiv w:val="1"/>
      <w:marLeft w:val="0"/>
      <w:marRight w:val="0"/>
      <w:marTop w:val="0"/>
      <w:marBottom w:val="0"/>
      <w:divBdr>
        <w:top w:val="none" w:sz="0" w:space="0" w:color="auto"/>
        <w:left w:val="none" w:sz="0" w:space="0" w:color="auto"/>
        <w:bottom w:val="none" w:sz="0" w:space="0" w:color="auto"/>
        <w:right w:val="none" w:sz="0" w:space="0" w:color="auto"/>
      </w:divBdr>
    </w:div>
    <w:div w:id="220293676">
      <w:bodyDiv w:val="1"/>
      <w:marLeft w:val="0"/>
      <w:marRight w:val="0"/>
      <w:marTop w:val="0"/>
      <w:marBottom w:val="0"/>
      <w:divBdr>
        <w:top w:val="none" w:sz="0" w:space="0" w:color="auto"/>
        <w:left w:val="none" w:sz="0" w:space="0" w:color="auto"/>
        <w:bottom w:val="none" w:sz="0" w:space="0" w:color="auto"/>
        <w:right w:val="none" w:sz="0" w:space="0" w:color="auto"/>
      </w:divBdr>
    </w:div>
    <w:div w:id="220406520">
      <w:bodyDiv w:val="1"/>
      <w:marLeft w:val="0"/>
      <w:marRight w:val="0"/>
      <w:marTop w:val="0"/>
      <w:marBottom w:val="0"/>
      <w:divBdr>
        <w:top w:val="none" w:sz="0" w:space="0" w:color="auto"/>
        <w:left w:val="none" w:sz="0" w:space="0" w:color="auto"/>
        <w:bottom w:val="none" w:sz="0" w:space="0" w:color="auto"/>
        <w:right w:val="none" w:sz="0" w:space="0" w:color="auto"/>
      </w:divBdr>
    </w:div>
    <w:div w:id="220798244">
      <w:bodyDiv w:val="1"/>
      <w:marLeft w:val="0"/>
      <w:marRight w:val="0"/>
      <w:marTop w:val="0"/>
      <w:marBottom w:val="0"/>
      <w:divBdr>
        <w:top w:val="none" w:sz="0" w:space="0" w:color="auto"/>
        <w:left w:val="none" w:sz="0" w:space="0" w:color="auto"/>
        <w:bottom w:val="none" w:sz="0" w:space="0" w:color="auto"/>
        <w:right w:val="none" w:sz="0" w:space="0" w:color="auto"/>
      </w:divBdr>
    </w:div>
    <w:div w:id="220798722">
      <w:bodyDiv w:val="1"/>
      <w:marLeft w:val="0"/>
      <w:marRight w:val="0"/>
      <w:marTop w:val="0"/>
      <w:marBottom w:val="0"/>
      <w:divBdr>
        <w:top w:val="none" w:sz="0" w:space="0" w:color="auto"/>
        <w:left w:val="none" w:sz="0" w:space="0" w:color="auto"/>
        <w:bottom w:val="none" w:sz="0" w:space="0" w:color="auto"/>
        <w:right w:val="none" w:sz="0" w:space="0" w:color="auto"/>
      </w:divBdr>
    </w:div>
    <w:div w:id="220798742">
      <w:bodyDiv w:val="1"/>
      <w:marLeft w:val="0"/>
      <w:marRight w:val="0"/>
      <w:marTop w:val="0"/>
      <w:marBottom w:val="0"/>
      <w:divBdr>
        <w:top w:val="none" w:sz="0" w:space="0" w:color="auto"/>
        <w:left w:val="none" w:sz="0" w:space="0" w:color="auto"/>
        <w:bottom w:val="none" w:sz="0" w:space="0" w:color="auto"/>
        <w:right w:val="none" w:sz="0" w:space="0" w:color="auto"/>
      </w:divBdr>
    </w:div>
    <w:div w:id="220870445">
      <w:bodyDiv w:val="1"/>
      <w:marLeft w:val="0"/>
      <w:marRight w:val="0"/>
      <w:marTop w:val="0"/>
      <w:marBottom w:val="0"/>
      <w:divBdr>
        <w:top w:val="none" w:sz="0" w:space="0" w:color="auto"/>
        <w:left w:val="none" w:sz="0" w:space="0" w:color="auto"/>
        <w:bottom w:val="none" w:sz="0" w:space="0" w:color="auto"/>
        <w:right w:val="none" w:sz="0" w:space="0" w:color="auto"/>
      </w:divBdr>
    </w:div>
    <w:div w:id="221063742">
      <w:bodyDiv w:val="1"/>
      <w:marLeft w:val="0"/>
      <w:marRight w:val="0"/>
      <w:marTop w:val="0"/>
      <w:marBottom w:val="0"/>
      <w:divBdr>
        <w:top w:val="none" w:sz="0" w:space="0" w:color="auto"/>
        <w:left w:val="none" w:sz="0" w:space="0" w:color="auto"/>
        <w:bottom w:val="none" w:sz="0" w:space="0" w:color="auto"/>
        <w:right w:val="none" w:sz="0" w:space="0" w:color="auto"/>
      </w:divBdr>
    </w:div>
    <w:div w:id="221067218">
      <w:bodyDiv w:val="1"/>
      <w:marLeft w:val="0"/>
      <w:marRight w:val="0"/>
      <w:marTop w:val="0"/>
      <w:marBottom w:val="0"/>
      <w:divBdr>
        <w:top w:val="none" w:sz="0" w:space="0" w:color="auto"/>
        <w:left w:val="none" w:sz="0" w:space="0" w:color="auto"/>
        <w:bottom w:val="none" w:sz="0" w:space="0" w:color="auto"/>
        <w:right w:val="none" w:sz="0" w:space="0" w:color="auto"/>
      </w:divBdr>
    </w:div>
    <w:div w:id="221252333">
      <w:bodyDiv w:val="1"/>
      <w:marLeft w:val="0"/>
      <w:marRight w:val="0"/>
      <w:marTop w:val="0"/>
      <w:marBottom w:val="0"/>
      <w:divBdr>
        <w:top w:val="none" w:sz="0" w:space="0" w:color="auto"/>
        <w:left w:val="none" w:sz="0" w:space="0" w:color="auto"/>
        <w:bottom w:val="none" w:sz="0" w:space="0" w:color="auto"/>
        <w:right w:val="none" w:sz="0" w:space="0" w:color="auto"/>
      </w:divBdr>
    </w:div>
    <w:div w:id="221329107">
      <w:bodyDiv w:val="1"/>
      <w:marLeft w:val="0"/>
      <w:marRight w:val="0"/>
      <w:marTop w:val="0"/>
      <w:marBottom w:val="0"/>
      <w:divBdr>
        <w:top w:val="none" w:sz="0" w:space="0" w:color="auto"/>
        <w:left w:val="none" w:sz="0" w:space="0" w:color="auto"/>
        <w:bottom w:val="none" w:sz="0" w:space="0" w:color="auto"/>
        <w:right w:val="none" w:sz="0" w:space="0" w:color="auto"/>
      </w:divBdr>
    </w:div>
    <w:div w:id="221447837">
      <w:bodyDiv w:val="1"/>
      <w:marLeft w:val="0"/>
      <w:marRight w:val="0"/>
      <w:marTop w:val="0"/>
      <w:marBottom w:val="0"/>
      <w:divBdr>
        <w:top w:val="none" w:sz="0" w:space="0" w:color="auto"/>
        <w:left w:val="none" w:sz="0" w:space="0" w:color="auto"/>
        <w:bottom w:val="none" w:sz="0" w:space="0" w:color="auto"/>
        <w:right w:val="none" w:sz="0" w:space="0" w:color="auto"/>
      </w:divBdr>
    </w:div>
    <w:div w:id="221478173">
      <w:bodyDiv w:val="1"/>
      <w:marLeft w:val="0"/>
      <w:marRight w:val="0"/>
      <w:marTop w:val="0"/>
      <w:marBottom w:val="0"/>
      <w:divBdr>
        <w:top w:val="none" w:sz="0" w:space="0" w:color="auto"/>
        <w:left w:val="none" w:sz="0" w:space="0" w:color="auto"/>
        <w:bottom w:val="none" w:sz="0" w:space="0" w:color="auto"/>
        <w:right w:val="none" w:sz="0" w:space="0" w:color="auto"/>
      </w:divBdr>
    </w:div>
    <w:div w:id="221528692">
      <w:bodyDiv w:val="1"/>
      <w:marLeft w:val="0"/>
      <w:marRight w:val="0"/>
      <w:marTop w:val="0"/>
      <w:marBottom w:val="0"/>
      <w:divBdr>
        <w:top w:val="none" w:sz="0" w:space="0" w:color="auto"/>
        <w:left w:val="none" w:sz="0" w:space="0" w:color="auto"/>
        <w:bottom w:val="none" w:sz="0" w:space="0" w:color="auto"/>
        <w:right w:val="none" w:sz="0" w:space="0" w:color="auto"/>
      </w:divBdr>
    </w:div>
    <w:div w:id="221674662">
      <w:bodyDiv w:val="1"/>
      <w:marLeft w:val="0"/>
      <w:marRight w:val="0"/>
      <w:marTop w:val="0"/>
      <w:marBottom w:val="0"/>
      <w:divBdr>
        <w:top w:val="none" w:sz="0" w:space="0" w:color="auto"/>
        <w:left w:val="none" w:sz="0" w:space="0" w:color="auto"/>
        <w:bottom w:val="none" w:sz="0" w:space="0" w:color="auto"/>
        <w:right w:val="none" w:sz="0" w:space="0" w:color="auto"/>
      </w:divBdr>
    </w:div>
    <w:div w:id="221722804">
      <w:bodyDiv w:val="1"/>
      <w:marLeft w:val="0"/>
      <w:marRight w:val="0"/>
      <w:marTop w:val="0"/>
      <w:marBottom w:val="0"/>
      <w:divBdr>
        <w:top w:val="none" w:sz="0" w:space="0" w:color="auto"/>
        <w:left w:val="none" w:sz="0" w:space="0" w:color="auto"/>
        <w:bottom w:val="none" w:sz="0" w:space="0" w:color="auto"/>
        <w:right w:val="none" w:sz="0" w:space="0" w:color="auto"/>
      </w:divBdr>
    </w:div>
    <w:div w:id="221722876">
      <w:bodyDiv w:val="1"/>
      <w:marLeft w:val="0"/>
      <w:marRight w:val="0"/>
      <w:marTop w:val="0"/>
      <w:marBottom w:val="0"/>
      <w:divBdr>
        <w:top w:val="none" w:sz="0" w:space="0" w:color="auto"/>
        <w:left w:val="none" w:sz="0" w:space="0" w:color="auto"/>
        <w:bottom w:val="none" w:sz="0" w:space="0" w:color="auto"/>
        <w:right w:val="none" w:sz="0" w:space="0" w:color="auto"/>
      </w:divBdr>
    </w:div>
    <w:div w:id="221795738">
      <w:bodyDiv w:val="1"/>
      <w:marLeft w:val="0"/>
      <w:marRight w:val="0"/>
      <w:marTop w:val="0"/>
      <w:marBottom w:val="0"/>
      <w:divBdr>
        <w:top w:val="none" w:sz="0" w:space="0" w:color="auto"/>
        <w:left w:val="none" w:sz="0" w:space="0" w:color="auto"/>
        <w:bottom w:val="none" w:sz="0" w:space="0" w:color="auto"/>
        <w:right w:val="none" w:sz="0" w:space="0" w:color="auto"/>
      </w:divBdr>
    </w:div>
    <w:div w:id="221982910">
      <w:bodyDiv w:val="1"/>
      <w:marLeft w:val="0"/>
      <w:marRight w:val="0"/>
      <w:marTop w:val="0"/>
      <w:marBottom w:val="0"/>
      <w:divBdr>
        <w:top w:val="none" w:sz="0" w:space="0" w:color="auto"/>
        <w:left w:val="none" w:sz="0" w:space="0" w:color="auto"/>
        <w:bottom w:val="none" w:sz="0" w:space="0" w:color="auto"/>
        <w:right w:val="none" w:sz="0" w:space="0" w:color="auto"/>
      </w:divBdr>
    </w:div>
    <w:div w:id="221992308">
      <w:bodyDiv w:val="1"/>
      <w:marLeft w:val="0"/>
      <w:marRight w:val="0"/>
      <w:marTop w:val="0"/>
      <w:marBottom w:val="0"/>
      <w:divBdr>
        <w:top w:val="none" w:sz="0" w:space="0" w:color="auto"/>
        <w:left w:val="none" w:sz="0" w:space="0" w:color="auto"/>
        <w:bottom w:val="none" w:sz="0" w:space="0" w:color="auto"/>
        <w:right w:val="none" w:sz="0" w:space="0" w:color="auto"/>
      </w:divBdr>
    </w:div>
    <w:div w:id="222059824">
      <w:bodyDiv w:val="1"/>
      <w:marLeft w:val="0"/>
      <w:marRight w:val="0"/>
      <w:marTop w:val="0"/>
      <w:marBottom w:val="0"/>
      <w:divBdr>
        <w:top w:val="none" w:sz="0" w:space="0" w:color="auto"/>
        <w:left w:val="none" w:sz="0" w:space="0" w:color="auto"/>
        <w:bottom w:val="none" w:sz="0" w:space="0" w:color="auto"/>
        <w:right w:val="none" w:sz="0" w:space="0" w:color="auto"/>
      </w:divBdr>
    </w:div>
    <w:div w:id="222133619">
      <w:bodyDiv w:val="1"/>
      <w:marLeft w:val="0"/>
      <w:marRight w:val="0"/>
      <w:marTop w:val="0"/>
      <w:marBottom w:val="0"/>
      <w:divBdr>
        <w:top w:val="none" w:sz="0" w:space="0" w:color="auto"/>
        <w:left w:val="none" w:sz="0" w:space="0" w:color="auto"/>
        <w:bottom w:val="none" w:sz="0" w:space="0" w:color="auto"/>
        <w:right w:val="none" w:sz="0" w:space="0" w:color="auto"/>
      </w:divBdr>
    </w:div>
    <w:div w:id="222180296">
      <w:bodyDiv w:val="1"/>
      <w:marLeft w:val="0"/>
      <w:marRight w:val="0"/>
      <w:marTop w:val="0"/>
      <w:marBottom w:val="0"/>
      <w:divBdr>
        <w:top w:val="none" w:sz="0" w:space="0" w:color="auto"/>
        <w:left w:val="none" w:sz="0" w:space="0" w:color="auto"/>
        <w:bottom w:val="none" w:sz="0" w:space="0" w:color="auto"/>
        <w:right w:val="none" w:sz="0" w:space="0" w:color="auto"/>
      </w:divBdr>
    </w:div>
    <w:div w:id="222181182">
      <w:bodyDiv w:val="1"/>
      <w:marLeft w:val="0"/>
      <w:marRight w:val="0"/>
      <w:marTop w:val="0"/>
      <w:marBottom w:val="0"/>
      <w:divBdr>
        <w:top w:val="none" w:sz="0" w:space="0" w:color="auto"/>
        <w:left w:val="none" w:sz="0" w:space="0" w:color="auto"/>
        <w:bottom w:val="none" w:sz="0" w:space="0" w:color="auto"/>
        <w:right w:val="none" w:sz="0" w:space="0" w:color="auto"/>
      </w:divBdr>
    </w:div>
    <w:div w:id="222372825">
      <w:bodyDiv w:val="1"/>
      <w:marLeft w:val="0"/>
      <w:marRight w:val="0"/>
      <w:marTop w:val="0"/>
      <w:marBottom w:val="0"/>
      <w:divBdr>
        <w:top w:val="none" w:sz="0" w:space="0" w:color="auto"/>
        <w:left w:val="none" w:sz="0" w:space="0" w:color="auto"/>
        <w:bottom w:val="none" w:sz="0" w:space="0" w:color="auto"/>
        <w:right w:val="none" w:sz="0" w:space="0" w:color="auto"/>
      </w:divBdr>
    </w:div>
    <w:div w:id="222374639">
      <w:bodyDiv w:val="1"/>
      <w:marLeft w:val="0"/>
      <w:marRight w:val="0"/>
      <w:marTop w:val="0"/>
      <w:marBottom w:val="0"/>
      <w:divBdr>
        <w:top w:val="none" w:sz="0" w:space="0" w:color="auto"/>
        <w:left w:val="none" w:sz="0" w:space="0" w:color="auto"/>
        <w:bottom w:val="none" w:sz="0" w:space="0" w:color="auto"/>
        <w:right w:val="none" w:sz="0" w:space="0" w:color="auto"/>
      </w:divBdr>
    </w:div>
    <w:div w:id="222521907">
      <w:bodyDiv w:val="1"/>
      <w:marLeft w:val="0"/>
      <w:marRight w:val="0"/>
      <w:marTop w:val="0"/>
      <w:marBottom w:val="0"/>
      <w:divBdr>
        <w:top w:val="none" w:sz="0" w:space="0" w:color="auto"/>
        <w:left w:val="none" w:sz="0" w:space="0" w:color="auto"/>
        <w:bottom w:val="none" w:sz="0" w:space="0" w:color="auto"/>
        <w:right w:val="none" w:sz="0" w:space="0" w:color="auto"/>
      </w:divBdr>
    </w:div>
    <w:div w:id="222523882">
      <w:bodyDiv w:val="1"/>
      <w:marLeft w:val="0"/>
      <w:marRight w:val="0"/>
      <w:marTop w:val="0"/>
      <w:marBottom w:val="0"/>
      <w:divBdr>
        <w:top w:val="none" w:sz="0" w:space="0" w:color="auto"/>
        <w:left w:val="none" w:sz="0" w:space="0" w:color="auto"/>
        <w:bottom w:val="none" w:sz="0" w:space="0" w:color="auto"/>
        <w:right w:val="none" w:sz="0" w:space="0" w:color="auto"/>
      </w:divBdr>
    </w:div>
    <w:div w:id="222569737">
      <w:bodyDiv w:val="1"/>
      <w:marLeft w:val="0"/>
      <w:marRight w:val="0"/>
      <w:marTop w:val="0"/>
      <w:marBottom w:val="0"/>
      <w:divBdr>
        <w:top w:val="none" w:sz="0" w:space="0" w:color="auto"/>
        <w:left w:val="none" w:sz="0" w:space="0" w:color="auto"/>
        <w:bottom w:val="none" w:sz="0" w:space="0" w:color="auto"/>
        <w:right w:val="none" w:sz="0" w:space="0" w:color="auto"/>
      </w:divBdr>
    </w:div>
    <w:div w:id="222644857">
      <w:bodyDiv w:val="1"/>
      <w:marLeft w:val="0"/>
      <w:marRight w:val="0"/>
      <w:marTop w:val="0"/>
      <w:marBottom w:val="0"/>
      <w:divBdr>
        <w:top w:val="none" w:sz="0" w:space="0" w:color="auto"/>
        <w:left w:val="none" w:sz="0" w:space="0" w:color="auto"/>
        <w:bottom w:val="none" w:sz="0" w:space="0" w:color="auto"/>
        <w:right w:val="none" w:sz="0" w:space="0" w:color="auto"/>
      </w:divBdr>
    </w:div>
    <w:div w:id="222765442">
      <w:bodyDiv w:val="1"/>
      <w:marLeft w:val="0"/>
      <w:marRight w:val="0"/>
      <w:marTop w:val="0"/>
      <w:marBottom w:val="0"/>
      <w:divBdr>
        <w:top w:val="none" w:sz="0" w:space="0" w:color="auto"/>
        <w:left w:val="none" w:sz="0" w:space="0" w:color="auto"/>
        <w:bottom w:val="none" w:sz="0" w:space="0" w:color="auto"/>
        <w:right w:val="none" w:sz="0" w:space="0" w:color="auto"/>
      </w:divBdr>
    </w:div>
    <w:div w:id="223030847">
      <w:bodyDiv w:val="1"/>
      <w:marLeft w:val="0"/>
      <w:marRight w:val="0"/>
      <w:marTop w:val="0"/>
      <w:marBottom w:val="0"/>
      <w:divBdr>
        <w:top w:val="none" w:sz="0" w:space="0" w:color="auto"/>
        <w:left w:val="none" w:sz="0" w:space="0" w:color="auto"/>
        <w:bottom w:val="none" w:sz="0" w:space="0" w:color="auto"/>
        <w:right w:val="none" w:sz="0" w:space="0" w:color="auto"/>
      </w:divBdr>
    </w:div>
    <w:div w:id="223107353">
      <w:bodyDiv w:val="1"/>
      <w:marLeft w:val="0"/>
      <w:marRight w:val="0"/>
      <w:marTop w:val="0"/>
      <w:marBottom w:val="0"/>
      <w:divBdr>
        <w:top w:val="none" w:sz="0" w:space="0" w:color="auto"/>
        <w:left w:val="none" w:sz="0" w:space="0" w:color="auto"/>
        <w:bottom w:val="none" w:sz="0" w:space="0" w:color="auto"/>
        <w:right w:val="none" w:sz="0" w:space="0" w:color="auto"/>
      </w:divBdr>
    </w:div>
    <w:div w:id="223370386">
      <w:bodyDiv w:val="1"/>
      <w:marLeft w:val="0"/>
      <w:marRight w:val="0"/>
      <w:marTop w:val="0"/>
      <w:marBottom w:val="0"/>
      <w:divBdr>
        <w:top w:val="none" w:sz="0" w:space="0" w:color="auto"/>
        <w:left w:val="none" w:sz="0" w:space="0" w:color="auto"/>
        <w:bottom w:val="none" w:sz="0" w:space="0" w:color="auto"/>
        <w:right w:val="none" w:sz="0" w:space="0" w:color="auto"/>
      </w:divBdr>
    </w:div>
    <w:div w:id="223376637">
      <w:bodyDiv w:val="1"/>
      <w:marLeft w:val="0"/>
      <w:marRight w:val="0"/>
      <w:marTop w:val="0"/>
      <w:marBottom w:val="0"/>
      <w:divBdr>
        <w:top w:val="none" w:sz="0" w:space="0" w:color="auto"/>
        <w:left w:val="none" w:sz="0" w:space="0" w:color="auto"/>
        <w:bottom w:val="none" w:sz="0" w:space="0" w:color="auto"/>
        <w:right w:val="none" w:sz="0" w:space="0" w:color="auto"/>
      </w:divBdr>
    </w:div>
    <w:div w:id="223412423">
      <w:bodyDiv w:val="1"/>
      <w:marLeft w:val="0"/>
      <w:marRight w:val="0"/>
      <w:marTop w:val="0"/>
      <w:marBottom w:val="0"/>
      <w:divBdr>
        <w:top w:val="none" w:sz="0" w:space="0" w:color="auto"/>
        <w:left w:val="none" w:sz="0" w:space="0" w:color="auto"/>
        <w:bottom w:val="none" w:sz="0" w:space="0" w:color="auto"/>
        <w:right w:val="none" w:sz="0" w:space="0" w:color="auto"/>
      </w:divBdr>
    </w:div>
    <w:div w:id="223420602">
      <w:bodyDiv w:val="1"/>
      <w:marLeft w:val="0"/>
      <w:marRight w:val="0"/>
      <w:marTop w:val="0"/>
      <w:marBottom w:val="0"/>
      <w:divBdr>
        <w:top w:val="none" w:sz="0" w:space="0" w:color="auto"/>
        <w:left w:val="none" w:sz="0" w:space="0" w:color="auto"/>
        <w:bottom w:val="none" w:sz="0" w:space="0" w:color="auto"/>
        <w:right w:val="none" w:sz="0" w:space="0" w:color="auto"/>
      </w:divBdr>
    </w:div>
    <w:div w:id="223495234">
      <w:bodyDiv w:val="1"/>
      <w:marLeft w:val="0"/>
      <w:marRight w:val="0"/>
      <w:marTop w:val="0"/>
      <w:marBottom w:val="0"/>
      <w:divBdr>
        <w:top w:val="none" w:sz="0" w:space="0" w:color="auto"/>
        <w:left w:val="none" w:sz="0" w:space="0" w:color="auto"/>
        <w:bottom w:val="none" w:sz="0" w:space="0" w:color="auto"/>
        <w:right w:val="none" w:sz="0" w:space="0" w:color="auto"/>
      </w:divBdr>
    </w:div>
    <w:div w:id="223612605">
      <w:bodyDiv w:val="1"/>
      <w:marLeft w:val="0"/>
      <w:marRight w:val="0"/>
      <w:marTop w:val="0"/>
      <w:marBottom w:val="0"/>
      <w:divBdr>
        <w:top w:val="none" w:sz="0" w:space="0" w:color="auto"/>
        <w:left w:val="none" w:sz="0" w:space="0" w:color="auto"/>
        <w:bottom w:val="none" w:sz="0" w:space="0" w:color="auto"/>
        <w:right w:val="none" w:sz="0" w:space="0" w:color="auto"/>
      </w:divBdr>
    </w:div>
    <w:div w:id="223762390">
      <w:bodyDiv w:val="1"/>
      <w:marLeft w:val="0"/>
      <w:marRight w:val="0"/>
      <w:marTop w:val="0"/>
      <w:marBottom w:val="0"/>
      <w:divBdr>
        <w:top w:val="none" w:sz="0" w:space="0" w:color="auto"/>
        <w:left w:val="none" w:sz="0" w:space="0" w:color="auto"/>
        <w:bottom w:val="none" w:sz="0" w:space="0" w:color="auto"/>
        <w:right w:val="none" w:sz="0" w:space="0" w:color="auto"/>
      </w:divBdr>
    </w:div>
    <w:div w:id="224069038">
      <w:bodyDiv w:val="1"/>
      <w:marLeft w:val="0"/>
      <w:marRight w:val="0"/>
      <w:marTop w:val="0"/>
      <w:marBottom w:val="0"/>
      <w:divBdr>
        <w:top w:val="none" w:sz="0" w:space="0" w:color="auto"/>
        <w:left w:val="none" w:sz="0" w:space="0" w:color="auto"/>
        <w:bottom w:val="none" w:sz="0" w:space="0" w:color="auto"/>
        <w:right w:val="none" w:sz="0" w:space="0" w:color="auto"/>
      </w:divBdr>
    </w:div>
    <w:div w:id="224151268">
      <w:bodyDiv w:val="1"/>
      <w:marLeft w:val="0"/>
      <w:marRight w:val="0"/>
      <w:marTop w:val="0"/>
      <w:marBottom w:val="0"/>
      <w:divBdr>
        <w:top w:val="none" w:sz="0" w:space="0" w:color="auto"/>
        <w:left w:val="none" w:sz="0" w:space="0" w:color="auto"/>
        <w:bottom w:val="none" w:sz="0" w:space="0" w:color="auto"/>
        <w:right w:val="none" w:sz="0" w:space="0" w:color="auto"/>
      </w:divBdr>
    </w:div>
    <w:div w:id="224344394">
      <w:bodyDiv w:val="1"/>
      <w:marLeft w:val="0"/>
      <w:marRight w:val="0"/>
      <w:marTop w:val="0"/>
      <w:marBottom w:val="0"/>
      <w:divBdr>
        <w:top w:val="none" w:sz="0" w:space="0" w:color="auto"/>
        <w:left w:val="none" w:sz="0" w:space="0" w:color="auto"/>
        <w:bottom w:val="none" w:sz="0" w:space="0" w:color="auto"/>
        <w:right w:val="none" w:sz="0" w:space="0" w:color="auto"/>
      </w:divBdr>
    </w:div>
    <w:div w:id="224462325">
      <w:bodyDiv w:val="1"/>
      <w:marLeft w:val="0"/>
      <w:marRight w:val="0"/>
      <w:marTop w:val="0"/>
      <w:marBottom w:val="0"/>
      <w:divBdr>
        <w:top w:val="none" w:sz="0" w:space="0" w:color="auto"/>
        <w:left w:val="none" w:sz="0" w:space="0" w:color="auto"/>
        <w:bottom w:val="none" w:sz="0" w:space="0" w:color="auto"/>
        <w:right w:val="none" w:sz="0" w:space="0" w:color="auto"/>
      </w:divBdr>
    </w:div>
    <w:div w:id="224680919">
      <w:bodyDiv w:val="1"/>
      <w:marLeft w:val="0"/>
      <w:marRight w:val="0"/>
      <w:marTop w:val="0"/>
      <w:marBottom w:val="0"/>
      <w:divBdr>
        <w:top w:val="none" w:sz="0" w:space="0" w:color="auto"/>
        <w:left w:val="none" w:sz="0" w:space="0" w:color="auto"/>
        <w:bottom w:val="none" w:sz="0" w:space="0" w:color="auto"/>
        <w:right w:val="none" w:sz="0" w:space="0" w:color="auto"/>
      </w:divBdr>
    </w:div>
    <w:div w:id="224877967">
      <w:bodyDiv w:val="1"/>
      <w:marLeft w:val="0"/>
      <w:marRight w:val="0"/>
      <w:marTop w:val="0"/>
      <w:marBottom w:val="0"/>
      <w:divBdr>
        <w:top w:val="none" w:sz="0" w:space="0" w:color="auto"/>
        <w:left w:val="none" w:sz="0" w:space="0" w:color="auto"/>
        <w:bottom w:val="none" w:sz="0" w:space="0" w:color="auto"/>
        <w:right w:val="none" w:sz="0" w:space="0" w:color="auto"/>
      </w:divBdr>
    </w:div>
    <w:div w:id="224878373">
      <w:bodyDiv w:val="1"/>
      <w:marLeft w:val="0"/>
      <w:marRight w:val="0"/>
      <w:marTop w:val="0"/>
      <w:marBottom w:val="0"/>
      <w:divBdr>
        <w:top w:val="none" w:sz="0" w:space="0" w:color="auto"/>
        <w:left w:val="none" w:sz="0" w:space="0" w:color="auto"/>
        <w:bottom w:val="none" w:sz="0" w:space="0" w:color="auto"/>
        <w:right w:val="none" w:sz="0" w:space="0" w:color="auto"/>
      </w:divBdr>
    </w:div>
    <w:div w:id="224991827">
      <w:bodyDiv w:val="1"/>
      <w:marLeft w:val="0"/>
      <w:marRight w:val="0"/>
      <w:marTop w:val="0"/>
      <w:marBottom w:val="0"/>
      <w:divBdr>
        <w:top w:val="none" w:sz="0" w:space="0" w:color="auto"/>
        <w:left w:val="none" w:sz="0" w:space="0" w:color="auto"/>
        <w:bottom w:val="none" w:sz="0" w:space="0" w:color="auto"/>
        <w:right w:val="none" w:sz="0" w:space="0" w:color="auto"/>
      </w:divBdr>
    </w:div>
    <w:div w:id="225071032">
      <w:bodyDiv w:val="1"/>
      <w:marLeft w:val="0"/>
      <w:marRight w:val="0"/>
      <w:marTop w:val="0"/>
      <w:marBottom w:val="0"/>
      <w:divBdr>
        <w:top w:val="none" w:sz="0" w:space="0" w:color="auto"/>
        <w:left w:val="none" w:sz="0" w:space="0" w:color="auto"/>
        <w:bottom w:val="none" w:sz="0" w:space="0" w:color="auto"/>
        <w:right w:val="none" w:sz="0" w:space="0" w:color="auto"/>
      </w:divBdr>
    </w:div>
    <w:div w:id="225189838">
      <w:bodyDiv w:val="1"/>
      <w:marLeft w:val="0"/>
      <w:marRight w:val="0"/>
      <w:marTop w:val="0"/>
      <w:marBottom w:val="0"/>
      <w:divBdr>
        <w:top w:val="none" w:sz="0" w:space="0" w:color="auto"/>
        <w:left w:val="none" w:sz="0" w:space="0" w:color="auto"/>
        <w:bottom w:val="none" w:sz="0" w:space="0" w:color="auto"/>
        <w:right w:val="none" w:sz="0" w:space="0" w:color="auto"/>
      </w:divBdr>
    </w:div>
    <w:div w:id="225259735">
      <w:bodyDiv w:val="1"/>
      <w:marLeft w:val="0"/>
      <w:marRight w:val="0"/>
      <w:marTop w:val="0"/>
      <w:marBottom w:val="0"/>
      <w:divBdr>
        <w:top w:val="none" w:sz="0" w:space="0" w:color="auto"/>
        <w:left w:val="none" w:sz="0" w:space="0" w:color="auto"/>
        <w:bottom w:val="none" w:sz="0" w:space="0" w:color="auto"/>
        <w:right w:val="none" w:sz="0" w:space="0" w:color="auto"/>
      </w:divBdr>
    </w:div>
    <w:div w:id="225335728">
      <w:bodyDiv w:val="1"/>
      <w:marLeft w:val="0"/>
      <w:marRight w:val="0"/>
      <w:marTop w:val="0"/>
      <w:marBottom w:val="0"/>
      <w:divBdr>
        <w:top w:val="none" w:sz="0" w:space="0" w:color="auto"/>
        <w:left w:val="none" w:sz="0" w:space="0" w:color="auto"/>
        <w:bottom w:val="none" w:sz="0" w:space="0" w:color="auto"/>
        <w:right w:val="none" w:sz="0" w:space="0" w:color="auto"/>
      </w:divBdr>
    </w:div>
    <w:div w:id="225384982">
      <w:bodyDiv w:val="1"/>
      <w:marLeft w:val="0"/>
      <w:marRight w:val="0"/>
      <w:marTop w:val="0"/>
      <w:marBottom w:val="0"/>
      <w:divBdr>
        <w:top w:val="none" w:sz="0" w:space="0" w:color="auto"/>
        <w:left w:val="none" w:sz="0" w:space="0" w:color="auto"/>
        <w:bottom w:val="none" w:sz="0" w:space="0" w:color="auto"/>
        <w:right w:val="none" w:sz="0" w:space="0" w:color="auto"/>
      </w:divBdr>
    </w:div>
    <w:div w:id="225535366">
      <w:bodyDiv w:val="1"/>
      <w:marLeft w:val="0"/>
      <w:marRight w:val="0"/>
      <w:marTop w:val="0"/>
      <w:marBottom w:val="0"/>
      <w:divBdr>
        <w:top w:val="none" w:sz="0" w:space="0" w:color="auto"/>
        <w:left w:val="none" w:sz="0" w:space="0" w:color="auto"/>
        <w:bottom w:val="none" w:sz="0" w:space="0" w:color="auto"/>
        <w:right w:val="none" w:sz="0" w:space="0" w:color="auto"/>
      </w:divBdr>
    </w:div>
    <w:div w:id="225577383">
      <w:bodyDiv w:val="1"/>
      <w:marLeft w:val="0"/>
      <w:marRight w:val="0"/>
      <w:marTop w:val="0"/>
      <w:marBottom w:val="0"/>
      <w:divBdr>
        <w:top w:val="none" w:sz="0" w:space="0" w:color="auto"/>
        <w:left w:val="none" w:sz="0" w:space="0" w:color="auto"/>
        <w:bottom w:val="none" w:sz="0" w:space="0" w:color="auto"/>
        <w:right w:val="none" w:sz="0" w:space="0" w:color="auto"/>
      </w:divBdr>
    </w:div>
    <w:div w:id="225721769">
      <w:bodyDiv w:val="1"/>
      <w:marLeft w:val="0"/>
      <w:marRight w:val="0"/>
      <w:marTop w:val="0"/>
      <w:marBottom w:val="0"/>
      <w:divBdr>
        <w:top w:val="none" w:sz="0" w:space="0" w:color="auto"/>
        <w:left w:val="none" w:sz="0" w:space="0" w:color="auto"/>
        <w:bottom w:val="none" w:sz="0" w:space="0" w:color="auto"/>
        <w:right w:val="none" w:sz="0" w:space="0" w:color="auto"/>
      </w:divBdr>
    </w:div>
    <w:div w:id="225798074">
      <w:bodyDiv w:val="1"/>
      <w:marLeft w:val="0"/>
      <w:marRight w:val="0"/>
      <w:marTop w:val="0"/>
      <w:marBottom w:val="0"/>
      <w:divBdr>
        <w:top w:val="none" w:sz="0" w:space="0" w:color="auto"/>
        <w:left w:val="none" w:sz="0" w:space="0" w:color="auto"/>
        <w:bottom w:val="none" w:sz="0" w:space="0" w:color="auto"/>
        <w:right w:val="none" w:sz="0" w:space="0" w:color="auto"/>
      </w:divBdr>
    </w:div>
    <w:div w:id="225916437">
      <w:bodyDiv w:val="1"/>
      <w:marLeft w:val="0"/>
      <w:marRight w:val="0"/>
      <w:marTop w:val="0"/>
      <w:marBottom w:val="0"/>
      <w:divBdr>
        <w:top w:val="none" w:sz="0" w:space="0" w:color="auto"/>
        <w:left w:val="none" w:sz="0" w:space="0" w:color="auto"/>
        <w:bottom w:val="none" w:sz="0" w:space="0" w:color="auto"/>
        <w:right w:val="none" w:sz="0" w:space="0" w:color="auto"/>
      </w:divBdr>
    </w:div>
    <w:div w:id="225990396">
      <w:bodyDiv w:val="1"/>
      <w:marLeft w:val="0"/>
      <w:marRight w:val="0"/>
      <w:marTop w:val="0"/>
      <w:marBottom w:val="0"/>
      <w:divBdr>
        <w:top w:val="none" w:sz="0" w:space="0" w:color="auto"/>
        <w:left w:val="none" w:sz="0" w:space="0" w:color="auto"/>
        <w:bottom w:val="none" w:sz="0" w:space="0" w:color="auto"/>
        <w:right w:val="none" w:sz="0" w:space="0" w:color="auto"/>
      </w:divBdr>
    </w:div>
    <w:div w:id="226040626">
      <w:bodyDiv w:val="1"/>
      <w:marLeft w:val="0"/>
      <w:marRight w:val="0"/>
      <w:marTop w:val="0"/>
      <w:marBottom w:val="0"/>
      <w:divBdr>
        <w:top w:val="none" w:sz="0" w:space="0" w:color="auto"/>
        <w:left w:val="none" w:sz="0" w:space="0" w:color="auto"/>
        <w:bottom w:val="none" w:sz="0" w:space="0" w:color="auto"/>
        <w:right w:val="none" w:sz="0" w:space="0" w:color="auto"/>
      </w:divBdr>
    </w:div>
    <w:div w:id="226261348">
      <w:bodyDiv w:val="1"/>
      <w:marLeft w:val="0"/>
      <w:marRight w:val="0"/>
      <w:marTop w:val="0"/>
      <w:marBottom w:val="0"/>
      <w:divBdr>
        <w:top w:val="none" w:sz="0" w:space="0" w:color="auto"/>
        <w:left w:val="none" w:sz="0" w:space="0" w:color="auto"/>
        <w:bottom w:val="none" w:sz="0" w:space="0" w:color="auto"/>
        <w:right w:val="none" w:sz="0" w:space="0" w:color="auto"/>
      </w:divBdr>
    </w:div>
    <w:div w:id="226310534">
      <w:bodyDiv w:val="1"/>
      <w:marLeft w:val="0"/>
      <w:marRight w:val="0"/>
      <w:marTop w:val="0"/>
      <w:marBottom w:val="0"/>
      <w:divBdr>
        <w:top w:val="none" w:sz="0" w:space="0" w:color="auto"/>
        <w:left w:val="none" w:sz="0" w:space="0" w:color="auto"/>
        <w:bottom w:val="none" w:sz="0" w:space="0" w:color="auto"/>
        <w:right w:val="none" w:sz="0" w:space="0" w:color="auto"/>
      </w:divBdr>
    </w:div>
    <w:div w:id="226385365">
      <w:bodyDiv w:val="1"/>
      <w:marLeft w:val="0"/>
      <w:marRight w:val="0"/>
      <w:marTop w:val="0"/>
      <w:marBottom w:val="0"/>
      <w:divBdr>
        <w:top w:val="none" w:sz="0" w:space="0" w:color="auto"/>
        <w:left w:val="none" w:sz="0" w:space="0" w:color="auto"/>
        <w:bottom w:val="none" w:sz="0" w:space="0" w:color="auto"/>
        <w:right w:val="none" w:sz="0" w:space="0" w:color="auto"/>
      </w:divBdr>
    </w:div>
    <w:div w:id="226457452">
      <w:bodyDiv w:val="1"/>
      <w:marLeft w:val="0"/>
      <w:marRight w:val="0"/>
      <w:marTop w:val="0"/>
      <w:marBottom w:val="0"/>
      <w:divBdr>
        <w:top w:val="none" w:sz="0" w:space="0" w:color="auto"/>
        <w:left w:val="none" w:sz="0" w:space="0" w:color="auto"/>
        <w:bottom w:val="none" w:sz="0" w:space="0" w:color="auto"/>
        <w:right w:val="none" w:sz="0" w:space="0" w:color="auto"/>
      </w:divBdr>
    </w:div>
    <w:div w:id="226578895">
      <w:bodyDiv w:val="1"/>
      <w:marLeft w:val="0"/>
      <w:marRight w:val="0"/>
      <w:marTop w:val="0"/>
      <w:marBottom w:val="0"/>
      <w:divBdr>
        <w:top w:val="none" w:sz="0" w:space="0" w:color="auto"/>
        <w:left w:val="none" w:sz="0" w:space="0" w:color="auto"/>
        <w:bottom w:val="none" w:sz="0" w:space="0" w:color="auto"/>
        <w:right w:val="none" w:sz="0" w:space="0" w:color="auto"/>
      </w:divBdr>
    </w:div>
    <w:div w:id="226764438">
      <w:bodyDiv w:val="1"/>
      <w:marLeft w:val="0"/>
      <w:marRight w:val="0"/>
      <w:marTop w:val="0"/>
      <w:marBottom w:val="0"/>
      <w:divBdr>
        <w:top w:val="none" w:sz="0" w:space="0" w:color="auto"/>
        <w:left w:val="none" w:sz="0" w:space="0" w:color="auto"/>
        <w:bottom w:val="none" w:sz="0" w:space="0" w:color="auto"/>
        <w:right w:val="none" w:sz="0" w:space="0" w:color="auto"/>
      </w:divBdr>
    </w:div>
    <w:div w:id="226765771">
      <w:bodyDiv w:val="1"/>
      <w:marLeft w:val="0"/>
      <w:marRight w:val="0"/>
      <w:marTop w:val="0"/>
      <w:marBottom w:val="0"/>
      <w:divBdr>
        <w:top w:val="none" w:sz="0" w:space="0" w:color="auto"/>
        <w:left w:val="none" w:sz="0" w:space="0" w:color="auto"/>
        <w:bottom w:val="none" w:sz="0" w:space="0" w:color="auto"/>
        <w:right w:val="none" w:sz="0" w:space="0" w:color="auto"/>
      </w:divBdr>
    </w:div>
    <w:div w:id="226888230">
      <w:bodyDiv w:val="1"/>
      <w:marLeft w:val="0"/>
      <w:marRight w:val="0"/>
      <w:marTop w:val="0"/>
      <w:marBottom w:val="0"/>
      <w:divBdr>
        <w:top w:val="none" w:sz="0" w:space="0" w:color="auto"/>
        <w:left w:val="none" w:sz="0" w:space="0" w:color="auto"/>
        <w:bottom w:val="none" w:sz="0" w:space="0" w:color="auto"/>
        <w:right w:val="none" w:sz="0" w:space="0" w:color="auto"/>
      </w:divBdr>
    </w:div>
    <w:div w:id="226917628">
      <w:bodyDiv w:val="1"/>
      <w:marLeft w:val="0"/>
      <w:marRight w:val="0"/>
      <w:marTop w:val="0"/>
      <w:marBottom w:val="0"/>
      <w:divBdr>
        <w:top w:val="none" w:sz="0" w:space="0" w:color="auto"/>
        <w:left w:val="none" w:sz="0" w:space="0" w:color="auto"/>
        <w:bottom w:val="none" w:sz="0" w:space="0" w:color="auto"/>
        <w:right w:val="none" w:sz="0" w:space="0" w:color="auto"/>
      </w:divBdr>
    </w:div>
    <w:div w:id="226956933">
      <w:bodyDiv w:val="1"/>
      <w:marLeft w:val="0"/>
      <w:marRight w:val="0"/>
      <w:marTop w:val="0"/>
      <w:marBottom w:val="0"/>
      <w:divBdr>
        <w:top w:val="none" w:sz="0" w:space="0" w:color="auto"/>
        <w:left w:val="none" w:sz="0" w:space="0" w:color="auto"/>
        <w:bottom w:val="none" w:sz="0" w:space="0" w:color="auto"/>
        <w:right w:val="none" w:sz="0" w:space="0" w:color="auto"/>
      </w:divBdr>
    </w:div>
    <w:div w:id="226962196">
      <w:bodyDiv w:val="1"/>
      <w:marLeft w:val="0"/>
      <w:marRight w:val="0"/>
      <w:marTop w:val="0"/>
      <w:marBottom w:val="0"/>
      <w:divBdr>
        <w:top w:val="none" w:sz="0" w:space="0" w:color="auto"/>
        <w:left w:val="none" w:sz="0" w:space="0" w:color="auto"/>
        <w:bottom w:val="none" w:sz="0" w:space="0" w:color="auto"/>
        <w:right w:val="none" w:sz="0" w:space="0" w:color="auto"/>
      </w:divBdr>
    </w:div>
    <w:div w:id="227112013">
      <w:bodyDiv w:val="1"/>
      <w:marLeft w:val="0"/>
      <w:marRight w:val="0"/>
      <w:marTop w:val="0"/>
      <w:marBottom w:val="0"/>
      <w:divBdr>
        <w:top w:val="none" w:sz="0" w:space="0" w:color="auto"/>
        <w:left w:val="none" w:sz="0" w:space="0" w:color="auto"/>
        <w:bottom w:val="none" w:sz="0" w:space="0" w:color="auto"/>
        <w:right w:val="none" w:sz="0" w:space="0" w:color="auto"/>
      </w:divBdr>
    </w:div>
    <w:div w:id="227114043">
      <w:bodyDiv w:val="1"/>
      <w:marLeft w:val="0"/>
      <w:marRight w:val="0"/>
      <w:marTop w:val="0"/>
      <w:marBottom w:val="0"/>
      <w:divBdr>
        <w:top w:val="none" w:sz="0" w:space="0" w:color="auto"/>
        <w:left w:val="none" w:sz="0" w:space="0" w:color="auto"/>
        <w:bottom w:val="none" w:sz="0" w:space="0" w:color="auto"/>
        <w:right w:val="none" w:sz="0" w:space="0" w:color="auto"/>
      </w:divBdr>
    </w:div>
    <w:div w:id="227422449">
      <w:bodyDiv w:val="1"/>
      <w:marLeft w:val="0"/>
      <w:marRight w:val="0"/>
      <w:marTop w:val="0"/>
      <w:marBottom w:val="0"/>
      <w:divBdr>
        <w:top w:val="none" w:sz="0" w:space="0" w:color="auto"/>
        <w:left w:val="none" w:sz="0" w:space="0" w:color="auto"/>
        <w:bottom w:val="none" w:sz="0" w:space="0" w:color="auto"/>
        <w:right w:val="none" w:sz="0" w:space="0" w:color="auto"/>
      </w:divBdr>
    </w:div>
    <w:div w:id="227497941">
      <w:bodyDiv w:val="1"/>
      <w:marLeft w:val="0"/>
      <w:marRight w:val="0"/>
      <w:marTop w:val="0"/>
      <w:marBottom w:val="0"/>
      <w:divBdr>
        <w:top w:val="none" w:sz="0" w:space="0" w:color="auto"/>
        <w:left w:val="none" w:sz="0" w:space="0" w:color="auto"/>
        <w:bottom w:val="none" w:sz="0" w:space="0" w:color="auto"/>
        <w:right w:val="none" w:sz="0" w:space="0" w:color="auto"/>
      </w:divBdr>
    </w:div>
    <w:div w:id="227766329">
      <w:bodyDiv w:val="1"/>
      <w:marLeft w:val="0"/>
      <w:marRight w:val="0"/>
      <w:marTop w:val="0"/>
      <w:marBottom w:val="0"/>
      <w:divBdr>
        <w:top w:val="none" w:sz="0" w:space="0" w:color="auto"/>
        <w:left w:val="none" w:sz="0" w:space="0" w:color="auto"/>
        <w:bottom w:val="none" w:sz="0" w:space="0" w:color="auto"/>
        <w:right w:val="none" w:sz="0" w:space="0" w:color="auto"/>
      </w:divBdr>
    </w:div>
    <w:div w:id="227813905">
      <w:bodyDiv w:val="1"/>
      <w:marLeft w:val="0"/>
      <w:marRight w:val="0"/>
      <w:marTop w:val="0"/>
      <w:marBottom w:val="0"/>
      <w:divBdr>
        <w:top w:val="none" w:sz="0" w:space="0" w:color="auto"/>
        <w:left w:val="none" w:sz="0" w:space="0" w:color="auto"/>
        <w:bottom w:val="none" w:sz="0" w:space="0" w:color="auto"/>
        <w:right w:val="none" w:sz="0" w:space="0" w:color="auto"/>
      </w:divBdr>
    </w:div>
    <w:div w:id="228002932">
      <w:bodyDiv w:val="1"/>
      <w:marLeft w:val="0"/>
      <w:marRight w:val="0"/>
      <w:marTop w:val="0"/>
      <w:marBottom w:val="0"/>
      <w:divBdr>
        <w:top w:val="none" w:sz="0" w:space="0" w:color="auto"/>
        <w:left w:val="none" w:sz="0" w:space="0" w:color="auto"/>
        <w:bottom w:val="none" w:sz="0" w:space="0" w:color="auto"/>
        <w:right w:val="none" w:sz="0" w:space="0" w:color="auto"/>
      </w:divBdr>
    </w:div>
    <w:div w:id="228079865">
      <w:bodyDiv w:val="1"/>
      <w:marLeft w:val="0"/>
      <w:marRight w:val="0"/>
      <w:marTop w:val="0"/>
      <w:marBottom w:val="0"/>
      <w:divBdr>
        <w:top w:val="none" w:sz="0" w:space="0" w:color="auto"/>
        <w:left w:val="none" w:sz="0" w:space="0" w:color="auto"/>
        <w:bottom w:val="none" w:sz="0" w:space="0" w:color="auto"/>
        <w:right w:val="none" w:sz="0" w:space="0" w:color="auto"/>
      </w:divBdr>
    </w:div>
    <w:div w:id="228149652">
      <w:bodyDiv w:val="1"/>
      <w:marLeft w:val="0"/>
      <w:marRight w:val="0"/>
      <w:marTop w:val="0"/>
      <w:marBottom w:val="0"/>
      <w:divBdr>
        <w:top w:val="none" w:sz="0" w:space="0" w:color="auto"/>
        <w:left w:val="none" w:sz="0" w:space="0" w:color="auto"/>
        <w:bottom w:val="none" w:sz="0" w:space="0" w:color="auto"/>
        <w:right w:val="none" w:sz="0" w:space="0" w:color="auto"/>
      </w:divBdr>
    </w:div>
    <w:div w:id="228267187">
      <w:bodyDiv w:val="1"/>
      <w:marLeft w:val="0"/>
      <w:marRight w:val="0"/>
      <w:marTop w:val="0"/>
      <w:marBottom w:val="0"/>
      <w:divBdr>
        <w:top w:val="none" w:sz="0" w:space="0" w:color="auto"/>
        <w:left w:val="none" w:sz="0" w:space="0" w:color="auto"/>
        <w:bottom w:val="none" w:sz="0" w:space="0" w:color="auto"/>
        <w:right w:val="none" w:sz="0" w:space="0" w:color="auto"/>
      </w:divBdr>
    </w:div>
    <w:div w:id="228267303">
      <w:bodyDiv w:val="1"/>
      <w:marLeft w:val="0"/>
      <w:marRight w:val="0"/>
      <w:marTop w:val="0"/>
      <w:marBottom w:val="0"/>
      <w:divBdr>
        <w:top w:val="none" w:sz="0" w:space="0" w:color="auto"/>
        <w:left w:val="none" w:sz="0" w:space="0" w:color="auto"/>
        <w:bottom w:val="none" w:sz="0" w:space="0" w:color="auto"/>
        <w:right w:val="none" w:sz="0" w:space="0" w:color="auto"/>
      </w:divBdr>
    </w:div>
    <w:div w:id="228342290">
      <w:bodyDiv w:val="1"/>
      <w:marLeft w:val="0"/>
      <w:marRight w:val="0"/>
      <w:marTop w:val="0"/>
      <w:marBottom w:val="0"/>
      <w:divBdr>
        <w:top w:val="none" w:sz="0" w:space="0" w:color="auto"/>
        <w:left w:val="none" w:sz="0" w:space="0" w:color="auto"/>
        <w:bottom w:val="none" w:sz="0" w:space="0" w:color="auto"/>
        <w:right w:val="none" w:sz="0" w:space="0" w:color="auto"/>
      </w:divBdr>
    </w:div>
    <w:div w:id="228661536">
      <w:bodyDiv w:val="1"/>
      <w:marLeft w:val="0"/>
      <w:marRight w:val="0"/>
      <w:marTop w:val="0"/>
      <w:marBottom w:val="0"/>
      <w:divBdr>
        <w:top w:val="none" w:sz="0" w:space="0" w:color="auto"/>
        <w:left w:val="none" w:sz="0" w:space="0" w:color="auto"/>
        <w:bottom w:val="none" w:sz="0" w:space="0" w:color="auto"/>
        <w:right w:val="none" w:sz="0" w:space="0" w:color="auto"/>
      </w:divBdr>
    </w:div>
    <w:div w:id="228805988">
      <w:bodyDiv w:val="1"/>
      <w:marLeft w:val="0"/>
      <w:marRight w:val="0"/>
      <w:marTop w:val="0"/>
      <w:marBottom w:val="0"/>
      <w:divBdr>
        <w:top w:val="none" w:sz="0" w:space="0" w:color="auto"/>
        <w:left w:val="none" w:sz="0" w:space="0" w:color="auto"/>
        <w:bottom w:val="none" w:sz="0" w:space="0" w:color="auto"/>
        <w:right w:val="none" w:sz="0" w:space="0" w:color="auto"/>
      </w:divBdr>
    </w:div>
    <w:div w:id="228812757">
      <w:bodyDiv w:val="1"/>
      <w:marLeft w:val="0"/>
      <w:marRight w:val="0"/>
      <w:marTop w:val="0"/>
      <w:marBottom w:val="0"/>
      <w:divBdr>
        <w:top w:val="none" w:sz="0" w:space="0" w:color="auto"/>
        <w:left w:val="none" w:sz="0" w:space="0" w:color="auto"/>
        <w:bottom w:val="none" w:sz="0" w:space="0" w:color="auto"/>
        <w:right w:val="none" w:sz="0" w:space="0" w:color="auto"/>
      </w:divBdr>
    </w:div>
    <w:div w:id="229048587">
      <w:bodyDiv w:val="1"/>
      <w:marLeft w:val="0"/>
      <w:marRight w:val="0"/>
      <w:marTop w:val="0"/>
      <w:marBottom w:val="0"/>
      <w:divBdr>
        <w:top w:val="none" w:sz="0" w:space="0" w:color="auto"/>
        <w:left w:val="none" w:sz="0" w:space="0" w:color="auto"/>
        <w:bottom w:val="none" w:sz="0" w:space="0" w:color="auto"/>
        <w:right w:val="none" w:sz="0" w:space="0" w:color="auto"/>
      </w:divBdr>
    </w:div>
    <w:div w:id="229077056">
      <w:bodyDiv w:val="1"/>
      <w:marLeft w:val="0"/>
      <w:marRight w:val="0"/>
      <w:marTop w:val="0"/>
      <w:marBottom w:val="0"/>
      <w:divBdr>
        <w:top w:val="none" w:sz="0" w:space="0" w:color="auto"/>
        <w:left w:val="none" w:sz="0" w:space="0" w:color="auto"/>
        <w:bottom w:val="none" w:sz="0" w:space="0" w:color="auto"/>
        <w:right w:val="none" w:sz="0" w:space="0" w:color="auto"/>
      </w:divBdr>
    </w:div>
    <w:div w:id="229080130">
      <w:bodyDiv w:val="1"/>
      <w:marLeft w:val="0"/>
      <w:marRight w:val="0"/>
      <w:marTop w:val="0"/>
      <w:marBottom w:val="0"/>
      <w:divBdr>
        <w:top w:val="none" w:sz="0" w:space="0" w:color="auto"/>
        <w:left w:val="none" w:sz="0" w:space="0" w:color="auto"/>
        <w:bottom w:val="none" w:sz="0" w:space="0" w:color="auto"/>
        <w:right w:val="none" w:sz="0" w:space="0" w:color="auto"/>
      </w:divBdr>
    </w:div>
    <w:div w:id="229120689">
      <w:bodyDiv w:val="1"/>
      <w:marLeft w:val="0"/>
      <w:marRight w:val="0"/>
      <w:marTop w:val="0"/>
      <w:marBottom w:val="0"/>
      <w:divBdr>
        <w:top w:val="none" w:sz="0" w:space="0" w:color="auto"/>
        <w:left w:val="none" w:sz="0" w:space="0" w:color="auto"/>
        <w:bottom w:val="none" w:sz="0" w:space="0" w:color="auto"/>
        <w:right w:val="none" w:sz="0" w:space="0" w:color="auto"/>
      </w:divBdr>
    </w:div>
    <w:div w:id="229271012">
      <w:bodyDiv w:val="1"/>
      <w:marLeft w:val="0"/>
      <w:marRight w:val="0"/>
      <w:marTop w:val="0"/>
      <w:marBottom w:val="0"/>
      <w:divBdr>
        <w:top w:val="none" w:sz="0" w:space="0" w:color="auto"/>
        <w:left w:val="none" w:sz="0" w:space="0" w:color="auto"/>
        <w:bottom w:val="none" w:sz="0" w:space="0" w:color="auto"/>
        <w:right w:val="none" w:sz="0" w:space="0" w:color="auto"/>
      </w:divBdr>
    </w:div>
    <w:div w:id="229772029">
      <w:bodyDiv w:val="1"/>
      <w:marLeft w:val="0"/>
      <w:marRight w:val="0"/>
      <w:marTop w:val="0"/>
      <w:marBottom w:val="0"/>
      <w:divBdr>
        <w:top w:val="none" w:sz="0" w:space="0" w:color="auto"/>
        <w:left w:val="none" w:sz="0" w:space="0" w:color="auto"/>
        <w:bottom w:val="none" w:sz="0" w:space="0" w:color="auto"/>
        <w:right w:val="none" w:sz="0" w:space="0" w:color="auto"/>
      </w:divBdr>
    </w:div>
    <w:div w:id="229779841">
      <w:bodyDiv w:val="1"/>
      <w:marLeft w:val="0"/>
      <w:marRight w:val="0"/>
      <w:marTop w:val="0"/>
      <w:marBottom w:val="0"/>
      <w:divBdr>
        <w:top w:val="none" w:sz="0" w:space="0" w:color="auto"/>
        <w:left w:val="none" w:sz="0" w:space="0" w:color="auto"/>
        <w:bottom w:val="none" w:sz="0" w:space="0" w:color="auto"/>
        <w:right w:val="none" w:sz="0" w:space="0" w:color="auto"/>
      </w:divBdr>
    </w:div>
    <w:div w:id="229967892">
      <w:bodyDiv w:val="1"/>
      <w:marLeft w:val="0"/>
      <w:marRight w:val="0"/>
      <w:marTop w:val="0"/>
      <w:marBottom w:val="0"/>
      <w:divBdr>
        <w:top w:val="none" w:sz="0" w:space="0" w:color="auto"/>
        <w:left w:val="none" w:sz="0" w:space="0" w:color="auto"/>
        <w:bottom w:val="none" w:sz="0" w:space="0" w:color="auto"/>
        <w:right w:val="none" w:sz="0" w:space="0" w:color="auto"/>
      </w:divBdr>
    </w:div>
    <w:div w:id="230165307">
      <w:bodyDiv w:val="1"/>
      <w:marLeft w:val="0"/>
      <w:marRight w:val="0"/>
      <w:marTop w:val="0"/>
      <w:marBottom w:val="0"/>
      <w:divBdr>
        <w:top w:val="none" w:sz="0" w:space="0" w:color="auto"/>
        <w:left w:val="none" w:sz="0" w:space="0" w:color="auto"/>
        <w:bottom w:val="none" w:sz="0" w:space="0" w:color="auto"/>
        <w:right w:val="none" w:sz="0" w:space="0" w:color="auto"/>
      </w:divBdr>
    </w:div>
    <w:div w:id="230192820">
      <w:bodyDiv w:val="1"/>
      <w:marLeft w:val="0"/>
      <w:marRight w:val="0"/>
      <w:marTop w:val="0"/>
      <w:marBottom w:val="0"/>
      <w:divBdr>
        <w:top w:val="none" w:sz="0" w:space="0" w:color="auto"/>
        <w:left w:val="none" w:sz="0" w:space="0" w:color="auto"/>
        <w:bottom w:val="none" w:sz="0" w:space="0" w:color="auto"/>
        <w:right w:val="none" w:sz="0" w:space="0" w:color="auto"/>
      </w:divBdr>
    </w:div>
    <w:div w:id="230508931">
      <w:bodyDiv w:val="1"/>
      <w:marLeft w:val="0"/>
      <w:marRight w:val="0"/>
      <w:marTop w:val="0"/>
      <w:marBottom w:val="0"/>
      <w:divBdr>
        <w:top w:val="none" w:sz="0" w:space="0" w:color="auto"/>
        <w:left w:val="none" w:sz="0" w:space="0" w:color="auto"/>
        <w:bottom w:val="none" w:sz="0" w:space="0" w:color="auto"/>
        <w:right w:val="none" w:sz="0" w:space="0" w:color="auto"/>
      </w:divBdr>
    </w:div>
    <w:div w:id="230846491">
      <w:bodyDiv w:val="1"/>
      <w:marLeft w:val="0"/>
      <w:marRight w:val="0"/>
      <w:marTop w:val="0"/>
      <w:marBottom w:val="0"/>
      <w:divBdr>
        <w:top w:val="none" w:sz="0" w:space="0" w:color="auto"/>
        <w:left w:val="none" w:sz="0" w:space="0" w:color="auto"/>
        <w:bottom w:val="none" w:sz="0" w:space="0" w:color="auto"/>
        <w:right w:val="none" w:sz="0" w:space="0" w:color="auto"/>
      </w:divBdr>
    </w:div>
    <w:div w:id="230850443">
      <w:bodyDiv w:val="1"/>
      <w:marLeft w:val="0"/>
      <w:marRight w:val="0"/>
      <w:marTop w:val="0"/>
      <w:marBottom w:val="0"/>
      <w:divBdr>
        <w:top w:val="none" w:sz="0" w:space="0" w:color="auto"/>
        <w:left w:val="none" w:sz="0" w:space="0" w:color="auto"/>
        <w:bottom w:val="none" w:sz="0" w:space="0" w:color="auto"/>
        <w:right w:val="none" w:sz="0" w:space="0" w:color="auto"/>
      </w:divBdr>
    </w:div>
    <w:div w:id="230888686">
      <w:bodyDiv w:val="1"/>
      <w:marLeft w:val="0"/>
      <w:marRight w:val="0"/>
      <w:marTop w:val="0"/>
      <w:marBottom w:val="0"/>
      <w:divBdr>
        <w:top w:val="none" w:sz="0" w:space="0" w:color="auto"/>
        <w:left w:val="none" w:sz="0" w:space="0" w:color="auto"/>
        <w:bottom w:val="none" w:sz="0" w:space="0" w:color="auto"/>
        <w:right w:val="none" w:sz="0" w:space="0" w:color="auto"/>
      </w:divBdr>
    </w:div>
    <w:div w:id="231040811">
      <w:bodyDiv w:val="1"/>
      <w:marLeft w:val="0"/>
      <w:marRight w:val="0"/>
      <w:marTop w:val="0"/>
      <w:marBottom w:val="0"/>
      <w:divBdr>
        <w:top w:val="none" w:sz="0" w:space="0" w:color="auto"/>
        <w:left w:val="none" w:sz="0" w:space="0" w:color="auto"/>
        <w:bottom w:val="none" w:sz="0" w:space="0" w:color="auto"/>
        <w:right w:val="none" w:sz="0" w:space="0" w:color="auto"/>
      </w:divBdr>
    </w:div>
    <w:div w:id="231084652">
      <w:bodyDiv w:val="1"/>
      <w:marLeft w:val="0"/>
      <w:marRight w:val="0"/>
      <w:marTop w:val="0"/>
      <w:marBottom w:val="0"/>
      <w:divBdr>
        <w:top w:val="none" w:sz="0" w:space="0" w:color="auto"/>
        <w:left w:val="none" w:sz="0" w:space="0" w:color="auto"/>
        <w:bottom w:val="none" w:sz="0" w:space="0" w:color="auto"/>
        <w:right w:val="none" w:sz="0" w:space="0" w:color="auto"/>
      </w:divBdr>
    </w:div>
    <w:div w:id="231165545">
      <w:bodyDiv w:val="1"/>
      <w:marLeft w:val="0"/>
      <w:marRight w:val="0"/>
      <w:marTop w:val="0"/>
      <w:marBottom w:val="0"/>
      <w:divBdr>
        <w:top w:val="none" w:sz="0" w:space="0" w:color="auto"/>
        <w:left w:val="none" w:sz="0" w:space="0" w:color="auto"/>
        <w:bottom w:val="none" w:sz="0" w:space="0" w:color="auto"/>
        <w:right w:val="none" w:sz="0" w:space="0" w:color="auto"/>
      </w:divBdr>
    </w:div>
    <w:div w:id="231276976">
      <w:bodyDiv w:val="1"/>
      <w:marLeft w:val="0"/>
      <w:marRight w:val="0"/>
      <w:marTop w:val="0"/>
      <w:marBottom w:val="0"/>
      <w:divBdr>
        <w:top w:val="none" w:sz="0" w:space="0" w:color="auto"/>
        <w:left w:val="none" w:sz="0" w:space="0" w:color="auto"/>
        <w:bottom w:val="none" w:sz="0" w:space="0" w:color="auto"/>
        <w:right w:val="none" w:sz="0" w:space="0" w:color="auto"/>
      </w:divBdr>
    </w:div>
    <w:div w:id="231277609">
      <w:bodyDiv w:val="1"/>
      <w:marLeft w:val="0"/>
      <w:marRight w:val="0"/>
      <w:marTop w:val="0"/>
      <w:marBottom w:val="0"/>
      <w:divBdr>
        <w:top w:val="none" w:sz="0" w:space="0" w:color="auto"/>
        <w:left w:val="none" w:sz="0" w:space="0" w:color="auto"/>
        <w:bottom w:val="none" w:sz="0" w:space="0" w:color="auto"/>
        <w:right w:val="none" w:sz="0" w:space="0" w:color="auto"/>
      </w:divBdr>
    </w:div>
    <w:div w:id="231309052">
      <w:bodyDiv w:val="1"/>
      <w:marLeft w:val="0"/>
      <w:marRight w:val="0"/>
      <w:marTop w:val="0"/>
      <w:marBottom w:val="0"/>
      <w:divBdr>
        <w:top w:val="none" w:sz="0" w:space="0" w:color="auto"/>
        <w:left w:val="none" w:sz="0" w:space="0" w:color="auto"/>
        <w:bottom w:val="none" w:sz="0" w:space="0" w:color="auto"/>
        <w:right w:val="none" w:sz="0" w:space="0" w:color="auto"/>
      </w:divBdr>
    </w:div>
    <w:div w:id="231353066">
      <w:bodyDiv w:val="1"/>
      <w:marLeft w:val="0"/>
      <w:marRight w:val="0"/>
      <w:marTop w:val="0"/>
      <w:marBottom w:val="0"/>
      <w:divBdr>
        <w:top w:val="none" w:sz="0" w:space="0" w:color="auto"/>
        <w:left w:val="none" w:sz="0" w:space="0" w:color="auto"/>
        <w:bottom w:val="none" w:sz="0" w:space="0" w:color="auto"/>
        <w:right w:val="none" w:sz="0" w:space="0" w:color="auto"/>
      </w:divBdr>
    </w:div>
    <w:div w:id="231474919">
      <w:bodyDiv w:val="1"/>
      <w:marLeft w:val="0"/>
      <w:marRight w:val="0"/>
      <w:marTop w:val="0"/>
      <w:marBottom w:val="0"/>
      <w:divBdr>
        <w:top w:val="none" w:sz="0" w:space="0" w:color="auto"/>
        <w:left w:val="none" w:sz="0" w:space="0" w:color="auto"/>
        <w:bottom w:val="none" w:sz="0" w:space="0" w:color="auto"/>
        <w:right w:val="none" w:sz="0" w:space="0" w:color="auto"/>
      </w:divBdr>
    </w:div>
    <w:div w:id="231542978">
      <w:bodyDiv w:val="1"/>
      <w:marLeft w:val="0"/>
      <w:marRight w:val="0"/>
      <w:marTop w:val="0"/>
      <w:marBottom w:val="0"/>
      <w:divBdr>
        <w:top w:val="none" w:sz="0" w:space="0" w:color="auto"/>
        <w:left w:val="none" w:sz="0" w:space="0" w:color="auto"/>
        <w:bottom w:val="none" w:sz="0" w:space="0" w:color="auto"/>
        <w:right w:val="none" w:sz="0" w:space="0" w:color="auto"/>
      </w:divBdr>
    </w:div>
    <w:div w:id="231745101">
      <w:bodyDiv w:val="1"/>
      <w:marLeft w:val="0"/>
      <w:marRight w:val="0"/>
      <w:marTop w:val="0"/>
      <w:marBottom w:val="0"/>
      <w:divBdr>
        <w:top w:val="none" w:sz="0" w:space="0" w:color="auto"/>
        <w:left w:val="none" w:sz="0" w:space="0" w:color="auto"/>
        <w:bottom w:val="none" w:sz="0" w:space="0" w:color="auto"/>
        <w:right w:val="none" w:sz="0" w:space="0" w:color="auto"/>
      </w:divBdr>
    </w:div>
    <w:div w:id="231745191">
      <w:bodyDiv w:val="1"/>
      <w:marLeft w:val="0"/>
      <w:marRight w:val="0"/>
      <w:marTop w:val="0"/>
      <w:marBottom w:val="0"/>
      <w:divBdr>
        <w:top w:val="none" w:sz="0" w:space="0" w:color="auto"/>
        <w:left w:val="none" w:sz="0" w:space="0" w:color="auto"/>
        <w:bottom w:val="none" w:sz="0" w:space="0" w:color="auto"/>
        <w:right w:val="none" w:sz="0" w:space="0" w:color="auto"/>
      </w:divBdr>
    </w:div>
    <w:div w:id="231819928">
      <w:bodyDiv w:val="1"/>
      <w:marLeft w:val="0"/>
      <w:marRight w:val="0"/>
      <w:marTop w:val="0"/>
      <w:marBottom w:val="0"/>
      <w:divBdr>
        <w:top w:val="none" w:sz="0" w:space="0" w:color="auto"/>
        <w:left w:val="none" w:sz="0" w:space="0" w:color="auto"/>
        <w:bottom w:val="none" w:sz="0" w:space="0" w:color="auto"/>
        <w:right w:val="none" w:sz="0" w:space="0" w:color="auto"/>
      </w:divBdr>
    </w:div>
    <w:div w:id="231886993">
      <w:bodyDiv w:val="1"/>
      <w:marLeft w:val="0"/>
      <w:marRight w:val="0"/>
      <w:marTop w:val="0"/>
      <w:marBottom w:val="0"/>
      <w:divBdr>
        <w:top w:val="none" w:sz="0" w:space="0" w:color="auto"/>
        <w:left w:val="none" w:sz="0" w:space="0" w:color="auto"/>
        <w:bottom w:val="none" w:sz="0" w:space="0" w:color="auto"/>
        <w:right w:val="none" w:sz="0" w:space="0" w:color="auto"/>
      </w:divBdr>
    </w:div>
    <w:div w:id="231933186">
      <w:bodyDiv w:val="1"/>
      <w:marLeft w:val="0"/>
      <w:marRight w:val="0"/>
      <w:marTop w:val="0"/>
      <w:marBottom w:val="0"/>
      <w:divBdr>
        <w:top w:val="none" w:sz="0" w:space="0" w:color="auto"/>
        <w:left w:val="none" w:sz="0" w:space="0" w:color="auto"/>
        <w:bottom w:val="none" w:sz="0" w:space="0" w:color="auto"/>
        <w:right w:val="none" w:sz="0" w:space="0" w:color="auto"/>
      </w:divBdr>
    </w:div>
    <w:div w:id="231933902">
      <w:bodyDiv w:val="1"/>
      <w:marLeft w:val="0"/>
      <w:marRight w:val="0"/>
      <w:marTop w:val="0"/>
      <w:marBottom w:val="0"/>
      <w:divBdr>
        <w:top w:val="none" w:sz="0" w:space="0" w:color="auto"/>
        <w:left w:val="none" w:sz="0" w:space="0" w:color="auto"/>
        <w:bottom w:val="none" w:sz="0" w:space="0" w:color="auto"/>
        <w:right w:val="none" w:sz="0" w:space="0" w:color="auto"/>
      </w:divBdr>
    </w:div>
    <w:div w:id="231937164">
      <w:bodyDiv w:val="1"/>
      <w:marLeft w:val="0"/>
      <w:marRight w:val="0"/>
      <w:marTop w:val="0"/>
      <w:marBottom w:val="0"/>
      <w:divBdr>
        <w:top w:val="none" w:sz="0" w:space="0" w:color="auto"/>
        <w:left w:val="none" w:sz="0" w:space="0" w:color="auto"/>
        <w:bottom w:val="none" w:sz="0" w:space="0" w:color="auto"/>
        <w:right w:val="none" w:sz="0" w:space="0" w:color="auto"/>
      </w:divBdr>
    </w:div>
    <w:div w:id="232155868">
      <w:bodyDiv w:val="1"/>
      <w:marLeft w:val="0"/>
      <w:marRight w:val="0"/>
      <w:marTop w:val="0"/>
      <w:marBottom w:val="0"/>
      <w:divBdr>
        <w:top w:val="none" w:sz="0" w:space="0" w:color="auto"/>
        <w:left w:val="none" w:sz="0" w:space="0" w:color="auto"/>
        <w:bottom w:val="none" w:sz="0" w:space="0" w:color="auto"/>
        <w:right w:val="none" w:sz="0" w:space="0" w:color="auto"/>
      </w:divBdr>
    </w:div>
    <w:div w:id="232392312">
      <w:bodyDiv w:val="1"/>
      <w:marLeft w:val="0"/>
      <w:marRight w:val="0"/>
      <w:marTop w:val="0"/>
      <w:marBottom w:val="0"/>
      <w:divBdr>
        <w:top w:val="none" w:sz="0" w:space="0" w:color="auto"/>
        <w:left w:val="none" w:sz="0" w:space="0" w:color="auto"/>
        <w:bottom w:val="none" w:sz="0" w:space="0" w:color="auto"/>
        <w:right w:val="none" w:sz="0" w:space="0" w:color="auto"/>
      </w:divBdr>
    </w:div>
    <w:div w:id="232543075">
      <w:bodyDiv w:val="1"/>
      <w:marLeft w:val="0"/>
      <w:marRight w:val="0"/>
      <w:marTop w:val="0"/>
      <w:marBottom w:val="0"/>
      <w:divBdr>
        <w:top w:val="none" w:sz="0" w:space="0" w:color="auto"/>
        <w:left w:val="none" w:sz="0" w:space="0" w:color="auto"/>
        <w:bottom w:val="none" w:sz="0" w:space="0" w:color="auto"/>
        <w:right w:val="none" w:sz="0" w:space="0" w:color="auto"/>
      </w:divBdr>
    </w:div>
    <w:div w:id="232738369">
      <w:bodyDiv w:val="1"/>
      <w:marLeft w:val="0"/>
      <w:marRight w:val="0"/>
      <w:marTop w:val="0"/>
      <w:marBottom w:val="0"/>
      <w:divBdr>
        <w:top w:val="none" w:sz="0" w:space="0" w:color="auto"/>
        <w:left w:val="none" w:sz="0" w:space="0" w:color="auto"/>
        <w:bottom w:val="none" w:sz="0" w:space="0" w:color="auto"/>
        <w:right w:val="none" w:sz="0" w:space="0" w:color="auto"/>
      </w:divBdr>
    </w:div>
    <w:div w:id="232813149">
      <w:bodyDiv w:val="1"/>
      <w:marLeft w:val="0"/>
      <w:marRight w:val="0"/>
      <w:marTop w:val="0"/>
      <w:marBottom w:val="0"/>
      <w:divBdr>
        <w:top w:val="none" w:sz="0" w:space="0" w:color="auto"/>
        <w:left w:val="none" w:sz="0" w:space="0" w:color="auto"/>
        <w:bottom w:val="none" w:sz="0" w:space="0" w:color="auto"/>
        <w:right w:val="none" w:sz="0" w:space="0" w:color="auto"/>
      </w:divBdr>
    </w:div>
    <w:div w:id="233010102">
      <w:bodyDiv w:val="1"/>
      <w:marLeft w:val="0"/>
      <w:marRight w:val="0"/>
      <w:marTop w:val="0"/>
      <w:marBottom w:val="0"/>
      <w:divBdr>
        <w:top w:val="none" w:sz="0" w:space="0" w:color="auto"/>
        <w:left w:val="none" w:sz="0" w:space="0" w:color="auto"/>
        <w:bottom w:val="none" w:sz="0" w:space="0" w:color="auto"/>
        <w:right w:val="none" w:sz="0" w:space="0" w:color="auto"/>
      </w:divBdr>
    </w:div>
    <w:div w:id="233012805">
      <w:bodyDiv w:val="1"/>
      <w:marLeft w:val="0"/>
      <w:marRight w:val="0"/>
      <w:marTop w:val="0"/>
      <w:marBottom w:val="0"/>
      <w:divBdr>
        <w:top w:val="none" w:sz="0" w:space="0" w:color="auto"/>
        <w:left w:val="none" w:sz="0" w:space="0" w:color="auto"/>
        <w:bottom w:val="none" w:sz="0" w:space="0" w:color="auto"/>
        <w:right w:val="none" w:sz="0" w:space="0" w:color="auto"/>
      </w:divBdr>
    </w:div>
    <w:div w:id="233394570">
      <w:bodyDiv w:val="1"/>
      <w:marLeft w:val="0"/>
      <w:marRight w:val="0"/>
      <w:marTop w:val="0"/>
      <w:marBottom w:val="0"/>
      <w:divBdr>
        <w:top w:val="none" w:sz="0" w:space="0" w:color="auto"/>
        <w:left w:val="none" w:sz="0" w:space="0" w:color="auto"/>
        <w:bottom w:val="none" w:sz="0" w:space="0" w:color="auto"/>
        <w:right w:val="none" w:sz="0" w:space="0" w:color="auto"/>
      </w:divBdr>
    </w:div>
    <w:div w:id="233662700">
      <w:bodyDiv w:val="1"/>
      <w:marLeft w:val="0"/>
      <w:marRight w:val="0"/>
      <w:marTop w:val="0"/>
      <w:marBottom w:val="0"/>
      <w:divBdr>
        <w:top w:val="none" w:sz="0" w:space="0" w:color="auto"/>
        <w:left w:val="none" w:sz="0" w:space="0" w:color="auto"/>
        <w:bottom w:val="none" w:sz="0" w:space="0" w:color="auto"/>
        <w:right w:val="none" w:sz="0" w:space="0" w:color="auto"/>
      </w:divBdr>
    </w:div>
    <w:div w:id="233706603">
      <w:bodyDiv w:val="1"/>
      <w:marLeft w:val="0"/>
      <w:marRight w:val="0"/>
      <w:marTop w:val="0"/>
      <w:marBottom w:val="0"/>
      <w:divBdr>
        <w:top w:val="none" w:sz="0" w:space="0" w:color="auto"/>
        <w:left w:val="none" w:sz="0" w:space="0" w:color="auto"/>
        <w:bottom w:val="none" w:sz="0" w:space="0" w:color="auto"/>
        <w:right w:val="none" w:sz="0" w:space="0" w:color="auto"/>
      </w:divBdr>
    </w:div>
    <w:div w:id="233780917">
      <w:bodyDiv w:val="1"/>
      <w:marLeft w:val="0"/>
      <w:marRight w:val="0"/>
      <w:marTop w:val="0"/>
      <w:marBottom w:val="0"/>
      <w:divBdr>
        <w:top w:val="none" w:sz="0" w:space="0" w:color="auto"/>
        <w:left w:val="none" w:sz="0" w:space="0" w:color="auto"/>
        <w:bottom w:val="none" w:sz="0" w:space="0" w:color="auto"/>
        <w:right w:val="none" w:sz="0" w:space="0" w:color="auto"/>
      </w:divBdr>
    </w:div>
    <w:div w:id="233973358">
      <w:bodyDiv w:val="1"/>
      <w:marLeft w:val="0"/>
      <w:marRight w:val="0"/>
      <w:marTop w:val="0"/>
      <w:marBottom w:val="0"/>
      <w:divBdr>
        <w:top w:val="none" w:sz="0" w:space="0" w:color="auto"/>
        <w:left w:val="none" w:sz="0" w:space="0" w:color="auto"/>
        <w:bottom w:val="none" w:sz="0" w:space="0" w:color="auto"/>
        <w:right w:val="none" w:sz="0" w:space="0" w:color="auto"/>
      </w:divBdr>
    </w:div>
    <w:div w:id="233975367">
      <w:bodyDiv w:val="1"/>
      <w:marLeft w:val="0"/>
      <w:marRight w:val="0"/>
      <w:marTop w:val="0"/>
      <w:marBottom w:val="0"/>
      <w:divBdr>
        <w:top w:val="none" w:sz="0" w:space="0" w:color="auto"/>
        <w:left w:val="none" w:sz="0" w:space="0" w:color="auto"/>
        <w:bottom w:val="none" w:sz="0" w:space="0" w:color="auto"/>
        <w:right w:val="none" w:sz="0" w:space="0" w:color="auto"/>
      </w:divBdr>
    </w:div>
    <w:div w:id="233978246">
      <w:bodyDiv w:val="1"/>
      <w:marLeft w:val="0"/>
      <w:marRight w:val="0"/>
      <w:marTop w:val="0"/>
      <w:marBottom w:val="0"/>
      <w:divBdr>
        <w:top w:val="none" w:sz="0" w:space="0" w:color="auto"/>
        <w:left w:val="none" w:sz="0" w:space="0" w:color="auto"/>
        <w:bottom w:val="none" w:sz="0" w:space="0" w:color="auto"/>
        <w:right w:val="none" w:sz="0" w:space="0" w:color="auto"/>
      </w:divBdr>
    </w:div>
    <w:div w:id="234048182">
      <w:bodyDiv w:val="1"/>
      <w:marLeft w:val="0"/>
      <w:marRight w:val="0"/>
      <w:marTop w:val="0"/>
      <w:marBottom w:val="0"/>
      <w:divBdr>
        <w:top w:val="none" w:sz="0" w:space="0" w:color="auto"/>
        <w:left w:val="none" w:sz="0" w:space="0" w:color="auto"/>
        <w:bottom w:val="none" w:sz="0" w:space="0" w:color="auto"/>
        <w:right w:val="none" w:sz="0" w:space="0" w:color="auto"/>
      </w:divBdr>
    </w:div>
    <w:div w:id="234246460">
      <w:bodyDiv w:val="1"/>
      <w:marLeft w:val="0"/>
      <w:marRight w:val="0"/>
      <w:marTop w:val="0"/>
      <w:marBottom w:val="0"/>
      <w:divBdr>
        <w:top w:val="none" w:sz="0" w:space="0" w:color="auto"/>
        <w:left w:val="none" w:sz="0" w:space="0" w:color="auto"/>
        <w:bottom w:val="none" w:sz="0" w:space="0" w:color="auto"/>
        <w:right w:val="none" w:sz="0" w:space="0" w:color="auto"/>
      </w:divBdr>
    </w:div>
    <w:div w:id="234247326">
      <w:bodyDiv w:val="1"/>
      <w:marLeft w:val="0"/>
      <w:marRight w:val="0"/>
      <w:marTop w:val="0"/>
      <w:marBottom w:val="0"/>
      <w:divBdr>
        <w:top w:val="none" w:sz="0" w:space="0" w:color="auto"/>
        <w:left w:val="none" w:sz="0" w:space="0" w:color="auto"/>
        <w:bottom w:val="none" w:sz="0" w:space="0" w:color="auto"/>
        <w:right w:val="none" w:sz="0" w:space="0" w:color="auto"/>
      </w:divBdr>
    </w:div>
    <w:div w:id="234433139">
      <w:bodyDiv w:val="1"/>
      <w:marLeft w:val="0"/>
      <w:marRight w:val="0"/>
      <w:marTop w:val="0"/>
      <w:marBottom w:val="0"/>
      <w:divBdr>
        <w:top w:val="none" w:sz="0" w:space="0" w:color="auto"/>
        <w:left w:val="none" w:sz="0" w:space="0" w:color="auto"/>
        <w:bottom w:val="none" w:sz="0" w:space="0" w:color="auto"/>
        <w:right w:val="none" w:sz="0" w:space="0" w:color="auto"/>
      </w:divBdr>
    </w:div>
    <w:div w:id="234439423">
      <w:bodyDiv w:val="1"/>
      <w:marLeft w:val="0"/>
      <w:marRight w:val="0"/>
      <w:marTop w:val="0"/>
      <w:marBottom w:val="0"/>
      <w:divBdr>
        <w:top w:val="none" w:sz="0" w:space="0" w:color="auto"/>
        <w:left w:val="none" w:sz="0" w:space="0" w:color="auto"/>
        <w:bottom w:val="none" w:sz="0" w:space="0" w:color="auto"/>
        <w:right w:val="none" w:sz="0" w:space="0" w:color="auto"/>
      </w:divBdr>
    </w:div>
    <w:div w:id="234514704">
      <w:bodyDiv w:val="1"/>
      <w:marLeft w:val="0"/>
      <w:marRight w:val="0"/>
      <w:marTop w:val="0"/>
      <w:marBottom w:val="0"/>
      <w:divBdr>
        <w:top w:val="none" w:sz="0" w:space="0" w:color="auto"/>
        <w:left w:val="none" w:sz="0" w:space="0" w:color="auto"/>
        <w:bottom w:val="none" w:sz="0" w:space="0" w:color="auto"/>
        <w:right w:val="none" w:sz="0" w:space="0" w:color="auto"/>
      </w:divBdr>
    </w:div>
    <w:div w:id="234515556">
      <w:bodyDiv w:val="1"/>
      <w:marLeft w:val="0"/>
      <w:marRight w:val="0"/>
      <w:marTop w:val="0"/>
      <w:marBottom w:val="0"/>
      <w:divBdr>
        <w:top w:val="none" w:sz="0" w:space="0" w:color="auto"/>
        <w:left w:val="none" w:sz="0" w:space="0" w:color="auto"/>
        <w:bottom w:val="none" w:sz="0" w:space="0" w:color="auto"/>
        <w:right w:val="none" w:sz="0" w:space="0" w:color="auto"/>
      </w:divBdr>
    </w:div>
    <w:div w:id="234704736">
      <w:bodyDiv w:val="1"/>
      <w:marLeft w:val="0"/>
      <w:marRight w:val="0"/>
      <w:marTop w:val="0"/>
      <w:marBottom w:val="0"/>
      <w:divBdr>
        <w:top w:val="none" w:sz="0" w:space="0" w:color="auto"/>
        <w:left w:val="none" w:sz="0" w:space="0" w:color="auto"/>
        <w:bottom w:val="none" w:sz="0" w:space="0" w:color="auto"/>
        <w:right w:val="none" w:sz="0" w:space="0" w:color="auto"/>
      </w:divBdr>
    </w:div>
    <w:div w:id="234706505">
      <w:bodyDiv w:val="1"/>
      <w:marLeft w:val="0"/>
      <w:marRight w:val="0"/>
      <w:marTop w:val="0"/>
      <w:marBottom w:val="0"/>
      <w:divBdr>
        <w:top w:val="none" w:sz="0" w:space="0" w:color="auto"/>
        <w:left w:val="none" w:sz="0" w:space="0" w:color="auto"/>
        <w:bottom w:val="none" w:sz="0" w:space="0" w:color="auto"/>
        <w:right w:val="none" w:sz="0" w:space="0" w:color="auto"/>
      </w:divBdr>
    </w:div>
    <w:div w:id="234779002">
      <w:bodyDiv w:val="1"/>
      <w:marLeft w:val="0"/>
      <w:marRight w:val="0"/>
      <w:marTop w:val="0"/>
      <w:marBottom w:val="0"/>
      <w:divBdr>
        <w:top w:val="none" w:sz="0" w:space="0" w:color="auto"/>
        <w:left w:val="none" w:sz="0" w:space="0" w:color="auto"/>
        <w:bottom w:val="none" w:sz="0" w:space="0" w:color="auto"/>
        <w:right w:val="none" w:sz="0" w:space="0" w:color="auto"/>
      </w:divBdr>
    </w:div>
    <w:div w:id="234779597">
      <w:bodyDiv w:val="1"/>
      <w:marLeft w:val="0"/>
      <w:marRight w:val="0"/>
      <w:marTop w:val="0"/>
      <w:marBottom w:val="0"/>
      <w:divBdr>
        <w:top w:val="none" w:sz="0" w:space="0" w:color="auto"/>
        <w:left w:val="none" w:sz="0" w:space="0" w:color="auto"/>
        <w:bottom w:val="none" w:sz="0" w:space="0" w:color="auto"/>
        <w:right w:val="none" w:sz="0" w:space="0" w:color="auto"/>
      </w:divBdr>
    </w:div>
    <w:div w:id="234900855">
      <w:bodyDiv w:val="1"/>
      <w:marLeft w:val="0"/>
      <w:marRight w:val="0"/>
      <w:marTop w:val="0"/>
      <w:marBottom w:val="0"/>
      <w:divBdr>
        <w:top w:val="none" w:sz="0" w:space="0" w:color="auto"/>
        <w:left w:val="none" w:sz="0" w:space="0" w:color="auto"/>
        <w:bottom w:val="none" w:sz="0" w:space="0" w:color="auto"/>
        <w:right w:val="none" w:sz="0" w:space="0" w:color="auto"/>
      </w:divBdr>
    </w:div>
    <w:div w:id="235018006">
      <w:bodyDiv w:val="1"/>
      <w:marLeft w:val="0"/>
      <w:marRight w:val="0"/>
      <w:marTop w:val="0"/>
      <w:marBottom w:val="0"/>
      <w:divBdr>
        <w:top w:val="none" w:sz="0" w:space="0" w:color="auto"/>
        <w:left w:val="none" w:sz="0" w:space="0" w:color="auto"/>
        <w:bottom w:val="none" w:sz="0" w:space="0" w:color="auto"/>
        <w:right w:val="none" w:sz="0" w:space="0" w:color="auto"/>
      </w:divBdr>
    </w:div>
    <w:div w:id="235210777">
      <w:bodyDiv w:val="1"/>
      <w:marLeft w:val="0"/>
      <w:marRight w:val="0"/>
      <w:marTop w:val="0"/>
      <w:marBottom w:val="0"/>
      <w:divBdr>
        <w:top w:val="none" w:sz="0" w:space="0" w:color="auto"/>
        <w:left w:val="none" w:sz="0" w:space="0" w:color="auto"/>
        <w:bottom w:val="none" w:sz="0" w:space="0" w:color="auto"/>
        <w:right w:val="none" w:sz="0" w:space="0" w:color="auto"/>
      </w:divBdr>
    </w:div>
    <w:div w:id="235283650">
      <w:bodyDiv w:val="1"/>
      <w:marLeft w:val="0"/>
      <w:marRight w:val="0"/>
      <w:marTop w:val="0"/>
      <w:marBottom w:val="0"/>
      <w:divBdr>
        <w:top w:val="none" w:sz="0" w:space="0" w:color="auto"/>
        <w:left w:val="none" w:sz="0" w:space="0" w:color="auto"/>
        <w:bottom w:val="none" w:sz="0" w:space="0" w:color="auto"/>
        <w:right w:val="none" w:sz="0" w:space="0" w:color="auto"/>
      </w:divBdr>
    </w:div>
    <w:div w:id="235628474">
      <w:bodyDiv w:val="1"/>
      <w:marLeft w:val="0"/>
      <w:marRight w:val="0"/>
      <w:marTop w:val="0"/>
      <w:marBottom w:val="0"/>
      <w:divBdr>
        <w:top w:val="none" w:sz="0" w:space="0" w:color="auto"/>
        <w:left w:val="none" w:sz="0" w:space="0" w:color="auto"/>
        <w:bottom w:val="none" w:sz="0" w:space="0" w:color="auto"/>
        <w:right w:val="none" w:sz="0" w:space="0" w:color="auto"/>
      </w:divBdr>
    </w:div>
    <w:div w:id="235676389">
      <w:bodyDiv w:val="1"/>
      <w:marLeft w:val="0"/>
      <w:marRight w:val="0"/>
      <w:marTop w:val="0"/>
      <w:marBottom w:val="0"/>
      <w:divBdr>
        <w:top w:val="none" w:sz="0" w:space="0" w:color="auto"/>
        <w:left w:val="none" w:sz="0" w:space="0" w:color="auto"/>
        <w:bottom w:val="none" w:sz="0" w:space="0" w:color="auto"/>
        <w:right w:val="none" w:sz="0" w:space="0" w:color="auto"/>
      </w:divBdr>
    </w:div>
    <w:div w:id="235942455">
      <w:bodyDiv w:val="1"/>
      <w:marLeft w:val="0"/>
      <w:marRight w:val="0"/>
      <w:marTop w:val="0"/>
      <w:marBottom w:val="0"/>
      <w:divBdr>
        <w:top w:val="none" w:sz="0" w:space="0" w:color="auto"/>
        <w:left w:val="none" w:sz="0" w:space="0" w:color="auto"/>
        <w:bottom w:val="none" w:sz="0" w:space="0" w:color="auto"/>
        <w:right w:val="none" w:sz="0" w:space="0" w:color="auto"/>
      </w:divBdr>
    </w:div>
    <w:div w:id="235943931">
      <w:bodyDiv w:val="1"/>
      <w:marLeft w:val="0"/>
      <w:marRight w:val="0"/>
      <w:marTop w:val="0"/>
      <w:marBottom w:val="0"/>
      <w:divBdr>
        <w:top w:val="none" w:sz="0" w:space="0" w:color="auto"/>
        <w:left w:val="none" w:sz="0" w:space="0" w:color="auto"/>
        <w:bottom w:val="none" w:sz="0" w:space="0" w:color="auto"/>
        <w:right w:val="none" w:sz="0" w:space="0" w:color="auto"/>
      </w:divBdr>
    </w:div>
    <w:div w:id="236012943">
      <w:bodyDiv w:val="1"/>
      <w:marLeft w:val="0"/>
      <w:marRight w:val="0"/>
      <w:marTop w:val="0"/>
      <w:marBottom w:val="0"/>
      <w:divBdr>
        <w:top w:val="none" w:sz="0" w:space="0" w:color="auto"/>
        <w:left w:val="none" w:sz="0" w:space="0" w:color="auto"/>
        <w:bottom w:val="none" w:sz="0" w:space="0" w:color="auto"/>
        <w:right w:val="none" w:sz="0" w:space="0" w:color="auto"/>
      </w:divBdr>
    </w:div>
    <w:div w:id="236016639">
      <w:bodyDiv w:val="1"/>
      <w:marLeft w:val="0"/>
      <w:marRight w:val="0"/>
      <w:marTop w:val="0"/>
      <w:marBottom w:val="0"/>
      <w:divBdr>
        <w:top w:val="none" w:sz="0" w:space="0" w:color="auto"/>
        <w:left w:val="none" w:sz="0" w:space="0" w:color="auto"/>
        <w:bottom w:val="none" w:sz="0" w:space="0" w:color="auto"/>
        <w:right w:val="none" w:sz="0" w:space="0" w:color="auto"/>
      </w:divBdr>
    </w:div>
    <w:div w:id="236092225">
      <w:bodyDiv w:val="1"/>
      <w:marLeft w:val="0"/>
      <w:marRight w:val="0"/>
      <w:marTop w:val="0"/>
      <w:marBottom w:val="0"/>
      <w:divBdr>
        <w:top w:val="none" w:sz="0" w:space="0" w:color="auto"/>
        <w:left w:val="none" w:sz="0" w:space="0" w:color="auto"/>
        <w:bottom w:val="none" w:sz="0" w:space="0" w:color="auto"/>
        <w:right w:val="none" w:sz="0" w:space="0" w:color="auto"/>
      </w:divBdr>
    </w:div>
    <w:div w:id="236288726">
      <w:bodyDiv w:val="1"/>
      <w:marLeft w:val="0"/>
      <w:marRight w:val="0"/>
      <w:marTop w:val="0"/>
      <w:marBottom w:val="0"/>
      <w:divBdr>
        <w:top w:val="none" w:sz="0" w:space="0" w:color="auto"/>
        <w:left w:val="none" w:sz="0" w:space="0" w:color="auto"/>
        <w:bottom w:val="none" w:sz="0" w:space="0" w:color="auto"/>
        <w:right w:val="none" w:sz="0" w:space="0" w:color="auto"/>
      </w:divBdr>
    </w:div>
    <w:div w:id="236327987">
      <w:bodyDiv w:val="1"/>
      <w:marLeft w:val="0"/>
      <w:marRight w:val="0"/>
      <w:marTop w:val="0"/>
      <w:marBottom w:val="0"/>
      <w:divBdr>
        <w:top w:val="none" w:sz="0" w:space="0" w:color="auto"/>
        <w:left w:val="none" w:sz="0" w:space="0" w:color="auto"/>
        <w:bottom w:val="none" w:sz="0" w:space="0" w:color="auto"/>
        <w:right w:val="none" w:sz="0" w:space="0" w:color="auto"/>
      </w:divBdr>
    </w:div>
    <w:div w:id="236329838">
      <w:bodyDiv w:val="1"/>
      <w:marLeft w:val="0"/>
      <w:marRight w:val="0"/>
      <w:marTop w:val="0"/>
      <w:marBottom w:val="0"/>
      <w:divBdr>
        <w:top w:val="none" w:sz="0" w:space="0" w:color="auto"/>
        <w:left w:val="none" w:sz="0" w:space="0" w:color="auto"/>
        <w:bottom w:val="none" w:sz="0" w:space="0" w:color="auto"/>
        <w:right w:val="none" w:sz="0" w:space="0" w:color="auto"/>
      </w:divBdr>
    </w:div>
    <w:div w:id="236476312">
      <w:bodyDiv w:val="1"/>
      <w:marLeft w:val="0"/>
      <w:marRight w:val="0"/>
      <w:marTop w:val="0"/>
      <w:marBottom w:val="0"/>
      <w:divBdr>
        <w:top w:val="none" w:sz="0" w:space="0" w:color="auto"/>
        <w:left w:val="none" w:sz="0" w:space="0" w:color="auto"/>
        <w:bottom w:val="none" w:sz="0" w:space="0" w:color="auto"/>
        <w:right w:val="none" w:sz="0" w:space="0" w:color="auto"/>
      </w:divBdr>
    </w:div>
    <w:div w:id="236787666">
      <w:bodyDiv w:val="1"/>
      <w:marLeft w:val="0"/>
      <w:marRight w:val="0"/>
      <w:marTop w:val="0"/>
      <w:marBottom w:val="0"/>
      <w:divBdr>
        <w:top w:val="none" w:sz="0" w:space="0" w:color="auto"/>
        <w:left w:val="none" w:sz="0" w:space="0" w:color="auto"/>
        <w:bottom w:val="none" w:sz="0" w:space="0" w:color="auto"/>
        <w:right w:val="none" w:sz="0" w:space="0" w:color="auto"/>
      </w:divBdr>
    </w:div>
    <w:div w:id="236793758">
      <w:bodyDiv w:val="1"/>
      <w:marLeft w:val="0"/>
      <w:marRight w:val="0"/>
      <w:marTop w:val="0"/>
      <w:marBottom w:val="0"/>
      <w:divBdr>
        <w:top w:val="none" w:sz="0" w:space="0" w:color="auto"/>
        <w:left w:val="none" w:sz="0" w:space="0" w:color="auto"/>
        <w:bottom w:val="none" w:sz="0" w:space="0" w:color="auto"/>
        <w:right w:val="none" w:sz="0" w:space="0" w:color="auto"/>
      </w:divBdr>
    </w:div>
    <w:div w:id="236794141">
      <w:bodyDiv w:val="1"/>
      <w:marLeft w:val="0"/>
      <w:marRight w:val="0"/>
      <w:marTop w:val="0"/>
      <w:marBottom w:val="0"/>
      <w:divBdr>
        <w:top w:val="none" w:sz="0" w:space="0" w:color="auto"/>
        <w:left w:val="none" w:sz="0" w:space="0" w:color="auto"/>
        <w:bottom w:val="none" w:sz="0" w:space="0" w:color="auto"/>
        <w:right w:val="none" w:sz="0" w:space="0" w:color="auto"/>
      </w:divBdr>
    </w:div>
    <w:div w:id="236867041">
      <w:bodyDiv w:val="1"/>
      <w:marLeft w:val="0"/>
      <w:marRight w:val="0"/>
      <w:marTop w:val="0"/>
      <w:marBottom w:val="0"/>
      <w:divBdr>
        <w:top w:val="none" w:sz="0" w:space="0" w:color="auto"/>
        <w:left w:val="none" w:sz="0" w:space="0" w:color="auto"/>
        <w:bottom w:val="none" w:sz="0" w:space="0" w:color="auto"/>
        <w:right w:val="none" w:sz="0" w:space="0" w:color="auto"/>
      </w:divBdr>
    </w:div>
    <w:div w:id="236945223">
      <w:bodyDiv w:val="1"/>
      <w:marLeft w:val="0"/>
      <w:marRight w:val="0"/>
      <w:marTop w:val="0"/>
      <w:marBottom w:val="0"/>
      <w:divBdr>
        <w:top w:val="none" w:sz="0" w:space="0" w:color="auto"/>
        <w:left w:val="none" w:sz="0" w:space="0" w:color="auto"/>
        <w:bottom w:val="none" w:sz="0" w:space="0" w:color="auto"/>
        <w:right w:val="none" w:sz="0" w:space="0" w:color="auto"/>
      </w:divBdr>
    </w:div>
    <w:div w:id="237057602">
      <w:bodyDiv w:val="1"/>
      <w:marLeft w:val="0"/>
      <w:marRight w:val="0"/>
      <w:marTop w:val="0"/>
      <w:marBottom w:val="0"/>
      <w:divBdr>
        <w:top w:val="none" w:sz="0" w:space="0" w:color="auto"/>
        <w:left w:val="none" w:sz="0" w:space="0" w:color="auto"/>
        <w:bottom w:val="none" w:sz="0" w:space="0" w:color="auto"/>
        <w:right w:val="none" w:sz="0" w:space="0" w:color="auto"/>
      </w:divBdr>
    </w:div>
    <w:div w:id="237129383">
      <w:bodyDiv w:val="1"/>
      <w:marLeft w:val="0"/>
      <w:marRight w:val="0"/>
      <w:marTop w:val="0"/>
      <w:marBottom w:val="0"/>
      <w:divBdr>
        <w:top w:val="none" w:sz="0" w:space="0" w:color="auto"/>
        <w:left w:val="none" w:sz="0" w:space="0" w:color="auto"/>
        <w:bottom w:val="none" w:sz="0" w:space="0" w:color="auto"/>
        <w:right w:val="none" w:sz="0" w:space="0" w:color="auto"/>
      </w:divBdr>
    </w:div>
    <w:div w:id="237256190">
      <w:bodyDiv w:val="1"/>
      <w:marLeft w:val="0"/>
      <w:marRight w:val="0"/>
      <w:marTop w:val="0"/>
      <w:marBottom w:val="0"/>
      <w:divBdr>
        <w:top w:val="none" w:sz="0" w:space="0" w:color="auto"/>
        <w:left w:val="none" w:sz="0" w:space="0" w:color="auto"/>
        <w:bottom w:val="none" w:sz="0" w:space="0" w:color="auto"/>
        <w:right w:val="none" w:sz="0" w:space="0" w:color="auto"/>
      </w:divBdr>
    </w:div>
    <w:div w:id="237326219">
      <w:bodyDiv w:val="1"/>
      <w:marLeft w:val="0"/>
      <w:marRight w:val="0"/>
      <w:marTop w:val="0"/>
      <w:marBottom w:val="0"/>
      <w:divBdr>
        <w:top w:val="none" w:sz="0" w:space="0" w:color="auto"/>
        <w:left w:val="none" w:sz="0" w:space="0" w:color="auto"/>
        <w:bottom w:val="none" w:sz="0" w:space="0" w:color="auto"/>
        <w:right w:val="none" w:sz="0" w:space="0" w:color="auto"/>
      </w:divBdr>
    </w:div>
    <w:div w:id="237332022">
      <w:bodyDiv w:val="1"/>
      <w:marLeft w:val="0"/>
      <w:marRight w:val="0"/>
      <w:marTop w:val="0"/>
      <w:marBottom w:val="0"/>
      <w:divBdr>
        <w:top w:val="none" w:sz="0" w:space="0" w:color="auto"/>
        <w:left w:val="none" w:sz="0" w:space="0" w:color="auto"/>
        <w:bottom w:val="none" w:sz="0" w:space="0" w:color="auto"/>
        <w:right w:val="none" w:sz="0" w:space="0" w:color="auto"/>
      </w:divBdr>
    </w:div>
    <w:div w:id="237635990">
      <w:bodyDiv w:val="1"/>
      <w:marLeft w:val="0"/>
      <w:marRight w:val="0"/>
      <w:marTop w:val="0"/>
      <w:marBottom w:val="0"/>
      <w:divBdr>
        <w:top w:val="none" w:sz="0" w:space="0" w:color="auto"/>
        <w:left w:val="none" w:sz="0" w:space="0" w:color="auto"/>
        <w:bottom w:val="none" w:sz="0" w:space="0" w:color="auto"/>
        <w:right w:val="none" w:sz="0" w:space="0" w:color="auto"/>
      </w:divBdr>
    </w:div>
    <w:div w:id="237642209">
      <w:bodyDiv w:val="1"/>
      <w:marLeft w:val="0"/>
      <w:marRight w:val="0"/>
      <w:marTop w:val="0"/>
      <w:marBottom w:val="0"/>
      <w:divBdr>
        <w:top w:val="none" w:sz="0" w:space="0" w:color="auto"/>
        <w:left w:val="none" w:sz="0" w:space="0" w:color="auto"/>
        <w:bottom w:val="none" w:sz="0" w:space="0" w:color="auto"/>
        <w:right w:val="none" w:sz="0" w:space="0" w:color="auto"/>
      </w:divBdr>
    </w:div>
    <w:div w:id="237710809">
      <w:bodyDiv w:val="1"/>
      <w:marLeft w:val="0"/>
      <w:marRight w:val="0"/>
      <w:marTop w:val="0"/>
      <w:marBottom w:val="0"/>
      <w:divBdr>
        <w:top w:val="none" w:sz="0" w:space="0" w:color="auto"/>
        <w:left w:val="none" w:sz="0" w:space="0" w:color="auto"/>
        <w:bottom w:val="none" w:sz="0" w:space="0" w:color="auto"/>
        <w:right w:val="none" w:sz="0" w:space="0" w:color="auto"/>
      </w:divBdr>
    </w:div>
    <w:div w:id="237904079">
      <w:bodyDiv w:val="1"/>
      <w:marLeft w:val="0"/>
      <w:marRight w:val="0"/>
      <w:marTop w:val="0"/>
      <w:marBottom w:val="0"/>
      <w:divBdr>
        <w:top w:val="none" w:sz="0" w:space="0" w:color="auto"/>
        <w:left w:val="none" w:sz="0" w:space="0" w:color="auto"/>
        <w:bottom w:val="none" w:sz="0" w:space="0" w:color="auto"/>
        <w:right w:val="none" w:sz="0" w:space="0" w:color="auto"/>
      </w:divBdr>
    </w:div>
    <w:div w:id="237979606">
      <w:bodyDiv w:val="1"/>
      <w:marLeft w:val="0"/>
      <w:marRight w:val="0"/>
      <w:marTop w:val="0"/>
      <w:marBottom w:val="0"/>
      <w:divBdr>
        <w:top w:val="none" w:sz="0" w:space="0" w:color="auto"/>
        <w:left w:val="none" w:sz="0" w:space="0" w:color="auto"/>
        <w:bottom w:val="none" w:sz="0" w:space="0" w:color="auto"/>
        <w:right w:val="none" w:sz="0" w:space="0" w:color="auto"/>
      </w:divBdr>
    </w:div>
    <w:div w:id="237979613">
      <w:bodyDiv w:val="1"/>
      <w:marLeft w:val="0"/>
      <w:marRight w:val="0"/>
      <w:marTop w:val="0"/>
      <w:marBottom w:val="0"/>
      <w:divBdr>
        <w:top w:val="none" w:sz="0" w:space="0" w:color="auto"/>
        <w:left w:val="none" w:sz="0" w:space="0" w:color="auto"/>
        <w:bottom w:val="none" w:sz="0" w:space="0" w:color="auto"/>
        <w:right w:val="none" w:sz="0" w:space="0" w:color="auto"/>
      </w:divBdr>
    </w:div>
    <w:div w:id="238057831">
      <w:bodyDiv w:val="1"/>
      <w:marLeft w:val="0"/>
      <w:marRight w:val="0"/>
      <w:marTop w:val="0"/>
      <w:marBottom w:val="0"/>
      <w:divBdr>
        <w:top w:val="none" w:sz="0" w:space="0" w:color="auto"/>
        <w:left w:val="none" w:sz="0" w:space="0" w:color="auto"/>
        <w:bottom w:val="none" w:sz="0" w:space="0" w:color="auto"/>
        <w:right w:val="none" w:sz="0" w:space="0" w:color="auto"/>
      </w:divBdr>
    </w:div>
    <w:div w:id="238251250">
      <w:bodyDiv w:val="1"/>
      <w:marLeft w:val="0"/>
      <w:marRight w:val="0"/>
      <w:marTop w:val="0"/>
      <w:marBottom w:val="0"/>
      <w:divBdr>
        <w:top w:val="none" w:sz="0" w:space="0" w:color="auto"/>
        <w:left w:val="none" w:sz="0" w:space="0" w:color="auto"/>
        <w:bottom w:val="none" w:sz="0" w:space="0" w:color="auto"/>
        <w:right w:val="none" w:sz="0" w:space="0" w:color="auto"/>
      </w:divBdr>
    </w:div>
    <w:div w:id="238292245">
      <w:bodyDiv w:val="1"/>
      <w:marLeft w:val="0"/>
      <w:marRight w:val="0"/>
      <w:marTop w:val="0"/>
      <w:marBottom w:val="0"/>
      <w:divBdr>
        <w:top w:val="none" w:sz="0" w:space="0" w:color="auto"/>
        <w:left w:val="none" w:sz="0" w:space="0" w:color="auto"/>
        <w:bottom w:val="none" w:sz="0" w:space="0" w:color="auto"/>
        <w:right w:val="none" w:sz="0" w:space="0" w:color="auto"/>
      </w:divBdr>
    </w:div>
    <w:div w:id="238298019">
      <w:bodyDiv w:val="1"/>
      <w:marLeft w:val="0"/>
      <w:marRight w:val="0"/>
      <w:marTop w:val="0"/>
      <w:marBottom w:val="0"/>
      <w:divBdr>
        <w:top w:val="none" w:sz="0" w:space="0" w:color="auto"/>
        <w:left w:val="none" w:sz="0" w:space="0" w:color="auto"/>
        <w:bottom w:val="none" w:sz="0" w:space="0" w:color="auto"/>
        <w:right w:val="none" w:sz="0" w:space="0" w:color="auto"/>
      </w:divBdr>
    </w:div>
    <w:div w:id="238562574">
      <w:bodyDiv w:val="1"/>
      <w:marLeft w:val="0"/>
      <w:marRight w:val="0"/>
      <w:marTop w:val="0"/>
      <w:marBottom w:val="0"/>
      <w:divBdr>
        <w:top w:val="none" w:sz="0" w:space="0" w:color="auto"/>
        <w:left w:val="none" w:sz="0" w:space="0" w:color="auto"/>
        <w:bottom w:val="none" w:sz="0" w:space="0" w:color="auto"/>
        <w:right w:val="none" w:sz="0" w:space="0" w:color="auto"/>
      </w:divBdr>
    </w:div>
    <w:div w:id="238564592">
      <w:bodyDiv w:val="1"/>
      <w:marLeft w:val="0"/>
      <w:marRight w:val="0"/>
      <w:marTop w:val="0"/>
      <w:marBottom w:val="0"/>
      <w:divBdr>
        <w:top w:val="none" w:sz="0" w:space="0" w:color="auto"/>
        <w:left w:val="none" w:sz="0" w:space="0" w:color="auto"/>
        <w:bottom w:val="none" w:sz="0" w:space="0" w:color="auto"/>
        <w:right w:val="none" w:sz="0" w:space="0" w:color="auto"/>
      </w:divBdr>
    </w:div>
    <w:div w:id="238684505">
      <w:bodyDiv w:val="1"/>
      <w:marLeft w:val="0"/>
      <w:marRight w:val="0"/>
      <w:marTop w:val="0"/>
      <w:marBottom w:val="0"/>
      <w:divBdr>
        <w:top w:val="none" w:sz="0" w:space="0" w:color="auto"/>
        <w:left w:val="none" w:sz="0" w:space="0" w:color="auto"/>
        <w:bottom w:val="none" w:sz="0" w:space="0" w:color="auto"/>
        <w:right w:val="none" w:sz="0" w:space="0" w:color="auto"/>
      </w:divBdr>
    </w:div>
    <w:div w:id="238828583">
      <w:bodyDiv w:val="1"/>
      <w:marLeft w:val="0"/>
      <w:marRight w:val="0"/>
      <w:marTop w:val="0"/>
      <w:marBottom w:val="0"/>
      <w:divBdr>
        <w:top w:val="none" w:sz="0" w:space="0" w:color="auto"/>
        <w:left w:val="none" w:sz="0" w:space="0" w:color="auto"/>
        <w:bottom w:val="none" w:sz="0" w:space="0" w:color="auto"/>
        <w:right w:val="none" w:sz="0" w:space="0" w:color="auto"/>
      </w:divBdr>
    </w:div>
    <w:div w:id="238836028">
      <w:bodyDiv w:val="1"/>
      <w:marLeft w:val="0"/>
      <w:marRight w:val="0"/>
      <w:marTop w:val="0"/>
      <w:marBottom w:val="0"/>
      <w:divBdr>
        <w:top w:val="none" w:sz="0" w:space="0" w:color="auto"/>
        <w:left w:val="none" w:sz="0" w:space="0" w:color="auto"/>
        <w:bottom w:val="none" w:sz="0" w:space="0" w:color="auto"/>
        <w:right w:val="none" w:sz="0" w:space="0" w:color="auto"/>
      </w:divBdr>
    </w:div>
    <w:div w:id="239027421">
      <w:bodyDiv w:val="1"/>
      <w:marLeft w:val="0"/>
      <w:marRight w:val="0"/>
      <w:marTop w:val="0"/>
      <w:marBottom w:val="0"/>
      <w:divBdr>
        <w:top w:val="none" w:sz="0" w:space="0" w:color="auto"/>
        <w:left w:val="none" w:sz="0" w:space="0" w:color="auto"/>
        <w:bottom w:val="none" w:sz="0" w:space="0" w:color="auto"/>
        <w:right w:val="none" w:sz="0" w:space="0" w:color="auto"/>
      </w:divBdr>
    </w:div>
    <w:div w:id="239029086">
      <w:bodyDiv w:val="1"/>
      <w:marLeft w:val="0"/>
      <w:marRight w:val="0"/>
      <w:marTop w:val="0"/>
      <w:marBottom w:val="0"/>
      <w:divBdr>
        <w:top w:val="none" w:sz="0" w:space="0" w:color="auto"/>
        <w:left w:val="none" w:sz="0" w:space="0" w:color="auto"/>
        <w:bottom w:val="none" w:sz="0" w:space="0" w:color="auto"/>
        <w:right w:val="none" w:sz="0" w:space="0" w:color="auto"/>
      </w:divBdr>
    </w:div>
    <w:div w:id="239102593">
      <w:bodyDiv w:val="1"/>
      <w:marLeft w:val="0"/>
      <w:marRight w:val="0"/>
      <w:marTop w:val="0"/>
      <w:marBottom w:val="0"/>
      <w:divBdr>
        <w:top w:val="none" w:sz="0" w:space="0" w:color="auto"/>
        <w:left w:val="none" w:sz="0" w:space="0" w:color="auto"/>
        <w:bottom w:val="none" w:sz="0" w:space="0" w:color="auto"/>
        <w:right w:val="none" w:sz="0" w:space="0" w:color="auto"/>
      </w:divBdr>
    </w:div>
    <w:div w:id="239566253">
      <w:bodyDiv w:val="1"/>
      <w:marLeft w:val="0"/>
      <w:marRight w:val="0"/>
      <w:marTop w:val="0"/>
      <w:marBottom w:val="0"/>
      <w:divBdr>
        <w:top w:val="none" w:sz="0" w:space="0" w:color="auto"/>
        <w:left w:val="none" w:sz="0" w:space="0" w:color="auto"/>
        <w:bottom w:val="none" w:sz="0" w:space="0" w:color="auto"/>
        <w:right w:val="none" w:sz="0" w:space="0" w:color="auto"/>
      </w:divBdr>
    </w:div>
    <w:div w:id="239679462">
      <w:bodyDiv w:val="1"/>
      <w:marLeft w:val="0"/>
      <w:marRight w:val="0"/>
      <w:marTop w:val="0"/>
      <w:marBottom w:val="0"/>
      <w:divBdr>
        <w:top w:val="none" w:sz="0" w:space="0" w:color="auto"/>
        <w:left w:val="none" w:sz="0" w:space="0" w:color="auto"/>
        <w:bottom w:val="none" w:sz="0" w:space="0" w:color="auto"/>
        <w:right w:val="none" w:sz="0" w:space="0" w:color="auto"/>
      </w:divBdr>
    </w:div>
    <w:div w:id="239826870">
      <w:bodyDiv w:val="1"/>
      <w:marLeft w:val="0"/>
      <w:marRight w:val="0"/>
      <w:marTop w:val="0"/>
      <w:marBottom w:val="0"/>
      <w:divBdr>
        <w:top w:val="none" w:sz="0" w:space="0" w:color="auto"/>
        <w:left w:val="none" w:sz="0" w:space="0" w:color="auto"/>
        <w:bottom w:val="none" w:sz="0" w:space="0" w:color="auto"/>
        <w:right w:val="none" w:sz="0" w:space="0" w:color="auto"/>
      </w:divBdr>
    </w:div>
    <w:div w:id="239870471">
      <w:bodyDiv w:val="1"/>
      <w:marLeft w:val="0"/>
      <w:marRight w:val="0"/>
      <w:marTop w:val="0"/>
      <w:marBottom w:val="0"/>
      <w:divBdr>
        <w:top w:val="none" w:sz="0" w:space="0" w:color="auto"/>
        <w:left w:val="none" w:sz="0" w:space="0" w:color="auto"/>
        <w:bottom w:val="none" w:sz="0" w:space="0" w:color="auto"/>
        <w:right w:val="none" w:sz="0" w:space="0" w:color="auto"/>
      </w:divBdr>
    </w:div>
    <w:div w:id="240066271">
      <w:bodyDiv w:val="1"/>
      <w:marLeft w:val="0"/>
      <w:marRight w:val="0"/>
      <w:marTop w:val="0"/>
      <w:marBottom w:val="0"/>
      <w:divBdr>
        <w:top w:val="none" w:sz="0" w:space="0" w:color="auto"/>
        <w:left w:val="none" w:sz="0" w:space="0" w:color="auto"/>
        <w:bottom w:val="none" w:sz="0" w:space="0" w:color="auto"/>
        <w:right w:val="none" w:sz="0" w:space="0" w:color="auto"/>
      </w:divBdr>
    </w:div>
    <w:div w:id="240146583">
      <w:bodyDiv w:val="1"/>
      <w:marLeft w:val="0"/>
      <w:marRight w:val="0"/>
      <w:marTop w:val="0"/>
      <w:marBottom w:val="0"/>
      <w:divBdr>
        <w:top w:val="none" w:sz="0" w:space="0" w:color="auto"/>
        <w:left w:val="none" w:sz="0" w:space="0" w:color="auto"/>
        <w:bottom w:val="none" w:sz="0" w:space="0" w:color="auto"/>
        <w:right w:val="none" w:sz="0" w:space="0" w:color="auto"/>
      </w:divBdr>
    </w:div>
    <w:div w:id="240214894">
      <w:bodyDiv w:val="1"/>
      <w:marLeft w:val="0"/>
      <w:marRight w:val="0"/>
      <w:marTop w:val="0"/>
      <w:marBottom w:val="0"/>
      <w:divBdr>
        <w:top w:val="none" w:sz="0" w:space="0" w:color="auto"/>
        <w:left w:val="none" w:sz="0" w:space="0" w:color="auto"/>
        <w:bottom w:val="none" w:sz="0" w:space="0" w:color="auto"/>
        <w:right w:val="none" w:sz="0" w:space="0" w:color="auto"/>
      </w:divBdr>
    </w:div>
    <w:div w:id="240338549">
      <w:bodyDiv w:val="1"/>
      <w:marLeft w:val="0"/>
      <w:marRight w:val="0"/>
      <w:marTop w:val="0"/>
      <w:marBottom w:val="0"/>
      <w:divBdr>
        <w:top w:val="none" w:sz="0" w:space="0" w:color="auto"/>
        <w:left w:val="none" w:sz="0" w:space="0" w:color="auto"/>
        <w:bottom w:val="none" w:sz="0" w:space="0" w:color="auto"/>
        <w:right w:val="none" w:sz="0" w:space="0" w:color="auto"/>
      </w:divBdr>
    </w:div>
    <w:div w:id="240457124">
      <w:bodyDiv w:val="1"/>
      <w:marLeft w:val="0"/>
      <w:marRight w:val="0"/>
      <w:marTop w:val="0"/>
      <w:marBottom w:val="0"/>
      <w:divBdr>
        <w:top w:val="none" w:sz="0" w:space="0" w:color="auto"/>
        <w:left w:val="none" w:sz="0" w:space="0" w:color="auto"/>
        <w:bottom w:val="none" w:sz="0" w:space="0" w:color="auto"/>
        <w:right w:val="none" w:sz="0" w:space="0" w:color="auto"/>
      </w:divBdr>
    </w:div>
    <w:div w:id="240599876">
      <w:bodyDiv w:val="1"/>
      <w:marLeft w:val="0"/>
      <w:marRight w:val="0"/>
      <w:marTop w:val="0"/>
      <w:marBottom w:val="0"/>
      <w:divBdr>
        <w:top w:val="none" w:sz="0" w:space="0" w:color="auto"/>
        <w:left w:val="none" w:sz="0" w:space="0" w:color="auto"/>
        <w:bottom w:val="none" w:sz="0" w:space="0" w:color="auto"/>
        <w:right w:val="none" w:sz="0" w:space="0" w:color="auto"/>
      </w:divBdr>
    </w:div>
    <w:div w:id="240648393">
      <w:bodyDiv w:val="1"/>
      <w:marLeft w:val="0"/>
      <w:marRight w:val="0"/>
      <w:marTop w:val="0"/>
      <w:marBottom w:val="0"/>
      <w:divBdr>
        <w:top w:val="none" w:sz="0" w:space="0" w:color="auto"/>
        <w:left w:val="none" w:sz="0" w:space="0" w:color="auto"/>
        <w:bottom w:val="none" w:sz="0" w:space="0" w:color="auto"/>
        <w:right w:val="none" w:sz="0" w:space="0" w:color="auto"/>
      </w:divBdr>
    </w:div>
    <w:div w:id="240674627">
      <w:bodyDiv w:val="1"/>
      <w:marLeft w:val="0"/>
      <w:marRight w:val="0"/>
      <w:marTop w:val="0"/>
      <w:marBottom w:val="0"/>
      <w:divBdr>
        <w:top w:val="none" w:sz="0" w:space="0" w:color="auto"/>
        <w:left w:val="none" w:sz="0" w:space="0" w:color="auto"/>
        <w:bottom w:val="none" w:sz="0" w:space="0" w:color="auto"/>
        <w:right w:val="none" w:sz="0" w:space="0" w:color="auto"/>
      </w:divBdr>
    </w:div>
    <w:div w:id="240679422">
      <w:bodyDiv w:val="1"/>
      <w:marLeft w:val="0"/>
      <w:marRight w:val="0"/>
      <w:marTop w:val="0"/>
      <w:marBottom w:val="0"/>
      <w:divBdr>
        <w:top w:val="none" w:sz="0" w:space="0" w:color="auto"/>
        <w:left w:val="none" w:sz="0" w:space="0" w:color="auto"/>
        <w:bottom w:val="none" w:sz="0" w:space="0" w:color="auto"/>
        <w:right w:val="none" w:sz="0" w:space="0" w:color="auto"/>
      </w:divBdr>
    </w:div>
    <w:div w:id="240722798">
      <w:bodyDiv w:val="1"/>
      <w:marLeft w:val="0"/>
      <w:marRight w:val="0"/>
      <w:marTop w:val="0"/>
      <w:marBottom w:val="0"/>
      <w:divBdr>
        <w:top w:val="none" w:sz="0" w:space="0" w:color="auto"/>
        <w:left w:val="none" w:sz="0" w:space="0" w:color="auto"/>
        <w:bottom w:val="none" w:sz="0" w:space="0" w:color="auto"/>
        <w:right w:val="none" w:sz="0" w:space="0" w:color="auto"/>
      </w:divBdr>
    </w:div>
    <w:div w:id="240801380">
      <w:bodyDiv w:val="1"/>
      <w:marLeft w:val="0"/>
      <w:marRight w:val="0"/>
      <w:marTop w:val="0"/>
      <w:marBottom w:val="0"/>
      <w:divBdr>
        <w:top w:val="none" w:sz="0" w:space="0" w:color="auto"/>
        <w:left w:val="none" w:sz="0" w:space="0" w:color="auto"/>
        <w:bottom w:val="none" w:sz="0" w:space="0" w:color="auto"/>
        <w:right w:val="none" w:sz="0" w:space="0" w:color="auto"/>
      </w:divBdr>
    </w:div>
    <w:div w:id="240870643">
      <w:bodyDiv w:val="1"/>
      <w:marLeft w:val="0"/>
      <w:marRight w:val="0"/>
      <w:marTop w:val="0"/>
      <w:marBottom w:val="0"/>
      <w:divBdr>
        <w:top w:val="none" w:sz="0" w:space="0" w:color="auto"/>
        <w:left w:val="none" w:sz="0" w:space="0" w:color="auto"/>
        <w:bottom w:val="none" w:sz="0" w:space="0" w:color="auto"/>
        <w:right w:val="none" w:sz="0" w:space="0" w:color="auto"/>
      </w:divBdr>
    </w:div>
    <w:div w:id="240871144">
      <w:bodyDiv w:val="1"/>
      <w:marLeft w:val="0"/>
      <w:marRight w:val="0"/>
      <w:marTop w:val="0"/>
      <w:marBottom w:val="0"/>
      <w:divBdr>
        <w:top w:val="none" w:sz="0" w:space="0" w:color="auto"/>
        <w:left w:val="none" w:sz="0" w:space="0" w:color="auto"/>
        <w:bottom w:val="none" w:sz="0" w:space="0" w:color="auto"/>
        <w:right w:val="none" w:sz="0" w:space="0" w:color="auto"/>
      </w:divBdr>
    </w:div>
    <w:div w:id="240914579">
      <w:bodyDiv w:val="1"/>
      <w:marLeft w:val="0"/>
      <w:marRight w:val="0"/>
      <w:marTop w:val="0"/>
      <w:marBottom w:val="0"/>
      <w:divBdr>
        <w:top w:val="none" w:sz="0" w:space="0" w:color="auto"/>
        <w:left w:val="none" w:sz="0" w:space="0" w:color="auto"/>
        <w:bottom w:val="none" w:sz="0" w:space="0" w:color="auto"/>
        <w:right w:val="none" w:sz="0" w:space="0" w:color="auto"/>
      </w:divBdr>
    </w:div>
    <w:div w:id="241111203">
      <w:bodyDiv w:val="1"/>
      <w:marLeft w:val="0"/>
      <w:marRight w:val="0"/>
      <w:marTop w:val="0"/>
      <w:marBottom w:val="0"/>
      <w:divBdr>
        <w:top w:val="none" w:sz="0" w:space="0" w:color="auto"/>
        <w:left w:val="none" w:sz="0" w:space="0" w:color="auto"/>
        <w:bottom w:val="none" w:sz="0" w:space="0" w:color="auto"/>
        <w:right w:val="none" w:sz="0" w:space="0" w:color="auto"/>
      </w:divBdr>
    </w:div>
    <w:div w:id="241111681">
      <w:bodyDiv w:val="1"/>
      <w:marLeft w:val="0"/>
      <w:marRight w:val="0"/>
      <w:marTop w:val="0"/>
      <w:marBottom w:val="0"/>
      <w:divBdr>
        <w:top w:val="none" w:sz="0" w:space="0" w:color="auto"/>
        <w:left w:val="none" w:sz="0" w:space="0" w:color="auto"/>
        <w:bottom w:val="none" w:sz="0" w:space="0" w:color="auto"/>
        <w:right w:val="none" w:sz="0" w:space="0" w:color="auto"/>
      </w:divBdr>
    </w:div>
    <w:div w:id="241372172">
      <w:bodyDiv w:val="1"/>
      <w:marLeft w:val="0"/>
      <w:marRight w:val="0"/>
      <w:marTop w:val="0"/>
      <w:marBottom w:val="0"/>
      <w:divBdr>
        <w:top w:val="none" w:sz="0" w:space="0" w:color="auto"/>
        <w:left w:val="none" w:sz="0" w:space="0" w:color="auto"/>
        <w:bottom w:val="none" w:sz="0" w:space="0" w:color="auto"/>
        <w:right w:val="none" w:sz="0" w:space="0" w:color="auto"/>
      </w:divBdr>
    </w:div>
    <w:div w:id="241448612">
      <w:bodyDiv w:val="1"/>
      <w:marLeft w:val="0"/>
      <w:marRight w:val="0"/>
      <w:marTop w:val="0"/>
      <w:marBottom w:val="0"/>
      <w:divBdr>
        <w:top w:val="none" w:sz="0" w:space="0" w:color="auto"/>
        <w:left w:val="none" w:sz="0" w:space="0" w:color="auto"/>
        <w:bottom w:val="none" w:sz="0" w:space="0" w:color="auto"/>
        <w:right w:val="none" w:sz="0" w:space="0" w:color="auto"/>
      </w:divBdr>
    </w:div>
    <w:div w:id="241454380">
      <w:bodyDiv w:val="1"/>
      <w:marLeft w:val="0"/>
      <w:marRight w:val="0"/>
      <w:marTop w:val="0"/>
      <w:marBottom w:val="0"/>
      <w:divBdr>
        <w:top w:val="none" w:sz="0" w:space="0" w:color="auto"/>
        <w:left w:val="none" w:sz="0" w:space="0" w:color="auto"/>
        <w:bottom w:val="none" w:sz="0" w:space="0" w:color="auto"/>
        <w:right w:val="none" w:sz="0" w:space="0" w:color="auto"/>
      </w:divBdr>
    </w:div>
    <w:div w:id="241529354">
      <w:bodyDiv w:val="1"/>
      <w:marLeft w:val="0"/>
      <w:marRight w:val="0"/>
      <w:marTop w:val="0"/>
      <w:marBottom w:val="0"/>
      <w:divBdr>
        <w:top w:val="none" w:sz="0" w:space="0" w:color="auto"/>
        <w:left w:val="none" w:sz="0" w:space="0" w:color="auto"/>
        <w:bottom w:val="none" w:sz="0" w:space="0" w:color="auto"/>
        <w:right w:val="none" w:sz="0" w:space="0" w:color="auto"/>
      </w:divBdr>
    </w:div>
    <w:div w:id="241645691">
      <w:bodyDiv w:val="1"/>
      <w:marLeft w:val="0"/>
      <w:marRight w:val="0"/>
      <w:marTop w:val="0"/>
      <w:marBottom w:val="0"/>
      <w:divBdr>
        <w:top w:val="none" w:sz="0" w:space="0" w:color="auto"/>
        <w:left w:val="none" w:sz="0" w:space="0" w:color="auto"/>
        <w:bottom w:val="none" w:sz="0" w:space="0" w:color="auto"/>
        <w:right w:val="none" w:sz="0" w:space="0" w:color="auto"/>
      </w:divBdr>
    </w:div>
    <w:div w:id="241647698">
      <w:bodyDiv w:val="1"/>
      <w:marLeft w:val="0"/>
      <w:marRight w:val="0"/>
      <w:marTop w:val="0"/>
      <w:marBottom w:val="0"/>
      <w:divBdr>
        <w:top w:val="none" w:sz="0" w:space="0" w:color="auto"/>
        <w:left w:val="none" w:sz="0" w:space="0" w:color="auto"/>
        <w:bottom w:val="none" w:sz="0" w:space="0" w:color="auto"/>
        <w:right w:val="none" w:sz="0" w:space="0" w:color="auto"/>
      </w:divBdr>
    </w:div>
    <w:div w:id="241719288">
      <w:bodyDiv w:val="1"/>
      <w:marLeft w:val="0"/>
      <w:marRight w:val="0"/>
      <w:marTop w:val="0"/>
      <w:marBottom w:val="0"/>
      <w:divBdr>
        <w:top w:val="none" w:sz="0" w:space="0" w:color="auto"/>
        <w:left w:val="none" w:sz="0" w:space="0" w:color="auto"/>
        <w:bottom w:val="none" w:sz="0" w:space="0" w:color="auto"/>
        <w:right w:val="none" w:sz="0" w:space="0" w:color="auto"/>
      </w:divBdr>
    </w:div>
    <w:div w:id="241720587">
      <w:bodyDiv w:val="1"/>
      <w:marLeft w:val="0"/>
      <w:marRight w:val="0"/>
      <w:marTop w:val="0"/>
      <w:marBottom w:val="0"/>
      <w:divBdr>
        <w:top w:val="none" w:sz="0" w:space="0" w:color="auto"/>
        <w:left w:val="none" w:sz="0" w:space="0" w:color="auto"/>
        <w:bottom w:val="none" w:sz="0" w:space="0" w:color="auto"/>
        <w:right w:val="none" w:sz="0" w:space="0" w:color="auto"/>
      </w:divBdr>
    </w:div>
    <w:div w:id="241766054">
      <w:bodyDiv w:val="1"/>
      <w:marLeft w:val="0"/>
      <w:marRight w:val="0"/>
      <w:marTop w:val="0"/>
      <w:marBottom w:val="0"/>
      <w:divBdr>
        <w:top w:val="none" w:sz="0" w:space="0" w:color="auto"/>
        <w:left w:val="none" w:sz="0" w:space="0" w:color="auto"/>
        <w:bottom w:val="none" w:sz="0" w:space="0" w:color="auto"/>
        <w:right w:val="none" w:sz="0" w:space="0" w:color="auto"/>
      </w:divBdr>
    </w:div>
    <w:div w:id="241842559">
      <w:bodyDiv w:val="1"/>
      <w:marLeft w:val="0"/>
      <w:marRight w:val="0"/>
      <w:marTop w:val="0"/>
      <w:marBottom w:val="0"/>
      <w:divBdr>
        <w:top w:val="none" w:sz="0" w:space="0" w:color="auto"/>
        <w:left w:val="none" w:sz="0" w:space="0" w:color="auto"/>
        <w:bottom w:val="none" w:sz="0" w:space="0" w:color="auto"/>
        <w:right w:val="none" w:sz="0" w:space="0" w:color="auto"/>
      </w:divBdr>
    </w:div>
    <w:div w:id="242103344">
      <w:bodyDiv w:val="1"/>
      <w:marLeft w:val="0"/>
      <w:marRight w:val="0"/>
      <w:marTop w:val="0"/>
      <w:marBottom w:val="0"/>
      <w:divBdr>
        <w:top w:val="none" w:sz="0" w:space="0" w:color="auto"/>
        <w:left w:val="none" w:sz="0" w:space="0" w:color="auto"/>
        <w:bottom w:val="none" w:sz="0" w:space="0" w:color="auto"/>
        <w:right w:val="none" w:sz="0" w:space="0" w:color="auto"/>
      </w:divBdr>
    </w:div>
    <w:div w:id="242420578">
      <w:bodyDiv w:val="1"/>
      <w:marLeft w:val="0"/>
      <w:marRight w:val="0"/>
      <w:marTop w:val="0"/>
      <w:marBottom w:val="0"/>
      <w:divBdr>
        <w:top w:val="none" w:sz="0" w:space="0" w:color="auto"/>
        <w:left w:val="none" w:sz="0" w:space="0" w:color="auto"/>
        <w:bottom w:val="none" w:sz="0" w:space="0" w:color="auto"/>
        <w:right w:val="none" w:sz="0" w:space="0" w:color="auto"/>
      </w:divBdr>
    </w:div>
    <w:div w:id="242421118">
      <w:bodyDiv w:val="1"/>
      <w:marLeft w:val="0"/>
      <w:marRight w:val="0"/>
      <w:marTop w:val="0"/>
      <w:marBottom w:val="0"/>
      <w:divBdr>
        <w:top w:val="none" w:sz="0" w:space="0" w:color="auto"/>
        <w:left w:val="none" w:sz="0" w:space="0" w:color="auto"/>
        <w:bottom w:val="none" w:sz="0" w:space="0" w:color="auto"/>
        <w:right w:val="none" w:sz="0" w:space="0" w:color="auto"/>
      </w:divBdr>
    </w:div>
    <w:div w:id="242490031">
      <w:bodyDiv w:val="1"/>
      <w:marLeft w:val="0"/>
      <w:marRight w:val="0"/>
      <w:marTop w:val="0"/>
      <w:marBottom w:val="0"/>
      <w:divBdr>
        <w:top w:val="none" w:sz="0" w:space="0" w:color="auto"/>
        <w:left w:val="none" w:sz="0" w:space="0" w:color="auto"/>
        <w:bottom w:val="none" w:sz="0" w:space="0" w:color="auto"/>
        <w:right w:val="none" w:sz="0" w:space="0" w:color="auto"/>
      </w:divBdr>
    </w:div>
    <w:div w:id="242879946">
      <w:bodyDiv w:val="1"/>
      <w:marLeft w:val="0"/>
      <w:marRight w:val="0"/>
      <w:marTop w:val="0"/>
      <w:marBottom w:val="0"/>
      <w:divBdr>
        <w:top w:val="none" w:sz="0" w:space="0" w:color="auto"/>
        <w:left w:val="none" w:sz="0" w:space="0" w:color="auto"/>
        <w:bottom w:val="none" w:sz="0" w:space="0" w:color="auto"/>
        <w:right w:val="none" w:sz="0" w:space="0" w:color="auto"/>
      </w:divBdr>
    </w:div>
    <w:div w:id="243035831">
      <w:bodyDiv w:val="1"/>
      <w:marLeft w:val="0"/>
      <w:marRight w:val="0"/>
      <w:marTop w:val="0"/>
      <w:marBottom w:val="0"/>
      <w:divBdr>
        <w:top w:val="none" w:sz="0" w:space="0" w:color="auto"/>
        <w:left w:val="none" w:sz="0" w:space="0" w:color="auto"/>
        <w:bottom w:val="none" w:sz="0" w:space="0" w:color="auto"/>
        <w:right w:val="none" w:sz="0" w:space="0" w:color="auto"/>
      </w:divBdr>
    </w:div>
    <w:div w:id="243269985">
      <w:bodyDiv w:val="1"/>
      <w:marLeft w:val="0"/>
      <w:marRight w:val="0"/>
      <w:marTop w:val="0"/>
      <w:marBottom w:val="0"/>
      <w:divBdr>
        <w:top w:val="none" w:sz="0" w:space="0" w:color="auto"/>
        <w:left w:val="none" w:sz="0" w:space="0" w:color="auto"/>
        <w:bottom w:val="none" w:sz="0" w:space="0" w:color="auto"/>
        <w:right w:val="none" w:sz="0" w:space="0" w:color="auto"/>
      </w:divBdr>
    </w:div>
    <w:div w:id="243340446">
      <w:bodyDiv w:val="1"/>
      <w:marLeft w:val="0"/>
      <w:marRight w:val="0"/>
      <w:marTop w:val="0"/>
      <w:marBottom w:val="0"/>
      <w:divBdr>
        <w:top w:val="none" w:sz="0" w:space="0" w:color="auto"/>
        <w:left w:val="none" w:sz="0" w:space="0" w:color="auto"/>
        <w:bottom w:val="none" w:sz="0" w:space="0" w:color="auto"/>
        <w:right w:val="none" w:sz="0" w:space="0" w:color="auto"/>
      </w:divBdr>
    </w:div>
    <w:div w:id="243344962">
      <w:bodyDiv w:val="1"/>
      <w:marLeft w:val="0"/>
      <w:marRight w:val="0"/>
      <w:marTop w:val="0"/>
      <w:marBottom w:val="0"/>
      <w:divBdr>
        <w:top w:val="none" w:sz="0" w:space="0" w:color="auto"/>
        <w:left w:val="none" w:sz="0" w:space="0" w:color="auto"/>
        <w:bottom w:val="none" w:sz="0" w:space="0" w:color="auto"/>
        <w:right w:val="none" w:sz="0" w:space="0" w:color="auto"/>
      </w:divBdr>
    </w:div>
    <w:div w:id="243496294">
      <w:bodyDiv w:val="1"/>
      <w:marLeft w:val="0"/>
      <w:marRight w:val="0"/>
      <w:marTop w:val="0"/>
      <w:marBottom w:val="0"/>
      <w:divBdr>
        <w:top w:val="none" w:sz="0" w:space="0" w:color="auto"/>
        <w:left w:val="none" w:sz="0" w:space="0" w:color="auto"/>
        <w:bottom w:val="none" w:sz="0" w:space="0" w:color="auto"/>
        <w:right w:val="none" w:sz="0" w:space="0" w:color="auto"/>
      </w:divBdr>
    </w:div>
    <w:div w:id="243609683">
      <w:bodyDiv w:val="1"/>
      <w:marLeft w:val="0"/>
      <w:marRight w:val="0"/>
      <w:marTop w:val="0"/>
      <w:marBottom w:val="0"/>
      <w:divBdr>
        <w:top w:val="none" w:sz="0" w:space="0" w:color="auto"/>
        <w:left w:val="none" w:sz="0" w:space="0" w:color="auto"/>
        <w:bottom w:val="none" w:sz="0" w:space="0" w:color="auto"/>
        <w:right w:val="none" w:sz="0" w:space="0" w:color="auto"/>
      </w:divBdr>
    </w:div>
    <w:div w:id="243689043">
      <w:bodyDiv w:val="1"/>
      <w:marLeft w:val="0"/>
      <w:marRight w:val="0"/>
      <w:marTop w:val="0"/>
      <w:marBottom w:val="0"/>
      <w:divBdr>
        <w:top w:val="none" w:sz="0" w:space="0" w:color="auto"/>
        <w:left w:val="none" w:sz="0" w:space="0" w:color="auto"/>
        <w:bottom w:val="none" w:sz="0" w:space="0" w:color="auto"/>
        <w:right w:val="none" w:sz="0" w:space="0" w:color="auto"/>
      </w:divBdr>
    </w:div>
    <w:div w:id="243758342">
      <w:bodyDiv w:val="1"/>
      <w:marLeft w:val="0"/>
      <w:marRight w:val="0"/>
      <w:marTop w:val="0"/>
      <w:marBottom w:val="0"/>
      <w:divBdr>
        <w:top w:val="none" w:sz="0" w:space="0" w:color="auto"/>
        <w:left w:val="none" w:sz="0" w:space="0" w:color="auto"/>
        <w:bottom w:val="none" w:sz="0" w:space="0" w:color="auto"/>
        <w:right w:val="none" w:sz="0" w:space="0" w:color="auto"/>
      </w:divBdr>
    </w:div>
    <w:div w:id="243926558">
      <w:bodyDiv w:val="1"/>
      <w:marLeft w:val="0"/>
      <w:marRight w:val="0"/>
      <w:marTop w:val="0"/>
      <w:marBottom w:val="0"/>
      <w:divBdr>
        <w:top w:val="none" w:sz="0" w:space="0" w:color="auto"/>
        <w:left w:val="none" w:sz="0" w:space="0" w:color="auto"/>
        <w:bottom w:val="none" w:sz="0" w:space="0" w:color="auto"/>
        <w:right w:val="none" w:sz="0" w:space="0" w:color="auto"/>
      </w:divBdr>
    </w:div>
    <w:div w:id="244074953">
      <w:bodyDiv w:val="1"/>
      <w:marLeft w:val="0"/>
      <w:marRight w:val="0"/>
      <w:marTop w:val="0"/>
      <w:marBottom w:val="0"/>
      <w:divBdr>
        <w:top w:val="none" w:sz="0" w:space="0" w:color="auto"/>
        <w:left w:val="none" w:sz="0" w:space="0" w:color="auto"/>
        <w:bottom w:val="none" w:sz="0" w:space="0" w:color="auto"/>
        <w:right w:val="none" w:sz="0" w:space="0" w:color="auto"/>
      </w:divBdr>
    </w:div>
    <w:div w:id="244143803">
      <w:bodyDiv w:val="1"/>
      <w:marLeft w:val="0"/>
      <w:marRight w:val="0"/>
      <w:marTop w:val="0"/>
      <w:marBottom w:val="0"/>
      <w:divBdr>
        <w:top w:val="none" w:sz="0" w:space="0" w:color="auto"/>
        <w:left w:val="none" w:sz="0" w:space="0" w:color="auto"/>
        <w:bottom w:val="none" w:sz="0" w:space="0" w:color="auto"/>
        <w:right w:val="none" w:sz="0" w:space="0" w:color="auto"/>
      </w:divBdr>
    </w:div>
    <w:div w:id="244389052">
      <w:bodyDiv w:val="1"/>
      <w:marLeft w:val="0"/>
      <w:marRight w:val="0"/>
      <w:marTop w:val="0"/>
      <w:marBottom w:val="0"/>
      <w:divBdr>
        <w:top w:val="none" w:sz="0" w:space="0" w:color="auto"/>
        <w:left w:val="none" w:sz="0" w:space="0" w:color="auto"/>
        <w:bottom w:val="none" w:sz="0" w:space="0" w:color="auto"/>
        <w:right w:val="none" w:sz="0" w:space="0" w:color="auto"/>
      </w:divBdr>
    </w:div>
    <w:div w:id="244415441">
      <w:bodyDiv w:val="1"/>
      <w:marLeft w:val="0"/>
      <w:marRight w:val="0"/>
      <w:marTop w:val="0"/>
      <w:marBottom w:val="0"/>
      <w:divBdr>
        <w:top w:val="none" w:sz="0" w:space="0" w:color="auto"/>
        <w:left w:val="none" w:sz="0" w:space="0" w:color="auto"/>
        <w:bottom w:val="none" w:sz="0" w:space="0" w:color="auto"/>
        <w:right w:val="none" w:sz="0" w:space="0" w:color="auto"/>
      </w:divBdr>
    </w:div>
    <w:div w:id="244458418">
      <w:bodyDiv w:val="1"/>
      <w:marLeft w:val="0"/>
      <w:marRight w:val="0"/>
      <w:marTop w:val="0"/>
      <w:marBottom w:val="0"/>
      <w:divBdr>
        <w:top w:val="none" w:sz="0" w:space="0" w:color="auto"/>
        <w:left w:val="none" w:sz="0" w:space="0" w:color="auto"/>
        <w:bottom w:val="none" w:sz="0" w:space="0" w:color="auto"/>
        <w:right w:val="none" w:sz="0" w:space="0" w:color="auto"/>
      </w:divBdr>
    </w:div>
    <w:div w:id="244582108">
      <w:bodyDiv w:val="1"/>
      <w:marLeft w:val="0"/>
      <w:marRight w:val="0"/>
      <w:marTop w:val="0"/>
      <w:marBottom w:val="0"/>
      <w:divBdr>
        <w:top w:val="none" w:sz="0" w:space="0" w:color="auto"/>
        <w:left w:val="none" w:sz="0" w:space="0" w:color="auto"/>
        <w:bottom w:val="none" w:sz="0" w:space="0" w:color="auto"/>
        <w:right w:val="none" w:sz="0" w:space="0" w:color="auto"/>
      </w:divBdr>
    </w:div>
    <w:div w:id="244724932">
      <w:bodyDiv w:val="1"/>
      <w:marLeft w:val="0"/>
      <w:marRight w:val="0"/>
      <w:marTop w:val="0"/>
      <w:marBottom w:val="0"/>
      <w:divBdr>
        <w:top w:val="none" w:sz="0" w:space="0" w:color="auto"/>
        <w:left w:val="none" w:sz="0" w:space="0" w:color="auto"/>
        <w:bottom w:val="none" w:sz="0" w:space="0" w:color="auto"/>
        <w:right w:val="none" w:sz="0" w:space="0" w:color="auto"/>
      </w:divBdr>
    </w:div>
    <w:div w:id="244726104">
      <w:bodyDiv w:val="1"/>
      <w:marLeft w:val="0"/>
      <w:marRight w:val="0"/>
      <w:marTop w:val="0"/>
      <w:marBottom w:val="0"/>
      <w:divBdr>
        <w:top w:val="none" w:sz="0" w:space="0" w:color="auto"/>
        <w:left w:val="none" w:sz="0" w:space="0" w:color="auto"/>
        <w:bottom w:val="none" w:sz="0" w:space="0" w:color="auto"/>
        <w:right w:val="none" w:sz="0" w:space="0" w:color="auto"/>
      </w:divBdr>
    </w:div>
    <w:div w:id="244800566">
      <w:bodyDiv w:val="1"/>
      <w:marLeft w:val="0"/>
      <w:marRight w:val="0"/>
      <w:marTop w:val="0"/>
      <w:marBottom w:val="0"/>
      <w:divBdr>
        <w:top w:val="none" w:sz="0" w:space="0" w:color="auto"/>
        <w:left w:val="none" w:sz="0" w:space="0" w:color="auto"/>
        <w:bottom w:val="none" w:sz="0" w:space="0" w:color="auto"/>
        <w:right w:val="none" w:sz="0" w:space="0" w:color="auto"/>
      </w:divBdr>
    </w:div>
    <w:div w:id="244802981">
      <w:bodyDiv w:val="1"/>
      <w:marLeft w:val="0"/>
      <w:marRight w:val="0"/>
      <w:marTop w:val="0"/>
      <w:marBottom w:val="0"/>
      <w:divBdr>
        <w:top w:val="none" w:sz="0" w:space="0" w:color="auto"/>
        <w:left w:val="none" w:sz="0" w:space="0" w:color="auto"/>
        <w:bottom w:val="none" w:sz="0" w:space="0" w:color="auto"/>
        <w:right w:val="none" w:sz="0" w:space="0" w:color="auto"/>
      </w:divBdr>
    </w:div>
    <w:div w:id="244921629">
      <w:bodyDiv w:val="1"/>
      <w:marLeft w:val="0"/>
      <w:marRight w:val="0"/>
      <w:marTop w:val="0"/>
      <w:marBottom w:val="0"/>
      <w:divBdr>
        <w:top w:val="none" w:sz="0" w:space="0" w:color="auto"/>
        <w:left w:val="none" w:sz="0" w:space="0" w:color="auto"/>
        <w:bottom w:val="none" w:sz="0" w:space="0" w:color="auto"/>
        <w:right w:val="none" w:sz="0" w:space="0" w:color="auto"/>
      </w:divBdr>
    </w:div>
    <w:div w:id="245118453">
      <w:bodyDiv w:val="1"/>
      <w:marLeft w:val="0"/>
      <w:marRight w:val="0"/>
      <w:marTop w:val="0"/>
      <w:marBottom w:val="0"/>
      <w:divBdr>
        <w:top w:val="none" w:sz="0" w:space="0" w:color="auto"/>
        <w:left w:val="none" w:sz="0" w:space="0" w:color="auto"/>
        <w:bottom w:val="none" w:sz="0" w:space="0" w:color="auto"/>
        <w:right w:val="none" w:sz="0" w:space="0" w:color="auto"/>
      </w:divBdr>
    </w:div>
    <w:div w:id="245119453">
      <w:bodyDiv w:val="1"/>
      <w:marLeft w:val="0"/>
      <w:marRight w:val="0"/>
      <w:marTop w:val="0"/>
      <w:marBottom w:val="0"/>
      <w:divBdr>
        <w:top w:val="none" w:sz="0" w:space="0" w:color="auto"/>
        <w:left w:val="none" w:sz="0" w:space="0" w:color="auto"/>
        <w:bottom w:val="none" w:sz="0" w:space="0" w:color="auto"/>
        <w:right w:val="none" w:sz="0" w:space="0" w:color="auto"/>
      </w:divBdr>
    </w:div>
    <w:div w:id="245185958">
      <w:bodyDiv w:val="1"/>
      <w:marLeft w:val="0"/>
      <w:marRight w:val="0"/>
      <w:marTop w:val="0"/>
      <w:marBottom w:val="0"/>
      <w:divBdr>
        <w:top w:val="none" w:sz="0" w:space="0" w:color="auto"/>
        <w:left w:val="none" w:sz="0" w:space="0" w:color="auto"/>
        <w:bottom w:val="none" w:sz="0" w:space="0" w:color="auto"/>
        <w:right w:val="none" w:sz="0" w:space="0" w:color="auto"/>
      </w:divBdr>
    </w:div>
    <w:div w:id="245193907">
      <w:bodyDiv w:val="1"/>
      <w:marLeft w:val="0"/>
      <w:marRight w:val="0"/>
      <w:marTop w:val="0"/>
      <w:marBottom w:val="0"/>
      <w:divBdr>
        <w:top w:val="none" w:sz="0" w:space="0" w:color="auto"/>
        <w:left w:val="none" w:sz="0" w:space="0" w:color="auto"/>
        <w:bottom w:val="none" w:sz="0" w:space="0" w:color="auto"/>
        <w:right w:val="none" w:sz="0" w:space="0" w:color="auto"/>
      </w:divBdr>
    </w:div>
    <w:div w:id="245267643">
      <w:bodyDiv w:val="1"/>
      <w:marLeft w:val="0"/>
      <w:marRight w:val="0"/>
      <w:marTop w:val="0"/>
      <w:marBottom w:val="0"/>
      <w:divBdr>
        <w:top w:val="none" w:sz="0" w:space="0" w:color="auto"/>
        <w:left w:val="none" w:sz="0" w:space="0" w:color="auto"/>
        <w:bottom w:val="none" w:sz="0" w:space="0" w:color="auto"/>
        <w:right w:val="none" w:sz="0" w:space="0" w:color="auto"/>
      </w:divBdr>
    </w:div>
    <w:div w:id="245307372">
      <w:bodyDiv w:val="1"/>
      <w:marLeft w:val="0"/>
      <w:marRight w:val="0"/>
      <w:marTop w:val="0"/>
      <w:marBottom w:val="0"/>
      <w:divBdr>
        <w:top w:val="none" w:sz="0" w:space="0" w:color="auto"/>
        <w:left w:val="none" w:sz="0" w:space="0" w:color="auto"/>
        <w:bottom w:val="none" w:sz="0" w:space="0" w:color="auto"/>
        <w:right w:val="none" w:sz="0" w:space="0" w:color="auto"/>
      </w:divBdr>
    </w:div>
    <w:div w:id="245458991">
      <w:bodyDiv w:val="1"/>
      <w:marLeft w:val="0"/>
      <w:marRight w:val="0"/>
      <w:marTop w:val="0"/>
      <w:marBottom w:val="0"/>
      <w:divBdr>
        <w:top w:val="none" w:sz="0" w:space="0" w:color="auto"/>
        <w:left w:val="none" w:sz="0" w:space="0" w:color="auto"/>
        <w:bottom w:val="none" w:sz="0" w:space="0" w:color="auto"/>
        <w:right w:val="none" w:sz="0" w:space="0" w:color="auto"/>
      </w:divBdr>
    </w:div>
    <w:div w:id="245647761">
      <w:bodyDiv w:val="1"/>
      <w:marLeft w:val="0"/>
      <w:marRight w:val="0"/>
      <w:marTop w:val="0"/>
      <w:marBottom w:val="0"/>
      <w:divBdr>
        <w:top w:val="none" w:sz="0" w:space="0" w:color="auto"/>
        <w:left w:val="none" w:sz="0" w:space="0" w:color="auto"/>
        <w:bottom w:val="none" w:sz="0" w:space="0" w:color="auto"/>
        <w:right w:val="none" w:sz="0" w:space="0" w:color="auto"/>
      </w:divBdr>
    </w:div>
    <w:div w:id="245648488">
      <w:bodyDiv w:val="1"/>
      <w:marLeft w:val="0"/>
      <w:marRight w:val="0"/>
      <w:marTop w:val="0"/>
      <w:marBottom w:val="0"/>
      <w:divBdr>
        <w:top w:val="none" w:sz="0" w:space="0" w:color="auto"/>
        <w:left w:val="none" w:sz="0" w:space="0" w:color="auto"/>
        <w:bottom w:val="none" w:sz="0" w:space="0" w:color="auto"/>
        <w:right w:val="none" w:sz="0" w:space="0" w:color="auto"/>
      </w:divBdr>
    </w:div>
    <w:div w:id="245648551">
      <w:bodyDiv w:val="1"/>
      <w:marLeft w:val="0"/>
      <w:marRight w:val="0"/>
      <w:marTop w:val="0"/>
      <w:marBottom w:val="0"/>
      <w:divBdr>
        <w:top w:val="none" w:sz="0" w:space="0" w:color="auto"/>
        <w:left w:val="none" w:sz="0" w:space="0" w:color="auto"/>
        <w:bottom w:val="none" w:sz="0" w:space="0" w:color="auto"/>
        <w:right w:val="none" w:sz="0" w:space="0" w:color="auto"/>
      </w:divBdr>
    </w:div>
    <w:div w:id="245651432">
      <w:bodyDiv w:val="1"/>
      <w:marLeft w:val="0"/>
      <w:marRight w:val="0"/>
      <w:marTop w:val="0"/>
      <w:marBottom w:val="0"/>
      <w:divBdr>
        <w:top w:val="none" w:sz="0" w:space="0" w:color="auto"/>
        <w:left w:val="none" w:sz="0" w:space="0" w:color="auto"/>
        <w:bottom w:val="none" w:sz="0" w:space="0" w:color="auto"/>
        <w:right w:val="none" w:sz="0" w:space="0" w:color="auto"/>
      </w:divBdr>
    </w:div>
    <w:div w:id="245657074">
      <w:bodyDiv w:val="1"/>
      <w:marLeft w:val="0"/>
      <w:marRight w:val="0"/>
      <w:marTop w:val="0"/>
      <w:marBottom w:val="0"/>
      <w:divBdr>
        <w:top w:val="none" w:sz="0" w:space="0" w:color="auto"/>
        <w:left w:val="none" w:sz="0" w:space="0" w:color="auto"/>
        <w:bottom w:val="none" w:sz="0" w:space="0" w:color="auto"/>
        <w:right w:val="none" w:sz="0" w:space="0" w:color="auto"/>
      </w:divBdr>
    </w:div>
    <w:div w:id="245725198">
      <w:bodyDiv w:val="1"/>
      <w:marLeft w:val="0"/>
      <w:marRight w:val="0"/>
      <w:marTop w:val="0"/>
      <w:marBottom w:val="0"/>
      <w:divBdr>
        <w:top w:val="none" w:sz="0" w:space="0" w:color="auto"/>
        <w:left w:val="none" w:sz="0" w:space="0" w:color="auto"/>
        <w:bottom w:val="none" w:sz="0" w:space="0" w:color="auto"/>
        <w:right w:val="none" w:sz="0" w:space="0" w:color="auto"/>
      </w:divBdr>
    </w:div>
    <w:div w:id="246042580">
      <w:bodyDiv w:val="1"/>
      <w:marLeft w:val="0"/>
      <w:marRight w:val="0"/>
      <w:marTop w:val="0"/>
      <w:marBottom w:val="0"/>
      <w:divBdr>
        <w:top w:val="none" w:sz="0" w:space="0" w:color="auto"/>
        <w:left w:val="none" w:sz="0" w:space="0" w:color="auto"/>
        <w:bottom w:val="none" w:sz="0" w:space="0" w:color="auto"/>
        <w:right w:val="none" w:sz="0" w:space="0" w:color="auto"/>
      </w:divBdr>
    </w:div>
    <w:div w:id="246110029">
      <w:bodyDiv w:val="1"/>
      <w:marLeft w:val="0"/>
      <w:marRight w:val="0"/>
      <w:marTop w:val="0"/>
      <w:marBottom w:val="0"/>
      <w:divBdr>
        <w:top w:val="none" w:sz="0" w:space="0" w:color="auto"/>
        <w:left w:val="none" w:sz="0" w:space="0" w:color="auto"/>
        <w:bottom w:val="none" w:sz="0" w:space="0" w:color="auto"/>
        <w:right w:val="none" w:sz="0" w:space="0" w:color="auto"/>
      </w:divBdr>
    </w:div>
    <w:div w:id="246118888">
      <w:bodyDiv w:val="1"/>
      <w:marLeft w:val="0"/>
      <w:marRight w:val="0"/>
      <w:marTop w:val="0"/>
      <w:marBottom w:val="0"/>
      <w:divBdr>
        <w:top w:val="none" w:sz="0" w:space="0" w:color="auto"/>
        <w:left w:val="none" w:sz="0" w:space="0" w:color="auto"/>
        <w:bottom w:val="none" w:sz="0" w:space="0" w:color="auto"/>
        <w:right w:val="none" w:sz="0" w:space="0" w:color="auto"/>
      </w:divBdr>
    </w:div>
    <w:div w:id="246119338">
      <w:bodyDiv w:val="1"/>
      <w:marLeft w:val="0"/>
      <w:marRight w:val="0"/>
      <w:marTop w:val="0"/>
      <w:marBottom w:val="0"/>
      <w:divBdr>
        <w:top w:val="none" w:sz="0" w:space="0" w:color="auto"/>
        <w:left w:val="none" w:sz="0" w:space="0" w:color="auto"/>
        <w:bottom w:val="none" w:sz="0" w:space="0" w:color="auto"/>
        <w:right w:val="none" w:sz="0" w:space="0" w:color="auto"/>
      </w:divBdr>
    </w:div>
    <w:div w:id="246310826">
      <w:bodyDiv w:val="1"/>
      <w:marLeft w:val="0"/>
      <w:marRight w:val="0"/>
      <w:marTop w:val="0"/>
      <w:marBottom w:val="0"/>
      <w:divBdr>
        <w:top w:val="none" w:sz="0" w:space="0" w:color="auto"/>
        <w:left w:val="none" w:sz="0" w:space="0" w:color="auto"/>
        <w:bottom w:val="none" w:sz="0" w:space="0" w:color="auto"/>
        <w:right w:val="none" w:sz="0" w:space="0" w:color="auto"/>
      </w:divBdr>
    </w:div>
    <w:div w:id="246497010">
      <w:bodyDiv w:val="1"/>
      <w:marLeft w:val="0"/>
      <w:marRight w:val="0"/>
      <w:marTop w:val="0"/>
      <w:marBottom w:val="0"/>
      <w:divBdr>
        <w:top w:val="none" w:sz="0" w:space="0" w:color="auto"/>
        <w:left w:val="none" w:sz="0" w:space="0" w:color="auto"/>
        <w:bottom w:val="none" w:sz="0" w:space="0" w:color="auto"/>
        <w:right w:val="none" w:sz="0" w:space="0" w:color="auto"/>
      </w:divBdr>
    </w:div>
    <w:div w:id="246499463">
      <w:bodyDiv w:val="1"/>
      <w:marLeft w:val="0"/>
      <w:marRight w:val="0"/>
      <w:marTop w:val="0"/>
      <w:marBottom w:val="0"/>
      <w:divBdr>
        <w:top w:val="none" w:sz="0" w:space="0" w:color="auto"/>
        <w:left w:val="none" w:sz="0" w:space="0" w:color="auto"/>
        <w:bottom w:val="none" w:sz="0" w:space="0" w:color="auto"/>
        <w:right w:val="none" w:sz="0" w:space="0" w:color="auto"/>
      </w:divBdr>
    </w:div>
    <w:div w:id="246618459">
      <w:bodyDiv w:val="1"/>
      <w:marLeft w:val="0"/>
      <w:marRight w:val="0"/>
      <w:marTop w:val="0"/>
      <w:marBottom w:val="0"/>
      <w:divBdr>
        <w:top w:val="none" w:sz="0" w:space="0" w:color="auto"/>
        <w:left w:val="none" w:sz="0" w:space="0" w:color="auto"/>
        <w:bottom w:val="none" w:sz="0" w:space="0" w:color="auto"/>
        <w:right w:val="none" w:sz="0" w:space="0" w:color="auto"/>
      </w:divBdr>
    </w:div>
    <w:div w:id="246691153">
      <w:bodyDiv w:val="1"/>
      <w:marLeft w:val="0"/>
      <w:marRight w:val="0"/>
      <w:marTop w:val="0"/>
      <w:marBottom w:val="0"/>
      <w:divBdr>
        <w:top w:val="none" w:sz="0" w:space="0" w:color="auto"/>
        <w:left w:val="none" w:sz="0" w:space="0" w:color="auto"/>
        <w:bottom w:val="none" w:sz="0" w:space="0" w:color="auto"/>
        <w:right w:val="none" w:sz="0" w:space="0" w:color="auto"/>
      </w:divBdr>
    </w:div>
    <w:div w:id="247154610">
      <w:bodyDiv w:val="1"/>
      <w:marLeft w:val="0"/>
      <w:marRight w:val="0"/>
      <w:marTop w:val="0"/>
      <w:marBottom w:val="0"/>
      <w:divBdr>
        <w:top w:val="none" w:sz="0" w:space="0" w:color="auto"/>
        <w:left w:val="none" w:sz="0" w:space="0" w:color="auto"/>
        <w:bottom w:val="none" w:sz="0" w:space="0" w:color="auto"/>
        <w:right w:val="none" w:sz="0" w:space="0" w:color="auto"/>
      </w:divBdr>
    </w:div>
    <w:div w:id="247278041">
      <w:bodyDiv w:val="1"/>
      <w:marLeft w:val="0"/>
      <w:marRight w:val="0"/>
      <w:marTop w:val="0"/>
      <w:marBottom w:val="0"/>
      <w:divBdr>
        <w:top w:val="none" w:sz="0" w:space="0" w:color="auto"/>
        <w:left w:val="none" w:sz="0" w:space="0" w:color="auto"/>
        <w:bottom w:val="none" w:sz="0" w:space="0" w:color="auto"/>
        <w:right w:val="none" w:sz="0" w:space="0" w:color="auto"/>
      </w:divBdr>
    </w:div>
    <w:div w:id="247279079">
      <w:bodyDiv w:val="1"/>
      <w:marLeft w:val="0"/>
      <w:marRight w:val="0"/>
      <w:marTop w:val="0"/>
      <w:marBottom w:val="0"/>
      <w:divBdr>
        <w:top w:val="none" w:sz="0" w:space="0" w:color="auto"/>
        <w:left w:val="none" w:sz="0" w:space="0" w:color="auto"/>
        <w:bottom w:val="none" w:sz="0" w:space="0" w:color="auto"/>
        <w:right w:val="none" w:sz="0" w:space="0" w:color="auto"/>
      </w:divBdr>
    </w:div>
    <w:div w:id="247345253">
      <w:bodyDiv w:val="1"/>
      <w:marLeft w:val="0"/>
      <w:marRight w:val="0"/>
      <w:marTop w:val="0"/>
      <w:marBottom w:val="0"/>
      <w:divBdr>
        <w:top w:val="none" w:sz="0" w:space="0" w:color="auto"/>
        <w:left w:val="none" w:sz="0" w:space="0" w:color="auto"/>
        <w:bottom w:val="none" w:sz="0" w:space="0" w:color="auto"/>
        <w:right w:val="none" w:sz="0" w:space="0" w:color="auto"/>
      </w:divBdr>
    </w:div>
    <w:div w:id="247346526">
      <w:bodyDiv w:val="1"/>
      <w:marLeft w:val="0"/>
      <w:marRight w:val="0"/>
      <w:marTop w:val="0"/>
      <w:marBottom w:val="0"/>
      <w:divBdr>
        <w:top w:val="none" w:sz="0" w:space="0" w:color="auto"/>
        <w:left w:val="none" w:sz="0" w:space="0" w:color="auto"/>
        <w:bottom w:val="none" w:sz="0" w:space="0" w:color="auto"/>
        <w:right w:val="none" w:sz="0" w:space="0" w:color="auto"/>
      </w:divBdr>
    </w:div>
    <w:div w:id="247428972">
      <w:bodyDiv w:val="1"/>
      <w:marLeft w:val="0"/>
      <w:marRight w:val="0"/>
      <w:marTop w:val="0"/>
      <w:marBottom w:val="0"/>
      <w:divBdr>
        <w:top w:val="none" w:sz="0" w:space="0" w:color="auto"/>
        <w:left w:val="none" w:sz="0" w:space="0" w:color="auto"/>
        <w:bottom w:val="none" w:sz="0" w:space="0" w:color="auto"/>
        <w:right w:val="none" w:sz="0" w:space="0" w:color="auto"/>
      </w:divBdr>
    </w:div>
    <w:div w:id="247547591">
      <w:bodyDiv w:val="1"/>
      <w:marLeft w:val="0"/>
      <w:marRight w:val="0"/>
      <w:marTop w:val="0"/>
      <w:marBottom w:val="0"/>
      <w:divBdr>
        <w:top w:val="none" w:sz="0" w:space="0" w:color="auto"/>
        <w:left w:val="none" w:sz="0" w:space="0" w:color="auto"/>
        <w:bottom w:val="none" w:sz="0" w:space="0" w:color="auto"/>
        <w:right w:val="none" w:sz="0" w:space="0" w:color="auto"/>
      </w:divBdr>
    </w:div>
    <w:div w:id="247809279">
      <w:bodyDiv w:val="1"/>
      <w:marLeft w:val="0"/>
      <w:marRight w:val="0"/>
      <w:marTop w:val="0"/>
      <w:marBottom w:val="0"/>
      <w:divBdr>
        <w:top w:val="none" w:sz="0" w:space="0" w:color="auto"/>
        <w:left w:val="none" w:sz="0" w:space="0" w:color="auto"/>
        <w:bottom w:val="none" w:sz="0" w:space="0" w:color="auto"/>
        <w:right w:val="none" w:sz="0" w:space="0" w:color="auto"/>
      </w:divBdr>
    </w:div>
    <w:div w:id="247886693">
      <w:bodyDiv w:val="1"/>
      <w:marLeft w:val="0"/>
      <w:marRight w:val="0"/>
      <w:marTop w:val="0"/>
      <w:marBottom w:val="0"/>
      <w:divBdr>
        <w:top w:val="none" w:sz="0" w:space="0" w:color="auto"/>
        <w:left w:val="none" w:sz="0" w:space="0" w:color="auto"/>
        <w:bottom w:val="none" w:sz="0" w:space="0" w:color="auto"/>
        <w:right w:val="none" w:sz="0" w:space="0" w:color="auto"/>
      </w:divBdr>
    </w:div>
    <w:div w:id="247929004">
      <w:bodyDiv w:val="1"/>
      <w:marLeft w:val="0"/>
      <w:marRight w:val="0"/>
      <w:marTop w:val="0"/>
      <w:marBottom w:val="0"/>
      <w:divBdr>
        <w:top w:val="none" w:sz="0" w:space="0" w:color="auto"/>
        <w:left w:val="none" w:sz="0" w:space="0" w:color="auto"/>
        <w:bottom w:val="none" w:sz="0" w:space="0" w:color="auto"/>
        <w:right w:val="none" w:sz="0" w:space="0" w:color="auto"/>
      </w:divBdr>
    </w:div>
    <w:div w:id="248124493">
      <w:bodyDiv w:val="1"/>
      <w:marLeft w:val="0"/>
      <w:marRight w:val="0"/>
      <w:marTop w:val="0"/>
      <w:marBottom w:val="0"/>
      <w:divBdr>
        <w:top w:val="none" w:sz="0" w:space="0" w:color="auto"/>
        <w:left w:val="none" w:sz="0" w:space="0" w:color="auto"/>
        <w:bottom w:val="none" w:sz="0" w:space="0" w:color="auto"/>
        <w:right w:val="none" w:sz="0" w:space="0" w:color="auto"/>
      </w:divBdr>
    </w:div>
    <w:div w:id="248512568">
      <w:bodyDiv w:val="1"/>
      <w:marLeft w:val="0"/>
      <w:marRight w:val="0"/>
      <w:marTop w:val="0"/>
      <w:marBottom w:val="0"/>
      <w:divBdr>
        <w:top w:val="none" w:sz="0" w:space="0" w:color="auto"/>
        <w:left w:val="none" w:sz="0" w:space="0" w:color="auto"/>
        <w:bottom w:val="none" w:sz="0" w:space="0" w:color="auto"/>
        <w:right w:val="none" w:sz="0" w:space="0" w:color="auto"/>
      </w:divBdr>
    </w:div>
    <w:div w:id="248777246">
      <w:bodyDiv w:val="1"/>
      <w:marLeft w:val="0"/>
      <w:marRight w:val="0"/>
      <w:marTop w:val="0"/>
      <w:marBottom w:val="0"/>
      <w:divBdr>
        <w:top w:val="none" w:sz="0" w:space="0" w:color="auto"/>
        <w:left w:val="none" w:sz="0" w:space="0" w:color="auto"/>
        <w:bottom w:val="none" w:sz="0" w:space="0" w:color="auto"/>
        <w:right w:val="none" w:sz="0" w:space="0" w:color="auto"/>
      </w:divBdr>
    </w:div>
    <w:div w:id="248853649">
      <w:bodyDiv w:val="1"/>
      <w:marLeft w:val="0"/>
      <w:marRight w:val="0"/>
      <w:marTop w:val="0"/>
      <w:marBottom w:val="0"/>
      <w:divBdr>
        <w:top w:val="none" w:sz="0" w:space="0" w:color="auto"/>
        <w:left w:val="none" w:sz="0" w:space="0" w:color="auto"/>
        <w:bottom w:val="none" w:sz="0" w:space="0" w:color="auto"/>
        <w:right w:val="none" w:sz="0" w:space="0" w:color="auto"/>
      </w:divBdr>
    </w:div>
    <w:div w:id="249002392">
      <w:bodyDiv w:val="1"/>
      <w:marLeft w:val="0"/>
      <w:marRight w:val="0"/>
      <w:marTop w:val="0"/>
      <w:marBottom w:val="0"/>
      <w:divBdr>
        <w:top w:val="none" w:sz="0" w:space="0" w:color="auto"/>
        <w:left w:val="none" w:sz="0" w:space="0" w:color="auto"/>
        <w:bottom w:val="none" w:sz="0" w:space="0" w:color="auto"/>
        <w:right w:val="none" w:sz="0" w:space="0" w:color="auto"/>
      </w:divBdr>
    </w:div>
    <w:div w:id="249048964">
      <w:bodyDiv w:val="1"/>
      <w:marLeft w:val="0"/>
      <w:marRight w:val="0"/>
      <w:marTop w:val="0"/>
      <w:marBottom w:val="0"/>
      <w:divBdr>
        <w:top w:val="none" w:sz="0" w:space="0" w:color="auto"/>
        <w:left w:val="none" w:sz="0" w:space="0" w:color="auto"/>
        <w:bottom w:val="none" w:sz="0" w:space="0" w:color="auto"/>
        <w:right w:val="none" w:sz="0" w:space="0" w:color="auto"/>
      </w:divBdr>
    </w:div>
    <w:div w:id="249196848">
      <w:bodyDiv w:val="1"/>
      <w:marLeft w:val="0"/>
      <w:marRight w:val="0"/>
      <w:marTop w:val="0"/>
      <w:marBottom w:val="0"/>
      <w:divBdr>
        <w:top w:val="none" w:sz="0" w:space="0" w:color="auto"/>
        <w:left w:val="none" w:sz="0" w:space="0" w:color="auto"/>
        <w:bottom w:val="none" w:sz="0" w:space="0" w:color="auto"/>
        <w:right w:val="none" w:sz="0" w:space="0" w:color="auto"/>
      </w:divBdr>
    </w:div>
    <w:div w:id="249317319">
      <w:bodyDiv w:val="1"/>
      <w:marLeft w:val="0"/>
      <w:marRight w:val="0"/>
      <w:marTop w:val="0"/>
      <w:marBottom w:val="0"/>
      <w:divBdr>
        <w:top w:val="none" w:sz="0" w:space="0" w:color="auto"/>
        <w:left w:val="none" w:sz="0" w:space="0" w:color="auto"/>
        <w:bottom w:val="none" w:sz="0" w:space="0" w:color="auto"/>
        <w:right w:val="none" w:sz="0" w:space="0" w:color="auto"/>
      </w:divBdr>
    </w:div>
    <w:div w:id="249388150">
      <w:bodyDiv w:val="1"/>
      <w:marLeft w:val="0"/>
      <w:marRight w:val="0"/>
      <w:marTop w:val="0"/>
      <w:marBottom w:val="0"/>
      <w:divBdr>
        <w:top w:val="none" w:sz="0" w:space="0" w:color="auto"/>
        <w:left w:val="none" w:sz="0" w:space="0" w:color="auto"/>
        <w:bottom w:val="none" w:sz="0" w:space="0" w:color="auto"/>
        <w:right w:val="none" w:sz="0" w:space="0" w:color="auto"/>
      </w:divBdr>
    </w:div>
    <w:div w:id="249388404">
      <w:bodyDiv w:val="1"/>
      <w:marLeft w:val="0"/>
      <w:marRight w:val="0"/>
      <w:marTop w:val="0"/>
      <w:marBottom w:val="0"/>
      <w:divBdr>
        <w:top w:val="none" w:sz="0" w:space="0" w:color="auto"/>
        <w:left w:val="none" w:sz="0" w:space="0" w:color="auto"/>
        <w:bottom w:val="none" w:sz="0" w:space="0" w:color="auto"/>
        <w:right w:val="none" w:sz="0" w:space="0" w:color="auto"/>
      </w:divBdr>
    </w:div>
    <w:div w:id="249629157">
      <w:bodyDiv w:val="1"/>
      <w:marLeft w:val="0"/>
      <w:marRight w:val="0"/>
      <w:marTop w:val="0"/>
      <w:marBottom w:val="0"/>
      <w:divBdr>
        <w:top w:val="none" w:sz="0" w:space="0" w:color="auto"/>
        <w:left w:val="none" w:sz="0" w:space="0" w:color="auto"/>
        <w:bottom w:val="none" w:sz="0" w:space="0" w:color="auto"/>
        <w:right w:val="none" w:sz="0" w:space="0" w:color="auto"/>
      </w:divBdr>
    </w:div>
    <w:div w:id="249891080">
      <w:bodyDiv w:val="1"/>
      <w:marLeft w:val="0"/>
      <w:marRight w:val="0"/>
      <w:marTop w:val="0"/>
      <w:marBottom w:val="0"/>
      <w:divBdr>
        <w:top w:val="none" w:sz="0" w:space="0" w:color="auto"/>
        <w:left w:val="none" w:sz="0" w:space="0" w:color="auto"/>
        <w:bottom w:val="none" w:sz="0" w:space="0" w:color="auto"/>
        <w:right w:val="none" w:sz="0" w:space="0" w:color="auto"/>
      </w:divBdr>
    </w:div>
    <w:div w:id="249895867">
      <w:bodyDiv w:val="1"/>
      <w:marLeft w:val="0"/>
      <w:marRight w:val="0"/>
      <w:marTop w:val="0"/>
      <w:marBottom w:val="0"/>
      <w:divBdr>
        <w:top w:val="none" w:sz="0" w:space="0" w:color="auto"/>
        <w:left w:val="none" w:sz="0" w:space="0" w:color="auto"/>
        <w:bottom w:val="none" w:sz="0" w:space="0" w:color="auto"/>
        <w:right w:val="none" w:sz="0" w:space="0" w:color="auto"/>
      </w:divBdr>
    </w:div>
    <w:div w:id="249899960">
      <w:bodyDiv w:val="1"/>
      <w:marLeft w:val="0"/>
      <w:marRight w:val="0"/>
      <w:marTop w:val="0"/>
      <w:marBottom w:val="0"/>
      <w:divBdr>
        <w:top w:val="none" w:sz="0" w:space="0" w:color="auto"/>
        <w:left w:val="none" w:sz="0" w:space="0" w:color="auto"/>
        <w:bottom w:val="none" w:sz="0" w:space="0" w:color="auto"/>
        <w:right w:val="none" w:sz="0" w:space="0" w:color="auto"/>
      </w:divBdr>
    </w:div>
    <w:div w:id="250092550">
      <w:bodyDiv w:val="1"/>
      <w:marLeft w:val="0"/>
      <w:marRight w:val="0"/>
      <w:marTop w:val="0"/>
      <w:marBottom w:val="0"/>
      <w:divBdr>
        <w:top w:val="none" w:sz="0" w:space="0" w:color="auto"/>
        <w:left w:val="none" w:sz="0" w:space="0" w:color="auto"/>
        <w:bottom w:val="none" w:sz="0" w:space="0" w:color="auto"/>
        <w:right w:val="none" w:sz="0" w:space="0" w:color="auto"/>
      </w:divBdr>
    </w:div>
    <w:div w:id="250242799">
      <w:bodyDiv w:val="1"/>
      <w:marLeft w:val="0"/>
      <w:marRight w:val="0"/>
      <w:marTop w:val="0"/>
      <w:marBottom w:val="0"/>
      <w:divBdr>
        <w:top w:val="none" w:sz="0" w:space="0" w:color="auto"/>
        <w:left w:val="none" w:sz="0" w:space="0" w:color="auto"/>
        <w:bottom w:val="none" w:sz="0" w:space="0" w:color="auto"/>
        <w:right w:val="none" w:sz="0" w:space="0" w:color="auto"/>
      </w:divBdr>
    </w:div>
    <w:div w:id="250430258">
      <w:bodyDiv w:val="1"/>
      <w:marLeft w:val="0"/>
      <w:marRight w:val="0"/>
      <w:marTop w:val="0"/>
      <w:marBottom w:val="0"/>
      <w:divBdr>
        <w:top w:val="none" w:sz="0" w:space="0" w:color="auto"/>
        <w:left w:val="none" w:sz="0" w:space="0" w:color="auto"/>
        <w:bottom w:val="none" w:sz="0" w:space="0" w:color="auto"/>
        <w:right w:val="none" w:sz="0" w:space="0" w:color="auto"/>
      </w:divBdr>
    </w:div>
    <w:div w:id="250430965">
      <w:bodyDiv w:val="1"/>
      <w:marLeft w:val="0"/>
      <w:marRight w:val="0"/>
      <w:marTop w:val="0"/>
      <w:marBottom w:val="0"/>
      <w:divBdr>
        <w:top w:val="none" w:sz="0" w:space="0" w:color="auto"/>
        <w:left w:val="none" w:sz="0" w:space="0" w:color="auto"/>
        <w:bottom w:val="none" w:sz="0" w:space="0" w:color="auto"/>
        <w:right w:val="none" w:sz="0" w:space="0" w:color="auto"/>
      </w:divBdr>
    </w:div>
    <w:div w:id="250548897">
      <w:bodyDiv w:val="1"/>
      <w:marLeft w:val="0"/>
      <w:marRight w:val="0"/>
      <w:marTop w:val="0"/>
      <w:marBottom w:val="0"/>
      <w:divBdr>
        <w:top w:val="none" w:sz="0" w:space="0" w:color="auto"/>
        <w:left w:val="none" w:sz="0" w:space="0" w:color="auto"/>
        <w:bottom w:val="none" w:sz="0" w:space="0" w:color="auto"/>
        <w:right w:val="none" w:sz="0" w:space="0" w:color="auto"/>
      </w:divBdr>
    </w:div>
    <w:div w:id="250627088">
      <w:bodyDiv w:val="1"/>
      <w:marLeft w:val="0"/>
      <w:marRight w:val="0"/>
      <w:marTop w:val="0"/>
      <w:marBottom w:val="0"/>
      <w:divBdr>
        <w:top w:val="none" w:sz="0" w:space="0" w:color="auto"/>
        <w:left w:val="none" w:sz="0" w:space="0" w:color="auto"/>
        <w:bottom w:val="none" w:sz="0" w:space="0" w:color="auto"/>
        <w:right w:val="none" w:sz="0" w:space="0" w:color="auto"/>
      </w:divBdr>
    </w:div>
    <w:div w:id="250741695">
      <w:bodyDiv w:val="1"/>
      <w:marLeft w:val="0"/>
      <w:marRight w:val="0"/>
      <w:marTop w:val="0"/>
      <w:marBottom w:val="0"/>
      <w:divBdr>
        <w:top w:val="none" w:sz="0" w:space="0" w:color="auto"/>
        <w:left w:val="none" w:sz="0" w:space="0" w:color="auto"/>
        <w:bottom w:val="none" w:sz="0" w:space="0" w:color="auto"/>
        <w:right w:val="none" w:sz="0" w:space="0" w:color="auto"/>
      </w:divBdr>
    </w:div>
    <w:div w:id="250746996">
      <w:bodyDiv w:val="1"/>
      <w:marLeft w:val="0"/>
      <w:marRight w:val="0"/>
      <w:marTop w:val="0"/>
      <w:marBottom w:val="0"/>
      <w:divBdr>
        <w:top w:val="none" w:sz="0" w:space="0" w:color="auto"/>
        <w:left w:val="none" w:sz="0" w:space="0" w:color="auto"/>
        <w:bottom w:val="none" w:sz="0" w:space="0" w:color="auto"/>
        <w:right w:val="none" w:sz="0" w:space="0" w:color="auto"/>
      </w:divBdr>
    </w:div>
    <w:div w:id="250820323">
      <w:bodyDiv w:val="1"/>
      <w:marLeft w:val="0"/>
      <w:marRight w:val="0"/>
      <w:marTop w:val="0"/>
      <w:marBottom w:val="0"/>
      <w:divBdr>
        <w:top w:val="none" w:sz="0" w:space="0" w:color="auto"/>
        <w:left w:val="none" w:sz="0" w:space="0" w:color="auto"/>
        <w:bottom w:val="none" w:sz="0" w:space="0" w:color="auto"/>
        <w:right w:val="none" w:sz="0" w:space="0" w:color="auto"/>
      </w:divBdr>
    </w:div>
    <w:div w:id="250942016">
      <w:bodyDiv w:val="1"/>
      <w:marLeft w:val="0"/>
      <w:marRight w:val="0"/>
      <w:marTop w:val="0"/>
      <w:marBottom w:val="0"/>
      <w:divBdr>
        <w:top w:val="none" w:sz="0" w:space="0" w:color="auto"/>
        <w:left w:val="none" w:sz="0" w:space="0" w:color="auto"/>
        <w:bottom w:val="none" w:sz="0" w:space="0" w:color="auto"/>
        <w:right w:val="none" w:sz="0" w:space="0" w:color="auto"/>
      </w:divBdr>
    </w:div>
    <w:div w:id="251085349">
      <w:bodyDiv w:val="1"/>
      <w:marLeft w:val="0"/>
      <w:marRight w:val="0"/>
      <w:marTop w:val="0"/>
      <w:marBottom w:val="0"/>
      <w:divBdr>
        <w:top w:val="none" w:sz="0" w:space="0" w:color="auto"/>
        <w:left w:val="none" w:sz="0" w:space="0" w:color="auto"/>
        <w:bottom w:val="none" w:sz="0" w:space="0" w:color="auto"/>
        <w:right w:val="none" w:sz="0" w:space="0" w:color="auto"/>
      </w:divBdr>
    </w:div>
    <w:div w:id="251355773">
      <w:bodyDiv w:val="1"/>
      <w:marLeft w:val="0"/>
      <w:marRight w:val="0"/>
      <w:marTop w:val="0"/>
      <w:marBottom w:val="0"/>
      <w:divBdr>
        <w:top w:val="none" w:sz="0" w:space="0" w:color="auto"/>
        <w:left w:val="none" w:sz="0" w:space="0" w:color="auto"/>
        <w:bottom w:val="none" w:sz="0" w:space="0" w:color="auto"/>
        <w:right w:val="none" w:sz="0" w:space="0" w:color="auto"/>
      </w:divBdr>
    </w:div>
    <w:div w:id="251554046">
      <w:bodyDiv w:val="1"/>
      <w:marLeft w:val="0"/>
      <w:marRight w:val="0"/>
      <w:marTop w:val="0"/>
      <w:marBottom w:val="0"/>
      <w:divBdr>
        <w:top w:val="none" w:sz="0" w:space="0" w:color="auto"/>
        <w:left w:val="none" w:sz="0" w:space="0" w:color="auto"/>
        <w:bottom w:val="none" w:sz="0" w:space="0" w:color="auto"/>
        <w:right w:val="none" w:sz="0" w:space="0" w:color="auto"/>
      </w:divBdr>
    </w:div>
    <w:div w:id="251669791">
      <w:bodyDiv w:val="1"/>
      <w:marLeft w:val="0"/>
      <w:marRight w:val="0"/>
      <w:marTop w:val="0"/>
      <w:marBottom w:val="0"/>
      <w:divBdr>
        <w:top w:val="none" w:sz="0" w:space="0" w:color="auto"/>
        <w:left w:val="none" w:sz="0" w:space="0" w:color="auto"/>
        <w:bottom w:val="none" w:sz="0" w:space="0" w:color="auto"/>
        <w:right w:val="none" w:sz="0" w:space="0" w:color="auto"/>
      </w:divBdr>
    </w:div>
    <w:div w:id="251865187">
      <w:bodyDiv w:val="1"/>
      <w:marLeft w:val="0"/>
      <w:marRight w:val="0"/>
      <w:marTop w:val="0"/>
      <w:marBottom w:val="0"/>
      <w:divBdr>
        <w:top w:val="none" w:sz="0" w:space="0" w:color="auto"/>
        <w:left w:val="none" w:sz="0" w:space="0" w:color="auto"/>
        <w:bottom w:val="none" w:sz="0" w:space="0" w:color="auto"/>
        <w:right w:val="none" w:sz="0" w:space="0" w:color="auto"/>
      </w:divBdr>
    </w:div>
    <w:div w:id="251934651">
      <w:bodyDiv w:val="1"/>
      <w:marLeft w:val="0"/>
      <w:marRight w:val="0"/>
      <w:marTop w:val="0"/>
      <w:marBottom w:val="0"/>
      <w:divBdr>
        <w:top w:val="none" w:sz="0" w:space="0" w:color="auto"/>
        <w:left w:val="none" w:sz="0" w:space="0" w:color="auto"/>
        <w:bottom w:val="none" w:sz="0" w:space="0" w:color="auto"/>
        <w:right w:val="none" w:sz="0" w:space="0" w:color="auto"/>
      </w:divBdr>
    </w:div>
    <w:div w:id="252127191">
      <w:bodyDiv w:val="1"/>
      <w:marLeft w:val="0"/>
      <w:marRight w:val="0"/>
      <w:marTop w:val="0"/>
      <w:marBottom w:val="0"/>
      <w:divBdr>
        <w:top w:val="none" w:sz="0" w:space="0" w:color="auto"/>
        <w:left w:val="none" w:sz="0" w:space="0" w:color="auto"/>
        <w:bottom w:val="none" w:sz="0" w:space="0" w:color="auto"/>
        <w:right w:val="none" w:sz="0" w:space="0" w:color="auto"/>
      </w:divBdr>
    </w:div>
    <w:div w:id="252207124">
      <w:bodyDiv w:val="1"/>
      <w:marLeft w:val="0"/>
      <w:marRight w:val="0"/>
      <w:marTop w:val="0"/>
      <w:marBottom w:val="0"/>
      <w:divBdr>
        <w:top w:val="none" w:sz="0" w:space="0" w:color="auto"/>
        <w:left w:val="none" w:sz="0" w:space="0" w:color="auto"/>
        <w:bottom w:val="none" w:sz="0" w:space="0" w:color="auto"/>
        <w:right w:val="none" w:sz="0" w:space="0" w:color="auto"/>
      </w:divBdr>
    </w:div>
    <w:div w:id="252280082">
      <w:bodyDiv w:val="1"/>
      <w:marLeft w:val="0"/>
      <w:marRight w:val="0"/>
      <w:marTop w:val="0"/>
      <w:marBottom w:val="0"/>
      <w:divBdr>
        <w:top w:val="none" w:sz="0" w:space="0" w:color="auto"/>
        <w:left w:val="none" w:sz="0" w:space="0" w:color="auto"/>
        <w:bottom w:val="none" w:sz="0" w:space="0" w:color="auto"/>
        <w:right w:val="none" w:sz="0" w:space="0" w:color="auto"/>
      </w:divBdr>
    </w:div>
    <w:div w:id="252321951">
      <w:bodyDiv w:val="1"/>
      <w:marLeft w:val="0"/>
      <w:marRight w:val="0"/>
      <w:marTop w:val="0"/>
      <w:marBottom w:val="0"/>
      <w:divBdr>
        <w:top w:val="none" w:sz="0" w:space="0" w:color="auto"/>
        <w:left w:val="none" w:sz="0" w:space="0" w:color="auto"/>
        <w:bottom w:val="none" w:sz="0" w:space="0" w:color="auto"/>
        <w:right w:val="none" w:sz="0" w:space="0" w:color="auto"/>
      </w:divBdr>
    </w:div>
    <w:div w:id="252398622">
      <w:bodyDiv w:val="1"/>
      <w:marLeft w:val="0"/>
      <w:marRight w:val="0"/>
      <w:marTop w:val="0"/>
      <w:marBottom w:val="0"/>
      <w:divBdr>
        <w:top w:val="none" w:sz="0" w:space="0" w:color="auto"/>
        <w:left w:val="none" w:sz="0" w:space="0" w:color="auto"/>
        <w:bottom w:val="none" w:sz="0" w:space="0" w:color="auto"/>
        <w:right w:val="none" w:sz="0" w:space="0" w:color="auto"/>
      </w:divBdr>
    </w:div>
    <w:div w:id="252665351">
      <w:bodyDiv w:val="1"/>
      <w:marLeft w:val="0"/>
      <w:marRight w:val="0"/>
      <w:marTop w:val="0"/>
      <w:marBottom w:val="0"/>
      <w:divBdr>
        <w:top w:val="none" w:sz="0" w:space="0" w:color="auto"/>
        <w:left w:val="none" w:sz="0" w:space="0" w:color="auto"/>
        <w:bottom w:val="none" w:sz="0" w:space="0" w:color="auto"/>
        <w:right w:val="none" w:sz="0" w:space="0" w:color="auto"/>
      </w:divBdr>
    </w:div>
    <w:div w:id="252666982">
      <w:bodyDiv w:val="1"/>
      <w:marLeft w:val="0"/>
      <w:marRight w:val="0"/>
      <w:marTop w:val="0"/>
      <w:marBottom w:val="0"/>
      <w:divBdr>
        <w:top w:val="none" w:sz="0" w:space="0" w:color="auto"/>
        <w:left w:val="none" w:sz="0" w:space="0" w:color="auto"/>
        <w:bottom w:val="none" w:sz="0" w:space="0" w:color="auto"/>
        <w:right w:val="none" w:sz="0" w:space="0" w:color="auto"/>
      </w:divBdr>
    </w:div>
    <w:div w:id="252672047">
      <w:bodyDiv w:val="1"/>
      <w:marLeft w:val="0"/>
      <w:marRight w:val="0"/>
      <w:marTop w:val="0"/>
      <w:marBottom w:val="0"/>
      <w:divBdr>
        <w:top w:val="none" w:sz="0" w:space="0" w:color="auto"/>
        <w:left w:val="none" w:sz="0" w:space="0" w:color="auto"/>
        <w:bottom w:val="none" w:sz="0" w:space="0" w:color="auto"/>
        <w:right w:val="none" w:sz="0" w:space="0" w:color="auto"/>
      </w:divBdr>
    </w:div>
    <w:div w:id="252709675">
      <w:bodyDiv w:val="1"/>
      <w:marLeft w:val="0"/>
      <w:marRight w:val="0"/>
      <w:marTop w:val="0"/>
      <w:marBottom w:val="0"/>
      <w:divBdr>
        <w:top w:val="none" w:sz="0" w:space="0" w:color="auto"/>
        <w:left w:val="none" w:sz="0" w:space="0" w:color="auto"/>
        <w:bottom w:val="none" w:sz="0" w:space="0" w:color="auto"/>
        <w:right w:val="none" w:sz="0" w:space="0" w:color="auto"/>
      </w:divBdr>
    </w:div>
    <w:div w:id="252712884">
      <w:bodyDiv w:val="1"/>
      <w:marLeft w:val="0"/>
      <w:marRight w:val="0"/>
      <w:marTop w:val="0"/>
      <w:marBottom w:val="0"/>
      <w:divBdr>
        <w:top w:val="none" w:sz="0" w:space="0" w:color="auto"/>
        <w:left w:val="none" w:sz="0" w:space="0" w:color="auto"/>
        <w:bottom w:val="none" w:sz="0" w:space="0" w:color="auto"/>
        <w:right w:val="none" w:sz="0" w:space="0" w:color="auto"/>
      </w:divBdr>
    </w:div>
    <w:div w:id="252739197">
      <w:bodyDiv w:val="1"/>
      <w:marLeft w:val="0"/>
      <w:marRight w:val="0"/>
      <w:marTop w:val="0"/>
      <w:marBottom w:val="0"/>
      <w:divBdr>
        <w:top w:val="none" w:sz="0" w:space="0" w:color="auto"/>
        <w:left w:val="none" w:sz="0" w:space="0" w:color="auto"/>
        <w:bottom w:val="none" w:sz="0" w:space="0" w:color="auto"/>
        <w:right w:val="none" w:sz="0" w:space="0" w:color="auto"/>
      </w:divBdr>
    </w:div>
    <w:div w:id="252861664">
      <w:bodyDiv w:val="1"/>
      <w:marLeft w:val="0"/>
      <w:marRight w:val="0"/>
      <w:marTop w:val="0"/>
      <w:marBottom w:val="0"/>
      <w:divBdr>
        <w:top w:val="none" w:sz="0" w:space="0" w:color="auto"/>
        <w:left w:val="none" w:sz="0" w:space="0" w:color="auto"/>
        <w:bottom w:val="none" w:sz="0" w:space="0" w:color="auto"/>
        <w:right w:val="none" w:sz="0" w:space="0" w:color="auto"/>
      </w:divBdr>
    </w:div>
    <w:div w:id="252974153">
      <w:bodyDiv w:val="1"/>
      <w:marLeft w:val="0"/>
      <w:marRight w:val="0"/>
      <w:marTop w:val="0"/>
      <w:marBottom w:val="0"/>
      <w:divBdr>
        <w:top w:val="none" w:sz="0" w:space="0" w:color="auto"/>
        <w:left w:val="none" w:sz="0" w:space="0" w:color="auto"/>
        <w:bottom w:val="none" w:sz="0" w:space="0" w:color="auto"/>
        <w:right w:val="none" w:sz="0" w:space="0" w:color="auto"/>
      </w:divBdr>
    </w:div>
    <w:div w:id="253051320">
      <w:bodyDiv w:val="1"/>
      <w:marLeft w:val="0"/>
      <w:marRight w:val="0"/>
      <w:marTop w:val="0"/>
      <w:marBottom w:val="0"/>
      <w:divBdr>
        <w:top w:val="none" w:sz="0" w:space="0" w:color="auto"/>
        <w:left w:val="none" w:sz="0" w:space="0" w:color="auto"/>
        <w:bottom w:val="none" w:sz="0" w:space="0" w:color="auto"/>
        <w:right w:val="none" w:sz="0" w:space="0" w:color="auto"/>
      </w:divBdr>
    </w:div>
    <w:div w:id="253054152">
      <w:bodyDiv w:val="1"/>
      <w:marLeft w:val="0"/>
      <w:marRight w:val="0"/>
      <w:marTop w:val="0"/>
      <w:marBottom w:val="0"/>
      <w:divBdr>
        <w:top w:val="none" w:sz="0" w:space="0" w:color="auto"/>
        <w:left w:val="none" w:sz="0" w:space="0" w:color="auto"/>
        <w:bottom w:val="none" w:sz="0" w:space="0" w:color="auto"/>
        <w:right w:val="none" w:sz="0" w:space="0" w:color="auto"/>
      </w:divBdr>
    </w:div>
    <w:div w:id="253130248">
      <w:bodyDiv w:val="1"/>
      <w:marLeft w:val="0"/>
      <w:marRight w:val="0"/>
      <w:marTop w:val="0"/>
      <w:marBottom w:val="0"/>
      <w:divBdr>
        <w:top w:val="none" w:sz="0" w:space="0" w:color="auto"/>
        <w:left w:val="none" w:sz="0" w:space="0" w:color="auto"/>
        <w:bottom w:val="none" w:sz="0" w:space="0" w:color="auto"/>
        <w:right w:val="none" w:sz="0" w:space="0" w:color="auto"/>
      </w:divBdr>
    </w:div>
    <w:div w:id="253173210">
      <w:bodyDiv w:val="1"/>
      <w:marLeft w:val="0"/>
      <w:marRight w:val="0"/>
      <w:marTop w:val="0"/>
      <w:marBottom w:val="0"/>
      <w:divBdr>
        <w:top w:val="none" w:sz="0" w:space="0" w:color="auto"/>
        <w:left w:val="none" w:sz="0" w:space="0" w:color="auto"/>
        <w:bottom w:val="none" w:sz="0" w:space="0" w:color="auto"/>
        <w:right w:val="none" w:sz="0" w:space="0" w:color="auto"/>
      </w:divBdr>
    </w:div>
    <w:div w:id="253250706">
      <w:bodyDiv w:val="1"/>
      <w:marLeft w:val="0"/>
      <w:marRight w:val="0"/>
      <w:marTop w:val="0"/>
      <w:marBottom w:val="0"/>
      <w:divBdr>
        <w:top w:val="none" w:sz="0" w:space="0" w:color="auto"/>
        <w:left w:val="none" w:sz="0" w:space="0" w:color="auto"/>
        <w:bottom w:val="none" w:sz="0" w:space="0" w:color="auto"/>
        <w:right w:val="none" w:sz="0" w:space="0" w:color="auto"/>
      </w:divBdr>
    </w:div>
    <w:div w:id="253251140">
      <w:bodyDiv w:val="1"/>
      <w:marLeft w:val="0"/>
      <w:marRight w:val="0"/>
      <w:marTop w:val="0"/>
      <w:marBottom w:val="0"/>
      <w:divBdr>
        <w:top w:val="none" w:sz="0" w:space="0" w:color="auto"/>
        <w:left w:val="none" w:sz="0" w:space="0" w:color="auto"/>
        <w:bottom w:val="none" w:sz="0" w:space="0" w:color="auto"/>
        <w:right w:val="none" w:sz="0" w:space="0" w:color="auto"/>
      </w:divBdr>
    </w:div>
    <w:div w:id="253363505">
      <w:bodyDiv w:val="1"/>
      <w:marLeft w:val="0"/>
      <w:marRight w:val="0"/>
      <w:marTop w:val="0"/>
      <w:marBottom w:val="0"/>
      <w:divBdr>
        <w:top w:val="none" w:sz="0" w:space="0" w:color="auto"/>
        <w:left w:val="none" w:sz="0" w:space="0" w:color="auto"/>
        <w:bottom w:val="none" w:sz="0" w:space="0" w:color="auto"/>
        <w:right w:val="none" w:sz="0" w:space="0" w:color="auto"/>
      </w:divBdr>
    </w:div>
    <w:div w:id="253394103">
      <w:bodyDiv w:val="1"/>
      <w:marLeft w:val="0"/>
      <w:marRight w:val="0"/>
      <w:marTop w:val="0"/>
      <w:marBottom w:val="0"/>
      <w:divBdr>
        <w:top w:val="none" w:sz="0" w:space="0" w:color="auto"/>
        <w:left w:val="none" w:sz="0" w:space="0" w:color="auto"/>
        <w:bottom w:val="none" w:sz="0" w:space="0" w:color="auto"/>
        <w:right w:val="none" w:sz="0" w:space="0" w:color="auto"/>
      </w:divBdr>
    </w:div>
    <w:div w:id="253440484">
      <w:bodyDiv w:val="1"/>
      <w:marLeft w:val="0"/>
      <w:marRight w:val="0"/>
      <w:marTop w:val="0"/>
      <w:marBottom w:val="0"/>
      <w:divBdr>
        <w:top w:val="none" w:sz="0" w:space="0" w:color="auto"/>
        <w:left w:val="none" w:sz="0" w:space="0" w:color="auto"/>
        <w:bottom w:val="none" w:sz="0" w:space="0" w:color="auto"/>
        <w:right w:val="none" w:sz="0" w:space="0" w:color="auto"/>
      </w:divBdr>
    </w:div>
    <w:div w:id="253588751">
      <w:bodyDiv w:val="1"/>
      <w:marLeft w:val="0"/>
      <w:marRight w:val="0"/>
      <w:marTop w:val="0"/>
      <w:marBottom w:val="0"/>
      <w:divBdr>
        <w:top w:val="none" w:sz="0" w:space="0" w:color="auto"/>
        <w:left w:val="none" w:sz="0" w:space="0" w:color="auto"/>
        <w:bottom w:val="none" w:sz="0" w:space="0" w:color="auto"/>
        <w:right w:val="none" w:sz="0" w:space="0" w:color="auto"/>
      </w:divBdr>
    </w:div>
    <w:div w:id="253633419">
      <w:bodyDiv w:val="1"/>
      <w:marLeft w:val="0"/>
      <w:marRight w:val="0"/>
      <w:marTop w:val="0"/>
      <w:marBottom w:val="0"/>
      <w:divBdr>
        <w:top w:val="none" w:sz="0" w:space="0" w:color="auto"/>
        <w:left w:val="none" w:sz="0" w:space="0" w:color="auto"/>
        <w:bottom w:val="none" w:sz="0" w:space="0" w:color="auto"/>
        <w:right w:val="none" w:sz="0" w:space="0" w:color="auto"/>
      </w:divBdr>
    </w:div>
    <w:div w:id="253901786">
      <w:bodyDiv w:val="1"/>
      <w:marLeft w:val="0"/>
      <w:marRight w:val="0"/>
      <w:marTop w:val="0"/>
      <w:marBottom w:val="0"/>
      <w:divBdr>
        <w:top w:val="none" w:sz="0" w:space="0" w:color="auto"/>
        <w:left w:val="none" w:sz="0" w:space="0" w:color="auto"/>
        <w:bottom w:val="none" w:sz="0" w:space="0" w:color="auto"/>
        <w:right w:val="none" w:sz="0" w:space="0" w:color="auto"/>
      </w:divBdr>
    </w:div>
    <w:div w:id="253975256">
      <w:bodyDiv w:val="1"/>
      <w:marLeft w:val="0"/>
      <w:marRight w:val="0"/>
      <w:marTop w:val="0"/>
      <w:marBottom w:val="0"/>
      <w:divBdr>
        <w:top w:val="none" w:sz="0" w:space="0" w:color="auto"/>
        <w:left w:val="none" w:sz="0" w:space="0" w:color="auto"/>
        <w:bottom w:val="none" w:sz="0" w:space="0" w:color="auto"/>
        <w:right w:val="none" w:sz="0" w:space="0" w:color="auto"/>
      </w:divBdr>
    </w:div>
    <w:div w:id="253981840">
      <w:bodyDiv w:val="1"/>
      <w:marLeft w:val="0"/>
      <w:marRight w:val="0"/>
      <w:marTop w:val="0"/>
      <w:marBottom w:val="0"/>
      <w:divBdr>
        <w:top w:val="none" w:sz="0" w:space="0" w:color="auto"/>
        <w:left w:val="none" w:sz="0" w:space="0" w:color="auto"/>
        <w:bottom w:val="none" w:sz="0" w:space="0" w:color="auto"/>
        <w:right w:val="none" w:sz="0" w:space="0" w:color="auto"/>
      </w:divBdr>
    </w:div>
    <w:div w:id="254019469">
      <w:bodyDiv w:val="1"/>
      <w:marLeft w:val="0"/>
      <w:marRight w:val="0"/>
      <w:marTop w:val="0"/>
      <w:marBottom w:val="0"/>
      <w:divBdr>
        <w:top w:val="none" w:sz="0" w:space="0" w:color="auto"/>
        <w:left w:val="none" w:sz="0" w:space="0" w:color="auto"/>
        <w:bottom w:val="none" w:sz="0" w:space="0" w:color="auto"/>
        <w:right w:val="none" w:sz="0" w:space="0" w:color="auto"/>
      </w:divBdr>
    </w:div>
    <w:div w:id="254093439">
      <w:bodyDiv w:val="1"/>
      <w:marLeft w:val="0"/>
      <w:marRight w:val="0"/>
      <w:marTop w:val="0"/>
      <w:marBottom w:val="0"/>
      <w:divBdr>
        <w:top w:val="none" w:sz="0" w:space="0" w:color="auto"/>
        <w:left w:val="none" w:sz="0" w:space="0" w:color="auto"/>
        <w:bottom w:val="none" w:sz="0" w:space="0" w:color="auto"/>
        <w:right w:val="none" w:sz="0" w:space="0" w:color="auto"/>
      </w:divBdr>
    </w:div>
    <w:div w:id="254285306">
      <w:bodyDiv w:val="1"/>
      <w:marLeft w:val="0"/>
      <w:marRight w:val="0"/>
      <w:marTop w:val="0"/>
      <w:marBottom w:val="0"/>
      <w:divBdr>
        <w:top w:val="none" w:sz="0" w:space="0" w:color="auto"/>
        <w:left w:val="none" w:sz="0" w:space="0" w:color="auto"/>
        <w:bottom w:val="none" w:sz="0" w:space="0" w:color="auto"/>
        <w:right w:val="none" w:sz="0" w:space="0" w:color="auto"/>
      </w:divBdr>
    </w:div>
    <w:div w:id="254286838">
      <w:bodyDiv w:val="1"/>
      <w:marLeft w:val="0"/>
      <w:marRight w:val="0"/>
      <w:marTop w:val="0"/>
      <w:marBottom w:val="0"/>
      <w:divBdr>
        <w:top w:val="none" w:sz="0" w:space="0" w:color="auto"/>
        <w:left w:val="none" w:sz="0" w:space="0" w:color="auto"/>
        <w:bottom w:val="none" w:sz="0" w:space="0" w:color="auto"/>
        <w:right w:val="none" w:sz="0" w:space="0" w:color="auto"/>
      </w:divBdr>
    </w:div>
    <w:div w:id="254287922">
      <w:bodyDiv w:val="1"/>
      <w:marLeft w:val="0"/>
      <w:marRight w:val="0"/>
      <w:marTop w:val="0"/>
      <w:marBottom w:val="0"/>
      <w:divBdr>
        <w:top w:val="none" w:sz="0" w:space="0" w:color="auto"/>
        <w:left w:val="none" w:sz="0" w:space="0" w:color="auto"/>
        <w:bottom w:val="none" w:sz="0" w:space="0" w:color="auto"/>
        <w:right w:val="none" w:sz="0" w:space="0" w:color="auto"/>
      </w:divBdr>
    </w:div>
    <w:div w:id="254364379">
      <w:bodyDiv w:val="1"/>
      <w:marLeft w:val="0"/>
      <w:marRight w:val="0"/>
      <w:marTop w:val="0"/>
      <w:marBottom w:val="0"/>
      <w:divBdr>
        <w:top w:val="none" w:sz="0" w:space="0" w:color="auto"/>
        <w:left w:val="none" w:sz="0" w:space="0" w:color="auto"/>
        <w:bottom w:val="none" w:sz="0" w:space="0" w:color="auto"/>
        <w:right w:val="none" w:sz="0" w:space="0" w:color="auto"/>
      </w:divBdr>
    </w:div>
    <w:div w:id="254632742">
      <w:bodyDiv w:val="1"/>
      <w:marLeft w:val="0"/>
      <w:marRight w:val="0"/>
      <w:marTop w:val="0"/>
      <w:marBottom w:val="0"/>
      <w:divBdr>
        <w:top w:val="none" w:sz="0" w:space="0" w:color="auto"/>
        <w:left w:val="none" w:sz="0" w:space="0" w:color="auto"/>
        <w:bottom w:val="none" w:sz="0" w:space="0" w:color="auto"/>
        <w:right w:val="none" w:sz="0" w:space="0" w:color="auto"/>
      </w:divBdr>
    </w:div>
    <w:div w:id="254755661">
      <w:bodyDiv w:val="1"/>
      <w:marLeft w:val="0"/>
      <w:marRight w:val="0"/>
      <w:marTop w:val="0"/>
      <w:marBottom w:val="0"/>
      <w:divBdr>
        <w:top w:val="none" w:sz="0" w:space="0" w:color="auto"/>
        <w:left w:val="none" w:sz="0" w:space="0" w:color="auto"/>
        <w:bottom w:val="none" w:sz="0" w:space="0" w:color="auto"/>
        <w:right w:val="none" w:sz="0" w:space="0" w:color="auto"/>
      </w:divBdr>
    </w:div>
    <w:div w:id="255140032">
      <w:bodyDiv w:val="1"/>
      <w:marLeft w:val="0"/>
      <w:marRight w:val="0"/>
      <w:marTop w:val="0"/>
      <w:marBottom w:val="0"/>
      <w:divBdr>
        <w:top w:val="none" w:sz="0" w:space="0" w:color="auto"/>
        <w:left w:val="none" w:sz="0" w:space="0" w:color="auto"/>
        <w:bottom w:val="none" w:sz="0" w:space="0" w:color="auto"/>
        <w:right w:val="none" w:sz="0" w:space="0" w:color="auto"/>
      </w:divBdr>
    </w:div>
    <w:div w:id="255285822">
      <w:bodyDiv w:val="1"/>
      <w:marLeft w:val="0"/>
      <w:marRight w:val="0"/>
      <w:marTop w:val="0"/>
      <w:marBottom w:val="0"/>
      <w:divBdr>
        <w:top w:val="none" w:sz="0" w:space="0" w:color="auto"/>
        <w:left w:val="none" w:sz="0" w:space="0" w:color="auto"/>
        <w:bottom w:val="none" w:sz="0" w:space="0" w:color="auto"/>
        <w:right w:val="none" w:sz="0" w:space="0" w:color="auto"/>
      </w:divBdr>
    </w:div>
    <w:div w:id="255290979">
      <w:bodyDiv w:val="1"/>
      <w:marLeft w:val="0"/>
      <w:marRight w:val="0"/>
      <w:marTop w:val="0"/>
      <w:marBottom w:val="0"/>
      <w:divBdr>
        <w:top w:val="none" w:sz="0" w:space="0" w:color="auto"/>
        <w:left w:val="none" w:sz="0" w:space="0" w:color="auto"/>
        <w:bottom w:val="none" w:sz="0" w:space="0" w:color="auto"/>
        <w:right w:val="none" w:sz="0" w:space="0" w:color="auto"/>
      </w:divBdr>
    </w:div>
    <w:div w:id="255402584">
      <w:bodyDiv w:val="1"/>
      <w:marLeft w:val="0"/>
      <w:marRight w:val="0"/>
      <w:marTop w:val="0"/>
      <w:marBottom w:val="0"/>
      <w:divBdr>
        <w:top w:val="none" w:sz="0" w:space="0" w:color="auto"/>
        <w:left w:val="none" w:sz="0" w:space="0" w:color="auto"/>
        <w:bottom w:val="none" w:sz="0" w:space="0" w:color="auto"/>
        <w:right w:val="none" w:sz="0" w:space="0" w:color="auto"/>
      </w:divBdr>
    </w:div>
    <w:div w:id="255410773">
      <w:bodyDiv w:val="1"/>
      <w:marLeft w:val="0"/>
      <w:marRight w:val="0"/>
      <w:marTop w:val="0"/>
      <w:marBottom w:val="0"/>
      <w:divBdr>
        <w:top w:val="none" w:sz="0" w:space="0" w:color="auto"/>
        <w:left w:val="none" w:sz="0" w:space="0" w:color="auto"/>
        <w:bottom w:val="none" w:sz="0" w:space="0" w:color="auto"/>
        <w:right w:val="none" w:sz="0" w:space="0" w:color="auto"/>
      </w:divBdr>
    </w:div>
    <w:div w:id="255525919">
      <w:bodyDiv w:val="1"/>
      <w:marLeft w:val="0"/>
      <w:marRight w:val="0"/>
      <w:marTop w:val="0"/>
      <w:marBottom w:val="0"/>
      <w:divBdr>
        <w:top w:val="none" w:sz="0" w:space="0" w:color="auto"/>
        <w:left w:val="none" w:sz="0" w:space="0" w:color="auto"/>
        <w:bottom w:val="none" w:sz="0" w:space="0" w:color="auto"/>
        <w:right w:val="none" w:sz="0" w:space="0" w:color="auto"/>
      </w:divBdr>
    </w:div>
    <w:div w:id="255945323">
      <w:bodyDiv w:val="1"/>
      <w:marLeft w:val="0"/>
      <w:marRight w:val="0"/>
      <w:marTop w:val="0"/>
      <w:marBottom w:val="0"/>
      <w:divBdr>
        <w:top w:val="none" w:sz="0" w:space="0" w:color="auto"/>
        <w:left w:val="none" w:sz="0" w:space="0" w:color="auto"/>
        <w:bottom w:val="none" w:sz="0" w:space="0" w:color="auto"/>
        <w:right w:val="none" w:sz="0" w:space="0" w:color="auto"/>
      </w:divBdr>
    </w:div>
    <w:div w:id="256060625">
      <w:bodyDiv w:val="1"/>
      <w:marLeft w:val="0"/>
      <w:marRight w:val="0"/>
      <w:marTop w:val="0"/>
      <w:marBottom w:val="0"/>
      <w:divBdr>
        <w:top w:val="none" w:sz="0" w:space="0" w:color="auto"/>
        <w:left w:val="none" w:sz="0" w:space="0" w:color="auto"/>
        <w:bottom w:val="none" w:sz="0" w:space="0" w:color="auto"/>
        <w:right w:val="none" w:sz="0" w:space="0" w:color="auto"/>
      </w:divBdr>
    </w:div>
    <w:div w:id="256251440">
      <w:bodyDiv w:val="1"/>
      <w:marLeft w:val="0"/>
      <w:marRight w:val="0"/>
      <w:marTop w:val="0"/>
      <w:marBottom w:val="0"/>
      <w:divBdr>
        <w:top w:val="none" w:sz="0" w:space="0" w:color="auto"/>
        <w:left w:val="none" w:sz="0" w:space="0" w:color="auto"/>
        <w:bottom w:val="none" w:sz="0" w:space="0" w:color="auto"/>
        <w:right w:val="none" w:sz="0" w:space="0" w:color="auto"/>
      </w:divBdr>
    </w:div>
    <w:div w:id="256446278">
      <w:bodyDiv w:val="1"/>
      <w:marLeft w:val="0"/>
      <w:marRight w:val="0"/>
      <w:marTop w:val="0"/>
      <w:marBottom w:val="0"/>
      <w:divBdr>
        <w:top w:val="none" w:sz="0" w:space="0" w:color="auto"/>
        <w:left w:val="none" w:sz="0" w:space="0" w:color="auto"/>
        <w:bottom w:val="none" w:sz="0" w:space="0" w:color="auto"/>
        <w:right w:val="none" w:sz="0" w:space="0" w:color="auto"/>
      </w:divBdr>
    </w:div>
    <w:div w:id="256713799">
      <w:bodyDiv w:val="1"/>
      <w:marLeft w:val="0"/>
      <w:marRight w:val="0"/>
      <w:marTop w:val="0"/>
      <w:marBottom w:val="0"/>
      <w:divBdr>
        <w:top w:val="none" w:sz="0" w:space="0" w:color="auto"/>
        <w:left w:val="none" w:sz="0" w:space="0" w:color="auto"/>
        <w:bottom w:val="none" w:sz="0" w:space="0" w:color="auto"/>
        <w:right w:val="none" w:sz="0" w:space="0" w:color="auto"/>
      </w:divBdr>
    </w:div>
    <w:div w:id="256910842">
      <w:bodyDiv w:val="1"/>
      <w:marLeft w:val="0"/>
      <w:marRight w:val="0"/>
      <w:marTop w:val="0"/>
      <w:marBottom w:val="0"/>
      <w:divBdr>
        <w:top w:val="none" w:sz="0" w:space="0" w:color="auto"/>
        <w:left w:val="none" w:sz="0" w:space="0" w:color="auto"/>
        <w:bottom w:val="none" w:sz="0" w:space="0" w:color="auto"/>
        <w:right w:val="none" w:sz="0" w:space="0" w:color="auto"/>
      </w:divBdr>
    </w:div>
    <w:div w:id="257103738">
      <w:bodyDiv w:val="1"/>
      <w:marLeft w:val="0"/>
      <w:marRight w:val="0"/>
      <w:marTop w:val="0"/>
      <w:marBottom w:val="0"/>
      <w:divBdr>
        <w:top w:val="none" w:sz="0" w:space="0" w:color="auto"/>
        <w:left w:val="none" w:sz="0" w:space="0" w:color="auto"/>
        <w:bottom w:val="none" w:sz="0" w:space="0" w:color="auto"/>
        <w:right w:val="none" w:sz="0" w:space="0" w:color="auto"/>
      </w:divBdr>
    </w:div>
    <w:div w:id="257104826">
      <w:bodyDiv w:val="1"/>
      <w:marLeft w:val="0"/>
      <w:marRight w:val="0"/>
      <w:marTop w:val="0"/>
      <w:marBottom w:val="0"/>
      <w:divBdr>
        <w:top w:val="none" w:sz="0" w:space="0" w:color="auto"/>
        <w:left w:val="none" w:sz="0" w:space="0" w:color="auto"/>
        <w:bottom w:val="none" w:sz="0" w:space="0" w:color="auto"/>
        <w:right w:val="none" w:sz="0" w:space="0" w:color="auto"/>
      </w:divBdr>
    </w:div>
    <w:div w:id="257255189">
      <w:bodyDiv w:val="1"/>
      <w:marLeft w:val="0"/>
      <w:marRight w:val="0"/>
      <w:marTop w:val="0"/>
      <w:marBottom w:val="0"/>
      <w:divBdr>
        <w:top w:val="none" w:sz="0" w:space="0" w:color="auto"/>
        <w:left w:val="none" w:sz="0" w:space="0" w:color="auto"/>
        <w:bottom w:val="none" w:sz="0" w:space="0" w:color="auto"/>
        <w:right w:val="none" w:sz="0" w:space="0" w:color="auto"/>
      </w:divBdr>
    </w:div>
    <w:div w:id="257451790">
      <w:bodyDiv w:val="1"/>
      <w:marLeft w:val="0"/>
      <w:marRight w:val="0"/>
      <w:marTop w:val="0"/>
      <w:marBottom w:val="0"/>
      <w:divBdr>
        <w:top w:val="none" w:sz="0" w:space="0" w:color="auto"/>
        <w:left w:val="none" w:sz="0" w:space="0" w:color="auto"/>
        <w:bottom w:val="none" w:sz="0" w:space="0" w:color="auto"/>
        <w:right w:val="none" w:sz="0" w:space="0" w:color="auto"/>
      </w:divBdr>
    </w:div>
    <w:div w:id="257717666">
      <w:bodyDiv w:val="1"/>
      <w:marLeft w:val="0"/>
      <w:marRight w:val="0"/>
      <w:marTop w:val="0"/>
      <w:marBottom w:val="0"/>
      <w:divBdr>
        <w:top w:val="none" w:sz="0" w:space="0" w:color="auto"/>
        <w:left w:val="none" w:sz="0" w:space="0" w:color="auto"/>
        <w:bottom w:val="none" w:sz="0" w:space="0" w:color="auto"/>
        <w:right w:val="none" w:sz="0" w:space="0" w:color="auto"/>
      </w:divBdr>
    </w:div>
    <w:div w:id="257836168">
      <w:bodyDiv w:val="1"/>
      <w:marLeft w:val="0"/>
      <w:marRight w:val="0"/>
      <w:marTop w:val="0"/>
      <w:marBottom w:val="0"/>
      <w:divBdr>
        <w:top w:val="none" w:sz="0" w:space="0" w:color="auto"/>
        <w:left w:val="none" w:sz="0" w:space="0" w:color="auto"/>
        <w:bottom w:val="none" w:sz="0" w:space="0" w:color="auto"/>
        <w:right w:val="none" w:sz="0" w:space="0" w:color="auto"/>
      </w:divBdr>
    </w:div>
    <w:div w:id="257911827">
      <w:bodyDiv w:val="1"/>
      <w:marLeft w:val="0"/>
      <w:marRight w:val="0"/>
      <w:marTop w:val="0"/>
      <w:marBottom w:val="0"/>
      <w:divBdr>
        <w:top w:val="none" w:sz="0" w:space="0" w:color="auto"/>
        <w:left w:val="none" w:sz="0" w:space="0" w:color="auto"/>
        <w:bottom w:val="none" w:sz="0" w:space="0" w:color="auto"/>
        <w:right w:val="none" w:sz="0" w:space="0" w:color="auto"/>
      </w:divBdr>
    </w:div>
    <w:div w:id="258022631">
      <w:bodyDiv w:val="1"/>
      <w:marLeft w:val="0"/>
      <w:marRight w:val="0"/>
      <w:marTop w:val="0"/>
      <w:marBottom w:val="0"/>
      <w:divBdr>
        <w:top w:val="none" w:sz="0" w:space="0" w:color="auto"/>
        <w:left w:val="none" w:sz="0" w:space="0" w:color="auto"/>
        <w:bottom w:val="none" w:sz="0" w:space="0" w:color="auto"/>
        <w:right w:val="none" w:sz="0" w:space="0" w:color="auto"/>
      </w:divBdr>
    </w:div>
    <w:div w:id="258103051">
      <w:bodyDiv w:val="1"/>
      <w:marLeft w:val="0"/>
      <w:marRight w:val="0"/>
      <w:marTop w:val="0"/>
      <w:marBottom w:val="0"/>
      <w:divBdr>
        <w:top w:val="none" w:sz="0" w:space="0" w:color="auto"/>
        <w:left w:val="none" w:sz="0" w:space="0" w:color="auto"/>
        <w:bottom w:val="none" w:sz="0" w:space="0" w:color="auto"/>
        <w:right w:val="none" w:sz="0" w:space="0" w:color="auto"/>
      </w:divBdr>
    </w:div>
    <w:div w:id="258104414">
      <w:bodyDiv w:val="1"/>
      <w:marLeft w:val="0"/>
      <w:marRight w:val="0"/>
      <w:marTop w:val="0"/>
      <w:marBottom w:val="0"/>
      <w:divBdr>
        <w:top w:val="none" w:sz="0" w:space="0" w:color="auto"/>
        <w:left w:val="none" w:sz="0" w:space="0" w:color="auto"/>
        <w:bottom w:val="none" w:sz="0" w:space="0" w:color="auto"/>
        <w:right w:val="none" w:sz="0" w:space="0" w:color="auto"/>
      </w:divBdr>
    </w:div>
    <w:div w:id="258216556">
      <w:bodyDiv w:val="1"/>
      <w:marLeft w:val="0"/>
      <w:marRight w:val="0"/>
      <w:marTop w:val="0"/>
      <w:marBottom w:val="0"/>
      <w:divBdr>
        <w:top w:val="none" w:sz="0" w:space="0" w:color="auto"/>
        <w:left w:val="none" w:sz="0" w:space="0" w:color="auto"/>
        <w:bottom w:val="none" w:sz="0" w:space="0" w:color="auto"/>
        <w:right w:val="none" w:sz="0" w:space="0" w:color="auto"/>
      </w:divBdr>
    </w:div>
    <w:div w:id="258224753">
      <w:bodyDiv w:val="1"/>
      <w:marLeft w:val="0"/>
      <w:marRight w:val="0"/>
      <w:marTop w:val="0"/>
      <w:marBottom w:val="0"/>
      <w:divBdr>
        <w:top w:val="none" w:sz="0" w:space="0" w:color="auto"/>
        <w:left w:val="none" w:sz="0" w:space="0" w:color="auto"/>
        <w:bottom w:val="none" w:sz="0" w:space="0" w:color="auto"/>
        <w:right w:val="none" w:sz="0" w:space="0" w:color="auto"/>
      </w:divBdr>
    </w:div>
    <w:div w:id="258372247">
      <w:bodyDiv w:val="1"/>
      <w:marLeft w:val="0"/>
      <w:marRight w:val="0"/>
      <w:marTop w:val="0"/>
      <w:marBottom w:val="0"/>
      <w:divBdr>
        <w:top w:val="none" w:sz="0" w:space="0" w:color="auto"/>
        <w:left w:val="none" w:sz="0" w:space="0" w:color="auto"/>
        <w:bottom w:val="none" w:sz="0" w:space="0" w:color="auto"/>
        <w:right w:val="none" w:sz="0" w:space="0" w:color="auto"/>
      </w:divBdr>
    </w:div>
    <w:div w:id="258410247">
      <w:bodyDiv w:val="1"/>
      <w:marLeft w:val="0"/>
      <w:marRight w:val="0"/>
      <w:marTop w:val="0"/>
      <w:marBottom w:val="0"/>
      <w:divBdr>
        <w:top w:val="none" w:sz="0" w:space="0" w:color="auto"/>
        <w:left w:val="none" w:sz="0" w:space="0" w:color="auto"/>
        <w:bottom w:val="none" w:sz="0" w:space="0" w:color="auto"/>
        <w:right w:val="none" w:sz="0" w:space="0" w:color="auto"/>
      </w:divBdr>
    </w:div>
    <w:div w:id="258568458">
      <w:bodyDiv w:val="1"/>
      <w:marLeft w:val="0"/>
      <w:marRight w:val="0"/>
      <w:marTop w:val="0"/>
      <w:marBottom w:val="0"/>
      <w:divBdr>
        <w:top w:val="none" w:sz="0" w:space="0" w:color="auto"/>
        <w:left w:val="none" w:sz="0" w:space="0" w:color="auto"/>
        <w:bottom w:val="none" w:sz="0" w:space="0" w:color="auto"/>
        <w:right w:val="none" w:sz="0" w:space="0" w:color="auto"/>
      </w:divBdr>
    </w:div>
    <w:div w:id="258755342">
      <w:bodyDiv w:val="1"/>
      <w:marLeft w:val="0"/>
      <w:marRight w:val="0"/>
      <w:marTop w:val="0"/>
      <w:marBottom w:val="0"/>
      <w:divBdr>
        <w:top w:val="none" w:sz="0" w:space="0" w:color="auto"/>
        <w:left w:val="none" w:sz="0" w:space="0" w:color="auto"/>
        <w:bottom w:val="none" w:sz="0" w:space="0" w:color="auto"/>
        <w:right w:val="none" w:sz="0" w:space="0" w:color="auto"/>
      </w:divBdr>
    </w:div>
    <w:div w:id="258759475">
      <w:bodyDiv w:val="1"/>
      <w:marLeft w:val="0"/>
      <w:marRight w:val="0"/>
      <w:marTop w:val="0"/>
      <w:marBottom w:val="0"/>
      <w:divBdr>
        <w:top w:val="none" w:sz="0" w:space="0" w:color="auto"/>
        <w:left w:val="none" w:sz="0" w:space="0" w:color="auto"/>
        <w:bottom w:val="none" w:sz="0" w:space="0" w:color="auto"/>
        <w:right w:val="none" w:sz="0" w:space="0" w:color="auto"/>
      </w:divBdr>
    </w:div>
    <w:div w:id="258875122">
      <w:bodyDiv w:val="1"/>
      <w:marLeft w:val="0"/>
      <w:marRight w:val="0"/>
      <w:marTop w:val="0"/>
      <w:marBottom w:val="0"/>
      <w:divBdr>
        <w:top w:val="none" w:sz="0" w:space="0" w:color="auto"/>
        <w:left w:val="none" w:sz="0" w:space="0" w:color="auto"/>
        <w:bottom w:val="none" w:sz="0" w:space="0" w:color="auto"/>
        <w:right w:val="none" w:sz="0" w:space="0" w:color="auto"/>
      </w:divBdr>
    </w:div>
    <w:div w:id="259022993">
      <w:bodyDiv w:val="1"/>
      <w:marLeft w:val="0"/>
      <w:marRight w:val="0"/>
      <w:marTop w:val="0"/>
      <w:marBottom w:val="0"/>
      <w:divBdr>
        <w:top w:val="none" w:sz="0" w:space="0" w:color="auto"/>
        <w:left w:val="none" w:sz="0" w:space="0" w:color="auto"/>
        <w:bottom w:val="none" w:sz="0" w:space="0" w:color="auto"/>
        <w:right w:val="none" w:sz="0" w:space="0" w:color="auto"/>
      </w:divBdr>
    </w:div>
    <w:div w:id="259148737">
      <w:bodyDiv w:val="1"/>
      <w:marLeft w:val="0"/>
      <w:marRight w:val="0"/>
      <w:marTop w:val="0"/>
      <w:marBottom w:val="0"/>
      <w:divBdr>
        <w:top w:val="none" w:sz="0" w:space="0" w:color="auto"/>
        <w:left w:val="none" w:sz="0" w:space="0" w:color="auto"/>
        <w:bottom w:val="none" w:sz="0" w:space="0" w:color="auto"/>
        <w:right w:val="none" w:sz="0" w:space="0" w:color="auto"/>
      </w:divBdr>
    </w:div>
    <w:div w:id="259216699">
      <w:bodyDiv w:val="1"/>
      <w:marLeft w:val="0"/>
      <w:marRight w:val="0"/>
      <w:marTop w:val="0"/>
      <w:marBottom w:val="0"/>
      <w:divBdr>
        <w:top w:val="none" w:sz="0" w:space="0" w:color="auto"/>
        <w:left w:val="none" w:sz="0" w:space="0" w:color="auto"/>
        <w:bottom w:val="none" w:sz="0" w:space="0" w:color="auto"/>
        <w:right w:val="none" w:sz="0" w:space="0" w:color="auto"/>
      </w:divBdr>
    </w:div>
    <w:div w:id="259220871">
      <w:bodyDiv w:val="1"/>
      <w:marLeft w:val="0"/>
      <w:marRight w:val="0"/>
      <w:marTop w:val="0"/>
      <w:marBottom w:val="0"/>
      <w:divBdr>
        <w:top w:val="none" w:sz="0" w:space="0" w:color="auto"/>
        <w:left w:val="none" w:sz="0" w:space="0" w:color="auto"/>
        <w:bottom w:val="none" w:sz="0" w:space="0" w:color="auto"/>
        <w:right w:val="none" w:sz="0" w:space="0" w:color="auto"/>
      </w:divBdr>
    </w:div>
    <w:div w:id="259264076">
      <w:bodyDiv w:val="1"/>
      <w:marLeft w:val="0"/>
      <w:marRight w:val="0"/>
      <w:marTop w:val="0"/>
      <w:marBottom w:val="0"/>
      <w:divBdr>
        <w:top w:val="none" w:sz="0" w:space="0" w:color="auto"/>
        <w:left w:val="none" w:sz="0" w:space="0" w:color="auto"/>
        <w:bottom w:val="none" w:sz="0" w:space="0" w:color="auto"/>
        <w:right w:val="none" w:sz="0" w:space="0" w:color="auto"/>
      </w:divBdr>
    </w:div>
    <w:div w:id="259341277">
      <w:bodyDiv w:val="1"/>
      <w:marLeft w:val="0"/>
      <w:marRight w:val="0"/>
      <w:marTop w:val="0"/>
      <w:marBottom w:val="0"/>
      <w:divBdr>
        <w:top w:val="none" w:sz="0" w:space="0" w:color="auto"/>
        <w:left w:val="none" w:sz="0" w:space="0" w:color="auto"/>
        <w:bottom w:val="none" w:sz="0" w:space="0" w:color="auto"/>
        <w:right w:val="none" w:sz="0" w:space="0" w:color="auto"/>
      </w:divBdr>
    </w:div>
    <w:div w:id="259412412">
      <w:bodyDiv w:val="1"/>
      <w:marLeft w:val="0"/>
      <w:marRight w:val="0"/>
      <w:marTop w:val="0"/>
      <w:marBottom w:val="0"/>
      <w:divBdr>
        <w:top w:val="none" w:sz="0" w:space="0" w:color="auto"/>
        <w:left w:val="none" w:sz="0" w:space="0" w:color="auto"/>
        <w:bottom w:val="none" w:sz="0" w:space="0" w:color="auto"/>
        <w:right w:val="none" w:sz="0" w:space="0" w:color="auto"/>
      </w:divBdr>
    </w:div>
    <w:div w:id="259526239">
      <w:bodyDiv w:val="1"/>
      <w:marLeft w:val="0"/>
      <w:marRight w:val="0"/>
      <w:marTop w:val="0"/>
      <w:marBottom w:val="0"/>
      <w:divBdr>
        <w:top w:val="none" w:sz="0" w:space="0" w:color="auto"/>
        <w:left w:val="none" w:sz="0" w:space="0" w:color="auto"/>
        <w:bottom w:val="none" w:sz="0" w:space="0" w:color="auto"/>
        <w:right w:val="none" w:sz="0" w:space="0" w:color="auto"/>
      </w:divBdr>
    </w:div>
    <w:div w:id="259529977">
      <w:bodyDiv w:val="1"/>
      <w:marLeft w:val="0"/>
      <w:marRight w:val="0"/>
      <w:marTop w:val="0"/>
      <w:marBottom w:val="0"/>
      <w:divBdr>
        <w:top w:val="none" w:sz="0" w:space="0" w:color="auto"/>
        <w:left w:val="none" w:sz="0" w:space="0" w:color="auto"/>
        <w:bottom w:val="none" w:sz="0" w:space="0" w:color="auto"/>
        <w:right w:val="none" w:sz="0" w:space="0" w:color="auto"/>
      </w:divBdr>
    </w:div>
    <w:div w:id="259610447">
      <w:bodyDiv w:val="1"/>
      <w:marLeft w:val="0"/>
      <w:marRight w:val="0"/>
      <w:marTop w:val="0"/>
      <w:marBottom w:val="0"/>
      <w:divBdr>
        <w:top w:val="none" w:sz="0" w:space="0" w:color="auto"/>
        <w:left w:val="none" w:sz="0" w:space="0" w:color="auto"/>
        <w:bottom w:val="none" w:sz="0" w:space="0" w:color="auto"/>
        <w:right w:val="none" w:sz="0" w:space="0" w:color="auto"/>
      </w:divBdr>
    </w:div>
    <w:div w:id="259916374">
      <w:bodyDiv w:val="1"/>
      <w:marLeft w:val="0"/>
      <w:marRight w:val="0"/>
      <w:marTop w:val="0"/>
      <w:marBottom w:val="0"/>
      <w:divBdr>
        <w:top w:val="none" w:sz="0" w:space="0" w:color="auto"/>
        <w:left w:val="none" w:sz="0" w:space="0" w:color="auto"/>
        <w:bottom w:val="none" w:sz="0" w:space="0" w:color="auto"/>
        <w:right w:val="none" w:sz="0" w:space="0" w:color="auto"/>
      </w:divBdr>
    </w:div>
    <w:div w:id="260113636">
      <w:bodyDiv w:val="1"/>
      <w:marLeft w:val="0"/>
      <w:marRight w:val="0"/>
      <w:marTop w:val="0"/>
      <w:marBottom w:val="0"/>
      <w:divBdr>
        <w:top w:val="none" w:sz="0" w:space="0" w:color="auto"/>
        <w:left w:val="none" w:sz="0" w:space="0" w:color="auto"/>
        <w:bottom w:val="none" w:sz="0" w:space="0" w:color="auto"/>
        <w:right w:val="none" w:sz="0" w:space="0" w:color="auto"/>
      </w:divBdr>
    </w:div>
    <w:div w:id="260257112">
      <w:bodyDiv w:val="1"/>
      <w:marLeft w:val="0"/>
      <w:marRight w:val="0"/>
      <w:marTop w:val="0"/>
      <w:marBottom w:val="0"/>
      <w:divBdr>
        <w:top w:val="none" w:sz="0" w:space="0" w:color="auto"/>
        <w:left w:val="none" w:sz="0" w:space="0" w:color="auto"/>
        <w:bottom w:val="none" w:sz="0" w:space="0" w:color="auto"/>
        <w:right w:val="none" w:sz="0" w:space="0" w:color="auto"/>
      </w:divBdr>
    </w:div>
    <w:div w:id="260257607">
      <w:bodyDiv w:val="1"/>
      <w:marLeft w:val="0"/>
      <w:marRight w:val="0"/>
      <w:marTop w:val="0"/>
      <w:marBottom w:val="0"/>
      <w:divBdr>
        <w:top w:val="none" w:sz="0" w:space="0" w:color="auto"/>
        <w:left w:val="none" w:sz="0" w:space="0" w:color="auto"/>
        <w:bottom w:val="none" w:sz="0" w:space="0" w:color="auto"/>
        <w:right w:val="none" w:sz="0" w:space="0" w:color="auto"/>
      </w:divBdr>
    </w:div>
    <w:div w:id="260332717">
      <w:bodyDiv w:val="1"/>
      <w:marLeft w:val="0"/>
      <w:marRight w:val="0"/>
      <w:marTop w:val="0"/>
      <w:marBottom w:val="0"/>
      <w:divBdr>
        <w:top w:val="none" w:sz="0" w:space="0" w:color="auto"/>
        <w:left w:val="none" w:sz="0" w:space="0" w:color="auto"/>
        <w:bottom w:val="none" w:sz="0" w:space="0" w:color="auto"/>
        <w:right w:val="none" w:sz="0" w:space="0" w:color="auto"/>
      </w:divBdr>
    </w:div>
    <w:div w:id="260338078">
      <w:bodyDiv w:val="1"/>
      <w:marLeft w:val="0"/>
      <w:marRight w:val="0"/>
      <w:marTop w:val="0"/>
      <w:marBottom w:val="0"/>
      <w:divBdr>
        <w:top w:val="none" w:sz="0" w:space="0" w:color="auto"/>
        <w:left w:val="none" w:sz="0" w:space="0" w:color="auto"/>
        <w:bottom w:val="none" w:sz="0" w:space="0" w:color="auto"/>
        <w:right w:val="none" w:sz="0" w:space="0" w:color="auto"/>
      </w:divBdr>
    </w:div>
    <w:div w:id="260648818">
      <w:bodyDiv w:val="1"/>
      <w:marLeft w:val="0"/>
      <w:marRight w:val="0"/>
      <w:marTop w:val="0"/>
      <w:marBottom w:val="0"/>
      <w:divBdr>
        <w:top w:val="none" w:sz="0" w:space="0" w:color="auto"/>
        <w:left w:val="none" w:sz="0" w:space="0" w:color="auto"/>
        <w:bottom w:val="none" w:sz="0" w:space="0" w:color="auto"/>
        <w:right w:val="none" w:sz="0" w:space="0" w:color="auto"/>
      </w:divBdr>
    </w:div>
    <w:div w:id="261038492">
      <w:bodyDiv w:val="1"/>
      <w:marLeft w:val="0"/>
      <w:marRight w:val="0"/>
      <w:marTop w:val="0"/>
      <w:marBottom w:val="0"/>
      <w:divBdr>
        <w:top w:val="none" w:sz="0" w:space="0" w:color="auto"/>
        <w:left w:val="none" w:sz="0" w:space="0" w:color="auto"/>
        <w:bottom w:val="none" w:sz="0" w:space="0" w:color="auto"/>
        <w:right w:val="none" w:sz="0" w:space="0" w:color="auto"/>
      </w:divBdr>
    </w:div>
    <w:div w:id="261108587">
      <w:bodyDiv w:val="1"/>
      <w:marLeft w:val="0"/>
      <w:marRight w:val="0"/>
      <w:marTop w:val="0"/>
      <w:marBottom w:val="0"/>
      <w:divBdr>
        <w:top w:val="none" w:sz="0" w:space="0" w:color="auto"/>
        <w:left w:val="none" w:sz="0" w:space="0" w:color="auto"/>
        <w:bottom w:val="none" w:sz="0" w:space="0" w:color="auto"/>
        <w:right w:val="none" w:sz="0" w:space="0" w:color="auto"/>
      </w:divBdr>
    </w:div>
    <w:div w:id="261111741">
      <w:bodyDiv w:val="1"/>
      <w:marLeft w:val="0"/>
      <w:marRight w:val="0"/>
      <w:marTop w:val="0"/>
      <w:marBottom w:val="0"/>
      <w:divBdr>
        <w:top w:val="none" w:sz="0" w:space="0" w:color="auto"/>
        <w:left w:val="none" w:sz="0" w:space="0" w:color="auto"/>
        <w:bottom w:val="none" w:sz="0" w:space="0" w:color="auto"/>
        <w:right w:val="none" w:sz="0" w:space="0" w:color="auto"/>
      </w:divBdr>
    </w:div>
    <w:div w:id="261301432">
      <w:bodyDiv w:val="1"/>
      <w:marLeft w:val="0"/>
      <w:marRight w:val="0"/>
      <w:marTop w:val="0"/>
      <w:marBottom w:val="0"/>
      <w:divBdr>
        <w:top w:val="none" w:sz="0" w:space="0" w:color="auto"/>
        <w:left w:val="none" w:sz="0" w:space="0" w:color="auto"/>
        <w:bottom w:val="none" w:sz="0" w:space="0" w:color="auto"/>
        <w:right w:val="none" w:sz="0" w:space="0" w:color="auto"/>
      </w:divBdr>
    </w:div>
    <w:div w:id="261376204">
      <w:bodyDiv w:val="1"/>
      <w:marLeft w:val="0"/>
      <w:marRight w:val="0"/>
      <w:marTop w:val="0"/>
      <w:marBottom w:val="0"/>
      <w:divBdr>
        <w:top w:val="none" w:sz="0" w:space="0" w:color="auto"/>
        <w:left w:val="none" w:sz="0" w:space="0" w:color="auto"/>
        <w:bottom w:val="none" w:sz="0" w:space="0" w:color="auto"/>
        <w:right w:val="none" w:sz="0" w:space="0" w:color="auto"/>
      </w:divBdr>
    </w:div>
    <w:div w:id="261378300">
      <w:bodyDiv w:val="1"/>
      <w:marLeft w:val="0"/>
      <w:marRight w:val="0"/>
      <w:marTop w:val="0"/>
      <w:marBottom w:val="0"/>
      <w:divBdr>
        <w:top w:val="none" w:sz="0" w:space="0" w:color="auto"/>
        <w:left w:val="none" w:sz="0" w:space="0" w:color="auto"/>
        <w:bottom w:val="none" w:sz="0" w:space="0" w:color="auto"/>
        <w:right w:val="none" w:sz="0" w:space="0" w:color="auto"/>
      </w:divBdr>
    </w:div>
    <w:div w:id="261426383">
      <w:bodyDiv w:val="1"/>
      <w:marLeft w:val="0"/>
      <w:marRight w:val="0"/>
      <w:marTop w:val="0"/>
      <w:marBottom w:val="0"/>
      <w:divBdr>
        <w:top w:val="none" w:sz="0" w:space="0" w:color="auto"/>
        <w:left w:val="none" w:sz="0" w:space="0" w:color="auto"/>
        <w:bottom w:val="none" w:sz="0" w:space="0" w:color="auto"/>
        <w:right w:val="none" w:sz="0" w:space="0" w:color="auto"/>
      </w:divBdr>
    </w:div>
    <w:div w:id="261449446">
      <w:bodyDiv w:val="1"/>
      <w:marLeft w:val="0"/>
      <w:marRight w:val="0"/>
      <w:marTop w:val="0"/>
      <w:marBottom w:val="0"/>
      <w:divBdr>
        <w:top w:val="none" w:sz="0" w:space="0" w:color="auto"/>
        <w:left w:val="none" w:sz="0" w:space="0" w:color="auto"/>
        <w:bottom w:val="none" w:sz="0" w:space="0" w:color="auto"/>
        <w:right w:val="none" w:sz="0" w:space="0" w:color="auto"/>
      </w:divBdr>
    </w:div>
    <w:div w:id="261495827">
      <w:bodyDiv w:val="1"/>
      <w:marLeft w:val="0"/>
      <w:marRight w:val="0"/>
      <w:marTop w:val="0"/>
      <w:marBottom w:val="0"/>
      <w:divBdr>
        <w:top w:val="none" w:sz="0" w:space="0" w:color="auto"/>
        <w:left w:val="none" w:sz="0" w:space="0" w:color="auto"/>
        <w:bottom w:val="none" w:sz="0" w:space="0" w:color="auto"/>
        <w:right w:val="none" w:sz="0" w:space="0" w:color="auto"/>
      </w:divBdr>
    </w:div>
    <w:div w:id="261572405">
      <w:bodyDiv w:val="1"/>
      <w:marLeft w:val="0"/>
      <w:marRight w:val="0"/>
      <w:marTop w:val="0"/>
      <w:marBottom w:val="0"/>
      <w:divBdr>
        <w:top w:val="none" w:sz="0" w:space="0" w:color="auto"/>
        <w:left w:val="none" w:sz="0" w:space="0" w:color="auto"/>
        <w:bottom w:val="none" w:sz="0" w:space="0" w:color="auto"/>
        <w:right w:val="none" w:sz="0" w:space="0" w:color="auto"/>
      </w:divBdr>
    </w:div>
    <w:div w:id="261693344">
      <w:bodyDiv w:val="1"/>
      <w:marLeft w:val="0"/>
      <w:marRight w:val="0"/>
      <w:marTop w:val="0"/>
      <w:marBottom w:val="0"/>
      <w:divBdr>
        <w:top w:val="none" w:sz="0" w:space="0" w:color="auto"/>
        <w:left w:val="none" w:sz="0" w:space="0" w:color="auto"/>
        <w:bottom w:val="none" w:sz="0" w:space="0" w:color="auto"/>
        <w:right w:val="none" w:sz="0" w:space="0" w:color="auto"/>
      </w:divBdr>
    </w:div>
    <w:div w:id="261694206">
      <w:bodyDiv w:val="1"/>
      <w:marLeft w:val="0"/>
      <w:marRight w:val="0"/>
      <w:marTop w:val="0"/>
      <w:marBottom w:val="0"/>
      <w:divBdr>
        <w:top w:val="none" w:sz="0" w:space="0" w:color="auto"/>
        <w:left w:val="none" w:sz="0" w:space="0" w:color="auto"/>
        <w:bottom w:val="none" w:sz="0" w:space="0" w:color="auto"/>
        <w:right w:val="none" w:sz="0" w:space="0" w:color="auto"/>
      </w:divBdr>
    </w:div>
    <w:div w:id="261837340">
      <w:bodyDiv w:val="1"/>
      <w:marLeft w:val="0"/>
      <w:marRight w:val="0"/>
      <w:marTop w:val="0"/>
      <w:marBottom w:val="0"/>
      <w:divBdr>
        <w:top w:val="none" w:sz="0" w:space="0" w:color="auto"/>
        <w:left w:val="none" w:sz="0" w:space="0" w:color="auto"/>
        <w:bottom w:val="none" w:sz="0" w:space="0" w:color="auto"/>
        <w:right w:val="none" w:sz="0" w:space="0" w:color="auto"/>
      </w:divBdr>
    </w:div>
    <w:div w:id="262038209">
      <w:bodyDiv w:val="1"/>
      <w:marLeft w:val="0"/>
      <w:marRight w:val="0"/>
      <w:marTop w:val="0"/>
      <w:marBottom w:val="0"/>
      <w:divBdr>
        <w:top w:val="none" w:sz="0" w:space="0" w:color="auto"/>
        <w:left w:val="none" w:sz="0" w:space="0" w:color="auto"/>
        <w:bottom w:val="none" w:sz="0" w:space="0" w:color="auto"/>
        <w:right w:val="none" w:sz="0" w:space="0" w:color="auto"/>
      </w:divBdr>
    </w:div>
    <w:div w:id="262080939">
      <w:bodyDiv w:val="1"/>
      <w:marLeft w:val="0"/>
      <w:marRight w:val="0"/>
      <w:marTop w:val="0"/>
      <w:marBottom w:val="0"/>
      <w:divBdr>
        <w:top w:val="none" w:sz="0" w:space="0" w:color="auto"/>
        <w:left w:val="none" w:sz="0" w:space="0" w:color="auto"/>
        <w:bottom w:val="none" w:sz="0" w:space="0" w:color="auto"/>
        <w:right w:val="none" w:sz="0" w:space="0" w:color="auto"/>
      </w:divBdr>
    </w:div>
    <w:div w:id="262107927">
      <w:bodyDiv w:val="1"/>
      <w:marLeft w:val="0"/>
      <w:marRight w:val="0"/>
      <w:marTop w:val="0"/>
      <w:marBottom w:val="0"/>
      <w:divBdr>
        <w:top w:val="none" w:sz="0" w:space="0" w:color="auto"/>
        <w:left w:val="none" w:sz="0" w:space="0" w:color="auto"/>
        <w:bottom w:val="none" w:sz="0" w:space="0" w:color="auto"/>
        <w:right w:val="none" w:sz="0" w:space="0" w:color="auto"/>
      </w:divBdr>
    </w:div>
    <w:div w:id="262150192">
      <w:bodyDiv w:val="1"/>
      <w:marLeft w:val="0"/>
      <w:marRight w:val="0"/>
      <w:marTop w:val="0"/>
      <w:marBottom w:val="0"/>
      <w:divBdr>
        <w:top w:val="none" w:sz="0" w:space="0" w:color="auto"/>
        <w:left w:val="none" w:sz="0" w:space="0" w:color="auto"/>
        <w:bottom w:val="none" w:sz="0" w:space="0" w:color="auto"/>
        <w:right w:val="none" w:sz="0" w:space="0" w:color="auto"/>
      </w:divBdr>
    </w:div>
    <w:div w:id="262421973">
      <w:bodyDiv w:val="1"/>
      <w:marLeft w:val="0"/>
      <w:marRight w:val="0"/>
      <w:marTop w:val="0"/>
      <w:marBottom w:val="0"/>
      <w:divBdr>
        <w:top w:val="none" w:sz="0" w:space="0" w:color="auto"/>
        <w:left w:val="none" w:sz="0" w:space="0" w:color="auto"/>
        <w:bottom w:val="none" w:sz="0" w:space="0" w:color="auto"/>
        <w:right w:val="none" w:sz="0" w:space="0" w:color="auto"/>
      </w:divBdr>
    </w:div>
    <w:div w:id="262423770">
      <w:bodyDiv w:val="1"/>
      <w:marLeft w:val="0"/>
      <w:marRight w:val="0"/>
      <w:marTop w:val="0"/>
      <w:marBottom w:val="0"/>
      <w:divBdr>
        <w:top w:val="none" w:sz="0" w:space="0" w:color="auto"/>
        <w:left w:val="none" w:sz="0" w:space="0" w:color="auto"/>
        <w:bottom w:val="none" w:sz="0" w:space="0" w:color="auto"/>
        <w:right w:val="none" w:sz="0" w:space="0" w:color="auto"/>
      </w:divBdr>
    </w:div>
    <w:div w:id="262501079">
      <w:bodyDiv w:val="1"/>
      <w:marLeft w:val="0"/>
      <w:marRight w:val="0"/>
      <w:marTop w:val="0"/>
      <w:marBottom w:val="0"/>
      <w:divBdr>
        <w:top w:val="none" w:sz="0" w:space="0" w:color="auto"/>
        <w:left w:val="none" w:sz="0" w:space="0" w:color="auto"/>
        <w:bottom w:val="none" w:sz="0" w:space="0" w:color="auto"/>
        <w:right w:val="none" w:sz="0" w:space="0" w:color="auto"/>
      </w:divBdr>
    </w:div>
    <w:div w:id="262566881">
      <w:bodyDiv w:val="1"/>
      <w:marLeft w:val="0"/>
      <w:marRight w:val="0"/>
      <w:marTop w:val="0"/>
      <w:marBottom w:val="0"/>
      <w:divBdr>
        <w:top w:val="none" w:sz="0" w:space="0" w:color="auto"/>
        <w:left w:val="none" w:sz="0" w:space="0" w:color="auto"/>
        <w:bottom w:val="none" w:sz="0" w:space="0" w:color="auto"/>
        <w:right w:val="none" w:sz="0" w:space="0" w:color="auto"/>
      </w:divBdr>
    </w:div>
    <w:div w:id="262610916">
      <w:bodyDiv w:val="1"/>
      <w:marLeft w:val="0"/>
      <w:marRight w:val="0"/>
      <w:marTop w:val="0"/>
      <w:marBottom w:val="0"/>
      <w:divBdr>
        <w:top w:val="none" w:sz="0" w:space="0" w:color="auto"/>
        <w:left w:val="none" w:sz="0" w:space="0" w:color="auto"/>
        <w:bottom w:val="none" w:sz="0" w:space="0" w:color="auto"/>
        <w:right w:val="none" w:sz="0" w:space="0" w:color="auto"/>
      </w:divBdr>
    </w:div>
    <w:div w:id="262615036">
      <w:bodyDiv w:val="1"/>
      <w:marLeft w:val="0"/>
      <w:marRight w:val="0"/>
      <w:marTop w:val="0"/>
      <w:marBottom w:val="0"/>
      <w:divBdr>
        <w:top w:val="none" w:sz="0" w:space="0" w:color="auto"/>
        <w:left w:val="none" w:sz="0" w:space="0" w:color="auto"/>
        <w:bottom w:val="none" w:sz="0" w:space="0" w:color="auto"/>
        <w:right w:val="none" w:sz="0" w:space="0" w:color="auto"/>
      </w:divBdr>
    </w:div>
    <w:div w:id="262961723">
      <w:bodyDiv w:val="1"/>
      <w:marLeft w:val="0"/>
      <w:marRight w:val="0"/>
      <w:marTop w:val="0"/>
      <w:marBottom w:val="0"/>
      <w:divBdr>
        <w:top w:val="none" w:sz="0" w:space="0" w:color="auto"/>
        <w:left w:val="none" w:sz="0" w:space="0" w:color="auto"/>
        <w:bottom w:val="none" w:sz="0" w:space="0" w:color="auto"/>
        <w:right w:val="none" w:sz="0" w:space="0" w:color="auto"/>
      </w:divBdr>
    </w:div>
    <w:div w:id="263147356">
      <w:bodyDiv w:val="1"/>
      <w:marLeft w:val="0"/>
      <w:marRight w:val="0"/>
      <w:marTop w:val="0"/>
      <w:marBottom w:val="0"/>
      <w:divBdr>
        <w:top w:val="none" w:sz="0" w:space="0" w:color="auto"/>
        <w:left w:val="none" w:sz="0" w:space="0" w:color="auto"/>
        <w:bottom w:val="none" w:sz="0" w:space="0" w:color="auto"/>
        <w:right w:val="none" w:sz="0" w:space="0" w:color="auto"/>
      </w:divBdr>
    </w:div>
    <w:div w:id="263271860">
      <w:bodyDiv w:val="1"/>
      <w:marLeft w:val="0"/>
      <w:marRight w:val="0"/>
      <w:marTop w:val="0"/>
      <w:marBottom w:val="0"/>
      <w:divBdr>
        <w:top w:val="none" w:sz="0" w:space="0" w:color="auto"/>
        <w:left w:val="none" w:sz="0" w:space="0" w:color="auto"/>
        <w:bottom w:val="none" w:sz="0" w:space="0" w:color="auto"/>
        <w:right w:val="none" w:sz="0" w:space="0" w:color="auto"/>
      </w:divBdr>
    </w:div>
    <w:div w:id="263272680">
      <w:bodyDiv w:val="1"/>
      <w:marLeft w:val="0"/>
      <w:marRight w:val="0"/>
      <w:marTop w:val="0"/>
      <w:marBottom w:val="0"/>
      <w:divBdr>
        <w:top w:val="none" w:sz="0" w:space="0" w:color="auto"/>
        <w:left w:val="none" w:sz="0" w:space="0" w:color="auto"/>
        <w:bottom w:val="none" w:sz="0" w:space="0" w:color="auto"/>
        <w:right w:val="none" w:sz="0" w:space="0" w:color="auto"/>
      </w:divBdr>
    </w:div>
    <w:div w:id="263341049">
      <w:bodyDiv w:val="1"/>
      <w:marLeft w:val="0"/>
      <w:marRight w:val="0"/>
      <w:marTop w:val="0"/>
      <w:marBottom w:val="0"/>
      <w:divBdr>
        <w:top w:val="none" w:sz="0" w:space="0" w:color="auto"/>
        <w:left w:val="none" w:sz="0" w:space="0" w:color="auto"/>
        <w:bottom w:val="none" w:sz="0" w:space="0" w:color="auto"/>
        <w:right w:val="none" w:sz="0" w:space="0" w:color="auto"/>
      </w:divBdr>
    </w:div>
    <w:div w:id="263341363">
      <w:bodyDiv w:val="1"/>
      <w:marLeft w:val="0"/>
      <w:marRight w:val="0"/>
      <w:marTop w:val="0"/>
      <w:marBottom w:val="0"/>
      <w:divBdr>
        <w:top w:val="none" w:sz="0" w:space="0" w:color="auto"/>
        <w:left w:val="none" w:sz="0" w:space="0" w:color="auto"/>
        <w:bottom w:val="none" w:sz="0" w:space="0" w:color="auto"/>
        <w:right w:val="none" w:sz="0" w:space="0" w:color="auto"/>
      </w:divBdr>
    </w:div>
    <w:div w:id="263341906">
      <w:bodyDiv w:val="1"/>
      <w:marLeft w:val="0"/>
      <w:marRight w:val="0"/>
      <w:marTop w:val="0"/>
      <w:marBottom w:val="0"/>
      <w:divBdr>
        <w:top w:val="none" w:sz="0" w:space="0" w:color="auto"/>
        <w:left w:val="none" w:sz="0" w:space="0" w:color="auto"/>
        <w:bottom w:val="none" w:sz="0" w:space="0" w:color="auto"/>
        <w:right w:val="none" w:sz="0" w:space="0" w:color="auto"/>
      </w:divBdr>
    </w:div>
    <w:div w:id="263656773">
      <w:bodyDiv w:val="1"/>
      <w:marLeft w:val="0"/>
      <w:marRight w:val="0"/>
      <w:marTop w:val="0"/>
      <w:marBottom w:val="0"/>
      <w:divBdr>
        <w:top w:val="none" w:sz="0" w:space="0" w:color="auto"/>
        <w:left w:val="none" w:sz="0" w:space="0" w:color="auto"/>
        <w:bottom w:val="none" w:sz="0" w:space="0" w:color="auto"/>
        <w:right w:val="none" w:sz="0" w:space="0" w:color="auto"/>
      </w:divBdr>
    </w:div>
    <w:div w:id="263850595">
      <w:bodyDiv w:val="1"/>
      <w:marLeft w:val="0"/>
      <w:marRight w:val="0"/>
      <w:marTop w:val="0"/>
      <w:marBottom w:val="0"/>
      <w:divBdr>
        <w:top w:val="none" w:sz="0" w:space="0" w:color="auto"/>
        <w:left w:val="none" w:sz="0" w:space="0" w:color="auto"/>
        <w:bottom w:val="none" w:sz="0" w:space="0" w:color="auto"/>
        <w:right w:val="none" w:sz="0" w:space="0" w:color="auto"/>
      </w:divBdr>
    </w:div>
    <w:div w:id="263879672">
      <w:bodyDiv w:val="1"/>
      <w:marLeft w:val="0"/>
      <w:marRight w:val="0"/>
      <w:marTop w:val="0"/>
      <w:marBottom w:val="0"/>
      <w:divBdr>
        <w:top w:val="none" w:sz="0" w:space="0" w:color="auto"/>
        <w:left w:val="none" w:sz="0" w:space="0" w:color="auto"/>
        <w:bottom w:val="none" w:sz="0" w:space="0" w:color="auto"/>
        <w:right w:val="none" w:sz="0" w:space="0" w:color="auto"/>
      </w:divBdr>
    </w:div>
    <w:div w:id="263926970">
      <w:bodyDiv w:val="1"/>
      <w:marLeft w:val="0"/>
      <w:marRight w:val="0"/>
      <w:marTop w:val="0"/>
      <w:marBottom w:val="0"/>
      <w:divBdr>
        <w:top w:val="none" w:sz="0" w:space="0" w:color="auto"/>
        <w:left w:val="none" w:sz="0" w:space="0" w:color="auto"/>
        <w:bottom w:val="none" w:sz="0" w:space="0" w:color="auto"/>
        <w:right w:val="none" w:sz="0" w:space="0" w:color="auto"/>
      </w:divBdr>
    </w:div>
    <w:div w:id="264073752">
      <w:bodyDiv w:val="1"/>
      <w:marLeft w:val="0"/>
      <w:marRight w:val="0"/>
      <w:marTop w:val="0"/>
      <w:marBottom w:val="0"/>
      <w:divBdr>
        <w:top w:val="none" w:sz="0" w:space="0" w:color="auto"/>
        <w:left w:val="none" w:sz="0" w:space="0" w:color="auto"/>
        <w:bottom w:val="none" w:sz="0" w:space="0" w:color="auto"/>
        <w:right w:val="none" w:sz="0" w:space="0" w:color="auto"/>
      </w:divBdr>
    </w:div>
    <w:div w:id="264076830">
      <w:bodyDiv w:val="1"/>
      <w:marLeft w:val="0"/>
      <w:marRight w:val="0"/>
      <w:marTop w:val="0"/>
      <w:marBottom w:val="0"/>
      <w:divBdr>
        <w:top w:val="none" w:sz="0" w:space="0" w:color="auto"/>
        <w:left w:val="none" w:sz="0" w:space="0" w:color="auto"/>
        <w:bottom w:val="none" w:sz="0" w:space="0" w:color="auto"/>
        <w:right w:val="none" w:sz="0" w:space="0" w:color="auto"/>
      </w:divBdr>
    </w:div>
    <w:div w:id="264119020">
      <w:bodyDiv w:val="1"/>
      <w:marLeft w:val="0"/>
      <w:marRight w:val="0"/>
      <w:marTop w:val="0"/>
      <w:marBottom w:val="0"/>
      <w:divBdr>
        <w:top w:val="none" w:sz="0" w:space="0" w:color="auto"/>
        <w:left w:val="none" w:sz="0" w:space="0" w:color="auto"/>
        <w:bottom w:val="none" w:sz="0" w:space="0" w:color="auto"/>
        <w:right w:val="none" w:sz="0" w:space="0" w:color="auto"/>
      </w:divBdr>
    </w:div>
    <w:div w:id="264267129">
      <w:bodyDiv w:val="1"/>
      <w:marLeft w:val="0"/>
      <w:marRight w:val="0"/>
      <w:marTop w:val="0"/>
      <w:marBottom w:val="0"/>
      <w:divBdr>
        <w:top w:val="none" w:sz="0" w:space="0" w:color="auto"/>
        <w:left w:val="none" w:sz="0" w:space="0" w:color="auto"/>
        <w:bottom w:val="none" w:sz="0" w:space="0" w:color="auto"/>
        <w:right w:val="none" w:sz="0" w:space="0" w:color="auto"/>
      </w:divBdr>
    </w:div>
    <w:div w:id="264584050">
      <w:bodyDiv w:val="1"/>
      <w:marLeft w:val="0"/>
      <w:marRight w:val="0"/>
      <w:marTop w:val="0"/>
      <w:marBottom w:val="0"/>
      <w:divBdr>
        <w:top w:val="none" w:sz="0" w:space="0" w:color="auto"/>
        <w:left w:val="none" w:sz="0" w:space="0" w:color="auto"/>
        <w:bottom w:val="none" w:sz="0" w:space="0" w:color="auto"/>
        <w:right w:val="none" w:sz="0" w:space="0" w:color="auto"/>
      </w:divBdr>
    </w:div>
    <w:div w:id="264770620">
      <w:bodyDiv w:val="1"/>
      <w:marLeft w:val="0"/>
      <w:marRight w:val="0"/>
      <w:marTop w:val="0"/>
      <w:marBottom w:val="0"/>
      <w:divBdr>
        <w:top w:val="none" w:sz="0" w:space="0" w:color="auto"/>
        <w:left w:val="none" w:sz="0" w:space="0" w:color="auto"/>
        <w:bottom w:val="none" w:sz="0" w:space="0" w:color="auto"/>
        <w:right w:val="none" w:sz="0" w:space="0" w:color="auto"/>
      </w:divBdr>
    </w:div>
    <w:div w:id="264773781">
      <w:bodyDiv w:val="1"/>
      <w:marLeft w:val="0"/>
      <w:marRight w:val="0"/>
      <w:marTop w:val="0"/>
      <w:marBottom w:val="0"/>
      <w:divBdr>
        <w:top w:val="none" w:sz="0" w:space="0" w:color="auto"/>
        <w:left w:val="none" w:sz="0" w:space="0" w:color="auto"/>
        <w:bottom w:val="none" w:sz="0" w:space="0" w:color="auto"/>
        <w:right w:val="none" w:sz="0" w:space="0" w:color="auto"/>
      </w:divBdr>
    </w:div>
    <w:div w:id="264776318">
      <w:bodyDiv w:val="1"/>
      <w:marLeft w:val="0"/>
      <w:marRight w:val="0"/>
      <w:marTop w:val="0"/>
      <w:marBottom w:val="0"/>
      <w:divBdr>
        <w:top w:val="none" w:sz="0" w:space="0" w:color="auto"/>
        <w:left w:val="none" w:sz="0" w:space="0" w:color="auto"/>
        <w:bottom w:val="none" w:sz="0" w:space="0" w:color="auto"/>
        <w:right w:val="none" w:sz="0" w:space="0" w:color="auto"/>
      </w:divBdr>
    </w:div>
    <w:div w:id="265310765">
      <w:bodyDiv w:val="1"/>
      <w:marLeft w:val="0"/>
      <w:marRight w:val="0"/>
      <w:marTop w:val="0"/>
      <w:marBottom w:val="0"/>
      <w:divBdr>
        <w:top w:val="none" w:sz="0" w:space="0" w:color="auto"/>
        <w:left w:val="none" w:sz="0" w:space="0" w:color="auto"/>
        <w:bottom w:val="none" w:sz="0" w:space="0" w:color="auto"/>
        <w:right w:val="none" w:sz="0" w:space="0" w:color="auto"/>
      </w:divBdr>
    </w:div>
    <w:div w:id="265384004">
      <w:bodyDiv w:val="1"/>
      <w:marLeft w:val="0"/>
      <w:marRight w:val="0"/>
      <w:marTop w:val="0"/>
      <w:marBottom w:val="0"/>
      <w:divBdr>
        <w:top w:val="none" w:sz="0" w:space="0" w:color="auto"/>
        <w:left w:val="none" w:sz="0" w:space="0" w:color="auto"/>
        <w:bottom w:val="none" w:sz="0" w:space="0" w:color="auto"/>
        <w:right w:val="none" w:sz="0" w:space="0" w:color="auto"/>
      </w:divBdr>
    </w:div>
    <w:div w:id="265575269">
      <w:bodyDiv w:val="1"/>
      <w:marLeft w:val="0"/>
      <w:marRight w:val="0"/>
      <w:marTop w:val="0"/>
      <w:marBottom w:val="0"/>
      <w:divBdr>
        <w:top w:val="none" w:sz="0" w:space="0" w:color="auto"/>
        <w:left w:val="none" w:sz="0" w:space="0" w:color="auto"/>
        <w:bottom w:val="none" w:sz="0" w:space="0" w:color="auto"/>
        <w:right w:val="none" w:sz="0" w:space="0" w:color="auto"/>
      </w:divBdr>
    </w:div>
    <w:div w:id="265619095">
      <w:bodyDiv w:val="1"/>
      <w:marLeft w:val="0"/>
      <w:marRight w:val="0"/>
      <w:marTop w:val="0"/>
      <w:marBottom w:val="0"/>
      <w:divBdr>
        <w:top w:val="none" w:sz="0" w:space="0" w:color="auto"/>
        <w:left w:val="none" w:sz="0" w:space="0" w:color="auto"/>
        <w:bottom w:val="none" w:sz="0" w:space="0" w:color="auto"/>
        <w:right w:val="none" w:sz="0" w:space="0" w:color="auto"/>
      </w:divBdr>
    </w:div>
    <w:div w:id="265819254">
      <w:bodyDiv w:val="1"/>
      <w:marLeft w:val="0"/>
      <w:marRight w:val="0"/>
      <w:marTop w:val="0"/>
      <w:marBottom w:val="0"/>
      <w:divBdr>
        <w:top w:val="none" w:sz="0" w:space="0" w:color="auto"/>
        <w:left w:val="none" w:sz="0" w:space="0" w:color="auto"/>
        <w:bottom w:val="none" w:sz="0" w:space="0" w:color="auto"/>
        <w:right w:val="none" w:sz="0" w:space="0" w:color="auto"/>
      </w:divBdr>
    </w:div>
    <w:div w:id="265969198">
      <w:bodyDiv w:val="1"/>
      <w:marLeft w:val="0"/>
      <w:marRight w:val="0"/>
      <w:marTop w:val="0"/>
      <w:marBottom w:val="0"/>
      <w:divBdr>
        <w:top w:val="none" w:sz="0" w:space="0" w:color="auto"/>
        <w:left w:val="none" w:sz="0" w:space="0" w:color="auto"/>
        <w:bottom w:val="none" w:sz="0" w:space="0" w:color="auto"/>
        <w:right w:val="none" w:sz="0" w:space="0" w:color="auto"/>
      </w:divBdr>
    </w:div>
    <w:div w:id="265970447">
      <w:bodyDiv w:val="1"/>
      <w:marLeft w:val="0"/>
      <w:marRight w:val="0"/>
      <w:marTop w:val="0"/>
      <w:marBottom w:val="0"/>
      <w:divBdr>
        <w:top w:val="none" w:sz="0" w:space="0" w:color="auto"/>
        <w:left w:val="none" w:sz="0" w:space="0" w:color="auto"/>
        <w:bottom w:val="none" w:sz="0" w:space="0" w:color="auto"/>
        <w:right w:val="none" w:sz="0" w:space="0" w:color="auto"/>
      </w:divBdr>
    </w:div>
    <w:div w:id="266239020">
      <w:bodyDiv w:val="1"/>
      <w:marLeft w:val="0"/>
      <w:marRight w:val="0"/>
      <w:marTop w:val="0"/>
      <w:marBottom w:val="0"/>
      <w:divBdr>
        <w:top w:val="none" w:sz="0" w:space="0" w:color="auto"/>
        <w:left w:val="none" w:sz="0" w:space="0" w:color="auto"/>
        <w:bottom w:val="none" w:sz="0" w:space="0" w:color="auto"/>
        <w:right w:val="none" w:sz="0" w:space="0" w:color="auto"/>
      </w:divBdr>
    </w:div>
    <w:div w:id="266281676">
      <w:bodyDiv w:val="1"/>
      <w:marLeft w:val="0"/>
      <w:marRight w:val="0"/>
      <w:marTop w:val="0"/>
      <w:marBottom w:val="0"/>
      <w:divBdr>
        <w:top w:val="none" w:sz="0" w:space="0" w:color="auto"/>
        <w:left w:val="none" w:sz="0" w:space="0" w:color="auto"/>
        <w:bottom w:val="none" w:sz="0" w:space="0" w:color="auto"/>
        <w:right w:val="none" w:sz="0" w:space="0" w:color="auto"/>
      </w:divBdr>
    </w:div>
    <w:div w:id="266547498">
      <w:bodyDiv w:val="1"/>
      <w:marLeft w:val="0"/>
      <w:marRight w:val="0"/>
      <w:marTop w:val="0"/>
      <w:marBottom w:val="0"/>
      <w:divBdr>
        <w:top w:val="none" w:sz="0" w:space="0" w:color="auto"/>
        <w:left w:val="none" w:sz="0" w:space="0" w:color="auto"/>
        <w:bottom w:val="none" w:sz="0" w:space="0" w:color="auto"/>
        <w:right w:val="none" w:sz="0" w:space="0" w:color="auto"/>
      </w:divBdr>
    </w:div>
    <w:div w:id="266692154">
      <w:bodyDiv w:val="1"/>
      <w:marLeft w:val="0"/>
      <w:marRight w:val="0"/>
      <w:marTop w:val="0"/>
      <w:marBottom w:val="0"/>
      <w:divBdr>
        <w:top w:val="none" w:sz="0" w:space="0" w:color="auto"/>
        <w:left w:val="none" w:sz="0" w:space="0" w:color="auto"/>
        <w:bottom w:val="none" w:sz="0" w:space="0" w:color="auto"/>
        <w:right w:val="none" w:sz="0" w:space="0" w:color="auto"/>
      </w:divBdr>
    </w:div>
    <w:div w:id="266693842">
      <w:bodyDiv w:val="1"/>
      <w:marLeft w:val="0"/>
      <w:marRight w:val="0"/>
      <w:marTop w:val="0"/>
      <w:marBottom w:val="0"/>
      <w:divBdr>
        <w:top w:val="none" w:sz="0" w:space="0" w:color="auto"/>
        <w:left w:val="none" w:sz="0" w:space="0" w:color="auto"/>
        <w:bottom w:val="none" w:sz="0" w:space="0" w:color="auto"/>
        <w:right w:val="none" w:sz="0" w:space="0" w:color="auto"/>
      </w:divBdr>
    </w:div>
    <w:div w:id="266933863">
      <w:bodyDiv w:val="1"/>
      <w:marLeft w:val="0"/>
      <w:marRight w:val="0"/>
      <w:marTop w:val="0"/>
      <w:marBottom w:val="0"/>
      <w:divBdr>
        <w:top w:val="none" w:sz="0" w:space="0" w:color="auto"/>
        <w:left w:val="none" w:sz="0" w:space="0" w:color="auto"/>
        <w:bottom w:val="none" w:sz="0" w:space="0" w:color="auto"/>
        <w:right w:val="none" w:sz="0" w:space="0" w:color="auto"/>
      </w:divBdr>
    </w:div>
    <w:div w:id="266935384">
      <w:bodyDiv w:val="1"/>
      <w:marLeft w:val="0"/>
      <w:marRight w:val="0"/>
      <w:marTop w:val="0"/>
      <w:marBottom w:val="0"/>
      <w:divBdr>
        <w:top w:val="none" w:sz="0" w:space="0" w:color="auto"/>
        <w:left w:val="none" w:sz="0" w:space="0" w:color="auto"/>
        <w:bottom w:val="none" w:sz="0" w:space="0" w:color="auto"/>
        <w:right w:val="none" w:sz="0" w:space="0" w:color="auto"/>
      </w:divBdr>
    </w:div>
    <w:div w:id="267010610">
      <w:bodyDiv w:val="1"/>
      <w:marLeft w:val="0"/>
      <w:marRight w:val="0"/>
      <w:marTop w:val="0"/>
      <w:marBottom w:val="0"/>
      <w:divBdr>
        <w:top w:val="none" w:sz="0" w:space="0" w:color="auto"/>
        <w:left w:val="none" w:sz="0" w:space="0" w:color="auto"/>
        <w:bottom w:val="none" w:sz="0" w:space="0" w:color="auto"/>
        <w:right w:val="none" w:sz="0" w:space="0" w:color="auto"/>
      </w:divBdr>
    </w:div>
    <w:div w:id="267198300">
      <w:bodyDiv w:val="1"/>
      <w:marLeft w:val="0"/>
      <w:marRight w:val="0"/>
      <w:marTop w:val="0"/>
      <w:marBottom w:val="0"/>
      <w:divBdr>
        <w:top w:val="none" w:sz="0" w:space="0" w:color="auto"/>
        <w:left w:val="none" w:sz="0" w:space="0" w:color="auto"/>
        <w:bottom w:val="none" w:sz="0" w:space="0" w:color="auto"/>
        <w:right w:val="none" w:sz="0" w:space="0" w:color="auto"/>
      </w:divBdr>
    </w:div>
    <w:div w:id="267472774">
      <w:bodyDiv w:val="1"/>
      <w:marLeft w:val="0"/>
      <w:marRight w:val="0"/>
      <w:marTop w:val="0"/>
      <w:marBottom w:val="0"/>
      <w:divBdr>
        <w:top w:val="none" w:sz="0" w:space="0" w:color="auto"/>
        <w:left w:val="none" w:sz="0" w:space="0" w:color="auto"/>
        <w:bottom w:val="none" w:sz="0" w:space="0" w:color="auto"/>
        <w:right w:val="none" w:sz="0" w:space="0" w:color="auto"/>
      </w:divBdr>
    </w:div>
    <w:div w:id="267590058">
      <w:bodyDiv w:val="1"/>
      <w:marLeft w:val="0"/>
      <w:marRight w:val="0"/>
      <w:marTop w:val="0"/>
      <w:marBottom w:val="0"/>
      <w:divBdr>
        <w:top w:val="none" w:sz="0" w:space="0" w:color="auto"/>
        <w:left w:val="none" w:sz="0" w:space="0" w:color="auto"/>
        <w:bottom w:val="none" w:sz="0" w:space="0" w:color="auto"/>
        <w:right w:val="none" w:sz="0" w:space="0" w:color="auto"/>
      </w:divBdr>
    </w:div>
    <w:div w:id="267658273">
      <w:bodyDiv w:val="1"/>
      <w:marLeft w:val="0"/>
      <w:marRight w:val="0"/>
      <w:marTop w:val="0"/>
      <w:marBottom w:val="0"/>
      <w:divBdr>
        <w:top w:val="none" w:sz="0" w:space="0" w:color="auto"/>
        <w:left w:val="none" w:sz="0" w:space="0" w:color="auto"/>
        <w:bottom w:val="none" w:sz="0" w:space="0" w:color="auto"/>
        <w:right w:val="none" w:sz="0" w:space="0" w:color="auto"/>
      </w:divBdr>
    </w:div>
    <w:div w:id="267734738">
      <w:bodyDiv w:val="1"/>
      <w:marLeft w:val="0"/>
      <w:marRight w:val="0"/>
      <w:marTop w:val="0"/>
      <w:marBottom w:val="0"/>
      <w:divBdr>
        <w:top w:val="none" w:sz="0" w:space="0" w:color="auto"/>
        <w:left w:val="none" w:sz="0" w:space="0" w:color="auto"/>
        <w:bottom w:val="none" w:sz="0" w:space="0" w:color="auto"/>
        <w:right w:val="none" w:sz="0" w:space="0" w:color="auto"/>
      </w:divBdr>
    </w:div>
    <w:div w:id="267739416">
      <w:bodyDiv w:val="1"/>
      <w:marLeft w:val="0"/>
      <w:marRight w:val="0"/>
      <w:marTop w:val="0"/>
      <w:marBottom w:val="0"/>
      <w:divBdr>
        <w:top w:val="none" w:sz="0" w:space="0" w:color="auto"/>
        <w:left w:val="none" w:sz="0" w:space="0" w:color="auto"/>
        <w:bottom w:val="none" w:sz="0" w:space="0" w:color="auto"/>
        <w:right w:val="none" w:sz="0" w:space="0" w:color="auto"/>
      </w:divBdr>
    </w:div>
    <w:div w:id="267859765">
      <w:bodyDiv w:val="1"/>
      <w:marLeft w:val="0"/>
      <w:marRight w:val="0"/>
      <w:marTop w:val="0"/>
      <w:marBottom w:val="0"/>
      <w:divBdr>
        <w:top w:val="none" w:sz="0" w:space="0" w:color="auto"/>
        <w:left w:val="none" w:sz="0" w:space="0" w:color="auto"/>
        <w:bottom w:val="none" w:sz="0" w:space="0" w:color="auto"/>
        <w:right w:val="none" w:sz="0" w:space="0" w:color="auto"/>
      </w:divBdr>
    </w:div>
    <w:div w:id="268045298">
      <w:bodyDiv w:val="1"/>
      <w:marLeft w:val="0"/>
      <w:marRight w:val="0"/>
      <w:marTop w:val="0"/>
      <w:marBottom w:val="0"/>
      <w:divBdr>
        <w:top w:val="none" w:sz="0" w:space="0" w:color="auto"/>
        <w:left w:val="none" w:sz="0" w:space="0" w:color="auto"/>
        <w:bottom w:val="none" w:sz="0" w:space="0" w:color="auto"/>
        <w:right w:val="none" w:sz="0" w:space="0" w:color="auto"/>
      </w:divBdr>
    </w:div>
    <w:div w:id="268047116">
      <w:bodyDiv w:val="1"/>
      <w:marLeft w:val="0"/>
      <w:marRight w:val="0"/>
      <w:marTop w:val="0"/>
      <w:marBottom w:val="0"/>
      <w:divBdr>
        <w:top w:val="none" w:sz="0" w:space="0" w:color="auto"/>
        <w:left w:val="none" w:sz="0" w:space="0" w:color="auto"/>
        <w:bottom w:val="none" w:sz="0" w:space="0" w:color="auto"/>
        <w:right w:val="none" w:sz="0" w:space="0" w:color="auto"/>
      </w:divBdr>
    </w:div>
    <w:div w:id="268053428">
      <w:bodyDiv w:val="1"/>
      <w:marLeft w:val="0"/>
      <w:marRight w:val="0"/>
      <w:marTop w:val="0"/>
      <w:marBottom w:val="0"/>
      <w:divBdr>
        <w:top w:val="none" w:sz="0" w:space="0" w:color="auto"/>
        <w:left w:val="none" w:sz="0" w:space="0" w:color="auto"/>
        <w:bottom w:val="none" w:sz="0" w:space="0" w:color="auto"/>
        <w:right w:val="none" w:sz="0" w:space="0" w:color="auto"/>
      </w:divBdr>
    </w:div>
    <w:div w:id="268054488">
      <w:bodyDiv w:val="1"/>
      <w:marLeft w:val="0"/>
      <w:marRight w:val="0"/>
      <w:marTop w:val="0"/>
      <w:marBottom w:val="0"/>
      <w:divBdr>
        <w:top w:val="none" w:sz="0" w:space="0" w:color="auto"/>
        <w:left w:val="none" w:sz="0" w:space="0" w:color="auto"/>
        <w:bottom w:val="none" w:sz="0" w:space="0" w:color="auto"/>
        <w:right w:val="none" w:sz="0" w:space="0" w:color="auto"/>
      </w:divBdr>
    </w:div>
    <w:div w:id="268315402">
      <w:bodyDiv w:val="1"/>
      <w:marLeft w:val="0"/>
      <w:marRight w:val="0"/>
      <w:marTop w:val="0"/>
      <w:marBottom w:val="0"/>
      <w:divBdr>
        <w:top w:val="none" w:sz="0" w:space="0" w:color="auto"/>
        <w:left w:val="none" w:sz="0" w:space="0" w:color="auto"/>
        <w:bottom w:val="none" w:sz="0" w:space="0" w:color="auto"/>
        <w:right w:val="none" w:sz="0" w:space="0" w:color="auto"/>
      </w:divBdr>
    </w:div>
    <w:div w:id="268319700">
      <w:bodyDiv w:val="1"/>
      <w:marLeft w:val="0"/>
      <w:marRight w:val="0"/>
      <w:marTop w:val="0"/>
      <w:marBottom w:val="0"/>
      <w:divBdr>
        <w:top w:val="none" w:sz="0" w:space="0" w:color="auto"/>
        <w:left w:val="none" w:sz="0" w:space="0" w:color="auto"/>
        <w:bottom w:val="none" w:sz="0" w:space="0" w:color="auto"/>
        <w:right w:val="none" w:sz="0" w:space="0" w:color="auto"/>
      </w:divBdr>
    </w:div>
    <w:div w:id="268632193">
      <w:bodyDiv w:val="1"/>
      <w:marLeft w:val="0"/>
      <w:marRight w:val="0"/>
      <w:marTop w:val="0"/>
      <w:marBottom w:val="0"/>
      <w:divBdr>
        <w:top w:val="none" w:sz="0" w:space="0" w:color="auto"/>
        <w:left w:val="none" w:sz="0" w:space="0" w:color="auto"/>
        <w:bottom w:val="none" w:sz="0" w:space="0" w:color="auto"/>
        <w:right w:val="none" w:sz="0" w:space="0" w:color="auto"/>
      </w:divBdr>
    </w:div>
    <w:div w:id="268660624">
      <w:bodyDiv w:val="1"/>
      <w:marLeft w:val="0"/>
      <w:marRight w:val="0"/>
      <w:marTop w:val="0"/>
      <w:marBottom w:val="0"/>
      <w:divBdr>
        <w:top w:val="none" w:sz="0" w:space="0" w:color="auto"/>
        <w:left w:val="none" w:sz="0" w:space="0" w:color="auto"/>
        <w:bottom w:val="none" w:sz="0" w:space="0" w:color="auto"/>
        <w:right w:val="none" w:sz="0" w:space="0" w:color="auto"/>
      </w:divBdr>
    </w:div>
    <w:div w:id="268859622">
      <w:bodyDiv w:val="1"/>
      <w:marLeft w:val="0"/>
      <w:marRight w:val="0"/>
      <w:marTop w:val="0"/>
      <w:marBottom w:val="0"/>
      <w:divBdr>
        <w:top w:val="none" w:sz="0" w:space="0" w:color="auto"/>
        <w:left w:val="none" w:sz="0" w:space="0" w:color="auto"/>
        <w:bottom w:val="none" w:sz="0" w:space="0" w:color="auto"/>
        <w:right w:val="none" w:sz="0" w:space="0" w:color="auto"/>
      </w:divBdr>
    </w:div>
    <w:div w:id="269091989">
      <w:bodyDiv w:val="1"/>
      <w:marLeft w:val="0"/>
      <w:marRight w:val="0"/>
      <w:marTop w:val="0"/>
      <w:marBottom w:val="0"/>
      <w:divBdr>
        <w:top w:val="none" w:sz="0" w:space="0" w:color="auto"/>
        <w:left w:val="none" w:sz="0" w:space="0" w:color="auto"/>
        <w:bottom w:val="none" w:sz="0" w:space="0" w:color="auto"/>
        <w:right w:val="none" w:sz="0" w:space="0" w:color="auto"/>
      </w:divBdr>
    </w:div>
    <w:div w:id="269095011">
      <w:bodyDiv w:val="1"/>
      <w:marLeft w:val="0"/>
      <w:marRight w:val="0"/>
      <w:marTop w:val="0"/>
      <w:marBottom w:val="0"/>
      <w:divBdr>
        <w:top w:val="none" w:sz="0" w:space="0" w:color="auto"/>
        <w:left w:val="none" w:sz="0" w:space="0" w:color="auto"/>
        <w:bottom w:val="none" w:sz="0" w:space="0" w:color="auto"/>
        <w:right w:val="none" w:sz="0" w:space="0" w:color="auto"/>
      </w:divBdr>
    </w:div>
    <w:div w:id="269120351">
      <w:bodyDiv w:val="1"/>
      <w:marLeft w:val="0"/>
      <w:marRight w:val="0"/>
      <w:marTop w:val="0"/>
      <w:marBottom w:val="0"/>
      <w:divBdr>
        <w:top w:val="none" w:sz="0" w:space="0" w:color="auto"/>
        <w:left w:val="none" w:sz="0" w:space="0" w:color="auto"/>
        <w:bottom w:val="none" w:sz="0" w:space="0" w:color="auto"/>
        <w:right w:val="none" w:sz="0" w:space="0" w:color="auto"/>
      </w:divBdr>
    </w:div>
    <w:div w:id="269122481">
      <w:bodyDiv w:val="1"/>
      <w:marLeft w:val="0"/>
      <w:marRight w:val="0"/>
      <w:marTop w:val="0"/>
      <w:marBottom w:val="0"/>
      <w:divBdr>
        <w:top w:val="none" w:sz="0" w:space="0" w:color="auto"/>
        <w:left w:val="none" w:sz="0" w:space="0" w:color="auto"/>
        <w:bottom w:val="none" w:sz="0" w:space="0" w:color="auto"/>
        <w:right w:val="none" w:sz="0" w:space="0" w:color="auto"/>
      </w:divBdr>
    </w:div>
    <w:div w:id="269165629">
      <w:bodyDiv w:val="1"/>
      <w:marLeft w:val="0"/>
      <w:marRight w:val="0"/>
      <w:marTop w:val="0"/>
      <w:marBottom w:val="0"/>
      <w:divBdr>
        <w:top w:val="none" w:sz="0" w:space="0" w:color="auto"/>
        <w:left w:val="none" w:sz="0" w:space="0" w:color="auto"/>
        <w:bottom w:val="none" w:sz="0" w:space="0" w:color="auto"/>
        <w:right w:val="none" w:sz="0" w:space="0" w:color="auto"/>
      </w:divBdr>
    </w:div>
    <w:div w:id="269241352">
      <w:bodyDiv w:val="1"/>
      <w:marLeft w:val="0"/>
      <w:marRight w:val="0"/>
      <w:marTop w:val="0"/>
      <w:marBottom w:val="0"/>
      <w:divBdr>
        <w:top w:val="none" w:sz="0" w:space="0" w:color="auto"/>
        <w:left w:val="none" w:sz="0" w:space="0" w:color="auto"/>
        <w:bottom w:val="none" w:sz="0" w:space="0" w:color="auto"/>
        <w:right w:val="none" w:sz="0" w:space="0" w:color="auto"/>
      </w:divBdr>
    </w:div>
    <w:div w:id="269244944">
      <w:bodyDiv w:val="1"/>
      <w:marLeft w:val="0"/>
      <w:marRight w:val="0"/>
      <w:marTop w:val="0"/>
      <w:marBottom w:val="0"/>
      <w:divBdr>
        <w:top w:val="none" w:sz="0" w:space="0" w:color="auto"/>
        <w:left w:val="none" w:sz="0" w:space="0" w:color="auto"/>
        <w:bottom w:val="none" w:sz="0" w:space="0" w:color="auto"/>
        <w:right w:val="none" w:sz="0" w:space="0" w:color="auto"/>
      </w:divBdr>
    </w:div>
    <w:div w:id="269632359">
      <w:bodyDiv w:val="1"/>
      <w:marLeft w:val="0"/>
      <w:marRight w:val="0"/>
      <w:marTop w:val="0"/>
      <w:marBottom w:val="0"/>
      <w:divBdr>
        <w:top w:val="none" w:sz="0" w:space="0" w:color="auto"/>
        <w:left w:val="none" w:sz="0" w:space="0" w:color="auto"/>
        <w:bottom w:val="none" w:sz="0" w:space="0" w:color="auto"/>
        <w:right w:val="none" w:sz="0" w:space="0" w:color="auto"/>
      </w:divBdr>
    </w:div>
    <w:div w:id="269748517">
      <w:bodyDiv w:val="1"/>
      <w:marLeft w:val="0"/>
      <w:marRight w:val="0"/>
      <w:marTop w:val="0"/>
      <w:marBottom w:val="0"/>
      <w:divBdr>
        <w:top w:val="none" w:sz="0" w:space="0" w:color="auto"/>
        <w:left w:val="none" w:sz="0" w:space="0" w:color="auto"/>
        <w:bottom w:val="none" w:sz="0" w:space="0" w:color="auto"/>
        <w:right w:val="none" w:sz="0" w:space="0" w:color="auto"/>
      </w:divBdr>
    </w:div>
    <w:div w:id="270355337">
      <w:bodyDiv w:val="1"/>
      <w:marLeft w:val="0"/>
      <w:marRight w:val="0"/>
      <w:marTop w:val="0"/>
      <w:marBottom w:val="0"/>
      <w:divBdr>
        <w:top w:val="none" w:sz="0" w:space="0" w:color="auto"/>
        <w:left w:val="none" w:sz="0" w:space="0" w:color="auto"/>
        <w:bottom w:val="none" w:sz="0" w:space="0" w:color="auto"/>
        <w:right w:val="none" w:sz="0" w:space="0" w:color="auto"/>
      </w:divBdr>
    </w:div>
    <w:div w:id="270553773">
      <w:bodyDiv w:val="1"/>
      <w:marLeft w:val="0"/>
      <w:marRight w:val="0"/>
      <w:marTop w:val="0"/>
      <w:marBottom w:val="0"/>
      <w:divBdr>
        <w:top w:val="none" w:sz="0" w:space="0" w:color="auto"/>
        <w:left w:val="none" w:sz="0" w:space="0" w:color="auto"/>
        <w:bottom w:val="none" w:sz="0" w:space="0" w:color="auto"/>
        <w:right w:val="none" w:sz="0" w:space="0" w:color="auto"/>
      </w:divBdr>
    </w:div>
    <w:div w:id="270666295">
      <w:bodyDiv w:val="1"/>
      <w:marLeft w:val="0"/>
      <w:marRight w:val="0"/>
      <w:marTop w:val="0"/>
      <w:marBottom w:val="0"/>
      <w:divBdr>
        <w:top w:val="none" w:sz="0" w:space="0" w:color="auto"/>
        <w:left w:val="none" w:sz="0" w:space="0" w:color="auto"/>
        <w:bottom w:val="none" w:sz="0" w:space="0" w:color="auto"/>
        <w:right w:val="none" w:sz="0" w:space="0" w:color="auto"/>
      </w:divBdr>
    </w:div>
    <w:div w:id="270670688">
      <w:bodyDiv w:val="1"/>
      <w:marLeft w:val="0"/>
      <w:marRight w:val="0"/>
      <w:marTop w:val="0"/>
      <w:marBottom w:val="0"/>
      <w:divBdr>
        <w:top w:val="none" w:sz="0" w:space="0" w:color="auto"/>
        <w:left w:val="none" w:sz="0" w:space="0" w:color="auto"/>
        <w:bottom w:val="none" w:sz="0" w:space="0" w:color="auto"/>
        <w:right w:val="none" w:sz="0" w:space="0" w:color="auto"/>
      </w:divBdr>
    </w:div>
    <w:div w:id="270671015">
      <w:bodyDiv w:val="1"/>
      <w:marLeft w:val="0"/>
      <w:marRight w:val="0"/>
      <w:marTop w:val="0"/>
      <w:marBottom w:val="0"/>
      <w:divBdr>
        <w:top w:val="none" w:sz="0" w:space="0" w:color="auto"/>
        <w:left w:val="none" w:sz="0" w:space="0" w:color="auto"/>
        <w:bottom w:val="none" w:sz="0" w:space="0" w:color="auto"/>
        <w:right w:val="none" w:sz="0" w:space="0" w:color="auto"/>
      </w:divBdr>
    </w:div>
    <w:div w:id="270675265">
      <w:bodyDiv w:val="1"/>
      <w:marLeft w:val="0"/>
      <w:marRight w:val="0"/>
      <w:marTop w:val="0"/>
      <w:marBottom w:val="0"/>
      <w:divBdr>
        <w:top w:val="none" w:sz="0" w:space="0" w:color="auto"/>
        <w:left w:val="none" w:sz="0" w:space="0" w:color="auto"/>
        <w:bottom w:val="none" w:sz="0" w:space="0" w:color="auto"/>
        <w:right w:val="none" w:sz="0" w:space="0" w:color="auto"/>
      </w:divBdr>
    </w:div>
    <w:div w:id="270823381">
      <w:bodyDiv w:val="1"/>
      <w:marLeft w:val="0"/>
      <w:marRight w:val="0"/>
      <w:marTop w:val="0"/>
      <w:marBottom w:val="0"/>
      <w:divBdr>
        <w:top w:val="none" w:sz="0" w:space="0" w:color="auto"/>
        <w:left w:val="none" w:sz="0" w:space="0" w:color="auto"/>
        <w:bottom w:val="none" w:sz="0" w:space="0" w:color="auto"/>
        <w:right w:val="none" w:sz="0" w:space="0" w:color="auto"/>
      </w:divBdr>
    </w:div>
    <w:div w:id="270939793">
      <w:bodyDiv w:val="1"/>
      <w:marLeft w:val="0"/>
      <w:marRight w:val="0"/>
      <w:marTop w:val="0"/>
      <w:marBottom w:val="0"/>
      <w:divBdr>
        <w:top w:val="none" w:sz="0" w:space="0" w:color="auto"/>
        <w:left w:val="none" w:sz="0" w:space="0" w:color="auto"/>
        <w:bottom w:val="none" w:sz="0" w:space="0" w:color="auto"/>
        <w:right w:val="none" w:sz="0" w:space="0" w:color="auto"/>
      </w:divBdr>
    </w:div>
    <w:div w:id="271018246">
      <w:bodyDiv w:val="1"/>
      <w:marLeft w:val="0"/>
      <w:marRight w:val="0"/>
      <w:marTop w:val="0"/>
      <w:marBottom w:val="0"/>
      <w:divBdr>
        <w:top w:val="none" w:sz="0" w:space="0" w:color="auto"/>
        <w:left w:val="none" w:sz="0" w:space="0" w:color="auto"/>
        <w:bottom w:val="none" w:sz="0" w:space="0" w:color="auto"/>
        <w:right w:val="none" w:sz="0" w:space="0" w:color="auto"/>
      </w:divBdr>
    </w:div>
    <w:div w:id="271057250">
      <w:bodyDiv w:val="1"/>
      <w:marLeft w:val="0"/>
      <w:marRight w:val="0"/>
      <w:marTop w:val="0"/>
      <w:marBottom w:val="0"/>
      <w:divBdr>
        <w:top w:val="none" w:sz="0" w:space="0" w:color="auto"/>
        <w:left w:val="none" w:sz="0" w:space="0" w:color="auto"/>
        <w:bottom w:val="none" w:sz="0" w:space="0" w:color="auto"/>
        <w:right w:val="none" w:sz="0" w:space="0" w:color="auto"/>
      </w:divBdr>
    </w:div>
    <w:div w:id="271128108">
      <w:bodyDiv w:val="1"/>
      <w:marLeft w:val="0"/>
      <w:marRight w:val="0"/>
      <w:marTop w:val="0"/>
      <w:marBottom w:val="0"/>
      <w:divBdr>
        <w:top w:val="none" w:sz="0" w:space="0" w:color="auto"/>
        <w:left w:val="none" w:sz="0" w:space="0" w:color="auto"/>
        <w:bottom w:val="none" w:sz="0" w:space="0" w:color="auto"/>
        <w:right w:val="none" w:sz="0" w:space="0" w:color="auto"/>
      </w:divBdr>
    </w:div>
    <w:div w:id="271206543">
      <w:bodyDiv w:val="1"/>
      <w:marLeft w:val="0"/>
      <w:marRight w:val="0"/>
      <w:marTop w:val="0"/>
      <w:marBottom w:val="0"/>
      <w:divBdr>
        <w:top w:val="none" w:sz="0" w:space="0" w:color="auto"/>
        <w:left w:val="none" w:sz="0" w:space="0" w:color="auto"/>
        <w:bottom w:val="none" w:sz="0" w:space="0" w:color="auto"/>
        <w:right w:val="none" w:sz="0" w:space="0" w:color="auto"/>
      </w:divBdr>
    </w:div>
    <w:div w:id="271207934">
      <w:bodyDiv w:val="1"/>
      <w:marLeft w:val="0"/>
      <w:marRight w:val="0"/>
      <w:marTop w:val="0"/>
      <w:marBottom w:val="0"/>
      <w:divBdr>
        <w:top w:val="none" w:sz="0" w:space="0" w:color="auto"/>
        <w:left w:val="none" w:sz="0" w:space="0" w:color="auto"/>
        <w:bottom w:val="none" w:sz="0" w:space="0" w:color="auto"/>
        <w:right w:val="none" w:sz="0" w:space="0" w:color="auto"/>
      </w:divBdr>
    </w:div>
    <w:div w:id="271208275">
      <w:bodyDiv w:val="1"/>
      <w:marLeft w:val="0"/>
      <w:marRight w:val="0"/>
      <w:marTop w:val="0"/>
      <w:marBottom w:val="0"/>
      <w:divBdr>
        <w:top w:val="none" w:sz="0" w:space="0" w:color="auto"/>
        <w:left w:val="none" w:sz="0" w:space="0" w:color="auto"/>
        <w:bottom w:val="none" w:sz="0" w:space="0" w:color="auto"/>
        <w:right w:val="none" w:sz="0" w:space="0" w:color="auto"/>
      </w:divBdr>
    </w:div>
    <w:div w:id="271255357">
      <w:bodyDiv w:val="1"/>
      <w:marLeft w:val="0"/>
      <w:marRight w:val="0"/>
      <w:marTop w:val="0"/>
      <w:marBottom w:val="0"/>
      <w:divBdr>
        <w:top w:val="none" w:sz="0" w:space="0" w:color="auto"/>
        <w:left w:val="none" w:sz="0" w:space="0" w:color="auto"/>
        <w:bottom w:val="none" w:sz="0" w:space="0" w:color="auto"/>
        <w:right w:val="none" w:sz="0" w:space="0" w:color="auto"/>
      </w:divBdr>
    </w:div>
    <w:div w:id="271396553">
      <w:bodyDiv w:val="1"/>
      <w:marLeft w:val="0"/>
      <w:marRight w:val="0"/>
      <w:marTop w:val="0"/>
      <w:marBottom w:val="0"/>
      <w:divBdr>
        <w:top w:val="none" w:sz="0" w:space="0" w:color="auto"/>
        <w:left w:val="none" w:sz="0" w:space="0" w:color="auto"/>
        <w:bottom w:val="none" w:sz="0" w:space="0" w:color="auto"/>
        <w:right w:val="none" w:sz="0" w:space="0" w:color="auto"/>
      </w:divBdr>
    </w:div>
    <w:div w:id="271479662">
      <w:bodyDiv w:val="1"/>
      <w:marLeft w:val="0"/>
      <w:marRight w:val="0"/>
      <w:marTop w:val="0"/>
      <w:marBottom w:val="0"/>
      <w:divBdr>
        <w:top w:val="none" w:sz="0" w:space="0" w:color="auto"/>
        <w:left w:val="none" w:sz="0" w:space="0" w:color="auto"/>
        <w:bottom w:val="none" w:sz="0" w:space="0" w:color="auto"/>
        <w:right w:val="none" w:sz="0" w:space="0" w:color="auto"/>
      </w:divBdr>
    </w:div>
    <w:div w:id="271598076">
      <w:bodyDiv w:val="1"/>
      <w:marLeft w:val="0"/>
      <w:marRight w:val="0"/>
      <w:marTop w:val="0"/>
      <w:marBottom w:val="0"/>
      <w:divBdr>
        <w:top w:val="none" w:sz="0" w:space="0" w:color="auto"/>
        <w:left w:val="none" w:sz="0" w:space="0" w:color="auto"/>
        <w:bottom w:val="none" w:sz="0" w:space="0" w:color="auto"/>
        <w:right w:val="none" w:sz="0" w:space="0" w:color="auto"/>
      </w:divBdr>
    </w:div>
    <w:div w:id="271742836">
      <w:bodyDiv w:val="1"/>
      <w:marLeft w:val="0"/>
      <w:marRight w:val="0"/>
      <w:marTop w:val="0"/>
      <w:marBottom w:val="0"/>
      <w:divBdr>
        <w:top w:val="none" w:sz="0" w:space="0" w:color="auto"/>
        <w:left w:val="none" w:sz="0" w:space="0" w:color="auto"/>
        <w:bottom w:val="none" w:sz="0" w:space="0" w:color="auto"/>
        <w:right w:val="none" w:sz="0" w:space="0" w:color="auto"/>
      </w:divBdr>
    </w:div>
    <w:div w:id="271980044">
      <w:bodyDiv w:val="1"/>
      <w:marLeft w:val="0"/>
      <w:marRight w:val="0"/>
      <w:marTop w:val="0"/>
      <w:marBottom w:val="0"/>
      <w:divBdr>
        <w:top w:val="none" w:sz="0" w:space="0" w:color="auto"/>
        <w:left w:val="none" w:sz="0" w:space="0" w:color="auto"/>
        <w:bottom w:val="none" w:sz="0" w:space="0" w:color="auto"/>
        <w:right w:val="none" w:sz="0" w:space="0" w:color="auto"/>
      </w:divBdr>
    </w:div>
    <w:div w:id="272059519">
      <w:bodyDiv w:val="1"/>
      <w:marLeft w:val="0"/>
      <w:marRight w:val="0"/>
      <w:marTop w:val="0"/>
      <w:marBottom w:val="0"/>
      <w:divBdr>
        <w:top w:val="none" w:sz="0" w:space="0" w:color="auto"/>
        <w:left w:val="none" w:sz="0" w:space="0" w:color="auto"/>
        <w:bottom w:val="none" w:sz="0" w:space="0" w:color="auto"/>
        <w:right w:val="none" w:sz="0" w:space="0" w:color="auto"/>
      </w:divBdr>
    </w:div>
    <w:div w:id="272177798">
      <w:bodyDiv w:val="1"/>
      <w:marLeft w:val="0"/>
      <w:marRight w:val="0"/>
      <w:marTop w:val="0"/>
      <w:marBottom w:val="0"/>
      <w:divBdr>
        <w:top w:val="none" w:sz="0" w:space="0" w:color="auto"/>
        <w:left w:val="none" w:sz="0" w:space="0" w:color="auto"/>
        <w:bottom w:val="none" w:sz="0" w:space="0" w:color="auto"/>
        <w:right w:val="none" w:sz="0" w:space="0" w:color="auto"/>
      </w:divBdr>
    </w:div>
    <w:div w:id="272246344">
      <w:bodyDiv w:val="1"/>
      <w:marLeft w:val="0"/>
      <w:marRight w:val="0"/>
      <w:marTop w:val="0"/>
      <w:marBottom w:val="0"/>
      <w:divBdr>
        <w:top w:val="none" w:sz="0" w:space="0" w:color="auto"/>
        <w:left w:val="none" w:sz="0" w:space="0" w:color="auto"/>
        <w:bottom w:val="none" w:sz="0" w:space="0" w:color="auto"/>
        <w:right w:val="none" w:sz="0" w:space="0" w:color="auto"/>
      </w:divBdr>
    </w:div>
    <w:div w:id="272371161">
      <w:bodyDiv w:val="1"/>
      <w:marLeft w:val="0"/>
      <w:marRight w:val="0"/>
      <w:marTop w:val="0"/>
      <w:marBottom w:val="0"/>
      <w:divBdr>
        <w:top w:val="none" w:sz="0" w:space="0" w:color="auto"/>
        <w:left w:val="none" w:sz="0" w:space="0" w:color="auto"/>
        <w:bottom w:val="none" w:sz="0" w:space="0" w:color="auto"/>
        <w:right w:val="none" w:sz="0" w:space="0" w:color="auto"/>
      </w:divBdr>
    </w:div>
    <w:div w:id="272399422">
      <w:bodyDiv w:val="1"/>
      <w:marLeft w:val="0"/>
      <w:marRight w:val="0"/>
      <w:marTop w:val="0"/>
      <w:marBottom w:val="0"/>
      <w:divBdr>
        <w:top w:val="none" w:sz="0" w:space="0" w:color="auto"/>
        <w:left w:val="none" w:sz="0" w:space="0" w:color="auto"/>
        <w:bottom w:val="none" w:sz="0" w:space="0" w:color="auto"/>
        <w:right w:val="none" w:sz="0" w:space="0" w:color="auto"/>
      </w:divBdr>
    </w:div>
    <w:div w:id="272440934">
      <w:bodyDiv w:val="1"/>
      <w:marLeft w:val="0"/>
      <w:marRight w:val="0"/>
      <w:marTop w:val="0"/>
      <w:marBottom w:val="0"/>
      <w:divBdr>
        <w:top w:val="none" w:sz="0" w:space="0" w:color="auto"/>
        <w:left w:val="none" w:sz="0" w:space="0" w:color="auto"/>
        <w:bottom w:val="none" w:sz="0" w:space="0" w:color="auto"/>
        <w:right w:val="none" w:sz="0" w:space="0" w:color="auto"/>
      </w:divBdr>
    </w:div>
    <w:div w:id="272445441">
      <w:bodyDiv w:val="1"/>
      <w:marLeft w:val="0"/>
      <w:marRight w:val="0"/>
      <w:marTop w:val="0"/>
      <w:marBottom w:val="0"/>
      <w:divBdr>
        <w:top w:val="none" w:sz="0" w:space="0" w:color="auto"/>
        <w:left w:val="none" w:sz="0" w:space="0" w:color="auto"/>
        <w:bottom w:val="none" w:sz="0" w:space="0" w:color="auto"/>
        <w:right w:val="none" w:sz="0" w:space="0" w:color="auto"/>
      </w:divBdr>
    </w:div>
    <w:div w:id="272636523">
      <w:bodyDiv w:val="1"/>
      <w:marLeft w:val="0"/>
      <w:marRight w:val="0"/>
      <w:marTop w:val="0"/>
      <w:marBottom w:val="0"/>
      <w:divBdr>
        <w:top w:val="none" w:sz="0" w:space="0" w:color="auto"/>
        <w:left w:val="none" w:sz="0" w:space="0" w:color="auto"/>
        <w:bottom w:val="none" w:sz="0" w:space="0" w:color="auto"/>
        <w:right w:val="none" w:sz="0" w:space="0" w:color="auto"/>
      </w:divBdr>
    </w:div>
    <w:div w:id="272637239">
      <w:bodyDiv w:val="1"/>
      <w:marLeft w:val="0"/>
      <w:marRight w:val="0"/>
      <w:marTop w:val="0"/>
      <w:marBottom w:val="0"/>
      <w:divBdr>
        <w:top w:val="none" w:sz="0" w:space="0" w:color="auto"/>
        <w:left w:val="none" w:sz="0" w:space="0" w:color="auto"/>
        <w:bottom w:val="none" w:sz="0" w:space="0" w:color="auto"/>
        <w:right w:val="none" w:sz="0" w:space="0" w:color="auto"/>
      </w:divBdr>
    </w:div>
    <w:div w:id="272711207">
      <w:bodyDiv w:val="1"/>
      <w:marLeft w:val="0"/>
      <w:marRight w:val="0"/>
      <w:marTop w:val="0"/>
      <w:marBottom w:val="0"/>
      <w:divBdr>
        <w:top w:val="none" w:sz="0" w:space="0" w:color="auto"/>
        <w:left w:val="none" w:sz="0" w:space="0" w:color="auto"/>
        <w:bottom w:val="none" w:sz="0" w:space="0" w:color="auto"/>
        <w:right w:val="none" w:sz="0" w:space="0" w:color="auto"/>
      </w:divBdr>
    </w:div>
    <w:div w:id="272714650">
      <w:bodyDiv w:val="1"/>
      <w:marLeft w:val="0"/>
      <w:marRight w:val="0"/>
      <w:marTop w:val="0"/>
      <w:marBottom w:val="0"/>
      <w:divBdr>
        <w:top w:val="none" w:sz="0" w:space="0" w:color="auto"/>
        <w:left w:val="none" w:sz="0" w:space="0" w:color="auto"/>
        <w:bottom w:val="none" w:sz="0" w:space="0" w:color="auto"/>
        <w:right w:val="none" w:sz="0" w:space="0" w:color="auto"/>
      </w:divBdr>
    </w:div>
    <w:div w:id="272830930">
      <w:bodyDiv w:val="1"/>
      <w:marLeft w:val="0"/>
      <w:marRight w:val="0"/>
      <w:marTop w:val="0"/>
      <w:marBottom w:val="0"/>
      <w:divBdr>
        <w:top w:val="none" w:sz="0" w:space="0" w:color="auto"/>
        <w:left w:val="none" w:sz="0" w:space="0" w:color="auto"/>
        <w:bottom w:val="none" w:sz="0" w:space="0" w:color="auto"/>
        <w:right w:val="none" w:sz="0" w:space="0" w:color="auto"/>
      </w:divBdr>
    </w:div>
    <w:div w:id="272834596">
      <w:bodyDiv w:val="1"/>
      <w:marLeft w:val="0"/>
      <w:marRight w:val="0"/>
      <w:marTop w:val="0"/>
      <w:marBottom w:val="0"/>
      <w:divBdr>
        <w:top w:val="none" w:sz="0" w:space="0" w:color="auto"/>
        <w:left w:val="none" w:sz="0" w:space="0" w:color="auto"/>
        <w:bottom w:val="none" w:sz="0" w:space="0" w:color="auto"/>
        <w:right w:val="none" w:sz="0" w:space="0" w:color="auto"/>
      </w:divBdr>
    </w:div>
    <w:div w:id="273024129">
      <w:bodyDiv w:val="1"/>
      <w:marLeft w:val="0"/>
      <w:marRight w:val="0"/>
      <w:marTop w:val="0"/>
      <w:marBottom w:val="0"/>
      <w:divBdr>
        <w:top w:val="none" w:sz="0" w:space="0" w:color="auto"/>
        <w:left w:val="none" w:sz="0" w:space="0" w:color="auto"/>
        <w:bottom w:val="none" w:sz="0" w:space="0" w:color="auto"/>
        <w:right w:val="none" w:sz="0" w:space="0" w:color="auto"/>
      </w:divBdr>
    </w:div>
    <w:div w:id="273026598">
      <w:bodyDiv w:val="1"/>
      <w:marLeft w:val="0"/>
      <w:marRight w:val="0"/>
      <w:marTop w:val="0"/>
      <w:marBottom w:val="0"/>
      <w:divBdr>
        <w:top w:val="none" w:sz="0" w:space="0" w:color="auto"/>
        <w:left w:val="none" w:sz="0" w:space="0" w:color="auto"/>
        <w:bottom w:val="none" w:sz="0" w:space="0" w:color="auto"/>
        <w:right w:val="none" w:sz="0" w:space="0" w:color="auto"/>
      </w:divBdr>
    </w:div>
    <w:div w:id="273051770">
      <w:bodyDiv w:val="1"/>
      <w:marLeft w:val="0"/>
      <w:marRight w:val="0"/>
      <w:marTop w:val="0"/>
      <w:marBottom w:val="0"/>
      <w:divBdr>
        <w:top w:val="none" w:sz="0" w:space="0" w:color="auto"/>
        <w:left w:val="none" w:sz="0" w:space="0" w:color="auto"/>
        <w:bottom w:val="none" w:sz="0" w:space="0" w:color="auto"/>
        <w:right w:val="none" w:sz="0" w:space="0" w:color="auto"/>
      </w:divBdr>
    </w:div>
    <w:div w:id="273093944">
      <w:bodyDiv w:val="1"/>
      <w:marLeft w:val="0"/>
      <w:marRight w:val="0"/>
      <w:marTop w:val="0"/>
      <w:marBottom w:val="0"/>
      <w:divBdr>
        <w:top w:val="none" w:sz="0" w:space="0" w:color="auto"/>
        <w:left w:val="none" w:sz="0" w:space="0" w:color="auto"/>
        <w:bottom w:val="none" w:sz="0" w:space="0" w:color="auto"/>
        <w:right w:val="none" w:sz="0" w:space="0" w:color="auto"/>
      </w:divBdr>
    </w:div>
    <w:div w:id="273220111">
      <w:bodyDiv w:val="1"/>
      <w:marLeft w:val="0"/>
      <w:marRight w:val="0"/>
      <w:marTop w:val="0"/>
      <w:marBottom w:val="0"/>
      <w:divBdr>
        <w:top w:val="none" w:sz="0" w:space="0" w:color="auto"/>
        <w:left w:val="none" w:sz="0" w:space="0" w:color="auto"/>
        <w:bottom w:val="none" w:sz="0" w:space="0" w:color="auto"/>
        <w:right w:val="none" w:sz="0" w:space="0" w:color="auto"/>
      </w:divBdr>
    </w:div>
    <w:div w:id="273750018">
      <w:bodyDiv w:val="1"/>
      <w:marLeft w:val="0"/>
      <w:marRight w:val="0"/>
      <w:marTop w:val="0"/>
      <w:marBottom w:val="0"/>
      <w:divBdr>
        <w:top w:val="none" w:sz="0" w:space="0" w:color="auto"/>
        <w:left w:val="none" w:sz="0" w:space="0" w:color="auto"/>
        <w:bottom w:val="none" w:sz="0" w:space="0" w:color="auto"/>
        <w:right w:val="none" w:sz="0" w:space="0" w:color="auto"/>
      </w:divBdr>
    </w:div>
    <w:div w:id="273947743">
      <w:bodyDiv w:val="1"/>
      <w:marLeft w:val="0"/>
      <w:marRight w:val="0"/>
      <w:marTop w:val="0"/>
      <w:marBottom w:val="0"/>
      <w:divBdr>
        <w:top w:val="none" w:sz="0" w:space="0" w:color="auto"/>
        <w:left w:val="none" w:sz="0" w:space="0" w:color="auto"/>
        <w:bottom w:val="none" w:sz="0" w:space="0" w:color="auto"/>
        <w:right w:val="none" w:sz="0" w:space="0" w:color="auto"/>
      </w:divBdr>
    </w:div>
    <w:div w:id="273950527">
      <w:bodyDiv w:val="1"/>
      <w:marLeft w:val="0"/>
      <w:marRight w:val="0"/>
      <w:marTop w:val="0"/>
      <w:marBottom w:val="0"/>
      <w:divBdr>
        <w:top w:val="none" w:sz="0" w:space="0" w:color="auto"/>
        <w:left w:val="none" w:sz="0" w:space="0" w:color="auto"/>
        <w:bottom w:val="none" w:sz="0" w:space="0" w:color="auto"/>
        <w:right w:val="none" w:sz="0" w:space="0" w:color="auto"/>
      </w:divBdr>
    </w:div>
    <w:div w:id="274024642">
      <w:bodyDiv w:val="1"/>
      <w:marLeft w:val="0"/>
      <w:marRight w:val="0"/>
      <w:marTop w:val="0"/>
      <w:marBottom w:val="0"/>
      <w:divBdr>
        <w:top w:val="none" w:sz="0" w:space="0" w:color="auto"/>
        <w:left w:val="none" w:sz="0" w:space="0" w:color="auto"/>
        <w:bottom w:val="none" w:sz="0" w:space="0" w:color="auto"/>
        <w:right w:val="none" w:sz="0" w:space="0" w:color="auto"/>
      </w:divBdr>
    </w:div>
    <w:div w:id="274099516">
      <w:bodyDiv w:val="1"/>
      <w:marLeft w:val="0"/>
      <w:marRight w:val="0"/>
      <w:marTop w:val="0"/>
      <w:marBottom w:val="0"/>
      <w:divBdr>
        <w:top w:val="none" w:sz="0" w:space="0" w:color="auto"/>
        <w:left w:val="none" w:sz="0" w:space="0" w:color="auto"/>
        <w:bottom w:val="none" w:sz="0" w:space="0" w:color="auto"/>
        <w:right w:val="none" w:sz="0" w:space="0" w:color="auto"/>
      </w:divBdr>
    </w:div>
    <w:div w:id="274145009">
      <w:bodyDiv w:val="1"/>
      <w:marLeft w:val="0"/>
      <w:marRight w:val="0"/>
      <w:marTop w:val="0"/>
      <w:marBottom w:val="0"/>
      <w:divBdr>
        <w:top w:val="none" w:sz="0" w:space="0" w:color="auto"/>
        <w:left w:val="none" w:sz="0" w:space="0" w:color="auto"/>
        <w:bottom w:val="none" w:sz="0" w:space="0" w:color="auto"/>
        <w:right w:val="none" w:sz="0" w:space="0" w:color="auto"/>
      </w:divBdr>
    </w:div>
    <w:div w:id="274220302">
      <w:bodyDiv w:val="1"/>
      <w:marLeft w:val="0"/>
      <w:marRight w:val="0"/>
      <w:marTop w:val="0"/>
      <w:marBottom w:val="0"/>
      <w:divBdr>
        <w:top w:val="none" w:sz="0" w:space="0" w:color="auto"/>
        <w:left w:val="none" w:sz="0" w:space="0" w:color="auto"/>
        <w:bottom w:val="none" w:sz="0" w:space="0" w:color="auto"/>
        <w:right w:val="none" w:sz="0" w:space="0" w:color="auto"/>
      </w:divBdr>
    </w:div>
    <w:div w:id="274559449">
      <w:bodyDiv w:val="1"/>
      <w:marLeft w:val="0"/>
      <w:marRight w:val="0"/>
      <w:marTop w:val="0"/>
      <w:marBottom w:val="0"/>
      <w:divBdr>
        <w:top w:val="none" w:sz="0" w:space="0" w:color="auto"/>
        <w:left w:val="none" w:sz="0" w:space="0" w:color="auto"/>
        <w:bottom w:val="none" w:sz="0" w:space="0" w:color="auto"/>
        <w:right w:val="none" w:sz="0" w:space="0" w:color="auto"/>
      </w:divBdr>
    </w:div>
    <w:div w:id="274681012">
      <w:bodyDiv w:val="1"/>
      <w:marLeft w:val="0"/>
      <w:marRight w:val="0"/>
      <w:marTop w:val="0"/>
      <w:marBottom w:val="0"/>
      <w:divBdr>
        <w:top w:val="none" w:sz="0" w:space="0" w:color="auto"/>
        <w:left w:val="none" w:sz="0" w:space="0" w:color="auto"/>
        <w:bottom w:val="none" w:sz="0" w:space="0" w:color="auto"/>
        <w:right w:val="none" w:sz="0" w:space="0" w:color="auto"/>
      </w:divBdr>
    </w:div>
    <w:div w:id="274875070">
      <w:bodyDiv w:val="1"/>
      <w:marLeft w:val="0"/>
      <w:marRight w:val="0"/>
      <w:marTop w:val="0"/>
      <w:marBottom w:val="0"/>
      <w:divBdr>
        <w:top w:val="none" w:sz="0" w:space="0" w:color="auto"/>
        <w:left w:val="none" w:sz="0" w:space="0" w:color="auto"/>
        <w:bottom w:val="none" w:sz="0" w:space="0" w:color="auto"/>
        <w:right w:val="none" w:sz="0" w:space="0" w:color="auto"/>
      </w:divBdr>
    </w:div>
    <w:div w:id="275020038">
      <w:bodyDiv w:val="1"/>
      <w:marLeft w:val="0"/>
      <w:marRight w:val="0"/>
      <w:marTop w:val="0"/>
      <w:marBottom w:val="0"/>
      <w:divBdr>
        <w:top w:val="none" w:sz="0" w:space="0" w:color="auto"/>
        <w:left w:val="none" w:sz="0" w:space="0" w:color="auto"/>
        <w:bottom w:val="none" w:sz="0" w:space="0" w:color="auto"/>
        <w:right w:val="none" w:sz="0" w:space="0" w:color="auto"/>
      </w:divBdr>
    </w:div>
    <w:div w:id="275021330">
      <w:bodyDiv w:val="1"/>
      <w:marLeft w:val="0"/>
      <w:marRight w:val="0"/>
      <w:marTop w:val="0"/>
      <w:marBottom w:val="0"/>
      <w:divBdr>
        <w:top w:val="none" w:sz="0" w:space="0" w:color="auto"/>
        <w:left w:val="none" w:sz="0" w:space="0" w:color="auto"/>
        <w:bottom w:val="none" w:sz="0" w:space="0" w:color="auto"/>
        <w:right w:val="none" w:sz="0" w:space="0" w:color="auto"/>
      </w:divBdr>
    </w:div>
    <w:div w:id="275060133">
      <w:bodyDiv w:val="1"/>
      <w:marLeft w:val="0"/>
      <w:marRight w:val="0"/>
      <w:marTop w:val="0"/>
      <w:marBottom w:val="0"/>
      <w:divBdr>
        <w:top w:val="none" w:sz="0" w:space="0" w:color="auto"/>
        <w:left w:val="none" w:sz="0" w:space="0" w:color="auto"/>
        <w:bottom w:val="none" w:sz="0" w:space="0" w:color="auto"/>
        <w:right w:val="none" w:sz="0" w:space="0" w:color="auto"/>
      </w:divBdr>
    </w:div>
    <w:div w:id="275210533">
      <w:bodyDiv w:val="1"/>
      <w:marLeft w:val="0"/>
      <w:marRight w:val="0"/>
      <w:marTop w:val="0"/>
      <w:marBottom w:val="0"/>
      <w:divBdr>
        <w:top w:val="none" w:sz="0" w:space="0" w:color="auto"/>
        <w:left w:val="none" w:sz="0" w:space="0" w:color="auto"/>
        <w:bottom w:val="none" w:sz="0" w:space="0" w:color="auto"/>
        <w:right w:val="none" w:sz="0" w:space="0" w:color="auto"/>
      </w:divBdr>
    </w:div>
    <w:div w:id="275254911">
      <w:bodyDiv w:val="1"/>
      <w:marLeft w:val="0"/>
      <w:marRight w:val="0"/>
      <w:marTop w:val="0"/>
      <w:marBottom w:val="0"/>
      <w:divBdr>
        <w:top w:val="none" w:sz="0" w:space="0" w:color="auto"/>
        <w:left w:val="none" w:sz="0" w:space="0" w:color="auto"/>
        <w:bottom w:val="none" w:sz="0" w:space="0" w:color="auto"/>
        <w:right w:val="none" w:sz="0" w:space="0" w:color="auto"/>
      </w:divBdr>
    </w:div>
    <w:div w:id="275329244">
      <w:bodyDiv w:val="1"/>
      <w:marLeft w:val="0"/>
      <w:marRight w:val="0"/>
      <w:marTop w:val="0"/>
      <w:marBottom w:val="0"/>
      <w:divBdr>
        <w:top w:val="none" w:sz="0" w:space="0" w:color="auto"/>
        <w:left w:val="none" w:sz="0" w:space="0" w:color="auto"/>
        <w:bottom w:val="none" w:sz="0" w:space="0" w:color="auto"/>
        <w:right w:val="none" w:sz="0" w:space="0" w:color="auto"/>
      </w:divBdr>
    </w:div>
    <w:div w:id="275335746">
      <w:bodyDiv w:val="1"/>
      <w:marLeft w:val="0"/>
      <w:marRight w:val="0"/>
      <w:marTop w:val="0"/>
      <w:marBottom w:val="0"/>
      <w:divBdr>
        <w:top w:val="none" w:sz="0" w:space="0" w:color="auto"/>
        <w:left w:val="none" w:sz="0" w:space="0" w:color="auto"/>
        <w:bottom w:val="none" w:sz="0" w:space="0" w:color="auto"/>
        <w:right w:val="none" w:sz="0" w:space="0" w:color="auto"/>
      </w:divBdr>
    </w:div>
    <w:div w:id="275791987">
      <w:bodyDiv w:val="1"/>
      <w:marLeft w:val="0"/>
      <w:marRight w:val="0"/>
      <w:marTop w:val="0"/>
      <w:marBottom w:val="0"/>
      <w:divBdr>
        <w:top w:val="none" w:sz="0" w:space="0" w:color="auto"/>
        <w:left w:val="none" w:sz="0" w:space="0" w:color="auto"/>
        <w:bottom w:val="none" w:sz="0" w:space="0" w:color="auto"/>
        <w:right w:val="none" w:sz="0" w:space="0" w:color="auto"/>
      </w:divBdr>
    </w:div>
    <w:div w:id="275799451">
      <w:bodyDiv w:val="1"/>
      <w:marLeft w:val="0"/>
      <w:marRight w:val="0"/>
      <w:marTop w:val="0"/>
      <w:marBottom w:val="0"/>
      <w:divBdr>
        <w:top w:val="none" w:sz="0" w:space="0" w:color="auto"/>
        <w:left w:val="none" w:sz="0" w:space="0" w:color="auto"/>
        <w:bottom w:val="none" w:sz="0" w:space="0" w:color="auto"/>
        <w:right w:val="none" w:sz="0" w:space="0" w:color="auto"/>
      </w:divBdr>
    </w:div>
    <w:div w:id="275914112">
      <w:bodyDiv w:val="1"/>
      <w:marLeft w:val="0"/>
      <w:marRight w:val="0"/>
      <w:marTop w:val="0"/>
      <w:marBottom w:val="0"/>
      <w:divBdr>
        <w:top w:val="none" w:sz="0" w:space="0" w:color="auto"/>
        <w:left w:val="none" w:sz="0" w:space="0" w:color="auto"/>
        <w:bottom w:val="none" w:sz="0" w:space="0" w:color="auto"/>
        <w:right w:val="none" w:sz="0" w:space="0" w:color="auto"/>
      </w:divBdr>
    </w:div>
    <w:div w:id="276260855">
      <w:bodyDiv w:val="1"/>
      <w:marLeft w:val="0"/>
      <w:marRight w:val="0"/>
      <w:marTop w:val="0"/>
      <w:marBottom w:val="0"/>
      <w:divBdr>
        <w:top w:val="none" w:sz="0" w:space="0" w:color="auto"/>
        <w:left w:val="none" w:sz="0" w:space="0" w:color="auto"/>
        <w:bottom w:val="none" w:sz="0" w:space="0" w:color="auto"/>
        <w:right w:val="none" w:sz="0" w:space="0" w:color="auto"/>
      </w:divBdr>
    </w:div>
    <w:div w:id="276260957">
      <w:bodyDiv w:val="1"/>
      <w:marLeft w:val="0"/>
      <w:marRight w:val="0"/>
      <w:marTop w:val="0"/>
      <w:marBottom w:val="0"/>
      <w:divBdr>
        <w:top w:val="none" w:sz="0" w:space="0" w:color="auto"/>
        <w:left w:val="none" w:sz="0" w:space="0" w:color="auto"/>
        <w:bottom w:val="none" w:sz="0" w:space="0" w:color="auto"/>
        <w:right w:val="none" w:sz="0" w:space="0" w:color="auto"/>
      </w:divBdr>
    </w:div>
    <w:div w:id="276449798">
      <w:bodyDiv w:val="1"/>
      <w:marLeft w:val="0"/>
      <w:marRight w:val="0"/>
      <w:marTop w:val="0"/>
      <w:marBottom w:val="0"/>
      <w:divBdr>
        <w:top w:val="none" w:sz="0" w:space="0" w:color="auto"/>
        <w:left w:val="none" w:sz="0" w:space="0" w:color="auto"/>
        <w:bottom w:val="none" w:sz="0" w:space="0" w:color="auto"/>
        <w:right w:val="none" w:sz="0" w:space="0" w:color="auto"/>
      </w:divBdr>
    </w:div>
    <w:div w:id="276453457">
      <w:bodyDiv w:val="1"/>
      <w:marLeft w:val="0"/>
      <w:marRight w:val="0"/>
      <w:marTop w:val="0"/>
      <w:marBottom w:val="0"/>
      <w:divBdr>
        <w:top w:val="none" w:sz="0" w:space="0" w:color="auto"/>
        <w:left w:val="none" w:sz="0" w:space="0" w:color="auto"/>
        <w:bottom w:val="none" w:sz="0" w:space="0" w:color="auto"/>
        <w:right w:val="none" w:sz="0" w:space="0" w:color="auto"/>
      </w:divBdr>
    </w:div>
    <w:div w:id="276523561">
      <w:bodyDiv w:val="1"/>
      <w:marLeft w:val="0"/>
      <w:marRight w:val="0"/>
      <w:marTop w:val="0"/>
      <w:marBottom w:val="0"/>
      <w:divBdr>
        <w:top w:val="none" w:sz="0" w:space="0" w:color="auto"/>
        <w:left w:val="none" w:sz="0" w:space="0" w:color="auto"/>
        <w:bottom w:val="none" w:sz="0" w:space="0" w:color="auto"/>
        <w:right w:val="none" w:sz="0" w:space="0" w:color="auto"/>
      </w:divBdr>
    </w:div>
    <w:div w:id="276525276">
      <w:bodyDiv w:val="1"/>
      <w:marLeft w:val="0"/>
      <w:marRight w:val="0"/>
      <w:marTop w:val="0"/>
      <w:marBottom w:val="0"/>
      <w:divBdr>
        <w:top w:val="none" w:sz="0" w:space="0" w:color="auto"/>
        <w:left w:val="none" w:sz="0" w:space="0" w:color="auto"/>
        <w:bottom w:val="none" w:sz="0" w:space="0" w:color="auto"/>
        <w:right w:val="none" w:sz="0" w:space="0" w:color="auto"/>
      </w:divBdr>
    </w:div>
    <w:div w:id="276643004">
      <w:bodyDiv w:val="1"/>
      <w:marLeft w:val="0"/>
      <w:marRight w:val="0"/>
      <w:marTop w:val="0"/>
      <w:marBottom w:val="0"/>
      <w:divBdr>
        <w:top w:val="none" w:sz="0" w:space="0" w:color="auto"/>
        <w:left w:val="none" w:sz="0" w:space="0" w:color="auto"/>
        <w:bottom w:val="none" w:sz="0" w:space="0" w:color="auto"/>
        <w:right w:val="none" w:sz="0" w:space="0" w:color="auto"/>
      </w:divBdr>
    </w:div>
    <w:div w:id="276908836">
      <w:bodyDiv w:val="1"/>
      <w:marLeft w:val="0"/>
      <w:marRight w:val="0"/>
      <w:marTop w:val="0"/>
      <w:marBottom w:val="0"/>
      <w:divBdr>
        <w:top w:val="none" w:sz="0" w:space="0" w:color="auto"/>
        <w:left w:val="none" w:sz="0" w:space="0" w:color="auto"/>
        <w:bottom w:val="none" w:sz="0" w:space="0" w:color="auto"/>
        <w:right w:val="none" w:sz="0" w:space="0" w:color="auto"/>
      </w:divBdr>
    </w:div>
    <w:div w:id="276909380">
      <w:bodyDiv w:val="1"/>
      <w:marLeft w:val="0"/>
      <w:marRight w:val="0"/>
      <w:marTop w:val="0"/>
      <w:marBottom w:val="0"/>
      <w:divBdr>
        <w:top w:val="none" w:sz="0" w:space="0" w:color="auto"/>
        <w:left w:val="none" w:sz="0" w:space="0" w:color="auto"/>
        <w:bottom w:val="none" w:sz="0" w:space="0" w:color="auto"/>
        <w:right w:val="none" w:sz="0" w:space="0" w:color="auto"/>
      </w:divBdr>
    </w:div>
    <w:div w:id="276914200">
      <w:bodyDiv w:val="1"/>
      <w:marLeft w:val="0"/>
      <w:marRight w:val="0"/>
      <w:marTop w:val="0"/>
      <w:marBottom w:val="0"/>
      <w:divBdr>
        <w:top w:val="none" w:sz="0" w:space="0" w:color="auto"/>
        <w:left w:val="none" w:sz="0" w:space="0" w:color="auto"/>
        <w:bottom w:val="none" w:sz="0" w:space="0" w:color="auto"/>
        <w:right w:val="none" w:sz="0" w:space="0" w:color="auto"/>
      </w:divBdr>
    </w:div>
    <w:div w:id="277104379">
      <w:bodyDiv w:val="1"/>
      <w:marLeft w:val="0"/>
      <w:marRight w:val="0"/>
      <w:marTop w:val="0"/>
      <w:marBottom w:val="0"/>
      <w:divBdr>
        <w:top w:val="none" w:sz="0" w:space="0" w:color="auto"/>
        <w:left w:val="none" w:sz="0" w:space="0" w:color="auto"/>
        <w:bottom w:val="none" w:sz="0" w:space="0" w:color="auto"/>
        <w:right w:val="none" w:sz="0" w:space="0" w:color="auto"/>
      </w:divBdr>
    </w:div>
    <w:div w:id="277219941">
      <w:bodyDiv w:val="1"/>
      <w:marLeft w:val="0"/>
      <w:marRight w:val="0"/>
      <w:marTop w:val="0"/>
      <w:marBottom w:val="0"/>
      <w:divBdr>
        <w:top w:val="none" w:sz="0" w:space="0" w:color="auto"/>
        <w:left w:val="none" w:sz="0" w:space="0" w:color="auto"/>
        <w:bottom w:val="none" w:sz="0" w:space="0" w:color="auto"/>
        <w:right w:val="none" w:sz="0" w:space="0" w:color="auto"/>
      </w:divBdr>
    </w:div>
    <w:div w:id="277223963">
      <w:bodyDiv w:val="1"/>
      <w:marLeft w:val="0"/>
      <w:marRight w:val="0"/>
      <w:marTop w:val="0"/>
      <w:marBottom w:val="0"/>
      <w:divBdr>
        <w:top w:val="none" w:sz="0" w:space="0" w:color="auto"/>
        <w:left w:val="none" w:sz="0" w:space="0" w:color="auto"/>
        <w:bottom w:val="none" w:sz="0" w:space="0" w:color="auto"/>
        <w:right w:val="none" w:sz="0" w:space="0" w:color="auto"/>
      </w:divBdr>
    </w:div>
    <w:div w:id="277299544">
      <w:bodyDiv w:val="1"/>
      <w:marLeft w:val="0"/>
      <w:marRight w:val="0"/>
      <w:marTop w:val="0"/>
      <w:marBottom w:val="0"/>
      <w:divBdr>
        <w:top w:val="none" w:sz="0" w:space="0" w:color="auto"/>
        <w:left w:val="none" w:sz="0" w:space="0" w:color="auto"/>
        <w:bottom w:val="none" w:sz="0" w:space="0" w:color="auto"/>
        <w:right w:val="none" w:sz="0" w:space="0" w:color="auto"/>
      </w:divBdr>
    </w:div>
    <w:div w:id="277299591">
      <w:bodyDiv w:val="1"/>
      <w:marLeft w:val="0"/>
      <w:marRight w:val="0"/>
      <w:marTop w:val="0"/>
      <w:marBottom w:val="0"/>
      <w:divBdr>
        <w:top w:val="none" w:sz="0" w:space="0" w:color="auto"/>
        <w:left w:val="none" w:sz="0" w:space="0" w:color="auto"/>
        <w:bottom w:val="none" w:sz="0" w:space="0" w:color="auto"/>
        <w:right w:val="none" w:sz="0" w:space="0" w:color="auto"/>
      </w:divBdr>
    </w:div>
    <w:div w:id="277420971">
      <w:bodyDiv w:val="1"/>
      <w:marLeft w:val="0"/>
      <w:marRight w:val="0"/>
      <w:marTop w:val="0"/>
      <w:marBottom w:val="0"/>
      <w:divBdr>
        <w:top w:val="none" w:sz="0" w:space="0" w:color="auto"/>
        <w:left w:val="none" w:sz="0" w:space="0" w:color="auto"/>
        <w:bottom w:val="none" w:sz="0" w:space="0" w:color="auto"/>
        <w:right w:val="none" w:sz="0" w:space="0" w:color="auto"/>
      </w:divBdr>
    </w:div>
    <w:div w:id="277446395">
      <w:bodyDiv w:val="1"/>
      <w:marLeft w:val="0"/>
      <w:marRight w:val="0"/>
      <w:marTop w:val="0"/>
      <w:marBottom w:val="0"/>
      <w:divBdr>
        <w:top w:val="none" w:sz="0" w:space="0" w:color="auto"/>
        <w:left w:val="none" w:sz="0" w:space="0" w:color="auto"/>
        <w:bottom w:val="none" w:sz="0" w:space="0" w:color="auto"/>
        <w:right w:val="none" w:sz="0" w:space="0" w:color="auto"/>
      </w:divBdr>
    </w:div>
    <w:div w:id="277492935">
      <w:bodyDiv w:val="1"/>
      <w:marLeft w:val="0"/>
      <w:marRight w:val="0"/>
      <w:marTop w:val="0"/>
      <w:marBottom w:val="0"/>
      <w:divBdr>
        <w:top w:val="none" w:sz="0" w:space="0" w:color="auto"/>
        <w:left w:val="none" w:sz="0" w:space="0" w:color="auto"/>
        <w:bottom w:val="none" w:sz="0" w:space="0" w:color="auto"/>
        <w:right w:val="none" w:sz="0" w:space="0" w:color="auto"/>
      </w:divBdr>
    </w:div>
    <w:div w:id="277493352">
      <w:bodyDiv w:val="1"/>
      <w:marLeft w:val="0"/>
      <w:marRight w:val="0"/>
      <w:marTop w:val="0"/>
      <w:marBottom w:val="0"/>
      <w:divBdr>
        <w:top w:val="none" w:sz="0" w:space="0" w:color="auto"/>
        <w:left w:val="none" w:sz="0" w:space="0" w:color="auto"/>
        <w:bottom w:val="none" w:sz="0" w:space="0" w:color="auto"/>
        <w:right w:val="none" w:sz="0" w:space="0" w:color="auto"/>
      </w:divBdr>
    </w:div>
    <w:div w:id="277494103">
      <w:bodyDiv w:val="1"/>
      <w:marLeft w:val="0"/>
      <w:marRight w:val="0"/>
      <w:marTop w:val="0"/>
      <w:marBottom w:val="0"/>
      <w:divBdr>
        <w:top w:val="none" w:sz="0" w:space="0" w:color="auto"/>
        <w:left w:val="none" w:sz="0" w:space="0" w:color="auto"/>
        <w:bottom w:val="none" w:sz="0" w:space="0" w:color="auto"/>
        <w:right w:val="none" w:sz="0" w:space="0" w:color="auto"/>
      </w:divBdr>
    </w:div>
    <w:div w:id="277567239">
      <w:bodyDiv w:val="1"/>
      <w:marLeft w:val="0"/>
      <w:marRight w:val="0"/>
      <w:marTop w:val="0"/>
      <w:marBottom w:val="0"/>
      <w:divBdr>
        <w:top w:val="none" w:sz="0" w:space="0" w:color="auto"/>
        <w:left w:val="none" w:sz="0" w:space="0" w:color="auto"/>
        <w:bottom w:val="none" w:sz="0" w:space="0" w:color="auto"/>
        <w:right w:val="none" w:sz="0" w:space="0" w:color="auto"/>
      </w:divBdr>
    </w:div>
    <w:div w:id="277571304">
      <w:bodyDiv w:val="1"/>
      <w:marLeft w:val="0"/>
      <w:marRight w:val="0"/>
      <w:marTop w:val="0"/>
      <w:marBottom w:val="0"/>
      <w:divBdr>
        <w:top w:val="none" w:sz="0" w:space="0" w:color="auto"/>
        <w:left w:val="none" w:sz="0" w:space="0" w:color="auto"/>
        <w:bottom w:val="none" w:sz="0" w:space="0" w:color="auto"/>
        <w:right w:val="none" w:sz="0" w:space="0" w:color="auto"/>
      </w:divBdr>
    </w:div>
    <w:div w:id="277611195">
      <w:bodyDiv w:val="1"/>
      <w:marLeft w:val="0"/>
      <w:marRight w:val="0"/>
      <w:marTop w:val="0"/>
      <w:marBottom w:val="0"/>
      <w:divBdr>
        <w:top w:val="none" w:sz="0" w:space="0" w:color="auto"/>
        <w:left w:val="none" w:sz="0" w:space="0" w:color="auto"/>
        <w:bottom w:val="none" w:sz="0" w:space="0" w:color="auto"/>
        <w:right w:val="none" w:sz="0" w:space="0" w:color="auto"/>
      </w:divBdr>
    </w:div>
    <w:div w:id="277874167">
      <w:bodyDiv w:val="1"/>
      <w:marLeft w:val="0"/>
      <w:marRight w:val="0"/>
      <w:marTop w:val="0"/>
      <w:marBottom w:val="0"/>
      <w:divBdr>
        <w:top w:val="none" w:sz="0" w:space="0" w:color="auto"/>
        <w:left w:val="none" w:sz="0" w:space="0" w:color="auto"/>
        <w:bottom w:val="none" w:sz="0" w:space="0" w:color="auto"/>
        <w:right w:val="none" w:sz="0" w:space="0" w:color="auto"/>
      </w:divBdr>
    </w:div>
    <w:div w:id="277878573">
      <w:bodyDiv w:val="1"/>
      <w:marLeft w:val="0"/>
      <w:marRight w:val="0"/>
      <w:marTop w:val="0"/>
      <w:marBottom w:val="0"/>
      <w:divBdr>
        <w:top w:val="none" w:sz="0" w:space="0" w:color="auto"/>
        <w:left w:val="none" w:sz="0" w:space="0" w:color="auto"/>
        <w:bottom w:val="none" w:sz="0" w:space="0" w:color="auto"/>
        <w:right w:val="none" w:sz="0" w:space="0" w:color="auto"/>
      </w:divBdr>
    </w:div>
    <w:div w:id="277882216">
      <w:bodyDiv w:val="1"/>
      <w:marLeft w:val="0"/>
      <w:marRight w:val="0"/>
      <w:marTop w:val="0"/>
      <w:marBottom w:val="0"/>
      <w:divBdr>
        <w:top w:val="none" w:sz="0" w:space="0" w:color="auto"/>
        <w:left w:val="none" w:sz="0" w:space="0" w:color="auto"/>
        <w:bottom w:val="none" w:sz="0" w:space="0" w:color="auto"/>
        <w:right w:val="none" w:sz="0" w:space="0" w:color="auto"/>
      </w:divBdr>
    </w:div>
    <w:div w:id="277882239">
      <w:bodyDiv w:val="1"/>
      <w:marLeft w:val="0"/>
      <w:marRight w:val="0"/>
      <w:marTop w:val="0"/>
      <w:marBottom w:val="0"/>
      <w:divBdr>
        <w:top w:val="none" w:sz="0" w:space="0" w:color="auto"/>
        <w:left w:val="none" w:sz="0" w:space="0" w:color="auto"/>
        <w:bottom w:val="none" w:sz="0" w:space="0" w:color="auto"/>
        <w:right w:val="none" w:sz="0" w:space="0" w:color="auto"/>
      </w:divBdr>
    </w:div>
    <w:div w:id="278073033">
      <w:bodyDiv w:val="1"/>
      <w:marLeft w:val="0"/>
      <w:marRight w:val="0"/>
      <w:marTop w:val="0"/>
      <w:marBottom w:val="0"/>
      <w:divBdr>
        <w:top w:val="none" w:sz="0" w:space="0" w:color="auto"/>
        <w:left w:val="none" w:sz="0" w:space="0" w:color="auto"/>
        <w:bottom w:val="none" w:sz="0" w:space="0" w:color="auto"/>
        <w:right w:val="none" w:sz="0" w:space="0" w:color="auto"/>
      </w:divBdr>
    </w:div>
    <w:div w:id="278073136">
      <w:bodyDiv w:val="1"/>
      <w:marLeft w:val="0"/>
      <w:marRight w:val="0"/>
      <w:marTop w:val="0"/>
      <w:marBottom w:val="0"/>
      <w:divBdr>
        <w:top w:val="none" w:sz="0" w:space="0" w:color="auto"/>
        <w:left w:val="none" w:sz="0" w:space="0" w:color="auto"/>
        <w:bottom w:val="none" w:sz="0" w:space="0" w:color="auto"/>
        <w:right w:val="none" w:sz="0" w:space="0" w:color="auto"/>
      </w:divBdr>
    </w:div>
    <w:div w:id="278143537">
      <w:bodyDiv w:val="1"/>
      <w:marLeft w:val="0"/>
      <w:marRight w:val="0"/>
      <w:marTop w:val="0"/>
      <w:marBottom w:val="0"/>
      <w:divBdr>
        <w:top w:val="none" w:sz="0" w:space="0" w:color="auto"/>
        <w:left w:val="none" w:sz="0" w:space="0" w:color="auto"/>
        <w:bottom w:val="none" w:sz="0" w:space="0" w:color="auto"/>
        <w:right w:val="none" w:sz="0" w:space="0" w:color="auto"/>
      </w:divBdr>
    </w:div>
    <w:div w:id="278294510">
      <w:bodyDiv w:val="1"/>
      <w:marLeft w:val="0"/>
      <w:marRight w:val="0"/>
      <w:marTop w:val="0"/>
      <w:marBottom w:val="0"/>
      <w:divBdr>
        <w:top w:val="none" w:sz="0" w:space="0" w:color="auto"/>
        <w:left w:val="none" w:sz="0" w:space="0" w:color="auto"/>
        <w:bottom w:val="none" w:sz="0" w:space="0" w:color="auto"/>
        <w:right w:val="none" w:sz="0" w:space="0" w:color="auto"/>
      </w:divBdr>
    </w:div>
    <w:div w:id="278755506">
      <w:bodyDiv w:val="1"/>
      <w:marLeft w:val="0"/>
      <w:marRight w:val="0"/>
      <w:marTop w:val="0"/>
      <w:marBottom w:val="0"/>
      <w:divBdr>
        <w:top w:val="none" w:sz="0" w:space="0" w:color="auto"/>
        <w:left w:val="none" w:sz="0" w:space="0" w:color="auto"/>
        <w:bottom w:val="none" w:sz="0" w:space="0" w:color="auto"/>
        <w:right w:val="none" w:sz="0" w:space="0" w:color="auto"/>
      </w:divBdr>
    </w:div>
    <w:div w:id="278953092">
      <w:bodyDiv w:val="1"/>
      <w:marLeft w:val="0"/>
      <w:marRight w:val="0"/>
      <w:marTop w:val="0"/>
      <w:marBottom w:val="0"/>
      <w:divBdr>
        <w:top w:val="none" w:sz="0" w:space="0" w:color="auto"/>
        <w:left w:val="none" w:sz="0" w:space="0" w:color="auto"/>
        <w:bottom w:val="none" w:sz="0" w:space="0" w:color="auto"/>
        <w:right w:val="none" w:sz="0" w:space="0" w:color="auto"/>
      </w:divBdr>
    </w:div>
    <w:div w:id="278991716">
      <w:bodyDiv w:val="1"/>
      <w:marLeft w:val="0"/>
      <w:marRight w:val="0"/>
      <w:marTop w:val="0"/>
      <w:marBottom w:val="0"/>
      <w:divBdr>
        <w:top w:val="none" w:sz="0" w:space="0" w:color="auto"/>
        <w:left w:val="none" w:sz="0" w:space="0" w:color="auto"/>
        <w:bottom w:val="none" w:sz="0" w:space="0" w:color="auto"/>
        <w:right w:val="none" w:sz="0" w:space="0" w:color="auto"/>
      </w:divBdr>
    </w:div>
    <w:div w:id="278994089">
      <w:bodyDiv w:val="1"/>
      <w:marLeft w:val="0"/>
      <w:marRight w:val="0"/>
      <w:marTop w:val="0"/>
      <w:marBottom w:val="0"/>
      <w:divBdr>
        <w:top w:val="none" w:sz="0" w:space="0" w:color="auto"/>
        <w:left w:val="none" w:sz="0" w:space="0" w:color="auto"/>
        <w:bottom w:val="none" w:sz="0" w:space="0" w:color="auto"/>
        <w:right w:val="none" w:sz="0" w:space="0" w:color="auto"/>
      </w:divBdr>
    </w:div>
    <w:div w:id="278995446">
      <w:bodyDiv w:val="1"/>
      <w:marLeft w:val="0"/>
      <w:marRight w:val="0"/>
      <w:marTop w:val="0"/>
      <w:marBottom w:val="0"/>
      <w:divBdr>
        <w:top w:val="none" w:sz="0" w:space="0" w:color="auto"/>
        <w:left w:val="none" w:sz="0" w:space="0" w:color="auto"/>
        <w:bottom w:val="none" w:sz="0" w:space="0" w:color="auto"/>
        <w:right w:val="none" w:sz="0" w:space="0" w:color="auto"/>
      </w:divBdr>
    </w:div>
    <w:div w:id="278997600">
      <w:bodyDiv w:val="1"/>
      <w:marLeft w:val="0"/>
      <w:marRight w:val="0"/>
      <w:marTop w:val="0"/>
      <w:marBottom w:val="0"/>
      <w:divBdr>
        <w:top w:val="none" w:sz="0" w:space="0" w:color="auto"/>
        <w:left w:val="none" w:sz="0" w:space="0" w:color="auto"/>
        <w:bottom w:val="none" w:sz="0" w:space="0" w:color="auto"/>
        <w:right w:val="none" w:sz="0" w:space="0" w:color="auto"/>
      </w:divBdr>
    </w:div>
    <w:div w:id="279262437">
      <w:bodyDiv w:val="1"/>
      <w:marLeft w:val="0"/>
      <w:marRight w:val="0"/>
      <w:marTop w:val="0"/>
      <w:marBottom w:val="0"/>
      <w:divBdr>
        <w:top w:val="none" w:sz="0" w:space="0" w:color="auto"/>
        <w:left w:val="none" w:sz="0" w:space="0" w:color="auto"/>
        <w:bottom w:val="none" w:sz="0" w:space="0" w:color="auto"/>
        <w:right w:val="none" w:sz="0" w:space="0" w:color="auto"/>
      </w:divBdr>
    </w:div>
    <w:div w:id="279262798">
      <w:bodyDiv w:val="1"/>
      <w:marLeft w:val="0"/>
      <w:marRight w:val="0"/>
      <w:marTop w:val="0"/>
      <w:marBottom w:val="0"/>
      <w:divBdr>
        <w:top w:val="none" w:sz="0" w:space="0" w:color="auto"/>
        <w:left w:val="none" w:sz="0" w:space="0" w:color="auto"/>
        <w:bottom w:val="none" w:sz="0" w:space="0" w:color="auto"/>
        <w:right w:val="none" w:sz="0" w:space="0" w:color="auto"/>
      </w:divBdr>
    </w:div>
    <w:div w:id="279337820">
      <w:bodyDiv w:val="1"/>
      <w:marLeft w:val="0"/>
      <w:marRight w:val="0"/>
      <w:marTop w:val="0"/>
      <w:marBottom w:val="0"/>
      <w:divBdr>
        <w:top w:val="none" w:sz="0" w:space="0" w:color="auto"/>
        <w:left w:val="none" w:sz="0" w:space="0" w:color="auto"/>
        <w:bottom w:val="none" w:sz="0" w:space="0" w:color="auto"/>
        <w:right w:val="none" w:sz="0" w:space="0" w:color="auto"/>
      </w:divBdr>
    </w:div>
    <w:div w:id="279723215">
      <w:bodyDiv w:val="1"/>
      <w:marLeft w:val="0"/>
      <w:marRight w:val="0"/>
      <w:marTop w:val="0"/>
      <w:marBottom w:val="0"/>
      <w:divBdr>
        <w:top w:val="none" w:sz="0" w:space="0" w:color="auto"/>
        <w:left w:val="none" w:sz="0" w:space="0" w:color="auto"/>
        <w:bottom w:val="none" w:sz="0" w:space="0" w:color="auto"/>
        <w:right w:val="none" w:sz="0" w:space="0" w:color="auto"/>
      </w:divBdr>
    </w:div>
    <w:div w:id="279801004">
      <w:bodyDiv w:val="1"/>
      <w:marLeft w:val="0"/>
      <w:marRight w:val="0"/>
      <w:marTop w:val="0"/>
      <w:marBottom w:val="0"/>
      <w:divBdr>
        <w:top w:val="none" w:sz="0" w:space="0" w:color="auto"/>
        <w:left w:val="none" w:sz="0" w:space="0" w:color="auto"/>
        <w:bottom w:val="none" w:sz="0" w:space="0" w:color="auto"/>
        <w:right w:val="none" w:sz="0" w:space="0" w:color="auto"/>
      </w:divBdr>
    </w:div>
    <w:div w:id="279803108">
      <w:bodyDiv w:val="1"/>
      <w:marLeft w:val="0"/>
      <w:marRight w:val="0"/>
      <w:marTop w:val="0"/>
      <w:marBottom w:val="0"/>
      <w:divBdr>
        <w:top w:val="none" w:sz="0" w:space="0" w:color="auto"/>
        <w:left w:val="none" w:sz="0" w:space="0" w:color="auto"/>
        <w:bottom w:val="none" w:sz="0" w:space="0" w:color="auto"/>
        <w:right w:val="none" w:sz="0" w:space="0" w:color="auto"/>
      </w:divBdr>
    </w:div>
    <w:div w:id="279997288">
      <w:bodyDiv w:val="1"/>
      <w:marLeft w:val="0"/>
      <w:marRight w:val="0"/>
      <w:marTop w:val="0"/>
      <w:marBottom w:val="0"/>
      <w:divBdr>
        <w:top w:val="none" w:sz="0" w:space="0" w:color="auto"/>
        <w:left w:val="none" w:sz="0" w:space="0" w:color="auto"/>
        <w:bottom w:val="none" w:sz="0" w:space="0" w:color="auto"/>
        <w:right w:val="none" w:sz="0" w:space="0" w:color="auto"/>
      </w:divBdr>
    </w:div>
    <w:div w:id="280042586">
      <w:bodyDiv w:val="1"/>
      <w:marLeft w:val="0"/>
      <w:marRight w:val="0"/>
      <w:marTop w:val="0"/>
      <w:marBottom w:val="0"/>
      <w:divBdr>
        <w:top w:val="none" w:sz="0" w:space="0" w:color="auto"/>
        <w:left w:val="none" w:sz="0" w:space="0" w:color="auto"/>
        <w:bottom w:val="none" w:sz="0" w:space="0" w:color="auto"/>
        <w:right w:val="none" w:sz="0" w:space="0" w:color="auto"/>
      </w:divBdr>
    </w:div>
    <w:div w:id="280261115">
      <w:bodyDiv w:val="1"/>
      <w:marLeft w:val="0"/>
      <w:marRight w:val="0"/>
      <w:marTop w:val="0"/>
      <w:marBottom w:val="0"/>
      <w:divBdr>
        <w:top w:val="none" w:sz="0" w:space="0" w:color="auto"/>
        <w:left w:val="none" w:sz="0" w:space="0" w:color="auto"/>
        <w:bottom w:val="none" w:sz="0" w:space="0" w:color="auto"/>
        <w:right w:val="none" w:sz="0" w:space="0" w:color="auto"/>
      </w:divBdr>
    </w:div>
    <w:div w:id="280261523">
      <w:bodyDiv w:val="1"/>
      <w:marLeft w:val="0"/>
      <w:marRight w:val="0"/>
      <w:marTop w:val="0"/>
      <w:marBottom w:val="0"/>
      <w:divBdr>
        <w:top w:val="none" w:sz="0" w:space="0" w:color="auto"/>
        <w:left w:val="none" w:sz="0" w:space="0" w:color="auto"/>
        <w:bottom w:val="none" w:sz="0" w:space="0" w:color="auto"/>
        <w:right w:val="none" w:sz="0" w:space="0" w:color="auto"/>
      </w:divBdr>
    </w:div>
    <w:div w:id="280307115">
      <w:bodyDiv w:val="1"/>
      <w:marLeft w:val="0"/>
      <w:marRight w:val="0"/>
      <w:marTop w:val="0"/>
      <w:marBottom w:val="0"/>
      <w:divBdr>
        <w:top w:val="none" w:sz="0" w:space="0" w:color="auto"/>
        <w:left w:val="none" w:sz="0" w:space="0" w:color="auto"/>
        <w:bottom w:val="none" w:sz="0" w:space="0" w:color="auto"/>
        <w:right w:val="none" w:sz="0" w:space="0" w:color="auto"/>
      </w:divBdr>
    </w:div>
    <w:div w:id="280503106">
      <w:bodyDiv w:val="1"/>
      <w:marLeft w:val="0"/>
      <w:marRight w:val="0"/>
      <w:marTop w:val="0"/>
      <w:marBottom w:val="0"/>
      <w:divBdr>
        <w:top w:val="none" w:sz="0" w:space="0" w:color="auto"/>
        <w:left w:val="none" w:sz="0" w:space="0" w:color="auto"/>
        <w:bottom w:val="none" w:sz="0" w:space="0" w:color="auto"/>
        <w:right w:val="none" w:sz="0" w:space="0" w:color="auto"/>
      </w:divBdr>
    </w:div>
    <w:div w:id="280695597">
      <w:bodyDiv w:val="1"/>
      <w:marLeft w:val="0"/>
      <w:marRight w:val="0"/>
      <w:marTop w:val="0"/>
      <w:marBottom w:val="0"/>
      <w:divBdr>
        <w:top w:val="none" w:sz="0" w:space="0" w:color="auto"/>
        <w:left w:val="none" w:sz="0" w:space="0" w:color="auto"/>
        <w:bottom w:val="none" w:sz="0" w:space="0" w:color="auto"/>
        <w:right w:val="none" w:sz="0" w:space="0" w:color="auto"/>
      </w:divBdr>
    </w:div>
    <w:div w:id="280841168">
      <w:bodyDiv w:val="1"/>
      <w:marLeft w:val="0"/>
      <w:marRight w:val="0"/>
      <w:marTop w:val="0"/>
      <w:marBottom w:val="0"/>
      <w:divBdr>
        <w:top w:val="none" w:sz="0" w:space="0" w:color="auto"/>
        <w:left w:val="none" w:sz="0" w:space="0" w:color="auto"/>
        <w:bottom w:val="none" w:sz="0" w:space="0" w:color="auto"/>
        <w:right w:val="none" w:sz="0" w:space="0" w:color="auto"/>
      </w:divBdr>
    </w:div>
    <w:div w:id="280964515">
      <w:bodyDiv w:val="1"/>
      <w:marLeft w:val="0"/>
      <w:marRight w:val="0"/>
      <w:marTop w:val="0"/>
      <w:marBottom w:val="0"/>
      <w:divBdr>
        <w:top w:val="none" w:sz="0" w:space="0" w:color="auto"/>
        <w:left w:val="none" w:sz="0" w:space="0" w:color="auto"/>
        <w:bottom w:val="none" w:sz="0" w:space="0" w:color="auto"/>
        <w:right w:val="none" w:sz="0" w:space="0" w:color="auto"/>
      </w:divBdr>
    </w:div>
    <w:div w:id="281115243">
      <w:bodyDiv w:val="1"/>
      <w:marLeft w:val="0"/>
      <w:marRight w:val="0"/>
      <w:marTop w:val="0"/>
      <w:marBottom w:val="0"/>
      <w:divBdr>
        <w:top w:val="none" w:sz="0" w:space="0" w:color="auto"/>
        <w:left w:val="none" w:sz="0" w:space="0" w:color="auto"/>
        <w:bottom w:val="none" w:sz="0" w:space="0" w:color="auto"/>
        <w:right w:val="none" w:sz="0" w:space="0" w:color="auto"/>
      </w:divBdr>
    </w:div>
    <w:div w:id="281423139">
      <w:bodyDiv w:val="1"/>
      <w:marLeft w:val="0"/>
      <w:marRight w:val="0"/>
      <w:marTop w:val="0"/>
      <w:marBottom w:val="0"/>
      <w:divBdr>
        <w:top w:val="none" w:sz="0" w:space="0" w:color="auto"/>
        <w:left w:val="none" w:sz="0" w:space="0" w:color="auto"/>
        <w:bottom w:val="none" w:sz="0" w:space="0" w:color="auto"/>
        <w:right w:val="none" w:sz="0" w:space="0" w:color="auto"/>
      </w:divBdr>
    </w:div>
    <w:div w:id="281769360">
      <w:bodyDiv w:val="1"/>
      <w:marLeft w:val="0"/>
      <w:marRight w:val="0"/>
      <w:marTop w:val="0"/>
      <w:marBottom w:val="0"/>
      <w:divBdr>
        <w:top w:val="none" w:sz="0" w:space="0" w:color="auto"/>
        <w:left w:val="none" w:sz="0" w:space="0" w:color="auto"/>
        <w:bottom w:val="none" w:sz="0" w:space="0" w:color="auto"/>
        <w:right w:val="none" w:sz="0" w:space="0" w:color="auto"/>
      </w:divBdr>
    </w:div>
    <w:div w:id="281888348">
      <w:bodyDiv w:val="1"/>
      <w:marLeft w:val="0"/>
      <w:marRight w:val="0"/>
      <w:marTop w:val="0"/>
      <w:marBottom w:val="0"/>
      <w:divBdr>
        <w:top w:val="none" w:sz="0" w:space="0" w:color="auto"/>
        <w:left w:val="none" w:sz="0" w:space="0" w:color="auto"/>
        <w:bottom w:val="none" w:sz="0" w:space="0" w:color="auto"/>
        <w:right w:val="none" w:sz="0" w:space="0" w:color="auto"/>
      </w:divBdr>
    </w:div>
    <w:div w:id="281956726">
      <w:bodyDiv w:val="1"/>
      <w:marLeft w:val="0"/>
      <w:marRight w:val="0"/>
      <w:marTop w:val="0"/>
      <w:marBottom w:val="0"/>
      <w:divBdr>
        <w:top w:val="none" w:sz="0" w:space="0" w:color="auto"/>
        <w:left w:val="none" w:sz="0" w:space="0" w:color="auto"/>
        <w:bottom w:val="none" w:sz="0" w:space="0" w:color="auto"/>
        <w:right w:val="none" w:sz="0" w:space="0" w:color="auto"/>
      </w:divBdr>
    </w:div>
    <w:div w:id="282002362">
      <w:bodyDiv w:val="1"/>
      <w:marLeft w:val="0"/>
      <w:marRight w:val="0"/>
      <w:marTop w:val="0"/>
      <w:marBottom w:val="0"/>
      <w:divBdr>
        <w:top w:val="none" w:sz="0" w:space="0" w:color="auto"/>
        <w:left w:val="none" w:sz="0" w:space="0" w:color="auto"/>
        <w:bottom w:val="none" w:sz="0" w:space="0" w:color="auto"/>
        <w:right w:val="none" w:sz="0" w:space="0" w:color="auto"/>
      </w:divBdr>
    </w:div>
    <w:div w:id="282003109">
      <w:bodyDiv w:val="1"/>
      <w:marLeft w:val="0"/>
      <w:marRight w:val="0"/>
      <w:marTop w:val="0"/>
      <w:marBottom w:val="0"/>
      <w:divBdr>
        <w:top w:val="none" w:sz="0" w:space="0" w:color="auto"/>
        <w:left w:val="none" w:sz="0" w:space="0" w:color="auto"/>
        <w:bottom w:val="none" w:sz="0" w:space="0" w:color="auto"/>
        <w:right w:val="none" w:sz="0" w:space="0" w:color="auto"/>
      </w:divBdr>
    </w:div>
    <w:div w:id="282005534">
      <w:bodyDiv w:val="1"/>
      <w:marLeft w:val="0"/>
      <w:marRight w:val="0"/>
      <w:marTop w:val="0"/>
      <w:marBottom w:val="0"/>
      <w:divBdr>
        <w:top w:val="none" w:sz="0" w:space="0" w:color="auto"/>
        <w:left w:val="none" w:sz="0" w:space="0" w:color="auto"/>
        <w:bottom w:val="none" w:sz="0" w:space="0" w:color="auto"/>
        <w:right w:val="none" w:sz="0" w:space="0" w:color="auto"/>
      </w:divBdr>
    </w:div>
    <w:div w:id="282153026">
      <w:bodyDiv w:val="1"/>
      <w:marLeft w:val="0"/>
      <w:marRight w:val="0"/>
      <w:marTop w:val="0"/>
      <w:marBottom w:val="0"/>
      <w:divBdr>
        <w:top w:val="none" w:sz="0" w:space="0" w:color="auto"/>
        <w:left w:val="none" w:sz="0" w:space="0" w:color="auto"/>
        <w:bottom w:val="none" w:sz="0" w:space="0" w:color="auto"/>
        <w:right w:val="none" w:sz="0" w:space="0" w:color="auto"/>
      </w:divBdr>
    </w:div>
    <w:div w:id="282225250">
      <w:bodyDiv w:val="1"/>
      <w:marLeft w:val="0"/>
      <w:marRight w:val="0"/>
      <w:marTop w:val="0"/>
      <w:marBottom w:val="0"/>
      <w:divBdr>
        <w:top w:val="none" w:sz="0" w:space="0" w:color="auto"/>
        <w:left w:val="none" w:sz="0" w:space="0" w:color="auto"/>
        <w:bottom w:val="none" w:sz="0" w:space="0" w:color="auto"/>
        <w:right w:val="none" w:sz="0" w:space="0" w:color="auto"/>
      </w:divBdr>
    </w:div>
    <w:div w:id="282342729">
      <w:bodyDiv w:val="1"/>
      <w:marLeft w:val="0"/>
      <w:marRight w:val="0"/>
      <w:marTop w:val="0"/>
      <w:marBottom w:val="0"/>
      <w:divBdr>
        <w:top w:val="none" w:sz="0" w:space="0" w:color="auto"/>
        <w:left w:val="none" w:sz="0" w:space="0" w:color="auto"/>
        <w:bottom w:val="none" w:sz="0" w:space="0" w:color="auto"/>
        <w:right w:val="none" w:sz="0" w:space="0" w:color="auto"/>
      </w:divBdr>
    </w:div>
    <w:div w:id="282467515">
      <w:bodyDiv w:val="1"/>
      <w:marLeft w:val="0"/>
      <w:marRight w:val="0"/>
      <w:marTop w:val="0"/>
      <w:marBottom w:val="0"/>
      <w:divBdr>
        <w:top w:val="none" w:sz="0" w:space="0" w:color="auto"/>
        <w:left w:val="none" w:sz="0" w:space="0" w:color="auto"/>
        <w:bottom w:val="none" w:sz="0" w:space="0" w:color="auto"/>
        <w:right w:val="none" w:sz="0" w:space="0" w:color="auto"/>
      </w:divBdr>
    </w:div>
    <w:div w:id="282616971">
      <w:bodyDiv w:val="1"/>
      <w:marLeft w:val="0"/>
      <w:marRight w:val="0"/>
      <w:marTop w:val="0"/>
      <w:marBottom w:val="0"/>
      <w:divBdr>
        <w:top w:val="none" w:sz="0" w:space="0" w:color="auto"/>
        <w:left w:val="none" w:sz="0" w:space="0" w:color="auto"/>
        <w:bottom w:val="none" w:sz="0" w:space="0" w:color="auto"/>
        <w:right w:val="none" w:sz="0" w:space="0" w:color="auto"/>
      </w:divBdr>
    </w:div>
    <w:div w:id="282658848">
      <w:bodyDiv w:val="1"/>
      <w:marLeft w:val="0"/>
      <w:marRight w:val="0"/>
      <w:marTop w:val="0"/>
      <w:marBottom w:val="0"/>
      <w:divBdr>
        <w:top w:val="none" w:sz="0" w:space="0" w:color="auto"/>
        <w:left w:val="none" w:sz="0" w:space="0" w:color="auto"/>
        <w:bottom w:val="none" w:sz="0" w:space="0" w:color="auto"/>
        <w:right w:val="none" w:sz="0" w:space="0" w:color="auto"/>
      </w:divBdr>
    </w:div>
    <w:div w:id="282662110">
      <w:bodyDiv w:val="1"/>
      <w:marLeft w:val="0"/>
      <w:marRight w:val="0"/>
      <w:marTop w:val="0"/>
      <w:marBottom w:val="0"/>
      <w:divBdr>
        <w:top w:val="none" w:sz="0" w:space="0" w:color="auto"/>
        <w:left w:val="none" w:sz="0" w:space="0" w:color="auto"/>
        <w:bottom w:val="none" w:sz="0" w:space="0" w:color="auto"/>
        <w:right w:val="none" w:sz="0" w:space="0" w:color="auto"/>
      </w:divBdr>
    </w:div>
    <w:div w:id="282662961">
      <w:bodyDiv w:val="1"/>
      <w:marLeft w:val="0"/>
      <w:marRight w:val="0"/>
      <w:marTop w:val="0"/>
      <w:marBottom w:val="0"/>
      <w:divBdr>
        <w:top w:val="none" w:sz="0" w:space="0" w:color="auto"/>
        <w:left w:val="none" w:sz="0" w:space="0" w:color="auto"/>
        <w:bottom w:val="none" w:sz="0" w:space="0" w:color="auto"/>
        <w:right w:val="none" w:sz="0" w:space="0" w:color="auto"/>
      </w:divBdr>
    </w:div>
    <w:div w:id="283118345">
      <w:bodyDiv w:val="1"/>
      <w:marLeft w:val="0"/>
      <w:marRight w:val="0"/>
      <w:marTop w:val="0"/>
      <w:marBottom w:val="0"/>
      <w:divBdr>
        <w:top w:val="none" w:sz="0" w:space="0" w:color="auto"/>
        <w:left w:val="none" w:sz="0" w:space="0" w:color="auto"/>
        <w:bottom w:val="none" w:sz="0" w:space="0" w:color="auto"/>
        <w:right w:val="none" w:sz="0" w:space="0" w:color="auto"/>
      </w:divBdr>
    </w:div>
    <w:div w:id="283194840">
      <w:bodyDiv w:val="1"/>
      <w:marLeft w:val="0"/>
      <w:marRight w:val="0"/>
      <w:marTop w:val="0"/>
      <w:marBottom w:val="0"/>
      <w:divBdr>
        <w:top w:val="none" w:sz="0" w:space="0" w:color="auto"/>
        <w:left w:val="none" w:sz="0" w:space="0" w:color="auto"/>
        <w:bottom w:val="none" w:sz="0" w:space="0" w:color="auto"/>
        <w:right w:val="none" w:sz="0" w:space="0" w:color="auto"/>
      </w:divBdr>
    </w:div>
    <w:div w:id="283271873">
      <w:bodyDiv w:val="1"/>
      <w:marLeft w:val="0"/>
      <w:marRight w:val="0"/>
      <w:marTop w:val="0"/>
      <w:marBottom w:val="0"/>
      <w:divBdr>
        <w:top w:val="none" w:sz="0" w:space="0" w:color="auto"/>
        <w:left w:val="none" w:sz="0" w:space="0" w:color="auto"/>
        <w:bottom w:val="none" w:sz="0" w:space="0" w:color="auto"/>
        <w:right w:val="none" w:sz="0" w:space="0" w:color="auto"/>
      </w:divBdr>
    </w:div>
    <w:div w:id="283463190">
      <w:bodyDiv w:val="1"/>
      <w:marLeft w:val="0"/>
      <w:marRight w:val="0"/>
      <w:marTop w:val="0"/>
      <w:marBottom w:val="0"/>
      <w:divBdr>
        <w:top w:val="none" w:sz="0" w:space="0" w:color="auto"/>
        <w:left w:val="none" w:sz="0" w:space="0" w:color="auto"/>
        <w:bottom w:val="none" w:sz="0" w:space="0" w:color="auto"/>
        <w:right w:val="none" w:sz="0" w:space="0" w:color="auto"/>
      </w:divBdr>
    </w:div>
    <w:div w:id="283584882">
      <w:bodyDiv w:val="1"/>
      <w:marLeft w:val="0"/>
      <w:marRight w:val="0"/>
      <w:marTop w:val="0"/>
      <w:marBottom w:val="0"/>
      <w:divBdr>
        <w:top w:val="none" w:sz="0" w:space="0" w:color="auto"/>
        <w:left w:val="none" w:sz="0" w:space="0" w:color="auto"/>
        <w:bottom w:val="none" w:sz="0" w:space="0" w:color="auto"/>
        <w:right w:val="none" w:sz="0" w:space="0" w:color="auto"/>
      </w:divBdr>
    </w:div>
    <w:div w:id="283771240">
      <w:bodyDiv w:val="1"/>
      <w:marLeft w:val="0"/>
      <w:marRight w:val="0"/>
      <w:marTop w:val="0"/>
      <w:marBottom w:val="0"/>
      <w:divBdr>
        <w:top w:val="none" w:sz="0" w:space="0" w:color="auto"/>
        <w:left w:val="none" w:sz="0" w:space="0" w:color="auto"/>
        <w:bottom w:val="none" w:sz="0" w:space="0" w:color="auto"/>
        <w:right w:val="none" w:sz="0" w:space="0" w:color="auto"/>
      </w:divBdr>
    </w:div>
    <w:div w:id="283773913">
      <w:bodyDiv w:val="1"/>
      <w:marLeft w:val="0"/>
      <w:marRight w:val="0"/>
      <w:marTop w:val="0"/>
      <w:marBottom w:val="0"/>
      <w:divBdr>
        <w:top w:val="none" w:sz="0" w:space="0" w:color="auto"/>
        <w:left w:val="none" w:sz="0" w:space="0" w:color="auto"/>
        <w:bottom w:val="none" w:sz="0" w:space="0" w:color="auto"/>
        <w:right w:val="none" w:sz="0" w:space="0" w:color="auto"/>
      </w:divBdr>
    </w:div>
    <w:div w:id="284165015">
      <w:bodyDiv w:val="1"/>
      <w:marLeft w:val="0"/>
      <w:marRight w:val="0"/>
      <w:marTop w:val="0"/>
      <w:marBottom w:val="0"/>
      <w:divBdr>
        <w:top w:val="none" w:sz="0" w:space="0" w:color="auto"/>
        <w:left w:val="none" w:sz="0" w:space="0" w:color="auto"/>
        <w:bottom w:val="none" w:sz="0" w:space="0" w:color="auto"/>
        <w:right w:val="none" w:sz="0" w:space="0" w:color="auto"/>
      </w:divBdr>
    </w:div>
    <w:div w:id="284192547">
      <w:bodyDiv w:val="1"/>
      <w:marLeft w:val="0"/>
      <w:marRight w:val="0"/>
      <w:marTop w:val="0"/>
      <w:marBottom w:val="0"/>
      <w:divBdr>
        <w:top w:val="none" w:sz="0" w:space="0" w:color="auto"/>
        <w:left w:val="none" w:sz="0" w:space="0" w:color="auto"/>
        <w:bottom w:val="none" w:sz="0" w:space="0" w:color="auto"/>
        <w:right w:val="none" w:sz="0" w:space="0" w:color="auto"/>
      </w:divBdr>
    </w:div>
    <w:div w:id="284310636">
      <w:bodyDiv w:val="1"/>
      <w:marLeft w:val="0"/>
      <w:marRight w:val="0"/>
      <w:marTop w:val="0"/>
      <w:marBottom w:val="0"/>
      <w:divBdr>
        <w:top w:val="none" w:sz="0" w:space="0" w:color="auto"/>
        <w:left w:val="none" w:sz="0" w:space="0" w:color="auto"/>
        <w:bottom w:val="none" w:sz="0" w:space="0" w:color="auto"/>
        <w:right w:val="none" w:sz="0" w:space="0" w:color="auto"/>
      </w:divBdr>
    </w:div>
    <w:div w:id="284506685">
      <w:bodyDiv w:val="1"/>
      <w:marLeft w:val="0"/>
      <w:marRight w:val="0"/>
      <w:marTop w:val="0"/>
      <w:marBottom w:val="0"/>
      <w:divBdr>
        <w:top w:val="none" w:sz="0" w:space="0" w:color="auto"/>
        <w:left w:val="none" w:sz="0" w:space="0" w:color="auto"/>
        <w:bottom w:val="none" w:sz="0" w:space="0" w:color="auto"/>
        <w:right w:val="none" w:sz="0" w:space="0" w:color="auto"/>
      </w:divBdr>
    </w:div>
    <w:div w:id="284654723">
      <w:bodyDiv w:val="1"/>
      <w:marLeft w:val="0"/>
      <w:marRight w:val="0"/>
      <w:marTop w:val="0"/>
      <w:marBottom w:val="0"/>
      <w:divBdr>
        <w:top w:val="none" w:sz="0" w:space="0" w:color="auto"/>
        <w:left w:val="none" w:sz="0" w:space="0" w:color="auto"/>
        <w:bottom w:val="none" w:sz="0" w:space="0" w:color="auto"/>
        <w:right w:val="none" w:sz="0" w:space="0" w:color="auto"/>
      </w:divBdr>
    </w:div>
    <w:div w:id="284776505">
      <w:bodyDiv w:val="1"/>
      <w:marLeft w:val="0"/>
      <w:marRight w:val="0"/>
      <w:marTop w:val="0"/>
      <w:marBottom w:val="0"/>
      <w:divBdr>
        <w:top w:val="none" w:sz="0" w:space="0" w:color="auto"/>
        <w:left w:val="none" w:sz="0" w:space="0" w:color="auto"/>
        <w:bottom w:val="none" w:sz="0" w:space="0" w:color="auto"/>
        <w:right w:val="none" w:sz="0" w:space="0" w:color="auto"/>
      </w:divBdr>
    </w:div>
    <w:div w:id="284847281">
      <w:bodyDiv w:val="1"/>
      <w:marLeft w:val="0"/>
      <w:marRight w:val="0"/>
      <w:marTop w:val="0"/>
      <w:marBottom w:val="0"/>
      <w:divBdr>
        <w:top w:val="none" w:sz="0" w:space="0" w:color="auto"/>
        <w:left w:val="none" w:sz="0" w:space="0" w:color="auto"/>
        <w:bottom w:val="none" w:sz="0" w:space="0" w:color="auto"/>
        <w:right w:val="none" w:sz="0" w:space="0" w:color="auto"/>
      </w:divBdr>
    </w:div>
    <w:div w:id="285042516">
      <w:bodyDiv w:val="1"/>
      <w:marLeft w:val="0"/>
      <w:marRight w:val="0"/>
      <w:marTop w:val="0"/>
      <w:marBottom w:val="0"/>
      <w:divBdr>
        <w:top w:val="none" w:sz="0" w:space="0" w:color="auto"/>
        <w:left w:val="none" w:sz="0" w:space="0" w:color="auto"/>
        <w:bottom w:val="none" w:sz="0" w:space="0" w:color="auto"/>
        <w:right w:val="none" w:sz="0" w:space="0" w:color="auto"/>
      </w:divBdr>
    </w:div>
    <w:div w:id="285351362">
      <w:bodyDiv w:val="1"/>
      <w:marLeft w:val="0"/>
      <w:marRight w:val="0"/>
      <w:marTop w:val="0"/>
      <w:marBottom w:val="0"/>
      <w:divBdr>
        <w:top w:val="none" w:sz="0" w:space="0" w:color="auto"/>
        <w:left w:val="none" w:sz="0" w:space="0" w:color="auto"/>
        <w:bottom w:val="none" w:sz="0" w:space="0" w:color="auto"/>
        <w:right w:val="none" w:sz="0" w:space="0" w:color="auto"/>
      </w:divBdr>
    </w:div>
    <w:div w:id="285434089">
      <w:bodyDiv w:val="1"/>
      <w:marLeft w:val="0"/>
      <w:marRight w:val="0"/>
      <w:marTop w:val="0"/>
      <w:marBottom w:val="0"/>
      <w:divBdr>
        <w:top w:val="none" w:sz="0" w:space="0" w:color="auto"/>
        <w:left w:val="none" w:sz="0" w:space="0" w:color="auto"/>
        <w:bottom w:val="none" w:sz="0" w:space="0" w:color="auto"/>
        <w:right w:val="none" w:sz="0" w:space="0" w:color="auto"/>
      </w:divBdr>
    </w:div>
    <w:div w:id="285551504">
      <w:bodyDiv w:val="1"/>
      <w:marLeft w:val="0"/>
      <w:marRight w:val="0"/>
      <w:marTop w:val="0"/>
      <w:marBottom w:val="0"/>
      <w:divBdr>
        <w:top w:val="none" w:sz="0" w:space="0" w:color="auto"/>
        <w:left w:val="none" w:sz="0" w:space="0" w:color="auto"/>
        <w:bottom w:val="none" w:sz="0" w:space="0" w:color="auto"/>
        <w:right w:val="none" w:sz="0" w:space="0" w:color="auto"/>
      </w:divBdr>
    </w:div>
    <w:div w:id="285701026">
      <w:bodyDiv w:val="1"/>
      <w:marLeft w:val="0"/>
      <w:marRight w:val="0"/>
      <w:marTop w:val="0"/>
      <w:marBottom w:val="0"/>
      <w:divBdr>
        <w:top w:val="none" w:sz="0" w:space="0" w:color="auto"/>
        <w:left w:val="none" w:sz="0" w:space="0" w:color="auto"/>
        <w:bottom w:val="none" w:sz="0" w:space="0" w:color="auto"/>
        <w:right w:val="none" w:sz="0" w:space="0" w:color="auto"/>
      </w:divBdr>
    </w:div>
    <w:div w:id="286087089">
      <w:bodyDiv w:val="1"/>
      <w:marLeft w:val="0"/>
      <w:marRight w:val="0"/>
      <w:marTop w:val="0"/>
      <w:marBottom w:val="0"/>
      <w:divBdr>
        <w:top w:val="none" w:sz="0" w:space="0" w:color="auto"/>
        <w:left w:val="none" w:sz="0" w:space="0" w:color="auto"/>
        <w:bottom w:val="none" w:sz="0" w:space="0" w:color="auto"/>
        <w:right w:val="none" w:sz="0" w:space="0" w:color="auto"/>
      </w:divBdr>
    </w:div>
    <w:div w:id="286160407">
      <w:bodyDiv w:val="1"/>
      <w:marLeft w:val="0"/>
      <w:marRight w:val="0"/>
      <w:marTop w:val="0"/>
      <w:marBottom w:val="0"/>
      <w:divBdr>
        <w:top w:val="none" w:sz="0" w:space="0" w:color="auto"/>
        <w:left w:val="none" w:sz="0" w:space="0" w:color="auto"/>
        <w:bottom w:val="none" w:sz="0" w:space="0" w:color="auto"/>
        <w:right w:val="none" w:sz="0" w:space="0" w:color="auto"/>
      </w:divBdr>
    </w:div>
    <w:div w:id="286207378">
      <w:bodyDiv w:val="1"/>
      <w:marLeft w:val="0"/>
      <w:marRight w:val="0"/>
      <w:marTop w:val="0"/>
      <w:marBottom w:val="0"/>
      <w:divBdr>
        <w:top w:val="none" w:sz="0" w:space="0" w:color="auto"/>
        <w:left w:val="none" w:sz="0" w:space="0" w:color="auto"/>
        <w:bottom w:val="none" w:sz="0" w:space="0" w:color="auto"/>
        <w:right w:val="none" w:sz="0" w:space="0" w:color="auto"/>
      </w:divBdr>
    </w:div>
    <w:div w:id="286279813">
      <w:bodyDiv w:val="1"/>
      <w:marLeft w:val="0"/>
      <w:marRight w:val="0"/>
      <w:marTop w:val="0"/>
      <w:marBottom w:val="0"/>
      <w:divBdr>
        <w:top w:val="none" w:sz="0" w:space="0" w:color="auto"/>
        <w:left w:val="none" w:sz="0" w:space="0" w:color="auto"/>
        <w:bottom w:val="none" w:sz="0" w:space="0" w:color="auto"/>
        <w:right w:val="none" w:sz="0" w:space="0" w:color="auto"/>
      </w:divBdr>
    </w:div>
    <w:div w:id="286395455">
      <w:bodyDiv w:val="1"/>
      <w:marLeft w:val="0"/>
      <w:marRight w:val="0"/>
      <w:marTop w:val="0"/>
      <w:marBottom w:val="0"/>
      <w:divBdr>
        <w:top w:val="none" w:sz="0" w:space="0" w:color="auto"/>
        <w:left w:val="none" w:sz="0" w:space="0" w:color="auto"/>
        <w:bottom w:val="none" w:sz="0" w:space="0" w:color="auto"/>
        <w:right w:val="none" w:sz="0" w:space="0" w:color="auto"/>
      </w:divBdr>
    </w:div>
    <w:div w:id="286477339">
      <w:bodyDiv w:val="1"/>
      <w:marLeft w:val="0"/>
      <w:marRight w:val="0"/>
      <w:marTop w:val="0"/>
      <w:marBottom w:val="0"/>
      <w:divBdr>
        <w:top w:val="none" w:sz="0" w:space="0" w:color="auto"/>
        <w:left w:val="none" w:sz="0" w:space="0" w:color="auto"/>
        <w:bottom w:val="none" w:sz="0" w:space="0" w:color="auto"/>
        <w:right w:val="none" w:sz="0" w:space="0" w:color="auto"/>
      </w:divBdr>
    </w:div>
    <w:div w:id="286618933">
      <w:bodyDiv w:val="1"/>
      <w:marLeft w:val="0"/>
      <w:marRight w:val="0"/>
      <w:marTop w:val="0"/>
      <w:marBottom w:val="0"/>
      <w:divBdr>
        <w:top w:val="none" w:sz="0" w:space="0" w:color="auto"/>
        <w:left w:val="none" w:sz="0" w:space="0" w:color="auto"/>
        <w:bottom w:val="none" w:sz="0" w:space="0" w:color="auto"/>
        <w:right w:val="none" w:sz="0" w:space="0" w:color="auto"/>
      </w:divBdr>
    </w:div>
    <w:div w:id="286663585">
      <w:bodyDiv w:val="1"/>
      <w:marLeft w:val="0"/>
      <w:marRight w:val="0"/>
      <w:marTop w:val="0"/>
      <w:marBottom w:val="0"/>
      <w:divBdr>
        <w:top w:val="none" w:sz="0" w:space="0" w:color="auto"/>
        <w:left w:val="none" w:sz="0" w:space="0" w:color="auto"/>
        <w:bottom w:val="none" w:sz="0" w:space="0" w:color="auto"/>
        <w:right w:val="none" w:sz="0" w:space="0" w:color="auto"/>
      </w:divBdr>
    </w:div>
    <w:div w:id="286932169">
      <w:bodyDiv w:val="1"/>
      <w:marLeft w:val="0"/>
      <w:marRight w:val="0"/>
      <w:marTop w:val="0"/>
      <w:marBottom w:val="0"/>
      <w:divBdr>
        <w:top w:val="none" w:sz="0" w:space="0" w:color="auto"/>
        <w:left w:val="none" w:sz="0" w:space="0" w:color="auto"/>
        <w:bottom w:val="none" w:sz="0" w:space="0" w:color="auto"/>
        <w:right w:val="none" w:sz="0" w:space="0" w:color="auto"/>
      </w:divBdr>
    </w:div>
    <w:div w:id="287010250">
      <w:bodyDiv w:val="1"/>
      <w:marLeft w:val="0"/>
      <w:marRight w:val="0"/>
      <w:marTop w:val="0"/>
      <w:marBottom w:val="0"/>
      <w:divBdr>
        <w:top w:val="none" w:sz="0" w:space="0" w:color="auto"/>
        <w:left w:val="none" w:sz="0" w:space="0" w:color="auto"/>
        <w:bottom w:val="none" w:sz="0" w:space="0" w:color="auto"/>
        <w:right w:val="none" w:sz="0" w:space="0" w:color="auto"/>
      </w:divBdr>
    </w:div>
    <w:div w:id="287013497">
      <w:bodyDiv w:val="1"/>
      <w:marLeft w:val="0"/>
      <w:marRight w:val="0"/>
      <w:marTop w:val="0"/>
      <w:marBottom w:val="0"/>
      <w:divBdr>
        <w:top w:val="none" w:sz="0" w:space="0" w:color="auto"/>
        <w:left w:val="none" w:sz="0" w:space="0" w:color="auto"/>
        <w:bottom w:val="none" w:sz="0" w:space="0" w:color="auto"/>
        <w:right w:val="none" w:sz="0" w:space="0" w:color="auto"/>
      </w:divBdr>
    </w:div>
    <w:div w:id="287054288">
      <w:bodyDiv w:val="1"/>
      <w:marLeft w:val="0"/>
      <w:marRight w:val="0"/>
      <w:marTop w:val="0"/>
      <w:marBottom w:val="0"/>
      <w:divBdr>
        <w:top w:val="none" w:sz="0" w:space="0" w:color="auto"/>
        <w:left w:val="none" w:sz="0" w:space="0" w:color="auto"/>
        <w:bottom w:val="none" w:sz="0" w:space="0" w:color="auto"/>
        <w:right w:val="none" w:sz="0" w:space="0" w:color="auto"/>
      </w:divBdr>
    </w:div>
    <w:div w:id="287127286">
      <w:bodyDiv w:val="1"/>
      <w:marLeft w:val="0"/>
      <w:marRight w:val="0"/>
      <w:marTop w:val="0"/>
      <w:marBottom w:val="0"/>
      <w:divBdr>
        <w:top w:val="none" w:sz="0" w:space="0" w:color="auto"/>
        <w:left w:val="none" w:sz="0" w:space="0" w:color="auto"/>
        <w:bottom w:val="none" w:sz="0" w:space="0" w:color="auto"/>
        <w:right w:val="none" w:sz="0" w:space="0" w:color="auto"/>
      </w:divBdr>
    </w:div>
    <w:div w:id="287199314">
      <w:bodyDiv w:val="1"/>
      <w:marLeft w:val="0"/>
      <w:marRight w:val="0"/>
      <w:marTop w:val="0"/>
      <w:marBottom w:val="0"/>
      <w:divBdr>
        <w:top w:val="none" w:sz="0" w:space="0" w:color="auto"/>
        <w:left w:val="none" w:sz="0" w:space="0" w:color="auto"/>
        <w:bottom w:val="none" w:sz="0" w:space="0" w:color="auto"/>
        <w:right w:val="none" w:sz="0" w:space="0" w:color="auto"/>
      </w:divBdr>
    </w:div>
    <w:div w:id="287200327">
      <w:bodyDiv w:val="1"/>
      <w:marLeft w:val="0"/>
      <w:marRight w:val="0"/>
      <w:marTop w:val="0"/>
      <w:marBottom w:val="0"/>
      <w:divBdr>
        <w:top w:val="none" w:sz="0" w:space="0" w:color="auto"/>
        <w:left w:val="none" w:sz="0" w:space="0" w:color="auto"/>
        <w:bottom w:val="none" w:sz="0" w:space="0" w:color="auto"/>
        <w:right w:val="none" w:sz="0" w:space="0" w:color="auto"/>
      </w:divBdr>
    </w:div>
    <w:div w:id="287201285">
      <w:bodyDiv w:val="1"/>
      <w:marLeft w:val="0"/>
      <w:marRight w:val="0"/>
      <w:marTop w:val="0"/>
      <w:marBottom w:val="0"/>
      <w:divBdr>
        <w:top w:val="none" w:sz="0" w:space="0" w:color="auto"/>
        <w:left w:val="none" w:sz="0" w:space="0" w:color="auto"/>
        <w:bottom w:val="none" w:sz="0" w:space="0" w:color="auto"/>
        <w:right w:val="none" w:sz="0" w:space="0" w:color="auto"/>
      </w:divBdr>
    </w:div>
    <w:div w:id="287317420">
      <w:bodyDiv w:val="1"/>
      <w:marLeft w:val="0"/>
      <w:marRight w:val="0"/>
      <w:marTop w:val="0"/>
      <w:marBottom w:val="0"/>
      <w:divBdr>
        <w:top w:val="none" w:sz="0" w:space="0" w:color="auto"/>
        <w:left w:val="none" w:sz="0" w:space="0" w:color="auto"/>
        <w:bottom w:val="none" w:sz="0" w:space="0" w:color="auto"/>
        <w:right w:val="none" w:sz="0" w:space="0" w:color="auto"/>
      </w:divBdr>
    </w:div>
    <w:div w:id="287392209">
      <w:bodyDiv w:val="1"/>
      <w:marLeft w:val="0"/>
      <w:marRight w:val="0"/>
      <w:marTop w:val="0"/>
      <w:marBottom w:val="0"/>
      <w:divBdr>
        <w:top w:val="none" w:sz="0" w:space="0" w:color="auto"/>
        <w:left w:val="none" w:sz="0" w:space="0" w:color="auto"/>
        <w:bottom w:val="none" w:sz="0" w:space="0" w:color="auto"/>
        <w:right w:val="none" w:sz="0" w:space="0" w:color="auto"/>
      </w:divBdr>
    </w:div>
    <w:div w:id="287392495">
      <w:bodyDiv w:val="1"/>
      <w:marLeft w:val="0"/>
      <w:marRight w:val="0"/>
      <w:marTop w:val="0"/>
      <w:marBottom w:val="0"/>
      <w:divBdr>
        <w:top w:val="none" w:sz="0" w:space="0" w:color="auto"/>
        <w:left w:val="none" w:sz="0" w:space="0" w:color="auto"/>
        <w:bottom w:val="none" w:sz="0" w:space="0" w:color="auto"/>
        <w:right w:val="none" w:sz="0" w:space="0" w:color="auto"/>
      </w:divBdr>
    </w:div>
    <w:div w:id="287396269">
      <w:bodyDiv w:val="1"/>
      <w:marLeft w:val="0"/>
      <w:marRight w:val="0"/>
      <w:marTop w:val="0"/>
      <w:marBottom w:val="0"/>
      <w:divBdr>
        <w:top w:val="none" w:sz="0" w:space="0" w:color="auto"/>
        <w:left w:val="none" w:sz="0" w:space="0" w:color="auto"/>
        <w:bottom w:val="none" w:sz="0" w:space="0" w:color="auto"/>
        <w:right w:val="none" w:sz="0" w:space="0" w:color="auto"/>
      </w:divBdr>
    </w:div>
    <w:div w:id="287590650">
      <w:bodyDiv w:val="1"/>
      <w:marLeft w:val="0"/>
      <w:marRight w:val="0"/>
      <w:marTop w:val="0"/>
      <w:marBottom w:val="0"/>
      <w:divBdr>
        <w:top w:val="none" w:sz="0" w:space="0" w:color="auto"/>
        <w:left w:val="none" w:sz="0" w:space="0" w:color="auto"/>
        <w:bottom w:val="none" w:sz="0" w:space="0" w:color="auto"/>
        <w:right w:val="none" w:sz="0" w:space="0" w:color="auto"/>
      </w:divBdr>
    </w:div>
    <w:div w:id="287860484">
      <w:bodyDiv w:val="1"/>
      <w:marLeft w:val="0"/>
      <w:marRight w:val="0"/>
      <w:marTop w:val="0"/>
      <w:marBottom w:val="0"/>
      <w:divBdr>
        <w:top w:val="none" w:sz="0" w:space="0" w:color="auto"/>
        <w:left w:val="none" w:sz="0" w:space="0" w:color="auto"/>
        <w:bottom w:val="none" w:sz="0" w:space="0" w:color="auto"/>
        <w:right w:val="none" w:sz="0" w:space="0" w:color="auto"/>
      </w:divBdr>
    </w:div>
    <w:div w:id="287929382">
      <w:bodyDiv w:val="1"/>
      <w:marLeft w:val="0"/>
      <w:marRight w:val="0"/>
      <w:marTop w:val="0"/>
      <w:marBottom w:val="0"/>
      <w:divBdr>
        <w:top w:val="none" w:sz="0" w:space="0" w:color="auto"/>
        <w:left w:val="none" w:sz="0" w:space="0" w:color="auto"/>
        <w:bottom w:val="none" w:sz="0" w:space="0" w:color="auto"/>
        <w:right w:val="none" w:sz="0" w:space="0" w:color="auto"/>
      </w:divBdr>
    </w:div>
    <w:div w:id="288047488">
      <w:bodyDiv w:val="1"/>
      <w:marLeft w:val="0"/>
      <w:marRight w:val="0"/>
      <w:marTop w:val="0"/>
      <w:marBottom w:val="0"/>
      <w:divBdr>
        <w:top w:val="none" w:sz="0" w:space="0" w:color="auto"/>
        <w:left w:val="none" w:sz="0" w:space="0" w:color="auto"/>
        <w:bottom w:val="none" w:sz="0" w:space="0" w:color="auto"/>
        <w:right w:val="none" w:sz="0" w:space="0" w:color="auto"/>
      </w:divBdr>
    </w:div>
    <w:div w:id="288056621">
      <w:bodyDiv w:val="1"/>
      <w:marLeft w:val="0"/>
      <w:marRight w:val="0"/>
      <w:marTop w:val="0"/>
      <w:marBottom w:val="0"/>
      <w:divBdr>
        <w:top w:val="none" w:sz="0" w:space="0" w:color="auto"/>
        <w:left w:val="none" w:sz="0" w:space="0" w:color="auto"/>
        <w:bottom w:val="none" w:sz="0" w:space="0" w:color="auto"/>
        <w:right w:val="none" w:sz="0" w:space="0" w:color="auto"/>
      </w:divBdr>
    </w:div>
    <w:div w:id="288127282">
      <w:bodyDiv w:val="1"/>
      <w:marLeft w:val="0"/>
      <w:marRight w:val="0"/>
      <w:marTop w:val="0"/>
      <w:marBottom w:val="0"/>
      <w:divBdr>
        <w:top w:val="none" w:sz="0" w:space="0" w:color="auto"/>
        <w:left w:val="none" w:sz="0" w:space="0" w:color="auto"/>
        <w:bottom w:val="none" w:sz="0" w:space="0" w:color="auto"/>
        <w:right w:val="none" w:sz="0" w:space="0" w:color="auto"/>
      </w:divBdr>
    </w:div>
    <w:div w:id="288165868">
      <w:bodyDiv w:val="1"/>
      <w:marLeft w:val="0"/>
      <w:marRight w:val="0"/>
      <w:marTop w:val="0"/>
      <w:marBottom w:val="0"/>
      <w:divBdr>
        <w:top w:val="none" w:sz="0" w:space="0" w:color="auto"/>
        <w:left w:val="none" w:sz="0" w:space="0" w:color="auto"/>
        <w:bottom w:val="none" w:sz="0" w:space="0" w:color="auto"/>
        <w:right w:val="none" w:sz="0" w:space="0" w:color="auto"/>
      </w:divBdr>
    </w:div>
    <w:div w:id="288324099">
      <w:bodyDiv w:val="1"/>
      <w:marLeft w:val="0"/>
      <w:marRight w:val="0"/>
      <w:marTop w:val="0"/>
      <w:marBottom w:val="0"/>
      <w:divBdr>
        <w:top w:val="none" w:sz="0" w:space="0" w:color="auto"/>
        <w:left w:val="none" w:sz="0" w:space="0" w:color="auto"/>
        <w:bottom w:val="none" w:sz="0" w:space="0" w:color="auto"/>
        <w:right w:val="none" w:sz="0" w:space="0" w:color="auto"/>
      </w:divBdr>
    </w:div>
    <w:div w:id="288367365">
      <w:bodyDiv w:val="1"/>
      <w:marLeft w:val="0"/>
      <w:marRight w:val="0"/>
      <w:marTop w:val="0"/>
      <w:marBottom w:val="0"/>
      <w:divBdr>
        <w:top w:val="none" w:sz="0" w:space="0" w:color="auto"/>
        <w:left w:val="none" w:sz="0" w:space="0" w:color="auto"/>
        <w:bottom w:val="none" w:sz="0" w:space="0" w:color="auto"/>
        <w:right w:val="none" w:sz="0" w:space="0" w:color="auto"/>
      </w:divBdr>
    </w:div>
    <w:div w:id="288435471">
      <w:bodyDiv w:val="1"/>
      <w:marLeft w:val="0"/>
      <w:marRight w:val="0"/>
      <w:marTop w:val="0"/>
      <w:marBottom w:val="0"/>
      <w:divBdr>
        <w:top w:val="none" w:sz="0" w:space="0" w:color="auto"/>
        <w:left w:val="none" w:sz="0" w:space="0" w:color="auto"/>
        <w:bottom w:val="none" w:sz="0" w:space="0" w:color="auto"/>
        <w:right w:val="none" w:sz="0" w:space="0" w:color="auto"/>
      </w:divBdr>
    </w:div>
    <w:div w:id="288827647">
      <w:bodyDiv w:val="1"/>
      <w:marLeft w:val="0"/>
      <w:marRight w:val="0"/>
      <w:marTop w:val="0"/>
      <w:marBottom w:val="0"/>
      <w:divBdr>
        <w:top w:val="none" w:sz="0" w:space="0" w:color="auto"/>
        <w:left w:val="none" w:sz="0" w:space="0" w:color="auto"/>
        <w:bottom w:val="none" w:sz="0" w:space="0" w:color="auto"/>
        <w:right w:val="none" w:sz="0" w:space="0" w:color="auto"/>
      </w:divBdr>
    </w:div>
    <w:div w:id="288904868">
      <w:bodyDiv w:val="1"/>
      <w:marLeft w:val="0"/>
      <w:marRight w:val="0"/>
      <w:marTop w:val="0"/>
      <w:marBottom w:val="0"/>
      <w:divBdr>
        <w:top w:val="none" w:sz="0" w:space="0" w:color="auto"/>
        <w:left w:val="none" w:sz="0" w:space="0" w:color="auto"/>
        <w:bottom w:val="none" w:sz="0" w:space="0" w:color="auto"/>
        <w:right w:val="none" w:sz="0" w:space="0" w:color="auto"/>
      </w:divBdr>
    </w:div>
    <w:div w:id="288970983">
      <w:bodyDiv w:val="1"/>
      <w:marLeft w:val="0"/>
      <w:marRight w:val="0"/>
      <w:marTop w:val="0"/>
      <w:marBottom w:val="0"/>
      <w:divBdr>
        <w:top w:val="none" w:sz="0" w:space="0" w:color="auto"/>
        <w:left w:val="none" w:sz="0" w:space="0" w:color="auto"/>
        <w:bottom w:val="none" w:sz="0" w:space="0" w:color="auto"/>
        <w:right w:val="none" w:sz="0" w:space="0" w:color="auto"/>
      </w:divBdr>
    </w:div>
    <w:div w:id="289020176">
      <w:bodyDiv w:val="1"/>
      <w:marLeft w:val="0"/>
      <w:marRight w:val="0"/>
      <w:marTop w:val="0"/>
      <w:marBottom w:val="0"/>
      <w:divBdr>
        <w:top w:val="none" w:sz="0" w:space="0" w:color="auto"/>
        <w:left w:val="none" w:sz="0" w:space="0" w:color="auto"/>
        <w:bottom w:val="none" w:sz="0" w:space="0" w:color="auto"/>
        <w:right w:val="none" w:sz="0" w:space="0" w:color="auto"/>
      </w:divBdr>
    </w:div>
    <w:div w:id="289021336">
      <w:bodyDiv w:val="1"/>
      <w:marLeft w:val="0"/>
      <w:marRight w:val="0"/>
      <w:marTop w:val="0"/>
      <w:marBottom w:val="0"/>
      <w:divBdr>
        <w:top w:val="none" w:sz="0" w:space="0" w:color="auto"/>
        <w:left w:val="none" w:sz="0" w:space="0" w:color="auto"/>
        <w:bottom w:val="none" w:sz="0" w:space="0" w:color="auto"/>
        <w:right w:val="none" w:sz="0" w:space="0" w:color="auto"/>
      </w:divBdr>
    </w:div>
    <w:div w:id="289090051">
      <w:bodyDiv w:val="1"/>
      <w:marLeft w:val="0"/>
      <w:marRight w:val="0"/>
      <w:marTop w:val="0"/>
      <w:marBottom w:val="0"/>
      <w:divBdr>
        <w:top w:val="none" w:sz="0" w:space="0" w:color="auto"/>
        <w:left w:val="none" w:sz="0" w:space="0" w:color="auto"/>
        <w:bottom w:val="none" w:sz="0" w:space="0" w:color="auto"/>
        <w:right w:val="none" w:sz="0" w:space="0" w:color="auto"/>
      </w:divBdr>
    </w:div>
    <w:div w:id="289166312">
      <w:bodyDiv w:val="1"/>
      <w:marLeft w:val="0"/>
      <w:marRight w:val="0"/>
      <w:marTop w:val="0"/>
      <w:marBottom w:val="0"/>
      <w:divBdr>
        <w:top w:val="none" w:sz="0" w:space="0" w:color="auto"/>
        <w:left w:val="none" w:sz="0" w:space="0" w:color="auto"/>
        <w:bottom w:val="none" w:sz="0" w:space="0" w:color="auto"/>
        <w:right w:val="none" w:sz="0" w:space="0" w:color="auto"/>
      </w:divBdr>
    </w:div>
    <w:div w:id="289168015">
      <w:bodyDiv w:val="1"/>
      <w:marLeft w:val="0"/>
      <w:marRight w:val="0"/>
      <w:marTop w:val="0"/>
      <w:marBottom w:val="0"/>
      <w:divBdr>
        <w:top w:val="none" w:sz="0" w:space="0" w:color="auto"/>
        <w:left w:val="none" w:sz="0" w:space="0" w:color="auto"/>
        <w:bottom w:val="none" w:sz="0" w:space="0" w:color="auto"/>
        <w:right w:val="none" w:sz="0" w:space="0" w:color="auto"/>
      </w:divBdr>
    </w:div>
    <w:div w:id="289170483">
      <w:bodyDiv w:val="1"/>
      <w:marLeft w:val="0"/>
      <w:marRight w:val="0"/>
      <w:marTop w:val="0"/>
      <w:marBottom w:val="0"/>
      <w:divBdr>
        <w:top w:val="none" w:sz="0" w:space="0" w:color="auto"/>
        <w:left w:val="none" w:sz="0" w:space="0" w:color="auto"/>
        <w:bottom w:val="none" w:sz="0" w:space="0" w:color="auto"/>
        <w:right w:val="none" w:sz="0" w:space="0" w:color="auto"/>
      </w:divBdr>
    </w:div>
    <w:div w:id="289363991">
      <w:bodyDiv w:val="1"/>
      <w:marLeft w:val="0"/>
      <w:marRight w:val="0"/>
      <w:marTop w:val="0"/>
      <w:marBottom w:val="0"/>
      <w:divBdr>
        <w:top w:val="none" w:sz="0" w:space="0" w:color="auto"/>
        <w:left w:val="none" w:sz="0" w:space="0" w:color="auto"/>
        <w:bottom w:val="none" w:sz="0" w:space="0" w:color="auto"/>
        <w:right w:val="none" w:sz="0" w:space="0" w:color="auto"/>
      </w:divBdr>
    </w:div>
    <w:div w:id="289479486">
      <w:bodyDiv w:val="1"/>
      <w:marLeft w:val="0"/>
      <w:marRight w:val="0"/>
      <w:marTop w:val="0"/>
      <w:marBottom w:val="0"/>
      <w:divBdr>
        <w:top w:val="none" w:sz="0" w:space="0" w:color="auto"/>
        <w:left w:val="none" w:sz="0" w:space="0" w:color="auto"/>
        <w:bottom w:val="none" w:sz="0" w:space="0" w:color="auto"/>
        <w:right w:val="none" w:sz="0" w:space="0" w:color="auto"/>
      </w:divBdr>
    </w:div>
    <w:div w:id="289676661">
      <w:bodyDiv w:val="1"/>
      <w:marLeft w:val="0"/>
      <w:marRight w:val="0"/>
      <w:marTop w:val="0"/>
      <w:marBottom w:val="0"/>
      <w:divBdr>
        <w:top w:val="none" w:sz="0" w:space="0" w:color="auto"/>
        <w:left w:val="none" w:sz="0" w:space="0" w:color="auto"/>
        <w:bottom w:val="none" w:sz="0" w:space="0" w:color="auto"/>
        <w:right w:val="none" w:sz="0" w:space="0" w:color="auto"/>
      </w:divBdr>
    </w:div>
    <w:div w:id="289869545">
      <w:bodyDiv w:val="1"/>
      <w:marLeft w:val="0"/>
      <w:marRight w:val="0"/>
      <w:marTop w:val="0"/>
      <w:marBottom w:val="0"/>
      <w:divBdr>
        <w:top w:val="none" w:sz="0" w:space="0" w:color="auto"/>
        <w:left w:val="none" w:sz="0" w:space="0" w:color="auto"/>
        <w:bottom w:val="none" w:sz="0" w:space="0" w:color="auto"/>
        <w:right w:val="none" w:sz="0" w:space="0" w:color="auto"/>
      </w:divBdr>
    </w:div>
    <w:div w:id="289895069">
      <w:bodyDiv w:val="1"/>
      <w:marLeft w:val="0"/>
      <w:marRight w:val="0"/>
      <w:marTop w:val="0"/>
      <w:marBottom w:val="0"/>
      <w:divBdr>
        <w:top w:val="none" w:sz="0" w:space="0" w:color="auto"/>
        <w:left w:val="none" w:sz="0" w:space="0" w:color="auto"/>
        <w:bottom w:val="none" w:sz="0" w:space="0" w:color="auto"/>
        <w:right w:val="none" w:sz="0" w:space="0" w:color="auto"/>
      </w:divBdr>
    </w:div>
    <w:div w:id="290017084">
      <w:bodyDiv w:val="1"/>
      <w:marLeft w:val="0"/>
      <w:marRight w:val="0"/>
      <w:marTop w:val="0"/>
      <w:marBottom w:val="0"/>
      <w:divBdr>
        <w:top w:val="none" w:sz="0" w:space="0" w:color="auto"/>
        <w:left w:val="none" w:sz="0" w:space="0" w:color="auto"/>
        <w:bottom w:val="none" w:sz="0" w:space="0" w:color="auto"/>
        <w:right w:val="none" w:sz="0" w:space="0" w:color="auto"/>
      </w:divBdr>
    </w:div>
    <w:div w:id="290062747">
      <w:bodyDiv w:val="1"/>
      <w:marLeft w:val="0"/>
      <w:marRight w:val="0"/>
      <w:marTop w:val="0"/>
      <w:marBottom w:val="0"/>
      <w:divBdr>
        <w:top w:val="none" w:sz="0" w:space="0" w:color="auto"/>
        <w:left w:val="none" w:sz="0" w:space="0" w:color="auto"/>
        <w:bottom w:val="none" w:sz="0" w:space="0" w:color="auto"/>
        <w:right w:val="none" w:sz="0" w:space="0" w:color="auto"/>
      </w:divBdr>
    </w:div>
    <w:div w:id="290064156">
      <w:bodyDiv w:val="1"/>
      <w:marLeft w:val="0"/>
      <w:marRight w:val="0"/>
      <w:marTop w:val="0"/>
      <w:marBottom w:val="0"/>
      <w:divBdr>
        <w:top w:val="none" w:sz="0" w:space="0" w:color="auto"/>
        <w:left w:val="none" w:sz="0" w:space="0" w:color="auto"/>
        <w:bottom w:val="none" w:sz="0" w:space="0" w:color="auto"/>
        <w:right w:val="none" w:sz="0" w:space="0" w:color="auto"/>
      </w:divBdr>
    </w:div>
    <w:div w:id="290090702">
      <w:bodyDiv w:val="1"/>
      <w:marLeft w:val="0"/>
      <w:marRight w:val="0"/>
      <w:marTop w:val="0"/>
      <w:marBottom w:val="0"/>
      <w:divBdr>
        <w:top w:val="none" w:sz="0" w:space="0" w:color="auto"/>
        <w:left w:val="none" w:sz="0" w:space="0" w:color="auto"/>
        <w:bottom w:val="none" w:sz="0" w:space="0" w:color="auto"/>
        <w:right w:val="none" w:sz="0" w:space="0" w:color="auto"/>
      </w:divBdr>
    </w:div>
    <w:div w:id="290091296">
      <w:bodyDiv w:val="1"/>
      <w:marLeft w:val="0"/>
      <w:marRight w:val="0"/>
      <w:marTop w:val="0"/>
      <w:marBottom w:val="0"/>
      <w:divBdr>
        <w:top w:val="none" w:sz="0" w:space="0" w:color="auto"/>
        <w:left w:val="none" w:sz="0" w:space="0" w:color="auto"/>
        <w:bottom w:val="none" w:sz="0" w:space="0" w:color="auto"/>
        <w:right w:val="none" w:sz="0" w:space="0" w:color="auto"/>
      </w:divBdr>
    </w:div>
    <w:div w:id="290282490">
      <w:bodyDiv w:val="1"/>
      <w:marLeft w:val="0"/>
      <w:marRight w:val="0"/>
      <w:marTop w:val="0"/>
      <w:marBottom w:val="0"/>
      <w:divBdr>
        <w:top w:val="none" w:sz="0" w:space="0" w:color="auto"/>
        <w:left w:val="none" w:sz="0" w:space="0" w:color="auto"/>
        <w:bottom w:val="none" w:sz="0" w:space="0" w:color="auto"/>
        <w:right w:val="none" w:sz="0" w:space="0" w:color="auto"/>
      </w:divBdr>
    </w:div>
    <w:div w:id="290286243">
      <w:bodyDiv w:val="1"/>
      <w:marLeft w:val="0"/>
      <w:marRight w:val="0"/>
      <w:marTop w:val="0"/>
      <w:marBottom w:val="0"/>
      <w:divBdr>
        <w:top w:val="none" w:sz="0" w:space="0" w:color="auto"/>
        <w:left w:val="none" w:sz="0" w:space="0" w:color="auto"/>
        <w:bottom w:val="none" w:sz="0" w:space="0" w:color="auto"/>
        <w:right w:val="none" w:sz="0" w:space="0" w:color="auto"/>
      </w:divBdr>
    </w:div>
    <w:div w:id="290289189">
      <w:bodyDiv w:val="1"/>
      <w:marLeft w:val="0"/>
      <w:marRight w:val="0"/>
      <w:marTop w:val="0"/>
      <w:marBottom w:val="0"/>
      <w:divBdr>
        <w:top w:val="none" w:sz="0" w:space="0" w:color="auto"/>
        <w:left w:val="none" w:sz="0" w:space="0" w:color="auto"/>
        <w:bottom w:val="none" w:sz="0" w:space="0" w:color="auto"/>
        <w:right w:val="none" w:sz="0" w:space="0" w:color="auto"/>
      </w:divBdr>
    </w:div>
    <w:div w:id="290324762">
      <w:bodyDiv w:val="1"/>
      <w:marLeft w:val="0"/>
      <w:marRight w:val="0"/>
      <w:marTop w:val="0"/>
      <w:marBottom w:val="0"/>
      <w:divBdr>
        <w:top w:val="none" w:sz="0" w:space="0" w:color="auto"/>
        <w:left w:val="none" w:sz="0" w:space="0" w:color="auto"/>
        <w:bottom w:val="none" w:sz="0" w:space="0" w:color="auto"/>
        <w:right w:val="none" w:sz="0" w:space="0" w:color="auto"/>
      </w:divBdr>
    </w:div>
    <w:div w:id="291057582">
      <w:bodyDiv w:val="1"/>
      <w:marLeft w:val="0"/>
      <w:marRight w:val="0"/>
      <w:marTop w:val="0"/>
      <w:marBottom w:val="0"/>
      <w:divBdr>
        <w:top w:val="none" w:sz="0" w:space="0" w:color="auto"/>
        <w:left w:val="none" w:sz="0" w:space="0" w:color="auto"/>
        <w:bottom w:val="none" w:sz="0" w:space="0" w:color="auto"/>
        <w:right w:val="none" w:sz="0" w:space="0" w:color="auto"/>
      </w:divBdr>
    </w:div>
    <w:div w:id="291135301">
      <w:bodyDiv w:val="1"/>
      <w:marLeft w:val="0"/>
      <w:marRight w:val="0"/>
      <w:marTop w:val="0"/>
      <w:marBottom w:val="0"/>
      <w:divBdr>
        <w:top w:val="none" w:sz="0" w:space="0" w:color="auto"/>
        <w:left w:val="none" w:sz="0" w:space="0" w:color="auto"/>
        <w:bottom w:val="none" w:sz="0" w:space="0" w:color="auto"/>
        <w:right w:val="none" w:sz="0" w:space="0" w:color="auto"/>
      </w:divBdr>
    </w:div>
    <w:div w:id="291327495">
      <w:bodyDiv w:val="1"/>
      <w:marLeft w:val="0"/>
      <w:marRight w:val="0"/>
      <w:marTop w:val="0"/>
      <w:marBottom w:val="0"/>
      <w:divBdr>
        <w:top w:val="none" w:sz="0" w:space="0" w:color="auto"/>
        <w:left w:val="none" w:sz="0" w:space="0" w:color="auto"/>
        <w:bottom w:val="none" w:sz="0" w:space="0" w:color="auto"/>
        <w:right w:val="none" w:sz="0" w:space="0" w:color="auto"/>
      </w:divBdr>
    </w:div>
    <w:div w:id="291402930">
      <w:bodyDiv w:val="1"/>
      <w:marLeft w:val="0"/>
      <w:marRight w:val="0"/>
      <w:marTop w:val="0"/>
      <w:marBottom w:val="0"/>
      <w:divBdr>
        <w:top w:val="none" w:sz="0" w:space="0" w:color="auto"/>
        <w:left w:val="none" w:sz="0" w:space="0" w:color="auto"/>
        <w:bottom w:val="none" w:sz="0" w:space="0" w:color="auto"/>
        <w:right w:val="none" w:sz="0" w:space="0" w:color="auto"/>
      </w:divBdr>
    </w:div>
    <w:div w:id="291449698">
      <w:bodyDiv w:val="1"/>
      <w:marLeft w:val="0"/>
      <w:marRight w:val="0"/>
      <w:marTop w:val="0"/>
      <w:marBottom w:val="0"/>
      <w:divBdr>
        <w:top w:val="none" w:sz="0" w:space="0" w:color="auto"/>
        <w:left w:val="none" w:sz="0" w:space="0" w:color="auto"/>
        <w:bottom w:val="none" w:sz="0" w:space="0" w:color="auto"/>
        <w:right w:val="none" w:sz="0" w:space="0" w:color="auto"/>
      </w:divBdr>
    </w:div>
    <w:div w:id="291713567">
      <w:bodyDiv w:val="1"/>
      <w:marLeft w:val="0"/>
      <w:marRight w:val="0"/>
      <w:marTop w:val="0"/>
      <w:marBottom w:val="0"/>
      <w:divBdr>
        <w:top w:val="none" w:sz="0" w:space="0" w:color="auto"/>
        <w:left w:val="none" w:sz="0" w:space="0" w:color="auto"/>
        <w:bottom w:val="none" w:sz="0" w:space="0" w:color="auto"/>
        <w:right w:val="none" w:sz="0" w:space="0" w:color="auto"/>
      </w:divBdr>
    </w:div>
    <w:div w:id="291907247">
      <w:bodyDiv w:val="1"/>
      <w:marLeft w:val="0"/>
      <w:marRight w:val="0"/>
      <w:marTop w:val="0"/>
      <w:marBottom w:val="0"/>
      <w:divBdr>
        <w:top w:val="none" w:sz="0" w:space="0" w:color="auto"/>
        <w:left w:val="none" w:sz="0" w:space="0" w:color="auto"/>
        <w:bottom w:val="none" w:sz="0" w:space="0" w:color="auto"/>
        <w:right w:val="none" w:sz="0" w:space="0" w:color="auto"/>
      </w:divBdr>
    </w:div>
    <w:div w:id="291909884">
      <w:bodyDiv w:val="1"/>
      <w:marLeft w:val="0"/>
      <w:marRight w:val="0"/>
      <w:marTop w:val="0"/>
      <w:marBottom w:val="0"/>
      <w:divBdr>
        <w:top w:val="none" w:sz="0" w:space="0" w:color="auto"/>
        <w:left w:val="none" w:sz="0" w:space="0" w:color="auto"/>
        <w:bottom w:val="none" w:sz="0" w:space="0" w:color="auto"/>
        <w:right w:val="none" w:sz="0" w:space="0" w:color="auto"/>
      </w:divBdr>
    </w:div>
    <w:div w:id="291910096">
      <w:bodyDiv w:val="1"/>
      <w:marLeft w:val="0"/>
      <w:marRight w:val="0"/>
      <w:marTop w:val="0"/>
      <w:marBottom w:val="0"/>
      <w:divBdr>
        <w:top w:val="none" w:sz="0" w:space="0" w:color="auto"/>
        <w:left w:val="none" w:sz="0" w:space="0" w:color="auto"/>
        <w:bottom w:val="none" w:sz="0" w:space="0" w:color="auto"/>
        <w:right w:val="none" w:sz="0" w:space="0" w:color="auto"/>
      </w:divBdr>
    </w:div>
    <w:div w:id="291910381">
      <w:bodyDiv w:val="1"/>
      <w:marLeft w:val="0"/>
      <w:marRight w:val="0"/>
      <w:marTop w:val="0"/>
      <w:marBottom w:val="0"/>
      <w:divBdr>
        <w:top w:val="none" w:sz="0" w:space="0" w:color="auto"/>
        <w:left w:val="none" w:sz="0" w:space="0" w:color="auto"/>
        <w:bottom w:val="none" w:sz="0" w:space="0" w:color="auto"/>
        <w:right w:val="none" w:sz="0" w:space="0" w:color="auto"/>
      </w:divBdr>
    </w:div>
    <w:div w:id="292058723">
      <w:bodyDiv w:val="1"/>
      <w:marLeft w:val="0"/>
      <w:marRight w:val="0"/>
      <w:marTop w:val="0"/>
      <w:marBottom w:val="0"/>
      <w:divBdr>
        <w:top w:val="none" w:sz="0" w:space="0" w:color="auto"/>
        <w:left w:val="none" w:sz="0" w:space="0" w:color="auto"/>
        <w:bottom w:val="none" w:sz="0" w:space="0" w:color="auto"/>
        <w:right w:val="none" w:sz="0" w:space="0" w:color="auto"/>
      </w:divBdr>
    </w:div>
    <w:div w:id="292250966">
      <w:bodyDiv w:val="1"/>
      <w:marLeft w:val="0"/>
      <w:marRight w:val="0"/>
      <w:marTop w:val="0"/>
      <w:marBottom w:val="0"/>
      <w:divBdr>
        <w:top w:val="none" w:sz="0" w:space="0" w:color="auto"/>
        <w:left w:val="none" w:sz="0" w:space="0" w:color="auto"/>
        <w:bottom w:val="none" w:sz="0" w:space="0" w:color="auto"/>
        <w:right w:val="none" w:sz="0" w:space="0" w:color="auto"/>
      </w:divBdr>
    </w:div>
    <w:div w:id="292254453">
      <w:bodyDiv w:val="1"/>
      <w:marLeft w:val="0"/>
      <w:marRight w:val="0"/>
      <w:marTop w:val="0"/>
      <w:marBottom w:val="0"/>
      <w:divBdr>
        <w:top w:val="none" w:sz="0" w:space="0" w:color="auto"/>
        <w:left w:val="none" w:sz="0" w:space="0" w:color="auto"/>
        <w:bottom w:val="none" w:sz="0" w:space="0" w:color="auto"/>
        <w:right w:val="none" w:sz="0" w:space="0" w:color="auto"/>
      </w:divBdr>
    </w:div>
    <w:div w:id="292440743">
      <w:bodyDiv w:val="1"/>
      <w:marLeft w:val="0"/>
      <w:marRight w:val="0"/>
      <w:marTop w:val="0"/>
      <w:marBottom w:val="0"/>
      <w:divBdr>
        <w:top w:val="none" w:sz="0" w:space="0" w:color="auto"/>
        <w:left w:val="none" w:sz="0" w:space="0" w:color="auto"/>
        <w:bottom w:val="none" w:sz="0" w:space="0" w:color="auto"/>
        <w:right w:val="none" w:sz="0" w:space="0" w:color="auto"/>
      </w:divBdr>
    </w:div>
    <w:div w:id="292562895">
      <w:bodyDiv w:val="1"/>
      <w:marLeft w:val="0"/>
      <w:marRight w:val="0"/>
      <w:marTop w:val="0"/>
      <w:marBottom w:val="0"/>
      <w:divBdr>
        <w:top w:val="none" w:sz="0" w:space="0" w:color="auto"/>
        <w:left w:val="none" w:sz="0" w:space="0" w:color="auto"/>
        <w:bottom w:val="none" w:sz="0" w:space="0" w:color="auto"/>
        <w:right w:val="none" w:sz="0" w:space="0" w:color="auto"/>
      </w:divBdr>
    </w:div>
    <w:div w:id="292757887">
      <w:bodyDiv w:val="1"/>
      <w:marLeft w:val="0"/>
      <w:marRight w:val="0"/>
      <w:marTop w:val="0"/>
      <w:marBottom w:val="0"/>
      <w:divBdr>
        <w:top w:val="none" w:sz="0" w:space="0" w:color="auto"/>
        <w:left w:val="none" w:sz="0" w:space="0" w:color="auto"/>
        <w:bottom w:val="none" w:sz="0" w:space="0" w:color="auto"/>
        <w:right w:val="none" w:sz="0" w:space="0" w:color="auto"/>
      </w:divBdr>
    </w:div>
    <w:div w:id="293144584">
      <w:bodyDiv w:val="1"/>
      <w:marLeft w:val="0"/>
      <w:marRight w:val="0"/>
      <w:marTop w:val="0"/>
      <w:marBottom w:val="0"/>
      <w:divBdr>
        <w:top w:val="none" w:sz="0" w:space="0" w:color="auto"/>
        <w:left w:val="none" w:sz="0" w:space="0" w:color="auto"/>
        <w:bottom w:val="none" w:sz="0" w:space="0" w:color="auto"/>
        <w:right w:val="none" w:sz="0" w:space="0" w:color="auto"/>
      </w:divBdr>
    </w:div>
    <w:div w:id="293608209">
      <w:bodyDiv w:val="1"/>
      <w:marLeft w:val="0"/>
      <w:marRight w:val="0"/>
      <w:marTop w:val="0"/>
      <w:marBottom w:val="0"/>
      <w:divBdr>
        <w:top w:val="none" w:sz="0" w:space="0" w:color="auto"/>
        <w:left w:val="none" w:sz="0" w:space="0" w:color="auto"/>
        <w:bottom w:val="none" w:sz="0" w:space="0" w:color="auto"/>
        <w:right w:val="none" w:sz="0" w:space="0" w:color="auto"/>
      </w:divBdr>
    </w:div>
    <w:div w:id="293799403">
      <w:bodyDiv w:val="1"/>
      <w:marLeft w:val="0"/>
      <w:marRight w:val="0"/>
      <w:marTop w:val="0"/>
      <w:marBottom w:val="0"/>
      <w:divBdr>
        <w:top w:val="none" w:sz="0" w:space="0" w:color="auto"/>
        <w:left w:val="none" w:sz="0" w:space="0" w:color="auto"/>
        <w:bottom w:val="none" w:sz="0" w:space="0" w:color="auto"/>
        <w:right w:val="none" w:sz="0" w:space="0" w:color="auto"/>
      </w:divBdr>
    </w:div>
    <w:div w:id="293995919">
      <w:bodyDiv w:val="1"/>
      <w:marLeft w:val="0"/>
      <w:marRight w:val="0"/>
      <w:marTop w:val="0"/>
      <w:marBottom w:val="0"/>
      <w:divBdr>
        <w:top w:val="none" w:sz="0" w:space="0" w:color="auto"/>
        <w:left w:val="none" w:sz="0" w:space="0" w:color="auto"/>
        <w:bottom w:val="none" w:sz="0" w:space="0" w:color="auto"/>
        <w:right w:val="none" w:sz="0" w:space="0" w:color="auto"/>
      </w:divBdr>
    </w:div>
    <w:div w:id="294064615">
      <w:bodyDiv w:val="1"/>
      <w:marLeft w:val="0"/>
      <w:marRight w:val="0"/>
      <w:marTop w:val="0"/>
      <w:marBottom w:val="0"/>
      <w:divBdr>
        <w:top w:val="none" w:sz="0" w:space="0" w:color="auto"/>
        <w:left w:val="none" w:sz="0" w:space="0" w:color="auto"/>
        <w:bottom w:val="none" w:sz="0" w:space="0" w:color="auto"/>
        <w:right w:val="none" w:sz="0" w:space="0" w:color="auto"/>
      </w:divBdr>
    </w:div>
    <w:div w:id="294071825">
      <w:bodyDiv w:val="1"/>
      <w:marLeft w:val="0"/>
      <w:marRight w:val="0"/>
      <w:marTop w:val="0"/>
      <w:marBottom w:val="0"/>
      <w:divBdr>
        <w:top w:val="none" w:sz="0" w:space="0" w:color="auto"/>
        <w:left w:val="none" w:sz="0" w:space="0" w:color="auto"/>
        <w:bottom w:val="none" w:sz="0" w:space="0" w:color="auto"/>
        <w:right w:val="none" w:sz="0" w:space="0" w:color="auto"/>
      </w:divBdr>
    </w:div>
    <w:div w:id="294340389">
      <w:bodyDiv w:val="1"/>
      <w:marLeft w:val="0"/>
      <w:marRight w:val="0"/>
      <w:marTop w:val="0"/>
      <w:marBottom w:val="0"/>
      <w:divBdr>
        <w:top w:val="none" w:sz="0" w:space="0" w:color="auto"/>
        <w:left w:val="none" w:sz="0" w:space="0" w:color="auto"/>
        <w:bottom w:val="none" w:sz="0" w:space="0" w:color="auto"/>
        <w:right w:val="none" w:sz="0" w:space="0" w:color="auto"/>
      </w:divBdr>
    </w:div>
    <w:div w:id="294453619">
      <w:bodyDiv w:val="1"/>
      <w:marLeft w:val="0"/>
      <w:marRight w:val="0"/>
      <w:marTop w:val="0"/>
      <w:marBottom w:val="0"/>
      <w:divBdr>
        <w:top w:val="none" w:sz="0" w:space="0" w:color="auto"/>
        <w:left w:val="none" w:sz="0" w:space="0" w:color="auto"/>
        <w:bottom w:val="none" w:sz="0" w:space="0" w:color="auto"/>
        <w:right w:val="none" w:sz="0" w:space="0" w:color="auto"/>
      </w:divBdr>
    </w:div>
    <w:div w:id="294453852">
      <w:bodyDiv w:val="1"/>
      <w:marLeft w:val="0"/>
      <w:marRight w:val="0"/>
      <w:marTop w:val="0"/>
      <w:marBottom w:val="0"/>
      <w:divBdr>
        <w:top w:val="none" w:sz="0" w:space="0" w:color="auto"/>
        <w:left w:val="none" w:sz="0" w:space="0" w:color="auto"/>
        <w:bottom w:val="none" w:sz="0" w:space="0" w:color="auto"/>
        <w:right w:val="none" w:sz="0" w:space="0" w:color="auto"/>
      </w:divBdr>
    </w:div>
    <w:div w:id="294606103">
      <w:bodyDiv w:val="1"/>
      <w:marLeft w:val="0"/>
      <w:marRight w:val="0"/>
      <w:marTop w:val="0"/>
      <w:marBottom w:val="0"/>
      <w:divBdr>
        <w:top w:val="none" w:sz="0" w:space="0" w:color="auto"/>
        <w:left w:val="none" w:sz="0" w:space="0" w:color="auto"/>
        <w:bottom w:val="none" w:sz="0" w:space="0" w:color="auto"/>
        <w:right w:val="none" w:sz="0" w:space="0" w:color="auto"/>
      </w:divBdr>
    </w:div>
    <w:div w:id="294608641">
      <w:bodyDiv w:val="1"/>
      <w:marLeft w:val="0"/>
      <w:marRight w:val="0"/>
      <w:marTop w:val="0"/>
      <w:marBottom w:val="0"/>
      <w:divBdr>
        <w:top w:val="none" w:sz="0" w:space="0" w:color="auto"/>
        <w:left w:val="none" w:sz="0" w:space="0" w:color="auto"/>
        <w:bottom w:val="none" w:sz="0" w:space="0" w:color="auto"/>
        <w:right w:val="none" w:sz="0" w:space="0" w:color="auto"/>
      </w:divBdr>
    </w:div>
    <w:div w:id="295112076">
      <w:bodyDiv w:val="1"/>
      <w:marLeft w:val="0"/>
      <w:marRight w:val="0"/>
      <w:marTop w:val="0"/>
      <w:marBottom w:val="0"/>
      <w:divBdr>
        <w:top w:val="none" w:sz="0" w:space="0" w:color="auto"/>
        <w:left w:val="none" w:sz="0" w:space="0" w:color="auto"/>
        <w:bottom w:val="none" w:sz="0" w:space="0" w:color="auto"/>
        <w:right w:val="none" w:sz="0" w:space="0" w:color="auto"/>
      </w:divBdr>
    </w:div>
    <w:div w:id="295141039">
      <w:bodyDiv w:val="1"/>
      <w:marLeft w:val="0"/>
      <w:marRight w:val="0"/>
      <w:marTop w:val="0"/>
      <w:marBottom w:val="0"/>
      <w:divBdr>
        <w:top w:val="none" w:sz="0" w:space="0" w:color="auto"/>
        <w:left w:val="none" w:sz="0" w:space="0" w:color="auto"/>
        <w:bottom w:val="none" w:sz="0" w:space="0" w:color="auto"/>
        <w:right w:val="none" w:sz="0" w:space="0" w:color="auto"/>
      </w:divBdr>
    </w:div>
    <w:div w:id="295378141">
      <w:bodyDiv w:val="1"/>
      <w:marLeft w:val="0"/>
      <w:marRight w:val="0"/>
      <w:marTop w:val="0"/>
      <w:marBottom w:val="0"/>
      <w:divBdr>
        <w:top w:val="none" w:sz="0" w:space="0" w:color="auto"/>
        <w:left w:val="none" w:sz="0" w:space="0" w:color="auto"/>
        <w:bottom w:val="none" w:sz="0" w:space="0" w:color="auto"/>
        <w:right w:val="none" w:sz="0" w:space="0" w:color="auto"/>
      </w:divBdr>
    </w:div>
    <w:div w:id="295641650">
      <w:bodyDiv w:val="1"/>
      <w:marLeft w:val="0"/>
      <w:marRight w:val="0"/>
      <w:marTop w:val="0"/>
      <w:marBottom w:val="0"/>
      <w:divBdr>
        <w:top w:val="none" w:sz="0" w:space="0" w:color="auto"/>
        <w:left w:val="none" w:sz="0" w:space="0" w:color="auto"/>
        <w:bottom w:val="none" w:sz="0" w:space="0" w:color="auto"/>
        <w:right w:val="none" w:sz="0" w:space="0" w:color="auto"/>
      </w:divBdr>
    </w:div>
    <w:div w:id="295649476">
      <w:bodyDiv w:val="1"/>
      <w:marLeft w:val="0"/>
      <w:marRight w:val="0"/>
      <w:marTop w:val="0"/>
      <w:marBottom w:val="0"/>
      <w:divBdr>
        <w:top w:val="none" w:sz="0" w:space="0" w:color="auto"/>
        <w:left w:val="none" w:sz="0" w:space="0" w:color="auto"/>
        <w:bottom w:val="none" w:sz="0" w:space="0" w:color="auto"/>
        <w:right w:val="none" w:sz="0" w:space="0" w:color="auto"/>
      </w:divBdr>
    </w:div>
    <w:div w:id="295718208">
      <w:bodyDiv w:val="1"/>
      <w:marLeft w:val="0"/>
      <w:marRight w:val="0"/>
      <w:marTop w:val="0"/>
      <w:marBottom w:val="0"/>
      <w:divBdr>
        <w:top w:val="none" w:sz="0" w:space="0" w:color="auto"/>
        <w:left w:val="none" w:sz="0" w:space="0" w:color="auto"/>
        <w:bottom w:val="none" w:sz="0" w:space="0" w:color="auto"/>
        <w:right w:val="none" w:sz="0" w:space="0" w:color="auto"/>
      </w:divBdr>
    </w:div>
    <w:div w:id="295792411">
      <w:bodyDiv w:val="1"/>
      <w:marLeft w:val="0"/>
      <w:marRight w:val="0"/>
      <w:marTop w:val="0"/>
      <w:marBottom w:val="0"/>
      <w:divBdr>
        <w:top w:val="none" w:sz="0" w:space="0" w:color="auto"/>
        <w:left w:val="none" w:sz="0" w:space="0" w:color="auto"/>
        <w:bottom w:val="none" w:sz="0" w:space="0" w:color="auto"/>
        <w:right w:val="none" w:sz="0" w:space="0" w:color="auto"/>
      </w:divBdr>
    </w:div>
    <w:div w:id="296183782">
      <w:bodyDiv w:val="1"/>
      <w:marLeft w:val="0"/>
      <w:marRight w:val="0"/>
      <w:marTop w:val="0"/>
      <w:marBottom w:val="0"/>
      <w:divBdr>
        <w:top w:val="none" w:sz="0" w:space="0" w:color="auto"/>
        <w:left w:val="none" w:sz="0" w:space="0" w:color="auto"/>
        <w:bottom w:val="none" w:sz="0" w:space="0" w:color="auto"/>
        <w:right w:val="none" w:sz="0" w:space="0" w:color="auto"/>
      </w:divBdr>
    </w:div>
    <w:div w:id="296184391">
      <w:bodyDiv w:val="1"/>
      <w:marLeft w:val="0"/>
      <w:marRight w:val="0"/>
      <w:marTop w:val="0"/>
      <w:marBottom w:val="0"/>
      <w:divBdr>
        <w:top w:val="none" w:sz="0" w:space="0" w:color="auto"/>
        <w:left w:val="none" w:sz="0" w:space="0" w:color="auto"/>
        <w:bottom w:val="none" w:sz="0" w:space="0" w:color="auto"/>
        <w:right w:val="none" w:sz="0" w:space="0" w:color="auto"/>
      </w:divBdr>
    </w:div>
    <w:div w:id="296227499">
      <w:bodyDiv w:val="1"/>
      <w:marLeft w:val="0"/>
      <w:marRight w:val="0"/>
      <w:marTop w:val="0"/>
      <w:marBottom w:val="0"/>
      <w:divBdr>
        <w:top w:val="none" w:sz="0" w:space="0" w:color="auto"/>
        <w:left w:val="none" w:sz="0" w:space="0" w:color="auto"/>
        <w:bottom w:val="none" w:sz="0" w:space="0" w:color="auto"/>
        <w:right w:val="none" w:sz="0" w:space="0" w:color="auto"/>
      </w:divBdr>
    </w:div>
    <w:div w:id="296422129">
      <w:bodyDiv w:val="1"/>
      <w:marLeft w:val="0"/>
      <w:marRight w:val="0"/>
      <w:marTop w:val="0"/>
      <w:marBottom w:val="0"/>
      <w:divBdr>
        <w:top w:val="none" w:sz="0" w:space="0" w:color="auto"/>
        <w:left w:val="none" w:sz="0" w:space="0" w:color="auto"/>
        <w:bottom w:val="none" w:sz="0" w:space="0" w:color="auto"/>
        <w:right w:val="none" w:sz="0" w:space="0" w:color="auto"/>
      </w:divBdr>
    </w:div>
    <w:div w:id="296423694">
      <w:bodyDiv w:val="1"/>
      <w:marLeft w:val="0"/>
      <w:marRight w:val="0"/>
      <w:marTop w:val="0"/>
      <w:marBottom w:val="0"/>
      <w:divBdr>
        <w:top w:val="none" w:sz="0" w:space="0" w:color="auto"/>
        <w:left w:val="none" w:sz="0" w:space="0" w:color="auto"/>
        <w:bottom w:val="none" w:sz="0" w:space="0" w:color="auto"/>
        <w:right w:val="none" w:sz="0" w:space="0" w:color="auto"/>
      </w:divBdr>
    </w:div>
    <w:div w:id="296567108">
      <w:bodyDiv w:val="1"/>
      <w:marLeft w:val="0"/>
      <w:marRight w:val="0"/>
      <w:marTop w:val="0"/>
      <w:marBottom w:val="0"/>
      <w:divBdr>
        <w:top w:val="none" w:sz="0" w:space="0" w:color="auto"/>
        <w:left w:val="none" w:sz="0" w:space="0" w:color="auto"/>
        <w:bottom w:val="none" w:sz="0" w:space="0" w:color="auto"/>
        <w:right w:val="none" w:sz="0" w:space="0" w:color="auto"/>
      </w:divBdr>
    </w:div>
    <w:div w:id="296569274">
      <w:bodyDiv w:val="1"/>
      <w:marLeft w:val="0"/>
      <w:marRight w:val="0"/>
      <w:marTop w:val="0"/>
      <w:marBottom w:val="0"/>
      <w:divBdr>
        <w:top w:val="none" w:sz="0" w:space="0" w:color="auto"/>
        <w:left w:val="none" w:sz="0" w:space="0" w:color="auto"/>
        <w:bottom w:val="none" w:sz="0" w:space="0" w:color="auto"/>
        <w:right w:val="none" w:sz="0" w:space="0" w:color="auto"/>
      </w:divBdr>
    </w:div>
    <w:div w:id="296643975">
      <w:bodyDiv w:val="1"/>
      <w:marLeft w:val="0"/>
      <w:marRight w:val="0"/>
      <w:marTop w:val="0"/>
      <w:marBottom w:val="0"/>
      <w:divBdr>
        <w:top w:val="none" w:sz="0" w:space="0" w:color="auto"/>
        <w:left w:val="none" w:sz="0" w:space="0" w:color="auto"/>
        <w:bottom w:val="none" w:sz="0" w:space="0" w:color="auto"/>
        <w:right w:val="none" w:sz="0" w:space="0" w:color="auto"/>
      </w:divBdr>
    </w:div>
    <w:div w:id="296647003">
      <w:bodyDiv w:val="1"/>
      <w:marLeft w:val="0"/>
      <w:marRight w:val="0"/>
      <w:marTop w:val="0"/>
      <w:marBottom w:val="0"/>
      <w:divBdr>
        <w:top w:val="none" w:sz="0" w:space="0" w:color="auto"/>
        <w:left w:val="none" w:sz="0" w:space="0" w:color="auto"/>
        <w:bottom w:val="none" w:sz="0" w:space="0" w:color="auto"/>
        <w:right w:val="none" w:sz="0" w:space="0" w:color="auto"/>
      </w:divBdr>
    </w:div>
    <w:div w:id="296690076">
      <w:bodyDiv w:val="1"/>
      <w:marLeft w:val="0"/>
      <w:marRight w:val="0"/>
      <w:marTop w:val="0"/>
      <w:marBottom w:val="0"/>
      <w:divBdr>
        <w:top w:val="none" w:sz="0" w:space="0" w:color="auto"/>
        <w:left w:val="none" w:sz="0" w:space="0" w:color="auto"/>
        <w:bottom w:val="none" w:sz="0" w:space="0" w:color="auto"/>
        <w:right w:val="none" w:sz="0" w:space="0" w:color="auto"/>
      </w:divBdr>
    </w:div>
    <w:div w:id="296690353">
      <w:bodyDiv w:val="1"/>
      <w:marLeft w:val="0"/>
      <w:marRight w:val="0"/>
      <w:marTop w:val="0"/>
      <w:marBottom w:val="0"/>
      <w:divBdr>
        <w:top w:val="none" w:sz="0" w:space="0" w:color="auto"/>
        <w:left w:val="none" w:sz="0" w:space="0" w:color="auto"/>
        <w:bottom w:val="none" w:sz="0" w:space="0" w:color="auto"/>
        <w:right w:val="none" w:sz="0" w:space="0" w:color="auto"/>
      </w:divBdr>
    </w:div>
    <w:div w:id="296952362">
      <w:bodyDiv w:val="1"/>
      <w:marLeft w:val="0"/>
      <w:marRight w:val="0"/>
      <w:marTop w:val="0"/>
      <w:marBottom w:val="0"/>
      <w:divBdr>
        <w:top w:val="none" w:sz="0" w:space="0" w:color="auto"/>
        <w:left w:val="none" w:sz="0" w:space="0" w:color="auto"/>
        <w:bottom w:val="none" w:sz="0" w:space="0" w:color="auto"/>
        <w:right w:val="none" w:sz="0" w:space="0" w:color="auto"/>
      </w:divBdr>
    </w:div>
    <w:div w:id="297029324">
      <w:bodyDiv w:val="1"/>
      <w:marLeft w:val="0"/>
      <w:marRight w:val="0"/>
      <w:marTop w:val="0"/>
      <w:marBottom w:val="0"/>
      <w:divBdr>
        <w:top w:val="none" w:sz="0" w:space="0" w:color="auto"/>
        <w:left w:val="none" w:sz="0" w:space="0" w:color="auto"/>
        <w:bottom w:val="none" w:sz="0" w:space="0" w:color="auto"/>
        <w:right w:val="none" w:sz="0" w:space="0" w:color="auto"/>
      </w:divBdr>
    </w:div>
    <w:div w:id="297148042">
      <w:bodyDiv w:val="1"/>
      <w:marLeft w:val="0"/>
      <w:marRight w:val="0"/>
      <w:marTop w:val="0"/>
      <w:marBottom w:val="0"/>
      <w:divBdr>
        <w:top w:val="none" w:sz="0" w:space="0" w:color="auto"/>
        <w:left w:val="none" w:sz="0" w:space="0" w:color="auto"/>
        <w:bottom w:val="none" w:sz="0" w:space="0" w:color="auto"/>
        <w:right w:val="none" w:sz="0" w:space="0" w:color="auto"/>
      </w:divBdr>
    </w:div>
    <w:div w:id="297493971">
      <w:bodyDiv w:val="1"/>
      <w:marLeft w:val="0"/>
      <w:marRight w:val="0"/>
      <w:marTop w:val="0"/>
      <w:marBottom w:val="0"/>
      <w:divBdr>
        <w:top w:val="none" w:sz="0" w:space="0" w:color="auto"/>
        <w:left w:val="none" w:sz="0" w:space="0" w:color="auto"/>
        <w:bottom w:val="none" w:sz="0" w:space="0" w:color="auto"/>
        <w:right w:val="none" w:sz="0" w:space="0" w:color="auto"/>
      </w:divBdr>
    </w:div>
    <w:div w:id="297496746">
      <w:bodyDiv w:val="1"/>
      <w:marLeft w:val="0"/>
      <w:marRight w:val="0"/>
      <w:marTop w:val="0"/>
      <w:marBottom w:val="0"/>
      <w:divBdr>
        <w:top w:val="none" w:sz="0" w:space="0" w:color="auto"/>
        <w:left w:val="none" w:sz="0" w:space="0" w:color="auto"/>
        <w:bottom w:val="none" w:sz="0" w:space="0" w:color="auto"/>
        <w:right w:val="none" w:sz="0" w:space="0" w:color="auto"/>
      </w:divBdr>
    </w:div>
    <w:div w:id="297498663">
      <w:bodyDiv w:val="1"/>
      <w:marLeft w:val="0"/>
      <w:marRight w:val="0"/>
      <w:marTop w:val="0"/>
      <w:marBottom w:val="0"/>
      <w:divBdr>
        <w:top w:val="none" w:sz="0" w:space="0" w:color="auto"/>
        <w:left w:val="none" w:sz="0" w:space="0" w:color="auto"/>
        <w:bottom w:val="none" w:sz="0" w:space="0" w:color="auto"/>
        <w:right w:val="none" w:sz="0" w:space="0" w:color="auto"/>
      </w:divBdr>
    </w:div>
    <w:div w:id="297498885">
      <w:bodyDiv w:val="1"/>
      <w:marLeft w:val="0"/>
      <w:marRight w:val="0"/>
      <w:marTop w:val="0"/>
      <w:marBottom w:val="0"/>
      <w:divBdr>
        <w:top w:val="none" w:sz="0" w:space="0" w:color="auto"/>
        <w:left w:val="none" w:sz="0" w:space="0" w:color="auto"/>
        <w:bottom w:val="none" w:sz="0" w:space="0" w:color="auto"/>
        <w:right w:val="none" w:sz="0" w:space="0" w:color="auto"/>
      </w:divBdr>
    </w:div>
    <w:div w:id="297564756">
      <w:bodyDiv w:val="1"/>
      <w:marLeft w:val="0"/>
      <w:marRight w:val="0"/>
      <w:marTop w:val="0"/>
      <w:marBottom w:val="0"/>
      <w:divBdr>
        <w:top w:val="none" w:sz="0" w:space="0" w:color="auto"/>
        <w:left w:val="none" w:sz="0" w:space="0" w:color="auto"/>
        <w:bottom w:val="none" w:sz="0" w:space="0" w:color="auto"/>
        <w:right w:val="none" w:sz="0" w:space="0" w:color="auto"/>
      </w:divBdr>
    </w:div>
    <w:div w:id="297691403">
      <w:bodyDiv w:val="1"/>
      <w:marLeft w:val="0"/>
      <w:marRight w:val="0"/>
      <w:marTop w:val="0"/>
      <w:marBottom w:val="0"/>
      <w:divBdr>
        <w:top w:val="none" w:sz="0" w:space="0" w:color="auto"/>
        <w:left w:val="none" w:sz="0" w:space="0" w:color="auto"/>
        <w:bottom w:val="none" w:sz="0" w:space="0" w:color="auto"/>
        <w:right w:val="none" w:sz="0" w:space="0" w:color="auto"/>
      </w:divBdr>
    </w:div>
    <w:div w:id="297802075">
      <w:bodyDiv w:val="1"/>
      <w:marLeft w:val="0"/>
      <w:marRight w:val="0"/>
      <w:marTop w:val="0"/>
      <w:marBottom w:val="0"/>
      <w:divBdr>
        <w:top w:val="none" w:sz="0" w:space="0" w:color="auto"/>
        <w:left w:val="none" w:sz="0" w:space="0" w:color="auto"/>
        <w:bottom w:val="none" w:sz="0" w:space="0" w:color="auto"/>
        <w:right w:val="none" w:sz="0" w:space="0" w:color="auto"/>
      </w:divBdr>
    </w:div>
    <w:div w:id="297885393">
      <w:bodyDiv w:val="1"/>
      <w:marLeft w:val="0"/>
      <w:marRight w:val="0"/>
      <w:marTop w:val="0"/>
      <w:marBottom w:val="0"/>
      <w:divBdr>
        <w:top w:val="none" w:sz="0" w:space="0" w:color="auto"/>
        <w:left w:val="none" w:sz="0" w:space="0" w:color="auto"/>
        <w:bottom w:val="none" w:sz="0" w:space="0" w:color="auto"/>
        <w:right w:val="none" w:sz="0" w:space="0" w:color="auto"/>
      </w:divBdr>
    </w:div>
    <w:div w:id="297952028">
      <w:bodyDiv w:val="1"/>
      <w:marLeft w:val="0"/>
      <w:marRight w:val="0"/>
      <w:marTop w:val="0"/>
      <w:marBottom w:val="0"/>
      <w:divBdr>
        <w:top w:val="none" w:sz="0" w:space="0" w:color="auto"/>
        <w:left w:val="none" w:sz="0" w:space="0" w:color="auto"/>
        <w:bottom w:val="none" w:sz="0" w:space="0" w:color="auto"/>
        <w:right w:val="none" w:sz="0" w:space="0" w:color="auto"/>
      </w:divBdr>
    </w:div>
    <w:div w:id="297955683">
      <w:bodyDiv w:val="1"/>
      <w:marLeft w:val="0"/>
      <w:marRight w:val="0"/>
      <w:marTop w:val="0"/>
      <w:marBottom w:val="0"/>
      <w:divBdr>
        <w:top w:val="none" w:sz="0" w:space="0" w:color="auto"/>
        <w:left w:val="none" w:sz="0" w:space="0" w:color="auto"/>
        <w:bottom w:val="none" w:sz="0" w:space="0" w:color="auto"/>
        <w:right w:val="none" w:sz="0" w:space="0" w:color="auto"/>
      </w:divBdr>
    </w:div>
    <w:div w:id="298071958">
      <w:bodyDiv w:val="1"/>
      <w:marLeft w:val="0"/>
      <w:marRight w:val="0"/>
      <w:marTop w:val="0"/>
      <w:marBottom w:val="0"/>
      <w:divBdr>
        <w:top w:val="none" w:sz="0" w:space="0" w:color="auto"/>
        <w:left w:val="none" w:sz="0" w:space="0" w:color="auto"/>
        <w:bottom w:val="none" w:sz="0" w:space="0" w:color="auto"/>
        <w:right w:val="none" w:sz="0" w:space="0" w:color="auto"/>
      </w:divBdr>
    </w:div>
    <w:div w:id="298073252">
      <w:bodyDiv w:val="1"/>
      <w:marLeft w:val="0"/>
      <w:marRight w:val="0"/>
      <w:marTop w:val="0"/>
      <w:marBottom w:val="0"/>
      <w:divBdr>
        <w:top w:val="none" w:sz="0" w:space="0" w:color="auto"/>
        <w:left w:val="none" w:sz="0" w:space="0" w:color="auto"/>
        <w:bottom w:val="none" w:sz="0" w:space="0" w:color="auto"/>
        <w:right w:val="none" w:sz="0" w:space="0" w:color="auto"/>
      </w:divBdr>
    </w:div>
    <w:div w:id="298191391">
      <w:bodyDiv w:val="1"/>
      <w:marLeft w:val="0"/>
      <w:marRight w:val="0"/>
      <w:marTop w:val="0"/>
      <w:marBottom w:val="0"/>
      <w:divBdr>
        <w:top w:val="none" w:sz="0" w:space="0" w:color="auto"/>
        <w:left w:val="none" w:sz="0" w:space="0" w:color="auto"/>
        <w:bottom w:val="none" w:sz="0" w:space="0" w:color="auto"/>
        <w:right w:val="none" w:sz="0" w:space="0" w:color="auto"/>
      </w:divBdr>
    </w:div>
    <w:div w:id="298220830">
      <w:bodyDiv w:val="1"/>
      <w:marLeft w:val="0"/>
      <w:marRight w:val="0"/>
      <w:marTop w:val="0"/>
      <w:marBottom w:val="0"/>
      <w:divBdr>
        <w:top w:val="none" w:sz="0" w:space="0" w:color="auto"/>
        <w:left w:val="none" w:sz="0" w:space="0" w:color="auto"/>
        <w:bottom w:val="none" w:sz="0" w:space="0" w:color="auto"/>
        <w:right w:val="none" w:sz="0" w:space="0" w:color="auto"/>
      </w:divBdr>
    </w:div>
    <w:div w:id="298340599">
      <w:bodyDiv w:val="1"/>
      <w:marLeft w:val="0"/>
      <w:marRight w:val="0"/>
      <w:marTop w:val="0"/>
      <w:marBottom w:val="0"/>
      <w:divBdr>
        <w:top w:val="none" w:sz="0" w:space="0" w:color="auto"/>
        <w:left w:val="none" w:sz="0" w:space="0" w:color="auto"/>
        <w:bottom w:val="none" w:sz="0" w:space="0" w:color="auto"/>
        <w:right w:val="none" w:sz="0" w:space="0" w:color="auto"/>
      </w:divBdr>
    </w:div>
    <w:div w:id="298413517">
      <w:bodyDiv w:val="1"/>
      <w:marLeft w:val="0"/>
      <w:marRight w:val="0"/>
      <w:marTop w:val="0"/>
      <w:marBottom w:val="0"/>
      <w:divBdr>
        <w:top w:val="none" w:sz="0" w:space="0" w:color="auto"/>
        <w:left w:val="none" w:sz="0" w:space="0" w:color="auto"/>
        <w:bottom w:val="none" w:sz="0" w:space="0" w:color="auto"/>
        <w:right w:val="none" w:sz="0" w:space="0" w:color="auto"/>
      </w:divBdr>
    </w:div>
    <w:div w:id="298461320">
      <w:bodyDiv w:val="1"/>
      <w:marLeft w:val="0"/>
      <w:marRight w:val="0"/>
      <w:marTop w:val="0"/>
      <w:marBottom w:val="0"/>
      <w:divBdr>
        <w:top w:val="none" w:sz="0" w:space="0" w:color="auto"/>
        <w:left w:val="none" w:sz="0" w:space="0" w:color="auto"/>
        <w:bottom w:val="none" w:sz="0" w:space="0" w:color="auto"/>
        <w:right w:val="none" w:sz="0" w:space="0" w:color="auto"/>
      </w:divBdr>
    </w:div>
    <w:div w:id="298654972">
      <w:bodyDiv w:val="1"/>
      <w:marLeft w:val="0"/>
      <w:marRight w:val="0"/>
      <w:marTop w:val="0"/>
      <w:marBottom w:val="0"/>
      <w:divBdr>
        <w:top w:val="none" w:sz="0" w:space="0" w:color="auto"/>
        <w:left w:val="none" w:sz="0" w:space="0" w:color="auto"/>
        <w:bottom w:val="none" w:sz="0" w:space="0" w:color="auto"/>
        <w:right w:val="none" w:sz="0" w:space="0" w:color="auto"/>
      </w:divBdr>
    </w:div>
    <w:div w:id="298726398">
      <w:bodyDiv w:val="1"/>
      <w:marLeft w:val="0"/>
      <w:marRight w:val="0"/>
      <w:marTop w:val="0"/>
      <w:marBottom w:val="0"/>
      <w:divBdr>
        <w:top w:val="none" w:sz="0" w:space="0" w:color="auto"/>
        <w:left w:val="none" w:sz="0" w:space="0" w:color="auto"/>
        <w:bottom w:val="none" w:sz="0" w:space="0" w:color="auto"/>
        <w:right w:val="none" w:sz="0" w:space="0" w:color="auto"/>
      </w:divBdr>
    </w:div>
    <w:div w:id="298732527">
      <w:bodyDiv w:val="1"/>
      <w:marLeft w:val="0"/>
      <w:marRight w:val="0"/>
      <w:marTop w:val="0"/>
      <w:marBottom w:val="0"/>
      <w:divBdr>
        <w:top w:val="none" w:sz="0" w:space="0" w:color="auto"/>
        <w:left w:val="none" w:sz="0" w:space="0" w:color="auto"/>
        <w:bottom w:val="none" w:sz="0" w:space="0" w:color="auto"/>
        <w:right w:val="none" w:sz="0" w:space="0" w:color="auto"/>
      </w:divBdr>
    </w:div>
    <w:div w:id="298802437">
      <w:bodyDiv w:val="1"/>
      <w:marLeft w:val="0"/>
      <w:marRight w:val="0"/>
      <w:marTop w:val="0"/>
      <w:marBottom w:val="0"/>
      <w:divBdr>
        <w:top w:val="none" w:sz="0" w:space="0" w:color="auto"/>
        <w:left w:val="none" w:sz="0" w:space="0" w:color="auto"/>
        <w:bottom w:val="none" w:sz="0" w:space="0" w:color="auto"/>
        <w:right w:val="none" w:sz="0" w:space="0" w:color="auto"/>
      </w:divBdr>
    </w:div>
    <w:div w:id="298845472">
      <w:bodyDiv w:val="1"/>
      <w:marLeft w:val="0"/>
      <w:marRight w:val="0"/>
      <w:marTop w:val="0"/>
      <w:marBottom w:val="0"/>
      <w:divBdr>
        <w:top w:val="none" w:sz="0" w:space="0" w:color="auto"/>
        <w:left w:val="none" w:sz="0" w:space="0" w:color="auto"/>
        <w:bottom w:val="none" w:sz="0" w:space="0" w:color="auto"/>
        <w:right w:val="none" w:sz="0" w:space="0" w:color="auto"/>
      </w:divBdr>
    </w:div>
    <w:div w:id="299000940">
      <w:bodyDiv w:val="1"/>
      <w:marLeft w:val="0"/>
      <w:marRight w:val="0"/>
      <w:marTop w:val="0"/>
      <w:marBottom w:val="0"/>
      <w:divBdr>
        <w:top w:val="none" w:sz="0" w:space="0" w:color="auto"/>
        <w:left w:val="none" w:sz="0" w:space="0" w:color="auto"/>
        <w:bottom w:val="none" w:sz="0" w:space="0" w:color="auto"/>
        <w:right w:val="none" w:sz="0" w:space="0" w:color="auto"/>
      </w:divBdr>
    </w:div>
    <w:div w:id="299042664">
      <w:bodyDiv w:val="1"/>
      <w:marLeft w:val="0"/>
      <w:marRight w:val="0"/>
      <w:marTop w:val="0"/>
      <w:marBottom w:val="0"/>
      <w:divBdr>
        <w:top w:val="none" w:sz="0" w:space="0" w:color="auto"/>
        <w:left w:val="none" w:sz="0" w:space="0" w:color="auto"/>
        <w:bottom w:val="none" w:sz="0" w:space="0" w:color="auto"/>
        <w:right w:val="none" w:sz="0" w:space="0" w:color="auto"/>
      </w:divBdr>
    </w:div>
    <w:div w:id="299043401">
      <w:bodyDiv w:val="1"/>
      <w:marLeft w:val="0"/>
      <w:marRight w:val="0"/>
      <w:marTop w:val="0"/>
      <w:marBottom w:val="0"/>
      <w:divBdr>
        <w:top w:val="none" w:sz="0" w:space="0" w:color="auto"/>
        <w:left w:val="none" w:sz="0" w:space="0" w:color="auto"/>
        <w:bottom w:val="none" w:sz="0" w:space="0" w:color="auto"/>
        <w:right w:val="none" w:sz="0" w:space="0" w:color="auto"/>
      </w:divBdr>
    </w:div>
    <w:div w:id="299189350">
      <w:bodyDiv w:val="1"/>
      <w:marLeft w:val="0"/>
      <w:marRight w:val="0"/>
      <w:marTop w:val="0"/>
      <w:marBottom w:val="0"/>
      <w:divBdr>
        <w:top w:val="none" w:sz="0" w:space="0" w:color="auto"/>
        <w:left w:val="none" w:sz="0" w:space="0" w:color="auto"/>
        <w:bottom w:val="none" w:sz="0" w:space="0" w:color="auto"/>
        <w:right w:val="none" w:sz="0" w:space="0" w:color="auto"/>
      </w:divBdr>
    </w:div>
    <w:div w:id="299305841">
      <w:bodyDiv w:val="1"/>
      <w:marLeft w:val="0"/>
      <w:marRight w:val="0"/>
      <w:marTop w:val="0"/>
      <w:marBottom w:val="0"/>
      <w:divBdr>
        <w:top w:val="none" w:sz="0" w:space="0" w:color="auto"/>
        <w:left w:val="none" w:sz="0" w:space="0" w:color="auto"/>
        <w:bottom w:val="none" w:sz="0" w:space="0" w:color="auto"/>
        <w:right w:val="none" w:sz="0" w:space="0" w:color="auto"/>
      </w:divBdr>
    </w:div>
    <w:div w:id="299309227">
      <w:bodyDiv w:val="1"/>
      <w:marLeft w:val="0"/>
      <w:marRight w:val="0"/>
      <w:marTop w:val="0"/>
      <w:marBottom w:val="0"/>
      <w:divBdr>
        <w:top w:val="none" w:sz="0" w:space="0" w:color="auto"/>
        <w:left w:val="none" w:sz="0" w:space="0" w:color="auto"/>
        <w:bottom w:val="none" w:sz="0" w:space="0" w:color="auto"/>
        <w:right w:val="none" w:sz="0" w:space="0" w:color="auto"/>
      </w:divBdr>
    </w:div>
    <w:div w:id="299381136">
      <w:bodyDiv w:val="1"/>
      <w:marLeft w:val="0"/>
      <w:marRight w:val="0"/>
      <w:marTop w:val="0"/>
      <w:marBottom w:val="0"/>
      <w:divBdr>
        <w:top w:val="none" w:sz="0" w:space="0" w:color="auto"/>
        <w:left w:val="none" w:sz="0" w:space="0" w:color="auto"/>
        <w:bottom w:val="none" w:sz="0" w:space="0" w:color="auto"/>
        <w:right w:val="none" w:sz="0" w:space="0" w:color="auto"/>
      </w:divBdr>
    </w:div>
    <w:div w:id="299847132">
      <w:bodyDiv w:val="1"/>
      <w:marLeft w:val="0"/>
      <w:marRight w:val="0"/>
      <w:marTop w:val="0"/>
      <w:marBottom w:val="0"/>
      <w:divBdr>
        <w:top w:val="none" w:sz="0" w:space="0" w:color="auto"/>
        <w:left w:val="none" w:sz="0" w:space="0" w:color="auto"/>
        <w:bottom w:val="none" w:sz="0" w:space="0" w:color="auto"/>
        <w:right w:val="none" w:sz="0" w:space="0" w:color="auto"/>
      </w:divBdr>
    </w:div>
    <w:div w:id="300114637">
      <w:bodyDiv w:val="1"/>
      <w:marLeft w:val="0"/>
      <w:marRight w:val="0"/>
      <w:marTop w:val="0"/>
      <w:marBottom w:val="0"/>
      <w:divBdr>
        <w:top w:val="none" w:sz="0" w:space="0" w:color="auto"/>
        <w:left w:val="none" w:sz="0" w:space="0" w:color="auto"/>
        <w:bottom w:val="none" w:sz="0" w:space="0" w:color="auto"/>
        <w:right w:val="none" w:sz="0" w:space="0" w:color="auto"/>
      </w:divBdr>
    </w:div>
    <w:div w:id="300426398">
      <w:bodyDiv w:val="1"/>
      <w:marLeft w:val="0"/>
      <w:marRight w:val="0"/>
      <w:marTop w:val="0"/>
      <w:marBottom w:val="0"/>
      <w:divBdr>
        <w:top w:val="none" w:sz="0" w:space="0" w:color="auto"/>
        <w:left w:val="none" w:sz="0" w:space="0" w:color="auto"/>
        <w:bottom w:val="none" w:sz="0" w:space="0" w:color="auto"/>
        <w:right w:val="none" w:sz="0" w:space="0" w:color="auto"/>
      </w:divBdr>
    </w:div>
    <w:div w:id="300615850">
      <w:bodyDiv w:val="1"/>
      <w:marLeft w:val="0"/>
      <w:marRight w:val="0"/>
      <w:marTop w:val="0"/>
      <w:marBottom w:val="0"/>
      <w:divBdr>
        <w:top w:val="none" w:sz="0" w:space="0" w:color="auto"/>
        <w:left w:val="none" w:sz="0" w:space="0" w:color="auto"/>
        <w:bottom w:val="none" w:sz="0" w:space="0" w:color="auto"/>
        <w:right w:val="none" w:sz="0" w:space="0" w:color="auto"/>
      </w:divBdr>
    </w:div>
    <w:div w:id="300621235">
      <w:bodyDiv w:val="1"/>
      <w:marLeft w:val="0"/>
      <w:marRight w:val="0"/>
      <w:marTop w:val="0"/>
      <w:marBottom w:val="0"/>
      <w:divBdr>
        <w:top w:val="none" w:sz="0" w:space="0" w:color="auto"/>
        <w:left w:val="none" w:sz="0" w:space="0" w:color="auto"/>
        <w:bottom w:val="none" w:sz="0" w:space="0" w:color="auto"/>
        <w:right w:val="none" w:sz="0" w:space="0" w:color="auto"/>
      </w:divBdr>
    </w:div>
    <w:div w:id="300887665">
      <w:bodyDiv w:val="1"/>
      <w:marLeft w:val="0"/>
      <w:marRight w:val="0"/>
      <w:marTop w:val="0"/>
      <w:marBottom w:val="0"/>
      <w:divBdr>
        <w:top w:val="none" w:sz="0" w:space="0" w:color="auto"/>
        <w:left w:val="none" w:sz="0" w:space="0" w:color="auto"/>
        <w:bottom w:val="none" w:sz="0" w:space="0" w:color="auto"/>
        <w:right w:val="none" w:sz="0" w:space="0" w:color="auto"/>
      </w:divBdr>
    </w:div>
    <w:div w:id="300960620">
      <w:bodyDiv w:val="1"/>
      <w:marLeft w:val="0"/>
      <w:marRight w:val="0"/>
      <w:marTop w:val="0"/>
      <w:marBottom w:val="0"/>
      <w:divBdr>
        <w:top w:val="none" w:sz="0" w:space="0" w:color="auto"/>
        <w:left w:val="none" w:sz="0" w:space="0" w:color="auto"/>
        <w:bottom w:val="none" w:sz="0" w:space="0" w:color="auto"/>
        <w:right w:val="none" w:sz="0" w:space="0" w:color="auto"/>
      </w:divBdr>
    </w:div>
    <w:div w:id="300964736">
      <w:bodyDiv w:val="1"/>
      <w:marLeft w:val="0"/>
      <w:marRight w:val="0"/>
      <w:marTop w:val="0"/>
      <w:marBottom w:val="0"/>
      <w:divBdr>
        <w:top w:val="none" w:sz="0" w:space="0" w:color="auto"/>
        <w:left w:val="none" w:sz="0" w:space="0" w:color="auto"/>
        <w:bottom w:val="none" w:sz="0" w:space="0" w:color="auto"/>
        <w:right w:val="none" w:sz="0" w:space="0" w:color="auto"/>
      </w:divBdr>
    </w:div>
    <w:div w:id="301428713">
      <w:bodyDiv w:val="1"/>
      <w:marLeft w:val="0"/>
      <w:marRight w:val="0"/>
      <w:marTop w:val="0"/>
      <w:marBottom w:val="0"/>
      <w:divBdr>
        <w:top w:val="none" w:sz="0" w:space="0" w:color="auto"/>
        <w:left w:val="none" w:sz="0" w:space="0" w:color="auto"/>
        <w:bottom w:val="none" w:sz="0" w:space="0" w:color="auto"/>
        <w:right w:val="none" w:sz="0" w:space="0" w:color="auto"/>
      </w:divBdr>
    </w:div>
    <w:div w:id="301665836">
      <w:bodyDiv w:val="1"/>
      <w:marLeft w:val="0"/>
      <w:marRight w:val="0"/>
      <w:marTop w:val="0"/>
      <w:marBottom w:val="0"/>
      <w:divBdr>
        <w:top w:val="none" w:sz="0" w:space="0" w:color="auto"/>
        <w:left w:val="none" w:sz="0" w:space="0" w:color="auto"/>
        <w:bottom w:val="none" w:sz="0" w:space="0" w:color="auto"/>
        <w:right w:val="none" w:sz="0" w:space="0" w:color="auto"/>
      </w:divBdr>
    </w:div>
    <w:div w:id="301807469">
      <w:bodyDiv w:val="1"/>
      <w:marLeft w:val="0"/>
      <w:marRight w:val="0"/>
      <w:marTop w:val="0"/>
      <w:marBottom w:val="0"/>
      <w:divBdr>
        <w:top w:val="none" w:sz="0" w:space="0" w:color="auto"/>
        <w:left w:val="none" w:sz="0" w:space="0" w:color="auto"/>
        <w:bottom w:val="none" w:sz="0" w:space="0" w:color="auto"/>
        <w:right w:val="none" w:sz="0" w:space="0" w:color="auto"/>
      </w:divBdr>
    </w:div>
    <w:div w:id="301890710">
      <w:bodyDiv w:val="1"/>
      <w:marLeft w:val="0"/>
      <w:marRight w:val="0"/>
      <w:marTop w:val="0"/>
      <w:marBottom w:val="0"/>
      <w:divBdr>
        <w:top w:val="none" w:sz="0" w:space="0" w:color="auto"/>
        <w:left w:val="none" w:sz="0" w:space="0" w:color="auto"/>
        <w:bottom w:val="none" w:sz="0" w:space="0" w:color="auto"/>
        <w:right w:val="none" w:sz="0" w:space="0" w:color="auto"/>
      </w:divBdr>
    </w:div>
    <w:div w:id="302083549">
      <w:bodyDiv w:val="1"/>
      <w:marLeft w:val="0"/>
      <w:marRight w:val="0"/>
      <w:marTop w:val="0"/>
      <w:marBottom w:val="0"/>
      <w:divBdr>
        <w:top w:val="none" w:sz="0" w:space="0" w:color="auto"/>
        <w:left w:val="none" w:sz="0" w:space="0" w:color="auto"/>
        <w:bottom w:val="none" w:sz="0" w:space="0" w:color="auto"/>
        <w:right w:val="none" w:sz="0" w:space="0" w:color="auto"/>
      </w:divBdr>
    </w:div>
    <w:div w:id="302085063">
      <w:bodyDiv w:val="1"/>
      <w:marLeft w:val="0"/>
      <w:marRight w:val="0"/>
      <w:marTop w:val="0"/>
      <w:marBottom w:val="0"/>
      <w:divBdr>
        <w:top w:val="none" w:sz="0" w:space="0" w:color="auto"/>
        <w:left w:val="none" w:sz="0" w:space="0" w:color="auto"/>
        <w:bottom w:val="none" w:sz="0" w:space="0" w:color="auto"/>
        <w:right w:val="none" w:sz="0" w:space="0" w:color="auto"/>
      </w:divBdr>
    </w:div>
    <w:div w:id="302196471">
      <w:bodyDiv w:val="1"/>
      <w:marLeft w:val="0"/>
      <w:marRight w:val="0"/>
      <w:marTop w:val="0"/>
      <w:marBottom w:val="0"/>
      <w:divBdr>
        <w:top w:val="none" w:sz="0" w:space="0" w:color="auto"/>
        <w:left w:val="none" w:sz="0" w:space="0" w:color="auto"/>
        <w:bottom w:val="none" w:sz="0" w:space="0" w:color="auto"/>
        <w:right w:val="none" w:sz="0" w:space="0" w:color="auto"/>
      </w:divBdr>
    </w:div>
    <w:div w:id="302202198">
      <w:bodyDiv w:val="1"/>
      <w:marLeft w:val="0"/>
      <w:marRight w:val="0"/>
      <w:marTop w:val="0"/>
      <w:marBottom w:val="0"/>
      <w:divBdr>
        <w:top w:val="none" w:sz="0" w:space="0" w:color="auto"/>
        <w:left w:val="none" w:sz="0" w:space="0" w:color="auto"/>
        <w:bottom w:val="none" w:sz="0" w:space="0" w:color="auto"/>
        <w:right w:val="none" w:sz="0" w:space="0" w:color="auto"/>
      </w:divBdr>
    </w:div>
    <w:div w:id="302202921">
      <w:bodyDiv w:val="1"/>
      <w:marLeft w:val="0"/>
      <w:marRight w:val="0"/>
      <w:marTop w:val="0"/>
      <w:marBottom w:val="0"/>
      <w:divBdr>
        <w:top w:val="none" w:sz="0" w:space="0" w:color="auto"/>
        <w:left w:val="none" w:sz="0" w:space="0" w:color="auto"/>
        <w:bottom w:val="none" w:sz="0" w:space="0" w:color="auto"/>
        <w:right w:val="none" w:sz="0" w:space="0" w:color="auto"/>
      </w:divBdr>
    </w:div>
    <w:div w:id="302393358">
      <w:bodyDiv w:val="1"/>
      <w:marLeft w:val="0"/>
      <w:marRight w:val="0"/>
      <w:marTop w:val="0"/>
      <w:marBottom w:val="0"/>
      <w:divBdr>
        <w:top w:val="none" w:sz="0" w:space="0" w:color="auto"/>
        <w:left w:val="none" w:sz="0" w:space="0" w:color="auto"/>
        <w:bottom w:val="none" w:sz="0" w:space="0" w:color="auto"/>
        <w:right w:val="none" w:sz="0" w:space="0" w:color="auto"/>
      </w:divBdr>
    </w:div>
    <w:div w:id="302467215">
      <w:bodyDiv w:val="1"/>
      <w:marLeft w:val="0"/>
      <w:marRight w:val="0"/>
      <w:marTop w:val="0"/>
      <w:marBottom w:val="0"/>
      <w:divBdr>
        <w:top w:val="none" w:sz="0" w:space="0" w:color="auto"/>
        <w:left w:val="none" w:sz="0" w:space="0" w:color="auto"/>
        <w:bottom w:val="none" w:sz="0" w:space="0" w:color="auto"/>
        <w:right w:val="none" w:sz="0" w:space="0" w:color="auto"/>
      </w:divBdr>
    </w:div>
    <w:div w:id="302469248">
      <w:bodyDiv w:val="1"/>
      <w:marLeft w:val="0"/>
      <w:marRight w:val="0"/>
      <w:marTop w:val="0"/>
      <w:marBottom w:val="0"/>
      <w:divBdr>
        <w:top w:val="none" w:sz="0" w:space="0" w:color="auto"/>
        <w:left w:val="none" w:sz="0" w:space="0" w:color="auto"/>
        <w:bottom w:val="none" w:sz="0" w:space="0" w:color="auto"/>
        <w:right w:val="none" w:sz="0" w:space="0" w:color="auto"/>
      </w:divBdr>
    </w:div>
    <w:div w:id="302469371">
      <w:bodyDiv w:val="1"/>
      <w:marLeft w:val="0"/>
      <w:marRight w:val="0"/>
      <w:marTop w:val="0"/>
      <w:marBottom w:val="0"/>
      <w:divBdr>
        <w:top w:val="none" w:sz="0" w:space="0" w:color="auto"/>
        <w:left w:val="none" w:sz="0" w:space="0" w:color="auto"/>
        <w:bottom w:val="none" w:sz="0" w:space="0" w:color="auto"/>
        <w:right w:val="none" w:sz="0" w:space="0" w:color="auto"/>
      </w:divBdr>
    </w:div>
    <w:div w:id="302584295">
      <w:bodyDiv w:val="1"/>
      <w:marLeft w:val="0"/>
      <w:marRight w:val="0"/>
      <w:marTop w:val="0"/>
      <w:marBottom w:val="0"/>
      <w:divBdr>
        <w:top w:val="none" w:sz="0" w:space="0" w:color="auto"/>
        <w:left w:val="none" w:sz="0" w:space="0" w:color="auto"/>
        <w:bottom w:val="none" w:sz="0" w:space="0" w:color="auto"/>
        <w:right w:val="none" w:sz="0" w:space="0" w:color="auto"/>
      </w:divBdr>
    </w:div>
    <w:div w:id="302588781">
      <w:bodyDiv w:val="1"/>
      <w:marLeft w:val="0"/>
      <w:marRight w:val="0"/>
      <w:marTop w:val="0"/>
      <w:marBottom w:val="0"/>
      <w:divBdr>
        <w:top w:val="none" w:sz="0" w:space="0" w:color="auto"/>
        <w:left w:val="none" w:sz="0" w:space="0" w:color="auto"/>
        <w:bottom w:val="none" w:sz="0" w:space="0" w:color="auto"/>
        <w:right w:val="none" w:sz="0" w:space="0" w:color="auto"/>
      </w:divBdr>
    </w:div>
    <w:div w:id="302664766">
      <w:bodyDiv w:val="1"/>
      <w:marLeft w:val="0"/>
      <w:marRight w:val="0"/>
      <w:marTop w:val="0"/>
      <w:marBottom w:val="0"/>
      <w:divBdr>
        <w:top w:val="none" w:sz="0" w:space="0" w:color="auto"/>
        <w:left w:val="none" w:sz="0" w:space="0" w:color="auto"/>
        <w:bottom w:val="none" w:sz="0" w:space="0" w:color="auto"/>
        <w:right w:val="none" w:sz="0" w:space="0" w:color="auto"/>
      </w:divBdr>
    </w:div>
    <w:div w:id="302776549">
      <w:bodyDiv w:val="1"/>
      <w:marLeft w:val="0"/>
      <w:marRight w:val="0"/>
      <w:marTop w:val="0"/>
      <w:marBottom w:val="0"/>
      <w:divBdr>
        <w:top w:val="none" w:sz="0" w:space="0" w:color="auto"/>
        <w:left w:val="none" w:sz="0" w:space="0" w:color="auto"/>
        <w:bottom w:val="none" w:sz="0" w:space="0" w:color="auto"/>
        <w:right w:val="none" w:sz="0" w:space="0" w:color="auto"/>
      </w:divBdr>
    </w:div>
    <w:div w:id="303046905">
      <w:bodyDiv w:val="1"/>
      <w:marLeft w:val="0"/>
      <w:marRight w:val="0"/>
      <w:marTop w:val="0"/>
      <w:marBottom w:val="0"/>
      <w:divBdr>
        <w:top w:val="none" w:sz="0" w:space="0" w:color="auto"/>
        <w:left w:val="none" w:sz="0" w:space="0" w:color="auto"/>
        <w:bottom w:val="none" w:sz="0" w:space="0" w:color="auto"/>
        <w:right w:val="none" w:sz="0" w:space="0" w:color="auto"/>
      </w:divBdr>
    </w:div>
    <w:div w:id="303243261">
      <w:bodyDiv w:val="1"/>
      <w:marLeft w:val="0"/>
      <w:marRight w:val="0"/>
      <w:marTop w:val="0"/>
      <w:marBottom w:val="0"/>
      <w:divBdr>
        <w:top w:val="none" w:sz="0" w:space="0" w:color="auto"/>
        <w:left w:val="none" w:sz="0" w:space="0" w:color="auto"/>
        <w:bottom w:val="none" w:sz="0" w:space="0" w:color="auto"/>
        <w:right w:val="none" w:sz="0" w:space="0" w:color="auto"/>
      </w:divBdr>
    </w:div>
    <w:div w:id="303313949">
      <w:bodyDiv w:val="1"/>
      <w:marLeft w:val="0"/>
      <w:marRight w:val="0"/>
      <w:marTop w:val="0"/>
      <w:marBottom w:val="0"/>
      <w:divBdr>
        <w:top w:val="none" w:sz="0" w:space="0" w:color="auto"/>
        <w:left w:val="none" w:sz="0" w:space="0" w:color="auto"/>
        <w:bottom w:val="none" w:sz="0" w:space="0" w:color="auto"/>
        <w:right w:val="none" w:sz="0" w:space="0" w:color="auto"/>
      </w:divBdr>
    </w:div>
    <w:div w:id="303316079">
      <w:bodyDiv w:val="1"/>
      <w:marLeft w:val="0"/>
      <w:marRight w:val="0"/>
      <w:marTop w:val="0"/>
      <w:marBottom w:val="0"/>
      <w:divBdr>
        <w:top w:val="none" w:sz="0" w:space="0" w:color="auto"/>
        <w:left w:val="none" w:sz="0" w:space="0" w:color="auto"/>
        <w:bottom w:val="none" w:sz="0" w:space="0" w:color="auto"/>
        <w:right w:val="none" w:sz="0" w:space="0" w:color="auto"/>
      </w:divBdr>
    </w:div>
    <w:div w:id="303387538">
      <w:bodyDiv w:val="1"/>
      <w:marLeft w:val="0"/>
      <w:marRight w:val="0"/>
      <w:marTop w:val="0"/>
      <w:marBottom w:val="0"/>
      <w:divBdr>
        <w:top w:val="none" w:sz="0" w:space="0" w:color="auto"/>
        <w:left w:val="none" w:sz="0" w:space="0" w:color="auto"/>
        <w:bottom w:val="none" w:sz="0" w:space="0" w:color="auto"/>
        <w:right w:val="none" w:sz="0" w:space="0" w:color="auto"/>
      </w:divBdr>
    </w:div>
    <w:div w:id="303778647">
      <w:bodyDiv w:val="1"/>
      <w:marLeft w:val="0"/>
      <w:marRight w:val="0"/>
      <w:marTop w:val="0"/>
      <w:marBottom w:val="0"/>
      <w:divBdr>
        <w:top w:val="none" w:sz="0" w:space="0" w:color="auto"/>
        <w:left w:val="none" w:sz="0" w:space="0" w:color="auto"/>
        <w:bottom w:val="none" w:sz="0" w:space="0" w:color="auto"/>
        <w:right w:val="none" w:sz="0" w:space="0" w:color="auto"/>
      </w:divBdr>
    </w:div>
    <w:div w:id="303850845">
      <w:bodyDiv w:val="1"/>
      <w:marLeft w:val="0"/>
      <w:marRight w:val="0"/>
      <w:marTop w:val="0"/>
      <w:marBottom w:val="0"/>
      <w:divBdr>
        <w:top w:val="none" w:sz="0" w:space="0" w:color="auto"/>
        <w:left w:val="none" w:sz="0" w:space="0" w:color="auto"/>
        <w:bottom w:val="none" w:sz="0" w:space="0" w:color="auto"/>
        <w:right w:val="none" w:sz="0" w:space="0" w:color="auto"/>
      </w:divBdr>
    </w:div>
    <w:div w:id="304049667">
      <w:bodyDiv w:val="1"/>
      <w:marLeft w:val="0"/>
      <w:marRight w:val="0"/>
      <w:marTop w:val="0"/>
      <w:marBottom w:val="0"/>
      <w:divBdr>
        <w:top w:val="none" w:sz="0" w:space="0" w:color="auto"/>
        <w:left w:val="none" w:sz="0" w:space="0" w:color="auto"/>
        <w:bottom w:val="none" w:sz="0" w:space="0" w:color="auto"/>
        <w:right w:val="none" w:sz="0" w:space="0" w:color="auto"/>
      </w:divBdr>
    </w:div>
    <w:div w:id="304090336">
      <w:bodyDiv w:val="1"/>
      <w:marLeft w:val="0"/>
      <w:marRight w:val="0"/>
      <w:marTop w:val="0"/>
      <w:marBottom w:val="0"/>
      <w:divBdr>
        <w:top w:val="none" w:sz="0" w:space="0" w:color="auto"/>
        <w:left w:val="none" w:sz="0" w:space="0" w:color="auto"/>
        <w:bottom w:val="none" w:sz="0" w:space="0" w:color="auto"/>
        <w:right w:val="none" w:sz="0" w:space="0" w:color="auto"/>
      </w:divBdr>
    </w:div>
    <w:div w:id="304313951">
      <w:bodyDiv w:val="1"/>
      <w:marLeft w:val="0"/>
      <w:marRight w:val="0"/>
      <w:marTop w:val="0"/>
      <w:marBottom w:val="0"/>
      <w:divBdr>
        <w:top w:val="none" w:sz="0" w:space="0" w:color="auto"/>
        <w:left w:val="none" w:sz="0" w:space="0" w:color="auto"/>
        <w:bottom w:val="none" w:sz="0" w:space="0" w:color="auto"/>
        <w:right w:val="none" w:sz="0" w:space="0" w:color="auto"/>
      </w:divBdr>
    </w:div>
    <w:div w:id="304360753">
      <w:bodyDiv w:val="1"/>
      <w:marLeft w:val="0"/>
      <w:marRight w:val="0"/>
      <w:marTop w:val="0"/>
      <w:marBottom w:val="0"/>
      <w:divBdr>
        <w:top w:val="none" w:sz="0" w:space="0" w:color="auto"/>
        <w:left w:val="none" w:sz="0" w:space="0" w:color="auto"/>
        <w:bottom w:val="none" w:sz="0" w:space="0" w:color="auto"/>
        <w:right w:val="none" w:sz="0" w:space="0" w:color="auto"/>
      </w:divBdr>
    </w:div>
    <w:div w:id="304436628">
      <w:bodyDiv w:val="1"/>
      <w:marLeft w:val="0"/>
      <w:marRight w:val="0"/>
      <w:marTop w:val="0"/>
      <w:marBottom w:val="0"/>
      <w:divBdr>
        <w:top w:val="none" w:sz="0" w:space="0" w:color="auto"/>
        <w:left w:val="none" w:sz="0" w:space="0" w:color="auto"/>
        <w:bottom w:val="none" w:sz="0" w:space="0" w:color="auto"/>
        <w:right w:val="none" w:sz="0" w:space="0" w:color="auto"/>
      </w:divBdr>
    </w:div>
    <w:div w:id="304437557">
      <w:bodyDiv w:val="1"/>
      <w:marLeft w:val="0"/>
      <w:marRight w:val="0"/>
      <w:marTop w:val="0"/>
      <w:marBottom w:val="0"/>
      <w:divBdr>
        <w:top w:val="none" w:sz="0" w:space="0" w:color="auto"/>
        <w:left w:val="none" w:sz="0" w:space="0" w:color="auto"/>
        <w:bottom w:val="none" w:sz="0" w:space="0" w:color="auto"/>
        <w:right w:val="none" w:sz="0" w:space="0" w:color="auto"/>
      </w:divBdr>
    </w:div>
    <w:div w:id="304698367">
      <w:bodyDiv w:val="1"/>
      <w:marLeft w:val="0"/>
      <w:marRight w:val="0"/>
      <w:marTop w:val="0"/>
      <w:marBottom w:val="0"/>
      <w:divBdr>
        <w:top w:val="none" w:sz="0" w:space="0" w:color="auto"/>
        <w:left w:val="none" w:sz="0" w:space="0" w:color="auto"/>
        <w:bottom w:val="none" w:sz="0" w:space="0" w:color="auto"/>
        <w:right w:val="none" w:sz="0" w:space="0" w:color="auto"/>
      </w:divBdr>
    </w:div>
    <w:div w:id="304747966">
      <w:bodyDiv w:val="1"/>
      <w:marLeft w:val="0"/>
      <w:marRight w:val="0"/>
      <w:marTop w:val="0"/>
      <w:marBottom w:val="0"/>
      <w:divBdr>
        <w:top w:val="none" w:sz="0" w:space="0" w:color="auto"/>
        <w:left w:val="none" w:sz="0" w:space="0" w:color="auto"/>
        <w:bottom w:val="none" w:sz="0" w:space="0" w:color="auto"/>
        <w:right w:val="none" w:sz="0" w:space="0" w:color="auto"/>
      </w:divBdr>
    </w:div>
    <w:div w:id="304822148">
      <w:bodyDiv w:val="1"/>
      <w:marLeft w:val="0"/>
      <w:marRight w:val="0"/>
      <w:marTop w:val="0"/>
      <w:marBottom w:val="0"/>
      <w:divBdr>
        <w:top w:val="none" w:sz="0" w:space="0" w:color="auto"/>
        <w:left w:val="none" w:sz="0" w:space="0" w:color="auto"/>
        <w:bottom w:val="none" w:sz="0" w:space="0" w:color="auto"/>
        <w:right w:val="none" w:sz="0" w:space="0" w:color="auto"/>
      </w:divBdr>
    </w:div>
    <w:div w:id="304899835">
      <w:bodyDiv w:val="1"/>
      <w:marLeft w:val="0"/>
      <w:marRight w:val="0"/>
      <w:marTop w:val="0"/>
      <w:marBottom w:val="0"/>
      <w:divBdr>
        <w:top w:val="none" w:sz="0" w:space="0" w:color="auto"/>
        <w:left w:val="none" w:sz="0" w:space="0" w:color="auto"/>
        <w:bottom w:val="none" w:sz="0" w:space="0" w:color="auto"/>
        <w:right w:val="none" w:sz="0" w:space="0" w:color="auto"/>
      </w:divBdr>
    </w:div>
    <w:div w:id="305085848">
      <w:bodyDiv w:val="1"/>
      <w:marLeft w:val="0"/>
      <w:marRight w:val="0"/>
      <w:marTop w:val="0"/>
      <w:marBottom w:val="0"/>
      <w:divBdr>
        <w:top w:val="none" w:sz="0" w:space="0" w:color="auto"/>
        <w:left w:val="none" w:sz="0" w:space="0" w:color="auto"/>
        <w:bottom w:val="none" w:sz="0" w:space="0" w:color="auto"/>
        <w:right w:val="none" w:sz="0" w:space="0" w:color="auto"/>
      </w:divBdr>
    </w:div>
    <w:div w:id="305087986">
      <w:bodyDiv w:val="1"/>
      <w:marLeft w:val="0"/>
      <w:marRight w:val="0"/>
      <w:marTop w:val="0"/>
      <w:marBottom w:val="0"/>
      <w:divBdr>
        <w:top w:val="none" w:sz="0" w:space="0" w:color="auto"/>
        <w:left w:val="none" w:sz="0" w:space="0" w:color="auto"/>
        <w:bottom w:val="none" w:sz="0" w:space="0" w:color="auto"/>
        <w:right w:val="none" w:sz="0" w:space="0" w:color="auto"/>
      </w:divBdr>
    </w:div>
    <w:div w:id="305471976">
      <w:bodyDiv w:val="1"/>
      <w:marLeft w:val="0"/>
      <w:marRight w:val="0"/>
      <w:marTop w:val="0"/>
      <w:marBottom w:val="0"/>
      <w:divBdr>
        <w:top w:val="none" w:sz="0" w:space="0" w:color="auto"/>
        <w:left w:val="none" w:sz="0" w:space="0" w:color="auto"/>
        <w:bottom w:val="none" w:sz="0" w:space="0" w:color="auto"/>
        <w:right w:val="none" w:sz="0" w:space="0" w:color="auto"/>
      </w:divBdr>
    </w:div>
    <w:div w:id="305622009">
      <w:bodyDiv w:val="1"/>
      <w:marLeft w:val="0"/>
      <w:marRight w:val="0"/>
      <w:marTop w:val="0"/>
      <w:marBottom w:val="0"/>
      <w:divBdr>
        <w:top w:val="none" w:sz="0" w:space="0" w:color="auto"/>
        <w:left w:val="none" w:sz="0" w:space="0" w:color="auto"/>
        <w:bottom w:val="none" w:sz="0" w:space="0" w:color="auto"/>
        <w:right w:val="none" w:sz="0" w:space="0" w:color="auto"/>
      </w:divBdr>
    </w:div>
    <w:div w:id="305741216">
      <w:bodyDiv w:val="1"/>
      <w:marLeft w:val="0"/>
      <w:marRight w:val="0"/>
      <w:marTop w:val="0"/>
      <w:marBottom w:val="0"/>
      <w:divBdr>
        <w:top w:val="none" w:sz="0" w:space="0" w:color="auto"/>
        <w:left w:val="none" w:sz="0" w:space="0" w:color="auto"/>
        <w:bottom w:val="none" w:sz="0" w:space="0" w:color="auto"/>
        <w:right w:val="none" w:sz="0" w:space="0" w:color="auto"/>
      </w:divBdr>
    </w:div>
    <w:div w:id="305748045">
      <w:bodyDiv w:val="1"/>
      <w:marLeft w:val="0"/>
      <w:marRight w:val="0"/>
      <w:marTop w:val="0"/>
      <w:marBottom w:val="0"/>
      <w:divBdr>
        <w:top w:val="none" w:sz="0" w:space="0" w:color="auto"/>
        <w:left w:val="none" w:sz="0" w:space="0" w:color="auto"/>
        <w:bottom w:val="none" w:sz="0" w:space="0" w:color="auto"/>
        <w:right w:val="none" w:sz="0" w:space="0" w:color="auto"/>
      </w:divBdr>
    </w:div>
    <w:div w:id="305863645">
      <w:bodyDiv w:val="1"/>
      <w:marLeft w:val="0"/>
      <w:marRight w:val="0"/>
      <w:marTop w:val="0"/>
      <w:marBottom w:val="0"/>
      <w:divBdr>
        <w:top w:val="none" w:sz="0" w:space="0" w:color="auto"/>
        <w:left w:val="none" w:sz="0" w:space="0" w:color="auto"/>
        <w:bottom w:val="none" w:sz="0" w:space="0" w:color="auto"/>
        <w:right w:val="none" w:sz="0" w:space="0" w:color="auto"/>
      </w:divBdr>
    </w:div>
    <w:div w:id="305866242">
      <w:bodyDiv w:val="1"/>
      <w:marLeft w:val="0"/>
      <w:marRight w:val="0"/>
      <w:marTop w:val="0"/>
      <w:marBottom w:val="0"/>
      <w:divBdr>
        <w:top w:val="none" w:sz="0" w:space="0" w:color="auto"/>
        <w:left w:val="none" w:sz="0" w:space="0" w:color="auto"/>
        <w:bottom w:val="none" w:sz="0" w:space="0" w:color="auto"/>
        <w:right w:val="none" w:sz="0" w:space="0" w:color="auto"/>
      </w:divBdr>
    </w:div>
    <w:div w:id="305938110">
      <w:bodyDiv w:val="1"/>
      <w:marLeft w:val="0"/>
      <w:marRight w:val="0"/>
      <w:marTop w:val="0"/>
      <w:marBottom w:val="0"/>
      <w:divBdr>
        <w:top w:val="none" w:sz="0" w:space="0" w:color="auto"/>
        <w:left w:val="none" w:sz="0" w:space="0" w:color="auto"/>
        <w:bottom w:val="none" w:sz="0" w:space="0" w:color="auto"/>
        <w:right w:val="none" w:sz="0" w:space="0" w:color="auto"/>
      </w:divBdr>
    </w:div>
    <w:div w:id="306133891">
      <w:bodyDiv w:val="1"/>
      <w:marLeft w:val="0"/>
      <w:marRight w:val="0"/>
      <w:marTop w:val="0"/>
      <w:marBottom w:val="0"/>
      <w:divBdr>
        <w:top w:val="none" w:sz="0" w:space="0" w:color="auto"/>
        <w:left w:val="none" w:sz="0" w:space="0" w:color="auto"/>
        <w:bottom w:val="none" w:sz="0" w:space="0" w:color="auto"/>
        <w:right w:val="none" w:sz="0" w:space="0" w:color="auto"/>
      </w:divBdr>
    </w:div>
    <w:div w:id="306319446">
      <w:bodyDiv w:val="1"/>
      <w:marLeft w:val="0"/>
      <w:marRight w:val="0"/>
      <w:marTop w:val="0"/>
      <w:marBottom w:val="0"/>
      <w:divBdr>
        <w:top w:val="none" w:sz="0" w:space="0" w:color="auto"/>
        <w:left w:val="none" w:sz="0" w:space="0" w:color="auto"/>
        <w:bottom w:val="none" w:sz="0" w:space="0" w:color="auto"/>
        <w:right w:val="none" w:sz="0" w:space="0" w:color="auto"/>
      </w:divBdr>
    </w:div>
    <w:div w:id="306478796">
      <w:bodyDiv w:val="1"/>
      <w:marLeft w:val="0"/>
      <w:marRight w:val="0"/>
      <w:marTop w:val="0"/>
      <w:marBottom w:val="0"/>
      <w:divBdr>
        <w:top w:val="none" w:sz="0" w:space="0" w:color="auto"/>
        <w:left w:val="none" w:sz="0" w:space="0" w:color="auto"/>
        <w:bottom w:val="none" w:sz="0" w:space="0" w:color="auto"/>
        <w:right w:val="none" w:sz="0" w:space="0" w:color="auto"/>
      </w:divBdr>
    </w:div>
    <w:div w:id="306517110">
      <w:bodyDiv w:val="1"/>
      <w:marLeft w:val="0"/>
      <w:marRight w:val="0"/>
      <w:marTop w:val="0"/>
      <w:marBottom w:val="0"/>
      <w:divBdr>
        <w:top w:val="none" w:sz="0" w:space="0" w:color="auto"/>
        <w:left w:val="none" w:sz="0" w:space="0" w:color="auto"/>
        <w:bottom w:val="none" w:sz="0" w:space="0" w:color="auto"/>
        <w:right w:val="none" w:sz="0" w:space="0" w:color="auto"/>
      </w:divBdr>
    </w:div>
    <w:div w:id="306715148">
      <w:bodyDiv w:val="1"/>
      <w:marLeft w:val="0"/>
      <w:marRight w:val="0"/>
      <w:marTop w:val="0"/>
      <w:marBottom w:val="0"/>
      <w:divBdr>
        <w:top w:val="none" w:sz="0" w:space="0" w:color="auto"/>
        <w:left w:val="none" w:sz="0" w:space="0" w:color="auto"/>
        <w:bottom w:val="none" w:sz="0" w:space="0" w:color="auto"/>
        <w:right w:val="none" w:sz="0" w:space="0" w:color="auto"/>
      </w:divBdr>
    </w:div>
    <w:div w:id="306738736">
      <w:bodyDiv w:val="1"/>
      <w:marLeft w:val="0"/>
      <w:marRight w:val="0"/>
      <w:marTop w:val="0"/>
      <w:marBottom w:val="0"/>
      <w:divBdr>
        <w:top w:val="none" w:sz="0" w:space="0" w:color="auto"/>
        <w:left w:val="none" w:sz="0" w:space="0" w:color="auto"/>
        <w:bottom w:val="none" w:sz="0" w:space="0" w:color="auto"/>
        <w:right w:val="none" w:sz="0" w:space="0" w:color="auto"/>
      </w:divBdr>
    </w:div>
    <w:div w:id="306865752">
      <w:bodyDiv w:val="1"/>
      <w:marLeft w:val="0"/>
      <w:marRight w:val="0"/>
      <w:marTop w:val="0"/>
      <w:marBottom w:val="0"/>
      <w:divBdr>
        <w:top w:val="none" w:sz="0" w:space="0" w:color="auto"/>
        <w:left w:val="none" w:sz="0" w:space="0" w:color="auto"/>
        <w:bottom w:val="none" w:sz="0" w:space="0" w:color="auto"/>
        <w:right w:val="none" w:sz="0" w:space="0" w:color="auto"/>
      </w:divBdr>
    </w:div>
    <w:div w:id="306979640">
      <w:bodyDiv w:val="1"/>
      <w:marLeft w:val="0"/>
      <w:marRight w:val="0"/>
      <w:marTop w:val="0"/>
      <w:marBottom w:val="0"/>
      <w:divBdr>
        <w:top w:val="none" w:sz="0" w:space="0" w:color="auto"/>
        <w:left w:val="none" w:sz="0" w:space="0" w:color="auto"/>
        <w:bottom w:val="none" w:sz="0" w:space="0" w:color="auto"/>
        <w:right w:val="none" w:sz="0" w:space="0" w:color="auto"/>
      </w:divBdr>
    </w:div>
    <w:div w:id="306979860">
      <w:bodyDiv w:val="1"/>
      <w:marLeft w:val="0"/>
      <w:marRight w:val="0"/>
      <w:marTop w:val="0"/>
      <w:marBottom w:val="0"/>
      <w:divBdr>
        <w:top w:val="none" w:sz="0" w:space="0" w:color="auto"/>
        <w:left w:val="none" w:sz="0" w:space="0" w:color="auto"/>
        <w:bottom w:val="none" w:sz="0" w:space="0" w:color="auto"/>
        <w:right w:val="none" w:sz="0" w:space="0" w:color="auto"/>
      </w:divBdr>
    </w:div>
    <w:div w:id="307050881">
      <w:bodyDiv w:val="1"/>
      <w:marLeft w:val="0"/>
      <w:marRight w:val="0"/>
      <w:marTop w:val="0"/>
      <w:marBottom w:val="0"/>
      <w:divBdr>
        <w:top w:val="none" w:sz="0" w:space="0" w:color="auto"/>
        <w:left w:val="none" w:sz="0" w:space="0" w:color="auto"/>
        <w:bottom w:val="none" w:sz="0" w:space="0" w:color="auto"/>
        <w:right w:val="none" w:sz="0" w:space="0" w:color="auto"/>
      </w:divBdr>
    </w:div>
    <w:div w:id="307130627">
      <w:bodyDiv w:val="1"/>
      <w:marLeft w:val="0"/>
      <w:marRight w:val="0"/>
      <w:marTop w:val="0"/>
      <w:marBottom w:val="0"/>
      <w:divBdr>
        <w:top w:val="none" w:sz="0" w:space="0" w:color="auto"/>
        <w:left w:val="none" w:sz="0" w:space="0" w:color="auto"/>
        <w:bottom w:val="none" w:sz="0" w:space="0" w:color="auto"/>
        <w:right w:val="none" w:sz="0" w:space="0" w:color="auto"/>
      </w:divBdr>
    </w:div>
    <w:div w:id="307174644">
      <w:bodyDiv w:val="1"/>
      <w:marLeft w:val="0"/>
      <w:marRight w:val="0"/>
      <w:marTop w:val="0"/>
      <w:marBottom w:val="0"/>
      <w:divBdr>
        <w:top w:val="none" w:sz="0" w:space="0" w:color="auto"/>
        <w:left w:val="none" w:sz="0" w:space="0" w:color="auto"/>
        <w:bottom w:val="none" w:sz="0" w:space="0" w:color="auto"/>
        <w:right w:val="none" w:sz="0" w:space="0" w:color="auto"/>
      </w:divBdr>
    </w:div>
    <w:div w:id="307367399">
      <w:bodyDiv w:val="1"/>
      <w:marLeft w:val="0"/>
      <w:marRight w:val="0"/>
      <w:marTop w:val="0"/>
      <w:marBottom w:val="0"/>
      <w:divBdr>
        <w:top w:val="none" w:sz="0" w:space="0" w:color="auto"/>
        <w:left w:val="none" w:sz="0" w:space="0" w:color="auto"/>
        <w:bottom w:val="none" w:sz="0" w:space="0" w:color="auto"/>
        <w:right w:val="none" w:sz="0" w:space="0" w:color="auto"/>
      </w:divBdr>
    </w:div>
    <w:div w:id="307368674">
      <w:bodyDiv w:val="1"/>
      <w:marLeft w:val="0"/>
      <w:marRight w:val="0"/>
      <w:marTop w:val="0"/>
      <w:marBottom w:val="0"/>
      <w:divBdr>
        <w:top w:val="none" w:sz="0" w:space="0" w:color="auto"/>
        <w:left w:val="none" w:sz="0" w:space="0" w:color="auto"/>
        <w:bottom w:val="none" w:sz="0" w:space="0" w:color="auto"/>
        <w:right w:val="none" w:sz="0" w:space="0" w:color="auto"/>
      </w:divBdr>
    </w:div>
    <w:div w:id="307589278">
      <w:bodyDiv w:val="1"/>
      <w:marLeft w:val="0"/>
      <w:marRight w:val="0"/>
      <w:marTop w:val="0"/>
      <w:marBottom w:val="0"/>
      <w:divBdr>
        <w:top w:val="none" w:sz="0" w:space="0" w:color="auto"/>
        <w:left w:val="none" w:sz="0" w:space="0" w:color="auto"/>
        <w:bottom w:val="none" w:sz="0" w:space="0" w:color="auto"/>
        <w:right w:val="none" w:sz="0" w:space="0" w:color="auto"/>
      </w:divBdr>
    </w:div>
    <w:div w:id="307705190">
      <w:bodyDiv w:val="1"/>
      <w:marLeft w:val="0"/>
      <w:marRight w:val="0"/>
      <w:marTop w:val="0"/>
      <w:marBottom w:val="0"/>
      <w:divBdr>
        <w:top w:val="none" w:sz="0" w:space="0" w:color="auto"/>
        <w:left w:val="none" w:sz="0" w:space="0" w:color="auto"/>
        <w:bottom w:val="none" w:sz="0" w:space="0" w:color="auto"/>
        <w:right w:val="none" w:sz="0" w:space="0" w:color="auto"/>
      </w:divBdr>
    </w:div>
    <w:div w:id="307780916">
      <w:bodyDiv w:val="1"/>
      <w:marLeft w:val="0"/>
      <w:marRight w:val="0"/>
      <w:marTop w:val="0"/>
      <w:marBottom w:val="0"/>
      <w:divBdr>
        <w:top w:val="none" w:sz="0" w:space="0" w:color="auto"/>
        <w:left w:val="none" w:sz="0" w:space="0" w:color="auto"/>
        <w:bottom w:val="none" w:sz="0" w:space="0" w:color="auto"/>
        <w:right w:val="none" w:sz="0" w:space="0" w:color="auto"/>
      </w:divBdr>
    </w:div>
    <w:div w:id="307785761">
      <w:bodyDiv w:val="1"/>
      <w:marLeft w:val="0"/>
      <w:marRight w:val="0"/>
      <w:marTop w:val="0"/>
      <w:marBottom w:val="0"/>
      <w:divBdr>
        <w:top w:val="none" w:sz="0" w:space="0" w:color="auto"/>
        <w:left w:val="none" w:sz="0" w:space="0" w:color="auto"/>
        <w:bottom w:val="none" w:sz="0" w:space="0" w:color="auto"/>
        <w:right w:val="none" w:sz="0" w:space="0" w:color="auto"/>
      </w:divBdr>
    </w:div>
    <w:div w:id="308173090">
      <w:bodyDiv w:val="1"/>
      <w:marLeft w:val="0"/>
      <w:marRight w:val="0"/>
      <w:marTop w:val="0"/>
      <w:marBottom w:val="0"/>
      <w:divBdr>
        <w:top w:val="none" w:sz="0" w:space="0" w:color="auto"/>
        <w:left w:val="none" w:sz="0" w:space="0" w:color="auto"/>
        <w:bottom w:val="none" w:sz="0" w:space="0" w:color="auto"/>
        <w:right w:val="none" w:sz="0" w:space="0" w:color="auto"/>
      </w:divBdr>
    </w:div>
    <w:div w:id="308216861">
      <w:bodyDiv w:val="1"/>
      <w:marLeft w:val="0"/>
      <w:marRight w:val="0"/>
      <w:marTop w:val="0"/>
      <w:marBottom w:val="0"/>
      <w:divBdr>
        <w:top w:val="none" w:sz="0" w:space="0" w:color="auto"/>
        <w:left w:val="none" w:sz="0" w:space="0" w:color="auto"/>
        <w:bottom w:val="none" w:sz="0" w:space="0" w:color="auto"/>
        <w:right w:val="none" w:sz="0" w:space="0" w:color="auto"/>
      </w:divBdr>
    </w:div>
    <w:div w:id="308287995">
      <w:bodyDiv w:val="1"/>
      <w:marLeft w:val="0"/>
      <w:marRight w:val="0"/>
      <w:marTop w:val="0"/>
      <w:marBottom w:val="0"/>
      <w:divBdr>
        <w:top w:val="none" w:sz="0" w:space="0" w:color="auto"/>
        <w:left w:val="none" w:sz="0" w:space="0" w:color="auto"/>
        <w:bottom w:val="none" w:sz="0" w:space="0" w:color="auto"/>
        <w:right w:val="none" w:sz="0" w:space="0" w:color="auto"/>
      </w:divBdr>
    </w:div>
    <w:div w:id="308479883">
      <w:bodyDiv w:val="1"/>
      <w:marLeft w:val="0"/>
      <w:marRight w:val="0"/>
      <w:marTop w:val="0"/>
      <w:marBottom w:val="0"/>
      <w:divBdr>
        <w:top w:val="none" w:sz="0" w:space="0" w:color="auto"/>
        <w:left w:val="none" w:sz="0" w:space="0" w:color="auto"/>
        <w:bottom w:val="none" w:sz="0" w:space="0" w:color="auto"/>
        <w:right w:val="none" w:sz="0" w:space="0" w:color="auto"/>
      </w:divBdr>
    </w:div>
    <w:div w:id="308872968">
      <w:bodyDiv w:val="1"/>
      <w:marLeft w:val="0"/>
      <w:marRight w:val="0"/>
      <w:marTop w:val="0"/>
      <w:marBottom w:val="0"/>
      <w:divBdr>
        <w:top w:val="none" w:sz="0" w:space="0" w:color="auto"/>
        <w:left w:val="none" w:sz="0" w:space="0" w:color="auto"/>
        <w:bottom w:val="none" w:sz="0" w:space="0" w:color="auto"/>
        <w:right w:val="none" w:sz="0" w:space="0" w:color="auto"/>
      </w:divBdr>
    </w:div>
    <w:div w:id="308946116">
      <w:bodyDiv w:val="1"/>
      <w:marLeft w:val="0"/>
      <w:marRight w:val="0"/>
      <w:marTop w:val="0"/>
      <w:marBottom w:val="0"/>
      <w:divBdr>
        <w:top w:val="none" w:sz="0" w:space="0" w:color="auto"/>
        <w:left w:val="none" w:sz="0" w:space="0" w:color="auto"/>
        <w:bottom w:val="none" w:sz="0" w:space="0" w:color="auto"/>
        <w:right w:val="none" w:sz="0" w:space="0" w:color="auto"/>
      </w:divBdr>
    </w:div>
    <w:div w:id="308946555">
      <w:bodyDiv w:val="1"/>
      <w:marLeft w:val="0"/>
      <w:marRight w:val="0"/>
      <w:marTop w:val="0"/>
      <w:marBottom w:val="0"/>
      <w:divBdr>
        <w:top w:val="none" w:sz="0" w:space="0" w:color="auto"/>
        <w:left w:val="none" w:sz="0" w:space="0" w:color="auto"/>
        <w:bottom w:val="none" w:sz="0" w:space="0" w:color="auto"/>
        <w:right w:val="none" w:sz="0" w:space="0" w:color="auto"/>
      </w:divBdr>
    </w:div>
    <w:div w:id="309024737">
      <w:bodyDiv w:val="1"/>
      <w:marLeft w:val="0"/>
      <w:marRight w:val="0"/>
      <w:marTop w:val="0"/>
      <w:marBottom w:val="0"/>
      <w:divBdr>
        <w:top w:val="none" w:sz="0" w:space="0" w:color="auto"/>
        <w:left w:val="none" w:sz="0" w:space="0" w:color="auto"/>
        <w:bottom w:val="none" w:sz="0" w:space="0" w:color="auto"/>
        <w:right w:val="none" w:sz="0" w:space="0" w:color="auto"/>
      </w:divBdr>
    </w:div>
    <w:div w:id="309096597">
      <w:bodyDiv w:val="1"/>
      <w:marLeft w:val="0"/>
      <w:marRight w:val="0"/>
      <w:marTop w:val="0"/>
      <w:marBottom w:val="0"/>
      <w:divBdr>
        <w:top w:val="none" w:sz="0" w:space="0" w:color="auto"/>
        <w:left w:val="none" w:sz="0" w:space="0" w:color="auto"/>
        <w:bottom w:val="none" w:sz="0" w:space="0" w:color="auto"/>
        <w:right w:val="none" w:sz="0" w:space="0" w:color="auto"/>
      </w:divBdr>
    </w:div>
    <w:div w:id="309291220">
      <w:bodyDiv w:val="1"/>
      <w:marLeft w:val="0"/>
      <w:marRight w:val="0"/>
      <w:marTop w:val="0"/>
      <w:marBottom w:val="0"/>
      <w:divBdr>
        <w:top w:val="none" w:sz="0" w:space="0" w:color="auto"/>
        <w:left w:val="none" w:sz="0" w:space="0" w:color="auto"/>
        <w:bottom w:val="none" w:sz="0" w:space="0" w:color="auto"/>
        <w:right w:val="none" w:sz="0" w:space="0" w:color="auto"/>
      </w:divBdr>
    </w:div>
    <w:div w:id="309554130">
      <w:bodyDiv w:val="1"/>
      <w:marLeft w:val="0"/>
      <w:marRight w:val="0"/>
      <w:marTop w:val="0"/>
      <w:marBottom w:val="0"/>
      <w:divBdr>
        <w:top w:val="none" w:sz="0" w:space="0" w:color="auto"/>
        <w:left w:val="none" w:sz="0" w:space="0" w:color="auto"/>
        <w:bottom w:val="none" w:sz="0" w:space="0" w:color="auto"/>
        <w:right w:val="none" w:sz="0" w:space="0" w:color="auto"/>
      </w:divBdr>
    </w:div>
    <w:div w:id="309600087">
      <w:bodyDiv w:val="1"/>
      <w:marLeft w:val="0"/>
      <w:marRight w:val="0"/>
      <w:marTop w:val="0"/>
      <w:marBottom w:val="0"/>
      <w:divBdr>
        <w:top w:val="none" w:sz="0" w:space="0" w:color="auto"/>
        <w:left w:val="none" w:sz="0" w:space="0" w:color="auto"/>
        <w:bottom w:val="none" w:sz="0" w:space="0" w:color="auto"/>
        <w:right w:val="none" w:sz="0" w:space="0" w:color="auto"/>
      </w:divBdr>
    </w:div>
    <w:div w:id="309601619">
      <w:bodyDiv w:val="1"/>
      <w:marLeft w:val="0"/>
      <w:marRight w:val="0"/>
      <w:marTop w:val="0"/>
      <w:marBottom w:val="0"/>
      <w:divBdr>
        <w:top w:val="none" w:sz="0" w:space="0" w:color="auto"/>
        <w:left w:val="none" w:sz="0" w:space="0" w:color="auto"/>
        <w:bottom w:val="none" w:sz="0" w:space="0" w:color="auto"/>
        <w:right w:val="none" w:sz="0" w:space="0" w:color="auto"/>
      </w:divBdr>
    </w:div>
    <w:div w:id="309679576">
      <w:bodyDiv w:val="1"/>
      <w:marLeft w:val="0"/>
      <w:marRight w:val="0"/>
      <w:marTop w:val="0"/>
      <w:marBottom w:val="0"/>
      <w:divBdr>
        <w:top w:val="none" w:sz="0" w:space="0" w:color="auto"/>
        <w:left w:val="none" w:sz="0" w:space="0" w:color="auto"/>
        <w:bottom w:val="none" w:sz="0" w:space="0" w:color="auto"/>
        <w:right w:val="none" w:sz="0" w:space="0" w:color="auto"/>
      </w:divBdr>
    </w:div>
    <w:div w:id="309754753">
      <w:bodyDiv w:val="1"/>
      <w:marLeft w:val="0"/>
      <w:marRight w:val="0"/>
      <w:marTop w:val="0"/>
      <w:marBottom w:val="0"/>
      <w:divBdr>
        <w:top w:val="none" w:sz="0" w:space="0" w:color="auto"/>
        <w:left w:val="none" w:sz="0" w:space="0" w:color="auto"/>
        <w:bottom w:val="none" w:sz="0" w:space="0" w:color="auto"/>
        <w:right w:val="none" w:sz="0" w:space="0" w:color="auto"/>
      </w:divBdr>
    </w:div>
    <w:div w:id="309790708">
      <w:bodyDiv w:val="1"/>
      <w:marLeft w:val="0"/>
      <w:marRight w:val="0"/>
      <w:marTop w:val="0"/>
      <w:marBottom w:val="0"/>
      <w:divBdr>
        <w:top w:val="none" w:sz="0" w:space="0" w:color="auto"/>
        <w:left w:val="none" w:sz="0" w:space="0" w:color="auto"/>
        <w:bottom w:val="none" w:sz="0" w:space="0" w:color="auto"/>
        <w:right w:val="none" w:sz="0" w:space="0" w:color="auto"/>
      </w:divBdr>
    </w:div>
    <w:div w:id="309795457">
      <w:bodyDiv w:val="1"/>
      <w:marLeft w:val="0"/>
      <w:marRight w:val="0"/>
      <w:marTop w:val="0"/>
      <w:marBottom w:val="0"/>
      <w:divBdr>
        <w:top w:val="none" w:sz="0" w:space="0" w:color="auto"/>
        <w:left w:val="none" w:sz="0" w:space="0" w:color="auto"/>
        <w:bottom w:val="none" w:sz="0" w:space="0" w:color="auto"/>
        <w:right w:val="none" w:sz="0" w:space="0" w:color="auto"/>
      </w:divBdr>
    </w:div>
    <w:div w:id="310014880">
      <w:bodyDiv w:val="1"/>
      <w:marLeft w:val="0"/>
      <w:marRight w:val="0"/>
      <w:marTop w:val="0"/>
      <w:marBottom w:val="0"/>
      <w:divBdr>
        <w:top w:val="none" w:sz="0" w:space="0" w:color="auto"/>
        <w:left w:val="none" w:sz="0" w:space="0" w:color="auto"/>
        <w:bottom w:val="none" w:sz="0" w:space="0" w:color="auto"/>
        <w:right w:val="none" w:sz="0" w:space="0" w:color="auto"/>
      </w:divBdr>
    </w:div>
    <w:div w:id="310134896">
      <w:bodyDiv w:val="1"/>
      <w:marLeft w:val="0"/>
      <w:marRight w:val="0"/>
      <w:marTop w:val="0"/>
      <w:marBottom w:val="0"/>
      <w:divBdr>
        <w:top w:val="none" w:sz="0" w:space="0" w:color="auto"/>
        <w:left w:val="none" w:sz="0" w:space="0" w:color="auto"/>
        <w:bottom w:val="none" w:sz="0" w:space="0" w:color="auto"/>
        <w:right w:val="none" w:sz="0" w:space="0" w:color="auto"/>
      </w:divBdr>
    </w:div>
    <w:div w:id="310528442">
      <w:bodyDiv w:val="1"/>
      <w:marLeft w:val="0"/>
      <w:marRight w:val="0"/>
      <w:marTop w:val="0"/>
      <w:marBottom w:val="0"/>
      <w:divBdr>
        <w:top w:val="none" w:sz="0" w:space="0" w:color="auto"/>
        <w:left w:val="none" w:sz="0" w:space="0" w:color="auto"/>
        <w:bottom w:val="none" w:sz="0" w:space="0" w:color="auto"/>
        <w:right w:val="none" w:sz="0" w:space="0" w:color="auto"/>
      </w:divBdr>
    </w:div>
    <w:div w:id="310640978">
      <w:bodyDiv w:val="1"/>
      <w:marLeft w:val="0"/>
      <w:marRight w:val="0"/>
      <w:marTop w:val="0"/>
      <w:marBottom w:val="0"/>
      <w:divBdr>
        <w:top w:val="none" w:sz="0" w:space="0" w:color="auto"/>
        <w:left w:val="none" w:sz="0" w:space="0" w:color="auto"/>
        <w:bottom w:val="none" w:sz="0" w:space="0" w:color="auto"/>
        <w:right w:val="none" w:sz="0" w:space="0" w:color="auto"/>
      </w:divBdr>
    </w:div>
    <w:div w:id="310866895">
      <w:bodyDiv w:val="1"/>
      <w:marLeft w:val="0"/>
      <w:marRight w:val="0"/>
      <w:marTop w:val="0"/>
      <w:marBottom w:val="0"/>
      <w:divBdr>
        <w:top w:val="none" w:sz="0" w:space="0" w:color="auto"/>
        <w:left w:val="none" w:sz="0" w:space="0" w:color="auto"/>
        <w:bottom w:val="none" w:sz="0" w:space="0" w:color="auto"/>
        <w:right w:val="none" w:sz="0" w:space="0" w:color="auto"/>
      </w:divBdr>
    </w:div>
    <w:div w:id="310911467">
      <w:bodyDiv w:val="1"/>
      <w:marLeft w:val="0"/>
      <w:marRight w:val="0"/>
      <w:marTop w:val="0"/>
      <w:marBottom w:val="0"/>
      <w:divBdr>
        <w:top w:val="none" w:sz="0" w:space="0" w:color="auto"/>
        <w:left w:val="none" w:sz="0" w:space="0" w:color="auto"/>
        <w:bottom w:val="none" w:sz="0" w:space="0" w:color="auto"/>
        <w:right w:val="none" w:sz="0" w:space="0" w:color="auto"/>
      </w:divBdr>
    </w:div>
    <w:div w:id="310913303">
      <w:bodyDiv w:val="1"/>
      <w:marLeft w:val="0"/>
      <w:marRight w:val="0"/>
      <w:marTop w:val="0"/>
      <w:marBottom w:val="0"/>
      <w:divBdr>
        <w:top w:val="none" w:sz="0" w:space="0" w:color="auto"/>
        <w:left w:val="none" w:sz="0" w:space="0" w:color="auto"/>
        <w:bottom w:val="none" w:sz="0" w:space="0" w:color="auto"/>
        <w:right w:val="none" w:sz="0" w:space="0" w:color="auto"/>
      </w:divBdr>
    </w:div>
    <w:div w:id="311099894">
      <w:bodyDiv w:val="1"/>
      <w:marLeft w:val="0"/>
      <w:marRight w:val="0"/>
      <w:marTop w:val="0"/>
      <w:marBottom w:val="0"/>
      <w:divBdr>
        <w:top w:val="none" w:sz="0" w:space="0" w:color="auto"/>
        <w:left w:val="none" w:sz="0" w:space="0" w:color="auto"/>
        <w:bottom w:val="none" w:sz="0" w:space="0" w:color="auto"/>
        <w:right w:val="none" w:sz="0" w:space="0" w:color="auto"/>
      </w:divBdr>
    </w:div>
    <w:div w:id="311444681">
      <w:bodyDiv w:val="1"/>
      <w:marLeft w:val="0"/>
      <w:marRight w:val="0"/>
      <w:marTop w:val="0"/>
      <w:marBottom w:val="0"/>
      <w:divBdr>
        <w:top w:val="none" w:sz="0" w:space="0" w:color="auto"/>
        <w:left w:val="none" w:sz="0" w:space="0" w:color="auto"/>
        <w:bottom w:val="none" w:sz="0" w:space="0" w:color="auto"/>
        <w:right w:val="none" w:sz="0" w:space="0" w:color="auto"/>
      </w:divBdr>
    </w:div>
    <w:div w:id="311563123">
      <w:bodyDiv w:val="1"/>
      <w:marLeft w:val="0"/>
      <w:marRight w:val="0"/>
      <w:marTop w:val="0"/>
      <w:marBottom w:val="0"/>
      <w:divBdr>
        <w:top w:val="none" w:sz="0" w:space="0" w:color="auto"/>
        <w:left w:val="none" w:sz="0" w:space="0" w:color="auto"/>
        <w:bottom w:val="none" w:sz="0" w:space="0" w:color="auto"/>
        <w:right w:val="none" w:sz="0" w:space="0" w:color="auto"/>
      </w:divBdr>
    </w:div>
    <w:div w:id="311568485">
      <w:bodyDiv w:val="1"/>
      <w:marLeft w:val="0"/>
      <w:marRight w:val="0"/>
      <w:marTop w:val="0"/>
      <w:marBottom w:val="0"/>
      <w:divBdr>
        <w:top w:val="none" w:sz="0" w:space="0" w:color="auto"/>
        <w:left w:val="none" w:sz="0" w:space="0" w:color="auto"/>
        <w:bottom w:val="none" w:sz="0" w:space="0" w:color="auto"/>
        <w:right w:val="none" w:sz="0" w:space="0" w:color="auto"/>
      </w:divBdr>
    </w:div>
    <w:div w:id="311839420">
      <w:bodyDiv w:val="1"/>
      <w:marLeft w:val="0"/>
      <w:marRight w:val="0"/>
      <w:marTop w:val="0"/>
      <w:marBottom w:val="0"/>
      <w:divBdr>
        <w:top w:val="none" w:sz="0" w:space="0" w:color="auto"/>
        <w:left w:val="none" w:sz="0" w:space="0" w:color="auto"/>
        <w:bottom w:val="none" w:sz="0" w:space="0" w:color="auto"/>
        <w:right w:val="none" w:sz="0" w:space="0" w:color="auto"/>
      </w:divBdr>
    </w:div>
    <w:div w:id="312369150">
      <w:bodyDiv w:val="1"/>
      <w:marLeft w:val="0"/>
      <w:marRight w:val="0"/>
      <w:marTop w:val="0"/>
      <w:marBottom w:val="0"/>
      <w:divBdr>
        <w:top w:val="none" w:sz="0" w:space="0" w:color="auto"/>
        <w:left w:val="none" w:sz="0" w:space="0" w:color="auto"/>
        <w:bottom w:val="none" w:sz="0" w:space="0" w:color="auto"/>
        <w:right w:val="none" w:sz="0" w:space="0" w:color="auto"/>
      </w:divBdr>
    </w:div>
    <w:div w:id="312371605">
      <w:bodyDiv w:val="1"/>
      <w:marLeft w:val="0"/>
      <w:marRight w:val="0"/>
      <w:marTop w:val="0"/>
      <w:marBottom w:val="0"/>
      <w:divBdr>
        <w:top w:val="none" w:sz="0" w:space="0" w:color="auto"/>
        <w:left w:val="none" w:sz="0" w:space="0" w:color="auto"/>
        <w:bottom w:val="none" w:sz="0" w:space="0" w:color="auto"/>
        <w:right w:val="none" w:sz="0" w:space="0" w:color="auto"/>
      </w:divBdr>
    </w:div>
    <w:div w:id="312494087">
      <w:bodyDiv w:val="1"/>
      <w:marLeft w:val="0"/>
      <w:marRight w:val="0"/>
      <w:marTop w:val="0"/>
      <w:marBottom w:val="0"/>
      <w:divBdr>
        <w:top w:val="none" w:sz="0" w:space="0" w:color="auto"/>
        <w:left w:val="none" w:sz="0" w:space="0" w:color="auto"/>
        <w:bottom w:val="none" w:sz="0" w:space="0" w:color="auto"/>
        <w:right w:val="none" w:sz="0" w:space="0" w:color="auto"/>
      </w:divBdr>
    </w:div>
    <w:div w:id="312608460">
      <w:bodyDiv w:val="1"/>
      <w:marLeft w:val="0"/>
      <w:marRight w:val="0"/>
      <w:marTop w:val="0"/>
      <w:marBottom w:val="0"/>
      <w:divBdr>
        <w:top w:val="none" w:sz="0" w:space="0" w:color="auto"/>
        <w:left w:val="none" w:sz="0" w:space="0" w:color="auto"/>
        <w:bottom w:val="none" w:sz="0" w:space="0" w:color="auto"/>
        <w:right w:val="none" w:sz="0" w:space="0" w:color="auto"/>
      </w:divBdr>
    </w:div>
    <w:div w:id="312609769">
      <w:bodyDiv w:val="1"/>
      <w:marLeft w:val="0"/>
      <w:marRight w:val="0"/>
      <w:marTop w:val="0"/>
      <w:marBottom w:val="0"/>
      <w:divBdr>
        <w:top w:val="none" w:sz="0" w:space="0" w:color="auto"/>
        <w:left w:val="none" w:sz="0" w:space="0" w:color="auto"/>
        <w:bottom w:val="none" w:sz="0" w:space="0" w:color="auto"/>
        <w:right w:val="none" w:sz="0" w:space="0" w:color="auto"/>
      </w:divBdr>
    </w:div>
    <w:div w:id="312638951">
      <w:bodyDiv w:val="1"/>
      <w:marLeft w:val="0"/>
      <w:marRight w:val="0"/>
      <w:marTop w:val="0"/>
      <w:marBottom w:val="0"/>
      <w:divBdr>
        <w:top w:val="none" w:sz="0" w:space="0" w:color="auto"/>
        <w:left w:val="none" w:sz="0" w:space="0" w:color="auto"/>
        <w:bottom w:val="none" w:sz="0" w:space="0" w:color="auto"/>
        <w:right w:val="none" w:sz="0" w:space="0" w:color="auto"/>
      </w:divBdr>
    </w:div>
    <w:div w:id="312830732">
      <w:bodyDiv w:val="1"/>
      <w:marLeft w:val="0"/>
      <w:marRight w:val="0"/>
      <w:marTop w:val="0"/>
      <w:marBottom w:val="0"/>
      <w:divBdr>
        <w:top w:val="none" w:sz="0" w:space="0" w:color="auto"/>
        <w:left w:val="none" w:sz="0" w:space="0" w:color="auto"/>
        <w:bottom w:val="none" w:sz="0" w:space="0" w:color="auto"/>
        <w:right w:val="none" w:sz="0" w:space="0" w:color="auto"/>
      </w:divBdr>
    </w:div>
    <w:div w:id="312955442">
      <w:bodyDiv w:val="1"/>
      <w:marLeft w:val="0"/>
      <w:marRight w:val="0"/>
      <w:marTop w:val="0"/>
      <w:marBottom w:val="0"/>
      <w:divBdr>
        <w:top w:val="none" w:sz="0" w:space="0" w:color="auto"/>
        <w:left w:val="none" w:sz="0" w:space="0" w:color="auto"/>
        <w:bottom w:val="none" w:sz="0" w:space="0" w:color="auto"/>
        <w:right w:val="none" w:sz="0" w:space="0" w:color="auto"/>
      </w:divBdr>
    </w:div>
    <w:div w:id="313068880">
      <w:bodyDiv w:val="1"/>
      <w:marLeft w:val="0"/>
      <w:marRight w:val="0"/>
      <w:marTop w:val="0"/>
      <w:marBottom w:val="0"/>
      <w:divBdr>
        <w:top w:val="none" w:sz="0" w:space="0" w:color="auto"/>
        <w:left w:val="none" w:sz="0" w:space="0" w:color="auto"/>
        <w:bottom w:val="none" w:sz="0" w:space="0" w:color="auto"/>
        <w:right w:val="none" w:sz="0" w:space="0" w:color="auto"/>
      </w:divBdr>
    </w:div>
    <w:div w:id="313149422">
      <w:bodyDiv w:val="1"/>
      <w:marLeft w:val="0"/>
      <w:marRight w:val="0"/>
      <w:marTop w:val="0"/>
      <w:marBottom w:val="0"/>
      <w:divBdr>
        <w:top w:val="none" w:sz="0" w:space="0" w:color="auto"/>
        <w:left w:val="none" w:sz="0" w:space="0" w:color="auto"/>
        <w:bottom w:val="none" w:sz="0" w:space="0" w:color="auto"/>
        <w:right w:val="none" w:sz="0" w:space="0" w:color="auto"/>
      </w:divBdr>
    </w:div>
    <w:div w:id="313264911">
      <w:bodyDiv w:val="1"/>
      <w:marLeft w:val="0"/>
      <w:marRight w:val="0"/>
      <w:marTop w:val="0"/>
      <w:marBottom w:val="0"/>
      <w:divBdr>
        <w:top w:val="none" w:sz="0" w:space="0" w:color="auto"/>
        <w:left w:val="none" w:sz="0" w:space="0" w:color="auto"/>
        <w:bottom w:val="none" w:sz="0" w:space="0" w:color="auto"/>
        <w:right w:val="none" w:sz="0" w:space="0" w:color="auto"/>
      </w:divBdr>
    </w:div>
    <w:div w:id="313336814">
      <w:bodyDiv w:val="1"/>
      <w:marLeft w:val="0"/>
      <w:marRight w:val="0"/>
      <w:marTop w:val="0"/>
      <w:marBottom w:val="0"/>
      <w:divBdr>
        <w:top w:val="none" w:sz="0" w:space="0" w:color="auto"/>
        <w:left w:val="none" w:sz="0" w:space="0" w:color="auto"/>
        <w:bottom w:val="none" w:sz="0" w:space="0" w:color="auto"/>
        <w:right w:val="none" w:sz="0" w:space="0" w:color="auto"/>
      </w:divBdr>
    </w:div>
    <w:div w:id="313416424">
      <w:bodyDiv w:val="1"/>
      <w:marLeft w:val="0"/>
      <w:marRight w:val="0"/>
      <w:marTop w:val="0"/>
      <w:marBottom w:val="0"/>
      <w:divBdr>
        <w:top w:val="none" w:sz="0" w:space="0" w:color="auto"/>
        <w:left w:val="none" w:sz="0" w:space="0" w:color="auto"/>
        <w:bottom w:val="none" w:sz="0" w:space="0" w:color="auto"/>
        <w:right w:val="none" w:sz="0" w:space="0" w:color="auto"/>
      </w:divBdr>
    </w:div>
    <w:div w:id="313416475">
      <w:bodyDiv w:val="1"/>
      <w:marLeft w:val="0"/>
      <w:marRight w:val="0"/>
      <w:marTop w:val="0"/>
      <w:marBottom w:val="0"/>
      <w:divBdr>
        <w:top w:val="none" w:sz="0" w:space="0" w:color="auto"/>
        <w:left w:val="none" w:sz="0" w:space="0" w:color="auto"/>
        <w:bottom w:val="none" w:sz="0" w:space="0" w:color="auto"/>
        <w:right w:val="none" w:sz="0" w:space="0" w:color="auto"/>
      </w:divBdr>
    </w:div>
    <w:div w:id="313604168">
      <w:bodyDiv w:val="1"/>
      <w:marLeft w:val="0"/>
      <w:marRight w:val="0"/>
      <w:marTop w:val="0"/>
      <w:marBottom w:val="0"/>
      <w:divBdr>
        <w:top w:val="none" w:sz="0" w:space="0" w:color="auto"/>
        <w:left w:val="none" w:sz="0" w:space="0" w:color="auto"/>
        <w:bottom w:val="none" w:sz="0" w:space="0" w:color="auto"/>
        <w:right w:val="none" w:sz="0" w:space="0" w:color="auto"/>
      </w:divBdr>
    </w:div>
    <w:div w:id="313799559">
      <w:bodyDiv w:val="1"/>
      <w:marLeft w:val="0"/>
      <w:marRight w:val="0"/>
      <w:marTop w:val="0"/>
      <w:marBottom w:val="0"/>
      <w:divBdr>
        <w:top w:val="none" w:sz="0" w:space="0" w:color="auto"/>
        <w:left w:val="none" w:sz="0" w:space="0" w:color="auto"/>
        <w:bottom w:val="none" w:sz="0" w:space="0" w:color="auto"/>
        <w:right w:val="none" w:sz="0" w:space="0" w:color="auto"/>
      </w:divBdr>
    </w:div>
    <w:div w:id="313996184">
      <w:bodyDiv w:val="1"/>
      <w:marLeft w:val="0"/>
      <w:marRight w:val="0"/>
      <w:marTop w:val="0"/>
      <w:marBottom w:val="0"/>
      <w:divBdr>
        <w:top w:val="none" w:sz="0" w:space="0" w:color="auto"/>
        <w:left w:val="none" w:sz="0" w:space="0" w:color="auto"/>
        <w:bottom w:val="none" w:sz="0" w:space="0" w:color="auto"/>
        <w:right w:val="none" w:sz="0" w:space="0" w:color="auto"/>
      </w:divBdr>
    </w:div>
    <w:div w:id="314452247">
      <w:bodyDiv w:val="1"/>
      <w:marLeft w:val="0"/>
      <w:marRight w:val="0"/>
      <w:marTop w:val="0"/>
      <w:marBottom w:val="0"/>
      <w:divBdr>
        <w:top w:val="none" w:sz="0" w:space="0" w:color="auto"/>
        <w:left w:val="none" w:sz="0" w:space="0" w:color="auto"/>
        <w:bottom w:val="none" w:sz="0" w:space="0" w:color="auto"/>
        <w:right w:val="none" w:sz="0" w:space="0" w:color="auto"/>
      </w:divBdr>
    </w:div>
    <w:div w:id="314531734">
      <w:bodyDiv w:val="1"/>
      <w:marLeft w:val="0"/>
      <w:marRight w:val="0"/>
      <w:marTop w:val="0"/>
      <w:marBottom w:val="0"/>
      <w:divBdr>
        <w:top w:val="none" w:sz="0" w:space="0" w:color="auto"/>
        <w:left w:val="none" w:sz="0" w:space="0" w:color="auto"/>
        <w:bottom w:val="none" w:sz="0" w:space="0" w:color="auto"/>
        <w:right w:val="none" w:sz="0" w:space="0" w:color="auto"/>
      </w:divBdr>
    </w:div>
    <w:div w:id="314572887">
      <w:bodyDiv w:val="1"/>
      <w:marLeft w:val="0"/>
      <w:marRight w:val="0"/>
      <w:marTop w:val="0"/>
      <w:marBottom w:val="0"/>
      <w:divBdr>
        <w:top w:val="none" w:sz="0" w:space="0" w:color="auto"/>
        <w:left w:val="none" w:sz="0" w:space="0" w:color="auto"/>
        <w:bottom w:val="none" w:sz="0" w:space="0" w:color="auto"/>
        <w:right w:val="none" w:sz="0" w:space="0" w:color="auto"/>
      </w:divBdr>
    </w:div>
    <w:div w:id="314603547">
      <w:bodyDiv w:val="1"/>
      <w:marLeft w:val="0"/>
      <w:marRight w:val="0"/>
      <w:marTop w:val="0"/>
      <w:marBottom w:val="0"/>
      <w:divBdr>
        <w:top w:val="none" w:sz="0" w:space="0" w:color="auto"/>
        <w:left w:val="none" w:sz="0" w:space="0" w:color="auto"/>
        <w:bottom w:val="none" w:sz="0" w:space="0" w:color="auto"/>
        <w:right w:val="none" w:sz="0" w:space="0" w:color="auto"/>
      </w:divBdr>
    </w:div>
    <w:div w:id="314652317">
      <w:bodyDiv w:val="1"/>
      <w:marLeft w:val="0"/>
      <w:marRight w:val="0"/>
      <w:marTop w:val="0"/>
      <w:marBottom w:val="0"/>
      <w:divBdr>
        <w:top w:val="none" w:sz="0" w:space="0" w:color="auto"/>
        <w:left w:val="none" w:sz="0" w:space="0" w:color="auto"/>
        <w:bottom w:val="none" w:sz="0" w:space="0" w:color="auto"/>
        <w:right w:val="none" w:sz="0" w:space="0" w:color="auto"/>
      </w:divBdr>
    </w:div>
    <w:div w:id="314726730">
      <w:bodyDiv w:val="1"/>
      <w:marLeft w:val="0"/>
      <w:marRight w:val="0"/>
      <w:marTop w:val="0"/>
      <w:marBottom w:val="0"/>
      <w:divBdr>
        <w:top w:val="none" w:sz="0" w:space="0" w:color="auto"/>
        <w:left w:val="none" w:sz="0" w:space="0" w:color="auto"/>
        <w:bottom w:val="none" w:sz="0" w:space="0" w:color="auto"/>
        <w:right w:val="none" w:sz="0" w:space="0" w:color="auto"/>
      </w:divBdr>
    </w:div>
    <w:div w:id="314794902">
      <w:bodyDiv w:val="1"/>
      <w:marLeft w:val="0"/>
      <w:marRight w:val="0"/>
      <w:marTop w:val="0"/>
      <w:marBottom w:val="0"/>
      <w:divBdr>
        <w:top w:val="none" w:sz="0" w:space="0" w:color="auto"/>
        <w:left w:val="none" w:sz="0" w:space="0" w:color="auto"/>
        <w:bottom w:val="none" w:sz="0" w:space="0" w:color="auto"/>
        <w:right w:val="none" w:sz="0" w:space="0" w:color="auto"/>
      </w:divBdr>
    </w:div>
    <w:div w:id="314841258">
      <w:bodyDiv w:val="1"/>
      <w:marLeft w:val="0"/>
      <w:marRight w:val="0"/>
      <w:marTop w:val="0"/>
      <w:marBottom w:val="0"/>
      <w:divBdr>
        <w:top w:val="none" w:sz="0" w:space="0" w:color="auto"/>
        <w:left w:val="none" w:sz="0" w:space="0" w:color="auto"/>
        <w:bottom w:val="none" w:sz="0" w:space="0" w:color="auto"/>
        <w:right w:val="none" w:sz="0" w:space="0" w:color="auto"/>
      </w:divBdr>
    </w:div>
    <w:div w:id="314841683">
      <w:bodyDiv w:val="1"/>
      <w:marLeft w:val="0"/>
      <w:marRight w:val="0"/>
      <w:marTop w:val="0"/>
      <w:marBottom w:val="0"/>
      <w:divBdr>
        <w:top w:val="none" w:sz="0" w:space="0" w:color="auto"/>
        <w:left w:val="none" w:sz="0" w:space="0" w:color="auto"/>
        <w:bottom w:val="none" w:sz="0" w:space="0" w:color="auto"/>
        <w:right w:val="none" w:sz="0" w:space="0" w:color="auto"/>
      </w:divBdr>
    </w:div>
    <w:div w:id="314913118">
      <w:bodyDiv w:val="1"/>
      <w:marLeft w:val="0"/>
      <w:marRight w:val="0"/>
      <w:marTop w:val="0"/>
      <w:marBottom w:val="0"/>
      <w:divBdr>
        <w:top w:val="none" w:sz="0" w:space="0" w:color="auto"/>
        <w:left w:val="none" w:sz="0" w:space="0" w:color="auto"/>
        <w:bottom w:val="none" w:sz="0" w:space="0" w:color="auto"/>
        <w:right w:val="none" w:sz="0" w:space="0" w:color="auto"/>
      </w:divBdr>
    </w:div>
    <w:div w:id="315039025">
      <w:bodyDiv w:val="1"/>
      <w:marLeft w:val="0"/>
      <w:marRight w:val="0"/>
      <w:marTop w:val="0"/>
      <w:marBottom w:val="0"/>
      <w:divBdr>
        <w:top w:val="none" w:sz="0" w:space="0" w:color="auto"/>
        <w:left w:val="none" w:sz="0" w:space="0" w:color="auto"/>
        <w:bottom w:val="none" w:sz="0" w:space="0" w:color="auto"/>
        <w:right w:val="none" w:sz="0" w:space="0" w:color="auto"/>
      </w:divBdr>
    </w:div>
    <w:div w:id="315189373">
      <w:bodyDiv w:val="1"/>
      <w:marLeft w:val="0"/>
      <w:marRight w:val="0"/>
      <w:marTop w:val="0"/>
      <w:marBottom w:val="0"/>
      <w:divBdr>
        <w:top w:val="none" w:sz="0" w:space="0" w:color="auto"/>
        <w:left w:val="none" w:sz="0" w:space="0" w:color="auto"/>
        <w:bottom w:val="none" w:sz="0" w:space="0" w:color="auto"/>
        <w:right w:val="none" w:sz="0" w:space="0" w:color="auto"/>
      </w:divBdr>
    </w:div>
    <w:div w:id="315229970">
      <w:bodyDiv w:val="1"/>
      <w:marLeft w:val="0"/>
      <w:marRight w:val="0"/>
      <w:marTop w:val="0"/>
      <w:marBottom w:val="0"/>
      <w:divBdr>
        <w:top w:val="none" w:sz="0" w:space="0" w:color="auto"/>
        <w:left w:val="none" w:sz="0" w:space="0" w:color="auto"/>
        <w:bottom w:val="none" w:sz="0" w:space="0" w:color="auto"/>
        <w:right w:val="none" w:sz="0" w:space="0" w:color="auto"/>
      </w:divBdr>
    </w:div>
    <w:div w:id="315378021">
      <w:bodyDiv w:val="1"/>
      <w:marLeft w:val="0"/>
      <w:marRight w:val="0"/>
      <w:marTop w:val="0"/>
      <w:marBottom w:val="0"/>
      <w:divBdr>
        <w:top w:val="none" w:sz="0" w:space="0" w:color="auto"/>
        <w:left w:val="none" w:sz="0" w:space="0" w:color="auto"/>
        <w:bottom w:val="none" w:sz="0" w:space="0" w:color="auto"/>
        <w:right w:val="none" w:sz="0" w:space="0" w:color="auto"/>
      </w:divBdr>
    </w:div>
    <w:div w:id="315497579">
      <w:bodyDiv w:val="1"/>
      <w:marLeft w:val="0"/>
      <w:marRight w:val="0"/>
      <w:marTop w:val="0"/>
      <w:marBottom w:val="0"/>
      <w:divBdr>
        <w:top w:val="none" w:sz="0" w:space="0" w:color="auto"/>
        <w:left w:val="none" w:sz="0" w:space="0" w:color="auto"/>
        <w:bottom w:val="none" w:sz="0" w:space="0" w:color="auto"/>
        <w:right w:val="none" w:sz="0" w:space="0" w:color="auto"/>
      </w:divBdr>
    </w:div>
    <w:div w:id="315573036">
      <w:bodyDiv w:val="1"/>
      <w:marLeft w:val="0"/>
      <w:marRight w:val="0"/>
      <w:marTop w:val="0"/>
      <w:marBottom w:val="0"/>
      <w:divBdr>
        <w:top w:val="none" w:sz="0" w:space="0" w:color="auto"/>
        <w:left w:val="none" w:sz="0" w:space="0" w:color="auto"/>
        <w:bottom w:val="none" w:sz="0" w:space="0" w:color="auto"/>
        <w:right w:val="none" w:sz="0" w:space="0" w:color="auto"/>
      </w:divBdr>
    </w:div>
    <w:div w:id="315574002">
      <w:bodyDiv w:val="1"/>
      <w:marLeft w:val="0"/>
      <w:marRight w:val="0"/>
      <w:marTop w:val="0"/>
      <w:marBottom w:val="0"/>
      <w:divBdr>
        <w:top w:val="none" w:sz="0" w:space="0" w:color="auto"/>
        <w:left w:val="none" w:sz="0" w:space="0" w:color="auto"/>
        <w:bottom w:val="none" w:sz="0" w:space="0" w:color="auto"/>
        <w:right w:val="none" w:sz="0" w:space="0" w:color="auto"/>
      </w:divBdr>
    </w:div>
    <w:div w:id="315719162">
      <w:bodyDiv w:val="1"/>
      <w:marLeft w:val="0"/>
      <w:marRight w:val="0"/>
      <w:marTop w:val="0"/>
      <w:marBottom w:val="0"/>
      <w:divBdr>
        <w:top w:val="none" w:sz="0" w:space="0" w:color="auto"/>
        <w:left w:val="none" w:sz="0" w:space="0" w:color="auto"/>
        <w:bottom w:val="none" w:sz="0" w:space="0" w:color="auto"/>
        <w:right w:val="none" w:sz="0" w:space="0" w:color="auto"/>
      </w:divBdr>
    </w:div>
    <w:div w:id="315838997">
      <w:bodyDiv w:val="1"/>
      <w:marLeft w:val="0"/>
      <w:marRight w:val="0"/>
      <w:marTop w:val="0"/>
      <w:marBottom w:val="0"/>
      <w:divBdr>
        <w:top w:val="none" w:sz="0" w:space="0" w:color="auto"/>
        <w:left w:val="none" w:sz="0" w:space="0" w:color="auto"/>
        <w:bottom w:val="none" w:sz="0" w:space="0" w:color="auto"/>
        <w:right w:val="none" w:sz="0" w:space="0" w:color="auto"/>
      </w:divBdr>
    </w:div>
    <w:div w:id="316031525">
      <w:bodyDiv w:val="1"/>
      <w:marLeft w:val="0"/>
      <w:marRight w:val="0"/>
      <w:marTop w:val="0"/>
      <w:marBottom w:val="0"/>
      <w:divBdr>
        <w:top w:val="none" w:sz="0" w:space="0" w:color="auto"/>
        <w:left w:val="none" w:sz="0" w:space="0" w:color="auto"/>
        <w:bottom w:val="none" w:sz="0" w:space="0" w:color="auto"/>
        <w:right w:val="none" w:sz="0" w:space="0" w:color="auto"/>
      </w:divBdr>
    </w:div>
    <w:div w:id="316033775">
      <w:bodyDiv w:val="1"/>
      <w:marLeft w:val="0"/>
      <w:marRight w:val="0"/>
      <w:marTop w:val="0"/>
      <w:marBottom w:val="0"/>
      <w:divBdr>
        <w:top w:val="none" w:sz="0" w:space="0" w:color="auto"/>
        <w:left w:val="none" w:sz="0" w:space="0" w:color="auto"/>
        <w:bottom w:val="none" w:sz="0" w:space="0" w:color="auto"/>
        <w:right w:val="none" w:sz="0" w:space="0" w:color="auto"/>
      </w:divBdr>
    </w:div>
    <w:div w:id="316080651">
      <w:bodyDiv w:val="1"/>
      <w:marLeft w:val="0"/>
      <w:marRight w:val="0"/>
      <w:marTop w:val="0"/>
      <w:marBottom w:val="0"/>
      <w:divBdr>
        <w:top w:val="none" w:sz="0" w:space="0" w:color="auto"/>
        <w:left w:val="none" w:sz="0" w:space="0" w:color="auto"/>
        <w:bottom w:val="none" w:sz="0" w:space="0" w:color="auto"/>
        <w:right w:val="none" w:sz="0" w:space="0" w:color="auto"/>
      </w:divBdr>
    </w:div>
    <w:div w:id="316233135">
      <w:bodyDiv w:val="1"/>
      <w:marLeft w:val="0"/>
      <w:marRight w:val="0"/>
      <w:marTop w:val="0"/>
      <w:marBottom w:val="0"/>
      <w:divBdr>
        <w:top w:val="none" w:sz="0" w:space="0" w:color="auto"/>
        <w:left w:val="none" w:sz="0" w:space="0" w:color="auto"/>
        <w:bottom w:val="none" w:sz="0" w:space="0" w:color="auto"/>
        <w:right w:val="none" w:sz="0" w:space="0" w:color="auto"/>
      </w:divBdr>
    </w:div>
    <w:div w:id="316302047">
      <w:bodyDiv w:val="1"/>
      <w:marLeft w:val="0"/>
      <w:marRight w:val="0"/>
      <w:marTop w:val="0"/>
      <w:marBottom w:val="0"/>
      <w:divBdr>
        <w:top w:val="none" w:sz="0" w:space="0" w:color="auto"/>
        <w:left w:val="none" w:sz="0" w:space="0" w:color="auto"/>
        <w:bottom w:val="none" w:sz="0" w:space="0" w:color="auto"/>
        <w:right w:val="none" w:sz="0" w:space="0" w:color="auto"/>
      </w:divBdr>
    </w:div>
    <w:div w:id="316424761">
      <w:bodyDiv w:val="1"/>
      <w:marLeft w:val="0"/>
      <w:marRight w:val="0"/>
      <w:marTop w:val="0"/>
      <w:marBottom w:val="0"/>
      <w:divBdr>
        <w:top w:val="none" w:sz="0" w:space="0" w:color="auto"/>
        <w:left w:val="none" w:sz="0" w:space="0" w:color="auto"/>
        <w:bottom w:val="none" w:sz="0" w:space="0" w:color="auto"/>
        <w:right w:val="none" w:sz="0" w:space="0" w:color="auto"/>
      </w:divBdr>
    </w:div>
    <w:div w:id="316541060">
      <w:bodyDiv w:val="1"/>
      <w:marLeft w:val="0"/>
      <w:marRight w:val="0"/>
      <w:marTop w:val="0"/>
      <w:marBottom w:val="0"/>
      <w:divBdr>
        <w:top w:val="none" w:sz="0" w:space="0" w:color="auto"/>
        <w:left w:val="none" w:sz="0" w:space="0" w:color="auto"/>
        <w:bottom w:val="none" w:sz="0" w:space="0" w:color="auto"/>
        <w:right w:val="none" w:sz="0" w:space="0" w:color="auto"/>
      </w:divBdr>
    </w:div>
    <w:div w:id="316962239">
      <w:bodyDiv w:val="1"/>
      <w:marLeft w:val="0"/>
      <w:marRight w:val="0"/>
      <w:marTop w:val="0"/>
      <w:marBottom w:val="0"/>
      <w:divBdr>
        <w:top w:val="none" w:sz="0" w:space="0" w:color="auto"/>
        <w:left w:val="none" w:sz="0" w:space="0" w:color="auto"/>
        <w:bottom w:val="none" w:sz="0" w:space="0" w:color="auto"/>
        <w:right w:val="none" w:sz="0" w:space="0" w:color="auto"/>
      </w:divBdr>
    </w:div>
    <w:div w:id="317001895">
      <w:bodyDiv w:val="1"/>
      <w:marLeft w:val="0"/>
      <w:marRight w:val="0"/>
      <w:marTop w:val="0"/>
      <w:marBottom w:val="0"/>
      <w:divBdr>
        <w:top w:val="none" w:sz="0" w:space="0" w:color="auto"/>
        <w:left w:val="none" w:sz="0" w:space="0" w:color="auto"/>
        <w:bottom w:val="none" w:sz="0" w:space="0" w:color="auto"/>
        <w:right w:val="none" w:sz="0" w:space="0" w:color="auto"/>
      </w:divBdr>
    </w:div>
    <w:div w:id="317075817">
      <w:bodyDiv w:val="1"/>
      <w:marLeft w:val="0"/>
      <w:marRight w:val="0"/>
      <w:marTop w:val="0"/>
      <w:marBottom w:val="0"/>
      <w:divBdr>
        <w:top w:val="none" w:sz="0" w:space="0" w:color="auto"/>
        <w:left w:val="none" w:sz="0" w:space="0" w:color="auto"/>
        <w:bottom w:val="none" w:sz="0" w:space="0" w:color="auto"/>
        <w:right w:val="none" w:sz="0" w:space="0" w:color="auto"/>
      </w:divBdr>
    </w:div>
    <w:div w:id="317156234">
      <w:bodyDiv w:val="1"/>
      <w:marLeft w:val="0"/>
      <w:marRight w:val="0"/>
      <w:marTop w:val="0"/>
      <w:marBottom w:val="0"/>
      <w:divBdr>
        <w:top w:val="none" w:sz="0" w:space="0" w:color="auto"/>
        <w:left w:val="none" w:sz="0" w:space="0" w:color="auto"/>
        <w:bottom w:val="none" w:sz="0" w:space="0" w:color="auto"/>
        <w:right w:val="none" w:sz="0" w:space="0" w:color="auto"/>
      </w:divBdr>
    </w:div>
    <w:div w:id="317222901">
      <w:bodyDiv w:val="1"/>
      <w:marLeft w:val="0"/>
      <w:marRight w:val="0"/>
      <w:marTop w:val="0"/>
      <w:marBottom w:val="0"/>
      <w:divBdr>
        <w:top w:val="none" w:sz="0" w:space="0" w:color="auto"/>
        <w:left w:val="none" w:sz="0" w:space="0" w:color="auto"/>
        <w:bottom w:val="none" w:sz="0" w:space="0" w:color="auto"/>
        <w:right w:val="none" w:sz="0" w:space="0" w:color="auto"/>
      </w:divBdr>
    </w:div>
    <w:div w:id="317343997">
      <w:bodyDiv w:val="1"/>
      <w:marLeft w:val="0"/>
      <w:marRight w:val="0"/>
      <w:marTop w:val="0"/>
      <w:marBottom w:val="0"/>
      <w:divBdr>
        <w:top w:val="none" w:sz="0" w:space="0" w:color="auto"/>
        <w:left w:val="none" w:sz="0" w:space="0" w:color="auto"/>
        <w:bottom w:val="none" w:sz="0" w:space="0" w:color="auto"/>
        <w:right w:val="none" w:sz="0" w:space="0" w:color="auto"/>
      </w:divBdr>
    </w:div>
    <w:div w:id="317344755">
      <w:bodyDiv w:val="1"/>
      <w:marLeft w:val="0"/>
      <w:marRight w:val="0"/>
      <w:marTop w:val="0"/>
      <w:marBottom w:val="0"/>
      <w:divBdr>
        <w:top w:val="none" w:sz="0" w:space="0" w:color="auto"/>
        <w:left w:val="none" w:sz="0" w:space="0" w:color="auto"/>
        <w:bottom w:val="none" w:sz="0" w:space="0" w:color="auto"/>
        <w:right w:val="none" w:sz="0" w:space="0" w:color="auto"/>
      </w:divBdr>
    </w:div>
    <w:div w:id="317614531">
      <w:bodyDiv w:val="1"/>
      <w:marLeft w:val="0"/>
      <w:marRight w:val="0"/>
      <w:marTop w:val="0"/>
      <w:marBottom w:val="0"/>
      <w:divBdr>
        <w:top w:val="none" w:sz="0" w:space="0" w:color="auto"/>
        <w:left w:val="none" w:sz="0" w:space="0" w:color="auto"/>
        <w:bottom w:val="none" w:sz="0" w:space="0" w:color="auto"/>
        <w:right w:val="none" w:sz="0" w:space="0" w:color="auto"/>
      </w:divBdr>
    </w:div>
    <w:div w:id="317685091">
      <w:bodyDiv w:val="1"/>
      <w:marLeft w:val="0"/>
      <w:marRight w:val="0"/>
      <w:marTop w:val="0"/>
      <w:marBottom w:val="0"/>
      <w:divBdr>
        <w:top w:val="none" w:sz="0" w:space="0" w:color="auto"/>
        <w:left w:val="none" w:sz="0" w:space="0" w:color="auto"/>
        <w:bottom w:val="none" w:sz="0" w:space="0" w:color="auto"/>
        <w:right w:val="none" w:sz="0" w:space="0" w:color="auto"/>
      </w:divBdr>
    </w:div>
    <w:div w:id="317733507">
      <w:bodyDiv w:val="1"/>
      <w:marLeft w:val="0"/>
      <w:marRight w:val="0"/>
      <w:marTop w:val="0"/>
      <w:marBottom w:val="0"/>
      <w:divBdr>
        <w:top w:val="none" w:sz="0" w:space="0" w:color="auto"/>
        <w:left w:val="none" w:sz="0" w:space="0" w:color="auto"/>
        <w:bottom w:val="none" w:sz="0" w:space="0" w:color="auto"/>
        <w:right w:val="none" w:sz="0" w:space="0" w:color="auto"/>
      </w:divBdr>
    </w:div>
    <w:div w:id="317736395">
      <w:bodyDiv w:val="1"/>
      <w:marLeft w:val="0"/>
      <w:marRight w:val="0"/>
      <w:marTop w:val="0"/>
      <w:marBottom w:val="0"/>
      <w:divBdr>
        <w:top w:val="none" w:sz="0" w:space="0" w:color="auto"/>
        <w:left w:val="none" w:sz="0" w:space="0" w:color="auto"/>
        <w:bottom w:val="none" w:sz="0" w:space="0" w:color="auto"/>
        <w:right w:val="none" w:sz="0" w:space="0" w:color="auto"/>
      </w:divBdr>
    </w:div>
    <w:div w:id="318001271">
      <w:bodyDiv w:val="1"/>
      <w:marLeft w:val="0"/>
      <w:marRight w:val="0"/>
      <w:marTop w:val="0"/>
      <w:marBottom w:val="0"/>
      <w:divBdr>
        <w:top w:val="none" w:sz="0" w:space="0" w:color="auto"/>
        <w:left w:val="none" w:sz="0" w:space="0" w:color="auto"/>
        <w:bottom w:val="none" w:sz="0" w:space="0" w:color="auto"/>
        <w:right w:val="none" w:sz="0" w:space="0" w:color="auto"/>
      </w:divBdr>
    </w:div>
    <w:div w:id="318115925">
      <w:bodyDiv w:val="1"/>
      <w:marLeft w:val="0"/>
      <w:marRight w:val="0"/>
      <w:marTop w:val="0"/>
      <w:marBottom w:val="0"/>
      <w:divBdr>
        <w:top w:val="none" w:sz="0" w:space="0" w:color="auto"/>
        <w:left w:val="none" w:sz="0" w:space="0" w:color="auto"/>
        <w:bottom w:val="none" w:sz="0" w:space="0" w:color="auto"/>
        <w:right w:val="none" w:sz="0" w:space="0" w:color="auto"/>
      </w:divBdr>
    </w:div>
    <w:div w:id="318123578">
      <w:bodyDiv w:val="1"/>
      <w:marLeft w:val="0"/>
      <w:marRight w:val="0"/>
      <w:marTop w:val="0"/>
      <w:marBottom w:val="0"/>
      <w:divBdr>
        <w:top w:val="none" w:sz="0" w:space="0" w:color="auto"/>
        <w:left w:val="none" w:sz="0" w:space="0" w:color="auto"/>
        <w:bottom w:val="none" w:sz="0" w:space="0" w:color="auto"/>
        <w:right w:val="none" w:sz="0" w:space="0" w:color="auto"/>
      </w:divBdr>
    </w:div>
    <w:div w:id="318196846">
      <w:bodyDiv w:val="1"/>
      <w:marLeft w:val="0"/>
      <w:marRight w:val="0"/>
      <w:marTop w:val="0"/>
      <w:marBottom w:val="0"/>
      <w:divBdr>
        <w:top w:val="none" w:sz="0" w:space="0" w:color="auto"/>
        <w:left w:val="none" w:sz="0" w:space="0" w:color="auto"/>
        <w:bottom w:val="none" w:sz="0" w:space="0" w:color="auto"/>
        <w:right w:val="none" w:sz="0" w:space="0" w:color="auto"/>
      </w:divBdr>
    </w:div>
    <w:div w:id="318273195">
      <w:bodyDiv w:val="1"/>
      <w:marLeft w:val="0"/>
      <w:marRight w:val="0"/>
      <w:marTop w:val="0"/>
      <w:marBottom w:val="0"/>
      <w:divBdr>
        <w:top w:val="none" w:sz="0" w:space="0" w:color="auto"/>
        <w:left w:val="none" w:sz="0" w:space="0" w:color="auto"/>
        <w:bottom w:val="none" w:sz="0" w:space="0" w:color="auto"/>
        <w:right w:val="none" w:sz="0" w:space="0" w:color="auto"/>
      </w:divBdr>
    </w:div>
    <w:div w:id="318382786">
      <w:bodyDiv w:val="1"/>
      <w:marLeft w:val="0"/>
      <w:marRight w:val="0"/>
      <w:marTop w:val="0"/>
      <w:marBottom w:val="0"/>
      <w:divBdr>
        <w:top w:val="none" w:sz="0" w:space="0" w:color="auto"/>
        <w:left w:val="none" w:sz="0" w:space="0" w:color="auto"/>
        <w:bottom w:val="none" w:sz="0" w:space="0" w:color="auto"/>
        <w:right w:val="none" w:sz="0" w:space="0" w:color="auto"/>
      </w:divBdr>
    </w:div>
    <w:div w:id="318733409">
      <w:bodyDiv w:val="1"/>
      <w:marLeft w:val="0"/>
      <w:marRight w:val="0"/>
      <w:marTop w:val="0"/>
      <w:marBottom w:val="0"/>
      <w:divBdr>
        <w:top w:val="none" w:sz="0" w:space="0" w:color="auto"/>
        <w:left w:val="none" w:sz="0" w:space="0" w:color="auto"/>
        <w:bottom w:val="none" w:sz="0" w:space="0" w:color="auto"/>
        <w:right w:val="none" w:sz="0" w:space="0" w:color="auto"/>
      </w:divBdr>
    </w:div>
    <w:div w:id="318851623">
      <w:bodyDiv w:val="1"/>
      <w:marLeft w:val="0"/>
      <w:marRight w:val="0"/>
      <w:marTop w:val="0"/>
      <w:marBottom w:val="0"/>
      <w:divBdr>
        <w:top w:val="none" w:sz="0" w:space="0" w:color="auto"/>
        <w:left w:val="none" w:sz="0" w:space="0" w:color="auto"/>
        <w:bottom w:val="none" w:sz="0" w:space="0" w:color="auto"/>
        <w:right w:val="none" w:sz="0" w:space="0" w:color="auto"/>
      </w:divBdr>
    </w:div>
    <w:div w:id="318968737">
      <w:bodyDiv w:val="1"/>
      <w:marLeft w:val="0"/>
      <w:marRight w:val="0"/>
      <w:marTop w:val="0"/>
      <w:marBottom w:val="0"/>
      <w:divBdr>
        <w:top w:val="none" w:sz="0" w:space="0" w:color="auto"/>
        <w:left w:val="none" w:sz="0" w:space="0" w:color="auto"/>
        <w:bottom w:val="none" w:sz="0" w:space="0" w:color="auto"/>
        <w:right w:val="none" w:sz="0" w:space="0" w:color="auto"/>
      </w:divBdr>
    </w:div>
    <w:div w:id="318996199">
      <w:bodyDiv w:val="1"/>
      <w:marLeft w:val="0"/>
      <w:marRight w:val="0"/>
      <w:marTop w:val="0"/>
      <w:marBottom w:val="0"/>
      <w:divBdr>
        <w:top w:val="none" w:sz="0" w:space="0" w:color="auto"/>
        <w:left w:val="none" w:sz="0" w:space="0" w:color="auto"/>
        <w:bottom w:val="none" w:sz="0" w:space="0" w:color="auto"/>
        <w:right w:val="none" w:sz="0" w:space="0" w:color="auto"/>
      </w:divBdr>
    </w:div>
    <w:div w:id="319038876">
      <w:bodyDiv w:val="1"/>
      <w:marLeft w:val="0"/>
      <w:marRight w:val="0"/>
      <w:marTop w:val="0"/>
      <w:marBottom w:val="0"/>
      <w:divBdr>
        <w:top w:val="none" w:sz="0" w:space="0" w:color="auto"/>
        <w:left w:val="none" w:sz="0" w:space="0" w:color="auto"/>
        <w:bottom w:val="none" w:sz="0" w:space="0" w:color="auto"/>
        <w:right w:val="none" w:sz="0" w:space="0" w:color="auto"/>
      </w:divBdr>
    </w:div>
    <w:div w:id="319119242">
      <w:bodyDiv w:val="1"/>
      <w:marLeft w:val="0"/>
      <w:marRight w:val="0"/>
      <w:marTop w:val="0"/>
      <w:marBottom w:val="0"/>
      <w:divBdr>
        <w:top w:val="none" w:sz="0" w:space="0" w:color="auto"/>
        <w:left w:val="none" w:sz="0" w:space="0" w:color="auto"/>
        <w:bottom w:val="none" w:sz="0" w:space="0" w:color="auto"/>
        <w:right w:val="none" w:sz="0" w:space="0" w:color="auto"/>
      </w:divBdr>
    </w:div>
    <w:div w:id="319231597">
      <w:bodyDiv w:val="1"/>
      <w:marLeft w:val="0"/>
      <w:marRight w:val="0"/>
      <w:marTop w:val="0"/>
      <w:marBottom w:val="0"/>
      <w:divBdr>
        <w:top w:val="none" w:sz="0" w:space="0" w:color="auto"/>
        <w:left w:val="none" w:sz="0" w:space="0" w:color="auto"/>
        <w:bottom w:val="none" w:sz="0" w:space="0" w:color="auto"/>
        <w:right w:val="none" w:sz="0" w:space="0" w:color="auto"/>
      </w:divBdr>
    </w:div>
    <w:div w:id="319232545">
      <w:bodyDiv w:val="1"/>
      <w:marLeft w:val="0"/>
      <w:marRight w:val="0"/>
      <w:marTop w:val="0"/>
      <w:marBottom w:val="0"/>
      <w:divBdr>
        <w:top w:val="none" w:sz="0" w:space="0" w:color="auto"/>
        <w:left w:val="none" w:sz="0" w:space="0" w:color="auto"/>
        <w:bottom w:val="none" w:sz="0" w:space="0" w:color="auto"/>
        <w:right w:val="none" w:sz="0" w:space="0" w:color="auto"/>
      </w:divBdr>
    </w:div>
    <w:div w:id="319308330">
      <w:bodyDiv w:val="1"/>
      <w:marLeft w:val="0"/>
      <w:marRight w:val="0"/>
      <w:marTop w:val="0"/>
      <w:marBottom w:val="0"/>
      <w:divBdr>
        <w:top w:val="none" w:sz="0" w:space="0" w:color="auto"/>
        <w:left w:val="none" w:sz="0" w:space="0" w:color="auto"/>
        <w:bottom w:val="none" w:sz="0" w:space="0" w:color="auto"/>
        <w:right w:val="none" w:sz="0" w:space="0" w:color="auto"/>
      </w:divBdr>
    </w:div>
    <w:div w:id="319427072">
      <w:bodyDiv w:val="1"/>
      <w:marLeft w:val="0"/>
      <w:marRight w:val="0"/>
      <w:marTop w:val="0"/>
      <w:marBottom w:val="0"/>
      <w:divBdr>
        <w:top w:val="none" w:sz="0" w:space="0" w:color="auto"/>
        <w:left w:val="none" w:sz="0" w:space="0" w:color="auto"/>
        <w:bottom w:val="none" w:sz="0" w:space="0" w:color="auto"/>
        <w:right w:val="none" w:sz="0" w:space="0" w:color="auto"/>
      </w:divBdr>
    </w:div>
    <w:div w:id="319501276">
      <w:bodyDiv w:val="1"/>
      <w:marLeft w:val="0"/>
      <w:marRight w:val="0"/>
      <w:marTop w:val="0"/>
      <w:marBottom w:val="0"/>
      <w:divBdr>
        <w:top w:val="none" w:sz="0" w:space="0" w:color="auto"/>
        <w:left w:val="none" w:sz="0" w:space="0" w:color="auto"/>
        <w:bottom w:val="none" w:sz="0" w:space="0" w:color="auto"/>
        <w:right w:val="none" w:sz="0" w:space="0" w:color="auto"/>
      </w:divBdr>
    </w:div>
    <w:div w:id="319505002">
      <w:bodyDiv w:val="1"/>
      <w:marLeft w:val="0"/>
      <w:marRight w:val="0"/>
      <w:marTop w:val="0"/>
      <w:marBottom w:val="0"/>
      <w:divBdr>
        <w:top w:val="none" w:sz="0" w:space="0" w:color="auto"/>
        <w:left w:val="none" w:sz="0" w:space="0" w:color="auto"/>
        <w:bottom w:val="none" w:sz="0" w:space="0" w:color="auto"/>
        <w:right w:val="none" w:sz="0" w:space="0" w:color="auto"/>
      </w:divBdr>
    </w:div>
    <w:div w:id="319507801">
      <w:bodyDiv w:val="1"/>
      <w:marLeft w:val="0"/>
      <w:marRight w:val="0"/>
      <w:marTop w:val="0"/>
      <w:marBottom w:val="0"/>
      <w:divBdr>
        <w:top w:val="none" w:sz="0" w:space="0" w:color="auto"/>
        <w:left w:val="none" w:sz="0" w:space="0" w:color="auto"/>
        <w:bottom w:val="none" w:sz="0" w:space="0" w:color="auto"/>
        <w:right w:val="none" w:sz="0" w:space="0" w:color="auto"/>
      </w:divBdr>
    </w:div>
    <w:div w:id="319578247">
      <w:bodyDiv w:val="1"/>
      <w:marLeft w:val="0"/>
      <w:marRight w:val="0"/>
      <w:marTop w:val="0"/>
      <w:marBottom w:val="0"/>
      <w:divBdr>
        <w:top w:val="none" w:sz="0" w:space="0" w:color="auto"/>
        <w:left w:val="none" w:sz="0" w:space="0" w:color="auto"/>
        <w:bottom w:val="none" w:sz="0" w:space="0" w:color="auto"/>
        <w:right w:val="none" w:sz="0" w:space="0" w:color="auto"/>
      </w:divBdr>
    </w:div>
    <w:div w:id="319624287">
      <w:bodyDiv w:val="1"/>
      <w:marLeft w:val="0"/>
      <w:marRight w:val="0"/>
      <w:marTop w:val="0"/>
      <w:marBottom w:val="0"/>
      <w:divBdr>
        <w:top w:val="none" w:sz="0" w:space="0" w:color="auto"/>
        <w:left w:val="none" w:sz="0" w:space="0" w:color="auto"/>
        <w:bottom w:val="none" w:sz="0" w:space="0" w:color="auto"/>
        <w:right w:val="none" w:sz="0" w:space="0" w:color="auto"/>
      </w:divBdr>
    </w:div>
    <w:div w:id="319964908">
      <w:bodyDiv w:val="1"/>
      <w:marLeft w:val="0"/>
      <w:marRight w:val="0"/>
      <w:marTop w:val="0"/>
      <w:marBottom w:val="0"/>
      <w:divBdr>
        <w:top w:val="none" w:sz="0" w:space="0" w:color="auto"/>
        <w:left w:val="none" w:sz="0" w:space="0" w:color="auto"/>
        <w:bottom w:val="none" w:sz="0" w:space="0" w:color="auto"/>
        <w:right w:val="none" w:sz="0" w:space="0" w:color="auto"/>
      </w:divBdr>
    </w:div>
    <w:div w:id="320038908">
      <w:bodyDiv w:val="1"/>
      <w:marLeft w:val="0"/>
      <w:marRight w:val="0"/>
      <w:marTop w:val="0"/>
      <w:marBottom w:val="0"/>
      <w:divBdr>
        <w:top w:val="none" w:sz="0" w:space="0" w:color="auto"/>
        <w:left w:val="none" w:sz="0" w:space="0" w:color="auto"/>
        <w:bottom w:val="none" w:sz="0" w:space="0" w:color="auto"/>
        <w:right w:val="none" w:sz="0" w:space="0" w:color="auto"/>
      </w:divBdr>
    </w:div>
    <w:div w:id="320081011">
      <w:bodyDiv w:val="1"/>
      <w:marLeft w:val="0"/>
      <w:marRight w:val="0"/>
      <w:marTop w:val="0"/>
      <w:marBottom w:val="0"/>
      <w:divBdr>
        <w:top w:val="none" w:sz="0" w:space="0" w:color="auto"/>
        <w:left w:val="none" w:sz="0" w:space="0" w:color="auto"/>
        <w:bottom w:val="none" w:sz="0" w:space="0" w:color="auto"/>
        <w:right w:val="none" w:sz="0" w:space="0" w:color="auto"/>
      </w:divBdr>
    </w:div>
    <w:div w:id="320083867">
      <w:bodyDiv w:val="1"/>
      <w:marLeft w:val="0"/>
      <w:marRight w:val="0"/>
      <w:marTop w:val="0"/>
      <w:marBottom w:val="0"/>
      <w:divBdr>
        <w:top w:val="none" w:sz="0" w:space="0" w:color="auto"/>
        <w:left w:val="none" w:sz="0" w:space="0" w:color="auto"/>
        <w:bottom w:val="none" w:sz="0" w:space="0" w:color="auto"/>
        <w:right w:val="none" w:sz="0" w:space="0" w:color="auto"/>
      </w:divBdr>
    </w:div>
    <w:div w:id="320279503">
      <w:bodyDiv w:val="1"/>
      <w:marLeft w:val="0"/>
      <w:marRight w:val="0"/>
      <w:marTop w:val="0"/>
      <w:marBottom w:val="0"/>
      <w:divBdr>
        <w:top w:val="none" w:sz="0" w:space="0" w:color="auto"/>
        <w:left w:val="none" w:sz="0" w:space="0" w:color="auto"/>
        <w:bottom w:val="none" w:sz="0" w:space="0" w:color="auto"/>
        <w:right w:val="none" w:sz="0" w:space="0" w:color="auto"/>
      </w:divBdr>
    </w:div>
    <w:div w:id="320352125">
      <w:bodyDiv w:val="1"/>
      <w:marLeft w:val="0"/>
      <w:marRight w:val="0"/>
      <w:marTop w:val="0"/>
      <w:marBottom w:val="0"/>
      <w:divBdr>
        <w:top w:val="none" w:sz="0" w:space="0" w:color="auto"/>
        <w:left w:val="none" w:sz="0" w:space="0" w:color="auto"/>
        <w:bottom w:val="none" w:sz="0" w:space="0" w:color="auto"/>
        <w:right w:val="none" w:sz="0" w:space="0" w:color="auto"/>
      </w:divBdr>
    </w:div>
    <w:div w:id="320815273">
      <w:bodyDiv w:val="1"/>
      <w:marLeft w:val="0"/>
      <w:marRight w:val="0"/>
      <w:marTop w:val="0"/>
      <w:marBottom w:val="0"/>
      <w:divBdr>
        <w:top w:val="none" w:sz="0" w:space="0" w:color="auto"/>
        <w:left w:val="none" w:sz="0" w:space="0" w:color="auto"/>
        <w:bottom w:val="none" w:sz="0" w:space="0" w:color="auto"/>
        <w:right w:val="none" w:sz="0" w:space="0" w:color="auto"/>
      </w:divBdr>
    </w:div>
    <w:div w:id="320887035">
      <w:bodyDiv w:val="1"/>
      <w:marLeft w:val="0"/>
      <w:marRight w:val="0"/>
      <w:marTop w:val="0"/>
      <w:marBottom w:val="0"/>
      <w:divBdr>
        <w:top w:val="none" w:sz="0" w:space="0" w:color="auto"/>
        <w:left w:val="none" w:sz="0" w:space="0" w:color="auto"/>
        <w:bottom w:val="none" w:sz="0" w:space="0" w:color="auto"/>
        <w:right w:val="none" w:sz="0" w:space="0" w:color="auto"/>
      </w:divBdr>
    </w:div>
    <w:div w:id="320889109">
      <w:bodyDiv w:val="1"/>
      <w:marLeft w:val="0"/>
      <w:marRight w:val="0"/>
      <w:marTop w:val="0"/>
      <w:marBottom w:val="0"/>
      <w:divBdr>
        <w:top w:val="none" w:sz="0" w:space="0" w:color="auto"/>
        <w:left w:val="none" w:sz="0" w:space="0" w:color="auto"/>
        <w:bottom w:val="none" w:sz="0" w:space="0" w:color="auto"/>
        <w:right w:val="none" w:sz="0" w:space="0" w:color="auto"/>
      </w:divBdr>
    </w:div>
    <w:div w:id="320893030">
      <w:bodyDiv w:val="1"/>
      <w:marLeft w:val="0"/>
      <w:marRight w:val="0"/>
      <w:marTop w:val="0"/>
      <w:marBottom w:val="0"/>
      <w:divBdr>
        <w:top w:val="none" w:sz="0" w:space="0" w:color="auto"/>
        <w:left w:val="none" w:sz="0" w:space="0" w:color="auto"/>
        <w:bottom w:val="none" w:sz="0" w:space="0" w:color="auto"/>
        <w:right w:val="none" w:sz="0" w:space="0" w:color="auto"/>
      </w:divBdr>
    </w:div>
    <w:div w:id="320893894">
      <w:bodyDiv w:val="1"/>
      <w:marLeft w:val="0"/>
      <w:marRight w:val="0"/>
      <w:marTop w:val="0"/>
      <w:marBottom w:val="0"/>
      <w:divBdr>
        <w:top w:val="none" w:sz="0" w:space="0" w:color="auto"/>
        <w:left w:val="none" w:sz="0" w:space="0" w:color="auto"/>
        <w:bottom w:val="none" w:sz="0" w:space="0" w:color="auto"/>
        <w:right w:val="none" w:sz="0" w:space="0" w:color="auto"/>
      </w:divBdr>
    </w:div>
    <w:div w:id="320932438">
      <w:bodyDiv w:val="1"/>
      <w:marLeft w:val="0"/>
      <w:marRight w:val="0"/>
      <w:marTop w:val="0"/>
      <w:marBottom w:val="0"/>
      <w:divBdr>
        <w:top w:val="none" w:sz="0" w:space="0" w:color="auto"/>
        <w:left w:val="none" w:sz="0" w:space="0" w:color="auto"/>
        <w:bottom w:val="none" w:sz="0" w:space="0" w:color="auto"/>
        <w:right w:val="none" w:sz="0" w:space="0" w:color="auto"/>
      </w:divBdr>
    </w:div>
    <w:div w:id="320935350">
      <w:bodyDiv w:val="1"/>
      <w:marLeft w:val="0"/>
      <w:marRight w:val="0"/>
      <w:marTop w:val="0"/>
      <w:marBottom w:val="0"/>
      <w:divBdr>
        <w:top w:val="none" w:sz="0" w:space="0" w:color="auto"/>
        <w:left w:val="none" w:sz="0" w:space="0" w:color="auto"/>
        <w:bottom w:val="none" w:sz="0" w:space="0" w:color="auto"/>
        <w:right w:val="none" w:sz="0" w:space="0" w:color="auto"/>
      </w:divBdr>
    </w:div>
    <w:div w:id="321083571">
      <w:bodyDiv w:val="1"/>
      <w:marLeft w:val="0"/>
      <w:marRight w:val="0"/>
      <w:marTop w:val="0"/>
      <w:marBottom w:val="0"/>
      <w:divBdr>
        <w:top w:val="none" w:sz="0" w:space="0" w:color="auto"/>
        <w:left w:val="none" w:sz="0" w:space="0" w:color="auto"/>
        <w:bottom w:val="none" w:sz="0" w:space="0" w:color="auto"/>
        <w:right w:val="none" w:sz="0" w:space="0" w:color="auto"/>
      </w:divBdr>
    </w:div>
    <w:div w:id="321085659">
      <w:bodyDiv w:val="1"/>
      <w:marLeft w:val="0"/>
      <w:marRight w:val="0"/>
      <w:marTop w:val="0"/>
      <w:marBottom w:val="0"/>
      <w:divBdr>
        <w:top w:val="none" w:sz="0" w:space="0" w:color="auto"/>
        <w:left w:val="none" w:sz="0" w:space="0" w:color="auto"/>
        <w:bottom w:val="none" w:sz="0" w:space="0" w:color="auto"/>
        <w:right w:val="none" w:sz="0" w:space="0" w:color="auto"/>
      </w:divBdr>
    </w:div>
    <w:div w:id="321128014">
      <w:bodyDiv w:val="1"/>
      <w:marLeft w:val="0"/>
      <w:marRight w:val="0"/>
      <w:marTop w:val="0"/>
      <w:marBottom w:val="0"/>
      <w:divBdr>
        <w:top w:val="none" w:sz="0" w:space="0" w:color="auto"/>
        <w:left w:val="none" w:sz="0" w:space="0" w:color="auto"/>
        <w:bottom w:val="none" w:sz="0" w:space="0" w:color="auto"/>
        <w:right w:val="none" w:sz="0" w:space="0" w:color="auto"/>
      </w:divBdr>
    </w:div>
    <w:div w:id="321154952">
      <w:bodyDiv w:val="1"/>
      <w:marLeft w:val="0"/>
      <w:marRight w:val="0"/>
      <w:marTop w:val="0"/>
      <w:marBottom w:val="0"/>
      <w:divBdr>
        <w:top w:val="none" w:sz="0" w:space="0" w:color="auto"/>
        <w:left w:val="none" w:sz="0" w:space="0" w:color="auto"/>
        <w:bottom w:val="none" w:sz="0" w:space="0" w:color="auto"/>
        <w:right w:val="none" w:sz="0" w:space="0" w:color="auto"/>
      </w:divBdr>
    </w:div>
    <w:div w:id="321273559">
      <w:bodyDiv w:val="1"/>
      <w:marLeft w:val="0"/>
      <w:marRight w:val="0"/>
      <w:marTop w:val="0"/>
      <w:marBottom w:val="0"/>
      <w:divBdr>
        <w:top w:val="none" w:sz="0" w:space="0" w:color="auto"/>
        <w:left w:val="none" w:sz="0" w:space="0" w:color="auto"/>
        <w:bottom w:val="none" w:sz="0" w:space="0" w:color="auto"/>
        <w:right w:val="none" w:sz="0" w:space="0" w:color="auto"/>
      </w:divBdr>
    </w:div>
    <w:div w:id="321349833">
      <w:bodyDiv w:val="1"/>
      <w:marLeft w:val="0"/>
      <w:marRight w:val="0"/>
      <w:marTop w:val="0"/>
      <w:marBottom w:val="0"/>
      <w:divBdr>
        <w:top w:val="none" w:sz="0" w:space="0" w:color="auto"/>
        <w:left w:val="none" w:sz="0" w:space="0" w:color="auto"/>
        <w:bottom w:val="none" w:sz="0" w:space="0" w:color="auto"/>
        <w:right w:val="none" w:sz="0" w:space="0" w:color="auto"/>
      </w:divBdr>
    </w:div>
    <w:div w:id="321743129">
      <w:bodyDiv w:val="1"/>
      <w:marLeft w:val="0"/>
      <w:marRight w:val="0"/>
      <w:marTop w:val="0"/>
      <w:marBottom w:val="0"/>
      <w:divBdr>
        <w:top w:val="none" w:sz="0" w:space="0" w:color="auto"/>
        <w:left w:val="none" w:sz="0" w:space="0" w:color="auto"/>
        <w:bottom w:val="none" w:sz="0" w:space="0" w:color="auto"/>
        <w:right w:val="none" w:sz="0" w:space="0" w:color="auto"/>
      </w:divBdr>
    </w:div>
    <w:div w:id="321932975">
      <w:bodyDiv w:val="1"/>
      <w:marLeft w:val="0"/>
      <w:marRight w:val="0"/>
      <w:marTop w:val="0"/>
      <w:marBottom w:val="0"/>
      <w:divBdr>
        <w:top w:val="none" w:sz="0" w:space="0" w:color="auto"/>
        <w:left w:val="none" w:sz="0" w:space="0" w:color="auto"/>
        <w:bottom w:val="none" w:sz="0" w:space="0" w:color="auto"/>
        <w:right w:val="none" w:sz="0" w:space="0" w:color="auto"/>
      </w:divBdr>
    </w:div>
    <w:div w:id="322243031">
      <w:bodyDiv w:val="1"/>
      <w:marLeft w:val="0"/>
      <w:marRight w:val="0"/>
      <w:marTop w:val="0"/>
      <w:marBottom w:val="0"/>
      <w:divBdr>
        <w:top w:val="none" w:sz="0" w:space="0" w:color="auto"/>
        <w:left w:val="none" w:sz="0" w:space="0" w:color="auto"/>
        <w:bottom w:val="none" w:sz="0" w:space="0" w:color="auto"/>
        <w:right w:val="none" w:sz="0" w:space="0" w:color="auto"/>
      </w:divBdr>
    </w:div>
    <w:div w:id="322319521">
      <w:bodyDiv w:val="1"/>
      <w:marLeft w:val="0"/>
      <w:marRight w:val="0"/>
      <w:marTop w:val="0"/>
      <w:marBottom w:val="0"/>
      <w:divBdr>
        <w:top w:val="none" w:sz="0" w:space="0" w:color="auto"/>
        <w:left w:val="none" w:sz="0" w:space="0" w:color="auto"/>
        <w:bottom w:val="none" w:sz="0" w:space="0" w:color="auto"/>
        <w:right w:val="none" w:sz="0" w:space="0" w:color="auto"/>
      </w:divBdr>
    </w:div>
    <w:div w:id="322392685">
      <w:bodyDiv w:val="1"/>
      <w:marLeft w:val="0"/>
      <w:marRight w:val="0"/>
      <w:marTop w:val="0"/>
      <w:marBottom w:val="0"/>
      <w:divBdr>
        <w:top w:val="none" w:sz="0" w:space="0" w:color="auto"/>
        <w:left w:val="none" w:sz="0" w:space="0" w:color="auto"/>
        <w:bottom w:val="none" w:sz="0" w:space="0" w:color="auto"/>
        <w:right w:val="none" w:sz="0" w:space="0" w:color="auto"/>
      </w:divBdr>
    </w:div>
    <w:div w:id="322393665">
      <w:bodyDiv w:val="1"/>
      <w:marLeft w:val="0"/>
      <w:marRight w:val="0"/>
      <w:marTop w:val="0"/>
      <w:marBottom w:val="0"/>
      <w:divBdr>
        <w:top w:val="none" w:sz="0" w:space="0" w:color="auto"/>
        <w:left w:val="none" w:sz="0" w:space="0" w:color="auto"/>
        <w:bottom w:val="none" w:sz="0" w:space="0" w:color="auto"/>
        <w:right w:val="none" w:sz="0" w:space="0" w:color="auto"/>
      </w:divBdr>
    </w:div>
    <w:div w:id="322513585">
      <w:bodyDiv w:val="1"/>
      <w:marLeft w:val="0"/>
      <w:marRight w:val="0"/>
      <w:marTop w:val="0"/>
      <w:marBottom w:val="0"/>
      <w:divBdr>
        <w:top w:val="none" w:sz="0" w:space="0" w:color="auto"/>
        <w:left w:val="none" w:sz="0" w:space="0" w:color="auto"/>
        <w:bottom w:val="none" w:sz="0" w:space="0" w:color="auto"/>
        <w:right w:val="none" w:sz="0" w:space="0" w:color="auto"/>
      </w:divBdr>
    </w:div>
    <w:div w:id="322588810">
      <w:bodyDiv w:val="1"/>
      <w:marLeft w:val="0"/>
      <w:marRight w:val="0"/>
      <w:marTop w:val="0"/>
      <w:marBottom w:val="0"/>
      <w:divBdr>
        <w:top w:val="none" w:sz="0" w:space="0" w:color="auto"/>
        <w:left w:val="none" w:sz="0" w:space="0" w:color="auto"/>
        <w:bottom w:val="none" w:sz="0" w:space="0" w:color="auto"/>
        <w:right w:val="none" w:sz="0" w:space="0" w:color="auto"/>
      </w:divBdr>
    </w:div>
    <w:div w:id="322662665">
      <w:bodyDiv w:val="1"/>
      <w:marLeft w:val="0"/>
      <w:marRight w:val="0"/>
      <w:marTop w:val="0"/>
      <w:marBottom w:val="0"/>
      <w:divBdr>
        <w:top w:val="none" w:sz="0" w:space="0" w:color="auto"/>
        <w:left w:val="none" w:sz="0" w:space="0" w:color="auto"/>
        <w:bottom w:val="none" w:sz="0" w:space="0" w:color="auto"/>
        <w:right w:val="none" w:sz="0" w:space="0" w:color="auto"/>
      </w:divBdr>
    </w:div>
    <w:div w:id="322701299">
      <w:bodyDiv w:val="1"/>
      <w:marLeft w:val="0"/>
      <w:marRight w:val="0"/>
      <w:marTop w:val="0"/>
      <w:marBottom w:val="0"/>
      <w:divBdr>
        <w:top w:val="none" w:sz="0" w:space="0" w:color="auto"/>
        <w:left w:val="none" w:sz="0" w:space="0" w:color="auto"/>
        <w:bottom w:val="none" w:sz="0" w:space="0" w:color="auto"/>
        <w:right w:val="none" w:sz="0" w:space="0" w:color="auto"/>
      </w:divBdr>
    </w:div>
    <w:div w:id="322784104">
      <w:bodyDiv w:val="1"/>
      <w:marLeft w:val="0"/>
      <w:marRight w:val="0"/>
      <w:marTop w:val="0"/>
      <w:marBottom w:val="0"/>
      <w:divBdr>
        <w:top w:val="none" w:sz="0" w:space="0" w:color="auto"/>
        <w:left w:val="none" w:sz="0" w:space="0" w:color="auto"/>
        <w:bottom w:val="none" w:sz="0" w:space="0" w:color="auto"/>
        <w:right w:val="none" w:sz="0" w:space="0" w:color="auto"/>
      </w:divBdr>
    </w:div>
    <w:div w:id="322853529">
      <w:bodyDiv w:val="1"/>
      <w:marLeft w:val="0"/>
      <w:marRight w:val="0"/>
      <w:marTop w:val="0"/>
      <w:marBottom w:val="0"/>
      <w:divBdr>
        <w:top w:val="none" w:sz="0" w:space="0" w:color="auto"/>
        <w:left w:val="none" w:sz="0" w:space="0" w:color="auto"/>
        <w:bottom w:val="none" w:sz="0" w:space="0" w:color="auto"/>
        <w:right w:val="none" w:sz="0" w:space="0" w:color="auto"/>
      </w:divBdr>
    </w:div>
    <w:div w:id="322902189">
      <w:bodyDiv w:val="1"/>
      <w:marLeft w:val="0"/>
      <w:marRight w:val="0"/>
      <w:marTop w:val="0"/>
      <w:marBottom w:val="0"/>
      <w:divBdr>
        <w:top w:val="none" w:sz="0" w:space="0" w:color="auto"/>
        <w:left w:val="none" w:sz="0" w:space="0" w:color="auto"/>
        <w:bottom w:val="none" w:sz="0" w:space="0" w:color="auto"/>
        <w:right w:val="none" w:sz="0" w:space="0" w:color="auto"/>
      </w:divBdr>
    </w:div>
    <w:div w:id="322902430">
      <w:bodyDiv w:val="1"/>
      <w:marLeft w:val="0"/>
      <w:marRight w:val="0"/>
      <w:marTop w:val="0"/>
      <w:marBottom w:val="0"/>
      <w:divBdr>
        <w:top w:val="none" w:sz="0" w:space="0" w:color="auto"/>
        <w:left w:val="none" w:sz="0" w:space="0" w:color="auto"/>
        <w:bottom w:val="none" w:sz="0" w:space="0" w:color="auto"/>
        <w:right w:val="none" w:sz="0" w:space="0" w:color="auto"/>
      </w:divBdr>
    </w:div>
    <w:div w:id="322926985">
      <w:bodyDiv w:val="1"/>
      <w:marLeft w:val="0"/>
      <w:marRight w:val="0"/>
      <w:marTop w:val="0"/>
      <w:marBottom w:val="0"/>
      <w:divBdr>
        <w:top w:val="none" w:sz="0" w:space="0" w:color="auto"/>
        <w:left w:val="none" w:sz="0" w:space="0" w:color="auto"/>
        <w:bottom w:val="none" w:sz="0" w:space="0" w:color="auto"/>
        <w:right w:val="none" w:sz="0" w:space="0" w:color="auto"/>
      </w:divBdr>
    </w:div>
    <w:div w:id="322975074">
      <w:bodyDiv w:val="1"/>
      <w:marLeft w:val="0"/>
      <w:marRight w:val="0"/>
      <w:marTop w:val="0"/>
      <w:marBottom w:val="0"/>
      <w:divBdr>
        <w:top w:val="none" w:sz="0" w:space="0" w:color="auto"/>
        <w:left w:val="none" w:sz="0" w:space="0" w:color="auto"/>
        <w:bottom w:val="none" w:sz="0" w:space="0" w:color="auto"/>
        <w:right w:val="none" w:sz="0" w:space="0" w:color="auto"/>
      </w:divBdr>
    </w:div>
    <w:div w:id="323094317">
      <w:bodyDiv w:val="1"/>
      <w:marLeft w:val="0"/>
      <w:marRight w:val="0"/>
      <w:marTop w:val="0"/>
      <w:marBottom w:val="0"/>
      <w:divBdr>
        <w:top w:val="none" w:sz="0" w:space="0" w:color="auto"/>
        <w:left w:val="none" w:sz="0" w:space="0" w:color="auto"/>
        <w:bottom w:val="none" w:sz="0" w:space="0" w:color="auto"/>
        <w:right w:val="none" w:sz="0" w:space="0" w:color="auto"/>
      </w:divBdr>
    </w:div>
    <w:div w:id="323436114">
      <w:bodyDiv w:val="1"/>
      <w:marLeft w:val="0"/>
      <w:marRight w:val="0"/>
      <w:marTop w:val="0"/>
      <w:marBottom w:val="0"/>
      <w:divBdr>
        <w:top w:val="none" w:sz="0" w:space="0" w:color="auto"/>
        <w:left w:val="none" w:sz="0" w:space="0" w:color="auto"/>
        <w:bottom w:val="none" w:sz="0" w:space="0" w:color="auto"/>
        <w:right w:val="none" w:sz="0" w:space="0" w:color="auto"/>
      </w:divBdr>
    </w:div>
    <w:div w:id="323515885">
      <w:bodyDiv w:val="1"/>
      <w:marLeft w:val="0"/>
      <w:marRight w:val="0"/>
      <w:marTop w:val="0"/>
      <w:marBottom w:val="0"/>
      <w:divBdr>
        <w:top w:val="none" w:sz="0" w:space="0" w:color="auto"/>
        <w:left w:val="none" w:sz="0" w:space="0" w:color="auto"/>
        <w:bottom w:val="none" w:sz="0" w:space="0" w:color="auto"/>
        <w:right w:val="none" w:sz="0" w:space="0" w:color="auto"/>
      </w:divBdr>
    </w:div>
    <w:div w:id="323705044">
      <w:bodyDiv w:val="1"/>
      <w:marLeft w:val="0"/>
      <w:marRight w:val="0"/>
      <w:marTop w:val="0"/>
      <w:marBottom w:val="0"/>
      <w:divBdr>
        <w:top w:val="none" w:sz="0" w:space="0" w:color="auto"/>
        <w:left w:val="none" w:sz="0" w:space="0" w:color="auto"/>
        <w:bottom w:val="none" w:sz="0" w:space="0" w:color="auto"/>
        <w:right w:val="none" w:sz="0" w:space="0" w:color="auto"/>
      </w:divBdr>
    </w:div>
    <w:div w:id="323820501">
      <w:bodyDiv w:val="1"/>
      <w:marLeft w:val="0"/>
      <w:marRight w:val="0"/>
      <w:marTop w:val="0"/>
      <w:marBottom w:val="0"/>
      <w:divBdr>
        <w:top w:val="none" w:sz="0" w:space="0" w:color="auto"/>
        <w:left w:val="none" w:sz="0" w:space="0" w:color="auto"/>
        <w:bottom w:val="none" w:sz="0" w:space="0" w:color="auto"/>
        <w:right w:val="none" w:sz="0" w:space="0" w:color="auto"/>
      </w:divBdr>
    </w:div>
    <w:div w:id="323823547">
      <w:bodyDiv w:val="1"/>
      <w:marLeft w:val="0"/>
      <w:marRight w:val="0"/>
      <w:marTop w:val="0"/>
      <w:marBottom w:val="0"/>
      <w:divBdr>
        <w:top w:val="none" w:sz="0" w:space="0" w:color="auto"/>
        <w:left w:val="none" w:sz="0" w:space="0" w:color="auto"/>
        <w:bottom w:val="none" w:sz="0" w:space="0" w:color="auto"/>
        <w:right w:val="none" w:sz="0" w:space="0" w:color="auto"/>
      </w:divBdr>
    </w:div>
    <w:div w:id="323823775">
      <w:bodyDiv w:val="1"/>
      <w:marLeft w:val="0"/>
      <w:marRight w:val="0"/>
      <w:marTop w:val="0"/>
      <w:marBottom w:val="0"/>
      <w:divBdr>
        <w:top w:val="none" w:sz="0" w:space="0" w:color="auto"/>
        <w:left w:val="none" w:sz="0" w:space="0" w:color="auto"/>
        <w:bottom w:val="none" w:sz="0" w:space="0" w:color="auto"/>
        <w:right w:val="none" w:sz="0" w:space="0" w:color="auto"/>
      </w:divBdr>
    </w:div>
    <w:div w:id="323825238">
      <w:bodyDiv w:val="1"/>
      <w:marLeft w:val="0"/>
      <w:marRight w:val="0"/>
      <w:marTop w:val="0"/>
      <w:marBottom w:val="0"/>
      <w:divBdr>
        <w:top w:val="none" w:sz="0" w:space="0" w:color="auto"/>
        <w:left w:val="none" w:sz="0" w:space="0" w:color="auto"/>
        <w:bottom w:val="none" w:sz="0" w:space="0" w:color="auto"/>
        <w:right w:val="none" w:sz="0" w:space="0" w:color="auto"/>
      </w:divBdr>
    </w:div>
    <w:div w:id="324360420">
      <w:bodyDiv w:val="1"/>
      <w:marLeft w:val="0"/>
      <w:marRight w:val="0"/>
      <w:marTop w:val="0"/>
      <w:marBottom w:val="0"/>
      <w:divBdr>
        <w:top w:val="none" w:sz="0" w:space="0" w:color="auto"/>
        <w:left w:val="none" w:sz="0" w:space="0" w:color="auto"/>
        <w:bottom w:val="none" w:sz="0" w:space="0" w:color="auto"/>
        <w:right w:val="none" w:sz="0" w:space="0" w:color="auto"/>
      </w:divBdr>
    </w:div>
    <w:div w:id="324825102">
      <w:bodyDiv w:val="1"/>
      <w:marLeft w:val="0"/>
      <w:marRight w:val="0"/>
      <w:marTop w:val="0"/>
      <w:marBottom w:val="0"/>
      <w:divBdr>
        <w:top w:val="none" w:sz="0" w:space="0" w:color="auto"/>
        <w:left w:val="none" w:sz="0" w:space="0" w:color="auto"/>
        <w:bottom w:val="none" w:sz="0" w:space="0" w:color="auto"/>
        <w:right w:val="none" w:sz="0" w:space="0" w:color="auto"/>
      </w:divBdr>
    </w:div>
    <w:div w:id="325014316">
      <w:bodyDiv w:val="1"/>
      <w:marLeft w:val="0"/>
      <w:marRight w:val="0"/>
      <w:marTop w:val="0"/>
      <w:marBottom w:val="0"/>
      <w:divBdr>
        <w:top w:val="none" w:sz="0" w:space="0" w:color="auto"/>
        <w:left w:val="none" w:sz="0" w:space="0" w:color="auto"/>
        <w:bottom w:val="none" w:sz="0" w:space="0" w:color="auto"/>
        <w:right w:val="none" w:sz="0" w:space="0" w:color="auto"/>
      </w:divBdr>
    </w:div>
    <w:div w:id="325019148">
      <w:bodyDiv w:val="1"/>
      <w:marLeft w:val="0"/>
      <w:marRight w:val="0"/>
      <w:marTop w:val="0"/>
      <w:marBottom w:val="0"/>
      <w:divBdr>
        <w:top w:val="none" w:sz="0" w:space="0" w:color="auto"/>
        <w:left w:val="none" w:sz="0" w:space="0" w:color="auto"/>
        <w:bottom w:val="none" w:sz="0" w:space="0" w:color="auto"/>
        <w:right w:val="none" w:sz="0" w:space="0" w:color="auto"/>
      </w:divBdr>
    </w:div>
    <w:div w:id="325090865">
      <w:bodyDiv w:val="1"/>
      <w:marLeft w:val="0"/>
      <w:marRight w:val="0"/>
      <w:marTop w:val="0"/>
      <w:marBottom w:val="0"/>
      <w:divBdr>
        <w:top w:val="none" w:sz="0" w:space="0" w:color="auto"/>
        <w:left w:val="none" w:sz="0" w:space="0" w:color="auto"/>
        <w:bottom w:val="none" w:sz="0" w:space="0" w:color="auto"/>
        <w:right w:val="none" w:sz="0" w:space="0" w:color="auto"/>
      </w:divBdr>
    </w:div>
    <w:div w:id="325280713">
      <w:bodyDiv w:val="1"/>
      <w:marLeft w:val="0"/>
      <w:marRight w:val="0"/>
      <w:marTop w:val="0"/>
      <w:marBottom w:val="0"/>
      <w:divBdr>
        <w:top w:val="none" w:sz="0" w:space="0" w:color="auto"/>
        <w:left w:val="none" w:sz="0" w:space="0" w:color="auto"/>
        <w:bottom w:val="none" w:sz="0" w:space="0" w:color="auto"/>
        <w:right w:val="none" w:sz="0" w:space="0" w:color="auto"/>
      </w:divBdr>
    </w:div>
    <w:div w:id="325473645">
      <w:bodyDiv w:val="1"/>
      <w:marLeft w:val="0"/>
      <w:marRight w:val="0"/>
      <w:marTop w:val="0"/>
      <w:marBottom w:val="0"/>
      <w:divBdr>
        <w:top w:val="none" w:sz="0" w:space="0" w:color="auto"/>
        <w:left w:val="none" w:sz="0" w:space="0" w:color="auto"/>
        <w:bottom w:val="none" w:sz="0" w:space="0" w:color="auto"/>
        <w:right w:val="none" w:sz="0" w:space="0" w:color="auto"/>
      </w:divBdr>
    </w:div>
    <w:div w:id="325479201">
      <w:bodyDiv w:val="1"/>
      <w:marLeft w:val="0"/>
      <w:marRight w:val="0"/>
      <w:marTop w:val="0"/>
      <w:marBottom w:val="0"/>
      <w:divBdr>
        <w:top w:val="none" w:sz="0" w:space="0" w:color="auto"/>
        <w:left w:val="none" w:sz="0" w:space="0" w:color="auto"/>
        <w:bottom w:val="none" w:sz="0" w:space="0" w:color="auto"/>
        <w:right w:val="none" w:sz="0" w:space="0" w:color="auto"/>
      </w:divBdr>
    </w:div>
    <w:div w:id="325861443">
      <w:bodyDiv w:val="1"/>
      <w:marLeft w:val="0"/>
      <w:marRight w:val="0"/>
      <w:marTop w:val="0"/>
      <w:marBottom w:val="0"/>
      <w:divBdr>
        <w:top w:val="none" w:sz="0" w:space="0" w:color="auto"/>
        <w:left w:val="none" w:sz="0" w:space="0" w:color="auto"/>
        <w:bottom w:val="none" w:sz="0" w:space="0" w:color="auto"/>
        <w:right w:val="none" w:sz="0" w:space="0" w:color="auto"/>
      </w:divBdr>
    </w:div>
    <w:div w:id="325940677">
      <w:bodyDiv w:val="1"/>
      <w:marLeft w:val="0"/>
      <w:marRight w:val="0"/>
      <w:marTop w:val="0"/>
      <w:marBottom w:val="0"/>
      <w:divBdr>
        <w:top w:val="none" w:sz="0" w:space="0" w:color="auto"/>
        <w:left w:val="none" w:sz="0" w:space="0" w:color="auto"/>
        <w:bottom w:val="none" w:sz="0" w:space="0" w:color="auto"/>
        <w:right w:val="none" w:sz="0" w:space="0" w:color="auto"/>
      </w:divBdr>
    </w:div>
    <w:div w:id="325942766">
      <w:bodyDiv w:val="1"/>
      <w:marLeft w:val="0"/>
      <w:marRight w:val="0"/>
      <w:marTop w:val="0"/>
      <w:marBottom w:val="0"/>
      <w:divBdr>
        <w:top w:val="none" w:sz="0" w:space="0" w:color="auto"/>
        <w:left w:val="none" w:sz="0" w:space="0" w:color="auto"/>
        <w:bottom w:val="none" w:sz="0" w:space="0" w:color="auto"/>
        <w:right w:val="none" w:sz="0" w:space="0" w:color="auto"/>
      </w:divBdr>
    </w:div>
    <w:div w:id="326128794">
      <w:bodyDiv w:val="1"/>
      <w:marLeft w:val="0"/>
      <w:marRight w:val="0"/>
      <w:marTop w:val="0"/>
      <w:marBottom w:val="0"/>
      <w:divBdr>
        <w:top w:val="none" w:sz="0" w:space="0" w:color="auto"/>
        <w:left w:val="none" w:sz="0" w:space="0" w:color="auto"/>
        <w:bottom w:val="none" w:sz="0" w:space="0" w:color="auto"/>
        <w:right w:val="none" w:sz="0" w:space="0" w:color="auto"/>
      </w:divBdr>
    </w:div>
    <w:div w:id="326129613">
      <w:bodyDiv w:val="1"/>
      <w:marLeft w:val="0"/>
      <w:marRight w:val="0"/>
      <w:marTop w:val="0"/>
      <w:marBottom w:val="0"/>
      <w:divBdr>
        <w:top w:val="none" w:sz="0" w:space="0" w:color="auto"/>
        <w:left w:val="none" w:sz="0" w:space="0" w:color="auto"/>
        <w:bottom w:val="none" w:sz="0" w:space="0" w:color="auto"/>
        <w:right w:val="none" w:sz="0" w:space="0" w:color="auto"/>
      </w:divBdr>
    </w:div>
    <w:div w:id="326321267">
      <w:bodyDiv w:val="1"/>
      <w:marLeft w:val="0"/>
      <w:marRight w:val="0"/>
      <w:marTop w:val="0"/>
      <w:marBottom w:val="0"/>
      <w:divBdr>
        <w:top w:val="none" w:sz="0" w:space="0" w:color="auto"/>
        <w:left w:val="none" w:sz="0" w:space="0" w:color="auto"/>
        <w:bottom w:val="none" w:sz="0" w:space="0" w:color="auto"/>
        <w:right w:val="none" w:sz="0" w:space="0" w:color="auto"/>
      </w:divBdr>
    </w:div>
    <w:div w:id="326329262">
      <w:bodyDiv w:val="1"/>
      <w:marLeft w:val="0"/>
      <w:marRight w:val="0"/>
      <w:marTop w:val="0"/>
      <w:marBottom w:val="0"/>
      <w:divBdr>
        <w:top w:val="none" w:sz="0" w:space="0" w:color="auto"/>
        <w:left w:val="none" w:sz="0" w:space="0" w:color="auto"/>
        <w:bottom w:val="none" w:sz="0" w:space="0" w:color="auto"/>
        <w:right w:val="none" w:sz="0" w:space="0" w:color="auto"/>
      </w:divBdr>
    </w:div>
    <w:div w:id="326442390">
      <w:bodyDiv w:val="1"/>
      <w:marLeft w:val="0"/>
      <w:marRight w:val="0"/>
      <w:marTop w:val="0"/>
      <w:marBottom w:val="0"/>
      <w:divBdr>
        <w:top w:val="none" w:sz="0" w:space="0" w:color="auto"/>
        <w:left w:val="none" w:sz="0" w:space="0" w:color="auto"/>
        <w:bottom w:val="none" w:sz="0" w:space="0" w:color="auto"/>
        <w:right w:val="none" w:sz="0" w:space="0" w:color="auto"/>
      </w:divBdr>
    </w:div>
    <w:div w:id="326638958">
      <w:bodyDiv w:val="1"/>
      <w:marLeft w:val="0"/>
      <w:marRight w:val="0"/>
      <w:marTop w:val="0"/>
      <w:marBottom w:val="0"/>
      <w:divBdr>
        <w:top w:val="none" w:sz="0" w:space="0" w:color="auto"/>
        <w:left w:val="none" w:sz="0" w:space="0" w:color="auto"/>
        <w:bottom w:val="none" w:sz="0" w:space="0" w:color="auto"/>
        <w:right w:val="none" w:sz="0" w:space="0" w:color="auto"/>
      </w:divBdr>
    </w:div>
    <w:div w:id="326978359">
      <w:bodyDiv w:val="1"/>
      <w:marLeft w:val="0"/>
      <w:marRight w:val="0"/>
      <w:marTop w:val="0"/>
      <w:marBottom w:val="0"/>
      <w:divBdr>
        <w:top w:val="none" w:sz="0" w:space="0" w:color="auto"/>
        <w:left w:val="none" w:sz="0" w:space="0" w:color="auto"/>
        <w:bottom w:val="none" w:sz="0" w:space="0" w:color="auto"/>
        <w:right w:val="none" w:sz="0" w:space="0" w:color="auto"/>
      </w:divBdr>
    </w:div>
    <w:div w:id="326983973">
      <w:bodyDiv w:val="1"/>
      <w:marLeft w:val="0"/>
      <w:marRight w:val="0"/>
      <w:marTop w:val="0"/>
      <w:marBottom w:val="0"/>
      <w:divBdr>
        <w:top w:val="none" w:sz="0" w:space="0" w:color="auto"/>
        <w:left w:val="none" w:sz="0" w:space="0" w:color="auto"/>
        <w:bottom w:val="none" w:sz="0" w:space="0" w:color="auto"/>
        <w:right w:val="none" w:sz="0" w:space="0" w:color="auto"/>
      </w:divBdr>
    </w:div>
    <w:div w:id="327097144">
      <w:bodyDiv w:val="1"/>
      <w:marLeft w:val="0"/>
      <w:marRight w:val="0"/>
      <w:marTop w:val="0"/>
      <w:marBottom w:val="0"/>
      <w:divBdr>
        <w:top w:val="none" w:sz="0" w:space="0" w:color="auto"/>
        <w:left w:val="none" w:sz="0" w:space="0" w:color="auto"/>
        <w:bottom w:val="none" w:sz="0" w:space="0" w:color="auto"/>
        <w:right w:val="none" w:sz="0" w:space="0" w:color="auto"/>
      </w:divBdr>
    </w:div>
    <w:div w:id="327363229">
      <w:bodyDiv w:val="1"/>
      <w:marLeft w:val="0"/>
      <w:marRight w:val="0"/>
      <w:marTop w:val="0"/>
      <w:marBottom w:val="0"/>
      <w:divBdr>
        <w:top w:val="none" w:sz="0" w:space="0" w:color="auto"/>
        <w:left w:val="none" w:sz="0" w:space="0" w:color="auto"/>
        <w:bottom w:val="none" w:sz="0" w:space="0" w:color="auto"/>
        <w:right w:val="none" w:sz="0" w:space="0" w:color="auto"/>
      </w:divBdr>
    </w:div>
    <w:div w:id="327367072">
      <w:bodyDiv w:val="1"/>
      <w:marLeft w:val="0"/>
      <w:marRight w:val="0"/>
      <w:marTop w:val="0"/>
      <w:marBottom w:val="0"/>
      <w:divBdr>
        <w:top w:val="none" w:sz="0" w:space="0" w:color="auto"/>
        <w:left w:val="none" w:sz="0" w:space="0" w:color="auto"/>
        <w:bottom w:val="none" w:sz="0" w:space="0" w:color="auto"/>
        <w:right w:val="none" w:sz="0" w:space="0" w:color="auto"/>
      </w:divBdr>
    </w:div>
    <w:div w:id="327441041">
      <w:bodyDiv w:val="1"/>
      <w:marLeft w:val="0"/>
      <w:marRight w:val="0"/>
      <w:marTop w:val="0"/>
      <w:marBottom w:val="0"/>
      <w:divBdr>
        <w:top w:val="none" w:sz="0" w:space="0" w:color="auto"/>
        <w:left w:val="none" w:sz="0" w:space="0" w:color="auto"/>
        <w:bottom w:val="none" w:sz="0" w:space="0" w:color="auto"/>
        <w:right w:val="none" w:sz="0" w:space="0" w:color="auto"/>
      </w:divBdr>
    </w:div>
    <w:div w:id="327443494">
      <w:bodyDiv w:val="1"/>
      <w:marLeft w:val="0"/>
      <w:marRight w:val="0"/>
      <w:marTop w:val="0"/>
      <w:marBottom w:val="0"/>
      <w:divBdr>
        <w:top w:val="none" w:sz="0" w:space="0" w:color="auto"/>
        <w:left w:val="none" w:sz="0" w:space="0" w:color="auto"/>
        <w:bottom w:val="none" w:sz="0" w:space="0" w:color="auto"/>
        <w:right w:val="none" w:sz="0" w:space="0" w:color="auto"/>
      </w:divBdr>
    </w:div>
    <w:div w:id="328027574">
      <w:bodyDiv w:val="1"/>
      <w:marLeft w:val="0"/>
      <w:marRight w:val="0"/>
      <w:marTop w:val="0"/>
      <w:marBottom w:val="0"/>
      <w:divBdr>
        <w:top w:val="none" w:sz="0" w:space="0" w:color="auto"/>
        <w:left w:val="none" w:sz="0" w:space="0" w:color="auto"/>
        <w:bottom w:val="none" w:sz="0" w:space="0" w:color="auto"/>
        <w:right w:val="none" w:sz="0" w:space="0" w:color="auto"/>
      </w:divBdr>
    </w:div>
    <w:div w:id="328211763">
      <w:bodyDiv w:val="1"/>
      <w:marLeft w:val="0"/>
      <w:marRight w:val="0"/>
      <w:marTop w:val="0"/>
      <w:marBottom w:val="0"/>
      <w:divBdr>
        <w:top w:val="none" w:sz="0" w:space="0" w:color="auto"/>
        <w:left w:val="none" w:sz="0" w:space="0" w:color="auto"/>
        <w:bottom w:val="none" w:sz="0" w:space="0" w:color="auto"/>
        <w:right w:val="none" w:sz="0" w:space="0" w:color="auto"/>
      </w:divBdr>
    </w:div>
    <w:div w:id="328211988">
      <w:bodyDiv w:val="1"/>
      <w:marLeft w:val="0"/>
      <w:marRight w:val="0"/>
      <w:marTop w:val="0"/>
      <w:marBottom w:val="0"/>
      <w:divBdr>
        <w:top w:val="none" w:sz="0" w:space="0" w:color="auto"/>
        <w:left w:val="none" w:sz="0" w:space="0" w:color="auto"/>
        <w:bottom w:val="none" w:sz="0" w:space="0" w:color="auto"/>
        <w:right w:val="none" w:sz="0" w:space="0" w:color="auto"/>
      </w:divBdr>
    </w:div>
    <w:div w:id="328215507">
      <w:bodyDiv w:val="1"/>
      <w:marLeft w:val="0"/>
      <w:marRight w:val="0"/>
      <w:marTop w:val="0"/>
      <w:marBottom w:val="0"/>
      <w:divBdr>
        <w:top w:val="none" w:sz="0" w:space="0" w:color="auto"/>
        <w:left w:val="none" w:sz="0" w:space="0" w:color="auto"/>
        <w:bottom w:val="none" w:sz="0" w:space="0" w:color="auto"/>
        <w:right w:val="none" w:sz="0" w:space="0" w:color="auto"/>
      </w:divBdr>
    </w:div>
    <w:div w:id="328683199">
      <w:bodyDiv w:val="1"/>
      <w:marLeft w:val="0"/>
      <w:marRight w:val="0"/>
      <w:marTop w:val="0"/>
      <w:marBottom w:val="0"/>
      <w:divBdr>
        <w:top w:val="none" w:sz="0" w:space="0" w:color="auto"/>
        <w:left w:val="none" w:sz="0" w:space="0" w:color="auto"/>
        <w:bottom w:val="none" w:sz="0" w:space="0" w:color="auto"/>
        <w:right w:val="none" w:sz="0" w:space="0" w:color="auto"/>
      </w:divBdr>
    </w:div>
    <w:div w:id="328752704">
      <w:bodyDiv w:val="1"/>
      <w:marLeft w:val="0"/>
      <w:marRight w:val="0"/>
      <w:marTop w:val="0"/>
      <w:marBottom w:val="0"/>
      <w:divBdr>
        <w:top w:val="none" w:sz="0" w:space="0" w:color="auto"/>
        <w:left w:val="none" w:sz="0" w:space="0" w:color="auto"/>
        <w:bottom w:val="none" w:sz="0" w:space="0" w:color="auto"/>
        <w:right w:val="none" w:sz="0" w:space="0" w:color="auto"/>
      </w:divBdr>
    </w:div>
    <w:div w:id="328867553">
      <w:bodyDiv w:val="1"/>
      <w:marLeft w:val="0"/>
      <w:marRight w:val="0"/>
      <w:marTop w:val="0"/>
      <w:marBottom w:val="0"/>
      <w:divBdr>
        <w:top w:val="none" w:sz="0" w:space="0" w:color="auto"/>
        <w:left w:val="none" w:sz="0" w:space="0" w:color="auto"/>
        <w:bottom w:val="none" w:sz="0" w:space="0" w:color="auto"/>
        <w:right w:val="none" w:sz="0" w:space="0" w:color="auto"/>
      </w:divBdr>
    </w:div>
    <w:div w:id="329060460">
      <w:bodyDiv w:val="1"/>
      <w:marLeft w:val="0"/>
      <w:marRight w:val="0"/>
      <w:marTop w:val="0"/>
      <w:marBottom w:val="0"/>
      <w:divBdr>
        <w:top w:val="none" w:sz="0" w:space="0" w:color="auto"/>
        <w:left w:val="none" w:sz="0" w:space="0" w:color="auto"/>
        <w:bottom w:val="none" w:sz="0" w:space="0" w:color="auto"/>
        <w:right w:val="none" w:sz="0" w:space="0" w:color="auto"/>
      </w:divBdr>
    </w:div>
    <w:div w:id="329217657">
      <w:bodyDiv w:val="1"/>
      <w:marLeft w:val="0"/>
      <w:marRight w:val="0"/>
      <w:marTop w:val="0"/>
      <w:marBottom w:val="0"/>
      <w:divBdr>
        <w:top w:val="none" w:sz="0" w:space="0" w:color="auto"/>
        <w:left w:val="none" w:sz="0" w:space="0" w:color="auto"/>
        <w:bottom w:val="none" w:sz="0" w:space="0" w:color="auto"/>
        <w:right w:val="none" w:sz="0" w:space="0" w:color="auto"/>
      </w:divBdr>
    </w:div>
    <w:div w:id="329337603">
      <w:bodyDiv w:val="1"/>
      <w:marLeft w:val="0"/>
      <w:marRight w:val="0"/>
      <w:marTop w:val="0"/>
      <w:marBottom w:val="0"/>
      <w:divBdr>
        <w:top w:val="none" w:sz="0" w:space="0" w:color="auto"/>
        <w:left w:val="none" w:sz="0" w:space="0" w:color="auto"/>
        <w:bottom w:val="none" w:sz="0" w:space="0" w:color="auto"/>
        <w:right w:val="none" w:sz="0" w:space="0" w:color="auto"/>
      </w:divBdr>
    </w:div>
    <w:div w:id="329410230">
      <w:bodyDiv w:val="1"/>
      <w:marLeft w:val="0"/>
      <w:marRight w:val="0"/>
      <w:marTop w:val="0"/>
      <w:marBottom w:val="0"/>
      <w:divBdr>
        <w:top w:val="none" w:sz="0" w:space="0" w:color="auto"/>
        <w:left w:val="none" w:sz="0" w:space="0" w:color="auto"/>
        <w:bottom w:val="none" w:sz="0" w:space="0" w:color="auto"/>
        <w:right w:val="none" w:sz="0" w:space="0" w:color="auto"/>
      </w:divBdr>
    </w:div>
    <w:div w:id="329605450">
      <w:bodyDiv w:val="1"/>
      <w:marLeft w:val="0"/>
      <w:marRight w:val="0"/>
      <w:marTop w:val="0"/>
      <w:marBottom w:val="0"/>
      <w:divBdr>
        <w:top w:val="none" w:sz="0" w:space="0" w:color="auto"/>
        <w:left w:val="none" w:sz="0" w:space="0" w:color="auto"/>
        <w:bottom w:val="none" w:sz="0" w:space="0" w:color="auto"/>
        <w:right w:val="none" w:sz="0" w:space="0" w:color="auto"/>
      </w:divBdr>
    </w:div>
    <w:div w:id="330301758">
      <w:bodyDiv w:val="1"/>
      <w:marLeft w:val="0"/>
      <w:marRight w:val="0"/>
      <w:marTop w:val="0"/>
      <w:marBottom w:val="0"/>
      <w:divBdr>
        <w:top w:val="none" w:sz="0" w:space="0" w:color="auto"/>
        <w:left w:val="none" w:sz="0" w:space="0" w:color="auto"/>
        <w:bottom w:val="none" w:sz="0" w:space="0" w:color="auto"/>
        <w:right w:val="none" w:sz="0" w:space="0" w:color="auto"/>
      </w:divBdr>
    </w:div>
    <w:div w:id="330567946">
      <w:bodyDiv w:val="1"/>
      <w:marLeft w:val="0"/>
      <w:marRight w:val="0"/>
      <w:marTop w:val="0"/>
      <w:marBottom w:val="0"/>
      <w:divBdr>
        <w:top w:val="none" w:sz="0" w:space="0" w:color="auto"/>
        <w:left w:val="none" w:sz="0" w:space="0" w:color="auto"/>
        <w:bottom w:val="none" w:sz="0" w:space="0" w:color="auto"/>
        <w:right w:val="none" w:sz="0" w:space="0" w:color="auto"/>
      </w:divBdr>
    </w:div>
    <w:div w:id="330716738">
      <w:bodyDiv w:val="1"/>
      <w:marLeft w:val="0"/>
      <w:marRight w:val="0"/>
      <w:marTop w:val="0"/>
      <w:marBottom w:val="0"/>
      <w:divBdr>
        <w:top w:val="none" w:sz="0" w:space="0" w:color="auto"/>
        <w:left w:val="none" w:sz="0" w:space="0" w:color="auto"/>
        <w:bottom w:val="none" w:sz="0" w:space="0" w:color="auto"/>
        <w:right w:val="none" w:sz="0" w:space="0" w:color="auto"/>
      </w:divBdr>
    </w:div>
    <w:div w:id="330836484">
      <w:bodyDiv w:val="1"/>
      <w:marLeft w:val="0"/>
      <w:marRight w:val="0"/>
      <w:marTop w:val="0"/>
      <w:marBottom w:val="0"/>
      <w:divBdr>
        <w:top w:val="none" w:sz="0" w:space="0" w:color="auto"/>
        <w:left w:val="none" w:sz="0" w:space="0" w:color="auto"/>
        <w:bottom w:val="none" w:sz="0" w:space="0" w:color="auto"/>
        <w:right w:val="none" w:sz="0" w:space="0" w:color="auto"/>
      </w:divBdr>
    </w:div>
    <w:div w:id="331030632">
      <w:bodyDiv w:val="1"/>
      <w:marLeft w:val="0"/>
      <w:marRight w:val="0"/>
      <w:marTop w:val="0"/>
      <w:marBottom w:val="0"/>
      <w:divBdr>
        <w:top w:val="none" w:sz="0" w:space="0" w:color="auto"/>
        <w:left w:val="none" w:sz="0" w:space="0" w:color="auto"/>
        <w:bottom w:val="none" w:sz="0" w:space="0" w:color="auto"/>
        <w:right w:val="none" w:sz="0" w:space="0" w:color="auto"/>
      </w:divBdr>
    </w:div>
    <w:div w:id="331370305">
      <w:bodyDiv w:val="1"/>
      <w:marLeft w:val="0"/>
      <w:marRight w:val="0"/>
      <w:marTop w:val="0"/>
      <w:marBottom w:val="0"/>
      <w:divBdr>
        <w:top w:val="none" w:sz="0" w:space="0" w:color="auto"/>
        <w:left w:val="none" w:sz="0" w:space="0" w:color="auto"/>
        <w:bottom w:val="none" w:sz="0" w:space="0" w:color="auto"/>
        <w:right w:val="none" w:sz="0" w:space="0" w:color="auto"/>
      </w:divBdr>
    </w:div>
    <w:div w:id="331416696">
      <w:bodyDiv w:val="1"/>
      <w:marLeft w:val="0"/>
      <w:marRight w:val="0"/>
      <w:marTop w:val="0"/>
      <w:marBottom w:val="0"/>
      <w:divBdr>
        <w:top w:val="none" w:sz="0" w:space="0" w:color="auto"/>
        <w:left w:val="none" w:sz="0" w:space="0" w:color="auto"/>
        <w:bottom w:val="none" w:sz="0" w:space="0" w:color="auto"/>
        <w:right w:val="none" w:sz="0" w:space="0" w:color="auto"/>
      </w:divBdr>
    </w:div>
    <w:div w:id="331420595">
      <w:bodyDiv w:val="1"/>
      <w:marLeft w:val="0"/>
      <w:marRight w:val="0"/>
      <w:marTop w:val="0"/>
      <w:marBottom w:val="0"/>
      <w:divBdr>
        <w:top w:val="none" w:sz="0" w:space="0" w:color="auto"/>
        <w:left w:val="none" w:sz="0" w:space="0" w:color="auto"/>
        <w:bottom w:val="none" w:sz="0" w:space="0" w:color="auto"/>
        <w:right w:val="none" w:sz="0" w:space="0" w:color="auto"/>
      </w:divBdr>
    </w:div>
    <w:div w:id="331614879">
      <w:bodyDiv w:val="1"/>
      <w:marLeft w:val="0"/>
      <w:marRight w:val="0"/>
      <w:marTop w:val="0"/>
      <w:marBottom w:val="0"/>
      <w:divBdr>
        <w:top w:val="none" w:sz="0" w:space="0" w:color="auto"/>
        <w:left w:val="none" w:sz="0" w:space="0" w:color="auto"/>
        <w:bottom w:val="none" w:sz="0" w:space="0" w:color="auto"/>
        <w:right w:val="none" w:sz="0" w:space="0" w:color="auto"/>
      </w:divBdr>
    </w:div>
    <w:div w:id="331764984">
      <w:bodyDiv w:val="1"/>
      <w:marLeft w:val="0"/>
      <w:marRight w:val="0"/>
      <w:marTop w:val="0"/>
      <w:marBottom w:val="0"/>
      <w:divBdr>
        <w:top w:val="none" w:sz="0" w:space="0" w:color="auto"/>
        <w:left w:val="none" w:sz="0" w:space="0" w:color="auto"/>
        <w:bottom w:val="none" w:sz="0" w:space="0" w:color="auto"/>
        <w:right w:val="none" w:sz="0" w:space="0" w:color="auto"/>
      </w:divBdr>
    </w:div>
    <w:div w:id="331835865">
      <w:bodyDiv w:val="1"/>
      <w:marLeft w:val="0"/>
      <w:marRight w:val="0"/>
      <w:marTop w:val="0"/>
      <w:marBottom w:val="0"/>
      <w:divBdr>
        <w:top w:val="none" w:sz="0" w:space="0" w:color="auto"/>
        <w:left w:val="none" w:sz="0" w:space="0" w:color="auto"/>
        <w:bottom w:val="none" w:sz="0" w:space="0" w:color="auto"/>
        <w:right w:val="none" w:sz="0" w:space="0" w:color="auto"/>
      </w:divBdr>
    </w:div>
    <w:div w:id="332027541">
      <w:bodyDiv w:val="1"/>
      <w:marLeft w:val="0"/>
      <w:marRight w:val="0"/>
      <w:marTop w:val="0"/>
      <w:marBottom w:val="0"/>
      <w:divBdr>
        <w:top w:val="none" w:sz="0" w:space="0" w:color="auto"/>
        <w:left w:val="none" w:sz="0" w:space="0" w:color="auto"/>
        <w:bottom w:val="none" w:sz="0" w:space="0" w:color="auto"/>
        <w:right w:val="none" w:sz="0" w:space="0" w:color="auto"/>
      </w:divBdr>
    </w:div>
    <w:div w:id="332218898">
      <w:bodyDiv w:val="1"/>
      <w:marLeft w:val="0"/>
      <w:marRight w:val="0"/>
      <w:marTop w:val="0"/>
      <w:marBottom w:val="0"/>
      <w:divBdr>
        <w:top w:val="none" w:sz="0" w:space="0" w:color="auto"/>
        <w:left w:val="none" w:sz="0" w:space="0" w:color="auto"/>
        <w:bottom w:val="none" w:sz="0" w:space="0" w:color="auto"/>
        <w:right w:val="none" w:sz="0" w:space="0" w:color="auto"/>
      </w:divBdr>
    </w:div>
    <w:div w:id="332416395">
      <w:bodyDiv w:val="1"/>
      <w:marLeft w:val="0"/>
      <w:marRight w:val="0"/>
      <w:marTop w:val="0"/>
      <w:marBottom w:val="0"/>
      <w:divBdr>
        <w:top w:val="none" w:sz="0" w:space="0" w:color="auto"/>
        <w:left w:val="none" w:sz="0" w:space="0" w:color="auto"/>
        <w:bottom w:val="none" w:sz="0" w:space="0" w:color="auto"/>
        <w:right w:val="none" w:sz="0" w:space="0" w:color="auto"/>
      </w:divBdr>
    </w:div>
    <w:div w:id="332493179">
      <w:bodyDiv w:val="1"/>
      <w:marLeft w:val="0"/>
      <w:marRight w:val="0"/>
      <w:marTop w:val="0"/>
      <w:marBottom w:val="0"/>
      <w:divBdr>
        <w:top w:val="none" w:sz="0" w:space="0" w:color="auto"/>
        <w:left w:val="none" w:sz="0" w:space="0" w:color="auto"/>
        <w:bottom w:val="none" w:sz="0" w:space="0" w:color="auto"/>
        <w:right w:val="none" w:sz="0" w:space="0" w:color="auto"/>
      </w:divBdr>
    </w:div>
    <w:div w:id="332805986">
      <w:bodyDiv w:val="1"/>
      <w:marLeft w:val="0"/>
      <w:marRight w:val="0"/>
      <w:marTop w:val="0"/>
      <w:marBottom w:val="0"/>
      <w:divBdr>
        <w:top w:val="none" w:sz="0" w:space="0" w:color="auto"/>
        <w:left w:val="none" w:sz="0" w:space="0" w:color="auto"/>
        <w:bottom w:val="none" w:sz="0" w:space="0" w:color="auto"/>
        <w:right w:val="none" w:sz="0" w:space="0" w:color="auto"/>
      </w:divBdr>
    </w:div>
    <w:div w:id="332806396">
      <w:bodyDiv w:val="1"/>
      <w:marLeft w:val="0"/>
      <w:marRight w:val="0"/>
      <w:marTop w:val="0"/>
      <w:marBottom w:val="0"/>
      <w:divBdr>
        <w:top w:val="none" w:sz="0" w:space="0" w:color="auto"/>
        <w:left w:val="none" w:sz="0" w:space="0" w:color="auto"/>
        <w:bottom w:val="none" w:sz="0" w:space="0" w:color="auto"/>
        <w:right w:val="none" w:sz="0" w:space="0" w:color="auto"/>
      </w:divBdr>
    </w:div>
    <w:div w:id="332807266">
      <w:bodyDiv w:val="1"/>
      <w:marLeft w:val="0"/>
      <w:marRight w:val="0"/>
      <w:marTop w:val="0"/>
      <w:marBottom w:val="0"/>
      <w:divBdr>
        <w:top w:val="none" w:sz="0" w:space="0" w:color="auto"/>
        <w:left w:val="none" w:sz="0" w:space="0" w:color="auto"/>
        <w:bottom w:val="none" w:sz="0" w:space="0" w:color="auto"/>
        <w:right w:val="none" w:sz="0" w:space="0" w:color="auto"/>
      </w:divBdr>
    </w:div>
    <w:div w:id="332950011">
      <w:bodyDiv w:val="1"/>
      <w:marLeft w:val="0"/>
      <w:marRight w:val="0"/>
      <w:marTop w:val="0"/>
      <w:marBottom w:val="0"/>
      <w:divBdr>
        <w:top w:val="none" w:sz="0" w:space="0" w:color="auto"/>
        <w:left w:val="none" w:sz="0" w:space="0" w:color="auto"/>
        <w:bottom w:val="none" w:sz="0" w:space="0" w:color="auto"/>
        <w:right w:val="none" w:sz="0" w:space="0" w:color="auto"/>
      </w:divBdr>
    </w:div>
    <w:div w:id="332992856">
      <w:bodyDiv w:val="1"/>
      <w:marLeft w:val="0"/>
      <w:marRight w:val="0"/>
      <w:marTop w:val="0"/>
      <w:marBottom w:val="0"/>
      <w:divBdr>
        <w:top w:val="none" w:sz="0" w:space="0" w:color="auto"/>
        <w:left w:val="none" w:sz="0" w:space="0" w:color="auto"/>
        <w:bottom w:val="none" w:sz="0" w:space="0" w:color="auto"/>
        <w:right w:val="none" w:sz="0" w:space="0" w:color="auto"/>
      </w:divBdr>
    </w:div>
    <w:div w:id="332994177">
      <w:bodyDiv w:val="1"/>
      <w:marLeft w:val="0"/>
      <w:marRight w:val="0"/>
      <w:marTop w:val="0"/>
      <w:marBottom w:val="0"/>
      <w:divBdr>
        <w:top w:val="none" w:sz="0" w:space="0" w:color="auto"/>
        <w:left w:val="none" w:sz="0" w:space="0" w:color="auto"/>
        <w:bottom w:val="none" w:sz="0" w:space="0" w:color="auto"/>
        <w:right w:val="none" w:sz="0" w:space="0" w:color="auto"/>
      </w:divBdr>
    </w:div>
    <w:div w:id="333074983">
      <w:bodyDiv w:val="1"/>
      <w:marLeft w:val="0"/>
      <w:marRight w:val="0"/>
      <w:marTop w:val="0"/>
      <w:marBottom w:val="0"/>
      <w:divBdr>
        <w:top w:val="none" w:sz="0" w:space="0" w:color="auto"/>
        <w:left w:val="none" w:sz="0" w:space="0" w:color="auto"/>
        <w:bottom w:val="none" w:sz="0" w:space="0" w:color="auto"/>
        <w:right w:val="none" w:sz="0" w:space="0" w:color="auto"/>
      </w:divBdr>
    </w:div>
    <w:div w:id="333189984">
      <w:bodyDiv w:val="1"/>
      <w:marLeft w:val="0"/>
      <w:marRight w:val="0"/>
      <w:marTop w:val="0"/>
      <w:marBottom w:val="0"/>
      <w:divBdr>
        <w:top w:val="none" w:sz="0" w:space="0" w:color="auto"/>
        <w:left w:val="none" w:sz="0" w:space="0" w:color="auto"/>
        <w:bottom w:val="none" w:sz="0" w:space="0" w:color="auto"/>
        <w:right w:val="none" w:sz="0" w:space="0" w:color="auto"/>
      </w:divBdr>
    </w:div>
    <w:div w:id="333462396">
      <w:bodyDiv w:val="1"/>
      <w:marLeft w:val="0"/>
      <w:marRight w:val="0"/>
      <w:marTop w:val="0"/>
      <w:marBottom w:val="0"/>
      <w:divBdr>
        <w:top w:val="none" w:sz="0" w:space="0" w:color="auto"/>
        <w:left w:val="none" w:sz="0" w:space="0" w:color="auto"/>
        <w:bottom w:val="none" w:sz="0" w:space="0" w:color="auto"/>
        <w:right w:val="none" w:sz="0" w:space="0" w:color="auto"/>
      </w:divBdr>
    </w:div>
    <w:div w:id="333529192">
      <w:bodyDiv w:val="1"/>
      <w:marLeft w:val="0"/>
      <w:marRight w:val="0"/>
      <w:marTop w:val="0"/>
      <w:marBottom w:val="0"/>
      <w:divBdr>
        <w:top w:val="none" w:sz="0" w:space="0" w:color="auto"/>
        <w:left w:val="none" w:sz="0" w:space="0" w:color="auto"/>
        <w:bottom w:val="none" w:sz="0" w:space="0" w:color="auto"/>
        <w:right w:val="none" w:sz="0" w:space="0" w:color="auto"/>
      </w:divBdr>
    </w:div>
    <w:div w:id="333530823">
      <w:bodyDiv w:val="1"/>
      <w:marLeft w:val="0"/>
      <w:marRight w:val="0"/>
      <w:marTop w:val="0"/>
      <w:marBottom w:val="0"/>
      <w:divBdr>
        <w:top w:val="none" w:sz="0" w:space="0" w:color="auto"/>
        <w:left w:val="none" w:sz="0" w:space="0" w:color="auto"/>
        <w:bottom w:val="none" w:sz="0" w:space="0" w:color="auto"/>
        <w:right w:val="none" w:sz="0" w:space="0" w:color="auto"/>
      </w:divBdr>
    </w:div>
    <w:div w:id="333530832">
      <w:bodyDiv w:val="1"/>
      <w:marLeft w:val="0"/>
      <w:marRight w:val="0"/>
      <w:marTop w:val="0"/>
      <w:marBottom w:val="0"/>
      <w:divBdr>
        <w:top w:val="none" w:sz="0" w:space="0" w:color="auto"/>
        <w:left w:val="none" w:sz="0" w:space="0" w:color="auto"/>
        <w:bottom w:val="none" w:sz="0" w:space="0" w:color="auto"/>
        <w:right w:val="none" w:sz="0" w:space="0" w:color="auto"/>
      </w:divBdr>
    </w:div>
    <w:div w:id="333805033">
      <w:bodyDiv w:val="1"/>
      <w:marLeft w:val="0"/>
      <w:marRight w:val="0"/>
      <w:marTop w:val="0"/>
      <w:marBottom w:val="0"/>
      <w:divBdr>
        <w:top w:val="none" w:sz="0" w:space="0" w:color="auto"/>
        <w:left w:val="none" w:sz="0" w:space="0" w:color="auto"/>
        <w:bottom w:val="none" w:sz="0" w:space="0" w:color="auto"/>
        <w:right w:val="none" w:sz="0" w:space="0" w:color="auto"/>
      </w:divBdr>
    </w:div>
    <w:div w:id="333992481">
      <w:bodyDiv w:val="1"/>
      <w:marLeft w:val="0"/>
      <w:marRight w:val="0"/>
      <w:marTop w:val="0"/>
      <w:marBottom w:val="0"/>
      <w:divBdr>
        <w:top w:val="none" w:sz="0" w:space="0" w:color="auto"/>
        <w:left w:val="none" w:sz="0" w:space="0" w:color="auto"/>
        <w:bottom w:val="none" w:sz="0" w:space="0" w:color="auto"/>
        <w:right w:val="none" w:sz="0" w:space="0" w:color="auto"/>
      </w:divBdr>
    </w:div>
    <w:div w:id="333993352">
      <w:bodyDiv w:val="1"/>
      <w:marLeft w:val="0"/>
      <w:marRight w:val="0"/>
      <w:marTop w:val="0"/>
      <w:marBottom w:val="0"/>
      <w:divBdr>
        <w:top w:val="none" w:sz="0" w:space="0" w:color="auto"/>
        <w:left w:val="none" w:sz="0" w:space="0" w:color="auto"/>
        <w:bottom w:val="none" w:sz="0" w:space="0" w:color="auto"/>
        <w:right w:val="none" w:sz="0" w:space="0" w:color="auto"/>
      </w:divBdr>
    </w:div>
    <w:div w:id="334503253">
      <w:bodyDiv w:val="1"/>
      <w:marLeft w:val="0"/>
      <w:marRight w:val="0"/>
      <w:marTop w:val="0"/>
      <w:marBottom w:val="0"/>
      <w:divBdr>
        <w:top w:val="none" w:sz="0" w:space="0" w:color="auto"/>
        <w:left w:val="none" w:sz="0" w:space="0" w:color="auto"/>
        <w:bottom w:val="none" w:sz="0" w:space="0" w:color="auto"/>
        <w:right w:val="none" w:sz="0" w:space="0" w:color="auto"/>
      </w:divBdr>
    </w:div>
    <w:div w:id="334723246">
      <w:bodyDiv w:val="1"/>
      <w:marLeft w:val="0"/>
      <w:marRight w:val="0"/>
      <w:marTop w:val="0"/>
      <w:marBottom w:val="0"/>
      <w:divBdr>
        <w:top w:val="none" w:sz="0" w:space="0" w:color="auto"/>
        <w:left w:val="none" w:sz="0" w:space="0" w:color="auto"/>
        <w:bottom w:val="none" w:sz="0" w:space="0" w:color="auto"/>
        <w:right w:val="none" w:sz="0" w:space="0" w:color="auto"/>
      </w:divBdr>
    </w:div>
    <w:div w:id="334770631">
      <w:bodyDiv w:val="1"/>
      <w:marLeft w:val="0"/>
      <w:marRight w:val="0"/>
      <w:marTop w:val="0"/>
      <w:marBottom w:val="0"/>
      <w:divBdr>
        <w:top w:val="none" w:sz="0" w:space="0" w:color="auto"/>
        <w:left w:val="none" w:sz="0" w:space="0" w:color="auto"/>
        <w:bottom w:val="none" w:sz="0" w:space="0" w:color="auto"/>
        <w:right w:val="none" w:sz="0" w:space="0" w:color="auto"/>
      </w:divBdr>
    </w:div>
    <w:div w:id="334772352">
      <w:bodyDiv w:val="1"/>
      <w:marLeft w:val="0"/>
      <w:marRight w:val="0"/>
      <w:marTop w:val="0"/>
      <w:marBottom w:val="0"/>
      <w:divBdr>
        <w:top w:val="none" w:sz="0" w:space="0" w:color="auto"/>
        <w:left w:val="none" w:sz="0" w:space="0" w:color="auto"/>
        <w:bottom w:val="none" w:sz="0" w:space="0" w:color="auto"/>
        <w:right w:val="none" w:sz="0" w:space="0" w:color="auto"/>
      </w:divBdr>
    </w:div>
    <w:div w:id="334847917">
      <w:bodyDiv w:val="1"/>
      <w:marLeft w:val="0"/>
      <w:marRight w:val="0"/>
      <w:marTop w:val="0"/>
      <w:marBottom w:val="0"/>
      <w:divBdr>
        <w:top w:val="none" w:sz="0" w:space="0" w:color="auto"/>
        <w:left w:val="none" w:sz="0" w:space="0" w:color="auto"/>
        <w:bottom w:val="none" w:sz="0" w:space="0" w:color="auto"/>
        <w:right w:val="none" w:sz="0" w:space="0" w:color="auto"/>
      </w:divBdr>
    </w:div>
    <w:div w:id="334889210">
      <w:bodyDiv w:val="1"/>
      <w:marLeft w:val="0"/>
      <w:marRight w:val="0"/>
      <w:marTop w:val="0"/>
      <w:marBottom w:val="0"/>
      <w:divBdr>
        <w:top w:val="none" w:sz="0" w:space="0" w:color="auto"/>
        <w:left w:val="none" w:sz="0" w:space="0" w:color="auto"/>
        <w:bottom w:val="none" w:sz="0" w:space="0" w:color="auto"/>
        <w:right w:val="none" w:sz="0" w:space="0" w:color="auto"/>
      </w:divBdr>
    </w:div>
    <w:div w:id="334889650">
      <w:bodyDiv w:val="1"/>
      <w:marLeft w:val="0"/>
      <w:marRight w:val="0"/>
      <w:marTop w:val="0"/>
      <w:marBottom w:val="0"/>
      <w:divBdr>
        <w:top w:val="none" w:sz="0" w:space="0" w:color="auto"/>
        <w:left w:val="none" w:sz="0" w:space="0" w:color="auto"/>
        <w:bottom w:val="none" w:sz="0" w:space="0" w:color="auto"/>
        <w:right w:val="none" w:sz="0" w:space="0" w:color="auto"/>
      </w:divBdr>
    </w:div>
    <w:div w:id="334890341">
      <w:bodyDiv w:val="1"/>
      <w:marLeft w:val="0"/>
      <w:marRight w:val="0"/>
      <w:marTop w:val="0"/>
      <w:marBottom w:val="0"/>
      <w:divBdr>
        <w:top w:val="none" w:sz="0" w:space="0" w:color="auto"/>
        <w:left w:val="none" w:sz="0" w:space="0" w:color="auto"/>
        <w:bottom w:val="none" w:sz="0" w:space="0" w:color="auto"/>
        <w:right w:val="none" w:sz="0" w:space="0" w:color="auto"/>
      </w:divBdr>
    </w:div>
    <w:div w:id="335038822">
      <w:bodyDiv w:val="1"/>
      <w:marLeft w:val="0"/>
      <w:marRight w:val="0"/>
      <w:marTop w:val="0"/>
      <w:marBottom w:val="0"/>
      <w:divBdr>
        <w:top w:val="none" w:sz="0" w:space="0" w:color="auto"/>
        <w:left w:val="none" w:sz="0" w:space="0" w:color="auto"/>
        <w:bottom w:val="none" w:sz="0" w:space="0" w:color="auto"/>
        <w:right w:val="none" w:sz="0" w:space="0" w:color="auto"/>
      </w:divBdr>
    </w:div>
    <w:div w:id="335183747">
      <w:bodyDiv w:val="1"/>
      <w:marLeft w:val="0"/>
      <w:marRight w:val="0"/>
      <w:marTop w:val="0"/>
      <w:marBottom w:val="0"/>
      <w:divBdr>
        <w:top w:val="none" w:sz="0" w:space="0" w:color="auto"/>
        <w:left w:val="none" w:sz="0" w:space="0" w:color="auto"/>
        <w:bottom w:val="none" w:sz="0" w:space="0" w:color="auto"/>
        <w:right w:val="none" w:sz="0" w:space="0" w:color="auto"/>
      </w:divBdr>
    </w:div>
    <w:div w:id="335311340">
      <w:bodyDiv w:val="1"/>
      <w:marLeft w:val="0"/>
      <w:marRight w:val="0"/>
      <w:marTop w:val="0"/>
      <w:marBottom w:val="0"/>
      <w:divBdr>
        <w:top w:val="none" w:sz="0" w:space="0" w:color="auto"/>
        <w:left w:val="none" w:sz="0" w:space="0" w:color="auto"/>
        <w:bottom w:val="none" w:sz="0" w:space="0" w:color="auto"/>
        <w:right w:val="none" w:sz="0" w:space="0" w:color="auto"/>
      </w:divBdr>
    </w:div>
    <w:div w:id="335423083">
      <w:bodyDiv w:val="1"/>
      <w:marLeft w:val="0"/>
      <w:marRight w:val="0"/>
      <w:marTop w:val="0"/>
      <w:marBottom w:val="0"/>
      <w:divBdr>
        <w:top w:val="none" w:sz="0" w:space="0" w:color="auto"/>
        <w:left w:val="none" w:sz="0" w:space="0" w:color="auto"/>
        <w:bottom w:val="none" w:sz="0" w:space="0" w:color="auto"/>
        <w:right w:val="none" w:sz="0" w:space="0" w:color="auto"/>
      </w:divBdr>
    </w:div>
    <w:div w:id="335689105">
      <w:bodyDiv w:val="1"/>
      <w:marLeft w:val="0"/>
      <w:marRight w:val="0"/>
      <w:marTop w:val="0"/>
      <w:marBottom w:val="0"/>
      <w:divBdr>
        <w:top w:val="none" w:sz="0" w:space="0" w:color="auto"/>
        <w:left w:val="none" w:sz="0" w:space="0" w:color="auto"/>
        <w:bottom w:val="none" w:sz="0" w:space="0" w:color="auto"/>
        <w:right w:val="none" w:sz="0" w:space="0" w:color="auto"/>
      </w:divBdr>
    </w:div>
    <w:div w:id="335889648">
      <w:bodyDiv w:val="1"/>
      <w:marLeft w:val="0"/>
      <w:marRight w:val="0"/>
      <w:marTop w:val="0"/>
      <w:marBottom w:val="0"/>
      <w:divBdr>
        <w:top w:val="none" w:sz="0" w:space="0" w:color="auto"/>
        <w:left w:val="none" w:sz="0" w:space="0" w:color="auto"/>
        <w:bottom w:val="none" w:sz="0" w:space="0" w:color="auto"/>
        <w:right w:val="none" w:sz="0" w:space="0" w:color="auto"/>
      </w:divBdr>
    </w:div>
    <w:div w:id="336081910">
      <w:bodyDiv w:val="1"/>
      <w:marLeft w:val="0"/>
      <w:marRight w:val="0"/>
      <w:marTop w:val="0"/>
      <w:marBottom w:val="0"/>
      <w:divBdr>
        <w:top w:val="none" w:sz="0" w:space="0" w:color="auto"/>
        <w:left w:val="none" w:sz="0" w:space="0" w:color="auto"/>
        <w:bottom w:val="none" w:sz="0" w:space="0" w:color="auto"/>
        <w:right w:val="none" w:sz="0" w:space="0" w:color="auto"/>
      </w:divBdr>
    </w:div>
    <w:div w:id="336274789">
      <w:bodyDiv w:val="1"/>
      <w:marLeft w:val="0"/>
      <w:marRight w:val="0"/>
      <w:marTop w:val="0"/>
      <w:marBottom w:val="0"/>
      <w:divBdr>
        <w:top w:val="none" w:sz="0" w:space="0" w:color="auto"/>
        <w:left w:val="none" w:sz="0" w:space="0" w:color="auto"/>
        <w:bottom w:val="none" w:sz="0" w:space="0" w:color="auto"/>
        <w:right w:val="none" w:sz="0" w:space="0" w:color="auto"/>
      </w:divBdr>
    </w:div>
    <w:div w:id="336343527">
      <w:bodyDiv w:val="1"/>
      <w:marLeft w:val="0"/>
      <w:marRight w:val="0"/>
      <w:marTop w:val="0"/>
      <w:marBottom w:val="0"/>
      <w:divBdr>
        <w:top w:val="none" w:sz="0" w:space="0" w:color="auto"/>
        <w:left w:val="none" w:sz="0" w:space="0" w:color="auto"/>
        <w:bottom w:val="none" w:sz="0" w:space="0" w:color="auto"/>
        <w:right w:val="none" w:sz="0" w:space="0" w:color="auto"/>
      </w:divBdr>
    </w:div>
    <w:div w:id="336464149">
      <w:bodyDiv w:val="1"/>
      <w:marLeft w:val="0"/>
      <w:marRight w:val="0"/>
      <w:marTop w:val="0"/>
      <w:marBottom w:val="0"/>
      <w:divBdr>
        <w:top w:val="none" w:sz="0" w:space="0" w:color="auto"/>
        <w:left w:val="none" w:sz="0" w:space="0" w:color="auto"/>
        <w:bottom w:val="none" w:sz="0" w:space="0" w:color="auto"/>
        <w:right w:val="none" w:sz="0" w:space="0" w:color="auto"/>
      </w:divBdr>
    </w:div>
    <w:div w:id="336620543">
      <w:bodyDiv w:val="1"/>
      <w:marLeft w:val="0"/>
      <w:marRight w:val="0"/>
      <w:marTop w:val="0"/>
      <w:marBottom w:val="0"/>
      <w:divBdr>
        <w:top w:val="none" w:sz="0" w:space="0" w:color="auto"/>
        <w:left w:val="none" w:sz="0" w:space="0" w:color="auto"/>
        <w:bottom w:val="none" w:sz="0" w:space="0" w:color="auto"/>
        <w:right w:val="none" w:sz="0" w:space="0" w:color="auto"/>
      </w:divBdr>
    </w:div>
    <w:div w:id="336806800">
      <w:bodyDiv w:val="1"/>
      <w:marLeft w:val="0"/>
      <w:marRight w:val="0"/>
      <w:marTop w:val="0"/>
      <w:marBottom w:val="0"/>
      <w:divBdr>
        <w:top w:val="none" w:sz="0" w:space="0" w:color="auto"/>
        <w:left w:val="none" w:sz="0" w:space="0" w:color="auto"/>
        <w:bottom w:val="none" w:sz="0" w:space="0" w:color="auto"/>
        <w:right w:val="none" w:sz="0" w:space="0" w:color="auto"/>
      </w:divBdr>
    </w:div>
    <w:div w:id="336813321">
      <w:bodyDiv w:val="1"/>
      <w:marLeft w:val="0"/>
      <w:marRight w:val="0"/>
      <w:marTop w:val="0"/>
      <w:marBottom w:val="0"/>
      <w:divBdr>
        <w:top w:val="none" w:sz="0" w:space="0" w:color="auto"/>
        <w:left w:val="none" w:sz="0" w:space="0" w:color="auto"/>
        <w:bottom w:val="none" w:sz="0" w:space="0" w:color="auto"/>
        <w:right w:val="none" w:sz="0" w:space="0" w:color="auto"/>
      </w:divBdr>
    </w:div>
    <w:div w:id="336925382">
      <w:bodyDiv w:val="1"/>
      <w:marLeft w:val="0"/>
      <w:marRight w:val="0"/>
      <w:marTop w:val="0"/>
      <w:marBottom w:val="0"/>
      <w:divBdr>
        <w:top w:val="none" w:sz="0" w:space="0" w:color="auto"/>
        <w:left w:val="none" w:sz="0" w:space="0" w:color="auto"/>
        <w:bottom w:val="none" w:sz="0" w:space="0" w:color="auto"/>
        <w:right w:val="none" w:sz="0" w:space="0" w:color="auto"/>
      </w:divBdr>
    </w:div>
    <w:div w:id="337467143">
      <w:bodyDiv w:val="1"/>
      <w:marLeft w:val="0"/>
      <w:marRight w:val="0"/>
      <w:marTop w:val="0"/>
      <w:marBottom w:val="0"/>
      <w:divBdr>
        <w:top w:val="none" w:sz="0" w:space="0" w:color="auto"/>
        <w:left w:val="none" w:sz="0" w:space="0" w:color="auto"/>
        <w:bottom w:val="none" w:sz="0" w:space="0" w:color="auto"/>
        <w:right w:val="none" w:sz="0" w:space="0" w:color="auto"/>
      </w:divBdr>
    </w:div>
    <w:div w:id="337583548">
      <w:bodyDiv w:val="1"/>
      <w:marLeft w:val="0"/>
      <w:marRight w:val="0"/>
      <w:marTop w:val="0"/>
      <w:marBottom w:val="0"/>
      <w:divBdr>
        <w:top w:val="none" w:sz="0" w:space="0" w:color="auto"/>
        <w:left w:val="none" w:sz="0" w:space="0" w:color="auto"/>
        <w:bottom w:val="none" w:sz="0" w:space="0" w:color="auto"/>
        <w:right w:val="none" w:sz="0" w:space="0" w:color="auto"/>
      </w:divBdr>
    </w:div>
    <w:div w:id="337587202">
      <w:bodyDiv w:val="1"/>
      <w:marLeft w:val="0"/>
      <w:marRight w:val="0"/>
      <w:marTop w:val="0"/>
      <w:marBottom w:val="0"/>
      <w:divBdr>
        <w:top w:val="none" w:sz="0" w:space="0" w:color="auto"/>
        <w:left w:val="none" w:sz="0" w:space="0" w:color="auto"/>
        <w:bottom w:val="none" w:sz="0" w:space="0" w:color="auto"/>
        <w:right w:val="none" w:sz="0" w:space="0" w:color="auto"/>
      </w:divBdr>
    </w:div>
    <w:div w:id="337851596">
      <w:bodyDiv w:val="1"/>
      <w:marLeft w:val="0"/>
      <w:marRight w:val="0"/>
      <w:marTop w:val="0"/>
      <w:marBottom w:val="0"/>
      <w:divBdr>
        <w:top w:val="none" w:sz="0" w:space="0" w:color="auto"/>
        <w:left w:val="none" w:sz="0" w:space="0" w:color="auto"/>
        <w:bottom w:val="none" w:sz="0" w:space="0" w:color="auto"/>
        <w:right w:val="none" w:sz="0" w:space="0" w:color="auto"/>
      </w:divBdr>
    </w:div>
    <w:div w:id="337922822">
      <w:bodyDiv w:val="1"/>
      <w:marLeft w:val="0"/>
      <w:marRight w:val="0"/>
      <w:marTop w:val="0"/>
      <w:marBottom w:val="0"/>
      <w:divBdr>
        <w:top w:val="none" w:sz="0" w:space="0" w:color="auto"/>
        <w:left w:val="none" w:sz="0" w:space="0" w:color="auto"/>
        <w:bottom w:val="none" w:sz="0" w:space="0" w:color="auto"/>
        <w:right w:val="none" w:sz="0" w:space="0" w:color="auto"/>
      </w:divBdr>
    </w:div>
    <w:div w:id="337971755">
      <w:bodyDiv w:val="1"/>
      <w:marLeft w:val="0"/>
      <w:marRight w:val="0"/>
      <w:marTop w:val="0"/>
      <w:marBottom w:val="0"/>
      <w:divBdr>
        <w:top w:val="none" w:sz="0" w:space="0" w:color="auto"/>
        <w:left w:val="none" w:sz="0" w:space="0" w:color="auto"/>
        <w:bottom w:val="none" w:sz="0" w:space="0" w:color="auto"/>
        <w:right w:val="none" w:sz="0" w:space="0" w:color="auto"/>
      </w:divBdr>
    </w:div>
    <w:div w:id="338168162">
      <w:bodyDiv w:val="1"/>
      <w:marLeft w:val="0"/>
      <w:marRight w:val="0"/>
      <w:marTop w:val="0"/>
      <w:marBottom w:val="0"/>
      <w:divBdr>
        <w:top w:val="none" w:sz="0" w:space="0" w:color="auto"/>
        <w:left w:val="none" w:sz="0" w:space="0" w:color="auto"/>
        <w:bottom w:val="none" w:sz="0" w:space="0" w:color="auto"/>
        <w:right w:val="none" w:sz="0" w:space="0" w:color="auto"/>
      </w:divBdr>
    </w:div>
    <w:div w:id="338239487">
      <w:bodyDiv w:val="1"/>
      <w:marLeft w:val="0"/>
      <w:marRight w:val="0"/>
      <w:marTop w:val="0"/>
      <w:marBottom w:val="0"/>
      <w:divBdr>
        <w:top w:val="none" w:sz="0" w:space="0" w:color="auto"/>
        <w:left w:val="none" w:sz="0" w:space="0" w:color="auto"/>
        <w:bottom w:val="none" w:sz="0" w:space="0" w:color="auto"/>
        <w:right w:val="none" w:sz="0" w:space="0" w:color="auto"/>
      </w:divBdr>
    </w:div>
    <w:div w:id="338385259">
      <w:bodyDiv w:val="1"/>
      <w:marLeft w:val="0"/>
      <w:marRight w:val="0"/>
      <w:marTop w:val="0"/>
      <w:marBottom w:val="0"/>
      <w:divBdr>
        <w:top w:val="none" w:sz="0" w:space="0" w:color="auto"/>
        <w:left w:val="none" w:sz="0" w:space="0" w:color="auto"/>
        <w:bottom w:val="none" w:sz="0" w:space="0" w:color="auto"/>
        <w:right w:val="none" w:sz="0" w:space="0" w:color="auto"/>
      </w:divBdr>
    </w:div>
    <w:div w:id="338385480">
      <w:bodyDiv w:val="1"/>
      <w:marLeft w:val="0"/>
      <w:marRight w:val="0"/>
      <w:marTop w:val="0"/>
      <w:marBottom w:val="0"/>
      <w:divBdr>
        <w:top w:val="none" w:sz="0" w:space="0" w:color="auto"/>
        <w:left w:val="none" w:sz="0" w:space="0" w:color="auto"/>
        <w:bottom w:val="none" w:sz="0" w:space="0" w:color="auto"/>
        <w:right w:val="none" w:sz="0" w:space="0" w:color="auto"/>
      </w:divBdr>
    </w:div>
    <w:div w:id="338392625">
      <w:bodyDiv w:val="1"/>
      <w:marLeft w:val="0"/>
      <w:marRight w:val="0"/>
      <w:marTop w:val="0"/>
      <w:marBottom w:val="0"/>
      <w:divBdr>
        <w:top w:val="none" w:sz="0" w:space="0" w:color="auto"/>
        <w:left w:val="none" w:sz="0" w:space="0" w:color="auto"/>
        <w:bottom w:val="none" w:sz="0" w:space="0" w:color="auto"/>
        <w:right w:val="none" w:sz="0" w:space="0" w:color="auto"/>
      </w:divBdr>
    </w:div>
    <w:div w:id="338772136">
      <w:bodyDiv w:val="1"/>
      <w:marLeft w:val="0"/>
      <w:marRight w:val="0"/>
      <w:marTop w:val="0"/>
      <w:marBottom w:val="0"/>
      <w:divBdr>
        <w:top w:val="none" w:sz="0" w:space="0" w:color="auto"/>
        <w:left w:val="none" w:sz="0" w:space="0" w:color="auto"/>
        <w:bottom w:val="none" w:sz="0" w:space="0" w:color="auto"/>
        <w:right w:val="none" w:sz="0" w:space="0" w:color="auto"/>
      </w:divBdr>
    </w:div>
    <w:div w:id="338776151">
      <w:bodyDiv w:val="1"/>
      <w:marLeft w:val="0"/>
      <w:marRight w:val="0"/>
      <w:marTop w:val="0"/>
      <w:marBottom w:val="0"/>
      <w:divBdr>
        <w:top w:val="none" w:sz="0" w:space="0" w:color="auto"/>
        <w:left w:val="none" w:sz="0" w:space="0" w:color="auto"/>
        <w:bottom w:val="none" w:sz="0" w:space="0" w:color="auto"/>
        <w:right w:val="none" w:sz="0" w:space="0" w:color="auto"/>
      </w:divBdr>
    </w:div>
    <w:div w:id="338850028">
      <w:bodyDiv w:val="1"/>
      <w:marLeft w:val="0"/>
      <w:marRight w:val="0"/>
      <w:marTop w:val="0"/>
      <w:marBottom w:val="0"/>
      <w:divBdr>
        <w:top w:val="none" w:sz="0" w:space="0" w:color="auto"/>
        <w:left w:val="none" w:sz="0" w:space="0" w:color="auto"/>
        <w:bottom w:val="none" w:sz="0" w:space="0" w:color="auto"/>
        <w:right w:val="none" w:sz="0" w:space="0" w:color="auto"/>
      </w:divBdr>
    </w:div>
    <w:div w:id="339049657">
      <w:bodyDiv w:val="1"/>
      <w:marLeft w:val="0"/>
      <w:marRight w:val="0"/>
      <w:marTop w:val="0"/>
      <w:marBottom w:val="0"/>
      <w:divBdr>
        <w:top w:val="none" w:sz="0" w:space="0" w:color="auto"/>
        <w:left w:val="none" w:sz="0" w:space="0" w:color="auto"/>
        <w:bottom w:val="none" w:sz="0" w:space="0" w:color="auto"/>
        <w:right w:val="none" w:sz="0" w:space="0" w:color="auto"/>
      </w:divBdr>
    </w:div>
    <w:div w:id="339163125">
      <w:bodyDiv w:val="1"/>
      <w:marLeft w:val="0"/>
      <w:marRight w:val="0"/>
      <w:marTop w:val="0"/>
      <w:marBottom w:val="0"/>
      <w:divBdr>
        <w:top w:val="none" w:sz="0" w:space="0" w:color="auto"/>
        <w:left w:val="none" w:sz="0" w:space="0" w:color="auto"/>
        <w:bottom w:val="none" w:sz="0" w:space="0" w:color="auto"/>
        <w:right w:val="none" w:sz="0" w:space="0" w:color="auto"/>
      </w:divBdr>
    </w:div>
    <w:div w:id="339503622">
      <w:bodyDiv w:val="1"/>
      <w:marLeft w:val="0"/>
      <w:marRight w:val="0"/>
      <w:marTop w:val="0"/>
      <w:marBottom w:val="0"/>
      <w:divBdr>
        <w:top w:val="none" w:sz="0" w:space="0" w:color="auto"/>
        <w:left w:val="none" w:sz="0" w:space="0" w:color="auto"/>
        <w:bottom w:val="none" w:sz="0" w:space="0" w:color="auto"/>
        <w:right w:val="none" w:sz="0" w:space="0" w:color="auto"/>
      </w:divBdr>
    </w:div>
    <w:div w:id="339897760">
      <w:bodyDiv w:val="1"/>
      <w:marLeft w:val="0"/>
      <w:marRight w:val="0"/>
      <w:marTop w:val="0"/>
      <w:marBottom w:val="0"/>
      <w:divBdr>
        <w:top w:val="none" w:sz="0" w:space="0" w:color="auto"/>
        <w:left w:val="none" w:sz="0" w:space="0" w:color="auto"/>
        <w:bottom w:val="none" w:sz="0" w:space="0" w:color="auto"/>
        <w:right w:val="none" w:sz="0" w:space="0" w:color="auto"/>
      </w:divBdr>
    </w:div>
    <w:div w:id="340089865">
      <w:bodyDiv w:val="1"/>
      <w:marLeft w:val="0"/>
      <w:marRight w:val="0"/>
      <w:marTop w:val="0"/>
      <w:marBottom w:val="0"/>
      <w:divBdr>
        <w:top w:val="none" w:sz="0" w:space="0" w:color="auto"/>
        <w:left w:val="none" w:sz="0" w:space="0" w:color="auto"/>
        <w:bottom w:val="none" w:sz="0" w:space="0" w:color="auto"/>
        <w:right w:val="none" w:sz="0" w:space="0" w:color="auto"/>
      </w:divBdr>
    </w:div>
    <w:div w:id="340162715">
      <w:bodyDiv w:val="1"/>
      <w:marLeft w:val="0"/>
      <w:marRight w:val="0"/>
      <w:marTop w:val="0"/>
      <w:marBottom w:val="0"/>
      <w:divBdr>
        <w:top w:val="none" w:sz="0" w:space="0" w:color="auto"/>
        <w:left w:val="none" w:sz="0" w:space="0" w:color="auto"/>
        <w:bottom w:val="none" w:sz="0" w:space="0" w:color="auto"/>
        <w:right w:val="none" w:sz="0" w:space="0" w:color="auto"/>
      </w:divBdr>
    </w:div>
    <w:div w:id="340545248">
      <w:bodyDiv w:val="1"/>
      <w:marLeft w:val="0"/>
      <w:marRight w:val="0"/>
      <w:marTop w:val="0"/>
      <w:marBottom w:val="0"/>
      <w:divBdr>
        <w:top w:val="none" w:sz="0" w:space="0" w:color="auto"/>
        <w:left w:val="none" w:sz="0" w:space="0" w:color="auto"/>
        <w:bottom w:val="none" w:sz="0" w:space="0" w:color="auto"/>
        <w:right w:val="none" w:sz="0" w:space="0" w:color="auto"/>
      </w:divBdr>
    </w:div>
    <w:div w:id="340591375">
      <w:bodyDiv w:val="1"/>
      <w:marLeft w:val="0"/>
      <w:marRight w:val="0"/>
      <w:marTop w:val="0"/>
      <w:marBottom w:val="0"/>
      <w:divBdr>
        <w:top w:val="none" w:sz="0" w:space="0" w:color="auto"/>
        <w:left w:val="none" w:sz="0" w:space="0" w:color="auto"/>
        <w:bottom w:val="none" w:sz="0" w:space="0" w:color="auto"/>
        <w:right w:val="none" w:sz="0" w:space="0" w:color="auto"/>
      </w:divBdr>
    </w:div>
    <w:div w:id="340665171">
      <w:bodyDiv w:val="1"/>
      <w:marLeft w:val="0"/>
      <w:marRight w:val="0"/>
      <w:marTop w:val="0"/>
      <w:marBottom w:val="0"/>
      <w:divBdr>
        <w:top w:val="none" w:sz="0" w:space="0" w:color="auto"/>
        <w:left w:val="none" w:sz="0" w:space="0" w:color="auto"/>
        <w:bottom w:val="none" w:sz="0" w:space="0" w:color="auto"/>
        <w:right w:val="none" w:sz="0" w:space="0" w:color="auto"/>
      </w:divBdr>
    </w:div>
    <w:div w:id="340858531">
      <w:bodyDiv w:val="1"/>
      <w:marLeft w:val="0"/>
      <w:marRight w:val="0"/>
      <w:marTop w:val="0"/>
      <w:marBottom w:val="0"/>
      <w:divBdr>
        <w:top w:val="none" w:sz="0" w:space="0" w:color="auto"/>
        <w:left w:val="none" w:sz="0" w:space="0" w:color="auto"/>
        <w:bottom w:val="none" w:sz="0" w:space="0" w:color="auto"/>
        <w:right w:val="none" w:sz="0" w:space="0" w:color="auto"/>
      </w:divBdr>
    </w:div>
    <w:div w:id="341005916">
      <w:bodyDiv w:val="1"/>
      <w:marLeft w:val="0"/>
      <w:marRight w:val="0"/>
      <w:marTop w:val="0"/>
      <w:marBottom w:val="0"/>
      <w:divBdr>
        <w:top w:val="none" w:sz="0" w:space="0" w:color="auto"/>
        <w:left w:val="none" w:sz="0" w:space="0" w:color="auto"/>
        <w:bottom w:val="none" w:sz="0" w:space="0" w:color="auto"/>
        <w:right w:val="none" w:sz="0" w:space="0" w:color="auto"/>
      </w:divBdr>
    </w:div>
    <w:div w:id="341468391">
      <w:bodyDiv w:val="1"/>
      <w:marLeft w:val="0"/>
      <w:marRight w:val="0"/>
      <w:marTop w:val="0"/>
      <w:marBottom w:val="0"/>
      <w:divBdr>
        <w:top w:val="none" w:sz="0" w:space="0" w:color="auto"/>
        <w:left w:val="none" w:sz="0" w:space="0" w:color="auto"/>
        <w:bottom w:val="none" w:sz="0" w:space="0" w:color="auto"/>
        <w:right w:val="none" w:sz="0" w:space="0" w:color="auto"/>
      </w:divBdr>
    </w:div>
    <w:div w:id="341589265">
      <w:bodyDiv w:val="1"/>
      <w:marLeft w:val="0"/>
      <w:marRight w:val="0"/>
      <w:marTop w:val="0"/>
      <w:marBottom w:val="0"/>
      <w:divBdr>
        <w:top w:val="none" w:sz="0" w:space="0" w:color="auto"/>
        <w:left w:val="none" w:sz="0" w:space="0" w:color="auto"/>
        <w:bottom w:val="none" w:sz="0" w:space="0" w:color="auto"/>
        <w:right w:val="none" w:sz="0" w:space="0" w:color="auto"/>
      </w:divBdr>
    </w:div>
    <w:div w:id="341663671">
      <w:bodyDiv w:val="1"/>
      <w:marLeft w:val="0"/>
      <w:marRight w:val="0"/>
      <w:marTop w:val="0"/>
      <w:marBottom w:val="0"/>
      <w:divBdr>
        <w:top w:val="none" w:sz="0" w:space="0" w:color="auto"/>
        <w:left w:val="none" w:sz="0" w:space="0" w:color="auto"/>
        <w:bottom w:val="none" w:sz="0" w:space="0" w:color="auto"/>
        <w:right w:val="none" w:sz="0" w:space="0" w:color="auto"/>
      </w:divBdr>
    </w:div>
    <w:div w:id="341976977">
      <w:bodyDiv w:val="1"/>
      <w:marLeft w:val="0"/>
      <w:marRight w:val="0"/>
      <w:marTop w:val="0"/>
      <w:marBottom w:val="0"/>
      <w:divBdr>
        <w:top w:val="none" w:sz="0" w:space="0" w:color="auto"/>
        <w:left w:val="none" w:sz="0" w:space="0" w:color="auto"/>
        <w:bottom w:val="none" w:sz="0" w:space="0" w:color="auto"/>
        <w:right w:val="none" w:sz="0" w:space="0" w:color="auto"/>
      </w:divBdr>
    </w:div>
    <w:div w:id="341977233">
      <w:bodyDiv w:val="1"/>
      <w:marLeft w:val="0"/>
      <w:marRight w:val="0"/>
      <w:marTop w:val="0"/>
      <w:marBottom w:val="0"/>
      <w:divBdr>
        <w:top w:val="none" w:sz="0" w:space="0" w:color="auto"/>
        <w:left w:val="none" w:sz="0" w:space="0" w:color="auto"/>
        <w:bottom w:val="none" w:sz="0" w:space="0" w:color="auto"/>
        <w:right w:val="none" w:sz="0" w:space="0" w:color="auto"/>
      </w:divBdr>
    </w:div>
    <w:div w:id="342056473">
      <w:bodyDiv w:val="1"/>
      <w:marLeft w:val="0"/>
      <w:marRight w:val="0"/>
      <w:marTop w:val="0"/>
      <w:marBottom w:val="0"/>
      <w:divBdr>
        <w:top w:val="none" w:sz="0" w:space="0" w:color="auto"/>
        <w:left w:val="none" w:sz="0" w:space="0" w:color="auto"/>
        <w:bottom w:val="none" w:sz="0" w:space="0" w:color="auto"/>
        <w:right w:val="none" w:sz="0" w:space="0" w:color="auto"/>
      </w:divBdr>
    </w:div>
    <w:div w:id="342129574">
      <w:bodyDiv w:val="1"/>
      <w:marLeft w:val="0"/>
      <w:marRight w:val="0"/>
      <w:marTop w:val="0"/>
      <w:marBottom w:val="0"/>
      <w:divBdr>
        <w:top w:val="none" w:sz="0" w:space="0" w:color="auto"/>
        <w:left w:val="none" w:sz="0" w:space="0" w:color="auto"/>
        <w:bottom w:val="none" w:sz="0" w:space="0" w:color="auto"/>
        <w:right w:val="none" w:sz="0" w:space="0" w:color="auto"/>
      </w:divBdr>
    </w:div>
    <w:div w:id="342249488">
      <w:bodyDiv w:val="1"/>
      <w:marLeft w:val="0"/>
      <w:marRight w:val="0"/>
      <w:marTop w:val="0"/>
      <w:marBottom w:val="0"/>
      <w:divBdr>
        <w:top w:val="none" w:sz="0" w:space="0" w:color="auto"/>
        <w:left w:val="none" w:sz="0" w:space="0" w:color="auto"/>
        <w:bottom w:val="none" w:sz="0" w:space="0" w:color="auto"/>
        <w:right w:val="none" w:sz="0" w:space="0" w:color="auto"/>
      </w:divBdr>
    </w:div>
    <w:div w:id="342250104">
      <w:bodyDiv w:val="1"/>
      <w:marLeft w:val="0"/>
      <w:marRight w:val="0"/>
      <w:marTop w:val="0"/>
      <w:marBottom w:val="0"/>
      <w:divBdr>
        <w:top w:val="none" w:sz="0" w:space="0" w:color="auto"/>
        <w:left w:val="none" w:sz="0" w:space="0" w:color="auto"/>
        <w:bottom w:val="none" w:sz="0" w:space="0" w:color="auto"/>
        <w:right w:val="none" w:sz="0" w:space="0" w:color="auto"/>
      </w:divBdr>
    </w:div>
    <w:div w:id="342632112">
      <w:bodyDiv w:val="1"/>
      <w:marLeft w:val="0"/>
      <w:marRight w:val="0"/>
      <w:marTop w:val="0"/>
      <w:marBottom w:val="0"/>
      <w:divBdr>
        <w:top w:val="none" w:sz="0" w:space="0" w:color="auto"/>
        <w:left w:val="none" w:sz="0" w:space="0" w:color="auto"/>
        <w:bottom w:val="none" w:sz="0" w:space="0" w:color="auto"/>
        <w:right w:val="none" w:sz="0" w:space="0" w:color="auto"/>
      </w:divBdr>
    </w:div>
    <w:div w:id="342634935">
      <w:bodyDiv w:val="1"/>
      <w:marLeft w:val="0"/>
      <w:marRight w:val="0"/>
      <w:marTop w:val="0"/>
      <w:marBottom w:val="0"/>
      <w:divBdr>
        <w:top w:val="none" w:sz="0" w:space="0" w:color="auto"/>
        <w:left w:val="none" w:sz="0" w:space="0" w:color="auto"/>
        <w:bottom w:val="none" w:sz="0" w:space="0" w:color="auto"/>
        <w:right w:val="none" w:sz="0" w:space="0" w:color="auto"/>
      </w:divBdr>
    </w:div>
    <w:div w:id="342706565">
      <w:bodyDiv w:val="1"/>
      <w:marLeft w:val="0"/>
      <w:marRight w:val="0"/>
      <w:marTop w:val="0"/>
      <w:marBottom w:val="0"/>
      <w:divBdr>
        <w:top w:val="none" w:sz="0" w:space="0" w:color="auto"/>
        <w:left w:val="none" w:sz="0" w:space="0" w:color="auto"/>
        <w:bottom w:val="none" w:sz="0" w:space="0" w:color="auto"/>
        <w:right w:val="none" w:sz="0" w:space="0" w:color="auto"/>
      </w:divBdr>
    </w:div>
    <w:div w:id="342896480">
      <w:bodyDiv w:val="1"/>
      <w:marLeft w:val="0"/>
      <w:marRight w:val="0"/>
      <w:marTop w:val="0"/>
      <w:marBottom w:val="0"/>
      <w:divBdr>
        <w:top w:val="none" w:sz="0" w:space="0" w:color="auto"/>
        <w:left w:val="none" w:sz="0" w:space="0" w:color="auto"/>
        <w:bottom w:val="none" w:sz="0" w:space="0" w:color="auto"/>
        <w:right w:val="none" w:sz="0" w:space="0" w:color="auto"/>
      </w:divBdr>
    </w:div>
    <w:div w:id="343017407">
      <w:bodyDiv w:val="1"/>
      <w:marLeft w:val="0"/>
      <w:marRight w:val="0"/>
      <w:marTop w:val="0"/>
      <w:marBottom w:val="0"/>
      <w:divBdr>
        <w:top w:val="none" w:sz="0" w:space="0" w:color="auto"/>
        <w:left w:val="none" w:sz="0" w:space="0" w:color="auto"/>
        <w:bottom w:val="none" w:sz="0" w:space="0" w:color="auto"/>
        <w:right w:val="none" w:sz="0" w:space="0" w:color="auto"/>
      </w:divBdr>
    </w:div>
    <w:div w:id="343168536">
      <w:bodyDiv w:val="1"/>
      <w:marLeft w:val="0"/>
      <w:marRight w:val="0"/>
      <w:marTop w:val="0"/>
      <w:marBottom w:val="0"/>
      <w:divBdr>
        <w:top w:val="none" w:sz="0" w:space="0" w:color="auto"/>
        <w:left w:val="none" w:sz="0" w:space="0" w:color="auto"/>
        <w:bottom w:val="none" w:sz="0" w:space="0" w:color="auto"/>
        <w:right w:val="none" w:sz="0" w:space="0" w:color="auto"/>
      </w:divBdr>
    </w:div>
    <w:div w:id="343172733">
      <w:bodyDiv w:val="1"/>
      <w:marLeft w:val="0"/>
      <w:marRight w:val="0"/>
      <w:marTop w:val="0"/>
      <w:marBottom w:val="0"/>
      <w:divBdr>
        <w:top w:val="none" w:sz="0" w:space="0" w:color="auto"/>
        <w:left w:val="none" w:sz="0" w:space="0" w:color="auto"/>
        <w:bottom w:val="none" w:sz="0" w:space="0" w:color="auto"/>
        <w:right w:val="none" w:sz="0" w:space="0" w:color="auto"/>
      </w:divBdr>
    </w:div>
    <w:div w:id="343483836">
      <w:bodyDiv w:val="1"/>
      <w:marLeft w:val="0"/>
      <w:marRight w:val="0"/>
      <w:marTop w:val="0"/>
      <w:marBottom w:val="0"/>
      <w:divBdr>
        <w:top w:val="none" w:sz="0" w:space="0" w:color="auto"/>
        <w:left w:val="none" w:sz="0" w:space="0" w:color="auto"/>
        <w:bottom w:val="none" w:sz="0" w:space="0" w:color="auto"/>
        <w:right w:val="none" w:sz="0" w:space="0" w:color="auto"/>
      </w:divBdr>
    </w:div>
    <w:div w:id="343558236">
      <w:bodyDiv w:val="1"/>
      <w:marLeft w:val="0"/>
      <w:marRight w:val="0"/>
      <w:marTop w:val="0"/>
      <w:marBottom w:val="0"/>
      <w:divBdr>
        <w:top w:val="none" w:sz="0" w:space="0" w:color="auto"/>
        <w:left w:val="none" w:sz="0" w:space="0" w:color="auto"/>
        <w:bottom w:val="none" w:sz="0" w:space="0" w:color="auto"/>
        <w:right w:val="none" w:sz="0" w:space="0" w:color="auto"/>
      </w:divBdr>
    </w:div>
    <w:div w:id="343941196">
      <w:bodyDiv w:val="1"/>
      <w:marLeft w:val="0"/>
      <w:marRight w:val="0"/>
      <w:marTop w:val="0"/>
      <w:marBottom w:val="0"/>
      <w:divBdr>
        <w:top w:val="none" w:sz="0" w:space="0" w:color="auto"/>
        <w:left w:val="none" w:sz="0" w:space="0" w:color="auto"/>
        <w:bottom w:val="none" w:sz="0" w:space="0" w:color="auto"/>
        <w:right w:val="none" w:sz="0" w:space="0" w:color="auto"/>
      </w:divBdr>
    </w:div>
    <w:div w:id="343941632">
      <w:bodyDiv w:val="1"/>
      <w:marLeft w:val="0"/>
      <w:marRight w:val="0"/>
      <w:marTop w:val="0"/>
      <w:marBottom w:val="0"/>
      <w:divBdr>
        <w:top w:val="none" w:sz="0" w:space="0" w:color="auto"/>
        <w:left w:val="none" w:sz="0" w:space="0" w:color="auto"/>
        <w:bottom w:val="none" w:sz="0" w:space="0" w:color="auto"/>
        <w:right w:val="none" w:sz="0" w:space="0" w:color="auto"/>
      </w:divBdr>
    </w:div>
    <w:div w:id="344018022">
      <w:bodyDiv w:val="1"/>
      <w:marLeft w:val="0"/>
      <w:marRight w:val="0"/>
      <w:marTop w:val="0"/>
      <w:marBottom w:val="0"/>
      <w:divBdr>
        <w:top w:val="none" w:sz="0" w:space="0" w:color="auto"/>
        <w:left w:val="none" w:sz="0" w:space="0" w:color="auto"/>
        <w:bottom w:val="none" w:sz="0" w:space="0" w:color="auto"/>
        <w:right w:val="none" w:sz="0" w:space="0" w:color="auto"/>
      </w:divBdr>
    </w:div>
    <w:div w:id="344018413">
      <w:bodyDiv w:val="1"/>
      <w:marLeft w:val="0"/>
      <w:marRight w:val="0"/>
      <w:marTop w:val="0"/>
      <w:marBottom w:val="0"/>
      <w:divBdr>
        <w:top w:val="none" w:sz="0" w:space="0" w:color="auto"/>
        <w:left w:val="none" w:sz="0" w:space="0" w:color="auto"/>
        <w:bottom w:val="none" w:sz="0" w:space="0" w:color="auto"/>
        <w:right w:val="none" w:sz="0" w:space="0" w:color="auto"/>
      </w:divBdr>
    </w:div>
    <w:div w:id="344329923">
      <w:bodyDiv w:val="1"/>
      <w:marLeft w:val="0"/>
      <w:marRight w:val="0"/>
      <w:marTop w:val="0"/>
      <w:marBottom w:val="0"/>
      <w:divBdr>
        <w:top w:val="none" w:sz="0" w:space="0" w:color="auto"/>
        <w:left w:val="none" w:sz="0" w:space="0" w:color="auto"/>
        <w:bottom w:val="none" w:sz="0" w:space="0" w:color="auto"/>
        <w:right w:val="none" w:sz="0" w:space="0" w:color="auto"/>
      </w:divBdr>
    </w:div>
    <w:div w:id="344329978">
      <w:bodyDiv w:val="1"/>
      <w:marLeft w:val="0"/>
      <w:marRight w:val="0"/>
      <w:marTop w:val="0"/>
      <w:marBottom w:val="0"/>
      <w:divBdr>
        <w:top w:val="none" w:sz="0" w:space="0" w:color="auto"/>
        <w:left w:val="none" w:sz="0" w:space="0" w:color="auto"/>
        <w:bottom w:val="none" w:sz="0" w:space="0" w:color="auto"/>
        <w:right w:val="none" w:sz="0" w:space="0" w:color="auto"/>
      </w:divBdr>
    </w:div>
    <w:div w:id="344550891">
      <w:bodyDiv w:val="1"/>
      <w:marLeft w:val="0"/>
      <w:marRight w:val="0"/>
      <w:marTop w:val="0"/>
      <w:marBottom w:val="0"/>
      <w:divBdr>
        <w:top w:val="none" w:sz="0" w:space="0" w:color="auto"/>
        <w:left w:val="none" w:sz="0" w:space="0" w:color="auto"/>
        <w:bottom w:val="none" w:sz="0" w:space="0" w:color="auto"/>
        <w:right w:val="none" w:sz="0" w:space="0" w:color="auto"/>
      </w:divBdr>
    </w:div>
    <w:div w:id="344676867">
      <w:bodyDiv w:val="1"/>
      <w:marLeft w:val="0"/>
      <w:marRight w:val="0"/>
      <w:marTop w:val="0"/>
      <w:marBottom w:val="0"/>
      <w:divBdr>
        <w:top w:val="none" w:sz="0" w:space="0" w:color="auto"/>
        <w:left w:val="none" w:sz="0" w:space="0" w:color="auto"/>
        <w:bottom w:val="none" w:sz="0" w:space="0" w:color="auto"/>
        <w:right w:val="none" w:sz="0" w:space="0" w:color="auto"/>
      </w:divBdr>
    </w:div>
    <w:div w:id="344944443">
      <w:bodyDiv w:val="1"/>
      <w:marLeft w:val="0"/>
      <w:marRight w:val="0"/>
      <w:marTop w:val="0"/>
      <w:marBottom w:val="0"/>
      <w:divBdr>
        <w:top w:val="none" w:sz="0" w:space="0" w:color="auto"/>
        <w:left w:val="none" w:sz="0" w:space="0" w:color="auto"/>
        <w:bottom w:val="none" w:sz="0" w:space="0" w:color="auto"/>
        <w:right w:val="none" w:sz="0" w:space="0" w:color="auto"/>
      </w:divBdr>
    </w:div>
    <w:div w:id="345181678">
      <w:bodyDiv w:val="1"/>
      <w:marLeft w:val="0"/>
      <w:marRight w:val="0"/>
      <w:marTop w:val="0"/>
      <w:marBottom w:val="0"/>
      <w:divBdr>
        <w:top w:val="none" w:sz="0" w:space="0" w:color="auto"/>
        <w:left w:val="none" w:sz="0" w:space="0" w:color="auto"/>
        <w:bottom w:val="none" w:sz="0" w:space="0" w:color="auto"/>
        <w:right w:val="none" w:sz="0" w:space="0" w:color="auto"/>
      </w:divBdr>
    </w:div>
    <w:div w:id="345793204">
      <w:bodyDiv w:val="1"/>
      <w:marLeft w:val="0"/>
      <w:marRight w:val="0"/>
      <w:marTop w:val="0"/>
      <w:marBottom w:val="0"/>
      <w:divBdr>
        <w:top w:val="none" w:sz="0" w:space="0" w:color="auto"/>
        <w:left w:val="none" w:sz="0" w:space="0" w:color="auto"/>
        <w:bottom w:val="none" w:sz="0" w:space="0" w:color="auto"/>
        <w:right w:val="none" w:sz="0" w:space="0" w:color="auto"/>
      </w:divBdr>
    </w:div>
    <w:div w:id="345979197">
      <w:bodyDiv w:val="1"/>
      <w:marLeft w:val="0"/>
      <w:marRight w:val="0"/>
      <w:marTop w:val="0"/>
      <w:marBottom w:val="0"/>
      <w:divBdr>
        <w:top w:val="none" w:sz="0" w:space="0" w:color="auto"/>
        <w:left w:val="none" w:sz="0" w:space="0" w:color="auto"/>
        <w:bottom w:val="none" w:sz="0" w:space="0" w:color="auto"/>
        <w:right w:val="none" w:sz="0" w:space="0" w:color="auto"/>
      </w:divBdr>
    </w:div>
    <w:div w:id="346559395">
      <w:bodyDiv w:val="1"/>
      <w:marLeft w:val="0"/>
      <w:marRight w:val="0"/>
      <w:marTop w:val="0"/>
      <w:marBottom w:val="0"/>
      <w:divBdr>
        <w:top w:val="none" w:sz="0" w:space="0" w:color="auto"/>
        <w:left w:val="none" w:sz="0" w:space="0" w:color="auto"/>
        <w:bottom w:val="none" w:sz="0" w:space="0" w:color="auto"/>
        <w:right w:val="none" w:sz="0" w:space="0" w:color="auto"/>
      </w:divBdr>
    </w:div>
    <w:div w:id="346713550">
      <w:bodyDiv w:val="1"/>
      <w:marLeft w:val="0"/>
      <w:marRight w:val="0"/>
      <w:marTop w:val="0"/>
      <w:marBottom w:val="0"/>
      <w:divBdr>
        <w:top w:val="none" w:sz="0" w:space="0" w:color="auto"/>
        <w:left w:val="none" w:sz="0" w:space="0" w:color="auto"/>
        <w:bottom w:val="none" w:sz="0" w:space="0" w:color="auto"/>
        <w:right w:val="none" w:sz="0" w:space="0" w:color="auto"/>
      </w:divBdr>
    </w:div>
    <w:div w:id="346762150">
      <w:bodyDiv w:val="1"/>
      <w:marLeft w:val="0"/>
      <w:marRight w:val="0"/>
      <w:marTop w:val="0"/>
      <w:marBottom w:val="0"/>
      <w:divBdr>
        <w:top w:val="none" w:sz="0" w:space="0" w:color="auto"/>
        <w:left w:val="none" w:sz="0" w:space="0" w:color="auto"/>
        <w:bottom w:val="none" w:sz="0" w:space="0" w:color="auto"/>
        <w:right w:val="none" w:sz="0" w:space="0" w:color="auto"/>
      </w:divBdr>
    </w:div>
    <w:div w:id="346834724">
      <w:bodyDiv w:val="1"/>
      <w:marLeft w:val="0"/>
      <w:marRight w:val="0"/>
      <w:marTop w:val="0"/>
      <w:marBottom w:val="0"/>
      <w:divBdr>
        <w:top w:val="none" w:sz="0" w:space="0" w:color="auto"/>
        <w:left w:val="none" w:sz="0" w:space="0" w:color="auto"/>
        <w:bottom w:val="none" w:sz="0" w:space="0" w:color="auto"/>
        <w:right w:val="none" w:sz="0" w:space="0" w:color="auto"/>
      </w:divBdr>
    </w:div>
    <w:div w:id="347026789">
      <w:bodyDiv w:val="1"/>
      <w:marLeft w:val="0"/>
      <w:marRight w:val="0"/>
      <w:marTop w:val="0"/>
      <w:marBottom w:val="0"/>
      <w:divBdr>
        <w:top w:val="none" w:sz="0" w:space="0" w:color="auto"/>
        <w:left w:val="none" w:sz="0" w:space="0" w:color="auto"/>
        <w:bottom w:val="none" w:sz="0" w:space="0" w:color="auto"/>
        <w:right w:val="none" w:sz="0" w:space="0" w:color="auto"/>
      </w:divBdr>
    </w:div>
    <w:div w:id="347029818">
      <w:bodyDiv w:val="1"/>
      <w:marLeft w:val="0"/>
      <w:marRight w:val="0"/>
      <w:marTop w:val="0"/>
      <w:marBottom w:val="0"/>
      <w:divBdr>
        <w:top w:val="none" w:sz="0" w:space="0" w:color="auto"/>
        <w:left w:val="none" w:sz="0" w:space="0" w:color="auto"/>
        <w:bottom w:val="none" w:sz="0" w:space="0" w:color="auto"/>
        <w:right w:val="none" w:sz="0" w:space="0" w:color="auto"/>
      </w:divBdr>
    </w:div>
    <w:div w:id="347144388">
      <w:bodyDiv w:val="1"/>
      <w:marLeft w:val="0"/>
      <w:marRight w:val="0"/>
      <w:marTop w:val="0"/>
      <w:marBottom w:val="0"/>
      <w:divBdr>
        <w:top w:val="none" w:sz="0" w:space="0" w:color="auto"/>
        <w:left w:val="none" w:sz="0" w:space="0" w:color="auto"/>
        <w:bottom w:val="none" w:sz="0" w:space="0" w:color="auto"/>
        <w:right w:val="none" w:sz="0" w:space="0" w:color="auto"/>
      </w:divBdr>
    </w:div>
    <w:div w:id="347217695">
      <w:bodyDiv w:val="1"/>
      <w:marLeft w:val="0"/>
      <w:marRight w:val="0"/>
      <w:marTop w:val="0"/>
      <w:marBottom w:val="0"/>
      <w:divBdr>
        <w:top w:val="none" w:sz="0" w:space="0" w:color="auto"/>
        <w:left w:val="none" w:sz="0" w:space="0" w:color="auto"/>
        <w:bottom w:val="none" w:sz="0" w:space="0" w:color="auto"/>
        <w:right w:val="none" w:sz="0" w:space="0" w:color="auto"/>
      </w:divBdr>
    </w:div>
    <w:div w:id="347295225">
      <w:bodyDiv w:val="1"/>
      <w:marLeft w:val="0"/>
      <w:marRight w:val="0"/>
      <w:marTop w:val="0"/>
      <w:marBottom w:val="0"/>
      <w:divBdr>
        <w:top w:val="none" w:sz="0" w:space="0" w:color="auto"/>
        <w:left w:val="none" w:sz="0" w:space="0" w:color="auto"/>
        <w:bottom w:val="none" w:sz="0" w:space="0" w:color="auto"/>
        <w:right w:val="none" w:sz="0" w:space="0" w:color="auto"/>
      </w:divBdr>
    </w:div>
    <w:div w:id="347371941">
      <w:bodyDiv w:val="1"/>
      <w:marLeft w:val="0"/>
      <w:marRight w:val="0"/>
      <w:marTop w:val="0"/>
      <w:marBottom w:val="0"/>
      <w:divBdr>
        <w:top w:val="none" w:sz="0" w:space="0" w:color="auto"/>
        <w:left w:val="none" w:sz="0" w:space="0" w:color="auto"/>
        <w:bottom w:val="none" w:sz="0" w:space="0" w:color="auto"/>
        <w:right w:val="none" w:sz="0" w:space="0" w:color="auto"/>
      </w:divBdr>
    </w:div>
    <w:div w:id="347564174">
      <w:bodyDiv w:val="1"/>
      <w:marLeft w:val="0"/>
      <w:marRight w:val="0"/>
      <w:marTop w:val="0"/>
      <w:marBottom w:val="0"/>
      <w:divBdr>
        <w:top w:val="none" w:sz="0" w:space="0" w:color="auto"/>
        <w:left w:val="none" w:sz="0" w:space="0" w:color="auto"/>
        <w:bottom w:val="none" w:sz="0" w:space="0" w:color="auto"/>
        <w:right w:val="none" w:sz="0" w:space="0" w:color="auto"/>
      </w:divBdr>
    </w:div>
    <w:div w:id="347567909">
      <w:bodyDiv w:val="1"/>
      <w:marLeft w:val="0"/>
      <w:marRight w:val="0"/>
      <w:marTop w:val="0"/>
      <w:marBottom w:val="0"/>
      <w:divBdr>
        <w:top w:val="none" w:sz="0" w:space="0" w:color="auto"/>
        <w:left w:val="none" w:sz="0" w:space="0" w:color="auto"/>
        <w:bottom w:val="none" w:sz="0" w:space="0" w:color="auto"/>
        <w:right w:val="none" w:sz="0" w:space="0" w:color="auto"/>
      </w:divBdr>
    </w:div>
    <w:div w:id="347677517">
      <w:bodyDiv w:val="1"/>
      <w:marLeft w:val="0"/>
      <w:marRight w:val="0"/>
      <w:marTop w:val="0"/>
      <w:marBottom w:val="0"/>
      <w:divBdr>
        <w:top w:val="none" w:sz="0" w:space="0" w:color="auto"/>
        <w:left w:val="none" w:sz="0" w:space="0" w:color="auto"/>
        <w:bottom w:val="none" w:sz="0" w:space="0" w:color="auto"/>
        <w:right w:val="none" w:sz="0" w:space="0" w:color="auto"/>
      </w:divBdr>
    </w:div>
    <w:div w:id="347754101">
      <w:bodyDiv w:val="1"/>
      <w:marLeft w:val="0"/>
      <w:marRight w:val="0"/>
      <w:marTop w:val="0"/>
      <w:marBottom w:val="0"/>
      <w:divBdr>
        <w:top w:val="none" w:sz="0" w:space="0" w:color="auto"/>
        <w:left w:val="none" w:sz="0" w:space="0" w:color="auto"/>
        <w:bottom w:val="none" w:sz="0" w:space="0" w:color="auto"/>
        <w:right w:val="none" w:sz="0" w:space="0" w:color="auto"/>
      </w:divBdr>
    </w:div>
    <w:div w:id="347870001">
      <w:bodyDiv w:val="1"/>
      <w:marLeft w:val="0"/>
      <w:marRight w:val="0"/>
      <w:marTop w:val="0"/>
      <w:marBottom w:val="0"/>
      <w:divBdr>
        <w:top w:val="none" w:sz="0" w:space="0" w:color="auto"/>
        <w:left w:val="none" w:sz="0" w:space="0" w:color="auto"/>
        <w:bottom w:val="none" w:sz="0" w:space="0" w:color="auto"/>
        <w:right w:val="none" w:sz="0" w:space="0" w:color="auto"/>
      </w:divBdr>
    </w:div>
    <w:div w:id="348142932">
      <w:bodyDiv w:val="1"/>
      <w:marLeft w:val="0"/>
      <w:marRight w:val="0"/>
      <w:marTop w:val="0"/>
      <w:marBottom w:val="0"/>
      <w:divBdr>
        <w:top w:val="none" w:sz="0" w:space="0" w:color="auto"/>
        <w:left w:val="none" w:sz="0" w:space="0" w:color="auto"/>
        <w:bottom w:val="none" w:sz="0" w:space="0" w:color="auto"/>
        <w:right w:val="none" w:sz="0" w:space="0" w:color="auto"/>
      </w:divBdr>
    </w:div>
    <w:div w:id="348483030">
      <w:bodyDiv w:val="1"/>
      <w:marLeft w:val="0"/>
      <w:marRight w:val="0"/>
      <w:marTop w:val="0"/>
      <w:marBottom w:val="0"/>
      <w:divBdr>
        <w:top w:val="none" w:sz="0" w:space="0" w:color="auto"/>
        <w:left w:val="none" w:sz="0" w:space="0" w:color="auto"/>
        <w:bottom w:val="none" w:sz="0" w:space="0" w:color="auto"/>
        <w:right w:val="none" w:sz="0" w:space="0" w:color="auto"/>
      </w:divBdr>
    </w:div>
    <w:div w:id="348680474">
      <w:bodyDiv w:val="1"/>
      <w:marLeft w:val="0"/>
      <w:marRight w:val="0"/>
      <w:marTop w:val="0"/>
      <w:marBottom w:val="0"/>
      <w:divBdr>
        <w:top w:val="none" w:sz="0" w:space="0" w:color="auto"/>
        <w:left w:val="none" w:sz="0" w:space="0" w:color="auto"/>
        <w:bottom w:val="none" w:sz="0" w:space="0" w:color="auto"/>
        <w:right w:val="none" w:sz="0" w:space="0" w:color="auto"/>
      </w:divBdr>
    </w:div>
    <w:div w:id="348721647">
      <w:bodyDiv w:val="1"/>
      <w:marLeft w:val="0"/>
      <w:marRight w:val="0"/>
      <w:marTop w:val="0"/>
      <w:marBottom w:val="0"/>
      <w:divBdr>
        <w:top w:val="none" w:sz="0" w:space="0" w:color="auto"/>
        <w:left w:val="none" w:sz="0" w:space="0" w:color="auto"/>
        <w:bottom w:val="none" w:sz="0" w:space="0" w:color="auto"/>
        <w:right w:val="none" w:sz="0" w:space="0" w:color="auto"/>
      </w:divBdr>
    </w:div>
    <w:div w:id="348874779">
      <w:bodyDiv w:val="1"/>
      <w:marLeft w:val="0"/>
      <w:marRight w:val="0"/>
      <w:marTop w:val="0"/>
      <w:marBottom w:val="0"/>
      <w:divBdr>
        <w:top w:val="none" w:sz="0" w:space="0" w:color="auto"/>
        <w:left w:val="none" w:sz="0" w:space="0" w:color="auto"/>
        <w:bottom w:val="none" w:sz="0" w:space="0" w:color="auto"/>
        <w:right w:val="none" w:sz="0" w:space="0" w:color="auto"/>
      </w:divBdr>
    </w:div>
    <w:div w:id="349069871">
      <w:bodyDiv w:val="1"/>
      <w:marLeft w:val="0"/>
      <w:marRight w:val="0"/>
      <w:marTop w:val="0"/>
      <w:marBottom w:val="0"/>
      <w:divBdr>
        <w:top w:val="none" w:sz="0" w:space="0" w:color="auto"/>
        <w:left w:val="none" w:sz="0" w:space="0" w:color="auto"/>
        <w:bottom w:val="none" w:sz="0" w:space="0" w:color="auto"/>
        <w:right w:val="none" w:sz="0" w:space="0" w:color="auto"/>
      </w:divBdr>
    </w:div>
    <w:div w:id="349141967">
      <w:bodyDiv w:val="1"/>
      <w:marLeft w:val="0"/>
      <w:marRight w:val="0"/>
      <w:marTop w:val="0"/>
      <w:marBottom w:val="0"/>
      <w:divBdr>
        <w:top w:val="none" w:sz="0" w:space="0" w:color="auto"/>
        <w:left w:val="none" w:sz="0" w:space="0" w:color="auto"/>
        <w:bottom w:val="none" w:sz="0" w:space="0" w:color="auto"/>
        <w:right w:val="none" w:sz="0" w:space="0" w:color="auto"/>
      </w:divBdr>
    </w:div>
    <w:div w:id="349186951">
      <w:bodyDiv w:val="1"/>
      <w:marLeft w:val="0"/>
      <w:marRight w:val="0"/>
      <w:marTop w:val="0"/>
      <w:marBottom w:val="0"/>
      <w:divBdr>
        <w:top w:val="none" w:sz="0" w:space="0" w:color="auto"/>
        <w:left w:val="none" w:sz="0" w:space="0" w:color="auto"/>
        <w:bottom w:val="none" w:sz="0" w:space="0" w:color="auto"/>
        <w:right w:val="none" w:sz="0" w:space="0" w:color="auto"/>
      </w:divBdr>
    </w:div>
    <w:div w:id="349333880">
      <w:bodyDiv w:val="1"/>
      <w:marLeft w:val="0"/>
      <w:marRight w:val="0"/>
      <w:marTop w:val="0"/>
      <w:marBottom w:val="0"/>
      <w:divBdr>
        <w:top w:val="none" w:sz="0" w:space="0" w:color="auto"/>
        <w:left w:val="none" w:sz="0" w:space="0" w:color="auto"/>
        <w:bottom w:val="none" w:sz="0" w:space="0" w:color="auto"/>
        <w:right w:val="none" w:sz="0" w:space="0" w:color="auto"/>
      </w:divBdr>
    </w:div>
    <w:div w:id="349374300">
      <w:bodyDiv w:val="1"/>
      <w:marLeft w:val="0"/>
      <w:marRight w:val="0"/>
      <w:marTop w:val="0"/>
      <w:marBottom w:val="0"/>
      <w:divBdr>
        <w:top w:val="none" w:sz="0" w:space="0" w:color="auto"/>
        <w:left w:val="none" w:sz="0" w:space="0" w:color="auto"/>
        <w:bottom w:val="none" w:sz="0" w:space="0" w:color="auto"/>
        <w:right w:val="none" w:sz="0" w:space="0" w:color="auto"/>
      </w:divBdr>
    </w:div>
    <w:div w:id="349379909">
      <w:bodyDiv w:val="1"/>
      <w:marLeft w:val="0"/>
      <w:marRight w:val="0"/>
      <w:marTop w:val="0"/>
      <w:marBottom w:val="0"/>
      <w:divBdr>
        <w:top w:val="none" w:sz="0" w:space="0" w:color="auto"/>
        <w:left w:val="none" w:sz="0" w:space="0" w:color="auto"/>
        <w:bottom w:val="none" w:sz="0" w:space="0" w:color="auto"/>
        <w:right w:val="none" w:sz="0" w:space="0" w:color="auto"/>
      </w:divBdr>
    </w:div>
    <w:div w:id="349380399">
      <w:bodyDiv w:val="1"/>
      <w:marLeft w:val="0"/>
      <w:marRight w:val="0"/>
      <w:marTop w:val="0"/>
      <w:marBottom w:val="0"/>
      <w:divBdr>
        <w:top w:val="none" w:sz="0" w:space="0" w:color="auto"/>
        <w:left w:val="none" w:sz="0" w:space="0" w:color="auto"/>
        <w:bottom w:val="none" w:sz="0" w:space="0" w:color="auto"/>
        <w:right w:val="none" w:sz="0" w:space="0" w:color="auto"/>
      </w:divBdr>
    </w:div>
    <w:div w:id="349455060">
      <w:bodyDiv w:val="1"/>
      <w:marLeft w:val="0"/>
      <w:marRight w:val="0"/>
      <w:marTop w:val="0"/>
      <w:marBottom w:val="0"/>
      <w:divBdr>
        <w:top w:val="none" w:sz="0" w:space="0" w:color="auto"/>
        <w:left w:val="none" w:sz="0" w:space="0" w:color="auto"/>
        <w:bottom w:val="none" w:sz="0" w:space="0" w:color="auto"/>
        <w:right w:val="none" w:sz="0" w:space="0" w:color="auto"/>
      </w:divBdr>
    </w:div>
    <w:div w:id="349458223">
      <w:bodyDiv w:val="1"/>
      <w:marLeft w:val="0"/>
      <w:marRight w:val="0"/>
      <w:marTop w:val="0"/>
      <w:marBottom w:val="0"/>
      <w:divBdr>
        <w:top w:val="none" w:sz="0" w:space="0" w:color="auto"/>
        <w:left w:val="none" w:sz="0" w:space="0" w:color="auto"/>
        <w:bottom w:val="none" w:sz="0" w:space="0" w:color="auto"/>
        <w:right w:val="none" w:sz="0" w:space="0" w:color="auto"/>
      </w:divBdr>
    </w:div>
    <w:div w:id="349647513">
      <w:bodyDiv w:val="1"/>
      <w:marLeft w:val="0"/>
      <w:marRight w:val="0"/>
      <w:marTop w:val="0"/>
      <w:marBottom w:val="0"/>
      <w:divBdr>
        <w:top w:val="none" w:sz="0" w:space="0" w:color="auto"/>
        <w:left w:val="none" w:sz="0" w:space="0" w:color="auto"/>
        <w:bottom w:val="none" w:sz="0" w:space="0" w:color="auto"/>
        <w:right w:val="none" w:sz="0" w:space="0" w:color="auto"/>
      </w:divBdr>
    </w:div>
    <w:div w:id="349797290">
      <w:bodyDiv w:val="1"/>
      <w:marLeft w:val="0"/>
      <w:marRight w:val="0"/>
      <w:marTop w:val="0"/>
      <w:marBottom w:val="0"/>
      <w:divBdr>
        <w:top w:val="none" w:sz="0" w:space="0" w:color="auto"/>
        <w:left w:val="none" w:sz="0" w:space="0" w:color="auto"/>
        <w:bottom w:val="none" w:sz="0" w:space="0" w:color="auto"/>
        <w:right w:val="none" w:sz="0" w:space="0" w:color="auto"/>
      </w:divBdr>
    </w:div>
    <w:div w:id="349912634">
      <w:bodyDiv w:val="1"/>
      <w:marLeft w:val="0"/>
      <w:marRight w:val="0"/>
      <w:marTop w:val="0"/>
      <w:marBottom w:val="0"/>
      <w:divBdr>
        <w:top w:val="none" w:sz="0" w:space="0" w:color="auto"/>
        <w:left w:val="none" w:sz="0" w:space="0" w:color="auto"/>
        <w:bottom w:val="none" w:sz="0" w:space="0" w:color="auto"/>
        <w:right w:val="none" w:sz="0" w:space="0" w:color="auto"/>
      </w:divBdr>
    </w:div>
    <w:div w:id="350035175">
      <w:bodyDiv w:val="1"/>
      <w:marLeft w:val="0"/>
      <w:marRight w:val="0"/>
      <w:marTop w:val="0"/>
      <w:marBottom w:val="0"/>
      <w:divBdr>
        <w:top w:val="none" w:sz="0" w:space="0" w:color="auto"/>
        <w:left w:val="none" w:sz="0" w:space="0" w:color="auto"/>
        <w:bottom w:val="none" w:sz="0" w:space="0" w:color="auto"/>
        <w:right w:val="none" w:sz="0" w:space="0" w:color="auto"/>
      </w:divBdr>
    </w:div>
    <w:div w:id="350036014">
      <w:bodyDiv w:val="1"/>
      <w:marLeft w:val="0"/>
      <w:marRight w:val="0"/>
      <w:marTop w:val="0"/>
      <w:marBottom w:val="0"/>
      <w:divBdr>
        <w:top w:val="none" w:sz="0" w:space="0" w:color="auto"/>
        <w:left w:val="none" w:sz="0" w:space="0" w:color="auto"/>
        <w:bottom w:val="none" w:sz="0" w:space="0" w:color="auto"/>
        <w:right w:val="none" w:sz="0" w:space="0" w:color="auto"/>
      </w:divBdr>
    </w:div>
    <w:div w:id="350036390">
      <w:bodyDiv w:val="1"/>
      <w:marLeft w:val="0"/>
      <w:marRight w:val="0"/>
      <w:marTop w:val="0"/>
      <w:marBottom w:val="0"/>
      <w:divBdr>
        <w:top w:val="none" w:sz="0" w:space="0" w:color="auto"/>
        <w:left w:val="none" w:sz="0" w:space="0" w:color="auto"/>
        <w:bottom w:val="none" w:sz="0" w:space="0" w:color="auto"/>
        <w:right w:val="none" w:sz="0" w:space="0" w:color="auto"/>
      </w:divBdr>
    </w:div>
    <w:div w:id="350575219">
      <w:bodyDiv w:val="1"/>
      <w:marLeft w:val="0"/>
      <w:marRight w:val="0"/>
      <w:marTop w:val="0"/>
      <w:marBottom w:val="0"/>
      <w:divBdr>
        <w:top w:val="none" w:sz="0" w:space="0" w:color="auto"/>
        <w:left w:val="none" w:sz="0" w:space="0" w:color="auto"/>
        <w:bottom w:val="none" w:sz="0" w:space="0" w:color="auto"/>
        <w:right w:val="none" w:sz="0" w:space="0" w:color="auto"/>
      </w:divBdr>
    </w:div>
    <w:div w:id="350643588">
      <w:bodyDiv w:val="1"/>
      <w:marLeft w:val="0"/>
      <w:marRight w:val="0"/>
      <w:marTop w:val="0"/>
      <w:marBottom w:val="0"/>
      <w:divBdr>
        <w:top w:val="none" w:sz="0" w:space="0" w:color="auto"/>
        <w:left w:val="none" w:sz="0" w:space="0" w:color="auto"/>
        <w:bottom w:val="none" w:sz="0" w:space="0" w:color="auto"/>
        <w:right w:val="none" w:sz="0" w:space="0" w:color="auto"/>
      </w:divBdr>
    </w:div>
    <w:div w:id="350687392">
      <w:bodyDiv w:val="1"/>
      <w:marLeft w:val="0"/>
      <w:marRight w:val="0"/>
      <w:marTop w:val="0"/>
      <w:marBottom w:val="0"/>
      <w:divBdr>
        <w:top w:val="none" w:sz="0" w:space="0" w:color="auto"/>
        <w:left w:val="none" w:sz="0" w:space="0" w:color="auto"/>
        <w:bottom w:val="none" w:sz="0" w:space="0" w:color="auto"/>
        <w:right w:val="none" w:sz="0" w:space="0" w:color="auto"/>
      </w:divBdr>
    </w:div>
    <w:div w:id="350882746">
      <w:bodyDiv w:val="1"/>
      <w:marLeft w:val="0"/>
      <w:marRight w:val="0"/>
      <w:marTop w:val="0"/>
      <w:marBottom w:val="0"/>
      <w:divBdr>
        <w:top w:val="none" w:sz="0" w:space="0" w:color="auto"/>
        <w:left w:val="none" w:sz="0" w:space="0" w:color="auto"/>
        <w:bottom w:val="none" w:sz="0" w:space="0" w:color="auto"/>
        <w:right w:val="none" w:sz="0" w:space="0" w:color="auto"/>
      </w:divBdr>
    </w:div>
    <w:div w:id="351030119">
      <w:bodyDiv w:val="1"/>
      <w:marLeft w:val="0"/>
      <w:marRight w:val="0"/>
      <w:marTop w:val="0"/>
      <w:marBottom w:val="0"/>
      <w:divBdr>
        <w:top w:val="none" w:sz="0" w:space="0" w:color="auto"/>
        <w:left w:val="none" w:sz="0" w:space="0" w:color="auto"/>
        <w:bottom w:val="none" w:sz="0" w:space="0" w:color="auto"/>
        <w:right w:val="none" w:sz="0" w:space="0" w:color="auto"/>
      </w:divBdr>
    </w:div>
    <w:div w:id="351104666">
      <w:bodyDiv w:val="1"/>
      <w:marLeft w:val="0"/>
      <w:marRight w:val="0"/>
      <w:marTop w:val="0"/>
      <w:marBottom w:val="0"/>
      <w:divBdr>
        <w:top w:val="none" w:sz="0" w:space="0" w:color="auto"/>
        <w:left w:val="none" w:sz="0" w:space="0" w:color="auto"/>
        <w:bottom w:val="none" w:sz="0" w:space="0" w:color="auto"/>
        <w:right w:val="none" w:sz="0" w:space="0" w:color="auto"/>
      </w:divBdr>
    </w:div>
    <w:div w:id="351150550">
      <w:bodyDiv w:val="1"/>
      <w:marLeft w:val="0"/>
      <w:marRight w:val="0"/>
      <w:marTop w:val="0"/>
      <w:marBottom w:val="0"/>
      <w:divBdr>
        <w:top w:val="none" w:sz="0" w:space="0" w:color="auto"/>
        <w:left w:val="none" w:sz="0" w:space="0" w:color="auto"/>
        <w:bottom w:val="none" w:sz="0" w:space="0" w:color="auto"/>
        <w:right w:val="none" w:sz="0" w:space="0" w:color="auto"/>
      </w:divBdr>
    </w:div>
    <w:div w:id="351154139">
      <w:bodyDiv w:val="1"/>
      <w:marLeft w:val="0"/>
      <w:marRight w:val="0"/>
      <w:marTop w:val="0"/>
      <w:marBottom w:val="0"/>
      <w:divBdr>
        <w:top w:val="none" w:sz="0" w:space="0" w:color="auto"/>
        <w:left w:val="none" w:sz="0" w:space="0" w:color="auto"/>
        <w:bottom w:val="none" w:sz="0" w:space="0" w:color="auto"/>
        <w:right w:val="none" w:sz="0" w:space="0" w:color="auto"/>
      </w:divBdr>
    </w:div>
    <w:div w:id="351347086">
      <w:bodyDiv w:val="1"/>
      <w:marLeft w:val="0"/>
      <w:marRight w:val="0"/>
      <w:marTop w:val="0"/>
      <w:marBottom w:val="0"/>
      <w:divBdr>
        <w:top w:val="none" w:sz="0" w:space="0" w:color="auto"/>
        <w:left w:val="none" w:sz="0" w:space="0" w:color="auto"/>
        <w:bottom w:val="none" w:sz="0" w:space="0" w:color="auto"/>
        <w:right w:val="none" w:sz="0" w:space="0" w:color="auto"/>
      </w:divBdr>
    </w:div>
    <w:div w:id="351419381">
      <w:bodyDiv w:val="1"/>
      <w:marLeft w:val="0"/>
      <w:marRight w:val="0"/>
      <w:marTop w:val="0"/>
      <w:marBottom w:val="0"/>
      <w:divBdr>
        <w:top w:val="none" w:sz="0" w:space="0" w:color="auto"/>
        <w:left w:val="none" w:sz="0" w:space="0" w:color="auto"/>
        <w:bottom w:val="none" w:sz="0" w:space="0" w:color="auto"/>
        <w:right w:val="none" w:sz="0" w:space="0" w:color="auto"/>
      </w:divBdr>
    </w:div>
    <w:div w:id="351420230">
      <w:bodyDiv w:val="1"/>
      <w:marLeft w:val="0"/>
      <w:marRight w:val="0"/>
      <w:marTop w:val="0"/>
      <w:marBottom w:val="0"/>
      <w:divBdr>
        <w:top w:val="none" w:sz="0" w:space="0" w:color="auto"/>
        <w:left w:val="none" w:sz="0" w:space="0" w:color="auto"/>
        <w:bottom w:val="none" w:sz="0" w:space="0" w:color="auto"/>
        <w:right w:val="none" w:sz="0" w:space="0" w:color="auto"/>
      </w:divBdr>
    </w:div>
    <w:div w:id="351421871">
      <w:bodyDiv w:val="1"/>
      <w:marLeft w:val="0"/>
      <w:marRight w:val="0"/>
      <w:marTop w:val="0"/>
      <w:marBottom w:val="0"/>
      <w:divBdr>
        <w:top w:val="none" w:sz="0" w:space="0" w:color="auto"/>
        <w:left w:val="none" w:sz="0" w:space="0" w:color="auto"/>
        <w:bottom w:val="none" w:sz="0" w:space="0" w:color="auto"/>
        <w:right w:val="none" w:sz="0" w:space="0" w:color="auto"/>
      </w:divBdr>
    </w:div>
    <w:div w:id="351490694">
      <w:bodyDiv w:val="1"/>
      <w:marLeft w:val="0"/>
      <w:marRight w:val="0"/>
      <w:marTop w:val="0"/>
      <w:marBottom w:val="0"/>
      <w:divBdr>
        <w:top w:val="none" w:sz="0" w:space="0" w:color="auto"/>
        <w:left w:val="none" w:sz="0" w:space="0" w:color="auto"/>
        <w:bottom w:val="none" w:sz="0" w:space="0" w:color="auto"/>
        <w:right w:val="none" w:sz="0" w:space="0" w:color="auto"/>
      </w:divBdr>
    </w:div>
    <w:div w:id="351691989">
      <w:bodyDiv w:val="1"/>
      <w:marLeft w:val="0"/>
      <w:marRight w:val="0"/>
      <w:marTop w:val="0"/>
      <w:marBottom w:val="0"/>
      <w:divBdr>
        <w:top w:val="none" w:sz="0" w:space="0" w:color="auto"/>
        <w:left w:val="none" w:sz="0" w:space="0" w:color="auto"/>
        <w:bottom w:val="none" w:sz="0" w:space="0" w:color="auto"/>
        <w:right w:val="none" w:sz="0" w:space="0" w:color="auto"/>
      </w:divBdr>
    </w:div>
    <w:div w:id="351952170">
      <w:bodyDiv w:val="1"/>
      <w:marLeft w:val="0"/>
      <w:marRight w:val="0"/>
      <w:marTop w:val="0"/>
      <w:marBottom w:val="0"/>
      <w:divBdr>
        <w:top w:val="none" w:sz="0" w:space="0" w:color="auto"/>
        <w:left w:val="none" w:sz="0" w:space="0" w:color="auto"/>
        <w:bottom w:val="none" w:sz="0" w:space="0" w:color="auto"/>
        <w:right w:val="none" w:sz="0" w:space="0" w:color="auto"/>
      </w:divBdr>
    </w:div>
    <w:div w:id="352079610">
      <w:bodyDiv w:val="1"/>
      <w:marLeft w:val="0"/>
      <w:marRight w:val="0"/>
      <w:marTop w:val="0"/>
      <w:marBottom w:val="0"/>
      <w:divBdr>
        <w:top w:val="none" w:sz="0" w:space="0" w:color="auto"/>
        <w:left w:val="none" w:sz="0" w:space="0" w:color="auto"/>
        <w:bottom w:val="none" w:sz="0" w:space="0" w:color="auto"/>
        <w:right w:val="none" w:sz="0" w:space="0" w:color="auto"/>
      </w:divBdr>
    </w:div>
    <w:div w:id="352147246">
      <w:bodyDiv w:val="1"/>
      <w:marLeft w:val="0"/>
      <w:marRight w:val="0"/>
      <w:marTop w:val="0"/>
      <w:marBottom w:val="0"/>
      <w:divBdr>
        <w:top w:val="none" w:sz="0" w:space="0" w:color="auto"/>
        <w:left w:val="none" w:sz="0" w:space="0" w:color="auto"/>
        <w:bottom w:val="none" w:sz="0" w:space="0" w:color="auto"/>
        <w:right w:val="none" w:sz="0" w:space="0" w:color="auto"/>
      </w:divBdr>
    </w:div>
    <w:div w:id="352340264">
      <w:bodyDiv w:val="1"/>
      <w:marLeft w:val="0"/>
      <w:marRight w:val="0"/>
      <w:marTop w:val="0"/>
      <w:marBottom w:val="0"/>
      <w:divBdr>
        <w:top w:val="none" w:sz="0" w:space="0" w:color="auto"/>
        <w:left w:val="none" w:sz="0" w:space="0" w:color="auto"/>
        <w:bottom w:val="none" w:sz="0" w:space="0" w:color="auto"/>
        <w:right w:val="none" w:sz="0" w:space="0" w:color="auto"/>
      </w:divBdr>
    </w:div>
    <w:div w:id="352417671">
      <w:bodyDiv w:val="1"/>
      <w:marLeft w:val="0"/>
      <w:marRight w:val="0"/>
      <w:marTop w:val="0"/>
      <w:marBottom w:val="0"/>
      <w:divBdr>
        <w:top w:val="none" w:sz="0" w:space="0" w:color="auto"/>
        <w:left w:val="none" w:sz="0" w:space="0" w:color="auto"/>
        <w:bottom w:val="none" w:sz="0" w:space="0" w:color="auto"/>
        <w:right w:val="none" w:sz="0" w:space="0" w:color="auto"/>
      </w:divBdr>
    </w:div>
    <w:div w:id="352418876">
      <w:bodyDiv w:val="1"/>
      <w:marLeft w:val="0"/>
      <w:marRight w:val="0"/>
      <w:marTop w:val="0"/>
      <w:marBottom w:val="0"/>
      <w:divBdr>
        <w:top w:val="none" w:sz="0" w:space="0" w:color="auto"/>
        <w:left w:val="none" w:sz="0" w:space="0" w:color="auto"/>
        <w:bottom w:val="none" w:sz="0" w:space="0" w:color="auto"/>
        <w:right w:val="none" w:sz="0" w:space="0" w:color="auto"/>
      </w:divBdr>
    </w:div>
    <w:div w:id="352656920">
      <w:bodyDiv w:val="1"/>
      <w:marLeft w:val="0"/>
      <w:marRight w:val="0"/>
      <w:marTop w:val="0"/>
      <w:marBottom w:val="0"/>
      <w:divBdr>
        <w:top w:val="none" w:sz="0" w:space="0" w:color="auto"/>
        <w:left w:val="none" w:sz="0" w:space="0" w:color="auto"/>
        <w:bottom w:val="none" w:sz="0" w:space="0" w:color="auto"/>
        <w:right w:val="none" w:sz="0" w:space="0" w:color="auto"/>
      </w:divBdr>
    </w:div>
    <w:div w:id="352852363">
      <w:bodyDiv w:val="1"/>
      <w:marLeft w:val="0"/>
      <w:marRight w:val="0"/>
      <w:marTop w:val="0"/>
      <w:marBottom w:val="0"/>
      <w:divBdr>
        <w:top w:val="none" w:sz="0" w:space="0" w:color="auto"/>
        <w:left w:val="none" w:sz="0" w:space="0" w:color="auto"/>
        <w:bottom w:val="none" w:sz="0" w:space="0" w:color="auto"/>
        <w:right w:val="none" w:sz="0" w:space="0" w:color="auto"/>
      </w:divBdr>
    </w:div>
    <w:div w:id="353121084">
      <w:bodyDiv w:val="1"/>
      <w:marLeft w:val="0"/>
      <w:marRight w:val="0"/>
      <w:marTop w:val="0"/>
      <w:marBottom w:val="0"/>
      <w:divBdr>
        <w:top w:val="none" w:sz="0" w:space="0" w:color="auto"/>
        <w:left w:val="none" w:sz="0" w:space="0" w:color="auto"/>
        <w:bottom w:val="none" w:sz="0" w:space="0" w:color="auto"/>
        <w:right w:val="none" w:sz="0" w:space="0" w:color="auto"/>
      </w:divBdr>
    </w:div>
    <w:div w:id="353263828">
      <w:bodyDiv w:val="1"/>
      <w:marLeft w:val="0"/>
      <w:marRight w:val="0"/>
      <w:marTop w:val="0"/>
      <w:marBottom w:val="0"/>
      <w:divBdr>
        <w:top w:val="none" w:sz="0" w:space="0" w:color="auto"/>
        <w:left w:val="none" w:sz="0" w:space="0" w:color="auto"/>
        <w:bottom w:val="none" w:sz="0" w:space="0" w:color="auto"/>
        <w:right w:val="none" w:sz="0" w:space="0" w:color="auto"/>
      </w:divBdr>
    </w:div>
    <w:div w:id="353270151">
      <w:bodyDiv w:val="1"/>
      <w:marLeft w:val="0"/>
      <w:marRight w:val="0"/>
      <w:marTop w:val="0"/>
      <w:marBottom w:val="0"/>
      <w:divBdr>
        <w:top w:val="none" w:sz="0" w:space="0" w:color="auto"/>
        <w:left w:val="none" w:sz="0" w:space="0" w:color="auto"/>
        <w:bottom w:val="none" w:sz="0" w:space="0" w:color="auto"/>
        <w:right w:val="none" w:sz="0" w:space="0" w:color="auto"/>
      </w:divBdr>
    </w:div>
    <w:div w:id="353382083">
      <w:bodyDiv w:val="1"/>
      <w:marLeft w:val="0"/>
      <w:marRight w:val="0"/>
      <w:marTop w:val="0"/>
      <w:marBottom w:val="0"/>
      <w:divBdr>
        <w:top w:val="none" w:sz="0" w:space="0" w:color="auto"/>
        <w:left w:val="none" w:sz="0" w:space="0" w:color="auto"/>
        <w:bottom w:val="none" w:sz="0" w:space="0" w:color="auto"/>
        <w:right w:val="none" w:sz="0" w:space="0" w:color="auto"/>
      </w:divBdr>
    </w:div>
    <w:div w:id="353462519">
      <w:bodyDiv w:val="1"/>
      <w:marLeft w:val="0"/>
      <w:marRight w:val="0"/>
      <w:marTop w:val="0"/>
      <w:marBottom w:val="0"/>
      <w:divBdr>
        <w:top w:val="none" w:sz="0" w:space="0" w:color="auto"/>
        <w:left w:val="none" w:sz="0" w:space="0" w:color="auto"/>
        <w:bottom w:val="none" w:sz="0" w:space="0" w:color="auto"/>
        <w:right w:val="none" w:sz="0" w:space="0" w:color="auto"/>
      </w:divBdr>
    </w:div>
    <w:div w:id="353503516">
      <w:bodyDiv w:val="1"/>
      <w:marLeft w:val="0"/>
      <w:marRight w:val="0"/>
      <w:marTop w:val="0"/>
      <w:marBottom w:val="0"/>
      <w:divBdr>
        <w:top w:val="none" w:sz="0" w:space="0" w:color="auto"/>
        <w:left w:val="none" w:sz="0" w:space="0" w:color="auto"/>
        <w:bottom w:val="none" w:sz="0" w:space="0" w:color="auto"/>
        <w:right w:val="none" w:sz="0" w:space="0" w:color="auto"/>
      </w:divBdr>
    </w:div>
    <w:div w:id="353575969">
      <w:bodyDiv w:val="1"/>
      <w:marLeft w:val="0"/>
      <w:marRight w:val="0"/>
      <w:marTop w:val="0"/>
      <w:marBottom w:val="0"/>
      <w:divBdr>
        <w:top w:val="none" w:sz="0" w:space="0" w:color="auto"/>
        <w:left w:val="none" w:sz="0" w:space="0" w:color="auto"/>
        <w:bottom w:val="none" w:sz="0" w:space="0" w:color="auto"/>
        <w:right w:val="none" w:sz="0" w:space="0" w:color="auto"/>
      </w:divBdr>
    </w:div>
    <w:div w:id="353771830">
      <w:bodyDiv w:val="1"/>
      <w:marLeft w:val="0"/>
      <w:marRight w:val="0"/>
      <w:marTop w:val="0"/>
      <w:marBottom w:val="0"/>
      <w:divBdr>
        <w:top w:val="none" w:sz="0" w:space="0" w:color="auto"/>
        <w:left w:val="none" w:sz="0" w:space="0" w:color="auto"/>
        <w:bottom w:val="none" w:sz="0" w:space="0" w:color="auto"/>
        <w:right w:val="none" w:sz="0" w:space="0" w:color="auto"/>
      </w:divBdr>
    </w:div>
    <w:div w:id="353924913">
      <w:bodyDiv w:val="1"/>
      <w:marLeft w:val="0"/>
      <w:marRight w:val="0"/>
      <w:marTop w:val="0"/>
      <w:marBottom w:val="0"/>
      <w:divBdr>
        <w:top w:val="none" w:sz="0" w:space="0" w:color="auto"/>
        <w:left w:val="none" w:sz="0" w:space="0" w:color="auto"/>
        <w:bottom w:val="none" w:sz="0" w:space="0" w:color="auto"/>
        <w:right w:val="none" w:sz="0" w:space="0" w:color="auto"/>
      </w:divBdr>
    </w:div>
    <w:div w:id="354043934">
      <w:bodyDiv w:val="1"/>
      <w:marLeft w:val="0"/>
      <w:marRight w:val="0"/>
      <w:marTop w:val="0"/>
      <w:marBottom w:val="0"/>
      <w:divBdr>
        <w:top w:val="none" w:sz="0" w:space="0" w:color="auto"/>
        <w:left w:val="none" w:sz="0" w:space="0" w:color="auto"/>
        <w:bottom w:val="none" w:sz="0" w:space="0" w:color="auto"/>
        <w:right w:val="none" w:sz="0" w:space="0" w:color="auto"/>
      </w:divBdr>
    </w:div>
    <w:div w:id="354112561">
      <w:bodyDiv w:val="1"/>
      <w:marLeft w:val="0"/>
      <w:marRight w:val="0"/>
      <w:marTop w:val="0"/>
      <w:marBottom w:val="0"/>
      <w:divBdr>
        <w:top w:val="none" w:sz="0" w:space="0" w:color="auto"/>
        <w:left w:val="none" w:sz="0" w:space="0" w:color="auto"/>
        <w:bottom w:val="none" w:sz="0" w:space="0" w:color="auto"/>
        <w:right w:val="none" w:sz="0" w:space="0" w:color="auto"/>
      </w:divBdr>
    </w:div>
    <w:div w:id="354157025">
      <w:bodyDiv w:val="1"/>
      <w:marLeft w:val="0"/>
      <w:marRight w:val="0"/>
      <w:marTop w:val="0"/>
      <w:marBottom w:val="0"/>
      <w:divBdr>
        <w:top w:val="none" w:sz="0" w:space="0" w:color="auto"/>
        <w:left w:val="none" w:sz="0" w:space="0" w:color="auto"/>
        <w:bottom w:val="none" w:sz="0" w:space="0" w:color="auto"/>
        <w:right w:val="none" w:sz="0" w:space="0" w:color="auto"/>
      </w:divBdr>
    </w:div>
    <w:div w:id="354311981">
      <w:bodyDiv w:val="1"/>
      <w:marLeft w:val="0"/>
      <w:marRight w:val="0"/>
      <w:marTop w:val="0"/>
      <w:marBottom w:val="0"/>
      <w:divBdr>
        <w:top w:val="none" w:sz="0" w:space="0" w:color="auto"/>
        <w:left w:val="none" w:sz="0" w:space="0" w:color="auto"/>
        <w:bottom w:val="none" w:sz="0" w:space="0" w:color="auto"/>
        <w:right w:val="none" w:sz="0" w:space="0" w:color="auto"/>
      </w:divBdr>
    </w:div>
    <w:div w:id="354699491">
      <w:bodyDiv w:val="1"/>
      <w:marLeft w:val="0"/>
      <w:marRight w:val="0"/>
      <w:marTop w:val="0"/>
      <w:marBottom w:val="0"/>
      <w:divBdr>
        <w:top w:val="none" w:sz="0" w:space="0" w:color="auto"/>
        <w:left w:val="none" w:sz="0" w:space="0" w:color="auto"/>
        <w:bottom w:val="none" w:sz="0" w:space="0" w:color="auto"/>
        <w:right w:val="none" w:sz="0" w:space="0" w:color="auto"/>
      </w:divBdr>
    </w:div>
    <w:div w:id="354770723">
      <w:bodyDiv w:val="1"/>
      <w:marLeft w:val="0"/>
      <w:marRight w:val="0"/>
      <w:marTop w:val="0"/>
      <w:marBottom w:val="0"/>
      <w:divBdr>
        <w:top w:val="none" w:sz="0" w:space="0" w:color="auto"/>
        <w:left w:val="none" w:sz="0" w:space="0" w:color="auto"/>
        <w:bottom w:val="none" w:sz="0" w:space="0" w:color="auto"/>
        <w:right w:val="none" w:sz="0" w:space="0" w:color="auto"/>
      </w:divBdr>
    </w:div>
    <w:div w:id="354960178">
      <w:bodyDiv w:val="1"/>
      <w:marLeft w:val="0"/>
      <w:marRight w:val="0"/>
      <w:marTop w:val="0"/>
      <w:marBottom w:val="0"/>
      <w:divBdr>
        <w:top w:val="none" w:sz="0" w:space="0" w:color="auto"/>
        <w:left w:val="none" w:sz="0" w:space="0" w:color="auto"/>
        <w:bottom w:val="none" w:sz="0" w:space="0" w:color="auto"/>
        <w:right w:val="none" w:sz="0" w:space="0" w:color="auto"/>
      </w:divBdr>
    </w:div>
    <w:div w:id="355080782">
      <w:bodyDiv w:val="1"/>
      <w:marLeft w:val="0"/>
      <w:marRight w:val="0"/>
      <w:marTop w:val="0"/>
      <w:marBottom w:val="0"/>
      <w:divBdr>
        <w:top w:val="none" w:sz="0" w:space="0" w:color="auto"/>
        <w:left w:val="none" w:sz="0" w:space="0" w:color="auto"/>
        <w:bottom w:val="none" w:sz="0" w:space="0" w:color="auto"/>
        <w:right w:val="none" w:sz="0" w:space="0" w:color="auto"/>
      </w:divBdr>
    </w:div>
    <w:div w:id="355153141">
      <w:bodyDiv w:val="1"/>
      <w:marLeft w:val="0"/>
      <w:marRight w:val="0"/>
      <w:marTop w:val="0"/>
      <w:marBottom w:val="0"/>
      <w:divBdr>
        <w:top w:val="none" w:sz="0" w:space="0" w:color="auto"/>
        <w:left w:val="none" w:sz="0" w:space="0" w:color="auto"/>
        <w:bottom w:val="none" w:sz="0" w:space="0" w:color="auto"/>
        <w:right w:val="none" w:sz="0" w:space="0" w:color="auto"/>
      </w:divBdr>
    </w:div>
    <w:div w:id="355272687">
      <w:bodyDiv w:val="1"/>
      <w:marLeft w:val="0"/>
      <w:marRight w:val="0"/>
      <w:marTop w:val="0"/>
      <w:marBottom w:val="0"/>
      <w:divBdr>
        <w:top w:val="none" w:sz="0" w:space="0" w:color="auto"/>
        <w:left w:val="none" w:sz="0" w:space="0" w:color="auto"/>
        <w:bottom w:val="none" w:sz="0" w:space="0" w:color="auto"/>
        <w:right w:val="none" w:sz="0" w:space="0" w:color="auto"/>
      </w:divBdr>
    </w:div>
    <w:div w:id="355273377">
      <w:bodyDiv w:val="1"/>
      <w:marLeft w:val="0"/>
      <w:marRight w:val="0"/>
      <w:marTop w:val="0"/>
      <w:marBottom w:val="0"/>
      <w:divBdr>
        <w:top w:val="none" w:sz="0" w:space="0" w:color="auto"/>
        <w:left w:val="none" w:sz="0" w:space="0" w:color="auto"/>
        <w:bottom w:val="none" w:sz="0" w:space="0" w:color="auto"/>
        <w:right w:val="none" w:sz="0" w:space="0" w:color="auto"/>
      </w:divBdr>
    </w:div>
    <w:div w:id="355278284">
      <w:bodyDiv w:val="1"/>
      <w:marLeft w:val="0"/>
      <w:marRight w:val="0"/>
      <w:marTop w:val="0"/>
      <w:marBottom w:val="0"/>
      <w:divBdr>
        <w:top w:val="none" w:sz="0" w:space="0" w:color="auto"/>
        <w:left w:val="none" w:sz="0" w:space="0" w:color="auto"/>
        <w:bottom w:val="none" w:sz="0" w:space="0" w:color="auto"/>
        <w:right w:val="none" w:sz="0" w:space="0" w:color="auto"/>
      </w:divBdr>
    </w:div>
    <w:div w:id="355347558">
      <w:bodyDiv w:val="1"/>
      <w:marLeft w:val="0"/>
      <w:marRight w:val="0"/>
      <w:marTop w:val="0"/>
      <w:marBottom w:val="0"/>
      <w:divBdr>
        <w:top w:val="none" w:sz="0" w:space="0" w:color="auto"/>
        <w:left w:val="none" w:sz="0" w:space="0" w:color="auto"/>
        <w:bottom w:val="none" w:sz="0" w:space="0" w:color="auto"/>
        <w:right w:val="none" w:sz="0" w:space="0" w:color="auto"/>
      </w:divBdr>
    </w:div>
    <w:div w:id="355348790">
      <w:bodyDiv w:val="1"/>
      <w:marLeft w:val="0"/>
      <w:marRight w:val="0"/>
      <w:marTop w:val="0"/>
      <w:marBottom w:val="0"/>
      <w:divBdr>
        <w:top w:val="none" w:sz="0" w:space="0" w:color="auto"/>
        <w:left w:val="none" w:sz="0" w:space="0" w:color="auto"/>
        <w:bottom w:val="none" w:sz="0" w:space="0" w:color="auto"/>
        <w:right w:val="none" w:sz="0" w:space="0" w:color="auto"/>
      </w:divBdr>
    </w:div>
    <w:div w:id="355426229">
      <w:bodyDiv w:val="1"/>
      <w:marLeft w:val="0"/>
      <w:marRight w:val="0"/>
      <w:marTop w:val="0"/>
      <w:marBottom w:val="0"/>
      <w:divBdr>
        <w:top w:val="none" w:sz="0" w:space="0" w:color="auto"/>
        <w:left w:val="none" w:sz="0" w:space="0" w:color="auto"/>
        <w:bottom w:val="none" w:sz="0" w:space="0" w:color="auto"/>
        <w:right w:val="none" w:sz="0" w:space="0" w:color="auto"/>
      </w:divBdr>
    </w:div>
    <w:div w:id="355694294">
      <w:bodyDiv w:val="1"/>
      <w:marLeft w:val="0"/>
      <w:marRight w:val="0"/>
      <w:marTop w:val="0"/>
      <w:marBottom w:val="0"/>
      <w:divBdr>
        <w:top w:val="none" w:sz="0" w:space="0" w:color="auto"/>
        <w:left w:val="none" w:sz="0" w:space="0" w:color="auto"/>
        <w:bottom w:val="none" w:sz="0" w:space="0" w:color="auto"/>
        <w:right w:val="none" w:sz="0" w:space="0" w:color="auto"/>
      </w:divBdr>
    </w:div>
    <w:div w:id="355810311">
      <w:bodyDiv w:val="1"/>
      <w:marLeft w:val="0"/>
      <w:marRight w:val="0"/>
      <w:marTop w:val="0"/>
      <w:marBottom w:val="0"/>
      <w:divBdr>
        <w:top w:val="none" w:sz="0" w:space="0" w:color="auto"/>
        <w:left w:val="none" w:sz="0" w:space="0" w:color="auto"/>
        <w:bottom w:val="none" w:sz="0" w:space="0" w:color="auto"/>
        <w:right w:val="none" w:sz="0" w:space="0" w:color="auto"/>
      </w:divBdr>
    </w:div>
    <w:div w:id="355813517">
      <w:bodyDiv w:val="1"/>
      <w:marLeft w:val="0"/>
      <w:marRight w:val="0"/>
      <w:marTop w:val="0"/>
      <w:marBottom w:val="0"/>
      <w:divBdr>
        <w:top w:val="none" w:sz="0" w:space="0" w:color="auto"/>
        <w:left w:val="none" w:sz="0" w:space="0" w:color="auto"/>
        <w:bottom w:val="none" w:sz="0" w:space="0" w:color="auto"/>
        <w:right w:val="none" w:sz="0" w:space="0" w:color="auto"/>
      </w:divBdr>
    </w:div>
    <w:div w:id="356201176">
      <w:bodyDiv w:val="1"/>
      <w:marLeft w:val="0"/>
      <w:marRight w:val="0"/>
      <w:marTop w:val="0"/>
      <w:marBottom w:val="0"/>
      <w:divBdr>
        <w:top w:val="none" w:sz="0" w:space="0" w:color="auto"/>
        <w:left w:val="none" w:sz="0" w:space="0" w:color="auto"/>
        <w:bottom w:val="none" w:sz="0" w:space="0" w:color="auto"/>
        <w:right w:val="none" w:sz="0" w:space="0" w:color="auto"/>
      </w:divBdr>
    </w:div>
    <w:div w:id="356271522">
      <w:bodyDiv w:val="1"/>
      <w:marLeft w:val="0"/>
      <w:marRight w:val="0"/>
      <w:marTop w:val="0"/>
      <w:marBottom w:val="0"/>
      <w:divBdr>
        <w:top w:val="none" w:sz="0" w:space="0" w:color="auto"/>
        <w:left w:val="none" w:sz="0" w:space="0" w:color="auto"/>
        <w:bottom w:val="none" w:sz="0" w:space="0" w:color="auto"/>
        <w:right w:val="none" w:sz="0" w:space="0" w:color="auto"/>
      </w:divBdr>
    </w:div>
    <w:div w:id="356583558">
      <w:bodyDiv w:val="1"/>
      <w:marLeft w:val="0"/>
      <w:marRight w:val="0"/>
      <w:marTop w:val="0"/>
      <w:marBottom w:val="0"/>
      <w:divBdr>
        <w:top w:val="none" w:sz="0" w:space="0" w:color="auto"/>
        <w:left w:val="none" w:sz="0" w:space="0" w:color="auto"/>
        <w:bottom w:val="none" w:sz="0" w:space="0" w:color="auto"/>
        <w:right w:val="none" w:sz="0" w:space="0" w:color="auto"/>
      </w:divBdr>
    </w:div>
    <w:div w:id="356780107">
      <w:bodyDiv w:val="1"/>
      <w:marLeft w:val="0"/>
      <w:marRight w:val="0"/>
      <w:marTop w:val="0"/>
      <w:marBottom w:val="0"/>
      <w:divBdr>
        <w:top w:val="none" w:sz="0" w:space="0" w:color="auto"/>
        <w:left w:val="none" w:sz="0" w:space="0" w:color="auto"/>
        <w:bottom w:val="none" w:sz="0" w:space="0" w:color="auto"/>
        <w:right w:val="none" w:sz="0" w:space="0" w:color="auto"/>
      </w:divBdr>
    </w:div>
    <w:div w:id="356782036">
      <w:bodyDiv w:val="1"/>
      <w:marLeft w:val="0"/>
      <w:marRight w:val="0"/>
      <w:marTop w:val="0"/>
      <w:marBottom w:val="0"/>
      <w:divBdr>
        <w:top w:val="none" w:sz="0" w:space="0" w:color="auto"/>
        <w:left w:val="none" w:sz="0" w:space="0" w:color="auto"/>
        <w:bottom w:val="none" w:sz="0" w:space="0" w:color="auto"/>
        <w:right w:val="none" w:sz="0" w:space="0" w:color="auto"/>
      </w:divBdr>
    </w:div>
    <w:div w:id="356851107">
      <w:bodyDiv w:val="1"/>
      <w:marLeft w:val="0"/>
      <w:marRight w:val="0"/>
      <w:marTop w:val="0"/>
      <w:marBottom w:val="0"/>
      <w:divBdr>
        <w:top w:val="none" w:sz="0" w:space="0" w:color="auto"/>
        <w:left w:val="none" w:sz="0" w:space="0" w:color="auto"/>
        <w:bottom w:val="none" w:sz="0" w:space="0" w:color="auto"/>
        <w:right w:val="none" w:sz="0" w:space="0" w:color="auto"/>
      </w:divBdr>
    </w:div>
    <w:div w:id="356928940">
      <w:bodyDiv w:val="1"/>
      <w:marLeft w:val="0"/>
      <w:marRight w:val="0"/>
      <w:marTop w:val="0"/>
      <w:marBottom w:val="0"/>
      <w:divBdr>
        <w:top w:val="none" w:sz="0" w:space="0" w:color="auto"/>
        <w:left w:val="none" w:sz="0" w:space="0" w:color="auto"/>
        <w:bottom w:val="none" w:sz="0" w:space="0" w:color="auto"/>
        <w:right w:val="none" w:sz="0" w:space="0" w:color="auto"/>
      </w:divBdr>
    </w:div>
    <w:div w:id="357044461">
      <w:bodyDiv w:val="1"/>
      <w:marLeft w:val="0"/>
      <w:marRight w:val="0"/>
      <w:marTop w:val="0"/>
      <w:marBottom w:val="0"/>
      <w:divBdr>
        <w:top w:val="none" w:sz="0" w:space="0" w:color="auto"/>
        <w:left w:val="none" w:sz="0" w:space="0" w:color="auto"/>
        <w:bottom w:val="none" w:sz="0" w:space="0" w:color="auto"/>
        <w:right w:val="none" w:sz="0" w:space="0" w:color="auto"/>
      </w:divBdr>
    </w:div>
    <w:div w:id="357203069">
      <w:bodyDiv w:val="1"/>
      <w:marLeft w:val="0"/>
      <w:marRight w:val="0"/>
      <w:marTop w:val="0"/>
      <w:marBottom w:val="0"/>
      <w:divBdr>
        <w:top w:val="none" w:sz="0" w:space="0" w:color="auto"/>
        <w:left w:val="none" w:sz="0" w:space="0" w:color="auto"/>
        <w:bottom w:val="none" w:sz="0" w:space="0" w:color="auto"/>
        <w:right w:val="none" w:sz="0" w:space="0" w:color="auto"/>
      </w:divBdr>
    </w:div>
    <w:div w:id="357586335">
      <w:bodyDiv w:val="1"/>
      <w:marLeft w:val="0"/>
      <w:marRight w:val="0"/>
      <w:marTop w:val="0"/>
      <w:marBottom w:val="0"/>
      <w:divBdr>
        <w:top w:val="none" w:sz="0" w:space="0" w:color="auto"/>
        <w:left w:val="none" w:sz="0" w:space="0" w:color="auto"/>
        <w:bottom w:val="none" w:sz="0" w:space="0" w:color="auto"/>
        <w:right w:val="none" w:sz="0" w:space="0" w:color="auto"/>
      </w:divBdr>
    </w:div>
    <w:div w:id="357588237">
      <w:bodyDiv w:val="1"/>
      <w:marLeft w:val="0"/>
      <w:marRight w:val="0"/>
      <w:marTop w:val="0"/>
      <w:marBottom w:val="0"/>
      <w:divBdr>
        <w:top w:val="none" w:sz="0" w:space="0" w:color="auto"/>
        <w:left w:val="none" w:sz="0" w:space="0" w:color="auto"/>
        <w:bottom w:val="none" w:sz="0" w:space="0" w:color="auto"/>
        <w:right w:val="none" w:sz="0" w:space="0" w:color="auto"/>
      </w:divBdr>
    </w:div>
    <w:div w:id="357854923">
      <w:bodyDiv w:val="1"/>
      <w:marLeft w:val="0"/>
      <w:marRight w:val="0"/>
      <w:marTop w:val="0"/>
      <w:marBottom w:val="0"/>
      <w:divBdr>
        <w:top w:val="none" w:sz="0" w:space="0" w:color="auto"/>
        <w:left w:val="none" w:sz="0" w:space="0" w:color="auto"/>
        <w:bottom w:val="none" w:sz="0" w:space="0" w:color="auto"/>
        <w:right w:val="none" w:sz="0" w:space="0" w:color="auto"/>
      </w:divBdr>
    </w:div>
    <w:div w:id="357977017">
      <w:bodyDiv w:val="1"/>
      <w:marLeft w:val="0"/>
      <w:marRight w:val="0"/>
      <w:marTop w:val="0"/>
      <w:marBottom w:val="0"/>
      <w:divBdr>
        <w:top w:val="none" w:sz="0" w:space="0" w:color="auto"/>
        <w:left w:val="none" w:sz="0" w:space="0" w:color="auto"/>
        <w:bottom w:val="none" w:sz="0" w:space="0" w:color="auto"/>
        <w:right w:val="none" w:sz="0" w:space="0" w:color="auto"/>
      </w:divBdr>
    </w:div>
    <w:div w:id="358051655">
      <w:bodyDiv w:val="1"/>
      <w:marLeft w:val="0"/>
      <w:marRight w:val="0"/>
      <w:marTop w:val="0"/>
      <w:marBottom w:val="0"/>
      <w:divBdr>
        <w:top w:val="none" w:sz="0" w:space="0" w:color="auto"/>
        <w:left w:val="none" w:sz="0" w:space="0" w:color="auto"/>
        <w:bottom w:val="none" w:sz="0" w:space="0" w:color="auto"/>
        <w:right w:val="none" w:sz="0" w:space="0" w:color="auto"/>
      </w:divBdr>
    </w:div>
    <w:div w:id="358088806">
      <w:bodyDiv w:val="1"/>
      <w:marLeft w:val="0"/>
      <w:marRight w:val="0"/>
      <w:marTop w:val="0"/>
      <w:marBottom w:val="0"/>
      <w:divBdr>
        <w:top w:val="none" w:sz="0" w:space="0" w:color="auto"/>
        <w:left w:val="none" w:sz="0" w:space="0" w:color="auto"/>
        <w:bottom w:val="none" w:sz="0" w:space="0" w:color="auto"/>
        <w:right w:val="none" w:sz="0" w:space="0" w:color="auto"/>
      </w:divBdr>
    </w:div>
    <w:div w:id="358315000">
      <w:bodyDiv w:val="1"/>
      <w:marLeft w:val="0"/>
      <w:marRight w:val="0"/>
      <w:marTop w:val="0"/>
      <w:marBottom w:val="0"/>
      <w:divBdr>
        <w:top w:val="none" w:sz="0" w:space="0" w:color="auto"/>
        <w:left w:val="none" w:sz="0" w:space="0" w:color="auto"/>
        <w:bottom w:val="none" w:sz="0" w:space="0" w:color="auto"/>
        <w:right w:val="none" w:sz="0" w:space="0" w:color="auto"/>
      </w:divBdr>
    </w:div>
    <w:div w:id="358317354">
      <w:bodyDiv w:val="1"/>
      <w:marLeft w:val="0"/>
      <w:marRight w:val="0"/>
      <w:marTop w:val="0"/>
      <w:marBottom w:val="0"/>
      <w:divBdr>
        <w:top w:val="none" w:sz="0" w:space="0" w:color="auto"/>
        <w:left w:val="none" w:sz="0" w:space="0" w:color="auto"/>
        <w:bottom w:val="none" w:sz="0" w:space="0" w:color="auto"/>
        <w:right w:val="none" w:sz="0" w:space="0" w:color="auto"/>
      </w:divBdr>
    </w:div>
    <w:div w:id="358358401">
      <w:bodyDiv w:val="1"/>
      <w:marLeft w:val="0"/>
      <w:marRight w:val="0"/>
      <w:marTop w:val="0"/>
      <w:marBottom w:val="0"/>
      <w:divBdr>
        <w:top w:val="none" w:sz="0" w:space="0" w:color="auto"/>
        <w:left w:val="none" w:sz="0" w:space="0" w:color="auto"/>
        <w:bottom w:val="none" w:sz="0" w:space="0" w:color="auto"/>
        <w:right w:val="none" w:sz="0" w:space="0" w:color="auto"/>
      </w:divBdr>
    </w:div>
    <w:div w:id="358553577">
      <w:bodyDiv w:val="1"/>
      <w:marLeft w:val="0"/>
      <w:marRight w:val="0"/>
      <w:marTop w:val="0"/>
      <w:marBottom w:val="0"/>
      <w:divBdr>
        <w:top w:val="none" w:sz="0" w:space="0" w:color="auto"/>
        <w:left w:val="none" w:sz="0" w:space="0" w:color="auto"/>
        <w:bottom w:val="none" w:sz="0" w:space="0" w:color="auto"/>
        <w:right w:val="none" w:sz="0" w:space="0" w:color="auto"/>
      </w:divBdr>
    </w:div>
    <w:div w:id="358623612">
      <w:bodyDiv w:val="1"/>
      <w:marLeft w:val="0"/>
      <w:marRight w:val="0"/>
      <w:marTop w:val="0"/>
      <w:marBottom w:val="0"/>
      <w:divBdr>
        <w:top w:val="none" w:sz="0" w:space="0" w:color="auto"/>
        <w:left w:val="none" w:sz="0" w:space="0" w:color="auto"/>
        <w:bottom w:val="none" w:sz="0" w:space="0" w:color="auto"/>
        <w:right w:val="none" w:sz="0" w:space="0" w:color="auto"/>
      </w:divBdr>
    </w:div>
    <w:div w:id="358627550">
      <w:bodyDiv w:val="1"/>
      <w:marLeft w:val="0"/>
      <w:marRight w:val="0"/>
      <w:marTop w:val="0"/>
      <w:marBottom w:val="0"/>
      <w:divBdr>
        <w:top w:val="none" w:sz="0" w:space="0" w:color="auto"/>
        <w:left w:val="none" w:sz="0" w:space="0" w:color="auto"/>
        <w:bottom w:val="none" w:sz="0" w:space="0" w:color="auto"/>
        <w:right w:val="none" w:sz="0" w:space="0" w:color="auto"/>
      </w:divBdr>
    </w:div>
    <w:div w:id="358776224">
      <w:bodyDiv w:val="1"/>
      <w:marLeft w:val="0"/>
      <w:marRight w:val="0"/>
      <w:marTop w:val="0"/>
      <w:marBottom w:val="0"/>
      <w:divBdr>
        <w:top w:val="none" w:sz="0" w:space="0" w:color="auto"/>
        <w:left w:val="none" w:sz="0" w:space="0" w:color="auto"/>
        <w:bottom w:val="none" w:sz="0" w:space="0" w:color="auto"/>
        <w:right w:val="none" w:sz="0" w:space="0" w:color="auto"/>
      </w:divBdr>
    </w:div>
    <w:div w:id="358894855">
      <w:bodyDiv w:val="1"/>
      <w:marLeft w:val="0"/>
      <w:marRight w:val="0"/>
      <w:marTop w:val="0"/>
      <w:marBottom w:val="0"/>
      <w:divBdr>
        <w:top w:val="none" w:sz="0" w:space="0" w:color="auto"/>
        <w:left w:val="none" w:sz="0" w:space="0" w:color="auto"/>
        <w:bottom w:val="none" w:sz="0" w:space="0" w:color="auto"/>
        <w:right w:val="none" w:sz="0" w:space="0" w:color="auto"/>
      </w:divBdr>
    </w:div>
    <w:div w:id="358899160">
      <w:bodyDiv w:val="1"/>
      <w:marLeft w:val="0"/>
      <w:marRight w:val="0"/>
      <w:marTop w:val="0"/>
      <w:marBottom w:val="0"/>
      <w:divBdr>
        <w:top w:val="none" w:sz="0" w:space="0" w:color="auto"/>
        <w:left w:val="none" w:sz="0" w:space="0" w:color="auto"/>
        <w:bottom w:val="none" w:sz="0" w:space="0" w:color="auto"/>
        <w:right w:val="none" w:sz="0" w:space="0" w:color="auto"/>
      </w:divBdr>
    </w:div>
    <w:div w:id="358943586">
      <w:bodyDiv w:val="1"/>
      <w:marLeft w:val="0"/>
      <w:marRight w:val="0"/>
      <w:marTop w:val="0"/>
      <w:marBottom w:val="0"/>
      <w:divBdr>
        <w:top w:val="none" w:sz="0" w:space="0" w:color="auto"/>
        <w:left w:val="none" w:sz="0" w:space="0" w:color="auto"/>
        <w:bottom w:val="none" w:sz="0" w:space="0" w:color="auto"/>
        <w:right w:val="none" w:sz="0" w:space="0" w:color="auto"/>
      </w:divBdr>
    </w:div>
    <w:div w:id="358972618">
      <w:bodyDiv w:val="1"/>
      <w:marLeft w:val="0"/>
      <w:marRight w:val="0"/>
      <w:marTop w:val="0"/>
      <w:marBottom w:val="0"/>
      <w:divBdr>
        <w:top w:val="none" w:sz="0" w:space="0" w:color="auto"/>
        <w:left w:val="none" w:sz="0" w:space="0" w:color="auto"/>
        <w:bottom w:val="none" w:sz="0" w:space="0" w:color="auto"/>
        <w:right w:val="none" w:sz="0" w:space="0" w:color="auto"/>
      </w:divBdr>
    </w:div>
    <w:div w:id="359092111">
      <w:bodyDiv w:val="1"/>
      <w:marLeft w:val="0"/>
      <w:marRight w:val="0"/>
      <w:marTop w:val="0"/>
      <w:marBottom w:val="0"/>
      <w:divBdr>
        <w:top w:val="none" w:sz="0" w:space="0" w:color="auto"/>
        <w:left w:val="none" w:sz="0" w:space="0" w:color="auto"/>
        <w:bottom w:val="none" w:sz="0" w:space="0" w:color="auto"/>
        <w:right w:val="none" w:sz="0" w:space="0" w:color="auto"/>
      </w:divBdr>
    </w:div>
    <w:div w:id="359092513">
      <w:bodyDiv w:val="1"/>
      <w:marLeft w:val="0"/>
      <w:marRight w:val="0"/>
      <w:marTop w:val="0"/>
      <w:marBottom w:val="0"/>
      <w:divBdr>
        <w:top w:val="none" w:sz="0" w:space="0" w:color="auto"/>
        <w:left w:val="none" w:sz="0" w:space="0" w:color="auto"/>
        <w:bottom w:val="none" w:sz="0" w:space="0" w:color="auto"/>
        <w:right w:val="none" w:sz="0" w:space="0" w:color="auto"/>
      </w:divBdr>
    </w:div>
    <w:div w:id="359166377">
      <w:bodyDiv w:val="1"/>
      <w:marLeft w:val="0"/>
      <w:marRight w:val="0"/>
      <w:marTop w:val="0"/>
      <w:marBottom w:val="0"/>
      <w:divBdr>
        <w:top w:val="none" w:sz="0" w:space="0" w:color="auto"/>
        <w:left w:val="none" w:sz="0" w:space="0" w:color="auto"/>
        <w:bottom w:val="none" w:sz="0" w:space="0" w:color="auto"/>
        <w:right w:val="none" w:sz="0" w:space="0" w:color="auto"/>
      </w:divBdr>
    </w:div>
    <w:div w:id="359167825">
      <w:bodyDiv w:val="1"/>
      <w:marLeft w:val="0"/>
      <w:marRight w:val="0"/>
      <w:marTop w:val="0"/>
      <w:marBottom w:val="0"/>
      <w:divBdr>
        <w:top w:val="none" w:sz="0" w:space="0" w:color="auto"/>
        <w:left w:val="none" w:sz="0" w:space="0" w:color="auto"/>
        <w:bottom w:val="none" w:sz="0" w:space="0" w:color="auto"/>
        <w:right w:val="none" w:sz="0" w:space="0" w:color="auto"/>
      </w:divBdr>
    </w:div>
    <w:div w:id="359202916">
      <w:bodyDiv w:val="1"/>
      <w:marLeft w:val="0"/>
      <w:marRight w:val="0"/>
      <w:marTop w:val="0"/>
      <w:marBottom w:val="0"/>
      <w:divBdr>
        <w:top w:val="none" w:sz="0" w:space="0" w:color="auto"/>
        <w:left w:val="none" w:sz="0" w:space="0" w:color="auto"/>
        <w:bottom w:val="none" w:sz="0" w:space="0" w:color="auto"/>
        <w:right w:val="none" w:sz="0" w:space="0" w:color="auto"/>
      </w:divBdr>
    </w:div>
    <w:div w:id="359207203">
      <w:bodyDiv w:val="1"/>
      <w:marLeft w:val="0"/>
      <w:marRight w:val="0"/>
      <w:marTop w:val="0"/>
      <w:marBottom w:val="0"/>
      <w:divBdr>
        <w:top w:val="none" w:sz="0" w:space="0" w:color="auto"/>
        <w:left w:val="none" w:sz="0" w:space="0" w:color="auto"/>
        <w:bottom w:val="none" w:sz="0" w:space="0" w:color="auto"/>
        <w:right w:val="none" w:sz="0" w:space="0" w:color="auto"/>
      </w:divBdr>
    </w:div>
    <w:div w:id="359286416">
      <w:bodyDiv w:val="1"/>
      <w:marLeft w:val="0"/>
      <w:marRight w:val="0"/>
      <w:marTop w:val="0"/>
      <w:marBottom w:val="0"/>
      <w:divBdr>
        <w:top w:val="none" w:sz="0" w:space="0" w:color="auto"/>
        <w:left w:val="none" w:sz="0" w:space="0" w:color="auto"/>
        <w:bottom w:val="none" w:sz="0" w:space="0" w:color="auto"/>
        <w:right w:val="none" w:sz="0" w:space="0" w:color="auto"/>
      </w:divBdr>
    </w:div>
    <w:div w:id="359474368">
      <w:bodyDiv w:val="1"/>
      <w:marLeft w:val="0"/>
      <w:marRight w:val="0"/>
      <w:marTop w:val="0"/>
      <w:marBottom w:val="0"/>
      <w:divBdr>
        <w:top w:val="none" w:sz="0" w:space="0" w:color="auto"/>
        <w:left w:val="none" w:sz="0" w:space="0" w:color="auto"/>
        <w:bottom w:val="none" w:sz="0" w:space="0" w:color="auto"/>
        <w:right w:val="none" w:sz="0" w:space="0" w:color="auto"/>
      </w:divBdr>
    </w:div>
    <w:div w:id="359628416">
      <w:bodyDiv w:val="1"/>
      <w:marLeft w:val="0"/>
      <w:marRight w:val="0"/>
      <w:marTop w:val="0"/>
      <w:marBottom w:val="0"/>
      <w:divBdr>
        <w:top w:val="none" w:sz="0" w:space="0" w:color="auto"/>
        <w:left w:val="none" w:sz="0" w:space="0" w:color="auto"/>
        <w:bottom w:val="none" w:sz="0" w:space="0" w:color="auto"/>
        <w:right w:val="none" w:sz="0" w:space="0" w:color="auto"/>
      </w:divBdr>
    </w:div>
    <w:div w:id="360009329">
      <w:bodyDiv w:val="1"/>
      <w:marLeft w:val="0"/>
      <w:marRight w:val="0"/>
      <w:marTop w:val="0"/>
      <w:marBottom w:val="0"/>
      <w:divBdr>
        <w:top w:val="none" w:sz="0" w:space="0" w:color="auto"/>
        <w:left w:val="none" w:sz="0" w:space="0" w:color="auto"/>
        <w:bottom w:val="none" w:sz="0" w:space="0" w:color="auto"/>
        <w:right w:val="none" w:sz="0" w:space="0" w:color="auto"/>
      </w:divBdr>
    </w:div>
    <w:div w:id="360014397">
      <w:bodyDiv w:val="1"/>
      <w:marLeft w:val="0"/>
      <w:marRight w:val="0"/>
      <w:marTop w:val="0"/>
      <w:marBottom w:val="0"/>
      <w:divBdr>
        <w:top w:val="none" w:sz="0" w:space="0" w:color="auto"/>
        <w:left w:val="none" w:sz="0" w:space="0" w:color="auto"/>
        <w:bottom w:val="none" w:sz="0" w:space="0" w:color="auto"/>
        <w:right w:val="none" w:sz="0" w:space="0" w:color="auto"/>
      </w:divBdr>
    </w:div>
    <w:div w:id="360085222">
      <w:bodyDiv w:val="1"/>
      <w:marLeft w:val="0"/>
      <w:marRight w:val="0"/>
      <w:marTop w:val="0"/>
      <w:marBottom w:val="0"/>
      <w:divBdr>
        <w:top w:val="none" w:sz="0" w:space="0" w:color="auto"/>
        <w:left w:val="none" w:sz="0" w:space="0" w:color="auto"/>
        <w:bottom w:val="none" w:sz="0" w:space="0" w:color="auto"/>
        <w:right w:val="none" w:sz="0" w:space="0" w:color="auto"/>
      </w:divBdr>
    </w:div>
    <w:div w:id="360252575">
      <w:bodyDiv w:val="1"/>
      <w:marLeft w:val="0"/>
      <w:marRight w:val="0"/>
      <w:marTop w:val="0"/>
      <w:marBottom w:val="0"/>
      <w:divBdr>
        <w:top w:val="none" w:sz="0" w:space="0" w:color="auto"/>
        <w:left w:val="none" w:sz="0" w:space="0" w:color="auto"/>
        <w:bottom w:val="none" w:sz="0" w:space="0" w:color="auto"/>
        <w:right w:val="none" w:sz="0" w:space="0" w:color="auto"/>
      </w:divBdr>
    </w:div>
    <w:div w:id="360278727">
      <w:bodyDiv w:val="1"/>
      <w:marLeft w:val="0"/>
      <w:marRight w:val="0"/>
      <w:marTop w:val="0"/>
      <w:marBottom w:val="0"/>
      <w:divBdr>
        <w:top w:val="none" w:sz="0" w:space="0" w:color="auto"/>
        <w:left w:val="none" w:sz="0" w:space="0" w:color="auto"/>
        <w:bottom w:val="none" w:sz="0" w:space="0" w:color="auto"/>
        <w:right w:val="none" w:sz="0" w:space="0" w:color="auto"/>
      </w:divBdr>
    </w:div>
    <w:div w:id="360281758">
      <w:bodyDiv w:val="1"/>
      <w:marLeft w:val="0"/>
      <w:marRight w:val="0"/>
      <w:marTop w:val="0"/>
      <w:marBottom w:val="0"/>
      <w:divBdr>
        <w:top w:val="none" w:sz="0" w:space="0" w:color="auto"/>
        <w:left w:val="none" w:sz="0" w:space="0" w:color="auto"/>
        <w:bottom w:val="none" w:sz="0" w:space="0" w:color="auto"/>
        <w:right w:val="none" w:sz="0" w:space="0" w:color="auto"/>
      </w:divBdr>
    </w:div>
    <w:div w:id="360522197">
      <w:bodyDiv w:val="1"/>
      <w:marLeft w:val="0"/>
      <w:marRight w:val="0"/>
      <w:marTop w:val="0"/>
      <w:marBottom w:val="0"/>
      <w:divBdr>
        <w:top w:val="none" w:sz="0" w:space="0" w:color="auto"/>
        <w:left w:val="none" w:sz="0" w:space="0" w:color="auto"/>
        <w:bottom w:val="none" w:sz="0" w:space="0" w:color="auto"/>
        <w:right w:val="none" w:sz="0" w:space="0" w:color="auto"/>
      </w:divBdr>
    </w:div>
    <w:div w:id="360781688">
      <w:bodyDiv w:val="1"/>
      <w:marLeft w:val="0"/>
      <w:marRight w:val="0"/>
      <w:marTop w:val="0"/>
      <w:marBottom w:val="0"/>
      <w:divBdr>
        <w:top w:val="none" w:sz="0" w:space="0" w:color="auto"/>
        <w:left w:val="none" w:sz="0" w:space="0" w:color="auto"/>
        <w:bottom w:val="none" w:sz="0" w:space="0" w:color="auto"/>
        <w:right w:val="none" w:sz="0" w:space="0" w:color="auto"/>
      </w:divBdr>
    </w:div>
    <w:div w:id="360790243">
      <w:bodyDiv w:val="1"/>
      <w:marLeft w:val="0"/>
      <w:marRight w:val="0"/>
      <w:marTop w:val="0"/>
      <w:marBottom w:val="0"/>
      <w:divBdr>
        <w:top w:val="none" w:sz="0" w:space="0" w:color="auto"/>
        <w:left w:val="none" w:sz="0" w:space="0" w:color="auto"/>
        <w:bottom w:val="none" w:sz="0" w:space="0" w:color="auto"/>
        <w:right w:val="none" w:sz="0" w:space="0" w:color="auto"/>
      </w:divBdr>
    </w:div>
    <w:div w:id="360864279">
      <w:bodyDiv w:val="1"/>
      <w:marLeft w:val="0"/>
      <w:marRight w:val="0"/>
      <w:marTop w:val="0"/>
      <w:marBottom w:val="0"/>
      <w:divBdr>
        <w:top w:val="none" w:sz="0" w:space="0" w:color="auto"/>
        <w:left w:val="none" w:sz="0" w:space="0" w:color="auto"/>
        <w:bottom w:val="none" w:sz="0" w:space="0" w:color="auto"/>
        <w:right w:val="none" w:sz="0" w:space="0" w:color="auto"/>
      </w:divBdr>
    </w:div>
    <w:div w:id="361175709">
      <w:bodyDiv w:val="1"/>
      <w:marLeft w:val="0"/>
      <w:marRight w:val="0"/>
      <w:marTop w:val="0"/>
      <w:marBottom w:val="0"/>
      <w:divBdr>
        <w:top w:val="none" w:sz="0" w:space="0" w:color="auto"/>
        <w:left w:val="none" w:sz="0" w:space="0" w:color="auto"/>
        <w:bottom w:val="none" w:sz="0" w:space="0" w:color="auto"/>
        <w:right w:val="none" w:sz="0" w:space="0" w:color="auto"/>
      </w:divBdr>
    </w:div>
    <w:div w:id="361516997">
      <w:bodyDiv w:val="1"/>
      <w:marLeft w:val="0"/>
      <w:marRight w:val="0"/>
      <w:marTop w:val="0"/>
      <w:marBottom w:val="0"/>
      <w:divBdr>
        <w:top w:val="none" w:sz="0" w:space="0" w:color="auto"/>
        <w:left w:val="none" w:sz="0" w:space="0" w:color="auto"/>
        <w:bottom w:val="none" w:sz="0" w:space="0" w:color="auto"/>
        <w:right w:val="none" w:sz="0" w:space="0" w:color="auto"/>
      </w:divBdr>
    </w:div>
    <w:div w:id="361634408">
      <w:bodyDiv w:val="1"/>
      <w:marLeft w:val="0"/>
      <w:marRight w:val="0"/>
      <w:marTop w:val="0"/>
      <w:marBottom w:val="0"/>
      <w:divBdr>
        <w:top w:val="none" w:sz="0" w:space="0" w:color="auto"/>
        <w:left w:val="none" w:sz="0" w:space="0" w:color="auto"/>
        <w:bottom w:val="none" w:sz="0" w:space="0" w:color="auto"/>
        <w:right w:val="none" w:sz="0" w:space="0" w:color="auto"/>
      </w:divBdr>
    </w:div>
    <w:div w:id="361712718">
      <w:bodyDiv w:val="1"/>
      <w:marLeft w:val="0"/>
      <w:marRight w:val="0"/>
      <w:marTop w:val="0"/>
      <w:marBottom w:val="0"/>
      <w:divBdr>
        <w:top w:val="none" w:sz="0" w:space="0" w:color="auto"/>
        <w:left w:val="none" w:sz="0" w:space="0" w:color="auto"/>
        <w:bottom w:val="none" w:sz="0" w:space="0" w:color="auto"/>
        <w:right w:val="none" w:sz="0" w:space="0" w:color="auto"/>
      </w:divBdr>
    </w:div>
    <w:div w:id="362096834">
      <w:bodyDiv w:val="1"/>
      <w:marLeft w:val="0"/>
      <w:marRight w:val="0"/>
      <w:marTop w:val="0"/>
      <w:marBottom w:val="0"/>
      <w:divBdr>
        <w:top w:val="none" w:sz="0" w:space="0" w:color="auto"/>
        <w:left w:val="none" w:sz="0" w:space="0" w:color="auto"/>
        <w:bottom w:val="none" w:sz="0" w:space="0" w:color="auto"/>
        <w:right w:val="none" w:sz="0" w:space="0" w:color="auto"/>
      </w:divBdr>
    </w:div>
    <w:div w:id="362286425">
      <w:bodyDiv w:val="1"/>
      <w:marLeft w:val="0"/>
      <w:marRight w:val="0"/>
      <w:marTop w:val="0"/>
      <w:marBottom w:val="0"/>
      <w:divBdr>
        <w:top w:val="none" w:sz="0" w:space="0" w:color="auto"/>
        <w:left w:val="none" w:sz="0" w:space="0" w:color="auto"/>
        <w:bottom w:val="none" w:sz="0" w:space="0" w:color="auto"/>
        <w:right w:val="none" w:sz="0" w:space="0" w:color="auto"/>
      </w:divBdr>
    </w:div>
    <w:div w:id="362287121">
      <w:bodyDiv w:val="1"/>
      <w:marLeft w:val="0"/>
      <w:marRight w:val="0"/>
      <w:marTop w:val="0"/>
      <w:marBottom w:val="0"/>
      <w:divBdr>
        <w:top w:val="none" w:sz="0" w:space="0" w:color="auto"/>
        <w:left w:val="none" w:sz="0" w:space="0" w:color="auto"/>
        <w:bottom w:val="none" w:sz="0" w:space="0" w:color="auto"/>
        <w:right w:val="none" w:sz="0" w:space="0" w:color="auto"/>
      </w:divBdr>
    </w:div>
    <w:div w:id="362289938">
      <w:bodyDiv w:val="1"/>
      <w:marLeft w:val="0"/>
      <w:marRight w:val="0"/>
      <w:marTop w:val="0"/>
      <w:marBottom w:val="0"/>
      <w:divBdr>
        <w:top w:val="none" w:sz="0" w:space="0" w:color="auto"/>
        <w:left w:val="none" w:sz="0" w:space="0" w:color="auto"/>
        <w:bottom w:val="none" w:sz="0" w:space="0" w:color="auto"/>
        <w:right w:val="none" w:sz="0" w:space="0" w:color="auto"/>
      </w:divBdr>
    </w:div>
    <w:div w:id="362291148">
      <w:bodyDiv w:val="1"/>
      <w:marLeft w:val="0"/>
      <w:marRight w:val="0"/>
      <w:marTop w:val="0"/>
      <w:marBottom w:val="0"/>
      <w:divBdr>
        <w:top w:val="none" w:sz="0" w:space="0" w:color="auto"/>
        <w:left w:val="none" w:sz="0" w:space="0" w:color="auto"/>
        <w:bottom w:val="none" w:sz="0" w:space="0" w:color="auto"/>
        <w:right w:val="none" w:sz="0" w:space="0" w:color="auto"/>
      </w:divBdr>
    </w:div>
    <w:div w:id="362369451">
      <w:bodyDiv w:val="1"/>
      <w:marLeft w:val="0"/>
      <w:marRight w:val="0"/>
      <w:marTop w:val="0"/>
      <w:marBottom w:val="0"/>
      <w:divBdr>
        <w:top w:val="none" w:sz="0" w:space="0" w:color="auto"/>
        <w:left w:val="none" w:sz="0" w:space="0" w:color="auto"/>
        <w:bottom w:val="none" w:sz="0" w:space="0" w:color="auto"/>
        <w:right w:val="none" w:sz="0" w:space="0" w:color="auto"/>
      </w:divBdr>
    </w:div>
    <w:div w:id="362369674">
      <w:bodyDiv w:val="1"/>
      <w:marLeft w:val="0"/>
      <w:marRight w:val="0"/>
      <w:marTop w:val="0"/>
      <w:marBottom w:val="0"/>
      <w:divBdr>
        <w:top w:val="none" w:sz="0" w:space="0" w:color="auto"/>
        <w:left w:val="none" w:sz="0" w:space="0" w:color="auto"/>
        <w:bottom w:val="none" w:sz="0" w:space="0" w:color="auto"/>
        <w:right w:val="none" w:sz="0" w:space="0" w:color="auto"/>
      </w:divBdr>
    </w:div>
    <w:div w:id="362437918">
      <w:bodyDiv w:val="1"/>
      <w:marLeft w:val="0"/>
      <w:marRight w:val="0"/>
      <w:marTop w:val="0"/>
      <w:marBottom w:val="0"/>
      <w:divBdr>
        <w:top w:val="none" w:sz="0" w:space="0" w:color="auto"/>
        <w:left w:val="none" w:sz="0" w:space="0" w:color="auto"/>
        <w:bottom w:val="none" w:sz="0" w:space="0" w:color="auto"/>
        <w:right w:val="none" w:sz="0" w:space="0" w:color="auto"/>
      </w:divBdr>
    </w:div>
    <w:div w:id="362486306">
      <w:bodyDiv w:val="1"/>
      <w:marLeft w:val="0"/>
      <w:marRight w:val="0"/>
      <w:marTop w:val="0"/>
      <w:marBottom w:val="0"/>
      <w:divBdr>
        <w:top w:val="none" w:sz="0" w:space="0" w:color="auto"/>
        <w:left w:val="none" w:sz="0" w:space="0" w:color="auto"/>
        <w:bottom w:val="none" w:sz="0" w:space="0" w:color="auto"/>
        <w:right w:val="none" w:sz="0" w:space="0" w:color="auto"/>
      </w:divBdr>
    </w:div>
    <w:div w:id="362555582">
      <w:bodyDiv w:val="1"/>
      <w:marLeft w:val="0"/>
      <w:marRight w:val="0"/>
      <w:marTop w:val="0"/>
      <w:marBottom w:val="0"/>
      <w:divBdr>
        <w:top w:val="none" w:sz="0" w:space="0" w:color="auto"/>
        <w:left w:val="none" w:sz="0" w:space="0" w:color="auto"/>
        <w:bottom w:val="none" w:sz="0" w:space="0" w:color="auto"/>
        <w:right w:val="none" w:sz="0" w:space="0" w:color="auto"/>
      </w:divBdr>
    </w:div>
    <w:div w:id="362562791">
      <w:bodyDiv w:val="1"/>
      <w:marLeft w:val="0"/>
      <w:marRight w:val="0"/>
      <w:marTop w:val="0"/>
      <w:marBottom w:val="0"/>
      <w:divBdr>
        <w:top w:val="none" w:sz="0" w:space="0" w:color="auto"/>
        <w:left w:val="none" w:sz="0" w:space="0" w:color="auto"/>
        <w:bottom w:val="none" w:sz="0" w:space="0" w:color="auto"/>
        <w:right w:val="none" w:sz="0" w:space="0" w:color="auto"/>
      </w:divBdr>
    </w:div>
    <w:div w:id="362635186">
      <w:bodyDiv w:val="1"/>
      <w:marLeft w:val="0"/>
      <w:marRight w:val="0"/>
      <w:marTop w:val="0"/>
      <w:marBottom w:val="0"/>
      <w:divBdr>
        <w:top w:val="none" w:sz="0" w:space="0" w:color="auto"/>
        <w:left w:val="none" w:sz="0" w:space="0" w:color="auto"/>
        <w:bottom w:val="none" w:sz="0" w:space="0" w:color="auto"/>
        <w:right w:val="none" w:sz="0" w:space="0" w:color="auto"/>
      </w:divBdr>
    </w:div>
    <w:div w:id="362754416">
      <w:bodyDiv w:val="1"/>
      <w:marLeft w:val="0"/>
      <w:marRight w:val="0"/>
      <w:marTop w:val="0"/>
      <w:marBottom w:val="0"/>
      <w:divBdr>
        <w:top w:val="none" w:sz="0" w:space="0" w:color="auto"/>
        <w:left w:val="none" w:sz="0" w:space="0" w:color="auto"/>
        <w:bottom w:val="none" w:sz="0" w:space="0" w:color="auto"/>
        <w:right w:val="none" w:sz="0" w:space="0" w:color="auto"/>
      </w:divBdr>
    </w:div>
    <w:div w:id="362902789">
      <w:bodyDiv w:val="1"/>
      <w:marLeft w:val="0"/>
      <w:marRight w:val="0"/>
      <w:marTop w:val="0"/>
      <w:marBottom w:val="0"/>
      <w:divBdr>
        <w:top w:val="none" w:sz="0" w:space="0" w:color="auto"/>
        <w:left w:val="none" w:sz="0" w:space="0" w:color="auto"/>
        <w:bottom w:val="none" w:sz="0" w:space="0" w:color="auto"/>
        <w:right w:val="none" w:sz="0" w:space="0" w:color="auto"/>
      </w:divBdr>
    </w:div>
    <w:div w:id="362947446">
      <w:bodyDiv w:val="1"/>
      <w:marLeft w:val="0"/>
      <w:marRight w:val="0"/>
      <w:marTop w:val="0"/>
      <w:marBottom w:val="0"/>
      <w:divBdr>
        <w:top w:val="none" w:sz="0" w:space="0" w:color="auto"/>
        <w:left w:val="none" w:sz="0" w:space="0" w:color="auto"/>
        <w:bottom w:val="none" w:sz="0" w:space="0" w:color="auto"/>
        <w:right w:val="none" w:sz="0" w:space="0" w:color="auto"/>
      </w:divBdr>
    </w:div>
    <w:div w:id="362949799">
      <w:bodyDiv w:val="1"/>
      <w:marLeft w:val="0"/>
      <w:marRight w:val="0"/>
      <w:marTop w:val="0"/>
      <w:marBottom w:val="0"/>
      <w:divBdr>
        <w:top w:val="none" w:sz="0" w:space="0" w:color="auto"/>
        <w:left w:val="none" w:sz="0" w:space="0" w:color="auto"/>
        <w:bottom w:val="none" w:sz="0" w:space="0" w:color="auto"/>
        <w:right w:val="none" w:sz="0" w:space="0" w:color="auto"/>
      </w:divBdr>
    </w:div>
    <w:div w:id="363099873">
      <w:bodyDiv w:val="1"/>
      <w:marLeft w:val="0"/>
      <w:marRight w:val="0"/>
      <w:marTop w:val="0"/>
      <w:marBottom w:val="0"/>
      <w:divBdr>
        <w:top w:val="none" w:sz="0" w:space="0" w:color="auto"/>
        <w:left w:val="none" w:sz="0" w:space="0" w:color="auto"/>
        <w:bottom w:val="none" w:sz="0" w:space="0" w:color="auto"/>
        <w:right w:val="none" w:sz="0" w:space="0" w:color="auto"/>
      </w:divBdr>
    </w:div>
    <w:div w:id="363216239">
      <w:bodyDiv w:val="1"/>
      <w:marLeft w:val="0"/>
      <w:marRight w:val="0"/>
      <w:marTop w:val="0"/>
      <w:marBottom w:val="0"/>
      <w:divBdr>
        <w:top w:val="none" w:sz="0" w:space="0" w:color="auto"/>
        <w:left w:val="none" w:sz="0" w:space="0" w:color="auto"/>
        <w:bottom w:val="none" w:sz="0" w:space="0" w:color="auto"/>
        <w:right w:val="none" w:sz="0" w:space="0" w:color="auto"/>
      </w:divBdr>
    </w:div>
    <w:div w:id="363294308">
      <w:bodyDiv w:val="1"/>
      <w:marLeft w:val="0"/>
      <w:marRight w:val="0"/>
      <w:marTop w:val="0"/>
      <w:marBottom w:val="0"/>
      <w:divBdr>
        <w:top w:val="none" w:sz="0" w:space="0" w:color="auto"/>
        <w:left w:val="none" w:sz="0" w:space="0" w:color="auto"/>
        <w:bottom w:val="none" w:sz="0" w:space="0" w:color="auto"/>
        <w:right w:val="none" w:sz="0" w:space="0" w:color="auto"/>
      </w:divBdr>
    </w:div>
    <w:div w:id="363363582">
      <w:bodyDiv w:val="1"/>
      <w:marLeft w:val="0"/>
      <w:marRight w:val="0"/>
      <w:marTop w:val="0"/>
      <w:marBottom w:val="0"/>
      <w:divBdr>
        <w:top w:val="none" w:sz="0" w:space="0" w:color="auto"/>
        <w:left w:val="none" w:sz="0" w:space="0" w:color="auto"/>
        <w:bottom w:val="none" w:sz="0" w:space="0" w:color="auto"/>
        <w:right w:val="none" w:sz="0" w:space="0" w:color="auto"/>
      </w:divBdr>
    </w:div>
    <w:div w:id="363405045">
      <w:bodyDiv w:val="1"/>
      <w:marLeft w:val="0"/>
      <w:marRight w:val="0"/>
      <w:marTop w:val="0"/>
      <w:marBottom w:val="0"/>
      <w:divBdr>
        <w:top w:val="none" w:sz="0" w:space="0" w:color="auto"/>
        <w:left w:val="none" w:sz="0" w:space="0" w:color="auto"/>
        <w:bottom w:val="none" w:sz="0" w:space="0" w:color="auto"/>
        <w:right w:val="none" w:sz="0" w:space="0" w:color="auto"/>
      </w:divBdr>
    </w:div>
    <w:div w:id="363486052">
      <w:bodyDiv w:val="1"/>
      <w:marLeft w:val="0"/>
      <w:marRight w:val="0"/>
      <w:marTop w:val="0"/>
      <w:marBottom w:val="0"/>
      <w:divBdr>
        <w:top w:val="none" w:sz="0" w:space="0" w:color="auto"/>
        <w:left w:val="none" w:sz="0" w:space="0" w:color="auto"/>
        <w:bottom w:val="none" w:sz="0" w:space="0" w:color="auto"/>
        <w:right w:val="none" w:sz="0" w:space="0" w:color="auto"/>
      </w:divBdr>
    </w:div>
    <w:div w:id="363553688">
      <w:bodyDiv w:val="1"/>
      <w:marLeft w:val="0"/>
      <w:marRight w:val="0"/>
      <w:marTop w:val="0"/>
      <w:marBottom w:val="0"/>
      <w:divBdr>
        <w:top w:val="none" w:sz="0" w:space="0" w:color="auto"/>
        <w:left w:val="none" w:sz="0" w:space="0" w:color="auto"/>
        <w:bottom w:val="none" w:sz="0" w:space="0" w:color="auto"/>
        <w:right w:val="none" w:sz="0" w:space="0" w:color="auto"/>
      </w:divBdr>
    </w:div>
    <w:div w:id="363749685">
      <w:bodyDiv w:val="1"/>
      <w:marLeft w:val="0"/>
      <w:marRight w:val="0"/>
      <w:marTop w:val="0"/>
      <w:marBottom w:val="0"/>
      <w:divBdr>
        <w:top w:val="none" w:sz="0" w:space="0" w:color="auto"/>
        <w:left w:val="none" w:sz="0" w:space="0" w:color="auto"/>
        <w:bottom w:val="none" w:sz="0" w:space="0" w:color="auto"/>
        <w:right w:val="none" w:sz="0" w:space="0" w:color="auto"/>
      </w:divBdr>
    </w:div>
    <w:div w:id="363798480">
      <w:bodyDiv w:val="1"/>
      <w:marLeft w:val="0"/>
      <w:marRight w:val="0"/>
      <w:marTop w:val="0"/>
      <w:marBottom w:val="0"/>
      <w:divBdr>
        <w:top w:val="none" w:sz="0" w:space="0" w:color="auto"/>
        <w:left w:val="none" w:sz="0" w:space="0" w:color="auto"/>
        <w:bottom w:val="none" w:sz="0" w:space="0" w:color="auto"/>
        <w:right w:val="none" w:sz="0" w:space="0" w:color="auto"/>
      </w:divBdr>
    </w:div>
    <w:div w:id="363869493">
      <w:bodyDiv w:val="1"/>
      <w:marLeft w:val="0"/>
      <w:marRight w:val="0"/>
      <w:marTop w:val="0"/>
      <w:marBottom w:val="0"/>
      <w:divBdr>
        <w:top w:val="none" w:sz="0" w:space="0" w:color="auto"/>
        <w:left w:val="none" w:sz="0" w:space="0" w:color="auto"/>
        <w:bottom w:val="none" w:sz="0" w:space="0" w:color="auto"/>
        <w:right w:val="none" w:sz="0" w:space="0" w:color="auto"/>
      </w:divBdr>
    </w:div>
    <w:div w:id="363991520">
      <w:bodyDiv w:val="1"/>
      <w:marLeft w:val="0"/>
      <w:marRight w:val="0"/>
      <w:marTop w:val="0"/>
      <w:marBottom w:val="0"/>
      <w:divBdr>
        <w:top w:val="none" w:sz="0" w:space="0" w:color="auto"/>
        <w:left w:val="none" w:sz="0" w:space="0" w:color="auto"/>
        <w:bottom w:val="none" w:sz="0" w:space="0" w:color="auto"/>
        <w:right w:val="none" w:sz="0" w:space="0" w:color="auto"/>
      </w:divBdr>
    </w:div>
    <w:div w:id="364018678">
      <w:bodyDiv w:val="1"/>
      <w:marLeft w:val="0"/>
      <w:marRight w:val="0"/>
      <w:marTop w:val="0"/>
      <w:marBottom w:val="0"/>
      <w:divBdr>
        <w:top w:val="none" w:sz="0" w:space="0" w:color="auto"/>
        <w:left w:val="none" w:sz="0" w:space="0" w:color="auto"/>
        <w:bottom w:val="none" w:sz="0" w:space="0" w:color="auto"/>
        <w:right w:val="none" w:sz="0" w:space="0" w:color="auto"/>
      </w:divBdr>
    </w:div>
    <w:div w:id="364063599">
      <w:bodyDiv w:val="1"/>
      <w:marLeft w:val="0"/>
      <w:marRight w:val="0"/>
      <w:marTop w:val="0"/>
      <w:marBottom w:val="0"/>
      <w:divBdr>
        <w:top w:val="none" w:sz="0" w:space="0" w:color="auto"/>
        <w:left w:val="none" w:sz="0" w:space="0" w:color="auto"/>
        <w:bottom w:val="none" w:sz="0" w:space="0" w:color="auto"/>
        <w:right w:val="none" w:sz="0" w:space="0" w:color="auto"/>
      </w:divBdr>
    </w:div>
    <w:div w:id="364064020">
      <w:bodyDiv w:val="1"/>
      <w:marLeft w:val="0"/>
      <w:marRight w:val="0"/>
      <w:marTop w:val="0"/>
      <w:marBottom w:val="0"/>
      <w:divBdr>
        <w:top w:val="none" w:sz="0" w:space="0" w:color="auto"/>
        <w:left w:val="none" w:sz="0" w:space="0" w:color="auto"/>
        <w:bottom w:val="none" w:sz="0" w:space="0" w:color="auto"/>
        <w:right w:val="none" w:sz="0" w:space="0" w:color="auto"/>
      </w:divBdr>
    </w:div>
    <w:div w:id="364066627">
      <w:bodyDiv w:val="1"/>
      <w:marLeft w:val="0"/>
      <w:marRight w:val="0"/>
      <w:marTop w:val="0"/>
      <w:marBottom w:val="0"/>
      <w:divBdr>
        <w:top w:val="none" w:sz="0" w:space="0" w:color="auto"/>
        <w:left w:val="none" w:sz="0" w:space="0" w:color="auto"/>
        <w:bottom w:val="none" w:sz="0" w:space="0" w:color="auto"/>
        <w:right w:val="none" w:sz="0" w:space="0" w:color="auto"/>
      </w:divBdr>
    </w:div>
    <w:div w:id="364183860">
      <w:bodyDiv w:val="1"/>
      <w:marLeft w:val="0"/>
      <w:marRight w:val="0"/>
      <w:marTop w:val="0"/>
      <w:marBottom w:val="0"/>
      <w:divBdr>
        <w:top w:val="none" w:sz="0" w:space="0" w:color="auto"/>
        <w:left w:val="none" w:sz="0" w:space="0" w:color="auto"/>
        <w:bottom w:val="none" w:sz="0" w:space="0" w:color="auto"/>
        <w:right w:val="none" w:sz="0" w:space="0" w:color="auto"/>
      </w:divBdr>
    </w:div>
    <w:div w:id="364411434">
      <w:bodyDiv w:val="1"/>
      <w:marLeft w:val="0"/>
      <w:marRight w:val="0"/>
      <w:marTop w:val="0"/>
      <w:marBottom w:val="0"/>
      <w:divBdr>
        <w:top w:val="none" w:sz="0" w:space="0" w:color="auto"/>
        <w:left w:val="none" w:sz="0" w:space="0" w:color="auto"/>
        <w:bottom w:val="none" w:sz="0" w:space="0" w:color="auto"/>
        <w:right w:val="none" w:sz="0" w:space="0" w:color="auto"/>
      </w:divBdr>
    </w:div>
    <w:div w:id="364450537">
      <w:bodyDiv w:val="1"/>
      <w:marLeft w:val="0"/>
      <w:marRight w:val="0"/>
      <w:marTop w:val="0"/>
      <w:marBottom w:val="0"/>
      <w:divBdr>
        <w:top w:val="none" w:sz="0" w:space="0" w:color="auto"/>
        <w:left w:val="none" w:sz="0" w:space="0" w:color="auto"/>
        <w:bottom w:val="none" w:sz="0" w:space="0" w:color="auto"/>
        <w:right w:val="none" w:sz="0" w:space="0" w:color="auto"/>
      </w:divBdr>
    </w:div>
    <w:div w:id="364604726">
      <w:bodyDiv w:val="1"/>
      <w:marLeft w:val="0"/>
      <w:marRight w:val="0"/>
      <w:marTop w:val="0"/>
      <w:marBottom w:val="0"/>
      <w:divBdr>
        <w:top w:val="none" w:sz="0" w:space="0" w:color="auto"/>
        <w:left w:val="none" w:sz="0" w:space="0" w:color="auto"/>
        <w:bottom w:val="none" w:sz="0" w:space="0" w:color="auto"/>
        <w:right w:val="none" w:sz="0" w:space="0" w:color="auto"/>
      </w:divBdr>
    </w:div>
    <w:div w:id="364715843">
      <w:bodyDiv w:val="1"/>
      <w:marLeft w:val="0"/>
      <w:marRight w:val="0"/>
      <w:marTop w:val="0"/>
      <w:marBottom w:val="0"/>
      <w:divBdr>
        <w:top w:val="none" w:sz="0" w:space="0" w:color="auto"/>
        <w:left w:val="none" w:sz="0" w:space="0" w:color="auto"/>
        <w:bottom w:val="none" w:sz="0" w:space="0" w:color="auto"/>
        <w:right w:val="none" w:sz="0" w:space="0" w:color="auto"/>
      </w:divBdr>
    </w:div>
    <w:div w:id="364797883">
      <w:bodyDiv w:val="1"/>
      <w:marLeft w:val="0"/>
      <w:marRight w:val="0"/>
      <w:marTop w:val="0"/>
      <w:marBottom w:val="0"/>
      <w:divBdr>
        <w:top w:val="none" w:sz="0" w:space="0" w:color="auto"/>
        <w:left w:val="none" w:sz="0" w:space="0" w:color="auto"/>
        <w:bottom w:val="none" w:sz="0" w:space="0" w:color="auto"/>
        <w:right w:val="none" w:sz="0" w:space="0" w:color="auto"/>
      </w:divBdr>
    </w:div>
    <w:div w:id="365064613">
      <w:bodyDiv w:val="1"/>
      <w:marLeft w:val="0"/>
      <w:marRight w:val="0"/>
      <w:marTop w:val="0"/>
      <w:marBottom w:val="0"/>
      <w:divBdr>
        <w:top w:val="none" w:sz="0" w:space="0" w:color="auto"/>
        <w:left w:val="none" w:sz="0" w:space="0" w:color="auto"/>
        <w:bottom w:val="none" w:sz="0" w:space="0" w:color="auto"/>
        <w:right w:val="none" w:sz="0" w:space="0" w:color="auto"/>
      </w:divBdr>
    </w:div>
    <w:div w:id="365104663">
      <w:bodyDiv w:val="1"/>
      <w:marLeft w:val="0"/>
      <w:marRight w:val="0"/>
      <w:marTop w:val="0"/>
      <w:marBottom w:val="0"/>
      <w:divBdr>
        <w:top w:val="none" w:sz="0" w:space="0" w:color="auto"/>
        <w:left w:val="none" w:sz="0" w:space="0" w:color="auto"/>
        <w:bottom w:val="none" w:sz="0" w:space="0" w:color="auto"/>
        <w:right w:val="none" w:sz="0" w:space="0" w:color="auto"/>
      </w:divBdr>
    </w:div>
    <w:div w:id="365372754">
      <w:bodyDiv w:val="1"/>
      <w:marLeft w:val="0"/>
      <w:marRight w:val="0"/>
      <w:marTop w:val="0"/>
      <w:marBottom w:val="0"/>
      <w:divBdr>
        <w:top w:val="none" w:sz="0" w:space="0" w:color="auto"/>
        <w:left w:val="none" w:sz="0" w:space="0" w:color="auto"/>
        <w:bottom w:val="none" w:sz="0" w:space="0" w:color="auto"/>
        <w:right w:val="none" w:sz="0" w:space="0" w:color="auto"/>
      </w:divBdr>
    </w:div>
    <w:div w:id="365524467">
      <w:bodyDiv w:val="1"/>
      <w:marLeft w:val="0"/>
      <w:marRight w:val="0"/>
      <w:marTop w:val="0"/>
      <w:marBottom w:val="0"/>
      <w:divBdr>
        <w:top w:val="none" w:sz="0" w:space="0" w:color="auto"/>
        <w:left w:val="none" w:sz="0" w:space="0" w:color="auto"/>
        <w:bottom w:val="none" w:sz="0" w:space="0" w:color="auto"/>
        <w:right w:val="none" w:sz="0" w:space="0" w:color="auto"/>
      </w:divBdr>
    </w:div>
    <w:div w:id="366298945">
      <w:bodyDiv w:val="1"/>
      <w:marLeft w:val="0"/>
      <w:marRight w:val="0"/>
      <w:marTop w:val="0"/>
      <w:marBottom w:val="0"/>
      <w:divBdr>
        <w:top w:val="none" w:sz="0" w:space="0" w:color="auto"/>
        <w:left w:val="none" w:sz="0" w:space="0" w:color="auto"/>
        <w:bottom w:val="none" w:sz="0" w:space="0" w:color="auto"/>
        <w:right w:val="none" w:sz="0" w:space="0" w:color="auto"/>
      </w:divBdr>
    </w:div>
    <w:div w:id="366489246">
      <w:bodyDiv w:val="1"/>
      <w:marLeft w:val="0"/>
      <w:marRight w:val="0"/>
      <w:marTop w:val="0"/>
      <w:marBottom w:val="0"/>
      <w:divBdr>
        <w:top w:val="none" w:sz="0" w:space="0" w:color="auto"/>
        <w:left w:val="none" w:sz="0" w:space="0" w:color="auto"/>
        <w:bottom w:val="none" w:sz="0" w:space="0" w:color="auto"/>
        <w:right w:val="none" w:sz="0" w:space="0" w:color="auto"/>
      </w:divBdr>
    </w:div>
    <w:div w:id="366562741">
      <w:bodyDiv w:val="1"/>
      <w:marLeft w:val="0"/>
      <w:marRight w:val="0"/>
      <w:marTop w:val="0"/>
      <w:marBottom w:val="0"/>
      <w:divBdr>
        <w:top w:val="none" w:sz="0" w:space="0" w:color="auto"/>
        <w:left w:val="none" w:sz="0" w:space="0" w:color="auto"/>
        <w:bottom w:val="none" w:sz="0" w:space="0" w:color="auto"/>
        <w:right w:val="none" w:sz="0" w:space="0" w:color="auto"/>
      </w:divBdr>
    </w:div>
    <w:div w:id="366564984">
      <w:bodyDiv w:val="1"/>
      <w:marLeft w:val="0"/>
      <w:marRight w:val="0"/>
      <w:marTop w:val="0"/>
      <w:marBottom w:val="0"/>
      <w:divBdr>
        <w:top w:val="none" w:sz="0" w:space="0" w:color="auto"/>
        <w:left w:val="none" w:sz="0" w:space="0" w:color="auto"/>
        <w:bottom w:val="none" w:sz="0" w:space="0" w:color="auto"/>
        <w:right w:val="none" w:sz="0" w:space="0" w:color="auto"/>
      </w:divBdr>
    </w:div>
    <w:div w:id="366872676">
      <w:bodyDiv w:val="1"/>
      <w:marLeft w:val="0"/>
      <w:marRight w:val="0"/>
      <w:marTop w:val="0"/>
      <w:marBottom w:val="0"/>
      <w:divBdr>
        <w:top w:val="none" w:sz="0" w:space="0" w:color="auto"/>
        <w:left w:val="none" w:sz="0" w:space="0" w:color="auto"/>
        <w:bottom w:val="none" w:sz="0" w:space="0" w:color="auto"/>
        <w:right w:val="none" w:sz="0" w:space="0" w:color="auto"/>
      </w:divBdr>
    </w:div>
    <w:div w:id="366957528">
      <w:bodyDiv w:val="1"/>
      <w:marLeft w:val="0"/>
      <w:marRight w:val="0"/>
      <w:marTop w:val="0"/>
      <w:marBottom w:val="0"/>
      <w:divBdr>
        <w:top w:val="none" w:sz="0" w:space="0" w:color="auto"/>
        <w:left w:val="none" w:sz="0" w:space="0" w:color="auto"/>
        <w:bottom w:val="none" w:sz="0" w:space="0" w:color="auto"/>
        <w:right w:val="none" w:sz="0" w:space="0" w:color="auto"/>
      </w:divBdr>
    </w:div>
    <w:div w:id="367024843">
      <w:bodyDiv w:val="1"/>
      <w:marLeft w:val="0"/>
      <w:marRight w:val="0"/>
      <w:marTop w:val="0"/>
      <w:marBottom w:val="0"/>
      <w:divBdr>
        <w:top w:val="none" w:sz="0" w:space="0" w:color="auto"/>
        <w:left w:val="none" w:sz="0" w:space="0" w:color="auto"/>
        <w:bottom w:val="none" w:sz="0" w:space="0" w:color="auto"/>
        <w:right w:val="none" w:sz="0" w:space="0" w:color="auto"/>
      </w:divBdr>
    </w:div>
    <w:div w:id="367075397">
      <w:bodyDiv w:val="1"/>
      <w:marLeft w:val="0"/>
      <w:marRight w:val="0"/>
      <w:marTop w:val="0"/>
      <w:marBottom w:val="0"/>
      <w:divBdr>
        <w:top w:val="none" w:sz="0" w:space="0" w:color="auto"/>
        <w:left w:val="none" w:sz="0" w:space="0" w:color="auto"/>
        <w:bottom w:val="none" w:sz="0" w:space="0" w:color="auto"/>
        <w:right w:val="none" w:sz="0" w:space="0" w:color="auto"/>
      </w:divBdr>
    </w:div>
    <w:div w:id="367148596">
      <w:bodyDiv w:val="1"/>
      <w:marLeft w:val="0"/>
      <w:marRight w:val="0"/>
      <w:marTop w:val="0"/>
      <w:marBottom w:val="0"/>
      <w:divBdr>
        <w:top w:val="none" w:sz="0" w:space="0" w:color="auto"/>
        <w:left w:val="none" w:sz="0" w:space="0" w:color="auto"/>
        <w:bottom w:val="none" w:sz="0" w:space="0" w:color="auto"/>
        <w:right w:val="none" w:sz="0" w:space="0" w:color="auto"/>
      </w:divBdr>
    </w:div>
    <w:div w:id="367221619">
      <w:bodyDiv w:val="1"/>
      <w:marLeft w:val="0"/>
      <w:marRight w:val="0"/>
      <w:marTop w:val="0"/>
      <w:marBottom w:val="0"/>
      <w:divBdr>
        <w:top w:val="none" w:sz="0" w:space="0" w:color="auto"/>
        <w:left w:val="none" w:sz="0" w:space="0" w:color="auto"/>
        <w:bottom w:val="none" w:sz="0" w:space="0" w:color="auto"/>
        <w:right w:val="none" w:sz="0" w:space="0" w:color="auto"/>
      </w:divBdr>
    </w:div>
    <w:div w:id="367414160">
      <w:bodyDiv w:val="1"/>
      <w:marLeft w:val="0"/>
      <w:marRight w:val="0"/>
      <w:marTop w:val="0"/>
      <w:marBottom w:val="0"/>
      <w:divBdr>
        <w:top w:val="none" w:sz="0" w:space="0" w:color="auto"/>
        <w:left w:val="none" w:sz="0" w:space="0" w:color="auto"/>
        <w:bottom w:val="none" w:sz="0" w:space="0" w:color="auto"/>
        <w:right w:val="none" w:sz="0" w:space="0" w:color="auto"/>
      </w:divBdr>
    </w:div>
    <w:div w:id="367607097">
      <w:bodyDiv w:val="1"/>
      <w:marLeft w:val="0"/>
      <w:marRight w:val="0"/>
      <w:marTop w:val="0"/>
      <w:marBottom w:val="0"/>
      <w:divBdr>
        <w:top w:val="none" w:sz="0" w:space="0" w:color="auto"/>
        <w:left w:val="none" w:sz="0" w:space="0" w:color="auto"/>
        <w:bottom w:val="none" w:sz="0" w:space="0" w:color="auto"/>
        <w:right w:val="none" w:sz="0" w:space="0" w:color="auto"/>
      </w:divBdr>
    </w:div>
    <w:div w:id="367724990">
      <w:bodyDiv w:val="1"/>
      <w:marLeft w:val="0"/>
      <w:marRight w:val="0"/>
      <w:marTop w:val="0"/>
      <w:marBottom w:val="0"/>
      <w:divBdr>
        <w:top w:val="none" w:sz="0" w:space="0" w:color="auto"/>
        <w:left w:val="none" w:sz="0" w:space="0" w:color="auto"/>
        <w:bottom w:val="none" w:sz="0" w:space="0" w:color="auto"/>
        <w:right w:val="none" w:sz="0" w:space="0" w:color="auto"/>
      </w:divBdr>
    </w:div>
    <w:div w:id="367999197">
      <w:bodyDiv w:val="1"/>
      <w:marLeft w:val="0"/>
      <w:marRight w:val="0"/>
      <w:marTop w:val="0"/>
      <w:marBottom w:val="0"/>
      <w:divBdr>
        <w:top w:val="none" w:sz="0" w:space="0" w:color="auto"/>
        <w:left w:val="none" w:sz="0" w:space="0" w:color="auto"/>
        <w:bottom w:val="none" w:sz="0" w:space="0" w:color="auto"/>
        <w:right w:val="none" w:sz="0" w:space="0" w:color="auto"/>
      </w:divBdr>
    </w:div>
    <w:div w:id="368185981">
      <w:bodyDiv w:val="1"/>
      <w:marLeft w:val="0"/>
      <w:marRight w:val="0"/>
      <w:marTop w:val="0"/>
      <w:marBottom w:val="0"/>
      <w:divBdr>
        <w:top w:val="none" w:sz="0" w:space="0" w:color="auto"/>
        <w:left w:val="none" w:sz="0" w:space="0" w:color="auto"/>
        <w:bottom w:val="none" w:sz="0" w:space="0" w:color="auto"/>
        <w:right w:val="none" w:sz="0" w:space="0" w:color="auto"/>
      </w:divBdr>
    </w:div>
    <w:div w:id="368341380">
      <w:bodyDiv w:val="1"/>
      <w:marLeft w:val="0"/>
      <w:marRight w:val="0"/>
      <w:marTop w:val="0"/>
      <w:marBottom w:val="0"/>
      <w:divBdr>
        <w:top w:val="none" w:sz="0" w:space="0" w:color="auto"/>
        <w:left w:val="none" w:sz="0" w:space="0" w:color="auto"/>
        <w:bottom w:val="none" w:sz="0" w:space="0" w:color="auto"/>
        <w:right w:val="none" w:sz="0" w:space="0" w:color="auto"/>
      </w:divBdr>
    </w:div>
    <w:div w:id="368384620">
      <w:bodyDiv w:val="1"/>
      <w:marLeft w:val="0"/>
      <w:marRight w:val="0"/>
      <w:marTop w:val="0"/>
      <w:marBottom w:val="0"/>
      <w:divBdr>
        <w:top w:val="none" w:sz="0" w:space="0" w:color="auto"/>
        <w:left w:val="none" w:sz="0" w:space="0" w:color="auto"/>
        <w:bottom w:val="none" w:sz="0" w:space="0" w:color="auto"/>
        <w:right w:val="none" w:sz="0" w:space="0" w:color="auto"/>
      </w:divBdr>
    </w:div>
    <w:div w:id="368528503">
      <w:bodyDiv w:val="1"/>
      <w:marLeft w:val="0"/>
      <w:marRight w:val="0"/>
      <w:marTop w:val="0"/>
      <w:marBottom w:val="0"/>
      <w:divBdr>
        <w:top w:val="none" w:sz="0" w:space="0" w:color="auto"/>
        <w:left w:val="none" w:sz="0" w:space="0" w:color="auto"/>
        <w:bottom w:val="none" w:sz="0" w:space="0" w:color="auto"/>
        <w:right w:val="none" w:sz="0" w:space="0" w:color="auto"/>
      </w:divBdr>
    </w:div>
    <w:div w:id="368533625">
      <w:bodyDiv w:val="1"/>
      <w:marLeft w:val="0"/>
      <w:marRight w:val="0"/>
      <w:marTop w:val="0"/>
      <w:marBottom w:val="0"/>
      <w:divBdr>
        <w:top w:val="none" w:sz="0" w:space="0" w:color="auto"/>
        <w:left w:val="none" w:sz="0" w:space="0" w:color="auto"/>
        <w:bottom w:val="none" w:sz="0" w:space="0" w:color="auto"/>
        <w:right w:val="none" w:sz="0" w:space="0" w:color="auto"/>
      </w:divBdr>
    </w:div>
    <w:div w:id="368649093">
      <w:bodyDiv w:val="1"/>
      <w:marLeft w:val="0"/>
      <w:marRight w:val="0"/>
      <w:marTop w:val="0"/>
      <w:marBottom w:val="0"/>
      <w:divBdr>
        <w:top w:val="none" w:sz="0" w:space="0" w:color="auto"/>
        <w:left w:val="none" w:sz="0" w:space="0" w:color="auto"/>
        <w:bottom w:val="none" w:sz="0" w:space="0" w:color="auto"/>
        <w:right w:val="none" w:sz="0" w:space="0" w:color="auto"/>
      </w:divBdr>
    </w:div>
    <w:div w:id="368650740">
      <w:bodyDiv w:val="1"/>
      <w:marLeft w:val="0"/>
      <w:marRight w:val="0"/>
      <w:marTop w:val="0"/>
      <w:marBottom w:val="0"/>
      <w:divBdr>
        <w:top w:val="none" w:sz="0" w:space="0" w:color="auto"/>
        <w:left w:val="none" w:sz="0" w:space="0" w:color="auto"/>
        <w:bottom w:val="none" w:sz="0" w:space="0" w:color="auto"/>
        <w:right w:val="none" w:sz="0" w:space="0" w:color="auto"/>
      </w:divBdr>
    </w:div>
    <w:div w:id="368843460">
      <w:bodyDiv w:val="1"/>
      <w:marLeft w:val="0"/>
      <w:marRight w:val="0"/>
      <w:marTop w:val="0"/>
      <w:marBottom w:val="0"/>
      <w:divBdr>
        <w:top w:val="none" w:sz="0" w:space="0" w:color="auto"/>
        <w:left w:val="none" w:sz="0" w:space="0" w:color="auto"/>
        <w:bottom w:val="none" w:sz="0" w:space="0" w:color="auto"/>
        <w:right w:val="none" w:sz="0" w:space="0" w:color="auto"/>
      </w:divBdr>
    </w:div>
    <w:div w:id="368993994">
      <w:bodyDiv w:val="1"/>
      <w:marLeft w:val="0"/>
      <w:marRight w:val="0"/>
      <w:marTop w:val="0"/>
      <w:marBottom w:val="0"/>
      <w:divBdr>
        <w:top w:val="none" w:sz="0" w:space="0" w:color="auto"/>
        <w:left w:val="none" w:sz="0" w:space="0" w:color="auto"/>
        <w:bottom w:val="none" w:sz="0" w:space="0" w:color="auto"/>
        <w:right w:val="none" w:sz="0" w:space="0" w:color="auto"/>
      </w:divBdr>
    </w:div>
    <w:div w:id="369183337">
      <w:bodyDiv w:val="1"/>
      <w:marLeft w:val="0"/>
      <w:marRight w:val="0"/>
      <w:marTop w:val="0"/>
      <w:marBottom w:val="0"/>
      <w:divBdr>
        <w:top w:val="none" w:sz="0" w:space="0" w:color="auto"/>
        <w:left w:val="none" w:sz="0" w:space="0" w:color="auto"/>
        <w:bottom w:val="none" w:sz="0" w:space="0" w:color="auto"/>
        <w:right w:val="none" w:sz="0" w:space="0" w:color="auto"/>
      </w:divBdr>
    </w:div>
    <w:div w:id="369230245">
      <w:bodyDiv w:val="1"/>
      <w:marLeft w:val="0"/>
      <w:marRight w:val="0"/>
      <w:marTop w:val="0"/>
      <w:marBottom w:val="0"/>
      <w:divBdr>
        <w:top w:val="none" w:sz="0" w:space="0" w:color="auto"/>
        <w:left w:val="none" w:sz="0" w:space="0" w:color="auto"/>
        <w:bottom w:val="none" w:sz="0" w:space="0" w:color="auto"/>
        <w:right w:val="none" w:sz="0" w:space="0" w:color="auto"/>
      </w:divBdr>
    </w:div>
    <w:div w:id="369303397">
      <w:bodyDiv w:val="1"/>
      <w:marLeft w:val="0"/>
      <w:marRight w:val="0"/>
      <w:marTop w:val="0"/>
      <w:marBottom w:val="0"/>
      <w:divBdr>
        <w:top w:val="none" w:sz="0" w:space="0" w:color="auto"/>
        <w:left w:val="none" w:sz="0" w:space="0" w:color="auto"/>
        <w:bottom w:val="none" w:sz="0" w:space="0" w:color="auto"/>
        <w:right w:val="none" w:sz="0" w:space="0" w:color="auto"/>
      </w:divBdr>
    </w:div>
    <w:div w:id="369648832">
      <w:bodyDiv w:val="1"/>
      <w:marLeft w:val="0"/>
      <w:marRight w:val="0"/>
      <w:marTop w:val="0"/>
      <w:marBottom w:val="0"/>
      <w:divBdr>
        <w:top w:val="none" w:sz="0" w:space="0" w:color="auto"/>
        <w:left w:val="none" w:sz="0" w:space="0" w:color="auto"/>
        <w:bottom w:val="none" w:sz="0" w:space="0" w:color="auto"/>
        <w:right w:val="none" w:sz="0" w:space="0" w:color="auto"/>
      </w:divBdr>
    </w:div>
    <w:div w:id="369841001">
      <w:bodyDiv w:val="1"/>
      <w:marLeft w:val="0"/>
      <w:marRight w:val="0"/>
      <w:marTop w:val="0"/>
      <w:marBottom w:val="0"/>
      <w:divBdr>
        <w:top w:val="none" w:sz="0" w:space="0" w:color="auto"/>
        <w:left w:val="none" w:sz="0" w:space="0" w:color="auto"/>
        <w:bottom w:val="none" w:sz="0" w:space="0" w:color="auto"/>
        <w:right w:val="none" w:sz="0" w:space="0" w:color="auto"/>
      </w:divBdr>
    </w:div>
    <w:div w:id="370033954">
      <w:bodyDiv w:val="1"/>
      <w:marLeft w:val="0"/>
      <w:marRight w:val="0"/>
      <w:marTop w:val="0"/>
      <w:marBottom w:val="0"/>
      <w:divBdr>
        <w:top w:val="none" w:sz="0" w:space="0" w:color="auto"/>
        <w:left w:val="none" w:sz="0" w:space="0" w:color="auto"/>
        <w:bottom w:val="none" w:sz="0" w:space="0" w:color="auto"/>
        <w:right w:val="none" w:sz="0" w:space="0" w:color="auto"/>
      </w:divBdr>
    </w:div>
    <w:div w:id="370152934">
      <w:bodyDiv w:val="1"/>
      <w:marLeft w:val="0"/>
      <w:marRight w:val="0"/>
      <w:marTop w:val="0"/>
      <w:marBottom w:val="0"/>
      <w:divBdr>
        <w:top w:val="none" w:sz="0" w:space="0" w:color="auto"/>
        <w:left w:val="none" w:sz="0" w:space="0" w:color="auto"/>
        <w:bottom w:val="none" w:sz="0" w:space="0" w:color="auto"/>
        <w:right w:val="none" w:sz="0" w:space="0" w:color="auto"/>
      </w:divBdr>
    </w:div>
    <w:div w:id="370308209">
      <w:bodyDiv w:val="1"/>
      <w:marLeft w:val="0"/>
      <w:marRight w:val="0"/>
      <w:marTop w:val="0"/>
      <w:marBottom w:val="0"/>
      <w:divBdr>
        <w:top w:val="none" w:sz="0" w:space="0" w:color="auto"/>
        <w:left w:val="none" w:sz="0" w:space="0" w:color="auto"/>
        <w:bottom w:val="none" w:sz="0" w:space="0" w:color="auto"/>
        <w:right w:val="none" w:sz="0" w:space="0" w:color="auto"/>
      </w:divBdr>
    </w:div>
    <w:div w:id="370346190">
      <w:bodyDiv w:val="1"/>
      <w:marLeft w:val="0"/>
      <w:marRight w:val="0"/>
      <w:marTop w:val="0"/>
      <w:marBottom w:val="0"/>
      <w:divBdr>
        <w:top w:val="none" w:sz="0" w:space="0" w:color="auto"/>
        <w:left w:val="none" w:sz="0" w:space="0" w:color="auto"/>
        <w:bottom w:val="none" w:sz="0" w:space="0" w:color="auto"/>
        <w:right w:val="none" w:sz="0" w:space="0" w:color="auto"/>
      </w:divBdr>
    </w:div>
    <w:div w:id="370569525">
      <w:bodyDiv w:val="1"/>
      <w:marLeft w:val="0"/>
      <w:marRight w:val="0"/>
      <w:marTop w:val="0"/>
      <w:marBottom w:val="0"/>
      <w:divBdr>
        <w:top w:val="none" w:sz="0" w:space="0" w:color="auto"/>
        <w:left w:val="none" w:sz="0" w:space="0" w:color="auto"/>
        <w:bottom w:val="none" w:sz="0" w:space="0" w:color="auto"/>
        <w:right w:val="none" w:sz="0" w:space="0" w:color="auto"/>
      </w:divBdr>
    </w:div>
    <w:div w:id="370765101">
      <w:bodyDiv w:val="1"/>
      <w:marLeft w:val="0"/>
      <w:marRight w:val="0"/>
      <w:marTop w:val="0"/>
      <w:marBottom w:val="0"/>
      <w:divBdr>
        <w:top w:val="none" w:sz="0" w:space="0" w:color="auto"/>
        <w:left w:val="none" w:sz="0" w:space="0" w:color="auto"/>
        <w:bottom w:val="none" w:sz="0" w:space="0" w:color="auto"/>
        <w:right w:val="none" w:sz="0" w:space="0" w:color="auto"/>
      </w:divBdr>
    </w:div>
    <w:div w:id="370956080">
      <w:bodyDiv w:val="1"/>
      <w:marLeft w:val="0"/>
      <w:marRight w:val="0"/>
      <w:marTop w:val="0"/>
      <w:marBottom w:val="0"/>
      <w:divBdr>
        <w:top w:val="none" w:sz="0" w:space="0" w:color="auto"/>
        <w:left w:val="none" w:sz="0" w:space="0" w:color="auto"/>
        <w:bottom w:val="none" w:sz="0" w:space="0" w:color="auto"/>
        <w:right w:val="none" w:sz="0" w:space="0" w:color="auto"/>
      </w:divBdr>
    </w:div>
    <w:div w:id="370960944">
      <w:bodyDiv w:val="1"/>
      <w:marLeft w:val="0"/>
      <w:marRight w:val="0"/>
      <w:marTop w:val="0"/>
      <w:marBottom w:val="0"/>
      <w:divBdr>
        <w:top w:val="none" w:sz="0" w:space="0" w:color="auto"/>
        <w:left w:val="none" w:sz="0" w:space="0" w:color="auto"/>
        <w:bottom w:val="none" w:sz="0" w:space="0" w:color="auto"/>
        <w:right w:val="none" w:sz="0" w:space="0" w:color="auto"/>
      </w:divBdr>
    </w:div>
    <w:div w:id="371274803">
      <w:bodyDiv w:val="1"/>
      <w:marLeft w:val="0"/>
      <w:marRight w:val="0"/>
      <w:marTop w:val="0"/>
      <w:marBottom w:val="0"/>
      <w:divBdr>
        <w:top w:val="none" w:sz="0" w:space="0" w:color="auto"/>
        <w:left w:val="none" w:sz="0" w:space="0" w:color="auto"/>
        <w:bottom w:val="none" w:sz="0" w:space="0" w:color="auto"/>
        <w:right w:val="none" w:sz="0" w:space="0" w:color="auto"/>
      </w:divBdr>
    </w:div>
    <w:div w:id="371347757">
      <w:bodyDiv w:val="1"/>
      <w:marLeft w:val="0"/>
      <w:marRight w:val="0"/>
      <w:marTop w:val="0"/>
      <w:marBottom w:val="0"/>
      <w:divBdr>
        <w:top w:val="none" w:sz="0" w:space="0" w:color="auto"/>
        <w:left w:val="none" w:sz="0" w:space="0" w:color="auto"/>
        <w:bottom w:val="none" w:sz="0" w:space="0" w:color="auto"/>
        <w:right w:val="none" w:sz="0" w:space="0" w:color="auto"/>
      </w:divBdr>
    </w:div>
    <w:div w:id="371420076">
      <w:bodyDiv w:val="1"/>
      <w:marLeft w:val="0"/>
      <w:marRight w:val="0"/>
      <w:marTop w:val="0"/>
      <w:marBottom w:val="0"/>
      <w:divBdr>
        <w:top w:val="none" w:sz="0" w:space="0" w:color="auto"/>
        <w:left w:val="none" w:sz="0" w:space="0" w:color="auto"/>
        <w:bottom w:val="none" w:sz="0" w:space="0" w:color="auto"/>
        <w:right w:val="none" w:sz="0" w:space="0" w:color="auto"/>
      </w:divBdr>
    </w:div>
    <w:div w:id="371424368">
      <w:bodyDiv w:val="1"/>
      <w:marLeft w:val="0"/>
      <w:marRight w:val="0"/>
      <w:marTop w:val="0"/>
      <w:marBottom w:val="0"/>
      <w:divBdr>
        <w:top w:val="none" w:sz="0" w:space="0" w:color="auto"/>
        <w:left w:val="none" w:sz="0" w:space="0" w:color="auto"/>
        <w:bottom w:val="none" w:sz="0" w:space="0" w:color="auto"/>
        <w:right w:val="none" w:sz="0" w:space="0" w:color="auto"/>
      </w:divBdr>
    </w:div>
    <w:div w:id="371425155">
      <w:bodyDiv w:val="1"/>
      <w:marLeft w:val="0"/>
      <w:marRight w:val="0"/>
      <w:marTop w:val="0"/>
      <w:marBottom w:val="0"/>
      <w:divBdr>
        <w:top w:val="none" w:sz="0" w:space="0" w:color="auto"/>
        <w:left w:val="none" w:sz="0" w:space="0" w:color="auto"/>
        <w:bottom w:val="none" w:sz="0" w:space="0" w:color="auto"/>
        <w:right w:val="none" w:sz="0" w:space="0" w:color="auto"/>
      </w:divBdr>
    </w:div>
    <w:div w:id="371468749">
      <w:bodyDiv w:val="1"/>
      <w:marLeft w:val="0"/>
      <w:marRight w:val="0"/>
      <w:marTop w:val="0"/>
      <w:marBottom w:val="0"/>
      <w:divBdr>
        <w:top w:val="none" w:sz="0" w:space="0" w:color="auto"/>
        <w:left w:val="none" w:sz="0" w:space="0" w:color="auto"/>
        <w:bottom w:val="none" w:sz="0" w:space="0" w:color="auto"/>
        <w:right w:val="none" w:sz="0" w:space="0" w:color="auto"/>
      </w:divBdr>
    </w:div>
    <w:div w:id="371541780">
      <w:bodyDiv w:val="1"/>
      <w:marLeft w:val="0"/>
      <w:marRight w:val="0"/>
      <w:marTop w:val="0"/>
      <w:marBottom w:val="0"/>
      <w:divBdr>
        <w:top w:val="none" w:sz="0" w:space="0" w:color="auto"/>
        <w:left w:val="none" w:sz="0" w:space="0" w:color="auto"/>
        <w:bottom w:val="none" w:sz="0" w:space="0" w:color="auto"/>
        <w:right w:val="none" w:sz="0" w:space="0" w:color="auto"/>
      </w:divBdr>
    </w:div>
    <w:div w:id="371618460">
      <w:bodyDiv w:val="1"/>
      <w:marLeft w:val="0"/>
      <w:marRight w:val="0"/>
      <w:marTop w:val="0"/>
      <w:marBottom w:val="0"/>
      <w:divBdr>
        <w:top w:val="none" w:sz="0" w:space="0" w:color="auto"/>
        <w:left w:val="none" w:sz="0" w:space="0" w:color="auto"/>
        <w:bottom w:val="none" w:sz="0" w:space="0" w:color="auto"/>
        <w:right w:val="none" w:sz="0" w:space="0" w:color="auto"/>
      </w:divBdr>
    </w:div>
    <w:div w:id="371732435">
      <w:bodyDiv w:val="1"/>
      <w:marLeft w:val="0"/>
      <w:marRight w:val="0"/>
      <w:marTop w:val="0"/>
      <w:marBottom w:val="0"/>
      <w:divBdr>
        <w:top w:val="none" w:sz="0" w:space="0" w:color="auto"/>
        <w:left w:val="none" w:sz="0" w:space="0" w:color="auto"/>
        <w:bottom w:val="none" w:sz="0" w:space="0" w:color="auto"/>
        <w:right w:val="none" w:sz="0" w:space="0" w:color="auto"/>
      </w:divBdr>
    </w:div>
    <w:div w:id="371737593">
      <w:bodyDiv w:val="1"/>
      <w:marLeft w:val="0"/>
      <w:marRight w:val="0"/>
      <w:marTop w:val="0"/>
      <w:marBottom w:val="0"/>
      <w:divBdr>
        <w:top w:val="none" w:sz="0" w:space="0" w:color="auto"/>
        <w:left w:val="none" w:sz="0" w:space="0" w:color="auto"/>
        <w:bottom w:val="none" w:sz="0" w:space="0" w:color="auto"/>
        <w:right w:val="none" w:sz="0" w:space="0" w:color="auto"/>
      </w:divBdr>
    </w:div>
    <w:div w:id="371810096">
      <w:bodyDiv w:val="1"/>
      <w:marLeft w:val="0"/>
      <w:marRight w:val="0"/>
      <w:marTop w:val="0"/>
      <w:marBottom w:val="0"/>
      <w:divBdr>
        <w:top w:val="none" w:sz="0" w:space="0" w:color="auto"/>
        <w:left w:val="none" w:sz="0" w:space="0" w:color="auto"/>
        <w:bottom w:val="none" w:sz="0" w:space="0" w:color="auto"/>
        <w:right w:val="none" w:sz="0" w:space="0" w:color="auto"/>
      </w:divBdr>
    </w:div>
    <w:div w:id="371930130">
      <w:bodyDiv w:val="1"/>
      <w:marLeft w:val="0"/>
      <w:marRight w:val="0"/>
      <w:marTop w:val="0"/>
      <w:marBottom w:val="0"/>
      <w:divBdr>
        <w:top w:val="none" w:sz="0" w:space="0" w:color="auto"/>
        <w:left w:val="none" w:sz="0" w:space="0" w:color="auto"/>
        <w:bottom w:val="none" w:sz="0" w:space="0" w:color="auto"/>
        <w:right w:val="none" w:sz="0" w:space="0" w:color="auto"/>
      </w:divBdr>
    </w:div>
    <w:div w:id="372001453">
      <w:bodyDiv w:val="1"/>
      <w:marLeft w:val="0"/>
      <w:marRight w:val="0"/>
      <w:marTop w:val="0"/>
      <w:marBottom w:val="0"/>
      <w:divBdr>
        <w:top w:val="none" w:sz="0" w:space="0" w:color="auto"/>
        <w:left w:val="none" w:sz="0" w:space="0" w:color="auto"/>
        <w:bottom w:val="none" w:sz="0" w:space="0" w:color="auto"/>
        <w:right w:val="none" w:sz="0" w:space="0" w:color="auto"/>
      </w:divBdr>
    </w:div>
    <w:div w:id="372005185">
      <w:bodyDiv w:val="1"/>
      <w:marLeft w:val="0"/>
      <w:marRight w:val="0"/>
      <w:marTop w:val="0"/>
      <w:marBottom w:val="0"/>
      <w:divBdr>
        <w:top w:val="none" w:sz="0" w:space="0" w:color="auto"/>
        <w:left w:val="none" w:sz="0" w:space="0" w:color="auto"/>
        <w:bottom w:val="none" w:sz="0" w:space="0" w:color="auto"/>
        <w:right w:val="none" w:sz="0" w:space="0" w:color="auto"/>
      </w:divBdr>
    </w:div>
    <w:div w:id="372265781">
      <w:bodyDiv w:val="1"/>
      <w:marLeft w:val="0"/>
      <w:marRight w:val="0"/>
      <w:marTop w:val="0"/>
      <w:marBottom w:val="0"/>
      <w:divBdr>
        <w:top w:val="none" w:sz="0" w:space="0" w:color="auto"/>
        <w:left w:val="none" w:sz="0" w:space="0" w:color="auto"/>
        <w:bottom w:val="none" w:sz="0" w:space="0" w:color="auto"/>
        <w:right w:val="none" w:sz="0" w:space="0" w:color="auto"/>
      </w:divBdr>
    </w:div>
    <w:div w:id="372316557">
      <w:bodyDiv w:val="1"/>
      <w:marLeft w:val="0"/>
      <w:marRight w:val="0"/>
      <w:marTop w:val="0"/>
      <w:marBottom w:val="0"/>
      <w:divBdr>
        <w:top w:val="none" w:sz="0" w:space="0" w:color="auto"/>
        <w:left w:val="none" w:sz="0" w:space="0" w:color="auto"/>
        <w:bottom w:val="none" w:sz="0" w:space="0" w:color="auto"/>
        <w:right w:val="none" w:sz="0" w:space="0" w:color="auto"/>
      </w:divBdr>
    </w:div>
    <w:div w:id="372341095">
      <w:bodyDiv w:val="1"/>
      <w:marLeft w:val="0"/>
      <w:marRight w:val="0"/>
      <w:marTop w:val="0"/>
      <w:marBottom w:val="0"/>
      <w:divBdr>
        <w:top w:val="none" w:sz="0" w:space="0" w:color="auto"/>
        <w:left w:val="none" w:sz="0" w:space="0" w:color="auto"/>
        <w:bottom w:val="none" w:sz="0" w:space="0" w:color="auto"/>
        <w:right w:val="none" w:sz="0" w:space="0" w:color="auto"/>
      </w:divBdr>
    </w:div>
    <w:div w:id="372342192">
      <w:bodyDiv w:val="1"/>
      <w:marLeft w:val="0"/>
      <w:marRight w:val="0"/>
      <w:marTop w:val="0"/>
      <w:marBottom w:val="0"/>
      <w:divBdr>
        <w:top w:val="none" w:sz="0" w:space="0" w:color="auto"/>
        <w:left w:val="none" w:sz="0" w:space="0" w:color="auto"/>
        <w:bottom w:val="none" w:sz="0" w:space="0" w:color="auto"/>
        <w:right w:val="none" w:sz="0" w:space="0" w:color="auto"/>
      </w:divBdr>
    </w:div>
    <w:div w:id="372459289">
      <w:bodyDiv w:val="1"/>
      <w:marLeft w:val="0"/>
      <w:marRight w:val="0"/>
      <w:marTop w:val="0"/>
      <w:marBottom w:val="0"/>
      <w:divBdr>
        <w:top w:val="none" w:sz="0" w:space="0" w:color="auto"/>
        <w:left w:val="none" w:sz="0" w:space="0" w:color="auto"/>
        <w:bottom w:val="none" w:sz="0" w:space="0" w:color="auto"/>
        <w:right w:val="none" w:sz="0" w:space="0" w:color="auto"/>
      </w:divBdr>
    </w:div>
    <w:div w:id="372460197">
      <w:bodyDiv w:val="1"/>
      <w:marLeft w:val="0"/>
      <w:marRight w:val="0"/>
      <w:marTop w:val="0"/>
      <w:marBottom w:val="0"/>
      <w:divBdr>
        <w:top w:val="none" w:sz="0" w:space="0" w:color="auto"/>
        <w:left w:val="none" w:sz="0" w:space="0" w:color="auto"/>
        <w:bottom w:val="none" w:sz="0" w:space="0" w:color="auto"/>
        <w:right w:val="none" w:sz="0" w:space="0" w:color="auto"/>
      </w:divBdr>
    </w:div>
    <w:div w:id="372508395">
      <w:bodyDiv w:val="1"/>
      <w:marLeft w:val="0"/>
      <w:marRight w:val="0"/>
      <w:marTop w:val="0"/>
      <w:marBottom w:val="0"/>
      <w:divBdr>
        <w:top w:val="none" w:sz="0" w:space="0" w:color="auto"/>
        <w:left w:val="none" w:sz="0" w:space="0" w:color="auto"/>
        <w:bottom w:val="none" w:sz="0" w:space="0" w:color="auto"/>
        <w:right w:val="none" w:sz="0" w:space="0" w:color="auto"/>
      </w:divBdr>
    </w:div>
    <w:div w:id="372581863">
      <w:bodyDiv w:val="1"/>
      <w:marLeft w:val="0"/>
      <w:marRight w:val="0"/>
      <w:marTop w:val="0"/>
      <w:marBottom w:val="0"/>
      <w:divBdr>
        <w:top w:val="none" w:sz="0" w:space="0" w:color="auto"/>
        <w:left w:val="none" w:sz="0" w:space="0" w:color="auto"/>
        <w:bottom w:val="none" w:sz="0" w:space="0" w:color="auto"/>
        <w:right w:val="none" w:sz="0" w:space="0" w:color="auto"/>
      </w:divBdr>
    </w:div>
    <w:div w:id="372851513">
      <w:bodyDiv w:val="1"/>
      <w:marLeft w:val="0"/>
      <w:marRight w:val="0"/>
      <w:marTop w:val="0"/>
      <w:marBottom w:val="0"/>
      <w:divBdr>
        <w:top w:val="none" w:sz="0" w:space="0" w:color="auto"/>
        <w:left w:val="none" w:sz="0" w:space="0" w:color="auto"/>
        <w:bottom w:val="none" w:sz="0" w:space="0" w:color="auto"/>
        <w:right w:val="none" w:sz="0" w:space="0" w:color="auto"/>
      </w:divBdr>
    </w:div>
    <w:div w:id="373120736">
      <w:bodyDiv w:val="1"/>
      <w:marLeft w:val="0"/>
      <w:marRight w:val="0"/>
      <w:marTop w:val="0"/>
      <w:marBottom w:val="0"/>
      <w:divBdr>
        <w:top w:val="none" w:sz="0" w:space="0" w:color="auto"/>
        <w:left w:val="none" w:sz="0" w:space="0" w:color="auto"/>
        <w:bottom w:val="none" w:sz="0" w:space="0" w:color="auto"/>
        <w:right w:val="none" w:sz="0" w:space="0" w:color="auto"/>
      </w:divBdr>
    </w:div>
    <w:div w:id="373234347">
      <w:bodyDiv w:val="1"/>
      <w:marLeft w:val="0"/>
      <w:marRight w:val="0"/>
      <w:marTop w:val="0"/>
      <w:marBottom w:val="0"/>
      <w:divBdr>
        <w:top w:val="none" w:sz="0" w:space="0" w:color="auto"/>
        <w:left w:val="none" w:sz="0" w:space="0" w:color="auto"/>
        <w:bottom w:val="none" w:sz="0" w:space="0" w:color="auto"/>
        <w:right w:val="none" w:sz="0" w:space="0" w:color="auto"/>
      </w:divBdr>
    </w:div>
    <w:div w:id="373385010">
      <w:bodyDiv w:val="1"/>
      <w:marLeft w:val="0"/>
      <w:marRight w:val="0"/>
      <w:marTop w:val="0"/>
      <w:marBottom w:val="0"/>
      <w:divBdr>
        <w:top w:val="none" w:sz="0" w:space="0" w:color="auto"/>
        <w:left w:val="none" w:sz="0" w:space="0" w:color="auto"/>
        <w:bottom w:val="none" w:sz="0" w:space="0" w:color="auto"/>
        <w:right w:val="none" w:sz="0" w:space="0" w:color="auto"/>
      </w:divBdr>
    </w:div>
    <w:div w:id="373501799">
      <w:bodyDiv w:val="1"/>
      <w:marLeft w:val="0"/>
      <w:marRight w:val="0"/>
      <w:marTop w:val="0"/>
      <w:marBottom w:val="0"/>
      <w:divBdr>
        <w:top w:val="none" w:sz="0" w:space="0" w:color="auto"/>
        <w:left w:val="none" w:sz="0" w:space="0" w:color="auto"/>
        <w:bottom w:val="none" w:sz="0" w:space="0" w:color="auto"/>
        <w:right w:val="none" w:sz="0" w:space="0" w:color="auto"/>
      </w:divBdr>
    </w:div>
    <w:div w:id="373889645">
      <w:bodyDiv w:val="1"/>
      <w:marLeft w:val="0"/>
      <w:marRight w:val="0"/>
      <w:marTop w:val="0"/>
      <w:marBottom w:val="0"/>
      <w:divBdr>
        <w:top w:val="none" w:sz="0" w:space="0" w:color="auto"/>
        <w:left w:val="none" w:sz="0" w:space="0" w:color="auto"/>
        <w:bottom w:val="none" w:sz="0" w:space="0" w:color="auto"/>
        <w:right w:val="none" w:sz="0" w:space="0" w:color="auto"/>
      </w:divBdr>
    </w:div>
    <w:div w:id="373892407">
      <w:bodyDiv w:val="1"/>
      <w:marLeft w:val="0"/>
      <w:marRight w:val="0"/>
      <w:marTop w:val="0"/>
      <w:marBottom w:val="0"/>
      <w:divBdr>
        <w:top w:val="none" w:sz="0" w:space="0" w:color="auto"/>
        <w:left w:val="none" w:sz="0" w:space="0" w:color="auto"/>
        <w:bottom w:val="none" w:sz="0" w:space="0" w:color="auto"/>
        <w:right w:val="none" w:sz="0" w:space="0" w:color="auto"/>
      </w:divBdr>
    </w:div>
    <w:div w:id="373968797">
      <w:bodyDiv w:val="1"/>
      <w:marLeft w:val="0"/>
      <w:marRight w:val="0"/>
      <w:marTop w:val="0"/>
      <w:marBottom w:val="0"/>
      <w:divBdr>
        <w:top w:val="none" w:sz="0" w:space="0" w:color="auto"/>
        <w:left w:val="none" w:sz="0" w:space="0" w:color="auto"/>
        <w:bottom w:val="none" w:sz="0" w:space="0" w:color="auto"/>
        <w:right w:val="none" w:sz="0" w:space="0" w:color="auto"/>
      </w:divBdr>
    </w:div>
    <w:div w:id="373970661">
      <w:bodyDiv w:val="1"/>
      <w:marLeft w:val="0"/>
      <w:marRight w:val="0"/>
      <w:marTop w:val="0"/>
      <w:marBottom w:val="0"/>
      <w:divBdr>
        <w:top w:val="none" w:sz="0" w:space="0" w:color="auto"/>
        <w:left w:val="none" w:sz="0" w:space="0" w:color="auto"/>
        <w:bottom w:val="none" w:sz="0" w:space="0" w:color="auto"/>
        <w:right w:val="none" w:sz="0" w:space="0" w:color="auto"/>
      </w:divBdr>
    </w:div>
    <w:div w:id="373971670">
      <w:bodyDiv w:val="1"/>
      <w:marLeft w:val="0"/>
      <w:marRight w:val="0"/>
      <w:marTop w:val="0"/>
      <w:marBottom w:val="0"/>
      <w:divBdr>
        <w:top w:val="none" w:sz="0" w:space="0" w:color="auto"/>
        <w:left w:val="none" w:sz="0" w:space="0" w:color="auto"/>
        <w:bottom w:val="none" w:sz="0" w:space="0" w:color="auto"/>
        <w:right w:val="none" w:sz="0" w:space="0" w:color="auto"/>
      </w:divBdr>
    </w:div>
    <w:div w:id="374159907">
      <w:bodyDiv w:val="1"/>
      <w:marLeft w:val="0"/>
      <w:marRight w:val="0"/>
      <w:marTop w:val="0"/>
      <w:marBottom w:val="0"/>
      <w:divBdr>
        <w:top w:val="none" w:sz="0" w:space="0" w:color="auto"/>
        <w:left w:val="none" w:sz="0" w:space="0" w:color="auto"/>
        <w:bottom w:val="none" w:sz="0" w:space="0" w:color="auto"/>
        <w:right w:val="none" w:sz="0" w:space="0" w:color="auto"/>
      </w:divBdr>
    </w:div>
    <w:div w:id="374625259">
      <w:bodyDiv w:val="1"/>
      <w:marLeft w:val="0"/>
      <w:marRight w:val="0"/>
      <w:marTop w:val="0"/>
      <w:marBottom w:val="0"/>
      <w:divBdr>
        <w:top w:val="none" w:sz="0" w:space="0" w:color="auto"/>
        <w:left w:val="none" w:sz="0" w:space="0" w:color="auto"/>
        <w:bottom w:val="none" w:sz="0" w:space="0" w:color="auto"/>
        <w:right w:val="none" w:sz="0" w:space="0" w:color="auto"/>
      </w:divBdr>
    </w:div>
    <w:div w:id="374739643">
      <w:bodyDiv w:val="1"/>
      <w:marLeft w:val="0"/>
      <w:marRight w:val="0"/>
      <w:marTop w:val="0"/>
      <w:marBottom w:val="0"/>
      <w:divBdr>
        <w:top w:val="none" w:sz="0" w:space="0" w:color="auto"/>
        <w:left w:val="none" w:sz="0" w:space="0" w:color="auto"/>
        <w:bottom w:val="none" w:sz="0" w:space="0" w:color="auto"/>
        <w:right w:val="none" w:sz="0" w:space="0" w:color="auto"/>
      </w:divBdr>
    </w:div>
    <w:div w:id="375159297">
      <w:bodyDiv w:val="1"/>
      <w:marLeft w:val="0"/>
      <w:marRight w:val="0"/>
      <w:marTop w:val="0"/>
      <w:marBottom w:val="0"/>
      <w:divBdr>
        <w:top w:val="none" w:sz="0" w:space="0" w:color="auto"/>
        <w:left w:val="none" w:sz="0" w:space="0" w:color="auto"/>
        <w:bottom w:val="none" w:sz="0" w:space="0" w:color="auto"/>
        <w:right w:val="none" w:sz="0" w:space="0" w:color="auto"/>
      </w:divBdr>
    </w:div>
    <w:div w:id="375198830">
      <w:bodyDiv w:val="1"/>
      <w:marLeft w:val="0"/>
      <w:marRight w:val="0"/>
      <w:marTop w:val="0"/>
      <w:marBottom w:val="0"/>
      <w:divBdr>
        <w:top w:val="none" w:sz="0" w:space="0" w:color="auto"/>
        <w:left w:val="none" w:sz="0" w:space="0" w:color="auto"/>
        <w:bottom w:val="none" w:sz="0" w:space="0" w:color="auto"/>
        <w:right w:val="none" w:sz="0" w:space="0" w:color="auto"/>
      </w:divBdr>
    </w:div>
    <w:div w:id="375396358">
      <w:bodyDiv w:val="1"/>
      <w:marLeft w:val="0"/>
      <w:marRight w:val="0"/>
      <w:marTop w:val="0"/>
      <w:marBottom w:val="0"/>
      <w:divBdr>
        <w:top w:val="none" w:sz="0" w:space="0" w:color="auto"/>
        <w:left w:val="none" w:sz="0" w:space="0" w:color="auto"/>
        <w:bottom w:val="none" w:sz="0" w:space="0" w:color="auto"/>
        <w:right w:val="none" w:sz="0" w:space="0" w:color="auto"/>
      </w:divBdr>
    </w:div>
    <w:div w:id="375547483">
      <w:bodyDiv w:val="1"/>
      <w:marLeft w:val="0"/>
      <w:marRight w:val="0"/>
      <w:marTop w:val="0"/>
      <w:marBottom w:val="0"/>
      <w:divBdr>
        <w:top w:val="none" w:sz="0" w:space="0" w:color="auto"/>
        <w:left w:val="none" w:sz="0" w:space="0" w:color="auto"/>
        <w:bottom w:val="none" w:sz="0" w:space="0" w:color="auto"/>
        <w:right w:val="none" w:sz="0" w:space="0" w:color="auto"/>
      </w:divBdr>
    </w:div>
    <w:div w:id="375668055">
      <w:bodyDiv w:val="1"/>
      <w:marLeft w:val="0"/>
      <w:marRight w:val="0"/>
      <w:marTop w:val="0"/>
      <w:marBottom w:val="0"/>
      <w:divBdr>
        <w:top w:val="none" w:sz="0" w:space="0" w:color="auto"/>
        <w:left w:val="none" w:sz="0" w:space="0" w:color="auto"/>
        <w:bottom w:val="none" w:sz="0" w:space="0" w:color="auto"/>
        <w:right w:val="none" w:sz="0" w:space="0" w:color="auto"/>
      </w:divBdr>
    </w:div>
    <w:div w:id="375815550">
      <w:bodyDiv w:val="1"/>
      <w:marLeft w:val="0"/>
      <w:marRight w:val="0"/>
      <w:marTop w:val="0"/>
      <w:marBottom w:val="0"/>
      <w:divBdr>
        <w:top w:val="none" w:sz="0" w:space="0" w:color="auto"/>
        <w:left w:val="none" w:sz="0" w:space="0" w:color="auto"/>
        <w:bottom w:val="none" w:sz="0" w:space="0" w:color="auto"/>
        <w:right w:val="none" w:sz="0" w:space="0" w:color="auto"/>
      </w:divBdr>
    </w:div>
    <w:div w:id="376048744">
      <w:bodyDiv w:val="1"/>
      <w:marLeft w:val="0"/>
      <w:marRight w:val="0"/>
      <w:marTop w:val="0"/>
      <w:marBottom w:val="0"/>
      <w:divBdr>
        <w:top w:val="none" w:sz="0" w:space="0" w:color="auto"/>
        <w:left w:val="none" w:sz="0" w:space="0" w:color="auto"/>
        <w:bottom w:val="none" w:sz="0" w:space="0" w:color="auto"/>
        <w:right w:val="none" w:sz="0" w:space="0" w:color="auto"/>
      </w:divBdr>
    </w:div>
    <w:div w:id="376273370">
      <w:bodyDiv w:val="1"/>
      <w:marLeft w:val="0"/>
      <w:marRight w:val="0"/>
      <w:marTop w:val="0"/>
      <w:marBottom w:val="0"/>
      <w:divBdr>
        <w:top w:val="none" w:sz="0" w:space="0" w:color="auto"/>
        <w:left w:val="none" w:sz="0" w:space="0" w:color="auto"/>
        <w:bottom w:val="none" w:sz="0" w:space="0" w:color="auto"/>
        <w:right w:val="none" w:sz="0" w:space="0" w:color="auto"/>
      </w:divBdr>
    </w:div>
    <w:div w:id="376782134">
      <w:bodyDiv w:val="1"/>
      <w:marLeft w:val="0"/>
      <w:marRight w:val="0"/>
      <w:marTop w:val="0"/>
      <w:marBottom w:val="0"/>
      <w:divBdr>
        <w:top w:val="none" w:sz="0" w:space="0" w:color="auto"/>
        <w:left w:val="none" w:sz="0" w:space="0" w:color="auto"/>
        <w:bottom w:val="none" w:sz="0" w:space="0" w:color="auto"/>
        <w:right w:val="none" w:sz="0" w:space="0" w:color="auto"/>
      </w:divBdr>
    </w:div>
    <w:div w:id="376783750">
      <w:bodyDiv w:val="1"/>
      <w:marLeft w:val="0"/>
      <w:marRight w:val="0"/>
      <w:marTop w:val="0"/>
      <w:marBottom w:val="0"/>
      <w:divBdr>
        <w:top w:val="none" w:sz="0" w:space="0" w:color="auto"/>
        <w:left w:val="none" w:sz="0" w:space="0" w:color="auto"/>
        <w:bottom w:val="none" w:sz="0" w:space="0" w:color="auto"/>
        <w:right w:val="none" w:sz="0" w:space="0" w:color="auto"/>
      </w:divBdr>
    </w:div>
    <w:div w:id="377050985">
      <w:bodyDiv w:val="1"/>
      <w:marLeft w:val="0"/>
      <w:marRight w:val="0"/>
      <w:marTop w:val="0"/>
      <w:marBottom w:val="0"/>
      <w:divBdr>
        <w:top w:val="none" w:sz="0" w:space="0" w:color="auto"/>
        <w:left w:val="none" w:sz="0" w:space="0" w:color="auto"/>
        <w:bottom w:val="none" w:sz="0" w:space="0" w:color="auto"/>
        <w:right w:val="none" w:sz="0" w:space="0" w:color="auto"/>
      </w:divBdr>
    </w:div>
    <w:div w:id="377120882">
      <w:bodyDiv w:val="1"/>
      <w:marLeft w:val="0"/>
      <w:marRight w:val="0"/>
      <w:marTop w:val="0"/>
      <w:marBottom w:val="0"/>
      <w:divBdr>
        <w:top w:val="none" w:sz="0" w:space="0" w:color="auto"/>
        <w:left w:val="none" w:sz="0" w:space="0" w:color="auto"/>
        <w:bottom w:val="none" w:sz="0" w:space="0" w:color="auto"/>
        <w:right w:val="none" w:sz="0" w:space="0" w:color="auto"/>
      </w:divBdr>
    </w:div>
    <w:div w:id="377241830">
      <w:bodyDiv w:val="1"/>
      <w:marLeft w:val="0"/>
      <w:marRight w:val="0"/>
      <w:marTop w:val="0"/>
      <w:marBottom w:val="0"/>
      <w:divBdr>
        <w:top w:val="none" w:sz="0" w:space="0" w:color="auto"/>
        <w:left w:val="none" w:sz="0" w:space="0" w:color="auto"/>
        <w:bottom w:val="none" w:sz="0" w:space="0" w:color="auto"/>
        <w:right w:val="none" w:sz="0" w:space="0" w:color="auto"/>
      </w:divBdr>
    </w:div>
    <w:div w:id="377438545">
      <w:bodyDiv w:val="1"/>
      <w:marLeft w:val="0"/>
      <w:marRight w:val="0"/>
      <w:marTop w:val="0"/>
      <w:marBottom w:val="0"/>
      <w:divBdr>
        <w:top w:val="none" w:sz="0" w:space="0" w:color="auto"/>
        <w:left w:val="none" w:sz="0" w:space="0" w:color="auto"/>
        <w:bottom w:val="none" w:sz="0" w:space="0" w:color="auto"/>
        <w:right w:val="none" w:sz="0" w:space="0" w:color="auto"/>
      </w:divBdr>
    </w:div>
    <w:div w:id="377507817">
      <w:bodyDiv w:val="1"/>
      <w:marLeft w:val="0"/>
      <w:marRight w:val="0"/>
      <w:marTop w:val="0"/>
      <w:marBottom w:val="0"/>
      <w:divBdr>
        <w:top w:val="none" w:sz="0" w:space="0" w:color="auto"/>
        <w:left w:val="none" w:sz="0" w:space="0" w:color="auto"/>
        <w:bottom w:val="none" w:sz="0" w:space="0" w:color="auto"/>
        <w:right w:val="none" w:sz="0" w:space="0" w:color="auto"/>
      </w:divBdr>
    </w:div>
    <w:div w:id="377777648">
      <w:bodyDiv w:val="1"/>
      <w:marLeft w:val="0"/>
      <w:marRight w:val="0"/>
      <w:marTop w:val="0"/>
      <w:marBottom w:val="0"/>
      <w:divBdr>
        <w:top w:val="none" w:sz="0" w:space="0" w:color="auto"/>
        <w:left w:val="none" w:sz="0" w:space="0" w:color="auto"/>
        <w:bottom w:val="none" w:sz="0" w:space="0" w:color="auto"/>
        <w:right w:val="none" w:sz="0" w:space="0" w:color="auto"/>
      </w:divBdr>
    </w:div>
    <w:div w:id="377895989">
      <w:bodyDiv w:val="1"/>
      <w:marLeft w:val="0"/>
      <w:marRight w:val="0"/>
      <w:marTop w:val="0"/>
      <w:marBottom w:val="0"/>
      <w:divBdr>
        <w:top w:val="none" w:sz="0" w:space="0" w:color="auto"/>
        <w:left w:val="none" w:sz="0" w:space="0" w:color="auto"/>
        <w:bottom w:val="none" w:sz="0" w:space="0" w:color="auto"/>
        <w:right w:val="none" w:sz="0" w:space="0" w:color="auto"/>
      </w:divBdr>
    </w:div>
    <w:div w:id="377969467">
      <w:bodyDiv w:val="1"/>
      <w:marLeft w:val="0"/>
      <w:marRight w:val="0"/>
      <w:marTop w:val="0"/>
      <w:marBottom w:val="0"/>
      <w:divBdr>
        <w:top w:val="none" w:sz="0" w:space="0" w:color="auto"/>
        <w:left w:val="none" w:sz="0" w:space="0" w:color="auto"/>
        <w:bottom w:val="none" w:sz="0" w:space="0" w:color="auto"/>
        <w:right w:val="none" w:sz="0" w:space="0" w:color="auto"/>
      </w:divBdr>
    </w:div>
    <w:div w:id="378165486">
      <w:bodyDiv w:val="1"/>
      <w:marLeft w:val="0"/>
      <w:marRight w:val="0"/>
      <w:marTop w:val="0"/>
      <w:marBottom w:val="0"/>
      <w:divBdr>
        <w:top w:val="none" w:sz="0" w:space="0" w:color="auto"/>
        <w:left w:val="none" w:sz="0" w:space="0" w:color="auto"/>
        <w:bottom w:val="none" w:sz="0" w:space="0" w:color="auto"/>
        <w:right w:val="none" w:sz="0" w:space="0" w:color="auto"/>
      </w:divBdr>
    </w:div>
    <w:div w:id="378285835">
      <w:bodyDiv w:val="1"/>
      <w:marLeft w:val="0"/>
      <w:marRight w:val="0"/>
      <w:marTop w:val="0"/>
      <w:marBottom w:val="0"/>
      <w:divBdr>
        <w:top w:val="none" w:sz="0" w:space="0" w:color="auto"/>
        <w:left w:val="none" w:sz="0" w:space="0" w:color="auto"/>
        <w:bottom w:val="none" w:sz="0" w:space="0" w:color="auto"/>
        <w:right w:val="none" w:sz="0" w:space="0" w:color="auto"/>
      </w:divBdr>
    </w:div>
    <w:div w:id="378287618">
      <w:bodyDiv w:val="1"/>
      <w:marLeft w:val="0"/>
      <w:marRight w:val="0"/>
      <w:marTop w:val="0"/>
      <w:marBottom w:val="0"/>
      <w:divBdr>
        <w:top w:val="none" w:sz="0" w:space="0" w:color="auto"/>
        <w:left w:val="none" w:sz="0" w:space="0" w:color="auto"/>
        <w:bottom w:val="none" w:sz="0" w:space="0" w:color="auto"/>
        <w:right w:val="none" w:sz="0" w:space="0" w:color="auto"/>
      </w:divBdr>
    </w:div>
    <w:div w:id="378287940">
      <w:bodyDiv w:val="1"/>
      <w:marLeft w:val="0"/>
      <w:marRight w:val="0"/>
      <w:marTop w:val="0"/>
      <w:marBottom w:val="0"/>
      <w:divBdr>
        <w:top w:val="none" w:sz="0" w:space="0" w:color="auto"/>
        <w:left w:val="none" w:sz="0" w:space="0" w:color="auto"/>
        <w:bottom w:val="none" w:sz="0" w:space="0" w:color="auto"/>
        <w:right w:val="none" w:sz="0" w:space="0" w:color="auto"/>
      </w:divBdr>
    </w:div>
    <w:div w:id="378405672">
      <w:bodyDiv w:val="1"/>
      <w:marLeft w:val="0"/>
      <w:marRight w:val="0"/>
      <w:marTop w:val="0"/>
      <w:marBottom w:val="0"/>
      <w:divBdr>
        <w:top w:val="none" w:sz="0" w:space="0" w:color="auto"/>
        <w:left w:val="none" w:sz="0" w:space="0" w:color="auto"/>
        <w:bottom w:val="none" w:sz="0" w:space="0" w:color="auto"/>
        <w:right w:val="none" w:sz="0" w:space="0" w:color="auto"/>
      </w:divBdr>
    </w:div>
    <w:div w:id="378550894">
      <w:bodyDiv w:val="1"/>
      <w:marLeft w:val="0"/>
      <w:marRight w:val="0"/>
      <w:marTop w:val="0"/>
      <w:marBottom w:val="0"/>
      <w:divBdr>
        <w:top w:val="none" w:sz="0" w:space="0" w:color="auto"/>
        <w:left w:val="none" w:sz="0" w:space="0" w:color="auto"/>
        <w:bottom w:val="none" w:sz="0" w:space="0" w:color="auto"/>
        <w:right w:val="none" w:sz="0" w:space="0" w:color="auto"/>
      </w:divBdr>
    </w:div>
    <w:div w:id="378632377">
      <w:bodyDiv w:val="1"/>
      <w:marLeft w:val="0"/>
      <w:marRight w:val="0"/>
      <w:marTop w:val="0"/>
      <w:marBottom w:val="0"/>
      <w:divBdr>
        <w:top w:val="none" w:sz="0" w:space="0" w:color="auto"/>
        <w:left w:val="none" w:sz="0" w:space="0" w:color="auto"/>
        <w:bottom w:val="none" w:sz="0" w:space="0" w:color="auto"/>
        <w:right w:val="none" w:sz="0" w:space="0" w:color="auto"/>
      </w:divBdr>
    </w:div>
    <w:div w:id="378823154">
      <w:bodyDiv w:val="1"/>
      <w:marLeft w:val="0"/>
      <w:marRight w:val="0"/>
      <w:marTop w:val="0"/>
      <w:marBottom w:val="0"/>
      <w:divBdr>
        <w:top w:val="none" w:sz="0" w:space="0" w:color="auto"/>
        <w:left w:val="none" w:sz="0" w:space="0" w:color="auto"/>
        <w:bottom w:val="none" w:sz="0" w:space="0" w:color="auto"/>
        <w:right w:val="none" w:sz="0" w:space="0" w:color="auto"/>
      </w:divBdr>
    </w:div>
    <w:div w:id="378894355">
      <w:bodyDiv w:val="1"/>
      <w:marLeft w:val="0"/>
      <w:marRight w:val="0"/>
      <w:marTop w:val="0"/>
      <w:marBottom w:val="0"/>
      <w:divBdr>
        <w:top w:val="none" w:sz="0" w:space="0" w:color="auto"/>
        <w:left w:val="none" w:sz="0" w:space="0" w:color="auto"/>
        <w:bottom w:val="none" w:sz="0" w:space="0" w:color="auto"/>
        <w:right w:val="none" w:sz="0" w:space="0" w:color="auto"/>
      </w:divBdr>
    </w:div>
    <w:div w:id="379011949">
      <w:bodyDiv w:val="1"/>
      <w:marLeft w:val="0"/>
      <w:marRight w:val="0"/>
      <w:marTop w:val="0"/>
      <w:marBottom w:val="0"/>
      <w:divBdr>
        <w:top w:val="none" w:sz="0" w:space="0" w:color="auto"/>
        <w:left w:val="none" w:sz="0" w:space="0" w:color="auto"/>
        <w:bottom w:val="none" w:sz="0" w:space="0" w:color="auto"/>
        <w:right w:val="none" w:sz="0" w:space="0" w:color="auto"/>
      </w:divBdr>
    </w:div>
    <w:div w:id="379013397">
      <w:bodyDiv w:val="1"/>
      <w:marLeft w:val="0"/>
      <w:marRight w:val="0"/>
      <w:marTop w:val="0"/>
      <w:marBottom w:val="0"/>
      <w:divBdr>
        <w:top w:val="none" w:sz="0" w:space="0" w:color="auto"/>
        <w:left w:val="none" w:sz="0" w:space="0" w:color="auto"/>
        <w:bottom w:val="none" w:sz="0" w:space="0" w:color="auto"/>
        <w:right w:val="none" w:sz="0" w:space="0" w:color="auto"/>
      </w:divBdr>
    </w:div>
    <w:div w:id="379086621">
      <w:bodyDiv w:val="1"/>
      <w:marLeft w:val="0"/>
      <w:marRight w:val="0"/>
      <w:marTop w:val="0"/>
      <w:marBottom w:val="0"/>
      <w:divBdr>
        <w:top w:val="none" w:sz="0" w:space="0" w:color="auto"/>
        <w:left w:val="none" w:sz="0" w:space="0" w:color="auto"/>
        <w:bottom w:val="none" w:sz="0" w:space="0" w:color="auto"/>
        <w:right w:val="none" w:sz="0" w:space="0" w:color="auto"/>
      </w:divBdr>
    </w:div>
    <w:div w:id="379210336">
      <w:bodyDiv w:val="1"/>
      <w:marLeft w:val="0"/>
      <w:marRight w:val="0"/>
      <w:marTop w:val="0"/>
      <w:marBottom w:val="0"/>
      <w:divBdr>
        <w:top w:val="none" w:sz="0" w:space="0" w:color="auto"/>
        <w:left w:val="none" w:sz="0" w:space="0" w:color="auto"/>
        <w:bottom w:val="none" w:sz="0" w:space="0" w:color="auto"/>
        <w:right w:val="none" w:sz="0" w:space="0" w:color="auto"/>
      </w:divBdr>
    </w:div>
    <w:div w:id="379401222">
      <w:bodyDiv w:val="1"/>
      <w:marLeft w:val="0"/>
      <w:marRight w:val="0"/>
      <w:marTop w:val="0"/>
      <w:marBottom w:val="0"/>
      <w:divBdr>
        <w:top w:val="none" w:sz="0" w:space="0" w:color="auto"/>
        <w:left w:val="none" w:sz="0" w:space="0" w:color="auto"/>
        <w:bottom w:val="none" w:sz="0" w:space="0" w:color="auto"/>
        <w:right w:val="none" w:sz="0" w:space="0" w:color="auto"/>
      </w:divBdr>
    </w:div>
    <w:div w:id="379401837">
      <w:bodyDiv w:val="1"/>
      <w:marLeft w:val="0"/>
      <w:marRight w:val="0"/>
      <w:marTop w:val="0"/>
      <w:marBottom w:val="0"/>
      <w:divBdr>
        <w:top w:val="none" w:sz="0" w:space="0" w:color="auto"/>
        <w:left w:val="none" w:sz="0" w:space="0" w:color="auto"/>
        <w:bottom w:val="none" w:sz="0" w:space="0" w:color="auto"/>
        <w:right w:val="none" w:sz="0" w:space="0" w:color="auto"/>
      </w:divBdr>
    </w:div>
    <w:div w:id="379592992">
      <w:bodyDiv w:val="1"/>
      <w:marLeft w:val="0"/>
      <w:marRight w:val="0"/>
      <w:marTop w:val="0"/>
      <w:marBottom w:val="0"/>
      <w:divBdr>
        <w:top w:val="none" w:sz="0" w:space="0" w:color="auto"/>
        <w:left w:val="none" w:sz="0" w:space="0" w:color="auto"/>
        <w:bottom w:val="none" w:sz="0" w:space="0" w:color="auto"/>
        <w:right w:val="none" w:sz="0" w:space="0" w:color="auto"/>
      </w:divBdr>
    </w:div>
    <w:div w:id="379979711">
      <w:bodyDiv w:val="1"/>
      <w:marLeft w:val="0"/>
      <w:marRight w:val="0"/>
      <w:marTop w:val="0"/>
      <w:marBottom w:val="0"/>
      <w:divBdr>
        <w:top w:val="none" w:sz="0" w:space="0" w:color="auto"/>
        <w:left w:val="none" w:sz="0" w:space="0" w:color="auto"/>
        <w:bottom w:val="none" w:sz="0" w:space="0" w:color="auto"/>
        <w:right w:val="none" w:sz="0" w:space="0" w:color="auto"/>
      </w:divBdr>
    </w:div>
    <w:div w:id="380059365">
      <w:bodyDiv w:val="1"/>
      <w:marLeft w:val="0"/>
      <w:marRight w:val="0"/>
      <w:marTop w:val="0"/>
      <w:marBottom w:val="0"/>
      <w:divBdr>
        <w:top w:val="none" w:sz="0" w:space="0" w:color="auto"/>
        <w:left w:val="none" w:sz="0" w:space="0" w:color="auto"/>
        <w:bottom w:val="none" w:sz="0" w:space="0" w:color="auto"/>
        <w:right w:val="none" w:sz="0" w:space="0" w:color="auto"/>
      </w:divBdr>
    </w:div>
    <w:div w:id="380060887">
      <w:bodyDiv w:val="1"/>
      <w:marLeft w:val="0"/>
      <w:marRight w:val="0"/>
      <w:marTop w:val="0"/>
      <w:marBottom w:val="0"/>
      <w:divBdr>
        <w:top w:val="none" w:sz="0" w:space="0" w:color="auto"/>
        <w:left w:val="none" w:sz="0" w:space="0" w:color="auto"/>
        <w:bottom w:val="none" w:sz="0" w:space="0" w:color="auto"/>
        <w:right w:val="none" w:sz="0" w:space="0" w:color="auto"/>
      </w:divBdr>
    </w:div>
    <w:div w:id="380252769">
      <w:bodyDiv w:val="1"/>
      <w:marLeft w:val="0"/>
      <w:marRight w:val="0"/>
      <w:marTop w:val="0"/>
      <w:marBottom w:val="0"/>
      <w:divBdr>
        <w:top w:val="none" w:sz="0" w:space="0" w:color="auto"/>
        <w:left w:val="none" w:sz="0" w:space="0" w:color="auto"/>
        <w:bottom w:val="none" w:sz="0" w:space="0" w:color="auto"/>
        <w:right w:val="none" w:sz="0" w:space="0" w:color="auto"/>
      </w:divBdr>
    </w:div>
    <w:div w:id="380403593">
      <w:bodyDiv w:val="1"/>
      <w:marLeft w:val="0"/>
      <w:marRight w:val="0"/>
      <w:marTop w:val="0"/>
      <w:marBottom w:val="0"/>
      <w:divBdr>
        <w:top w:val="none" w:sz="0" w:space="0" w:color="auto"/>
        <w:left w:val="none" w:sz="0" w:space="0" w:color="auto"/>
        <w:bottom w:val="none" w:sz="0" w:space="0" w:color="auto"/>
        <w:right w:val="none" w:sz="0" w:space="0" w:color="auto"/>
      </w:divBdr>
    </w:div>
    <w:div w:id="380441437">
      <w:bodyDiv w:val="1"/>
      <w:marLeft w:val="0"/>
      <w:marRight w:val="0"/>
      <w:marTop w:val="0"/>
      <w:marBottom w:val="0"/>
      <w:divBdr>
        <w:top w:val="none" w:sz="0" w:space="0" w:color="auto"/>
        <w:left w:val="none" w:sz="0" w:space="0" w:color="auto"/>
        <w:bottom w:val="none" w:sz="0" w:space="0" w:color="auto"/>
        <w:right w:val="none" w:sz="0" w:space="0" w:color="auto"/>
      </w:divBdr>
    </w:div>
    <w:div w:id="380642223">
      <w:bodyDiv w:val="1"/>
      <w:marLeft w:val="0"/>
      <w:marRight w:val="0"/>
      <w:marTop w:val="0"/>
      <w:marBottom w:val="0"/>
      <w:divBdr>
        <w:top w:val="none" w:sz="0" w:space="0" w:color="auto"/>
        <w:left w:val="none" w:sz="0" w:space="0" w:color="auto"/>
        <w:bottom w:val="none" w:sz="0" w:space="0" w:color="auto"/>
        <w:right w:val="none" w:sz="0" w:space="0" w:color="auto"/>
      </w:divBdr>
    </w:div>
    <w:div w:id="380710003">
      <w:bodyDiv w:val="1"/>
      <w:marLeft w:val="0"/>
      <w:marRight w:val="0"/>
      <w:marTop w:val="0"/>
      <w:marBottom w:val="0"/>
      <w:divBdr>
        <w:top w:val="none" w:sz="0" w:space="0" w:color="auto"/>
        <w:left w:val="none" w:sz="0" w:space="0" w:color="auto"/>
        <w:bottom w:val="none" w:sz="0" w:space="0" w:color="auto"/>
        <w:right w:val="none" w:sz="0" w:space="0" w:color="auto"/>
      </w:divBdr>
    </w:div>
    <w:div w:id="380862194">
      <w:bodyDiv w:val="1"/>
      <w:marLeft w:val="0"/>
      <w:marRight w:val="0"/>
      <w:marTop w:val="0"/>
      <w:marBottom w:val="0"/>
      <w:divBdr>
        <w:top w:val="none" w:sz="0" w:space="0" w:color="auto"/>
        <w:left w:val="none" w:sz="0" w:space="0" w:color="auto"/>
        <w:bottom w:val="none" w:sz="0" w:space="0" w:color="auto"/>
        <w:right w:val="none" w:sz="0" w:space="0" w:color="auto"/>
      </w:divBdr>
    </w:div>
    <w:div w:id="380906679">
      <w:bodyDiv w:val="1"/>
      <w:marLeft w:val="0"/>
      <w:marRight w:val="0"/>
      <w:marTop w:val="0"/>
      <w:marBottom w:val="0"/>
      <w:divBdr>
        <w:top w:val="none" w:sz="0" w:space="0" w:color="auto"/>
        <w:left w:val="none" w:sz="0" w:space="0" w:color="auto"/>
        <w:bottom w:val="none" w:sz="0" w:space="0" w:color="auto"/>
        <w:right w:val="none" w:sz="0" w:space="0" w:color="auto"/>
      </w:divBdr>
    </w:div>
    <w:div w:id="381026889">
      <w:bodyDiv w:val="1"/>
      <w:marLeft w:val="0"/>
      <w:marRight w:val="0"/>
      <w:marTop w:val="0"/>
      <w:marBottom w:val="0"/>
      <w:divBdr>
        <w:top w:val="none" w:sz="0" w:space="0" w:color="auto"/>
        <w:left w:val="none" w:sz="0" w:space="0" w:color="auto"/>
        <w:bottom w:val="none" w:sz="0" w:space="0" w:color="auto"/>
        <w:right w:val="none" w:sz="0" w:space="0" w:color="auto"/>
      </w:divBdr>
    </w:div>
    <w:div w:id="381027714">
      <w:bodyDiv w:val="1"/>
      <w:marLeft w:val="0"/>
      <w:marRight w:val="0"/>
      <w:marTop w:val="0"/>
      <w:marBottom w:val="0"/>
      <w:divBdr>
        <w:top w:val="none" w:sz="0" w:space="0" w:color="auto"/>
        <w:left w:val="none" w:sz="0" w:space="0" w:color="auto"/>
        <w:bottom w:val="none" w:sz="0" w:space="0" w:color="auto"/>
        <w:right w:val="none" w:sz="0" w:space="0" w:color="auto"/>
      </w:divBdr>
    </w:div>
    <w:div w:id="381098023">
      <w:bodyDiv w:val="1"/>
      <w:marLeft w:val="0"/>
      <w:marRight w:val="0"/>
      <w:marTop w:val="0"/>
      <w:marBottom w:val="0"/>
      <w:divBdr>
        <w:top w:val="none" w:sz="0" w:space="0" w:color="auto"/>
        <w:left w:val="none" w:sz="0" w:space="0" w:color="auto"/>
        <w:bottom w:val="none" w:sz="0" w:space="0" w:color="auto"/>
        <w:right w:val="none" w:sz="0" w:space="0" w:color="auto"/>
      </w:divBdr>
    </w:div>
    <w:div w:id="381173156">
      <w:bodyDiv w:val="1"/>
      <w:marLeft w:val="0"/>
      <w:marRight w:val="0"/>
      <w:marTop w:val="0"/>
      <w:marBottom w:val="0"/>
      <w:divBdr>
        <w:top w:val="none" w:sz="0" w:space="0" w:color="auto"/>
        <w:left w:val="none" w:sz="0" w:space="0" w:color="auto"/>
        <w:bottom w:val="none" w:sz="0" w:space="0" w:color="auto"/>
        <w:right w:val="none" w:sz="0" w:space="0" w:color="auto"/>
      </w:divBdr>
    </w:div>
    <w:div w:id="381372876">
      <w:bodyDiv w:val="1"/>
      <w:marLeft w:val="0"/>
      <w:marRight w:val="0"/>
      <w:marTop w:val="0"/>
      <w:marBottom w:val="0"/>
      <w:divBdr>
        <w:top w:val="none" w:sz="0" w:space="0" w:color="auto"/>
        <w:left w:val="none" w:sz="0" w:space="0" w:color="auto"/>
        <w:bottom w:val="none" w:sz="0" w:space="0" w:color="auto"/>
        <w:right w:val="none" w:sz="0" w:space="0" w:color="auto"/>
      </w:divBdr>
    </w:div>
    <w:div w:id="382019299">
      <w:bodyDiv w:val="1"/>
      <w:marLeft w:val="0"/>
      <w:marRight w:val="0"/>
      <w:marTop w:val="0"/>
      <w:marBottom w:val="0"/>
      <w:divBdr>
        <w:top w:val="none" w:sz="0" w:space="0" w:color="auto"/>
        <w:left w:val="none" w:sz="0" w:space="0" w:color="auto"/>
        <w:bottom w:val="none" w:sz="0" w:space="0" w:color="auto"/>
        <w:right w:val="none" w:sz="0" w:space="0" w:color="auto"/>
      </w:divBdr>
    </w:div>
    <w:div w:id="382025047">
      <w:bodyDiv w:val="1"/>
      <w:marLeft w:val="0"/>
      <w:marRight w:val="0"/>
      <w:marTop w:val="0"/>
      <w:marBottom w:val="0"/>
      <w:divBdr>
        <w:top w:val="none" w:sz="0" w:space="0" w:color="auto"/>
        <w:left w:val="none" w:sz="0" w:space="0" w:color="auto"/>
        <w:bottom w:val="none" w:sz="0" w:space="0" w:color="auto"/>
        <w:right w:val="none" w:sz="0" w:space="0" w:color="auto"/>
      </w:divBdr>
    </w:div>
    <w:div w:id="382101060">
      <w:bodyDiv w:val="1"/>
      <w:marLeft w:val="0"/>
      <w:marRight w:val="0"/>
      <w:marTop w:val="0"/>
      <w:marBottom w:val="0"/>
      <w:divBdr>
        <w:top w:val="none" w:sz="0" w:space="0" w:color="auto"/>
        <w:left w:val="none" w:sz="0" w:space="0" w:color="auto"/>
        <w:bottom w:val="none" w:sz="0" w:space="0" w:color="auto"/>
        <w:right w:val="none" w:sz="0" w:space="0" w:color="auto"/>
      </w:divBdr>
    </w:div>
    <w:div w:id="382562189">
      <w:bodyDiv w:val="1"/>
      <w:marLeft w:val="0"/>
      <w:marRight w:val="0"/>
      <w:marTop w:val="0"/>
      <w:marBottom w:val="0"/>
      <w:divBdr>
        <w:top w:val="none" w:sz="0" w:space="0" w:color="auto"/>
        <w:left w:val="none" w:sz="0" w:space="0" w:color="auto"/>
        <w:bottom w:val="none" w:sz="0" w:space="0" w:color="auto"/>
        <w:right w:val="none" w:sz="0" w:space="0" w:color="auto"/>
      </w:divBdr>
    </w:div>
    <w:div w:id="382607239">
      <w:bodyDiv w:val="1"/>
      <w:marLeft w:val="0"/>
      <w:marRight w:val="0"/>
      <w:marTop w:val="0"/>
      <w:marBottom w:val="0"/>
      <w:divBdr>
        <w:top w:val="none" w:sz="0" w:space="0" w:color="auto"/>
        <w:left w:val="none" w:sz="0" w:space="0" w:color="auto"/>
        <w:bottom w:val="none" w:sz="0" w:space="0" w:color="auto"/>
        <w:right w:val="none" w:sz="0" w:space="0" w:color="auto"/>
      </w:divBdr>
    </w:div>
    <w:div w:id="382608252">
      <w:bodyDiv w:val="1"/>
      <w:marLeft w:val="0"/>
      <w:marRight w:val="0"/>
      <w:marTop w:val="0"/>
      <w:marBottom w:val="0"/>
      <w:divBdr>
        <w:top w:val="none" w:sz="0" w:space="0" w:color="auto"/>
        <w:left w:val="none" w:sz="0" w:space="0" w:color="auto"/>
        <w:bottom w:val="none" w:sz="0" w:space="0" w:color="auto"/>
        <w:right w:val="none" w:sz="0" w:space="0" w:color="auto"/>
      </w:divBdr>
    </w:div>
    <w:div w:id="382680644">
      <w:bodyDiv w:val="1"/>
      <w:marLeft w:val="0"/>
      <w:marRight w:val="0"/>
      <w:marTop w:val="0"/>
      <w:marBottom w:val="0"/>
      <w:divBdr>
        <w:top w:val="none" w:sz="0" w:space="0" w:color="auto"/>
        <w:left w:val="none" w:sz="0" w:space="0" w:color="auto"/>
        <w:bottom w:val="none" w:sz="0" w:space="0" w:color="auto"/>
        <w:right w:val="none" w:sz="0" w:space="0" w:color="auto"/>
      </w:divBdr>
    </w:div>
    <w:div w:id="382755741">
      <w:bodyDiv w:val="1"/>
      <w:marLeft w:val="0"/>
      <w:marRight w:val="0"/>
      <w:marTop w:val="0"/>
      <w:marBottom w:val="0"/>
      <w:divBdr>
        <w:top w:val="none" w:sz="0" w:space="0" w:color="auto"/>
        <w:left w:val="none" w:sz="0" w:space="0" w:color="auto"/>
        <w:bottom w:val="none" w:sz="0" w:space="0" w:color="auto"/>
        <w:right w:val="none" w:sz="0" w:space="0" w:color="auto"/>
      </w:divBdr>
    </w:div>
    <w:div w:id="382796161">
      <w:bodyDiv w:val="1"/>
      <w:marLeft w:val="0"/>
      <w:marRight w:val="0"/>
      <w:marTop w:val="0"/>
      <w:marBottom w:val="0"/>
      <w:divBdr>
        <w:top w:val="none" w:sz="0" w:space="0" w:color="auto"/>
        <w:left w:val="none" w:sz="0" w:space="0" w:color="auto"/>
        <w:bottom w:val="none" w:sz="0" w:space="0" w:color="auto"/>
        <w:right w:val="none" w:sz="0" w:space="0" w:color="auto"/>
      </w:divBdr>
    </w:div>
    <w:div w:id="382801206">
      <w:bodyDiv w:val="1"/>
      <w:marLeft w:val="0"/>
      <w:marRight w:val="0"/>
      <w:marTop w:val="0"/>
      <w:marBottom w:val="0"/>
      <w:divBdr>
        <w:top w:val="none" w:sz="0" w:space="0" w:color="auto"/>
        <w:left w:val="none" w:sz="0" w:space="0" w:color="auto"/>
        <w:bottom w:val="none" w:sz="0" w:space="0" w:color="auto"/>
        <w:right w:val="none" w:sz="0" w:space="0" w:color="auto"/>
      </w:divBdr>
    </w:div>
    <w:div w:id="382872370">
      <w:bodyDiv w:val="1"/>
      <w:marLeft w:val="0"/>
      <w:marRight w:val="0"/>
      <w:marTop w:val="0"/>
      <w:marBottom w:val="0"/>
      <w:divBdr>
        <w:top w:val="none" w:sz="0" w:space="0" w:color="auto"/>
        <w:left w:val="none" w:sz="0" w:space="0" w:color="auto"/>
        <w:bottom w:val="none" w:sz="0" w:space="0" w:color="auto"/>
        <w:right w:val="none" w:sz="0" w:space="0" w:color="auto"/>
      </w:divBdr>
    </w:div>
    <w:div w:id="382875220">
      <w:bodyDiv w:val="1"/>
      <w:marLeft w:val="0"/>
      <w:marRight w:val="0"/>
      <w:marTop w:val="0"/>
      <w:marBottom w:val="0"/>
      <w:divBdr>
        <w:top w:val="none" w:sz="0" w:space="0" w:color="auto"/>
        <w:left w:val="none" w:sz="0" w:space="0" w:color="auto"/>
        <w:bottom w:val="none" w:sz="0" w:space="0" w:color="auto"/>
        <w:right w:val="none" w:sz="0" w:space="0" w:color="auto"/>
      </w:divBdr>
    </w:div>
    <w:div w:id="383019265">
      <w:bodyDiv w:val="1"/>
      <w:marLeft w:val="0"/>
      <w:marRight w:val="0"/>
      <w:marTop w:val="0"/>
      <w:marBottom w:val="0"/>
      <w:divBdr>
        <w:top w:val="none" w:sz="0" w:space="0" w:color="auto"/>
        <w:left w:val="none" w:sz="0" w:space="0" w:color="auto"/>
        <w:bottom w:val="none" w:sz="0" w:space="0" w:color="auto"/>
        <w:right w:val="none" w:sz="0" w:space="0" w:color="auto"/>
      </w:divBdr>
    </w:div>
    <w:div w:id="383069697">
      <w:bodyDiv w:val="1"/>
      <w:marLeft w:val="0"/>
      <w:marRight w:val="0"/>
      <w:marTop w:val="0"/>
      <w:marBottom w:val="0"/>
      <w:divBdr>
        <w:top w:val="none" w:sz="0" w:space="0" w:color="auto"/>
        <w:left w:val="none" w:sz="0" w:space="0" w:color="auto"/>
        <w:bottom w:val="none" w:sz="0" w:space="0" w:color="auto"/>
        <w:right w:val="none" w:sz="0" w:space="0" w:color="auto"/>
      </w:divBdr>
    </w:div>
    <w:div w:id="383138392">
      <w:bodyDiv w:val="1"/>
      <w:marLeft w:val="0"/>
      <w:marRight w:val="0"/>
      <w:marTop w:val="0"/>
      <w:marBottom w:val="0"/>
      <w:divBdr>
        <w:top w:val="none" w:sz="0" w:space="0" w:color="auto"/>
        <w:left w:val="none" w:sz="0" w:space="0" w:color="auto"/>
        <w:bottom w:val="none" w:sz="0" w:space="0" w:color="auto"/>
        <w:right w:val="none" w:sz="0" w:space="0" w:color="auto"/>
      </w:divBdr>
    </w:div>
    <w:div w:id="383144280">
      <w:bodyDiv w:val="1"/>
      <w:marLeft w:val="0"/>
      <w:marRight w:val="0"/>
      <w:marTop w:val="0"/>
      <w:marBottom w:val="0"/>
      <w:divBdr>
        <w:top w:val="none" w:sz="0" w:space="0" w:color="auto"/>
        <w:left w:val="none" w:sz="0" w:space="0" w:color="auto"/>
        <w:bottom w:val="none" w:sz="0" w:space="0" w:color="auto"/>
        <w:right w:val="none" w:sz="0" w:space="0" w:color="auto"/>
      </w:divBdr>
    </w:div>
    <w:div w:id="383336182">
      <w:bodyDiv w:val="1"/>
      <w:marLeft w:val="0"/>
      <w:marRight w:val="0"/>
      <w:marTop w:val="0"/>
      <w:marBottom w:val="0"/>
      <w:divBdr>
        <w:top w:val="none" w:sz="0" w:space="0" w:color="auto"/>
        <w:left w:val="none" w:sz="0" w:space="0" w:color="auto"/>
        <w:bottom w:val="none" w:sz="0" w:space="0" w:color="auto"/>
        <w:right w:val="none" w:sz="0" w:space="0" w:color="auto"/>
      </w:divBdr>
    </w:div>
    <w:div w:id="383414265">
      <w:bodyDiv w:val="1"/>
      <w:marLeft w:val="0"/>
      <w:marRight w:val="0"/>
      <w:marTop w:val="0"/>
      <w:marBottom w:val="0"/>
      <w:divBdr>
        <w:top w:val="none" w:sz="0" w:space="0" w:color="auto"/>
        <w:left w:val="none" w:sz="0" w:space="0" w:color="auto"/>
        <w:bottom w:val="none" w:sz="0" w:space="0" w:color="auto"/>
        <w:right w:val="none" w:sz="0" w:space="0" w:color="auto"/>
      </w:divBdr>
    </w:div>
    <w:div w:id="383523434">
      <w:bodyDiv w:val="1"/>
      <w:marLeft w:val="0"/>
      <w:marRight w:val="0"/>
      <w:marTop w:val="0"/>
      <w:marBottom w:val="0"/>
      <w:divBdr>
        <w:top w:val="none" w:sz="0" w:space="0" w:color="auto"/>
        <w:left w:val="none" w:sz="0" w:space="0" w:color="auto"/>
        <w:bottom w:val="none" w:sz="0" w:space="0" w:color="auto"/>
        <w:right w:val="none" w:sz="0" w:space="0" w:color="auto"/>
      </w:divBdr>
    </w:div>
    <w:div w:id="383607271">
      <w:bodyDiv w:val="1"/>
      <w:marLeft w:val="0"/>
      <w:marRight w:val="0"/>
      <w:marTop w:val="0"/>
      <w:marBottom w:val="0"/>
      <w:divBdr>
        <w:top w:val="none" w:sz="0" w:space="0" w:color="auto"/>
        <w:left w:val="none" w:sz="0" w:space="0" w:color="auto"/>
        <w:bottom w:val="none" w:sz="0" w:space="0" w:color="auto"/>
        <w:right w:val="none" w:sz="0" w:space="0" w:color="auto"/>
      </w:divBdr>
    </w:div>
    <w:div w:id="383799013">
      <w:bodyDiv w:val="1"/>
      <w:marLeft w:val="0"/>
      <w:marRight w:val="0"/>
      <w:marTop w:val="0"/>
      <w:marBottom w:val="0"/>
      <w:divBdr>
        <w:top w:val="none" w:sz="0" w:space="0" w:color="auto"/>
        <w:left w:val="none" w:sz="0" w:space="0" w:color="auto"/>
        <w:bottom w:val="none" w:sz="0" w:space="0" w:color="auto"/>
        <w:right w:val="none" w:sz="0" w:space="0" w:color="auto"/>
      </w:divBdr>
    </w:div>
    <w:div w:id="383918459">
      <w:bodyDiv w:val="1"/>
      <w:marLeft w:val="0"/>
      <w:marRight w:val="0"/>
      <w:marTop w:val="0"/>
      <w:marBottom w:val="0"/>
      <w:divBdr>
        <w:top w:val="none" w:sz="0" w:space="0" w:color="auto"/>
        <w:left w:val="none" w:sz="0" w:space="0" w:color="auto"/>
        <w:bottom w:val="none" w:sz="0" w:space="0" w:color="auto"/>
        <w:right w:val="none" w:sz="0" w:space="0" w:color="auto"/>
      </w:divBdr>
    </w:div>
    <w:div w:id="384066127">
      <w:bodyDiv w:val="1"/>
      <w:marLeft w:val="0"/>
      <w:marRight w:val="0"/>
      <w:marTop w:val="0"/>
      <w:marBottom w:val="0"/>
      <w:divBdr>
        <w:top w:val="none" w:sz="0" w:space="0" w:color="auto"/>
        <w:left w:val="none" w:sz="0" w:space="0" w:color="auto"/>
        <w:bottom w:val="none" w:sz="0" w:space="0" w:color="auto"/>
        <w:right w:val="none" w:sz="0" w:space="0" w:color="auto"/>
      </w:divBdr>
    </w:div>
    <w:div w:id="384372565">
      <w:bodyDiv w:val="1"/>
      <w:marLeft w:val="0"/>
      <w:marRight w:val="0"/>
      <w:marTop w:val="0"/>
      <w:marBottom w:val="0"/>
      <w:divBdr>
        <w:top w:val="none" w:sz="0" w:space="0" w:color="auto"/>
        <w:left w:val="none" w:sz="0" w:space="0" w:color="auto"/>
        <w:bottom w:val="none" w:sz="0" w:space="0" w:color="auto"/>
        <w:right w:val="none" w:sz="0" w:space="0" w:color="auto"/>
      </w:divBdr>
    </w:div>
    <w:div w:id="384522474">
      <w:bodyDiv w:val="1"/>
      <w:marLeft w:val="0"/>
      <w:marRight w:val="0"/>
      <w:marTop w:val="0"/>
      <w:marBottom w:val="0"/>
      <w:divBdr>
        <w:top w:val="none" w:sz="0" w:space="0" w:color="auto"/>
        <w:left w:val="none" w:sz="0" w:space="0" w:color="auto"/>
        <w:bottom w:val="none" w:sz="0" w:space="0" w:color="auto"/>
        <w:right w:val="none" w:sz="0" w:space="0" w:color="auto"/>
      </w:divBdr>
    </w:div>
    <w:div w:id="384645521">
      <w:bodyDiv w:val="1"/>
      <w:marLeft w:val="0"/>
      <w:marRight w:val="0"/>
      <w:marTop w:val="0"/>
      <w:marBottom w:val="0"/>
      <w:divBdr>
        <w:top w:val="none" w:sz="0" w:space="0" w:color="auto"/>
        <w:left w:val="none" w:sz="0" w:space="0" w:color="auto"/>
        <w:bottom w:val="none" w:sz="0" w:space="0" w:color="auto"/>
        <w:right w:val="none" w:sz="0" w:space="0" w:color="auto"/>
      </w:divBdr>
    </w:div>
    <w:div w:id="384720684">
      <w:bodyDiv w:val="1"/>
      <w:marLeft w:val="0"/>
      <w:marRight w:val="0"/>
      <w:marTop w:val="0"/>
      <w:marBottom w:val="0"/>
      <w:divBdr>
        <w:top w:val="none" w:sz="0" w:space="0" w:color="auto"/>
        <w:left w:val="none" w:sz="0" w:space="0" w:color="auto"/>
        <w:bottom w:val="none" w:sz="0" w:space="0" w:color="auto"/>
        <w:right w:val="none" w:sz="0" w:space="0" w:color="auto"/>
      </w:divBdr>
    </w:div>
    <w:div w:id="384767632">
      <w:bodyDiv w:val="1"/>
      <w:marLeft w:val="0"/>
      <w:marRight w:val="0"/>
      <w:marTop w:val="0"/>
      <w:marBottom w:val="0"/>
      <w:divBdr>
        <w:top w:val="none" w:sz="0" w:space="0" w:color="auto"/>
        <w:left w:val="none" w:sz="0" w:space="0" w:color="auto"/>
        <w:bottom w:val="none" w:sz="0" w:space="0" w:color="auto"/>
        <w:right w:val="none" w:sz="0" w:space="0" w:color="auto"/>
      </w:divBdr>
    </w:div>
    <w:div w:id="384984576">
      <w:bodyDiv w:val="1"/>
      <w:marLeft w:val="0"/>
      <w:marRight w:val="0"/>
      <w:marTop w:val="0"/>
      <w:marBottom w:val="0"/>
      <w:divBdr>
        <w:top w:val="none" w:sz="0" w:space="0" w:color="auto"/>
        <w:left w:val="none" w:sz="0" w:space="0" w:color="auto"/>
        <w:bottom w:val="none" w:sz="0" w:space="0" w:color="auto"/>
        <w:right w:val="none" w:sz="0" w:space="0" w:color="auto"/>
      </w:divBdr>
    </w:div>
    <w:div w:id="385110409">
      <w:bodyDiv w:val="1"/>
      <w:marLeft w:val="0"/>
      <w:marRight w:val="0"/>
      <w:marTop w:val="0"/>
      <w:marBottom w:val="0"/>
      <w:divBdr>
        <w:top w:val="none" w:sz="0" w:space="0" w:color="auto"/>
        <w:left w:val="none" w:sz="0" w:space="0" w:color="auto"/>
        <w:bottom w:val="none" w:sz="0" w:space="0" w:color="auto"/>
        <w:right w:val="none" w:sz="0" w:space="0" w:color="auto"/>
      </w:divBdr>
    </w:div>
    <w:div w:id="385489386">
      <w:bodyDiv w:val="1"/>
      <w:marLeft w:val="0"/>
      <w:marRight w:val="0"/>
      <w:marTop w:val="0"/>
      <w:marBottom w:val="0"/>
      <w:divBdr>
        <w:top w:val="none" w:sz="0" w:space="0" w:color="auto"/>
        <w:left w:val="none" w:sz="0" w:space="0" w:color="auto"/>
        <w:bottom w:val="none" w:sz="0" w:space="0" w:color="auto"/>
        <w:right w:val="none" w:sz="0" w:space="0" w:color="auto"/>
      </w:divBdr>
    </w:div>
    <w:div w:id="385566093">
      <w:bodyDiv w:val="1"/>
      <w:marLeft w:val="0"/>
      <w:marRight w:val="0"/>
      <w:marTop w:val="0"/>
      <w:marBottom w:val="0"/>
      <w:divBdr>
        <w:top w:val="none" w:sz="0" w:space="0" w:color="auto"/>
        <w:left w:val="none" w:sz="0" w:space="0" w:color="auto"/>
        <w:bottom w:val="none" w:sz="0" w:space="0" w:color="auto"/>
        <w:right w:val="none" w:sz="0" w:space="0" w:color="auto"/>
      </w:divBdr>
    </w:div>
    <w:div w:id="385685703">
      <w:bodyDiv w:val="1"/>
      <w:marLeft w:val="0"/>
      <w:marRight w:val="0"/>
      <w:marTop w:val="0"/>
      <w:marBottom w:val="0"/>
      <w:divBdr>
        <w:top w:val="none" w:sz="0" w:space="0" w:color="auto"/>
        <w:left w:val="none" w:sz="0" w:space="0" w:color="auto"/>
        <w:bottom w:val="none" w:sz="0" w:space="0" w:color="auto"/>
        <w:right w:val="none" w:sz="0" w:space="0" w:color="auto"/>
      </w:divBdr>
    </w:div>
    <w:div w:id="385877130">
      <w:bodyDiv w:val="1"/>
      <w:marLeft w:val="0"/>
      <w:marRight w:val="0"/>
      <w:marTop w:val="0"/>
      <w:marBottom w:val="0"/>
      <w:divBdr>
        <w:top w:val="none" w:sz="0" w:space="0" w:color="auto"/>
        <w:left w:val="none" w:sz="0" w:space="0" w:color="auto"/>
        <w:bottom w:val="none" w:sz="0" w:space="0" w:color="auto"/>
        <w:right w:val="none" w:sz="0" w:space="0" w:color="auto"/>
      </w:divBdr>
    </w:div>
    <w:div w:id="385956827">
      <w:bodyDiv w:val="1"/>
      <w:marLeft w:val="0"/>
      <w:marRight w:val="0"/>
      <w:marTop w:val="0"/>
      <w:marBottom w:val="0"/>
      <w:divBdr>
        <w:top w:val="none" w:sz="0" w:space="0" w:color="auto"/>
        <w:left w:val="none" w:sz="0" w:space="0" w:color="auto"/>
        <w:bottom w:val="none" w:sz="0" w:space="0" w:color="auto"/>
        <w:right w:val="none" w:sz="0" w:space="0" w:color="auto"/>
      </w:divBdr>
    </w:div>
    <w:div w:id="386027521">
      <w:bodyDiv w:val="1"/>
      <w:marLeft w:val="0"/>
      <w:marRight w:val="0"/>
      <w:marTop w:val="0"/>
      <w:marBottom w:val="0"/>
      <w:divBdr>
        <w:top w:val="none" w:sz="0" w:space="0" w:color="auto"/>
        <w:left w:val="none" w:sz="0" w:space="0" w:color="auto"/>
        <w:bottom w:val="none" w:sz="0" w:space="0" w:color="auto"/>
        <w:right w:val="none" w:sz="0" w:space="0" w:color="auto"/>
      </w:divBdr>
    </w:div>
    <w:div w:id="386031497">
      <w:bodyDiv w:val="1"/>
      <w:marLeft w:val="0"/>
      <w:marRight w:val="0"/>
      <w:marTop w:val="0"/>
      <w:marBottom w:val="0"/>
      <w:divBdr>
        <w:top w:val="none" w:sz="0" w:space="0" w:color="auto"/>
        <w:left w:val="none" w:sz="0" w:space="0" w:color="auto"/>
        <w:bottom w:val="none" w:sz="0" w:space="0" w:color="auto"/>
        <w:right w:val="none" w:sz="0" w:space="0" w:color="auto"/>
      </w:divBdr>
    </w:div>
    <w:div w:id="386073997">
      <w:bodyDiv w:val="1"/>
      <w:marLeft w:val="0"/>
      <w:marRight w:val="0"/>
      <w:marTop w:val="0"/>
      <w:marBottom w:val="0"/>
      <w:divBdr>
        <w:top w:val="none" w:sz="0" w:space="0" w:color="auto"/>
        <w:left w:val="none" w:sz="0" w:space="0" w:color="auto"/>
        <w:bottom w:val="none" w:sz="0" w:space="0" w:color="auto"/>
        <w:right w:val="none" w:sz="0" w:space="0" w:color="auto"/>
      </w:divBdr>
    </w:div>
    <w:div w:id="386075122">
      <w:bodyDiv w:val="1"/>
      <w:marLeft w:val="0"/>
      <w:marRight w:val="0"/>
      <w:marTop w:val="0"/>
      <w:marBottom w:val="0"/>
      <w:divBdr>
        <w:top w:val="none" w:sz="0" w:space="0" w:color="auto"/>
        <w:left w:val="none" w:sz="0" w:space="0" w:color="auto"/>
        <w:bottom w:val="none" w:sz="0" w:space="0" w:color="auto"/>
        <w:right w:val="none" w:sz="0" w:space="0" w:color="auto"/>
      </w:divBdr>
    </w:div>
    <w:div w:id="386296878">
      <w:bodyDiv w:val="1"/>
      <w:marLeft w:val="0"/>
      <w:marRight w:val="0"/>
      <w:marTop w:val="0"/>
      <w:marBottom w:val="0"/>
      <w:divBdr>
        <w:top w:val="none" w:sz="0" w:space="0" w:color="auto"/>
        <w:left w:val="none" w:sz="0" w:space="0" w:color="auto"/>
        <w:bottom w:val="none" w:sz="0" w:space="0" w:color="auto"/>
        <w:right w:val="none" w:sz="0" w:space="0" w:color="auto"/>
      </w:divBdr>
    </w:div>
    <w:div w:id="386343954">
      <w:bodyDiv w:val="1"/>
      <w:marLeft w:val="0"/>
      <w:marRight w:val="0"/>
      <w:marTop w:val="0"/>
      <w:marBottom w:val="0"/>
      <w:divBdr>
        <w:top w:val="none" w:sz="0" w:space="0" w:color="auto"/>
        <w:left w:val="none" w:sz="0" w:space="0" w:color="auto"/>
        <w:bottom w:val="none" w:sz="0" w:space="0" w:color="auto"/>
        <w:right w:val="none" w:sz="0" w:space="0" w:color="auto"/>
      </w:divBdr>
    </w:div>
    <w:div w:id="386416117">
      <w:bodyDiv w:val="1"/>
      <w:marLeft w:val="0"/>
      <w:marRight w:val="0"/>
      <w:marTop w:val="0"/>
      <w:marBottom w:val="0"/>
      <w:divBdr>
        <w:top w:val="none" w:sz="0" w:space="0" w:color="auto"/>
        <w:left w:val="none" w:sz="0" w:space="0" w:color="auto"/>
        <w:bottom w:val="none" w:sz="0" w:space="0" w:color="auto"/>
        <w:right w:val="none" w:sz="0" w:space="0" w:color="auto"/>
      </w:divBdr>
    </w:div>
    <w:div w:id="386491480">
      <w:bodyDiv w:val="1"/>
      <w:marLeft w:val="0"/>
      <w:marRight w:val="0"/>
      <w:marTop w:val="0"/>
      <w:marBottom w:val="0"/>
      <w:divBdr>
        <w:top w:val="none" w:sz="0" w:space="0" w:color="auto"/>
        <w:left w:val="none" w:sz="0" w:space="0" w:color="auto"/>
        <w:bottom w:val="none" w:sz="0" w:space="0" w:color="auto"/>
        <w:right w:val="none" w:sz="0" w:space="0" w:color="auto"/>
      </w:divBdr>
    </w:div>
    <w:div w:id="386612921">
      <w:bodyDiv w:val="1"/>
      <w:marLeft w:val="0"/>
      <w:marRight w:val="0"/>
      <w:marTop w:val="0"/>
      <w:marBottom w:val="0"/>
      <w:divBdr>
        <w:top w:val="none" w:sz="0" w:space="0" w:color="auto"/>
        <w:left w:val="none" w:sz="0" w:space="0" w:color="auto"/>
        <w:bottom w:val="none" w:sz="0" w:space="0" w:color="auto"/>
        <w:right w:val="none" w:sz="0" w:space="0" w:color="auto"/>
      </w:divBdr>
    </w:div>
    <w:div w:id="386730459">
      <w:bodyDiv w:val="1"/>
      <w:marLeft w:val="0"/>
      <w:marRight w:val="0"/>
      <w:marTop w:val="0"/>
      <w:marBottom w:val="0"/>
      <w:divBdr>
        <w:top w:val="none" w:sz="0" w:space="0" w:color="auto"/>
        <w:left w:val="none" w:sz="0" w:space="0" w:color="auto"/>
        <w:bottom w:val="none" w:sz="0" w:space="0" w:color="auto"/>
        <w:right w:val="none" w:sz="0" w:space="0" w:color="auto"/>
      </w:divBdr>
    </w:div>
    <w:div w:id="386805281">
      <w:bodyDiv w:val="1"/>
      <w:marLeft w:val="0"/>
      <w:marRight w:val="0"/>
      <w:marTop w:val="0"/>
      <w:marBottom w:val="0"/>
      <w:divBdr>
        <w:top w:val="none" w:sz="0" w:space="0" w:color="auto"/>
        <w:left w:val="none" w:sz="0" w:space="0" w:color="auto"/>
        <w:bottom w:val="none" w:sz="0" w:space="0" w:color="auto"/>
        <w:right w:val="none" w:sz="0" w:space="0" w:color="auto"/>
      </w:divBdr>
    </w:div>
    <w:div w:id="387001737">
      <w:bodyDiv w:val="1"/>
      <w:marLeft w:val="0"/>
      <w:marRight w:val="0"/>
      <w:marTop w:val="0"/>
      <w:marBottom w:val="0"/>
      <w:divBdr>
        <w:top w:val="none" w:sz="0" w:space="0" w:color="auto"/>
        <w:left w:val="none" w:sz="0" w:space="0" w:color="auto"/>
        <w:bottom w:val="none" w:sz="0" w:space="0" w:color="auto"/>
        <w:right w:val="none" w:sz="0" w:space="0" w:color="auto"/>
      </w:divBdr>
    </w:div>
    <w:div w:id="387146056">
      <w:bodyDiv w:val="1"/>
      <w:marLeft w:val="0"/>
      <w:marRight w:val="0"/>
      <w:marTop w:val="0"/>
      <w:marBottom w:val="0"/>
      <w:divBdr>
        <w:top w:val="none" w:sz="0" w:space="0" w:color="auto"/>
        <w:left w:val="none" w:sz="0" w:space="0" w:color="auto"/>
        <w:bottom w:val="none" w:sz="0" w:space="0" w:color="auto"/>
        <w:right w:val="none" w:sz="0" w:space="0" w:color="auto"/>
      </w:divBdr>
    </w:div>
    <w:div w:id="387147045">
      <w:bodyDiv w:val="1"/>
      <w:marLeft w:val="0"/>
      <w:marRight w:val="0"/>
      <w:marTop w:val="0"/>
      <w:marBottom w:val="0"/>
      <w:divBdr>
        <w:top w:val="none" w:sz="0" w:space="0" w:color="auto"/>
        <w:left w:val="none" w:sz="0" w:space="0" w:color="auto"/>
        <w:bottom w:val="none" w:sz="0" w:space="0" w:color="auto"/>
        <w:right w:val="none" w:sz="0" w:space="0" w:color="auto"/>
      </w:divBdr>
    </w:div>
    <w:div w:id="387270478">
      <w:bodyDiv w:val="1"/>
      <w:marLeft w:val="0"/>
      <w:marRight w:val="0"/>
      <w:marTop w:val="0"/>
      <w:marBottom w:val="0"/>
      <w:divBdr>
        <w:top w:val="none" w:sz="0" w:space="0" w:color="auto"/>
        <w:left w:val="none" w:sz="0" w:space="0" w:color="auto"/>
        <w:bottom w:val="none" w:sz="0" w:space="0" w:color="auto"/>
        <w:right w:val="none" w:sz="0" w:space="0" w:color="auto"/>
      </w:divBdr>
    </w:div>
    <w:div w:id="387581623">
      <w:bodyDiv w:val="1"/>
      <w:marLeft w:val="0"/>
      <w:marRight w:val="0"/>
      <w:marTop w:val="0"/>
      <w:marBottom w:val="0"/>
      <w:divBdr>
        <w:top w:val="none" w:sz="0" w:space="0" w:color="auto"/>
        <w:left w:val="none" w:sz="0" w:space="0" w:color="auto"/>
        <w:bottom w:val="none" w:sz="0" w:space="0" w:color="auto"/>
        <w:right w:val="none" w:sz="0" w:space="0" w:color="auto"/>
      </w:divBdr>
    </w:div>
    <w:div w:id="387612139">
      <w:bodyDiv w:val="1"/>
      <w:marLeft w:val="0"/>
      <w:marRight w:val="0"/>
      <w:marTop w:val="0"/>
      <w:marBottom w:val="0"/>
      <w:divBdr>
        <w:top w:val="none" w:sz="0" w:space="0" w:color="auto"/>
        <w:left w:val="none" w:sz="0" w:space="0" w:color="auto"/>
        <w:bottom w:val="none" w:sz="0" w:space="0" w:color="auto"/>
        <w:right w:val="none" w:sz="0" w:space="0" w:color="auto"/>
      </w:divBdr>
    </w:div>
    <w:div w:id="387652813">
      <w:bodyDiv w:val="1"/>
      <w:marLeft w:val="0"/>
      <w:marRight w:val="0"/>
      <w:marTop w:val="0"/>
      <w:marBottom w:val="0"/>
      <w:divBdr>
        <w:top w:val="none" w:sz="0" w:space="0" w:color="auto"/>
        <w:left w:val="none" w:sz="0" w:space="0" w:color="auto"/>
        <w:bottom w:val="none" w:sz="0" w:space="0" w:color="auto"/>
        <w:right w:val="none" w:sz="0" w:space="0" w:color="auto"/>
      </w:divBdr>
    </w:div>
    <w:div w:id="387803700">
      <w:bodyDiv w:val="1"/>
      <w:marLeft w:val="0"/>
      <w:marRight w:val="0"/>
      <w:marTop w:val="0"/>
      <w:marBottom w:val="0"/>
      <w:divBdr>
        <w:top w:val="none" w:sz="0" w:space="0" w:color="auto"/>
        <w:left w:val="none" w:sz="0" w:space="0" w:color="auto"/>
        <w:bottom w:val="none" w:sz="0" w:space="0" w:color="auto"/>
        <w:right w:val="none" w:sz="0" w:space="0" w:color="auto"/>
      </w:divBdr>
    </w:div>
    <w:div w:id="387917642">
      <w:bodyDiv w:val="1"/>
      <w:marLeft w:val="0"/>
      <w:marRight w:val="0"/>
      <w:marTop w:val="0"/>
      <w:marBottom w:val="0"/>
      <w:divBdr>
        <w:top w:val="none" w:sz="0" w:space="0" w:color="auto"/>
        <w:left w:val="none" w:sz="0" w:space="0" w:color="auto"/>
        <w:bottom w:val="none" w:sz="0" w:space="0" w:color="auto"/>
        <w:right w:val="none" w:sz="0" w:space="0" w:color="auto"/>
      </w:divBdr>
    </w:div>
    <w:div w:id="387995990">
      <w:bodyDiv w:val="1"/>
      <w:marLeft w:val="0"/>
      <w:marRight w:val="0"/>
      <w:marTop w:val="0"/>
      <w:marBottom w:val="0"/>
      <w:divBdr>
        <w:top w:val="none" w:sz="0" w:space="0" w:color="auto"/>
        <w:left w:val="none" w:sz="0" w:space="0" w:color="auto"/>
        <w:bottom w:val="none" w:sz="0" w:space="0" w:color="auto"/>
        <w:right w:val="none" w:sz="0" w:space="0" w:color="auto"/>
      </w:divBdr>
    </w:div>
    <w:div w:id="388068424">
      <w:bodyDiv w:val="1"/>
      <w:marLeft w:val="0"/>
      <w:marRight w:val="0"/>
      <w:marTop w:val="0"/>
      <w:marBottom w:val="0"/>
      <w:divBdr>
        <w:top w:val="none" w:sz="0" w:space="0" w:color="auto"/>
        <w:left w:val="none" w:sz="0" w:space="0" w:color="auto"/>
        <w:bottom w:val="none" w:sz="0" w:space="0" w:color="auto"/>
        <w:right w:val="none" w:sz="0" w:space="0" w:color="auto"/>
      </w:divBdr>
    </w:div>
    <w:div w:id="388110578">
      <w:bodyDiv w:val="1"/>
      <w:marLeft w:val="0"/>
      <w:marRight w:val="0"/>
      <w:marTop w:val="0"/>
      <w:marBottom w:val="0"/>
      <w:divBdr>
        <w:top w:val="none" w:sz="0" w:space="0" w:color="auto"/>
        <w:left w:val="none" w:sz="0" w:space="0" w:color="auto"/>
        <w:bottom w:val="none" w:sz="0" w:space="0" w:color="auto"/>
        <w:right w:val="none" w:sz="0" w:space="0" w:color="auto"/>
      </w:divBdr>
    </w:div>
    <w:div w:id="388188704">
      <w:bodyDiv w:val="1"/>
      <w:marLeft w:val="0"/>
      <w:marRight w:val="0"/>
      <w:marTop w:val="0"/>
      <w:marBottom w:val="0"/>
      <w:divBdr>
        <w:top w:val="none" w:sz="0" w:space="0" w:color="auto"/>
        <w:left w:val="none" w:sz="0" w:space="0" w:color="auto"/>
        <w:bottom w:val="none" w:sz="0" w:space="0" w:color="auto"/>
        <w:right w:val="none" w:sz="0" w:space="0" w:color="auto"/>
      </w:divBdr>
    </w:div>
    <w:div w:id="388189615">
      <w:bodyDiv w:val="1"/>
      <w:marLeft w:val="0"/>
      <w:marRight w:val="0"/>
      <w:marTop w:val="0"/>
      <w:marBottom w:val="0"/>
      <w:divBdr>
        <w:top w:val="none" w:sz="0" w:space="0" w:color="auto"/>
        <w:left w:val="none" w:sz="0" w:space="0" w:color="auto"/>
        <w:bottom w:val="none" w:sz="0" w:space="0" w:color="auto"/>
        <w:right w:val="none" w:sz="0" w:space="0" w:color="auto"/>
      </w:divBdr>
    </w:div>
    <w:div w:id="388267144">
      <w:bodyDiv w:val="1"/>
      <w:marLeft w:val="0"/>
      <w:marRight w:val="0"/>
      <w:marTop w:val="0"/>
      <w:marBottom w:val="0"/>
      <w:divBdr>
        <w:top w:val="none" w:sz="0" w:space="0" w:color="auto"/>
        <w:left w:val="none" w:sz="0" w:space="0" w:color="auto"/>
        <w:bottom w:val="none" w:sz="0" w:space="0" w:color="auto"/>
        <w:right w:val="none" w:sz="0" w:space="0" w:color="auto"/>
      </w:divBdr>
    </w:div>
    <w:div w:id="388497740">
      <w:bodyDiv w:val="1"/>
      <w:marLeft w:val="0"/>
      <w:marRight w:val="0"/>
      <w:marTop w:val="0"/>
      <w:marBottom w:val="0"/>
      <w:divBdr>
        <w:top w:val="none" w:sz="0" w:space="0" w:color="auto"/>
        <w:left w:val="none" w:sz="0" w:space="0" w:color="auto"/>
        <w:bottom w:val="none" w:sz="0" w:space="0" w:color="auto"/>
        <w:right w:val="none" w:sz="0" w:space="0" w:color="auto"/>
      </w:divBdr>
    </w:div>
    <w:div w:id="388501047">
      <w:bodyDiv w:val="1"/>
      <w:marLeft w:val="0"/>
      <w:marRight w:val="0"/>
      <w:marTop w:val="0"/>
      <w:marBottom w:val="0"/>
      <w:divBdr>
        <w:top w:val="none" w:sz="0" w:space="0" w:color="auto"/>
        <w:left w:val="none" w:sz="0" w:space="0" w:color="auto"/>
        <w:bottom w:val="none" w:sz="0" w:space="0" w:color="auto"/>
        <w:right w:val="none" w:sz="0" w:space="0" w:color="auto"/>
      </w:divBdr>
    </w:div>
    <w:div w:id="388724110">
      <w:bodyDiv w:val="1"/>
      <w:marLeft w:val="0"/>
      <w:marRight w:val="0"/>
      <w:marTop w:val="0"/>
      <w:marBottom w:val="0"/>
      <w:divBdr>
        <w:top w:val="none" w:sz="0" w:space="0" w:color="auto"/>
        <w:left w:val="none" w:sz="0" w:space="0" w:color="auto"/>
        <w:bottom w:val="none" w:sz="0" w:space="0" w:color="auto"/>
        <w:right w:val="none" w:sz="0" w:space="0" w:color="auto"/>
      </w:divBdr>
    </w:div>
    <w:div w:id="388849437">
      <w:bodyDiv w:val="1"/>
      <w:marLeft w:val="0"/>
      <w:marRight w:val="0"/>
      <w:marTop w:val="0"/>
      <w:marBottom w:val="0"/>
      <w:divBdr>
        <w:top w:val="none" w:sz="0" w:space="0" w:color="auto"/>
        <w:left w:val="none" w:sz="0" w:space="0" w:color="auto"/>
        <w:bottom w:val="none" w:sz="0" w:space="0" w:color="auto"/>
        <w:right w:val="none" w:sz="0" w:space="0" w:color="auto"/>
      </w:divBdr>
    </w:div>
    <w:div w:id="388961691">
      <w:bodyDiv w:val="1"/>
      <w:marLeft w:val="0"/>
      <w:marRight w:val="0"/>
      <w:marTop w:val="0"/>
      <w:marBottom w:val="0"/>
      <w:divBdr>
        <w:top w:val="none" w:sz="0" w:space="0" w:color="auto"/>
        <w:left w:val="none" w:sz="0" w:space="0" w:color="auto"/>
        <w:bottom w:val="none" w:sz="0" w:space="0" w:color="auto"/>
        <w:right w:val="none" w:sz="0" w:space="0" w:color="auto"/>
      </w:divBdr>
    </w:div>
    <w:div w:id="388966198">
      <w:bodyDiv w:val="1"/>
      <w:marLeft w:val="0"/>
      <w:marRight w:val="0"/>
      <w:marTop w:val="0"/>
      <w:marBottom w:val="0"/>
      <w:divBdr>
        <w:top w:val="none" w:sz="0" w:space="0" w:color="auto"/>
        <w:left w:val="none" w:sz="0" w:space="0" w:color="auto"/>
        <w:bottom w:val="none" w:sz="0" w:space="0" w:color="auto"/>
        <w:right w:val="none" w:sz="0" w:space="0" w:color="auto"/>
      </w:divBdr>
    </w:div>
    <w:div w:id="389038092">
      <w:bodyDiv w:val="1"/>
      <w:marLeft w:val="0"/>
      <w:marRight w:val="0"/>
      <w:marTop w:val="0"/>
      <w:marBottom w:val="0"/>
      <w:divBdr>
        <w:top w:val="none" w:sz="0" w:space="0" w:color="auto"/>
        <w:left w:val="none" w:sz="0" w:space="0" w:color="auto"/>
        <w:bottom w:val="none" w:sz="0" w:space="0" w:color="auto"/>
        <w:right w:val="none" w:sz="0" w:space="0" w:color="auto"/>
      </w:divBdr>
    </w:div>
    <w:div w:id="389109411">
      <w:bodyDiv w:val="1"/>
      <w:marLeft w:val="0"/>
      <w:marRight w:val="0"/>
      <w:marTop w:val="0"/>
      <w:marBottom w:val="0"/>
      <w:divBdr>
        <w:top w:val="none" w:sz="0" w:space="0" w:color="auto"/>
        <w:left w:val="none" w:sz="0" w:space="0" w:color="auto"/>
        <w:bottom w:val="none" w:sz="0" w:space="0" w:color="auto"/>
        <w:right w:val="none" w:sz="0" w:space="0" w:color="auto"/>
      </w:divBdr>
    </w:div>
    <w:div w:id="389113349">
      <w:bodyDiv w:val="1"/>
      <w:marLeft w:val="0"/>
      <w:marRight w:val="0"/>
      <w:marTop w:val="0"/>
      <w:marBottom w:val="0"/>
      <w:divBdr>
        <w:top w:val="none" w:sz="0" w:space="0" w:color="auto"/>
        <w:left w:val="none" w:sz="0" w:space="0" w:color="auto"/>
        <w:bottom w:val="none" w:sz="0" w:space="0" w:color="auto"/>
        <w:right w:val="none" w:sz="0" w:space="0" w:color="auto"/>
      </w:divBdr>
    </w:div>
    <w:div w:id="389153738">
      <w:bodyDiv w:val="1"/>
      <w:marLeft w:val="0"/>
      <w:marRight w:val="0"/>
      <w:marTop w:val="0"/>
      <w:marBottom w:val="0"/>
      <w:divBdr>
        <w:top w:val="none" w:sz="0" w:space="0" w:color="auto"/>
        <w:left w:val="none" w:sz="0" w:space="0" w:color="auto"/>
        <w:bottom w:val="none" w:sz="0" w:space="0" w:color="auto"/>
        <w:right w:val="none" w:sz="0" w:space="0" w:color="auto"/>
      </w:divBdr>
    </w:div>
    <w:div w:id="389160159">
      <w:bodyDiv w:val="1"/>
      <w:marLeft w:val="0"/>
      <w:marRight w:val="0"/>
      <w:marTop w:val="0"/>
      <w:marBottom w:val="0"/>
      <w:divBdr>
        <w:top w:val="none" w:sz="0" w:space="0" w:color="auto"/>
        <w:left w:val="none" w:sz="0" w:space="0" w:color="auto"/>
        <w:bottom w:val="none" w:sz="0" w:space="0" w:color="auto"/>
        <w:right w:val="none" w:sz="0" w:space="0" w:color="auto"/>
      </w:divBdr>
    </w:div>
    <w:div w:id="389233560">
      <w:bodyDiv w:val="1"/>
      <w:marLeft w:val="0"/>
      <w:marRight w:val="0"/>
      <w:marTop w:val="0"/>
      <w:marBottom w:val="0"/>
      <w:divBdr>
        <w:top w:val="none" w:sz="0" w:space="0" w:color="auto"/>
        <w:left w:val="none" w:sz="0" w:space="0" w:color="auto"/>
        <w:bottom w:val="none" w:sz="0" w:space="0" w:color="auto"/>
        <w:right w:val="none" w:sz="0" w:space="0" w:color="auto"/>
      </w:divBdr>
    </w:div>
    <w:div w:id="389303633">
      <w:bodyDiv w:val="1"/>
      <w:marLeft w:val="0"/>
      <w:marRight w:val="0"/>
      <w:marTop w:val="0"/>
      <w:marBottom w:val="0"/>
      <w:divBdr>
        <w:top w:val="none" w:sz="0" w:space="0" w:color="auto"/>
        <w:left w:val="none" w:sz="0" w:space="0" w:color="auto"/>
        <w:bottom w:val="none" w:sz="0" w:space="0" w:color="auto"/>
        <w:right w:val="none" w:sz="0" w:space="0" w:color="auto"/>
      </w:divBdr>
    </w:div>
    <w:div w:id="389311142">
      <w:bodyDiv w:val="1"/>
      <w:marLeft w:val="0"/>
      <w:marRight w:val="0"/>
      <w:marTop w:val="0"/>
      <w:marBottom w:val="0"/>
      <w:divBdr>
        <w:top w:val="none" w:sz="0" w:space="0" w:color="auto"/>
        <w:left w:val="none" w:sz="0" w:space="0" w:color="auto"/>
        <w:bottom w:val="none" w:sz="0" w:space="0" w:color="auto"/>
        <w:right w:val="none" w:sz="0" w:space="0" w:color="auto"/>
      </w:divBdr>
    </w:div>
    <w:div w:id="389504129">
      <w:bodyDiv w:val="1"/>
      <w:marLeft w:val="0"/>
      <w:marRight w:val="0"/>
      <w:marTop w:val="0"/>
      <w:marBottom w:val="0"/>
      <w:divBdr>
        <w:top w:val="none" w:sz="0" w:space="0" w:color="auto"/>
        <w:left w:val="none" w:sz="0" w:space="0" w:color="auto"/>
        <w:bottom w:val="none" w:sz="0" w:space="0" w:color="auto"/>
        <w:right w:val="none" w:sz="0" w:space="0" w:color="auto"/>
      </w:divBdr>
    </w:div>
    <w:div w:id="389962694">
      <w:bodyDiv w:val="1"/>
      <w:marLeft w:val="0"/>
      <w:marRight w:val="0"/>
      <w:marTop w:val="0"/>
      <w:marBottom w:val="0"/>
      <w:divBdr>
        <w:top w:val="none" w:sz="0" w:space="0" w:color="auto"/>
        <w:left w:val="none" w:sz="0" w:space="0" w:color="auto"/>
        <w:bottom w:val="none" w:sz="0" w:space="0" w:color="auto"/>
        <w:right w:val="none" w:sz="0" w:space="0" w:color="auto"/>
      </w:divBdr>
    </w:div>
    <w:div w:id="389963741">
      <w:bodyDiv w:val="1"/>
      <w:marLeft w:val="0"/>
      <w:marRight w:val="0"/>
      <w:marTop w:val="0"/>
      <w:marBottom w:val="0"/>
      <w:divBdr>
        <w:top w:val="none" w:sz="0" w:space="0" w:color="auto"/>
        <w:left w:val="none" w:sz="0" w:space="0" w:color="auto"/>
        <w:bottom w:val="none" w:sz="0" w:space="0" w:color="auto"/>
        <w:right w:val="none" w:sz="0" w:space="0" w:color="auto"/>
      </w:divBdr>
    </w:div>
    <w:div w:id="390004908">
      <w:bodyDiv w:val="1"/>
      <w:marLeft w:val="0"/>
      <w:marRight w:val="0"/>
      <w:marTop w:val="0"/>
      <w:marBottom w:val="0"/>
      <w:divBdr>
        <w:top w:val="none" w:sz="0" w:space="0" w:color="auto"/>
        <w:left w:val="none" w:sz="0" w:space="0" w:color="auto"/>
        <w:bottom w:val="none" w:sz="0" w:space="0" w:color="auto"/>
        <w:right w:val="none" w:sz="0" w:space="0" w:color="auto"/>
      </w:divBdr>
    </w:div>
    <w:div w:id="390035389">
      <w:bodyDiv w:val="1"/>
      <w:marLeft w:val="0"/>
      <w:marRight w:val="0"/>
      <w:marTop w:val="0"/>
      <w:marBottom w:val="0"/>
      <w:divBdr>
        <w:top w:val="none" w:sz="0" w:space="0" w:color="auto"/>
        <w:left w:val="none" w:sz="0" w:space="0" w:color="auto"/>
        <w:bottom w:val="none" w:sz="0" w:space="0" w:color="auto"/>
        <w:right w:val="none" w:sz="0" w:space="0" w:color="auto"/>
      </w:divBdr>
    </w:div>
    <w:div w:id="390036953">
      <w:bodyDiv w:val="1"/>
      <w:marLeft w:val="0"/>
      <w:marRight w:val="0"/>
      <w:marTop w:val="0"/>
      <w:marBottom w:val="0"/>
      <w:divBdr>
        <w:top w:val="none" w:sz="0" w:space="0" w:color="auto"/>
        <w:left w:val="none" w:sz="0" w:space="0" w:color="auto"/>
        <w:bottom w:val="none" w:sz="0" w:space="0" w:color="auto"/>
        <w:right w:val="none" w:sz="0" w:space="0" w:color="auto"/>
      </w:divBdr>
    </w:div>
    <w:div w:id="390080907">
      <w:bodyDiv w:val="1"/>
      <w:marLeft w:val="0"/>
      <w:marRight w:val="0"/>
      <w:marTop w:val="0"/>
      <w:marBottom w:val="0"/>
      <w:divBdr>
        <w:top w:val="none" w:sz="0" w:space="0" w:color="auto"/>
        <w:left w:val="none" w:sz="0" w:space="0" w:color="auto"/>
        <w:bottom w:val="none" w:sz="0" w:space="0" w:color="auto"/>
        <w:right w:val="none" w:sz="0" w:space="0" w:color="auto"/>
      </w:divBdr>
    </w:div>
    <w:div w:id="390083738">
      <w:bodyDiv w:val="1"/>
      <w:marLeft w:val="0"/>
      <w:marRight w:val="0"/>
      <w:marTop w:val="0"/>
      <w:marBottom w:val="0"/>
      <w:divBdr>
        <w:top w:val="none" w:sz="0" w:space="0" w:color="auto"/>
        <w:left w:val="none" w:sz="0" w:space="0" w:color="auto"/>
        <w:bottom w:val="none" w:sz="0" w:space="0" w:color="auto"/>
        <w:right w:val="none" w:sz="0" w:space="0" w:color="auto"/>
      </w:divBdr>
    </w:div>
    <w:div w:id="390233647">
      <w:bodyDiv w:val="1"/>
      <w:marLeft w:val="0"/>
      <w:marRight w:val="0"/>
      <w:marTop w:val="0"/>
      <w:marBottom w:val="0"/>
      <w:divBdr>
        <w:top w:val="none" w:sz="0" w:space="0" w:color="auto"/>
        <w:left w:val="none" w:sz="0" w:space="0" w:color="auto"/>
        <w:bottom w:val="none" w:sz="0" w:space="0" w:color="auto"/>
        <w:right w:val="none" w:sz="0" w:space="0" w:color="auto"/>
      </w:divBdr>
    </w:div>
    <w:div w:id="390269025">
      <w:bodyDiv w:val="1"/>
      <w:marLeft w:val="0"/>
      <w:marRight w:val="0"/>
      <w:marTop w:val="0"/>
      <w:marBottom w:val="0"/>
      <w:divBdr>
        <w:top w:val="none" w:sz="0" w:space="0" w:color="auto"/>
        <w:left w:val="none" w:sz="0" w:space="0" w:color="auto"/>
        <w:bottom w:val="none" w:sz="0" w:space="0" w:color="auto"/>
        <w:right w:val="none" w:sz="0" w:space="0" w:color="auto"/>
      </w:divBdr>
    </w:div>
    <w:div w:id="390469035">
      <w:bodyDiv w:val="1"/>
      <w:marLeft w:val="0"/>
      <w:marRight w:val="0"/>
      <w:marTop w:val="0"/>
      <w:marBottom w:val="0"/>
      <w:divBdr>
        <w:top w:val="none" w:sz="0" w:space="0" w:color="auto"/>
        <w:left w:val="none" w:sz="0" w:space="0" w:color="auto"/>
        <w:bottom w:val="none" w:sz="0" w:space="0" w:color="auto"/>
        <w:right w:val="none" w:sz="0" w:space="0" w:color="auto"/>
      </w:divBdr>
    </w:div>
    <w:div w:id="390690122">
      <w:bodyDiv w:val="1"/>
      <w:marLeft w:val="0"/>
      <w:marRight w:val="0"/>
      <w:marTop w:val="0"/>
      <w:marBottom w:val="0"/>
      <w:divBdr>
        <w:top w:val="none" w:sz="0" w:space="0" w:color="auto"/>
        <w:left w:val="none" w:sz="0" w:space="0" w:color="auto"/>
        <w:bottom w:val="none" w:sz="0" w:space="0" w:color="auto"/>
        <w:right w:val="none" w:sz="0" w:space="0" w:color="auto"/>
      </w:divBdr>
    </w:div>
    <w:div w:id="390885684">
      <w:bodyDiv w:val="1"/>
      <w:marLeft w:val="0"/>
      <w:marRight w:val="0"/>
      <w:marTop w:val="0"/>
      <w:marBottom w:val="0"/>
      <w:divBdr>
        <w:top w:val="none" w:sz="0" w:space="0" w:color="auto"/>
        <w:left w:val="none" w:sz="0" w:space="0" w:color="auto"/>
        <w:bottom w:val="none" w:sz="0" w:space="0" w:color="auto"/>
        <w:right w:val="none" w:sz="0" w:space="0" w:color="auto"/>
      </w:divBdr>
    </w:div>
    <w:div w:id="390924216">
      <w:bodyDiv w:val="1"/>
      <w:marLeft w:val="0"/>
      <w:marRight w:val="0"/>
      <w:marTop w:val="0"/>
      <w:marBottom w:val="0"/>
      <w:divBdr>
        <w:top w:val="none" w:sz="0" w:space="0" w:color="auto"/>
        <w:left w:val="none" w:sz="0" w:space="0" w:color="auto"/>
        <w:bottom w:val="none" w:sz="0" w:space="0" w:color="auto"/>
        <w:right w:val="none" w:sz="0" w:space="0" w:color="auto"/>
      </w:divBdr>
    </w:div>
    <w:div w:id="390927506">
      <w:bodyDiv w:val="1"/>
      <w:marLeft w:val="0"/>
      <w:marRight w:val="0"/>
      <w:marTop w:val="0"/>
      <w:marBottom w:val="0"/>
      <w:divBdr>
        <w:top w:val="none" w:sz="0" w:space="0" w:color="auto"/>
        <w:left w:val="none" w:sz="0" w:space="0" w:color="auto"/>
        <w:bottom w:val="none" w:sz="0" w:space="0" w:color="auto"/>
        <w:right w:val="none" w:sz="0" w:space="0" w:color="auto"/>
      </w:divBdr>
    </w:div>
    <w:div w:id="391008555">
      <w:bodyDiv w:val="1"/>
      <w:marLeft w:val="0"/>
      <w:marRight w:val="0"/>
      <w:marTop w:val="0"/>
      <w:marBottom w:val="0"/>
      <w:divBdr>
        <w:top w:val="none" w:sz="0" w:space="0" w:color="auto"/>
        <w:left w:val="none" w:sz="0" w:space="0" w:color="auto"/>
        <w:bottom w:val="none" w:sz="0" w:space="0" w:color="auto"/>
        <w:right w:val="none" w:sz="0" w:space="0" w:color="auto"/>
      </w:divBdr>
    </w:div>
    <w:div w:id="391268997">
      <w:bodyDiv w:val="1"/>
      <w:marLeft w:val="0"/>
      <w:marRight w:val="0"/>
      <w:marTop w:val="0"/>
      <w:marBottom w:val="0"/>
      <w:divBdr>
        <w:top w:val="none" w:sz="0" w:space="0" w:color="auto"/>
        <w:left w:val="none" w:sz="0" w:space="0" w:color="auto"/>
        <w:bottom w:val="none" w:sz="0" w:space="0" w:color="auto"/>
        <w:right w:val="none" w:sz="0" w:space="0" w:color="auto"/>
      </w:divBdr>
    </w:div>
    <w:div w:id="391317633">
      <w:bodyDiv w:val="1"/>
      <w:marLeft w:val="0"/>
      <w:marRight w:val="0"/>
      <w:marTop w:val="0"/>
      <w:marBottom w:val="0"/>
      <w:divBdr>
        <w:top w:val="none" w:sz="0" w:space="0" w:color="auto"/>
        <w:left w:val="none" w:sz="0" w:space="0" w:color="auto"/>
        <w:bottom w:val="none" w:sz="0" w:space="0" w:color="auto"/>
        <w:right w:val="none" w:sz="0" w:space="0" w:color="auto"/>
      </w:divBdr>
    </w:div>
    <w:div w:id="391513200">
      <w:bodyDiv w:val="1"/>
      <w:marLeft w:val="0"/>
      <w:marRight w:val="0"/>
      <w:marTop w:val="0"/>
      <w:marBottom w:val="0"/>
      <w:divBdr>
        <w:top w:val="none" w:sz="0" w:space="0" w:color="auto"/>
        <w:left w:val="none" w:sz="0" w:space="0" w:color="auto"/>
        <w:bottom w:val="none" w:sz="0" w:space="0" w:color="auto"/>
        <w:right w:val="none" w:sz="0" w:space="0" w:color="auto"/>
      </w:divBdr>
    </w:div>
    <w:div w:id="391586445">
      <w:bodyDiv w:val="1"/>
      <w:marLeft w:val="0"/>
      <w:marRight w:val="0"/>
      <w:marTop w:val="0"/>
      <w:marBottom w:val="0"/>
      <w:divBdr>
        <w:top w:val="none" w:sz="0" w:space="0" w:color="auto"/>
        <w:left w:val="none" w:sz="0" w:space="0" w:color="auto"/>
        <w:bottom w:val="none" w:sz="0" w:space="0" w:color="auto"/>
        <w:right w:val="none" w:sz="0" w:space="0" w:color="auto"/>
      </w:divBdr>
    </w:div>
    <w:div w:id="391737917">
      <w:bodyDiv w:val="1"/>
      <w:marLeft w:val="0"/>
      <w:marRight w:val="0"/>
      <w:marTop w:val="0"/>
      <w:marBottom w:val="0"/>
      <w:divBdr>
        <w:top w:val="none" w:sz="0" w:space="0" w:color="auto"/>
        <w:left w:val="none" w:sz="0" w:space="0" w:color="auto"/>
        <w:bottom w:val="none" w:sz="0" w:space="0" w:color="auto"/>
        <w:right w:val="none" w:sz="0" w:space="0" w:color="auto"/>
      </w:divBdr>
    </w:div>
    <w:div w:id="391932888">
      <w:bodyDiv w:val="1"/>
      <w:marLeft w:val="0"/>
      <w:marRight w:val="0"/>
      <w:marTop w:val="0"/>
      <w:marBottom w:val="0"/>
      <w:divBdr>
        <w:top w:val="none" w:sz="0" w:space="0" w:color="auto"/>
        <w:left w:val="none" w:sz="0" w:space="0" w:color="auto"/>
        <w:bottom w:val="none" w:sz="0" w:space="0" w:color="auto"/>
        <w:right w:val="none" w:sz="0" w:space="0" w:color="auto"/>
      </w:divBdr>
    </w:div>
    <w:div w:id="391999421">
      <w:bodyDiv w:val="1"/>
      <w:marLeft w:val="0"/>
      <w:marRight w:val="0"/>
      <w:marTop w:val="0"/>
      <w:marBottom w:val="0"/>
      <w:divBdr>
        <w:top w:val="none" w:sz="0" w:space="0" w:color="auto"/>
        <w:left w:val="none" w:sz="0" w:space="0" w:color="auto"/>
        <w:bottom w:val="none" w:sz="0" w:space="0" w:color="auto"/>
        <w:right w:val="none" w:sz="0" w:space="0" w:color="auto"/>
      </w:divBdr>
    </w:div>
    <w:div w:id="392045755">
      <w:bodyDiv w:val="1"/>
      <w:marLeft w:val="0"/>
      <w:marRight w:val="0"/>
      <w:marTop w:val="0"/>
      <w:marBottom w:val="0"/>
      <w:divBdr>
        <w:top w:val="none" w:sz="0" w:space="0" w:color="auto"/>
        <w:left w:val="none" w:sz="0" w:space="0" w:color="auto"/>
        <w:bottom w:val="none" w:sz="0" w:space="0" w:color="auto"/>
        <w:right w:val="none" w:sz="0" w:space="0" w:color="auto"/>
      </w:divBdr>
    </w:div>
    <w:div w:id="392511613">
      <w:bodyDiv w:val="1"/>
      <w:marLeft w:val="0"/>
      <w:marRight w:val="0"/>
      <w:marTop w:val="0"/>
      <w:marBottom w:val="0"/>
      <w:divBdr>
        <w:top w:val="none" w:sz="0" w:space="0" w:color="auto"/>
        <w:left w:val="none" w:sz="0" w:space="0" w:color="auto"/>
        <w:bottom w:val="none" w:sz="0" w:space="0" w:color="auto"/>
        <w:right w:val="none" w:sz="0" w:space="0" w:color="auto"/>
      </w:divBdr>
    </w:div>
    <w:div w:id="392657707">
      <w:bodyDiv w:val="1"/>
      <w:marLeft w:val="0"/>
      <w:marRight w:val="0"/>
      <w:marTop w:val="0"/>
      <w:marBottom w:val="0"/>
      <w:divBdr>
        <w:top w:val="none" w:sz="0" w:space="0" w:color="auto"/>
        <w:left w:val="none" w:sz="0" w:space="0" w:color="auto"/>
        <w:bottom w:val="none" w:sz="0" w:space="0" w:color="auto"/>
        <w:right w:val="none" w:sz="0" w:space="0" w:color="auto"/>
      </w:divBdr>
    </w:div>
    <w:div w:id="392700618">
      <w:bodyDiv w:val="1"/>
      <w:marLeft w:val="0"/>
      <w:marRight w:val="0"/>
      <w:marTop w:val="0"/>
      <w:marBottom w:val="0"/>
      <w:divBdr>
        <w:top w:val="none" w:sz="0" w:space="0" w:color="auto"/>
        <w:left w:val="none" w:sz="0" w:space="0" w:color="auto"/>
        <w:bottom w:val="none" w:sz="0" w:space="0" w:color="auto"/>
        <w:right w:val="none" w:sz="0" w:space="0" w:color="auto"/>
      </w:divBdr>
    </w:div>
    <w:div w:id="392704019">
      <w:bodyDiv w:val="1"/>
      <w:marLeft w:val="0"/>
      <w:marRight w:val="0"/>
      <w:marTop w:val="0"/>
      <w:marBottom w:val="0"/>
      <w:divBdr>
        <w:top w:val="none" w:sz="0" w:space="0" w:color="auto"/>
        <w:left w:val="none" w:sz="0" w:space="0" w:color="auto"/>
        <w:bottom w:val="none" w:sz="0" w:space="0" w:color="auto"/>
        <w:right w:val="none" w:sz="0" w:space="0" w:color="auto"/>
      </w:divBdr>
    </w:div>
    <w:div w:id="392847290">
      <w:bodyDiv w:val="1"/>
      <w:marLeft w:val="0"/>
      <w:marRight w:val="0"/>
      <w:marTop w:val="0"/>
      <w:marBottom w:val="0"/>
      <w:divBdr>
        <w:top w:val="none" w:sz="0" w:space="0" w:color="auto"/>
        <w:left w:val="none" w:sz="0" w:space="0" w:color="auto"/>
        <w:bottom w:val="none" w:sz="0" w:space="0" w:color="auto"/>
        <w:right w:val="none" w:sz="0" w:space="0" w:color="auto"/>
      </w:divBdr>
    </w:div>
    <w:div w:id="393046102">
      <w:bodyDiv w:val="1"/>
      <w:marLeft w:val="0"/>
      <w:marRight w:val="0"/>
      <w:marTop w:val="0"/>
      <w:marBottom w:val="0"/>
      <w:divBdr>
        <w:top w:val="none" w:sz="0" w:space="0" w:color="auto"/>
        <w:left w:val="none" w:sz="0" w:space="0" w:color="auto"/>
        <w:bottom w:val="none" w:sz="0" w:space="0" w:color="auto"/>
        <w:right w:val="none" w:sz="0" w:space="0" w:color="auto"/>
      </w:divBdr>
    </w:div>
    <w:div w:id="393162737">
      <w:bodyDiv w:val="1"/>
      <w:marLeft w:val="0"/>
      <w:marRight w:val="0"/>
      <w:marTop w:val="0"/>
      <w:marBottom w:val="0"/>
      <w:divBdr>
        <w:top w:val="none" w:sz="0" w:space="0" w:color="auto"/>
        <w:left w:val="none" w:sz="0" w:space="0" w:color="auto"/>
        <w:bottom w:val="none" w:sz="0" w:space="0" w:color="auto"/>
        <w:right w:val="none" w:sz="0" w:space="0" w:color="auto"/>
      </w:divBdr>
    </w:div>
    <w:div w:id="393479293">
      <w:bodyDiv w:val="1"/>
      <w:marLeft w:val="0"/>
      <w:marRight w:val="0"/>
      <w:marTop w:val="0"/>
      <w:marBottom w:val="0"/>
      <w:divBdr>
        <w:top w:val="none" w:sz="0" w:space="0" w:color="auto"/>
        <w:left w:val="none" w:sz="0" w:space="0" w:color="auto"/>
        <w:bottom w:val="none" w:sz="0" w:space="0" w:color="auto"/>
        <w:right w:val="none" w:sz="0" w:space="0" w:color="auto"/>
      </w:divBdr>
    </w:div>
    <w:div w:id="393625308">
      <w:bodyDiv w:val="1"/>
      <w:marLeft w:val="0"/>
      <w:marRight w:val="0"/>
      <w:marTop w:val="0"/>
      <w:marBottom w:val="0"/>
      <w:divBdr>
        <w:top w:val="none" w:sz="0" w:space="0" w:color="auto"/>
        <w:left w:val="none" w:sz="0" w:space="0" w:color="auto"/>
        <w:bottom w:val="none" w:sz="0" w:space="0" w:color="auto"/>
        <w:right w:val="none" w:sz="0" w:space="0" w:color="auto"/>
      </w:divBdr>
    </w:div>
    <w:div w:id="393890863">
      <w:bodyDiv w:val="1"/>
      <w:marLeft w:val="0"/>
      <w:marRight w:val="0"/>
      <w:marTop w:val="0"/>
      <w:marBottom w:val="0"/>
      <w:divBdr>
        <w:top w:val="none" w:sz="0" w:space="0" w:color="auto"/>
        <w:left w:val="none" w:sz="0" w:space="0" w:color="auto"/>
        <w:bottom w:val="none" w:sz="0" w:space="0" w:color="auto"/>
        <w:right w:val="none" w:sz="0" w:space="0" w:color="auto"/>
      </w:divBdr>
    </w:div>
    <w:div w:id="393967403">
      <w:bodyDiv w:val="1"/>
      <w:marLeft w:val="0"/>
      <w:marRight w:val="0"/>
      <w:marTop w:val="0"/>
      <w:marBottom w:val="0"/>
      <w:divBdr>
        <w:top w:val="none" w:sz="0" w:space="0" w:color="auto"/>
        <w:left w:val="none" w:sz="0" w:space="0" w:color="auto"/>
        <w:bottom w:val="none" w:sz="0" w:space="0" w:color="auto"/>
        <w:right w:val="none" w:sz="0" w:space="0" w:color="auto"/>
      </w:divBdr>
    </w:div>
    <w:div w:id="393968014">
      <w:bodyDiv w:val="1"/>
      <w:marLeft w:val="0"/>
      <w:marRight w:val="0"/>
      <w:marTop w:val="0"/>
      <w:marBottom w:val="0"/>
      <w:divBdr>
        <w:top w:val="none" w:sz="0" w:space="0" w:color="auto"/>
        <w:left w:val="none" w:sz="0" w:space="0" w:color="auto"/>
        <w:bottom w:val="none" w:sz="0" w:space="0" w:color="auto"/>
        <w:right w:val="none" w:sz="0" w:space="0" w:color="auto"/>
      </w:divBdr>
    </w:div>
    <w:div w:id="394359598">
      <w:bodyDiv w:val="1"/>
      <w:marLeft w:val="0"/>
      <w:marRight w:val="0"/>
      <w:marTop w:val="0"/>
      <w:marBottom w:val="0"/>
      <w:divBdr>
        <w:top w:val="none" w:sz="0" w:space="0" w:color="auto"/>
        <w:left w:val="none" w:sz="0" w:space="0" w:color="auto"/>
        <w:bottom w:val="none" w:sz="0" w:space="0" w:color="auto"/>
        <w:right w:val="none" w:sz="0" w:space="0" w:color="auto"/>
      </w:divBdr>
    </w:div>
    <w:div w:id="394401217">
      <w:bodyDiv w:val="1"/>
      <w:marLeft w:val="0"/>
      <w:marRight w:val="0"/>
      <w:marTop w:val="0"/>
      <w:marBottom w:val="0"/>
      <w:divBdr>
        <w:top w:val="none" w:sz="0" w:space="0" w:color="auto"/>
        <w:left w:val="none" w:sz="0" w:space="0" w:color="auto"/>
        <w:bottom w:val="none" w:sz="0" w:space="0" w:color="auto"/>
        <w:right w:val="none" w:sz="0" w:space="0" w:color="auto"/>
      </w:divBdr>
    </w:div>
    <w:div w:id="394426753">
      <w:bodyDiv w:val="1"/>
      <w:marLeft w:val="0"/>
      <w:marRight w:val="0"/>
      <w:marTop w:val="0"/>
      <w:marBottom w:val="0"/>
      <w:divBdr>
        <w:top w:val="none" w:sz="0" w:space="0" w:color="auto"/>
        <w:left w:val="none" w:sz="0" w:space="0" w:color="auto"/>
        <w:bottom w:val="none" w:sz="0" w:space="0" w:color="auto"/>
        <w:right w:val="none" w:sz="0" w:space="0" w:color="auto"/>
      </w:divBdr>
    </w:div>
    <w:div w:id="394551580">
      <w:bodyDiv w:val="1"/>
      <w:marLeft w:val="0"/>
      <w:marRight w:val="0"/>
      <w:marTop w:val="0"/>
      <w:marBottom w:val="0"/>
      <w:divBdr>
        <w:top w:val="none" w:sz="0" w:space="0" w:color="auto"/>
        <w:left w:val="none" w:sz="0" w:space="0" w:color="auto"/>
        <w:bottom w:val="none" w:sz="0" w:space="0" w:color="auto"/>
        <w:right w:val="none" w:sz="0" w:space="0" w:color="auto"/>
      </w:divBdr>
    </w:div>
    <w:div w:id="394672111">
      <w:bodyDiv w:val="1"/>
      <w:marLeft w:val="0"/>
      <w:marRight w:val="0"/>
      <w:marTop w:val="0"/>
      <w:marBottom w:val="0"/>
      <w:divBdr>
        <w:top w:val="none" w:sz="0" w:space="0" w:color="auto"/>
        <w:left w:val="none" w:sz="0" w:space="0" w:color="auto"/>
        <w:bottom w:val="none" w:sz="0" w:space="0" w:color="auto"/>
        <w:right w:val="none" w:sz="0" w:space="0" w:color="auto"/>
      </w:divBdr>
    </w:div>
    <w:div w:id="394862768">
      <w:bodyDiv w:val="1"/>
      <w:marLeft w:val="0"/>
      <w:marRight w:val="0"/>
      <w:marTop w:val="0"/>
      <w:marBottom w:val="0"/>
      <w:divBdr>
        <w:top w:val="none" w:sz="0" w:space="0" w:color="auto"/>
        <w:left w:val="none" w:sz="0" w:space="0" w:color="auto"/>
        <w:bottom w:val="none" w:sz="0" w:space="0" w:color="auto"/>
        <w:right w:val="none" w:sz="0" w:space="0" w:color="auto"/>
      </w:divBdr>
    </w:div>
    <w:div w:id="394933670">
      <w:bodyDiv w:val="1"/>
      <w:marLeft w:val="0"/>
      <w:marRight w:val="0"/>
      <w:marTop w:val="0"/>
      <w:marBottom w:val="0"/>
      <w:divBdr>
        <w:top w:val="none" w:sz="0" w:space="0" w:color="auto"/>
        <w:left w:val="none" w:sz="0" w:space="0" w:color="auto"/>
        <w:bottom w:val="none" w:sz="0" w:space="0" w:color="auto"/>
        <w:right w:val="none" w:sz="0" w:space="0" w:color="auto"/>
      </w:divBdr>
    </w:div>
    <w:div w:id="394934809">
      <w:bodyDiv w:val="1"/>
      <w:marLeft w:val="0"/>
      <w:marRight w:val="0"/>
      <w:marTop w:val="0"/>
      <w:marBottom w:val="0"/>
      <w:divBdr>
        <w:top w:val="none" w:sz="0" w:space="0" w:color="auto"/>
        <w:left w:val="none" w:sz="0" w:space="0" w:color="auto"/>
        <w:bottom w:val="none" w:sz="0" w:space="0" w:color="auto"/>
        <w:right w:val="none" w:sz="0" w:space="0" w:color="auto"/>
      </w:divBdr>
    </w:div>
    <w:div w:id="395250851">
      <w:bodyDiv w:val="1"/>
      <w:marLeft w:val="0"/>
      <w:marRight w:val="0"/>
      <w:marTop w:val="0"/>
      <w:marBottom w:val="0"/>
      <w:divBdr>
        <w:top w:val="none" w:sz="0" w:space="0" w:color="auto"/>
        <w:left w:val="none" w:sz="0" w:space="0" w:color="auto"/>
        <w:bottom w:val="none" w:sz="0" w:space="0" w:color="auto"/>
        <w:right w:val="none" w:sz="0" w:space="0" w:color="auto"/>
      </w:divBdr>
    </w:div>
    <w:div w:id="395327249">
      <w:bodyDiv w:val="1"/>
      <w:marLeft w:val="0"/>
      <w:marRight w:val="0"/>
      <w:marTop w:val="0"/>
      <w:marBottom w:val="0"/>
      <w:divBdr>
        <w:top w:val="none" w:sz="0" w:space="0" w:color="auto"/>
        <w:left w:val="none" w:sz="0" w:space="0" w:color="auto"/>
        <w:bottom w:val="none" w:sz="0" w:space="0" w:color="auto"/>
        <w:right w:val="none" w:sz="0" w:space="0" w:color="auto"/>
      </w:divBdr>
    </w:div>
    <w:div w:id="395396133">
      <w:bodyDiv w:val="1"/>
      <w:marLeft w:val="0"/>
      <w:marRight w:val="0"/>
      <w:marTop w:val="0"/>
      <w:marBottom w:val="0"/>
      <w:divBdr>
        <w:top w:val="none" w:sz="0" w:space="0" w:color="auto"/>
        <w:left w:val="none" w:sz="0" w:space="0" w:color="auto"/>
        <w:bottom w:val="none" w:sz="0" w:space="0" w:color="auto"/>
        <w:right w:val="none" w:sz="0" w:space="0" w:color="auto"/>
      </w:divBdr>
    </w:div>
    <w:div w:id="395396225">
      <w:bodyDiv w:val="1"/>
      <w:marLeft w:val="0"/>
      <w:marRight w:val="0"/>
      <w:marTop w:val="0"/>
      <w:marBottom w:val="0"/>
      <w:divBdr>
        <w:top w:val="none" w:sz="0" w:space="0" w:color="auto"/>
        <w:left w:val="none" w:sz="0" w:space="0" w:color="auto"/>
        <w:bottom w:val="none" w:sz="0" w:space="0" w:color="auto"/>
        <w:right w:val="none" w:sz="0" w:space="0" w:color="auto"/>
      </w:divBdr>
    </w:div>
    <w:div w:id="395468556">
      <w:bodyDiv w:val="1"/>
      <w:marLeft w:val="0"/>
      <w:marRight w:val="0"/>
      <w:marTop w:val="0"/>
      <w:marBottom w:val="0"/>
      <w:divBdr>
        <w:top w:val="none" w:sz="0" w:space="0" w:color="auto"/>
        <w:left w:val="none" w:sz="0" w:space="0" w:color="auto"/>
        <w:bottom w:val="none" w:sz="0" w:space="0" w:color="auto"/>
        <w:right w:val="none" w:sz="0" w:space="0" w:color="auto"/>
      </w:divBdr>
    </w:div>
    <w:div w:id="395512978">
      <w:bodyDiv w:val="1"/>
      <w:marLeft w:val="0"/>
      <w:marRight w:val="0"/>
      <w:marTop w:val="0"/>
      <w:marBottom w:val="0"/>
      <w:divBdr>
        <w:top w:val="none" w:sz="0" w:space="0" w:color="auto"/>
        <w:left w:val="none" w:sz="0" w:space="0" w:color="auto"/>
        <w:bottom w:val="none" w:sz="0" w:space="0" w:color="auto"/>
        <w:right w:val="none" w:sz="0" w:space="0" w:color="auto"/>
      </w:divBdr>
    </w:div>
    <w:div w:id="395513001">
      <w:bodyDiv w:val="1"/>
      <w:marLeft w:val="0"/>
      <w:marRight w:val="0"/>
      <w:marTop w:val="0"/>
      <w:marBottom w:val="0"/>
      <w:divBdr>
        <w:top w:val="none" w:sz="0" w:space="0" w:color="auto"/>
        <w:left w:val="none" w:sz="0" w:space="0" w:color="auto"/>
        <w:bottom w:val="none" w:sz="0" w:space="0" w:color="auto"/>
        <w:right w:val="none" w:sz="0" w:space="0" w:color="auto"/>
      </w:divBdr>
    </w:div>
    <w:div w:id="395785988">
      <w:bodyDiv w:val="1"/>
      <w:marLeft w:val="0"/>
      <w:marRight w:val="0"/>
      <w:marTop w:val="0"/>
      <w:marBottom w:val="0"/>
      <w:divBdr>
        <w:top w:val="none" w:sz="0" w:space="0" w:color="auto"/>
        <w:left w:val="none" w:sz="0" w:space="0" w:color="auto"/>
        <w:bottom w:val="none" w:sz="0" w:space="0" w:color="auto"/>
        <w:right w:val="none" w:sz="0" w:space="0" w:color="auto"/>
      </w:divBdr>
    </w:div>
    <w:div w:id="395973162">
      <w:bodyDiv w:val="1"/>
      <w:marLeft w:val="0"/>
      <w:marRight w:val="0"/>
      <w:marTop w:val="0"/>
      <w:marBottom w:val="0"/>
      <w:divBdr>
        <w:top w:val="none" w:sz="0" w:space="0" w:color="auto"/>
        <w:left w:val="none" w:sz="0" w:space="0" w:color="auto"/>
        <w:bottom w:val="none" w:sz="0" w:space="0" w:color="auto"/>
        <w:right w:val="none" w:sz="0" w:space="0" w:color="auto"/>
      </w:divBdr>
    </w:div>
    <w:div w:id="395978953">
      <w:bodyDiv w:val="1"/>
      <w:marLeft w:val="0"/>
      <w:marRight w:val="0"/>
      <w:marTop w:val="0"/>
      <w:marBottom w:val="0"/>
      <w:divBdr>
        <w:top w:val="none" w:sz="0" w:space="0" w:color="auto"/>
        <w:left w:val="none" w:sz="0" w:space="0" w:color="auto"/>
        <w:bottom w:val="none" w:sz="0" w:space="0" w:color="auto"/>
        <w:right w:val="none" w:sz="0" w:space="0" w:color="auto"/>
      </w:divBdr>
    </w:div>
    <w:div w:id="396052180">
      <w:bodyDiv w:val="1"/>
      <w:marLeft w:val="0"/>
      <w:marRight w:val="0"/>
      <w:marTop w:val="0"/>
      <w:marBottom w:val="0"/>
      <w:divBdr>
        <w:top w:val="none" w:sz="0" w:space="0" w:color="auto"/>
        <w:left w:val="none" w:sz="0" w:space="0" w:color="auto"/>
        <w:bottom w:val="none" w:sz="0" w:space="0" w:color="auto"/>
        <w:right w:val="none" w:sz="0" w:space="0" w:color="auto"/>
      </w:divBdr>
    </w:div>
    <w:div w:id="396249826">
      <w:bodyDiv w:val="1"/>
      <w:marLeft w:val="0"/>
      <w:marRight w:val="0"/>
      <w:marTop w:val="0"/>
      <w:marBottom w:val="0"/>
      <w:divBdr>
        <w:top w:val="none" w:sz="0" w:space="0" w:color="auto"/>
        <w:left w:val="none" w:sz="0" w:space="0" w:color="auto"/>
        <w:bottom w:val="none" w:sz="0" w:space="0" w:color="auto"/>
        <w:right w:val="none" w:sz="0" w:space="0" w:color="auto"/>
      </w:divBdr>
    </w:div>
    <w:div w:id="396365381">
      <w:bodyDiv w:val="1"/>
      <w:marLeft w:val="0"/>
      <w:marRight w:val="0"/>
      <w:marTop w:val="0"/>
      <w:marBottom w:val="0"/>
      <w:divBdr>
        <w:top w:val="none" w:sz="0" w:space="0" w:color="auto"/>
        <w:left w:val="none" w:sz="0" w:space="0" w:color="auto"/>
        <w:bottom w:val="none" w:sz="0" w:space="0" w:color="auto"/>
        <w:right w:val="none" w:sz="0" w:space="0" w:color="auto"/>
      </w:divBdr>
    </w:div>
    <w:div w:id="396586386">
      <w:bodyDiv w:val="1"/>
      <w:marLeft w:val="0"/>
      <w:marRight w:val="0"/>
      <w:marTop w:val="0"/>
      <w:marBottom w:val="0"/>
      <w:divBdr>
        <w:top w:val="none" w:sz="0" w:space="0" w:color="auto"/>
        <w:left w:val="none" w:sz="0" w:space="0" w:color="auto"/>
        <w:bottom w:val="none" w:sz="0" w:space="0" w:color="auto"/>
        <w:right w:val="none" w:sz="0" w:space="0" w:color="auto"/>
      </w:divBdr>
    </w:div>
    <w:div w:id="396705057">
      <w:bodyDiv w:val="1"/>
      <w:marLeft w:val="0"/>
      <w:marRight w:val="0"/>
      <w:marTop w:val="0"/>
      <w:marBottom w:val="0"/>
      <w:divBdr>
        <w:top w:val="none" w:sz="0" w:space="0" w:color="auto"/>
        <w:left w:val="none" w:sz="0" w:space="0" w:color="auto"/>
        <w:bottom w:val="none" w:sz="0" w:space="0" w:color="auto"/>
        <w:right w:val="none" w:sz="0" w:space="0" w:color="auto"/>
      </w:divBdr>
    </w:div>
    <w:div w:id="396829502">
      <w:bodyDiv w:val="1"/>
      <w:marLeft w:val="0"/>
      <w:marRight w:val="0"/>
      <w:marTop w:val="0"/>
      <w:marBottom w:val="0"/>
      <w:divBdr>
        <w:top w:val="none" w:sz="0" w:space="0" w:color="auto"/>
        <w:left w:val="none" w:sz="0" w:space="0" w:color="auto"/>
        <w:bottom w:val="none" w:sz="0" w:space="0" w:color="auto"/>
        <w:right w:val="none" w:sz="0" w:space="0" w:color="auto"/>
      </w:divBdr>
    </w:div>
    <w:div w:id="396899021">
      <w:bodyDiv w:val="1"/>
      <w:marLeft w:val="0"/>
      <w:marRight w:val="0"/>
      <w:marTop w:val="0"/>
      <w:marBottom w:val="0"/>
      <w:divBdr>
        <w:top w:val="none" w:sz="0" w:space="0" w:color="auto"/>
        <w:left w:val="none" w:sz="0" w:space="0" w:color="auto"/>
        <w:bottom w:val="none" w:sz="0" w:space="0" w:color="auto"/>
        <w:right w:val="none" w:sz="0" w:space="0" w:color="auto"/>
      </w:divBdr>
    </w:div>
    <w:div w:id="396974285">
      <w:bodyDiv w:val="1"/>
      <w:marLeft w:val="0"/>
      <w:marRight w:val="0"/>
      <w:marTop w:val="0"/>
      <w:marBottom w:val="0"/>
      <w:divBdr>
        <w:top w:val="none" w:sz="0" w:space="0" w:color="auto"/>
        <w:left w:val="none" w:sz="0" w:space="0" w:color="auto"/>
        <w:bottom w:val="none" w:sz="0" w:space="0" w:color="auto"/>
        <w:right w:val="none" w:sz="0" w:space="0" w:color="auto"/>
      </w:divBdr>
    </w:div>
    <w:div w:id="397093908">
      <w:bodyDiv w:val="1"/>
      <w:marLeft w:val="0"/>
      <w:marRight w:val="0"/>
      <w:marTop w:val="0"/>
      <w:marBottom w:val="0"/>
      <w:divBdr>
        <w:top w:val="none" w:sz="0" w:space="0" w:color="auto"/>
        <w:left w:val="none" w:sz="0" w:space="0" w:color="auto"/>
        <w:bottom w:val="none" w:sz="0" w:space="0" w:color="auto"/>
        <w:right w:val="none" w:sz="0" w:space="0" w:color="auto"/>
      </w:divBdr>
    </w:div>
    <w:div w:id="397293218">
      <w:bodyDiv w:val="1"/>
      <w:marLeft w:val="0"/>
      <w:marRight w:val="0"/>
      <w:marTop w:val="0"/>
      <w:marBottom w:val="0"/>
      <w:divBdr>
        <w:top w:val="none" w:sz="0" w:space="0" w:color="auto"/>
        <w:left w:val="none" w:sz="0" w:space="0" w:color="auto"/>
        <w:bottom w:val="none" w:sz="0" w:space="0" w:color="auto"/>
        <w:right w:val="none" w:sz="0" w:space="0" w:color="auto"/>
      </w:divBdr>
    </w:div>
    <w:div w:id="397359371">
      <w:bodyDiv w:val="1"/>
      <w:marLeft w:val="0"/>
      <w:marRight w:val="0"/>
      <w:marTop w:val="0"/>
      <w:marBottom w:val="0"/>
      <w:divBdr>
        <w:top w:val="none" w:sz="0" w:space="0" w:color="auto"/>
        <w:left w:val="none" w:sz="0" w:space="0" w:color="auto"/>
        <w:bottom w:val="none" w:sz="0" w:space="0" w:color="auto"/>
        <w:right w:val="none" w:sz="0" w:space="0" w:color="auto"/>
      </w:divBdr>
    </w:div>
    <w:div w:id="397828612">
      <w:bodyDiv w:val="1"/>
      <w:marLeft w:val="0"/>
      <w:marRight w:val="0"/>
      <w:marTop w:val="0"/>
      <w:marBottom w:val="0"/>
      <w:divBdr>
        <w:top w:val="none" w:sz="0" w:space="0" w:color="auto"/>
        <w:left w:val="none" w:sz="0" w:space="0" w:color="auto"/>
        <w:bottom w:val="none" w:sz="0" w:space="0" w:color="auto"/>
        <w:right w:val="none" w:sz="0" w:space="0" w:color="auto"/>
      </w:divBdr>
    </w:div>
    <w:div w:id="397873064">
      <w:bodyDiv w:val="1"/>
      <w:marLeft w:val="0"/>
      <w:marRight w:val="0"/>
      <w:marTop w:val="0"/>
      <w:marBottom w:val="0"/>
      <w:divBdr>
        <w:top w:val="none" w:sz="0" w:space="0" w:color="auto"/>
        <w:left w:val="none" w:sz="0" w:space="0" w:color="auto"/>
        <w:bottom w:val="none" w:sz="0" w:space="0" w:color="auto"/>
        <w:right w:val="none" w:sz="0" w:space="0" w:color="auto"/>
      </w:divBdr>
    </w:div>
    <w:div w:id="398017694">
      <w:bodyDiv w:val="1"/>
      <w:marLeft w:val="0"/>
      <w:marRight w:val="0"/>
      <w:marTop w:val="0"/>
      <w:marBottom w:val="0"/>
      <w:divBdr>
        <w:top w:val="none" w:sz="0" w:space="0" w:color="auto"/>
        <w:left w:val="none" w:sz="0" w:space="0" w:color="auto"/>
        <w:bottom w:val="none" w:sz="0" w:space="0" w:color="auto"/>
        <w:right w:val="none" w:sz="0" w:space="0" w:color="auto"/>
      </w:divBdr>
    </w:div>
    <w:div w:id="398020999">
      <w:bodyDiv w:val="1"/>
      <w:marLeft w:val="0"/>
      <w:marRight w:val="0"/>
      <w:marTop w:val="0"/>
      <w:marBottom w:val="0"/>
      <w:divBdr>
        <w:top w:val="none" w:sz="0" w:space="0" w:color="auto"/>
        <w:left w:val="none" w:sz="0" w:space="0" w:color="auto"/>
        <w:bottom w:val="none" w:sz="0" w:space="0" w:color="auto"/>
        <w:right w:val="none" w:sz="0" w:space="0" w:color="auto"/>
      </w:divBdr>
    </w:div>
    <w:div w:id="398286193">
      <w:bodyDiv w:val="1"/>
      <w:marLeft w:val="0"/>
      <w:marRight w:val="0"/>
      <w:marTop w:val="0"/>
      <w:marBottom w:val="0"/>
      <w:divBdr>
        <w:top w:val="none" w:sz="0" w:space="0" w:color="auto"/>
        <w:left w:val="none" w:sz="0" w:space="0" w:color="auto"/>
        <w:bottom w:val="none" w:sz="0" w:space="0" w:color="auto"/>
        <w:right w:val="none" w:sz="0" w:space="0" w:color="auto"/>
      </w:divBdr>
    </w:div>
    <w:div w:id="398291682">
      <w:bodyDiv w:val="1"/>
      <w:marLeft w:val="0"/>
      <w:marRight w:val="0"/>
      <w:marTop w:val="0"/>
      <w:marBottom w:val="0"/>
      <w:divBdr>
        <w:top w:val="none" w:sz="0" w:space="0" w:color="auto"/>
        <w:left w:val="none" w:sz="0" w:space="0" w:color="auto"/>
        <w:bottom w:val="none" w:sz="0" w:space="0" w:color="auto"/>
        <w:right w:val="none" w:sz="0" w:space="0" w:color="auto"/>
      </w:divBdr>
    </w:div>
    <w:div w:id="398406848">
      <w:bodyDiv w:val="1"/>
      <w:marLeft w:val="0"/>
      <w:marRight w:val="0"/>
      <w:marTop w:val="0"/>
      <w:marBottom w:val="0"/>
      <w:divBdr>
        <w:top w:val="none" w:sz="0" w:space="0" w:color="auto"/>
        <w:left w:val="none" w:sz="0" w:space="0" w:color="auto"/>
        <w:bottom w:val="none" w:sz="0" w:space="0" w:color="auto"/>
        <w:right w:val="none" w:sz="0" w:space="0" w:color="auto"/>
      </w:divBdr>
    </w:div>
    <w:div w:id="398481356">
      <w:bodyDiv w:val="1"/>
      <w:marLeft w:val="0"/>
      <w:marRight w:val="0"/>
      <w:marTop w:val="0"/>
      <w:marBottom w:val="0"/>
      <w:divBdr>
        <w:top w:val="none" w:sz="0" w:space="0" w:color="auto"/>
        <w:left w:val="none" w:sz="0" w:space="0" w:color="auto"/>
        <w:bottom w:val="none" w:sz="0" w:space="0" w:color="auto"/>
        <w:right w:val="none" w:sz="0" w:space="0" w:color="auto"/>
      </w:divBdr>
    </w:div>
    <w:div w:id="398677145">
      <w:bodyDiv w:val="1"/>
      <w:marLeft w:val="0"/>
      <w:marRight w:val="0"/>
      <w:marTop w:val="0"/>
      <w:marBottom w:val="0"/>
      <w:divBdr>
        <w:top w:val="none" w:sz="0" w:space="0" w:color="auto"/>
        <w:left w:val="none" w:sz="0" w:space="0" w:color="auto"/>
        <w:bottom w:val="none" w:sz="0" w:space="0" w:color="auto"/>
        <w:right w:val="none" w:sz="0" w:space="0" w:color="auto"/>
      </w:divBdr>
    </w:div>
    <w:div w:id="398746669">
      <w:bodyDiv w:val="1"/>
      <w:marLeft w:val="0"/>
      <w:marRight w:val="0"/>
      <w:marTop w:val="0"/>
      <w:marBottom w:val="0"/>
      <w:divBdr>
        <w:top w:val="none" w:sz="0" w:space="0" w:color="auto"/>
        <w:left w:val="none" w:sz="0" w:space="0" w:color="auto"/>
        <w:bottom w:val="none" w:sz="0" w:space="0" w:color="auto"/>
        <w:right w:val="none" w:sz="0" w:space="0" w:color="auto"/>
      </w:divBdr>
    </w:div>
    <w:div w:id="398794429">
      <w:bodyDiv w:val="1"/>
      <w:marLeft w:val="0"/>
      <w:marRight w:val="0"/>
      <w:marTop w:val="0"/>
      <w:marBottom w:val="0"/>
      <w:divBdr>
        <w:top w:val="none" w:sz="0" w:space="0" w:color="auto"/>
        <w:left w:val="none" w:sz="0" w:space="0" w:color="auto"/>
        <w:bottom w:val="none" w:sz="0" w:space="0" w:color="auto"/>
        <w:right w:val="none" w:sz="0" w:space="0" w:color="auto"/>
      </w:divBdr>
    </w:div>
    <w:div w:id="398794724">
      <w:bodyDiv w:val="1"/>
      <w:marLeft w:val="0"/>
      <w:marRight w:val="0"/>
      <w:marTop w:val="0"/>
      <w:marBottom w:val="0"/>
      <w:divBdr>
        <w:top w:val="none" w:sz="0" w:space="0" w:color="auto"/>
        <w:left w:val="none" w:sz="0" w:space="0" w:color="auto"/>
        <w:bottom w:val="none" w:sz="0" w:space="0" w:color="auto"/>
        <w:right w:val="none" w:sz="0" w:space="0" w:color="auto"/>
      </w:divBdr>
    </w:div>
    <w:div w:id="398864323">
      <w:bodyDiv w:val="1"/>
      <w:marLeft w:val="0"/>
      <w:marRight w:val="0"/>
      <w:marTop w:val="0"/>
      <w:marBottom w:val="0"/>
      <w:divBdr>
        <w:top w:val="none" w:sz="0" w:space="0" w:color="auto"/>
        <w:left w:val="none" w:sz="0" w:space="0" w:color="auto"/>
        <w:bottom w:val="none" w:sz="0" w:space="0" w:color="auto"/>
        <w:right w:val="none" w:sz="0" w:space="0" w:color="auto"/>
      </w:divBdr>
    </w:div>
    <w:div w:id="398941801">
      <w:bodyDiv w:val="1"/>
      <w:marLeft w:val="0"/>
      <w:marRight w:val="0"/>
      <w:marTop w:val="0"/>
      <w:marBottom w:val="0"/>
      <w:divBdr>
        <w:top w:val="none" w:sz="0" w:space="0" w:color="auto"/>
        <w:left w:val="none" w:sz="0" w:space="0" w:color="auto"/>
        <w:bottom w:val="none" w:sz="0" w:space="0" w:color="auto"/>
        <w:right w:val="none" w:sz="0" w:space="0" w:color="auto"/>
      </w:divBdr>
    </w:div>
    <w:div w:id="398947134">
      <w:bodyDiv w:val="1"/>
      <w:marLeft w:val="0"/>
      <w:marRight w:val="0"/>
      <w:marTop w:val="0"/>
      <w:marBottom w:val="0"/>
      <w:divBdr>
        <w:top w:val="none" w:sz="0" w:space="0" w:color="auto"/>
        <w:left w:val="none" w:sz="0" w:space="0" w:color="auto"/>
        <w:bottom w:val="none" w:sz="0" w:space="0" w:color="auto"/>
        <w:right w:val="none" w:sz="0" w:space="0" w:color="auto"/>
      </w:divBdr>
    </w:div>
    <w:div w:id="399065247">
      <w:bodyDiv w:val="1"/>
      <w:marLeft w:val="0"/>
      <w:marRight w:val="0"/>
      <w:marTop w:val="0"/>
      <w:marBottom w:val="0"/>
      <w:divBdr>
        <w:top w:val="none" w:sz="0" w:space="0" w:color="auto"/>
        <w:left w:val="none" w:sz="0" w:space="0" w:color="auto"/>
        <w:bottom w:val="none" w:sz="0" w:space="0" w:color="auto"/>
        <w:right w:val="none" w:sz="0" w:space="0" w:color="auto"/>
      </w:divBdr>
    </w:div>
    <w:div w:id="399065493">
      <w:bodyDiv w:val="1"/>
      <w:marLeft w:val="0"/>
      <w:marRight w:val="0"/>
      <w:marTop w:val="0"/>
      <w:marBottom w:val="0"/>
      <w:divBdr>
        <w:top w:val="none" w:sz="0" w:space="0" w:color="auto"/>
        <w:left w:val="none" w:sz="0" w:space="0" w:color="auto"/>
        <w:bottom w:val="none" w:sz="0" w:space="0" w:color="auto"/>
        <w:right w:val="none" w:sz="0" w:space="0" w:color="auto"/>
      </w:divBdr>
    </w:div>
    <w:div w:id="399257266">
      <w:bodyDiv w:val="1"/>
      <w:marLeft w:val="0"/>
      <w:marRight w:val="0"/>
      <w:marTop w:val="0"/>
      <w:marBottom w:val="0"/>
      <w:divBdr>
        <w:top w:val="none" w:sz="0" w:space="0" w:color="auto"/>
        <w:left w:val="none" w:sz="0" w:space="0" w:color="auto"/>
        <w:bottom w:val="none" w:sz="0" w:space="0" w:color="auto"/>
        <w:right w:val="none" w:sz="0" w:space="0" w:color="auto"/>
      </w:divBdr>
    </w:div>
    <w:div w:id="399325284">
      <w:bodyDiv w:val="1"/>
      <w:marLeft w:val="0"/>
      <w:marRight w:val="0"/>
      <w:marTop w:val="0"/>
      <w:marBottom w:val="0"/>
      <w:divBdr>
        <w:top w:val="none" w:sz="0" w:space="0" w:color="auto"/>
        <w:left w:val="none" w:sz="0" w:space="0" w:color="auto"/>
        <w:bottom w:val="none" w:sz="0" w:space="0" w:color="auto"/>
        <w:right w:val="none" w:sz="0" w:space="0" w:color="auto"/>
      </w:divBdr>
    </w:div>
    <w:div w:id="399406420">
      <w:bodyDiv w:val="1"/>
      <w:marLeft w:val="0"/>
      <w:marRight w:val="0"/>
      <w:marTop w:val="0"/>
      <w:marBottom w:val="0"/>
      <w:divBdr>
        <w:top w:val="none" w:sz="0" w:space="0" w:color="auto"/>
        <w:left w:val="none" w:sz="0" w:space="0" w:color="auto"/>
        <w:bottom w:val="none" w:sz="0" w:space="0" w:color="auto"/>
        <w:right w:val="none" w:sz="0" w:space="0" w:color="auto"/>
      </w:divBdr>
    </w:div>
    <w:div w:id="399447895">
      <w:bodyDiv w:val="1"/>
      <w:marLeft w:val="0"/>
      <w:marRight w:val="0"/>
      <w:marTop w:val="0"/>
      <w:marBottom w:val="0"/>
      <w:divBdr>
        <w:top w:val="none" w:sz="0" w:space="0" w:color="auto"/>
        <w:left w:val="none" w:sz="0" w:space="0" w:color="auto"/>
        <w:bottom w:val="none" w:sz="0" w:space="0" w:color="auto"/>
        <w:right w:val="none" w:sz="0" w:space="0" w:color="auto"/>
      </w:divBdr>
    </w:div>
    <w:div w:id="399711508">
      <w:bodyDiv w:val="1"/>
      <w:marLeft w:val="0"/>
      <w:marRight w:val="0"/>
      <w:marTop w:val="0"/>
      <w:marBottom w:val="0"/>
      <w:divBdr>
        <w:top w:val="none" w:sz="0" w:space="0" w:color="auto"/>
        <w:left w:val="none" w:sz="0" w:space="0" w:color="auto"/>
        <w:bottom w:val="none" w:sz="0" w:space="0" w:color="auto"/>
        <w:right w:val="none" w:sz="0" w:space="0" w:color="auto"/>
      </w:divBdr>
    </w:div>
    <w:div w:id="399867190">
      <w:bodyDiv w:val="1"/>
      <w:marLeft w:val="0"/>
      <w:marRight w:val="0"/>
      <w:marTop w:val="0"/>
      <w:marBottom w:val="0"/>
      <w:divBdr>
        <w:top w:val="none" w:sz="0" w:space="0" w:color="auto"/>
        <w:left w:val="none" w:sz="0" w:space="0" w:color="auto"/>
        <w:bottom w:val="none" w:sz="0" w:space="0" w:color="auto"/>
        <w:right w:val="none" w:sz="0" w:space="0" w:color="auto"/>
      </w:divBdr>
    </w:div>
    <w:div w:id="400106581">
      <w:bodyDiv w:val="1"/>
      <w:marLeft w:val="0"/>
      <w:marRight w:val="0"/>
      <w:marTop w:val="0"/>
      <w:marBottom w:val="0"/>
      <w:divBdr>
        <w:top w:val="none" w:sz="0" w:space="0" w:color="auto"/>
        <w:left w:val="none" w:sz="0" w:space="0" w:color="auto"/>
        <w:bottom w:val="none" w:sz="0" w:space="0" w:color="auto"/>
        <w:right w:val="none" w:sz="0" w:space="0" w:color="auto"/>
      </w:divBdr>
    </w:div>
    <w:div w:id="400176794">
      <w:bodyDiv w:val="1"/>
      <w:marLeft w:val="0"/>
      <w:marRight w:val="0"/>
      <w:marTop w:val="0"/>
      <w:marBottom w:val="0"/>
      <w:divBdr>
        <w:top w:val="none" w:sz="0" w:space="0" w:color="auto"/>
        <w:left w:val="none" w:sz="0" w:space="0" w:color="auto"/>
        <w:bottom w:val="none" w:sz="0" w:space="0" w:color="auto"/>
        <w:right w:val="none" w:sz="0" w:space="0" w:color="auto"/>
      </w:divBdr>
    </w:div>
    <w:div w:id="400257147">
      <w:bodyDiv w:val="1"/>
      <w:marLeft w:val="0"/>
      <w:marRight w:val="0"/>
      <w:marTop w:val="0"/>
      <w:marBottom w:val="0"/>
      <w:divBdr>
        <w:top w:val="none" w:sz="0" w:space="0" w:color="auto"/>
        <w:left w:val="none" w:sz="0" w:space="0" w:color="auto"/>
        <w:bottom w:val="none" w:sz="0" w:space="0" w:color="auto"/>
        <w:right w:val="none" w:sz="0" w:space="0" w:color="auto"/>
      </w:divBdr>
    </w:div>
    <w:div w:id="400564350">
      <w:bodyDiv w:val="1"/>
      <w:marLeft w:val="0"/>
      <w:marRight w:val="0"/>
      <w:marTop w:val="0"/>
      <w:marBottom w:val="0"/>
      <w:divBdr>
        <w:top w:val="none" w:sz="0" w:space="0" w:color="auto"/>
        <w:left w:val="none" w:sz="0" w:space="0" w:color="auto"/>
        <w:bottom w:val="none" w:sz="0" w:space="0" w:color="auto"/>
        <w:right w:val="none" w:sz="0" w:space="0" w:color="auto"/>
      </w:divBdr>
    </w:div>
    <w:div w:id="400912857">
      <w:bodyDiv w:val="1"/>
      <w:marLeft w:val="0"/>
      <w:marRight w:val="0"/>
      <w:marTop w:val="0"/>
      <w:marBottom w:val="0"/>
      <w:divBdr>
        <w:top w:val="none" w:sz="0" w:space="0" w:color="auto"/>
        <w:left w:val="none" w:sz="0" w:space="0" w:color="auto"/>
        <w:bottom w:val="none" w:sz="0" w:space="0" w:color="auto"/>
        <w:right w:val="none" w:sz="0" w:space="0" w:color="auto"/>
      </w:divBdr>
    </w:div>
    <w:div w:id="401105322">
      <w:bodyDiv w:val="1"/>
      <w:marLeft w:val="0"/>
      <w:marRight w:val="0"/>
      <w:marTop w:val="0"/>
      <w:marBottom w:val="0"/>
      <w:divBdr>
        <w:top w:val="none" w:sz="0" w:space="0" w:color="auto"/>
        <w:left w:val="none" w:sz="0" w:space="0" w:color="auto"/>
        <w:bottom w:val="none" w:sz="0" w:space="0" w:color="auto"/>
        <w:right w:val="none" w:sz="0" w:space="0" w:color="auto"/>
      </w:divBdr>
    </w:div>
    <w:div w:id="401366355">
      <w:bodyDiv w:val="1"/>
      <w:marLeft w:val="0"/>
      <w:marRight w:val="0"/>
      <w:marTop w:val="0"/>
      <w:marBottom w:val="0"/>
      <w:divBdr>
        <w:top w:val="none" w:sz="0" w:space="0" w:color="auto"/>
        <w:left w:val="none" w:sz="0" w:space="0" w:color="auto"/>
        <w:bottom w:val="none" w:sz="0" w:space="0" w:color="auto"/>
        <w:right w:val="none" w:sz="0" w:space="0" w:color="auto"/>
      </w:divBdr>
    </w:div>
    <w:div w:id="401411724">
      <w:bodyDiv w:val="1"/>
      <w:marLeft w:val="0"/>
      <w:marRight w:val="0"/>
      <w:marTop w:val="0"/>
      <w:marBottom w:val="0"/>
      <w:divBdr>
        <w:top w:val="none" w:sz="0" w:space="0" w:color="auto"/>
        <w:left w:val="none" w:sz="0" w:space="0" w:color="auto"/>
        <w:bottom w:val="none" w:sz="0" w:space="0" w:color="auto"/>
        <w:right w:val="none" w:sz="0" w:space="0" w:color="auto"/>
      </w:divBdr>
    </w:div>
    <w:div w:id="401412028">
      <w:bodyDiv w:val="1"/>
      <w:marLeft w:val="0"/>
      <w:marRight w:val="0"/>
      <w:marTop w:val="0"/>
      <w:marBottom w:val="0"/>
      <w:divBdr>
        <w:top w:val="none" w:sz="0" w:space="0" w:color="auto"/>
        <w:left w:val="none" w:sz="0" w:space="0" w:color="auto"/>
        <w:bottom w:val="none" w:sz="0" w:space="0" w:color="auto"/>
        <w:right w:val="none" w:sz="0" w:space="0" w:color="auto"/>
      </w:divBdr>
    </w:div>
    <w:div w:id="401609872">
      <w:bodyDiv w:val="1"/>
      <w:marLeft w:val="0"/>
      <w:marRight w:val="0"/>
      <w:marTop w:val="0"/>
      <w:marBottom w:val="0"/>
      <w:divBdr>
        <w:top w:val="none" w:sz="0" w:space="0" w:color="auto"/>
        <w:left w:val="none" w:sz="0" w:space="0" w:color="auto"/>
        <w:bottom w:val="none" w:sz="0" w:space="0" w:color="auto"/>
        <w:right w:val="none" w:sz="0" w:space="0" w:color="auto"/>
      </w:divBdr>
    </w:div>
    <w:div w:id="401611224">
      <w:bodyDiv w:val="1"/>
      <w:marLeft w:val="0"/>
      <w:marRight w:val="0"/>
      <w:marTop w:val="0"/>
      <w:marBottom w:val="0"/>
      <w:divBdr>
        <w:top w:val="none" w:sz="0" w:space="0" w:color="auto"/>
        <w:left w:val="none" w:sz="0" w:space="0" w:color="auto"/>
        <w:bottom w:val="none" w:sz="0" w:space="0" w:color="auto"/>
        <w:right w:val="none" w:sz="0" w:space="0" w:color="auto"/>
      </w:divBdr>
    </w:div>
    <w:div w:id="401755456">
      <w:bodyDiv w:val="1"/>
      <w:marLeft w:val="0"/>
      <w:marRight w:val="0"/>
      <w:marTop w:val="0"/>
      <w:marBottom w:val="0"/>
      <w:divBdr>
        <w:top w:val="none" w:sz="0" w:space="0" w:color="auto"/>
        <w:left w:val="none" w:sz="0" w:space="0" w:color="auto"/>
        <w:bottom w:val="none" w:sz="0" w:space="0" w:color="auto"/>
        <w:right w:val="none" w:sz="0" w:space="0" w:color="auto"/>
      </w:divBdr>
    </w:div>
    <w:div w:id="401831231">
      <w:bodyDiv w:val="1"/>
      <w:marLeft w:val="0"/>
      <w:marRight w:val="0"/>
      <w:marTop w:val="0"/>
      <w:marBottom w:val="0"/>
      <w:divBdr>
        <w:top w:val="none" w:sz="0" w:space="0" w:color="auto"/>
        <w:left w:val="none" w:sz="0" w:space="0" w:color="auto"/>
        <w:bottom w:val="none" w:sz="0" w:space="0" w:color="auto"/>
        <w:right w:val="none" w:sz="0" w:space="0" w:color="auto"/>
      </w:divBdr>
    </w:div>
    <w:div w:id="401953728">
      <w:bodyDiv w:val="1"/>
      <w:marLeft w:val="0"/>
      <w:marRight w:val="0"/>
      <w:marTop w:val="0"/>
      <w:marBottom w:val="0"/>
      <w:divBdr>
        <w:top w:val="none" w:sz="0" w:space="0" w:color="auto"/>
        <w:left w:val="none" w:sz="0" w:space="0" w:color="auto"/>
        <w:bottom w:val="none" w:sz="0" w:space="0" w:color="auto"/>
        <w:right w:val="none" w:sz="0" w:space="0" w:color="auto"/>
      </w:divBdr>
    </w:div>
    <w:div w:id="402021271">
      <w:bodyDiv w:val="1"/>
      <w:marLeft w:val="0"/>
      <w:marRight w:val="0"/>
      <w:marTop w:val="0"/>
      <w:marBottom w:val="0"/>
      <w:divBdr>
        <w:top w:val="none" w:sz="0" w:space="0" w:color="auto"/>
        <w:left w:val="none" w:sz="0" w:space="0" w:color="auto"/>
        <w:bottom w:val="none" w:sz="0" w:space="0" w:color="auto"/>
        <w:right w:val="none" w:sz="0" w:space="0" w:color="auto"/>
      </w:divBdr>
    </w:div>
    <w:div w:id="402069957">
      <w:bodyDiv w:val="1"/>
      <w:marLeft w:val="0"/>
      <w:marRight w:val="0"/>
      <w:marTop w:val="0"/>
      <w:marBottom w:val="0"/>
      <w:divBdr>
        <w:top w:val="none" w:sz="0" w:space="0" w:color="auto"/>
        <w:left w:val="none" w:sz="0" w:space="0" w:color="auto"/>
        <w:bottom w:val="none" w:sz="0" w:space="0" w:color="auto"/>
        <w:right w:val="none" w:sz="0" w:space="0" w:color="auto"/>
      </w:divBdr>
    </w:div>
    <w:div w:id="402222169">
      <w:bodyDiv w:val="1"/>
      <w:marLeft w:val="0"/>
      <w:marRight w:val="0"/>
      <w:marTop w:val="0"/>
      <w:marBottom w:val="0"/>
      <w:divBdr>
        <w:top w:val="none" w:sz="0" w:space="0" w:color="auto"/>
        <w:left w:val="none" w:sz="0" w:space="0" w:color="auto"/>
        <w:bottom w:val="none" w:sz="0" w:space="0" w:color="auto"/>
        <w:right w:val="none" w:sz="0" w:space="0" w:color="auto"/>
      </w:divBdr>
    </w:div>
    <w:div w:id="402262424">
      <w:bodyDiv w:val="1"/>
      <w:marLeft w:val="0"/>
      <w:marRight w:val="0"/>
      <w:marTop w:val="0"/>
      <w:marBottom w:val="0"/>
      <w:divBdr>
        <w:top w:val="none" w:sz="0" w:space="0" w:color="auto"/>
        <w:left w:val="none" w:sz="0" w:space="0" w:color="auto"/>
        <w:bottom w:val="none" w:sz="0" w:space="0" w:color="auto"/>
        <w:right w:val="none" w:sz="0" w:space="0" w:color="auto"/>
      </w:divBdr>
    </w:div>
    <w:div w:id="402266569">
      <w:bodyDiv w:val="1"/>
      <w:marLeft w:val="0"/>
      <w:marRight w:val="0"/>
      <w:marTop w:val="0"/>
      <w:marBottom w:val="0"/>
      <w:divBdr>
        <w:top w:val="none" w:sz="0" w:space="0" w:color="auto"/>
        <w:left w:val="none" w:sz="0" w:space="0" w:color="auto"/>
        <w:bottom w:val="none" w:sz="0" w:space="0" w:color="auto"/>
        <w:right w:val="none" w:sz="0" w:space="0" w:color="auto"/>
      </w:divBdr>
    </w:div>
    <w:div w:id="402603205">
      <w:bodyDiv w:val="1"/>
      <w:marLeft w:val="0"/>
      <w:marRight w:val="0"/>
      <w:marTop w:val="0"/>
      <w:marBottom w:val="0"/>
      <w:divBdr>
        <w:top w:val="none" w:sz="0" w:space="0" w:color="auto"/>
        <w:left w:val="none" w:sz="0" w:space="0" w:color="auto"/>
        <w:bottom w:val="none" w:sz="0" w:space="0" w:color="auto"/>
        <w:right w:val="none" w:sz="0" w:space="0" w:color="auto"/>
      </w:divBdr>
    </w:div>
    <w:div w:id="402945369">
      <w:bodyDiv w:val="1"/>
      <w:marLeft w:val="0"/>
      <w:marRight w:val="0"/>
      <w:marTop w:val="0"/>
      <w:marBottom w:val="0"/>
      <w:divBdr>
        <w:top w:val="none" w:sz="0" w:space="0" w:color="auto"/>
        <w:left w:val="none" w:sz="0" w:space="0" w:color="auto"/>
        <w:bottom w:val="none" w:sz="0" w:space="0" w:color="auto"/>
        <w:right w:val="none" w:sz="0" w:space="0" w:color="auto"/>
      </w:divBdr>
    </w:div>
    <w:div w:id="403113796">
      <w:bodyDiv w:val="1"/>
      <w:marLeft w:val="0"/>
      <w:marRight w:val="0"/>
      <w:marTop w:val="0"/>
      <w:marBottom w:val="0"/>
      <w:divBdr>
        <w:top w:val="none" w:sz="0" w:space="0" w:color="auto"/>
        <w:left w:val="none" w:sz="0" w:space="0" w:color="auto"/>
        <w:bottom w:val="none" w:sz="0" w:space="0" w:color="auto"/>
        <w:right w:val="none" w:sz="0" w:space="0" w:color="auto"/>
      </w:divBdr>
    </w:div>
    <w:div w:id="403138928">
      <w:bodyDiv w:val="1"/>
      <w:marLeft w:val="0"/>
      <w:marRight w:val="0"/>
      <w:marTop w:val="0"/>
      <w:marBottom w:val="0"/>
      <w:divBdr>
        <w:top w:val="none" w:sz="0" w:space="0" w:color="auto"/>
        <w:left w:val="none" w:sz="0" w:space="0" w:color="auto"/>
        <w:bottom w:val="none" w:sz="0" w:space="0" w:color="auto"/>
        <w:right w:val="none" w:sz="0" w:space="0" w:color="auto"/>
      </w:divBdr>
    </w:div>
    <w:div w:id="403182107">
      <w:bodyDiv w:val="1"/>
      <w:marLeft w:val="0"/>
      <w:marRight w:val="0"/>
      <w:marTop w:val="0"/>
      <w:marBottom w:val="0"/>
      <w:divBdr>
        <w:top w:val="none" w:sz="0" w:space="0" w:color="auto"/>
        <w:left w:val="none" w:sz="0" w:space="0" w:color="auto"/>
        <w:bottom w:val="none" w:sz="0" w:space="0" w:color="auto"/>
        <w:right w:val="none" w:sz="0" w:space="0" w:color="auto"/>
      </w:divBdr>
    </w:div>
    <w:div w:id="403257819">
      <w:bodyDiv w:val="1"/>
      <w:marLeft w:val="0"/>
      <w:marRight w:val="0"/>
      <w:marTop w:val="0"/>
      <w:marBottom w:val="0"/>
      <w:divBdr>
        <w:top w:val="none" w:sz="0" w:space="0" w:color="auto"/>
        <w:left w:val="none" w:sz="0" w:space="0" w:color="auto"/>
        <w:bottom w:val="none" w:sz="0" w:space="0" w:color="auto"/>
        <w:right w:val="none" w:sz="0" w:space="0" w:color="auto"/>
      </w:divBdr>
    </w:div>
    <w:div w:id="403260830">
      <w:bodyDiv w:val="1"/>
      <w:marLeft w:val="0"/>
      <w:marRight w:val="0"/>
      <w:marTop w:val="0"/>
      <w:marBottom w:val="0"/>
      <w:divBdr>
        <w:top w:val="none" w:sz="0" w:space="0" w:color="auto"/>
        <w:left w:val="none" w:sz="0" w:space="0" w:color="auto"/>
        <w:bottom w:val="none" w:sz="0" w:space="0" w:color="auto"/>
        <w:right w:val="none" w:sz="0" w:space="0" w:color="auto"/>
      </w:divBdr>
    </w:div>
    <w:div w:id="403456958">
      <w:bodyDiv w:val="1"/>
      <w:marLeft w:val="0"/>
      <w:marRight w:val="0"/>
      <w:marTop w:val="0"/>
      <w:marBottom w:val="0"/>
      <w:divBdr>
        <w:top w:val="none" w:sz="0" w:space="0" w:color="auto"/>
        <w:left w:val="none" w:sz="0" w:space="0" w:color="auto"/>
        <w:bottom w:val="none" w:sz="0" w:space="0" w:color="auto"/>
        <w:right w:val="none" w:sz="0" w:space="0" w:color="auto"/>
      </w:divBdr>
    </w:div>
    <w:div w:id="403601083">
      <w:bodyDiv w:val="1"/>
      <w:marLeft w:val="0"/>
      <w:marRight w:val="0"/>
      <w:marTop w:val="0"/>
      <w:marBottom w:val="0"/>
      <w:divBdr>
        <w:top w:val="none" w:sz="0" w:space="0" w:color="auto"/>
        <w:left w:val="none" w:sz="0" w:space="0" w:color="auto"/>
        <w:bottom w:val="none" w:sz="0" w:space="0" w:color="auto"/>
        <w:right w:val="none" w:sz="0" w:space="0" w:color="auto"/>
      </w:divBdr>
    </w:div>
    <w:div w:id="403723063">
      <w:bodyDiv w:val="1"/>
      <w:marLeft w:val="0"/>
      <w:marRight w:val="0"/>
      <w:marTop w:val="0"/>
      <w:marBottom w:val="0"/>
      <w:divBdr>
        <w:top w:val="none" w:sz="0" w:space="0" w:color="auto"/>
        <w:left w:val="none" w:sz="0" w:space="0" w:color="auto"/>
        <w:bottom w:val="none" w:sz="0" w:space="0" w:color="auto"/>
        <w:right w:val="none" w:sz="0" w:space="0" w:color="auto"/>
      </w:divBdr>
    </w:div>
    <w:div w:id="403794042">
      <w:bodyDiv w:val="1"/>
      <w:marLeft w:val="0"/>
      <w:marRight w:val="0"/>
      <w:marTop w:val="0"/>
      <w:marBottom w:val="0"/>
      <w:divBdr>
        <w:top w:val="none" w:sz="0" w:space="0" w:color="auto"/>
        <w:left w:val="none" w:sz="0" w:space="0" w:color="auto"/>
        <w:bottom w:val="none" w:sz="0" w:space="0" w:color="auto"/>
        <w:right w:val="none" w:sz="0" w:space="0" w:color="auto"/>
      </w:divBdr>
    </w:div>
    <w:div w:id="404258667">
      <w:bodyDiv w:val="1"/>
      <w:marLeft w:val="0"/>
      <w:marRight w:val="0"/>
      <w:marTop w:val="0"/>
      <w:marBottom w:val="0"/>
      <w:divBdr>
        <w:top w:val="none" w:sz="0" w:space="0" w:color="auto"/>
        <w:left w:val="none" w:sz="0" w:space="0" w:color="auto"/>
        <w:bottom w:val="none" w:sz="0" w:space="0" w:color="auto"/>
        <w:right w:val="none" w:sz="0" w:space="0" w:color="auto"/>
      </w:divBdr>
    </w:div>
    <w:div w:id="404381594">
      <w:bodyDiv w:val="1"/>
      <w:marLeft w:val="0"/>
      <w:marRight w:val="0"/>
      <w:marTop w:val="0"/>
      <w:marBottom w:val="0"/>
      <w:divBdr>
        <w:top w:val="none" w:sz="0" w:space="0" w:color="auto"/>
        <w:left w:val="none" w:sz="0" w:space="0" w:color="auto"/>
        <w:bottom w:val="none" w:sz="0" w:space="0" w:color="auto"/>
        <w:right w:val="none" w:sz="0" w:space="0" w:color="auto"/>
      </w:divBdr>
    </w:div>
    <w:div w:id="404449362">
      <w:bodyDiv w:val="1"/>
      <w:marLeft w:val="0"/>
      <w:marRight w:val="0"/>
      <w:marTop w:val="0"/>
      <w:marBottom w:val="0"/>
      <w:divBdr>
        <w:top w:val="none" w:sz="0" w:space="0" w:color="auto"/>
        <w:left w:val="none" w:sz="0" w:space="0" w:color="auto"/>
        <w:bottom w:val="none" w:sz="0" w:space="0" w:color="auto"/>
        <w:right w:val="none" w:sz="0" w:space="0" w:color="auto"/>
      </w:divBdr>
    </w:div>
    <w:div w:id="404571988">
      <w:bodyDiv w:val="1"/>
      <w:marLeft w:val="0"/>
      <w:marRight w:val="0"/>
      <w:marTop w:val="0"/>
      <w:marBottom w:val="0"/>
      <w:divBdr>
        <w:top w:val="none" w:sz="0" w:space="0" w:color="auto"/>
        <w:left w:val="none" w:sz="0" w:space="0" w:color="auto"/>
        <w:bottom w:val="none" w:sz="0" w:space="0" w:color="auto"/>
        <w:right w:val="none" w:sz="0" w:space="0" w:color="auto"/>
      </w:divBdr>
    </w:div>
    <w:div w:id="404646159">
      <w:bodyDiv w:val="1"/>
      <w:marLeft w:val="0"/>
      <w:marRight w:val="0"/>
      <w:marTop w:val="0"/>
      <w:marBottom w:val="0"/>
      <w:divBdr>
        <w:top w:val="none" w:sz="0" w:space="0" w:color="auto"/>
        <w:left w:val="none" w:sz="0" w:space="0" w:color="auto"/>
        <w:bottom w:val="none" w:sz="0" w:space="0" w:color="auto"/>
        <w:right w:val="none" w:sz="0" w:space="0" w:color="auto"/>
      </w:divBdr>
    </w:div>
    <w:div w:id="404651892">
      <w:bodyDiv w:val="1"/>
      <w:marLeft w:val="0"/>
      <w:marRight w:val="0"/>
      <w:marTop w:val="0"/>
      <w:marBottom w:val="0"/>
      <w:divBdr>
        <w:top w:val="none" w:sz="0" w:space="0" w:color="auto"/>
        <w:left w:val="none" w:sz="0" w:space="0" w:color="auto"/>
        <w:bottom w:val="none" w:sz="0" w:space="0" w:color="auto"/>
        <w:right w:val="none" w:sz="0" w:space="0" w:color="auto"/>
      </w:divBdr>
    </w:div>
    <w:div w:id="404684941">
      <w:bodyDiv w:val="1"/>
      <w:marLeft w:val="0"/>
      <w:marRight w:val="0"/>
      <w:marTop w:val="0"/>
      <w:marBottom w:val="0"/>
      <w:divBdr>
        <w:top w:val="none" w:sz="0" w:space="0" w:color="auto"/>
        <w:left w:val="none" w:sz="0" w:space="0" w:color="auto"/>
        <w:bottom w:val="none" w:sz="0" w:space="0" w:color="auto"/>
        <w:right w:val="none" w:sz="0" w:space="0" w:color="auto"/>
      </w:divBdr>
    </w:div>
    <w:div w:id="404692091">
      <w:bodyDiv w:val="1"/>
      <w:marLeft w:val="0"/>
      <w:marRight w:val="0"/>
      <w:marTop w:val="0"/>
      <w:marBottom w:val="0"/>
      <w:divBdr>
        <w:top w:val="none" w:sz="0" w:space="0" w:color="auto"/>
        <w:left w:val="none" w:sz="0" w:space="0" w:color="auto"/>
        <w:bottom w:val="none" w:sz="0" w:space="0" w:color="auto"/>
        <w:right w:val="none" w:sz="0" w:space="0" w:color="auto"/>
      </w:divBdr>
    </w:div>
    <w:div w:id="404881847">
      <w:bodyDiv w:val="1"/>
      <w:marLeft w:val="0"/>
      <w:marRight w:val="0"/>
      <w:marTop w:val="0"/>
      <w:marBottom w:val="0"/>
      <w:divBdr>
        <w:top w:val="none" w:sz="0" w:space="0" w:color="auto"/>
        <w:left w:val="none" w:sz="0" w:space="0" w:color="auto"/>
        <w:bottom w:val="none" w:sz="0" w:space="0" w:color="auto"/>
        <w:right w:val="none" w:sz="0" w:space="0" w:color="auto"/>
      </w:divBdr>
    </w:div>
    <w:div w:id="404912196">
      <w:bodyDiv w:val="1"/>
      <w:marLeft w:val="0"/>
      <w:marRight w:val="0"/>
      <w:marTop w:val="0"/>
      <w:marBottom w:val="0"/>
      <w:divBdr>
        <w:top w:val="none" w:sz="0" w:space="0" w:color="auto"/>
        <w:left w:val="none" w:sz="0" w:space="0" w:color="auto"/>
        <w:bottom w:val="none" w:sz="0" w:space="0" w:color="auto"/>
        <w:right w:val="none" w:sz="0" w:space="0" w:color="auto"/>
      </w:divBdr>
    </w:div>
    <w:div w:id="405033071">
      <w:bodyDiv w:val="1"/>
      <w:marLeft w:val="0"/>
      <w:marRight w:val="0"/>
      <w:marTop w:val="0"/>
      <w:marBottom w:val="0"/>
      <w:divBdr>
        <w:top w:val="none" w:sz="0" w:space="0" w:color="auto"/>
        <w:left w:val="none" w:sz="0" w:space="0" w:color="auto"/>
        <w:bottom w:val="none" w:sz="0" w:space="0" w:color="auto"/>
        <w:right w:val="none" w:sz="0" w:space="0" w:color="auto"/>
      </w:divBdr>
    </w:div>
    <w:div w:id="405110145">
      <w:bodyDiv w:val="1"/>
      <w:marLeft w:val="0"/>
      <w:marRight w:val="0"/>
      <w:marTop w:val="0"/>
      <w:marBottom w:val="0"/>
      <w:divBdr>
        <w:top w:val="none" w:sz="0" w:space="0" w:color="auto"/>
        <w:left w:val="none" w:sz="0" w:space="0" w:color="auto"/>
        <w:bottom w:val="none" w:sz="0" w:space="0" w:color="auto"/>
        <w:right w:val="none" w:sz="0" w:space="0" w:color="auto"/>
      </w:divBdr>
    </w:div>
    <w:div w:id="405222137">
      <w:bodyDiv w:val="1"/>
      <w:marLeft w:val="0"/>
      <w:marRight w:val="0"/>
      <w:marTop w:val="0"/>
      <w:marBottom w:val="0"/>
      <w:divBdr>
        <w:top w:val="none" w:sz="0" w:space="0" w:color="auto"/>
        <w:left w:val="none" w:sz="0" w:space="0" w:color="auto"/>
        <w:bottom w:val="none" w:sz="0" w:space="0" w:color="auto"/>
        <w:right w:val="none" w:sz="0" w:space="0" w:color="auto"/>
      </w:divBdr>
    </w:div>
    <w:div w:id="405416769">
      <w:bodyDiv w:val="1"/>
      <w:marLeft w:val="0"/>
      <w:marRight w:val="0"/>
      <w:marTop w:val="0"/>
      <w:marBottom w:val="0"/>
      <w:divBdr>
        <w:top w:val="none" w:sz="0" w:space="0" w:color="auto"/>
        <w:left w:val="none" w:sz="0" w:space="0" w:color="auto"/>
        <w:bottom w:val="none" w:sz="0" w:space="0" w:color="auto"/>
        <w:right w:val="none" w:sz="0" w:space="0" w:color="auto"/>
      </w:divBdr>
    </w:div>
    <w:div w:id="405609967">
      <w:bodyDiv w:val="1"/>
      <w:marLeft w:val="0"/>
      <w:marRight w:val="0"/>
      <w:marTop w:val="0"/>
      <w:marBottom w:val="0"/>
      <w:divBdr>
        <w:top w:val="none" w:sz="0" w:space="0" w:color="auto"/>
        <w:left w:val="none" w:sz="0" w:space="0" w:color="auto"/>
        <w:bottom w:val="none" w:sz="0" w:space="0" w:color="auto"/>
        <w:right w:val="none" w:sz="0" w:space="0" w:color="auto"/>
      </w:divBdr>
    </w:div>
    <w:div w:id="405763012">
      <w:bodyDiv w:val="1"/>
      <w:marLeft w:val="0"/>
      <w:marRight w:val="0"/>
      <w:marTop w:val="0"/>
      <w:marBottom w:val="0"/>
      <w:divBdr>
        <w:top w:val="none" w:sz="0" w:space="0" w:color="auto"/>
        <w:left w:val="none" w:sz="0" w:space="0" w:color="auto"/>
        <w:bottom w:val="none" w:sz="0" w:space="0" w:color="auto"/>
        <w:right w:val="none" w:sz="0" w:space="0" w:color="auto"/>
      </w:divBdr>
    </w:div>
    <w:div w:id="405807984">
      <w:bodyDiv w:val="1"/>
      <w:marLeft w:val="0"/>
      <w:marRight w:val="0"/>
      <w:marTop w:val="0"/>
      <w:marBottom w:val="0"/>
      <w:divBdr>
        <w:top w:val="none" w:sz="0" w:space="0" w:color="auto"/>
        <w:left w:val="none" w:sz="0" w:space="0" w:color="auto"/>
        <w:bottom w:val="none" w:sz="0" w:space="0" w:color="auto"/>
        <w:right w:val="none" w:sz="0" w:space="0" w:color="auto"/>
      </w:divBdr>
    </w:div>
    <w:div w:id="405960378">
      <w:bodyDiv w:val="1"/>
      <w:marLeft w:val="0"/>
      <w:marRight w:val="0"/>
      <w:marTop w:val="0"/>
      <w:marBottom w:val="0"/>
      <w:divBdr>
        <w:top w:val="none" w:sz="0" w:space="0" w:color="auto"/>
        <w:left w:val="none" w:sz="0" w:space="0" w:color="auto"/>
        <w:bottom w:val="none" w:sz="0" w:space="0" w:color="auto"/>
        <w:right w:val="none" w:sz="0" w:space="0" w:color="auto"/>
      </w:divBdr>
    </w:div>
    <w:div w:id="405998366">
      <w:bodyDiv w:val="1"/>
      <w:marLeft w:val="0"/>
      <w:marRight w:val="0"/>
      <w:marTop w:val="0"/>
      <w:marBottom w:val="0"/>
      <w:divBdr>
        <w:top w:val="none" w:sz="0" w:space="0" w:color="auto"/>
        <w:left w:val="none" w:sz="0" w:space="0" w:color="auto"/>
        <w:bottom w:val="none" w:sz="0" w:space="0" w:color="auto"/>
        <w:right w:val="none" w:sz="0" w:space="0" w:color="auto"/>
      </w:divBdr>
    </w:div>
    <w:div w:id="406000842">
      <w:bodyDiv w:val="1"/>
      <w:marLeft w:val="0"/>
      <w:marRight w:val="0"/>
      <w:marTop w:val="0"/>
      <w:marBottom w:val="0"/>
      <w:divBdr>
        <w:top w:val="none" w:sz="0" w:space="0" w:color="auto"/>
        <w:left w:val="none" w:sz="0" w:space="0" w:color="auto"/>
        <w:bottom w:val="none" w:sz="0" w:space="0" w:color="auto"/>
        <w:right w:val="none" w:sz="0" w:space="0" w:color="auto"/>
      </w:divBdr>
    </w:div>
    <w:div w:id="406075646">
      <w:bodyDiv w:val="1"/>
      <w:marLeft w:val="0"/>
      <w:marRight w:val="0"/>
      <w:marTop w:val="0"/>
      <w:marBottom w:val="0"/>
      <w:divBdr>
        <w:top w:val="none" w:sz="0" w:space="0" w:color="auto"/>
        <w:left w:val="none" w:sz="0" w:space="0" w:color="auto"/>
        <w:bottom w:val="none" w:sz="0" w:space="0" w:color="auto"/>
        <w:right w:val="none" w:sz="0" w:space="0" w:color="auto"/>
      </w:divBdr>
    </w:div>
    <w:div w:id="406076491">
      <w:bodyDiv w:val="1"/>
      <w:marLeft w:val="0"/>
      <w:marRight w:val="0"/>
      <w:marTop w:val="0"/>
      <w:marBottom w:val="0"/>
      <w:divBdr>
        <w:top w:val="none" w:sz="0" w:space="0" w:color="auto"/>
        <w:left w:val="none" w:sz="0" w:space="0" w:color="auto"/>
        <w:bottom w:val="none" w:sz="0" w:space="0" w:color="auto"/>
        <w:right w:val="none" w:sz="0" w:space="0" w:color="auto"/>
      </w:divBdr>
    </w:div>
    <w:div w:id="406222457">
      <w:bodyDiv w:val="1"/>
      <w:marLeft w:val="0"/>
      <w:marRight w:val="0"/>
      <w:marTop w:val="0"/>
      <w:marBottom w:val="0"/>
      <w:divBdr>
        <w:top w:val="none" w:sz="0" w:space="0" w:color="auto"/>
        <w:left w:val="none" w:sz="0" w:space="0" w:color="auto"/>
        <w:bottom w:val="none" w:sz="0" w:space="0" w:color="auto"/>
        <w:right w:val="none" w:sz="0" w:space="0" w:color="auto"/>
      </w:divBdr>
    </w:div>
    <w:div w:id="406457208">
      <w:bodyDiv w:val="1"/>
      <w:marLeft w:val="0"/>
      <w:marRight w:val="0"/>
      <w:marTop w:val="0"/>
      <w:marBottom w:val="0"/>
      <w:divBdr>
        <w:top w:val="none" w:sz="0" w:space="0" w:color="auto"/>
        <w:left w:val="none" w:sz="0" w:space="0" w:color="auto"/>
        <w:bottom w:val="none" w:sz="0" w:space="0" w:color="auto"/>
        <w:right w:val="none" w:sz="0" w:space="0" w:color="auto"/>
      </w:divBdr>
    </w:div>
    <w:div w:id="406463936">
      <w:bodyDiv w:val="1"/>
      <w:marLeft w:val="0"/>
      <w:marRight w:val="0"/>
      <w:marTop w:val="0"/>
      <w:marBottom w:val="0"/>
      <w:divBdr>
        <w:top w:val="none" w:sz="0" w:space="0" w:color="auto"/>
        <w:left w:val="none" w:sz="0" w:space="0" w:color="auto"/>
        <w:bottom w:val="none" w:sz="0" w:space="0" w:color="auto"/>
        <w:right w:val="none" w:sz="0" w:space="0" w:color="auto"/>
      </w:divBdr>
    </w:div>
    <w:div w:id="406734835">
      <w:bodyDiv w:val="1"/>
      <w:marLeft w:val="0"/>
      <w:marRight w:val="0"/>
      <w:marTop w:val="0"/>
      <w:marBottom w:val="0"/>
      <w:divBdr>
        <w:top w:val="none" w:sz="0" w:space="0" w:color="auto"/>
        <w:left w:val="none" w:sz="0" w:space="0" w:color="auto"/>
        <w:bottom w:val="none" w:sz="0" w:space="0" w:color="auto"/>
        <w:right w:val="none" w:sz="0" w:space="0" w:color="auto"/>
      </w:divBdr>
    </w:div>
    <w:div w:id="406996022">
      <w:bodyDiv w:val="1"/>
      <w:marLeft w:val="0"/>
      <w:marRight w:val="0"/>
      <w:marTop w:val="0"/>
      <w:marBottom w:val="0"/>
      <w:divBdr>
        <w:top w:val="none" w:sz="0" w:space="0" w:color="auto"/>
        <w:left w:val="none" w:sz="0" w:space="0" w:color="auto"/>
        <w:bottom w:val="none" w:sz="0" w:space="0" w:color="auto"/>
        <w:right w:val="none" w:sz="0" w:space="0" w:color="auto"/>
      </w:divBdr>
    </w:div>
    <w:div w:id="407114209">
      <w:bodyDiv w:val="1"/>
      <w:marLeft w:val="0"/>
      <w:marRight w:val="0"/>
      <w:marTop w:val="0"/>
      <w:marBottom w:val="0"/>
      <w:divBdr>
        <w:top w:val="none" w:sz="0" w:space="0" w:color="auto"/>
        <w:left w:val="none" w:sz="0" w:space="0" w:color="auto"/>
        <w:bottom w:val="none" w:sz="0" w:space="0" w:color="auto"/>
        <w:right w:val="none" w:sz="0" w:space="0" w:color="auto"/>
      </w:divBdr>
    </w:div>
    <w:div w:id="407116560">
      <w:bodyDiv w:val="1"/>
      <w:marLeft w:val="0"/>
      <w:marRight w:val="0"/>
      <w:marTop w:val="0"/>
      <w:marBottom w:val="0"/>
      <w:divBdr>
        <w:top w:val="none" w:sz="0" w:space="0" w:color="auto"/>
        <w:left w:val="none" w:sz="0" w:space="0" w:color="auto"/>
        <w:bottom w:val="none" w:sz="0" w:space="0" w:color="auto"/>
        <w:right w:val="none" w:sz="0" w:space="0" w:color="auto"/>
      </w:divBdr>
    </w:div>
    <w:div w:id="407191389">
      <w:bodyDiv w:val="1"/>
      <w:marLeft w:val="0"/>
      <w:marRight w:val="0"/>
      <w:marTop w:val="0"/>
      <w:marBottom w:val="0"/>
      <w:divBdr>
        <w:top w:val="none" w:sz="0" w:space="0" w:color="auto"/>
        <w:left w:val="none" w:sz="0" w:space="0" w:color="auto"/>
        <w:bottom w:val="none" w:sz="0" w:space="0" w:color="auto"/>
        <w:right w:val="none" w:sz="0" w:space="0" w:color="auto"/>
      </w:divBdr>
    </w:div>
    <w:div w:id="407271311">
      <w:bodyDiv w:val="1"/>
      <w:marLeft w:val="0"/>
      <w:marRight w:val="0"/>
      <w:marTop w:val="0"/>
      <w:marBottom w:val="0"/>
      <w:divBdr>
        <w:top w:val="none" w:sz="0" w:space="0" w:color="auto"/>
        <w:left w:val="none" w:sz="0" w:space="0" w:color="auto"/>
        <w:bottom w:val="none" w:sz="0" w:space="0" w:color="auto"/>
        <w:right w:val="none" w:sz="0" w:space="0" w:color="auto"/>
      </w:divBdr>
    </w:div>
    <w:div w:id="407315235">
      <w:bodyDiv w:val="1"/>
      <w:marLeft w:val="0"/>
      <w:marRight w:val="0"/>
      <w:marTop w:val="0"/>
      <w:marBottom w:val="0"/>
      <w:divBdr>
        <w:top w:val="none" w:sz="0" w:space="0" w:color="auto"/>
        <w:left w:val="none" w:sz="0" w:space="0" w:color="auto"/>
        <w:bottom w:val="none" w:sz="0" w:space="0" w:color="auto"/>
        <w:right w:val="none" w:sz="0" w:space="0" w:color="auto"/>
      </w:divBdr>
    </w:div>
    <w:div w:id="407390090">
      <w:bodyDiv w:val="1"/>
      <w:marLeft w:val="0"/>
      <w:marRight w:val="0"/>
      <w:marTop w:val="0"/>
      <w:marBottom w:val="0"/>
      <w:divBdr>
        <w:top w:val="none" w:sz="0" w:space="0" w:color="auto"/>
        <w:left w:val="none" w:sz="0" w:space="0" w:color="auto"/>
        <w:bottom w:val="none" w:sz="0" w:space="0" w:color="auto"/>
        <w:right w:val="none" w:sz="0" w:space="0" w:color="auto"/>
      </w:divBdr>
    </w:div>
    <w:div w:id="407725523">
      <w:bodyDiv w:val="1"/>
      <w:marLeft w:val="0"/>
      <w:marRight w:val="0"/>
      <w:marTop w:val="0"/>
      <w:marBottom w:val="0"/>
      <w:divBdr>
        <w:top w:val="none" w:sz="0" w:space="0" w:color="auto"/>
        <w:left w:val="none" w:sz="0" w:space="0" w:color="auto"/>
        <w:bottom w:val="none" w:sz="0" w:space="0" w:color="auto"/>
        <w:right w:val="none" w:sz="0" w:space="0" w:color="auto"/>
      </w:divBdr>
    </w:div>
    <w:div w:id="407843454">
      <w:bodyDiv w:val="1"/>
      <w:marLeft w:val="0"/>
      <w:marRight w:val="0"/>
      <w:marTop w:val="0"/>
      <w:marBottom w:val="0"/>
      <w:divBdr>
        <w:top w:val="none" w:sz="0" w:space="0" w:color="auto"/>
        <w:left w:val="none" w:sz="0" w:space="0" w:color="auto"/>
        <w:bottom w:val="none" w:sz="0" w:space="0" w:color="auto"/>
        <w:right w:val="none" w:sz="0" w:space="0" w:color="auto"/>
      </w:divBdr>
    </w:div>
    <w:div w:id="407852434">
      <w:bodyDiv w:val="1"/>
      <w:marLeft w:val="0"/>
      <w:marRight w:val="0"/>
      <w:marTop w:val="0"/>
      <w:marBottom w:val="0"/>
      <w:divBdr>
        <w:top w:val="none" w:sz="0" w:space="0" w:color="auto"/>
        <w:left w:val="none" w:sz="0" w:space="0" w:color="auto"/>
        <w:bottom w:val="none" w:sz="0" w:space="0" w:color="auto"/>
        <w:right w:val="none" w:sz="0" w:space="0" w:color="auto"/>
      </w:divBdr>
    </w:div>
    <w:div w:id="408158337">
      <w:bodyDiv w:val="1"/>
      <w:marLeft w:val="0"/>
      <w:marRight w:val="0"/>
      <w:marTop w:val="0"/>
      <w:marBottom w:val="0"/>
      <w:divBdr>
        <w:top w:val="none" w:sz="0" w:space="0" w:color="auto"/>
        <w:left w:val="none" w:sz="0" w:space="0" w:color="auto"/>
        <w:bottom w:val="none" w:sz="0" w:space="0" w:color="auto"/>
        <w:right w:val="none" w:sz="0" w:space="0" w:color="auto"/>
      </w:divBdr>
    </w:div>
    <w:div w:id="408190034">
      <w:bodyDiv w:val="1"/>
      <w:marLeft w:val="0"/>
      <w:marRight w:val="0"/>
      <w:marTop w:val="0"/>
      <w:marBottom w:val="0"/>
      <w:divBdr>
        <w:top w:val="none" w:sz="0" w:space="0" w:color="auto"/>
        <w:left w:val="none" w:sz="0" w:space="0" w:color="auto"/>
        <w:bottom w:val="none" w:sz="0" w:space="0" w:color="auto"/>
        <w:right w:val="none" w:sz="0" w:space="0" w:color="auto"/>
      </w:divBdr>
    </w:div>
    <w:div w:id="408431108">
      <w:bodyDiv w:val="1"/>
      <w:marLeft w:val="0"/>
      <w:marRight w:val="0"/>
      <w:marTop w:val="0"/>
      <w:marBottom w:val="0"/>
      <w:divBdr>
        <w:top w:val="none" w:sz="0" w:space="0" w:color="auto"/>
        <w:left w:val="none" w:sz="0" w:space="0" w:color="auto"/>
        <w:bottom w:val="none" w:sz="0" w:space="0" w:color="auto"/>
        <w:right w:val="none" w:sz="0" w:space="0" w:color="auto"/>
      </w:divBdr>
    </w:div>
    <w:div w:id="408499958">
      <w:bodyDiv w:val="1"/>
      <w:marLeft w:val="0"/>
      <w:marRight w:val="0"/>
      <w:marTop w:val="0"/>
      <w:marBottom w:val="0"/>
      <w:divBdr>
        <w:top w:val="none" w:sz="0" w:space="0" w:color="auto"/>
        <w:left w:val="none" w:sz="0" w:space="0" w:color="auto"/>
        <w:bottom w:val="none" w:sz="0" w:space="0" w:color="auto"/>
        <w:right w:val="none" w:sz="0" w:space="0" w:color="auto"/>
      </w:divBdr>
    </w:div>
    <w:div w:id="408582726">
      <w:bodyDiv w:val="1"/>
      <w:marLeft w:val="0"/>
      <w:marRight w:val="0"/>
      <w:marTop w:val="0"/>
      <w:marBottom w:val="0"/>
      <w:divBdr>
        <w:top w:val="none" w:sz="0" w:space="0" w:color="auto"/>
        <w:left w:val="none" w:sz="0" w:space="0" w:color="auto"/>
        <w:bottom w:val="none" w:sz="0" w:space="0" w:color="auto"/>
        <w:right w:val="none" w:sz="0" w:space="0" w:color="auto"/>
      </w:divBdr>
    </w:div>
    <w:div w:id="408625761">
      <w:bodyDiv w:val="1"/>
      <w:marLeft w:val="0"/>
      <w:marRight w:val="0"/>
      <w:marTop w:val="0"/>
      <w:marBottom w:val="0"/>
      <w:divBdr>
        <w:top w:val="none" w:sz="0" w:space="0" w:color="auto"/>
        <w:left w:val="none" w:sz="0" w:space="0" w:color="auto"/>
        <w:bottom w:val="none" w:sz="0" w:space="0" w:color="auto"/>
        <w:right w:val="none" w:sz="0" w:space="0" w:color="auto"/>
      </w:divBdr>
    </w:div>
    <w:div w:id="408844365">
      <w:bodyDiv w:val="1"/>
      <w:marLeft w:val="0"/>
      <w:marRight w:val="0"/>
      <w:marTop w:val="0"/>
      <w:marBottom w:val="0"/>
      <w:divBdr>
        <w:top w:val="none" w:sz="0" w:space="0" w:color="auto"/>
        <w:left w:val="none" w:sz="0" w:space="0" w:color="auto"/>
        <w:bottom w:val="none" w:sz="0" w:space="0" w:color="auto"/>
        <w:right w:val="none" w:sz="0" w:space="0" w:color="auto"/>
      </w:divBdr>
    </w:div>
    <w:div w:id="409011832">
      <w:bodyDiv w:val="1"/>
      <w:marLeft w:val="0"/>
      <w:marRight w:val="0"/>
      <w:marTop w:val="0"/>
      <w:marBottom w:val="0"/>
      <w:divBdr>
        <w:top w:val="none" w:sz="0" w:space="0" w:color="auto"/>
        <w:left w:val="none" w:sz="0" w:space="0" w:color="auto"/>
        <w:bottom w:val="none" w:sz="0" w:space="0" w:color="auto"/>
        <w:right w:val="none" w:sz="0" w:space="0" w:color="auto"/>
      </w:divBdr>
    </w:div>
    <w:div w:id="409232121">
      <w:bodyDiv w:val="1"/>
      <w:marLeft w:val="0"/>
      <w:marRight w:val="0"/>
      <w:marTop w:val="0"/>
      <w:marBottom w:val="0"/>
      <w:divBdr>
        <w:top w:val="none" w:sz="0" w:space="0" w:color="auto"/>
        <w:left w:val="none" w:sz="0" w:space="0" w:color="auto"/>
        <w:bottom w:val="none" w:sz="0" w:space="0" w:color="auto"/>
        <w:right w:val="none" w:sz="0" w:space="0" w:color="auto"/>
      </w:divBdr>
    </w:div>
    <w:div w:id="409236925">
      <w:bodyDiv w:val="1"/>
      <w:marLeft w:val="0"/>
      <w:marRight w:val="0"/>
      <w:marTop w:val="0"/>
      <w:marBottom w:val="0"/>
      <w:divBdr>
        <w:top w:val="none" w:sz="0" w:space="0" w:color="auto"/>
        <w:left w:val="none" w:sz="0" w:space="0" w:color="auto"/>
        <w:bottom w:val="none" w:sz="0" w:space="0" w:color="auto"/>
        <w:right w:val="none" w:sz="0" w:space="0" w:color="auto"/>
      </w:divBdr>
    </w:div>
    <w:div w:id="409615628">
      <w:bodyDiv w:val="1"/>
      <w:marLeft w:val="0"/>
      <w:marRight w:val="0"/>
      <w:marTop w:val="0"/>
      <w:marBottom w:val="0"/>
      <w:divBdr>
        <w:top w:val="none" w:sz="0" w:space="0" w:color="auto"/>
        <w:left w:val="none" w:sz="0" w:space="0" w:color="auto"/>
        <w:bottom w:val="none" w:sz="0" w:space="0" w:color="auto"/>
        <w:right w:val="none" w:sz="0" w:space="0" w:color="auto"/>
      </w:divBdr>
    </w:div>
    <w:div w:id="409620049">
      <w:bodyDiv w:val="1"/>
      <w:marLeft w:val="0"/>
      <w:marRight w:val="0"/>
      <w:marTop w:val="0"/>
      <w:marBottom w:val="0"/>
      <w:divBdr>
        <w:top w:val="none" w:sz="0" w:space="0" w:color="auto"/>
        <w:left w:val="none" w:sz="0" w:space="0" w:color="auto"/>
        <w:bottom w:val="none" w:sz="0" w:space="0" w:color="auto"/>
        <w:right w:val="none" w:sz="0" w:space="0" w:color="auto"/>
      </w:divBdr>
    </w:div>
    <w:div w:id="409738142">
      <w:bodyDiv w:val="1"/>
      <w:marLeft w:val="0"/>
      <w:marRight w:val="0"/>
      <w:marTop w:val="0"/>
      <w:marBottom w:val="0"/>
      <w:divBdr>
        <w:top w:val="none" w:sz="0" w:space="0" w:color="auto"/>
        <w:left w:val="none" w:sz="0" w:space="0" w:color="auto"/>
        <w:bottom w:val="none" w:sz="0" w:space="0" w:color="auto"/>
        <w:right w:val="none" w:sz="0" w:space="0" w:color="auto"/>
      </w:divBdr>
    </w:div>
    <w:div w:id="409886753">
      <w:bodyDiv w:val="1"/>
      <w:marLeft w:val="0"/>
      <w:marRight w:val="0"/>
      <w:marTop w:val="0"/>
      <w:marBottom w:val="0"/>
      <w:divBdr>
        <w:top w:val="none" w:sz="0" w:space="0" w:color="auto"/>
        <w:left w:val="none" w:sz="0" w:space="0" w:color="auto"/>
        <w:bottom w:val="none" w:sz="0" w:space="0" w:color="auto"/>
        <w:right w:val="none" w:sz="0" w:space="0" w:color="auto"/>
      </w:divBdr>
    </w:div>
    <w:div w:id="409931538">
      <w:bodyDiv w:val="1"/>
      <w:marLeft w:val="0"/>
      <w:marRight w:val="0"/>
      <w:marTop w:val="0"/>
      <w:marBottom w:val="0"/>
      <w:divBdr>
        <w:top w:val="none" w:sz="0" w:space="0" w:color="auto"/>
        <w:left w:val="none" w:sz="0" w:space="0" w:color="auto"/>
        <w:bottom w:val="none" w:sz="0" w:space="0" w:color="auto"/>
        <w:right w:val="none" w:sz="0" w:space="0" w:color="auto"/>
      </w:divBdr>
    </w:div>
    <w:div w:id="410155733">
      <w:bodyDiv w:val="1"/>
      <w:marLeft w:val="0"/>
      <w:marRight w:val="0"/>
      <w:marTop w:val="0"/>
      <w:marBottom w:val="0"/>
      <w:divBdr>
        <w:top w:val="none" w:sz="0" w:space="0" w:color="auto"/>
        <w:left w:val="none" w:sz="0" w:space="0" w:color="auto"/>
        <w:bottom w:val="none" w:sz="0" w:space="0" w:color="auto"/>
        <w:right w:val="none" w:sz="0" w:space="0" w:color="auto"/>
      </w:divBdr>
    </w:div>
    <w:div w:id="410272003">
      <w:bodyDiv w:val="1"/>
      <w:marLeft w:val="0"/>
      <w:marRight w:val="0"/>
      <w:marTop w:val="0"/>
      <w:marBottom w:val="0"/>
      <w:divBdr>
        <w:top w:val="none" w:sz="0" w:space="0" w:color="auto"/>
        <w:left w:val="none" w:sz="0" w:space="0" w:color="auto"/>
        <w:bottom w:val="none" w:sz="0" w:space="0" w:color="auto"/>
        <w:right w:val="none" w:sz="0" w:space="0" w:color="auto"/>
      </w:divBdr>
    </w:div>
    <w:div w:id="410279127">
      <w:bodyDiv w:val="1"/>
      <w:marLeft w:val="0"/>
      <w:marRight w:val="0"/>
      <w:marTop w:val="0"/>
      <w:marBottom w:val="0"/>
      <w:divBdr>
        <w:top w:val="none" w:sz="0" w:space="0" w:color="auto"/>
        <w:left w:val="none" w:sz="0" w:space="0" w:color="auto"/>
        <w:bottom w:val="none" w:sz="0" w:space="0" w:color="auto"/>
        <w:right w:val="none" w:sz="0" w:space="0" w:color="auto"/>
      </w:divBdr>
    </w:div>
    <w:div w:id="410346637">
      <w:bodyDiv w:val="1"/>
      <w:marLeft w:val="0"/>
      <w:marRight w:val="0"/>
      <w:marTop w:val="0"/>
      <w:marBottom w:val="0"/>
      <w:divBdr>
        <w:top w:val="none" w:sz="0" w:space="0" w:color="auto"/>
        <w:left w:val="none" w:sz="0" w:space="0" w:color="auto"/>
        <w:bottom w:val="none" w:sz="0" w:space="0" w:color="auto"/>
        <w:right w:val="none" w:sz="0" w:space="0" w:color="auto"/>
      </w:divBdr>
    </w:div>
    <w:div w:id="410353421">
      <w:bodyDiv w:val="1"/>
      <w:marLeft w:val="0"/>
      <w:marRight w:val="0"/>
      <w:marTop w:val="0"/>
      <w:marBottom w:val="0"/>
      <w:divBdr>
        <w:top w:val="none" w:sz="0" w:space="0" w:color="auto"/>
        <w:left w:val="none" w:sz="0" w:space="0" w:color="auto"/>
        <w:bottom w:val="none" w:sz="0" w:space="0" w:color="auto"/>
        <w:right w:val="none" w:sz="0" w:space="0" w:color="auto"/>
      </w:divBdr>
    </w:div>
    <w:div w:id="410583200">
      <w:bodyDiv w:val="1"/>
      <w:marLeft w:val="0"/>
      <w:marRight w:val="0"/>
      <w:marTop w:val="0"/>
      <w:marBottom w:val="0"/>
      <w:divBdr>
        <w:top w:val="none" w:sz="0" w:space="0" w:color="auto"/>
        <w:left w:val="none" w:sz="0" w:space="0" w:color="auto"/>
        <w:bottom w:val="none" w:sz="0" w:space="0" w:color="auto"/>
        <w:right w:val="none" w:sz="0" w:space="0" w:color="auto"/>
      </w:divBdr>
    </w:div>
    <w:div w:id="410659693">
      <w:bodyDiv w:val="1"/>
      <w:marLeft w:val="0"/>
      <w:marRight w:val="0"/>
      <w:marTop w:val="0"/>
      <w:marBottom w:val="0"/>
      <w:divBdr>
        <w:top w:val="none" w:sz="0" w:space="0" w:color="auto"/>
        <w:left w:val="none" w:sz="0" w:space="0" w:color="auto"/>
        <w:bottom w:val="none" w:sz="0" w:space="0" w:color="auto"/>
        <w:right w:val="none" w:sz="0" w:space="0" w:color="auto"/>
      </w:divBdr>
    </w:div>
    <w:div w:id="410659766">
      <w:bodyDiv w:val="1"/>
      <w:marLeft w:val="0"/>
      <w:marRight w:val="0"/>
      <w:marTop w:val="0"/>
      <w:marBottom w:val="0"/>
      <w:divBdr>
        <w:top w:val="none" w:sz="0" w:space="0" w:color="auto"/>
        <w:left w:val="none" w:sz="0" w:space="0" w:color="auto"/>
        <w:bottom w:val="none" w:sz="0" w:space="0" w:color="auto"/>
        <w:right w:val="none" w:sz="0" w:space="0" w:color="auto"/>
      </w:divBdr>
    </w:div>
    <w:div w:id="410661810">
      <w:bodyDiv w:val="1"/>
      <w:marLeft w:val="0"/>
      <w:marRight w:val="0"/>
      <w:marTop w:val="0"/>
      <w:marBottom w:val="0"/>
      <w:divBdr>
        <w:top w:val="none" w:sz="0" w:space="0" w:color="auto"/>
        <w:left w:val="none" w:sz="0" w:space="0" w:color="auto"/>
        <w:bottom w:val="none" w:sz="0" w:space="0" w:color="auto"/>
        <w:right w:val="none" w:sz="0" w:space="0" w:color="auto"/>
      </w:divBdr>
    </w:div>
    <w:div w:id="410662753">
      <w:bodyDiv w:val="1"/>
      <w:marLeft w:val="0"/>
      <w:marRight w:val="0"/>
      <w:marTop w:val="0"/>
      <w:marBottom w:val="0"/>
      <w:divBdr>
        <w:top w:val="none" w:sz="0" w:space="0" w:color="auto"/>
        <w:left w:val="none" w:sz="0" w:space="0" w:color="auto"/>
        <w:bottom w:val="none" w:sz="0" w:space="0" w:color="auto"/>
        <w:right w:val="none" w:sz="0" w:space="0" w:color="auto"/>
      </w:divBdr>
    </w:div>
    <w:div w:id="410933071">
      <w:bodyDiv w:val="1"/>
      <w:marLeft w:val="0"/>
      <w:marRight w:val="0"/>
      <w:marTop w:val="0"/>
      <w:marBottom w:val="0"/>
      <w:divBdr>
        <w:top w:val="none" w:sz="0" w:space="0" w:color="auto"/>
        <w:left w:val="none" w:sz="0" w:space="0" w:color="auto"/>
        <w:bottom w:val="none" w:sz="0" w:space="0" w:color="auto"/>
        <w:right w:val="none" w:sz="0" w:space="0" w:color="auto"/>
      </w:divBdr>
    </w:div>
    <w:div w:id="410935910">
      <w:bodyDiv w:val="1"/>
      <w:marLeft w:val="0"/>
      <w:marRight w:val="0"/>
      <w:marTop w:val="0"/>
      <w:marBottom w:val="0"/>
      <w:divBdr>
        <w:top w:val="none" w:sz="0" w:space="0" w:color="auto"/>
        <w:left w:val="none" w:sz="0" w:space="0" w:color="auto"/>
        <w:bottom w:val="none" w:sz="0" w:space="0" w:color="auto"/>
        <w:right w:val="none" w:sz="0" w:space="0" w:color="auto"/>
      </w:divBdr>
    </w:div>
    <w:div w:id="411045057">
      <w:bodyDiv w:val="1"/>
      <w:marLeft w:val="0"/>
      <w:marRight w:val="0"/>
      <w:marTop w:val="0"/>
      <w:marBottom w:val="0"/>
      <w:divBdr>
        <w:top w:val="none" w:sz="0" w:space="0" w:color="auto"/>
        <w:left w:val="none" w:sz="0" w:space="0" w:color="auto"/>
        <w:bottom w:val="none" w:sz="0" w:space="0" w:color="auto"/>
        <w:right w:val="none" w:sz="0" w:space="0" w:color="auto"/>
      </w:divBdr>
    </w:div>
    <w:div w:id="411317299">
      <w:bodyDiv w:val="1"/>
      <w:marLeft w:val="0"/>
      <w:marRight w:val="0"/>
      <w:marTop w:val="0"/>
      <w:marBottom w:val="0"/>
      <w:divBdr>
        <w:top w:val="none" w:sz="0" w:space="0" w:color="auto"/>
        <w:left w:val="none" w:sz="0" w:space="0" w:color="auto"/>
        <w:bottom w:val="none" w:sz="0" w:space="0" w:color="auto"/>
        <w:right w:val="none" w:sz="0" w:space="0" w:color="auto"/>
      </w:divBdr>
    </w:div>
    <w:div w:id="411506976">
      <w:bodyDiv w:val="1"/>
      <w:marLeft w:val="0"/>
      <w:marRight w:val="0"/>
      <w:marTop w:val="0"/>
      <w:marBottom w:val="0"/>
      <w:divBdr>
        <w:top w:val="none" w:sz="0" w:space="0" w:color="auto"/>
        <w:left w:val="none" w:sz="0" w:space="0" w:color="auto"/>
        <w:bottom w:val="none" w:sz="0" w:space="0" w:color="auto"/>
        <w:right w:val="none" w:sz="0" w:space="0" w:color="auto"/>
      </w:divBdr>
    </w:div>
    <w:div w:id="411657131">
      <w:bodyDiv w:val="1"/>
      <w:marLeft w:val="0"/>
      <w:marRight w:val="0"/>
      <w:marTop w:val="0"/>
      <w:marBottom w:val="0"/>
      <w:divBdr>
        <w:top w:val="none" w:sz="0" w:space="0" w:color="auto"/>
        <w:left w:val="none" w:sz="0" w:space="0" w:color="auto"/>
        <w:bottom w:val="none" w:sz="0" w:space="0" w:color="auto"/>
        <w:right w:val="none" w:sz="0" w:space="0" w:color="auto"/>
      </w:divBdr>
    </w:div>
    <w:div w:id="411707065">
      <w:bodyDiv w:val="1"/>
      <w:marLeft w:val="0"/>
      <w:marRight w:val="0"/>
      <w:marTop w:val="0"/>
      <w:marBottom w:val="0"/>
      <w:divBdr>
        <w:top w:val="none" w:sz="0" w:space="0" w:color="auto"/>
        <w:left w:val="none" w:sz="0" w:space="0" w:color="auto"/>
        <w:bottom w:val="none" w:sz="0" w:space="0" w:color="auto"/>
        <w:right w:val="none" w:sz="0" w:space="0" w:color="auto"/>
      </w:divBdr>
    </w:div>
    <w:div w:id="411970587">
      <w:bodyDiv w:val="1"/>
      <w:marLeft w:val="0"/>
      <w:marRight w:val="0"/>
      <w:marTop w:val="0"/>
      <w:marBottom w:val="0"/>
      <w:divBdr>
        <w:top w:val="none" w:sz="0" w:space="0" w:color="auto"/>
        <w:left w:val="none" w:sz="0" w:space="0" w:color="auto"/>
        <w:bottom w:val="none" w:sz="0" w:space="0" w:color="auto"/>
        <w:right w:val="none" w:sz="0" w:space="0" w:color="auto"/>
      </w:divBdr>
    </w:div>
    <w:div w:id="412043454">
      <w:bodyDiv w:val="1"/>
      <w:marLeft w:val="0"/>
      <w:marRight w:val="0"/>
      <w:marTop w:val="0"/>
      <w:marBottom w:val="0"/>
      <w:divBdr>
        <w:top w:val="none" w:sz="0" w:space="0" w:color="auto"/>
        <w:left w:val="none" w:sz="0" w:space="0" w:color="auto"/>
        <w:bottom w:val="none" w:sz="0" w:space="0" w:color="auto"/>
        <w:right w:val="none" w:sz="0" w:space="0" w:color="auto"/>
      </w:divBdr>
    </w:div>
    <w:div w:id="412045482">
      <w:bodyDiv w:val="1"/>
      <w:marLeft w:val="0"/>
      <w:marRight w:val="0"/>
      <w:marTop w:val="0"/>
      <w:marBottom w:val="0"/>
      <w:divBdr>
        <w:top w:val="none" w:sz="0" w:space="0" w:color="auto"/>
        <w:left w:val="none" w:sz="0" w:space="0" w:color="auto"/>
        <w:bottom w:val="none" w:sz="0" w:space="0" w:color="auto"/>
        <w:right w:val="none" w:sz="0" w:space="0" w:color="auto"/>
      </w:divBdr>
    </w:div>
    <w:div w:id="412047941">
      <w:bodyDiv w:val="1"/>
      <w:marLeft w:val="0"/>
      <w:marRight w:val="0"/>
      <w:marTop w:val="0"/>
      <w:marBottom w:val="0"/>
      <w:divBdr>
        <w:top w:val="none" w:sz="0" w:space="0" w:color="auto"/>
        <w:left w:val="none" w:sz="0" w:space="0" w:color="auto"/>
        <w:bottom w:val="none" w:sz="0" w:space="0" w:color="auto"/>
        <w:right w:val="none" w:sz="0" w:space="0" w:color="auto"/>
      </w:divBdr>
    </w:div>
    <w:div w:id="412169818">
      <w:bodyDiv w:val="1"/>
      <w:marLeft w:val="0"/>
      <w:marRight w:val="0"/>
      <w:marTop w:val="0"/>
      <w:marBottom w:val="0"/>
      <w:divBdr>
        <w:top w:val="none" w:sz="0" w:space="0" w:color="auto"/>
        <w:left w:val="none" w:sz="0" w:space="0" w:color="auto"/>
        <w:bottom w:val="none" w:sz="0" w:space="0" w:color="auto"/>
        <w:right w:val="none" w:sz="0" w:space="0" w:color="auto"/>
      </w:divBdr>
    </w:div>
    <w:div w:id="412313006">
      <w:bodyDiv w:val="1"/>
      <w:marLeft w:val="0"/>
      <w:marRight w:val="0"/>
      <w:marTop w:val="0"/>
      <w:marBottom w:val="0"/>
      <w:divBdr>
        <w:top w:val="none" w:sz="0" w:space="0" w:color="auto"/>
        <w:left w:val="none" w:sz="0" w:space="0" w:color="auto"/>
        <w:bottom w:val="none" w:sz="0" w:space="0" w:color="auto"/>
        <w:right w:val="none" w:sz="0" w:space="0" w:color="auto"/>
      </w:divBdr>
    </w:div>
    <w:div w:id="412507949">
      <w:bodyDiv w:val="1"/>
      <w:marLeft w:val="0"/>
      <w:marRight w:val="0"/>
      <w:marTop w:val="0"/>
      <w:marBottom w:val="0"/>
      <w:divBdr>
        <w:top w:val="none" w:sz="0" w:space="0" w:color="auto"/>
        <w:left w:val="none" w:sz="0" w:space="0" w:color="auto"/>
        <w:bottom w:val="none" w:sz="0" w:space="0" w:color="auto"/>
        <w:right w:val="none" w:sz="0" w:space="0" w:color="auto"/>
      </w:divBdr>
    </w:div>
    <w:div w:id="412819641">
      <w:bodyDiv w:val="1"/>
      <w:marLeft w:val="0"/>
      <w:marRight w:val="0"/>
      <w:marTop w:val="0"/>
      <w:marBottom w:val="0"/>
      <w:divBdr>
        <w:top w:val="none" w:sz="0" w:space="0" w:color="auto"/>
        <w:left w:val="none" w:sz="0" w:space="0" w:color="auto"/>
        <w:bottom w:val="none" w:sz="0" w:space="0" w:color="auto"/>
        <w:right w:val="none" w:sz="0" w:space="0" w:color="auto"/>
      </w:divBdr>
    </w:div>
    <w:div w:id="412944119">
      <w:bodyDiv w:val="1"/>
      <w:marLeft w:val="0"/>
      <w:marRight w:val="0"/>
      <w:marTop w:val="0"/>
      <w:marBottom w:val="0"/>
      <w:divBdr>
        <w:top w:val="none" w:sz="0" w:space="0" w:color="auto"/>
        <w:left w:val="none" w:sz="0" w:space="0" w:color="auto"/>
        <w:bottom w:val="none" w:sz="0" w:space="0" w:color="auto"/>
        <w:right w:val="none" w:sz="0" w:space="0" w:color="auto"/>
      </w:divBdr>
    </w:div>
    <w:div w:id="412972375">
      <w:bodyDiv w:val="1"/>
      <w:marLeft w:val="0"/>
      <w:marRight w:val="0"/>
      <w:marTop w:val="0"/>
      <w:marBottom w:val="0"/>
      <w:divBdr>
        <w:top w:val="none" w:sz="0" w:space="0" w:color="auto"/>
        <w:left w:val="none" w:sz="0" w:space="0" w:color="auto"/>
        <w:bottom w:val="none" w:sz="0" w:space="0" w:color="auto"/>
        <w:right w:val="none" w:sz="0" w:space="0" w:color="auto"/>
      </w:divBdr>
    </w:div>
    <w:div w:id="413161081">
      <w:bodyDiv w:val="1"/>
      <w:marLeft w:val="0"/>
      <w:marRight w:val="0"/>
      <w:marTop w:val="0"/>
      <w:marBottom w:val="0"/>
      <w:divBdr>
        <w:top w:val="none" w:sz="0" w:space="0" w:color="auto"/>
        <w:left w:val="none" w:sz="0" w:space="0" w:color="auto"/>
        <w:bottom w:val="none" w:sz="0" w:space="0" w:color="auto"/>
        <w:right w:val="none" w:sz="0" w:space="0" w:color="auto"/>
      </w:divBdr>
    </w:div>
    <w:div w:id="413279425">
      <w:bodyDiv w:val="1"/>
      <w:marLeft w:val="0"/>
      <w:marRight w:val="0"/>
      <w:marTop w:val="0"/>
      <w:marBottom w:val="0"/>
      <w:divBdr>
        <w:top w:val="none" w:sz="0" w:space="0" w:color="auto"/>
        <w:left w:val="none" w:sz="0" w:space="0" w:color="auto"/>
        <w:bottom w:val="none" w:sz="0" w:space="0" w:color="auto"/>
        <w:right w:val="none" w:sz="0" w:space="0" w:color="auto"/>
      </w:divBdr>
    </w:div>
    <w:div w:id="413357546">
      <w:bodyDiv w:val="1"/>
      <w:marLeft w:val="0"/>
      <w:marRight w:val="0"/>
      <w:marTop w:val="0"/>
      <w:marBottom w:val="0"/>
      <w:divBdr>
        <w:top w:val="none" w:sz="0" w:space="0" w:color="auto"/>
        <w:left w:val="none" w:sz="0" w:space="0" w:color="auto"/>
        <w:bottom w:val="none" w:sz="0" w:space="0" w:color="auto"/>
        <w:right w:val="none" w:sz="0" w:space="0" w:color="auto"/>
      </w:divBdr>
    </w:div>
    <w:div w:id="413625435">
      <w:bodyDiv w:val="1"/>
      <w:marLeft w:val="0"/>
      <w:marRight w:val="0"/>
      <w:marTop w:val="0"/>
      <w:marBottom w:val="0"/>
      <w:divBdr>
        <w:top w:val="none" w:sz="0" w:space="0" w:color="auto"/>
        <w:left w:val="none" w:sz="0" w:space="0" w:color="auto"/>
        <w:bottom w:val="none" w:sz="0" w:space="0" w:color="auto"/>
        <w:right w:val="none" w:sz="0" w:space="0" w:color="auto"/>
      </w:divBdr>
    </w:div>
    <w:div w:id="413864743">
      <w:bodyDiv w:val="1"/>
      <w:marLeft w:val="0"/>
      <w:marRight w:val="0"/>
      <w:marTop w:val="0"/>
      <w:marBottom w:val="0"/>
      <w:divBdr>
        <w:top w:val="none" w:sz="0" w:space="0" w:color="auto"/>
        <w:left w:val="none" w:sz="0" w:space="0" w:color="auto"/>
        <w:bottom w:val="none" w:sz="0" w:space="0" w:color="auto"/>
        <w:right w:val="none" w:sz="0" w:space="0" w:color="auto"/>
      </w:divBdr>
    </w:div>
    <w:div w:id="413868197">
      <w:bodyDiv w:val="1"/>
      <w:marLeft w:val="0"/>
      <w:marRight w:val="0"/>
      <w:marTop w:val="0"/>
      <w:marBottom w:val="0"/>
      <w:divBdr>
        <w:top w:val="none" w:sz="0" w:space="0" w:color="auto"/>
        <w:left w:val="none" w:sz="0" w:space="0" w:color="auto"/>
        <w:bottom w:val="none" w:sz="0" w:space="0" w:color="auto"/>
        <w:right w:val="none" w:sz="0" w:space="0" w:color="auto"/>
      </w:divBdr>
    </w:div>
    <w:div w:id="414011469">
      <w:bodyDiv w:val="1"/>
      <w:marLeft w:val="0"/>
      <w:marRight w:val="0"/>
      <w:marTop w:val="0"/>
      <w:marBottom w:val="0"/>
      <w:divBdr>
        <w:top w:val="none" w:sz="0" w:space="0" w:color="auto"/>
        <w:left w:val="none" w:sz="0" w:space="0" w:color="auto"/>
        <w:bottom w:val="none" w:sz="0" w:space="0" w:color="auto"/>
        <w:right w:val="none" w:sz="0" w:space="0" w:color="auto"/>
      </w:divBdr>
    </w:div>
    <w:div w:id="414014224">
      <w:bodyDiv w:val="1"/>
      <w:marLeft w:val="0"/>
      <w:marRight w:val="0"/>
      <w:marTop w:val="0"/>
      <w:marBottom w:val="0"/>
      <w:divBdr>
        <w:top w:val="none" w:sz="0" w:space="0" w:color="auto"/>
        <w:left w:val="none" w:sz="0" w:space="0" w:color="auto"/>
        <w:bottom w:val="none" w:sz="0" w:space="0" w:color="auto"/>
        <w:right w:val="none" w:sz="0" w:space="0" w:color="auto"/>
      </w:divBdr>
    </w:div>
    <w:div w:id="414057013">
      <w:bodyDiv w:val="1"/>
      <w:marLeft w:val="0"/>
      <w:marRight w:val="0"/>
      <w:marTop w:val="0"/>
      <w:marBottom w:val="0"/>
      <w:divBdr>
        <w:top w:val="none" w:sz="0" w:space="0" w:color="auto"/>
        <w:left w:val="none" w:sz="0" w:space="0" w:color="auto"/>
        <w:bottom w:val="none" w:sz="0" w:space="0" w:color="auto"/>
        <w:right w:val="none" w:sz="0" w:space="0" w:color="auto"/>
      </w:divBdr>
    </w:div>
    <w:div w:id="414059892">
      <w:bodyDiv w:val="1"/>
      <w:marLeft w:val="0"/>
      <w:marRight w:val="0"/>
      <w:marTop w:val="0"/>
      <w:marBottom w:val="0"/>
      <w:divBdr>
        <w:top w:val="none" w:sz="0" w:space="0" w:color="auto"/>
        <w:left w:val="none" w:sz="0" w:space="0" w:color="auto"/>
        <w:bottom w:val="none" w:sz="0" w:space="0" w:color="auto"/>
        <w:right w:val="none" w:sz="0" w:space="0" w:color="auto"/>
      </w:divBdr>
    </w:div>
    <w:div w:id="414127559">
      <w:bodyDiv w:val="1"/>
      <w:marLeft w:val="0"/>
      <w:marRight w:val="0"/>
      <w:marTop w:val="0"/>
      <w:marBottom w:val="0"/>
      <w:divBdr>
        <w:top w:val="none" w:sz="0" w:space="0" w:color="auto"/>
        <w:left w:val="none" w:sz="0" w:space="0" w:color="auto"/>
        <w:bottom w:val="none" w:sz="0" w:space="0" w:color="auto"/>
        <w:right w:val="none" w:sz="0" w:space="0" w:color="auto"/>
      </w:divBdr>
    </w:div>
    <w:div w:id="414207027">
      <w:bodyDiv w:val="1"/>
      <w:marLeft w:val="0"/>
      <w:marRight w:val="0"/>
      <w:marTop w:val="0"/>
      <w:marBottom w:val="0"/>
      <w:divBdr>
        <w:top w:val="none" w:sz="0" w:space="0" w:color="auto"/>
        <w:left w:val="none" w:sz="0" w:space="0" w:color="auto"/>
        <w:bottom w:val="none" w:sz="0" w:space="0" w:color="auto"/>
        <w:right w:val="none" w:sz="0" w:space="0" w:color="auto"/>
      </w:divBdr>
    </w:div>
    <w:div w:id="414207438">
      <w:bodyDiv w:val="1"/>
      <w:marLeft w:val="0"/>
      <w:marRight w:val="0"/>
      <w:marTop w:val="0"/>
      <w:marBottom w:val="0"/>
      <w:divBdr>
        <w:top w:val="none" w:sz="0" w:space="0" w:color="auto"/>
        <w:left w:val="none" w:sz="0" w:space="0" w:color="auto"/>
        <w:bottom w:val="none" w:sz="0" w:space="0" w:color="auto"/>
        <w:right w:val="none" w:sz="0" w:space="0" w:color="auto"/>
      </w:divBdr>
    </w:div>
    <w:div w:id="414209669">
      <w:bodyDiv w:val="1"/>
      <w:marLeft w:val="0"/>
      <w:marRight w:val="0"/>
      <w:marTop w:val="0"/>
      <w:marBottom w:val="0"/>
      <w:divBdr>
        <w:top w:val="none" w:sz="0" w:space="0" w:color="auto"/>
        <w:left w:val="none" w:sz="0" w:space="0" w:color="auto"/>
        <w:bottom w:val="none" w:sz="0" w:space="0" w:color="auto"/>
        <w:right w:val="none" w:sz="0" w:space="0" w:color="auto"/>
      </w:divBdr>
    </w:div>
    <w:div w:id="414326760">
      <w:bodyDiv w:val="1"/>
      <w:marLeft w:val="0"/>
      <w:marRight w:val="0"/>
      <w:marTop w:val="0"/>
      <w:marBottom w:val="0"/>
      <w:divBdr>
        <w:top w:val="none" w:sz="0" w:space="0" w:color="auto"/>
        <w:left w:val="none" w:sz="0" w:space="0" w:color="auto"/>
        <w:bottom w:val="none" w:sz="0" w:space="0" w:color="auto"/>
        <w:right w:val="none" w:sz="0" w:space="0" w:color="auto"/>
      </w:divBdr>
    </w:div>
    <w:div w:id="414326872">
      <w:bodyDiv w:val="1"/>
      <w:marLeft w:val="0"/>
      <w:marRight w:val="0"/>
      <w:marTop w:val="0"/>
      <w:marBottom w:val="0"/>
      <w:divBdr>
        <w:top w:val="none" w:sz="0" w:space="0" w:color="auto"/>
        <w:left w:val="none" w:sz="0" w:space="0" w:color="auto"/>
        <w:bottom w:val="none" w:sz="0" w:space="0" w:color="auto"/>
        <w:right w:val="none" w:sz="0" w:space="0" w:color="auto"/>
      </w:divBdr>
    </w:div>
    <w:div w:id="414472662">
      <w:bodyDiv w:val="1"/>
      <w:marLeft w:val="0"/>
      <w:marRight w:val="0"/>
      <w:marTop w:val="0"/>
      <w:marBottom w:val="0"/>
      <w:divBdr>
        <w:top w:val="none" w:sz="0" w:space="0" w:color="auto"/>
        <w:left w:val="none" w:sz="0" w:space="0" w:color="auto"/>
        <w:bottom w:val="none" w:sz="0" w:space="0" w:color="auto"/>
        <w:right w:val="none" w:sz="0" w:space="0" w:color="auto"/>
      </w:divBdr>
    </w:div>
    <w:div w:id="414472744">
      <w:bodyDiv w:val="1"/>
      <w:marLeft w:val="0"/>
      <w:marRight w:val="0"/>
      <w:marTop w:val="0"/>
      <w:marBottom w:val="0"/>
      <w:divBdr>
        <w:top w:val="none" w:sz="0" w:space="0" w:color="auto"/>
        <w:left w:val="none" w:sz="0" w:space="0" w:color="auto"/>
        <w:bottom w:val="none" w:sz="0" w:space="0" w:color="auto"/>
        <w:right w:val="none" w:sz="0" w:space="0" w:color="auto"/>
      </w:divBdr>
    </w:div>
    <w:div w:id="414474747">
      <w:bodyDiv w:val="1"/>
      <w:marLeft w:val="0"/>
      <w:marRight w:val="0"/>
      <w:marTop w:val="0"/>
      <w:marBottom w:val="0"/>
      <w:divBdr>
        <w:top w:val="none" w:sz="0" w:space="0" w:color="auto"/>
        <w:left w:val="none" w:sz="0" w:space="0" w:color="auto"/>
        <w:bottom w:val="none" w:sz="0" w:space="0" w:color="auto"/>
        <w:right w:val="none" w:sz="0" w:space="0" w:color="auto"/>
      </w:divBdr>
    </w:div>
    <w:div w:id="414546562">
      <w:bodyDiv w:val="1"/>
      <w:marLeft w:val="0"/>
      <w:marRight w:val="0"/>
      <w:marTop w:val="0"/>
      <w:marBottom w:val="0"/>
      <w:divBdr>
        <w:top w:val="none" w:sz="0" w:space="0" w:color="auto"/>
        <w:left w:val="none" w:sz="0" w:space="0" w:color="auto"/>
        <w:bottom w:val="none" w:sz="0" w:space="0" w:color="auto"/>
        <w:right w:val="none" w:sz="0" w:space="0" w:color="auto"/>
      </w:divBdr>
    </w:div>
    <w:div w:id="414590052">
      <w:bodyDiv w:val="1"/>
      <w:marLeft w:val="0"/>
      <w:marRight w:val="0"/>
      <w:marTop w:val="0"/>
      <w:marBottom w:val="0"/>
      <w:divBdr>
        <w:top w:val="none" w:sz="0" w:space="0" w:color="auto"/>
        <w:left w:val="none" w:sz="0" w:space="0" w:color="auto"/>
        <w:bottom w:val="none" w:sz="0" w:space="0" w:color="auto"/>
        <w:right w:val="none" w:sz="0" w:space="0" w:color="auto"/>
      </w:divBdr>
    </w:div>
    <w:div w:id="414595879">
      <w:bodyDiv w:val="1"/>
      <w:marLeft w:val="0"/>
      <w:marRight w:val="0"/>
      <w:marTop w:val="0"/>
      <w:marBottom w:val="0"/>
      <w:divBdr>
        <w:top w:val="none" w:sz="0" w:space="0" w:color="auto"/>
        <w:left w:val="none" w:sz="0" w:space="0" w:color="auto"/>
        <w:bottom w:val="none" w:sz="0" w:space="0" w:color="auto"/>
        <w:right w:val="none" w:sz="0" w:space="0" w:color="auto"/>
      </w:divBdr>
    </w:div>
    <w:div w:id="414668123">
      <w:bodyDiv w:val="1"/>
      <w:marLeft w:val="0"/>
      <w:marRight w:val="0"/>
      <w:marTop w:val="0"/>
      <w:marBottom w:val="0"/>
      <w:divBdr>
        <w:top w:val="none" w:sz="0" w:space="0" w:color="auto"/>
        <w:left w:val="none" w:sz="0" w:space="0" w:color="auto"/>
        <w:bottom w:val="none" w:sz="0" w:space="0" w:color="auto"/>
        <w:right w:val="none" w:sz="0" w:space="0" w:color="auto"/>
      </w:divBdr>
    </w:div>
    <w:div w:id="414668821">
      <w:bodyDiv w:val="1"/>
      <w:marLeft w:val="0"/>
      <w:marRight w:val="0"/>
      <w:marTop w:val="0"/>
      <w:marBottom w:val="0"/>
      <w:divBdr>
        <w:top w:val="none" w:sz="0" w:space="0" w:color="auto"/>
        <w:left w:val="none" w:sz="0" w:space="0" w:color="auto"/>
        <w:bottom w:val="none" w:sz="0" w:space="0" w:color="auto"/>
        <w:right w:val="none" w:sz="0" w:space="0" w:color="auto"/>
      </w:divBdr>
    </w:div>
    <w:div w:id="414939345">
      <w:bodyDiv w:val="1"/>
      <w:marLeft w:val="0"/>
      <w:marRight w:val="0"/>
      <w:marTop w:val="0"/>
      <w:marBottom w:val="0"/>
      <w:divBdr>
        <w:top w:val="none" w:sz="0" w:space="0" w:color="auto"/>
        <w:left w:val="none" w:sz="0" w:space="0" w:color="auto"/>
        <w:bottom w:val="none" w:sz="0" w:space="0" w:color="auto"/>
        <w:right w:val="none" w:sz="0" w:space="0" w:color="auto"/>
      </w:divBdr>
    </w:div>
    <w:div w:id="414940767">
      <w:bodyDiv w:val="1"/>
      <w:marLeft w:val="0"/>
      <w:marRight w:val="0"/>
      <w:marTop w:val="0"/>
      <w:marBottom w:val="0"/>
      <w:divBdr>
        <w:top w:val="none" w:sz="0" w:space="0" w:color="auto"/>
        <w:left w:val="none" w:sz="0" w:space="0" w:color="auto"/>
        <w:bottom w:val="none" w:sz="0" w:space="0" w:color="auto"/>
        <w:right w:val="none" w:sz="0" w:space="0" w:color="auto"/>
      </w:divBdr>
    </w:div>
    <w:div w:id="415057051">
      <w:bodyDiv w:val="1"/>
      <w:marLeft w:val="0"/>
      <w:marRight w:val="0"/>
      <w:marTop w:val="0"/>
      <w:marBottom w:val="0"/>
      <w:divBdr>
        <w:top w:val="none" w:sz="0" w:space="0" w:color="auto"/>
        <w:left w:val="none" w:sz="0" w:space="0" w:color="auto"/>
        <w:bottom w:val="none" w:sz="0" w:space="0" w:color="auto"/>
        <w:right w:val="none" w:sz="0" w:space="0" w:color="auto"/>
      </w:divBdr>
    </w:div>
    <w:div w:id="415320507">
      <w:bodyDiv w:val="1"/>
      <w:marLeft w:val="0"/>
      <w:marRight w:val="0"/>
      <w:marTop w:val="0"/>
      <w:marBottom w:val="0"/>
      <w:divBdr>
        <w:top w:val="none" w:sz="0" w:space="0" w:color="auto"/>
        <w:left w:val="none" w:sz="0" w:space="0" w:color="auto"/>
        <w:bottom w:val="none" w:sz="0" w:space="0" w:color="auto"/>
        <w:right w:val="none" w:sz="0" w:space="0" w:color="auto"/>
      </w:divBdr>
    </w:div>
    <w:div w:id="415367596">
      <w:bodyDiv w:val="1"/>
      <w:marLeft w:val="0"/>
      <w:marRight w:val="0"/>
      <w:marTop w:val="0"/>
      <w:marBottom w:val="0"/>
      <w:divBdr>
        <w:top w:val="none" w:sz="0" w:space="0" w:color="auto"/>
        <w:left w:val="none" w:sz="0" w:space="0" w:color="auto"/>
        <w:bottom w:val="none" w:sz="0" w:space="0" w:color="auto"/>
        <w:right w:val="none" w:sz="0" w:space="0" w:color="auto"/>
      </w:divBdr>
    </w:div>
    <w:div w:id="415370102">
      <w:bodyDiv w:val="1"/>
      <w:marLeft w:val="0"/>
      <w:marRight w:val="0"/>
      <w:marTop w:val="0"/>
      <w:marBottom w:val="0"/>
      <w:divBdr>
        <w:top w:val="none" w:sz="0" w:space="0" w:color="auto"/>
        <w:left w:val="none" w:sz="0" w:space="0" w:color="auto"/>
        <w:bottom w:val="none" w:sz="0" w:space="0" w:color="auto"/>
        <w:right w:val="none" w:sz="0" w:space="0" w:color="auto"/>
      </w:divBdr>
    </w:div>
    <w:div w:id="415397259">
      <w:bodyDiv w:val="1"/>
      <w:marLeft w:val="0"/>
      <w:marRight w:val="0"/>
      <w:marTop w:val="0"/>
      <w:marBottom w:val="0"/>
      <w:divBdr>
        <w:top w:val="none" w:sz="0" w:space="0" w:color="auto"/>
        <w:left w:val="none" w:sz="0" w:space="0" w:color="auto"/>
        <w:bottom w:val="none" w:sz="0" w:space="0" w:color="auto"/>
        <w:right w:val="none" w:sz="0" w:space="0" w:color="auto"/>
      </w:divBdr>
    </w:div>
    <w:div w:id="415635131">
      <w:bodyDiv w:val="1"/>
      <w:marLeft w:val="0"/>
      <w:marRight w:val="0"/>
      <w:marTop w:val="0"/>
      <w:marBottom w:val="0"/>
      <w:divBdr>
        <w:top w:val="none" w:sz="0" w:space="0" w:color="auto"/>
        <w:left w:val="none" w:sz="0" w:space="0" w:color="auto"/>
        <w:bottom w:val="none" w:sz="0" w:space="0" w:color="auto"/>
        <w:right w:val="none" w:sz="0" w:space="0" w:color="auto"/>
      </w:divBdr>
    </w:div>
    <w:div w:id="415790478">
      <w:bodyDiv w:val="1"/>
      <w:marLeft w:val="0"/>
      <w:marRight w:val="0"/>
      <w:marTop w:val="0"/>
      <w:marBottom w:val="0"/>
      <w:divBdr>
        <w:top w:val="none" w:sz="0" w:space="0" w:color="auto"/>
        <w:left w:val="none" w:sz="0" w:space="0" w:color="auto"/>
        <w:bottom w:val="none" w:sz="0" w:space="0" w:color="auto"/>
        <w:right w:val="none" w:sz="0" w:space="0" w:color="auto"/>
      </w:divBdr>
    </w:div>
    <w:div w:id="415827741">
      <w:bodyDiv w:val="1"/>
      <w:marLeft w:val="0"/>
      <w:marRight w:val="0"/>
      <w:marTop w:val="0"/>
      <w:marBottom w:val="0"/>
      <w:divBdr>
        <w:top w:val="none" w:sz="0" w:space="0" w:color="auto"/>
        <w:left w:val="none" w:sz="0" w:space="0" w:color="auto"/>
        <w:bottom w:val="none" w:sz="0" w:space="0" w:color="auto"/>
        <w:right w:val="none" w:sz="0" w:space="0" w:color="auto"/>
      </w:divBdr>
    </w:div>
    <w:div w:id="415832971">
      <w:bodyDiv w:val="1"/>
      <w:marLeft w:val="0"/>
      <w:marRight w:val="0"/>
      <w:marTop w:val="0"/>
      <w:marBottom w:val="0"/>
      <w:divBdr>
        <w:top w:val="none" w:sz="0" w:space="0" w:color="auto"/>
        <w:left w:val="none" w:sz="0" w:space="0" w:color="auto"/>
        <w:bottom w:val="none" w:sz="0" w:space="0" w:color="auto"/>
        <w:right w:val="none" w:sz="0" w:space="0" w:color="auto"/>
      </w:divBdr>
    </w:div>
    <w:div w:id="415900880">
      <w:bodyDiv w:val="1"/>
      <w:marLeft w:val="0"/>
      <w:marRight w:val="0"/>
      <w:marTop w:val="0"/>
      <w:marBottom w:val="0"/>
      <w:divBdr>
        <w:top w:val="none" w:sz="0" w:space="0" w:color="auto"/>
        <w:left w:val="none" w:sz="0" w:space="0" w:color="auto"/>
        <w:bottom w:val="none" w:sz="0" w:space="0" w:color="auto"/>
        <w:right w:val="none" w:sz="0" w:space="0" w:color="auto"/>
      </w:divBdr>
    </w:div>
    <w:div w:id="415976015">
      <w:bodyDiv w:val="1"/>
      <w:marLeft w:val="0"/>
      <w:marRight w:val="0"/>
      <w:marTop w:val="0"/>
      <w:marBottom w:val="0"/>
      <w:divBdr>
        <w:top w:val="none" w:sz="0" w:space="0" w:color="auto"/>
        <w:left w:val="none" w:sz="0" w:space="0" w:color="auto"/>
        <w:bottom w:val="none" w:sz="0" w:space="0" w:color="auto"/>
        <w:right w:val="none" w:sz="0" w:space="0" w:color="auto"/>
      </w:divBdr>
    </w:div>
    <w:div w:id="416101085">
      <w:bodyDiv w:val="1"/>
      <w:marLeft w:val="0"/>
      <w:marRight w:val="0"/>
      <w:marTop w:val="0"/>
      <w:marBottom w:val="0"/>
      <w:divBdr>
        <w:top w:val="none" w:sz="0" w:space="0" w:color="auto"/>
        <w:left w:val="none" w:sz="0" w:space="0" w:color="auto"/>
        <w:bottom w:val="none" w:sz="0" w:space="0" w:color="auto"/>
        <w:right w:val="none" w:sz="0" w:space="0" w:color="auto"/>
      </w:divBdr>
    </w:div>
    <w:div w:id="416245073">
      <w:bodyDiv w:val="1"/>
      <w:marLeft w:val="0"/>
      <w:marRight w:val="0"/>
      <w:marTop w:val="0"/>
      <w:marBottom w:val="0"/>
      <w:divBdr>
        <w:top w:val="none" w:sz="0" w:space="0" w:color="auto"/>
        <w:left w:val="none" w:sz="0" w:space="0" w:color="auto"/>
        <w:bottom w:val="none" w:sz="0" w:space="0" w:color="auto"/>
        <w:right w:val="none" w:sz="0" w:space="0" w:color="auto"/>
      </w:divBdr>
    </w:div>
    <w:div w:id="416486966">
      <w:bodyDiv w:val="1"/>
      <w:marLeft w:val="0"/>
      <w:marRight w:val="0"/>
      <w:marTop w:val="0"/>
      <w:marBottom w:val="0"/>
      <w:divBdr>
        <w:top w:val="none" w:sz="0" w:space="0" w:color="auto"/>
        <w:left w:val="none" w:sz="0" w:space="0" w:color="auto"/>
        <w:bottom w:val="none" w:sz="0" w:space="0" w:color="auto"/>
        <w:right w:val="none" w:sz="0" w:space="0" w:color="auto"/>
      </w:divBdr>
    </w:div>
    <w:div w:id="416564178">
      <w:bodyDiv w:val="1"/>
      <w:marLeft w:val="0"/>
      <w:marRight w:val="0"/>
      <w:marTop w:val="0"/>
      <w:marBottom w:val="0"/>
      <w:divBdr>
        <w:top w:val="none" w:sz="0" w:space="0" w:color="auto"/>
        <w:left w:val="none" w:sz="0" w:space="0" w:color="auto"/>
        <w:bottom w:val="none" w:sz="0" w:space="0" w:color="auto"/>
        <w:right w:val="none" w:sz="0" w:space="0" w:color="auto"/>
      </w:divBdr>
    </w:div>
    <w:div w:id="416679147">
      <w:bodyDiv w:val="1"/>
      <w:marLeft w:val="0"/>
      <w:marRight w:val="0"/>
      <w:marTop w:val="0"/>
      <w:marBottom w:val="0"/>
      <w:divBdr>
        <w:top w:val="none" w:sz="0" w:space="0" w:color="auto"/>
        <w:left w:val="none" w:sz="0" w:space="0" w:color="auto"/>
        <w:bottom w:val="none" w:sz="0" w:space="0" w:color="auto"/>
        <w:right w:val="none" w:sz="0" w:space="0" w:color="auto"/>
      </w:divBdr>
    </w:div>
    <w:div w:id="416748976">
      <w:bodyDiv w:val="1"/>
      <w:marLeft w:val="0"/>
      <w:marRight w:val="0"/>
      <w:marTop w:val="0"/>
      <w:marBottom w:val="0"/>
      <w:divBdr>
        <w:top w:val="none" w:sz="0" w:space="0" w:color="auto"/>
        <w:left w:val="none" w:sz="0" w:space="0" w:color="auto"/>
        <w:bottom w:val="none" w:sz="0" w:space="0" w:color="auto"/>
        <w:right w:val="none" w:sz="0" w:space="0" w:color="auto"/>
      </w:divBdr>
    </w:div>
    <w:div w:id="416949981">
      <w:bodyDiv w:val="1"/>
      <w:marLeft w:val="0"/>
      <w:marRight w:val="0"/>
      <w:marTop w:val="0"/>
      <w:marBottom w:val="0"/>
      <w:divBdr>
        <w:top w:val="none" w:sz="0" w:space="0" w:color="auto"/>
        <w:left w:val="none" w:sz="0" w:space="0" w:color="auto"/>
        <w:bottom w:val="none" w:sz="0" w:space="0" w:color="auto"/>
        <w:right w:val="none" w:sz="0" w:space="0" w:color="auto"/>
      </w:divBdr>
    </w:div>
    <w:div w:id="417019172">
      <w:bodyDiv w:val="1"/>
      <w:marLeft w:val="0"/>
      <w:marRight w:val="0"/>
      <w:marTop w:val="0"/>
      <w:marBottom w:val="0"/>
      <w:divBdr>
        <w:top w:val="none" w:sz="0" w:space="0" w:color="auto"/>
        <w:left w:val="none" w:sz="0" w:space="0" w:color="auto"/>
        <w:bottom w:val="none" w:sz="0" w:space="0" w:color="auto"/>
        <w:right w:val="none" w:sz="0" w:space="0" w:color="auto"/>
      </w:divBdr>
    </w:div>
    <w:div w:id="417097336">
      <w:bodyDiv w:val="1"/>
      <w:marLeft w:val="0"/>
      <w:marRight w:val="0"/>
      <w:marTop w:val="0"/>
      <w:marBottom w:val="0"/>
      <w:divBdr>
        <w:top w:val="none" w:sz="0" w:space="0" w:color="auto"/>
        <w:left w:val="none" w:sz="0" w:space="0" w:color="auto"/>
        <w:bottom w:val="none" w:sz="0" w:space="0" w:color="auto"/>
        <w:right w:val="none" w:sz="0" w:space="0" w:color="auto"/>
      </w:divBdr>
    </w:div>
    <w:div w:id="417410518">
      <w:bodyDiv w:val="1"/>
      <w:marLeft w:val="0"/>
      <w:marRight w:val="0"/>
      <w:marTop w:val="0"/>
      <w:marBottom w:val="0"/>
      <w:divBdr>
        <w:top w:val="none" w:sz="0" w:space="0" w:color="auto"/>
        <w:left w:val="none" w:sz="0" w:space="0" w:color="auto"/>
        <w:bottom w:val="none" w:sz="0" w:space="0" w:color="auto"/>
        <w:right w:val="none" w:sz="0" w:space="0" w:color="auto"/>
      </w:divBdr>
    </w:div>
    <w:div w:id="417601826">
      <w:bodyDiv w:val="1"/>
      <w:marLeft w:val="0"/>
      <w:marRight w:val="0"/>
      <w:marTop w:val="0"/>
      <w:marBottom w:val="0"/>
      <w:divBdr>
        <w:top w:val="none" w:sz="0" w:space="0" w:color="auto"/>
        <w:left w:val="none" w:sz="0" w:space="0" w:color="auto"/>
        <w:bottom w:val="none" w:sz="0" w:space="0" w:color="auto"/>
        <w:right w:val="none" w:sz="0" w:space="0" w:color="auto"/>
      </w:divBdr>
    </w:div>
    <w:div w:id="417749754">
      <w:bodyDiv w:val="1"/>
      <w:marLeft w:val="0"/>
      <w:marRight w:val="0"/>
      <w:marTop w:val="0"/>
      <w:marBottom w:val="0"/>
      <w:divBdr>
        <w:top w:val="none" w:sz="0" w:space="0" w:color="auto"/>
        <w:left w:val="none" w:sz="0" w:space="0" w:color="auto"/>
        <w:bottom w:val="none" w:sz="0" w:space="0" w:color="auto"/>
        <w:right w:val="none" w:sz="0" w:space="0" w:color="auto"/>
      </w:divBdr>
    </w:div>
    <w:div w:id="417797054">
      <w:bodyDiv w:val="1"/>
      <w:marLeft w:val="0"/>
      <w:marRight w:val="0"/>
      <w:marTop w:val="0"/>
      <w:marBottom w:val="0"/>
      <w:divBdr>
        <w:top w:val="none" w:sz="0" w:space="0" w:color="auto"/>
        <w:left w:val="none" w:sz="0" w:space="0" w:color="auto"/>
        <w:bottom w:val="none" w:sz="0" w:space="0" w:color="auto"/>
        <w:right w:val="none" w:sz="0" w:space="0" w:color="auto"/>
      </w:divBdr>
    </w:div>
    <w:div w:id="417991563">
      <w:bodyDiv w:val="1"/>
      <w:marLeft w:val="0"/>
      <w:marRight w:val="0"/>
      <w:marTop w:val="0"/>
      <w:marBottom w:val="0"/>
      <w:divBdr>
        <w:top w:val="none" w:sz="0" w:space="0" w:color="auto"/>
        <w:left w:val="none" w:sz="0" w:space="0" w:color="auto"/>
        <w:bottom w:val="none" w:sz="0" w:space="0" w:color="auto"/>
        <w:right w:val="none" w:sz="0" w:space="0" w:color="auto"/>
      </w:divBdr>
    </w:div>
    <w:div w:id="418139030">
      <w:bodyDiv w:val="1"/>
      <w:marLeft w:val="0"/>
      <w:marRight w:val="0"/>
      <w:marTop w:val="0"/>
      <w:marBottom w:val="0"/>
      <w:divBdr>
        <w:top w:val="none" w:sz="0" w:space="0" w:color="auto"/>
        <w:left w:val="none" w:sz="0" w:space="0" w:color="auto"/>
        <w:bottom w:val="none" w:sz="0" w:space="0" w:color="auto"/>
        <w:right w:val="none" w:sz="0" w:space="0" w:color="auto"/>
      </w:divBdr>
    </w:div>
    <w:div w:id="418252959">
      <w:bodyDiv w:val="1"/>
      <w:marLeft w:val="0"/>
      <w:marRight w:val="0"/>
      <w:marTop w:val="0"/>
      <w:marBottom w:val="0"/>
      <w:divBdr>
        <w:top w:val="none" w:sz="0" w:space="0" w:color="auto"/>
        <w:left w:val="none" w:sz="0" w:space="0" w:color="auto"/>
        <w:bottom w:val="none" w:sz="0" w:space="0" w:color="auto"/>
        <w:right w:val="none" w:sz="0" w:space="0" w:color="auto"/>
      </w:divBdr>
    </w:div>
    <w:div w:id="418404198">
      <w:bodyDiv w:val="1"/>
      <w:marLeft w:val="0"/>
      <w:marRight w:val="0"/>
      <w:marTop w:val="0"/>
      <w:marBottom w:val="0"/>
      <w:divBdr>
        <w:top w:val="none" w:sz="0" w:space="0" w:color="auto"/>
        <w:left w:val="none" w:sz="0" w:space="0" w:color="auto"/>
        <w:bottom w:val="none" w:sz="0" w:space="0" w:color="auto"/>
        <w:right w:val="none" w:sz="0" w:space="0" w:color="auto"/>
      </w:divBdr>
    </w:div>
    <w:div w:id="418409335">
      <w:bodyDiv w:val="1"/>
      <w:marLeft w:val="0"/>
      <w:marRight w:val="0"/>
      <w:marTop w:val="0"/>
      <w:marBottom w:val="0"/>
      <w:divBdr>
        <w:top w:val="none" w:sz="0" w:space="0" w:color="auto"/>
        <w:left w:val="none" w:sz="0" w:space="0" w:color="auto"/>
        <w:bottom w:val="none" w:sz="0" w:space="0" w:color="auto"/>
        <w:right w:val="none" w:sz="0" w:space="0" w:color="auto"/>
      </w:divBdr>
    </w:div>
    <w:div w:id="418447775">
      <w:bodyDiv w:val="1"/>
      <w:marLeft w:val="0"/>
      <w:marRight w:val="0"/>
      <w:marTop w:val="0"/>
      <w:marBottom w:val="0"/>
      <w:divBdr>
        <w:top w:val="none" w:sz="0" w:space="0" w:color="auto"/>
        <w:left w:val="none" w:sz="0" w:space="0" w:color="auto"/>
        <w:bottom w:val="none" w:sz="0" w:space="0" w:color="auto"/>
        <w:right w:val="none" w:sz="0" w:space="0" w:color="auto"/>
      </w:divBdr>
    </w:div>
    <w:div w:id="418840734">
      <w:bodyDiv w:val="1"/>
      <w:marLeft w:val="0"/>
      <w:marRight w:val="0"/>
      <w:marTop w:val="0"/>
      <w:marBottom w:val="0"/>
      <w:divBdr>
        <w:top w:val="none" w:sz="0" w:space="0" w:color="auto"/>
        <w:left w:val="none" w:sz="0" w:space="0" w:color="auto"/>
        <w:bottom w:val="none" w:sz="0" w:space="0" w:color="auto"/>
        <w:right w:val="none" w:sz="0" w:space="0" w:color="auto"/>
      </w:divBdr>
    </w:div>
    <w:div w:id="418866428">
      <w:bodyDiv w:val="1"/>
      <w:marLeft w:val="0"/>
      <w:marRight w:val="0"/>
      <w:marTop w:val="0"/>
      <w:marBottom w:val="0"/>
      <w:divBdr>
        <w:top w:val="none" w:sz="0" w:space="0" w:color="auto"/>
        <w:left w:val="none" w:sz="0" w:space="0" w:color="auto"/>
        <w:bottom w:val="none" w:sz="0" w:space="0" w:color="auto"/>
        <w:right w:val="none" w:sz="0" w:space="0" w:color="auto"/>
      </w:divBdr>
    </w:div>
    <w:div w:id="418908293">
      <w:bodyDiv w:val="1"/>
      <w:marLeft w:val="0"/>
      <w:marRight w:val="0"/>
      <w:marTop w:val="0"/>
      <w:marBottom w:val="0"/>
      <w:divBdr>
        <w:top w:val="none" w:sz="0" w:space="0" w:color="auto"/>
        <w:left w:val="none" w:sz="0" w:space="0" w:color="auto"/>
        <w:bottom w:val="none" w:sz="0" w:space="0" w:color="auto"/>
        <w:right w:val="none" w:sz="0" w:space="0" w:color="auto"/>
      </w:divBdr>
    </w:div>
    <w:div w:id="418986098">
      <w:bodyDiv w:val="1"/>
      <w:marLeft w:val="0"/>
      <w:marRight w:val="0"/>
      <w:marTop w:val="0"/>
      <w:marBottom w:val="0"/>
      <w:divBdr>
        <w:top w:val="none" w:sz="0" w:space="0" w:color="auto"/>
        <w:left w:val="none" w:sz="0" w:space="0" w:color="auto"/>
        <w:bottom w:val="none" w:sz="0" w:space="0" w:color="auto"/>
        <w:right w:val="none" w:sz="0" w:space="0" w:color="auto"/>
      </w:divBdr>
    </w:div>
    <w:div w:id="419064075">
      <w:bodyDiv w:val="1"/>
      <w:marLeft w:val="0"/>
      <w:marRight w:val="0"/>
      <w:marTop w:val="0"/>
      <w:marBottom w:val="0"/>
      <w:divBdr>
        <w:top w:val="none" w:sz="0" w:space="0" w:color="auto"/>
        <w:left w:val="none" w:sz="0" w:space="0" w:color="auto"/>
        <w:bottom w:val="none" w:sz="0" w:space="0" w:color="auto"/>
        <w:right w:val="none" w:sz="0" w:space="0" w:color="auto"/>
      </w:divBdr>
    </w:div>
    <w:div w:id="419255392">
      <w:bodyDiv w:val="1"/>
      <w:marLeft w:val="0"/>
      <w:marRight w:val="0"/>
      <w:marTop w:val="0"/>
      <w:marBottom w:val="0"/>
      <w:divBdr>
        <w:top w:val="none" w:sz="0" w:space="0" w:color="auto"/>
        <w:left w:val="none" w:sz="0" w:space="0" w:color="auto"/>
        <w:bottom w:val="none" w:sz="0" w:space="0" w:color="auto"/>
        <w:right w:val="none" w:sz="0" w:space="0" w:color="auto"/>
      </w:divBdr>
    </w:div>
    <w:div w:id="419378377">
      <w:bodyDiv w:val="1"/>
      <w:marLeft w:val="0"/>
      <w:marRight w:val="0"/>
      <w:marTop w:val="0"/>
      <w:marBottom w:val="0"/>
      <w:divBdr>
        <w:top w:val="none" w:sz="0" w:space="0" w:color="auto"/>
        <w:left w:val="none" w:sz="0" w:space="0" w:color="auto"/>
        <w:bottom w:val="none" w:sz="0" w:space="0" w:color="auto"/>
        <w:right w:val="none" w:sz="0" w:space="0" w:color="auto"/>
      </w:divBdr>
    </w:div>
    <w:div w:id="419378895">
      <w:bodyDiv w:val="1"/>
      <w:marLeft w:val="0"/>
      <w:marRight w:val="0"/>
      <w:marTop w:val="0"/>
      <w:marBottom w:val="0"/>
      <w:divBdr>
        <w:top w:val="none" w:sz="0" w:space="0" w:color="auto"/>
        <w:left w:val="none" w:sz="0" w:space="0" w:color="auto"/>
        <w:bottom w:val="none" w:sz="0" w:space="0" w:color="auto"/>
        <w:right w:val="none" w:sz="0" w:space="0" w:color="auto"/>
      </w:divBdr>
    </w:div>
    <w:div w:id="419647536">
      <w:bodyDiv w:val="1"/>
      <w:marLeft w:val="0"/>
      <w:marRight w:val="0"/>
      <w:marTop w:val="0"/>
      <w:marBottom w:val="0"/>
      <w:divBdr>
        <w:top w:val="none" w:sz="0" w:space="0" w:color="auto"/>
        <w:left w:val="none" w:sz="0" w:space="0" w:color="auto"/>
        <w:bottom w:val="none" w:sz="0" w:space="0" w:color="auto"/>
        <w:right w:val="none" w:sz="0" w:space="0" w:color="auto"/>
      </w:divBdr>
    </w:div>
    <w:div w:id="419764890">
      <w:bodyDiv w:val="1"/>
      <w:marLeft w:val="0"/>
      <w:marRight w:val="0"/>
      <w:marTop w:val="0"/>
      <w:marBottom w:val="0"/>
      <w:divBdr>
        <w:top w:val="none" w:sz="0" w:space="0" w:color="auto"/>
        <w:left w:val="none" w:sz="0" w:space="0" w:color="auto"/>
        <w:bottom w:val="none" w:sz="0" w:space="0" w:color="auto"/>
        <w:right w:val="none" w:sz="0" w:space="0" w:color="auto"/>
      </w:divBdr>
    </w:div>
    <w:div w:id="419832586">
      <w:bodyDiv w:val="1"/>
      <w:marLeft w:val="0"/>
      <w:marRight w:val="0"/>
      <w:marTop w:val="0"/>
      <w:marBottom w:val="0"/>
      <w:divBdr>
        <w:top w:val="none" w:sz="0" w:space="0" w:color="auto"/>
        <w:left w:val="none" w:sz="0" w:space="0" w:color="auto"/>
        <w:bottom w:val="none" w:sz="0" w:space="0" w:color="auto"/>
        <w:right w:val="none" w:sz="0" w:space="0" w:color="auto"/>
      </w:divBdr>
    </w:div>
    <w:div w:id="419913403">
      <w:bodyDiv w:val="1"/>
      <w:marLeft w:val="0"/>
      <w:marRight w:val="0"/>
      <w:marTop w:val="0"/>
      <w:marBottom w:val="0"/>
      <w:divBdr>
        <w:top w:val="none" w:sz="0" w:space="0" w:color="auto"/>
        <w:left w:val="none" w:sz="0" w:space="0" w:color="auto"/>
        <w:bottom w:val="none" w:sz="0" w:space="0" w:color="auto"/>
        <w:right w:val="none" w:sz="0" w:space="0" w:color="auto"/>
      </w:divBdr>
    </w:div>
    <w:div w:id="419957404">
      <w:bodyDiv w:val="1"/>
      <w:marLeft w:val="0"/>
      <w:marRight w:val="0"/>
      <w:marTop w:val="0"/>
      <w:marBottom w:val="0"/>
      <w:divBdr>
        <w:top w:val="none" w:sz="0" w:space="0" w:color="auto"/>
        <w:left w:val="none" w:sz="0" w:space="0" w:color="auto"/>
        <w:bottom w:val="none" w:sz="0" w:space="0" w:color="auto"/>
        <w:right w:val="none" w:sz="0" w:space="0" w:color="auto"/>
      </w:divBdr>
    </w:div>
    <w:div w:id="420179524">
      <w:bodyDiv w:val="1"/>
      <w:marLeft w:val="0"/>
      <w:marRight w:val="0"/>
      <w:marTop w:val="0"/>
      <w:marBottom w:val="0"/>
      <w:divBdr>
        <w:top w:val="none" w:sz="0" w:space="0" w:color="auto"/>
        <w:left w:val="none" w:sz="0" w:space="0" w:color="auto"/>
        <w:bottom w:val="none" w:sz="0" w:space="0" w:color="auto"/>
        <w:right w:val="none" w:sz="0" w:space="0" w:color="auto"/>
      </w:divBdr>
    </w:div>
    <w:div w:id="420293858">
      <w:bodyDiv w:val="1"/>
      <w:marLeft w:val="0"/>
      <w:marRight w:val="0"/>
      <w:marTop w:val="0"/>
      <w:marBottom w:val="0"/>
      <w:divBdr>
        <w:top w:val="none" w:sz="0" w:space="0" w:color="auto"/>
        <w:left w:val="none" w:sz="0" w:space="0" w:color="auto"/>
        <w:bottom w:val="none" w:sz="0" w:space="0" w:color="auto"/>
        <w:right w:val="none" w:sz="0" w:space="0" w:color="auto"/>
      </w:divBdr>
    </w:div>
    <w:div w:id="420490425">
      <w:bodyDiv w:val="1"/>
      <w:marLeft w:val="0"/>
      <w:marRight w:val="0"/>
      <w:marTop w:val="0"/>
      <w:marBottom w:val="0"/>
      <w:divBdr>
        <w:top w:val="none" w:sz="0" w:space="0" w:color="auto"/>
        <w:left w:val="none" w:sz="0" w:space="0" w:color="auto"/>
        <w:bottom w:val="none" w:sz="0" w:space="0" w:color="auto"/>
        <w:right w:val="none" w:sz="0" w:space="0" w:color="auto"/>
      </w:divBdr>
    </w:div>
    <w:div w:id="420837739">
      <w:bodyDiv w:val="1"/>
      <w:marLeft w:val="0"/>
      <w:marRight w:val="0"/>
      <w:marTop w:val="0"/>
      <w:marBottom w:val="0"/>
      <w:divBdr>
        <w:top w:val="none" w:sz="0" w:space="0" w:color="auto"/>
        <w:left w:val="none" w:sz="0" w:space="0" w:color="auto"/>
        <w:bottom w:val="none" w:sz="0" w:space="0" w:color="auto"/>
        <w:right w:val="none" w:sz="0" w:space="0" w:color="auto"/>
      </w:divBdr>
    </w:div>
    <w:div w:id="420881537">
      <w:bodyDiv w:val="1"/>
      <w:marLeft w:val="0"/>
      <w:marRight w:val="0"/>
      <w:marTop w:val="0"/>
      <w:marBottom w:val="0"/>
      <w:divBdr>
        <w:top w:val="none" w:sz="0" w:space="0" w:color="auto"/>
        <w:left w:val="none" w:sz="0" w:space="0" w:color="auto"/>
        <w:bottom w:val="none" w:sz="0" w:space="0" w:color="auto"/>
        <w:right w:val="none" w:sz="0" w:space="0" w:color="auto"/>
      </w:divBdr>
    </w:div>
    <w:div w:id="421024297">
      <w:bodyDiv w:val="1"/>
      <w:marLeft w:val="0"/>
      <w:marRight w:val="0"/>
      <w:marTop w:val="0"/>
      <w:marBottom w:val="0"/>
      <w:divBdr>
        <w:top w:val="none" w:sz="0" w:space="0" w:color="auto"/>
        <w:left w:val="none" w:sz="0" w:space="0" w:color="auto"/>
        <w:bottom w:val="none" w:sz="0" w:space="0" w:color="auto"/>
        <w:right w:val="none" w:sz="0" w:space="0" w:color="auto"/>
      </w:divBdr>
    </w:div>
    <w:div w:id="421414909">
      <w:bodyDiv w:val="1"/>
      <w:marLeft w:val="0"/>
      <w:marRight w:val="0"/>
      <w:marTop w:val="0"/>
      <w:marBottom w:val="0"/>
      <w:divBdr>
        <w:top w:val="none" w:sz="0" w:space="0" w:color="auto"/>
        <w:left w:val="none" w:sz="0" w:space="0" w:color="auto"/>
        <w:bottom w:val="none" w:sz="0" w:space="0" w:color="auto"/>
        <w:right w:val="none" w:sz="0" w:space="0" w:color="auto"/>
      </w:divBdr>
    </w:div>
    <w:div w:id="421414980">
      <w:bodyDiv w:val="1"/>
      <w:marLeft w:val="0"/>
      <w:marRight w:val="0"/>
      <w:marTop w:val="0"/>
      <w:marBottom w:val="0"/>
      <w:divBdr>
        <w:top w:val="none" w:sz="0" w:space="0" w:color="auto"/>
        <w:left w:val="none" w:sz="0" w:space="0" w:color="auto"/>
        <w:bottom w:val="none" w:sz="0" w:space="0" w:color="auto"/>
        <w:right w:val="none" w:sz="0" w:space="0" w:color="auto"/>
      </w:divBdr>
    </w:div>
    <w:div w:id="421490103">
      <w:bodyDiv w:val="1"/>
      <w:marLeft w:val="0"/>
      <w:marRight w:val="0"/>
      <w:marTop w:val="0"/>
      <w:marBottom w:val="0"/>
      <w:divBdr>
        <w:top w:val="none" w:sz="0" w:space="0" w:color="auto"/>
        <w:left w:val="none" w:sz="0" w:space="0" w:color="auto"/>
        <w:bottom w:val="none" w:sz="0" w:space="0" w:color="auto"/>
        <w:right w:val="none" w:sz="0" w:space="0" w:color="auto"/>
      </w:divBdr>
    </w:div>
    <w:div w:id="421490239">
      <w:bodyDiv w:val="1"/>
      <w:marLeft w:val="0"/>
      <w:marRight w:val="0"/>
      <w:marTop w:val="0"/>
      <w:marBottom w:val="0"/>
      <w:divBdr>
        <w:top w:val="none" w:sz="0" w:space="0" w:color="auto"/>
        <w:left w:val="none" w:sz="0" w:space="0" w:color="auto"/>
        <w:bottom w:val="none" w:sz="0" w:space="0" w:color="auto"/>
        <w:right w:val="none" w:sz="0" w:space="0" w:color="auto"/>
      </w:divBdr>
    </w:div>
    <w:div w:id="421531187">
      <w:bodyDiv w:val="1"/>
      <w:marLeft w:val="0"/>
      <w:marRight w:val="0"/>
      <w:marTop w:val="0"/>
      <w:marBottom w:val="0"/>
      <w:divBdr>
        <w:top w:val="none" w:sz="0" w:space="0" w:color="auto"/>
        <w:left w:val="none" w:sz="0" w:space="0" w:color="auto"/>
        <w:bottom w:val="none" w:sz="0" w:space="0" w:color="auto"/>
        <w:right w:val="none" w:sz="0" w:space="0" w:color="auto"/>
      </w:divBdr>
    </w:div>
    <w:div w:id="421679539">
      <w:bodyDiv w:val="1"/>
      <w:marLeft w:val="0"/>
      <w:marRight w:val="0"/>
      <w:marTop w:val="0"/>
      <w:marBottom w:val="0"/>
      <w:divBdr>
        <w:top w:val="none" w:sz="0" w:space="0" w:color="auto"/>
        <w:left w:val="none" w:sz="0" w:space="0" w:color="auto"/>
        <w:bottom w:val="none" w:sz="0" w:space="0" w:color="auto"/>
        <w:right w:val="none" w:sz="0" w:space="0" w:color="auto"/>
      </w:divBdr>
    </w:div>
    <w:div w:id="421687462">
      <w:bodyDiv w:val="1"/>
      <w:marLeft w:val="0"/>
      <w:marRight w:val="0"/>
      <w:marTop w:val="0"/>
      <w:marBottom w:val="0"/>
      <w:divBdr>
        <w:top w:val="none" w:sz="0" w:space="0" w:color="auto"/>
        <w:left w:val="none" w:sz="0" w:space="0" w:color="auto"/>
        <w:bottom w:val="none" w:sz="0" w:space="0" w:color="auto"/>
        <w:right w:val="none" w:sz="0" w:space="0" w:color="auto"/>
      </w:divBdr>
    </w:div>
    <w:div w:id="421724902">
      <w:bodyDiv w:val="1"/>
      <w:marLeft w:val="0"/>
      <w:marRight w:val="0"/>
      <w:marTop w:val="0"/>
      <w:marBottom w:val="0"/>
      <w:divBdr>
        <w:top w:val="none" w:sz="0" w:space="0" w:color="auto"/>
        <w:left w:val="none" w:sz="0" w:space="0" w:color="auto"/>
        <w:bottom w:val="none" w:sz="0" w:space="0" w:color="auto"/>
        <w:right w:val="none" w:sz="0" w:space="0" w:color="auto"/>
      </w:divBdr>
    </w:div>
    <w:div w:id="421731478">
      <w:bodyDiv w:val="1"/>
      <w:marLeft w:val="0"/>
      <w:marRight w:val="0"/>
      <w:marTop w:val="0"/>
      <w:marBottom w:val="0"/>
      <w:divBdr>
        <w:top w:val="none" w:sz="0" w:space="0" w:color="auto"/>
        <w:left w:val="none" w:sz="0" w:space="0" w:color="auto"/>
        <w:bottom w:val="none" w:sz="0" w:space="0" w:color="auto"/>
        <w:right w:val="none" w:sz="0" w:space="0" w:color="auto"/>
      </w:divBdr>
    </w:div>
    <w:div w:id="421799652">
      <w:bodyDiv w:val="1"/>
      <w:marLeft w:val="0"/>
      <w:marRight w:val="0"/>
      <w:marTop w:val="0"/>
      <w:marBottom w:val="0"/>
      <w:divBdr>
        <w:top w:val="none" w:sz="0" w:space="0" w:color="auto"/>
        <w:left w:val="none" w:sz="0" w:space="0" w:color="auto"/>
        <w:bottom w:val="none" w:sz="0" w:space="0" w:color="auto"/>
        <w:right w:val="none" w:sz="0" w:space="0" w:color="auto"/>
      </w:divBdr>
    </w:div>
    <w:div w:id="421878134">
      <w:bodyDiv w:val="1"/>
      <w:marLeft w:val="0"/>
      <w:marRight w:val="0"/>
      <w:marTop w:val="0"/>
      <w:marBottom w:val="0"/>
      <w:divBdr>
        <w:top w:val="none" w:sz="0" w:space="0" w:color="auto"/>
        <w:left w:val="none" w:sz="0" w:space="0" w:color="auto"/>
        <w:bottom w:val="none" w:sz="0" w:space="0" w:color="auto"/>
        <w:right w:val="none" w:sz="0" w:space="0" w:color="auto"/>
      </w:divBdr>
    </w:div>
    <w:div w:id="421949195">
      <w:bodyDiv w:val="1"/>
      <w:marLeft w:val="0"/>
      <w:marRight w:val="0"/>
      <w:marTop w:val="0"/>
      <w:marBottom w:val="0"/>
      <w:divBdr>
        <w:top w:val="none" w:sz="0" w:space="0" w:color="auto"/>
        <w:left w:val="none" w:sz="0" w:space="0" w:color="auto"/>
        <w:bottom w:val="none" w:sz="0" w:space="0" w:color="auto"/>
        <w:right w:val="none" w:sz="0" w:space="0" w:color="auto"/>
      </w:divBdr>
    </w:div>
    <w:div w:id="421949329">
      <w:bodyDiv w:val="1"/>
      <w:marLeft w:val="0"/>
      <w:marRight w:val="0"/>
      <w:marTop w:val="0"/>
      <w:marBottom w:val="0"/>
      <w:divBdr>
        <w:top w:val="none" w:sz="0" w:space="0" w:color="auto"/>
        <w:left w:val="none" w:sz="0" w:space="0" w:color="auto"/>
        <w:bottom w:val="none" w:sz="0" w:space="0" w:color="auto"/>
        <w:right w:val="none" w:sz="0" w:space="0" w:color="auto"/>
      </w:divBdr>
    </w:div>
    <w:div w:id="422186361">
      <w:bodyDiv w:val="1"/>
      <w:marLeft w:val="0"/>
      <w:marRight w:val="0"/>
      <w:marTop w:val="0"/>
      <w:marBottom w:val="0"/>
      <w:divBdr>
        <w:top w:val="none" w:sz="0" w:space="0" w:color="auto"/>
        <w:left w:val="none" w:sz="0" w:space="0" w:color="auto"/>
        <w:bottom w:val="none" w:sz="0" w:space="0" w:color="auto"/>
        <w:right w:val="none" w:sz="0" w:space="0" w:color="auto"/>
      </w:divBdr>
    </w:div>
    <w:div w:id="422267544">
      <w:bodyDiv w:val="1"/>
      <w:marLeft w:val="0"/>
      <w:marRight w:val="0"/>
      <w:marTop w:val="0"/>
      <w:marBottom w:val="0"/>
      <w:divBdr>
        <w:top w:val="none" w:sz="0" w:space="0" w:color="auto"/>
        <w:left w:val="none" w:sz="0" w:space="0" w:color="auto"/>
        <w:bottom w:val="none" w:sz="0" w:space="0" w:color="auto"/>
        <w:right w:val="none" w:sz="0" w:space="0" w:color="auto"/>
      </w:divBdr>
    </w:div>
    <w:div w:id="422268702">
      <w:bodyDiv w:val="1"/>
      <w:marLeft w:val="0"/>
      <w:marRight w:val="0"/>
      <w:marTop w:val="0"/>
      <w:marBottom w:val="0"/>
      <w:divBdr>
        <w:top w:val="none" w:sz="0" w:space="0" w:color="auto"/>
        <w:left w:val="none" w:sz="0" w:space="0" w:color="auto"/>
        <w:bottom w:val="none" w:sz="0" w:space="0" w:color="auto"/>
        <w:right w:val="none" w:sz="0" w:space="0" w:color="auto"/>
      </w:divBdr>
    </w:div>
    <w:div w:id="422335204">
      <w:bodyDiv w:val="1"/>
      <w:marLeft w:val="0"/>
      <w:marRight w:val="0"/>
      <w:marTop w:val="0"/>
      <w:marBottom w:val="0"/>
      <w:divBdr>
        <w:top w:val="none" w:sz="0" w:space="0" w:color="auto"/>
        <w:left w:val="none" w:sz="0" w:space="0" w:color="auto"/>
        <w:bottom w:val="none" w:sz="0" w:space="0" w:color="auto"/>
        <w:right w:val="none" w:sz="0" w:space="0" w:color="auto"/>
      </w:divBdr>
    </w:div>
    <w:div w:id="422529646">
      <w:bodyDiv w:val="1"/>
      <w:marLeft w:val="0"/>
      <w:marRight w:val="0"/>
      <w:marTop w:val="0"/>
      <w:marBottom w:val="0"/>
      <w:divBdr>
        <w:top w:val="none" w:sz="0" w:space="0" w:color="auto"/>
        <w:left w:val="none" w:sz="0" w:space="0" w:color="auto"/>
        <w:bottom w:val="none" w:sz="0" w:space="0" w:color="auto"/>
        <w:right w:val="none" w:sz="0" w:space="0" w:color="auto"/>
      </w:divBdr>
    </w:div>
    <w:div w:id="422536599">
      <w:bodyDiv w:val="1"/>
      <w:marLeft w:val="0"/>
      <w:marRight w:val="0"/>
      <w:marTop w:val="0"/>
      <w:marBottom w:val="0"/>
      <w:divBdr>
        <w:top w:val="none" w:sz="0" w:space="0" w:color="auto"/>
        <w:left w:val="none" w:sz="0" w:space="0" w:color="auto"/>
        <w:bottom w:val="none" w:sz="0" w:space="0" w:color="auto"/>
        <w:right w:val="none" w:sz="0" w:space="0" w:color="auto"/>
      </w:divBdr>
    </w:div>
    <w:div w:id="422798478">
      <w:bodyDiv w:val="1"/>
      <w:marLeft w:val="0"/>
      <w:marRight w:val="0"/>
      <w:marTop w:val="0"/>
      <w:marBottom w:val="0"/>
      <w:divBdr>
        <w:top w:val="none" w:sz="0" w:space="0" w:color="auto"/>
        <w:left w:val="none" w:sz="0" w:space="0" w:color="auto"/>
        <w:bottom w:val="none" w:sz="0" w:space="0" w:color="auto"/>
        <w:right w:val="none" w:sz="0" w:space="0" w:color="auto"/>
      </w:divBdr>
    </w:div>
    <w:div w:id="422799001">
      <w:bodyDiv w:val="1"/>
      <w:marLeft w:val="0"/>
      <w:marRight w:val="0"/>
      <w:marTop w:val="0"/>
      <w:marBottom w:val="0"/>
      <w:divBdr>
        <w:top w:val="none" w:sz="0" w:space="0" w:color="auto"/>
        <w:left w:val="none" w:sz="0" w:space="0" w:color="auto"/>
        <w:bottom w:val="none" w:sz="0" w:space="0" w:color="auto"/>
        <w:right w:val="none" w:sz="0" w:space="0" w:color="auto"/>
      </w:divBdr>
    </w:div>
    <w:div w:id="422800007">
      <w:bodyDiv w:val="1"/>
      <w:marLeft w:val="0"/>
      <w:marRight w:val="0"/>
      <w:marTop w:val="0"/>
      <w:marBottom w:val="0"/>
      <w:divBdr>
        <w:top w:val="none" w:sz="0" w:space="0" w:color="auto"/>
        <w:left w:val="none" w:sz="0" w:space="0" w:color="auto"/>
        <w:bottom w:val="none" w:sz="0" w:space="0" w:color="auto"/>
        <w:right w:val="none" w:sz="0" w:space="0" w:color="auto"/>
      </w:divBdr>
    </w:div>
    <w:div w:id="422800900">
      <w:bodyDiv w:val="1"/>
      <w:marLeft w:val="0"/>
      <w:marRight w:val="0"/>
      <w:marTop w:val="0"/>
      <w:marBottom w:val="0"/>
      <w:divBdr>
        <w:top w:val="none" w:sz="0" w:space="0" w:color="auto"/>
        <w:left w:val="none" w:sz="0" w:space="0" w:color="auto"/>
        <w:bottom w:val="none" w:sz="0" w:space="0" w:color="auto"/>
        <w:right w:val="none" w:sz="0" w:space="0" w:color="auto"/>
      </w:divBdr>
    </w:div>
    <w:div w:id="422802277">
      <w:bodyDiv w:val="1"/>
      <w:marLeft w:val="0"/>
      <w:marRight w:val="0"/>
      <w:marTop w:val="0"/>
      <w:marBottom w:val="0"/>
      <w:divBdr>
        <w:top w:val="none" w:sz="0" w:space="0" w:color="auto"/>
        <w:left w:val="none" w:sz="0" w:space="0" w:color="auto"/>
        <w:bottom w:val="none" w:sz="0" w:space="0" w:color="auto"/>
        <w:right w:val="none" w:sz="0" w:space="0" w:color="auto"/>
      </w:divBdr>
    </w:div>
    <w:div w:id="423113742">
      <w:bodyDiv w:val="1"/>
      <w:marLeft w:val="0"/>
      <w:marRight w:val="0"/>
      <w:marTop w:val="0"/>
      <w:marBottom w:val="0"/>
      <w:divBdr>
        <w:top w:val="none" w:sz="0" w:space="0" w:color="auto"/>
        <w:left w:val="none" w:sz="0" w:space="0" w:color="auto"/>
        <w:bottom w:val="none" w:sz="0" w:space="0" w:color="auto"/>
        <w:right w:val="none" w:sz="0" w:space="0" w:color="auto"/>
      </w:divBdr>
    </w:div>
    <w:div w:id="423114423">
      <w:bodyDiv w:val="1"/>
      <w:marLeft w:val="0"/>
      <w:marRight w:val="0"/>
      <w:marTop w:val="0"/>
      <w:marBottom w:val="0"/>
      <w:divBdr>
        <w:top w:val="none" w:sz="0" w:space="0" w:color="auto"/>
        <w:left w:val="none" w:sz="0" w:space="0" w:color="auto"/>
        <w:bottom w:val="none" w:sz="0" w:space="0" w:color="auto"/>
        <w:right w:val="none" w:sz="0" w:space="0" w:color="auto"/>
      </w:divBdr>
    </w:div>
    <w:div w:id="423188952">
      <w:bodyDiv w:val="1"/>
      <w:marLeft w:val="0"/>
      <w:marRight w:val="0"/>
      <w:marTop w:val="0"/>
      <w:marBottom w:val="0"/>
      <w:divBdr>
        <w:top w:val="none" w:sz="0" w:space="0" w:color="auto"/>
        <w:left w:val="none" w:sz="0" w:space="0" w:color="auto"/>
        <w:bottom w:val="none" w:sz="0" w:space="0" w:color="auto"/>
        <w:right w:val="none" w:sz="0" w:space="0" w:color="auto"/>
      </w:divBdr>
    </w:div>
    <w:div w:id="423189360">
      <w:bodyDiv w:val="1"/>
      <w:marLeft w:val="0"/>
      <w:marRight w:val="0"/>
      <w:marTop w:val="0"/>
      <w:marBottom w:val="0"/>
      <w:divBdr>
        <w:top w:val="none" w:sz="0" w:space="0" w:color="auto"/>
        <w:left w:val="none" w:sz="0" w:space="0" w:color="auto"/>
        <w:bottom w:val="none" w:sz="0" w:space="0" w:color="auto"/>
        <w:right w:val="none" w:sz="0" w:space="0" w:color="auto"/>
      </w:divBdr>
    </w:div>
    <w:div w:id="423303833">
      <w:bodyDiv w:val="1"/>
      <w:marLeft w:val="0"/>
      <w:marRight w:val="0"/>
      <w:marTop w:val="0"/>
      <w:marBottom w:val="0"/>
      <w:divBdr>
        <w:top w:val="none" w:sz="0" w:space="0" w:color="auto"/>
        <w:left w:val="none" w:sz="0" w:space="0" w:color="auto"/>
        <w:bottom w:val="none" w:sz="0" w:space="0" w:color="auto"/>
        <w:right w:val="none" w:sz="0" w:space="0" w:color="auto"/>
      </w:divBdr>
    </w:div>
    <w:div w:id="423304229">
      <w:bodyDiv w:val="1"/>
      <w:marLeft w:val="0"/>
      <w:marRight w:val="0"/>
      <w:marTop w:val="0"/>
      <w:marBottom w:val="0"/>
      <w:divBdr>
        <w:top w:val="none" w:sz="0" w:space="0" w:color="auto"/>
        <w:left w:val="none" w:sz="0" w:space="0" w:color="auto"/>
        <w:bottom w:val="none" w:sz="0" w:space="0" w:color="auto"/>
        <w:right w:val="none" w:sz="0" w:space="0" w:color="auto"/>
      </w:divBdr>
    </w:div>
    <w:div w:id="424229922">
      <w:bodyDiv w:val="1"/>
      <w:marLeft w:val="0"/>
      <w:marRight w:val="0"/>
      <w:marTop w:val="0"/>
      <w:marBottom w:val="0"/>
      <w:divBdr>
        <w:top w:val="none" w:sz="0" w:space="0" w:color="auto"/>
        <w:left w:val="none" w:sz="0" w:space="0" w:color="auto"/>
        <w:bottom w:val="none" w:sz="0" w:space="0" w:color="auto"/>
        <w:right w:val="none" w:sz="0" w:space="0" w:color="auto"/>
      </w:divBdr>
    </w:div>
    <w:div w:id="424427059">
      <w:bodyDiv w:val="1"/>
      <w:marLeft w:val="0"/>
      <w:marRight w:val="0"/>
      <w:marTop w:val="0"/>
      <w:marBottom w:val="0"/>
      <w:divBdr>
        <w:top w:val="none" w:sz="0" w:space="0" w:color="auto"/>
        <w:left w:val="none" w:sz="0" w:space="0" w:color="auto"/>
        <w:bottom w:val="none" w:sz="0" w:space="0" w:color="auto"/>
        <w:right w:val="none" w:sz="0" w:space="0" w:color="auto"/>
      </w:divBdr>
    </w:div>
    <w:div w:id="424617674">
      <w:bodyDiv w:val="1"/>
      <w:marLeft w:val="0"/>
      <w:marRight w:val="0"/>
      <w:marTop w:val="0"/>
      <w:marBottom w:val="0"/>
      <w:divBdr>
        <w:top w:val="none" w:sz="0" w:space="0" w:color="auto"/>
        <w:left w:val="none" w:sz="0" w:space="0" w:color="auto"/>
        <w:bottom w:val="none" w:sz="0" w:space="0" w:color="auto"/>
        <w:right w:val="none" w:sz="0" w:space="0" w:color="auto"/>
      </w:divBdr>
    </w:div>
    <w:div w:id="424767611">
      <w:bodyDiv w:val="1"/>
      <w:marLeft w:val="0"/>
      <w:marRight w:val="0"/>
      <w:marTop w:val="0"/>
      <w:marBottom w:val="0"/>
      <w:divBdr>
        <w:top w:val="none" w:sz="0" w:space="0" w:color="auto"/>
        <w:left w:val="none" w:sz="0" w:space="0" w:color="auto"/>
        <w:bottom w:val="none" w:sz="0" w:space="0" w:color="auto"/>
        <w:right w:val="none" w:sz="0" w:space="0" w:color="auto"/>
      </w:divBdr>
    </w:div>
    <w:div w:id="424769346">
      <w:bodyDiv w:val="1"/>
      <w:marLeft w:val="0"/>
      <w:marRight w:val="0"/>
      <w:marTop w:val="0"/>
      <w:marBottom w:val="0"/>
      <w:divBdr>
        <w:top w:val="none" w:sz="0" w:space="0" w:color="auto"/>
        <w:left w:val="none" w:sz="0" w:space="0" w:color="auto"/>
        <w:bottom w:val="none" w:sz="0" w:space="0" w:color="auto"/>
        <w:right w:val="none" w:sz="0" w:space="0" w:color="auto"/>
      </w:divBdr>
    </w:div>
    <w:div w:id="424771332">
      <w:bodyDiv w:val="1"/>
      <w:marLeft w:val="0"/>
      <w:marRight w:val="0"/>
      <w:marTop w:val="0"/>
      <w:marBottom w:val="0"/>
      <w:divBdr>
        <w:top w:val="none" w:sz="0" w:space="0" w:color="auto"/>
        <w:left w:val="none" w:sz="0" w:space="0" w:color="auto"/>
        <w:bottom w:val="none" w:sz="0" w:space="0" w:color="auto"/>
        <w:right w:val="none" w:sz="0" w:space="0" w:color="auto"/>
      </w:divBdr>
    </w:div>
    <w:div w:id="424809582">
      <w:bodyDiv w:val="1"/>
      <w:marLeft w:val="0"/>
      <w:marRight w:val="0"/>
      <w:marTop w:val="0"/>
      <w:marBottom w:val="0"/>
      <w:divBdr>
        <w:top w:val="none" w:sz="0" w:space="0" w:color="auto"/>
        <w:left w:val="none" w:sz="0" w:space="0" w:color="auto"/>
        <w:bottom w:val="none" w:sz="0" w:space="0" w:color="auto"/>
        <w:right w:val="none" w:sz="0" w:space="0" w:color="auto"/>
      </w:divBdr>
    </w:div>
    <w:div w:id="424887297">
      <w:bodyDiv w:val="1"/>
      <w:marLeft w:val="0"/>
      <w:marRight w:val="0"/>
      <w:marTop w:val="0"/>
      <w:marBottom w:val="0"/>
      <w:divBdr>
        <w:top w:val="none" w:sz="0" w:space="0" w:color="auto"/>
        <w:left w:val="none" w:sz="0" w:space="0" w:color="auto"/>
        <w:bottom w:val="none" w:sz="0" w:space="0" w:color="auto"/>
        <w:right w:val="none" w:sz="0" w:space="0" w:color="auto"/>
      </w:divBdr>
    </w:div>
    <w:div w:id="425007455">
      <w:bodyDiv w:val="1"/>
      <w:marLeft w:val="0"/>
      <w:marRight w:val="0"/>
      <w:marTop w:val="0"/>
      <w:marBottom w:val="0"/>
      <w:divBdr>
        <w:top w:val="none" w:sz="0" w:space="0" w:color="auto"/>
        <w:left w:val="none" w:sz="0" w:space="0" w:color="auto"/>
        <w:bottom w:val="none" w:sz="0" w:space="0" w:color="auto"/>
        <w:right w:val="none" w:sz="0" w:space="0" w:color="auto"/>
      </w:divBdr>
    </w:div>
    <w:div w:id="425274360">
      <w:bodyDiv w:val="1"/>
      <w:marLeft w:val="0"/>
      <w:marRight w:val="0"/>
      <w:marTop w:val="0"/>
      <w:marBottom w:val="0"/>
      <w:divBdr>
        <w:top w:val="none" w:sz="0" w:space="0" w:color="auto"/>
        <w:left w:val="none" w:sz="0" w:space="0" w:color="auto"/>
        <w:bottom w:val="none" w:sz="0" w:space="0" w:color="auto"/>
        <w:right w:val="none" w:sz="0" w:space="0" w:color="auto"/>
      </w:divBdr>
    </w:div>
    <w:div w:id="425275181">
      <w:bodyDiv w:val="1"/>
      <w:marLeft w:val="0"/>
      <w:marRight w:val="0"/>
      <w:marTop w:val="0"/>
      <w:marBottom w:val="0"/>
      <w:divBdr>
        <w:top w:val="none" w:sz="0" w:space="0" w:color="auto"/>
        <w:left w:val="none" w:sz="0" w:space="0" w:color="auto"/>
        <w:bottom w:val="none" w:sz="0" w:space="0" w:color="auto"/>
        <w:right w:val="none" w:sz="0" w:space="0" w:color="auto"/>
      </w:divBdr>
    </w:div>
    <w:div w:id="425350836">
      <w:bodyDiv w:val="1"/>
      <w:marLeft w:val="0"/>
      <w:marRight w:val="0"/>
      <w:marTop w:val="0"/>
      <w:marBottom w:val="0"/>
      <w:divBdr>
        <w:top w:val="none" w:sz="0" w:space="0" w:color="auto"/>
        <w:left w:val="none" w:sz="0" w:space="0" w:color="auto"/>
        <w:bottom w:val="none" w:sz="0" w:space="0" w:color="auto"/>
        <w:right w:val="none" w:sz="0" w:space="0" w:color="auto"/>
      </w:divBdr>
    </w:div>
    <w:div w:id="425615720">
      <w:bodyDiv w:val="1"/>
      <w:marLeft w:val="0"/>
      <w:marRight w:val="0"/>
      <w:marTop w:val="0"/>
      <w:marBottom w:val="0"/>
      <w:divBdr>
        <w:top w:val="none" w:sz="0" w:space="0" w:color="auto"/>
        <w:left w:val="none" w:sz="0" w:space="0" w:color="auto"/>
        <w:bottom w:val="none" w:sz="0" w:space="0" w:color="auto"/>
        <w:right w:val="none" w:sz="0" w:space="0" w:color="auto"/>
      </w:divBdr>
    </w:div>
    <w:div w:id="425884246">
      <w:bodyDiv w:val="1"/>
      <w:marLeft w:val="0"/>
      <w:marRight w:val="0"/>
      <w:marTop w:val="0"/>
      <w:marBottom w:val="0"/>
      <w:divBdr>
        <w:top w:val="none" w:sz="0" w:space="0" w:color="auto"/>
        <w:left w:val="none" w:sz="0" w:space="0" w:color="auto"/>
        <w:bottom w:val="none" w:sz="0" w:space="0" w:color="auto"/>
        <w:right w:val="none" w:sz="0" w:space="0" w:color="auto"/>
      </w:divBdr>
    </w:div>
    <w:div w:id="426074728">
      <w:bodyDiv w:val="1"/>
      <w:marLeft w:val="0"/>
      <w:marRight w:val="0"/>
      <w:marTop w:val="0"/>
      <w:marBottom w:val="0"/>
      <w:divBdr>
        <w:top w:val="none" w:sz="0" w:space="0" w:color="auto"/>
        <w:left w:val="none" w:sz="0" w:space="0" w:color="auto"/>
        <w:bottom w:val="none" w:sz="0" w:space="0" w:color="auto"/>
        <w:right w:val="none" w:sz="0" w:space="0" w:color="auto"/>
      </w:divBdr>
    </w:div>
    <w:div w:id="426122864">
      <w:bodyDiv w:val="1"/>
      <w:marLeft w:val="0"/>
      <w:marRight w:val="0"/>
      <w:marTop w:val="0"/>
      <w:marBottom w:val="0"/>
      <w:divBdr>
        <w:top w:val="none" w:sz="0" w:space="0" w:color="auto"/>
        <w:left w:val="none" w:sz="0" w:space="0" w:color="auto"/>
        <w:bottom w:val="none" w:sz="0" w:space="0" w:color="auto"/>
        <w:right w:val="none" w:sz="0" w:space="0" w:color="auto"/>
      </w:divBdr>
    </w:div>
    <w:div w:id="426392033">
      <w:bodyDiv w:val="1"/>
      <w:marLeft w:val="0"/>
      <w:marRight w:val="0"/>
      <w:marTop w:val="0"/>
      <w:marBottom w:val="0"/>
      <w:divBdr>
        <w:top w:val="none" w:sz="0" w:space="0" w:color="auto"/>
        <w:left w:val="none" w:sz="0" w:space="0" w:color="auto"/>
        <w:bottom w:val="none" w:sz="0" w:space="0" w:color="auto"/>
        <w:right w:val="none" w:sz="0" w:space="0" w:color="auto"/>
      </w:divBdr>
    </w:div>
    <w:div w:id="426464929">
      <w:bodyDiv w:val="1"/>
      <w:marLeft w:val="0"/>
      <w:marRight w:val="0"/>
      <w:marTop w:val="0"/>
      <w:marBottom w:val="0"/>
      <w:divBdr>
        <w:top w:val="none" w:sz="0" w:space="0" w:color="auto"/>
        <w:left w:val="none" w:sz="0" w:space="0" w:color="auto"/>
        <w:bottom w:val="none" w:sz="0" w:space="0" w:color="auto"/>
        <w:right w:val="none" w:sz="0" w:space="0" w:color="auto"/>
      </w:divBdr>
    </w:div>
    <w:div w:id="426468990">
      <w:bodyDiv w:val="1"/>
      <w:marLeft w:val="0"/>
      <w:marRight w:val="0"/>
      <w:marTop w:val="0"/>
      <w:marBottom w:val="0"/>
      <w:divBdr>
        <w:top w:val="none" w:sz="0" w:space="0" w:color="auto"/>
        <w:left w:val="none" w:sz="0" w:space="0" w:color="auto"/>
        <w:bottom w:val="none" w:sz="0" w:space="0" w:color="auto"/>
        <w:right w:val="none" w:sz="0" w:space="0" w:color="auto"/>
      </w:divBdr>
    </w:div>
    <w:div w:id="426581965">
      <w:bodyDiv w:val="1"/>
      <w:marLeft w:val="0"/>
      <w:marRight w:val="0"/>
      <w:marTop w:val="0"/>
      <w:marBottom w:val="0"/>
      <w:divBdr>
        <w:top w:val="none" w:sz="0" w:space="0" w:color="auto"/>
        <w:left w:val="none" w:sz="0" w:space="0" w:color="auto"/>
        <w:bottom w:val="none" w:sz="0" w:space="0" w:color="auto"/>
        <w:right w:val="none" w:sz="0" w:space="0" w:color="auto"/>
      </w:divBdr>
    </w:div>
    <w:div w:id="426730322">
      <w:bodyDiv w:val="1"/>
      <w:marLeft w:val="0"/>
      <w:marRight w:val="0"/>
      <w:marTop w:val="0"/>
      <w:marBottom w:val="0"/>
      <w:divBdr>
        <w:top w:val="none" w:sz="0" w:space="0" w:color="auto"/>
        <w:left w:val="none" w:sz="0" w:space="0" w:color="auto"/>
        <w:bottom w:val="none" w:sz="0" w:space="0" w:color="auto"/>
        <w:right w:val="none" w:sz="0" w:space="0" w:color="auto"/>
      </w:divBdr>
    </w:div>
    <w:div w:id="426848127">
      <w:bodyDiv w:val="1"/>
      <w:marLeft w:val="0"/>
      <w:marRight w:val="0"/>
      <w:marTop w:val="0"/>
      <w:marBottom w:val="0"/>
      <w:divBdr>
        <w:top w:val="none" w:sz="0" w:space="0" w:color="auto"/>
        <w:left w:val="none" w:sz="0" w:space="0" w:color="auto"/>
        <w:bottom w:val="none" w:sz="0" w:space="0" w:color="auto"/>
        <w:right w:val="none" w:sz="0" w:space="0" w:color="auto"/>
      </w:divBdr>
    </w:div>
    <w:div w:id="426928622">
      <w:bodyDiv w:val="1"/>
      <w:marLeft w:val="0"/>
      <w:marRight w:val="0"/>
      <w:marTop w:val="0"/>
      <w:marBottom w:val="0"/>
      <w:divBdr>
        <w:top w:val="none" w:sz="0" w:space="0" w:color="auto"/>
        <w:left w:val="none" w:sz="0" w:space="0" w:color="auto"/>
        <w:bottom w:val="none" w:sz="0" w:space="0" w:color="auto"/>
        <w:right w:val="none" w:sz="0" w:space="0" w:color="auto"/>
      </w:divBdr>
    </w:div>
    <w:div w:id="427041842">
      <w:bodyDiv w:val="1"/>
      <w:marLeft w:val="0"/>
      <w:marRight w:val="0"/>
      <w:marTop w:val="0"/>
      <w:marBottom w:val="0"/>
      <w:divBdr>
        <w:top w:val="none" w:sz="0" w:space="0" w:color="auto"/>
        <w:left w:val="none" w:sz="0" w:space="0" w:color="auto"/>
        <w:bottom w:val="none" w:sz="0" w:space="0" w:color="auto"/>
        <w:right w:val="none" w:sz="0" w:space="0" w:color="auto"/>
      </w:divBdr>
    </w:div>
    <w:div w:id="427163684">
      <w:bodyDiv w:val="1"/>
      <w:marLeft w:val="0"/>
      <w:marRight w:val="0"/>
      <w:marTop w:val="0"/>
      <w:marBottom w:val="0"/>
      <w:divBdr>
        <w:top w:val="none" w:sz="0" w:space="0" w:color="auto"/>
        <w:left w:val="none" w:sz="0" w:space="0" w:color="auto"/>
        <w:bottom w:val="none" w:sz="0" w:space="0" w:color="auto"/>
        <w:right w:val="none" w:sz="0" w:space="0" w:color="auto"/>
      </w:divBdr>
    </w:div>
    <w:div w:id="427313055">
      <w:bodyDiv w:val="1"/>
      <w:marLeft w:val="0"/>
      <w:marRight w:val="0"/>
      <w:marTop w:val="0"/>
      <w:marBottom w:val="0"/>
      <w:divBdr>
        <w:top w:val="none" w:sz="0" w:space="0" w:color="auto"/>
        <w:left w:val="none" w:sz="0" w:space="0" w:color="auto"/>
        <w:bottom w:val="none" w:sz="0" w:space="0" w:color="auto"/>
        <w:right w:val="none" w:sz="0" w:space="0" w:color="auto"/>
      </w:divBdr>
    </w:div>
    <w:div w:id="427387726">
      <w:bodyDiv w:val="1"/>
      <w:marLeft w:val="0"/>
      <w:marRight w:val="0"/>
      <w:marTop w:val="0"/>
      <w:marBottom w:val="0"/>
      <w:divBdr>
        <w:top w:val="none" w:sz="0" w:space="0" w:color="auto"/>
        <w:left w:val="none" w:sz="0" w:space="0" w:color="auto"/>
        <w:bottom w:val="none" w:sz="0" w:space="0" w:color="auto"/>
        <w:right w:val="none" w:sz="0" w:space="0" w:color="auto"/>
      </w:divBdr>
    </w:div>
    <w:div w:id="427389727">
      <w:bodyDiv w:val="1"/>
      <w:marLeft w:val="0"/>
      <w:marRight w:val="0"/>
      <w:marTop w:val="0"/>
      <w:marBottom w:val="0"/>
      <w:divBdr>
        <w:top w:val="none" w:sz="0" w:space="0" w:color="auto"/>
        <w:left w:val="none" w:sz="0" w:space="0" w:color="auto"/>
        <w:bottom w:val="none" w:sz="0" w:space="0" w:color="auto"/>
        <w:right w:val="none" w:sz="0" w:space="0" w:color="auto"/>
      </w:divBdr>
    </w:div>
    <w:div w:id="427773018">
      <w:bodyDiv w:val="1"/>
      <w:marLeft w:val="0"/>
      <w:marRight w:val="0"/>
      <w:marTop w:val="0"/>
      <w:marBottom w:val="0"/>
      <w:divBdr>
        <w:top w:val="none" w:sz="0" w:space="0" w:color="auto"/>
        <w:left w:val="none" w:sz="0" w:space="0" w:color="auto"/>
        <w:bottom w:val="none" w:sz="0" w:space="0" w:color="auto"/>
        <w:right w:val="none" w:sz="0" w:space="0" w:color="auto"/>
      </w:divBdr>
    </w:div>
    <w:div w:id="427847823">
      <w:bodyDiv w:val="1"/>
      <w:marLeft w:val="0"/>
      <w:marRight w:val="0"/>
      <w:marTop w:val="0"/>
      <w:marBottom w:val="0"/>
      <w:divBdr>
        <w:top w:val="none" w:sz="0" w:space="0" w:color="auto"/>
        <w:left w:val="none" w:sz="0" w:space="0" w:color="auto"/>
        <w:bottom w:val="none" w:sz="0" w:space="0" w:color="auto"/>
        <w:right w:val="none" w:sz="0" w:space="0" w:color="auto"/>
      </w:divBdr>
    </w:div>
    <w:div w:id="427963661">
      <w:bodyDiv w:val="1"/>
      <w:marLeft w:val="0"/>
      <w:marRight w:val="0"/>
      <w:marTop w:val="0"/>
      <w:marBottom w:val="0"/>
      <w:divBdr>
        <w:top w:val="none" w:sz="0" w:space="0" w:color="auto"/>
        <w:left w:val="none" w:sz="0" w:space="0" w:color="auto"/>
        <w:bottom w:val="none" w:sz="0" w:space="0" w:color="auto"/>
        <w:right w:val="none" w:sz="0" w:space="0" w:color="auto"/>
      </w:divBdr>
    </w:div>
    <w:div w:id="428356569">
      <w:bodyDiv w:val="1"/>
      <w:marLeft w:val="0"/>
      <w:marRight w:val="0"/>
      <w:marTop w:val="0"/>
      <w:marBottom w:val="0"/>
      <w:divBdr>
        <w:top w:val="none" w:sz="0" w:space="0" w:color="auto"/>
        <w:left w:val="none" w:sz="0" w:space="0" w:color="auto"/>
        <w:bottom w:val="none" w:sz="0" w:space="0" w:color="auto"/>
        <w:right w:val="none" w:sz="0" w:space="0" w:color="auto"/>
      </w:divBdr>
    </w:div>
    <w:div w:id="428543838">
      <w:bodyDiv w:val="1"/>
      <w:marLeft w:val="0"/>
      <w:marRight w:val="0"/>
      <w:marTop w:val="0"/>
      <w:marBottom w:val="0"/>
      <w:divBdr>
        <w:top w:val="none" w:sz="0" w:space="0" w:color="auto"/>
        <w:left w:val="none" w:sz="0" w:space="0" w:color="auto"/>
        <w:bottom w:val="none" w:sz="0" w:space="0" w:color="auto"/>
        <w:right w:val="none" w:sz="0" w:space="0" w:color="auto"/>
      </w:divBdr>
    </w:div>
    <w:div w:id="428628088">
      <w:bodyDiv w:val="1"/>
      <w:marLeft w:val="0"/>
      <w:marRight w:val="0"/>
      <w:marTop w:val="0"/>
      <w:marBottom w:val="0"/>
      <w:divBdr>
        <w:top w:val="none" w:sz="0" w:space="0" w:color="auto"/>
        <w:left w:val="none" w:sz="0" w:space="0" w:color="auto"/>
        <w:bottom w:val="none" w:sz="0" w:space="0" w:color="auto"/>
        <w:right w:val="none" w:sz="0" w:space="0" w:color="auto"/>
      </w:divBdr>
    </w:div>
    <w:div w:id="428745086">
      <w:bodyDiv w:val="1"/>
      <w:marLeft w:val="0"/>
      <w:marRight w:val="0"/>
      <w:marTop w:val="0"/>
      <w:marBottom w:val="0"/>
      <w:divBdr>
        <w:top w:val="none" w:sz="0" w:space="0" w:color="auto"/>
        <w:left w:val="none" w:sz="0" w:space="0" w:color="auto"/>
        <w:bottom w:val="none" w:sz="0" w:space="0" w:color="auto"/>
        <w:right w:val="none" w:sz="0" w:space="0" w:color="auto"/>
      </w:divBdr>
    </w:div>
    <w:div w:id="428938579">
      <w:bodyDiv w:val="1"/>
      <w:marLeft w:val="0"/>
      <w:marRight w:val="0"/>
      <w:marTop w:val="0"/>
      <w:marBottom w:val="0"/>
      <w:divBdr>
        <w:top w:val="none" w:sz="0" w:space="0" w:color="auto"/>
        <w:left w:val="none" w:sz="0" w:space="0" w:color="auto"/>
        <w:bottom w:val="none" w:sz="0" w:space="0" w:color="auto"/>
        <w:right w:val="none" w:sz="0" w:space="0" w:color="auto"/>
      </w:divBdr>
    </w:div>
    <w:div w:id="429086000">
      <w:bodyDiv w:val="1"/>
      <w:marLeft w:val="0"/>
      <w:marRight w:val="0"/>
      <w:marTop w:val="0"/>
      <w:marBottom w:val="0"/>
      <w:divBdr>
        <w:top w:val="none" w:sz="0" w:space="0" w:color="auto"/>
        <w:left w:val="none" w:sz="0" w:space="0" w:color="auto"/>
        <w:bottom w:val="none" w:sz="0" w:space="0" w:color="auto"/>
        <w:right w:val="none" w:sz="0" w:space="0" w:color="auto"/>
      </w:divBdr>
    </w:div>
    <w:div w:id="429088665">
      <w:bodyDiv w:val="1"/>
      <w:marLeft w:val="0"/>
      <w:marRight w:val="0"/>
      <w:marTop w:val="0"/>
      <w:marBottom w:val="0"/>
      <w:divBdr>
        <w:top w:val="none" w:sz="0" w:space="0" w:color="auto"/>
        <w:left w:val="none" w:sz="0" w:space="0" w:color="auto"/>
        <w:bottom w:val="none" w:sz="0" w:space="0" w:color="auto"/>
        <w:right w:val="none" w:sz="0" w:space="0" w:color="auto"/>
      </w:divBdr>
    </w:div>
    <w:div w:id="429155861">
      <w:bodyDiv w:val="1"/>
      <w:marLeft w:val="0"/>
      <w:marRight w:val="0"/>
      <w:marTop w:val="0"/>
      <w:marBottom w:val="0"/>
      <w:divBdr>
        <w:top w:val="none" w:sz="0" w:space="0" w:color="auto"/>
        <w:left w:val="none" w:sz="0" w:space="0" w:color="auto"/>
        <w:bottom w:val="none" w:sz="0" w:space="0" w:color="auto"/>
        <w:right w:val="none" w:sz="0" w:space="0" w:color="auto"/>
      </w:divBdr>
    </w:div>
    <w:div w:id="429280683">
      <w:bodyDiv w:val="1"/>
      <w:marLeft w:val="0"/>
      <w:marRight w:val="0"/>
      <w:marTop w:val="0"/>
      <w:marBottom w:val="0"/>
      <w:divBdr>
        <w:top w:val="none" w:sz="0" w:space="0" w:color="auto"/>
        <w:left w:val="none" w:sz="0" w:space="0" w:color="auto"/>
        <w:bottom w:val="none" w:sz="0" w:space="0" w:color="auto"/>
        <w:right w:val="none" w:sz="0" w:space="0" w:color="auto"/>
      </w:divBdr>
    </w:div>
    <w:div w:id="429472176">
      <w:bodyDiv w:val="1"/>
      <w:marLeft w:val="0"/>
      <w:marRight w:val="0"/>
      <w:marTop w:val="0"/>
      <w:marBottom w:val="0"/>
      <w:divBdr>
        <w:top w:val="none" w:sz="0" w:space="0" w:color="auto"/>
        <w:left w:val="none" w:sz="0" w:space="0" w:color="auto"/>
        <w:bottom w:val="none" w:sz="0" w:space="0" w:color="auto"/>
        <w:right w:val="none" w:sz="0" w:space="0" w:color="auto"/>
      </w:divBdr>
    </w:div>
    <w:div w:id="429938722">
      <w:bodyDiv w:val="1"/>
      <w:marLeft w:val="0"/>
      <w:marRight w:val="0"/>
      <w:marTop w:val="0"/>
      <w:marBottom w:val="0"/>
      <w:divBdr>
        <w:top w:val="none" w:sz="0" w:space="0" w:color="auto"/>
        <w:left w:val="none" w:sz="0" w:space="0" w:color="auto"/>
        <w:bottom w:val="none" w:sz="0" w:space="0" w:color="auto"/>
        <w:right w:val="none" w:sz="0" w:space="0" w:color="auto"/>
      </w:divBdr>
    </w:div>
    <w:div w:id="430049827">
      <w:bodyDiv w:val="1"/>
      <w:marLeft w:val="0"/>
      <w:marRight w:val="0"/>
      <w:marTop w:val="0"/>
      <w:marBottom w:val="0"/>
      <w:divBdr>
        <w:top w:val="none" w:sz="0" w:space="0" w:color="auto"/>
        <w:left w:val="none" w:sz="0" w:space="0" w:color="auto"/>
        <w:bottom w:val="none" w:sz="0" w:space="0" w:color="auto"/>
        <w:right w:val="none" w:sz="0" w:space="0" w:color="auto"/>
      </w:divBdr>
    </w:div>
    <w:div w:id="430394802">
      <w:bodyDiv w:val="1"/>
      <w:marLeft w:val="0"/>
      <w:marRight w:val="0"/>
      <w:marTop w:val="0"/>
      <w:marBottom w:val="0"/>
      <w:divBdr>
        <w:top w:val="none" w:sz="0" w:space="0" w:color="auto"/>
        <w:left w:val="none" w:sz="0" w:space="0" w:color="auto"/>
        <w:bottom w:val="none" w:sz="0" w:space="0" w:color="auto"/>
        <w:right w:val="none" w:sz="0" w:space="0" w:color="auto"/>
      </w:divBdr>
    </w:div>
    <w:div w:id="430588579">
      <w:bodyDiv w:val="1"/>
      <w:marLeft w:val="0"/>
      <w:marRight w:val="0"/>
      <w:marTop w:val="0"/>
      <w:marBottom w:val="0"/>
      <w:divBdr>
        <w:top w:val="none" w:sz="0" w:space="0" w:color="auto"/>
        <w:left w:val="none" w:sz="0" w:space="0" w:color="auto"/>
        <w:bottom w:val="none" w:sz="0" w:space="0" w:color="auto"/>
        <w:right w:val="none" w:sz="0" w:space="0" w:color="auto"/>
      </w:divBdr>
    </w:div>
    <w:div w:id="430782419">
      <w:bodyDiv w:val="1"/>
      <w:marLeft w:val="0"/>
      <w:marRight w:val="0"/>
      <w:marTop w:val="0"/>
      <w:marBottom w:val="0"/>
      <w:divBdr>
        <w:top w:val="none" w:sz="0" w:space="0" w:color="auto"/>
        <w:left w:val="none" w:sz="0" w:space="0" w:color="auto"/>
        <w:bottom w:val="none" w:sz="0" w:space="0" w:color="auto"/>
        <w:right w:val="none" w:sz="0" w:space="0" w:color="auto"/>
      </w:divBdr>
    </w:div>
    <w:div w:id="430862477">
      <w:bodyDiv w:val="1"/>
      <w:marLeft w:val="0"/>
      <w:marRight w:val="0"/>
      <w:marTop w:val="0"/>
      <w:marBottom w:val="0"/>
      <w:divBdr>
        <w:top w:val="none" w:sz="0" w:space="0" w:color="auto"/>
        <w:left w:val="none" w:sz="0" w:space="0" w:color="auto"/>
        <w:bottom w:val="none" w:sz="0" w:space="0" w:color="auto"/>
        <w:right w:val="none" w:sz="0" w:space="0" w:color="auto"/>
      </w:divBdr>
    </w:div>
    <w:div w:id="430930641">
      <w:bodyDiv w:val="1"/>
      <w:marLeft w:val="0"/>
      <w:marRight w:val="0"/>
      <w:marTop w:val="0"/>
      <w:marBottom w:val="0"/>
      <w:divBdr>
        <w:top w:val="none" w:sz="0" w:space="0" w:color="auto"/>
        <w:left w:val="none" w:sz="0" w:space="0" w:color="auto"/>
        <w:bottom w:val="none" w:sz="0" w:space="0" w:color="auto"/>
        <w:right w:val="none" w:sz="0" w:space="0" w:color="auto"/>
      </w:divBdr>
    </w:div>
    <w:div w:id="431172845">
      <w:bodyDiv w:val="1"/>
      <w:marLeft w:val="0"/>
      <w:marRight w:val="0"/>
      <w:marTop w:val="0"/>
      <w:marBottom w:val="0"/>
      <w:divBdr>
        <w:top w:val="none" w:sz="0" w:space="0" w:color="auto"/>
        <w:left w:val="none" w:sz="0" w:space="0" w:color="auto"/>
        <w:bottom w:val="none" w:sz="0" w:space="0" w:color="auto"/>
        <w:right w:val="none" w:sz="0" w:space="0" w:color="auto"/>
      </w:divBdr>
    </w:div>
    <w:div w:id="431319440">
      <w:bodyDiv w:val="1"/>
      <w:marLeft w:val="0"/>
      <w:marRight w:val="0"/>
      <w:marTop w:val="0"/>
      <w:marBottom w:val="0"/>
      <w:divBdr>
        <w:top w:val="none" w:sz="0" w:space="0" w:color="auto"/>
        <w:left w:val="none" w:sz="0" w:space="0" w:color="auto"/>
        <w:bottom w:val="none" w:sz="0" w:space="0" w:color="auto"/>
        <w:right w:val="none" w:sz="0" w:space="0" w:color="auto"/>
      </w:divBdr>
    </w:div>
    <w:div w:id="431510476">
      <w:bodyDiv w:val="1"/>
      <w:marLeft w:val="0"/>
      <w:marRight w:val="0"/>
      <w:marTop w:val="0"/>
      <w:marBottom w:val="0"/>
      <w:divBdr>
        <w:top w:val="none" w:sz="0" w:space="0" w:color="auto"/>
        <w:left w:val="none" w:sz="0" w:space="0" w:color="auto"/>
        <w:bottom w:val="none" w:sz="0" w:space="0" w:color="auto"/>
        <w:right w:val="none" w:sz="0" w:space="0" w:color="auto"/>
      </w:divBdr>
    </w:div>
    <w:div w:id="431583519">
      <w:bodyDiv w:val="1"/>
      <w:marLeft w:val="0"/>
      <w:marRight w:val="0"/>
      <w:marTop w:val="0"/>
      <w:marBottom w:val="0"/>
      <w:divBdr>
        <w:top w:val="none" w:sz="0" w:space="0" w:color="auto"/>
        <w:left w:val="none" w:sz="0" w:space="0" w:color="auto"/>
        <w:bottom w:val="none" w:sz="0" w:space="0" w:color="auto"/>
        <w:right w:val="none" w:sz="0" w:space="0" w:color="auto"/>
      </w:divBdr>
    </w:div>
    <w:div w:id="431705697">
      <w:bodyDiv w:val="1"/>
      <w:marLeft w:val="0"/>
      <w:marRight w:val="0"/>
      <w:marTop w:val="0"/>
      <w:marBottom w:val="0"/>
      <w:divBdr>
        <w:top w:val="none" w:sz="0" w:space="0" w:color="auto"/>
        <w:left w:val="none" w:sz="0" w:space="0" w:color="auto"/>
        <w:bottom w:val="none" w:sz="0" w:space="0" w:color="auto"/>
        <w:right w:val="none" w:sz="0" w:space="0" w:color="auto"/>
      </w:divBdr>
    </w:div>
    <w:div w:id="431709235">
      <w:bodyDiv w:val="1"/>
      <w:marLeft w:val="0"/>
      <w:marRight w:val="0"/>
      <w:marTop w:val="0"/>
      <w:marBottom w:val="0"/>
      <w:divBdr>
        <w:top w:val="none" w:sz="0" w:space="0" w:color="auto"/>
        <w:left w:val="none" w:sz="0" w:space="0" w:color="auto"/>
        <w:bottom w:val="none" w:sz="0" w:space="0" w:color="auto"/>
        <w:right w:val="none" w:sz="0" w:space="0" w:color="auto"/>
      </w:divBdr>
    </w:div>
    <w:div w:id="431779062">
      <w:bodyDiv w:val="1"/>
      <w:marLeft w:val="0"/>
      <w:marRight w:val="0"/>
      <w:marTop w:val="0"/>
      <w:marBottom w:val="0"/>
      <w:divBdr>
        <w:top w:val="none" w:sz="0" w:space="0" w:color="auto"/>
        <w:left w:val="none" w:sz="0" w:space="0" w:color="auto"/>
        <w:bottom w:val="none" w:sz="0" w:space="0" w:color="auto"/>
        <w:right w:val="none" w:sz="0" w:space="0" w:color="auto"/>
      </w:divBdr>
    </w:div>
    <w:div w:id="431782585">
      <w:bodyDiv w:val="1"/>
      <w:marLeft w:val="0"/>
      <w:marRight w:val="0"/>
      <w:marTop w:val="0"/>
      <w:marBottom w:val="0"/>
      <w:divBdr>
        <w:top w:val="none" w:sz="0" w:space="0" w:color="auto"/>
        <w:left w:val="none" w:sz="0" w:space="0" w:color="auto"/>
        <w:bottom w:val="none" w:sz="0" w:space="0" w:color="auto"/>
        <w:right w:val="none" w:sz="0" w:space="0" w:color="auto"/>
      </w:divBdr>
    </w:div>
    <w:div w:id="431822596">
      <w:bodyDiv w:val="1"/>
      <w:marLeft w:val="0"/>
      <w:marRight w:val="0"/>
      <w:marTop w:val="0"/>
      <w:marBottom w:val="0"/>
      <w:divBdr>
        <w:top w:val="none" w:sz="0" w:space="0" w:color="auto"/>
        <w:left w:val="none" w:sz="0" w:space="0" w:color="auto"/>
        <w:bottom w:val="none" w:sz="0" w:space="0" w:color="auto"/>
        <w:right w:val="none" w:sz="0" w:space="0" w:color="auto"/>
      </w:divBdr>
    </w:div>
    <w:div w:id="431976009">
      <w:bodyDiv w:val="1"/>
      <w:marLeft w:val="0"/>
      <w:marRight w:val="0"/>
      <w:marTop w:val="0"/>
      <w:marBottom w:val="0"/>
      <w:divBdr>
        <w:top w:val="none" w:sz="0" w:space="0" w:color="auto"/>
        <w:left w:val="none" w:sz="0" w:space="0" w:color="auto"/>
        <w:bottom w:val="none" w:sz="0" w:space="0" w:color="auto"/>
        <w:right w:val="none" w:sz="0" w:space="0" w:color="auto"/>
      </w:divBdr>
    </w:div>
    <w:div w:id="432408179">
      <w:bodyDiv w:val="1"/>
      <w:marLeft w:val="0"/>
      <w:marRight w:val="0"/>
      <w:marTop w:val="0"/>
      <w:marBottom w:val="0"/>
      <w:divBdr>
        <w:top w:val="none" w:sz="0" w:space="0" w:color="auto"/>
        <w:left w:val="none" w:sz="0" w:space="0" w:color="auto"/>
        <w:bottom w:val="none" w:sz="0" w:space="0" w:color="auto"/>
        <w:right w:val="none" w:sz="0" w:space="0" w:color="auto"/>
      </w:divBdr>
    </w:div>
    <w:div w:id="432744051">
      <w:bodyDiv w:val="1"/>
      <w:marLeft w:val="0"/>
      <w:marRight w:val="0"/>
      <w:marTop w:val="0"/>
      <w:marBottom w:val="0"/>
      <w:divBdr>
        <w:top w:val="none" w:sz="0" w:space="0" w:color="auto"/>
        <w:left w:val="none" w:sz="0" w:space="0" w:color="auto"/>
        <w:bottom w:val="none" w:sz="0" w:space="0" w:color="auto"/>
        <w:right w:val="none" w:sz="0" w:space="0" w:color="auto"/>
      </w:divBdr>
    </w:div>
    <w:div w:id="432865368">
      <w:bodyDiv w:val="1"/>
      <w:marLeft w:val="0"/>
      <w:marRight w:val="0"/>
      <w:marTop w:val="0"/>
      <w:marBottom w:val="0"/>
      <w:divBdr>
        <w:top w:val="none" w:sz="0" w:space="0" w:color="auto"/>
        <w:left w:val="none" w:sz="0" w:space="0" w:color="auto"/>
        <w:bottom w:val="none" w:sz="0" w:space="0" w:color="auto"/>
        <w:right w:val="none" w:sz="0" w:space="0" w:color="auto"/>
      </w:divBdr>
    </w:div>
    <w:div w:id="432938802">
      <w:bodyDiv w:val="1"/>
      <w:marLeft w:val="0"/>
      <w:marRight w:val="0"/>
      <w:marTop w:val="0"/>
      <w:marBottom w:val="0"/>
      <w:divBdr>
        <w:top w:val="none" w:sz="0" w:space="0" w:color="auto"/>
        <w:left w:val="none" w:sz="0" w:space="0" w:color="auto"/>
        <w:bottom w:val="none" w:sz="0" w:space="0" w:color="auto"/>
        <w:right w:val="none" w:sz="0" w:space="0" w:color="auto"/>
      </w:divBdr>
    </w:div>
    <w:div w:id="432945979">
      <w:bodyDiv w:val="1"/>
      <w:marLeft w:val="0"/>
      <w:marRight w:val="0"/>
      <w:marTop w:val="0"/>
      <w:marBottom w:val="0"/>
      <w:divBdr>
        <w:top w:val="none" w:sz="0" w:space="0" w:color="auto"/>
        <w:left w:val="none" w:sz="0" w:space="0" w:color="auto"/>
        <w:bottom w:val="none" w:sz="0" w:space="0" w:color="auto"/>
        <w:right w:val="none" w:sz="0" w:space="0" w:color="auto"/>
      </w:divBdr>
    </w:div>
    <w:div w:id="433063685">
      <w:bodyDiv w:val="1"/>
      <w:marLeft w:val="0"/>
      <w:marRight w:val="0"/>
      <w:marTop w:val="0"/>
      <w:marBottom w:val="0"/>
      <w:divBdr>
        <w:top w:val="none" w:sz="0" w:space="0" w:color="auto"/>
        <w:left w:val="none" w:sz="0" w:space="0" w:color="auto"/>
        <w:bottom w:val="none" w:sz="0" w:space="0" w:color="auto"/>
        <w:right w:val="none" w:sz="0" w:space="0" w:color="auto"/>
      </w:divBdr>
    </w:div>
    <w:div w:id="433134606">
      <w:bodyDiv w:val="1"/>
      <w:marLeft w:val="0"/>
      <w:marRight w:val="0"/>
      <w:marTop w:val="0"/>
      <w:marBottom w:val="0"/>
      <w:divBdr>
        <w:top w:val="none" w:sz="0" w:space="0" w:color="auto"/>
        <w:left w:val="none" w:sz="0" w:space="0" w:color="auto"/>
        <w:bottom w:val="none" w:sz="0" w:space="0" w:color="auto"/>
        <w:right w:val="none" w:sz="0" w:space="0" w:color="auto"/>
      </w:divBdr>
    </w:div>
    <w:div w:id="433330288">
      <w:bodyDiv w:val="1"/>
      <w:marLeft w:val="0"/>
      <w:marRight w:val="0"/>
      <w:marTop w:val="0"/>
      <w:marBottom w:val="0"/>
      <w:divBdr>
        <w:top w:val="none" w:sz="0" w:space="0" w:color="auto"/>
        <w:left w:val="none" w:sz="0" w:space="0" w:color="auto"/>
        <w:bottom w:val="none" w:sz="0" w:space="0" w:color="auto"/>
        <w:right w:val="none" w:sz="0" w:space="0" w:color="auto"/>
      </w:divBdr>
    </w:div>
    <w:div w:id="433481994">
      <w:bodyDiv w:val="1"/>
      <w:marLeft w:val="0"/>
      <w:marRight w:val="0"/>
      <w:marTop w:val="0"/>
      <w:marBottom w:val="0"/>
      <w:divBdr>
        <w:top w:val="none" w:sz="0" w:space="0" w:color="auto"/>
        <w:left w:val="none" w:sz="0" w:space="0" w:color="auto"/>
        <w:bottom w:val="none" w:sz="0" w:space="0" w:color="auto"/>
        <w:right w:val="none" w:sz="0" w:space="0" w:color="auto"/>
      </w:divBdr>
    </w:div>
    <w:div w:id="433523792">
      <w:bodyDiv w:val="1"/>
      <w:marLeft w:val="0"/>
      <w:marRight w:val="0"/>
      <w:marTop w:val="0"/>
      <w:marBottom w:val="0"/>
      <w:divBdr>
        <w:top w:val="none" w:sz="0" w:space="0" w:color="auto"/>
        <w:left w:val="none" w:sz="0" w:space="0" w:color="auto"/>
        <w:bottom w:val="none" w:sz="0" w:space="0" w:color="auto"/>
        <w:right w:val="none" w:sz="0" w:space="0" w:color="auto"/>
      </w:divBdr>
    </w:div>
    <w:div w:id="433549389">
      <w:bodyDiv w:val="1"/>
      <w:marLeft w:val="0"/>
      <w:marRight w:val="0"/>
      <w:marTop w:val="0"/>
      <w:marBottom w:val="0"/>
      <w:divBdr>
        <w:top w:val="none" w:sz="0" w:space="0" w:color="auto"/>
        <w:left w:val="none" w:sz="0" w:space="0" w:color="auto"/>
        <w:bottom w:val="none" w:sz="0" w:space="0" w:color="auto"/>
        <w:right w:val="none" w:sz="0" w:space="0" w:color="auto"/>
      </w:divBdr>
    </w:div>
    <w:div w:id="433671745">
      <w:bodyDiv w:val="1"/>
      <w:marLeft w:val="0"/>
      <w:marRight w:val="0"/>
      <w:marTop w:val="0"/>
      <w:marBottom w:val="0"/>
      <w:divBdr>
        <w:top w:val="none" w:sz="0" w:space="0" w:color="auto"/>
        <w:left w:val="none" w:sz="0" w:space="0" w:color="auto"/>
        <w:bottom w:val="none" w:sz="0" w:space="0" w:color="auto"/>
        <w:right w:val="none" w:sz="0" w:space="0" w:color="auto"/>
      </w:divBdr>
    </w:div>
    <w:div w:id="433785907">
      <w:bodyDiv w:val="1"/>
      <w:marLeft w:val="0"/>
      <w:marRight w:val="0"/>
      <w:marTop w:val="0"/>
      <w:marBottom w:val="0"/>
      <w:divBdr>
        <w:top w:val="none" w:sz="0" w:space="0" w:color="auto"/>
        <w:left w:val="none" w:sz="0" w:space="0" w:color="auto"/>
        <w:bottom w:val="none" w:sz="0" w:space="0" w:color="auto"/>
        <w:right w:val="none" w:sz="0" w:space="0" w:color="auto"/>
      </w:divBdr>
    </w:div>
    <w:div w:id="433944627">
      <w:bodyDiv w:val="1"/>
      <w:marLeft w:val="0"/>
      <w:marRight w:val="0"/>
      <w:marTop w:val="0"/>
      <w:marBottom w:val="0"/>
      <w:divBdr>
        <w:top w:val="none" w:sz="0" w:space="0" w:color="auto"/>
        <w:left w:val="none" w:sz="0" w:space="0" w:color="auto"/>
        <w:bottom w:val="none" w:sz="0" w:space="0" w:color="auto"/>
        <w:right w:val="none" w:sz="0" w:space="0" w:color="auto"/>
      </w:divBdr>
    </w:div>
    <w:div w:id="434137695">
      <w:bodyDiv w:val="1"/>
      <w:marLeft w:val="0"/>
      <w:marRight w:val="0"/>
      <w:marTop w:val="0"/>
      <w:marBottom w:val="0"/>
      <w:divBdr>
        <w:top w:val="none" w:sz="0" w:space="0" w:color="auto"/>
        <w:left w:val="none" w:sz="0" w:space="0" w:color="auto"/>
        <w:bottom w:val="none" w:sz="0" w:space="0" w:color="auto"/>
        <w:right w:val="none" w:sz="0" w:space="0" w:color="auto"/>
      </w:divBdr>
    </w:div>
    <w:div w:id="434323825">
      <w:bodyDiv w:val="1"/>
      <w:marLeft w:val="0"/>
      <w:marRight w:val="0"/>
      <w:marTop w:val="0"/>
      <w:marBottom w:val="0"/>
      <w:divBdr>
        <w:top w:val="none" w:sz="0" w:space="0" w:color="auto"/>
        <w:left w:val="none" w:sz="0" w:space="0" w:color="auto"/>
        <w:bottom w:val="none" w:sz="0" w:space="0" w:color="auto"/>
        <w:right w:val="none" w:sz="0" w:space="0" w:color="auto"/>
      </w:divBdr>
    </w:div>
    <w:div w:id="434373791">
      <w:bodyDiv w:val="1"/>
      <w:marLeft w:val="0"/>
      <w:marRight w:val="0"/>
      <w:marTop w:val="0"/>
      <w:marBottom w:val="0"/>
      <w:divBdr>
        <w:top w:val="none" w:sz="0" w:space="0" w:color="auto"/>
        <w:left w:val="none" w:sz="0" w:space="0" w:color="auto"/>
        <w:bottom w:val="none" w:sz="0" w:space="0" w:color="auto"/>
        <w:right w:val="none" w:sz="0" w:space="0" w:color="auto"/>
      </w:divBdr>
    </w:div>
    <w:div w:id="434374830">
      <w:bodyDiv w:val="1"/>
      <w:marLeft w:val="0"/>
      <w:marRight w:val="0"/>
      <w:marTop w:val="0"/>
      <w:marBottom w:val="0"/>
      <w:divBdr>
        <w:top w:val="none" w:sz="0" w:space="0" w:color="auto"/>
        <w:left w:val="none" w:sz="0" w:space="0" w:color="auto"/>
        <w:bottom w:val="none" w:sz="0" w:space="0" w:color="auto"/>
        <w:right w:val="none" w:sz="0" w:space="0" w:color="auto"/>
      </w:divBdr>
    </w:div>
    <w:div w:id="434398919">
      <w:bodyDiv w:val="1"/>
      <w:marLeft w:val="0"/>
      <w:marRight w:val="0"/>
      <w:marTop w:val="0"/>
      <w:marBottom w:val="0"/>
      <w:divBdr>
        <w:top w:val="none" w:sz="0" w:space="0" w:color="auto"/>
        <w:left w:val="none" w:sz="0" w:space="0" w:color="auto"/>
        <w:bottom w:val="none" w:sz="0" w:space="0" w:color="auto"/>
        <w:right w:val="none" w:sz="0" w:space="0" w:color="auto"/>
      </w:divBdr>
    </w:div>
    <w:div w:id="434516017">
      <w:bodyDiv w:val="1"/>
      <w:marLeft w:val="0"/>
      <w:marRight w:val="0"/>
      <w:marTop w:val="0"/>
      <w:marBottom w:val="0"/>
      <w:divBdr>
        <w:top w:val="none" w:sz="0" w:space="0" w:color="auto"/>
        <w:left w:val="none" w:sz="0" w:space="0" w:color="auto"/>
        <w:bottom w:val="none" w:sz="0" w:space="0" w:color="auto"/>
        <w:right w:val="none" w:sz="0" w:space="0" w:color="auto"/>
      </w:divBdr>
    </w:div>
    <w:div w:id="434519274">
      <w:bodyDiv w:val="1"/>
      <w:marLeft w:val="0"/>
      <w:marRight w:val="0"/>
      <w:marTop w:val="0"/>
      <w:marBottom w:val="0"/>
      <w:divBdr>
        <w:top w:val="none" w:sz="0" w:space="0" w:color="auto"/>
        <w:left w:val="none" w:sz="0" w:space="0" w:color="auto"/>
        <w:bottom w:val="none" w:sz="0" w:space="0" w:color="auto"/>
        <w:right w:val="none" w:sz="0" w:space="0" w:color="auto"/>
      </w:divBdr>
    </w:div>
    <w:div w:id="434519955">
      <w:bodyDiv w:val="1"/>
      <w:marLeft w:val="0"/>
      <w:marRight w:val="0"/>
      <w:marTop w:val="0"/>
      <w:marBottom w:val="0"/>
      <w:divBdr>
        <w:top w:val="none" w:sz="0" w:space="0" w:color="auto"/>
        <w:left w:val="none" w:sz="0" w:space="0" w:color="auto"/>
        <w:bottom w:val="none" w:sz="0" w:space="0" w:color="auto"/>
        <w:right w:val="none" w:sz="0" w:space="0" w:color="auto"/>
      </w:divBdr>
    </w:div>
    <w:div w:id="434523273">
      <w:bodyDiv w:val="1"/>
      <w:marLeft w:val="0"/>
      <w:marRight w:val="0"/>
      <w:marTop w:val="0"/>
      <w:marBottom w:val="0"/>
      <w:divBdr>
        <w:top w:val="none" w:sz="0" w:space="0" w:color="auto"/>
        <w:left w:val="none" w:sz="0" w:space="0" w:color="auto"/>
        <w:bottom w:val="none" w:sz="0" w:space="0" w:color="auto"/>
        <w:right w:val="none" w:sz="0" w:space="0" w:color="auto"/>
      </w:divBdr>
    </w:div>
    <w:div w:id="434524443">
      <w:bodyDiv w:val="1"/>
      <w:marLeft w:val="0"/>
      <w:marRight w:val="0"/>
      <w:marTop w:val="0"/>
      <w:marBottom w:val="0"/>
      <w:divBdr>
        <w:top w:val="none" w:sz="0" w:space="0" w:color="auto"/>
        <w:left w:val="none" w:sz="0" w:space="0" w:color="auto"/>
        <w:bottom w:val="none" w:sz="0" w:space="0" w:color="auto"/>
        <w:right w:val="none" w:sz="0" w:space="0" w:color="auto"/>
      </w:divBdr>
    </w:div>
    <w:div w:id="434594496">
      <w:bodyDiv w:val="1"/>
      <w:marLeft w:val="0"/>
      <w:marRight w:val="0"/>
      <w:marTop w:val="0"/>
      <w:marBottom w:val="0"/>
      <w:divBdr>
        <w:top w:val="none" w:sz="0" w:space="0" w:color="auto"/>
        <w:left w:val="none" w:sz="0" w:space="0" w:color="auto"/>
        <w:bottom w:val="none" w:sz="0" w:space="0" w:color="auto"/>
        <w:right w:val="none" w:sz="0" w:space="0" w:color="auto"/>
      </w:divBdr>
    </w:div>
    <w:div w:id="434596068">
      <w:bodyDiv w:val="1"/>
      <w:marLeft w:val="0"/>
      <w:marRight w:val="0"/>
      <w:marTop w:val="0"/>
      <w:marBottom w:val="0"/>
      <w:divBdr>
        <w:top w:val="none" w:sz="0" w:space="0" w:color="auto"/>
        <w:left w:val="none" w:sz="0" w:space="0" w:color="auto"/>
        <w:bottom w:val="none" w:sz="0" w:space="0" w:color="auto"/>
        <w:right w:val="none" w:sz="0" w:space="0" w:color="auto"/>
      </w:divBdr>
    </w:div>
    <w:div w:id="434834533">
      <w:bodyDiv w:val="1"/>
      <w:marLeft w:val="0"/>
      <w:marRight w:val="0"/>
      <w:marTop w:val="0"/>
      <w:marBottom w:val="0"/>
      <w:divBdr>
        <w:top w:val="none" w:sz="0" w:space="0" w:color="auto"/>
        <w:left w:val="none" w:sz="0" w:space="0" w:color="auto"/>
        <w:bottom w:val="none" w:sz="0" w:space="0" w:color="auto"/>
        <w:right w:val="none" w:sz="0" w:space="0" w:color="auto"/>
      </w:divBdr>
    </w:div>
    <w:div w:id="434902573">
      <w:bodyDiv w:val="1"/>
      <w:marLeft w:val="0"/>
      <w:marRight w:val="0"/>
      <w:marTop w:val="0"/>
      <w:marBottom w:val="0"/>
      <w:divBdr>
        <w:top w:val="none" w:sz="0" w:space="0" w:color="auto"/>
        <w:left w:val="none" w:sz="0" w:space="0" w:color="auto"/>
        <w:bottom w:val="none" w:sz="0" w:space="0" w:color="auto"/>
        <w:right w:val="none" w:sz="0" w:space="0" w:color="auto"/>
      </w:divBdr>
    </w:div>
    <w:div w:id="435096789">
      <w:bodyDiv w:val="1"/>
      <w:marLeft w:val="0"/>
      <w:marRight w:val="0"/>
      <w:marTop w:val="0"/>
      <w:marBottom w:val="0"/>
      <w:divBdr>
        <w:top w:val="none" w:sz="0" w:space="0" w:color="auto"/>
        <w:left w:val="none" w:sz="0" w:space="0" w:color="auto"/>
        <w:bottom w:val="none" w:sz="0" w:space="0" w:color="auto"/>
        <w:right w:val="none" w:sz="0" w:space="0" w:color="auto"/>
      </w:divBdr>
    </w:div>
    <w:div w:id="435101408">
      <w:bodyDiv w:val="1"/>
      <w:marLeft w:val="0"/>
      <w:marRight w:val="0"/>
      <w:marTop w:val="0"/>
      <w:marBottom w:val="0"/>
      <w:divBdr>
        <w:top w:val="none" w:sz="0" w:space="0" w:color="auto"/>
        <w:left w:val="none" w:sz="0" w:space="0" w:color="auto"/>
        <w:bottom w:val="none" w:sz="0" w:space="0" w:color="auto"/>
        <w:right w:val="none" w:sz="0" w:space="0" w:color="auto"/>
      </w:divBdr>
    </w:div>
    <w:div w:id="435364889">
      <w:bodyDiv w:val="1"/>
      <w:marLeft w:val="0"/>
      <w:marRight w:val="0"/>
      <w:marTop w:val="0"/>
      <w:marBottom w:val="0"/>
      <w:divBdr>
        <w:top w:val="none" w:sz="0" w:space="0" w:color="auto"/>
        <w:left w:val="none" w:sz="0" w:space="0" w:color="auto"/>
        <w:bottom w:val="none" w:sz="0" w:space="0" w:color="auto"/>
        <w:right w:val="none" w:sz="0" w:space="0" w:color="auto"/>
      </w:divBdr>
    </w:div>
    <w:div w:id="435443312">
      <w:bodyDiv w:val="1"/>
      <w:marLeft w:val="0"/>
      <w:marRight w:val="0"/>
      <w:marTop w:val="0"/>
      <w:marBottom w:val="0"/>
      <w:divBdr>
        <w:top w:val="none" w:sz="0" w:space="0" w:color="auto"/>
        <w:left w:val="none" w:sz="0" w:space="0" w:color="auto"/>
        <w:bottom w:val="none" w:sz="0" w:space="0" w:color="auto"/>
        <w:right w:val="none" w:sz="0" w:space="0" w:color="auto"/>
      </w:divBdr>
    </w:div>
    <w:div w:id="435448853">
      <w:bodyDiv w:val="1"/>
      <w:marLeft w:val="0"/>
      <w:marRight w:val="0"/>
      <w:marTop w:val="0"/>
      <w:marBottom w:val="0"/>
      <w:divBdr>
        <w:top w:val="none" w:sz="0" w:space="0" w:color="auto"/>
        <w:left w:val="none" w:sz="0" w:space="0" w:color="auto"/>
        <w:bottom w:val="none" w:sz="0" w:space="0" w:color="auto"/>
        <w:right w:val="none" w:sz="0" w:space="0" w:color="auto"/>
      </w:divBdr>
    </w:div>
    <w:div w:id="435518937">
      <w:bodyDiv w:val="1"/>
      <w:marLeft w:val="0"/>
      <w:marRight w:val="0"/>
      <w:marTop w:val="0"/>
      <w:marBottom w:val="0"/>
      <w:divBdr>
        <w:top w:val="none" w:sz="0" w:space="0" w:color="auto"/>
        <w:left w:val="none" w:sz="0" w:space="0" w:color="auto"/>
        <w:bottom w:val="none" w:sz="0" w:space="0" w:color="auto"/>
        <w:right w:val="none" w:sz="0" w:space="0" w:color="auto"/>
      </w:divBdr>
    </w:div>
    <w:div w:id="435565284">
      <w:bodyDiv w:val="1"/>
      <w:marLeft w:val="0"/>
      <w:marRight w:val="0"/>
      <w:marTop w:val="0"/>
      <w:marBottom w:val="0"/>
      <w:divBdr>
        <w:top w:val="none" w:sz="0" w:space="0" w:color="auto"/>
        <w:left w:val="none" w:sz="0" w:space="0" w:color="auto"/>
        <w:bottom w:val="none" w:sz="0" w:space="0" w:color="auto"/>
        <w:right w:val="none" w:sz="0" w:space="0" w:color="auto"/>
      </w:divBdr>
    </w:div>
    <w:div w:id="435640737">
      <w:bodyDiv w:val="1"/>
      <w:marLeft w:val="0"/>
      <w:marRight w:val="0"/>
      <w:marTop w:val="0"/>
      <w:marBottom w:val="0"/>
      <w:divBdr>
        <w:top w:val="none" w:sz="0" w:space="0" w:color="auto"/>
        <w:left w:val="none" w:sz="0" w:space="0" w:color="auto"/>
        <w:bottom w:val="none" w:sz="0" w:space="0" w:color="auto"/>
        <w:right w:val="none" w:sz="0" w:space="0" w:color="auto"/>
      </w:divBdr>
    </w:div>
    <w:div w:id="435905178">
      <w:bodyDiv w:val="1"/>
      <w:marLeft w:val="0"/>
      <w:marRight w:val="0"/>
      <w:marTop w:val="0"/>
      <w:marBottom w:val="0"/>
      <w:divBdr>
        <w:top w:val="none" w:sz="0" w:space="0" w:color="auto"/>
        <w:left w:val="none" w:sz="0" w:space="0" w:color="auto"/>
        <w:bottom w:val="none" w:sz="0" w:space="0" w:color="auto"/>
        <w:right w:val="none" w:sz="0" w:space="0" w:color="auto"/>
      </w:divBdr>
    </w:div>
    <w:div w:id="436023104">
      <w:bodyDiv w:val="1"/>
      <w:marLeft w:val="0"/>
      <w:marRight w:val="0"/>
      <w:marTop w:val="0"/>
      <w:marBottom w:val="0"/>
      <w:divBdr>
        <w:top w:val="none" w:sz="0" w:space="0" w:color="auto"/>
        <w:left w:val="none" w:sz="0" w:space="0" w:color="auto"/>
        <w:bottom w:val="none" w:sz="0" w:space="0" w:color="auto"/>
        <w:right w:val="none" w:sz="0" w:space="0" w:color="auto"/>
      </w:divBdr>
    </w:div>
    <w:div w:id="436096864">
      <w:bodyDiv w:val="1"/>
      <w:marLeft w:val="0"/>
      <w:marRight w:val="0"/>
      <w:marTop w:val="0"/>
      <w:marBottom w:val="0"/>
      <w:divBdr>
        <w:top w:val="none" w:sz="0" w:space="0" w:color="auto"/>
        <w:left w:val="none" w:sz="0" w:space="0" w:color="auto"/>
        <w:bottom w:val="none" w:sz="0" w:space="0" w:color="auto"/>
        <w:right w:val="none" w:sz="0" w:space="0" w:color="auto"/>
      </w:divBdr>
    </w:div>
    <w:div w:id="436367246">
      <w:bodyDiv w:val="1"/>
      <w:marLeft w:val="0"/>
      <w:marRight w:val="0"/>
      <w:marTop w:val="0"/>
      <w:marBottom w:val="0"/>
      <w:divBdr>
        <w:top w:val="none" w:sz="0" w:space="0" w:color="auto"/>
        <w:left w:val="none" w:sz="0" w:space="0" w:color="auto"/>
        <w:bottom w:val="none" w:sz="0" w:space="0" w:color="auto"/>
        <w:right w:val="none" w:sz="0" w:space="0" w:color="auto"/>
      </w:divBdr>
    </w:div>
    <w:div w:id="436367887">
      <w:bodyDiv w:val="1"/>
      <w:marLeft w:val="0"/>
      <w:marRight w:val="0"/>
      <w:marTop w:val="0"/>
      <w:marBottom w:val="0"/>
      <w:divBdr>
        <w:top w:val="none" w:sz="0" w:space="0" w:color="auto"/>
        <w:left w:val="none" w:sz="0" w:space="0" w:color="auto"/>
        <w:bottom w:val="none" w:sz="0" w:space="0" w:color="auto"/>
        <w:right w:val="none" w:sz="0" w:space="0" w:color="auto"/>
      </w:divBdr>
    </w:div>
    <w:div w:id="436560137">
      <w:bodyDiv w:val="1"/>
      <w:marLeft w:val="0"/>
      <w:marRight w:val="0"/>
      <w:marTop w:val="0"/>
      <w:marBottom w:val="0"/>
      <w:divBdr>
        <w:top w:val="none" w:sz="0" w:space="0" w:color="auto"/>
        <w:left w:val="none" w:sz="0" w:space="0" w:color="auto"/>
        <w:bottom w:val="none" w:sz="0" w:space="0" w:color="auto"/>
        <w:right w:val="none" w:sz="0" w:space="0" w:color="auto"/>
      </w:divBdr>
    </w:div>
    <w:div w:id="436563666">
      <w:bodyDiv w:val="1"/>
      <w:marLeft w:val="0"/>
      <w:marRight w:val="0"/>
      <w:marTop w:val="0"/>
      <w:marBottom w:val="0"/>
      <w:divBdr>
        <w:top w:val="none" w:sz="0" w:space="0" w:color="auto"/>
        <w:left w:val="none" w:sz="0" w:space="0" w:color="auto"/>
        <w:bottom w:val="none" w:sz="0" w:space="0" w:color="auto"/>
        <w:right w:val="none" w:sz="0" w:space="0" w:color="auto"/>
      </w:divBdr>
    </w:div>
    <w:div w:id="436563870">
      <w:bodyDiv w:val="1"/>
      <w:marLeft w:val="0"/>
      <w:marRight w:val="0"/>
      <w:marTop w:val="0"/>
      <w:marBottom w:val="0"/>
      <w:divBdr>
        <w:top w:val="none" w:sz="0" w:space="0" w:color="auto"/>
        <w:left w:val="none" w:sz="0" w:space="0" w:color="auto"/>
        <w:bottom w:val="none" w:sz="0" w:space="0" w:color="auto"/>
        <w:right w:val="none" w:sz="0" w:space="0" w:color="auto"/>
      </w:divBdr>
    </w:div>
    <w:div w:id="436754369">
      <w:bodyDiv w:val="1"/>
      <w:marLeft w:val="0"/>
      <w:marRight w:val="0"/>
      <w:marTop w:val="0"/>
      <w:marBottom w:val="0"/>
      <w:divBdr>
        <w:top w:val="none" w:sz="0" w:space="0" w:color="auto"/>
        <w:left w:val="none" w:sz="0" w:space="0" w:color="auto"/>
        <w:bottom w:val="none" w:sz="0" w:space="0" w:color="auto"/>
        <w:right w:val="none" w:sz="0" w:space="0" w:color="auto"/>
      </w:divBdr>
    </w:div>
    <w:div w:id="437019786">
      <w:bodyDiv w:val="1"/>
      <w:marLeft w:val="0"/>
      <w:marRight w:val="0"/>
      <w:marTop w:val="0"/>
      <w:marBottom w:val="0"/>
      <w:divBdr>
        <w:top w:val="none" w:sz="0" w:space="0" w:color="auto"/>
        <w:left w:val="none" w:sz="0" w:space="0" w:color="auto"/>
        <w:bottom w:val="none" w:sz="0" w:space="0" w:color="auto"/>
        <w:right w:val="none" w:sz="0" w:space="0" w:color="auto"/>
      </w:divBdr>
    </w:div>
    <w:div w:id="437061583">
      <w:bodyDiv w:val="1"/>
      <w:marLeft w:val="0"/>
      <w:marRight w:val="0"/>
      <w:marTop w:val="0"/>
      <w:marBottom w:val="0"/>
      <w:divBdr>
        <w:top w:val="none" w:sz="0" w:space="0" w:color="auto"/>
        <w:left w:val="none" w:sz="0" w:space="0" w:color="auto"/>
        <w:bottom w:val="none" w:sz="0" w:space="0" w:color="auto"/>
        <w:right w:val="none" w:sz="0" w:space="0" w:color="auto"/>
      </w:divBdr>
    </w:div>
    <w:div w:id="437141035">
      <w:bodyDiv w:val="1"/>
      <w:marLeft w:val="0"/>
      <w:marRight w:val="0"/>
      <w:marTop w:val="0"/>
      <w:marBottom w:val="0"/>
      <w:divBdr>
        <w:top w:val="none" w:sz="0" w:space="0" w:color="auto"/>
        <w:left w:val="none" w:sz="0" w:space="0" w:color="auto"/>
        <w:bottom w:val="none" w:sz="0" w:space="0" w:color="auto"/>
        <w:right w:val="none" w:sz="0" w:space="0" w:color="auto"/>
      </w:divBdr>
    </w:div>
    <w:div w:id="437258801">
      <w:bodyDiv w:val="1"/>
      <w:marLeft w:val="0"/>
      <w:marRight w:val="0"/>
      <w:marTop w:val="0"/>
      <w:marBottom w:val="0"/>
      <w:divBdr>
        <w:top w:val="none" w:sz="0" w:space="0" w:color="auto"/>
        <w:left w:val="none" w:sz="0" w:space="0" w:color="auto"/>
        <w:bottom w:val="none" w:sz="0" w:space="0" w:color="auto"/>
        <w:right w:val="none" w:sz="0" w:space="0" w:color="auto"/>
      </w:divBdr>
    </w:div>
    <w:div w:id="437262613">
      <w:bodyDiv w:val="1"/>
      <w:marLeft w:val="0"/>
      <w:marRight w:val="0"/>
      <w:marTop w:val="0"/>
      <w:marBottom w:val="0"/>
      <w:divBdr>
        <w:top w:val="none" w:sz="0" w:space="0" w:color="auto"/>
        <w:left w:val="none" w:sz="0" w:space="0" w:color="auto"/>
        <w:bottom w:val="none" w:sz="0" w:space="0" w:color="auto"/>
        <w:right w:val="none" w:sz="0" w:space="0" w:color="auto"/>
      </w:divBdr>
    </w:div>
    <w:div w:id="437331031">
      <w:bodyDiv w:val="1"/>
      <w:marLeft w:val="0"/>
      <w:marRight w:val="0"/>
      <w:marTop w:val="0"/>
      <w:marBottom w:val="0"/>
      <w:divBdr>
        <w:top w:val="none" w:sz="0" w:space="0" w:color="auto"/>
        <w:left w:val="none" w:sz="0" w:space="0" w:color="auto"/>
        <w:bottom w:val="none" w:sz="0" w:space="0" w:color="auto"/>
        <w:right w:val="none" w:sz="0" w:space="0" w:color="auto"/>
      </w:divBdr>
    </w:div>
    <w:div w:id="437453514">
      <w:bodyDiv w:val="1"/>
      <w:marLeft w:val="0"/>
      <w:marRight w:val="0"/>
      <w:marTop w:val="0"/>
      <w:marBottom w:val="0"/>
      <w:divBdr>
        <w:top w:val="none" w:sz="0" w:space="0" w:color="auto"/>
        <w:left w:val="none" w:sz="0" w:space="0" w:color="auto"/>
        <w:bottom w:val="none" w:sz="0" w:space="0" w:color="auto"/>
        <w:right w:val="none" w:sz="0" w:space="0" w:color="auto"/>
      </w:divBdr>
    </w:div>
    <w:div w:id="437528451">
      <w:bodyDiv w:val="1"/>
      <w:marLeft w:val="0"/>
      <w:marRight w:val="0"/>
      <w:marTop w:val="0"/>
      <w:marBottom w:val="0"/>
      <w:divBdr>
        <w:top w:val="none" w:sz="0" w:space="0" w:color="auto"/>
        <w:left w:val="none" w:sz="0" w:space="0" w:color="auto"/>
        <w:bottom w:val="none" w:sz="0" w:space="0" w:color="auto"/>
        <w:right w:val="none" w:sz="0" w:space="0" w:color="auto"/>
      </w:divBdr>
    </w:div>
    <w:div w:id="437531008">
      <w:bodyDiv w:val="1"/>
      <w:marLeft w:val="0"/>
      <w:marRight w:val="0"/>
      <w:marTop w:val="0"/>
      <w:marBottom w:val="0"/>
      <w:divBdr>
        <w:top w:val="none" w:sz="0" w:space="0" w:color="auto"/>
        <w:left w:val="none" w:sz="0" w:space="0" w:color="auto"/>
        <w:bottom w:val="none" w:sz="0" w:space="0" w:color="auto"/>
        <w:right w:val="none" w:sz="0" w:space="0" w:color="auto"/>
      </w:divBdr>
    </w:div>
    <w:div w:id="437680827">
      <w:bodyDiv w:val="1"/>
      <w:marLeft w:val="0"/>
      <w:marRight w:val="0"/>
      <w:marTop w:val="0"/>
      <w:marBottom w:val="0"/>
      <w:divBdr>
        <w:top w:val="none" w:sz="0" w:space="0" w:color="auto"/>
        <w:left w:val="none" w:sz="0" w:space="0" w:color="auto"/>
        <w:bottom w:val="none" w:sz="0" w:space="0" w:color="auto"/>
        <w:right w:val="none" w:sz="0" w:space="0" w:color="auto"/>
      </w:divBdr>
    </w:div>
    <w:div w:id="437943305">
      <w:bodyDiv w:val="1"/>
      <w:marLeft w:val="0"/>
      <w:marRight w:val="0"/>
      <w:marTop w:val="0"/>
      <w:marBottom w:val="0"/>
      <w:divBdr>
        <w:top w:val="none" w:sz="0" w:space="0" w:color="auto"/>
        <w:left w:val="none" w:sz="0" w:space="0" w:color="auto"/>
        <w:bottom w:val="none" w:sz="0" w:space="0" w:color="auto"/>
        <w:right w:val="none" w:sz="0" w:space="0" w:color="auto"/>
      </w:divBdr>
    </w:div>
    <w:div w:id="438065280">
      <w:bodyDiv w:val="1"/>
      <w:marLeft w:val="0"/>
      <w:marRight w:val="0"/>
      <w:marTop w:val="0"/>
      <w:marBottom w:val="0"/>
      <w:divBdr>
        <w:top w:val="none" w:sz="0" w:space="0" w:color="auto"/>
        <w:left w:val="none" w:sz="0" w:space="0" w:color="auto"/>
        <w:bottom w:val="none" w:sz="0" w:space="0" w:color="auto"/>
        <w:right w:val="none" w:sz="0" w:space="0" w:color="auto"/>
      </w:divBdr>
    </w:div>
    <w:div w:id="438069305">
      <w:bodyDiv w:val="1"/>
      <w:marLeft w:val="0"/>
      <w:marRight w:val="0"/>
      <w:marTop w:val="0"/>
      <w:marBottom w:val="0"/>
      <w:divBdr>
        <w:top w:val="none" w:sz="0" w:space="0" w:color="auto"/>
        <w:left w:val="none" w:sz="0" w:space="0" w:color="auto"/>
        <w:bottom w:val="none" w:sz="0" w:space="0" w:color="auto"/>
        <w:right w:val="none" w:sz="0" w:space="0" w:color="auto"/>
      </w:divBdr>
    </w:div>
    <w:div w:id="438183746">
      <w:bodyDiv w:val="1"/>
      <w:marLeft w:val="0"/>
      <w:marRight w:val="0"/>
      <w:marTop w:val="0"/>
      <w:marBottom w:val="0"/>
      <w:divBdr>
        <w:top w:val="none" w:sz="0" w:space="0" w:color="auto"/>
        <w:left w:val="none" w:sz="0" w:space="0" w:color="auto"/>
        <w:bottom w:val="none" w:sz="0" w:space="0" w:color="auto"/>
        <w:right w:val="none" w:sz="0" w:space="0" w:color="auto"/>
      </w:divBdr>
    </w:div>
    <w:div w:id="438330112">
      <w:bodyDiv w:val="1"/>
      <w:marLeft w:val="0"/>
      <w:marRight w:val="0"/>
      <w:marTop w:val="0"/>
      <w:marBottom w:val="0"/>
      <w:divBdr>
        <w:top w:val="none" w:sz="0" w:space="0" w:color="auto"/>
        <w:left w:val="none" w:sz="0" w:space="0" w:color="auto"/>
        <w:bottom w:val="none" w:sz="0" w:space="0" w:color="auto"/>
        <w:right w:val="none" w:sz="0" w:space="0" w:color="auto"/>
      </w:divBdr>
    </w:div>
    <w:div w:id="438331016">
      <w:bodyDiv w:val="1"/>
      <w:marLeft w:val="0"/>
      <w:marRight w:val="0"/>
      <w:marTop w:val="0"/>
      <w:marBottom w:val="0"/>
      <w:divBdr>
        <w:top w:val="none" w:sz="0" w:space="0" w:color="auto"/>
        <w:left w:val="none" w:sz="0" w:space="0" w:color="auto"/>
        <w:bottom w:val="none" w:sz="0" w:space="0" w:color="auto"/>
        <w:right w:val="none" w:sz="0" w:space="0" w:color="auto"/>
      </w:divBdr>
    </w:div>
    <w:div w:id="438337429">
      <w:bodyDiv w:val="1"/>
      <w:marLeft w:val="0"/>
      <w:marRight w:val="0"/>
      <w:marTop w:val="0"/>
      <w:marBottom w:val="0"/>
      <w:divBdr>
        <w:top w:val="none" w:sz="0" w:space="0" w:color="auto"/>
        <w:left w:val="none" w:sz="0" w:space="0" w:color="auto"/>
        <w:bottom w:val="none" w:sz="0" w:space="0" w:color="auto"/>
        <w:right w:val="none" w:sz="0" w:space="0" w:color="auto"/>
      </w:divBdr>
    </w:div>
    <w:div w:id="438380017">
      <w:bodyDiv w:val="1"/>
      <w:marLeft w:val="0"/>
      <w:marRight w:val="0"/>
      <w:marTop w:val="0"/>
      <w:marBottom w:val="0"/>
      <w:divBdr>
        <w:top w:val="none" w:sz="0" w:space="0" w:color="auto"/>
        <w:left w:val="none" w:sz="0" w:space="0" w:color="auto"/>
        <w:bottom w:val="none" w:sz="0" w:space="0" w:color="auto"/>
        <w:right w:val="none" w:sz="0" w:space="0" w:color="auto"/>
      </w:divBdr>
    </w:div>
    <w:div w:id="438453254">
      <w:bodyDiv w:val="1"/>
      <w:marLeft w:val="0"/>
      <w:marRight w:val="0"/>
      <w:marTop w:val="0"/>
      <w:marBottom w:val="0"/>
      <w:divBdr>
        <w:top w:val="none" w:sz="0" w:space="0" w:color="auto"/>
        <w:left w:val="none" w:sz="0" w:space="0" w:color="auto"/>
        <w:bottom w:val="none" w:sz="0" w:space="0" w:color="auto"/>
        <w:right w:val="none" w:sz="0" w:space="0" w:color="auto"/>
      </w:divBdr>
    </w:div>
    <w:div w:id="438526412">
      <w:bodyDiv w:val="1"/>
      <w:marLeft w:val="0"/>
      <w:marRight w:val="0"/>
      <w:marTop w:val="0"/>
      <w:marBottom w:val="0"/>
      <w:divBdr>
        <w:top w:val="none" w:sz="0" w:space="0" w:color="auto"/>
        <w:left w:val="none" w:sz="0" w:space="0" w:color="auto"/>
        <w:bottom w:val="none" w:sz="0" w:space="0" w:color="auto"/>
        <w:right w:val="none" w:sz="0" w:space="0" w:color="auto"/>
      </w:divBdr>
    </w:div>
    <w:div w:id="438529572">
      <w:bodyDiv w:val="1"/>
      <w:marLeft w:val="0"/>
      <w:marRight w:val="0"/>
      <w:marTop w:val="0"/>
      <w:marBottom w:val="0"/>
      <w:divBdr>
        <w:top w:val="none" w:sz="0" w:space="0" w:color="auto"/>
        <w:left w:val="none" w:sz="0" w:space="0" w:color="auto"/>
        <w:bottom w:val="none" w:sz="0" w:space="0" w:color="auto"/>
        <w:right w:val="none" w:sz="0" w:space="0" w:color="auto"/>
      </w:divBdr>
    </w:div>
    <w:div w:id="438530913">
      <w:bodyDiv w:val="1"/>
      <w:marLeft w:val="0"/>
      <w:marRight w:val="0"/>
      <w:marTop w:val="0"/>
      <w:marBottom w:val="0"/>
      <w:divBdr>
        <w:top w:val="none" w:sz="0" w:space="0" w:color="auto"/>
        <w:left w:val="none" w:sz="0" w:space="0" w:color="auto"/>
        <w:bottom w:val="none" w:sz="0" w:space="0" w:color="auto"/>
        <w:right w:val="none" w:sz="0" w:space="0" w:color="auto"/>
      </w:divBdr>
    </w:div>
    <w:div w:id="438794416">
      <w:bodyDiv w:val="1"/>
      <w:marLeft w:val="0"/>
      <w:marRight w:val="0"/>
      <w:marTop w:val="0"/>
      <w:marBottom w:val="0"/>
      <w:divBdr>
        <w:top w:val="none" w:sz="0" w:space="0" w:color="auto"/>
        <w:left w:val="none" w:sz="0" w:space="0" w:color="auto"/>
        <w:bottom w:val="none" w:sz="0" w:space="0" w:color="auto"/>
        <w:right w:val="none" w:sz="0" w:space="0" w:color="auto"/>
      </w:divBdr>
    </w:div>
    <w:div w:id="438918939">
      <w:bodyDiv w:val="1"/>
      <w:marLeft w:val="0"/>
      <w:marRight w:val="0"/>
      <w:marTop w:val="0"/>
      <w:marBottom w:val="0"/>
      <w:divBdr>
        <w:top w:val="none" w:sz="0" w:space="0" w:color="auto"/>
        <w:left w:val="none" w:sz="0" w:space="0" w:color="auto"/>
        <w:bottom w:val="none" w:sz="0" w:space="0" w:color="auto"/>
        <w:right w:val="none" w:sz="0" w:space="0" w:color="auto"/>
      </w:divBdr>
    </w:div>
    <w:div w:id="439489716">
      <w:bodyDiv w:val="1"/>
      <w:marLeft w:val="0"/>
      <w:marRight w:val="0"/>
      <w:marTop w:val="0"/>
      <w:marBottom w:val="0"/>
      <w:divBdr>
        <w:top w:val="none" w:sz="0" w:space="0" w:color="auto"/>
        <w:left w:val="none" w:sz="0" w:space="0" w:color="auto"/>
        <w:bottom w:val="none" w:sz="0" w:space="0" w:color="auto"/>
        <w:right w:val="none" w:sz="0" w:space="0" w:color="auto"/>
      </w:divBdr>
    </w:div>
    <w:div w:id="439566297">
      <w:bodyDiv w:val="1"/>
      <w:marLeft w:val="0"/>
      <w:marRight w:val="0"/>
      <w:marTop w:val="0"/>
      <w:marBottom w:val="0"/>
      <w:divBdr>
        <w:top w:val="none" w:sz="0" w:space="0" w:color="auto"/>
        <w:left w:val="none" w:sz="0" w:space="0" w:color="auto"/>
        <w:bottom w:val="none" w:sz="0" w:space="0" w:color="auto"/>
        <w:right w:val="none" w:sz="0" w:space="0" w:color="auto"/>
      </w:divBdr>
    </w:div>
    <w:div w:id="439880089">
      <w:bodyDiv w:val="1"/>
      <w:marLeft w:val="0"/>
      <w:marRight w:val="0"/>
      <w:marTop w:val="0"/>
      <w:marBottom w:val="0"/>
      <w:divBdr>
        <w:top w:val="none" w:sz="0" w:space="0" w:color="auto"/>
        <w:left w:val="none" w:sz="0" w:space="0" w:color="auto"/>
        <w:bottom w:val="none" w:sz="0" w:space="0" w:color="auto"/>
        <w:right w:val="none" w:sz="0" w:space="0" w:color="auto"/>
      </w:divBdr>
    </w:div>
    <w:div w:id="440296779">
      <w:bodyDiv w:val="1"/>
      <w:marLeft w:val="0"/>
      <w:marRight w:val="0"/>
      <w:marTop w:val="0"/>
      <w:marBottom w:val="0"/>
      <w:divBdr>
        <w:top w:val="none" w:sz="0" w:space="0" w:color="auto"/>
        <w:left w:val="none" w:sz="0" w:space="0" w:color="auto"/>
        <w:bottom w:val="none" w:sz="0" w:space="0" w:color="auto"/>
        <w:right w:val="none" w:sz="0" w:space="0" w:color="auto"/>
      </w:divBdr>
    </w:div>
    <w:div w:id="440299194">
      <w:bodyDiv w:val="1"/>
      <w:marLeft w:val="0"/>
      <w:marRight w:val="0"/>
      <w:marTop w:val="0"/>
      <w:marBottom w:val="0"/>
      <w:divBdr>
        <w:top w:val="none" w:sz="0" w:space="0" w:color="auto"/>
        <w:left w:val="none" w:sz="0" w:space="0" w:color="auto"/>
        <w:bottom w:val="none" w:sz="0" w:space="0" w:color="auto"/>
        <w:right w:val="none" w:sz="0" w:space="0" w:color="auto"/>
      </w:divBdr>
    </w:div>
    <w:div w:id="440491155">
      <w:bodyDiv w:val="1"/>
      <w:marLeft w:val="0"/>
      <w:marRight w:val="0"/>
      <w:marTop w:val="0"/>
      <w:marBottom w:val="0"/>
      <w:divBdr>
        <w:top w:val="none" w:sz="0" w:space="0" w:color="auto"/>
        <w:left w:val="none" w:sz="0" w:space="0" w:color="auto"/>
        <w:bottom w:val="none" w:sz="0" w:space="0" w:color="auto"/>
        <w:right w:val="none" w:sz="0" w:space="0" w:color="auto"/>
      </w:divBdr>
    </w:div>
    <w:div w:id="440533255">
      <w:bodyDiv w:val="1"/>
      <w:marLeft w:val="0"/>
      <w:marRight w:val="0"/>
      <w:marTop w:val="0"/>
      <w:marBottom w:val="0"/>
      <w:divBdr>
        <w:top w:val="none" w:sz="0" w:space="0" w:color="auto"/>
        <w:left w:val="none" w:sz="0" w:space="0" w:color="auto"/>
        <w:bottom w:val="none" w:sz="0" w:space="0" w:color="auto"/>
        <w:right w:val="none" w:sz="0" w:space="0" w:color="auto"/>
      </w:divBdr>
    </w:div>
    <w:div w:id="440682628">
      <w:bodyDiv w:val="1"/>
      <w:marLeft w:val="0"/>
      <w:marRight w:val="0"/>
      <w:marTop w:val="0"/>
      <w:marBottom w:val="0"/>
      <w:divBdr>
        <w:top w:val="none" w:sz="0" w:space="0" w:color="auto"/>
        <w:left w:val="none" w:sz="0" w:space="0" w:color="auto"/>
        <w:bottom w:val="none" w:sz="0" w:space="0" w:color="auto"/>
        <w:right w:val="none" w:sz="0" w:space="0" w:color="auto"/>
      </w:divBdr>
    </w:div>
    <w:div w:id="440758897">
      <w:bodyDiv w:val="1"/>
      <w:marLeft w:val="0"/>
      <w:marRight w:val="0"/>
      <w:marTop w:val="0"/>
      <w:marBottom w:val="0"/>
      <w:divBdr>
        <w:top w:val="none" w:sz="0" w:space="0" w:color="auto"/>
        <w:left w:val="none" w:sz="0" w:space="0" w:color="auto"/>
        <w:bottom w:val="none" w:sz="0" w:space="0" w:color="auto"/>
        <w:right w:val="none" w:sz="0" w:space="0" w:color="auto"/>
      </w:divBdr>
    </w:div>
    <w:div w:id="440805067">
      <w:bodyDiv w:val="1"/>
      <w:marLeft w:val="0"/>
      <w:marRight w:val="0"/>
      <w:marTop w:val="0"/>
      <w:marBottom w:val="0"/>
      <w:divBdr>
        <w:top w:val="none" w:sz="0" w:space="0" w:color="auto"/>
        <w:left w:val="none" w:sz="0" w:space="0" w:color="auto"/>
        <w:bottom w:val="none" w:sz="0" w:space="0" w:color="auto"/>
        <w:right w:val="none" w:sz="0" w:space="0" w:color="auto"/>
      </w:divBdr>
    </w:div>
    <w:div w:id="440926807">
      <w:bodyDiv w:val="1"/>
      <w:marLeft w:val="0"/>
      <w:marRight w:val="0"/>
      <w:marTop w:val="0"/>
      <w:marBottom w:val="0"/>
      <w:divBdr>
        <w:top w:val="none" w:sz="0" w:space="0" w:color="auto"/>
        <w:left w:val="none" w:sz="0" w:space="0" w:color="auto"/>
        <w:bottom w:val="none" w:sz="0" w:space="0" w:color="auto"/>
        <w:right w:val="none" w:sz="0" w:space="0" w:color="auto"/>
      </w:divBdr>
    </w:div>
    <w:div w:id="441190084">
      <w:bodyDiv w:val="1"/>
      <w:marLeft w:val="0"/>
      <w:marRight w:val="0"/>
      <w:marTop w:val="0"/>
      <w:marBottom w:val="0"/>
      <w:divBdr>
        <w:top w:val="none" w:sz="0" w:space="0" w:color="auto"/>
        <w:left w:val="none" w:sz="0" w:space="0" w:color="auto"/>
        <w:bottom w:val="none" w:sz="0" w:space="0" w:color="auto"/>
        <w:right w:val="none" w:sz="0" w:space="0" w:color="auto"/>
      </w:divBdr>
    </w:div>
    <w:div w:id="441269496">
      <w:bodyDiv w:val="1"/>
      <w:marLeft w:val="0"/>
      <w:marRight w:val="0"/>
      <w:marTop w:val="0"/>
      <w:marBottom w:val="0"/>
      <w:divBdr>
        <w:top w:val="none" w:sz="0" w:space="0" w:color="auto"/>
        <w:left w:val="none" w:sz="0" w:space="0" w:color="auto"/>
        <w:bottom w:val="none" w:sz="0" w:space="0" w:color="auto"/>
        <w:right w:val="none" w:sz="0" w:space="0" w:color="auto"/>
      </w:divBdr>
    </w:div>
    <w:div w:id="441342599">
      <w:bodyDiv w:val="1"/>
      <w:marLeft w:val="0"/>
      <w:marRight w:val="0"/>
      <w:marTop w:val="0"/>
      <w:marBottom w:val="0"/>
      <w:divBdr>
        <w:top w:val="none" w:sz="0" w:space="0" w:color="auto"/>
        <w:left w:val="none" w:sz="0" w:space="0" w:color="auto"/>
        <w:bottom w:val="none" w:sz="0" w:space="0" w:color="auto"/>
        <w:right w:val="none" w:sz="0" w:space="0" w:color="auto"/>
      </w:divBdr>
    </w:div>
    <w:div w:id="441414758">
      <w:bodyDiv w:val="1"/>
      <w:marLeft w:val="0"/>
      <w:marRight w:val="0"/>
      <w:marTop w:val="0"/>
      <w:marBottom w:val="0"/>
      <w:divBdr>
        <w:top w:val="none" w:sz="0" w:space="0" w:color="auto"/>
        <w:left w:val="none" w:sz="0" w:space="0" w:color="auto"/>
        <w:bottom w:val="none" w:sz="0" w:space="0" w:color="auto"/>
        <w:right w:val="none" w:sz="0" w:space="0" w:color="auto"/>
      </w:divBdr>
    </w:div>
    <w:div w:id="441536075">
      <w:bodyDiv w:val="1"/>
      <w:marLeft w:val="0"/>
      <w:marRight w:val="0"/>
      <w:marTop w:val="0"/>
      <w:marBottom w:val="0"/>
      <w:divBdr>
        <w:top w:val="none" w:sz="0" w:space="0" w:color="auto"/>
        <w:left w:val="none" w:sz="0" w:space="0" w:color="auto"/>
        <w:bottom w:val="none" w:sz="0" w:space="0" w:color="auto"/>
        <w:right w:val="none" w:sz="0" w:space="0" w:color="auto"/>
      </w:divBdr>
    </w:div>
    <w:div w:id="441651084">
      <w:bodyDiv w:val="1"/>
      <w:marLeft w:val="0"/>
      <w:marRight w:val="0"/>
      <w:marTop w:val="0"/>
      <w:marBottom w:val="0"/>
      <w:divBdr>
        <w:top w:val="none" w:sz="0" w:space="0" w:color="auto"/>
        <w:left w:val="none" w:sz="0" w:space="0" w:color="auto"/>
        <w:bottom w:val="none" w:sz="0" w:space="0" w:color="auto"/>
        <w:right w:val="none" w:sz="0" w:space="0" w:color="auto"/>
      </w:divBdr>
    </w:div>
    <w:div w:id="441653450">
      <w:bodyDiv w:val="1"/>
      <w:marLeft w:val="0"/>
      <w:marRight w:val="0"/>
      <w:marTop w:val="0"/>
      <w:marBottom w:val="0"/>
      <w:divBdr>
        <w:top w:val="none" w:sz="0" w:space="0" w:color="auto"/>
        <w:left w:val="none" w:sz="0" w:space="0" w:color="auto"/>
        <w:bottom w:val="none" w:sz="0" w:space="0" w:color="auto"/>
        <w:right w:val="none" w:sz="0" w:space="0" w:color="auto"/>
      </w:divBdr>
    </w:div>
    <w:div w:id="441993313">
      <w:bodyDiv w:val="1"/>
      <w:marLeft w:val="0"/>
      <w:marRight w:val="0"/>
      <w:marTop w:val="0"/>
      <w:marBottom w:val="0"/>
      <w:divBdr>
        <w:top w:val="none" w:sz="0" w:space="0" w:color="auto"/>
        <w:left w:val="none" w:sz="0" w:space="0" w:color="auto"/>
        <w:bottom w:val="none" w:sz="0" w:space="0" w:color="auto"/>
        <w:right w:val="none" w:sz="0" w:space="0" w:color="auto"/>
      </w:divBdr>
    </w:div>
    <w:div w:id="442000140">
      <w:bodyDiv w:val="1"/>
      <w:marLeft w:val="0"/>
      <w:marRight w:val="0"/>
      <w:marTop w:val="0"/>
      <w:marBottom w:val="0"/>
      <w:divBdr>
        <w:top w:val="none" w:sz="0" w:space="0" w:color="auto"/>
        <w:left w:val="none" w:sz="0" w:space="0" w:color="auto"/>
        <w:bottom w:val="none" w:sz="0" w:space="0" w:color="auto"/>
        <w:right w:val="none" w:sz="0" w:space="0" w:color="auto"/>
      </w:divBdr>
    </w:div>
    <w:div w:id="442041343">
      <w:bodyDiv w:val="1"/>
      <w:marLeft w:val="0"/>
      <w:marRight w:val="0"/>
      <w:marTop w:val="0"/>
      <w:marBottom w:val="0"/>
      <w:divBdr>
        <w:top w:val="none" w:sz="0" w:space="0" w:color="auto"/>
        <w:left w:val="none" w:sz="0" w:space="0" w:color="auto"/>
        <w:bottom w:val="none" w:sz="0" w:space="0" w:color="auto"/>
        <w:right w:val="none" w:sz="0" w:space="0" w:color="auto"/>
      </w:divBdr>
    </w:div>
    <w:div w:id="442042720">
      <w:bodyDiv w:val="1"/>
      <w:marLeft w:val="0"/>
      <w:marRight w:val="0"/>
      <w:marTop w:val="0"/>
      <w:marBottom w:val="0"/>
      <w:divBdr>
        <w:top w:val="none" w:sz="0" w:space="0" w:color="auto"/>
        <w:left w:val="none" w:sz="0" w:space="0" w:color="auto"/>
        <w:bottom w:val="none" w:sz="0" w:space="0" w:color="auto"/>
        <w:right w:val="none" w:sz="0" w:space="0" w:color="auto"/>
      </w:divBdr>
    </w:div>
    <w:div w:id="442071155">
      <w:bodyDiv w:val="1"/>
      <w:marLeft w:val="0"/>
      <w:marRight w:val="0"/>
      <w:marTop w:val="0"/>
      <w:marBottom w:val="0"/>
      <w:divBdr>
        <w:top w:val="none" w:sz="0" w:space="0" w:color="auto"/>
        <w:left w:val="none" w:sz="0" w:space="0" w:color="auto"/>
        <w:bottom w:val="none" w:sz="0" w:space="0" w:color="auto"/>
        <w:right w:val="none" w:sz="0" w:space="0" w:color="auto"/>
      </w:divBdr>
    </w:div>
    <w:div w:id="442194105">
      <w:bodyDiv w:val="1"/>
      <w:marLeft w:val="0"/>
      <w:marRight w:val="0"/>
      <w:marTop w:val="0"/>
      <w:marBottom w:val="0"/>
      <w:divBdr>
        <w:top w:val="none" w:sz="0" w:space="0" w:color="auto"/>
        <w:left w:val="none" w:sz="0" w:space="0" w:color="auto"/>
        <w:bottom w:val="none" w:sz="0" w:space="0" w:color="auto"/>
        <w:right w:val="none" w:sz="0" w:space="0" w:color="auto"/>
      </w:divBdr>
    </w:div>
    <w:div w:id="442195309">
      <w:bodyDiv w:val="1"/>
      <w:marLeft w:val="0"/>
      <w:marRight w:val="0"/>
      <w:marTop w:val="0"/>
      <w:marBottom w:val="0"/>
      <w:divBdr>
        <w:top w:val="none" w:sz="0" w:space="0" w:color="auto"/>
        <w:left w:val="none" w:sz="0" w:space="0" w:color="auto"/>
        <w:bottom w:val="none" w:sz="0" w:space="0" w:color="auto"/>
        <w:right w:val="none" w:sz="0" w:space="0" w:color="auto"/>
      </w:divBdr>
    </w:div>
    <w:div w:id="442379663">
      <w:bodyDiv w:val="1"/>
      <w:marLeft w:val="0"/>
      <w:marRight w:val="0"/>
      <w:marTop w:val="0"/>
      <w:marBottom w:val="0"/>
      <w:divBdr>
        <w:top w:val="none" w:sz="0" w:space="0" w:color="auto"/>
        <w:left w:val="none" w:sz="0" w:space="0" w:color="auto"/>
        <w:bottom w:val="none" w:sz="0" w:space="0" w:color="auto"/>
        <w:right w:val="none" w:sz="0" w:space="0" w:color="auto"/>
      </w:divBdr>
    </w:div>
    <w:div w:id="442458748">
      <w:bodyDiv w:val="1"/>
      <w:marLeft w:val="0"/>
      <w:marRight w:val="0"/>
      <w:marTop w:val="0"/>
      <w:marBottom w:val="0"/>
      <w:divBdr>
        <w:top w:val="none" w:sz="0" w:space="0" w:color="auto"/>
        <w:left w:val="none" w:sz="0" w:space="0" w:color="auto"/>
        <w:bottom w:val="none" w:sz="0" w:space="0" w:color="auto"/>
        <w:right w:val="none" w:sz="0" w:space="0" w:color="auto"/>
      </w:divBdr>
    </w:div>
    <w:div w:id="442650121">
      <w:bodyDiv w:val="1"/>
      <w:marLeft w:val="0"/>
      <w:marRight w:val="0"/>
      <w:marTop w:val="0"/>
      <w:marBottom w:val="0"/>
      <w:divBdr>
        <w:top w:val="none" w:sz="0" w:space="0" w:color="auto"/>
        <w:left w:val="none" w:sz="0" w:space="0" w:color="auto"/>
        <w:bottom w:val="none" w:sz="0" w:space="0" w:color="auto"/>
        <w:right w:val="none" w:sz="0" w:space="0" w:color="auto"/>
      </w:divBdr>
    </w:div>
    <w:div w:id="442699334">
      <w:bodyDiv w:val="1"/>
      <w:marLeft w:val="0"/>
      <w:marRight w:val="0"/>
      <w:marTop w:val="0"/>
      <w:marBottom w:val="0"/>
      <w:divBdr>
        <w:top w:val="none" w:sz="0" w:space="0" w:color="auto"/>
        <w:left w:val="none" w:sz="0" w:space="0" w:color="auto"/>
        <w:bottom w:val="none" w:sz="0" w:space="0" w:color="auto"/>
        <w:right w:val="none" w:sz="0" w:space="0" w:color="auto"/>
      </w:divBdr>
    </w:div>
    <w:div w:id="442966063">
      <w:bodyDiv w:val="1"/>
      <w:marLeft w:val="0"/>
      <w:marRight w:val="0"/>
      <w:marTop w:val="0"/>
      <w:marBottom w:val="0"/>
      <w:divBdr>
        <w:top w:val="none" w:sz="0" w:space="0" w:color="auto"/>
        <w:left w:val="none" w:sz="0" w:space="0" w:color="auto"/>
        <w:bottom w:val="none" w:sz="0" w:space="0" w:color="auto"/>
        <w:right w:val="none" w:sz="0" w:space="0" w:color="auto"/>
      </w:divBdr>
    </w:div>
    <w:div w:id="443228507">
      <w:bodyDiv w:val="1"/>
      <w:marLeft w:val="0"/>
      <w:marRight w:val="0"/>
      <w:marTop w:val="0"/>
      <w:marBottom w:val="0"/>
      <w:divBdr>
        <w:top w:val="none" w:sz="0" w:space="0" w:color="auto"/>
        <w:left w:val="none" w:sz="0" w:space="0" w:color="auto"/>
        <w:bottom w:val="none" w:sz="0" w:space="0" w:color="auto"/>
        <w:right w:val="none" w:sz="0" w:space="0" w:color="auto"/>
      </w:divBdr>
    </w:div>
    <w:div w:id="443234126">
      <w:bodyDiv w:val="1"/>
      <w:marLeft w:val="0"/>
      <w:marRight w:val="0"/>
      <w:marTop w:val="0"/>
      <w:marBottom w:val="0"/>
      <w:divBdr>
        <w:top w:val="none" w:sz="0" w:space="0" w:color="auto"/>
        <w:left w:val="none" w:sz="0" w:space="0" w:color="auto"/>
        <w:bottom w:val="none" w:sz="0" w:space="0" w:color="auto"/>
        <w:right w:val="none" w:sz="0" w:space="0" w:color="auto"/>
      </w:divBdr>
    </w:div>
    <w:div w:id="443428162">
      <w:bodyDiv w:val="1"/>
      <w:marLeft w:val="0"/>
      <w:marRight w:val="0"/>
      <w:marTop w:val="0"/>
      <w:marBottom w:val="0"/>
      <w:divBdr>
        <w:top w:val="none" w:sz="0" w:space="0" w:color="auto"/>
        <w:left w:val="none" w:sz="0" w:space="0" w:color="auto"/>
        <w:bottom w:val="none" w:sz="0" w:space="0" w:color="auto"/>
        <w:right w:val="none" w:sz="0" w:space="0" w:color="auto"/>
      </w:divBdr>
    </w:div>
    <w:div w:id="443572203">
      <w:bodyDiv w:val="1"/>
      <w:marLeft w:val="0"/>
      <w:marRight w:val="0"/>
      <w:marTop w:val="0"/>
      <w:marBottom w:val="0"/>
      <w:divBdr>
        <w:top w:val="none" w:sz="0" w:space="0" w:color="auto"/>
        <w:left w:val="none" w:sz="0" w:space="0" w:color="auto"/>
        <w:bottom w:val="none" w:sz="0" w:space="0" w:color="auto"/>
        <w:right w:val="none" w:sz="0" w:space="0" w:color="auto"/>
      </w:divBdr>
    </w:div>
    <w:div w:id="443574785">
      <w:bodyDiv w:val="1"/>
      <w:marLeft w:val="0"/>
      <w:marRight w:val="0"/>
      <w:marTop w:val="0"/>
      <w:marBottom w:val="0"/>
      <w:divBdr>
        <w:top w:val="none" w:sz="0" w:space="0" w:color="auto"/>
        <w:left w:val="none" w:sz="0" w:space="0" w:color="auto"/>
        <w:bottom w:val="none" w:sz="0" w:space="0" w:color="auto"/>
        <w:right w:val="none" w:sz="0" w:space="0" w:color="auto"/>
      </w:divBdr>
    </w:div>
    <w:div w:id="443580030">
      <w:bodyDiv w:val="1"/>
      <w:marLeft w:val="0"/>
      <w:marRight w:val="0"/>
      <w:marTop w:val="0"/>
      <w:marBottom w:val="0"/>
      <w:divBdr>
        <w:top w:val="none" w:sz="0" w:space="0" w:color="auto"/>
        <w:left w:val="none" w:sz="0" w:space="0" w:color="auto"/>
        <w:bottom w:val="none" w:sz="0" w:space="0" w:color="auto"/>
        <w:right w:val="none" w:sz="0" w:space="0" w:color="auto"/>
      </w:divBdr>
    </w:div>
    <w:div w:id="443614477">
      <w:bodyDiv w:val="1"/>
      <w:marLeft w:val="0"/>
      <w:marRight w:val="0"/>
      <w:marTop w:val="0"/>
      <w:marBottom w:val="0"/>
      <w:divBdr>
        <w:top w:val="none" w:sz="0" w:space="0" w:color="auto"/>
        <w:left w:val="none" w:sz="0" w:space="0" w:color="auto"/>
        <w:bottom w:val="none" w:sz="0" w:space="0" w:color="auto"/>
        <w:right w:val="none" w:sz="0" w:space="0" w:color="auto"/>
      </w:divBdr>
    </w:div>
    <w:div w:id="443695186">
      <w:bodyDiv w:val="1"/>
      <w:marLeft w:val="0"/>
      <w:marRight w:val="0"/>
      <w:marTop w:val="0"/>
      <w:marBottom w:val="0"/>
      <w:divBdr>
        <w:top w:val="none" w:sz="0" w:space="0" w:color="auto"/>
        <w:left w:val="none" w:sz="0" w:space="0" w:color="auto"/>
        <w:bottom w:val="none" w:sz="0" w:space="0" w:color="auto"/>
        <w:right w:val="none" w:sz="0" w:space="0" w:color="auto"/>
      </w:divBdr>
    </w:div>
    <w:div w:id="443840604">
      <w:bodyDiv w:val="1"/>
      <w:marLeft w:val="0"/>
      <w:marRight w:val="0"/>
      <w:marTop w:val="0"/>
      <w:marBottom w:val="0"/>
      <w:divBdr>
        <w:top w:val="none" w:sz="0" w:space="0" w:color="auto"/>
        <w:left w:val="none" w:sz="0" w:space="0" w:color="auto"/>
        <w:bottom w:val="none" w:sz="0" w:space="0" w:color="auto"/>
        <w:right w:val="none" w:sz="0" w:space="0" w:color="auto"/>
      </w:divBdr>
    </w:div>
    <w:div w:id="443884596">
      <w:bodyDiv w:val="1"/>
      <w:marLeft w:val="0"/>
      <w:marRight w:val="0"/>
      <w:marTop w:val="0"/>
      <w:marBottom w:val="0"/>
      <w:divBdr>
        <w:top w:val="none" w:sz="0" w:space="0" w:color="auto"/>
        <w:left w:val="none" w:sz="0" w:space="0" w:color="auto"/>
        <w:bottom w:val="none" w:sz="0" w:space="0" w:color="auto"/>
        <w:right w:val="none" w:sz="0" w:space="0" w:color="auto"/>
      </w:divBdr>
    </w:div>
    <w:div w:id="443889378">
      <w:bodyDiv w:val="1"/>
      <w:marLeft w:val="0"/>
      <w:marRight w:val="0"/>
      <w:marTop w:val="0"/>
      <w:marBottom w:val="0"/>
      <w:divBdr>
        <w:top w:val="none" w:sz="0" w:space="0" w:color="auto"/>
        <w:left w:val="none" w:sz="0" w:space="0" w:color="auto"/>
        <w:bottom w:val="none" w:sz="0" w:space="0" w:color="auto"/>
        <w:right w:val="none" w:sz="0" w:space="0" w:color="auto"/>
      </w:divBdr>
    </w:div>
    <w:div w:id="444084534">
      <w:bodyDiv w:val="1"/>
      <w:marLeft w:val="0"/>
      <w:marRight w:val="0"/>
      <w:marTop w:val="0"/>
      <w:marBottom w:val="0"/>
      <w:divBdr>
        <w:top w:val="none" w:sz="0" w:space="0" w:color="auto"/>
        <w:left w:val="none" w:sz="0" w:space="0" w:color="auto"/>
        <w:bottom w:val="none" w:sz="0" w:space="0" w:color="auto"/>
        <w:right w:val="none" w:sz="0" w:space="0" w:color="auto"/>
      </w:divBdr>
    </w:div>
    <w:div w:id="444234918">
      <w:bodyDiv w:val="1"/>
      <w:marLeft w:val="0"/>
      <w:marRight w:val="0"/>
      <w:marTop w:val="0"/>
      <w:marBottom w:val="0"/>
      <w:divBdr>
        <w:top w:val="none" w:sz="0" w:space="0" w:color="auto"/>
        <w:left w:val="none" w:sz="0" w:space="0" w:color="auto"/>
        <w:bottom w:val="none" w:sz="0" w:space="0" w:color="auto"/>
        <w:right w:val="none" w:sz="0" w:space="0" w:color="auto"/>
      </w:divBdr>
    </w:div>
    <w:div w:id="444270765">
      <w:bodyDiv w:val="1"/>
      <w:marLeft w:val="0"/>
      <w:marRight w:val="0"/>
      <w:marTop w:val="0"/>
      <w:marBottom w:val="0"/>
      <w:divBdr>
        <w:top w:val="none" w:sz="0" w:space="0" w:color="auto"/>
        <w:left w:val="none" w:sz="0" w:space="0" w:color="auto"/>
        <w:bottom w:val="none" w:sz="0" w:space="0" w:color="auto"/>
        <w:right w:val="none" w:sz="0" w:space="0" w:color="auto"/>
      </w:divBdr>
    </w:div>
    <w:div w:id="444691265">
      <w:bodyDiv w:val="1"/>
      <w:marLeft w:val="0"/>
      <w:marRight w:val="0"/>
      <w:marTop w:val="0"/>
      <w:marBottom w:val="0"/>
      <w:divBdr>
        <w:top w:val="none" w:sz="0" w:space="0" w:color="auto"/>
        <w:left w:val="none" w:sz="0" w:space="0" w:color="auto"/>
        <w:bottom w:val="none" w:sz="0" w:space="0" w:color="auto"/>
        <w:right w:val="none" w:sz="0" w:space="0" w:color="auto"/>
      </w:divBdr>
    </w:div>
    <w:div w:id="444813616">
      <w:bodyDiv w:val="1"/>
      <w:marLeft w:val="0"/>
      <w:marRight w:val="0"/>
      <w:marTop w:val="0"/>
      <w:marBottom w:val="0"/>
      <w:divBdr>
        <w:top w:val="none" w:sz="0" w:space="0" w:color="auto"/>
        <w:left w:val="none" w:sz="0" w:space="0" w:color="auto"/>
        <w:bottom w:val="none" w:sz="0" w:space="0" w:color="auto"/>
        <w:right w:val="none" w:sz="0" w:space="0" w:color="auto"/>
      </w:divBdr>
    </w:div>
    <w:div w:id="444924903">
      <w:bodyDiv w:val="1"/>
      <w:marLeft w:val="0"/>
      <w:marRight w:val="0"/>
      <w:marTop w:val="0"/>
      <w:marBottom w:val="0"/>
      <w:divBdr>
        <w:top w:val="none" w:sz="0" w:space="0" w:color="auto"/>
        <w:left w:val="none" w:sz="0" w:space="0" w:color="auto"/>
        <w:bottom w:val="none" w:sz="0" w:space="0" w:color="auto"/>
        <w:right w:val="none" w:sz="0" w:space="0" w:color="auto"/>
      </w:divBdr>
    </w:div>
    <w:div w:id="444928576">
      <w:bodyDiv w:val="1"/>
      <w:marLeft w:val="0"/>
      <w:marRight w:val="0"/>
      <w:marTop w:val="0"/>
      <w:marBottom w:val="0"/>
      <w:divBdr>
        <w:top w:val="none" w:sz="0" w:space="0" w:color="auto"/>
        <w:left w:val="none" w:sz="0" w:space="0" w:color="auto"/>
        <w:bottom w:val="none" w:sz="0" w:space="0" w:color="auto"/>
        <w:right w:val="none" w:sz="0" w:space="0" w:color="auto"/>
      </w:divBdr>
    </w:div>
    <w:div w:id="444929889">
      <w:bodyDiv w:val="1"/>
      <w:marLeft w:val="0"/>
      <w:marRight w:val="0"/>
      <w:marTop w:val="0"/>
      <w:marBottom w:val="0"/>
      <w:divBdr>
        <w:top w:val="none" w:sz="0" w:space="0" w:color="auto"/>
        <w:left w:val="none" w:sz="0" w:space="0" w:color="auto"/>
        <w:bottom w:val="none" w:sz="0" w:space="0" w:color="auto"/>
        <w:right w:val="none" w:sz="0" w:space="0" w:color="auto"/>
      </w:divBdr>
    </w:div>
    <w:div w:id="444931939">
      <w:bodyDiv w:val="1"/>
      <w:marLeft w:val="0"/>
      <w:marRight w:val="0"/>
      <w:marTop w:val="0"/>
      <w:marBottom w:val="0"/>
      <w:divBdr>
        <w:top w:val="none" w:sz="0" w:space="0" w:color="auto"/>
        <w:left w:val="none" w:sz="0" w:space="0" w:color="auto"/>
        <w:bottom w:val="none" w:sz="0" w:space="0" w:color="auto"/>
        <w:right w:val="none" w:sz="0" w:space="0" w:color="auto"/>
      </w:divBdr>
    </w:div>
    <w:div w:id="445004960">
      <w:bodyDiv w:val="1"/>
      <w:marLeft w:val="0"/>
      <w:marRight w:val="0"/>
      <w:marTop w:val="0"/>
      <w:marBottom w:val="0"/>
      <w:divBdr>
        <w:top w:val="none" w:sz="0" w:space="0" w:color="auto"/>
        <w:left w:val="none" w:sz="0" w:space="0" w:color="auto"/>
        <w:bottom w:val="none" w:sz="0" w:space="0" w:color="auto"/>
        <w:right w:val="none" w:sz="0" w:space="0" w:color="auto"/>
      </w:divBdr>
    </w:div>
    <w:div w:id="445122655">
      <w:bodyDiv w:val="1"/>
      <w:marLeft w:val="0"/>
      <w:marRight w:val="0"/>
      <w:marTop w:val="0"/>
      <w:marBottom w:val="0"/>
      <w:divBdr>
        <w:top w:val="none" w:sz="0" w:space="0" w:color="auto"/>
        <w:left w:val="none" w:sz="0" w:space="0" w:color="auto"/>
        <w:bottom w:val="none" w:sz="0" w:space="0" w:color="auto"/>
        <w:right w:val="none" w:sz="0" w:space="0" w:color="auto"/>
      </w:divBdr>
    </w:div>
    <w:div w:id="445152589">
      <w:bodyDiv w:val="1"/>
      <w:marLeft w:val="0"/>
      <w:marRight w:val="0"/>
      <w:marTop w:val="0"/>
      <w:marBottom w:val="0"/>
      <w:divBdr>
        <w:top w:val="none" w:sz="0" w:space="0" w:color="auto"/>
        <w:left w:val="none" w:sz="0" w:space="0" w:color="auto"/>
        <w:bottom w:val="none" w:sz="0" w:space="0" w:color="auto"/>
        <w:right w:val="none" w:sz="0" w:space="0" w:color="auto"/>
      </w:divBdr>
    </w:div>
    <w:div w:id="445271064">
      <w:bodyDiv w:val="1"/>
      <w:marLeft w:val="0"/>
      <w:marRight w:val="0"/>
      <w:marTop w:val="0"/>
      <w:marBottom w:val="0"/>
      <w:divBdr>
        <w:top w:val="none" w:sz="0" w:space="0" w:color="auto"/>
        <w:left w:val="none" w:sz="0" w:space="0" w:color="auto"/>
        <w:bottom w:val="none" w:sz="0" w:space="0" w:color="auto"/>
        <w:right w:val="none" w:sz="0" w:space="0" w:color="auto"/>
      </w:divBdr>
    </w:div>
    <w:div w:id="445277280">
      <w:bodyDiv w:val="1"/>
      <w:marLeft w:val="0"/>
      <w:marRight w:val="0"/>
      <w:marTop w:val="0"/>
      <w:marBottom w:val="0"/>
      <w:divBdr>
        <w:top w:val="none" w:sz="0" w:space="0" w:color="auto"/>
        <w:left w:val="none" w:sz="0" w:space="0" w:color="auto"/>
        <w:bottom w:val="none" w:sz="0" w:space="0" w:color="auto"/>
        <w:right w:val="none" w:sz="0" w:space="0" w:color="auto"/>
      </w:divBdr>
    </w:div>
    <w:div w:id="445345991">
      <w:bodyDiv w:val="1"/>
      <w:marLeft w:val="0"/>
      <w:marRight w:val="0"/>
      <w:marTop w:val="0"/>
      <w:marBottom w:val="0"/>
      <w:divBdr>
        <w:top w:val="none" w:sz="0" w:space="0" w:color="auto"/>
        <w:left w:val="none" w:sz="0" w:space="0" w:color="auto"/>
        <w:bottom w:val="none" w:sz="0" w:space="0" w:color="auto"/>
        <w:right w:val="none" w:sz="0" w:space="0" w:color="auto"/>
      </w:divBdr>
    </w:div>
    <w:div w:id="445468255">
      <w:bodyDiv w:val="1"/>
      <w:marLeft w:val="0"/>
      <w:marRight w:val="0"/>
      <w:marTop w:val="0"/>
      <w:marBottom w:val="0"/>
      <w:divBdr>
        <w:top w:val="none" w:sz="0" w:space="0" w:color="auto"/>
        <w:left w:val="none" w:sz="0" w:space="0" w:color="auto"/>
        <w:bottom w:val="none" w:sz="0" w:space="0" w:color="auto"/>
        <w:right w:val="none" w:sz="0" w:space="0" w:color="auto"/>
      </w:divBdr>
    </w:div>
    <w:div w:id="445514025">
      <w:bodyDiv w:val="1"/>
      <w:marLeft w:val="0"/>
      <w:marRight w:val="0"/>
      <w:marTop w:val="0"/>
      <w:marBottom w:val="0"/>
      <w:divBdr>
        <w:top w:val="none" w:sz="0" w:space="0" w:color="auto"/>
        <w:left w:val="none" w:sz="0" w:space="0" w:color="auto"/>
        <w:bottom w:val="none" w:sz="0" w:space="0" w:color="auto"/>
        <w:right w:val="none" w:sz="0" w:space="0" w:color="auto"/>
      </w:divBdr>
    </w:div>
    <w:div w:id="445588274">
      <w:bodyDiv w:val="1"/>
      <w:marLeft w:val="0"/>
      <w:marRight w:val="0"/>
      <w:marTop w:val="0"/>
      <w:marBottom w:val="0"/>
      <w:divBdr>
        <w:top w:val="none" w:sz="0" w:space="0" w:color="auto"/>
        <w:left w:val="none" w:sz="0" w:space="0" w:color="auto"/>
        <w:bottom w:val="none" w:sz="0" w:space="0" w:color="auto"/>
        <w:right w:val="none" w:sz="0" w:space="0" w:color="auto"/>
      </w:divBdr>
    </w:div>
    <w:div w:id="445589503">
      <w:bodyDiv w:val="1"/>
      <w:marLeft w:val="0"/>
      <w:marRight w:val="0"/>
      <w:marTop w:val="0"/>
      <w:marBottom w:val="0"/>
      <w:divBdr>
        <w:top w:val="none" w:sz="0" w:space="0" w:color="auto"/>
        <w:left w:val="none" w:sz="0" w:space="0" w:color="auto"/>
        <w:bottom w:val="none" w:sz="0" w:space="0" w:color="auto"/>
        <w:right w:val="none" w:sz="0" w:space="0" w:color="auto"/>
      </w:divBdr>
    </w:div>
    <w:div w:id="445661827">
      <w:bodyDiv w:val="1"/>
      <w:marLeft w:val="0"/>
      <w:marRight w:val="0"/>
      <w:marTop w:val="0"/>
      <w:marBottom w:val="0"/>
      <w:divBdr>
        <w:top w:val="none" w:sz="0" w:space="0" w:color="auto"/>
        <w:left w:val="none" w:sz="0" w:space="0" w:color="auto"/>
        <w:bottom w:val="none" w:sz="0" w:space="0" w:color="auto"/>
        <w:right w:val="none" w:sz="0" w:space="0" w:color="auto"/>
      </w:divBdr>
    </w:div>
    <w:div w:id="445738935">
      <w:bodyDiv w:val="1"/>
      <w:marLeft w:val="0"/>
      <w:marRight w:val="0"/>
      <w:marTop w:val="0"/>
      <w:marBottom w:val="0"/>
      <w:divBdr>
        <w:top w:val="none" w:sz="0" w:space="0" w:color="auto"/>
        <w:left w:val="none" w:sz="0" w:space="0" w:color="auto"/>
        <w:bottom w:val="none" w:sz="0" w:space="0" w:color="auto"/>
        <w:right w:val="none" w:sz="0" w:space="0" w:color="auto"/>
      </w:divBdr>
    </w:div>
    <w:div w:id="445740458">
      <w:bodyDiv w:val="1"/>
      <w:marLeft w:val="0"/>
      <w:marRight w:val="0"/>
      <w:marTop w:val="0"/>
      <w:marBottom w:val="0"/>
      <w:divBdr>
        <w:top w:val="none" w:sz="0" w:space="0" w:color="auto"/>
        <w:left w:val="none" w:sz="0" w:space="0" w:color="auto"/>
        <w:bottom w:val="none" w:sz="0" w:space="0" w:color="auto"/>
        <w:right w:val="none" w:sz="0" w:space="0" w:color="auto"/>
      </w:divBdr>
    </w:div>
    <w:div w:id="445778001">
      <w:bodyDiv w:val="1"/>
      <w:marLeft w:val="0"/>
      <w:marRight w:val="0"/>
      <w:marTop w:val="0"/>
      <w:marBottom w:val="0"/>
      <w:divBdr>
        <w:top w:val="none" w:sz="0" w:space="0" w:color="auto"/>
        <w:left w:val="none" w:sz="0" w:space="0" w:color="auto"/>
        <w:bottom w:val="none" w:sz="0" w:space="0" w:color="auto"/>
        <w:right w:val="none" w:sz="0" w:space="0" w:color="auto"/>
      </w:divBdr>
    </w:div>
    <w:div w:id="445806687">
      <w:bodyDiv w:val="1"/>
      <w:marLeft w:val="0"/>
      <w:marRight w:val="0"/>
      <w:marTop w:val="0"/>
      <w:marBottom w:val="0"/>
      <w:divBdr>
        <w:top w:val="none" w:sz="0" w:space="0" w:color="auto"/>
        <w:left w:val="none" w:sz="0" w:space="0" w:color="auto"/>
        <w:bottom w:val="none" w:sz="0" w:space="0" w:color="auto"/>
        <w:right w:val="none" w:sz="0" w:space="0" w:color="auto"/>
      </w:divBdr>
    </w:div>
    <w:div w:id="445931938">
      <w:bodyDiv w:val="1"/>
      <w:marLeft w:val="0"/>
      <w:marRight w:val="0"/>
      <w:marTop w:val="0"/>
      <w:marBottom w:val="0"/>
      <w:divBdr>
        <w:top w:val="none" w:sz="0" w:space="0" w:color="auto"/>
        <w:left w:val="none" w:sz="0" w:space="0" w:color="auto"/>
        <w:bottom w:val="none" w:sz="0" w:space="0" w:color="auto"/>
        <w:right w:val="none" w:sz="0" w:space="0" w:color="auto"/>
      </w:divBdr>
    </w:div>
    <w:div w:id="446244881">
      <w:bodyDiv w:val="1"/>
      <w:marLeft w:val="0"/>
      <w:marRight w:val="0"/>
      <w:marTop w:val="0"/>
      <w:marBottom w:val="0"/>
      <w:divBdr>
        <w:top w:val="none" w:sz="0" w:space="0" w:color="auto"/>
        <w:left w:val="none" w:sz="0" w:space="0" w:color="auto"/>
        <w:bottom w:val="none" w:sz="0" w:space="0" w:color="auto"/>
        <w:right w:val="none" w:sz="0" w:space="0" w:color="auto"/>
      </w:divBdr>
    </w:div>
    <w:div w:id="446511008">
      <w:bodyDiv w:val="1"/>
      <w:marLeft w:val="0"/>
      <w:marRight w:val="0"/>
      <w:marTop w:val="0"/>
      <w:marBottom w:val="0"/>
      <w:divBdr>
        <w:top w:val="none" w:sz="0" w:space="0" w:color="auto"/>
        <w:left w:val="none" w:sz="0" w:space="0" w:color="auto"/>
        <w:bottom w:val="none" w:sz="0" w:space="0" w:color="auto"/>
        <w:right w:val="none" w:sz="0" w:space="0" w:color="auto"/>
      </w:divBdr>
    </w:div>
    <w:div w:id="446511013">
      <w:bodyDiv w:val="1"/>
      <w:marLeft w:val="0"/>
      <w:marRight w:val="0"/>
      <w:marTop w:val="0"/>
      <w:marBottom w:val="0"/>
      <w:divBdr>
        <w:top w:val="none" w:sz="0" w:space="0" w:color="auto"/>
        <w:left w:val="none" w:sz="0" w:space="0" w:color="auto"/>
        <w:bottom w:val="none" w:sz="0" w:space="0" w:color="auto"/>
        <w:right w:val="none" w:sz="0" w:space="0" w:color="auto"/>
      </w:divBdr>
    </w:div>
    <w:div w:id="446697595">
      <w:bodyDiv w:val="1"/>
      <w:marLeft w:val="0"/>
      <w:marRight w:val="0"/>
      <w:marTop w:val="0"/>
      <w:marBottom w:val="0"/>
      <w:divBdr>
        <w:top w:val="none" w:sz="0" w:space="0" w:color="auto"/>
        <w:left w:val="none" w:sz="0" w:space="0" w:color="auto"/>
        <w:bottom w:val="none" w:sz="0" w:space="0" w:color="auto"/>
        <w:right w:val="none" w:sz="0" w:space="0" w:color="auto"/>
      </w:divBdr>
    </w:div>
    <w:div w:id="446701578">
      <w:bodyDiv w:val="1"/>
      <w:marLeft w:val="0"/>
      <w:marRight w:val="0"/>
      <w:marTop w:val="0"/>
      <w:marBottom w:val="0"/>
      <w:divBdr>
        <w:top w:val="none" w:sz="0" w:space="0" w:color="auto"/>
        <w:left w:val="none" w:sz="0" w:space="0" w:color="auto"/>
        <w:bottom w:val="none" w:sz="0" w:space="0" w:color="auto"/>
        <w:right w:val="none" w:sz="0" w:space="0" w:color="auto"/>
      </w:divBdr>
    </w:div>
    <w:div w:id="446779727">
      <w:bodyDiv w:val="1"/>
      <w:marLeft w:val="0"/>
      <w:marRight w:val="0"/>
      <w:marTop w:val="0"/>
      <w:marBottom w:val="0"/>
      <w:divBdr>
        <w:top w:val="none" w:sz="0" w:space="0" w:color="auto"/>
        <w:left w:val="none" w:sz="0" w:space="0" w:color="auto"/>
        <w:bottom w:val="none" w:sz="0" w:space="0" w:color="auto"/>
        <w:right w:val="none" w:sz="0" w:space="0" w:color="auto"/>
      </w:divBdr>
    </w:div>
    <w:div w:id="446853311">
      <w:bodyDiv w:val="1"/>
      <w:marLeft w:val="0"/>
      <w:marRight w:val="0"/>
      <w:marTop w:val="0"/>
      <w:marBottom w:val="0"/>
      <w:divBdr>
        <w:top w:val="none" w:sz="0" w:space="0" w:color="auto"/>
        <w:left w:val="none" w:sz="0" w:space="0" w:color="auto"/>
        <w:bottom w:val="none" w:sz="0" w:space="0" w:color="auto"/>
        <w:right w:val="none" w:sz="0" w:space="0" w:color="auto"/>
      </w:divBdr>
    </w:div>
    <w:div w:id="446893444">
      <w:bodyDiv w:val="1"/>
      <w:marLeft w:val="0"/>
      <w:marRight w:val="0"/>
      <w:marTop w:val="0"/>
      <w:marBottom w:val="0"/>
      <w:divBdr>
        <w:top w:val="none" w:sz="0" w:space="0" w:color="auto"/>
        <w:left w:val="none" w:sz="0" w:space="0" w:color="auto"/>
        <w:bottom w:val="none" w:sz="0" w:space="0" w:color="auto"/>
        <w:right w:val="none" w:sz="0" w:space="0" w:color="auto"/>
      </w:divBdr>
    </w:div>
    <w:div w:id="446974375">
      <w:bodyDiv w:val="1"/>
      <w:marLeft w:val="0"/>
      <w:marRight w:val="0"/>
      <w:marTop w:val="0"/>
      <w:marBottom w:val="0"/>
      <w:divBdr>
        <w:top w:val="none" w:sz="0" w:space="0" w:color="auto"/>
        <w:left w:val="none" w:sz="0" w:space="0" w:color="auto"/>
        <w:bottom w:val="none" w:sz="0" w:space="0" w:color="auto"/>
        <w:right w:val="none" w:sz="0" w:space="0" w:color="auto"/>
      </w:divBdr>
    </w:div>
    <w:div w:id="447043181">
      <w:bodyDiv w:val="1"/>
      <w:marLeft w:val="0"/>
      <w:marRight w:val="0"/>
      <w:marTop w:val="0"/>
      <w:marBottom w:val="0"/>
      <w:divBdr>
        <w:top w:val="none" w:sz="0" w:space="0" w:color="auto"/>
        <w:left w:val="none" w:sz="0" w:space="0" w:color="auto"/>
        <w:bottom w:val="none" w:sz="0" w:space="0" w:color="auto"/>
        <w:right w:val="none" w:sz="0" w:space="0" w:color="auto"/>
      </w:divBdr>
    </w:div>
    <w:div w:id="447047720">
      <w:bodyDiv w:val="1"/>
      <w:marLeft w:val="0"/>
      <w:marRight w:val="0"/>
      <w:marTop w:val="0"/>
      <w:marBottom w:val="0"/>
      <w:divBdr>
        <w:top w:val="none" w:sz="0" w:space="0" w:color="auto"/>
        <w:left w:val="none" w:sz="0" w:space="0" w:color="auto"/>
        <w:bottom w:val="none" w:sz="0" w:space="0" w:color="auto"/>
        <w:right w:val="none" w:sz="0" w:space="0" w:color="auto"/>
      </w:divBdr>
    </w:div>
    <w:div w:id="447091767">
      <w:bodyDiv w:val="1"/>
      <w:marLeft w:val="0"/>
      <w:marRight w:val="0"/>
      <w:marTop w:val="0"/>
      <w:marBottom w:val="0"/>
      <w:divBdr>
        <w:top w:val="none" w:sz="0" w:space="0" w:color="auto"/>
        <w:left w:val="none" w:sz="0" w:space="0" w:color="auto"/>
        <w:bottom w:val="none" w:sz="0" w:space="0" w:color="auto"/>
        <w:right w:val="none" w:sz="0" w:space="0" w:color="auto"/>
      </w:divBdr>
    </w:div>
    <w:div w:id="447313968">
      <w:bodyDiv w:val="1"/>
      <w:marLeft w:val="0"/>
      <w:marRight w:val="0"/>
      <w:marTop w:val="0"/>
      <w:marBottom w:val="0"/>
      <w:divBdr>
        <w:top w:val="none" w:sz="0" w:space="0" w:color="auto"/>
        <w:left w:val="none" w:sz="0" w:space="0" w:color="auto"/>
        <w:bottom w:val="none" w:sz="0" w:space="0" w:color="auto"/>
        <w:right w:val="none" w:sz="0" w:space="0" w:color="auto"/>
      </w:divBdr>
    </w:div>
    <w:div w:id="447506036">
      <w:bodyDiv w:val="1"/>
      <w:marLeft w:val="0"/>
      <w:marRight w:val="0"/>
      <w:marTop w:val="0"/>
      <w:marBottom w:val="0"/>
      <w:divBdr>
        <w:top w:val="none" w:sz="0" w:space="0" w:color="auto"/>
        <w:left w:val="none" w:sz="0" w:space="0" w:color="auto"/>
        <w:bottom w:val="none" w:sz="0" w:space="0" w:color="auto"/>
        <w:right w:val="none" w:sz="0" w:space="0" w:color="auto"/>
      </w:divBdr>
    </w:div>
    <w:div w:id="447548548">
      <w:bodyDiv w:val="1"/>
      <w:marLeft w:val="0"/>
      <w:marRight w:val="0"/>
      <w:marTop w:val="0"/>
      <w:marBottom w:val="0"/>
      <w:divBdr>
        <w:top w:val="none" w:sz="0" w:space="0" w:color="auto"/>
        <w:left w:val="none" w:sz="0" w:space="0" w:color="auto"/>
        <w:bottom w:val="none" w:sz="0" w:space="0" w:color="auto"/>
        <w:right w:val="none" w:sz="0" w:space="0" w:color="auto"/>
      </w:divBdr>
    </w:div>
    <w:div w:id="447551194">
      <w:bodyDiv w:val="1"/>
      <w:marLeft w:val="0"/>
      <w:marRight w:val="0"/>
      <w:marTop w:val="0"/>
      <w:marBottom w:val="0"/>
      <w:divBdr>
        <w:top w:val="none" w:sz="0" w:space="0" w:color="auto"/>
        <w:left w:val="none" w:sz="0" w:space="0" w:color="auto"/>
        <w:bottom w:val="none" w:sz="0" w:space="0" w:color="auto"/>
        <w:right w:val="none" w:sz="0" w:space="0" w:color="auto"/>
      </w:divBdr>
    </w:div>
    <w:div w:id="447699322">
      <w:bodyDiv w:val="1"/>
      <w:marLeft w:val="0"/>
      <w:marRight w:val="0"/>
      <w:marTop w:val="0"/>
      <w:marBottom w:val="0"/>
      <w:divBdr>
        <w:top w:val="none" w:sz="0" w:space="0" w:color="auto"/>
        <w:left w:val="none" w:sz="0" w:space="0" w:color="auto"/>
        <w:bottom w:val="none" w:sz="0" w:space="0" w:color="auto"/>
        <w:right w:val="none" w:sz="0" w:space="0" w:color="auto"/>
      </w:divBdr>
    </w:div>
    <w:div w:id="447823667">
      <w:bodyDiv w:val="1"/>
      <w:marLeft w:val="0"/>
      <w:marRight w:val="0"/>
      <w:marTop w:val="0"/>
      <w:marBottom w:val="0"/>
      <w:divBdr>
        <w:top w:val="none" w:sz="0" w:space="0" w:color="auto"/>
        <w:left w:val="none" w:sz="0" w:space="0" w:color="auto"/>
        <w:bottom w:val="none" w:sz="0" w:space="0" w:color="auto"/>
        <w:right w:val="none" w:sz="0" w:space="0" w:color="auto"/>
      </w:divBdr>
    </w:div>
    <w:div w:id="447969265">
      <w:bodyDiv w:val="1"/>
      <w:marLeft w:val="0"/>
      <w:marRight w:val="0"/>
      <w:marTop w:val="0"/>
      <w:marBottom w:val="0"/>
      <w:divBdr>
        <w:top w:val="none" w:sz="0" w:space="0" w:color="auto"/>
        <w:left w:val="none" w:sz="0" w:space="0" w:color="auto"/>
        <w:bottom w:val="none" w:sz="0" w:space="0" w:color="auto"/>
        <w:right w:val="none" w:sz="0" w:space="0" w:color="auto"/>
      </w:divBdr>
    </w:div>
    <w:div w:id="448278412">
      <w:bodyDiv w:val="1"/>
      <w:marLeft w:val="0"/>
      <w:marRight w:val="0"/>
      <w:marTop w:val="0"/>
      <w:marBottom w:val="0"/>
      <w:divBdr>
        <w:top w:val="none" w:sz="0" w:space="0" w:color="auto"/>
        <w:left w:val="none" w:sz="0" w:space="0" w:color="auto"/>
        <w:bottom w:val="none" w:sz="0" w:space="0" w:color="auto"/>
        <w:right w:val="none" w:sz="0" w:space="0" w:color="auto"/>
      </w:divBdr>
    </w:div>
    <w:div w:id="448284486">
      <w:bodyDiv w:val="1"/>
      <w:marLeft w:val="0"/>
      <w:marRight w:val="0"/>
      <w:marTop w:val="0"/>
      <w:marBottom w:val="0"/>
      <w:divBdr>
        <w:top w:val="none" w:sz="0" w:space="0" w:color="auto"/>
        <w:left w:val="none" w:sz="0" w:space="0" w:color="auto"/>
        <w:bottom w:val="none" w:sz="0" w:space="0" w:color="auto"/>
        <w:right w:val="none" w:sz="0" w:space="0" w:color="auto"/>
      </w:divBdr>
    </w:div>
    <w:div w:id="448284562">
      <w:bodyDiv w:val="1"/>
      <w:marLeft w:val="0"/>
      <w:marRight w:val="0"/>
      <w:marTop w:val="0"/>
      <w:marBottom w:val="0"/>
      <w:divBdr>
        <w:top w:val="none" w:sz="0" w:space="0" w:color="auto"/>
        <w:left w:val="none" w:sz="0" w:space="0" w:color="auto"/>
        <w:bottom w:val="none" w:sz="0" w:space="0" w:color="auto"/>
        <w:right w:val="none" w:sz="0" w:space="0" w:color="auto"/>
      </w:divBdr>
    </w:div>
    <w:div w:id="448400452">
      <w:bodyDiv w:val="1"/>
      <w:marLeft w:val="0"/>
      <w:marRight w:val="0"/>
      <w:marTop w:val="0"/>
      <w:marBottom w:val="0"/>
      <w:divBdr>
        <w:top w:val="none" w:sz="0" w:space="0" w:color="auto"/>
        <w:left w:val="none" w:sz="0" w:space="0" w:color="auto"/>
        <w:bottom w:val="none" w:sz="0" w:space="0" w:color="auto"/>
        <w:right w:val="none" w:sz="0" w:space="0" w:color="auto"/>
      </w:divBdr>
    </w:div>
    <w:div w:id="448402132">
      <w:bodyDiv w:val="1"/>
      <w:marLeft w:val="0"/>
      <w:marRight w:val="0"/>
      <w:marTop w:val="0"/>
      <w:marBottom w:val="0"/>
      <w:divBdr>
        <w:top w:val="none" w:sz="0" w:space="0" w:color="auto"/>
        <w:left w:val="none" w:sz="0" w:space="0" w:color="auto"/>
        <w:bottom w:val="none" w:sz="0" w:space="0" w:color="auto"/>
        <w:right w:val="none" w:sz="0" w:space="0" w:color="auto"/>
      </w:divBdr>
    </w:div>
    <w:div w:id="448595849">
      <w:bodyDiv w:val="1"/>
      <w:marLeft w:val="0"/>
      <w:marRight w:val="0"/>
      <w:marTop w:val="0"/>
      <w:marBottom w:val="0"/>
      <w:divBdr>
        <w:top w:val="none" w:sz="0" w:space="0" w:color="auto"/>
        <w:left w:val="none" w:sz="0" w:space="0" w:color="auto"/>
        <w:bottom w:val="none" w:sz="0" w:space="0" w:color="auto"/>
        <w:right w:val="none" w:sz="0" w:space="0" w:color="auto"/>
      </w:divBdr>
    </w:div>
    <w:div w:id="448745914">
      <w:bodyDiv w:val="1"/>
      <w:marLeft w:val="0"/>
      <w:marRight w:val="0"/>
      <w:marTop w:val="0"/>
      <w:marBottom w:val="0"/>
      <w:divBdr>
        <w:top w:val="none" w:sz="0" w:space="0" w:color="auto"/>
        <w:left w:val="none" w:sz="0" w:space="0" w:color="auto"/>
        <w:bottom w:val="none" w:sz="0" w:space="0" w:color="auto"/>
        <w:right w:val="none" w:sz="0" w:space="0" w:color="auto"/>
      </w:divBdr>
    </w:div>
    <w:div w:id="448820855">
      <w:bodyDiv w:val="1"/>
      <w:marLeft w:val="0"/>
      <w:marRight w:val="0"/>
      <w:marTop w:val="0"/>
      <w:marBottom w:val="0"/>
      <w:divBdr>
        <w:top w:val="none" w:sz="0" w:space="0" w:color="auto"/>
        <w:left w:val="none" w:sz="0" w:space="0" w:color="auto"/>
        <w:bottom w:val="none" w:sz="0" w:space="0" w:color="auto"/>
        <w:right w:val="none" w:sz="0" w:space="0" w:color="auto"/>
      </w:divBdr>
    </w:div>
    <w:div w:id="449083493">
      <w:bodyDiv w:val="1"/>
      <w:marLeft w:val="0"/>
      <w:marRight w:val="0"/>
      <w:marTop w:val="0"/>
      <w:marBottom w:val="0"/>
      <w:divBdr>
        <w:top w:val="none" w:sz="0" w:space="0" w:color="auto"/>
        <w:left w:val="none" w:sz="0" w:space="0" w:color="auto"/>
        <w:bottom w:val="none" w:sz="0" w:space="0" w:color="auto"/>
        <w:right w:val="none" w:sz="0" w:space="0" w:color="auto"/>
      </w:divBdr>
    </w:div>
    <w:div w:id="449130773">
      <w:bodyDiv w:val="1"/>
      <w:marLeft w:val="0"/>
      <w:marRight w:val="0"/>
      <w:marTop w:val="0"/>
      <w:marBottom w:val="0"/>
      <w:divBdr>
        <w:top w:val="none" w:sz="0" w:space="0" w:color="auto"/>
        <w:left w:val="none" w:sz="0" w:space="0" w:color="auto"/>
        <w:bottom w:val="none" w:sz="0" w:space="0" w:color="auto"/>
        <w:right w:val="none" w:sz="0" w:space="0" w:color="auto"/>
      </w:divBdr>
    </w:div>
    <w:div w:id="449278169">
      <w:bodyDiv w:val="1"/>
      <w:marLeft w:val="0"/>
      <w:marRight w:val="0"/>
      <w:marTop w:val="0"/>
      <w:marBottom w:val="0"/>
      <w:divBdr>
        <w:top w:val="none" w:sz="0" w:space="0" w:color="auto"/>
        <w:left w:val="none" w:sz="0" w:space="0" w:color="auto"/>
        <w:bottom w:val="none" w:sz="0" w:space="0" w:color="auto"/>
        <w:right w:val="none" w:sz="0" w:space="0" w:color="auto"/>
      </w:divBdr>
    </w:div>
    <w:div w:id="449595947">
      <w:bodyDiv w:val="1"/>
      <w:marLeft w:val="0"/>
      <w:marRight w:val="0"/>
      <w:marTop w:val="0"/>
      <w:marBottom w:val="0"/>
      <w:divBdr>
        <w:top w:val="none" w:sz="0" w:space="0" w:color="auto"/>
        <w:left w:val="none" w:sz="0" w:space="0" w:color="auto"/>
        <w:bottom w:val="none" w:sz="0" w:space="0" w:color="auto"/>
        <w:right w:val="none" w:sz="0" w:space="0" w:color="auto"/>
      </w:divBdr>
    </w:div>
    <w:div w:id="449667932">
      <w:bodyDiv w:val="1"/>
      <w:marLeft w:val="0"/>
      <w:marRight w:val="0"/>
      <w:marTop w:val="0"/>
      <w:marBottom w:val="0"/>
      <w:divBdr>
        <w:top w:val="none" w:sz="0" w:space="0" w:color="auto"/>
        <w:left w:val="none" w:sz="0" w:space="0" w:color="auto"/>
        <w:bottom w:val="none" w:sz="0" w:space="0" w:color="auto"/>
        <w:right w:val="none" w:sz="0" w:space="0" w:color="auto"/>
      </w:divBdr>
    </w:div>
    <w:div w:id="449782174">
      <w:bodyDiv w:val="1"/>
      <w:marLeft w:val="0"/>
      <w:marRight w:val="0"/>
      <w:marTop w:val="0"/>
      <w:marBottom w:val="0"/>
      <w:divBdr>
        <w:top w:val="none" w:sz="0" w:space="0" w:color="auto"/>
        <w:left w:val="none" w:sz="0" w:space="0" w:color="auto"/>
        <w:bottom w:val="none" w:sz="0" w:space="0" w:color="auto"/>
        <w:right w:val="none" w:sz="0" w:space="0" w:color="auto"/>
      </w:divBdr>
    </w:div>
    <w:div w:id="449932218">
      <w:bodyDiv w:val="1"/>
      <w:marLeft w:val="0"/>
      <w:marRight w:val="0"/>
      <w:marTop w:val="0"/>
      <w:marBottom w:val="0"/>
      <w:divBdr>
        <w:top w:val="none" w:sz="0" w:space="0" w:color="auto"/>
        <w:left w:val="none" w:sz="0" w:space="0" w:color="auto"/>
        <w:bottom w:val="none" w:sz="0" w:space="0" w:color="auto"/>
        <w:right w:val="none" w:sz="0" w:space="0" w:color="auto"/>
      </w:divBdr>
    </w:div>
    <w:div w:id="450321792">
      <w:bodyDiv w:val="1"/>
      <w:marLeft w:val="0"/>
      <w:marRight w:val="0"/>
      <w:marTop w:val="0"/>
      <w:marBottom w:val="0"/>
      <w:divBdr>
        <w:top w:val="none" w:sz="0" w:space="0" w:color="auto"/>
        <w:left w:val="none" w:sz="0" w:space="0" w:color="auto"/>
        <w:bottom w:val="none" w:sz="0" w:space="0" w:color="auto"/>
        <w:right w:val="none" w:sz="0" w:space="0" w:color="auto"/>
      </w:divBdr>
    </w:div>
    <w:div w:id="450514797">
      <w:bodyDiv w:val="1"/>
      <w:marLeft w:val="0"/>
      <w:marRight w:val="0"/>
      <w:marTop w:val="0"/>
      <w:marBottom w:val="0"/>
      <w:divBdr>
        <w:top w:val="none" w:sz="0" w:space="0" w:color="auto"/>
        <w:left w:val="none" w:sz="0" w:space="0" w:color="auto"/>
        <w:bottom w:val="none" w:sz="0" w:space="0" w:color="auto"/>
        <w:right w:val="none" w:sz="0" w:space="0" w:color="auto"/>
      </w:divBdr>
    </w:div>
    <w:div w:id="450560680">
      <w:bodyDiv w:val="1"/>
      <w:marLeft w:val="0"/>
      <w:marRight w:val="0"/>
      <w:marTop w:val="0"/>
      <w:marBottom w:val="0"/>
      <w:divBdr>
        <w:top w:val="none" w:sz="0" w:space="0" w:color="auto"/>
        <w:left w:val="none" w:sz="0" w:space="0" w:color="auto"/>
        <w:bottom w:val="none" w:sz="0" w:space="0" w:color="auto"/>
        <w:right w:val="none" w:sz="0" w:space="0" w:color="auto"/>
      </w:divBdr>
    </w:div>
    <w:div w:id="450628897">
      <w:bodyDiv w:val="1"/>
      <w:marLeft w:val="0"/>
      <w:marRight w:val="0"/>
      <w:marTop w:val="0"/>
      <w:marBottom w:val="0"/>
      <w:divBdr>
        <w:top w:val="none" w:sz="0" w:space="0" w:color="auto"/>
        <w:left w:val="none" w:sz="0" w:space="0" w:color="auto"/>
        <w:bottom w:val="none" w:sz="0" w:space="0" w:color="auto"/>
        <w:right w:val="none" w:sz="0" w:space="0" w:color="auto"/>
      </w:divBdr>
    </w:div>
    <w:div w:id="450714032">
      <w:bodyDiv w:val="1"/>
      <w:marLeft w:val="0"/>
      <w:marRight w:val="0"/>
      <w:marTop w:val="0"/>
      <w:marBottom w:val="0"/>
      <w:divBdr>
        <w:top w:val="none" w:sz="0" w:space="0" w:color="auto"/>
        <w:left w:val="none" w:sz="0" w:space="0" w:color="auto"/>
        <w:bottom w:val="none" w:sz="0" w:space="0" w:color="auto"/>
        <w:right w:val="none" w:sz="0" w:space="0" w:color="auto"/>
      </w:divBdr>
    </w:div>
    <w:div w:id="450714043">
      <w:bodyDiv w:val="1"/>
      <w:marLeft w:val="0"/>
      <w:marRight w:val="0"/>
      <w:marTop w:val="0"/>
      <w:marBottom w:val="0"/>
      <w:divBdr>
        <w:top w:val="none" w:sz="0" w:space="0" w:color="auto"/>
        <w:left w:val="none" w:sz="0" w:space="0" w:color="auto"/>
        <w:bottom w:val="none" w:sz="0" w:space="0" w:color="auto"/>
        <w:right w:val="none" w:sz="0" w:space="0" w:color="auto"/>
      </w:divBdr>
    </w:div>
    <w:div w:id="450784027">
      <w:bodyDiv w:val="1"/>
      <w:marLeft w:val="0"/>
      <w:marRight w:val="0"/>
      <w:marTop w:val="0"/>
      <w:marBottom w:val="0"/>
      <w:divBdr>
        <w:top w:val="none" w:sz="0" w:space="0" w:color="auto"/>
        <w:left w:val="none" w:sz="0" w:space="0" w:color="auto"/>
        <w:bottom w:val="none" w:sz="0" w:space="0" w:color="auto"/>
        <w:right w:val="none" w:sz="0" w:space="0" w:color="auto"/>
      </w:divBdr>
    </w:div>
    <w:div w:id="450905979">
      <w:bodyDiv w:val="1"/>
      <w:marLeft w:val="0"/>
      <w:marRight w:val="0"/>
      <w:marTop w:val="0"/>
      <w:marBottom w:val="0"/>
      <w:divBdr>
        <w:top w:val="none" w:sz="0" w:space="0" w:color="auto"/>
        <w:left w:val="none" w:sz="0" w:space="0" w:color="auto"/>
        <w:bottom w:val="none" w:sz="0" w:space="0" w:color="auto"/>
        <w:right w:val="none" w:sz="0" w:space="0" w:color="auto"/>
      </w:divBdr>
    </w:div>
    <w:div w:id="451050280">
      <w:bodyDiv w:val="1"/>
      <w:marLeft w:val="0"/>
      <w:marRight w:val="0"/>
      <w:marTop w:val="0"/>
      <w:marBottom w:val="0"/>
      <w:divBdr>
        <w:top w:val="none" w:sz="0" w:space="0" w:color="auto"/>
        <w:left w:val="none" w:sz="0" w:space="0" w:color="auto"/>
        <w:bottom w:val="none" w:sz="0" w:space="0" w:color="auto"/>
        <w:right w:val="none" w:sz="0" w:space="0" w:color="auto"/>
      </w:divBdr>
    </w:div>
    <w:div w:id="451092176">
      <w:bodyDiv w:val="1"/>
      <w:marLeft w:val="0"/>
      <w:marRight w:val="0"/>
      <w:marTop w:val="0"/>
      <w:marBottom w:val="0"/>
      <w:divBdr>
        <w:top w:val="none" w:sz="0" w:space="0" w:color="auto"/>
        <w:left w:val="none" w:sz="0" w:space="0" w:color="auto"/>
        <w:bottom w:val="none" w:sz="0" w:space="0" w:color="auto"/>
        <w:right w:val="none" w:sz="0" w:space="0" w:color="auto"/>
      </w:divBdr>
    </w:div>
    <w:div w:id="451174626">
      <w:bodyDiv w:val="1"/>
      <w:marLeft w:val="0"/>
      <w:marRight w:val="0"/>
      <w:marTop w:val="0"/>
      <w:marBottom w:val="0"/>
      <w:divBdr>
        <w:top w:val="none" w:sz="0" w:space="0" w:color="auto"/>
        <w:left w:val="none" w:sz="0" w:space="0" w:color="auto"/>
        <w:bottom w:val="none" w:sz="0" w:space="0" w:color="auto"/>
        <w:right w:val="none" w:sz="0" w:space="0" w:color="auto"/>
      </w:divBdr>
    </w:div>
    <w:div w:id="451360171">
      <w:bodyDiv w:val="1"/>
      <w:marLeft w:val="0"/>
      <w:marRight w:val="0"/>
      <w:marTop w:val="0"/>
      <w:marBottom w:val="0"/>
      <w:divBdr>
        <w:top w:val="none" w:sz="0" w:space="0" w:color="auto"/>
        <w:left w:val="none" w:sz="0" w:space="0" w:color="auto"/>
        <w:bottom w:val="none" w:sz="0" w:space="0" w:color="auto"/>
        <w:right w:val="none" w:sz="0" w:space="0" w:color="auto"/>
      </w:divBdr>
    </w:div>
    <w:div w:id="451437021">
      <w:bodyDiv w:val="1"/>
      <w:marLeft w:val="0"/>
      <w:marRight w:val="0"/>
      <w:marTop w:val="0"/>
      <w:marBottom w:val="0"/>
      <w:divBdr>
        <w:top w:val="none" w:sz="0" w:space="0" w:color="auto"/>
        <w:left w:val="none" w:sz="0" w:space="0" w:color="auto"/>
        <w:bottom w:val="none" w:sz="0" w:space="0" w:color="auto"/>
        <w:right w:val="none" w:sz="0" w:space="0" w:color="auto"/>
      </w:divBdr>
    </w:div>
    <w:div w:id="451441919">
      <w:bodyDiv w:val="1"/>
      <w:marLeft w:val="0"/>
      <w:marRight w:val="0"/>
      <w:marTop w:val="0"/>
      <w:marBottom w:val="0"/>
      <w:divBdr>
        <w:top w:val="none" w:sz="0" w:space="0" w:color="auto"/>
        <w:left w:val="none" w:sz="0" w:space="0" w:color="auto"/>
        <w:bottom w:val="none" w:sz="0" w:space="0" w:color="auto"/>
        <w:right w:val="none" w:sz="0" w:space="0" w:color="auto"/>
      </w:divBdr>
    </w:div>
    <w:div w:id="451487036">
      <w:bodyDiv w:val="1"/>
      <w:marLeft w:val="0"/>
      <w:marRight w:val="0"/>
      <w:marTop w:val="0"/>
      <w:marBottom w:val="0"/>
      <w:divBdr>
        <w:top w:val="none" w:sz="0" w:space="0" w:color="auto"/>
        <w:left w:val="none" w:sz="0" w:space="0" w:color="auto"/>
        <w:bottom w:val="none" w:sz="0" w:space="0" w:color="auto"/>
        <w:right w:val="none" w:sz="0" w:space="0" w:color="auto"/>
      </w:divBdr>
    </w:div>
    <w:div w:id="451559203">
      <w:bodyDiv w:val="1"/>
      <w:marLeft w:val="0"/>
      <w:marRight w:val="0"/>
      <w:marTop w:val="0"/>
      <w:marBottom w:val="0"/>
      <w:divBdr>
        <w:top w:val="none" w:sz="0" w:space="0" w:color="auto"/>
        <w:left w:val="none" w:sz="0" w:space="0" w:color="auto"/>
        <w:bottom w:val="none" w:sz="0" w:space="0" w:color="auto"/>
        <w:right w:val="none" w:sz="0" w:space="0" w:color="auto"/>
      </w:divBdr>
    </w:div>
    <w:div w:id="451679397">
      <w:bodyDiv w:val="1"/>
      <w:marLeft w:val="0"/>
      <w:marRight w:val="0"/>
      <w:marTop w:val="0"/>
      <w:marBottom w:val="0"/>
      <w:divBdr>
        <w:top w:val="none" w:sz="0" w:space="0" w:color="auto"/>
        <w:left w:val="none" w:sz="0" w:space="0" w:color="auto"/>
        <w:bottom w:val="none" w:sz="0" w:space="0" w:color="auto"/>
        <w:right w:val="none" w:sz="0" w:space="0" w:color="auto"/>
      </w:divBdr>
    </w:div>
    <w:div w:id="451751811">
      <w:bodyDiv w:val="1"/>
      <w:marLeft w:val="0"/>
      <w:marRight w:val="0"/>
      <w:marTop w:val="0"/>
      <w:marBottom w:val="0"/>
      <w:divBdr>
        <w:top w:val="none" w:sz="0" w:space="0" w:color="auto"/>
        <w:left w:val="none" w:sz="0" w:space="0" w:color="auto"/>
        <w:bottom w:val="none" w:sz="0" w:space="0" w:color="auto"/>
        <w:right w:val="none" w:sz="0" w:space="0" w:color="auto"/>
      </w:divBdr>
    </w:div>
    <w:div w:id="451755814">
      <w:bodyDiv w:val="1"/>
      <w:marLeft w:val="0"/>
      <w:marRight w:val="0"/>
      <w:marTop w:val="0"/>
      <w:marBottom w:val="0"/>
      <w:divBdr>
        <w:top w:val="none" w:sz="0" w:space="0" w:color="auto"/>
        <w:left w:val="none" w:sz="0" w:space="0" w:color="auto"/>
        <w:bottom w:val="none" w:sz="0" w:space="0" w:color="auto"/>
        <w:right w:val="none" w:sz="0" w:space="0" w:color="auto"/>
      </w:divBdr>
    </w:div>
    <w:div w:id="451826508">
      <w:bodyDiv w:val="1"/>
      <w:marLeft w:val="0"/>
      <w:marRight w:val="0"/>
      <w:marTop w:val="0"/>
      <w:marBottom w:val="0"/>
      <w:divBdr>
        <w:top w:val="none" w:sz="0" w:space="0" w:color="auto"/>
        <w:left w:val="none" w:sz="0" w:space="0" w:color="auto"/>
        <w:bottom w:val="none" w:sz="0" w:space="0" w:color="auto"/>
        <w:right w:val="none" w:sz="0" w:space="0" w:color="auto"/>
      </w:divBdr>
    </w:div>
    <w:div w:id="452360046">
      <w:bodyDiv w:val="1"/>
      <w:marLeft w:val="0"/>
      <w:marRight w:val="0"/>
      <w:marTop w:val="0"/>
      <w:marBottom w:val="0"/>
      <w:divBdr>
        <w:top w:val="none" w:sz="0" w:space="0" w:color="auto"/>
        <w:left w:val="none" w:sz="0" w:space="0" w:color="auto"/>
        <w:bottom w:val="none" w:sz="0" w:space="0" w:color="auto"/>
        <w:right w:val="none" w:sz="0" w:space="0" w:color="auto"/>
      </w:divBdr>
    </w:div>
    <w:div w:id="452402327">
      <w:bodyDiv w:val="1"/>
      <w:marLeft w:val="0"/>
      <w:marRight w:val="0"/>
      <w:marTop w:val="0"/>
      <w:marBottom w:val="0"/>
      <w:divBdr>
        <w:top w:val="none" w:sz="0" w:space="0" w:color="auto"/>
        <w:left w:val="none" w:sz="0" w:space="0" w:color="auto"/>
        <w:bottom w:val="none" w:sz="0" w:space="0" w:color="auto"/>
        <w:right w:val="none" w:sz="0" w:space="0" w:color="auto"/>
      </w:divBdr>
    </w:div>
    <w:div w:id="452554821">
      <w:bodyDiv w:val="1"/>
      <w:marLeft w:val="0"/>
      <w:marRight w:val="0"/>
      <w:marTop w:val="0"/>
      <w:marBottom w:val="0"/>
      <w:divBdr>
        <w:top w:val="none" w:sz="0" w:space="0" w:color="auto"/>
        <w:left w:val="none" w:sz="0" w:space="0" w:color="auto"/>
        <w:bottom w:val="none" w:sz="0" w:space="0" w:color="auto"/>
        <w:right w:val="none" w:sz="0" w:space="0" w:color="auto"/>
      </w:divBdr>
    </w:div>
    <w:div w:id="452795374">
      <w:bodyDiv w:val="1"/>
      <w:marLeft w:val="0"/>
      <w:marRight w:val="0"/>
      <w:marTop w:val="0"/>
      <w:marBottom w:val="0"/>
      <w:divBdr>
        <w:top w:val="none" w:sz="0" w:space="0" w:color="auto"/>
        <w:left w:val="none" w:sz="0" w:space="0" w:color="auto"/>
        <w:bottom w:val="none" w:sz="0" w:space="0" w:color="auto"/>
        <w:right w:val="none" w:sz="0" w:space="0" w:color="auto"/>
      </w:divBdr>
    </w:div>
    <w:div w:id="452796708">
      <w:bodyDiv w:val="1"/>
      <w:marLeft w:val="0"/>
      <w:marRight w:val="0"/>
      <w:marTop w:val="0"/>
      <w:marBottom w:val="0"/>
      <w:divBdr>
        <w:top w:val="none" w:sz="0" w:space="0" w:color="auto"/>
        <w:left w:val="none" w:sz="0" w:space="0" w:color="auto"/>
        <w:bottom w:val="none" w:sz="0" w:space="0" w:color="auto"/>
        <w:right w:val="none" w:sz="0" w:space="0" w:color="auto"/>
      </w:divBdr>
    </w:div>
    <w:div w:id="452866544">
      <w:bodyDiv w:val="1"/>
      <w:marLeft w:val="0"/>
      <w:marRight w:val="0"/>
      <w:marTop w:val="0"/>
      <w:marBottom w:val="0"/>
      <w:divBdr>
        <w:top w:val="none" w:sz="0" w:space="0" w:color="auto"/>
        <w:left w:val="none" w:sz="0" w:space="0" w:color="auto"/>
        <w:bottom w:val="none" w:sz="0" w:space="0" w:color="auto"/>
        <w:right w:val="none" w:sz="0" w:space="0" w:color="auto"/>
      </w:divBdr>
    </w:div>
    <w:div w:id="452867871">
      <w:bodyDiv w:val="1"/>
      <w:marLeft w:val="0"/>
      <w:marRight w:val="0"/>
      <w:marTop w:val="0"/>
      <w:marBottom w:val="0"/>
      <w:divBdr>
        <w:top w:val="none" w:sz="0" w:space="0" w:color="auto"/>
        <w:left w:val="none" w:sz="0" w:space="0" w:color="auto"/>
        <w:bottom w:val="none" w:sz="0" w:space="0" w:color="auto"/>
        <w:right w:val="none" w:sz="0" w:space="0" w:color="auto"/>
      </w:divBdr>
    </w:div>
    <w:div w:id="453057085">
      <w:bodyDiv w:val="1"/>
      <w:marLeft w:val="0"/>
      <w:marRight w:val="0"/>
      <w:marTop w:val="0"/>
      <w:marBottom w:val="0"/>
      <w:divBdr>
        <w:top w:val="none" w:sz="0" w:space="0" w:color="auto"/>
        <w:left w:val="none" w:sz="0" w:space="0" w:color="auto"/>
        <w:bottom w:val="none" w:sz="0" w:space="0" w:color="auto"/>
        <w:right w:val="none" w:sz="0" w:space="0" w:color="auto"/>
      </w:divBdr>
    </w:div>
    <w:div w:id="453448983">
      <w:bodyDiv w:val="1"/>
      <w:marLeft w:val="0"/>
      <w:marRight w:val="0"/>
      <w:marTop w:val="0"/>
      <w:marBottom w:val="0"/>
      <w:divBdr>
        <w:top w:val="none" w:sz="0" w:space="0" w:color="auto"/>
        <w:left w:val="none" w:sz="0" w:space="0" w:color="auto"/>
        <w:bottom w:val="none" w:sz="0" w:space="0" w:color="auto"/>
        <w:right w:val="none" w:sz="0" w:space="0" w:color="auto"/>
      </w:divBdr>
    </w:div>
    <w:div w:id="453528168">
      <w:bodyDiv w:val="1"/>
      <w:marLeft w:val="0"/>
      <w:marRight w:val="0"/>
      <w:marTop w:val="0"/>
      <w:marBottom w:val="0"/>
      <w:divBdr>
        <w:top w:val="none" w:sz="0" w:space="0" w:color="auto"/>
        <w:left w:val="none" w:sz="0" w:space="0" w:color="auto"/>
        <w:bottom w:val="none" w:sz="0" w:space="0" w:color="auto"/>
        <w:right w:val="none" w:sz="0" w:space="0" w:color="auto"/>
      </w:divBdr>
    </w:div>
    <w:div w:id="453594824">
      <w:bodyDiv w:val="1"/>
      <w:marLeft w:val="0"/>
      <w:marRight w:val="0"/>
      <w:marTop w:val="0"/>
      <w:marBottom w:val="0"/>
      <w:divBdr>
        <w:top w:val="none" w:sz="0" w:space="0" w:color="auto"/>
        <w:left w:val="none" w:sz="0" w:space="0" w:color="auto"/>
        <w:bottom w:val="none" w:sz="0" w:space="0" w:color="auto"/>
        <w:right w:val="none" w:sz="0" w:space="0" w:color="auto"/>
      </w:divBdr>
    </w:div>
    <w:div w:id="453642047">
      <w:bodyDiv w:val="1"/>
      <w:marLeft w:val="0"/>
      <w:marRight w:val="0"/>
      <w:marTop w:val="0"/>
      <w:marBottom w:val="0"/>
      <w:divBdr>
        <w:top w:val="none" w:sz="0" w:space="0" w:color="auto"/>
        <w:left w:val="none" w:sz="0" w:space="0" w:color="auto"/>
        <w:bottom w:val="none" w:sz="0" w:space="0" w:color="auto"/>
        <w:right w:val="none" w:sz="0" w:space="0" w:color="auto"/>
      </w:divBdr>
    </w:div>
    <w:div w:id="453864971">
      <w:bodyDiv w:val="1"/>
      <w:marLeft w:val="0"/>
      <w:marRight w:val="0"/>
      <w:marTop w:val="0"/>
      <w:marBottom w:val="0"/>
      <w:divBdr>
        <w:top w:val="none" w:sz="0" w:space="0" w:color="auto"/>
        <w:left w:val="none" w:sz="0" w:space="0" w:color="auto"/>
        <w:bottom w:val="none" w:sz="0" w:space="0" w:color="auto"/>
        <w:right w:val="none" w:sz="0" w:space="0" w:color="auto"/>
      </w:divBdr>
    </w:div>
    <w:div w:id="453868911">
      <w:bodyDiv w:val="1"/>
      <w:marLeft w:val="0"/>
      <w:marRight w:val="0"/>
      <w:marTop w:val="0"/>
      <w:marBottom w:val="0"/>
      <w:divBdr>
        <w:top w:val="none" w:sz="0" w:space="0" w:color="auto"/>
        <w:left w:val="none" w:sz="0" w:space="0" w:color="auto"/>
        <w:bottom w:val="none" w:sz="0" w:space="0" w:color="auto"/>
        <w:right w:val="none" w:sz="0" w:space="0" w:color="auto"/>
      </w:divBdr>
    </w:div>
    <w:div w:id="454101803">
      <w:bodyDiv w:val="1"/>
      <w:marLeft w:val="0"/>
      <w:marRight w:val="0"/>
      <w:marTop w:val="0"/>
      <w:marBottom w:val="0"/>
      <w:divBdr>
        <w:top w:val="none" w:sz="0" w:space="0" w:color="auto"/>
        <w:left w:val="none" w:sz="0" w:space="0" w:color="auto"/>
        <w:bottom w:val="none" w:sz="0" w:space="0" w:color="auto"/>
        <w:right w:val="none" w:sz="0" w:space="0" w:color="auto"/>
      </w:divBdr>
    </w:div>
    <w:div w:id="454179649">
      <w:bodyDiv w:val="1"/>
      <w:marLeft w:val="0"/>
      <w:marRight w:val="0"/>
      <w:marTop w:val="0"/>
      <w:marBottom w:val="0"/>
      <w:divBdr>
        <w:top w:val="none" w:sz="0" w:space="0" w:color="auto"/>
        <w:left w:val="none" w:sz="0" w:space="0" w:color="auto"/>
        <w:bottom w:val="none" w:sz="0" w:space="0" w:color="auto"/>
        <w:right w:val="none" w:sz="0" w:space="0" w:color="auto"/>
      </w:divBdr>
    </w:div>
    <w:div w:id="454252389">
      <w:bodyDiv w:val="1"/>
      <w:marLeft w:val="0"/>
      <w:marRight w:val="0"/>
      <w:marTop w:val="0"/>
      <w:marBottom w:val="0"/>
      <w:divBdr>
        <w:top w:val="none" w:sz="0" w:space="0" w:color="auto"/>
        <w:left w:val="none" w:sz="0" w:space="0" w:color="auto"/>
        <w:bottom w:val="none" w:sz="0" w:space="0" w:color="auto"/>
        <w:right w:val="none" w:sz="0" w:space="0" w:color="auto"/>
      </w:divBdr>
    </w:div>
    <w:div w:id="454444014">
      <w:bodyDiv w:val="1"/>
      <w:marLeft w:val="0"/>
      <w:marRight w:val="0"/>
      <w:marTop w:val="0"/>
      <w:marBottom w:val="0"/>
      <w:divBdr>
        <w:top w:val="none" w:sz="0" w:space="0" w:color="auto"/>
        <w:left w:val="none" w:sz="0" w:space="0" w:color="auto"/>
        <w:bottom w:val="none" w:sz="0" w:space="0" w:color="auto"/>
        <w:right w:val="none" w:sz="0" w:space="0" w:color="auto"/>
      </w:divBdr>
    </w:div>
    <w:div w:id="454492462">
      <w:bodyDiv w:val="1"/>
      <w:marLeft w:val="0"/>
      <w:marRight w:val="0"/>
      <w:marTop w:val="0"/>
      <w:marBottom w:val="0"/>
      <w:divBdr>
        <w:top w:val="none" w:sz="0" w:space="0" w:color="auto"/>
        <w:left w:val="none" w:sz="0" w:space="0" w:color="auto"/>
        <w:bottom w:val="none" w:sz="0" w:space="0" w:color="auto"/>
        <w:right w:val="none" w:sz="0" w:space="0" w:color="auto"/>
      </w:divBdr>
    </w:div>
    <w:div w:id="454640709">
      <w:bodyDiv w:val="1"/>
      <w:marLeft w:val="0"/>
      <w:marRight w:val="0"/>
      <w:marTop w:val="0"/>
      <w:marBottom w:val="0"/>
      <w:divBdr>
        <w:top w:val="none" w:sz="0" w:space="0" w:color="auto"/>
        <w:left w:val="none" w:sz="0" w:space="0" w:color="auto"/>
        <w:bottom w:val="none" w:sz="0" w:space="0" w:color="auto"/>
        <w:right w:val="none" w:sz="0" w:space="0" w:color="auto"/>
      </w:divBdr>
    </w:div>
    <w:div w:id="454640924">
      <w:bodyDiv w:val="1"/>
      <w:marLeft w:val="0"/>
      <w:marRight w:val="0"/>
      <w:marTop w:val="0"/>
      <w:marBottom w:val="0"/>
      <w:divBdr>
        <w:top w:val="none" w:sz="0" w:space="0" w:color="auto"/>
        <w:left w:val="none" w:sz="0" w:space="0" w:color="auto"/>
        <w:bottom w:val="none" w:sz="0" w:space="0" w:color="auto"/>
        <w:right w:val="none" w:sz="0" w:space="0" w:color="auto"/>
      </w:divBdr>
    </w:div>
    <w:div w:id="454643061">
      <w:bodyDiv w:val="1"/>
      <w:marLeft w:val="0"/>
      <w:marRight w:val="0"/>
      <w:marTop w:val="0"/>
      <w:marBottom w:val="0"/>
      <w:divBdr>
        <w:top w:val="none" w:sz="0" w:space="0" w:color="auto"/>
        <w:left w:val="none" w:sz="0" w:space="0" w:color="auto"/>
        <w:bottom w:val="none" w:sz="0" w:space="0" w:color="auto"/>
        <w:right w:val="none" w:sz="0" w:space="0" w:color="auto"/>
      </w:divBdr>
    </w:div>
    <w:div w:id="454714735">
      <w:bodyDiv w:val="1"/>
      <w:marLeft w:val="0"/>
      <w:marRight w:val="0"/>
      <w:marTop w:val="0"/>
      <w:marBottom w:val="0"/>
      <w:divBdr>
        <w:top w:val="none" w:sz="0" w:space="0" w:color="auto"/>
        <w:left w:val="none" w:sz="0" w:space="0" w:color="auto"/>
        <w:bottom w:val="none" w:sz="0" w:space="0" w:color="auto"/>
        <w:right w:val="none" w:sz="0" w:space="0" w:color="auto"/>
      </w:divBdr>
    </w:div>
    <w:div w:id="454762663">
      <w:bodyDiv w:val="1"/>
      <w:marLeft w:val="0"/>
      <w:marRight w:val="0"/>
      <w:marTop w:val="0"/>
      <w:marBottom w:val="0"/>
      <w:divBdr>
        <w:top w:val="none" w:sz="0" w:space="0" w:color="auto"/>
        <w:left w:val="none" w:sz="0" w:space="0" w:color="auto"/>
        <w:bottom w:val="none" w:sz="0" w:space="0" w:color="auto"/>
        <w:right w:val="none" w:sz="0" w:space="0" w:color="auto"/>
      </w:divBdr>
    </w:div>
    <w:div w:id="454834450">
      <w:bodyDiv w:val="1"/>
      <w:marLeft w:val="0"/>
      <w:marRight w:val="0"/>
      <w:marTop w:val="0"/>
      <w:marBottom w:val="0"/>
      <w:divBdr>
        <w:top w:val="none" w:sz="0" w:space="0" w:color="auto"/>
        <w:left w:val="none" w:sz="0" w:space="0" w:color="auto"/>
        <w:bottom w:val="none" w:sz="0" w:space="0" w:color="auto"/>
        <w:right w:val="none" w:sz="0" w:space="0" w:color="auto"/>
      </w:divBdr>
    </w:div>
    <w:div w:id="455027727">
      <w:bodyDiv w:val="1"/>
      <w:marLeft w:val="0"/>
      <w:marRight w:val="0"/>
      <w:marTop w:val="0"/>
      <w:marBottom w:val="0"/>
      <w:divBdr>
        <w:top w:val="none" w:sz="0" w:space="0" w:color="auto"/>
        <w:left w:val="none" w:sz="0" w:space="0" w:color="auto"/>
        <w:bottom w:val="none" w:sz="0" w:space="0" w:color="auto"/>
        <w:right w:val="none" w:sz="0" w:space="0" w:color="auto"/>
      </w:divBdr>
    </w:div>
    <w:div w:id="455098077">
      <w:bodyDiv w:val="1"/>
      <w:marLeft w:val="0"/>
      <w:marRight w:val="0"/>
      <w:marTop w:val="0"/>
      <w:marBottom w:val="0"/>
      <w:divBdr>
        <w:top w:val="none" w:sz="0" w:space="0" w:color="auto"/>
        <w:left w:val="none" w:sz="0" w:space="0" w:color="auto"/>
        <w:bottom w:val="none" w:sz="0" w:space="0" w:color="auto"/>
        <w:right w:val="none" w:sz="0" w:space="0" w:color="auto"/>
      </w:divBdr>
    </w:div>
    <w:div w:id="455174546">
      <w:bodyDiv w:val="1"/>
      <w:marLeft w:val="0"/>
      <w:marRight w:val="0"/>
      <w:marTop w:val="0"/>
      <w:marBottom w:val="0"/>
      <w:divBdr>
        <w:top w:val="none" w:sz="0" w:space="0" w:color="auto"/>
        <w:left w:val="none" w:sz="0" w:space="0" w:color="auto"/>
        <w:bottom w:val="none" w:sz="0" w:space="0" w:color="auto"/>
        <w:right w:val="none" w:sz="0" w:space="0" w:color="auto"/>
      </w:divBdr>
    </w:div>
    <w:div w:id="455373810">
      <w:bodyDiv w:val="1"/>
      <w:marLeft w:val="0"/>
      <w:marRight w:val="0"/>
      <w:marTop w:val="0"/>
      <w:marBottom w:val="0"/>
      <w:divBdr>
        <w:top w:val="none" w:sz="0" w:space="0" w:color="auto"/>
        <w:left w:val="none" w:sz="0" w:space="0" w:color="auto"/>
        <w:bottom w:val="none" w:sz="0" w:space="0" w:color="auto"/>
        <w:right w:val="none" w:sz="0" w:space="0" w:color="auto"/>
      </w:divBdr>
    </w:div>
    <w:div w:id="455759133">
      <w:bodyDiv w:val="1"/>
      <w:marLeft w:val="0"/>
      <w:marRight w:val="0"/>
      <w:marTop w:val="0"/>
      <w:marBottom w:val="0"/>
      <w:divBdr>
        <w:top w:val="none" w:sz="0" w:space="0" w:color="auto"/>
        <w:left w:val="none" w:sz="0" w:space="0" w:color="auto"/>
        <w:bottom w:val="none" w:sz="0" w:space="0" w:color="auto"/>
        <w:right w:val="none" w:sz="0" w:space="0" w:color="auto"/>
      </w:divBdr>
    </w:div>
    <w:div w:id="455759136">
      <w:bodyDiv w:val="1"/>
      <w:marLeft w:val="0"/>
      <w:marRight w:val="0"/>
      <w:marTop w:val="0"/>
      <w:marBottom w:val="0"/>
      <w:divBdr>
        <w:top w:val="none" w:sz="0" w:space="0" w:color="auto"/>
        <w:left w:val="none" w:sz="0" w:space="0" w:color="auto"/>
        <w:bottom w:val="none" w:sz="0" w:space="0" w:color="auto"/>
        <w:right w:val="none" w:sz="0" w:space="0" w:color="auto"/>
      </w:divBdr>
    </w:div>
    <w:div w:id="455760450">
      <w:bodyDiv w:val="1"/>
      <w:marLeft w:val="0"/>
      <w:marRight w:val="0"/>
      <w:marTop w:val="0"/>
      <w:marBottom w:val="0"/>
      <w:divBdr>
        <w:top w:val="none" w:sz="0" w:space="0" w:color="auto"/>
        <w:left w:val="none" w:sz="0" w:space="0" w:color="auto"/>
        <w:bottom w:val="none" w:sz="0" w:space="0" w:color="auto"/>
        <w:right w:val="none" w:sz="0" w:space="0" w:color="auto"/>
      </w:divBdr>
    </w:div>
    <w:div w:id="455761387">
      <w:bodyDiv w:val="1"/>
      <w:marLeft w:val="0"/>
      <w:marRight w:val="0"/>
      <w:marTop w:val="0"/>
      <w:marBottom w:val="0"/>
      <w:divBdr>
        <w:top w:val="none" w:sz="0" w:space="0" w:color="auto"/>
        <w:left w:val="none" w:sz="0" w:space="0" w:color="auto"/>
        <w:bottom w:val="none" w:sz="0" w:space="0" w:color="auto"/>
        <w:right w:val="none" w:sz="0" w:space="0" w:color="auto"/>
      </w:divBdr>
    </w:div>
    <w:div w:id="456065611">
      <w:bodyDiv w:val="1"/>
      <w:marLeft w:val="0"/>
      <w:marRight w:val="0"/>
      <w:marTop w:val="0"/>
      <w:marBottom w:val="0"/>
      <w:divBdr>
        <w:top w:val="none" w:sz="0" w:space="0" w:color="auto"/>
        <w:left w:val="none" w:sz="0" w:space="0" w:color="auto"/>
        <w:bottom w:val="none" w:sz="0" w:space="0" w:color="auto"/>
        <w:right w:val="none" w:sz="0" w:space="0" w:color="auto"/>
      </w:divBdr>
    </w:div>
    <w:div w:id="456070645">
      <w:bodyDiv w:val="1"/>
      <w:marLeft w:val="0"/>
      <w:marRight w:val="0"/>
      <w:marTop w:val="0"/>
      <w:marBottom w:val="0"/>
      <w:divBdr>
        <w:top w:val="none" w:sz="0" w:space="0" w:color="auto"/>
        <w:left w:val="none" w:sz="0" w:space="0" w:color="auto"/>
        <w:bottom w:val="none" w:sz="0" w:space="0" w:color="auto"/>
        <w:right w:val="none" w:sz="0" w:space="0" w:color="auto"/>
      </w:divBdr>
    </w:div>
    <w:div w:id="456073085">
      <w:bodyDiv w:val="1"/>
      <w:marLeft w:val="0"/>
      <w:marRight w:val="0"/>
      <w:marTop w:val="0"/>
      <w:marBottom w:val="0"/>
      <w:divBdr>
        <w:top w:val="none" w:sz="0" w:space="0" w:color="auto"/>
        <w:left w:val="none" w:sz="0" w:space="0" w:color="auto"/>
        <w:bottom w:val="none" w:sz="0" w:space="0" w:color="auto"/>
        <w:right w:val="none" w:sz="0" w:space="0" w:color="auto"/>
      </w:divBdr>
    </w:div>
    <w:div w:id="456144950">
      <w:bodyDiv w:val="1"/>
      <w:marLeft w:val="0"/>
      <w:marRight w:val="0"/>
      <w:marTop w:val="0"/>
      <w:marBottom w:val="0"/>
      <w:divBdr>
        <w:top w:val="none" w:sz="0" w:space="0" w:color="auto"/>
        <w:left w:val="none" w:sz="0" w:space="0" w:color="auto"/>
        <w:bottom w:val="none" w:sz="0" w:space="0" w:color="auto"/>
        <w:right w:val="none" w:sz="0" w:space="0" w:color="auto"/>
      </w:divBdr>
    </w:div>
    <w:div w:id="456488654">
      <w:bodyDiv w:val="1"/>
      <w:marLeft w:val="0"/>
      <w:marRight w:val="0"/>
      <w:marTop w:val="0"/>
      <w:marBottom w:val="0"/>
      <w:divBdr>
        <w:top w:val="none" w:sz="0" w:space="0" w:color="auto"/>
        <w:left w:val="none" w:sz="0" w:space="0" w:color="auto"/>
        <w:bottom w:val="none" w:sz="0" w:space="0" w:color="auto"/>
        <w:right w:val="none" w:sz="0" w:space="0" w:color="auto"/>
      </w:divBdr>
    </w:div>
    <w:div w:id="456602363">
      <w:bodyDiv w:val="1"/>
      <w:marLeft w:val="0"/>
      <w:marRight w:val="0"/>
      <w:marTop w:val="0"/>
      <w:marBottom w:val="0"/>
      <w:divBdr>
        <w:top w:val="none" w:sz="0" w:space="0" w:color="auto"/>
        <w:left w:val="none" w:sz="0" w:space="0" w:color="auto"/>
        <w:bottom w:val="none" w:sz="0" w:space="0" w:color="auto"/>
        <w:right w:val="none" w:sz="0" w:space="0" w:color="auto"/>
      </w:divBdr>
    </w:div>
    <w:div w:id="456727066">
      <w:bodyDiv w:val="1"/>
      <w:marLeft w:val="0"/>
      <w:marRight w:val="0"/>
      <w:marTop w:val="0"/>
      <w:marBottom w:val="0"/>
      <w:divBdr>
        <w:top w:val="none" w:sz="0" w:space="0" w:color="auto"/>
        <w:left w:val="none" w:sz="0" w:space="0" w:color="auto"/>
        <w:bottom w:val="none" w:sz="0" w:space="0" w:color="auto"/>
        <w:right w:val="none" w:sz="0" w:space="0" w:color="auto"/>
      </w:divBdr>
    </w:div>
    <w:div w:id="456752947">
      <w:bodyDiv w:val="1"/>
      <w:marLeft w:val="0"/>
      <w:marRight w:val="0"/>
      <w:marTop w:val="0"/>
      <w:marBottom w:val="0"/>
      <w:divBdr>
        <w:top w:val="none" w:sz="0" w:space="0" w:color="auto"/>
        <w:left w:val="none" w:sz="0" w:space="0" w:color="auto"/>
        <w:bottom w:val="none" w:sz="0" w:space="0" w:color="auto"/>
        <w:right w:val="none" w:sz="0" w:space="0" w:color="auto"/>
      </w:divBdr>
    </w:div>
    <w:div w:id="456870777">
      <w:bodyDiv w:val="1"/>
      <w:marLeft w:val="0"/>
      <w:marRight w:val="0"/>
      <w:marTop w:val="0"/>
      <w:marBottom w:val="0"/>
      <w:divBdr>
        <w:top w:val="none" w:sz="0" w:space="0" w:color="auto"/>
        <w:left w:val="none" w:sz="0" w:space="0" w:color="auto"/>
        <w:bottom w:val="none" w:sz="0" w:space="0" w:color="auto"/>
        <w:right w:val="none" w:sz="0" w:space="0" w:color="auto"/>
      </w:divBdr>
    </w:div>
    <w:div w:id="456879830">
      <w:bodyDiv w:val="1"/>
      <w:marLeft w:val="0"/>
      <w:marRight w:val="0"/>
      <w:marTop w:val="0"/>
      <w:marBottom w:val="0"/>
      <w:divBdr>
        <w:top w:val="none" w:sz="0" w:space="0" w:color="auto"/>
        <w:left w:val="none" w:sz="0" w:space="0" w:color="auto"/>
        <w:bottom w:val="none" w:sz="0" w:space="0" w:color="auto"/>
        <w:right w:val="none" w:sz="0" w:space="0" w:color="auto"/>
      </w:divBdr>
    </w:div>
    <w:div w:id="456994715">
      <w:bodyDiv w:val="1"/>
      <w:marLeft w:val="0"/>
      <w:marRight w:val="0"/>
      <w:marTop w:val="0"/>
      <w:marBottom w:val="0"/>
      <w:divBdr>
        <w:top w:val="none" w:sz="0" w:space="0" w:color="auto"/>
        <w:left w:val="none" w:sz="0" w:space="0" w:color="auto"/>
        <w:bottom w:val="none" w:sz="0" w:space="0" w:color="auto"/>
        <w:right w:val="none" w:sz="0" w:space="0" w:color="auto"/>
      </w:divBdr>
    </w:div>
    <w:div w:id="457068557">
      <w:bodyDiv w:val="1"/>
      <w:marLeft w:val="0"/>
      <w:marRight w:val="0"/>
      <w:marTop w:val="0"/>
      <w:marBottom w:val="0"/>
      <w:divBdr>
        <w:top w:val="none" w:sz="0" w:space="0" w:color="auto"/>
        <w:left w:val="none" w:sz="0" w:space="0" w:color="auto"/>
        <w:bottom w:val="none" w:sz="0" w:space="0" w:color="auto"/>
        <w:right w:val="none" w:sz="0" w:space="0" w:color="auto"/>
      </w:divBdr>
    </w:div>
    <w:div w:id="457115482">
      <w:bodyDiv w:val="1"/>
      <w:marLeft w:val="0"/>
      <w:marRight w:val="0"/>
      <w:marTop w:val="0"/>
      <w:marBottom w:val="0"/>
      <w:divBdr>
        <w:top w:val="none" w:sz="0" w:space="0" w:color="auto"/>
        <w:left w:val="none" w:sz="0" w:space="0" w:color="auto"/>
        <w:bottom w:val="none" w:sz="0" w:space="0" w:color="auto"/>
        <w:right w:val="none" w:sz="0" w:space="0" w:color="auto"/>
      </w:divBdr>
    </w:div>
    <w:div w:id="457186558">
      <w:bodyDiv w:val="1"/>
      <w:marLeft w:val="0"/>
      <w:marRight w:val="0"/>
      <w:marTop w:val="0"/>
      <w:marBottom w:val="0"/>
      <w:divBdr>
        <w:top w:val="none" w:sz="0" w:space="0" w:color="auto"/>
        <w:left w:val="none" w:sz="0" w:space="0" w:color="auto"/>
        <w:bottom w:val="none" w:sz="0" w:space="0" w:color="auto"/>
        <w:right w:val="none" w:sz="0" w:space="0" w:color="auto"/>
      </w:divBdr>
    </w:div>
    <w:div w:id="457187025">
      <w:bodyDiv w:val="1"/>
      <w:marLeft w:val="0"/>
      <w:marRight w:val="0"/>
      <w:marTop w:val="0"/>
      <w:marBottom w:val="0"/>
      <w:divBdr>
        <w:top w:val="none" w:sz="0" w:space="0" w:color="auto"/>
        <w:left w:val="none" w:sz="0" w:space="0" w:color="auto"/>
        <w:bottom w:val="none" w:sz="0" w:space="0" w:color="auto"/>
        <w:right w:val="none" w:sz="0" w:space="0" w:color="auto"/>
      </w:divBdr>
    </w:div>
    <w:div w:id="457262311">
      <w:bodyDiv w:val="1"/>
      <w:marLeft w:val="0"/>
      <w:marRight w:val="0"/>
      <w:marTop w:val="0"/>
      <w:marBottom w:val="0"/>
      <w:divBdr>
        <w:top w:val="none" w:sz="0" w:space="0" w:color="auto"/>
        <w:left w:val="none" w:sz="0" w:space="0" w:color="auto"/>
        <w:bottom w:val="none" w:sz="0" w:space="0" w:color="auto"/>
        <w:right w:val="none" w:sz="0" w:space="0" w:color="auto"/>
      </w:divBdr>
    </w:div>
    <w:div w:id="457263205">
      <w:bodyDiv w:val="1"/>
      <w:marLeft w:val="0"/>
      <w:marRight w:val="0"/>
      <w:marTop w:val="0"/>
      <w:marBottom w:val="0"/>
      <w:divBdr>
        <w:top w:val="none" w:sz="0" w:space="0" w:color="auto"/>
        <w:left w:val="none" w:sz="0" w:space="0" w:color="auto"/>
        <w:bottom w:val="none" w:sz="0" w:space="0" w:color="auto"/>
        <w:right w:val="none" w:sz="0" w:space="0" w:color="auto"/>
      </w:divBdr>
    </w:div>
    <w:div w:id="457263710">
      <w:bodyDiv w:val="1"/>
      <w:marLeft w:val="0"/>
      <w:marRight w:val="0"/>
      <w:marTop w:val="0"/>
      <w:marBottom w:val="0"/>
      <w:divBdr>
        <w:top w:val="none" w:sz="0" w:space="0" w:color="auto"/>
        <w:left w:val="none" w:sz="0" w:space="0" w:color="auto"/>
        <w:bottom w:val="none" w:sz="0" w:space="0" w:color="auto"/>
        <w:right w:val="none" w:sz="0" w:space="0" w:color="auto"/>
      </w:divBdr>
    </w:div>
    <w:div w:id="457336976">
      <w:bodyDiv w:val="1"/>
      <w:marLeft w:val="0"/>
      <w:marRight w:val="0"/>
      <w:marTop w:val="0"/>
      <w:marBottom w:val="0"/>
      <w:divBdr>
        <w:top w:val="none" w:sz="0" w:space="0" w:color="auto"/>
        <w:left w:val="none" w:sz="0" w:space="0" w:color="auto"/>
        <w:bottom w:val="none" w:sz="0" w:space="0" w:color="auto"/>
        <w:right w:val="none" w:sz="0" w:space="0" w:color="auto"/>
      </w:divBdr>
    </w:div>
    <w:div w:id="457378102">
      <w:bodyDiv w:val="1"/>
      <w:marLeft w:val="0"/>
      <w:marRight w:val="0"/>
      <w:marTop w:val="0"/>
      <w:marBottom w:val="0"/>
      <w:divBdr>
        <w:top w:val="none" w:sz="0" w:space="0" w:color="auto"/>
        <w:left w:val="none" w:sz="0" w:space="0" w:color="auto"/>
        <w:bottom w:val="none" w:sz="0" w:space="0" w:color="auto"/>
        <w:right w:val="none" w:sz="0" w:space="0" w:color="auto"/>
      </w:divBdr>
    </w:div>
    <w:div w:id="457380995">
      <w:bodyDiv w:val="1"/>
      <w:marLeft w:val="0"/>
      <w:marRight w:val="0"/>
      <w:marTop w:val="0"/>
      <w:marBottom w:val="0"/>
      <w:divBdr>
        <w:top w:val="none" w:sz="0" w:space="0" w:color="auto"/>
        <w:left w:val="none" w:sz="0" w:space="0" w:color="auto"/>
        <w:bottom w:val="none" w:sz="0" w:space="0" w:color="auto"/>
        <w:right w:val="none" w:sz="0" w:space="0" w:color="auto"/>
      </w:divBdr>
    </w:div>
    <w:div w:id="457528200">
      <w:bodyDiv w:val="1"/>
      <w:marLeft w:val="0"/>
      <w:marRight w:val="0"/>
      <w:marTop w:val="0"/>
      <w:marBottom w:val="0"/>
      <w:divBdr>
        <w:top w:val="none" w:sz="0" w:space="0" w:color="auto"/>
        <w:left w:val="none" w:sz="0" w:space="0" w:color="auto"/>
        <w:bottom w:val="none" w:sz="0" w:space="0" w:color="auto"/>
        <w:right w:val="none" w:sz="0" w:space="0" w:color="auto"/>
      </w:divBdr>
    </w:div>
    <w:div w:id="458188270">
      <w:bodyDiv w:val="1"/>
      <w:marLeft w:val="0"/>
      <w:marRight w:val="0"/>
      <w:marTop w:val="0"/>
      <w:marBottom w:val="0"/>
      <w:divBdr>
        <w:top w:val="none" w:sz="0" w:space="0" w:color="auto"/>
        <w:left w:val="none" w:sz="0" w:space="0" w:color="auto"/>
        <w:bottom w:val="none" w:sz="0" w:space="0" w:color="auto"/>
        <w:right w:val="none" w:sz="0" w:space="0" w:color="auto"/>
      </w:divBdr>
    </w:div>
    <w:div w:id="458188784">
      <w:bodyDiv w:val="1"/>
      <w:marLeft w:val="0"/>
      <w:marRight w:val="0"/>
      <w:marTop w:val="0"/>
      <w:marBottom w:val="0"/>
      <w:divBdr>
        <w:top w:val="none" w:sz="0" w:space="0" w:color="auto"/>
        <w:left w:val="none" w:sz="0" w:space="0" w:color="auto"/>
        <w:bottom w:val="none" w:sz="0" w:space="0" w:color="auto"/>
        <w:right w:val="none" w:sz="0" w:space="0" w:color="auto"/>
      </w:divBdr>
    </w:div>
    <w:div w:id="458301490">
      <w:bodyDiv w:val="1"/>
      <w:marLeft w:val="0"/>
      <w:marRight w:val="0"/>
      <w:marTop w:val="0"/>
      <w:marBottom w:val="0"/>
      <w:divBdr>
        <w:top w:val="none" w:sz="0" w:space="0" w:color="auto"/>
        <w:left w:val="none" w:sz="0" w:space="0" w:color="auto"/>
        <w:bottom w:val="none" w:sz="0" w:space="0" w:color="auto"/>
        <w:right w:val="none" w:sz="0" w:space="0" w:color="auto"/>
      </w:divBdr>
    </w:div>
    <w:div w:id="458307937">
      <w:bodyDiv w:val="1"/>
      <w:marLeft w:val="0"/>
      <w:marRight w:val="0"/>
      <w:marTop w:val="0"/>
      <w:marBottom w:val="0"/>
      <w:divBdr>
        <w:top w:val="none" w:sz="0" w:space="0" w:color="auto"/>
        <w:left w:val="none" w:sz="0" w:space="0" w:color="auto"/>
        <w:bottom w:val="none" w:sz="0" w:space="0" w:color="auto"/>
        <w:right w:val="none" w:sz="0" w:space="0" w:color="auto"/>
      </w:divBdr>
    </w:div>
    <w:div w:id="458492586">
      <w:bodyDiv w:val="1"/>
      <w:marLeft w:val="0"/>
      <w:marRight w:val="0"/>
      <w:marTop w:val="0"/>
      <w:marBottom w:val="0"/>
      <w:divBdr>
        <w:top w:val="none" w:sz="0" w:space="0" w:color="auto"/>
        <w:left w:val="none" w:sz="0" w:space="0" w:color="auto"/>
        <w:bottom w:val="none" w:sz="0" w:space="0" w:color="auto"/>
        <w:right w:val="none" w:sz="0" w:space="0" w:color="auto"/>
      </w:divBdr>
    </w:div>
    <w:div w:id="458647999">
      <w:bodyDiv w:val="1"/>
      <w:marLeft w:val="0"/>
      <w:marRight w:val="0"/>
      <w:marTop w:val="0"/>
      <w:marBottom w:val="0"/>
      <w:divBdr>
        <w:top w:val="none" w:sz="0" w:space="0" w:color="auto"/>
        <w:left w:val="none" w:sz="0" w:space="0" w:color="auto"/>
        <w:bottom w:val="none" w:sz="0" w:space="0" w:color="auto"/>
        <w:right w:val="none" w:sz="0" w:space="0" w:color="auto"/>
      </w:divBdr>
    </w:div>
    <w:div w:id="458839613">
      <w:bodyDiv w:val="1"/>
      <w:marLeft w:val="0"/>
      <w:marRight w:val="0"/>
      <w:marTop w:val="0"/>
      <w:marBottom w:val="0"/>
      <w:divBdr>
        <w:top w:val="none" w:sz="0" w:space="0" w:color="auto"/>
        <w:left w:val="none" w:sz="0" w:space="0" w:color="auto"/>
        <w:bottom w:val="none" w:sz="0" w:space="0" w:color="auto"/>
        <w:right w:val="none" w:sz="0" w:space="0" w:color="auto"/>
      </w:divBdr>
    </w:div>
    <w:div w:id="459227091">
      <w:bodyDiv w:val="1"/>
      <w:marLeft w:val="0"/>
      <w:marRight w:val="0"/>
      <w:marTop w:val="0"/>
      <w:marBottom w:val="0"/>
      <w:divBdr>
        <w:top w:val="none" w:sz="0" w:space="0" w:color="auto"/>
        <w:left w:val="none" w:sz="0" w:space="0" w:color="auto"/>
        <w:bottom w:val="none" w:sz="0" w:space="0" w:color="auto"/>
        <w:right w:val="none" w:sz="0" w:space="0" w:color="auto"/>
      </w:divBdr>
    </w:div>
    <w:div w:id="459306661">
      <w:bodyDiv w:val="1"/>
      <w:marLeft w:val="0"/>
      <w:marRight w:val="0"/>
      <w:marTop w:val="0"/>
      <w:marBottom w:val="0"/>
      <w:divBdr>
        <w:top w:val="none" w:sz="0" w:space="0" w:color="auto"/>
        <w:left w:val="none" w:sz="0" w:space="0" w:color="auto"/>
        <w:bottom w:val="none" w:sz="0" w:space="0" w:color="auto"/>
        <w:right w:val="none" w:sz="0" w:space="0" w:color="auto"/>
      </w:divBdr>
    </w:div>
    <w:div w:id="459491453">
      <w:bodyDiv w:val="1"/>
      <w:marLeft w:val="0"/>
      <w:marRight w:val="0"/>
      <w:marTop w:val="0"/>
      <w:marBottom w:val="0"/>
      <w:divBdr>
        <w:top w:val="none" w:sz="0" w:space="0" w:color="auto"/>
        <w:left w:val="none" w:sz="0" w:space="0" w:color="auto"/>
        <w:bottom w:val="none" w:sz="0" w:space="0" w:color="auto"/>
        <w:right w:val="none" w:sz="0" w:space="0" w:color="auto"/>
      </w:divBdr>
    </w:div>
    <w:div w:id="459570009">
      <w:bodyDiv w:val="1"/>
      <w:marLeft w:val="0"/>
      <w:marRight w:val="0"/>
      <w:marTop w:val="0"/>
      <w:marBottom w:val="0"/>
      <w:divBdr>
        <w:top w:val="none" w:sz="0" w:space="0" w:color="auto"/>
        <w:left w:val="none" w:sz="0" w:space="0" w:color="auto"/>
        <w:bottom w:val="none" w:sz="0" w:space="0" w:color="auto"/>
        <w:right w:val="none" w:sz="0" w:space="0" w:color="auto"/>
      </w:divBdr>
    </w:div>
    <w:div w:id="459616521">
      <w:bodyDiv w:val="1"/>
      <w:marLeft w:val="0"/>
      <w:marRight w:val="0"/>
      <w:marTop w:val="0"/>
      <w:marBottom w:val="0"/>
      <w:divBdr>
        <w:top w:val="none" w:sz="0" w:space="0" w:color="auto"/>
        <w:left w:val="none" w:sz="0" w:space="0" w:color="auto"/>
        <w:bottom w:val="none" w:sz="0" w:space="0" w:color="auto"/>
        <w:right w:val="none" w:sz="0" w:space="0" w:color="auto"/>
      </w:divBdr>
    </w:div>
    <w:div w:id="459761639">
      <w:bodyDiv w:val="1"/>
      <w:marLeft w:val="0"/>
      <w:marRight w:val="0"/>
      <w:marTop w:val="0"/>
      <w:marBottom w:val="0"/>
      <w:divBdr>
        <w:top w:val="none" w:sz="0" w:space="0" w:color="auto"/>
        <w:left w:val="none" w:sz="0" w:space="0" w:color="auto"/>
        <w:bottom w:val="none" w:sz="0" w:space="0" w:color="auto"/>
        <w:right w:val="none" w:sz="0" w:space="0" w:color="auto"/>
      </w:divBdr>
    </w:div>
    <w:div w:id="459961731">
      <w:bodyDiv w:val="1"/>
      <w:marLeft w:val="0"/>
      <w:marRight w:val="0"/>
      <w:marTop w:val="0"/>
      <w:marBottom w:val="0"/>
      <w:divBdr>
        <w:top w:val="none" w:sz="0" w:space="0" w:color="auto"/>
        <w:left w:val="none" w:sz="0" w:space="0" w:color="auto"/>
        <w:bottom w:val="none" w:sz="0" w:space="0" w:color="auto"/>
        <w:right w:val="none" w:sz="0" w:space="0" w:color="auto"/>
      </w:divBdr>
    </w:div>
    <w:div w:id="460000534">
      <w:bodyDiv w:val="1"/>
      <w:marLeft w:val="0"/>
      <w:marRight w:val="0"/>
      <w:marTop w:val="0"/>
      <w:marBottom w:val="0"/>
      <w:divBdr>
        <w:top w:val="none" w:sz="0" w:space="0" w:color="auto"/>
        <w:left w:val="none" w:sz="0" w:space="0" w:color="auto"/>
        <w:bottom w:val="none" w:sz="0" w:space="0" w:color="auto"/>
        <w:right w:val="none" w:sz="0" w:space="0" w:color="auto"/>
      </w:divBdr>
    </w:div>
    <w:div w:id="460004250">
      <w:bodyDiv w:val="1"/>
      <w:marLeft w:val="0"/>
      <w:marRight w:val="0"/>
      <w:marTop w:val="0"/>
      <w:marBottom w:val="0"/>
      <w:divBdr>
        <w:top w:val="none" w:sz="0" w:space="0" w:color="auto"/>
        <w:left w:val="none" w:sz="0" w:space="0" w:color="auto"/>
        <w:bottom w:val="none" w:sz="0" w:space="0" w:color="auto"/>
        <w:right w:val="none" w:sz="0" w:space="0" w:color="auto"/>
      </w:divBdr>
    </w:div>
    <w:div w:id="460272295">
      <w:bodyDiv w:val="1"/>
      <w:marLeft w:val="0"/>
      <w:marRight w:val="0"/>
      <w:marTop w:val="0"/>
      <w:marBottom w:val="0"/>
      <w:divBdr>
        <w:top w:val="none" w:sz="0" w:space="0" w:color="auto"/>
        <w:left w:val="none" w:sz="0" w:space="0" w:color="auto"/>
        <w:bottom w:val="none" w:sz="0" w:space="0" w:color="auto"/>
        <w:right w:val="none" w:sz="0" w:space="0" w:color="auto"/>
      </w:divBdr>
    </w:div>
    <w:div w:id="460344931">
      <w:bodyDiv w:val="1"/>
      <w:marLeft w:val="0"/>
      <w:marRight w:val="0"/>
      <w:marTop w:val="0"/>
      <w:marBottom w:val="0"/>
      <w:divBdr>
        <w:top w:val="none" w:sz="0" w:space="0" w:color="auto"/>
        <w:left w:val="none" w:sz="0" w:space="0" w:color="auto"/>
        <w:bottom w:val="none" w:sz="0" w:space="0" w:color="auto"/>
        <w:right w:val="none" w:sz="0" w:space="0" w:color="auto"/>
      </w:divBdr>
    </w:div>
    <w:div w:id="460654086">
      <w:bodyDiv w:val="1"/>
      <w:marLeft w:val="0"/>
      <w:marRight w:val="0"/>
      <w:marTop w:val="0"/>
      <w:marBottom w:val="0"/>
      <w:divBdr>
        <w:top w:val="none" w:sz="0" w:space="0" w:color="auto"/>
        <w:left w:val="none" w:sz="0" w:space="0" w:color="auto"/>
        <w:bottom w:val="none" w:sz="0" w:space="0" w:color="auto"/>
        <w:right w:val="none" w:sz="0" w:space="0" w:color="auto"/>
      </w:divBdr>
    </w:div>
    <w:div w:id="460851498">
      <w:bodyDiv w:val="1"/>
      <w:marLeft w:val="0"/>
      <w:marRight w:val="0"/>
      <w:marTop w:val="0"/>
      <w:marBottom w:val="0"/>
      <w:divBdr>
        <w:top w:val="none" w:sz="0" w:space="0" w:color="auto"/>
        <w:left w:val="none" w:sz="0" w:space="0" w:color="auto"/>
        <w:bottom w:val="none" w:sz="0" w:space="0" w:color="auto"/>
        <w:right w:val="none" w:sz="0" w:space="0" w:color="auto"/>
      </w:divBdr>
    </w:div>
    <w:div w:id="461076935">
      <w:bodyDiv w:val="1"/>
      <w:marLeft w:val="0"/>
      <w:marRight w:val="0"/>
      <w:marTop w:val="0"/>
      <w:marBottom w:val="0"/>
      <w:divBdr>
        <w:top w:val="none" w:sz="0" w:space="0" w:color="auto"/>
        <w:left w:val="none" w:sz="0" w:space="0" w:color="auto"/>
        <w:bottom w:val="none" w:sz="0" w:space="0" w:color="auto"/>
        <w:right w:val="none" w:sz="0" w:space="0" w:color="auto"/>
      </w:divBdr>
    </w:div>
    <w:div w:id="461266915">
      <w:bodyDiv w:val="1"/>
      <w:marLeft w:val="0"/>
      <w:marRight w:val="0"/>
      <w:marTop w:val="0"/>
      <w:marBottom w:val="0"/>
      <w:divBdr>
        <w:top w:val="none" w:sz="0" w:space="0" w:color="auto"/>
        <w:left w:val="none" w:sz="0" w:space="0" w:color="auto"/>
        <w:bottom w:val="none" w:sz="0" w:space="0" w:color="auto"/>
        <w:right w:val="none" w:sz="0" w:space="0" w:color="auto"/>
      </w:divBdr>
    </w:div>
    <w:div w:id="461273487">
      <w:bodyDiv w:val="1"/>
      <w:marLeft w:val="0"/>
      <w:marRight w:val="0"/>
      <w:marTop w:val="0"/>
      <w:marBottom w:val="0"/>
      <w:divBdr>
        <w:top w:val="none" w:sz="0" w:space="0" w:color="auto"/>
        <w:left w:val="none" w:sz="0" w:space="0" w:color="auto"/>
        <w:bottom w:val="none" w:sz="0" w:space="0" w:color="auto"/>
        <w:right w:val="none" w:sz="0" w:space="0" w:color="auto"/>
      </w:divBdr>
    </w:div>
    <w:div w:id="461388662">
      <w:bodyDiv w:val="1"/>
      <w:marLeft w:val="0"/>
      <w:marRight w:val="0"/>
      <w:marTop w:val="0"/>
      <w:marBottom w:val="0"/>
      <w:divBdr>
        <w:top w:val="none" w:sz="0" w:space="0" w:color="auto"/>
        <w:left w:val="none" w:sz="0" w:space="0" w:color="auto"/>
        <w:bottom w:val="none" w:sz="0" w:space="0" w:color="auto"/>
        <w:right w:val="none" w:sz="0" w:space="0" w:color="auto"/>
      </w:divBdr>
    </w:div>
    <w:div w:id="461461159">
      <w:bodyDiv w:val="1"/>
      <w:marLeft w:val="0"/>
      <w:marRight w:val="0"/>
      <w:marTop w:val="0"/>
      <w:marBottom w:val="0"/>
      <w:divBdr>
        <w:top w:val="none" w:sz="0" w:space="0" w:color="auto"/>
        <w:left w:val="none" w:sz="0" w:space="0" w:color="auto"/>
        <w:bottom w:val="none" w:sz="0" w:space="0" w:color="auto"/>
        <w:right w:val="none" w:sz="0" w:space="0" w:color="auto"/>
      </w:divBdr>
    </w:div>
    <w:div w:id="461844960">
      <w:bodyDiv w:val="1"/>
      <w:marLeft w:val="0"/>
      <w:marRight w:val="0"/>
      <w:marTop w:val="0"/>
      <w:marBottom w:val="0"/>
      <w:divBdr>
        <w:top w:val="none" w:sz="0" w:space="0" w:color="auto"/>
        <w:left w:val="none" w:sz="0" w:space="0" w:color="auto"/>
        <w:bottom w:val="none" w:sz="0" w:space="0" w:color="auto"/>
        <w:right w:val="none" w:sz="0" w:space="0" w:color="auto"/>
      </w:divBdr>
    </w:div>
    <w:div w:id="461925127">
      <w:bodyDiv w:val="1"/>
      <w:marLeft w:val="0"/>
      <w:marRight w:val="0"/>
      <w:marTop w:val="0"/>
      <w:marBottom w:val="0"/>
      <w:divBdr>
        <w:top w:val="none" w:sz="0" w:space="0" w:color="auto"/>
        <w:left w:val="none" w:sz="0" w:space="0" w:color="auto"/>
        <w:bottom w:val="none" w:sz="0" w:space="0" w:color="auto"/>
        <w:right w:val="none" w:sz="0" w:space="0" w:color="auto"/>
      </w:divBdr>
    </w:div>
    <w:div w:id="461971220">
      <w:bodyDiv w:val="1"/>
      <w:marLeft w:val="0"/>
      <w:marRight w:val="0"/>
      <w:marTop w:val="0"/>
      <w:marBottom w:val="0"/>
      <w:divBdr>
        <w:top w:val="none" w:sz="0" w:space="0" w:color="auto"/>
        <w:left w:val="none" w:sz="0" w:space="0" w:color="auto"/>
        <w:bottom w:val="none" w:sz="0" w:space="0" w:color="auto"/>
        <w:right w:val="none" w:sz="0" w:space="0" w:color="auto"/>
      </w:divBdr>
    </w:div>
    <w:div w:id="462191286">
      <w:bodyDiv w:val="1"/>
      <w:marLeft w:val="0"/>
      <w:marRight w:val="0"/>
      <w:marTop w:val="0"/>
      <w:marBottom w:val="0"/>
      <w:divBdr>
        <w:top w:val="none" w:sz="0" w:space="0" w:color="auto"/>
        <w:left w:val="none" w:sz="0" w:space="0" w:color="auto"/>
        <w:bottom w:val="none" w:sz="0" w:space="0" w:color="auto"/>
        <w:right w:val="none" w:sz="0" w:space="0" w:color="auto"/>
      </w:divBdr>
    </w:div>
    <w:div w:id="462237837">
      <w:bodyDiv w:val="1"/>
      <w:marLeft w:val="0"/>
      <w:marRight w:val="0"/>
      <w:marTop w:val="0"/>
      <w:marBottom w:val="0"/>
      <w:divBdr>
        <w:top w:val="none" w:sz="0" w:space="0" w:color="auto"/>
        <w:left w:val="none" w:sz="0" w:space="0" w:color="auto"/>
        <w:bottom w:val="none" w:sz="0" w:space="0" w:color="auto"/>
        <w:right w:val="none" w:sz="0" w:space="0" w:color="auto"/>
      </w:divBdr>
    </w:div>
    <w:div w:id="462312216">
      <w:bodyDiv w:val="1"/>
      <w:marLeft w:val="0"/>
      <w:marRight w:val="0"/>
      <w:marTop w:val="0"/>
      <w:marBottom w:val="0"/>
      <w:divBdr>
        <w:top w:val="none" w:sz="0" w:space="0" w:color="auto"/>
        <w:left w:val="none" w:sz="0" w:space="0" w:color="auto"/>
        <w:bottom w:val="none" w:sz="0" w:space="0" w:color="auto"/>
        <w:right w:val="none" w:sz="0" w:space="0" w:color="auto"/>
      </w:divBdr>
    </w:div>
    <w:div w:id="462576567">
      <w:bodyDiv w:val="1"/>
      <w:marLeft w:val="0"/>
      <w:marRight w:val="0"/>
      <w:marTop w:val="0"/>
      <w:marBottom w:val="0"/>
      <w:divBdr>
        <w:top w:val="none" w:sz="0" w:space="0" w:color="auto"/>
        <w:left w:val="none" w:sz="0" w:space="0" w:color="auto"/>
        <w:bottom w:val="none" w:sz="0" w:space="0" w:color="auto"/>
        <w:right w:val="none" w:sz="0" w:space="0" w:color="auto"/>
      </w:divBdr>
    </w:div>
    <w:div w:id="462579591">
      <w:bodyDiv w:val="1"/>
      <w:marLeft w:val="0"/>
      <w:marRight w:val="0"/>
      <w:marTop w:val="0"/>
      <w:marBottom w:val="0"/>
      <w:divBdr>
        <w:top w:val="none" w:sz="0" w:space="0" w:color="auto"/>
        <w:left w:val="none" w:sz="0" w:space="0" w:color="auto"/>
        <w:bottom w:val="none" w:sz="0" w:space="0" w:color="auto"/>
        <w:right w:val="none" w:sz="0" w:space="0" w:color="auto"/>
      </w:divBdr>
    </w:div>
    <w:div w:id="462580575">
      <w:bodyDiv w:val="1"/>
      <w:marLeft w:val="0"/>
      <w:marRight w:val="0"/>
      <w:marTop w:val="0"/>
      <w:marBottom w:val="0"/>
      <w:divBdr>
        <w:top w:val="none" w:sz="0" w:space="0" w:color="auto"/>
        <w:left w:val="none" w:sz="0" w:space="0" w:color="auto"/>
        <w:bottom w:val="none" w:sz="0" w:space="0" w:color="auto"/>
        <w:right w:val="none" w:sz="0" w:space="0" w:color="auto"/>
      </w:divBdr>
    </w:div>
    <w:div w:id="462623970">
      <w:bodyDiv w:val="1"/>
      <w:marLeft w:val="0"/>
      <w:marRight w:val="0"/>
      <w:marTop w:val="0"/>
      <w:marBottom w:val="0"/>
      <w:divBdr>
        <w:top w:val="none" w:sz="0" w:space="0" w:color="auto"/>
        <w:left w:val="none" w:sz="0" w:space="0" w:color="auto"/>
        <w:bottom w:val="none" w:sz="0" w:space="0" w:color="auto"/>
        <w:right w:val="none" w:sz="0" w:space="0" w:color="auto"/>
      </w:divBdr>
    </w:div>
    <w:div w:id="462844457">
      <w:bodyDiv w:val="1"/>
      <w:marLeft w:val="0"/>
      <w:marRight w:val="0"/>
      <w:marTop w:val="0"/>
      <w:marBottom w:val="0"/>
      <w:divBdr>
        <w:top w:val="none" w:sz="0" w:space="0" w:color="auto"/>
        <w:left w:val="none" w:sz="0" w:space="0" w:color="auto"/>
        <w:bottom w:val="none" w:sz="0" w:space="0" w:color="auto"/>
        <w:right w:val="none" w:sz="0" w:space="0" w:color="auto"/>
      </w:divBdr>
    </w:div>
    <w:div w:id="463087002">
      <w:bodyDiv w:val="1"/>
      <w:marLeft w:val="0"/>
      <w:marRight w:val="0"/>
      <w:marTop w:val="0"/>
      <w:marBottom w:val="0"/>
      <w:divBdr>
        <w:top w:val="none" w:sz="0" w:space="0" w:color="auto"/>
        <w:left w:val="none" w:sz="0" w:space="0" w:color="auto"/>
        <w:bottom w:val="none" w:sz="0" w:space="0" w:color="auto"/>
        <w:right w:val="none" w:sz="0" w:space="0" w:color="auto"/>
      </w:divBdr>
    </w:div>
    <w:div w:id="463087624">
      <w:bodyDiv w:val="1"/>
      <w:marLeft w:val="0"/>
      <w:marRight w:val="0"/>
      <w:marTop w:val="0"/>
      <w:marBottom w:val="0"/>
      <w:divBdr>
        <w:top w:val="none" w:sz="0" w:space="0" w:color="auto"/>
        <w:left w:val="none" w:sz="0" w:space="0" w:color="auto"/>
        <w:bottom w:val="none" w:sz="0" w:space="0" w:color="auto"/>
        <w:right w:val="none" w:sz="0" w:space="0" w:color="auto"/>
      </w:divBdr>
    </w:div>
    <w:div w:id="463430702">
      <w:bodyDiv w:val="1"/>
      <w:marLeft w:val="0"/>
      <w:marRight w:val="0"/>
      <w:marTop w:val="0"/>
      <w:marBottom w:val="0"/>
      <w:divBdr>
        <w:top w:val="none" w:sz="0" w:space="0" w:color="auto"/>
        <w:left w:val="none" w:sz="0" w:space="0" w:color="auto"/>
        <w:bottom w:val="none" w:sz="0" w:space="0" w:color="auto"/>
        <w:right w:val="none" w:sz="0" w:space="0" w:color="auto"/>
      </w:divBdr>
    </w:div>
    <w:div w:id="463502988">
      <w:bodyDiv w:val="1"/>
      <w:marLeft w:val="0"/>
      <w:marRight w:val="0"/>
      <w:marTop w:val="0"/>
      <w:marBottom w:val="0"/>
      <w:divBdr>
        <w:top w:val="none" w:sz="0" w:space="0" w:color="auto"/>
        <w:left w:val="none" w:sz="0" w:space="0" w:color="auto"/>
        <w:bottom w:val="none" w:sz="0" w:space="0" w:color="auto"/>
        <w:right w:val="none" w:sz="0" w:space="0" w:color="auto"/>
      </w:divBdr>
    </w:div>
    <w:div w:id="463819051">
      <w:bodyDiv w:val="1"/>
      <w:marLeft w:val="0"/>
      <w:marRight w:val="0"/>
      <w:marTop w:val="0"/>
      <w:marBottom w:val="0"/>
      <w:divBdr>
        <w:top w:val="none" w:sz="0" w:space="0" w:color="auto"/>
        <w:left w:val="none" w:sz="0" w:space="0" w:color="auto"/>
        <w:bottom w:val="none" w:sz="0" w:space="0" w:color="auto"/>
        <w:right w:val="none" w:sz="0" w:space="0" w:color="auto"/>
      </w:divBdr>
    </w:div>
    <w:div w:id="464080222">
      <w:bodyDiv w:val="1"/>
      <w:marLeft w:val="0"/>
      <w:marRight w:val="0"/>
      <w:marTop w:val="0"/>
      <w:marBottom w:val="0"/>
      <w:divBdr>
        <w:top w:val="none" w:sz="0" w:space="0" w:color="auto"/>
        <w:left w:val="none" w:sz="0" w:space="0" w:color="auto"/>
        <w:bottom w:val="none" w:sz="0" w:space="0" w:color="auto"/>
        <w:right w:val="none" w:sz="0" w:space="0" w:color="auto"/>
      </w:divBdr>
    </w:div>
    <w:div w:id="464204590">
      <w:bodyDiv w:val="1"/>
      <w:marLeft w:val="0"/>
      <w:marRight w:val="0"/>
      <w:marTop w:val="0"/>
      <w:marBottom w:val="0"/>
      <w:divBdr>
        <w:top w:val="none" w:sz="0" w:space="0" w:color="auto"/>
        <w:left w:val="none" w:sz="0" w:space="0" w:color="auto"/>
        <w:bottom w:val="none" w:sz="0" w:space="0" w:color="auto"/>
        <w:right w:val="none" w:sz="0" w:space="0" w:color="auto"/>
      </w:divBdr>
    </w:div>
    <w:div w:id="464276455">
      <w:bodyDiv w:val="1"/>
      <w:marLeft w:val="0"/>
      <w:marRight w:val="0"/>
      <w:marTop w:val="0"/>
      <w:marBottom w:val="0"/>
      <w:divBdr>
        <w:top w:val="none" w:sz="0" w:space="0" w:color="auto"/>
        <w:left w:val="none" w:sz="0" w:space="0" w:color="auto"/>
        <w:bottom w:val="none" w:sz="0" w:space="0" w:color="auto"/>
        <w:right w:val="none" w:sz="0" w:space="0" w:color="auto"/>
      </w:divBdr>
    </w:div>
    <w:div w:id="464323500">
      <w:bodyDiv w:val="1"/>
      <w:marLeft w:val="0"/>
      <w:marRight w:val="0"/>
      <w:marTop w:val="0"/>
      <w:marBottom w:val="0"/>
      <w:divBdr>
        <w:top w:val="none" w:sz="0" w:space="0" w:color="auto"/>
        <w:left w:val="none" w:sz="0" w:space="0" w:color="auto"/>
        <w:bottom w:val="none" w:sz="0" w:space="0" w:color="auto"/>
        <w:right w:val="none" w:sz="0" w:space="0" w:color="auto"/>
      </w:divBdr>
    </w:div>
    <w:div w:id="464349225">
      <w:bodyDiv w:val="1"/>
      <w:marLeft w:val="0"/>
      <w:marRight w:val="0"/>
      <w:marTop w:val="0"/>
      <w:marBottom w:val="0"/>
      <w:divBdr>
        <w:top w:val="none" w:sz="0" w:space="0" w:color="auto"/>
        <w:left w:val="none" w:sz="0" w:space="0" w:color="auto"/>
        <w:bottom w:val="none" w:sz="0" w:space="0" w:color="auto"/>
        <w:right w:val="none" w:sz="0" w:space="0" w:color="auto"/>
      </w:divBdr>
    </w:div>
    <w:div w:id="464389866">
      <w:bodyDiv w:val="1"/>
      <w:marLeft w:val="0"/>
      <w:marRight w:val="0"/>
      <w:marTop w:val="0"/>
      <w:marBottom w:val="0"/>
      <w:divBdr>
        <w:top w:val="none" w:sz="0" w:space="0" w:color="auto"/>
        <w:left w:val="none" w:sz="0" w:space="0" w:color="auto"/>
        <w:bottom w:val="none" w:sz="0" w:space="0" w:color="auto"/>
        <w:right w:val="none" w:sz="0" w:space="0" w:color="auto"/>
      </w:divBdr>
    </w:div>
    <w:div w:id="464394984">
      <w:bodyDiv w:val="1"/>
      <w:marLeft w:val="0"/>
      <w:marRight w:val="0"/>
      <w:marTop w:val="0"/>
      <w:marBottom w:val="0"/>
      <w:divBdr>
        <w:top w:val="none" w:sz="0" w:space="0" w:color="auto"/>
        <w:left w:val="none" w:sz="0" w:space="0" w:color="auto"/>
        <w:bottom w:val="none" w:sz="0" w:space="0" w:color="auto"/>
        <w:right w:val="none" w:sz="0" w:space="0" w:color="auto"/>
      </w:divBdr>
    </w:div>
    <w:div w:id="464469762">
      <w:bodyDiv w:val="1"/>
      <w:marLeft w:val="0"/>
      <w:marRight w:val="0"/>
      <w:marTop w:val="0"/>
      <w:marBottom w:val="0"/>
      <w:divBdr>
        <w:top w:val="none" w:sz="0" w:space="0" w:color="auto"/>
        <w:left w:val="none" w:sz="0" w:space="0" w:color="auto"/>
        <w:bottom w:val="none" w:sz="0" w:space="0" w:color="auto"/>
        <w:right w:val="none" w:sz="0" w:space="0" w:color="auto"/>
      </w:divBdr>
    </w:div>
    <w:div w:id="464662602">
      <w:bodyDiv w:val="1"/>
      <w:marLeft w:val="0"/>
      <w:marRight w:val="0"/>
      <w:marTop w:val="0"/>
      <w:marBottom w:val="0"/>
      <w:divBdr>
        <w:top w:val="none" w:sz="0" w:space="0" w:color="auto"/>
        <w:left w:val="none" w:sz="0" w:space="0" w:color="auto"/>
        <w:bottom w:val="none" w:sz="0" w:space="0" w:color="auto"/>
        <w:right w:val="none" w:sz="0" w:space="0" w:color="auto"/>
      </w:divBdr>
    </w:div>
    <w:div w:id="464813268">
      <w:bodyDiv w:val="1"/>
      <w:marLeft w:val="0"/>
      <w:marRight w:val="0"/>
      <w:marTop w:val="0"/>
      <w:marBottom w:val="0"/>
      <w:divBdr>
        <w:top w:val="none" w:sz="0" w:space="0" w:color="auto"/>
        <w:left w:val="none" w:sz="0" w:space="0" w:color="auto"/>
        <w:bottom w:val="none" w:sz="0" w:space="0" w:color="auto"/>
        <w:right w:val="none" w:sz="0" w:space="0" w:color="auto"/>
      </w:divBdr>
    </w:div>
    <w:div w:id="464856986">
      <w:bodyDiv w:val="1"/>
      <w:marLeft w:val="0"/>
      <w:marRight w:val="0"/>
      <w:marTop w:val="0"/>
      <w:marBottom w:val="0"/>
      <w:divBdr>
        <w:top w:val="none" w:sz="0" w:space="0" w:color="auto"/>
        <w:left w:val="none" w:sz="0" w:space="0" w:color="auto"/>
        <w:bottom w:val="none" w:sz="0" w:space="0" w:color="auto"/>
        <w:right w:val="none" w:sz="0" w:space="0" w:color="auto"/>
      </w:divBdr>
    </w:div>
    <w:div w:id="465128974">
      <w:bodyDiv w:val="1"/>
      <w:marLeft w:val="0"/>
      <w:marRight w:val="0"/>
      <w:marTop w:val="0"/>
      <w:marBottom w:val="0"/>
      <w:divBdr>
        <w:top w:val="none" w:sz="0" w:space="0" w:color="auto"/>
        <w:left w:val="none" w:sz="0" w:space="0" w:color="auto"/>
        <w:bottom w:val="none" w:sz="0" w:space="0" w:color="auto"/>
        <w:right w:val="none" w:sz="0" w:space="0" w:color="auto"/>
      </w:divBdr>
    </w:div>
    <w:div w:id="465199429">
      <w:bodyDiv w:val="1"/>
      <w:marLeft w:val="0"/>
      <w:marRight w:val="0"/>
      <w:marTop w:val="0"/>
      <w:marBottom w:val="0"/>
      <w:divBdr>
        <w:top w:val="none" w:sz="0" w:space="0" w:color="auto"/>
        <w:left w:val="none" w:sz="0" w:space="0" w:color="auto"/>
        <w:bottom w:val="none" w:sz="0" w:space="0" w:color="auto"/>
        <w:right w:val="none" w:sz="0" w:space="0" w:color="auto"/>
      </w:divBdr>
    </w:div>
    <w:div w:id="465315292">
      <w:bodyDiv w:val="1"/>
      <w:marLeft w:val="0"/>
      <w:marRight w:val="0"/>
      <w:marTop w:val="0"/>
      <w:marBottom w:val="0"/>
      <w:divBdr>
        <w:top w:val="none" w:sz="0" w:space="0" w:color="auto"/>
        <w:left w:val="none" w:sz="0" w:space="0" w:color="auto"/>
        <w:bottom w:val="none" w:sz="0" w:space="0" w:color="auto"/>
        <w:right w:val="none" w:sz="0" w:space="0" w:color="auto"/>
      </w:divBdr>
    </w:div>
    <w:div w:id="465391468">
      <w:bodyDiv w:val="1"/>
      <w:marLeft w:val="0"/>
      <w:marRight w:val="0"/>
      <w:marTop w:val="0"/>
      <w:marBottom w:val="0"/>
      <w:divBdr>
        <w:top w:val="none" w:sz="0" w:space="0" w:color="auto"/>
        <w:left w:val="none" w:sz="0" w:space="0" w:color="auto"/>
        <w:bottom w:val="none" w:sz="0" w:space="0" w:color="auto"/>
        <w:right w:val="none" w:sz="0" w:space="0" w:color="auto"/>
      </w:divBdr>
    </w:div>
    <w:div w:id="465508171">
      <w:bodyDiv w:val="1"/>
      <w:marLeft w:val="0"/>
      <w:marRight w:val="0"/>
      <w:marTop w:val="0"/>
      <w:marBottom w:val="0"/>
      <w:divBdr>
        <w:top w:val="none" w:sz="0" w:space="0" w:color="auto"/>
        <w:left w:val="none" w:sz="0" w:space="0" w:color="auto"/>
        <w:bottom w:val="none" w:sz="0" w:space="0" w:color="auto"/>
        <w:right w:val="none" w:sz="0" w:space="0" w:color="auto"/>
      </w:divBdr>
    </w:div>
    <w:div w:id="465516461">
      <w:bodyDiv w:val="1"/>
      <w:marLeft w:val="0"/>
      <w:marRight w:val="0"/>
      <w:marTop w:val="0"/>
      <w:marBottom w:val="0"/>
      <w:divBdr>
        <w:top w:val="none" w:sz="0" w:space="0" w:color="auto"/>
        <w:left w:val="none" w:sz="0" w:space="0" w:color="auto"/>
        <w:bottom w:val="none" w:sz="0" w:space="0" w:color="auto"/>
        <w:right w:val="none" w:sz="0" w:space="0" w:color="auto"/>
      </w:divBdr>
    </w:div>
    <w:div w:id="465587348">
      <w:bodyDiv w:val="1"/>
      <w:marLeft w:val="0"/>
      <w:marRight w:val="0"/>
      <w:marTop w:val="0"/>
      <w:marBottom w:val="0"/>
      <w:divBdr>
        <w:top w:val="none" w:sz="0" w:space="0" w:color="auto"/>
        <w:left w:val="none" w:sz="0" w:space="0" w:color="auto"/>
        <w:bottom w:val="none" w:sz="0" w:space="0" w:color="auto"/>
        <w:right w:val="none" w:sz="0" w:space="0" w:color="auto"/>
      </w:divBdr>
    </w:div>
    <w:div w:id="465700881">
      <w:bodyDiv w:val="1"/>
      <w:marLeft w:val="0"/>
      <w:marRight w:val="0"/>
      <w:marTop w:val="0"/>
      <w:marBottom w:val="0"/>
      <w:divBdr>
        <w:top w:val="none" w:sz="0" w:space="0" w:color="auto"/>
        <w:left w:val="none" w:sz="0" w:space="0" w:color="auto"/>
        <w:bottom w:val="none" w:sz="0" w:space="0" w:color="auto"/>
        <w:right w:val="none" w:sz="0" w:space="0" w:color="auto"/>
      </w:divBdr>
    </w:div>
    <w:div w:id="465781240">
      <w:bodyDiv w:val="1"/>
      <w:marLeft w:val="0"/>
      <w:marRight w:val="0"/>
      <w:marTop w:val="0"/>
      <w:marBottom w:val="0"/>
      <w:divBdr>
        <w:top w:val="none" w:sz="0" w:space="0" w:color="auto"/>
        <w:left w:val="none" w:sz="0" w:space="0" w:color="auto"/>
        <w:bottom w:val="none" w:sz="0" w:space="0" w:color="auto"/>
        <w:right w:val="none" w:sz="0" w:space="0" w:color="auto"/>
      </w:divBdr>
    </w:div>
    <w:div w:id="465783052">
      <w:bodyDiv w:val="1"/>
      <w:marLeft w:val="0"/>
      <w:marRight w:val="0"/>
      <w:marTop w:val="0"/>
      <w:marBottom w:val="0"/>
      <w:divBdr>
        <w:top w:val="none" w:sz="0" w:space="0" w:color="auto"/>
        <w:left w:val="none" w:sz="0" w:space="0" w:color="auto"/>
        <w:bottom w:val="none" w:sz="0" w:space="0" w:color="auto"/>
        <w:right w:val="none" w:sz="0" w:space="0" w:color="auto"/>
      </w:divBdr>
    </w:div>
    <w:div w:id="465976331">
      <w:bodyDiv w:val="1"/>
      <w:marLeft w:val="0"/>
      <w:marRight w:val="0"/>
      <w:marTop w:val="0"/>
      <w:marBottom w:val="0"/>
      <w:divBdr>
        <w:top w:val="none" w:sz="0" w:space="0" w:color="auto"/>
        <w:left w:val="none" w:sz="0" w:space="0" w:color="auto"/>
        <w:bottom w:val="none" w:sz="0" w:space="0" w:color="auto"/>
        <w:right w:val="none" w:sz="0" w:space="0" w:color="auto"/>
      </w:divBdr>
    </w:div>
    <w:div w:id="466241179">
      <w:bodyDiv w:val="1"/>
      <w:marLeft w:val="0"/>
      <w:marRight w:val="0"/>
      <w:marTop w:val="0"/>
      <w:marBottom w:val="0"/>
      <w:divBdr>
        <w:top w:val="none" w:sz="0" w:space="0" w:color="auto"/>
        <w:left w:val="none" w:sz="0" w:space="0" w:color="auto"/>
        <w:bottom w:val="none" w:sz="0" w:space="0" w:color="auto"/>
        <w:right w:val="none" w:sz="0" w:space="0" w:color="auto"/>
      </w:divBdr>
    </w:div>
    <w:div w:id="466431931">
      <w:bodyDiv w:val="1"/>
      <w:marLeft w:val="0"/>
      <w:marRight w:val="0"/>
      <w:marTop w:val="0"/>
      <w:marBottom w:val="0"/>
      <w:divBdr>
        <w:top w:val="none" w:sz="0" w:space="0" w:color="auto"/>
        <w:left w:val="none" w:sz="0" w:space="0" w:color="auto"/>
        <w:bottom w:val="none" w:sz="0" w:space="0" w:color="auto"/>
        <w:right w:val="none" w:sz="0" w:space="0" w:color="auto"/>
      </w:divBdr>
    </w:div>
    <w:div w:id="466551587">
      <w:bodyDiv w:val="1"/>
      <w:marLeft w:val="0"/>
      <w:marRight w:val="0"/>
      <w:marTop w:val="0"/>
      <w:marBottom w:val="0"/>
      <w:divBdr>
        <w:top w:val="none" w:sz="0" w:space="0" w:color="auto"/>
        <w:left w:val="none" w:sz="0" w:space="0" w:color="auto"/>
        <w:bottom w:val="none" w:sz="0" w:space="0" w:color="auto"/>
        <w:right w:val="none" w:sz="0" w:space="0" w:color="auto"/>
      </w:divBdr>
    </w:div>
    <w:div w:id="466974353">
      <w:bodyDiv w:val="1"/>
      <w:marLeft w:val="0"/>
      <w:marRight w:val="0"/>
      <w:marTop w:val="0"/>
      <w:marBottom w:val="0"/>
      <w:divBdr>
        <w:top w:val="none" w:sz="0" w:space="0" w:color="auto"/>
        <w:left w:val="none" w:sz="0" w:space="0" w:color="auto"/>
        <w:bottom w:val="none" w:sz="0" w:space="0" w:color="auto"/>
        <w:right w:val="none" w:sz="0" w:space="0" w:color="auto"/>
      </w:divBdr>
    </w:div>
    <w:div w:id="467360116">
      <w:bodyDiv w:val="1"/>
      <w:marLeft w:val="0"/>
      <w:marRight w:val="0"/>
      <w:marTop w:val="0"/>
      <w:marBottom w:val="0"/>
      <w:divBdr>
        <w:top w:val="none" w:sz="0" w:space="0" w:color="auto"/>
        <w:left w:val="none" w:sz="0" w:space="0" w:color="auto"/>
        <w:bottom w:val="none" w:sz="0" w:space="0" w:color="auto"/>
        <w:right w:val="none" w:sz="0" w:space="0" w:color="auto"/>
      </w:divBdr>
    </w:div>
    <w:div w:id="467477270">
      <w:bodyDiv w:val="1"/>
      <w:marLeft w:val="0"/>
      <w:marRight w:val="0"/>
      <w:marTop w:val="0"/>
      <w:marBottom w:val="0"/>
      <w:divBdr>
        <w:top w:val="none" w:sz="0" w:space="0" w:color="auto"/>
        <w:left w:val="none" w:sz="0" w:space="0" w:color="auto"/>
        <w:bottom w:val="none" w:sz="0" w:space="0" w:color="auto"/>
        <w:right w:val="none" w:sz="0" w:space="0" w:color="auto"/>
      </w:divBdr>
    </w:div>
    <w:div w:id="467893910">
      <w:bodyDiv w:val="1"/>
      <w:marLeft w:val="0"/>
      <w:marRight w:val="0"/>
      <w:marTop w:val="0"/>
      <w:marBottom w:val="0"/>
      <w:divBdr>
        <w:top w:val="none" w:sz="0" w:space="0" w:color="auto"/>
        <w:left w:val="none" w:sz="0" w:space="0" w:color="auto"/>
        <w:bottom w:val="none" w:sz="0" w:space="0" w:color="auto"/>
        <w:right w:val="none" w:sz="0" w:space="0" w:color="auto"/>
      </w:divBdr>
    </w:div>
    <w:div w:id="468010241">
      <w:bodyDiv w:val="1"/>
      <w:marLeft w:val="0"/>
      <w:marRight w:val="0"/>
      <w:marTop w:val="0"/>
      <w:marBottom w:val="0"/>
      <w:divBdr>
        <w:top w:val="none" w:sz="0" w:space="0" w:color="auto"/>
        <w:left w:val="none" w:sz="0" w:space="0" w:color="auto"/>
        <w:bottom w:val="none" w:sz="0" w:space="0" w:color="auto"/>
        <w:right w:val="none" w:sz="0" w:space="0" w:color="auto"/>
      </w:divBdr>
    </w:div>
    <w:div w:id="468208004">
      <w:bodyDiv w:val="1"/>
      <w:marLeft w:val="0"/>
      <w:marRight w:val="0"/>
      <w:marTop w:val="0"/>
      <w:marBottom w:val="0"/>
      <w:divBdr>
        <w:top w:val="none" w:sz="0" w:space="0" w:color="auto"/>
        <w:left w:val="none" w:sz="0" w:space="0" w:color="auto"/>
        <w:bottom w:val="none" w:sz="0" w:space="0" w:color="auto"/>
        <w:right w:val="none" w:sz="0" w:space="0" w:color="auto"/>
      </w:divBdr>
    </w:div>
    <w:div w:id="468791189">
      <w:bodyDiv w:val="1"/>
      <w:marLeft w:val="0"/>
      <w:marRight w:val="0"/>
      <w:marTop w:val="0"/>
      <w:marBottom w:val="0"/>
      <w:divBdr>
        <w:top w:val="none" w:sz="0" w:space="0" w:color="auto"/>
        <w:left w:val="none" w:sz="0" w:space="0" w:color="auto"/>
        <w:bottom w:val="none" w:sz="0" w:space="0" w:color="auto"/>
        <w:right w:val="none" w:sz="0" w:space="0" w:color="auto"/>
      </w:divBdr>
    </w:div>
    <w:div w:id="468866166">
      <w:bodyDiv w:val="1"/>
      <w:marLeft w:val="0"/>
      <w:marRight w:val="0"/>
      <w:marTop w:val="0"/>
      <w:marBottom w:val="0"/>
      <w:divBdr>
        <w:top w:val="none" w:sz="0" w:space="0" w:color="auto"/>
        <w:left w:val="none" w:sz="0" w:space="0" w:color="auto"/>
        <w:bottom w:val="none" w:sz="0" w:space="0" w:color="auto"/>
        <w:right w:val="none" w:sz="0" w:space="0" w:color="auto"/>
      </w:divBdr>
    </w:div>
    <w:div w:id="468910652">
      <w:bodyDiv w:val="1"/>
      <w:marLeft w:val="0"/>
      <w:marRight w:val="0"/>
      <w:marTop w:val="0"/>
      <w:marBottom w:val="0"/>
      <w:divBdr>
        <w:top w:val="none" w:sz="0" w:space="0" w:color="auto"/>
        <w:left w:val="none" w:sz="0" w:space="0" w:color="auto"/>
        <w:bottom w:val="none" w:sz="0" w:space="0" w:color="auto"/>
        <w:right w:val="none" w:sz="0" w:space="0" w:color="auto"/>
      </w:divBdr>
    </w:div>
    <w:div w:id="468942357">
      <w:bodyDiv w:val="1"/>
      <w:marLeft w:val="0"/>
      <w:marRight w:val="0"/>
      <w:marTop w:val="0"/>
      <w:marBottom w:val="0"/>
      <w:divBdr>
        <w:top w:val="none" w:sz="0" w:space="0" w:color="auto"/>
        <w:left w:val="none" w:sz="0" w:space="0" w:color="auto"/>
        <w:bottom w:val="none" w:sz="0" w:space="0" w:color="auto"/>
        <w:right w:val="none" w:sz="0" w:space="0" w:color="auto"/>
      </w:divBdr>
    </w:div>
    <w:div w:id="469059274">
      <w:bodyDiv w:val="1"/>
      <w:marLeft w:val="0"/>
      <w:marRight w:val="0"/>
      <w:marTop w:val="0"/>
      <w:marBottom w:val="0"/>
      <w:divBdr>
        <w:top w:val="none" w:sz="0" w:space="0" w:color="auto"/>
        <w:left w:val="none" w:sz="0" w:space="0" w:color="auto"/>
        <w:bottom w:val="none" w:sz="0" w:space="0" w:color="auto"/>
        <w:right w:val="none" w:sz="0" w:space="0" w:color="auto"/>
      </w:divBdr>
    </w:div>
    <w:div w:id="469179091">
      <w:bodyDiv w:val="1"/>
      <w:marLeft w:val="0"/>
      <w:marRight w:val="0"/>
      <w:marTop w:val="0"/>
      <w:marBottom w:val="0"/>
      <w:divBdr>
        <w:top w:val="none" w:sz="0" w:space="0" w:color="auto"/>
        <w:left w:val="none" w:sz="0" w:space="0" w:color="auto"/>
        <w:bottom w:val="none" w:sz="0" w:space="0" w:color="auto"/>
        <w:right w:val="none" w:sz="0" w:space="0" w:color="auto"/>
      </w:divBdr>
    </w:div>
    <w:div w:id="469202799">
      <w:bodyDiv w:val="1"/>
      <w:marLeft w:val="0"/>
      <w:marRight w:val="0"/>
      <w:marTop w:val="0"/>
      <w:marBottom w:val="0"/>
      <w:divBdr>
        <w:top w:val="none" w:sz="0" w:space="0" w:color="auto"/>
        <w:left w:val="none" w:sz="0" w:space="0" w:color="auto"/>
        <w:bottom w:val="none" w:sz="0" w:space="0" w:color="auto"/>
        <w:right w:val="none" w:sz="0" w:space="0" w:color="auto"/>
      </w:divBdr>
    </w:div>
    <w:div w:id="469203915">
      <w:bodyDiv w:val="1"/>
      <w:marLeft w:val="0"/>
      <w:marRight w:val="0"/>
      <w:marTop w:val="0"/>
      <w:marBottom w:val="0"/>
      <w:divBdr>
        <w:top w:val="none" w:sz="0" w:space="0" w:color="auto"/>
        <w:left w:val="none" w:sz="0" w:space="0" w:color="auto"/>
        <w:bottom w:val="none" w:sz="0" w:space="0" w:color="auto"/>
        <w:right w:val="none" w:sz="0" w:space="0" w:color="auto"/>
      </w:divBdr>
    </w:div>
    <w:div w:id="469440232">
      <w:bodyDiv w:val="1"/>
      <w:marLeft w:val="0"/>
      <w:marRight w:val="0"/>
      <w:marTop w:val="0"/>
      <w:marBottom w:val="0"/>
      <w:divBdr>
        <w:top w:val="none" w:sz="0" w:space="0" w:color="auto"/>
        <w:left w:val="none" w:sz="0" w:space="0" w:color="auto"/>
        <w:bottom w:val="none" w:sz="0" w:space="0" w:color="auto"/>
        <w:right w:val="none" w:sz="0" w:space="0" w:color="auto"/>
      </w:divBdr>
    </w:div>
    <w:div w:id="469441490">
      <w:bodyDiv w:val="1"/>
      <w:marLeft w:val="0"/>
      <w:marRight w:val="0"/>
      <w:marTop w:val="0"/>
      <w:marBottom w:val="0"/>
      <w:divBdr>
        <w:top w:val="none" w:sz="0" w:space="0" w:color="auto"/>
        <w:left w:val="none" w:sz="0" w:space="0" w:color="auto"/>
        <w:bottom w:val="none" w:sz="0" w:space="0" w:color="auto"/>
        <w:right w:val="none" w:sz="0" w:space="0" w:color="auto"/>
      </w:divBdr>
    </w:div>
    <w:div w:id="469442293">
      <w:bodyDiv w:val="1"/>
      <w:marLeft w:val="0"/>
      <w:marRight w:val="0"/>
      <w:marTop w:val="0"/>
      <w:marBottom w:val="0"/>
      <w:divBdr>
        <w:top w:val="none" w:sz="0" w:space="0" w:color="auto"/>
        <w:left w:val="none" w:sz="0" w:space="0" w:color="auto"/>
        <w:bottom w:val="none" w:sz="0" w:space="0" w:color="auto"/>
        <w:right w:val="none" w:sz="0" w:space="0" w:color="auto"/>
      </w:divBdr>
    </w:div>
    <w:div w:id="469443540">
      <w:bodyDiv w:val="1"/>
      <w:marLeft w:val="0"/>
      <w:marRight w:val="0"/>
      <w:marTop w:val="0"/>
      <w:marBottom w:val="0"/>
      <w:divBdr>
        <w:top w:val="none" w:sz="0" w:space="0" w:color="auto"/>
        <w:left w:val="none" w:sz="0" w:space="0" w:color="auto"/>
        <w:bottom w:val="none" w:sz="0" w:space="0" w:color="auto"/>
        <w:right w:val="none" w:sz="0" w:space="0" w:color="auto"/>
      </w:divBdr>
    </w:div>
    <w:div w:id="469591810">
      <w:bodyDiv w:val="1"/>
      <w:marLeft w:val="0"/>
      <w:marRight w:val="0"/>
      <w:marTop w:val="0"/>
      <w:marBottom w:val="0"/>
      <w:divBdr>
        <w:top w:val="none" w:sz="0" w:space="0" w:color="auto"/>
        <w:left w:val="none" w:sz="0" w:space="0" w:color="auto"/>
        <w:bottom w:val="none" w:sz="0" w:space="0" w:color="auto"/>
        <w:right w:val="none" w:sz="0" w:space="0" w:color="auto"/>
      </w:divBdr>
    </w:div>
    <w:div w:id="469595908">
      <w:bodyDiv w:val="1"/>
      <w:marLeft w:val="0"/>
      <w:marRight w:val="0"/>
      <w:marTop w:val="0"/>
      <w:marBottom w:val="0"/>
      <w:divBdr>
        <w:top w:val="none" w:sz="0" w:space="0" w:color="auto"/>
        <w:left w:val="none" w:sz="0" w:space="0" w:color="auto"/>
        <w:bottom w:val="none" w:sz="0" w:space="0" w:color="auto"/>
        <w:right w:val="none" w:sz="0" w:space="0" w:color="auto"/>
      </w:divBdr>
    </w:div>
    <w:div w:id="469596302">
      <w:bodyDiv w:val="1"/>
      <w:marLeft w:val="0"/>
      <w:marRight w:val="0"/>
      <w:marTop w:val="0"/>
      <w:marBottom w:val="0"/>
      <w:divBdr>
        <w:top w:val="none" w:sz="0" w:space="0" w:color="auto"/>
        <w:left w:val="none" w:sz="0" w:space="0" w:color="auto"/>
        <w:bottom w:val="none" w:sz="0" w:space="0" w:color="auto"/>
        <w:right w:val="none" w:sz="0" w:space="0" w:color="auto"/>
      </w:divBdr>
    </w:div>
    <w:div w:id="469596814">
      <w:bodyDiv w:val="1"/>
      <w:marLeft w:val="0"/>
      <w:marRight w:val="0"/>
      <w:marTop w:val="0"/>
      <w:marBottom w:val="0"/>
      <w:divBdr>
        <w:top w:val="none" w:sz="0" w:space="0" w:color="auto"/>
        <w:left w:val="none" w:sz="0" w:space="0" w:color="auto"/>
        <w:bottom w:val="none" w:sz="0" w:space="0" w:color="auto"/>
        <w:right w:val="none" w:sz="0" w:space="0" w:color="auto"/>
      </w:divBdr>
    </w:div>
    <w:div w:id="469638148">
      <w:bodyDiv w:val="1"/>
      <w:marLeft w:val="0"/>
      <w:marRight w:val="0"/>
      <w:marTop w:val="0"/>
      <w:marBottom w:val="0"/>
      <w:divBdr>
        <w:top w:val="none" w:sz="0" w:space="0" w:color="auto"/>
        <w:left w:val="none" w:sz="0" w:space="0" w:color="auto"/>
        <w:bottom w:val="none" w:sz="0" w:space="0" w:color="auto"/>
        <w:right w:val="none" w:sz="0" w:space="0" w:color="auto"/>
      </w:divBdr>
    </w:div>
    <w:div w:id="469640225">
      <w:bodyDiv w:val="1"/>
      <w:marLeft w:val="0"/>
      <w:marRight w:val="0"/>
      <w:marTop w:val="0"/>
      <w:marBottom w:val="0"/>
      <w:divBdr>
        <w:top w:val="none" w:sz="0" w:space="0" w:color="auto"/>
        <w:left w:val="none" w:sz="0" w:space="0" w:color="auto"/>
        <w:bottom w:val="none" w:sz="0" w:space="0" w:color="auto"/>
        <w:right w:val="none" w:sz="0" w:space="0" w:color="auto"/>
      </w:divBdr>
    </w:div>
    <w:div w:id="469783299">
      <w:bodyDiv w:val="1"/>
      <w:marLeft w:val="0"/>
      <w:marRight w:val="0"/>
      <w:marTop w:val="0"/>
      <w:marBottom w:val="0"/>
      <w:divBdr>
        <w:top w:val="none" w:sz="0" w:space="0" w:color="auto"/>
        <w:left w:val="none" w:sz="0" w:space="0" w:color="auto"/>
        <w:bottom w:val="none" w:sz="0" w:space="0" w:color="auto"/>
        <w:right w:val="none" w:sz="0" w:space="0" w:color="auto"/>
      </w:divBdr>
    </w:div>
    <w:div w:id="469909277">
      <w:bodyDiv w:val="1"/>
      <w:marLeft w:val="0"/>
      <w:marRight w:val="0"/>
      <w:marTop w:val="0"/>
      <w:marBottom w:val="0"/>
      <w:divBdr>
        <w:top w:val="none" w:sz="0" w:space="0" w:color="auto"/>
        <w:left w:val="none" w:sz="0" w:space="0" w:color="auto"/>
        <w:bottom w:val="none" w:sz="0" w:space="0" w:color="auto"/>
        <w:right w:val="none" w:sz="0" w:space="0" w:color="auto"/>
      </w:divBdr>
    </w:div>
    <w:div w:id="469983815">
      <w:bodyDiv w:val="1"/>
      <w:marLeft w:val="0"/>
      <w:marRight w:val="0"/>
      <w:marTop w:val="0"/>
      <w:marBottom w:val="0"/>
      <w:divBdr>
        <w:top w:val="none" w:sz="0" w:space="0" w:color="auto"/>
        <w:left w:val="none" w:sz="0" w:space="0" w:color="auto"/>
        <w:bottom w:val="none" w:sz="0" w:space="0" w:color="auto"/>
        <w:right w:val="none" w:sz="0" w:space="0" w:color="auto"/>
      </w:divBdr>
    </w:div>
    <w:div w:id="470094555">
      <w:bodyDiv w:val="1"/>
      <w:marLeft w:val="0"/>
      <w:marRight w:val="0"/>
      <w:marTop w:val="0"/>
      <w:marBottom w:val="0"/>
      <w:divBdr>
        <w:top w:val="none" w:sz="0" w:space="0" w:color="auto"/>
        <w:left w:val="none" w:sz="0" w:space="0" w:color="auto"/>
        <w:bottom w:val="none" w:sz="0" w:space="0" w:color="auto"/>
        <w:right w:val="none" w:sz="0" w:space="0" w:color="auto"/>
      </w:divBdr>
    </w:div>
    <w:div w:id="470245557">
      <w:bodyDiv w:val="1"/>
      <w:marLeft w:val="0"/>
      <w:marRight w:val="0"/>
      <w:marTop w:val="0"/>
      <w:marBottom w:val="0"/>
      <w:divBdr>
        <w:top w:val="none" w:sz="0" w:space="0" w:color="auto"/>
        <w:left w:val="none" w:sz="0" w:space="0" w:color="auto"/>
        <w:bottom w:val="none" w:sz="0" w:space="0" w:color="auto"/>
        <w:right w:val="none" w:sz="0" w:space="0" w:color="auto"/>
      </w:divBdr>
    </w:div>
    <w:div w:id="470247161">
      <w:bodyDiv w:val="1"/>
      <w:marLeft w:val="0"/>
      <w:marRight w:val="0"/>
      <w:marTop w:val="0"/>
      <w:marBottom w:val="0"/>
      <w:divBdr>
        <w:top w:val="none" w:sz="0" w:space="0" w:color="auto"/>
        <w:left w:val="none" w:sz="0" w:space="0" w:color="auto"/>
        <w:bottom w:val="none" w:sz="0" w:space="0" w:color="auto"/>
        <w:right w:val="none" w:sz="0" w:space="0" w:color="auto"/>
      </w:divBdr>
    </w:div>
    <w:div w:id="470362656">
      <w:bodyDiv w:val="1"/>
      <w:marLeft w:val="0"/>
      <w:marRight w:val="0"/>
      <w:marTop w:val="0"/>
      <w:marBottom w:val="0"/>
      <w:divBdr>
        <w:top w:val="none" w:sz="0" w:space="0" w:color="auto"/>
        <w:left w:val="none" w:sz="0" w:space="0" w:color="auto"/>
        <w:bottom w:val="none" w:sz="0" w:space="0" w:color="auto"/>
        <w:right w:val="none" w:sz="0" w:space="0" w:color="auto"/>
      </w:divBdr>
    </w:div>
    <w:div w:id="470636359">
      <w:bodyDiv w:val="1"/>
      <w:marLeft w:val="0"/>
      <w:marRight w:val="0"/>
      <w:marTop w:val="0"/>
      <w:marBottom w:val="0"/>
      <w:divBdr>
        <w:top w:val="none" w:sz="0" w:space="0" w:color="auto"/>
        <w:left w:val="none" w:sz="0" w:space="0" w:color="auto"/>
        <w:bottom w:val="none" w:sz="0" w:space="0" w:color="auto"/>
        <w:right w:val="none" w:sz="0" w:space="0" w:color="auto"/>
      </w:divBdr>
    </w:div>
    <w:div w:id="470710046">
      <w:bodyDiv w:val="1"/>
      <w:marLeft w:val="0"/>
      <w:marRight w:val="0"/>
      <w:marTop w:val="0"/>
      <w:marBottom w:val="0"/>
      <w:divBdr>
        <w:top w:val="none" w:sz="0" w:space="0" w:color="auto"/>
        <w:left w:val="none" w:sz="0" w:space="0" w:color="auto"/>
        <w:bottom w:val="none" w:sz="0" w:space="0" w:color="auto"/>
        <w:right w:val="none" w:sz="0" w:space="0" w:color="auto"/>
      </w:divBdr>
    </w:div>
    <w:div w:id="470752724">
      <w:bodyDiv w:val="1"/>
      <w:marLeft w:val="0"/>
      <w:marRight w:val="0"/>
      <w:marTop w:val="0"/>
      <w:marBottom w:val="0"/>
      <w:divBdr>
        <w:top w:val="none" w:sz="0" w:space="0" w:color="auto"/>
        <w:left w:val="none" w:sz="0" w:space="0" w:color="auto"/>
        <w:bottom w:val="none" w:sz="0" w:space="0" w:color="auto"/>
        <w:right w:val="none" w:sz="0" w:space="0" w:color="auto"/>
      </w:divBdr>
    </w:div>
    <w:div w:id="470756419">
      <w:bodyDiv w:val="1"/>
      <w:marLeft w:val="0"/>
      <w:marRight w:val="0"/>
      <w:marTop w:val="0"/>
      <w:marBottom w:val="0"/>
      <w:divBdr>
        <w:top w:val="none" w:sz="0" w:space="0" w:color="auto"/>
        <w:left w:val="none" w:sz="0" w:space="0" w:color="auto"/>
        <w:bottom w:val="none" w:sz="0" w:space="0" w:color="auto"/>
        <w:right w:val="none" w:sz="0" w:space="0" w:color="auto"/>
      </w:divBdr>
    </w:div>
    <w:div w:id="470831418">
      <w:bodyDiv w:val="1"/>
      <w:marLeft w:val="0"/>
      <w:marRight w:val="0"/>
      <w:marTop w:val="0"/>
      <w:marBottom w:val="0"/>
      <w:divBdr>
        <w:top w:val="none" w:sz="0" w:space="0" w:color="auto"/>
        <w:left w:val="none" w:sz="0" w:space="0" w:color="auto"/>
        <w:bottom w:val="none" w:sz="0" w:space="0" w:color="auto"/>
        <w:right w:val="none" w:sz="0" w:space="0" w:color="auto"/>
      </w:divBdr>
    </w:div>
    <w:div w:id="471021458">
      <w:bodyDiv w:val="1"/>
      <w:marLeft w:val="0"/>
      <w:marRight w:val="0"/>
      <w:marTop w:val="0"/>
      <w:marBottom w:val="0"/>
      <w:divBdr>
        <w:top w:val="none" w:sz="0" w:space="0" w:color="auto"/>
        <w:left w:val="none" w:sz="0" w:space="0" w:color="auto"/>
        <w:bottom w:val="none" w:sz="0" w:space="0" w:color="auto"/>
        <w:right w:val="none" w:sz="0" w:space="0" w:color="auto"/>
      </w:divBdr>
    </w:div>
    <w:div w:id="471022258">
      <w:bodyDiv w:val="1"/>
      <w:marLeft w:val="0"/>
      <w:marRight w:val="0"/>
      <w:marTop w:val="0"/>
      <w:marBottom w:val="0"/>
      <w:divBdr>
        <w:top w:val="none" w:sz="0" w:space="0" w:color="auto"/>
        <w:left w:val="none" w:sz="0" w:space="0" w:color="auto"/>
        <w:bottom w:val="none" w:sz="0" w:space="0" w:color="auto"/>
        <w:right w:val="none" w:sz="0" w:space="0" w:color="auto"/>
      </w:divBdr>
    </w:div>
    <w:div w:id="471100547">
      <w:bodyDiv w:val="1"/>
      <w:marLeft w:val="0"/>
      <w:marRight w:val="0"/>
      <w:marTop w:val="0"/>
      <w:marBottom w:val="0"/>
      <w:divBdr>
        <w:top w:val="none" w:sz="0" w:space="0" w:color="auto"/>
        <w:left w:val="none" w:sz="0" w:space="0" w:color="auto"/>
        <w:bottom w:val="none" w:sz="0" w:space="0" w:color="auto"/>
        <w:right w:val="none" w:sz="0" w:space="0" w:color="auto"/>
      </w:divBdr>
    </w:div>
    <w:div w:id="471289825">
      <w:bodyDiv w:val="1"/>
      <w:marLeft w:val="0"/>
      <w:marRight w:val="0"/>
      <w:marTop w:val="0"/>
      <w:marBottom w:val="0"/>
      <w:divBdr>
        <w:top w:val="none" w:sz="0" w:space="0" w:color="auto"/>
        <w:left w:val="none" w:sz="0" w:space="0" w:color="auto"/>
        <w:bottom w:val="none" w:sz="0" w:space="0" w:color="auto"/>
        <w:right w:val="none" w:sz="0" w:space="0" w:color="auto"/>
      </w:divBdr>
    </w:div>
    <w:div w:id="471361759">
      <w:bodyDiv w:val="1"/>
      <w:marLeft w:val="0"/>
      <w:marRight w:val="0"/>
      <w:marTop w:val="0"/>
      <w:marBottom w:val="0"/>
      <w:divBdr>
        <w:top w:val="none" w:sz="0" w:space="0" w:color="auto"/>
        <w:left w:val="none" w:sz="0" w:space="0" w:color="auto"/>
        <w:bottom w:val="none" w:sz="0" w:space="0" w:color="auto"/>
        <w:right w:val="none" w:sz="0" w:space="0" w:color="auto"/>
      </w:divBdr>
    </w:div>
    <w:div w:id="471367249">
      <w:bodyDiv w:val="1"/>
      <w:marLeft w:val="0"/>
      <w:marRight w:val="0"/>
      <w:marTop w:val="0"/>
      <w:marBottom w:val="0"/>
      <w:divBdr>
        <w:top w:val="none" w:sz="0" w:space="0" w:color="auto"/>
        <w:left w:val="none" w:sz="0" w:space="0" w:color="auto"/>
        <w:bottom w:val="none" w:sz="0" w:space="0" w:color="auto"/>
        <w:right w:val="none" w:sz="0" w:space="0" w:color="auto"/>
      </w:divBdr>
    </w:div>
    <w:div w:id="471484158">
      <w:bodyDiv w:val="1"/>
      <w:marLeft w:val="0"/>
      <w:marRight w:val="0"/>
      <w:marTop w:val="0"/>
      <w:marBottom w:val="0"/>
      <w:divBdr>
        <w:top w:val="none" w:sz="0" w:space="0" w:color="auto"/>
        <w:left w:val="none" w:sz="0" w:space="0" w:color="auto"/>
        <w:bottom w:val="none" w:sz="0" w:space="0" w:color="auto"/>
        <w:right w:val="none" w:sz="0" w:space="0" w:color="auto"/>
      </w:divBdr>
    </w:div>
    <w:div w:id="471561455">
      <w:bodyDiv w:val="1"/>
      <w:marLeft w:val="0"/>
      <w:marRight w:val="0"/>
      <w:marTop w:val="0"/>
      <w:marBottom w:val="0"/>
      <w:divBdr>
        <w:top w:val="none" w:sz="0" w:space="0" w:color="auto"/>
        <w:left w:val="none" w:sz="0" w:space="0" w:color="auto"/>
        <w:bottom w:val="none" w:sz="0" w:space="0" w:color="auto"/>
        <w:right w:val="none" w:sz="0" w:space="0" w:color="auto"/>
      </w:divBdr>
    </w:div>
    <w:div w:id="471600659">
      <w:bodyDiv w:val="1"/>
      <w:marLeft w:val="0"/>
      <w:marRight w:val="0"/>
      <w:marTop w:val="0"/>
      <w:marBottom w:val="0"/>
      <w:divBdr>
        <w:top w:val="none" w:sz="0" w:space="0" w:color="auto"/>
        <w:left w:val="none" w:sz="0" w:space="0" w:color="auto"/>
        <w:bottom w:val="none" w:sz="0" w:space="0" w:color="auto"/>
        <w:right w:val="none" w:sz="0" w:space="0" w:color="auto"/>
      </w:divBdr>
    </w:div>
    <w:div w:id="471678750">
      <w:bodyDiv w:val="1"/>
      <w:marLeft w:val="0"/>
      <w:marRight w:val="0"/>
      <w:marTop w:val="0"/>
      <w:marBottom w:val="0"/>
      <w:divBdr>
        <w:top w:val="none" w:sz="0" w:space="0" w:color="auto"/>
        <w:left w:val="none" w:sz="0" w:space="0" w:color="auto"/>
        <w:bottom w:val="none" w:sz="0" w:space="0" w:color="auto"/>
        <w:right w:val="none" w:sz="0" w:space="0" w:color="auto"/>
      </w:divBdr>
    </w:div>
    <w:div w:id="471946525">
      <w:bodyDiv w:val="1"/>
      <w:marLeft w:val="0"/>
      <w:marRight w:val="0"/>
      <w:marTop w:val="0"/>
      <w:marBottom w:val="0"/>
      <w:divBdr>
        <w:top w:val="none" w:sz="0" w:space="0" w:color="auto"/>
        <w:left w:val="none" w:sz="0" w:space="0" w:color="auto"/>
        <w:bottom w:val="none" w:sz="0" w:space="0" w:color="auto"/>
        <w:right w:val="none" w:sz="0" w:space="0" w:color="auto"/>
      </w:divBdr>
    </w:div>
    <w:div w:id="471950186">
      <w:bodyDiv w:val="1"/>
      <w:marLeft w:val="0"/>
      <w:marRight w:val="0"/>
      <w:marTop w:val="0"/>
      <w:marBottom w:val="0"/>
      <w:divBdr>
        <w:top w:val="none" w:sz="0" w:space="0" w:color="auto"/>
        <w:left w:val="none" w:sz="0" w:space="0" w:color="auto"/>
        <w:bottom w:val="none" w:sz="0" w:space="0" w:color="auto"/>
        <w:right w:val="none" w:sz="0" w:space="0" w:color="auto"/>
      </w:divBdr>
    </w:div>
    <w:div w:id="472141266">
      <w:bodyDiv w:val="1"/>
      <w:marLeft w:val="0"/>
      <w:marRight w:val="0"/>
      <w:marTop w:val="0"/>
      <w:marBottom w:val="0"/>
      <w:divBdr>
        <w:top w:val="none" w:sz="0" w:space="0" w:color="auto"/>
        <w:left w:val="none" w:sz="0" w:space="0" w:color="auto"/>
        <w:bottom w:val="none" w:sz="0" w:space="0" w:color="auto"/>
        <w:right w:val="none" w:sz="0" w:space="0" w:color="auto"/>
      </w:divBdr>
    </w:div>
    <w:div w:id="472260649">
      <w:bodyDiv w:val="1"/>
      <w:marLeft w:val="0"/>
      <w:marRight w:val="0"/>
      <w:marTop w:val="0"/>
      <w:marBottom w:val="0"/>
      <w:divBdr>
        <w:top w:val="none" w:sz="0" w:space="0" w:color="auto"/>
        <w:left w:val="none" w:sz="0" w:space="0" w:color="auto"/>
        <w:bottom w:val="none" w:sz="0" w:space="0" w:color="auto"/>
        <w:right w:val="none" w:sz="0" w:space="0" w:color="auto"/>
      </w:divBdr>
    </w:div>
    <w:div w:id="472409676">
      <w:bodyDiv w:val="1"/>
      <w:marLeft w:val="0"/>
      <w:marRight w:val="0"/>
      <w:marTop w:val="0"/>
      <w:marBottom w:val="0"/>
      <w:divBdr>
        <w:top w:val="none" w:sz="0" w:space="0" w:color="auto"/>
        <w:left w:val="none" w:sz="0" w:space="0" w:color="auto"/>
        <w:bottom w:val="none" w:sz="0" w:space="0" w:color="auto"/>
        <w:right w:val="none" w:sz="0" w:space="0" w:color="auto"/>
      </w:divBdr>
    </w:div>
    <w:div w:id="472450150">
      <w:bodyDiv w:val="1"/>
      <w:marLeft w:val="0"/>
      <w:marRight w:val="0"/>
      <w:marTop w:val="0"/>
      <w:marBottom w:val="0"/>
      <w:divBdr>
        <w:top w:val="none" w:sz="0" w:space="0" w:color="auto"/>
        <w:left w:val="none" w:sz="0" w:space="0" w:color="auto"/>
        <w:bottom w:val="none" w:sz="0" w:space="0" w:color="auto"/>
        <w:right w:val="none" w:sz="0" w:space="0" w:color="auto"/>
      </w:divBdr>
    </w:div>
    <w:div w:id="472454623">
      <w:bodyDiv w:val="1"/>
      <w:marLeft w:val="0"/>
      <w:marRight w:val="0"/>
      <w:marTop w:val="0"/>
      <w:marBottom w:val="0"/>
      <w:divBdr>
        <w:top w:val="none" w:sz="0" w:space="0" w:color="auto"/>
        <w:left w:val="none" w:sz="0" w:space="0" w:color="auto"/>
        <w:bottom w:val="none" w:sz="0" w:space="0" w:color="auto"/>
        <w:right w:val="none" w:sz="0" w:space="0" w:color="auto"/>
      </w:divBdr>
    </w:div>
    <w:div w:id="472596786">
      <w:bodyDiv w:val="1"/>
      <w:marLeft w:val="0"/>
      <w:marRight w:val="0"/>
      <w:marTop w:val="0"/>
      <w:marBottom w:val="0"/>
      <w:divBdr>
        <w:top w:val="none" w:sz="0" w:space="0" w:color="auto"/>
        <w:left w:val="none" w:sz="0" w:space="0" w:color="auto"/>
        <w:bottom w:val="none" w:sz="0" w:space="0" w:color="auto"/>
        <w:right w:val="none" w:sz="0" w:space="0" w:color="auto"/>
      </w:divBdr>
    </w:div>
    <w:div w:id="472602000">
      <w:bodyDiv w:val="1"/>
      <w:marLeft w:val="0"/>
      <w:marRight w:val="0"/>
      <w:marTop w:val="0"/>
      <w:marBottom w:val="0"/>
      <w:divBdr>
        <w:top w:val="none" w:sz="0" w:space="0" w:color="auto"/>
        <w:left w:val="none" w:sz="0" w:space="0" w:color="auto"/>
        <w:bottom w:val="none" w:sz="0" w:space="0" w:color="auto"/>
        <w:right w:val="none" w:sz="0" w:space="0" w:color="auto"/>
      </w:divBdr>
    </w:div>
    <w:div w:id="472602350">
      <w:bodyDiv w:val="1"/>
      <w:marLeft w:val="0"/>
      <w:marRight w:val="0"/>
      <w:marTop w:val="0"/>
      <w:marBottom w:val="0"/>
      <w:divBdr>
        <w:top w:val="none" w:sz="0" w:space="0" w:color="auto"/>
        <w:left w:val="none" w:sz="0" w:space="0" w:color="auto"/>
        <w:bottom w:val="none" w:sz="0" w:space="0" w:color="auto"/>
        <w:right w:val="none" w:sz="0" w:space="0" w:color="auto"/>
      </w:divBdr>
    </w:div>
    <w:div w:id="472674702">
      <w:bodyDiv w:val="1"/>
      <w:marLeft w:val="0"/>
      <w:marRight w:val="0"/>
      <w:marTop w:val="0"/>
      <w:marBottom w:val="0"/>
      <w:divBdr>
        <w:top w:val="none" w:sz="0" w:space="0" w:color="auto"/>
        <w:left w:val="none" w:sz="0" w:space="0" w:color="auto"/>
        <w:bottom w:val="none" w:sz="0" w:space="0" w:color="auto"/>
        <w:right w:val="none" w:sz="0" w:space="0" w:color="auto"/>
      </w:divBdr>
    </w:div>
    <w:div w:id="472721974">
      <w:bodyDiv w:val="1"/>
      <w:marLeft w:val="0"/>
      <w:marRight w:val="0"/>
      <w:marTop w:val="0"/>
      <w:marBottom w:val="0"/>
      <w:divBdr>
        <w:top w:val="none" w:sz="0" w:space="0" w:color="auto"/>
        <w:left w:val="none" w:sz="0" w:space="0" w:color="auto"/>
        <w:bottom w:val="none" w:sz="0" w:space="0" w:color="auto"/>
        <w:right w:val="none" w:sz="0" w:space="0" w:color="auto"/>
      </w:divBdr>
    </w:div>
    <w:div w:id="472867457">
      <w:bodyDiv w:val="1"/>
      <w:marLeft w:val="0"/>
      <w:marRight w:val="0"/>
      <w:marTop w:val="0"/>
      <w:marBottom w:val="0"/>
      <w:divBdr>
        <w:top w:val="none" w:sz="0" w:space="0" w:color="auto"/>
        <w:left w:val="none" w:sz="0" w:space="0" w:color="auto"/>
        <w:bottom w:val="none" w:sz="0" w:space="0" w:color="auto"/>
        <w:right w:val="none" w:sz="0" w:space="0" w:color="auto"/>
      </w:divBdr>
    </w:div>
    <w:div w:id="472913914">
      <w:bodyDiv w:val="1"/>
      <w:marLeft w:val="0"/>
      <w:marRight w:val="0"/>
      <w:marTop w:val="0"/>
      <w:marBottom w:val="0"/>
      <w:divBdr>
        <w:top w:val="none" w:sz="0" w:space="0" w:color="auto"/>
        <w:left w:val="none" w:sz="0" w:space="0" w:color="auto"/>
        <w:bottom w:val="none" w:sz="0" w:space="0" w:color="auto"/>
        <w:right w:val="none" w:sz="0" w:space="0" w:color="auto"/>
      </w:divBdr>
    </w:div>
    <w:div w:id="472915125">
      <w:bodyDiv w:val="1"/>
      <w:marLeft w:val="0"/>
      <w:marRight w:val="0"/>
      <w:marTop w:val="0"/>
      <w:marBottom w:val="0"/>
      <w:divBdr>
        <w:top w:val="none" w:sz="0" w:space="0" w:color="auto"/>
        <w:left w:val="none" w:sz="0" w:space="0" w:color="auto"/>
        <w:bottom w:val="none" w:sz="0" w:space="0" w:color="auto"/>
        <w:right w:val="none" w:sz="0" w:space="0" w:color="auto"/>
      </w:divBdr>
    </w:div>
    <w:div w:id="472987131">
      <w:bodyDiv w:val="1"/>
      <w:marLeft w:val="0"/>
      <w:marRight w:val="0"/>
      <w:marTop w:val="0"/>
      <w:marBottom w:val="0"/>
      <w:divBdr>
        <w:top w:val="none" w:sz="0" w:space="0" w:color="auto"/>
        <w:left w:val="none" w:sz="0" w:space="0" w:color="auto"/>
        <w:bottom w:val="none" w:sz="0" w:space="0" w:color="auto"/>
        <w:right w:val="none" w:sz="0" w:space="0" w:color="auto"/>
      </w:divBdr>
    </w:div>
    <w:div w:id="473110079">
      <w:bodyDiv w:val="1"/>
      <w:marLeft w:val="0"/>
      <w:marRight w:val="0"/>
      <w:marTop w:val="0"/>
      <w:marBottom w:val="0"/>
      <w:divBdr>
        <w:top w:val="none" w:sz="0" w:space="0" w:color="auto"/>
        <w:left w:val="none" w:sz="0" w:space="0" w:color="auto"/>
        <w:bottom w:val="none" w:sz="0" w:space="0" w:color="auto"/>
        <w:right w:val="none" w:sz="0" w:space="0" w:color="auto"/>
      </w:divBdr>
    </w:div>
    <w:div w:id="473176712">
      <w:bodyDiv w:val="1"/>
      <w:marLeft w:val="0"/>
      <w:marRight w:val="0"/>
      <w:marTop w:val="0"/>
      <w:marBottom w:val="0"/>
      <w:divBdr>
        <w:top w:val="none" w:sz="0" w:space="0" w:color="auto"/>
        <w:left w:val="none" w:sz="0" w:space="0" w:color="auto"/>
        <w:bottom w:val="none" w:sz="0" w:space="0" w:color="auto"/>
        <w:right w:val="none" w:sz="0" w:space="0" w:color="auto"/>
      </w:divBdr>
    </w:div>
    <w:div w:id="473253431">
      <w:bodyDiv w:val="1"/>
      <w:marLeft w:val="0"/>
      <w:marRight w:val="0"/>
      <w:marTop w:val="0"/>
      <w:marBottom w:val="0"/>
      <w:divBdr>
        <w:top w:val="none" w:sz="0" w:space="0" w:color="auto"/>
        <w:left w:val="none" w:sz="0" w:space="0" w:color="auto"/>
        <w:bottom w:val="none" w:sz="0" w:space="0" w:color="auto"/>
        <w:right w:val="none" w:sz="0" w:space="0" w:color="auto"/>
      </w:divBdr>
    </w:div>
    <w:div w:id="473254721">
      <w:bodyDiv w:val="1"/>
      <w:marLeft w:val="0"/>
      <w:marRight w:val="0"/>
      <w:marTop w:val="0"/>
      <w:marBottom w:val="0"/>
      <w:divBdr>
        <w:top w:val="none" w:sz="0" w:space="0" w:color="auto"/>
        <w:left w:val="none" w:sz="0" w:space="0" w:color="auto"/>
        <w:bottom w:val="none" w:sz="0" w:space="0" w:color="auto"/>
        <w:right w:val="none" w:sz="0" w:space="0" w:color="auto"/>
      </w:divBdr>
    </w:div>
    <w:div w:id="473333502">
      <w:bodyDiv w:val="1"/>
      <w:marLeft w:val="0"/>
      <w:marRight w:val="0"/>
      <w:marTop w:val="0"/>
      <w:marBottom w:val="0"/>
      <w:divBdr>
        <w:top w:val="none" w:sz="0" w:space="0" w:color="auto"/>
        <w:left w:val="none" w:sz="0" w:space="0" w:color="auto"/>
        <w:bottom w:val="none" w:sz="0" w:space="0" w:color="auto"/>
        <w:right w:val="none" w:sz="0" w:space="0" w:color="auto"/>
      </w:divBdr>
    </w:div>
    <w:div w:id="474177641">
      <w:bodyDiv w:val="1"/>
      <w:marLeft w:val="0"/>
      <w:marRight w:val="0"/>
      <w:marTop w:val="0"/>
      <w:marBottom w:val="0"/>
      <w:divBdr>
        <w:top w:val="none" w:sz="0" w:space="0" w:color="auto"/>
        <w:left w:val="none" w:sz="0" w:space="0" w:color="auto"/>
        <w:bottom w:val="none" w:sz="0" w:space="0" w:color="auto"/>
        <w:right w:val="none" w:sz="0" w:space="0" w:color="auto"/>
      </w:divBdr>
    </w:div>
    <w:div w:id="474299415">
      <w:bodyDiv w:val="1"/>
      <w:marLeft w:val="0"/>
      <w:marRight w:val="0"/>
      <w:marTop w:val="0"/>
      <w:marBottom w:val="0"/>
      <w:divBdr>
        <w:top w:val="none" w:sz="0" w:space="0" w:color="auto"/>
        <w:left w:val="none" w:sz="0" w:space="0" w:color="auto"/>
        <w:bottom w:val="none" w:sz="0" w:space="0" w:color="auto"/>
        <w:right w:val="none" w:sz="0" w:space="0" w:color="auto"/>
      </w:divBdr>
    </w:div>
    <w:div w:id="474374066">
      <w:bodyDiv w:val="1"/>
      <w:marLeft w:val="0"/>
      <w:marRight w:val="0"/>
      <w:marTop w:val="0"/>
      <w:marBottom w:val="0"/>
      <w:divBdr>
        <w:top w:val="none" w:sz="0" w:space="0" w:color="auto"/>
        <w:left w:val="none" w:sz="0" w:space="0" w:color="auto"/>
        <w:bottom w:val="none" w:sz="0" w:space="0" w:color="auto"/>
        <w:right w:val="none" w:sz="0" w:space="0" w:color="auto"/>
      </w:divBdr>
    </w:div>
    <w:div w:id="474374967">
      <w:bodyDiv w:val="1"/>
      <w:marLeft w:val="0"/>
      <w:marRight w:val="0"/>
      <w:marTop w:val="0"/>
      <w:marBottom w:val="0"/>
      <w:divBdr>
        <w:top w:val="none" w:sz="0" w:space="0" w:color="auto"/>
        <w:left w:val="none" w:sz="0" w:space="0" w:color="auto"/>
        <w:bottom w:val="none" w:sz="0" w:space="0" w:color="auto"/>
        <w:right w:val="none" w:sz="0" w:space="0" w:color="auto"/>
      </w:divBdr>
    </w:div>
    <w:div w:id="474444751">
      <w:bodyDiv w:val="1"/>
      <w:marLeft w:val="0"/>
      <w:marRight w:val="0"/>
      <w:marTop w:val="0"/>
      <w:marBottom w:val="0"/>
      <w:divBdr>
        <w:top w:val="none" w:sz="0" w:space="0" w:color="auto"/>
        <w:left w:val="none" w:sz="0" w:space="0" w:color="auto"/>
        <w:bottom w:val="none" w:sz="0" w:space="0" w:color="auto"/>
        <w:right w:val="none" w:sz="0" w:space="0" w:color="auto"/>
      </w:divBdr>
    </w:div>
    <w:div w:id="474642197">
      <w:bodyDiv w:val="1"/>
      <w:marLeft w:val="0"/>
      <w:marRight w:val="0"/>
      <w:marTop w:val="0"/>
      <w:marBottom w:val="0"/>
      <w:divBdr>
        <w:top w:val="none" w:sz="0" w:space="0" w:color="auto"/>
        <w:left w:val="none" w:sz="0" w:space="0" w:color="auto"/>
        <w:bottom w:val="none" w:sz="0" w:space="0" w:color="auto"/>
        <w:right w:val="none" w:sz="0" w:space="0" w:color="auto"/>
      </w:divBdr>
    </w:div>
    <w:div w:id="474689130">
      <w:bodyDiv w:val="1"/>
      <w:marLeft w:val="0"/>
      <w:marRight w:val="0"/>
      <w:marTop w:val="0"/>
      <w:marBottom w:val="0"/>
      <w:divBdr>
        <w:top w:val="none" w:sz="0" w:space="0" w:color="auto"/>
        <w:left w:val="none" w:sz="0" w:space="0" w:color="auto"/>
        <w:bottom w:val="none" w:sz="0" w:space="0" w:color="auto"/>
        <w:right w:val="none" w:sz="0" w:space="0" w:color="auto"/>
      </w:divBdr>
    </w:div>
    <w:div w:id="474833235">
      <w:bodyDiv w:val="1"/>
      <w:marLeft w:val="0"/>
      <w:marRight w:val="0"/>
      <w:marTop w:val="0"/>
      <w:marBottom w:val="0"/>
      <w:divBdr>
        <w:top w:val="none" w:sz="0" w:space="0" w:color="auto"/>
        <w:left w:val="none" w:sz="0" w:space="0" w:color="auto"/>
        <w:bottom w:val="none" w:sz="0" w:space="0" w:color="auto"/>
        <w:right w:val="none" w:sz="0" w:space="0" w:color="auto"/>
      </w:divBdr>
    </w:div>
    <w:div w:id="474878330">
      <w:bodyDiv w:val="1"/>
      <w:marLeft w:val="0"/>
      <w:marRight w:val="0"/>
      <w:marTop w:val="0"/>
      <w:marBottom w:val="0"/>
      <w:divBdr>
        <w:top w:val="none" w:sz="0" w:space="0" w:color="auto"/>
        <w:left w:val="none" w:sz="0" w:space="0" w:color="auto"/>
        <w:bottom w:val="none" w:sz="0" w:space="0" w:color="auto"/>
        <w:right w:val="none" w:sz="0" w:space="0" w:color="auto"/>
      </w:divBdr>
    </w:div>
    <w:div w:id="474882866">
      <w:bodyDiv w:val="1"/>
      <w:marLeft w:val="0"/>
      <w:marRight w:val="0"/>
      <w:marTop w:val="0"/>
      <w:marBottom w:val="0"/>
      <w:divBdr>
        <w:top w:val="none" w:sz="0" w:space="0" w:color="auto"/>
        <w:left w:val="none" w:sz="0" w:space="0" w:color="auto"/>
        <w:bottom w:val="none" w:sz="0" w:space="0" w:color="auto"/>
        <w:right w:val="none" w:sz="0" w:space="0" w:color="auto"/>
      </w:divBdr>
    </w:div>
    <w:div w:id="474957798">
      <w:bodyDiv w:val="1"/>
      <w:marLeft w:val="0"/>
      <w:marRight w:val="0"/>
      <w:marTop w:val="0"/>
      <w:marBottom w:val="0"/>
      <w:divBdr>
        <w:top w:val="none" w:sz="0" w:space="0" w:color="auto"/>
        <w:left w:val="none" w:sz="0" w:space="0" w:color="auto"/>
        <w:bottom w:val="none" w:sz="0" w:space="0" w:color="auto"/>
        <w:right w:val="none" w:sz="0" w:space="0" w:color="auto"/>
      </w:divBdr>
    </w:div>
    <w:div w:id="475076182">
      <w:bodyDiv w:val="1"/>
      <w:marLeft w:val="0"/>
      <w:marRight w:val="0"/>
      <w:marTop w:val="0"/>
      <w:marBottom w:val="0"/>
      <w:divBdr>
        <w:top w:val="none" w:sz="0" w:space="0" w:color="auto"/>
        <w:left w:val="none" w:sz="0" w:space="0" w:color="auto"/>
        <w:bottom w:val="none" w:sz="0" w:space="0" w:color="auto"/>
        <w:right w:val="none" w:sz="0" w:space="0" w:color="auto"/>
      </w:divBdr>
    </w:div>
    <w:div w:id="475150411">
      <w:bodyDiv w:val="1"/>
      <w:marLeft w:val="0"/>
      <w:marRight w:val="0"/>
      <w:marTop w:val="0"/>
      <w:marBottom w:val="0"/>
      <w:divBdr>
        <w:top w:val="none" w:sz="0" w:space="0" w:color="auto"/>
        <w:left w:val="none" w:sz="0" w:space="0" w:color="auto"/>
        <w:bottom w:val="none" w:sz="0" w:space="0" w:color="auto"/>
        <w:right w:val="none" w:sz="0" w:space="0" w:color="auto"/>
      </w:divBdr>
    </w:div>
    <w:div w:id="475218209">
      <w:bodyDiv w:val="1"/>
      <w:marLeft w:val="0"/>
      <w:marRight w:val="0"/>
      <w:marTop w:val="0"/>
      <w:marBottom w:val="0"/>
      <w:divBdr>
        <w:top w:val="none" w:sz="0" w:space="0" w:color="auto"/>
        <w:left w:val="none" w:sz="0" w:space="0" w:color="auto"/>
        <w:bottom w:val="none" w:sz="0" w:space="0" w:color="auto"/>
        <w:right w:val="none" w:sz="0" w:space="0" w:color="auto"/>
      </w:divBdr>
    </w:div>
    <w:div w:id="475299205">
      <w:bodyDiv w:val="1"/>
      <w:marLeft w:val="0"/>
      <w:marRight w:val="0"/>
      <w:marTop w:val="0"/>
      <w:marBottom w:val="0"/>
      <w:divBdr>
        <w:top w:val="none" w:sz="0" w:space="0" w:color="auto"/>
        <w:left w:val="none" w:sz="0" w:space="0" w:color="auto"/>
        <w:bottom w:val="none" w:sz="0" w:space="0" w:color="auto"/>
        <w:right w:val="none" w:sz="0" w:space="0" w:color="auto"/>
      </w:divBdr>
    </w:div>
    <w:div w:id="475342414">
      <w:bodyDiv w:val="1"/>
      <w:marLeft w:val="0"/>
      <w:marRight w:val="0"/>
      <w:marTop w:val="0"/>
      <w:marBottom w:val="0"/>
      <w:divBdr>
        <w:top w:val="none" w:sz="0" w:space="0" w:color="auto"/>
        <w:left w:val="none" w:sz="0" w:space="0" w:color="auto"/>
        <w:bottom w:val="none" w:sz="0" w:space="0" w:color="auto"/>
        <w:right w:val="none" w:sz="0" w:space="0" w:color="auto"/>
      </w:divBdr>
    </w:div>
    <w:div w:id="475416968">
      <w:bodyDiv w:val="1"/>
      <w:marLeft w:val="0"/>
      <w:marRight w:val="0"/>
      <w:marTop w:val="0"/>
      <w:marBottom w:val="0"/>
      <w:divBdr>
        <w:top w:val="none" w:sz="0" w:space="0" w:color="auto"/>
        <w:left w:val="none" w:sz="0" w:space="0" w:color="auto"/>
        <w:bottom w:val="none" w:sz="0" w:space="0" w:color="auto"/>
        <w:right w:val="none" w:sz="0" w:space="0" w:color="auto"/>
      </w:divBdr>
    </w:div>
    <w:div w:id="475530131">
      <w:bodyDiv w:val="1"/>
      <w:marLeft w:val="0"/>
      <w:marRight w:val="0"/>
      <w:marTop w:val="0"/>
      <w:marBottom w:val="0"/>
      <w:divBdr>
        <w:top w:val="none" w:sz="0" w:space="0" w:color="auto"/>
        <w:left w:val="none" w:sz="0" w:space="0" w:color="auto"/>
        <w:bottom w:val="none" w:sz="0" w:space="0" w:color="auto"/>
        <w:right w:val="none" w:sz="0" w:space="0" w:color="auto"/>
      </w:divBdr>
    </w:div>
    <w:div w:id="475684515">
      <w:bodyDiv w:val="1"/>
      <w:marLeft w:val="0"/>
      <w:marRight w:val="0"/>
      <w:marTop w:val="0"/>
      <w:marBottom w:val="0"/>
      <w:divBdr>
        <w:top w:val="none" w:sz="0" w:space="0" w:color="auto"/>
        <w:left w:val="none" w:sz="0" w:space="0" w:color="auto"/>
        <w:bottom w:val="none" w:sz="0" w:space="0" w:color="auto"/>
        <w:right w:val="none" w:sz="0" w:space="0" w:color="auto"/>
      </w:divBdr>
    </w:div>
    <w:div w:id="475688283">
      <w:bodyDiv w:val="1"/>
      <w:marLeft w:val="0"/>
      <w:marRight w:val="0"/>
      <w:marTop w:val="0"/>
      <w:marBottom w:val="0"/>
      <w:divBdr>
        <w:top w:val="none" w:sz="0" w:space="0" w:color="auto"/>
        <w:left w:val="none" w:sz="0" w:space="0" w:color="auto"/>
        <w:bottom w:val="none" w:sz="0" w:space="0" w:color="auto"/>
        <w:right w:val="none" w:sz="0" w:space="0" w:color="auto"/>
      </w:divBdr>
    </w:div>
    <w:div w:id="475873807">
      <w:bodyDiv w:val="1"/>
      <w:marLeft w:val="0"/>
      <w:marRight w:val="0"/>
      <w:marTop w:val="0"/>
      <w:marBottom w:val="0"/>
      <w:divBdr>
        <w:top w:val="none" w:sz="0" w:space="0" w:color="auto"/>
        <w:left w:val="none" w:sz="0" w:space="0" w:color="auto"/>
        <w:bottom w:val="none" w:sz="0" w:space="0" w:color="auto"/>
        <w:right w:val="none" w:sz="0" w:space="0" w:color="auto"/>
      </w:divBdr>
    </w:div>
    <w:div w:id="475879407">
      <w:bodyDiv w:val="1"/>
      <w:marLeft w:val="0"/>
      <w:marRight w:val="0"/>
      <w:marTop w:val="0"/>
      <w:marBottom w:val="0"/>
      <w:divBdr>
        <w:top w:val="none" w:sz="0" w:space="0" w:color="auto"/>
        <w:left w:val="none" w:sz="0" w:space="0" w:color="auto"/>
        <w:bottom w:val="none" w:sz="0" w:space="0" w:color="auto"/>
        <w:right w:val="none" w:sz="0" w:space="0" w:color="auto"/>
      </w:divBdr>
    </w:div>
    <w:div w:id="475955013">
      <w:bodyDiv w:val="1"/>
      <w:marLeft w:val="0"/>
      <w:marRight w:val="0"/>
      <w:marTop w:val="0"/>
      <w:marBottom w:val="0"/>
      <w:divBdr>
        <w:top w:val="none" w:sz="0" w:space="0" w:color="auto"/>
        <w:left w:val="none" w:sz="0" w:space="0" w:color="auto"/>
        <w:bottom w:val="none" w:sz="0" w:space="0" w:color="auto"/>
        <w:right w:val="none" w:sz="0" w:space="0" w:color="auto"/>
      </w:divBdr>
    </w:div>
    <w:div w:id="476150792">
      <w:bodyDiv w:val="1"/>
      <w:marLeft w:val="0"/>
      <w:marRight w:val="0"/>
      <w:marTop w:val="0"/>
      <w:marBottom w:val="0"/>
      <w:divBdr>
        <w:top w:val="none" w:sz="0" w:space="0" w:color="auto"/>
        <w:left w:val="none" w:sz="0" w:space="0" w:color="auto"/>
        <w:bottom w:val="none" w:sz="0" w:space="0" w:color="auto"/>
        <w:right w:val="none" w:sz="0" w:space="0" w:color="auto"/>
      </w:divBdr>
    </w:div>
    <w:div w:id="476260373">
      <w:bodyDiv w:val="1"/>
      <w:marLeft w:val="0"/>
      <w:marRight w:val="0"/>
      <w:marTop w:val="0"/>
      <w:marBottom w:val="0"/>
      <w:divBdr>
        <w:top w:val="none" w:sz="0" w:space="0" w:color="auto"/>
        <w:left w:val="none" w:sz="0" w:space="0" w:color="auto"/>
        <w:bottom w:val="none" w:sz="0" w:space="0" w:color="auto"/>
        <w:right w:val="none" w:sz="0" w:space="0" w:color="auto"/>
      </w:divBdr>
    </w:div>
    <w:div w:id="476267014">
      <w:bodyDiv w:val="1"/>
      <w:marLeft w:val="0"/>
      <w:marRight w:val="0"/>
      <w:marTop w:val="0"/>
      <w:marBottom w:val="0"/>
      <w:divBdr>
        <w:top w:val="none" w:sz="0" w:space="0" w:color="auto"/>
        <w:left w:val="none" w:sz="0" w:space="0" w:color="auto"/>
        <w:bottom w:val="none" w:sz="0" w:space="0" w:color="auto"/>
        <w:right w:val="none" w:sz="0" w:space="0" w:color="auto"/>
      </w:divBdr>
    </w:div>
    <w:div w:id="476579084">
      <w:bodyDiv w:val="1"/>
      <w:marLeft w:val="0"/>
      <w:marRight w:val="0"/>
      <w:marTop w:val="0"/>
      <w:marBottom w:val="0"/>
      <w:divBdr>
        <w:top w:val="none" w:sz="0" w:space="0" w:color="auto"/>
        <w:left w:val="none" w:sz="0" w:space="0" w:color="auto"/>
        <w:bottom w:val="none" w:sz="0" w:space="0" w:color="auto"/>
        <w:right w:val="none" w:sz="0" w:space="0" w:color="auto"/>
      </w:divBdr>
    </w:div>
    <w:div w:id="476607674">
      <w:bodyDiv w:val="1"/>
      <w:marLeft w:val="0"/>
      <w:marRight w:val="0"/>
      <w:marTop w:val="0"/>
      <w:marBottom w:val="0"/>
      <w:divBdr>
        <w:top w:val="none" w:sz="0" w:space="0" w:color="auto"/>
        <w:left w:val="none" w:sz="0" w:space="0" w:color="auto"/>
        <w:bottom w:val="none" w:sz="0" w:space="0" w:color="auto"/>
        <w:right w:val="none" w:sz="0" w:space="0" w:color="auto"/>
      </w:divBdr>
    </w:div>
    <w:div w:id="476609518">
      <w:bodyDiv w:val="1"/>
      <w:marLeft w:val="0"/>
      <w:marRight w:val="0"/>
      <w:marTop w:val="0"/>
      <w:marBottom w:val="0"/>
      <w:divBdr>
        <w:top w:val="none" w:sz="0" w:space="0" w:color="auto"/>
        <w:left w:val="none" w:sz="0" w:space="0" w:color="auto"/>
        <w:bottom w:val="none" w:sz="0" w:space="0" w:color="auto"/>
        <w:right w:val="none" w:sz="0" w:space="0" w:color="auto"/>
      </w:divBdr>
    </w:div>
    <w:div w:id="476650940">
      <w:bodyDiv w:val="1"/>
      <w:marLeft w:val="0"/>
      <w:marRight w:val="0"/>
      <w:marTop w:val="0"/>
      <w:marBottom w:val="0"/>
      <w:divBdr>
        <w:top w:val="none" w:sz="0" w:space="0" w:color="auto"/>
        <w:left w:val="none" w:sz="0" w:space="0" w:color="auto"/>
        <w:bottom w:val="none" w:sz="0" w:space="0" w:color="auto"/>
        <w:right w:val="none" w:sz="0" w:space="0" w:color="auto"/>
      </w:divBdr>
    </w:div>
    <w:div w:id="476844158">
      <w:bodyDiv w:val="1"/>
      <w:marLeft w:val="0"/>
      <w:marRight w:val="0"/>
      <w:marTop w:val="0"/>
      <w:marBottom w:val="0"/>
      <w:divBdr>
        <w:top w:val="none" w:sz="0" w:space="0" w:color="auto"/>
        <w:left w:val="none" w:sz="0" w:space="0" w:color="auto"/>
        <w:bottom w:val="none" w:sz="0" w:space="0" w:color="auto"/>
        <w:right w:val="none" w:sz="0" w:space="0" w:color="auto"/>
      </w:divBdr>
    </w:div>
    <w:div w:id="477068010">
      <w:bodyDiv w:val="1"/>
      <w:marLeft w:val="0"/>
      <w:marRight w:val="0"/>
      <w:marTop w:val="0"/>
      <w:marBottom w:val="0"/>
      <w:divBdr>
        <w:top w:val="none" w:sz="0" w:space="0" w:color="auto"/>
        <w:left w:val="none" w:sz="0" w:space="0" w:color="auto"/>
        <w:bottom w:val="none" w:sz="0" w:space="0" w:color="auto"/>
        <w:right w:val="none" w:sz="0" w:space="0" w:color="auto"/>
      </w:divBdr>
    </w:div>
    <w:div w:id="477187960">
      <w:bodyDiv w:val="1"/>
      <w:marLeft w:val="0"/>
      <w:marRight w:val="0"/>
      <w:marTop w:val="0"/>
      <w:marBottom w:val="0"/>
      <w:divBdr>
        <w:top w:val="none" w:sz="0" w:space="0" w:color="auto"/>
        <w:left w:val="none" w:sz="0" w:space="0" w:color="auto"/>
        <w:bottom w:val="none" w:sz="0" w:space="0" w:color="auto"/>
        <w:right w:val="none" w:sz="0" w:space="0" w:color="auto"/>
      </w:divBdr>
    </w:div>
    <w:div w:id="477259600">
      <w:bodyDiv w:val="1"/>
      <w:marLeft w:val="0"/>
      <w:marRight w:val="0"/>
      <w:marTop w:val="0"/>
      <w:marBottom w:val="0"/>
      <w:divBdr>
        <w:top w:val="none" w:sz="0" w:space="0" w:color="auto"/>
        <w:left w:val="none" w:sz="0" w:space="0" w:color="auto"/>
        <w:bottom w:val="none" w:sz="0" w:space="0" w:color="auto"/>
        <w:right w:val="none" w:sz="0" w:space="0" w:color="auto"/>
      </w:divBdr>
    </w:div>
    <w:div w:id="477304951">
      <w:bodyDiv w:val="1"/>
      <w:marLeft w:val="0"/>
      <w:marRight w:val="0"/>
      <w:marTop w:val="0"/>
      <w:marBottom w:val="0"/>
      <w:divBdr>
        <w:top w:val="none" w:sz="0" w:space="0" w:color="auto"/>
        <w:left w:val="none" w:sz="0" w:space="0" w:color="auto"/>
        <w:bottom w:val="none" w:sz="0" w:space="0" w:color="auto"/>
        <w:right w:val="none" w:sz="0" w:space="0" w:color="auto"/>
      </w:divBdr>
    </w:div>
    <w:div w:id="477497299">
      <w:bodyDiv w:val="1"/>
      <w:marLeft w:val="0"/>
      <w:marRight w:val="0"/>
      <w:marTop w:val="0"/>
      <w:marBottom w:val="0"/>
      <w:divBdr>
        <w:top w:val="none" w:sz="0" w:space="0" w:color="auto"/>
        <w:left w:val="none" w:sz="0" w:space="0" w:color="auto"/>
        <w:bottom w:val="none" w:sz="0" w:space="0" w:color="auto"/>
        <w:right w:val="none" w:sz="0" w:space="0" w:color="auto"/>
      </w:divBdr>
    </w:div>
    <w:div w:id="477500498">
      <w:bodyDiv w:val="1"/>
      <w:marLeft w:val="0"/>
      <w:marRight w:val="0"/>
      <w:marTop w:val="0"/>
      <w:marBottom w:val="0"/>
      <w:divBdr>
        <w:top w:val="none" w:sz="0" w:space="0" w:color="auto"/>
        <w:left w:val="none" w:sz="0" w:space="0" w:color="auto"/>
        <w:bottom w:val="none" w:sz="0" w:space="0" w:color="auto"/>
        <w:right w:val="none" w:sz="0" w:space="0" w:color="auto"/>
      </w:divBdr>
    </w:div>
    <w:div w:id="477500529">
      <w:bodyDiv w:val="1"/>
      <w:marLeft w:val="0"/>
      <w:marRight w:val="0"/>
      <w:marTop w:val="0"/>
      <w:marBottom w:val="0"/>
      <w:divBdr>
        <w:top w:val="none" w:sz="0" w:space="0" w:color="auto"/>
        <w:left w:val="none" w:sz="0" w:space="0" w:color="auto"/>
        <w:bottom w:val="none" w:sz="0" w:space="0" w:color="auto"/>
        <w:right w:val="none" w:sz="0" w:space="0" w:color="auto"/>
      </w:divBdr>
    </w:div>
    <w:div w:id="477577170">
      <w:bodyDiv w:val="1"/>
      <w:marLeft w:val="0"/>
      <w:marRight w:val="0"/>
      <w:marTop w:val="0"/>
      <w:marBottom w:val="0"/>
      <w:divBdr>
        <w:top w:val="none" w:sz="0" w:space="0" w:color="auto"/>
        <w:left w:val="none" w:sz="0" w:space="0" w:color="auto"/>
        <w:bottom w:val="none" w:sz="0" w:space="0" w:color="auto"/>
        <w:right w:val="none" w:sz="0" w:space="0" w:color="auto"/>
      </w:divBdr>
    </w:div>
    <w:div w:id="477697920">
      <w:bodyDiv w:val="1"/>
      <w:marLeft w:val="0"/>
      <w:marRight w:val="0"/>
      <w:marTop w:val="0"/>
      <w:marBottom w:val="0"/>
      <w:divBdr>
        <w:top w:val="none" w:sz="0" w:space="0" w:color="auto"/>
        <w:left w:val="none" w:sz="0" w:space="0" w:color="auto"/>
        <w:bottom w:val="none" w:sz="0" w:space="0" w:color="auto"/>
        <w:right w:val="none" w:sz="0" w:space="0" w:color="auto"/>
      </w:divBdr>
    </w:div>
    <w:div w:id="477888974">
      <w:bodyDiv w:val="1"/>
      <w:marLeft w:val="0"/>
      <w:marRight w:val="0"/>
      <w:marTop w:val="0"/>
      <w:marBottom w:val="0"/>
      <w:divBdr>
        <w:top w:val="none" w:sz="0" w:space="0" w:color="auto"/>
        <w:left w:val="none" w:sz="0" w:space="0" w:color="auto"/>
        <w:bottom w:val="none" w:sz="0" w:space="0" w:color="auto"/>
        <w:right w:val="none" w:sz="0" w:space="0" w:color="auto"/>
      </w:divBdr>
    </w:div>
    <w:div w:id="478155081">
      <w:bodyDiv w:val="1"/>
      <w:marLeft w:val="0"/>
      <w:marRight w:val="0"/>
      <w:marTop w:val="0"/>
      <w:marBottom w:val="0"/>
      <w:divBdr>
        <w:top w:val="none" w:sz="0" w:space="0" w:color="auto"/>
        <w:left w:val="none" w:sz="0" w:space="0" w:color="auto"/>
        <w:bottom w:val="none" w:sz="0" w:space="0" w:color="auto"/>
        <w:right w:val="none" w:sz="0" w:space="0" w:color="auto"/>
      </w:divBdr>
    </w:div>
    <w:div w:id="478155919">
      <w:bodyDiv w:val="1"/>
      <w:marLeft w:val="0"/>
      <w:marRight w:val="0"/>
      <w:marTop w:val="0"/>
      <w:marBottom w:val="0"/>
      <w:divBdr>
        <w:top w:val="none" w:sz="0" w:space="0" w:color="auto"/>
        <w:left w:val="none" w:sz="0" w:space="0" w:color="auto"/>
        <w:bottom w:val="none" w:sz="0" w:space="0" w:color="auto"/>
        <w:right w:val="none" w:sz="0" w:space="0" w:color="auto"/>
      </w:divBdr>
    </w:div>
    <w:div w:id="478306190">
      <w:bodyDiv w:val="1"/>
      <w:marLeft w:val="0"/>
      <w:marRight w:val="0"/>
      <w:marTop w:val="0"/>
      <w:marBottom w:val="0"/>
      <w:divBdr>
        <w:top w:val="none" w:sz="0" w:space="0" w:color="auto"/>
        <w:left w:val="none" w:sz="0" w:space="0" w:color="auto"/>
        <w:bottom w:val="none" w:sz="0" w:space="0" w:color="auto"/>
        <w:right w:val="none" w:sz="0" w:space="0" w:color="auto"/>
      </w:divBdr>
    </w:div>
    <w:div w:id="478349065">
      <w:bodyDiv w:val="1"/>
      <w:marLeft w:val="0"/>
      <w:marRight w:val="0"/>
      <w:marTop w:val="0"/>
      <w:marBottom w:val="0"/>
      <w:divBdr>
        <w:top w:val="none" w:sz="0" w:space="0" w:color="auto"/>
        <w:left w:val="none" w:sz="0" w:space="0" w:color="auto"/>
        <w:bottom w:val="none" w:sz="0" w:space="0" w:color="auto"/>
        <w:right w:val="none" w:sz="0" w:space="0" w:color="auto"/>
      </w:divBdr>
    </w:div>
    <w:div w:id="478497609">
      <w:bodyDiv w:val="1"/>
      <w:marLeft w:val="0"/>
      <w:marRight w:val="0"/>
      <w:marTop w:val="0"/>
      <w:marBottom w:val="0"/>
      <w:divBdr>
        <w:top w:val="none" w:sz="0" w:space="0" w:color="auto"/>
        <w:left w:val="none" w:sz="0" w:space="0" w:color="auto"/>
        <w:bottom w:val="none" w:sz="0" w:space="0" w:color="auto"/>
        <w:right w:val="none" w:sz="0" w:space="0" w:color="auto"/>
      </w:divBdr>
    </w:div>
    <w:div w:id="478617958">
      <w:bodyDiv w:val="1"/>
      <w:marLeft w:val="0"/>
      <w:marRight w:val="0"/>
      <w:marTop w:val="0"/>
      <w:marBottom w:val="0"/>
      <w:divBdr>
        <w:top w:val="none" w:sz="0" w:space="0" w:color="auto"/>
        <w:left w:val="none" w:sz="0" w:space="0" w:color="auto"/>
        <w:bottom w:val="none" w:sz="0" w:space="0" w:color="auto"/>
        <w:right w:val="none" w:sz="0" w:space="0" w:color="auto"/>
      </w:divBdr>
    </w:div>
    <w:div w:id="478691418">
      <w:bodyDiv w:val="1"/>
      <w:marLeft w:val="0"/>
      <w:marRight w:val="0"/>
      <w:marTop w:val="0"/>
      <w:marBottom w:val="0"/>
      <w:divBdr>
        <w:top w:val="none" w:sz="0" w:space="0" w:color="auto"/>
        <w:left w:val="none" w:sz="0" w:space="0" w:color="auto"/>
        <w:bottom w:val="none" w:sz="0" w:space="0" w:color="auto"/>
        <w:right w:val="none" w:sz="0" w:space="0" w:color="auto"/>
      </w:divBdr>
    </w:div>
    <w:div w:id="478691761">
      <w:bodyDiv w:val="1"/>
      <w:marLeft w:val="0"/>
      <w:marRight w:val="0"/>
      <w:marTop w:val="0"/>
      <w:marBottom w:val="0"/>
      <w:divBdr>
        <w:top w:val="none" w:sz="0" w:space="0" w:color="auto"/>
        <w:left w:val="none" w:sz="0" w:space="0" w:color="auto"/>
        <w:bottom w:val="none" w:sz="0" w:space="0" w:color="auto"/>
        <w:right w:val="none" w:sz="0" w:space="0" w:color="auto"/>
      </w:divBdr>
    </w:div>
    <w:div w:id="478808202">
      <w:bodyDiv w:val="1"/>
      <w:marLeft w:val="0"/>
      <w:marRight w:val="0"/>
      <w:marTop w:val="0"/>
      <w:marBottom w:val="0"/>
      <w:divBdr>
        <w:top w:val="none" w:sz="0" w:space="0" w:color="auto"/>
        <w:left w:val="none" w:sz="0" w:space="0" w:color="auto"/>
        <w:bottom w:val="none" w:sz="0" w:space="0" w:color="auto"/>
        <w:right w:val="none" w:sz="0" w:space="0" w:color="auto"/>
      </w:divBdr>
    </w:div>
    <w:div w:id="478888869">
      <w:bodyDiv w:val="1"/>
      <w:marLeft w:val="0"/>
      <w:marRight w:val="0"/>
      <w:marTop w:val="0"/>
      <w:marBottom w:val="0"/>
      <w:divBdr>
        <w:top w:val="none" w:sz="0" w:space="0" w:color="auto"/>
        <w:left w:val="none" w:sz="0" w:space="0" w:color="auto"/>
        <w:bottom w:val="none" w:sz="0" w:space="0" w:color="auto"/>
        <w:right w:val="none" w:sz="0" w:space="0" w:color="auto"/>
      </w:divBdr>
    </w:div>
    <w:div w:id="479154759">
      <w:bodyDiv w:val="1"/>
      <w:marLeft w:val="0"/>
      <w:marRight w:val="0"/>
      <w:marTop w:val="0"/>
      <w:marBottom w:val="0"/>
      <w:divBdr>
        <w:top w:val="none" w:sz="0" w:space="0" w:color="auto"/>
        <w:left w:val="none" w:sz="0" w:space="0" w:color="auto"/>
        <w:bottom w:val="none" w:sz="0" w:space="0" w:color="auto"/>
        <w:right w:val="none" w:sz="0" w:space="0" w:color="auto"/>
      </w:divBdr>
    </w:div>
    <w:div w:id="479225089">
      <w:bodyDiv w:val="1"/>
      <w:marLeft w:val="0"/>
      <w:marRight w:val="0"/>
      <w:marTop w:val="0"/>
      <w:marBottom w:val="0"/>
      <w:divBdr>
        <w:top w:val="none" w:sz="0" w:space="0" w:color="auto"/>
        <w:left w:val="none" w:sz="0" w:space="0" w:color="auto"/>
        <w:bottom w:val="none" w:sz="0" w:space="0" w:color="auto"/>
        <w:right w:val="none" w:sz="0" w:space="0" w:color="auto"/>
      </w:divBdr>
    </w:div>
    <w:div w:id="479227842">
      <w:bodyDiv w:val="1"/>
      <w:marLeft w:val="0"/>
      <w:marRight w:val="0"/>
      <w:marTop w:val="0"/>
      <w:marBottom w:val="0"/>
      <w:divBdr>
        <w:top w:val="none" w:sz="0" w:space="0" w:color="auto"/>
        <w:left w:val="none" w:sz="0" w:space="0" w:color="auto"/>
        <w:bottom w:val="none" w:sz="0" w:space="0" w:color="auto"/>
        <w:right w:val="none" w:sz="0" w:space="0" w:color="auto"/>
      </w:divBdr>
    </w:div>
    <w:div w:id="479461899">
      <w:bodyDiv w:val="1"/>
      <w:marLeft w:val="0"/>
      <w:marRight w:val="0"/>
      <w:marTop w:val="0"/>
      <w:marBottom w:val="0"/>
      <w:divBdr>
        <w:top w:val="none" w:sz="0" w:space="0" w:color="auto"/>
        <w:left w:val="none" w:sz="0" w:space="0" w:color="auto"/>
        <w:bottom w:val="none" w:sz="0" w:space="0" w:color="auto"/>
        <w:right w:val="none" w:sz="0" w:space="0" w:color="auto"/>
      </w:divBdr>
    </w:div>
    <w:div w:id="479614135">
      <w:bodyDiv w:val="1"/>
      <w:marLeft w:val="0"/>
      <w:marRight w:val="0"/>
      <w:marTop w:val="0"/>
      <w:marBottom w:val="0"/>
      <w:divBdr>
        <w:top w:val="none" w:sz="0" w:space="0" w:color="auto"/>
        <w:left w:val="none" w:sz="0" w:space="0" w:color="auto"/>
        <w:bottom w:val="none" w:sz="0" w:space="0" w:color="auto"/>
        <w:right w:val="none" w:sz="0" w:space="0" w:color="auto"/>
      </w:divBdr>
    </w:div>
    <w:div w:id="479688662">
      <w:bodyDiv w:val="1"/>
      <w:marLeft w:val="0"/>
      <w:marRight w:val="0"/>
      <w:marTop w:val="0"/>
      <w:marBottom w:val="0"/>
      <w:divBdr>
        <w:top w:val="none" w:sz="0" w:space="0" w:color="auto"/>
        <w:left w:val="none" w:sz="0" w:space="0" w:color="auto"/>
        <w:bottom w:val="none" w:sz="0" w:space="0" w:color="auto"/>
        <w:right w:val="none" w:sz="0" w:space="0" w:color="auto"/>
      </w:divBdr>
    </w:div>
    <w:div w:id="479813575">
      <w:bodyDiv w:val="1"/>
      <w:marLeft w:val="0"/>
      <w:marRight w:val="0"/>
      <w:marTop w:val="0"/>
      <w:marBottom w:val="0"/>
      <w:divBdr>
        <w:top w:val="none" w:sz="0" w:space="0" w:color="auto"/>
        <w:left w:val="none" w:sz="0" w:space="0" w:color="auto"/>
        <w:bottom w:val="none" w:sz="0" w:space="0" w:color="auto"/>
        <w:right w:val="none" w:sz="0" w:space="0" w:color="auto"/>
      </w:divBdr>
    </w:div>
    <w:div w:id="479922919">
      <w:bodyDiv w:val="1"/>
      <w:marLeft w:val="0"/>
      <w:marRight w:val="0"/>
      <w:marTop w:val="0"/>
      <w:marBottom w:val="0"/>
      <w:divBdr>
        <w:top w:val="none" w:sz="0" w:space="0" w:color="auto"/>
        <w:left w:val="none" w:sz="0" w:space="0" w:color="auto"/>
        <w:bottom w:val="none" w:sz="0" w:space="0" w:color="auto"/>
        <w:right w:val="none" w:sz="0" w:space="0" w:color="auto"/>
      </w:divBdr>
    </w:div>
    <w:div w:id="480076694">
      <w:bodyDiv w:val="1"/>
      <w:marLeft w:val="0"/>
      <w:marRight w:val="0"/>
      <w:marTop w:val="0"/>
      <w:marBottom w:val="0"/>
      <w:divBdr>
        <w:top w:val="none" w:sz="0" w:space="0" w:color="auto"/>
        <w:left w:val="none" w:sz="0" w:space="0" w:color="auto"/>
        <w:bottom w:val="none" w:sz="0" w:space="0" w:color="auto"/>
        <w:right w:val="none" w:sz="0" w:space="0" w:color="auto"/>
      </w:divBdr>
    </w:div>
    <w:div w:id="480079388">
      <w:bodyDiv w:val="1"/>
      <w:marLeft w:val="0"/>
      <w:marRight w:val="0"/>
      <w:marTop w:val="0"/>
      <w:marBottom w:val="0"/>
      <w:divBdr>
        <w:top w:val="none" w:sz="0" w:space="0" w:color="auto"/>
        <w:left w:val="none" w:sz="0" w:space="0" w:color="auto"/>
        <w:bottom w:val="none" w:sz="0" w:space="0" w:color="auto"/>
        <w:right w:val="none" w:sz="0" w:space="0" w:color="auto"/>
      </w:divBdr>
    </w:div>
    <w:div w:id="480117678">
      <w:bodyDiv w:val="1"/>
      <w:marLeft w:val="0"/>
      <w:marRight w:val="0"/>
      <w:marTop w:val="0"/>
      <w:marBottom w:val="0"/>
      <w:divBdr>
        <w:top w:val="none" w:sz="0" w:space="0" w:color="auto"/>
        <w:left w:val="none" w:sz="0" w:space="0" w:color="auto"/>
        <w:bottom w:val="none" w:sz="0" w:space="0" w:color="auto"/>
        <w:right w:val="none" w:sz="0" w:space="0" w:color="auto"/>
      </w:divBdr>
    </w:div>
    <w:div w:id="480124349">
      <w:bodyDiv w:val="1"/>
      <w:marLeft w:val="0"/>
      <w:marRight w:val="0"/>
      <w:marTop w:val="0"/>
      <w:marBottom w:val="0"/>
      <w:divBdr>
        <w:top w:val="none" w:sz="0" w:space="0" w:color="auto"/>
        <w:left w:val="none" w:sz="0" w:space="0" w:color="auto"/>
        <w:bottom w:val="none" w:sz="0" w:space="0" w:color="auto"/>
        <w:right w:val="none" w:sz="0" w:space="0" w:color="auto"/>
      </w:divBdr>
    </w:div>
    <w:div w:id="480318311">
      <w:bodyDiv w:val="1"/>
      <w:marLeft w:val="0"/>
      <w:marRight w:val="0"/>
      <w:marTop w:val="0"/>
      <w:marBottom w:val="0"/>
      <w:divBdr>
        <w:top w:val="none" w:sz="0" w:space="0" w:color="auto"/>
        <w:left w:val="none" w:sz="0" w:space="0" w:color="auto"/>
        <w:bottom w:val="none" w:sz="0" w:space="0" w:color="auto"/>
        <w:right w:val="none" w:sz="0" w:space="0" w:color="auto"/>
      </w:divBdr>
    </w:div>
    <w:div w:id="480345531">
      <w:bodyDiv w:val="1"/>
      <w:marLeft w:val="0"/>
      <w:marRight w:val="0"/>
      <w:marTop w:val="0"/>
      <w:marBottom w:val="0"/>
      <w:divBdr>
        <w:top w:val="none" w:sz="0" w:space="0" w:color="auto"/>
        <w:left w:val="none" w:sz="0" w:space="0" w:color="auto"/>
        <w:bottom w:val="none" w:sz="0" w:space="0" w:color="auto"/>
        <w:right w:val="none" w:sz="0" w:space="0" w:color="auto"/>
      </w:divBdr>
    </w:div>
    <w:div w:id="480384984">
      <w:bodyDiv w:val="1"/>
      <w:marLeft w:val="0"/>
      <w:marRight w:val="0"/>
      <w:marTop w:val="0"/>
      <w:marBottom w:val="0"/>
      <w:divBdr>
        <w:top w:val="none" w:sz="0" w:space="0" w:color="auto"/>
        <w:left w:val="none" w:sz="0" w:space="0" w:color="auto"/>
        <w:bottom w:val="none" w:sz="0" w:space="0" w:color="auto"/>
        <w:right w:val="none" w:sz="0" w:space="0" w:color="auto"/>
      </w:divBdr>
    </w:div>
    <w:div w:id="480389773">
      <w:bodyDiv w:val="1"/>
      <w:marLeft w:val="0"/>
      <w:marRight w:val="0"/>
      <w:marTop w:val="0"/>
      <w:marBottom w:val="0"/>
      <w:divBdr>
        <w:top w:val="none" w:sz="0" w:space="0" w:color="auto"/>
        <w:left w:val="none" w:sz="0" w:space="0" w:color="auto"/>
        <w:bottom w:val="none" w:sz="0" w:space="0" w:color="auto"/>
        <w:right w:val="none" w:sz="0" w:space="0" w:color="auto"/>
      </w:divBdr>
    </w:div>
    <w:div w:id="480461600">
      <w:bodyDiv w:val="1"/>
      <w:marLeft w:val="0"/>
      <w:marRight w:val="0"/>
      <w:marTop w:val="0"/>
      <w:marBottom w:val="0"/>
      <w:divBdr>
        <w:top w:val="none" w:sz="0" w:space="0" w:color="auto"/>
        <w:left w:val="none" w:sz="0" w:space="0" w:color="auto"/>
        <w:bottom w:val="none" w:sz="0" w:space="0" w:color="auto"/>
        <w:right w:val="none" w:sz="0" w:space="0" w:color="auto"/>
      </w:divBdr>
    </w:div>
    <w:div w:id="480540157">
      <w:bodyDiv w:val="1"/>
      <w:marLeft w:val="0"/>
      <w:marRight w:val="0"/>
      <w:marTop w:val="0"/>
      <w:marBottom w:val="0"/>
      <w:divBdr>
        <w:top w:val="none" w:sz="0" w:space="0" w:color="auto"/>
        <w:left w:val="none" w:sz="0" w:space="0" w:color="auto"/>
        <w:bottom w:val="none" w:sz="0" w:space="0" w:color="auto"/>
        <w:right w:val="none" w:sz="0" w:space="0" w:color="auto"/>
      </w:divBdr>
    </w:div>
    <w:div w:id="480855560">
      <w:bodyDiv w:val="1"/>
      <w:marLeft w:val="0"/>
      <w:marRight w:val="0"/>
      <w:marTop w:val="0"/>
      <w:marBottom w:val="0"/>
      <w:divBdr>
        <w:top w:val="none" w:sz="0" w:space="0" w:color="auto"/>
        <w:left w:val="none" w:sz="0" w:space="0" w:color="auto"/>
        <w:bottom w:val="none" w:sz="0" w:space="0" w:color="auto"/>
        <w:right w:val="none" w:sz="0" w:space="0" w:color="auto"/>
      </w:divBdr>
    </w:div>
    <w:div w:id="480927419">
      <w:bodyDiv w:val="1"/>
      <w:marLeft w:val="0"/>
      <w:marRight w:val="0"/>
      <w:marTop w:val="0"/>
      <w:marBottom w:val="0"/>
      <w:divBdr>
        <w:top w:val="none" w:sz="0" w:space="0" w:color="auto"/>
        <w:left w:val="none" w:sz="0" w:space="0" w:color="auto"/>
        <w:bottom w:val="none" w:sz="0" w:space="0" w:color="auto"/>
        <w:right w:val="none" w:sz="0" w:space="0" w:color="auto"/>
      </w:divBdr>
    </w:div>
    <w:div w:id="481165572">
      <w:bodyDiv w:val="1"/>
      <w:marLeft w:val="0"/>
      <w:marRight w:val="0"/>
      <w:marTop w:val="0"/>
      <w:marBottom w:val="0"/>
      <w:divBdr>
        <w:top w:val="none" w:sz="0" w:space="0" w:color="auto"/>
        <w:left w:val="none" w:sz="0" w:space="0" w:color="auto"/>
        <w:bottom w:val="none" w:sz="0" w:space="0" w:color="auto"/>
        <w:right w:val="none" w:sz="0" w:space="0" w:color="auto"/>
      </w:divBdr>
    </w:div>
    <w:div w:id="481234730">
      <w:bodyDiv w:val="1"/>
      <w:marLeft w:val="0"/>
      <w:marRight w:val="0"/>
      <w:marTop w:val="0"/>
      <w:marBottom w:val="0"/>
      <w:divBdr>
        <w:top w:val="none" w:sz="0" w:space="0" w:color="auto"/>
        <w:left w:val="none" w:sz="0" w:space="0" w:color="auto"/>
        <w:bottom w:val="none" w:sz="0" w:space="0" w:color="auto"/>
        <w:right w:val="none" w:sz="0" w:space="0" w:color="auto"/>
      </w:divBdr>
    </w:div>
    <w:div w:id="481239567">
      <w:bodyDiv w:val="1"/>
      <w:marLeft w:val="0"/>
      <w:marRight w:val="0"/>
      <w:marTop w:val="0"/>
      <w:marBottom w:val="0"/>
      <w:divBdr>
        <w:top w:val="none" w:sz="0" w:space="0" w:color="auto"/>
        <w:left w:val="none" w:sz="0" w:space="0" w:color="auto"/>
        <w:bottom w:val="none" w:sz="0" w:space="0" w:color="auto"/>
        <w:right w:val="none" w:sz="0" w:space="0" w:color="auto"/>
      </w:divBdr>
    </w:div>
    <w:div w:id="481459677">
      <w:bodyDiv w:val="1"/>
      <w:marLeft w:val="0"/>
      <w:marRight w:val="0"/>
      <w:marTop w:val="0"/>
      <w:marBottom w:val="0"/>
      <w:divBdr>
        <w:top w:val="none" w:sz="0" w:space="0" w:color="auto"/>
        <w:left w:val="none" w:sz="0" w:space="0" w:color="auto"/>
        <w:bottom w:val="none" w:sz="0" w:space="0" w:color="auto"/>
        <w:right w:val="none" w:sz="0" w:space="0" w:color="auto"/>
      </w:divBdr>
    </w:div>
    <w:div w:id="481583719">
      <w:bodyDiv w:val="1"/>
      <w:marLeft w:val="0"/>
      <w:marRight w:val="0"/>
      <w:marTop w:val="0"/>
      <w:marBottom w:val="0"/>
      <w:divBdr>
        <w:top w:val="none" w:sz="0" w:space="0" w:color="auto"/>
        <w:left w:val="none" w:sz="0" w:space="0" w:color="auto"/>
        <w:bottom w:val="none" w:sz="0" w:space="0" w:color="auto"/>
        <w:right w:val="none" w:sz="0" w:space="0" w:color="auto"/>
      </w:divBdr>
    </w:div>
    <w:div w:id="481772075">
      <w:bodyDiv w:val="1"/>
      <w:marLeft w:val="0"/>
      <w:marRight w:val="0"/>
      <w:marTop w:val="0"/>
      <w:marBottom w:val="0"/>
      <w:divBdr>
        <w:top w:val="none" w:sz="0" w:space="0" w:color="auto"/>
        <w:left w:val="none" w:sz="0" w:space="0" w:color="auto"/>
        <w:bottom w:val="none" w:sz="0" w:space="0" w:color="auto"/>
        <w:right w:val="none" w:sz="0" w:space="0" w:color="auto"/>
      </w:divBdr>
    </w:div>
    <w:div w:id="481848060">
      <w:bodyDiv w:val="1"/>
      <w:marLeft w:val="0"/>
      <w:marRight w:val="0"/>
      <w:marTop w:val="0"/>
      <w:marBottom w:val="0"/>
      <w:divBdr>
        <w:top w:val="none" w:sz="0" w:space="0" w:color="auto"/>
        <w:left w:val="none" w:sz="0" w:space="0" w:color="auto"/>
        <w:bottom w:val="none" w:sz="0" w:space="0" w:color="auto"/>
        <w:right w:val="none" w:sz="0" w:space="0" w:color="auto"/>
      </w:divBdr>
    </w:div>
    <w:div w:id="481893988">
      <w:bodyDiv w:val="1"/>
      <w:marLeft w:val="0"/>
      <w:marRight w:val="0"/>
      <w:marTop w:val="0"/>
      <w:marBottom w:val="0"/>
      <w:divBdr>
        <w:top w:val="none" w:sz="0" w:space="0" w:color="auto"/>
        <w:left w:val="none" w:sz="0" w:space="0" w:color="auto"/>
        <w:bottom w:val="none" w:sz="0" w:space="0" w:color="auto"/>
        <w:right w:val="none" w:sz="0" w:space="0" w:color="auto"/>
      </w:divBdr>
    </w:div>
    <w:div w:id="481970344">
      <w:bodyDiv w:val="1"/>
      <w:marLeft w:val="0"/>
      <w:marRight w:val="0"/>
      <w:marTop w:val="0"/>
      <w:marBottom w:val="0"/>
      <w:divBdr>
        <w:top w:val="none" w:sz="0" w:space="0" w:color="auto"/>
        <w:left w:val="none" w:sz="0" w:space="0" w:color="auto"/>
        <w:bottom w:val="none" w:sz="0" w:space="0" w:color="auto"/>
        <w:right w:val="none" w:sz="0" w:space="0" w:color="auto"/>
      </w:divBdr>
    </w:div>
    <w:div w:id="482083433">
      <w:bodyDiv w:val="1"/>
      <w:marLeft w:val="0"/>
      <w:marRight w:val="0"/>
      <w:marTop w:val="0"/>
      <w:marBottom w:val="0"/>
      <w:divBdr>
        <w:top w:val="none" w:sz="0" w:space="0" w:color="auto"/>
        <w:left w:val="none" w:sz="0" w:space="0" w:color="auto"/>
        <w:bottom w:val="none" w:sz="0" w:space="0" w:color="auto"/>
        <w:right w:val="none" w:sz="0" w:space="0" w:color="auto"/>
      </w:divBdr>
    </w:div>
    <w:div w:id="482088987">
      <w:bodyDiv w:val="1"/>
      <w:marLeft w:val="0"/>
      <w:marRight w:val="0"/>
      <w:marTop w:val="0"/>
      <w:marBottom w:val="0"/>
      <w:divBdr>
        <w:top w:val="none" w:sz="0" w:space="0" w:color="auto"/>
        <w:left w:val="none" w:sz="0" w:space="0" w:color="auto"/>
        <w:bottom w:val="none" w:sz="0" w:space="0" w:color="auto"/>
        <w:right w:val="none" w:sz="0" w:space="0" w:color="auto"/>
      </w:divBdr>
    </w:div>
    <w:div w:id="482159206">
      <w:bodyDiv w:val="1"/>
      <w:marLeft w:val="0"/>
      <w:marRight w:val="0"/>
      <w:marTop w:val="0"/>
      <w:marBottom w:val="0"/>
      <w:divBdr>
        <w:top w:val="none" w:sz="0" w:space="0" w:color="auto"/>
        <w:left w:val="none" w:sz="0" w:space="0" w:color="auto"/>
        <w:bottom w:val="none" w:sz="0" w:space="0" w:color="auto"/>
        <w:right w:val="none" w:sz="0" w:space="0" w:color="auto"/>
      </w:divBdr>
    </w:div>
    <w:div w:id="482235056">
      <w:bodyDiv w:val="1"/>
      <w:marLeft w:val="0"/>
      <w:marRight w:val="0"/>
      <w:marTop w:val="0"/>
      <w:marBottom w:val="0"/>
      <w:divBdr>
        <w:top w:val="none" w:sz="0" w:space="0" w:color="auto"/>
        <w:left w:val="none" w:sz="0" w:space="0" w:color="auto"/>
        <w:bottom w:val="none" w:sz="0" w:space="0" w:color="auto"/>
        <w:right w:val="none" w:sz="0" w:space="0" w:color="auto"/>
      </w:divBdr>
    </w:div>
    <w:div w:id="482427001">
      <w:bodyDiv w:val="1"/>
      <w:marLeft w:val="0"/>
      <w:marRight w:val="0"/>
      <w:marTop w:val="0"/>
      <w:marBottom w:val="0"/>
      <w:divBdr>
        <w:top w:val="none" w:sz="0" w:space="0" w:color="auto"/>
        <w:left w:val="none" w:sz="0" w:space="0" w:color="auto"/>
        <w:bottom w:val="none" w:sz="0" w:space="0" w:color="auto"/>
        <w:right w:val="none" w:sz="0" w:space="0" w:color="auto"/>
      </w:divBdr>
    </w:div>
    <w:div w:id="482434034">
      <w:bodyDiv w:val="1"/>
      <w:marLeft w:val="0"/>
      <w:marRight w:val="0"/>
      <w:marTop w:val="0"/>
      <w:marBottom w:val="0"/>
      <w:divBdr>
        <w:top w:val="none" w:sz="0" w:space="0" w:color="auto"/>
        <w:left w:val="none" w:sz="0" w:space="0" w:color="auto"/>
        <w:bottom w:val="none" w:sz="0" w:space="0" w:color="auto"/>
        <w:right w:val="none" w:sz="0" w:space="0" w:color="auto"/>
      </w:divBdr>
    </w:div>
    <w:div w:id="482508254">
      <w:bodyDiv w:val="1"/>
      <w:marLeft w:val="0"/>
      <w:marRight w:val="0"/>
      <w:marTop w:val="0"/>
      <w:marBottom w:val="0"/>
      <w:divBdr>
        <w:top w:val="none" w:sz="0" w:space="0" w:color="auto"/>
        <w:left w:val="none" w:sz="0" w:space="0" w:color="auto"/>
        <w:bottom w:val="none" w:sz="0" w:space="0" w:color="auto"/>
        <w:right w:val="none" w:sz="0" w:space="0" w:color="auto"/>
      </w:divBdr>
    </w:div>
    <w:div w:id="482770779">
      <w:bodyDiv w:val="1"/>
      <w:marLeft w:val="0"/>
      <w:marRight w:val="0"/>
      <w:marTop w:val="0"/>
      <w:marBottom w:val="0"/>
      <w:divBdr>
        <w:top w:val="none" w:sz="0" w:space="0" w:color="auto"/>
        <w:left w:val="none" w:sz="0" w:space="0" w:color="auto"/>
        <w:bottom w:val="none" w:sz="0" w:space="0" w:color="auto"/>
        <w:right w:val="none" w:sz="0" w:space="0" w:color="auto"/>
      </w:divBdr>
    </w:div>
    <w:div w:id="482939102">
      <w:bodyDiv w:val="1"/>
      <w:marLeft w:val="0"/>
      <w:marRight w:val="0"/>
      <w:marTop w:val="0"/>
      <w:marBottom w:val="0"/>
      <w:divBdr>
        <w:top w:val="none" w:sz="0" w:space="0" w:color="auto"/>
        <w:left w:val="none" w:sz="0" w:space="0" w:color="auto"/>
        <w:bottom w:val="none" w:sz="0" w:space="0" w:color="auto"/>
        <w:right w:val="none" w:sz="0" w:space="0" w:color="auto"/>
      </w:divBdr>
    </w:div>
    <w:div w:id="482967540">
      <w:bodyDiv w:val="1"/>
      <w:marLeft w:val="0"/>
      <w:marRight w:val="0"/>
      <w:marTop w:val="0"/>
      <w:marBottom w:val="0"/>
      <w:divBdr>
        <w:top w:val="none" w:sz="0" w:space="0" w:color="auto"/>
        <w:left w:val="none" w:sz="0" w:space="0" w:color="auto"/>
        <w:bottom w:val="none" w:sz="0" w:space="0" w:color="auto"/>
        <w:right w:val="none" w:sz="0" w:space="0" w:color="auto"/>
      </w:divBdr>
    </w:div>
    <w:div w:id="483081620">
      <w:bodyDiv w:val="1"/>
      <w:marLeft w:val="0"/>
      <w:marRight w:val="0"/>
      <w:marTop w:val="0"/>
      <w:marBottom w:val="0"/>
      <w:divBdr>
        <w:top w:val="none" w:sz="0" w:space="0" w:color="auto"/>
        <w:left w:val="none" w:sz="0" w:space="0" w:color="auto"/>
        <w:bottom w:val="none" w:sz="0" w:space="0" w:color="auto"/>
        <w:right w:val="none" w:sz="0" w:space="0" w:color="auto"/>
      </w:divBdr>
    </w:div>
    <w:div w:id="483084036">
      <w:bodyDiv w:val="1"/>
      <w:marLeft w:val="0"/>
      <w:marRight w:val="0"/>
      <w:marTop w:val="0"/>
      <w:marBottom w:val="0"/>
      <w:divBdr>
        <w:top w:val="none" w:sz="0" w:space="0" w:color="auto"/>
        <w:left w:val="none" w:sz="0" w:space="0" w:color="auto"/>
        <w:bottom w:val="none" w:sz="0" w:space="0" w:color="auto"/>
        <w:right w:val="none" w:sz="0" w:space="0" w:color="auto"/>
      </w:divBdr>
    </w:div>
    <w:div w:id="483282346">
      <w:bodyDiv w:val="1"/>
      <w:marLeft w:val="0"/>
      <w:marRight w:val="0"/>
      <w:marTop w:val="0"/>
      <w:marBottom w:val="0"/>
      <w:divBdr>
        <w:top w:val="none" w:sz="0" w:space="0" w:color="auto"/>
        <w:left w:val="none" w:sz="0" w:space="0" w:color="auto"/>
        <w:bottom w:val="none" w:sz="0" w:space="0" w:color="auto"/>
        <w:right w:val="none" w:sz="0" w:space="0" w:color="auto"/>
      </w:divBdr>
    </w:div>
    <w:div w:id="483425316">
      <w:bodyDiv w:val="1"/>
      <w:marLeft w:val="0"/>
      <w:marRight w:val="0"/>
      <w:marTop w:val="0"/>
      <w:marBottom w:val="0"/>
      <w:divBdr>
        <w:top w:val="none" w:sz="0" w:space="0" w:color="auto"/>
        <w:left w:val="none" w:sz="0" w:space="0" w:color="auto"/>
        <w:bottom w:val="none" w:sz="0" w:space="0" w:color="auto"/>
        <w:right w:val="none" w:sz="0" w:space="0" w:color="auto"/>
      </w:divBdr>
    </w:div>
    <w:div w:id="483468787">
      <w:bodyDiv w:val="1"/>
      <w:marLeft w:val="0"/>
      <w:marRight w:val="0"/>
      <w:marTop w:val="0"/>
      <w:marBottom w:val="0"/>
      <w:divBdr>
        <w:top w:val="none" w:sz="0" w:space="0" w:color="auto"/>
        <w:left w:val="none" w:sz="0" w:space="0" w:color="auto"/>
        <w:bottom w:val="none" w:sz="0" w:space="0" w:color="auto"/>
        <w:right w:val="none" w:sz="0" w:space="0" w:color="auto"/>
      </w:divBdr>
    </w:div>
    <w:div w:id="483547897">
      <w:bodyDiv w:val="1"/>
      <w:marLeft w:val="0"/>
      <w:marRight w:val="0"/>
      <w:marTop w:val="0"/>
      <w:marBottom w:val="0"/>
      <w:divBdr>
        <w:top w:val="none" w:sz="0" w:space="0" w:color="auto"/>
        <w:left w:val="none" w:sz="0" w:space="0" w:color="auto"/>
        <w:bottom w:val="none" w:sz="0" w:space="0" w:color="auto"/>
        <w:right w:val="none" w:sz="0" w:space="0" w:color="auto"/>
      </w:divBdr>
    </w:div>
    <w:div w:id="483661598">
      <w:bodyDiv w:val="1"/>
      <w:marLeft w:val="0"/>
      <w:marRight w:val="0"/>
      <w:marTop w:val="0"/>
      <w:marBottom w:val="0"/>
      <w:divBdr>
        <w:top w:val="none" w:sz="0" w:space="0" w:color="auto"/>
        <w:left w:val="none" w:sz="0" w:space="0" w:color="auto"/>
        <w:bottom w:val="none" w:sz="0" w:space="0" w:color="auto"/>
        <w:right w:val="none" w:sz="0" w:space="0" w:color="auto"/>
      </w:divBdr>
    </w:div>
    <w:div w:id="483863666">
      <w:bodyDiv w:val="1"/>
      <w:marLeft w:val="0"/>
      <w:marRight w:val="0"/>
      <w:marTop w:val="0"/>
      <w:marBottom w:val="0"/>
      <w:divBdr>
        <w:top w:val="none" w:sz="0" w:space="0" w:color="auto"/>
        <w:left w:val="none" w:sz="0" w:space="0" w:color="auto"/>
        <w:bottom w:val="none" w:sz="0" w:space="0" w:color="auto"/>
        <w:right w:val="none" w:sz="0" w:space="0" w:color="auto"/>
      </w:divBdr>
    </w:div>
    <w:div w:id="484056091">
      <w:bodyDiv w:val="1"/>
      <w:marLeft w:val="0"/>
      <w:marRight w:val="0"/>
      <w:marTop w:val="0"/>
      <w:marBottom w:val="0"/>
      <w:divBdr>
        <w:top w:val="none" w:sz="0" w:space="0" w:color="auto"/>
        <w:left w:val="none" w:sz="0" w:space="0" w:color="auto"/>
        <w:bottom w:val="none" w:sz="0" w:space="0" w:color="auto"/>
        <w:right w:val="none" w:sz="0" w:space="0" w:color="auto"/>
      </w:divBdr>
    </w:div>
    <w:div w:id="484321048">
      <w:bodyDiv w:val="1"/>
      <w:marLeft w:val="0"/>
      <w:marRight w:val="0"/>
      <w:marTop w:val="0"/>
      <w:marBottom w:val="0"/>
      <w:divBdr>
        <w:top w:val="none" w:sz="0" w:space="0" w:color="auto"/>
        <w:left w:val="none" w:sz="0" w:space="0" w:color="auto"/>
        <w:bottom w:val="none" w:sz="0" w:space="0" w:color="auto"/>
        <w:right w:val="none" w:sz="0" w:space="0" w:color="auto"/>
      </w:divBdr>
    </w:div>
    <w:div w:id="484473529">
      <w:bodyDiv w:val="1"/>
      <w:marLeft w:val="0"/>
      <w:marRight w:val="0"/>
      <w:marTop w:val="0"/>
      <w:marBottom w:val="0"/>
      <w:divBdr>
        <w:top w:val="none" w:sz="0" w:space="0" w:color="auto"/>
        <w:left w:val="none" w:sz="0" w:space="0" w:color="auto"/>
        <w:bottom w:val="none" w:sz="0" w:space="0" w:color="auto"/>
        <w:right w:val="none" w:sz="0" w:space="0" w:color="auto"/>
      </w:divBdr>
    </w:div>
    <w:div w:id="484517936">
      <w:bodyDiv w:val="1"/>
      <w:marLeft w:val="0"/>
      <w:marRight w:val="0"/>
      <w:marTop w:val="0"/>
      <w:marBottom w:val="0"/>
      <w:divBdr>
        <w:top w:val="none" w:sz="0" w:space="0" w:color="auto"/>
        <w:left w:val="none" w:sz="0" w:space="0" w:color="auto"/>
        <w:bottom w:val="none" w:sz="0" w:space="0" w:color="auto"/>
        <w:right w:val="none" w:sz="0" w:space="0" w:color="auto"/>
      </w:divBdr>
    </w:div>
    <w:div w:id="484592670">
      <w:bodyDiv w:val="1"/>
      <w:marLeft w:val="0"/>
      <w:marRight w:val="0"/>
      <w:marTop w:val="0"/>
      <w:marBottom w:val="0"/>
      <w:divBdr>
        <w:top w:val="none" w:sz="0" w:space="0" w:color="auto"/>
        <w:left w:val="none" w:sz="0" w:space="0" w:color="auto"/>
        <w:bottom w:val="none" w:sz="0" w:space="0" w:color="auto"/>
        <w:right w:val="none" w:sz="0" w:space="0" w:color="auto"/>
      </w:divBdr>
    </w:div>
    <w:div w:id="484661164">
      <w:bodyDiv w:val="1"/>
      <w:marLeft w:val="0"/>
      <w:marRight w:val="0"/>
      <w:marTop w:val="0"/>
      <w:marBottom w:val="0"/>
      <w:divBdr>
        <w:top w:val="none" w:sz="0" w:space="0" w:color="auto"/>
        <w:left w:val="none" w:sz="0" w:space="0" w:color="auto"/>
        <w:bottom w:val="none" w:sz="0" w:space="0" w:color="auto"/>
        <w:right w:val="none" w:sz="0" w:space="0" w:color="auto"/>
      </w:divBdr>
    </w:div>
    <w:div w:id="484664928">
      <w:bodyDiv w:val="1"/>
      <w:marLeft w:val="0"/>
      <w:marRight w:val="0"/>
      <w:marTop w:val="0"/>
      <w:marBottom w:val="0"/>
      <w:divBdr>
        <w:top w:val="none" w:sz="0" w:space="0" w:color="auto"/>
        <w:left w:val="none" w:sz="0" w:space="0" w:color="auto"/>
        <w:bottom w:val="none" w:sz="0" w:space="0" w:color="auto"/>
        <w:right w:val="none" w:sz="0" w:space="0" w:color="auto"/>
      </w:divBdr>
    </w:div>
    <w:div w:id="484667298">
      <w:bodyDiv w:val="1"/>
      <w:marLeft w:val="0"/>
      <w:marRight w:val="0"/>
      <w:marTop w:val="0"/>
      <w:marBottom w:val="0"/>
      <w:divBdr>
        <w:top w:val="none" w:sz="0" w:space="0" w:color="auto"/>
        <w:left w:val="none" w:sz="0" w:space="0" w:color="auto"/>
        <w:bottom w:val="none" w:sz="0" w:space="0" w:color="auto"/>
        <w:right w:val="none" w:sz="0" w:space="0" w:color="auto"/>
      </w:divBdr>
    </w:div>
    <w:div w:id="484667664">
      <w:bodyDiv w:val="1"/>
      <w:marLeft w:val="0"/>
      <w:marRight w:val="0"/>
      <w:marTop w:val="0"/>
      <w:marBottom w:val="0"/>
      <w:divBdr>
        <w:top w:val="none" w:sz="0" w:space="0" w:color="auto"/>
        <w:left w:val="none" w:sz="0" w:space="0" w:color="auto"/>
        <w:bottom w:val="none" w:sz="0" w:space="0" w:color="auto"/>
        <w:right w:val="none" w:sz="0" w:space="0" w:color="auto"/>
      </w:divBdr>
    </w:div>
    <w:div w:id="484709819">
      <w:bodyDiv w:val="1"/>
      <w:marLeft w:val="0"/>
      <w:marRight w:val="0"/>
      <w:marTop w:val="0"/>
      <w:marBottom w:val="0"/>
      <w:divBdr>
        <w:top w:val="none" w:sz="0" w:space="0" w:color="auto"/>
        <w:left w:val="none" w:sz="0" w:space="0" w:color="auto"/>
        <w:bottom w:val="none" w:sz="0" w:space="0" w:color="auto"/>
        <w:right w:val="none" w:sz="0" w:space="0" w:color="auto"/>
      </w:divBdr>
    </w:div>
    <w:div w:id="484901564">
      <w:bodyDiv w:val="1"/>
      <w:marLeft w:val="0"/>
      <w:marRight w:val="0"/>
      <w:marTop w:val="0"/>
      <w:marBottom w:val="0"/>
      <w:divBdr>
        <w:top w:val="none" w:sz="0" w:space="0" w:color="auto"/>
        <w:left w:val="none" w:sz="0" w:space="0" w:color="auto"/>
        <w:bottom w:val="none" w:sz="0" w:space="0" w:color="auto"/>
        <w:right w:val="none" w:sz="0" w:space="0" w:color="auto"/>
      </w:divBdr>
    </w:div>
    <w:div w:id="484904413">
      <w:bodyDiv w:val="1"/>
      <w:marLeft w:val="0"/>
      <w:marRight w:val="0"/>
      <w:marTop w:val="0"/>
      <w:marBottom w:val="0"/>
      <w:divBdr>
        <w:top w:val="none" w:sz="0" w:space="0" w:color="auto"/>
        <w:left w:val="none" w:sz="0" w:space="0" w:color="auto"/>
        <w:bottom w:val="none" w:sz="0" w:space="0" w:color="auto"/>
        <w:right w:val="none" w:sz="0" w:space="0" w:color="auto"/>
      </w:divBdr>
    </w:div>
    <w:div w:id="485049106">
      <w:bodyDiv w:val="1"/>
      <w:marLeft w:val="0"/>
      <w:marRight w:val="0"/>
      <w:marTop w:val="0"/>
      <w:marBottom w:val="0"/>
      <w:divBdr>
        <w:top w:val="none" w:sz="0" w:space="0" w:color="auto"/>
        <w:left w:val="none" w:sz="0" w:space="0" w:color="auto"/>
        <w:bottom w:val="none" w:sz="0" w:space="0" w:color="auto"/>
        <w:right w:val="none" w:sz="0" w:space="0" w:color="auto"/>
      </w:divBdr>
    </w:div>
    <w:div w:id="485051199">
      <w:bodyDiv w:val="1"/>
      <w:marLeft w:val="0"/>
      <w:marRight w:val="0"/>
      <w:marTop w:val="0"/>
      <w:marBottom w:val="0"/>
      <w:divBdr>
        <w:top w:val="none" w:sz="0" w:space="0" w:color="auto"/>
        <w:left w:val="none" w:sz="0" w:space="0" w:color="auto"/>
        <w:bottom w:val="none" w:sz="0" w:space="0" w:color="auto"/>
        <w:right w:val="none" w:sz="0" w:space="0" w:color="auto"/>
      </w:divBdr>
    </w:div>
    <w:div w:id="485122286">
      <w:bodyDiv w:val="1"/>
      <w:marLeft w:val="0"/>
      <w:marRight w:val="0"/>
      <w:marTop w:val="0"/>
      <w:marBottom w:val="0"/>
      <w:divBdr>
        <w:top w:val="none" w:sz="0" w:space="0" w:color="auto"/>
        <w:left w:val="none" w:sz="0" w:space="0" w:color="auto"/>
        <w:bottom w:val="none" w:sz="0" w:space="0" w:color="auto"/>
        <w:right w:val="none" w:sz="0" w:space="0" w:color="auto"/>
      </w:divBdr>
    </w:div>
    <w:div w:id="485129395">
      <w:bodyDiv w:val="1"/>
      <w:marLeft w:val="0"/>
      <w:marRight w:val="0"/>
      <w:marTop w:val="0"/>
      <w:marBottom w:val="0"/>
      <w:divBdr>
        <w:top w:val="none" w:sz="0" w:space="0" w:color="auto"/>
        <w:left w:val="none" w:sz="0" w:space="0" w:color="auto"/>
        <w:bottom w:val="none" w:sz="0" w:space="0" w:color="auto"/>
        <w:right w:val="none" w:sz="0" w:space="0" w:color="auto"/>
      </w:divBdr>
    </w:div>
    <w:div w:id="485169397">
      <w:bodyDiv w:val="1"/>
      <w:marLeft w:val="0"/>
      <w:marRight w:val="0"/>
      <w:marTop w:val="0"/>
      <w:marBottom w:val="0"/>
      <w:divBdr>
        <w:top w:val="none" w:sz="0" w:space="0" w:color="auto"/>
        <w:left w:val="none" w:sz="0" w:space="0" w:color="auto"/>
        <w:bottom w:val="none" w:sz="0" w:space="0" w:color="auto"/>
        <w:right w:val="none" w:sz="0" w:space="0" w:color="auto"/>
      </w:divBdr>
    </w:div>
    <w:div w:id="485174516">
      <w:bodyDiv w:val="1"/>
      <w:marLeft w:val="0"/>
      <w:marRight w:val="0"/>
      <w:marTop w:val="0"/>
      <w:marBottom w:val="0"/>
      <w:divBdr>
        <w:top w:val="none" w:sz="0" w:space="0" w:color="auto"/>
        <w:left w:val="none" w:sz="0" w:space="0" w:color="auto"/>
        <w:bottom w:val="none" w:sz="0" w:space="0" w:color="auto"/>
        <w:right w:val="none" w:sz="0" w:space="0" w:color="auto"/>
      </w:divBdr>
    </w:div>
    <w:div w:id="485514095">
      <w:bodyDiv w:val="1"/>
      <w:marLeft w:val="0"/>
      <w:marRight w:val="0"/>
      <w:marTop w:val="0"/>
      <w:marBottom w:val="0"/>
      <w:divBdr>
        <w:top w:val="none" w:sz="0" w:space="0" w:color="auto"/>
        <w:left w:val="none" w:sz="0" w:space="0" w:color="auto"/>
        <w:bottom w:val="none" w:sz="0" w:space="0" w:color="auto"/>
        <w:right w:val="none" w:sz="0" w:space="0" w:color="auto"/>
      </w:divBdr>
    </w:div>
    <w:div w:id="485705230">
      <w:bodyDiv w:val="1"/>
      <w:marLeft w:val="0"/>
      <w:marRight w:val="0"/>
      <w:marTop w:val="0"/>
      <w:marBottom w:val="0"/>
      <w:divBdr>
        <w:top w:val="none" w:sz="0" w:space="0" w:color="auto"/>
        <w:left w:val="none" w:sz="0" w:space="0" w:color="auto"/>
        <w:bottom w:val="none" w:sz="0" w:space="0" w:color="auto"/>
        <w:right w:val="none" w:sz="0" w:space="0" w:color="auto"/>
      </w:divBdr>
    </w:div>
    <w:div w:id="485753244">
      <w:bodyDiv w:val="1"/>
      <w:marLeft w:val="0"/>
      <w:marRight w:val="0"/>
      <w:marTop w:val="0"/>
      <w:marBottom w:val="0"/>
      <w:divBdr>
        <w:top w:val="none" w:sz="0" w:space="0" w:color="auto"/>
        <w:left w:val="none" w:sz="0" w:space="0" w:color="auto"/>
        <w:bottom w:val="none" w:sz="0" w:space="0" w:color="auto"/>
        <w:right w:val="none" w:sz="0" w:space="0" w:color="auto"/>
      </w:divBdr>
    </w:div>
    <w:div w:id="485972708">
      <w:bodyDiv w:val="1"/>
      <w:marLeft w:val="0"/>
      <w:marRight w:val="0"/>
      <w:marTop w:val="0"/>
      <w:marBottom w:val="0"/>
      <w:divBdr>
        <w:top w:val="none" w:sz="0" w:space="0" w:color="auto"/>
        <w:left w:val="none" w:sz="0" w:space="0" w:color="auto"/>
        <w:bottom w:val="none" w:sz="0" w:space="0" w:color="auto"/>
        <w:right w:val="none" w:sz="0" w:space="0" w:color="auto"/>
      </w:divBdr>
    </w:div>
    <w:div w:id="486214026">
      <w:bodyDiv w:val="1"/>
      <w:marLeft w:val="0"/>
      <w:marRight w:val="0"/>
      <w:marTop w:val="0"/>
      <w:marBottom w:val="0"/>
      <w:divBdr>
        <w:top w:val="none" w:sz="0" w:space="0" w:color="auto"/>
        <w:left w:val="none" w:sz="0" w:space="0" w:color="auto"/>
        <w:bottom w:val="none" w:sz="0" w:space="0" w:color="auto"/>
        <w:right w:val="none" w:sz="0" w:space="0" w:color="auto"/>
      </w:divBdr>
    </w:div>
    <w:div w:id="486242143">
      <w:bodyDiv w:val="1"/>
      <w:marLeft w:val="0"/>
      <w:marRight w:val="0"/>
      <w:marTop w:val="0"/>
      <w:marBottom w:val="0"/>
      <w:divBdr>
        <w:top w:val="none" w:sz="0" w:space="0" w:color="auto"/>
        <w:left w:val="none" w:sz="0" w:space="0" w:color="auto"/>
        <w:bottom w:val="none" w:sz="0" w:space="0" w:color="auto"/>
        <w:right w:val="none" w:sz="0" w:space="0" w:color="auto"/>
      </w:divBdr>
    </w:div>
    <w:div w:id="486284306">
      <w:bodyDiv w:val="1"/>
      <w:marLeft w:val="0"/>
      <w:marRight w:val="0"/>
      <w:marTop w:val="0"/>
      <w:marBottom w:val="0"/>
      <w:divBdr>
        <w:top w:val="none" w:sz="0" w:space="0" w:color="auto"/>
        <w:left w:val="none" w:sz="0" w:space="0" w:color="auto"/>
        <w:bottom w:val="none" w:sz="0" w:space="0" w:color="auto"/>
        <w:right w:val="none" w:sz="0" w:space="0" w:color="auto"/>
      </w:divBdr>
    </w:div>
    <w:div w:id="486289982">
      <w:bodyDiv w:val="1"/>
      <w:marLeft w:val="0"/>
      <w:marRight w:val="0"/>
      <w:marTop w:val="0"/>
      <w:marBottom w:val="0"/>
      <w:divBdr>
        <w:top w:val="none" w:sz="0" w:space="0" w:color="auto"/>
        <w:left w:val="none" w:sz="0" w:space="0" w:color="auto"/>
        <w:bottom w:val="none" w:sz="0" w:space="0" w:color="auto"/>
        <w:right w:val="none" w:sz="0" w:space="0" w:color="auto"/>
      </w:divBdr>
    </w:div>
    <w:div w:id="486359423">
      <w:bodyDiv w:val="1"/>
      <w:marLeft w:val="0"/>
      <w:marRight w:val="0"/>
      <w:marTop w:val="0"/>
      <w:marBottom w:val="0"/>
      <w:divBdr>
        <w:top w:val="none" w:sz="0" w:space="0" w:color="auto"/>
        <w:left w:val="none" w:sz="0" w:space="0" w:color="auto"/>
        <w:bottom w:val="none" w:sz="0" w:space="0" w:color="auto"/>
        <w:right w:val="none" w:sz="0" w:space="0" w:color="auto"/>
      </w:divBdr>
    </w:div>
    <w:div w:id="486482030">
      <w:bodyDiv w:val="1"/>
      <w:marLeft w:val="0"/>
      <w:marRight w:val="0"/>
      <w:marTop w:val="0"/>
      <w:marBottom w:val="0"/>
      <w:divBdr>
        <w:top w:val="none" w:sz="0" w:space="0" w:color="auto"/>
        <w:left w:val="none" w:sz="0" w:space="0" w:color="auto"/>
        <w:bottom w:val="none" w:sz="0" w:space="0" w:color="auto"/>
        <w:right w:val="none" w:sz="0" w:space="0" w:color="auto"/>
      </w:divBdr>
    </w:div>
    <w:div w:id="486552737">
      <w:bodyDiv w:val="1"/>
      <w:marLeft w:val="0"/>
      <w:marRight w:val="0"/>
      <w:marTop w:val="0"/>
      <w:marBottom w:val="0"/>
      <w:divBdr>
        <w:top w:val="none" w:sz="0" w:space="0" w:color="auto"/>
        <w:left w:val="none" w:sz="0" w:space="0" w:color="auto"/>
        <w:bottom w:val="none" w:sz="0" w:space="0" w:color="auto"/>
        <w:right w:val="none" w:sz="0" w:space="0" w:color="auto"/>
      </w:divBdr>
    </w:div>
    <w:div w:id="486630637">
      <w:bodyDiv w:val="1"/>
      <w:marLeft w:val="0"/>
      <w:marRight w:val="0"/>
      <w:marTop w:val="0"/>
      <w:marBottom w:val="0"/>
      <w:divBdr>
        <w:top w:val="none" w:sz="0" w:space="0" w:color="auto"/>
        <w:left w:val="none" w:sz="0" w:space="0" w:color="auto"/>
        <w:bottom w:val="none" w:sz="0" w:space="0" w:color="auto"/>
        <w:right w:val="none" w:sz="0" w:space="0" w:color="auto"/>
      </w:divBdr>
    </w:div>
    <w:div w:id="486752235">
      <w:bodyDiv w:val="1"/>
      <w:marLeft w:val="0"/>
      <w:marRight w:val="0"/>
      <w:marTop w:val="0"/>
      <w:marBottom w:val="0"/>
      <w:divBdr>
        <w:top w:val="none" w:sz="0" w:space="0" w:color="auto"/>
        <w:left w:val="none" w:sz="0" w:space="0" w:color="auto"/>
        <w:bottom w:val="none" w:sz="0" w:space="0" w:color="auto"/>
        <w:right w:val="none" w:sz="0" w:space="0" w:color="auto"/>
      </w:divBdr>
    </w:div>
    <w:div w:id="486940517">
      <w:bodyDiv w:val="1"/>
      <w:marLeft w:val="0"/>
      <w:marRight w:val="0"/>
      <w:marTop w:val="0"/>
      <w:marBottom w:val="0"/>
      <w:divBdr>
        <w:top w:val="none" w:sz="0" w:space="0" w:color="auto"/>
        <w:left w:val="none" w:sz="0" w:space="0" w:color="auto"/>
        <w:bottom w:val="none" w:sz="0" w:space="0" w:color="auto"/>
        <w:right w:val="none" w:sz="0" w:space="0" w:color="auto"/>
      </w:divBdr>
    </w:div>
    <w:div w:id="487215056">
      <w:bodyDiv w:val="1"/>
      <w:marLeft w:val="0"/>
      <w:marRight w:val="0"/>
      <w:marTop w:val="0"/>
      <w:marBottom w:val="0"/>
      <w:divBdr>
        <w:top w:val="none" w:sz="0" w:space="0" w:color="auto"/>
        <w:left w:val="none" w:sz="0" w:space="0" w:color="auto"/>
        <w:bottom w:val="none" w:sz="0" w:space="0" w:color="auto"/>
        <w:right w:val="none" w:sz="0" w:space="0" w:color="auto"/>
      </w:divBdr>
    </w:div>
    <w:div w:id="487329633">
      <w:bodyDiv w:val="1"/>
      <w:marLeft w:val="0"/>
      <w:marRight w:val="0"/>
      <w:marTop w:val="0"/>
      <w:marBottom w:val="0"/>
      <w:divBdr>
        <w:top w:val="none" w:sz="0" w:space="0" w:color="auto"/>
        <w:left w:val="none" w:sz="0" w:space="0" w:color="auto"/>
        <w:bottom w:val="none" w:sz="0" w:space="0" w:color="auto"/>
        <w:right w:val="none" w:sz="0" w:space="0" w:color="auto"/>
      </w:divBdr>
    </w:div>
    <w:div w:id="487482909">
      <w:bodyDiv w:val="1"/>
      <w:marLeft w:val="0"/>
      <w:marRight w:val="0"/>
      <w:marTop w:val="0"/>
      <w:marBottom w:val="0"/>
      <w:divBdr>
        <w:top w:val="none" w:sz="0" w:space="0" w:color="auto"/>
        <w:left w:val="none" w:sz="0" w:space="0" w:color="auto"/>
        <w:bottom w:val="none" w:sz="0" w:space="0" w:color="auto"/>
        <w:right w:val="none" w:sz="0" w:space="0" w:color="auto"/>
      </w:divBdr>
    </w:div>
    <w:div w:id="487593487">
      <w:bodyDiv w:val="1"/>
      <w:marLeft w:val="0"/>
      <w:marRight w:val="0"/>
      <w:marTop w:val="0"/>
      <w:marBottom w:val="0"/>
      <w:divBdr>
        <w:top w:val="none" w:sz="0" w:space="0" w:color="auto"/>
        <w:left w:val="none" w:sz="0" w:space="0" w:color="auto"/>
        <w:bottom w:val="none" w:sz="0" w:space="0" w:color="auto"/>
        <w:right w:val="none" w:sz="0" w:space="0" w:color="auto"/>
      </w:divBdr>
    </w:div>
    <w:div w:id="487788499">
      <w:bodyDiv w:val="1"/>
      <w:marLeft w:val="0"/>
      <w:marRight w:val="0"/>
      <w:marTop w:val="0"/>
      <w:marBottom w:val="0"/>
      <w:divBdr>
        <w:top w:val="none" w:sz="0" w:space="0" w:color="auto"/>
        <w:left w:val="none" w:sz="0" w:space="0" w:color="auto"/>
        <w:bottom w:val="none" w:sz="0" w:space="0" w:color="auto"/>
        <w:right w:val="none" w:sz="0" w:space="0" w:color="auto"/>
      </w:divBdr>
    </w:div>
    <w:div w:id="487788736">
      <w:bodyDiv w:val="1"/>
      <w:marLeft w:val="0"/>
      <w:marRight w:val="0"/>
      <w:marTop w:val="0"/>
      <w:marBottom w:val="0"/>
      <w:divBdr>
        <w:top w:val="none" w:sz="0" w:space="0" w:color="auto"/>
        <w:left w:val="none" w:sz="0" w:space="0" w:color="auto"/>
        <w:bottom w:val="none" w:sz="0" w:space="0" w:color="auto"/>
        <w:right w:val="none" w:sz="0" w:space="0" w:color="auto"/>
      </w:divBdr>
    </w:div>
    <w:div w:id="487862543">
      <w:bodyDiv w:val="1"/>
      <w:marLeft w:val="0"/>
      <w:marRight w:val="0"/>
      <w:marTop w:val="0"/>
      <w:marBottom w:val="0"/>
      <w:divBdr>
        <w:top w:val="none" w:sz="0" w:space="0" w:color="auto"/>
        <w:left w:val="none" w:sz="0" w:space="0" w:color="auto"/>
        <w:bottom w:val="none" w:sz="0" w:space="0" w:color="auto"/>
        <w:right w:val="none" w:sz="0" w:space="0" w:color="auto"/>
      </w:divBdr>
    </w:div>
    <w:div w:id="487940645">
      <w:bodyDiv w:val="1"/>
      <w:marLeft w:val="0"/>
      <w:marRight w:val="0"/>
      <w:marTop w:val="0"/>
      <w:marBottom w:val="0"/>
      <w:divBdr>
        <w:top w:val="none" w:sz="0" w:space="0" w:color="auto"/>
        <w:left w:val="none" w:sz="0" w:space="0" w:color="auto"/>
        <w:bottom w:val="none" w:sz="0" w:space="0" w:color="auto"/>
        <w:right w:val="none" w:sz="0" w:space="0" w:color="auto"/>
      </w:divBdr>
    </w:div>
    <w:div w:id="487945377">
      <w:bodyDiv w:val="1"/>
      <w:marLeft w:val="0"/>
      <w:marRight w:val="0"/>
      <w:marTop w:val="0"/>
      <w:marBottom w:val="0"/>
      <w:divBdr>
        <w:top w:val="none" w:sz="0" w:space="0" w:color="auto"/>
        <w:left w:val="none" w:sz="0" w:space="0" w:color="auto"/>
        <w:bottom w:val="none" w:sz="0" w:space="0" w:color="auto"/>
        <w:right w:val="none" w:sz="0" w:space="0" w:color="auto"/>
      </w:divBdr>
    </w:div>
    <w:div w:id="487987464">
      <w:bodyDiv w:val="1"/>
      <w:marLeft w:val="0"/>
      <w:marRight w:val="0"/>
      <w:marTop w:val="0"/>
      <w:marBottom w:val="0"/>
      <w:divBdr>
        <w:top w:val="none" w:sz="0" w:space="0" w:color="auto"/>
        <w:left w:val="none" w:sz="0" w:space="0" w:color="auto"/>
        <w:bottom w:val="none" w:sz="0" w:space="0" w:color="auto"/>
        <w:right w:val="none" w:sz="0" w:space="0" w:color="auto"/>
      </w:divBdr>
    </w:div>
    <w:div w:id="488210367">
      <w:bodyDiv w:val="1"/>
      <w:marLeft w:val="0"/>
      <w:marRight w:val="0"/>
      <w:marTop w:val="0"/>
      <w:marBottom w:val="0"/>
      <w:divBdr>
        <w:top w:val="none" w:sz="0" w:space="0" w:color="auto"/>
        <w:left w:val="none" w:sz="0" w:space="0" w:color="auto"/>
        <w:bottom w:val="none" w:sz="0" w:space="0" w:color="auto"/>
        <w:right w:val="none" w:sz="0" w:space="0" w:color="auto"/>
      </w:divBdr>
    </w:div>
    <w:div w:id="488328652">
      <w:bodyDiv w:val="1"/>
      <w:marLeft w:val="0"/>
      <w:marRight w:val="0"/>
      <w:marTop w:val="0"/>
      <w:marBottom w:val="0"/>
      <w:divBdr>
        <w:top w:val="none" w:sz="0" w:space="0" w:color="auto"/>
        <w:left w:val="none" w:sz="0" w:space="0" w:color="auto"/>
        <w:bottom w:val="none" w:sz="0" w:space="0" w:color="auto"/>
        <w:right w:val="none" w:sz="0" w:space="0" w:color="auto"/>
      </w:divBdr>
    </w:div>
    <w:div w:id="488330796">
      <w:bodyDiv w:val="1"/>
      <w:marLeft w:val="0"/>
      <w:marRight w:val="0"/>
      <w:marTop w:val="0"/>
      <w:marBottom w:val="0"/>
      <w:divBdr>
        <w:top w:val="none" w:sz="0" w:space="0" w:color="auto"/>
        <w:left w:val="none" w:sz="0" w:space="0" w:color="auto"/>
        <w:bottom w:val="none" w:sz="0" w:space="0" w:color="auto"/>
        <w:right w:val="none" w:sz="0" w:space="0" w:color="auto"/>
      </w:divBdr>
    </w:div>
    <w:div w:id="488406315">
      <w:bodyDiv w:val="1"/>
      <w:marLeft w:val="0"/>
      <w:marRight w:val="0"/>
      <w:marTop w:val="0"/>
      <w:marBottom w:val="0"/>
      <w:divBdr>
        <w:top w:val="none" w:sz="0" w:space="0" w:color="auto"/>
        <w:left w:val="none" w:sz="0" w:space="0" w:color="auto"/>
        <w:bottom w:val="none" w:sz="0" w:space="0" w:color="auto"/>
        <w:right w:val="none" w:sz="0" w:space="0" w:color="auto"/>
      </w:divBdr>
    </w:div>
    <w:div w:id="488447982">
      <w:bodyDiv w:val="1"/>
      <w:marLeft w:val="0"/>
      <w:marRight w:val="0"/>
      <w:marTop w:val="0"/>
      <w:marBottom w:val="0"/>
      <w:divBdr>
        <w:top w:val="none" w:sz="0" w:space="0" w:color="auto"/>
        <w:left w:val="none" w:sz="0" w:space="0" w:color="auto"/>
        <w:bottom w:val="none" w:sz="0" w:space="0" w:color="auto"/>
        <w:right w:val="none" w:sz="0" w:space="0" w:color="auto"/>
      </w:divBdr>
    </w:div>
    <w:div w:id="488641241">
      <w:bodyDiv w:val="1"/>
      <w:marLeft w:val="0"/>
      <w:marRight w:val="0"/>
      <w:marTop w:val="0"/>
      <w:marBottom w:val="0"/>
      <w:divBdr>
        <w:top w:val="none" w:sz="0" w:space="0" w:color="auto"/>
        <w:left w:val="none" w:sz="0" w:space="0" w:color="auto"/>
        <w:bottom w:val="none" w:sz="0" w:space="0" w:color="auto"/>
        <w:right w:val="none" w:sz="0" w:space="0" w:color="auto"/>
      </w:divBdr>
    </w:div>
    <w:div w:id="488718003">
      <w:bodyDiv w:val="1"/>
      <w:marLeft w:val="0"/>
      <w:marRight w:val="0"/>
      <w:marTop w:val="0"/>
      <w:marBottom w:val="0"/>
      <w:divBdr>
        <w:top w:val="none" w:sz="0" w:space="0" w:color="auto"/>
        <w:left w:val="none" w:sz="0" w:space="0" w:color="auto"/>
        <w:bottom w:val="none" w:sz="0" w:space="0" w:color="auto"/>
        <w:right w:val="none" w:sz="0" w:space="0" w:color="auto"/>
      </w:divBdr>
    </w:div>
    <w:div w:id="488980480">
      <w:bodyDiv w:val="1"/>
      <w:marLeft w:val="0"/>
      <w:marRight w:val="0"/>
      <w:marTop w:val="0"/>
      <w:marBottom w:val="0"/>
      <w:divBdr>
        <w:top w:val="none" w:sz="0" w:space="0" w:color="auto"/>
        <w:left w:val="none" w:sz="0" w:space="0" w:color="auto"/>
        <w:bottom w:val="none" w:sz="0" w:space="0" w:color="auto"/>
        <w:right w:val="none" w:sz="0" w:space="0" w:color="auto"/>
      </w:divBdr>
    </w:div>
    <w:div w:id="489099853">
      <w:bodyDiv w:val="1"/>
      <w:marLeft w:val="0"/>
      <w:marRight w:val="0"/>
      <w:marTop w:val="0"/>
      <w:marBottom w:val="0"/>
      <w:divBdr>
        <w:top w:val="none" w:sz="0" w:space="0" w:color="auto"/>
        <w:left w:val="none" w:sz="0" w:space="0" w:color="auto"/>
        <w:bottom w:val="none" w:sz="0" w:space="0" w:color="auto"/>
        <w:right w:val="none" w:sz="0" w:space="0" w:color="auto"/>
      </w:divBdr>
    </w:div>
    <w:div w:id="489367113">
      <w:bodyDiv w:val="1"/>
      <w:marLeft w:val="0"/>
      <w:marRight w:val="0"/>
      <w:marTop w:val="0"/>
      <w:marBottom w:val="0"/>
      <w:divBdr>
        <w:top w:val="none" w:sz="0" w:space="0" w:color="auto"/>
        <w:left w:val="none" w:sz="0" w:space="0" w:color="auto"/>
        <w:bottom w:val="none" w:sz="0" w:space="0" w:color="auto"/>
        <w:right w:val="none" w:sz="0" w:space="0" w:color="auto"/>
      </w:divBdr>
    </w:div>
    <w:div w:id="489441139">
      <w:bodyDiv w:val="1"/>
      <w:marLeft w:val="0"/>
      <w:marRight w:val="0"/>
      <w:marTop w:val="0"/>
      <w:marBottom w:val="0"/>
      <w:divBdr>
        <w:top w:val="none" w:sz="0" w:space="0" w:color="auto"/>
        <w:left w:val="none" w:sz="0" w:space="0" w:color="auto"/>
        <w:bottom w:val="none" w:sz="0" w:space="0" w:color="auto"/>
        <w:right w:val="none" w:sz="0" w:space="0" w:color="auto"/>
      </w:divBdr>
    </w:div>
    <w:div w:id="489492713">
      <w:bodyDiv w:val="1"/>
      <w:marLeft w:val="0"/>
      <w:marRight w:val="0"/>
      <w:marTop w:val="0"/>
      <w:marBottom w:val="0"/>
      <w:divBdr>
        <w:top w:val="none" w:sz="0" w:space="0" w:color="auto"/>
        <w:left w:val="none" w:sz="0" w:space="0" w:color="auto"/>
        <w:bottom w:val="none" w:sz="0" w:space="0" w:color="auto"/>
        <w:right w:val="none" w:sz="0" w:space="0" w:color="auto"/>
      </w:divBdr>
    </w:div>
    <w:div w:id="489634670">
      <w:bodyDiv w:val="1"/>
      <w:marLeft w:val="0"/>
      <w:marRight w:val="0"/>
      <w:marTop w:val="0"/>
      <w:marBottom w:val="0"/>
      <w:divBdr>
        <w:top w:val="none" w:sz="0" w:space="0" w:color="auto"/>
        <w:left w:val="none" w:sz="0" w:space="0" w:color="auto"/>
        <w:bottom w:val="none" w:sz="0" w:space="0" w:color="auto"/>
        <w:right w:val="none" w:sz="0" w:space="0" w:color="auto"/>
      </w:divBdr>
    </w:div>
    <w:div w:id="489712831">
      <w:bodyDiv w:val="1"/>
      <w:marLeft w:val="0"/>
      <w:marRight w:val="0"/>
      <w:marTop w:val="0"/>
      <w:marBottom w:val="0"/>
      <w:divBdr>
        <w:top w:val="none" w:sz="0" w:space="0" w:color="auto"/>
        <w:left w:val="none" w:sz="0" w:space="0" w:color="auto"/>
        <w:bottom w:val="none" w:sz="0" w:space="0" w:color="auto"/>
        <w:right w:val="none" w:sz="0" w:space="0" w:color="auto"/>
      </w:divBdr>
    </w:div>
    <w:div w:id="489755962">
      <w:bodyDiv w:val="1"/>
      <w:marLeft w:val="0"/>
      <w:marRight w:val="0"/>
      <w:marTop w:val="0"/>
      <w:marBottom w:val="0"/>
      <w:divBdr>
        <w:top w:val="none" w:sz="0" w:space="0" w:color="auto"/>
        <w:left w:val="none" w:sz="0" w:space="0" w:color="auto"/>
        <w:bottom w:val="none" w:sz="0" w:space="0" w:color="auto"/>
        <w:right w:val="none" w:sz="0" w:space="0" w:color="auto"/>
      </w:divBdr>
    </w:div>
    <w:div w:id="489834213">
      <w:bodyDiv w:val="1"/>
      <w:marLeft w:val="0"/>
      <w:marRight w:val="0"/>
      <w:marTop w:val="0"/>
      <w:marBottom w:val="0"/>
      <w:divBdr>
        <w:top w:val="none" w:sz="0" w:space="0" w:color="auto"/>
        <w:left w:val="none" w:sz="0" w:space="0" w:color="auto"/>
        <w:bottom w:val="none" w:sz="0" w:space="0" w:color="auto"/>
        <w:right w:val="none" w:sz="0" w:space="0" w:color="auto"/>
      </w:divBdr>
    </w:div>
    <w:div w:id="490026858">
      <w:bodyDiv w:val="1"/>
      <w:marLeft w:val="0"/>
      <w:marRight w:val="0"/>
      <w:marTop w:val="0"/>
      <w:marBottom w:val="0"/>
      <w:divBdr>
        <w:top w:val="none" w:sz="0" w:space="0" w:color="auto"/>
        <w:left w:val="none" w:sz="0" w:space="0" w:color="auto"/>
        <w:bottom w:val="none" w:sz="0" w:space="0" w:color="auto"/>
        <w:right w:val="none" w:sz="0" w:space="0" w:color="auto"/>
      </w:divBdr>
    </w:div>
    <w:div w:id="490100591">
      <w:bodyDiv w:val="1"/>
      <w:marLeft w:val="0"/>
      <w:marRight w:val="0"/>
      <w:marTop w:val="0"/>
      <w:marBottom w:val="0"/>
      <w:divBdr>
        <w:top w:val="none" w:sz="0" w:space="0" w:color="auto"/>
        <w:left w:val="none" w:sz="0" w:space="0" w:color="auto"/>
        <w:bottom w:val="none" w:sz="0" w:space="0" w:color="auto"/>
        <w:right w:val="none" w:sz="0" w:space="0" w:color="auto"/>
      </w:divBdr>
    </w:div>
    <w:div w:id="490340638">
      <w:bodyDiv w:val="1"/>
      <w:marLeft w:val="0"/>
      <w:marRight w:val="0"/>
      <w:marTop w:val="0"/>
      <w:marBottom w:val="0"/>
      <w:divBdr>
        <w:top w:val="none" w:sz="0" w:space="0" w:color="auto"/>
        <w:left w:val="none" w:sz="0" w:space="0" w:color="auto"/>
        <w:bottom w:val="none" w:sz="0" w:space="0" w:color="auto"/>
        <w:right w:val="none" w:sz="0" w:space="0" w:color="auto"/>
      </w:divBdr>
    </w:div>
    <w:div w:id="490368468">
      <w:bodyDiv w:val="1"/>
      <w:marLeft w:val="0"/>
      <w:marRight w:val="0"/>
      <w:marTop w:val="0"/>
      <w:marBottom w:val="0"/>
      <w:divBdr>
        <w:top w:val="none" w:sz="0" w:space="0" w:color="auto"/>
        <w:left w:val="none" w:sz="0" w:space="0" w:color="auto"/>
        <w:bottom w:val="none" w:sz="0" w:space="0" w:color="auto"/>
        <w:right w:val="none" w:sz="0" w:space="0" w:color="auto"/>
      </w:divBdr>
    </w:div>
    <w:div w:id="490633393">
      <w:bodyDiv w:val="1"/>
      <w:marLeft w:val="0"/>
      <w:marRight w:val="0"/>
      <w:marTop w:val="0"/>
      <w:marBottom w:val="0"/>
      <w:divBdr>
        <w:top w:val="none" w:sz="0" w:space="0" w:color="auto"/>
        <w:left w:val="none" w:sz="0" w:space="0" w:color="auto"/>
        <w:bottom w:val="none" w:sz="0" w:space="0" w:color="auto"/>
        <w:right w:val="none" w:sz="0" w:space="0" w:color="auto"/>
      </w:divBdr>
    </w:div>
    <w:div w:id="490874821">
      <w:bodyDiv w:val="1"/>
      <w:marLeft w:val="0"/>
      <w:marRight w:val="0"/>
      <w:marTop w:val="0"/>
      <w:marBottom w:val="0"/>
      <w:divBdr>
        <w:top w:val="none" w:sz="0" w:space="0" w:color="auto"/>
        <w:left w:val="none" w:sz="0" w:space="0" w:color="auto"/>
        <w:bottom w:val="none" w:sz="0" w:space="0" w:color="auto"/>
        <w:right w:val="none" w:sz="0" w:space="0" w:color="auto"/>
      </w:divBdr>
    </w:div>
    <w:div w:id="491142090">
      <w:bodyDiv w:val="1"/>
      <w:marLeft w:val="0"/>
      <w:marRight w:val="0"/>
      <w:marTop w:val="0"/>
      <w:marBottom w:val="0"/>
      <w:divBdr>
        <w:top w:val="none" w:sz="0" w:space="0" w:color="auto"/>
        <w:left w:val="none" w:sz="0" w:space="0" w:color="auto"/>
        <w:bottom w:val="none" w:sz="0" w:space="0" w:color="auto"/>
        <w:right w:val="none" w:sz="0" w:space="0" w:color="auto"/>
      </w:divBdr>
    </w:div>
    <w:div w:id="491339068">
      <w:bodyDiv w:val="1"/>
      <w:marLeft w:val="0"/>
      <w:marRight w:val="0"/>
      <w:marTop w:val="0"/>
      <w:marBottom w:val="0"/>
      <w:divBdr>
        <w:top w:val="none" w:sz="0" w:space="0" w:color="auto"/>
        <w:left w:val="none" w:sz="0" w:space="0" w:color="auto"/>
        <w:bottom w:val="none" w:sz="0" w:space="0" w:color="auto"/>
        <w:right w:val="none" w:sz="0" w:space="0" w:color="auto"/>
      </w:divBdr>
    </w:div>
    <w:div w:id="491524420">
      <w:bodyDiv w:val="1"/>
      <w:marLeft w:val="0"/>
      <w:marRight w:val="0"/>
      <w:marTop w:val="0"/>
      <w:marBottom w:val="0"/>
      <w:divBdr>
        <w:top w:val="none" w:sz="0" w:space="0" w:color="auto"/>
        <w:left w:val="none" w:sz="0" w:space="0" w:color="auto"/>
        <w:bottom w:val="none" w:sz="0" w:space="0" w:color="auto"/>
        <w:right w:val="none" w:sz="0" w:space="0" w:color="auto"/>
      </w:divBdr>
    </w:div>
    <w:div w:id="491601682">
      <w:bodyDiv w:val="1"/>
      <w:marLeft w:val="0"/>
      <w:marRight w:val="0"/>
      <w:marTop w:val="0"/>
      <w:marBottom w:val="0"/>
      <w:divBdr>
        <w:top w:val="none" w:sz="0" w:space="0" w:color="auto"/>
        <w:left w:val="none" w:sz="0" w:space="0" w:color="auto"/>
        <w:bottom w:val="none" w:sz="0" w:space="0" w:color="auto"/>
        <w:right w:val="none" w:sz="0" w:space="0" w:color="auto"/>
      </w:divBdr>
    </w:div>
    <w:div w:id="491604963">
      <w:bodyDiv w:val="1"/>
      <w:marLeft w:val="0"/>
      <w:marRight w:val="0"/>
      <w:marTop w:val="0"/>
      <w:marBottom w:val="0"/>
      <w:divBdr>
        <w:top w:val="none" w:sz="0" w:space="0" w:color="auto"/>
        <w:left w:val="none" w:sz="0" w:space="0" w:color="auto"/>
        <w:bottom w:val="none" w:sz="0" w:space="0" w:color="auto"/>
        <w:right w:val="none" w:sz="0" w:space="0" w:color="auto"/>
      </w:divBdr>
    </w:div>
    <w:div w:id="491724096">
      <w:bodyDiv w:val="1"/>
      <w:marLeft w:val="0"/>
      <w:marRight w:val="0"/>
      <w:marTop w:val="0"/>
      <w:marBottom w:val="0"/>
      <w:divBdr>
        <w:top w:val="none" w:sz="0" w:space="0" w:color="auto"/>
        <w:left w:val="none" w:sz="0" w:space="0" w:color="auto"/>
        <w:bottom w:val="none" w:sz="0" w:space="0" w:color="auto"/>
        <w:right w:val="none" w:sz="0" w:space="0" w:color="auto"/>
      </w:divBdr>
    </w:div>
    <w:div w:id="491801561">
      <w:bodyDiv w:val="1"/>
      <w:marLeft w:val="0"/>
      <w:marRight w:val="0"/>
      <w:marTop w:val="0"/>
      <w:marBottom w:val="0"/>
      <w:divBdr>
        <w:top w:val="none" w:sz="0" w:space="0" w:color="auto"/>
        <w:left w:val="none" w:sz="0" w:space="0" w:color="auto"/>
        <w:bottom w:val="none" w:sz="0" w:space="0" w:color="auto"/>
        <w:right w:val="none" w:sz="0" w:space="0" w:color="auto"/>
      </w:divBdr>
    </w:div>
    <w:div w:id="491874835">
      <w:bodyDiv w:val="1"/>
      <w:marLeft w:val="0"/>
      <w:marRight w:val="0"/>
      <w:marTop w:val="0"/>
      <w:marBottom w:val="0"/>
      <w:divBdr>
        <w:top w:val="none" w:sz="0" w:space="0" w:color="auto"/>
        <w:left w:val="none" w:sz="0" w:space="0" w:color="auto"/>
        <w:bottom w:val="none" w:sz="0" w:space="0" w:color="auto"/>
        <w:right w:val="none" w:sz="0" w:space="0" w:color="auto"/>
      </w:divBdr>
    </w:div>
    <w:div w:id="492110254">
      <w:bodyDiv w:val="1"/>
      <w:marLeft w:val="0"/>
      <w:marRight w:val="0"/>
      <w:marTop w:val="0"/>
      <w:marBottom w:val="0"/>
      <w:divBdr>
        <w:top w:val="none" w:sz="0" w:space="0" w:color="auto"/>
        <w:left w:val="none" w:sz="0" w:space="0" w:color="auto"/>
        <w:bottom w:val="none" w:sz="0" w:space="0" w:color="auto"/>
        <w:right w:val="none" w:sz="0" w:space="0" w:color="auto"/>
      </w:divBdr>
    </w:div>
    <w:div w:id="492258120">
      <w:bodyDiv w:val="1"/>
      <w:marLeft w:val="0"/>
      <w:marRight w:val="0"/>
      <w:marTop w:val="0"/>
      <w:marBottom w:val="0"/>
      <w:divBdr>
        <w:top w:val="none" w:sz="0" w:space="0" w:color="auto"/>
        <w:left w:val="none" w:sz="0" w:space="0" w:color="auto"/>
        <w:bottom w:val="none" w:sz="0" w:space="0" w:color="auto"/>
        <w:right w:val="none" w:sz="0" w:space="0" w:color="auto"/>
      </w:divBdr>
    </w:div>
    <w:div w:id="492569878">
      <w:bodyDiv w:val="1"/>
      <w:marLeft w:val="0"/>
      <w:marRight w:val="0"/>
      <w:marTop w:val="0"/>
      <w:marBottom w:val="0"/>
      <w:divBdr>
        <w:top w:val="none" w:sz="0" w:space="0" w:color="auto"/>
        <w:left w:val="none" w:sz="0" w:space="0" w:color="auto"/>
        <w:bottom w:val="none" w:sz="0" w:space="0" w:color="auto"/>
        <w:right w:val="none" w:sz="0" w:space="0" w:color="auto"/>
      </w:divBdr>
    </w:div>
    <w:div w:id="492573915">
      <w:bodyDiv w:val="1"/>
      <w:marLeft w:val="0"/>
      <w:marRight w:val="0"/>
      <w:marTop w:val="0"/>
      <w:marBottom w:val="0"/>
      <w:divBdr>
        <w:top w:val="none" w:sz="0" w:space="0" w:color="auto"/>
        <w:left w:val="none" w:sz="0" w:space="0" w:color="auto"/>
        <w:bottom w:val="none" w:sz="0" w:space="0" w:color="auto"/>
        <w:right w:val="none" w:sz="0" w:space="0" w:color="auto"/>
      </w:divBdr>
    </w:div>
    <w:div w:id="492600225">
      <w:bodyDiv w:val="1"/>
      <w:marLeft w:val="0"/>
      <w:marRight w:val="0"/>
      <w:marTop w:val="0"/>
      <w:marBottom w:val="0"/>
      <w:divBdr>
        <w:top w:val="none" w:sz="0" w:space="0" w:color="auto"/>
        <w:left w:val="none" w:sz="0" w:space="0" w:color="auto"/>
        <w:bottom w:val="none" w:sz="0" w:space="0" w:color="auto"/>
        <w:right w:val="none" w:sz="0" w:space="0" w:color="auto"/>
      </w:divBdr>
    </w:div>
    <w:div w:id="492723559">
      <w:bodyDiv w:val="1"/>
      <w:marLeft w:val="0"/>
      <w:marRight w:val="0"/>
      <w:marTop w:val="0"/>
      <w:marBottom w:val="0"/>
      <w:divBdr>
        <w:top w:val="none" w:sz="0" w:space="0" w:color="auto"/>
        <w:left w:val="none" w:sz="0" w:space="0" w:color="auto"/>
        <w:bottom w:val="none" w:sz="0" w:space="0" w:color="auto"/>
        <w:right w:val="none" w:sz="0" w:space="0" w:color="auto"/>
      </w:divBdr>
    </w:div>
    <w:div w:id="492838435">
      <w:bodyDiv w:val="1"/>
      <w:marLeft w:val="0"/>
      <w:marRight w:val="0"/>
      <w:marTop w:val="0"/>
      <w:marBottom w:val="0"/>
      <w:divBdr>
        <w:top w:val="none" w:sz="0" w:space="0" w:color="auto"/>
        <w:left w:val="none" w:sz="0" w:space="0" w:color="auto"/>
        <w:bottom w:val="none" w:sz="0" w:space="0" w:color="auto"/>
        <w:right w:val="none" w:sz="0" w:space="0" w:color="auto"/>
      </w:divBdr>
    </w:div>
    <w:div w:id="492841106">
      <w:bodyDiv w:val="1"/>
      <w:marLeft w:val="0"/>
      <w:marRight w:val="0"/>
      <w:marTop w:val="0"/>
      <w:marBottom w:val="0"/>
      <w:divBdr>
        <w:top w:val="none" w:sz="0" w:space="0" w:color="auto"/>
        <w:left w:val="none" w:sz="0" w:space="0" w:color="auto"/>
        <w:bottom w:val="none" w:sz="0" w:space="0" w:color="auto"/>
        <w:right w:val="none" w:sz="0" w:space="0" w:color="auto"/>
      </w:divBdr>
    </w:div>
    <w:div w:id="492918847">
      <w:bodyDiv w:val="1"/>
      <w:marLeft w:val="0"/>
      <w:marRight w:val="0"/>
      <w:marTop w:val="0"/>
      <w:marBottom w:val="0"/>
      <w:divBdr>
        <w:top w:val="none" w:sz="0" w:space="0" w:color="auto"/>
        <w:left w:val="none" w:sz="0" w:space="0" w:color="auto"/>
        <w:bottom w:val="none" w:sz="0" w:space="0" w:color="auto"/>
        <w:right w:val="none" w:sz="0" w:space="0" w:color="auto"/>
      </w:divBdr>
    </w:div>
    <w:div w:id="492991221">
      <w:bodyDiv w:val="1"/>
      <w:marLeft w:val="0"/>
      <w:marRight w:val="0"/>
      <w:marTop w:val="0"/>
      <w:marBottom w:val="0"/>
      <w:divBdr>
        <w:top w:val="none" w:sz="0" w:space="0" w:color="auto"/>
        <w:left w:val="none" w:sz="0" w:space="0" w:color="auto"/>
        <w:bottom w:val="none" w:sz="0" w:space="0" w:color="auto"/>
        <w:right w:val="none" w:sz="0" w:space="0" w:color="auto"/>
      </w:divBdr>
    </w:div>
    <w:div w:id="493423748">
      <w:bodyDiv w:val="1"/>
      <w:marLeft w:val="0"/>
      <w:marRight w:val="0"/>
      <w:marTop w:val="0"/>
      <w:marBottom w:val="0"/>
      <w:divBdr>
        <w:top w:val="none" w:sz="0" w:space="0" w:color="auto"/>
        <w:left w:val="none" w:sz="0" w:space="0" w:color="auto"/>
        <w:bottom w:val="none" w:sz="0" w:space="0" w:color="auto"/>
        <w:right w:val="none" w:sz="0" w:space="0" w:color="auto"/>
      </w:divBdr>
    </w:div>
    <w:div w:id="493498935">
      <w:bodyDiv w:val="1"/>
      <w:marLeft w:val="0"/>
      <w:marRight w:val="0"/>
      <w:marTop w:val="0"/>
      <w:marBottom w:val="0"/>
      <w:divBdr>
        <w:top w:val="none" w:sz="0" w:space="0" w:color="auto"/>
        <w:left w:val="none" w:sz="0" w:space="0" w:color="auto"/>
        <w:bottom w:val="none" w:sz="0" w:space="0" w:color="auto"/>
        <w:right w:val="none" w:sz="0" w:space="0" w:color="auto"/>
      </w:divBdr>
    </w:div>
    <w:div w:id="493686898">
      <w:bodyDiv w:val="1"/>
      <w:marLeft w:val="0"/>
      <w:marRight w:val="0"/>
      <w:marTop w:val="0"/>
      <w:marBottom w:val="0"/>
      <w:divBdr>
        <w:top w:val="none" w:sz="0" w:space="0" w:color="auto"/>
        <w:left w:val="none" w:sz="0" w:space="0" w:color="auto"/>
        <w:bottom w:val="none" w:sz="0" w:space="0" w:color="auto"/>
        <w:right w:val="none" w:sz="0" w:space="0" w:color="auto"/>
      </w:divBdr>
    </w:div>
    <w:div w:id="493691269">
      <w:bodyDiv w:val="1"/>
      <w:marLeft w:val="0"/>
      <w:marRight w:val="0"/>
      <w:marTop w:val="0"/>
      <w:marBottom w:val="0"/>
      <w:divBdr>
        <w:top w:val="none" w:sz="0" w:space="0" w:color="auto"/>
        <w:left w:val="none" w:sz="0" w:space="0" w:color="auto"/>
        <w:bottom w:val="none" w:sz="0" w:space="0" w:color="auto"/>
        <w:right w:val="none" w:sz="0" w:space="0" w:color="auto"/>
      </w:divBdr>
    </w:div>
    <w:div w:id="493836685">
      <w:bodyDiv w:val="1"/>
      <w:marLeft w:val="0"/>
      <w:marRight w:val="0"/>
      <w:marTop w:val="0"/>
      <w:marBottom w:val="0"/>
      <w:divBdr>
        <w:top w:val="none" w:sz="0" w:space="0" w:color="auto"/>
        <w:left w:val="none" w:sz="0" w:space="0" w:color="auto"/>
        <w:bottom w:val="none" w:sz="0" w:space="0" w:color="auto"/>
        <w:right w:val="none" w:sz="0" w:space="0" w:color="auto"/>
      </w:divBdr>
    </w:div>
    <w:div w:id="493880031">
      <w:bodyDiv w:val="1"/>
      <w:marLeft w:val="0"/>
      <w:marRight w:val="0"/>
      <w:marTop w:val="0"/>
      <w:marBottom w:val="0"/>
      <w:divBdr>
        <w:top w:val="none" w:sz="0" w:space="0" w:color="auto"/>
        <w:left w:val="none" w:sz="0" w:space="0" w:color="auto"/>
        <w:bottom w:val="none" w:sz="0" w:space="0" w:color="auto"/>
        <w:right w:val="none" w:sz="0" w:space="0" w:color="auto"/>
      </w:divBdr>
    </w:div>
    <w:div w:id="494029580">
      <w:bodyDiv w:val="1"/>
      <w:marLeft w:val="0"/>
      <w:marRight w:val="0"/>
      <w:marTop w:val="0"/>
      <w:marBottom w:val="0"/>
      <w:divBdr>
        <w:top w:val="none" w:sz="0" w:space="0" w:color="auto"/>
        <w:left w:val="none" w:sz="0" w:space="0" w:color="auto"/>
        <w:bottom w:val="none" w:sz="0" w:space="0" w:color="auto"/>
        <w:right w:val="none" w:sz="0" w:space="0" w:color="auto"/>
      </w:divBdr>
    </w:div>
    <w:div w:id="494036290">
      <w:bodyDiv w:val="1"/>
      <w:marLeft w:val="0"/>
      <w:marRight w:val="0"/>
      <w:marTop w:val="0"/>
      <w:marBottom w:val="0"/>
      <w:divBdr>
        <w:top w:val="none" w:sz="0" w:space="0" w:color="auto"/>
        <w:left w:val="none" w:sz="0" w:space="0" w:color="auto"/>
        <w:bottom w:val="none" w:sz="0" w:space="0" w:color="auto"/>
        <w:right w:val="none" w:sz="0" w:space="0" w:color="auto"/>
      </w:divBdr>
    </w:div>
    <w:div w:id="494145713">
      <w:bodyDiv w:val="1"/>
      <w:marLeft w:val="0"/>
      <w:marRight w:val="0"/>
      <w:marTop w:val="0"/>
      <w:marBottom w:val="0"/>
      <w:divBdr>
        <w:top w:val="none" w:sz="0" w:space="0" w:color="auto"/>
        <w:left w:val="none" w:sz="0" w:space="0" w:color="auto"/>
        <w:bottom w:val="none" w:sz="0" w:space="0" w:color="auto"/>
        <w:right w:val="none" w:sz="0" w:space="0" w:color="auto"/>
      </w:divBdr>
    </w:div>
    <w:div w:id="494152971">
      <w:bodyDiv w:val="1"/>
      <w:marLeft w:val="0"/>
      <w:marRight w:val="0"/>
      <w:marTop w:val="0"/>
      <w:marBottom w:val="0"/>
      <w:divBdr>
        <w:top w:val="none" w:sz="0" w:space="0" w:color="auto"/>
        <w:left w:val="none" w:sz="0" w:space="0" w:color="auto"/>
        <w:bottom w:val="none" w:sz="0" w:space="0" w:color="auto"/>
        <w:right w:val="none" w:sz="0" w:space="0" w:color="auto"/>
      </w:divBdr>
    </w:div>
    <w:div w:id="494535080">
      <w:bodyDiv w:val="1"/>
      <w:marLeft w:val="0"/>
      <w:marRight w:val="0"/>
      <w:marTop w:val="0"/>
      <w:marBottom w:val="0"/>
      <w:divBdr>
        <w:top w:val="none" w:sz="0" w:space="0" w:color="auto"/>
        <w:left w:val="none" w:sz="0" w:space="0" w:color="auto"/>
        <w:bottom w:val="none" w:sz="0" w:space="0" w:color="auto"/>
        <w:right w:val="none" w:sz="0" w:space="0" w:color="auto"/>
      </w:divBdr>
    </w:div>
    <w:div w:id="494539399">
      <w:bodyDiv w:val="1"/>
      <w:marLeft w:val="0"/>
      <w:marRight w:val="0"/>
      <w:marTop w:val="0"/>
      <w:marBottom w:val="0"/>
      <w:divBdr>
        <w:top w:val="none" w:sz="0" w:space="0" w:color="auto"/>
        <w:left w:val="none" w:sz="0" w:space="0" w:color="auto"/>
        <w:bottom w:val="none" w:sz="0" w:space="0" w:color="auto"/>
        <w:right w:val="none" w:sz="0" w:space="0" w:color="auto"/>
      </w:divBdr>
    </w:div>
    <w:div w:id="494608833">
      <w:bodyDiv w:val="1"/>
      <w:marLeft w:val="0"/>
      <w:marRight w:val="0"/>
      <w:marTop w:val="0"/>
      <w:marBottom w:val="0"/>
      <w:divBdr>
        <w:top w:val="none" w:sz="0" w:space="0" w:color="auto"/>
        <w:left w:val="none" w:sz="0" w:space="0" w:color="auto"/>
        <w:bottom w:val="none" w:sz="0" w:space="0" w:color="auto"/>
        <w:right w:val="none" w:sz="0" w:space="0" w:color="auto"/>
      </w:divBdr>
    </w:div>
    <w:div w:id="494613599">
      <w:bodyDiv w:val="1"/>
      <w:marLeft w:val="0"/>
      <w:marRight w:val="0"/>
      <w:marTop w:val="0"/>
      <w:marBottom w:val="0"/>
      <w:divBdr>
        <w:top w:val="none" w:sz="0" w:space="0" w:color="auto"/>
        <w:left w:val="none" w:sz="0" w:space="0" w:color="auto"/>
        <w:bottom w:val="none" w:sz="0" w:space="0" w:color="auto"/>
        <w:right w:val="none" w:sz="0" w:space="0" w:color="auto"/>
      </w:divBdr>
    </w:div>
    <w:div w:id="494682883">
      <w:bodyDiv w:val="1"/>
      <w:marLeft w:val="0"/>
      <w:marRight w:val="0"/>
      <w:marTop w:val="0"/>
      <w:marBottom w:val="0"/>
      <w:divBdr>
        <w:top w:val="none" w:sz="0" w:space="0" w:color="auto"/>
        <w:left w:val="none" w:sz="0" w:space="0" w:color="auto"/>
        <w:bottom w:val="none" w:sz="0" w:space="0" w:color="auto"/>
        <w:right w:val="none" w:sz="0" w:space="0" w:color="auto"/>
      </w:divBdr>
    </w:div>
    <w:div w:id="494685863">
      <w:bodyDiv w:val="1"/>
      <w:marLeft w:val="0"/>
      <w:marRight w:val="0"/>
      <w:marTop w:val="0"/>
      <w:marBottom w:val="0"/>
      <w:divBdr>
        <w:top w:val="none" w:sz="0" w:space="0" w:color="auto"/>
        <w:left w:val="none" w:sz="0" w:space="0" w:color="auto"/>
        <w:bottom w:val="none" w:sz="0" w:space="0" w:color="auto"/>
        <w:right w:val="none" w:sz="0" w:space="0" w:color="auto"/>
      </w:divBdr>
    </w:div>
    <w:div w:id="494960084">
      <w:bodyDiv w:val="1"/>
      <w:marLeft w:val="0"/>
      <w:marRight w:val="0"/>
      <w:marTop w:val="0"/>
      <w:marBottom w:val="0"/>
      <w:divBdr>
        <w:top w:val="none" w:sz="0" w:space="0" w:color="auto"/>
        <w:left w:val="none" w:sz="0" w:space="0" w:color="auto"/>
        <w:bottom w:val="none" w:sz="0" w:space="0" w:color="auto"/>
        <w:right w:val="none" w:sz="0" w:space="0" w:color="auto"/>
      </w:divBdr>
    </w:div>
    <w:div w:id="495073748">
      <w:bodyDiv w:val="1"/>
      <w:marLeft w:val="0"/>
      <w:marRight w:val="0"/>
      <w:marTop w:val="0"/>
      <w:marBottom w:val="0"/>
      <w:divBdr>
        <w:top w:val="none" w:sz="0" w:space="0" w:color="auto"/>
        <w:left w:val="none" w:sz="0" w:space="0" w:color="auto"/>
        <w:bottom w:val="none" w:sz="0" w:space="0" w:color="auto"/>
        <w:right w:val="none" w:sz="0" w:space="0" w:color="auto"/>
      </w:divBdr>
    </w:div>
    <w:div w:id="495076801">
      <w:bodyDiv w:val="1"/>
      <w:marLeft w:val="0"/>
      <w:marRight w:val="0"/>
      <w:marTop w:val="0"/>
      <w:marBottom w:val="0"/>
      <w:divBdr>
        <w:top w:val="none" w:sz="0" w:space="0" w:color="auto"/>
        <w:left w:val="none" w:sz="0" w:space="0" w:color="auto"/>
        <w:bottom w:val="none" w:sz="0" w:space="0" w:color="auto"/>
        <w:right w:val="none" w:sz="0" w:space="0" w:color="auto"/>
      </w:divBdr>
    </w:div>
    <w:div w:id="495191266">
      <w:bodyDiv w:val="1"/>
      <w:marLeft w:val="0"/>
      <w:marRight w:val="0"/>
      <w:marTop w:val="0"/>
      <w:marBottom w:val="0"/>
      <w:divBdr>
        <w:top w:val="none" w:sz="0" w:space="0" w:color="auto"/>
        <w:left w:val="none" w:sz="0" w:space="0" w:color="auto"/>
        <w:bottom w:val="none" w:sz="0" w:space="0" w:color="auto"/>
        <w:right w:val="none" w:sz="0" w:space="0" w:color="auto"/>
      </w:divBdr>
    </w:div>
    <w:div w:id="495342424">
      <w:bodyDiv w:val="1"/>
      <w:marLeft w:val="0"/>
      <w:marRight w:val="0"/>
      <w:marTop w:val="0"/>
      <w:marBottom w:val="0"/>
      <w:divBdr>
        <w:top w:val="none" w:sz="0" w:space="0" w:color="auto"/>
        <w:left w:val="none" w:sz="0" w:space="0" w:color="auto"/>
        <w:bottom w:val="none" w:sz="0" w:space="0" w:color="auto"/>
        <w:right w:val="none" w:sz="0" w:space="0" w:color="auto"/>
      </w:divBdr>
    </w:div>
    <w:div w:id="495347370">
      <w:bodyDiv w:val="1"/>
      <w:marLeft w:val="0"/>
      <w:marRight w:val="0"/>
      <w:marTop w:val="0"/>
      <w:marBottom w:val="0"/>
      <w:divBdr>
        <w:top w:val="none" w:sz="0" w:space="0" w:color="auto"/>
        <w:left w:val="none" w:sz="0" w:space="0" w:color="auto"/>
        <w:bottom w:val="none" w:sz="0" w:space="0" w:color="auto"/>
        <w:right w:val="none" w:sz="0" w:space="0" w:color="auto"/>
      </w:divBdr>
    </w:div>
    <w:div w:id="495413694">
      <w:bodyDiv w:val="1"/>
      <w:marLeft w:val="0"/>
      <w:marRight w:val="0"/>
      <w:marTop w:val="0"/>
      <w:marBottom w:val="0"/>
      <w:divBdr>
        <w:top w:val="none" w:sz="0" w:space="0" w:color="auto"/>
        <w:left w:val="none" w:sz="0" w:space="0" w:color="auto"/>
        <w:bottom w:val="none" w:sz="0" w:space="0" w:color="auto"/>
        <w:right w:val="none" w:sz="0" w:space="0" w:color="auto"/>
      </w:divBdr>
    </w:div>
    <w:div w:id="495614513">
      <w:bodyDiv w:val="1"/>
      <w:marLeft w:val="0"/>
      <w:marRight w:val="0"/>
      <w:marTop w:val="0"/>
      <w:marBottom w:val="0"/>
      <w:divBdr>
        <w:top w:val="none" w:sz="0" w:space="0" w:color="auto"/>
        <w:left w:val="none" w:sz="0" w:space="0" w:color="auto"/>
        <w:bottom w:val="none" w:sz="0" w:space="0" w:color="auto"/>
        <w:right w:val="none" w:sz="0" w:space="0" w:color="auto"/>
      </w:divBdr>
    </w:div>
    <w:div w:id="495731314">
      <w:bodyDiv w:val="1"/>
      <w:marLeft w:val="0"/>
      <w:marRight w:val="0"/>
      <w:marTop w:val="0"/>
      <w:marBottom w:val="0"/>
      <w:divBdr>
        <w:top w:val="none" w:sz="0" w:space="0" w:color="auto"/>
        <w:left w:val="none" w:sz="0" w:space="0" w:color="auto"/>
        <w:bottom w:val="none" w:sz="0" w:space="0" w:color="auto"/>
        <w:right w:val="none" w:sz="0" w:space="0" w:color="auto"/>
      </w:divBdr>
    </w:div>
    <w:div w:id="495917867">
      <w:bodyDiv w:val="1"/>
      <w:marLeft w:val="0"/>
      <w:marRight w:val="0"/>
      <w:marTop w:val="0"/>
      <w:marBottom w:val="0"/>
      <w:divBdr>
        <w:top w:val="none" w:sz="0" w:space="0" w:color="auto"/>
        <w:left w:val="none" w:sz="0" w:space="0" w:color="auto"/>
        <w:bottom w:val="none" w:sz="0" w:space="0" w:color="auto"/>
        <w:right w:val="none" w:sz="0" w:space="0" w:color="auto"/>
      </w:divBdr>
    </w:div>
    <w:div w:id="495918663">
      <w:bodyDiv w:val="1"/>
      <w:marLeft w:val="0"/>
      <w:marRight w:val="0"/>
      <w:marTop w:val="0"/>
      <w:marBottom w:val="0"/>
      <w:divBdr>
        <w:top w:val="none" w:sz="0" w:space="0" w:color="auto"/>
        <w:left w:val="none" w:sz="0" w:space="0" w:color="auto"/>
        <w:bottom w:val="none" w:sz="0" w:space="0" w:color="auto"/>
        <w:right w:val="none" w:sz="0" w:space="0" w:color="auto"/>
      </w:divBdr>
    </w:div>
    <w:div w:id="495995291">
      <w:bodyDiv w:val="1"/>
      <w:marLeft w:val="0"/>
      <w:marRight w:val="0"/>
      <w:marTop w:val="0"/>
      <w:marBottom w:val="0"/>
      <w:divBdr>
        <w:top w:val="none" w:sz="0" w:space="0" w:color="auto"/>
        <w:left w:val="none" w:sz="0" w:space="0" w:color="auto"/>
        <w:bottom w:val="none" w:sz="0" w:space="0" w:color="auto"/>
        <w:right w:val="none" w:sz="0" w:space="0" w:color="auto"/>
      </w:divBdr>
    </w:div>
    <w:div w:id="496001449">
      <w:bodyDiv w:val="1"/>
      <w:marLeft w:val="0"/>
      <w:marRight w:val="0"/>
      <w:marTop w:val="0"/>
      <w:marBottom w:val="0"/>
      <w:divBdr>
        <w:top w:val="none" w:sz="0" w:space="0" w:color="auto"/>
        <w:left w:val="none" w:sz="0" w:space="0" w:color="auto"/>
        <w:bottom w:val="none" w:sz="0" w:space="0" w:color="auto"/>
        <w:right w:val="none" w:sz="0" w:space="0" w:color="auto"/>
      </w:divBdr>
    </w:div>
    <w:div w:id="496068931">
      <w:bodyDiv w:val="1"/>
      <w:marLeft w:val="0"/>
      <w:marRight w:val="0"/>
      <w:marTop w:val="0"/>
      <w:marBottom w:val="0"/>
      <w:divBdr>
        <w:top w:val="none" w:sz="0" w:space="0" w:color="auto"/>
        <w:left w:val="none" w:sz="0" w:space="0" w:color="auto"/>
        <w:bottom w:val="none" w:sz="0" w:space="0" w:color="auto"/>
        <w:right w:val="none" w:sz="0" w:space="0" w:color="auto"/>
      </w:divBdr>
    </w:div>
    <w:div w:id="496114885">
      <w:bodyDiv w:val="1"/>
      <w:marLeft w:val="0"/>
      <w:marRight w:val="0"/>
      <w:marTop w:val="0"/>
      <w:marBottom w:val="0"/>
      <w:divBdr>
        <w:top w:val="none" w:sz="0" w:space="0" w:color="auto"/>
        <w:left w:val="none" w:sz="0" w:space="0" w:color="auto"/>
        <w:bottom w:val="none" w:sz="0" w:space="0" w:color="auto"/>
        <w:right w:val="none" w:sz="0" w:space="0" w:color="auto"/>
      </w:divBdr>
    </w:div>
    <w:div w:id="496188543">
      <w:bodyDiv w:val="1"/>
      <w:marLeft w:val="0"/>
      <w:marRight w:val="0"/>
      <w:marTop w:val="0"/>
      <w:marBottom w:val="0"/>
      <w:divBdr>
        <w:top w:val="none" w:sz="0" w:space="0" w:color="auto"/>
        <w:left w:val="none" w:sz="0" w:space="0" w:color="auto"/>
        <w:bottom w:val="none" w:sz="0" w:space="0" w:color="auto"/>
        <w:right w:val="none" w:sz="0" w:space="0" w:color="auto"/>
      </w:divBdr>
    </w:div>
    <w:div w:id="496263180">
      <w:bodyDiv w:val="1"/>
      <w:marLeft w:val="0"/>
      <w:marRight w:val="0"/>
      <w:marTop w:val="0"/>
      <w:marBottom w:val="0"/>
      <w:divBdr>
        <w:top w:val="none" w:sz="0" w:space="0" w:color="auto"/>
        <w:left w:val="none" w:sz="0" w:space="0" w:color="auto"/>
        <w:bottom w:val="none" w:sz="0" w:space="0" w:color="auto"/>
        <w:right w:val="none" w:sz="0" w:space="0" w:color="auto"/>
      </w:divBdr>
    </w:div>
    <w:div w:id="496313049">
      <w:bodyDiv w:val="1"/>
      <w:marLeft w:val="0"/>
      <w:marRight w:val="0"/>
      <w:marTop w:val="0"/>
      <w:marBottom w:val="0"/>
      <w:divBdr>
        <w:top w:val="none" w:sz="0" w:space="0" w:color="auto"/>
        <w:left w:val="none" w:sz="0" w:space="0" w:color="auto"/>
        <w:bottom w:val="none" w:sz="0" w:space="0" w:color="auto"/>
        <w:right w:val="none" w:sz="0" w:space="0" w:color="auto"/>
      </w:divBdr>
    </w:div>
    <w:div w:id="496578788">
      <w:bodyDiv w:val="1"/>
      <w:marLeft w:val="0"/>
      <w:marRight w:val="0"/>
      <w:marTop w:val="0"/>
      <w:marBottom w:val="0"/>
      <w:divBdr>
        <w:top w:val="none" w:sz="0" w:space="0" w:color="auto"/>
        <w:left w:val="none" w:sz="0" w:space="0" w:color="auto"/>
        <w:bottom w:val="none" w:sz="0" w:space="0" w:color="auto"/>
        <w:right w:val="none" w:sz="0" w:space="0" w:color="auto"/>
      </w:divBdr>
    </w:div>
    <w:div w:id="496699645">
      <w:bodyDiv w:val="1"/>
      <w:marLeft w:val="0"/>
      <w:marRight w:val="0"/>
      <w:marTop w:val="0"/>
      <w:marBottom w:val="0"/>
      <w:divBdr>
        <w:top w:val="none" w:sz="0" w:space="0" w:color="auto"/>
        <w:left w:val="none" w:sz="0" w:space="0" w:color="auto"/>
        <w:bottom w:val="none" w:sz="0" w:space="0" w:color="auto"/>
        <w:right w:val="none" w:sz="0" w:space="0" w:color="auto"/>
      </w:divBdr>
    </w:div>
    <w:div w:id="497119740">
      <w:bodyDiv w:val="1"/>
      <w:marLeft w:val="0"/>
      <w:marRight w:val="0"/>
      <w:marTop w:val="0"/>
      <w:marBottom w:val="0"/>
      <w:divBdr>
        <w:top w:val="none" w:sz="0" w:space="0" w:color="auto"/>
        <w:left w:val="none" w:sz="0" w:space="0" w:color="auto"/>
        <w:bottom w:val="none" w:sz="0" w:space="0" w:color="auto"/>
        <w:right w:val="none" w:sz="0" w:space="0" w:color="auto"/>
      </w:divBdr>
    </w:div>
    <w:div w:id="497162702">
      <w:bodyDiv w:val="1"/>
      <w:marLeft w:val="0"/>
      <w:marRight w:val="0"/>
      <w:marTop w:val="0"/>
      <w:marBottom w:val="0"/>
      <w:divBdr>
        <w:top w:val="none" w:sz="0" w:space="0" w:color="auto"/>
        <w:left w:val="none" w:sz="0" w:space="0" w:color="auto"/>
        <w:bottom w:val="none" w:sz="0" w:space="0" w:color="auto"/>
        <w:right w:val="none" w:sz="0" w:space="0" w:color="auto"/>
      </w:divBdr>
    </w:div>
    <w:div w:id="497504940">
      <w:bodyDiv w:val="1"/>
      <w:marLeft w:val="0"/>
      <w:marRight w:val="0"/>
      <w:marTop w:val="0"/>
      <w:marBottom w:val="0"/>
      <w:divBdr>
        <w:top w:val="none" w:sz="0" w:space="0" w:color="auto"/>
        <w:left w:val="none" w:sz="0" w:space="0" w:color="auto"/>
        <w:bottom w:val="none" w:sz="0" w:space="0" w:color="auto"/>
        <w:right w:val="none" w:sz="0" w:space="0" w:color="auto"/>
      </w:divBdr>
    </w:div>
    <w:div w:id="497772152">
      <w:bodyDiv w:val="1"/>
      <w:marLeft w:val="0"/>
      <w:marRight w:val="0"/>
      <w:marTop w:val="0"/>
      <w:marBottom w:val="0"/>
      <w:divBdr>
        <w:top w:val="none" w:sz="0" w:space="0" w:color="auto"/>
        <w:left w:val="none" w:sz="0" w:space="0" w:color="auto"/>
        <w:bottom w:val="none" w:sz="0" w:space="0" w:color="auto"/>
        <w:right w:val="none" w:sz="0" w:space="0" w:color="auto"/>
      </w:divBdr>
    </w:div>
    <w:div w:id="497774966">
      <w:bodyDiv w:val="1"/>
      <w:marLeft w:val="0"/>
      <w:marRight w:val="0"/>
      <w:marTop w:val="0"/>
      <w:marBottom w:val="0"/>
      <w:divBdr>
        <w:top w:val="none" w:sz="0" w:space="0" w:color="auto"/>
        <w:left w:val="none" w:sz="0" w:space="0" w:color="auto"/>
        <w:bottom w:val="none" w:sz="0" w:space="0" w:color="auto"/>
        <w:right w:val="none" w:sz="0" w:space="0" w:color="auto"/>
      </w:divBdr>
    </w:div>
    <w:div w:id="497816861">
      <w:bodyDiv w:val="1"/>
      <w:marLeft w:val="0"/>
      <w:marRight w:val="0"/>
      <w:marTop w:val="0"/>
      <w:marBottom w:val="0"/>
      <w:divBdr>
        <w:top w:val="none" w:sz="0" w:space="0" w:color="auto"/>
        <w:left w:val="none" w:sz="0" w:space="0" w:color="auto"/>
        <w:bottom w:val="none" w:sz="0" w:space="0" w:color="auto"/>
        <w:right w:val="none" w:sz="0" w:space="0" w:color="auto"/>
      </w:divBdr>
    </w:div>
    <w:div w:id="497843023">
      <w:bodyDiv w:val="1"/>
      <w:marLeft w:val="0"/>
      <w:marRight w:val="0"/>
      <w:marTop w:val="0"/>
      <w:marBottom w:val="0"/>
      <w:divBdr>
        <w:top w:val="none" w:sz="0" w:space="0" w:color="auto"/>
        <w:left w:val="none" w:sz="0" w:space="0" w:color="auto"/>
        <w:bottom w:val="none" w:sz="0" w:space="0" w:color="auto"/>
        <w:right w:val="none" w:sz="0" w:space="0" w:color="auto"/>
      </w:divBdr>
    </w:div>
    <w:div w:id="497962639">
      <w:bodyDiv w:val="1"/>
      <w:marLeft w:val="0"/>
      <w:marRight w:val="0"/>
      <w:marTop w:val="0"/>
      <w:marBottom w:val="0"/>
      <w:divBdr>
        <w:top w:val="none" w:sz="0" w:space="0" w:color="auto"/>
        <w:left w:val="none" w:sz="0" w:space="0" w:color="auto"/>
        <w:bottom w:val="none" w:sz="0" w:space="0" w:color="auto"/>
        <w:right w:val="none" w:sz="0" w:space="0" w:color="auto"/>
      </w:divBdr>
    </w:div>
    <w:div w:id="497965396">
      <w:bodyDiv w:val="1"/>
      <w:marLeft w:val="0"/>
      <w:marRight w:val="0"/>
      <w:marTop w:val="0"/>
      <w:marBottom w:val="0"/>
      <w:divBdr>
        <w:top w:val="none" w:sz="0" w:space="0" w:color="auto"/>
        <w:left w:val="none" w:sz="0" w:space="0" w:color="auto"/>
        <w:bottom w:val="none" w:sz="0" w:space="0" w:color="auto"/>
        <w:right w:val="none" w:sz="0" w:space="0" w:color="auto"/>
      </w:divBdr>
    </w:div>
    <w:div w:id="498160450">
      <w:bodyDiv w:val="1"/>
      <w:marLeft w:val="0"/>
      <w:marRight w:val="0"/>
      <w:marTop w:val="0"/>
      <w:marBottom w:val="0"/>
      <w:divBdr>
        <w:top w:val="none" w:sz="0" w:space="0" w:color="auto"/>
        <w:left w:val="none" w:sz="0" w:space="0" w:color="auto"/>
        <w:bottom w:val="none" w:sz="0" w:space="0" w:color="auto"/>
        <w:right w:val="none" w:sz="0" w:space="0" w:color="auto"/>
      </w:divBdr>
    </w:div>
    <w:div w:id="498271138">
      <w:bodyDiv w:val="1"/>
      <w:marLeft w:val="0"/>
      <w:marRight w:val="0"/>
      <w:marTop w:val="0"/>
      <w:marBottom w:val="0"/>
      <w:divBdr>
        <w:top w:val="none" w:sz="0" w:space="0" w:color="auto"/>
        <w:left w:val="none" w:sz="0" w:space="0" w:color="auto"/>
        <w:bottom w:val="none" w:sz="0" w:space="0" w:color="auto"/>
        <w:right w:val="none" w:sz="0" w:space="0" w:color="auto"/>
      </w:divBdr>
    </w:div>
    <w:div w:id="498345924">
      <w:bodyDiv w:val="1"/>
      <w:marLeft w:val="0"/>
      <w:marRight w:val="0"/>
      <w:marTop w:val="0"/>
      <w:marBottom w:val="0"/>
      <w:divBdr>
        <w:top w:val="none" w:sz="0" w:space="0" w:color="auto"/>
        <w:left w:val="none" w:sz="0" w:space="0" w:color="auto"/>
        <w:bottom w:val="none" w:sz="0" w:space="0" w:color="auto"/>
        <w:right w:val="none" w:sz="0" w:space="0" w:color="auto"/>
      </w:divBdr>
    </w:div>
    <w:div w:id="498622603">
      <w:bodyDiv w:val="1"/>
      <w:marLeft w:val="0"/>
      <w:marRight w:val="0"/>
      <w:marTop w:val="0"/>
      <w:marBottom w:val="0"/>
      <w:divBdr>
        <w:top w:val="none" w:sz="0" w:space="0" w:color="auto"/>
        <w:left w:val="none" w:sz="0" w:space="0" w:color="auto"/>
        <w:bottom w:val="none" w:sz="0" w:space="0" w:color="auto"/>
        <w:right w:val="none" w:sz="0" w:space="0" w:color="auto"/>
      </w:divBdr>
    </w:div>
    <w:div w:id="498692209">
      <w:bodyDiv w:val="1"/>
      <w:marLeft w:val="0"/>
      <w:marRight w:val="0"/>
      <w:marTop w:val="0"/>
      <w:marBottom w:val="0"/>
      <w:divBdr>
        <w:top w:val="none" w:sz="0" w:space="0" w:color="auto"/>
        <w:left w:val="none" w:sz="0" w:space="0" w:color="auto"/>
        <w:bottom w:val="none" w:sz="0" w:space="0" w:color="auto"/>
        <w:right w:val="none" w:sz="0" w:space="0" w:color="auto"/>
      </w:divBdr>
    </w:div>
    <w:div w:id="498692423">
      <w:bodyDiv w:val="1"/>
      <w:marLeft w:val="0"/>
      <w:marRight w:val="0"/>
      <w:marTop w:val="0"/>
      <w:marBottom w:val="0"/>
      <w:divBdr>
        <w:top w:val="none" w:sz="0" w:space="0" w:color="auto"/>
        <w:left w:val="none" w:sz="0" w:space="0" w:color="auto"/>
        <w:bottom w:val="none" w:sz="0" w:space="0" w:color="auto"/>
        <w:right w:val="none" w:sz="0" w:space="0" w:color="auto"/>
      </w:divBdr>
    </w:div>
    <w:div w:id="498816474">
      <w:bodyDiv w:val="1"/>
      <w:marLeft w:val="0"/>
      <w:marRight w:val="0"/>
      <w:marTop w:val="0"/>
      <w:marBottom w:val="0"/>
      <w:divBdr>
        <w:top w:val="none" w:sz="0" w:space="0" w:color="auto"/>
        <w:left w:val="none" w:sz="0" w:space="0" w:color="auto"/>
        <w:bottom w:val="none" w:sz="0" w:space="0" w:color="auto"/>
        <w:right w:val="none" w:sz="0" w:space="0" w:color="auto"/>
      </w:divBdr>
    </w:div>
    <w:div w:id="499002639">
      <w:bodyDiv w:val="1"/>
      <w:marLeft w:val="0"/>
      <w:marRight w:val="0"/>
      <w:marTop w:val="0"/>
      <w:marBottom w:val="0"/>
      <w:divBdr>
        <w:top w:val="none" w:sz="0" w:space="0" w:color="auto"/>
        <w:left w:val="none" w:sz="0" w:space="0" w:color="auto"/>
        <w:bottom w:val="none" w:sz="0" w:space="0" w:color="auto"/>
        <w:right w:val="none" w:sz="0" w:space="0" w:color="auto"/>
      </w:divBdr>
    </w:div>
    <w:div w:id="499083455">
      <w:bodyDiv w:val="1"/>
      <w:marLeft w:val="0"/>
      <w:marRight w:val="0"/>
      <w:marTop w:val="0"/>
      <w:marBottom w:val="0"/>
      <w:divBdr>
        <w:top w:val="none" w:sz="0" w:space="0" w:color="auto"/>
        <w:left w:val="none" w:sz="0" w:space="0" w:color="auto"/>
        <w:bottom w:val="none" w:sz="0" w:space="0" w:color="auto"/>
        <w:right w:val="none" w:sz="0" w:space="0" w:color="auto"/>
      </w:divBdr>
    </w:div>
    <w:div w:id="499270279">
      <w:bodyDiv w:val="1"/>
      <w:marLeft w:val="0"/>
      <w:marRight w:val="0"/>
      <w:marTop w:val="0"/>
      <w:marBottom w:val="0"/>
      <w:divBdr>
        <w:top w:val="none" w:sz="0" w:space="0" w:color="auto"/>
        <w:left w:val="none" w:sz="0" w:space="0" w:color="auto"/>
        <w:bottom w:val="none" w:sz="0" w:space="0" w:color="auto"/>
        <w:right w:val="none" w:sz="0" w:space="0" w:color="auto"/>
      </w:divBdr>
    </w:div>
    <w:div w:id="499393295">
      <w:bodyDiv w:val="1"/>
      <w:marLeft w:val="0"/>
      <w:marRight w:val="0"/>
      <w:marTop w:val="0"/>
      <w:marBottom w:val="0"/>
      <w:divBdr>
        <w:top w:val="none" w:sz="0" w:space="0" w:color="auto"/>
        <w:left w:val="none" w:sz="0" w:space="0" w:color="auto"/>
        <w:bottom w:val="none" w:sz="0" w:space="0" w:color="auto"/>
        <w:right w:val="none" w:sz="0" w:space="0" w:color="auto"/>
      </w:divBdr>
    </w:div>
    <w:div w:id="499470221">
      <w:bodyDiv w:val="1"/>
      <w:marLeft w:val="0"/>
      <w:marRight w:val="0"/>
      <w:marTop w:val="0"/>
      <w:marBottom w:val="0"/>
      <w:divBdr>
        <w:top w:val="none" w:sz="0" w:space="0" w:color="auto"/>
        <w:left w:val="none" w:sz="0" w:space="0" w:color="auto"/>
        <w:bottom w:val="none" w:sz="0" w:space="0" w:color="auto"/>
        <w:right w:val="none" w:sz="0" w:space="0" w:color="auto"/>
      </w:divBdr>
    </w:div>
    <w:div w:id="499588570">
      <w:bodyDiv w:val="1"/>
      <w:marLeft w:val="0"/>
      <w:marRight w:val="0"/>
      <w:marTop w:val="0"/>
      <w:marBottom w:val="0"/>
      <w:divBdr>
        <w:top w:val="none" w:sz="0" w:space="0" w:color="auto"/>
        <w:left w:val="none" w:sz="0" w:space="0" w:color="auto"/>
        <w:bottom w:val="none" w:sz="0" w:space="0" w:color="auto"/>
        <w:right w:val="none" w:sz="0" w:space="0" w:color="auto"/>
      </w:divBdr>
    </w:div>
    <w:div w:id="499658717">
      <w:bodyDiv w:val="1"/>
      <w:marLeft w:val="0"/>
      <w:marRight w:val="0"/>
      <w:marTop w:val="0"/>
      <w:marBottom w:val="0"/>
      <w:divBdr>
        <w:top w:val="none" w:sz="0" w:space="0" w:color="auto"/>
        <w:left w:val="none" w:sz="0" w:space="0" w:color="auto"/>
        <w:bottom w:val="none" w:sz="0" w:space="0" w:color="auto"/>
        <w:right w:val="none" w:sz="0" w:space="0" w:color="auto"/>
      </w:divBdr>
    </w:div>
    <w:div w:id="499659406">
      <w:bodyDiv w:val="1"/>
      <w:marLeft w:val="0"/>
      <w:marRight w:val="0"/>
      <w:marTop w:val="0"/>
      <w:marBottom w:val="0"/>
      <w:divBdr>
        <w:top w:val="none" w:sz="0" w:space="0" w:color="auto"/>
        <w:left w:val="none" w:sz="0" w:space="0" w:color="auto"/>
        <w:bottom w:val="none" w:sz="0" w:space="0" w:color="auto"/>
        <w:right w:val="none" w:sz="0" w:space="0" w:color="auto"/>
      </w:divBdr>
    </w:div>
    <w:div w:id="499665126">
      <w:bodyDiv w:val="1"/>
      <w:marLeft w:val="0"/>
      <w:marRight w:val="0"/>
      <w:marTop w:val="0"/>
      <w:marBottom w:val="0"/>
      <w:divBdr>
        <w:top w:val="none" w:sz="0" w:space="0" w:color="auto"/>
        <w:left w:val="none" w:sz="0" w:space="0" w:color="auto"/>
        <w:bottom w:val="none" w:sz="0" w:space="0" w:color="auto"/>
        <w:right w:val="none" w:sz="0" w:space="0" w:color="auto"/>
      </w:divBdr>
    </w:div>
    <w:div w:id="499851150">
      <w:bodyDiv w:val="1"/>
      <w:marLeft w:val="0"/>
      <w:marRight w:val="0"/>
      <w:marTop w:val="0"/>
      <w:marBottom w:val="0"/>
      <w:divBdr>
        <w:top w:val="none" w:sz="0" w:space="0" w:color="auto"/>
        <w:left w:val="none" w:sz="0" w:space="0" w:color="auto"/>
        <w:bottom w:val="none" w:sz="0" w:space="0" w:color="auto"/>
        <w:right w:val="none" w:sz="0" w:space="0" w:color="auto"/>
      </w:divBdr>
    </w:div>
    <w:div w:id="499858636">
      <w:bodyDiv w:val="1"/>
      <w:marLeft w:val="0"/>
      <w:marRight w:val="0"/>
      <w:marTop w:val="0"/>
      <w:marBottom w:val="0"/>
      <w:divBdr>
        <w:top w:val="none" w:sz="0" w:space="0" w:color="auto"/>
        <w:left w:val="none" w:sz="0" w:space="0" w:color="auto"/>
        <w:bottom w:val="none" w:sz="0" w:space="0" w:color="auto"/>
        <w:right w:val="none" w:sz="0" w:space="0" w:color="auto"/>
      </w:divBdr>
    </w:div>
    <w:div w:id="500000348">
      <w:bodyDiv w:val="1"/>
      <w:marLeft w:val="0"/>
      <w:marRight w:val="0"/>
      <w:marTop w:val="0"/>
      <w:marBottom w:val="0"/>
      <w:divBdr>
        <w:top w:val="none" w:sz="0" w:space="0" w:color="auto"/>
        <w:left w:val="none" w:sz="0" w:space="0" w:color="auto"/>
        <w:bottom w:val="none" w:sz="0" w:space="0" w:color="auto"/>
        <w:right w:val="none" w:sz="0" w:space="0" w:color="auto"/>
      </w:divBdr>
    </w:div>
    <w:div w:id="500050584">
      <w:bodyDiv w:val="1"/>
      <w:marLeft w:val="0"/>
      <w:marRight w:val="0"/>
      <w:marTop w:val="0"/>
      <w:marBottom w:val="0"/>
      <w:divBdr>
        <w:top w:val="none" w:sz="0" w:space="0" w:color="auto"/>
        <w:left w:val="none" w:sz="0" w:space="0" w:color="auto"/>
        <w:bottom w:val="none" w:sz="0" w:space="0" w:color="auto"/>
        <w:right w:val="none" w:sz="0" w:space="0" w:color="auto"/>
      </w:divBdr>
    </w:div>
    <w:div w:id="500200409">
      <w:bodyDiv w:val="1"/>
      <w:marLeft w:val="0"/>
      <w:marRight w:val="0"/>
      <w:marTop w:val="0"/>
      <w:marBottom w:val="0"/>
      <w:divBdr>
        <w:top w:val="none" w:sz="0" w:space="0" w:color="auto"/>
        <w:left w:val="none" w:sz="0" w:space="0" w:color="auto"/>
        <w:bottom w:val="none" w:sz="0" w:space="0" w:color="auto"/>
        <w:right w:val="none" w:sz="0" w:space="0" w:color="auto"/>
      </w:divBdr>
    </w:div>
    <w:div w:id="500243275">
      <w:bodyDiv w:val="1"/>
      <w:marLeft w:val="0"/>
      <w:marRight w:val="0"/>
      <w:marTop w:val="0"/>
      <w:marBottom w:val="0"/>
      <w:divBdr>
        <w:top w:val="none" w:sz="0" w:space="0" w:color="auto"/>
        <w:left w:val="none" w:sz="0" w:space="0" w:color="auto"/>
        <w:bottom w:val="none" w:sz="0" w:space="0" w:color="auto"/>
        <w:right w:val="none" w:sz="0" w:space="0" w:color="auto"/>
      </w:divBdr>
    </w:div>
    <w:div w:id="500319604">
      <w:bodyDiv w:val="1"/>
      <w:marLeft w:val="0"/>
      <w:marRight w:val="0"/>
      <w:marTop w:val="0"/>
      <w:marBottom w:val="0"/>
      <w:divBdr>
        <w:top w:val="none" w:sz="0" w:space="0" w:color="auto"/>
        <w:left w:val="none" w:sz="0" w:space="0" w:color="auto"/>
        <w:bottom w:val="none" w:sz="0" w:space="0" w:color="auto"/>
        <w:right w:val="none" w:sz="0" w:space="0" w:color="auto"/>
      </w:divBdr>
    </w:div>
    <w:div w:id="500388104">
      <w:bodyDiv w:val="1"/>
      <w:marLeft w:val="0"/>
      <w:marRight w:val="0"/>
      <w:marTop w:val="0"/>
      <w:marBottom w:val="0"/>
      <w:divBdr>
        <w:top w:val="none" w:sz="0" w:space="0" w:color="auto"/>
        <w:left w:val="none" w:sz="0" w:space="0" w:color="auto"/>
        <w:bottom w:val="none" w:sz="0" w:space="0" w:color="auto"/>
        <w:right w:val="none" w:sz="0" w:space="0" w:color="auto"/>
      </w:divBdr>
    </w:div>
    <w:div w:id="500505015">
      <w:bodyDiv w:val="1"/>
      <w:marLeft w:val="0"/>
      <w:marRight w:val="0"/>
      <w:marTop w:val="0"/>
      <w:marBottom w:val="0"/>
      <w:divBdr>
        <w:top w:val="none" w:sz="0" w:space="0" w:color="auto"/>
        <w:left w:val="none" w:sz="0" w:space="0" w:color="auto"/>
        <w:bottom w:val="none" w:sz="0" w:space="0" w:color="auto"/>
        <w:right w:val="none" w:sz="0" w:space="0" w:color="auto"/>
      </w:divBdr>
    </w:div>
    <w:div w:id="500586998">
      <w:bodyDiv w:val="1"/>
      <w:marLeft w:val="0"/>
      <w:marRight w:val="0"/>
      <w:marTop w:val="0"/>
      <w:marBottom w:val="0"/>
      <w:divBdr>
        <w:top w:val="none" w:sz="0" w:space="0" w:color="auto"/>
        <w:left w:val="none" w:sz="0" w:space="0" w:color="auto"/>
        <w:bottom w:val="none" w:sz="0" w:space="0" w:color="auto"/>
        <w:right w:val="none" w:sz="0" w:space="0" w:color="auto"/>
      </w:divBdr>
    </w:div>
    <w:div w:id="500699325">
      <w:bodyDiv w:val="1"/>
      <w:marLeft w:val="0"/>
      <w:marRight w:val="0"/>
      <w:marTop w:val="0"/>
      <w:marBottom w:val="0"/>
      <w:divBdr>
        <w:top w:val="none" w:sz="0" w:space="0" w:color="auto"/>
        <w:left w:val="none" w:sz="0" w:space="0" w:color="auto"/>
        <w:bottom w:val="none" w:sz="0" w:space="0" w:color="auto"/>
        <w:right w:val="none" w:sz="0" w:space="0" w:color="auto"/>
      </w:divBdr>
    </w:div>
    <w:div w:id="501047920">
      <w:bodyDiv w:val="1"/>
      <w:marLeft w:val="0"/>
      <w:marRight w:val="0"/>
      <w:marTop w:val="0"/>
      <w:marBottom w:val="0"/>
      <w:divBdr>
        <w:top w:val="none" w:sz="0" w:space="0" w:color="auto"/>
        <w:left w:val="none" w:sz="0" w:space="0" w:color="auto"/>
        <w:bottom w:val="none" w:sz="0" w:space="0" w:color="auto"/>
        <w:right w:val="none" w:sz="0" w:space="0" w:color="auto"/>
      </w:divBdr>
    </w:div>
    <w:div w:id="501048366">
      <w:bodyDiv w:val="1"/>
      <w:marLeft w:val="0"/>
      <w:marRight w:val="0"/>
      <w:marTop w:val="0"/>
      <w:marBottom w:val="0"/>
      <w:divBdr>
        <w:top w:val="none" w:sz="0" w:space="0" w:color="auto"/>
        <w:left w:val="none" w:sz="0" w:space="0" w:color="auto"/>
        <w:bottom w:val="none" w:sz="0" w:space="0" w:color="auto"/>
        <w:right w:val="none" w:sz="0" w:space="0" w:color="auto"/>
      </w:divBdr>
    </w:div>
    <w:div w:id="501089922">
      <w:bodyDiv w:val="1"/>
      <w:marLeft w:val="0"/>
      <w:marRight w:val="0"/>
      <w:marTop w:val="0"/>
      <w:marBottom w:val="0"/>
      <w:divBdr>
        <w:top w:val="none" w:sz="0" w:space="0" w:color="auto"/>
        <w:left w:val="none" w:sz="0" w:space="0" w:color="auto"/>
        <w:bottom w:val="none" w:sz="0" w:space="0" w:color="auto"/>
        <w:right w:val="none" w:sz="0" w:space="0" w:color="auto"/>
      </w:divBdr>
    </w:div>
    <w:div w:id="501168797">
      <w:bodyDiv w:val="1"/>
      <w:marLeft w:val="0"/>
      <w:marRight w:val="0"/>
      <w:marTop w:val="0"/>
      <w:marBottom w:val="0"/>
      <w:divBdr>
        <w:top w:val="none" w:sz="0" w:space="0" w:color="auto"/>
        <w:left w:val="none" w:sz="0" w:space="0" w:color="auto"/>
        <w:bottom w:val="none" w:sz="0" w:space="0" w:color="auto"/>
        <w:right w:val="none" w:sz="0" w:space="0" w:color="auto"/>
      </w:divBdr>
    </w:div>
    <w:div w:id="501311256">
      <w:bodyDiv w:val="1"/>
      <w:marLeft w:val="0"/>
      <w:marRight w:val="0"/>
      <w:marTop w:val="0"/>
      <w:marBottom w:val="0"/>
      <w:divBdr>
        <w:top w:val="none" w:sz="0" w:space="0" w:color="auto"/>
        <w:left w:val="none" w:sz="0" w:space="0" w:color="auto"/>
        <w:bottom w:val="none" w:sz="0" w:space="0" w:color="auto"/>
        <w:right w:val="none" w:sz="0" w:space="0" w:color="auto"/>
      </w:divBdr>
    </w:div>
    <w:div w:id="501317151">
      <w:bodyDiv w:val="1"/>
      <w:marLeft w:val="0"/>
      <w:marRight w:val="0"/>
      <w:marTop w:val="0"/>
      <w:marBottom w:val="0"/>
      <w:divBdr>
        <w:top w:val="none" w:sz="0" w:space="0" w:color="auto"/>
        <w:left w:val="none" w:sz="0" w:space="0" w:color="auto"/>
        <w:bottom w:val="none" w:sz="0" w:space="0" w:color="auto"/>
        <w:right w:val="none" w:sz="0" w:space="0" w:color="auto"/>
      </w:divBdr>
    </w:div>
    <w:div w:id="501430089">
      <w:bodyDiv w:val="1"/>
      <w:marLeft w:val="0"/>
      <w:marRight w:val="0"/>
      <w:marTop w:val="0"/>
      <w:marBottom w:val="0"/>
      <w:divBdr>
        <w:top w:val="none" w:sz="0" w:space="0" w:color="auto"/>
        <w:left w:val="none" w:sz="0" w:space="0" w:color="auto"/>
        <w:bottom w:val="none" w:sz="0" w:space="0" w:color="auto"/>
        <w:right w:val="none" w:sz="0" w:space="0" w:color="auto"/>
      </w:divBdr>
    </w:div>
    <w:div w:id="501550336">
      <w:bodyDiv w:val="1"/>
      <w:marLeft w:val="0"/>
      <w:marRight w:val="0"/>
      <w:marTop w:val="0"/>
      <w:marBottom w:val="0"/>
      <w:divBdr>
        <w:top w:val="none" w:sz="0" w:space="0" w:color="auto"/>
        <w:left w:val="none" w:sz="0" w:space="0" w:color="auto"/>
        <w:bottom w:val="none" w:sz="0" w:space="0" w:color="auto"/>
        <w:right w:val="none" w:sz="0" w:space="0" w:color="auto"/>
      </w:divBdr>
    </w:div>
    <w:div w:id="501551174">
      <w:bodyDiv w:val="1"/>
      <w:marLeft w:val="0"/>
      <w:marRight w:val="0"/>
      <w:marTop w:val="0"/>
      <w:marBottom w:val="0"/>
      <w:divBdr>
        <w:top w:val="none" w:sz="0" w:space="0" w:color="auto"/>
        <w:left w:val="none" w:sz="0" w:space="0" w:color="auto"/>
        <w:bottom w:val="none" w:sz="0" w:space="0" w:color="auto"/>
        <w:right w:val="none" w:sz="0" w:space="0" w:color="auto"/>
      </w:divBdr>
    </w:div>
    <w:div w:id="501631048">
      <w:bodyDiv w:val="1"/>
      <w:marLeft w:val="0"/>
      <w:marRight w:val="0"/>
      <w:marTop w:val="0"/>
      <w:marBottom w:val="0"/>
      <w:divBdr>
        <w:top w:val="none" w:sz="0" w:space="0" w:color="auto"/>
        <w:left w:val="none" w:sz="0" w:space="0" w:color="auto"/>
        <w:bottom w:val="none" w:sz="0" w:space="0" w:color="auto"/>
        <w:right w:val="none" w:sz="0" w:space="0" w:color="auto"/>
      </w:divBdr>
    </w:div>
    <w:div w:id="501702641">
      <w:bodyDiv w:val="1"/>
      <w:marLeft w:val="0"/>
      <w:marRight w:val="0"/>
      <w:marTop w:val="0"/>
      <w:marBottom w:val="0"/>
      <w:divBdr>
        <w:top w:val="none" w:sz="0" w:space="0" w:color="auto"/>
        <w:left w:val="none" w:sz="0" w:space="0" w:color="auto"/>
        <w:bottom w:val="none" w:sz="0" w:space="0" w:color="auto"/>
        <w:right w:val="none" w:sz="0" w:space="0" w:color="auto"/>
      </w:divBdr>
    </w:div>
    <w:div w:id="501704408">
      <w:bodyDiv w:val="1"/>
      <w:marLeft w:val="0"/>
      <w:marRight w:val="0"/>
      <w:marTop w:val="0"/>
      <w:marBottom w:val="0"/>
      <w:divBdr>
        <w:top w:val="none" w:sz="0" w:space="0" w:color="auto"/>
        <w:left w:val="none" w:sz="0" w:space="0" w:color="auto"/>
        <w:bottom w:val="none" w:sz="0" w:space="0" w:color="auto"/>
        <w:right w:val="none" w:sz="0" w:space="0" w:color="auto"/>
      </w:divBdr>
    </w:div>
    <w:div w:id="501890906">
      <w:bodyDiv w:val="1"/>
      <w:marLeft w:val="0"/>
      <w:marRight w:val="0"/>
      <w:marTop w:val="0"/>
      <w:marBottom w:val="0"/>
      <w:divBdr>
        <w:top w:val="none" w:sz="0" w:space="0" w:color="auto"/>
        <w:left w:val="none" w:sz="0" w:space="0" w:color="auto"/>
        <w:bottom w:val="none" w:sz="0" w:space="0" w:color="auto"/>
        <w:right w:val="none" w:sz="0" w:space="0" w:color="auto"/>
      </w:divBdr>
    </w:div>
    <w:div w:id="501893341">
      <w:bodyDiv w:val="1"/>
      <w:marLeft w:val="0"/>
      <w:marRight w:val="0"/>
      <w:marTop w:val="0"/>
      <w:marBottom w:val="0"/>
      <w:divBdr>
        <w:top w:val="none" w:sz="0" w:space="0" w:color="auto"/>
        <w:left w:val="none" w:sz="0" w:space="0" w:color="auto"/>
        <w:bottom w:val="none" w:sz="0" w:space="0" w:color="auto"/>
        <w:right w:val="none" w:sz="0" w:space="0" w:color="auto"/>
      </w:divBdr>
    </w:div>
    <w:div w:id="501966698">
      <w:bodyDiv w:val="1"/>
      <w:marLeft w:val="0"/>
      <w:marRight w:val="0"/>
      <w:marTop w:val="0"/>
      <w:marBottom w:val="0"/>
      <w:divBdr>
        <w:top w:val="none" w:sz="0" w:space="0" w:color="auto"/>
        <w:left w:val="none" w:sz="0" w:space="0" w:color="auto"/>
        <w:bottom w:val="none" w:sz="0" w:space="0" w:color="auto"/>
        <w:right w:val="none" w:sz="0" w:space="0" w:color="auto"/>
      </w:divBdr>
    </w:div>
    <w:div w:id="501971898">
      <w:bodyDiv w:val="1"/>
      <w:marLeft w:val="0"/>
      <w:marRight w:val="0"/>
      <w:marTop w:val="0"/>
      <w:marBottom w:val="0"/>
      <w:divBdr>
        <w:top w:val="none" w:sz="0" w:space="0" w:color="auto"/>
        <w:left w:val="none" w:sz="0" w:space="0" w:color="auto"/>
        <w:bottom w:val="none" w:sz="0" w:space="0" w:color="auto"/>
        <w:right w:val="none" w:sz="0" w:space="0" w:color="auto"/>
      </w:divBdr>
    </w:div>
    <w:div w:id="502010036">
      <w:bodyDiv w:val="1"/>
      <w:marLeft w:val="0"/>
      <w:marRight w:val="0"/>
      <w:marTop w:val="0"/>
      <w:marBottom w:val="0"/>
      <w:divBdr>
        <w:top w:val="none" w:sz="0" w:space="0" w:color="auto"/>
        <w:left w:val="none" w:sz="0" w:space="0" w:color="auto"/>
        <w:bottom w:val="none" w:sz="0" w:space="0" w:color="auto"/>
        <w:right w:val="none" w:sz="0" w:space="0" w:color="auto"/>
      </w:divBdr>
    </w:div>
    <w:div w:id="502472816">
      <w:bodyDiv w:val="1"/>
      <w:marLeft w:val="0"/>
      <w:marRight w:val="0"/>
      <w:marTop w:val="0"/>
      <w:marBottom w:val="0"/>
      <w:divBdr>
        <w:top w:val="none" w:sz="0" w:space="0" w:color="auto"/>
        <w:left w:val="none" w:sz="0" w:space="0" w:color="auto"/>
        <w:bottom w:val="none" w:sz="0" w:space="0" w:color="auto"/>
        <w:right w:val="none" w:sz="0" w:space="0" w:color="auto"/>
      </w:divBdr>
    </w:div>
    <w:div w:id="502663983">
      <w:bodyDiv w:val="1"/>
      <w:marLeft w:val="0"/>
      <w:marRight w:val="0"/>
      <w:marTop w:val="0"/>
      <w:marBottom w:val="0"/>
      <w:divBdr>
        <w:top w:val="none" w:sz="0" w:space="0" w:color="auto"/>
        <w:left w:val="none" w:sz="0" w:space="0" w:color="auto"/>
        <w:bottom w:val="none" w:sz="0" w:space="0" w:color="auto"/>
        <w:right w:val="none" w:sz="0" w:space="0" w:color="auto"/>
      </w:divBdr>
    </w:div>
    <w:div w:id="502743387">
      <w:bodyDiv w:val="1"/>
      <w:marLeft w:val="0"/>
      <w:marRight w:val="0"/>
      <w:marTop w:val="0"/>
      <w:marBottom w:val="0"/>
      <w:divBdr>
        <w:top w:val="none" w:sz="0" w:space="0" w:color="auto"/>
        <w:left w:val="none" w:sz="0" w:space="0" w:color="auto"/>
        <w:bottom w:val="none" w:sz="0" w:space="0" w:color="auto"/>
        <w:right w:val="none" w:sz="0" w:space="0" w:color="auto"/>
      </w:divBdr>
    </w:div>
    <w:div w:id="502745043">
      <w:bodyDiv w:val="1"/>
      <w:marLeft w:val="0"/>
      <w:marRight w:val="0"/>
      <w:marTop w:val="0"/>
      <w:marBottom w:val="0"/>
      <w:divBdr>
        <w:top w:val="none" w:sz="0" w:space="0" w:color="auto"/>
        <w:left w:val="none" w:sz="0" w:space="0" w:color="auto"/>
        <w:bottom w:val="none" w:sz="0" w:space="0" w:color="auto"/>
        <w:right w:val="none" w:sz="0" w:space="0" w:color="auto"/>
      </w:divBdr>
    </w:div>
    <w:div w:id="502746231">
      <w:bodyDiv w:val="1"/>
      <w:marLeft w:val="0"/>
      <w:marRight w:val="0"/>
      <w:marTop w:val="0"/>
      <w:marBottom w:val="0"/>
      <w:divBdr>
        <w:top w:val="none" w:sz="0" w:space="0" w:color="auto"/>
        <w:left w:val="none" w:sz="0" w:space="0" w:color="auto"/>
        <w:bottom w:val="none" w:sz="0" w:space="0" w:color="auto"/>
        <w:right w:val="none" w:sz="0" w:space="0" w:color="auto"/>
      </w:divBdr>
    </w:div>
    <w:div w:id="502822779">
      <w:bodyDiv w:val="1"/>
      <w:marLeft w:val="0"/>
      <w:marRight w:val="0"/>
      <w:marTop w:val="0"/>
      <w:marBottom w:val="0"/>
      <w:divBdr>
        <w:top w:val="none" w:sz="0" w:space="0" w:color="auto"/>
        <w:left w:val="none" w:sz="0" w:space="0" w:color="auto"/>
        <w:bottom w:val="none" w:sz="0" w:space="0" w:color="auto"/>
        <w:right w:val="none" w:sz="0" w:space="0" w:color="auto"/>
      </w:divBdr>
    </w:div>
    <w:div w:id="502824052">
      <w:bodyDiv w:val="1"/>
      <w:marLeft w:val="0"/>
      <w:marRight w:val="0"/>
      <w:marTop w:val="0"/>
      <w:marBottom w:val="0"/>
      <w:divBdr>
        <w:top w:val="none" w:sz="0" w:space="0" w:color="auto"/>
        <w:left w:val="none" w:sz="0" w:space="0" w:color="auto"/>
        <w:bottom w:val="none" w:sz="0" w:space="0" w:color="auto"/>
        <w:right w:val="none" w:sz="0" w:space="0" w:color="auto"/>
      </w:divBdr>
    </w:div>
    <w:div w:id="502861009">
      <w:bodyDiv w:val="1"/>
      <w:marLeft w:val="0"/>
      <w:marRight w:val="0"/>
      <w:marTop w:val="0"/>
      <w:marBottom w:val="0"/>
      <w:divBdr>
        <w:top w:val="none" w:sz="0" w:space="0" w:color="auto"/>
        <w:left w:val="none" w:sz="0" w:space="0" w:color="auto"/>
        <w:bottom w:val="none" w:sz="0" w:space="0" w:color="auto"/>
        <w:right w:val="none" w:sz="0" w:space="0" w:color="auto"/>
      </w:divBdr>
    </w:div>
    <w:div w:id="502866653">
      <w:bodyDiv w:val="1"/>
      <w:marLeft w:val="0"/>
      <w:marRight w:val="0"/>
      <w:marTop w:val="0"/>
      <w:marBottom w:val="0"/>
      <w:divBdr>
        <w:top w:val="none" w:sz="0" w:space="0" w:color="auto"/>
        <w:left w:val="none" w:sz="0" w:space="0" w:color="auto"/>
        <w:bottom w:val="none" w:sz="0" w:space="0" w:color="auto"/>
        <w:right w:val="none" w:sz="0" w:space="0" w:color="auto"/>
      </w:divBdr>
    </w:div>
    <w:div w:id="502941509">
      <w:bodyDiv w:val="1"/>
      <w:marLeft w:val="0"/>
      <w:marRight w:val="0"/>
      <w:marTop w:val="0"/>
      <w:marBottom w:val="0"/>
      <w:divBdr>
        <w:top w:val="none" w:sz="0" w:space="0" w:color="auto"/>
        <w:left w:val="none" w:sz="0" w:space="0" w:color="auto"/>
        <w:bottom w:val="none" w:sz="0" w:space="0" w:color="auto"/>
        <w:right w:val="none" w:sz="0" w:space="0" w:color="auto"/>
      </w:divBdr>
    </w:div>
    <w:div w:id="503015464">
      <w:bodyDiv w:val="1"/>
      <w:marLeft w:val="0"/>
      <w:marRight w:val="0"/>
      <w:marTop w:val="0"/>
      <w:marBottom w:val="0"/>
      <w:divBdr>
        <w:top w:val="none" w:sz="0" w:space="0" w:color="auto"/>
        <w:left w:val="none" w:sz="0" w:space="0" w:color="auto"/>
        <w:bottom w:val="none" w:sz="0" w:space="0" w:color="auto"/>
        <w:right w:val="none" w:sz="0" w:space="0" w:color="auto"/>
      </w:divBdr>
    </w:div>
    <w:div w:id="503057254">
      <w:bodyDiv w:val="1"/>
      <w:marLeft w:val="0"/>
      <w:marRight w:val="0"/>
      <w:marTop w:val="0"/>
      <w:marBottom w:val="0"/>
      <w:divBdr>
        <w:top w:val="none" w:sz="0" w:space="0" w:color="auto"/>
        <w:left w:val="none" w:sz="0" w:space="0" w:color="auto"/>
        <w:bottom w:val="none" w:sz="0" w:space="0" w:color="auto"/>
        <w:right w:val="none" w:sz="0" w:space="0" w:color="auto"/>
      </w:divBdr>
    </w:div>
    <w:div w:id="503060076">
      <w:bodyDiv w:val="1"/>
      <w:marLeft w:val="0"/>
      <w:marRight w:val="0"/>
      <w:marTop w:val="0"/>
      <w:marBottom w:val="0"/>
      <w:divBdr>
        <w:top w:val="none" w:sz="0" w:space="0" w:color="auto"/>
        <w:left w:val="none" w:sz="0" w:space="0" w:color="auto"/>
        <w:bottom w:val="none" w:sz="0" w:space="0" w:color="auto"/>
        <w:right w:val="none" w:sz="0" w:space="0" w:color="auto"/>
      </w:divBdr>
    </w:div>
    <w:div w:id="503086470">
      <w:bodyDiv w:val="1"/>
      <w:marLeft w:val="0"/>
      <w:marRight w:val="0"/>
      <w:marTop w:val="0"/>
      <w:marBottom w:val="0"/>
      <w:divBdr>
        <w:top w:val="none" w:sz="0" w:space="0" w:color="auto"/>
        <w:left w:val="none" w:sz="0" w:space="0" w:color="auto"/>
        <w:bottom w:val="none" w:sz="0" w:space="0" w:color="auto"/>
        <w:right w:val="none" w:sz="0" w:space="0" w:color="auto"/>
      </w:divBdr>
    </w:div>
    <w:div w:id="503324258">
      <w:bodyDiv w:val="1"/>
      <w:marLeft w:val="0"/>
      <w:marRight w:val="0"/>
      <w:marTop w:val="0"/>
      <w:marBottom w:val="0"/>
      <w:divBdr>
        <w:top w:val="none" w:sz="0" w:space="0" w:color="auto"/>
        <w:left w:val="none" w:sz="0" w:space="0" w:color="auto"/>
        <w:bottom w:val="none" w:sz="0" w:space="0" w:color="auto"/>
        <w:right w:val="none" w:sz="0" w:space="0" w:color="auto"/>
      </w:divBdr>
    </w:div>
    <w:div w:id="503325381">
      <w:bodyDiv w:val="1"/>
      <w:marLeft w:val="0"/>
      <w:marRight w:val="0"/>
      <w:marTop w:val="0"/>
      <w:marBottom w:val="0"/>
      <w:divBdr>
        <w:top w:val="none" w:sz="0" w:space="0" w:color="auto"/>
        <w:left w:val="none" w:sz="0" w:space="0" w:color="auto"/>
        <w:bottom w:val="none" w:sz="0" w:space="0" w:color="auto"/>
        <w:right w:val="none" w:sz="0" w:space="0" w:color="auto"/>
      </w:divBdr>
    </w:div>
    <w:div w:id="503477520">
      <w:bodyDiv w:val="1"/>
      <w:marLeft w:val="0"/>
      <w:marRight w:val="0"/>
      <w:marTop w:val="0"/>
      <w:marBottom w:val="0"/>
      <w:divBdr>
        <w:top w:val="none" w:sz="0" w:space="0" w:color="auto"/>
        <w:left w:val="none" w:sz="0" w:space="0" w:color="auto"/>
        <w:bottom w:val="none" w:sz="0" w:space="0" w:color="auto"/>
        <w:right w:val="none" w:sz="0" w:space="0" w:color="auto"/>
      </w:divBdr>
    </w:div>
    <w:div w:id="503517560">
      <w:bodyDiv w:val="1"/>
      <w:marLeft w:val="0"/>
      <w:marRight w:val="0"/>
      <w:marTop w:val="0"/>
      <w:marBottom w:val="0"/>
      <w:divBdr>
        <w:top w:val="none" w:sz="0" w:space="0" w:color="auto"/>
        <w:left w:val="none" w:sz="0" w:space="0" w:color="auto"/>
        <w:bottom w:val="none" w:sz="0" w:space="0" w:color="auto"/>
        <w:right w:val="none" w:sz="0" w:space="0" w:color="auto"/>
      </w:divBdr>
    </w:div>
    <w:div w:id="503592634">
      <w:bodyDiv w:val="1"/>
      <w:marLeft w:val="0"/>
      <w:marRight w:val="0"/>
      <w:marTop w:val="0"/>
      <w:marBottom w:val="0"/>
      <w:divBdr>
        <w:top w:val="none" w:sz="0" w:space="0" w:color="auto"/>
        <w:left w:val="none" w:sz="0" w:space="0" w:color="auto"/>
        <w:bottom w:val="none" w:sz="0" w:space="0" w:color="auto"/>
        <w:right w:val="none" w:sz="0" w:space="0" w:color="auto"/>
      </w:divBdr>
    </w:div>
    <w:div w:id="503936607">
      <w:bodyDiv w:val="1"/>
      <w:marLeft w:val="0"/>
      <w:marRight w:val="0"/>
      <w:marTop w:val="0"/>
      <w:marBottom w:val="0"/>
      <w:divBdr>
        <w:top w:val="none" w:sz="0" w:space="0" w:color="auto"/>
        <w:left w:val="none" w:sz="0" w:space="0" w:color="auto"/>
        <w:bottom w:val="none" w:sz="0" w:space="0" w:color="auto"/>
        <w:right w:val="none" w:sz="0" w:space="0" w:color="auto"/>
      </w:divBdr>
    </w:div>
    <w:div w:id="503981517">
      <w:bodyDiv w:val="1"/>
      <w:marLeft w:val="0"/>
      <w:marRight w:val="0"/>
      <w:marTop w:val="0"/>
      <w:marBottom w:val="0"/>
      <w:divBdr>
        <w:top w:val="none" w:sz="0" w:space="0" w:color="auto"/>
        <w:left w:val="none" w:sz="0" w:space="0" w:color="auto"/>
        <w:bottom w:val="none" w:sz="0" w:space="0" w:color="auto"/>
        <w:right w:val="none" w:sz="0" w:space="0" w:color="auto"/>
      </w:divBdr>
    </w:div>
    <w:div w:id="503984007">
      <w:bodyDiv w:val="1"/>
      <w:marLeft w:val="0"/>
      <w:marRight w:val="0"/>
      <w:marTop w:val="0"/>
      <w:marBottom w:val="0"/>
      <w:divBdr>
        <w:top w:val="none" w:sz="0" w:space="0" w:color="auto"/>
        <w:left w:val="none" w:sz="0" w:space="0" w:color="auto"/>
        <w:bottom w:val="none" w:sz="0" w:space="0" w:color="auto"/>
        <w:right w:val="none" w:sz="0" w:space="0" w:color="auto"/>
      </w:divBdr>
    </w:div>
    <w:div w:id="504125768">
      <w:bodyDiv w:val="1"/>
      <w:marLeft w:val="0"/>
      <w:marRight w:val="0"/>
      <w:marTop w:val="0"/>
      <w:marBottom w:val="0"/>
      <w:divBdr>
        <w:top w:val="none" w:sz="0" w:space="0" w:color="auto"/>
        <w:left w:val="none" w:sz="0" w:space="0" w:color="auto"/>
        <w:bottom w:val="none" w:sz="0" w:space="0" w:color="auto"/>
        <w:right w:val="none" w:sz="0" w:space="0" w:color="auto"/>
      </w:divBdr>
    </w:div>
    <w:div w:id="504365175">
      <w:bodyDiv w:val="1"/>
      <w:marLeft w:val="0"/>
      <w:marRight w:val="0"/>
      <w:marTop w:val="0"/>
      <w:marBottom w:val="0"/>
      <w:divBdr>
        <w:top w:val="none" w:sz="0" w:space="0" w:color="auto"/>
        <w:left w:val="none" w:sz="0" w:space="0" w:color="auto"/>
        <w:bottom w:val="none" w:sz="0" w:space="0" w:color="auto"/>
        <w:right w:val="none" w:sz="0" w:space="0" w:color="auto"/>
      </w:divBdr>
    </w:div>
    <w:div w:id="504588354">
      <w:bodyDiv w:val="1"/>
      <w:marLeft w:val="0"/>
      <w:marRight w:val="0"/>
      <w:marTop w:val="0"/>
      <w:marBottom w:val="0"/>
      <w:divBdr>
        <w:top w:val="none" w:sz="0" w:space="0" w:color="auto"/>
        <w:left w:val="none" w:sz="0" w:space="0" w:color="auto"/>
        <w:bottom w:val="none" w:sz="0" w:space="0" w:color="auto"/>
        <w:right w:val="none" w:sz="0" w:space="0" w:color="auto"/>
      </w:divBdr>
    </w:div>
    <w:div w:id="504900749">
      <w:bodyDiv w:val="1"/>
      <w:marLeft w:val="0"/>
      <w:marRight w:val="0"/>
      <w:marTop w:val="0"/>
      <w:marBottom w:val="0"/>
      <w:divBdr>
        <w:top w:val="none" w:sz="0" w:space="0" w:color="auto"/>
        <w:left w:val="none" w:sz="0" w:space="0" w:color="auto"/>
        <w:bottom w:val="none" w:sz="0" w:space="0" w:color="auto"/>
        <w:right w:val="none" w:sz="0" w:space="0" w:color="auto"/>
      </w:divBdr>
    </w:div>
    <w:div w:id="505174409">
      <w:bodyDiv w:val="1"/>
      <w:marLeft w:val="0"/>
      <w:marRight w:val="0"/>
      <w:marTop w:val="0"/>
      <w:marBottom w:val="0"/>
      <w:divBdr>
        <w:top w:val="none" w:sz="0" w:space="0" w:color="auto"/>
        <w:left w:val="none" w:sz="0" w:space="0" w:color="auto"/>
        <w:bottom w:val="none" w:sz="0" w:space="0" w:color="auto"/>
        <w:right w:val="none" w:sz="0" w:space="0" w:color="auto"/>
      </w:divBdr>
    </w:div>
    <w:div w:id="505247066">
      <w:bodyDiv w:val="1"/>
      <w:marLeft w:val="0"/>
      <w:marRight w:val="0"/>
      <w:marTop w:val="0"/>
      <w:marBottom w:val="0"/>
      <w:divBdr>
        <w:top w:val="none" w:sz="0" w:space="0" w:color="auto"/>
        <w:left w:val="none" w:sz="0" w:space="0" w:color="auto"/>
        <w:bottom w:val="none" w:sz="0" w:space="0" w:color="auto"/>
        <w:right w:val="none" w:sz="0" w:space="0" w:color="auto"/>
      </w:divBdr>
    </w:div>
    <w:div w:id="505293902">
      <w:bodyDiv w:val="1"/>
      <w:marLeft w:val="0"/>
      <w:marRight w:val="0"/>
      <w:marTop w:val="0"/>
      <w:marBottom w:val="0"/>
      <w:divBdr>
        <w:top w:val="none" w:sz="0" w:space="0" w:color="auto"/>
        <w:left w:val="none" w:sz="0" w:space="0" w:color="auto"/>
        <w:bottom w:val="none" w:sz="0" w:space="0" w:color="auto"/>
        <w:right w:val="none" w:sz="0" w:space="0" w:color="auto"/>
      </w:divBdr>
    </w:div>
    <w:div w:id="505364389">
      <w:bodyDiv w:val="1"/>
      <w:marLeft w:val="0"/>
      <w:marRight w:val="0"/>
      <w:marTop w:val="0"/>
      <w:marBottom w:val="0"/>
      <w:divBdr>
        <w:top w:val="none" w:sz="0" w:space="0" w:color="auto"/>
        <w:left w:val="none" w:sz="0" w:space="0" w:color="auto"/>
        <w:bottom w:val="none" w:sz="0" w:space="0" w:color="auto"/>
        <w:right w:val="none" w:sz="0" w:space="0" w:color="auto"/>
      </w:divBdr>
    </w:div>
    <w:div w:id="505442668">
      <w:bodyDiv w:val="1"/>
      <w:marLeft w:val="0"/>
      <w:marRight w:val="0"/>
      <w:marTop w:val="0"/>
      <w:marBottom w:val="0"/>
      <w:divBdr>
        <w:top w:val="none" w:sz="0" w:space="0" w:color="auto"/>
        <w:left w:val="none" w:sz="0" w:space="0" w:color="auto"/>
        <w:bottom w:val="none" w:sz="0" w:space="0" w:color="auto"/>
        <w:right w:val="none" w:sz="0" w:space="0" w:color="auto"/>
      </w:divBdr>
    </w:div>
    <w:div w:id="505560100">
      <w:bodyDiv w:val="1"/>
      <w:marLeft w:val="0"/>
      <w:marRight w:val="0"/>
      <w:marTop w:val="0"/>
      <w:marBottom w:val="0"/>
      <w:divBdr>
        <w:top w:val="none" w:sz="0" w:space="0" w:color="auto"/>
        <w:left w:val="none" w:sz="0" w:space="0" w:color="auto"/>
        <w:bottom w:val="none" w:sz="0" w:space="0" w:color="auto"/>
        <w:right w:val="none" w:sz="0" w:space="0" w:color="auto"/>
      </w:divBdr>
    </w:div>
    <w:div w:id="505629332">
      <w:bodyDiv w:val="1"/>
      <w:marLeft w:val="0"/>
      <w:marRight w:val="0"/>
      <w:marTop w:val="0"/>
      <w:marBottom w:val="0"/>
      <w:divBdr>
        <w:top w:val="none" w:sz="0" w:space="0" w:color="auto"/>
        <w:left w:val="none" w:sz="0" w:space="0" w:color="auto"/>
        <w:bottom w:val="none" w:sz="0" w:space="0" w:color="auto"/>
        <w:right w:val="none" w:sz="0" w:space="0" w:color="auto"/>
      </w:divBdr>
    </w:div>
    <w:div w:id="505631425">
      <w:bodyDiv w:val="1"/>
      <w:marLeft w:val="0"/>
      <w:marRight w:val="0"/>
      <w:marTop w:val="0"/>
      <w:marBottom w:val="0"/>
      <w:divBdr>
        <w:top w:val="none" w:sz="0" w:space="0" w:color="auto"/>
        <w:left w:val="none" w:sz="0" w:space="0" w:color="auto"/>
        <w:bottom w:val="none" w:sz="0" w:space="0" w:color="auto"/>
        <w:right w:val="none" w:sz="0" w:space="0" w:color="auto"/>
      </w:divBdr>
    </w:div>
    <w:div w:id="505944298">
      <w:bodyDiv w:val="1"/>
      <w:marLeft w:val="0"/>
      <w:marRight w:val="0"/>
      <w:marTop w:val="0"/>
      <w:marBottom w:val="0"/>
      <w:divBdr>
        <w:top w:val="none" w:sz="0" w:space="0" w:color="auto"/>
        <w:left w:val="none" w:sz="0" w:space="0" w:color="auto"/>
        <w:bottom w:val="none" w:sz="0" w:space="0" w:color="auto"/>
        <w:right w:val="none" w:sz="0" w:space="0" w:color="auto"/>
      </w:divBdr>
    </w:div>
    <w:div w:id="506135707">
      <w:bodyDiv w:val="1"/>
      <w:marLeft w:val="0"/>
      <w:marRight w:val="0"/>
      <w:marTop w:val="0"/>
      <w:marBottom w:val="0"/>
      <w:divBdr>
        <w:top w:val="none" w:sz="0" w:space="0" w:color="auto"/>
        <w:left w:val="none" w:sz="0" w:space="0" w:color="auto"/>
        <w:bottom w:val="none" w:sz="0" w:space="0" w:color="auto"/>
        <w:right w:val="none" w:sz="0" w:space="0" w:color="auto"/>
      </w:divBdr>
    </w:div>
    <w:div w:id="506331181">
      <w:bodyDiv w:val="1"/>
      <w:marLeft w:val="0"/>
      <w:marRight w:val="0"/>
      <w:marTop w:val="0"/>
      <w:marBottom w:val="0"/>
      <w:divBdr>
        <w:top w:val="none" w:sz="0" w:space="0" w:color="auto"/>
        <w:left w:val="none" w:sz="0" w:space="0" w:color="auto"/>
        <w:bottom w:val="none" w:sz="0" w:space="0" w:color="auto"/>
        <w:right w:val="none" w:sz="0" w:space="0" w:color="auto"/>
      </w:divBdr>
    </w:div>
    <w:div w:id="506405042">
      <w:bodyDiv w:val="1"/>
      <w:marLeft w:val="0"/>
      <w:marRight w:val="0"/>
      <w:marTop w:val="0"/>
      <w:marBottom w:val="0"/>
      <w:divBdr>
        <w:top w:val="none" w:sz="0" w:space="0" w:color="auto"/>
        <w:left w:val="none" w:sz="0" w:space="0" w:color="auto"/>
        <w:bottom w:val="none" w:sz="0" w:space="0" w:color="auto"/>
        <w:right w:val="none" w:sz="0" w:space="0" w:color="auto"/>
      </w:divBdr>
    </w:div>
    <w:div w:id="506478863">
      <w:bodyDiv w:val="1"/>
      <w:marLeft w:val="0"/>
      <w:marRight w:val="0"/>
      <w:marTop w:val="0"/>
      <w:marBottom w:val="0"/>
      <w:divBdr>
        <w:top w:val="none" w:sz="0" w:space="0" w:color="auto"/>
        <w:left w:val="none" w:sz="0" w:space="0" w:color="auto"/>
        <w:bottom w:val="none" w:sz="0" w:space="0" w:color="auto"/>
        <w:right w:val="none" w:sz="0" w:space="0" w:color="auto"/>
      </w:divBdr>
    </w:div>
    <w:div w:id="506482543">
      <w:bodyDiv w:val="1"/>
      <w:marLeft w:val="0"/>
      <w:marRight w:val="0"/>
      <w:marTop w:val="0"/>
      <w:marBottom w:val="0"/>
      <w:divBdr>
        <w:top w:val="none" w:sz="0" w:space="0" w:color="auto"/>
        <w:left w:val="none" w:sz="0" w:space="0" w:color="auto"/>
        <w:bottom w:val="none" w:sz="0" w:space="0" w:color="auto"/>
        <w:right w:val="none" w:sz="0" w:space="0" w:color="auto"/>
      </w:divBdr>
    </w:div>
    <w:div w:id="506529606">
      <w:bodyDiv w:val="1"/>
      <w:marLeft w:val="0"/>
      <w:marRight w:val="0"/>
      <w:marTop w:val="0"/>
      <w:marBottom w:val="0"/>
      <w:divBdr>
        <w:top w:val="none" w:sz="0" w:space="0" w:color="auto"/>
        <w:left w:val="none" w:sz="0" w:space="0" w:color="auto"/>
        <w:bottom w:val="none" w:sz="0" w:space="0" w:color="auto"/>
        <w:right w:val="none" w:sz="0" w:space="0" w:color="auto"/>
      </w:divBdr>
    </w:div>
    <w:div w:id="506556737">
      <w:bodyDiv w:val="1"/>
      <w:marLeft w:val="0"/>
      <w:marRight w:val="0"/>
      <w:marTop w:val="0"/>
      <w:marBottom w:val="0"/>
      <w:divBdr>
        <w:top w:val="none" w:sz="0" w:space="0" w:color="auto"/>
        <w:left w:val="none" w:sz="0" w:space="0" w:color="auto"/>
        <w:bottom w:val="none" w:sz="0" w:space="0" w:color="auto"/>
        <w:right w:val="none" w:sz="0" w:space="0" w:color="auto"/>
      </w:divBdr>
    </w:div>
    <w:div w:id="506674503">
      <w:bodyDiv w:val="1"/>
      <w:marLeft w:val="0"/>
      <w:marRight w:val="0"/>
      <w:marTop w:val="0"/>
      <w:marBottom w:val="0"/>
      <w:divBdr>
        <w:top w:val="none" w:sz="0" w:space="0" w:color="auto"/>
        <w:left w:val="none" w:sz="0" w:space="0" w:color="auto"/>
        <w:bottom w:val="none" w:sz="0" w:space="0" w:color="auto"/>
        <w:right w:val="none" w:sz="0" w:space="0" w:color="auto"/>
      </w:divBdr>
    </w:div>
    <w:div w:id="506676302">
      <w:bodyDiv w:val="1"/>
      <w:marLeft w:val="0"/>
      <w:marRight w:val="0"/>
      <w:marTop w:val="0"/>
      <w:marBottom w:val="0"/>
      <w:divBdr>
        <w:top w:val="none" w:sz="0" w:space="0" w:color="auto"/>
        <w:left w:val="none" w:sz="0" w:space="0" w:color="auto"/>
        <w:bottom w:val="none" w:sz="0" w:space="0" w:color="auto"/>
        <w:right w:val="none" w:sz="0" w:space="0" w:color="auto"/>
      </w:divBdr>
    </w:div>
    <w:div w:id="506746540">
      <w:bodyDiv w:val="1"/>
      <w:marLeft w:val="0"/>
      <w:marRight w:val="0"/>
      <w:marTop w:val="0"/>
      <w:marBottom w:val="0"/>
      <w:divBdr>
        <w:top w:val="none" w:sz="0" w:space="0" w:color="auto"/>
        <w:left w:val="none" w:sz="0" w:space="0" w:color="auto"/>
        <w:bottom w:val="none" w:sz="0" w:space="0" w:color="auto"/>
        <w:right w:val="none" w:sz="0" w:space="0" w:color="auto"/>
      </w:divBdr>
    </w:div>
    <w:div w:id="506747565">
      <w:bodyDiv w:val="1"/>
      <w:marLeft w:val="0"/>
      <w:marRight w:val="0"/>
      <w:marTop w:val="0"/>
      <w:marBottom w:val="0"/>
      <w:divBdr>
        <w:top w:val="none" w:sz="0" w:space="0" w:color="auto"/>
        <w:left w:val="none" w:sz="0" w:space="0" w:color="auto"/>
        <w:bottom w:val="none" w:sz="0" w:space="0" w:color="auto"/>
        <w:right w:val="none" w:sz="0" w:space="0" w:color="auto"/>
      </w:divBdr>
    </w:div>
    <w:div w:id="506749066">
      <w:bodyDiv w:val="1"/>
      <w:marLeft w:val="0"/>
      <w:marRight w:val="0"/>
      <w:marTop w:val="0"/>
      <w:marBottom w:val="0"/>
      <w:divBdr>
        <w:top w:val="none" w:sz="0" w:space="0" w:color="auto"/>
        <w:left w:val="none" w:sz="0" w:space="0" w:color="auto"/>
        <w:bottom w:val="none" w:sz="0" w:space="0" w:color="auto"/>
        <w:right w:val="none" w:sz="0" w:space="0" w:color="auto"/>
      </w:divBdr>
    </w:div>
    <w:div w:id="506795317">
      <w:bodyDiv w:val="1"/>
      <w:marLeft w:val="0"/>
      <w:marRight w:val="0"/>
      <w:marTop w:val="0"/>
      <w:marBottom w:val="0"/>
      <w:divBdr>
        <w:top w:val="none" w:sz="0" w:space="0" w:color="auto"/>
        <w:left w:val="none" w:sz="0" w:space="0" w:color="auto"/>
        <w:bottom w:val="none" w:sz="0" w:space="0" w:color="auto"/>
        <w:right w:val="none" w:sz="0" w:space="0" w:color="auto"/>
      </w:divBdr>
    </w:div>
    <w:div w:id="506867959">
      <w:bodyDiv w:val="1"/>
      <w:marLeft w:val="0"/>
      <w:marRight w:val="0"/>
      <w:marTop w:val="0"/>
      <w:marBottom w:val="0"/>
      <w:divBdr>
        <w:top w:val="none" w:sz="0" w:space="0" w:color="auto"/>
        <w:left w:val="none" w:sz="0" w:space="0" w:color="auto"/>
        <w:bottom w:val="none" w:sz="0" w:space="0" w:color="auto"/>
        <w:right w:val="none" w:sz="0" w:space="0" w:color="auto"/>
      </w:divBdr>
    </w:div>
    <w:div w:id="506989190">
      <w:bodyDiv w:val="1"/>
      <w:marLeft w:val="0"/>
      <w:marRight w:val="0"/>
      <w:marTop w:val="0"/>
      <w:marBottom w:val="0"/>
      <w:divBdr>
        <w:top w:val="none" w:sz="0" w:space="0" w:color="auto"/>
        <w:left w:val="none" w:sz="0" w:space="0" w:color="auto"/>
        <w:bottom w:val="none" w:sz="0" w:space="0" w:color="auto"/>
        <w:right w:val="none" w:sz="0" w:space="0" w:color="auto"/>
      </w:divBdr>
    </w:div>
    <w:div w:id="507252588">
      <w:bodyDiv w:val="1"/>
      <w:marLeft w:val="0"/>
      <w:marRight w:val="0"/>
      <w:marTop w:val="0"/>
      <w:marBottom w:val="0"/>
      <w:divBdr>
        <w:top w:val="none" w:sz="0" w:space="0" w:color="auto"/>
        <w:left w:val="none" w:sz="0" w:space="0" w:color="auto"/>
        <w:bottom w:val="none" w:sz="0" w:space="0" w:color="auto"/>
        <w:right w:val="none" w:sz="0" w:space="0" w:color="auto"/>
      </w:divBdr>
    </w:div>
    <w:div w:id="507255726">
      <w:bodyDiv w:val="1"/>
      <w:marLeft w:val="0"/>
      <w:marRight w:val="0"/>
      <w:marTop w:val="0"/>
      <w:marBottom w:val="0"/>
      <w:divBdr>
        <w:top w:val="none" w:sz="0" w:space="0" w:color="auto"/>
        <w:left w:val="none" w:sz="0" w:space="0" w:color="auto"/>
        <w:bottom w:val="none" w:sz="0" w:space="0" w:color="auto"/>
        <w:right w:val="none" w:sz="0" w:space="0" w:color="auto"/>
      </w:divBdr>
    </w:div>
    <w:div w:id="508062181">
      <w:bodyDiv w:val="1"/>
      <w:marLeft w:val="0"/>
      <w:marRight w:val="0"/>
      <w:marTop w:val="0"/>
      <w:marBottom w:val="0"/>
      <w:divBdr>
        <w:top w:val="none" w:sz="0" w:space="0" w:color="auto"/>
        <w:left w:val="none" w:sz="0" w:space="0" w:color="auto"/>
        <w:bottom w:val="none" w:sz="0" w:space="0" w:color="auto"/>
        <w:right w:val="none" w:sz="0" w:space="0" w:color="auto"/>
      </w:divBdr>
    </w:div>
    <w:div w:id="508103006">
      <w:bodyDiv w:val="1"/>
      <w:marLeft w:val="0"/>
      <w:marRight w:val="0"/>
      <w:marTop w:val="0"/>
      <w:marBottom w:val="0"/>
      <w:divBdr>
        <w:top w:val="none" w:sz="0" w:space="0" w:color="auto"/>
        <w:left w:val="none" w:sz="0" w:space="0" w:color="auto"/>
        <w:bottom w:val="none" w:sz="0" w:space="0" w:color="auto"/>
        <w:right w:val="none" w:sz="0" w:space="0" w:color="auto"/>
      </w:divBdr>
    </w:div>
    <w:div w:id="508107568">
      <w:bodyDiv w:val="1"/>
      <w:marLeft w:val="0"/>
      <w:marRight w:val="0"/>
      <w:marTop w:val="0"/>
      <w:marBottom w:val="0"/>
      <w:divBdr>
        <w:top w:val="none" w:sz="0" w:space="0" w:color="auto"/>
        <w:left w:val="none" w:sz="0" w:space="0" w:color="auto"/>
        <w:bottom w:val="none" w:sz="0" w:space="0" w:color="auto"/>
        <w:right w:val="none" w:sz="0" w:space="0" w:color="auto"/>
      </w:divBdr>
    </w:div>
    <w:div w:id="508181196">
      <w:bodyDiv w:val="1"/>
      <w:marLeft w:val="0"/>
      <w:marRight w:val="0"/>
      <w:marTop w:val="0"/>
      <w:marBottom w:val="0"/>
      <w:divBdr>
        <w:top w:val="none" w:sz="0" w:space="0" w:color="auto"/>
        <w:left w:val="none" w:sz="0" w:space="0" w:color="auto"/>
        <w:bottom w:val="none" w:sz="0" w:space="0" w:color="auto"/>
        <w:right w:val="none" w:sz="0" w:space="0" w:color="auto"/>
      </w:divBdr>
    </w:div>
    <w:div w:id="508444560">
      <w:bodyDiv w:val="1"/>
      <w:marLeft w:val="0"/>
      <w:marRight w:val="0"/>
      <w:marTop w:val="0"/>
      <w:marBottom w:val="0"/>
      <w:divBdr>
        <w:top w:val="none" w:sz="0" w:space="0" w:color="auto"/>
        <w:left w:val="none" w:sz="0" w:space="0" w:color="auto"/>
        <w:bottom w:val="none" w:sz="0" w:space="0" w:color="auto"/>
        <w:right w:val="none" w:sz="0" w:space="0" w:color="auto"/>
      </w:divBdr>
    </w:div>
    <w:div w:id="508450331">
      <w:bodyDiv w:val="1"/>
      <w:marLeft w:val="0"/>
      <w:marRight w:val="0"/>
      <w:marTop w:val="0"/>
      <w:marBottom w:val="0"/>
      <w:divBdr>
        <w:top w:val="none" w:sz="0" w:space="0" w:color="auto"/>
        <w:left w:val="none" w:sz="0" w:space="0" w:color="auto"/>
        <w:bottom w:val="none" w:sz="0" w:space="0" w:color="auto"/>
        <w:right w:val="none" w:sz="0" w:space="0" w:color="auto"/>
      </w:divBdr>
    </w:div>
    <w:div w:id="508564912">
      <w:bodyDiv w:val="1"/>
      <w:marLeft w:val="0"/>
      <w:marRight w:val="0"/>
      <w:marTop w:val="0"/>
      <w:marBottom w:val="0"/>
      <w:divBdr>
        <w:top w:val="none" w:sz="0" w:space="0" w:color="auto"/>
        <w:left w:val="none" w:sz="0" w:space="0" w:color="auto"/>
        <w:bottom w:val="none" w:sz="0" w:space="0" w:color="auto"/>
        <w:right w:val="none" w:sz="0" w:space="0" w:color="auto"/>
      </w:divBdr>
    </w:div>
    <w:div w:id="508570072">
      <w:bodyDiv w:val="1"/>
      <w:marLeft w:val="0"/>
      <w:marRight w:val="0"/>
      <w:marTop w:val="0"/>
      <w:marBottom w:val="0"/>
      <w:divBdr>
        <w:top w:val="none" w:sz="0" w:space="0" w:color="auto"/>
        <w:left w:val="none" w:sz="0" w:space="0" w:color="auto"/>
        <w:bottom w:val="none" w:sz="0" w:space="0" w:color="auto"/>
        <w:right w:val="none" w:sz="0" w:space="0" w:color="auto"/>
      </w:divBdr>
    </w:div>
    <w:div w:id="508834988">
      <w:bodyDiv w:val="1"/>
      <w:marLeft w:val="0"/>
      <w:marRight w:val="0"/>
      <w:marTop w:val="0"/>
      <w:marBottom w:val="0"/>
      <w:divBdr>
        <w:top w:val="none" w:sz="0" w:space="0" w:color="auto"/>
        <w:left w:val="none" w:sz="0" w:space="0" w:color="auto"/>
        <w:bottom w:val="none" w:sz="0" w:space="0" w:color="auto"/>
        <w:right w:val="none" w:sz="0" w:space="0" w:color="auto"/>
      </w:divBdr>
    </w:div>
    <w:div w:id="508906223">
      <w:bodyDiv w:val="1"/>
      <w:marLeft w:val="0"/>
      <w:marRight w:val="0"/>
      <w:marTop w:val="0"/>
      <w:marBottom w:val="0"/>
      <w:divBdr>
        <w:top w:val="none" w:sz="0" w:space="0" w:color="auto"/>
        <w:left w:val="none" w:sz="0" w:space="0" w:color="auto"/>
        <w:bottom w:val="none" w:sz="0" w:space="0" w:color="auto"/>
        <w:right w:val="none" w:sz="0" w:space="0" w:color="auto"/>
      </w:divBdr>
    </w:div>
    <w:div w:id="509220589">
      <w:bodyDiv w:val="1"/>
      <w:marLeft w:val="0"/>
      <w:marRight w:val="0"/>
      <w:marTop w:val="0"/>
      <w:marBottom w:val="0"/>
      <w:divBdr>
        <w:top w:val="none" w:sz="0" w:space="0" w:color="auto"/>
        <w:left w:val="none" w:sz="0" w:space="0" w:color="auto"/>
        <w:bottom w:val="none" w:sz="0" w:space="0" w:color="auto"/>
        <w:right w:val="none" w:sz="0" w:space="0" w:color="auto"/>
      </w:divBdr>
    </w:div>
    <w:div w:id="509220629">
      <w:bodyDiv w:val="1"/>
      <w:marLeft w:val="0"/>
      <w:marRight w:val="0"/>
      <w:marTop w:val="0"/>
      <w:marBottom w:val="0"/>
      <w:divBdr>
        <w:top w:val="none" w:sz="0" w:space="0" w:color="auto"/>
        <w:left w:val="none" w:sz="0" w:space="0" w:color="auto"/>
        <w:bottom w:val="none" w:sz="0" w:space="0" w:color="auto"/>
        <w:right w:val="none" w:sz="0" w:space="0" w:color="auto"/>
      </w:divBdr>
    </w:div>
    <w:div w:id="509294033">
      <w:bodyDiv w:val="1"/>
      <w:marLeft w:val="0"/>
      <w:marRight w:val="0"/>
      <w:marTop w:val="0"/>
      <w:marBottom w:val="0"/>
      <w:divBdr>
        <w:top w:val="none" w:sz="0" w:space="0" w:color="auto"/>
        <w:left w:val="none" w:sz="0" w:space="0" w:color="auto"/>
        <w:bottom w:val="none" w:sz="0" w:space="0" w:color="auto"/>
        <w:right w:val="none" w:sz="0" w:space="0" w:color="auto"/>
      </w:divBdr>
    </w:div>
    <w:div w:id="509298686">
      <w:bodyDiv w:val="1"/>
      <w:marLeft w:val="0"/>
      <w:marRight w:val="0"/>
      <w:marTop w:val="0"/>
      <w:marBottom w:val="0"/>
      <w:divBdr>
        <w:top w:val="none" w:sz="0" w:space="0" w:color="auto"/>
        <w:left w:val="none" w:sz="0" w:space="0" w:color="auto"/>
        <w:bottom w:val="none" w:sz="0" w:space="0" w:color="auto"/>
        <w:right w:val="none" w:sz="0" w:space="0" w:color="auto"/>
      </w:divBdr>
    </w:div>
    <w:div w:id="509610607">
      <w:bodyDiv w:val="1"/>
      <w:marLeft w:val="0"/>
      <w:marRight w:val="0"/>
      <w:marTop w:val="0"/>
      <w:marBottom w:val="0"/>
      <w:divBdr>
        <w:top w:val="none" w:sz="0" w:space="0" w:color="auto"/>
        <w:left w:val="none" w:sz="0" w:space="0" w:color="auto"/>
        <w:bottom w:val="none" w:sz="0" w:space="0" w:color="auto"/>
        <w:right w:val="none" w:sz="0" w:space="0" w:color="auto"/>
      </w:divBdr>
    </w:div>
    <w:div w:id="509685377">
      <w:bodyDiv w:val="1"/>
      <w:marLeft w:val="0"/>
      <w:marRight w:val="0"/>
      <w:marTop w:val="0"/>
      <w:marBottom w:val="0"/>
      <w:divBdr>
        <w:top w:val="none" w:sz="0" w:space="0" w:color="auto"/>
        <w:left w:val="none" w:sz="0" w:space="0" w:color="auto"/>
        <w:bottom w:val="none" w:sz="0" w:space="0" w:color="auto"/>
        <w:right w:val="none" w:sz="0" w:space="0" w:color="auto"/>
      </w:divBdr>
    </w:div>
    <w:div w:id="510022587">
      <w:bodyDiv w:val="1"/>
      <w:marLeft w:val="0"/>
      <w:marRight w:val="0"/>
      <w:marTop w:val="0"/>
      <w:marBottom w:val="0"/>
      <w:divBdr>
        <w:top w:val="none" w:sz="0" w:space="0" w:color="auto"/>
        <w:left w:val="none" w:sz="0" w:space="0" w:color="auto"/>
        <w:bottom w:val="none" w:sz="0" w:space="0" w:color="auto"/>
        <w:right w:val="none" w:sz="0" w:space="0" w:color="auto"/>
      </w:divBdr>
    </w:div>
    <w:div w:id="510337305">
      <w:bodyDiv w:val="1"/>
      <w:marLeft w:val="0"/>
      <w:marRight w:val="0"/>
      <w:marTop w:val="0"/>
      <w:marBottom w:val="0"/>
      <w:divBdr>
        <w:top w:val="none" w:sz="0" w:space="0" w:color="auto"/>
        <w:left w:val="none" w:sz="0" w:space="0" w:color="auto"/>
        <w:bottom w:val="none" w:sz="0" w:space="0" w:color="auto"/>
        <w:right w:val="none" w:sz="0" w:space="0" w:color="auto"/>
      </w:divBdr>
    </w:div>
    <w:div w:id="510337746">
      <w:bodyDiv w:val="1"/>
      <w:marLeft w:val="0"/>
      <w:marRight w:val="0"/>
      <w:marTop w:val="0"/>
      <w:marBottom w:val="0"/>
      <w:divBdr>
        <w:top w:val="none" w:sz="0" w:space="0" w:color="auto"/>
        <w:left w:val="none" w:sz="0" w:space="0" w:color="auto"/>
        <w:bottom w:val="none" w:sz="0" w:space="0" w:color="auto"/>
        <w:right w:val="none" w:sz="0" w:space="0" w:color="auto"/>
      </w:divBdr>
    </w:div>
    <w:div w:id="510414527">
      <w:bodyDiv w:val="1"/>
      <w:marLeft w:val="0"/>
      <w:marRight w:val="0"/>
      <w:marTop w:val="0"/>
      <w:marBottom w:val="0"/>
      <w:divBdr>
        <w:top w:val="none" w:sz="0" w:space="0" w:color="auto"/>
        <w:left w:val="none" w:sz="0" w:space="0" w:color="auto"/>
        <w:bottom w:val="none" w:sz="0" w:space="0" w:color="auto"/>
        <w:right w:val="none" w:sz="0" w:space="0" w:color="auto"/>
      </w:divBdr>
    </w:div>
    <w:div w:id="510414701">
      <w:bodyDiv w:val="1"/>
      <w:marLeft w:val="0"/>
      <w:marRight w:val="0"/>
      <w:marTop w:val="0"/>
      <w:marBottom w:val="0"/>
      <w:divBdr>
        <w:top w:val="none" w:sz="0" w:space="0" w:color="auto"/>
        <w:left w:val="none" w:sz="0" w:space="0" w:color="auto"/>
        <w:bottom w:val="none" w:sz="0" w:space="0" w:color="auto"/>
        <w:right w:val="none" w:sz="0" w:space="0" w:color="auto"/>
      </w:divBdr>
    </w:div>
    <w:div w:id="510530081">
      <w:bodyDiv w:val="1"/>
      <w:marLeft w:val="0"/>
      <w:marRight w:val="0"/>
      <w:marTop w:val="0"/>
      <w:marBottom w:val="0"/>
      <w:divBdr>
        <w:top w:val="none" w:sz="0" w:space="0" w:color="auto"/>
        <w:left w:val="none" w:sz="0" w:space="0" w:color="auto"/>
        <w:bottom w:val="none" w:sz="0" w:space="0" w:color="auto"/>
        <w:right w:val="none" w:sz="0" w:space="0" w:color="auto"/>
      </w:divBdr>
    </w:div>
    <w:div w:id="510530098">
      <w:bodyDiv w:val="1"/>
      <w:marLeft w:val="0"/>
      <w:marRight w:val="0"/>
      <w:marTop w:val="0"/>
      <w:marBottom w:val="0"/>
      <w:divBdr>
        <w:top w:val="none" w:sz="0" w:space="0" w:color="auto"/>
        <w:left w:val="none" w:sz="0" w:space="0" w:color="auto"/>
        <w:bottom w:val="none" w:sz="0" w:space="0" w:color="auto"/>
        <w:right w:val="none" w:sz="0" w:space="0" w:color="auto"/>
      </w:divBdr>
    </w:div>
    <w:div w:id="510685541">
      <w:bodyDiv w:val="1"/>
      <w:marLeft w:val="0"/>
      <w:marRight w:val="0"/>
      <w:marTop w:val="0"/>
      <w:marBottom w:val="0"/>
      <w:divBdr>
        <w:top w:val="none" w:sz="0" w:space="0" w:color="auto"/>
        <w:left w:val="none" w:sz="0" w:space="0" w:color="auto"/>
        <w:bottom w:val="none" w:sz="0" w:space="0" w:color="auto"/>
        <w:right w:val="none" w:sz="0" w:space="0" w:color="auto"/>
      </w:divBdr>
    </w:div>
    <w:div w:id="510801983">
      <w:bodyDiv w:val="1"/>
      <w:marLeft w:val="0"/>
      <w:marRight w:val="0"/>
      <w:marTop w:val="0"/>
      <w:marBottom w:val="0"/>
      <w:divBdr>
        <w:top w:val="none" w:sz="0" w:space="0" w:color="auto"/>
        <w:left w:val="none" w:sz="0" w:space="0" w:color="auto"/>
        <w:bottom w:val="none" w:sz="0" w:space="0" w:color="auto"/>
        <w:right w:val="none" w:sz="0" w:space="0" w:color="auto"/>
      </w:divBdr>
    </w:div>
    <w:div w:id="510995698">
      <w:bodyDiv w:val="1"/>
      <w:marLeft w:val="0"/>
      <w:marRight w:val="0"/>
      <w:marTop w:val="0"/>
      <w:marBottom w:val="0"/>
      <w:divBdr>
        <w:top w:val="none" w:sz="0" w:space="0" w:color="auto"/>
        <w:left w:val="none" w:sz="0" w:space="0" w:color="auto"/>
        <w:bottom w:val="none" w:sz="0" w:space="0" w:color="auto"/>
        <w:right w:val="none" w:sz="0" w:space="0" w:color="auto"/>
      </w:divBdr>
    </w:div>
    <w:div w:id="510997455">
      <w:bodyDiv w:val="1"/>
      <w:marLeft w:val="0"/>
      <w:marRight w:val="0"/>
      <w:marTop w:val="0"/>
      <w:marBottom w:val="0"/>
      <w:divBdr>
        <w:top w:val="none" w:sz="0" w:space="0" w:color="auto"/>
        <w:left w:val="none" w:sz="0" w:space="0" w:color="auto"/>
        <w:bottom w:val="none" w:sz="0" w:space="0" w:color="auto"/>
        <w:right w:val="none" w:sz="0" w:space="0" w:color="auto"/>
      </w:divBdr>
    </w:div>
    <w:div w:id="511260207">
      <w:bodyDiv w:val="1"/>
      <w:marLeft w:val="0"/>
      <w:marRight w:val="0"/>
      <w:marTop w:val="0"/>
      <w:marBottom w:val="0"/>
      <w:divBdr>
        <w:top w:val="none" w:sz="0" w:space="0" w:color="auto"/>
        <w:left w:val="none" w:sz="0" w:space="0" w:color="auto"/>
        <w:bottom w:val="none" w:sz="0" w:space="0" w:color="auto"/>
        <w:right w:val="none" w:sz="0" w:space="0" w:color="auto"/>
      </w:divBdr>
    </w:div>
    <w:div w:id="511263251">
      <w:bodyDiv w:val="1"/>
      <w:marLeft w:val="0"/>
      <w:marRight w:val="0"/>
      <w:marTop w:val="0"/>
      <w:marBottom w:val="0"/>
      <w:divBdr>
        <w:top w:val="none" w:sz="0" w:space="0" w:color="auto"/>
        <w:left w:val="none" w:sz="0" w:space="0" w:color="auto"/>
        <w:bottom w:val="none" w:sz="0" w:space="0" w:color="auto"/>
        <w:right w:val="none" w:sz="0" w:space="0" w:color="auto"/>
      </w:divBdr>
    </w:div>
    <w:div w:id="511334612">
      <w:bodyDiv w:val="1"/>
      <w:marLeft w:val="0"/>
      <w:marRight w:val="0"/>
      <w:marTop w:val="0"/>
      <w:marBottom w:val="0"/>
      <w:divBdr>
        <w:top w:val="none" w:sz="0" w:space="0" w:color="auto"/>
        <w:left w:val="none" w:sz="0" w:space="0" w:color="auto"/>
        <w:bottom w:val="none" w:sz="0" w:space="0" w:color="auto"/>
        <w:right w:val="none" w:sz="0" w:space="0" w:color="auto"/>
      </w:divBdr>
    </w:div>
    <w:div w:id="511384214">
      <w:bodyDiv w:val="1"/>
      <w:marLeft w:val="0"/>
      <w:marRight w:val="0"/>
      <w:marTop w:val="0"/>
      <w:marBottom w:val="0"/>
      <w:divBdr>
        <w:top w:val="none" w:sz="0" w:space="0" w:color="auto"/>
        <w:left w:val="none" w:sz="0" w:space="0" w:color="auto"/>
        <w:bottom w:val="none" w:sz="0" w:space="0" w:color="auto"/>
        <w:right w:val="none" w:sz="0" w:space="0" w:color="auto"/>
      </w:divBdr>
    </w:div>
    <w:div w:id="511454693">
      <w:bodyDiv w:val="1"/>
      <w:marLeft w:val="0"/>
      <w:marRight w:val="0"/>
      <w:marTop w:val="0"/>
      <w:marBottom w:val="0"/>
      <w:divBdr>
        <w:top w:val="none" w:sz="0" w:space="0" w:color="auto"/>
        <w:left w:val="none" w:sz="0" w:space="0" w:color="auto"/>
        <w:bottom w:val="none" w:sz="0" w:space="0" w:color="auto"/>
        <w:right w:val="none" w:sz="0" w:space="0" w:color="auto"/>
      </w:divBdr>
    </w:div>
    <w:div w:id="511574768">
      <w:bodyDiv w:val="1"/>
      <w:marLeft w:val="0"/>
      <w:marRight w:val="0"/>
      <w:marTop w:val="0"/>
      <w:marBottom w:val="0"/>
      <w:divBdr>
        <w:top w:val="none" w:sz="0" w:space="0" w:color="auto"/>
        <w:left w:val="none" w:sz="0" w:space="0" w:color="auto"/>
        <w:bottom w:val="none" w:sz="0" w:space="0" w:color="auto"/>
        <w:right w:val="none" w:sz="0" w:space="0" w:color="auto"/>
      </w:divBdr>
    </w:div>
    <w:div w:id="511577538">
      <w:bodyDiv w:val="1"/>
      <w:marLeft w:val="0"/>
      <w:marRight w:val="0"/>
      <w:marTop w:val="0"/>
      <w:marBottom w:val="0"/>
      <w:divBdr>
        <w:top w:val="none" w:sz="0" w:space="0" w:color="auto"/>
        <w:left w:val="none" w:sz="0" w:space="0" w:color="auto"/>
        <w:bottom w:val="none" w:sz="0" w:space="0" w:color="auto"/>
        <w:right w:val="none" w:sz="0" w:space="0" w:color="auto"/>
      </w:divBdr>
    </w:div>
    <w:div w:id="511652877">
      <w:bodyDiv w:val="1"/>
      <w:marLeft w:val="0"/>
      <w:marRight w:val="0"/>
      <w:marTop w:val="0"/>
      <w:marBottom w:val="0"/>
      <w:divBdr>
        <w:top w:val="none" w:sz="0" w:space="0" w:color="auto"/>
        <w:left w:val="none" w:sz="0" w:space="0" w:color="auto"/>
        <w:bottom w:val="none" w:sz="0" w:space="0" w:color="auto"/>
        <w:right w:val="none" w:sz="0" w:space="0" w:color="auto"/>
      </w:divBdr>
    </w:div>
    <w:div w:id="511653890">
      <w:bodyDiv w:val="1"/>
      <w:marLeft w:val="0"/>
      <w:marRight w:val="0"/>
      <w:marTop w:val="0"/>
      <w:marBottom w:val="0"/>
      <w:divBdr>
        <w:top w:val="none" w:sz="0" w:space="0" w:color="auto"/>
        <w:left w:val="none" w:sz="0" w:space="0" w:color="auto"/>
        <w:bottom w:val="none" w:sz="0" w:space="0" w:color="auto"/>
        <w:right w:val="none" w:sz="0" w:space="0" w:color="auto"/>
      </w:divBdr>
    </w:div>
    <w:div w:id="511771782">
      <w:bodyDiv w:val="1"/>
      <w:marLeft w:val="0"/>
      <w:marRight w:val="0"/>
      <w:marTop w:val="0"/>
      <w:marBottom w:val="0"/>
      <w:divBdr>
        <w:top w:val="none" w:sz="0" w:space="0" w:color="auto"/>
        <w:left w:val="none" w:sz="0" w:space="0" w:color="auto"/>
        <w:bottom w:val="none" w:sz="0" w:space="0" w:color="auto"/>
        <w:right w:val="none" w:sz="0" w:space="0" w:color="auto"/>
      </w:divBdr>
    </w:div>
    <w:div w:id="511920601">
      <w:bodyDiv w:val="1"/>
      <w:marLeft w:val="0"/>
      <w:marRight w:val="0"/>
      <w:marTop w:val="0"/>
      <w:marBottom w:val="0"/>
      <w:divBdr>
        <w:top w:val="none" w:sz="0" w:space="0" w:color="auto"/>
        <w:left w:val="none" w:sz="0" w:space="0" w:color="auto"/>
        <w:bottom w:val="none" w:sz="0" w:space="0" w:color="auto"/>
        <w:right w:val="none" w:sz="0" w:space="0" w:color="auto"/>
      </w:divBdr>
    </w:div>
    <w:div w:id="512035137">
      <w:bodyDiv w:val="1"/>
      <w:marLeft w:val="0"/>
      <w:marRight w:val="0"/>
      <w:marTop w:val="0"/>
      <w:marBottom w:val="0"/>
      <w:divBdr>
        <w:top w:val="none" w:sz="0" w:space="0" w:color="auto"/>
        <w:left w:val="none" w:sz="0" w:space="0" w:color="auto"/>
        <w:bottom w:val="none" w:sz="0" w:space="0" w:color="auto"/>
        <w:right w:val="none" w:sz="0" w:space="0" w:color="auto"/>
      </w:divBdr>
    </w:div>
    <w:div w:id="512229641">
      <w:bodyDiv w:val="1"/>
      <w:marLeft w:val="0"/>
      <w:marRight w:val="0"/>
      <w:marTop w:val="0"/>
      <w:marBottom w:val="0"/>
      <w:divBdr>
        <w:top w:val="none" w:sz="0" w:space="0" w:color="auto"/>
        <w:left w:val="none" w:sz="0" w:space="0" w:color="auto"/>
        <w:bottom w:val="none" w:sz="0" w:space="0" w:color="auto"/>
        <w:right w:val="none" w:sz="0" w:space="0" w:color="auto"/>
      </w:divBdr>
    </w:div>
    <w:div w:id="512383593">
      <w:bodyDiv w:val="1"/>
      <w:marLeft w:val="0"/>
      <w:marRight w:val="0"/>
      <w:marTop w:val="0"/>
      <w:marBottom w:val="0"/>
      <w:divBdr>
        <w:top w:val="none" w:sz="0" w:space="0" w:color="auto"/>
        <w:left w:val="none" w:sz="0" w:space="0" w:color="auto"/>
        <w:bottom w:val="none" w:sz="0" w:space="0" w:color="auto"/>
        <w:right w:val="none" w:sz="0" w:space="0" w:color="auto"/>
      </w:divBdr>
    </w:div>
    <w:div w:id="512692396">
      <w:bodyDiv w:val="1"/>
      <w:marLeft w:val="0"/>
      <w:marRight w:val="0"/>
      <w:marTop w:val="0"/>
      <w:marBottom w:val="0"/>
      <w:divBdr>
        <w:top w:val="none" w:sz="0" w:space="0" w:color="auto"/>
        <w:left w:val="none" w:sz="0" w:space="0" w:color="auto"/>
        <w:bottom w:val="none" w:sz="0" w:space="0" w:color="auto"/>
        <w:right w:val="none" w:sz="0" w:space="0" w:color="auto"/>
      </w:divBdr>
    </w:div>
    <w:div w:id="512839051">
      <w:bodyDiv w:val="1"/>
      <w:marLeft w:val="0"/>
      <w:marRight w:val="0"/>
      <w:marTop w:val="0"/>
      <w:marBottom w:val="0"/>
      <w:divBdr>
        <w:top w:val="none" w:sz="0" w:space="0" w:color="auto"/>
        <w:left w:val="none" w:sz="0" w:space="0" w:color="auto"/>
        <w:bottom w:val="none" w:sz="0" w:space="0" w:color="auto"/>
        <w:right w:val="none" w:sz="0" w:space="0" w:color="auto"/>
      </w:divBdr>
    </w:div>
    <w:div w:id="512842104">
      <w:bodyDiv w:val="1"/>
      <w:marLeft w:val="0"/>
      <w:marRight w:val="0"/>
      <w:marTop w:val="0"/>
      <w:marBottom w:val="0"/>
      <w:divBdr>
        <w:top w:val="none" w:sz="0" w:space="0" w:color="auto"/>
        <w:left w:val="none" w:sz="0" w:space="0" w:color="auto"/>
        <w:bottom w:val="none" w:sz="0" w:space="0" w:color="auto"/>
        <w:right w:val="none" w:sz="0" w:space="0" w:color="auto"/>
      </w:divBdr>
    </w:div>
    <w:div w:id="513031409">
      <w:bodyDiv w:val="1"/>
      <w:marLeft w:val="0"/>
      <w:marRight w:val="0"/>
      <w:marTop w:val="0"/>
      <w:marBottom w:val="0"/>
      <w:divBdr>
        <w:top w:val="none" w:sz="0" w:space="0" w:color="auto"/>
        <w:left w:val="none" w:sz="0" w:space="0" w:color="auto"/>
        <w:bottom w:val="none" w:sz="0" w:space="0" w:color="auto"/>
        <w:right w:val="none" w:sz="0" w:space="0" w:color="auto"/>
      </w:divBdr>
    </w:div>
    <w:div w:id="513149513">
      <w:bodyDiv w:val="1"/>
      <w:marLeft w:val="0"/>
      <w:marRight w:val="0"/>
      <w:marTop w:val="0"/>
      <w:marBottom w:val="0"/>
      <w:divBdr>
        <w:top w:val="none" w:sz="0" w:space="0" w:color="auto"/>
        <w:left w:val="none" w:sz="0" w:space="0" w:color="auto"/>
        <w:bottom w:val="none" w:sz="0" w:space="0" w:color="auto"/>
        <w:right w:val="none" w:sz="0" w:space="0" w:color="auto"/>
      </w:divBdr>
    </w:div>
    <w:div w:id="513223496">
      <w:bodyDiv w:val="1"/>
      <w:marLeft w:val="0"/>
      <w:marRight w:val="0"/>
      <w:marTop w:val="0"/>
      <w:marBottom w:val="0"/>
      <w:divBdr>
        <w:top w:val="none" w:sz="0" w:space="0" w:color="auto"/>
        <w:left w:val="none" w:sz="0" w:space="0" w:color="auto"/>
        <w:bottom w:val="none" w:sz="0" w:space="0" w:color="auto"/>
        <w:right w:val="none" w:sz="0" w:space="0" w:color="auto"/>
      </w:divBdr>
    </w:div>
    <w:div w:id="513568936">
      <w:bodyDiv w:val="1"/>
      <w:marLeft w:val="0"/>
      <w:marRight w:val="0"/>
      <w:marTop w:val="0"/>
      <w:marBottom w:val="0"/>
      <w:divBdr>
        <w:top w:val="none" w:sz="0" w:space="0" w:color="auto"/>
        <w:left w:val="none" w:sz="0" w:space="0" w:color="auto"/>
        <w:bottom w:val="none" w:sz="0" w:space="0" w:color="auto"/>
        <w:right w:val="none" w:sz="0" w:space="0" w:color="auto"/>
      </w:divBdr>
    </w:div>
    <w:div w:id="513616460">
      <w:bodyDiv w:val="1"/>
      <w:marLeft w:val="0"/>
      <w:marRight w:val="0"/>
      <w:marTop w:val="0"/>
      <w:marBottom w:val="0"/>
      <w:divBdr>
        <w:top w:val="none" w:sz="0" w:space="0" w:color="auto"/>
        <w:left w:val="none" w:sz="0" w:space="0" w:color="auto"/>
        <w:bottom w:val="none" w:sz="0" w:space="0" w:color="auto"/>
        <w:right w:val="none" w:sz="0" w:space="0" w:color="auto"/>
      </w:divBdr>
    </w:div>
    <w:div w:id="513686485">
      <w:bodyDiv w:val="1"/>
      <w:marLeft w:val="0"/>
      <w:marRight w:val="0"/>
      <w:marTop w:val="0"/>
      <w:marBottom w:val="0"/>
      <w:divBdr>
        <w:top w:val="none" w:sz="0" w:space="0" w:color="auto"/>
        <w:left w:val="none" w:sz="0" w:space="0" w:color="auto"/>
        <w:bottom w:val="none" w:sz="0" w:space="0" w:color="auto"/>
        <w:right w:val="none" w:sz="0" w:space="0" w:color="auto"/>
      </w:divBdr>
    </w:div>
    <w:div w:id="514072198">
      <w:bodyDiv w:val="1"/>
      <w:marLeft w:val="0"/>
      <w:marRight w:val="0"/>
      <w:marTop w:val="0"/>
      <w:marBottom w:val="0"/>
      <w:divBdr>
        <w:top w:val="none" w:sz="0" w:space="0" w:color="auto"/>
        <w:left w:val="none" w:sz="0" w:space="0" w:color="auto"/>
        <w:bottom w:val="none" w:sz="0" w:space="0" w:color="auto"/>
        <w:right w:val="none" w:sz="0" w:space="0" w:color="auto"/>
      </w:divBdr>
    </w:div>
    <w:div w:id="514222967">
      <w:bodyDiv w:val="1"/>
      <w:marLeft w:val="0"/>
      <w:marRight w:val="0"/>
      <w:marTop w:val="0"/>
      <w:marBottom w:val="0"/>
      <w:divBdr>
        <w:top w:val="none" w:sz="0" w:space="0" w:color="auto"/>
        <w:left w:val="none" w:sz="0" w:space="0" w:color="auto"/>
        <w:bottom w:val="none" w:sz="0" w:space="0" w:color="auto"/>
        <w:right w:val="none" w:sz="0" w:space="0" w:color="auto"/>
      </w:divBdr>
    </w:div>
    <w:div w:id="514422958">
      <w:bodyDiv w:val="1"/>
      <w:marLeft w:val="0"/>
      <w:marRight w:val="0"/>
      <w:marTop w:val="0"/>
      <w:marBottom w:val="0"/>
      <w:divBdr>
        <w:top w:val="none" w:sz="0" w:space="0" w:color="auto"/>
        <w:left w:val="none" w:sz="0" w:space="0" w:color="auto"/>
        <w:bottom w:val="none" w:sz="0" w:space="0" w:color="auto"/>
        <w:right w:val="none" w:sz="0" w:space="0" w:color="auto"/>
      </w:divBdr>
    </w:div>
    <w:div w:id="514534192">
      <w:bodyDiv w:val="1"/>
      <w:marLeft w:val="0"/>
      <w:marRight w:val="0"/>
      <w:marTop w:val="0"/>
      <w:marBottom w:val="0"/>
      <w:divBdr>
        <w:top w:val="none" w:sz="0" w:space="0" w:color="auto"/>
        <w:left w:val="none" w:sz="0" w:space="0" w:color="auto"/>
        <w:bottom w:val="none" w:sz="0" w:space="0" w:color="auto"/>
        <w:right w:val="none" w:sz="0" w:space="0" w:color="auto"/>
      </w:divBdr>
    </w:div>
    <w:div w:id="514803740">
      <w:bodyDiv w:val="1"/>
      <w:marLeft w:val="0"/>
      <w:marRight w:val="0"/>
      <w:marTop w:val="0"/>
      <w:marBottom w:val="0"/>
      <w:divBdr>
        <w:top w:val="none" w:sz="0" w:space="0" w:color="auto"/>
        <w:left w:val="none" w:sz="0" w:space="0" w:color="auto"/>
        <w:bottom w:val="none" w:sz="0" w:space="0" w:color="auto"/>
        <w:right w:val="none" w:sz="0" w:space="0" w:color="auto"/>
      </w:divBdr>
    </w:div>
    <w:div w:id="514925551">
      <w:bodyDiv w:val="1"/>
      <w:marLeft w:val="0"/>
      <w:marRight w:val="0"/>
      <w:marTop w:val="0"/>
      <w:marBottom w:val="0"/>
      <w:divBdr>
        <w:top w:val="none" w:sz="0" w:space="0" w:color="auto"/>
        <w:left w:val="none" w:sz="0" w:space="0" w:color="auto"/>
        <w:bottom w:val="none" w:sz="0" w:space="0" w:color="auto"/>
        <w:right w:val="none" w:sz="0" w:space="0" w:color="auto"/>
      </w:divBdr>
    </w:div>
    <w:div w:id="515075964">
      <w:bodyDiv w:val="1"/>
      <w:marLeft w:val="0"/>
      <w:marRight w:val="0"/>
      <w:marTop w:val="0"/>
      <w:marBottom w:val="0"/>
      <w:divBdr>
        <w:top w:val="none" w:sz="0" w:space="0" w:color="auto"/>
        <w:left w:val="none" w:sz="0" w:space="0" w:color="auto"/>
        <w:bottom w:val="none" w:sz="0" w:space="0" w:color="auto"/>
        <w:right w:val="none" w:sz="0" w:space="0" w:color="auto"/>
      </w:divBdr>
    </w:div>
    <w:div w:id="515457966">
      <w:bodyDiv w:val="1"/>
      <w:marLeft w:val="0"/>
      <w:marRight w:val="0"/>
      <w:marTop w:val="0"/>
      <w:marBottom w:val="0"/>
      <w:divBdr>
        <w:top w:val="none" w:sz="0" w:space="0" w:color="auto"/>
        <w:left w:val="none" w:sz="0" w:space="0" w:color="auto"/>
        <w:bottom w:val="none" w:sz="0" w:space="0" w:color="auto"/>
        <w:right w:val="none" w:sz="0" w:space="0" w:color="auto"/>
      </w:divBdr>
    </w:div>
    <w:div w:id="515466078">
      <w:bodyDiv w:val="1"/>
      <w:marLeft w:val="0"/>
      <w:marRight w:val="0"/>
      <w:marTop w:val="0"/>
      <w:marBottom w:val="0"/>
      <w:divBdr>
        <w:top w:val="none" w:sz="0" w:space="0" w:color="auto"/>
        <w:left w:val="none" w:sz="0" w:space="0" w:color="auto"/>
        <w:bottom w:val="none" w:sz="0" w:space="0" w:color="auto"/>
        <w:right w:val="none" w:sz="0" w:space="0" w:color="auto"/>
      </w:divBdr>
    </w:div>
    <w:div w:id="515733480">
      <w:bodyDiv w:val="1"/>
      <w:marLeft w:val="0"/>
      <w:marRight w:val="0"/>
      <w:marTop w:val="0"/>
      <w:marBottom w:val="0"/>
      <w:divBdr>
        <w:top w:val="none" w:sz="0" w:space="0" w:color="auto"/>
        <w:left w:val="none" w:sz="0" w:space="0" w:color="auto"/>
        <w:bottom w:val="none" w:sz="0" w:space="0" w:color="auto"/>
        <w:right w:val="none" w:sz="0" w:space="0" w:color="auto"/>
      </w:divBdr>
    </w:div>
    <w:div w:id="515774577">
      <w:bodyDiv w:val="1"/>
      <w:marLeft w:val="0"/>
      <w:marRight w:val="0"/>
      <w:marTop w:val="0"/>
      <w:marBottom w:val="0"/>
      <w:divBdr>
        <w:top w:val="none" w:sz="0" w:space="0" w:color="auto"/>
        <w:left w:val="none" w:sz="0" w:space="0" w:color="auto"/>
        <w:bottom w:val="none" w:sz="0" w:space="0" w:color="auto"/>
        <w:right w:val="none" w:sz="0" w:space="0" w:color="auto"/>
      </w:divBdr>
    </w:div>
    <w:div w:id="516120265">
      <w:bodyDiv w:val="1"/>
      <w:marLeft w:val="0"/>
      <w:marRight w:val="0"/>
      <w:marTop w:val="0"/>
      <w:marBottom w:val="0"/>
      <w:divBdr>
        <w:top w:val="none" w:sz="0" w:space="0" w:color="auto"/>
        <w:left w:val="none" w:sz="0" w:space="0" w:color="auto"/>
        <w:bottom w:val="none" w:sz="0" w:space="0" w:color="auto"/>
        <w:right w:val="none" w:sz="0" w:space="0" w:color="auto"/>
      </w:divBdr>
    </w:div>
    <w:div w:id="516120398">
      <w:bodyDiv w:val="1"/>
      <w:marLeft w:val="0"/>
      <w:marRight w:val="0"/>
      <w:marTop w:val="0"/>
      <w:marBottom w:val="0"/>
      <w:divBdr>
        <w:top w:val="none" w:sz="0" w:space="0" w:color="auto"/>
        <w:left w:val="none" w:sz="0" w:space="0" w:color="auto"/>
        <w:bottom w:val="none" w:sz="0" w:space="0" w:color="auto"/>
        <w:right w:val="none" w:sz="0" w:space="0" w:color="auto"/>
      </w:divBdr>
    </w:div>
    <w:div w:id="516161578">
      <w:bodyDiv w:val="1"/>
      <w:marLeft w:val="0"/>
      <w:marRight w:val="0"/>
      <w:marTop w:val="0"/>
      <w:marBottom w:val="0"/>
      <w:divBdr>
        <w:top w:val="none" w:sz="0" w:space="0" w:color="auto"/>
        <w:left w:val="none" w:sz="0" w:space="0" w:color="auto"/>
        <w:bottom w:val="none" w:sz="0" w:space="0" w:color="auto"/>
        <w:right w:val="none" w:sz="0" w:space="0" w:color="auto"/>
      </w:divBdr>
    </w:div>
    <w:div w:id="516310087">
      <w:bodyDiv w:val="1"/>
      <w:marLeft w:val="0"/>
      <w:marRight w:val="0"/>
      <w:marTop w:val="0"/>
      <w:marBottom w:val="0"/>
      <w:divBdr>
        <w:top w:val="none" w:sz="0" w:space="0" w:color="auto"/>
        <w:left w:val="none" w:sz="0" w:space="0" w:color="auto"/>
        <w:bottom w:val="none" w:sz="0" w:space="0" w:color="auto"/>
        <w:right w:val="none" w:sz="0" w:space="0" w:color="auto"/>
      </w:divBdr>
    </w:div>
    <w:div w:id="516504427">
      <w:bodyDiv w:val="1"/>
      <w:marLeft w:val="0"/>
      <w:marRight w:val="0"/>
      <w:marTop w:val="0"/>
      <w:marBottom w:val="0"/>
      <w:divBdr>
        <w:top w:val="none" w:sz="0" w:space="0" w:color="auto"/>
        <w:left w:val="none" w:sz="0" w:space="0" w:color="auto"/>
        <w:bottom w:val="none" w:sz="0" w:space="0" w:color="auto"/>
        <w:right w:val="none" w:sz="0" w:space="0" w:color="auto"/>
      </w:divBdr>
    </w:div>
    <w:div w:id="516582642">
      <w:bodyDiv w:val="1"/>
      <w:marLeft w:val="0"/>
      <w:marRight w:val="0"/>
      <w:marTop w:val="0"/>
      <w:marBottom w:val="0"/>
      <w:divBdr>
        <w:top w:val="none" w:sz="0" w:space="0" w:color="auto"/>
        <w:left w:val="none" w:sz="0" w:space="0" w:color="auto"/>
        <w:bottom w:val="none" w:sz="0" w:space="0" w:color="auto"/>
        <w:right w:val="none" w:sz="0" w:space="0" w:color="auto"/>
      </w:divBdr>
    </w:div>
    <w:div w:id="516651488">
      <w:bodyDiv w:val="1"/>
      <w:marLeft w:val="0"/>
      <w:marRight w:val="0"/>
      <w:marTop w:val="0"/>
      <w:marBottom w:val="0"/>
      <w:divBdr>
        <w:top w:val="none" w:sz="0" w:space="0" w:color="auto"/>
        <w:left w:val="none" w:sz="0" w:space="0" w:color="auto"/>
        <w:bottom w:val="none" w:sz="0" w:space="0" w:color="auto"/>
        <w:right w:val="none" w:sz="0" w:space="0" w:color="auto"/>
      </w:divBdr>
    </w:div>
    <w:div w:id="516818368">
      <w:bodyDiv w:val="1"/>
      <w:marLeft w:val="0"/>
      <w:marRight w:val="0"/>
      <w:marTop w:val="0"/>
      <w:marBottom w:val="0"/>
      <w:divBdr>
        <w:top w:val="none" w:sz="0" w:space="0" w:color="auto"/>
        <w:left w:val="none" w:sz="0" w:space="0" w:color="auto"/>
        <w:bottom w:val="none" w:sz="0" w:space="0" w:color="auto"/>
        <w:right w:val="none" w:sz="0" w:space="0" w:color="auto"/>
      </w:divBdr>
    </w:div>
    <w:div w:id="516890815">
      <w:bodyDiv w:val="1"/>
      <w:marLeft w:val="0"/>
      <w:marRight w:val="0"/>
      <w:marTop w:val="0"/>
      <w:marBottom w:val="0"/>
      <w:divBdr>
        <w:top w:val="none" w:sz="0" w:space="0" w:color="auto"/>
        <w:left w:val="none" w:sz="0" w:space="0" w:color="auto"/>
        <w:bottom w:val="none" w:sz="0" w:space="0" w:color="auto"/>
        <w:right w:val="none" w:sz="0" w:space="0" w:color="auto"/>
      </w:divBdr>
    </w:div>
    <w:div w:id="517159174">
      <w:bodyDiv w:val="1"/>
      <w:marLeft w:val="0"/>
      <w:marRight w:val="0"/>
      <w:marTop w:val="0"/>
      <w:marBottom w:val="0"/>
      <w:divBdr>
        <w:top w:val="none" w:sz="0" w:space="0" w:color="auto"/>
        <w:left w:val="none" w:sz="0" w:space="0" w:color="auto"/>
        <w:bottom w:val="none" w:sz="0" w:space="0" w:color="auto"/>
        <w:right w:val="none" w:sz="0" w:space="0" w:color="auto"/>
      </w:divBdr>
    </w:div>
    <w:div w:id="517282597">
      <w:bodyDiv w:val="1"/>
      <w:marLeft w:val="0"/>
      <w:marRight w:val="0"/>
      <w:marTop w:val="0"/>
      <w:marBottom w:val="0"/>
      <w:divBdr>
        <w:top w:val="none" w:sz="0" w:space="0" w:color="auto"/>
        <w:left w:val="none" w:sz="0" w:space="0" w:color="auto"/>
        <w:bottom w:val="none" w:sz="0" w:space="0" w:color="auto"/>
        <w:right w:val="none" w:sz="0" w:space="0" w:color="auto"/>
      </w:divBdr>
    </w:div>
    <w:div w:id="517473844">
      <w:bodyDiv w:val="1"/>
      <w:marLeft w:val="0"/>
      <w:marRight w:val="0"/>
      <w:marTop w:val="0"/>
      <w:marBottom w:val="0"/>
      <w:divBdr>
        <w:top w:val="none" w:sz="0" w:space="0" w:color="auto"/>
        <w:left w:val="none" w:sz="0" w:space="0" w:color="auto"/>
        <w:bottom w:val="none" w:sz="0" w:space="0" w:color="auto"/>
        <w:right w:val="none" w:sz="0" w:space="0" w:color="auto"/>
      </w:divBdr>
    </w:div>
    <w:div w:id="517474456">
      <w:bodyDiv w:val="1"/>
      <w:marLeft w:val="0"/>
      <w:marRight w:val="0"/>
      <w:marTop w:val="0"/>
      <w:marBottom w:val="0"/>
      <w:divBdr>
        <w:top w:val="none" w:sz="0" w:space="0" w:color="auto"/>
        <w:left w:val="none" w:sz="0" w:space="0" w:color="auto"/>
        <w:bottom w:val="none" w:sz="0" w:space="0" w:color="auto"/>
        <w:right w:val="none" w:sz="0" w:space="0" w:color="auto"/>
      </w:divBdr>
    </w:div>
    <w:div w:id="517617993">
      <w:bodyDiv w:val="1"/>
      <w:marLeft w:val="0"/>
      <w:marRight w:val="0"/>
      <w:marTop w:val="0"/>
      <w:marBottom w:val="0"/>
      <w:divBdr>
        <w:top w:val="none" w:sz="0" w:space="0" w:color="auto"/>
        <w:left w:val="none" w:sz="0" w:space="0" w:color="auto"/>
        <w:bottom w:val="none" w:sz="0" w:space="0" w:color="auto"/>
        <w:right w:val="none" w:sz="0" w:space="0" w:color="auto"/>
      </w:divBdr>
    </w:div>
    <w:div w:id="517810887">
      <w:bodyDiv w:val="1"/>
      <w:marLeft w:val="0"/>
      <w:marRight w:val="0"/>
      <w:marTop w:val="0"/>
      <w:marBottom w:val="0"/>
      <w:divBdr>
        <w:top w:val="none" w:sz="0" w:space="0" w:color="auto"/>
        <w:left w:val="none" w:sz="0" w:space="0" w:color="auto"/>
        <w:bottom w:val="none" w:sz="0" w:space="0" w:color="auto"/>
        <w:right w:val="none" w:sz="0" w:space="0" w:color="auto"/>
      </w:divBdr>
    </w:div>
    <w:div w:id="517812228">
      <w:bodyDiv w:val="1"/>
      <w:marLeft w:val="0"/>
      <w:marRight w:val="0"/>
      <w:marTop w:val="0"/>
      <w:marBottom w:val="0"/>
      <w:divBdr>
        <w:top w:val="none" w:sz="0" w:space="0" w:color="auto"/>
        <w:left w:val="none" w:sz="0" w:space="0" w:color="auto"/>
        <w:bottom w:val="none" w:sz="0" w:space="0" w:color="auto"/>
        <w:right w:val="none" w:sz="0" w:space="0" w:color="auto"/>
      </w:divBdr>
    </w:div>
    <w:div w:id="518005961">
      <w:bodyDiv w:val="1"/>
      <w:marLeft w:val="0"/>
      <w:marRight w:val="0"/>
      <w:marTop w:val="0"/>
      <w:marBottom w:val="0"/>
      <w:divBdr>
        <w:top w:val="none" w:sz="0" w:space="0" w:color="auto"/>
        <w:left w:val="none" w:sz="0" w:space="0" w:color="auto"/>
        <w:bottom w:val="none" w:sz="0" w:space="0" w:color="auto"/>
        <w:right w:val="none" w:sz="0" w:space="0" w:color="auto"/>
      </w:divBdr>
    </w:div>
    <w:div w:id="518010295">
      <w:bodyDiv w:val="1"/>
      <w:marLeft w:val="0"/>
      <w:marRight w:val="0"/>
      <w:marTop w:val="0"/>
      <w:marBottom w:val="0"/>
      <w:divBdr>
        <w:top w:val="none" w:sz="0" w:space="0" w:color="auto"/>
        <w:left w:val="none" w:sz="0" w:space="0" w:color="auto"/>
        <w:bottom w:val="none" w:sz="0" w:space="0" w:color="auto"/>
        <w:right w:val="none" w:sz="0" w:space="0" w:color="auto"/>
      </w:divBdr>
    </w:div>
    <w:div w:id="518159283">
      <w:bodyDiv w:val="1"/>
      <w:marLeft w:val="0"/>
      <w:marRight w:val="0"/>
      <w:marTop w:val="0"/>
      <w:marBottom w:val="0"/>
      <w:divBdr>
        <w:top w:val="none" w:sz="0" w:space="0" w:color="auto"/>
        <w:left w:val="none" w:sz="0" w:space="0" w:color="auto"/>
        <w:bottom w:val="none" w:sz="0" w:space="0" w:color="auto"/>
        <w:right w:val="none" w:sz="0" w:space="0" w:color="auto"/>
      </w:divBdr>
    </w:div>
    <w:div w:id="518273551">
      <w:bodyDiv w:val="1"/>
      <w:marLeft w:val="0"/>
      <w:marRight w:val="0"/>
      <w:marTop w:val="0"/>
      <w:marBottom w:val="0"/>
      <w:divBdr>
        <w:top w:val="none" w:sz="0" w:space="0" w:color="auto"/>
        <w:left w:val="none" w:sz="0" w:space="0" w:color="auto"/>
        <w:bottom w:val="none" w:sz="0" w:space="0" w:color="auto"/>
        <w:right w:val="none" w:sz="0" w:space="0" w:color="auto"/>
      </w:divBdr>
    </w:div>
    <w:div w:id="518465613">
      <w:bodyDiv w:val="1"/>
      <w:marLeft w:val="0"/>
      <w:marRight w:val="0"/>
      <w:marTop w:val="0"/>
      <w:marBottom w:val="0"/>
      <w:divBdr>
        <w:top w:val="none" w:sz="0" w:space="0" w:color="auto"/>
        <w:left w:val="none" w:sz="0" w:space="0" w:color="auto"/>
        <w:bottom w:val="none" w:sz="0" w:space="0" w:color="auto"/>
        <w:right w:val="none" w:sz="0" w:space="0" w:color="auto"/>
      </w:divBdr>
    </w:div>
    <w:div w:id="518467165">
      <w:bodyDiv w:val="1"/>
      <w:marLeft w:val="0"/>
      <w:marRight w:val="0"/>
      <w:marTop w:val="0"/>
      <w:marBottom w:val="0"/>
      <w:divBdr>
        <w:top w:val="none" w:sz="0" w:space="0" w:color="auto"/>
        <w:left w:val="none" w:sz="0" w:space="0" w:color="auto"/>
        <w:bottom w:val="none" w:sz="0" w:space="0" w:color="auto"/>
        <w:right w:val="none" w:sz="0" w:space="0" w:color="auto"/>
      </w:divBdr>
    </w:div>
    <w:div w:id="518475373">
      <w:bodyDiv w:val="1"/>
      <w:marLeft w:val="0"/>
      <w:marRight w:val="0"/>
      <w:marTop w:val="0"/>
      <w:marBottom w:val="0"/>
      <w:divBdr>
        <w:top w:val="none" w:sz="0" w:space="0" w:color="auto"/>
        <w:left w:val="none" w:sz="0" w:space="0" w:color="auto"/>
        <w:bottom w:val="none" w:sz="0" w:space="0" w:color="auto"/>
        <w:right w:val="none" w:sz="0" w:space="0" w:color="auto"/>
      </w:divBdr>
    </w:div>
    <w:div w:id="518936635">
      <w:bodyDiv w:val="1"/>
      <w:marLeft w:val="0"/>
      <w:marRight w:val="0"/>
      <w:marTop w:val="0"/>
      <w:marBottom w:val="0"/>
      <w:divBdr>
        <w:top w:val="none" w:sz="0" w:space="0" w:color="auto"/>
        <w:left w:val="none" w:sz="0" w:space="0" w:color="auto"/>
        <w:bottom w:val="none" w:sz="0" w:space="0" w:color="auto"/>
        <w:right w:val="none" w:sz="0" w:space="0" w:color="auto"/>
      </w:divBdr>
    </w:div>
    <w:div w:id="519129023">
      <w:bodyDiv w:val="1"/>
      <w:marLeft w:val="0"/>
      <w:marRight w:val="0"/>
      <w:marTop w:val="0"/>
      <w:marBottom w:val="0"/>
      <w:divBdr>
        <w:top w:val="none" w:sz="0" w:space="0" w:color="auto"/>
        <w:left w:val="none" w:sz="0" w:space="0" w:color="auto"/>
        <w:bottom w:val="none" w:sz="0" w:space="0" w:color="auto"/>
        <w:right w:val="none" w:sz="0" w:space="0" w:color="auto"/>
      </w:divBdr>
    </w:div>
    <w:div w:id="519248613">
      <w:bodyDiv w:val="1"/>
      <w:marLeft w:val="0"/>
      <w:marRight w:val="0"/>
      <w:marTop w:val="0"/>
      <w:marBottom w:val="0"/>
      <w:divBdr>
        <w:top w:val="none" w:sz="0" w:space="0" w:color="auto"/>
        <w:left w:val="none" w:sz="0" w:space="0" w:color="auto"/>
        <w:bottom w:val="none" w:sz="0" w:space="0" w:color="auto"/>
        <w:right w:val="none" w:sz="0" w:space="0" w:color="auto"/>
      </w:divBdr>
    </w:div>
    <w:div w:id="519322128">
      <w:bodyDiv w:val="1"/>
      <w:marLeft w:val="0"/>
      <w:marRight w:val="0"/>
      <w:marTop w:val="0"/>
      <w:marBottom w:val="0"/>
      <w:divBdr>
        <w:top w:val="none" w:sz="0" w:space="0" w:color="auto"/>
        <w:left w:val="none" w:sz="0" w:space="0" w:color="auto"/>
        <w:bottom w:val="none" w:sz="0" w:space="0" w:color="auto"/>
        <w:right w:val="none" w:sz="0" w:space="0" w:color="auto"/>
      </w:divBdr>
    </w:div>
    <w:div w:id="519467740">
      <w:bodyDiv w:val="1"/>
      <w:marLeft w:val="0"/>
      <w:marRight w:val="0"/>
      <w:marTop w:val="0"/>
      <w:marBottom w:val="0"/>
      <w:divBdr>
        <w:top w:val="none" w:sz="0" w:space="0" w:color="auto"/>
        <w:left w:val="none" w:sz="0" w:space="0" w:color="auto"/>
        <w:bottom w:val="none" w:sz="0" w:space="0" w:color="auto"/>
        <w:right w:val="none" w:sz="0" w:space="0" w:color="auto"/>
      </w:divBdr>
    </w:div>
    <w:div w:id="519513402">
      <w:bodyDiv w:val="1"/>
      <w:marLeft w:val="0"/>
      <w:marRight w:val="0"/>
      <w:marTop w:val="0"/>
      <w:marBottom w:val="0"/>
      <w:divBdr>
        <w:top w:val="none" w:sz="0" w:space="0" w:color="auto"/>
        <w:left w:val="none" w:sz="0" w:space="0" w:color="auto"/>
        <w:bottom w:val="none" w:sz="0" w:space="0" w:color="auto"/>
        <w:right w:val="none" w:sz="0" w:space="0" w:color="auto"/>
      </w:divBdr>
    </w:div>
    <w:div w:id="519667529">
      <w:bodyDiv w:val="1"/>
      <w:marLeft w:val="0"/>
      <w:marRight w:val="0"/>
      <w:marTop w:val="0"/>
      <w:marBottom w:val="0"/>
      <w:divBdr>
        <w:top w:val="none" w:sz="0" w:space="0" w:color="auto"/>
        <w:left w:val="none" w:sz="0" w:space="0" w:color="auto"/>
        <w:bottom w:val="none" w:sz="0" w:space="0" w:color="auto"/>
        <w:right w:val="none" w:sz="0" w:space="0" w:color="auto"/>
      </w:divBdr>
    </w:div>
    <w:div w:id="519784713">
      <w:bodyDiv w:val="1"/>
      <w:marLeft w:val="0"/>
      <w:marRight w:val="0"/>
      <w:marTop w:val="0"/>
      <w:marBottom w:val="0"/>
      <w:divBdr>
        <w:top w:val="none" w:sz="0" w:space="0" w:color="auto"/>
        <w:left w:val="none" w:sz="0" w:space="0" w:color="auto"/>
        <w:bottom w:val="none" w:sz="0" w:space="0" w:color="auto"/>
        <w:right w:val="none" w:sz="0" w:space="0" w:color="auto"/>
      </w:divBdr>
    </w:div>
    <w:div w:id="520052626">
      <w:bodyDiv w:val="1"/>
      <w:marLeft w:val="0"/>
      <w:marRight w:val="0"/>
      <w:marTop w:val="0"/>
      <w:marBottom w:val="0"/>
      <w:divBdr>
        <w:top w:val="none" w:sz="0" w:space="0" w:color="auto"/>
        <w:left w:val="none" w:sz="0" w:space="0" w:color="auto"/>
        <w:bottom w:val="none" w:sz="0" w:space="0" w:color="auto"/>
        <w:right w:val="none" w:sz="0" w:space="0" w:color="auto"/>
      </w:divBdr>
    </w:div>
    <w:div w:id="520095759">
      <w:bodyDiv w:val="1"/>
      <w:marLeft w:val="0"/>
      <w:marRight w:val="0"/>
      <w:marTop w:val="0"/>
      <w:marBottom w:val="0"/>
      <w:divBdr>
        <w:top w:val="none" w:sz="0" w:space="0" w:color="auto"/>
        <w:left w:val="none" w:sz="0" w:space="0" w:color="auto"/>
        <w:bottom w:val="none" w:sz="0" w:space="0" w:color="auto"/>
        <w:right w:val="none" w:sz="0" w:space="0" w:color="auto"/>
      </w:divBdr>
    </w:div>
    <w:div w:id="520120900">
      <w:bodyDiv w:val="1"/>
      <w:marLeft w:val="0"/>
      <w:marRight w:val="0"/>
      <w:marTop w:val="0"/>
      <w:marBottom w:val="0"/>
      <w:divBdr>
        <w:top w:val="none" w:sz="0" w:space="0" w:color="auto"/>
        <w:left w:val="none" w:sz="0" w:space="0" w:color="auto"/>
        <w:bottom w:val="none" w:sz="0" w:space="0" w:color="auto"/>
        <w:right w:val="none" w:sz="0" w:space="0" w:color="auto"/>
      </w:divBdr>
    </w:div>
    <w:div w:id="520123113">
      <w:bodyDiv w:val="1"/>
      <w:marLeft w:val="0"/>
      <w:marRight w:val="0"/>
      <w:marTop w:val="0"/>
      <w:marBottom w:val="0"/>
      <w:divBdr>
        <w:top w:val="none" w:sz="0" w:space="0" w:color="auto"/>
        <w:left w:val="none" w:sz="0" w:space="0" w:color="auto"/>
        <w:bottom w:val="none" w:sz="0" w:space="0" w:color="auto"/>
        <w:right w:val="none" w:sz="0" w:space="0" w:color="auto"/>
      </w:divBdr>
    </w:div>
    <w:div w:id="520124941">
      <w:bodyDiv w:val="1"/>
      <w:marLeft w:val="0"/>
      <w:marRight w:val="0"/>
      <w:marTop w:val="0"/>
      <w:marBottom w:val="0"/>
      <w:divBdr>
        <w:top w:val="none" w:sz="0" w:space="0" w:color="auto"/>
        <w:left w:val="none" w:sz="0" w:space="0" w:color="auto"/>
        <w:bottom w:val="none" w:sz="0" w:space="0" w:color="auto"/>
        <w:right w:val="none" w:sz="0" w:space="0" w:color="auto"/>
      </w:divBdr>
    </w:div>
    <w:div w:id="520819998">
      <w:bodyDiv w:val="1"/>
      <w:marLeft w:val="0"/>
      <w:marRight w:val="0"/>
      <w:marTop w:val="0"/>
      <w:marBottom w:val="0"/>
      <w:divBdr>
        <w:top w:val="none" w:sz="0" w:space="0" w:color="auto"/>
        <w:left w:val="none" w:sz="0" w:space="0" w:color="auto"/>
        <w:bottom w:val="none" w:sz="0" w:space="0" w:color="auto"/>
        <w:right w:val="none" w:sz="0" w:space="0" w:color="auto"/>
      </w:divBdr>
    </w:div>
    <w:div w:id="520897947">
      <w:bodyDiv w:val="1"/>
      <w:marLeft w:val="0"/>
      <w:marRight w:val="0"/>
      <w:marTop w:val="0"/>
      <w:marBottom w:val="0"/>
      <w:divBdr>
        <w:top w:val="none" w:sz="0" w:space="0" w:color="auto"/>
        <w:left w:val="none" w:sz="0" w:space="0" w:color="auto"/>
        <w:bottom w:val="none" w:sz="0" w:space="0" w:color="auto"/>
        <w:right w:val="none" w:sz="0" w:space="0" w:color="auto"/>
      </w:divBdr>
    </w:div>
    <w:div w:id="521092096">
      <w:bodyDiv w:val="1"/>
      <w:marLeft w:val="0"/>
      <w:marRight w:val="0"/>
      <w:marTop w:val="0"/>
      <w:marBottom w:val="0"/>
      <w:divBdr>
        <w:top w:val="none" w:sz="0" w:space="0" w:color="auto"/>
        <w:left w:val="none" w:sz="0" w:space="0" w:color="auto"/>
        <w:bottom w:val="none" w:sz="0" w:space="0" w:color="auto"/>
        <w:right w:val="none" w:sz="0" w:space="0" w:color="auto"/>
      </w:divBdr>
    </w:div>
    <w:div w:id="521167980">
      <w:bodyDiv w:val="1"/>
      <w:marLeft w:val="0"/>
      <w:marRight w:val="0"/>
      <w:marTop w:val="0"/>
      <w:marBottom w:val="0"/>
      <w:divBdr>
        <w:top w:val="none" w:sz="0" w:space="0" w:color="auto"/>
        <w:left w:val="none" w:sz="0" w:space="0" w:color="auto"/>
        <w:bottom w:val="none" w:sz="0" w:space="0" w:color="auto"/>
        <w:right w:val="none" w:sz="0" w:space="0" w:color="auto"/>
      </w:divBdr>
    </w:div>
    <w:div w:id="521171216">
      <w:bodyDiv w:val="1"/>
      <w:marLeft w:val="0"/>
      <w:marRight w:val="0"/>
      <w:marTop w:val="0"/>
      <w:marBottom w:val="0"/>
      <w:divBdr>
        <w:top w:val="none" w:sz="0" w:space="0" w:color="auto"/>
        <w:left w:val="none" w:sz="0" w:space="0" w:color="auto"/>
        <w:bottom w:val="none" w:sz="0" w:space="0" w:color="auto"/>
        <w:right w:val="none" w:sz="0" w:space="0" w:color="auto"/>
      </w:divBdr>
    </w:div>
    <w:div w:id="521211076">
      <w:bodyDiv w:val="1"/>
      <w:marLeft w:val="0"/>
      <w:marRight w:val="0"/>
      <w:marTop w:val="0"/>
      <w:marBottom w:val="0"/>
      <w:divBdr>
        <w:top w:val="none" w:sz="0" w:space="0" w:color="auto"/>
        <w:left w:val="none" w:sz="0" w:space="0" w:color="auto"/>
        <w:bottom w:val="none" w:sz="0" w:space="0" w:color="auto"/>
        <w:right w:val="none" w:sz="0" w:space="0" w:color="auto"/>
      </w:divBdr>
    </w:div>
    <w:div w:id="521282623">
      <w:bodyDiv w:val="1"/>
      <w:marLeft w:val="0"/>
      <w:marRight w:val="0"/>
      <w:marTop w:val="0"/>
      <w:marBottom w:val="0"/>
      <w:divBdr>
        <w:top w:val="none" w:sz="0" w:space="0" w:color="auto"/>
        <w:left w:val="none" w:sz="0" w:space="0" w:color="auto"/>
        <w:bottom w:val="none" w:sz="0" w:space="0" w:color="auto"/>
        <w:right w:val="none" w:sz="0" w:space="0" w:color="auto"/>
      </w:divBdr>
    </w:div>
    <w:div w:id="521433832">
      <w:bodyDiv w:val="1"/>
      <w:marLeft w:val="0"/>
      <w:marRight w:val="0"/>
      <w:marTop w:val="0"/>
      <w:marBottom w:val="0"/>
      <w:divBdr>
        <w:top w:val="none" w:sz="0" w:space="0" w:color="auto"/>
        <w:left w:val="none" w:sz="0" w:space="0" w:color="auto"/>
        <w:bottom w:val="none" w:sz="0" w:space="0" w:color="auto"/>
        <w:right w:val="none" w:sz="0" w:space="0" w:color="auto"/>
      </w:divBdr>
    </w:div>
    <w:div w:id="521633498">
      <w:bodyDiv w:val="1"/>
      <w:marLeft w:val="0"/>
      <w:marRight w:val="0"/>
      <w:marTop w:val="0"/>
      <w:marBottom w:val="0"/>
      <w:divBdr>
        <w:top w:val="none" w:sz="0" w:space="0" w:color="auto"/>
        <w:left w:val="none" w:sz="0" w:space="0" w:color="auto"/>
        <w:bottom w:val="none" w:sz="0" w:space="0" w:color="auto"/>
        <w:right w:val="none" w:sz="0" w:space="0" w:color="auto"/>
      </w:divBdr>
    </w:div>
    <w:div w:id="521824509">
      <w:bodyDiv w:val="1"/>
      <w:marLeft w:val="0"/>
      <w:marRight w:val="0"/>
      <w:marTop w:val="0"/>
      <w:marBottom w:val="0"/>
      <w:divBdr>
        <w:top w:val="none" w:sz="0" w:space="0" w:color="auto"/>
        <w:left w:val="none" w:sz="0" w:space="0" w:color="auto"/>
        <w:bottom w:val="none" w:sz="0" w:space="0" w:color="auto"/>
        <w:right w:val="none" w:sz="0" w:space="0" w:color="auto"/>
      </w:divBdr>
    </w:div>
    <w:div w:id="522549084">
      <w:bodyDiv w:val="1"/>
      <w:marLeft w:val="0"/>
      <w:marRight w:val="0"/>
      <w:marTop w:val="0"/>
      <w:marBottom w:val="0"/>
      <w:divBdr>
        <w:top w:val="none" w:sz="0" w:space="0" w:color="auto"/>
        <w:left w:val="none" w:sz="0" w:space="0" w:color="auto"/>
        <w:bottom w:val="none" w:sz="0" w:space="0" w:color="auto"/>
        <w:right w:val="none" w:sz="0" w:space="0" w:color="auto"/>
      </w:divBdr>
    </w:div>
    <w:div w:id="522594203">
      <w:bodyDiv w:val="1"/>
      <w:marLeft w:val="0"/>
      <w:marRight w:val="0"/>
      <w:marTop w:val="0"/>
      <w:marBottom w:val="0"/>
      <w:divBdr>
        <w:top w:val="none" w:sz="0" w:space="0" w:color="auto"/>
        <w:left w:val="none" w:sz="0" w:space="0" w:color="auto"/>
        <w:bottom w:val="none" w:sz="0" w:space="0" w:color="auto"/>
        <w:right w:val="none" w:sz="0" w:space="0" w:color="auto"/>
      </w:divBdr>
    </w:div>
    <w:div w:id="522938111">
      <w:bodyDiv w:val="1"/>
      <w:marLeft w:val="0"/>
      <w:marRight w:val="0"/>
      <w:marTop w:val="0"/>
      <w:marBottom w:val="0"/>
      <w:divBdr>
        <w:top w:val="none" w:sz="0" w:space="0" w:color="auto"/>
        <w:left w:val="none" w:sz="0" w:space="0" w:color="auto"/>
        <w:bottom w:val="none" w:sz="0" w:space="0" w:color="auto"/>
        <w:right w:val="none" w:sz="0" w:space="0" w:color="auto"/>
      </w:divBdr>
    </w:div>
    <w:div w:id="522938178">
      <w:bodyDiv w:val="1"/>
      <w:marLeft w:val="0"/>
      <w:marRight w:val="0"/>
      <w:marTop w:val="0"/>
      <w:marBottom w:val="0"/>
      <w:divBdr>
        <w:top w:val="none" w:sz="0" w:space="0" w:color="auto"/>
        <w:left w:val="none" w:sz="0" w:space="0" w:color="auto"/>
        <w:bottom w:val="none" w:sz="0" w:space="0" w:color="auto"/>
        <w:right w:val="none" w:sz="0" w:space="0" w:color="auto"/>
      </w:divBdr>
    </w:div>
    <w:div w:id="522983865">
      <w:bodyDiv w:val="1"/>
      <w:marLeft w:val="0"/>
      <w:marRight w:val="0"/>
      <w:marTop w:val="0"/>
      <w:marBottom w:val="0"/>
      <w:divBdr>
        <w:top w:val="none" w:sz="0" w:space="0" w:color="auto"/>
        <w:left w:val="none" w:sz="0" w:space="0" w:color="auto"/>
        <w:bottom w:val="none" w:sz="0" w:space="0" w:color="auto"/>
        <w:right w:val="none" w:sz="0" w:space="0" w:color="auto"/>
      </w:divBdr>
    </w:div>
    <w:div w:id="522984894">
      <w:bodyDiv w:val="1"/>
      <w:marLeft w:val="0"/>
      <w:marRight w:val="0"/>
      <w:marTop w:val="0"/>
      <w:marBottom w:val="0"/>
      <w:divBdr>
        <w:top w:val="none" w:sz="0" w:space="0" w:color="auto"/>
        <w:left w:val="none" w:sz="0" w:space="0" w:color="auto"/>
        <w:bottom w:val="none" w:sz="0" w:space="0" w:color="auto"/>
        <w:right w:val="none" w:sz="0" w:space="0" w:color="auto"/>
      </w:divBdr>
    </w:div>
    <w:div w:id="523133717">
      <w:bodyDiv w:val="1"/>
      <w:marLeft w:val="0"/>
      <w:marRight w:val="0"/>
      <w:marTop w:val="0"/>
      <w:marBottom w:val="0"/>
      <w:divBdr>
        <w:top w:val="none" w:sz="0" w:space="0" w:color="auto"/>
        <w:left w:val="none" w:sz="0" w:space="0" w:color="auto"/>
        <w:bottom w:val="none" w:sz="0" w:space="0" w:color="auto"/>
        <w:right w:val="none" w:sz="0" w:space="0" w:color="auto"/>
      </w:divBdr>
    </w:div>
    <w:div w:id="523137399">
      <w:bodyDiv w:val="1"/>
      <w:marLeft w:val="0"/>
      <w:marRight w:val="0"/>
      <w:marTop w:val="0"/>
      <w:marBottom w:val="0"/>
      <w:divBdr>
        <w:top w:val="none" w:sz="0" w:space="0" w:color="auto"/>
        <w:left w:val="none" w:sz="0" w:space="0" w:color="auto"/>
        <w:bottom w:val="none" w:sz="0" w:space="0" w:color="auto"/>
        <w:right w:val="none" w:sz="0" w:space="0" w:color="auto"/>
      </w:divBdr>
    </w:div>
    <w:div w:id="523178705">
      <w:bodyDiv w:val="1"/>
      <w:marLeft w:val="0"/>
      <w:marRight w:val="0"/>
      <w:marTop w:val="0"/>
      <w:marBottom w:val="0"/>
      <w:divBdr>
        <w:top w:val="none" w:sz="0" w:space="0" w:color="auto"/>
        <w:left w:val="none" w:sz="0" w:space="0" w:color="auto"/>
        <w:bottom w:val="none" w:sz="0" w:space="0" w:color="auto"/>
        <w:right w:val="none" w:sz="0" w:space="0" w:color="auto"/>
      </w:divBdr>
    </w:div>
    <w:div w:id="523322489">
      <w:bodyDiv w:val="1"/>
      <w:marLeft w:val="0"/>
      <w:marRight w:val="0"/>
      <w:marTop w:val="0"/>
      <w:marBottom w:val="0"/>
      <w:divBdr>
        <w:top w:val="none" w:sz="0" w:space="0" w:color="auto"/>
        <w:left w:val="none" w:sz="0" w:space="0" w:color="auto"/>
        <w:bottom w:val="none" w:sz="0" w:space="0" w:color="auto"/>
        <w:right w:val="none" w:sz="0" w:space="0" w:color="auto"/>
      </w:divBdr>
    </w:div>
    <w:div w:id="523595964">
      <w:bodyDiv w:val="1"/>
      <w:marLeft w:val="0"/>
      <w:marRight w:val="0"/>
      <w:marTop w:val="0"/>
      <w:marBottom w:val="0"/>
      <w:divBdr>
        <w:top w:val="none" w:sz="0" w:space="0" w:color="auto"/>
        <w:left w:val="none" w:sz="0" w:space="0" w:color="auto"/>
        <w:bottom w:val="none" w:sz="0" w:space="0" w:color="auto"/>
        <w:right w:val="none" w:sz="0" w:space="0" w:color="auto"/>
      </w:divBdr>
    </w:div>
    <w:div w:id="523598510">
      <w:bodyDiv w:val="1"/>
      <w:marLeft w:val="0"/>
      <w:marRight w:val="0"/>
      <w:marTop w:val="0"/>
      <w:marBottom w:val="0"/>
      <w:divBdr>
        <w:top w:val="none" w:sz="0" w:space="0" w:color="auto"/>
        <w:left w:val="none" w:sz="0" w:space="0" w:color="auto"/>
        <w:bottom w:val="none" w:sz="0" w:space="0" w:color="auto"/>
        <w:right w:val="none" w:sz="0" w:space="0" w:color="auto"/>
      </w:divBdr>
    </w:div>
    <w:div w:id="523599046">
      <w:bodyDiv w:val="1"/>
      <w:marLeft w:val="0"/>
      <w:marRight w:val="0"/>
      <w:marTop w:val="0"/>
      <w:marBottom w:val="0"/>
      <w:divBdr>
        <w:top w:val="none" w:sz="0" w:space="0" w:color="auto"/>
        <w:left w:val="none" w:sz="0" w:space="0" w:color="auto"/>
        <w:bottom w:val="none" w:sz="0" w:space="0" w:color="auto"/>
        <w:right w:val="none" w:sz="0" w:space="0" w:color="auto"/>
      </w:divBdr>
    </w:div>
    <w:div w:id="523635739">
      <w:bodyDiv w:val="1"/>
      <w:marLeft w:val="0"/>
      <w:marRight w:val="0"/>
      <w:marTop w:val="0"/>
      <w:marBottom w:val="0"/>
      <w:divBdr>
        <w:top w:val="none" w:sz="0" w:space="0" w:color="auto"/>
        <w:left w:val="none" w:sz="0" w:space="0" w:color="auto"/>
        <w:bottom w:val="none" w:sz="0" w:space="0" w:color="auto"/>
        <w:right w:val="none" w:sz="0" w:space="0" w:color="auto"/>
      </w:divBdr>
    </w:div>
    <w:div w:id="523834427">
      <w:bodyDiv w:val="1"/>
      <w:marLeft w:val="0"/>
      <w:marRight w:val="0"/>
      <w:marTop w:val="0"/>
      <w:marBottom w:val="0"/>
      <w:divBdr>
        <w:top w:val="none" w:sz="0" w:space="0" w:color="auto"/>
        <w:left w:val="none" w:sz="0" w:space="0" w:color="auto"/>
        <w:bottom w:val="none" w:sz="0" w:space="0" w:color="auto"/>
        <w:right w:val="none" w:sz="0" w:space="0" w:color="auto"/>
      </w:divBdr>
    </w:div>
    <w:div w:id="523983922">
      <w:bodyDiv w:val="1"/>
      <w:marLeft w:val="0"/>
      <w:marRight w:val="0"/>
      <w:marTop w:val="0"/>
      <w:marBottom w:val="0"/>
      <w:divBdr>
        <w:top w:val="none" w:sz="0" w:space="0" w:color="auto"/>
        <w:left w:val="none" w:sz="0" w:space="0" w:color="auto"/>
        <w:bottom w:val="none" w:sz="0" w:space="0" w:color="auto"/>
        <w:right w:val="none" w:sz="0" w:space="0" w:color="auto"/>
      </w:divBdr>
    </w:div>
    <w:div w:id="524245657">
      <w:bodyDiv w:val="1"/>
      <w:marLeft w:val="0"/>
      <w:marRight w:val="0"/>
      <w:marTop w:val="0"/>
      <w:marBottom w:val="0"/>
      <w:divBdr>
        <w:top w:val="none" w:sz="0" w:space="0" w:color="auto"/>
        <w:left w:val="none" w:sz="0" w:space="0" w:color="auto"/>
        <w:bottom w:val="none" w:sz="0" w:space="0" w:color="auto"/>
        <w:right w:val="none" w:sz="0" w:space="0" w:color="auto"/>
      </w:divBdr>
    </w:div>
    <w:div w:id="524251383">
      <w:bodyDiv w:val="1"/>
      <w:marLeft w:val="0"/>
      <w:marRight w:val="0"/>
      <w:marTop w:val="0"/>
      <w:marBottom w:val="0"/>
      <w:divBdr>
        <w:top w:val="none" w:sz="0" w:space="0" w:color="auto"/>
        <w:left w:val="none" w:sz="0" w:space="0" w:color="auto"/>
        <w:bottom w:val="none" w:sz="0" w:space="0" w:color="auto"/>
        <w:right w:val="none" w:sz="0" w:space="0" w:color="auto"/>
      </w:divBdr>
    </w:div>
    <w:div w:id="524709437">
      <w:bodyDiv w:val="1"/>
      <w:marLeft w:val="0"/>
      <w:marRight w:val="0"/>
      <w:marTop w:val="0"/>
      <w:marBottom w:val="0"/>
      <w:divBdr>
        <w:top w:val="none" w:sz="0" w:space="0" w:color="auto"/>
        <w:left w:val="none" w:sz="0" w:space="0" w:color="auto"/>
        <w:bottom w:val="none" w:sz="0" w:space="0" w:color="auto"/>
        <w:right w:val="none" w:sz="0" w:space="0" w:color="auto"/>
      </w:divBdr>
    </w:div>
    <w:div w:id="525024748">
      <w:bodyDiv w:val="1"/>
      <w:marLeft w:val="0"/>
      <w:marRight w:val="0"/>
      <w:marTop w:val="0"/>
      <w:marBottom w:val="0"/>
      <w:divBdr>
        <w:top w:val="none" w:sz="0" w:space="0" w:color="auto"/>
        <w:left w:val="none" w:sz="0" w:space="0" w:color="auto"/>
        <w:bottom w:val="none" w:sz="0" w:space="0" w:color="auto"/>
        <w:right w:val="none" w:sz="0" w:space="0" w:color="auto"/>
      </w:divBdr>
    </w:div>
    <w:div w:id="525142347">
      <w:bodyDiv w:val="1"/>
      <w:marLeft w:val="0"/>
      <w:marRight w:val="0"/>
      <w:marTop w:val="0"/>
      <w:marBottom w:val="0"/>
      <w:divBdr>
        <w:top w:val="none" w:sz="0" w:space="0" w:color="auto"/>
        <w:left w:val="none" w:sz="0" w:space="0" w:color="auto"/>
        <w:bottom w:val="none" w:sz="0" w:space="0" w:color="auto"/>
        <w:right w:val="none" w:sz="0" w:space="0" w:color="auto"/>
      </w:divBdr>
    </w:div>
    <w:div w:id="525339225">
      <w:bodyDiv w:val="1"/>
      <w:marLeft w:val="0"/>
      <w:marRight w:val="0"/>
      <w:marTop w:val="0"/>
      <w:marBottom w:val="0"/>
      <w:divBdr>
        <w:top w:val="none" w:sz="0" w:space="0" w:color="auto"/>
        <w:left w:val="none" w:sz="0" w:space="0" w:color="auto"/>
        <w:bottom w:val="none" w:sz="0" w:space="0" w:color="auto"/>
        <w:right w:val="none" w:sz="0" w:space="0" w:color="auto"/>
      </w:divBdr>
    </w:div>
    <w:div w:id="525365957">
      <w:bodyDiv w:val="1"/>
      <w:marLeft w:val="0"/>
      <w:marRight w:val="0"/>
      <w:marTop w:val="0"/>
      <w:marBottom w:val="0"/>
      <w:divBdr>
        <w:top w:val="none" w:sz="0" w:space="0" w:color="auto"/>
        <w:left w:val="none" w:sz="0" w:space="0" w:color="auto"/>
        <w:bottom w:val="none" w:sz="0" w:space="0" w:color="auto"/>
        <w:right w:val="none" w:sz="0" w:space="0" w:color="auto"/>
      </w:divBdr>
    </w:div>
    <w:div w:id="525368044">
      <w:bodyDiv w:val="1"/>
      <w:marLeft w:val="0"/>
      <w:marRight w:val="0"/>
      <w:marTop w:val="0"/>
      <w:marBottom w:val="0"/>
      <w:divBdr>
        <w:top w:val="none" w:sz="0" w:space="0" w:color="auto"/>
        <w:left w:val="none" w:sz="0" w:space="0" w:color="auto"/>
        <w:bottom w:val="none" w:sz="0" w:space="0" w:color="auto"/>
        <w:right w:val="none" w:sz="0" w:space="0" w:color="auto"/>
      </w:divBdr>
    </w:div>
    <w:div w:id="525406075">
      <w:bodyDiv w:val="1"/>
      <w:marLeft w:val="0"/>
      <w:marRight w:val="0"/>
      <w:marTop w:val="0"/>
      <w:marBottom w:val="0"/>
      <w:divBdr>
        <w:top w:val="none" w:sz="0" w:space="0" w:color="auto"/>
        <w:left w:val="none" w:sz="0" w:space="0" w:color="auto"/>
        <w:bottom w:val="none" w:sz="0" w:space="0" w:color="auto"/>
        <w:right w:val="none" w:sz="0" w:space="0" w:color="auto"/>
      </w:divBdr>
    </w:div>
    <w:div w:id="525409458">
      <w:bodyDiv w:val="1"/>
      <w:marLeft w:val="0"/>
      <w:marRight w:val="0"/>
      <w:marTop w:val="0"/>
      <w:marBottom w:val="0"/>
      <w:divBdr>
        <w:top w:val="none" w:sz="0" w:space="0" w:color="auto"/>
        <w:left w:val="none" w:sz="0" w:space="0" w:color="auto"/>
        <w:bottom w:val="none" w:sz="0" w:space="0" w:color="auto"/>
        <w:right w:val="none" w:sz="0" w:space="0" w:color="auto"/>
      </w:divBdr>
    </w:div>
    <w:div w:id="525480535">
      <w:bodyDiv w:val="1"/>
      <w:marLeft w:val="0"/>
      <w:marRight w:val="0"/>
      <w:marTop w:val="0"/>
      <w:marBottom w:val="0"/>
      <w:divBdr>
        <w:top w:val="none" w:sz="0" w:space="0" w:color="auto"/>
        <w:left w:val="none" w:sz="0" w:space="0" w:color="auto"/>
        <w:bottom w:val="none" w:sz="0" w:space="0" w:color="auto"/>
        <w:right w:val="none" w:sz="0" w:space="0" w:color="auto"/>
      </w:divBdr>
    </w:div>
    <w:div w:id="525483061">
      <w:bodyDiv w:val="1"/>
      <w:marLeft w:val="0"/>
      <w:marRight w:val="0"/>
      <w:marTop w:val="0"/>
      <w:marBottom w:val="0"/>
      <w:divBdr>
        <w:top w:val="none" w:sz="0" w:space="0" w:color="auto"/>
        <w:left w:val="none" w:sz="0" w:space="0" w:color="auto"/>
        <w:bottom w:val="none" w:sz="0" w:space="0" w:color="auto"/>
        <w:right w:val="none" w:sz="0" w:space="0" w:color="auto"/>
      </w:divBdr>
    </w:div>
    <w:div w:id="525557390">
      <w:bodyDiv w:val="1"/>
      <w:marLeft w:val="0"/>
      <w:marRight w:val="0"/>
      <w:marTop w:val="0"/>
      <w:marBottom w:val="0"/>
      <w:divBdr>
        <w:top w:val="none" w:sz="0" w:space="0" w:color="auto"/>
        <w:left w:val="none" w:sz="0" w:space="0" w:color="auto"/>
        <w:bottom w:val="none" w:sz="0" w:space="0" w:color="auto"/>
        <w:right w:val="none" w:sz="0" w:space="0" w:color="auto"/>
      </w:divBdr>
    </w:div>
    <w:div w:id="525599385">
      <w:bodyDiv w:val="1"/>
      <w:marLeft w:val="0"/>
      <w:marRight w:val="0"/>
      <w:marTop w:val="0"/>
      <w:marBottom w:val="0"/>
      <w:divBdr>
        <w:top w:val="none" w:sz="0" w:space="0" w:color="auto"/>
        <w:left w:val="none" w:sz="0" w:space="0" w:color="auto"/>
        <w:bottom w:val="none" w:sz="0" w:space="0" w:color="auto"/>
        <w:right w:val="none" w:sz="0" w:space="0" w:color="auto"/>
      </w:divBdr>
    </w:div>
    <w:div w:id="525682495">
      <w:bodyDiv w:val="1"/>
      <w:marLeft w:val="0"/>
      <w:marRight w:val="0"/>
      <w:marTop w:val="0"/>
      <w:marBottom w:val="0"/>
      <w:divBdr>
        <w:top w:val="none" w:sz="0" w:space="0" w:color="auto"/>
        <w:left w:val="none" w:sz="0" w:space="0" w:color="auto"/>
        <w:bottom w:val="none" w:sz="0" w:space="0" w:color="auto"/>
        <w:right w:val="none" w:sz="0" w:space="0" w:color="auto"/>
      </w:divBdr>
    </w:div>
    <w:div w:id="525872825">
      <w:bodyDiv w:val="1"/>
      <w:marLeft w:val="0"/>
      <w:marRight w:val="0"/>
      <w:marTop w:val="0"/>
      <w:marBottom w:val="0"/>
      <w:divBdr>
        <w:top w:val="none" w:sz="0" w:space="0" w:color="auto"/>
        <w:left w:val="none" w:sz="0" w:space="0" w:color="auto"/>
        <w:bottom w:val="none" w:sz="0" w:space="0" w:color="auto"/>
        <w:right w:val="none" w:sz="0" w:space="0" w:color="auto"/>
      </w:divBdr>
    </w:div>
    <w:div w:id="525874966">
      <w:bodyDiv w:val="1"/>
      <w:marLeft w:val="0"/>
      <w:marRight w:val="0"/>
      <w:marTop w:val="0"/>
      <w:marBottom w:val="0"/>
      <w:divBdr>
        <w:top w:val="none" w:sz="0" w:space="0" w:color="auto"/>
        <w:left w:val="none" w:sz="0" w:space="0" w:color="auto"/>
        <w:bottom w:val="none" w:sz="0" w:space="0" w:color="auto"/>
        <w:right w:val="none" w:sz="0" w:space="0" w:color="auto"/>
      </w:divBdr>
    </w:div>
    <w:div w:id="525947464">
      <w:bodyDiv w:val="1"/>
      <w:marLeft w:val="0"/>
      <w:marRight w:val="0"/>
      <w:marTop w:val="0"/>
      <w:marBottom w:val="0"/>
      <w:divBdr>
        <w:top w:val="none" w:sz="0" w:space="0" w:color="auto"/>
        <w:left w:val="none" w:sz="0" w:space="0" w:color="auto"/>
        <w:bottom w:val="none" w:sz="0" w:space="0" w:color="auto"/>
        <w:right w:val="none" w:sz="0" w:space="0" w:color="auto"/>
      </w:divBdr>
    </w:div>
    <w:div w:id="525948280">
      <w:bodyDiv w:val="1"/>
      <w:marLeft w:val="0"/>
      <w:marRight w:val="0"/>
      <w:marTop w:val="0"/>
      <w:marBottom w:val="0"/>
      <w:divBdr>
        <w:top w:val="none" w:sz="0" w:space="0" w:color="auto"/>
        <w:left w:val="none" w:sz="0" w:space="0" w:color="auto"/>
        <w:bottom w:val="none" w:sz="0" w:space="0" w:color="auto"/>
        <w:right w:val="none" w:sz="0" w:space="0" w:color="auto"/>
      </w:divBdr>
    </w:div>
    <w:div w:id="525949081">
      <w:bodyDiv w:val="1"/>
      <w:marLeft w:val="0"/>
      <w:marRight w:val="0"/>
      <w:marTop w:val="0"/>
      <w:marBottom w:val="0"/>
      <w:divBdr>
        <w:top w:val="none" w:sz="0" w:space="0" w:color="auto"/>
        <w:left w:val="none" w:sz="0" w:space="0" w:color="auto"/>
        <w:bottom w:val="none" w:sz="0" w:space="0" w:color="auto"/>
        <w:right w:val="none" w:sz="0" w:space="0" w:color="auto"/>
      </w:divBdr>
    </w:div>
    <w:div w:id="526017820">
      <w:bodyDiv w:val="1"/>
      <w:marLeft w:val="0"/>
      <w:marRight w:val="0"/>
      <w:marTop w:val="0"/>
      <w:marBottom w:val="0"/>
      <w:divBdr>
        <w:top w:val="none" w:sz="0" w:space="0" w:color="auto"/>
        <w:left w:val="none" w:sz="0" w:space="0" w:color="auto"/>
        <w:bottom w:val="none" w:sz="0" w:space="0" w:color="auto"/>
        <w:right w:val="none" w:sz="0" w:space="0" w:color="auto"/>
      </w:divBdr>
    </w:div>
    <w:div w:id="526061285">
      <w:bodyDiv w:val="1"/>
      <w:marLeft w:val="0"/>
      <w:marRight w:val="0"/>
      <w:marTop w:val="0"/>
      <w:marBottom w:val="0"/>
      <w:divBdr>
        <w:top w:val="none" w:sz="0" w:space="0" w:color="auto"/>
        <w:left w:val="none" w:sz="0" w:space="0" w:color="auto"/>
        <w:bottom w:val="none" w:sz="0" w:space="0" w:color="auto"/>
        <w:right w:val="none" w:sz="0" w:space="0" w:color="auto"/>
      </w:divBdr>
    </w:div>
    <w:div w:id="526140521">
      <w:bodyDiv w:val="1"/>
      <w:marLeft w:val="0"/>
      <w:marRight w:val="0"/>
      <w:marTop w:val="0"/>
      <w:marBottom w:val="0"/>
      <w:divBdr>
        <w:top w:val="none" w:sz="0" w:space="0" w:color="auto"/>
        <w:left w:val="none" w:sz="0" w:space="0" w:color="auto"/>
        <w:bottom w:val="none" w:sz="0" w:space="0" w:color="auto"/>
        <w:right w:val="none" w:sz="0" w:space="0" w:color="auto"/>
      </w:divBdr>
    </w:div>
    <w:div w:id="526530489">
      <w:bodyDiv w:val="1"/>
      <w:marLeft w:val="0"/>
      <w:marRight w:val="0"/>
      <w:marTop w:val="0"/>
      <w:marBottom w:val="0"/>
      <w:divBdr>
        <w:top w:val="none" w:sz="0" w:space="0" w:color="auto"/>
        <w:left w:val="none" w:sz="0" w:space="0" w:color="auto"/>
        <w:bottom w:val="none" w:sz="0" w:space="0" w:color="auto"/>
        <w:right w:val="none" w:sz="0" w:space="0" w:color="auto"/>
      </w:divBdr>
    </w:div>
    <w:div w:id="526720583">
      <w:bodyDiv w:val="1"/>
      <w:marLeft w:val="0"/>
      <w:marRight w:val="0"/>
      <w:marTop w:val="0"/>
      <w:marBottom w:val="0"/>
      <w:divBdr>
        <w:top w:val="none" w:sz="0" w:space="0" w:color="auto"/>
        <w:left w:val="none" w:sz="0" w:space="0" w:color="auto"/>
        <w:bottom w:val="none" w:sz="0" w:space="0" w:color="auto"/>
        <w:right w:val="none" w:sz="0" w:space="0" w:color="auto"/>
      </w:divBdr>
    </w:div>
    <w:div w:id="526794153">
      <w:bodyDiv w:val="1"/>
      <w:marLeft w:val="0"/>
      <w:marRight w:val="0"/>
      <w:marTop w:val="0"/>
      <w:marBottom w:val="0"/>
      <w:divBdr>
        <w:top w:val="none" w:sz="0" w:space="0" w:color="auto"/>
        <w:left w:val="none" w:sz="0" w:space="0" w:color="auto"/>
        <w:bottom w:val="none" w:sz="0" w:space="0" w:color="auto"/>
        <w:right w:val="none" w:sz="0" w:space="0" w:color="auto"/>
      </w:divBdr>
    </w:div>
    <w:div w:id="526794414">
      <w:bodyDiv w:val="1"/>
      <w:marLeft w:val="0"/>
      <w:marRight w:val="0"/>
      <w:marTop w:val="0"/>
      <w:marBottom w:val="0"/>
      <w:divBdr>
        <w:top w:val="none" w:sz="0" w:space="0" w:color="auto"/>
        <w:left w:val="none" w:sz="0" w:space="0" w:color="auto"/>
        <w:bottom w:val="none" w:sz="0" w:space="0" w:color="auto"/>
        <w:right w:val="none" w:sz="0" w:space="0" w:color="auto"/>
      </w:divBdr>
    </w:div>
    <w:div w:id="526871121">
      <w:bodyDiv w:val="1"/>
      <w:marLeft w:val="0"/>
      <w:marRight w:val="0"/>
      <w:marTop w:val="0"/>
      <w:marBottom w:val="0"/>
      <w:divBdr>
        <w:top w:val="none" w:sz="0" w:space="0" w:color="auto"/>
        <w:left w:val="none" w:sz="0" w:space="0" w:color="auto"/>
        <w:bottom w:val="none" w:sz="0" w:space="0" w:color="auto"/>
        <w:right w:val="none" w:sz="0" w:space="0" w:color="auto"/>
      </w:divBdr>
    </w:div>
    <w:div w:id="527064924">
      <w:bodyDiv w:val="1"/>
      <w:marLeft w:val="0"/>
      <w:marRight w:val="0"/>
      <w:marTop w:val="0"/>
      <w:marBottom w:val="0"/>
      <w:divBdr>
        <w:top w:val="none" w:sz="0" w:space="0" w:color="auto"/>
        <w:left w:val="none" w:sz="0" w:space="0" w:color="auto"/>
        <w:bottom w:val="none" w:sz="0" w:space="0" w:color="auto"/>
        <w:right w:val="none" w:sz="0" w:space="0" w:color="auto"/>
      </w:divBdr>
    </w:div>
    <w:div w:id="527178406">
      <w:bodyDiv w:val="1"/>
      <w:marLeft w:val="0"/>
      <w:marRight w:val="0"/>
      <w:marTop w:val="0"/>
      <w:marBottom w:val="0"/>
      <w:divBdr>
        <w:top w:val="none" w:sz="0" w:space="0" w:color="auto"/>
        <w:left w:val="none" w:sz="0" w:space="0" w:color="auto"/>
        <w:bottom w:val="none" w:sz="0" w:space="0" w:color="auto"/>
        <w:right w:val="none" w:sz="0" w:space="0" w:color="auto"/>
      </w:divBdr>
    </w:div>
    <w:div w:id="527260295">
      <w:bodyDiv w:val="1"/>
      <w:marLeft w:val="0"/>
      <w:marRight w:val="0"/>
      <w:marTop w:val="0"/>
      <w:marBottom w:val="0"/>
      <w:divBdr>
        <w:top w:val="none" w:sz="0" w:space="0" w:color="auto"/>
        <w:left w:val="none" w:sz="0" w:space="0" w:color="auto"/>
        <w:bottom w:val="none" w:sz="0" w:space="0" w:color="auto"/>
        <w:right w:val="none" w:sz="0" w:space="0" w:color="auto"/>
      </w:divBdr>
    </w:div>
    <w:div w:id="527454173">
      <w:bodyDiv w:val="1"/>
      <w:marLeft w:val="0"/>
      <w:marRight w:val="0"/>
      <w:marTop w:val="0"/>
      <w:marBottom w:val="0"/>
      <w:divBdr>
        <w:top w:val="none" w:sz="0" w:space="0" w:color="auto"/>
        <w:left w:val="none" w:sz="0" w:space="0" w:color="auto"/>
        <w:bottom w:val="none" w:sz="0" w:space="0" w:color="auto"/>
        <w:right w:val="none" w:sz="0" w:space="0" w:color="auto"/>
      </w:divBdr>
    </w:div>
    <w:div w:id="527648772">
      <w:bodyDiv w:val="1"/>
      <w:marLeft w:val="0"/>
      <w:marRight w:val="0"/>
      <w:marTop w:val="0"/>
      <w:marBottom w:val="0"/>
      <w:divBdr>
        <w:top w:val="none" w:sz="0" w:space="0" w:color="auto"/>
        <w:left w:val="none" w:sz="0" w:space="0" w:color="auto"/>
        <w:bottom w:val="none" w:sz="0" w:space="0" w:color="auto"/>
        <w:right w:val="none" w:sz="0" w:space="0" w:color="auto"/>
      </w:divBdr>
    </w:div>
    <w:div w:id="527715333">
      <w:bodyDiv w:val="1"/>
      <w:marLeft w:val="0"/>
      <w:marRight w:val="0"/>
      <w:marTop w:val="0"/>
      <w:marBottom w:val="0"/>
      <w:divBdr>
        <w:top w:val="none" w:sz="0" w:space="0" w:color="auto"/>
        <w:left w:val="none" w:sz="0" w:space="0" w:color="auto"/>
        <w:bottom w:val="none" w:sz="0" w:space="0" w:color="auto"/>
        <w:right w:val="none" w:sz="0" w:space="0" w:color="auto"/>
      </w:divBdr>
    </w:div>
    <w:div w:id="528030337">
      <w:bodyDiv w:val="1"/>
      <w:marLeft w:val="0"/>
      <w:marRight w:val="0"/>
      <w:marTop w:val="0"/>
      <w:marBottom w:val="0"/>
      <w:divBdr>
        <w:top w:val="none" w:sz="0" w:space="0" w:color="auto"/>
        <w:left w:val="none" w:sz="0" w:space="0" w:color="auto"/>
        <w:bottom w:val="none" w:sz="0" w:space="0" w:color="auto"/>
        <w:right w:val="none" w:sz="0" w:space="0" w:color="auto"/>
      </w:divBdr>
    </w:div>
    <w:div w:id="528104438">
      <w:bodyDiv w:val="1"/>
      <w:marLeft w:val="0"/>
      <w:marRight w:val="0"/>
      <w:marTop w:val="0"/>
      <w:marBottom w:val="0"/>
      <w:divBdr>
        <w:top w:val="none" w:sz="0" w:space="0" w:color="auto"/>
        <w:left w:val="none" w:sz="0" w:space="0" w:color="auto"/>
        <w:bottom w:val="none" w:sz="0" w:space="0" w:color="auto"/>
        <w:right w:val="none" w:sz="0" w:space="0" w:color="auto"/>
      </w:divBdr>
    </w:div>
    <w:div w:id="528110120">
      <w:bodyDiv w:val="1"/>
      <w:marLeft w:val="0"/>
      <w:marRight w:val="0"/>
      <w:marTop w:val="0"/>
      <w:marBottom w:val="0"/>
      <w:divBdr>
        <w:top w:val="none" w:sz="0" w:space="0" w:color="auto"/>
        <w:left w:val="none" w:sz="0" w:space="0" w:color="auto"/>
        <w:bottom w:val="none" w:sz="0" w:space="0" w:color="auto"/>
        <w:right w:val="none" w:sz="0" w:space="0" w:color="auto"/>
      </w:divBdr>
    </w:div>
    <w:div w:id="528183277">
      <w:bodyDiv w:val="1"/>
      <w:marLeft w:val="0"/>
      <w:marRight w:val="0"/>
      <w:marTop w:val="0"/>
      <w:marBottom w:val="0"/>
      <w:divBdr>
        <w:top w:val="none" w:sz="0" w:space="0" w:color="auto"/>
        <w:left w:val="none" w:sz="0" w:space="0" w:color="auto"/>
        <w:bottom w:val="none" w:sz="0" w:space="0" w:color="auto"/>
        <w:right w:val="none" w:sz="0" w:space="0" w:color="auto"/>
      </w:divBdr>
    </w:div>
    <w:div w:id="528379247">
      <w:bodyDiv w:val="1"/>
      <w:marLeft w:val="0"/>
      <w:marRight w:val="0"/>
      <w:marTop w:val="0"/>
      <w:marBottom w:val="0"/>
      <w:divBdr>
        <w:top w:val="none" w:sz="0" w:space="0" w:color="auto"/>
        <w:left w:val="none" w:sz="0" w:space="0" w:color="auto"/>
        <w:bottom w:val="none" w:sz="0" w:space="0" w:color="auto"/>
        <w:right w:val="none" w:sz="0" w:space="0" w:color="auto"/>
      </w:divBdr>
    </w:div>
    <w:div w:id="528615135">
      <w:bodyDiv w:val="1"/>
      <w:marLeft w:val="0"/>
      <w:marRight w:val="0"/>
      <w:marTop w:val="0"/>
      <w:marBottom w:val="0"/>
      <w:divBdr>
        <w:top w:val="none" w:sz="0" w:space="0" w:color="auto"/>
        <w:left w:val="none" w:sz="0" w:space="0" w:color="auto"/>
        <w:bottom w:val="none" w:sz="0" w:space="0" w:color="auto"/>
        <w:right w:val="none" w:sz="0" w:space="0" w:color="auto"/>
      </w:divBdr>
    </w:div>
    <w:div w:id="528639360">
      <w:bodyDiv w:val="1"/>
      <w:marLeft w:val="0"/>
      <w:marRight w:val="0"/>
      <w:marTop w:val="0"/>
      <w:marBottom w:val="0"/>
      <w:divBdr>
        <w:top w:val="none" w:sz="0" w:space="0" w:color="auto"/>
        <w:left w:val="none" w:sz="0" w:space="0" w:color="auto"/>
        <w:bottom w:val="none" w:sz="0" w:space="0" w:color="auto"/>
        <w:right w:val="none" w:sz="0" w:space="0" w:color="auto"/>
      </w:divBdr>
    </w:div>
    <w:div w:id="528682928">
      <w:bodyDiv w:val="1"/>
      <w:marLeft w:val="0"/>
      <w:marRight w:val="0"/>
      <w:marTop w:val="0"/>
      <w:marBottom w:val="0"/>
      <w:divBdr>
        <w:top w:val="none" w:sz="0" w:space="0" w:color="auto"/>
        <w:left w:val="none" w:sz="0" w:space="0" w:color="auto"/>
        <w:bottom w:val="none" w:sz="0" w:space="0" w:color="auto"/>
        <w:right w:val="none" w:sz="0" w:space="0" w:color="auto"/>
      </w:divBdr>
    </w:div>
    <w:div w:id="528758208">
      <w:bodyDiv w:val="1"/>
      <w:marLeft w:val="0"/>
      <w:marRight w:val="0"/>
      <w:marTop w:val="0"/>
      <w:marBottom w:val="0"/>
      <w:divBdr>
        <w:top w:val="none" w:sz="0" w:space="0" w:color="auto"/>
        <w:left w:val="none" w:sz="0" w:space="0" w:color="auto"/>
        <w:bottom w:val="none" w:sz="0" w:space="0" w:color="auto"/>
        <w:right w:val="none" w:sz="0" w:space="0" w:color="auto"/>
      </w:divBdr>
    </w:div>
    <w:div w:id="529031347">
      <w:bodyDiv w:val="1"/>
      <w:marLeft w:val="0"/>
      <w:marRight w:val="0"/>
      <w:marTop w:val="0"/>
      <w:marBottom w:val="0"/>
      <w:divBdr>
        <w:top w:val="none" w:sz="0" w:space="0" w:color="auto"/>
        <w:left w:val="none" w:sz="0" w:space="0" w:color="auto"/>
        <w:bottom w:val="none" w:sz="0" w:space="0" w:color="auto"/>
        <w:right w:val="none" w:sz="0" w:space="0" w:color="auto"/>
      </w:divBdr>
    </w:div>
    <w:div w:id="529076589">
      <w:bodyDiv w:val="1"/>
      <w:marLeft w:val="0"/>
      <w:marRight w:val="0"/>
      <w:marTop w:val="0"/>
      <w:marBottom w:val="0"/>
      <w:divBdr>
        <w:top w:val="none" w:sz="0" w:space="0" w:color="auto"/>
        <w:left w:val="none" w:sz="0" w:space="0" w:color="auto"/>
        <w:bottom w:val="none" w:sz="0" w:space="0" w:color="auto"/>
        <w:right w:val="none" w:sz="0" w:space="0" w:color="auto"/>
      </w:divBdr>
    </w:div>
    <w:div w:id="529295998">
      <w:bodyDiv w:val="1"/>
      <w:marLeft w:val="0"/>
      <w:marRight w:val="0"/>
      <w:marTop w:val="0"/>
      <w:marBottom w:val="0"/>
      <w:divBdr>
        <w:top w:val="none" w:sz="0" w:space="0" w:color="auto"/>
        <w:left w:val="none" w:sz="0" w:space="0" w:color="auto"/>
        <w:bottom w:val="none" w:sz="0" w:space="0" w:color="auto"/>
        <w:right w:val="none" w:sz="0" w:space="0" w:color="auto"/>
      </w:divBdr>
    </w:div>
    <w:div w:id="529338064">
      <w:bodyDiv w:val="1"/>
      <w:marLeft w:val="0"/>
      <w:marRight w:val="0"/>
      <w:marTop w:val="0"/>
      <w:marBottom w:val="0"/>
      <w:divBdr>
        <w:top w:val="none" w:sz="0" w:space="0" w:color="auto"/>
        <w:left w:val="none" w:sz="0" w:space="0" w:color="auto"/>
        <w:bottom w:val="none" w:sz="0" w:space="0" w:color="auto"/>
        <w:right w:val="none" w:sz="0" w:space="0" w:color="auto"/>
      </w:divBdr>
    </w:div>
    <w:div w:id="529613443">
      <w:bodyDiv w:val="1"/>
      <w:marLeft w:val="0"/>
      <w:marRight w:val="0"/>
      <w:marTop w:val="0"/>
      <w:marBottom w:val="0"/>
      <w:divBdr>
        <w:top w:val="none" w:sz="0" w:space="0" w:color="auto"/>
        <w:left w:val="none" w:sz="0" w:space="0" w:color="auto"/>
        <w:bottom w:val="none" w:sz="0" w:space="0" w:color="auto"/>
        <w:right w:val="none" w:sz="0" w:space="0" w:color="auto"/>
      </w:divBdr>
    </w:div>
    <w:div w:id="529877355">
      <w:bodyDiv w:val="1"/>
      <w:marLeft w:val="0"/>
      <w:marRight w:val="0"/>
      <w:marTop w:val="0"/>
      <w:marBottom w:val="0"/>
      <w:divBdr>
        <w:top w:val="none" w:sz="0" w:space="0" w:color="auto"/>
        <w:left w:val="none" w:sz="0" w:space="0" w:color="auto"/>
        <w:bottom w:val="none" w:sz="0" w:space="0" w:color="auto"/>
        <w:right w:val="none" w:sz="0" w:space="0" w:color="auto"/>
      </w:divBdr>
    </w:div>
    <w:div w:id="530067759">
      <w:bodyDiv w:val="1"/>
      <w:marLeft w:val="0"/>
      <w:marRight w:val="0"/>
      <w:marTop w:val="0"/>
      <w:marBottom w:val="0"/>
      <w:divBdr>
        <w:top w:val="none" w:sz="0" w:space="0" w:color="auto"/>
        <w:left w:val="none" w:sz="0" w:space="0" w:color="auto"/>
        <w:bottom w:val="none" w:sz="0" w:space="0" w:color="auto"/>
        <w:right w:val="none" w:sz="0" w:space="0" w:color="auto"/>
      </w:divBdr>
    </w:div>
    <w:div w:id="530072409">
      <w:bodyDiv w:val="1"/>
      <w:marLeft w:val="0"/>
      <w:marRight w:val="0"/>
      <w:marTop w:val="0"/>
      <w:marBottom w:val="0"/>
      <w:divBdr>
        <w:top w:val="none" w:sz="0" w:space="0" w:color="auto"/>
        <w:left w:val="none" w:sz="0" w:space="0" w:color="auto"/>
        <w:bottom w:val="none" w:sz="0" w:space="0" w:color="auto"/>
        <w:right w:val="none" w:sz="0" w:space="0" w:color="auto"/>
      </w:divBdr>
    </w:div>
    <w:div w:id="530188613">
      <w:bodyDiv w:val="1"/>
      <w:marLeft w:val="0"/>
      <w:marRight w:val="0"/>
      <w:marTop w:val="0"/>
      <w:marBottom w:val="0"/>
      <w:divBdr>
        <w:top w:val="none" w:sz="0" w:space="0" w:color="auto"/>
        <w:left w:val="none" w:sz="0" w:space="0" w:color="auto"/>
        <w:bottom w:val="none" w:sz="0" w:space="0" w:color="auto"/>
        <w:right w:val="none" w:sz="0" w:space="0" w:color="auto"/>
      </w:divBdr>
    </w:div>
    <w:div w:id="530188862">
      <w:bodyDiv w:val="1"/>
      <w:marLeft w:val="0"/>
      <w:marRight w:val="0"/>
      <w:marTop w:val="0"/>
      <w:marBottom w:val="0"/>
      <w:divBdr>
        <w:top w:val="none" w:sz="0" w:space="0" w:color="auto"/>
        <w:left w:val="none" w:sz="0" w:space="0" w:color="auto"/>
        <w:bottom w:val="none" w:sz="0" w:space="0" w:color="auto"/>
        <w:right w:val="none" w:sz="0" w:space="0" w:color="auto"/>
      </w:divBdr>
    </w:div>
    <w:div w:id="530384339">
      <w:bodyDiv w:val="1"/>
      <w:marLeft w:val="0"/>
      <w:marRight w:val="0"/>
      <w:marTop w:val="0"/>
      <w:marBottom w:val="0"/>
      <w:divBdr>
        <w:top w:val="none" w:sz="0" w:space="0" w:color="auto"/>
        <w:left w:val="none" w:sz="0" w:space="0" w:color="auto"/>
        <w:bottom w:val="none" w:sz="0" w:space="0" w:color="auto"/>
        <w:right w:val="none" w:sz="0" w:space="0" w:color="auto"/>
      </w:divBdr>
    </w:div>
    <w:div w:id="530412274">
      <w:bodyDiv w:val="1"/>
      <w:marLeft w:val="0"/>
      <w:marRight w:val="0"/>
      <w:marTop w:val="0"/>
      <w:marBottom w:val="0"/>
      <w:divBdr>
        <w:top w:val="none" w:sz="0" w:space="0" w:color="auto"/>
        <w:left w:val="none" w:sz="0" w:space="0" w:color="auto"/>
        <w:bottom w:val="none" w:sz="0" w:space="0" w:color="auto"/>
        <w:right w:val="none" w:sz="0" w:space="0" w:color="auto"/>
      </w:divBdr>
    </w:div>
    <w:div w:id="530461381">
      <w:bodyDiv w:val="1"/>
      <w:marLeft w:val="0"/>
      <w:marRight w:val="0"/>
      <w:marTop w:val="0"/>
      <w:marBottom w:val="0"/>
      <w:divBdr>
        <w:top w:val="none" w:sz="0" w:space="0" w:color="auto"/>
        <w:left w:val="none" w:sz="0" w:space="0" w:color="auto"/>
        <w:bottom w:val="none" w:sz="0" w:space="0" w:color="auto"/>
        <w:right w:val="none" w:sz="0" w:space="0" w:color="auto"/>
      </w:divBdr>
    </w:div>
    <w:div w:id="530650805">
      <w:bodyDiv w:val="1"/>
      <w:marLeft w:val="0"/>
      <w:marRight w:val="0"/>
      <w:marTop w:val="0"/>
      <w:marBottom w:val="0"/>
      <w:divBdr>
        <w:top w:val="none" w:sz="0" w:space="0" w:color="auto"/>
        <w:left w:val="none" w:sz="0" w:space="0" w:color="auto"/>
        <w:bottom w:val="none" w:sz="0" w:space="0" w:color="auto"/>
        <w:right w:val="none" w:sz="0" w:space="0" w:color="auto"/>
      </w:divBdr>
    </w:div>
    <w:div w:id="530654474">
      <w:bodyDiv w:val="1"/>
      <w:marLeft w:val="0"/>
      <w:marRight w:val="0"/>
      <w:marTop w:val="0"/>
      <w:marBottom w:val="0"/>
      <w:divBdr>
        <w:top w:val="none" w:sz="0" w:space="0" w:color="auto"/>
        <w:left w:val="none" w:sz="0" w:space="0" w:color="auto"/>
        <w:bottom w:val="none" w:sz="0" w:space="0" w:color="auto"/>
        <w:right w:val="none" w:sz="0" w:space="0" w:color="auto"/>
      </w:divBdr>
    </w:div>
    <w:div w:id="530998712">
      <w:bodyDiv w:val="1"/>
      <w:marLeft w:val="0"/>
      <w:marRight w:val="0"/>
      <w:marTop w:val="0"/>
      <w:marBottom w:val="0"/>
      <w:divBdr>
        <w:top w:val="none" w:sz="0" w:space="0" w:color="auto"/>
        <w:left w:val="none" w:sz="0" w:space="0" w:color="auto"/>
        <w:bottom w:val="none" w:sz="0" w:space="0" w:color="auto"/>
        <w:right w:val="none" w:sz="0" w:space="0" w:color="auto"/>
      </w:divBdr>
    </w:div>
    <w:div w:id="531188923">
      <w:bodyDiv w:val="1"/>
      <w:marLeft w:val="0"/>
      <w:marRight w:val="0"/>
      <w:marTop w:val="0"/>
      <w:marBottom w:val="0"/>
      <w:divBdr>
        <w:top w:val="none" w:sz="0" w:space="0" w:color="auto"/>
        <w:left w:val="none" w:sz="0" w:space="0" w:color="auto"/>
        <w:bottom w:val="none" w:sz="0" w:space="0" w:color="auto"/>
        <w:right w:val="none" w:sz="0" w:space="0" w:color="auto"/>
      </w:divBdr>
    </w:div>
    <w:div w:id="531263889">
      <w:bodyDiv w:val="1"/>
      <w:marLeft w:val="0"/>
      <w:marRight w:val="0"/>
      <w:marTop w:val="0"/>
      <w:marBottom w:val="0"/>
      <w:divBdr>
        <w:top w:val="none" w:sz="0" w:space="0" w:color="auto"/>
        <w:left w:val="none" w:sz="0" w:space="0" w:color="auto"/>
        <w:bottom w:val="none" w:sz="0" w:space="0" w:color="auto"/>
        <w:right w:val="none" w:sz="0" w:space="0" w:color="auto"/>
      </w:divBdr>
    </w:div>
    <w:div w:id="531459123">
      <w:bodyDiv w:val="1"/>
      <w:marLeft w:val="0"/>
      <w:marRight w:val="0"/>
      <w:marTop w:val="0"/>
      <w:marBottom w:val="0"/>
      <w:divBdr>
        <w:top w:val="none" w:sz="0" w:space="0" w:color="auto"/>
        <w:left w:val="none" w:sz="0" w:space="0" w:color="auto"/>
        <w:bottom w:val="none" w:sz="0" w:space="0" w:color="auto"/>
        <w:right w:val="none" w:sz="0" w:space="0" w:color="auto"/>
      </w:divBdr>
    </w:div>
    <w:div w:id="531460300">
      <w:bodyDiv w:val="1"/>
      <w:marLeft w:val="0"/>
      <w:marRight w:val="0"/>
      <w:marTop w:val="0"/>
      <w:marBottom w:val="0"/>
      <w:divBdr>
        <w:top w:val="none" w:sz="0" w:space="0" w:color="auto"/>
        <w:left w:val="none" w:sz="0" w:space="0" w:color="auto"/>
        <w:bottom w:val="none" w:sz="0" w:space="0" w:color="auto"/>
        <w:right w:val="none" w:sz="0" w:space="0" w:color="auto"/>
      </w:divBdr>
    </w:div>
    <w:div w:id="531571724">
      <w:bodyDiv w:val="1"/>
      <w:marLeft w:val="0"/>
      <w:marRight w:val="0"/>
      <w:marTop w:val="0"/>
      <w:marBottom w:val="0"/>
      <w:divBdr>
        <w:top w:val="none" w:sz="0" w:space="0" w:color="auto"/>
        <w:left w:val="none" w:sz="0" w:space="0" w:color="auto"/>
        <w:bottom w:val="none" w:sz="0" w:space="0" w:color="auto"/>
        <w:right w:val="none" w:sz="0" w:space="0" w:color="auto"/>
      </w:divBdr>
    </w:div>
    <w:div w:id="531766039">
      <w:bodyDiv w:val="1"/>
      <w:marLeft w:val="0"/>
      <w:marRight w:val="0"/>
      <w:marTop w:val="0"/>
      <w:marBottom w:val="0"/>
      <w:divBdr>
        <w:top w:val="none" w:sz="0" w:space="0" w:color="auto"/>
        <w:left w:val="none" w:sz="0" w:space="0" w:color="auto"/>
        <w:bottom w:val="none" w:sz="0" w:space="0" w:color="auto"/>
        <w:right w:val="none" w:sz="0" w:space="0" w:color="auto"/>
      </w:divBdr>
    </w:div>
    <w:div w:id="531848834">
      <w:bodyDiv w:val="1"/>
      <w:marLeft w:val="0"/>
      <w:marRight w:val="0"/>
      <w:marTop w:val="0"/>
      <w:marBottom w:val="0"/>
      <w:divBdr>
        <w:top w:val="none" w:sz="0" w:space="0" w:color="auto"/>
        <w:left w:val="none" w:sz="0" w:space="0" w:color="auto"/>
        <w:bottom w:val="none" w:sz="0" w:space="0" w:color="auto"/>
        <w:right w:val="none" w:sz="0" w:space="0" w:color="auto"/>
      </w:divBdr>
    </w:div>
    <w:div w:id="532033651">
      <w:bodyDiv w:val="1"/>
      <w:marLeft w:val="0"/>
      <w:marRight w:val="0"/>
      <w:marTop w:val="0"/>
      <w:marBottom w:val="0"/>
      <w:divBdr>
        <w:top w:val="none" w:sz="0" w:space="0" w:color="auto"/>
        <w:left w:val="none" w:sz="0" w:space="0" w:color="auto"/>
        <w:bottom w:val="none" w:sz="0" w:space="0" w:color="auto"/>
        <w:right w:val="none" w:sz="0" w:space="0" w:color="auto"/>
      </w:divBdr>
    </w:div>
    <w:div w:id="532035904">
      <w:bodyDiv w:val="1"/>
      <w:marLeft w:val="0"/>
      <w:marRight w:val="0"/>
      <w:marTop w:val="0"/>
      <w:marBottom w:val="0"/>
      <w:divBdr>
        <w:top w:val="none" w:sz="0" w:space="0" w:color="auto"/>
        <w:left w:val="none" w:sz="0" w:space="0" w:color="auto"/>
        <w:bottom w:val="none" w:sz="0" w:space="0" w:color="auto"/>
        <w:right w:val="none" w:sz="0" w:space="0" w:color="auto"/>
      </w:divBdr>
    </w:div>
    <w:div w:id="532039946">
      <w:bodyDiv w:val="1"/>
      <w:marLeft w:val="0"/>
      <w:marRight w:val="0"/>
      <w:marTop w:val="0"/>
      <w:marBottom w:val="0"/>
      <w:divBdr>
        <w:top w:val="none" w:sz="0" w:space="0" w:color="auto"/>
        <w:left w:val="none" w:sz="0" w:space="0" w:color="auto"/>
        <w:bottom w:val="none" w:sz="0" w:space="0" w:color="auto"/>
        <w:right w:val="none" w:sz="0" w:space="0" w:color="auto"/>
      </w:divBdr>
    </w:div>
    <w:div w:id="532109691">
      <w:bodyDiv w:val="1"/>
      <w:marLeft w:val="0"/>
      <w:marRight w:val="0"/>
      <w:marTop w:val="0"/>
      <w:marBottom w:val="0"/>
      <w:divBdr>
        <w:top w:val="none" w:sz="0" w:space="0" w:color="auto"/>
        <w:left w:val="none" w:sz="0" w:space="0" w:color="auto"/>
        <w:bottom w:val="none" w:sz="0" w:space="0" w:color="auto"/>
        <w:right w:val="none" w:sz="0" w:space="0" w:color="auto"/>
      </w:divBdr>
    </w:div>
    <w:div w:id="532115588">
      <w:bodyDiv w:val="1"/>
      <w:marLeft w:val="0"/>
      <w:marRight w:val="0"/>
      <w:marTop w:val="0"/>
      <w:marBottom w:val="0"/>
      <w:divBdr>
        <w:top w:val="none" w:sz="0" w:space="0" w:color="auto"/>
        <w:left w:val="none" w:sz="0" w:space="0" w:color="auto"/>
        <w:bottom w:val="none" w:sz="0" w:space="0" w:color="auto"/>
        <w:right w:val="none" w:sz="0" w:space="0" w:color="auto"/>
      </w:divBdr>
    </w:div>
    <w:div w:id="532307511">
      <w:bodyDiv w:val="1"/>
      <w:marLeft w:val="0"/>
      <w:marRight w:val="0"/>
      <w:marTop w:val="0"/>
      <w:marBottom w:val="0"/>
      <w:divBdr>
        <w:top w:val="none" w:sz="0" w:space="0" w:color="auto"/>
        <w:left w:val="none" w:sz="0" w:space="0" w:color="auto"/>
        <w:bottom w:val="none" w:sz="0" w:space="0" w:color="auto"/>
        <w:right w:val="none" w:sz="0" w:space="0" w:color="auto"/>
      </w:divBdr>
    </w:div>
    <w:div w:id="532377926">
      <w:bodyDiv w:val="1"/>
      <w:marLeft w:val="0"/>
      <w:marRight w:val="0"/>
      <w:marTop w:val="0"/>
      <w:marBottom w:val="0"/>
      <w:divBdr>
        <w:top w:val="none" w:sz="0" w:space="0" w:color="auto"/>
        <w:left w:val="none" w:sz="0" w:space="0" w:color="auto"/>
        <w:bottom w:val="none" w:sz="0" w:space="0" w:color="auto"/>
        <w:right w:val="none" w:sz="0" w:space="0" w:color="auto"/>
      </w:divBdr>
    </w:div>
    <w:div w:id="532495579">
      <w:bodyDiv w:val="1"/>
      <w:marLeft w:val="0"/>
      <w:marRight w:val="0"/>
      <w:marTop w:val="0"/>
      <w:marBottom w:val="0"/>
      <w:divBdr>
        <w:top w:val="none" w:sz="0" w:space="0" w:color="auto"/>
        <w:left w:val="none" w:sz="0" w:space="0" w:color="auto"/>
        <w:bottom w:val="none" w:sz="0" w:space="0" w:color="auto"/>
        <w:right w:val="none" w:sz="0" w:space="0" w:color="auto"/>
      </w:divBdr>
    </w:div>
    <w:div w:id="532545577">
      <w:bodyDiv w:val="1"/>
      <w:marLeft w:val="0"/>
      <w:marRight w:val="0"/>
      <w:marTop w:val="0"/>
      <w:marBottom w:val="0"/>
      <w:divBdr>
        <w:top w:val="none" w:sz="0" w:space="0" w:color="auto"/>
        <w:left w:val="none" w:sz="0" w:space="0" w:color="auto"/>
        <w:bottom w:val="none" w:sz="0" w:space="0" w:color="auto"/>
        <w:right w:val="none" w:sz="0" w:space="0" w:color="auto"/>
      </w:divBdr>
    </w:div>
    <w:div w:id="532546012">
      <w:bodyDiv w:val="1"/>
      <w:marLeft w:val="0"/>
      <w:marRight w:val="0"/>
      <w:marTop w:val="0"/>
      <w:marBottom w:val="0"/>
      <w:divBdr>
        <w:top w:val="none" w:sz="0" w:space="0" w:color="auto"/>
        <w:left w:val="none" w:sz="0" w:space="0" w:color="auto"/>
        <w:bottom w:val="none" w:sz="0" w:space="0" w:color="auto"/>
        <w:right w:val="none" w:sz="0" w:space="0" w:color="auto"/>
      </w:divBdr>
    </w:div>
    <w:div w:id="532689505">
      <w:bodyDiv w:val="1"/>
      <w:marLeft w:val="0"/>
      <w:marRight w:val="0"/>
      <w:marTop w:val="0"/>
      <w:marBottom w:val="0"/>
      <w:divBdr>
        <w:top w:val="none" w:sz="0" w:space="0" w:color="auto"/>
        <w:left w:val="none" w:sz="0" w:space="0" w:color="auto"/>
        <w:bottom w:val="none" w:sz="0" w:space="0" w:color="auto"/>
        <w:right w:val="none" w:sz="0" w:space="0" w:color="auto"/>
      </w:divBdr>
    </w:div>
    <w:div w:id="532695006">
      <w:bodyDiv w:val="1"/>
      <w:marLeft w:val="0"/>
      <w:marRight w:val="0"/>
      <w:marTop w:val="0"/>
      <w:marBottom w:val="0"/>
      <w:divBdr>
        <w:top w:val="none" w:sz="0" w:space="0" w:color="auto"/>
        <w:left w:val="none" w:sz="0" w:space="0" w:color="auto"/>
        <w:bottom w:val="none" w:sz="0" w:space="0" w:color="auto"/>
        <w:right w:val="none" w:sz="0" w:space="0" w:color="auto"/>
      </w:divBdr>
    </w:div>
    <w:div w:id="532890535">
      <w:bodyDiv w:val="1"/>
      <w:marLeft w:val="0"/>
      <w:marRight w:val="0"/>
      <w:marTop w:val="0"/>
      <w:marBottom w:val="0"/>
      <w:divBdr>
        <w:top w:val="none" w:sz="0" w:space="0" w:color="auto"/>
        <w:left w:val="none" w:sz="0" w:space="0" w:color="auto"/>
        <w:bottom w:val="none" w:sz="0" w:space="0" w:color="auto"/>
        <w:right w:val="none" w:sz="0" w:space="0" w:color="auto"/>
      </w:divBdr>
    </w:div>
    <w:div w:id="532962529">
      <w:bodyDiv w:val="1"/>
      <w:marLeft w:val="0"/>
      <w:marRight w:val="0"/>
      <w:marTop w:val="0"/>
      <w:marBottom w:val="0"/>
      <w:divBdr>
        <w:top w:val="none" w:sz="0" w:space="0" w:color="auto"/>
        <w:left w:val="none" w:sz="0" w:space="0" w:color="auto"/>
        <w:bottom w:val="none" w:sz="0" w:space="0" w:color="auto"/>
        <w:right w:val="none" w:sz="0" w:space="0" w:color="auto"/>
      </w:divBdr>
    </w:div>
    <w:div w:id="533083460">
      <w:bodyDiv w:val="1"/>
      <w:marLeft w:val="0"/>
      <w:marRight w:val="0"/>
      <w:marTop w:val="0"/>
      <w:marBottom w:val="0"/>
      <w:divBdr>
        <w:top w:val="none" w:sz="0" w:space="0" w:color="auto"/>
        <w:left w:val="none" w:sz="0" w:space="0" w:color="auto"/>
        <w:bottom w:val="none" w:sz="0" w:space="0" w:color="auto"/>
        <w:right w:val="none" w:sz="0" w:space="0" w:color="auto"/>
      </w:divBdr>
    </w:div>
    <w:div w:id="533158114">
      <w:bodyDiv w:val="1"/>
      <w:marLeft w:val="0"/>
      <w:marRight w:val="0"/>
      <w:marTop w:val="0"/>
      <w:marBottom w:val="0"/>
      <w:divBdr>
        <w:top w:val="none" w:sz="0" w:space="0" w:color="auto"/>
        <w:left w:val="none" w:sz="0" w:space="0" w:color="auto"/>
        <w:bottom w:val="none" w:sz="0" w:space="0" w:color="auto"/>
        <w:right w:val="none" w:sz="0" w:space="0" w:color="auto"/>
      </w:divBdr>
    </w:div>
    <w:div w:id="533272306">
      <w:bodyDiv w:val="1"/>
      <w:marLeft w:val="0"/>
      <w:marRight w:val="0"/>
      <w:marTop w:val="0"/>
      <w:marBottom w:val="0"/>
      <w:divBdr>
        <w:top w:val="none" w:sz="0" w:space="0" w:color="auto"/>
        <w:left w:val="none" w:sz="0" w:space="0" w:color="auto"/>
        <w:bottom w:val="none" w:sz="0" w:space="0" w:color="auto"/>
        <w:right w:val="none" w:sz="0" w:space="0" w:color="auto"/>
      </w:divBdr>
    </w:div>
    <w:div w:id="533346835">
      <w:bodyDiv w:val="1"/>
      <w:marLeft w:val="0"/>
      <w:marRight w:val="0"/>
      <w:marTop w:val="0"/>
      <w:marBottom w:val="0"/>
      <w:divBdr>
        <w:top w:val="none" w:sz="0" w:space="0" w:color="auto"/>
        <w:left w:val="none" w:sz="0" w:space="0" w:color="auto"/>
        <w:bottom w:val="none" w:sz="0" w:space="0" w:color="auto"/>
        <w:right w:val="none" w:sz="0" w:space="0" w:color="auto"/>
      </w:divBdr>
    </w:div>
    <w:div w:id="533467789">
      <w:bodyDiv w:val="1"/>
      <w:marLeft w:val="0"/>
      <w:marRight w:val="0"/>
      <w:marTop w:val="0"/>
      <w:marBottom w:val="0"/>
      <w:divBdr>
        <w:top w:val="none" w:sz="0" w:space="0" w:color="auto"/>
        <w:left w:val="none" w:sz="0" w:space="0" w:color="auto"/>
        <w:bottom w:val="none" w:sz="0" w:space="0" w:color="auto"/>
        <w:right w:val="none" w:sz="0" w:space="0" w:color="auto"/>
      </w:divBdr>
    </w:div>
    <w:div w:id="533731508">
      <w:bodyDiv w:val="1"/>
      <w:marLeft w:val="0"/>
      <w:marRight w:val="0"/>
      <w:marTop w:val="0"/>
      <w:marBottom w:val="0"/>
      <w:divBdr>
        <w:top w:val="none" w:sz="0" w:space="0" w:color="auto"/>
        <w:left w:val="none" w:sz="0" w:space="0" w:color="auto"/>
        <w:bottom w:val="none" w:sz="0" w:space="0" w:color="auto"/>
        <w:right w:val="none" w:sz="0" w:space="0" w:color="auto"/>
      </w:divBdr>
    </w:div>
    <w:div w:id="533924661">
      <w:bodyDiv w:val="1"/>
      <w:marLeft w:val="0"/>
      <w:marRight w:val="0"/>
      <w:marTop w:val="0"/>
      <w:marBottom w:val="0"/>
      <w:divBdr>
        <w:top w:val="none" w:sz="0" w:space="0" w:color="auto"/>
        <w:left w:val="none" w:sz="0" w:space="0" w:color="auto"/>
        <w:bottom w:val="none" w:sz="0" w:space="0" w:color="auto"/>
        <w:right w:val="none" w:sz="0" w:space="0" w:color="auto"/>
      </w:divBdr>
    </w:div>
    <w:div w:id="534004297">
      <w:bodyDiv w:val="1"/>
      <w:marLeft w:val="0"/>
      <w:marRight w:val="0"/>
      <w:marTop w:val="0"/>
      <w:marBottom w:val="0"/>
      <w:divBdr>
        <w:top w:val="none" w:sz="0" w:space="0" w:color="auto"/>
        <w:left w:val="none" w:sz="0" w:space="0" w:color="auto"/>
        <w:bottom w:val="none" w:sz="0" w:space="0" w:color="auto"/>
        <w:right w:val="none" w:sz="0" w:space="0" w:color="auto"/>
      </w:divBdr>
    </w:div>
    <w:div w:id="534122287">
      <w:bodyDiv w:val="1"/>
      <w:marLeft w:val="0"/>
      <w:marRight w:val="0"/>
      <w:marTop w:val="0"/>
      <w:marBottom w:val="0"/>
      <w:divBdr>
        <w:top w:val="none" w:sz="0" w:space="0" w:color="auto"/>
        <w:left w:val="none" w:sz="0" w:space="0" w:color="auto"/>
        <w:bottom w:val="none" w:sz="0" w:space="0" w:color="auto"/>
        <w:right w:val="none" w:sz="0" w:space="0" w:color="auto"/>
      </w:divBdr>
    </w:div>
    <w:div w:id="534316204">
      <w:bodyDiv w:val="1"/>
      <w:marLeft w:val="0"/>
      <w:marRight w:val="0"/>
      <w:marTop w:val="0"/>
      <w:marBottom w:val="0"/>
      <w:divBdr>
        <w:top w:val="none" w:sz="0" w:space="0" w:color="auto"/>
        <w:left w:val="none" w:sz="0" w:space="0" w:color="auto"/>
        <w:bottom w:val="none" w:sz="0" w:space="0" w:color="auto"/>
        <w:right w:val="none" w:sz="0" w:space="0" w:color="auto"/>
      </w:divBdr>
    </w:div>
    <w:div w:id="534467454">
      <w:bodyDiv w:val="1"/>
      <w:marLeft w:val="0"/>
      <w:marRight w:val="0"/>
      <w:marTop w:val="0"/>
      <w:marBottom w:val="0"/>
      <w:divBdr>
        <w:top w:val="none" w:sz="0" w:space="0" w:color="auto"/>
        <w:left w:val="none" w:sz="0" w:space="0" w:color="auto"/>
        <w:bottom w:val="none" w:sz="0" w:space="0" w:color="auto"/>
        <w:right w:val="none" w:sz="0" w:space="0" w:color="auto"/>
      </w:divBdr>
    </w:div>
    <w:div w:id="534734121">
      <w:bodyDiv w:val="1"/>
      <w:marLeft w:val="0"/>
      <w:marRight w:val="0"/>
      <w:marTop w:val="0"/>
      <w:marBottom w:val="0"/>
      <w:divBdr>
        <w:top w:val="none" w:sz="0" w:space="0" w:color="auto"/>
        <w:left w:val="none" w:sz="0" w:space="0" w:color="auto"/>
        <w:bottom w:val="none" w:sz="0" w:space="0" w:color="auto"/>
        <w:right w:val="none" w:sz="0" w:space="0" w:color="auto"/>
      </w:divBdr>
    </w:div>
    <w:div w:id="534775299">
      <w:bodyDiv w:val="1"/>
      <w:marLeft w:val="0"/>
      <w:marRight w:val="0"/>
      <w:marTop w:val="0"/>
      <w:marBottom w:val="0"/>
      <w:divBdr>
        <w:top w:val="none" w:sz="0" w:space="0" w:color="auto"/>
        <w:left w:val="none" w:sz="0" w:space="0" w:color="auto"/>
        <w:bottom w:val="none" w:sz="0" w:space="0" w:color="auto"/>
        <w:right w:val="none" w:sz="0" w:space="0" w:color="auto"/>
      </w:divBdr>
    </w:div>
    <w:div w:id="534850214">
      <w:bodyDiv w:val="1"/>
      <w:marLeft w:val="0"/>
      <w:marRight w:val="0"/>
      <w:marTop w:val="0"/>
      <w:marBottom w:val="0"/>
      <w:divBdr>
        <w:top w:val="none" w:sz="0" w:space="0" w:color="auto"/>
        <w:left w:val="none" w:sz="0" w:space="0" w:color="auto"/>
        <w:bottom w:val="none" w:sz="0" w:space="0" w:color="auto"/>
        <w:right w:val="none" w:sz="0" w:space="0" w:color="auto"/>
      </w:divBdr>
    </w:div>
    <w:div w:id="534855956">
      <w:bodyDiv w:val="1"/>
      <w:marLeft w:val="0"/>
      <w:marRight w:val="0"/>
      <w:marTop w:val="0"/>
      <w:marBottom w:val="0"/>
      <w:divBdr>
        <w:top w:val="none" w:sz="0" w:space="0" w:color="auto"/>
        <w:left w:val="none" w:sz="0" w:space="0" w:color="auto"/>
        <w:bottom w:val="none" w:sz="0" w:space="0" w:color="auto"/>
        <w:right w:val="none" w:sz="0" w:space="0" w:color="auto"/>
      </w:divBdr>
    </w:div>
    <w:div w:id="534928665">
      <w:bodyDiv w:val="1"/>
      <w:marLeft w:val="0"/>
      <w:marRight w:val="0"/>
      <w:marTop w:val="0"/>
      <w:marBottom w:val="0"/>
      <w:divBdr>
        <w:top w:val="none" w:sz="0" w:space="0" w:color="auto"/>
        <w:left w:val="none" w:sz="0" w:space="0" w:color="auto"/>
        <w:bottom w:val="none" w:sz="0" w:space="0" w:color="auto"/>
        <w:right w:val="none" w:sz="0" w:space="0" w:color="auto"/>
      </w:divBdr>
    </w:div>
    <w:div w:id="534931791">
      <w:bodyDiv w:val="1"/>
      <w:marLeft w:val="0"/>
      <w:marRight w:val="0"/>
      <w:marTop w:val="0"/>
      <w:marBottom w:val="0"/>
      <w:divBdr>
        <w:top w:val="none" w:sz="0" w:space="0" w:color="auto"/>
        <w:left w:val="none" w:sz="0" w:space="0" w:color="auto"/>
        <w:bottom w:val="none" w:sz="0" w:space="0" w:color="auto"/>
        <w:right w:val="none" w:sz="0" w:space="0" w:color="auto"/>
      </w:divBdr>
    </w:div>
    <w:div w:id="534973062">
      <w:bodyDiv w:val="1"/>
      <w:marLeft w:val="0"/>
      <w:marRight w:val="0"/>
      <w:marTop w:val="0"/>
      <w:marBottom w:val="0"/>
      <w:divBdr>
        <w:top w:val="none" w:sz="0" w:space="0" w:color="auto"/>
        <w:left w:val="none" w:sz="0" w:space="0" w:color="auto"/>
        <w:bottom w:val="none" w:sz="0" w:space="0" w:color="auto"/>
        <w:right w:val="none" w:sz="0" w:space="0" w:color="auto"/>
      </w:divBdr>
    </w:div>
    <w:div w:id="535238101">
      <w:bodyDiv w:val="1"/>
      <w:marLeft w:val="0"/>
      <w:marRight w:val="0"/>
      <w:marTop w:val="0"/>
      <w:marBottom w:val="0"/>
      <w:divBdr>
        <w:top w:val="none" w:sz="0" w:space="0" w:color="auto"/>
        <w:left w:val="none" w:sz="0" w:space="0" w:color="auto"/>
        <w:bottom w:val="none" w:sz="0" w:space="0" w:color="auto"/>
        <w:right w:val="none" w:sz="0" w:space="0" w:color="auto"/>
      </w:divBdr>
    </w:div>
    <w:div w:id="535309651">
      <w:bodyDiv w:val="1"/>
      <w:marLeft w:val="0"/>
      <w:marRight w:val="0"/>
      <w:marTop w:val="0"/>
      <w:marBottom w:val="0"/>
      <w:divBdr>
        <w:top w:val="none" w:sz="0" w:space="0" w:color="auto"/>
        <w:left w:val="none" w:sz="0" w:space="0" w:color="auto"/>
        <w:bottom w:val="none" w:sz="0" w:space="0" w:color="auto"/>
        <w:right w:val="none" w:sz="0" w:space="0" w:color="auto"/>
      </w:divBdr>
    </w:div>
    <w:div w:id="535434003">
      <w:bodyDiv w:val="1"/>
      <w:marLeft w:val="0"/>
      <w:marRight w:val="0"/>
      <w:marTop w:val="0"/>
      <w:marBottom w:val="0"/>
      <w:divBdr>
        <w:top w:val="none" w:sz="0" w:space="0" w:color="auto"/>
        <w:left w:val="none" w:sz="0" w:space="0" w:color="auto"/>
        <w:bottom w:val="none" w:sz="0" w:space="0" w:color="auto"/>
        <w:right w:val="none" w:sz="0" w:space="0" w:color="auto"/>
      </w:divBdr>
    </w:div>
    <w:div w:id="535436270">
      <w:bodyDiv w:val="1"/>
      <w:marLeft w:val="0"/>
      <w:marRight w:val="0"/>
      <w:marTop w:val="0"/>
      <w:marBottom w:val="0"/>
      <w:divBdr>
        <w:top w:val="none" w:sz="0" w:space="0" w:color="auto"/>
        <w:left w:val="none" w:sz="0" w:space="0" w:color="auto"/>
        <w:bottom w:val="none" w:sz="0" w:space="0" w:color="auto"/>
        <w:right w:val="none" w:sz="0" w:space="0" w:color="auto"/>
      </w:divBdr>
    </w:div>
    <w:div w:id="535504641">
      <w:bodyDiv w:val="1"/>
      <w:marLeft w:val="0"/>
      <w:marRight w:val="0"/>
      <w:marTop w:val="0"/>
      <w:marBottom w:val="0"/>
      <w:divBdr>
        <w:top w:val="none" w:sz="0" w:space="0" w:color="auto"/>
        <w:left w:val="none" w:sz="0" w:space="0" w:color="auto"/>
        <w:bottom w:val="none" w:sz="0" w:space="0" w:color="auto"/>
        <w:right w:val="none" w:sz="0" w:space="0" w:color="auto"/>
      </w:divBdr>
    </w:div>
    <w:div w:id="535508916">
      <w:bodyDiv w:val="1"/>
      <w:marLeft w:val="0"/>
      <w:marRight w:val="0"/>
      <w:marTop w:val="0"/>
      <w:marBottom w:val="0"/>
      <w:divBdr>
        <w:top w:val="none" w:sz="0" w:space="0" w:color="auto"/>
        <w:left w:val="none" w:sz="0" w:space="0" w:color="auto"/>
        <w:bottom w:val="none" w:sz="0" w:space="0" w:color="auto"/>
        <w:right w:val="none" w:sz="0" w:space="0" w:color="auto"/>
      </w:divBdr>
    </w:div>
    <w:div w:id="535579556">
      <w:bodyDiv w:val="1"/>
      <w:marLeft w:val="0"/>
      <w:marRight w:val="0"/>
      <w:marTop w:val="0"/>
      <w:marBottom w:val="0"/>
      <w:divBdr>
        <w:top w:val="none" w:sz="0" w:space="0" w:color="auto"/>
        <w:left w:val="none" w:sz="0" w:space="0" w:color="auto"/>
        <w:bottom w:val="none" w:sz="0" w:space="0" w:color="auto"/>
        <w:right w:val="none" w:sz="0" w:space="0" w:color="auto"/>
      </w:divBdr>
    </w:div>
    <w:div w:id="535584413">
      <w:bodyDiv w:val="1"/>
      <w:marLeft w:val="0"/>
      <w:marRight w:val="0"/>
      <w:marTop w:val="0"/>
      <w:marBottom w:val="0"/>
      <w:divBdr>
        <w:top w:val="none" w:sz="0" w:space="0" w:color="auto"/>
        <w:left w:val="none" w:sz="0" w:space="0" w:color="auto"/>
        <w:bottom w:val="none" w:sz="0" w:space="0" w:color="auto"/>
        <w:right w:val="none" w:sz="0" w:space="0" w:color="auto"/>
      </w:divBdr>
    </w:div>
    <w:div w:id="535586529">
      <w:bodyDiv w:val="1"/>
      <w:marLeft w:val="0"/>
      <w:marRight w:val="0"/>
      <w:marTop w:val="0"/>
      <w:marBottom w:val="0"/>
      <w:divBdr>
        <w:top w:val="none" w:sz="0" w:space="0" w:color="auto"/>
        <w:left w:val="none" w:sz="0" w:space="0" w:color="auto"/>
        <w:bottom w:val="none" w:sz="0" w:space="0" w:color="auto"/>
        <w:right w:val="none" w:sz="0" w:space="0" w:color="auto"/>
      </w:divBdr>
    </w:div>
    <w:div w:id="535655225">
      <w:bodyDiv w:val="1"/>
      <w:marLeft w:val="0"/>
      <w:marRight w:val="0"/>
      <w:marTop w:val="0"/>
      <w:marBottom w:val="0"/>
      <w:divBdr>
        <w:top w:val="none" w:sz="0" w:space="0" w:color="auto"/>
        <w:left w:val="none" w:sz="0" w:space="0" w:color="auto"/>
        <w:bottom w:val="none" w:sz="0" w:space="0" w:color="auto"/>
        <w:right w:val="none" w:sz="0" w:space="0" w:color="auto"/>
      </w:divBdr>
    </w:div>
    <w:div w:id="535848043">
      <w:bodyDiv w:val="1"/>
      <w:marLeft w:val="0"/>
      <w:marRight w:val="0"/>
      <w:marTop w:val="0"/>
      <w:marBottom w:val="0"/>
      <w:divBdr>
        <w:top w:val="none" w:sz="0" w:space="0" w:color="auto"/>
        <w:left w:val="none" w:sz="0" w:space="0" w:color="auto"/>
        <w:bottom w:val="none" w:sz="0" w:space="0" w:color="auto"/>
        <w:right w:val="none" w:sz="0" w:space="0" w:color="auto"/>
      </w:divBdr>
    </w:div>
    <w:div w:id="535892067">
      <w:bodyDiv w:val="1"/>
      <w:marLeft w:val="0"/>
      <w:marRight w:val="0"/>
      <w:marTop w:val="0"/>
      <w:marBottom w:val="0"/>
      <w:divBdr>
        <w:top w:val="none" w:sz="0" w:space="0" w:color="auto"/>
        <w:left w:val="none" w:sz="0" w:space="0" w:color="auto"/>
        <w:bottom w:val="none" w:sz="0" w:space="0" w:color="auto"/>
        <w:right w:val="none" w:sz="0" w:space="0" w:color="auto"/>
      </w:divBdr>
    </w:div>
    <w:div w:id="536044880">
      <w:bodyDiv w:val="1"/>
      <w:marLeft w:val="0"/>
      <w:marRight w:val="0"/>
      <w:marTop w:val="0"/>
      <w:marBottom w:val="0"/>
      <w:divBdr>
        <w:top w:val="none" w:sz="0" w:space="0" w:color="auto"/>
        <w:left w:val="none" w:sz="0" w:space="0" w:color="auto"/>
        <w:bottom w:val="none" w:sz="0" w:space="0" w:color="auto"/>
        <w:right w:val="none" w:sz="0" w:space="0" w:color="auto"/>
      </w:divBdr>
    </w:div>
    <w:div w:id="536048927">
      <w:bodyDiv w:val="1"/>
      <w:marLeft w:val="0"/>
      <w:marRight w:val="0"/>
      <w:marTop w:val="0"/>
      <w:marBottom w:val="0"/>
      <w:divBdr>
        <w:top w:val="none" w:sz="0" w:space="0" w:color="auto"/>
        <w:left w:val="none" w:sz="0" w:space="0" w:color="auto"/>
        <w:bottom w:val="none" w:sz="0" w:space="0" w:color="auto"/>
        <w:right w:val="none" w:sz="0" w:space="0" w:color="auto"/>
      </w:divBdr>
    </w:div>
    <w:div w:id="536164156">
      <w:bodyDiv w:val="1"/>
      <w:marLeft w:val="0"/>
      <w:marRight w:val="0"/>
      <w:marTop w:val="0"/>
      <w:marBottom w:val="0"/>
      <w:divBdr>
        <w:top w:val="none" w:sz="0" w:space="0" w:color="auto"/>
        <w:left w:val="none" w:sz="0" w:space="0" w:color="auto"/>
        <w:bottom w:val="none" w:sz="0" w:space="0" w:color="auto"/>
        <w:right w:val="none" w:sz="0" w:space="0" w:color="auto"/>
      </w:divBdr>
    </w:div>
    <w:div w:id="536283548">
      <w:bodyDiv w:val="1"/>
      <w:marLeft w:val="0"/>
      <w:marRight w:val="0"/>
      <w:marTop w:val="0"/>
      <w:marBottom w:val="0"/>
      <w:divBdr>
        <w:top w:val="none" w:sz="0" w:space="0" w:color="auto"/>
        <w:left w:val="none" w:sz="0" w:space="0" w:color="auto"/>
        <w:bottom w:val="none" w:sz="0" w:space="0" w:color="auto"/>
        <w:right w:val="none" w:sz="0" w:space="0" w:color="auto"/>
      </w:divBdr>
    </w:div>
    <w:div w:id="536358260">
      <w:bodyDiv w:val="1"/>
      <w:marLeft w:val="0"/>
      <w:marRight w:val="0"/>
      <w:marTop w:val="0"/>
      <w:marBottom w:val="0"/>
      <w:divBdr>
        <w:top w:val="none" w:sz="0" w:space="0" w:color="auto"/>
        <w:left w:val="none" w:sz="0" w:space="0" w:color="auto"/>
        <w:bottom w:val="none" w:sz="0" w:space="0" w:color="auto"/>
        <w:right w:val="none" w:sz="0" w:space="0" w:color="auto"/>
      </w:divBdr>
    </w:div>
    <w:div w:id="536358436">
      <w:bodyDiv w:val="1"/>
      <w:marLeft w:val="0"/>
      <w:marRight w:val="0"/>
      <w:marTop w:val="0"/>
      <w:marBottom w:val="0"/>
      <w:divBdr>
        <w:top w:val="none" w:sz="0" w:space="0" w:color="auto"/>
        <w:left w:val="none" w:sz="0" w:space="0" w:color="auto"/>
        <w:bottom w:val="none" w:sz="0" w:space="0" w:color="auto"/>
        <w:right w:val="none" w:sz="0" w:space="0" w:color="auto"/>
      </w:divBdr>
    </w:div>
    <w:div w:id="536549928">
      <w:bodyDiv w:val="1"/>
      <w:marLeft w:val="0"/>
      <w:marRight w:val="0"/>
      <w:marTop w:val="0"/>
      <w:marBottom w:val="0"/>
      <w:divBdr>
        <w:top w:val="none" w:sz="0" w:space="0" w:color="auto"/>
        <w:left w:val="none" w:sz="0" w:space="0" w:color="auto"/>
        <w:bottom w:val="none" w:sz="0" w:space="0" w:color="auto"/>
        <w:right w:val="none" w:sz="0" w:space="0" w:color="auto"/>
      </w:divBdr>
    </w:div>
    <w:div w:id="536551768">
      <w:bodyDiv w:val="1"/>
      <w:marLeft w:val="0"/>
      <w:marRight w:val="0"/>
      <w:marTop w:val="0"/>
      <w:marBottom w:val="0"/>
      <w:divBdr>
        <w:top w:val="none" w:sz="0" w:space="0" w:color="auto"/>
        <w:left w:val="none" w:sz="0" w:space="0" w:color="auto"/>
        <w:bottom w:val="none" w:sz="0" w:space="0" w:color="auto"/>
        <w:right w:val="none" w:sz="0" w:space="0" w:color="auto"/>
      </w:divBdr>
    </w:div>
    <w:div w:id="536620375">
      <w:bodyDiv w:val="1"/>
      <w:marLeft w:val="0"/>
      <w:marRight w:val="0"/>
      <w:marTop w:val="0"/>
      <w:marBottom w:val="0"/>
      <w:divBdr>
        <w:top w:val="none" w:sz="0" w:space="0" w:color="auto"/>
        <w:left w:val="none" w:sz="0" w:space="0" w:color="auto"/>
        <w:bottom w:val="none" w:sz="0" w:space="0" w:color="auto"/>
        <w:right w:val="none" w:sz="0" w:space="0" w:color="auto"/>
      </w:divBdr>
    </w:div>
    <w:div w:id="536704822">
      <w:bodyDiv w:val="1"/>
      <w:marLeft w:val="0"/>
      <w:marRight w:val="0"/>
      <w:marTop w:val="0"/>
      <w:marBottom w:val="0"/>
      <w:divBdr>
        <w:top w:val="none" w:sz="0" w:space="0" w:color="auto"/>
        <w:left w:val="none" w:sz="0" w:space="0" w:color="auto"/>
        <w:bottom w:val="none" w:sz="0" w:space="0" w:color="auto"/>
        <w:right w:val="none" w:sz="0" w:space="0" w:color="auto"/>
      </w:divBdr>
    </w:div>
    <w:div w:id="536743169">
      <w:bodyDiv w:val="1"/>
      <w:marLeft w:val="0"/>
      <w:marRight w:val="0"/>
      <w:marTop w:val="0"/>
      <w:marBottom w:val="0"/>
      <w:divBdr>
        <w:top w:val="none" w:sz="0" w:space="0" w:color="auto"/>
        <w:left w:val="none" w:sz="0" w:space="0" w:color="auto"/>
        <w:bottom w:val="none" w:sz="0" w:space="0" w:color="auto"/>
        <w:right w:val="none" w:sz="0" w:space="0" w:color="auto"/>
      </w:divBdr>
    </w:div>
    <w:div w:id="537011612">
      <w:bodyDiv w:val="1"/>
      <w:marLeft w:val="0"/>
      <w:marRight w:val="0"/>
      <w:marTop w:val="0"/>
      <w:marBottom w:val="0"/>
      <w:divBdr>
        <w:top w:val="none" w:sz="0" w:space="0" w:color="auto"/>
        <w:left w:val="none" w:sz="0" w:space="0" w:color="auto"/>
        <w:bottom w:val="none" w:sz="0" w:space="0" w:color="auto"/>
        <w:right w:val="none" w:sz="0" w:space="0" w:color="auto"/>
      </w:divBdr>
    </w:div>
    <w:div w:id="537161558">
      <w:bodyDiv w:val="1"/>
      <w:marLeft w:val="0"/>
      <w:marRight w:val="0"/>
      <w:marTop w:val="0"/>
      <w:marBottom w:val="0"/>
      <w:divBdr>
        <w:top w:val="none" w:sz="0" w:space="0" w:color="auto"/>
        <w:left w:val="none" w:sz="0" w:space="0" w:color="auto"/>
        <w:bottom w:val="none" w:sz="0" w:space="0" w:color="auto"/>
        <w:right w:val="none" w:sz="0" w:space="0" w:color="auto"/>
      </w:divBdr>
    </w:div>
    <w:div w:id="537200745">
      <w:bodyDiv w:val="1"/>
      <w:marLeft w:val="0"/>
      <w:marRight w:val="0"/>
      <w:marTop w:val="0"/>
      <w:marBottom w:val="0"/>
      <w:divBdr>
        <w:top w:val="none" w:sz="0" w:space="0" w:color="auto"/>
        <w:left w:val="none" w:sz="0" w:space="0" w:color="auto"/>
        <w:bottom w:val="none" w:sz="0" w:space="0" w:color="auto"/>
        <w:right w:val="none" w:sz="0" w:space="0" w:color="auto"/>
      </w:divBdr>
    </w:div>
    <w:div w:id="537206866">
      <w:bodyDiv w:val="1"/>
      <w:marLeft w:val="0"/>
      <w:marRight w:val="0"/>
      <w:marTop w:val="0"/>
      <w:marBottom w:val="0"/>
      <w:divBdr>
        <w:top w:val="none" w:sz="0" w:space="0" w:color="auto"/>
        <w:left w:val="none" w:sz="0" w:space="0" w:color="auto"/>
        <w:bottom w:val="none" w:sz="0" w:space="0" w:color="auto"/>
        <w:right w:val="none" w:sz="0" w:space="0" w:color="auto"/>
      </w:divBdr>
    </w:div>
    <w:div w:id="537208624">
      <w:bodyDiv w:val="1"/>
      <w:marLeft w:val="0"/>
      <w:marRight w:val="0"/>
      <w:marTop w:val="0"/>
      <w:marBottom w:val="0"/>
      <w:divBdr>
        <w:top w:val="none" w:sz="0" w:space="0" w:color="auto"/>
        <w:left w:val="none" w:sz="0" w:space="0" w:color="auto"/>
        <w:bottom w:val="none" w:sz="0" w:space="0" w:color="auto"/>
        <w:right w:val="none" w:sz="0" w:space="0" w:color="auto"/>
      </w:divBdr>
    </w:div>
    <w:div w:id="537545027">
      <w:bodyDiv w:val="1"/>
      <w:marLeft w:val="0"/>
      <w:marRight w:val="0"/>
      <w:marTop w:val="0"/>
      <w:marBottom w:val="0"/>
      <w:divBdr>
        <w:top w:val="none" w:sz="0" w:space="0" w:color="auto"/>
        <w:left w:val="none" w:sz="0" w:space="0" w:color="auto"/>
        <w:bottom w:val="none" w:sz="0" w:space="0" w:color="auto"/>
        <w:right w:val="none" w:sz="0" w:space="0" w:color="auto"/>
      </w:divBdr>
    </w:div>
    <w:div w:id="537666183">
      <w:bodyDiv w:val="1"/>
      <w:marLeft w:val="0"/>
      <w:marRight w:val="0"/>
      <w:marTop w:val="0"/>
      <w:marBottom w:val="0"/>
      <w:divBdr>
        <w:top w:val="none" w:sz="0" w:space="0" w:color="auto"/>
        <w:left w:val="none" w:sz="0" w:space="0" w:color="auto"/>
        <w:bottom w:val="none" w:sz="0" w:space="0" w:color="auto"/>
        <w:right w:val="none" w:sz="0" w:space="0" w:color="auto"/>
      </w:divBdr>
    </w:div>
    <w:div w:id="537738189">
      <w:bodyDiv w:val="1"/>
      <w:marLeft w:val="0"/>
      <w:marRight w:val="0"/>
      <w:marTop w:val="0"/>
      <w:marBottom w:val="0"/>
      <w:divBdr>
        <w:top w:val="none" w:sz="0" w:space="0" w:color="auto"/>
        <w:left w:val="none" w:sz="0" w:space="0" w:color="auto"/>
        <w:bottom w:val="none" w:sz="0" w:space="0" w:color="auto"/>
        <w:right w:val="none" w:sz="0" w:space="0" w:color="auto"/>
      </w:divBdr>
    </w:div>
    <w:div w:id="537864638">
      <w:bodyDiv w:val="1"/>
      <w:marLeft w:val="0"/>
      <w:marRight w:val="0"/>
      <w:marTop w:val="0"/>
      <w:marBottom w:val="0"/>
      <w:divBdr>
        <w:top w:val="none" w:sz="0" w:space="0" w:color="auto"/>
        <w:left w:val="none" w:sz="0" w:space="0" w:color="auto"/>
        <w:bottom w:val="none" w:sz="0" w:space="0" w:color="auto"/>
        <w:right w:val="none" w:sz="0" w:space="0" w:color="auto"/>
      </w:divBdr>
    </w:div>
    <w:div w:id="537938266">
      <w:bodyDiv w:val="1"/>
      <w:marLeft w:val="0"/>
      <w:marRight w:val="0"/>
      <w:marTop w:val="0"/>
      <w:marBottom w:val="0"/>
      <w:divBdr>
        <w:top w:val="none" w:sz="0" w:space="0" w:color="auto"/>
        <w:left w:val="none" w:sz="0" w:space="0" w:color="auto"/>
        <w:bottom w:val="none" w:sz="0" w:space="0" w:color="auto"/>
        <w:right w:val="none" w:sz="0" w:space="0" w:color="auto"/>
      </w:divBdr>
    </w:div>
    <w:div w:id="538056758">
      <w:bodyDiv w:val="1"/>
      <w:marLeft w:val="0"/>
      <w:marRight w:val="0"/>
      <w:marTop w:val="0"/>
      <w:marBottom w:val="0"/>
      <w:divBdr>
        <w:top w:val="none" w:sz="0" w:space="0" w:color="auto"/>
        <w:left w:val="none" w:sz="0" w:space="0" w:color="auto"/>
        <w:bottom w:val="none" w:sz="0" w:space="0" w:color="auto"/>
        <w:right w:val="none" w:sz="0" w:space="0" w:color="auto"/>
      </w:divBdr>
    </w:div>
    <w:div w:id="538200274">
      <w:bodyDiv w:val="1"/>
      <w:marLeft w:val="0"/>
      <w:marRight w:val="0"/>
      <w:marTop w:val="0"/>
      <w:marBottom w:val="0"/>
      <w:divBdr>
        <w:top w:val="none" w:sz="0" w:space="0" w:color="auto"/>
        <w:left w:val="none" w:sz="0" w:space="0" w:color="auto"/>
        <w:bottom w:val="none" w:sz="0" w:space="0" w:color="auto"/>
        <w:right w:val="none" w:sz="0" w:space="0" w:color="auto"/>
      </w:divBdr>
    </w:div>
    <w:div w:id="538321131">
      <w:bodyDiv w:val="1"/>
      <w:marLeft w:val="0"/>
      <w:marRight w:val="0"/>
      <w:marTop w:val="0"/>
      <w:marBottom w:val="0"/>
      <w:divBdr>
        <w:top w:val="none" w:sz="0" w:space="0" w:color="auto"/>
        <w:left w:val="none" w:sz="0" w:space="0" w:color="auto"/>
        <w:bottom w:val="none" w:sz="0" w:space="0" w:color="auto"/>
        <w:right w:val="none" w:sz="0" w:space="0" w:color="auto"/>
      </w:divBdr>
    </w:div>
    <w:div w:id="538398916">
      <w:bodyDiv w:val="1"/>
      <w:marLeft w:val="0"/>
      <w:marRight w:val="0"/>
      <w:marTop w:val="0"/>
      <w:marBottom w:val="0"/>
      <w:divBdr>
        <w:top w:val="none" w:sz="0" w:space="0" w:color="auto"/>
        <w:left w:val="none" w:sz="0" w:space="0" w:color="auto"/>
        <w:bottom w:val="none" w:sz="0" w:space="0" w:color="auto"/>
        <w:right w:val="none" w:sz="0" w:space="0" w:color="auto"/>
      </w:divBdr>
    </w:div>
    <w:div w:id="538476310">
      <w:bodyDiv w:val="1"/>
      <w:marLeft w:val="0"/>
      <w:marRight w:val="0"/>
      <w:marTop w:val="0"/>
      <w:marBottom w:val="0"/>
      <w:divBdr>
        <w:top w:val="none" w:sz="0" w:space="0" w:color="auto"/>
        <w:left w:val="none" w:sz="0" w:space="0" w:color="auto"/>
        <w:bottom w:val="none" w:sz="0" w:space="0" w:color="auto"/>
        <w:right w:val="none" w:sz="0" w:space="0" w:color="auto"/>
      </w:divBdr>
    </w:div>
    <w:div w:id="538517367">
      <w:bodyDiv w:val="1"/>
      <w:marLeft w:val="0"/>
      <w:marRight w:val="0"/>
      <w:marTop w:val="0"/>
      <w:marBottom w:val="0"/>
      <w:divBdr>
        <w:top w:val="none" w:sz="0" w:space="0" w:color="auto"/>
        <w:left w:val="none" w:sz="0" w:space="0" w:color="auto"/>
        <w:bottom w:val="none" w:sz="0" w:space="0" w:color="auto"/>
        <w:right w:val="none" w:sz="0" w:space="0" w:color="auto"/>
      </w:divBdr>
    </w:div>
    <w:div w:id="538736581">
      <w:bodyDiv w:val="1"/>
      <w:marLeft w:val="0"/>
      <w:marRight w:val="0"/>
      <w:marTop w:val="0"/>
      <w:marBottom w:val="0"/>
      <w:divBdr>
        <w:top w:val="none" w:sz="0" w:space="0" w:color="auto"/>
        <w:left w:val="none" w:sz="0" w:space="0" w:color="auto"/>
        <w:bottom w:val="none" w:sz="0" w:space="0" w:color="auto"/>
        <w:right w:val="none" w:sz="0" w:space="0" w:color="auto"/>
      </w:divBdr>
    </w:div>
    <w:div w:id="538780017">
      <w:bodyDiv w:val="1"/>
      <w:marLeft w:val="0"/>
      <w:marRight w:val="0"/>
      <w:marTop w:val="0"/>
      <w:marBottom w:val="0"/>
      <w:divBdr>
        <w:top w:val="none" w:sz="0" w:space="0" w:color="auto"/>
        <w:left w:val="none" w:sz="0" w:space="0" w:color="auto"/>
        <w:bottom w:val="none" w:sz="0" w:space="0" w:color="auto"/>
        <w:right w:val="none" w:sz="0" w:space="0" w:color="auto"/>
      </w:divBdr>
    </w:div>
    <w:div w:id="538783928">
      <w:bodyDiv w:val="1"/>
      <w:marLeft w:val="0"/>
      <w:marRight w:val="0"/>
      <w:marTop w:val="0"/>
      <w:marBottom w:val="0"/>
      <w:divBdr>
        <w:top w:val="none" w:sz="0" w:space="0" w:color="auto"/>
        <w:left w:val="none" w:sz="0" w:space="0" w:color="auto"/>
        <w:bottom w:val="none" w:sz="0" w:space="0" w:color="auto"/>
        <w:right w:val="none" w:sz="0" w:space="0" w:color="auto"/>
      </w:divBdr>
    </w:div>
    <w:div w:id="538906228">
      <w:bodyDiv w:val="1"/>
      <w:marLeft w:val="0"/>
      <w:marRight w:val="0"/>
      <w:marTop w:val="0"/>
      <w:marBottom w:val="0"/>
      <w:divBdr>
        <w:top w:val="none" w:sz="0" w:space="0" w:color="auto"/>
        <w:left w:val="none" w:sz="0" w:space="0" w:color="auto"/>
        <w:bottom w:val="none" w:sz="0" w:space="0" w:color="auto"/>
        <w:right w:val="none" w:sz="0" w:space="0" w:color="auto"/>
      </w:divBdr>
    </w:div>
    <w:div w:id="539049266">
      <w:bodyDiv w:val="1"/>
      <w:marLeft w:val="0"/>
      <w:marRight w:val="0"/>
      <w:marTop w:val="0"/>
      <w:marBottom w:val="0"/>
      <w:divBdr>
        <w:top w:val="none" w:sz="0" w:space="0" w:color="auto"/>
        <w:left w:val="none" w:sz="0" w:space="0" w:color="auto"/>
        <w:bottom w:val="none" w:sz="0" w:space="0" w:color="auto"/>
        <w:right w:val="none" w:sz="0" w:space="0" w:color="auto"/>
      </w:divBdr>
    </w:div>
    <w:div w:id="539324204">
      <w:bodyDiv w:val="1"/>
      <w:marLeft w:val="0"/>
      <w:marRight w:val="0"/>
      <w:marTop w:val="0"/>
      <w:marBottom w:val="0"/>
      <w:divBdr>
        <w:top w:val="none" w:sz="0" w:space="0" w:color="auto"/>
        <w:left w:val="none" w:sz="0" w:space="0" w:color="auto"/>
        <w:bottom w:val="none" w:sz="0" w:space="0" w:color="auto"/>
        <w:right w:val="none" w:sz="0" w:space="0" w:color="auto"/>
      </w:divBdr>
    </w:div>
    <w:div w:id="539439854">
      <w:bodyDiv w:val="1"/>
      <w:marLeft w:val="0"/>
      <w:marRight w:val="0"/>
      <w:marTop w:val="0"/>
      <w:marBottom w:val="0"/>
      <w:divBdr>
        <w:top w:val="none" w:sz="0" w:space="0" w:color="auto"/>
        <w:left w:val="none" w:sz="0" w:space="0" w:color="auto"/>
        <w:bottom w:val="none" w:sz="0" w:space="0" w:color="auto"/>
        <w:right w:val="none" w:sz="0" w:space="0" w:color="auto"/>
      </w:divBdr>
    </w:div>
    <w:div w:id="539512702">
      <w:bodyDiv w:val="1"/>
      <w:marLeft w:val="0"/>
      <w:marRight w:val="0"/>
      <w:marTop w:val="0"/>
      <w:marBottom w:val="0"/>
      <w:divBdr>
        <w:top w:val="none" w:sz="0" w:space="0" w:color="auto"/>
        <w:left w:val="none" w:sz="0" w:space="0" w:color="auto"/>
        <w:bottom w:val="none" w:sz="0" w:space="0" w:color="auto"/>
        <w:right w:val="none" w:sz="0" w:space="0" w:color="auto"/>
      </w:divBdr>
    </w:div>
    <w:div w:id="539513554">
      <w:bodyDiv w:val="1"/>
      <w:marLeft w:val="0"/>
      <w:marRight w:val="0"/>
      <w:marTop w:val="0"/>
      <w:marBottom w:val="0"/>
      <w:divBdr>
        <w:top w:val="none" w:sz="0" w:space="0" w:color="auto"/>
        <w:left w:val="none" w:sz="0" w:space="0" w:color="auto"/>
        <w:bottom w:val="none" w:sz="0" w:space="0" w:color="auto"/>
        <w:right w:val="none" w:sz="0" w:space="0" w:color="auto"/>
      </w:divBdr>
    </w:div>
    <w:div w:id="539561026">
      <w:bodyDiv w:val="1"/>
      <w:marLeft w:val="0"/>
      <w:marRight w:val="0"/>
      <w:marTop w:val="0"/>
      <w:marBottom w:val="0"/>
      <w:divBdr>
        <w:top w:val="none" w:sz="0" w:space="0" w:color="auto"/>
        <w:left w:val="none" w:sz="0" w:space="0" w:color="auto"/>
        <w:bottom w:val="none" w:sz="0" w:space="0" w:color="auto"/>
        <w:right w:val="none" w:sz="0" w:space="0" w:color="auto"/>
      </w:divBdr>
    </w:div>
    <w:div w:id="539709093">
      <w:bodyDiv w:val="1"/>
      <w:marLeft w:val="0"/>
      <w:marRight w:val="0"/>
      <w:marTop w:val="0"/>
      <w:marBottom w:val="0"/>
      <w:divBdr>
        <w:top w:val="none" w:sz="0" w:space="0" w:color="auto"/>
        <w:left w:val="none" w:sz="0" w:space="0" w:color="auto"/>
        <w:bottom w:val="none" w:sz="0" w:space="0" w:color="auto"/>
        <w:right w:val="none" w:sz="0" w:space="0" w:color="auto"/>
      </w:divBdr>
    </w:div>
    <w:div w:id="539711136">
      <w:bodyDiv w:val="1"/>
      <w:marLeft w:val="0"/>
      <w:marRight w:val="0"/>
      <w:marTop w:val="0"/>
      <w:marBottom w:val="0"/>
      <w:divBdr>
        <w:top w:val="none" w:sz="0" w:space="0" w:color="auto"/>
        <w:left w:val="none" w:sz="0" w:space="0" w:color="auto"/>
        <w:bottom w:val="none" w:sz="0" w:space="0" w:color="auto"/>
        <w:right w:val="none" w:sz="0" w:space="0" w:color="auto"/>
      </w:divBdr>
    </w:div>
    <w:div w:id="539974772">
      <w:bodyDiv w:val="1"/>
      <w:marLeft w:val="0"/>
      <w:marRight w:val="0"/>
      <w:marTop w:val="0"/>
      <w:marBottom w:val="0"/>
      <w:divBdr>
        <w:top w:val="none" w:sz="0" w:space="0" w:color="auto"/>
        <w:left w:val="none" w:sz="0" w:space="0" w:color="auto"/>
        <w:bottom w:val="none" w:sz="0" w:space="0" w:color="auto"/>
        <w:right w:val="none" w:sz="0" w:space="0" w:color="auto"/>
      </w:divBdr>
    </w:div>
    <w:div w:id="539980324">
      <w:bodyDiv w:val="1"/>
      <w:marLeft w:val="0"/>
      <w:marRight w:val="0"/>
      <w:marTop w:val="0"/>
      <w:marBottom w:val="0"/>
      <w:divBdr>
        <w:top w:val="none" w:sz="0" w:space="0" w:color="auto"/>
        <w:left w:val="none" w:sz="0" w:space="0" w:color="auto"/>
        <w:bottom w:val="none" w:sz="0" w:space="0" w:color="auto"/>
        <w:right w:val="none" w:sz="0" w:space="0" w:color="auto"/>
      </w:divBdr>
    </w:div>
    <w:div w:id="540173643">
      <w:bodyDiv w:val="1"/>
      <w:marLeft w:val="0"/>
      <w:marRight w:val="0"/>
      <w:marTop w:val="0"/>
      <w:marBottom w:val="0"/>
      <w:divBdr>
        <w:top w:val="none" w:sz="0" w:space="0" w:color="auto"/>
        <w:left w:val="none" w:sz="0" w:space="0" w:color="auto"/>
        <w:bottom w:val="none" w:sz="0" w:space="0" w:color="auto"/>
        <w:right w:val="none" w:sz="0" w:space="0" w:color="auto"/>
      </w:divBdr>
    </w:div>
    <w:div w:id="540283687">
      <w:bodyDiv w:val="1"/>
      <w:marLeft w:val="0"/>
      <w:marRight w:val="0"/>
      <w:marTop w:val="0"/>
      <w:marBottom w:val="0"/>
      <w:divBdr>
        <w:top w:val="none" w:sz="0" w:space="0" w:color="auto"/>
        <w:left w:val="none" w:sz="0" w:space="0" w:color="auto"/>
        <w:bottom w:val="none" w:sz="0" w:space="0" w:color="auto"/>
        <w:right w:val="none" w:sz="0" w:space="0" w:color="auto"/>
      </w:divBdr>
    </w:div>
    <w:div w:id="540288730">
      <w:bodyDiv w:val="1"/>
      <w:marLeft w:val="0"/>
      <w:marRight w:val="0"/>
      <w:marTop w:val="0"/>
      <w:marBottom w:val="0"/>
      <w:divBdr>
        <w:top w:val="none" w:sz="0" w:space="0" w:color="auto"/>
        <w:left w:val="none" w:sz="0" w:space="0" w:color="auto"/>
        <w:bottom w:val="none" w:sz="0" w:space="0" w:color="auto"/>
        <w:right w:val="none" w:sz="0" w:space="0" w:color="auto"/>
      </w:divBdr>
    </w:div>
    <w:div w:id="540359572">
      <w:bodyDiv w:val="1"/>
      <w:marLeft w:val="0"/>
      <w:marRight w:val="0"/>
      <w:marTop w:val="0"/>
      <w:marBottom w:val="0"/>
      <w:divBdr>
        <w:top w:val="none" w:sz="0" w:space="0" w:color="auto"/>
        <w:left w:val="none" w:sz="0" w:space="0" w:color="auto"/>
        <w:bottom w:val="none" w:sz="0" w:space="0" w:color="auto"/>
        <w:right w:val="none" w:sz="0" w:space="0" w:color="auto"/>
      </w:divBdr>
    </w:div>
    <w:div w:id="540484200">
      <w:bodyDiv w:val="1"/>
      <w:marLeft w:val="0"/>
      <w:marRight w:val="0"/>
      <w:marTop w:val="0"/>
      <w:marBottom w:val="0"/>
      <w:divBdr>
        <w:top w:val="none" w:sz="0" w:space="0" w:color="auto"/>
        <w:left w:val="none" w:sz="0" w:space="0" w:color="auto"/>
        <w:bottom w:val="none" w:sz="0" w:space="0" w:color="auto"/>
        <w:right w:val="none" w:sz="0" w:space="0" w:color="auto"/>
      </w:divBdr>
    </w:div>
    <w:div w:id="540631223">
      <w:bodyDiv w:val="1"/>
      <w:marLeft w:val="0"/>
      <w:marRight w:val="0"/>
      <w:marTop w:val="0"/>
      <w:marBottom w:val="0"/>
      <w:divBdr>
        <w:top w:val="none" w:sz="0" w:space="0" w:color="auto"/>
        <w:left w:val="none" w:sz="0" w:space="0" w:color="auto"/>
        <w:bottom w:val="none" w:sz="0" w:space="0" w:color="auto"/>
        <w:right w:val="none" w:sz="0" w:space="0" w:color="auto"/>
      </w:divBdr>
    </w:div>
    <w:div w:id="541132789">
      <w:bodyDiv w:val="1"/>
      <w:marLeft w:val="0"/>
      <w:marRight w:val="0"/>
      <w:marTop w:val="0"/>
      <w:marBottom w:val="0"/>
      <w:divBdr>
        <w:top w:val="none" w:sz="0" w:space="0" w:color="auto"/>
        <w:left w:val="none" w:sz="0" w:space="0" w:color="auto"/>
        <w:bottom w:val="none" w:sz="0" w:space="0" w:color="auto"/>
        <w:right w:val="none" w:sz="0" w:space="0" w:color="auto"/>
      </w:divBdr>
    </w:div>
    <w:div w:id="541135854">
      <w:bodyDiv w:val="1"/>
      <w:marLeft w:val="0"/>
      <w:marRight w:val="0"/>
      <w:marTop w:val="0"/>
      <w:marBottom w:val="0"/>
      <w:divBdr>
        <w:top w:val="none" w:sz="0" w:space="0" w:color="auto"/>
        <w:left w:val="none" w:sz="0" w:space="0" w:color="auto"/>
        <w:bottom w:val="none" w:sz="0" w:space="0" w:color="auto"/>
        <w:right w:val="none" w:sz="0" w:space="0" w:color="auto"/>
      </w:divBdr>
    </w:div>
    <w:div w:id="541288708">
      <w:bodyDiv w:val="1"/>
      <w:marLeft w:val="0"/>
      <w:marRight w:val="0"/>
      <w:marTop w:val="0"/>
      <w:marBottom w:val="0"/>
      <w:divBdr>
        <w:top w:val="none" w:sz="0" w:space="0" w:color="auto"/>
        <w:left w:val="none" w:sz="0" w:space="0" w:color="auto"/>
        <w:bottom w:val="none" w:sz="0" w:space="0" w:color="auto"/>
        <w:right w:val="none" w:sz="0" w:space="0" w:color="auto"/>
      </w:divBdr>
    </w:div>
    <w:div w:id="541289589">
      <w:bodyDiv w:val="1"/>
      <w:marLeft w:val="0"/>
      <w:marRight w:val="0"/>
      <w:marTop w:val="0"/>
      <w:marBottom w:val="0"/>
      <w:divBdr>
        <w:top w:val="none" w:sz="0" w:space="0" w:color="auto"/>
        <w:left w:val="none" w:sz="0" w:space="0" w:color="auto"/>
        <w:bottom w:val="none" w:sz="0" w:space="0" w:color="auto"/>
        <w:right w:val="none" w:sz="0" w:space="0" w:color="auto"/>
      </w:divBdr>
    </w:div>
    <w:div w:id="541328240">
      <w:bodyDiv w:val="1"/>
      <w:marLeft w:val="0"/>
      <w:marRight w:val="0"/>
      <w:marTop w:val="0"/>
      <w:marBottom w:val="0"/>
      <w:divBdr>
        <w:top w:val="none" w:sz="0" w:space="0" w:color="auto"/>
        <w:left w:val="none" w:sz="0" w:space="0" w:color="auto"/>
        <w:bottom w:val="none" w:sz="0" w:space="0" w:color="auto"/>
        <w:right w:val="none" w:sz="0" w:space="0" w:color="auto"/>
      </w:divBdr>
    </w:div>
    <w:div w:id="541406312">
      <w:bodyDiv w:val="1"/>
      <w:marLeft w:val="0"/>
      <w:marRight w:val="0"/>
      <w:marTop w:val="0"/>
      <w:marBottom w:val="0"/>
      <w:divBdr>
        <w:top w:val="none" w:sz="0" w:space="0" w:color="auto"/>
        <w:left w:val="none" w:sz="0" w:space="0" w:color="auto"/>
        <w:bottom w:val="none" w:sz="0" w:space="0" w:color="auto"/>
        <w:right w:val="none" w:sz="0" w:space="0" w:color="auto"/>
      </w:divBdr>
    </w:div>
    <w:div w:id="541744094">
      <w:bodyDiv w:val="1"/>
      <w:marLeft w:val="0"/>
      <w:marRight w:val="0"/>
      <w:marTop w:val="0"/>
      <w:marBottom w:val="0"/>
      <w:divBdr>
        <w:top w:val="none" w:sz="0" w:space="0" w:color="auto"/>
        <w:left w:val="none" w:sz="0" w:space="0" w:color="auto"/>
        <w:bottom w:val="none" w:sz="0" w:space="0" w:color="auto"/>
        <w:right w:val="none" w:sz="0" w:space="0" w:color="auto"/>
      </w:divBdr>
    </w:div>
    <w:div w:id="541752307">
      <w:bodyDiv w:val="1"/>
      <w:marLeft w:val="0"/>
      <w:marRight w:val="0"/>
      <w:marTop w:val="0"/>
      <w:marBottom w:val="0"/>
      <w:divBdr>
        <w:top w:val="none" w:sz="0" w:space="0" w:color="auto"/>
        <w:left w:val="none" w:sz="0" w:space="0" w:color="auto"/>
        <w:bottom w:val="none" w:sz="0" w:space="0" w:color="auto"/>
        <w:right w:val="none" w:sz="0" w:space="0" w:color="auto"/>
      </w:divBdr>
    </w:div>
    <w:div w:id="541789115">
      <w:bodyDiv w:val="1"/>
      <w:marLeft w:val="0"/>
      <w:marRight w:val="0"/>
      <w:marTop w:val="0"/>
      <w:marBottom w:val="0"/>
      <w:divBdr>
        <w:top w:val="none" w:sz="0" w:space="0" w:color="auto"/>
        <w:left w:val="none" w:sz="0" w:space="0" w:color="auto"/>
        <w:bottom w:val="none" w:sz="0" w:space="0" w:color="auto"/>
        <w:right w:val="none" w:sz="0" w:space="0" w:color="auto"/>
      </w:divBdr>
    </w:div>
    <w:div w:id="542057232">
      <w:bodyDiv w:val="1"/>
      <w:marLeft w:val="0"/>
      <w:marRight w:val="0"/>
      <w:marTop w:val="0"/>
      <w:marBottom w:val="0"/>
      <w:divBdr>
        <w:top w:val="none" w:sz="0" w:space="0" w:color="auto"/>
        <w:left w:val="none" w:sz="0" w:space="0" w:color="auto"/>
        <w:bottom w:val="none" w:sz="0" w:space="0" w:color="auto"/>
        <w:right w:val="none" w:sz="0" w:space="0" w:color="auto"/>
      </w:divBdr>
    </w:div>
    <w:div w:id="542140037">
      <w:bodyDiv w:val="1"/>
      <w:marLeft w:val="0"/>
      <w:marRight w:val="0"/>
      <w:marTop w:val="0"/>
      <w:marBottom w:val="0"/>
      <w:divBdr>
        <w:top w:val="none" w:sz="0" w:space="0" w:color="auto"/>
        <w:left w:val="none" w:sz="0" w:space="0" w:color="auto"/>
        <w:bottom w:val="none" w:sz="0" w:space="0" w:color="auto"/>
        <w:right w:val="none" w:sz="0" w:space="0" w:color="auto"/>
      </w:divBdr>
    </w:div>
    <w:div w:id="542251065">
      <w:bodyDiv w:val="1"/>
      <w:marLeft w:val="0"/>
      <w:marRight w:val="0"/>
      <w:marTop w:val="0"/>
      <w:marBottom w:val="0"/>
      <w:divBdr>
        <w:top w:val="none" w:sz="0" w:space="0" w:color="auto"/>
        <w:left w:val="none" w:sz="0" w:space="0" w:color="auto"/>
        <w:bottom w:val="none" w:sz="0" w:space="0" w:color="auto"/>
        <w:right w:val="none" w:sz="0" w:space="0" w:color="auto"/>
      </w:divBdr>
    </w:div>
    <w:div w:id="542328200">
      <w:bodyDiv w:val="1"/>
      <w:marLeft w:val="0"/>
      <w:marRight w:val="0"/>
      <w:marTop w:val="0"/>
      <w:marBottom w:val="0"/>
      <w:divBdr>
        <w:top w:val="none" w:sz="0" w:space="0" w:color="auto"/>
        <w:left w:val="none" w:sz="0" w:space="0" w:color="auto"/>
        <w:bottom w:val="none" w:sz="0" w:space="0" w:color="auto"/>
        <w:right w:val="none" w:sz="0" w:space="0" w:color="auto"/>
      </w:divBdr>
    </w:div>
    <w:div w:id="542441928">
      <w:bodyDiv w:val="1"/>
      <w:marLeft w:val="0"/>
      <w:marRight w:val="0"/>
      <w:marTop w:val="0"/>
      <w:marBottom w:val="0"/>
      <w:divBdr>
        <w:top w:val="none" w:sz="0" w:space="0" w:color="auto"/>
        <w:left w:val="none" w:sz="0" w:space="0" w:color="auto"/>
        <w:bottom w:val="none" w:sz="0" w:space="0" w:color="auto"/>
        <w:right w:val="none" w:sz="0" w:space="0" w:color="auto"/>
      </w:divBdr>
    </w:div>
    <w:div w:id="542524932">
      <w:bodyDiv w:val="1"/>
      <w:marLeft w:val="0"/>
      <w:marRight w:val="0"/>
      <w:marTop w:val="0"/>
      <w:marBottom w:val="0"/>
      <w:divBdr>
        <w:top w:val="none" w:sz="0" w:space="0" w:color="auto"/>
        <w:left w:val="none" w:sz="0" w:space="0" w:color="auto"/>
        <w:bottom w:val="none" w:sz="0" w:space="0" w:color="auto"/>
        <w:right w:val="none" w:sz="0" w:space="0" w:color="auto"/>
      </w:divBdr>
    </w:div>
    <w:div w:id="542597205">
      <w:bodyDiv w:val="1"/>
      <w:marLeft w:val="0"/>
      <w:marRight w:val="0"/>
      <w:marTop w:val="0"/>
      <w:marBottom w:val="0"/>
      <w:divBdr>
        <w:top w:val="none" w:sz="0" w:space="0" w:color="auto"/>
        <w:left w:val="none" w:sz="0" w:space="0" w:color="auto"/>
        <w:bottom w:val="none" w:sz="0" w:space="0" w:color="auto"/>
        <w:right w:val="none" w:sz="0" w:space="0" w:color="auto"/>
      </w:divBdr>
    </w:div>
    <w:div w:id="542788647">
      <w:bodyDiv w:val="1"/>
      <w:marLeft w:val="0"/>
      <w:marRight w:val="0"/>
      <w:marTop w:val="0"/>
      <w:marBottom w:val="0"/>
      <w:divBdr>
        <w:top w:val="none" w:sz="0" w:space="0" w:color="auto"/>
        <w:left w:val="none" w:sz="0" w:space="0" w:color="auto"/>
        <w:bottom w:val="none" w:sz="0" w:space="0" w:color="auto"/>
        <w:right w:val="none" w:sz="0" w:space="0" w:color="auto"/>
      </w:divBdr>
    </w:div>
    <w:div w:id="542905801">
      <w:bodyDiv w:val="1"/>
      <w:marLeft w:val="0"/>
      <w:marRight w:val="0"/>
      <w:marTop w:val="0"/>
      <w:marBottom w:val="0"/>
      <w:divBdr>
        <w:top w:val="none" w:sz="0" w:space="0" w:color="auto"/>
        <w:left w:val="none" w:sz="0" w:space="0" w:color="auto"/>
        <w:bottom w:val="none" w:sz="0" w:space="0" w:color="auto"/>
        <w:right w:val="none" w:sz="0" w:space="0" w:color="auto"/>
      </w:divBdr>
    </w:div>
    <w:div w:id="542984762">
      <w:bodyDiv w:val="1"/>
      <w:marLeft w:val="0"/>
      <w:marRight w:val="0"/>
      <w:marTop w:val="0"/>
      <w:marBottom w:val="0"/>
      <w:divBdr>
        <w:top w:val="none" w:sz="0" w:space="0" w:color="auto"/>
        <w:left w:val="none" w:sz="0" w:space="0" w:color="auto"/>
        <w:bottom w:val="none" w:sz="0" w:space="0" w:color="auto"/>
        <w:right w:val="none" w:sz="0" w:space="0" w:color="auto"/>
      </w:divBdr>
    </w:div>
    <w:div w:id="543061241">
      <w:bodyDiv w:val="1"/>
      <w:marLeft w:val="0"/>
      <w:marRight w:val="0"/>
      <w:marTop w:val="0"/>
      <w:marBottom w:val="0"/>
      <w:divBdr>
        <w:top w:val="none" w:sz="0" w:space="0" w:color="auto"/>
        <w:left w:val="none" w:sz="0" w:space="0" w:color="auto"/>
        <w:bottom w:val="none" w:sz="0" w:space="0" w:color="auto"/>
        <w:right w:val="none" w:sz="0" w:space="0" w:color="auto"/>
      </w:divBdr>
    </w:div>
    <w:div w:id="543375526">
      <w:bodyDiv w:val="1"/>
      <w:marLeft w:val="0"/>
      <w:marRight w:val="0"/>
      <w:marTop w:val="0"/>
      <w:marBottom w:val="0"/>
      <w:divBdr>
        <w:top w:val="none" w:sz="0" w:space="0" w:color="auto"/>
        <w:left w:val="none" w:sz="0" w:space="0" w:color="auto"/>
        <w:bottom w:val="none" w:sz="0" w:space="0" w:color="auto"/>
        <w:right w:val="none" w:sz="0" w:space="0" w:color="auto"/>
      </w:divBdr>
    </w:div>
    <w:div w:id="543493090">
      <w:bodyDiv w:val="1"/>
      <w:marLeft w:val="0"/>
      <w:marRight w:val="0"/>
      <w:marTop w:val="0"/>
      <w:marBottom w:val="0"/>
      <w:divBdr>
        <w:top w:val="none" w:sz="0" w:space="0" w:color="auto"/>
        <w:left w:val="none" w:sz="0" w:space="0" w:color="auto"/>
        <w:bottom w:val="none" w:sz="0" w:space="0" w:color="auto"/>
        <w:right w:val="none" w:sz="0" w:space="0" w:color="auto"/>
      </w:divBdr>
    </w:div>
    <w:div w:id="543640185">
      <w:bodyDiv w:val="1"/>
      <w:marLeft w:val="0"/>
      <w:marRight w:val="0"/>
      <w:marTop w:val="0"/>
      <w:marBottom w:val="0"/>
      <w:divBdr>
        <w:top w:val="none" w:sz="0" w:space="0" w:color="auto"/>
        <w:left w:val="none" w:sz="0" w:space="0" w:color="auto"/>
        <w:bottom w:val="none" w:sz="0" w:space="0" w:color="auto"/>
        <w:right w:val="none" w:sz="0" w:space="0" w:color="auto"/>
      </w:divBdr>
    </w:div>
    <w:div w:id="543711348">
      <w:bodyDiv w:val="1"/>
      <w:marLeft w:val="0"/>
      <w:marRight w:val="0"/>
      <w:marTop w:val="0"/>
      <w:marBottom w:val="0"/>
      <w:divBdr>
        <w:top w:val="none" w:sz="0" w:space="0" w:color="auto"/>
        <w:left w:val="none" w:sz="0" w:space="0" w:color="auto"/>
        <w:bottom w:val="none" w:sz="0" w:space="0" w:color="auto"/>
        <w:right w:val="none" w:sz="0" w:space="0" w:color="auto"/>
      </w:divBdr>
    </w:div>
    <w:div w:id="543712343">
      <w:bodyDiv w:val="1"/>
      <w:marLeft w:val="0"/>
      <w:marRight w:val="0"/>
      <w:marTop w:val="0"/>
      <w:marBottom w:val="0"/>
      <w:divBdr>
        <w:top w:val="none" w:sz="0" w:space="0" w:color="auto"/>
        <w:left w:val="none" w:sz="0" w:space="0" w:color="auto"/>
        <w:bottom w:val="none" w:sz="0" w:space="0" w:color="auto"/>
        <w:right w:val="none" w:sz="0" w:space="0" w:color="auto"/>
      </w:divBdr>
    </w:div>
    <w:div w:id="544026321">
      <w:bodyDiv w:val="1"/>
      <w:marLeft w:val="0"/>
      <w:marRight w:val="0"/>
      <w:marTop w:val="0"/>
      <w:marBottom w:val="0"/>
      <w:divBdr>
        <w:top w:val="none" w:sz="0" w:space="0" w:color="auto"/>
        <w:left w:val="none" w:sz="0" w:space="0" w:color="auto"/>
        <w:bottom w:val="none" w:sz="0" w:space="0" w:color="auto"/>
        <w:right w:val="none" w:sz="0" w:space="0" w:color="auto"/>
      </w:divBdr>
    </w:div>
    <w:div w:id="544175731">
      <w:bodyDiv w:val="1"/>
      <w:marLeft w:val="0"/>
      <w:marRight w:val="0"/>
      <w:marTop w:val="0"/>
      <w:marBottom w:val="0"/>
      <w:divBdr>
        <w:top w:val="none" w:sz="0" w:space="0" w:color="auto"/>
        <w:left w:val="none" w:sz="0" w:space="0" w:color="auto"/>
        <w:bottom w:val="none" w:sz="0" w:space="0" w:color="auto"/>
        <w:right w:val="none" w:sz="0" w:space="0" w:color="auto"/>
      </w:divBdr>
    </w:div>
    <w:div w:id="544292958">
      <w:bodyDiv w:val="1"/>
      <w:marLeft w:val="0"/>
      <w:marRight w:val="0"/>
      <w:marTop w:val="0"/>
      <w:marBottom w:val="0"/>
      <w:divBdr>
        <w:top w:val="none" w:sz="0" w:space="0" w:color="auto"/>
        <w:left w:val="none" w:sz="0" w:space="0" w:color="auto"/>
        <w:bottom w:val="none" w:sz="0" w:space="0" w:color="auto"/>
        <w:right w:val="none" w:sz="0" w:space="0" w:color="auto"/>
      </w:divBdr>
    </w:div>
    <w:div w:id="544366637">
      <w:bodyDiv w:val="1"/>
      <w:marLeft w:val="0"/>
      <w:marRight w:val="0"/>
      <w:marTop w:val="0"/>
      <w:marBottom w:val="0"/>
      <w:divBdr>
        <w:top w:val="none" w:sz="0" w:space="0" w:color="auto"/>
        <w:left w:val="none" w:sz="0" w:space="0" w:color="auto"/>
        <w:bottom w:val="none" w:sz="0" w:space="0" w:color="auto"/>
        <w:right w:val="none" w:sz="0" w:space="0" w:color="auto"/>
      </w:divBdr>
    </w:div>
    <w:div w:id="544370884">
      <w:bodyDiv w:val="1"/>
      <w:marLeft w:val="0"/>
      <w:marRight w:val="0"/>
      <w:marTop w:val="0"/>
      <w:marBottom w:val="0"/>
      <w:divBdr>
        <w:top w:val="none" w:sz="0" w:space="0" w:color="auto"/>
        <w:left w:val="none" w:sz="0" w:space="0" w:color="auto"/>
        <w:bottom w:val="none" w:sz="0" w:space="0" w:color="auto"/>
        <w:right w:val="none" w:sz="0" w:space="0" w:color="auto"/>
      </w:divBdr>
    </w:div>
    <w:div w:id="544373558">
      <w:bodyDiv w:val="1"/>
      <w:marLeft w:val="0"/>
      <w:marRight w:val="0"/>
      <w:marTop w:val="0"/>
      <w:marBottom w:val="0"/>
      <w:divBdr>
        <w:top w:val="none" w:sz="0" w:space="0" w:color="auto"/>
        <w:left w:val="none" w:sz="0" w:space="0" w:color="auto"/>
        <w:bottom w:val="none" w:sz="0" w:space="0" w:color="auto"/>
        <w:right w:val="none" w:sz="0" w:space="0" w:color="auto"/>
      </w:divBdr>
    </w:div>
    <w:div w:id="544415977">
      <w:bodyDiv w:val="1"/>
      <w:marLeft w:val="0"/>
      <w:marRight w:val="0"/>
      <w:marTop w:val="0"/>
      <w:marBottom w:val="0"/>
      <w:divBdr>
        <w:top w:val="none" w:sz="0" w:space="0" w:color="auto"/>
        <w:left w:val="none" w:sz="0" w:space="0" w:color="auto"/>
        <w:bottom w:val="none" w:sz="0" w:space="0" w:color="auto"/>
        <w:right w:val="none" w:sz="0" w:space="0" w:color="auto"/>
      </w:divBdr>
    </w:div>
    <w:div w:id="544488854">
      <w:bodyDiv w:val="1"/>
      <w:marLeft w:val="0"/>
      <w:marRight w:val="0"/>
      <w:marTop w:val="0"/>
      <w:marBottom w:val="0"/>
      <w:divBdr>
        <w:top w:val="none" w:sz="0" w:space="0" w:color="auto"/>
        <w:left w:val="none" w:sz="0" w:space="0" w:color="auto"/>
        <w:bottom w:val="none" w:sz="0" w:space="0" w:color="auto"/>
        <w:right w:val="none" w:sz="0" w:space="0" w:color="auto"/>
      </w:divBdr>
    </w:div>
    <w:div w:id="544604994">
      <w:bodyDiv w:val="1"/>
      <w:marLeft w:val="0"/>
      <w:marRight w:val="0"/>
      <w:marTop w:val="0"/>
      <w:marBottom w:val="0"/>
      <w:divBdr>
        <w:top w:val="none" w:sz="0" w:space="0" w:color="auto"/>
        <w:left w:val="none" w:sz="0" w:space="0" w:color="auto"/>
        <w:bottom w:val="none" w:sz="0" w:space="0" w:color="auto"/>
        <w:right w:val="none" w:sz="0" w:space="0" w:color="auto"/>
      </w:divBdr>
    </w:div>
    <w:div w:id="544755945">
      <w:bodyDiv w:val="1"/>
      <w:marLeft w:val="0"/>
      <w:marRight w:val="0"/>
      <w:marTop w:val="0"/>
      <w:marBottom w:val="0"/>
      <w:divBdr>
        <w:top w:val="none" w:sz="0" w:space="0" w:color="auto"/>
        <w:left w:val="none" w:sz="0" w:space="0" w:color="auto"/>
        <w:bottom w:val="none" w:sz="0" w:space="0" w:color="auto"/>
        <w:right w:val="none" w:sz="0" w:space="0" w:color="auto"/>
      </w:divBdr>
    </w:div>
    <w:div w:id="544876909">
      <w:bodyDiv w:val="1"/>
      <w:marLeft w:val="0"/>
      <w:marRight w:val="0"/>
      <w:marTop w:val="0"/>
      <w:marBottom w:val="0"/>
      <w:divBdr>
        <w:top w:val="none" w:sz="0" w:space="0" w:color="auto"/>
        <w:left w:val="none" w:sz="0" w:space="0" w:color="auto"/>
        <w:bottom w:val="none" w:sz="0" w:space="0" w:color="auto"/>
        <w:right w:val="none" w:sz="0" w:space="0" w:color="auto"/>
      </w:divBdr>
    </w:div>
    <w:div w:id="544877624">
      <w:bodyDiv w:val="1"/>
      <w:marLeft w:val="0"/>
      <w:marRight w:val="0"/>
      <w:marTop w:val="0"/>
      <w:marBottom w:val="0"/>
      <w:divBdr>
        <w:top w:val="none" w:sz="0" w:space="0" w:color="auto"/>
        <w:left w:val="none" w:sz="0" w:space="0" w:color="auto"/>
        <w:bottom w:val="none" w:sz="0" w:space="0" w:color="auto"/>
        <w:right w:val="none" w:sz="0" w:space="0" w:color="auto"/>
      </w:divBdr>
    </w:div>
    <w:div w:id="544946972">
      <w:bodyDiv w:val="1"/>
      <w:marLeft w:val="0"/>
      <w:marRight w:val="0"/>
      <w:marTop w:val="0"/>
      <w:marBottom w:val="0"/>
      <w:divBdr>
        <w:top w:val="none" w:sz="0" w:space="0" w:color="auto"/>
        <w:left w:val="none" w:sz="0" w:space="0" w:color="auto"/>
        <w:bottom w:val="none" w:sz="0" w:space="0" w:color="auto"/>
        <w:right w:val="none" w:sz="0" w:space="0" w:color="auto"/>
      </w:divBdr>
    </w:div>
    <w:div w:id="545142731">
      <w:bodyDiv w:val="1"/>
      <w:marLeft w:val="0"/>
      <w:marRight w:val="0"/>
      <w:marTop w:val="0"/>
      <w:marBottom w:val="0"/>
      <w:divBdr>
        <w:top w:val="none" w:sz="0" w:space="0" w:color="auto"/>
        <w:left w:val="none" w:sz="0" w:space="0" w:color="auto"/>
        <w:bottom w:val="none" w:sz="0" w:space="0" w:color="auto"/>
        <w:right w:val="none" w:sz="0" w:space="0" w:color="auto"/>
      </w:divBdr>
    </w:div>
    <w:div w:id="545457920">
      <w:bodyDiv w:val="1"/>
      <w:marLeft w:val="0"/>
      <w:marRight w:val="0"/>
      <w:marTop w:val="0"/>
      <w:marBottom w:val="0"/>
      <w:divBdr>
        <w:top w:val="none" w:sz="0" w:space="0" w:color="auto"/>
        <w:left w:val="none" w:sz="0" w:space="0" w:color="auto"/>
        <w:bottom w:val="none" w:sz="0" w:space="0" w:color="auto"/>
        <w:right w:val="none" w:sz="0" w:space="0" w:color="auto"/>
      </w:divBdr>
    </w:div>
    <w:div w:id="545525460">
      <w:bodyDiv w:val="1"/>
      <w:marLeft w:val="0"/>
      <w:marRight w:val="0"/>
      <w:marTop w:val="0"/>
      <w:marBottom w:val="0"/>
      <w:divBdr>
        <w:top w:val="none" w:sz="0" w:space="0" w:color="auto"/>
        <w:left w:val="none" w:sz="0" w:space="0" w:color="auto"/>
        <w:bottom w:val="none" w:sz="0" w:space="0" w:color="auto"/>
        <w:right w:val="none" w:sz="0" w:space="0" w:color="auto"/>
      </w:divBdr>
    </w:div>
    <w:div w:id="545529115">
      <w:bodyDiv w:val="1"/>
      <w:marLeft w:val="0"/>
      <w:marRight w:val="0"/>
      <w:marTop w:val="0"/>
      <w:marBottom w:val="0"/>
      <w:divBdr>
        <w:top w:val="none" w:sz="0" w:space="0" w:color="auto"/>
        <w:left w:val="none" w:sz="0" w:space="0" w:color="auto"/>
        <w:bottom w:val="none" w:sz="0" w:space="0" w:color="auto"/>
        <w:right w:val="none" w:sz="0" w:space="0" w:color="auto"/>
      </w:divBdr>
    </w:div>
    <w:div w:id="545916369">
      <w:bodyDiv w:val="1"/>
      <w:marLeft w:val="0"/>
      <w:marRight w:val="0"/>
      <w:marTop w:val="0"/>
      <w:marBottom w:val="0"/>
      <w:divBdr>
        <w:top w:val="none" w:sz="0" w:space="0" w:color="auto"/>
        <w:left w:val="none" w:sz="0" w:space="0" w:color="auto"/>
        <w:bottom w:val="none" w:sz="0" w:space="0" w:color="auto"/>
        <w:right w:val="none" w:sz="0" w:space="0" w:color="auto"/>
      </w:divBdr>
    </w:div>
    <w:div w:id="545947404">
      <w:bodyDiv w:val="1"/>
      <w:marLeft w:val="0"/>
      <w:marRight w:val="0"/>
      <w:marTop w:val="0"/>
      <w:marBottom w:val="0"/>
      <w:divBdr>
        <w:top w:val="none" w:sz="0" w:space="0" w:color="auto"/>
        <w:left w:val="none" w:sz="0" w:space="0" w:color="auto"/>
        <w:bottom w:val="none" w:sz="0" w:space="0" w:color="auto"/>
        <w:right w:val="none" w:sz="0" w:space="0" w:color="auto"/>
      </w:divBdr>
    </w:div>
    <w:div w:id="545990225">
      <w:bodyDiv w:val="1"/>
      <w:marLeft w:val="0"/>
      <w:marRight w:val="0"/>
      <w:marTop w:val="0"/>
      <w:marBottom w:val="0"/>
      <w:divBdr>
        <w:top w:val="none" w:sz="0" w:space="0" w:color="auto"/>
        <w:left w:val="none" w:sz="0" w:space="0" w:color="auto"/>
        <w:bottom w:val="none" w:sz="0" w:space="0" w:color="auto"/>
        <w:right w:val="none" w:sz="0" w:space="0" w:color="auto"/>
      </w:divBdr>
    </w:div>
    <w:div w:id="546140815">
      <w:bodyDiv w:val="1"/>
      <w:marLeft w:val="0"/>
      <w:marRight w:val="0"/>
      <w:marTop w:val="0"/>
      <w:marBottom w:val="0"/>
      <w:divBdr>
        <w:top w:val="none" w:sz="0" w:space="0" w:color="auto"/>
        <w:left w:val="none" w:sz="0" w:space="0" w:color="auto"/>
        <w:bottom w:val="none" w:sz="0" w:space="0" w:color="auto"/>
        <w:right w:val="none" w:sz="0" w:space="0" w:color="auto"/>
      </w:divBdr>
    </w:div>
    <w:div w:id="546335003">
      <w:bodyDiv w:val="1"/>
      <w:marLeft w:val="0"/>
      <w:marRight w:val="0"/>
      <w:marTop w:val="0"/>
      <w:marBottom w:val="0"/>
      <w:divBdr>
        <w:top w:val="none" w:sz="0" w:space="0" w:color="auto"/>
        <w:left w:val="none" w:sz="0" w:space="0" w:color="auto"/>
        <w:bottom w:val="none" w:sz="0" w:space="0" w:color="auto"/>
        <w:right w:val="none" w:sz="0" w:space="0" w:color="auto"/>
      </w:divBdr>
    </w:div>
    <w:div w:id="546377783">
      <w:bodyDiv w:val="1"/>
      <w:marLeft w:val="0"/>
      <w:marRight w:val="0"/>
      <w:marTop w:val="0"/>
      <w:marBottom w:val="0"/>
      <w:divBdr>
        <w:top w:val="none" w:sz="0" w:space="0" w:color="auto"/>
        <w:left w:val="none" w:sz="0" w:space="0" w:color="auto"/>
        <w:bottom w:val="none" w:sz="0" w:space="0" w:color="auto"/>
        <w:right w:val="none" w:sz="0" w:space="0" w:color="auto"/>
      </w:divBdr>
    </w:div>
    <w:div w:id="546530399">
      <w:bodyDiv w:val="1"/>
      <w:marLeft w:val="0"/>
      <w:marRight w:val="0"/>
      <w:marTop w:val="0"/>
      <w:marBottom w:val="0"/>
      <w:divBdr>
        <w:top w:val="none" w:sz="0" w:space="0" w:color="auto"/>
        <w:left w:val="none" w:sz="0" w:space="0" w:color="auto"/>
        <w:bottom w:val="none" w:sz="0" w:space="0" w:color="auto"/>
        <w:right w:val="none" w:sz="0" w:space="0" w:color="auto"/>
      </w:divBdr>
    </w:div>
    <w:div w:id="546642710">
      <w:bodyDiv w:val="1"/>
      <w:marLeft w:val="0"/>
      <w:marRight w:val="0"/>
      <w:marTop w:val="0"/>
      <w:marBottom w:val="0"/>
      <w:divBdr>
        <w:top w:val="none" w:sz="0" w:space="0" w:color="auto"/>
        <w:left w:val="none" w:sz="0" w:space="0" w:color="auto"/>
        <w:bottom w:val="none" w:sz="0" w:space="0" w:color="auto"/>
        <w:right w:val="none" w:sz="0" w:space="0" w:color="auto"/>
      </w:divBdr>
    </w:div>
    <w:div w:id="546649615">
      <w:bodyDiv w:val="1"/>
      <w:marLeft w:val="0"/>
      <w:marRight w:val="0"/>
      <w:marTop w:val="0"/>
      <w:marBottom w:val="0"/>
      <w:divBdr>
        <w:top w:val="none" w:sz="0" w:space="0" w:color="auto"/>
        <w:left w:val="none" w:sz="0" w:space="0" w:color="auto"/>
        <w:bottom w:val="none" w:sz="0" w:space="0" w:color="auto"/>
        <w:right w:val="none" w:sz="0" w:space="0" w:color="auto"/>
      </w:divBdr>
    </w:div>
    <w:div w:id="546796059">
      <w:bodyDiv w:val="1"/>
      <w:marLeft w:val="0"/>
      <w:marRight w:val="0"/>
      <w:marTop w:val="0"/>
      <w:marBottom w:val="0"/>
      <w:divBdr>
        <w:top w:val="none" w:sz="0" w:space="0" w:color="auto"/>
        <w:left w:val="none" w:sz="0" w:space="0" w:color="auto"/>
        <w:bottom w:val="none" w:sz="0" w:space="0" w:color="auto"/>
        <w:right w:val="none" w:sz="0" w:space="0" w:color="auto"/>
      </w:divBdr>
    </w:div>
    <w:div w:id="547183245">
      <w:bodyDiv w:val="1"/>
      <w:marLeft w:val="0"/>
      <w:marRight w:val="0"/>
      <w:marTop w:val="0"/>
      <w:marBottom w:val="0"/>
      <w:divBdr>
        <w:top w:val="none" w:sz="0" w:space="0" w:color="auto"/>
        <w:left w:val="none" w:sz="0" w:space="0" w:color="auto"/>
        <w:bottom w:val="none" w:sz="0" w:space="0" w:color="auto"/>
        <w:right w:val="none" w:sz="0" w:space="0" w:color="auto"/>
      </w:divBdr>
    </w:div>
    <w:div w:id="547378002">
      <w:bodyDiv w:val="1"/>
      <w:marLeft w:val="0"/>
      <w:marRight w:val="0"/>
      <w:marTop w:val="0"/>
      <w:marBottom w:val="0"/>
      <w:divBdr>
        <w:top w:val="none" w:sz="0" w:space="0" w:color="auto"/>
        <w:left w:val="none" w:sz="0" w:space="0" w:color="auto"/>
        <w:bottom w:val="none" w:sz="0" w:space="0" w:color="auto"/>
        <w:right w:val="none" w:sz="0" w:space="0" w:color="auto"/>
      </w:divBdr>
    </w:div>
    <w:div w:id="547424559">
      <w:bodyDiv w:val="1"/>
      <w:marLeft w:val="0"/>
      <w:marRight w:val="0"/>
      <w:marTop w:val="0"/>
      <w:marBottom w:val="0"/>
      <w:divBdr>
        <w:top w:val="none" w:sz="0" w:space="0" w:color="auto"/>
        <w:left w:val="none" w:sz="0" w:space="0" w:color="auto"/>
        <w:bottom w:val="none" w:sz="0" w:space="0" w:color="auto"/>
        <w:right w:val="none" w:sz="0" w:space="0" w:color="auto"/>
      </w:divBdr>
    </w:div>
    <w:div w:id="547452296">
      <w:bodyDiv w:val="1"/>
      <w:marLeft w:val="0"/>
      <w:marRight w:val="0"/>
      <w:marTop w:val="0"/>
      <w:marBottom w:val="0"/>
      <w:divBdr>
        <w:top w:val="none" w:sz="0" w:space="0" w:color="auto"/>
        <w:left w:val="none" w:sz="0" w:space="0" w:color="auto"/>
        <w:bottom w:val="none" w:sz="0" w:space="0" w:color="auto"/>
        <w:right w:val="none" w:sz="0" w:space="0" w:color="auto"/>
      </w:divBdr>
    </w:div>
    <w:div w:id="547453687">
      <w:bodyDiv w:val="1"/>
      <w:marLeft w:val="0"/>
      <w:marRight w:val="0"/>
      <w:marTop w:val="0"/>
      <w:marBottom w:val="0"/>
      <w:divBdr>
        <w:top w:val="none" w:sz="0" w:space="0" w:color="auto"/>
        <w:left w:val="none" w:sz="0" w:space="0" w:color="auto"/>
        <w:bottom w:val="none" w:sz="0" w:space="0" w:color="auto"/>
        <w:right w:val="none" w:sz="0" w:space="0" w:color="auto"/>
      </w:divBdr>
    </w:div>
    <w:div w:id="547569490">
      <w:bodyDiv w:val="1"/>
      <w:marLeft w:val="0"/>
      <w:marRight w:val="0"/>
      <w:marTop w:val="0"/>
      <w:marBottom w:val="0"/>
      <w:divBdr>
        <w:top w:val="none" w:sz="0" w:space="0" w:color="auto"/>
        <w:left w:val="none" w:sz="0" w:space="0" w:color="auto"/>
        <w:bottom w:val="none" w:sz="0" w:space="0" w:color="auto"/>
        <w:right w:val="none" w:sz="0" w:space="0" w:color="auto"/>
      </w:divBdr>
    </w:div>
    <w:div w:id="547573797">
      <w:bodyDiv w:val="1"/>
      <w:marLeft w:val="0"/>
      <w:marRight w:val="0"/>
      <w:marTop w:val="0"/>
      <w:marBottom w:val="0"/>
      <w:divBdr>
        <w:top w:val="none" w:sz="0" w:space="0" w:color="auto"/>
        <w:left w:val="none" w:sz="0" w:space="0" w:color="auto"/>
        <w:bottom w:val="none" w:sz="0" w:space="0" w:color="auto"/>
        <w:right w:val="none" w:sz="0" w:space="0" w:color="auto"/>
      </w:divBdr>
    </w:div>
    <w:div w:id="547649694">
      <w:bodyDiv w:val="1"/>
      <w:marLeft w:val="0"/>
      <w:marRight w:val="0"/>
      <w:marTop w:val="0"/>
      <w:marBottom w:val="0"/>
      <w:divBdr>
        <w:top w:val="none" w:sz="0" w:space="0" w:color="auto"/>
        <w:left w:val="none" w:sz="0" w:space="0" w:color="auto"/>
        <w:bottom w:val="none" w:sz="0" w:space="0" w:color="auto"/>
        <w:right w:val="none" w:sz="0" w:space="0" w:color="auto"/>
      </w:divBdr>
    </w:div>
    <w:div w:id="547884131">
      <w:bodyDiv w:val="1"/>
      <w:marLeft w:val="0"/>
      <w:marRight w:val="0"/>
      <w:marTop w:val="0"/>
      <w:marBottom w:val="0"/>
      <w:divBdr>
        <w:top w:val="none" w:sz="0" w:space="0" w:color="auto"/>
        <w:left w:val="none" w:sz="0" w:space="0" w:color="auto"/>
        <w:bottom w:val="none" w:sz="0" w:space="0" w:color="auto"/>
        <w:right w:val="none" w:sz="0" w:space="0" w:color="auto"/>
      </w:divBdr>
    </w:div>
    <w:div w:id="547885701">
      <w:bodyDiv w:val="1"/>
      <w:marLeft w:val="0"/>
      <w:marRight w:val="0"/>
      <w:marTop w:val="0"/>
      <w:marBottom w:val="0"/>
      <w:divBdr>
        <w:top w:val="none" w:sz="0" w:space="0" w:color="auto"/>
        <w:left w:val="none" w:sz="0" w:space="0" w:color="auto"/>
        <w:bottom w:val="none" w:sz="0" w:space="0" w:color="auto"/>
        <w:right w:val="none" w:sz="0" w:space="0" w:color="auto"/>
      </w:divBdr>
    </w:div>
    <w:div w:id="548031759">
      <w:bodyDiv w:val="1"/>
      <w:marLeft w:val="0"/>
      <w:marRight w:val="0"/>
      <w:marTop w:val="0"/>
      <w:marBottom w:val="0"/>
      <w:divBdr>
        <w:top w:val="none" w:sz="0" w:space="0" w:color="auto"/>
        <w:left w:val="none" w:sz="0" w:space="0" w:color="auto"/>
        <w:bottom w:val="none" w:sz="0" w:space="0" w:color="auto"/>
        <w:right w:val="none" w:sz="0" w:space="0" w:color="auto"/>
      </w:divBdr>
    </w:div>
    <w:div w:id="548103884">
      <w:bodyDiv w:val="1"/>
      <w:marLeft w:val="0"/>
      <w:marRight w:val="0"/>
      <w:marTop w:val="0"/>
      <w:marBottom w:val="0"/>
      <w:divBdr>
        <w:top w:val="none" w:sz="0" w:space="0" w:color="auto"/>
        <w:left w:val="none" w:sz="0" w:space="0" w:color="auto"/>
        <w:bottom w:val="none" w:sz="0" w:space="0" w:color="auto"/>
        <w:right w:val="none" w:sz="0" w:space="0" w:color="auto"/>
      </w:divBdr>
    </w:div>
    <w:div w:id="548420072">
      <w:bodyDiv w:val="1"/>
      <w:marLeft w:val="0"/>
      <w:marRight w:val="0"/>
      <w:marTop w:val="0"/>
      <w:marBottom w:val="0"/>
      <w:divBdr>
        <w:top w:val="none" w:sz="0" w:space="0" w:color="auto"/>
        <w:left w:val="none" w:sz="0" w:space="0" w:color="auto"/>
        <w:bottom w:val="none" w:sz="0" w:space="0" w:color="auto"/>
        <w:right w:val="none" w:sz="0" w:space="0" w:color="auto"/>
      </w:divBdr>
    </w:div>
    <w:div w:id="548494529">
      <w:bodyDiv w:val="1"/>
      <w:marLeft w:val="0"/>
      <w:marRight w:val="0"/>
      <w:marTop w:val="0"/>
      <w:marBottom w:val="0"/>
      <w:divBdr>
        <w:top w:val="none" w:sz="0" w:space="0" w:color="auto"/>
        <w:left w:val="none" w:sz="0" w:space="0" w:color="auto"/>
        <w:bottom w:val="none" w:sz="0" w:space="0" w:color="auto"/>
        <w:right w:val="none" w:sz="0" w:space="0" w:color="auto"/>
      </w:divBdr>
    </w:div>
    <w:div w:id="548497037">
      <w:bodyDiv w:val="1"/>
      <w:marLeft w:val="0"/>
      <w:marRight w:val="0"/>
      <w:marTop w:val="0"/>
      <w:marBottom w:val="0"/>
      <w:divBdr>
        <w:top w:val="none" w:sz="0" w:space="0" w:color="auto"/>
        <w:left w:val="none" w:sz="0" w:space="0" w:color="auto"/>
        <w:bottom w:val="none" w:sz="0" w:space="0" w:color="auto"/>
        <w:right w:val="none" w:sz="0" w:space="0" w:color="auto"/>
      </w:divBdr>
    </w:div>
    <w:div w:id="548499059">
      <w:bodyDiv w:val="1"/>
      <w:marLeft w:val="0"/>
      <w:marRight w:val="0"/>
      <w:marTop w:val="0"/>
      <w:marBottom w:val="0"/>
      <w:divBdr>
        <w:top w:val="none" w:sz="0" w:space="0" w:color="auto"/>
        <w:left w:val="none" w:sz="0" w:space="0" w:color="auto"/>
        <w:bottom w:val="none" w:sz="0" w:space="0" w:color="auto"/>
        <w:right w:val="none" w:sz="0" w:space="0" w:color="auto"/>
      </w:divBdr>
    </w:div>
    <w:div w:id="548541566">
      <w:bodyDiv w:val="1"/>
      <w:marLeft w:val="0"/>
      <w:marRight w:val="0"/>
      <w:marTop w:val="0"/>
      <w:marBottom w:val="0"/>
      <w:divBdr>
        <w:top w:val="none" w:sz="0" w:space="0" w:color="auto"/>
        <w:left w:val="none" w:sz="0" w:space="0" w:color="auto"/>
        <w:bottom w:val="none" w:sz="0" w:space="0" w:color="auto"/>
        <w:right w:val="none" w:sz="0" w:space="0" w:color="auto"/>
      </w:divBdr>
    </w:div>
    <w:div w:id="548687478">
      <w:bodyDiv w:val="1"/>
      <w:marLeft w:val="0"/>
      <w:marRight w:val="0"/>
      <w:marTop w:val="0"/>
      <w:marBottom w:val="0"/>
      <w:divBdr>
        <w:top w:val="none" w:sz="0" w:space="0" w:color="auto"/>
        <w:left w:val="none" w:sz="0" w:space="0" w:color="auto"/>
        <w:bottom w:val="none" w:sz="0" w:space="0" w:color="auto"/>
        <w:right w:val="none" w:sz="0" w:space="0" w:color="auto"/>
      </w:divBdr>
    </w:div>
    <w:div w:id="548688910">
      <w:bodyDiv w:val="1"/>
      <w:marLeft w:val="0"/>
      <w:marRight w:val="0"/>
      <w:marTop w:val="0"/>
      <w:marBottom w:val="0"/>
      <w:divBdr>
        <w:top w:val="none" w:sz="0" w:space="0" w:color="auto"/>
        <w:left w:val="none" w:sz="0" w:space="0" w:color="auto"/>
        <w:bottom w:val="none" w:sz="0" w:space="0" w:color="auto"/>
        <w:right w:val="none" w:sz="0" w:space="0" w:color="auto"/>
      </w:divBdr>
    </w:div>
    <w:div w:id="548761666">
      <w:bodyDiv w:val="1"/>
      <w:marLeft w:val="0"/>
      <w:marRight w:val="0"/>
      <w:marTop w:val="0"/>
      <w:marBottom w:val="0"/>
      <w:divBdr>
        <w:top w:val="none" w:sz="0" w:space="0" w:color="auto"/>
        <w:left w:val="none" w:sz="0" w:space="0" w:color="auto"/>
        <w:bottom w:val="none" w:sz="0" w:space="0" w:color="auto"/>
        <w:right w:val="none" w:sz="0" w:space="0" w:color="auto"/>
      </w:divBdr>
    </w:div>
    <w:div w:id="548955822">
      <w:bodyDiv w:val="1"/>
      <w:marLeft w:val="0"/>
      <w:marRight w:val="0"/>
      <w:marTop w:val="0"/>
      <w:marBottom w:val="0"/>
      <w:divBdr>
        <w:top w:val="none" w:sz="0" w:space="0" w:color="auto"/>
        <w:left w:val="none" w:sz="0" w:space="0" w:color="auto"/>
        <w:bottom w:val="none" w:sz="0" w:space="0" w:color="auto"/>
        <w:right w:val="none" w:sz="0" w:space="0" w:color="auto"/>
      </w:divBdr>
    </w:div>
    <w:div w:id="548960899">
      <w:bodyDiv w:val="1"/>
      <w:marLeft w:val="0"/>
      <w:marRight w:val="0"/>
      <w:marTop w:val="0"/>
      <w:marBottom w:val="0"/>
      <w:divBdr>
        <w:top w:val="none" w:sz="0" w:space="0" w:color="auto"/>
        <w:left w:val="none" w:sz="0" w:space="0" w:color="auto"/>
        <w:bottom w:val="none" w:sz="0" w:space="0" w:color="auto"/>
        <w:right w:val="none" w:sz="0" w:space="0" w:color="auto"/>
      </w:divBdr>
    </w:div>
    <w:div w:id="549267885">
      <w:bodyDiv w:val="1"/>
      <w:marLeft w:val="0"/>
      <w:marRight w:val="0"/>
      <w:marTop w:val="0"/>
      <w:marBottom w:val="0"/>
      <w:divBdr>
        <w:top w:val="none" w:sz="0" w:space="0" w:color="auto"/>
        <w:left w:val="none" w:sz="0" w:space="0" w:color="auto"/>
        <w:bottom w:val="none" w:sz="0" w:space="0" w:color="auto"/>
        <w:right w:val="none" w:sz="0" w:space="0" w:color="auto"/>
      </w:divBdr>
    </w:div>
    <w:div w:id="549341269">
      <w:bodyDiv w:val="1"/>
      <w:marLeft w:val="0"/>
      <w:marRight w:val="0"/>
      <w:marTop w:val="0"/>
      <w:marBottom w:val="0"/>
      <w:divBdr>
        <w:top w:val="none" w:sz="0" w:space="0" w:color="auto"/>
        <w:left w:val="none" w:sz="0" w:space="0" w:color="auto"/>
        <w:bottom w:val="none" w:sz="0" w:space="0" w:color="auto"/>
        <w:right w:val="none" w:sz="0" w:space="0" w:color="auto"/>
      </w:divBdr>
    </w:div>
    <w:div w:id="549417764">
      <w:bodyDiv w:val="1"/>
      <w:marLeft w:val="0"/>
      <w:marRight w:val="0"/>
      <w:marTop w:val="0"/>
      <w:marBottom w:val="0"/>
      <w:divBdr>
        <w:top w:val="none" w:sz="0" w:space="0" w:color="auto"/>
        <w:left w:val="none" w:sz="0" w:space="0" w:color="auto"/>
        <w:bottom w:val="none" w:sz="0" w:space="0" w:color="auto"/>
        <w:right w:val="none" w:sz="0" w:space="0" w:color="auto"/>
      </w:divBdr>
    </w:div>
    <w:div w:id="549462813">
      <w:bodyDiv w:val="1"/>
      <w:marLeft w:val="0"/>
      <w:marRight w:val="0"/>
      <w:marTop w:val="0"/>
      <w:marBottom w:val="0"/>
      <w:divBdr>
        <w:top w:val="none" w:sz="0" w:space="0" w:color="auto"/>
        <w:left w:val="none" w:sz="0" w:space="0" w:color="auto"/>
        <w:bottom w:val="none" w:sz="0" w:space="0" w:color="auto"/>
        <w:right w:val="none" w:sz="0" w:space="0" w:color="auto"/>
      </w:divBdr>
    </w:div>
    <w:div w:id="549804129">
      <w:bodyDiv w:val="1"/>
      <w:marLeft w:val="0"/>
      <w:marRight w:val="0"/>
      <w:marTop w:val="0"/>
      <w:marBottom w:val="0"/>
      <w:divBdr>
        <w:top w:val="none" w:sz="0" w:space="0" w:color="auto"/>
        <w:left w:val="none" w:sz="0" w:space="0" w:color="auto"/>
        <w:bottom w:val="none" w:sz="0" w:space="0" w:color="auto"/>
        <w:right w:val="none" w:sz="0" w:space="0" w:color="auto"/>
      </w:divBdr>
    </w:div>
    <w:div w:id="549848379">
      <w:bodyDiv w:val="1"/>
      <w:marLeft w:val="0"/>
      <w:marRight w:val="0"/>
      <w:marTop w:val="0"/>
      <w:marBottom w:val="0"/>
      <w:divBdr>
        <w:top w:val="none" w:sz="0" w:space="0" w:color="auto"/>
        <w:left w:val="none" w:sz="0" w:space="0" w:color="auto"/>
        <w:bottom w:val="none" w:sz="0" w:space="0" w:color="auto"/>
        <w:right w:val="none" w:sz="0" w:space="0" w:color="auto"/>
      </w:divBdr>
    </w:div>
    <w:div w:id="549851279">
      <w:bodyDiv w:val="1"/>
      <w:marLeft w:val="0"/>
      <w:marRight w:val="0"/>
      <w:marTop w:val="0"/>
      <w:marBottom w:val="0"/>
      <w:divBdr>
        <w:top w:val="none" w:sz="0" w:space="0" w:color="auto"/>
        <w:left w:val="none" w:sz="0" w:space="0" w:color="auto"/>
        <w:bottom w:val="none" w:sz="0" w:space="0" w:color="auto"/>
        <w:right w:val="none" w:sz="0" w:space="0" w:color="auto"/>
      </w:divBdr>
    </w:div>
    <w:div w:id="550070203">
      <w:bodyDiv w:val="1"/>
      <w:marLeft w:val="0"/>
      <w:marRight w:val="0"/>
      <w:marTop w:val="0"/>
      <w:marBottom w:val="0"/>
      <w:divBdr>
        <w:top w:val="none" w:sz="0" w:space="0" w:color="auto"/>
        <w:left w:val="none" w:sz="0" w:space="0" w:color="auto"/>
        <w:bottom w:val="none" w:sz="0" w:space="0" w:color="auto"/>
        <w:right w:val="none" w:sz="0" w:space="0" w:color="auto"/>
      </w:divBdr>
    </w:div>
    <w:div w:id="550190218">
      <w:bodyDiv w:val="1"/>
      <w:marLeft w:val="0"/>
      <w:marRight w:val="0"/>
      <w:marTop w:val="0"/>
      <w:marBottom w:val="0"/>
      <w:divBdr>
        <w:top w:val="none" w:sz="0" w:space="0" w:color="auto"/>
        <w:left w:val="none" w:sz="0" w:space="0" w:color="auto"/>
        <w:bottom w:val="none" w:sz="0" w:space="0" w:color="auto"/>
        <w:right w:val="none" w:sz="0" w:space="0" w:color="auto"/>
      </w:divBdr>
    </w:div>
    <w:div w:id="550193213">
      <w:bodyDiv w:val="1"/>
      <w:marLeft w:val="0"/>
      <w:marRight w:val="0"/>
      <w:marTop w:val="0"/>
      <w:marBottom w:val="0"/>
      <w:divBdr>
        <w:top w:val="none" w:sz="0" w:space="0" w:color="auto"/>
        <w:left w:val="none" w:sz="0" w:space="0" w:color="auto"/>
        <w:bottom w:val="none" w:sz="0" w:space="0" w:color="auto"/>
        <w:right w:val="none" w:sz="0" w:space="0" w:color="auto"/>
      </w:divBdr>
    </w:div>
    <w:div w:id="550266509">
      <w:bodyDiv w:val="1"/>
      <w:marLeft w:val="0"/>
      <w:marRight w:val="0"/>
      <w:marTop w:val="0"/>
      <w:marBottom w:val="0"/>
      <w:divBdr>
        <w:top w:val="none" w:sz="0" w:space="0" w:color="auto"/>
        <w:left w:val="none" w:sz="0" w:space="0" w:color="auto"/>
        <w:bottom w:val="none" w:sz="0" w:space="0" w:color="auto"/>
        <w:right w:val="none" w:sz="0" w:space="0" w:color="auto"/>
      </w:divBdr>
    </w:div>
    <w:div w:id="550270515">
      <w:bodyDiv w:val="1"/>
      <w:marLeft w:val="0"/>
      <w:marRight w:val="0"/>
      <w:marTop w:val="0"/>
      <w:marBottom w:val="0"/>
      <w:divBdr>
        <w:top w:val="none" w:sz="0" w:space="0" w:color="auto"/>
        <w:left w:val="none" w:sz="0" w:space="0" w:color="auto"/>
        <w:bottom w:val="none" w:sz="0" w:space="0" w:color="auto"/>
        <w:right w:val="none" w:sz="0" w:space="0" w:color="auto"/>
      </w:divBdr>
    </w:div>
    <w:div w:id="550314884">
      <w:bodyDiv w:val="1"/>
      <w:marLeft w:val="0"/>
      <w:marRight w:val="0"/>
      <w:marTop w:val="0"/>
      <w:marBottom w:val="0"/>
      <w:divBdr>
        <w:top w:val="none" w:sz="0" w:space="0" w:color="auto"/>
        <w:left w:val="none" w:sz="0" w:space="0" w:color="auto"/>
        <w:bottom w:val="none" w:sz="0" w:space="0" w:color="auto"/>
        <w:right w:val="none" w:sz="0" w:space="0" w:color="auto"/>
      </w:divBdr>
    </w:div>
    <w:div w:id="550578838">
      <w:bodyDiv w:val="1"/>
      <w:marLeft w:val="0"/>
      <w:marRight w:val="0"/>
      <w:marTop w:val="0"/>
      <w:marBottom w:val="0"/>
      <w:divBdr>
        <w:top w:val="none" w:sz="0" w:space="0" w:color="auto"/>
        <w:left w:val="none" w:sz="0" w:space="0" w:color="auto"/>
        <w:bottom w:val="none" w:sz="0" w:space="0" w:color="auto"/>
        <w:right w:val="none" w:sz="0" w:space="0" w:color="auto"/>
      </w:divBdr>
    </w:div>
    <w:div w:id="550579582">
      <w:bodyDiv w:val="1"/>
      <w:marLeft w:val="0"/>
      <w:marRight w:val="0"/>
      <w:marTop w:val="0"/>
      <w:marBottom w:val="0"/>
      <w:divBdr>
        <w:top w:val="none" w:sz="0" w:space="0" w:color="auto"/>
        <w:left w:val="none" w:sz="0" w:space="0" w:color="auto"/>
        <w:bottom w:val="none" w:sz="0" w:space="0" w:color="auto"/>
        <w:right w:val="none" w:sz="0" w:space="0" w:color="auto"/>
      </w:divBdr>
    </w:div>
    <w:div w:id="550768120">
      <w:bodyDiv w:val="1"/>
      <w:marLeft w:val="0"/>
      <w:marRight w:val="0"/>
      <w:marTop w:val="0"/>
      <w:marBottom w:val="0"/>
      <w:divBdr>
        <w:top w:val="none" w:sz="0" w:space="0" w:color="auto"/>
        <w:left w:val="none" w:sz="0" w:space="0" w:color="auto"/>
        <w:bottom w:val="none" w:sz="0" w:space="0" w:color="auto"/>
        <w:right w:val="none" w:sz="0" w:space="0" w:color="auto"/>
      </w:divBdr>
    </w:div>
    <w:div w:id="550921667">
      <w:bodyDiv w:val="1"/>
      <w:marLeft w:val="0"/>
      <w:marRight w:val="0"/>
      <w:marTop w:val="0"/>
      <w:marBottom w:val="0"/>
      <w:divBdr>
        <w:top w:val="none" w:sz="0" w:space="0" w:color="auto"/>
        <w:left w:val="none" w:sz="0" w:space="0" w:color="auto"/>
        <w:bottom w:val="none" w:sz="0" w:space="0" w:color="auto"/>
        <w:right w:val="none" w:sz="0" w:space="0" w:color="auto"/>
      </w:divBdr>
    </w:div>
    <w:div w:id="551113066">
      <w:bodyDiv w:val="1"/>
      <w:marLeft w:val="0"/>
      <w:marRight w:val="0"/>
      <w:marTop w:val="0"/>
      <w:marBottom w:val="0"/>
      <w:divBdr>
        <w:top w:val="none" w:sz="0" w:space="0" w:color="auto"/>
        <w:left w:val="none" w:sz="0" w:space="0" w:color="auto"/>
        <w:bottom w:val="none" w:sz="0" w:space="0" w:color="auto"/>
        <w:right w:val="none" w:sz="0" w:space="0" w:color="auto"/>
      </w:divBdr>
    </w:div>
    <w:div w:id="551189422">
      <w:bodyDiv w:val="1"/>
      <w:marLeft w:val="0"/>
      <w:marRight w:val="0"/>
      <w:marTop w:val="0"/>
      <w:marBottom w:val="0"/>
      <w:divBdr>
        <w:top w:val="none" w:sz="0" w:space="0" w:color="auto"/>
        <w:left w:val="none" w:sz="0" w:space="0" w:color="auto"/>
        <w:bottom w:val="none" w:sz="0" w:space="0" w:color="auto"/>
        <w:right w:val="none" w:sz="0" w:space="0" w:color="auto"/>
      </w:divBdr>
    </w:div>
    <w:div w:id="551231807">
      <w:bodyDiv w:val="1"/>
      <w:marLeft w:val="0"/>
      <w:marRight w:val="0"/>
      <w:marTop w:val="0"/>
      <w:marBottom w:val="0"/>
      <w:divBdr>
        <w:top w:val="none" w:sz="0" w:space="0" w:color="auto"/>
        <w:left w:val="none" w:sz="0" w:space="0" w:color="auto"/>
        <w:bottom w:val="none" w:sz="0" w:space="0" w:color="auto"/>
        <w:right w:val="none" w:sz="0" w:space="0" w:color="auto"/>
      </w:divBdr>
    </w:div>
    <w:div w:id="551381348">
      <w:bodyDiv w:val="1"/>
      <w:marLeft w:val="0"/>
      <w:marRight w:val="0"/>
      <w:marTop w:val="0"/>
      <w:marBottom w:val="0"/>
      <w:divBdr>
        <w:top w:val="none" w:sz="0" w:space="0" w:color="auto"/>
        <w:left w:val="none" w:sz="0" w:space="0" w:color="auto"/>
        <w:bottom w:val="none" w:sz="0" w:space="0" w:color="auto"/>
        <w:right w:val="none" w:sz="0" w:space="0" w:color="auto"/>
      </w:divBdr>
    </w:div>
    <w:div w:id="551422708">
      <w:bodyDiv w:val="1"/>
      <w:marLeft w:val="0"/>
      <w:marRight w:val="0"/>
      <w:marTop w:val="0"/>
      <w:marBottom w:val="0"/>
      <w:divBdr>
        <w:top w:val="none" w:sz="0" w:space="0" w:color="auto"/>
        <w:left w:val="none" w:sz="0" w:space="0" w:color="auto"/>
        <w:bottom w:val="none" w:sz="0" w:space="0" w:color="auto"/>
        <w:right w:val="none" w:sz="0" w:space="0" w:color="auto"/>
      </w:divBdr>
    </w:div>
    <w:div w:id="551427001">
      <w:bodyDiv w:val="1"/>
      <w:marLeft w:val="0"/>
      <w:marRight w:val="0"/>
      <w:marTop w:val="0"/>
      <w:marBottom w:val="0"/>
      <w:divBdr>
        <w:top w:val="none" w:sz="0" w:space="0" w:color="auto"/>
        <w:left w:val="none" w:sz="0" w:space="0" w:color="auto"/>
        <w:bottom w:val="none" w:sz="0" w:space="0" w:color="auto"/>
        <w:right w:val="none" w:sz="0" w:space="0" w:color="auto"/>
      </w:divBdr>
    </w:div>
    <w:div w:id="551501110">
      <w:bodyDiv w:val="1"/>
      <w:marLeft w:val="0"/>
      <w:marRight w:val="0"/>
      <w:marTop w:val="0"/>
      <w:marBottom w:val="0"/>
      <w:divBdr>
        <w:top w:val="none" w:sz="0" w:space="0" w:color="auto"/>
        <w:left w:val="none" w:sz="0" w:space="0" w:color="auto"/>
        <w:bottom w:val="none" w:sz="0" w:space="0" w:color="auto"/>
        <w:right w:val="none" w:sz="0" w:space="0" w:color="auto"/>
      </w:divBdr>
    </w:div>
    <w:div w:id="551580374">
      <w:bodyDiv w:val="1"/>
      <w:marLeft w:val="0"/>
      <w:marRight w:val="0"/>
      <w:marTop w:val="0"/>
      <w:marBottom w:val="0"/>
      <w:divBdr>
        <w:top w:val="none" w:sz="0" w:space="0" w:color="auto"/>
        <w:left w:val="none" w:sz="0" w:space="0" w:color="auto"/>
        <w:bottom w:val="none" w:sz="0" w:space="0" w:color="auto"/>
        <w:right w:val="none" w:sz="0" w:space="0" w:color="auto"/>
      </w:divBdr>
    </w:div>
    <w:div w:id="551618273">
      <w:bodyDiv w:val="1"/>
      <w:marLeft w:val="0"/>
      <w:marRight w:val="0"/>
      <w:marTop w:val="0"/>
      <w:marBottom w:val="0"/>
      <w:divBdr>
        <w:top w:val="none" w:sz="0" w:space="0" w:color="auto"/>
        <w:left w:val="none" w:sz="0" w:space="0" w:color="auto"/>
        <w:bottom w:val="none" w:sz="0" w:space="0" w:color="auto"/>
        <w:right w:val="none" w:sz="0" w:space="0" w:color="auto"/>
      </w:divBdr>
    </w:div>
    <w:div w:id="551648630">
      <w:bodyDiv w:val="1"/>
      <w:marLeft w:val="0"/>
      <w:marRight w:val="0"/>
      <w:marTop w:val="0"/>
      <w:marBottom w:val="0"/>
      <w:divBdr>
        <w:top w:val="none" w:sz="0" w:space="0" w:color="auto"/>
        <w:left w:val="none" w:sz="0" w:space="0" w:color="auto"/>
        <w:bottom w:val="none" w:sz="0" w:space="0" w:color="auto"/>
        <w:right w:val="none" w:sz="0" w:space="0" w:color="auto"/>
      </w:divBdr>
    </w:div>
    <w:div w:id="551696031">
      <w:bodyDiv w:val="1"/>
      <w:marLeft w:val="0"/>
      <w:marRight w:val="0"/>
      <w:marTop w:val="0"/>
      <w:marBottom w:val="0"/>
      <w:divBdr>
        <w:top w:val="none" w:sz="0" w:space="0" w:color="auto"/>
        <w:left w:val="none" w:sz="0" w:space="0" w:color="auto"/>
        <w:bottom w:val="none" w:sz="0" w:space="0" w:color="auto"/>
        <w:right w:val="none" w:sz="0" w:space="0" w:color="auto"/>
      </w:divBdr>
    </w:div>
    <w:div w:id="551700083">
      <w:bodyDiv w:val="1"/>
      <w:marLeft w:val="0"/>
      <w:marRight w:val="0"/>
      <w:marTop w:val="0"/>
      <w:marBottom w:val="0"/>
      <w:divBdr>
        <w:top w:val="none" w:sz="0" w:space="0" w:color="auto"/>
        <w:left w:val="none" w:sz="0" w:space="0" w:color="auto"/>
        <w:bottom w:val="none" w:sz="0" w:space="0" w:color="auto"/>
        <w:right w:val="none" w:sz="0" w:space="0" w:color="auto"/>
      </w:divBdr>
    </w:div>
    <w:div w:id="551775165">
      <w:bodyDiv w:val="1"/>
      <w:marLeft w:val="0"/>
      <w:marRight w:val="0"/>
      <w:marTop w:val="0"/>
      <w:marBottom w:val="0"/>
      <w:divBdr>
        <w:top w:val="none" w:sz="0" w:space="0" w:color="auto"/>
        <w:left w:val="none" w:sz="0" w:space="0" w:color="auto"/>
        <w:bottom w:val="none" w:sz="0" w:space="0" w:color="auto"/>
        <w:right w:val="none" w:sz="0" w:space="0" w:color="auto"/>
      </w:divBdr>
    </w:div>
    <w:div w:id="551843239">
      <w:bodyDiv w:val="1"/>
      <w:marLeft w:val="0"/>
      <w:marRight w:val="0"/>
      <w:marTop w:val="0"/>
      <w:marBottom w:val="0"/>
      <w:divBdr>
        <w:top w:val="none" w:sz="0" w:space="0" w:color="auto"/>
        <w:left w:val="none" w:sz="0" w:space="0" w:color="auto"/>
        <w:bottom w:val="none" w:sz="0" w:space="0" w:color="auto"/>
        <w:right w:val="none" w:sz="0" w:space="0" w:color="auto"/>
      </w:divBdr>
    </w:div>
    <w:div w:id="551889972">
      <w:bodyDiv w:val="1"/>
      <w:marLeft w:val="0"/>
      <w:marRight w:val="0"/>
      <w:marTop w:val="0"/>
      <w:marBottom w:val="0"/>
      <w:divBdr>
        <w:top w:val="none" w:sz="0" w:space="0" w:color="auto"/>
        <w:left w:val="none" w:sz="0" w:space="0" w:color="auto"/>
        <w:bottom w:val="none" w:sz="0" w:space="0" w:color="auto"/>
        <w:right w:val="none" w:sz="0" w:space="0" w:color="auto"/>
      </w:divBdr>
    </w:div>
    <w:div w:id="551892883">
      <w:bodyDiv w:val="1"/>
      <w:marLeft w:val="0"/>
      <w:marRight w:val="0"/>
      <w:marTop w:val="0"/>
      <w:marBottom w:val="0"/>
      <w:divBdr>
        <w:top w:val="none" w:sz="0" w:space="0" w:color="auto"/>
        <w:left w:val="none" w:sz="0" w:space="0" w:color="auto"/>
        <w:bottom w:val="none" w:sz="0" w:space="0" w:color="auto"/>
        <w:right w:val="none" w:sz="0" w:space="0" w:color="auto"/>
      </w:divBdr>
    </w:div>
    <w:div w:id="552011018">
      <w:bodyDiv w:val="1"/>
      <w:marLeft w:val="0"/>
      <w:marRight w:val="0"/>
      <w:marTop w:val="0"/>
      <w:marBottom w:val="0"/>
      <w:divBdr>
        <w:top w:val="none" w:sz="0" w:space="0" w:color="auto"/>
        <w:left w:val="none" w:sz="0" w:space="0" w:color="auto"/>
        <w:bottom w:val="none" w:sz="0" w:space="0" w:color="auto"/>
        <w:right w:val="none" w:sz="0" w:space="0" w:color="auto"/>
      </w:divBdr>
    </w:div>
    <w:div w:id="552084429">
      <w:bodyDiv w:val="1"/>
      <w:marLeft w:val="0"/>
      <w:marRight w:val="0"/>
      <w:marTop w:val="0"/>
      <w:marBottom w:val="0"/>
      <w:divBdr>
        <w:top w:val="none" w:sz="0" w:space="0" w:color="auto"/>
        <w:left w:val="none" w:sz="0" w:space="0" w:color="auto"/>
        <w:bottom w:val="none" w:sz="0" w:space="0" w:color="auto"/>
        <w:right w:val="none" w:sz="0" w:space="0" w:color="auto"/>
      </w:divBdr>
    </w:div>
    <w:div w:id="552228767">
      <w:bodyDiv w:val="1"/>
      <w:marLeft w:val="0"/>
      <w:marRight w:val="0"/>
      <w:marTop w:val="0"/>
      <w:marBottom w:val="0"/>
      <w:divBdr>
        <w:top w:val="none" w:sz="0" w:space="0" w:color="auto"/>
        <w:left w:val="none" w:sz="0" w:space="0" w:color="auto"/>
        <w:bottom w:val="none" w:sz="0" w:space="0" w:color="auto"/>
        <w:right w:val="none" w:sz="0" w:space="0" w:color="auto"/>
      </w:divBdr>
    </w:div>
    <w:div w:id="552232619">
      <w:bodyDiv w:val="1"/>
      <w:marLeft w:val="0"/>
      <w:marRight w:val="0"/>
      <w:marTop w:val="0"/>
      <w:marBottom w:val="0"/>
      <w:divBdr>
        <w:top w:val="none" w:sz="0" w:space="0" w:color="auto"/>
        <w:left w:val="none" w:sz="0" w:space="0" w:color="auto"/>
        <w:bottom w:val="none" w:sz="0" w:space="0" w:color="auto"/>
        <w:right w:val="none" w:sz="0" w:space="0" w:color="auto"/>
      </w:divBdr>
    </w:div>
    <w:div w:id="552237754">
      <w:bodyDiv w:val="1"/>
      <w:marLeft w:val="0"/>
      <w:marRight w:val="0"/>
      <w:marTop w:val="0"/>
      <w:marBottom w:val="0"/>
      <w:divBdr>
        <w:top w:val="none" w:sz="0" w:space="0" w:color="auto"/>
        <w:left w:val="none" w:sz="0" w:space="0" w:color="auto"/>
        <w:bottom w:val="none" w:sz="0" w:space="0" w:color="auto"/>
        <w:right w:val="none" w:sz="0" w:space="0" w:color="auto"/>
      </w:divBdr>
    </w:div>
    <w:div w:id="552303728">
      <w:bodyDiv w:val="1"/>
      <w:marLeft w:val="0"/>
      <w:marRight w:val="0"/>
      <w:marTop w:val="0"/>
      <w:marBottom w:val="0"/>
      <w:divBdr>
        <w:top w:val="none" w:sz="0" w:space="0" w:color="auto"/>
        <w:left w:val="none" w:sz="0" w:space="0" w:color="auto"/>
        <w:bottom w:val="none" w:sz="0" w:space="0" w:color="auto"/>
        <w:right w:val="none" w:sz="0" w:space="0" w:color="auto"/>
      </w:divBdr>
    </w:div>
    <w:div w:id="552421835">
      <w:bodyDiv w:val="1"/>
      <w:marLeft w:val="0"/>
      <w:marRight w:val="0"/>
      <w:marTop w:val="0"/>
      <w:marBottom w:val="0"/>
      <w:divBdr>
        <w:top w:val="none" w:sz="0" w:space="0" w:color="auto"/>
        <w:left w:val="none" w:sz="0" w:space="0" w:color="auto"/>
        <w:bottom w:val="none" w:sz="0" w:space="0" w:color="auto"/>
        <w:right w:val="none" w:sz="0" w:space="0" w:color="auto"/>
      </w:divBdr>
    </w:div>
    <w:div w:id="552690771">
      <w:bodyDiv w:val="1"/>
      <w:marLeft w:val="0"/>
      <w:marRight w:val="0"/>
      <w:marTop w:val="0"/>
      <w:marBottom w:val="0"/>
      <w:divBdr>
        <w:top w:val="none" w:sz="0" w:space="0" w:color="auto"/>
        <w:left w:val="none" w:sz="0" w:space="0" w:color="auto"/>
        <w:bottom w:val="none" w:sz="0" w:space="0" w:color="auto"/>
        <w:right w:val="none" w:sz="0" w:space="0" w:color="auto"/>
      </w:divBdr>
    </w:div>
    <w:div w:id="552695672">
      <w:bodyDiv w:val="1"/>
      <w:marLeft w:val="0"/>
      <w:marRight w:val="0"/>
      <w:marTop w:val="0"/>
      <w:marBottom w:val="0"/>
      <w:divBdr>
        <w:top w:val="none" w:sz="0" w:space="0" w:color="auto"/>
        <w:left w:val="none" w:sz="0" w:space="0" w:color="auto"/>
        <w:bottom w:val="none" w:sz="0" w:space="0" w:color="auto"/>
        <w:right w:val="none" w:sz="0" w:space="0" w:color="auto"/>
      </w:divBdr>
    </w:div>
    <w:div w:id="552929135">
      <w:bodyDiv w:val="1"/>
      <w:marLeft w:val="0"/>
      <w:marRight w:val="0"/>
      <w:marTop w:val="0"/>
      <w:marBottom w:val="0"/>
      <w:divBdr>
        <w:top w:val="none" w:sz="0" w:space="0" w:color="auto"/>
        <w:left w:val="none" w:sz="0" w:space="0" w:color="auto"/>
        <w:bottom w:val="none" w:sz="0" w:space="0" w:color="auto"/>
        <w:right w:val="none" w:sz="0" w:space="0" w:color="auto"/>
      </w:divBdr>
    </w:div>
    <w:div w:id="552959095">
      <w:bodyDiv w:val="1"/>
      <w:marLeft w:val="0"/>
      <w:marRight w:val="0"/>
      <w:marTop w:val="0"/>
      <w:marBottom w:val="0"/>
      <w:divBdr>
        <w:top w:val="none" w:sz="0" w:space="0" w:color="auto"/>
        <w:left w:val="none" w:sz="0" w:space="0" w:color="auto"/>
        <w:bottom w:val="none" w:sz="0" w:space="0" w:color="auto"/>
        <w:right w:val="none" w:sz="0" w:space="0" w:color="auto"/>
      </w:divBdr>
    </w:div>
    <w:div w:id="553273889">
      <w:bodyDiv w:val="1"/>
      <w:marLeft w:val="0"/>
      <w:marRight w:val="0"/>
      <w:marTop w:val="0"/>
      <w:marBottom w:val="0"/>
      <w:divBdr>
        <w:top w:val="none" w:sz="0" w:space="0" w:color="auto"/>
        <w:left w:val="none" w:sz="0" w:space="0" w:color="auto"/>
        <w:bottom w:val="none" w:sz="0" w:space="0" w:color="auto"/>
        <w:right w:val="none" w:sz="0" w:space="0" w:color="auto"/>
      </w:divBdr>
    </w:div>
    <w:div w:id="553463801">
      <w:bodyDiv w:val="1"/>
      <w:marLeft w:val="0"/>
      <w:marRight w:val="0"/>
      <w:marTop w:val="0"/>
      <w:marBottom w:val="0"/>
      <w:divBdr>
        <w:top w:val="none" w:sz="0" w:space="0" w:color="auto"/>
        <w:left w:val="none" w:sz="0" w:space="0" w:color="auto"/>
        <w:bottom w:val="none" w:sz="0" w:space="0" w:color="auto"/>
        <w:right w:val="none" w:sz="0" w:space="0" w:color="auto"/>
      </w:divBdr>
    </w:div>
    <w:div w:id="553614968">
      <w:bodyDiv w:val="1"/>
      <w:marLeft w:val="0"/>
      <w:marRight w:val="0"/>
      <w:marTop w:val="0"/>
      <w:marBottom w:val="0"/>
      <w:divBdr>
        <w:top w:val="none" w:sz="0" w:space="0" w:color="auto"/>
        <w:left w:val="none" w:sz="0" w:space="0" w:color="auto"/>
        <w:bottom w:val="none" w:sz="0" w:space="0" w:color="auto"/>
        <w:right w:val="none" w:sz="0" w:space="0" w:color="auto"/>
      </w:divBdr>
    </w:div>
    <w:div w:id="553663099">
      <w:bodyDiv w:val="1"/>
      <w:marLeft w:val="0"/>
      <w:marRight w:val="0"/>
      <w:marTop w:val="0"/>
      <w:marBottom w:val="0"/>
      <w:divBdr>
        <w:top w:val="none" w:sz="0" w:space="0" w:color="auto"/>
        <w:left w:val="none" w:sz="0" w:space="0" w:color="auto"/>
        <w:bottom w:val="none" w:sz="0" w:space="0" w:color="auto"/>
        <w:right w:val="none" w:sz="0" w:space="0" w:color="auto"/>
      </w:divBdr>
    </w:div>
    <w:div w:id="553737418">
      <w:bodyDiv w:val="1"/>
      <w:marLeft w:val="0"/>
      <w:marRight w:val="0"/>
      <w:marTop w:val="0"/>
      <w:marBottom w:val="0"/>
      <w:divBdr>
        <w:top w:val="none" w:sz="0" w:space="0" w:color="auto"/>
        <w:left w:val="none" w:sz="0" w:space="0" w:color="auto"/>
        <w:bottom w:val="none" w:sz="0" w:space="0" w:color="auto"/>
        <w:right w:val="none" w:sz="0" w:space="0" w:color="auto"/>
      </w:divBdr>
    </w:div>
    <w:div w:id="553738445">
      <w:bodyDiv w:val="1"/>
      <w:marLeft w:val="0"/>
      <w:marRight w:val="0"/>
      <w:marTop w:val="0"/>
      <w:marBottom w:val="0"/>
      <w:divBdr>
        <w:top w:val="none" w:sz="0" w:space="0" w:color="auto"/>
        <w:left w:val="none" w:sz="0" w:space="0" w:color="auto"/>
        <w:bottom w:val="none" w:sz="0" w:space="0" w:color="auto"/>
        <w:right w:val="none" w:sz="0" w:space="0" w:color="auto"/>
      </w:divBdr>
    </w:div>
    <w:div w:id="553932111">
      <w:bodyDiv w:val="1"/>
      <w:marLeft w:val="0"/>
      <w:marRight w:val="0"/>
      <w:marTop w:val="0"/>
      <w:marBottom w:val="0"/>
      <w:divBdr>
        <w:top w:val="none" w:sz="0" w:space="0" w:color="auto"/>
        <w:left w:val="none" w:sz="0" w:space="0" w:color="auto"/>
        <w:bottom w:val="none" w:sz="0" w:space="0" w:color="auto"/>
        <w:right w:val="none" w:sz="0" w:space="0" w:color="auto"/>
      </w:divBdr>
    </w:div>
    <w:div w:id="554006067">
      <w:bodyDiv w:val="1"/>
      <w:marLeft w:val="0"/>
      <w:marRight w:val="0"/>
      <w:marTop w:val="0"/>
      <w:marBottom w:val="0"/>
      <w:divBdr>
        <w:top w:val="none" w:sz="0" w:space="0" w:color="auto"/>
        <w:left w:val="none" w:sz="0" w:space="0" w:color="auto"/>
        <w:bottom w:val="none" w:sz="0" w:space="0" w:color="auto"/>
        <w:right w:val="none" w:sz="0" w:space="0" w:color="auto"/>
      </w:divBdr>
    </w:div>
    <w:div w:id="554044078">
      <w:bodyDiv w:val="1"/>
      <w:marLeft w:val="0"/>
      <w:marRight w:val="0"/>
      <w:marTop w:val="0"/>
      <w:marBottom w:val="0"/>
      <w:divBdr>
        <w:top w:val="none" w:sz="0" w:space="0" w:color="auto"/>
        <w:left w:val="none" w:sz="0" w:space="0" w:color="auto"/>
        <w:bottom w:val="none" w:sz="0" w:space="0" w:color="auto"/>
        <w:right w:val="none" w:sz="0" w:space="0" w:color="auto"/>
      </w:divBdr>
    </w:div>
    <w:div w:id="554321384">
      <w:bodyDiv w:val="1"/>
      <w:marLeft w:val="0"/>
      <w:marRight w:val="0"/>
      <w:marTop w:val="0"/>
      <w:marBottom w:val="0"/>
      <w:divBdr>
        <w:top w:val="none" w:sz="0" w:space="0" w:color="auto"/>
        <w:left w:val="none" w:sz="0" w:space="0" w:color="auto"/>
        <w:bottom w:val="none" w:sz="0" w:space="0" w:color="auto"/>
        <w:right w:val="none" w:sz="0" w:space="0" w:color="auto"/>
      </w:divBdr>
    </w:div>
    <w:div w:id="554389580">
      <w:bodyDiv w:val="1"/>
      <w:marLeft w:val="0"/>
      <w:marRight w:val="0"/>
      <w:marTop w:val="0"/>
      <w:marBottom w:val="0"/>
      <w:divBdr>
        <w:top w:val="none" w:sz="0" w:space="0" w:color="auto"/>
        <w:left w:val="none" w:sz="0" w:space="0" w:color="auto"/>
        <w:bottom w:val="none" w:sz="0" w:space="0" w:color="auto"/>
        <w:right w:val="none" w:sz="0" w:space="0" w:color="auto"/>
      </w:divBdr>
    </w:div>
    <w:div w:id="554435519">
      <w:bodyDiv w:val="1"/>
      <w:marLeft w:val="0"/>
      <w:marRight w:val="0"/>
      <w:marTop w:val="0"/>
      <w:marBottom w:val="0"/>
      <w:divBdr>
        <w:top w:val="none" w:sz="0" w:space="0" w:color="auto"/>
        <w:left w:val="none" w:sz="0" w:space="0" w:color="auto"/>
        <w:bottom w:val="none" w:sz="0" w:space="0" w:color="auto"/>
        <w:right w:val="none" w:sz="0" w:space="0" w:color="auto"/>
      </w:divBdr>
    </w:div>
    <w:div w:id="554509570">
      <w:bodyDiv w:val="1"/>
      <w:marLeft w:val="0"/>
      <w:marRight w:val="0"/>
      <w:marTop w:val="0"/>
      <w:marBottom w:val="0"/>
      <w:divBdr>
        <w:top w:val="none" w:sz="0" w:space="0" w:color="auto"/>
        <w:left w:val="none" w:sz="0" w:space="0" w:color="auto"/>
        <w:bottom w:val="none" w:sz="0" w:space="0" w:color="auto"/>
        <w:right w:val="none" w:sz="0" w:space="0" w:color="auto"/>
      </w:divBdr>
    </w:div>
    <w:div w:id="554583521">
      <w:bodyDiv w:val="1"/>
      <w:marLeft w:val="0"/>
      <w:marRight w:val="0"/>
      <w:marTop w:val="0"/>
      <w:marBottom w:val="0"/>
      <w:divBdr>
        <w:top w:val="none" w:sz="0" w:space="0" w:color="auto"/>
        <w:left w:val="none" w:sz="0" w:space="0" w:color="auto"/>
        <w:bottom w:val="none" w:sz="0" w:space="0" w:color="auto"/>
        <w:right w:val="none" w:sz="0" w:space="0" w:color="auto"/>
      </w:divBdr>
    </w:div>
    <w:div w:id="554589833">
      <w:bodyDiv w:val="1"/>
      <w:marLeft w:val="0"/>
      <w:marRight w:val="0"/>
      <w:marTop w:val="0"/>
      <w:marBottom w:val="0"/>
      <w:divBdr>
        <w:top w:val="none" w:sz="0" w:space="0" w:color="auto"/>
        <w:left w:val="none" w:sz="0" w:space="0" w:color="auto"/>
        <w:bottom w:val="none" w:sz="0" w:space="0" w:color="auto"/>
        <w:right w:val="none" w:sz="0" w:space="0" w:color="auto"/>
      </w:divBdr>
    </w:div>
    <w:div w:id="554779267">
      <w:bodyDiv w:val="1"/>
      <w:marLeft w:val="0"/>
      <w:marRight w:val="0"/>
      <w:marTop w:val="0"/>
      <w:marBottom w:val="0"/>
      <w:divBdr>
        <w:top w:val="none" w:sz="0" w:space="0" w:color="auto"/>
        <w:left w:val="none" w:sz="0" w:space="0" w:color="auto"/>
        <w:bottom w:val="none" w:sz="0" w:space="0" w:color="auto"/>
        <w:right w:val="none" w:sz="0" w:space="0" w:color="auto"/>
      </w:divBdr>
    </w:div>
    <w:div w:id="554780507">
      <w:bodyDiv w:val="1"/>
      <w:marLeft w:val="0"/>
      <w:marRight w:val="0"/>
      <w:marTop w:val="0"/>
      <w:marBottom w:val="0"/>
      <w:divBdr>
        <w:top w:val="none" w:sz="0" w:space="0" w:color="auto"/>
        <w:left w:val="none" w:sz="0" w:space="0" w:color="auto"/>
        <w:bottom w:val="none" w:sz="0" w:space="0" w:color="auto"/>
        <w:right w:val="none" w:sz="0" w:space="0" w:color="auto"/>
      </w:divBdr>
    </w:div>
    <w:div w:id="555243606">
      <w:bodyDiv w:val="1"/>
      <w:marLeft w:val="0"/>
      <w:marRight w:val="0"/>
      <w:marTop w:val="0"/>
      <w:marBottom w:val="0"/>
      <w:divBdr>
        <w:top w:val="none" w:sz="0" w:space="0" w:color="auto"/>
        <w:left w:val="none" w:sz="0" w:space="0" w:color="auto"/>
        <w:bottom w:val="none" w:sz="0" w:space="0" w:color="auto"/>
        <w:right w:val="none" w:sz="0" w:space="0" w:color="auto"/>
      </w:divBdr>
    </w:div>
    <w:div w:id="555317822">
      <w:bodyDiv w:val="1"/>
      <w:marLeft w:val="0"/>
      <w:marRight w:val="0"/>
      <w:marTop w:val="0"/>
      <w:marBottom w:val="0"/>
      <w:divBdr>
        <w:top w:val="none" w:sz="0" w:space="0" w:color="auto"/>
        <w:left w:val="none" w:sz="0" w:space="0" w:color="auto"/>
        <w:bottom w:val="none" w:sz="0" w:space="0" w:color="auto"/>
        <w:right w:val="none" w:sz="0" w:space="0" w:color="auto"/>
      </w:divBdr>
    </w:div>
    <w:div w:id="555430027">
      <w:bodyDiv w:val="1"/>
      <w:marLeft w:val="0"/>
      <w:marRight w:val="0"/>
      <w:marTop w:val="0"/>
      <w:marBottom w:val="0"/>
      <w:divBdr>
        <w:top w:val="none" w:sz="0" w:space="0" w:color="auto"/>
        <w:left w:val="none" w:sz="0" w:space="0" w:color="auto"/>
        <w:bottom w:val="none" w:sz="0" w:space="0" w:color="auto"/>
        <w:right w:val="none" w:sz="0" w:space="0" w:color="auto"/>
      </w:divBdr>
    </w:div>
    <w:div w:id="555430156">
      <w:bodyDiv w:val="1"/>
      <w:marLeft w:val="0"/>
      <w:marRight w:val="0"/>
      <w:marTop w:val="0"/>
      <w:marBottom w:val="0"/>
      <w:divBdr>
        <w:top w:val="none" w:sz="0" w:space="0" w:color="auto"/>
        <w:left w:val="none" w:sz="0" w:space="0" w:color="auto"/>
        <w:bottom w:val="none" w:sz="0" w:space="0" w:color="auto"/>
        <w:right w:val="none" w:sz="0" w:space="0" w:color="auto"/>
      </w:divBdr>
    </w:div>
    <w:div w:id="555707002">
      <w:bodyDiv w:val="1"/>
      <w:marLeft w:val="0"/>
      <w:marRight w:val="0"/>
      <w:marTop w:val="0"/>
      <w:marBottom w:val="0"/>
      <w:divBdr>
        <w:top w:val="none" w:sz="0" w:space="0" w:color="auto"/>
        <w:left w:val="none" w:sz="0" w:space="0" w:color="auto"/>
        <w:bottom w:val="none" w:sz="0" w:space="0" w:color="auto"/>
        <w:right w:val="none" w:sz="0" w:space="0" w:color="auto"/>
      </w:divBdr>
    </w:div>
    <w:div w:id="555776073">
      <w:bodyDiv w:val="1"/>
      <w:marLeft w:val="0"/>
      <w:marRight w:val="0"/>
      <w:marTop w:val="0"/>
      <w:marBottom w:val="0"/>
      <w:divBdr>
        <w:top w:val="none" w:sz="0" w:space="0" w:color="auto"/>
        <w:left w:val="none" w:sz="0" w:space="0" w:color="auto"/>
        <w:bottom w:val="none" w:sz="0" w:space="0" w:color="auto"/>
        <w:right w:val="none" w:sz="0" w:space="0" w:color="auto"/>
      </w:divBdr>
    </w:div>
    <w:div w:id="556204417">
      <w:bodyDiv w:val="1"/>
      <w:marLeft w:val="0"/>
      <w:marRight w:val="0"/>
      <w:marTop w:val="0"/>
      <w:marBottom w:val="0"/>
      <w:divBdr>
        <w:top w:val="none" w:sz="0" w:space="0" w:color="auto"/>
        <w:left w:val="none" w:sz="0" w:space="0" w:color="auto"/>
        <w:bottom w:val="none" w:sz="0" w:space="0" w:color="auto"/>
        <w:right w:val="none" w:sz="0" w:space="0" w:color="auto"/>
      </w:divBdr>
    </w:div>
    <w:div w:id="556211966">
      <w:bodyDiv w:val="1"/>
      <w:marLeft w:val="0"/>
      <w:marRight w:val="0"/>
      <w:marTop w:val="0"/>
      <w:marBottom w:val="0"/>
      <w:divBdr>
        <w:top w:val="none" w:sz="0" w:space="0" w:color="auto"/>
        <w:left w:val="none" w:sz="0" w:space="0" w:color="auto"/>
        <w:bottom w:val="none" w:sz="0" w:space="0" w:color="auto"/>
        <w:right w:val="none" w:sz="0" w:space="0" w:color="auto"/>
      </w:divBdr>
    </w:div>
    <w:div w:id="556283559">
      <w:bodyDiv w:val="1"/>
      <w:marLeft w:val="0"/>
      <w:marRight w:val="0"/>
      <w:marTop w:val="0"/>
      <w:marBottom w:val="0"/>
      <w:divBdr>
        <w:top w:val="none" w:sz="0" w:space="0" w:color="auto"/>
        <w:left w:val="none" w:sz="0" w:space="0" w:color="auto"/>
        <w:bottom w:val="none" w:sz="0" w:space="0" w:color="auto"/>
        <w:right w:val="none" w:sz="0" w:space="0" w:color="auto"/>
      </w:divBdr>
    </w:div>
    <w:div w:id="556285212">
      <w:bodyDiv w:val="1"/>
      <w:marLeft w:val="0"/>
      <w:marRight w:val="0"/>
      <w:marTop w:val="0"/>
      <w:marBottom w:val="0"/>
      <w:divBdr>
        <w:top w:val="none" w:sz="0" w:space="0" w:color="auto"/>
        <w:left w:val="none" w:sz="0" w:space="0" w:color="auto"/>
        <w:bottom w:val="none" w:sz="0" w:space="0" w:color="auto"/>
        <w:right w:val="none" w:sz="0" w:space="0" w:color="auto"/>
      </w:divBdr>
    </w:div>
    <w:div w:id="556362903">
      <w:bodyDiv w:val="1"/>
      <w:marLeft w:val="0"/>
      <w:marRight w:val="0"/>
      <w:marTop w:val="0"/>
      <w:marBottom w:val="0"/>
      <w:divBdr>
        <w:top w:val="none" w:sz="0" w:space="0" w:color="auto"/>
        <w:left w:val="none" w:sz="0" w:space="0" w:color="auto"/>
        <w:bottom w:val="none" w:sz="0" w:space="0" w:color="auto"/>
        <w:right w:val="none" w:sz="0" w:space="0" w:color="auto"/>
      </w:divBdr>
    </w:div>
    <w:div w:id="556402469">
      <w:bodyDiv w:val="1"/>
      <w:marLeft w:val="0"/>
      <w:marRight w:val="0"/>
      <w:marTop w:val="0"/>
      <w:marBottom w:val="0"/>
      <w:divBdr>
        <w:top w:val="none" w:sz="0" w:space="0" w:color="auto"/>
        <w:left w:val="none" w:sz="0" w:space="0" w:color="auto"/>
        <w:bottom w:val="none" w:sz="0" w:space="0" w:color="auto"/>
        <w:right w:val="none" w:sz="0" w:space="0" w:color="auto"/>
      </w:divBdr>
    </w:div>
    <w:div w:id="556548349">
      <w:bodyDiv w:val="1"/>
      <w:marLeft w:val="0"/>
      <w:marRight w:val="0"/>
      <w:marTop w:val="0"/>
      <w:marBottom w:val="0"/>
      <w:divBdr>
        <w:top w:val="none" w:sz="0" w:space="0" w:color="auto"/>
        <w:left w:val="none" w:sz="0" w:space="0" w:color="auto"/>
        <w:bottom w:val="none" w:sz="0" w:space="0" w:color="auto"/>
        <w:right w:val="none" w:sz="0" w:space="0" w:color="auto"/>
      </w:divBdr>
    </w:div>
    <w:div w:id="556550814">
      <w:bodyDiv w:val="1"/>
      <w:marLeft w:val="0"/>
      <w:marRight w:val="0"/>
      <w:marTop w:val="0"/>
      <w:marBottom w:val="0"/>
      <w:divBdr>
        <w:top w:val="none" w:sz="0" w:space="0" w:color="auto"/>
        <w:left w:val="none" w:sz="0" w:space="0" w:color="auto"/>
        <w:bottom w:val="none" w:sz="0" w:space="0" w:color="auto"/>
        <w:right w:val="none" w:sz="0" w:space="0" w:color="auto"/>
      </w:divBdr>
    </w:div>
    <w:div w:id="556628788">
      <w:bodyDiv w:val="1"/>
      <w:marLeft w:val="0"/>
      <w:marRight w:val="0"/>
      <w:marTop w:val="0"/>
      <w:marBottom w:val="0"/>
      <w:divBdr>
        <w:top w:val="none" w:sz="0" w:space="0" w:color="auto"/>
        <w:left w:val="none" w:sz="0" w:space="0" w:color="auto"/>
        <w:bottom w:val="none" w:sz="0" w:space="0" w:color="auto"/>
        <w:right w:val="none" w:sz="0" w:space="0" w:color="auto"/>
      </w:divBdr>
    </w:div>
    <w:div w:id="556629696">
      <w:bodyDiv w:val="1"/>
      <w:marLeft w:val="0"/>
      <w:marRight w:val="0"/>
      <w:marTop w:val="0"/>
      <w:marBottom w:val="0"/>
      <w:divBdr>
        <w:top w:val="none" w:sz="0" w:space="0" w:color="auto"/>
        <w:left w:val="none" w:sz="0" w:space="0" w:color="auto"/>
        <w:bottom w:val="none" w:sz="0" w:space="0" w:color="auto"/>
        <w:right w:val="none" w:sz="0" w:space="0" w:color="auto"/>
      </w:divBdr>
    </w:div>
    <w:div w:id="556666172">
      <w:bodyDiv w:val="1"/>
      <w:marLeft w:val="0"/>
      <w:marRight w:val="0"/>
      <w:marTop w:val="0"/>
      <w:marBottom w:val="0"/>
      <w:divBdr>
        <w:top w:val="none" w:sz="0" w:space="0" w:color="auto"/>
        <w:left w:val="none" w:sz="0" w:space="0" w:color="auto"/>
        <w:bottom w:val="none" w:sz="0" w:space="0" w:color="auto"/>
        <w:right w:val="none" w:sz="0" w:space="0" w:color="auto"/>
      </w:divBdr>
    </w:div>
    <w:div w:id="556672091">
      <w:bodyDiv w:val="1"/>
      <w:marLeft w:val="0"/>
      <w:marRight w:val="0"/>
      <w:marTop w:val="0"/>
      <w:marBottom w:val="0"/>
      <w:divBdr>
        <w:top w:val="none" w:sz="0" w:space="0" w:color="auto"/>
        <w:left w:val="none" w:sz="0" w:space="0" w:color="auto"/>
        <w:bottom w:val="none" w:sz="0" w:space="0" w:color="auto"/>
        <w:right w:val="none" w:sz="0" w:space="0" w:color="auto"/>
      </w:divBdr>
    </w:div>
    <w:div w:id="556749336">
      <w:bodyDiv w:val="1"/>
      <w:marLeft w:val="0"/>
      <w:marRight w:val="0"/>
      <w:marTop w:val="0"/>
      <w:marBottom w:val="0"/>
      <w:divBdr>
        <w:top w:val="none" w:sz="0" w:space="0" w:color="auto"/>
        <w:left w:val="none" w:sz="0" w:space="0" w:color="auto"/>
        <w:bottom w:val="none" w:sz="0" w:space="0" w:color="auto"/>
        <w:right w:val="none" w:sz="0" w:space="0" w:color="auto"/>
      </w:divBdr>
    </w:div>
    <w:div w:id="556939482">
      <w:bodyDiv w:val="1"/>
      <w:marLeft w:val="0"/>
      <w:marRight w:val="0"/>
      <w:marTop w:val="0"/>
      <w:marBottom w:val="0"/>
      <w:divBdr>
        <w:top w:val="none" w:sz="0" w:space="0" w:color="auto"/>
        <w:left w:val="none" w:sz="0" w:space="0" w:color="auto"/>
        <w:bottom w:val="none" w:sz="0" w:space="0" w:color="auto"/>
        <w:right w:val="none" w:sz="0" w:space="0" w:color="auto"/>
      </w:divBdr>
    </w:div>
    <w:div w:id="557014463">
      <w:bodyDiv w:val="1"/>
      <w:marLeft w:val="0"/>
      <w:marRight w:val="0"/>
      <w:marTop w:val="0"/>
      <w:marBottom w:val="0"/>
      <w:divBdr>
        <w:top w:val="none" w:sz="0" w:space="0" w:color="auto"/>
        <w:left w:val="none" w:sz="0" w:space="0" w:color="auto"/>
        <w:bottom w:val="none" w:sz="0" w:space="0" w:color="auto"/>
        <w:right w:val="none" w:sz="0" w:space="0" w:color="auto"/>
      </w:divBdr>
    </w:div>
    <w:div w:id="557087126">
      <w:bodyDiv w:val="1"/>
      <w:marLeft w:val="0"/>
      <w:marRight w:val="0"/>
      <w:marTop w:val="0"/>
      <w:marBottom w:val="0"/>
      <w:divBdr>
        <w:top w:val="none" w:sz="0" w:space="0" w:color="auto"/>
        <w:left w:val="none" w:sz="0" w:space="0" w:color="auto"/>
        <w:bottom w:val="none" w:sz="0" w:space="0" w:color="auto"/>
        <w:right w:val="none" w:sz="0" w:space="0" w:color="auto"/>
      </w:divBdr>
    </w:div>
    <w:div w:id="557208352">
      <w:bodyDiv w:val="1"/>
      <w:marLeft w:val="0"/>
      <w:marRight w:val="0"/>
      <w:marTop w:val="0"/>
      <w:marBottom w:val="0"/>
      <w:divBdr>
        <w:top w:val="none" w:sz="0" w:space="0" w:color="auto"/>
        <w:left w:val="none" w:sz="0" w:space="0" w:color="auto"/>
        <w:bottom w:val="none" w:sz="0" w:space="0" w:color="auto"/>
        <w:right w:val="none" w:sz="0" w:space="0" w:color="auto"/>
      </w:divBdr>
    </w:div>
    <w:div w:id="557323221">
      <w:bodyDiv w:val="1"/>
      <w:marLeft w:val="0"/>
      <w:marRight w:val="0"/>
      <w:marTop w:val="0"/>
      <w:marBottom w:val="0"/>
      <w:divBdr>
        <w:top w:val="none" w:sz="0" w:space="0" w:color="auto"/>
        <w:left w:val="none" w:sz="0" w:space="0" w:color="auto"/>
        <w:bottom w:val="none" w:sz="0" w:space="0" w:color="auto"/>
        <w:right w:val="none" w:sz="0" w:space="0" w:color="auto"/>
      </w:divBdr>
    </w:div>
    <w:div w:id="557515638">
      <w:bodyDiv w:val="1"/>
      <w:marLeft w:val="0"/>
      <w:marRight w:val="0"/>
      <w:marTop w:val="0"/>
      <w:marBottom w:val="0"/>
      <w:divBdr>
        <w:top w:val="none" w:sz="0" w:space="0" w:color="auto"/>
        <w:left w:val="none" w:sz="0" w:space="0" w:color="auto"/>
        <w:bottom w:val="none" w:sz="0" w:space="0" w:color="auto"/>
        <w:right w:val="none" w:sz="0" w:space="0" w:color="auto"/>
      </w:divBdr>
    </w:div>
    <w:div w:id="557595091">
      <w:bodyDiv w:val="1"/>
      <w:marLeft w:val="0"/>
      <w:marRight w:val="0"/>
      <w:marTop w:val="0"/>
      <w:marBottom w:val="0"/>
      <w:divBdr>
        <w:top w:val="none" w:sz="0" w:space="0" w:color="auto"/>
        <w:left w:val="none" w:sz="0" w:space="0" w:color="auto"/>
        <w:bottom w:val="none" w:sz="0" w:space="0" w:color="auto"/>
        <w:right w:val="none" w:sz="0" w:space="0" w:color="auto"/>
      </w:divBdr>
    </w:div>
    <w:div w:id="557597650">
      <w:bodyDiv w:val="1"/>
      <w:marLeft w:val="0"/>
      <w:marRight w:val="0"/>
      <w:marTop w:val="0"/>
      <w:marBottom w:val="0"/>
      <w:divBdr>
        <w:top w:val="none" w:sz="0" w:space="0" w:color="auto"/>
        <w:left w:val="none" w:sz="0" w:space="0" w:color="auto"/>
        <w:bottom w:val="none" w:sz="0" w:space="0" w:color="auto"/>
        <w:right w:val="none" w:sz="0" w:space="0" w:color="auto"/>
      </w:divBdr>
    </w:div>
    <w:div w:id="557668046">
      <w:bodyDiv w:val="1"/>
      <w:marLeft w:val="0"/>
      <w:marRight w:val="0"/>
      <w:marTop w:val="0"/>
      <w:marBottom w:val="0"/>
      <w:divBdr>
        <w:top w:val="none" w:sz="0" w:space="0" w:color="auto"/>
        <w:left w:val="none" w:sz="0" w:space="0" w:color="auto"/>
        <w:bottom w:val="none" w:sz="0" w:space="0" w:color="auto"/>
        <w:right w:val="none" w:sz="0" w:space="0" w:color="auto"/>
      </w:divBdr>
    </w:div>
    <w:div w:id="557783727">
      <w:bodyDiv w:val="1"/>
      <w:marLeft w:val="0"/>
      <w:marRight w:val="0"/>
      <w:marTop w:val="0"/>
      <w:marBottom w:val="0"/>
      <w:divBdr>
        <w:top w:val="none" w:sz="0" w:space="0" w:color="auto"/>
        <w:left w:val="none" w:sz="0" w:space="0" w:color="auto"/>
        <w:bottom w:val="none" w:sz="0" w:space="0" w:color="auto"/>
        <w:right w:val="none" w:sz="0" w:space="0" w:color="auto"/>
      </w:divBdr>
    </w:div>
    <w:div w:id="557937366">
      <w:bodyDiv w:val="1"/>
      <w:marLeft w:val="0"/>
      <w:marRight w:val="0"/>
      <w:marTop w:val="0"/>
      <w:marBottom w:val="0"/>
      <w:divBdr>
        <w:top w:val="none" w:sz="0" w:space="0" w:color="auto"/>
        <w:left w:val="none" w:sz="0" w:space="0" w:color="auto"/>
        <w:bottom w:val="none" w:sz="0" w:space="0" w:color="auto"/>
        <w:right w:val="none" w:sz="0" w:space="0" w:color="auto"/>
      </w:divBdr>
    </w:div>
    <w:div w:id="557984291">
      <w:bodyDiv w:val="1"/>
      <w:marLeft w:val="0"/>
      <w:marRight w:val="0"/>
      <w:marTop w:val="0"/>
      <w:marBottom w:val="0"/>
      <w:divBdr>
        <w:top w:val="none" w:sz="0" w:space="0" w:color="auto"/>
        <w:left w:val="none" w:sz="0" w:space="0" w:color="auto"/>
        <w:bottom w:val="none" w:sz="0" w:space="0" w:color="auto"/>
        <w:right w:val="none" w:sz="0" w:space="0" w:color="auto"/>
      </w:divBdr>
    </w:div>
    <w:div w:id="558245957">
      <w:bodyDiv w:val="1"/>
      <w:marLeft w:val="0"/>
      <w:marRight w:val="0"/>
      <w:marTop w:val="0"/>
      <w:marBottom w:val="0"/>
      <w:divBdr>
        <w:top w:val="none" w:sz="0" w:space="0" w:color="auto"/>
        <w:left w:val="none" w:sz="0" w:space="0" w:color="auto"/>
        <w:bottom w:val="none" w:sz="0" w:space="0" w:color="auto"/>
        <w:right w:val="none" w:sz="0" w:space="0" w:color="auto"/>
      </w:divBdr>
    </w:div>
    <w:div w:id="558250999">
      <w:bodyDiv w:val="1"/>
      <w:marLeft w:val="0"/>
      <w:marRight w:val="0"/>
      <w:marTop w:val="0"/>
      <w:marBottom w:val="0"/>
      <w:divBdr>
        <w:top w:val="none" w:sz="0" w:space="0" w:color="auto"/>
        <w:left w:val="none" w:sz="0" w:space="0" w:color="auto"/>
        <w:bottom w:val="none" w:sz="0" w:space="0" w:color="auto"/>
        <w:right w:val="none" w:sz="0" w:space="0" w:color="auto"/>
      </w:divBdr>
    </w:div>
    <w:div w:id="558442456">
      <w:bodyDiv w:val="1"/>
      <w:marLeft w:val="0"/>
      <w:marRight w:val="0"/>
      <w:marTop w:val="0"/>
      <w:marBottom w:val="0"/>
      <w:divBdr>
        <w:top w:val="none" w:sz="0" w:space="0" w:color="auto"/>
        <w:left w:val="none" w:sz="0" w:space="0" w:color="auto"/>
        <w:bottom w:val="none" w:sz="0" w:space="0" w:color="auto"/>
        <w:right w:val="none" w:sz="0" w:space="0" w:color="auto"/>
      </w:divBdr>
    </w:div>
    <w:div w:id="559050485">
      <w:bodyDiv w:val="1"/>
      <w:marLeft w:val="0"/>
      <w:marRight w:val="0"/>
      <w:marTop w:val="0"/>
      <w:marBottom w:val="0"/>
      <w:divBdr>
        <w:top w:val="none" w:sz="0" w:space="0" w:color="auto"/>
        <w:left w:val="none" w:sz="0" w:space="0" w:color="auto"/>
        <w:bottom w:val="none" w:sz="0" w:space="0" w:color="auto"/>
        <w:right w:val="none" w:sz="0" w:space="0" w:color="auto"/>
      </w:divBdr>
    </w:div>
    <w:div w:id="559176879">
      <w:bodyDiv w:val="1"/>
      <w:marLeft w:val="0"/>
      <w:marRight w:val="0"/>
      <w:marTop w:val="0"/>
      <w:marBottom w:val="0"/>
      <w:divBdr>
        <w:top w:val="none" w:sz="0" w:space="0" w:color="auto"/>
        <w:left w:val="none" w:sz="0" w:space="0" w:color="auto"/>
        <w:bottom w:val="none" w:sz="0" w:space="0" w:color="auto"/>
        <w:right w:val="none" w:sz="0" w:space="0" w:color="auto"/>
      </w:divBdr>
    </w:div>
    <w:div w:id="559285799">
      <w:bodyDiv w:val="1"/>
      <w:marLeft w:val="0"/>
      <w:marRight w:val="0"/>
      <w:marTop w:val="0"/>
      <w:marBottom w:val="0"/>
      <w:divBdr>
        <w:top w:val="none" w:sz="0" w:space="0" w:color="auto"/>
        <w:left w:val="none" w:sz="0" w:space="0" w:color="auto"/>
        <w:bottom w:val="none" w:sz="0" w:space="0" w:color="auto"/>
        <w:right w:val="none" w:sz="0" w:space="0" w:color="auto"/>
      </w:divBdr>
    </w:div>
    <w:div w:id="559287740">
      <w:bodyDiv w:val="1"/>
      <w:marLeft w:val="0"/>
      <w:marRight w:val="0"/>
      <w:marTop w:val="0"/>
      <w:marBottom w:val="0"/>
      <w:divBdr>
        <w:top w:val="none" w:sz="0" w:space="0" w:color="auto"/>
        <w:left w:val="none" w:sz="0" w:space="0" w:color="auto"/>
        <w:bottom w:val="none" w:sz="0" w:space="0" w:color="auto"/>
        <w:right w:val="none" w:sz="0" w:space="0" w:color="auto"/>
      </w:divBdr>
    </w:div>
    <w:div w:id="559364263">
      <w:bodyDiv w:val="1"/>
      <w:marLeft w:val="0"/>
      <w:marRight w:val="0"/>
      <w:marTop w:val="0"/>
      <w:marBottom w:val="0"/>
      <w:divBdr>
        <w:top w:val="none" w:sz="0" w:space="0" w:color="auto"/>
        <w:left w:val="none" w:sz="0" w:space="0" w:color="auto"/>
        <w:bottom w:val="none" w:sz="0" w:space="0" w:color="auto"/>
        <w:right w:val="none" w:sz="0" w:space="0" w:color="auto"/>
      </w:divBdr>
    </w:div>
    <w:div w:id="559438357">
      <w:bodyDiv w:val="1"/>
      <w:marLeft w:val="0"/>
      <w:marRight w:val="0"/>
      <w:marTop w:val="0"/>
      <w:marBottom w:val="0"/>
      <w:divBdr>
        <w:top w:val="none" w:sz="0" w:space="0" w:color="auto"/>
        <w:left w:val="none" w:sz="0" w:space="0" w:color="auto"/>
        <w:bottom w:val="none" w:sz="0" w:space="0" w:color="auto"/>
        <w:right w:val="none" w:sz="0" w:space="0" w:color="auto"/>
      </w:divBdr>
    </w:div>
    <w:div w:id="559441474">
      <w:bodyDiv w:val="1"/>
      <w:marLeft w:val="0"/>
      <w:marRight w:val="0"/>
      <w:marTop w:val="0"/>
      <w:marBottom w:val="0"/>
      <w:divBdr>
        <w:top w:val="none" w:sz="0" w:space="0" w:color="auto"/>
        <w:left w:val="none" w:sz="0" w:space="0" w:color="auto"/>
        <w:bottom w:val="none" w:sz="0" w:space="0" w:color="auto"/>
        <w:right w:val="none" w:sz="0" w:space="0" w:color="auto"/>
      </w:divBdr>
    </w:div>
    <w:div w:id="559558253">
      <w:bodyDiv w:val="1"/>
      <w:marLeft w:val="0"/>
      <w:marRight w:val="0"/>
      <w:marTop w:val="0"/>
      <w:marBottom w:val="0"/>
      <w:divBdr>
        <w:top w:val="none" w:sz="0" w:space="0" w:color="auto"/>
        <w:left w:val="none" w:sz="0" w:space="0" w:color="auto"/>
        <w:bottom w:val="none" w:sz="0" w:space="0" w:color="auto"/>
        <w:right w:val="none" w:sz="0" w:space="0" w:color="auto"/>
      </w:divBdr>
    </w:div>
    <w:div w:id="559560354">
      <w:bodyDiv w:val="1"/>
      <w:marLeft w:val="0"/>
      <w:marRight w:val="0"/>
      <w:marTop w:val="0"/>
      <w:marBottom w:val="0"/>
      <w:divBdr>
        <w:top w:val="none" w:sz="0" w:space="0" w:color="auto"/>
        <w:left w:val="none" w:sz="0" w:space="0" w:color="auto"/>
        <w:bottom w:val="none" w:sz="0" w:space="0" w:color="auto"/>
        <w:right w:val="none" w:sz="0" w:space="0" w:color="auto"/>
      </w:divBdr>
    </w:div>
    <w:div w:id="559636339">
      <w:bodyDiv w:val="1"/>
      <w:marLeft w:val="0"/>
      <w:marRight w:val="0"/>
      <w:marTop w:val="0"/>
      <w:marBottom w:val="0"/>
      <w:divBdr>
        <w:top w:val="none" w:sz="0" w:space="0" w:color="auto"/>
        <w:left w:val="none" w:sz="0" w:space="0" w:color="auto"/>
        <w:bottom w:val="none" w:sz="0" w:space="0" w:color="auto"/>
        <w:right w:val="none" w:sz="0" w:space="0" w:color="auto"/>
      </w:divBdr>
    </w:div>
    <w:div w:id="559901087">
      <w:bodyDiv w:val="1"/>
      <w:marLeft w:val="0"/>
      <w:marRight w:val="0"/>
      <w:marTop w:val="0"/>
      <w:marBottom w:val="0"/>
      <w:divBdr>
        <w:top w:val="none" w:sz="0" w:space="0" w:color="auto"/>
        <w:left w:val="none" w:sz="0" w:space="0" w:color="auto"/>
        <w:bottom w:val="none" w:sz="0" w:space="0" w:color="auto"/>
        <w:right w:val="none" w:sz="0" w:space="0" w:color="auto"/>
      </w:divBdr>
    </w:div>
    <w:div w:id="560017012">
      <w:bodyDiv w:val="1"/>
      <w:marLeft w:val="0"/>
      <w:marRight w:val="0"/>
      <w:marTop w:val="0"/>
      <w:marBottom w:val="0"/>
      <w:divBdr>
        <w:top w:val="none" w:sz="0" w:space="0" w:color="auto"/>
        <w:left w:val="none" w:sz="0" w:space="0" w:color="auto"/>
        <w:bottom w:val="none" w:sz="0" w:space="0" w:color="auto"/>
        <w:right w:val="none" w:sz="0" w:space="0" w:color="auto"/>
      </w:divBdr>
    </w:div>
    <w:div w:id="560141023">
      <w:bodyDiv w:val="1"/>
      <w:marLeft w:val="0"/>
      <w:marRight w:val="0"/>
      <w:marTop w:val="0"/>
      <w:marBottom w:val="0"/>
      <w:divBdr>
        <w:top w:val="none" w:sz="0" w:space="0" w:color="auto"/>
        <w:left w:val="none" w:sz="0" w:space="0" w:color="auto"/>
        <w:bottom w:val="none" w:sz="0" w:space="0" w:color="auto"/>
        <w:right w:val="none" w:sz="0" w:space="0" w:color="auto"/>
      </w:divBdr>
    </w:div>
    <w:div w:id="560363966">
      <w:bodyDiv w:val="1"/>
      <w:marLeft w:val="0"/>
      <w:marRight w:val="0"/>
      <w:marTop w:val="0"/>
      <w:marBottom w:val="0"/>
      <w:divBdr>
        <w:top w:val="none" w:sz="0" w:space="0" w:color="auto"/>
        <w:left w:val="none" w:sz="0" w:space="0" w:color="auto"/>
        <w:bottom w:val="none" w:sz="0" w:space="0" w:color="auto"/>
        <w:right w:val="none" w:sz="0" w:space="0" w:color="auto"/>
      </w:divBdr>
    </w:div>
    <w:div w:id="560364617">
      <w:bodyDiv w:val="1"/>
      <w:marLeft w:val="0"/>
      <w:marRight w:val="0"/>
      <w:marTop w:val="0"/>
      <w:marBottom w:val="0"/>
      <w:divBdr>
        <w:top w:val="none" w:sz="0" w:space="0" w:color="auto"/>
        <w:left w:val="none" w:sz="0" w:space="0" w:color="auto"/>
        <w:bottom w:val="none" w:sz="0" w:space="0" w:color="auto"/>
        <w:right w:val="none" w:sz="0" w:space="0" w:color="auto"/>
      </w:divBdr>
    </w:div>
    <w:div w:id="560478801">
      <w:bodyDiv w:val="1"/>
      <w:marLeft w:val="0"/>
      <w:marRight w:val="0"/>
      <w:marTop w:val="0"/>
      <w:marBottom w:val="0"/>
      <w:divBdr>
        <w:top w:val="none" w:sz="0" w:space="0" w:color="auto"/>
        <w:left w:val="none" w:sz="0" w:space="0" w:color="auto"/>
        <w:bottom w:val="none" w:sz="0" w:space="0" w:color="auto"/>
        <w:right w:val="none" w:sz="0" w:space="0" w:color="auto"/>
      </w:divBdr>
    </w:div>
    <w:div w:id="560601234">
      <w:bodyDiv w:val="1"/>
      <w:marLeft w:val="0"/>
      <w:marRight w:val="0"/>
      <w:marTop w:val="0"/>
      <w:marBottom w:val="0"/>
      <w:divBdr>
        <w:top w:val="none" w:sz="0" w:space="0" w:color="auto"/>
        <w:left w:val="none" w:sz="0" w:space="0" w:color="auto"/>
        <w:bottom w:val="none" w:sz="0" w:space="0" w:color="auto"/>
        <w:right w:val="none" w:sz="0" w:space="0" w:color="auto"/>
      </w:divBdr>
    </w:div>
    <w:div w:id="560603240">
      <w:bodyDiv w:val="1"/>
      <w:marLeft w:val="0"/>
      <w:marRight w:val="0"/>
      <w:marTop w:val="0"/>
      <w:marBottom w:val="0"/>
      <w:divBdr>
        <w:top w:val="none" w:sz="0" w:space="0" w:color="auto"/>
        <w:left w:val="none" w:sz="0" w:space="0" w:color="auto"/>
        <w:bottom w:val="none" w:sz="0" w:space="0" w:color="auto"/>
        <w:right w:val="none" w:sz="0" w:space="0" w:color="auto"/>
      </w:divBdr>
    </w:div>
    <w:div w:id="560679993">
      <w:bodyDiv w:val="1"/>
      <w:marLeft w:val="0"/>
      <w:marRight w:val="0"/>
      <w:marTop w:val="0"/>
      <w:marBottom w:val="0"/>
      <w:divBdr>
        <w:top w:val="none" w:sz="0" w:space="0" w:color="auto"/>
        <w:left w:val="none" w:sz="0" w:space="0" w:color="auto"/>
        <w:bottom w:val="none" w:sz="0" w:space="0" w:color="auto"/>
        <w:right w:val="none" w:sz="0" w:space="0" w:color="auto"/>
      </w:divBdr>
    </w:div>
    <w:div w:id="560751663">
      <w:bodyDiv w:val="1"/>
      <w:marLeft w:val="0"/>
      <w:marRight w:val="0"/>
      <w:marTop w:val="0"/>
      <w:marBottom w:val="0"/>
      <w:divBdr>
        <w:top w:val="none" w:sz="0" w:space="0" w:color="auto"/>
        <w:left w:val="none" w:sz="0" w:space="0" w:color="auto"/>
        <w:bottom w:val="none" w:sz="0" w:space="0" w:color="auto"/>
        <w:right w:val="none" w:sz="0" w:space="0" w:color="auto"/>
      </w:divBdr>
    </w:div>
    <w:div w:id="561067875">
      <w:bodyDiv w:val="1"/>
      <w:marLeft w:val="0"/>
      <w:marRight w:val="0"/>
      <w:marTop w:val="0"/>
      <w:marBottom w:val="0"/>
      <w:divBdr>
        <w:top w:val="none" w:sz="0" w:space="0" w:color="auto"/>
        <w:left w:val="none" w:sz="0" w:space="0" w:color="auto"/>
        <w:bottom w:val="none" w:sz="0" w:space="0" w:color="auto"/>
        <w:right w:val="none" w:sz="0" w:space="0" w:color="auto"/>
      </w:divBdr>
    </w:div>
    <w:div w:id="561137573">
      <w:bodyDiv w:val="1"/>
      <w:marLeft w:val="0"/>
      <w:marRight w:val="0"/>
      <w:marTop w:val="0"/>
      <w:marBottom w:val="0"/>
      <w:divBdr>
        <w:top w:val="none" w:sz="0" w:space="0" w:color="auto"/>
        <w:left w:val="none" w:sz="0" w:space="0" w:color="auto"/>
        <w:bottom w:val="none" w:sz="0" w:space="0" w:color="auto"/>
        <w:right w:val="none" w:sz="0" w:space="0" w:color="auto"/>
      </w:divBdr>
    </w:div>
    <w:div w:id="561256490">
      <w:bodyDiv w:val="1"/>
      <w:marLeft w:val="0"/>
      <w:marRight w:val="0"/>
      <w:marTop w:val="0"/>
      <w:marBottom w:val="0"/>
      <w:divBdr>
        <w:top w:val="none" w:sz="0" w:space="0" w:color="auto"/>
        <w:left w:val="none" w:sz="0" w:space="0" w:color="auto"/>
        <w:bottom w:val="none" w:sz="0" w:space="0" w:color="auto"/>
        <w:right w:val="none" w:sz="0" w:space="0" w:color="auto"/>
      </w:divBdr>
    </w:div>
    <w:div w:id="561332446">
      <w:bodyDiv w:val="1"/>
      <w:marLeft w:val="0"/>
      <w:marRight w:val="0"/>
      <w:marTop w:val="0"/>
      <w:marBottom w:val="0"/>
      <w:divBdr>
        <w:top w:val="none" w:sz="0" w:space="0" w:color="auto"/>
        <w:left w:val="none" w:sz="0" w:space="0" w:color="auto"/>
        <w:bottom w:val="none" w:sz="0" w:space="0" w:color="auto"/>
        <w:right w:val="none" w:sz="0" w:space="0" w:color="auto"/>
      </w:divBdr>
    </w:div>
    <w:div w:id="561406686">
      <w:bodyDiv w:val="1"/>
      <w:marLeft w:val="0"/>
      <w:marRight w:val="0"/>
      <w:marTop w:val="0"/>
      <w:marBottom w:val="0"/>
      <w:divBdr>
        <w:top w:val="none" w:sz="0" w:space="0" w:color="auto"/>
        <w:left w:val="none" w:sz="0" w:space="0" w:color="auto"/>
        <w:bottom w:val="none" w:sz="0" w:space="0" w:color="auto"/>
        <w:right w:val="none" w:sz="0" w:space="0" w:color="auto"/>
      </w:divBdr>
    </w:div>
    <w:div w:id="561411041">
      <w:bodyDiv w:val="1"/>
      <w:marLeft w:val="0"/>
      <w:marRight w:val="0"/>
      <w:marTop w:val="0"/>
      <w:marBottom w:val="0"/>
      <w:divBdr>
        <w:top w:val="none" w:sz="0" w:space="0" w:color="auto"/>
        <w:left w:val="none" w:sz="0" w:space="0" w:color="auto"/>
        <w:bottom w:val="none" w:sz="0" w:space="0" w:color="auto"/>
        <w:right w:val="none" w:sz="0" w:space="0" w:color="auto"/>
      </w:divBdr>
    </w:div>
    <w:div w:id="561600682">
      <w:bodyDiv w:val="1"/>
      <w:marLeft w:val="0"/>
      <w:marRight w:val="0"/>
      <w:marTop w:val="0"/>
      <w:marBottom w:val="0"/>
      <w:divBdr>
        <w:top w:val="none" w:sz="0" w:space="0" w:color="auto"/>
        <w:left w:val="none" w:sz="0" w:space="0" w:color="auto"/>
        <w:bottom w:val="none" w:sz="0" w:space="0" w:color="auto"/>
        <w:right w:val="none" w:sz="0" w:space="0" w:color="auto"/>
      </w:divBdr>
    </w:div>
    <w:div w:id="561644836">
      <w:bodyDiv w:val="1"/>
      <w:marLeft w:val="0"/>
      <w:marRight w:val="0"/>
      <w:marTop w:val="0"/>
      <w:marBottom w:val="0"/>
      <w:divBdr>
        <w:top w:val="none" w:sz="0" w:space="0" w:color="auto"/>
        <w:left w:val="none" w:sz="0" w:space="0" w:color="auto"/>
        <w:bottom w:val="none" w:sz="0" w:space="0" w:color="auto"/>
        <w:right w:val="none" w:sz="0" w:space="0" w:color="auto"/>
      </w:divBdr>
    </w:div>
    <w:div w:id="561645684">
      <w:bodyDiv w:val="1"/>
      <w:marLeft w:val="0"/>
      <w:marRight w:val="0"/>
      <w:marTop w:val="0"/>
      <w:marBottom w:val="0"/>
      <w:divBdr>
        <w:top w:val="none" w:sz="0" w:space="0" w:color="auto"/>
        <w:left w:val="none" w:sz="0" w:space="0" w:color="auto"/>
        <w:bottom w:val="none" w:sz="0" w:space="0" w:color="auto"/>
        <w:right w:val="none" w:sz="0" w:space="0" w:color="auto"/>
      </w:divBdr>
    </w:div>
    <w:div w:id="561670959">
      <w:bodyDiv w:val="1"/>
      <w:marLeft w:val="0"/>
      <w:marRight w:val="0"/>
      <w:marTop w:val="0"/>
      <w:marBottom w:val="0"/>
      <w:divBdr>
        <w:top w:val="none" w:sz="0" w:space="0" w:color="auto"/>
        <w:left w:val="none" w:sz="0" w:space="0" w:color="auto"/>
        <w:bottom w:val="none" w:sz="0" w:space="0" w:color="auto"/>
        <w:right w:val="none" w:sz="0" w:space="0" w:color="auto"/>
      </w:divBdr>
    </w:div>
    <w:div w:id="561866103">
      <w:bodyDiv w:val="1"/>
      <w:marLeft w:val="0"/>
      <w:marRight w:val="0"/>
      <w:marTop w:val="0"/>
      <w:marBottom w:val="0"/>
      <w:divBdr>
        <w:top w:val="none" w:sz="0" w:space="0" w:color="auto"/>
        <w:left w:val="none" w:sz="0" w:space="0" w:color="auto"/>
        <w:bottom w:val="none" w:sz="0" w:space="0" w:color="auto"/>
        <w:right w:val="none" w:sz="0" w:space="0" w:color="auto"/>
      </w:divBdr>
    </w:div>
    <w:div w:id="561870112">
      <w:bodyDiv w:val="1"/>
      <w:marLeft w:val="0"/>
      <w:marRight w:val="0"/>
      <w:marTop w:val="0"/>
      <w:marBottom w:val="0"/>
      <w:divBdr>
        <w:top w:val="none" w:sz="0" w:space="0" w:color="auto"/>
        <w:left w:val="none" w:sz="0" w:space="0" w:color="auto"/>
        <w:bottom w:val="none" w:sz="0" w:space="0" w:color="auto"/>
        <w:right w:val="none" w:sz="0" w:space="0" w:color="auto"/>
      </w:divBdr>
    </w:div>
    <w:div w:id="562059691">
      <w:bodyDiv w:val="1"/>
      <w:marLeft w:val="0"/>
      <w:marRight w:val="0"/>
      <w:marTop w:val="0"/>
      <w:marBottom w:val="0"/>
      <w:divBdr>
        <w:top w:val="none" w:sz="0" w:space="0" w:color="auto"/>
        <w:left w:val="none" w:sz="0" w:space="0" w:color="auto"/>
        <w:bottom w:val="none" w:sz="0" w:space="0" w:color="auto"/>
        <w:right w:val="none" w:sz="0" w:space="0" w:color="auto"/>
      </w:divBdr>
    </w:div>
    <w:div w:id="562065301">
      <w:bodyDiv w:val="1"/>
      <w:marLeft w:val="0"/>
      <w:marRight w:val="0"/>
      <w:marTop w:val="0"/>
      <w:marBottom w:val="0"/>
      <w:divBdr>
        <w:top w:val="none" w:sz="0" w:space="0" w:color="auto"/>
        <w:left w:val="none" w:sz="0" w:space="0" w:color="auto"/>
        <w:bottom w:val="none" w:sz="0" w:space="0" w:color="auto"/>
        <w:right w:val="none" w:sz="0" w:space="0" w:color="auto"/>
      </w:divBdr>
    </w:div>
    <w:div w:id="562445493">
      <w:bodyDiv w:val="1"/>
      <w:marLeft w:val="0"/>
      <w:marRight w:val="0"/>
      <w:marTop w:val="0"/>
      <w:marBottom w:val="0"/>
      <w:divBdr>
        <w:top w:val="none" w:sz="0" w:space="0" w:color="auto"/>
        <w:left w:val="none" w:sz="0" w:space="0" w:color="auto"/>
        <w:bottom w:val="none" w:sz="0" w:space="0" w:color="auto"/>
        <w:right w:val="none" w:sz="0" w:space="0" w:color="auto"/>
      </w:divBdr>
    </w:div>
    <w:div w:id="562447135">
      <w:bodyDiv w:val="1"/>
      <w:marLeft w:val="0"/>
      <w:marRight w:val="0"/>
      <w:marTop w:val="0"/>
      <w:marBottom w:val="0"/>
      <w:divBdr>
        <w:top w:val="none" w:sz="0" w:space="0" w:color="auto"/>
        <w:left w:val="none" w:sz="0" w:space="0" w:color="auto"/>
        <w:bottom w:val="none" w:sz="0" w:space="0" w:color="auto"/>
        <w:right w:val="none" w:sz="0" w:space="0" w:color="auto"/>
      </w:divBdr>
    </w:div>
    <w:div w:id="562641096">
      <w:bodyDiv w:val="1"/>
      <w:marLeft w:val="0"/>
      <w:marRight w:val="0"/>
      <w:marTop w:val="0"/>
      <w:marBottom w:val="0"/>
      <w:divBdr>
        <w:top w:val="none" w:sz="0" w:space="0" w:color="auto"/>
        <w:left w:val="none" w:sz="0" w:space="0" w:color="auto"/>
        <w:bottom w:val="none" w:sz="0" w:space="0" w:color="auto"/>
        <w:right w:val="none" w:sz="0" w:space="0" w:color="auto"/>
      </w:divBdr>
    </w:div>
    <w:div w:id="562715956">
      <w:bodyDiv w:val="1"/>
      <w:marLeft w:val="0"/>
      <w:marRight w:val="0"/>
      <w:marTop w:val="0"/>
      <w:marBottom w:val="0"/>
      <w:divBdr>
        <w:top w:val="none" w:sz="0" w:space="0" w:color="auto"/>
        <w:left w:val="none" w:sz="0" w:space="0" w:color="auto"/>
        <w:bottom w:val="none" w:sz="0" w:space="0" w:color="auto"/>
        <w:right w:val="none" w:sz="0" w:space="0" w:color="auto"/>
      </w:divBdr>
    </w:div>
    <w:div w:id="562763118">
      <w:bodyDiv w:val="1"/>
      <w:marLeft w:val="0"/>
      <w:marRight w:val="0"/>
      <w:marTop w:val="0"/>
      <w:marBottom w:val="0"/>
      <w:divBdr>
        <w:top w:val="none" w:sz="0" w:space="0" w:color="auto"/>
        <w:left w:val="none" w:sz="0" w:space="0" w:color="auto"/>
        <w:bottom w:val="none" w:sz="0" w:space="0" w:color="auto"/>
        <w:right w:val="none" w:sz="0" w:space="0" w:color="auto"/>
      </w:divBdr>
    </w:div>
    <w:div w:id="562982136">
      <w:bodyDiv w:val="1"/>
      <w:marLeft w:val="0"/>
      <w:marRight w:val="0"/>
      <w:marTop w:val="0"/>
      <w:marBottom w:val="0"/>
      <w:divBdr>
        <w:top w:val="none" w:sz="0" w:space="0" w:color="auto"/>
        <w:left w:val="none" w:sz="0" w:space="0" w:color="auto"/>
        <w:bottom w:val="none" w:sz="0" w:space="0" w:color="auto"/>
        <w:right w:val="none" w:sz="0" w:space="0" w:color="auto"/>
      </w:divBdr>
    </w:div>
    <w:div w:id="563174937">
      <w:bodyDiv w:val="1"/>
      <w:marLeft w:val="0"/>
      <w:marRight w:val="0"/>
      <w:marTop w:val="0"/>
      <w:marBottom w:val="0"/>
      <w:divBdr>
        <w:top w:val="none" w:sz="0" w:space="0" w:color="auto"/>
        <w:left w:val="none" w:sz="0" w:space="0" w:color="auto"/>
        <w:bottom w:val="none" w:sz="0" w:space="0" w:color="auto"/>
        <w:right w:val="none" w:sz="0" w:space="0" w:color="auto"/>
      </w:divBdr>
    </w:div>
    <w:div w:id="563178137">
      <w:bodyDiv w:val="1"/>
      <w:marLeft w:val="0"/>
      <w:marRight w:val="0"/>
      <w:marTop w:val="0"/>
      <w:marBottom w:val="0"/>
      <w:divBdr>
        <w:top w:val="none" w:sz="0" w:space="0" w:color="auto"/>
        <w:left w:val="none" w:sz="0" w:space="0" w:color="auto"/>
        <w:bottom w:val="none" w:sz="0" w:space="0" w:color="auto"/>
        <w:right w:val="none" w:sz="0" w:space="0" w:color="auto"/>
      </w:divBdr>
    </w:div>
    <w:div w:id="563222296">
      <w:bodyDiv w:val="1"/>
      <w:marLeft w:val="0"/>
      <w:marRight w:val="0"/>
      <w:marTop w:val="0"/>
      <w:marBottom w:val="0"/>
      <w:divBdr>
        <w:top w:val="none" w:sz="0" w:space="0" w:color="auto"/>
        <w:left w:val="none" w:sz="0" w:space="0" w:color="auto"/>
        <w:bottom w:val="none" w:sz="0" w:space="0" w:color="auto"/>
        <w:right w:val="none" w:sz="0" w:space="0" w:color="auto"/>
      </w:divBdr>
    </w:div>
    <w:div w:id="563225109">
      <w:bodyDiv w:val="1"/>
      <w:marLeft w:val="0"/>
      <w:marRight w:val="0"/>
      <w:marTop w:val="0"/>
      <w:marBottom w:val="0"/>
      <w:divBdr>
        <w:top w:val="none" w:sz="0" w:space="0" w:color="auto"/>
        <w:left w:val="none" w:sz="0" w:space="0" w:color="auto"/>
        <w:bottom w:val="none" w:sz="0" w:space="0" w:color="auto"/>
        <w:right w:val="none" w:sz="0" w:space="0" w:color="auto"/>
      </w:divBdr>
    </w:div>
    <w:div w:id="563225903">
      <w:bodyDiv w:val="1"/>
      <w:marLeft w:val="0"/>
      <w:marRight w:val="0"/>
      <w:marTop w:val="0"/>
      <w:marBottom w:val="0"/>
      <w:divBdr>
        <w:top w:val="none" w:sz="0" w:space="0" w:color="auto"/>
        <w:left w:val="none" w:sz="0" w:space="0" w:color="auto"/>
        <w:bottom w:val="none" w:sz="0" w:space="0" w:color="auto"/>
        <w:right w:val="none" w:sz="0" w:space="0" w:color="auto"/>
      </w:divBdr>
    </w:div>
    <w:div w:id="563293281">
      <w:bodyDiv w:val="1"/>
      <w:marLeft w:val="0"/>
      <w:marRight w:val="0"/>
      <w:marTop w:val="0"/>
      <w:marBottom w:val="0"/>
      <w:divBdr>
        <w:top w:val="none" w:sz="0" w:space="0" w:color="auto"/>
        <w:left w:val="none" w:sz="0" w:space="0" w:color="auto"/>
        <w:bottom w:val="none" w:sz="0" w:space="0" w:color="auto"/>
        <w:right w:val="none" w:sz="0" w:space="0" w:color="auto"/>
      </w:divBdr>
    </w:div>
    <w:div w:id="563295948">
      <w:bodyDiv w:val="1"/>
      <w:marLeft w:val="0"/>
      <w:marRight w:val="0"/>
      <w:marTop w:val="0"/>
      <w:marBottom w:val="0"/>
      <w:divBdr>
        <w:top w:val="none" w:sz="0" w:space="0" w:color="auto"/>
        <w:left w:val="none" w:sz="0" w:space="0" w:color="auto"/>
        <w:bottom w:val="none" w:sz="0" w:space="0" w:color="auto"/>
        <w:right w:val="none" w:sz="0" w:space="0" w:color="auto"/>
      </w:divBdr>
    </w:div>
    <w:div w:id="563298240">
      <w:bodyDiv w:val="1"/>
      <w:marLeft w:val="0"/>
      <w:marRight w:val="0"/>
      <w:marTop w:val="0"/>
      <w:marBottom w:val="0"/>
      <w:divBdr>
        <w:top w:val="none" w:sz="0" w:space="0" w:color="auto"/>
        <w:left w:val="none" w:sz="0" w:space="0" w:color="auto"/>
        <w:bottom w:val="none" w:sz="0" w:space="0" w:color="auto"/>
        <w:right w:val="none" w:sz="0" w:space="0" w:color="auto"/>
      </w:divBdr>
    </w:div>
    <w:div w:id="563564403">
      <w:bodyDiv w:val="1"/>
      <w:marLeft w:val="0"/>
      <w:marRight w:val="0"/>
      <w:marTop w:val="0"/>
      <w:marBottom w:val="0"/>
      <w:divBdr>
        <w:top w:val="none" w:sz="0" w:space="0" w:color="auto"/>
        <w:left w:val="none" w:sz="0" w:space="0" w:color="auto"/>
        <w:bottom w:val="none" w:sz="0" w:space="0" w:color="auto"/>
        <w:right w:val="none" w:sz="0" w:space="0" w:color="auto"/>
      </w:divBdr>
    </w:div>
    <w:div w:id="563687676">
      <w:bodyDiv w:val="1"/>
      <w:marLeft w:val="0"/>
      <w:marRight w:val="0"/>
      <w:marTop w:val="0"/>
      <w:marBottom w:val="0"/>
      <w:divBdr>
        <w:top w:val="none" w:sz="0" w:space="0" w:color="auto"/>
        <w:left w:val="none" w:sz="0" w:space="0" w:color="auto"/>
        <w:bottom w:val="none" w:sz="0" w:space="0" w:color="auto"/>
        <w:right w:val="none" w:sz="0" w:space="0" w:color="auto"/>
      </w:divBdr>
    </w:div>
    <w:div w:id="563837684">
      <w:bodyDiv w:val="1"/>
      <w:marLeft w:val="0"/>
      <w:marRight w:val="0"/>
      <w:marTop w:val="0"/>
      <w:marBottom w:val="0"/>
      <w:divBdr>
        <w:top w:val="none" w:sz="0" w:space="0" w:color="auto"/>
        <w:left w:val="none" w:sz="0" w:space="0" w:color="auto"/>
        <w:bottom w:val="none" w:sz="0" w:space="0" w:color="auto"/>
        <w:right w:val="none" w:sz="0" w:space="0" w:color="auto"/>
      </w:divBdr>
    </w:div>
    <w:div w:id="563879105">
      <w:bodyDiv w:val="1"/>
      <w:marLeft w:val="0"/>
      <w:marRight w:val="0"/>
      <w:marTop w:val="0"/>
      <w:marBottom w:val="0"/>
      <w:divBdr>
        <w:top w:val="none" w:sz="0" w:space="0" w:color="auto"/>
        <w:left w:val="none" w:sz="0" w:space="0" w:color="auto"/>
        <w:bottom w:val="none" w:sz="0" w:space="0" w:color="auto"/>
        <w:right w:val="none" w:sz="0" w:space="0" w:color="auto"/>
      </w:divBdr>
    </w:div>
    <w:div w:id="563952318">
      <w:bodyDiv w:val="1"/>
      <w:marLeft w:val="0"/>
      <w:marRight w:val="0"/>
      <w:marTop w:val="0"/>
      <w:marBottom w:val="0"/>
      <w:divBdr>
        <w:top w:val="none" w:sz="0" w:space="0" w:color="auto"/>
        <w:left w:val="none" w:sz="0" w:space="0" w:color="auto"/>
        <w:bottom w:val="none" w:sz="0" w:space="0" w:color="auto"/>
        <w:right w:val="none" w:sz="0" w:space="0" w:color="auto"/>
      </w:divBdr>
    </w:div>
    <w:div w:id="564032196">
      <w:bodyDiv w:val="1"/>
      <w:marLeft w:val="0"/>
      <w:marRight w:val="0"/>
      <w:marTop w:val="0"/>
      <w:marBottom w:val="0"/>
      <w:divBdr>
        <w:top w:val="none" w:sz="0" w:space="0" w:color="auto"/>
        <w:left w:val="none" w:sz="0" w:space="0" w:color="auto"/>
        <w:bottom w:val="none" w:sz="0" w:space="0" w:color="auto"/>
        <w:right w:val="none" w:sz="0" w:space="0" w:color="auto"/>
      </w:divBdr>
    </w:div>
    <w:div w:id="564099329">
      <w:bodyDiv w:val="1"/>
      <w:marLeft w:val="0"/>
      <w:marRight w:val="0"/>
      <w:marTop w:val="0"/>
      <w:marBottom w:val="0"/>
      <w:divBdr>
        <w:top w:val="none" w:sz="0" w:space="0" w:color="auto"/>
        <w:left w:val="none" w:sz="0" w:space="0" w:color="auto"/>
        <w:bottom w:val="none" w:sz="0" w:space="0" w:color="auto"/>
        <w:right w:val="none" w:sz="0" w:space="0" w:color="auto"/>
      </w:divBdr>
    </w:div>
    <w:div w:id="564148954">
      <w:bodyDiv w:val="1"/>
      <w:marLeft w:val="0"/>
      <w:marRight w:val="0"/>
      <w:marTop w:val="0"/>
      <w:marBottom w:val="0"/>
      <w:divBdr>
        <w:top w:val="none" w:sz="0" w:space="0" w:color="auto"/>
        <w:left w:val="none" w:sz="0" w:space="0" w:color="auto"/>
        <w:bottom w:val="none" w:sz="0" w:space="0" w:color="auto"/>
        <w:right w:val="none" w:sz="0" w:space="0" w:color="auto"/>
      </w:divBdr>
    </w:div>
    <w:div w:id="564222164">
      <w:bodyDiv w:val="1"/>
      <w:marLeft w:val="0"/>
      <w:marRight w:val="0"/>
      <w:marTop w:val="0"/>
      <w:marBottom w:val="0"/>
      <w:divBdr>
        <w:top w:val="none" w:sz="0" w:space="0" w:color="auto"/>
        <w:left w:val="none" w:sz="0" w:space="0" w:color="auto"/>
        <w:bottom w:val="none" w:sz="0" w:space="0" w:color="auto"/>
        <w:right w:val="none" w:sz="0" w:space="0" w:color="auto"/>
      </w:divBdr>
    </w:div>
    <w:div w:id="564293504">
      <w:bodyDiv w:val="1"/>
      <w:marLeft w:val="0"/>
      <w:marRight w:val="0"/>
      <w:marTop w:val="0"/>
      <w:marBottom w:val="0"/>
      <w:divBdr>
        <w:top w:val="none" w:sz="0" w:space="0" w:color="auto"/>
        <w:left w:val="none" w:sz="0" w:space="0" w:color="auto"/>
        <w:bottom w:val="none" w:sz="0" w:space="0" w:color="auto"/>
        <w:right w:val="none" w:sz="0" w:space="0" w:color="auto"/>
      </w:divBdr>
    </w:div>
    <w:div w:id="564340808">
      <w:bodyDiv w:val="1"/>
      <w:marLeft w:val="0"/>
      <w:marRight w:val="0"/>
      <w:marTop w:val="0"/>
      <w:marBottom w:val="0"/>
      <w:divBdr>
        <w:top w:val="none" w:sz="0" w:space="0" w:color="auto"/>
        <w:left w:val="none" w:sz="0" w:space="0" w:color="auto"/>
        <w:bottom w:val="none" w:sz="0" w:space="0" w:color="auto"/>
        <w:right w:val="none" w:sz="0" w:space="0" w:color="auto"/>
      </w:divBdr>
    </w:div>
    <w:div w:id="564343815">
      <w:bodyDiv w:val="1"/>
      <w:marLeft w:val="0"/>
      <w:marRight w:val="0"/>
      <w:marTop w:val="0"/>
      <w:marBottom w:val="0"/>
      <w:divBdr>
        <w:top w:val="none" w:sz="0" w:space="0" w:color="auto"/>
        <w:left w:val="none" w:sz="0" w:space="0" w:color="auto"/>
        <w:bottom w:val="none" w:sz="0" w:space="0" w:color="auto"/>
        <w:right w:val="none" w:sz="0" w:space="0" w:color="auto"/>
      </w:divBdr>
    </w:div>
    <w:div w:id="564534913">
      <w:bodyDiv w:val="1"/>
      <w:marLeft w:val="0"/>
      <w:marRight w:val="0"/>
      <w:marTop w:val="0"/>
      <w:marBottom w:val="0"/>
      <w:divBdr>
        <w:top w:val="none" w:sz="0" w:space="0" w:color="auto"/>
        <w:left w:val="none" w:sz="0" w:space="0" w:color="auto"/>
        <w:bottom w:val="none" w:sz="0" w:space="0" w:color="auto"/>
        <w:right w:val="none" w:sz="0" w:space="0" w:color="auto"/>
      </w:divBdr>
    </w:div>
    <w:div w:id="564682066">
      <w:bodyDiv w:val="1"/>
      <w:marLeft w:val="0"/>
      <w:marRight w:val="0"/>
      <w:marTop w:val="0"/>
      <w:marBottom w:val="0"/>
      <w:divBdr>
        <w:top w:val="none" w:sz="0" w:space="0" w:color="auto"/>
        <w:left w:val="none" w:sz="0" w:space="0" w:color="auto"/>
        <w:bottom w:val="none" w:sz="0" w:space="0" w:color="auto"/>
        <w:right w:val="none" w:sz="0" w:space="0" w:color="auto"/>
      </w:divBdr>
    </w:div>
    <w:div w:id="564992455">
      <w:bodyDiv w:val="1"/>
      <w:marLeft w:val="0"/>
      <w:marRight w:val="0"/>
      <w:marTop w:val="0"/>
      <w:marBottom w:val="0"/>
      <w:divBdr>
        <w:top w:val="none" w:sz="0" w:space="0" w:color="auto"/>
        <w:left w:val="none" w:sz="0" w:space="0" w:color="auto"/>
        <w:bottom w:val="none" w:sz="0" w:space="0" w:color="auto"/>
        <w:right w:val="none" w:sz="0" w:space="0" w:color="auto"/>
      </w:divBdr>
    </w:div>
    <w:div w:id="564996944">
      <w:bodyDiv w:val="1"/>
      <w:marLeft w:val="0"/>
      <w:marRight w:val="0"/>
      <w:marTop w:val="0"/>
      <w:marBottom w:val="0"/>
      <w:divBdr>
        <w:top w:val="none" w:sz="0" w:space="0" w:color="auto"/>
        <w:left w:val="none" w:sz="0" w:space="0" w:color="auto"/>
        <w:bottom w:val="none" w:sz="0" w:space="0" w:color="auto"/>
        <w:right w:val="none" w:sz="0" w:space="0" w:color="auto"/>
      </w:divBdr>
    </w:div>
    <w:div w:id="565068930">
      <w:bodyDiv w:val="1"/>
      <w:marLeft w:val="0"/>
      <w:marRight w:val="0"/>
      <w:marTop w:val="0"/>
      <w:marBottom w:val="0"/>
      <w:divBdr>
        <w:top w:val="none" w:sz="0" w:space="0" w:color="auto"/>
        <w:left w:val="none" w:sz="0" w:space="0" w:color="auto"/>
        <w:bottom w:val="none" w:sz="0" w:space="0" w:color="auto"/>
        <w:right w:val="none" w:sz="0" w:space="0" w:color="auto"/>
      </w:divBdr>
    </w:div>
    <w:div w:id="565145776">
      <w:bodyDiv w:val="1"/>
      <w:marLeft w:val="0"/>
      <w:marRight w:val="0"/>
      <w:marTop w:val="0"/>
      <w:marBottom w:val="0"/>
      <w:divBdr>
        <w:top w:val="none" w:sz="0" w:space="0" w:color="auto"/>
        <w:left w:val="none" w:sz="0" w:space="0" w:color="auto"/>
        <w:bottom w:val="none" w:sz="0" w:space="0" w:color="auto"/>
        <w:right w:val="none" w:sz="0" w:space="0" w:color="auto"/>
      </w:divBdr>
    </w:div>
    <w:div w:id="565149015">
      <w:bodyDiv w:val="1"/>
      <w:marLeft w:val="0"/>
      <w:marRight w:val="0"/>
      <w:marTop w:val="0"/>
      <w:marBottom w:val="0"/>
      <w:divBdr>
        <w:top w:val="none" w:sz="0" w:space="0" w:color="auto"/>
        <w:left w:val="none" w:sz="0" w:space="0" w:color="auto"/>
        <w:bottom w:val="none" w:sz="0" w:space="0" w:color="auto"/>
        <w:right w:val="none" w:sz="0" w:space="0" w:color="auto"/>
      </w:divBdr>
    </w:div>
    <w:div w:id="565188589">
      <w:bodyDiv w:val="1"/>
      <w:marLeft w:val="0"/>
      <w:marRight w:val="0"/>
      <w:marTop w:val="0"/>
      <w:marBottom w:val="0"/>
      <w:divBdr>
        <w:top w:val="none" w:sz="0" w:space="0" w:color="auto"/>
        <w:left w:val="none" w:sz="0" w:space="0" w:color="auto"/>
        <w:bottom w:val="none" w:sz="0" w:space="0" w:color="auto"/>
        <w:right w:val="none" w:sz="0" w:space="0" w:color="auto"/>
      </w:divBdr>
    </w:div>
    <w:div w:id="565334633">
      <w:bodyDiv w:val="1"/>
      <w:marLeft w:val="0"/>
      <w:marRight w:val="0"/>
      <w:marTop w:val="0"/>
      <w:marBottom w:val="0"/>
      <w:divBdr>
        <w:top w:val="none" w:sz="0" w:space="0" w:color="auto"/>
        <w:left w:val="none" w:sz="0" w:space="0" w:color="auto"/>
        <w:bottom w:val="none" w:sz="0" w:space="0" w:color="auto"/>
        <w:right w:val="none" w:sz="0" w:space="0" w:color="auto"/>
      </w:divBdr>
    </w:div>
    <w:div w:id="565384826">
      <w:bodyDiv w:val="1"/>
      <w:marLeft w:val="0"/>
      <w:marRight w:val="0"/>
      <w:marTop w:val="0"/>
      <w:marBottom w:val="0"/>
      <w:divBdr>
        <w:top w:val="none" w:sz="0" w:space="0" w:color="auto"/>
        <w:left w:val="none" w:sz="0" w:space="0" w:color="auto"/>
        <w:bottom w:val="none" w:sz="0" w:space="0" w:color="auto"/>
        <w:right w:val="none" w:sz="0" w:space="0" w:color="auto"/>
      </w:divBdr>
    </w:div>
    <w:div w:id="565455735">
      <w:bodyDiv w:val="1"/>
      <w:marLeft w:val="0"/>
      <w:marRight w:val="0"/>
      <w:marTop w:val="0"/>
      <w:marBottom w:val="0"/>
      <w:divBdr>
        <w:top w:val="none" w:sz="0" w:space="0" w:color="auto"/>
        <w:left w:val="none" w:sz="0" w:space="0" w:color="auto"/>
        <w:bottom w:val="none" w:sz="0" w:space="0" w:color="auto"/>
        <w:right w:val="none" w:sz="0" w:space="0" w:color="auto"/>
      </w:divBdr>
    </w:div>
    <w:div w:id="565527714">
      <w:bodyDiv w:val="1"/>
      <w:marLeft w:val="0"/>
      <w:marRight w:val="0"/>
      <w:marTop w:val="0"/>
      <w:marBottom w:val="0"/>
      <w:divBdr>
        <w:top w:val="none" w:sz="0" w:space="0" w:color="auto"/>
        <w:left w:val="none" w:sz="0" w:space="0" w:color="auto"/>
        <w:bottom w:val="none" w:sz="0" w:space="0" w:color="auto"/>
        <w:right w:val="none" w:sz="0" w:space="0" w:color="auto"/>
      </w:divBdr>
    </w:div>
    <w:div w:id="565603805">
      <w:bodyDiv w:val="1"/>
      <w:marLeft w:val="0"/>
      <w:marRight w:val="0"/>
      <w:marTop w:val="0"/>
      <w:marBottom w:val="0"/>
      <w:divBdr>
        <w:top w:val="none" w:sz="0" w:space="0" w:color="auto"/>
        <w:left w:val="none" w:sz="0" w:space="0" w:color="auto"/>
        <w:bottom w:val="none" w:sz="0" w:space="0" w:color="auto"/>
        <w:right w:val="none" w:sz="0" w:space="0" w:color="auto"/>
      </w:divBdr>
    </w:div>
    <w:div w:id="565723635">
      <w:bodyDiv w:val="1"/>
      <w:marLeft w:val="0"/>
      <w:marRight w:val="0"/>
      <w:marTop w:val="0"/>
      <w:marBottom w:val="0"/>
      <w:divBdr>
        <w:top w:val="none" w:sz="0" w:space="0" w:color="auto"/>
        <w:left w:val="none" w:sz="0" w:space="0" w:color="auto"/>
        <w:bottom w:val="none" w:sz="0" w:space="0" w:color="auto"/>
        <w:right w:val="none" w:sz="0" w:space="0" w:color="auto"/>
      </w:divBdr>
    </w:div>
    <w:div w:id="565798699">
      <w:bodyDiv w:val="1"/>
      <w:marLeft w:val="0"/>
      <w:marRight w:val="0"/>
      <w:marTop w:val="0"/>
      <w:marBottom w:val="0"/>
      <w:divBdr>
        <w:top w:val="none" w:sz="0" w:space="0" w:color="auto"/>
        <w:left w:val="none" w:sz="0" w:space="0" w:color="auto"/>
        <w:bottom w:val="none" w:sz="0" w:space="0" w:color="auto"/>
        <w:right w:val="none" w:sz="0" w:space="0" w:color="auto"/>
      </w:divBdr>
    </w:div>
    <w:div w:id="565914918">
      <w:bodyDiv w:val="1"/>
      <w:marLeft w:val="0"/>
      <w:marRight w:val="0"/>
      <w:marTop w:val="0"/>
      <w:marBottom w:val="0"/>
      <w:divBdr>
        <w:top w:val="none" w:sz="0" w:space="0" w:color="auto"/>
        <w:left w:val="none" w:sz="0" w:space="0" w:color="auto"/>
        <w:bottom w:val="none" w:sz="0" w:space="0" w:color="auto"/>
        <w:right w:val="none" w:sz="0" w:space="0" w:color="auto"/>
      </w:divBdr>
    </w:div>
    <w:div w:id="565994784">
      <w:bodyDiv w:val="1"/>
      <w:marLeft w:val="0"/>
      <w:marRight w:val="0"/>
      <w:marTop w:val="0"/>
      <w:marBottom w:val="0"/>
      <w:divBdr>
        <w:top w:val="none" w:sz="0" w:space="0" w:color="auto"/>
        <w:left w:val="none" w:sz="0" w:space="0" w:color="auto"/>
        <w:bottom w:val="none" w:sz="0" w:space="0" w:color="auto"/>
        <w:right w:val="none" w:sz="0" w:space="0" w:color="auto"/>
      </w:divBdr>
    </w:div>
    <w:div w:id="566040632">
      <w:bodyDiv w:val="1"/>
      <w:marLeft w:val="0"/>
      <w:marRight w:val="0"/>
      <w:marTop w:val="0"/>
      <w:marBottom w:val="0"/>
      <w:divBdr>
        <w:top w:val="none" w:sz="0" w:space="0" w:color="auto"/>
        <w:left w:val="none" w:sz="0" w:space="0" w:color="auto"/>
        <w:bottom w:val="none" w:sz="0" w:space="0" w:color="auto"/>
        <w:right w:val="none" w:sz="0" w:space="0" w:color="auto"/>
      </w:divBdr>
    </w:div>
    <w:div w:id="566114734">
      <w:bodyDiv w:val="1"/>
      <w:marLeft w:val="0"/>
      <w:marRight w:val="0"/>
      <w:marTop w:val="0"/>
      <w:marBottom w:val="0"/>
      <w:divBdr>
        <w:top w:val="none" w:sz="0" w:space="0" w:color="auto"/>
        <w:left w:val="none" w:sz="0" w:space="0" w:color="auto"/>
        <w:bottom w:val="none" w:sz="0" w:space="0" w:color="auto"/>
        <w:right w:val="none" w:sz="0" w:space="0" w:color="auto"/>
      </w:divBdr>
    </w:div>
    <w:div w:id="566114845">
      <w:bodyDiv w:val="1"/>
      <w:marLeft w:val="0"/>
      <w:marRight w:val="0"/>
      <w:marTop w:val="0"/>
      <w:marBottom w:val="0"/>
      <w:divBdr>
        <w:top w:val="none" w:sz="0" w:space="0" w:color="auto"/>
        <w:left w:val="none" w:sz="0" w:space="0" w:color="auto"/>
        <w:bottom w:val="none" w:sz="0" w:space="0" w:color="auto"/>
        <w:right w:val="none" w:sz="0" w:space="0" w:color="auto"/>
      </w:divBdr>
    </w:div>
    <w:div w:id="566185283">
      <w:bodyDiv w:val="1"/>
      <w:marLeft w:val="0"/>
      <w:marRight w:val="0"/>
      <w:marTop w:val="0"/>
      <w:marBottom w:val="0"/>
      <w:divBdr>
        <w:top w:val="none" w:sz="0" w:space="0" w:color="auto"/>
        <w:left w:val="none" w:sz="0" w:space="0" w:color="auto"/>
        <w:bottom w:val="none" w:sz="0" w:space="0" w:color="auto"/>
        <w:right w:val="none" w:sz="0" w:space="0" w:color="auto"/>
      </w:divBdr>
    </w:div>
    <w:div w:id="566258511">
      <w:bodyDiv w:val="1"/>
      <w:marLeft w:val="0"/>
      <w:marRight w:val="0"/>
      <w:marTop w:val="0"/>
      <w:marBottom w:val="0"/>
      <w:divBdr>
        <w:top w:val="none" w:sz="0" w:space="0" w:color="auto"/>
        <w:left w:val="none" w:sz="0" w:space="0" w:color="auto"/>
        <w:bottom w:val="none" w:sz="0" w:space="0" w:color="auto"/>
        <w:right w:val="none" w:sz="0" w:space="0" w:color="auto"/>
      </w:divBdr>
    </w:div>
    <w:div w:id="566304560">
      <w:bodyDiv w:val="1"/>
      <w:marLeft w:val="0"/>
      <w:marRight w:val="0"/>
      <w:marTop w:val="0"/>
      <w:marBottom w:val="0"/>
      <w:divBdr>
        <w:top w:val="none" w:sz="0" w:space="0" w:color="auto"/>
        <w:left w:val="none" w:sz="0" w:space="0" w:color="auto"/>
        <w:bottom w:val="none" w:sz="0" w:space="0" w:color="auto"/>
        <w:right w:val="none" w:sz="0" w:space="0" w:color="auto"/>
      </w:divBdr>
    </w:div>
    <w:div w:id="566766175">
      <w:bodyDiv w:val="1"/>
      <w:marLeft w:val="0"/>
      <w:marRight w:val="0"/>
      <w:marTop w:val="0"/>
      <w:marBottom w:val="0"/>
      <w:divBdr>
        <w:top w:val="none" w:sz="0" w:space="0" w:color="auto"/>
        <w:left w:val="none" w:sz="0" w:space="0" w:color="auto"/>
        <w:bottom w:val="none" w:sz="0" w:space="0" w:color="auto"/>
        <w:right w:val="none" w:sz="0" w:space="0" w:color="auto"/>
      </w:divBdr>
    </w:div>
    <w:div w:id="567035739">
      <w:bodyDiv w:val="1"/>
      <w:marLeft w:val="0"/>
      <w:marRight w:val="0"/>
      <w:marTop w:val="0"/>
      <w:marBottom w:val="0"/>
      <w:divBdr>
        <w:top w:val="none" w:sz="0" w:space="0" w:color="auto"/>
        <w:left w:val="none" w:sz="0" w:space="0" w:color="auto"/>
        <w:bottom w:val="none" w:sz="0" w:space="0" w:color="auto"/>
        <w:right w:val="none" w:sz="0" w:space="0" w:color="auto"/>
      </w:divBdr>
    </w:div>
    <w:div w:id="567108919">
      <w:bodyDiv w:val="1"/>
      <w:marLeft w:val="0"/>
      <w:marRight w:val="0"/>
      <w:marTop w:val="0"/>
      <w:marBottom w:val="0"/>
      <w:divBdr>
        <w:top w:val="none" w:sz="0" w:space="0" w:color="auto"/>
        <w:left w:val="none" w:sz="0" w:space="0" w:color="auto"/>
        <w:bottom w:val="none" w:sz="0" w:space="0" w:color="auto"/>
        <w:right w:val="none" w:sz="0" w:space="0" w:color="auto"/>
      </w:divBdr>
    </w:div>
    <w:div w:id="567109957">
      <w:bodyDiv w:val="1"/>
      <w:marLeft w:val="0"/>
      <w:marRight w:val="0"/>
      <w:marTop w:val="0"/>
      <w:marBottom w:val="0"/>
      <w:divBdr>
        <w:top w:val="none" w:sz="0" w:space="0" w:color="auto"/>
        <w:left w:val="none" w:sz="0" w:space="0" w:color="auto"/>
        <w:bottom w:val="none" w:sz="0" w:space="0" w:color="auto"/>
        <w:right w:val="none" w:sz="0" w:space="0" w:color="auto"/>
      </w:divBdr>
    </w:div>
    <w:div w:id="567149638">
      <w:bodyDiv w:val="1"/>
      <w:marLeft w:val="0"/>
      <w:marRight w:val="0"/>
      <w:marTop w:val="0"/>
      <w:marBottom w:val="0"/>
      <w:divBdr>
        <w:top w:val="none" w:sz="0" w:space="0" w:color="auto"/>
        <w:left w:val="none" w:sz="0" w:space="0" w:color="auto"/>
        <w:bottom w:val="none" w:sz="0" w:space="0" w:color="auto"/>
        <w:right w:val="none" w:sz="0" w:space="0" w:color="auto"/>
      </w:divBdr>
    </w:div>
    <w:div w:id="567153535">
      <w:bodyDiv w:val="1"/>
      <w:marLeft w:val="0"/>
      <w:marRight w:val="0"/>
      <w:marTop w:val="0"/>
      <w:marBottom w:val="0"/>
      <w:divBdr>
        <w:top w:val="none" w:sz="0" w:space="0" w:color="auto"/>
        <w:left w:val="none" w:sz="0" w:space="0" w:color="auto"/>
        <w:bottom w:val="none" w:sz="0" w:space="0" w:color="auto"/>
        <w:right w:val="none" w:sz="0" w:space="0" w:color="auto"/>
      </w:divBdr>
    </w:div>
    <w:div w:id="567231492">
      <w:bodyDiv w:val="1"/>
      <w:marLeft w:val="0"/>
      <w:marRight w:val="0"/>
      <w:marTop w:val="0"/>
      <w:marBottom w:val="0"/>
      <w:divBdr>
        <w:top w:val="none" w:sz="0" w:space="0" w:color="auto"/>
        <w:left w:val="none" w:sz="0" w:space="0" w:color="auto"/>
        <w:bottom w:val="none" w:sz="0" w:space="0" w:color="auto"/>
        <w:right w:val="none" w:sz="0" w:space="0" w:color="auto"/>
      </w:divBdr>
    </w:div>
    <w:div w:id="567375141">
      <w:bodyDiv w:val="1"/>
      <w:marLeft w:val="0"/>
      <w:marRight w:val="0"/>
      <w:marTop w:val="0"/>
      <w:marBottom w:val="0"/>
      <w:divBdr>
        <w:top w:val="none" w:sz="0" w:space="0" w:color="auto"/>
        <w:left w:val="none" w:sz="0" w:space="0" w:color="auto"/>
        <w:bottom w:val="none" w:sz="0" w:space="0" w:color="auto"/>
        <w:right w:val="none" w:sz="0" w:space="0" w:color="auto"/>
      </w:divBdr>
    </w:div>
    <w:div w:id="567375415">
      <w:bodyDiv w:val="1"/>
      <w:marLeft w:val="0"/>
      <w:marRight w:val="0"/>
      <w:marTop w:val="0"/>
      <w:marBottom w:val="0"/>
      <w:divBdr>
        <w:top w:val="none" w:sz="0" w:space="0" w:color="auto"/>
        <w:left w:val="none" w:sz="0" w:space="0" w:color="auto"/>
        <w:bottom w:val="none" w:sz="0" w:space="0" w:color="auto"/>
        <w:right w:val="none" w:sz="0" w:space="0" w:color="auto"/>
      </w:divBdr>
    </w:div>
    <w:div w:id="567425181">
      <w:bodyDiv w:val="1"/>
      <w:marLeft w:val="0"/>
      <w:marRight w:val="0"/>
      <w:marTop w:val="0"/>
      <w:marBottom w:val="0"/>
      <w:divBdr>
        <w:top w:val="none" w:sz="0" w:space="0" w:color="auto"/>
        <w:left w:val="none" w:sz="0" w:space="0" w:color="auto"/>
        <w:bottom w:val="none" w:sz="0" w:space="0" w:color="auto"/>
        <w:right w:val="none" w:sz="0" w:space="0" w:color="auto"/>
      </w:divBdr>
    </w:div>
    <w:div w:id="567501170">
      <w:bodyDiv w:val="1"/>
      <w:marLeft w:val="0"/>
      <w:marRight w:val="0"/>
      <w:marTop w:val="0"/>
      <w:marBottom w:val="0"/>
      <w:divBdr>
        <w:top w:val="none" w:sz="0" w:space="0" w:color="auto"/>
        <w:left w:val="none" w:sz="0" w:space="0" w:color="auto"/>
        <w:bottom w:val="none" w:sz="0" w:space="0" w:color="auto"/>
        <w:right w:val="none" w:sz="0" w:space="0" w:color="auto"/>
      </w:divBdr>
    </w:div>
    <w:div w:id="567568756">
      <w:bodyDiv w:val="1"/>
      <w:marLeft w:val="0"/>
      <w:marRight w:val="0"/>
      <w:marTop w:val="0"/>
      <w:marBottom w:val="0"/>
      <w:divBdr>
        <w:top w:val="none" w:sz="0" w:space="0" w:color="auto"/>
        <w:left w:val="none" w:sz="0" w:space="0" w:color="auto"/>
        <w:bottom w:val="none" w:sz="0" w:space="0" w:color="auto"/>
        <w:right w:val="none" w:sz="0" w:space="0" w:color="auto"/>
      </w:divBdr>
    </w:div>
    <w:div w:id="567811324">
      <w:bodyDiv w:val="1"/>
      <w:marLeft w:val="0"/>
      <w:marRight w:val="0"/>
      <w:marTop w:val="0"/>
      <w:marBottom w:val="0"/>
      <w:divBdr>
        <w:top w:val="none" w:sz="0" w:space="0" w:color="auto"/>
        <w:left w:val="none" w:sz="0" w:space="0" w:color="auto"/>
        <w:bottom w:val="none" w:sz="0" w:space="0" w:color="auto"/>
        <w:right w:val="none" w:sz="0" w:space="0" w:color="auto"/>
      </w:divBdr>
    </w:div>
    <w:div w:id="567962490">
      <w:bodyDiv w:val="1"/>
      <w:marLeft w:val="0"/>
      <w:marRight w:val="0"/>
      <w:marTop w:val="0"/>
      <w:marBottom w:val="0"/>
      <w:divBdr>
        <w:top w:val="none" w:sz="0" w:space="0" w:color="auto"/>
        <w:left w:val="none" w:sz="0" w:space="0" w:color="auto"/>
        <w:bottom w:val="none" w:sz="0" w:space="0" w:color="auto"/>
        <w:right w:val="none" w:sz="0" w:space="0" w:color="auto"/>
      </w:divBdr>
    </w:div>
    <w:div w:id="568004959">
      <w:bodyDiv w:val="1"/>
      <w:marLeft w:val="0"/>
      <w:marRight w:val="0"/>
      <w:marTop w:val="0"/>
      <w:marBottom w:val="0"/>
      <w:divBdr>
        <w:top w:val="none" w:sz="0" w:space="0" w:color="auto"/>
        <w:left w:val="none" w:sz="0" w:space="0" w:color="auto"/>
        <w:bottom w:val="none" w:sz="0" w:space="0" w:color="auto"/>
        <w:right w:val="none" w:sz="0" w:space="0" w:color="auto"/>
      </w:divBdr>
    </w:div>
    <w:div w:id="568033041">
      <w:bodyDiv w:val="1"/>
      <w:marLeft w:val="0"/>
      <w:marRight w:val="0"/>
      <w:marTop w:val="0"/>
      <w:marBottom w:val="0"/>
      <w:divBdr>
        <w:top w:val="none" w:sz="0" w:space="0" w:color="auto"/>
        <w:left w:val="none" w:sz="0" w:space="0" w:color="auto"/>
        <w:bottom w:val="none" w:sz="0" w:space="0" w:color="auto"/>
        <w:right w:val="none" w:sz="0" w:space="0" w:color="auto"/>
      </w:divBdr>
    </w:div>
    <w:div w:id="568081850">
      <w:bodyDiv w:val="1"/>
      <w:marLeft w:val="0"/>
      <w:marRight w:val="0"/>
      <w:marTop w:val="0"/>
      <w:marBottom w:val="0"/>
      <w:divBdr>
        <w:top w:val="none" w:sz="0" w:space="0" w:color="auto"/>
        <w:left w:val="none" w:sz="0" w:space="0" w:color="auto"/>
        <w:bottom w:val="none" w:sz="0" w:space="0" w:color="auto"/>
        <w:right w:val="none" w:sz="0" w:space="0" w:color="auto"/>
      </w:divBdr>
    </w:div>
    <w:div w:id="568269891">
      <w:bodyDiv w:val="1"/>
      <w:marLeft w:val="0"/>
      <w:marRight w:val="0"/>
      <w:marTop w:val="0"/>
      <w:marBottom w:val="0"/>
      <w:divBdr>
        <w:top w:val="none" w:sz="0" w:space="0" w:color="auto"/>
        <w:left w:val="none" w:sz="0" w:space="0" w:color="auto"/>
        <w:bottom w:val="none" w:sz="0" w:space="0" w:color="auto"/>
        <w:right w:val="none" w:sz="0" w:space="0" w:color="auto"/>
      </w:divBdr>
    </w:div>
    <w:div w:id="568350822">
      <w:bodyDiv w:val="1"/>
      <w:marLeft w:val="0"/>
      <w:marRight w:val="0"/>
      <w:marTop w:val="0"/>
      <w:marBottom w:val="0"/>
      <w:divBdr>
        <w:top w:val="none" w:sz="0" w:space="0" w:color="auto"/>
        <w:left w:val="none" w:sz="0" w:space="0" w:color="auto"/>
        <w:bottom w:val="none" w:sz="0" w:space="0" w:color="auto"/>
        <w:right w:val="none" w:sz="0" w:space="0" w:color="auto"/>
      </w:divBdr>
    </w:div>
    <w:div w:id="568419563">
      <w:bodyDiv w:val="1"/>
      <w:marLeft w:val="0"/>
      <w:marRight w:val="0"/>
      <w:marTop w:val="0"/>
      <w:marBottom w:val="0"/>
      <w:divBdr>
        <w:top w:val="none" w:sz="0" w:space="0" w:color="auto"/>
        <w:left w:val="none" w:sz="0" w:space="0" w:color="auto"/>
        <w:bottom w:val="none" w:sz="0" w:space="0" w:color="auto"/>
        <w:right w:val="none" w:sz="0" w:space="0" w:color="auto"/>
      </w:divBdr>
    </w:div>
    <w:div w:id="568535419">
      <w:bodyDiv w:val="1"/>
      <w:marLeft w:val="0"/>
      <w:marRight w:val="0"/>
      <w:marTop w:val="0"/>
      <w:marBottom w:val="0"/>
      <w:divBdr>
        <w:top w:val="none" w:sz="0" w:space="0" w:color="auto"/>
        <w:left w:val="none" w:sz="0" w:space="0" w:color="auto"/>
        <w:bottom w:val="none" w:sz="0" w:space="0" w:color="auto"/>
        <w:right w:val="none" w:sz="0" w:space="0" w:color="auto"/>
      </w:divBdr>
    </w:div>
    <w:div w:id="568540738">
      <w:bodyDiv w:val="1"/>
      <w:marLeft w:val="0"/>
      <w:marRight w:val="0"/>
      <w:marTop w:val="0"/>
      <w:marBottom w:val="0"/>
      <w:divBdr>
        <w:top w:val="none" w:sz="0" w:space="0" w:color="auto"/>
        <w:left w:val="none" w:sz="0" w:space="0" w:color="auto"/>
        <w:bottom w:val="none" w:sz="0" w:space="0" w:color="auto"/>
        <w:right w:val="none" w:sz="0" w:space="0" w:color="auto"/>
      </w:divBdr>
    </w:div>
    <w:div w:id="568853993">
      <w:bodyDiv w:val="1"/>
      <w:marLeft w:val="0"/>
      <w:marRight w:val="0"/>
      <w:marTop w:val="0"/>
      <w:marBottom w:val="0"/>
      <w:divBdr>
        <w:top w:val="none" w:sz="0" w:space="0" w:color="auto"/>
        <w:left w:val="none" w:sz="0" w:space="0" w:color="auto"/>
        <w:bottom w:val="none" w:sz="0" w:space="0" w:color="auto"/>
        <w:right w:val="none" w:sz="0" w:space="0" w:color="auto"/>
      </w:divBdr>
    </w:div>
    <w:div w:id="568879151">
      <w:bodyDiv w:val="1"/>
      <w:marLeft w:val="0"/>
      <w:marRight w:val="0"/>
      <w:marTop w:val="0"/>
      <w:marBottom w:val="0"/>
      <w:divBdr>
        <w:top w:val="none" w:sz="0" w:space="0" w:color="auto"/>
        <w:left w:val="none" w:sz="0" w:space="0" w:color="auto"/>
        <w:bottom w:val="none" w:sz="0" w:space="0" w:color="auto"/>
        <w:right w:val="none" w:sz="0" w:space="0" w:color="auto"/>
      </w:divBdr>
    </w:div>
    <w:div w:id="568922695">
      <w:bodyDiv w:val="1"/>
      <w:marLeft w:val="0"/>
      <w:marRight w:val="0"/>
      <w:marTop w:val="0"/>
      <w:marBottom w:val="0"/>
      <w:divBdr>
        <w:top w:val="none" w:sz="0" w:space="0" w:color="auto"/>
        <w:left w:val="none" w:sz="0" w:space="0" w:color="auto"/>
        <w:bottom w:val="none" w:sz="0" w:space="0" w:color="auto"/>
        <w:right w:val="none" w:sz="0" w:space="0" w:color="auto"/>
      </w:divBdr>
    </w:div>
    <w:div w:id="568923744">
      <w:bodyDiv w:val="1"/>
      <w:marLeft w:val="0"/>
      <w:marRight w:val="0"/>
      <w:marTop w:val="0"/>
      <w:marBottom w:val="0"/>
      <w:divBdr>
        <w:top w:val="none" w:sz="0" w:space="0" w:color="auto"/>
        <w:left w:val="none" w:sz="0" w:space="0" w:color="auto"/>
        <w:bottom w:val="none" w:sz="0" w:space="0" w:color="auto"/>
        <w:right w:val="none" w:sz="0" w:space="0" w:color="auto"/>
      </w:divBdr>
    </w:div>
    <w:div w:id="569466099">
      <w:bodyDiv w:val="1"/>
      <w:marLeft w:val="0"/>
      <w:marRight w:val="0"/>
      <w:marTop w:val="0"/>
      <w:marBottom w:val="0"/>
      <w:divBdr>
        <w:top w:val="none" w:sz="0" w:space="0" w:color="auto"/>
        <w:left w:val="none" w:sz="0" w:space="0" w:color="auto"/>
        <w:bottom w:val="none" w:sz="0" w:space="0" w:color="auto"/>
        <w:right w:val="none" w:sz="0" w:space="0" w:color="auto"/>
      </w:divBdr>
    </w:div>
    <w:div w:id="569508833">
      <w:bodyDiv w:val="1"/>
      <w:marLeft w:val="0"/>
      <w:marRight w:val="0"/>
      <w:marTop w:val="0"/>
      <w:marBottom w:val="0"/>
      <w:divBdr>
        <w:top w:val="none" w:sz="0" w:space="0" w:color="auto"/>
        <w:left w:val="none" w:sz="0" w:space="0" w:color="auto"/>
        <w:bottom w:val="none" w:sz="0" w:space="0" w:color="auto"/>
        <w:right w:val="none" w:sz="0" w:space="0" w:color="auto"/>
      </w:divBdr>
    </w:div>
    <w:div w:id="569509713">
      <w:bodyDiv w:val="1"/>
      <w:marLeft w:val="0"/>
      <w:marRight w:val="0"/>
      <w:marTop w:val="0"/>
      <w:marBottom w:val="0"/>
      <w:divBdr>
        <w:top w:val="none" w:sz="0" w:space="0" w:color="auto"/>
        <w:left w:val="none" w:sz="0" w:space="0" w:color="auto"/>
        <w:bottom w:val="none" w:sz="0" w:space="0" w:color="auto"/>
        <w:right w:val="none" w:sz="0" w:space="0" w:color="auto"/>
      </w:divBdr>
    </w:div>
    <w:div w:id="569538600">
      <w:bodyDiv w:val="1"/>
      <w:marLeft w:val="0"/>
      <w:marRight w:val="0"/>
      <w:marTop w:val="0"/>
      <w:marBottom w:val="0"/>
      <w:divBdr>
        <w:top w:val="none" w:sz="0" w:space="0" w:color="auto"/>
        <w:left w:val="none" w:sz="0" w:space="0" w:color="auto"/>
        <w:bottom w:val="none" w:sz="0" w:space="0" w:color="auto"/>
        <w:right w:val="none" w:sz="0" w:space="0" w:color="auto"/>
      </w:divBdr>
    </w:div>
    <w:div w:id="569847907">
      <w:bodyDiv w:val="1"/>
      <w:marLeft w:val="0"/>
      <w:marRight w:val="0"/>
      <w:marTop w:val="0"/>
      <w:marBottom w:val="0"/>
      <w:divBdr>
        <w:top w:val="none" w:sz="0" w:space="0" w:color="auto"/>
        <w:left w:val="none" w:sz="0" w:space="0" w:color="auto"/>
        <w:bottom w:val="none" w:sz="0" w:space="0" w:color="auto"/>
        <w:right w:val="none" w:sz="0" w:space="0" w:color="auto"/>
      </w:divBdr>
    </w:div>
    <w:div w:id="569922630">
      <w:bodyDiv w:val="1"/>
      <w:marLeft w:val="0"/>
      <w:marRight w:val="0"/>
      <w:marTop w:val="0"/>
      <w:marBottom w:val="0"/>
      <w:divBdr>
        <w:top w:val="none" w:sz="0" w:space="0" w:color="auto"/>
        <w:left w:val="none" w:sz="0" w:space="0" w:color="auto"/>
        <w:bottom w:val="none" w:sz="0" w:space="0" w:color="auto"/>
        <w:right w:val="none" w:sz="0" w:space="0" w:color="auto"/>
      </w:divBdr>
    </w:div>
    <w:div w:id="569925401">
      <w:bodyDiv w:val="1"/>
      <w:marLeft w:val="0"/>
      <w:marRight w:val="0"/>
      <w:marTop w:val="0"/>
      <w:marBottom w:val="0"/>
      <w:divBdr>
        <w:top w:val="none" w:sz="0" w:space="0" w:color="auto"/>
        <w:left w:val="none" w:sz="0" w:space="0" w:color="auto"/>
        <w:bottom w:val="none" w:sz="0" w:space="0" w:color="auto"/>
        <w:right w:val="none" w:sz="0" w:space="0" w:color="auto"/>
      </w:divBdr>
    </w:div>
    <w:div w:id="570041174">
      <w:bodyDiv w:val="1"/>
      <w:marLeft w:val="0"/>
      <w:marRight w:val="0"/>
      <w:marTop w:val="0"/>
      <w:marBottom w:val="0"/>
      <w:divBdr>
        <w:top w:val="none" w:sz="0" w:space="0" w:color="auto"/>
        <w:left w:val="none" w:sz="0" w:space="0" w:color="auto"/>
        <w:bottom w:val="none" w:sz="0" w:space="0" w:color="auto"/>
        <w:right w:val="none" w:sz="0" w:space="0" w:color="auto"/>
      </w:divBdr>
    </w:div>
    <w:div w:id="570122029">
      <w:bodyDiv w:val="1"/>
      <w:marLeft w:val="0"/>
      <w:marRight w:val="0"/>
      <w:marTop w:val="0"/>
      <w:marBottom w:val="0"/>
      <w:divBdr>
        <w:top w:val="none" w:sz="0" w:space="0" w:color="auto"/>
        <w:left w:val="none" w:sz="0" w:space="0" w:color="auto"/>
        <w:bottom w:val="none" w:sz="0" w:space="0" w:color="auto"/>
        <w:right w:val="none" w:sz="0" w:space="0" w:color="auto"/>
      </w:divBdr>
    </w:div>
    <w:div w:id="570123099">
      <w:bodyDiv w:val="1"/>
      <w:marLeft w:val="0"/>
      <w:marRight w:val="0"/>
      <w:marTop w:val="0"/>
      <w:marBottom w:val="0"/>
      <w:divBdr>
        <w:top w:val="none" w:sz="0" w:space="0" w:color="auto"/>
        <w:left w:val="none" w:sz="0" w:space="0" w:color="auto"/>
        <w:bottom w:val="none" w:sz="0" w:space="0" w:color="auto"/>
        <w:right w:val="none" w:sz="0" w:space="0" w:color="auto"/>
      </w:divBdr>
    </w:div>
    <w:div w:id="570194302">
      <w:bodyDiv w:val="1"/>
      <w:marLeft w:val="0"/>
      <w:marRight w:val="0"/>
      <w:marTop w:val="0"/>
      <w:marBottom w:val="0"/>
      <w:divBdr>
        <w:top w:val="none" w:sz="0" w:space="0" w:color="auto"/>
        <w:left w:val="none" w:sz="0" w:space="0" w:color="auto"/>
        <w:bottom w:val="none" w:sz="0" w:space="0" w:color="auto"/>
        <w:right w:val="none" w:sz="0" w:space="0" w:color="auto"/>
      </w:divBdr>
    </w:div>
    <w:div w:id="570426662">
      <w:bodyDiv w:val="1"/>
      <w:marLeft w:val="0"/>
      <w:marRight w:val="0"/>
      <w:marTop w:val="0"/>
      <w:marBottom w:val="0"/>
      <w:divBdr>
        <w:top w:val="none" w:sz="0" w:space="0" w:color="auto"/>
        <w:left w:val="none" w:sz="0" w:space="0" w:color="auto"/>
        <w:bottom w:val="none" w:sz="0" w:space="0" w:color="auto"/>
        <w:right w:val="none" w:sz="0" w:space="0" w:color="auto"/>
      </w:divBdr>
    </w:div>
    <w:div w:id="570626548">
      <w:bodyDiv w:val="1"/>
      <w:marLeft w:val="0"/>
      <w:marRight w:val="0"/>
      <w:marTop w:val="0"/>
      <w:marBottom w:val="0"/>
      <w:divBdr>
        <w:top w:val="none" w:sz="0" w:space="0" w:color="auto"/>
        <w:left w:val="none" w:sz="0" w:space="0" w:color="auto"/>
        <w:bottom w:val="none" w:sz="0" w:space="0" w:color="auto"/>
        <w:right w:val="none" w:sz="0" w:space="0" w:color="auto"/>
      </w:divBdr>
    </w:div>
    <w:div w:id="570654270">
      <w:bodyDiv w:val="1"/>
      <w:marLeft w:val="0"/>
      <w:marRight w:val="0"/>
      <w:marTop w:val="0"/>
      <w:marBottom w:val="0"/>
      <w:divBdr>
        <w:top w:val="none" w:sz="0" w:space="0" w:color="auto"/>
        <w:left w:val="none" w:sz="0" w:space="0" w:color="auto"/>
        <w:bottom w:val="none" w:sz="0" w:space="0" w:color="auto"/>
        <w:right w:val="none" w:sz="0" w:space="0" w:color="auto"/>
      </w:divBdr>
    </w:div>
    <w:div w:id="570819880">
      <w:bodyDiv w:val="1"/>
      <w:marLeft w:val="0"/>
      <w:marRight w:val="0"/>
      <w:marTop w:val="0"/>
      <w:marBottom w:val="0"/>
      <w:divBdr>
        <w:top w:val="none" w:sz="0" w:space="0" w:color="auto"/>
        <w:left w:val="none" w:sz="0" w:space="0" w:color="auto"/>
        <w:bottom w:val="none" w:sz="0" w:space="0" w:color="auto"/>
        <w:right w:val="none" w:sz="0" w:space="0" w:color="auto"/>
      </w:divBdr>
    </w:div>
    <w:div w:id="570970834">
      <w:bodyDiv w:val="1"/>
      <w:marLeft w:val="0"/>
      <w:marRight w:val="0"/>
      <w:marTop w:val="0"/>
      <w:marBottom w:val="0"/>
      <w:divBdr>
        <w:top w:val="none" w:sz="0" w:space="0" w:color="auto"/>
        <w:left w:val="none" w:sz="0" w:space="0" w:color="auto"/>
        <w:bottom w:val="none" w:sz="0" w:space="0" w:color="auto"/>
        <w:right w:val="none" w:sz="0" w:space="0" w:color="auto"/>
      </w:divBdr>
    </w:div>
    <w:div w:id="571044049">
      <w:bodyDiv w:val="1"/>
      <w:marLeft w:val="0"/>
      <w:marRight w:val="0"/>
      <w:marTop w:val="0"/>
      <w:marBottom w:val="0"/>
      <w:divBdr>
        <w:top w:val="none" w:sz="0" w:space="0" w:color="auto"/>
        <w:left w:val="none" w:sz="0" w:space="0" w:color="auto"/>
        <w:bottom w:val="none" w:sz="0" w:space="0" w:color="auto"/>
        <w:right w:val="none" w:sz="0" w:space="0" w:color="auto"/>
      </w:divBdr>
    </w:div>
    <w:div w:id="571358082">
      <w:bodyDiv w:val="1"/>
      <w:marLeft w:val="0"/>
      <w:marRight w:val="0"/>
      <w:marTop w:val="0"/>
      <w:marBottom w:val="0"/>
      <w:divBdr>
        <w:top w:val="none" w:sz="0" w:space="0" w:color="auto"/>
        <w:left w:val="none" w:sz="0" w:space="0" w:color="auto"/>
        <w:bottom w:val="none" w:sz="0" w:space="0" w:color="auto"/>
        <w:right w:val="none" w:sz="0" w:space="0" w:color="auto"/>
      </w:divBdr>
    </w:div>
    <w:div w:id="571473924">
      <w:bodyDiv w:val="1"/>
      <w:marLeft w:val="0"/>
      <w:marRight w:val="0"/>
      <w:marTop w:val="0"/>
      <w:marBottom w:val="0"/>
      <w:divBdr>
        <w:top w:val="none" w:sz="0" w:space="0" w:color="auto"/>
        <w:left w:val="none" w:sz="0" w:space="0" w:color="auto"/>
        <w:bottom w:val="none" w:sz="0" w:space="0" w:color="auto"/>
        <w:right w:val="none" w:sz="0" w:space="0" w:color="auto"/>
      </w:divBdr>
    </w:div>
    <w:div w:id="571693394">
      <w:bodyDiv w:val="1"/>
      <w:marLeft w:val="0"/>
      <w:marRight w:val="0"/>
      <w:marTop w:val="0"/>
      <w:marBottom w:val="0"/>
      <w:divBdr>
        <w:top w:val="none" w:sz="0" w:space="0" w:color="auto"/>
        <w:left w:val="none" w:sz="0" w:space="0" w:color="auto"/>
        <w:bottom w:val="none" w:sz="0" w:space="0" w:color="auto"/>
        <w:right w:val="none" w:sz="0" w:space="0" w:color="auto"/>
      </w:divBdr>
    </w:div>
    <w:div w:id="571694350">
      <w:bodyDiv w:val="1"/>
      <w:marLeft w:val="0"/>
      <w:marRight w:val="0"/>
      <w:marTop w:val="0"/>
      <w:marBottom w:val="0"/>
      <w:divBdr>
        <w:top w:val="none" w:sz="0" w:space="0" w:color="auto"/>
        <w:left w:val="none" w:sz="0" w:space="0" w:color="auto"/>
        <w:bottom w:val="none" w:sz="0" w:space="0" w:color="auto"/>
        <w:right w:val="none" w:sz="0" w:space="0" w:color="auto"/>
      </w:divBdr>
    </w:div>
    <w:div w:id="571738845">
      <w:bodyDiv w:val="1"/>
      <w:marLeft w:val="0"/>
      <w:marRight w:val="0"/>
      <w:marTop w:val="0"/>
      <w:marBottom w:val="0"/>
      <w:divBdr>
        <w:top w:val="none" w:sz="0" w:space="0" w:color="auto"/>
        <w:left w:val="none" w:sz="0" w:space="0" w:color="auto"/>
        <w:bottom w:val="none" w:sz="0" w:space="0" w:color="auto"/>
        <w:right w:val="none" w:sz="0" w:space="0" w:color="auto"/>
      </w:divBdr>
    </w:div>
    <w:div w:id="572007310">
      <w:bodyDiv w:val="1"/>
      <w:marLeft w:val="0"/>
      <w:marRight w:val="0"/>
      <w:marTop w:val="0"/>
      <w:marBottom w:val="0"/>
      <w:divBdr>
        <w:top w:val="none" w:sz="0" w:space="0" w:color="auto"/>
        <w:left w:val="none" w:sz="0" w:space="0" w:color="auto"/>
        <w:bottom w:val="none" w:sz="0" w:space="0" w:color="auto"/>
        <w:right w:val="none" w:sz="0" w:space="0" w:color="auto"/>
      </w:divBdr>
    </w:div>
    <w:div w:id="572201915">
      <w:bodyDiv w:val="1"/>
      <w:marLeft w:val="0"/>
      <w:marRight w:val="0"/>
      <w:marTop w:val="0"/>
      <w:marBottom w:val="0"/>
      <w:divBdr>
        <w:top w:val="none" w:sz="0" w:space="0" w:color="auto"/>
        <w:left w:val="none" w:sz="0" w:space="0" w:color="auto"/>
        <w:bottom w:val="none" w:sz="0" w:space="0" w:color="auto"/>
        <w:right w:val="none" w:sz="0" w:space="0" w:color="auto"/>
      </w:divBdr>
    </w:div>
    <w:div w:id="572394394">
      <w:bodyDiv w:val="1"/>
      <w:marLeft w:val="0"/>
      <w:marRight w:val="0"/>
      <w:marTop w:val="0"/>
      <w:marBottom w:val="0"/>
      <w:divBdr>
        <w:top w:val="none" w:sz="0" w:space="0" w:color="auto"/>
        <w:left w:val="none" w:sz="0" w:space="0" w:color="auto"/>
        <w:bottom w:val="none" w:sz="0" w:space="0" w:color="auto"/>
        <w:right w:val="none" w:sz="0" w:space="0" w:color="auto"/>
      </w:divBdr>
    </w:div>
    <w:div w:id="572396464">
      <w:bodyDiv w:val="1"/>
      <w:marLeft w:val="0"/>
      <w:marRight w:val="0"/>
      <w:marTop w:val="0"/>
      <w:marBottom w:val="0"/>
      <w:divBdr>
        <w:top w:val="none" w:sz="0" w:space="0" w:color="auto"/>
        <w:left w:val="none" w:sz="0" w:space="0" w:color="auto"/>
        <w:bottom w:val="none" w:sz="0" w:space="0" w:color="auto"/>
        <w:right w:val="none" w:sz="0" w:space="0" w:color="auto"/>
      </w:divBdr>
    </w:div>
    <w:div w:id="572666510">
      <w:bodyDiv w:val="1"/>
      <w:marLeft w:val="0"/>
      <w:marRight w:val="0"/>
      <w:marTop w:val="0"/>
      <w:marBottom w:val="0"/>
      <w:divBdr>
        <w:top w:val="none" w:sz="0" w:space="0" w:color="auto"/>
        <w:left w:val="none" w:sz="0" w:space="0" w:color="auto"/>
        <w:bottom w:val="none" w:sz="0" w:space="0" w:color="auto"/>
        <w:right w:val="none" w:sz="0" w:space="0" w:color="auto"/>
      </w:divBdr>
    </w:div>
    <w:div w:id="572855801">
      <w:bodyDiv w:val="1"/>
      <w:marLeft w:val="0"/>
      <w:marRight w:val="0"/>
      <w:marTop w:val="0"/>
      <w:marBottom w:val="0"/>
      <w:divBdr>
        <w:top w:val="none" w:sz="0" w:space="0" w:color="auto"/>
        <w:left w:val="none" w:sz="0" w:space="0" w:color="auto"/>
        <w:bottom w:val="none" w:sz="0" w:space="0" w:color="auto"/>
        <w:right w:val="none" w:sz="0" w:space="0" w:color="auto"/>
      </w:divBdr>
    </w:div>
    <w:div w:id="572860760">
      <w:bodyDiv w:val="1"/>
      <w:marLeft w:val="0"/>
      <w:marRight w:val="0"/>
      <w:marTop w:val="0"/>
      <w:marBottom w:val="0"/>
      <w:divBdr>
        <w:top w:val="none" w:sz="0" w:space="0" w:color="auto"/>
        <w:left w:val="none" w:sz="0" w:space="0" w:color="auto"/>
        <w:bottom w:val="none" w:sz="0" w:space="0" w:color="auto"/>
        <w:right w:val="none" w:sz="0" w:space="0" w:color="auto"/>
      </w:divBdr>
    </w:div>
    <w:div w:id="572936565">
      <w:bodyDiv w:val="1"/>
      <w:marLeft w:val="0"/>
      <w:marRight w:val="0"/>
      <w:marTop w:val="0"/>
      <w:marBottom w:val="0"/>
      <w:divBdr>
        <w:top w:val="none" w:sz="0" w:space="0" w:color="auto"/>
        <w:left w:val="none" w:sz="0" w:space="0" w:color="auto"/>
        <w:bottom w:val="none" w:sz="0" w:space="0" w:color="auto"/>
        <w:right w:val="none" w:sz="0" w:space="0" w:color="auto"/>
      </w:divBdr>
    </w:div>
    <w:div w:id="573012082">
      <w:bodyDiv w:val="1"/>
      <w:marLeft w:val="0"/>
      <w:marRight w:val="0"/>
      <w:marTop w:val="0"/>
      <w:marBottom w:val="0"/>
      <w:divBdr>
        <w:top w:val="none" w:sz="0" w:space="0" w:color="auto"/>
        <w:left w:val="none" w:sz="0" w:space="0" w:color="auto"/>
        <w:bottom w:val="none" w:sz="0" w:space="0" w:color="auto"/>
        <w:right w:val="none" w:sz="0" w:space="0" w:color="auto"/>
      </w:divBdr>
    </w:div>
    <w:div w:id="573079225">
      <w:bodyDiv w:val="1"/>
      <w:marLeft w:val="0"/>
      <w:marRight w:val="0"/>
      <w:marTop w:val="0"/>
      <w:marBottom w:val="0"/>
      <w:divBdr>
        <w:top w:val="none" w:sz="0" w:space="0" w:color="auto"/>
        <w:left w:val="none" w:sz="0" w:space="0" w:color="auto"/>
        <w:bottom w:val="none" w:sz="0" w:space="0" w:color="auto"/>
        <w:right w:val="none" w:sz="0" w:space="0" w:color="auto"/>
      </w:divBdr>
    </w:div>
    <w:div w:id="573396915">
      <w:bodyDiv w:val="1"/>
      <w:marLeft w:val="0"/>
      <w:marRight w:val="0"/>
      <w:marTop w:val="0"/>
      <w:marBottom w:val="0"/>
      <w:divBdr>
        <w:top w:val="none" w:sz="0" w:space="0" w:color="auto"/>
        <w:left w:val="none" w:sz="0" w:space="0" w:color="auto"/>
        <w:bottom w:val="none" w:sz="0" w:space="0" w:color="auto"/>
        <w:right w:val="none" w:sz="0" w:space="0" w:color="auto"/>
      </w:divBdr>
    </w:div>
    <w:div w:id="573516693">
      <w:bodyDiv w:val="1"/>
      <w:marLeft w:val="0"/>
      <w:marRight w:val="0"/>
      <w:marTop w:val="0"/>
      <w:marBottom w:val="0"/>
      <w:divBdr>
        <w:top w:val="none" w:sz="0" w:space="0" w:color="auto"/>
        <w:left w:val="none" w:sz="0" w:space="0" w:color="auto"/>
        <w:bottom w:val="none" w:sz="0" w:space="0" w:color="auto"/>
        <w:right w:val="none" w:sz="0" w:space="0" w:color="auto"/>
      </w:divBdr>
    </w:div>
    <w:div w:id="573976244">
      <w:bodyDiv w:val="1"/>
      <w:marLeft w:val="0"/>
      <w:marRight w:val="0"/>
      <w:marTop w:val="0"/>
      <w:marBottom w:val="0"/>
      <w:divBdr>
        <w:top w:val="none" w:sz="0" w:space="0" w:color="auto"/>
        <w:left w:val="none" w:sz="0" w:space="0" w:color="auto"/>
        <w:bottom w:val="none" w:sz="0" w:space="0" w:color="auto"/>
        <w:right w:val="none" w:sz="0" w:space="0" w:color="auto"/>
      </w:divBdr>
    </w:div>
    <w:div w:id="574095537">
      <w:bodyDiv w:val="1"/>
      <w:marLeft w:val="0"/>
      <w:marRight w:val="0"/>
      <w:marTop w:val="0"/>
      <w:marBottom w:val="0"/>
      <w:divBdr>
        <w:top w:val="none" w:sz="0" w:space="0" w:color="auto"/>
        <w:left w:val="none" w:sz="0" w:space="0" w:color="auto"/>
        <w:bottom w:val="none" w:sz="0" w:space="0" w:color="auto"/>
        <w:right w:val="none" w:sz="0" w:space="0" w:color="auto"/>
      </w:divBdr>
    </w:div>
    <w:div w:id="574121294">
      <w:bodyDiv w:val="1"/>
      <w:marLeft w:val="0"/>
      <w:marRight w:val="0"/>
      <w:marTop w:val="0"/>
      <w:marBottom w:val="0"/>
      <w:divBdr>
        <w:top w:val="none" w:sz="0" w:space="0" w:color="auto"/>
        <w:left w:val="none" w:sz="0" w:space="0" w:color="auto"/>
        <w:bottom w:val="none" w:sz="0" w:space="0" w:color="auto"/>
        <w:right w:val="none" w:sz="0" w:space="0" w:color="auto"/>
      </w:divBdr>
    </w:div>
    <w:div w:id="574124149">
      <w:bodyDiv w:val="1"/>
      <w:marLeft w:val="0"/>
      <w:marRight w:val="0"/>
      <w:marTop w:val="0"/>
      <w:marBottom w:val="0"/>
      <w:divBdr>
        <w:top w:val="none" w:sz="0" w:space="0" w:color="auto"/>
        <w:left w:val="none" w:sz="0" w:space="0" w:color="auto"/>
        <w:bottom w:val="none" w:sz="0" w:space="0" w:color="auto"/>
        <w:right w:val="none" w:sz="0" w:space="0" w:color="auto"/>
      </w:divBdr>
    </w:div>
    <w:div w:id="574241148">
      <w:bodyDiv w:val="1"/>
      <w:marLeft w:val="0"/>
      <w:marRight w:val="0"/>
      <w:marTop w:val="0"/>
      <w:marBottom w:val="0"/>
      <w:divBdr>
        <w:top w:val="none" w:sz="0" w:space="0" w:color="auto"/>
        <w:left w:val="none" w:sz="0" w:space="0" w:color="auto"/>
        <w:bottom w:val="none" w:sz="0" w:space="0" w:color="auto"/>
        <w:right w:val="none" w:sz="0" w:space="0" w:color="auto"/>
      </w:divBdr>
    </w:div>
    <w:div w:id="574319724">
      <w:bodyDiv w:val="1"/>
      <w:marLeft w:val="0"/>
      <w:marRight w:val="0"/>
      <w:marTop w:val="0"/>
      <w:marBottom w:val="0"/>
      <w:divBdr>
        <w:top w:val="none" w:sz="0" w:space="0" w:color="auto"/>
        <w:left w:val="none" w:sz="0" w:space="0" w:color="auto"/>
        <w:bottom w:val="none" w:sz="0" w:space="0" w:color="auto"/>
        <w:right w:val="none" w:sz="0" w:space="0" w:color="auto"/>
      </w:divBdr>
    </w:div>
    <w:div w:id="574629823">
      <w:bodyDiv w:val="1"/>
      <w:marLeft w:val="0"/>
      <w:marRight w:val="0"/>
      <w:marTop w:val="0"/>
      <w:marBottom w:val="0"/>
      <w:divBdr>
        <w:top w:val="none" w:sz="0" w:space="0" w:color="auto"/>
        <w:left w:val="none" w:sz="0" w:space="0" w:color="auto"/>
        <w:bottom w:val="none" w:sz="0" w:space="0" w:color="auto"/>
        <w:right w:val="none" w:sz="0" w:space="0" w:color="auto"/>
      </w:divBdr>
    </w:div>
    <w:div w:id="574709747">
      <w:bodyDiv w:val="1"/>
      <w:marLeft w:val="0"/>
      <w:marRight w:val="0"/>
      <w:marTop w:val="0"/>
      <w:marBottom w:val="0"/>
      <w:divBdr>
        <w:top w:val="none" w:sz="0" w:space="0" w:color="auto"/>
        <w:left w:val="none" w:sz="0" w:space="0" w:color="auto"/>
        <w:bottom w:val="none" w:sz="0" w:space="0" w:color="auto"/>
        <w:right w:val="none" w:sz="0" w:space="0" w:color="auto"/>
      </w:divBdr>
    </w:div>
    <w:div w:id="574970113">
      <w:bodyDiv w:val="1"/>
      <w:marLeft w:val="0"/>
      <w:marRight w:val="0"/>
      <w:marTop w:val="0"/>
      <w:marBottom w:val="0"/>
      <w:divBdr>
        <w:top w:val="none" w:sz="0" w:space="0" w:color="auto"/>
        <w:left w:val="none" w:sz="0" w:space="0" w:color="auto"/>
        <w:bottom w:val="none" w:sz="0" w:space="0" w:color="auto"/>
        <w:right w:val="none" w:sz="0" w:space="0" w:color="auto"/>
      </w:divBdr>
    </w:div>
    <w:div w:id="574977399">
      <w:bodyDiv w:val="1"/>
      <w:marLeft w:val="0"/>
      <w:marRight w:val="0"/>
      <w:marTop w:val="0"/>
      <w:marBottom w:val="0"/>
      <w:divBdr>
        <w:top w:val="none" w:sz="0" w:space="0" w:color="auto"/>
        <w:left w:val="none" w:sz="0" w:space="0" w:color="auto"/>
        <w:bottom w:val="none" w:sz="0" w:space="0" w:color="auto"/>
        <w:right w:val="none" w:sz="0" w:space="0" w:color="auto"/>
      </w:divBdr>
    </w:div>
    <w:div w:id="575240313">
      <w:bodyDiv w:val="1"/>
      <w:marLeft w:val="0"/>
      <w:marRight w:val="0"/>
      <w:marTop w:val="0"/>
      <w:marBottom w:val="0"/>
      <w:divBdr>
        <w:top w:val="none" w:sz="0" w:space="0" w:color="auto"/>
        <w:left w:val="none" w:sz="0" w:space="0" w:color="auto"/>
        <w:bottom w:val="none" w:sz="0" w:space="0" w:color="auto"/>
        <w:right w:val="none" w:sz="0" w:space="0" w:color="auto"/>
      </w:divBdr>
    </w:div>
    <w:div w:id="575281091">
      <w:bodyDiv w:val="1"/>
      <w:marLeft w:val="0"/>
      <w:marRight w:val="0"/>
      <w:marTop w:val="0"/>
      <w:marBottom w:val="0"/>
      <w:divBdr>
        <w:top w:val="none" w:sz="0" w:space="0" w:color="auto"/>
        <w:left w:val="none" w:sz="0" w:space="0" w:color="auto"/>
        <w:bottom w:val="none" w:sz="0" w:space="0" w:color="auto"/>
        <w:right w:val="none" w:sz="0" w:space="0" w:color="auto"/>
      </w:divBdr>
    </w:div>
    <w:div w:id="575285257">
      <w:bodyDiv w:val="1"/>
      <w:marLeft w:val="0"/>
      <w:marRight w:val="0"/>
      <w:marTop w:val="0"/>
      <w:marBottom w:val="0"/>
      <w:divBdr>
        <w:top w:val="none" w:sz="0" w:space="0" w:color="auto"/>
        <w:left w:val="none" w:sz="0" w:space="0" w:color="auto"/>
        <w:bottom w:val="none" w:sz="0" w:space="0" w:color="auto"/>
        <w:right w:val="none" w:sz="0" w:space="0" w:color="auto"/>
      </w:divBdr>
    </w:div>
    <w:div w:id="575359472">
      <w:bodyDiv w:val="1"/>
      <w:marLeft w:val="0"/>
      <w:marRight w:val="0"/>
      <w:marTop w:val="0"/>
      <w:marBottom w:val="0"/>
      <w:divBdr>
        <w:top w:val="none" w:sz="0" w:space="0" w:color="auto"/>
        <w:left w:val="none" w:sz="0" w:space="0" w:color="auto"/>
        <w:bottom w:val="none" w:sz="0" w:space="0" w:color="auto"/>
        <w:right w:val="none" w:sz="0" w:space="0" w:color="auto"/>
      </w:divBdr>
    </w:div>
    <w:div w:id="575431689">
      <w:bodyDiv w:val="1"/>
      <w:marLeft w:val="0"/>
      <w:marRight w:val="0"/>
      <w:marTop w:val="0"/>
      <w:marBottom w:val="0"/>
      <w:divBdr>
        <w:top w:val="none" w:sz="0" w:space="0" w:color="auto"/>
        <w:left w:val="none" w:sz="0" w:space="0" w:color="auto"/>
        <w:bottom w:val="none" w:sz="0" w:space="0" w:color="auto"/>
        <w:right w:val="none" w:sz="0" w:space="0" w:color="auto"/>
      </w:divBdr>
    </w:div>
    <w:div w:id="575549647">
      <w:bodyDiv w:val="1"/>
      <w:marLeft w:val="0"/>
      <w:marRight w:val="0"/>
      <w:marTop w:val="0"/>
      <w:marBottom w:val="0"/>
      <w:divBdr>
        <w:top w:val="none" w:sz="0" w:space="0" w:color="auto"/>
        <w:left w:val="none" w:sz="0" w:space="0" w:color="auto"/>
        <w:bottom w:val="none" w:sz="0" w:space="0" w:color="auto"/>
        <w:right w:val="none" w:sz="0" w:space="0" w:color="auto"/>
      </w:divBdr>
    </w:div>
    <w:div w:id="575552502">
      <w:bodyDiv w:val="1"/>
      <w:marLeft w:val="0"/>
      <w:marRight w:val="0"/>
      <w:marTop w:val="0"/>
      <w:marBottom w:val="0"/>
      <w:divBdr>
        <w:top w:val="none" w:sz="0" w:space="0" w:color="auto"/>
        <w:left w:val="none" w:sz="0" w:space="0" w:color="auto"/>
        <w:bottom w:val="none" w:sz="0" w:space="0" w:color="auto"/>
        <w:right w:val="none" w:sz="0" w:space="0" w:color="auto"/>
      </w:divBdr>
    </w:div>
    <w:div w:id="575896382">
      <w:bodyDiv w:val="1"/>
      <w:marLeft w:val="0"/>
      <w:marRight w:val="0"/>
      <w:marTop w:val="0"/>
      <w:marBottom w:val="0"/>
      <w:divBdr>
        <w:top w:val="none" w:sz="0" w:space="0" w:color="auto"/>
        <w:left w:val="none" w:sz="0" w:space="0" w:color="auto"/>
        <w:bottom w:val="none" w:sz="0" w:space="0" w:color="auto"/>
        <w:right w:val="none" w:sz="0" w:space="0" w:color="auto"/>
      </w:divBdr>
    </w:div>
    <w:div w:id="575944052">
      <w:bodyDiv w:val="1"/>
      <w:marLeft w:val="0"/>
      <w:marRight w:val="0"/>
      <w:marTop w:val="0"/>
      <w:marBottom w:val="0"/>
      <w:divBdr>
        <w:top w:val="none" w:sz="0" w:space="0" w:color="auto"/>
        <w:left w:val="none" w:sz="0" w:space="0" w:color="auto"/>
        <w:bottom w:val="none" w:sz="0" w:space="0" w:color="auto"/>
        <w:right w:val="none" w:sz="0" w:space="0" w:color="auto"/>
      </w:divBdr>
    </w:div>
    <w:div w:id="576011820">
      <w:bodyDiv w:val="1"/>
      <w:marLeft w:val="0"/>
      <w:marRight w:val="0"/>
      <w:marTop w:val="0"/>
      <w:marBottom w:val="0"/>
      <w:divBdr>
        <w:top w:val="none" w:sz="0" w:space="0" w:color="auto"/>
        <w:left w:val="none" w:sz="0" w:space="0" w:color="auto"/>
        <w:bottom w:val="none" w:sz="0" w:space="0" w:color="auto"/>
        <w:right w:val="none" w:sz="0" w:space="0" w:color="auto"/>
      </w:divBdr>
    </w:div>
    <w:div w:id="576326072">
      <w:bodyDiv w:val="1"/>
      <w:marLeft w:val="0"/>
      <w:marRight w:val="0"/>
      <w:marTop w:val="0"/>
      <w:marBottom w:val="0"/>
      <w:divBdr>
        <w:top w:val="none" w:sz="0" w:space="0" w:color="auto"/>
        <w:left w:val="none" w:sz="0" w:space="0" w:color="auto"/>
        <w:bottom w:val="none" w:sz="0" w:space="0" w:color="auto"/>
        <w:right w:val="none" w:sz="0" w:space="0" w:color="auto"/>
      </w:divBdr>
    </w:div>
    <w:div w:id="576405275">
      <w:bodyDiv w:val="1"/>
      <w:marLeft w:val="0"/>
      <w:marRight w:val="0"/>
      <w:marTop w:val="0"/>
      <w:marBottom w:val="0"/>
      <w:divBdr>
        <w:top w:val="none" w:sz="0" w:space="0" w:color="auto"/>
        <w:left w:val="none" w:sz="0" w:space="0" w:color="auto"/>
        <w:bottom w:val="none" w:sz="0" w:space="0" w:color="auto"/>
        <w:right w:val="none" w:sz="0" w:space="0" w:color="auto"/>
      </w:divBdr>
    </w:div>
    <w:div w:id="576475490">
      <w:bodyDiv w:val="1"/>
      <w:marLeft w:val="0"/>
      <w:marRight w:val="0"/>
      <w:marTop w:val="0"/>
      <w:marBottom w:val="0"/>
      <w:divBdr>
        <w:top w:val="none" w:sz="0" w:space="0" w:color="auto"/>
        <w:left w:val="none" w:sz="0" w:space="0" w:color="auto"/>
        <w:bottom w:val="none" w:sz="0" w:space="0" w:color="auto"/>
        <w:right w:val="none" w:sz="0" w:space="0" w:color="auto"/>
      </w:divBdr>
    </w:div>
    <w:div w:id="576671318">
      <w:bodyDiv w:val="1"/>
      <w:marLeft w:val="0"/>
      <w:marRight w:val="0"/>
      <w:marTop w:val="0"/>
      <w:marBottom w:val="0"/>
      <w:divBdr>
        <w:top w:val="none" w:sz="0" w:space="0" w:color="auto"/>
        <w:left w:val="none" w:sz="0" w:space="0" w:color="auto"/>
        <w:bottom w:val="none" w:sz="0" w:space="0" w:color="auto"/>
        <w:right w:val="none" w:sz="0" w:space="0" w:color="auto"/>
      </w:divBdr>
    </w:div>
    <w:div w:id="576673405">
      <w:bodyDiv w:val="1"/>
      <w:marLeft w:val="0"/>
      <w:marRight w:val="0"/>
      <w:marTop w:val="0"/>
      <w:marBottom w:val="0"/>
      <w:divBdr>
        <w:top w:val="none" w:sz="0" w:space="0" w:color="auto"/>
        <w:left w:val="none" w:sz="0" w:space="0" w:color="auto"/>
        <w:bottom w:val="none" w:sz="0" w:space="0" w:color="auto"/>
        <w:right w:val="none" w:sz="0" w:space="0" w:color="auto"/>
      </w:divBdr>
    </w:div>
    <w:div w:id="576742782">
      <w:bodyDiv w:val="1"/>
      <w:marLeft w:val="0"/>
      <w:marRight w:val="0"/>
      <w:marTop w:val="0"/>
      <w:marBottom w:val="0"/>
      <w:divBdr>
        <w:top w:val="none" w:sz="0" w:space="0" w:color="auto"/>
        <w:left w:val="none" w:sz="0" w:space="0" w:color="auto"/>
        <w:bottom w:val="none" w:sz="0" w:space="0" w:color="auto"/>
        <w:right w:val="none" w:sz="0" w:space="0" w:color="auto"/>
      </w:divBdr>
    </w:div>
    <w:div w:id="577207037">
      <w:bodyDiv w:val="1"/>
      <w:marLeft w:val="0"/>
      <w:marRight w:val="0"/>
      <w:marTop w:val="0"/>
      <w:marBottom w:val="0"/>
      <w:divBdr>
        <w:top w:val="none" w:sz="0" w:space="0" w:color="auto"/>
        <w:left w:val="none" w:sz="0" w:space="0" w:color="auto"/>
        <w:bottom w:val="none" w:sz="0" w:space="0" w:color="auto"/>
        <w:right w:val="none" w:sz="0" w:space="0" w:color="auto"/>
      </w:divBdr>
    </w:div>
    <w:div w:id="577326958">
      <w:bodyDiv w:val="1"/>
      <w:marLeft w:val="0"/>
      <w:marRight w:val="0"/>
      <w:marTop w:val="0"/>
      <w:marBottom w:val="0"/>
      <w:divBdr>
        <w:top w:val="none" w:sz="0" w:space="0" w:color="auto"/>
        <w:left w:val="none" w:sz="0" w:space="0" w:color="auto"/>
        <w:bottom w:val="none" w:sz="0" w:space="0" w:color="auto"/>
        <w:right w:val="none" w:sz="0" w:space="0" w:color="auto"/>
      </w:divBdr>
    </w:div>
    <w:div w:id="577400265">
      <w:bodyDiv w:val="1"/>
      <w:marLeft w:val="0"/>
      <w:marRight w:val="0"/>
      <w:marTop w:val="0"/>
      <w:marBottom w:val="0"/>
      <w:divBdr>
        <w:top w:val="none" w:sz="0" w:space="0" w:color="auto"/>
        <w:left w:val="none" w:sz="0" w:space="0" w:color="auto"/>
        <w:bottom w:val="none" w:sz="0" w:space="0" w:color="auto"/>
        <w:right w:val="none" w:sz="0" w:space="0" w:color="auto"/>
      </w:divBdr>
    </w:div>
    <w:div w:id="577446267">
      <w:bodyDiv w:val="1"/>
      <w:marLeft w:val="0"/>
      <w:marRight w:val="0"/>
      <w:marTop w:val="0"/>
      <w:marBottom w:val="0"/>
      <w:divBdr>
        <w:top w:val="none" w:sz="0" w:space="0" w:color="auto"/>
        <w:left w:val="none" w:sz="0" w:space="0" w:color="auto"/>
        <w:bottom w:val="none" w:sz="0" w:space="0" w:color="auto"/>
        <w:right w:val="none" w:sz="0" w:space="0" w:color="auto"/>
      </w:divBdr>
    </w:div>
    <w:div w:id="577593814">
      <w:bodyDiv w:val="1"/>
      <w:marLeft w:val="0"/>
      <w:marRight w:val="0"/>
      <w:marTop w:val="0"/>
      <w:marBottom w:val="0"/>
      <w:divBdr>
        <w:top w:val="none" w:sz="0" w:space="0" w:color="auto"/>
        <w:left w:val="none" w:sz="0" w:space="0" w:color="auto"/>
        <w:bottom w:val="none" w:sz="0" w:space="0" w:color="auto"/>
        <w:right w:val="none" w:sz="0" w:space="0" w:color="auto"/>
      </w:divBdr>
    </w:div>
    <w:div w:id="577714979">
      <w:bodyDiv w:val="1"/>
      <w:marLeft w:val="0"/>
      <w:marRight w:val="0"/>
      <w:marTop w:val="0"/>
      <w:marBottom w:val="0"/>
      <w:divBdr>
        <w:top w:val="none" w:sz="0" w:space="0" w:color="auto"/>
        <w:left w:val="none" w:sz="0" w:space="0" w:color="auto"/>
        <w:bottom w:val="none" w:sz="0" w:space="0" w:color="auto"/>
        <w:right w:val="none" w:sz="0" w:space="0" w:color="auto"/>
      </w:divBdr>
    </w:div>
    <w:div w:id="577835474">
      <w:bodyDiv w:val="1"/>
      <w:marLeft w:val="0"/>
      <w:marRight w:val="0"/>
      <w:marTop w:val="0"/>
      <w:marBottom w:val="0"/>
      <w:divBdr>
        <w:top w:val="none" w:sz="0" w:space="0" w:color="auto"/>
        <w:left w:val="none" w:sz="0" w:space="0" w:color="auto"/>
        <w:bottom w:val="none" w:sz="0" w:space="0" w:color="auto"/>
        <w:right w:val="none" w:sz="0" w:space="0" w:color="auto"/>
      </w:divBdr>
    </w:div>
    <w:div w:id="577982190">
      <w:bodyDiv w:val="1"/>
      <w:marLeft w:val="0"/>
      <w:marRight w:val="0"/>
      <w:marTop w:val="0"/>
      <w:marBottom w:val="0"/>
      <w:divBdr>
        <w:top w:val="none" w:sz="0" w:space="0" w:color="auto"/>
        <w:left w:val="none" w:sz="0" w:space="0" w:color="auto"/>
        <w:bottom w:val="none" w:sz="0" w:space="0" w:color="auto"/>
        <w:right w:val="none" w:sz="0" w:space="0" w:color="auto"/>
      </w:divBdr>
    </w:div>
    <w:div w:id="578053701">
      <w:bodyDiv w:val="1"/>
      <w:marLeft w:val="0"/>
      <w:marRight w:val="0"/>
      <w:marTop w:val="0"/>
      <w:marBottom w:val="0"/>
      <w:divBdr>
        <w:top w:val="none" w:sz="0" w:space="0" w:color="auto"/>
        <w:left w:val="none" w:sz="0" w:space="0" w:color="auto"/>
        <w:bottom w:val="none" w:sz="0" w:space="0" w:color="auto"/>
        <w:right w:val="none" w:sz="0" w:space="0" w:color="auto"/>
      </w:divBdr>
    </w:div>
    <w:div w:id="578255603">
      <w:bodyDiv w:val="1"/>
      <w:marLeft w:val="0"/>
      <w:marRight w:val="0"/>
      <w:marTop w:val="0"/>
      <w:marBottom w:val="0"/>
      <w:divBdr>
        <w:top w:val="none" w:sz="0" w:space="0" w:color="auto"/>
        <w:left w:val="none" w:sz="0" w:space="0" w:color="auto"/>
        <w:bottom w:val="none" w:sz="0" w:space="0" w:color="auto"/>
        <w:right w:val="none" w:sz="0" w:space="0" w:color="auto"/>
      </w:divBdr>
    </w:div>
    <w:div w:id="578364295">
      <w:bodyDiv w:val="1"/>
      <w:marLeft w:val="0"/>
      <w:marRight w:val="0"/>
      <w:marTop w:val="0"/>
      <w:marBottom w:val="0"/>
      <w:divBdr>
        <w:top w:val="none" w:sz="0" w:space="0" w:color="auto"/>
        <w:left w:val="none" w:sz="0" w:space="0" w:color="auto"/>
        <w:bottom w:val="none" w:sz="0" w:space="0" w:color="auto"/>
        <w:right w:val="none" w:sz="0" w:space="0" w:color="auto"/>
      </w:divBdr>
    </w:div>
    <w:div w:id="578439809">
      <w:bodyDiv w:val="1"/>
      <w:marLeft w:val="0"/>
      <w:marRight w:val="0"/>
      <w:marTop w:val="0"/>
      <w:marBottom w:val="0"/>
      <w:divBdr>
        <w:top w:val="none" w:sz="0" w:space="0" w:color="auto"/>
        <w:left w:val="none" w:sz="0" w:space="0" w:color="auto"/>
        <w:bottom w:val="none" w:sz="0" w:space="0" w:color="auto"/>
        <w:right w:val="none" w:sz="0" w:space="0" w:color="auto"/>
      </w:divBdr>
    </w:div>
    <w:div w:id="578444621">
      <w:bodyDiv w:val="1"/>
      <w:marLeft w:val="0"/>
      <w:marRight w:val="0"/>
      <w:marTop w:val="0"/>
      <w:marBottom w:val="0"/>
      <w:divBdr>
        <w:top w:val="none" w:sz="0" w:space="0" w:color="auto"/>
        <w:left w:val="none" w:sz="0" w:space="0" w:color="auto"/>
        <w:bottom w:val="none" w:sz="0" w:space="0" w:color="auto"/>
        <w:right w:val="none" w:sz="0" w:space="0" w:color="auto"/>
      </w:divBdr>
    </w:div>
    <w:div w:id="578487224">
      <w:bodyDiv w:val="1"/>
      <w:marLeft w:val="0"/>
      <w:marRight w:val="0"/>
      <w:marTop w:val="0"/>
      <w:marBottom w:val="0"/>
      <w:divBdr>
        <w:top w:val="none" w:sz="0" w:space="0" w:color="auto"/>
        <w:left w:val="none" w:sz="0" w:space="0" w:color="auto"/>
        <w:bottom w:val="none" w:sz="0" w:space="0" w:color="auto"/>
        <w:right w:val="none" w:sz="0" w:space="0" w:color="auto"/>
      </w:divBdr>
    </w:div>
    <w:div w:id="578489359">
      <w:bodyDiv w:val="1"/>
      <w:marLeft w:val="0"/>
      <w:marRight w:val="0"/>
      <w:marTop w:val="0"/>
      <w:marBottom w:val="0"/>
      <w:divBdr>
        <w:top w:val="none" w:sz="0" w:space="0" w:color="auto"/>
        <w:left w:val="none" w:sz="0" w:space="0" w:color="auto"/>
        <w:bottom w:val="none" w:sz="0" w:space="0" w:color="auto"/>
        <w:right w:val="none" w:sz="0" w:space="0" w:color="auto"/>
      </w:divBdr>
    </w:div>
    <w:div w:id="578560554">
      <w:bodyDiv w:val="1"/>
      <w:marLeft w:val="0"/>
      <w:marRight w:val="0"/>
      <w:marTop w:val="0"/>
      <w:marBottom w:val="0"/>
      <w:divBdr>
        <w:top w:val="none" w:sz="0" w:space="0" w:color="auto"/>
        <w:left w:val="none" w:sz="0" w:space="0" w:color="auto"/>
        <w:bottom w:val="none" w:sz="0" w:space="0" w:color="auto"/>
        <w:right w:val="none" w:sz="0" w:space="0" w:color="auto"/>
      </w:divBdr>
    </w:div>
    <w:div w:id="578560696">
      <w:bodyDiv w:val="1"/>
      <w:marLeft w:val="0"/>
      <w:marRight w:val="0"/>
      <w:marTop w:val="0"/>
      <w:marBottom w:val="0"/>
      <w:divBdr>
        <w:top w:val="none" w:sz="0" w:space="0" w:color="auto"/>
        <w:left w:val="none" w:sz="0" w:space="0" w:color="auto"/>
        <w:bottom w:val="none" w:sz="0" w:space="0" w:color="auto"/>
        <w:right w:val="none" w:sz="0" w:space="0" w:color="auto"/>
      </w:divBdr>
    </w:div>
    <w:div w:id="578709883">
      <w:bodyDiv w:val="1"/>
      <w:marLeft w:val="0"/>
      <w:marRight w:val="0"/>
      <w:marTop w:val="0"/>
      <w:marBottom w:val="0"/>
      <w:divBdr>
        <w:top w:val="none" w:sz="0" w:space="0" w:color="auto"/>
        <w:left w:val="none" w:sz="0" w:space="0" w:color="auto"/>
        <w:bottom w:val="none" w:sz="0" w:space="0" w:color="auto"/>
        <w:right w:val="none" w:sz="0" w:space="0" w:color="auto"/>
      </w:divBdr>
    </w:div>
    <w:div w:id="578753628">
      <w:bodyDiv w:val="1"/>
      <w:marLeft w:val="0"/>
      <w:marRight w:val="0"/>
      <w:marTop w:val="0"/>
      <w:marBottom w:val="0"/>
      <w:divBdr>
        <w:top w:val="none" w:sz="0" w:space="0" w:color="auto"/>
        <w:left w:val="none" w:sz="0" w:space="0" w:color="auto"/>
        <w:bottom w:val="none" w:sz="0" w:space="0" w:color="auto"/>
        <w:right w:val="none" w:sz="0" w:space="0" w:color="auto"/>
      </w:divBdr>
    </w:div>
    <w:div w:id="578901674">
      <w:bodyDiv w:val="1"/>
      <w:marLeft w:val="0"/>
      <w:marRight w:val="0"/>
      <w:marTop w:val="0"/>
      <w:marBottom w:val="0"/>
      <w:divBdr>
        <w:top w:val="none" w:sz="0" w:space="0" w:color="auto"/>
        <w:left w:val="none" w:sz="0" w:space="0" w:color="auto"/>
        <w:bottom w:val="none" w:sz="0" w:space="0" w:color="auto"/>
        <w:right w:val="none" w:sz="0" w:space="0" w:color="auto"/>
      </w:divBdr>
    </w:div>
    <w:div w:id="578950169">
      <w:bodyDiv w:val="1"/>
      <w:marLeft w:val="0"/>
      <w:marRight w:val="0"/>
      <w:marTop w:val="0"/>
      <w:marBottom w:val="0"/>
      <w:divBdr>
        <w:top w:val="none" w:sz="0" w:space="0" w:color="auto"/>
        <w:left w:val="none" w:sz="0" w:space="0" w:color="auto"/>
        <w:bottom w:val="none" w:sz="0" w:space="0" w:color="auto"/>
        <w:right w:val="none" w:sz="0" w:space="0" w:color="auto"/>
      </w:divBdr>
    </w:div>
    <w:div w:id="579022521">
      <w:bodyDiv w:val="1"/>
      <w:marLeft w:val="0"/>
      <w:marRight w:val="0"/>
      <w:marTop w:val="0"/>
      <w:marBottom w:val="0"/>
      <w:divBdr>
        <w:top w:val="none" w:sz="0" w:space="0" w:color="auto"/>
        <w:left w:val="none" w:sz="0" w:space="0" w:color="auto"/>
        <w:bottom w:val="none" w:sz="0" w:space="0" w:color="auto"/>
        <w:right w:val="none" w:sz="0" w:space="0" w:color="auto"/>
      </w:divBdr>
    </w:div>
    <w:div w:id="579028402">
      <w:bodyDiv w:val="1"/>
      <w:marLeft w:val="0"/>
      <w:marRight w:val="0"/>
      <w:marTop w:val="0"/>
      <w:marBottom w:val="0"/>
      <w:divBdr>
        <w:top w:val="none" w:sz="0" w:space="0" w:color="auto"/>
        <w:left w:val="none" w:sz="0" w:space="0" w:color="auto"/>
        <w:bottom w:val="none" w:sz="0" w:space="0" w:color="auto"/>
        <w:right w:val="none" w:sz="0" w:space="0" w:color="auto"/>
      </w:divBdr>
    </w:div>
    <w:div w:id="579095995">
      <w:bodyDiv w:val="1"/>
      <w:marLeft w:val="0"/>
      <w:marRight w:val="0"/>
      <w:marTop w:val="0"/>
      <w:marBottom w:val="0"/>
      <w:divBdr>
        <w:top w:val="none" w:sz="0" w:space="0" w:color="auto"/>
        <w:left w:val="none" w:sz="0" w:space="0" w:color="auto"/>
        <w:bottom w:val="none" w:sz="0" w:space="0" w:color="auto"/>
        <w:right w:val="none" w:sz="0" w:space="0" w:color="auto"/>
      </w:divBdr>
    </w:div>
    <w:div w:id="579215999">
      <w:bodyDiv w:val="1"/>
      <w:marLeft w:val="0"/>
      <w:marRight w:val="0"/>
      <w:marTop w:val="0"/>
      <w:marBottom w:val="0"/>
      <w:divBdr>
        <w:top w:val="none" w:sz="0" w:space="0" w:color="auto"/>
        <w:left w:val="none" w:sz="0" w:space="0" w:color="auto"/>
        <w:bottom w:val="none" w:sz="0" w:space="0" w:color="auto"/>
        <w:right w:val="none" w:sz="0" w:space="0" w:color="auto"/>
      </w:divBdr>
    </w:div>
    <w:div w:id="579293818">
      <w:bodyDiv w:val="1"/>
      <w:marLeft w:val="0"/>
      <w:marRight w:val="0"/>
      <w:marTop w:val="0"/>
      <w:marBottom w:val="0"/>
      <w:divBdr>
        <w:top w:val="none" w:sz="0" w:space="0" w:color="auto"/>
        <w:left w:val="none" w:sz="0" w:space="0" w:color="auto"/>
        <w:bottom w:val="none" w:sz="0" w:space="0" w:color="auto"/>
        <w:right w:val="none" w:sz="0" w:space="0" w:color="auto"/>
      </w:divBdr>
    </w:div>
    <w:div w:id="579406830">
      <w:bodyDiv w:val="1"/>
      <w:marLeft w:val="0"/>
      <w:marRight w:val="0"/>
      <w:marTop w:val="0"/>
      <w:marBottom w:val="0"/>
      <w:divBdr>
        <w:top w:val="none" w:sz="0" w:space="0" w:color="auto"/>
        <w:left w:val="none" w:sz="0" w:space="0" w:color="auto"/>
        <w:bottom w:val="none" w:sz="0" w:space="0" w:color="auto"/>
        <w:right w:val="none" w:sz="0" w:space="0" w:color="auto"/>
      </w:divBdr>
    </w:div>
    <w:div w:id="579406924">
      <w:bodyDiv w:val="1"/>
      <w:marLeft w:val="0"/>
      <w:marRight w:val="0"/>
      <w:marTop w:val="0"/>
      <w:marBottom w:val="0"/>
      <w:divBdr>
        <w:top w:val="none" w:sz="0" w:space="0" w:color="auto"/>
        <w:left w:val="none" w:sz="0" w:space="0" w:color="auto"/>
        <w:bottom w:val="none" w:sz="0" w:space="0" w:color="auto"/>
        <w:right w:val="none" w:sz="0" w:space="0" w:color="auto"/>
      </w:divBdr>
    </w:div>
    <w:div w:id="579560352">
      <w:bodyDiv w:val="1"/>
      <w:marLeft w:val="0"/>
      <w:marRight w:val="0"/>
      <w:marTop w:val="0"/>
      <w:marBottom w:val="0"/>
      <w:divBdr>
        <w:top w:val="none" w:sz="0" w:space="0" w:color="auto"/>
        <w:left w:val="none" w:sz="0" w:space="0" w:color="auto"/>
        <w:bottom w:val="none" w:sz="0" w:space="0" w:color="auto"/>
        <w:right w:val="none" w:sz="0" w:space="0" w:color="auto"/>
      </w:divBdr>
    </w:div>
    <w:div w:id="579608646">
      <w:bodyDiv w:val="1"/>
      <w:marLeft w:val="0"/>
      <w:marRight w:val="0"/>
      <w:marTop w:val="0"/>
      <w:marBottom w:val="0"/>
      <w:divBdr>
        <w:top w:val="none" w:sz="0" w:space="0" w:color="auto"/>
        <w:left w:val="none" w:sz="0" w:space="0" w:color="auto"/>
        <w:bottom w:val="none" w:sz="0" w:space="0" w:color="auto"/>
        <w:right w:val="none" w:sz="0" w:space="0" w:color="auto"/>
      </w:divBdr>
    </w:div>
    <w:div w:id="579826808">
      <w:bodyDiv w:val="1"/>
      <w:marLeft w:val="0"/>
      <w:marRight w:val="0"/>
      <w:marTop w:val="0"/>
      <w:marBottom w:val="0"/>
      <w:divBdr>
        <w:top w:val="none" w:sz="0" w:space="0" w:color="auto"/>
        <w:left w:val="none" w:sz="0" w:space="0" w:color="auto"/>
        <w:bottom w:val="none" w:sz="0" w:space="0" w:color="auto"/>
        <w:right w:val="none" w:sz="0" w:space="0" w:color="auto"/>
      </w:divBdr>
    </w:div>
    <w:div w:id="579827713">
      <w:bodyDiv w:val="1"/>
      <w:marLeft w:val="0"/>
      <w:marRight w:val="0"/>
      <w:marTop w:val="0"/>
      <w:marBottom w:val="0"/>
      <w:divBdr>
        <w:top w:val="none" w:sz="0" w:space="0" w:color="auto"/>
        <w:left w:val="none" w:sz="0" w:space="0" w:color="auto"/>
        <w:bottom w:val="none" w:sz="0" w:space="0" w:color="auto"/>
        <w:right w:val="none" w:sz="0" w:space="0" w:color="auto"/>
      </w:divBdr>
    </w:div>
    <w:div w:id="579872866">
      <w:bodyDiv w:val="1"/>
      <w:marLeft w:val="0"/>
      <w:marRight w:val="0"/>
      <w:marTop w:val="0"/>
      <w:marBottom w:val="0"/>
      <w:divBdr>
        <w:top w:val="none" w:sz="0" w:space="0" w:color="auto"/>
        <w:left w:val="none" w:sz="0" w:space="0" w:color="auto"/>
        <w:bottom w:val="none" w:sz="0" w:space="0" w:color="auto"/>
        <w:right w:val="none" w:sz="0" w:space="0" w:color="auto"/>
      </w:divBdr>
    </w:div>
    <w:div w:id="580021730">
      <w:bodyDiv w:val="1"/>
      <w:marLeft w:val="0"/>
      <w:marRight w:val="0"/>
      <w:marTop w:val="0"/>
      <w:marBottom w:val="0"/>
      <w:divBdr>
        <w:top w:val="none" w:sz="0" w:space="0" w:color="auto"/>
        <w:left w:val="none" w:sz="0" w:space="0" w:color="auto"/>
        <w:bottom w:val="none" w:sz="0" w:space="0" w:color="auto"/>
        <w:right w:val="none" w:sz="0" w:space="0" w:color="auto"/>
      </w:divBdr>
    </w:div>
    <w:div w:id="580138150">
      <w:bodyDiv w:val="1"/>
      <w:marLeft w:val="0"/>
      <w:marRight w:val="0"/>
      <w:marTop w:val="0"/>
      <w:marBottom w:val="0"/>
      <w:divBdr>
        <w:top w:val="none" w:sz="0" w:space="0" w:color="auto"/>
        <w:left w:val="none" w:sz="0" w:space="0" w:color="auto"/>
        <w:bottom w:val="none" w:sz="0" w:space="0" w:color="auto"/>
        <w:right w:val="none" w:sz="0" w:space="0" w:color="auto"/>
      </w:divBdr>
    </w:div>
    <w:div w:id="580139903">
      <w:bodyDiv w:val="1"/>
      <w:marLeft w:val="0"/>
      <w:marRight w:val="0"/>
      <w:marTop w:val="0"/>
      <w:marBottom w:val="0"/>
      <w:divBdr>
        <w:top w:val="none" w:sz="0" w:space="0" w:color="auto"/>
        <w:left w:val="none" w:sz="0" w:space="0" w:color="auto"/>
        <w:bottom w:val="none" w:sz="0" w:space="0" w:color="auto"/>
        <w:right w:val="none" w:sz="0" w:space="0" w:color="auto"/>
      </w:divBdr>
    </w:div>
    <w:div w:id="580142489">
      <w:bodyDiv w:val="1"/>
      <w:marLeft w:val="0"/>
      <w:marRight w:val="0"/>
      <w:marTop w:val="0"/>
      <w:marBottom w:val="0"/>
      <w:divBdr>
        <w:top w:val="none" w:sz="0" w:space="0" w:color="auto"/>
        <w:left w:val="none" w:sz="0" w:space="0" w:color="auto"/>
        <w:bottom w:val="none" w:sz="0" w:space="0" w:color="auto"/>
        <w:right w:val="none" w:sz="0" w:space="0" w:color="auto"/>
      </w:divBdr>
    </w:div>
    <w:div w:id="580339144">
      <w:bodyDiv w:val="1"/>
      <w:marLeft w:val="0"/>
      <w:marRight w:val="0"/>
      <w:marTop w:val="0"/>
      <w:marBottom w:val="0"/>
      <w:divBdr>
        <w:top w:val="none" w:sz="0" w:space="0" w:color="auto"/>
        <w:left w:val="none" w:sz="0" w:space="0" w:color="auto"/>
        <w:bottom w:val="none" w:sz="0" w:space="0" w:color="auto"/>
        <w:right w:val="none" w:sz="0" w:space="0" w:color="auto"/>
      </w:divBdr>
    </w:div>
    <w:div w:id="580484459">
      <w:bodyDiv w:val="1"/>
      <w:marLeft w:val="0"/>
      <w:marRight w:val="0"/>
      <w:marTop w:val="0"/>
      <w:marBottom w:val="0"/>
      <w:divBdr>
        <w:top w:val="none" w:sz="0" w:space="0" w:color="auto"/>
        <w:left w:val="none" w:sz="0" w:space="0" w:color="auto"/>
        <w:bottom w:val="none" w:sz="0" w:space="0" w:color="auto"/>
        <w:right w:val="none" w:sz="0" w:space="0" w:color="auto"/>
      </w:divBdr>
    </w:div>
    <w:div w:id="580527346">
      <w:bodyDiv w:val="1"/>
      <w:marLeft w:val="0"/>
      <w:marRight w:val="0"/>
      <w:marTop w:val="0"/>
      <w:marBottom w:val="0"/>
      <w:divBdr>
        <w:top w:val="none" w:sz="0" w:space="0" w:color="auto"/>
        <w:left w:val="none" w:sz="0" w:space="0" w:color="auto"/>
        <w:bottom w:val="none" w:sz="0" w:space="0" w:color="auto"/>
        <w:right w:val="none" w:sz="0" w:space="0" w:color="auto"/>
      </w:divBdr>
    </w:div>
    <w:div w:id="580600233">
      <w:bodyDiv w:val="1"/>
      <w:marLeft w:val="0"/>
      <w:marRight w:val="0"/>
      <w:marTop w:val="0"/>
      <w:marBottom w:val="0"/>
      <w:divBdr>
        <w:top w:val="none" w:sz="0" w:space="0" w:color="auto"/>
        <w:left w:val="none" w:sz="0" w:space="0" w:color="auto"/>
        <w:bottom w:val="none" w:sz="0" w:space="0" w:color="auto"/>
        <w:right w:val="none" w:sz="0" w:space="0" w:color="auto"/>
      </w:divBdr>
    </w:div>
    <w:div w:id="580798855">
      <w:bodyDiv w:val="1"/>
      <w:marLeft w:val="0"/>
      <w:marRight w:val="0"/>
      <w:marTop w:val="0"/>
      <w:marBottom w:val="0"/>
      <w:divBdr>
        <w:top w:val="none" w:sz="0" w:space="0" w:color="auto"/>
        <w:left w:val="none" w:sz="0" w:space="0" w:color="auto"/>
        <w:bottom w:val="none" w:sz="0" w:space="0" w:color="auto"/>
        <w:right w:val="none" w:sz="0" w:space="0" w:color="auto"/>
      </w:divBdr>
    </w:div>
    <w:div w:id="580870216">
      <w:bodyDiv w:val="1"/>
      <w:marLeft w:val="0"/>
      <w:marRight w:val="0"/>
      <w:marTop w:val="0"/>
      <w:marBottom w:val="0"/>
      <w:divBdr>
        <w:top w:val="none" w:sz="0" w:space="0" w:color="auto"/>
        <w:left w:val="none" w:sz="0" w:space="0" w:color="auto"/>
        <w:bottom w:val="none" w:sz="0" w:space="0" w:color="auto"/>
        <w:right w:val="none" w:sz="0" w:space="0" w:color="auto"/>
      </w:divBdr>
    </w:div>
    <w:div w:id="581061731">
      <w:bodyDiv w:val="1"/>
      <w:marLeft w:val="0"/>
      <w:marRight w:val="0"/>
      <w:marTop w:val="0"/>
      <w:marBottom w:val="0"/>
      <w:divBdr>
        <w:top w:val="none" w:sz="0" w:space="0" w:color="auto"/>
        <w:left w:val="none" w:sz="0" w:space="0" w:color="auto"/>
        <w:bottom w:val="none" w:sz="0" w:space="0" w:color="auto"/>
        <w:right w:val="none" w:sz="0" w:space="0" w:color="auto"/>
      </w:divBdr>
    </w:div>
    <w:div w:id="581257741">
      <w:bodyDiv w:val="1"/>
      <w:marLeft w:val="0"/>
      <w:marRight w:val="0"/>
      <w:marTop w:val="0"/>
      <w:marBottom w:val="0"/>
      <w:divBdr>
        <w:top w:val="none" w:sz="0" w:space="0" w:color="auto"/>
        <w:left w:val="none" w:sz="0" w:space="0" w:color="auto"/>
        <w:bottom w:val="none" w:sz="0" w:space="0" w:color="auto"/>
        <w:right w:val="none" w:sz="0" w:space="0" w:color="auto"/>
      </w:divBdr>
    </w:div>
    <w:div w:id="581336961">
      <w:bodyDiv w:val="1"/>
      <w:marLeft w:val="0"/>
      <w:marRight w:val="0"/>
      <w:marTop w:val="0"/>
      <w:marBottom w:val="0"/>
      <w:divBdr>
        <w:top w:val="none" w:sz="0" w:space="0" w:color="auto"/>
        <w:left w:val="none" w:sz="0" w:space="0" w:color="auto"/>
        <w:bottom w:val="none" w:sz="0" w:space="0" w:color="auto"/>
        <w:right w:val="none" w:sz="0" w:space="0" w:color="auto"/>
      </w:divBdr>
    </w:div>
    <w:div w:id="581372512">
      <w:bodyDiv w:val="1"/>
      <w:marLeft w:val="0"/>
      <w:marRight w:val="0"/>
      <w:marTop w:val="0"/>
      <w:marBottom w:val="0"/>
      <w:divBdr>
        <w:top w:val="none" w:sz="0" w:space="0" w:color="auto"/>
        <w:left w:val="none" w:sz="0" w:space="0" w:color="auto"/>
        <w:bottom w:val="none" w:sz="0" w:space="0" w:color="auto"/>
        <w:right w:val="none" w:sz="0" w:space="0" w:color="auto"/>
      </w:divBdr>
    </w:div>
    <w:div w:id="581450142">
      <w:bodyDiv w:val="1"/>
      <w:marLeft w:val="0"/>
      <w:marRight w:val="0"/>
      <w:marTop w:val="0"/>
      <w:marBottom w:val="0"/>
      <w:divBdr>
        <w:top w:val="none" w:sz="0" w:space="0" w:color="auto"/>
        <w:left w:val="none" w:sz="0" w:space="0" w:color="auto"/>
        <w:bottom w:val="none" w:sz="0" w:space="0" w:color="auto"/>
        <w:right w:val="none" w:sz="0" w:space="0" w:color="auto"/>
      </w:divBdr>
    </w:div>
    <w:div w:id="581531780">
      <w:bodyDiv w:val="1"/>
      <w:marLeft w:val="0"/>
      <w:marRight w:val="0"/>
      <w:marTop w:val="0"/>
      <w:marBottom w:val="0"/>
      <w:divBdr>
        <w:top w:val="none" w:sz="0" w:space="0" w:color="auto"/>
        <w:left w:val="none" w:sz="0" w:space="0" w:color="auto"/>
        <w:bottom w:val="none" w:sz="0" w:space="0" w:color="auto"/>
        <w:right w:val="none" w:sz="0" w:space="0" w:color="auto"/>
      </w:divBdr>
    </w:div>
    <w:div w:id="581642660">
      <w:bodyDiv w:val="1"/>
      <w:marLeft w:val="0"/>
      <w:marRight w:val="0"/>
      <w:marTop w:val="0"/>
      <w:marBottom w:val="0"/>
      <w:divBdr>
        <w:top w:val="none" w:sz="0" w:space="0" w:color="auto"/>
        <w:left w:val="none" w:sz="0" w:space="0" w:color="auto"/>
        <w:bottom w:val="none" w:sz="0" w:space="0" w:color="auto"/>
        <w:right w:val="none" w:sz="0" w:space="0" w:color="auto"/>
      </w:divBdr>
    </w:div>
    <w:div w:id="581648064">
      <w:bodyDiv w:val="1"/>
      <w:marLeft w:val="0"/>
      <w:marRight w:val="0"/>
      <w:marTop w:val="0"/>
      <w:marBottom w:val="0"/>
      <w:divBdr>
        <w:top w:val="none" w:sz="0" w:space="0" w:color="auto"/>
        <w:left w:val="none" w:sz="0" w:space="0" w:color="auto"/>
        <w:bottom w:val="none" w:sz="0" w:space="0" w:color="auto"/>
        <w:right w:val="none" w:sz="0" w:space="0" w:color="auto"/>
      </w:divBdr>
    </w:div>
    <w:div w:id="581722006">
      <w:bodyDiv w:val="1"/>
      <w:marLeft w:val="0"/>
      <w:marRight w:val="0"/>
      <w:marTop w:val="0"/>
      <w:marBottom w:val="0"/>
      <w:divBdr>
        <w:top w:val="none" w:sz="0" w:space="0" w:color="auto"/>
        <w:left w:val="none" w:sz="0" w:space="0" w:color="auto"/>
        <w:bottom w:val="none" w:sz="0" w:space="0" w:color="auto"/>
        <w:right w:val="none" w:sz="0" w:space="0" w:color="auto"/>
      </w:divBdr>
    </w:div>
    <w:div w:id="581912267">
      <w:bodyDiv w:val="1"/>
      <w:marLeft w:val="0"/>
      <w:marRight w:val="0"/>
      <w:marTop w:val="0"/>
      <w:marBottom w:val="0"/>
      <w:divBdr>
        <w:top w:val="none" w:sz="0" w:space="0" w:color="auto"/>
        <w:left w:val="none" w:sz="0" w:space="0" w:color="auto"/>
        <w:bottom w:val="none" w:sz="0" w:space="0" w:color="auto"/>
        <w:right w:val="none" w:sz="0" w:space="0" w:color="auto"/>
      </w:divBdr>
    </w:div>
    <w:div w:id="581916007">
      <w:bodyDiv w:val="1"/>
      <w:marLeft w:val="0"/>
      <w:marRight w:val="0"/>
      <w:marTop w:val="0"/>
      <w:marBottom w:val="0"/>
      <w:divBdr>
        <w:top w:val="none" w:sz="0" w:space="0" w:color="auto"/>
        <w:left w:val="none" w:sz="0" w:space="0" w:color="auto"/>
        <w:bottom w:val="none" w:sz="0" w:space="0" w:color="auto"/>
        <w:right w:val="none" w:sz="0" w:space="0" w:color="auto"/>
      </w:divBdr>
    </w:div>
    <w:div w:id="581986376">
      <w:bodyDiv w:val="1"/>
      <w:marLeft w:val="0"/>
      <w:marRight w:val="0"/>
      <w:marTop w:val="0"/>
      <w:marBottom w:val="0"/>
      <w:divBdr>
        <w:top w:val="none" w:sz="0" w:space="0" w:color="auto"/>
        <w:left w:val="none" w:sz="0" w:space="0" w:color="auto"/>
        <w:bottom w:val="none" w:sz="0" w:space="0" w:color="auto"/>
        <w:right w:val="none" w:sz="0" w:space="0" w:color="auto"/>
      </w:divBdr>
    </w:div>
    <w:div w:id="581986683">
      <w:bodyDiv w:val="1"/>
      <w:marLeft w:val="0"/>
      <w:marRight w:val="0"/>
      <w:marTop w:val="0"/>
      <w:marBottom w:val="0"/>
      <w:divBdr>
        <w:top w:val="none" w:sz="0" w:space="0" w:color="auto"/>
        <w:left w:val="none" w:sz="0" w:space="0" w:color="auto"/>
        <w:bottom w:val="none" w:sz="0" w:space="0" w:color="auto"/>
        <w:right w:val="none" w:sz="0" w:space="0" w:color="auto"/>
      </w:divBdr>
    </w:div>
    <w:div w:id="582104804">
      <w:bodyDiv w:val="1"/>
      <w:marLeft w:val="0"/>
      <w:marRight w:val="0"/>
      <w:marTop w:val="0"/>
      <w:marBottom w:val="0"/>
      <w:divBdr>
        <w:top w:val="none" w:sz="0" w:space="0" w:color="auto"/>
        <w:left w:val="none" w:sz="0" w:space="0" w:color="auto"/>
        <w:bottom w:val="none" w:sz="0" w:space="0" w:color="auto"/>
        <w:right w:val="none" w:sz="0" w:space="0" w:color="auto"/>
      </w:divBdr>
    </w:div>
    <w:div w:id="582253091">
      <w:bodyDiv w:val="1"/>
      <w:marLeft w:val="0"/>
      <w:marRight w:val="0"/>
      <w:marTop w:val="0"/>
      <w:marBottom w:val="0"/>
      <w:divBdr>
        <w:top w:val="none" w:sz="0" w:space="0" w:color="auto"/>
        <w:left w:val="none" w:sz="0" w:space="0" w:color="auto"/>
        <w:bottom w:val="none" w:sz="0" w:space="0" w:color="auto"/>
        <w:right w:val="none" w:sz="0" w:space="0" w:color="auto"/>
      </w:divBdr>
    </w:div>
    <w:div w:id="582297233">
      <w:bodyDiv w:val="1"/>
      <w:marLeft w:val="0"/>
      <w:marRight w:val="0"/>
      <w:marTop w:val="0"/>
      <w:marBottom w:val="0"/>
      <w:divBdr>
        <w:top w:val="none" w:sz="0" w:space="0" w:color="auto"/>
        <w:left w:val="none" w:sz="0" w:space="0" w:color="auto"/>
        <w:bottom w:val="none" w:sz="0" w:space="0" w:color="auto"/>
        <w:right w:val="none" w:sz="0" w:space="0" w:color="auto"/>
      </w:divBdr>
    </w:div>
    <w:div w:id="582491465">
      <w:bodyDiv w:val="1"/>
      <w:marLeft w:val="0"/>
      <w:marRight w:val="0"/>
      <w:marTop w:val="0"/>
      <w:marBottom w:val="0"/>
      <w:divBdr>
        <w:top w:val="none" w:sz="0" w:space="0" w:color="auto"/>
        <w:left w:val="none" w:sz="0" w:space="0" w:color="auto"/>
        <w:bottom w:val="none" w:sz="0" w:space="0" w:color="auto"/>
        <w:right w:val="none" w:sz="0" w:space="0" w:color="auto"/>
      </w:divBdr>
    </w:div>
    <w:div w:id="582494776">
      <w:bodyDiv w:val="1"/>
      <w:marLeft w:val="0"/>
      <w:marRight w:val="0"/>
      <w:marTop w:val="0"/>
      <w:marBottom w:val="0"/>
      <w:divBdr>
        <w:top w:val="none" w:sz="0" w:space="0" w:color="auto"/>
        <w:left w:val="none" w:sz="0" w:space="0" w:color="auto"/>
        <w:bottom w:val="none" w:sz="0" w:space="0" w:color="auto"/>
        <w:right w:val="none" w:sz="0" w:space="0" w:color="auto"/>
      </w:divBdr>
    </w:div>
    <w:div w:id="582765203">
      <w:bodyDiv w:val="1"/>
      <w:marLeft w:val="0"/>
      <w:marRight w:val="0"/>
      <w:marTop w:val="0"/>
      <w:marBottom w:val="0"/>
      <w:divBdr>
        <w:top w:val="none" w:sz="0" w:space="0" w:color="auto"/>
        <w:left w:val="none" w:sz="0" w:space="0" w:color="auto"/>
        <w:bottom w:val="none" w:sz="0" w:space="0" w:color="auto"/>
        <w:right w:val="none" w:sz="0" w:space="0" w:color="auto"/>
      </w:divBdr>
    </w:div>
    <w:div w:id="582842035">
      <w:bodyDiv w:val="1"/>
      <w:marLeft w:val="0"/>
      <w:marRight w:val="0"/>
      <w:marTop w:val="0"/>
      <w:marBottom w:val="0"/>
      <w:divBdr>
        <w:top w:val="none" w:sz="0" w:space="0" w:color="auto"/>
        <w:left w:val="none" w:sz="0" w:space="0" w:color="auto"/>
        <w:bottom w:val="none" w:sz="0" w:space="0" w:color="auto"/>
        <w:right w:val="none" w:sz="0" w:space="0" w:color="auto"/>
      </w:divBdr>
    </w:div>
    <w:div w:id="582883181">
      <w:bodyDiv w:val="1"/>
      <w:marLeft w:val="0"/>
      <w:marRight w:val="0"/>
      <w:marTop w:val="0"/>
      <w:marBottom w:val="0"/>
      <w:divBdr>
        <w:top w:val="none" w:sz="0" w:space="0" w:color="auto"/>
        <w:left w:val="none" w:sz="0" w:space="0" w:color="auto"/>
        <w:bottom w:val="none" w:sz="0" w:space="0" w:color="auto"/>
        <w:right w:val="none" w:sz="0" w:space="0" w:color="auto"/>
      </w:divBdr>
    </w:div>
    <w:div w:id="582951658">
      <w:bodyDiv w:val="1"/>
      <w:marLeft w:val="0"/>
      <w:marRight w:val="0"/>
      <w:marTop w:val="0"/>
      <w:marBottom w:val="0"/>
      <w:divBdr>
        <w:top w:val="none" w:sz="0" w:space="0" w:color="auto"/>
        <w:left w:val="none" w:sz="0" w:space="0" w:color="auto"/>
        <w:bottom w:val="none" w:sz="0" w:space="0" w:color="auto"/>
        <w:right w:val="none" w:sz="0" w:space="0" w:color="auto"/>
      </w:divBdr>
    </w:div>
    <w:div w:id="583148679">
      <w:bodyDiv w:val="1"/>
      <w:marLeft w:val="0"/>
      <w:marRight w:val="0"/>
      <w:marTop w:val="0"/>
      <w:marBottom w:val="0"/>
      <w:divBdr>
        <w:top w:val="none" w:sz="0" w:space="0" w:color="auto"/>
        <w:left w:val="none" w:sz="0" w:space="0" w:color="auto"/>
        <w:bottom w:val="none" w:sz="0" w:space="0" w:color="auto"/>
        <w:right w:val="none" w:sz="0" w:space="0" w:color="auto"/>
      </w:divBdr>
    </w:div>
    <w:div w:id="583222635">
      <w:bodyDiv w:val="1"/>
      <w:marLeft w:val="0"/>
      <w:marRight w:val="0"/>
      <w:marTop w:val="0"/>
      <w:marBottom w:val="0"/>
      <w:divBdr>
        <w:top w:val="none" w:sz="0" w:space="0" w:color="auto"/>
        <w:left w:val="none" w:sz="0" w:space="0" w:color="auto"/>
        <w:bottom w:val="none" w:sz="0" w:space="0" w:color="auto"/>
        <w:right w:val="none" w:sz="0" w:space="0" w:color="auto"/>
      </w:divBdr>
    </w:div>
    <w:div w:id="583271534">
      <w:bodyDiv w:val="1"/>
      <w:marLeft w:val="0"/>
      <w:marRight w:val="0"/>
      <w:marTop w:val="0"/>
      <w:marBottom w:val="0"/>
      <w:divBdr>
        <w:top w:val="none" w:sz="0" w:space="0" w:color="auto"/>
        <w:left w:val="none" w:sz="0" w:space="0" w:color="auto"/>
        <w:bottom w:val="none" w:sz="0" w:space="0" w:color="auto"/>
        <w:right w:val="none" w:sz="0" w:space="0" w:color="auto"/>
      </w:divBdr>
    </w:div>
    <w:div w:id="583533790">
      <w:bodyDiv w:val="1"/>
      <w:marLeft w:val="0"/>
      <w:marRight w:val="0"/>
      <w:marTop w:val="0"/>
      <w:marBottom w:val="0"/>
      <w:divBdr>
        <w:top w:val="none" w:sz="0" w:space="0" w:color="auto"/>
        <w:left w:val="none" w:sz="0" w:space="0" w:color="auto"/>
        <w:bottom w:val="none" w:sz="0" w:space="0" w:color="auto"/>
        <w:right w:val="none" w:sz="0" w:space="0" w:color="auto"/>
      </w:divBdr>
    </w:div>
    <w:div w:id="583879152">
      <w:bodyDiv w:val="1"/>
      <w:marLeft w:val="0"/>
      <w:marRight w:val="0"/>
      <w:marTop w:val="0"/>
      <w:marBottom w:val="0"/>
      <w:divBdr>
        <w:top w:val="none" w:sz="0" w:space="0" w:color="auto"/>
        <w:left w:val="none" w:sz="0" w:space="0" w:color="auto"/>
        <w:bottom w:val="none" w:sz="0" w:space="0" w:color="auto"/>
        <w:right w:val="none" w:sz="0" w:space="0" w:color="auto"/>
      </w:divBdr>
    </w:div>
    <w:div w:id="583994066">
      <w:bodyDiv w:val="1"/>
      <w:marLeft w:val="0"/>
      <w:marRight w:val="0"/>
      <w:marTop w:val="0"/>
      <w:marBottom w:val="0"/>
      <w:divBdr>
        <w:top w:val="none" w:sz="0" w:space="0" w:color="auto"/>
        <w:left w:val="none" w:sz="0" w:space="0" w:color="auto"/>
        <w:bottom w:val="none" w:sz="0" w:space="0" w:color="auto"/>
        <w:right w:val="none" w:sz="0" w:space="0" w:color="auto"/>
      </w:divBdr>
    </w:div>
    <w:div w:id="583994425">
      <w:bodyDiv w:val="1"/>
      <w:marLeft w:val="0"/>
      <w:marRight w:val="0"/>
      <w:marTop w:val="0"/>
      <w:marBottom w:val="0"/>
      <w:divBdr>
        <w:top w:val="none" w:sz="0" w:space="0" w:color="auto"/>
        <w:left w:val="none" w:sz="0" w:space="0" w:color="auto"/>
        <w:bottom w:val="none" w:sz="0" w:space="0" w:color="auto"/>
        <w:right w:val="none" w:sz="0" w:space="0" w:color="auto"/>
      </w:divBdr>
    </w:div>
    <w:div w:id="584339806">
      <w:bodyDiv w:val="1"/>
      <w:marLeft w:val="0"/>
      <w:marRight w:val="0"/>
      <w:marTop w:val="0"/>
      <w:marBottom w:val="0"/>
      <w:divBdr>
        <w:top w:val="none" w:sz="0" w:space="0" w:color="auto"/>
        <w:left w:val="none" w:sz="0" w:space="0" w:color="auto"/>
        <w:bottom w:val="none" w:sz="0" w:space="0" w:color="auto"/>
        <w:right w:val="none" w:sz="0" w:space="0" w:color="auto"/>
      </w:divBdr>
    </w:div>
    <w:div w:id="584606622">
      <w:bodyDiv w:val="1"/>
      <w:marLeft w:val="0"/>
      <w:marRight w:val="0"/>
      <w:marTop w:val="0"/>
      <w:marBottom w:val="0"/>
      <w:divBdr>
        <w:top w:val="none" w:sz="0" w:space="0" w:color="auto"/>
        <w:left w:val="none" w:sz="0" w:space="0" w:color="auto"/>
        <w:bottom w:val="none" w:sz="0" w:space="0" w:color="auto"/>
        <w:right w:val="none" w:sz="0" w:space="0" w:color="auto"/>
      </w:divBdr>
    </w:div>
    <w:div w:id="584849991">
      <w:bodyDiv w:val="1"/>
      <w:marLeft w:val="0"/>
      <w:marRight w:val="0"/>
      <w:marTop w:val="0"/>
      <w:marBottom w:val="0"/>
      <w:divBdr>
        <w:top w:val="none" w:sz="0" w:space="0" w:color="auto"/>
        <w:left w:val="none" w:sz="0" w:space="0" w:color="auto"/>
        <w:bottom w:val="none" w:sz="0" w:space="0" w:color="auto"/>
        <w:right w:val="none" w:sz="0" w:space="0" w:color="auto"/>
      </w:divBdr>
    </w:div>
    <w:div w:id="584875218">
      <w:bodyDiv w:val="1"/>
      <w:marLeft w:val="0"/>
      <w:marRight w:val="0"/>
      <w:marTop w:val="0"/>
      <w:marBottom w:val="0"/>
      <w:divBdr>
        <w:top w:val="none" w:sz="0" w:space="0" w:color="auto"/>
        <w:left w:val="none" w:sz="0" w:space="0" w:color="auto"/>
        <w:bottom w:val="none" w:sz="0" w:space="0" w:color="auto"/>
        <w:right w:val="none" w:sz="0" w:space="0" w:color="auto"/>
      </w:divBdr>
    </w:div>
    <w:div w:id="584998809">
      <w:bodyDiv w:val="1"/>
      <w:marLeft w:val="0"/>
      <w:marRight w:val="0"/>
      <w:marTop w:val="0"/>
      <w:marBottom w:val="0"/>
      <w:divBdr>
        <w:top w:val="none" w:sz="0" w:space="0" w:color="auto"/>
        <w:left w:val="none" w:sz="0" w:space="0" w:color="auto"/>
        <w:bottom w:val="none" w:sz="0" w:space="0" w:color="auto"/>
        <w:right w:val="none" w:sz="0" w:space="0" w:color="auto"/>
      </w:divBdr>
    </w:div>
    <w:div w:id="585040894">
      <w:bodyDiv w:val="1"/>
      <w:marLeft w:val="0"/>
      <w:marRight w:val="0"/>
      <w:marTop w:val="0"/>
      <w:marBottom w:val="0"/>
      <w:divBdr>
        <w:top w:val="none" w:sz="0" w:space="0" w:color="auto"/>
        <w:left w:val="none" w:sz="0" w:space="0" w:color="auto"/>
        <w:bottom w:val="none" w:sz="0" w:space="0" w:color="auto"/>
        <w:right w:val="none" w:sz="0" w:space="0" w:color="auto"/>
      </w:divBdr>
    </w:div>
    <w:div w:id="585185882">
      <w:bodyDiv w:val="1"/>
      <w:marLeft w:val="0"/>
      <w:marRight w:val="0"/>
      <w:marTop w:val="0"/>
      <w:marBottom w:val="0"/>
      <w:divBdr>
        <w:top w:val="none" w:sz="0" w:space="0" w:color="auto"/>
        <w:left w:val="none" w:sz="0" w:space="0" w:color="auto"/>
        <w:bottom w:val="none" w:sz="0" w:space="0" w:color="auto"/>
        <w:right w:val="none" w:sz="0" w:space="0" w:color="auto"/>
      </w:divBdr>
    </w:div>
    <w:div w:id="585262039">
      <w:bodyDiv w:val="1"/>
      <w:marLeft w:val="0"/>
      <w:marRight w:val="0"/>
      <w:marTop w:val="0"/>
      <w:marBottom w:val="0"/>
      <w:divBdr>
        <w:top w:val="none" w:sz="0" w:space="0" w:color="auto"/>
        <w:left w:val="none" w:sz="0" w:space="0" w:color="auto"/>
        <w:bottom w:val="none" w:sz="0" w:space="0" w:color="auto"/>
        <w:right w:val="none" w:sz="0" w:space="0" w:color="auto"/>
      </w:divBdr>
    </w:div>
    <w:div w:id="585262421">
      <w:bodyDiv w:val="1"/>
      <w:marLeft w:val="0"/>
      <w:marRight w:val="0"/>
      <w:marTop w:val="0"/>
      <w:marBottom w:val="0"/>
      <w:divBdr>
        <w:top w:val="none" w:sz="0" w:space="0" w:color="auto"/>
        <w:left w:val="none" w:sz="0" w:space="0" w:color="auto"/>
        <w:bottom w:val="none" w:sz="0" w:space="0" w:color="auto"/>
        <w:right w:val="none" w:sz="0" w:space="0" w:color="auto"/>
      </w:divBdr>
    </w:div>
    <w:div w:id="585384258">
      <w:bodyDiv w:val="1"/>
      <w:marLeft w:val="0"/>
      <w:marRight w:val="0"/>
      <w:marTop w:val="0"/>
      <w:marBottom w:val="0"/>
      <w:divBdr>
        <w:top w:val="none" w:sz="0" w:space="0" w:color="auto"/>
        <w:left w:val="none" w:sz="0" w:space="0" w:color="auto"/>
        <w:bottom w:val="none" w:sz="0" w:space="0" w:color="auto"/>
        <w:right w:val="none" w:sz="0" w:space="0" w:color="auto"/>
      </w:divBdr>
    </w:div>
    <w:div w:id="585648687">
      <w:bodyDiv w:val="1"/>
      <w:marLeft w:val="0"/>
      <w:marRight w:val="0"/>
      <w:marTop w:val="0"/>
      <w:marBottom w:val="0"/>
      <w:divBdr>
        <w:top w:val="none" w:sz="0" w:space="0" w:color="auto"/>
        <w:left w:val="none" w:sz="0" w:space="0" w:color="auto"/>
        <w:bottom w:val="none" w:sz="0" w:space="0" w:color="auto"/>
        <w:right w:val="none" w:sz="0" w:space="0" w:color="auto"/>
      </w:divBdr>
    </w:div>
    <w:div w:id="585653672">
      <w:bodyDiv w:val="1"/>
      <w:marLeft w:val="0"/>
      <w:marRight w:val="0"/>
      <w:marTop w:val="0"/>
      <w:marBottom w:val="0"/>
      <w:divBdr>
        <w:top w:val="none" w:sz="0" w:space="0" w:color="auto"/>
        <w:left w:val="none" w:sz="0" w:space="0" w:color="auto"/>
        <w:bottom w:val="none" w:sz="0" w:space="0" w:color="auto"/>
        <w:right w:val="none" w:sz="0" w:space="0" w:color="auto"/>
      </w:divBdr>
    </w:div>
    <w:div w:id="585727930">
      <w:bodyDiv w:val="1"/>
      <w:marLeft w:val="0"/>
      <w:marRight w:val="0"/>
      <w:marTop w:val="0"/>
      <w:marBottom w:val="0"/>
      <w:divBdr>
        <w:top w:val="none" w:sz="0" w:space="0" w:color="auto"/>
        <w:left w:val="none" w:sz="0" w:space="0" w:color="auto"/>
        <w:bottom w:val="none" w:sz="0" w:space="0" w:color="auto"/>
        <w:right w:val="none" w:sz="0" w:space="0" w:color="auto"/>
      </w:divBdr>
    </w:div>
    <w:div w:id="585769195">
      <w:bodyDiv w:val="1"/>
      <w:marLeft w:val="0"/>
      <w:marRight w:val="0"/>
      <w:marTop w:val="0"/>
      <w:marBottom w:val="0"/>
      <w:divBdr>
        <w:top w:val="none" w:sz="0" w:space="0" w:color="auto"/>
        <w:left w:val="none" w:sz="0" w:space="0" w:color="auto"/>
        <w:bottom w:val="none" w:sz="0" w:space="0" w:color="auto"/>
        <w:right w:val="none" w:sz="0" w:space="0" w:color="auto"/>
      </w:divBdr>
    </w:div>
    <w:div w:id="585847799">
      <w:bodyDiv w:val="1"/>
      <w:marLeft w:val="0"/>
      <w:marRight w:val="0"/>
      <w:marTop w:val="0"/>
      <w:marBottom w:val="0"/>
      <w:divBdr>
        <w:top w:val="none" w:sz="0" w:space="0" w:color="auto"/>
        <w:left w:val="none" w:sz="0" w:space="0" w:color="auto"/>
        <w:bottom w:val="none" w:sz="0" w:space="0" w:color="auto"/>
        <w:right w:val="none" w:sz="0" w:space="0" w:color="auto"/>
      </w:divBdr>
    </w:div>
    <w:div w:id="585915760">
      <w:bodyDiv w:val="1"/>
      <w:marLeft w:val="0"/>
      <w:marRight w:val="0"/>
      <w:marTop w:val="0"/>
      <w:marBottom w:val="0"/>
      <w:divBdr>
        <w:top w:val="none" w:sz="0" w:space="0" w:color="auto"/>
        <w:left w:val="none" w:sz="0" w:space="0" w:color="auto"/>
        <w:bottom w:val="none" w:sz="0" w:space="0" w:color="auto"/>
        <w:right w:val="none" w:sz="0" w:space="0" w:color="auto"/>
      </w:divBdr>
    </w:div>
    <w:div w:id="585959082">
      <w:bodyDiv w:val="1"/>
      <w:marLeft w:val="0"/>
      <w:marRight w:val="0"/>
      <w:marTop w:val="0"/>
      <w:marBottom w:val="0"/>
      <w:divBdr>
        <w:top w:val="none" w:sz="0" w:space="0" w:color="auto"/>
        <w:left w:val="none" w:sz="0" w:space="0" w:color="auto"/>
        <w:bottom w:val="none" w:sz="0" w:space="0" w:color="auto"/>
        <w:right w:val="none" w:sz="0" w:space="0" w:color="auto"/>
      </w:divBdr>
    </w:div>
    <w:div w:id="585963882">
      <w:bodyDiv w:val="1"/>
      <w:marLeft w:val="0"/>
      <w:marRight w:val="0"/>
      <w:marTop w:val="0"/>
      <w:marBottom w:val="0"/>
      <w:divBdr>
        <w:top w:val="none" w:sz="0" w:space="0" w:color="auto"/>
        <w:left w:val="none" w:sz="0" w:space="0" w:color="auto"/>
        <w:bottom w:val="none" w:sz="0" w:space="0" w:color="auto"/>
        <w:right w:val="none" w:sz="0" w:space="0" w:color="auto"/>
      </w:divBdr>
    </w:div>
    <w:div w:id="586112802">
      <w:bodyDiv w:val="1"/>
      <w:marLeft w:val="0"/>
      <w:marRight w:val="0"/>
      <w:marTop w:val="0"/>
      <w:marBottom w:val="0"/>
      <w:divBdr>
        <w:top w:val="none" w:sz="0" w:space="0" w:color="auto"/>
        <w:left w:val="none" w:sz="0" w:space="0" w:color="auto"/>
        <w:bottom w:val="none" w:sz="0" w:space="0" w:color="auto"/>
        <w:right w:val="none" w:sz="0" w:space="0" w:color="auto"/>
      </w:divBdr>
    </w:div>
    <w:div w:id="586227404">
      <w:bodyDiv w:val="1"/>
      <w:marLeft w:val="0"/>
      <w:marRight w:val="0"/>
      <w:marTop w:val="0"/>
      <w:marBottom w:val="0"/>
      <w:divBdr>
        <w:top w:val="none" w:sz="0" w:space="0" w:color="auto"/>
        <w:left w:val="none" w:sz="0" w:space="0" w:color="auto"/>
        <w:bottom w:val="none" w:sz="0" w:space="0" w:color="auto"/>
        <w:right w:val="none" w:sz="0" w:space="0" w:color="auto"/>
      </w:divBdr>
    </w:div>
    <w:div w:id="586235156">
      <w:bodyDiv w:val="1"/>
      <w:marLeft w:val="0"/>
      <w:marRight w:val="0"/>
      <w:marTop w:val="0"/>
      <w:marBottom w:val="0"/>
      <w:divBdr>
        <w:top w:val="none" w:sz="0" w:space="0" w:color="auto"/>
        <w:left w:val="none" w:sz="0" w:space="0" w:color="auto"/>
        <w:bottom w:val="none" w:sz="0" w:space="0" w:color="auto"/>
        <w:right w:val="none" w:sz="0" w:space="0" w:color="auto"/>
      </w:divBdr>
    </w:div>
    <w:div w:id="586310177">
      <w:bodyDiv w:val="1"/>
      <w:marLeft w:val="0"/>
      <w:marRight w:val="0"/>
      <w:marTop w:val="0"/>
      <w:marBottom w:val="0"/>
      <w:divBdr>
        <w:top w:val="none" w:sz="0" w:space="0" w:color="auto"/>
        <w:left w:val="none" w:sz="0" w:space="0" w:color="auto"/>
        <w:bottom w:val="none" w:sz="0" w:space="0" w:color="auto"/>
        <w:right w:val="none" w:sz="0" w:space="0" w:color="auto"/>
      </w:divBdr>
    </w:div>
    <w:div w:id="586425646">
      <w:bodyDiv w:val="1"/>
      <w:marLeft w:val="0"/>
      <w:marRight w:val="0"/>
      <w:marTop w:val="0"/>
      <w:marBottom w:val="0"/>
      <w:divBdr>
        <w:top w:val="none" w:sz="0" w:space="0" w:color="auto"/>
        <w:left w:val="none" w:sz="0" w:space="0" w:color="auto"/>
        <w:bottom w:val="none" w:sz="0" w:space="0" w:color="auto"/>
        <w:right w:val="none" w:sz="0" w:space="0" w:color="auto"/>
      </w:divBdr>
    </w:div>
    <w:div w:id="586773079">
      <w:bodyDiv w:val="1"/>
      <w:marLeft w:val="0"/>
      <w:marRight w:val="0"/>
      <w:marTop w:val="0"/>
      <w:marBottom w:val="0"/>
      <w:divBdr>
        <w:top w:val="none" w:sz="0" w:space="0" w:color="auto"/>
        <w:left w:val="none" w:sz="0" w:space="0" w:color="auto"/>
        <w:bottom w:val="none" w:sz="0" w:space="0" w:color="auto"/>
        <w:right w:val="none" w:sz="0" w:space="0" w:color="auto"/>
      </w:divBdr>
    </w:div>
    <w:div w:id="586958192">
      <w:bodyDiv w:val="1"/>
      <w:marLeft w:val="0"/>
      <w:marRight w:val="0"/>
      <w:marTop w:val="0"/>
      <w:marBottom w:val="0"/>
      <w:divBdr>
        <w:top w:val="none" w:sz="0" w:space="0" w:color="auto"/>
        <w:left w:val="none" w:sz="0" w:space="0" w:color="auto"/>
        <w:bottom w:val="none" w:sz="0" w:space="0" w:color="auto"/>
        <w:right w:val="none" w:sz="0" w:space="0" w:color="auto"/>
      </w:divBdr>
    </w:div>
    <w:div w:id="586960380">
      <w:bodyDiv w:val="1"/>
      <w:marLeft w:val="0"/>
      <w:marRight w:val="0"/>
      <w:marTop w:val="0"/>
      <w:marBottom w:val="0"/>
      <w:divBdr>
        <w:top w:val="none" w:sz="0" w:space="0" w:color="auto"/>
        <w:left w:val="none" w:sz="0" w:space="0" w:color="auto"/>
        <w:bottom w:val="none" w:sz="0" w:space="0" w:color="auto"/>
        <w:right w:val="none" w:sz="0" w:space="0" w:color="auto"/>
      </w:divBdr>
    </w:div>
    <w:div w:id="586964118">
      <w:bodyDiv w:val="1"/>
      <w:marLeft w:val="0"/>
      <w:marRight w:val="0"/>
      <w:marTop w:val="0"/>
      <w:marBottom w:val="0"/>
      <w:divBdr>
        <w:top w:val="none" w:sz="0" w:space="0" w:color="auto"/>
        <w:left w:val="none" w:sz="0" w:space="0" w:color="auto"/>
        <w:bottom w:val="none" w:sz="0" w:space="0" w:color="auto"/>
        <w:right w:val="none" w:sz="0" w:space="0" w:color="auto"/>
      </w:divBdr>
    </w:div>
    <w:div w:id="586964545">
      <w:bodyDiv w:val="1"/>
      <w:marLeft w:val="0"/>
      <w:marRight w:val="0"/>
      <w:marTop w:val="0"/>
      <w:marBottom w:val="0"/>
      <w:divBdr>
        <w:top w:val="none" w:sz="0" w:space="0" w:color="auto"/>
        <w:left w:val="none" w:sz="0" w:space="0" w:color="auto"/>
        <w:bottom w:val="none" w:sz="0" w:space="0" w:color="auto"/>
        <w:right w:val="none" w:sz="0" w:space="0" w:color="auto"/>
      </w:divBdr>
    </w:div>
    <w:div w:id="587034700">
      <w:bodyDiv w:val="1"/>
      <w:marLeft w:val="0"/>
      <w:marRight w:val="0"/>
      <w:marTop w:val="0"/>
      <w:marBottom w:val="0"/>
      <w:divBdr>
        <w:top w:val="none" w:sz="0" w:space="0" w:color="auto"/>
        <w:left w:val="none" w:sz="0" w:space="0" w:color="auto"/>
        <w:bottom w:val="none" w:sz="0" w:space="0" w:color="auto"/>
        <w:right w:val="none" w:sz="0" w:space="0" w:color="auto"/>
      </w:divBdr>
    </w:div>
    <w:div w:id="587078856">
      <w:bodyDiv w:val="1"/>
      <w:marLeft w:val="0"/>
      <w:marRight w:val="0"/>
      <w:marTop w:val="0"/>
      <w:marBottom w:val="0"/>
      <w:divBdr>
        <w:top w:val="none" w:sz="0" w:space="0" w:color="auto"/>
        <w:left w:val="none" w:sz="0" w:space="0" w:color="auto"/>
        <w:bottom w:val="none" w:sz="0" w:space="0" w:color="auto"/>
        <w:right w:val="none" w:sz="0" w:space="0" w:color="auto"/>
      </w:divBdr>
    </w:div>
    <w:div w:id="587152105">
      <w:bodyDiv w:val="1"/>
      <w:marLeft w:val="0"/>
      <w:marRight w:val="0"/>
      <w:marTop w:val="0"/>
      <w:marBottom w:val="0"/>
      <w:divBdr>
        <w:top w:val="none" w:sz="0" w:space="0" w:color="auto"/>
        <w:left w:val="none" w:sz="0" w:space="0" w:color="auto"/>
        <w:bottom w:val="none" w:sz="0" w:space="0" w:color="auto"/>
        <w:right w:val="none" w:sz="0" w:space="0" w:color="auto"/>
      </w:divBdr>
    </w:div>
    <w:div w:id="587353286">
      <w:bodyDiv w:val="1"/>
      <w:marLeft w:val="0"/>
      <w:marRight w:val="0"/>
      <w:marTop w:val="0"/>
      <w:marBottom w:val="0"/>
      <w:divBdr>
        <w:top w:val="none" w:sz="0" w:space="0" w:color="auto"/>
        <w:left w:val="none" w:sz="0" w:space="0" w:color="auto"/>
        <w:bottom w:val="none" w:sz="0" w:space="0" w:color="auto"/>
        <w:right w:val="none" w:sz="0" w:space="0" w:color="auto"/>
      </w:divBdr>
    </w:div>
    <w:div w:id="587466164">
      <w:bodyDiv w:val="1"/>
      <w:marLeft w:val="0"/>
      <w:marRight w:val="0"/>
      <w:marTop w:val="0"/>
      <w:marBottom w:val="0"/>
      <w:divBdr>
        <w:top w:val="none" w:sz="0" w:space="0" w:color="auto"/>
        <w:left w:val="none" w:sz="0" w:space="0" w:color="auto"/>
        <w:bottom w:val="none" w:sz="0" w:space="0" w:color="auto"/>
        <w:right w:val="none" w:sz="0" w:space="0" w:color="auto"/>
      </w:divBdr>
    </w:div>
    <w:div w:id="587540460">
      <w:bodyDiv w:val="1"/>
      <w:marLeft w:val="0"/>
      <w:marRight w:val="0"/>
      <w:marTop w:val="0"/>
      <w:marBottom w:val="0"/>
      <w:divBdr>
        <w:top w:val="none" w:sz="0" w:space="0" w:color="auto"/>
        <w:left w:val="none" w:sz="0" w:space="0" w:color="auto"/>
        <w:bottom w:val="none" w:sz="0" w:space="0" w:color="auto"/>
        <w:right w:val="none" w:sz="0" w:space="0" w:color="auto"/>
      </w:divBdr>
    </w:div>
    <w:div w:id="587542458">
      <w:bodyDiv w:val="1"/>
      <w:marLeft w:val="0"/>
      <w:marRight w:val="0"/>
      <w:marTop w:val="0"/>
      <w:marBottom w:val="0"/>
      <w:divBdr>
        <w:top w:val="none" w:sz="0" w:space="0" w:color="auto"/>
        <w:left w:val="none" w:sz="0" w:space="0" w:color="auto"/>
        <w:bottom w:val="none" w:sz="0" w:space="0" w:color="auto"/>
        <w:right w:val="none" w:sz="0" w:space="0" w:color="auto"/>
      </w:divBdr>
    </w:div>
    <w:div w:id="587924178">
      <w:bodyDiv w:val="1"/>
      <w:marLeft w:val="0"/>
      <w:marRight w:val="0"/>
      <w:marTop w:val="0"/>
      <w:marBottom w:val="0"/>
      <w:divBdr>
        <w:top w:val="none" w:sz="0" w:space="0" w:color="auto"/>
        <w:left w:val="none" w:sz="0" w:space="0" w:color="auto"/>
        <w:bottom w:val="none" w:sz="0" w:space="0" w:color="auto"/>
        <w:right w:val="none" w:sz="0" w:space="0" w:color="auto"/>
      </w:divBdr>
    </w:div>
    <w:div w:id="588392993">
      <w:bodyDiv w:val="1"/>
      <w:marLeft w:val="0"/>
      <w:marRight w:val="0"/>
      <w:marTop w:val="0"/>
      <w:marBottom w:val="0"/>
      <w:divBdr>
        <w:top w:val="none" w:sz="0" w:space="0" w:color="auto"/>
        <w:left w:val="none" w:sz="0" w:space="0" w:color="auto"/>
        <w:bottom w:val="none" w:sz="0" w:space="0" w:color="auto"/>
        <w:right w:val="none" w:sz="0" w:space="0" w:color="auto"/>
      </w:divBdr>
    </w:div>
    <w:div w:id="588470819">
      <w:bodyDiv w:val="1"/>
      <w:marLeft w:val="0"/>
      <w:marRight w:val="0"/>
      <w:marTop w:val="0"/>
      <w:marBottom w:val="0"/>
      <w:divBdr>
        <w:top w:val="none" w:sz="0" w:space="0" w:color="auto"/>
        <w:left w:val="none" w:sz="0" w:space="0" w:color="auto"/>
        <w:bottom w:val="none" w:sz="0" w:space="0" w:color="auto"/>
        <w:right w:val="none" w:sz="0" w:space="0" w:color="auto"/>
      </w:divBdr>
    </w:div>
    <w:div w:id="588582101">
      <w:bodyDiv w:val="1"/>
      <w:marLeft w:val="0"/>
      <w:marRight w:val="0"/>
      <w:marTop w:val="0"/>
      <w:marBottom w:val="0"/>
      <w:divBdr>
        <w:top w:val="none" w:sz="0" w:space="0" w:color="auto"/>
        <w:left w:val="none" w:sz="0" w:space="0" w:color="auto"/>
        <w:bottom w:val="none" w:sz="0" w:space="0" w:color="auto"/>
        <w:right w:val="none" w:sz="0" w:space="0" w:color="auto"/>
      </w:divBdr>
    </w:div>
    <w:div w:id="588655389">
      <w:bodyDiv w:val="1"/>
      <w:marLeft w:val="0"/>
      <w:marRight w:val="0"/>
      <w:marTop w:val="0"/>
      <w:marBottom w:val="0"/>
      <w:divBdr>
        <w:top w:val="none" w:sz="0" w:space="0" w:color="auto"/>
        <w:left w:val="none" w:sz="0" w:space="0" w:color="auto"/>
        <w:bottom w:val="none" w:sz="0" w:space="0" w:color="auto"/>
        <w:right w:val="none" w:sz="0" w:space="0" w:color="auto"/>
      </w:divBdr>
    </w:div>
    <w:div w:id="588730177">
      <w:bodyDiv w:val="1"/>
      <w:marLeft w:val="0"/>
      <w:marRight w:val="0"/>
      <w:marTop w:val="0"/>
      <w:marBottom w:val="0"/>
      <w:divBdr>
        <w:top w:val="none" w:sz="0" w:space="0" w:color="auto"/>
        <w:left w:val="none" w:sz="0" w:space="0" w:color="auto"/>
        <w:bottom w:val="none" w:sz="0" w:space="0" w:color="auto"/>
        <w:right w:val="none" w:sz="0" w:space="0" w:color="auto"/>
      </w:divBdr>
    </w:div>
    <w:div w:id="588778393">
      <w:bodyDiv w:val="1"/>
      <w:marLeft w:val="0"/>
      <w:marRight w:val="0"/>
      <w:marTop w:val="0"/>
      <w:marBottom w:val="0"/>
      <w:divBdr>
        <w:top w:val="none" w:sz="0" w:space="0" w:color="auto"/>
        <w:left w:val="none" w:sz="0" w:space="0" w:color="auto"/>
        <w:bottom w:val="none" w:sz="0" w:space="0" w:color="auto"/>
        <w:right w:val="none" w:sz="0" w:space="0" w:color="auto"/>
      </w:divBdr>
    </w:div>
    <w:div w:id="588780321">
      <w:bodyDiv w:val="1"/>
      <w:marLeft w:val="0"/>
      <w:marRight w:val="0"/>
      <w:marTop w:val="0"/>
      <w:marBottom w:val="0"/>
      <w:divBdr>
        <w:top w:val="none" w:sz="0" w:space="0" w:color="auto"/>
        <w:left w:val="none" w:sz="0" w:space="0" w:color="auto"/>
        <w:bottom w:val="none" w:sz="0" w:space="0" w:color="auto"/>
        <w:right w:val="none" w:sz="0" w:space="0" w:color="auto"/>
      </w:divBdr>
    </w:div>
    <w:div w:id="588855081">
      <w:bodyDiv w:val="1"/>
      <w:marLeft w:val="0"/>
      <w:marRight w:val="0"/>
      <w:marTop w:val="0"/>
      <w:marBottom w:val="0"/>
      <w:divBdr>
        <w:top w:val="none" w:sz="0" w:space="0" w:color="auto"/>
        <w:left w:val="none" w:sz="0" w:space="0" w:color="auto"/>
        <w:bottom w:val="none" w:sz="0" w:space="0" w:color="auto"/>
        <w:right w:val="none" w:sz="0" w:space="0" w:color="auto"/>
      </w:divBdr>
    </w:div>
    <w:div w:id="588856005">
      <w:bodyDiv w:val="1"/>
      <w:marLeft w:val="0"/>
      <w:marRight w:val="0"/>
      <w:marTop w:val="0"/>
      <w:marBottom w:val="0"/>
      <w:divBdr>
        <w:top w:val="none" w:sz="0" w:space="0" w:color="auto"/>
        <w:left w:val="none" w:sz="0" w:space="0" w:color="auto"/>
        <w:bottom w:val="none" w:sz="0" w:space="0" w:color="auto"/>
        <w:right w:val="none" w:sz="0" w:space="0" w:color="auto"/>
      </w:divBdr>
    </w:div>
    <w:div w:id="589194472">
      <w:bodyDiv w:val="1"/>
      <w:marLeft w:val="0"/>
      <w:marRight w:val="0"/>
      <w:marTop w:val="0"/>
      <w:marBottom w:val="0"/>
      <w:divBdr>
        <w:top w:val="none" w:sz="0" w:space="0" w:color="auto"/>
        <w:left w:val="none" w:sz="0" w:space="0" w:color="auto"/>
        <w:bottom w:val="none" w:sz="0" w:space="0" w:color="auto"/>
        <w:right w:val="none" w:sz="0" w:space="0" w:color="auto"/>
      </w:divBdr>
    </w:div>
    <w:div w:id="589314376">
      <w:bodyDiv w:val="1"/>
      <w:marLeft w:val="0"/>
      <w:marRight w:val="0"/>
      <w:marTop w:val="0"/>
      <w:marBottom w:val="0"/>
      <w:divBdr>
        <w:top w:val="none" w:sz="0" w:space="0" w:color="auto"/>
        <w:left w:val="none" w:sz="0" w:space="0" w:color="auto"/>
        <w:bottom w:val="none" w:sz="0" w:space="0" w:color="auto"/>
        <w:right w:val="none" w:sz="0" w:space="0" w:color="auto"/>
      </w:divBdr>
    </w:div>
    <w:div w:id="589390266">
      <w:bodyDiv w:val="1"/>
      <w:marLeft w:val="0"/>
      <w:marRight w:val="0"/>
      <w:marTop w:val="0"/>
      <w:marBottom w:val="0"/>
      <w:divBdr>
        <w:top w:val="none" w:sz="0" w:space="0" w:color="auto"/>
        <w:left w:val="none" w:sz="0" w:space="0" w:color="auto"/>
        <w:bottom w:val="none" w:sz="0" w:space="0" w:color="auto"/>
        <w:right w:val="none" w:sz="0" w:space="0" w:color="auto"/>
      </w:divBdr>
    </w:div>
    <w:div w:id="589393912">
      <w:bodyDiv w:val="1"/>
      <w:marLeft w:val="0"/>
      <w:marRight w:val="0"/>
      <w:marTop w:val="0"/>
      <w:marBottom w:val="0"/>
      <w:divBdr>
        <w:top w:val="none" w:sz="0" w:space="0" w:color="auto"/>
        <w:left w:val="none" w:sz="0" w:space="0" w:color="auto"/>
        <w:bottom w:val="none" w:sz="0" w:space="0" w:color="auto"/>
        <w:right w:val="none" w:sz="0" w:space="0" w:color="auto"/>
      </w:divBdr>
    </w:div>
    <w:div w:id="589509639">
      <w:bodyDiv w:val="1"/>
      <w:marLeft w:val="0"/>
      <w:marRight w:val="0"/>
      <w:marTop w:val="0"/>
      <w:marBottom w:val="0"/>
      <w:divBdr>
        <w:top w:val="none" w:sz="0" w:space="0" w:color="auto"/>
        <w:left w:val="none" w:sz="0" w:space="0" w:color="auto"/>
        <w:bottom w:val="none" w:sz="0" w:space="0" w:color="auto"/>
        <w:right w:val="none" w:sz="0" w:space="0" w:color="auto"/>
      </w:divBdr>
    </w:div>
    <w:div w:id="589628212">
      <w:bodyDiv w:val="1"/>
      <w:marLeft w:val="0"/>
      <w:marRight w:val="0"/>
      <w:marTop w:val="0"/>
      <w:marBottom w:val="0"/>
      <w:divBdr>
        <w:top w:val="none" w:sz="0" w:space="0" w:color="auto"/>
        <w:left w:val="none" w:sz="0" w:space="0" w:color="auto"/>
        <w:bottom w:val="none" w:sz="0" w:space="0" w:color="auto"/>
        <w:right w:val="none" w:sz="0" w:space="0" w:color="auto"/>
      </w:divBdr>
    </w:div>
    <w:div w:id="589656989">
      <w:bodyDiv w:val="1"/>
      <w:marLeft w:val="0"/>
      <w:marRight w:val="0"/>
      <w:marTop w:val="0"/>
      <w:marBottom w:val="0"/>
      <w:divBdr>
        <w:top w:val="none" w:sz="0" w:space="0" w:color="auto"/>
        <w:left w:val="none" w:sz="0" w:space="0" w:color="auto"/>
        <w:bottom w:val="none" w:sz="0" w:space="0" w:color="auto"/>
        <w:right w:val="none" w:sz="0" w:space="0" w:color="auto"/>
      </w:divBdr>
    </w:div>
    <w:div w:id="589697225">
      <w:bodyDiv w:val="1"/>
      <w:marLeft w:val="0"/>
      <w:marRight w:val="0"/>
      <w:marTop w:val="0"/>
      <w:marBottom w:val="0"/>
      <w:divBdr>
        <w:top w:val="none" w:sz="0" w:space="0" w:color="auto"/>
        <w:left w:val="none" w:sz="0" w:space="0" w:color="auto"/>
        <w:bottom w:val="none" w:sz="0" w:space="0" w:color="auto"/>
        <w:right w:val="none" w:sz="0" w:space="0" w:color="auto"/>
      </w:divBdr>
    </w:div>
    <w:div w:id="589894577">
      <w:bodyDiv w:val="1"/>
      <w:marLeft w:val="0"/>
      <w:marRight w:val="0"/>
      <w:marTop w:val="0"/>
      <w:marBottom w:val="0"/>
      <w:divBdr>
        <w:top w:val="none" w:sz="0" w:space="0" w:color="auto"/>
        <w:left w:val="none" w:sz="0" w:space="0" w:color="auto"/>
        <w:bottom w:val="none" w:sz="0" w:space="0" w:color="auto"/>
        <w:right w:val="none" w:sz="0" w:space="0" w:color="auto"/>
      </w:divBdr>
    </w:div>
    <w:div w:id="590044860">
      <w:bodyDiv w:val="1"/>
      <w:marLeft w:val="0"/>
      <w:marRight w:val="0"/>
      <w:marTop w:val="0"/>
      <w:marBottom w:val="0"/>
      <w:divBdr>
        <w:top w:val="none" w:sz="0" w:space="0" w:color="auto"/>
        <w:left w:val="none" w:sz="0" w:space="0" w:color="auto"/>
        <w:bottom w:val="none" w:sz="0" w:space="0" w:color="auto"/>
        <w:right w:val="none" w:sz="0" w:space="0" w:color="auto"/>
      </w:divBdr>
    </w:div>
    <w:div w:id="590168238">
      <w:bodyDiv w:val="1"/>
      <w:marLeft w:val="0"/>
      <w:marRight w:val="0"/>
      <w:marTop w:val="0"/>
      <w:marBottom w:val="0"/>
      <w:divBdr>
        <w:top w:val="none" w:sz="0" w:space="0" w:color="auto"/>
        <w:left w:val="none" w:sz="0" w:space="0" w:color="auto"/>
        <w:bottom w:val="none" w:sz="0" w:space="0" w:color="auto"/>
        <w:right w:val="none" w:sz="0" w:space="0" w:color="auto"/>
      </w:divBdr>
    </w:div>
    <w:div w:id="590237941">
      <w:bodyDiv w:val="1"/>
      <w:marLeft w:val="0"/>
      <w:marRight w:val="0"/>
      <w:marTop w:val="0"/>
      <w:marBottom w:val="0"/>
      <w:divBdr>
        <w:top w:val="none" w:sz="0" w:space="0" w:color="auto"/>
        <w:left w:val="none" w:sz="0" w:space="0" w:color="auto"/>
        <w:bottom w:val="none" w:sz="0" w:space="0" w:color="auto"/>
        <w:right w:val="none" w:sz="0" w:space="0" w:color="auto"/>
      </w:divBdr>
    </w:div>
    <w:div w:id="590357499">
      <w:bodyDiv w:val="1"/>
      <w:marLeft w:val="0"/>
      <w:marRight w:val="0"/>
      <w:marTop w:val="0"/>
      <w:marBottom w:val="0"/>
      <w:divBdr>
        <w:top w:val="none" w:sz="0" w:space="0" w:color="auto"/>
        <w:left w:val="none" w:sz="0" w:space="0" w:color="auto"/>
        <w:bottom w:val="none" w:sz="0" w:space="0" w:color="auto"/>
        <w:right w:val="none" w:sz="0" w:space="0" w:color="auto"/>
      </w:divBdr>
    </w:div>
    <w:div w:id="590429358">
      <w:bodyDiv w:val="1"/>
      <w:marLeft w:val="0"/>
      <w:marRight w:val="0"/>
      <w:marTop w:val="0"/>
      <w:marBottom w:val="0"/>
      <w:divBdr>
        <w:top w:val="none" w:sz="0" w:space="0" w:color="auto"/>
        <w:left w:val="none" w:sz="0" w:space="0" w:color="auto"/>
        <w:bottom w:val="none" w:sz="0" w:space="0" w:color="auto"/>
        <w:right w:val="none" w:sz="0" w:space="0" w:color="auto"/>
      </w:divBdr>
    </w:div>
    <w:div w:id="590434256">
      <w:bodyDiv w:val="1"/>
      <w:marLeft w:val="0"/>
      <w:marRight w:val="0"/>
      <w:marTop w:val="0"/>
      <w:marBottom w:val="0"/>
      <w:divBdr>
        <w:top w:val="none" w:sz="0" w:space="0" w:color="auto"/>
        <w:left w:val="none" w:sz="0" w:space="0" w:color="auto"/>
        <w:bottom w:val="none" w:sz="0" w:space="0" w:color="auto"/>
        <w:right w:val="none" w:sz="0" w:space="0" w:color="auto"/>
      </w:divBdr>
    </w:div>
    <w:div w:id="590820622">
      <w:bodyDiv w:val="1"/>
      <w:marLeft w:val="0"/>
      <w:marRight w:val="0"/>
      <w:marTop w:val="0"/>
      <w:marBottom w:val="0"/>
      <w:divBdr>
        <w:top w:val="none" w:sz="0" w:space="0" w:color="auto"/>
        <w:left w:val="none" w:sz="0" w:space="0" w:color="auto"/>
        <w:bottom w:val="none" w:sz="0" w:space="0" w:color="auto"/>
        <w:right w:val="none" w:sz="0" w:space="0" w:color="auto"/>
      </w:divBdr>
    </w:div>
    <w:div w:id="590897125">
      <w:bodyDiv w:val="1"/>
      <w:marLeft w:val="0"/>
      <w:marRight w:val="0"/>
      <w:marTop w:val="0"/>
      <w:marBottom w:val="0"/>
      <w:divBdr>
        <w:top w:val="none" w:sz="0" w:space="0" w:color="auto"/>
        <w:left w:val="none" w:sz="0" w:space="0" w:color="auto"/>
        <w:bottom w:val="none" w:sz="0" w:space="0" w:color="auto"/>
        <w:right w:val="none" w:sz="0" w:space="0" w:color="auto"/>
      </w:divBdr>
    </w:div>
    <w:div w:id="590969372">
      <w:bodyDiv w:val="1"/>
      <w:marLeft w:val="0"/>
      <w:marRight w:val="0"/>
      <w:marTop w:val="0"/>
      <w:marBottom w:val="0"/>
      <w:divBdr>
        <w:top w:val="none" w:sz="0" w:space="0" w:color="auto"/>
        <w:left w:val="none" w:sz="0" w:space="0" w:color="auto"/>
        <w:bottom w:val="none" w:sz="0" w:space="0" w:color="auto"/>
        <w:right w:val="none" w:sz="0" w:space="0" w:color="auto"/>
      </w:divBdr>
    </w:div>
    <w:div w:id="591015314">
      <w:bodyDiv w:val="1"/>
      <w:marLeft w:val="0"/>
      <w:marRight w:val="0"/>
      <w:marTop w:val="0"/>
      <w:marBottom w:val="0"/>
      <w:divBdr>
        <w:top w:val="none" w:sz="0" w:space="0" w:color="auto"/>
        <w:left w:val="none" w:sz="0" w:space="0" w:color="auto"/>
        <w:bottom w:val="none" w:sz="0" w:space="0" w:color="auto"/>
        <w:right w:val="none" w:sz="0" w:space="0" w:color="auto"/>
      </w:divBdr>
    </w:div>
    <w:div w:id="591089440">
      <w:bodyDiv w:val="1"/>
      <w:marLeft w:val="0"/>
      <w:marRight w:val="0"/>
      <w:marTop w:val="0"/>
      <w:marBottom w:val="0"/>
      <w:divBdr>
        <w:top w:val="none" w:sz="0" w:space="0" w:color="auto"/>
        <w:left w:val="none" w:sz="0" w:space="0" w:color="auto"/>
        <w:bottom w:val="none" w:sz="0" w:space="0" w:color="auto"/>
        <w:right w:val="none" w:sz="0" w:space="0" w:color="auto"/>
      </w:divBdr>
    </w:div>
    <w:div w:id="591204066">
      <w:bodyDiv w:val="1"/>
      <w:marLeft w:val="0"/>
      <w:marRight w:val="0"/>
      <w:marTop w:val="0"/>
      <w:marBottom w:val="0"/>
      <w:divBdr>
        <w:top w:val="none" w:sz="0" w:space="0" w:color="auto"/>
        <w:left w:val="none" w:sz="0" w:space="0" w:color="auto"/>
        <w:bottom w:val="none" w:sz="0" w:space="0" w:color="auto"/>
        <w:right w:val="none" w:sz="0" w:space="0" w:color="auto"/>
      </w:divBdr>
    </w:div>
    <w:div w:id="591206531">
      <w:bodyDiv w:val="1"/>
      <w:marLeft w:val="0"/>
      <w:marRight w:val="0"/>
      <w:marTop w:val="0"/>
      <w:marBottom w:val="0"/>
      <w:divBdr>
        <w:top w:val="none" w:sz="0" w:space="0" w:color="auto"/>
        <w:left w:val="none" w:sz="0" w:space="0" w:color="auto"/>
        <w:bottom w:val="none" w:sz="0" w:space="0" w:color="auto"/>
        <w:right w:val="none" w:sz="0" w:space="0" w:color="auto"/>
      </w:divBdr>
    </w:div>
    <w:div w:id="591208091">
      <w:bodyDiv w:val="1"/>
      <w:marLeft w:val="0"/>
      <w:marRight w:val="0"/>
      <w:marTop w:val="0"/>
      <w:marBottom w:val="0"/>
      <w:divBdr>
        <w:top w:val="none" w:sz="0" w:space="0" w:color="auto"/>
        <w:left w:val="none" w:sz="0" w:space="0" w:color="auto"/>
        <w:bottom w:val="none" w:sz="0" w:space="0" w:color="auto"/>
        <w:right w:val="none" w:sz="0" w:space="0" w:color="auto"/>
      </w:divBdr>
    </w:div>
    <w:div w:id="591356789">
      <w:bodyDiv w:val="1"/>
      <w:marLeft w:val="0"/>
      <w:marRight w:val="0"/>
      <w:marTop w:val="0"/>
      <w:marBottom w:val="0"/>
      <w:divBdr>
        <w:top w:val="none" w:sz="0" w:space="0" w:color="auto"/>
        <w:left w:val="none" w:sz="0" w:space="0" w:color="auto"/>
        <w:bottom w:val="none" w:sz="0" w:space="0" w:color="auto"/>
        <w:right w:val="none" w:sz="0" w:space="0" w:color="auto"/>
      </w:divBdr>
    </w:div>
    <w:div w:id="591401669">
      <w:bodyDiv w:val="1"/>
      <w:marLeft w:val="0"/>
      <w:marRight w:val="0"/>
      <w:marTop w:val="0"/>
      <w:marBottom w:val="0"/>
      <w:divBdr>
        <w:top w:val="none" w:sz="0" w:space="0" w:color="auto"/>
        <w:left w:val="none" w:sz="0" w:space="0" w:color="auto"/>
        <w:bottom w:val="none" w:sz="0" w:space="0" w:color="auto"/>
        <w:right w:val="none" w:sz="0" w:space="0" w:color="auto"/>
      </w:divBdr>
    </w:div>
    <w:div w:id="591472371">
      <w:bodyDiv w:val="1"/>
      <w:marLeft w:val="0"/>
      <w:marRight w:val="0"/>
      <w:marTop w:val="0"/>
      <w:marBottom w:val="0"/>
      <w:divBdr>
        <w:top w:val="none" w:sz="0" w:space="0" w:color="auto"/>
        <w:left w:val="none" w:sz="0" w:space="0" w:color="auto"/>
        <w:bottom w:val="none" w:sz="0" w:space="0" w:color="auto"/>
        <w:right w:val="none" w:sz="0" w:space="0" w:color="auto"/>
      </w:divBdr>
    </w:div>
    <w:div w:id="591594959">
      <w:bodyDiv w:val="1"/>
      <w:marLeft w:val="0"/>
      <w:marRight w:val="0"/>
      <w:marTop w:val="0"/>
      <w:marBottom w:val="0"/>
      <w:divBdr>
        <w:top w:val="none" w:sz="0" w:space="0" w:color="auto"/>
        <w:left w:val="none" w:sz="0" w:space="0" w:color="auto"/>
        <w:bottom w:val="none" w:sz="0" w:space="0" w:color="auto"/>
        <w:right w:val="none" w:sz="0" w:space="0" w:color="auto"/>
      </w:divBdr>
    </w:div>
    <w:div w:id="591816190">
      <w:bodyDiv w:val="1"/>
      <w:marLeft w:val="0"/>
      <w:marRight w:val="0"/>
      <w:marTop w:val="0"/>
      <w:marBottom w:val="0"/>
      <w:divBdr>
        <w:top w:val="none" w:sz="0" w:space="0" w:color="auto"/>
        <w:left w:val="none" w:sz="0" w:space="0" w:color="auto"/>
        <w:bottom w:val="none" w:sz="0" w:space="0" w:color="auto"/>
        <w:right w:val="none" w:sz="0" w:space="0" w:color="auto"/>
      </w:divBdr>
    </w:div>
    <w:div w:id="592322205">
      <w:bodyDiv w:val="1"/>
      <w:marLeft w:val="0"/>
      <w:marRight w:val="0"/>
      <w:marTop w:val="0"/>
      <w:marBottom w:val="0"/>
      <w:divBdr>
        <w:top w:val="none" w:sz="0" w:space="0" w:color="auto"/>
        <w:left w:val="none" w:sz="0" w:space="0" w:color="auto"/>
        <w:bottom w:val="none" w:sz="0" w:space="0" w:color="auto"/>
        <w:right w:val="none" w:sz="0" w:space="0" w:color="auto"/>
      </w:divBdr>
    </w:div>
    <w:div w:id="592322425">
      <w:bodyDiv w:val="1"/>
      <w:marLeft w:val="0"/>
      <w:marRight w:val="0"/>
      <w:marTop w:val="0"/>
      <w:marBottom w:val="0"/>
      <w:divBdr>
        <w:top w:val="none" w:sz="0" w:space="0" w:color="auto"/>
        <w:left w:val="none" w:sz="0" w:space="0" w:color="auto"/>
        <w:bottom w:val="none" w:sz="0" w:space="0" w:color="auto"/>
        <w:right w:val="none" w:sz="0" w:space="0" w:color="auto"/>
      </w:divBdr>
    </w:div>
    <w:div w:id="592516188">
      <w:bodyDiv w:val="1"/>
      <w:marLeft w:val="0"/>
      <w:marRight w:val="0"/>
      <w:marTop w:val="0"/>
      <w:marBottom w:val="0"/>
      <w:divBdr>
        <w:top w:val="none" w:sz="0" w:space="0" w:color="auto"/>
        <w:left w:val="none" w:sz="0" w:space="0" w:color="auto"/>
        <w:bottom w:val="none" w:sz="0" w:space="0" w:color="auto"/>
        <w:right w:val="none" w:sz="0" w:space="0" w:color="auto"/>
      </w:divBdr>
    </w:div>
    <w:div w:id="592586885">
      <w:bodyDiv w:val="1"/>
      <w:marLeft w:val="0"/>
      <w:marRight w:val="0"/>
      <w:marTop w:val="0"/>
      <w:marBottom w:val="0"/>
      <w:divBdr>
        <w:top w:val="none" w:sz="0" w:space="0" w:color="auto"/>
        <w:left w:val="none" w:sz="0" w:space="0" w:color="auto"/>
        <w:bottom w:val="none" w:sz="0" w:space="0" w:color="auto"/>
        <w:right w:val="none" w:sz="0" w:space="0" w:color="auto"/>
      </w:divBdr>
    </w:div>
    <w:div w:id="592666931">
      <w:bodyDiv w:val="1"/>
      <w:marLeft w:val="0"/>
      <w:marRight w:val="0"/>
      <w:marTop w:val="0"/>
      <w:marBottom w:val="0"/>
      <w:divBdr>
        <w:top w:val="none" w:sz="0" w:space="0" w:color="auto"/>
        <w:left w:val="none" w:sz="0" w:space="0" w:color="auto"/>
        <w:bottom w:val="none" w:sz="0" w:space="0" w:color="auto"/>
        <w:right w:val="none" w:sz="0" w:space="0" w:color="auto"/>
      </w:divBdr>
    </w:div>
    <w:div w:id="592738164">
      <w:bodyDiv w:val="1"/>
      <w:marLeft w:val="0"/>
      <w:marRight w:val="0"/>
      <w:marTop w:val="0"/>
      <w:marBottom w:val="0"/>
      <w:divBdr>
        <w:top w:val="none" w:sz="0" w:space="0" w:color="auto"/>
        <w:left w:val="none" w:sz="0" w:space="0" w:color="auto"/>
        <w:bottom w:val="none" w:sz="0" w:space="0" w:color="auto"/>
        <w:right w:val="none" w:sz="0" w:space="0" w:color="auto"/>
      </w:divBdr>
    </w:div>
    <w:div w:id="592977363">
      <w:bodyDiv w:val="1"/>
      <w:marLeft w:val="0"/>
      <w:marRight w:val="0"/>
      <w:marTop w:val="0"/>
      <w:marBottom w:val="0"/>
      <w:divBdr>
        <w:top w:val="none" w:sz="0" w:space="0" w:color="auto"/>
        <w:left w:val="none" w:sz="0" w:space="0" w:color="auto"/>
        <w:bottom w:val="none" w:sz="0" w:space="0" w:color="auto"/>
        <w:right w:val="none" w:sz="0" w:space="0" w:color="auto"/>
      </w:divBdr>
    </w:div>
    <w:div w:id="593321047">
      <w:bodyDiv w:val="1"/>
      <w:marLeft w:val="0"/>
      <w:marRight w:val="0"/>
      <w:marTop w:val="0"/>
      <w:marBottom w:val="0"/>
      <w:divBdr>
        <w:top w:val="none" w:sz="0" w:space="0" w:color="auto"/>
        <w:left w:val="none" w:sz="0" w:space="0" w:color="auto"/>
        <w:bottom w:val="none" w:sz="0" w:space="0" w:color="auto"/>
        <w:right w:val="none" w:sz="0" w:space="0" w:color="auto"/>
      </w:divBdr>
    </w:div>
    <w:div w:id="593436131">
      <w:bodyDiv w:val="1"/>
      <w:marLeft w:val="0"/>
      <w:marRight w:val="0"/>
      <w:marTop w:val="0"/>
      <w:marBottom w:val="0"/>
      <w:divBdr>
        <w:top w:val="none" w:sz="0" w:space="0" w:color="auto"/>
        <w:left w:val="none" w:sz="0" w:space="0" w:color="auto"/>
        <w:bottom w:val="none" w:sz="0" w:space="0" w:color="auto"/>
        <w:right w:val="none" w:sz="0" w:space="0" w:color="auto"/>
      </w:divBdr>
    </w:div>
    <w:div w:id="593561357">
      <w:bodyDiv w:val="1"/>
      <w:marLeft w:val="0"/>
      <w:marRight w:val="0"/>
      <w:marTop w:val="0"/>
      <w:marBottom w:val="0"/>
      <w:divBdr>
        <w:top w:val="none" w:sz="0" w:space="0" w:color="auto"/>
        <w:left w:val="none" w:sz="0" w:space="0" w:color="auto"/>
        <w:bottom w:val="none" w:sz="0" w:space="0" w:color="auto"/>
        <w:right w:val="none" w:sz="0" w:space="0" w:color="auto"/>
      </w:divBdr>
    </w:div>
    <w:div w:id="593788498">
      <w:bodyDiv w:val="1"/>
      <w:marLeft w:val="0"/>
      <w:marRight w:val="0"/>
      <w:marTop w:val="0"/>
      <w:marBottom w:val="0"/>
      <w:divBdr>
        <w:top w:val="none" w:sz="0" w:space="0" w:color="auto"/>
        <w:left w:val="none" w:sz="0" w:space="0" w:color="auto"/>
        <w:bottom w:val="none" w:sz="0" w:space="0" w:color="auto"/>
        <w:right w:val="none" w:sz="0" w:space="0" w:color="auto"/>
      </w:divBdr>
    </w:div>
    <w:div w:id="593822494">
      <w:bodyDiv w:val="1"/>
      <w:marLeft w:val="0"/>
      <w:marRight w:val="0"/>
      <w:marTop w:val="0"/>
      <w:marBottom w:val="0"/>
      <w:divBdr>
        <w:top w:val="none" w:sz="0" w:space="0" w:color="auto"/>
        <w:left w:val="none" w:sz="0" w:space="0" w:color="auto"/>
        <w:bottom w:val="none" w:sz="0" w:space="0" w:color="auto"/>
        <w:right w:val="none" w:sz="0" w:space="0" w:color="auto"/>
      </w:divBdr>
    </w:div>
    <w:div w:id="594095844">
      <w:bodyDiv w:val="1"/>
      <w:marLeft w:val="0"/>
      <w:marRight w:val="0"/>
      <w:marTop w:val="0"/>
      <w:marBottom w:val="0"/>
      <w:divBdr>
        <w:top w:val="none" w:sz="0" w:space="0" w:color="auto"/>
        <w:left w:val="none" w:sz="0" w:space="0" w:color="auto"/>
        <w:bottom w:val="none" w:sz="0" w:space="0" w:color="auto"/>
        <w:right w:val="none" w:sz="0" w:space="0" w:color="auto"/>
      </w:divBdr>
    </w:div>
    <w:div w:id="594173095">
      <w:bodyDiv w:val="1"/>
      <w:marLeft w:val="0"/>
      <w:marRight w:val="0"/>
      <w:marTop w:val="0"/>
      <w:marBottom w:val="0"/>
      <w:divBdr>
        <w:top w:val="none" w:sz="0" w:space="0" w:color="auto"/>
        <w:left w:val="none" w:sz="0" w:space="0" w:color="auto"/>
        <w:bottom w:val="none" w:sz="0" w:space="0" w:color="auto"/>
        <w:right w:val="none" w:sz="0" w:space="0" w:color="auto"/>
      </w:divBdr>
    </w:div>
    <w:div w:id="594482124">
      <w:bodyDiv w:val="1"/>
      <w:marLeft w:val="0"/>
      <w:marRight w:val="0"/>
      <w:marTop w:val="0"/>
      <w:marBottom w:val="0"/>
      <w:divBdr>
        <w:top w:val="none" w:sz="0" w:space="0" w:color="auto"/>
        <w:left w:val="none" w:sz="0" w:space="0" w:color="auto"/>
        <w:bottom w:val="none" w:sz="0" w:space="0" w:color="auto"/>
        <w:right w:val="none" w:sz="0" w:space="0" w:color="auto"/>
      </w:divBdr>
    </w:div>
    <w:div w:id="594482926">
      <w:bodyDiv w:val="1"/>
      <w:marLeft w:val="0"/>
      <w:marRight w:val="0"/>
      <w:marTop w:val="0"/>
      <w:marBottom w:val="0"/>
      <w:divBdr>
        <w:top w:val="none" w:sz="0" w:space="0" w:color="auto"/>
        <w:left w:val="none" w:sz="0" w:space="0" w:color="auto"/>
        <w:bottom w:val="none" w:sz="0" w:space="0" w:color="auto"/>
        <w:right w:val="none" w:sz="0" w:space="0" w:color="auto"/>
      </w:divBdr>
    </w:div>
    <w:div w:id="594828118">
      <w:bodyDiv w:val="1"/>
      <w:marLeft w:val="0"/>
      <w:marRight w:val="0"/>
      <w:marTop w:val="0"/>
      <w:marBottom w:val="0"/>
      <w:divBdr>
        <w:top w:val="none" w:sz="0" w:space="0" w:color="auto"/>
        <w:left w:val="none" w:sz="0" w:space="0" w:color="auto"/>
        <w:bottom w:val="none" w:sz="0" w:space="0" w:color="auto"/>
        <w:right w:val="none" w:sz="0" w:space="0" w:color="auto"/>
      </w:divBdr>
    </w:div>
    <w:div w:id="594899050">
      <w:bodyDiv w:val="1"/>
      <w:marLeft w:val="0"/>
      <w:marRight w:val="0"/>
      <w:marTop w:val="0"/>
      <w:marBottom w:val="0"/>
      <w:divBdr>
        <w:top w:val="none" w:sz="0" w:space="0" w:color="auto"/>
        <w:left w:val="none" w:sz="0" w:space="0" w:color="auto"/>
        <w:bottom w:val="none" w:sz="0" w:space="0" w:color="auto"/>
        <w:right w:val="none" w:sz="0" w:space="0" w:color="auto"/>
      </w:divBdr>
    </w:div>
    <w:div w:id="594939662">
      <w:bodyDiv w:val="1"/>
      <w:marLeft w:val="0"/>
      <w:marRight w:val="0"/>
      <w:marTop w:val="0"/>
      <w:marBottom w:val="0"/>
      <w:divBdr>
        <w:top w:val="none" w:sz="0" w:space="0" w:color="auto"/>
        <w:left w:val="none" w:sz="0" w:space="0" w:color="auto"/>
        <w:bottom w:val="none" w:sz="0" w:space="0" w:color="auto"/>
        <w:right w:val="none" w:sz="0" w:space="0" w:color="auto"/>
      </w:divBdr>
    </w:div>
    <w:div w:id="594944353">
      <w:bodyDiv w:val="1"/>
      <w:marLeft w:val="0"/>
      <w:marRight w:val="0"/>
      <w:marTop w:val="0"/>
      <w:marBottom w:val="0"/>
      <w:divBdr>
        <w:top w:val="none" w:sz="0" w:space="0" w:color="auto"/>
        <w:left w:val="none" w:sz="0" w:space="0" w:color="auto"/>
        <w:bottom w:val="none" w:sz="0" w:space="0" w:color="auto"/>
        <w:right w:val="none" w:sz="0" w:space="0" w:color="auto"/>
      </w:divBdr>
    </w:div>
    <w:div w:id="594946188">
      <w:bodyDiv w:val="1"/>
      <w:marLeft w:val="0"/>
      <w:marRight w:val="0"/>
      <w:marTop w:val="0"/>
      <w:marBottom w:val="0"/>
      <w:divBdr>
        <w:top w:val="none" w:sz="0" w:space="0" w:color="auto"/>
        <w:left w:val="none" w:sz="0" w:space="0" w:color="auto"/>
        <w:bottom w:val="none" w:sz="0" w:space="0" w:color="auto"/>
        <w:right w:val="none" w:sz="0" w:space="0" w:color="auto"/>
      </w:divBdr>
    </w:div>
    <w:div w:id="595017734">
      <w:bodyDiv w:val="1"/>
      <w:marLeft w:val="0"/>
      <w:marRight w:val="0"/>
      <w:marTop w:val="0"/>
      <w:marBottom w:val="0"/>
      <w:divBdr>
        <w:top w:val="none" w:sz="0" w:space="0" w:color="auto"/>
        <w:left w:val="none" w:sz="0" w:space="0" w:color="auto"/>
        <w:bottom w:val="none" w:sz="0" w:space="0" w:color="auto"/>
        <w:right w:val="none" w:sz="0" w:space="0" w:color="auto"/>
      </w:divBdr>
    </w:div>
    <w:div w:id="595020723">
      <w:bodyDiv w:val="1"/>
      <w:marLeft w:val="0"/>
      <w:marRight w:val="0"/>
      <w:marTop w:val="0"/>
      <w:marBottom w:val="0"/>
      <w:divBdr>
        <w:top w:val="none" w:sz="0" w:space="0" w:color="auto"/>
        <w:left w:val="none" w:sz="0" w:space="0" w:color="auto"/>
        <w:bottom w:val="none" w:sz="0" w:space="0" w:color="auto"/>
        <w:right w:val="none" w:sz="0" w:space="0" w:color="auto"/>
      </w:divBdr>
    </w:div>
    <w:div w:id="595021309">
      <w:bodyDiv w:val="1"/>
      <w:marLeft w:val="0"/>
      <w:marRight w:val="0"/>
      <w:marTop w:val="0"/>
      <w:marBottom w:val="0"/>
      <w:divBdr>
        <w:top w:val="none" w:sz="0" w:space="0" w:color="auto"/>
        <w:left w:val="none" w:sz="0" w:space="0" w:color="auto"/>
        <w:bottom w:val="none" w:sz="0" w:space="0" w:color="auto"/>
        <w:right w:val="none" w:sz="0" w:space="0" w:color="auto"/>
      </w:divBdr>
    </w:div>
    <w:div w:id="595133352">
      <w:bodyDiv w:val="1"/>
      <w:marLeft w:val="0"/>
      <w:marRight w:val="0"/>
      <w:marTop w:val="0"/>
      <w:marBottom w:val="0"/>
      <w:divBdr>
        <w:top w:val="none" w:sz="0" w:space="0" w:color="auto"/>
        <w:left w:val="none" w:sz="0" w:space="0" w:color="auto"/>
        <w:bottom w:val="none" w:sz="0" w:space="0" w:color="auto"/>
        <w:right w:val="none" w:sz="0" w:space="0" w:color="auto"/>
      </w:divBdr>
    </w:div>
    <w:div w:id="595140397">
      <w:bodyDiv w:val="1"/>
      <w:marLeft w:val="0"/>
      <w:marRight w:val="0"/>
      <w:marTop w:val="0"/>
      <w:marBottom w:val="0"/>
      <w:divBdr>
        <w:top w:val="none" w:sz="0" w:space="0" w:color="auto"/>
        <w:left w:val="none" w:sz="0" w:space="0" w:color="auto"/>
        <w:bottom w:val="none" w:sz="0" w:space="0" w:color="auto"/>
        <w:right w:val="none" w:sz="0" w:space="0" w:color="auto"/>
      </w:divBdr>
    </w:div>
    <w:div w:id="595290662">
      <w:bodyDiv w:val="1"/>
      <w:marLeft w:val="0"/>
      <w:marRight w:val="0"/>
      <w:marTop w:val="0"/>
      <w:marBottom w:val="0"/>
      <w:divBdr>
        <w:top w:val="none" w:sz="0" w:space="0" w:color="auto"/>
        <w:left w:val="none" w:sz="0" w:space="0" w:color="auto"/>
        <w:bottom w:val="none" w:sz="0" w:space="0" w:color="auto"/>
        <w:right w:val="none" w:sz="0" w:space="0" w:color="auto"/>
      </w:divBdr>
    </w:div>
    <w:div w:id="595358196">
      <w:bodyDiv w:val="1"/>
      <w:marLeft w:val="0"/>
      <w:marRight w:val="0"/>
      <w:marTop w:val="0"/>
      <w:marBottom w:val="0"/>
      <w:divBdr>
        <w:top w:val="none" w:sz="0" w:space="0" w:color="auto"/>
        <w:left w:val="none" w:sz="0" w:space="0" w:color="auto"/>
        <w:bottom w:val="none" w:sz="0" w:space="0" w:color="auto"/>
        <w:right w:val="none" w:sz="0" w:space="0" w:color="auto"/>
      </w:divBdr>
    </w:div>
    <w:div w:id="595477874">
      <w:bodyDiv w:val="1"/>
      <w:marLeft w:val="0"/>
      <w:marRight w:val="0"/>
      <w:marTop w:val="0"/>
      <w:marBottom w:val="0"/>
      <w:divBdr>
        <w:top w:val="none" w:sz="0" w:space="0" w:color="auto"/>
        <w:left w:val="none" w:sz="0" w:space="0" w:color="auto"/>
        <w:bottom w:val="none" w:sz="0" w:space="0" w:color="auto"/>
        <w:right w:val="none" w:sz="0" w:space="0" w:color="auto"/>
      </w:divBdr>
    </w:div>
    <w:div w:id="595749951">
      <w:bodyDiv w:val="1"/>
      <w:marLeft w:val="0"/>
      <w:marRight w:val="0"/>
      <w:marTop w:val="0"/>
      <w:marBottom w:val="0"/>
      <w:divBdr>
        <w:top w:val="none" w:sz="0" w:space="0" w:color="auto"/>
        <w:left w:val="none" w:sz="0" w:space="0" w:color="auto"/>
        <w:bottom w:val="none" w:sz="0" w:space="0" w:color="auto"/>
        <w:right w:val="none" w:sz="0" w:space="0" w:color="auto"/>
      </w:divBdr>
    </w:div>
    <w:div w:id="595750627">
      <w:bodyDiv w:val="1"/>
      <w:marLeft w:val="0"/>
      <w:marRight w:val="0"/>
      <w:marTop w:val="0"/>
      <w:marBottom w:val="0"/>
      <w:divBdr>
        <w:top w:val="none" w:sz="0" w:space="0" w:color="auto"/>
        <w:left w:val="none" w:sz="0" w:space="0" w:color="auto"/>
        <w:bottom w:val="none" w:sz="0" w:space="0" w:color="auto"/>
        <w:right w:val="none" w:sz="0" w:space="0" w:color="auto"/>
      </w:divBdr>
    </w:div>
    <w:div w:id="595753045">
      <w:bodyDiv w:val="1"/>
      <w:marLeft w:val="0"/>
      <w:marRight w:val="0"/>
      <w:marTop w:val="0"/>
      <w:marBottom w:val="0"/>
      <w:divBdr>
        <w:top w:val="none" w:sz="0" w:space="0" w:color="auto"/>
        <w:left w:val="none" w:sz="0" w:space="0" w:color="auto"/>
        <w:bottom w:val="none" w:sz="0" w:space="0" w:color="auto"/>
        <w:right w:val="none" w:sz="0" w:space="0" w:color="auto"/>
      </w:divBdr>
    </w:div>
    <w:div w:id="595870765">
      <w:bodyDiv w:val="1"/>
      <w:marLeft w:val="0"/>
      <w:marRight w:val="0"/>
      <w:marTop w:val="0"/>
      <w:marBottom w:val="0"/>
      <w:divBdr>
        <w:top w:val="none" w:sz="0" w:space="0" w:color="auto"/>
        <w:left w:val="none" w:sz="0" w:space="0" w:color="auto"/>
        <w:bottom w:val="none" w:sz="0" w:space="0" w:color="auto"/>
        <w:right w:val="none" w:sz="0" w:space="0" w:color="auto"/>
      </w:divBdr>
    </w:div>
    <w:div w:id="596014805">
      <w:bodyDiv w:val="1"/>
      <w:marLeft w:val="0"/>
      <w:marRight w:val="0"/>
      <w:marTop w:val="0"/>
      <w:marBottom w:val="0"/>
      <w:divBdr>
        <w:top w:val="none" w:sz="0" w:space="0" w:color="auto"/>
        <w:left w:val="none" w:sz="0" w:space="0" w:color="auto"/>
        <w:bottom w:val="none" w:sz="0" w:space="0" w:color="auto"/>
        <w:right w:val="none" w:sz="0" w:space="0" w:color="auto"/>
      </w:divBdr>
    </w:div>
    <w:div w:id="596253382">
      <w:bodyDiv w:val="1"/>
      <w:marLeft w:val="0"/>
      <w:marRight w:val="0"/>
      <w:marTop w:val="0"/>
      <w:marBottom w:val="0"/>
      <w:divBdr>
        <w:top w:val="none" w:sz="0" w:space="0" w:color="auto"/>
        <w:left w:val="none" w:sz="0" w:space="0" w:color="auto"/>
        <w:bottom w:val="none" w:sz="0" w:space="0" w:color="auto"/>
        <w:right w:val="none" w:sz="0" w:space="0" w:color="auto"/>
      </w:divBdr>
    </w:div>
    <w:div w:id="596594926">
      <w:bodyDiv w:val="1"/>
      <w:marLeft w:val="0"/>
      <w:marRight w:val="0"/>
      <w:marTop w:val="0"/>
      <w:marBottom w:val="0"/>
      <w:divBdr>
        <w:top w:val="none" w:sz="0" w:space="0" w:color="auto"/>
        <w:left w:val="none" w:sz="0" w:space="0" w:color="auto"/>
        <w:bottom w:val="none" w:sz="0" w:space="0" w:color="auto"/>
        <w:right w:val="none" w:sz="0" w:space="0" w:color="auto"/>
      </w:divBdr>
    </w:div>
    <w:div w:id="596597835">
      <w:bodyDiv w:val="1"/>
      <w:marLeft w:val="0"/>
      <w:marRight w:val="0"/>
      <w:marTop w:val="0"/>
      <w:marBottom w:val="0"/>
      <w:divBdr>
        <w:top w:val="none" w:sz="0" w:space="0" w:color="auto"/>
        <w:left w:val="none" w:sz="0" w:space="0" w:color="auto"/>
        <w:bottom w:val="none" w:sz="0" w:space="0" w:color="auto"/>
        <w:right w:val="none" w:sz="0" w:space="0" w:color="auto"/>
      </w:divBdr>
    </w:div>
    <w:div w:id="596718561">
      <w:bodyDiv w:val="1"/>
      <w:marLeft w:val="0"/>
      <w:marRight w:val="0"/>
      <w:marTop w:val="0"/>
      <w:marBottom w:val="0"/>
      <w:divBdr>
        <w:top w:val="none" w:sz="0" w:space="0" w:color="auto"/>
        <w:left w:val="none" w:sz="0" w:space="0" w:color="auto"/>
        <w:bottom w:val="none" w:sz="0" w:space="0" w:color="auto"/>
        <w:right w:val="none" w:sz="0" w:space="0" w:color="auto"/>
      </w:divBdr>
    </w:div>
    <w:div w:id="596868010">
      <w:bodyDiv w:val="1"/>
      <w:marLeft w:val="0"/>
      <w:marRight w:val="0"/>
      <w:marTop w:val="0"/>
      <w:marBottom w:val="0"/>
      <w:divBdr>
        <w:top w:val="none" w:sz="0" w:space="0" w:color="auto"/>
        <w:left w:val="none" w:sz="0" w:space="0" w:color="auto"/>
        <w:bottom w:val="none" w:sz="0" w:space="0" w:color="auto"/>
        <w:right w:val="none" w:sz="0" w:space="0" w:color="auto"/>
      </w:divBdr>
    </w:div>
    <w:div w:id="596907344">
      <w:bodyDiv w:val="1"/>
      <w:marLeft w:val="0"/>
      <w:marRight w:val="0"/>
      <w:marTop w:val="0"/>
      <w:marBottom w:val="0"/>
      <w:divBdr>
        <w:top w:val="none" w:sz="0" w:space="0" w:color="auto"/>
        <w:left w:val="none" w:sz="0" w:space="0" w:color="auto"/>
        <w:bottom w:val="none" w:sz="0" w:space="0" w:color="auto"/>
        <w:right w:val="none" w:sz="0" w:space="0" w:color="auto"/>
      </w:divBdr>
    </w:div>
    <w:div w:id="597100276">
      <w:bodyDiv w:val="1"/>
      <w:marLeft w:val="0"/>
      <w:marRight w:val="0"/>
      <w:marTop w:val="0"/>
      <w:marBottom w:val="0"/>
      <w:divBdr>
        <w:top w:val="none" w:sz="0" w:space="0" w:color="auto"/>
        <w:left w:val="none" w:sz="0" w:space="0" w:color="auto"/>
        <w:bottom w:val="none" w:sz="0" w:space="0" w:color="auto"/>
        <w:right w:val="none" w:sz="0" w:space="0" w:color="auto"/>
      </w:divBdr>
    </w:div>
    <w:div w:id="597182900">
      <w:bodyDiv w:val="1"/>
      <w:marLeft w:val="0"/>
      <w:marRight w:val="0"/>
      <w:marTop w:val="0"/>
      <w:marBottom w:val="0"/>
      <w:divBdr>
        <w:top w:val="none" w:sz="0" w:space="0" w:color="auto"/>
        <w:left w:val="none" w:sz="0" w:space="0" w:color="auto"/>
        <w:bottom w:val="none" w:sz="0" w:space="0" w:color="auto"/>
        <w:right w:val="none" w:sz="0" w:space="0" w:color="auto"/>
      </w:divBdr>
    </w:div>
    <w:div w:id="597370529">
      <w:bodyDiv w:val="1"/>
      <w:marLeft w:val="0"/>
      <w:marRight w:val="0"/>
      <w:marTop w:val="0"/>
      <w:marBottom w:val="0"/>
      <w:divBdr>
        <w:top w:val="none" w:sz="0" w:space="0" w:color="auto"/>
        <w:left w:val="none" w:sz="0" w:space="0" w:color="auto"/>
        <w:bottom w:val="none" w:sz="0" w:space="0" w:color="auto"/>
        <w:right w:val="none" w:sz="0" w:space="0" w:color="auto"/>
      </w:divBdr>
    </w:div>
    <w:div w:id="597563048">
      <w:bodyDiv w:val="1"/>
      <w:marLeft w:val="0"/>
      <w:marRight w:val="0"/>
      <w:marTop w:val="0"/>
      <w:marBottom w:val="0"/>
      <w:divBdr>
        <w:top w:val="none" w:sz="0" w:space="0" w:color="auto"/>
        <w:left w:val="none" w:sz="0" w:space="0" w:color="auto"/>
        <w:bottom w:val="none" w:sz="0" w:space="0" w:color="auto"/>
        <w:right w:val="none" w:sz="0" w:space="0" w:color="auto"/>
      </w:divBdr>
    </w:div>
    <w:div w:id="597569184">
      <w:bodyDiv w:val="1"/>
      <w:marLeft w:val="0"/>
      <w:marRight w:val="0"/>
      <w:marTop w:val="0"/>
      <w:marBottom w:val="0"/>
      <w:divBdr>
        <w:top w:val="none" w:sz="0" w:space="0" w:color="auto"/>
        <w:left w:val="none" w:sz="0" w:space="0" w:color="auto"/>
        <w:bottom w:val="none" w:sz="0" w:space="0" w:color="auto"/>
        <w:right w:val="none" w:sz="0" w:space="0" w:color="auto"/>
      </w:divBdr>
    </w:div>
    <w:div w:id="597638726">
      <w:bodyDiv w:val="1"/>
      <w:marLeft w:val="0"/>
      <w:marRight w:val="0"/>
      <w:marTop w:val="0"/>
      <w:marBottom w:val="0"/>
      <w:divBdr>
        <w:top w:val="none" w:sz="0" w:space="0" w:color="auto"/>
        <w:left w:val="none" w:sz="0" w:space="0" w:color="auto"/>
        <w:bottom w:val="none" w:sz="0" w:space="0" w:color="auto"/>
        <w:right w:val="none" w:sz="0" w:space="0" w:color="auto"/>
      </w:divBdr>
    </w:div>
    <w:div w:id="597913414">
      <w:bodyDiv w:val="1"/>
      <w:marLeft w:val="0"/>
      <w:marRight w:val="0"/>
      <w:marTop w:val="0"/>
      <w:marBottom w:val="0"/>
      <w:divBdr>
        <w:top w:val="none" w:sz="0" w:space="0" w:color="auto"/>
        <w:left w:val="none" w:sz="0" w:space="0" w:color="auto"/>
        <w:bottom w:val="none" w:sz="0" w:space="0" w:color="auto"/>
        <w:right w:val="none" w:sz="0" w:space="0" w:color="auto"/>
      </w:divBdr>
    </w:div>
    <w:div w:id="598441846">
      <w:bodyDiv w:val="1"/>
      <w:marLeft w:val="0"/>
      <w:marRight w:val="0"/>
      <w:marTop w:val="0"/>
      <w:marBottom w:val="0"/>
      <w:divBdr>
        <w:top w:val="none" w:sz="0" w:space="0" w:color="auto"/>
        <w:left w:val="none" w:sz="0" w:space="0" w:color="auto"/>
        <w:bottom w:val="none" w:sz="0" w:space="0" w:color="auto"/>
        <w:right w:val="none" w:sz="0" w:space="0" w:color="auto"/>
      </w:divBdr>
    </w:div>
    <w:div w:id="598638305">
      <w:bodyDiv w:val="1"/>
      <w:marLeft w:val="0"/>
      <w:marRight w:val="0"/>
      <w:marTop w:val="0"/>
      <w:marBottom w:val="0"/>
      <w:divBdr>
        <w:top w:val="none" w:sz="0" w:space="0" w:color="auto"/>
        <w:left w:val="none" w:sz="0" w:space="0" w:color="auto"/>
        <w:bottom w:val="none" w:sz="0" w:space="0" w:color="auto"/>
        <w:right w:val="none" w:sz="0" w:space="0" w:color="auto"/>
      </w:divBdr>
    </w:div>
    <w:div w:id="598753002">
      <w:bodyDiv w:val="1"/>
      <w:marLeft w:val="0"/>
      <w:marRight w:val="0"/>
      <w:marTop w:val="0"/>
      <w:marBottom w:val="0"/>
      <w:divBdr>
        <w:top w:val="none" w:sz="0" w:space="0" w:color="auto"/>
        <w:left w:val="none" w:sz="0" w:space="0" w:color="auto"/>
        <w:bottom w:val="none" w:sz="0" w:space="0" w:color="auto"/>
        <w:right w:val="none" w:sz="0" w:space="0" w:color="auto"/>
      </w:divBdr>
    </w:div>
    <w:div w:id="598831192">
      <w:bodyDiv w:val="1"/>
      <w:marLeft w:val="0"/>
      <w:marRight w:val="0"/>
      <w:marTop w:val="0"/>
      <w:marBottom w:val="0"/>
      <w:divBdr>
        <w:top w:val="none" w:sz="0" w:space="0" w:color="auto"/>
        <w:left w:val="none" w:sz="0" w:space="0" w:color="auto"/>
        <w:bottom w:val="none" w:sz="0" w:space="0" w:color="auto"/>
        <w:right w:val="none" w:sz="0" w:space="0" w:color="auto"/>
      </w:divBdr>
    </w:div>
    <w:div w:id="598954777">
      <w:bodyDiv w:val="1"/>
      <w:marLeft w:val="0"/>
      <w:marRight w:val="0"/>
      <w:marTop w:val="0"/>
      <w:marBottom w:val="0"/>
      <w:divBdr>
        <w:top w:val="none" w:sz="0" w:space="0" w:color="auto"/>
        <w:left w:val="none" w:sz="0" w:space="0" w:color="auto"/>
        <w:bottom w:val="none" w:sz="0" w:space="0" w:color="auto"/>
        <w:right w:val="none" w:sz="0" w:space="0" w:color="auto"/>
      </w:divBdr>
    </w:div>
    <w:div w:id="599065427">
      <w:bodyDiv w:val="1"/>
      <w:marLeft w:val="0"/>
      <w:marRight w:val="0"/>
      <w:marTop w:val="0"/>
      <w:marBottom w:val="0"/>
      <w:divBdr>
        <w:top w:val="none" w:sz="0" w:space="0" w:color="auto"/>
        <w:left w:val="none" w:sz="0" w:space="0" w:color="auto"/>
        <w:bottom w:val="none" w:sz="0" w:space="0" w:color="auto"/>
        <w:right w:val="none" w:sz="0" w:space="0" w:color="auto"/>
      </w:divBdr>
    </w:div>
    <w:div w:id="599145275">
      <w:bodyDiv w:val="1"/>
      <w:marLeft w:val="0"/>
      <w:marRight w:val="0"/>
      <w:marTop w:val="0"/>
      <w:marBottom w:val="0"/>
      <w:divBdr>
        <w:top w:val="none" w:sz="0" w:space="0" w:color="auto"/>
        <w:left w:val="none" w:sz="0" w:space="0" w:color="auto"/>
        <w:bottom w:val="none" w:sz="0" w:space="0" w:color="auto"/>
        <w:right w:val="none" w:sz="0" w:space="0" w:color="auto"/>
      </w:divBdr>
    </w:div>
    <w:div w:id="599217365">
      <w:bodyDiv w:val="1"/>
      <w:marLeft w:val="0"/>
      <w:marRight w:val="0"/>
      <w:marTop w:val="0"/>
      <w:marBottom w:val="0"/>
      <w:divBdr>
        <w:top w:val="none" w:sz="0" w:space="0" w:color="auto"/>
        <w:left w:val="none" w:sz="0" w:space="0" w:color="auto"/>
        <w:bottom w:val="none" w:sz="0" w:space="0" w:color="auto"/>
        <w:right w:val="none" w:sz="0" w:space="0" w:color="auto"/>
      </w:divBdr>
    </w:div>
    <w:div w:id="599262887">
      <w:bodyDiv w:val="1"/>
      <w:marLeft w:val="0"/>
      <w:marRight w:val="0"/>
      <w:marTop w:val="0"/>
      <w:marBottom w:val="0"/>
      <w:divBdr>
        <w:top w:val="none" w:sz="0" w:space="0" w:color="auto"/>
        <w:left w:val="none" w:sz="0" w:space="0" w:color="auto"/>
        <w:bottom w:val="none" w:sz="0" w:space="0" w:color="auto"/>
        <w:right w:val="none" w:sz="0" w:space="0" w:color="auto"/>
      </w:divBdr>
    </w:div>
    <w:div w:id="599290521">
      <w:bodyDiv w:val="1"/>
      <w:marLeft w:val="0"/>
      <w:marRight w:val="0"/>
      <w:marTop w:val="0"/>
      <w:marBottom w:val="0"/>
      <w:divBdr>
        <w:top w:val="none" w:sz="0" w:space="0" w:color="auto"/>
        <w:left w:val="none" w:sz="0" w:space="0" w:color="auto"/>
        <w:bottom w:val="none" w:sz="0" w:space="0" w:color="auto"/>
        <w:right w:val="none" w:sz="0" w:space="0" w:color="auto"/>
      </w:divBdr>
    </w:div>
    <w:div w:id="599609104">
      <w:bodyDiv w:val="1"/>
      <w:marLeft w:val="0"/>
      <w:marRight w:val="0"/>
      <w:marTop w:val="0"/>
      <w:marBottom w:val="0"/>
      <w:divBdr>
        <w:top w:val="none" w:sz="0" w:space="0" w:color="auto"/>
        <w:left w:val="none" w:sz="0" w:space="0" w:color="auto"/>
        <w:bottom w:val="none" w:sz="0" w:space="0" w:color="auto"/>
        <w:right w:val="none" w:sz="0" w:space="0" w:color="auto"/>
      </w:divBdr>
    </w:div>
    <w:div w:id="599679626">
      <w:bodyDiv w:val="1"/>
      <w:marLeft w:val="0"/>
      <w:marRight w:val="0"/>
      <w:marTop w:val="0"/>
      <w:marBottom w:val="0"/>
      <w:divBdr>
        <w:top w:val="none" w:sz="0" w:space="0" w:color="auto"/>
        <w:left w:val="none" w:sz="0" w:space="0" w:color="auto"/>
        <w:bottom w:val="none" w:sz="0" w:space="0" w:color="auto"/>
        <w:right w:val="none" w:sz="0" w:space="0" w:color="auto"/>
      </w:divBdr>
    </w:div>
    <w:div w:id="599723356">
      <w:bodyDiv w:val="1"/>
      <w:marLeft w:val="0"/>
      <w:marRight w:val="0"/>
      <w:marTop w:val="0"/>
      <w:marBottom w:val="0"/>
      <w:divBdr>
        <w:top w:val="none" w:sz="0" w:space="0" w:color="auto"/>
        <w:left w:val="none" w:sz="0" w:space="0" w:color="auto"/>
        <w:bottom w:val="none" w:sz="0" w:space="0" w:color="auto"/>
        <w:right w:val="none" w:sz="0" w:space="0" w:color="auto"/>
      </w:divBdr>
    </w:div>
    <w:div w:id="599802430">
      <w:bodyDiv w:val="1"/>
      <w:marLeft w:val="0"/>
      <w:marRight w:val="0"/>
      <w:marTop w:val="0"/>
      <w:marBottom w:val="0"/>
      <w:divBdr>
        <w:top w:val="none" w:sz="0" w:space="0" w:color="auto"/>
        <w:left w:val="none" w:sz="0" w:space="0" w:color="auto"/>
        <w:bottom w:val="none" w:sz="0" w:space="0" w:color="auto"/>
        <w:right w:val="none" w:sz="0" w:space="0" w:color="auto"/>
      </w:divBdr>
    </w:div>
    <w:div w:id="599995746">
      <w:bodyDiv w:val="1"/>
      <w:marLeft w:val="0"/>
      <w:marRight w:val="0"/>
      <w:marTop w:val="0"/>
      <w:marBottom w:val="0"/>
      <w:divBdr>
        <w:top w:val="none" w:sz="0" w:space="0" w:color="auto"/>
        <w:left w:val="none" w:sz="0" w:space="0" w:color="auto"/>
        <w:bottom w:val="none" w:sz="0" w:space="0" w:color="auto"/>
        <w:right w:val="none" w:sz="0" w:space="0" w:color="auto"/>
      </w:divBdr>
    </w:div>
    <w:div w:id="600259991">
      <w:bodyDiv w:val="1"/>
      <w:marLeft w:val="0"/>
      <w:marRight w:val="0"/>
      <w:marTop w:val="0"/>
      <w:marBottom w:val="0"/>
      <w:divBdr>
        <w:top w:val="none" w:sz="0" w:space="0" w:color="auto"/>
        <w:left w:val="none" w:sz="0" w:space="0" w:color="auto"/>
        <w:bottom w:val="none" w:sz="0" w:space="0" w:color="auto"/>
        <w:right w:val="none" w:sz="0" w:space="0" w:color="auto"/>
      </w:divBdr>
    </w:div>
    <w:div w:id="600652152">
      <w:bodyDiv w:val="1"/>
      <w:marLeft w:val="0"/>
      <w:marRight w:val="0"/>
      <w:marTop w:val="0"/>
      <w:marBottom w:val="0"/>
      <w:divBdr>
        <w:top w:val="none" w:sz="0" w:space="0" w:color="auto"/>
        <w:left w:val="none" w:sz="0" w:space="0" w:color="auto"/>
        <w:bottom w:val="none" w:sz="0" w:space="0" w:color="auto"/>
        <w:right w:val="none" w:sz="0" w:space="0" w:color="auto"/>
      </w:divBdr>
    </w:div>
    <w:div w:id="600797611">
      <w:bodyDiv w:val="1"/>
      <w:marLeft w:val="0"/>
      <w:marRight w:val="0"/>
      <w:marTop w:val="0"/>
      <w:marBottom w:val="0"/>
      <w:divBdr>
        <w:top w:val="none" w:sz="0" w:space="0" w:color="auto"/>
        <w:left w:val="none" w:sz="0" w:space="0" w:color="auto"/>
        <w:bottom w:val="none" w:sz="0" w:space="0" w:color="auto"/>
        <w:right w:val="none" w:sz="0" w:space="0" w:color="auto"/>
      </w:divBdr>
    </w:div>
    <w:div w:id="600844013">
      <w:bodyDiv w:val="1"/>
      <w:marLeft w:val="0"/>
      <w:marRight w:val="0"/>
      <w:marTop w:val="0"/>
      <w:marBottom w:val="0"/>
      <w:divBdr>
        <w:top w:val="none" w:sz="0" w:space="0" w:color="auto"/>
        <w:left w:val="none" w:sz="0" w:space="0" w:color="auto"/>
        <w:bottom w:val="none" w:sz="0" w:space="0" w:color="auto"/>
        <w:right w:val="none" w:sz="0" w:space="0" w:color="auto"/>
      </w:divBdr>
    </w:div>
    <w:div w:id="600915554">
      <w:bodyDiv w:val="1"/>
      <w:marLeft w:val="0"/>
      <w:marRight w:val="0"/>
      <w:marTop w:val="0"/>
      <w:marBottom w:val="0"/>
      <w:divBdr>
        <w:top w:val="none" w:sz="0" w:space="0" w:color="auto"/>
        <w:left w:val="none" w:sz="0" w:space="0" w:color="auto"/>
        <w:bottom w:val="none" w:sz="0" w:space="0" w:color="auto"/>
        <w:right w:val="none" w:sz="0" w:space="0" w:color="auto"/>
      </w:divBdr>
    </w:div>
    <w:div w:id="600989524">
      <w:bodyDiv w:val="1"/>
      <w:marLeft w:val="0"/>
      <w:marRight w:val="0"/>
      <w:marTop w:val="0"/>
      <w:marBottom w:val="0"/>
      <w:divBdr>
        <w:top w:val="none" w:sz="0" w:space="0" w:color="auto"/>
        <w:left w:val="none" w:sz="0" w:space="0" w:color="auto"/>
        <w:bottom w:val="none" w:sz="0" w:space="0" w:color="auto"/>
        <w:right w:val="none" w:sz="0" w:space="0" w:color="auto"/>
      </w:divBdr>
    </w:div>
    <w:div w:id="601032711">
      <w:bodyDiv w:val="1"/>
      <w:marLeft w:val="0"/>
      <w:marRight w:val="0"/>
      <w:marTop w:val="0"/>
      <w:marBottom w:val="0"/>
      <w:divBdr>
        <w:top w:val="none" w:sz="0" w:space="0" w:color="auto"/>
        <w:left w:val="none" w:sz="0" w:space="0" w:color="auto"/>
        <w:bottom w:val="none" w:sz="0" w:space="0" w:color="auto"/>
        <w:right w:val="none" w:sz="0" w:space="0" w:color="auto"/>
      </w:divBdr>
    </w:div>
    <w:div w:id="601038888">
      <w:bodyDiv w:val="1"/>
      <w:marLeft w:val="0"/>
      <w:marRight w:val="0"/>
      <w:marTop w:val="0"/>
      <w:marBottom w:val="0"/>
      <w:divBdr>
        <w:top w:val="none" w:sz="0" w:space="0" w:color="auto"/>
        <w:left w:val="none" w:sz="0" w:space="0" w:color="auto"/>
        <w:bottom w:val="none" w:sz="0" w:space="0" w:color="auto"/>
        <w:right w:val="none" w:sz="0" w:space="0" w:color="auto"/>
      </w:divBdr>
    </w:div>
    <w:div w:id="601111471">
      <w:bodyDiv w:val="1"/>
      <w:marLeft w:val="0"/>
      <w:marRight w:val="0"/>
      <w:marTop w:val="0"/>
      <w:marBottom w:val="0"/>
      <w:divBdr>
        <w:top w:val="none" w:sz="0" w:space="0" w:color="auto"/>
        <w:left w:val="none" w:sz="0" w:space="0" w:color="auto"/>
        <w:bottom w:val="none" w:sz="0" w:space="0" w:color="auto"/>
        <w:right w:val="none" w:sz="0" w:space="0" w:color="auto"/>
      </w:divBdr>
    </w:div>
    <w:div w:id="601180751">
      <w:bodyDiv w:val="1"/>
      <w:marLeft w:val="0"/>
      <w:marRight w:val="0"/>
      <w:marTop w:val="0"/>
      <w:marBottom w:val="0"/>
      <w:divBdr>
        <w:top w:val="none" w:sz="0" w:space="0" w:color="auto"/>
        <w:left w:val="none" w:sz="0" w:space="0" w:color="auto"/>
        <w:bottom w:val="none" w:sz="0" w:space="0" w:color="auto"/>
        <w:right w:val="none" w:sz="0" w:space="0" w:color="auto"/>
      </w:divBdr>
    </w:div>
    <w:div w:id="601181202">
      <w:bodyDiv w:val="1"/>
      <w:marLeft w:val="0"/>
      <w:marRight w:val="0"/>
      <w:marTop w:val="0"/>
      <w:marBottom w:val="0"/>
      <w:divBdr>
        <w:top w:val="none" w:sz="0" w:space="0" w:color="auto"/>
        <w:left w:val="none" w:sz="0" w:space="0" w:color="auto"/>
        <w:bottom w:val="none" w:sz="0" w:space="0" w:color="auto"/>
        <w:right w:val="none" w:sz="0" w:space="0" w:color="auto"/>
      </w:divBdr>
    </w:div>
    <w:div w:id="601381733">
      <w:bodyDiv w:val="1"/>
      <w:marLeft w:val="0"/>
      <w:marRight w:val="0"/>
      <w:marTop w:val="0"/>
      <w:marBottom w:val="0"/>
      <w:divBdr>
        <w:top w:val="none" w:sz="0" w:space="0" w:color="auto"/>
        <w:left w:val="none" w:sz="0" w:space="0" w:color="auto"/>
        <w:bottom w:val="none" w:sz="0" w:space="0" w:color="auto"/>
        <w:right w:val="none" w:sz="0" w:space="0" w:color="auto"/>
      </w:divBdr>
    </w:div>
    <w:div w:id="601567314">
      <w:bodyDiv w:val="1"/>
      <w:marLeft w:val="0"/>
      <w:marRight w:val="0"/>
      <w:marTop w:val="0"/>
      <w:marBottom w:val="0"/>
      <w:divBdr>
        <w:top w:val="none" w:sz="0" w:space="0" w:color="auto"/>
        <w:left w:val="none" w:sz="0" w:space="0" w:color="auto"/>
        <w:bottom w:val="none" w:sz="0" w:space="0" w:color="auto"/>
        <w:right w:val="none" w:sz="0" w:space="0" w:color="auto"/>
      </w:divBdr>
    </w:div>
    <w:div w:id="601842487">
      <w:bodyDiv w:val="1"/>
      <w:marLeft w:val="0"/>
      <w:marRight w:val="0"/>
      <w:marTop w:val="0"/>
      <w:marBottom w:val="0"/>
      <w:divBdr>
        <w:top w:val="none" w:sz="0" w:space="0" w:color="auto"/>
        <w:left w:val="none" w:sz="0" w:space="0" w:color="auto"/>
        <w:bottom w:val="none" w:sz="0" w:space="0" w:color="auto"/>
        <w:right w:val="none" w:sz="0" w:space="0" w:color="auto"/>
      </w:divBdr>
    </w:div>
    <w:div w:id="601957103">
      <w:bodyDiv w:val="1"/>
      <w:marLeft w:val="0"/>
      <w:marRight w:val="0"/>
      <w:marTop w:val="0"/>
      <w:marBottom w:val="0"/>
      <w:divBdr>
        <w:top w:val="none" w:sz="0" w:space="0" w:color="auto"/>
        <w:left w:val="none" w:sz="0" w:space="0" w:color="auto"/>
        <w:bottom w:val="none" w:sz="0" w:space="0" w:color="auto"/>
        <w:right w:val="none" w:sz="0" w:space="0" w:color="auto"/>
      </w:divBdr>
    </w:div>
    <w:div w:id="601958322">
      <w:bodyDiv w:val="1"/>
      <w:marLeft w:val="0"/>
      <w:marRight w:val="0"/>
      <w:marTop w:val="0"/>
      <w:marBottom w:val="0"/>
      <w:divBdr>
        <w:top w:val="none" w:sz="0" w:space="0" w:color="auto"/>
        <w:left w:val="none" w:sz="0" w:space="0" w:color="auto"/>
        <w:bottom w:val="none" w:sz="0" w:space="0" w:color="auto"/>
        <w:right w:val="none" w:sz="0" w:space="0" w:color="auto"/>
      </w:divBdr>
    </w:div>
    <w:div w:id="602037752">
      <w:bodyDiv w:val="1"/>
      <w:marLeft w:val="0"/>
      <w:marRight w:val="0"/>
      <w:marTop w:val="0"/>
      <w:marBottom w:val="0"/>
      <w:divBdr>
        <w:top w:val="none" w:sz="0" w:space="0" w:color="auto"/>
        <w:left w:val="none" w:sz="0" w:space="0" w:color="auto"/>
        <w:bottom w:val="none" w:sz="0" w:space="0" w:color="auto"/>
        <w:right w:val="none" w:sz="0" w:space="0" w:color="auto"/>
      </w:divBdr>
    </w:div>
    <w:div w:id="602299835">
      <w:bodyDiv w:val="1"/>
      <w:marLeft w:val="0"/>
      <w:marRight w:val="0"/>
      <w:marTop w:val="0"/>
      <w:marBottom w:val="0"/>
      <w:divBdr>
        <w:top w:val="none" w:sz="0" w:space="0" w:color="auto"/>
        <w:left w:val="none" w:sz="0" w:space="0" w:color="auto"/>
        <w:bottom w:val="none" w:sz="0" w:space="0" w:color="auto"/>
        <w:right w:val="none" w:sz="0" w:space="0" w:color="auto"/>
      </w:divBdr>
    </w:div>
    <w:div w:id="602424902">
      <w:bodyDiv w:val="1"/>
      <w:marLeft w:val="0"/>
      <w:marRight w:val="0"/>
      <w:marTop w:val="0"/>
      <w:marBottom w:val="0"/>
      <w:divBdr>
        <w:top w:val="none" w:sz="0" w:space="0" w:color="auto"/>
        <w:left w:val="none" w:sz="0" w:space="0" w:color="auto"/>
        <w:bottom w:val="none" w:sz="0" w:space="0" w:color="auto"/>
        <w:right w:val="none" w:sz="0" w:space="0" w:color="auto"/>
      </w:divBdr>
    </w:div>
    <w:div w:id="602490753">
      <w:bodyDiv w:val="1"/>
      <w:marLeft w:val="0"/>
      <w:marRight w:val="0"/>
      <w:marTop w:val="0"/>
      <w:marBottom w:val="0"/>
      <w:divBdr>
        <w:top w:val="none" w:sz="0" w:space="0" w:color="auto"/>
        <w:left w:val="none" w:sz="0" w:space="0" w:color="auto"/>
        <w:bottom w:val="none" w:sz="0" w:space="0" w:color="auto"/>
        <w:right w:val="none" w:sz="0" w:space="0" w:color="auto"/>
      </w:divBdr>
    </w:div>
    <w:div w:id="603151788">
      <w:bodyDiv w:val="1"/>
      <w:marLeft w:val="0"/>
      <w:marRight w:val="0"/>
      <w:marTop w:val="0"/>
      <w:marBottom w:val="0"/>
      <w:divBdr>
        <w:top w:val="none" w:sz="0" w:space="0" w:color="auto"/>
        <w:left w:val="none" w:sz="0" w:space="0" w:color="auto"/>
        <w:bottom w:val="none" w:sz="0" w:space="0" w:color="auto"/>
        <w:right w:val="none" w:sz="0" w:space="0" w:color="auto"/>
      </w:divBdr>
    </w:div>
    <w:div w:id="603457381">
      <w:bodyDiv w:val="1"/>
      <w:marLeft w:val="0"/>
      <w:marRight w:val="0"/>
      <w:marTop w:val="0"/>
      <w:marBottom w:val="0"/>
      <w:divBdr>
        <w:top w:val="none" w:sz="0" w:space="0" w:color="auto"/>
        <w:left w:val="none" w:sz="0" w:space="0" w:color="auto"/>
        <w:bottom w:val="none" w:sz="0" w:space="0" w:color="auto"/>
        <w:right w:val="none" w:sz="0" w:space="0" w:color="auto"/>
      </w:divBdr>
    </w:div>
    <w:div w:id="603657722">
      <w:bodyDiv w:val="1"/>
      <w:marLeft w:val="0"/>
      <w:marRight w:val="0"/>
      <w:marTop w:val="0"/>
      <w:marBottom w:val="0"/>
      <w:divBdr>
        <w:top w:val="none" w:sz="0" w:space="0" w:color="auto"/>
        <w:left w:val="none" w:sz="0" w:space="0" w:color="auto"/>
        <w:bottom w:val="none" w:sz="0" w:space="0" w:color="auto"/>
        <w:right w:val="none" w:sz="0" w:space="0" w:color="auto"/>
      </w:divBdr>
    </w:div>
    <w:div w:id="603728121">
      <w:bodyDiv w:val="1"/>
      <w:marLeft w:val="0"/>
      <w:marRight w:val="0"/>
      <w:marTop w:val="0"/>
      <w:marBottom w:val="0"/>
      <w:divBdr>
        <w:top w:val="none" w:sz="0" w:space="0" w:color="auto"/>
        <w:left w:val="none" w:sz="0" w:space="0" w:color="auto"/>
        <w:bottom w:val="none" w:sz="0" w:space="0" w:color="auto"/>
        <w:right w:val="none" w:sz="0" w:space="0" w:color="auto"/>
      </w:divBdr>
    </w:div>
    <w:div w:id="603802058">
      <w:bodyDiv w:val="1"/>
      <w:marLeft w:val="0"/>
      <w:marRight w:val="0"/>
      <w:marTop w:val="0"/>
      <w:marBottom w:val="0"/>
      <w:divBdr>
        <w:top w:val="none" w:sz="0" w:space="0" w:color="auto"/>
        <w:left w:val="none" w:sz="0" w:space="0" w:color="auto"/>
        <w:bottom w:val="none" w:sz="0" w:space="0" w:color="auto"/>
        <w:right w:val="none" w:sz="0" w:space="0" w:color="auto"/>
      </w:divBdr>
    </w:div>
    <w:div w:id="603807690">
      <w:bodyDiv w:val="1"/>
      <w:marLeft w:val="0"/>
      <w:marRight w:val="0"/>
      <w:marTop w:val="0"/>
      <w:marBottom w:val="0"/>
      <w:divBdr>
        <w:top w:val="none" w:sz="0" w:space="0" w:color="auto"/>
        <w:left w:val="none" w:sz="0" w:space="0" w:color="auto"/>
        <w:bottom w:val="none" w:sz="0" w:space="0" w:color="auto"/>
        <w:right w:val="none" w:sz="0" w:space="0" w:color="auto"/>
      </w:divBdr>
    </w:div>
    <w:div w:id="603881329">
      <w:bodyDiv w:val="1"/>
      <w:marLeft w:val="0"/>
      <w:marRight w:val="0"/>
      <w:marTop w:val="0"/>
      <w:marBottom w:val="0"/>
      <w:divBdr>
        <w:top w:val="none" w:sz="0" w:space="0" w:color="auto"/>
        <w:left w:val="none" w:sz="0" w:space="0" w:color="auto"/>
        <w:bottom w:val="none" w:sz="0" w:space="0" w:color="auto"/>
        <w:right w:val="none" w:sz="0" w:space="0" w:color="auto"/>
      </w:divBdr>
    </w:div>
    <w:div w:id="603925268">
      <w:bodyDiv w:val="1"/>
      <w:marLeft w:val="0"/>
      <w:marRight w:val="0"/>
      <w:marTop w:val="0"/>
      <w:marBottom w:val="0"/>
      <w:divBdr>
        <w:top w:val="none" w:sz="0" w:space="0" w:color="auto"/>
        <w:left w:val="none" w:sz="0" w:space="0" w:color="auto"/>
        <w:bottom w:val="none" w:sz="0" w:space="0" w:color="auto"/>
        <w:right w:val="none" w:sz="0" w:space="0" w:color="auto"/>
      </w:divBdr>
    </w:div>
    <w:div w:id="603926266">
      <w:bodyDiv w:val="1"/>
      <w:marLeft w:val="0"/>
      <w:marRight w:val="0"/>
      <w:marTop w:val="0"/>
      <w:marBottom w:val="0"/>
      <w:divBdr>
        <w:top w:val="none" w:sz="0" w:space="0" w:color="auto"/>
        <w:left w:val="none" w:sz="0" w:space="0" w:color="auto"/>
        <w:bottom w:val="none" w:sz="0" w:space="0" w:color="auto"/>
        <w:right w:val="none" w:sz="0" w:space="0" w:color="auto"/>
      </w:divBdr>
    </w:div>
    <w:div w:id="603995336">
      <w:bodyDiv w:val="1"/>
      <w:marLeft w:val="0"/>
      <w:marRight w:val="0"/>
      <w:marTop w:val="0"/>
      <w:marBottom w:val="0"/>
      <w:divBdr>
        <w:top w:val="none" w:sz="0" w:space="0" w:color="auto"/>
        <w:left w:val="none" w:sz="0" w:space="0" w:color="auto"/>
        <w:bottom w:val="none" w:sz="0" w:space="0" w:color="auto"/>
        <w:right w:val="none" w:sz="0" w:space="0" w:color="auto"/>
      </w:divBdr>
    </w:div>
    <w:div w:id="604070984">
      <w:bodyDiv w:val="1"/>
      <w:marLeft w:val="0"/>
      <w:marRight w:val="0"/>
      <w:marTop w:val="0"/>
      <w:marBottom w:val="0"/>
      <w:divBdr>
        <w:top w:val="none" w:sz="0" w:space="0" w:color="auto"/>
        <w:left w:val="none" w:sz="0" w:space="0" w:color="auto"/>
        <w:bottom w:val="none" w:sz="0" w:space="0" w:color="auto"/>
        <w:right w:val="none" w:sz="0" w:space="0" w:color="auto"/>
      </w:divBdr>
    </w:div>
    <w:div w:id="604121118">
      <w:bodyDiv w:val="1"/>
      <w:marLeft w:val="0"/>
      <w:marRight w:val="0"/>
      <w:marTop w:val="0"/>
      <w:marBottom w:val="0"/>
      <w:divBdr>
        <w:top w:val="none" w:sz="0" w:space="0" w:color="auto"/>
        <w:left w:val="none" w:sz="0" w:space="0" w:color="auto"/>
        <w:bottom w:val="none" w:sz="0" w:space="0" w:color="auto"/>
        <w:right w:val="none" w:sz="0" w:space="0" w:color="auto"/>
      </w:divBdr>
    </w:div>
    <w:div w:id="604192910">
      <w:bodyDiv w:val="1"/>
      <w:marLeft w:val="0"/>
      <w:marRight w:val="0"/>
      <w:marTop w:val="0"/>
      <w:marBottom w:val="0"/>
      <w:divBdr>
        <w:top w:val="none" w:sz="0" w:space="0" w:color="auto"/>
        <w:left w:val="none" w:sz="0" w:space="0" w:color="auto"/>
        <w:bottom w:val="none" w:sz="0" w:space="0" w:color="auto"/>
        <w:right w:val="none" w:sz="0" w:space="0" w:color="auto"/>
      </w:divBdr>
    </w:div>
    <w:div w:id="604386030">
      <w:bodyDiv w:val="1"/>
      <w:marLeft w:val="0"/>
      <w:marRight w:val="0"/>
      <w:marTop w:val="0"/>
      <w:marBottom w:val="0"/>
      <w:divBdr>
        <w:top w:val="none" w:sz="0" w:space="0" w:color="auto"/>
        <w:left w:val="none" w:sz="0" w:space="0" w:color="auto"/>
        <w:bottom w:val="none" w:sz="0" w:space="0" w:color="auto"/>
        <w:right w:val="none" w:sz="0" w:space="0" w:color="auto"/>
      </w:divBdr>
    </w:div>
    <w:div w:id="604457053">
      <w:bodyDiv w:val="1"/>
      <w:marLeft w:val="0"/>
      <w:marRight w:val="0"/>
      <w:marTop w:val="0"/>
      <w:marBottom w:val="0"/>
      <w:divBdr>
        <w:top w:val="none" w:sz="0" w:space="0" w:color="auto"/>
        <w:left w:val="none" w:sz="0" w:space="0" w:color="auto"/>
        <w:bottom w:val="none" w:sz="0" w:space="0" w:color="auto"/>
        <w:right w:val="none" w:sz="0" w:space="0" w:color="auto"/>
      </w:divBdr>
    </w:div>
    <w:div w:id="604458575">
      <w:bodyDiv w:val="1"/>
      <w:marLeft w:val="0"/>
      <w:marRight w:val="0"/>
      <w:marTop w:val="0"/>
      <w:marBottom w:val="0"/>
      <w:divBdr>
        <w:top w:val="none" w:sz="0" w:space="0" w:color="auto"/>
        <w:left w:val="none" w:sz="0" w:space="0" w:color="auto"/>
        <w:bottom w:val="none" w:sz="0" w:space="0" w:color="auto"/>
        <w:right w:val="none" w:sz="0" w:space="0" w:color="auto"/>
      </w:divBdr>
    </w:div>
    <w:div w:id="604458607">
      <w:bodyDiv w:val="1"/>
      <w:marLeft w:val="0"/>
      <w:marRight w:val="0"/>
      <w:marTop w:val="0"/>
      <w:marBottom w:val="0"/>
      <w:divBdr>
        <w:top w:val="none" w:sz="0" w:space="0" w:color="auto"/>
        <w:left w:val="none" w:sz="0" w:space="0" w:color="auto"/>
        <w:bottom w:val="none" w:sz="0" w:space="0" w:color="auto"/>
        <w:right w:val="none" w:sz="0" w:space="0" w:color="auto"/>
      </w:divBdr>
    </w:div>
    <w:div w:id="604849733">
      <w:bodyDiv w:val="1"/>
      <w:marLeft w:val="0"/>
      <w:marRight w:val="0"/>
      <w:marTop w:val="0"/>
      <w:marBottom w:val="0"/>
      <w:divBdr>
        <w:top w:val="none" w:sz="0" w:space="0" w:color="auto"/>
        <w:left w:val="none" w:sz="0" w:space="0" w:color="auto"/>
        <w:bottom w:val="none" w:sz="0" w:space="0" w:color="auto"/>
        <w:right w:val="none" w:sz="0" w:space="0" w:color="auto"/>
      </w:divBdr>
    </w:div>
    <w:div w:id="604851284">
      <w:bodyDiv w:val="1"/>
      <w:marLeft w:val="0"/>
      <w:marRight w:val="0"/>
      <w:marTop w:val="0"/>
      <w:marBottom w:val="0"/>
      <w:divBdr>
        <w:top w:val="none" w:sz="0" w:space="0" w:color="auto"/>
        <w:left w:val="none" w:sz="0" w:space="0" w:color="auto"/>
        <w:bottom w:val="none" w:sz="0" w:space="0" w:color="auto"/>
        <w:right w:val="none" w:sz="0" w:space="0" w:color="auto"/>
      </w:divBdr>
    </w:div>
    <w:div w:id="604852942">
      <w:bodyDiv w:val="1"/>
      <w:marLeft w:val="0"/>
      <w:marRight w:val="0"/>
      <w:marTop w:val="0"/>
      <w:marBottom w:val="0"/>
      <w:divBdr>
        <w:top w:val="none" w:sz="0" w:space="0" w:color="auto"/>
        <w:left w:val="none" w:sz="0" w:space="0" w:color="auto"/>
        <w:bottom w:val="none" w:sz="0" w:space="0" w:color="auto"/>
        <w:right w:val="none" w:sz="0" w:space="0" w:color="auto"/>
      </w:divBdr>
    </w:div>
    <w:div w:id="604918651">
      <w:bodyDiv w:val="1"/>
      <w:marLeft w:val="0"/>
      <w:marRight w:val="0"/>
      <w:marTop w:val="0"/>
      <w:marBottom w:val="0"/>
      <w:divBdr>
        <w:top w:val="none" w:sz="0" w:space="0" w:color="auto"/>
        <w:left w:val="none" w:sz="0" w:space="0" w:color="auto"/>
        <w:bottom w:val="none" w:sz="0" w:space="0" w:color="auto"/>
        <w:right w:val="none" w:sz="0" w:space="0" w:color="auto"/>
      </w:divBdr>
    </w:div>
    <w:div w:id="605191268">
      <w:bodyDiv w:val="1"/>
      <w:marLeft w:val="0"/>
      <w:marRight w:val="0"/>
      <w:marTop w:val="0"/>
      <w:marBottom w:val="0"/>
      <w:divBdr>
        <w:top w:val="none" w:sz="0" w:space="0" w:color="auto"/>
        <w:left w:val="none" w:sz="0" w:space="0" w:color="auto"/>
        <w:bottom w:val="none" w:sz="0" w:space="0" w:color="auto"/>
        <w:right w:val="none" w:sz="0" w:space="0" w:color="auto"/>
      </w:divBdr>
    </w:div>
    <w:div w:id="605233492">
      <w:bodyDiv w:val="1"/>
      <w:marLeft w:val="0"/>
      <w:marRight w:val="0"/>
      <w:marTop w:val="0"/>
      <w:marBottom w:val="0"/>
      <w:divBdr>
        <w:top w:val="none" w:sz="0" w:space="0" w:color="auto"/>
        <w:left w:val="none" w:sz="0" w:space="0" w:color="auto"/>
        <w:bottom w:val="none" w:sz="0" w:space="0" w:color="auto"/>
        <w:right w:val="none" w:sz="0" w:space="0" w:color="auto"/>
      </w:divBdr>
    </w:div>
    <w:div w:id="605311381">
      <w:bodyDiv w:val="1"/>
      <w:marLeft w:val="0"/>
      <w:marRight w:val="0"/>
      <w:marTop w:val="0"/>
      <w:marBottom w:val="0"/>
      <w:divBdr>
        <w:top w:val="none" w:sz="0" w:space="0" w:color="auto"/>
        <w:left w:val="none" w:sz="0" w:space="0" w:color="auto"/>
        <w:bottom w:val="none" w:sz="0" w:space="0" w:color="auto"/>
        <w:right w:val="none" w:sz="0" w:space="0" w:color="auto"/>
      </w:divBdr>
    </w:div>
    <w:div w:id="605385072">
      <w:bodyDiv w:val="1"/>
      <w:marLeft w:val="0"/>
      <w:marRight w:val="0"/>
      <w:marTop w:val="0"/>
      <w:marBottom w:val="0"/>
      <w:divBdr>
        <w:top w:val="none" w:sz="0" w:space="0" w:color="auto"/>
        <w:left w:val="none" w:sz="0" w:space="0" w:color="auto"/>
        <w:bottom w:val="none" w:sz="0" w:space="0" w:color="auto"/>
        <w:right w:val="none" w:sz="0" w:space="0" w:color="auto"/>
      </w:divBdr>
    </w:div>
    <w:div w:id="605578880">
      <w:bodyDiv w:val="1"/>
      <w:marLeft w:val="0"/>
      <w:marRight w:val="0"/>
      <w:marTop w:val="0"/>
      <w:marBottom w:val="0"/>
      <w:divBdr>
        <w:top w:val="none" w:sz="0" w:space="0" w:color="auto"/>
        <w:left w:val="none" w:sz="0" w:space="0" w:color="auto"/>
        <w:bottom w:val="none" w:sz="0" w:space="0" w:color="auto"/>
        <w:right w:val="none" w:sz="0" w:space="0" w:color="auto"/>
      </w:divBdr>
    </w:div>
    <w:div w:id="605693900">
      <w:bodyDiv w:val="1"/>
      <w:marLeft w:val="0"/>
      <w:marRight w:val="0"/>
      <w:marTop w:val="0"/>
      <w:marBottom w:val="0"/>
      <w:divBdr>
        <w:top w:val="none" w:sz="0" w:space="0" w:color="auto"/>
        <w:left w:val="none" w:sz="0" w:space="0" w:color="auto"/>
        <w:bottom w:val="none" w:sz="0" w:space="0" w:color="auto"/>
        <w:right w:val="none" w:sz="0" w:space="0" w:color="auto"/>
      </w:divBdr>
    </w:div>
    <w:div w:id="606230528">
      <w:bodyDiv w:val="1"/>
      <w:marLeft w:val="0"/>
      <w:marRight w:val="0"/>
      <w:marTop w:val="0"/>
      <w:marBottom w:val="0"/>
      <w:divBdr>
        <w:top w:val="none" w:sz="0" w:space="0" w:color="auto"/>
        <w:left w:val="none" w:sz="0" w:space="0" w:color="auto"/>
        <w:bottom w:val="none" w:sz="0" w:space="0" w:color="auto"/>
        <w:right w:val="none" w:sz="0" w:space="0" w:color="auto"/>
      </w:divBdr>
    </w:div>
    <w:div w:id="606695869">
      <w:bodyDiv w:val="1"/>
      <w:marLeft w:val="0"/>
      <w:marRight w:val="0"/>
      <w:marTop w:val="0"/>
      <w:marBottom w:val="0"/>
      <w:divBdr>
        <w:top w:val="none" w:sz="0" w:space="0" w:color="auto"/>
        <w:left w:val="none" w:sz="0" w:space="0" w:color="auto"/>
        <w:bottom w:val="none" w:sz="0" w:space="0" w:color="auto"/>
        <w:right w:val="none" w:sz="0" w:space="0" w:color="auto"/>
      </w:divBdr>
    </w:div>
    <w:div w:id="606735249">
      <w:bodyDiv w:val="1"/>
      <w:marLeft w:val="0"/>
      <w:marRight w:val="0"/>
      <w:marTop w:val="0"/>
      <w:marBottom w:val="0"/>
      <w:divBdr>
        <w:top w:val="none" w:sz="0" w:space="0" w:color="auto"/>
        <w:left w:val="none" w:sz="0" w:space="0" w:color="auto"/>
        <w:bottom w:val="none" w:sz="0" w:space="0" w:color="auto"/>
        <w:right w:val="none" w:sz="0" w:space="0" w:color="auto"/>
      </w:divBdr>
    </w:div>
    <w:div w:id="606740694">
      <w:bodyDiv w:val="1"/>
      <w:marLeft w:val="0"/>
      <w:marRight w:val="0"/>
      <w:marTop w:val="0"/>
      <w:marBottom w:val="0"/>
      <w:divBdr>
        <w:top w:val="none" w:sz="0" w:space="0" w:color="auto"/>
        <w:left w:val="none" w:sz="0" w:space="0" w:color="auto"/>
        <w:bottom w:val="none" w:sz="0" w:space="0" w:color="auto"/>
        <w:right w:val="none" w:sz="0" w:space="0" w:color="auto"/>
      </w:divBdr>
    </w:div>
    <w:div w:id="606818556">
      <w:bodyDiv w:val="1"/>
      <w:marLeft w:val="0"/>
      <w:marRight w:val="0"/>
      <w:marTop w:val="0"/>
      <w:marBottom w:val="0"/>
      <w:divBdr>
        <w:top w:val="none" w:sz="0" w:space="0" w:color="auto"/>
        <w:left w:val="none" w:sz="0" w:space="0" w:color="auto"/>
        <w:bottom w:val="none" w:sz="0" w:space="0" w:color="auto"/>
        <w:right w:val="none" w:sz="0" w:space="0" w:color="auto"/>
      </w:divBdr>
    </w:div>
    <w:div w:id="606885566">
      <w:bodyDiv w:val="1"/>
      <w:marLeft w:val="0"/>
      <w:marRight w:val="0"/>
      <w:marTop w:val="0"/>
      <w:marBottom w:val="0"/>
      <w:divBdr>
        <w:top w:val="none" w:sz="0" w:space="0" w:color="auto"/>
        <w:left w:val="none" w:sz="0" w:space="0" w:color="auto"/>
        <w:bottom w:val="none" w:sz="0" w:space="0" w:color="auto"/>
        <w:right w:val="none" w:sz="0" w:space="0" w:color="auto"/>
      </w:divBdr>
    </w:div>
    <w:div w:id="606888590">
      <w:bodyDiv w:val="1"/>
      <w:marLeft w:val="0"/>
      <w:marRight w:val="0"/>
      <w:marTop w:val="0"/>
      <w:marBottom w:val="0"/>
      <w:divBdr>
        <w:top w:val="none" w:sz="0" w:space="0" w:color="auto"/>
        <w:left w:val="none" w:sz="0" w:space="0" w:color="auto"/>
        <w:bottom w:val="none" w:sz="0" w:space="0" w:color="auto"/>
        <w:right w:val="none" w:sz="0" w:space="0" w:color="auto"/>
      </w:divBdr>
    </w:div>
    <w:div w:id="607006947">
      <w:bodyDiv w:val="1"/>
      <w:marLeft w:val="0"/>
      <w:marRight w:val="0"/>
      <w:marTop w:val="0"/>
      <w:marBottom w:val="0"/>
      <w:divBdr>
        <w:top w:val="none" w:sz="0" w:space="0" w:color="auto"/>
        <w:left w:val="none" w:sz="0" w:space="0" w:color="auto"/>
        <w:bottom w:val="none" w:sz="0" w:space="0" w:color="auto"/>
        <w:right w:val="none" w:sz="0" w:space="0" w:color="auto"/>
      </w:divBdr>
    </w:div>
    <w:div w:id="607199954">
      <w:bodyDiv w:val="1"/>
      <w:marLeft w:val="0"/>
      <w:marRight w:val="0"/>
      <w:marTop w:val="0"/>
      <w:marBottom w:val="0"/>
      <w:divBdr>
        <w:top w:val="none" w:sz="0" w:space="0" w:color="auto"/>
        <w:left w:val="none" w:sz="0" w:space="0" w:color="auto"/>
        <w:bottom w:val="none" w:sz="0" w:space="0" w:color="auto"/>
        <w:right w:val="none" w:sz="0" w:space="0" w:color="auto"/>
      </w:divBdr>
    </w:div>
    <w:div w:id="607279887">
      <w:bodyDiv w:val="1"/>
      <w:marLeft w:val="0"/>
      <w:marRight w:val="0"/>
      <w:marTop w:val="0"/>
      <w:marBottom w:val="0"/>
      <w:divBdr>
        <w:top w:val="none" w:sz="0" w:space="0" w:color="auto"/>
        <w:left w:val="none" w:sz="0" w:space="0" w:color="auto"/>
        <w:bottom w:val="none" w:sz="0" w:space="0" w:color="auto"/>
        <w:right w:val="none" w:sz="0" w:space="0" w:color="auto"/>
      </w:divBdr>
    </w:div>
    <w:div w:id="607392675">
      <w:bodyDiv w:val="1"/>
      <w:marLeft w:val="0"/>
      <w:marRight w:val="0"/>
      <w:marTop w:val="0"/>
      <w:marBottom w:val="0"/>
      <w:divBdr>
        <w:top w:val="none" w:sz="0" w:space="0" w:color="auto"/>
        <w:left w:val="none" w:sz="0" w:space="0" w:color="auto"/>
        <w:bottom w:val="none" w:sz="0" w:space="0" w:color="auto"/>
        <w:right w:val="none" w:sz="0" w:space="0" w:color="auto"/>
      </w:divBdr>
    </w:div>
    <w:div w:id="607392998">
      <w:bodyDiv w:val="1"/>
      <w:marLeft w:val="0"/>
      <w:marRight w:val="0"/>
      <w:marTop w:val="0"/>
      <w:marBottom w:val="0"/>
      <w:divBdr>
        <w:top w:val="none" w:sz="0" w:space="0" w:color="auto"/>
        <w:left w:val="none" w:sz="0" w:space="0" w:color="auto"/>
        <w:bottom w:val="none" w:sz="0" w:space="0" w:color="auto"/>
        <w:right w:val="none" w:sz="0" w:space="0" w:color="auto"/>
      </w:divBdr>
    </w:div>
    <w:div w:id="607810197">
      <w:bodyDiv w:val="1"/>
      <w:marLeft w:val="0"/>
      <w:marRight w:val="0"/>
      <w:marTop w:val="0"/>
      <w:marBottom w:val="0"/>
      <w:divBdr>
        <w:top w:val="none" w:sz="0" w:space="0" w:color="auto"/>
        <w:left w:val="none" w:sz="0" w:space="0" w:color="auto"/>
        <w:bottom w:val="none" w:sz="0" w:space="0" w:color="auto"/>
        <w:right w:val="none" w:sz="0" w:space="0" w:color="auto"/>
      </w:divBdr>
    </w:div>
    <w:div w:id="607935405">
      <w:bodyDiv w:val="1"/>
      <w:marLeft w:val="0"/>
      <w:marRight w:val="0"/>
      <w:marTop w:val="0"/>
      <w:marBottom w:val="0"/>
      <w:divBdr>
        <w:top w:val="none" w:sz="0" w:space="0" w:color="auto"/>
        <w:left w:val="none" w:sz="0" w:space="0" w:color="auto"/>
        <w:bottom w:val="none" w:sz="0" w:space="0" w:color="auto"/>
        <w:right w:val="none" w:sz="0" w:space="0" w:color="auto"/>
      </w:divBdr>
    </w:div>
    <w:div w:id="608046098">
      <w:bodyDiv w:val="1"/>
      <w:marLeft w:val="0"/>
      <w:marRight w:val="0"/>
      <w:marTop w:val="0"/>
      <w:marBottom w:val="0"/>
      <w:divBdr>
        <w:top w:val="none" w:sz="0" w:space="0" w:color="auto"/>
        <w:left w:val="none" w:sz="0" w:space="0" w:color="auto"/>
        <w:bottom w:val="none" w:sz="0" w:space="0" w:color="auto"/>
        <w:right w:val="none" w:sz="0" w:space="0" w:color="auto"/>
      </w:divBdr>
    </w:div>
    <w:div w:id="608240125">
      <w:bodyDiv w:val="1"/>
      <w:marLeft w:val="0"/>
      <w:marRight w:val="0"/>
      <w:marTop w:val="0"/>
      <w:marBottom w:val="0"/>
      <w:divBdr>
        <w:top w:val="none" w:sz="0" w:space="0" w:color="auto"/>
        <w:left w:val="none" w:sz="0" w:space="0" w:color="auto"/>
        <w:bottom w:val="none" w:sz="0" w:space="0" w:color="auto"/>
        <w:right w:val="none" w:sz="0" w:space="0" w:color="auto"/>
      </w:divBdr>
    </w:div>
    <w:div w:id="608665579">
      <w:bodyDiv w:val="1"/>
      <w:marLeft w:val="0"/>
      <w:marRight w:val="0"/>
      <w:marTop w:val="0"/>
      <w:marBottom w:val="0"/>
      <w:divBdr>
        <w:top w:val="none" w:sz="0" w:space="0" w:color="auto"/>
        <w:left w:val="none" w:sz="0" w:space="0" w:color="auto"/>
        <w:bottom w:val="none" w:sz="0" w:space="0" w:color="auto"/>
        <w:right w:val="none" w:sz="0" w:space="0" w:color="auto"/>
      </w:divBdr>
    </w:div>
    <w:div w:id="608705317">
      <w:bodyDiv w:val="1"/>
      <w:marLeft w:val="0"/>
      <w:marRight w:val="0"/>
      <w:marTop w:val="0"/>
      <w:marBottom w:val="0"/>
      <w:divBdr>
        <w:top w:val="none" w:sz="0" w:space="0" w:color="auto"/>
        <w:left w:val="none" w:sz="0" w:space="0" w:color="auto"/>
        <w:bottom w:val="none" w:sz="0" w:space="0" w:color="auto"/>
        <w:right w:val="none" w:sz="0" w:space="0" w:color="auto"/>
      </w:divBdr>
    </w:div>
    <w:div w:id="608972996">
      <w:bodyDiv w:val="1"/>
      <w:marLeft w:val="0"/>
      <w:marRight w:val="0"/>
      <w:marTop w:val="0"/>
      <w:marBottom w:val="0"/>
      <w:divBdr>
        <w:top w:val="none" w:sz="0" w:space="0" w:color="auto"/>
        <w:left w:val="none" w:sz="0" w:space="0" w:color="auto"/>
        <w:bottom w:val="none" w:sz="0" w:space="0" w:color="auto"/>
        <w:right w:val="none" w:sz="0" w:space="0" w:color="auto"/>
      </w:divBdr>
    </w:div>
    <w:div w:id="608976042">
      <w:bodyDiv w:val="1"/>
      <w:marLeft w:val="0"/>
      <w:marRight w:val="0"/>
      <w:marTop w:val="0"/>
      <w:marBottom w:val="0"/>
      <w:divBdr>
        <w:top w:val="none" w:sz="0" w:space="0" w:color="auto"/>
        <w:left w:val="none" w:sz="0" w:space="0" w:color="auto"/>
        <w:bottom w:val="none" w:sz="0" w:space="0" w:color="auto"/>
        <w:right w:val="none" w:sz="0" w:space="0" w:color="auto"/>
      </w:divBdr>
    </w:div>
    <w:div w:id="609092723">
      <w:bodyDiv w:val="1"/>
      <w:marLeft w:val="0"/>
      <w:marRight w:val="0"/>
      <w:marTop w:val="0"/>
      <w:marBottom w:val="0"/>
      <w:divBdr>
        <w:top w:val="none" w:sz="0" w:space="0" w:color="auto"/>
        <w:left w:val="none" w:sz="0" w:space="0" w:color="auto"/>
        <w:bottom w:val="none" w:sz="0" w:space="0" w:color="auto"/>
        <w:right w:val="none" w:sz="0" w:space="0" w:color="auto"/>
      </w:divBdr>
    </w:div>
    <w:div w:id="609162037">
      <w:bodyDiv w:val="1"/>
      <w:marLeft w:val="0"/>
      <w:marRight w:val="0"/>
      <w:marTop w:val="0"/>
      <w:marBottom w:val="0"/>
      <w:divBdr>
        <w:top w:val="none" w:sz="0" w:space="0" w:color="auto"/>
        <w:left w:val="none" w:sz="0" w:space="0" w:color="auto"/>
        <w:bottom w:val="none" w:sz="0" w:space="0" w:color="auto"/>
        <w:right w:val="none" w:sz="0" w:space="0" w:color="auto"/>
      </w:divBdr>
    </w:div>
    <w:div w:id="609167670">
      <w:bodyDiv w:val="1"/>
      <w:marLeft w:val="0"/>
      <w:marRight w:val="0"/>
      <w:marTop w:val="0"/>
      <w:marBottom w:val="0"/>
      <w:divBdr>
        <w:top w:val="none" w:sz="0" w:space="0" w:color="auto"/>
        <w:left w:val="none" w:sz="0" w:space="0" w:color="auto"/>
        <w:bottom w:val="none" w:sz="0" w:space="0" w:color="auto"/>
        <w:right w:val="none" w:sz="0" w:space="0" w:color="auto"/>
      </w:divBdr>
    </w:div>
    <w:div w:id="609241459">
      <w:bodyDiv w:val="1"/>
      <w:marLeft w:val="0"/>
      <w:marRight w:val="0"/>
      <w:marTop w:val="0"/>
      <w:marBottom w:val="0"/>
      <w:divBdr>
        <w:top w:val="none" w:sz="0" w:space="0" w:color="auto"/>
        <w:left w:val="none" w:sz="0" w:space="0" w:color="auto"/>
        <w:bottom w:val="none" w:sz="0" w:space="0" w:color="auto"/>
        <w:right w:val="none" w:sz="0" w:space="0" w:color="auto"/>
      </w:divBdr>
    </w:div>
    <w:div w:id="609244692">
      <w:bodyDiv w:val="1"/>
      <w:marLeft w:val="0"/>
      <w:marRight w:val="0"/>
      <w:marTop w:val="0"/>
      <w:marBottom w:val="0"/>
      <w:divBdr>
        <w:top w:val="none" w:sz="0" w:space="0" w:color="auto"/>
        <w:left w:val="none" w:sz="0" w:space="0" w:color="auto"/>
        <w:bottom w:val="none" w:sz="0" w:space="0" w:color="auto"/>
        <w:right w:val="none" w:sz="0" w:space="0" w:color="auto"/>
      </w:divBdr>
    </w:div>
    <w:div w:id="609363340">
      <w:bodyDiv w:val="1"/>
      <w:marLeft w:val="0"/>
      <w:marRight w:val="0"/>
      <w:marTop w:val="0"/>
      <w:marBottom w:val="0"/>
      <w:divBdr>
        <w:top w:val="none" w:sz="0" w:space="0" w:color="auto"/>
        <w:left w:val="none" w:sz="0" w:space="0" w:color="auto"/>
        <w:bottom w:val="none" w:sz="0" w:space="0" w:color="auto"/>
        <w:right w:val="none" w:sz="0" w:space="0" w:color="auto"/>
      </w:divBdr>
    </w:div>
    <w:div w:id="609554555">
      <w:bodyDiv w:val="1"/>
      <w:marLeft w:val="0"/>
      <w:marRight w:val="0"/>
      <w:marTop w:val="0"/>
      <w:marBottom w:val="0"/>
      <w:divBdr>
        <w:top w:val="none" w:sz="0" w:space="0" w:color="auto"/>
        <w:left w:val="none" w:sz="0" w:space="0" w:color="auto"/>
        <w:bottom w:val="none" w:sz="0" w:space="0" w:color="auto"/>
        <w:right w:val="none" w:sz="0" w:space="0" w:color="auto"/>
      </w:divBdr>
    </w:div>
    <w:div w:id="609703654">
      <w:bodyDiv w:val="1"/>
      <w:marLeft w:val="0"/>
      <w:marRight w:val="0"/>
      <w:marTop w:val="0"/>
      <w:marBottom w:val="0"/>
      <w:divBdr>
        <w:top w:val="none" w:sz="0" w:space="0" w:color="auto"/>
        <w:left w:val="none" w:sz="0" w:space="0" w:color="auto"/>
        <w:bottom w:val="none" w:sz="0" w:space="0" w:color="auto"/>
        <w:right w:val="none" w:sz="0" w:space="0" w:color="auto"/>
      </w:divBdr>
    </w:div>
    <w:div w:id="609819131">
      <w:bodyDiv w:val="1"/>
      <w:marLeft w:val="0"/>
      <w:marRight w:val="0"/>
      <w:marTop w:val="0"/>
      <w:marBottom w:val="0"/>
      <w:divBdr>
        <w:top w:val="none" w:sz="0" w:space="0" w:color="auto"/>
        <w:left w:val="none" w:sz="0" w:space="0" w:color="auto"/>
        <w:bottom w:val="none" w:sz="0" w:space="0" w:color="auto"/>
        <w:right w:val="none" w:sz="0" w:space="0" w:color="auto"/>
      </w:divBdr>
    </w:div>
    <w:div w:id="609899995">
      <w:bodyDiv w:val="1"/>
      <w:marLeft w:val="0"/>
      <w:marRight w:val="0"/>
      <w:marTop w:val="0"/>
      <w:marBottom w:val="0"/>
      <w:divBdr>
        <w:top w:val="none" w:sz="0" w:space="0" w:color="auto"/>
        <w:left w:val="none" w:sz="0" w:space="0" w:color="auto"/>
        <w:bottom w:val="none" w:sz="0" w:space="0" w:color="auto"/>
        <w:right w:val="none" w:sz="0" w:space="0" w:color="auto"/>
      </w:divBdr>
    </w:div>
    <w:div w:id="610088906">
      <w:bodyDiv w:val="1"/>
      <w:marLeft w:val="0"/>
      <w:marRight w:val="0"/>
      <w:marTop w:val="0"/>
      <w:marBottom w:val="0"/>
      <w:divBdr>
        <w:top w:val="none" w:sz="0" w:space="0" w:color="auto"/>
        <w:left w:val="none" w:sz="0" w:space="0" w:color="auto"/>
        <w:bottom w:val="none" w:sz="0" w:space="0" w:color="auto"/>
        <w:right w:val="none" w:sz="0" w:space="0" w:color="auto"/>
      </w:divBdr>
    </w:div>
    <w:div w:id="610167060">
      <w:bodyDiv w:val="1"/>
      <w:marLeft w:val="0"/>
      <w:marRight w:val="0"/>
      <w:marTop w:val="0"/>
      <w:marBottom w:val="0"/>
      <w:divBdr>
        <w:top w:val="none" w:sz="0" w:space="0" w:color="auto"/>
        <w:left w:val="none" w:sz="0" w:space="0" w:color="auto"/>
        <w:bottom w:val="none" w:sz="0" w:space="0" w:color="auto"/>
        <w:right w:val="none" w:sz="0" w:space="0" w:color="auto"/>
      </w:divBdr>
    </w:div>
    <w:div w:id="610431165">
      <w:bodyDiv w:val="1"/>
      <w:marLeft w:val="0"/>
      <w:marRight w:val="0"/>
      <w:marTop w:val="0"/>
      <w:marBottom w:val="0"/>
      <w:divBdr>
        <w:top w:val="none" w:sz="0" w:space="0" w:color="auto"/>
        <w:left w:val="none" w:sz="0" w:space="0" w:color="auto"/>
        <w:bottom w:val="none" w:sz="0" w:space="0" w:color="auto"/>
        <w:right w:val="none" w:sz="0" w:space="0" w:color="auto"/>
      </w:divBdr>
    </w:div>
    <w:div w:id="610481702">
      <w:bodyDiv w:val="1"/>
      <w:marLeft w:val="0"/>
      <w:marRight w:val="0"/>
      <w:marTop w:val="0"/>
      <w:marBottom w:val="0"/>
      <w:divBdr>
        <w:top w:val="none" w:sz="0" w:space="0" w:color="auto"/>
        <w:left w:val="none" w:sz="0" w:space="0" w:color="auto"/>
        <w:bottom w:val="none" w:sz="0" w:space="0" w:color="auto"/>
        <w:right w:val="none" w:sz="0" w:space="0" w:color="auto"/>
      </w:divBdr>
    </w:div>
    <w:div w:id="610670497">
      <w:bodyDiv w:val="1"/>
      <w:marLeft w:val="0"/>
      <w:marRight w:val="0"/>
      <w:marTop w:val="0"/>
      <w:marBottom w:val="0"/>
      <w:divBdr>
        <w:top w:val="none" w:sz="0" w:space="0" w:color="auto"/>
        <w:left w:val="none" w:sz="0" w:space="0" w:color="auto"/>
        <w:bottom w:val="none" w:sz="0" w:space="0" w:color="auto"/>
        <w:right w:val="none" w:sz="0" w:space="0" w:color="auto"/>
      </w:divBdr>
    </w:div>
    <w:div w:id="610748704">
      <w:bodyDiv w:val="1"/>
      <w:marLeft w:val="0"/>
      <w:marRight w:val="0"/>
      <w:marTop w:val="0"/>
      <w:marBottom w:val="0"/>
      <w:divBdr>
        <w:top w:val="none" w:sz="0" w:space="0" w:color="auto"/>
        <w:left w:val="none" w:sz="0" w:space="0" w:color="auto"/>
        <w:bottom w:val="none" w:sz="0" w:space="0" w:color="auto"/>
        <w:right w:val="none" w:sz="0" w:space="0" w:color="auto"/>
      </w:divBdr>
    </w:div>
    <w:div w:id="611018377">
      <w:bodyDiv w:val="1"/>
      <w:marLeft w:val="0"/>
      <w:marRight w:val="0"/>
      <w:marTop w:val="0"/>
      <w:marBottom w:val="0"/>
      <w:divBdr>
        <w:top w:val="none" w:sz="0" w:space="0" w:color="auto"/>
        <w:left w:val="none" w:sz="0" w:space="0" w:color="auto"/>
        <w:bottom w:val="none" w:sz="0" w:space="0" w:color="auto"/>
        <w:right w:val="none" w:sz="0" w:space="0" w:color="auto"/>
      </w:divBdr>
    </w:div>
    <w:div w:id="611204868">
      <w:bodyDiv w:val="1"/>
      <w:marLeft w:val="0"/>
      <w:marRight w:val="0"/>
      <w:marTop w:val="0"/>
      <w:marBottom w:val="0"/>
      <w:divBdr>
        <w:top w:val="none" w:sz="0" w:space="0" w:color="auto"/>
        <w:left w:val="none" w:sz="0" w:space="0" w:color="auto"/>
        <w:bottom w:val="none" w:sz="0" w:space="0" w:color="auto"/>
        <w:right w:val="none" w:sz="0" w:space="0" w:color="auto"/>
      </w:divBdr>
    </w:div>
    <w:div w:id="611211065">
      <w:bodyDiv w:val="1"/>
      <w:marLeft w:val="0"/>
      <w:marRight w:val="0"/>
      <w:marTop w:val="0"/>
      <w:marBottom w:val="0"/>
      <w:divBdr>
        <w:top w:val="none" w:sz="0" w:space="0" w:color="auto"/>
        <w:left w:val="none" w:sz="0" w:space="0" w:color="auto"/>
        <w:bottom w:val="none" w:sz="0" w:space="0" w:color="auto"/>
        <w:right w:val="none" w:sz="0" w:space="0" w:color="auto"/>
      </w:divBdr>
    </w:div>
    <w:div w:id="611286722">
      <w:bodyDiv w:val="1"/>
      <w:marLeft w:val="0"/>
      <w:marRight w:val="0"/>
      <w:marTop w:val="0"/>
      <w:marBottom w:val="0"/>
      <w:divBdr>
        <w:top w:val="none" w:sz="0" w:space="0" w:color="auto"/>
        <w:left w:val="none" w:sz="0" w:space="0" w:color="auto"/>
        <w:bottom w:val="none" w:sz="0" w:space="0" w:color="auto"/>
        <w:right w:val="none" w:sz="0" w:space="0" w:color="auto"/>
      </w:divBdr>
    </w:div>
    <w:div w:id="611286725">
      <w:bodyDiv w:val="1"/>
      <w:marLeft w:val="0"/>
      <w:marRight w:val="0"/>
      <w:marTop w:val="0"/>
      <w:marBottom w:val="0"/>
      <w:divBdr>
        <w:top w:val="none" w:sz="0" w:space="0" w:color="auto"/>
        <w:left w:val="none" w:sz="0" w:space="0" w:color="auto"/>
        <w:bottom w:val="none" w:sz="0" w:space="0" w:color="auto"/>
        <w:right w:val="none" w:sz="0" w:space="0" w:color="auto"/>
      </w:divBdr>
    </w:div>
    <w:div w:id="611787824">
      <w:bodyDiv w:val="1"/>
      <w:marLeft w:val="0"/>
      <w:marRight w:val="0"/>
      <w:marTop w:val="0"/>
      <w:marBottom w:val="0"/>
      <w:divBdr>
        <w:top w:val="none" w:sz="0" w:space="0" w:color="auto"/>
        <w:left w:val="none" w:sz="0" w:space="0" w:color="auto"/>
        <w:bottom w:val="none" w:sz="0" w:space="0" w:color="auto"/>
        <w:right w:val="none" w:sz="0" w:space="0" w:color="auto"/>
      </w:divBdr>
    </w:div>
    <w:div w:id="611861440">
      <w:bodyDiv w:val="1"/>
      <w:marLeft w:val="0"/>
      <w:marRight w:val="0"/>
      <w:marTop w:val="0"/>
      <w:marBottom w:val="0"/>
      <w:divBdr>
        <w:top w:val="none" w:sz="0" w:space="0" w:color="auto"/>
        <w:left w:val="none" w:sz="0" w:space="0" w:color="auto"/>
        <w:bottom w:val="none" w:sz="0" w:space="0" w:color="auto"/>
        <w:right w:val="none" w:sz="0" w:space="0" w:color="auto"/>
      </w:divBdr>
    </w:div>
    <w:div w:id="611942271">
      <w:bodyDiv w:val="1"/>
      <w:marLeft w:val="0"/>
      <w:marRight w:val="0"/>
      <w:marTop w:val="0"/>
      <w:marBottom w:val="0"/>
      <w:divBdr>
        <w:top w:val="none" w:sz="0" w:space="0" w:color="auto"/>
        <w:left w:val="none" w:sz="0" w:space="0" w:color="auto"/>
        <w:bottom w:val="none" w:sz="0" w:space="0" w:color="auto"/>
        <w:right w:val="none" w:sz="0" w:space="0" w:color="auto"/>
      </w:divBdr>
    </w:div>
    <w:div w:id="611978091">
      <w:bodyDiv w:val="1"/>
      <w:marLeft w:val="0"/>
      <w:marRight w:val="0"/>
      <w:marTop w:val="0"/>
      <w:marBottom w:val="0"/>
      <w:divBdr>
        <w:top w:val="none" w:sz="0" w:space="0" w:color="auto"/>
        <w:left w:val="none" w:sz="0" w:space="0" w:color="auto"/>
        <w:bottom w:val="none" w:sz="0" w:space="0" w:color="auto"/>
        <w:right w:val="none" w:sz="0" w:space="0" w:color="auto"/>
      </w:divBdr>
    </w:div>
    <w:div w:id="612052991">
      <w:bodyDiv w:val="1"/>
      <w:marLeft w:val="0"/>
      <w:marRight w:val="0"/>
      <w:marTop w:val="0"/>
      <w:marBottom w:val="0"/>
      <w:divBdr>
        <w:top w:val="none" w:sz="0" w:space="0" w:color="auto"/>
        <w:left w:val="none" w:sz="0" w:space="0" w:color="auto"/>
        <w:bottom w:val="none" w:sz="0" w:space="0" w:color="auto"/>
        <w:right w:val="none" w:sz="0" w:space="0" w:color="auto"/>
      </w:divBdr>
    </w:div>
    <w:div w:id="612053753">
      <w:bodyDiv w:val="1"/>
      <w:marLeft w:val="0"/>
      <w:marRight w:val="0"/>
      <w:marTop w:val="0"/>
      <w:marBottom w:val="0"/>
      <w:divBdr>
        <w:top w:val="none" w:sz="0" w:space="0" w:color="auto"/>
        <w:left w:val="none" w:sz="0" w:space="0" w:color="auto"/>
        <w:bottom w:val="none" w:sz="0" w:space="0" w:color="auto"/>
        <w:right w:val="none" w:sz="0" w:space="0" w:color="auto"/>
      </w:divBdr>
    </w:div>
    <w:div w:id="612173554">
      <w:bodyDiv w:val="1"/>
      <w:marLeft w:val="0"/>
      <w:marRight w:val="0"/>
      <w:marTop w:val="0"/>
      <w:marBottom w:val="0"/>
      <w:divBdr>
        <w:top w:val="none" w:sz="0" w:space="0" w:color="auto"/>
        <w:left w:val="none" w:sz="0" w:space="0" w:color="auto"/>
        <w:bottom w:val="none" w:sz="0" w:space="0" w:color="auto"/>
        <w:right w:val="none" w:sz="0" w:space="0" w:color="auto"/>
      </w:divBdr>
    </w:div>
    <w:div w:id="612203446">
      <w:bodyDiv w:val="1"/>
      <w:marLeft w:val="0"/>
      <w:marRight w:val="0"/>
      <w:marTop w:val="0"/>
      <w:marBottom w:val="0"/>
      <w:divBdr>
        <w:top w:val="none" w:sz="0" w:space="0" w:color="auto"/>
        <w:left w:val="none" w:sz="0" w:space="0" w:color="auto"/>
        <w:bottom w:val="none" w:sz="0" w:space="0" w:color="auto"/>
        <w:right w:val="none" w:sz="0" w:space="0" w:color="auto"/>
      </w:divBdr>
    </w:div>
    <w:div w:id="612713768">
      <w:bodyDiv w:val="1"/>
      <w:marLeft w:val="0"/>
      <w:marRight w:val="0"/>
      <w:marTop w:val="0"/>
      <w:marBottom w:val="0"/>
      <w:divBdr>
        <w:top w:val="none" w:sz="0" w:space="0" w:color="auto"/>
        <w:left w:val="none" w:sz="0" w:space="0" w:color="auto"/>
        <w:bottom w:val="none" w:sz="0" w:space="0" w:color="auto"/>
        <w:right w:val="none" w:sz="0" w:space="0" w:color="auto"/>
      </w:divBdr>
    </w:div>
    <w:div w:id="612787255">
      <w:bodyDiv w:val="1"/>
      <w:marLeft w:val="0"/>
      <w:marRight w:val="0"/>
      <w:marTop w:val="0"/>
      <w:marBottom w:val="0"/>
      <w:divBdr>
        <w:top w:val="none" w:sz="0" w:space="0" w:color="auto"/>
        <w:left w:val="none" w:sz="0" w:space="0" w:color="auto"/>
        <w:bottom w:val="none" w:sz="0" w:space="0" w:color="auto"/>
        <w:right w:val="none" w:sz="0" w:space="0" w:color="auto"/>
      </w:divBdr>
    </w:div>
    <w:div w:id="612830222">
      <w:bodyDiv w:val="1"/>
      <w:marLeft w:val="0"/>
      <w:marRight w:val="0"/>
      <w:marTop w:val="0"/>
      <w:marBottom w:val="0"/>
      <w:divBdr>
        <w:top w:val="none" w:sz="0" w:space="0" w:color="auto"/>
        <w:left w:val="none" w:sz="0" w:space="0" w:color="auto"/>
        <w:bottom w:val="none" w:sz="0" w:space="0" w:color="auto"/>
        <w:right w:val="none" w:sz="0" w:space="0" w:color="auto"/>
      </w:divBdr>
    </w:div>
    <w:div w:id="612831459">
      <w:bodyDiv w:val="1"/>
      <w:marLeft w:val="0"/>
      <w:marRight w:val="0"/>
      <w:marTop w:val="0"/>
      <w:marBottom w:val="0"/>
      <w:divBdr>
        <w:top w:val="none" w:sz="0" w:space="0" w:color="auto"/>
        <w:left w:val="none" w:sz="0" w:space="0" w:color="auto"/>
        <w:bottom w:val="none" w:sz="0" w:space="0" w:color="auto"/>
        <w:right w:val="none" w:sz="0" w:space="0" w:color="auto"/>
      </w:divBdr>
    </w:div>
    <w:div w:id="612833026">
      <w:bodyDiv w:val="1"/>
      <w:marLeft w:val="0"/>
      <w:marRight w:val="0"/>
      <w:marTop w:val="0"/>
      <w:marBottom w:val="0"/>
      <w:divBdr>
        <w:top w:val="none" w:sz="0" w:space="0" w:color="auto"/>
        <w:left w:val="none" w:sz="0" w:space="0" w:color="auto"/>
        <w:bottom w:val="none" w:sz="0" w:space="0" w:color="auto"/>
        <w:right w:val="none" w:sz="0" w:space="0" w:color="auto"/>
      </w:divBdr>
    </w:div>
    <w:div w:id="612905645">
      <w:bodyDiv w:val="1"/>
      <w:marLeft w:val="0"/>
      <w:marRight w:val="0"/>
      <w:marTop w:val="0"/>
      <w:marBottom w:val="0"/>
      <w:divBdr>
        <w:top w:val="none" w:sz="0" w:space="0" w:color="auto"/>
        <w:left w:val="none" w:sz="0" w:space="0" w:color="auto"/>
        <w:bottom w:val="none" w:sz="0" w:space="0" w:color="auto"/>
        <w:right w:val="none" w:sz="0" w:space="0" w:color="auto"/>
      </w:divBdr>
    </w:div>
    <w:div w:id="612906949">
      <w:bodyDiv w:val="1"/>
      <w:marLeft w:val="0"/>
      <w:marRight w:val="0"/>
      <w:marTop w:val="0"/>
      <w:marBottom w:val="0"/>
      <w:divBdr>
        <w:top w:val="none" w:sz="0" w:space="0" w:color="auto"/>
        <w:left w:val="none" w:sz="0" w:space="0" w:color="auto"/>
        <w:bottom w:val="none" w:sz="0" w:space="0" w:color="auto"/>
        <w:right w:val="none" w:sz="0" w:space="0" w:color="auto"/>
      </w:divBdr>
    </w:div>
    <w:div w:id="612981560">
      <w:bodyDiv w:val="1"/>
      <w:marLeft w:val="0"/>
      <w:marRight w:val="0"/>
      <w:marTop w:val="0"/>
      <w:marBottom w:val="0"/>
      <w:divBdr>
        <w:top w:val="none" w:sz="0" w:space="0" w:color="auto"/>
        <w:left w:val="none" w:sz="0" w:space="0" w:color="auto"/>
        <w:bottom w:val="none" w:sz="0" w:space="0" w:color="auto"/>
        <w:right w:val="none" w:sz="0" w:space="0" w:color="auto"/>
      </w:divBdr>
    </w:div>
    <w:div w:id="612981960">
      <w:bodyDiv w:val="1"/>
      <w:marLeft w:val="0"/>
      <w:marRight w:val="0"/>
      <w:marTop w:val="0"/>
      <w:marBottom w:val="0"/>
      <w:divBdr>
        <w:top w:val="none" w:sz="0" w:space="0" w:color="auto"/>
        <w:left w:val="none" w:sz="0" w:space="0" w:color="auto"/>
        <w:bottom w:val="none" w:sz="0" w:space="0" w:color="auto"/>
        <w:right w:val="none" w:sz="0" w:space="0" w:color="auto"/>
      </w:divBdr>
    </w:div>
    <w:div w:id="613054769">
      <w:bodyDiv w:val="1"/>
      <w:marLeft w:val="0"/>
      <w:marRight w:val="0"/>
      <w:marTop w:val="0"/>
      <w:marBottom w:val="0"/>
      <w:divBdr>
        <w:top w:val="none" w:sz="0" w:space="0" w:color="auto"/>
        <w:left w:val="none" w:sz="0" w:space="0" w:color="auto"/>
        <w:bottom w:val="none" w:sz="0" w:space="0" w:color="auto"/>
        <w:right w:val="none" w:sz="0" w:space="0" w:color="auto"/>
      </w:divBdr>
    </w:div>
    <w:div w:id="613094416">
      <w:bodyDiv w:val="1"/>
      <w:marLeft w:val="0"/>
      <w:marRight w:val="0"/>
      <w:marTop w:val="0"/>
      <w:marBottom w:val="0"/>
      <w:divBdr>
        <w:top w:val="none" w:sz="0" w:space="0" w:color="auto"/>
        <w:left w:val="none" w:sz="0" w:space="0" w:color="auto"/>
        <w:bottom w:val="none" w:sz="0" w:space="0" w:color="auto"/>
        <w:right w:val="none" w:sz="0" w:space="0" w:color="auto"/>
      </w:divBdr>
    </w:div>
    <w:div w:id="613097586">
      <w:bodyDiv w:val="1"/>
      <w:marLeft w:val="0"/>
      <w:marRight w:val="0"/>
      <w:marTop w:val="0"/>
      <w:marBottom w:val="0"/>
      <w:divBdr>
        <w:top w:val="none" w:sz="0" w:space="0" w:color="auto"/>
        <w:left w:val="none" w:sz="0" w:space="0" w:color="auto"/>
        <w:bottom w:val="none" w:sz="0" w:space="0" w:color="auto"/>
        <w:right w:val="none" w:sz="0" w:space="0" w:color="auto"/>
      </w:divBdr>
    </w:div>
    <w:div w:id="613289534">
      <w:bodyDiv w:val="1"/>
      <w:marLeft w:val="0"/>
      <w:marRight w:val="0"/>
      <w:marTop w:val="0"/>
      <w:marBottom w:val="0"/>
      <w:divBdr>
        <w:top w:val="none" w:sz="0" w:space="0" w:color="auto"/>
        <w:left w:val="none" w:sz="0" w:space="0" w:color="auto"/>
        <w:bottom w:val="none" w:sz="0" w:space="0" w:color="auto"/>
        <w:right w:val="none" w:sz="0" w:space="0" w:color="auto"/>
      </w:divBdr>
    </w:div>
    <w:div w:id="613710998">
      <w:bodyDiv w:val="1"/>
      <w:marLeft w:val="0"/>
      <w:marRight w:val="0"/>
      <w:marTop w:val="0"/>
      <w:marBottom w:val="0"/>
      <w:divBdr>
        <w:top w:val="none" w:sz="0" w:space="0" w:color="auto"/>
        <w:left w:val="none" w:sz="0" w:space="0" w:color="auto"/>
        <w:bottom w:val="none" w:sz="0" w:space="0" w:color="auto"/>
        <w:right w:val="none" w:sz="0" w:space="0" w:color="auto"/>
      </w:divBdr>
    </w:div>
    <w:div w:id="613826834">
      <w:bodyDiv w:val="1"/>
      <w:marLeft w:val="0"/>
      <w:marRight w:val="0"/>
      <w:marTop w:val="0"/>
      <w:marBottom w:val="0"/>
      <w:divBdr>
        <w:top w:val="none" w:sz="0" w:space="0" w:color="auto"/>
        <w:left w:val="none" w:sz="0" w:space="0" w:color="auto"/>
        <w:bottom w:val="none" w:sz="0" w:space="0" w:color="auto"/>
        <w:right w:val="none" w:sz="0" w:space="0" w:color="auto"/>
      </w:divBdr>
    </w:div>
    <w:div w:id="613899208">
      <w:bodyDiv w:val="1"/>
      <w:marLeft w:val="0"/>
      <w:marRight w:val="0"/>
      <w:marTop w:val="0"/>
      <w:marBottom w:val="0"/>
      <w:divBdr>
        <w:top w:val="none" w:sz="0" w:space="0" w:color="auto"/>
        <w:left w:val="none" w:sz="0" w:space="0" w:color="auto"/>
        <w:bottom w:val="none" w:sz="0" w:space="0" w:color="auto"/>
        <w:right w:val="none" w:sz="0" w:space="0" w:color="auto"/>
      </w:divBdr>
    </w:div>
    <w:div w:id="614142261">
      <w:bodyDiv w:val="1"/>
      <w:marLeft w:val="0"/>
      <w:marRight w:val="0"/>
      <w:marTop w:val="0"/>
      <w:marBottom w:val="0"/>
      <w:divBdr>
        <w:top w:val="none" w:sz="0" w:space="0" w:color="auto"/>
        <w:left w:val="none" w:sz="0" w:space="0" w:color="auto"/>
        <w:bottom w:val="none" w:sz="0" w:space="0" w:color="auto"/>
        <w:right w:val="none" w:sz="0" w:space="0" w:color="auto"/>
      </w:divBdr>
    </w:div>
    <w:div w:id="614210543">
      <w:bodyDiv w:val="1"/>
      <w:marLeft w:val="0"/>
      <w:marRight w:val="0"/>
      <w:marTop w:val="0"/>
      <w:marBottom w:val="0"/>
      <w:divBdr>
        <w:top w:val="none" w:sz="0" w:space="0" w:color="auto"/>
        <w:left w:val="none" w:sz="0" w:space="0" w:color="auto"/>
        <w:bottom w:val="none" w:sz="0" w:space="0" w:color="auto"/>
        <w:right w:val="none" w:sz="0" w:space="0" w:color="auto"/>
      </w:divBdr>
    </w:div>
    <w:div w:id="614285657">
      <w:bodyDiv w:val="1"/>
      <w:marLeft w:val="0"/>
      <w:marRight w:val="0"/>
      <w:marTop w:val="0"/>
      <w:marBottom w:val="0"/>
      <w:divBdr>
        <w:top w:val="none" w:sz="0" w:space="0" w:color="auto"/>
        <w:left w:val="none" w:sz="0" w:space="0" w:color="auto"/>
        <w:bottom w:val="none" w:sz="0" w:space="0" w:color="auto"/>
        <w:right w:val="none" w:sz="0" w:space="0" w:color="auto"/>
      </w:divBdr>
    </w:div>
    <w:div w:id="614413240">
      <w:bodyDiv w:val="1"/>
      <w:marLeft w:val="0"/>
      <w:marRight w:val="0"/>
      <w:marTop w:val="0"/>
      <w:marBottom w:val="0"/>
      <w:divBdr>
        <w:top w:val="none" w:sz="0" w:space="0" w:color="auto"/>
        <w:left w:val="none" w:sz="0" w:space="0" w:color="auto"/>
        <w:bottom w:val="none" w:sz="0" w:space="0" w:color="auto"/>
        <w:right w:val="none" w:sz="0" w:space="0" w:color="auto"/>
      </w:divBdr>
    </w:div>
    <w:div w:id="614479127">
      <w:bodyDiv w:val="1"/>
      <w:marLeft w:val="0"/>
      <w:marRight w:val="0"/>
      <w:marTop w:val="0"/>
      <w:marBottom w:val="0"/>
      <w:divBdr>
        <w:top w:val="none" w:sz="0" w:space="0" w:color="auto"/>
        <w:left w:val="none" w:sz="0" w:space="0" w:color="auto"/>
        <w:bottom w:val="none" w:sz="0" w:space="0" w:color="auto"/>
        <w:right w:val="none" w:sz="0" w:space="0" w:color="auto"/>
      </w:divBdr>
    </w:div>
    <w:div w:id="614480851">
      <w:bodyDiv w:val="1"/>
      <w:marLeft w:val="0"/>
      <w:marRight w:val="0"/>
      <w:marTop w:val="0"/>
      <w:marBottom w:val="0"/>
      <w:divBdr>
        <w:top w:val="none" w:sz="0" w:space="0" w:color="auto"/>
        <w:left w:val="none" w:sz="0" w:space="0" w:color="auto"/>
        <w:bottom w:val="none" w:sz="0" w:space="0" w:color="auto"/>
        <w:right w:val="none" w:sz="0" w:space="0" w:color="auto"/>
      </w:divBdr>
    </w:div>
    <w:div w:id="614487375">
      <w:bodyDiv w:val="1"/>
      <w:marLeft w:val="0"/>
      <w:marRight w:val="0"/>
      <w:marTop w:val="0"/>
      <w:marBottom w:val="0"/>
      <w:divBdr>
        <w:top w:val="none" w:sz="0" w:space="0" w:color="auto"/>
        <w:left w:val="none" w:sz="0" w:space="0" w:color="auto"/>
        <w:bottom w:val="none" w:sz="0" w:space="0" w:color="auto"/>
        <w:right w:val="none" w:sz="0" w:space="0" w:color="auto"/>
      </w:divBdr>
    </w:div>
    <w:div w:id="614991221">
      <w:bodyDiv w:val="1"/>
      <w:marLeft w:val="0"/>
      <w:marRight w:val="0"/>
      <w:marTop w:val="0"/>
      <w:marBottom w:val="0"/>
      <w:divBdr>
        <w:top w:val="none" w:sz="0" w:space="0" w:color="auto"/>
        <w:left w:val="none" w:sz="0" w:space="0" w:color="auto"/>
        <w:bottom w:val="none" w:sz="0" w:space="0" w:color="auto"/>
        <w:right w:val="none" w:sz="0" w:space="0" w:color="auto"/>
      </w:divBdr>
    </w:div>
    <w:div w:id="615019533">
      <w:bodyDiv w:val="1"/>
      <w:marLeft w:val="0"/>
      <w:marRight w:val="0"/>
      <w:marTop w:val="0"/>
      <w:marBottom w:val="0"/>
      <w:divBdr>
        <w:top w:val="none" w:sz="0" w:space="0" w:color="auto"/>
        <w:left w:val="none" w:sz="0" w:space="0" w:color="auto"/>
        <w:bottom w:val="none" w:sz="0" w:space="0" w:color="auto"/>
        <w:right w:val="none" w:sz="0" w:space="0" w:color="auto"/>
      </w:divBdr>
    </w:div>
    <w:div w:id="615065896">
      <w:bodyDiv w:val="1"/>
      <w:marLeft w:val="0"/>
      <w:marRight w:val="0"/>
      <w:marTop w:val="0"/>
      <w:marBottom w:val="0"/>
      <w:divBdr>
        <w:top w:val="none" w:sz="0" w:space="0" w:color="auto"/>
        <w:left w:val="none" w:sz="0" w:space="0" w:color="auto"/>
        <w:bottom w:val="none" w:sz="0" w:space="0" w:color="auto"/>
        <w:right w:val="none" w:sz="0" w:space="0" w:color="auto"/>
      </w:divBdr>
    </w:div>
    <w:div w:id="615065995">
      <w:bodyDiv w:val="1"/>
      <w:marLeft w:val="0"/>
      <w:marRight w:val="0"/>
      <w:marTop w:val="0"/>
      <w:marBottom w:val="0"/>
      <w:divBdr>
        <w:top w:val="none" w:sz="0" w:space="0" w:color="auto"/>
        <w:left w:val="none" w:sz="0" w:space="0" w:color="auto"/>
        <w:bottom w:val="none" w:sz="0" w:space="0" w:color="auto"/>
        <w:right w:val="none" w:sz="0" w:space="0" w:color="auto"/>
      </w:divBdr>
    </w:div>
    <w:div w:id="615135763">
      <w:bodyDiv w:val="1"/>
      <w:marLeft w:val="0"/>
      <w:marRight w:val="0"/>
      <w:marTop w:val="0"/>
      <w:marBottom w:val="0"/>
      <w:divBdr>
        <w:top w:val="none" w:sz="0" w:space="0" w:color="auto"/>
        <w:left w:val="none" w:sz="0" w:space="0" w:color="auto"/>
        <w:bottom w:val="none" w:sz="0" w:space="0" w:color="auto"/>
        <w:right w:val="none" w:sz="0" w:space="0" w:color="auto"/>
      </w:divBdr>
    </w:div>
    <w:div w:id="615330258">
      <w:bodyDiv w:val="1"/>
      <w:marLeft w:val="0"/>
      <w:marRight w:val="0"/>
      <w:marTop w:val="0"/>
      <w:marBottom w:val="0"/>
      <w:divBdr>
        <w:top w:val="none" w:sz="0" w:space="0" w:color="auto"/>
        <w:left w:val="none" w:sz="0" w:space="0" w:color="auto"/>
        <w:bottom w:val="none" w:sz="0" w:space="0" w:color="auto"/>
        <w:right w:val="none" w:sz="0" w:space="0" w:color="auto"/>
      </w:divBdr>
    </w:div>
    <w:div w:id="615406055">
      <w:bodyDiv w:val="1"/>
      <w:marLeft w:val="0"/>
      <w:marRight w:val="0"/>
      <w:marTop w:val="0"/>
      <w:marBottom w:val="0"/>
      <w:divBdr>
        <w:top w:val="none" w:sz="0" w:space="0" w:color="auto"/>
        <w:left w:val="none" w:sz="0" w:space="0" w:color="auto"/>
        <w:bottom w:val="none" w:sz="0" w:space="0" w:color="auto"/>
        <w:right w:val="none" w:sz="0" w:space="0" w:color="auto"/>
      </w:divBdr>
    </w:div>
    <w:div w:id="615453037">
      <w:bodyDiv w:val="1"/>
      <w:marLeft w:val="0"/>
      <w:marRight w:val="0"/>
      <w:marTop w:val="0"/>
      <w:marBottom w:val="0"/>
      <w:divBdr>
        <w:top w:val="none" w:sz="0" w:space="0" w:color="auto"/>
        <w:left w:val="none" w:sz="0" w:space="0" w:color="auto"/>
        <w:bottom w:val="none" w:sz="0" w:space="0" w:color="auto"/>
        <w:right w:val="none" w:sz="0" w:space="0" w:color="auto"/>
      </w:divBdr>
    </w:div>
    <w:div w:id="615673469">
      <w:bodyDiv w:val="1"/>
      <w:marLeft w:val="0"/>
      <w:marRight w:val="0"/>
      <w:marTop w:val="0"/>
      <w:marBottom w:val="0"/>
      <w:divBdr>
        <w:top w:val="none" w:sz="0" w:space="0" w:color="auto"/>
        <w:left w:val="none" w:sz="0" w:space="0" w:color="auto"/>
        <w:bottom w:val="none" w:sz="0" w:space="0" w:color="auto"/>
        <w:right w:val="none" w:sz="0" w:space="0" w:color="auto"/>
      </w:divBdr>
    </w:div>
    <w:div w:id="615675447">
      <w:bodyDiv w:val="1"/>
      <w:marLeft w:val="0"/>
      <w:marRight w:val="0"/>
      <w:marTop w:val="0"/>
      <w:marBottom w:val="0"/>
      <w:divBdr>
        <w:top w:val="none" w:sz="0" w:space="0" w:color="auto"/>
        <w:left w:val="none" w:sz="0" w:space="0" w:color="auto"/>
        <w:bottom w:val="none" w:sz="0" w:space="0" w:color="auto"/>
        <w:right w:val="none" w:sz="0" w:space="0" w:color="auto"/>
      </w:divBdr>
    </w:div>
    <w:div w:id="615676049">
      <w:bodyDiv w:val="1"/>
      <w:marLeft w:val="0"/>
      <w:marRight w:val="0"/>
      <w:marTop w:val="0"/>
      <w:marBottom w:val="0"/>
      <w:divBdr>
        <w:top w:val="none" w:sz="0" w:space="0" w:color="auto"/>
        <w:left w:val="none" w:sz="0" w:space="0" w:color="auto"/>
        <w:bottom w:val="none" w:sz="0" w:space="0" w:color="auto"/>
        <w:right w:val="none" w:sz="0" w:space="0" w:color="auto"/>
      </w:divBdr>
    </w:div>
    <w:div w:id="615677493">
      <w:bodyDiv w:val="1"/>
      <w:marLeft w:val="0"/>
      <w:marRight w:val="0"/>
      <w:marTop w:val="0"/>
      <w:marBottom w:val="0"/>
      <w:divBdr>
        <w:top w:val="none" w:sz="0" w:space="0" w:color="auto"/>
        <w:left w:val="none" w:sz="0" w:space="0" w:color="auto"/>
        <w:bottom w:val="none" w:sz="0" w:space="0" w:color="auto"/>
        <w:right w:val="none" w:sz="0" w:space="0" w:color="auto"/>
      </w:divBdr>
    </w:div>
    <w:div w:id="615789621">
      <w:bodyDiv w:val="1"/>
      <w:marLeft w:val="0"/>
      <w:marRight w:val="0"/>
      <w:marTop w:val="0"/>
      <w:marBottom w:val="0"/>
      <w:divBdr>
        <w:top w:val="none" w:sz="0" w:space="0" w:color="auto"/>
        <w:left w:val="none" w:sz="0" w:space="0" w:color="auto"/>
        <w:bottom w:val="none" w:sz="0" w:space="0" w:color="auto"/>
        <w:right w:val="none" w:sz="0" w:space="0" w:color="auto"/>
      </w:divBdr>
    </w:div>
    <w:div w:id="615867523">
      <w:bodyDiv w:val="1"/>
      <w:marLeft w:val="0"/>
      <w:marRight w:val="0"/>
      <w:marTop w:val="0"/>
      <w:marBottom w:val="0"/>
      <w:divBdr>
        <w:top w:val="none" w:sz="0" w:space="0" w:color="auto"/>
        <w:left w:val="none" w:sz="0" w:space="0" w:color="auto"/>
        <w:bottom w:val="none" w:sz="0" w:space="0" w:color="auto"/>
        <w:right w:val="none" w:sz="0" w:space="0" w:color="auto"/>
      </w:divBdr>
    </w:div>
    <w:div w:id="616065170">
      <w:bodyDiv w:val="1"/>
      <w:marLeft w:val="0"/>
      <w:marRight w:val="0"/>
      <w:marTop w:val="0"/>
      <w:marBottom w:val="0"/>
      <w:divBdr>
        <w:top w:val="none" w:sz="0" w:space="0" w:color="auto"/>
        <w:left w:val="none" w:sz="0" w:space="0" w:color="auto"/>
        <w:bottom w:val="none" w:sz="0" w:space="0" w:color="auto"/>
        <w:right w:val="none" w:sz="0" w:space="0" w:color="auto"/>
      </w:divBdr>
    </w:div>
    <w:div w:id="616255232">
      <w:bodyDiv w:val="1"/>
      <w:marLeft w:val="0"/>
      <w:marRight w:val="0"/>
      <w:marTop w:val="0"/>
      <w:marBottom w:val="0"/>
      <w:divBdr>
        <w:top w:val="none" w:sz="0" w:space="0" w:color="auto"/>
        <w:left w:val="none" w:sz="0" w:space="0" w:color="auto"/>
        <w:bottom w:val="none" w:sz="0" w:space="0" w:color="auto"/>
        <w:right w:val="none" w:sz="0" w:space="0" w:color="auto"/>
      </w:divBdr>
    </w:div>
    <w:div w:id="616379026">
      <w:bodyDiv w:val="1"/>
      <w:marLeft w:val="0"/>
      <w:marRight w:val="0"/>
      <w:marTop w:val="0"/>
      <w:marBottom w:val="0"/>
      <w:divBdr>
        <w:top w:val="none" w:sz="0" w:space="0" w:color="auto"/>
        <w:left w:val="none" w:sz="0" w:space="0" w:color="auto"/>
        <w:bottom w:val="none" w:sz="0" w:space="0" w:color="auto"/>
        <w:right w:val="none" w:sz="0" w:space="0" w:color="auto"/>
      </w:divBdr>
    </w:div>
    <w:div w:id="616525854">
      <w:bodyDiv w:val="1"/>
      <w:marLeft w:val="0"/>
      <w:marRight w:val="0"/>
      <w:marTop w:val="0"/>
      <w:marBottom w:val="0"/>
      <w:divBdr>
        <w:top w:val="none" w:sz="0" w:space="0" w:color="auto"/>
        <w:left w:val="none" w:sz="0" w:space="0" w:color="auto"/>
        <w:bottom w:val="none" w:sz="0" w:space="0" w:color="auto"/>
        <w:right w:val="none" w:sz="0" w:space="0" w:color="auto"/>
      </w:divBdr>
    </w:div>
    <w:div w:id="616567895">
      <w:bodyDiv w:val="1"/>
      <w:marLeft w:val="0"/>
      <w:marRight w:val="0"/>
      <w:marTop w:val="0"/>
      <w:marBottom w:val="0"/>
      <w:divBdr>
        <w:top w:val="none" w:sz="0" w:space="0" w:color="auto"/>
        <w:left w:val="none" w:sz="0" w:space="0" w:color="auto"/>
        <w:bottom w:val="none" w:sz="0" w:space="0" w:color="auto"/>
        <w:right w:val="none" w:sz="0" w:space="0" w:color="auto"/>
      </w:divBdr>
    </w:div>
    <w:div w:id="616569212">
      <w:bodyDiv w:val="1"/>
      <w:marLeft w:val="0"/>
      <w:marRight w:val="0"/>
      <w:marTop w:val="0"/>
      <w:marBottom w:val="0"/>
      <w:divBdr>
        <w:top w:val="none" w:sz="0" w:space="0" w:color="auto"/>
        <w:left w:val="none" w:sz="0" w:space="0" w:color="auto"/>
        <w:bottom w:val="none" w:sz="0" w:space="0" w:color="auto"/>
        <w:right w:val="none" w:sz="0" w:space="0" w:color="auto"/>
      </w:divBdr>
    </w:div>
    <w:div w:id="616718209">
      <w:bodyDiv w:val="1"/>
      <w:marLeft w:val="0"/>
      <w:marRight w:val="0"/>
      <w:marTop w:val="0"/>
      <w:marBottom w:val="0"/>
      <w:divBdr>
        <w:top w:val="none" w:sz="0" w:space="0" w:color="auto"/>
        <w:left w:val="none" w:sz="0" w:space="0" w:color="auto"/>
        <w:bottom w:val="none" w:sz="0" w:space="0" w:color="auto"/>
        <w:right w:val="none" w:sz="0" w:space="0" w:color="auto"/>
      </w:divBdr>
    </w:div>
    <w:div w:id="616718465">
      <w:bodyDiv w:val="1"/>
      <w:marLeft w:val="0"/>
      <w:marRight w:val="0"/>
      <w:marTop w:val="0"/>
      <w:marBottom w:val="0"/>
      <w:divBdr>
        <w:top w:val="none" w:sz="0" w:space="0" w:color="auto"/>
        <w:left w:val="none" w:sz="0" w:space="0" w:color="auto"/>
        <w:bottom w:val="none" w:sz="0" w:space="0" w:color="auto"/>
        <w:right w:val="none" w:sz="0" w:space="0" w:color="auto"/>
      </w:divBdr>
    </w:div>
    <w:div w:id="616719224">
      <w:bodyDiv w:val="1"/>
      <w:marLeft w:val="0"/>
      <w:marRight w:val="0"/>
      <w:marTop w:val="0"/>
      <w:marBottom w:val="0"/>
      <w:divBdr>
        <w:top w:val="none" w:sz="0" w:space="0" w:color="auto"/>
        <w:left w:val="none" w:sz="0" w:space="0" w:color="auto"/>
        <w:bottom w:val="none" w:sz="0" w:space="0" w:color="auto"/>
        <w:right w:val="none" w:sz="0" w:space="0" w:color="auto"/>
      </w:divBdr>
    </w:div>
    <w:div w:id="617029518">
      <w:bodyDiv w:val="1"/>
      <w:marLeft w:val="0"/>
      <w:marRight w:val="0"/>
      <w:marTop w:val="0"/>
      <w:marBottom w:val="0"/>
      <w:divBdr>
        <w:top w:val="none" w:sz="0" w:space="0" w:color="auto"/>
        <w:left w:val="none" w:sz="0" w:space="0" w:color="auto"/>
        <w:bottom w:val="none" w:sz="0" w:space="0" w:color="auto"/>
        <w:right w:val="none" w:sz="0" w:space="0" w:color="auto"/>
      </w:divBdr>
    </w:div>
    <w:div w:id="617030483">
      <w:bodyDiv w:val="1"/>
      <w:marLeft w:val="0"/>
      <w:marRight w:val="0"/>
      <w:marTop w:val="0"/>
      <w:marBottom w:val="0"/>
      <w:divBdr>
        <w:top w:val="none" w:sz="0" w:space="0" w:color="auto"/>
        <w:left w:val="none" w:sz="0" w:space="0" w:color="auto"/>
        <w:bottom w:val="none" w:sz="0" w:space="0" w:color="auto"/>
        <w:right w:val="none" w:sz="0" w:space="0" w:color="auto"/>
      </w:divBdr>
    </w:div>
    <w:div w:id="617224872">
      <w:bodyDiv w:val="1"/>
      <w:marLeft w:val="0"/>
      <w:marRight w:val="0"/>
      <w:marTop w:val="0"/>
      <w:marBottom w:val="0"/>
      <w:divBdr>
        <w:top w:val="none" w:sz="0" w:space="0" w:color="auto"/>
        <w:left w:val="none" w:sz="0" w:space="0" w:color="auto"/>
        <w:bottom w:val="none" w:sz="0" w:space="0" w:color="auto"/>
        <w:right w:val="none" w:sz="0" w:space="0" w:color="auto"/>
      </w:divBdr>
    </w:div>
    <w:div w:id="617226203">
      <w:bodyDiv w:val="1"/>
      <w:marLeft w:val="0"/>
      <w:marRight w:val="0"/>
      <w:marTop w:val="0"/>
      <w:marBottom w:val="0"/>
      <w:divBdr>
        <w:top w:val="none" w:sz="0" w:space="0" w:color="auto"/>
        <w:left w:val="none" w:sz="0" w:space="0" w:color="auto"/>
        <w:bottom w:val="none" w:sz="0" w:space="0" w:color="auto"/>
        <w:right w:val="none" w:sz="0" w:space="0" w:color="auto"/>
      </w:divBdr>
    </w:div>
    <w:div w:id="617302096">
      <w:bodyDiv w:val="1"/>
      <w:marLeft w:val="0"/>
      <w:marRight w:val="0"/>
      <w:marTop w:val="0"/>
      <w:marBottom w:val="0"/>
      <w:divBdr>
        <w:top w:val="none" w:sz="0" w:space="0" w:color="auto"/>
        <w:left w:val="none" w:sz="0" w:space="0" w:color="auto"/>
        <w:bottom w:val="none" w:sz="0" w:space="0" w:color="auto"/>
        <w:right w:val="none" w:sz="0" w:space="0" w:color="auto"/>
      </w:divBdr>
    </w:div>
    <w:div w:id="617378189">
      <w:bodyDiv w:val="1"/>
      <w:marLeft w:val="0"/>
      <w:marRight w:val="0"/>
      <w:marTop w:val="0"/>
      <w:marBottom w:val="0"/>
      <w:divBdr>
        <w:top w:val="none" w:sz="0" w:space="0" w:color="auto"/>
        <w:left w:val="none" w:sz="0" w:space="0" w:color="auto"/>
        <w:bottom w:val="none" w:sz="0" w:space="0" w:color="auto"/>
        <w:right w:val="none" w:sz="0" w:space="0" w:color="auto"/>
      </w:divBdr>
    </w:div>
    <w:div w:id="617445558">
      <w:bodyDiv w:val="1"/>
      <w:marLeft w:val="0"/>
      <w:marRight w:val="0"/>
      <w:marTop w:val="0"/>
      <w:marBottom w:val="0"/>
      <w:divBdr>
        <w:top w:val="none" w:sz="0" w:space="0" w:color="auto"/>
        <w:left w:val="none" w:sz="0" w:space="0" w:color="auto"/>
        <w:bottom w:val="none" w:sz="0" w:space="0" w:color="auto"/>
        <w:right w:val="none" w:sz="0" w:space="0" w:color="auto"/>
      </w:divBdr>
    </w:div>
    <w:div w:id="617570223">
      <w:bodyDiv w:val="1"/>
      <w:marLeft w:val="0"/>
      <w:marRight w:val="0"/>
      <w:marTop w:val="0"/>
      <w:marBottom w:val="0"/>
      <w:divBdr>
        <w:top w:val="none" w:sz="0" w:space="0" w:color="auto"/>
        <w:left w:val="none" w:sz="0" w:space="0" w:color="auto"/>
        <w:bottom w:val="none" w:sz="0" w:space="0" w:color="auto"/>
        <w:right w:val="none" w:sz="0" w:space="0" w:color="auto"/>
      </w:divBdr>
    </w:div>
    <w:div w:id="617637705">
      <w:bodyDiv w:val="1"/>
      <w:marLeft w:val="0"/>
      <w:marRight w:val="0"/>
      <w:marTop w:val="0"/>
      <w:marBottom w:val="0"/>
      <w:divBdr>
        <w:top w:val="none" w:sz="0" w:space="0" w:color="auto"/>
        <w:left w:val="none" w:sz="0" w:space="0" w:color="auto"/>
        <w:bottom w:val="none" w:sz="0" w:space="0" w:color="auto"/>
        <w:right w:val="none" w:sz="0" w:space="0" w:color="auto"/>
      </w:divBdr>
    </w:div>
    <w:div w:id="617685499">
      <w:bodyDiv w:val="1"/>
      <w:marLeft w:val="0"/>
      <w:marRight w:val="0"/>
      <w:marTop w:val="0"/>
      <w:marBottom w:val="0"/>
      <w:divBdr>
        <w:top w:val="none" w:sz="0" w:space="0" w:color="auto"/>
        <w:left w:val="none" w:sz="0" w:space="0" w:color="auto"/>
        <w:bottom w:val="none" w:sz="0" w:space="0" w:color="auto"/>
        <w:right w:val="none" w:sz="0" w:space="0" w:color="auto"/>
      </w:divBdr>
    </w:div>
    <w:div w:id="617686460">
      <w:bodyDiv w:val="1"/>
      <w:marLeft w:val="0"/>
      <w:marRight w:val="0"/>
      <w:marTop w:val="0"/>
      <w:marBottom w:val="0"/>
      <w:divBdr>
        <w:top w:val="none" w:sz="0" w:space="0" w:color="auto"/>
        <w:left w:val="none" w:sz="0" w:space="0" w:color="auto"/>
        <w:bottom w:val="none" w:sz="0" w:space="0" w:color="auto"/>
        <w:right w:val="none" w:sz="0" w:space="0" w:color="auto"/>
      </w:divBdr>
    </w:div>
    <w:div w:id="617832307">
      <w:bodyDiv w:val="1"/>
      <w:marLeft w:val="0"/>
      <w:marRight w:val="0"/>
      <w:marTop w:val="0"/>
      <w:marBottom w:val="0"/>
      <w:divBdr>
        <w:top w:val="none" w:sz="0" w:space="0" w:color="auto"/>
        <w:left w:val="none" w:sz="0" w:space="0" w:color="auto"/>
        <w:bottom w:val="none" w:sz="0" w:space="0" w:color="auto"/>
        <w:right w:val="none" w:sz="0" w:space="0" w:color="auto"/>
      </w:divBdr>
    </w:div>
    <w:div w:id="617835959">
      <w:bodyDiv w:val="1"/>
      <w:marLeft w:val="0"/>
      <w:marRight w:val="0"/>
      <w:marTop w:val="0"/>
      <w:marBottom w:val="0"/>
      <w:divBdr>
        <w:top w:val="none" w:sz="0" w:space="0" w:color="auto"/>
        <w:left w:val="none" w:sz="0" w:space="0" w:color="auto"/>
        <w:bottom w:val="none" w:sz="0" w:space="0" w:color="auto"/>
        <w:right w:val="none" w:sz="0" w:space="0" w:color="auto"/>
      </w:divBdr>
    </w:div>
    <w:div w:id="618148879">
      <w:bodyDiv w:val="1"/>
      <w:marLeft w:val="0"/>
      <w:marRight w:val="0"/>
      <w:marTop w:val="0"/>
      <w:marBottom w:val="0"/>
      <w:divBdr>
        <w:top w:val="none" w:sz="0" w:space="0" w:color="auto"/>
        <w:left w:val="none" w:sz="0" w:space="0" w:color="auto"/>
        <w:bottom w:val="none" w:sz="0" w:space="0" w:color="auto"/>
        <w:right w:val="none" w:sz="0" w:space="0" w:color="auto"/>
      </w:divBdr>
    </w:div>
    <w:div w:id="618222886">
      <w:bodyDiv w:val="1"/>
      <w:marLeft w:val="0"/>
      <w:marRight w:val="0"/>
      <w:marTop w:val="0"/>
      <w:marBottom w:val="0"/>
      <w:divBdr>
        <w:top w:val="none" w:sz="0" w:space="0" w:color="auto"/>
        <w:left w:val="none" w:sz="0" w:space="0" w:color="auto"/>
        <w:bottom w:val="none" w:sz="0" w:space="0" w:color="auto"/>
        <w:right w:val="none" w:sz="0" w:space="0" w:color="auto"/>
      </w:divBdr>
    </w:div>
    <w:div w:id="618297814">
      <w:bodyDiv w:val="1"/>
      <w:marLeft w:val="0"/>
      <w:marRight w:val="0"/>
      <w:marTop w:val="0"/>
      <w:marBottom w:val="0"/>
      <w:divBdr>
        <w:top w:val="none" w:sz="0" w:space="0" w:color="auto"/>
        <w:left w:val="none" w:sz="0" w:space="0" w:color="auto"/>
        <w:bottom w:val="none" w:sz="0" w:space="0" w:color="auto"/>
        <w:right w:val="none" w:sz="0" w:space="0" w:color="auto"/>
      </w:divBdr>
    </w:div>
    <w:div w:id="618341387">
      <w:bodyDiv w:val="1"/>
      <w:marLeft w:val="0"/>
      <w:marRight w:val="0"/>
      <w:marTop w:val="0"/>
      <w:marBottom w:val="0"/>
      <w:divBdr>
        <w:top w:val="none" w:sz="0" w:space="0" w:color="auto"/>
        <w:left w:val="none" w:sz="0" w:space="0" w:color="auto"/>
        <w:bottom w:val="none" w:sz="0" w:space="0" w:color="auto"/>
        <w:right w:val="none" w:sz="0" w:space="0" w:color="auto"/>
      </w:divBdr>
    </w:div>
    <w:div w:id="618418358">
      <w:bodyDiv w:val="1"/>
      <w:marLeft w:val="0"/>
      <w:marRight w:val="0"/>
      <w:marTop w:val="0"/>
      <w:marBottom w:val="0"/>
      <w:divBdr>
        <w:top w:val="none" w:sz="0" w:space="0" w:color="auto"/>
        <w:left w:val="none" w:sz="0" w:space="0" w:color="auto"/>
        <w:bottom w:val="none" w:sz="0" w:space="0" w:color="auto"/>
        <w:right w:val="none" w:sz="0" w:space="0" w:color="auto"/>
      </w:divBdr>
    </w:div>
    <w:div w:id="618486130">
      <w:bodyDiv w:val="1"/>
      <w:marLeft w:val="0"/>
      <w:marRight w:val="0"/>
      <w:marTop w:val="0"/>
      <w:marBottom w:val="0"/>
      <w:divBdr>
        <w:top w:val="none" w:sz="0" w:space="0" w:color="auto"/>
        <w:left w:val="none" w:sz="0" w:space="0" w:color="auto"/>
        <w:bottom w:val="none" w:sz="0" w:space="0" w:color="auto"/>
        <w:right w:val="none" w:sz="0" w:space="0" w:color="auto"/>
      </w:divBdr>
    </w:div>
    <w:div w:id="618494421">
      <w:bodyDiv w:val="1"/>
      <w:marLeft w:val="0"/>
      <w:marRight w:val="0"/>
      <w:marTop w:val="0"/>
      <w:marBottom w:val="0"/>
      <w:divBdr>
        <w:top w:val="none" w:sz="0" w:space="0" w:color="auto"/>
        <w:left w:val="none" w:sz="0" w:space="0" w:color="auto"/>
        <w:bottom w:val="none" w:sz="0" w:space="0" w:color="auto"/>
        <w:right w:val="none" w:sz="0" w:space="0" w:color="auto"/>
      </w:divBdr>
    </w:div>
    <w:div w:id="618531636">
      <w:bodyDiv w:val="1"/>
      <w:marLeft w:val="0"/>
      <w:marRight w:val="0"/>
      <w:marTop w:val="0"/>
      <w:marBottom w:val="0"/>
      <w:divBdr>
        <w:top w:val="none" w:sz="0" w:space="0" w:color="auto"/>
        <w:left w:val="none" w:sz="0" w:space="0" w:color="auto"/>
        <w:bottom w:val="none" w:sz="0" w:space="0" w:color="auto"/>
        <w:right w:val="none" w:sz="0" w:space="0" w:color="auto"/>
      </w:divBdr>
    </w:div>
    <w:div w:id="618681763">
      <w:bodyDiv w:val="1"/>
      <w:marLeft w:val="0"/>
      <w:marRight w:val="0"/>
      <w:marTop w:val="0"/>
      <w:marBottom w:val="0"/>
      <w:divBdr>
        <w:top w:val="none" w:sz="0" w:space="0" w:color="auto"/>
        <w:left w:val="none" w:sz="0" w:space="0" w:color="auto"/>
        <w:bottom w:val="none" w:sz="0" w:space="0" w:color="auto"/>
        <w:right w:val="none" w:sz="0" w:space="0" w:color="auto"/>
      </w:divBdr>
    </w:div>
    <w:div w:id="618756587">
      <w:bodyDiv w:val="1"/>
      <w:marLeft w:val="0"/>
      <w:marRight w:val="0"/>
      <w:marTop w:val="0"/>
      <w:marBottom w:val="0"/>
      <w:divBdr>
        <w:top w:val="none" w:sz="0" w:space="0" w:color="auto"/>
        <w:left w:val="none" w:sz="0" w:space="0" w:color="auto"/>
        <w:bottom w:val="none" w:sz="0" w:space="0" w:color="auto"/>
        <w:right w:val="none" w:sz="0" w:space="0" w:color="auto"/>
      </w:divBdr>
    </w:div>
    <w:div w:id="618800876">
      <w:bodyDiv w:val="1"/>
      <w:marLeft w:val="0"/>
      <w:marRight w:val="0"/>
      <w:marTop w:val="0"/>
      <w:marBottom w:val="0"/>
      <w:divBdr>
        <w:top w:val="none" w:sz="0" w:space="0" w:color="auto"/>
        <w:left w:val="none" w:sz="0" w:space="0" w:color="auto"/>
        <w:bottom w:val="none" w:sz="0" w:space="0" w:color="auto"/>
        <w:right w:val="none" w:sz="0" w:space="0" w:color="auto"/>
      </w:divBdr>
    </w:div>
    <w:div w:id="618803829">
      <w:bodyDiv w:val="1"/>
      <w:marLeft w:val="0"/>
      <w:marRight w:val="0"/>
      <w:marTop w:val="0"/>
      <w:marBottom w:val="0"/>
      <w:divBdr>
        <w:top w:val="none" w:sz="0" w:space="0" w:color="auto"/>
        <w:left w:val="none" w:sz="0" w:space="0" w:color="auto"/>
        <w:bottom w:val="none" w:sz="0" w:space="0" w:color="auto"/>
        <w:right w:val="none" w:sz="0" w:space="0" w:color="auto"/>
      </w:divBdr>
    </w:div>
    <w:div w:id="618877862">
      <w:bodyDiv w:val="1"/>
      <w:marLeft w:val="0"/>
      <w:marRight w:val="0"/>
      <w:marTop w:val="0"/>
      <w:marBottom w:val="0"/>
      <w:divBdr>
        <w:top w:val="none" w:sz="0" w:space="0" w:color="auto"/>
        <w:left w:val="none" w:sz="0" w:space="0" w:color="auto"/>
        <w:bottom w:val="none" w:sz="0" w:space="0" w:color="auto"/>
        <w:right w:val="none" w:sz="0" w:space="0" w:color="auto"/>
      </w:divBdr>
    </w:div>
    <w:div w:id="618881185">
      <w:bodyDiv w:val="1"/>
      <w:marLeft w:val="0"/>
      <w:marRight w:val="0"/>
      <w:marTop w:val="0"/>
      <w:marBottom w:val="0"/>
      <w:divBdr>
        <w:top w:val="none" w:sz="0" w:space="0" w:color="auto"/>
        <w:left w:val="none" w:sz="0" w:space="0" w:color="auto"/>
        <w:bottom w:val="none" w:sz="0" w:space="0" w:color="auto"/>
        <w:right w:val="none" w:sz="0" w:space="0" w:color="auto"/>
      </w:divBdr>
    </w:div>
    <w:div w:id="619074004">
      <w:bodyDiv w:val="1"/>
      <w:marLeft w:val="0"/>
      <w:marRight w:val="0"/>
      <w:marTop w:val="0"/>
      <w:marBottom w:val="0"/>
      <w:divBdr>
        <w:top w:val="none" w:sz="0" w:space="0" w:color="auto"/>
        <w:left w:val="none" w:sz="0" w:space="0" w:color="auto"/>
        <w:bottom w:val="none" w:sz="0" w:space="0" w:color="auto"/>
        <w:right w:val="none" w:sz="0" w:space="0" w:color="auto"/>
      </w:divBdr>
    </w:div>
    <w:div w:id="619261183">
      <w:bodyDiv w:val="1"/>
      <w:marLeft w:val="0"/>
      <w:marRight w:val="0"/>
      <w:marTop w:val="0"/>
      <w:marBottom w:val="0"/>
      <w:divBdr>
        <w:top w:val="none" w:sz="0" w:space="0" w:color="auto"/>
        <w:left w:val="none" w:sz="0" w:space="0" w:color="auto"/>
        <w:bottom w:val="none" w:sz="0" w:space="0" w:color="auto"/>
        <w:right w:val="none" w:sz="0" w:space="0" w:color="auto"/>
      </w:divBdr>
    </w:div>
    <w:div w:id="619411072">
      <w:bodyDiv w:val="1"/>
      <w:marLeft w:val="0"/>
      <w:marRight w:val="0"/>
      <w:marTop w:val="0"/>
      <w:marBottom w:val="0"/>
      <w:divBdr>
        <w:top w:val="none" w:sz="0" w:space="0" w:color="auto"/>
        <w:left w:val="none" w:sz="0" w:space="0" w:color="auto"/>
        <w:bottom w:val="none" w:sz="0" w:space="0" w:color="auto"/>
        <w:right w:val="none" w:sz="0" w:space="0" w:color="auto"/>
      </w:divBdr>
    </w:div>
    <w:div w:id="619604509">
      <w:bodyDiv w:val="1"/>
      <w:marLeft w:val="0"/>
      <w:marRight w:val="0"/>
      <w:marTop w:val="0"/>
      <w:marBottom w:val="0"/>
      <w:divBdr>
        <w:top w:val="none" w:sz="0" w:space="0" w:color="auto"/>
        <w:left w:val="none" w:sz="0" w:space="0" w:color="auto"/>
        <w:bottom w:val="none" w:sz="0" w:space="0" w:color="auto"/>
        <w:right w:val="none" w:sz="0" w:space="0" w:color="auto"/>
      </w:divBdr>
    </w:div>
    <w:div w:id="619609683">
      <w:bodyDiv w:val="1"/>
      <w:marLeft w:val="0"/>
      <w:marRight w:val="0"/>
      <w:marTop w:val="0"/>
      <w:marBottom w:val="0"/>
      <w:divBdr>
        <w:top w:val="none" w:sz="0" w:space="0" w:color="auto"/>
        <w:left w:val="none" w:sz="0" w:space="0" w:color="auto"/>
        <w:bottom w:val="none" w:sz="0" w:space="0" w:color="auto"/>
        <w:right w:val="none" w:sz="0" w:space="0" w:color="auto"/>
      </w:divBdr>
    </w:div>
    <w:div w:id="619651553">
      <w:bodyDiv w:val="1"/>
      <w:marLeft w:val="0"/>
      <w:marRight w:val="0"/>
      <w:marTop w:val="0"/>
      <w:marBottom w:val="0"/>
      <w:divBdr>
        <w:top w:val="none" w:sz="0" w:space="0" w:color="auto"/>
        <w:left w:val="none" w:sz="0" w:space="0" w:color="auto"/>
        <w:bottom w:val="none" w:sz="0" w:space="0" w:color="auto"/>
        <w:right w:val="none" w:sz="0" w:space="0" w:color="auto"/>
      </w:divBdr>
    </w:div>
    <w:div w:id="619652268">
      <w:bodyDiv w:val="1"/>
      <w:marLeft w:val="0"/>
      <w:marRight w:val="0"/>
      <w:marTop w:val="0"/>
      <w:marBottom w:val="0"/>
      <w:divBdr>
        <w:top w:val="none" w:sz="0" w:space="0" w:color="auto"/>
        <w:left w:val="none" w:sz="0" w:space="0" w:color="auto"/>
        <w:bottom w:val="none" w:sz="0" w:space="0" w:color="auto"/>
        <w:right w:val="none" w:sz="0" w:space="0" w:color="auto"/>
      </w:divBdr>
    </w:div>
    <w:div w:id="619729643">
      <w:bodyDiv w:val="1"/>
      <w:marLeft w:val="0"/>
      <w:marRight w:val="0"/>
      <w:marTop w:val="0"/>
      <w:marBottom w:val="0"/>
      <w:divBdr>
        <w:top w:val="none" w:sz="0" w:space="0" w:color="auto"/>
        <w:left w:val="none" w:sz="0" w:space="0" w:color="auto"/>
        <w:bottom w:val="none" w:sz="0" w:space="0" w:color="auto"/>
        <w:right w:val="none" w:sz="0" w:space="0" w:color="auto"/>
      </w:divBdr>
    </w:div>
    <w:div w:id="619730229">
      <w:bodyDiv w:val="1"/>
      <w:marLeft w:val="0"/>
      <w:marRight w:val="0"/>
      <w:marTop w:val="0"/>
      <w:marBottom w:val="0"/>
      <w:divBdr>
        <w:top w:val="none" w:sz="0" w:space="0" w:color="auto"/>
        <w:left w:val="none" w:sz="0" w:space="0" w:color="auto"/>
        <w:bottom w:val="none" w:sz="0" w:space="0" w:color="auto"/>
        <w:right w:val="none" w:sz="0" w:space="0" w:color="auto"/>
      </w:divBdr>
    </w:div>
    <w:div w:id="619803829">
      <w:bodyDiv w:val="1"/>
      <w:marLeft w:val="0"/>
      <w:marRight w:val="0"/>
      <w:marTop w:val="0"/>
      <w:marBottom w:val="0"/>
      <w:divBdr>
        <w:top w:val="none" w:sz="0" w:space="0" w:color="auto"/>
        <w:left w:val="none" w:sz="0" w:space="0" w:color="auto"/>
        <w:bottom w:val="none" w:sz="0" w:space="0" w:color="auto"/>
        <w:right w:val="none" w:sz="0" w:space="0" w:color="auto"/>
      </w:divBdr>
    </w:div>
    <w:div w:id="620192275">
      <w:bodyDiv w:val="1"/>
      <w:marLeft w:val="0"/>
      <w:marRight w:val="0"/>
      <w:marTop w:val="0"/>
      <w:marBottom w:val="0"/>
      <w:divBdr>
        <w:top w:val="none" w:sz="0" w:space="0" w:color="auto"/>
        <w:left w:val="none" w:sz="0" w:space="0" w:color="auto"/>
        <w:bottom w:val="none" w:sz="0" w:space="0" w:color="auto"/>
        <w:right w:val="none" w:sz="0" w:space="0" w:color="auto"/>
      </w:divBdr>
    </w:div>
    <w:div w:id="620235160">
      <w:bodyDiv w:val="1"/>
      <w:marLeft w:val="0"/>
      <w:marRight w:val="0"/>
      <w:marTop w:val="0"/>
      <w:marBottom w:val="0"/>
      <w:divBdr>
        <w:top w:val="none" w:sz="0" w:space="0" w:color="auto"/>
        <w:left w:val="none" w:sz="0" w:space="0" w:color="auto"/>
        <w:bottom w:val="none" w:sz="0" w:space="0" w:color="auto"/>
        <w:right w:val="none" w:sz="0" w:space="0" w:color="auto"/>
      </w:divBdr>
    </w:div>
    <w:div w:id="620383086">
      <w:bodyDiv w:val="1"/>
      <w:marLeft w:val="0"/>
      <w:marRight w:val="0"/>
      <w:marTop w:val="0"/>
      <w:marBottom w:val="0"/>
      <w:divBdr>
        <w:top w:val="none" w:sz="0" w:space="0" w:color="auto"/>
        <w:left w:val="none" w:sz="0" w:space="0" w:color="auto"/>
        <w:bottom w:val="none" w:sz="0" w:space="0" w:color="auto"/>
        <w:right w:val="none" w:sz="0" w:space="0" w:color="auto"/>
      </w:divBdr>
    </w:div>
    <w:div w:id="620457417">
      <w:bodyDiv w:val="1"/>
      <w:marLeft w:val="0"/>
      <w:marRight w:val="0"/>
      <w:marTop w:val="0"/>
      <w:marBottom w:val="0"/>
      <w:divBdr>
        <w:top w:val="none" w:sz="0" w:space="0" w:color="auto"/>
        <w:left w:val="none" w:sz="0" w:space="0" w:color="auto"/>
        <w:bottom w:val="none" w:sz="0" w:space="0" w:color="auto"/>
        <w:right w:val="none" w:sz="0" w:space="0" w:color="auto"/>
      </w:divBdr>
    </w:div>
    <w:div w:id="620503389">
      <w:bodyDiv w:val="1"/>
      <w:marLeft w:val="0"/>
      <w:marRight w:val="0"/>
      <w:marTop w:val="0"/>
      <w:marBottom w:val="0"/>
      <w:divBdr>
        <w:top w:val="none" w:sz="0" w:space="0" w:color="auto"/>
        <w:left w:val="none" w:sz="0" w:space="0" w:color="auto"/>
        <w:bottom w:val="none" w:sz="0" w:space="0" w:color="auto"/>
        <w:right w:val="none" w:sz="0" w:space="0" w:color="auto"/>
      </w:divBdr>
    </w:div>
    <w:div w:id="620722354">
      <w:bodyDiv w:val="1"/>
      <w:marLeft w:val="0"/>
      <w:marRight w:val="0"/>
      <w:marTop w:val="0"/>
      <w:marBottom w:val="0"/>
      <w:divBdr>
        <w:top w:val="none" w:sz="0" w:space="0" w:color="auto"/>
        <w:left w:val="none" w:sz="0" w:space="0" w:color="auto"/>
        <w:bottom w:val="none" w:sz="0" w:space="0" w:color="auto"/>
        <w:right w:val="none" w:sz="0" w:space="0" w:color="auto"/>
      </w:divBdr>
    </w:div>
    <w:div w:id="620958118">
      <w:bodyDiv w:val="1"/>
      <w:marLeft w:val="0"/>
      <w:marRight w:val="0"/>
      <w:marTop w:val="0"/>
      <w:marBottom w:val="0"/>
      <w:divBdr>
        <w:top w:val="none" w:sz="0" w:space="0" w:color="auto"/>
        <w:left w:val="none" w:sz="0" w:space="0" w:color="auto"/>
        <w:bottom w:val="none" w:sz="0" w:space="0" w:color="auto"/>
        <w:right w:val="none" w:sz="0" w:space="0" w:color="auto"/>
      </w:divBdr>
    </w:div>
    <w:div w:id="620960131">
      <w:bodyDiv w:val="1"/>
      <w:marLeft w:val="0"/>
      <w:marRight w:val="0"/>
      <w:marTop w:val="0"/>
      <w:marBottom w:val="0"/>
      <w:divBdr>
        <w:top w:val="none" w:sz="0" w:space="0" w:color="auto"/>
        <w:left w:val="none" w:sz="0" w:space="0" w:color="auto"/>
        <w:bottom w:val="none" w:sz="0" w:space="0" w:color="auto"/>
        <w:right w:val="none" w:sz="0" w:space="0" w:color="auto"/>
      </w:divBdr>
    </w:div>
    <w:div w:id="620960140">
      <w:bodyDiv w:val="1"/>
      <w:marLeft w:val="0"/>
      <w:marRight w:val="0"/>
      <w:marTop w:val="0"/>
      <w:marBottom w:val="0"/>
      <w:divBdr>
        <w:top w:val="none" w:sz="0" w:space="0" w:color="auto"/>
        <w:left w:val="none" w:sz="0" w:space="0" w:color="auto"/>
        <w:bottom w:val="none" w:sz="0" w:space="0" w:color="auto"/>
        <w:right w:val="none" w:sz="0" w:space="0" w:color="auto"/>
      </w:divBdr>
    </w:div>
    <w:div w:id="620961118">
      <w:bodyDiv w:val="1"/>
      <w:marLeft w:val="0"/>
      <w:marRight w:val="0"/>
      <w:marTop w:val="0"/>
      <w:marBottom w:val="0"/>
      <w:divBdr>
        <w:top w:val="none" w:sz="0" w:space="0" w:color="auto"/>
        <w:left w:val="none" w:sz="0" w:space="0" w:color="auto"/>
        <w:bottom w:val="none" w:sz="0" w:space="0" w:color="auto"/>
        <w:right w:val="none" w:sz="0" w:space="0" w:color="auto"/>
      </w:divBdr>
    </w:div>
    <w:div w:id="621038912">
      <w:bodyDiv w:val="1"/>
      <w:marLeft w:val="0"/>
      <w:marRight w:val="0"/>
      <w:marTop w:val="0"/>
      <w:marBottom w:val="0"/>
      <w:divBdr>
        <w:top w:val="none" w:sz="0" w:space="0" w:color="auto"/>
        <w:left w:val="none" w:sz="0" w:space="0" w:color="auto"/>
        <w:bottom w:val="none" w:sz="0" w:space="0" w:color="auto"/>
        <w:right w:val="none" w:sz="0" w:space="0" w:color="auto"/>
      </w:divBdr>
    </w:div>
    <w:div w:id="621108593">
      <w:bodyDiv w:val="1"/>
      <w:marLeft w:val="0"/>
      <w:marRight w:val="0"/>
      <w:marTop w:val="0"/>
      <w:marBottom w:val="0"/>
      <w:divBdr>
        <w:top w:val="none" w:sz="0" w:space="0" w:color="auto"/>
        <w:left w:val="none" w:sz="0" w:space="0" w:color="auto"/>
        <w:bottom w:val="none" w:sz="0" w:space="0" w:color="auto"/>
        <w:right w:val="none" w:sz="0" w:space="0" w:color="auto"/>
      </w:divBdr>
    </w:div>
    <w:div w:id="621155056">
      <w:bodyDiv w:val="1"/>
      <w:marLeft w:val="0"/>
      <w:marRight w:val="0"/>
      <w:marTop w:val="0"/>
      <w:marBottom w:val="0"/>
      <w:divBdr>
        <w:top w:val="none" w:sz="0" w:space="0" w:color="auto"/>
        <w:left w:val="none" w:sz="0" w:space="0" w:color="auto"/>
        <w:bottom w:val="none" w:sz="0" w:space="0" w:color="auto"/>
        <w:right w:val="none" w:sz="0" w:space="0" w:color="auto"/>
      </w:divBdr>
    </w:div>
    <w:div w:id="621155855">
      <w:bodyDiv w:val="1"/>
      <w:marLeft w:val="0"/>
      <w:marRight w:val="0"/>
      <w:marTop w:val="0"/>
      <w:marBottom w:val="0"/>
      <w:divBdr>
        <w:top w:val="none" w:sz="0" w:space="0" w:color="auto"/>
        <w:left w:val="none" w:sz="0" w:space="0" w:color="auto"/>
        <w:bottom w:val="none" w:sz="0" w:space="0" w:color="auto"/>
        <w:right w:val="none" w:sz="0" w:space="0" w:color="auto"/>
      </w:divBdr>
    </w:div>
    <w:div w:id="621182654">
      <w:bodyDiv w:val="1"/>
      <w:marLeft w:val="0"/>
      <w:marRight w:val="0"/>
      <w:marTop w:val="0"/>
      <w:marBottom w:val="0"/>
      <w:divBdr>
        <w:top w:val="none" w:sz="0" w:space="0" w:color="auto"/>
        <w:left w:val="none" w:sz="0" w:space="0" w:color="auto"/>
        <w:bottom w:val="none" w:sz="0" w:space="0" w:color="auto"/>
        <w:right w:val="none" w:sz="0" w:space="0" w:color="auto"/>
      </w:divBdr>
    </w:div>
    <w:div w:id="621229496">
      <w:bodyDiv w:val="1"/>
      <w:marLeft w:val="0"/>
      <w:marRight w:val="0"/>
      <w:marTop w:val="0"/>
      <w:marBottom w:val="0"/>
      <w:divBdr>
        <w:top w:val="none" w:sz="0" w:space="0" w:color="auto"/>
        <w:left w:val="none" w:sz="0" w:space="0" w:color="auto"/>
        <w:bottom w:val="none" w:sz="0" w:space="0" w:color="auto"/>
        <w:right w:val="none" w:sz="0" w:space="0" w:color="auto"/>
      </w:divBdr>
    </w:div>
    <w:div w:id="621350519">
      <w:bodyDiv w:val="1"/>
      <w:marLeft w:val="0"/>
      <w:marRight w:val="0"/>
      <w:marTop w:val="0"/>
      <w:marBottom w:val="0"/>
      <w:divBdr>
        <w:top w:val="none" w:sz="0" w:space="0" w:color="auto"/>
        <w:left w:val="none" w:sz="0" w:space="0" w:color="auto"/>
        <w:bottom w:val="none" w:sz="0" w:space="0" w:color="auto"/>
        <w:right w:val="none" w:sz="0" w:space="0" w:color="auto"/>
      </w:divBdr>
    </w:div>
    <w:div w:id="621495764">
      <w:bodyDiv w:val="1"/>
      <w:marLeft w:val="0"/>
      <w:marRight w:val="0"/>
      <w:marTop w:val="0"/>
      <w:marBottom w:val="0"/>
      <w:divBdr>
        <w:top w:val="none" w:sz="0" w:space="0" w:color="auto"/>
        <w:left w:val="none" w:sz="0" w:space="0" w:color="auto"/>
        <w:bottom w:val="none" w:sz="0" w:space="0" w:color="auto"/>
        <w:right w:val="none" w:sz="0" w:space="0" w:color="auto"/>
      </w:divBdr>
    </w:div>
    <w:div w:id="621501823">
      <w:bodyDiv w:val="1"/>
      <w:marLeft w:val="0"/>
      <w:marRight w:val="0"/>
      <w:marTop w:val="0"/>
      <w:marBottom w:val="0"/>
      <w:divBdr>
        <w:top w:val="none" w:sz="0" w:space="0" w:color="auto"/>
        <w:left w:val="none" w:sz="0" w:space="0" w:color="auto"/>
        <w:bottom w:val="none" w:sz="0" w:space="0" w:color="auto"/>
        <w:right w:val="none" w:sz="0" w:space="0" w:color="auto"/>
      </w:divBdr>
    </w:div>
    <w:div w:id="621767647">
      <w:bodyDiv w:val="1"/>
      <w:marLeft w:val="0"/>
      <w:marRight w:val="0"/>
      <w:marTop w:val="0"/>
      <w:marBottom w:val="0"/>
      <w:divBdr>
        <w:top w:val="none" w:sz="0" w:space="0" w:color="auto"/>
        <w:left w:val="none" w:sz="0" w:space="0" w:color="auto"/>
        <w:bottom w:val="none" w:sz="0" w:space="0" w:color="auto"/>
        <w:right w:val="none" w:sz="0" w:space="0" w:color="auto"/>
      </w:divBdr>
    </w:div>
    <w:div w:id="621771538">
      <w:bodyDiv w:val="1"/>
      <w:marLeft w:val="0"/>
      <w:marRight w:val="0"/>
      <w:marTop w:val="0"/>
      <w:marBottom w:val="0"/>
      <w:divBdr>
        <w:top w:val="none" w:sz="0" w:space="0" w:color="auto"/>
        <w:left w:val="none" w:sz="0" w:space="0" w:color="auto"/>
        <w:bottom w:val="none" w:sz="0" w:space="0" w:color="auto"/>
        <w:right w:val="none" w:sz="0" w:space="0" w:color="auto"/>
      </w:divBdr>
    </w:div>
    <w:div w:id="621805870">
      <w:bodyDiv w:val="1"/>
      <w:marLeft w:val="0"/>
      <w:marRight w:val="0"/>
      <w:marTop w:val="0"/>
      <w:marBottom w:val="0"/>
      <w:divBdr>
        <w:top w:val="none" w:sz="0" w:space="0" w:color="auto"/>
        <w:left w:val="none" w:sz="0" w:space="0" w:color="auto"/>
        <w:bottom w:val="none" w:sz="0" w:space="0" w:color="auto"/>
        <w:right w:val="none" w:sz="0" w:space="0" w:color="auto"/>
      </w:divBdr>
    </w:div>
    <w:div w:id="621808027">
      <w:bodyDiv w:val="1"/>
      <w:marLeft w:val="0"/>
      <w:marRight w:val="0"/>
      <w:marTop w:val="0"/>
      <w:marBottom w:val="0"/>
      <w:divBdr>
        <w:top w:val="none" w:sz="0" w:space="0" w:color="auto"/>
        <w:left w:val="none" w:sz="0" w:space="0" w:color="auto"/>
        <w:bottom w:val="none" w:sz="0" w:space="0" w:color="auto"/>
        <w:right w:val="none" w:sz="0" w:space="0" w:color="auto"/>
      </w:divBdr>
    </w:div>
    <w:div w:id="622082837">
      <w:bodyDiv w:val="1"/>
      <w:marLeft w:val="0"/>
      <w:marRight w:val="0"/>
      <w:marTop w:val="0"/>
      <w:marBottom w:val="0"/>
      <w:divBdr>
        <w:top w:val="none" w:sz="0" w:space="0" w:color="auto"/>
        <w:left w:val="none" w:sz="0" w:space="0" w:color="auto"/>
        <w:bottom w:val="none" w:sz="0" w:space="0" w:color="auto"/>
        <w:right w:val="none" w:sz="0" w:space="0" w:color="auto"/>
      </w:divBdr>
    </w:div>
    <w:div w:id="622463844">
      <w:bodyDiv w:val="1"/>
      <w:marLeft w:val="0"/>
      <w:marRight w:val="0"/>
      <w:marTop w:val="0"/>
      <w:marBottom w:val="0"/>
      <w:divBdr>
        <w:top w:val="none" w:sz="0" w:space="0" w:color="auto"/>
        <w:left w:val="none" w:sz="0" w:space="0" w:color="auto"/>
        <w:bottom w:val="none" w:sz="0" w:space="0" w:color="auto"/>
        <w:right w:val="none" w:sz="0" w:space="0" w:color="auto"/>
      </w:divBdr>
    </w:div>
    <w:div w:id="622616028">
      <w:bodyDiv w:val="1"/>
      <w:marLeft w:val="0"/>
      <w:marRight w:val="0"/>
      <w:marTop w:val="0"/>
      <w:marBottom w:val="0"/>
      <w:divBdr>
        <w:top w:val="none" w:sz="0" w:space="0" w:color="auto"/>
        <w:left w:val="none" w:sz="0" w:space="0" w:color="auto"/>
        <w:bottom w:val="none" w:sz="0" w:space="0" w:color="auto"/>
        <w:right w:val="none" w:sz="0" w:space="0" w:color="auto"/>
      </w:divBdr>
    </w:div>
    <w:div w:id="622688658">
      <w:bodyDiv w:val="1"/>
      <w:marLeft w:val="0"/>
      <w:marRight w:val="0"/>
      <w:marTop w:val="0"/>
      <w:marBottom w:val="0"/>
      <w:divBdr>
        <w:top w:val="none" w:sz="0" w:space="0" w:color="auto"/>
        <w:left w:val="none" w:sz="0" w:space="0" w:color="auto"/>
        <w:bottom w:val="none" w:sz="0" w:space="0" w:color="auto"/>
        <w:right w:val="none" w:sz="0" w:space="0" w:color="auto"/>
      </w:divBdr>
    </w:div>
    <w:div w:id="622854822">
      <w:bodyDiv w:val="1"/>
      <w:marLeft w:val="0"/>
      <w:marRight w:val="0"/>
      <w:marTop w:val="0"/>
      <w:marBottom w:val="0"/>
      <w:divBdr>
        <w:top w:val="none" w:sz="0" w:space="0" w:color="auto"/>
        <w:left w:val="none" w:sz="0" w:space="0" w:color="auto"/>
        <w:bottom w:val="none" w:sz="0" w:space="0" w:color="auto"/>
        <w:right w:val="none" w:sz="0" w:space="0" w:color="auto"/>
      </w:divBdr>
    </w:div>
    <w:div w:id="623192470">
      <w:bodyDiv w:val="1"/>
      <w:marLeft w:val="0"/>
      <w:marRight w:val="0"/>
      <w:marTop w:val="0"/>
      <w:marBottom w:val="0"/>
      <w:divBdr>
        <w:top w:val="none" w:sz="0" w:space="0" w:color="auto"/>
        <w:left w:val="none" w:sz="0" w:space="0" w:color="auto"/>
        <w:bottom w:val="none" w:sz="0" w:space="0" w:color="auto"/>
        <w:right w:val="none" w:sz="0" w:space="0" w:color="auto"/>
      </w:divBdr>
    </w:div>
    <w:div w:id="623317043">
      <w:bodyDiv w:val="1"/>
      <w:marLeft w:val="0"/>
      <w:marRight w:val="0"/>
      <w:marTop w:val="0"/>
      <w:marBottom w:val="0"/>
      <w:divBdr>
        <w:top w:val="none" w:sz="0" w:space="0" w:color="auto"/>
        <w:left w:val="none" w:sz="0" w:space="0" w:color="auto"/>
        <w:bottom w:val="none" w:sz="0" w:space="0" w:color="auto"/>
        <w:right w:val="none" w:sz="0" w:space="0" w:color="auto"/>
      </w:divBdr>
    </w:div>
    <w:div w:id="623460577">
      <w:bodyDiv w:val="1"/>
      <w:marLeft w:val="0"/>
      <w:marRight w:val="0"/>
      <w:marTop w:val="0"/>
      <w:marBottom w:val="0"/>
      <w:divBdr>
        <w:top w:val="none" w:sz="0" w:space="0" w:color="auto"/>
        <w:left w:val="none" w:sz="0" w:space="0" w:color="auto"/>
        <w:bottom w:val="none" w:sz="0" w:space="0" w:color="auto"/>
        <w:right w:val="none" w:sz="0" w:space="0" w:color="auto"/>
      </w:divBdr>
    </w:div>
    <w:div w:id="623578011">
      <w:bodyDiv w:val="1"/>
      <w:marLeft w:val="0"/>
      <w:marRight w:val="0"/>
      <w:marTop w:val="0"/>
      <w:marBottom w:val="0"/>
      <w:divBdr>
        <w:top w:val="none" w:sz="0" w:space="0" w:color="auto"/>
        <w:left w:val="none" w:sz="0" w:space="0" w:color="auto"/>
        <w:bottom w:val="none" w:sz="0" w:space="0" w:color="auto"/>
        <w:right w:val="none" w:sz="0" w:space="0" w:color="auto"/>
      </w:divBdr>
    </w:div>
    <w:div w:id="623584810">
      <w:bodyDiv w:val="1"/>
      <w:marLeft w:val="0"/>
      <w:marRight w:val="0"/>
      <w:marTop w:val="0"/>
      <w:marBottom w:val="0"/>
      <w:divBdr>
        <w:top w:val="none" w:sz="0" w:space="0" w:color="auto"/>
        <w:left w:val="none" w:sz="0" w:space="0" w:color="auto"/>
        <w:bottom w:val="none" w:sz="0" w:space="0" w:color="auto"/>
        <w:right w:val="none" w:sz="0" w:space="0" w:color="auto"/>
      </w:divBdr>
    </w:div>
    <w:div w:id="623653036">
      <w:bodyDiv w:val="1"/>
      <w:marLeft w:val="0"/>
      <w:marRight w:val="0"/>
      <w:marTop w:val="0"/>
      <w:marBottom w:val="0"/>
      <w:divBdr>
        <w:top w:val="none" w:sz="0" w:space="0" w:color="auto"/>
        <w:left w:val="none" w:sz="0" w:space="0" w:color="auto"/>
        <w:bottom w:val="none" w:sz="0" w:space="0" w:color="auto"/>
        <w:right w:val="none" w:sz="0" w:space="0" w:color="auto"/>
      </w:divBdr>
    </w:div>
    <w:div w:id="623778935">
      <w:bodyDiv w:val="1"/>
      <w:marLeft w:val="0"/>
      <w:marRight w:val="0"/>
      <w:marTop w:val="0"/>
      <w:marBottom w:val="0"/>
      <w:divBdr>
        <w:top w:val="none" w:sz="0" w:space="0" w:color="auto"/>
        <w:left w:val="none" w:sz="0" w:space="0" w:color="auto"/>
        <w:bottom w:val="none" w:sz="0" w:space="0" w:color="auto"/>
        <w:right w:val="none" w:sz="0" w:space="0" w:color="auto"/>
      </w:divBdr>
    </w:div>
    <w:div w:id="623921744">
      <w:bodyDiv w:val="1"/>
      <w:marLeft w:val="0"/>
      <w:marRight w:val="0"/>
      <w:marTop w:val="0"/>
      <w:marBottom w:val="0"/>
      <w:divBdr>
        <w:top w:val="none" w:sz="0" w:space="0" w:color="auto"/>
        <w:left w:val="none" w:sz="0" w:space="0" w:color="auto"/>
        <w:bottom w:val="none" w:sz="0" w:space="0" w:color="auto"/>
        <w:right w:val="none" w:sz="0" w:space="0" w:color="auto"/>
      </w:divBdr>
    </w:div>
    <w:div w:id="624045101">
      <w:bodyDiv w:val="1"/>
      <w:marLeft w:val="0"/>
      <w:marRight w:val="0"/>
      <w:marTop w:val="0"/>
      <w:marBottom w:val="0"/>
      <w:divBdr>
        <w:top w:val="none" w:sz="0" w:space="0" w:color="auto"/>
        <w:left w:val="none" w:sz="0" w:space="0" w:color="auto"/>
        <w:bottom w:val="none" w:sz="0" w:space="0" w:color="auto"/>
        <w:right w:val="none" w:sz="0" w:space="0" w:color="auto"/>
      </w:divBdr>
    </w:div>
    <w:div w:id="624235078">
      <w:bodyDiv w:val="1"/>
      <w:marLeft w:val="0"/>
      <w:marRight w:val="0"/>
      <w:marTop w:val="0"/>
      <w:marBottom w:val="0"/>
      <w:divBdr>
        <w:top w:val="none" w:sz="0" w:space="0" w:color="auto"/>
        <w:left w:val="none" w:sz="0" w:space="0" w:color="auto"/>
        <w:bottom w:val="none" w:sz="0" w:space="0" w:color="auto"/>
        <w:right w:val="none" w:sz="0" w:space="0" w:color="auto"/>
      </w:divBdr>
    </w:div>
    <w:div w:id="624238726">
      <w:bodyDiv w:val="1"/>
      <w:marLeft w:val="0"/>
      <w:marRight w:val="0"/>
      <w:marTop w:val="0"/>
      <w:marBottom w:val="0"/>
      <w:divBdr>
        <w:top w:val="none" w:sz="0" w:space="0" w:color="auto"/>
        <w:left w:val="none" w:sz="0" w:space="0" w:color="auto"/>
        <w:bottom w:val="none" w:sz="0" w:space="0" w:color="auto"/>
        <w:right w:val="none" w:sz="0" w:space="0" w:color="auto"/>
      </w:divBdr>
    </w:div>
    <w:div w:id="624240468">
      <w:bodyDiv w:val="1"/>
      <w:marLeft w:val="0"/>
      <w:marRight w:val="0"/>
      <w:marTop w:val="0"/>
      <w:marBottom w:val="0"/>
      <w:divBdr>
        <w:top w:val="none" w:sz="0" w:space="0" w:color="auto"/>
        <w:left w:val="none" w:sz="0" w:space="0" w:color="auto"/>
        <w:bottom w:val="none" w:sz="0" w:space="0" w:color="auto"/>
        <w:right w:val="none" w:sz="0" w:space="0" w:color="auto"/>
      </w:divBdr>
    </w:div>
    <w:div w:id="624241387">
      <w:bodyDiv w:val="1"/>
      <w:marLeft w:val="0"/>
      <w:marRight w:val="0"/>
      <w:marTop w:val="0"/>
      <w:marBottom w:val="0"/>
      <w:divBdr>
        <w:top w:val="none" w:sz="0" w:space="0" w:color="auto"/>
        <w:left w:val="none" w:sz="0" w:space="0" w:color="auto"/>
        <w:bottom w:val="none" w:sz="0" w:space="0" w:color="auto"/>
        <w:right w:val="none" w:sz="0" w:space="0" w:color="auto"/>
      </w:divBdr>
    </w:div>
    <w:div w:id="624427038">
      <w:bodyDiv w:val="1"/>
      <w:marLeft w:val="0"/>
      <w:marRight w:val="0"/>
      <w:marTop w:val="0"/>
      <w:marBottom w:val="0"/>
      <w:divBdr>
        <w:top w:val="none" w:sz="0" w:space="0" w:color="auto"/>
        <w:left w:val="none" w:sz="0" w:space="0" w:color="auto"/>
        <w:bottom w:val="none" w:sz="0" w:space="0" w:color="auto"/>
        <w:right w:val="none" w:sz="0" w:space="0" w:color="auto"/>
      </w:divBdr>
    </w:div>
    <w:div w:id="624427314">
      <w:bodyDiv w:val="1"/>
      <w:marLeft w:val="0"/>
      <w:marRight w:val="0"/>
      <w:marTop w:val="0"/>
      <w:marBottom w:val="0"/>
      <w:divBdr>
        <w:top w:val="none" w:sz="0" w:space="0" w:color="auto"/>
        <w:left w:val="none" w:sz="0" w:space="0" w:color="auto"/>
        <w:bottom w:val="none" w:sz="0" w:space="0" w:color="auto"/>
        <w:right w:val="none" w:sz="0" w:space="0" w:color="auto"/>
      </w:divBdr>
    </w:div>
    <w:div w:id="624582092">
      <w:bodyDiv w:val="1"/>
      <w:marLeft w:val="0"/>
      <w:marRight w:val="0"/>
      <w:marTop w:val="0"/>
      <w:marBottom w:val="0"/>
      <w:divBdr>
        <w:top w:val="none" w:sz="0" w:space="0" w:color="auto"/>
        <w:left w:val="none" w:sz="0" w:space="0" w:color="auto"/>
        <w:bottom w:val="none" w:sz="0" w:space="0" w:color="auto"/>
        <w:right w:val="none" w:sz="0" w:space="0" w:color="auto"/>
      </w:divBdr>
    </w:div>
    <w:div w:id="624653011">
      <w:bodyDiv w:val="1"/>
      <w:marLeft w:val="0"/>
      <w:marRight w:val="0"/>
      <w:marTop w:val="0"/>
      <w:marBottom w:val="0"/>
      <w:divBdr>
        <w:top w:val="none" w:sz="0" w:space="0" w:color="auto"/>
        <w:left w:val="none" w:sz="0" w:space="0" w:color="auto"/>
        <w:bottom w:val="none" w:sz="0" w:space="0" w:color="auto"/>
        <w:right w:val="none" w:sz="0" w:space="0" w:color="auto"/>
      </w:divBdr>
    </w:div>
    <w:div w:id="624889455">
      <w:bodyDiv w:val="1"/>
      <w:marLeft w:val="0"/>
      <w:marRight w:val="0"/>
      <w:marTop w:val="0"/>
      <w:marBottom w:val="0"/>
      <w:divBdr>
        <w:top w:val="none" w:sz="0" w:space="0" w:color="auto"/>
        <w:left w:val="none" w:sz="0" w:space="0" w:color="auto"/>
        <w:bottom w:val="none" w:sz="0" w:space="0" w:color="auto"/>
        <w:right w:val="none" w:sz="0" w:space="0" w:color="auto"/>
      </w:divBdr>
    </w:div>
    <w:div w:id="624894305">
      <w:bodyDiv w:val="1"/>
      <w:marLeft w:val="0"/>
      <w:marRight w:val="0"/>
      <w:marTop w:val="0"/>
      <w:marBottom w:val="0"/>
      <w:divBdr>
        <w:top w:val="none" w:sz="0" w:space="0" w:color="auto"/>
        <w:left w:val="none" w:sz="0" w:space="0" w:color="auto"/>
        <w:bottom w:val="none" w:sz="0" w:space="0" w:color="auto"/>
        <w:right w:val="none" w:sz="0" w:space="0" w:color="auto"/>
      </w:divBdr>
    </w:div>
    <w:div w:id="624969315">
      <w:bodyDiv w:val="1"/>
      <w:marLeft w:val="0"/>
      <w:marRight w:val="0"/>
      <w:marTop w:val="0"/>
      <w:marBottom w:val="0"/>
      <w:divBdr>
        <w:top w:val="none" w:sz="0" w:space="0" w:color="auto"/>
        <w:left w:val="none" w:sz="0" w:space="0" w:color="auto"/>
        <w:bottom w:val="none" w:sz="0" w:space="0" w:color="auto"/>
        <w:right w:val="none" w:sz="0" w:space="0" w:color="auto"/>
      </w:divBdr>
    </w:div>
    <w:div w:id="625087626">
      <w:bodyDiv w:val="1"/>
      <w:marLeft w:val="0"/>
      <w:marRight w:val="0"/>
      <w:marTop w:val="0"/>
      <w:marBottom w:val="0"/>
      <w:divBdr>
        <w:top w:val="none" w:sz="0" w:space="0" w:color="auto"/>
        <w:left w:val="none" w:sz="0" w:space="0" w:color="auto"/>
        <w:bottom w:val="none" w:sz="0" w:space="0" w:color="auto"/>
        <w:right w:val="none" w:sz="0" w:space="0" w:color="auto"/>
      </w:divBdr>
    </w:div>
    <w:div w:id="625157381">
      <w:bodyDiv w:val="1"/>
      <w:marLeft w:val="0"/>
      <w:marRight w:val="0"/>
      <w:marTop w:val="0"/>
      <w:marBottom w:val="0"/>
      <w:divBdr>
        <w:top w:val="none" w:sz="0" w:space="0" w:color="auto"/>
        <w:left w:val="none" w:sz="0" w:space="0" w:color="auto"/>
        <w:bottom w:val="none" w:sz="0" w:space="0" w:color="auto"/>
        <w:right w:val="none" w:sz="0" w:space="0" w:color="auto"/>
      </w:divBdr>
    </w:div>
    <w:div w:id="625161022">
      <w:bodyDiv w:val="1"/>
      <w:marLeft w:val="0"/>
      <w:marRight w:val="0"/>
      <w:marTop w:val="0"/>
      <w:marBottom w:val="0"/>
      <w:divBdr>
        <w:top w:val="none" w:sz="0" w:space="0" w:color="auto"/>
        <w:left w:val="none" w:sz="0" w:space="0" w:color="auto"/>
        <w:bottom w:val="none" w:sz="0" w:space="0" w:color="auto"/>
        <w:right w:val="none" w:sz="0" w:space="0" w:color="auto"/>
      </w:divBdr>
    </w:div>
    <w:div w:id="625428318">
      <w:bodyDiv w:val="1"/>
      <w:marLeft w:val="0"/>
      <w:marRight w:val="0"/>
      <w:marTop w:val="0"/>
      <w:marBottom w:val="0"/>
      <w:divBdr>
        <w:top w:val="none" w:sz="0" w:space="0" w:color="auto"/>
        <w:left w:val="none" w:sz="0" w:space="0" w:color="auto"/>
        <w:bottom w:val="none" w:sz="0" w:space="0" w:color="auto"/>
        <w:right w:val="none" w:sz="0" w:space="0" w:color="auto"/>
      </w:divBdr>
    </w:div>
    <w:div w:id="625503484">
      <w:bodyDiv w:val="1"/>
      <w:marLeft w:val="0"/>
      <w:marRight w:val="0"/>
      <w:marTop w:val="0"/>
      <w:marBottom w:val="0"/>
      <w:divBdr>
        <w:top w:val="none" w:sz="0" w:space="0" w:color="auto"/>
        <w:left w:val="none" w:sz="0" w:space="0" w:color="auto"/>
        <w:bottom w:val="none" w:sz="0" w:space="0" w:color="auto"/>
        <w:right w:val="none" w:sz="0" w:space="0" w:color="auto"/>
      </w:divBdr>
    </w:div>
    <w:div w:id="625505748">
      <w:bodyDiv w:val="1"/>
      <w:marLeft w:val="0"/>
      <w:marRight w:val="0"/>
      <w:marTop w:val="0"/>
      <w:marBottom w:val="0"/>
      <w:divBdr>
        <w:top w:val="none" w:sz="0" w:space="0" w:color="auto"/>
        <w:left w:val="none" w:sz="0" w:space="0" w:color="auto"/>
        <w:bottom w:val="none" w:sz="0" w:space="0" w:color="auto"/>
        <w:right w:val="none" w:sz="0" w:space="0" w:color="auto"/>
      </w:divBdr>
    </w:div>
    <w:div w:id="625544456">
      <w:bodyDiv w:val="1"/>
      <w:marLeft w:val="0"/>
      <w:marRight w:val="0"/>
      <w:marTop w:val="0"/>
      <w:marBottom w:val="0"/>
      <w:divBdr>
        <w:top w:val="none" w:sz="0" w:space="0" w:color="auto"/>
        <w:left w:val="none" w:sz="0" w:space="0" w:color="auto"/>
        <w:bottom w:val="none" w:sz="0" w:space="0" w:color="auto"/>
        <w:right w:val="none" w:sz="0" w:space="0" w:color="auto"/>
      </w:divBdr>
    </w:div>
    <w:div w:id="625625473">
      <w:bodyDiv w:val="1"/>
      <w:marLeft w:val="0"/>
      <w:marRight w:val="0"/>
      <w:marTop w:val="0"/>
      <w:marBottom w:val="0"/>
      <w:divBdr>
        <w:top w:val="none" w:sz="0" w:space="0" w:color="auto"/>
        <w:left w:val="none" w:sz="0" w:space="0" w:color="auto"/>
        <w:bottom w:val="none" w:sz="0" w:space="0" w:color="auto"/>
        <w:right w:val="none" w:sz="0" w:space="0" w:color="auto"/>
      </w:divBdr>
    </w:div>
    <w:div w:id="625814355">
      <w:bodyDiv w:val="1"/>
      <w:marLeft w:val="0"/>
      <w:marRight w:val="0"/>
      <w:marTop w:val="0"/>
      <w:marBottom w:val="0"/>
      <w:divBdr>
        <w:top w:val="none" w:sz="0" w:space="0" w:color="auto"/>
        <w:left w:val="none" w:sz="0" w:space="0" w:color="auto"/>
        <w:bottom w:val="none" w:sz="0" w:space="0" w:color="auto"/>
        <w:right w:val="none" w:sz="0" w:space="0" w:color="auto"/>
      </w:divBdr>
    </w:div>
    <w:div w:id="625818978">
      <w:bodyDiv w:val="1"/>
      <w:marLeft w:val="0"/>
      <w:marRight w:val="0"/>
      <w:marTop w:val="0"/>
      <w:marBottom w:val="0"/>
      <w:divBdr>
        <w:top w:val="none" w:sz="0" w:space="0" w:color="auto"/>
        <w:left w:val="none" w:sz="0" w:space="0" w:color="auto"/>
        <w:bottom w:val="none" w:sz="0" w:space="0" w:color="auto"/>
        <w:right w:val="none" w:sz="0" w:space="0" w:color="auto"/>
      </w:divBdr>
    </w:div>
    <w:div w:id="625889124">
      <w:bodyDiv w:val="1"/>
      <w:marLeft w:val="0"/>
      <w:marRight w:val="0"/>
      <w:marTop w:val="0"/>
      <w:marBottom w:val="0"/>
      <w:divBdr>
        <w:top w:val="none" w:sz="0" w:space="0" w:color="auto"/>
        <w:left w:val="none" w:sz="0" w:space="0" w:color="auto"/>
        <w:bottom w:val="none" w:sz="0" w:space="0" w:color="auto"/>
        <w:right w:val="none" w:sz="0" w:space="0" w:color="auto"/>
      </w:divBdr>
    </w:div>
    <w:div w:id="625936498">
      <w:bodyDiv w:val="1"/>
      <w:marLeft w:val="0"/>
      <w:marRight w:val="0"/>
      <w:marTop w:val="0"/>
      <w:marBottom w:val="0"/>
      <w:divBdr>
        <w:top w:val="none" w:sz="0" w:space="0" w:color="auto"/>
        <w:left w:val="none" w:sz="0" w:space="0" w:color="auto"/>
        <w:bottom w:val="none" w:sz="0" w:space="0" w:color="auto"/>
        <w:right w:val="none" w:sz="0" w:space="0" w:color="auto"/>
      </w:divBdr>
    </w:div>
    <w:div w:id="626009356">
      <w:bodyDiv w:val="1"/>
      <w:marLeft w:val="0"/>
      <w:marRight w:val="0"/>
      <w:marTop w:val="0"/>
      <w:marBottom w:val="0"/>
      <w:divBdr>
        <w:top w:val="none" w:sz="0" w:space="0" w:color="auto"/>
        <w:left w:val="none" w:sz="0" w:space="0" w:color="auto"/>
        <w:bottom w:val="none" w:sz="0" w:space="0" w:color="auto"/>
        <w:right w:val="none" w:sz="0" w:space="0" w:color="auto"/>
      </w:divBdr>
    </w:div>
    <w:div w:id="626354600">
      <w:bodyDiv w:val="1"/>
      <w:marLeft w:val="0"/>
      <w:marRight w:val="0"/>
      <w:marTop w:val="0"/>
      <w:marBottom w:val="0"/>
      <w:divBdr>
        <w:top w:val="none" w:sz="0" w:space="0" w:color="auto"/>
        <w:left w:val="none" w:sz="0" w:space="0" w:color="auto"/>
        <w:bottom w:val="none" w:sz="0" w:space="0" w:color="auto"/>
        <w:right w:val="none" w:sz="0" w:space="0" w:color="auto"/>
      </w:divBdr>
    </w:div>
    <w:div w:id="626355263">
      <w:bodyDiv w:val="1"/>
      <w:marLeft w:val="0"/>
      <w:marRight w:val="0"/>
      <w:marTop w:val="0"/>
      <w:marBottom w:val="0"/>
      <w:divBdr>
        <w:top w:val="none" w:sz="0" w:space="0" w:color="auto"/>
        <w:left w:val="none" w:sz="0" w:space="0" w:color="auto"/>
        <w:bottom w:val="none" w:sz="0" w:space="0" w:color="auto"/>
        <w:right w:val="none" w:sz="0" w:space="0" w:color="auto"/>
      </w:divBdr>
    </w:div>
    <w:div w:id="626397103">
      <w:bodyDiv w:val="1"/>
      <w:marLeft w:val="0"/>
      <w:marRight w:val="0"/>
      <w:marTop w:val="0"/>
      <w:marBottom w:val="0"/>
      <w:divBdr>
        <w:top w:val="none" w:sz="0" w:space="0" w:color="auto"/>
        <w:left w:val="none" w:sz="0" w:space="0" w:color="auto"/>
        <w:bottom w:val="none" w:sz="0" w:space="0" w:color="auto"/>
        <w:right w:val="none" w:sz="0" w:space="0" w:color="auto"/>
      </w:divBdr>
    </w:div>
    <w:div w:id="626470901">
      <w:bodyDiv w:val="1"/>
      <w:marLeft w:val="0"/>
      <w:marRight w:val="0"/>
      <w:marTop w:val="0"/>
      <w:marBottom w:val="0"/>
      <w:divBdr>
        <w:top w:val="none" w:sz="0" w:space="0" w:color="auto"/>
        <w:left w:val="none" w:sz="0" w:space="0" w:color="auto"/>
        <w:bottom w:val="none" w:sz="0" w:space="0" w:color="auto"/>
        <w:right w:val="none" w:sz="0" w:space="0" w:color="auto"/>
      </w:divBdr>
    </w:div>
    <w:div w:id="626667918">
      <w:bodyDiv w:val="1"/>
      <w:marLeft w:val="0"/>
      <w:marRight w:val="0"/>
      <w:marTop w:val="0"/>
      <w:marBottom w:val="0"/>
      <w:divBdr>
        <w:top w:val="none" w:sz="0" w:space="0" w:color="auto"/>
        <w:left w:val="none" w:sz="0" w:space="0" w:color="auto"/>
        <w:bottom w:val="none" w:sz="0" w:space="0" w:color="auto"/>
        <w:right w:val="none" w:sz="0" w:space="0" w:color="auto"/>
      </w:divBdr>
    </w:div>
    <w:div w:id="626738712">
      <w:bodyDiv w:val="1"/>
      <w:marLeft w:val="0"/>
      <w:marRight w:val="0"/>
      <w:marTop w:val="0"/>
      <w:marBottom w:val="0"/>
      <w:divBdr>
        <w:top w:val="none" w:sz="0" w:space="0" w:color="auto"/>
        <w:left w:val="none" w:sz="0" w:space="0" w:color="auto"/>
        <w:bottom w:val="none" w:sz="0" w:space="0" w:color="auto"/>
        <w:right w:val="none" w:sz="0" w:space="0" w:color="auto"/>
      </w:divBdr>
    </w:div>
    <w:div w:id="626742357">
      <w:bodyDiv w:val="1"/>
      <w:marLeft w:val="0"/>
      <w:marRight w:val="0"/>
      <w:marTop w:val="0"/>
      <w:marBottom w:val="0"/>
      <w:divBdr>
        <w:top w:val="none" w:sz="0" w:space="0" w:color="auto"/>
        <w:left w:val="none" w:sz="0" w:space="0" w:color="auto"/>
        <w:bottom w:val="none" w:sz="0" w:space="0" w:color="auto"/>
        <w:right w:val="none" w:sz="0" w:space="0" w:color="auto"/>
      </w:divBdr>
    </w:div>
    <w:div w:id="626744263">
      <w:bodyDiv w:val="1"/>
      <w:marLeft w:val="0"/>
      <w:marRight w:val="0"/>
      <w:marTop w:val="0"/>
      <w:marBottom w:val="0"/>
      <w:divBdr>
        <w:top w:val="none" w:sz="0" w:space="0" w:color="auto"/>
        <w:left w:val="none" w:sz="0" w:space="0" w:color="auto"/>
        <w:bottom w:val="none" w:sz="0" w:space="0" w:color="auto"/>
        <w:right w:val="none" w:sz="0" w:space="0" w:color="auto"/>
      </w:divBdr>
    </w:div>
    <w:div w:id="627080643">
      <w:bodyDiv w:val="1"/>
      <w:marLeft w:val="0"/>
      <w:marRight w:val="0"/>
      <w:marTop w:val="0"/>
      <w:marBottom w:val="0"/>
      <w:divBdr>
        <w:top w:val="none" w:sz="0" w:space="0" w:color="auto"/>
        <w:left w:val="none" w:sz="0" w:space="0" w:color="auto"/>
        <w:bottom w:val="none" w:sz="0" w:space="0" w:color="auto"/>
        <w:right w:val="none" w:sz="0" w:space="0" w:color="auto"/>
      </w:divBdr>
    </w:div>
    <w:div w:id="627589498">
      <w:bodyDiv w:val="1"/>
      <w:marLeft w:val="0"/>
      <w:marRight w:val="0"/>
      <w:marTop w:val="0"/>
      <w:marBottom w:val="0"/>
      <w:divBdr>
        <w:top w:val="none" w:sz="0" w:space="0" w:color="auto"/>
        <w:left w:val="none" w:sz="0" w:space="0" w:color="auto"/>
        <w:bottom w:val="none" w:sz="0" w:space="0" w:color="auto"/>
        <w:right w:val="none" w:sz="0" w:space="0" w:color="auto"/>
      </w:divBdr>
    </w:div>
    <w:div w:id="627590941">
      <w:bodyDiv w:val="1"/>
      <w:marLeft w:val="0"/>
      <w:marRight w:val="0"/>
      <w:marTop w:val="0"/>
      <w:marBottom w:val="0"/>
      <w:divBdr>
        <w:top w:val="none" w:sz="0" w:space="0" w:color="auto"/>
        <w:left w:val="none" w:sz="0" w:space="0" w:color="auto"/>
        <w:bottom w:val="none" w:sz="0" w:space="0" w:color="auto"/>
        <w:right w:val="none" w:sz="0" w:space="0" w:color="auto"/>
      </w:divBdr>
    </w:div>
    <w:div w:id="627593925">
      <w:bodyDiv w:val="1"/>
      <w:marLeft w:val="0"/>
      <w:marRight w:val="0"/>
      <w:marTop w:val="0"/>
      <w:marBottom w:val="0"/>
      <w:divBdr>
        <w:top w:val="none" w:sz="0" w:space="0" w:color="auto"/>
        <w:left w:val="none" w:sz="0" w:space="0" w:color="auto"/>
        <w:bottom w:val="none" w:sz="0" w:space="0" w:color="auto"/>
        <w:right w:val="none" w:sz="0" w:space="0" w:color="auto"/>
      </w:divBdr>
    </w:div>
    <w:div w:id="627711197">
      <w:bodyDiv w:val="1"/>
      <w:marLeft w:val="0"/>
      <w:marRight w:val="0"/>
      <w:marTop w:val="0"/>
      <w:marBottom w:val="0"/>
      <w:divBdr>
        <w:top w:val="none" w:sz="0" w:space="0" w:color="auto"/>
        <w:left w:val="none" w:sz="0" w:space="0" w:color="auto"/>
        <w:bottom w:val="none" w:sz="0" w:space="0" w:color="auto"/>
        <w:right w:val="none" w:sz="0" w:space="0" w:color="auto"/>
      </w:divBdr>
    </w:div>
    <w:div w:id="627854774">
      <w:bodyDiv w:val="1"/>
      <w:marLeft w:val="0"/>
      <w:marRight w:val="0"/>
      <w:marTop w:val="0"/>
      <w:marBottom w:val="0"/>
      <w:divBdr>
        <w:top w:val="none" w:sz="0" w:space="0" w:color="auto"/>
        <w:left w:val="none" w:sz="0" w:space="0" w:color="auto"/>
        <w:bottom w:val="none" w:sz="0" w:space="0" w:color="auto"/>
        <w:right w:val="none" w:sz="0" w:space="0" w:color="auto"/>
      </w:divBdr>
    </w:div>
    <w:div w:id="627860670">
      <w:bodyDiv w:val="1"/>
      <w:marLeft w:val="0"/>
      <w:marRight w:val="0"/>
      <w:marTop w:val="0"/>
      <w:marBottom w:val="0"/>
      <w:divBdr>
        <w:top w:val="none" w:sz="0" w:space="0" w:color="auto"/>
        <w:left w:val="none" w:sz="0" w:space="0" w:color="auto"/>
        <w:bottom w:val="none" w:sz="0" w:space="0" w:color="auto"/>
        <w:right w:val="none" w:sz="0" w:space="0" w:color="auto"/>
      </w:divBdr>
    </w:div>
    <w:div w:id="627902941">
      <w:bodyDiv w:val="1"/>
      <w:marLeft w:val="0"/>
      <w:marRight w:val="0"/>
      <w:marTop w:val="0"/>
      <w:marBottom w:val="0"/>
      <w:divBdr>
        <w:top w:val="none" w:sz="0" w:space="0" w:color="auto"/>
        <w:left w:val="none" w:sz="0" w:space="0" w:color="auto"/>
        <w:bottom w:val="none" w:sz="0" w:space="0" w:color="auto"/>
        <w:right w:val="none" w:sz="0" w:space="0" w:color="auto"/>
      </w:divBdr>
    </w:div>
    <w:div w:id="627977211">
      <w:bodyDiv w:val="1"/>
      <w:marLeft w:val="0"/>
      <w:marRight w:val="0"/>
      <w:marTop w:val="0"/>
      <w:marBottom w:val="0"/>
      <w:divBdr>
        <w:top w:val="none" w:sz="0" w:space="0" w:color="auto"/>
        <w:left w:val="none" w:sz="0" w:space="0" w:color="auto"/>
        <w:bottom w:val="none" w:sz="0" w:space="0" w:color="auto"/>
        <w:right w:val="none" w:sz="0" w:space="0" w:color="auto"/>
      </w:divBdr>
    </w:div>
    <w:div w:id="628168570">
      <w:bodyDiv w:val="1"/>
      <w:marLeft w:val="0"/>
      <w:marRight w:val="0"/>
      <w:marTop w:val="0"/>
      <w:marBottom w:val="0"/>
      <w:divBdr>
        <w:top w:val="none" w:sz="0" w:space="0" w:color="auto"/>
        <w:left w:val="none" w:sz="0" w:space="0" w:color="auto"/>
        <w:bottom w:val="none" w:sz="0" w:space="0" w:color="auto"/>
        <w:right w:val="none" w:sz="0" w:space="0" w:color="auto"/>
      </w:divBdr>
    </w:div>
    <w:div w:id="628242248">
      <w:bodyDiv w:val="1"/>
      <w:marLeft w:val="0"/>
      <w:marRight w:val="0"/>
      <w:marTop w:val="0"/>
      <w:marBottom w:val="0"/>
      <w:divBdr>
        <w:top w:val="none" w:sz="0" w:space="0" w:color="auto"/>
        <w:left w:val="none" w:sz="0" w:space="0" w:color="auto"/>
        <w:bottom w:val="none" w:sz="0" w:space="0" w:color="auto"/>
        <w:right w:val="none" w:sz="0" w:space="0" w:color="auto"/>
      </w:divBdr>
    </w:div>
    <w:div w:id="628587993">
      <w:bodyDiv w:val="1"/>
      <w:marLeft w:val="0"/>
      <w:marRight w:val="0"/>
      <w:marTop w:val="0"/>
      <w:marBottom w:val="0"/>
      <w:divBdr>
        <w:top w:val="none" w:sz="0" w:space="0" w:color="auto"/>
        <w:left w:val="none" w:sz="0" w:space="0" w:color="auto"/>
        <w:bottom w:val="none" w:sz="0" w:space="0" w:color="auto"/>
        <w:right w:val="none" w:sz="0" w:space="0" w:color="auto"/>
      </w:divBdr>
    </w:div>
    <w:div w:id="628707020">
      <w:bodyDiv w:val="1"/>
      <w:marLeft w:val="0"/>
      <w:marRight w:val="0"/>
      <w:marTop w:val="0"/>
      <w:marBottom w:val="0"/>
      <w:divBdr>
        <w:top w:val="none" w:sz="0" w:space="0" w:color="auto"/>
        <w:left w:val="none" w:sz="0" w:space="0" w:color="auto"/>
        <w:bottom w:val="none" w:sz="0" w:space="0" w:color="auto"/>
        <w:right w:val="none" w:sz="0" w:space="0" w:color="auto"/>
      </w:divBdr>
    </w:div>
    <w:div w:id="628779453">
      <w:bodyDiv w:val="1"/>
      <w:marLeft w:val="0"/>
      <w:marRight w:val="0"/>
      <w:marTop w:val="0"/>
      <w:marBottom w:val="0"/>
      <w:divBdr>
        <w:top w:val="none" w:sz="0" w:space="0" w:color="auto"/>
        <w:left w:val="none" w:sz="0" w:space="0" w:color="auto"/>
        <w:bottom w:val="none" w:sz="0" w:space="0" w:color="auto"/>
        <w:right w:val="none" w:sz="0" w:space="0" w:color="auto"/>
      </w:divBdr>
    </w:div>
    <w:div w:id="628972974">
      <w:bodyDiv w:val="1"/>
      <w:marLeft w:val="0"/>
      <w:marRight w:val="0"/>
      <w:marTop w:val="0"/>
      <w:marBottom w:val="0"/>
      <w:divBdr>
        <w:top w:val="none" w:sz="0" w:space="0" w:color="auto"/>
        <w:left w:val="none" w:sz="0" w:space="0" w:color="auto"/>
        <w:bottom w:val="none" w:sz="0" w:space="0" w:color="auto"/>
        <w:right w:val="none" w:sz="0" w:space="0" w:color="auto"/>
      </w:divBdr>
    </w:div>
    <w:div w:id="629090425">
      <w:bodyDiv w:val="1"/>
      <w:marLeft w:val="0"/>
      <w:marRight w:val="0"/>
      <w:marTop w:val="0"/>
      <w:marBottom w:val="0"/>
      <w:divBdr>
        <w:top w:val="none" w:sz="0" w:space="0" w:color="auto"/>
        <w:left w:val="none" w:sz="0" w:space="0" w:color="auto"/>
        <w:bottom w:val="none" w:sz="0" w:space="0" w:color="auto"/>
        <w:right w:val="none" w:sz="0" w:space="0" w:color="auto"/>
      </w:divBdr>
    </w:div>
    <w:div w:id="629670349">
      <w:bodyDiv w:val="1"/>
      <w:marLeft w:val="0"/>
      <w:marRight w:val="0"/>
      <w:marTop w:val="0"/>
      <w:marBottom w:val="0"/>
      <w:divBdr>
        <w:top w:val="none" w:sz="0" w:space="0" w:color="auto"/>
        <w:left w:val="none" w:sz="0" w:space="0" w:color="auto"/>
        <w:bottom w:val="none" w:sz="0" w:space="0" w:color="auto"/>
        <w:right w:val="none" w:sz="0" w:space="0" w:color="auto"/>
      </w:divBdr>
    </w:div>
    <w:div w:id="629672799">
      <w:bodyDiv w:val="1"/>
      <w:marLeft w:val="0"/>
      <w:marRight w:val="0"/>
      <w:marTop w:val="0"/>
      <w:marBottom w:val="0"/>
      <w:divBdr>
        <w:top w:val="none" w:sz="0" w:space="0" w:color="auto"/>
        <w:left w:val="none" w:sz="0" w:space="0" w:color="auto"/>
        <w:bottom w:val="none" w:sz="0" w:space="0" w:color="auto"/>
        <w:right w:val="none" w:sz="0" w:space="0" w:color="auto"/>
      </w:divBdr>
    </w:div>
    <w:div w:id="629821335">
      <w:bodyDiv w:val="1"/>
      <w:marLeft w:val="0"/>
      <w:marRight w:val="0"/>
      <w:marTop w:val="0"/>
      <w:marBottom w:val="0"/>
      <w:divBdr>
        <w:top w:val="none" w:sz="0" w:space="0" w:color="auto"/>
        <w:left w:val="none" w:sz="0" w:space="0" w:color="auto"/>
        <w:bottom w:val="none" w:sz="0" w:space="0" w:color="auto"/>
        <w:right w:val="none" w:sz="0" w:space="0" w:color="auto"/>
      </w:divBdr>
    </w:div>
    <w:div w:id="629822985">
      <w:bodyDiv w:val="1"/>
      <w:marLeft w:val="0"/>
      <w:marRight w:val="0"/>
      <w:marTop w:val="0"/>
      <w:marBottom w:val="0"/>
      <w:divBdr>
        <w:top w:val="none" w:sz="0" w:space="0" w:color="auto"/>
        <w:left w:val="none" w:sz="0" w:space="0" w:color="auto"/>
        <w:bottom w:val="none" w:sz="0" w:space="0" w:color="auto"/>
        <w:right w:val="none" w:sz="0" w:space="0" w:color="auto"/>
      </w:divBdr>
    </w:div>
    <w:div w:id="629827056">
      <w:bodyDiv w:val="1"/>
      <w:marLeft w:val="0"/>
      <w:marRight w:val="0"/>
      <w:marTop w:val="0"/>
      <w:marBottom w:val="0"/>
      <w:divBdr>
        <w:top w:val="none" w:sz="0" w:space="0" w:color="auto"/>
        <w:left w:val="none" w:sz="0" w:space="0" w:color="auto"/>
        <w:bottom w:val="none" w:sz="0" w:space="0" w:color="auto"/>
        <w:right w:val="none" w:sz="0" w:space="0" w:color="auto"/>
      </w:divBdr>
    </w:div>
    <w:div w:id="629894298">
      <w:bodyDiv w:val="1"/>
      <w:marLeft w:val="0"/>
      <w:marRight w:val="0"/>
      <w:marTop w:val="0"/>
      <w:marBottom w:val="0"/>
      <w:divBdr>
        <w:top w:val="none" w:sz="0" w:space="0" w:color="auto"/>
        <w:left w:val="none" w:sz="0" w:space="0" w:color="auto"/>
        <w:bottom w:val="none" w:sz="0" w:space="0" w:color="auto"/>
        <w:right w:val="none" w:sz="0" w:space="0" w:color="auto"/>
      </w:divBdr>
    </w:div>
    <w:div w:id="630132879">
      <w:bodyDiv w:val="1"/>
      <w:marLeft w:val="0"/>
      <w:marRight w:val="0"/>
      <w:marTop w:val="0"/>
      <w:marBottom w:val="0"/>
      <w:divBdr>
        <w:top w:val="none" w:sz="0" w:space="0" w:color="auto"/>
        <w:left w:val="none" w:sz="0" w:space="0" w:color="auto"/>
        <w:bottom w:val="none" w:sz="0" w:space="0" w:color="auto"/>
        <w:right w:val="none" w:sz="0" w:space="0" w:color="auto"/>
      </w:divBdr>
    </w:div>
    <w:div w:id="630213289">
      <w:bodyDiv w:val="1"/>
      <w:marLeft w:val="0"/>
      <w:marRight w:val="0"/>
      <w:marTop w:val="0"/>
      <w:marBottom w:val="0"/>
      <w:divBdr>
        <w:top w:val="none" w:sz="0" w:space="0" w:color="auto"/>
        <w:left w:val="none" w:sz="0" w:space="0" w:color="auto"/>
        <w:bottom w:val="none" w:sz="0" w:space="0" w:color="auto"/>
        <w:right w:val="none" w:sz="0" w:space="0" w:color="auto"/>
      </w:divBdr>
    </w:div>
    <w:div w:id="630483152">
      <w:bodyDiv w:val="1"/>
      <w:marLeft w:val="0"/>
      <w:marRight w:val="0"/>
      <w:marTop w:val="0"/>
      <w:marBottom w:val="0"/>
      <w:divBdr>
        <w:top w:val="none" w:sz="0" w:space="0" w:color="auto"/>
        <w:left w:val="none" w:sz="0" w:space="0" w:color="auto"/>
        <w:bottom w:val="none" w:sz="0" w:space="0" w:color="auto"/>
        <w:right w:val="none" w:sz="0" w:space="0" w:color="auto"/>
      </w:divBdr>
    </w:div>
    <w:div w:id="630554446">
      <w:bodyDiv w:val="1"/>
      <w:marLeft w:val="0"/>
      <w:marRight w:val="0"/>
      <w:marTop w:val="0"/>
      <w:marBottom w:val="0"/>
      <w:divBdr>
        <w:top w:val="none" w:sz="0" w:space="0" w:color="auto"/>
        <w:left w:val="none" w:sz="0" w:space="0" w:color="auto"/>
        <w:bottom w:val="none" w:sz="0" w:space="0" w:color="auto"/>
        <w:right w:val="none" w:sz="0" w:space="0" w:color="auto"/>
      </w:divBdr>
    </w:div>
    <w:div w:id="630790961">
      <w:bodyDiv w:val="1"/>
      <w:marLeft w:val="0"/>
      <w:marRight w:val="0"/>
      <w:marTop w:val="0"/>
      <w:marBottom w:val="0"/>
      <w:divBdr>
        <w:top w:val="none" w:sz="0" w:space="0" w:color="auto"/>
        <w:left w:val="none" w:sz="0" w:space="0" w:color="auto"/>
        <w:bottom w:val="none" w:sz="0" w:space="0" w:color="auto"/>
        <w:right w:val="none" w:sz="0" w:space="0" w:color="auto"/>
      </w:divBdr>
    </w:div>
    <w:div w:id="630791379">
      <w:bodyDiv w:val="1"/>
      <w:marLeft w:val="0"/>
      <w:marRight w:val="0"/>
      <w:marTop w:val="0"/>
      <w:marBottom w:val="0"/>
      <w:divBdr>
        <w:top w:val="none" w:sz="0" w:space="0" w:color="auto"/>
        <w:left w:val="none" w:sz="0" w:space="0" w:color="auto"/>
        <w:bottom w:val="none" w:sz="0" w:space="0" w:color="auto"/>
        <w:right w:val="none" w:sz="0" w:space="0" w:color="auto"/>
      </w:divBdr>
    </w:div>
    <w:div w:id="630794412">
      <w:bodyDiv w:val="1"/>
      <w:marLeft w:val="0"/>
      <w:marRight w:val="0"/>
      <w:marTop w:val="0"/>
      <w:marBottom w:val="0"/>
      <w:divBdr>
        <w:top w:val="none" w:sz="0" w:space="0" w:color="auto"/>
        <w:left w:val="none" w:sz="0" w:space="0" w:color="auto"/>
        <w:bottom w:val="none" w:sz="0" w:space="0" w:color="auto"/>
        <w:right w:val="none" w:sz="0" w:space="0" w:color="auto"/>
      </w:divBdr>
    </w:div>
    <w:div w:id="631131295">
      <w:bodyDiv w:val="1"/>
      <w:marLeft w:val="0"/>
      <w:marRight w:val="0"/>
      <w:marTop w:val="0"/>
      <w:marBottom w:val="0"/>
      <w:divBdr>
        <w:top w:val="none" w:sz="0" w:space="0" w:color="auto"/>
        <w:left w:val="none" w:sz="0" w:space="0" w:color="auto"/>
        <w:bottom w:val="none" w:sz="0" w:space="0" w:color="auto"/>
        <w:right w:val="none" w:sz="0" w:space="0" w:color="auto"/>
      </w:divBdr>
    </w:div>
    <w:div w:id="631253275">
      <w:bodyDiv w:val="1"/>
      <w:marLeft w:val="0"/>
      <w:marRight w:val="0"/>
      <w:marTop w:val="0"/>
      <w:marBottom w:val="0"/>
      <w:divBdr>
        <w:top w:val="none" w:sz="0" w:space="0" w:color="auto"/>
        <w:left w:val="none" w:sz="0" w:space="0" w:color="auto"/>
        <w:bottom w:val="none" w:sz="0" w:space="0" w:color="auto"/>
        <w:right w:val="none" w:sz="0" w:space="0" w:color="auto"/>
      </w:divBdr>
    </w:div>
    <w:div w:id="631328528">
      <w:bodyDiv w:val="1"/>
      <w:marLeft w:val="0"/>
      <w:marRight w:val="0"/>
      <w:marTop w:val="0"/>
      <w:marBottom w:val="0"/>
      <w:divBdr>
        <w:top w:val="none" w:sz="0" w:space="0" w:color="auto"/>
        <w:left w:val="none" w:sz="0" w:space="0" w:color="auto"/>
        <w:bottom w:val="none" w:sz="0" w:space="0" w:color="auto"/>
        <w:right w:val="none" w:sz="0" w:space="0" w:color="auto"/>
      </w:divBdr>
    </w:div>
    <w:div w:id="631441715">
      <w:bodyDiv w:val="1"/>
      <w:marLeft w:val="0"/>
      <w:marRight w:val="0"/>
      <w:marTop w:val="0"/>
      <w:marBottom w:val="0"/>
      <w:divBdr>
        <w:top w:val="none" w:sz="0" w:space="0" w:color="auto"/>
        <w:left w:val="none" w:sz="0" w:space="0" w:color="auto"/>
        <w:bottom w:val="none" w:sz="0" w:space="0" w:color="auto"/>
        <w:right w:val="none" w:sz="0" w:space="0" w:color="auto"/>
      </w:divBdr>
    </w:div>
    <w:div w:id="631521607">
      <w:bodyDiv w:val="1"/>
      <w:marLeft w:val="0"/>
      <w:marRight w:val="0"/>
      <w:marTop w:val="0"/>
      <w:marBottom w:val="0"/>
      <w:divBdr>
        <w:top w:val="none" w:sz="0" w:space="0" w:color="auto"/>
        <w:left w:val="none" w:sz="0" w:space="0" w:color="auto"/>
        <w:bottom w:val="none" w:sz="0" w:space="0" w:color="auto"/>
        <w:right w:val="none" w:sz="0" w:space="0" w:color="auto"/>
      </w:divBdr>
    </w:div>
    <w:div w:id="631643598">
      <w:bodyDiv w:val="1"/>
      <w:marLeft w:val="0"/>
      <w:marRight w:val="0"/>
      <w:marTop w:val="0"/>
      <w:marBottom w:val="0"/>
      <w:divBdr>
        <w:top w:val="none" w:sz="0" w:space="0" w:color="auto"/>
        <w:left w:val="none" w:sz="0" w:space="0" w:color="auto"/>
        <w:bottom w:val="none" w:sz="0" w:space="0" w:color="auto"/>
        <w:right w:val="none" w:sz="0" w:space="0" w:color="auto"/>
      </w:divBdr>
    </w:div>
    <w:div w:id="631836866">
      <w:bodyDiv w:val="1"/>
      <w:marLeft w:val="0"/>
      <w:marRight w:val="0"/>
      <w:marTop w:val="0"/>
      <w:marBottom w:val="0"/>
      <w:divBdr>
        <w:top w:val="none" w:sz="0" w:space="0" w:color="auto"/>
        <w:left w:val="none" w:sz="0" w:space="0" w:color="auto"/>
        <w:bottom w:val="none" w:sz="0" w:space="0" w:color="auto"/>
        <w:right w:val="none" w:sz="0" w:space="0" w:color="auto"/>
      </w:divBdr>
    </w:div>
    <w:div w:id="632100727">
      <w:bodyDiv w:val="1"/>
      <w:marLeft w:val="0"/>
      <w:marRight w:val="0"/>
      <w:marTop w:val="0"/>
      <w:marBottom w:val="0"/>
      <w:divBdr>
        <w:top w:val="none" w:sz="0" w:space="0" w:color="auto"/>
        <w:left w:val="none" w:sz="0" w:space="0" w:color="auto"/>
        <w:bottom w:val="none" w:sz="0" w:space="0" w:color="auto"/>
        <w:right w:val="none" w:sz="0" w:space="0" w:color="auto"/>
      </w:divBdr>
    </w:div>
    <w:div w:id="632255341">
      <w:bodyDiv w:val="1"/>
      <w:marLeft w:val="0"/>
      <w:marRight w:val="0"/>
      <w:marTop w:val="0"/>
      <w:marBottom w:val="0"/>
      <w:divBdr>
        <w:top w:val="none" w:sz="0" w:space="0" w:color="auto"/>
        <w:left w:val="none" w:sz="0" w:space="0" w:color="auto"/>
        <w:bottom w:val="none" w:sz="0" w:space="0" w:color="auto"/>
        <w:right w:val="none" w:sz="0" w:space="0" w:color="auto"/>
      </w:divBdr>
    </w:div>
    <w:div w:id="632365150">
      <w:bodyDiv w:val="1"/>
      <w:marLeft w:val="0"/>
      <w:marRight w:val="0"/>
      <w:marTop w:val="0"/>
      <w:marBottom w:val="0"/>
      <w:divBdr>
        <w:top w:val="none" w:sz="0" w:space="0" w:color="auto"/>
        <w:left w:val="none" w:sz="0" w:space="0" w:color="auto"/>
        <w:bottom w:val="none" w:sz="0" w:space="0" w:color="auto"/>
        <w:right w:val="none" w:sz="0" w:space="0" w:color="auto"/>
      </w:divBdr>
    </w:div>
    <w:div w:id="632442225">
      <w:bodyDiv w:val="1"/>
      <w:marLeft w:val="0"/>
      <w:marRight w:val="0"/>
      <w:marTop w:val="0"/>
      <w:marBottom w:val="0"/>
      <w:divBdr>
        <w:top w:val="none" w:sz="0" w:space="0" w:color="auto"/>
        <w:left w:val="none" w:sz="0" w:space="0" w:color="auto"/>
        <w:bottom w:val="none" w:sz="0" w:space="0" w:color="auto"/>
        <w:right w:val="none" w:sz="0" w:space="0" w:color="auto"/>
      </w:divBdr>
    </w:div>
    <w:div w:id="632518175">
      <w:bodyDiv w:val="1"/>
      <w:marLeft w:val="0"/>
      <w:marRight w:val="0"/>
      <w:marTop w:val="0"/>
      <w:marBottom w:val="0"/>
      <w:divBdr>
        <w:top w:val="none" w:sz="0" w:space="0" w:color="auto"/>
        <w:left w:val="none" w:sz="0" w:space="0" w:color="auto"/>
        <w:bottom w:val="none" w:sz="0" w:space="0" w:color="auto"/>
        <w:right w:val="none" w:sz="0" w:space="0" w:color="auto"/>
      </w:divBdr>
    </w:div>
    <w:div w:id="632566302">
      <w:bodyDiv w:val="1"/>
      <w:marLeft w:val="0"/>
      <w:marRight w:val="0"/>
      <w:marTop w:val="0"/>
      <w:marBottom w:val="0"/>
      <w:divBdr>
        <w:top w:val="none" w:sz="0" w:space="0" w:color="auto"/>
        <w:left w:val="none" w:sz="0" w:space="0" w:color="auto"/>
        <w:bottom w:val="none" w:sz="0" w:space="0" w:color="auto"/>
        <w:right w:val="none" w:sz="0" w:space="0" w:color="auto"/>
      </w:divBdr>
    </w:div>
    <w:div w:id="632642834">
      <w:bodyDiv w:val="1"/>
      <w:marLeft w:val="0"/>
      <w:marRight w:val="0"/>
      <w:marTop w:val="0"/>
      <w:marBottom w:val="0"/>
      <w:divBdr>
        <w:top w:val="none" w:sz="0" w:space="0" w:color="auto"/>
        <w:left w:val="none" w:sz="0" w:space="0" w:color="auto"/>
        <w:bottom w:val="none" w:sz="0" w:space="0" w:color="auto"/>
        <w:right w:val="none" w:sz="0" w:space="0" w:color="auto"/>
      </w:divBdr>
    </w:div>
    <w:div w:id="632713933">
      <w:bodyDiv w:val="1"/>
      <w:marLeft w:val="0"/>
      <w:marRight w:val="0"/>
      <w:marTop w:val="0"/>
      <w:marBottom w:val="0"/>
      <w:divBdr>
        <w:top w:val="none" w:sz="0" w:space="0" w:color="auto"/>
        <w:left w:val="none" w:sz="0" w:space="0" w:color="auto"/>
        <w:bottom w:val="none" w:sz="0" w:space="0" w:color="auto"/>
        <w:right w:val="none" w:sz="0" w:space="0" w:color="auto"/>
      </w:divBdr>
    </w:div>
    <w:div w:id="632827253">
      <w:bodyDiv w:val="1"/>
      <w:marLeft w:val="0"/>
      <w:marRight w:val="0"/>
      <w:marTop w:val="0"/>
      <w:marBottom w:val="0"/>
      <w:divBdr>
        <w:top w:val="none" w:sz="0" w:space="0" w:color="auto"/>
        <w:left w:val="none" w:sz="0" w:space="0" w:color="auto"/>
        <w:bottom w:val="none" w:sz="0" w:space="0" w:color="auto"/>
        <w:right w:val="none" w:sz="0" w:space="0" w:color="auto"/>
      </w:divBdr>
    </w:div>
    <w:div w:id="633096226">
      <w:bodyDiv w:val="1"/>
      <w:marLeft w:val="0"/>
      <w:marRight w:val="0"/>
      <w:marTop w:val="0"/>
      <w:marBottom w:val="0"/>
      <w:divBdr>
        <w:top w:val="none" w:sz="0" w:space="0" w:color="auto"/>
        <w:left w:val="none" w:sz="0" w:space="0" w:color="auto"/>
        <w:bottom w:val="none" w:sz="0" w:space="0" w:color="auto"/>
        <w:right w:val="none" w:sz="0" w:space="0" w:color="auto"/>
      </w:divBdr>
    </w:div>
    <w:div w:id="633365434">
      <w:bodyDiv w:val="1"/>
      <w:marLeft w:val="0"/>
      <w:marRight w:val="0"/>
      <w:marTop w:val="0"/>
      <w:marBottom w:val="0"/>
      <w:divBdr>
        <w:top w:val="none" w:sz="0" w:space="0" w:color="auto"/>
        <w:left w:val="none" w:sz="0" w:space="0" w:color="auto"/>
        <w:bottom w:val="none" w:sz="0" w:space="0" w:color="auto"/>
        <w:right w:val="none" w:sz="0" w:space="0" w:color="auto"/>
      </w:divBdr>
    </w:div>
    <w:div w:id="633558618">
      <w:bodyDiv w:val="1"/>
      <w:marLeft w:val="0"/>
      <w:marRight w:val="0"/>
      <w:marTop w:val="0"/>
      <w:marBottom w:val="0"/>
      <w:divBdr>
        <w:top w:val="none" w:sz="0" w:space="0" w:color="auto"/>
        <w:left w:val="none" w:sz="0" w:space="0" w:color="auto"/>
        <w:bottom w:val="none" w:sz="0" w:space="0" w:color="auto"/>
        <w:right w:val="none" w:sz="0" w:space="0" w:color="auto"/>
      </w:divBdr>
    </w:div>
    <w:div w:id="633634258">
      <w:bodyDiv w:val="1"/>
      <w:marLeft w:val="0"/>
      <w:marRight w:val="0"/>
      <w:marTop w:val="0"/>
      <w:marBottom w:val="0"/>
      <w:divBdr>
        <w:top w:val="none" w:sz="0" w:space="0" w:color="auto"/>
        <w:left w:val="none" w:sz="0" w:space="0" w:color="auto"/>
        <w:bottom w:val="none" w:sz="0" w:space="0" w:color="auto"/>
        <w:right w:val="none" w:sz="0" w:space="0" w:color="auto"/>
      </w:divBdr>
    </w:div>
    <w:div w:id="633683627">
      <w:bodyDiv w:val="1"/>
      <w:marLeft w:val="0"/>
      <w:marRight w:val="0"/>
      <w:marTop w:val="0"/>
      <w:marBottom w:val="0"/>
      <w:divBdr>
        <w:top w:val="none" w:sz="0" w:space="0" w:color="auto"/>
        <w:left w:val="none" w:sz="0" w:space="0" w:color="auto"/>
        <w:bottom w:val="none" w:sz="0" w:space="0" w:color="auto"/>
        <w:right w:val="none" w:sz="0" w:space="0" w:color="auto"/>
      </w:divBdr>
    </w:div>
    <w:div w:id="633751905">
      <w:bodyDiv w:val="1"/>
      <w:marLeft w:val="0"/>
      <w:marRight w:val="0"/>
      <w:marTop w:val="0"/>
      <w:marBottom w:val="0"/>
      <w:divBdr>
        <w:top w:val="none" w:sz="0" w:space="0" w:color="auto"/>
        <w:left w:val="none" w:sz="0" w:space="0" w:color="auto"/>
        <w:bottom w:val="none" w:sz="0" w:space="0" w:color="auto"/>
        <w:right w:val="none" w:sz="0" w:space="0" w:color="auto"/>
      </w:divBdr>
    </w:div>
    <w:div w:id="633869901">
      <w:bodyDiv w:val="1"/>
      <w:marLeft w:val="0"/>
      <w:marRight w:val="0"/>
      <w:marTop w:val="0"/>
      <w:marBottom w:val="0"/>
      <w:divBdr>
        <w:top w:val="none" w:sz="0" w:space="0" w:color="auto"/>
        <w:left w:val="none" w:sz="0" w:space="0" w:color="auto"/>
        <w:bottom w:val="none" w:sz="0" w:space="0" w:color="auto"/>
        <w:right w:val="none" w:sz="0" w:space="0" w:color="auto"/>
      </w:divBdr>
    </w:div>
    <w:div w:id="633871555">
      <w:bodyDiv w:val="1"/>
      <w:marLeft w:val="0"/>
      <w:marRight w:val="0"/>
      <w:marTop w:val="0"/>
      <w:marBottom w:val="0"/>
      <w:divBdr>
        <w:top w:val="none" w:sz="0" w:space="0" w:color="auto"/>
        <w:left w:val="none" w:sz="0" w:space="0" w:color="auto"/>
        <w:bottom w:val="none" w:sz="0" w:space="0" w:color="auto"/>
        <w:right w:val="none" w:sz="0" w:space="0" w:color="auto"/>
      </w:divBdr>
    </w:div>
    <w:div w:id="634024660">
      <w:bodyDiv w:val="1"/>
      <w:marLeft w:val="0"/>
      <w:marRight w:val="0"/>
      <w:marTop w:val="0"/>
      <w:marBottom w:val="0"/>
      <w:divBdr>
        <w:top w:val="none" w:sz="0" w:space="0" w:color="auto"/>
        <w:left w:val="none" w:sz="0" w:space="0" w:color="auto"/>
        <w:bottom w:val="none" w:sz="0" w:space="0" w:color="auto"/>
        <w:right w:val="none" w:sz="0" w:space="0" w:color="auto"/>
      </w:divBdr>
    </w:div>
    <w:div w:id="634026612">
      <w:bodyDiv w:val="1"/>
      <w:marLeft w:val="0"/>
      <w:marRight w:val="0"/>
      <w:marTop w:val="0"/>
      <w:marBottom w:val="0"/>
      <w:divBdr>
        <w:top w:val="none" w:sz="0" w:space="0" w:color="auto"/>
        <w:left w:val="none" w:sz="0" w:space="0" w:color="auto"/>
        <w:bottom w:val="none" w:sz="0" w:space="0" w:color="auto"/>
        <w:right w:val="none" w:sz="0" w:space="0" w:color="auto"/>
      </w:divBdr>
    </w:div>
    <w:div w:id="634067996">
      <w:bodyDiv w:val="1"/>
      <w:marLeft w:val="0"/>
      <w:marRight w:val="0"/>
      <w:marTop w:val="0"/>
      <w:marBottom w:val="0"/>
      <w:divBdr>
        <w:top w:val="none" w:sz="0" w:space="0" w:color="auto"/>
        <w:left w:val="none" w:sz="0" w:space="0" w:color="auto"/>
        <w:bottom w:val="none" w:sz="0" w:space="0" w:color="auto"/>
        <w:right w:val="none" w:sz="0" w:space="0" w:color="auto"/>
      </w:divBdr>
    </w:div>
    <w:div w:id="634138803">
      <w:bodyDiv w:val="1"/>
      <w:marLeft w:val="0"/>
      <w:marRight w:val="0"/>
      <w:marTop w:val="0"/>
      <w:marBottom w:val="0"/>
      <w:divBdr>
        <w:top w:val="none" w:sz="0" w:space="0" w:color="auto"/>
        <w:left w:val="none" w:sz="0" w:space="0" w:color="auto"/>
        <w:bottom w:val="none" w:sz="0" w:space="0" w:color="auto"/>
        <w:right w:val="none" w:sz="0" w:space="0" w:color="auto"/>
      </w:divBdr>
    </w:div>
    <w:div w:id="634220323">
      <w:bodyDiv w:val="1"/>
      <w:marLeft w:val="0"/>
      <w:marRight w:val="0"/>
      <w:marTop w:val="0"/>
      <w:marBottom w:val="0"/>
      <w:divBdr>
        <w:top w:val="none" w:sz="0" w:space="0" w:color="auto"/>
        <w:left w:val="none" w:sz="0" w:space="0" w:color="auto"/>
        <w:bottom w:val="none" w:sz="0" w:space="0" w:color="auto"/>
        <w:right w:val="none" w:sz="0" w:space="0" w:color="auto"/>
      </w:divBdr>
    </w:div>
    <w:div w:id="634261606">
      <w:bodyDiv w:val="1"/>
      <w:marLeft w:val="0"/>
      <w:marRight w:val="0"/>
      <w:marTop w:val="0"/>
      <w:marBottom w:val="0"/>
      <w:divBdr>
        <w:top w:val="none" w:sz="0" w:space="0" w:color="auto"/>
        <w:left w:val="none" w:sz="0" w:space="0" w:color="auto"/>
        <w:bottom w:val="none" w:sz="0" w:space="0" w:color="auto"/>
        <w:right w:val="none" w:sz="0" w:space="0" w:color="auto"/>
      </w:divBdr>
    </w:div>
    <w:div w:id="634331901">
      <w:bodyDiv w:val="1"/>
      <w:marLeft w:val="0"/>
      <w:marRight w:val="0"/>
      <w:marTop w:val="0"/>
      <w:marBottom w:val="0"/>
      <w:divBdr>
        <w:top w:val="none" w:sz="0" w:space="0" w:color="auto"/>
        <w:left w:val="none" w:sz="0" w:space="0" w:color="auto"/>
        <w:bottom w:val="none" w:sz="0" w:space="0" w:color="auto"/>
        <w:right w:val="none" w:sz="0" w:space="0" w:color="auto"/>
      </w:divBdr>
    </w:div>
    <w:div w:id="634338064">
      <w:bodyDiv w:val="1"/>
      <w:marLeft w:val="0"/>
      <w:marRight w:val="0"/>
      <w:marTop w:val="0"/>
      <w:marBottom w:val="0"/>
      <w:divBdr>
        <w:top w:val="none" w:sz="0" w:space="0" w:color="auto"/>
        <w:left w:val="none" w:sz="0" w:space="0" w:color="auto"/>
        <w:bottom w:val="none" w:sz="0" w:space="0" w:color="auto"/>
        <w:right w:val="none" w:sz="0" w:space="0" w:color="auto"/>
      </w:divBdr>
    </w:div>
    <w:div w:id="635181528">
      <w:bodyDiv w:val="1"/>
      <w:marLeft w:val="0"/>
      <w:marRight w:val="0"/>
      <w:marTop w:val="0"/>
      <w:marBottom w:val="0"/>
      <w:divBdr>
        <w:top w:val="none" w:sz="0" w:space="0" w:color="auto"/>
        <w:left w:val="none" w:sz="0" w:space="0" w:color="auto"/>
        <w:bottom w:val="none" w:sz="0" w:space="0" w:color="auto"/>
        <w:right w:val="none" w:sz="0" w:space="0" w:color="auto"/>
      </w:divBdr>
    </w:div>
    <w:div w:id="635259930">
      <w:bodyDiv w:val="1"/>
      <w:marLeft w:val="0"/>
      <w:marRight w:val="0"/>
      <w:marTop w:val="0"/>
      <w:marBottom w:val="0"/>
      <w:divBdr>
        <w:top w:val="none" w:sz="0" w:space="0" w:color="auto"/>
        <w:left w:val="none" w:sz="0" w:space="0" w:color="auto"/>
        <w:bottom w:val="none" w:sz="0" w:space="0" w:color="auto"/>
        <w:right w:val="none" w:sz="0" w:space="0" w:color="auto"/>
      </w:divBdr>
    </w:div>
    <w:div w:id="635260911">
      <w:bodyDiv w:val="1"/>
      <w:marLeft w:val="0"/>
      <w:marRight w:val="0"/>
      <w:marTop w:val="0"/>
      <w:marBottom w:val="0"/>
      <w:divBdr>
        <w:top w:val="none" w:sz="0" w:space="0" w:color="auto"/>
        <w:left w:val="none" w:sz="0" w:space="0" w:color="auto"/>
        <w:bottom w:val="none" w:sz="0" w:space="0" w:color="auto"/>
        <w:right w:val="none" w:sz="0" w:space="0" w:color="auto"/>
      </w:divBdr>
    </w:div>
    <w:div w:id="635529936">
      <w:bodyDiv w:val="1"/>
      <w:marLeft w:val="0"/>
      <w:marRight w:val="0"/>
      <w:marTop w:val="0"/>
      <w:marBottom w:val="0"/>
      <w:divBdr>
        <w:top w:val="none" w:sz="0" w:space="0" w:color="auto"/>
        <w:left w:val="none" w:sz="0" w:space="0" w:color="auto"/>
        <w:bottom w:val="none" w:sz="0" w:space="0" w:color="auto"/>
        <w:right w:val="none" w:sz="0" w:space="0" w:color="auto"/>
      </w:divBdr>
    </w:div>
    <w:div w:id="635573967">
      <w:bodyDiv w:val="1"/>
      <w:marLeft w:val="0"/>
      <w:marRight w:val="0"/>
      <w:marTop w:val="0"/>
      <w:marBottom w:val="0"/>
      <w:divBdr>
        <w:top w:val="none" w:sz="0" w:space="0" w:color="auto"/>
        <w:left w:val="none" w:sz="0" w:space="0" w:color="auto"/>
        <w:bottom w:val="none" w:sz="0" w:space="0" w:color="auto"/>
        <w:right w:val="none" w:sz="0" w:space="0" w:color="auto"/>
      </w:divBdr>
    </w:div>
    <w:div w:id="635647698">
      <w:bodyDiv w:val="1"/>
      <w:marLeft w:val="0"/>
      <w:marRight w:val="0"/>
      <w:marTop w:val="0"/>
      <w:marBottom w:val="0"/>
      <w:divBdr>
        <w:top w:val="none" w:sz="0" w:space="0" w:color="auto"/>
        <w:left w:val="none" w:sz="0" w:space="0" w:color="auto"/>
        <w:bottom w:val="none" w:sz="0" w:space="0" w:color="auto"/>
        <w:right w:val="none" w:sz="0" w:space="0" w:color="auto"/>
      </w:divBdr>
    </w:div>
    <w:div w:id="635837123">
      <w:bodyDiv w:val="1"/>
      <w:marLeft w:val="0"/>
      <w:marRight w:val="0"/>
      <w:marTop w:val="0"/>
      <w:marBottom w:val="0"/>
      <w:divBdr>
        <w:top w:val="none" w:sz="0" w:space="0" w:color="auto"/>
        <w:left w:val="none" w:sz="0" w:space="0" w:color="auto"/>
        <w:bottom w:val="none" w:sz="0" w:space="0" w:color="auto"/>
        <w:right w:val="none" w:sz="0" w:space="0" w:color="auto"/>
      </w:divBdr>
    </w:div>
    <w:div w:id="635989796">
      <w:bodyDiv w:val="1"/>
      <w:marLeft w:val="0"/>
      <w:marRight w:val="0"/>
      <w:marTop w:val="0"/>
      <w:marBottom w:val="0"/>
      <w:divBdr>
        <w:top w:val="none" w:sz="0" w:space="0" w:color="auto"/>
        <w:left w:val="none" w:sz="0" w:space="0" w:color="auto"/>
        <w:bottom w:val="none" w:sz="0" w:space="0" w:color="auto"/>
        <w:right w:val="none" w:sz="0" w:space="0" w:color="auto"/>
      </w:divBdr>
    </w:div>
    <w:div w:id="636224353">
      <w:bodyDiv w:val="1"/>
      <w:marLeft w:val="0"/>
      <w:marRight w:val="0"/>
      <w:marTop w:val="0"/>
      <w:marBottom w:val="0"/>
      <w:divBdr>
        <w:top w:val="none" w:sz="0" w:space="0" w:color="auto"/>
        <w:left w:val="none" w:sz="0" w:space="0" w:color="auto"/>
        <w:bottom w:val="none" w:sz="0" w:space="0" w:color="auto"/>
        <w:right w:val="none" w:sz="0" w:space="0" w:color="auto"/>
      </w:divBdr>
    </w:div>
    <w:div w:id="636228744">
      <w:bodyDiv w:val="1"/>
      <w:marLeft w:val="0"/>
      <w:marRight w:val="0"/>
      <w:marTop w:val="0"/>
      <w:marBottom w:val="0"/>
      <w:divBdr>
        <w:top w:val="none" w:sz="0" w:space="0" w:color="auto"/>
        <w:left w:val="none" w:sz="0" w:space="0" w:color="auto"/>
        <w:bottom w:val="none" w:sz="0" w:space="0" w:color="auto"/>
        <w:right w:val="none" w:sz="0" w:space="0" w:color="auto"/>
      </w:divBdr>
    </w:div>
    <w:div w:id="636300853">
      <w:bodyDiv w:val="1"/>
      <w:marLeft w:val="0"/>
      <w:marRight w:val="0"/>
      <w:marTop w:val="0"/>
      <w:marBottom w:val="0"/>
      <w:divBdr>
        <w:top w:val="none" w:sz="0" w:space="0" w:color="auto"/>
        <w:left w:val="none" w:sz="0" w:space="0" w:color="auto"/>
        <w:bottom w:val="none" w:sz="0" w:space="0" w:color="auto"/>
        <w:right w:val="none" w:sz="0" w:space="0" w:color="auto"/>
      </w:divBdr>
    </w:div>
    <w:div w:id="636564914">
      <w:bodyDiv w:val="1"/>
      <w:marLeft w:val="0"/>
      <w:marRight w:val="0"/>
      <w:marTop w:val="0"/>
      <w:marBottom w:val="0"/>
      <w:divBdr>
        <w:top w:val="none" w:sz="0" w:space="0" w:color="auto"/>
        <w:left w:val="none" w:sz="0" w:space="0" w:color="auto"/>
        <w:bottom w:val="none" w:sz="0" w:space="0" w:color="auto"/>
        <w:right w:val="none" w:sz="0" w:space="0" w:color="auto"/>
      </w:divBdr>
    </w:div>
    <w:div w:id="636570842">
      <w:bodyDiv w:val="1"/>
      <w:marLeft w:val="0"/>
      <w:marRight w:val="0"/>
      <w:marTop w:val="0"/>
      <w:marBottom w:val="0"/>
      <w:divBdr>
        <w:top w:val="none" w:sz="0" w:space="0" w:color="auto"/>
        <w:left w:val="none" w:sz="0" w:space="0" w:color="auto"/>
        <w:bottom w:val="none" w:sz="0" w:space="0" w:color="auto"/>
        <w:right w:val="none" w:sz="0" w:space="0" w:color="auto"/>
      </w:divBdr>
    </w:div>
    <w:div w:id="636645013">
      <w:bodyDiv w:val="1"/>
      <w:marLeft w:val="0"/>
      <w:marRight w:val="0"/>
      <w:marTop w:val="0"/>
      <w:marBottom w:val="0"/>
      <w:divBdr>
        <w:top w:val="none" w:sz="0" w:space="0" w:color="auto"/>
        <w:left w:val="none" w:sz="0" w:space="0" w:color="auto"/>
        <w:bottom w:val="none" w:sz="0" w:space="0" w:color="auto"/>
        <w:right w:val="none" w:sz="0" w:space="0" w:color="auto"/>
      </w:divBdr>
    </w:div>
    <w:div w:id="636686869">
      <w:bodyDiv w:val="1"/>
      <w:marLeft w:val="0"/>
      <w:marRight w:val="0"/>
      <w:marTop w:val="0"/>
      <w:marBottom w:val="0"/>
      <w:divBdr>
        <w:top w:val="none" w:sz="0" w:space="0" w:color="auto"/>
        <w:left w:val="none" w:sz="0" w:space="0" w:color="auto"/>
        <w:bottom w:val="none" w:sz="0" w:space="0" w:color="auto"/>
        <w:right w:val="none" w:sz="0" w:space="0" w:color="auto"/>
      </w:divBdr>
    </w:div>
    <w:div w:id="636691430">
      <w:bodyDiv w:val="1"/>
      <w:marLeft w:val="0"/>
      <w:marRight w:val="0"/>
      <w:marTop w:val="0"/>
      <w:marBottom w:val="0"/>
      <w:divBdr>
        <w:top w:val="none" w:sz="0" w:space="0" w:color="auto"/>
        <w:left w:val="none" w:sz="0" w:space="0" w:color="auto"/>
        <w:bottom w:val="none" w:sz="0" w:space="0" w:color="auto"/>
        <w:right w:val="none" w:sz="0" w:space="0" w:color="auto"/>
      </w:divBdr>
    </w:div>
    <w:div w:id="636881984">
      <w:bodyDiv w:val="1"/>
      <w:marLeft w:val="0"/>
      <w:marRight w:val="0"/>
      <w:marTop w:val="0"/>
      <w:marBottom w:val="0"/>
      <w:divBdr>
        <w:top w:val="none" w:sz="0" w:space="0" w:color="auto"/>
        <w:left w:val="none" w:sz="0" w:space="0" w:color="auto"/>
        <w:bottom w:val="none" w:sz="0" w:space="0" w:color="auto"/>
        <w:right w:val="none" w:sz="0" w:space="0" w:color="auto"/>
      </w:divBdr>
    </w:div>
    <w:div w:id="637490974">
      <w:bodyDiv w:val="1"/>
      <w:marLeft w:val="0"/>
      <w:marRight w:val="0"/>
      <w:marTop w:val="0"/>
      <w:marBottom w:val="0"/>
      <w:divBdr>
        <w:top w:val="none" w:sz="0" w:space="0" w:color="auto"/>
        <w:left w:val="none" w:sz="0" w:space="0" w:color="auto"/>
        <w:bottom w:val="none" w:sz="0" w:space="0" w:color="auto"/>
        <w:right w:val="none" w:sz="0" w:space="0" w:color="auto"/>
      </w:divBdr>
    </w:div>
    <w:div w:id="637613251">
      <w:bodyDiv w:val="1"/>
      <w:marLeft w:val="0"/>
      <w:marRight w:val="0"/>
      <w:marTop w:val="0"/>
      <w:marBottom w:val="0"/>
      <w:divBdr>
        <w:top w:val="none" w:sz="0" w:space="0" w:color="auto"/>
        <w:left w:val="none" w:sz="0" w:space="0" w:color="auto"/>
        <w:bottom w:val="none" w:sz="0" w:space="0" w:color="auto"/>
        <w:right w:val="none" w:sz="0" w:space="0" w:color="auto"/>
      </w:divBdr>
    </w:div>
    <w:div w:id="637882297">
      <w:bodyDiv w:val="1"/>
      <w:marLeft w:val="0"/>
      <w:marRight w:val="0"/>
      <w:marTop w:val="0"/>
      <w:marBottom w:val="0"/>
      <w:divBdr>
        <w:top w:val="none" w:sz="0" w:space="0" w:color="auto"/>
        <w:left w:val="none" w:sz="0" w:space="0" w:color="auto"/>
        <w:bottom w:val="none" w:sz="0" w:space="0" w:color="auto"/>
        <w:right w:val="none" w:sz="0" w:space="0" w:color="auto"/>
      </w:divBdr>
    </w:div>
    <w:div w:id="638074502">
      <w:bodyDiv w:val="1"/>
      <w:marLeft w:val="0"/>
      <w:marRight w:val="0"/>
      <w:marTop w:val="0"/>
      <w:marBottom w:val="0"/>
      <w:divBdr>
        <w:top w:val="none" w:sz="0" w:space="0" w:color="auto"/>
        <w:left w:val="none" w:sz="0" w:space="0" w:color="auto"/>
        <w:bottom w:val="none" w:sz="0" w:space="0" w:color="auto"/>
        <w:right w:val="none" w:sz="0" w:space="0" w:color="auto"/>
      </w:divBdr>
    </w:div>
    <w:div w:id="638145593">
      <w:bodyDiv w:val="1"/>
      <w:marLeft w:val="0"/>
      <w:marRight w:val="0"/>
      <w:marTop w:val="0"/>
      <w:marBottom w:val="0"/>
      <w:divBdr>
        <w:top w:val="none" w:sz="0" w:space="0" w:color="auto"/>
        <w:left w:val="none" w:sz="0" w:space="0" w:color="auto"/>
        <w:bottom w:val="none" w:sz="0" w:space="0" w:color="auto"/>
        <w:right w:val="none" w:sz="0" w:space="0" w:color="auto"/>
      </w:divBdr>
    </w:div>
    <w:div w:id="638153424">
      <w:bodyDiv w:val="1"/>
      <w:marLeft w:val="0"/>
      <w:marRight w:val="0"/>
      <w:marTop w:val="0"/>
      <w:marBottom w:val="0"/>
      <w:divBdr>
        <w:top w:val="none" w:sz="0" w:space="0" w:color="auto"/>
        <w:left w:val="none" w:sz="0" w:space="0" w:color="auto"/>
        <w:bottom w:val="none" w:sz="0" w:space="0" w:color="auto"/>
        <w:right w:val="none" w:sz="0" w:space="0" w:color="auto"/>
      </w:divBdr>
    </w:div>
    <w:div w:id="638220520">
      <w:bodyDiv w:val="1"/>
      <w:marLeft w:val="0"/>
      <w:marRight w:val="0"/>
      <w:marTop w:val="0"/>
      <w:marBottom w:val="0"/>
      <w:divBdr>
        <w:top w:val="none" w:sz="0" w:space="0" w:color="auto"/>
        <w:left w:val="none" w:sz="0" w:space="0" w:color="auto"/>
        <w:bottom w:val="none" w:sz="0" w:space="0" w:color="auto"/>
        <w:right w:val="none" w:sz="0" w:space="0" w:color="auto"/>
      </w:divBdr>
    </w:div>
    <w:div w:id="638270422">
      <w:bodyDiv w:val="1"/>
      <w:marLeft w:val="0"/>
      <w:marRight w:val="0"/>
      <w:marTop w:val="0"/>
      <w:marBottom w:val="0"/>
      <w:divBdr>
        <w:top w:val="none" w:sz="0" w:space="0" w:color="auto"/>
        <w:left w:val="none" w:sz="0" w:space="0" w:color="auto"/>
        <w:bottom w:val="none" w:sz="0" w:space="0" w:color="auto"/>
        <w:right w:val="none" w:sz="0" w:space="0" w:color="auto"/>
      </w:divBdr>
    </w:div>
    <w:div w:id="638339683">
      <w:bodyDiv w:val="1"/>
      <w:marLeft w:val="0"/>
      <w:marRight w:val="0"/>
      <w:marTop w:val="0"/>
      <w:marBottom w:val="0"/>
      <w:divBdr>
        <w:top w:val="none" w:sz="0" w:space="0" w:color="auto"/>
        <w:left w:val="none" w:sz="0" w:space="0" w:color="auto"/>
        <w:bottom w:val="none" w:sz="0" w:space="0" w:color="auto"/>
        <w:right w:val="none" w:sz="0" w:space="0" w:color="auto"/>
      </w:divBdr>
    </w:div>
    <w:div w:id="638389071">
      <w:bodyDiv w:val="1"/>
      <w:marLeft w:val="0"/>
      <w:marRight w:val="0"/>
      <w:marTop w:val="0"/>
      <w:marBottom w:val="0"/>
      <w:divBdr>
        <w:top w:val="none" w:sz="0" w:space="0" w:color="auto"/>
        <w:left w:val="none" w:sz="0" w:space="0" w:color="auto"/>
        <w:bottom w:val="none" w:sz="0" w:space="0" w:color="auto"/>
        <w:right w:val="none" w:sz="0" w:space="0" w:color="auto"/>
      </w:divBdr>
    </w:div>
    <w:div w:id="638456788">
      <w:bodyDiv w:val="1"/>
      <w:marLeft w:val="0"/>
      <w:marRight w:val="0"/>
      <w:marTop w:val="0"/>
      <w:marBottom w:val="0"/>
      <w:divBdr>
        <w:top w:val="none" w:sz="0" w:space="0" w:color="auto"/>
        <w:left w:val="none" w:sz="0" w:space="0" w:color="auto"/>
        <w:bottom w:val="none" w:sz="0" w:space="0" w:color="auto"/>
        <w:right w:val="none" w:sz="0" w:space="0" w:color="auto"/>
      </w:divBdr>
    </w:div>
    <w:div w:id="638607213">
      <w:bodyDiv w:val="1"/>
      <w:marLeft w:val="0"/>
      <w:marRight w:val="0"/>
      <w:marTop w:val="0"/>
      <w:marBottom w:val="0"/>
      <w:divBdr>
        <w:top w:val="none" w:sz="0" w:space="0" w:color="auto"/>
        <w:left w:val="none" w:sz="0" w:space="0" w:color="auto"/>
        <w:bottom w:val="none" w:sz="0" w:space="0" w:color="auto"/>
        <w:right w:val="none" w:sz="0" w:space="0" w:color="auto"/>
      </w:divBdr>
    </w:div>
    <w:div w:id="638655007">
      <w:bodyDiv w:val="1"/>
      <w:marLeft w:val="0"/>
      <w:marRight w:val="0"/>
      <w:marTop w:val="0"/>
      <w:marBottom w:val="0"/>
      <w:divBdr>
        <w:top w:val="none" w:sz="0" w:space="0" w:color="auto"/>
        <w:left w:val="none" w:sz="0" w:space="0" w:color="auto"/>
        <w:bottom w:val="none" w:sz="0" w:space="0" w:color="auto"/>
        <w:right w:val="none" w:sz="0" w:space="0" w:color="auto"/>
      </w:divBdr>
    </w:div>
    <w:div w:id="639110996">
      <w:bodyDiv w:val="1"/>
      <w:marLeft w:val="0"/>
      <w:marRight w:val="0"/>
      <w:marTop w:val="0"/>
      <w:marBottom w:val="0"/>
      <w:divBdr>
        <w:top w:val="none" w:sz="0" w:space="0" w:color="auto"/>
        <w:left w:val="none" w:sz="0" w:space="0" w:color="auto"/>
        <w:bottom w:val="none" w:sz="0" w:space="0" w:color="auto"/>
        <w:right w:val="none" w:sz="0" w:space="0" w:color="auto"/>
      </w:divBdr>
    </w:div>
    <w:div w:id="639111719">
      <w:bodyDiv w:val="1"/>
      <w:marLeft w:val="0"/>
      <w:marRight w:val="0"/>
      <w:marTop w:val="0"/>
      <w:marBottom w:val="0"/>
      <w:divBdr>
        <w:top w:val="none" w:sz="0" w:space="0" w:color="auto"/>
        <w:left w:val="none" w:sz="0" w:space="0" w:color="auto"/>
        <w:bottom w:val="none" w:sz="0" w:space="0" w:color="auto"/>
        <w:right w:val="none" w:sz="0" w:space="0" w:color="auto"/>
      </w:divBdr>
    </w:div>
    <w:div w:id="639113764">
      <w:bodyDiv w:val="1"/>
      <w:marLeft w:val="0"/>
      <w:marRight w:val="0"/>
      <w:marTop w:val="0"/>
      <w:marBottom w:val="0"/>
      <w:divBdr>
        <w:top w:val="none" w:sz="0" w:space="0" w:color="auto"/>
        <w:left w:val="none" w:sz="0" w:space="0" w:color="auto"/>
        <w:bottom w:val="none" w:sz="0" w:space="0" w:color="auto"/>
        <w:right w:val="none" w:sz="0" w:space="0" w:color="auto"/>
      </w:divBdr>
    </w:div>
    <w:div w:id="639118507">
      <w:bodyDiv w:val="1"/>
      <w:marLeft w:val="0"/>
      <w:marRight w:val="0"/>
      <w:marTop w:val="0"/>
      <w:marBottom w:val="0"/>
      <w:divBdr>
        <w:top w:val="none" w:sz="0" w:space="0" w:color="auto"/>
        <w:left w:val="none" w:sz="0" w:space="0" w:color="auto"/>
        <w:bottom w:val="none" w:sz="0" w:space="0" w:color="auto"/>
        <w:right w:val="none" w:sz="0" w:space="0" w:color="auto"/>
      </w:divBdr>
    </w:div>
    <w:div w:id="639387966">
      <w:bodyDiv w:val="1"/>
      <w:marLeft w:val="0"/>
      <w:marRight w:val="0"/>
      <w:marTop w:val="0"/>
      <w:marBottom w:val="0"/>
      <w:divBdr>
        <w:top w:val="none" w:sz="0" w:space="0" w:color="auto"/>
        <w:left w:val="none" w:sz="0" w:space="0" w:color="auto"/>
        <w:bottom w:val="none" w:sz="0" w:space="0" w:color="auto"/>
        <w:right w:val="none" w:sz="0" w:space="0" w:color="auto"/>
      </w:divBdr>
    </w:div>
    <w:div w:id="639573192">
      <w:bodyDiv w:val="1"/>
      <w:marLeft w:val="0"/>
      <w:marRight w:val="0"/>
      <w:marTop w:val="0"/>
      <w:marBottom w:val="0"/>
      <w:divBdr>
        <w:top w:val="none" w:sz="0" w:space="0" w:color="auto"/>
        <w:left w:val="none" w:sz="0" w:space="0" w:color="auto"/>
        <w:bottom w:val="none" w:sz="0" w:space="0" w:color="auto"/>
        <w:right w:val="none" w:sz="0" w:space="0" w:color="auto"/>
      </w:divBdr>
    </w:div>
    <w:div w:id="639574910">
      <w:bodyDiv w:val="1"/>
      <w:marLeft w:val="0"/>
      <w:marRight w:val="0"/>
      <w:marTop w:val="0"/>
      <w:marBottom w:val="0"/>
      <w:divBdr>
        <w:top w:val="none" w:sz="0" w:space="0" w:color="auto"/>
        <w:left w:val="none" w:sz="0" w:space="0" w:color="auto"/>
        <w:bottom w:val="none" w:sz="0" w:space="0" w:color="auto"/>
        <w:right w:val="none" w:sz="0" w:space="0" w:color="auto"/>
      </w:divBdr>
    </w:div>
    <w:div w:id="639578074">
      <w:bodyDiv w:val="1"/>
      <w:marLeft w:val="0"/>
      <w:marRight w:val="0"/>
      <w:marTop w:val="0"/>
      <w:marBottom w:val="0"/>
      <w:divBdr>
        <w:top w:val="none" w:sz="0" w:space="0" w:color="auto"/>
        <w:left w:val="none" w:sz="0" w:space="0" w:color="auto"/>
        <w:bottom w:val="none" w:sz="0" w:space="0" w:color="auto"/>
        <w:right w:val="none" w:sz="0" w:space="0" w:color="auto"/>
      </w:divBdr>
    </w:div>
    <w:div w:id="639724204">
      <w:bodyDiv w:val="1"/>
      <w:marLeft w:val="0"/>
      <w:marRight w:val="0"/>
      <w:marTop w:val="0"/>
      <w:marBottom w:val="0"/>
      <w:divBdr>
        <w:top w:val="none" w:sz="0" w:space="0" w:color="auto"/>
        <w:left w:val="none" w:sz="0" w:space="0" w:color="auto"/>
        <w:bottom w:val="none" w:sz="0" w:space="0" w:color="auto"/>
        <w:right w:val="none" w:sz="0" w:space="0" w:color="auto"/>
      </w:divBdr>
    </w:div>
    <w:div w:id="639765768">
      <w:bodyDiv w:val="1"/>
      <w:marLeft w:val="0"/>
      <w:marRight w:val="0"/>
      <w:marTop w:val="0"/>
      <w:marBottom w:val="0"/>
      <w:divBdr>
        <w:top w:val="none" w:sz="0" w:space="0" w:color="auto"/>
        <w:left w:val="none" w:sz="0" w:space="0" w:color="auto"/>
        <w:bottom w:val="none" w:sz="0" w:space="0" w:color="auto"/>
        <w:right w:val="none" w:sz="0" w:space="0" w:color="auto"/>
      </w:divBdr>
    </w:div>
    <w:div w:id="639922713">
      <w:bodyDiv w:val="1"/>
      <w:marLeft w:val="0"/>
      <w:marRight w:val="0"/>
      <w:marTop w:val="0"/>
      <w:marBottom w:val="0"/>
      <w:divBdr>
        <w:top w:val="none" w:sz="0" w:space="0" w:color="auto"/>
        <w:left w:val="none" w:sz="0" w:space="0" w:color="auto"/>
        <w:bottom w:val="none" w:sz="0" w:space="0" w:color="auto"/>
        <w:right w:val="none" w:sz="0" w:space="0" w:color="auto"/>
      </w:divBdr>
    </w:div>
    <w:div w:id="639960496">
      <w:bodyDiv w:val="1"/>
      <w:marLeft w:val="0"/>
      <w:marRight w:val="0"/>
      <w:marTop w:val="0"/>
      <w:marBottom w:val="0"/>
      <w:divBdr>
        <w:top w:val="none" w:sz="0" w:space="0" w:color="auto"/>
        <w:left w:val="none" w:sz="0" w:space="0" w:color="auto"/>
        <w:bottom w:val="none" w:sz="0" w:space="0" w:color="auto"/>
        <w:right w:val="none" w:sz="0" w:space="0" w:color="auto"/>
      </w:divBdr>
    </w:div>
    <w:div w:id="639961653">
      <w:bodyDiv w:val="1"/>
      <w:marLeft w:val="0"/>
      <w:marRight w:val="0"/>
      <w:marTop w:val="0"/>
      <w:marBottom w:val="0"/>
      <w:divBdr>
        <w:top w:val="none" w:sz="0" w:space="0" w:color="auto"/>
        <w:left w:val="none" w:sz="0" w:space="0" w:color="auto"/>
        <w:bottom w:val="none" w:sz="0" w:space="0" w:color="auto"/>
        <w:right w:val="none" w:sz="0" w:space="0" w:color="auto"/>
      </w:divBdr>
    </w:div>
    <w:div w:id="640114191">
      <w:bodyDiv w:val="1"/>
      <w:marLeft w:val="0"/>
      <w:marRight w:val="0"/>
      <w:marTop w:val="0"/>
      <w:marBottom w:val="0"/>
      <w:divBdr>
        <w:top w:val="none" w:sz="0" w:space="0" w:color="auto"/>
        <w:left w:val="none" w:sz="0" w:space="0" w:color="auto"/>
        <w:bottom w:val="none" w:sz="0" w:space="0" w:color="auto"/>
        <w:right w:val="none" w:sz="0" w:space="0" w:color="auto"/>
      </w:divBdr>
    </w:div>
    <w:div w:id="640156053">
      <w:bodyDiv w:val="1"/>
      <w:marLeft w:val="0"/>
      <w:marRight w:val="0"/>
      <w:marTop w:val="0"/>
      <w:marBottom w:val="0"/>
      <w:divBdr>
        <w:top w:val="none" w:sz="0" w:space="0" w:color="auto"/>
        <w:left w:val="none" w:sz="0" w:space="0" w:color="auto"/>
        <w:bottom w:val="none" w:sz="0" w:space="0" w:color="auto"/>
        <w:right w:val="none" w:sz="0" w:space="0" w:color="auto"/>
      </w:divBdr>
    </w:div>
    <w:div w:id="640309552">
      <w:bodyDiv w:val="1"/>
      <w:marLeft w:val="0"/>
      <w:marRight w:val="0"/>
      <w:marTop w:val="0"/>
      <w:marBottom w:val="0"/>
      <w:divBdr>
        <w:top w:val="none" w:sz="0" w:space="0" w:color="auto"/>
        <w:left w:val="none" w:sz="0" w:space="0" w:color="auto"/>
        <w:bottom w:val="none" w:sz="0" w:space="0" w:color="auto"/>
        <w:right w:val="none" w:sz="0" w:space="0" w:color="auto"/>
      </w:divBdr>
    </w:div>
    <w:div w:id="640310691">
      <w:bodyDiv w:val="1"/>
      <w:marLeft w:val="0"/>
      <w:marRight w:val="0"/>
      <w:marTop w:val="0"/>
      <w:marBottom w:val="0"/>
      <w:divBdr>
        <w:top w:val="none" w:sz="0" w:space="0" w:color="auto"/>
        <w:left w:val="none" w:sz="0" w:space="0" w:color="auto"/>
        <w:bottom w:val="none" w:sz="0" w:space="0" w:color="auto"/>
        <w:right w:val="none" w:sz="0" w:space="0" w:color="auto"/>
      </w:divBdr>
    </w:div>
    <w:div w:id="640576657">
      <w:bodyDiv w:val="1"/>
      <w:marLeft w:val="0"/>
      <w:marRight w:val="0"/>
      <w:marTop w:val="0"/>
      <w:marBottom w:val="0"/>
      <w:divBdr>
        <w:top w:val="none" w:sz="0" w:space="0" w:color="auto"/>
        <w:left w:val="none" w:sz="0" w:space="0" w:color="auto"/>
        <w:bottom w:val="none" w:sz="0" w:space="0" w:color="auto"/>
        <w:right w:val="none" w:sz="0" w:space="0" w:color="auto"/>
      </w:divBdr>
    </w:div>
    <w:div w:id="640619046">
      <w:bodyDiv w:val="1"/>
      <w:marLeft w:val="0"/>
      <w:marRight w:val="0"/>
      <w:marTop w:val="0"/>
      <w:marBottom w:val="0"/>
      <w:divBdr>
        <w:top w:val="none" w:sz="0" w:space="0" w:color="auto"/>
        <w:left w:val="none" w:sz="0" w:space="0" w:color="auto"/>
        <w:bottom w:val="none" w:sz="0" w:space="0" w:color="auto"/>
        <w:right w:val="none" w:sz="0" w:space="0" w:color="auto"/>
      </w:divBdr>
    </w:div>
    <w:div w:id="640697854">
      <w:bodyDiv w:val="1"/>
      <w:marLeft w:val="0"/>
      <w:marRight w:val="0"/>
      <w:marTop w:val="0"/>
      <w:marBottom w:val="0"/>
      <w:divBdr>
        <w:top w:val="none" w:sz="0" w:space="0" w:color="auto"/>
        <w:left w:val="none" w:sz="0" w:space="0" w:color="auto"/>
        <w:bottom w:val="none" w:sz="0" w:space="0" w:color="auto"/>
        <w:right w:val="none" w:sz="0" w:space="0" w:color="auto"/>
      </w:divBdr>
    </w:div>
    <w:div w:id="641155268">
      <w:bodyDiv w:val="1"/>
      <w:marLeft w:val="0"/>
      <w:marRight w:val="0"/>
      <w:marTop w:val="0"/>
      <w:marBottom w:val="0"/>
      <w:divBdr>
        <w:top w:val="none" w:sz="0" w:space="0" w:color="auto"/>
        <w:left w:val="none" w:sz="0" w:space="0" w:color="auto"/>
        <w:bottom w:val="none" w:sz="0" w:space="0" w:color="auto"/>
        <w:right w:val="none" w:sz="0" w:space="0" w:color="auto"/>
      </w:divBdr>
    </w:div>
    <w:div w:id="641420616">
      <w:bodyDiv w:val="1"/>
      <w:marLeft w:val="0"/>
      <w:marRight w:val="0"/>
      <w:marTop w:val="0"/>
      <w:marBottom w:val="0"/>
      <w:divBdr>
        <w:top w:val="none" w:sz="0" w:space="0" w:color="auto"/>
        <w:left w:val="none" w:sz="0" w:space="0" w:color="auto"/>
        <w:bottom w:val="none" w:sz="0" w:space="0" w:color="auto"/>
        <w:right w:val="none" w:sz="0" w:space="0" w:color="auto"/>
      </w:divBdr>
    </w:div>
    <w:div w:id="641540815">
      <w:bodyDiv w:val="1"/>
      <w:marLeft w:val="0"/>
      <w:marRight w:val="0"/>
      <w:marTop w:val="0"/>
      <w:marBottom w:val="0"/>
      <w:divBdr>
        <w:top w:val="none" w:sz="0" w:space="0" w:color="auto"/>
        <w:left w:val="none" w:sz="0" w:space="0" w:color="auto"/>
        <w:bottom w:val="none" w:sz="0" w:space="0" w:color="auto"/>
        <w:right w:val="none" w:sz="0" w:space="0" w:color="auto"/>
      </w:divBdr>
    </w:div>
    <w:div w:id="641547026">
      <w:bodyDiv w:val="1"/>
      <w:marLeft w:val="0"/>
      <w:marRight w:val="0"/>
      <w:marTop w:val="0"/>
      <w:marBottom w:val="0"/>
      <w:divBdr>
        <w:top w:val="none" w:sz="0" w:space="0" w:color="auto"/>
        <w:left w:val="none" w:sz="0" w:space="0" w:color="auto"/>
        <w:bottom w:val="none" w:sz="0" w:space="0" w:color="auto"/>
        <w:right w:val="none" w:sz="0" w:space="0" w:color="auto"/>
      </w:divBdr>
    </w:div>
    <w:div w:id="641740451">
      <w:bodyDiv w:val="1"/>
      <w:marLeft w:val="0"/>
      <w:marRight w:val="0"/>
      <w:marTop w:val="0"/>
      <w:marBottom w:val="0"/>
      <w:divBdr>
        <w:top w:val="none" w:sz="0" w:space="0" w:color="auto"/>
        <w:left w:val="none" w:sz="0" w:space="0" w:color="auto"/>
        <w:bottom w:val="none" w:sz="0" w:space="0" w:color="auto"/>
        <w:right w:val="none" w:sz="0" w:space="0" w:color="auto"/>
      </w:divBdr>
    </w:div>
    <w:div w:id="641884438">
      <w:bodyDiv w:val="1"/>
      <w:marLeft w:val="0"/>
      <w:marRight w:val="0"/>
      <w:marTop w:val="0"/>
      <w:marBottom w:val="0"/>
      <w:divBdr>
        <w:top w:val="none" w:sz="0" w:space="0" w:color="auto"/>
        <w:left w:val="none" w:sz="0" w:space="0" w:color="auto"/>
        <w:bottom w:val="none" w:sz="0" w:space="0" w:color="auto"/>
        <w:right w:val="none" w:sz="0" w:space="0" w:color="auto"/>
      </w:divBdr>
    </w:div>
    <w:div w:id="641927636">
      <w:bodyDiv w:val="1"/>
      <w:marLeft w:val="0"/>
      <w:marRight w:val="0"/>
      <w:marTop w:val="0"/>
      <w:marBottom w:val="0"/>
      <w:divBdr>
        <w:top w:val="none" w:sz="0" w:space="0" w:color="auto"/>
        <w:left w:val="none" w:sz="0" w:space="0" w:color="auto"/>
        <w:bottom w:val="none" w:sz="0" w:space="0" w:color="auto"/>
        <w:right w:val="none" w:sz="0" w:space="0" w:color="auto"/>
      </w:divBdr>
    </w:div>
    <w:div w:id="642076722">
      <w:bodyDiv w:val="1"/>
      <w:marLeft w:val="0"/>
      <w:marRight w:val="0"/>
      <w:marTop w:val="0"/>
      <w:marBottom w:val="0"/>
      <w:divBdr>
        <w:top w:val="none" w:sz="0" w:space="0" w:color="auto"/>
        <w:left w:val="none" w:sz="0" w:space="0" w:color="auto"/>
        <w:bottom w:val="none" w:sz="0" w:space="0" w:color="auto"/>
        <w:right w:val="none" w:sz="0" w:space="0" w:color="auto"/>
      </w:divBdr>
    </w:div>
    <w:div w:id="642083465">
      <w:bodyDiv w:val="1"/>
      <w:marLeft w:val="0"/>
      <w:marRight w:val="0"/>
      <w:marTop w:val="0"/>
      <w:marBottom w:val="0"/>
      <w:divBdr>
        <w:top w:val="none" w:sz="0" w:space="0" w:color="auto"/>
        <w:left w:val="none" w:sz="0" w:space="0" w:color="auto"/>
        <w:bottom w:val="none" w:sz="0" w:space="0" w:color="auto"/>
        <w:right w:val="none" w:sz="0" w:space="0" w:color="auto"/>
      </w:divBdr>
    </w:div>
    <w:div w:id="642153084">
      <w:bodyDiv w:val="1"/>
      <w:marLeft w:val="0"/>
      <w:marRight w:val="0"/>
      <w:marTop w:val="0"/>
      <w:marBottom w:val="0"/>
      <w:divBdr>
        <w:top w:val="none" w:sz="0" w:space="0" w:color="auto"/>
        <w:left w:val="none" w:sz="0" w:space="0" w:color="auto"/>
        <w:bottom w:val="none" w:sz="0" w:space="0" w:color="auto"/>
        <w:right w:val="none" w:sz="0" w:space="0" w:color="auto"/>
      </w:divBdr>
    </w:div>
    <w:div w:id="642470013">
      <w:bodyDiv w:val="1"/>
      <w:marLeft w:val="0"/>
      <w:marRight w:val="0"/>
      <w:marTop w:val="0"/>
      <w:marBottom w:val="0"/>
      <w:divBdr>
        <w:top w:val="none" w:sz="0" w:space="0" w:color="auto"/>
        <w:left w:val="none" w:sz="0" w:space="0" w:color="auto"/>
        <w:bottom w:val="none" w:sz="0" w:space="0" w:color="auto"/>
        <w:right w:val="none" w:sz="0" w:space="0" w:color="auto"/>
      </w:divBdr>
    </w:div>
    <w:div w:id="642778339">
      <w:bodyDiv w:val="1"/>
      <w:marLeft w:val="0"/>
      <w:marRight w:val="0"/>
      <w:marTop w:val="0"/>
      <w:marBottom w:val="0"/>
      <w:divBdr>
        <w:top w:val="none" w:sz="0" w:space="0" w:color="auto"/>
        <w:left w:val="none" w:sz="0" w:space="0" w:color="auto"/>
        <w:bottom w:val="none" w:sz="0" w:space="0" w:color="auto"/>
        <w:right w:val="none" w:sz="0" w:space="0" w:color="auto"/>
      </w:divBdr>
    </w:div>
    <w:div w:id="642852772">
      <w:bodyDiv w:val="1"/>
      <w:marLeft w:val="0"/>
      <w:marRight w:val="0"/>
      <w:marTop w:val="0"/>
      <w:marBottom w:val="0"/>
      <w:divBdr>
        <w:top w:val="none" w:sz="0" w:space="0" w:color="auto"/>
        <w:left w:val="none" w:sz="0" w:space="0" w:color="auto"/>
        <w:bottom w:val="none" w:sz="0" w:space="0" w:color="auto"/>
        <w:right w:val="none" w:sz="0" w:space="0" w:color="auto"/>
      </w:divBdr>
    </w:div>
    <w:div w:id="643003903">
      <w:bodyDiv w:val="1"/>
      <w:marLeft w:val="0"/>
      <w:marRight w:val="0"/>
      <w:marTop w:val="0"/>
      <w:marBottom w:val="0"/>
      <w:divBdr>
        <w:top w:val="none" w:sz="0" w:space="0" w:color="auto"/>
        <w:left w:val="none" w:sz="0" w:space="0" w:color="auto"/>
        <w:bottom w:val="none" w:sz="0" w:space="0" w:color="auto"/>
        <w:right w:val="none" w:sz="0" w:space="0" w:color="auto"/>
      </w:divBdr>
    </w:div>
    <w:div w:id="643048582">
      <w:bodyDiv w:val="1"/>
      <w:marLeft w:val="0"/>
      <w:marRight w:val="0"/>
      <w:marTop w:val="0"/>
      <w:marBottom w:val="0"/>
      <w:divBdr>
        <w:top w:val="none" w:sz="0" w:space="0" w:color="auto"/>
        <w:left w:val="none" w:sz="0" w:space="0" w:color="auto"/>
        <w:bottom w:val="none" w:sz="0" w:space="0" w:color="auto"/>
        <w:right w:val="none" w:sz="0" w:space="0" w:color="auto"/>
      </w:divBdr>
    </w:div>
    <w:div w:id="643119529">
      <w:bodyDiv w:val="1"/>
      <w:marLeft w:val="0"/>
      <w:marRight w:val="0"/>
      <w:marTop w:val="0"/>
      <w:marBottom w:val="0"/>
      <w:divBdr>
        <w:top w:val="none" w:sz="0" w:space="0" w:color="auto"/>
        <w:left w:val="none" w:sz="0" w:space="0" w:color="auto"/>
        <w:bottom w:val="none" w:sz="0" w:space="0" w:color="auto"/>
        <w:right w:val="none" w:sz="0" w:space="0" w:color="auto"/>
      </w:divBdr>
    </w:div>
    <w:div w:id="643194614">
      <w:bodyDiv w:val="1"/>
      <w:marLeft w:val="0"/>
      <w:marRight w:val="0"/>
      <w:marTop w:val="0"/>
      <w:marBottom w:val="0"/>
      <w:divBdr>
        <w:top w:val="none" w:sz="0" w:space="0" w:color="auto"/>
        <w:left w:val="none" w:sz="0" w:space="0" w:color="auto"/>
        <w:bottom w:val="none" w:sz="0" w:space="0" w:color="auto"/>
        <w:right w:val="none" w:sz="0" w:space="0" w:color="auto"/>
      </w:divBdr>
    </w:div>
    <w:div w:id="643318090">
      <w:bodyDiv w:val="1"/>
      <w:marLeft w:val="0"/>
      <w:marRight w:val="0"/>
      <w:marTop w:val="0"/>
      <w:marBottom w:val="0"/>
      <w:divBdr>
        <w:top w:val="none" w:sz="0" w:space="0" w:color="auto"/>
        <w:left w:val="none" w:sz="0" w:space="0" w:color="auto"/>
        <w:bottom w:val="none" w:sz="0" w:space="0" w:color="auto"/>
        <w:right w:val="none" w:sz="0" w:space="0" w:color="auto"/>
      </w:divBdr>
    </w:div>
    <w:div w:id="643392175">
      <w:bodyDiv w:val="1"/>
      <w:marLeft w:val="0"/>
      <w:marRight w:val="0"/>
      <w:marTop w:val="0"/>
      <w:marBottom w:val="0"/>
      <w:divBdr>
        <w:top w:val="none" w:sz="0" w:space="0" w:color="auto"/>
        <w:left w:val="none" w:sz="0" w:space="0" w:color="auto"/>
        <w:bottom w:val="none" w:sz="0" w:space="0" w:color="auto"/>
        <w:right w:val="none" w:sz="0" w:space="0" w:color="auto"/>
      </w:divBdr>
    </w:div>
    <w:div w:id="643395855">
      <w:bodyDiv w:val="1"/>
      <w:marLeft w:val="0"/>
      <w:marRight w:val="0"/>
      <w:marTop w:val="0"/>
      <w:marBottom w:val="0"/>
      <w:divBdr>
        <w:top w:val="none" w:sz="0" w:space="0" w:color="auto"/>
        <w:left w:val="none" w:sz="0" w:space="0" w:color="auto"/>
        <w:bottom w:val="none" w:sz="0" w:space="0" w:color="auto"/>
        <w:right w:val="none" w:sz="0" w:space="0" w:color="auto"/>
      </w:divBdr>
    </w:div>
    <w:div w:id="643434500">
      <w:bodyDiv w:val="1"/>
      <w:marLeft w:val="0"/>
      <w:marRight w:val="0"/>
      <w:marTop w:val="0"/>
      <w:marBottom w:val="0"/>
      <w:divBdr>
        <w:top w:val="none" w:sz="0" w:space="0" w:color="auto"/>
        <w:left w:val="none" w:sz="0" w:space="0" w:color="auto"/>
        <w:bottom w:val="none" w:sz="0" w:space="0" w:color="auto"/>
        <w:right w:val="none" w:sz="0" w:space="0" w:color="auto"/>
      </w:divBdr>
    </w:div>
    <w:div w:id="643434873">
      <w:bodyDiv w:val="1"/>
      <w:marLeft w:val="0"/>
      <w:marRight w:val="0"/>
      <w:marTop w:val="0"/>
      <w:marBottom w:val="0"/>
      <w:divBdr>
        <w:top w:val="none" w:sz="0" w:space="0" w:color="auto"/>
        <w:left w:val="none" w:sz="0" w:space="0" w:color="auto"/>
        <w:bottom w:val="none" w:sz="0" w:space="0" w:color="auto"/>
        <w:right w:val="none" w:sz="0" w:space="0" w:color="auto"/>
      </w:divBdr>
    </w:div>
    <w:div w:id="643706317">
      <w:bodyDiv w:val="1"/>
      <w:marLeft w:val="0"/>
      <w:marRight w:val="0"/>
      <w:marTop w:val="0"/>
      <w:marBottom w:val="0"/>
      <w:divBdr>
        <w:top w:val="none" w:sz="0" w:space="0" w:color="auto"/>
        <w:left w:val="none" w:sz="0" w:space="0" w:color="auto"/>
        <w:bottom w:val="none" w:sz="0" w:space="0" w:color="auto"/>
        <w:right w:val="none" w:sz="0" w:space="0" w:color="auto"/>
      </w:divBdr>
    </w:div>
    <w:div w:id="643779338">
      <w:bodyDiv w:val="1"/>
      <w:marLeft w:val="0"/>
      <w:marRight w:val="0"/>
      <w:marTop w:val="0"/>
      <w:marBottom w:val="0"/>
      <w:divBdr>
        <w:top w:val="none" w:sz="0" w:space="0" w:color="auto"/>
        <w:left w:val="none" w:sz="0" w:space="0" w:color="auto"/>
        <w:bottom w:val="none" w:sz="0" w:space="0" w:color="auto"/>
        <w:right w:val="none" w:sz="0" w:space="0" w:color="auto"/>
      </w:divBdr>
    </w:div>
    <w:div w:id="643850585">
      <w:bodyDiv w:val="1"/>
      <w:marLeft w:val="0"/>
      <w:marRight w:val="0"/>
      <w:marTop w:val="0"/>
      <w:marBottom w:val="0"/>
      <w:divBdr>
        <w:top w:val="none" w:sz="0" w:space="0" w:color="auto"/>
        <w:left w:val="none" w:sz="0" w:space="0" w:color="auto"/>
        <w:bottom w:val="none" w:sz="0" w:space="0" w:color="auto"/>
        <w:right w:val="none" w:sz="0" w:space="0" w:color="auto"/>
      </w:divBdr>
    </w:div>
    <w:div w:id="643975230">
      <w:bodyDiv w:val="1"/>
      <w:marLeft w:val="0"/>
      <w:marRight w:val="0"/>
      <w:marTop w:val="0"/>
      <w:marBottom w:val="0"/>
      <w:divBdr>
        <w:top w:val="none" w:sz="0" w:space="0" w:color="auto"/>
        <w:left w:val="none" w:sz="0" w:space="0" w:color="auto"/>
        <w:bottom w:val="none" w:sz="0" w:space="0" w:color="auto"/>
        <w:right w:val="none" w:sz="0" w:space="0" w:color="auto"/>
      </w:divBdr>
    </w:div>
    <w:div w:id="644429811">
      <w:bodyDiv w:val="1"/>
      <w:marLeft w:val="0"/>
      <w:marRight w:val="0"/>
      <w:marTop w:val="0"/>
      <w:marBottom w:val="0"/>
      <w:divBdr>
        <w:top w:val="none" w:sz="0" w:space="0" w:color="auto"/>
        <w:left w:val="none" w:sz="0" w:space="0" w:color="auto"/>
        <w:bottom w:val="none" w:sz="0" w:space="0" w:color="auto"/>
        <w:right w:val="none" w:sz="0" w:space="0" w:color="auto"/>
      </w:divBdr>
    </w:div>
    <w:div w:id="644555104">
      <w:bodyDiv w:val="1"/>
      <w:marLeft w:val="0"/>
      <w:marRight w:val="0"/>
      <w:marTop w:val="0"/>
      <w:marBottom w:val="0"/>
      <w:divBdr>
        <w:top w:val="none" w:sz="0" w:space="0" w:color="auto"/>
        <w:left w:val="none" w:sz="0" w:space="0" w:color="auto"/>
        <w:bottom w:val="none" w:sz="0" w:space="0" w:color="auto"/>
        <w:right w:val="none" w:sz="0" w:space="0" w:color="auto"/>
      </w:divBdr>
    </w:div>
    <w:div w:id="644630999">
      <w:bodyDiv w:val="1"/>
      <w:marLeft w:val="0"/>
      <w:marRight w:val="0"/>
      <w:marTop w:val="0"/>
      <w:marBottom w:val="0"/>
      <w:divBdr>
        <w:top w:val="none" w:sz="0" w:space="0" w:color="auto"/>
        <w:left w:val="none" w:sz="0" w:space="0" w:color="auto"/>
        <w:bottom w:val="none" w:sz="0" w:space="0" w:color="auto"/>
        <w:right w:val="none" w:sz="0" w:space="0" w:color="auto"/>
      </w:divBdr>
    </w:div>
    <w:div w:id="644772712">
      <w:bodyDiv w:val="1"/>
      <w:marLeft w:val="0"/>
      <w:marRight w:val="0"/>
      <w:marTop w:val="0"/>
      <w:marBottom w:val="0"/>
      <w:divBdr>
        <w:top w:val="none" w:sz="0" w:space="0" w:color="auto"/>
        <w:left w:val="none" w:sz="0" w:space="0" w:color="auto"/>
        <w:bottom w:val="none" w:sz="0" w:space="0" w:color="auto"/>
        <w:right w:val="none" w:sz="0" w:space="0" w:color="auto"/>
      </w:divBdr>
    </w:div>
    <w:div w:id="644895166">
      <w:bodyDiv w:val="1"/>
      <w:marLeft w:val="0"/>
      <w:marRight w:val="0"/>
      <w:marTop w:val="0"/>
      <w:marBottom w:val="0"/>
      <w:divBdr>
        <w:top w:val="none" w:sz="0" w:space="0" w:color="auto"/>
        <w:left w:val="none" w:sz="0" w:space="0" w:color="auto"/>
        <w:bottom w:val="none" w:sz="0" w:space="0" w:color="auto"/>
        <w:right w:val="none" w:sz="0" w:space="0" w:color="auto"/>
      </w:divBdr>
    </w:div>
    <w:div w:id="644966674">
      <w:bodyDiv w:val="1"/>
      <w:marLeft w:val="0"/>
      <w:marRight w:val="0"/>
      <w:marTop w:val="0"/>
      <w:marBottom w:val="0"/>
      <w:divBdr>
        <w:top w:val="none" w:sz="0" w:space="0" w:color="auto"/>
        <w:left w:val="none" w:sz="0" w:space="0" w:color="auto"/>
        <w:bottom w:val="none" w:sz="0" w:space="0" w:color="auto"/>
        <w:right w:val="none" w:sz="0" w:space="0" w:color="auto"/>
      </w:divBdr>
    </w:div>
    <w:div w:id="645167297">
      <w:bodyDiv w:val="1"/>
      <w:marLeft w:val="0"/>
      <w:marRight w:val="0"/>
      <w:marTop w:val="0"/>
      <w:marBottom w:val="0"/>
      <w:divBdr>
        <w:top w:val="none" w:sz="0" w:space="0" w:color="auto"/>
        <w:left w:val="none" w:sz="0" w:space="0" w:color="auto"/>
        <w:bottom w:val="none" w:sz="0" w:space="0" w:color="auto"/>
        <w:right w:val="none" w:sz="0" w:space="0" w:color="auto"/>
      </w:divBdr>
    </w:div>
    <w:div w:id="645473953">
      <w:bodyDiv w:val="1"/>
      <w:marLeft w:val="0"/>
      <w:marRight w:val="0"/>
      <w:marTop w:val="0"/>
      <w:marBottom w:val="0"/>
      <w:divBdr>
        <w:top w:val="none" w:sz="0" w:space="0" w:color="auto"/>
        <w:left w:val="none" w:sz="0" w:space="0" w:color="auto"/>
        <w:bottom w:val="none" w:sz="0" w:space="0" w:color="auto"/>
        <w:right w:val="none" w:sz="0" w:space="0" w:color="auto"/>
      </w:divBdr>
    </w:div>
    <w:div w:id="645476542">
      <w:bodyDiv w:val="1"/>
      <w:marLeft w:val="0"/>
      <w:marRight w:val="0"/>
      <w:marTop w:val="0"/>
      <w:marBottom w:val="0"/>
      <w:divBdr>
        <w:top w:val="none" w:sz="0" w:space="0" w:color="auto"/>
        <w:left w:val="none" w:sz="0" w:space="0" w:color="auto"/>
        <w:bottom w:val="none" w:sz="0" w:space="0" w:color="auto"/>
        <w:right w:val="none" w:sz="0" w:space="0" w:color="auto"/>
      </w:divBdr>
    </w:div>
    <w:div w:id="645745942">
      <w:bodyDiv w:val="1"/>
      <w:marLeft w:val="0"/>
      <w:marRight w:val="0"/>
      <w:marTop w:val="0"/>
      <w:marBottom w:val="0"/>
      <w:divBdr>
        <w:top w:val="none" w:sz="0" w:space="0" w:color="auto"/>
        <w:left w:val="none" w:sz="0" w:space="0" w:color="auto"/>
        <w:bottom w:val="none" w:sz="0" w:space="0" w:color="auto"/>
        <w:right w:val="none" w:sz="0" w:space="0" w:color="auto"/>
      </w:divBdr>
    </w:div>
    <w:div w:id="645814714">
      <w:bodyDiv w:val="1"/>
      <w:marLeft w:val="0"/>
      <w:marRight w:val="0"/>
      <w:marTop w:val="0"/>
      <w:marBottom w:val="0"/>
      <w:divBdr>
        <w:top w:val="none" w:sz="0" w:space="0" w:color="auto"/>
        <w:left w:val="none" w:sz="0" w:space="0" w:color="auto"/>
        <w:bottom w:val="none" w:sz="0" w:space="0" w:color="auto"/>
        <w:right w:val="none" w:sz="0" w:space="0" w:color="auto"/>
      </w:divBdr>
    </w:div>
    <w:div w:id="645861656">
      <w:bodyDiv w:val="1"/>
      <w:marLeft w:val="0"/>
      <w:marRight w:val="0"/>
      <w:marTop w:val="0"/>
      <w:marBottom w:val="0"/>
      <w:divBdr>
        <w:top w:val="none" w:sz="0" w:space="0" w:color="auto"/>
        <w:left w:val="none" w:sz="0" w:space="0" w:color="auto"/>
        <w:bottom w:val="none" w:sz="0" w:space="0" w:color="auto"/>
        <w:right w:val="none" w:sz="0" w:space="0" w:color="auto"/>
      </w:divBdr>
    </w:div>
    <w:div w:id="646324410">
      <w:bodyDiv w:val="1"/>
      <w:marLeft w:val="0"/>
      <w:marRight w:val="0"/>
      <w:marTop w:val="0"/>
      <w:marBottom w:val="0"/>
      <w:divBdr>
        <w:top w:val="none" w:sz="0" w:space="0" w:color="auto"/>
        <w:left w:val="none" w:sz="0" w:space="0" w:color="auto"/>
        <w:bottom w:val="none" w:sz="0" w:space="0" w:color="auto"/>
        <w:right w:val="none" w:sz="0" w:space="0" w:color="auto"/>
      </w:divBdr>
    </w:div>
    <w:div w:id="646516447">
      <w:bodyDiv w:val="1"/>
      <w:marLeft w:val="0"/>
      <w:marRight w:val="0"/>
      <w:marTop w:val="0"/>
      <w:marBottom w:val="0"/>
      <w:divBdr>
        <w:top w:val="none" w:sz="0" w:space="0" w:color="auto"/>
        <w:left w:val="none" w:sz="0" w:space="0" w:color="auto"/>
        <w:bottom w:val="none" w:sz="0" w:space="0" w:color="auto"/>
        <w:right w:val="none" w:sz="0" w:space="0" w:color="auto"/>
      </w:divBdr>
    </w:div>
    <w:div w:id="646516834">
      <w:bodyDiv w:val="1"/>
      <w:marLeft w:val="0"/>
      <w:marRight w:val="0"/>
      <w:marTop w:val="0"/>
      <w:marBottom w:val="0"/>
      <w:divBdr>
        <w:top w:val="none" w:sz="0" w:space="0" w:color="auto"/>
        <w:left w:val="none" w:sz="0" w:space="0" w:color="auto"/>
        <w:bottom w:val="none" w:sz="0" w:space="0" w:color="auto"/>
        <w:right w:val="none" w:sz="0" w:space="0" w:color="auto"/>
      </w:divBdr>
    </w:div>
    <w:div w:id="646596643">
      <w:bodyDiv w:val="1"/>
      <w:marLeft w:val="0"/>
      <w:marRight w:val="0"/>
      <w:marTop w:val="0"/>
      <w:marBottom w:val="0"/>
      <w:divBdr>
        <w:top w:val="none" w:sz="0" w:space="0" w:color="auto"/>
        <w:left w:val="none" w:sz="0" w:space="0" w:color="auto"/>
        <w:bottom w:val="none" w:sz="0" w:space="0" w:color="auto"/>
        <w:right w:val="none" w:sz="0" w:space="0" w:color="auto"/>
      </w:divBdr>
    </w:div>
    <w:div w:id="646666747">
      <w:bodyDiv w:val="1"/>
      <w:marLeft w:val="0"/>
      <w:marRight w:val="0"/>
      <w:marTop w:val="0"/>
      <w:marBottom w:val="0"/>
      <w:divBdr>
        <w:top w:val="none" w:sz="0" w:space="0" w:color="auto"/>
        <w:left w:val="none" w:sz="0" w:space="0" w:color="auto"/>
        <w:bottom w:val="none" w:sz="0" w:space="0" w:color="auto"/>
        <w:right w:val="none" w:sz="0" w:space="0" w:color="auto"/>
      </w:divBdr>
    </w:div>
    <w:div w:id="646667900">
      <w:bodyDiv w:val="1"/>
      <w:marLeft w:val="0"/>
      <w:marRight w:val="0"/>
      <w:marTop w:val="0"/>
      <w:marBottom w:val="0"/>
      <w:divBdr>
        <w:top w:val="none" w:sz="0" w:space="0" w:color="auto"/>
        <w:left w:val="none" w:sz="0" w:space="0" w:color="auto"/>
        <w:bottom w:val="none" w:sz="0" w:space="0" w:color="auto"/>
        <w:right w:val="none" w:sz="0" w:space="0" w:color="auto"/>
      </w:divBdr>
    </w:div>
    <w:div w:id="646711035">
      <w:bodyDiv w:val="1"/>
      <w:marLeft w:val="0"/>
      <w:marRight w:val="0"/>
      <w:marTop w:val="0"/>
      <w:marBottom w:val="0"/>
      <w:divBdr>
        <w:top w:val="none" w:sz="0" w:space="0" w:color="auto"/>
        <w:left w:val="none" w:sz="0" w:space="0" w:color="auto"/>
        <w:bottom w:val="none" w:sz="0" w:space="0" w:color="auto"/>
        <w:right w:val="none" w:sz="0" w:space="0" w:color="auto"/>
      </w:divBdr>
    </w:div>
    <w:div w:id="646787464">
      <w:bodyDiv w:val="1"/>
      <w:marLeft w:val="0"/>
      <w:marRight w:val="0"/>
      <w:marTop w:val="0"/>
      <w:marBottom w:val="0"/>
      <w:divBdr>
        <w:top w:val="none" w:sz="0" w:space="0" w:color="auto"/>
        <w:left w:val="none" w:sz="0" w:space="0" w:color="auto"/>
        <w:bottom w:val="none" w:sz="0" w:space="0" w:color="auto"/>
        <w:right w:val="none" w:sz="0" w:space="0" w:color="auto"/>
      </w:divBdr>
    </w:div>
    <w:div w:id="646864004">
      <w:bodyDiv w:val="1"/>
      <w:marLeft w:val="0"/>
      <w:marRight w:val="0"/>
      <w:marTop w:val="0"/>
      <w:marBottom w:val="0"/>
      <w:divBdr>
        <w:top w:val="none" w:sz="0" w:space="0" w:color="auto"/>
        <w:left w:val="none" w:sz="0" w:space="0" w:color="auto"/>
        <w:bottom w:val="none" w:sz="0" w:space="0" w:color="auto"/>
        <w:right w:val="none" w:sz="0" w:space="0" w:color="auto"/>
      </w:divBdr>
    </w:div>
    <w:div w:id="646865384">
      <w:bodyDiv w:val="1"/>
      <w:marLeft w:val="0"/>
      <w:marRight w:val="0"/>
      <w:marTop w:val="0"/>
      <w:marBottom w:val="0"/>
      <w:divBdr>
        <w:top w:val="none" w:sz="0" w:space="0" w:color="auto"/>
        <w:left w:val="none" w:sz="0" w:space="0" w:color="auto"/>
        <w:bottom w:val="none" w:sz="0" w:space="0" w:color="auto"/>
        <w:right w:val="none" w:sz="0" w:space="0" w:color="auto"/>
      </w:divBdr>
    </w:div>
    <w:div w:id="646937673">
      <w:bodyDiv w:val="1"/>
      <w:marLeft w:val="0"/>
      <w:marRight w:val="0"/>
      <w:marTop w:val="0"/>
      <w:marBottom w:val="0"/>
      <w:divBdr>
        <w:top w:val="none" w:sz="0" w:space="0" w:color="auto"/>
        <w:left w:val="none" w:sz="0" w:space="0" w:color="auto"/>
        <w:bottom w:val="none" w:sz="0" w:space="0" w:color="auto"/>
        <w:right w:val="none" w:sz="0" w:space="0" w:color="auto"/>
      </w:divBdr>
    </w:div>
    <w:div w:id="647245488">
      <w:bodyDiv w:val="1"/>
      <w:marLeft w:val="0"/>
      <w:marRight w:val="0"/>
      <w:marTop w:val="0"/>
      <w:marBottom w:val="0"/>
      <w:divBdr>
        <w:top w:val="none" w:sz="0" w:space="0" w:color="auto"/>
        <w:left w:val="none" w:sz="0" w:space="0" w:color="auto"/>
        <w:bottom w:val="none" w:sz="0" w:space="0" w:color="auto"/>
        <w:right w:val="none" w:sz="0" w:space="0" w:color="auto"/>
      </w:divBdr>
    </w:div>
    <w:div w:id="647246744">
      <w:bodyDiv w:val="1"/>
      <w:marLeft w:val="0"/>
      <w:marRight w:val="0"/>
      <w:marTop w:val="0"/>
      <w:marBottom w:val="0"/>
      <w:divBdr>
        <w:top w:val="none" w:sz="0" w:space="0" w:color="auto"/>
        <w:left w:val="none" w:sz="0" w:space="0" w:color="auto"/>
        <w:bottom w:val="none" w:sz="0" w:space="0" w:color="auto"/>
        <w:right w:val="none" w:sz="0" w:space="0" w:color="auto"/>
      </w:divBdr>
    </w:div>
    <w:div w:id="647251742">
      <w:bodyDiv w:val="1"/>
      <w:marLeft w:val="0"/>
      <w:marRight w:val="0"/>
      <w:marTop w:val="0"/>
      <w:marBottom w:val="0"/>
      <w:divBdr>
        <w:top w:val="none" w:sz="0" w:space="0" w:color="auto"/>
        <w:left w:val="none" w:sz="0" w:space="0" w:color="auto"/>
        <w:bottom w:val="none" w:sz="0" w:space="0" w:color="auto"/>
        <w:right w:val="none" w:sz="0" w:space="0" w:color="auto"/>
      </w:divBdr>
    </w:div>
    <w:div w:id="647436911">
      <w:bodyDiv w:val="1"/>
      <w:marLeft w:val="0"/>
      <w:marRight w:val="0"/>
      <w:marTop w:val="0"/>
      <w:marBottom w:val="0"/>
      <w:divBdr>
        <w:top w:val="none" w:sz="0" w:space="0" w:color="auto"/>
        <w:left w:val="none" w:sz="0" w:space="0" w:color="auto"/>
        <w:bottom w:val="none" w:sz="0" w:space="0" w:color="auto"/>
        <w:right w:val="none" w:sz="0" w:space="0" w:color="auto"/>
      </w:divBdr>
    </w:div>
    <w:div w:id="647519503">
      <w:bodyDiv w:val="1"/>
      <w:marLeft w:val="0"/>
      <w:marRight w:val="0"/>
      <w:marTop w:val="0"/>
      <w:marBottom w:val="0"/>
      <w:divBdr>
        <w:top w:val="none" w:sz="0" w:space="0" w:color="auto"/>
        <w:left w:val="none" w:sz="0" w:space="0" w:color="auto"/>
        <w:bottom w:val="none" w:sz="0" w:space="0" w:color="auto"/>
        <w:right w:val="none" w:sz="0" w:space="0" w:color="auto"/>
      </w:divBdr>
    </w:div>
    <w:div w:id="647589159">
      <w:bodyDiv w:val="1"/>
      <w:marLeft w:val="0"/>
      <w:marRight w:val="0"/>
      <w:marTop w:val="0"/>
      <w:marBottom w:val="0"/>
      <w:divBdr>
        <w:top w:val="none" w:sz="0" w:space="0" w:color="auto"/>
        <w:left w:val="none" w:sz="0" w:space="0" w:color="auto"/>
        <w:bottom w:val="none" w:sz="0" w:space="0" w:color="auto"/>
        <w:right w:val="none" w:sz="0" w:space="0" w:color="auto"/>
      </w:divBdr>
    </w:div>
    <w:div w:id="647788511">
      <w:bodyDiv w:val="1"/>
      <w:marLeft w:val="0"/>
      <w:marRight w:val="0"/>
      <w:marTop w:val="0"/>
      <w:marBottom w:val="0"/>
      <w:divBdr>
        <w:top w:val="none" w:sz="0" w:space="0" w:color="auto"/>
        <w:left w:val="none" w:sz="0" w:space="0" w:color="auto"/>
        <w:bottom w:val="none" w:sz="0" w:space="0" w:color="auto"/>
        <w:right w:val="none" w:sz="0" w:space="0" w:color="auto"/>
      </w:divBdr>
    </w:div>
    <w:div w:id="648020481">
      <w:bodyDiv w:val="1"/>
      <w:marLeft w:val="0"/>
      <w:marRight w:val="0"/>
      <w:marTop w:val="0"/>
      <w:marBottom w:val="0"/>
      <w:divBdr>
        <w:top w:val="none" w:sz="0" w:space="0" w:color="auto"/>
        <w:left w:val="none" w:sz="0" w:space="0" w:color="auto"/>
        <w:bottom w:val="none" w:sz="0" w:space="0" w:color="auto"/>
        <w:right w:val="none" w:sz="0" w:space="0" w:color="auto"/>
      </w:divBdr>
    </w:div>
    <w:div w:id="648024902">
      <w:bodyDiv w:val="1"/>
      <w:marLeft w:val="0"/>
      <w:marRight w:val="0"/>
      <w:marTop w:val="0"/>
      <w:marBottom w:val="0"/>
      <w:divBdr>
        <w:top w:val="none" w:sz="0" w:space="0" w:color="auto"/>
        <w:left w:val="none" w:sz="0" w:space="0" w:color="auto"/>
        <w:bottom w:val="none" w:sz="0" w:space="0" w:color="auto"/>
        <w:right w:val="none" w:sz="0" w:space="0" w:color="auto"/>
      </w:divBdr>
    </w:div>
    <w:div w:id="648092182">
      <w:bodyDiv w:val="1"/>
      <w:marLeft w:val="0"/>
      <w:marRight w:val="0"/>
      <w:marTop w:val="0"/>
      <w:marBottom w:val="0"/>
      <w:divBdr>
        <w:top w:val="none" w:sz="0" w:space="0" w:color="auto"/>
        <w:left w:val="none" w:sz="0" w:space="0" w:color="auto"/>
        <w:bottom w:val="none" w:sz="0" w:space="0" w:color="auto"/>
        <w:right w:val="none" w:sz="0" w:space="0" w:color="auto"/>
      </w:divBdr>
    </w:div>
    <w:div w:id="648095406">
      <w:bodyDiv w:val="1"/>
      <w:marLeft w:val="0"/>
      <w:marRight w:val="0"/>
      <w:marTop w:val="0"/>
      <w:marBottom w:val="0"/>
      <w:divBdr>
        <w:top w:val="none" w:sz="0" w:space="0" w:color="auto"/>
        <w:left w:val="none" w:sz="0" w:space="0" w:color="auto"/>
        <w:bottom w:val="none" w:sz="0" w:space="0" w:color="auto"/>
        <w:right w:val="none" w:sz="0" w:space="0" w:color="auto"/>
      </w:divBdr>
    </w:div>
    <w:div w:id="648100616">
      <w:bodyDiv w:val="1"/>
      <w:marLeft w:val="0"/>
      <w:marRight w:val="0"/>
      <w:marTop w:val="0"/>
      <w:marBottom w:val="0"/>
      <w:divBdr>
        <w:top w:val="none" w:sz="0" w:space="0" w:color="auto"/>
        <w:left w:val="none" w:sz="0" w:space="0" w:color="auto"/>
        <w:bottom w:val="none" w:sz="0" w:space="0" w:color="auto"/>
        <w:right w:val="none" w:sz="0" w:space="0" w:color="auto"/>
      </w:divBdr>
    </w:div>
    <w:div w:id="648173987">
      <w:bodyDiv w:val="1"/>
      <w:marLeft w:val="0"/>
      <w:marRight w:val="0"/>
      <w:marTop w:val="0"/>
      <w:marBottom w:val="0"/>
      <w:divBdr>
        <w:top w:val="none" w:sz="0" w:space="0" w:color="auto"/>
        <w:left w:val="none" w:sz="0" w:space="0" w:color="auto"/>
        <w:bottom w:val="none" w:sz="0" w:space="0" w:color="auto"/>
        <w:right w:val="none" w:sz="0" w:space="0" w:color="auto"/>
      </w:divBdr>
    </w:div>
    <w:div w:id="648292972">
      <w:bodyDiv w:val="1"/>
      <w:marLeft w:val="0"/>
      <w:marRight w:val="0"/>
      <w:marTop w:val="0"/>
      <w:marBottom w:val="0"/>
      <w:divBdr>
        <w:top w:val="none" w:sz="0" w:space="0" w:color="auto"/>
        <w:left w:val="none" w:sz="0" w:space="0" w:color="auto"/>
        <w:bottom w:val="none" w:sz="0" w:space="0" w:color="auto"/>
        <w:right w:val="none" w:sz="0" w:space="0" w:color="auto"/>
      </w:divBdr>
    </w:div>
    <w:div w:id="648482141">
      <w:bodyDiv w:val="1"/>
      <w:marLeft w:val="0"/>
      <w:marRight w:val="0"/>
      <w:marTop w:val="0"/>
      <w:marBottom w:val="0"/>
      <w:divBdr>
        <w:top w:val="none" w:sz="0" w:space="0" w:color="auto"/>
        <w:left w:val="none" w:sz="0" w:space="0" w:color="auto"/>
        <w:bottom w:val="none" w:sz="0" w:space="0" w:color="auto"/>
        <w:right w:val="none" w:sz="0" w:space="0" w:color="auto"/>
      </w:divBdr>
    </w:div>
    <w:div w:id="648511186">
      <w:bodyDiv w:val="1"/>
      <w:marLeft w:val="0"/>
      <w:marRight w:val="0"/>
      <w:marTop w:val="0"/>
      <w:marBottom w:val="0"/>
      <w:divBdr>
        <w:top w:val="none" w:sz="0" w:space="0" w:color="auto"/>
        <w:left w:val="none" w:sz="0" w:space="0" w:color="auto"/>
        <w:bottom w:val="none" w:sz="0" w:space="0" w:color="auto"/>
        <w:right w:val="none" w:sz="0" w:space="0" w:color="auto"/>
      </w:divBdr>
    </w:div>
    <w:div w:id="648753003">
      <w:bodyDiv w:val="1"/>
      <w:marLeft w:val="0"/>
      <w:marRight w:val="0"/>
      <w:marTop w:val="0"/>
      <w:marBottom w:val="0"/>
      <w:divBdr>
        <w:top w:val="none" w:sz="0" w:space="0" w:color="auto"/>
        <w:left w:val="none" w:sz="0" w:space="0" w:color="auto"/>
        <w:bottom w:val="none" w:sz="0" w:space="0" w:color="auto"/>
        <w:right w:val="none" w:sz="0" w:space="0" w:color="auto"/>
      </w:divBdr>
    </w:div>
    <w:div w:id="648872923">
      <w:bodyDiv w:val="1"/>
      <w:marLeft w:val="0"/>
      <w:marRight w:val="0"/>
      <w:marTop w:val="0"/>
      <w:marBottom w:val="0"/>
      <w:divBdr>
        <w:top w:val="none" w:sz="0" w:space="0" w:color="auto"/>
        <w:left w:val="none" w:sz="0" w:space="0" w:color="auto"/>
        <w:bottom w:val="none" w:sz="0" w:space="0" w:color="auto"/>
        <w:right w:val="none" w:sz="0" w:space="0" w:color="auto"/>
      </w:divBdr>
    </w:div>
    <w:div w:id="648939922">
      <w:bodyDiv w:val="1"/>
      <w:marLeft w:val="0"/>
      <w:marRight w:val="0"/>
      <w:marTop w:val="0"/>
      <w:marBottom w:val="0"/>
      <w:divBdr>
        <w:top w:val="none" w:sz="0" w:space="0" w:color="auto"/>
        <w:left w:val="none" w:sz="0" w:space="0" w:color="auto"/>
        <w:bottom w:val="none" w:sz="0" w:space="0" w:color="auto"/>
        <w:right w:val="none" w:sz="0" w:space="0" w:color="auto"/>
      </w:divBdr>
    </w:div>
    <w:div w:id="649015252">
      <w:bodyDiv w:val="1"/>
      <w:marLeft w:val="0"/>
      <w:marRight w:val="0"/>
      <w:marTop w:val="0"/>
      <w:marBottom w:val="0"/>
      <w:divBdr>
        <w:top w:val="none" w:sz="0" w:space="0" w:color="auto"/>
        <w:left w:val="none" w:sz="0" w:space="0" w:color="auto"/>
        <w:bottom w:val="none" w:sz="0" w:space="0" w:color="auto"/>
        <w:right w:val="none" w:sz="0" w:space="0" w:color="auto"/>
      </w:divBdr>
    </w:div>
    <w:div w:id="649482076">
      <w:bodyDiv w:val="1"/>
      <w:marLeft w:val="0"/>
      <w:marRight w:val="0"/>
      <w:marTop w:val="0"/>
      <w:marBottom w:val="0"/>
      <w:divBdr>
        <w:top w:val="none" w:sz="0" w:space="0" w:color="auto"/>
        <w:left w:val="none" w:sz="0" w:space="0" w:color="auto"/>
        <w:bottom w:val="none" w:sz="0" w:space="0" w:color="auto"/>
        <w:right w:val="none" w:sz="0" w:space="0" w:color="auto"/>
      </w:divBdr>
    </w:div>
    <w:div w:id="650016798">
      <w:bodyDiv w:val="1"/>
      <w:marLeft w:val="0"/>
      <w:marRight w:val="0"/>
      <w:marTop w:val="0"/>
      <w:marBottom w:val="0"/>
      <w:divBdr>
        <w:top w:val="none" w:sz="0" w:space="0" w:color="auto"/>
        <w:left w:val="none" w:sz="0" w:space="0" w:color="auto"/>
        <w:bottom w:val="none" w:sz="0" w:space="0" w:color="auto"/>
        <w:right w:val="none" w:sz="0" w:space="0" w:color="auto"/>
      </w:divBdr>
    </w:div>
    <w:div w:id="650064037">
      <w:bodyDiv w:val="1"/>
      <w:marLeft w:val="0"/>
      <w:marRight w:val="0"/>
      <w:marTop w:val="0"/>
      <w:marBottom w:val="0"/>
      <w:divBdr>
        <w:top w:val="none" w:sz="0" w:space="0" w:color="auto"/>
        <w:left w:val="none" w:sz="0" w:space="0" w:color="auto"/>
        <w:bottom w:val="none" w:sz="0" w:space="0" w:color="auto"/>
        <w:right w:val="none" w:sz="0" w:space="0" w:color="auto"/>
      </w:divBdr>
    </w:div>
    <w:div w:id="650137124">
      <w:bodyDiv w:val="1"/>
      <w:marLeft w:val="0"/>
      <w:marRight w:val="0"/>
      <w:marTop w:val="0"/>
      <w:marBottom w:val="0"/>
      <w:divBdr>
        <w:top w:val="none" w:sz="0" w:space="0" w:color="auto"/>
        <w:left w:val="none" w:sz="0" w:space="0" w:color="auto"/>
        <w:bottom w:val="none" w:sz="0" w:space="0" w:color="auto"/>
        <w:right w:val="none" w:sz="0" w:space="0" w:color="auto"/>
      </w:divBdr>
    </w:div>
    <w:div w:id="650183099">
      <w:bodyDiv w:val="1"/>
      <w:marLeft w:val="0"/>
      <w:marRight w:val="0"/>
      <w:marTop w:val="0"/>
      <w:marBottom w:val="0"/>
      <w:divBdr>
        <w:top w:val="none" w:sz="0" w:space="0" w:color="auto"/>
        <w:left w:val="none" w:sz="0" w:space="0" w:color="auto"/>
        <w:bottom w:val="none" w:sz="0" w:space="0" w:color="auto"/>
        <w:right w:val="none" w:sz="0" w:space="0" w:color="auto"/>
      </w:divBdr>
    </w:div>
    <w:div w:id="650408233">
      <w:bodyDiv w:val="1"/>
      <w:marLeft w:val="0"/>
      <w:marRight w:val="0"/>
      <w:marTop w:val="0"/>
      <w:marBottom w:val="0"/>
      <w:divBdr>
        <w:top w:val="none" w:sz="0" w:space="0" w:color="auto"/>
        <w:left w:val="none" w:sz="0" w:space="0" w:color="auto"/>
        <w:bottom w:val="none" w:sz="0" w:space="0" w:color="auto"/>
        <w:right w:val="none" w:sz="0" w:space="0" w:color="auto"/>
      </w:divBdr>
    </w:div>
    <w:div w:id="650446443">
      <w:bodyDiv w:val="1"/>
      <w:marLeft w:val="0"/>
      <w:marRight w:val="0"/>
      <w:marTop w:val="0"/>
      <w:marBottom w:val="0"/>
      <w:divBdr>
        <w:top w:val="none" w:sz="0" w:space="0" w:color="auto"/>
        <w:left w:val="none" w:sz="0" w:space="0" w:color="auto"/>
        <w:bottom w:val="none" w:sz="0" w:space="0" w:color="auto"/>
        <w:right w:val="none" w:sz="0" w:space="0" w:color="auto"/>
      </w:divBdr>
    </w:div>
    <w:div w:id="650521100">
      <w:bodyDiv w:val="1"/>
      <w:marLeft w:val="0"/>
      <w:marRight w:val="0"/>
      <w:marTop w:val="0"/>
      <w:marBottom w:val="0"/>
      <w:divBdr>
        <w:top w:val="none" w:sz="0" w:space="0" w:color="auto"/>
        <w:left w:val="none" w:sz="0" w:space="0" w:color="auto"/>
        <w:bottom w:val="none" w:sz="0" w:space="0" w:color="auto"/>
        <w:right w:val="none" w:sz="0" w:space="0" w:color="auto"/>
      </w:divBdr>
    </w:div>
    <w:div w:id="650598374">
      <w:bodyDiv w:val="1"/>
      <w:marLeft w:val="0"/>
      <w:marRight w:val="0"/>
      <w:marTop w:val="0"/>
      <w:marBottom w:val="0"/>
      <w:divBdr>
        <w:top w:val="none" w:sz="0" w:space="0" w:color="auto"/>
        <w:left w:val="none" w:sz="0" w:space="0" w:color="auto"/>
        <w:bottom w:val="none" w:sz="0" w:space="0" w:color="auto"/>
        <w:right w:val="none" w:sz="0" w:space="0" w:color="auto"/>
      </w:divBdr>
    </w:div>
    <w:div w:id="650603238">
      <w:bodyDiv w:val="1"/>
      <w:marLeft w:val="0"/>
      <w:marRight w:val="0"/>
      <w:marTop w:val="0"/>
      <w:marBottom w:val="0"/>
      <w:divBdr>
        <w:top w:val="none" w:sz="0" w:space="0" w:color="auto"/>
        <w:left w:val="none" w:sz="0" w:space="0" w:color="auto"/>
        <w:bottom w:val="none" w:sz="0" w:space="0" w:color="auto"/>
        <w:right w:val="none" w:sz="0" w:space="0" w:color="auto"/>
      </w:divBdr>
    </w:div>
    <w:div w:id="650907309">
      <w:bodyDiv w:val="1"/>
      <w:marLeft w:val="0"/>
      <w:marRight w:val="0"/>
      <w:marTop w:val="0"/>
      <w:marBottom w:val="0"/>
      <w:divBdr>
        <w:top w:val="none" w:sz="0" w:space="0" w:color="auto"/>
        <w:left w:val="none" w:sz="0" w:space="0" w:color="auto"/>
        <w:bottom w:val="none" w:sz="0" w:space="0" w:color="auto"/>
        <w:right w:val="none" w:sz="0" w:space="0" w:color="auto"/>
      </w:divBdr>
    </w:div>
    <w:div w:id="651175449">
      <w:bodyDiv w:val="1"/>
      <w:marLeft w:val="0"/>
      <w:marRight w:val="0"/>
      <w:marTop w:val="0"/>
      <w:marBottom w:val="0"/>
      <w:divBdr>
        <w:top w:val="none" w:sz="0" w:space="0" w:color="auto"/>
        <w:left w:val="none" w:sz="0" w:space="0" w:color="auto"/>
        <w:bottom w:val="none" w:sz="0" w:space="0" w:color="auto"/>
        <w:right w:val="none" w:sz="0" w:space="0" w:color="auto"/>
      </w:divBdr>
    </w:div>
    <w:div w:id="651520036">
      <w:bodyDiv w:val="1"/>
      <w:marLeft w:val="0"/>
      <w:marRight w:val="0"/>
      <w:marTop w:val="0"/>
      <w:marBottom w:val="0"/>
      <w:divBdr>
        <w:top w:val="none" w:sz="0" w:space="0" w:color="auto"/>
        <w:left w:val="none" w:sz="0" w:space="0" w:color="auto"/>
        <w:bottom w:val="none" w:sz="0" w:space="0" w:color="auto"/>
        <w:right w:val="none" w:sz="0" w:space="0" w:color="auto"/>
      </w:divBdr>
    </w:div>
    <w:div w:id="651564927">
      <w:bodyDiv w:val="1"/>
      <w:marLeft w:val="0"/>
      <w:marRight w:val="0"/>
      <w:marTop w:val="0"/>
      <w:marBottom w:val="0"/>
      <w:divBdr>
        <w:top w:val="none" w:sz="0" w:space="0" w:color="auto"/>
        <w:left w:val="none" w:sz="0" w:space="0" w:color="auto"/>
        <w:bottom w:val="none" w:sz="0" w:space="0" w:color="auto"/>
        <w:right w:val="none" w:sz="0" w:space="0" w:color="auto"/>
      </w:divBdr>
    </w:div>
    <w:div w:id="651954988">
      <w:bodyDiv w:val="1"/>
      <w:marLeft w:val="0"/>
      <w:marRight w:val="0"/>
      <w:marTop w:val="0"/>
      <w:marBottom w:val="0"/>
      <w:divBdr>
        <w:top w:val="none" w:sz="0" w:space="0" w:color="auto"/>
        <w:left w:val="none" w:sz="0" w:space="0" w:color="auto"/>
        <w:bottom w:val="none" w:sz="0" w:space="0" w:color="auto"/>
        <w:right w:val="none" w:sz="0" w:space="0" w:color="auto"/>
      </w:divBdr>
    </w:div>
    <w:div w:id="651984617">
      <w:bodyDiv w:val="1"/>
      <w:marLeft w:val="0"/>
      <w:marRight w:val="0"/>
      <w:marTop w:val="0"/>
      <w:marBottom w:val="0"/>
      <w:divBdr>
        <w:top w:val="none" w:sz="0" w:space="0" w:color="auto"/>
        <w:left w:val="none" w:sz="0" w:space="0" w:color="auto"/>
        <w:bottom w:val="none" w:sz="0" w:space="0" w:color="auto"/>
        <w:right w:val="none" w:sz="0" w:space="0" w:color="auto"/>
      </w:divBdr>
    </w:div>
    <w:div w:id="652373866">
      <w:bodyDiv w:val="1"/>
      <w:marLeft w:val="0"/>
      <w:marRight w:val="0"/>
      <w:marTop w:val="0"/>
      <w:marBottom w:val="0"/>
      <w:divBdr>
        <w:top w:val="none" w:sz="0" w:space="0" w:color="auto"/>
        <w:left w:val="none" w:sz="0" w:space="0" w:color="auto"/>
        <w:bottom w:val="none" w:sz="0" w:space="0" w:color="auto"/>
        <w:right w:val="none" w:sz="0" w:space="0" w:color="auto"/>
      </w:divBdr>
    </w:div>
    <w:div w:id="652567155">
      <w:bodyDiv w:val="1"/>
      <w:marLeft w:val="0"/>
      <w:marRight w:val="0"/>
      <w:marTop w:val="0"/>
      <w:marBottom w:val="0"/>
      <w:divBdr>
        <w:top w:val="none" w:sz="0" w:space="0" w:color="auto"/>
        <w:left w:val="none" w:sz="0" w:space="0" w:color="auto"/>
        <w:bottom w:val="none" w:sz="0" w:space="0" w:color="auto"/>
        <w:right w:val="none" w:sz="0" w:space="0" w:color="auto"/>
      </w:divBdr>
    </w:div>
    <w:div w:id="652569658">
      <w:bodyDiv w:val="1"/>
      <w:marLeft w:val="0"/>
      <w:marRight w:val="0"/>
      <w:marTop w:val="0"/>
      <w:marBottom w:val="0"/>
      <w:divBdr>
        <w:top w:val="none" w:sz="0" w:space="0" w:color="auto"/>
        <w:left w:val="none" w:sz="0" w:space="0" w:color="auto"/>
        <w:bottom w:val="none" w:sz="0" w:space="0" w:color="auto"/>
        <w:right w:val="none" w:sz="0" w:space="0" w:color="auto"/>
      </w:divBdr>
    </w:div>
    <w:div w:id="652680622">
      <w:bodyDiv w:val="1"/>
      <w:marLeft w:val="0"/>
      <w:marRight w:val="0"/>
      <w:marTop w:val="0"/>
      <w:marBottom w:val="0"/>
      <w:divBdr>
        <w:top w:val="none" w:sz="0" w:space="0" w:color="auto"/>
        <w:left w:val="none" w:sz="0" w:space="0" w:color="auto"/>
        <w:bottom w:val="none" w:sz="0" w:space="0" w:color="auto"/>
        <w:right w:val="none" w:sz="0" w:space="0" w:color="auto"/>
      </w:divBdr>
    </w:div>
    <w:div w:id="652681796">
      <w:bodyDiv w:val="1"/>
      <w:marLeft w:val="0"/>
      <w:marRight w:val="0"/>
      <w:marTop w:val="0"/>
      <w:marBottom w:val="0"/>
      <w:divBdr>
        <w:top w:val="none" w:sz="0" w:space="0" w:color="auto"/>
        <w:left w:val="none" w:sz="0" w:space="0" w:color="auto"/>
        <w:bottom w:val="none" w:sz="0" w:space="0" w:color="auto"/>
        <w:right w:val="none" w:sz="0" w:space="0" w:color="auto"/>
      </w:divBdr>
    </w:div>
    <w:div w:id="652685676">
      <w:bodyDiv w:val="1"/>
      <w:marLeft w:val="0"/>
      <w:marRight w:val="0"/>
      <w:marTop w:val="0"/>
      <w:marBottom w:val="0"/>
      <w:divBdr>
        <w:top w:val="none" w:sz="0" w:space="0" w:color="auto"/>
        <w:left w:val="none" w:sz="0" w:space="0" w:color="auto"/>
        <w:bottom w:val="none" w:sz="0" w:space="0" w:color="auto"/>
        <w:right w:val="none" w:sz="0" w:space="0" w:color="auto"/>
      </w:divBdr>
    </w:div>
    <w:div w:id="652880611">
      <w:bodyDiv w:val="1"/>
      <w:marLeft w:val="0"/>
      <w:marRight w:val="0"/>
      <w:marTop w:val="0"/>
      <w:marBottom w:val="0"/>
      <w:divBdr>
        <w:top w:val="none" w:sz="0" w:space="0" w:color="auto"/>
        <w:left w:val="none" w:sz="0" w:space="0" w:color="auto"/>
        <w:bottom w:val="none" w:sz="0" w:space="0" w:color="auto"/>
        <w:right w:val="none" w:sz="0" w:space="0" w:color="auto"/>
      </w:divBdr>
    </w:div>
    <w:div w:id="652952589">
      <w:bodyDiv w:val="1"/>
      <w:marLeft w:val="0"/>
      <w:marRight w:val="0"/>
      <w:marTop w:val="0"/>
      <w:marBottom w:val="0"/>
      <w:divBdr>
        <w:top w:val="none" w:sz="0" w:space="0" w:color="auto"/>
        <w:left w:val="none" w:sz="0" w:space="0" w:color="auto"/>
        <w:bottom w:val="none" w:sz="0" w:space="0" w:color="auto"/>
        <w:right w:val="none" w:sz="0" w:space="0" w:color="auto"/>
      </w:divBdr>
    </w:div>
    <w:div w:id="653025383">
      <w:bodyDiv w:val="1"/>
      <w:marLeft w:val="0"/>
      <w:marRight w:val="0"/>
      <w:marTop w:val="0"/>
      <w:marBottom w:val="0"/>
      <w:divBdr>
        <w:top w:val="none" w:sz="0" w:space="0" w:color="auto"/>
        <w:left w:val="none" w:sz="0" w:space="0" w:color="auto"/>
        <w:bottom w:val="none" w:sz="0" w:space="0" w:color="auto"/>
        <w:right w:val="none" w:sz="0" w:space="0" w:color="auto"/>
      </w:divBdr>
    </w:div>
    <w:div w:id="653068835">
      <w:bodyDiv w:val="1"/>
      <w:marLeft w:val="0"/>
      <w:marRight w:val="0"/>
      <w:marTop w:val="0"/>
      <w:marBottom w:val="0"/>
      <w:divBdr>
        <w:top w:val="none" w:sz="0" w:space="0" w:color="auto"/>
        <w:left w:val="none" w:sz="0" w:space="0" w:color="auto"/>
        <w:bottom w:val="none" w:sz="0" w:space="0" w:color="auto"/>
        <w:right w:val="none" w:sz="0" w:space="0" w:color="auto"/>
      </w:divBdr>
    </w:div>
    <w:div w:id="653073517">
      <w:bodyDiv w:val="1"/>
      <w:marLeft w:val="0"/>
      <w:marRight w:val="0"/>
      <w:marTop w:val="0"/>
      <w:marBottom w:val="0"/>
      <w:divBdr>
        <w:top w:val="none" w:sz="0" w:space="0" w:color="auto"/>
        <w:left w:val="none" w:sz="0" w:space="0" w:color="auto"/>
        <w:bottom w:val="none" w:sz="0" w:space="0" w:color="auto"/>
        <w:right w:val="none" w:sz="0" w:space="0" w:color="auto"/>
      </w:divBdr>
    </w:div>
    <w:div w:id="653290874">
      <w:bodyDiv w:val="1"/>
      <w:marLeft w:val="0"/>
      <w:marRight w:val="0"/>
      <w:marTop w:val="0"/>
      <w:marBottom w:val="0"/>
      <w:divBdr>
        <w:top w:val="none" w:sz="0" w:space="0" w:color="auto"/>
        <w:left w:val="none" w:sz="0" w:space="0" w:color="auto"/>
        <w:bottom w:val="none" w:sz="0" w:space="0" w:color="auto"/>
        <w:right w:val="none" w:sz="0" w:space="0" w:color="auto"/>
      </w:divBdr>
    </w:div>
    <w:div w:id="653488968">
      <w:bodyDiv w:val="1"/>
      <w:marLeft w:val="0"/>
      <w:marRight w:val="0"/>
      <w:marTop w:val="0"/>
      <w:marBottom w:val="0"/>
      <w:divBdr>
        <w:top w:val="none" w:sz="0" w:space="0" w:color="auto"/>
        <w:left w:val="none" w:sz="0" w:space="0" w:color="auto"/>
        <w:bottom w:val="none" w:sz="0" w:space="0" w:color="auto"/>
        <w:right w:val="none" w:sz="0" w:space="0" w:color="auto"/>
      </w:divBdr>
    </w:div>
    <w:div w:id="653681470">
      <w:bodyDiv w:val="1"/>
      <w:marLeft w:val="0"/>
      <w:marRight w:val="0"/>
      <w:marTop w:val="0"/>
      <w:marBottom w:val="0"/>
      <w:divBdr>
        <w:top w:val="none" w:sz="0" w:space="0" w:color="auto"/>
        <w:left w:val="none" w:sz="0" w:space="0" w:color="auto"/>
        <w:bottom w:val="none" w:sz="0" w:space="0" w:color="auto"/>
        <w:right w:val="none" w:sz="0" w:space="0" w:color="auto"/>
      </w:divBdr>
    </w:div>
    <w:div w:id="653753771">
      <w:bodyDiv w:val="1"/>
      <w:marLeft w:val="0"/>
      <w:marRight w:val="0"/>
      <w:marTop w:val="0"/>
      <w:marBottom w:val="0"/>
      <w:divBdr>
        <w:top w:val="none" w:sz="0" w:space="0" w:color="auto"/>
        <w:left w:val="none" w:sz="0" w:space="0" w:color="auto"/>
        <w:bottom w:val="none" w:sz="0" w:space="0" w:color="auto"/>
        <w:right w:val="none" w:sz="0" w:space="0" w:color="auto"/>
      </w:divBdr>
    </w:div>
    <w:div w:id="653874637">
      <w:bodyDiv w:val="1"/>
      <w:marLeft w:val="0"/>
      <w:marRight w:val="0"/>
      <w:marTop w:val="0"/>
      <w:marBottom w:val="0"/>
      <w:divBdr>
        <w:top w:val="none" w:sz="0" w:space="0" w:color="auto"/>
        <w:left w:val="none" w:sz="0" w:space="0" w:color="auto"/>
        <w:bottom w:val="none" w:sz="0" w:space="0" w:color="auto"/>
        <w:right w:val="none" w:sz="0" w:space="0" w:color="auto"/>
      </w:divBdr>
    </w:div>
    <w:div w:id="653948628">
      <w:bodyDiv w:val="1"/>
      <w:marLeft w:val="0"/>
      <w:marRight w:val="0"/>
      <w:marTop w:val="0"/>
      <w:marBottom w:val="0"/>
      <w:divBdr>
        <w:top w:val="none" w:sz="0" w:space="0" w:color="auto"/>
        <w:left w:val="none" w:sz="0" w:space="0" w:color="auto"/>
        <w:bottom w:val="none" w:sz="0" w:space="0" w:color="auto"/>
        <w:right w:val="none" w:sz="0" w:space="0" w:color="auto"/>
      </w:divBdr>
    </w:div>
    <w:div w:id="653949479">
      <w:bodyDiv w:val="1"/>
      <w:marLeft w:val="0"/>
      <w:marRight w:val="0"/>
      <w:marTop w:val="0"/>
      <w:marBottom w:val="0"/>
      <w:divBdr>
        <w:top w:val="none" w:sz="0" w:space="0" w:color="auto"/>
        <w:left w:val="none" w:sz="0" w:space="0" w:color="auto"/>
        <w:bottom w:val="none" w:sz="0" w:space="0" w:color="auto"/>
        <w:right w:val="none" w:sz="0" w:space="0" w:color="auto"/>
      </w:divBdr>
    </w:div>
    <w:div w:id="654064802">
      <w:bodyDiv w:val="1"/>
      <w:marLeft w:val="0"/>
      <w:marRight w:val="0"/>
      <w:marTop w:val="0"/>
      <w:marBottom w:val="0"/>
      <w:divBdr>
        <w:top w:val="none" w:sz="0" w:space="0" w:color="auto"/>
        <w:left w:val="none" w:sz="0" w:space="0" w:color="auto"/>
        <w:bottom w:val="none" w:sz="0" w:space="0" w:color="auto"/>
        <w:right w:val="none" w:sz="0" w:space="0" w:color="auto"/>
      </w:divBdr>
    </w:div>
    <w:div w:id="654139458">
      <w:bodyDiv w:val="1"/>
      <w:marLeft w:val="0"/>
      <w:marRight w:val="0"/>
      <w:marTop w:val="0"/>
      <w:marBottom w:val="0"/>
      <w:divBdr>
        <w:top w:val="none" w:sz="0" w:space="0" w:color="auto"/>
        <w:left w:val="none" w:sz="0" w:space="0" w:color="auto"/>
        <w:bottom w:val="none" w:sz="0" w:space="0" w:color="auto"/>
        <w:right w:val="none" w:sz="0" w:space="0" w:color="auto"/>
      </w:divBdr>
    </w:div>
    <w:div w:id="654261033">
      <w:bodyDiv w:val="1"/>
      <w:marLeft w:val="0"/>
      <w:marRight w:val="0"/>
      <w:marTop w:val="0"/>
      <w:marBottom w:val="0"/>
      <w:divBdr>
        <w:top w:val="none" w:sz="0" w:space="0" w:color="auto"/>
        <w:left w:val="none" w:sz="0" w:space="0" w:color="auto"/>
        <w:bottom w:val="none" w:sz="0" w:space="0" w:color="auto"/>
        <w:right w:val="none" w:sz="0" w:space="0" w:color="auto"/>
      </w:divBdr>
    </w:div>
    <w:div w:id="654379272">
      <w:bodyDiv w:val="1"/>
      <w:marLeft w:val="0"/>
      <w:marRight w:val="0"/>
      <w:marTop w:val="0"/>
      <w:marBottom w:val="0"/>
      <w:divBdr>
        <w:top w:val="none" w:sz="0" w:space="0" w:color="auto"/>
        <w:left w:val="none" w:sz="0" w:space="0" w:color="auto"/>
        <w:bottom w:val="none" w:sz="0" w:space="0" w:color="auto"/>
        <w:right w:val="none" w:sz="0" w:space="0" w:color="auto"/>
      </w:divBdr>
    </w:div>
    <w:div w:id="654380139">
      <w:bodyDiv w:val="1"/>
      <w:marLeft w:val="0"/>
      <w:marRight w:val="0"/>
      <w:marTop w:val="0"/>
      <w:marBottom w:val="0"/>
      <w:divBdr>
        <w:top w:val="none" w:sz="0" w:space="0" w:color="auto"/>
        <w:left w:val="none" w:sz="0" w:space="0" w:color="auto"/>
        <w:bottom w:val="none" w:sz="0" w:space="0" w:color="auto"/>
        <w:right w:val="none" w:sz="0" w:space="0" w:color="auto"/>
      </w:divBdr>
    </w:div>
    <w:div w:id="654452875">
      <w:bodyDiv w:val="1"/>
      <w:marLeft w:val="0"/>
      <w:marRight w:val="0"/>
      <w:marTop w:val="0"/>
      <w:marBottom w:val="0"/>
      <w:divBdr>
        <w:top w:val="none" w:sz="0" w:space="0" w:color="auto"/>
        <w:left w:val="none" w:sz="0" w:space="0" w:color="auto"/>
        <w:bottom w:val="none" w:sz="0" w:space="0" w:color="auto"/>
        <w:right w:val="none" w:sz="0" w:space="0" w:color="auto"/>
      </w:divBdr>
    </w:div>
    <w:div w:id="654770365">
      <w:bodyDiv w:val="1"/>
      <w:marLeft w:val="0"/>
      <w:marRight w:val="0"/>
      <w:marTop w:val="0"/>
      <w:marBottom w:val="0"/>
      <w:divBdr>
        <w:top w:val="none" w:sz="0" w:space="0" w:color="auto"/>
        <w:left w:val="none" w:sz="0" w:space="0" w:color="auto"/>
        <w:bottom w:val="none" w:sz="0" w:space="0" w:color="auto"/>
        <w:right w:val="none" w:sz="0" w:space="0" w:color="auto"/>
      </w:divBdr>
    </w:div>
    <w:div w:id="654840911">
      <w:bodyDiv w:val="1"/>
      <w:marLeft w:val="0"/>
      <w:marRight w:val="0"/>
      <w:marTop w:val="0"/>
      <w:marBottom w:val="0"/>
      <w:divBdr>
        <w:top w:val="none" w:sz="0" w:space="0" w:color="auto"/>
        <w:left w:val="none" w:sz="0" w:space="0" w:color="auto"/>
        <w:bottom w:val="none" w:sz="0" w:space="0" w:color="auto"/>
        <w:right w:val="none" w:sz="0" w:space="0" w:color="auto"/>
      </w:divBdr>
    </w:div>
    <w:div w:id="655261394">
      <w:bodyDiv w:val="1"/>
      <w:marLeft w:val="0"/>
      <w:marRight w:val="0"/>
      <w:marTop w:val="0"/>
      <w:marBottom w:val="0"/>
      <w:divBdr>
        <w:top w:val="none" w:sz="0" w:space="0" w:color="auto"/>
        <w:left w:val="none" w:sz="0" w:space="0" w:color="auto"/>
        <w:bottom w:val="none" w:sz="0" w:space="0" w:color="auto"/>
        <w:right w:val="none" w:sz="0" w:space="0" w:color="auto"/>
      </w:divBdr>
    </w:div>
    <w:div w:id="655308114">
      <w:bodyDiv w:val="1"/>
      <w:marLeft w:val="0"/>
      <w:marRight w:val="0"/>
      <w:marTop w:val="0"/>
      <w:marBottom w:val="0"/>
      <w:divBdr>
        <w:top w:val="none" w:sz="0" w:space="0" w:color="auto"/>
        <w:left w:val="none" w:sz="0" w:space="0" w:color="auto"/>
        <w:bottom w:val="none" w:sz="0" w:space="0" w:color="auto"/>
        <w:right w:val="none" w:sz="0" w:space="0" w:color="auto"/>
      </w:divBdr>
    </w:div>
    <w:div w:id="655426539">
      <w:bodyDiv w:val="1"/>
      <w:marLeft w:val="0"/>
      <w:marRight w:val="0"/>
      <w:marTop w:val="0"/>
      <w:marBottom w:val="0"/>
      <w:divBdr>
        <w:top w:val="none" w:sz="0" w:space="0" w:color="auto"/>
        <w:left w:val="none" w:sz="0" w:space="0" w:color="auto"/>
        <w:bottom w:val="none" w:sz="0" w:space="0" w:color="auto"/>
        <w:right w:val="none" w:sz="0" w:space="0" w:color="auto"/>
      </w:divBdr>
    </w:div>
    <w:div w:id="655457088">
      <w:bodyDiv w:val="1"/>
      <w:marLeft w:val="0"/>
      <w:marRight w:val="0"/>
      <w:marTop w:val="0"/>
      <w:marBottom w:val="0"/>
      <w:divBdr>
        <w:top w:val="none" w:sz="0" w:space="0" w:color="auto"/>
        <w:left w:val="none" w:sz="0" w:space="0" w:color="auto"/>
        <w:bottom w:val="none" w:sz="0" w:space="0" w:color="auto"/>
        <w:right w:val="none" w:sz="0" w:space="0" w:color="auto"/>
      </w:divBdr>
    </w:div>
    <w:div w:id="655500000">
      <w:bodyDiv w:val="1"/>
      <w:marLeft w:val="0"/>
      <w:marRight w:val="0"/>
      <w:marTop w:val="0"/>
      <w:marBottom w:val="0"/>
      <w:divBdr>
        <w:top w:val="none" w:sz="0" w:space="0" w:color="auto"/>
        <w:left w:val="none" w:sz="0" w:space="0" w:color="auto"/>
        <w:bottom w:val="none" w:sz="0" w:space="0" w:color="auto"/>
        <w:right w:val="none" w:sz="0" w:space="0" w:color="auto"/>
      </w:divBdr>
    </w:div>
    <w:div w:id="655501482">
      <w:bodyDiv w:val="1"/>
      <w:marLeft w:val="0"/>
      <w:marRight w:val="0"/>
      <w:marTop w:val="0"/>
      <w:marBottom w:val="0"/>
      <w:divBdr>
        <w:top w:val="none" w:sz="0" w:space="0" w:color="auto"/>
        <w:left w:val="none" w:sz="0" w:space="0" w:color="auto"/>
        <w:bottom w:val="none" w:sz="0" w:space="0" w:color="auto"/>
        <w:right w:val="none" w:sz="0" w:space="0" w:color="auto"/>
      </w:divBdr>
    </w:div>
    <w:div w:id="655567674">
      <w:bodyDiv w:val="1"/>
      <w:marLeft w:val="0"/>
      <w:marRight w:val="0"/>
      <w:marTop w:val="0"/>
      <w:marBottom w:val="0"/>
      <w:divBdr>
        <w:top w:val="none" w:sz="0" w:space="0" w:color="auto"/>
        <w:left w:val="none" w:sz="0" w:space="0" w:color="auto"/>
        <w:bottom w:val="none" w:sz="0" w:space="0" w:color="auto"/>
        <w:right w:val="none" w:sz="0" w:space="0" w:color="auto"/>
      </w:divBdr>
    </w:div>
    <w:div w:id="655575286">
      <w:bodyDiv w:val="1"/>
      <w:marLeft w:val="0"/>
      <w:marRight w:val="0"/>
      <w:marTop w:val="0"/>
      <w:marBottom w:val="0"/>
      <w:divBdr>
        <w:top w:val="none" w:sz="0" w:space="0" w:color="auto"/>
        <w:left w:val="none" w:sz="0" w:space="0" w:color="auto"/>
        <w:bottom w:val="none" w:sz="0" w:space="0" w:color="auto"/>
        <w:right w:val="none" w:sz="0" w:space="0" w:color="auto"/>
      </w:divBdr>
    </w:div>
    <w:div w:id="655769349">
      <w:bodyDiv w:val="1"/>
      <w:marLeft w:val="0"/>
      <w:marRight w:val="0"/>
      <w:marTop w:val="0"/>
      <w:marBottom w:val="0"/>
      <w:divBdr>
        <w:top w:val="none" w:sz="0" w:space="0" w:color="auto"/>
        <w:left w:val="none" w:sz="0" w:space="0" w:color="auto"/>
        <w:bottom w:val="none" w:sz="0" w:space="0" w:color="auto"/>
        <w:right w:val="none" w:sz="0" w:space="0" w:color="auto"/>
      </w:divBdr>
    </w:div>
    <w:div w:id="655958839">
      <w:bodyDiv w:val="1"/>
      <w:marLeft w:val="0"/>
      <w:marRight w:val="0"/>
      <w:marTop w:val="0"/>
      <w:marBottom w:val="0"/>
      <w:divBdr>
        <w:top w:val="none" w:sz="0" w:space="0" w:color="auto"/>
        <w:left w:val="none" w:sz="0" w:space="0" w:color="auto"/>
        <w:bottom w:val="none" w:sz="0" w:space="0" w:color="auto"/>
        <w:right w:val="none" w:sz="0" w:space="0" w:color="auto"/>
      </w:divBdr>
    </w:div>
    <w:div w:id="656036216">
      <w:bodyDiv w:val="1"/>
      <w:marLeft w:val="0"/>
      <w:marRight w:val="0"/>
      <w:marTop w:val="0"/>
      <w:marBottom w:val="0"/>
      <w:divBdr>
        <w:top w:val="none" w:sz="0" w:space="0" w:color="auto"/>
        <w:left w:val="none" w:sz="0" w:space="0" w:color="auto"/>
        <w:bottom w:val="none" w:sz="0" w:space="0" w:color="auto"/>
        <w:right w:val="none" w:sz="0" w:space="0" w:color="auto"/>
      </w:divBdr>
    </w:div>
    <w:div w:id="656081822">
      <w:bodyDiv w:val="1"/>
      <w:marLeft w:val="0"/>
      <w:marRight w:val="0"/>
      <w:marTop w:val="0"/>
      <w:marBottom w:val="0"/>
      <w:divBdr>
        <w:top w:val="none" w:sz="0" w:space="0" w:color="auto"/>
        <w:left w:val="none" w:sz="0" w:space="0" w:color="auto"/>
        <w:bottom w:val="none" w:sz="0" w:space="0" w:color="auto"/>
        <w:right w:val="none" w:sz="0" w:space="0" w:color="auto"/>
      </w:divBdr>
    </w:div>
    <w:div w:id="656109580">
      <w:bodyDiv w:val="1"/>
      <w:marLeft w:val="0"/>
      <w:marRight w:val="0"/>
      <w:marTop w:val="0"/>
      <w:marBottom w:val="0"/>
      <w:divBdr>
        <w:top w:val="none" w:sz="0" w:space="0" w:color="auto"/>
        <w:left w:val="none" w:sz="0" w:space="0" w:color="auto"/>
        <w:bottom w:val="none" w:sz="0" w:space="0" w:color="auto"/>
        <w:right w:val="none" w:sz="0" w:space="0" w:color="auto"/>
      </w:divBdr>
    </w:div>
    <w:div w:id="656232139">
      <w:bodyDiv w:val="1"/>
      <w:marLeft w:val="0"/>
      <w:marRight w:val="0"/>
      <w:marTop w:val="0"/>
      <w:marBottom w:val="0"/>
      <w:divBdr>
        <w:top w:val="none" w:sz="0" w:space="0" w:color="auto"/>
        <w:left w:val="none" w:sz="0" w:space="0" w:color="auto"/>
        <w:bottom w:val="none" w:sz="0" w:space="0" w:color="auto"/>
        <w:right w:val="none" w:sz="0" w:space="0" w:color="auto"/>
      </w:divBdr>
    </w:div>
    <w:div w:id="656345402">
      <w:bodyDiv w:val="1"/>
      <w:marLeft w:val="0"/>
      <w:marRight w:val="0"/>
      <w:marTop w:val="0"/>
      <w:marBottom w:val="0"/>
      <w:divBdr>
        <w:top w:val="none" w:sz="0" w:space="0" w:color="auto"/>
        <w:left w:val="none" w:sz="0" w:space="0" w:color="auto"/>
        <w:bottom w:val="none" w:sz="0" w:space="0" w:color="auto"/>
        <w:right w:val="none" w:sz="0" w:space="0" w:color="auto"/>
      </w:divBdr>
    </w:div>
    <w:div w:id="656422770">
      <w:bodyDiv w:val="1"/>
      <w:marLeft w:val="0"/>
      <w:marRight w:val="0"/>
      <w:marTop w:val="0"/>
      <w:marBottom w:val="0"/>
      <w:divBdr>
        <w:top w:val="none" w:sz="0" w:space="0" w:color="auto"/>
        <w:left w:val="none" w:sz="0" w:space="0" w:color="auto"/>
        <w:bottom w:val="none" w:sz="0" w:space="0" w:color="auto"/>
        <w:right w:val="none" w:sz="0" w:space="0" w:color="auto"/>
      </w:divBdr>
    </w:div>
    <w:div w:id="656493391">
      <w:bodyDiv w:val="1"/>
      <w:marLeft w:val="0"/>
      <w:marRight w:val="0"/>
      <w:marTop w:val="0"/>
      <w:marBottom w:val="0"/>
      <w:divBdr>
        <w:top w:val="none" w:sz="0" w:space="0" w:color="auto"/>
        <w:left w:val="none" w:sz="0" w:space="0" w:color="auto"/>
        <w:bottom w:val="none" w:sz="0" w:space="0" w:color="auto"/>
        <w:right w:val="none" w:sz="0" w:space="0" w:color="auto"/>
      </w:divBdr>
    </w:div>
    <w:div w:id="656568670">
      <w:bodyDiv w:val="1"/>
      <w:marLeft w:val="0"/>
      <w:marRight w:val="0"/>
      <w:marTop w:val="0"/>
      <w:marBottom w:val="0"/>
      <w:divBdr>
        <w:top w:val="none" w:sz="0" w:space="0" w:color="auto"/>
        <w:left w:val="none" w:sz="0" w:space="0" w:color="auto"/>
        <w:bottom w:val="none" w:sz="0" w:space="0" w:color="auto"/>
        <w:right w:val="none" w:sz="0" w:space="0" w:color="auto"/>
      </w:divBdr>
    </w:div>
    <w:div w:id="656572103">
      <w:bodyDiv w:val="1"/>
      <w:marLeft w:val="0"/>
      <w:marRight w:val="0"/>
      <w:marTop w:val="0"/>
      <w:marBottom w:val="0"/>
      <w:divBdr>
        <w:top w:val="none" w:sz="0" w:space="0" w:color="auto"/>
        <w:left w:val="none" w:sz="0" w:space="0" w:color="auto"/>
        <w:bottom w:val="none" w:sz="0" w:space="0" w:color="auto"/>
        <w:right w:val="none" w:sz="0" w:space="0" w:color="auto"/>
      </w:divBdr>
    </w:div>
    <w:div w:id="656611178">
      <w:bodyDiv w:val="1"/>
      <w:marLeft w:val="0"/>
      <w:marRight w:val="0"/>
      <w:marTop w:val="0"/>
      <w:marBottom w:val="0"/>
      <w:divBdr>
        <w:top w:val="none" w:sz="0" w:space="0" w:color="auto"/>
        <w:left w:val="none" w:sz="0" w:space="0" w:color="auto"/>
        <w:bottom w:val="none" w:sz="0" w:space="0" w:color="auto"/>
        <w:right w:val="none" w:sz="0" w:space="0" w:color="auto"/>
      </w:divBdr>
    </w:div>
    <w:div w:id="656688955">
      <w:bodyDiv w:val="1"/>
      <w:marLeft w:val="0"/>
      <w:marRight w:val="0"/>
      <w:marTop w:val="0"/>
      <w:marBottom w:val="0"/>
      <w:divBdr>
        <w:top w:val="none" w:sz="0" w:space="0" w:color="auto"/>
        <w:left w:val="none" w:sz="0" w:space="0" w:color="auto"/>
        <w:bottom w:val="none" w:sz="0" w:space="0" w:color="auto"/>
        <w:right w:val="none" w:sz="0" w:space="0" w:color="auto"/>
      </w:divBdr>
    </w:div>
    <w:div w:id="656810045">
      <w:bodyDiv w:val="1"/>
      <w:marLeft w:val="0"/>
      <w:marRight w:val="0"/>
      <w:marTop w:val="0"/>
      <w:marBottom w:val="0"/>
      <w:divBdr>
        <w:top w:val="none" w:sz="0" w:space="0" w:color="auto"/>
        <w:left w:val="none" w:sz="0" w:space="0" w:color="auto"/>
        <w:bottom w:val="none" w:sz="0" w:space="0" w:color="auto"/>
        <w:right w:val="none" w:sz="0" w:space="0" w:color="auto"/>
      </w:divBdr>
    </w:div>
    <w:div w:id="657000248">
      <w:bodyDiv w:val="1"/>
      <w:marLeft w:val="0"/>
      <w:marRight w:val="0"/>
      <w:marTop w:val="0"/>
      <w:marBottom w:val="0"/>
      <w:divBdr>
        <w:top w:val="none" w:sz="0" w:space="0" w:color="auto"/>
        <w:left w:val="none" w:sz="0" w:space="0" w:color="auto"/>
        <w:bottom w:val="none" w:sz="0" w:space="0" w:color="auto"/>
        <w:right w:val="none" w:sz="0" w:space="0" w:color="auto"/>
      </w:divBdr>
    </w:div>
    <w:div w:id="657000595">
      <w:bodyDiv w:val="1"/>
      <w:marLeft w:val="0"/>
      <w:marRight w:val="0"/>
      <w:marTop w:val="0"/>
      <w:marBottom w:val="0"/>
      <w:divBdr>
        <w:top w:val="none" w:sz="0" w:space="0" w:color="auto"/>
        <w:left w:val="none" w:sz="0" w:space="0" w:color="auto"/>
        <w:bottom w:val="none" w:sz="0" w:space="0" w:color="auto"/>
        <w:right w:val="none" w:sz="0" w:space="0" w:color="auto"/>
      </w:divBdr>
    </w:div>
    <w:div w:id="657072118">
      <w:bodyDiv w:val="1"/>
      <w:marLeft w:val="0"/>
      <w:marRight w:val="0"/>
      <w:marTop w:val="0"/>
      <w:marBottom w:val="0"/>
      <w:divBdr>
        <w:top w:val="none" w:sz="0" w:space="0" w:color="auto"/>
        <w:left w:val="none" w:sz="0" w:space="0" w:color="auto"/>
        <w:bottom w:val="none" w:sz="0" w:space="0" w:color="auto"/>
        <w:right w:val="none" w:sz="0" w:space="0" w:color="auto"/>
      </w:divBdr>
    </w:div>
    <w:div w:id="657079637">
      <w:bodyDiv w:val="1"/>
      <w:marLeft w:val="0"/>
      <w:marRight w:val="0"/>
      <w:marTop w:val="0"/>
      <w:marBottom w:val="0"/>
      <w:divBdr>
        <w:top w:val="none" w:sz="0" w:space="0" w:color="auto"/>
        <w:left w:val="none" w:sz="0" w:space="0" w:color="auto"/>
        <w:bottom w:val="none" w:sz="0" w:space="0" w:color="auto"/>
        <w:right w:val="none" w:sz="0" w:space="0" w:color="auto"/>
      </w:divBdr>
    </w:div>
    <w:div w:id="657344141">
      <w:bodyDiv w:val="1"/>
      <w:marLeft w:val="0"/>
      <w:marRight w:val="0"/>
      <w:marTop w:val="0"/>
      <w:marBottom w:val="0"/>
      <w:divBdr>
        <w:top w:val="none" w:sz="0" w:space="0" w:color="auto"/>
        <w:left w:val="none" w:sz="0" w:space="0" w:color="auto"/>
        <w:bottom w:val="none" w:sz="0" w:space="0" w:color="auto"/>
        <w:right w:val="none" w:sz="0" w:space="0" w:color="auto"/>
      </w:divBdr>
    </w:div>
    <w:div w:id="657345413">
      <w:bodyDiv w:val="1"/>
      <w:marLeft w:val="0"/>
      <w:marRight w:val="0"/>
      <w:marTop w:val="0"/>
      <w:marBottom w:val="0"/>
      <w:divBdr>
        <w:top w:val="none" w:sz="0" w:space="0" w:color="auto"/>
        <w:left w:val="none" w:sz="0" w:space="0" w:color="auto"/>
        <w:bottom w:val="none" w:sz="0" w:space="0" w:color="auto"/>
        <w:right w:val="none" w:sz="0" w:space="0" w:color="auto"/>
      </w:divBdr>
    </w:div>
    <w:div w:id="657422631">
      <w:bodyDiv w:val="1"/>
      <w:marLeft w:val="0"/>
      <w:marRight w:val="0"/>
      <w:marTop w:val="0"/>
      <w:marBottom w:val="0"/>
      <w:divBdr>
        <w:top w:val="none" w:sz="0" w:space="0" w:color="auto"/>
        <w:left w:val="none" w:sz="0" w:space="0" w:color="auto"/>
        <w:bottom w:val="none" w:sz="0" w:space="0" w:color="auto"/>
        <w:right w:val="none" w:sz="0" w:space="0" w:color="auto"/>
      </w:divBdr>
    </w:div>
    <w:div w:id="657660803">
      <w:bodyDiv w:val="1"/>
      <w:marLeft w:val="0"/>
      <w:marRight w:val="0"/>
      <w:marTop w:val="0"/>
      <w:marBottom w:val="0"/>
      <w:divBdr>
        <w:top w:val="none" w:sz="0" w:space="0" w:color="auto"/>
        <w:left w:val="none" w:sz="0" w:space="0" w:color="auto"/>
        <w:bottom w:val="none" w:sz="0" w:space="0" w:color="auto"/>
        <w:right w:val="none" w:sz="0" w:space="0" w:color="auto"/>
      </w:divBdr>
    </w:div>
    <w:div w:id="657733039">
      <w:bodyDiv w:val="1"/>
      <w:marLeft w:val="0"/>
      <w:marRight w:val="0"/>
      <w:marTop w:val="0"/>
      <w:marBottom w:val="0"/>
      <w:divBdr>
        <w:top w:val="none" w:sz="0" w:space="0" w:color="auto"/>
        <w:left w:val="none" w:sz="0" w:space="0" w:color="auto"/>
        <w:bottom w:val="none" w:sz="0" w:space="0" w:color="auto"/>
        <w:right w:val="none" w:sz="0" w:space="0" w:color="auto"/>
      </w:divBdr>
    </w:div>
    <w:div w:id="657804523">
      <w:bodyDiv w:val="1"/>
      <w:marLeft w:val="0"/>
      <w:marRight w:val="0"/>
      <w:marTop w:val="0"/>
      <w:marBottom w:val="0"/>
      <w:divBdr>
        <w:top w:val="none" w:sz="0" w:space="0" w:color="auto"/>
        <w:left w:val="none" w:sz="0" w:space="0" w:color="auto"/>
        <w:bottom w:val="none" w:sz="0" w:space="0" w:color="auto"/>
        <w:right w:val="none" w:sz="0" w:space="0" w:color="auto"/>
      </w:divBdr>
    </w:div>
    <w:div w:id="657808587">
      <w:bodyDiv w:val="1"/>
      <w:marLeft w:val="0"/>
      <w:marRight w:val="0"/>
      <w:marTop w:val="0"/>
      <w:marBottom w:val="0"/>
      <w:divBdr>
        <w:top w:val="none" w:sz="0" w:space="0" w:color="auto"/>
        <w:left w:val="none" w:sz="0" w:space="0" w:color="auto"/>
        <w:bottom w:val="none" w:sz="0" w:space="0" w:color="auto"/>
        <w:right w:val="none" w:sz="0" w:space="0" w:color="auto"/>
      </w:divBdr>
    </w:div>
    <w:div w:id="657851325">
      <w:bodyDiv w:val="1"/>
      <w:marLeft w:val="0"/>
      <w:marRight w:val="0"/>
      <w:marTop w:val="0"/>
      <w:marBottom w:val="0"/>
      <w:divBdr>
        <w:top w:val="none" w:sz="0" w:space="0" w:color="auto"/>
        <w:left w:val="none" w:sz="0" w:space="0" w:color="auto"/>
        <w:bottom w:val="none" w:sz="0" w:space="0" w:color="auto"/>
        <w:right w:val="none" w:sz="0" w:space="0" w:color="auto"/>
      </w:divBdr>
    </w:div>
    <w:div w:id="657882219">
      <w:bodyDiv w:val="1"/>
      <w:marLeft w:val="0"/>
      <w:marRight w:val="0"/>
      <w:marTop w:val="0"/>
      <w:marBottom w:val="0"/>
      <w:divBdr>
        <w:top w:val="none" w:sz="0" w:space="0" w:color="auto"/>
        <w:left w:val="none" w:sz="0" w:space="0" w:color="auto"/>
        <w:bottom w:val="none" w:sz="0" w:space="0" w:color="auto"/>
        <w:right w:val="none" w:sz="0" w:space="0" w:color="auto"/>
      </w:divBdr>
    </w:div>
    <w:div w:id="657924723">
      <w:bodyDiv w:val="1"/>
      <w:marLeft w:val="0"/>
      <w:marRight w:val="0"/>
      <w:marTop w:val="0"/>
      <w:marBottom w:val="0"/>
      <w:divBdr>
        <w:top w:val="none" w:sz="0" w:space="0" w:color="auto"/>
        <w:left w:val="none" w:sz="0" w:space="0" w:color="auto"/>
        <w:bottom w:val="none" w:sz="0" w:space="0" w:color="auto"/>
        <w:right w:val="none" w:sz="0" w:space="0" w:color="auto"/>
      </w:divBdr>
    </w:div>
    <w:div w:id="657996069">
      <w:bodyDiv w:val="1"/>
      <w:marLeft w:val="0"/>
      <w:marRight w:val="0"/>
      <w:marTop w:val="0"/>
      <w:marBottom w:val="0"/>
      <w:divBdr>
        <w:top w:val="none" w:sz="0" w:space="0" w:color="auto"/>
        <w:left w:val="none" w:sz="0" w:space="0" w:color="auto"/>
        <w:bottom w:val="none" w:sz="0" w:space="0" w:color="auto"/>
        <w:right w:val="none" w:sz="0" w:space="0" w:color="auto"/>
      </w:divBdr>
    </w:div>
    <w:div w:id="658073138">
      <w:bodyDiv w:val="1"/>
      <w:marLeft w:val="0"/>
      <w:marRight w:val="0"/>
      <w:marTop w:val="0"/>
      <w:marBottom w:val="0"/>
      <w:divBdr>
        <w:top w:val="none" w:sz="0" w:space="0" w:color="auto"/>
        <w:left w:val="none" w:sz="0" w:space="0" w:color="auto"/>
        <w:bottom w:val="none" w:sz="0" w:space="0" w:color="auto"/>
        <w:right w:val="none" w:sz="0" w:space="0" w:color="auto"/>
      </w:divBdr>
    </w:div>
    <w:div w:id="658120549">
      <w:bodyDiv w:val="1"/>
      <w:marLeft w:val="0"/>
      <w:marRight w:val="0"/>
      <w:marTop w:val="0"/>
      <w:marBottom w:val="0"/>
      <w:divBdr>
        <w:top w:val="none" w:sz="0" w:space="0" w:color="auto"/>
        <w:left w:val="none" w:sz="0" w:space="0" w:color="auto"/>
        <w:bottom w:val="none" w:sz="0" w:space="0" w:color="auto"/>
        <w:right w:val="none" w:sz="0" w:space="0" w:color="auto"/>
      </w:divBdr>
    </w:div>
    <w:div w:id="658120615">
      <w:bodyDiv w:val="1"/>
      <w:marLeft w:val="0"/>
      <w:marRight w:val="0"/>
      <w:marTop w:val="0"/>
      <w:marBottom w:val="0"/>
      <w:divBdr>
        <w:top w:val="none" w:sz="0" w:space="0" w:color="auto"/>
        <w:left w:val="none" w:sz="0" w:space="0" w:color="auto"/>
        <w:bottom w:val="none" w:sz="0" w:space="0" w:color="auto"/>
        <w:right w:val="none" w:sz="0" w:space="0" w:color="auto"/>
      </w:divBdr>
    </w:div>
    <w:div w:id="658266365">
      <w:bodyDiv w:val="1"/>
      <w:marLeft w:val="0"/>
      <w:marRight w:val="0"/>
      <w:marTop w:val="0"/>
      <w:marBottom w:val="0"/>
      <w:divBdr>
        <w:top w:val="none" w:sz="0" w:space="0" w:color="auto"/>
        <w:left w:val="none" w:sz="0" w:space="0" w:color="auto"/>
        <w:bottom w:val="none" w:sz="0" w:space="0" w:color="auto"/>
        <w:right w:val="none" w:sz="0" w:space="0" w:color="auto"/>
      </w:divBdr>
    </w:div>
    <w:div w:id="658311300">
      <w:bodyDiv w:val="1"/>
      <w:marLeft w:val="0"/>
      <w:marRight w:val="0"/>
      <w:marTop w:val="0"/>
      <w:marBottom w:val="0"/>
      <w:divBdr>
        <w:top w:val="none" w:sz="0" w:space="0" w:color="auto"/>
        <w:left w:val="none" w:sz="0" w:space="0" w:color="auto"/>
        <w:bottom w:val="none" w:sz="0" w:space="0" w:color="auto"/>
        <w:right w:val="none" w:sz="0" w:space="0" w:color="auto"/>
      </w:divBdr>
    </w:div>
    <w:div w:id="658457835">
      <w:bodyDiv w:val="1"/>
      <w:marLeft w:val="0"/>
      <w:marRight w:val="0"/>
      <w:marTop w:val="0"/>
      <w:marBottom w:val="0"/>
      <w:divBdr>
        <w:top w:val="none" w:sz="0" w:space="0" w:color="auto"/>
        <w:left w:val="none" w:sz="0" w:space="0" w:color="auto"/>
        <w:bottom w:val="none" w:sz="0" w:space="0" w:color="auto"/>
        <w:right w:val="none" w:sz="0" w:space="0" w:color="auto"/>
      </w:divBdr>
    </w:div>
    <w:div w:id="658505755">
      <w:bodyDiv w:val="1"/>
      <w:marLeft w:val="0"/>
      <w:marRight w:val="0"/>
      <w:marTop w:val="0"/>
      <w:marBottom w:val="0"/>
      <w:divBdr>
        <w:top w:val="none" w:sz="0" w:space="0" w:color="auto"/>
        <w:left w:val="none" w:sz="0" w:space="0" w:color="auto"/>
        <w:bottom w:val="none" w:sz="0" w:space="0" w:color="auto"/>
        <w:right w:val="none" w:sz="0" w:space="0" w:color="auto"/>
      </w:divBdr>
    </w:div>
    <w:div w:id="658577393">
      <w:bodyDiv w:val="1"/>
      <w:marLeft w:val="0"/>
      <w:marRight w:val="0"/>
      <w:marTop w:val="0"/>
      <w:marBottom w:val="0"/>
      <w:divBdr>
        <w:top w:val="none" w:sz="0" w:space="0" w:color="auto"/>
        <w:left w:val="none" w:sz="0" w:space="0" w:color="auto"/>
        <w:bottom w:val="none" w:sz="0" w:space="0" w:color="auto"/>
        <w:right w:val="none" w:sz="0" w:space="0" w:color="auto"/>
      </w:divBdr>
    </w:div>
    <w:div w:id="658769346">
      <w:bodyDiv w:val="1"/>
      <w:marLeft w:val="0"/>
      <w:marRight w:val="0"/>
      <w:marTop w:val="0"/>
      <w:marBottom w:val="0"/>
      <w:divBdr>
        <w:top w:val="none" w:sz="0" w:space="0" w:color="auto"/>
        <w:left w:val="none" w:sz="0" w:space="0" w:color="auto"/>
        <w:bottom w:val="none" w:sz="0" w:space="0" w:color="auto"/>
        <w:right w:val="none" w:sz="0" w:space="0" w:color="auto"/>
      </w:divBdr>
    </w:div>
    <w:div w:id="658773544">
      <w:bodyDiv w:val="1"/>
      <w:marLeft w:val="0"/>
      <w:marRight w:val="0"/>
      <w:marTop w:val="0"/>
      <w:marBottom w:val="0"/>
      <w:divBdr>
        <w:top w:val="none" w:sz="0" w:space="0" w:color="auto"/>
        <w:left w:val="none" w:sz="0" w:space="0" w:color="auto"/>
        <w:bottom w:val="none" w:sz="0" w:space="0" w:color="auto"/>
        <w:right w:val="none" w:sz="0" w:space="0" w:color="auto"/>
      </w:divBdr>
    </w:div>
    <w:div w:id="658921617">
      <w:bodyDiv w:val="1"/>
      <w:marLeft w:val="0"/>
      <w:marRight w:val="0"/>
      <w:marTop w:val="0"/>
      <w:marBottom w:val="0"/>
      <w:divBdr>
        <w:top w:val="none" w:sz="0" w:space="0" w:color="auto"/>
        <w:left w:val="none" w:sz="0" w:space="0" w:color="auto"/>
        <w:bottom w:val="none" w:sz="0" w:space="0" w:color="auto"/>
        <w:right w:val="none" w:sz="0" w:space="0" w:color="auto"/>
      </w:divBdr>
    </w:div>
    <w:div w:id="658965209">
      <w:bodyDiv w:val="1"/>
      <w:marLeft w:val="0"/>
      <w:marRight w:val="0"/>
      <w:marTop w:val="0"/>
      <w:marBottom w:val="0"/>
      <w:divBdr>
        <w:top w:val="none" w:sz="0" w:space="0" w:color="auto"/>
        <w:left w:val="none" w:sz="0" w:space="0" w:color="auto"/>
        <w:bottom w:val="none" w:sz="0" w:space="0" w:color="auto"/>
        <w:right w:val="none" w:sz="0" w:space="0" w:color="auto"/>
      </w:divBdr>
    </w:div>
    <w:div w:id="658969566">
      <w:bodyDiv w:val="1"/>
      <w:marLeft w:val="0"/>
      <w:marRight w:val="0"/>
      <w:marTop w:val="0"/>
      <w:marBottom w:val="0"/>
      <w:divBdr>
        <w:top w:val="none" w:sz="0" w:space="0" w:color="auto"/>
        <w:left w:val="none" w:sz="0" w:space="0" w:color="auto"/>
        <w:bottom w:val="none" w:sz="0" w:space="0" w:color="auto"/>
        <w:right w:val="none" w:sz="0" w:space="0" w:color="auto"/>
      </w:divBdr>
    </w:div>
    <w:div w:id="659038276">
      <w:bodyDiv w:val="1"/>
      <w:marLeft w:val="0"/>
      <w:marRight w:val="0"/>
      <w:marTop w:val="0"/>
      <w:marBottom w:val="0"/>
      <w:divBdr>
        <w:top w:val="none" w:sz="0" w:space="0" w:color="auto"/>
        <w:left w:val="none" w:sz="0" w:space="0" w:color="auto"/>
        <w:bottom w:val="none" w:sz="0" w:space="0" w:color="auto"/>
        <w:right w:val="none" w:sz="0" w:space="0" w:color="auto"/>
      </w:divBdr>
    </w:div>
    <w:div w:id="659116106">
      <w:bodyDiv w:val="1"/>
      <w:marLeft w:val="0"/>
      <w:marRight w:val="0"/>
      <w:marTop w:val="0"/>
      <w:marBottom w:val="0"/>
      <w:divBdr>
        <w:top w:val="none" w:sz="0" w:space="0" w:color="auto"/>
        <w:left w:val="none" w:sz="0" w:space="0" w:color="auto"/>
        <w:bottom w:val="none" w:sz="0" w:space="0" w:color="auto"/>
        <w:right w:val="none" w:sz="0" w:space="0" w:color="auto"/>
      </w:divBdr>
    </w:div>
    <w:div w:id="659120312">
      <w:bodyDiv w:val="1"/>
      <w:marLeft w:val="0"/>
      <w:marRight w:val="0"/>
      <w:marTop w:val="0"/>
      <w:marBottom w:val="0"/>
      <w:divBdr>
        <w:top w:val="none" w:sz="0" w:space="0" w:color="auto"/>
        <w:left w:val="none" w:sz="0" w:space="0" w:color="auto"/>
        <w:bottom w:val="none" w:sz="0" w:space="0" w:color="auto"/>
        <w:right w:val="none" w:sz="0" w:space="0" w:color="auto"/>
      </w:divBdr>
    </w:div>
    <w:div w:id="659163232">
      <w:bodyDiv w:val="1"/>
      <w:marLeft w:val="0"/>
      <w:marRight w:val="0"/>
      <w:marTop w:val="0"/>
      <w:marBottom w:val="0"/>
      <w:divBdr>
        <w:top w:val="none" w:sz="0" w:space="0" w:color="auto"/>
        <w:left w:val="none" w:sz="0" w:space="0" w:color="auto"/>
        <w:bottom w:val="none" w:sz="0" w:space="0" w:color="auto"/>
        <w:right w:val="none" w:sz="0" w:space="0" w:color="auto"/>
      </w:divBdr>
    </w:div>
    <w:div w:id="659625218">
      <w:bodyDiv w:val="1"/>
      <w:marLeft w:val="0"/>
      <w:marRight w:val="0"/>
      <w:marTop w:val="0"/>
      <w:marBottom w:val="0"/>
      <w:divBdr>
        <w:top w:val="none" w:sz="0" w:space="0" w:color="auto"/>
        <w:left w:val="none" w:sz="0" w:space="0" w:color="auto"/>
        <w:bottom w:val="none" w:sz="0" w:space="0" w:color="auto"/>
        <w:right w:val="none" w:sz="0" w:space="0" w:color="auto"/>
      </w:divBdr>
    </w:div>
    <w:div w:id="659650029">
      <w:bodyDiv w:val="1"/>
      <w:marLeft w:val="0"/>
      <w:marRight w:val="0"/>
      <w:marTop w:val="0"/>
      <w:marBottom w:val="0"/>
      <w:divBdr>
        <w:top w:val="none" w:sz="0" w:space="0" w:color="auto"/>
        <w:left w:val="none" w:sz="0" w:space="0" w:color="auto"/>
        <w:bottom w:val="none" w:sz="0" w:space="0" w:color="auto"/>
        <w:right w:val="none" w:sz="0" w:space="0" w:color="auto"/>
      </w:divBdr>
    </w:div>
    <w:div w:id="659845837">
      <w:bodyDiv w:val="1"/>
      <w:marLeft w:val="0"/>
      <w:marRight w:val="0"/>
      <w:marTop w:val="0"/>
      <w:marBottom w:val="0"/>
      <w:divBdr>
        <w:top w:val="none" w:sz="0" w:space="0" w:color="auto"/>
        <w:left w:val="none" w:sz="0" w:space="0" w:color="auto"/>
        <w:bottom w:val="none" w:sz="0" w:space="0" w:color="auto"/>
        <w:right w:val="none" w:sz="0" w:space="0" w:color="auto"/>
      </w:divBdr>
    </w:div>
    <w:div w:id="660277276">
      <w:bodyDiv w:val="1"/>
      <w:marLeft w:val="0"/>
      <w:marRight w:val="0"/>
      <w:marTop w:val="0"/>
      <w:marBottom w:val="0"/>
      <w:divBdr>
        <w:top w:val="none" w:sz="0" w:space="0" w:color="auto"/>
        <w:left w:val="none" w:sz="0" w:space="0" w:color="auto"/>
        <w:bottom w:val="none" w:sz="0" w:space="0" w:color="auto"/>
        <w:right w:val="none" w:sz="0" w:space="0" w:color="auto"/>
      </w:divBdr>
    </w:div>
    <w:div w:id="660542897">
      <w:bodyDiv w:val="1"/>
      <w:marLeft w:val="0"/>
      <w:marRight w:val="0"/>
      <w:marTop w:val="0"/>
      <w:marBottom w:val="0"/>
      <w:divBdr>
        <w:top w:val="none" w:sz="0" w:space="0" w:color="auto"/>
        <w:left w:val="none" w:sz="0" w:space="0" w:color="auto"/>
        <w:bottom w:val="none" w:sz="0" w:space="0" w:color="auto"/>
        <w:right w:val="none" w:sz="0" w:space="0" w:color="auto"/>
      </w:divBdr>
    </w:div>
    <w:div w:id="660549983">
      <w:bodyDiv w:val="1"/>
      <w:marLeft w:val="0"/>
      <w:marRight w:val="0"/>
      <w:marTop w:val="0"/>
      <w:marBottom w:val="0"/>
      <w:divBdr>
        <w:top w:val="none" w:sz="0" w:space="0" w:color="auto"/>
        <w:left w:val="none" w:sz="0" w:space="0" w:color="auto"/>
        <w:bottom w:val="none" w:sz="0" w:space="0" w:color="auto"/>
        <w:right w:val="none" w:sz="0" w:space="0" w:color="auto"/>
      </w:divBdr>
    </w:div>
    <w:div w:id="660812522">
      <w:bodyDiv w:val="1"/>
      <w:marLeft w:val="0"/>
      <w:marRight w:val="0"/>
      <w:marTop w:val="0"/>
      <w:marBottom w:val="0"/>
      <w:divBdr>
        <w:top w:val="none" w:sz="0" w:space="0" w:color="auto"/>
        <w:left w:val="none" w:sz="0" w:space="0" w:color="auto"/>
        <w:bottom w:val="none" w:sz="0" w:space="0" w:color="auto"/>
        <w:right w:val="none" w:sz="0" w:space="0" w:color="auto"/>
      </w:divBdr>
    </w:div>
    <w:div w:id="660815004">
      <w:bodyDiv w:val="1"/>
      <w:marLeft w:val="0"/>
      <w:marRight w:val="0"/>
      <w:marTop w:val="0"/>
      <w:marBottom w:val="0"/>
      <w:divBdr>
        <w:top w:val="none" w:sz="0" w:space="0" w:color="auto"/>
        <w:left w:val="none" w:sz="0" w:space="0" w:color="auto"/>
        <w:bottom w:val="none" w:sz="0" w:space="0" w:color="auto"/>
        <w:right w:val="none" w:sz="0" w:space="0" w:color="auto"/>
      </w:divBdr>
    </w:div>
    <w:div w:id="660889098">
      <w:bodyDiv w:val="1"/>
      <w:marLeft w:val="0"/>
      <w:marRight w:val="0"/>
      <w:marTop w:val="0"/>
      <w:marBottom w:val="0"/>
      <w:divBdr>
        <w:top w:val="none" w:sz="0" w:space="0" w:color="auto"/>
        <w:left w:val="none" w:sz="0" w:space="0" w:color="auto"/>
        <w:bottom w:val="none" w:sz="0" w:space="0" w:color="auto"/>
        <w:right w:val="none" w:sz="0" w:space="0" w:color="auto"/>
      </w:divBdr>
    </w:div>
    <w:div w:id="660961324">
      <w:bodyDiv w:val="1"/>
      <w:marLeft w:val="0"/>
      <w:marRight w:val="0"/>
      <w:marTop w:val="0"/>
      <w:marBottom w:val="0"/>
      <w:divBdr>
        <w:top w:val="none" w:sz="0" w:space="0" w:color="auto"/>
        <w:left w:val="none" w:sz="0" w:space="0" w:color="auto"/>
        <w:bottom w:val="none" w:sz="0" w:space="0" w:color="auto"/>
        <w:right w:val="none" w:sz="0" w:space="0" w:color="auto"/>
      </w:divBdr>
    </w:div>
    <w:div w:id="661007516">
      <w:bodyDiv w:val="1"/>
      <w:marLeft w:val="0"/>
      <w:marRight w:val="0"/>
      <w:marTop w:val="0"/>
      <w:marBottom w:val="0"/>
      <w:divBdr>
        <w:top w:val="none" w:sz="0" w:space="0" w:color="auto"/>
        <w:left w:val="none" w:sz="0" w:space="0" w:color="auto"/>
        <w:bottom w:val="none" w:sz="0" w:space="0" w:color="auto"/>
        <w:right w:val="none" w:sz="0" w:space="0" w:color="auto"/>
      </w:divBdr>
    </w:div>
    <w:div w:id="661007963">
      <w:bodyDiv w:val="1"/>
      <w:marLeft w:val="0"/>
      <w:marRight w:val="0"/>
      <w:marTop w:val="0"/>
      <w:marBottom w:val="0"/>
      <w:divBdr>
        <w:top w:val="none" w:sz="0" w:space="0" w:color="auto"/>
        <w:left w:val="none" w:sz="0" w:space="0" w:color="auto"/>
        <w:bottom w:val="none" w:sz="0" w:space="0" w:color="auto"/>
        <w:right w:val="none" w:sz="0" w:space="0" w:color="auto"/>
      </w:divBdr>
    </w:div>
    <w:div w:id="661085080">
      <w:bodyDiv w:val="1"/>
      <w:marLeft w:val="0"/>
      <w:marRight w:val="0"/>
      <w:marTop w:val="0"/>
      <w:marBottom w:val="0"/>
      <w:divBdr>
        <w:top w:val="none" w:sz="0" w:space="0" w:color="auto"/>
        <w:left w:val="none" w:sz="0" w:space="0" w:color="auto"/>
        <w:bottom w:val="none" w:sz="0" w:space="0" w:color="auto"/>
        <w:right w:val="none" w:sz="0" w:space="0" w:color="auto"/>
      </w:divBdr>
    </w:div>
    <w:div w:id="661275504">
      <w:bodyDiv w:val="1"/>
      <w:marLeft w:val="0"/>
      <w:marRight w:val="0"/>
      <w:marTop w:val="0"/>
      <w:marBottom w:val="0"/>
      <w:divBdr>
        <w:top w:val="none" w:sz="0" w:space="0" w:color="auto"/>
        <w:left w:val="none" w:sz="0" w:space="0" w:color="auto"/>
        <w:bottom w:val="none" w:sz="0" w:space="0" w:color="auto"/>
        <w:right w:val="none" w:sz="0" w:space="0" w:color="auto"/>
      </w:divBdr>
    </w:div>
    <w:div w:id="661389864">
      <w:bodyDiv w:val="1"/>
      <w:marLeft w:val="0"/>
      <w:marRight w:val="0"/>
      <w:marTop w:val="0"/>
      <w:marBottom w:val="0"/>
      <w:divBdr>
        <w:top w:val="none" w:sz="0" w:space="0" w:color="auto"/>
        <w:left w:val="none" w:sz="0" w:space="0" w:color="auto"/>
        <w:bottom w:val="none" w:sz="0" w:space="0" w:color="auto"/>
        <w:right w:val="none" w:sz="0" w:space="0" w:color="auto"/>
      </w:divBdr>
    </w:div>
    <w:div w:id="661742225">
      <w:bodyDiv w:val="1"/>
      <w:marLeft w:val="0"/>
      <w:marRight w:val="0"/>
      <w:marTop w:val="0"/>
      <w:marBottom w:val="0"/>
      <w:divBdr>
        <w:top w:val="none" w:sz="0" w:space="0" w:color="auto"/>
        <w:left w:val="none" w:sz="0" w:space="0" w:color="auto"/>
        <w:bottom w:val="none" w:sz="0" w:space="0" w:color="auto"/>
        <w:right w:val="none" w:sz="0" w:space="0" w:color="auto"/>
      </w:divBdr>
    </w:div>
    <w:div w:id="662003587">
      <w:bodyDiv w:val="1"/>
      <w:marLeft w:val="0"/>
      <w:marRight w:val="0"/>
      <w:marTop w:val="0"/>
      <w:marBottom w:val="0"/>
      <w:divBdr>
        <w:top w:val="none" w:sz="0" w:space="0" w:color="auto"/>
        <w:left w:val="none" w:sz="0" w:space="0" w:color="auto"/>
        <w:bottom w:val="none" w:sz="0" w:space="0" w:color="auto"/>
        <w:right w:val="none" w:sz="0" w:space="0" w:color="auto"/>
      </w:divBdr>
    </w:div>
    <w:div w:id="662004109">
      <w:bodyDiv w:val="1"/>
      <w:marLeft w:val="0"/>
      <w:marRight w:val="0"/>
      <w:marTop w:val="0"/>
      <w:marBottom w:val="0"/>
      <w:divBdr>
        <w:top w:val="none" w:sz="0" w:space="0" w:color="auto"/>
        <w:left w:val="none" w:sz="0" w:space="0" w:color="auto"/>
        <w:bottom w:val="none" w:sz="0" w:space="0" w:color="auto"/>
        <w:right w:val="none" w:sz="0" w:space="0" w:color="auto"/>
      </w:divBdr>
    </w:div>
    <w:div w:id="662121394">
      <w:bodyDiv w:val="1"/>
      <w:marLeft w:val="0"/>
      <w:marRight w:val="0"/>
      <w:marTop w:val="0"/>
      <w:marBottom w:val="0"/>
      <w:divBdr>
        <w:top w:val="none" w:sz="0" w:space="0" w:color="auto"/>
        <w:left w:val="none" w:sz="0" w:space="0" w:color="auto"/>
        <w:bottom w:val="none" w:sz="0" w:space="0" w:color="auto"/>
        <w:right w:val="none" w:sz="0" w:space="0" w:color="auto"/>
      </w:divBdr>
    </w:div>
    <w:div w:id="662126573">
      <w:bodyDiv w:val="1"/>
      <w:marLeft w:val="0"/>
      <w:marRight w:val="0"/>
      <w:marTop w:val="0"/>
      <w:marBottom w:val="0"/>
      <w:divBdr>
        <w:top w:val="none" w:sz="0" w:space="0" w:color="auto"/>
        <w:left w:val="none" w:sz="0" w:space="0" w:color="auto"/>
        <w:bottom w:val="none" w:sz="0" w:space="0" w:color="auto"/>
        <w:right w:val="none" w:sz="0" w:space="0" w:color="auto"/>
      </w:divBdr>
    </w:div>
    <w:div w:id="662200795">
      <w:bodyDiv w:val="1"/>
      <w:marLeft w:val="0"/>
      <w:marRight w:val="0"/>
      <w:marTop w:val="0"/>
      <w:marBottom w:val="0"/>
      <w:divBdr>
        <w:top w:val="none" w:sz="0" w:space="0" w:color="auto"/>
        <w:left w:val="none" w:sz="0" w:space="0" w:color="auto"/>
        <w:bottom w:val="none" w:sz="0" w:space="0" w:color="auto"/>
        <w:right w:val="none" w:sz="0" w:space="0" w:color="auto"/>
      </w:divBdr>
    </w:div>
    <w:div w:id="662321759">
      <w:bodyDiv w:val="1"/>
      <w:marLeft w:val="0"/>
      <w:marRight w:val="0"/>
      <w:marTop w:val="0"/>
      <w:marBottom w:val="0"/>
      <w:divBdr>
        <w:top w:val="none" w:sz="0" w:space="0" w:color="auto"/>
        <w:left w:val="none" w:sz="0" w:space="0" w:color="auto"/>
        <w:bottom w:val="none" w:sz="0" w:space="0" w:color="auto"/>
        <w:right w:val="none" w:sz="0" w:space="0" w:color="auto"/>
      </w:divBdr>
    </w:div>
    <w:div w:id="662441197">
      <w:bodyDiv w:val="1"/>
      <w:marLeft w:val="0"/>
      <w:marRight w:val="0"/>
      <w:marTop w:val="0"/>
      <w:marBottom w:val="0"/>
      <w:divBdr>
        <w:top w:val="none" w:sz="0" w:space="0" w:color="auto"/>
        <w:left w:val="none" w:sz="0" w:space="0" w:color="auto"/>
        <w:bottom w:val="none" w:sz="0" w:space="0" w:color="auto"/>
        <w:right w:val="none" w:sz="0" w:space="0" w:color="auto"/>
      </w:divBdr>
    </w:div>
    <w:div w:id="662512882">
      <w:bodyDiv w:val="1"/>
      <w:marLeft w:val="0"/>
      <w:marRight w:val="0"/>
      <w:marTop w:val="0"/>
      <w:marBottom w:val="0"/>
      <w:divBdr>
        <w:top w:val="none" w:sz="0" w:space="0" w:color="auto"/>
        <w:left w:val="none" w:sz="0" w:space="0" w:color="auto"/>
        <w:bottom w:val="none" w:sz="0" w:space="0" w:color="auto"/>
        <w:right w:val="none" w:sz="0" w:space="0" w:color="auto"/>
      </w:divBdr>
    </w:div>
    <w:div w:id="662657784">
      <w:bodyDiv w:val="1"/>
      <w:marLeft w:val="0"/>
      <w:marRight w:val="0"/>
      <w:marTop w:val="0"/>
      <w:marBottom w:val="0"/>
      <w:divBdr>
        <w:top w:val="none" w:sz="0" w:space="0" w:color="auto"/>
        <w:left w:val="none" w:sz="0" w:space="0" w:color="auto"/>
        <w:bottom w:val="none" w:sz="0" w:space="0" w:color="auto"/>
        <w:right w:val="none" w:sz="0" w:space="0" w:color="auto"/>
      </w:divBdr>
    </w:div>
    <w:div w:id="662976304">
      <w:bodyDiv w:val="1"/>
      <w:marLeft w:val="0"/>
      <w:marRight w:val="0"/>
      <w:marTop w:val="0"/>
      <w:marBottom w:val="0"/>
      <w:divBdr>
        <w:top w:val="none" w:sz="0" w:space="0" w:color="auto"/>
        <w:left w:val="none" w:sz="0" w:space="0" w:color="auto"/>
        <w:bottom w:val="none" w:sz="0" w:space="0" w:color="auto"/>
        <w:right w:val="none" w:sz="0" w:space="0" w:color="auto"/>
      </w:divBdr>
    </w:div>
    <w:div w:id="663093740">
      <w:bodyDiv w:val="1"/>
      <w:marLeft w:val="0"/>
      <w:marRight w:val="0"/>
      <w:marTop w:val="0"/>
      <w:marBottom w:val="0"/>
      <w:divBdr>
        <w:top w:val="none" w:sz="0" w:space="0" w:color="auto"/>
        <w:left w:val="none" w:sz="0" w:space="0" w:color="auto"/>
        <w:bottom w:val="none" w:sz="0" w:space="0" w:color="auto"/>
        <w:right w:val="none" w:sz="0" w:space="0" w:color="auto"/>
      </w:divBdr>
    </w:div>
    <w:div w:id="663431222">
      <w:bodyDiv w:val="1"/>
      <w:marLeft w:val="0"/>
      <w:marRight w:val="0"/>
      <w:marTop w:val="0"/>
      <w:marBottom w:val="0"/>
      <w:divBdr>
        <w:top w:val="none" w:sz="0" w:space="0" w:color="auto"/>
        <w:left w:val="none" w:sz="0" w:space="0" w:color="auto"/>
        <w:bottom w:val="none" w:sz="0" w:space="0" w:color="auto"/>
        <w:right w:val="none" w:sz="0" w:space="0" w:color="auto"/>
      </w:divBdr>
    </w:div>
    <w:div w:id="663699709">
      <w:bodyDiv w:val="1"/>
      <w:marLeft w:val="0"/>
      <w:marRight w:val="0"/>
      <w:marTop w:val="0"/>
      <w:marBottom w:val="0"/>
      <w:divBdr>
        <w:top w:val="none" w:sz="0" w:space="0" w:color="auto"/>
        <w:left w:val="none" w:sz="0" w:space="0" w:color="auto"/>
        <w:bottom w:val="none" w:sz="0" w:space="0" w:color="auto"/>
        <w:right w:val="none" w:sz="0" w:space="0" w:color="auto"/>
      </w:divBdr>
    </w:div>
    <w:div w:id="663702490">
      <w:bodyDiv w:val="1"/>
      <w:marLeft w:val="0"/>
      <w:marRight w:val="0"/>
      <w:marTop w:val="0"/>
      <w:marBottom w:val="0"/>
      <w:divBdr>
        <w:top w:val="none" w:sz="0" w:space="0" w:color="auto"/>
        <w:left w:val="none" w:sz="0" w:space="0" w:color="auto"/>
        <w:bottom w:val="none" w:sz="0" w:space="0" w:color="auto"/>
        <w:right w:val="none" w:sz="0" w:space="0" w:color="auto"/>
      </w:divBdr>
    </w:div>
    <w:div w:id="663705711">
      <w:bodyDiv w:val="1"/>
      <w:marLeft w:val="0"/>
      <w:marRight w:val="0"/>
      <w:marTop w:val="0"/>
      <w:marBottom w:val="0"/>
      <w:divBdr>
        <w:top w:val="none" w:sz="0" w:space="0" w:color="auto"/>
        <w:left w:val="none" w:sz="0" w:space="0" w:color="auto"/>
        <w:bottom w:val="none" w:sz="0" w:space="0" w:color="auto"/>
        <w:right w:val="none" w:sz="0" w:space="0" w:color="auto"/>
      </w:divBdr>
    </w:div>
    <w:div w:id="663898157">
      <w:bodyDiv w:val="1"/>
      <w:marLeft w:val="0"/>
      <w:marRight w:val="0"/>
      <w:marTop w:val="0"/>
      <w:marBottom w:val="0"/>
      <w:divBdr>
        <w:top w:val="none" w:sz="0" w:space="0" w:color="auto"/>
        <w:left w:val="none" w:sz="0" w:space="0" w:color="auto"/>
        <w:bottom w:val="none" w:sz="0" w:space="0" w:color="auto"/>
        <w:right w:val="none" w:sz="0" w:space="0" w:color="auto"/>
      </w:divBdr>
    </w:div>
    <w:div w:id="663972322">
      <w:bodyDiv w:val="1"/>
      <w:marLeft w:val="0"/>
      <w:marRight w:val="0"/>
      <w:marTop w:val="0"/>
      <w:marBottom w:val="0"/>
      <w:divBdr>
        <w:top w:val="none" w:sz="0" w:space="0" w:color="auto"/>
        <w:left w:val="none" w:sz="0" w:space="0" w:color="auto"/>
        <w:bottom w:val="none" w:sz="0" w:space="0" w:color="auto"/>
        <w:right w:val="none" w:sz="0" w:space="0" w:color="auto"/>
      </w:divBdr>
    </w:div>
    <w:div w:id="663973445">
      <w:bodyDiv w:val="1"/>
      <w:marLeft w:val="0"/>
      <w:marRight w:val="0"/>
      <w:marTop w:val="0"/>
      <w:marBottom w:val="0"/>
      <w:divBdr>
        <w:top w:val="none" w:sz="0" w:space="0" w:color="auto"/>
        <w:left w:val="none" w:sz="0" w:space="0" w:color="auto"/>
        <w:bottom w:val="none" w:sz="0" w:space="0" w:color="auto"/>
        <w:right w:val="none" w:sz="0" w:space="0" w:color="auto"/>
      </w:divBdr>
    </w:div>
    <w:div w:id="664208731">
      <w:bodyDiv w:val="1"/>
      <w:marLeft w:val="0"/>
      <w:marRight w:val="0"/>
      <w:marTop w:val="0"/>
      <w:marBottom w:val="0"/>
      <w:divBdr>
        <w:top w:val="none" w:sz="0" w:space="0" w:color="auto"/>
        <w:left w:val="none" w:sz="0" w:space="0" w:color="auto"/>
        <w:bottom w:val="none" w:sz="0" w:space="0" w:color="auto"/>
        <w:right w:val="none" w:sz="0" w:space="0" w:color="auto"/>
      </w:divBdr>
    </w:div>
    <w:div w:id="664285212">
      <w:bodyDiv w:val="1"/>
      <w:marLeft w:val="0"/>
      <w:marRight w:val="0"/>
      <w:marTop w:val="0"/>
      <w:marBottom w:val="0"/>
      <w:divBdr>
        <w:top w:val="none" w:sz="0" w:space="0" w:color="auto"/>
        <w:left w:val="none" w:sz="0" w:space="0" w:color="auto"/>
        <w:bottom w:val="none" w:sz="0" w:space="0" w:color="auto"/>
        <w:right w:val="none" w:sz="0" w:space="0" w:color="auto"/>
      </w:divBdr>
    </w:div>
    <w:div w:id="664287123">
      <w:bodyDiv w:val="1"/>
      <w:marLeft w:val="0"/>
      <w:marRight w:val="0"/>
      <w:marTop w:val="0"/>
      <w:marBottom w:val="0"/>
      <w:divBdr>
        <w:top w:val="none" w:sz="0" w:space="0" w:color="auto"/>
        <w:left w:val="none" w:sz="0" w:space="0" w:color="auto"/>
        <w:bottom w:val="none" w:sz="0" w:space="0" w:color="auto"/>
        <w:right w:val="none" w:sz="0" w:space="0" w:color="auto"/>
      </w:divBdr>
    </w:div>
    <w:div w:id="664404538">
      <w:bodyDiv w:val="1"/>
      <w:marLeft w:val="0"/>
      <w:marRight w:val="0"/>
      <w:marTop w:val="0"/>
      <w:marBottom w:val="0"/>
      <w:divBdr>
        <w:top w:val="none" w:sz="0" w:space="0" w:color="auto"/>
        <w:left w:val="none" w:sz="0" w:space="0" w:color="auto"/>
        <w:bottom w:val="none" w:sz="0" w:space="0" w:color="auto"/>
        <w:right w:val="none" w:sz="0" w:space="0" w:color="auto"/>
      </w:divBdr>
    </w:div>
    <w:div w:id="664480422">
      <w:bodyDiv w:val="1"/>
      <w:marLeft w:val="0"/>
      <w:marRight w:val="0"/>
      <w:marTop w:val="0"/>
      <w:marBottom w:val="0"/>
      <w:divBdr>
        <w:top w:val="none" w:sz="0" w:space="0" w:color="auto"/>
        <w:left w:val="none" w:sz="0" w:space="0" w:color="auto"/>
        <w:bottom w:val="none" w:sz="0" w:space="0" w:color="auto"/>
        <w:right w:val="none" w:sz="0" w:space="0" w:color="auto"/>
      </w:divBdr>
    </w:div>
    <w:div w:id="664550010">
      <w:bodyDiv w:val="1"/>
      <w:marLeft w:val="0"/>
      <w:marRight w:val="0"/>
      <w:marTop w:val="0"/>
      <w:marBottom w:val="0"/>
      <w:divBdr>
        <w:top w:val="none" w:sz="0" w:space="0" w:color="auto"/>
        <w:left w:val="none" w:sz="0" w:space="0" w:color="auto"/>
        <w:bottom w:val="none" w:sz="0" w:space="0" w:color="auto"/>
        <w:right w:val="none" w:sz="0" w:space="0" w:color="auto"/>
      </w:divBdr>
    </w:div>
    <w:div w:id="664551086">
      <w:bodyDiv w:val="1"/>
      <w:marLeft w:val="0"/>
      <w:marRight w:val="0"/>
      <w:marTop w:val="0"/>
      <w:marBottom w:val="0"/>
      <w:divBdr>
        <w:top w:val="none" w:sz="0" w:space="0" w:color="auto"/>
        <w:left w:val="none" w:sz="0" w:space="0" w:color="auto"/>
        <w:bottom w:val="none" w:sz="0" w:space="0" w:color="auto"/>
        <w:right w:val="none" w:sz="0" w:space="0" w:color="auto"/>
      </w:divBdr>
    </w:div>
    <w:div w:id="664748766">
      <w:bodyDiv w:val="1"/>
      <w:marLeft w:val="0"/>
      <w:marRight w:val="0"/>
      <w:marTop w:val="0"/>
      <w:marBottom w:val="0"/>
      <w:divBdr>
        <w:top w:val="none" w:sz="0" w:space="0" w:color="auto"/>
        <w:left w:val="none" w:sz="0" w:space="0" w:color="auto"/>
        <w:bottom w:val="none" w:sz="0" w:space="0" w:color="auto"/>
        <w:right w:val="none" w:sz="0" w:space="0" w:color="auto"/>
      </w:divBdr>
    </w:div>
    <w:div w:id="664823185">
      <w:bodyDiv w:val="1"/>
      <w:marLeft w:val="0"/>
      <w:marRight w:val="0"/>
      <w:marTop w:val="0"/>
      <w:marBottom w:val="0"/>
      <w:divBdr>
        <w:top w:val="none" w:sz="0" w:space="0" w:color="auto"/>
        <w:left w:val="none" w:sz="0" w:space="0" w:color="auto"/>
        <w:bottom w:val="none" w:sz="0" w:space="0" w:color="auto"/>
        <w:right w:val="none" w:sz="0" w:space="0" w:color="auto"/>
      </w:divBdr>
    </w:div>
    <w:div w:id="664863316">
      <w:bodyDiv w:val="1"/>
      <w:marLeft w:val="0"/>
      <w:marRight w:val="0"/>
      <w:marTop w:val="0"/>
      <w:marBottom w:val="0"/>
      <w:divBdr>
        <w:top w:val="none" w:sz="0" w:space="0" w:color="auto"/>
        <w:left w:val="none" w:sz="0" w:space="0" w:color="auto"/>
        <w:bottom w:val="none" w:sz="0" w:space="0" w:color="auto"/>
        <w:right w:val="none" w:sz="0" w:space="0" w:color="auto"/>
      </w:divBdr>
    </w:div>
    <w:div w:id="664937889">
      <w:bodyDiv w:val="1"/>
      <w:marLeft w:val="0"/>
      <w:marRight w:val="0"/>
      <w:marTop w:val="0"/>
      <w:marBottom w:val="0"/>
      <w:divBdr>
        <w:top w:val="none" w:sz="0" w:space="0" w:color="auto"/>
        <w:left w:val="none" w:sz="0" w:space="0" w:color="auto"/>
        <w:bottom w:val="none" w:sz="0" w:space="0" w:color="auto"/>
        <w:right w:val="none" w:sz="0" w:space="0" w:color="auto"/>
      </w:divBdr>
    </w:div>
    <w:div w:id="665279472">
      <w:bodyDiv w:val="1"/>
      <w:marLeft w:val="0"/>
      <w:marRight w:val="0"/>
      <w:marTop w:val="0"/>
      <w:marBottom w:val="0"/>
      <w:divBdr>
        <w:top w:val="none" w:sz="0" w:space="0" w:color="auto"/>
        <w:left w:val="none" w:sz="0" w:space="0" w:color="auto"/>
        <w:bottom w:val="none" w:sz="0" w:space="0" w:color="auto"/>
        <w:right w:val="none" w:sz="0" w:space="0" w:color="auto"/>
      </w:divBdr>
    </w:div>
    <w:div w:id="665330909">
      <w:bodyDiv w:val="1"/>
      <w:marLeft w:val="0"/>
      <w:marRight w:val="0"/>
      <w:marTop w:val="0"/>
      <w:marBottom w:val="0"/>
      <w:divBdr>
        <w:top w:val="none" w:sz="0" w:space="0" w:color="auto"/>
        <w:left w:val="none" w:sz="0" w:space="0" w:color="auto"/>
        <w:bottom w:val="none" w:sz="0" w:space="0" w:color="auto"/>
        <w:right w:val="none" w:sz="0" w:space="0" w:color="auto"/>
      </w:divBdr>
    </w:div>
    <w:div w:id="665589907">
      <w:bodyDiv w:val="1"/>
      <w:marLeft w:val="0"/>
      <w:marRight w:val="0"/>
      <w:marTop w:val="0"/>
      <w:marBottom w:val="0"/>
      <w:divBdr>
        <w:top w:val="none" w:sz="0" w:space="0" w:color="auto"/>
        <w:left w:val="none" w:sz="0" w:space="0" w:color="auto"/>
        <w:bottom w:val="none" w:sz="0" w:space="0" w:color="auto"/>
        <w:right w:val="none" w:sz="0" w:space="0" w:color="auto"/>
      </w:divBdr>
    </w:div>
    <w:div w:id="665599676">
      <w:bodyDiv w:val="1"/>
      <w:marLeft w:val="0"/>
      <w:marRight w:val="0"/>
      <w:marTop w:val="0"/>
      <w:marBottom w:val="0"/>
      <w:divBdr>
        <w:top w:val="none" w:sz="0" w:space="0" w:color="auto"/>
        <w:left w:val="none" w:sz="0" w:space="0" w:color="auto"/>
        <w:bottom w:val="none" w:sz="0" w:space="0" w:color="auto"/>
        <w:right w:val="none" w:sz="0" w:space="0" w:color="auto"/>
      </w:divBdr>
    </w:div>
    <w:div w:id="665673519">
      <w:bodyDiv w:val="1"/>
      <w:marLeft w:val="0"/>
      <w:marRight w:val="0"/>
      <w:marTop w:val="0"/>
      <w:marBottom w:val="0"/>
      <w:divBdr>
        <w:top w:val="none" w:sz="0" w:space="0" w:color="auto"/>
        <w:left w:val="none" w:sz="0" w:space="0" w:color="auto"/>
        <w:bottom w:val="none" w:sz="0" w:space="0" w:color="auto"/>
        <w:right w:val="none" w:sz="0" w:space="0" w:color="auto"/>
      </w:divBdr>
    </w:div>
    <w:div w:id="665935256">
      <w:bodyDiv w:val="1"/>
      <w:marLeft w:val="0"/>
      <w:marRight w:val="0"/>
      <w:marTop w:val="0"/>
      <w:marBottom w:val="0"/>
      <w:divBdr>
        <w:top w:val="none" w:sz="0" w:space="0" w:color="auto"/>
        <w:left w:val="none" w:sz="0" w:space="0" w:color="auto"/>
        <w:bottom w:val="none" w:sz="0" w:space="0" w:color="auto"/>
        <w:right w:val="none" w:sz="0" w:space="0" w:color="auto"/>
      </w:divBdr>
    </w:div>
    <w:div w:id="666052734">
      <w:bodyDiv w:val="1"/>
      <w:marLeft w:val="0"/>
      <w:marRight w:val="0"/>
      <w:marTop w:val="0"/>
      <w:marBottom w:val="0"/>
      <w:divBdr>
        <w:top w:val="none" w:sz="0" w:space="0" w:color="auto"/>
        <w:left w:val="none" w:sz="0" w:space="0" w:color="auto"/>
        <w:bottom w:val="none" w:sz="0" w:space="0" w:color="auto"/>
        <w:right w:val="none" w:sz="0" w:space="0" w:color="auto"/>
      </w:divBdr>
    </w:div>
    <w:div w:id="666438552">
      <w:bodyDiv w:val="1"/>
      <w:marLeft w:val="0"/>
      <w:marRight w:val="0"/>
      <w:marTop w:val="0"/>
      <w:marBottom w:val="0"/>
      <w:divBdr>
        <w:top w:val="none" w:sz="0" w:space="0" w:color="auto"/>
        <w:left w:val="none" w:sz="0" w:space="0" w:color="auto"/>
        <w:bottom w:val="none" w:sz="0" w:space="0" w:color="auto"/>
        <w:right w:val="none" w:sz="0" w:space="0" w:color="auto"/>
      </w:divBdr>
    </w:div>
    <w:div w:id="666515487">
      <w:bodyDiv w:val="1"/>
      <w:marLeft w:val="0"/>
      <w:marRight w:val="0"/>
      <w:marTop w:val="0"/>
      <w:marBottom w:val="0"/>
      <w:divBdr>
        <w:top w:val="none" w:sz="0" w:space="0" w:color="auto"/>
        <w:left w:val="none" w:sz="0" w:space="0" w:color="auto"/>
        <w:bottom w:val="none" w:sz="0" w:space="0" w:color="auto"/>
        <w:right w:val="none" w:sz="0" w:space="0" w:color="auto"/>
      </w:divBdr>
    </w:div>
    <w:div w:id="666589599">
      <w:bodyDiv w:val="1"/>
      <w:marLeft w:val="0"/>
      <w:marRight w:val="0"/>
      <w:marTop w:val="0"/>
      <w:marBottom w:val="0"/>
      <w:divBdr>
        <w:top w:val="none" w:sz="0" w:space="0" w:color="auto"/>
        <w:left w:val="none" w:sz="0" w:space="0" w:color="auto"/>
        <w:bottom w:val="none" w:sz="0" w:space="0" w:color="auto"/>
        <w:right w:val="none" w:sz="0" w:space="0" w:color="auto"/>
      </w:divBdr>
    </w:div>
    <w:div w:id="666633198">
      <w:bodyDiv w:val="1"/>
      <w:marLeft w:val="0"/>
      <w:marRight w:val="0"/>
      <w:marTop w:val="0"/>
      <w:marBottom w:val="0"/>
      <w:divBdr>
        <w:top w:val="none" w:sz="0" w:space="0" w:color="auto"/>
        <w:left w:val="none" w:sz="0" w:space="0" w:color="auto"/>
        <w:bottom w:val="none" w:sz="0" w:space="0" w:color="auto"/>
        <w:right w:val="none" w:sz="0" w:space="0" w:color="auto"/>
      </w:divBdr>
    </w:div>
    <w:div w:id="666637435">
      <w:bodyDiv w:val="1"/>
      <w:marLeft w:val="0"/>
      <w:marRight w:val="0"/>
      <w:marTop w:val="0"/>
      <w:marBottom w:val="0"/>
      <w:divBdr>
        <w:top w:val="none" w:sz="0" w:space="0" w:color="auto"/>
        <w:left w:val="none" w:sz="0" w:space="0" w:color="auto"/>
        <w:bottom w:val="none" w:sz="0" w:space="0" w:color="auto"/>
        <w:right w:val="none" w:sz="0" w:space="0" w:color="auto"/>
      </w:divBdr>
    </w:div>
    <w:div w:id="666638314">
      <w:bodyDiv w:val="1"/>
      <w:marLeft w:val="0"/>
      <w:marRight w:val="0"/>
      <w:marTop w:val="0"/>
      <w:marBottom w:val="0"/>
      <w:divBdr>
        <w:top w:val="none" w:sz="0" w:space="0" w:color="auto"/>
        <w:left w:val="none" w:sz="0" w:space="0" w:color="auto"/>
        <w:bottom w:val="none" w:sz="0" w:space="0" w:color="auto"/>
        <w:right w:val="none" w:sz="0" w:space="0" w:color="auto"/>
      </w:divBdr>
    </w:div>
    <w:div w:id="666664930">
      <w:bodyDiv w:val="1"/>
      <w:marLeft w:val="0"/>
      <w:marRight w:val="0"/>
      <w:marTop w:val="0"/>
      <w:marBottom w:val="0"/>
      <w:divBdr>
        <w:top w:val="none" w:sz="0" w:space="0" w:color="auto"/>
        <w:left w:val="none" w:sz="0" w:space="0" w:color="auto"/>
        <w:bottom w:val="none" w:sz="0" w:space="0" w:color="auto"/>
        <w:right w:val="none" w:sz="0" w:space="0" w:color="auto"/>
      </w:divBdr>
    </w:div>
    <w:div w:id="666788031">
      <w:bodyDiv w:val="1"/>
      <w:marLeft w:val="0"/>
      <w:marRight w:val="0"/>
      <w:marTop w:val="0"/>
      <w:marBottom w:val="0"/>
      <w:divBdr>
        <w:top w:val="none" w:sz="0" w:space="0" w:color="auto"/>
        <w:left w:val="none" w:sz="0" w:space="0" w:color="auto"/>
        <w:bottom w:val="none" w:sz="0" w:space="0" w:color="auto"/>
        <w:right w:val="none" w:sz="0" w:space="0" w:color="auto"/>
      </w:divBdr>
    </w:div>
    <w:div w:id="666831841">
      <w:bodyDiv w:val="1"/>
      <w:marLeft w:val="0"/>
      <w:marRight w:val="0"/>
      <w:marTop w:val="0"/>
      <w:marBottom w:val="0"/>
      <w:divBdr>
        <w:top w:val="none" w:sz="0" w:space="0" w:color="auto"/>
        <w:left w:val="none" w:sz="0" w:space="0" w:color="auto"/>
        <w:bottom w:val="none" w:sz="0" w:space="0" w:color="auto"/>
        <w:right w:val="none" w:sz="0" w:space="0" w:color="auto"/>
      </w:divBdr>
    </w:div>
    <w:div w:id="666976793">
      <w:bodyDiv w:val="1"/>
      <w:marLeft w:val="0"/>
      <w:marRight w:val="0"/>
      <w:marTop w:val="0"/>
      <w:marBottom w:val="0"/>
      <w:divBdr>
        <w:top w:val="none" w:sz="0" w:space="0" w:color="auto"/>
        <w:left w:val="none" w:sz="0" w:space="0" w:color="auto"/>
        <w:bottom w:val="none" w:sz="0" w:space="0" w:color="auto"/>
        <w:right w:val="none" w:sz="0" w:space="0" w:color="auto"/>
      </w:divBdr>
    </w:div>
    <w:div w:id="667249313">
      <w:bodyDiv w:val="1"/>
      <w:marLeft w:val="0"/>
      <w:marRight w:val="0"/>
      <w:marTop w:val="0"/>
      <w:marBottom w:val="0"/>
      <w:divBdr>
        <w:top w:val="none" w:sz="0" w:space="0" w:color="auto"/>
        <w:left w:val="none" w:sz="0" w:space="0" w:color="auto"/>
        <w:bottom w:val="none" w:sz="0" w:space="0" w:color="auto"/>
        <w:right w:val="none" w:sz="0" w:space="0" w:color="auto"/>
      </w:divBdr>
    </w:div>
    <w:div w:id="667253530">
      <w:bodyDiv w:val="1"/>
      <w:marLeft w:val="0"/>
      <w:marRight w:val="0"/>
      <w:marTop w:val="0"/>
      <w:marBottom w:val="0"/>
      <w:divBdr>
        <w:top w:val="none" w:sz="0" w:space="0" w:color="auto"/>
        <w:left w:val="none" w:sz="0" w:space="0" w:color="auto"/>
        <w:bottom w:val="none" w:sz="0" w:space="0" w:color="auto"/>
        <w:right w:val="none" w:sz="0" w:space="0" w:color="auto"/>
      </w:divBdr>
    </w:div>
    <w:div w:id="667441639">
      <w:bodyDiv w:val="1"/>
      <w:marLeft w:val="0"/>
      <w:marRight w:val="0"/>
      <w:marTop w:val="0"/>
      <w:marBottom w:val="0"/>
      <w:divBdr>
        <w:top w:val="none" w:sz="0" w:space="0" w:color="auto"/>
        <w:left w:val="none" w:sz="0" w:space="0" w:color="auto"/>
        <w:bottom w:val="none" w:sz="0" w:space="0" w:color="auto"/>
        <w:right w:val="none" w:sz="0" w:space="0" w:color="auto"/>
      </w:divBdr>
    </w:div>
    <w:div w:id="667442664">
      <w:bodyDiv w:val="1"/>
      <w:marLeft w:val="0"/>
      <w:marRight w:val="0"/>
      <w:marTop w:val="0"/>
      <w:marBottom w:val="0"/>
      <w:divBdr>
        <w:top w:val="none" w:sz="0" w:space="0" w:color="auto"/>
        <w:left w:val="none" w:sz="0" w:space="0" w:color="auto"/>
        <w:bottom w:val="none" w:sz="0" w:space="0" w:color="auto"/>
        <w:right w:val="none" w:sz="0" w:space="0" w:color="auto"/>
      </w:divBdr>
    </w:div>
    <w:div w:id="667563191">
      <w:bodyDiv w:val="1"/>
      <w:marLeft w:val="0"/>
      <w:marRight w:val="0"/>
      <w:marTop w:val="0"/>
      <w:marBottom w:val="0"/>
      <w:divBdr>
        <w:top w:val="none" w:sz="0" w:space="0" w:color="auto"/>
        <w:left w:val="none" w:sz="0" w:space="0" w:color="auto"/>
        <w:bottom w:val="none" w:sz="0" w:space="0" w:color="auto"/>
        <w:right w:val="none" w:sz="0" w:space="0" w:color="auto"/>
      </w:divBdr>
    </w:div>
    <w:div w:id="667632363">
      <w:bodyDiv w:val="1"/>
      <w:marLeft w:val="0"/>
      <w:marRight w:val="0"/>
      <w:marTop w:val="0"/>
      <w:marBottom w:val="0"/>
      <w:divBdr>
        <w:top w:val="none" w:sz="0" w:space="0" w:color="auto"/>
        <w:left w:val="none" w:sz="0" w:space="0" w:color="auto"/>
        <w:bottom w:val="none" w:sz="0" w:space="0" w:color="auto"/>
        <w:right w:val="none" w:sz="0" w:space="0" w:color="auto"/>
      </w:divBdr>
    </w:div>
    <w:div w:id="667633435">
      <w:bodyDiv w:val="1"/>
      <w:marLeft w:val="0"/>
      <w:marRight w:val="0"/>
      <w:marTop w:val="0"/>
      <w:marBottom w:val="0"/>
      <w:divBdr>
        <w:top w:val="none" w:sz="0" w:space="0" w:color="auto"/>
        <w:left w:val="none" w:sz="0" w:space="0" w:color="auto"/>
        <w:bottom w:val="none" w:sz="0" w:space="0" w:color="auto"/>
        <w:right w:val="none" w:sz="0" w:space="0" w:color="auto"/>
      </w:divBdr>
    </w:div>
    <w:div w:id="667638986">
      <w:bodyDiv w:val="1"/>
      <w:marLeft w:val="0"/>
      <w:marRight w:val="0"/>
      <w:marTop w:val="0"/>
      <w:marBottom w:val="0"/>
      <w:divBdr>
        <w:top w:val="none" w:sz="0" w:space="0" w:color="auto"/>
        <w:left w:val="none" w:sz="0" w:space="0" w:color="auto"/>
        <w:bottom w:val="none" w:sz="0" w:space="0" w:color="auto"/>
        <w:right w:val="none" w:sz="0" w:space="0" w:color="auto"/>
      </w:divBdr>
    </w:div>
    <w:div w:id="667751380">
      <w:bodyDiv w:val="1"/>
      <w:marLeft w:val="0"/>
      <w:marRight w:val="0"/>
      <w:marTop w:val="0"/>
      <w:marBottom w:val="0"/>
      <w:divBdr>
        <w:top w:val="none" w:sz="0" w:space="0" w:color="auto"/>
        <w:left w:val="none" w:sz="0" w:space="0" w:color="auto"/>
        <w:bottom w:val="none" w:sz="0" w:space="0" w:color="auto"/>
        <w:right w:val="none" w:sz="0" w:space="0" w:color="auto"/>
      </w:divBdr>
    </w:div>
    <w:div w:id="668019447">
      <w:bodyDiv w:val="1"/>
      <w:marLeft w:val="0"/>
      <w:marRight w:val="0"/>
      <w:marTop w:val="0"/>
      <w:marBottom w:val="0"/>
      <w:divBdr>
        <w:top w:val="none" w:sz="0" w:space="0" w:color="auto"/>
        <w:left w:val="none" w:sz="0" w:space="0" w:color="auto"/>
        <w:bottom w:val="none" w:sz="0" w:space="0" w:color="auto"/>
        <w:right w:val="none" w:sz="0" w:space="0" w:color="auto"/>
      </w:divBdr>
    </w:div>
    <w:div w:id="668143395">
      <w:bodyDiv w:val="1"/>
      <w:marLeft w:val="0"/>
      <w:marRight w:val="0"/>
      <w:marTop w:val="0"/>
      <w:marBottom w:val="0"/>
      <w:divBdr>
        <w:top w:val="none" w:sz="0" w:space="0" w:color="auto"/>
        <w:left w:val="none" w:sz="0" w:space="0" w:color="auto"/>
        <w:bottom w:val="none" w:sz="0" w:space="0" w:color="auto"/>
        <w:right w:val="none" w:sz="0" w:space="0" w:color="auto"/>
      </w:divBdr>
    </w:div>
    <w:div w:id="668145372">
      <w:bodyDiv w:val="1"/>
      <w:marLeft w:val="0"/>
      <w:marRight w:val="0"/>
      <w:marTop w:val="0"/>
      <w:marBottom w:val="0"/>
      <w:divBdr>
        <w:top w:val="none" w:sz="0" w:space="0" w:color="auto"/>
        <w:left w:val="none" w:sz="0" w:space="0" w:color="auto"/>
        <w:bottom w:val="none" w:sz="0" w:space="0" w:color="auto"/>
        <w:right w:val="none" w:sz="0" w:space="0" w:color="auto"/>
      </w:divBdr>
    </w:div>
    <w:div w:id="668171250">
      <w:bodyDiv w:val="1"/>
      <w:marLeft w:val="0"/>
      <w:marRight w:val="0"/>
      <w:marTop w:val="0"/>
      <w:marBottom w:val="0"/>
      <w:divBdr>
        <w:top w:val="none" w:sz="0" w:space="0" w:color="auto"/>
        <w:left w:val="none" w:sz="0" w:space="0" w:color="auto"/>
        <w:bottom w:val="none" w:sz="0" w:space="0" w:color="auto"/>
        <w:right w:val="none" w:sz="0" w:space="0" w:color="auto"/>
      </w:divBdr>
    </w:div>
    <w:div w:id="668337318">
      <w:bodyDiv w:val="1"/>
      <w:marLeft w:val="0"/>
      <w:marRight w:val="0"/>
      <w:marTop w:val="0"/>
      <w:marBottom w:val="0"/>
      <w:divBdr>
        <w:top w:val="none" w:sz="0" w:space="0" w:color="auto"/>
        <w:left w:val="none" w:sz="0" w:space="0" w:color="auto"/>
        <w:bottom w:val="none" w:sz="0" w:space="0" w:color="auto"/>
        <w:right w:val="none" w:sz="0" w:space="0" w:color="auto"/>
      </w:divBdr>
    </w:div>
    <w:div w:id="668408728">
      <w:bodyDiv w:val="1"/>
      <w:marLeft w:val="0"/>
      <w:marRight w:val="0"/>
      <w:marTop w:val="0"/>
      <w:marBottom w:val="0"/>
      <w:divBdr>
        <w:top w:val="none" w:sz="0" w:space="0" w:color="auto"/>
        <w:left w:val="none" w:sz="0" w:space="0" w:color="auto"/>
        <w:bottom w:val="none" w:sz="0" w:space="0" w:color="auto"/>
        <w:right w:val="none" w:sz="0" w:space="0" w:color="auto"/>
      </w:divBdr>
    </w:div>
    <w:div w:id="668411830">
      <w:bodyDiv w:val="1"/>
      <w:marLeft w:val="0"/>
      <w:marRight w:val="0"/>
      <w:marTop w:val="0"/>
      <w:marBottom w:val="0"/>
      <w:divBdr>
        <w:top w:val="none" w:sz="0" w:space="0" w:color="auto"/>
        <w:left w:val="none" w:sz="0" w:space="0" w:color="auto"/>
        <w:bottom w:val="none" w:sz="0" w:space="0" w:color="auto"/>
        <w:right w:val="none" w:sz="0" w:space="0" w:color="auto"/>
      </w:divBdr>
    </w:div>
    <w:div w:id="668602582">
      <w:bodyDiv w:val="1"/>
      <w:marLeft w:val="0"/>
      <w:marRight w:val="0"/>
      <w:marTop w:val="0"/>
      <w:marBottom w:val="0"/>
      <w:divBdr>
        <w:top w:val="none" w:sz="0" w:space="0" w:color="auto"/>
        <w:left w:val="none" w:sz="0" w:space="0" w:color="auto"/>
        <w:bottom w:val="none" w:sz="0" w:space="0" w:color="auto"/>
        <w:right w:val="none" w:sz="0" w:space="0" w:color="auto"/>
      </w:divBdr>
    </w:div>
    <w:div w:id="668943912">
      <w:bodyDiv w:val="1"/>
      <w:marLeft w:val="0"/>
      <w:marRight w:val="0"/>
      <w:marTop w:val="0"/>
      <w:marBottom w:val="0"/>
      <w:divBdr>
        <w:top w:val="none" w:sz="0" w:space="0" w:color="auto"/>
        <w:left w:val="none" w:sz="0" w:space="0" w:color="auto"/>
        <w:bottom w:val="none" w:sz="0" w:space="0" w:color="auto"/>
        <w:right w:val="none" w:sz="0" w:space="0" w:color="auto"/>
      </w:divBdr>
    </w:div>
    <w:div w:id="669022173">
      <w:bodyDiv w:val="1"/>
      <w:marLeft w:val="0"/>
      <w:marRight w:val="0"/>
      <w:marTop w:val="0"/>
      <w:marBottom w:val="0"/>
      <w:divBdr>
        <w:top w:val="none" w:sz="0" w:space="0" w:color="auto"/>
        <w:left w:val="none" w:sz="0" w:space="0" w:color="auto"/>
        <w:bottom w:val="none" w:sz="0" w:space="0" w:color="auto"/>
        <w:right w:val="none" w:sz="0" w:space="0" w:color="auto"/>
      </w:divBdr>
    </w:div>
    <w:div w:id="669062820">
      <w:bodyDiv w:val="1"/>
      <w:marLeft w:val="0"/>
      <w:marRight w:val="0"/>
      <w:marTop w:val="0"/>
      <w:marBottom w:val="0"/>
      <w:divBdr>
        <w:top w:val="none" w:sz="0" w:space="0" w:color="auto"/>
        <w:left w:val="none" w:sz="0" w:space="0" w:color="auto"/>
        <w:bottom w:val="none" w:sz="0" w:space="0" w:color="auto"/>
        <w:right w:val="none" w:sz="0" w:space="0" w:color="auto"/>
      </w:divBdr>
    </w:div>
    <w:div w:id="669214260">
      <w:bodyDiv w:val="1"/>
      <w:marLeft w:val="0"/>
      <w:marRight w:val="0"/>
      <w:marTop w:val="0"/>
      <w:marBottom w:val="0"/>
      <w:divBdr>
        <w:top w:val="none" w:sz="0" w:space="0" w:color="auto"/>
        <w:left w:val="none" w:sz="0" w:space="0" w:color="auto"/>
        <w:bottom w:val="none" w:sz="0" w:space="0" w:color="auto"/>
        <w:right w:val="none" w:sz="0" w:space="0" w:color="auto"/>
      </w:divBdr>
    </w:div>
    <w:div w:id="669214759">
      <w:bodyDiv w:val="1"/>
      <w:marLeft w:val="0"/>
      <w:marRight w:val="0"/>
      <w:marTop w:val="0"/>
      <w:marBottom w:val="0"/>
      <w:divBdr>
        <w:top w:val="none" w:sz="0" w:space="0" w:color="auto"/>
        <w:left w:val="none" w:sz="0" w:space="0" w:color="auto"/>
        <w:bottom w:val="none" w:sz="0" w:space="0" w:color="auto"/>
        <w:right w:val="none" w:sz="0" w:space="0" w:color="auto"/>
      </w:divBdr>
    </w:div>
    <w:div w:id="669254284">
      <w:bodyDiv w:val="1"/>
      <w:marLeft w:val="0"/>
      <w:marRight w:val="0"/>
      <w:marTop w:val="0"/>
      <w:marBottom w:val="0"/>
      <w:divBdr>
        <w:top w:val="none" w:sz="0" w:space="0" w:color="auto"/>
        <w:left w:val="none" w:sz="0" w:space="0" w:color="auto"/>
        <w:bottom w:val="none" w:sz="0" w:space="0" w:color="auto"/>
        <w:right w:val="none" w:sz="0" w:space="0" w:color="auto"/>
      </w:divBdr>
    </w:div>
    <w:div w:id="669255309">
      <w:bodyDiv w:val="1"/>
      <w:marLeft w:val="0"/>
      <w:marRight w:val="0"/>
      <w:marTop w:val="0"/>
      <w:marBottom w:val="0"/>
      <w:divBdr>
        <w:top w:val="none" w:sz="0" w:space="0" w:color="auto"/>
        <w:left w:val="none" w:sz="0" w:space="0" w:color="auto"/>
        <w:bottom w:val="none" w:sz="0" w:space="0" w:color="auto"/>
        <w:right w:val="none" w:sz="0" w:space="0" w:color="auto"/>
      </w:divBdr>
    </w:div>
    <w:div w:id="669329814">
      <w:bodyDiv w:val="1"/>
      <w:marLeft w:val="0"/>
      <w:marRight w:val="0"/>
      <w:marTop w:val="0"/>
      <w:marBottom w:val="0"/>
      <w:divBdr>
        <w:top w:val="none" w:sz="0" w:space="0" w:color="auto"/>
        <w:left w:val="none" w:sz="0" w:space="0" w:color="auto"/>
        <w:bottom w:val="none" w:sz="0" w:space="0" w:color="auto"/>
        <w:right w:val="none" w:sz="0" w:space="0" w:color="auto"/>
      </w:divBdr>
    </w:div>
    <w:div w:id="669604300">
      <w:bodyDiv w:val="1"/>
      <w:marLeft w:val="0"/>
      <w:marRight w:val="0"/>
      <w:marTop w:val="0"/>
      <w:marBottom w:val="0"/>
      <w:divBdr>
        <w:top w:val="none" w:sz="0" w:space="0" w:color="auto"/>
        <w:left w:val="none" w:sz="0" w:space="0" w:color="auto"/>
        <w:bottom w:val="none" w:sz="0" w:space="0" w:color="auto"/>
        <w:right w:val="none" w:sz="0" w:space="0" w:color="auto"/>
      </w:divBdr>
    </w:div>
    <w:div w:id="669678521">
      <w:bodyDiv w:val="1"/>
      <w:marLeft w:val="0"/>
      <w:marRight w:val="0"/>
      <w:marTop w:val="0"/>
      <w:marBottom w:val="0"/>
      <w:divBdr>
        <w:top w:val="none" w:sz="0" w:space="0" w:color="auto"/>
        <w:left w:val="none" w:sz="0" w:space="0" w:color="auto"/>
        <w:bottom w:val="none" w:sz="0" w:space="0" w:color="auto"/>
        <w:right w:val="none" w:sz="0" w:space="0" w:color="auto"/>
      </w:divBdr>
    </w:div>
    <w:div w:id="669718446">
      <w:bodyDiv w:val="1"/>
      <w:marLeft w:val="0"/>
      <w:marRight w:val="0"/>
      <w:marTop w:val="0"/>
      <w:marBottom w:val="0"/>
      <w:divBdr>
        <w:top w:val="none" w:sz="0" w:space="0" w:color="auto"/>
        <w:left w:val="none" w:sz="0" w:space="0" w:color="auto"/>
        <w:bottom w:val="none" w:sz="0" w:space="0" w:color="auto"/>
        <w:right w:val="none" w:sz="0" w:space="0" w:color="auto"/>
      </w:divBdr>
    </w:div>
    <w:div w:id="669799942">
      <w:bodyDiv w:val="1"/>
      <w:marLeft w:val="0"/>
      <w:marRight w:val="0"/>
      <w:marTop w:val="0"/>
      <w:marBottom w:val="0"/>
      <w:divBdr>
        <w:top w:val="none" w:sz="0" w:space="0" w:color="auto"/>
        <w:left w:val="none" w:sz="0" w:space="0" w:color="auto"/>
        <w:bottom w:val="none" w:sz="0" w:space="0" w:color="auto"/>
        <w:right w:val="none" w:sz="0" w:space="0" w:color="auto"/>
      </w:divBdr>
    </w:div>
    <w:div w:id="669865906">
      <w:bodyDiv w:val="1"/>
      <w:marLeft w:val="0"/>
      <w:marRight w:val="0"/>
      <w:marTop w:val="0"/>
      <w:marBottom w:val="0"/>
      <w:divBdr>
        <w:top w:val="none" w:sz="0" w:space="0" w:color="auto"/>
        <w:left w:val="none" w:sz="0" w:space="0" w:color="auto"/>
        <w:bottom w:val="none" w:sz="0" w:space="0" w:color="auto"/>
        <w:right w:val="none" w:sz="0" w:space="0" w:color="auto"/>
      </w:divBdr>
    </w:div>
    <w:div w:id="670064883">
      <w:bodyDiv w:val="1"/>
      <w:marLeft w:val="0"/>
      <w:marRight w:val="0"/>
      <w:marTop w:val="0"/>
      <w:marBottom w:val="0"/>
      <w:divBdr>
        <w:top w:val="none" w:sz="0" w:space="0" w:color="auto"/>
        <w:left w:val="none" w:sz="0" w:space="0" w:color="auto"/>
        <w:bottom w:val="none" w:sz="0" w:space="0" w:color="auto"/>
        <w:right w:val="none" w:sz="0" w:space="0" w:color="auto"/>
      </w:divBdr>
    </w:div>
    <w:div w:id="670257463">
      <w:bodyDiv w:val="1"/>
      <w:marLeft w:val="0"/>
      <w:marRight w:val="0"/>
      <w:marTop w:val="0"/>
      <w:marBottom w:val="0"/>
      <w:divBdr>
        <w:top w:val="none" w:sz="0" w:space="0" w:color="auto"/>
        <w:left w:val="none" w:sz="0" w:space="0" w:color="auto"/>
        <w:bottom w:val="none" w:sz="0" w:space="0" w:color="auto"/>
        <w:right w:val="none" w:sz="0" w:space="0" w:color="auto"/>
      </w:divBdr>
    </w:div>
    <w:div w:id="670448966">
      <w:bodyDiv w:val="1"/>
      <w:marLeft w:val="0"/>
      <w:marRight w:val="0"/>
      <w:marTop w:val="0"/>
      <w:marBottom w:val="0"/>
      <w:divBdr>
        <w:top w:val="none" w:sz="0" w:space="0" w:color="auto"/>
        <w:left w:val="none" w:sz="0" w:space="0" w:color="auto"/>
        <w:bottom w:val="none" w:sz="0" w:space="0" w:color="auto"/>
        <w:right w:val="none" w:sz="0" w:space="0" w:color="auto"/>
      </w:divBdr>
    </w:div>
    <w:div w:id="670596143">
      <w:bodyDiv w:val="1"/>
      <w:marLeft w:val="0"/>
      <w:marRight w:val="0"/>
      <w:marTop w:val="0"/>
      <w:marBottom w:val="0"/>
      <w:divBdr>
        <w:top w:val="none" w:sz="0" w:space="0" w:color="auto"/>
        <w:left w:val="none" w:sz="0" w:space="0" w:color="auto"/>
        <w:bottom w:val="none" w:sz="0" w:space="0" w:color="auto"/>
        <w:right w:val="none" w:sz="0" w:space="0" w:color="auto"/>
      </w:divBdr>
    </w:div>
    <w:div w:id="670839089">
      <w:bodyDiv w:val="1"/>
      <w:marLeft w:val="0"/>
      <w:marRight w:val="0"/>
      <w:marTop w:val="0"/>
      <w:marBottom w:val="0"/>
      <w:divBdr>
        <w:top w:val="none" w:sz="0" w:space="0" w:color="auto"/>
        <w:left w:val="none" w:sz="0" w:space="0" w:color="auto"/>
        <w:bottom w:val="none" w:sz="0" w:space="0" w:color="auto"/>
        <w:right w:val="none" w:sz="0" w:space="0" w:color="auto"/>
      </w:divBdr>
    </w:div>
    <w:div w:id="671178060">
      <w:bodyDiv w:val="1"/>
      <w:marLeft w:val="0"/>
      <w:marRight w:val="0"/>
      <w:marTop w:val="0"/>
      <w:marBottom w:val="0"/>
      <w:divBdr>
        <w:top w:val="none" w:sz="0" w:space="0" w:color="auto"/>
        <w:left w:val="none" w:sz="0" w:space="0" w:color="auto"/>
        <w:bottom w:val="none" w:sz="0" w:space="0" w:color="auto"/>
        <w:right w:val="none" w:sz="0" w:space="0" w:color="auto"/>
      </w:divBdr>
    </w:div>
    <w:div w:id="671295038">
      <w:bodyDiv w:val="1"/>
      <w:marLeft w:val="0"/>
      <w:marRight w:val="0"/>
      <w:marTop w:val="0"/>
      <w:marBottom w:val="0"/>
      <w:divBdr>
        <w:top w:val="none" w:sz="0" w:space="0" w:color="auto"/>
        <w:left w:val="none" w:sz="0" w:space="0" w:color="auto"/>
        <w:bottom w:val="none" w:sz="0" w:space="0" w:color="auto"/>
        <w:right w:val="none" w:sz="0" w:space="0" w:color="auto"/>
      </w:divBdr>
    </w:div>
    <w:div w:id="671416854">
      <w:bodyDiv w:val="1"/>
      <w:marLeft w:val="0"/>
      <w:marRight w:val="0"/>
      <w:marTop w:val="0"/>
      <w:marBottom w:val="0"/>
      <w:divBdr>
        <w:top w:val="none" w:sz="0" w:space="0" w:color="auto"/>
        <w:left w:val="none" w:sz="0" w:space="0" w:color="auto"/>
        <w:bottom w:val="none" w:sz="0" w:space="0" w:color="auto"/>
        <w:right w:val="none" w:sz="0" w:space="0" w:color="auto"/>
      </w:divBdr>
    </w:div>
    <w:div w:id="671446971">
      <w:bodyDiv w:val="1"/>
      <w:marLeft w:val="0"/>
      <w:marRight w:val="0"/>
      <w:marTop w:val="0"/>
      <w:marBottom w:val="0"/>
      <w:divBdr>
        <w:top w:val="none" w:sz="0" w:space="0" w:color="auto"/>
        <w:left w:val="none" w:sz="0" w:space="0" w:color="auto"/>
        <w:bottom w:val="none" w:sz="0" w:space="0" w:color="auto"/>
        <w:right w:val="none" w:sz="0" w:space="0" w:color="auto"/>
      </w:divBdr>
    </w:div>
    <w:div w:id="671881245">
      <w:bodyDiv w:val="1"/>
      <w:marLeft w:val="0"/>
      <w:marRight w:val="0"/>
      <w:marTop w:val="0"/>
      <w:marBottom w:val="0"/>
      <w:divBdr>
        <w:top w:val="none" w:sz="0" w:space="0" w:color="auto"/>
        <w:left w:val="none" w:sz="0" w:space="0" w:color="auto"/>
        <w:bottom w:val="none" w:sz="0" w:space="0" w:color="auto"/>
        <w:right w:val="none" w:sz="0" w:space="0" w:color="auto"/>
      </w:divBdr>
    </w:div>
    <w:div w:id="671958192">
      <w:bodyDiv w:val="1"/>
      <w:marLeft w:val="0"/>
      <w:marRight w:val="0"/>
      <w:marTop w:val="0"/>
      <w:marBottom w:val="0"/>
      <w:divBdr>
        <w:top w:val="none" w:sz="0" w:space="0" w:color="auto"/>
        <w:left w:val="none" w:sz="0" w:space="0" w:color="auto"/>
        <w:bottom w:val="none" w:sz="0" w:space="0" w:color="auto"/>
        <w:right w:val="none" w:sz="0" w:space="0" w:color="auto"/>
      </w:divBdr>
    </w:div>
    <w:div w:id="671958508">
      <w:bodyDiv w:val="1"/>
      <w:marLeft w:val="0"/>
      <w:marRight w:val="0"/>
      <w:marTop w:val="0"/>
      <w:marBottom w:val="0"/>
      <w:divBdr>
        <w:top w:val="none" w:sz="0" w:space="0" w:color="auto"/>
        <w:left w:val="none" w:sz="0" w:space="0" w:color="auto"/>
        <w:bottom w:val="none" w:sz="0" w:space="0" w:color="auto"/>
        <w:right w:val="none" w:sz="0" w:space="0" w:color="auto"/>
      </w:divBdr>
    </w:div>
    <w:div w:id="672148602">
      <w:bodyDiv w:val="1"/>
      <w:marLeft w:val="0"/>
      <w:marRight w:val="0"/>
      <w:marTop w:val="0"/>
      <w:marBottom w:val="0"/>
      <w:divBdr>
        <w:top w:val="none" w:sz="0" w:space="0" w:color="auto"/>
        <w:left w:val="none" w:sz="0" w:space="0" w:color="auto"/>
        <w:bottom w:val="none" w:sz="0" w:space="0" w:color="auto"/>
        <w:right w:val="none" w:sz="0" w:space="0" w:color="auto"/>
      </w:divBdr>
    </w:div>
    <w:div w:id="672150724">
      <w:bodyDiv w:val="1"/>
      <w:marLeft w:val="0"/>
      <w:marRight w:val="0"/>
      <w:marTop w:val="0"/>
      <w:marBottom w:val="0"/>
      <w:divBdr>
        <w:top w:val="none" w:sz="0" w:space="0" w:color="auto"/>
        <w:left w:val="none" w:sz="0" w:space="0" w:color="auto"/>
        <w:bottom w:val="none" w:sz="0" w:space="0" w:color="auto"/>
        <w:right w:val="none" w:sz="0" w:space="0" w:color="auto"/>
      </w:divBdr>
    </w:div>
    <w:div w:id="672293986">
      <w:bodyDiv w:val="1"/>
      <w:marLeft w:val="0"/>
      <w:marRight w:val="0"/>
      <w:marTop w:val="0"/>
      <w:marBottom w:val="0"/>
      <w:divBdr>
        <w:top w:val="none" w:sz="0" w:space="0" w:color="auto"/>
        <w:left w:val="none" w:sz="0" w:space="0" w:color="auto"/>
        <w:bottom w:val="none" w:sz="0" w:space="0" w:color="auto"/>
        <w:right w:val="none" w:sz="0" w:space="0" w:color="auto"/>
      </w:divBdr>
    </w:div>
    <w:div w:id="672536353">
      <w:bodyDiv w:val="1"/>
      <w:marLeft w:val="0"/>
      <w:marRight w:val="0"/>
      <w:marTop w:val="0"/>
      <w:marBottom w:val="0"/>
      <w:divBdr>
        <w:top w:val="none" w:sz="0" w:space="0" w:color="auto"/>
        <w:left w:val="none" w:sz="0" w:space="0" w:color="auto"/>
        <w:bottom w:val="none" w:sz="0" w:space="0" w:color="auto"/>
        <w:right w:val="none" w:sz="0" w:space="0" w:color="auto"/>
      </w:divBdr>
    </w:div>
    <w:div w:id="672730356">
      <w:bodyDiv w:val="1"/>
      <w:marLeft w:val="0"/>
      <w:marRight w:val="0"/>
      <w:marTop w:val="0"/>
      <w:marBottom w:val="0"/>
      <w:divBdr>
        <w:top w:val="none" w:sz="0" w:space="0" w:color="auto"/>
        <w:left w:val="none" w:sz="0" w:space="0" w:color="auto"/>
        <w:bottom w:val="none" w:sz="0" w:space="0" w:color="auto"/>
        <w:right w:val="none" w:sz="0" w:space="0" w:color="auto"/>
      </w:divBdr>
    </w:div>
    <w:div w:id="672879056">
      <w:bodyDiv w:val="1"/>
      <w:marLeft w:val="0"/>
      <w:marRight w:val="0"/>
      <w:marTop w:val="0"/>
      <w:marBottom w:val="0"/>
      <w:divBdr>
        <w:top w:val="none" w:sz="0" w:space="0" w:color="auto"/>
        <w:left w:val="none" w:sz="0" w:space="0" w:color="auto"/>
        <w:bottom w:val="none" w:sz="0" w:space="0" w:color="auto"/>
        <w:right w:val="none" w:sz="0" w:space="0" w:color="auto"/>
      </w:divBdr>
    </w:div>
    <w:div w:id="672954438">
      <w:bodyDiv w:val="1"/>
      <w:marLeft w:val="0"/>
      <w:marRight w:val="0"/>
      <w:marTop w:val="0"/>
      <w:marBottom w:val="0"/>
      <w:divBdr>
        <w:top w:val="none" w:sz="0" w:space="0" w:color="auto"/>
        <w:left w:val="none" w:sz="0" w:space="0" w:color="auto"/>
        <w:bottom w:val="none" w:sz="0" w:space="0" w:color="auto"/>
        <w:right w:val="none" w:sz="0" w:space="0" w:color="auto"/>
      </w:divBdr>
    </w:div>
    <w:div w:id="672997687">
      <w:bodyDiv w:val="1"/>
      <w:marLeft w:val="0"/>
      <w:marRight w:val="0"/>
      <w:marTop w:val="0"/>
      <w:marBottom w:val="0"/>
      <w:divBdr>
        <w:top w:val="none" w:sz="0" w:space="0" w:color="auto"/>
        <w:left w:val="none" w:sz="0" w:space="0" w:color="auto"/>
        <w:bottom w:val="none" w:sz="0" w:space="0" w:color="auto"/>
        <w:right w:val="none" w:sz="0" w:space="0" w:color="auto"/>
      </w:divBdr>
    </w:div>
    <w:div w:id="673142905">
      <w:bodyDiv w:val="1"/>
      <w:marLeft w:val="0"/>
      <w:marRight w:val="0"/>
      <w:marTop w:val="0"/>
      <w:marBottom w:val="0"/>
      <w:divBdr>
        <w:top w:val="none" w:sz="0" w:space="0" w:color="auto"/>
        <w:left w:val="none" w:sz="0" w:space="0" w:color="auto"/>
        <w:bottom w:val="none" w:sz="0" w:space="0" w:color="auto"/>
        <w:right w:val="none" w:sz="0" w:space="0" w:color="auto"/>
      </w:divBdr>
    </w:div>
    <w:div w:id="673383603">
      <w:bodyDiv w:val="1"/>
      <w:marLeft w:val="0"/>
      <w:marRight w:val="0"/>
      <w:marTop w:val="0"/>
      <w:marBottom w:val="0"/>
      <w:divBdr>
        <w:top w:val="none" w:sz="0" w:space="0" w:color="auto"/>
        <w:left w:val="none" w:sz="0" w:space="0" w:color="auto"/>
        <w:bottom w:val="none" w:sz="0" w:space="0" w:color="auto"/>
        <w:right w:val="none" w:sz="0" w:space="0" w:color="auto"/>
      </w:divBdr>
    </w:div>
    <w:div w:id="673797382">
      <w:bodyDiv w:val="1"/>
      <w:marLeft w:val="0"/>
      <w:marRight w:val="0"/>
      <w:marTop w:val="0"/>
      <w:marBottom w:val="0"/>
      <w:divBdr>
        <w:top w:val="none" w:sz="0" w:space="0" w:color="auto"/>
        <w:left w:val="none" w:sz="0" w:space="0" w:color="auto"/>
        <w:bottom w:val="none" w:sz="0" w:space="0" w:color="auto"/>
        <w:right w:val="none" w:sz="0" w:space="0" w:color="auto"/>
      </w:divBdr>
    </w:div>
    <w:div w:id="673922440">
      <w:bodyDiv w:val="1"/>
      <w:marLeft w:val="0"/>
      <w:marRight w:val="0"/>
      <w:marTop w:val="0"/>
      <w:marBottom w:val="0"/>
      <w:divBdr>
        <w:top w:val="none" w:sz="0" w:space="0" w:color="auto"/>
        <w:left w:val="none" w:sz="0" w:space="0" w:color="auto"/>
        <w:bottom w:val="none" w:sz="0" w:space="0" w:color="auto"/>
        <w:right w:val="none" w:sz="0" w:space="0" w:color="auto"/>
      </w:divBdr>
    </w:div>
    <w:div w:id="674069088">
      <w:bodyDiv w:val="1"/>
      <w:marLeft w:val="0"/>
      <w:marRight w:val="0"/>
      <w:marTop w:val="0"/>
      <w:marBottom w:val="0"/>
      <w:divBdr>
        <w:top w:val="none" w:sz="0" w:space="0" w:color="auto"/>
        <w:left w:val="none" w:sz="0" w:space="0" w:color="auto"/>
        <w:bottom w:val="none" w:sz="0" w:space="0" w:color="auto"/>
        <w:right w:val="none" w:sz="0" w:space="0" w:color="auto"/>
      </w:divBdr>
    </w:div>
    <w:div w:id="674111023">
      <w:bodyDiv w:val="1"/>
      <w:marLeft w:val="0"/>
      <w:marRight w:val="0"/>
      <w:marTop w:val="0"/>
      <w:marBottom w:val="0"/>
      <w:divBdr>
        <w:top w:val="none" w:sz="0" w:space="0" w:color="auto"/>
        <w:left w:val="none" w:sz="0" w:space="0" w:color="auto"/>
        <w:bottom w:val="none" w:sz="0" w:space="0" w:color="auto"/>
        <w:right w:val="none" w:sz="0" w:space="0" w:color="auto"/>
      </w:divBdr>
    </w:div>
    <w:div w:id="674111310">
      <w:bodyDiv w:val="1"/>
      <w:marLeft w:val="0"/>
      <w:marRight w:val="0"/>
      <w:marTop w:val="0"/>
      <w:marBottom w:val="0"/>
      <w:divBdr>
        <w:top w:val="none" w:sz="0" w:space="0" w:color="auto"/>
        <w:left w:val="none" w:sz="0" w:space="0" w:color="auto"/>
        <w:bottom w:val="none" w:sz="0" w:space="0" w:color="auto"/>
        <w:right w:val="none" w:sz="0" w:space="0" w:color="auto"/>
      </w:divBdr>
    </w:div>
    <w:div w:id="674184449">
      <w:bodyDiv w:val="1"/>
      <w:marLeft w:val="0"/>
      <w:marRight w:val="0"/>
      <w:marTop w:val="0"/>
      <w:marBottom w:val="0"/>
      <w:divBdr>
        <w:top w:val="none" w:sz="0" w:space="0" w:color="auto"/>
        <w:left w:val="none" w:sz="0" w:space="0" w:color="auto"/>
        <w:bottom w:val="none" w:sz="0" w:space="0" w:color="auto"/>
        <w:right w:val="none" w:sz="0" w:space="0" w:color="auto"/>
      </w:divBdr>
    </w:div>
    <w:div w:id="674184710">
      <w:bodyDiv w:val="1"/>
      <w:marLeft w:val="0"/>
      <w:marRight w:val="0"/>
      <w:marTop w:val="0"/>
      <w:marBottom w:val="0"/>
      <w:divBdr>
        <w:top w:val="none" w:sz="0" w:space="0" w:color="auto"/>
        <w:left w:val="none" w:sz="0" w:space="0" w:color="auto"/>
        <w:bottom w:val="none" w:sz="0" w:space="0" w:color="auto"/>
        <w:right w:val="none" w:sz="0" w:space="0" w:color="auto"/>
      </w:divBdr>
    </w:div>
    <w:div w:id="674502612">
      <w:bodyDiv w:val="1"/>
      <w:marLeft w:val="0"/>
      <w:marRight w:val="0"/>
      <w:marTop w:val="0"/>
      <w:marBottom w:val="0"/>
      <w:divBdr>
        <w:top w:val="none" w:sz="0" w:space="0" w:color="auto"/>
        <w:left w:val="none" w:sz="0" w:space="0" w:color="auto"/>
        <w:bottom w:val="none" w:sz="0" w:space="0" w:color="auto"/>
        <w:right w:val="none" w:sz="0" w:space="0" w:color="auto"/>
      </w:divBdr>
    </w:div>
    <w:div w:id="674571725">
      <w:bodyDiv w:val="1"/>
      <w:marLeft w:val="0"/>
      <w:marRight w:val="0"/>
      <w:marTop w:val="0"/>
      <w:marBottom w:val="0"/>
      <w:divBdr>
        <w:top w:val="none" w:sz="0" w:space="0" w:color="auto"/>
        <w:left w:val="none" w:sz="0" w:space="0" w:color="auto"/>
        <w:bottom w:val="none" w:sz="0" w:space="0" w:color="auto"/>
        <w:right w:val="none" w:sz="0" w:space="0" w:color="auto"/>
      </w:divBdr>
    </w:div>
    <w:div w:id="674572371">
      <w:bodyDiv w:val="1"/>
      <w:marLeft w:val="0"/>
      <w:marRight w:val="0"/>
      <w:marTop w:val="0"/>
      <w:marBottom w:val="0"/>
      <w:divBdr>
        <w:top w:val="none" w:sz="0" w:space="0" w:color="auto"/>
        <w:left w:val="none" w:sz="0" w:space="0" w:color="auto"/>
        <w:bottom w:val="none" w:sz="0" w:space="0" w:color="auto"/>
        <w:right w:val="none" w:sz="0" w:space="0" w:color="auto"/>
      </w:divBdr>
    </w:div>
    <w:div w:id="674649523">
      <w:bodyDiv w:val="1"/>
      <w:marLeft w:val="0"/>
      <w:marRight w:val="0"/>
      <w:marTop w:val="0"/>
      <w:marBottom w:val="0"/>
      <w:divBdr>
        <w:top w:val="none" w:sz="0" w:space="0" w:color="auto"/>
        <w:left w:val="none" w:sz="0" w:space="0" w:color="auto"/>
        <w:bottom w:val="none" w:sz="0" w:space="0" w:color="auto"/>
        <w:right w:val="none" w:sz="0" w:space="0" w:color="auto"/>
      </w:divBdr>
    </w:div>
    <w:div w:id="674695155">
      <w:bodyDiv w:val="1"/>
      <w:marLeft w:val="0"/>
      <w:marRight w:val="0"/>
      <w:marTop w:val="0"/>
      <w:marBottom w:val="0"/>
      <w:divBdr>
        <w:top w:val="none" w:sz="0" w:space="0" w:color="auto"/>
        <w:left w:val="none" w:sz="0" w:space="0" w:color="auto"/>
        <w:bottom w:val="none" w:sz="0" w:space="0" w:color="auto"/>
        <w:right w:val="none" w:sz="0" w:space="0" w:color="auto"/>
      </w:divBdr>
    </w:div>
    <w:div w:id="674842847">
      <w:bodyDiv w:val="1"/>
      <w:marLeft w:val="0"/>
      <w:marRight w:val="0"/>
      <w:marTop w:val="0"/>
      <w:marBottom w:val="0"/>
      <w:divBdr>
        <w:top w:val="none" w:sz="0" w:space="0" w:color="auto"/>
        <w:left w:val="none" w:sz="0" w:space="0" w:color="auto"/>
        <w:bottom w:val="none" w:sz="0" w:space="0" w:color="auto"/>
        <w:right w:val="none" w:sz="0" w:space="0" w:color="auto"/>
      </w:divBdr>
    </w:div>
    <w:div w:id="675109068">
      <w:bodyDiv w:val="1"/>
      <w:marLeft w:val="0"/>
      <w:marRight w:val="0"/>
      <w:marTop w:val="0"/>
      <w:marBottom w:val="0"/>
      <w:divBdr>
        <w:top w:val="none" w:sz="0" w:space="0" w:color="auto"/>
        <w:left w:val="none" w:sz="0" w:space="0" w:color="auto"/>
        <w:bottom w:val="none" w:sz="0" w:space="0" w:color="auto"/>
        <w:right w:val="none" w:sz="0" w:space="0" w:color="auto"/>
      </w:divBdr>
    </w:div>
    <w:div w:id="675114878">
      <w:bodyDiv w:val="1"/>
      <w:marLeft w:val="0"/>
      <w:marRight w:val="0"/>
      <w:marTop w:val="0"/>
      <w:marBottom w:val="0"/>
      <w:divBdr>
        <w:top w:val="none" w:sz="0" w:space="0" w:color="auto"/>
        <w:left w:val="none" w:sz="0" w:space="0" w:color="auto"/>
        <w:bottom w:val="none" w:sz="0" w:space="0" w:color="auto"/>
        <w:right w:val="none" w:sz="0" w:space="0" w:color="auto"/>
      </w:divBdr>
    </w:div>
    <w:div w:id="675116723">
      <w:bodyDiv w:val="1"/>
      <w:marLeft w:val="0"/>
      <w:marRight w:val="0"/>
      <w:marTop w:val="0"/>
      <w:marBottom w:val="0"/>
      <w:divBdr>
        <w:top w:val="none" w:sz="0" w:space="0" w:color="auto"/>
        <w:left w:val="none" w:sz="0" w:space="0" w:color="auto"/>
        <w:bottom w:val="none" w:sz="0" w:space="0" w:color="auto"/>
        <w:right w:val="none" w:sz="0" w:space="0" w:color="auto"/>
      </w:divBdr>
    </w:div>
    <w:div w:id="675227666">
      <w:bodyDiv w:val="1"/>
      <w:marLeft w:val="0"/>
      <w:marRight w:val="0"/>
      <w:marTop w:val="0"/>
      <w:marBottom w:val="0"/>
      <w:divBdr>
        <w:top w:val="none" w:sz="0" w:space="0" w:color="auto"/>
        <w:left w:val="none" w:sz="0" w:space="0" w:color="auto"/>
        <w:bottom w:val="none" w:sz="0" w:space="0" w:color="auto"/>
        <w:right w:val="none" w:sz="0" w:space="0" w:color="auto"/>
      </w:divBdr>
    </w:div>
    <w:div w:id="675229041">
      <w:bodyDiv w:val="1"/>
      <w:marLeft w:val="0"/>
      <w:marRight w:val="0"/>
      <w:marTop w:val="0"/>
      <w:marBottom w:val="0"/>
      <w:divBdr>
        <w:top w:val="none" w:sz="0" w:space="0" w:color="auto"/>
        <w:left w:val="none" w:sz="0" w:space="0" w:color="auto"/>
        <w:bottom w:val="none" w:sz="0" w:space="0" w:color="auto"/>
        <w:right w:val="none" w:sz="0" w:space="0" w:color="auto"/>
      </w:divBdr>
    </w:div>
    <w:div w:id="675349128">
      <w:bodyDiv w:val="1"/>
      <w:marLeft w:val="0"/>
      <w:marRight w:val="0"/>
      <w:marTop w:val="0"/>
      <w:marBottom w:val="0"/>
      <w:divBdr>
        <w:top w:val="none" w:sz="0" w:space="0" w:color="auto"/>
        <w:left w:val="none" w:sz="0" w:space="0" w:color="auto"/>
        <w:bottom w:val="none" w:sz="0" w:space="0" w:color="auto"/>
        <w:right w:val="none" w:sz="0" w:space="0" w:color="auto"/>
      </w:divBdr>
    </w:div>
    <w:div w:id="675501999">
      <w:bodyDiv w:val="1"/>
      <w:marLeft w:val="0"/>
      <w:marRight w:val="0"/>
      <w:marTop w:val="0"/>
      <w:marBottom w:val="0"/>
      <w:divBdr>
        <w:top w:val="none" w:sz="0" w:space="0" w:color="auto"/>
        <w:left w:val="none" w:sz="0" w:space="0" w:color="auto"/>
        <w:bottom w:val="none" w:sz="0" w:space="0" w:color="auto"/>
        <w:right w:val="none" w:sz="0" w:space="0" w:color="auto"/>
      </w:divBdr>
    </w:div>
    <w:div w:id="675572791">
      <w:bodyDiv w:val="1"/>
      <w:marLeft w:val="0"/>
      <w:marRight w:val="0"/>
      <w:marTop w:val="0"/>
      <w:marBottom w:val="0"/>
      <w:divBdr>
        <w:top w:val="none" w:sz="0" w:space="0" w:color="auto"/>
        <w:left w:val="none" w:sz="0" w:space="0" w:color="auto"/>
        <w:bottom w:val="none" w:sz="0" w:space="0" w:color="auto"/>
        <w:right w:val="none" w:sz="0" w:space="0" w:color="auto"/>
      </w:divBdr>
    </w:div>
    <w:div w:id="675615901">
      <w:bodyDiv w:val="1"/>
      <w:marLeft w:val="0"/>
      <w:marRight w:val="0"/>
      <w:marTop w:val="0"/>
      <w:marBottom w:val="0"/>
      <w:divBdr>
        <w:top w:val="none" w:sz="0" w:space="0" w:color="auto"/>
        <w:left w:val="none" w:sz="0" w:space="0" w:color="auto"/>
        <w:bottom w:val="none" w:sz="0" w:space="0" w:color="auto"/>
        <w:right w:val="none" w:sz="0" w:space="0" w:color="auto"/>
      </w:divBdr>
    </w:div>
    <w:div w:id="675618081">
      <w:bodyDiv w:val="1"/>
      <w:marLeft w:val="0"/>
      <w:marRight w:val="0"/>
      <w:marTop w:val="0"/>
      <w:marBottom w:val="0"/>
      <w:divBdr>
        <w:top w:val="none" w:sz="0" w:space="0" w:color="auto"/>
        <w:left w:val="none" w:sz="0" w:space="0" w:color="auto"/>
        <w:bottom w:val="none" w:sz="0" w:space="0" w:color="auto"/>
        <w:right w:val="none" w:sz="0" w:space="0" w:color="auto"/>
      </w:divBdr>
    </w:div>
    <w:div w:id="675621637">
      <w:bodyDiv w:val="1"/>
      <w:marLeft w:val="0"/>
      <w:marRight w:val="0"/>
      <w:marTop w:val="0"/>
      <w:marBottom w:val="0"/>
      <w:divBdr>
        <w:top w:val="none" w:sz="0" w:space="0" w:color="auto"/>
        <w:left w:val="none" w:sz="0" w:space="0" w:color="auto"/>
        <w:bottom w:val="none" w:sz="0" w:space="0" w:color="auto"/>
        <w:right w:val="none" w:sz="0" w:space="0" w:color="auto"/>
      </w:divBdr>
    </w:div>
    <w:div w:id="675688773">
      <w:bodyDiv w:val="1"/>
      <w:marLeft w:val="0"/>
      <w:marRight w:val="0"/>
      <w:marTop w:val="0"/>
      <w:marBottom w:val="0"/>
      <w:divBdr>
        <w:top w:val="none" w:sz="0" w:space="0" w:color="auto"/>
        <w:left w:val="none" w:sz="0" w:space="0" w:color="auto"/>
        <w:bottom w:val="none" w:sz="0" w:space="0" w:color="auto"/>
        <w:right w:val="none" w:sz="0" w:space="0" w:color="auto"/>
      </w:divBdr>
    </w:div>
    <w:div w:id="675814332">
      <w:bodyDiv w:val="1"/>
      <w:marLeft w:val="0"/>
      <w:marRight w:val="0"/>
      <w:marTop w:val="0"/>
      <w:marBottom w:val="0"/>
      <w:divBdr>
        <w:top w:val="none" w:sz="0" w:space="0" w:color="auto"/>
        <w:left w:val="none" w:sz="0" w:space="0" w:color="auto"/>
        <w:bottom w:val="none" w:sz="0" w:space="0" w:color="auto"/>
        <w:right w:val="none" w:sz="0" w:space="0" w:color="auto"/>
      </w:divBdr>
    </w:div>
    <w:div w:id="676078856">
      <w:bodyDiv w:val="1"/>
      <w:marLeft w:val="0"/>
      <w:marRight w:val="0"/>
      <w:marTop w:val="0"/>
      <w:marBottom w:val="0"/>
      <w:divBdr>
        <w:top w:val="none" w:sz="0" w:space="0" w:color="auto"/>
        <w:left w:val="none" w:sz="0" w:space="0" w:color="auto"/>
        <w:bottom w:val="none" w:sz="0" w:space="0" w:color="auto"/>
        <w:right w:val="none" w:sz="0" w:space="0" w:color="auto"/>
      </w:divBdr>
    </w:div>
    <w:div w:id="676201305">
      <w:bodyDiv w:val="1"/>
      <w:marLeft w:val="0"/>
      <w:marRight w:val="0"/>
      <w:marTop w:val="0"/>
      <w:marBottom w:val="0"/>
      <w:divBdr>
        <w:top w:val="none" w:sz="0" w:space="0" w:color="auto"/>
        <w:left w:val="none" w:sz="0" w:space="0" w:color="auto"/>
        <w:bottom w:val="none" w:sz="0" w:space="0" w:color="auto"/>
        <w:right w:val="none" w:sz="0" w:space="0" w:color="auto"/>
      </w:divBdr>
    </w:div>
    <w:div w:id="676226357">
      <w:bodyDiv w:val="1"/>
      <w:marLeft w:val="0"/>
      <w:marRight w:val="0"/>
      <w:marTop w:val="0"/>
      <w:marBottom w:val="0"/>
      <w:divBdr>
        <w:top w:val="none" w:sz="0" w:space="0" w:color="auto"/>
        <w:left w:val="none" w:sz="0" w:space="0" w:color="auto"/>
        <w:bottom w:val="none" w:sz="0" w:space="0" w:color="auto"/>
        <w:right w:val="none" w:sz="0" w:space="0" w:color="auto"/>
      </w:divBdr>
    </w:div>
    <w:div w:id="676232318">
      <w:bodyDiv w:val="1"/>
      <w:marLeft w:val="0"/>
      <w:marRight w:val="0"/>
      <w:marTop w:val="0"/>
      <w:marBottom w:val="0"/>
      <w:divBdr>
        <w:top w:val="none" w:sz="0" w:space="0" w:color="auto"/>
        <w:left w:val="none" w:sz="0" w:space="0" w:color="auto"/>
        <w:bottom w:val="none" w:sz="0" w:space="0" w:color="auto"/>
        <w:right w:val="none" w:sz="0" w:space="0" w:color="auto"/>
      </w:divBdr>
    </w:div>
    <w:div w:id="676270031">
      <w:bodyDiv w:val="1"/>
      <w:marLeft w:val="0"/>
      <w:marRight w:val="0"/>
      <w:marTop w:val="0"/>
      <w:marBottom w:val="0"/>
      <w:divBdr>
        <w:top w:val="none" w:sz="0" w:space="0" w:color="auto"/>
        <w:left w:val="none" w:sz="0" w:space="0" w:color="auto"/>
        <w:bottom w:val="none" w:sz="0" w:space="0" w:color="auto"/>
        <w:right w:val="none" w:sz="0" w:space="0" w:color="auto"/>
      </w:divBdr>
    </w:div>
    <w:div w:id="676272900">
      <w:bodyDiv w:val="1"/>
      <w:marLeft w:val="0"/>
      <w:marRight w:val="0"/>
      <w:marTop w:val="0"/>
      <w:marBottom w:val="0"/>
      <w:divBdr>
        <w:top w:val="none" w:sz="0" w:space="0" w:color="auto"/>
        <w:left w:val="none" w:sz="0" w:space="0" w:color="auto"/>
        <w:bottom w:val="none" w:sz="0" w:space="0" w:color="auto"/>
        <w:right w:val="none" w:sz="0" w:space="0" w:color="auto"/>
      </w:divBdr>
    </w:div>
    <w:div w:id="676273528">
      <w:bodyDiv w:val="1"/>
      <w:marLeft w:val="0"/>
      <w:marRight w:val="0"/>
      <w:marTop w:val="0"/>
      <w:marBottom w:val="0"/>
      <w:divBdr>
        <w:top w:val="none" w:sz="0" w:space="0" w:color="auto"/>
        <w:left w:val="none" w:sz="0" w:space="0" w:color="auto"/>
        <w:bottom w:val="none" w:sz="0" w:space="0" w:color="auto"/>
        <w:right w:val="none" w:sz="0" w:space="0" w:color="auto"/>
      </w:divBdr>
    </w:div>
    <w:div w:id="676275524">
      <w:bodyDiv w:val="1"/>
      <w:marLeft w:val="0"/>
      <w:marRight w:val="0"/>
      <w:marTop w:val="0"/>
      <w:marBottom w:val="0"/>
      <w:divBdr>
        <w:top w:val="none" w:sz="0" w:space="0" w:color="auto"/>
        <w:left w:val="none" w:sz="0" w:space="0" w:color="auto"/>
        <w:bottom w:val="none" w:sz="0" w:space="0" w:color="auto"/>
        <w:right w:val="none" w:sz="0" w:space="0" w:color="auto"/>
      </w:divBdr>
    </w:div>
    <w:div w:id="676540146">
      <w:bodyDiv w:val="1"/>
      <w:marLeft w:val="0"/>
      <w:marRight w:val="0"/>
      <w:marTop w:val="0"/>
      <w:marBottom w:val="0"/>
      <w:divBdr>
        <w:top w:val="none" w:sz="0" w:space="0" w:color="auto"/>
        <w:left w:val="none" w:sz="0" w:space="0" w:color="auto"/>
        <w:bottom w:val="none" w:sz="0" w:space="0" w:color="auto"/>
        <w:right w:val="none" w:sz="0" w:space="0" w:color="auto"/>
      </w:divBdr>
    </w:div>
    <w:div w:id="676812237">
      <w:bodyDiv w:val="1"/>
      <w:marLeft w:val="0"/>
      <w:marRight w:val="0"/>
      <w:marTop w:val="0"/>
      <w:marBottom w:val="0"/>
      <w:divBdr>
        <w:top w:val="none" w:sz="0" w:space="0" w:color="auto"/>
        <w:left w:val="none" w:sz="0" w:space="0" w:color="auto"/>
        <w:bottom w:val="none" w:sz="0" w:space="0" w:color="auto"/>
        <w:right w:val="none" w:sz="0" w:space="0" w:color="auto"/>
      </w:divBdr>
    </w:div>
    <w:div w:id="677004056">
      <w:bodyDiv w:val="1"/>
      <w:marLeft w:val="0"/>
      <w:marRight w:val="0"/>
      <w:marTop w:val="0"/>
      <w:marBottom w:val="0"/>
      <w:divBdr>
        <w:top w:val="none" w:sz="0" w:space="0" w:color="auto"/>
        <w:left w:val="none" w:sz="0" w:space="0" w:color="auto"/>
        <w:bottom w:val="none" w:sz="0" w:space="0" w:color="auto"/>
        <w:right w:val="none" w:sz="0" w:space="0" w:color="auto"/>
      </w:divBdr>
    </w:div>
    <w:div w:id="677075463">
      <w:bodyDiv w:val="1"/>
      <w:marLeft w:val="0"/>
      <w:marRight w:val="0"/>
      <w:marTop w:val="0"/>
      <w:marBottom w:val="0"/>
      <w:divBdr>
        <w:top w:val="none" w:sz="0" w:space="0" w:color="auto"/>
        <w:left w:val="none" w:sz="0" w:space="0" w:color="auto"/>
        <w:bottom w:val="none" w:sz="0" w:space="0" w:color="auto"/>
        <w:right w:val="none" w:sz="0" w:space="0" w:color="auto"/>
      </w:divBdr>
    </w:div>
    <w:div w:id="677121600">
      <w:bodyDiv w:val="1"/>
      <w:marLeft w:val="0"/>
      <w:marRight w:val="0"/>
      <w:marTop w:val="0"/>
      <w:marBottom w:val="0"/>
      <w:divBdr>
        <w:top w:val="none" w:sz="0" w:space="0" w:color="auto"/>
        <w:left w:val="none" w:sz="0" w:space="0" w:color="auto"/>
        <w:bottom w:val="none" w:sz="0" w:space="0" w:color="auto"/>
        <w:right w:val="none" w:sz="0" w:space="0" w:color="auto"/>
      </w:divBdr>
    </w:div>
    <w:div w:id="677394377">
      <w:bodyDiv w:val="1"/>
      <w:marLeft w:val="0"/>
      <w:marRight w:val="0"/>
      <w:marTop w:val="0"/>
      <w:marBottom w:val="0"/>
      <w:divBdr>
        <w:top w:val="none" w:sz="0" w:space="0" w:color="auto"/>
        <w:left w:val="none" w:sz="0" w:space="0" w:color="auto"/>
        <w:bottom w:val="none" w:sz="0" w:space="0" w:color="auto"/>
        <w:right w:val="none" w:sz="0" w:space="0" w:color="auto"/>
      </w:divBdr>
    </w:div>
    <w:div w:id="677511231">
      <w:bodyDiv w:val="1"/>
      <w:marLeft w:val="0"/>
      <w:marRight w:val="0"/>
      <w:marTop w:val="0"/>
      <w:marBottom w:val="0"/>
      <w:divBdr>
        <w:top w:val="none" w:sz="0" w:space="0" w:color="auto"/>
        <w:left w:val="none" w:sz="0" w:space="0" w:color="auto"/>
        <w:bottom w:val="none" w:sz="0" w:space="0" w:color="auto"/>
        <w:right w:val="none" w:sz="0" w:space="0" w:color="auto"/>
      </w:divBdr>
    </w:div>
    <w:div w:id="678233320">
      <w:bodyDiv w:val="1"/>
      <w:marLeft w:val="0"/>
      <w:marRight w:val="0"/>
      <w:marTop w:val="0"/>
      <w:marBottom w:val="0"/>
      <w:divBdr>
        <w:top w:val="none" w:sz="0" w:space="0" w:color="auto"/>
        <w:left w:val="none" w:sz="0" w:space="0" w:color="auto"/>
        <w:bottom w:val="none" w:sz="0" w:space="0" w:color="auto"/>
        <w:right w:val="none" w:sz="0" w:space="0" w:color="auto"/>
      </w:divBdr>
    </w:div>
    <w:div w:id="678391702">
      <w:bodyDiv w:val="1"/>
      <w:marLeft w:val="0"/>
      <w:marRight w:val="0"/>
      <w:marTop w:val="0"/>
      <w:marBottom w:val="0"/>
      <w:divBdr>
        <w:top w:val="none" w:sz="0" w:space="0" w:color="auto"/>
        <w:left w:val="none" w:sz="0" w:space="0" w:color="auto"/>
        <w:bottom w:val="none" w:sz="0" w:space="0" w:color="auto"/>
        <w:right w:val="none" w:sz="0" w:space="0" w:color="auto"/>
      </w:divBdr>
    </w:div>
    <w:div w:id="678392420">
      <w:bodyDiv w:val="1"/>
      <w:marLeft w:val="0"/>
      <w:marRight w:val="0"/>
      <w:marTop w:val="0"/>
      <w:marBottom w:val="0"/>
      <w:divBdr>
        <w:top w:val="none" w:sz="0" w:space="0" w:color="auto"/>
        <w:left w:val="none" w:sz="0" w:space="0" w:color="auto"/>
        <w:bottom w:val="none" w:sz="0" w:space="0" w:color="auto"/>
        <w:right w:val="none" w:sz="0" w:space="0" w:color="auto"/>
      </w:divBdr>
    </w:div>
    <w:div w:id="678891126">
      <w:bodyDiv w:val="1"/>
      <w:marLeft w:val="0"/>
      <w:marRight w:val="0"/>
      <w:marTop w:val="0"/>
      <w:marBottom w:val="0"/>
      <w:divBdr>
        <w:top w:val="none" w:sz="0" w:space="0" w:color="auto"/>
        <w:left w:val="none" w:sz="0" w:space="0" w:color="auto"/>
        <w:bottom w:val="none" w:sz="0" w:space="0" w:color="auto"/>
        <w:right w:val="none" w:sz="0" w:space="0" w:color="auto"/>
      </w:divBdr>
    </w:div>
    <w:div w:id="678897720">
      <w:bodyDiv w:val="1"/>
      <w:marLeft w:val="0"/>
      <w:marRight w:val="0"/>
      <w:marTop w:val="0"/>
      <w:marBottom w:val="0"/>
      <w:divBdr>
        <w:top w:val="none" w:sz="0" w:space="0" w:color="auto"/>
        <w:left w:val="none" w:sz="0" w:space="0" w:color="auto"/>
        <w:bottom w:val="none" w:sz="0" w:space="0" w:color="auto"/>
        <w:right w:val="none" w:sz="0" w:space="0" w:color="auto"/>
      </w:divBdr>
    </w:div>
    <w:div w:id="679039770">
      <w:bodyDiv w:val="1"/>
      <w:marLeft w:val="0"/>
      <w:marRight w:val="0"/>
      <w:marTop w:val="0"/>
      <w:marBottom w:val="0"/>
      <w:divBdr>
        <w:top w:val="none" w:sz="0" w:space="0" w:color="auto"/>
        <w:left w:val="none" w:sz="0" w:space="0" w:color="auto"/>
        <w:bottom w:val="none" w:sz="0" w:space="0" w:color="auto"/>
        <w:right w:val="none" w:sz="0" w:space="0" w:color="auto"/>
      </w:divBdr>
    </w:div>
    <w:div w:id="679237909">
      <w:bodyDiv w:val="1"/>
      <w:marLeft w:val="0"/>
      <w:marRight w:val="0"/>
      <w:marTop w:val="0"/>
      <w:marBottom w:val="0"/>
      <w:divBdr>
        <w:top w:val="none" w:sz="0" w:space="0" w:color="auto"/>
        <w:left w:val="none" w:sz="0" w:space="0" w:color="auto"/>
        <w:bottom w:val="none" w:sz="0" w:space="0" w:color="auto"/>
        <w:right w:val="none" w:sz="0" w:space="0" w:color="auto"/>
      </w:divBdr>
    </w:div>
    <w:div w:id="679426120">
      <w:bodyDiv w:val="1"/>
      <w:marLeft w:val="0"/>
      <w:marRight w:val="0"/>
      <w:marTop w:val="0"/>
      <w:marBottom w:val="0"/>
      <w:divBdr>
        <w:top w:val="none" w:sz="0" w:space="0" w:color="auto"/>
        <w:left w:val="none" w:sz="0" w:space="0" w:color="auto"/>
        <w:bottom w:val="none" w:sz="0" w:space="0" w:color="auto"/>
        <w:right w:val="none" w:sz="0" w:space="0" w:color="auto"/>
      </w:divBdr>
    </w:div>
    <w:div w:id="679548702">
      <w:bodyDiv w:val="1"/>
      <w:marLeft w:val="0"/>
      <w:marRight w:val="0"/>
      <w:marTop w:val="0"/>
      <w:marBottom w:val="0"/>
      <w:divBdr>
        <w:top w:val="none" w:sz="0" w:space="0" w:color="auto"/>
        <w:left w:val="none" w:sz="0" w:space="0" w:color="auto"/>
        <w:bottom w:val="none" w:sz="0" w:space="0" w:color="auto"/>
        <w:right w:val="none" w:sz="0" w:space="0" w:color="auto"/>
      </w:divBdr>
    </w:div>
    <w:div w:id="679553082">
      <w:bodyDiv w:val="1"/>
      <w:marLeft w:val="0"/>
      <w:marRight w:val="0"/>
      <w:marTop w:val="0"/>
      <w:marBottom w:val="0"/>
      <w:divBdr>
        <w:top w:val="none" w:sz="0" w:space="0" w:color="auto"/>
        <w:left w:val="none" w:sz="0" w:space="0" w:color="auto"/>
        <w:bottom w:val="none" w:sz="0" w:space="0" w:color="auto"/>
        <w:right w:val="none" w:sz="0" w:space="0" w:color="auto"/>
      </w:divBdr>
    </w:div>
    <w:div w:id="679624345">
      <w:bodyDiv w:val="1"/>
      <w:marLeft w:val="0"/>
      <w:marRight w:val="0"/>
      <w:marTop w:val="0"/>
      <w:marBottom w:val="0"/>
      <w:divBdr>
        <w:top w:val="none" w:sz="0" w:space="0" w:color="auto"/>
        <w:left w:val="none" w:sz="0" w:space="0" w:color="auto"/>
        <w:bottom w:val="none" w:sz="0" w:space="0" w:color="auto"/>
        <w:right w:val="none" w:sz="0" w:space="0" w:color="auto"/>
      </w:divBdr>
    </w:div>
    <w:div w:id="679627604">
      <w:bodyDiv w:val="1"/>
      <w:marLeft w:val="0"/>
      <w:marRight w:val="0"/>
      <w:marTop w:val="0"/>
      <w:marBottom w:val="0"/>
      <w:divBdr>
        <w:top w:val="none" w:sz="0" w:space="0" w:color="auto"/>
        <w:left w:val="none" w:sz="0" w:space="0" w:color="auto"/>
        <w:bottom w:val="none" w:sz="0" w:space="0" w:color="auto"/>
        <w:right w:val="none" w:sz="0" w:space="0" w:color="auto"/>
      </w:divBdr>
    </w:div>
    <w:div w:id="679746071">
      <w:bodyDiv w:val="1"/>
      <w:marLeft w:val="0"/>
      <w:marRight w:val="0"/>
      <w:marTop w:val="0"/>
      <w:marBottom w:val="0"/>
      <w:divBdr>
        <w:top w:val="none" w:sz="0" w:space="0" w:color="auto"/>
        <w:left w:val="none" w:sz="0" w:space="0" w:color="auto"/>
        <w:bottom w:val="none" w:sz="0" w:space="0" w:color="auto"/>
        <w:right w:val="none" w:sz="0" w:space="0" w:color="auto"/>
      </w:divBdr>
    </w:div>
    <w:div w:id="679887883">
      <w:bodyDiv w:val="1"/>
      <w:marLeft w:val="0"/>
      <w:marRight w:val="0"/>
      <w:marTop w:val="0"/>
      <w:marBottom w:val="0"/>
      <w:divBdr>
        <w:top w:val="none" w:sz="0" w:space="0" w:color="auto"/>
        <w:left w:val="none" w:sz="0" w:space="0" w:color="auto"/>
        <w:bottom w:val="none" w:sz="0" w:space="0" w:color="auto"/>
        <w:right w:val="none" w:sz="0" w:space="0" w:color="auto"/>
      </w:divBdr>
    </w:div>
    <w:div w:id="679892696">
      <w:bodyDiv w:val="1"/>
      <w:marLeft w:val="0"/>
      <w:marRight w:val="0"/>
      <w:marTop w:val="0"/>
      <w:marBottom w:val="0"/>
      <w:divBdr>
        <w:top w:val="none" w:sz="0" w:space="0" w:color="auto"/>
        <w:left w:val="none" w:sz="0" w:space="0" w:color="auto"/>
        <w:bottom w:val="none" w:sz="0" w:space="0" w:color="auto"/>
        <w:right w:val="none" w:sz="0" w:space="0" w:color="auto"/>
      </w:divBdr>
    </w:div>
    <w:div w:id="680011479">
      <w:bodyDiv w:val="1"/>
      <w:marLeft w:val="0"/>
      <w:marRight w:val="0"/>
      <w:marTop w:val="0"/>
      <w:marBottom w:val="0"/>
      <w:divBdr>
        <w:top w:val="none" w:sz="0" w:space="0" w:color="auto"/>
        <w:left w:val="none" w:sz="0" w:space="0" w:color="auto"/>
        <w:bottom w:val="none" w:sz="0" w:space="0" w:color="auto"/>
        <w:right w:val="none" w:sz="0" w:space="0" w:color="auto"/>
      </w:divBdr>
    </w:div>
    <w:div w:id="680088186">
      <w:bodyDiv w:val="1"/>
      <w:marLeft w:val="0"/>
      <w:marRight w:val="0"/>
      <w:marTop w:val="0"/>
      <w:marBottom w:val="0"/>
      <w:divBdr>
        <w:top w:val="none" w:sz="0" w:space="0" w:color="auto"/>
        <w:left w:val="none" w:sz="0" w:space="0" w:color="auto"/>
        <w:bottom w:val="none" w:sz="0" w:space="0" w:color="auto"/>
        <w:right w:val="none" w:sz="0" w:space="0" w:color="auto"/>
      </w:divBdr>
    </w:div>
    <w:div w:id="680204439">
      <w:bodyDiv w:val="1"/>
      <w:marLeft w:val="0"/>
      <w:marRight w:val="0"/>
      <w:marTop w:val="0"/>
      <w:marBottom w:val="0"/>
      <w:divBdr>
        <w:top w:val="none" w:sz="0" w:space="0" w:color="auto"/>
        <w:left w:val="none" w:sz="0" w:space="0" w:color="auto"/>
        <w:bottom w:val="none" w:sz="0" w:space="0" w:color="auto"/>
        <w:right w:val="none" w:sz="0" w:space="0" w:color="auto"/>
      </w:divBdr>
    </w:div>
    <w:div w:id="680356708">
      <w:bodyDiv w:val="1"/>
      <w:marLeft w:val="0"/>
      <w:marRight w:val="0"/>
      <w:marTop w:val="0"/>
      <w:marBottom w:val="0"/>
      <w:divBdr>
        <w:top w:val="none" w:sz="0" w:space="0" w:color="auto"/>
        <w:left w:val="none" w:sz="0" w:space="0" w:color="auto"/>
        <w:bottom w:val="none" w:sz="0" w:space="0" w:color="auto"/>
        <w:right w:val="none" w:sz="0" w:space="0" w:color="auto"/>
      </w:divBdr>
    </w:div>
    <w:div w:id="680356927">
      <w:bodyDiv w:val="1"/>
      <w:marLeft w:val="0"/>
      <w:marRight w:val="0"/>
      <w:marTop w:val="0"/>
      <w:marBottom w:val="0"/>
      <w:divBdr>
        <w:top w:val="none" w:sz="0" w:space="0" w:color="auto"/>
        <w:left w:val="none" w:sz="0" w:space="0" w:color="auto"/>
        <w:bottom w:val="none" w:sz="0" w:space="0" w:color="auto"/>
        <w:right w:val="none" w:sz="0" w:space="0" w:color="auto"/>
      </w:divBdr>
    </w:div>
    <w:div w:id="680395069">
      <w:bodyDiv w:val="1"/>
      <w:marLeft w:val="0"/>
      <w:marRight w:val="0"/>
      <w:marTop w:val="0"/>
      <w:marBottom w:val="0"/>
      <w:divBdr>
        <w:top w:val="none" w:sz="0" w:space="0" w:color="auto"/>
        <w:left w:val="none" w:sz="0" w:space="0" w:color="auto"/>
        <w:bottom w:val="none" w:sz="0" w:space="0" w:color="auto"/>
        <w:right w:val="none" w:sz="0" w:space="0" w:color="auto"/>
      </w:divBdr>
    </w:div>
    <w:div w:id="680395353">
      <w:bodyDiv w:val="1"/>
      <w:marLeft w:val="0"/>
      <w:marRight w:val="0"/>
      <w:marTop w:val="0"/>
      <w:marBottom w:val="0"/>
      <w:divBdr>
        <w:top w:val="none" w:sz="0" w:space="0" w:color="auto"/>
        <w:left w:val="none" w:sz="0" w:space="0" w:color="auto"/>
        <w:bottom w:val="none" w:sz="0" w:space="0" w:color="auto"/>
        <w:right w:val="none" w:sz="0" w:space="0" w:color="auto"/>
      </w:divBdr>
    </w:div>
    <w:div w:id="680476428">
      <w:bodyDiv w:val="1"/>
      <w:marLeft w:val="0"/>
      <w:marRight w:val="0"/>
      <w:marTop w:val="0"/>
      <w:marBottom w:val="0"/>
      <w:divBdr>
        <w:top w:val="none" w:sz="0" w:space="0" w:color="auto"/>
        <w:left w:val="none" w:sz="0" w:space="0" w:color="auto"/>
        <w:bottom w:val="none" w:sz="0" w:space="0" w:color="auto"/>
        <w:right w:val="none" w:sz="0" w:space="0" w:color="auto"/>
      </w:divBdr>
    </w:div>
    <w:div w:id="680544237">
      <w:bodyDiv w:val="1"/>
      <w:marLeft w:val="0"/>
      <w:marRight w:val="0"/>
      <w:marTop w:val="0"/>
      <w:marBottom w:val="0"/>
      <w:divBdr>
        <w:top w:val="none" w:sz="0" w:space="0" w:color="auto"/>
        <w:left w:val="none" w:sz="0" w:space="0" w:color="auto"/>
        <w:bottom w:val="none" w:sz="0" w:space="0" w:color="auto"/>
        <w:right w:val="none" w:sz="0" w:space="0" w:color="auto"/>
      </w:divBdr>
    </w:div>
    <w:div w:id="680622835">
      <w:bodyDiv w:val="1"/>
      <w:marLeft w:val="0"/>
      <w:marRight w:val="0"/>
      <w:marTop w:val="0"/>
      <w:marBottom w:val="0"/>
      <w:divBdr>
        <w:top w:val="none" w:sz="0" w:space="0" w:color="auto"/>
        <w:left w:val="none" w:sz="0" w:space="0" w:color="auto"/>
        <w:bottom w:val="none" w:sz="0" w:space="0" w:color="auto"/>
        <w:right w:val="none" w:sz="0" w:space="0" w:color="auto"/>
      </w:divBdr>
    </w:div>
    <w:div w:id="680740358">
      <w:bodyDiv w:val="1"/>
      <w:marLeft w:val="0"/>
      <w:marRight w:val="0"/>
      <w:marTop w:val="0"/>
      <w:marBottom w:val="0"/>
      <w:divBdr>
        <w:top w:val="none" w:sz="0" w:space="0" w:color="auto"/>
        <w:left w:val="none" w:sz="0" w:space="0" w:color="auto"/>
        <w:bottom w:val="none" w:sz="0" w:space="0" w:color="auto"/>
        <w:right w:val="none" w:sz="0" w:space="0" w:color="auto"/>
      </w:divBdr>
    </w:div>
    <w:div w:id="680813041">
      <w:bodyDiv w:val="1"/>
      <w:marLeft w:val="0"/>
      <w:marRight w:val="0"/>
      <w:marTop w:val="0"/>
      <w:marBottom w:val="0"/>
      <w:divBdr>
        <w:top w:val="none" w:sz="0" w:space="0" w:color="auto"/>
        <w:left w:val="none" w:sz="0" w:space="0" w:color="auto"/>
        <w:bottom w:val="none" w:sz="0" w:space="0" w:color="auto"/>
        <w:right w:val="none" w:sz="0" w:space="0" w:color="auto"/>
      </w:divBdr>
    </w:div>
    <w:div w:id="680938253">
      <w:bodyDiv w:val="1"/>
      <w:marLeft w:val="0"/>
      <w:marRight w:val="0"/>
      <w:marTop w:val="0"/>
      <w:marBottom w:val="0"/>
      <w:divBdr>
        <w:top w:val="none" w:sz="0" w:space="0" w:color="auto"/>
        <w:left w:val="none" w:sz="0" w:space="0" w:color="auto"/>
        <w:bottom w:val="none" w:sz="0" w:space="0" w:color="auto"/>
        <w:right w:val="none" w:sz="0" w:space="0" w:color="auto"/>
      </w:divBdr>
    </w:div>
    <w:div w:id="681007023">
      <w:bodyDiv w:val="1"/>
      <w:marLeft w:val="0"/>
      <w:marRight w:val="0"/>
      <w:marTop w:val="0"/>
      <w:marBottom w:val="0"/>
      <w:divBdr>
        <w:top w:val="none" w:sz="0" w:space="0" w:color="auto"/>
        <w:left w:val="none" w:sz="0" w:space="0" w:color="auto"/>
        <w:bottom w:val="none" w:sz="0" w:space="0" w:color="auto"/>
        <w:right w:val="none" w:sz="0" w:space="0" w:color="auto"/>
      </w:divBdr>
    </w:div>
    <w:div w:id="681010554">
      <w:bodyDiv w:val="1"/>
      <w:marLeft w:val="0"/>
      <w:marRight w:val="0"/>
      <w:marTop w:val="0"/>
      <w:marBottom w:val="0"/>
      <w:divBdr>
        <w:top w:val="none" w:sz="0" w:space="0" w:color="auto"/>
        <w:left w:val="none" w:sz="0" w:space="0" w:color="auto"/>
        <w:bottom w:val="none" w:sz="0" w:space="0" w:color="auto"/>
        <w:right w:val="none" w:sz="0" w:space="0" w:color="auto"/>
      </w:divBdr>
    </w:div>
    <w:div w:id="681320774">
      <w:bodyDiv w:val="1"/>
      <w:marLeft w:val="0"/>
      <w:marRight w:val="0"/>
      <w:marTop w:val="0"/>
      <w:marBottom w:val="0"/>
      <w:divBdr>
        <w:top w:val="none" w:sz="0" w:space="0" w:color="auto"/>
        <w:left w:val="none" w:sz="0" w:space="0" w:color="auto"/>
        <w:bottom w:val="none" w:sz="0" w:space="0" w:color="auto"/>
        <w:right w:val="none" w:sz="0" w:space="0" w:color="auto"/>
      </w:divBdr>
    </w:div>
    <w:div w:id="681783204">
      <w:bodyDiv w:val="1"/>
      <w:marLeft w:val="0"/>
      <w:marRight w:val="0"/>
      <w:marTop w:val="0"/>
      <w:marBottom w:val="0"/>
      <w:divBdr>
        <w:top w:val="none" w:sz="0" w:space="0" w:color="auto"/>
        <w:left w:val="none" w:sz="0" w:space="0" w:color="auto"/>
        <w:bottom w:val="none" w:sz="0" w:space="0" w:color="auto"/>
        <w:right w:val="none" w:sz="0" w:space="0" w:color="auto"/>
      </w:divBdr>
    </w:div>
    <w:div w:id="682324283">
      <w:bodyDiv w:val="1"/>
      <w:marLeft w:val="0"/>
      <w:marRight w:val="0"/>
      <w:marTop w:val="0"/>
      <w:marBottom w:val="0"/>
      <w:divBdr>
        <w:top w:val="none" w:sz="0" w:space="0" w:color="auto"/>
        <w:left w:val="none" w:sz="0" w:space="0" w:color="auto"/>
        <w:bottom w:val="none" w:sz="0" w:space="0" w:color="auto"/>
        <w:right w:val="none" w:sz="0" w:space="0" w:color="auto"/>
      </w:divBdr>
    </w:div>
    <w:div w:id="682783545">
      <w:bodyDiv w:val="1"/>
      <w:marLeft w:val="0"/>
      <w:marRight w:val="0"/>
      <w:marTop w:val="0"/>
      <w:marBottom w:val="0"/>
      <w:divBdr>
        <w:top w:val="none" w:sz="0" w:space="0" w:color="auto"/>
        <w:left w:val="none" w:sz="0" w:space="0" w:color="auto"/>
        <w:bottom w:val="none" w:sz="0" w:space="0" w:color="auto"/>
        <w:right w:val="none" w:sz="0" w:space="0" w:color="auto"/>
      </w:divBdr>
    </w:div>
    <w:div w:id="682975265">
      <w:bodyDiv w:val="1"/>
      <w:marLeft w:val="0"/>
      <w:marRight w:val="0"/>
      <w:marTop w:val="0"/>
      <w:marBottom w:val="0"/>
      <w:divBdr>
        <w:top w:val="none" w:sz="0" w:space="0" w:color="auto"/>
        <w:left w:val="none" w:sz="0" w:space="0" w:color="auto"/>
        <w:bottom w:val="none" w:sz="0" w:space="0" w:color="auto"/>
        <w:right w:val="none" w:sz="0" w:space="0" w:color="auto"/>
      </w:divBdr>
    </w:div>
    <w:div w:id="683090983">
      <w:bodyDiv w:val="1"/>
      <w:marLeft w:val="0"/>
      <w:marRight w:val="0"/>
      <w:marTop w:val="0"/>
      <w:marBottom w:val="0"/>
      <w:divBdr>
        <w:top w:val="none" w:sz="0" w:space="0" w:color="auto"/>
        <w:left w:val="none" w:sz="0" w:space="0" w:color="auto"/>
        <w:bottom w:val="none" w:sz="0" w:space="0" w:color="auto"/>
        <w:right w:val="none" w:sz="0" w:space="0" w:color="auto"/>
      </w:divBdr>
    </w:div>
    <w:div w:id="683283062">
      <w:bodyDiv w:val="1"/>
      <w:marLeft w:val="0"/>
      <w:marRight w:val="0"/>
      <w:marTop w:val="0"/>
      <w:marBottom w:val="0"/>
      <w:divBdr>
        <w:top w:val="none" w:sz="0" w:space="0" w:color="auto"/>
        <w:left w:val="none" w:sz="0" w:space="0" w:color="auto"/>
        <w:bottom w:val="none" w:sz="0" w:space="0" w:color="auto"/>
        <w:right w:val="none" w:sz="0" w:space="0" w:color="auto"/>
      </w:divBdr>
    </w:div>
    <w:div w:id="683437175">
      <w:bodyDiv w:val="1"/>
      <w:marLeft w:val="0"/>
      <w:marRight w:val="0"/>
      <w:marTop w:val="0"/>
      <w:marBottom w:val="0"/>
      <w:divBdr>
        <w:top w:val="none" w:sz="0" w:space="0" w:color="auto"/>
        <w:left w:val="none" w:sz="0" w:space="0" w:color="auto"/>
        <w:bottom w:val="none" w:sz="0" w:space="0" w:color="auto"/>
        <w:right w:val="none" w:sz="0" w:space="0" w:color="auto"/>
      </w:divBdr>
    </w:div>
    <w:div w:id="683478567">
      <w:bodyDiv w:val="1"/>
      <w:marLeft w:val="0"/>
      <w:marRight w:val="0"/>
      <w:marTop w:val="0"/>
      <w:marBottom w:val="0"/>
      <w:divBdr>
        <w:top w:val="none" w:sz="0" w:space="0" w:color="auto"/>
        <w:left w:val="none" w:sz="0" w:space="0" w:color="auto"/>
        <w:bottom w:val="none" w:sz="0" w:space="0" w:color="auto"/>
        <w:right w:val="none" w:sz="0" w:space="0" w:color="auto"/>
      </w:divBdr>
    </w:div>
    <w:div w:id="683552879">
      <w:bodyDiv w:val="1"/>
      <w:marLeft w:val="0"/>
      <w:marRight w:val="0"/>
      <w:marTop w:val="0"/>
      <w:marBottom w:val="0"/>
      <w:divBdr>
        <w:top w:val="none" w:sz="0" w:space="0" w:color="auto"/>
        <w:left w:val="none" w:sz="0" w:space="0" w:color="auto"/>
        <w:bottom w:val="none" w:sz="0" w:space="0" w:color="auto"/>
        <w:right w:val="none" w:sz="0" w:space="0" w:color="auto"/>
      </w:divBdr>
    </w:div>
    <w:div w:id="683631473">
      <w:bodyDiv w:val="1"/>
      <w:marLeft w:val="0"/>
      <w:marRight w:val="0"/>
      <w:marTop w:val="0"/>
      <w:marBottom w:val="0"/>
      <w:divBdr>
        <w:top w:val="none" w:sz="0" w:space="0" w:color="auto"/>
        <w:left w:val="none" w:sz="0" w:space="0" w:color="auto"/>
        <w:bottom w:val="none" w:sz="0" w:space="0" w:color="auto"/>
        <w:right w:val="none" w:sz="0" w:space="0" w:color="auto"/>
      </w:divBdr>
    </w:div>
    <w:div w:id="683634045">
      <w:bodyDiv w:val="1"/>
      <w:marLeft w:val="0"/>
      <w:marRight w:val="0"/>
      <w:marTop w:val="0"/>
      <w:marBottom w:val="0"/>
      <w:divBdr>
        <w:top w:val="none" w:sz="0" w:space="0" w:color="auto"/>
        <w:left w:val="none" w:sz="0" w:space="0" w:color="auto"/>
        <w:bottom w:val="none" w:sz="0" w:space="0" w:color="auto"/>
        <w:right w:val="none" w:sz="0" w:space="0" w:color="auto"/>
      </w:divBdr>
    </w:div>
    <w:div w:id="683749596">
      <w:bodyDiv w:val="1"/>
      <w:marLeft w:val="0"/>
      <w:marRight w:val="0"/>
      <w:marTop w:val="0"/>
      <w:marBottom w:val="0"/>
      <w:divBdr>
        <w:top w:val="none" w:sz="0" w:space="0" w:color="auto"/>
        <w:left w:val="none" w:sz="0" w:space="0" w:color="auto"/>
        <w:bottom w:val="none" w:sz="0" w:space="0" w:color="auto"/>
        <w:right w:val="none" w:sz="0" w:space="0" w:color="auto"/>
      </w:divBdr>
    </w:div>
    <w:div w:id="684015107">
      <w:bodyDiv w:val="1"/>
      <w:marLeft w:val="0"/>
      <w:marRight w:val="0"/>
      <w:marTop w:val="0"/>
      <w:marBottom w:val="0"/>
      <w:divBdr>
        <w:top w:val="none" w:sz="0" w:space="0" w:color="auto"/>
        <w:left w:val="none" w:sz="0" w:space="0" w:color="auto"/>
        <w:bottom w:val="none" w:sz="0" w:space="0" w:color="auto"/>
        <w:right w:val="none" w:sz="0" w:space="0" w:color="auto"/>
      </w:divBdr>
    </w:div>
    <w:div w:id="684137135">
      <w:bodyDiv w:val="1"/>
      <w:marLeft w:val="0"/>
      <w:marRight w:val="0"/>
      <w:marTop w:val="0"/>
      <w:marBottom w:val="0"/>
      <w:divBdr>
        <w:top w:val="none" w:sz="0" w:space="0" w:color="auto"/>
        <w:left w:val="none" w:sz="0" w:space="0" w:color="auto"/>
        <w:bottom w:val="none" w:sz="0" w:space="0" w:color="auto"/>
        <w:right w:val="none" w:sz="0" w:space="0" w:color="auto"/>
      </w:divBdr>
    </w:div>
    <w:div w:id="684214576">
      <w:bodyDiv w:val="1"/>
      <w:marLeft w:val="0"/>
      <w:marRight w:val="0"/>
      <w:marTop w:val="0"/>
      <w:marBottom w:val="0"/>
      <w:divBdr>
        <w:top w:val="none" w:sz="0" w:space="0" w:color="auto"/>
        <w:left w:val="none" w:sz="0" w:space="0" w:color="auto"/>
        <w:bottom w:val="none" w:sz="0" w:space="0" w:color="auto"/>
        <w:right w:val="none" w:sz="0" w:space="0" w:color="auto"/>
      </w:divBdr>
    </w:div>
    <w:div w:id="684331830">
      <w:bodyDiv w:val="1"/>
      <w:marLeft w:val="0"/>
      <w:marRight w:val="0"/>
      <w:marTop w:val="0"/>
      <w:marBottom w:val="0"/>
      <w:divBdr>
        <w:top w:val="none" w:sz="0" w:space="0" w:color="auto"/>
        <w:left w:val="none" w:sz="0" w:space="0" w:color="auto"/>
        <w:bottom w:val="none" w:sz="0" w:space="0" w:color="auto"/>
        <w:right w:val="none" w:sz="0" w:space="0" w:color="auto"/>
      </w:divBdr>
    </w:div>
    <w:div w:id="684333241">
      <w:bodyDiv w:val="1"/>
      <w:marLeft w:val="0"/>
      <w:marRight w:val="0"/>
      <w:marTop w:val="0"/>
      <w:marBottom w:val="0"/>
      <w:divBdr>
        <w:top w:val="none" w:sz="0" w:space="0" w:color="auto"/>
        <w:left w:val="none" w:sz="0" w:space="0" w:color="auto"/>
        <w:bottom w:val="none" w:sz="0" w:space="0" w:color="auto"/>
        <w:right w:val="none" w:sz="0" w:space="0" w:color="auto"/>
      </w:divBdr>
    </w:div>
    <w:div w:id="684484415">
      <w:bodyDiv w:val="1"/>
      <w:marLeft w:val="0"/>
      <w:marRight w:val="0"/>
      <w:marTop w:val="0"/>
      <w:marBottom w:val="0"/>
      <w:divBdr>
        <w:top w:val="none" w:sz="0" w:space="0" w:color="auto"/>
        <w:left w:val="none" w:sz="0" w:space="0" w:color="auto"/>
        <w:bottom w:val="none" w:sz="0" w:space="0" w:color="auto"/>
        <w:right w:val="none" w:sz="0" w:space="0" w:color="auto"/>
      </w:divBdr>
    </w:div>
    <w:div w:id="684596060">
      <w:bodyDiv w:val="1"/>
      <w:marLeft w:val="0"/>
      <w:marRight w:val="0"/>
      <w:marTop w:val="0"/>
      <w:marBottom w:val="0"/>
      <w:divBdr>
        <w:top w:val="none" w:sz="0" w:space="0" w:color="auto"/>
        <w:left w:val="none" w:sz="0" w:space="0" w:color="auto"/>
        <w:bottom w:val="none" w:sz="0" w:space="0" w:color="auto"/>
        <w:right w:val="none" w:sz="0" w:space="0" w:color="auto"/>
      </w:divBdr>
    </w:div>
    <w:div w:id="684672520">
      <w:bodyDiv w:val="1"/>
      <w:marLeft w:val="0"/>
      <w:marRight w:val="0"/>
      <w:marTop w:val="0"/>
      <w:marBottom w:val="0"/>
      <w:divBdr>
        <w:top w:val="none" w:sz="0" w:space="0" w:color="auto"/>
        <w:left w:val="none" w:sz="0" w:space="0" w:color="auto"/>
        <w:bottom w:val="none" w:sz="0" w:space="0" w:color="auto"/>
        <w:right w:val="none" w:sz="0" w:space="0" w:color="auto"/>
      </w:divBdr>
    </w:div>
    <w:div w:id="684746366">
      <w:bodyDiv w:val="1"/>
      <w:marLeft w:val="0"/>
      <w:marRight w:val="0"/>
      <w:marTop w:val="0"/>
      <w:marBottom w:val="0"/>
      <w:divBdr>
        <w:top w:val="none" w:sz="0" w:space="0" w:color="auto"/>
        <w:left w:val="none" w:sz="0" w:space="0" w:color="auto"/>
        <w:bottom w:val="none" w:sz="0" w:space="0" w:color="auto"/>
        <w:right w:val="none" w:sz="0" w:space="0" w:color="auto"/>
      </w:divBdr>
    </w:div>
    <w:div w:id="684787318">
      <w:bodyDiv w:val="1"/>
      <w:marLeft w:val="0"/>
      <w:marRight w:val="0"/>
      <w:marTop w:val="0"/>
      <w:marBottom w:val="0"/>
      <w:divBdr>
        <w:top w:val="none" w:sz="0" w:space="0" w:color="auto"/>
        <w:left w:val="none" w:sz="0" w:space="0" w:color="auto"/>
        <w:bottom w:val="none" w:sz="0" w:space="0" w:color="auto"/>
        <w:right w:val="none" w:sz="0" w:space="0" w:color="auto"/>
      </w:divBdr>
    </w:div>
    <w:div w:id="684936964">
      <w:bodyDiv w:val="1"/>
      <w:marLeft w:val="0"/>
      <w:marRight w:val="0"/>
      <w:marTop w:val="0"/>
      <w:marBottom w:val="0"/>
      <w:divBdr>
        <w:top w:val="none" w:sz="0" w:space="0" w:color="auto"/>
        <w:left w:val="none" w:sz="0" w:space="0" w:color="auto"/>
        <w:bottom w:val="none" w:sz="0" w:space="0" w:color="auto"/>
        <w:right w:val="none" w:sz="0" w:space="0" w:color="auto"/>
      </w:divBdr>
    </w:div>
    <w:div w:id="685132476">
      <w:bodyDiv w:val="1"/>
      <w:marLeft w:val="0"/>
      <w:marRight w:val="0"/>
      <w:marTop w:val="0"/>
      <w:marBottom w:val="0"/>
      <w:divBdr>
        <w:top w:val="none" w:sz="0" w:space="0" w:color="auto"/>
        <w:left w:val="none" w:sz="0" w:space="0" w:color="auto"/>
        <w:bottom w:val="none" w:sz="0" w:space="0" w:color="auto"/>
        <w:right w:val="none" w:sz="0" w:space="0" w:color="auto"/>
      </w:divBdr>
    </w:div>
    <w:div w:id="685253860">
      <w:bodyDiv w:val="1"/>
      <w:marLeft w:val="0"/>
      <w:marRight w:val="0"/>
      <w:marTop w:val="0"/>
      <w:marBottom w:val="0"/>
      <w:divBdr>
        <w:top w:val="none" w:sz="0" w:space="0" w:color="auto"/>
        <w:left w:val="none" w:sz="0" w:space="0" w:color="auto"/>
        <w:bottom w:val="none" w:sz="0" w:space="0" w:color="auto"/>
        <w:right w:val="none" w:sz="0" w:space="0" w:color="auto"/>
      </w:divBdr>
    </w:div>
    <w:div w:id="685256582">
      <w:bodyDiv w:val="1"/>
      <w:marLeft w:val="0"/>
      <w:marRight w:val="0"/>
      <w:marTop w:val="0"/>
      <w:marBottom w:val="0"/>
      <w:divBdr>
        <w:top w:val="none" w:sz="0" w:space="0" w:color="auto"/>
        <w:left w:val="none" w:sz="0" w:space="0" w:color="auto"/>
        <w:bottom w:val="none" w:sz="0" w:space="0" w:color="auto"/>
        <w:right w:val="none" w:sz="0" w:space="0" w:color="auto"/>
      </w:divBdr>
    </w:div>
    <w:div w:id="685400536">
      <w:bodyDiv w:val="1"/>
      <w:marLeft w:val="0"/>
      <w:marRight w:val="0"/>
      <w:marTop w:val="0"/>
      <w:marBottom w:val="0"/>
      <w:divBdr>
        <w:top w:val="none" w:sz="0" w:space="0" w:color="auto"/>
        <w:left w:val="none" w:sz="0" w:space="0" w:color="auto"/>
        <w:bottom w:val="none" w:sz="0" w:space="0" w:color="auto"/>
        <w:right w:val="none" w:sz="0" w:space="0" w:color="auto"/>
      </w:divBdr>
    </w:div>
    <w:div w:id="685446109">
      <w:bodyDiv w:val="1"/>
      <w:marLeft w:val="0"/>
      <w:marRight w:val="0"/>
      <w:marTop w:val="0"/>
      <w:marBottom w:val="0"/>
      <w:divBdr>
        <w:top w:val="none" w:sz="0" w:space="0" w:color="auto"/>
        <w:left w:val="none" w:sz="0" w:space="0" w:color="auto"/>
        <w:bottom w:val="none" w:sz="0" w:space="0" w:color="auto"/>
        <w:right w:val="none" w:sz="0" w:space="0" w:color="auto"/>
      </w:divBdr>
    </w:div>
    <w:div w:id="685524544">
      <w:bodyDiv w:val="1"/>
      <w:marLeft w:val="0"/>
      <w:marRight w:val="0"/>
      <w:marTop w:val="0"/>
      <w:marBottom w:val="0"/>
      <w:divBdr>
        <w:top w:val="none" w:sz="0" w:space="0" w:color="auto"/>
        <w:left w:val="none" w:sz="0" w:space="0" w:color="auto"/>
        <w:bottom w:val="none" w:sz="0" w:space="0" w:color="auto"/>
        <w:right w:val="none" w:sz="0" w:space="0" w:color="auto"/>
      </w:divBdr>
    </w:div>
    <w:div w:id="685596227">
      <w:bodyDiv w:val="1"/>
      <w:marLeft w:val="0"/>
      <w:marRight w:val="0"/>
      <w:marTop w:val="0"/>
      <w:marBottom w:val="0"/>
      <w:divBdr>
        <w:top w:val="none" w:sz="0" w:space="0" w:color="auto"/>
        <w:left w:val="none" w:sz="0" w:space="0" w:color="auto"/>
        <w:bottom w:val="none" w:sz="0" w:space="0" w:color="auto"/>
        <w:right w:val="none" w:sz="0" w:space="0" w:color="auto"/>
      </w:divBdr>
    </w:div>
    <w:div w:id="685712494">
      <w:bodyDiv w:val="1"/>
      <w:marLeft w:val="0"/>
      <w:marRight w:val="0"/>
      <w:marTop w:val="0"/>
      <w:marBottom w:val="0"/>
      <w:divBdr>
        <w:top w:val="none" w:sz="0" w:space="0" w:color="auto"/>
        <w:left w:val="none" w:sz="0" w:space="0" w:color="auto"/>
        <w:bottom w:val="none" w:sz="0" w:space="0" w:color="auto"/>
        <w:right w:val="none" w:sz="0" w:space="0" w:color="auto"/>
      </w:divBdr>
    </w:div>
    <w:div w:id="685984528">
      <w:bodyDiv w:val="1"/>
      <w:marLeft w:val="0"/>
      <w:marRight w:val="0"/>
      <w:marTop w:val="0"/>
      <w:marBottom w:val="0"/>
      <w:divBdr>
        <w:top w:val="none" w:sz="0" w:space="0" w:color="auto"/>
        <w:left w:val="none" w:sz="0" w:space="0" w:color="auto"/>
        <w:bottom w:val="none" w:sz="0" w:space="0" w:color="auto"/>
        <w:right w:val="none" w:sz="0" w:space="0" w:color="auto"/>
      </w:divBdr>
    </w:div>
    <w:div w:id="685985114">
      <w:bodyDiv w:val="1"/>
      <w:marLeft w:val="0"/>
      <w:marRight w:val="0"/>
      <w:marTop w:val="0"/>
      <w:marBottom w:val="0"/>
      <w:divBdr>
        <w:top w:val="none" w:sz="0" w:space="0" w:color="auto"/>
        <w:left w:val="none" w:sz="0" w:space="0" w:color="auto"/>
        <w:bottom w:val="none" w:sz="0" w:space="0" w:color="auto"/>
        <w:right w:val="none" w:sz="0" w:space="0" w:color="auto"/>
      </w:divBdr>
    </w:div>
    <w:div w:id="686062104">
      <w:bodyDiv w:val="1"/>
      <w:marLeft w:val="0"/>
      <w:marRight w:val="0"/>
      <w:marTop w:val="0"/>
      <w:marBottom w:val="0"/>
      <w:divBdr>
        <w:top w:val="none" w:sz="0" w:space="0" w:color="auto"/>
        <w:left w:val="none" w:sz="0" w:space="0" w:color="auto"/>
        <w:bottom w:val="none" w:sz="0" w:space="0" w:color="auto"/>
        <w:right w:val="none" w:sz="0" w:space="0" w:color="auto"/>
      </w:divBdr>
    </w:div>
    <w:div w:id="686062889">
      <w:bodyDiv w:val="1"/>
      <w:marLeft w:val="0"/>
      <w:marRight w:val="0"/>
      <w:marTop w:val="0"/>
      <w:marBottom w:val="0"/>
      <w:divBdr>
        <w:top w:val="none" w:sz="0" w:space="0" w:color="auto"/>
        <w:left w:val="none" w:sz="0" w:space="0" w:color="auto"/>
        <w:bottom w:val="none" w:sz="0" w:space="0" w:color="auto"/>
        <w:right w:val="none" w:sz="0" w:space="0" w:color="auto"/>
      </w:divBdr>
    </w:div>
    <w:div w:id="686181405">
      <w:bodyDiv w:val="1"/>
      <w:marLeft w:val="0"/>
      <w:marRight w:val="0"/>
      <w:marTop w:val="0"/>
      <w:marBottom w:val="0"/>
      <w:divBdr>
        <w:top w:val="none" w:sz="0" w:space="0" w:color="auto"/>
        <w:left w:val="none" w:sz="0" w:space="0" w:color="auto"/>
        <w:bottom w:val="none" w:sz="0" w:space="0" w:color="auto"/>
        <w:right w:val="none" w:sz="0" w:space="0" w:color="auto"/>
      </w:divBdr>
    </w:div>
    <w:div w:id="686250500">
      <w:bodyDiv w:val="1"/>
      <w:marLeft w:val="0"/>
      <w:marRight w:val="0"/>
      <w:marTop w:val="0"/>
      <w:marBottom w:val="0"/>
      <w:divBdr>
        <w:top w:val="none" w:sz="0" w:space="0" w:color="auto"/>
        <w:left w:val="none" w:sz="0" w:space="0" w:color="auto"/>
        <w:bottom w:val="none" w:sz="0" w:space="0" w:color="auto"/>
        <w:right w:val="none" w:sz="0" w:space="0" w:color="auto"/>
      </w:divBdr>
    </w:div>
    <w:div w:id="686254539">
      <w:bodyDiv w:val="1"/>
      <w:marLeft w:val="0"/>
      <w:marRight w:val="0"/>
      <w:marTop w:val="0"/>
      <w:marBottom w:val="0"/>
      <w:divBdr>
        <w:top w:val="none" w:sz="0" w:space="0" w:color="auto"/>
        <w:left w:val="none" w:sz="0" w:space="0" w:color="auto"/>
        <w:bottom w:val="none" w:sz="0" w:space="0" w:color="auto"/>
        <w:right w:val="none" w:sz="0" w:space="0" w:color="auto"/>
      </w:divBdr>
    </w:div>
    <w:div w:id="686325363">
      <w:bodyDiv w:val="1"/>
      <w:marLeft w:val="0"/>
      <w:marRight w:val="0"/>
      <w:marTop w:val="0"/>
      <w:marBottom w:val="0"/>
      <w:divBdr>
        <w:top w:val="none" w:sz="0" w:space="0" w:color="auto"/>
        <w:left w:val="none" w:sz="0" w:space="0" w:color="auto"/>
        <w:bottom w:val="none" w:sz="0" w:space="0" w:color="auto"/>
        <w:right w:val="none" w:sz="0" w:space="0" w:color="auto"/>
      </w:divBdr>
    </w:div>
    <w:div w:id="686715489">
      <w:bodyDiv w:val="1"/>
      <w:marLeft w:val="0"/>
      <w:marRight w:val="0"/>
      <w:marTop w:val="0"/>
      <w:marBottom w:val="0"/>
      <w:divBdr>
        <w:top w:val="none" w:sz="0" w:space="0" w:color="auto"/>
        <w:left w:val="none" w:sz="0" w:space="0" w:color="auto"/>
        <w:bottom w:val="none" w:sz="0" w:space="0" w:color="auto"/>
        <w:right w:val="none" w:sz="0" w:space="0" w:color="auto"/>
      </w:divBdr>
    </w:div>
    <w:div w:id="686948766">
      <w:bodyDiv w:val="1"/>
      <w:marLeft w:val="0"/>
      <w:marRight w:val="0"/>
      <w:marTop w:val="0"/>
      <w:marBottom w:val="0"/>
      <w:divBdr>
        <w:top w:val="none" w:sz="0" w:space="0" w:color="auto"/>
        <w:left w:val="none" w:sz="0" w:space="0" w:color="auto"/>
        <w:bottom w:val="none" w:sz="0" w:space="0" w:color="auto"/>
        <w:right w:val="none" w:sz="0" w:space="0" w:color="auto"/>
      </w:divBdr>
    </w:div>
    <w:div w:id="686953386">
      <w:bodyDiv w:val="1"/>
      <w:marLeft w:val="0"/>
      <w:marRight w:val="0"/>
      <w:marTop w:val="0"/>
      <w:marBottom w:val="0"/>
      <w:divBdr>
        <w:top w:val="none" w:sz="0" w:space="0" w:color="auto"/>
        <w:left w:val="none" w:sz="0" w:space="0" w:color="auto"/>
        <w:bottom w:val="none" w:sz="0" w:space="0" w:color="auto"/>
        <w:right w:val="none" w:sz="0" w:space="0" w:color="auto"/>
      </w:divBdr>
    </w:div>
    <w:div w:id="687218520">
      <w:bodyDiv w:val="1"/>
      <w:marLeft w:val="0"/>
      <w:marRight w:val="0"/>
      <w:marTop w:val="0"/>
      <w:marBottom w:val="0"/>
      <w:divBdr>
        <w:top w:val="none" w:sz="0" w:space="0" w:color="auto"/>
        <w:left w:val="none" w:sz="0" w:space="0" w:color="auto"/>
        <w:bottom w:val="none" w:sz="0" w:space="0" w:color="auto"/>
        <w:right w:val="none" w:sz="0" w:space="0" w:color="auto"/>
      </w:divBdr>
    </w:div>
    <w:div w:id="687369020">
      <w:bodyDiv w:val="1"/>
      <w:marLeft w:val="0"/>
      <w:marRight w:val="0"/>
      <w:marTop w:val="0"/>
      <w:marBottom w:val="0"/>
      <w:divBdr>
        <w:top w:val="none" w:sz="0" w:space="0" w:color="auto"/>
        <w:left w:val="none" w:sz="0" w:space="0" w:color="auto"/>
        <w:bottom w:val="none" w:sz="0" w:space="0" w:color="auto"/>
        <w:right w:val="none" w:sz="0" w:space="0" w:color="auto"/>
      </w:divBdr>
    </w:div>
    <w:div w:id="687483011">
      <w:bodyDiv w:val="1"/>
      <w:marLeft w:val="0"/>
      <w:marRight w:val="0"/>
      <w:marTop w:val="0"/>
      <w:marBottom w:val="0"/>
      <w:divBdr>
        <w:top w:val="none" w:sz="0" w:space="0" w:color="auto"/>
        <w:left w:val="none" w:sz="0" w:space="0" w:color="auto"/>
        <w:bottom w:val="none" w:sz="0" w:space="0" w:color="auto"/>
        <w:right w:val="none" w:sz="0" w:space="0" w:color="auto"/>
      </w:divBdr>
    </w:div>
    <w:div w:id="687491593">
      <w:bodyDiv w:val="1"/>
      <w:marLeft w:val="0"/>
      <w:marRight w:val="0"/>
      <w:marTop w:val="0"/>
      <w:marBottom w:val="0"/>
      <w:divBdr>
        <w:top w:val="none" w:sz="0" w:space="0" w:color="auto"/>
        <w:left w:val="none" w:sz="0" w:space="0" w:color="auto"/>
        <w:bottom w:val="none" w:sz="0" w:space="0" w:color="auto"/>
        <w:right w:val="none" w:sz="0" w:space="0" w:color="auto"/>
      </w:divBdr>
    </w:div>
    <w:div w:id="687560710">
      <w:bodyDiv w:val="1"/>
      <w:marLeft w:val="0"/>
      <w:marRight w:val="0"/>
      <w:marTop w:val="0"/>
      <w:marBottom w:val="0"/>
      <w:divBdr>
        <w:top w:val="none" w:sz="0" w:space="0" w:color="auto"/>
        <w:left w:val="none" w:sz="0" w:space="0" w:color="auto"/>
        <w:bottom w:val="none" w:sz="0" w:space="0" w:color="auto"/>
        <w:right w:val="none" w:sz="0" w:space="0" w:color="auto"/>
      </w:divBdr>
    </w:div>
    <w:div w:id="687607634">
      <w:bodyDiv w:val="1"/>
      <w:marLeft w:val="0"/>
      <w:marRight w:val="0"/>
      <w:marTop w:val="0"/>
      <w:marBottom w:val="0"/>
      <w:divBdr>
        <w:top w:val="none" w:sz="0" w:space="0" w:color="auto"/>
        <w:left w:val="none" w:sz="0" w:space="0" w:color="auto"/>
        <w:bottom w:val="none" w:sz="0" w:space="0" w:color="auto"/>
        <w:right w:val="none" w:sz="0" w:space="0" w:color="auto"/>
      </w:divBdr>
    </w:div>
    <w:div w:id="688020782">
      <w:bodyDiv w:val="1"/>
      <w:marLeft w:val="0"/>
      <w:marRight w:val="0"/>
      <w:marTop w:val="0"/>
      <w:marBottom w:val="0"/>
      <w:divBdr>
        <w:top w:val="none" w:sz="0" w:space="0" w:color="auto"/>
        <w:left w:val="none" w:sz="0" w:space="0" w:color="auto"/>
        <w:bottom w:val="none" w:sz="0" w:space="0" w:color="auto"/>
        <w:right w:val="none" w:sz="0" w:space="0" w:color="auto"/>
      </w:divBdr>
    </w:div>
    <w:div w:id="688143038">
      <w:bodyDiv w:val="1"/>
      <w:marLeft w:val="0"/>
      <w:marRight w:val="0"/>
      <w:marTop w:val="0"/>
      <w:marBottom w:val="0"/>
      <w:divBdr>
        <w:top w:val="none" w:sz="0" w:space="0" w:color="auto"/>
        <w:left w:val="none" w:sz="0" w:space="0" w:color="auto"/>
        <w:bottom w:val="none" w:sz="0" w:space="0" w:color="auto"/>
        <w:right w:val="none" w:sz="0" w:space="0" w:color="auto"/>
      </w:divBdr>
    </w:div>
    <w:div w:id="688146848">
      <w:bodyDiv w:val="1"/>
      <w:marLeft w:val="0"/>
      <w:marRight w:val="0"/>
      <w:marTop w:val="0"/>
      <w:marBottom w:val="0"/>
      <w:divBdr>
        <w:top w:val="none" w:sz="0" w:space="0" w:color="auto"/>
        <w:left w:val="none" w:sz="0" w:space="0" w:color="auto"/>
        <w:bottom w:val="none" w:sz="0" w:space="0" w:color="auto"/>
        <w:right w:val="none" w:sz="0" w:space="0" w:color="auto"/>
      </w:divBdr>
    </w:div>
    <w:div w:id="688333734">
      <w:bodyDiv w:val="1"/>
      <w:marLeft w:val="0"/>
      <w:marRight w:val="0"/>
      <w:marTop w:val="0"/>
      <w:marBottom w:val="0"/>
      <w:divBdr>
        <w:top w:val="none" w:sz="0" w:space="0" w:color="auto"/>
        <w:left w:val="none" w:sz="0" w:space="0" w:color="auto"/>
        <w:bottom w:val="none" w:sz="0" w:space="0" w:color="auto"/>
        <w:right w:val="none" w:sz="0" w:space="0" w:color="auto"/>
      </w:divBdr>
    </w:div>
    <w:div w:id="688484556">
      <w:bodyDiv w:val="1"/>
      <w:marLeft w:val="0"/>
      <w:marRight w:val="0"/>
      <w:marTop w:val="0"/>
      <w:marBottom w:val="0"/>
      <w:divBdr>
        <w:top w:val="none" w:sz="0" w:space="0" w:color="auto"/>
        <w:left w:val="none" w:sz="0" w:space="0" w:color="auto"/>
        <w:bottom w:val="none" w:sz="0" w:space="0" w:color="auto"/>
        <w:right w:val="none" w:sz="0" w:space="0" w:color="auto"/>
      </w:divBdr>
    </w:div>
    <w:div w:id="688524795">
      <w:bodyDiv w:val="1"/>
      <w:marLeft w:val="0"/>
      <w:marRight w:val="0"/>
      <w:marTop w:val="0"/>
      <w:marBottom w:val="0"/>
      <w:divBdr>
        <w:top w:val="none" w:sz="0" w:space="0" w:color="auto"/>
        <w:left w:val="none" w:sz="0" w:space="0" w:color="auto"/>
        <w:bottom w:val="none" w:sz="0" w:space="0" w:color="auto"/>
        <w:right w:val="none" w:sz="0" w:space="0" w:color="auto"/>
      </w:divBdr>
    </w:div>
    <w:div w:id="688603628">
      <w:bodyDiv w:val="1"/>
      <w:marLeft w:val="0"/>
      <w:marRight w:val="0"/>
      <w:marTop w:val="0"/>
      <w:marBottom w:val="0"/>
      <w:divBdr>
        <w:top w:val="none" w:sz="0" w:space="0" w:color="auto"/>
        <w:left w:val="none" w:sz="0" w:space="0" w:color="auto"/>
        <w:bottom w:val="none" w:sz="0" w:space="0" w:color="auto"/>
        <w:right w:val="none" w:sz="0" w:space="0" w:color="auto"/>
      </w:divBdr>
    </w:div>
    <w:div w:id="688679934">
      <w:bodyDiv w:val="1"/>
      <w:marLeft w:val="0"/>
      <w:marRight w:val="0"/>
      <w:marTop w:val="0"/>
      <w:marBottom w:val="0"/>
      <w:divBdr>
        <w:top w:val="none" w:sz="0" w:space="0" w:color="auto"/>
        <w:left w:val="none" w:sz="0" w:space="0" w:color="auto"/>
        <w:bottom w:val="none" w:sz="0" w:space="0" w:color="auto"/>
        <w:right w:val="none" w:sz="0" w:space="0" w:color="auto"/>
      </w:divBdr>
    </w:div>
    <w:div w:id="688989073">
      <w:bodyDiv w:val="1"/>
      <w:marLeft w:val="0"/>
      <w:marRight w:val="0"/>
      <w:marTop w:val="0"/>
      <w:marBottom w:val="0"/>
      <w:divBdr>
        <w:top w:val="none" w:sz="0" w:space="0" w:color="auto"/>
        <w:left w:val="none" w:sz="0" w:space="0" w:color="auto"/>
        <w:bottom w:val="none" w:sz="0" w:space="0" w:color="auto"/>
        <w:right w:val="none" w:sz="0" w:space="0" w:color="auto"/>
      </w:divBdr>
    </w:div>
    <w:div w:id="688994652">
      <w:bodyDiv w:val="1"/>
      <w:marLeft w:val="0"/>
      <w:marRight w:val="0"/>
      <w:marTop w:val="0"/>
      <w:marBottom w:val="0"/>
      <w:divBdr>
        <w:top w:val="none" w:sz="0" w:space="0" w:color="auto"/>
        <w:left w:val="none" w:sz="0" w:space="0" w:color="auto"/>
        <w:bottom w:val="none" w:sz="0" w:space="0" w:color="auto"/>
        <w:right w:val="none" w:sz="0" w:space="0" w:color="auto"/>
      </w:divBdr>
    </w:div>
    <w:div w:id="689184039">
      <w:bodyDiv w:val="1"/>
      <w:marLeft w:val="0"/>
      <w:marRight w:val="0"/>
      <w:marTop w:val="0"/>
      <w:marBottom w:val="0"/>
      <w:divBdr>
        <w:top w:val="none" w:sz="0" w:space="0" w:color="auto"/>
        <w:left w:val="none" w:sz="0" w:space="0" w:color="auto"/>
        <w:bottom w:val="none" w:sz="0" w:space="0" w:color="auto"/>
        <w:right w:val="none" w:sz="0" w:space="0" w:color="auto"/>
      </w:divBdr>
    </w:div>
    <w:div w:id="689330410">
      <w:bodyDiv w:val="1"/>
      <w:marLeft w:val="0"/>
      <w:marRight w:val="0"/>
      <w:marTop w:val="0"/>
      <w:marBottom w:val="0"/>
      <w:divBdr>
        <w:top w:val="none" w:sz="0" w:space="0" w:color="auto"/>
        <w:left w:val="none" w:sz="0" w:space="0" w:color="auto"/>
        <w:bottom w:val="none" w:sz="0" w:space="0" w:color="auto"/>
        <w:right w:val="none" w:sz="0" w:space="0" w:color="auto"/>
      </w:divBdr>
    </w:div>
    <w:div w:id="689331771">
      <w:bodyDiv w:val="1"/>
      <w:marLeft w:val="0"/>
      <w:marRight w:val="0"/>
      <w:marTop w:val="0"/>
      <w:marBottom w:val="0"/>
      <w:divBdr>
        <w:top w:val="none" w:sz="0" w:space="0" w:color="auto"/>
        <w:left w:val="none" w:sz="0" w:space="0" w:color="auto"/>
        <w:bottom w:val="none" w:sz="0" w:space="0" w:color="auto"/>
        <w:right w:val="none" w:sz="0" w:space="0" w:color="auto"/>
      </w:divBdr>
    </w:div>
    <w:div w:id="689454446">
      <w:bodyDiv w:val="1"/>
      <w:marLeft w:val="0"/>
      <w:marRight w:val="0"/>
      <w:marTop w:val="0"/>
      <w:marBottom w:val="0"/>
      <w:divBdr>
        <w:top w:val="none" w:sz="0" w:space="0" w:color="auto"/>
        <w:left w:val="none" w:sz="0" w:space="0" w:color="auto"/>
        <w:bottom w:val="none" w:sz="0" w:space="0" w:color="auto"/>
        <w:right w:val="none" w:sz="0" w:space="0" w:color="auto"/>
      </w:divBdr>
    </w:div>
    <w:div w:id="689570745">
      <w:bodyDiv w:val="1"/>
      <w:marLeft w:val="0"/>
      <w:marRight w:val="0"/>
      <w:marTop w:val="0"/>
      <w:marBottom w:val="0"/>
      <w:divBdr>
        <w:top w:val="none" w:sz="0" w:space="0" w:color="auto"/>
        <w:left w:val="none" w:sz="0" w:space="0" w:color="auto"/>
        <w:bottom w:val="none" w:sz="0" w:space="0" w:color="auto"/>
        <w:right w:val="none" w:sz="0" w:space="0" w:color="auto"/>
      </w:divBdr>
    </w:div>
    <w:div w:id="689648599">
      <w:bodyDiv w:val="1"/>
      <w:marLeft w:val="0"/>
      <w:marRight w:val="0"/>
      <w:marTop w:val="0"/>
      <w:marBottom w:val="0"/>
      <w:divBdr>
        <w:top w:val="none" w:sz="0" w:space="0" w:color="auto"/>
        <w:left w:val="none" w:sz="0" w:space="0" w:color="auto"/>
        <w:bottom w:val="none" w:sz="0" w:space="0" w:color="auto"/>
        <w:right w:val="none" w:sz="0" w:space="0" w:color="auto"/>
      </w:divBdr>
    </w:div>
    <w:div w:id="689795797">
      <w:bodyDiv w:val="1"/>
      <w:marLeft w:val="0"/>
      <w:marRight w:val="0"/>
      <w:marTop w:val="0"/>
      <w:marBottom w:val="0"/>
      <w:divBdr>
        <w:top w:val="none" w:sz="0" w:space="0" w:color="auto"/>
        <w:left w:val="none" w:sz="0" w:space="0" w:color="auto"/>
        <w:bottom w:val="none" w:sz="0" w:space="0" w:color="auto"/>
        <w:right w:val="none" w:sz="0" w:space="0" w:color="auto"/>
      </w:divBdr>
    </w:div>
    <w:div w:id="689835069">
      <w:bodyDiv w:val="1"/>
      <w:marLeft w:val="0"/>
      <w:marRight w:val="0"/>
      <w:marTop w:val="0"/>
      <w:marBottom w:val="0"/>
      <w:divBdr>
        <w:top w:val="none" w:sz="0" w:space="0" w:color="auto"/>
        <w:left w:val="none" w:sz="0" w:space="0" w:color="auto"/>
        <w:bottom w:val="none" w:sz="0" w:space="0" w:color="auto"/>
        <w:right w:val="none" w:sz="0" w:space="0" w:color="auto"/>
      </w:divBdr>
    </w:div>
    <w:div w:id="689840141">
      <w:bodyDiv w:val="1"/>
      <w:marLeft w:val="0"/>
      <w:marRight w:val="0"/>
      <w:marTop w:val="0"/>
      <w:marBottom w:val="0"/>
      <w:divBdr>
        <w:top w:val="none" w:sz="0" w:space="0" w:color="auto"/>
        <w:left w:val="none" w:sz="0" w:space="0" w:color="auto"/>
        <w:bottom w:val="none" w:sz="0" w:space="0" w:color="auto"/>
        <w:right w:val="none" w:sz="0" w:space="0" w:color="auto"/>
      </w:divBdr>
    </w:div>
    <w:div w:id="690103766">
      <w:bodyDiv w:val="1"/>
      <w:marLeft w:val="0"/>
      <w:marRight w:val="0"/>
      <w:marTop w:val="0"/>
      <w:marBottom w:val="0"/>
      <w:divBdr>
        <w:top w:val="none" w:sz="0" w:space="0" w:color="auto"/>
        <w:left w:val="none" w:sz="0" w:space="0" w:color="auto"/>
        <w:bottom w:val="none" w:sz="0" w:space="0" w:color="auto"/>
        <w:right w:val="none" w:sz="0" w:space="0" w:color="auto"/>
      </w:divBdr>
    </w:div>
    <w:div w:id="690186986">
      <w:bodyDiv w:val="1"/>
      <w:marLeft w:val="0"/>
      <w:marRight w:val="0"/>
      <w:marTop w:val="0"/>
      <w:marBottom w:val="0"/>
      <w:divBdr>
        <w:top w:val="none" w:sz="0" w:space="0" w:color="auto"/>
        <w:left w:val="none" w:sz="0" w:space="0" w:color="auto"/>
        <w:bottom w:val="none" w:sz="0" w:space="0" w:color="auto"/>
        <w:right w:val="none" w:sz="0" w:space="0" w:color="auto"/>
      </w:divBdr>
    </w:div>
    <w:div w:id="690300339">
      <w:bodyDiv w:val="1"/>
      <w:marLeft w:val="0"/>
      <w:marRight w:val="0"/>
      <w:marTop w:val="0"/>
      <w:marBottom w:val="0"/>
      <w:divBdr>
        <w:top w:val="none" w:sz="0" w:space="0" w:color="auto"/>
        <w:left w:val="none" w:sz="0" w:space="0" w:color="auto"/>
        <w:bottom w:val="none" w:sz="0" w:space="0" w:color="auto"/>
        <w:right w:val="none" w:sz="0" w:space="0" w:color="auto"/>
      </w:divBdr>
    </w:div>
    <w:div w:id="690422278">
      <w:bodyDiv w:val="1"/>
      <w:marLeft w:val="0"/>
      <w:marRight w:val="0"/>
      <w:marTop w:val="0"/>
      <w:marBottom w:val="0"/>
      <w:divBdr>
        <w:top w:val="none" w:sz="0" w:space="0" w:color="auto"/>
        <w:left w:val="none" w:sz="0" w:space="0" w:color="auto"/>
        <w:bottom w:val="none" w:sz="0" w:space="0" w:color="auto"/>
        <w:right w:val="none" w:sz="0" w:space="0" w:color="auto"/>
      </w:divBdr>
    </w:div>
    <w:div w:id="690565682">
      <w:bodyDiv w:val="1"/>
      <w:marLeft w:val="0"/>
      <w:marRight w:val="0"/>
      <w:marTop w:val="0"/>
      <w:marBottom w:val="0"/>
      <w:divBdr>
        <w:top w:val="none" w:sz="0" w:space="0" w:color="auto"/>
        <w:left w:val="none" w:sz="0" w:space="0" w:color="auto"/>
        <w:bottom w:val="none" w:sz="0" w:space="0" w:color="auto"/>
        <w:right w:val="none" w:sz="0" w:space="0" w:color="auto"/>
      </w:divBdr>
    </w:div>
    <w:div w:id="690648071">
      <w:bodyDiv w:val="1"/>
      <w:marLeft w:val="0"/>
      <w:marRight w:val="0"/>
      <w:marTop w:val="0"/>
      <w:marBottom w:val="0"/>
      <w:divBdr>
        <w:top w:val="none" w:sz="0" w:space="0" w:color="auto"/>
        <w:left w:val="none" w:sz="0" w:space="0" w:color="auto"/>
        <w:bottom w:val="none" w:sz="0" w:space="0" w:color="auto"/>
        <w:right w:val="none" w:sz="0" w:space="0" w:color="auto"/>
      </w:divBdr>
    </w:div>
    <w:div w:id="690763618">
      <w:bodyDiv w:val="1"/>
      <w:marLeft w:val="0"/>
      <w:marRight w:val="0"/>
      <w:marTop w:val="0"/>
      <w:marBottom w:val="0"/>
      <w:divBdr>
        <w:top w:val="none" w:sz="0" w:space="0" w:color="auto"/>
        <w:left w:val="none" w:sz="0" w:space="0" w:color="auto"/>
        <w:bottom w:val="none" w:sz="0" w:space="0" w:color="auto"/>
        <w:right w:val="none" w:sz="0" w:space="0" w:color="auto"/>
      </w:divBdr>
    </w:div>
    <w:div w:id="691078174">
      <w:bodyDiv w:val="1"/>
      <w:marLeft w:val="0"/>
      <w:marRight w:val="0"/>
      <w:marTop w:val="0"/>
      <w:marBottom w:val="0"/>
      <w:divBdr>
        <w:top w:val="none" w:sz="0" w:space="0" w:color="auto"/>
        <w:left w:val="none" w:sz="0" w:space="0" w:color="auto"/>
        <w:bottom w:val="none" w:sz="0" w:space="0" w:color="auto"/>
        <w:right w:val="none" w:sz="0" w:space="0" w:color="auto"/>
      </w:divBdr>
    </w:div>
    <w:div w:id="691226940">
      <w:bodyDiv w:val="1"/>
      <w:marLeft w:val="0"/>
      <w:marRight w:val="0"/>
      <w:marTop w:val="0"/>
      <w:marBottom w:val="0"/>
      <w:divBdr>
        <w:top w:val="none" w:sz="0" w:space="0" w:color="auto"/>
        <w:left w:val="none" w:sz="0" w:space="0" w:color="auto"/>
        <w:bottom w:val="none" w:sz="0" w:space="0" w:color="auto"/>
        <w:right w:val="none" w:sz="0" w:space="0" w:color="auto"/>
      </w:divBdr>
    </w:div>
    <w:div w:id="691611976">
      <w:bodyDiv w:val="1"/>
      <w:marLeft w:val="0"/>
      <w:marRight w:val="0"/>
      <w:marTop w:val="0"/>
      <w:marBottom w:val="0"/>
      <w:divBdr>
        <w:top w:val="none" w:sz="0" w:space="0" w:color="auto"/>
        <w:left w:val="none" w:sz="0" w:space="0" w:color="auto"/>
        <w:bottom w:val="none" w:sz="0" w:space="0" w:color="auto"/>
        <w:right w:val="none" w:sz="0" w:space="0" w:color="auto"/>
      </w:divBdr>
    </w:div>
    <w:div w:id="691801757">
      <w:bodyDiv w:val="1"/>
      <w:marLeft w:val="0"/>
      <w:marRight w:val="0"/>
      <w:marTop w:val="0"/>
      <w:marBottom w:val="0"/>
      <w:divBdr>
        <w:top w:val="none" w:sz="0" w:space="0" w:color="auto"/>
        <w:left w:val="none" w:sz="0" w:space="0" w:color="auto"/>
        <w:bottom w:val="none" w:sz="0" w:space="0" w:color="auto"/>
        <w:right w:val="none" w:sz="0" w:space="0" w:color="auto"/>
      </w:divBdr>
    </w:div>
    <w:div w:id="691955441">
      <w:bodyDiv w:val="1"/>
      <w:marLeft w:val="0"/>
      <w:marRight w:val="0"/>
      <w:marTop w:val="0"/>
      <w:marBottom w:val="0"/>
      <w:divBdr>
        <w:top w:val="none" w:sz="0" w:space="0" w:color="auto"/>
        <w:left w:val="none" w:sz="0" w:space="0" w:color="auto"/>
        <w:bottom w:val="none" w:sz="0" w:space="0" w:color="auto"/>
        <w:right w:val="none" w:sz="0" w:space="0" w:color="auto"/>
      </w:divBdr>
    </w:div>
    <w:div w:id="691958018">
      <w:bodyDiv w:val="1"/>
      <w:marLeft w:val="0"/>
      <w:marRight w:val="0"/>
      <w:marTop w:val="0"/>
      <w:marBottom w:val="0"/>
      <w:divBdr>
        <w:top w:val="none" w:sz="0" w:space="0" w:color="auto"/>
        <w:left w:val="none" w:sz="0" w:space="0" w:color="auto"/>
        <w:bottom w:val="none" w:sz="0" w:space="0" w:color="auto"/>
        <w:right w:val="none" w:sz="0" w:space="0" w:color="auto"/>
      </w:divBdr>
    </w:div>
    <w:div w:id="691958764">
      <w:bodyDiv w:val="1"/>
      <w:marLeft w:val="0"/>
      <w:marRight w:val="0"/>
      <w:marTop w:val="0"/>
      <w:marBottom w:val="0"/>
      <w:divBdr>
        <w:top w:val="none" w:sz="0" w:space="0" w:color="auto"/>
        <w:left w:val="none" w:sz="0" w:space="0" w:color="auto"/>
        <w:bottom w:val="none" w:sz="0" w:space="0" w:color="auto"/>
        <w:right w:val="none" w:sz="0" w:space="0" w:color="auto"/>
      </w:divBdr>
    </w:div>
    <w:div w:id="691998266">
      <w:bodyDiv w:val="1"/>
      <w:marLeft w:val="0"/>
      <w:marRight w:val="0"/>
      <w:marTop w:val="0"/>
      <w:marBottom w:val="0"/>
      <w:divBdr>
        <w:top w:val="none" w:sz="0" w:space="0" w:color="auto"/>
        <w:left w:val="none" w:sz="0" w:space="0" w:color="auto"/>
        <w:bottom w:val="none" w:sz="0" w:space="0" w:color="auto"/>
        <w:right w:val="none" w:sz="0" w:space="0" w:color="auto"/>
      </w:divBdr>
    </w:div>
    <w:div w:id="691999659">
      <w:bodyDiv w:val="1"/>
      <w:marLeft w:val="0"/>
      <w:marRight w:val="0"/>
      <w:marTop w:val="0"/>
      <w:marBottom w:val="0"/>
      <w:divBdr>
        <w:top w:val="none" w:sz="0" w:space="0" w:color="auto"/>
        <w:left w:val="none" w:sz="0" w:space="0" w:color="auto"/>
        <w:bottom w:val="none" w:sz="0" w:space="0" w:color="auto"/>
        <w:right w:val="none" w:sz="0" w:space="0" w:color="auto"/>
      </w:divBdr>
    </w:div>
    <w:div w:id="691999664">
      <w:bodyDiv w:val="1"/>
      <w:marLeft w:val="0"/>
      <w:marRight w:val="0"/>
      <w:marTop w:val="0"/>
      <w:marBottom w:val="0"/>
      <w:divBdr>
        <w:top w:val="none" w:sz="0" w:space="0" w:color="auto"/>
        <w:left w:val="none" w:sz="0" w:space="0" w:color="auto"/>
        <w:bottom w:val="none" w:sz="0" w:space="0" w:color="auto"/>
        <w:right w:val="none" w:sz="0" w:space="0" w:color="auto"/>
      </w:divBdr>
    </w:div>
    <w:div w:id="692002593">
      <w:bodyDiv w:val="1"/>
      <w:marLeft w:val="0"/>
      <w:marRight w:val="0"/>
      <w:marTop w:val="0"/>
      <w:marBottom w:val="0"/>
      <w:divBdr>
        <w:top w:val="none" w:sz="0" w:space="0" w:color="auto"/>
        <w:left w:val="none" w:sz="0" w:space="0" w:color="auto"/>
        <w:bottom w:val="none" w:sz="0" w:space="0" w:color="auto"/>
        <w:right w:val="none" w:sz="0" w:space="0" w:color="auto"/>
      </w:divBdr>
    </w:div>
    <w:div w:id="692146447">
      <w:bodyDiv w:val="1"/>
      <w:marLeft w:val="0"/>
      <w:marRight w:val="0"/>
      <w:marTop w:val="0"/>
      <w:marBottom w:val="0"/>
      <w:divBdr>
        <w:top w:val="none" w:sz="0" w:space="0" w:color="auto"/>
        <w:left w:val="none" w:sz="0" w:space="0" w:color="auto"/>
        <w:bottom w:val="none" w:sz="0" w:space="0" w:color="auto"/>
        <w:right w:val="none" w:sz="0" w:space="0" w:color="auto"/>
      </w:divBdr>
    </w:div>
    <w:div w:id="692347662">
      <w:bodyDiv w:val="1"/>
      <w:marLeft w:val="0"/>
      <w:marRight w:val="0"/>
      <w:marTop w:val="0"/>
      <w:marBottom w:val="0"/>
      <w:divBdr>
        <w:top w:val="none" w:sz="0" w:space="0" w:color="auto"/>
        <w:left w:val="none" w:sz="0" w:space="0" w:color="auto"/>
        <w:bottom w:val="none" w:sz="0" w:space="0" w:color="auto"/>
        <w:right w:val="none" w:sz="0" w:space="0" w:color="auto"/>
      </w:divBdr>
    </w:div>
    <w:div w:id="692390312">
      <w:bodyDiv w:val="1"/>
      <w:marLeft w:val="0"/>
      <w:marRight w:val="0"/>
      <w:marTop w:val="0"/>
      <w:marBottom w:val="0"/>
      <w:divBdr>
        <w:top w:val="none" w:sz="0" w:space="0" w:color="auto"/>
        <w:left w:val="none" w:sz="0" w:space="0" w:color="auto"/>
        <w:bottom w:val="none" w:sz="0" w:space="0" w:color="auto"/>
        <w:right w:val="none" w:sz="0" w:space="0" w:color="auto"/>
      </w:divBdr>
    </w:div>
    <w:div w:id="692462633">
      <w:bodyDiv w:val="1"/>
      <w:marLeft w:val="0"/>
      <w:marRight w:val="0"/>
      <w:marTop w:val="0"/>
      <w:marBottom w:val="0"/>
      <w:divBdr>
        <w:top w:val="none" w:sz="0" w:space="0" w:color="auto"/>
        <w:left w:val="none" w:sz="0" w:space="0" w:color="auto"/>
        <w:bottom w:val="none" w:sz="0" w:space="0" w:color="auto"/>
        <w:right w:val="none" w:sz="0" w:space="0" w:color="auto"/>
      </w:divBdr>
    </w:div>
    <w:div w:id="692532152">
      <w:bodyDiv w:val="1"/>
      <w:marLeft w:val="0"/>
      <w:marRight w:val="0"/>
      <w:marTop w:val="0"/>
      <w:marBottom w:val="0"/>
      <w:divBdr>
        <w:top w:val="none" w:sz="0" w:space="0" w:color="auto"/>
        <w:left w:val="none" w:sz="0" w:space="0" w:color="auto"/>
        <w:bottom w:val="none" w:sz="0" w:space="0" w:color="auto"/>
        <w:right w:val="none" w:sz="0" w:space="0" w:color="auto"/>
      </w:divBdr>
    </w:div>
    <w:div w:id="692614507">
      <w:bodyDiv w:val="1"/>
      <w:marLeft w:val="0"/>
      <w:marRight w:val="0"/>
      <w:marTop w:val="0"/>
      <w:marBottom w:val="0"/>
      <w:divBdr>
        <w:top w:val="none" w:sz="0" w:space="0" w:color="auto"/>
        <w:left w:val="none" w:sz="0" w:space="0" w:color="auto"/>
        <w:bottom w:val="none" w:sz="0" w:space="0" w:color="auto"/>
        <w:right w:val="none" w:sz="0" w:space="0" w:color="auto"/>
      </w:divBdr>
    </w:div>
    <w:div w:id="692615637">
      <w:bodyDiv w:val="1"/>
      <w:marLeft w:val="0"/>
      <w:marRight w:val="0"/>
      <w:marTop w:val="0"/>
      <w:marBottom w:val="0"/>
      <w:divBdr>
        <w:top w:val="none" w:sz="0" w:space="0" w:color="auto"/>
        <w:left w:val="none" w:sz="0" w:space="0" w:color="auto"/>
        <w:bottom w:val="none" w:sz="0" w:space="0" w:color="auto"/>
        <w:right w:val="none" w:sz="0" w:space="0" w:color="auto"/>
      </w:divBdr>
    </w:div>
    <w:div w:id="692650818">
      <w:bodyDiv w:val="1"/>
      <w:marLeft w:val="0"/>
      <w:marRight w:val="0"/>
      <w:marTop w:val="0"/>
      <w:marBottom w:val="0"/>
      <w:divBdr>
        <w:top w:val="none" w:sz="0" w:space="0" w:color="auto"/>
        <w:left w:val="none" w:sz="0" w:space="0" w:color="auto"/>
        <w:bottom w:val="none" w:sz="0" w:space="0" w:color="auto"/>
        <w:right w:val="none" w:sz="0" w:space="0" w:color="auto"/>
      </w:divBdr>
    </w:div>
    <w:div w:id="692806807">
      <w:bodyDiv w:val="1"/>
      <w:marLeft w:val="0"/>
      <w:marRight w:val="0"/>
      <w:marTop w:val="0"/>
      <w:marBottom w:val="0"/>
      <w:divBdr>
        <w:top w:val="none" w:sz="0" w:space="0" w:color="auto"/>
        <w:left w:val="none" w:sz="0" w:space="0" w:color="auto"/>
        <w:bottom w:val="none" w:sz="0" w:space="0" w:color="auto"/>
        <w:right w:val="none" w:sz="0" w:space="0" w:color="auto"/>
      </w:divBdr>
    </w:div>
    <w:div w:id="693073082">
      <w:bodyDiv w:val="1"/>
      <w:marLeft w:val="0"/>
      <w:marRight w:val="0"/>
      <w:marTop w:val="0"/>
      <w:marBottom w:val="0"/>
      <w:divBdr>
        <w:top w:val="none" w:sz="0" w:space="0" w:color="auto"/>
        <w:left w:val="none" w:sz="0" w:space="0" w:color="auto"/>
        <w:bottom w:val="none" w:sz="0" w:space="0" w:color="auto"/>
        <w:right w:val="none" w:sz="0" w:space="0" w:color="auto"/>
      </w:divBdr>
    </w:div>
    <w:div w:id="693112436">
      <w:bodyDiv w:val="1"/>
      <w:marLeft w:val="0"/>
      <w:marRight w:val="0"/>
      <w:marTop w:val="0"/>
      <w:marBottom w:val="0"/>
      <w:divBdr>
        <w:top w:val="none" w:sz="0" w:space="0" w:color="auto"/>
        <w:left w:val="none" w:sz="0" w:space="0" w:color="auto"/>
        <w:bottom w:val="none" w:sz="0" w:space="0" w:color="auto"/>
        <w:right w:val="none" w:sz="0" w:space="0" w:color="auto"/>
      </w:divBdr>
    </w:div>
    <w:div w:id="693118034">
      <w:bodyDiv w:val="1"/>
      <w:marLeft w:val="0"/>
      <w:marRight w:val="0"/>
      <w:marTop w:val="0"/>
      <w:marBottom w:val="0"/>
      <w:divBdr>
        <w:top w:val="none" w:sz="0" w:space="0" w:color="auto"/>
        <w:left w:val="none" w:sz="0" w:space="0" w:color="auto"/>
        <w:bottom w:val="none" w:sz="0" w:space="0" w:color="auto"/>
        <w:right w:val="none" w:sz="0" w:space="0" w:color="auto"/>
      </w:divBdr>
    </w:div>
    <w:div w:id="693118721">
      <w:bodyDiv w:val="1"/>
      <w:marLeft w:val="0"/>
      <w:marRight w:val="0"/>
      <w:marTop w:val="0"/>
      <w:marBottom w:val="0"/>
      <w:divBdr>
        <w:top w:val="none" w:sz="0" w:space="0" w:color="auto"/>
        <w:left w:val="none" w:sz="0" w:space="0" w:color="auto"/>
        <w:bottom w:val="none" w:sz="0" w:space="0" w:color="auto"/>
        <w:right w:val="none" w:sz="0" w:space="0" w:color="auto"/>
      </w:divBdr>
    </w:div>
    <w:div w:id="693119076">
      <w:bodyDiv w:val="1"/>
      <w:marLeft w:val="0"/>
      <w:marRight w:val="0"/>
      <w:marTop w:val="0"/>
      <w:marBottom w:val="0"/>
      <w:divBdr>
        <w:top w:val="none" w:sz="0" w:space="0" w:color="auto"/>
        <w:left w:val="none" w:sz="0" w:space="0" w:color="auto"/>
        <w:bottom w:val="none" w:sz="0" w:space="0" w:color="auto"/>
        <w:right w:val="none" w:sz="0" w:space="0" w:color="auto"/>
      </w:divBdr>
    </w:div>
    <w:div w:id="693310998">
      <w:bodyDiv w:val="1"/>
      <w:marLeft w:val="0"/>
      <w:marRight w:val="0"/>
      <w:marTop w:val="0"/>
      <w:marBottom w:val="0"/>
      <w:divBdr>
        <w:top w:val="none" w:sz="0" w:space="0" w:color="auto"/>
        <w:left w:val="none" w:sz="0" w:space="0" w:color="auto"/>
        <w:bottom w:val="none" w:sz="0" w:space="0" w:color="auto"/>
        <w:right w:val="none" w:sz="0" w:space="0" w:color="auto"/>
      </w:divBdr>
    </w:div>
    <w:div w:id="693504450">
      <w:bodyDiv w:val="1"/>
      <w:marLeft w:val="0"/>
      <w:marRight w:val="0"/>
      <w:marTop w:val="0"/>
      <w:marBottom w:val="0"/>
      <w:divBdr>
        <w:top w:val="none" w:sz="0" w:space="0" w:color="auto"/>
        <w:left w:val="none" w:sz="0" w:space="0" w:color="auto"/>
        <w:bottom w:val="none" w:sz="0" w:space="0" w:color="auto"/>
        <w:right w:val="none" w:sz="0" w:space="0" w:color="auto"/>
      </w:divBdr>
    </w:div>
    <w:div w:id="694158765">
      <w:bodyDiv w:val="1"/>
      <w:marLeft w:val="0"/>
      <w:marRight w:val="0"/>
      <w:marTop w:val="0"/>
      <w:marBottom w:val="0"/>
      <w:divBdr>
        <w:top w:val="none" w:sz="0" w:space="0" w:color="auto"/>
        <w:left w:val="none" w:sz="0" w:space="0" w:color="auto"/>
        <w:bottom w:val="none" w:sz="0" w:space="0" w:color="auto"/>
        <w:right w:val="none" w:sz="0" w:space="0" w:color="auto"/>
      </w:divBdr>
    </w:div>
    <w:div w:id="694306986">
      <w:bodyDiv w:val="1"/>
      <w:marLeft w:val="0"/>
      <w:marRight w:val="0"/>
      <w:marTop w:val="0"/>
      <w:marBottom w:val="0"/>
      <w:divBdr>
        <w:top w:val="none" w:sz="0" w:space="0" w:color="auto"/>
        <w:left w:val="none" w:sz="0" w:space="0" w:color="auto"/>
        <w:bottom w:val="none" w:sz="0" w:space="0" w:color="auto"/>
        <w:right w:val="none" w:sz="0" w:space="0" w:color="auto"/>
      </w:divBdr>
    </w:div>
    <w:div w:id="694384086">
      <w:bodyDiv w:val="1"/>
      <w:marLeft w:val="0"/>
      <w:marRight w:val="0"/>
      <w:marTop w:val="0"/>
      <w:marBottom w:val="0"/>
      <w:divBdr>
        <w:top w:val="none" w:sz="0" w:space="0" w:color="auto"/>
        <w:left w:val="none" w:sz="0" w:space="0" w:color="auto"/>
        <w:bottom w:val="none" w:sz="0" w:space="0" w:color="auto"/>
        <w:right w:val="none" w:sz="0" w:space="0" w:color="auto"/>
      </w:divBdr>
    </w:div>
    <w:div w:id="694428149">
      <w:bodyDiv w:val="1"/>
      <w:marLeft w:val="0"/>
      <w:marRight w:val="0"/>
      <w:marTop w:val="0"/>
      <w:marBottom w:val="0"/>
      <w:divBdr>
        <w:top w:val="none" w:sz="0" w:space="0" w:color="auto"/>
        <w:left w:val="none" w:sz="0" w:space="0" w:color="auto"/>
        <w:bottom w:val="none" w:sz="0" w:space="0" w:color="auto"/>
        <w:right w:val="none" w:sz="0" w:space="0" w:color="auto"/>
      </w:divBdr>
    </w:div>
    <w:div w:id="694500447">
      <w:bodyDiv w:val="1"/>
      <w:marLeft w:val="0"/>
      <w:marRight w:val="0"/>
      <w:marTop w:val="0"/>
      <w:marBottom w:val="0"/>
      <w:divBdr>
        <w:top w:val="none" w:sz="0" w:space="0" w:color="auto"/>
        <w:left w:val="none" w:sz="0" w:space="0" w:color="auto"/>
        <w:bottom w:val="none" w:sz="0" w:space="0" w:color="auto"/>
        <w:right w:val="none" w:sz="0" w:space="0" w:color="auto"/>
      </w:divBdr>
    </w:div>
    <w:div w:id="694814939">
      <w:bodyDiv w:val="1"/>
      <w:marLeft w:val="0"/>
      <w:marRight w:val="0"/>
      <w:marTop w:val="0"/>
      <w:marBottom w:val="0"/>
      <w:divBdr>
        <w:top w:val="none" w:sz="0" w:space="0" w:color="auto"/>
        <w:left w:val="none" w:sz="0" w:space="0" w:color="auto"/>
        <w:bottom w:val="none" w:sz="0" w:space="0" w:color="auto"/>
        <w:right w:val="none" w:sz="0" w:space="0" w:color="auto"/>
      </w:divBdr>
    </w:div>
    <w:div w:id="694816197">
      <w:bodyDiv w:val="1"/>
      <w:marLeft w:val="0"/>
      <w:marRight w:val="0"/>
      <w:marTop w:val="0"/>
      <w:marBottom w:val="0"/>
      <w:divBdr>
        <w:top w:val="none" w:sz="0" w:space="0" w:color="auto"/>
        <w:left w:val="none" w:sz="0" w:space="0" w:color="auto"/>
        <w:bottom w:val="none" w:sz="0" w:space="0" w:color="auto"/>
        <w:right w:val="none" w:sz="0" w:space="0" w:color="auto"/>
      </w:divBdr>
    </w:div>
    <w:div w:id="694887355">
      <w:bodyDiv w:val="1"/>
      <w:marLeft w:val="0"/>
      <w:marRight w:val="0"/>
      <w:marTop w:val="0"/>
      <w:marBottom w:val="0"/>
      <w:divBdr>
        <w:top w:val="none" w:sz="0" w:space="0" w:color="auto"/>
        <w:left w:val="none" w:sz="0" w:space="0" w:color="auto"/>
        <w:bottom w:val="none" w:sz="0" w:space="0" w:color="auto"/>
        <w:right w:val="none" w:sz="0" w:space="0" w:color="auto"/>
      </w:divBdr>
    </w:div>
    <w:div w:id="694888016">
      <w:bodyDiv w:val="1"/>
      <w:marLeft w:val="0"/>
      <w:marRight w:val="0"/>
      <w:marTop w:val="0"/>
      <w:marBottom w:val="0"/>
      <w:divBdr>
        <w:top w:val="none" w:sz="0" w:space="0" w:color="auto"/>
        <w:left w:val="none" w:sz="0" w:space="0" w:color="auto"/>
        <w:bottom w:val="none" w:sz="0" w:space="0" w:color="auto"/>
        <w:right w:val="none" w:sz="0" w:space="0" w:color="auto"/>
      </w:divBdr>
    </w:div>
    <w:div w:id="695037877">
      <w:bodyDiv w:val="1"/>
      <w:marLeft w:val="0"/>
      <w:marRight w:val="0"/>
      <w:marTop w:val="0"/>
      <w:marBottom w:val="0"/>
      <w:divBdr>
        <w:top w:val="none" w:sz="0" w:space="0" w:color="auto"/>
        <w:left w:val="none" w:sz="0" w:space="0" w:color="auto"/>
        <w:bottom w:val="none" w:sz="0" w:space="0" w:color="auto"/>
        <w:right w:val="none" w:sz="0" w:space="0" w:color="auto"/>
      </w:divBdr>
    </w:div>
    <w:div w:id="695038576">
      <w:bodyDiv w:val="1"/>
      <w:marLeft w:val="0"/>
      <w:marRight w:val="0"/>
      <w:marTop w:val="0"/>
      <w:marBottom w:val="0"/>
      <w:divBdr>
        <w:top w:val="none" w:sz="0" w:space="0" w:color="auto"/>
        <w:left w:val="none" w:sz="0" w:space="0" w:color="auto"/>
        <w:bottom w:val="none" w:sz="0" w:space="0" w:color="auto"/>
        <w:right w:val="none" w:sz="0" w:space="0" w:color="auto"/>
      </w:divBdr>
    </w:div>
    <w:div w:id="695039281">
      <w:bodyDiv w:val="1"/>
      <w:marLeft w:val="0"/>
      <w:marRight w:val="0"/>
      <w:marTop w:val="0"/>
      <w:marBottom w:val="0"/>
      <w:divBdr>
        <w:top w:val="none" w:sz="0" w:space="0" w:color="auto"/>
        <w:left w:val="none" w:sz="0" w:space="0" w:color="auto"/>
        <w:bottom w:val="none" w:sz="0" w:space="0" w:color="auto"/>
        <w:right w:val="none" w:sz="0" w:space="0" w:color="auto"/>
      </w:divBdr>
    </w:div>
    <w:div w:id="695083172">
      <w:bodyDiv w:val="1"/>
      <w:marLeft w:val="0"/>
      <w:marRight w:val="0"/>
      <w:marTop w:val="0"/>
      <w:marBottom w:val="0"/>
      <w:divBdr>
        <w:top w:val="none" w:sz="0" w:space="0" w:color="auto"/>
        <w:left w:val="none" w:sz="0" w:space="0" w:color="auto"/>
        <w:bottom w:val="none" w:sz="0" w:space="0" w:color="auto"/>
        <w:right w:val="none" w:sz="0" w:space="0" w:color="auto"/>
      </w:divBdr>
    </w:div>
    <w:div w:id="695421340">
      <w:bodyDiv w:val="1"/>
      <w:marLeft w:val="0"/>
      <w:marRight w:val="0"/>
      <w:marTop w:val="0"/>
      <w:marBottom w:val="0"/>
      <w:divBdr>
        <w:top w:val="none" w:sz="0" w:space="0" w:color="auto"/>
        <w:left w:val="none" w:sz="0" w:space="0" w:color="auto"/>
        <w:bottom w:val="none" w:sz="0" w:space="0" w:color="auto"/>
        <w:right w:val="none" w:sz="0" w:space="0" w:color="auto"/>
      </w:divBdr>
    </w:div>
    <w:div w:id="695428377">
      <w:bodyDiv w:val="1"/>
      <w:marLeft w:val="0"/>
      <w:marRight w:val="0"/>
      <w:marTop w:val="0"/>
      <w:marBottom w:val="0"/>
      <w:divBdr>
        <w:top w:val="none" w:sz="0" w:space="0" w:color="auto"/>
        <w:left w:val="none" w:sz="0" w:space="0" w:color="auto"/>
        <w:bottom w:val="none" w:sz="0" w:space="0" w:color="auto"/>
        <w:right w:val="none" w:sz="0" w:space="0" w:color="auto"/>
      </w:divBdr>
    </w:div>
    <w:div w:id="695737165">
      <w:bodyDiv w:val="1"/>
      <w:marLeft w:val="0"/>
      <w:marRight w:val="0"/>
      <w:marTop w:val="0"/>
      <w:marBottom w:val="0"/>
      <w:divBdr>
        <w:top w:val="none" w:sz="0" w:space="0" w:color="auto"/>
        <w:left w:val="none" w:sz="0" w:space="0" w:color="auto"/>
        <w:bottom w:val="none" w:sz="0" w:space="0" w:color="auto"/>
        <w:right w:val="none" w:sz="0" w:space="0" w:color="auto"/>
      </w:divBdr>
    </w:div>
    <w:div w:id="695737534">
      <w:bodyDiv w:val="1"/>
      <w:marLeft w:val="0"/>
      <w:marRight w:val="0"/>
      <w:marTop w:val="0"/>
      <w:marBottom w:val="0"/>
      <w:divBdr>
        <w:top w:val="none" w:sz="0" w:space="0" w:color="auto"/>
        <w:left w:val="none" w:sz="0" w:space="0" w:color="auto"/>
        <w:bottom w:val="none" w:sz="0" w:space="0" w:color="auto"/>
        <w:right w:val="none" w:sz="0" w:space="0" w:color="auto"/>
      </w:divBdr>
    </w:div>
    <w:div w:id="695890616">
      <w:bodyDiv w:val="1"/>
      <w:marLeft w:val="0"/>
      <w:marRight w:val="0"/>
      <w:marTop w:val="0"/>
      <w:marBottom w:val="0"/>
      <w:divBdr>
        <w:top w:val="none" w:sz="0" w:space="0" w:color="auto"/>
        <w:left w:val="none" w:sz="0" w:space="0" w:color="auto"/>
        <w:bottom w:val="none" w:sz="0" w:space="0" w:color="auto"/>
        <w:right w:val="none" w:sz="0" w:space="0" w:color="auto"/>
      </w:divBdr>
    </w:div>
    <w:div w:id="695931073">
      <w:bodyDiv w:val="1"/>
      <w:marLeft w:val="0"/>
      <w:marRight w:val="0"/>
      <w:marTop w:val="0"/>
      <w:marBottom w:val="0"/>
      <w:divBdr>
        <w:top w:val="none" w:sz="0" w:space="0" w:color="auto"/>
        <w:left w:val="none" w:sz="0" w:space="0" w:color="auto"/>
        <w:bottom w:val="none" w:sz="0" w:space="0" w:color="auto"/>
        <w:right w:val="none" w:sz="0" w:space="0" w:color="auto"/>
      </w:divBdr>
    </w:div>
    <w:div w:id="695932035">
      <w:bodyDiv w:val="1"/>
      <w:marLeft w:val="0"/>
      <w:marRight w:val="0"/>
      <w:marTop w:val="0"/>
      <w:marBottom w:val="0"/>
      <w:divBdr>
        <w:top w:val="none" w:sz="0" w:space="0" w:color="auto"/>
        <w:left w:val="none" w:sz="0" w:space="0" w:color="auto"/>
        <w:bottom w:val="none" w:sz="0" w:space="0" w:color="auto"/>
        <w:right w:val="none" w:sz="0" w:space="0" w:color="auto"/>
      </w:divBdr>
    </w:div>
    <w:div w:id="696154436">
      <w:bodyDiv w:val="1"/>
      <w:marLeft w:val="0"/>
      <w:marRight w:val="0"/>
      <w:marTop w:val="0"/>
      <w:marBottom w:val="0"/>
      <w:divBdr>
        <w:top w:val="none" w:sz="0" w:space="0" w:color="auto"/>
        <w:left w:val="none" w:sz="0" w:space="0" w:color="auto"/>
        <w:bottom w:val="none" w:sz="0" w:space="0" w:color="auto"/>
        <w:right w:val="none" w:sz="0" w:space="0" w:color="auto"/>
      </w:divBdr>
    </w:div>
    <w:div w:id="696396324">
      <w:bodyDiv w:val="1"/>
      <w:marLeft w:val="0"/>
      <w:marRight w:val="0"/>
      <w:marTop w:val="0"/>
      <w:marBottom w:val="0"/>
      <w:divBdr>
        <w:top w:val="none" w:sz="0" w:space="0" w:color="auto"/>
        <w:left w:val="none" w:sz="0" w:space="0" w:color="auto"/>
        <w:bottom w:val="none" w:sz="0" w:space="0" w:color="auto"/>
        <w:right w:val="none" w:sz="0" w:space="0" w:color="auto"/>
      </w:divBdr>
    </w:div>
    <w:div w:id="696661939">
      <w:bodyDiv w:val="1"/>
      <w:marLeft w:val="0"/>
      <w:marRight w:val="0"/>
      <w:marTop w:val="0"/>
      <w:marBottom w:val="0"/>
      <w:divBdr>
        <w:top w:val="none" w:sz="0" w:space="0" w:color="auto"/>
        <w:left w:val="none" w:sz="0" w:space="0" w:color="auto"/>
        <w:bottom w:val="none" w:sz="0" w:space="0" w:color="auto"/>
        <w:right w:val="none" w:sz="0" w:space="0" w:color="auto"/>
      </w:divBdr>
    </w:div>
    <w:div w:id="696664810">
      <w:bodyDiv w:val="1"/>
      <w:marLeft w:val="0"/>
      <w:marRight w:val="0"/>
      <w:marTop w:val="0"/>
      <w:marBottom w:val="0"/>
      <w:divBdr>
        <w:top w:val="none" w:sz="0" w:space="0" w:color="auto"/>
        <w:left w:val="none" w:sz="0" w:space="0" w:color="auto"/>
        <w:bottom w:val="none" w:sz="0" w:space="0" w:color="auto"/>
        <w:right w:val="none" w:sz="0" w:space="0" w:color="auto"/>
      </w:divBdr>
    </w:div>
    <w:div w:id="696778866">
      <w:bodyDiv w:val="1"/>
      <w:marLeft w:val="0"/>
      <w:marRight w:val="0"/>
      <w:marTop w:val="0"/>
      <w:marBottom w:val="0"/>
      <w:divBdr>
        <w:top w:val="none" w:sz="0" w:space="0" w:color="auto"/>
        <w:left w:val="none" w:sz="0" w:space="0" w:color="auto"/>
        <w:bottom w:val="none" w:sz="0" w:space="0" w:color="auto"/>
        <w:right w:val="none" w:sz="0" w:space="0" w:color="auto"/>
      </w:divBdr>
    </w:div>
    <w:div w:id="696852478">
      <w:bodyDiv w:val="1"/>
      <w:marLeft w:val="0"/>
      <w:marRight w:val="0"/>
      <w:marTop w:val="0"/>
      <w:marBottom w:val="0"/>
      <w:divBdr>
        <w:top w:val="none" w:sz="0" w:space="0" w:color="auto"/>
        <w:left w:val="none" w:sz="0" w:space="0" w:color="auto"/>
        <w:bottom w:val="none" w:sz="0" w:space="0" w:color="auto"/>
        <w:right w:val="none" w:sz="0" w:space="0" w:color="auto"/>
      </w:divBdr>
    </w:div>
    <w:div w:id="696930934">
      <w:bodyDiv w:val="1"/>
      <w:marLeft w:val="0"/>
      <w:marRight w:val="0"/>
      <w:marTop w:val="0"/>
      <w:marBottom w:val="0"/>
      <w:divBdr>
        <w:top w:val="none" w:sz="0" w:space="0" w:color="auto"/>
        <w:left w:val="none" w:sz="0" w:space="0" w:color="auto"/>
        <w:bottom w:val="none" w:sz="0" w:space="0" w:color="auto"/>
        <w:right w:val="none" w:sz="0" w:space="0" w:color="auto"/>
      </w:divBdr>
    </w:div>
    <w:div w:id="696976353">
      <w:bodyDiv w:val="1"/>
      <w:marLeft w:val="0"/>
      <w:marRight w:val="0"/>
      <w:marTop w:val="0"/>
      <w:marBottom w:val="0"/>
      <w:divBdr>
        <w:top w:val="none" w:sz="0" w:space="0" w:color="auto"/>
        <w:left w:val="none" w:sz="0" w:space="0" w:color="auto"/>
        <w:bottom w:val="none" w:sz="0" w:space="0" w:color="auto"/>
        <w:right w:val="none" w:sz="0" w:space="0" w:color="auto"/>
      </w:divBdr>
    </w:div>
    <w:div w:id="697005736">
      <w:bodyDiv w:val="1"/>
      <w:marLeft w:val="0"/>
      <w:marRight w:val="0"/>
      <w:marTop w:val="0"/>
      <w:marBottom w:val="0"/>
      <w:divBdr>
        <w:top w:val="none" w:sz="0" w:space="0" w:color="auto"/>
        <w:left w:val="none" w:sz="0" w:space="0" w:color="auto"/>
        <w:bottom w:val="none" w:sz="0" w:space="0" w:color="auto"/>
        <w:right w:val="none" w:sz="0" w:space="0" w:color="auto"/>
      </w:divBdr>
    </w:div>
    <w:div w:id="697198423">
      <w:bodyDiv w:val="1"/>
      <w:marLeft w:val="0"/>
      <w:marRight w:val="0"/>
      <w:marTop w:val="0"/>
      <w:marBottom w:val="0"/>
      <w:divBdr>
        <w:top w:val="none" w:sz="0" w:space="0" w:color="auto"/>
        <w:left w:val="none" w:sz="0" w:space="0" w:color="auto"/>
        <w:bottom w:val="none" w:sz="0" w:space="0" w:color="auto"/>
        <w:right w:val="none" w:sz="0" w:space="0" w:color="auto"/>
      </w:divBdr>
    </w:div>
    <w:div w:id="697311521">
      <w:bodyDiv w:val="1"/>
      <w:marLeft w:val="0"/>
      <w:marRight w:val="0"/>
      <w:marTop w:val="0"/>
      <w:marBottom w:val="0"/>
      <w:divBdr>
        <w:top w:val="none" w:sz="0" w:space="0" w:color="auto"/>
        <w:left w:val="none" w:sz="0" w:space="0" w:color="auto"/>
        <w:bottom w:val="none" w:sz="0" w:space="0" w:color="auto"/>
        <w:right w:val="none" w:sz="0" w:space="0" w:color="auto"/>
      </w:divBdr>
    </w:div>
    <w:div w:id="697435724">
      <w:bodyDiv w:val="1"/>
      <w:marLeft w:val="0"/>
      <w:marRight w:val="0"/>
      <w:marTop w:val="0"/>
      <w:marBottom w:val="0"/>
      <w:divBdr>
        <w:top w:val="none" w:sz="0" w:space="0" w:color="auto"/>
        <w:left w:val="none" w:sz="0" w:space="0" w:color="auto"/>
        <w:bottom w:val="none" w:sz="0" w:space="0" w:color="auto"/>
        <w:right w:val="none" w:sz="0" w:space="0" w:color="auto"/>
      </w:divBdr>
    </w:div>
    <w:div w:id="697462724">
      <w:bodyDiv w:val="1"/>
      <w:marLeft w:val="0"/>
      <w:marRight w:val="0"/>
      <w:marTop w:val="0"/>
      <w:marBottom w:val="0"/>
      <w:divBdr>
        <w:top w:val="none" w:sz="0" w:space="0" w:color="auto"/>
        <w:left w:val="none" w:sz="0" w:space="0" w:color="auto"/>
        <w:bottom w:val="none" w:sz="0" w:space="0" w:color="auto"/>
        <w:right w:val="none" w:sz="0" w:space="0" w:color="auto"/>
      </w:divBdr>
    </w:div>
    <w:div w:id="697507159">
      <w:bodyDiv w:val="1"/>
      <w:marLeft w:val="0"/>
      <w:marRight w:val="0"/>
      <w:marTop w:val="0"/>
      <w:marBottom w:val="0"/>
      <w:divBdr>
        <w:top w:val="none" w:sz="0" w:space="0" w:color="auto"/>
        <w:left w:val="none" w:sz="0" w:space="0" w:color="auto"/>
        <w:bottom w:val="none" w:sz="0" w:space="0" w:color="auto"/>
        <w:right w:val="none" w:sz="0" w:space="0" w:color="auto"/>
      </w:divBdr>
    </w:div>
    <w:div w:id="697511289">
      <w:bodyDiv w:val="1"/>
      <w:marLeft w:val="0"/>
      <w:marRight w:val="0"/>
      <w:marTop w:val="0"/>
      <w:marBottom w:val="0"/>
      <w:divBdr>
        <w:top w:val="none" w:sz="0" w:space="0" w:color="auto"/>
        <w:left w:val="none" w:sz="0" w:space="0" w:color="auto"/>
        <w:bottom w:val="none" w:sz="0" w:space="0" w:color="auto"/>
        <w:right w:val="none" w:sz="0" w:space="0" w:color="auto"/>
      </w:divBdr>
    </w:div>
    <w:div w:id="697663206">
      <w:bodyDiv w:val="1"/>
      <w:marLeft w:val="0"/>
      <w:marRight w:val="0"/>
      <w:marTop w:val="0"/>
      <w:marBottom w:val="0"/>
      <w:divBdr>
        <w:top w:val="none" w:sz="0" w:space="0" w:color="auto"/>
        <w:left w:val="none" w:sz="0" w:space="0" w:color="auto"/>
        <w:bottom w:val="none" w:sz="0" w:space="0" w:color="auto"/>
        <w:right w:val="none" w:sz="0" w:space="0" w:color="auto"/>
      </w:divBdr>
    </w:div>
    <w:div w:id="697853394">
      <w:bodyDiv w:val="1"/>
      <w:marLeft w:val="0"/>
      <w:marRight w:val="0"/>
      <w:marTop w:val="0"/>
      <w:marBottom w:val="0"/>
      <w:divBdr>
        <w:top w:val="none" w:sz="0" w:space="0" w:color="auto"/>
        <w:left w:val="none" w:sz="0" w:space="0" w:color="auto"/>
        <w:bottom w:val="none" w:sz="0" w:space="0" w:color="auto"/>
        <w:right w:val="none" w:sz="0" w:space="0" w:color="auto"/>
      </w:divBdr>
    </w:div>
    <w:div w:id="697854117">
      <w:bodyDiv w:val="1"/>
      <w:marLeft w:val="0"/>
      <w:marRight w:val="0"/>
      <w:marTop w:val="0"/>
      <w:marBottom w:val="0"/>
      <w:divBdr>
        <w:top w:val="none" w:sz="0" w:space="0" w:color="auto"/>
        <w:left w:val="none" w:sz="0" w:space="0" w:color="auto"/>
        <w:bottom w:val="none" w:sz="0" w:space="0" w:color="auto"/>
        <w:right w:val="none" w:sz="0" w:space="0" w:color="auto"/>
      </w:divBdr>
    </w:div>
    <w:div w:id="697973347">
      <w:bodyDiv w:val="1"/>
      <w:marLeft w:val="0"/>
      <w:marRight w:val="0"/>
      <w:marTop w:val="0"/>
      <w:marBottom w:val="0"/>
      <w:divBdr>
        <w:top w:val="none" w:sz="0" w:space="0" w:color="auto"/>
        <w:left w:val="none" w:sz="0" w:space="0" w:color="auto"/>
        <w:bottom w:val="none" w:sz="0" w:space="0" w:color="auto"/>
        <w:right w:val="none" w:sz="0" w:space="0" w:color="auto"/>
      </w:divBdr>
    </w:div>
    <w:div w:id="698049021">
      <w:bodyDiv w:val="1"/>
      <w:marLeft w:val="0"/>
      <w:marRight w:val="0"/>
      <w:marTop w:val="0"/>
      <w:marBottom w:val="0"/>
      <w:divBdr>
        <w:top w:val="none" w:sz="0" w:space="0" w:color="auto"/>
        <w:left w:val="none" w:sz="0" w:space="0" w:color="auto"/>
        <w:bottom w:val="none" w:sz="0" w:space="0" w:color="auto"/>
        <w:right w:val="none" w:sz="0" w:space="0" w:color="auto"/>
      </w:divBdr>
    </w:div>
    <w:div w:id="698166337">
      <w:bodyDiv w:val="1"/>
      <w:marLeft w:val="0"/>
      <w:marRight w:val="0"/>
      <w:marTop w:val="0"/>
      <w:marBottom w:val="0"/>
      <w:divBdr>
        <w:top w:val="none" w:sz="0" w:space="0" w:color="auto"/>
        <w:left w:val="none" w:sz="0" w:space="0" w:color="auto"/>
        <w:bottom w:val="none" w:sz="0" w:space="0" w:color="auto"/>
        <w:right w:val="none" w:sz="0" w:space="0" w:color="auto"/>
      </w:divBdr>
    </w:div>
    <w:div w:id="698433070">
      <w:bodyDiv w:val="1"/>
      <w:marLeft w:val="0"/>
      <w:marRight w:val="0"/>
      <w:marTop w:val="0"/>
      <w:marBottom w:val="0"/>
      <w:divBdr>
        <w:top w:val="none" w:sz="0" w:space="0" w:color="auto"/>
        <w:left w:val="none" w:sz="0" w:space="0" w:color="auto"/>
        <w:bottom w:val="none" w:sz="0" w:space="0" w:color="auto"/>
        <w:right w:val="none" w:sz="0" w:space="0" w:color="auto"/>
      </w:divBdr>
    </w:div>
    <w:div w:id="698555544">
      <w:bodyDiv w:val="1"/>
      <w:marLeft w:val="0"/>
      <w:marRight w:val="0"/>
      <w:marTop w:val="0"/>
      <w:marBottom w:val="0"/>
      <w:divBdr>
        <w:top w:val="none" w:sz="0" w:space="0" w:color="auto"/>
        <w:left w:val="none" w:sz="0" w:space="0" w:color="auto"/>
        <w:bottom w:val="none" w:sz="0" w:space="0" w:color="auto"/>
        <w:right w:val="none" w:sz="0" w:space="0" w:color="auto"/>
      </w:divBdr>
    </w:div>
    <w:div w:id="698776358">
      <w:bodyDiv w:val="1"/>
      <w:marLeft w:val="0"/>
      <w:marRight w:val="0"/>
      <w:marTop w:val="0"/>
      <w:marBottom w:val="0"/>
      <w:divBdr>
        <w:top w:val="none" w:sz="0" w:space="0" w:color="auto"/>
        <w:left w:val="none" w:sz="0" w:space="0" w:color="auto"/>
        <w:bottom w:val="none" w:sz="0" w:space="0" w:color="auto"/>
        <w:right w:val="none" w:sz="0" w:space="0" w:color="auto"/>
      </w:divBdr>
    </w:div>
    <w:div w:id="698821493">
      <w:bodyDiv w:val="1"/>
      <w:marLeft w:val="0"/>
      <w:marRight w:val="0"/>
      <w:marTop w:val="0"/>
      <w:marBottom w:val="0"/>
      <w:divBdr>
        <w:top w:val="none" w:sz="0" w:space="0" w:color="auto"/>
        <w:left w:val="none" w:sz="0" w:space="0" w:color="auto"/>
        <w:bottom w:val="none" w:sz="0" w:space="0" w:color="auto"/>
        <w:right w:val="none" w:sz="0" w:space="0" w:color="auto"/>
      </w:divBdr>
    </w:div>
    <w:div w:id="698896214">
      <w:bodyDiv w:val="1"/>
      <w:marLeft w:val="0"/>
      <w:marRight w:val="0"/>
      <w:marTop w:val="0"/>
      <w:marBottom w:val="0"/>
      <w:divBdr>
        <w:top w:val="none" w:sz="0" w:space="0" w:color="auto"/>
        <w:left w:val="none" w:sz="0" w:space="0" w:color="auto"/>
        <w:bottom w:val="none" w:sz="0" w:space="0" w:color="auto"/>
        <w:right w:val="none" w:sz="0" w:space="0" w:color="auto"/>
      </w:divBdr>
    </w:div>
    <w:div w:id="699168562">
      <w:bodyDiv w:val="1"/>
      <w:marLeft w:val="0"/>
      <w:marRight w:val="0"/>
      <w:marTop w:val="0"/>
      <w:marBottom w:val="0"/>
      <w:divBdr>
        <w:top w:val="none" w:sz="0" w:space="0" w:color="auto"/>
        <w:left w:val="none" w:sz="0" w:space="0" w:color="auto"/>
        <w:bottom w:val="none" w:sz="0" w:space="0" w:color="auto"/>
        <w:right w:val="none" w:sz="0" w:space="0" w:color="auto"/>
      </w:divBdr>
    </w:div>
    <w:div w:id="699474075">
      <w:bodyDiv w:val="1"/>
      <w:marLeft w:val="0"/>
      <w:marRight w:val="0"/>
      <w:marTop w:val="0"/>
      <w:marBottom w:val="0"/>
      <w:divBdr>
        <w:top w:val="none" w:sz="0" w:space="0" w:color="auto"/>
        <w:left w:val="none" w:sz="0" w:space="0" w:color="auto"/>
        <w:bottom w:val="none" w:sz="0" w:space="0" w:color="auto"/>
        <w:right w:val="none" w:sz="0" w:space="0" w:color="auto"/>
      </w:divBdr>
    </w:div>
    <w:div w:id="699745141">
      <w:bodyDiv w:val="1"/>
      <w:marLeft w:val="0"/>
      <w:marRight w:val="0"/>
      <w:marTop w:val="0"/>
      <w:marBottom w:val="0"/>
      <w:divBdr>
        <w:top w:val="none" w:sz="0" w:space="0" w:color="auto"/>
        <w:left w:val="none" w:sz="0" w:space="0" w:color="auto"/>
        <w:bottom w:val="none" w:sz="0" w:space="0" w:color="auto"/>
        <w:right w:val="none" w:sz="0" w:space="0" w:color="auto"/>
      </w:divBdr>
    </w:div>
    <w:div w:id="699822873">
      <w:bodyDiv w:val="1"/>
      <w:marLeft w:val="0"/>
      <w:marRight w:val="0"/>
      <w:marTop w:val="0"/>
      <w:marBottom w:val="0"/>
      <w:divBdr>
        <w:top w:val="none" w:sz="0" w:space="0" w:color="auto"/>
        <w:left w:val="none" w:sz="0" w:space="0" w:color="auto"/>
        <w:bottom w:val="none" w:sz="0" w:space="0" w:color="auto"/>
        <w:right w:val="none" w:sz="0" w:space="0" w:color="auto"/>
      </w:divBdr>
    </w:div>
    <w:div w:id="699891518">
      <w:bodyDiv w:val="1"/>
      <w:marLeft w:val="0"/>
      <w:marRight w:val="0"/>
      <w:marTop w:val="0"/>
      <w:marBottom w:val="0"/>
      <w:divBdr>
        <w:top w:val="none" w:sz="0" w:space="0" w:color="auto"/>
        <w:left w:val="none" w:sz="0" w:space="0" w:color="auto"/>
        <w:bottom w:val="none" w:sz="0" w:space="0" w:color="auto"/>
        <w:right w:val="none" w:sz="0" w:space="0" w:color="auto"/>
      </w:divBdr>
    </w:div>
    <w:div w:id="699940041">
      <w:bodyDiv w:val="1"/>
      <w:marLeft w:val="0"/>
      <w:marRight w:val="0"/>
      <w:marTop w:val="0"/>
      <w:marBottom w:val="0"/>
      <w:divBdr>
        <w:top w:val="none" w:sz="0" w:space="0" w:color="auto"/>
        <w:left w:val="none" w:sz="0" w:space="0" w:color="auto"/>
        <w:bottom w:val="none" w:sz="0" w:space="0" w:color="auto"/>
        <w:right w:val="none" w:sz="0" w:space="0" w:color="auto"/>
      </w:divBdr>
    </w:div>
    <w:div w:id="700132677">
      <w:bodyDiv w:val="1"/>
      <w:marLeft w:val="0"/>
      <w:marRight w:val="0"/>
      <w:marTop w:val="0"/>
      <w:marBottom w:val="0"/>
      <w:divBdr>
        <w:top w:val="none" w:sz="0" w:space="0" w:color="auto"/>
        <w:left w:val="none" w:sz="0" w:space="0" w:color="auto"/>
        <w:bottom w:val="none" w:sz="0" w:space="0" w:color="auto"/>
        <w:right w:val="none" w:sz="0" w:space="0" w:color="auto"/>
      </w:divBdr>
    </w:div>
    <w:div w:id="700472167">
      <w:bodyDiv w:val="1"/>
      <w:marLeft w:val="0"/>
      <w:marRight w:val="0"/>
      <w:marTop w:val="0"/>
      <w:marBottom w:val="0"/>
      <w:divBdr>
        <w:top w:val="none" w:sz="0" w:space="0" w:color="auto"/>
        <w:left w:val="none" w:sz="0" w:space="0" w:color="auto"/>
        <w:bottom w:val="none" w:sz="0" w:space="0" w:color="auto"/>
        <w:right w:val="none" w:sz="0" w:space="0" w:color="auto"/>
      </w:divBdr>
    </w:div>
    <w:div w:id="700590263">
      <w:bodyDiv w:val="1"/>
      <w:marLeft w:val="0"/>
      <w:marRight w:val="0"/>
      <w:marTop w:val="0"/>
      <w:marBottom w:val="0"/>
      <w:divBdr>
        <w:top w:val="none" w:sz="0" w:space="0" w:color="auto"/>
        <w:left w:val="none" w:sz="0" w:space="0" w:color="auto"/>
        <w:bottom w:val="none" w:sz="0" w:space="0" w:color="auto"/>
        <w:right w:val="none" w:sz="0" w:space="0" w:color="auto"/>
      </w:divBdr>
    </w:div>
    <w:div w:id="700742756">
      <w:bodyDiv w:val="1"/>
      <w:marLeft w:val="0"/>
      <w:marRight w:val="0"/>
      <w:marTop w:val="0"/>
      <w:marBottom w:val="0"/>
      <w:divBdr>
        <w:top w:val="none" w:sz="0" w:space="0" w:color="auto"/>
        <w:left w:val="none" w:sz="0" w:space="0" w:color="auto"/>
        <w:bottom w:val="none" w:sz="0" w:space="0" w:color="auto"/>
        <w:right w:val="none" w:sz="0" w:space="0" w:color="auto"/>
      </w:divBdr>
    </w:div>
    <w:div w:id="700863613">
      <w:bodyDiv w:val="1"/>
      <w:marLeft w:val="0"/>
      <w:marRight w:val="0"/>
      <w:marTop w:val="0"/>
      <w:marBottom w:val="0"/>
      <w:divBdr>
        <w:top w:val="none" w:sz="0" w:space="0" w:color="auto"/>
        <w:left w:val="none" w:sz="0" w:space="0" w:color="auto"/>
        <w:bottom w:val="none" w:sz="0" w:space="0" w:color="auto"/>
        <w:right w:val="none" w:sz="0" w:space="0" w:color="auto"/>
      </w:divBdr>
    </w:div>
    <w:div w:id="701246433">
      <w:bodyDiv w:val="1"/>
      <w:marLeft w:val="0"/>
      <w:marRight w:val="0"/>
      <w:marTop w:val="0"/>
      <w:marBottom w:val="0"/>
      <w:divBdr>
        <w:top w:val="none" w:sz="0" w:space="0" w:color="auto"/>
        <w:left w:val="none" w:sz="0" w:space="0" w:color="auto"/>
        <w:bottom w:val="none" w:sz="0" w:space="0" w:color="auto"/>
        <w:right w:val="none" w:sz="0" w:space="0" w:color="auto"/>
      </w:divBdr>
    </w:div>
    <w:div w:id="701367864">
      <w:bodyDiv w:val="1"/>
      <w:marLeft w:val="0"/>
      <w:marRight w:val="0"/>
      <w:marTop w:val="0"/>
      <w:marBottom w:val="0"/>
      <w:divBdr>
        <w:top w:val="none" w:sz="0" w:space="0" w:color="auto"/>
        <w:left w:val="none" w:sz="0" w:space="0" w:color="auto"/>
        <w:bottom w:val="none" w:sz="0" w:space="0" w:color="auto"/>
        <w:right w:val="none" w:sz="0" w:space="0" w:color="auto"/>
      </w:divBdr>
    </w:div>
    <w:div w:id="701441191">
      <w:bodyDiv w:val="1"/>
      <w:marLeft w:val="0"/>
      <w:marRight w:val="0"/>
      <w:marTop w:val="0"/>
      <w:marBottom w:val="0"/>
      <w:divBdr>
        <w:top w:val="none" w:sz="0" w:space="0" w:color="auto"/>
        <w:left w:val="none" w:sz="0" w:space="0" w:color="auto"/>
        <w:bottom w:val="none" w:sz="0" w:space="0" w:color="auto"/>
        <w:right w:val="none" w:sz="0" w:space="0" w:color="auto"/>
      </w:divBdr>
    </w:div>
    <w:div w:id="701521515">
      <w:bodyDiv w:val="1"/>
      <w:marLeft w:val="0"/>
      <w:marRight w:val="0"/>
      <w:marTop w:val="0"/>
      <w:marBottom w:val="0"/>
      <w:divBdr>
        <w:top w:val="none" w:sz="0" w:space="0" w:color="auto"/>
        <w:left w:val="none" w:sz="0" w:space="0" w:color="auto"/>
        <w:bottom w:val="none" w:sz="0" w:space="0" w:color="auto"/>
        <w:right w:val="none" w:sz="0" w:space="0" w:color="auto"/>
      </w:divBdr>
    </w:div>
    <w:div w:id="701786451">
      <w:bodyDiv w:val="1"/>
      <w:marLeft w:val="0"/>
      <w:marRight w:val="0"/>
      <w:marTop w:val="0"/>
      <w:marBottom w:val="0"/>
      <w:divBdr>
        <w:top w:val="none" w:sz="0" w:space="0" w:color="auto"/>
        <w:left w:val="none" w:sz="0" w:space="0" w:color="auto"/>
        <w:bottom w:val="none" w:sz="0" w:space="0" w:color="auto"/>
        <w:right w:val="none" w:sz="0" w:space="0" w:color="auto"/>
      </w:divBdr>
    </w:div>
    <w:div w:id="701832554">
      <w:bodyDiv w:val="1"/>
      <w:marLeft w:val="0"/>
      <w:marRight w:val="0"/>
      <w:marTop w:val="0"/>
      <w:marBottom w:val="0"/>
      <w:divBdr>
        <w:top w:val="none" w:sz="0" w:space="0" w:color="auto"/>
        <w:left w:val="none" w:sz="0" w:space="0" w:color="auto"/>
        <w:bottom w:val="none" w:sz="0" w:space="0" w:color="auto"/>
        <w:right w:val="none" w:sz="0" w:space="0" w:color="auto"/>
      </w:divBdr>
    </w:div>
    <w:div w:id="701905315">
      <w:bodyDiv w:val="1"/>
      <w:marLeft w:val="0"/>
      <w:marRight w:val="0"/>
      <w:marTop w:val="0"/>
      <w:marBottom w:val="0"/>
      <w:divBdr>
        <w:top w:val="none" w:sz="0" w:space="0" w:color="auto"/>
        <w:left w:val="none" w:sz="0" w:space="0" w:color="auto"/>
        <w:bottom w:val="none" w:sz="0" w:space="0" w:color="auto"/>
        <w:right w:val="none" w:sz="0" w:space="0" w:color="auto"/>
      </w:divBdr>
    </w:div>
    <w:div w:id="702242580">
      <w:bodyDiv w:val="1"/>
      <w:marLeft w:val="0"/>
      <w:marRight w:val="0"/>
      <w:marTop w:val="0"/>
      <w:marBottom w:val="0"/>
      <w:divBdr>
        <w:top w:val="none" w:sz="0" w:space="0" w:color="auto"/>
        <w:left w:val="none" w:sz="0" w:space="0" w:color="auto"/>
        <w:bottom w:val="none" w:sz="0" w:space="0" w:color="auto"/>
        <w:right w:val="none" w:sz="0" w:space="0" w:color="auto"/>
      </w:divBdr>
    </w:div>
    <w:div w:id="702561485">
      <w:bodyDiv w:val="1"/>
      <w:marLeft w:val="0"/>
      <w:marRight w:val="0"/>
      <w:marTop w:val="0"/>
      <w:marBottom w:val="0"/>
      <w:divBdr>
        <w:top w:val="none" w:sz="0" w:space="0" w:color="auto"/>
        <w:left w:val="none" w:sz="0" w:space="0" w:color="auto"/>
        <w:bottom w:val="none" w:sz="0" w:space="0" w:color="auto"/>
        <w:right w:val="none" w:sz="0" w:space="0" w:color="auto"/>
      </w:divBdr>
    </w:div>
    <w:div w:id="702709594">
      <w:bodyDiv w:val="1"/>
      <w:marLeft w:val="0"/>
      <w:marRight w:val="0"/>
      <w:marTop w:val="0"/>
      <w:marBottom w:val="0"/>
      <w:divBdr>
        <w:top w:val="none" w:sz="0" w:space="0" w:color="auto"/>
        <w:left w:val="none" w:sz="0" w:space="0" w:color="auto"/>
        <w:bottom w:val="none" w:sz="0" w:space="0" w:color="auto"/>
        <w:right w:val="none" w:sz="0" w:space="0" w:color="auto"/>
      </w:divBdr>
    </w:div>
    <w:div w:id="702832025">
      <w:bodyDiv w:val="1"/>
      <w:marLeft w:val="0"/>
      <w:marRight w:val="0"/>
      <w:marTop w:val="0"/>
      <w:marBottom w:val="0"/>
      <w:divBdr>
        <w:top w:val="none" w:sz="0" w:space="0" w:color="auto"/>
        <w:left w:val="none" w:sz="0" w:space="0" w:color="auto"/>
        <w:bottom w:val="none" w:sz="0" w:space="0" w:color="auto"/>
        <w:right w:val="none" w:sz="0" w:space="0" w:color="auto"/>
      </w:divBdr>
    </w:div>
    <w:div w:id="702904734">
      <w:bodyDiv w:val="1"/>
      <w:marLeft w:val="0"/>
      <w:marRight w:val="0"/>
      <w:marTop w:val="0"/>
      <w:marBottom w:val="0"/>
      <w:divBdr>
        <w:top w:val="none" w:sz="0" w:space="0" w:color="auto"/>
        <w:left w:val="none" w:sz="0" w:space="0" w:color="auto"/>
        <w:bottom w:val="none" w:sz="0" w:space="0" w:color="auto"/>
        <w:right w:val="none" w:sz="0" w:space="0" w:color="auto"/>
      </w:divBdr>
    </w:div>
    <w:div w:id="703097084">
      <w:bodyDiv w:val="1"/>
      <w:marLeft w:val="0"/>
      <w:marRight w:val="0"/>
      <w:marTop w:val="0"/>
      <w:marBottom w:val="0"/>
      <w:divBdr>
        <w:top w:val="none" w:sz="0" w:space="0" w:color="auto"/>
        <w:left w:val="none" w:sz="0" w:space="0" w:color="auto"/>
        <w:bottom w:val="none" w:sz="0" w:space="0" w:color="auto"/>
        <w:right w:val="none" w:sz="0" w:space="0" w:color="auto"/>
      </w:divBdr>
    </w:div>
    <w:div w:id="703140831">
      <w:bodyDiv w:val="1"/>
      <w:marLeft w:val="0"/>
      <w:marRight w:val="0"/>
      <w:marTop w:val="0"/>
      <w:marBottom w:val="0"/>
      <w:divBdr>
        <w:top w:val="none" w:sz="0" w:space="0" w:color="auto"/>
        <w:left w:val="none" w:sz="0" w:space="0" w:color="auto"/>
        <w:bottom w:val="none" w:sz="0" w:space="0" w:color="auto"/>
        <w:right w:val="none" w:sz="0" w:space="0" w:color="auto"/>
      </w:divBdr>
    </w:div>
    <w:div w:id="703335942">
      <w:bodyDiv w:val="1"/>
      <w:marLeft w:val="0"/>
      <w:marRight w:val="0"/>
      <w:marTop w:val="0"/>
      <w:marBottom w:val="0"/>
      <w:divBdr>
        <w:top w:val="none" w:sz="0" w:space="0" w:color="auto"/>
        <w:left w:val="none" w:sz="0" w:space="0" w:color="auto"/>
        <w:bottom w:val="none" w:sz="0" w:space="0" w:color="auto"/>
        <w:right w:val="none" w:sz="0" w:space="0" w:color="auto"/>
      </w:divBdr>
    </w:div>
    <w:div w:id="703408858">
      <w:bodyDiv w:val="1"/>
      <w:marLeft w:val="0"/>
      <w:marRight w:val="0"/>
      <w:marTop w:val="0"/>
      <w:marBottom w:val="0"/>
      <w:divBdr>
        <w:top w:val="none" w:sz="0" w:space="0" w:color="auto"/>
        <w:left w:val="none" w:sz="0" w:space="0" w:color="auto"/>
        <w:bottom w:val="none" w:sz="0" w:space="0" w:color="auto"/>
        <w:right w:val="none" w:sz="0" w:space="0" w:color="auto"/>
      </w:divBdr>
    </w:div>
    <w:div w:id="703411965">
      <w:bodyDiv w:val="1"/>
      <w:marLeft w:val="0"/>
      <w:marRight w:val="0"/>
      <w:marTop w:val="0"/>
      <w:marBottom w:val="0"/>
      <w:divBdr>
        <w:top w:val="none" w:sz="0" w:space="0" w:color="auto"/>
        <w:left w:val="none" w:sz="0" w:space="0" w:color="auto"/>
        <w:bottom w:val="none" w:sz="0" w:space="0" w:color="auto"/>
        <w:right w:val="none" w:sz="0" w:space="0" w:color="auto"/>
      </w:divBdr>
    </w:div>
    <w:div w:id="703553075">
      <w:bodyDiv w:val="1"/>
      <w:marLeft w:val="0"/>
      <w:marRight w:val="0"/>
      <w:marTop w:val="0"/>
      <w:marBottom w:val="0"/>
      <w:divBdr>
        <w:top w:val="none" w:sz="0" w:space="0" w:color="auto"/>
        <w:left w:val="none" w:sz="0" w:space="0" w:color="auto"/>
        <w:bottom w:val="none" w:sz="0" w:space="0" w:color="auto"/>
        <w:right w:val="none" w:sz="0" w:space="0" w:color="auto"/>
      </w:divBdr>
    </w:div>
    <w:div w:id="703823316">
      <w:bodyDiv w:val="1"/>
      <w:marLeft w:val="0"/>
      <w:marRight w:val="0"/>
      <w:marTop w:val="0"/>
      <w:marBottom w:val="0"/>
      <w:divBdr>
        <w:top w:val="none" w:sz="0" w:space="0" w:color="auto"/>
        <w:left w:val="none" w:sz="0" w:space="0" w:color="auto"/>
        <w:bottom w:val="none" w:sz="0" w:space="0" w:color="auto"/>
        <w:right w:val="none" w:sz="0" w:space="0" w:color="auto"/>
      </w:divBdr>
    </w:div>
    <w:div w:id="704059658">
      <w:bodyDiv w:val="1"/>
      <w:marLeft w:val="0"/>
      <w:marRight w:val="0"/>
      <w:marTop w:val="0"/>
      <w:marBottom w:val="0"/>
      <w:divBdr>
        <w:top w:val="none" w:sz="0" w:space="0" w:color="auto"/>
        <w:left w:val="none" w:sz="0" w:space="0" w:color="auto"/>
        <w:bottom w:val="none" w:sz="0" w:space="0" w:color="auto"/>
        <w:right w:val="none" w:sz="0" w:space="0" w:color="auto"/>
      </w:divBdr>
    </w:div>
    <w:div w:id="704334238">
      <w:bodyDiv w:val="1"/>
      <w:marLeft w:val="0"/>
      <w:marRight w:val="0"/>
      <w:marTop w:val="0"/>
      <w:marBottom w:val="0"/>
      <w:divBdr>
        <w:top w:val="none" w:sz="0" w:space="0" w:color="auto"/>
        <w:left w:val="none" w:sz="0" w:space="0" w:color="auto"/>
        <w:bottom w:val="none" w:sz="0" w:space="0" w:color="auto"/>
        <w:right w:val="none" w:sz="0" w:space="0" w:color="auto"/>
      </w:divBdr>
    </w:div>
    <w:div w:id="704451559">
      <w:bodyDiv w:val="1"/>
      <w:marLeft w:val="0"/>
      <w:marRight w:val="0"/>
      <w:marTop w:val="0"/>
      <w:marBottom w:val="0"/>
      <w:divBdr>
        <w:top w:val="none" w:sz="0" w:space="0" w:color="auto"/>
        <w:left w:val="none" w:sz="0" w:space="0" w:color="auto"/>
        <w:bottom w:val="none" w:sz="0" w:space="0" w:color="auto"/>
        <w:right w:val="none" w:sz="0" w:space="0" w:color="auto"/>
      </w:divBdr>
    </w:div>
    <w:div w:id="704598344">
      <w:bodyDiv w:val="1"/>
      <w:marLeft w:val="0"/>
      <w:marRight w:val="0"/>
      <w:marTop w:val="0"/>
      <w:marBottom w:val="0"/>
      <w:divBdr>
        <w:top w:val="none" w:sz="0" w:space="0" w:color="auto"/>
        <w:left w:val="none" w:sz="0" w:space="0" w:color="auto"/>
        <w:bottom w:val="none" w:sz="0" w:space="0" w:color="auto"/>
        <w:right w:val="none" w:sz="0" w:space="0" w:color="auto"/>
      </w:divBdr>
    </w:div>
    <w:div w:id="704598755">
      <w:bodyDiv w:val="1"/>
      <w:marLeft w:val="0"/>
      <w:marRight w:val="0"/>
      <w:marTop w:val="0"/>
      <w:marBottom w:val="0"/>
      <w:divBdr>
        <w:top w:val="none" w:sz="0" w:space="0" w:color="auto"/>
        <w:left w:val="none" w:sz="0" w:space="0" w:color="auto"/>
        <w:bottom w:val="none" w:sz="0" w:space="0" w:color="auto"/>
        <w:right w:val="none" w:sz="0" w:space="0" w:color="auto"/>
      </w:divBdr>
    </w:div>
    <w:div w:id="704602391">
      <w:bodyDiv w:val="1"/>
      <w:marLeft w:val="0"/>
      <w:marRight w:val="0"/>
      <w:marTop w:val="0"/>
      <w:marBottom w:val="0"/>
      <w:divBdr>
        <w:top w:val="none" w:sz="0" w:space="0" w:color="auto"/>
        <w:left w:val="none" w:sz="0" w:space="0" w:color="auto"/>
        <w:bottom w:val="none" w:sz="0" w:space="0" w:color="auto"/>
        <w:right w:val="none" w:sz="0" w:space="0" w:color="auto"/>
      </w:divBdr>
    </w:div>
    <w:div w:id="704908618">
      <w:bodyDiv w:val="1"/>
      <w:marLeft w:val="0"/>
      <w:marRight w:val="0"/>
      <w:marTop w:val="0"/>
      <w:marBottom w:val="0"/>
      <w:divBdr>
        <w:top w:val="none" w:sz="0" w:space="0" w:color="auto"/>
        <w:left w:val="none" w:sz="0" w:space="0" w:color="auto"/>
        <w:bottom w:val="none" w:sz="0" w:space="0" w:color="auto"/>
        <w:right w:val="none" w:sz="0" w:space="0" w:color="auto"/>
      </w:divBdr>
    </w:div>
    <w:div w:id="704911282">
      <w:bodyDiv w:val="1"/>
      <w:marLeft w:val="0"/>
      <w:marRight w:val="0"/>
      <w:marTop w:val="0"/>
      <w:marBottom w:val="0"/>
      <w:divBdr>
        <w:top w:val="none" w:sz="0" w:space="0" w:color="auto"/>
        <w:left w:val="none" w:sz="0" w:space="0" w:color="auto"/>
        <w:bottom w:val="none" w:sz="0" w:space="0" w:color="auto"/>
        <w:right w:val="none" w:sz="0" w:space="0" w:color="auto"/>
      </w:divBdr>
    </w:div>
    <w:div w:id="704987880">
      <w:bodyDiv w:val="1"/>
      <w:marLeft w:val="0"/>
      <w:marRight w:val="0"/>
      <w:marTop w:val="0"/>
      <w:marBottom w:val="0"/>
      <w:divBdr>
        <w:top w:val="none" w:sz="0" w:space="0" w:color="auto"/>
        <w:left w:val="none" w:sz="0" w:space="0" w:color="auto"/>
        <w:bottom w:val="none" w:sz="0" w:space="0" w:color="auto"/>
        <w:right w:val="none" w:sz="0" w:space="0" w:color="auto"/>
      </w:divBdr>
    </w:div>
    <w:div w:id="705057054">
      <w:bodyDiv w:val="1"/>
      <w:marLeft w:val="0"/>
      <w:marRight w:val="0"/>
      <w:marTop w:val="0"/>
      <w:marBottom w:val="0"/>
      <w:divBdr>
        <w:top w:val="none" w:sz="0" w:space="0" w:color="auto"/>
        <w:left w:val="none" w:sz="0" w:space="0" w:color="auto"/>
        <w:bottom w:val="none" w:sz="0" w:space="0" w:color="auto"/>
        <w:right w:val="none" w:sz="0" w:space="0" w:color="auto"/>
      </w:divBdr>
    </w:div>
    <w:div w:id="705106011">
      <w:bodyDiv w:val="1"/>
      <w:marLeft w:val="0"/>
      <w:marRight w:val="0"/>
      <w:marTop w:val="0"/>
      <w:marBottom w:val="0"/>
      <w:divBdr>
        <w:top w:val="none" w:sz="0" w:space="0" w:color="auto"/>
        <w:left w:val="none" w:sz="0" w:space="0" w:color="auto"/>
        <w:bottom w:val="none" w:sz="0" w:space="0" w:color="auto"/>
        <w:right w:val="none" w:sz="0" w:space="0" w:color="auto"/>
      </w:divBdr>
    </w:div>
    <w:div w:id="705256272">
      <w:bodyDiv w:val="1"/>
      <w:marLeft w:val="0"/>
      <w:marRight w:val="0"/>
      <w:marTop w:val="0"/>
      <w:marBottom w:val="0"/>
      <w:divBdr>
        <w:top w:val="none" w:sz="0" w:space="0" w:color="auto"/>
        <w:left w:val="none" w:sz="0" w:space="0" w:color="auto"/>
        <w:bottom w:val="none" w:sz="0" w:space="0" w:color="auto"/>
        <w:right w:val="none" w:sz="0" w:space="0" w:color="auto"/>
      </w:divBdr>
    </w:div>
    <w:div w:id="705258384">
      <w:bodyDiv w:val="1"/>
      <w:marLeft w:val="0"/>
      <w:marRight w:val="0"/>
      <w:marTop w:val="0"/>
      <w:marBottom w:val="0"/>
      <w:divBdr>
        <w:top w:val="none" w:sz="0" w:space="0" w:color="auto"/>
        <w:left w:val="none" w:sz="0" w:space="0" w:color="auto"/>
        <w:bottom w:val="none" w:sz="0" w:space="0" w:color="auto"/>
        <w:right w:val="none" w:sz="0" w:space="0" w:color="auto"/>
      </w:divBdr>
    </w:div>
    <w:div w:id="705328993">
      <w:bodyDiv w:val="1"/>
      <w:marLeft w:val="0"/>
      <w:marRight w:val="0"/>
      <w:marTop w:val="0"/>
      <w:marBottom w:val="0"/>
      <w:divBdr>
        <w:top w:val="none" w:sz="0" w:space="0" w:color="auto"/>
        <w:left w:val="none" w:sz="0" w:space="0" w:color="auto"/>
        <w:bottom w:val="none" w:sz="0" w:space="0" w:color="auto"/>
        <w:right w:val="none" w:sz="0" w:space="0" w:color="auto"/>
      </w:divBdr>
    </w:div>
    <w:div w:id="705369906">
      <w:bodyDiv w:val="1"/>
      <w:marLeft w:val="0"/>
      <w:marRight w:val="0"/>
      <w:marTop w:val="0"/>
      <w:marBottom w:val="0"/>
      <w:divBdr>
        <w:top w:val="none" w:sz="0" w:space="0" w:color="auto"/>
        <w:left w:val="none" w:sz="0" w:space="0" w:color="auto"/>
        <w:bottom w:val="none" w:sz="0" w:space="0" w:color="auto"/>
        <w:right w:val="none" w:sz="0" w:space="0" w:color="auto"/>
      </w:divBdr>
    </w:div>
    <w:div w:id="705452098">
      <w:bodyDiv w:val="1"/>
      <w:marLeft w:val="0"/>
      <w:marRight w:val="0"/>
      <w:marTop w:val="0"/>
      <w:marBottom w:val="0"/>
      <w:divBdr>
        <w:top w:val="none" w:sz="0" w:space="0" w:color="auto"/>
        <w:left w:val="none" w:sz="0" w:space="0" w:color="auto"/>
        <w:bottom w:val="none" w:sz="0" w:space="0" w:color="auto"/>
        <w:right w:val="none" w:sz="0" w:space="0" w:color="auto"/>
      </w:divBdr>
    </w:div>
    <w:div w:id="705520905">
      <w:bodyDiv w:val="1"/>
      <w:marLeft w:val="0"/>
      <w:marRight w:val="0"/>
      <w:marTop w:val="0"/>
      <w:marBottom w:val="0"/>
      <w:divBdr>
        <w:top w:val="none" w:sz="0" w:space="0" w:color="auto"/>
        <w:left w:val="none" w:sz="0" w:space="0" w:color="auto"/>
        <w:bottom w:val="none" w:sz="0" w:space="0" w:color="auto"/>
        <w:right w:val="none" w:sz="0" w:space="0" w:color="auto"/>
      </w:divBdr>
    </w:div>
    <w:div w:id="705569142">
      <w:bodyDiv w:val="1"/>
      <w:marLeft w:val="0"/>
      <w:marRight w:val="0"/>
      <w:marTop w:val="0"/>
      <w:marBottom w:val="0"/>
      <w:divBdr>
        <w:top w:val="none" w:sz="0" w:space="0" w:color="auto"/>
        <w:left w:val="none" w:sz="0" w:space="0" w:color="auto"/>
        <w:bottom w:val="none" w:sz="0" w:space="0" w:color="auto"/>
        <w:right w:val="none" w:sz="0" w:space="0" w:color="auto"/>
      </w:divBdr>
    </w:div>
    <w:div w:id="705714590">
      <w:bodyDiv w:val="1"/>
      <w:marLeft w:val="0"/>
      <w:marRight w:val="0"/>
      <w:marTop w:val="0"/>
      <w:marBottom w:val="0"/>
      <w:divBdr>
        <w:top w:val="none" w:sz="0" w:space="0" w:color="auto"/>
        <w:left w:val="none" w:sz="0" w:space="0" w:color="auto"/>
        <w:bottom w:val="none" w:sz="0" w:space="0" w:color="auto"/>
        <w:right w:val="none" w:sz="0" w:space="0" w:color="auto"/>
      </w:divBdr>
    </w:div>
    <w:div w:id="705982326">
      <w:bodyDiv w:val="1"/>
      <w:marLeft w:val="0"/>
      <w:marRight w:val="0"/>
      <w:marTop w:val="0"/>
      <w:marBottom w:val="0"/>
      <w:divBdr>
        <w:top w:val="none" w:sz="0" w:space="0" w:color="auto"/>
        <w:left w:val="none" w:sz="0" w:space="0" w:color="auto"/>
        <w:bottom w:val="none" w:sz="0" w:space="0" w:color="auto"/>
        <w:right w:val="none" w:sz="0" w:space="0" w:color="auto"/>
      </w:divBdr>
    </w:div>
    <w:div w:id="706105257">
      <w:bodyDiv w:val="1"/>
      <w:marLeft w:val="0"/>
      <w:marRight w:val="0"/>
      <w:marTop w:val="0"/>
      <w:marBottom w:val="0"/>
      <w:divBdr>
        <w:top w:val="none" w:sz="0" w:space="0" w:color="auto"/>
        <w:left w:val="none" w:sz="0" w:space="0" w:color="auto"/>
        <w:bottom w:val="none" w:sz="0" w:space="0" w:color="auto"/>
        <w:right w:val="none" w:sz="0" w:space="0" w:color="auto"/>
      </w:divBdr>
    </w:div>
    <w:div w:id="706106469">
      <w:bodyDiv w:val="1"/>
      <w:marLeft w:val="0"/>
      <w:marRight w:val="0"/>
      <w:marTop w:val="0"/>
      <w:marBottom w:val="0"/>
      <w:divBdr>
        <w:top w:val="none" w:sz="0" w:space="0" w:color="auto"/>
        <w:left w:val="none" w:sz="0" w:space="0" w:color="auto"/>
        <w:bottom w:val="none" w:sz="0" w:space="0" w:color="auto"/>
        <w:right w:val="none" w:sz="0" w:space="0" w:color="auto"/>
      </w:divBdr>
    </w:div>
    <w:div w:id="706183052">
      <w:bodyDiv w:val="1"/>
      <w:marLeft w:val="0"/>
      <w:marRight w:val="0"/>
      <w:marTop w:val="0"/>
      <w:marBottom w:val="0"/>
      <w:divBdr>
        <w:top w:val="none" w:sz="0" w:space="0" w:color="auto"/>
        <w:left w:val="none" w:sz="0" w:space="0" w:color="auto"/>
        <w:bottom w:val="none" w:sz="0" w:space="0" w:color="auto"/>
        <w:right w:val="none" w:sz="0" w:space="0" w:color="auto"/>
      </w:divBdr>
    </w:div>
    <w:div w:id="706679739">
      <w:bodyDiv w:val="1"/>
      <w:marLeft w:val="0"/>
      <w:marRight w:val="0"/>
      <w:marTop w:val="0"/>
      <w:marBottom w:val="0"/>
      <w:divBdr>
        <w:top w:val="none" w:sz="0" w:space="0" w:color="auto"/>
        <w:left w:val="none" w:sz="0" w:space="0" w:color="auto"/>
        <w:bottom w:val="none" w:sz="0" w:space="0" w:color="auto"/>
        <w:right w:val="none" w:sz="0" w:space="0" w:color="auto"/>
      </w:divBdr>
    </w:div>
    <w:div w:id="706756272">
      <w:bodyDiv w:val="1"/>
      <w:marLeft w:val="0"/>
      <w:marRight w:val="0"/>
      <w:marTop w:val="0"/>
      <w:marBottom w:val="0"/>
      <w:divBdr>
        <w:top w:val="none" w:sz="0" w:space="0" w:color="auto"/>
        <w:left w:val="none" w:sz="0" w:space="0" w:color="auto"/>
        <w:bottom w:val="none" w:sz="0" w:space="0" w:color="auto"/>
        <w:right w:val="none" w:sz="0" w:space="0" w:color="auto"/>
      </w:divBdr>
    </w:div>
    <w:div w:id="706757453">
      <w:bodyDiv w:val="1"/>
      <w:marLeft w:val="0"/>
      <w:marRight w:val="0"/>
      <w:marTop w:val="0"/>
      <w:marBottom w:val="0"/>
      <w:divBdr>
        <w:top w:val="none" w:sz="0" w:space="0" w:color="auto"/>
        <w:left w:val="none" w:sz="0" w:space="0" w:color="auto"/>
        <w:bottom w:val="none" w:sz="0" w:space="0" w:color="auto"/>
        <w:right w:val="none" w:sz="0" w:space="0" w:color="auto"/>
      </w:divBdr>
    </w:div>
    <w:div w:id="706760855">
      <w:bodyDiv w:val="1"/>
      <w:marLeft w:val="0"/>
      <w:marRight w:val="0"/>
      <w:marTop w:val="0"/>
      <w:marBottom w:val="0"/>
      <w:divBdr>
        <w:top w:val="none" w:sz="0" w:space="0" w:color="auto"/>
        <w:left w:val="none" w:sz="0" w:space="0" w:color="auto"/>
        <w:bottom w:val="none" w:sz="0" w:space="0" w:color="auto"/>
        <w:right w:val="none" w:sz="0" w:space="0" w:color="auto"/>
      </w:divBdr>
    </w:div>
    <w:div w:id="706836503">
      <w:bodyDiv w:val="1"/>
      <w:marLeft w:val="0"/>
      <w:marRight w:val="0"/>
      <w:marTop w:val="0"/>
      <w:marBottom w:val="0"/>
      <w:divBdr>
        <w:top w:val="none" w:sz="0" w:space="0" w:color="auto"/>
        <w:left w:val="none" w:sz="0" w:space="0" w:color="auto"/>
        <w:bottom w:val="none" w:sz="0" w:space="0" w:color="auto"/>
        <w:right w:val="none" w:sz="0" w:space="0" w:color="auto"/>
      </w:divBdr>
    </w:div>
    <w:div w:id="707098641">
      <w:bodyDiv w:val="1"/>
      <w:marLeft w:val="0"/>
      <w:marRight w:val="0"/>
      <w:marTop w:val="0"/>
      <w:marBottom w:val="0"/>
      <w:divBdr>
        <w:top w:val="none" w:sz="0" w:space="0" w:color="auto"/>
        <w:left w:val="none" w:sz="0" w:space="0" w:color="auto"/>
        <w:bottom w:val="none" w:sz="0" w:space="0" w:color="auto"/>
        <w:right w:val="none" w:sz="0" w:space="0" w:color="auto"/>
      </w:divBdr>
    </w:div>
    <w:div w:id="707221333">
      <w:bodyDiv w:val="1"/>
      <w:marLeft w:val="0"/>
      <w:marRight w:val="0"/>
      <w:marTop w:val="0"/>
      <w:marBottom w:val="0"/>
      <w:divBdr>
        <w:top w:val="none" w:sz="0" w:space="0" w:color="auto"/>
        <w:left w:val="none" w:sz="0" w:space="0" w:color="auto"/>
        <w:bottom w:val="none" w:sz="0" w:space="0" w:color="auto"/>
        <w:right w:val="none" w:sz="0" w:space="0" w:color="auto"/>
      </w:divBdr>
    </w:div>
    <w:div w:id="707225115">
      <w:bodyDiv w:val="1"/>
      <w:marLeft w:val="0"/>
      <w:marRight w:val="0"/>
      <w:marTop w:val="0"/>
      <w:marBottom w:val="0"/>
      <w:divBdr>
        <w:top w:val="none" w:sz="0" w:space="0" w:color="auto"/>
        <w:left w:val="none" w:sz="0" w:space="0" w:color="auto"/>
        <w:bottom w:val="none" w:sz="0" w:space="0" w:color="auto"/>
        <w:right w:val="none" w:sz="0" w:space="0" w:color="auto"/>
      </w:divBdr>
    </w:div>
    <w:div w:id="707536401">
      <w:bodyDiv w:val="1"/>
      <w:marLeft w:val="0"/>
      <w:marRight w:val="0"/>
      <w:marTop w:val="0"/>
      <w:marBottom w:val="0"/>
      <w:divBdr>
        <w:top w:val="none" w:sz="0" w:space="0" w:color="auto"/>
        <w:left w:val="none" w:sz="0" w:space="0" w:color="auto"/>
        <w:bottom w:val="none" w:sz="0" w:space="0" w:color="auto"/>
        <w:right w:val="none" w:sz="0" w:space="0" w:color="auto"/>
      </w:divBdr>
    </w:div>
    <w:div w:id="707923188">
      <w:bodyDiv w:val="1"/>
      <w:marLeft w:val="0"/>
      <w:marRight w:val="0"/>
      <w:marTop w:val="0"/>
      <w:marBottom w:val="0"/>
      <w:divBdr>
        <w:top w:val="none" w:sz="0" w:space="0" w:color="auto"/>
        <w:left w:val="none" w:sz="0" w:space="0" w:color="auto"/>
        <w:bottom w:val="none" w:sz="0" w:space="0" w:color="auto"/>
        <w:right w:val="none" w:sz="0" w:space="0" w:color="auto"/>
      </w:divBdr>
    </w:div>
    <w:div w:id="708334622">
      <w:bodyDiv w:val="1"/>
      <w:marLeft w:val="0"/>
      <w:marRight w:val="0"/>
      <w:marTop w:val="0"/>
      <w:marBottom w:val="0"/>
      <w:divBdr>
        <w:top w:val="none" w:sz="0" w:space="0" w:color="auto"/>
        <w:left w:val="none" w:sz="0" w:space="0" w:color="auto"/>
        <w:bottom w:val="none" w:sz="0" w:space="0" w:color="auto"/>
        <w:right w:val="none" w:sz="0" w:space="0" w:color="auto"/>
      </w:divBdr>
    </w:div>
    <w:div w:id="708379603">
      <w:bodyDiv w:val="1"/>
      <w:marLeft w:val="0"/>
      <w:marRight w:val="0"/>
      <w:marTop w:val="0"/>
      <w:marBottom w:val="0"/>
      <w:divBdr>
        <w:top w:val="none" w:sz="0" w:space="0" w:color="auto"/>
        <w:left w:val="none" w:sz="0" w:space="0" w:color="auto"/>
        <w:bottom w:val="none" w:sz="0" w:space="0" w:color="auto"/>
        <w:right w:val="none" w:sz="0" w:space="0" w:color="auto"/>
      </w:divBdr>
    </w:div>
    <w:div w:id="708380993">
      <w:bodyDiv w:val="1"/>
      <w:marLeft w:val="0"/>
      <w:marRight w:val="0"/>
      <w:marTop w:val="0"/>
      <w:marBottom w:val="0"/>
      <w:divBdr>
        <w:top w:val="none" w:sz="0" w:space="0" w:color="auto"/>
        <w:left w:val="none" w:sz="0" w:space="0" w:color="auto"/>
        <w:bottom w:val="none" w:sz="0" w:space="0" w:color="auto"/>
        <w:right w:val="none" w:sz="0" w:space="0" w:color="auto"/>
      </w:divBdr>
    </w:div>
    <w:div w:id="708451599">
      <w:bodyDiv w:val="1"/>
      <w:marLeft w:val="0"/>
      <w:marRight w:val="0"/>
      <w:marTop w:val="0"/>
      <w:marBottom w:val="0"/>
      <w:divBdr>
        <w:top w:val="none" w:sz="0" w:space="0" w:color="auto"/>
        <w:left w:val="none" w:sz="0" w:space="0" w:color="auto"/>
        <w:bottom w:val="none" w:sz="0" w:space="0" w:color="auto"/>
        <w:right w:val="none" w:sz="0" w:space="0" w:color="auto"/>
      </w:divBdr>
    </w:div>
    <w:div w:id="708460463">
      <w:bodyDiv w:val="1"/>
      <w:marLeft w:val="0"/>
      <w:marRight w:val="0"/>
      <w:marTop w:val="0"/>
      <w:marBottom w:val="0"/>
      <w:divBdr>
        <w:top w:val="none" w:sz="0" w:space="0" w:color="auto"/>
        <w:left w:val="none" w:sz="0" w:space="0" w:color="auto"/>
        <w:bottom w:val="none" w:sz="0" w:space="0" w:color="auto"/>
        <w:right w:val="none" w:sz="0" w:space="0" w:color="auto"/>
      </w:divBdr>
    </w:div>
    <w:div w:id="708651359">
      <w:bodyDiv w:val="1"/>
      <w:marLeft w:val="0"/>
      <w:marRight w:val="0"/>
      <w:marTop w:val="0"/>
      <w:marBottom w:val="0"/>
      <w:divBdr>
        <w:top w:val="none" w:sz="0" w:space="0" w:color="auto"/>
        <w:left w:val="none" w:sz="0" w:space="0" w:color="auto"/>
        <w:bottom w:val="none" w:sz="0" w:space="0" w:color="auto"/>
        <w:right w:val="none" w:sz="0" w:space="0" w:color="auto"/>
      </w:divBdr>
    </w:div>
    <w:div w:id="708721339">
      <w:bodyDiv w:val="1"/>
      <w:marLeft w:val="0"/>
      <w:marRight w:val="0"/>
      <w:marTop w:val="0"/>
      <w:marBottom w:val="0"/>
      <w:divBdr>
        <w:top w:val="none" w:sz="0" w:space="0" w:color="auto"/>
        <w:left w:val="none" w:sz="0" w:space="0" w:color="auto"/>
        <w:bottom w:val="none" w:sz="0" w:space="0" w:color="auto"/>
        <w:right w:val="none" w:sz="0" w:space="0" w:color="auto"/>
      </w:divBdr>
    </w:div>
    <w:div w:id="708843440">
      <w:bodyDiv w:val="1"/>
      <w:marLeft w:val="0"/>
      <w:marRight w:val="0"/>
      <w:marTop w:val="0"/>
      <w:marBottom w:val="0"/>
      <w:divBdr>
        <w:top w:val="none" w:sz="0" w:space="0" w:color="auto"/>
        <w:left w:val="none" w:sz="0" w:space="0" w:color="auto"/>
        <w:bottom w:val="none" w:sz="0" w:space="0" w:color="auto"/>
        <w:right w:val="none" w:sz="0" w:space="0" w:color="auto"/>
      </w:divBdr>
    </w:div>
    <w:div w:id="708921322">
      <w:bodyDiv w:val="1"/>
      <w:marLeft w:val="0"/>
      <w:marRight w:val="0"/>
      <w:marTop w:val="0"/>
      <w:marBottom w:val="0"/>
      <w:divBdr>
        <w:top w:val="none" w:sz="0" w:space="0" w:color="auto"/>
        <w:left w:val="none" w:sz="0" w:space="0" w:color="auto"/>
        <w:bottom w:val="none" w:sz="0" w:space="0" w:color="auto"/>
        <w:right w:val="none" w:sz="0" w:space="0" w:color="auto"/>
      </w:divBdr>
    </w:div>
    <w:div w:id="708997027">
      <w:bodyDiv w:val="1"/>
      <w:marLeft w:val="0"/>
      <w:marRight w:val="0"/>
      <w:marTop w:val="0"/>
      <w:marBottom w:val="0"/>
      <w:divBdr>
        <w:top w:val="none" w:sz="0" w:space="0" w:color="auto"/>
        <w:left w:val="none" w:sz="0" w:space="0" w:color="auto"/>
        <w:bottom w:val="none" w:sz="0" w:space="0" w:color="auto"/>
        <w:right w:val="none" w:sz="0" w:space="0" w:color="auto"/>
      </w:divBdr>
    </w:div>
    <w:div w:id="709190244">
      <w:bodyDiv w:val="1"/>
      <w:marLeft w:val="0"/>
      <w:marRight w:val="0"/>
      <w:marTop w:val="0"/>
      <w:marBottom w:val="0"/>
      <w:divBdr>
        <w:top w:val="none" w:sz="0" w:space="0" w:color="auto"/>
        <w:left w:val="none" w:sz="0" w:space="0" w:color="auto"/>
        <w:bottom w:val="none" w:sz="0" w:space="0" w:color="auto"/>
        <w:right w:val="none" w:sz="0" w:space="0" w:color="auto"/>
      </w:divBdr>
    </w:div>
    <w:div w:id="709259120">
      <w:bodyDiv w:val="1"/>
      <w:marLeft w:val="0"/>
      <w:marRight w:val="0"/>
      <w:marTop w:val="0"/>
      <w:marBottom w:val="0"/>
      <w:divBdr>
        <w:top w:val="none" w:sz="0" w:space="0" w:color="auto"/>
        <w:left w:val="none" w:sz="0" w:space="0" w:color="auto"/>
        <w:bottom w:val="none" w:sz="0" w:space="0" w:color="auto"/>
        <w:right w:val="none" w:sz="0" w:space="0" w:color="auto"/>
      </w:divBdr>
    </w:div>
    <w:div w:id="709380253">
      <w:bodyDiv w:val="1"/>
      <w:marLeft w:val="0"/>
      <w:marRight w:val="0"/>
      <w:marTop w:val="0"/>
      <w:marBottom w:val="0"/>
      <w:divBdr>
        <w:top w:val="none" w:sz="0" w:space="0" w:color="auto"/>
        <w:left w:val="none" w:sz="0" w:space="0" w:color="auto"/>
        <w:bottom w:val="none" w:sz="0" w:space="0" w:color="auto"/>
        <w:right w:val="none" w:sz="0" w:space="0" w:color="auto"/>
      </w:divBdr>
    </w:div>
    <w:div w:id="709383969">
      <w:bodyDiv w:val="1"/>
      <w:marLeft w:val="0"/>
      <w:marRight w:val="0"/>
      <w:marTop w:val="0"/>
      <w:marBottom w:val="0"/>
      <w:divBdr>
        <w:top w:val="none" w:sz="0" w:space="0" w:color="auto"/>
        <w:left w:val="none" w:sz="0" w:space="0" w:color="auto"/>
        <w:bottom w:val="none" w:sz="0" w:space="0" w:color="auto"/>
        <w:right w:val="none" w:sz="0" w:space="0" w:color="auto"/>
      </w:divBdr>
    </w:div>
    <w:div w:id="709450771">
      <w:bodyDiv w:val="1"/>
      <w:marLeft w:val="0"/>
      <w:marRight w:val="0"/>
      <w:marTop w:val="0"/>
      <w:marBottom w:val="0"/>
      <w:divBdr>
        <w:top w:val="none" w:sz="0" w:space="0" w:color="auto"/>
        <w:left w:val="none" w:sz="0" w:space="0" w:color="auto"/>
        <w:bottom w:val="none" w:sz="0" w:space="0" w:color="auto"/>
        <w:right w:val="none" w:sz="0" w:space="0" w:color="auto"/>
      </w:divBdr>
    </w:div>
    <w:div w:id="709493215">
      <w:bodyDiv w:val="1"/>
      <w:marLeft w:val="0"/>
      <w:marRight w:val="0"/>
      <w:marTop w:val="0"/>
      <w:marBottom w:val="0"/>
      <w:divBdr>
        <w:top w:val="none" w:sz="0" w:space="0" w:color="auto"/>
        <w:left w:val="none" w:sz="0" w:space="0" w:color="auto"/>
        <w:bottom w:val="none" w:sz="0" w:space="0" w:color="auto"/>
        <w:right w:val="none" w:sz="0" w:space="0" w:color="auto"/>
      </w:divBdr>
    </w:div>
    <w:div w:id="709497827">
      <w:bodyDiv w:val="1"/>
      <w:marLeft w:val="0"/>
      <w:marRight w:val="0"/>
      <w:marTop w:val="0"/>
      <w:marBottom w:val="0"/>
      <w:divBdr>
        <w:top w:val="none" w:sz="0" w:space="0" w:color="auto"/>
        <w:left w:val="none" w:sz="0" w:space="0" w:color="auto"/>
        <w:bottom w:val="none" w:sz="0" w:space="0" w:color="auto"/>
        <w:right w:val="none" w:sz="0" w:space="0" w:color="auto"/>
      </w:divBdr>
    </w:div>
    <w:div w:id="709647106">
      <w:bodyDiv w:val="1"/>
      <w:marLeft w:val="0"/>
      <w:marRight w:val="0"/>
      <w:marTop w:val="0"/>
      <w:marBottom w:val="0"/>
      <w:divBdr>
        <w:top w:val="none" w:sz="0" w:space="0" w:color="auto"/>
        <w:left w:val="none" w:sz="0" w:space="0" w:color="auto"/>
        <w:bottom w:val="none" w:sz="0" w:space="0" w:color="auto"/>
        <w:right w:val="none" w:sz="0" w:space="0" w:color="auto"/>
      </w:divBdr>
    </w:div>
    <w:div w:id="709721664">
      <w:bodyDiv w:val="1"/>
      <w:marLeft w:val="0"/>
      <w:marRight w:val="0"/>
      <w:marTop w:val="0"/>
      <w:marBottom w:val="0"/>
      <w:divBdr>
        <w:top w:val="none" w:sz="0" w:space="0" w:color="auto"/>
        <w:left w:val="none" w:sz="0" w:space="0" w:color="auto"/>
        <w:bottom w:val="none" w:sz="0" w:space="0" w:color="auto"/>
        <w:right w:val="none" w:sz="0" w:space="0" w:color="auto"/>
      </w:divBdr>
    </w:div>
    <w:div w:id="709770765">
      <w:bodyDiv w:val="1"/>
      <w:marLeft w:val="0"/>
      <w:marRight w:val="0"/>
      <w:marTop w:val="0"/>
      <w:marBottom w:val="0"/>
      <w:divBdr>
        <w:top w:val="none" w:sz="0" w:space="0" w:color="auto"/>
        <w:left w:val="none" w:sz="0" w:space="0" w:color="auto"/>
        <w:bottom w:val="none" w:sz="0" w:space="0" w:color="auto"/>
        <w:right w:val="none" w:sz="0" w:space="0" w:color="auto"/>
      </w:divBdr>
    </w:div>
    <w:div w:id="709887427">
      <w:bodyDiv w:val="1"/>
      <w:marLeft w:val="0"/>
      <w:marRight w:val="0"/>
      <w:marTop w:val="0"/>
      <w:marBottom w:val="0"/>
      <w:divBdr>
        <w:top w:val="none" w:sz="0" w:space="0" w:color="auto"/>
        <w:left w:val="none" w:sz="0" w:space="0" w:color="auto"/>
        <w:bottom w:val="none" w:sz="0" w:space="0" w:color="auto"/>
        <w:right w:val="none" w:sz="0" w:space="0" w:color="auto"/>
      </w:divBdr>
    </w:div>
    <w:div w:id="710148294">
      <w:bodyDiv w:val="1"/>
      <w:marLeft w:val="0"/>
      <w:marRight w:val="0"/>
      <w:marTop w:val="0"/>
      <w:marBottom w:val="0"/>
      <w:divBdr>
        <w:top w:val="none" w:sz="0" w:space="0" w:color="auto"/>
        <w:left w:val="none" w:sz="0" w:space="0" w:color="auto"/>
        <w:bottom w:val="none" w:sz="0" w:space="0" w:color="auto"/>
        <w:right w:val="none" w:sz="0" w:space="0" w:color="auto"/>
      </w:divBdr>
    </w:div>
    <w:div w:id="710153149">
      <w:bodyDiv w:val="1"/>
      <w:marLeft w:val="0"/>
      <w:marRight w:val="0"/>
      <w:marTop w:val="0"/>
      <w:marBottom w:val="0"/>
      <w:divBdr>
        <w:top w:val="none" w:sz="0" w:space="0" w:color="auto"/>
        <w:left w:val="none" w:sz="0" w:space="0" w:color="auto"/>
        <w:bottom w:val="none" w:sz="0" w:space="0" w:color="auto"/>
        <w:right w:val="none" w:sz="0" w:space="0" w:color="auto"/>
      </w:divBdr>
    </w:div>
    <w:div w:id="710425519">
      <w:bodyDiv w:val="1"/>
      <w:marLeft w:val="0"/>
      <w:marRight w:val="0"/>
      <w:marTop w:val="0"/>
      <w:marBottom w:val="0"/>
      <w:divBdr>
        <w:top w:val="none" w:sz="0" w:space="0" w:color="auto"/>
        <w:left w:val="none" w:sz="0" w:space="0" w:color="auto"/>
        <w:bottom w:val="none" w:sz="0" w:space="0" w:color="auto"/>
        <w:right w:val="none" w:sz="0" w:space="0" w:color="auto"/>
      </w:divBdr>
    </w:div>
    <w:div w:id="710498233">
      <w:bodyDiv w:val="1"/>
      <w:marLeft w:val="0"/>
      <w:marRight w:val="0"/>
      <w:marTop w:val="0"/>
      <w:marBottom w:val="0"/>
      <w:divBdr>
        <w:top w:val="none" w:sz="0" w:space="0" w:color="auto"/>
        <w:left w:val="none" w:sz="0" w:space="0" w:color="auto"/>
        <w:bottom w:val="none" w:sz="0" w:space="0" w:color="auto"/>
        <w:right w:val="none" w:sz="0" w:space="0" w:color="auto"/>
      </w:divBdr>
    </w:div>
    <w:div w:id="710569005">
      <w:bodyDiv w:val="1"/>
      <w:marLeft w:val="0"/>
      <w:marRight w:val="0"/>
      <w:marTop w:val="0"/>
      <w:marBottom w:val="0"/>
      <w:divBdr>
        <w:top w:val="none" w:sz="0" w:space="0" w:color="auto"/>
        <w:left w:val="none" w:sz="0" w:space="0" w:color="auto"/>
        <w:bottom w:val="none" w:sz="0" w:space="0" w:color="auto"/>
        <w:right w:val="none" w:sz="0" w:space="0" w:color="auto"/>
      </w:divBdr>
    </w:div>
    <w:div w:id="710571321">
      <w:bodyDiv w:val="1"/>
      <w:marLeft w:val="0"/>
      <w:marRight w:val="0"/>
      <w:marTop w:val="0"/>
      <w:marBottom w:val="0"/>
      <w:divBdr>
        <w:top w:val="none" w:sz="0" w:space="0" w:color="auto"/>
        <w:left w:val="none" w:sz="0" w:space="0" w:color="auto"/>
        <w:bottom w:val="none" w:sz="0" w:space="0" w:color="auto"/>
        <w:right w:val="none" w:sz="0" w:space="0" w:color="auto"/>
      </w:divBdr>
    </w:div>
    <w:div w:id="711266924">
      <w:bodyDiv w:val="1"/>
      <w:marLeft w:val="0"/>
      <w:marRight w:val="0"/>
      <w:marTop w:val="0"/>
      <w:marBottom w:val="0"/>
      <w:divBdr>
        <w:top w:val="none" w:sz="0" w:space="0" w:color="auto"/>
        <w:left w:val="none" w:sz="0" w:space="0" w:color="auto"/>
        <w:bottom w:val="none" w:sz="0" w:space="0" w:color="auto"/>
        <w:right w:val="none" w:sz="0" w:space="0" w:color="auto"/>
      </w:divBdr>
    </w:div>
    <w:div w:id="711419829">
      <w:bodyDiv w:val="1"/>
      <w:marLeft w:val="0"/>
      <w:marRight w:val="0"/>
      <w:marTop w:val="0"/>
      <w:marBottom w:val="0"/>
      <w:divBdr>
        <w:top w:val="none" w:sz="0" w:space="0" w:color="auto"/>
        <w:left w:val="none" w:sz="0" w:space="0" w:color="auto"/>
        <w:bottom w:val="none" w:sz="0" w:space="0" w:color="auto"/>
        <w:right w:val="none" w:sz="0" w:space="0" w:color="auto"/>
      </w:divBdr>
    </w:div>
    <w:div w:id="711541367">
      <w:bodyDiv w:val="1"/>
      <w:marLeft w:val="0"/>
      <w:marRight w:val="0"/>
      <w:marTop w:val="0"/>
      <w:marBottom w:val="0"/>
      <w:divBdr>
        <w:top w:val="none" w:sz="0" w:space="0" w:color="auto"/>
        <w:left w:val="none" w:sz="0" w:space="0" w:color="auto"/>
        <w:bottom w:val="none" w:sz="0" w:space="0" w:color="auto"/>
        <w:right w:val="none" w:sz="0" w:space="0" w:color="auto"/>
      </w:divBdr>
    </w:div>
    <w:div w:id="711614817">
      <w:bodyDiv w:val="1"/>
      <w:marLeft w:val="0"/>
      <w:marRight w:val="0"/>
      <w:marTop w:val="0"/>
      <w:marBottom w:val="0"/>
      <w:divBdr>
        <w:top w:val="none" w:sz="0" w:space="0" w:color="auto"/>
        <w:left w:val="none" w:sz="0" w:space="0" w:color="auto"/>
        <w:bottom w:val="none" w:sz="0" w:space="0" w:color="auto"/>
        <w:right w:val="none" w:sz="0" w:space="0" w:color="auto"/>
      </w:divBdr>
    </w:div>
    <w:div w:id="711661448">
      <w:bodyDiv w:val="1"/>
      <w:marLeft w:val="0"/>
      <w:marRight w:val="0"/>
      <w:marTop w:val="0"/>
      <w:marBottom w:val="0"/>
      <w:divBdr>
        <w:top w:val="none" w:sz="0" w:space="0" w:color="auto"/>
        <w:left w:val="none" w:sz="0" w:space="0" w:color="auto"/>
        <w:bottom w:val="none" w:sz="0" w:space="0" w:color="auto"/>
        <w:right w:val="none" w:sz="0" w:space="0" w:color="auto"/>
      </w:divBdr>
    </w:div>
    <w:div w:id="711881392">
      <w:bodyDiv w:val="1"/>
      <w:marLeft w:val="0"/>
      <w:marRight w:val="0"/>
      <w:marTop w:val="0"/>
      <w:marBottom w:val="0"/>
      <w:divBdr>
        <w:top w:val="none" w:sz="0" w:space="0" w:color="auto"/>
        <w:left w:val="none" w:sz="0" w:space="0" w:color="auto"/>
        <w:bottom w:val="none" w:sz="0" w:space="0" w:color="auto"/>
        <w:right w:val="none" w:sz="0" w:space="0" w:color="auto"/>
      </w:divBdr>
    </w:div>
    <w:div w:id="712000869">
      <w:bodyDiv w:val="1"/>
      <w:marLeft w:val="0"/>
      <w:marRight w:val="0"/>
      <w:marTop w:val="0"/>
      <w:marBottom w:val="0"/>
      <w:divBdr>
        <w:top w:val="none" w:sz="0" w:space="0" w:color="auto"/>
        <w:left w:val="none" w:sz="0" w:space="0" w:color="auto"/>
        <w:bottom w:val="none" w:sz="0" w:space="0" w:color="auto"/>
        <w:right w:val="none" w:sz="0" w:space="0" w:color="auto"/>
      </w:divBdr>
    </w:div>
    <w:div w:id="712077354">
      <w:bodyDiv w:val="1"/>
      <w:marLeft w:val="0"/>
      <w:marRight w:val="0"/>
      <w:marTop w:val="0"/>
      <w:marBottom w:val="0"/>
      <w:divBdr>
        <w:top w:val="none" w:sz="0" w:space="0" w:color="auto"/>
        <w:left w:val="none" w:sz="0" w:space="0" w:color="auto"/>
        <w:bottom w:val="none" w:sz="0" w:space="0" w:color="auto"/>
        <w:right w:val="none" w:sz="0" w:space="0" w:color="auto"/>
      </w:divBdr>
    </w:div>
    <w:div w:id="712081083">
      <w:bodyDiv w:val="1"/>
      <w:marLeft w:val="0"/>
      <w:marRight w:val="0"/>
      <w:marTop w:val="0"/>
      <w:marBottom w:val="0"/>
      <w:divBdr>
        <w:top w:val="none" w:sz="0" w:space="0" w:color="auto"/>
        <w:left w:val="none" w:sz="0" w:space="0" w:color="auto"/>
        <w:bottom w:val="none" w:sz="0" w:space="0" w:color="auto"/>
        <w:right w:val="none" w:sz="0" w:space="0" w:color="auto"/>
      </w:divBdr>
    </w:div>
    <w:div w:id="712123298">
      <w:bodyDiv w:val="1"/>
      <w:marLeft w:val="0"/>
      <w:marRight w:val="0"/>
      <w:marTop w:val="0"/>
      <w:marBottom w:val="0"/>
      <w:divBdr>
        <w:top w:val="none" w:sz="0" w:space="0" w:color="auto"/>
        <w:left w:val="none" w:sz="0" w:space="0" w:color="auto"/>
        <w:bottom w:val="none" w:sz="0" w:space="0" w:color="auto"/>
        <w:right w:val="none" w:sz="0" w:space="0" w:color="auto"/>
      </w:divBdr>
    </w:div>
    <w:div w:id="712343479">
      <w:bodyDiv w:val="1"/>
      <w:marLeft w:val="0"/>
      <w:marRight w:val="0"/>
      <w:marTop w:val="0"/>
      <w:marBottom w:val="0"/>
      <w:divBdr>
        <w:top w:val="none" w:sz="0" w:space="0" w:color="auto"/>
        <w:left w:val="none" w:sz="0" w:space="0" w:color="auto"/>
        <w:bottom w:val="none" w:sz="0" w:space="0" w:color="auto"/>
        <w:right w:val="none" w:sz="0" w:space="0" w:color="auto"/>
      </w:divBdr>
    </w:div>
    <w:div w:id="712463996">
      <w:bodyDiv w:val="1"/>
      <w:marLeft w:val="0"/>
      <w:marRight w:val="0"/>
      <w:marTop w:val="0"/>
      <w:marBottom w:val="0"/>
      <w:divBdr>
        <w:top w:val="none" w:sz="0" w:space="0" w:color="auto"/>
        <w:left w:val="none" w:sz="0" w:space="0" w:color="auto"/>
        <w:bottom w:val="none" w:sz="0" w:space="0" w:color="auto"/>
        <w:right w:val="none" w:sz="0" w:space="0" w:color="auto"/>
      </w:divBdr>
    </w:div>
    <w:div w:id="712578594">
      <w:bodyDiv w:val="1"/>
      <w:marLeft w:val="0"/>
      <w:marRight w:val="0"/>
      <w:marTop w:val="0"/>
      <w:marBottom w:val="0"/>
      <w:divBdr>
        <w:top w:val="none" w:sz="0" w:space="0" w:color="auto"/>
        <w:left w:val="none" w:sz="0" w:space="0" w:color="auto"/>
        <w:bottom w:val="none" w:sz="0" w:space="0" w:color="auto"/>
        <w:right w:val="none" w:sz="0" w:space="0" w:color="auto"/>
      </w:divBdr>
    </w:div>
    <w:div w:id="712657274">
      <w:bodyDiv w:val="1"/>
      <w:marLeft w:val="0"/>
      <w:marRight w:val="0"/>
      <w:marTop w:val="0"/>
      <w:marBottom w:val="0"/>
      <w:divBdr>
        <w:top w:val="none" w:sz="0" w:space="0" w:color="auto"/>
        <w:left w:val="none" w:sz="0" w:space="0" w:color="auto"/>
        <w:bottom w:val="none" w:sz="0" w:space="0" w:color="auto"/>
        <w:right w:val="none" w:sz="0" w:space="0" w:color="auto"/>
      </w:divBdr>
    </w:div>
    <w:div w:id="712730474">
      <w:bodyDiv w:val="1"/>
      <w:marLeft w:val="0"/>
      <w:marRight w:val="0"/>
      <w:marTop w:val="0"/>
      <w:marBottom w:val="0"/>
      <w:divBdr>
        <w:top w:val="none" w:sz="0" w:space="0" w:color="auto"/>
        <w:left w:val="none" w:sz="0" w:space="0" w:color="auto"/>
        <w:bottom w:val="none" w:sz="0" w:space="0" w:color="auto"/>
        <w:right w:val="none" w:sz="0" w:space="0" w:color="auto"/>
      </w:divBdr>
    </w:div>
    <w:div w:id="712844815">
      <w:bodyDiv w:val="1"/>
      <w:marLeft w:val="0"/>
      <w:marRight w:val="0"/>
      <w:marTop w:val="0"/>
      <w:marBottom w:val="0"/>
      <w:divBdr>
        <w:top w:val="none" w:sz="0" w:space="0" w:color="auto"/>
        <w:left w:val="none" w:sz="0" w:space="0" w:color="auto"/>
        <w:bottom w:val="none" w:sz="0" w:space="0" w:color="auto"/>
        <w:right w:val="none" w:sz="0" w:space="0" w:color="auto"/>
      </w:divBdr>
    </w:div>
    <w:div w:id="713383998">
      <w:bodyDiv w:val="1"/>
      <w:marLeft w:val="0"/>
      <w:marRight w:val="0"/>
      <w:marTop w:val="0"/>
      <w:marBottom w:val="0"/>
      <w:divBdr>
        <w:top w:val="none" w:sz="0" w:space="0" w:color="auto"/>
        <w:left w:val="none" w:sz="0" w:space="0" w:color="auto"/>
        <w:bottom w:val="none" w:sz="0" w:space="0" w:color="auto"/>
        <w:right w:val="none" w:sz="0" w:space="0" w:color="auto"/>
      </w:divBdr>
    </w:div>
    <w:div w:id="713384824">
      <w:bodyDiv w:val="1"/>
      <w:marLeft w:val="0"/>
      <w:marRight w:val="0"/>
      <w:marTop w:val="0"/>
      <w:marBottom w:val="0"/>
      <w:divBdr>
        <w:top w:val="none" w:sz="0" w:space="0" w:color="auto"/>
        <w:left w:val="none" w:sz="0" w:space="0" w:color="auto"/>
        <w:bottom w:val="none" w:sz="0" w:space="0" w:color="auto"/>
        <w:right w:val="none" w:sz="0" w:space="0" w:color="auto"/>
      </w:divBdr>
    </w:div>
    <w:div w:id="713384865">
      <w:bodyDiv w:val="1"/>
      <w:marLeft w:val="0"/>
      <w:marRight w:val="0"/>
      <w:marTop w:val="0"/>
      <w:marBottom w:val="0"/>
      <w:divBdr>
        <w:top w:val="none" w:sz="0" w:space="0" w:color="auto"/>
        <w:left w:val="none" w:sz="0" w:space="0" w:color="auto"/>
        <w:bottom w:val="none" w:sz="0" w:space="0" w:color="auto"/>
        <w:right w:val="none" w:sz="0" w:space="0" w:color="auto"/>
      </w:divBdr>
    </w:div>
    <w:div w:id="713386332">
      <w:bodyDiv w:val="1"/>
      <w:marLeft w:val="0"/>
      <w:marRight w:val="0"/>
      <w:marTop w:val="0"/>
      <w:marBottom w:val="0"/>
      <w:divBdr>
        <w:top w:val="none" w:sz="0" w:space="0" w:color="auto"/>
        <w:left w:val="none" w:sz="0" w:space="0" w:color="auto"/>
        <w:bottom w:val="none" w:sz="0" w:space="0" w:color="auto"/>
        <w:right w:val="none" w:sz="0" w:space="0" w:color="auto"/>
      </w:divBdr>
    </w:div>
    <w:div w:id="713388788">
      <w:bodyDiv w:val="1"/>
      <w:marLeft w:val="0"/>
      <w:marRight w:val="0"/>
      <w:marTop w:val="0"/>
      <w:marBottom w:val="0"/>
      <w:divBdr>
        <w:top w:val="none" w:sz="0" w:space="0" w:color="auto"/>
        <w:left w:val="none" w:sz="0" w:space="0" w:color="auto"/>
        <w:bottom w:val="none" w:sz="0" w:space="0" w:color="auto"/>
        <w:right w:val="none" w:sz="0" w:space="0" w:color="auto"/>
      </w:divBdr>
    </w:div>
    <w:div w:id="713389522">
      <w:bodyDiv w:val="1"/>
      <w:marLeft w:val="0"/>
      <w:marRight w:val="0"/>
      <w:marTop w:val="0"/>
      <w:marBottom w:val="0"/>
      <w:divBdr>
        <w:top w:val="none" w:sz="0" w:space="0" w:color="auto"/>
        <w:left w:val="none" w:sz="0" w:space="0" w:color="auto"/>
        <w:bottom w:val="none" w:sz="0" w:space="0" w:color="auto"/>
        <w:right w:val="none" w:sz="0" w:space="0" w:color="auto"/>
      </w:divBdr>
    </w:div>
    <w:div w:id="713503139">
      <w:bodyDiv w:val="1"/>
      <w:marLeft w:val="0"/>
      <w:marRight w:val="0"/>
      <w:marTop w:val="0"/>
      <w:marBottom w:val="0"/>
      <w:divBdr>
        <w:top w:val="none" w:sz="0" w:space="0" w:color="auto"/>
        <w:left w:val="none" w:sz="0" w:space="0" w:color="auto"/>
        <w:bottom w:val="none" w:sz="0" w:space="0" w:color="auto"/>
        <w:right w:val="none" w:sz="0" w:space="0" w:color="auto"/>
      </w:divBdr>
    </w:div>
    <w:div w:id="713576422">
      <w:bodyDiv w:val="1"/>
      <w:marLeft w:val="0"/>
      <w:marRight w:val="0"/>
      <w:marTop w:val="0"/>
      <w:marBottom w:val="0"/>
      <w:divBdr>
        <w:top w:val="none" w:sz="0" w:space="0" w:color="auto"/>
        <w:left w:val="none" w:sz="0" w:space="0" w:color="auto"/>
        <w:bottom w:val="none" w:sz="0" w:space="0" w:color="auto"/>
        <w:right w:val="none" w:sz="0" w:space="0" w:color="auto"/>
      </w:divBdr>
    </w:div>
    <w:div w:id="713770074">
      <w:bodyDiv w:val="1"/>
      <w:marLeft w:val="0"/>
      <w:marRight w:val="0"/>
      <w:marTop w:val="0"/>
      <w:marBottom w:val="0"/>
      <w:divBdr>
        <w:top w:val="none" w:sz="0" w:space="0" w:color="auto"/>
        <w:left w:val="none" w:sz="0" w:space="0" w:color="auto"/>
        <w:bottom w:val="none" w:sz="0" w:space="0" w:color="auto"/>
        <w:right w:val="none" w:sz="0" w:space="0" w:color="auto"/>
      </w:divBdr>
    </w:div>
    <w:div w:id="713849282">
      <w:bodyDiv w:val="1"/>
      <w:marLeft w:val="0"/>
      <w:marRight w:val="0"/>
      <w:marTop w:val="0"/>
      <w:marBottom w:val="0"/>
      <w:divBdr>
        <w:top w:val="none" w:sz="0" w:space="0" w:color="auto"/>
        <w:left w:val="none" w:sz="0" w:space="0" w:color="auto"/>
        <w:bottom w:val="none" w:sz="0" w:space="0" w:color="auto"/>
        <w:right w:val="none" w:sz="0" w:space="0" w:color="auto"/>
      </w:divBdr>
    </w:div>
    <w:div w:id="713968529">
      <w:bodyDiv w:val="1"/>
      <w:marLeft w:val="0"/>
      <w:marRight w:val="0"/>
      <w:marTop w:val="0"/>
      <w:marBottom w:val="0"/>
      <w:divBdr>
        <w:top w:val="none" w:sz="0" w:space="0" w:color="auto"/>
        <w:left w:val="none" w:sz="0" w:space="0" w:color="auto"/>
        <w:bottom w:val="none" w:sz="0" w:space="0" w:color="auto"/>
        <w:right w:val="none" w:sz="0" w:space="0" w:color="auto"/>
      </w:divBdr>
    </w:div>
    <w:div w:id="714037607">
      <w:bodyDiv w:val="1"/>
      <w:marLeft w:val="0"/>
      <w:marRight w:val="0"/>
      <w:marTop w:val="0"/>
      <w:marBottom w:val="0"/>
      <w:divBdr>
        <w:top w:val="none" w:sz="0" w:space="0" w:color="auto"/>
        <w:left w:val="none" w:sz="0" w:space="0" w:color="auto"/>
        <w:bottom w:val="none" w:sz="0" w:space="0" w:color="auto"/>
        <w:right w:val="none" w:sz="0" w:space="0" w:color="auto"/>
      </w:divBdr>
    </w:div>
    <w:div w:id="714040988">
      <w:bodyDiv w:val="1"/>
      <w:marLeft w:val="0"/>
      <w:marRight w:val="0"/>
      <w:marTop w:val="0"/>
      <w:marBottom w:val="0"/>
      <w:divBdr>
        <w:top w:val="none" w:sz="0" w:space="0" w:color="auto"/>
        <w:left w:val="none" w:sz="0" w:space="0" w:color="auto"/>
        <w:bottom w:val="none" w:sz="0" w:space="0" w:color="auto"/>
        <w:right w:val="none" w:sz="0" w:space="0" w:color="auto"/>
      </w:divBdr>
    </w:div>
    <w:div w:id="714235615">
      <w:bodyDiv w:val="1"/>
      <w:marLeft w:val="0"/>
      <w:marRight w:val="0"/>
      <w:marTop w:val="0"/>
      <w:marBottom w:val="0"/>
      <w:divBdr>
        <w:top w:val="none" w:sz="0" w:space="0" w:color="auto"/>
        <w:left w:val="none" w:sz="0" w:space="0" w:color="auto"/>
        <w:bottom w:val="none" w:sz="0" w:space="0" w:color="auto"/>
        <w:right w:val="none" w:sz="0" w:space="0" w:color="auto"/>
      </w:divBdr>
    </w:div>
    <w:div w:id="714425500">
      <w:bodyDiv w:val="1"/>
      <w:marLeft w:val="0"/>
      <w:marRight w:val="0"/>
      <w:marTop w:val="0"/>
      <w:marBottom w:val="0"/>
      <w:divBdr>
        <w:top w:val="none" w:sz="0" w:space="0" w:color="auto"/>
        <w:left w:val="none" w:sz="0" w:space="0" w:color="auto"/>
        <w:bottom w:val="none" w:sz="0" w:space="0" w:color="auto"/>
        <w:right w:val="none" w:sz="0" w:space="0" w:color="auto"/>
      </w:divBdr>
    </w:div>
    <w:div w:id="714503875">
      <w:bodyDiv w:val="1"/>
      <w:marLeft w:val="0"/>
      <w:marRight w:val="0"/>
      <w:marTop w:val="0"/>
      <w:marBottom w:val="0"/>
      <w:divBdr>
        <w:top w:val="none" w:sz="0" w:space="0" w:color="auto"/>
        <w:left w:val="none" w:sz="0" w:space="0" w:color="auto"/>
        <w:bottom w:val="none" w:sz="0" w:space="0" w:color="auto"/>
        <w:right w:val="none" w:sz="0" w:space="0" w:color="auto"/>
      </w:divBdr>
    </w:div>
    <w:div w:id="714545673">
      <w:bodyDiv w:val="1"/>
      <w:marLeft w:val="0"/>
      <w:marRight w:val="0"/>
      <w:marTop w:val="0"/>
      <w:marBottom w:val="0"/>
      <w:divBdr>
        <w:top w:val="none" w:sz="0" w:space="0" w:color="auto"/>
        <w:left w:val="none" w:sz="0" w:space="0" w:color="auto"/>
        <w:bottom w:val="none" w:sz="0" w:space="0" w:color="auto"/>
        <w:right w:val="none" w:sz="0" w:space="0" w:color="auto"/>
      </w:divBdr>
    </w:div>
    <w:div w:id="714624079">
      <w:bodyDiv w:val="1"/>
      <w:marLeft w:val="0"/>
      <w:marRight w:val="0"/>
      <w:marTop w:val="0"/>
      <w:marBottom w:val="0"/>
      <w:divBdr>
        <w:top w:val="none" w:sz="0" w:space="0" w:color="auto"/>
        <w:left w:val="none" w:sz="0" w:space="0" w:color="auto"/>
        <w:bottom w:val="none" w:sz="0" w:space="0" w:color="auto"/>
        <w:right w:val="none" w:sz="0" w:space="0" w:color="auto"/>
      </w:divBdr>
    </w:div>
    <w:div w:id="714888772">
      <w:bodyDiv w:val="1"/>
      <w:marLeft w:val="0"/>
      <w:marRight w:val="0"/>
      <w:marTop w:val="0"/>
      <w:marBottom w:val="0"/>
      <w:divBdr>
        <w:top w:val="none" w:sz="0" w:space="0" w:color="auto"/>
        <w:left w:val="none" w:sz="0" w:space="0" w:color="auto"/>
        <w:bottom w:val="none" w:sz="0" w:space="0" w:color="auto"/>
        <w:right w:val="none" w:sz="0" w:space="0" w:color="auto"/>
      </w:divBdr>
    </w:div>
    <w:div w:id="714888845">
      <w:bodyDiv w:val="1"/>
      <w:marLeft w:val="0"/>
      <w:marRight w:val="0"/>
      <w:marTop w:val="0"/>
      <w:marBottom w:val="0"/>
      <w:divBdr>
        <w:top w:val="none" w:sz="0" w:space="0" w:color="auto"/>
        <w:left w:val="none" w:sz="0" w:space="0" w:color="auto"/>
        <w:bottom w:val="none" w:sz="0" w:space="0" w:color="auto"/>
        <w:right w:val="none" w:sz="0" w:space="0" w:color="auto"/>
      </w:divBdr>
    </w:div>
    <w:div w:id="714964180">
      <w:bodyDiv w:val="1"/>
      <w:marLeft w:val="0"/>
      <w:marRight w:val="0"/>
      <w:marTop w:val="0"/>
      <w:marBottom w:val="0"/>
      <w:divBdr>
        <w:top w:val="none" w:sz="0" w:space="0" w:color="auto"/>
        <w:left w:val="none" w:sz="0" w:space="0" w:color="auto"/>
        <w:bottom w:val="none" w:sz="0" w:space="0" w:color="auto"/>
        <w:right w:val="none" w:sz="0" w:space="0" w:color="auto"/>
      </w:divBdr>
    </w:div>
    <w:div w:id="715197907">
      <w:bodyDiv w:val="1"/>
      <w:marLeft w:val="0"/>
      <w:marRight w:val="0"/>
      <w:marTop w:val="0"/>
      <w:marBottom w:val="0"/>
      <w:divBdr>
        <w:top w:val="none" w:sz="0" w:space="0" w:color="auto"/>
        <w:left w:val="none" w:sz="0" w:space="0" w:color="auto"/>
        <w:bottom w:val="none" w:sz="0" w:space="0" w:color="auto"/>
        <w:right w:val="none" w:sz="0" w:space="0" w:color="auto"/>
      </w:divBdr>
    </w:div>
    <w:div w:id="715353102">
      <w:bodyDiv w:val="1"/>
      <w:marLeft w:val="0"/>
      <w:marRight w:val="0"/>
      <w:marTop w:val="0"/>
      <w:marBottom w:val="0"/>
      <w:divBdr>
        <w:top w:val="none" w:sz="0" w:space="0" w:color="auto"/>
        <w:left w:val="none" w:sz="0" w:space="0" w:color="auto"/>
        <w:bottom w:val="none" w:sz="0" w:space="0" w:color="auto"/>
        <w:right w:val="none" w:sz="0" w:space="0" w:color="auto"/>
      </w:divBdr>
    </w:div>
    <w:div w:id="715542056">
      <w:bodyDiv w:val="1"/>
      <w:marLeft w:val="0"/>
      <w:marRight w:val="0"/>
      <w:marTop w:val="0"/>
      <w:marBottom w:val="0"/>
      <w:divBdr>
        <w:top w:val="none" w:sz="0" w:space="0" w:color="auto"/>
        <w:left w:val="none" w:sz="0" w:space="0" w:color="auto"/>
        <w:bottom w:val="none" w:sz="0" w:space="0" w:color="auto"/>
        <w:right w:val="none" w:sz="0" w:space="0" w:color="auto"/>
      </w:divBdr>
    </w:div>
    <w:div w:id="715549013">
      <w:bodyDiv w:val="1"/>
      <w:marLeft w:val="0"/>
      <w:marRight w:val="0"/>
      <w:marTop w:val="0"/>
      <w:marBottom w:val="0"/>
      <w:divBdr>
        <w:top w:val="none" w:sz="0" w:space="0" w:color="auto"/>
        <w:left w:val="none" w:sz="0" w:space="0" w:color="auto"/>
        <w:bottom w:val="none" w:sz="0" w:space="0" w:color="auto"/>
        <w:right w:val="none" w:sz="0" w:space="0" w:color="auto"/>
      </w:divBdr>
    </w:div>
    <w:div w:id="715590042">
      <w:bodyDiv w:val="1"/>
      <w:marLeft w:val="0"/>
      <w:marRight w:val="0"/>
      <w:marTop w:val="0"/>
      <w:marBottom w:val="0"/>
      <w:divBdr>
        <w:top w:val="none" w:sz="0" w:space="0" w:color="auto"/>
        <w:left w:val="none" w:sz="0" w:space="0" w:color="auto"/>
        <w:bottom w:val="none" w:sz="0" w:space="0" w:color="auto"/>
        <w:right w:val="none" w:sz="0" w:space="0" w:color="auto"/>
      </w:divBdr>
    </w:div>
    <w:div w:id="715664530">
      <w:bodyDiv w:val="1"/>
      <w:marLeft w:val="0"/>
      <w:marRight w:val="0"/>
      <w:marTop w:val="0"/>
      <w:marBottom w:val="0"/>
      <w:divBdr>
        <w:top w:val="none" w:sz="0" w:space="0" w:color="auto"/>
        <w:left w:val="none" w:sz="0" w:space="0" w:color="auto"/>
        <w:bottom w:val="none" w:sz="0" w:space="0" w:color="auto"/>
        <w:right w:val="none" w:sz="0" w:space="0" w:color="auto"/>
      </w:divBdr>
    </w:div>
    <w:div w:id="715735232">
      <w:bodyDiv w:val="1"/>
      <w:marLeft w:val="0"/>
      <w:marRight w:val="0"/>
      <w:marTop w:val="0"/>
      <w:marBottom w:val="0"/>
      <w:divBdr>
        <w:top w:val="none" w:sz="0" w:space="0" w:color="auto"/>
        <w:left w:val="none" w:sz="0" w:space="0" w:color="auto"/>
        <w:bottom w:val="none" w:sz="0" w:space="0" w:color="auto"/>
        <w:right w:val="none" w:sz="0" w:space="0" w:color="auto"/>
      </w:divBdr>
    </w:div>
    <w:div w:id="715785054">
      <w:bodyDiv w:val="1"/>
      <w:marLeft w:val="0"/>
      <w:marRight w:val="0"/>
      <w:marTop w:val="0"/>
      <w:marBottom w:val="0"/>
      <w:divBdr>
        <w:top w:val="none" w:sz="0" w:space="0" w:color="auto"/>
        <w:left w:val="none" w:sz="0" w:space="0" w:color="auto"/>
        <w:bottom w:val="none" w:sz="0" w:space="0" w:color="auto"/>
        <w:right w:val="none" w:sz="0" w:space="0" w:color="auto"/>
      </w:divBdr>
    </w:div>
    <w:div w:id="715928300">
      <w:bodyDiv w:val="1"/>
      <w:marLeft w:val="0"/>
      <w:marRight w:val="0"/>
      <w:marTop w:val="0"/>
      <w:marBottom w:val="0"/>
      <w:divBdr>
        <w:top w:val="none" w:sz="0" w:space="0" w:color="auto"/>
        <w:left w:val="none" w:sz="0" w:space="0" w:color="auto"/>
        <w:bottom w:val="none" w:sz="0" w:space="0" w:color="auto"/>
        <w:right w:val="none" w:sz="0" w:space="0" w:color="auto"/>
      </w:divBdr>
    </w:div>
    <w:div w:id="716003595">
      <w:bodyDiv w:val="1"/>
      <w:marLeft w:val="0"/>
      <w:marRight w:val="0"/>
      <w:marTop w:val="0"/>
      <w:marBottom w:val="0"/>
      <w:divBdr>
        <w:top w:val="none" w:sz="0" w:space="0" w:color="auto"/>
        <w:left w:val="none" w:sz="0" w:space="0" w:color="auto"/>
        <w:bottom w:val="none" w:sz="0" w:space="0" w:color="auto"/>
        <w:right w:val="none" w:sz="0" w:space="0" w:color="auto"/>
      </w:divBdr>
    </w:div>
    <w:div w:id="716246142">
      <w:bodyDiv w:val="1"/>
      <w:marLeft w:val="0"/>
      <w:marRight w:val="0"/>
      <w:marTop w:val="0"/>
      <w:marBottom w:val="0"/>
      <w:divBdr>
        <w:top w:val="none" w:sz="0" w:space="0" w:color="auto"/>
        <w:left w:val="none" w:sz="0" w:space="0" w:color="auto"/>
        <w:bottom w:val="none" w:sz="0" w:space="0" w:color="auto"/>
        <w:right w:val="none" w:sz="0" w:space="0" w:color="auto"/>
      </w:divBdr>
    </w:div>
    <w:div w:id="716393323">
      <w:bodyDiv w:val="1"/>
      <w:marLeft w:val="0"/>
      <w:marRight w:val="0"/>
      <w:marTop w:val="0"/>
      <w:marBottom w:val="0"/>
      <w:divBdr>
        <w:top w:val="none" w:sz="0" w:space="0" w:color="auto"/>
        <w:left w:val="none" w:sz="0" w:space="0" w:color="auto"/>
        <w:bottom w:val="none" w:sz="0" w:space="0" w:color="auto"/>
        <w:right w:val="none" w:sz="0" w:space="0" w:color="auto"/>
      </w:divBdr>
    </w:div>
    <w:div w:id="716395512">
      <w:bodyDiv w:val="1"/>
      <w:marLeft w:val="0"/>
      <w:marRight w:val="0"/>
      <w:marTop w:val="0"/>
      <w:marBottom w:val="0"/>
      <w:divBdr>
        <w:top w:val="none" w:sz="0" w:space="0" w:color="auto"/>
        <w:left w:val="none" w:sz="0" w:space="0" w:color="auto"/>
        <w:bottom w:val="none" w:sz="0" w:space="0" w:color="auto"/>
        <w:right w:val="none" w:sz="0" w:space="0" w:color="auto"/>
      </w:divBdr>
    </w:div>
    <w:div w:id="716466365">
      <w:bodyDiv w:val="1"/>
      <w:marLeft w:val="0"/>
      <w:marRight w:val="0"/>
      <w:marTop w:val="0"/>
      <w:marBottom w:val="0"/>
      <w:divBdr>
        <w:top w:val="none" w:sz="0" w:space="0" w:color="auto"/>
        <w:left w:val="none" w:sz="0" w:space="0" w:color="auto"/>
        <w:bottom w:val="none" w:sz="0" w:space="0" w:color="auto"/>
        <w:right w:val="none" w:sz="0" w:space="0" w:color="auto"/>
      </w:divBdr>
    </w:div>
    <w:div w:id="716509820">
      <w:bodyDiv w:val="1"/>
      <w:marLeft w:val="0"/>
      <w:marRight w:val="0"/>
      <w:marTop w:val="0"/>
      <w:marBottom w:val="0"/>
      <w:divBdr>
        <w:top w:val="none" w:sz="0" w:space="0" w:color="auto"/>
        <w:left w:val="none" w:sz="0" w:space="0" w:color="auto"/>
        <w:bottom w:val="none" w:sz="0" w:space="0" w:color="auto"/>
        <w:right w:val="none" w:sz="0" w:space="0" w:color="auto"/>
      </w:divBdr>
    </w:div>
    <w:div w:id="716659985">
      <w:bodyDiv w:val="1"/>
      <w:marLeft w:val="0"/>
      <w:marRight w:val="0"/>
      <w:marTop w:val="0"/>
      <w:marBottom w:val="0"/>
      <w:divBdr>
        <w:top w:val="none" w:sz="0" w:space="0" w:color="auto"/>
        <w:left w:val="none" w:sz="0" w:space="0" w:color="auto"/>
        <w:bottom w:val="none" w:sz="0" w:space="0" w:color="auto"/>
        <w:right w:val="none" w:sz="0" w:space="0" w:color="auto"/>
      </w:divBdr>
    </w:div>
    <w:div w:id="716707777">
      <w:bodyDiv w:val="1"/>
      <w:marLeft w:val="0"/>
      <w:marRight w:val="0"/>
      <w:marTop w:val="0"/>
      <w:marBottom w:val="0"/>
      <w:divBdr>
        <w:top w:val="none" w:sz="0" w:space="0" w:color="auto"/>
        <w:left w:val="none" w:sz="0" w:space="0" w:color="auto"/>
        <w:bottom w:val="none" w:sz="0" w:space="0" w:color="auto"/>
        <w:right w:val="none" w:sz="0" w:space="0" w:color="auto"/>
      </w:divBdr>
    </w:div>
    <w:div w:id="717126609">
      <w:bodyDiv w:val="1"/>
      <w:marLeft w:val="0"/>
      <w:marRight w:val="0"/>
      <w:marTop w:val="0"/>
      <w:marBottom w:val="0"/>
      <w:divBdr>
        <w:top w:val="none" w:sz="0" w:space="0" w:color="auto"/>
        <w:left w:val="none" w:sz="0" w:space="0" w:color="auto"/>
        <w:bottom w:val="none" w:sz="0" w:space="0" w:color="auto"/>
        <w:right w:val="none" w:sz="0" w:space="0" w:color="auto"/>
      </w:divBdr>
    </w:div>
    <w:div w:id="717166349">
      <w:bodyDiv w:val="1"/>
      <w:marLeft w:val="0"/>
      <w:marRight w:val="0"/>
      <w:marTop w:val="0"/>
      <w:marBottom w:val="0"/>
      <w:divBdr>
        <w:top w:val="none" w:sz="0" w:space="0" w:color="auto"/>
        <w:left w:val="none" w:sz="0" w:space="0" w:color="auto"/>
        <w:bottom w:val="none" w:sz="0" w:space="0" w:color="auto"/>
        <w:right w:val="none" w:sz="0" w:space="0" w:color="auto"/>
      </w:divBdr>
    </w:div>
    <w:div w:id="717438167">
      <w:bodyDiv w:val="1"/>
      <w:marLeft w:val="0"/>
      <w:marRight w:val="0"/>
      <w:marTop w:val="0"/>
      <w:marBottom w:val="0"/>
      <w:divBdr>
        <w:top w:val="none" w:sz="0" w:space="0" w:color="auto"/>
        <w:left w:val="none" w:sz="0" w:space="0" w:color="auto"/>
        <w:bottom w:val="none" w:sz="0" w:space="0" w:color="auto"/>
        <w:right w:val="none" w:sz="0" w:space="0" w:color="auto"/>
      </w:divBdr>
    </w:div>
    <w:div w:id="717583042">
      <w:bodyDiv w:val="1"/>
      <w:marLeft w:val="0"/>
      <w:marRight w:val="0"/>
      <w:marTop w:val="0"/>
      <w:marBottom w:val="0"/>
      <w:divBdr>
        <w:top w:val="none" w:sz="0" w:space="0" w:color="auto"/>
        <w:left w:val="none" w:sz="0" w:space="0" w:color="auto"/>
        <w:bottom w:val="none" w:sz="0" w:space="0" w:color="auto"/>
        <w:right w:val="none" w:sz="0" w:space="0" w:color="auto"/>
      </w:divBdr>
    </w:div>
    <w:div w:id="717633278">
      <w:bodyDiv w:val="1"/>
      <w:marLeft w:val="0"/>
      <w:marRight w:val="0"/>
      <w:marTop w:val="0"/>
      <w:marBottom w:val="0"/>
      <w:divBdr>
        <w:top w:val="none" w:sz="0" w:space="0" w:color="auto"/>
        <w:left w:val="none" w:sz="0" w:space="0" w:color="auto"/>
        <w:bottom w:val="none" w:sz="0" w:space="0" w:color="auto"/>
        <w:right w:val="none" w:sz="0" w:space="0" w:color="auto"/>
      </w:divBdr>
    </w:div>
    <w:div w:id="717752510">
      <w:bodyDiv w:val="1"/>
      <w:marLeft w:val="0"/>
      <w:marRight w:val="0"/>
      <w:marTop w:val="0"/>
      <w:marBottom w:val="0"/>
      <w:divBdr>
        <w:top w:val="none" w:sz="0" w:space="0" w:color="auto"/>
        <w:left w:val="none" w:sz="0" w:space="0" w:color="auto"/>
        <w:bottom w:val="none" w:sz="0" w:space="0" w:color="auto"/>
        <w:right w:val="none" w:sz="0" w:space="0" w:color="auto"/>
      </w:divBdr>
    </w:div>
    <w:div w:id="717782137">
      <w:bodyDiv w:val="1"/>
      <w:marLeft w:val="0"/>
      <w:marRight w:val="0"/>
      <w:marTop w:val="0"/>
      <w:marBottom w:val="0"/>
      <w:divBdr>
        <w:top w:val="none" w:sz="0" w:space="0" w:color="auto"/>
        <w:left w:val="none" w:sz="0" w:space="0" w:color="auto"/>
        <w:bottom w:val="none" w:sz="0" w:space="0" w:color="auto"/>
        <w:right w:val="none" w:sz="0" w:space="0" w:color="auto"/>
      </w:divBdr>
    </w:div>
    <w:div w:id="718093697">
      <w:bodyDiv w:val="1"/>
      <w:marLeft w:val="0"/>
      <w:marRight w:val="0"/>
      <w:marTop w:val="0"/>
      <w:marBottom w:val="0"/>
      <w:divBdr>
        <w:top w:val="none" w:sz="0" w:space="0" w:color="auto"/>
        <w:left w:val="none" w:sz="0" w:space="0" w:color="auto"/>
        <w:bottom w:val="none" w:sz="0" w:space="0" w:color="auto"/>
        <w:right w:val="none" w:sz="0" w:space="0" w:color="auto"/>
      </w:divBdr>
    </w:div>
    <w:div w:id="718435436">
      <w:bodyDiv w:val="1"/>
      <w:marLeft w:val="0"/>
      <w:marRight w:val="0"/>
      <w:marTop w:val="0"/>
      <w:marBottom w:val="0"/>
      <w:divBdr>
        <w:top w:val="none" w:sz="0" w:space="0" w:color="auto"/>
        <w:left w:val="none" w:sz="0" w:space="0" w:color="auto"/>
        <w:bottom w:val="none" w:sz="0" w:space="0" w:color="auto"/>
        <w:right w:val="none" w:sz="0" w:space="0" w:color="auto"/>
      </w:divBdr>
    </w:div>
    <w:div w:id="718552598">
      <w:bodyDiv w:val="1"/>
      <w:marLeft w:val="0"/>
      <w:marRight w:val="0"/>
      <w:marTop w:val="0"/>
      <w:marBottom w:val="0"/>
      <w:divBdr>
        <w:top w:val="none" w:sz="0" w:space="0" w:color="auto"/>
        <w:left w:val="none" w:sz="0" w:space="0" w:color="auto"/>
        <w:bottom w:val="none" w:sz="0" w:space="0" w:color="auto"/>
        <w:right w:val="none" w:sz="0" w:space="0" w:color="auto"/>
      </w:divBdr>
    </w:div>
    <w:div w:id="718751060">
      <w:bodyDiv w:val="1"/>
      <w:marLeft w:val="0"/>
      <w:marRight w:val="0"/>
      <w:marTop w:val="0"/>
      <w:marBottom w:val="0"/>
      <w:divBdr>
        <w:top w:val="none" w:sz="0" w:space="0" w:color="auto"/>
        <w:left w:val="none" w:sz="0" w:space="0" w:color="auto"/>
        <w:bottom w:val="none" w:sz="0" w:space="0" w:color="auto"/>
        <w:right w:val="none" w:sz="0" w:space="0" w:color="auto"/>
      </w:divBdr>
    </w:div>
    <w:div w:id="718937596">
      <w:bodyDiv w:val="1"/>
      <w:marLeft w:val="0"/>
      <w:marRight w:val="0"/>
      <w:marTop w:val="0"/>
      <w:marBottom w:val="0"/>
      <w:divBdr>
        <w:top w:val="none" w:sz="0" w:space="0" w:color="auto"/>
        <w:left w:val="none" w:sz="0" w:space="0" w:color="auto"/>
        <w:bottom w:val="none" w:sz="0" w:space="0" w:color="auto"/>
        <w:right w:val="none" w:sz="0" w:space="0" w:color="auto"/>
      </w:divBdr>
    </w:div>
    <w:div w:id="718939042">
      <w:bodyDiv w:val="1"/>
      <w:marLeft w:val="0"/>
      <w:marRight w:val="0"/>
      <w:marTop w:val="0"/>
      <w:marBottom w:val="0"/>
      <w:divBdr>
        <w:top w:val="none" w:sz="0" w:space="0" w:color="auto"/>
        <w:left w:val="none" w:sz="0" w:space="0" w:color="auto"/>
        <w:bottom w:val="none" w:sz="0" w:space="0" w:color="auto"/>
        <w:right w:val="none" w:sz="0" w:space="0" w:color="auto"/>
      </w:divBdr>
    </w:div>
    <w:div w:id="718940384">
      <w:bodyDiv w:val="1"/>
      <w:marLeft w:val="0"/>
      <w:marRight w:val="0"/>
      <w:marTop w:val="0"/>
      <w:marBottom w:val="0"/>
      <w:divBdr>
        <w:top w:val="none" w:sz="0" w:space="0" w:color="auto"/>
        <w:left w:val="none" w:sz="0" w:space="0" w:color="auto"/>
        <w:bottom w:val="none" w:sz="0" w:space="0" w:color="auto"/>
        <w:right w:val="none" w:sz="0" w:space="0" w:color="auto"/>
      </w:divBdr>
    </w:div>
    <w:div w:id="719013421">
      <w:bodyDiv w:val="1"/>
      <w:marLeft w:val="0"/>
      <w:marRight w:val="0"/>
      <w:marTop w:val="0"/>
      <w:marBottom w:val="0"/>
      <w:divBdr>
        <w:top w:val="none" w:sz="0" w:space="0" w:color="auto"/>
        <w:left w:val="none" w:sz="0" w:space="0" w:color="auto"/>
        <w:bottom w:val="none" w:sz="0" w:space="0" w:color="auto"/>
        <w:right w:val="none" w:sz="0" w:space="0" w:color="auto"/>
      </w:divBdr>
    </w:div>
    <w:div w:id="719137731">
      <w:bodyDiv w:val="1"/>
      <w:marLeft w:val="0"/>
      <w:marRight w:val="0"/>
      <w:marTop w:val="0"/>
      <w:marBottom w:val="0"/>
      <w:divBdr>
        <w:top w:val="none" w:sz="0" w:space="0" w:color="auto"/>
        <w:left w:val="none" w:sz="0" w:space="0" w:color="auto"/>
        <w:bottom w:val="none" w:sz="0" w:space="0" w:color="auto"/>
        <w:right w:val="none" w:sz="0" w:space="0" w:color="auto"/>
      </w:divBdr>
    </w:div>
    <w:div w:id="719205556">
      <w:bodyDiv w:val="1"/>
      <w:marLeft w:val="0"/>
      <w:marRight w:val="0"/>
      <w:marTop w:val="0"/>
      <w:marBottom w:val="0"/>
      <w:divBdr>
        <w:top w:val="none" w:sz="0" w:space="0" w:color="auto"/>
        <w:left w:val="none" w:sz="0" w:space="0" w:color="auto"/>
        <w:bottom w:val="none" w:sz="0" w:space="0" w:color="auto"/>
        <w:right w:val="none" w:sz="0" w:space="0" w:color="auto"/>
      </w:divBdr>
    </w:div>
    <w:div w:id="719211116">
      <w:bodyDiv w:val="1"/>
      <w:marLeft w:val="0"/>
      <w:marRight w:val="0"/>
      <w:marTop w:val="0"/>
      <w:marBottom w:val="0"/>
      <w:divBdr>
        <w:top w:val="none" w:sz="0" w:space="0" w:color="auto"/>
        <w:left w:val="none" w:sz="0" w:space="0" w:color="auto"/>
        <w:bottom w:val="none" w:sz="0" w:space="0" w:color="auto"/>
        <w:right w:val="none" w:sz="0" w:space="0" w:color="auto"/>
      </w:divBdr>
    </w:div>
    <w:div w:id="719482028">
      <w:bodyDiv w:val="1"/>
      <w:marLeft w:val="0"/>
      <w:marRight w:val="0"/>
      <w:marTop w:val="0"/>
      <w:marBottom w:val="0"/>
      <w:divBdr>
        <w:top w:val="none" w:sz="0" w:space="0" w:color="auto"/>
        <w:left w:val="none" w:sz="0" w:space="0" w:color="auto"/>
        <w:bottom w:val="none" w:sz="0" w:space="0" w:color="auto"/>
        <w:right w:val="none" w:sz="0" w:space="0" w:color="auto"/>
      </w:divBdr>
    </w:div>
    <w:div w:id="719593716">
      <w:bodyDiv w:val="1"/>
      <w:marLeft w:val="0"/>
      <w:marRight w:val="0"/>
      <w:marTop w:val="0"/>
      <w:marBottom w:val="0"/>
      <w:divBdr>
        <w:top w:val="none" w:sz="0" w:space="0" w:color="auto"/>
        <w:left w:val="none" w:sz="0" w:space="0" w:color="auto"/>
        <w:bottom w:val="none" w:sz="0" w:space="0" w:color="auto"/>
        <w:right w:val="none" w:sz="0" w:space="0" w:color="auto"/>
      </w:divBdr>
    </w:div>
    <w:div w:id="719742888">
      <w:bodyDiv w:val="1"/>
      <w:marLeft w:val="0"/>
      <w:marRight w:val="0"/>
      <w:marTop w:val="0"/>
      <w:marBottom w:val="0"/>
      <w:divBdr>
        <w:top w:val="none" w:sz="0" w:space="0" w:color="auto"/>
        <w:left w:val="none" w:sz="0" w:space="0" w:color="auto"/>
        <w:bottom w:val="none" w:sz="0" w:space="0" w:color="auto"/>
        <w:right w:val="none" w:sz="0" w:space="0" w:color="auto"/>
      </w:divBdr>
    </w:div>
    <w:div w:id="719983569">
      <w:bodyDiv w:val="1"/>
      <w:marLeft w:val="0"/>
      <w:marRight w:val="0"/>
      <w:marTop w:val="0"/>
      <w:marBottom w:val="0"/>
      <w:divBdr>
        <w:top w:val="none" w:sz="0" w:space="0" w:color="auto"/>
        <w:left w:val="none" w:sz="0" w:space="0" w:color="auto"/>
        <w:bottom w:val="none" w:sz="0" w:space="0" w:color="auto"/>
        <w:right w:val="none" w:sz="0" w:space="0" w:color="auto"/>
      </w:divBdr>
    </w:div>
    <w:div w:id="719984287">
      <w:bodyDiv w:val="1"/>
      <w:marLeft w:val="0"/>
      <w:marRight w:val="0"/>
      <w:marTop w:val="0"/>
      <w:marBottom w:val="0"/>
      <w:divBdr>
        <w:top w:val="none" w:sz="0" w:space="0" w:color="auto"/>
        <w:left w:val="none" w:sz="0" w:space="0" w:color="auto"/>
        <w:bottom w:val="none" w:sz="0" w:space="0" w:color="auto"/>
        <w:right w:val="none" w:sz="0" w:space="0" w:color="auto"/>
      </w:divBdr>
    </w:div>
    <w:div w:id="720179648">
      <w:bodyDiv w:val="1"/>
      <w:marLeft w:val="0"/>
      <w:marRight w:val="0"/>
      <w:marTop w:val="0"/>
      <w:marBottom w:val="0"/>
      <w:divBdr>
        <w:top w:val="none" w:sz="0" w:space="0" w:color="auto"/>
        <w:left w:val="none" w:sz="0" w:space="0" w:color="auto"/>
        <w:bottom w:val="none" w:sz="0" w:space="0" w:color="auto"/>
        <w:right w:val="none" w:sz="0" w:space="0" w:color="auto"/>
      </w:divBdr>
    </w:div>
    <w:div w:id="720590095">
      <w:bodyDiv w:val="1"/>
      <w:marLeft w:val="0"/>
      <w:marRight w:val="0"/>
      <w:marTop w:val="0"/>
      <w:marBottom w:val="0"/>
      <w:divBdr>
        <w:top w:val="none" w:sz="0" w:space="0" w:color="auto"/>
        <w:left w:val="none" w:sz="0" w:space="0" w:color="auto"/>
        <w:bottom w:val="none" w:sz="0" w:space="0" w:color="auto"/>
        <w:right w:val="none" w:sz="0" w:space="0" w:color="auto"/>
      </w:divBdr>
    </w:div>
    <w:div w:id="720592485">
      <w:bodyDiv w:val="1"/>
      <w:marLeft w:val="0"/>
      <w:marRight w:val="0"/>
      <w:marTop w:val="0"/>
      <w:marBottom w:val="0"/>
      <w:divBdr>
        <w:top w:val="none" w:sz="0" w:space="0" w:color="auto"/>
        <w:left w:val="none" w:sz="0" w:space="0" w:color="auto"/>
        <w:bottom w:val="none" w:sz="0" w:space="0" w:color="auto"/>
        <w:right w:val="none" w:sz="0" w:space="0" w:color="auto"/>
      </w:divBdr>
    </w:div>
    <w:div w:id="720635071">
      <w:bodyDiv w:val="1"/>
      <w:marLeft w:val="0"/>
      <w:marRight w:val="0"/>
      <w:marTop w:val="0"/>
      <w:marBottom w:val="0"/>
      <w:divBdr>
        <w:top w:val="none" w:sz="0" w:space="0" w:color="auto"/>
        <w:left w:val="none" w:sz="0" w:space="0" w:color="auto"/>
        <w:bottom w:val="none" w:sz="0" w:space="0" w:color="auto"/>
        <w:right w:val="none" w:sz="0" w:space="0" w:color="auto"/>
      </w:divBdr>
    </w:div>
    <w:div w:id="720834637">
      <w:bodyDiv w:val="1"/>
      <w:marLeft w:val="0"/>
      <w:marRight w:val="0"/>
      <w:marTop w:val="0"/>
      <w:marBottom w:val="0"/>
      <w:divBdr>
        <w:top w:val="none" w:sz="0" w:space="0" w:color="auto"/>
        <w:left w:val="none" w:sz="0" w:space="0" w:color="auto"/>
        <w:bottom w:val="none" w:sz="0" w:space="0" w:color="auto"/>
        <w:right w:val="none" w:sz="0" w:space="0" w:color="auto"/>
      </w:divBdr>
    </w:div>
    <w:div w:id="721295453">
      <w:bodyDiv w:val="1"/>
      <w:marLeft w:val="0"/>
      <w:marRight w:val="0"/>
      <w:marTop w:val="0"/>
      <w:marBottom w:val="0"/>
      <w:divBdr>
        <w:top w:val="none" w:sz="0" w:space="0" w:color="auto"/>
        <w:left w:val="none" w:sz="0" w:space="0" w:color="auto"/>
        <w:bottom w:val="none" w:sz="0" w:space="0" w:color="auto"/>
        <w:right w:val="none" w:sz="0" w:space="0" w:color="auto"/>
      </w:divBdr>
    </w:div>
    <w:div w:id="721297285">
      <w:bodyDiv w:val="1"/>
      <w:marLeft w:val="0"/>
      <w:marRight w:val="0"/>
      <w:marTop w:val="0"/>
      <w:marBottom w:val="0"/>
      <w:divBdr>
        <w:top w:val="none" w:sz="0" w:space="0" w:color="auto"/>
        <w:left w:val="none" w:sz="0" w:space="0" w:color="auto"/>
        <w:bottom w:val="none" w:sz="0" w:space="0" w:color="auto"/>
        <w:right w:val="none" w:sz="0" w:space="0" w:color="auto"/>
      </w:divBdr>
    </w:div>
    <w:div w:id="721562650">
      <w:bodyDiv w:val="1"/>
      <w:marLeft w:val="0"/>
      <w:marRight w:val="0"/>
      <w:marTop w:val="0"/>
      <w:marBottom w:val="0"/>
      <w:divBdr>
        <w:top w:val="none" w:sz="0" w:space="0" w:color="auto"/>
        <w:left w:val="none" w:sz="0" w:space="0" w:color="auto"/>
        <w:bottom w:val="none" w:sz="0" w:space="0" w:color="auto"/>
        <w:right w:val="none" w:sz="0" w:space="0" w:color="auto"/>
      </w:divBdr>
    </w:div>
    <w:div w:id="721640240">
      <w:bodyDiv w:val="1"/>
      <w:marLeft w:val="0"/>
      <w:marRight w:val="0"/>
      <w:marTop w:val="0"/>
      <w:marBottom w:val="0"/>
      <w:divBdr>
        <w:top w:val="none" w:sz="0" w:space="0" w:color="auto"/>
        <w:left w:val="none" w:sz="0" w:space="0" w:color="auto"/>
        <w:bottom w:val="none" w:sz="0" w:space="0" w:color="auto"/>
        <w:right w:val="none" w:sz="0" w:space="0" w:color="auto"/>
      </w:divBdr>
    </w:div>
    <w:div w:id="722020317">
      <w:bodyDiv w:val="1"/>
      <w:marLeft w:val="0"/>
      <w:marRight w:val="0"/>
      <w:marTop w:val="0"/>
      <w:marBottom w:val="0"/>
      <w:divBdr>
        <w:top w:val="none" w:sz="0" w:space="0" w:color="auto"/>
        <w:left w:val="none" w:sz="0" w:space="0" w:color="auto"/>
        <w:bottom w:val="none" w:sz="0" w:space="0" w:color="auto"/>
        <w:right w:val="none" w:sz="0" w:space="0" w:color="auto"/>
      </w:divBdr>
    </w:div>
    <w:div w:id="722296515">
      <w:bodyDiv w:val="1"/>
      <w:marLeft w:val="0"/>
      <w:marRight w:val="0"/>
      <w:marTop w:val="0"/>
      <w:marBottom w:val="0"/>
      <w:divBdr>
        <w:top w:val="none" w:sz="0" w:space="0" w:color="auto"/>
        <w:left w:val="none" w:sz="0" w:space="0" w:color="auto"/>
        <w:bottom w:val="none" w:sz="0" w:space="0" w:color="auto"/>
        <w:right w:val="none" w:sz="0" w:space="0" w:color="auto"/>
      </w:divBdr>
    </w:div>
    <w:div w:id="722338467">
      <w:bodyDiv w:val="1"/>
      <w:marLeft w:val="0"/>
      <w:marRight w:val="0"/>
      <w:marTop w:val="0"/>
      <w:marBottom w:val="0"/>
      <w:divBdr>
        <w:top w:val="none" w:sz="0" w:space="0" w:color="auto"/>
        <w:left w:val="none" w:sz="0" w:space="0" w:color="auto"/>
        <w:bottom w:val="none" w:sz="0" w:space="0" w:color="auto"/>
        <w:right w:val="none" w:sz="0" w:space="0" w:color="auto"/>
      </w:divBdr>
    </w:div>
    <w:div w:id="722480985">
      <w:bodyDiv w:val="1"/>
      <w:marLeft w:val="0"/>
      <w:marRight w:val="0"/>
      <w:marTop w:val="0"/>
      <w:marBottom w:val="0"/>
      <w:divBdr>
        <w:top w:val="none" w:sz="0" w:space="0" w:color="auto"/>
        <w:left w:val="none" w:sz="0" w:space="0" w:color="auto"/>
        <w:bottom w:val="none" w:sz="0" w:space="0" w:color="auto"/>
        <w:right w:val="none" w:sz="0" w:space="0" w:color="auto"/>
      </w:divBdr>
    </w:div>
    <w:div w:id="722481695">
      <w:bodyDiv w:val="1"/>
      <w:marLeft w:val="0"/>
      <w:marRight w:val="0"/>
      <w:marTop w:val="0"/>
      <w:marBottom w:val="0"/>
      <w:divBdr>
        <w:top w:val="none" w:sz="0" w:space="0" w:color="auto"/>
        <w:left w:val="none" w:sz="0" w:space="0" w:color="auto"/>
        <w:bottom w:val="none" w:sz="0" w:space="0" w:color="auto"/>
        <w:right w:val="none" w:sz="0" w:space="0" w:color="auto"/>
      </w:divBdr>
    </w:div>
    <w:div w:id="722798361">
      <w:bodyDiv w:val="1"/>
      <w:marLeft w:val="0"/>
      <w:marRight w:val="0"/>
      <w:marTop w:val="0"/>
      <w:marBottom w:val="0"/>
      <w:divBdr>
        <w:top w:val="none" w:sz="0" w:space="0" w:color="auto"/>
        <w:left w:val="none" w:sz="0" w:space="0" w:color="auto"/>
        <w:bottom w:val="none" w:sz="0" w:space="0" w:color="auto"/>
        <w:right w:val="none" w:sz="0" w:space="0" w:color="auto"/>
      </w:divBdr>
    </w:div>
    <w:div w:id="722800293">
      <w:bodyDiv w:val="1"/>
      <w:marLeft w:val="0"/>
      <w:marRight w:val="0"/>
      <w:marTop w:val="0"/>
      <w:marBottom w:val="0"/>
      <w:divBdr>
        <w:top w:val="none" w:sz="0" w:space="0" w:color="auto"/>
        <w:left w:val="none" w:sz="0" w:space="0" w:color="auto"/>
        <w:bottom w:val="none" w:sz="0" w:space="0" w:color="auto"/>
        <w:right w:val="none" w:sz="0" w:space="0" w:color="auto"/>
      </w:divBdr>
    </w:div>
    <w:div w:id="722871906">
      <w:bodyDiv w:val="1"/>
      <w:marLeft w:val="0"/>
      <w:marRight w:val="0"/>
      <w:marTop w:val="0"/>
      <w:marBottom w:val="0"/>
      <w:divBdr>
        <w:top w:val="none" w:sz="0" w:space="0" w:color="auto"/>
        <w:left w:val="none" w:sz="0" w:space="0" w:color="auto"/>
        <w:bottom w:val="none" w:sz="0" w:space="0" w:color="auto"/>
        <w:right w:val="none" w:sz="0" w:space="0" w:color="auto"/>
      </w:divBdr>
    </w:div>
    <w:div w:id="722949023">
      <w:bodyDiv w:val="1"/>
      <w:marLeft w:val="0"/>
      <w:marRight w:val="0"/>
      <w:marTop w:val="0"/>
      <w:marBottom w:val="0"/>
      <w:divBdr>
        <w:top w:val="none" w:sz="0" w:space="0" w:color="auto"/>
        <w:left w:val="none" w:sz="0" w:space="0" w:color="auto"/>
        <w:bottom w:val="none" w:sz="0" w:space="0" w:color="auto"/>
        <w:right w:val="none" w:sz="0" w:space="0" w:color="auto"/>
      </w:divBdr>
    </w:div>
    <w:div w:id="723064663">
      <w:bodyDiv w:val="1"/>
      <w:marLeft w:val="0"/>
      <w:marRight w:val="0"/>
      <w:marTop w:val="0"/>
      <w:marBottom w:val="0"/>
      <w:divBdr>
        <w:top w:val="none" w:sz="0" w:space="0" w:color="auto"/>
        <w:left w:val="none" w:sz="0" w:space="0" w:color="auto"/>
        <w:bottom w:val="none" w:sz="0" w:space="0" w:color="auto"/>
        <w:right w:val="none" w:sz="0" w:space="0" w:color="auto"/>
      </w:divBdr>
    </w:div>
    <w:div w:id="723220305">
      <w:bodyDiv w:val="1"/>
      <w:marLeft w:val="0"/>
      <w:marRight w:val="0"/>
      <w:marTop w:val="0"/>
      <w:marBottom w:val="0"/>
      <w:divBdr>
        <w:top w:val="none" w:sz="0" w:space="0" w:color="auto"/>
        <w:left w:val="none" w:sz="0" w:space="0" w:color="auto"/>
        <w:bottom w:val="none" w:sz="0" w:space="0" w:color="auto"/>
        <w:right w:val="none" w:sz="0" w:space="0" w:color="auto"/>
      </w:divBdr>
    </w:div>
    <w:div w:id="723335347">
      <w:bodyDiv w:val="1"/>
      <w:marLeft w:val="0"/>
      <w:marRight w:val="0"/>
      <w:marTop w:val="0"/>
      <w:marBottom w:val="0"/>
      <w:divBdr>
        <w:top w:val="none" w:sz="0" w:space="0" w:color="auto"/>
        <w:left w:val="none" w:sz="0" w:space="0" w:color="auto"/>
        <w:bottom w:val="none" w:sz="0" w:space="0" w:color="auto"/>
        <w:right w:val="none" w:sz="0" w:space="0" w:color="auto"/>
      </w:divBdr>
    </w:div>
    <w:div w:id="723406013">
      <w:bodyDiv w:val="1"/>
      <w:marLeft w:val="0"/>
      <w:marRight w:val="0"/>
      <w:marTop w:val="0"/>
      <w:marBottom w:val="0"/>
      <w:divBdr>
        <w:top w:val="none" w:sz="0" w:space="0" w:color="auto"/>
        <w:left w:val="none" w:sz="0" w:space="0" w:color="auto"/>
        <w:bottom w:val="none" w:sz="0" w:space="0" w:color="auto"/>
        <w:right w:val="none" w:sz="0" w:space="0" w:color="auto"/>
      </w:divBdr>
    </w:div>
    <w:div w:id="723523462">
      <w:bodyDiv w:val="1"/>
      <w:marLeft w:val="0"/>
      <w:marRight w:val="0"/>
      <w:marTop w:val="0"/>
      <w:marBottom w:val="0"/>
      <w:divBdr>
        <w:top w:val="none" w:sz="0" w:space="0" w:color="auto"/>
        <w:left w:val="none" w:sz="0" w:space="0" w:color="auto"/>
        <w:bottom w:val="none" w:sz="0" w:space="0" w:color="auto"/>
        <w:right w:val="none" w:sz="0" w:space="0" w:color="auto"/>
      </w:divBdr>
    </w:div>
    <w:div w:id="723604442">
      <w:bodyDiv w:val="1"/>
      <w:marLeft w:val="0"/>
      <w:marRight w:val="0"/>
      <w:marTop w:val="0"/>
      <w:marBottom w:val="0"/>
      <w:divBdr>
        <w:top w:val="none" w:sz="0" w:space="0" w:color="auto"/>
        <w:left w:val="none" w:sz="0" w:space="0" w:color="auto"/>
        <w:bottom w:val="none" w:sz="0" w:space="0" w:color="auto"/>
        <w:right w:val="none" w:sz="0" w:space="0" w:color="auto"/>
      </w:divBdr>
    </w:div>
    <w:div w:id="723717104">
      <w:bodyDiv w:val="1"/>
      <w:marLeft w:val="0"/>
      <w:marRight w:val="0"/>
      <w:marTop w:val="0"/>
      <w:marBottom w:val="0"/>
      <w:divBdr>
        <w:top w:val="none" w:sz="0" w:space="0" w:color="auto"/>
        <w:left w:val="none" w:sz="0" w:space="0" w:color="auto"/>
        <w:bottom w:val="none" w:sz="0" w:space="0" w:color="auto"/>
        <w:right w:val="none" w:sz="0" w:space="0" w:color="auto"/>
      </w:divBdr>
    </w:div>
    <w:div w:id="723987879">
      <w:bodyDiv w:val="1"/>
      <w:marLeft w:val="0"/>
      <w:marRight w:val="0"/>
      <w:marTop w:val="0"/>
      <w:marBottom w:val="0"/>
      <w:divBdr>
        <w:top w:val="none" w:sz="0" w:space="0" w:color="auto"/>
        <w:left w:val="none" w:sz="0" w:space="0" w:color="auto"/>
        <w:bottom w:val="none" w:sz="0" w:space="0" w:color="auto"/>
        <w:right w:val="none" w:sz="0" w:space="0" w:color="auto"/>
      </w:divBdr>
    </w:div>
    <w:div w:id="724060252">
      <w:bodyDiv w:val="1"/>
      <w:marLeft w:val="0"/>
      <w:marRight w:val="0"/>
      <w:marTop w:val="0"/>
      <w:marBottom w:val="0"/>
      <w:divBdr>
        <w:top w:val="none" w:sz="0" w:space="0" w:color="auto"/>
        <w:left w:val="none" w:sz="0" w:space="0" w:color="auto"/>
        <w:bottom w:val="none" w:sz="0" w:space="0" w:color="auto"/>
        <w:right w:val="none" w:sz="0" w:space="0" w:color="auto"/>
      </w:divBdr>
    </w:div>
    <w:div w:id="724135964">
      <w:bodyDiv w:val="1"/>
      <w:marLeft w:val="0"/>
      <w:marRight w:val="0"/>
      <w:marTop w:val="0"/>
      <w:marBottom w:val="0"/>
      <w:divBdr>
        <w:top w:val="none" w:sz="0" w:space="0" w:color="auto"/>
        <w:left w:val="none" w:sz="0" w:space="0" w:color="auto"/>
        <w:bottom w:val="none" w:sz="0" w:space="0" w:color="auto"/>
        <w:right w:val="none" w:sz="0" w:space="0" w:color="auto"/>
      </w:divBdr>
    </w:div>
    <w:div w:id="724181574">
      <w:bodyDiv w:val="1"/>
      <w:marLeft w:val="0"/>
      <w:marRight w:val="0"/>
      <w:marTop w:val="0"/>
      <w:marBottom w:val="0"/>
      <w:divBdr>
        <w:top w:val="none" w:sz="0" w:space="0" w:color="auto"/>
        <w:left w:val="none" w:sz="0" w:space="0" w:color="auto"/>
        <w:bottom w:val="none" w:sz="0" w:space="0" w:color="auto"/>
        <w:right w:val="none" w:sz="0" w:space="0" w:color="auto"/>
      </w:divBdr>
    </w:div>
    <w:div w:id="724259695">
      <w:bodyDiv w:val="1"/>
      <w:marLeft w:val="0"/>
      <w:marRight w:val="0"/>
      <w:marTop w:val="0"/>
      <w:marBottom w:val="0"/>
      <w:divBdr>
        <w:top w:val="none" w:sz="0" w:space="0" w:color="auto"/>
        <w:left w:val="none" w:sz="0" w:space="0" w:color="auto"/>
        <w:bottom w:val="none" w:sz="0" w:space="0" w:color="auto"/>
        <w:right w:val="none" w:sz="0" w:space="0" w:color="auto"/>
      </w:divBdr>
    </w:div>
    <w:div w:id="724374340">
      <w:bodyDiv w:val="1"/>
      <w:marLeft w:val="0"/>
      <w:marRight w:val="0"/>
      <w:marTop w:val="0"/>
      <w:marBottom w:val="0"/>
      <w:divBdr>
        <w:top w:val="none" w:sz="0" w:space="0" w:color="auto"/>
        <w:left w:val="none" w:sz="0" w:space="0" w:color="auto"/>
        <w:bottom w:val="none" w:sz="0" w:space="0" w:color="auto"/>
        <w:right w:val="none" w:sz="0" w:space="0" w:color="auto"/>
      </w:divBdr>
    </w:div>
    <w:div w:id="724376774">
      <w:bodyDiv w:val="1"/>
      <w:marLeft w:val="0"/>
      <w:marRight w:val="0"/>
      <w:marTop w:val="0"/>
      <w:marBottom w:val="0"/>
      <w:divBdr>
        <w:top w:val="none" w:sz="0" w:space="0" w:color="auto"/>
        <w:left w:val="none" w:sz="0" w:space="0" w:color="auto"/>
        <w:bottom w:val="none" w:sz="0" w:space="0" w:color="auto"/>
        <w:right w:val="none" w:sz="0" w:space="0" w:color="auto"/>
      </w:divBdr>
    </w:div>
    <w:div w:id="724572738">
      <w:bodyDiv w:val="1"/>
      <w:marLeft w:val="0"/>
      <w:marRight w:val="0"/>
      <w:marTop w:val="0"/>
      <w:marBottom w:val="0"/>
      <w:divBdr>
        <w:top w:val="none" w:sz="0" w:space="0" w:color="auto"/>
        <w:left w:val="none" w:sz="0" w:space="0" w:color="auto"/>
        <w:bottom w:val="none" w:sz="0" w:space="0" w:color="auto"/>
        <w:right w:val="none" w:sz="0" w:space="0" w:color="auto"/>
      </w:divBdr>
    </w:div>
    <w:div w:id="724598057">
      <w:bodyDiv w:val="1"/>
      <w:marLeft w:val="0"/>
      <w:marRight w:val="0"/>
      <w:marTop w:val="0"/>
      <w:marBottom w:val="0"/>
      <w:divBdr>
        <w:top w:val="none" w:sz="0" w:space="0" w:color="auto"/>
        <w:left w:val="none" w:sz="0" w:space="0" w:color="auto"/>
        <w:bottom w:val="none" w:sz="0" w:space="0" w:color="auto"/>
        <w:right w:val="none" w:sz="0" w:space="0" w:color="auto"/>
      </w:divBdr>
    </w:div>
    <w:div w:id="724793563">
      <w:bodyDiv w:val="1"/>
      <w:marLeft w:val="0"/>
      <w:marRight w:val="0"/>
      <w:marTop w:val="0"/>
      <w:marBottom w:val="0"/>
      <w:divBdr>
        <w:top w:val="none" w:sz="0" w:space="0" w:color="auto"/>
        <w:left w:val="none" w:sz="0" w:space="0" w:color="auto"/>
        <w:bottom w:val="none" w:sz="0" w:space="0" w:color="auto"/>
        <w:right w:val="none" w:sz="0" w:space="0" w:color="auto"/>
      </w:divBdr>
    </w:div>
    <w:div w:id="724908298">
      <w:bodyDiv w:val="1"/>
      <w:marLeft w:val="0"/>
      <w:marRight w:val="0"/>
      <w:marTop w:val="0"/>
      <w:marBottom w:val="0"/>
      <w:divBdr>
        <w:top w:val="none" w:sz="0" w:space="0" w:color="auto"/>
        <w:left w:val="none" w:sz="0" w:space="0" w:color="auto"/>
        <w:bottom w:val="none" w:sz="0" w:space="0" w:color="auto"/>
        <w:right w:val="none" w:sz="0" w:space="0" w:color="auto"/>
      </w:divBdr>
    </w:div>
    <w:div w:id="725110261">
      <w:bodyDiv w:val="1"/>
      <w:marLeft w:val="0"/>
      <w:marRight w:val="0"/>
      <w:marTop w:val="0"/>
      <w:marBottom w:val="0"/>
      <w:divBdr>
        <w:top w:val="none" w:sz="0" w:space="0" w:color="auto"/>
        <w:left w:val="none" w:sz="0" w:space="0" w:color="auto"/>
        <w:bottom w:val="none" w:sz="0" w:space="0" w:color="auto"/>
        <w:right w:val="none" w:sz="0" w:space="0" w:color="auto"/>
      </w:divBdr>
    </w:div>
    <w:div w:id="725222090">
      <w:bodyDiv w:val="1"/>
      <w:marLeft w:val="0"/>
      <w:marRight w:val="0"/>
      <w:marTop w:val="0"/>
      <w:marBottom w:val="0"/>
      <w:divBdr>
        <w:top w:val="none" w:sz="0" w:space="0" w:color="auto"/>
        <w:left w:val="none" w:sz="0" w:space="0" w:color="auto"/>
        <w:bottom w:val="none" w:sz="0" w:space="0" w:color="auto"/>
        <w:right w:val="none" w:sz="0" w:space="0" w:color="auto"/>
      </w:divBdr>
    </w:div>
    <w:div w:id="725222574">
      <w:bodyDiv w:val="1"/>
      <w:marLeft w:val="0"/>
      <w:marRight w:val="0"/>
      <w:marTop w:val="0"/>
      <w:marBottom w:val="0"/>
      <w:divBdr>
        <w:top w:val="none" w:sz="0" w:space="0" w:color="auto"/>
        <w:left w:val="none" w:sz="0" w:space="0" w:color="auto"/>
        <w:bottom w:val="none" w:sz="0" w:space="0" w:color="auto"/>
        <w:right w:val="none" w:sz="0" w:space="0" w:color="auto"/>
      </w:divBdr>
    </w:div>
    <w:div w:id="725304032">
      <w:bodyDiv w:val="1"/>
      <w:marLeft w:val="0"/>
      <w:marRight w:val="0"/>
      <w:marTop w:val="0"/>
      <w:marBottom w:val="0"/>
      <w:divBdr>
        <w:top w:val="none" w:sz="0" w:space="0" w:color="auto"/>
        <w:left w:val="none" w:sz="0" w:space="0" w:color="auto"/>
        <w:bottom w:val="none" w:sz="0" w:space="0" w:color="auto"/>
        <w:right w:val="none" w:sz="0" w:space="0" w:color="auto"/>
      </w:divBdr>
    </w:div>
    <w:div w:id="725682879">
      <w:bodyDiv w:val="1"/>
      <w:marLeft w:val="0"/>
      <w:marRight w:val="0"/>
      <w:marTop w:val="0"/>
      <w:marBottom w:val="0"/>
      <w:divBdr>
        <w:top w:val="none" w:sz="0" w:space="0" w:color="auto"/>
        <w:left w:val="none" w:sz="0" w:space="0" w:color="auto"/>
        <w:bottom w:val="none" w:sz="0" w:space="0" w:color="auto"/>
        <w:right w:val="none" w:sz="0" w:space="0" w:color="auto"/>
      </w:divBdr>
    </w:div>
    <w:div w:id="725687104">
      <w:bodyDiv w:val="1"/>
      <w:marLeft w:val="0"/>
      <w:marRight w:val="0"/>
      <w:marTop w:val="0"/>
      <w:marBottom w:val="0"/>
      <w:divBdr>
        <w:top w:val="none" w:sz="0" w:space="0" w:color="auto"/>
        <w:left w:val="none" w:sz="0" w:space="0" w:color="auto"/>
        <w:bottom w:val="none" w:sz="0" w:space="0" w:color="auto"/>
        <w:right w:val="none" w:sz="0" w:space="0" w:color="auto"/>
      </w:divBdr>
    </w:div>
    <w:div w:id="725952772">
      <w:bodyDiv w:val="1"/>
      <w:marLeft w:val="0"/>
      <w:marRight w:val="0"/>
      <w:marTop w:val="0"/>
      <w:marBottom w:val="0"/>
      <w:divBdr>
        <w:top w:val="none" w:sz="0" w:space="0" w:color="auto"/>
        <w:left w:val="none" w:sz="0" w:space="0" w:color="auto"/>
        <w:bottom w:val="none" w:sz="0" w:space="0" w:color="auto"/>
        <w:right w:val="none" w:sz="0" w:space="0" w:color="auto"/>
      </w:divBdr>
    </w:div>
    <w:div w:id="725957006">
      <w:bodyDiv w:val="1"/>
      <w:marLeft w:val="0"/>
      <w:marRight w:val="0"/>
      <w:marTop w:val="0"/>
      <w:marBottom w:val="0"/>
      <w:divBdr>
        <w:top w:val="none" w:sz="0" w:space="0" w:color="auto"/>
        <w:left w:val="none" w:sz="0" w:space="0" w:color="auto"/>
        <w:bottom w:val="none" w:sz="0" w:space="0" w:color="auto"/>
        <w:right w:val="none" w:sz="0" w:space="0" w:color="auto"/>
      </w:divBdr>
    </w:div>
    <w:div w:id="725957369">
      <w:bodyDiv w:val="1"/>
      <w:marLeft w:val="0"/>
      <w:marRight w:val="0"/>
      <w:marTop w:val="0"/>
      <w:marBottom w:val="0"/>
      <w:divBdr>
        <w:top w:val="none" w:sz="0" w:space="0" w:color="auto"/>
        <w:left w:val="none" w:sz="0" w:space="0" w:color="auto"/>
        <w:bottom w:val="none" w:sz="0" w:space="0" w:color="auto"/>
        <w:right w:val="none" w:sz="0" w:space="0" w:color="auto"/>
      </w:divBdr>
    </w:div>
    <w:div w:id="726143455">
      <w:bodyDiv w:val="1"/>
      <w:marLeft w:val="0"/>
      <w:marRight w:val="0"/>
      <w:marTop w:val="0"/>
      <w:marBottom w:val="0"/>
      <w:divBdr>
        <w:top w:val="none" w:sz="0" w:space="0" w:color="auto"/>
        <w:left w:val="none" w:sz="0" w:space="0" w:color="auto"/>
        <w:bottom w:val="none" w:sz="0" w:space="0" w:color="auto"/>
        <w:right w:val="none" w:sz="0" w:space="0" w:color="auto"/>
      </w:divBdr>
    </w:div>
    <w:div w:id="726491189">
      <w:bodyDiv w:val="1"/>
      <w:marLeft w:val="0"/>
      <w:marRight w:val="0"/>
      <w:marTop w:val="0"/>
      <w:marBottom w:val="0"/>
      <w:divBdr>
        <w:top w:val="none" w:sz="0" w:space="0" w:color="auto"/>
        <w:left w:val="none" w:sz="0" w:space="0" w:color="auto"/>
        <w:bottom w:val="none" w:sz="0" w:space="0" w:color="auto"/>
        <w:right w:val="none" w:sz="0" w:space="0" w:color="auto"/>
      </w:divBdr>
    </w:div>
    <w:div w:id="726609548">
      <w:bodyDiv w:val="1"/>
      <w:marLeft w:val="0"/>
      <w:marRight w:val="0"/>
      <w:marTop w:val="0"/>
      <w:marBottom w:val="0"/>
      <w:divBdr>
        <w:top w:val="none" w:sz="0" w:space="0" w:color="auto"/>
        <w:left w:val="none" w:sz="0" w:space="0" w:color="auto"/>
        <w:bottom w:val="none" w:sz="0" w:space="0" w:color="auto"/>
        <w:right w:val="none" w:sz="0" w:space="0" w:color="auto"/>
      </w:divBdr>
    </w:div>
    <w:div w:id="726761397">
      <w:bodyDiv w:val="1"/>
      <w:marLeft w:val="0"/>
      <w:marRight w:val="0"/>
      <w:marTop w:val="0"/>
      <w:marBottom w:val="0"/>
      <w:divBdr>
        <w:top w:val="none" w:sz="0" w:space="0" w:color="auto"/>
        <w:left w:val="none" w:sz="0" w:space="0" w:color="auto"/>
        <w:bottom w:val="none" w:sz="0" w:space="0" w:color="auto"/>
        <w:right w:val="none" w:sz="0" w:space="0" w:color="auto"/>
      </w:divBdr>
    </w:div>
    <w:div w:id="726799208">
      <w:bodyDiv w:val="1"/>
      <w:marLeft w:val="0"/>
      <w:marRight w:val="0"/>
      <w:marTop w:val="0"/>
      <w:marBottom w:val="0"/>
      <w:divBdr>
        <w:top w:val="none" w:sz="0" w:space="0" w:color="auto"/>
        <w:left w:val="none" w:sz="0" w:space="0" w:color="auto"/>
        <w:bottom w:val="none" w:sz="0" w:space="0" w:color="auto"/>
        <w:right w:val="none" w:sz="0" w:space="0" w:color="auto"/>
      </w:divBdr>
    </w:div>
    <w:div w:id="726880695">
      <w:bodyDiv w:val="1"/>
      <w:marLeft w:val="0"/>
      <w:marRight w:val="0"/>
      <w:marTop w:val="0"/>
      <w:marBottom w:val="0"/>
      <w:divBdr>
        <w:top w:val="none" w:sz="0" w:space="0" w:color="auto"/>
        <w:left w:val="none" w:sz="0" w:space="0" w:color="auto"/>
        <w:bottom w:val="none" w:sz="0" w:space="0" w:color="auto"/>
        <w:right w:val="none" w:sz="0" w:space="0" w:color="auto"/>
      </w:divBdr>
    </w:div>
    <w:div w:id="727001661">
      <w:bodyDiv w:val="1"/>
      <w:marLeft w:val="0"/>
      <w:marRight w:val="0"/>
      <w:marTop w:val="0"/>
      <w:marBottom w:val="0"/>
      <w:divBdr>
        <w:top w:val="none" w:sz="0" w:space="0" w:color="auto"/>
        <w:left w:val="none" w:sz="0" w:space="0" w:color="auto"/>
        <w:bottom w:val="none" w:sz="0" w:space="0" w:color="auto"/>
        <w:right w:val="none" w:sz="0" w:space="0" w:color="auto"/>
      </w:divBdr>
    </w:div>
    <w:div w:id="727150705">
      <w:bodyDiv w:val="1"/>
      <w:marLeft w:val="0"/>
      <w:marRight w:val="0"/>
      <w:marTop w:val="0"/>
      <w:marBottom w:val="0"/>
      <w:divBdr>
        <w:top w:val="none" w:sz="0" w:space="0" w:color="auto"/>
        <w:left w:val="none" w:sz="0" w:space="0" w:color="auto"/>
        <w:bottom w:val="none" w:sz="0" w:space="0" w:color="auto"/>
        <w:right w:val="none" w:sz="0" w:space="0" w:color="auto"/>
      </w:divBdr>
    </w:div>
    <w:div w:id="727218217">
      <w:bodyDiv w:val="1"/>
      <w:marLeft w:val="0"/>
      <w:marRight w:val="0"/>
      <w:marTop w:val="0"/>
      <w:marBottom w:val="0"/>
      <w:divBdr>
        <w:top w:val="none" w:sz="0" w:space="0" w:color="auto"/>
        <w:left w:val="none" w:sz="0" w:space="0" w:color="auto"/>
        <w:bottom w:val="none" w:sz="0" w:space="0" w:color="auto"/>
        <w:right w:val="none" w:sz="0" w:space="0" w:color="auto"/>
      </w:divBdr>
    </w:div>
    <w:div w:id="727459824">
      <w:bodyDiv w:val="1"/>
      <w:marLeft w:val="0"/>
      <w:marRight w:val="0"/>
      <w:marTop w:val="0"/>
      <w:marBottom w:val="0"/>
      <w:divBdr>
        <w:top w:val="none" w:sz="0" w:space="0" w:color="auto"/>
        <w:left w:val="none" w:sz="0" w:space="0" w:color="auto"/>
        <w:bottom w:val="none" w:sz="0" w:space="0" w:color="auto"/>
        <w:right w:val="none" w:sz="0" w:space="0" w:color="auto"/>
      </w:divBdr>
    </w:div>
    <w:div w:id="727463070">
      <w:bodyDiv w:val="1"/>
      <w:marLeft w:val="0"/>
      <w:marRight w:val="0"/>
      <w:marTop w:val="0"/>
      <w:marBottom w:val="0"/>
      <w:divBdr>
        <w:top w:val="none" w:sz="0" w:space="0" w:color="auto"/>
        <w:left w:val="none" w:sz="0" w:space="0" w:color="auto"/>
        <w:bottom w:val="none" w:sz="0" w:space="0" w:color="auto"/>
        <w:right w:val="none" w:sz="0" w:space="0" w:color="auto"/>
      </w:divBdr>
    </w:div>
    <w:div w:id="727529415">
      <w:bodyDiv w:val="1"/>
      <w:marLeft w:val="0"/>
      <w:marRight w:val="0"/>
      <w:marTop w:val="0"/>
      <w:marBottom w:val="0"/>
      <w:divBdr>
        <w:top w:val="none" w:sz="0" w:space="0" w:color="auto"/>
        <w:left w:val="none" w:sz="0" w:space="0" w:color="auto"/>
        <w:bottom w:val="none" w:sz="0" w:space="0" w:color="auto"/>
        <w:right w:val="none" w:sz="0" w:space="0" w:color="auto"/>
      </w:divBdr>
    </w:div>
    <w:div w:id="727535028">
      <w:bodyDiv w:val="1"/>
      <w:marLeft w:val="0"/>
      <w:marRight w:val="0"/>
      <w:marTop w:val="0"/>
      <w:marBottom w:val="0"/>
      <w:divBdr>
        <w:top w:val="none" w:sz="0" w:space="0" w:color="auto"/>
        <w:left w:val="none" w:sz="0" w:space="0" w:color="auto"/>
        <w:bottom w:val="none" w:sz="0" w:space="0" w:color="auto"/>
        <w:right w:val="none" w:sz="0" w:space="0" w:color="auto"/>
      </w:divBdr>
    </w:div>
    <w:div w:id="727647472">
      <w:bodyDiv w:val="1"/>
      <w:marLeft w:val="0"/>
      <w:marRight w:val="0"/>
      <w:marTop w:val="0"/>
      <w:marBottom w:val="0"/>
      <w:divBdr>
        <w:top w:val="none" w:sz="0" w:space="0" w:color="auto"/>
        <w:left w:val="none" w:sz="0" w:space="0" w:color="auto"/>
        <w:bottom w:val="none" w:sz="0" w:space="0" w:color="auto"/>
        <w:right w:val="none" w:sz="0" w:space="0" w:color="auto"/>
      </w:divBdr>
    </w:div>
    <w:div w:id="727803444">
      <w:bodyDiv w:val="1"/>
      <w:marLeft w:val="0"/>
      <w:marRight w:val="0"/>
      <w:marTop w:val="0"/>
      <w:marBottom w:val="0"/>
      <w:divBdr>
        <w:top w:val="none" w:sz="0" w:space="0" w:color="auto"/>
        <w:left w:val="none" w:sz="0" w:space="0" w:color="auto"/>
        <w:bottom w:val="none" w:sz="0" w:space="0" w:color="auto"/>
        <w:right w:val="none" w:sz="0" w:space="0" w:color="auto"/>
      </w:divBdr>
    </w:div>
    <w:div w:id="727999272">
      <w:bodyDiv w:val="1"/>
      <w:marLeft w:val="0"/>
      <w:marRight w:val="0"/>
      <w:marTop w:val="0"/>
      <w:marBottom w:val="0"/>
      <w:divBdr>
        <w:top w:val="none" w:sz="0" w:space="0" w:color="auto"/>
        <w:left w:val="none" w:sz="0" w:space="0" w:color="auto"/>
        <w:bottom w:val="none" w:sz="0" w:space="0" w:color="auto"/>
        <w:right w:val="none" w:sz="0" w:space="0" w:color="auto"/>
      </w:divBdr>
    </w:div>
    <w:div w:id="728112905">
      <w:bodyDiv w:val="1"/>
      <w:marLeft w:val="0"/>
      <w:marRight w:val="0"/>
      <w:marTop w:val="0"/>
      <w:marBottom w:val="0"/>
      <w:divBdr>
        <w:top w:val="none" w:sz="0" w:space="0" w:color="auto"/>
        <w:left w:val="none" w:sz="0" w:space="0" w:color="auto"/>
        <w:bottom w:val="none" w:sz="0" w:space="0" w:color="auto"/>
        <w:right w:val="none" w:sz="0" w:space="0" w:color="auto"/>
      </w:divBdr>
    </w:div>
    <w:div w:id="728115051">
      <w:bodyDiv w:val="1"/>
      <w:marLeft w:val="0"/>
      <w:marRight w:val="0"/>
      <w:marTop w:val="0"/>
      <w:marBottom w:val="0"/>
      <w:divBdr>
        <w:top w:val="none" w:sz="0" w:space="0" w:color="auto"/>
        <w:left w:val="none" w:sz="0" w:space="0" w:color="auto"/>
        <w:bottom w:val="none" w:sz="0" w:space="0" w:color="auto"/>
        <w:right w:val="none" w:sz="0" w:space="0" w:color="auto"/>
      </w:divBdr>
    </w:div>
    <w:div w:id="728118102">
      <w:bodyDiv w:val="1"/>
      <w:marLeft w:val="0"/>
      <w:marRight w:val="0"/>
      <w:marTop w:val="0"/>
      <w:marBottom w:val="0"/>
      <w:divBdr>
        <w:top w:val="none" w:sz="0" w:space="0" w:color="auto"/>
        <w:left w:val="none" w:sz="0" w:space="0" w:color="auto"/>
        <w:bottom w:val="none" w:sz="0" w:space="0" w:color="auto"/>
        <w:right w:val="none" w:sz="0" w:space="0" w:color="auto"/>
      </w:divBdr>
    </w:div>
    <w:div w:id="728188504">
      <w:bodyDiv w:val="1"/>
      <w:marLeft w:val="0"/>
      <w:marRight w:val="0"/>
      <w:marTop w:val="0"/>
      <w:marBottom w:val="0"/>
      <w:divBdr>
        <w:top w:val="none" w:sz="0" w:space="0" w:color="auto"/>
        <w:left w:val="none" w:sz="0" w:space="0" w:color="auto"/>
        <w:bottom w:val="none" w:sz="0" w:space="0" w:color="auto"/>
        <w:right w:val="none" w:sz="0" w:space="0" w:color="auto"/>
      </w:divBdr>
    </w:div>
    <w:div w:id="728653417">
      <w:bodyDiv w:val="1"/>
      <w:marLeft w:val="0"/>
      <w:marRight w:val="0"/>
      <w:marTop w:val="0"/>
      <w:marBottom w:val="0"/>
      <w:divBdr>
        <w:top w:val="none" w:sz="0" w:space="0" w:color="auto"/>
        <w:left w:val="none" w:sz="0" w:space="0" w:color="auto"/>
        <w:bottom w:val="none" w:sz="0" w:space="0" w:color="auto"/>
        <w:right w:val="none" w:sz="0" w:space="0" w:color="auto"/>
      </w:divBdr>
    </w:div>
    <w:div w:id="729034239">
      <w:bodyDiv w:val="1"/>
      <w:marLeft w:val="0"/>
      <w:marRight w:val="0"/>
      <w:marTop w:val="0"/>
      <w:marBottom w:val="0"/>
      <w:divBdr>
        <w:top w:val="none" w:sz="0" w:space="0" w:color="auto"/>
        <w:left w:val="none" w:sz="0" w:space="0" w:color="auto"/>
        <w:bottom w:val="none" w:sz="0" w:space="0" w:color="auto"/>
        <w:right w:val="none" w:sz="0" w:space="0" w:color="auto"/>
      </w:divBdr>
    </w:div>
    <w:div w:id="729111212">
      <w:bodyDiv w:val="1"/>
      <w:marLeft w:val="0"/>
      <w:marRight w:val="0"/>
      <w:marTop w:val="0"/>
      <w:marBottom w:val="0"/>
      <w:divBdr>
        <w:top w:val="none" w:sz="0" w:space="0" w:color="auto"/>
        <w:left w:val="none" w:sz="0" w:space="0" w:color="auto"/>
        <w:bottom w:val="none" w:sz="0" w:space="0" w:color="auto"/>
        <w:right w:val="none" w:sz="0" w:space="0" w:color="auto"/>
      </w:divBdr>
    </w:div>
    <w:div w:id="729227437">
      <w:bodyDiv w:val="1"/>
      <w:marLeft w:val="0"/>
      <w:marRight w:val="0"/>
      <w:marTop w:val="0"/>
      <w:marBottom w:val="0"/>
      <w:divBdr>
        <w:top w:val="none" w:sz="0" w:space="0" w:color="auto"/>
        <w:left w:val="none" w:sz="0" w:space="0" w:color="auto"/>
        <w:bottom w:val="none" w:sz="0" w:space="0" w:color="auto"/>
        <w:right w:val="none" w:sz="0" w:space="0" w:color="auto"/>
      </w:divBdr>
    </w:div>
    <w:div w:id="729309776">
      <w:bodyDiv w:val="1"/>
      <w:marLeft w:val="0"/>
      <w:marRight w:val="0"/>
      <w:marTop w:val="0"/>
      <w:marBottom w:val="0"/>
      <w:divBdr>
        <w:top w:val="none" w:sz="0" w:space="0" w:color="auto"/>
        <w:left w:val="none" w:sz="0" w:space="0" w:color="auto"/>
        <w:bottom w:val="none" w:sz="0" w:space="0" w:color="auto"/>
        <w:right w:val="none" w:sz="0" w:space="0" w:color="auto"/>
      </w:divBdr>
    </w:div>
    <w:div w:id="729499987">
      <w:bodyDiv w:val="1"/>
      <w:marLeft w:val="0"/>
      <w:marRight w:val="0"/>
      <w:marTop w:val="0"/>
      <w:marBottom w:val="0"/>
      <w:divBdr>
        <w:top w:val="none" w:sz="0" w:space="0" w:color="auto"/>
        <w:left w:val="none" w:sz="0" w:space="0" w:color="auto"/>
        <w:bottom w:val="none" w:sz="0" w:space="0" w:color="auto"/>
        <w:right w:val="none" w:sz="0" w:space="0" w:color="auto"/>
      </w:divBdr>
    </w:div>
    <w:div w:id="729575898">
      <w:bodyDiv w:val="1"/>
      <w:marLeft w:val="0"/>
      <w:marRight w:val="0"/>
      <w:marTop w:val="0"/>
      <w:marBottom w:val="0"/>
      <w:divBdr>
        <w:top w:val="none" w:sz="0" w:space="0" w:color="auto"/>
        <w:left w:val="none" w:sz="0" w:space="0" w:color="auto"/>
        <w:bottom w:val="none" w:sz="0" w:space="0" w:color="auto"/>
        <w:right w:val="none" w:sz="0" w:space="0" w:color="auto"/>
      </w:divBdr>
    </w:div>
    <w:div w:id="729690049">
      <w:bodyDiv w:val="1"/>
      <w:marLeft w:val="0"/>
      <w:marRight w:val="0"/>
      <w:marTop w:val="0"/>
      <w:marBottom w:val="0"/>
      <w:divBdr>
        <w:top w:val="none" w:sz="0" w:space="0" w:color="auto"/>
        <w:left w:val="none" w:sz="0" w:space="0" w:color="auto"/>
        <w:bottom w:val="none" w:sz="0" w:space="0" w:color="auto"/>
        <w:right w:val="none" w:sz="0" w:space="0" w:color="auto"/>
      </w:divBdr>
    </w:div>
    <w:div w:id="729767974">
      <w:bodyDiv w:val="1"/>
      <w:marLeft w:val="0"/>
      <w:marRight w:val="0"/>
      <w:marTop w:val="0"/>
      <w:marBottom w:val="0"/>
      <w:divBdr>
        <w:top w:val="none" w:sz="0" w:space="0" w:color="auto"/>
        <w:left w:val="none" w:sz="0" w:space="0" w:color="auto"/>
        <w:bottom w:val="none" w:sz="0" w:space="0" w:color="auto"/>
        <w:right w:val="none" w:sz="0" w:space="0" w:color="auto"/>
      </w:divBdr>
    </w:div>
    <w:div w:id="730008997">
      <w:bodyDiv w:val="1"/>
      <w:marLeft w:val="0"/>
      <w:marRight w:val="0"/>
      <w:marTop w:val="0"/>
      <w:marBottom w:val="0"/>
      <w:divBdr>
        <w:top w:val="none" w:sz="0" w:space="0" w:color="auto"/>
        <w:left w:val="none" w:sz="0" w:space="0" w:color="auto"/>
        <w:bottom w:val="none" w:sz="0" w:space="0" w:color="auto"/>
        <w:right w:val="none" w:sz="0" w:space="0" w:color="auto"/>
      </w:divBdr>
    </w:div>
    <w:div w:id="730035784">
      <w:bodyDiv w:val="1"/>
      <w:marLeft w:val="0"/>
      <w:marRight w:val="0"/>
      <w:marTop w:val="0"/>
      <w:marBottom w:val="0"/>
      <w:divBdr>
        <w:top w:val="none" w:sz="0" w:space="0" w:color="auto"/>
        <w:left w:val="none" w:sz="0" w:space="0" w:color="auto"/>
        <w:bottom w:val="none" w:sz="0" w:space="0" w:color="auto"/>
        <w:right w:val="none" w:sz="0" w:space="0" w:color="auto"/>
      </w:divBdr>
    </w:div>
    <w:div w:id="730078490">
      <w:bodyDiv w:val="1"/>
      <w:marLeft w:val="0"/>
      <w:marRight w:val="0"/>
      <w:marTop w:val="0"/>
      <w:marBottom w:val="0"/>
      <w:divBdr>
        <w:top w:val="none" w:sz="0" w:space="0" w:color="auto"/>
        <w:left w:val="none" w:sz="0" w:space="0" w:color="auto"/>
        <w:bottom w:val="none" w:sz="0" w:space="0" w:color="auto"/>
        <w:right w:val="none" w:sz="0" w:space="0" w:color="auto"/>
      </w:divBdr>
    </w:div>
    <w:div w:id="730080327">
      <w:bodyDiv w:val="1"/>
      <w:marLeft w:val="0"/>
      <w:marRight w:val="0"/>
      <w:marTop w:val="0"/>
      <w:marBottom w:val="0"/>
      <w:divBdr>
        <w:top w:val="none" w:sz="0" w:space="0" w:color="auto"/>
        <w:left w:val="none" w:sz="0" w:space="0" w:color="auto"/>
        <w:bottom w:val="none" w:sz="0" w:space="0" w:color="auto"/>
        <w:right w:val="none" w:sz="0" w:space="0" w:color="auto"/>
      </w:divBdr>
    </w:div>
    <w:div w:id="730618492">
      <w:bodyDiv w:val="1"/>
      <w:marLeft w:val="0"/>
      <w:marRight w:val="0"/>
      <w:marTop w:val="0"/>
      <w:marBottom w:val="0"/>
      <w:divBdr>
        <w:top w:val="none" w:sz="0" w:space="0" w:color="auto"/>
        <w:left w:val="none" w:sz="0" w:space="0" w:color="auto"/>
        <w:bottom w:val="none" w:sz="0" w:space="0" w:color="auto"/>
        <w:right w:val="none" w:sz="0" w:space="0" w:color="auto"/>
      </w:divBdr>
    </w:div>
    <w:div w:id="730808961">
      <w:bodyDiv w:val="1"/>
      <w:marLeft w:val="0"/>
      <w:marRight w:val="0"/>
      <w:marTop w:val="0"/>
      <w:marBottom w:val="0"/>
      <w:divBdr>
        <w:top w:val="none" w:sz="0" w:space="0" w:color="auto"/>
        <w:left w:val="none" w:sz="0" w:space="0" w:color="auto"/>
        <w:bottom w:val="none" w:sz="0" w:space="0" w:color="auto"/>
        <w:right w:val="none" w:sz="0" w:space="0" w:color="auto"/>
      </w:divBdr>
    </w:div>
    <w:div w:id="731075457">
      <w:bodyDiv w:val="1"/>
      <w:marLeft w:val="0"/>
      <w:marRight w:val="0"/>
      <w:marTop w:val="0"/>
      <w:marBottom w:val="0"/>
      <w:divBdr>
        <w:top w:val="none" w:sz="0" w:space="0" w:color="auto"/>
        <w:left w:val="none" w:sz="0" w:space="0" w:color="auto"/>
        <w:bottom w:val="none" w:sz="0" w:space="0" w:color="auto"/>
        <w:right w:val="none" w:sz="0" w:space="0" w:color="auto"/>
      </w:divBdr>
    </w:div>
    <w:div w:id="731194249">
      <w:bodyDiv w:val="1"/>
      <w:marLeft w:val="0"/>
      <w:marRight w:val="0"/>
      <w:marTop w:val="0"/>
      <w:marBottom w:val="0"/>
      <w:divBdr>
        <w:top w:val="none" w:sz="0" w:space="0" w:color="auto"/>
        <w:left w:val="none" w:sz="0" w:space="0" w:color="auto"/>
        <w:bottom w:val="none" w:sz="0" w:space="0" w:color="auto"/>
        <w:right w:val="none" w:sz="0" w:space="0" w:color="auto"/>
      </w:divBdr>
    </w:div>
    <w:div w:id="731274034">
      <w:bodyDiv w:val="1"/>
      <w:marLeft w:val="0"/>
      <w:marRight w:val="0"/>
      <w:marTop w:val="0"/>
      <w:marBottom w:val="0"/>
      <w:divBdr>
        <w:top w:val="none" w:sz="0" w:space="0" w:color="auto"/>
        <w:left w:val="none" w:sz="0" w:space="0" w:color="auto"/>
        <w:bottom w:val="none" w:sz="0" w:space="0" w:color="auto"/>
        <w:right w:val="none" w:sz="0" w:space="0" w:color="auto"/>
      </w:divBdr>
    </w:div>
    <w:div w:id="731388721">
      <w:bodyDiv w:val="1"/>
      <w:marLeft w:val="0"/>
      <w:marRight w:val="0"/>
      <w:marTop w:val="0"/>
      <w:marBottom w:val="0"/>
      <w:divBdr>
        <w:top w:val="none" w:sz="0" w:space="0" w:color="auto"/>
        <w:left w:val="none" w:sz="0" w:space="0" w:color="auto"/>
        <w:bottom w:val="none" w:sz="0" w:space="0" w:color="auto"/>
        <w:right w:val="none" w:sz="0" w:space="0" w:color="auto"/>
      </w:divBdr>
    </w:div>
    <w:div w:id="731393427">
      <w:bodyDiv w:val="1"/>
      <w:marLeft w:val="0"/>
      <w:marRight w:val="0"/>
      <w:marTop w:val="0"/>
      <w:marBottom w:val="0"/>
      <w:divBdr>
        <w:top w:val="none" w:sz="0" w:space="0" w:color="auto"/>
        <w:left w:val="none" w:sz="0" w:space="0" w:color="auto"/>
        <w:bottom w:val="none" w:sz="0" w:space="0" w:color="auto"/>
        <w:right w:val="none" w:sz="0" w:space="0" w:color="auto"/>
      </w:divBdr>
    </w:div>
    <w:div w:id="731658171">
      <w:bodyDiv w:val="1"/>
      <w:marLeft w:val="0"/>
      <w:marRight w:val="0"/>
      <w:marTop w:val="0"/>
      <w:marBottom w:val="0"/>
      <w:divBdr>
        <w:top w:val="none" w:sz="0" w:space="0" w:color="auto"/>
        <w:left w:val="none" w:sz="0" w:space="0" w:color="auto"/>
        <w:bottom w:val="none" w:sz="0" w:space="0" w:color="auto"/>
        <w:right w:val="none" w:sz="0" w:space="0" w:color="auto"/>
      </w:divBdr>
    </w:div>
    <w:div w:id="731661540">
      <w:bodyDiv w:val="1"/>
      <w:marLeft w:val="0"/>
      <w:marRight w:val="0"/>
      <w:marTop w:val="0"/>
      <w:marBottom w:val="0"/>
      <w:divBdr>
        <w:top w:val="none" w:sz="0" w:space="0" w:color="auto"/>
        <w:left w:val="none" w:sz="0" w:space="0" w:color="auto"/>
        <w:bottom w:val="none" w:sz="0" w:space="0" w:color="auto"/>
        <w:right w:val="none" w:sz="0" w:space="0" w:color="auto"/>
      </w:divBdr>
    </w:div>
    <w:div w:id="731731720">
      <w:bodyDiv w:val="1"/>
      <w:marLeft w:val="0"/>
      <w:marRight w:val="0"/>
      <w:marTop w:val="0"/>
      <w:marBottom w:val="0"/>
      <w:divBdr>
        <w:top w:val="none" w:sz="0" w:space="0" w:color="auto"/>
        <w:left w:val="none" w:sz="0" w:space="0" w:color="auto"/>
        <w:bottom w:val="none" w:sz="0" w:space="0" w:color="auto"/>
        <w:right w:val="none" w:sz="0" w:space="0" w:color="auto"/>
      </w:divBdr>
    </w:div>
    <w:div w:id="731847699">
      <w:bodyDiv w:val="1"/>
      <w:marLeft w:val="0"/>
      <w:marRight w:val="0"/>
      <w:marTop w:val="0"/>
      <w:marBottom w:val="0"/>
      <w:divBdr>
        <w:top w:val="none" w:sz="0" w:space="0" w:color="auto"/>
        <w:left w:val="none" w:sz="0" w:space="0" w:color="auto"/>
        <w:bottom w:val="none" w:sz="0" w:space="0" w:color="auto"/>
        <w:right w:val="none" w:sz="0" w:space="0" w:color="auto"/>
      </w:divBdr>
    </w:div>
    <w:div w:id="732000324">
      <w:bodyDiv w:val="1"/>
      <w:marLeft w:val="0"/>
      <w:marRight w:val="0"/>
      <w:marTop w:val="0"/>
      <w:marBottom w:val="0"/>
      <w:divBdr>
        <w:top w:val="none" w:sz="0" w:space="0" w:color="auto"/>
        <w:left w:val="none" w:sz="0" w:space="0" w:color="auto"/>
        <w:bottom w:val="none" w:sz="0" w:space="0" w:color="auto"/>
        <w:right w:val="none" w:sz="0" w:space="0" w:color="auto"/>
      </w:divBdr>
    </w:div>
    <w:div w:id="732043278">
      <w:bodyDiv w:val="1"/>
      <w:marLeft w:val="0"/>
      <w:marRight w:val="0"/>
      <w:marTop w:val="0"/>
      <w:marBottom w:val="0"/>
      <w:divBdr>
        <w:top w:val="none" w:sz="0" w:space="0" w:color="auto"/>
        <w:left w:val="none" w:sz="0" w:space="0" w:color="auto"/>
        <w:bottom w:val="none" w:sz="0" w:space="0" w:color="auto"/>
        <w:right w:val="none" w:sz="0" w:space="0" w:color="auto"/>
      </w:divBdr>
    </w:div>
    <w:div w:id="732310772">
      <w:bodyDiv w:val="1"/>
      <w:marLeft w:val="0"/>
      <w:marRight w:val="0"/>
      <w:marTop w:val="0"/>
      <w:marBottom w:val="0"/>
      <w:divBdr>
        <w:top w:val="none" w:sz="0" w:space="0" w:color="auto"/>
        <w:left w:val="none" w:sz="0" w:space="0" w:color="auto"/>
        <w:bottom w:val="none" w:sz="0" w:space="0" w:color="auto"/>
        <w:right w:val="none" w:sz="0" w:space="0" w:color="auto"/>
      </w:divBdr>
    </w:div>
    <w:div w:id="732462104">
      <w:bodyDiv w:val="1"/>
      <w:marLeft w:val="0"/>
      <w:marRight w:val="0"/>
      <w:marTop w:val="0"/>
      <w:marBottom w:val="0"/>
      <w:divBdr>
        <w:top w:val="none" w:sz="0" w:space="0" w:color="auto"/>
        <w:left w:val="none" w:sz="0" w:space="0" w:color="auto"/>
        <w:bottom w:val="none" w:sz="0" w:space="0" w:color="auto"/>
        <w:right w:val="none" w:sz="0" w:space="0" w:color="auto"/>
      </w:divBdr>
    </w:div>
    <w:div w:id="732509224">
      <w:bodyDiv w:val="1"/>
      <w:marLeft w:val="0"/>
      <w:marRight w:val="0"/>
      <w:marTop w:val="0"/>
      <w:marBottom w:val="0"/>
      <w:divBdr>
        <w:top w:val="none" w:sz="0" w:space="0" w:color="auto"/>
        <w:left w:val="none" w:sz="0" w:space="0" w:color="auto"/>
        <w:bottom w:val="none" w:sz="0" w:space="0" w:color="auto"/>
        <w:right w:val="none" w:sz="0" w:space="0" w:color="auto"/>
      </w:divBdr>
    </w:div>
    <w:div w:id="732653873">
      <w:bodyDiv w:val="1"/>
      <w:marLeft w:val="0"/>
      <w:marRight w:val="0"/>
      <w:marTop w:val="0"/>
      <w:marBottom w:val="0"/>
      <w:divBdr>
        <w:top w:val="none" w:sz="0" w:space="0" w:color="auto"/>
        <w:left w:val="none" w:sz="0" w:space="0" w:color="auto"/>
        <w:bottom w:val="none" w:sz="0" w:space="0" w:color="auto"/>
        <w:right w:val="none" w:sz="0" w:space="0" w:color="auto"/>
      </w:divBdr>
    </w:div>
    <w:div w:id="732655330">
      <w:bodyDiv w:val="1"/>
      <w:marLeft w:val="0"/>
      <w:marRight w:val="0"/>
      <w:marTop w:val="0"/>
      <w:marBottom w:val="0"/>
      <w:divBdr>
        <w:top w:val="none" w:sz="0" w:space="0" w:color="auto"/>
        <w:left w:val="none" w:sz="0" w:space="0" w:color="auto"/>
        <w:bottom w:val="none" w:sz="0" w:space="0" w:color="auto"/>
        <w:right w:val="none" w:sz="0" w:space="0" w:color="auto"/>
      </w:divBdr>
    </w:div>
    <w:div w:id="732702888">
      <w:bodyDiv w:val="1"/>
      <w:marLeft w:val="0"/>
      <w:marRight w:val="0"/>
      <w:marTop w:val="0"/>
      <w:marBottom w:val="0"/>
      <w:divBdr>
        <w:top w:val="none" w:sz="0" w:space="0" w:color="auto"/>
        <w:left w:val="none" w:sz="0" w:space="0" w:color="auto"/>
        <w:bottom w:val="none" w:sz="0" w:space="0" w:color="auto"/>
        <w:right w:val="none" w:sz="0" w:space="0" w:color="auto"/>
      </w:divBdr>
    </w:div>
    <w:div w:id="732772996">
      <w:bodyDiv w:val="1"/>
      <w:marLeft w:val="0"/>
      <w:marRight w:val="0"/>
      <w:marTop w:val="0"/>
      <w:marBottom w:val="0"/>
      <w:divBdr>
        <w:top w:val="none" w:sz="0" w:space="0" w:color="auto"/>
        <w:left w:val="none" w:sz="0" w:space="0" w:color="auto"/>
        <w:bottom w:val="none" w:sz="0" w:space="0" w:color="auto"/>
        <w:right w:val="none" w:sz="0" w:space="0" w:color="auto"/>
      </w:divBdr>
    </w:div>
    <w:div w:id="732851705">
      <w:bodyDiv w:val="1"/>
      <w:marLeft w:val="0"/>
      <w:marRight w:val="0"/>
      <w:marTop w:val="0"/>
      <w:marBottom w:val="0"/>
      <w:divBdr>
        <w:top w:val="none" w:sz="0" w:space="0" w:color="auto"/>
        <w:left w:val="none" w:sz="0" w:space="0" w:color="auto"/>
        <w:bottom w:val="none" w:sz="0" w:space="0" w:color="auto"/>
        <w:right w:val="none" w:sz="0" w:space="0" w:color="auto"/>
      </w:divBdr>
    </w:div>
    <w:div w:id="732896046">
      <w:bodyDiv w:val="1"/>
      <w:marLeft w:val="0"/>
      <w:marRight w:val="0"/>
      <w:marTop w:val="0"/>
      <w:marBottom w:val="0"/>
      <w:divBdr>
        <w:top w:val="none" w:sz="0" w:space="0" w:color="auto"/>
        <w:left w:val="none" w:sz="0" w:space="0" w:color="auto"/>
        <w:bottom w:val="none" w:sz="0" w:space="0" w:color="auto"/>
        <w:right w:val="none" w:sz="0" w:space="0" w:color="auto"/>
      </w:divBdr>
    </w:div>
    <w:div w:id="733087978">
      <w:bodyDiv w:val="1"/>
      <w:marLeft w:val="0"/>
      <w:marRight w:val="0"/>
      <w:marTop w:val="0"/>
      <w:marBottom w:val="0"/>
      <w:divBdr>
        <w:top w:val="none" w:sz="0" w:space="0" w:color="auto"/>
        <w:left w:val="none" w:sz="0" w:space="0" w:color="auto"/>
        <w:bottom w:val="none" w:sz="0" w:space="0" w:color="auto"/>
        <w:right w:val="none" w:sz="0" w:space="0" w:color="auto"/>
      </w:divBdr>
    </w:div>
    <w:div w:id="733117742">
      <w:bodyDiv w:val="1"/>
      <w:marLeft w:val="0"/>
      <w:marRight w:val="0"/>
      <w:marTop w:val="0"/>
      <w:marBottom w:val="0"/>
      <w:divBdr>
        <w:top w:val="none" w:sz="0" w:space="0" w:color="auto"/>
        <w:left w:val="none" w:sz="0" w:space="0" w:color="auto"/>
        <w:bottom w:val="none" w:sz="0" w:space="0" w:color="auto"/>
        <w:right w:val="none" w:sz="0" w:space="0" w:color="auto"/>
      </w:divBdr>
    </w:div>
    <w:div w:id="733162516">
      <w:bodyDiv w:val="1"/>
      <w:marLeft w:val="0"/>
      <w:marRight w:val="0"/>
      <w:marTop w:val="0"/>
      <w:marBottom w:val="0"/>
      <w:divBdr>
        <w:top w:val="none" w:sz="0" w:space="0" w:color="auto"/>
        <w:left w:val="none" w:sz="0" w:space="0" w:color="auto"/>
        <w:bottom w:val="none" w:sz="0" w:space="0" w:color="auto"/>
        <w:right w:val="none" w:sz="0" w:space="0" w:color="auto"/>
      </w:divBdr>
    </w:div>
    <w:div w:id="733283706">
      <w:bodyDiv w:val="1"/>
      <w:marLeft w:val="0"/>
      <w:marRight w:val="0"/>
      <w:marTop w:val="0"/>
      <w:marBottom w:val="0"/>
      <w:divBdr>
        <w:top w:val="none" w:sz="0" w:space="0" w:color="auto"/>
        <w:left w:val="none" w:sz="0" w:space="0" w:color="auto"/>
        <w:bottom w:val="none" w:sz="0" w:space="0" w:color="auto"/>
        <w:right w:val="none" w:sz="0" w:space="0" w:color="auto"/>
      </w:divBdr>
    </w:div>
    <w:div w:id="733310149">
      <w:bodyDiv w:val="1"/>
      <w:marLeft w:val="0"/>
      <w:marRight w:val="0"/>
      <w:marTop w:val="0"/>
      <w:marBottom w:val="0"/>
      <w:divBdr>
        <w:top w:val="none" w:sz="0" w:space="0" w:color="auto"/>
        <w:left w:val="none" w:sz="0" w:space="0" w:color="auto"/>
        <w:bottom w:val="none" w:sz="0" w:space="0" w:color="auto"/>
        <w:right w:val="none" w:sz="0" w:space="0" w:color="auto"/>
      </w:divBdr>
    </w:div>
    <w:div w:id="733357965">
      <w:bodyDiv w:val="1"/>
      <w:marLeft w:val="0"/>
      <w:marRight w:val="0"/>
      <w:marTop w:val="0"/>
      <w:marBottom w:val="0"/>
      <w:divBdr>
        <w:top w:val="none" w:sz="0" w:space="0" w:color="auto"/>
        <w:left w:val="none" w:sz="0" w:space="0" w:color="auto"/>
        <w:bottom w:val="none" w:sz="0" w:space="0" w:color="auto"/>
        <w:right w:val="none" w:sz="0" w:space="0" w:color="auto"/>
      </w:divBdr>
    </w:div>
    <w:div w:id="733359065">
      <w:bodyDiv w:val="1"/>
      <w:marLeft w:val="0"/>
      <w:marRight w:val="0"/>
      <w:marTop w:val="0"/>
      <w:marBottom w:val="0"/>
      <w:divBdr>
        <w:top w:val="none" w:sz="0" w:space="0" w:color="auto"/>
        <w:left w:val="none" w:sz="0" w:space="0" w:color="auto"/>
        <w:bottom w:val="none" w:sz="0" w:space="0" w:color="auto"/>
        <w:right w:val="none" w:sz="0" w:space="0" w:color="auto"/>
      </w:divBdr>
    </w:div>
    <w:div w:id="733508857">
      <w:bodyDiv w:val="1"/>
      <w:marLeft w:val="0"/>
      <w:marRight w:val="0"/>
      <w:marTop w:val="0"/>
      <w:marBottom w:val="0"/>
      <w:divBdr>
        <w:top w:val="none" w:sz="0" w:space="0" w:color="auto"/>
        <w:left w:val="none" w:sz="0" w:space="0" w:color="auto"/>
        <w:bottom w:val="none" w:sz="0" w:space="0" w:color="auto"/>
        <w:right w:val="none" w:sz="0" w:space="0" w:color="auto"/>
      </w:divBdr>
    </w:div>
    <w:div w:id="733700788">
      <w:bodyDiv w:val="1"/>
      <w:marLeft w:val="0"/>
      <w:marRight w:val="0"/>
      <w:marTop w:val="0"/>
      <w:marBottom w:val="0"/>
      <w:divBdr>
        <w:top w:val="none" w:sz="0" w:space="0" w:color="auto"/>
        <w:left w:val="none" w:sz="0" w:space="0" w:color="auto"/>
        <w:bottom w:val="none" w:sz="0" w:space="0" w:color="auto"/>
        <w:right w:val="none" w:sz="0" w:space="0" w:color="auto"/>
      </w:divBdr>
    </w:div>
    <w:div w:id="734091120">
      <w:bodyDiv w:val="1"/>
      <w:marLeft w:val="0"/>
      <w:marRight w:val="0"/>
      <w:marTop w:val="0"/>
      <w:marBottom w:val="0"/>
      <w:divBdr>
        <w:top w:val="none" w:sz="0" w:space="0" w:color="auto"/>
        <w:left w:val="none" w:sz="0" w:space="0" w:color="auto"/>
        <w:bottom w:val="none" w:sz="0" w:space="0" w:color="auto"/>
        <w:right w:val="none" w:sz="0" w:space="0" w:color="auto"/>
      </w:divBdr>
    </w:div>
    <w:div w:id="734204767">
      <w:bodyDiv w:val="1"/>
      <w:marLeft w:val="0"/>
      <w:marRight w:val="0"/>
      <w:marTop w:val="0"/>
      <w:marBottom w:val="0"/>
      <w:divBdr>
        <w:top w:val="none" w:sz="0" w:space="0" w:color="auto"/>
        <w:left w:val="none" w:sz="0" w:space="0" w:color="auto"/>
        <w:bottom w:val="none" w:sz="0" w:space="0" w:color="auto"/>
        <w:right w:val="none" w:sz="0" w:space="0" w:color="auto"/>
      </w:divBdr>
    </w:div>
    <w:div w:id="734207230">
      <w:bodyDiv w:val="1"/>
      <w:marLeft w:val="0"/>
      <w:marRight w:val="0"/>
      <w:marTop w:val="0"/>
      <w:marBottom w:val="0"/>
      <w:divBdr>
        <w:top w:val="none" w:sz="0" w:space="0" w:color="auto"/>
        <w:left w:val="none" w:sz="0" w:space="0" w:color="auto"/>
        <w:bottom w:val="none" w:sz="0" w:space="0" w:color="auto"/>
        <w:right w:val="none" w:sz="0" w:space="0" w:color="auto"/>
      </w:divBdr>
    </w:div>
    <w:div w:id="734353475">
      <w:bodyDiv w:val="1"/>
      <w:marLeft w:val="0"/>
      <w:marRight w:val="0"/>
      <w:marTop w:val="0"/>
      <w:marBottom w:val="0"/>
      <w:divBdr>
        <w:top w:val="none" w:sz="0" w:space="0" w:color="auto"/>
        <w:left w:val="none" w:sz="0" w:space="0" w:color="auto"/>
        <w:bottom w:val="none" w:sz="0" w:space="0" w:color="auto"/>
        <w:right w:val="none" w:sz="0" w:space="0" w:color="auto"/>
      </w:divBdr>
    </w:div>
    <w:div w:id="734356047">
      <w:bodyDiv w:val="1"/>
      <w:marLeft w:val="0"/>
      <w:marRight w:val="0"/>
      <w:marTop w:val="0"/>
      <w:marBottom w:val="0"/>
      <w:divBdr>
        <w:top w:val="none" w:sz="0" w:space="0" w:color="auto"/>
        <w:left w:val="none" w:sz="0" w:space="0" w:color="auto"/>
        <w:bottom w:val="none" w:sz="0" w:space="0" w:color="auto"/>
        <w:right w:val="none" w:sz="0" w:space="0" w:color="auto"/>
      </w:divBdr>
    </w:div>
    <w:div w:id="734401761">
      <w:bodyDiv w:val="1"/>
      <w:marLeft w:val="0"/>
      <w:marRight w:val="0"/>
      <w:marTop w:val="0"/>
      <w:marBottom w:val="0"/>
      <w:divBdr>
        <w:top w:val="none" w:sz="0" w:space="0" w:color="auto"/>
        <w:left w:val="none" w:sz="0" w:space="0" w:color="auto"/>
        <w:bottom w:val="none" w:sz="0" w:space="0" w:color="auto"/>
        <w:right w:val="none" w:sz="0" w:space="0" w:color="auto"/>
      </w:divBdr>
    </w:div>
    <w:div w:id="734427744">
      <w:bodyDiv w:val="1"/>
      <w:marLeft w:val="0"/>
      <w:marRight w:val="0"/>
      <w:marTop w:val="0"/>
      <w:marBottom w:val="0"/>
      <w:divBdr>
        <w:top w:val="none" w:sz="0" w:space="0" w:color="auto"/>
        <w:left w:val="none" w:sz="0" w:space="0" w:color="auto"/>
        <w:bottom w:val="none" w:sz="0" w:space="0" w:color="auto"/>
        <w:right w:val="none" w:sz="0" w:space="0" w:color="auto"/>
      </w:divBdr>
    </w:div>
    <w:div w:id="734664186">
      <w:bodyDiv w:val="1"/>
      <w:marLeft w:val="0"/>
      <w:marRight w:val="0"/>
      <w:marTop w:val="0"/>
      <w:marBottom w:val="0"/>
      <w:divBdr>
        <w:top w:val="none" w:sz="0" w:space="0" w:color="auto"/>
        <w:left w:val="none" w:sz="0" w:space="0" w:color="auto"/>
        <w:bottom w:val="none" w:sz="0" w:space="0" w:color="auto"/>
        <w:right w:val="none" w:sz="0" w:space="0" w:color="auto"/>
      </w:divBdr>
    </w:div>
    <w:div w:id="734665008">
      <w:bodyDiv w:val="1"/>
      <w:marLeft w:val="0"/>
      <w:marRight w:val="0"/>
      <w:marTop w:val="0"/>
      <w:marBottom w:val="0"/>
      <w:divBdr>
        <w:top w:val="none" w:sz="0" w:space="0" w:color="auto"/>
        <w:left w:val="none" w:sz="0" w:space="0" w:color="auto"/>
        <w:bottom w:val="none" w:sz="0" w:space="0" w:color="auto"/>
        <w:right w:val="none" w:sz="0" w:space="0" w:color="auto"/>
      </w:divBdr>
    </w:div>
    <w:div w:id="734858916">
      <w:bodyDiv w:val="1"/>
      <w:marLeft w:val="0"/>
      <w:marRight w:val="0"/>
      <w:marTop w:val="0"/>
      <w:marBottom w:val="0"/>
      <w:divBdr>
        <w:top w:val="none" w:sz="0" w:space="0" w:color="auto"/>
        <w:left w:val="none" w:sz="0" w:space="0" w:color="auto"/>
        <w:bottom w:val="none" w:sz="0" w:space="0" w:color="auto"/>
        <w:right w:val="none" w:sz="0" w:space="0" w:color="auto"/>
      </w:divBdr>
    </w:div>
    <w:div w:id="734860571">
      <w:bodyDiv w:val="1"/>
      <w:marLeft w:val="0"/>
      <w:marRight w:val="0"/>
      <w:marTop w:val="0"/>
      <w:marBottom w:val="0"/>
      <w:divBdr>
        <w:top w:val="none" w:sz="0" w:space="0" w:color="auto"/>
        <w:left w:val="none" w:sz="0" w:space="0" w:color="auto"/>
        <w:bottom w:val="none" w:sz="0" w:space="0" w:color="auto"/>
        <w:right w:val="none" w:sz="0" w:space="0" w:color="auto"/>
      </w:divBdr>
    </w:div>
    <w:div w:id="735278768">
      <w:bodyDiv w:val="1"/>
      <w:marLeft w:val="0"/>
      <w:marRight w:val="0"/>
      <w:marTop w:val="0"/>
      <w:marBottom w:val="0"/>
      <w:divBdr>
        <w:top w:val="none" w:sz="0" w:space="0" w:color="auto"/>
        <w:left w:val="none" w:sz="0" w:space="0" w:color="auto"/>
        <w:bottom w:val="none" w:sz="0" w:space="0" w:color="auto"/>
        <w:right w:val="none" w:sz="0" w:space="0" w:color="auto"/>
      </w:divBdr>
    </w:div>
    <w:div w:id="735319280">
      <w:bodyDiv w:val="1"/>
      <w:marLeft w:val="0"/>
      <w:marRight w:val="0"/>
      <w:marTop w:val="0"/>
      <w:marBottom w:val="0"/>
      <w:divBdr>
        <w:top w:val="none" w:sz="0" w:space="0" w:color="auto"/>
        <w:left w:val="none" w:sz="0" w:space="0" w:color="auto"/>
        <w:bottom w:val="none" w:sz="0" w:space="0" w:color="auto"/>
        <w:right w:val="none" w:sz="0" w:space="0" w:color="auto"/>
      </w:divBdr>
    </w:div>
    <w:div w:id="735326750">
      <w:bodyDiv w:val="1"/>
      <w:marLeft w:val="0"/>
      <w:marRight w:val="0"/>
      <w:marTop w:val="0"/>
      <w:marBottom w:val="0"/>
      <w:divBdr>
        <w:top w:val="none" w:sz="0" w:space="0" w:color="auto"/>
        <w:left w:val="none" w:sz="0" w:space="0" w:color="auto"/>
        <w:bottom w:val="none" w:sz="0" w:space="0" w:color="auto"/>
        <w:right w:val="none" w:sz="0" w:space="0" w:color="auto"/>
      </w:divBdr>
    </w:div>
    <w:div w:id="735511224">
      <w:bodyDiv w:val="1"/>
      <w:marLeft w:val="0"/>
      <w:marRight w:val="0"/>
      <w:marTop w:val="0"/>
      <w:marBottom w:val="0"/>
      <w:divBdr>
        <w:top w:val="none" w:sz="0" w:space="0" w:color="auto"/>
        <w:left w:val="none" w:sz="0" w:space="0" w:color="auto"/>
        <w:bottom w:val="none" w:sz="0" w:space="0" w:color="auto"/>
        <w:right w:val="none" w:sz="0" w:space="0" w:color="auto"/>
      </w:divBdr>
    </w:div>
    <w:div w:id="735738344">
      <w:bodyDiv w:val="1"/>
      <w:marLeft w:val="0"/>
      <w:marRight w:val="0"/>
      <w:marTop w:val="0"/>
      <w:marBottom w:val="0"/>
      <w:divBdr>
        <w:top w:val="none" w:sz="0" w:space="0" w:color="auto"/>
        <w:left w:val="none" w:sz="0" w:space="0" w:color="auto"/>
        <w:bottom w:val="none" w:sz="0" w:space="0" w:color="auto"/>
        <w:right w:val="none" w:sz="0" w:space="0" w:color="auto"/>
      </w:divBdr>
    </w:div>
    <w:div w:id="735739259">
      <w:bodyDiv w:val="1"/>
      <w:marLeft w:val="0"/>
      <w:marRight w:val="0"/>
      <w:marTop w:val="0"/>
      <w:marBottom w:val="0"/>
      <w:divBdr>
        <w:top w:val="none" w:sz="0" w:space="0" w:color="auto"/>
        <w:left w:val="none" w:sz="0" w:space="0" w:color="auto"/>
        <w:bottom w:val="none" w:sz="0" w:space="0" w:color="auto"/>
        <w:right w:val="none" w:sz="0" w:space="0" w:color="auto"/>
      </w:divBdr>
    </w:div>
    <w:div w:id="735781049">
      <w:bodyDiv w:val="1"/>
      <w:marLeft w:val="0"/>
      <w:marRight w:val="0"/>
      <w:marTop w:val="0"/>
      <w:marBottom w:val="0"/>
      <w:divBdr>
        <w:top w:val="none" w:sz="0" w:space="0" w:color="auto"/>
        <w:left w:val="none" w:sz="0" w:space="0" w:color="auto"/>
        <w:bottom w:val="none" w:sz="0" w:space="0" w:color="auto"/>
        <w:right w:val="none" w:sz="0" w:space="0" w:color="auto"/>
      </w:divBdr>
    </w:div>
    <w:div w:id="735781338">
      <w:bodyDiv w:val="1"/>
      <w:marLeft w:val="0"/>
      <w:marRight w:val="0"/>
      <w:marTop w:val="0"/>
      <w:marBottom w:val="0"/>
      <w:divBdr>
        <w:top w:val="none" w:sz="0" w:space="0" w:color="auto"/>
        <w:left w:val="none" w:sz="0" w:space="0" w:color="auto"/>
        <w:bottom w:val="none" w:sz="0" w:space="0" w:color="auto"/>
        <w:right w:val="none" w:sz="0" w:space="0" w:color="auto"/>
      </w:divBdr>
    </w:div>
    <w:div w:id="735786409">
      <w:bodyDiv w:val="1"/>
      <w:marLeft w:val="0"/>
      <w:marRight w:val="0"/>
      <w:marTop w:val="0"/>
      <w:marBottom w:val="0"/>
      <w:divBdr>
        <w:top w:val="none" w:sz="0" w:space="0" w:color="auto"/>
        <w:left w:val="none" w:sz="0" w:space="0" w:color="auto"/>
        <w:bottom w:val="none" w:sz="0" w:space="0" w:color="auto"/>
        <w:right w:val="none" w:sz="0" w:space="0" w:color="auto"/>
      </w:divBdr>
    </w:div>
    <w:div w:id="735863937">
      <w:bodyDiv w:val="1"/>
      <w:marLeft w:val="0"/>
      <w:marRight w:val="0"/>
      <w:marTop w:val="0"/>
      <w:marBottom w:val="0"/>
      <w:divBdr>
        <w:top w:val="none" w:sz="0" w:space="0" w:color="auto"/>
        <w:left w:val="none" w:sz="0" w:space="0" w:color="auto"/>
        <w:bottom w:val="none" w:sz="0" w:space="0" w:color="auto"/>
        <w:right w:val="none" w:sz="0" w:space="0" w:color="auto"/>
      </w:divBdr>
    </w:div>
    <w:div w:id="735972768">
      <w:bodyDiv w:val="1"/>
      <w:marLeft w:val="0"/>
      <w:marRight w:val="0"/>
      <w:marTop w:val="0"/>
      <w:marBottom w:val="0"/>
      <w:divBdr>
        <w:top w:val="none" w:sz="0" w:space="0" w:color="auto"/>
        <w:left w:val="none" w:sz="0" w:space="0" w:color="auto"/>
        <w:bottom w:val="none" w:sz="0" w:space="0" w:color="auto"/>
        <w:right w:val="none" w:sz="0" w:space="0" w:color="auto"/>
      </w:divBdr>
    </w:div>
    <w:div w:id="736434755">
      <w:bodyDiv w:val="1"/>
      <w:marLeft w:val="0"/>
      <w:marRight w:val="0"/>
      <w:marTop w:val="0"/>
      <w:marBottom w:val="0"/>
      <w:divBdr>
        <w:top w:val="none" w:sz="0" w:space="0" w:color="auto"/>
        <w:left w:val="none" w:sz="0" w:space="0" w:color="auto"/>
        <w:bottom w:val="none" w:sz="0" w:space="0" w:color="auto"/>
        <w:right w:val="none" w:sz="0" w:space="0" w:color="auto"/>
      </w:divBdr>
    </w:div>
    <w:div w:id="736787854">
      <w:bodyDiv w:val="1"/>
      <w:marLeft w:val="0"/>
      <w:marRight w:val="0"/>
      <w:marTop w:val="0"/>
      <w:marBottom w:val="0"/>
      <w:divBdr>
        <w:top w:val="none" w:sz="0" w:space="0" w:color="auto"/>
        <w:left w:val="none" w:sz="0" w:space="0" w:color="auto"/>
        <w:bottom w:val="none" w:sz="0" w:space="0" w:color="auto"/>
        <w:right w:val="none" w:sz="0" w:space="0" w:color="auto"/>
      </w:divBdr>
    </w:div>
    <w:div w:id="736976240">
      <w:bodyDiv w:val="1"/>
      <w:marLeft w:val="0"/>
      <w:marRight w:val="0"/>
      <w:marTop w:val="0"/>
      <w:marBottom w:val="0"/>
      <w:divBdr>
        <w:top w:val="none" w:sz="0" w:space="0" w:color="auto"/>
        <w:left w:val="none" w:sz="0" w:space="0" w:color="auto"/>
        <w:bottom w:val="none" w:sz="0" w:space="0" w:color="auto"/>
        <w:right w:val="none" w:sz="0" w:space="0" w:color="auto"/>
      </w:divBdr>
    </w:div>
    <w:div w:id="736977353">
      <w:bodyDiv w:val="1"/>
      <w:marLeft w:val="0"/>
      <w:marRight w:val="0"/>
      <w:marTop w:val="0"/>
      <w:marBottom w:val="0"/>
      <w:divBdr>
        <w:top w:val="none" w:sz="0" w:space="0" w:color="auto"/>
        <w:left w:val="none" w:sz="0" w:space="0" w:color="auto"/>
        <w:bottom w:val="none" w:sz="0" w:space="0" w:color="auto"/>
        <w:right w:val="none" w:sz="0" w:space="0" w:color="auto"/>
      </w:divBdr>
    </w:div>
    <w:div w:id="737167727">
      <w:bodyDiv w:val="1"/>
      <w:marLeft w:val="0"/>
      <w:marRight w:val="0"/>
      <w:marTop w:val="0"/>
      <w:marBottom w:val="0"/>
      <w:divBdr>
        <w:top w:val="none" w:sz="0" w:space="0" w:color="auto"/>
        <w:left w:val="none" w:sz="0" w:space="0" w:color="auto"/>
        <w:bottom w:val="none" w:sz="0" w:space="0" w:color="auto"/>
        <w:right w:val="none" w:sz="0" w:space="0" w:color="auto"/>
      </w:divBdr>
    </w:div>
    <w:div w:id="737172026">
      <w:bodyDiv w:val="1"/>
      <w:marLeft w:val="0"/>
      <w:marRight w:val="0"/>
      <w:marTop w:val="0"/>
      <w:marBottom w:val="0"/>
      <w:divBdr>
        <w:top w:val="none" w:sz="0" w:space="0" w:color="auto"/>
        <w:left w:val="none" w:sz="0" w:space="0" w:color="auto"/>
        <w:bottom w:val="none" w:sz="0" w:space="0" w:color="auto"/>
        <w:right w:val="none" w:sz="0" w:space="0" w:color="auto"/>
      </w:divBdr>
    </w:div>
    <w:div w:id="737243781">
      <w:bodyDiv w:val="1"/>
      <w:marLeft w:val="0"/>
      <w:marRight w:val="0"/>
      <w:marTop w:val="0"/>
      <w:marBottom w:val="0"/>
      <w:divBdr>
        <w:top w:val="none" w:sz="0" w:space="0" w:color="auto"/>
        <w:left w:val="none" w:sz="0" w:space="0" w:color="auto"/>
        <w:bottom w:val="none" w:sz="0" w:space="0" w:color="auto"/>
        <w:right w:val="none" w:sz="0" w:space="0" w:color="auto"/>
      </w:divBdr>
    </w:div>
    <w:div w:id="737366736">
      <w:bodyDiv w:val="1"/>
      <w:marLeft w:val="0"/>
      <w:marRight w:val="0"/>
      <w:marTop w:val="0"/>
      <w:marBottom w:val="0"/>
      <w:divBdr>
        <w:top w:val="none" w:sz="0" w:space="0" w:color="auto"/>
        <w:left w:val="none" w:sz="0" w:space="0" w:color="auto"/>
        <w:bottom w:val="none" w:sz="0" w:space="0" w:color="auto"/>
        <w:right w:val="none" w:sz="0" w:space="0" w:color="auto"/>
      </w:divBdr>
    </w:div>
    <w:div w:id="737476674">
      <w:bodyDiv w:val="1"/>
      <w:marLeft w:val="0"/>
      <w:marRight w:val="0"/>
      <w:marTop w:val="0"/>
      <w:marBottom w:val="0"/>
      <w:divBdr>
        <w:top w:val="none" w:sz="0" w:space="0" w:color="auto"/>
        <w:left w:val="none" w:sz="0" w:space="0" w:color="auto"/>
        <w:bottom w:val="none" w:sz="0" w:space="0" w:color="auto"/>
        <w:right w:val="none" w:sz="0" w:space="0" w:color="auto"/>
      </w:divBdr>
    </w:div>
    <w:div w:id="737480252">
      <w:bodyDiv w:val="1"/>
      <w:marLeft w:val="0"/>
      <w:marRight w:val="0"/>
      <w:marTop w:val="0"/>
      <w:marBottom w:val="0"/>
      <w:divBdr>
        <w:top w:val="none" w:sz="0" w:space="0" w:color="auto"/>
        <w:left w:val="none" w:sz="0" w:space="0" w:color="auto"/>
        <w:bottom w:val="none" w:sz="0" w:space="0" w:color="auto"/>
        <w:right w:val="none" w:sz="0" w:space="0" w:color="auto"/>
      </w:divBdr>
    </w:div>
    <w:div w:id="737677542">
      <w:bodyDiv w:val="1"/>
      <w:marLeft w:val="0"/>
      <w:marRight w:val="0"/>
      <w:marTop w:val="0"/>
      <w:marBottom w:val="0"/>
      <w:divBdr>
        <w:top w:val="none" w:sz="0" w:space="0" w:color="auto"/>
        <w:left w:val="none" w:sz="0" w:space="0" w:color="auto"/>
        <w:bottom w:val="none" w:sz="0" w:space="0" w:color="auto"/>
        <w:right w:val="none" w:sz="0" w:space="0" w:color="auto"/>
      </w:divBdr>
    </w:div>
    <w:div w:id="737753958">
      <w:bodyDiv w:val="1"/>
      <w:marLeft w:val="0"/>
      <w:marRight w:val="0"/>
      <w:marTop w:val="0"/>
      <w:marBottom w:val="0"/>
      <w:divBdr>
        <w:top w:val="none" w:sz="0" w:space="0" w:color="auto"/>
        <w:left w:val="none" w:sz="0" w:space="0" w:color="auto"/>
        <w:bottom w:val="none" w:sz="0" w:space="0" w:color="auto"/>
        <w:right w:val="none" w:sz="0" w:space="0" w:color="auto"/>
      </w:divBdr>
    </w:div>
    <w:div w:id="737939793">
      <w:bodyDiv w:val="1"/>
      <w:marLeft w:val="0"/>
      <w:marRight w:val="0"/>
      <w:marTop w:val="0"/>
      <w:marBottom w:val="0"/>
      <w:divBdr>
        <w:top w:val="none" w:sz="0" w:space="0" w:color="auto"/>
        <w:left w:val="none" w:sz="0" w:space="0" w:color="auto"/>
        <w:bottom w:val="none" w:sz="0" w:space="0" w:color="auto"/>
        <w:right w:val="none" w:sz="0" w:space="0" w:color="auto"/>
      </w:divBdr>
    </w:div>
    <w:div w:id="738017188">
      <w:bodyDiv w:val="1"/>
      <w:marLeft w:val="0"/>
      <w:marRight w:val="0"/>
      <w:marTop w:val="0"/>
      <w:marBottom w:val="0"/>
      <w:divBdr>
        <w:top w:val="none" w:sz="0" w:space="0" w:color="auto"/>
        <w:left w:val="none" w:sz="0" w:space="0" w:color="auto"/>
        <w:bottom w:val="none" w:sz="0" w:space="0" w:color="auto"/>
        <w:right w:val="none" w:sz="0" w:space="0" w:color="auto"/>
      </w:divBdr>
    </w:div>
    <w:div w:id="738023269">
      <w:bodyDiv w:val="1"/>
      <w:marLeft w:val="0"/>
      <w:marRight w:val="0"/>
      <w:marTop w:val="0"/>
      <w:marBottom w:val="0"/>
      <w:divBdr>
        <w:top w:val="none" w:sz="0" w:space="0" w:color="auto"/>
        <w:left w:val="none" w:sz="0" w:space="0" w:color="auto"/>
        <w:bottom w:val="none" w:sz="0" w:space="0" w:color="auto"/>
        <w:right w:val="none" w:sz="0" w:space="0" w:color="auto"/>
      </w:divBdr>
    </w:div>
    <w:div w:id="738209746">
      <w:bodyDiv w:val="1"/>
      <w:marLeft w:val="0"/>
      <w:marRight w:val="0"/>
      <w:marTop w:val="0"/>
      <w:marBottom w:val="0"/>
      <w:divBdr>
        <w:top w:val="none" w:sz="0" w:space="0" w:color="auto"/>
        <w:left w:val="none" w:sz="0" w:space="0" w:color="auto"/>
        <w:bottom w:val="none" w:sz="0" w:space="0" w:color="auto"/>
        <w:right w:val="none" w:sz="0" w:space="0" w:color="auto"/>
      </w:divBdr>
    </w:div>
    <w:div w:id="738286472">
      <w:bodyDiv w:val="1"/>
      <w:marLeft w:val="0"/>
      <w:marRight w:val="0"/>
      <w:marTop w:val="0"/>
      <w:marBottom w:val="0"/>
      <w:divBdr>
        <w:top w:val="none" w:sz="0" w:space="0" w:color="auto"/>
        <w:left w:val="none" w:sz="0" w:space="0" w:color="auto"/>
        <w:bottom w:val="none" w:sz="0" w:space="0" w:color="auto"/>
        <w:right w:val="none" w:sz="0" w:space="0" w:color="auto"/>
      </w:divBdr>
    </w:div>
    <w:div w:id="738401039">
      <w:bodyDiv w:val="1"/>
      <w:marLeft w:val="0"/>
      <w:marRight w:val="0"/>
      <w:marTop w:val="0"/>
      <w:marBottom w:val="0"/>
      <w:divBdr>
        <w:top w:val="none" w:sz="0" w:space="0" w:color="auto"/>
        <w:left w:val="none" w:sz="0" w:space="0" w:color="auto"/>
        <w:bottom w:val="none" w:sz="0" w:space="0" w:color="auto"/>
        <w:right w:val="none" w:sz="0" w:space="0" w:color="auto"/>
      </w:divBdr>
    </w:div>
    <w:div w:id="738598948">
      <w:bodyDiv w:val="1"/>
      <w:marLeft w:val="0"/>
      <w:marRight w:val="0"/>
      <w:marTop w:val="0"/>
      <w:marBottom w:val="0"/>
      <w:divBdr>
        <w:top w:val="none" w:sz="0" w:space="0" w:color="auto"/>
        <w:left w:val="none" w:sz="0" w:space="0" w:color="auto"/>
        <w:bottom w:val="none" w:sz="0" w:space="0" w:color="auto"/>
        <w:right w:val="none" w:sz="0" w:space="0" w:color="auto"/>
      </w:divBdr>
    </w:div>
    <w:div w:id="738600716">
      <w:bodyDiv w:val="1"/>
      <w:marLeft w:val="0"/>
      <w:marRight w:val="0"/>
      <w:marTop w:val="0"/>
      <w:marBottom w:val="0"/>
      <w:divBdr>
        <w:top w:val="none" w:sz="0" w:space="0" w:color="auto"/>
        <w:left w:val="none" w:sz="0" w:space="0" w:color="auto"/>
        <w:bottom w:val="none" w:sz="0" w:space="0" w:color="auto"/>
        <w:right w:val="none" w:sz="0" w:space="0" w:color="auto"/>
      </w:divBdr>
    </w:div>
    <w:div w:id="738671757">
      <w:bodyDiv w:val="1"/>
      <w:marLeft w:val="0"/>
      <w:marRight w:val="0"/>
      <w:marTop w:val="0"/>
      <w:marBottom w:val="0"/>
      <w:divBdr>
        <w:top w:val="none" w:sz="0" w:space="0" w:color="auto"/>
        <w:left w:val="none" w:sz="0" w:space="0" w:color="auto"/>
        <w:bottom w:val="none" w:sz="0" w:space="0" w:color="auto"/>
        <w:right w:val="none" w:sz="0" w:space="0" w:color="auto"/>
      </w:divBdr>
    </w:div>
    <w:div w:id="738744753">
      <w:bodyDiv w:val="1"/>
      <w:marLeft w:val="0"/>
      <w:marRight w:val="0"/>
      <w:marTop w:val="0"/>
      <w:marBottom w:val="0"/>
      <w:divBdr>
        <w:top w:val="none" w:sz="0" w:space="0" w:color="auto"/>
        <w:left w:val="none" w:sz="0" w:space="0" w:color="auto"/>
        <w:bottom w:val="none" w:sz="0" w:space="0" w:color="auto"/>
        <w:right w:val="none" w:sz="0" w:space="0" w:color="auto"/>
      </w:divBdr>
    </w:div>
    <w:div w:id="738792883">
      <w:bodyDiv w:val="1"/>
      <w:marLeft w:val="0"/>
      <w:marRight w:val="0"/>
      <w:marTop w:val="0"/>
      <w:marBottom w:val="0"/>
      <w:divBdr>
        <w:top w:val="none" w:sz="0" w:space="0" w:color="auto"/>
        <w:left w:val="none" w:sz="0" w:space="0" w:color="auto"/>
        <w:bottom w:val="none" w:sz="0" w:space="0" w:color="auto"/>
        <w:right w:val="none" w:sz="0" w:space="0" w:color="auto"/>
      </w:divBdr>
    </w:div>
    <w:div w:id="739132158">
      <w:bodyDiv w:val="1"/>
      <w:marLeft w:val="0"/>
      <w:marRight w:val="0"/>
      <w:marTop w:val="0"/>
      <w:marBottom w:val="0"/>
      <w:divBdr>
        <w:top w:val="none" w:sz="0" w:space="0" w:color="auto"/>
        <w:left w:val="none" w:sz="0" w:space="0" w:color="auto"/>
        <w:bottom w:val="none" w:sz="0" w:space="0" w:color="auto"/>
        <w:right w:val="none" w:sz="0" w:space="0" w:color="auto"/>
      </w:divBdr>
    </w:div>
    <w:div w:id="739331379">
      <w:bodyDiv w:val="1"/>
      <w:marLeft w:val="0"/>
      <w:marRight w:val="0"/>
      <w:marTop w:val="0"/>
      <w:marBottom w:val="0"/>
      <w:divBdr>
        <w:top w:val="none" w:sz="0" w:space="0" w:color="auto"/>
        <w:left w:val="none" w:sz="0" w:space="0" w:color="auto"/>
        <w:bottom w:val="none" w:sz="0" w:space="0" w:color="auto"/>
        <w:right w:val="none" w:sz="0" w:space="0" w:color="auto"/>
      </w:divBdr>
    </w:div>
    <w:div w:id="739522502">
      <w:bodyDiv w:val="1"/>
      <w:marLeft w:val="0"/>
      <w:marRight w:val="0"/>
      <w:marTop w:val="0"/>
      <w:marBottom w:val="0"/>
      <w:divBdr>
        <w:top w:val="none" w:sz="0" w:space="0" w:color="auto"/>
        <w:left w:val="none" w:sz="0" w:space="0" w:color="auto"/>
        <w:bottom w:val="none" w:sz="0" w:space="0" w:color="auto"/>
        <w:right w:val="none" w:sz="0" w:space="0" w:color="auto"/>
      </w:divBdr>
    </w:div>
    <w:div w:id="739593012">
      <w:bodyDiv w:val="1"/>
      <w:marLeft w:val="0"/>
      <w:marRight w:val="0"/>
      <w:marTop w:val="0"/>
      <w:marBottom w:val="0"/>
      <w:divBdr>
        <w:top w:val="none" w:sz="0" w:space="0" w:color="auto"/>
        <w:left w:val="none" w:sz="0" w:space="0" w:color="auto"/>
        <w:bottom w:val="none" w:sz="0" w:space="0" w:color="auto"/>
        <w:right w:val="none" w:sz="0" w:space="0" w:color="auto"/>
      </w:divBdr>
    </w:div>
    <w:div w:id="739641873">
      <w:bodyDiv w:val="1"/>
      <w:marLeft w:val="0"/>
      <w:marRight w:val="0"/>
      <w:marTop w:val="0"/>
      <w:marBottom w:val="0"/>
      <w:divBdr>
        <w:top w:val="none" w:sz="0" w:space="0" w:color="auto"/>
        <w:left w:val="none" w:sz="0" w:space="0" w:color="auto"/>
        <w:bottom w:val="none" w:sz="0" w:space="0" w:color="auto"/>
        <w:right w:val="none" w:sz="0" w:space="0" w:color="auto"/>
      </w:divBdr>
    </w:div>
    <w:div w:id="739668752">
      <w:bodyDiv w:val="1"/>
      <w:marLeft w:val="0"/>
      <w:marRight w:val="0"/>
      <w:marTop w:val="0"/>
      <w:marBottom w:val="0"/>
      <w:divBdr>
        <w:top w:val="none" w:sz="0" w:space="0" w:color="auto"/>
        <w:left w:val="none" w:sz="0" w:space="0" w:color="auto"/>
        <w:bottom w:val="none" w:sz="0" w:space="0" w:color="auto"/>
        <w:right w:val="none" w:sz="0" w:space="0" w:color="auto"/>
      </w:divBdr>
    </w:div>
    <w:div w:id="739862142">
      <w:bodyDiv w:val="1"/>
      <w:marLeft w:val="0"/>
      <w:marRight w:val="0"/>
      <w:marTop w:val="0"/>
      <w:marBottom w:val="0"/>
      <w:divBdr>
        <w:top w:val="none" w:sz="0" w:space="0" w:color="auto"/>
        <w:left w:val="none" w:sz="0" w:space="0" w:color="auto"/>
        <w:bottom w:val="none" w:sz="0" w:space="0" w:color="auto"/>
        <w:right w:val="none" w:sz="0" w:space="0" w:color="auto"/>
      </w:divBdr>
    </w:div>
    <w:div w:id="739865625">
      <w:bodyDiv w:val="1"/>
      <w:marLeft w:val="0"/>
      <w:marRight w:val="0"/>
      <w:marTop w:val="0"/>
      <w:marBottom w:val="0"/>
      <w:divBdr>
        <w:top w:val="none" w:sz="0" w:space="0" w:color="auto"/>
        <w:left w:val="none" w:sz="0" w:space="0" w:color="auto"/>
        <w:bottom w:val="none" w:sz="0" w:space="0" w:color="auto"/>
        <w:right w:val="none" w:sz="0" w:space="0" w:color="auto"/>
      </w:divBdr>
    </w:div>
    <w:div w:id="739867587">
      <w:bodyDiv w:val="1"/>
      <w:marLeft w:val="0"/>
      <w:marRight w:val="0"/>
      <w:marTop w:val="0"/>
      <w:marBottom w:val="0"/>
      <w:divBdr>
        <w:top w:val="none" w:sz="0" w:space="0" w:color="auto"/>
        <w:left w:val="none" w:sz="0" w:space="0" w:color="auto"/>
        <w:bottom w:val="none" w:sz="0" w:space="0" w:color="auto"/>
        <w:right w:val="none" w:sz="0" w:space="0" w:color="auto"/>
      </w:divBdr>
    </w:div>
    <w:div w:id="739905243">
      <w:bodyDiv w:val="1"/>
      <w:marLeft w:val="0"/>
      <w:marRight w:val="0"/>
      <w:marTop w:val="0"/>
      <w:marBottom w:val="0"/>
      <w:divBdr>
        <w:top w:val="none" w:sz="0" w:space="0" w:color="auto"/>
        <w:left w:val="none" w:sz="0" w:space="0" w:color="auto"/>
        <w:bottom w:val="none" w:sz="0" w:space="0" w:color="auto"/>
        <w:right w:val="none" w:sz="0" w:space="0" w:color="auto"/>
      </w:divBdr>
    </w:div>
    <w:div w:id="739987968">
      <w:bodyDiv w:val="1"/>
      <w:marLeft w:val="0"/>
      <w:marRight w:val="0"/>
      <w:marTop w:val="0"/>
      <w:marBottom w:val="0"/>
      <w:divBdr>
        <w:top w:val="none" w:sz="0" w:space="0" w:color="auto"/>
        <w:left w:val="none" w:sz="0" w:space="0" w:color="auto"/>
        <w:bottom w:val="none" w:sz="0" w:space="0" w:color="auto"/>
        <w:right w:val="none" w:sz="0" w:space="0" w:color="auto"/>
      </w:divBdr>
    </w:div>
    <w:div w:id="739988696">
      <w:bodyDiv w:val="1"/>
      <w:marLeft w:val="0"/>
      <w:marRight w:val="0"/>
      <w:marTop w:val="0"/>
      <w:marBottom w:val="0"/>
      <w:divBdr>
        <w:top w:val="none" w:sz="0" w:space="0" w:color="auto"/>
        <w:left w:val="none" w:sz="0" w:space="0" w:color="auto"/>
        <w:bottom w:val="none" w:sz="0" w:space="0" w:color="auto"/>
        <w:right w:val="none" w:sz="0" w:space="0" w:color="auto"/>
      </w:divBdr>
    </w:div>
    <w:div w:id="740063662">
      <w:bodyDiv w:val="1"/>
      <w:marLeft w:val="0"/>
      <w:marRight w:val="0"/>
      <w:marTop w:val="0"/>
      <w:marBottom w:val="0"/>
      <w:divBdr>
        <w:top w:val="none" w:sz="0" w:space="0" w:color="auto"/>
        <w:left w:val="none" w:sz="0" w:space="0" w:color="auto"/>
        <w:bottom w:val="none" w:sz="0" w:space="0" w:color="auto"/>
        <w:right w:val="none" w:sz="0" w:space="0" w:color="auto"/>
      </w:divBdr>
    </w:div>
    <w:div w:id="740445076">
      <w:bodyDiv w:val="1"/>
      <w:marLeft w:val="0"/>
      <w:marRight w:val="0"/>
      <w:marTop w:val="0"/>
      <w:marBottom w:val="0"/>
      <w:divBdr>
        <w:top w:val="none" w:sz="0" w:space="0" w:color="auto"/>
        <w:left w:val="none" w:sz="0" w:space="0" w:color="auto"/>
        <w:bottom w:val="none" w:sz="0" w:space="0" w:color="auto"/>
        <w:right w:val="none" w:sz="0" w:space="0" w:color="auto"/>
      </w:divBdr>
    </w:div>
    <w:div w:id="740493256">
      <w:bodyDiv w:val="1"/>
      <w:marLeft w:val="0"/>
      <w:marRight w:val="0"/>
      <w:marTop w:val="0"/>
      <w:marBottom w:val="0"/>
      <w:divBdr>
        <w:top w:val="none" w:sz="0" w:space="0" w:color="auto"/>
        <w:left w:val="none" w:sz="0" w:space="0" w:color="auto"/>
        <w:bottom w:val="none" w:sz="0" w:space="0" w:color="auto"/>
        <w:right w:val="none" w:sz="0" w:space="0" w:color="auto"/>
      </w:divBdr>
    </w:div>
    <w:div w:id="740832610">
      <w:bodyDiv w:val="1"/>
      <w:marLeft w:val="0"/>
      <w:marRight w:val="0"/>
      <w:marTop w:val="0"/>
      <w:marBottom w:val="0"/>
      <w:divBdr>
        <w:top w:val="none" w:sz="0" w:space="0" w:color="auto"/>
        <w:left w:val="none" w:sz="0" w:space="0" w:color="auto"/>
        <w:bottom w:val="none" w:sz="0" w:space="0" w:color="auto"/>
        <w:right w:val="none" w:sz="0" w:space="0" w:color="auto"/>
      </w:divBdr>
    </w:div>
    <w:div w:id="740835734">
      <w:bodyDiv w:val="1"/>
      <w:marLeft w:val="0"/>
      <w:marRight w:val="0"/>
      <w:marTop w:val="0"/>
      <w:marBottom w:val="0"/>
      <w:divBdr>
        <w:top w:val="none" w:sz="0" w:space="0" w:color="auto"/>
        <w:left w:val="none" w:sz="0" w:space="0" w:color="auto"/>
        <w:bottom w:val="none" w:sz="0" w:space="0" w:color="auto"/>
        <w:right w:val="none" w:sz="0" w:space="0" w:color="auto"/>
      </w:divBdr>
    </w:div>
    <w:div w:id="741021360">
      <w:bodyDiv w:val="1"/>
      <w:marLeft w:val="0"/>
      <w:marRight w:val="0"/>
      <w:marTop w:val="0"/>
      <w:marBottom w:val="0"/>
      <w:divBdr>
        <w:top w:val="none" w:sz="0" w:space="0" w:color="auto"/>
        <w:left w:val="none" w:sz="0" w:space="0" w:color="auto"/>
        <w:bottom w:val="none" w:sz="0" w:space="0" w:color="auto"/>
        <w:right w:val="none" w:sz="0" w:space="0" w:color="auto"/>
      </w:divBdr>
    </w:div>
    <w:div w:id="741293039">
      <w:bodyDiv w:val="1"/>
      <w:marLeft w:val="0"/>
      <w:marRight w:val="0"/>
      <w:marTop w:val="0"/>
      <w:marBottom w:val="0"/>
      <w:divBdr>
        <w:top w:val="none" w:sz="0" w:space="0" w:color="auto"/>
        <w:left w:val="none" w:sz="0" w:space="0" w:color="auto"/>
        <w:bottom w:val="none" w:sz="0" w:space="0" w:color="auto"/>
        <w:right w:val="none" w:sz="0" w:space="0" w:color="auto"/>
      </w:divBdr>
    </w:div>
    <w:div w:id="741485535">
      <w:bodyDiv w:val="1"/>
      <w:marLeft w:val="0"/>
      <w:marRight w:val="0"/>
      <w:marTop w:val="0"/>
      <w:marBottom w:val="0"/>
      <w:divBdr>
        <w:top w:val="none" w:sz="0" w:space="0" w:color="auto"/>
        <w:left w:val="none" w:sz="0" w:space="0" w:color="auto"/>
        <w:bottom w:val="none" w:sz="0" w:space="0" w:color="auto"/>
        <w:right w:val="none" w:sz="0" w:space="0" w:color="auto"/>
      </w:divBdr>
    </w:div>
    <w:div w:id="741559985">
      <w:bodyDiv w:val="1"/>
      <w:marLeft w:val="0"/>
      <w:marRight w:val="0"/>
      <w:marTop w:val="0"/>
      <w:marBottom w:val="0"/>
      <w:divBdr>
        <w:top w:val="none" w:sz="0" w:space="0" w:color="auto"/>
        <w:left w:val="none" w:sz="0" w:space="0" w:color="auto"/>
        <w:bottom w:val="none" w:sz="0" w:space="0" w:color="auto"/>
        <w:right w:val="none" w:sz="0" w:space="0" w:color="auto"/>
      </w:divBdr>
    </w:div>
    <w:div w:id="741564918">
      <w:bodyDiv w:val="1"/>
      <w:marLeft w:val="0"/>
      <w:marRight w:val="0"/>
      <w:marTop w:val="0"/>
      <w:marBottom w:val="0"/>
      <w:divBdr>
        <w:top w:val="none" w:sz="0" w:space="0" w:color="auto"/>
        <w:left w:val="none" w:sz="0" w:space="0" w:color="auto"/>
        <w:bottom w:val="none" w:sz="0" w:space="0" w:color="auto"/>
        <w:right w:val="none" w:sz="0" w:space="0" w:color="auto"/>
      </w:divBdr>
    </w:div>
    <w:div w:id="741565159">
      <w:bodyDiv w:val="1"/>
      <w:marLeft w:val="0"/>
      <w:marRight w:val="0"/>
      <w:marTop w:val="0"/>
      <w:marBottom w:val="0"/>
      <w:divBdr>
        <w:top w:val="none" w:sz="0" w:space="0" w:color="auto"/>
        <w:left w:val="none" w:sz="0" w:space="0" w:color="auto"/>
        <w:bottom w:val="none" w:sz="0" w:space="0" w:color="auto"/>
        <w:right w:val="none" w:sz="0" w:space="0" w:color="auto"/>
      </w:divBdr>
    </w:div>
    <w:div w:id="741636271">
      <w:bodyDiv w:val="1"/>
      <w:marLeft w:val="0"/>
      <w:marRight w:val="0"/>
      <w:marTop w:val="0"/>
      <w:marBottom w:val="0"/>
      <w:divBdr>
        <w:top w:val="none" w:sz="0" w:space="0" w:color="auto"/>
        <w:left w:val="none" w:sz="0" w:space="0" w:color="auto"/>
        <w:bottom w:val="none" w:sz="0" w:space="0" w:color="auto"/>
        <w:right w:val="none" w:sz="0" w:space="0" w:color="auto"/>
      </w:divBdr>
    </w:div>
    <w:div w:id="741680993">
      <w:bodyDiv w:val="1"/>
      <w:marLeft w:val="0"/>
      <w:marRight w:val="0"/>
      <w:marTop w:val="0"/>
      <w:marBottom w:val="0"/>
      <w:divBdr>
        <w:top w:val="none" w:sz="0" w:space="0" w:color="auto"/>
        <w:left w:val="none" w:sz="0" w:space="0" w:color="auto"/>
        <w:bottom w:val="none" w:sz="0" w:space="0" w:color="auto"/>
        <w:right w:val="none" w:sz="0" w:space="0" w:color="auto"/>
      </w:divBdr>
    </w:div>
    <w:div w:id="741802038">
      <w:bodyDiv w:val="1"/>
      <w:marLeft w:val="0"/>
      <w:marRight w:val="0"/>
      <w:marTop w:val="0"/>
      <w:marBottom w:val="0"/>
      <w:divBdr>
        <w:top w:val="none" w:sz="0" w:space="0" w:color="auto"/>
        <w:left w:val="none" w:sz="0" w:space="0" w:color="auto"/>
        <w:bottom w:val="none" w:sz="0" w:space="0" w:color="auto"/>
        <w:right w:val="none" w:sz="0" w:space="0" w:color="auto"/>
      </w:divBdr>
    </w:div>
    <w:div w:id="741953707">
      <w:bodyDiv w:val="1"/>
      <w:marLeft w:val="0"/>
      <w:marRight w:val="0"/>
      <w:marTop w:val="0"/>
      <w:marBottom w:val="0"/>
      <w:divBdr>
        <w:top w:val="none" w:sz="0" w:space="0" w:color="auto"/>
        <w:left w:val="none" w:sz="0" w:space="0" w:color="auto"/>
        <w:bottom w:val="none" w:sz="0" w:space="0" w:color="auto"/>
        <w:right w:val="none" w:sz="0" w:space="0" w:color="auto"/>
      </w:divBdr>
    </w:div>
    <w:div w:id="742027666">
      <w:bodyDiv w:val="1"/>
      <w:marLeft w:val="0"/>
      <w:marRight w:val="0"/>
      <w:marTop w:val="0"/>
      <w:marBottom w:val="0"/>
      <w:divBdr>
        <w:top w:val="none" w:sz="0" w:space="0" w:color="auto"/>
        <w:left w:val="none" w:sz="0" w:space="0" w:color="auto"/>
        <w:bottom w:val="none" w:sz="0" w:space="0" w:color="auto"/>
        <w:right w:val="none" w:sz="0" w:space="0" w:color="auto"/>
      </w:divBdr>
    </w:div>
    <w:div w:id="742215617">
      <w:bodyDiv w:val="1"/>
      <w:marLeft w:val="0"/>
      <w:marRight w:val="0"/>
      <w:marTop w:val="0"/>
      <w:marBottom w:val="0"/>
      <w:divBdr>
        <w:top w:val="none" w:sz="0" w:space="0" w:color="auto"/>
        <w:left w:val="none" w:sz="0" w:space="0" w:color="auto"/>
        <w:bottom w:val="none" w:sz="0" w:space="0" w:color="auto"/>
        <w:right w:val="none" w:sz="0" w:space="0" w:color="auto"/>
      </w:divBdr>
    </w:div>
    <w:div w:id="742332882">
      <w:bodyDiv w:val="1"/>
      <w:marLeft w:val="0"/>
      <w:marRight w:val="0"/>
      <w:marTop w:val="0"/>
      <w:marBottom w:val="0"/>
      <w:divBdr>
        <w:top w:val="none" w:sz="0" w:space="0" w:color="auto"/>
        <w:left w:val="none" w:sz="0" w:space="0" w:color="auto"/>
        <w:bottom w:val="none" w:sz="0" w:space="0" w:color="auto"/>
        <w:right w:val="none" w:sz="0" w:space="0" w:color="auto"/>
      </w:divBdr>
    </w:div>
    <w:div w:id="742409129">
      <w:bodyDiv w:val="1"/>
      <w:marLeft w:val="0"/>
      <w:marRight w:val="0"/>
      <w:marTop w:val="0"/>
      <w:marBottom w:val="0"/>
      <w:divBdr>
        <w:top w:val="none" w:sz="0" w:space="0" w:color="auto"/>
        <w:left w:val="none" w:sz="0" w:space="0" w:color="auto"/>
        <w:bottom w:val="none" w:sz="0" w:space="0" w:color="auto"/>
        <w:right w:val="none" w:sz="0" w:space="0" w:color="auto"/>
      </w:divBdr>
    </w:div>
    <w:div w:id="742416554">
      <w:bodyDiv w:val="1"/>
      <w:marLeft w:val="0"/>
      <w:marRight w:val="0"/>
      <w:marTop w:val="0"/>
      <w:marBottom w:val="0"/>
      <w:divBdr>
        <w:top w:val="none" w:sz="0" w:space="0" w:color="auto"/>
        <w:left w:val="none" w:sz="0" w:space="0" w:color="auto"/>
        <w:bottom w:val="none" w:sz="0" w:space="0" w:color="auto"/>
        <w:right w:val="none" w:sz="0" w:space="0" w:color="auto"/>
      </w:divBdr>
    </w:div>
    <w:div w:id="742724756">
      <w:bodyDiv w:val="1"/>
      <w:marLeft w:val="0"/>
      <w:marRight w:val="0"/>
      <w:marTop w:val="0"/>
      <w:marBottom w:val="0"/>
      <w:divBdr>
        <w:top w:val="none" w:sz="0" w:space="0" w:color="auto"/>
        <w:left w:val="none" w:sz="0" w:space="0" w:color="auto"/>
        <w:bottom w:val="none" w:sz="0" w:space="0" w:color="auto"/>
        <w:right w:val="none" w:sz="0" w:space="0" w:color="auto"/>
      </w:divBdr>
    </w:div>
    <w:div w:id="742875464">
      <w:bodyDiv w:val="1"/>
      <w:marLeft w:val="0"/>
      <w:marRight w:val="0"/>
      <w:marTop w:val="0"/>
      <w:marBottom w:val="0"/>
      <w:divBdr>
        <w:top w:val="none" w:sz="0" w:space="0" w:color="auto"/>
        <w:left w:val="none" w:sz="0" w:space="0" w:color="auto"/>
        <w:bottom w:val="none" w:sz="0" w:space="0" w:color="auto"/>
        <w:right w:val="none" w:sz="0" w:space="0" w:color="auto"/>
      </w:divBdr>
    </w:div>
    <w:div w:id="742917743">
      <w:bodyDiv w:val="1"/>
      <w:marLeft w:val="0"/>
      <w:marRight w:val="0"/>
      <w:marTop w:val="0"/>
      <w:marBottom w:val="0"/>
      <w:divBdr>
        <w:top w:val="none" w:sz="0" w:space="0" w:color="auto"/>
        <w:left w:val="none" w:sz="0" w:space="0" w:color="auto"/>
        <w:bottom w:val="none" w:sz="0" w:space="0" w:color="auto"/>
        <w:right w:val="none" w:sz="0" w:space="0" w:color="auto"/>
      </w:divBdr>
    </w:div>
    <w:div w:id="742991677">
      <w:bodyDiv w:val="1"/>
      <w:marLeft w:val="0"/>
      <w:marRight w:val="0"/>
      <w:marTop w:val="0"/>
      <w:marBottom w:val="0"/>
      <w:divBdr>
        <w:top w:val="none" w:sz="0" w:space="0" w:color="auto"/>
        <w:left w:val="none" w:sz="0" w:space="0" w:color="auto"/>
        <w:bottom w:val="none" w:sz="0" w:space="0" w:color="auto"/>
        <w:right w:val="none" w:sz="0" w:space="0" w:color="auto"/>
      </w:divBdr>
    </w:div>
    <w:div w:id="742994776">
      <w:bodyDiv w:val="1"/>
      <w:marLeft w:val="0"/>
      <w:marRight w:val="0"/>
      <w:marTop w:val="0"/>
      <w:marBottom w:val="0"/>
      <w:divBdr>
        <w:top w:val="none" w:sz="0" w:space="0" w:color="auto"/>
        <w:left w:val="none" w:sz="0" w:space="0" w:color="auto"/>
        <w:bottom w:val="none" w:sz="0" w:space="0" w:color="auto"/>
        <w:right w:val="none" w:sz="0" w:space="0" w:color="auto"/>
      </w:divBdr>
    </w:div>
    <w:div w:id="743141431">
      <w:bodyDiv w:val="1"/>
      <w:marLeft w:val="0"/>
      <w:marRight w:val="0"/>
      <w:marTop w:val="0"/>
      <w:marBottom w:val="0"/>
      <w:divBdr>
        <w:top w:val="none" w:sz="0" w:space="0" w:color="auto"/>
        <w:left w:val="none" w:sz="0" w:space="0" w:color="auto"/>
        <w:bottom w:val="none" w:sz="0" w:space="0" w:color="auto"/>
        <w:right w:val="none" w:sz="0" w:space="0" w:color="auto"/>
      </w:divBdr>
    </w:div>
    <w:div w:id="743258958">
      <w:bodyDiv w:val="1"/>
      <w:marLeft w:val="0"/>
      <w:marRight w:val="0"/>
      <w:marTop w:val="0"/>
      <w:marBottom w:val="0"/>
      <w:divBdr>
        <w:top w:val="none" w:sz="0" w:space="0" w:color="auto"/>
        <w:left w:val="none" w:sz="0" w:space="0" w:color="auto"/>
        <w:bottom w:val="none" w:sz="0" w:space="0" w:color="auto"/>
        <w:right w:val="none" w:sz="0" w:space="0" w:color="auto"/>
      </w:divBdr>
    </w:div>
    <w:div w:id="743530857">
      <w:bodyDiv w:val="1"/>
      <w:marLeft w:val="0"/>
      <w:marRight w:val="0"/>
      <w:marTop w:val="0"/>
      <w:marBottom w:val="0"/>
      <w:divBdr>
        <w:top w:val="none" w:sz="0" w:space="0" w:color="auto"/>
        <w:left w:val="none" w:sz="0" w:space="0" w:color="auto"/>
        <w:bottom w:val="none" w:sz="0" w:space="0" w:color="auto"/>
        <w:right w:val="none" w:sz="0" w:space="0" w:color="auto"/>
      </w:divBdr>
    </w:div>
    <w:div w:id="743722680">
      <w:bodyDiv w:val="1"/>
      <w:marLeft w:val="0"/>
      <w:marRight w:val="0"/>
      <w:marTop w:val="0"/>
      <w:marBottom w:val="0"/>
      <w:divBdr>
        <w:top w:val="none" w:sz="0" w:space="0" w:color="auto"/>
        <w:left w:val="none" w:sz="0" w:space="0" w:color="auto"/>
        <w:bottom w:val="none" w:sz="0" w:space="0" w:color="auto"/>
        <w:right w:val="none" w:sz="0" w:space="0" w:color="auto"/>
      </w:divBdr>
    </w:div>
    <w:div w:id="743799576">
      <w:bodyDiv w:val="1"/>
      <w:marLeft w:val="0"/>
      <w:marRight w:val="0"/>
      <w:marTop w:val="0"/>
      <w:marBottom w:val="0"/>
      <w:divBdr>
        <w:top w:val="none" w:sz="0" w:space="0" w:color="auto"/>
        <w:left w:val="none" w:sz="0" w:space="0" w:color="auto"/>
        <w:bottom w:val="none" w:sz="0" w:space="0" w:color="auto"/>
        <w:right w:val="none" w:sz="0" w:space="0" w:color="auto"/>
      </w:divBdr>
    </w:div>
    <w:div w:id="743838289">
      <w:bodyDiv w:val="1"/>
      <w:marLeft w:val="0"/>
      <w:marRight w:val="0"/>
      <w:marTop w:val="0"/>
      <w:marBottom w:val="0"/>
      <w:divBdr>
        <w:top w:val="none" w:sz="0" w:space="0" w:color="auto"/>
        <w:left w:val="none" w:sz="0" w:space="0" w:color="auto"/>
        <w:bottom w:val="none" w:sz="0" w:space="0" w:color="auto"/>
        <w:right w:val="none" w:sz="0" w:space="0" w:color="auto"/>
      </w:divBdr>
    </w:div>
    <w:div w:id="744109276">
      <w:bodyDiv w:val="1"/>
      <w:marLeft w:val="0"/>
      <w:marRight w:val="0"/>
      <w:marTop w:val="0"/>
      <w:marBottom w:val="0"/>
      <w:divBdr>
        <w:top w:val="none" w:sz="0" w:space="0" w:color="auto"/>
        <w:left w:val="none" w:sz="0" w:space="0" w:color="auto"/>
        <w:bottom w:val="none" w:sz="0" w:space="0" w:color="auto"/>
        <w:right w:val="none" w:sz="0" w:space="0" w:color="auto"/>
      </w:divBdr>
    </w:div>
    <w:div w:id="744230047">
      <w:bodyDiv w:val="1"/>
      <w:marLeft w:val="0"/>
      <w:marRight w:val="0"/>
      <w:marTop w:val="0"/>
      <w:marBottom w:val="0"/>
      <w:divBdr>
        <w:top w:val="none" w:sz="0" w:space="0" w:color="auto"/>
        <w:left w:val="none" w:sz="0" w:space="0" w:color="auto"/>
        <w:bottom w:val="none" w:sz="0" w:space="0" w:color="auto"/>
        <w:right w:val="none" w:sz="0" w:space="0" w:color="auto"/>
      </w:divBdr>
    </w:div>
    <w:div w:id="744231674">
      <w:bodyDiv w:val="1"/>
      <w:marLeft w:val="0"/>
      <w:marRight w:val="0"/>
      <w:marTop w:val="0"/>
      <w:marBottom w:val="0"/>
      <w:divBdr>
        <w:top w:val="none" w:sz="0" w:space="0" w:color="auto"/>
        <w:left w:val="none" w:sz="0" w:space="0" w:color="auto"/>
        <w:bottom w:val="none" w:sz="0" w:space="0" w:color="auto"/>
        <w:right w:val="none" w:sz="0" w:space="0" w:color="auto"/>
      </w:divBdr>
    </w:div>
    <w:div w:id="744257450">
      <w:bodyDiv w:val="1"/>
      <w:marLeft w:val="0"/>
      <w:marRight w:val="0"/>
      <w:marTop w:val="0"/>
      <w:marBottom w:val="0"/>
      <w:divBdr>
        <w:top w:val="none" w:sz="0" w:space="0" w:color="auto"/>
        <w:left w:val="none" w:sz="0" w:space="0" w:color="auto"/>
        <w:bottom w:val="none" w:sz="0" w:space="0" w:color="auto"/>
        <w:right w:val="none" w:sz="0" w:space="0" w:color="auto"/>
      </w:divBdr>
    </w:div>
    <w:div w:id="744378893">
      <w:bodyDiv w:val="1"/>
      <w:marLeft w:val="0"/>
      <w:marRight w:val="0"/>
      <w:marTop w:val="0"/>
      <w:marBottom w:val="0"/>
      <w:divBdr>
        <w:top w:val="none" w:sz="0" w:space="0" w:color="auto"/>
        <w:left w:val="none" w:sz="0" w:space="0" w:color="auto"/>
        <w:bottom w:val="none" w:sz="0" w:space="0" w:color="auto"/>
        <w:right w:val="none" w:sz="0" w:space="0" w:color="auto"/>
      </w:divBdr>
    </w:div>
    <w:div w:id="744500408">
      <w:bodyDiv w:val="1"/>
      <w:marLeft w:val="0"/>
      <w:marRight w:val="0"/>
      <w:marTop w:val="0"/>
      <w:marBottom w:val="0"/>
      <w:divBdr>
        <w:top w:val="none" w:sz="0" w:space="0" w:color="auto"/>
        <w:left w:val="none" w:sz="0" w:space="0" w:color="auto"/>
        <w:bottom w:val="none" w:sz="0" w:space="0" w:color="auto"/>
        <w:right w:val="none" w:sz="0" w:space="0" w:color="auto"/>
      </w:divBdr>
    </w:div>
    <w:div w:id="744566894">
      <w:bodyDiv w:val="1"/>
      <w:marLeft w:val="0"/>
      <w:marRight w:val="0"/>
      <w:marTop w:val="0"/>
      <w:marBottom w:val="0"/>
      <w:divBdr>
        <w:top w:val="none" w:sz="0" w:space="0" w:color="auto"/>
        <w:left w:val="none" w:sz="0" w:space="0" w:color="auto"/>
        <w:bottom w:val="none" w:sz="0" w:space="0" w:color="auto"/>
        <w:right w:val="none" w:sz="0" w:space="0" w:color="auto"/>
      </w:divBdr>
    </w:div>
    <w:div w:id="744647269">
      <w:bodyDiv w:val="1"/>
      <w:marLeft w:val="0"/>
      <w:marRight w:val="0"/>
      <w:marTop w:val="0"/>
      <w:marBottom w:val="0"/>
      <w:divBdr>
        <w:top w:val="none" w:sz="0" w:space="0" w:color="auto"/>
        <w:left w:val="none" w:sz="0" w:space="0" w:color="auto"/>
        <w:bottom w:val="none" w:sz="0" w:space="0" w:color="auto"/>
        <w:right w:val="none" w:sz="0" w:space="0" w:color="auto"/>
      </w:divBdr>
    </w:div>
    <w:div w:id="744835584">
      <w:bodyDiv w:val="1"/>
      <w:marLeft w:val="0"/>
      <w:marRight w:val="0"/>
      <w:marTop w:val="0"/>
      <w:marBottom w:val="0"/>
      <w:divBdr>
        <w:top w:val="none" w:sz="0" w:space="0" w:color="auto"/>
        <w:left w:val="none" w:sz="0" w:space="0" w:color="auto"/>
        <w:bottom w:val="none" w:sz="0" w:space="0" w:color="auto"/>
        <w:right w:val="none" w:sz="0" w:space="0" w:color="auto"/>
      </w:divBdr>
    </w:div>
    <w:div w:id="744958075">
      <w:bodyDiv w:val="1"/>
      <w:marLeft w:val="0"/>
      <w:marRight w:val="0"/>
      <w:marTop w:val="0"/>
      <w:marBottom w:val="0"/>
      <w:divBdr>
        <w:top w:val="none" w:sz="0" w:space="0" w:color="auto"/>
        <w:left w:val="none" w:sz="0" w:space="0" w:color="auto"/>
        <w:bottom w:val="none" w:sz="0" w:space="0" w:color="auto"/>
        <w:right w:val="none" w:sz="0" w:space="0" w:color="auto"/>
      </w:divBdr>
    </w:div>
    <w:div w:id="745346748">
      <w:bodyDiv w:val="1"/>
      <w:marLeft w:val="0"/>
      <w:marRight w:val="0"/>
      <w:marTop w:val="0"/>
      <w:marBottom w:val="0"/>
      <w:divBdr>
        <w:top w:val="none" w:sz="0" w:space="0" w:color="auto"/>
        <w:left w:val="none" w:sz="0" w:space="0" w:color="auto"/>
        <w:bottom w:val="none" w:sz="0" w:space="0" w:color="auto"/>
        <w:right w:val="none" w:sz="0" w:space="0" w:color="auto"/>
      </w:divBdr>
    </w:div>
    <w:div w:id="745537953">
      <w:bodyDiv w:val="1"/>
      <w:marLeft w:val="0"/>
      <w:marRight w:val="0"/>
      <w:marTop w:val="0"/>
      <w:marBottom w:val="0"/>
      <w:divBdr>
        <w:top w:val="none" w:sz="0" w:space="0" w:color="auto"/>
        <w:left w:val="none" w:sz="0" w:space="0" w:color="auto"/>
        <w:bottom w:val="none" w:sz="0" w:space="0" w:color="auto"/>
        <w:right w:val="none" w:sz="0" w:space="0" w:color="auto"/>
      </w:divBdr>
    </w:div>
    <w:div w:id="745617632">
      <w:bodyDiv w:val="1"/>
      <w:marLeft w:val="0"/>
      <w:marRight w:val="0"/>
      <w:marTop w:val="0"/>
      <w:marBottom w:val="0"/>
      <w:divBdr>
        <w:top w:val="none" w:sz="0" w:space="0" w:color="auto"/>
        <w:left w:val="none" w:sz="0" w:space="0" w:color="auto"/>
        <w:bottom w:val="none" w:sz="0" w:space="0" w:color="auto"/>
        <w:right w:val="none" w:sz="0" w:space="0" w:color="auto"/>
      </w:divBdr>
    </w:div>
    <w:div w:id="745809147">
      <w:bodyDiv w:val="1"/>
      <w:marLeft w:val="0"/>
      <w:marRight w:val="0"/>
      <w:marTop w:val="0"/>
      <w:marBottom w:val="0"/>
      <w:divBdr>
        <w:top w:val="none" w:sz="0" w:space="0" w:color="auto"/>
        <w:left w:val="none" w:sz="0" w:space="0" w:color="auto"/>
        <w:bottom w:val="none" w:sz="0" w:space="0" w:color="auto"/>
        <w:right w:val="none" w:sz="0" w:space="0" w:color="auto"/>
      </w:divBdr>
    </w:div>
    <w:div w:id="745878893">
      <w:bodyDiv w:val="1"/>
      <w:marLeft w:val="0"/>
      <w:marRight w:val="0"/>
      <w:marTop w:val="0"/>
      <w:marBottom w:val="0"/>
      <w:divBdr>
        <w:top w:val="none" w:sz="0" w:space="0" w:color="auto"/>
        <w:left w:val="none" w:sz="0" w:space="0" w:color="auto"/>
        <w:bottom w:val="none" w:sz="0" w:space="0" w:color="auto"/>
        <w:right w:val="none" w:sz="0" w:space="0" w:color="auto"/>
      </w:divBdr>
    </w:div>
    <w:div w:id="745885609">
      <w:bodyDiv w:val="1"/>
      <w:marLeft w:val="0"/>
      <w:marRight w:val="0"/>
      <w:marTop w:val="0"/>
      <w:marBottom w:val="0"/>
      <w:divBdr>
        <w:top w:val="none" w:sz="0" w:space="0" w:color="auto"/>
        <w:left w:val="none" w:sz="0" w:space="0" w:color="auto"/>
        <w:bottom w:val="none" w:sz="0" w:space="0" w:color="auto"/>
        <w:right w:val="none" w:sz="0" w:space="0" w:color="auto"/>
      </w:divBdr>
    </w:div>
    <w:div w:id="746147029">
      <w:bodyDiv w:val="1"/>
      <w:marLeft w:val="0"/>
      <w:marRight w:val="0"/>
      <w:marTop w:val="0"/>
      <w:marBottom w:val="0"/>
      <w:divBdr>
        <w:top w:val="none" w:sz="0" w:space="0" w:color="auto"/>
        <w:left w:val="none" w:sz="0" w:space="0" w:color="auto"/>
        <w:bottom w:val="none" w:sz="0" w:space="0" w:color="auto"/>
        <w:right w:val="none" w:sz="0" w:space="0" w:color="auto"/>
      </w:divBdr>
    </w:div>
    <w:div w:id="746195694">
      <w:bodyDiv w:val="1"/>
      <w:marLeft w:val="0"/>
      <w:marRight w:val="0"/>
      <w:marTop w:val="0"/>
      <w:marBottom w:val="0"/>
      <w:divBdr>
        <w:top w:val="none" w:sz="0" w:space="0" w:color="auto"/>
        <w:left w:val="none" w:sz="0" w:space="0" w:color="auto"/>
        <w:bottom w:val="none" w:sz="0" w:space="0" w:color="auto"/>
        <w:right w:val="none" w:sz="0" w:space="0" w:color="auto"/>
      </w:divBdr>
    </w:div>
    <w:div w:id="746338690">
      <w:bodyDiv w:val="1"/>
      <w:marLeft w:val="0"/>
      <w:marRight w:val="0"/>
      <w:marTop w:val="0"/>
      <w:marBottom w:val="0"/>
      <w:divBdr>
        <w:top w:val="none" w:sz="0" w:space="0" w:color="auto"/>
        <w:left w:val="none" w:sz="0" w:space="0" w:color="auto"/>
        <w:bottom w:val="none" w:sz="0" w:space="0" w:color="auto"/>
        <w:right w:val="none" w:sz="0" w:space="0" w:color="auto"/>
      </w:divBdr>
    </w:div>
    <w:div w:id="746345368">
      <w:bodyDiv w:val="1"/>
      <w:marLeft w:val="0"/>
      <w:marRight w:val="0"/>
      <w:marTop w:val="0"/>
      <w:marBottom w:val="0"/>
      <w:divBdr>
        <w:top w:val="none" w:sz="0" w:space="0" w:color="auto"/>
        <w:left w:val="none" w:sz="0" w:space="0" w:color="auto"/>
        <w:bottom w:val="none" w:sz="0" w:space="0" w:color="auto"/>
        <w:right w:val="none" w:sz="0" w:space="0" w:color="auto"/>
      </w:divBdr>
    </w:div>
    <w:div w:id="746458580">
      <w:bodyDiv w:val="1"/>
      <w:marLeft w:val="0"/>
      <w:marRight w:val="0"/>
      <w:marTop w:val="0"/>
      <w:marBottom w:val="0"/>
      <w:divBdr>
        <w:top w:val="none" w:sz="0" w:space="0" w:color="auto"/>
        <w:left w:val="none" w:sz="0" w:space="0" w:color="auto"/>
        <w:bottom w:val="none" w:sz="0" w:space="0" w:color="auto"/>
        <w:right w:val="none" w:sz="0" w:space="0" w:color="auto"/>
      </w:divBdr>
    </w:div>
    <w:div w:id="746607588">
      <w:bodyDiv w:val="1"/>
      <w:marLeft w:val="0"/>
      <w:marRight w:val="0"/>
      <w:marTop w:val="0"/>
      <w:marBottom w:val="0"/>
      <w:divBdr>
        <w:top w:val="none" w:sz="0" w:space="0" w:color="auto"/>
        <w:left w:val="none" w:sz="0" w:space="0" w:color="auto"/>
        <w:bottom w:val="none" w:sz="0" w:space="0" w:color="auto"/>
        <w:right w:val="none" w:sz="0" w:space="0" w:color="auto"/>
      </w:divBdr>
    </w:div>
    <w:div w:id="746880683">
      <w:bodyDiv w:val="1"/>
      <w:marLeft w:val="0"/>
      <w:marRight w:val="0"/>
      <w:marTop w:val="0"/>
      <w:marBottom w:val="0"/>
      <w:divBdr>
        <w:top w:val="none" w:sz="0" w:space="0" w:color="auto"/>
        <w:left w:val="none" w:sz="0" w:space="0" w:color="auto"/>
        <w:bottom w:val="none" w:sz="0" w:space="0" w:color="auto"/>
        <w:right w:val="none" w:sz="0" w:space="0" w:color="auto"/>
      </w:divBdr>
    </w:div>
    <w:div w:id="746924431">
      <w:bodyDiv w:val="1"/>
      <w:marLeft w:val="0"/>
      <w:marRight w:val="0"/>
      <w:marTop w:val="0"/>
      <w:marBottom w:val="0"/>
      <w:divBdr>
        <w:top w:val="none" w:sz="0" w:space="0" w:color="auto"/>
        <w:left w:val="none" w:sz="0" w:space="0" w:color="auto"/>
        <w:bottom w:val="none" w:sz="0" w:space="0" w:color="auto"/>
        <w:right w:val="none" w:sz="0" w:space="0" w:color="auto"/>
      </w:divBdr>
    </w:div>
    <w:div w:id="747195058">
      <w:bodyDiv w:val="1"/>
      <w:marLeft w:val="0"/>
      <w:marRight w:val="0"/>
      <w:marTop w:val="0"/>
      <w:marBottom w:val="0"/>
      <w:divBdr>
        <w:top w:val="none" w:sz="0" w:space="0" w:color="auto"/>
        <w:left w:val="none" w:sz="0" w:space="0" w:color="auto"/>
        <w:bottom w:val="none" w:sz="0" w:space="0" w:color="auto"/>
        <w:right w:val="none" w:sz="0" w:space="0" w:color="auto"/>
      </w:divBdr>
    </w:div>
    <w:div w:id="747311121">
      <w:bodyDiv w:val="1"/>
      <w:marLeft w:val="0"/>
      <w:marRight w:val="0"/>
      <w:marTop w:val="0"/>
      <w:marBottom w:val="0"/>
      <w:divBdr>
        <w:top w:val="none" w:sz="0" w:space="0" w:color="auto"/>
        <w:left w:val="none" w:sz="0" w:space="0" w:color="auto"/>
        <w:bottom w:val="none" w:sz="0" w:space="0" w:color="auto"/>
        <w:right w:val="none" w:sz="0" w:space="0" w:color="auto"/>
      </w:divBdr>
    </w:div>
    <w:div w:id="747338897">
      <w:bodyDiv w:val="1"/>
      <w:marLeft w:val="0"/>
      <w:marRight w:val="0"/>
      <w:marTop w:val="0"/>
      <w:marBottom w:val="0"/>
      <w:divBdr>
        <w:top w:val="none" w:sz="0" w:space="0" w:color="auto"/>
        <w:left w:val="none" w:sz="0" w:space="0" w:color="auto"/>
        <w:bottom w:val="none" w:sz="0" w:space="0" w:color="auto"/>
        <w:right w:val="none" w:sz="0" w:space="0" w:color="auto"/>
      </w:divBdr>
    </w:div>
    <w:div w:id="747657614">
      <w:bodyDiv w:val="1"/>
      <w:marLeft w:val="0"/>
      <w:marRight w:val="0"/>
      <w:marTop w:val="0"/>
      <w:marBottom w:val="0"/>
      <w:divBdr>
        <w:top w:val="none" w:sz="0" w:space="0" w:color="auto"/>
        <w:left w:val="none" w:sz="0" w:space="0" w:color="auto"/>
        <w:bottom w:val="none" w:sz="0" w:space="0" w:color="auto"/>
        <w:right w:val="none" w:sz="0" w:space="0" w:color="auto"/>
      </w:divBdr>
    </w:div>
    <w:div w:id="747847230">
      <w:bodyDiv w:val="1"/>
      <w:marLeft w:val="0"/>
      <w:marRight w:val="0"/>
      <w:marTop w:val="0"/>
      <w:marBottom w:val="0"/>
      <w:divBdr>
        <w:top w:val="none" w:sz="0" w:space="0" w:color="auto"/>
        <w:left w:val="none" w:sz="0" w:space="0" w:color="auto"/>
        <w:bottom w:val="none" w:sz="0" w:space="0" w:color="auto"/>
        <w:right w:val="none" w:sz="0" w:space="0" w:color="auto"/>
      </w:divBdr>
    </w:div>
    <w:div w:id="748036709">
      <w:bodyDiv w:val="1"/>
      <w:marLeft w:val="0"/>
      <w:marRight w:val="0"/>
      <w:marTop w:val="0"/>
      <w:marBottom w:val="0"/>
      <w:divBdr>
        <w:top w:val="none" w:sz="0" w:space="0" w:color="auto"/>
        <w:left w:val="none" w:sz="0" w:space="0" w:color="auto"/>
        <w:bottom w:val="none" w:sz="0" w:space="0" w:color="auto"/>
        <w:right w:val="none" w:sz="0" w:space="0" w:color="auto"/>
      </w:divBdr>
    </w:div>
    <w:div w:id="748042290">
      <w:bodyDiv w:val="1"/>
      <w:marLeft w:val="0"/>
      <w:marRight w:val="0"/>
      <w:marTop w:val="0"/>
      <w:marBottom w:val="0"/>
      <w:divBdr>
        <w:top w:val="none" w:sz="0" w:space="0" w:color="auto"/>
        <w:left w:val="none" w:sz="0" w:space="0" w:color="auto"/>
        <w:bottom w:val="none" w:sz="0" w:space="0" w:color="auto"/>
        <w:right w:val="none" w:sz="0" w:space="0" w:color="auto"/>
      </w:divBdr>
    </w:div>
    <w:div w:id="748112924">
      <w:bodyDiv w:val="1"/>
      <w:marLeft w:val="0"/>
      <w:marRight w:val="0"/>
      <w:marTop w:val="0"/>
      <w:marBottom w:val="0"/>
      <w:divBdr>
        <w:top w:val="none" w:sz="0" w:space="0" w:color="auto"/>
        <w:left w:val="none" w:sz="0" w:space="0" w:color="auto"/>
        <w:bottom w:val="none" w:sz="0" w:space="0" w:color="auto"/>
        <w:right w:val="none" w:sz="0" w:space="0" w:color="auto"/>
      </w:divBdr>
    </w:div>
    <w:div w:id="748162822">
      <w:bodyDiv w:val="1"/>
      <w:marLeft w:val="0"/>
      <w:marRight w:val="0"/>
      <w:marTop w:val="0"/>
      <w:marBottom w:val="0"/>
      <w:divBdr>
        <w:top w:val="none" w:sz="0" w:space="0" w:color="auto"/>
        <w:left w:val="none" w:sz="0" w:space="0" w:color="auto"/>
        <w:bottom w:val="none" w:sz="0" w:space="0" w:color="auto"/>
        <w:right w:val="none" w:sz="0" w:space="0" w:color="auto"/>
      </w:divBdr>
    </w:div>
    <w:div w:id="748186777">
      <w:bodyDiv w:val="1"/>
      <w:marLeft w:val="0"/>
      <w:marRight w:val="0"/>
      <w:marTop w:val="0"/>
      <w:marBottom w:val="0"/>
      <w:divBdr>
        <w:top w:val="none" w:sz="0" w:space="0" w:color="auto"/>
        <w:left w:val="none" w:sz="0" w:space="0" w:color="auto"/>
        <w:bottom w:val="none" w:sz="0" w:space="0" w:color="auto"/>
        <w:right w:val="none" w:sz="0" w:space="0" w:color="auto"/>
      </w:divBdr>
    </w:div>
    <w:div w:id="748190789">
      <w:bodyDiv w:val="1"/>
      <w:marLeft w:val="0"/>
      <w:marRight w:val="0"/>
      <w:marTop w:val="0"/>
      <w:marBottom w:val="0"/>
      <w:divBdr>
        <w:top w:val="none" w:sz="0" w:space="0" w:color="auto"/>
        <w:left w:val="none" w:sz="0" w:space="0" w:color="auto"/>
        <w:bottom w:val="none" w:sz="0" w:space="0" w:color="auto"/>
        <w:right w:val="none" w:sz="0" w:space="0" w:color="auto"/>
      </w:divBdr>
    </w:div>
    <w:div w:id="748190849">
      <w:bodyDiv w:val="1"/>
      <w:marLeft w:val="0"/>
      <w:marRight w:val="0"/>
      <w:marTop w:val="0"/>
      <w:marBottom w:val="0"/>
      <w:divBdr>
        <w:top w:val="none" w:sz="0" w:space="0" w:color="auto"/>
        <w:left w:val="none" w:sz="0" w:space="0" w:color="auto"/>
        <w:bottom w:val="none" w:sz="0" w:space="0" w:color="auto"/>
        <w:right w:val="none" w:sz="0" w:space="0" w:color="auto"/>
      </w:divBdr>
    </w:div>
    <w:div w:id="748498708">
      <w:bodyDiv w:val="1"/>
      <w:marLeft w:val="0"/>
      <w:marRight w:val="0"/>
      <w:marTop w:val="0"/>
      <w:marBottom w:val="0"/>
      <w:divBdr>
        <w:top w:val="none" w:sz="0" w:space="0" w:color="auto"/>
        <w:left w:val="none" w:sz="0" w:space="0" w:color="auto"/>
        <w:bottom w:val="none" w:sz="0" w:space="0" w:color="auto"/>
        <w:right w:val="none" w:sz="0" w:space="0" w:color="auto"/>
      </w:divBdr>
    </w:div>
    <w:div w:id="748620403">
      <w:bodyDiv w:val="1"/>
      <w:marLeft w:val="0"/>
      <w:marRight w:val="0"/>
      <w:marTop w:val="0"/>
      <w:marBottom w:val="0"/>
      <w:divBdr>
        <w:top w:val="none" w:sz="0" w:space="0" w:color="auto"/>
        <w:left w:val="none" w:sz="0" w:space="0" w:color="auto"/>
        <w:bottom w:val="none" w:sz="0" w:space="0" w:color="auto"/>
        <w:right w:val="none" w:sz="0" w:space="0" w:color="auto"/>
      </w:divBdr>
    </w:div>
    <w:div w:id="748766921">
      <w:bodyDiv w:val="1"/>
      <w:marLeft w:val="0"/>
      <w:marRight w:val="0"/>
      <w:marTop w:val="0"/>
      <w:marBottom w:val="0"/>
      <w:divBdr>
        <w:top w:val="none" w:sz="0" w:space="0" w:color="auto"/>
        <w:left w:val="none" w:sz="0" w:space="0" w:color="auto"/>
        <w:bottom w:val="none" w:sz="0" w:space="0" w:color="auto"/>
        <w:right w:val="none" w:sz="0" w:space="0" w:color="auto"/>
      </w:divBdr>
    </w:div>
    <w:div w:id="748817872">
      <w:bodyDiv w:val="1"/>
      <w:marLeft w:val="0"/>
      <w:marRight w:val="0"/>
      <w:marTop w:val="0"/>
      <w:marBottom w:val="0"/>
      <w:divBdr>
        <w:top w:val="none" w:sz="0" w:space="0" w:color="auto"/>
        <w:left w:val="none" w:sz="0" w:space="0" w:color="auto"/>
        <w:bottom w:val="none" w:sz="0" w:space="0" w:color="auto"/>
        <w:right w:val="none" w:sz="0" w:space="0" w:color="auto"/>
      </w:divBdr>
    </w:div>
    <w:div w:id="748846683">
      <w:bodyDiv w:val="1"/>
      <w:marLeft w:val="0"/>
      <w:marRight w:val="0"/>
      <w:marTop w:val="0"/>
      <w:marBottom w:val="0"/>
      <w:divBdr>
        <w:top w:val="none" w:sz="0" w:space="0" w:color="auto"/>
        <w:left w:val="none" w:sz="0" w:space="0" w:color="auto"/>
        <w:bottom w:val="none" w:sz="0" w:space="0" w:color="auto"/>
        <w:right w:val="none" w:sz="0" w:space="0" w:color="auto"/>
      </w:divBdr>
    </w:div>
    <w:div w:id="748893478">
      <w:bodyDiv w:val="1"/>
      <w:marLeft w:val="0"/>
      <w:marRight w:val="0"/>
      <w:marTop w:val="0"/>
      <w:marBottom w:val="0"/>
      <w:divBdr>
        <w:top w:val="none" w:sz="0" w:space="0" w:color="auto"/>
        <w:left w:val="none" w:sz="0" w:space="0" w:color="auto"/>
        <w:bottom w:val="none" w:sz="0" w:space="0" w:color="auto"/>
        <w:right w:val="none" w:sz="0" w:space="0" w:color="auto"/>
      </w:divBdr>
    </w:div>
    <w:div w:id="748969127">
      <w:bodyDiv w:val="1"/>
      <w:marLeft w:val="0"/>
      <w:marRight w:val="0"/>
      <w:marTop w:val="0"/>
      <w:marBottom w:val="0"/>
      <w:divBdr>
        <w:top w:val="none" w:sz="0" w:space="0" w:color="auto"/>
        <w:left w:val="none" w:sz="0" w:space="0" w:color="auto"/>
        <w:bottom w:val="none" w:sz="0" w:space="0" w:color="auto"/>
        <w:right w:val="none" w:sz="0" w:space="0" w:color="auto"/>
      </w:divBdr>
    </w:div>
    <w:div w:id="749231764">
      <w:bodyDiv w:val="1"/>
      <w:marLeft w:val="0"/>
      <w:marRight w:val="0"/>
      <w:marTop w:val="0"/>
      <w:marBottom w:val="0"/>
      <w:divBdr>
        <w:top w:val="none" w:sz="0" w:space="0" w:color="auto"/>
        <w:left w:val="none" w:sz="0" w:space="0" w:color="auto"/>
        <w:bottom w:val="none" w:sz="0" w:space="0" w:color="auto"/>
        <w:right w:val="none" w:sz="0" w:space="0" w:color="auto"/>
      </w:divBdr>
    </w:div>
    <w:div w:id="749238012">
      <w:bodyDiv w:val="1"/>
      <w:marLeft w:val="0"/>
      <w:marRight w:val="0"/>
      <w:marTop w:val="0"/>
      <w:marBottom w:val="0"/>
      <w:divBdr>
        <w:top w:val="none" w:sz="0" w:space="0" w:color="auto"/>
        <w:left w:val="none" w:sz="0" w:space="0" w:color="auto"/>
        <w:bottom w:val="none" w:sz="0" w:space="0" w:color="auto"/>
        <w:right w:val="none" w:sz="0" w:space="0" w:color="auto"/>
      </w:divBdr>
    </w:div>
    <w:div w:id="749430177">
      <w:bodyDiv w:val="1"/>
      <w:marLeft w:val="0"/>
      <w:marRight w:val="0"/>
      <w:marTop w:val="0"/>
      <w:marBottom w:val="0"/>
      <w:divBdr>
        <w:top w:val="none" w:sz="0" w:space="0" w:color="auto"/>
        <w:left w:val="none" w:sz="0" w:space="0" w:color="auto"/>
        <w:bottom w:val="none" w:sz="0" w:space="0" w:color="auto"/>
        <w:right w:val="none" w:sz="0" w:space="0" w:color="auto"/>
      </w:divBdr>
    </w:div>
    <w:div w:id="749548404">
      <w:bodyDiv w:val="1"/>
      <w:marLeft w:val="0"/>
      <w:marRight w:val="0"/>
      <w:marTop w:val="0"/>
      <w:marBottom w:val="0"/>
      <w:divBdr>
        <w:top w:val="none" w:sz="0" w:space="0" w:color="auto"/>
        <w:left w:val="none" w:sz="0" w:space="0" w:color="auto"/>
        <w:bottom w:val="none" w:sz="0" w:space="0" w:color="auto"/>
        <w:right w:val="none" w:sz="0" w:space="0" w:color="auto"/>
      </w:divBdr>
    </w:div>
    <w:div w:id="749549390">
      <w:bodyDiv w:val="1"/>
      <w:marLeft w:val="0"/>
      <w:marRight w:val="0"/>
      <w:marTop w:val="0"/>
      <w:marBottom w:val="0"/>
      <w:divBdr>
        <w:top w:val="none" w:sz="0" w:space="0" w:color="auto"/>
        <w:left w:val="none" w:sz="0" w:space="0" w:color="auto"/>
        <w:bottom w:val="none" w:sz="0" w:space="0" w:color="auto"/>
        <w:right w:val="none" w:sz="0" w:space="0" w:color="auto"/>
      </w:divBdr>
    </w:div>
    <w:div w:id="749697765">
      <w:bodyDiv w:val="1"/>
      <w:marLeft w:val="0"/>
      <w:marRight w:val="0"/>
      <w:marTop w:val="0"/>
      <w:marBottom w:val="0"/>
      <w:divBdr>
        <w:top w:val="none" w:sz="0" w:space="0" w:color="auto"/>
        <w:left w:val="none" w:sz="0" w:space="0" w:color="auto"/>
        <w:bottom w:val="none" w:sz="0" w:space="0" w:color="auto"/>
        <w:right w:val="none" w:sz="0" w:space="0" w:color="auto"/>
      </w:divBdr>
    </w:div>
    <w:div w:id="749742667">
      <w:bodyDiv w:val="1"/>
      <w:marLeft w:val="0"/>
      <w:marRight w:val="0"/>
      <w:marTop w:val="0"/>
      <w:marBottom w:val="0"/>
      <w:divBdr>
        <w:top w:val="none" w:sz="0" w:space="0" w:color="auto"/>
        <w:left w:val="none" w:sz="0" w:space="0" w:color="auto"/>
        <w:bottom w:val="none" w:sz="0" w:space="0" w:color="auto"/>
        <w:right w:val="none" w:sz="0" w:space="0" w:color="auto"/>
      </w:divBdr>
    </w:div>
    <w:div w:id="750008261">
      <w:bodyDiv w:val="1"/>
      <w:marLeft w:val="0"/>
      <w:marRight w:val="0"/>
      <w:marTop w:val="0"/>
      <w:marBottom w:val="0"/>
      <w:divBdr>
        <w:top w:val="none" w:sz="0" w:space="0" w:color="auto"/>
        <w:left w:val="none" w:sz="0" w:space="0" w:color="auto"/>
        <w:bottom w:val="none" w:sz="0" w:space="0" w:color="auto"/>
        <w:right w:val="none" w:sz="0" w:space="0" w:color="auto"/>
      </w:divBdr>
    </w:div>
    <w:div w:id="750079778">
      <w:bodyDiv w:val="1"/>
      <w:marLeft w:val="0"/>
      <w:marRight w:val="0"/>
      <w:marTop w:val="0"/>
      <w:marBottom w:val="0"/>
      <w:divBdr>
        <w:top w:val="none" w:sz="0" w:space="0" w:color="auto"/>
        <w:left w:val="none" w:sz="0" w:space="0" w:color="auto"/>
        <w:bottom w:val="none" w:sz="0" w:space="0" w:color="auto"/>
        <w:right w:val="none" w:sz="0" w:space="0" w:color="auto"/>
      </w:divBdr>
    </w:div>
    <w:div w:id="750080205">
      <w:bodyDiv w:val="1"/>
      <w:marLeft w:val="0"/>
      <w:marRight w:val="0"/>
      <w:marTop w:val="0"/>
      <w:marBottom w:val="0"/>
      <w:divBdr>
        <w:top w:val="none" w:sz="0" w:space="0" w:color="auto"/>
        <w:left w:val="none" w:sz="0" w:space="0" w:color="auto"/>
        <w:bottom w:val="none" w:sz="0" w:space="0" w:color="auto"/>
        <w:right w:val="none" w:sz="0" w:space="0" w:color="auto"/>
      </w:divBdr>
    </w:div>
    <w:div w:id="750128690">
      <w:bodyDiv w:val="1"/>
      <w:marLeft w:val="0"/>
      <w:marRight w:val="0"/>
      <w:marTop w:val="0"/>
      <w:marBottom w:val="0"/>
      <w:divBdr>
        <w:top w:val="none" w:sz="0" w:space="0" w:color="auto"/>
        <w:left w:val="none" w:sz="0" w:space="0" w:color="auto"/>
        <w:bottom w:val="none" w:sz="0" w:space="0" w:color="auto"/>
        <w:right w:val="none" w:sz="0" w:space="0" w:color="auto"/>
      </w:divBdr>
    </w:div>
    <w:div w:id="750198897">
      <w:bodyDiv w:val="1"/>
      <w:marLeft w:val="0"/>
      <w:marRight w:val="0"/>
      <w:marTop w:val="0"/>
      <w:marBottom w:val="0"/>
      <w:divBdr>
        <w:top w:val="none" w:sz="0" w:space="0" w:color="auto"/>
        <w:left w:val="none" w:sz="0" w:space="0" w:color="auto"/>
        <w:bottom w:val="none" w:sz="0" w:space="0" w:color="auto"/>
        <w:right w:val="none" w:sz="0" w:space="0" w:color="auto"/>
      </w:divBdr>
    </w:div>
    <w:div w:id="750394100">
      <w:bodyDiv w:val="1"/>
      <w:marLeft w:val="0"/>
      <w:marRight w:val="0"/>
      <w:marTop w:val="0"/>
      <w:marBottom w:val="0"/>
      <w:divBdr>
        <w:top w:val="none" w:sz="0" w:space="0" w:color="auto"/>
        <w:left w:val="none" w:sz="0" w:space="0" w:color="auto"/>
        <w:bottom w:val="none" w:sz="0" w:space="0" w:color="auto"/>
        <w:right w:val="none" w:sz="0" w:space="0" w:color="auto"/>
      </w:divBdr>
    </w:div>
    <w:div w:id="750396780">
      <w:bodyDiv w:val="1"/>
      <w:marLeft w:val="0"/>
      <w:marRight w:val="0"/>
      <w:marTop w:val="0"/>
      <w:marBottom w:val="0"/>
      <w:divBdr>
        <w:top w:val="none" w:sz="0" w:space="0" w:color="auto"/>
        <w:left w:val="none" w:sz="0" w:space="0" w:color="auto"/>
        <w:bottom w:val="none" w:sz="0" w:space="0" w:color="auto"/>
        <w:right w:val="none" w:sz="0" w:space="0" w:color="auto"/>
      </w:divBdr>
    </w:div>
    <w:div w:id="750660410">
      <w:bodyDiv w:val="1"/>
      <w:marLeft w:val="0"/>
      <w:marRight w:val="0"/>
      <w:marTop w:val="0"/>
      <w:marBottom w:val="0"/>
      <w:divBdr>
        <w:top w:val="none" w:sz="0" w:space="0" w:color="auto"/>
        <w:left w:val="none" w:sz="0" w:space="0" w:color="auto"/>
        <w:bottom w:val="none" w:sz="0" w:space="0" w:color="auto"/>
        <w:right w:val="none" w:sz="0" w:space="0" w:color="auto"/>
      </w:divBdr>
    </w:div>
    <w:div w:id="750811322">
      <w:bodyDiv w:val="1"/>
      <w:marLeft w:val="0"/>
      <w:marRight w:val="0"/>
      <w:marTop w:val="0"/>
      <w:marBottom w:val="0"/>
      <w:divBdr>
        <w:top w:val="none" w:sz="0" w:space="0" w:color="auto"/>
        <w:left w:val="none" w:sz="0" w:space="0" w:color="auto"/>
        <w:bottom w:val="none" w:sz="0" w:space="0" w:color="auto"/>
        <w:right w:val="none" w:sz="0" w:space="0" w:color="auto"/>
      </w:divBdr>
    </w:div>
    <w:div w:id="751001119">
      <w:bodyDiv w:val="1"/>
      <w:marLeft w:val="0"/>
      <w:marRight w:val="0"/>
      <w:marTop w:val="0"/>
      <w:marBottom w:val="0"/>
      <w:divBdr>
        <w:top w:val="none" w:sz="0" w:space="0" w:color="auto"/>
        <w:left w:val="none" w:sz="0" w:space="0" w:color="auto"/>
        <w:bottom w:val="none" w:sz="0" w:space="0" w:color="auto"/>
        <w:right w:val="none" w:sz="0" w:space="0" w:color="auto"/>
      </w:divBdr>
    </w:div>
    <w:div w:id="751047693">
      <w:bodyDiv w:val="1"/>
      <w:marLeft w:val="0"/>
      <w:marRight w:val="0"/>
      <w:marTop w:val="0"/>
      <w:marBottom w:val="0"/>
      <w:divBdr>
        <w:top w:val="none" w:sz="0" w:space="0" w:color="auto"/>
        <w:left w:val="none" w:sz="0" w:space="0" w:color="auto"/>
        <w:bottom w:val="none" w:sz="0" w:space="0" w:color="auto"/>
        <w:right w:val="none" w:sz="0" w:space="0" w:color="auto"/>
      </w:divBdr>
    </w:div>
    <w:div w:id="751124032">
      <w:bodyDiv w:val="1"/>
      <w:marLeft w:val="0"/>
      <w:marRight w:val="0"/>
      <w:marTop w:val="0"/>
      <w:marBottom w:val="0"/>
      <w:divBdr>
        <w:top w:val="none" w:sz="0" w:space="0" w:color="auto"/>
        <w:left w:val="none" w:sz="0" w:space="0" w:color="auto"/>
        <w:bottom w:val="none" w:sz="0" w:space="0" w:color="auto"/>
        <w:right w:val="none" w:sz="0" w:space="0" w:color="auto"/>
      </w:divBdr>
    </w:div>
    <w:div w:id="751126020">
      <w:bodyDiv w:val="1"/>
      <w:marLeft w:val="0"/>
      <w:marRight w:val="0"/>
      <w:marTop w:val="0"/>
      <w:marBottom w:val="0"/>
      <w:divBdr>
        <w:top w:val="none" w:sz="0" w:space="0" w:color="auto"/>
        <w:left w:val="none" w:sz="0" w:space="0" w:color="auto"/>
        <w:bottom w:val="none" w:sz="0" w:space="0" w:color="auto"/>
        <w:right w:val="none" w:sz="0" w:space="0" w:color="auto"/>
      </w:divBdr>
    </w:div>
    <w:div w:id="751126522">
      <w:bodyDiv w:val="1"/>
      <w:marLeft w:val="0"/>
      <w:marRight w:val="0"/>
      <w:marTop w:val="0"/>
      <w:marBottom w:val="0"/>
      <w:divBdr>
        <w:top w:val="none" w:sz="0" w:space="0" w:color="auto"/>
        <w:left w:val="none" w:sz="0" w:space="0" w:color="auto"/>
        <w:bottom w:val="none" w:sz="0" w:space="0" w:color="auto"/>
        <w:right w:val="none" w:sz="0" w:space="0" w:color="auto"/>
      </w:divBdr>
    </w:div>
    <w:div w:id="751195556">
      <w:bodyDiv w:val="1"/>
      <w:marLeft w:val="0"/>
      <w:marRight w:val="0"/>
      <w:marTop w:val="0"/>
      <w:marBottom w:val="0"/>
      <w:divBdr>
        <w:top w:val="none" w:sz="0" w:space="0" w:color="auto"/>
        <w:left w:val="none" w:sz="0" w:space="0" w:color="auto"/>
        <w:bottom w:val="none" w:sz="0" w:space="0" w:color="auto"/>
        <w:right w:val="none" w:sz="0" w:space="0" w:color="auto"/>
      </w:divBdr>
    </w:div>
    <w:div w:id="751197693">
      <w:bodyDiv w:val="1"/>
      <w:marLeft w:val="0"/>
      <w:marRight w:val="0"/>
      <w:marTop w:val="0"/>
      <w:marBottom w:val="0"/>
      <w:divBdr>
        <w:top w:val="none" w:sz="0" w:space="0" w:color="auto"/>
        <w:left w:val="none" w:sz="0" w:space="0" w:color="auto"/>
        <w:bottom w:val="none" w:sz="0" w:space="0" w:color="auto"/>
        <w:right w:val="none" w:sz="0" w:space="0" w:color="auto"/>
      </w:divBdr>
    </w:div>
    <w:div w:id="751202766">
      <w:bodyDiv w:val="1"/>
      <w:marLeft w:val="0"/>
      <w:marRight w:val="0"/>
      <w:marTop w:val="0"/>
      <w:marBottom w:val="0"/>
      <w:divBdr>
        <w:top w:val="none" w:sz="0" w:space="0" w:color="auto"/>
        <w:left w:val="none" w:sz="0" w:space="0" w:color="auto"/>
        <w:bottom w:val="none" w:sz="0" w:space="0" w:color="auto"/>
        <w:right w:val="none" w:sz="0" w:space="0" w:color="auto"/>
      </w:divBdr>
    </w:div>
    <w:div w:id="751243302">
      <w:bodyDiv w:val="1"/>
      <w:marLeft w:val="0"/>
      <w:marRight w:val="0"/>
      <w:marTop w:val="0"/>
      <w:marBottom w:val="0"/>
      <w:divBdr>
        <w:top w:val="none" w:sz="0" w:space="0" w:color="auto"/>
        <w:left w:val="none" w:sz="0" w:space="0" w:color="auto"/>
        <w:bottom w:val="none" w:sz="0" w:space="0" w:color="auto"/>
        <w:right w:val="none" w:sz="0" w:space="0" w:color="auto"/>
      </w:divBdr>
    </w:div>
    <w:div w:id="751319028">
      <w:bodyDiv w:val="1"/>
      <w:marLeft w:val="0"/>
      <w:marRight w:val="0"/>
      <w:marTop w:val="0"/>
      <w:marBottom w:val="0"/>
      <w:divBdr>
        <w:top w:val="none" w:sz="0" w:space="0" w:color="auto"/>
        <w:left w:val="none" w:sz="0" w:space="0" w:color="auto"/>
        <w:bottom w:val="none" w:sz="0" w:space="0" w:color="auto"/>
        <w:right w:val="none" w:sz="0" w:space="0" w:color="auto"/>
      </w:divBdr>
    </w:div>
    <w:div w:id="751853828">
      <w:bodyDiv w:val="1"/>
      <w:marLeft w:val="0"/>
      <w:marRight w:val="0"/>
      <w:marTop w:val="0"/>
      <w:marBottom w:val="0"/>
      <w:divBdr>
        <w:top w:val="none" w:sz="0" w:space="0" w:color="auto"/>
        <w:left w:val="none" w:sz="0" w:space="0" w:color="auto"/>
        <w:bottom w:val="none" w:sz="0" w:space="0" w:color="auto"/>
        <w:right w:val="none" w:sz="0" w:space="0" w:color="auto"/>
      </w:divBdr>
    </w:div>
    <w:div w:id="751974512">
      <w:bodyDiv w:val="1"/>
      <w:marLeft w:val="0"/>
      <w:marRight w:val="0"/>
      <w:marTop w:val="0"/>
      <w:marBottom w:val="0"/>
      <w:divBdr>
        <w:top w:val="none" w:sz="0" w:space="0" w:color="auto"/>
        <w:left w:val="none" w:sz="0" w:space="0" w:color="auto"/>
        <w:bottom w:val="none" w:sz="0" w:space="0" w:color="auto"/>
        <w:right w:val="none" w:sz="0" w:space="0" w:color="auto"/>
      </w:divBdr>
    </w:div>
    <w:div w:id="752052148">
      <w:bodyDiv w:val="1"/>
      <w:marLeft w:val="0"/>
      <w:marRight w:val="0"/>
      <w:marTop w:val="0"/>
      <w:marBottom w:val="0"/>
      <w:divBdr>
        <w:top w:val="none" w:sz="0" w:space="0" w:color="auto"/>
        <w:left w:val="none" w:sz="0" w:space="0" w:color="auto"/>
        <w:bottom w:val="none" w:sz="0" w:space="0" w:color="auto"/>
        <w:right w:val="none" w:sz="0" w:space="0" w:color="auto"/>
      </w:divBdr>
    </w:div>
    <w:div w:id="752120798">
      <w:bodyDiv w:val="1"/>
      <w:marLeft w:val="0"/>
      <w:marRight w:val="0"/>
      <w:marTop w:val="0"/>
      <w:marBottom w:val="0"/>
      <w:divBdr>
        <w:top w:val="none" w:sz="0" w:space="0" w:color="auto"/>
        <w:left w:val="none" w:sz="0" w:space="0" w:color="auto"/>
        <w:bottom w:val="none" w:sz="0" w:space="0" w:color="auto"/>
        <w:right w:val="none" w:sz="0" w:space="0" w:color="auto"/>
      </w:divBdr>
    </w:div>
    <w:div w:id="752241640">
      <w:bodyDiv w:val="1"/>
      <w:marLeft w:val="0"/>
      <w:marRight w:val="0"/>
      <w:marTop w:val="0"/>
      <w:marBottom w:val="0"/>
      <w:divBdr>
        <w:top w:val="none" w:sz="0" w:space="0" w:color="auto"/>
        <w:left w:val="none" w:sz="0" w:space="0" w:color="auto"/>
        <w:bottom w:val="none" w:sz="0" w:space="0" w:color="auto"/>
        <w:right w:val="none" w:sz="0" w:space="0" w:color="auto"/>
      </w:divBdr>
    </w:div>
    <w:div w:id="752318702">
      <w:bodyDiv w:val="1"/>
      <w:marLeft w:val="0"/>
      <w:marRight w:val="0"/>
      <w:marTop w:val="0"/>
      <w:marBottom w:val="0"/>
      <w:divBdr>
        <w:top w:val="none" w:sz="0" w:space="0" w:color="auto"/>
        <w:left w:val="none" w:sz="0" w:space="0" w:color="auto"/>
        <w:bottom w:val="none" w:sz="0" w:space="0" w:color="auto"/>
        <w:right w:val="none" w:sz="0" w:space="0" w:color="auto"/>
      </w:divBdr>
    </w:div>
    <w:div w:id="752433488">
      <w:bodyDiv w:val="1"/>
      <w:marLeft w:val="0"/>
      <w:marRight w:val="0"/>
      <w:marTop w:val="0"/>
      <w:marBottom w:val="0"/>
      <w:divBdr>
        <w:top w:val="none" w:sz="0" w:space="0" w:color="auto"/>
        <w:left w:val="none" w:sz="0" w:space="0" w:color="auto"/>
        <w:bottom w:val="none" w:sz="0" w:space="0" w:color="auto"/>
        <w:right w:val="none" w:sz="0" w:space="0" w:color="auto"/>
      </w:divBdr>
    </w:div>
    <w:div w:id="752436901">
      <w:bodyDiv w:val="1"/>
      <w:marLeft w:val="0"/>
      <w:marRight w:val="0"/>
      <w:marTop w:val="0"/>
      <w:marBottom w:val="0"/>
      <w:divBdr>
        <w:top w:val="none" w:sz="0" w:space="0" w:color="auto"/>
        <w:left w:val="none" w:sz="0" w:space="0" w:color="auto"/>
        <w:bottom w:val="none" w:sz="0" w:space="0" w:color="auto"/>
        <w:right w:val="none" w:sz="0" w:space="0" w:color="auto"/>
      </w:divBdr>
    </w:div>
    <w:div w:id="752507430">
      <w:bodyDiv w:val="1"/>
      <w:marLeft w:val="0"/>
      <w:marRight w:val="0"/>
      <w:marTop w:val="0"/>
      <w:marBottom w:val="0"/>
      <w:divBdr>
        <w:top w:val="none" w:sz="0" w:space="0" w:color="auto"/>
        <w:left w:val="none" w:sz="0" w:space="0" w:color="auto"/>
        <w:bottom w:val="none" w:sz="0" w:space="0" w:color="auto"/>
        <w:right w:val="none" w:sz="0" w:space="0" w:color="auto"/>
      </w:divBdr>
    </w:div>
    <w:div w:id="752553344">
      <w:bodyDiv w:val="1"/>
      <w:marLeft w:val="0"/>
      <w:marRight w:val="0"/>
      <w:marTop w:val="0"/>
      <w:marBottom w:val="0"/>
      <w:divBdr>
        <w:top w:val="none" w:sz="0" w:space="0" w:color="auto"/>
        <w:left w:val="none" w:sz="0" w:space="0" w:color="auto"/>
        <w:bottom w:val="none" w:sz="0" w:space="0" w:color="auto"/>
        <w:right w:val="none" w:sz="0" w:space="0" w:color="auto"/>
      </w:divBdr>
    </w:div>
    <w:div w:id="752554347">
      <w:bodyDiv w:val="1"/>
      <w:marLeft w:val="0"/>
      <w:marRight w:val="0"/>
      <w:marTop w:val="0"/>
      <w:marBottom w:val="0"/>
      <w:divBdr>
        <w:top w:val="none" w:sz="0" w:space="0" w:color="auto"/>
        <w:left w:val="none" w:sz="0" w:space="0" w:color="auto"/>
        <w:bottom w:val="none" w:sz="0" w:space="0" w:color="auto"/>
        <w:right w:val="none" w:sz="0" w:space="0" w:color="auto"/>
      </w:divBdr>
    </w:div>
    <w:div w:id="752555802">
      <w:bodyDiv w:val="1"/>
      <w:marLeft w:val="0"/>
      <w:marRight w:val="0"/>
      <w:marTop w:val="0"/>
      <w:marBottom w:val="0"/>
      <w:divBdr>
        <w:top w:val="none" w:sz="0" w:space="0" w:color="auto"/>
        <w:left w:val="none" w:sz="0" w:space="0" w:color="auto"/>
        <w:bottom w:val="none" w:sz="0" w:space="0" w:color="auto"/>
        <w:right w:val="none" w:sz="0" w:space="0" w:color="auto"/>
      </w:divBdr>
    </w:div>
    <w:div w:id="752699378">
      <w:bodyDiv w:val="1"/>
      <w:marLeft w:val="0"/>
      <w:marRight w:val="0"/>
      <w:marTop w:val="0"/>
      <w:marBottom w:val="0"/>
      <w:divBdr>
        <w:top w:val="none" w:sz="0" w:space="0" w:color="auto"/>
        <w:left w:val="none" w:sz="0" w:space="0" w:color="auto"/>
        <w:bottom w:val="none" w:sz="0" w:space="0" w:color="auto"/>
        <w:right w:val="none" w:sz="0" w:space="0" w:color="auto"/>
      </w:divBdr>
    </w:div>
    <w:div w:id="752704327">
      <w:bodyDiv w:val="1"/>
      <w:marLeft w:val="0"/>
      <w:marRight w:val="0"/>
      <w:marTop w:val="0"/>
      <w:marBottom w:val="0"/>
      <w:divBdr>
        <w:top w:val="none" w:sz="0" w:space="0" w:color="auto"/>
        <w:left w:val="none" w:sz="0" w:space="0" w:color="auto"/>
        <w:bottom w:val="none" w:sz="0" w:space="0" w:color="auto"/>
        <w:right w:val="none" w:sz="0" w:space="0" w:color="auto"/>
      </w:divBdr>
    </w:div>
    <w:div w:id="752900151">
      <w:bodyDiv w:val="1"/>
      <w:marLeft w:val="0"/>
      <w:marRight w:val="0"/>
      <w:marTop w:val="0"/>
      <w:marBottom w:val="0"/>
      <w:divBdr>
        <w:top w:val="none" w:sz="0" w:space="0" w:color="auto"/>
        <w:left w:val="none" w:sz="0" w:space="0" w:color="auto"/>
        <w:bottom w:val="none" w:sz="0" w:space="0" w:color="auto"/>
        <w:right w:val="none" w:sz="0" w:space="0" w:color="auto"/>
      </w:divBdr>
    </w:div>
    <w:div w:id="752968872">
      <w:bodyDiv w:val="1"/>
      <w:marLeft w:val="0"/>
      <w:marRight w:val="0"/>
      <w:marTop w:val="0"/>
      <w:marBottom w:val="0"/>
      <w:divBdr>
        <w:top w:val="none" w:sz="0" w:space="0" w:color="auto"/>
        <w:left w:val="none" w:sz="0" w:space="0" w:color="auto"/>
        <w:bottom w:val="none" w:sz="0" w:space="0" w:color="auto"/>
        <w:right w:val="none" w:sz="0" w:space="0" w:color="auto"/>
      </w:divBdr>
    </w:div>
    <w:div w:id="752970467">
      <w:bodyDiv w:val="1"/>
      <w:marLeft w:val="0"/>
      <w:marRight w:val="0"/>
      <w:marTop w:val="0"/>
      <w:marBottom w:val="0"/>
      <w:divBdr>
        <w:top w:val="none" w:sz="0" w:space="0" w:color="auto"/>
        <w:left w:val="none" w:sz="0" w:space="0" w:color="auto"/>
        <w:bottom w:val="none" w:sz="0" w:space="0" w:color="auto"/>
        <w:right w:val="none" w:sz="0" w:space="0" w:color="auto"/>
      </w:divBdr>
    </w:div>
    <w:div w:id="753088570">
      <w:bodyDiv w:val="1"/>
      <w:marLeft w:val="0"/>
      <w:marRight w:val="0"/>
      <w:marTop w:val="0"/>
      <w:marBottom w:val="0"/>
      <w:divBdr>
        <w:top w:val="none" w:sz="0" w:space="0" w:color="auto"/>
        <w:left w:val="none" w:sz="0" w:space="0" w:color="auto"/>
        <w:bottom w:val="none" w:sz="0" w:space="0" w:color="auto"/>
        <w:right w:val="none" w:sz="0" w:space="0" w:color="auto"/>
      </w:divBdr>
    </w:div>
    <w:div w:id="753093526">
      <w:bodyDiv w:val="1"/>
      <w:marLeft w:val="0"/>
      <w:marRight w:val="0"/>
      <w:marTop w:val="0"/>
      <w:marBottom w:val="0"/>
      <w:divBdr>
        <w:top w:val="none" w:sz="0" w:space="0" w:color="auto"/>
        <w:left w:val="none" w:sz="0" w:space="0" w:color="auto"/>
        <w:bottom w:val="none" w:sz="0" w:space="0" w:color="auto"/>
        <w:right w:val="none" w:sz="0" w:space="0" w:color="auto"/>
      </w:divBdr>
    </w:div>
    <w:div w:id="753162248">
      <w:bodyDiv w:val="1"/>
      <w:marLeft w:val="0"/>
      <w:marRight w:val="0"/>
      <w:marTop w:val="0"/>
      <w:marBottom w:val="0"/>
      <w:divBdr>
        <w:top w:val="none" w:sz="0" w:space="0" w:color="auto"/>
        <w:left w:val="none" w:sz="0" w:space="0" w:color="auto"/>
        <w:bottom w:val="none" w:sz="0" w:space="0" w:color="auto"/>
        <w:right w:val="none" w:sz="0" w:space="0" w:color="auto"/>
      </w:divBdr>
    </w:div>
    <w:div w:id="753164859">
      <w:bodyDiv w:val="1"/>
      <w:marLeft w:val="0"/>
      <w:marRight w:val="0"/>
      <w:marTop w:val="0"/>
      <w:marBottom w:val="0"/>
      <w:divBdr>
        <w:top w:val="none" w:sz="0" w:space="0" w:color="auto"/>
        <w:left w:val="none" w:sz="0" w:space="0" w:color="auto"/>
        <w:bottom w:val="none" w:sz="0" w:space="0" w:color="auto"/>
        <w:right w:val="none" w:sz="0" w:space="0" w:color="auto"/>
      </w:divBdr>
    </w:div>
    <w:div w:id="753169695">
      <w:bodyDiv w:val="1"/>
      <w:marLeft w:val="0"/>
      <w:marRight w:val="0"/>
      <w:marTop w:val="0"/>
      <w:marBottom w:val="0"/>
      <w:divBdr>
        <w:top w:val="none" w:sz="0" w:space="0" w:color="auto"/>
        <w:left w:val="none" w:sz="0" w:space="0" w:color="auto"/>
        <w:bottom w:val="none" w:sz="0" w:space="0" w:color="auto"/>
        <w:right w:val="none" w:sz="0" w:space="0" w:color="auto"/>
      </w:divBdr>
    </w:div>
    <w:div w:id="753354819">
      <w:bodyDiv w:val="1"/>
      <w:marLeft w:val="0"/>
      <w:marRight w:val="0"/>
      <w:marTop w:val="0"/>
      <w:marBottom w:val="0"/>
      <w:divBdr>
        <w:top w:val="none" w:sz="0" w:space="0" w:color="auto"/>
        <w:left w:val="none" w:sz="0" w:space="0" w:color="auto"/>
        <w:bottom w:val="none" w:sz="0" w:space="0" w:color="auto"/>
        <w:right w:val="none" w:sz="0" w:space="0" w:color="auto"/>
      </w:divBdr>
    </w:div>
    <w:div w:id="753355080">
      <w:bodyDiv w:val="1"/>
      <w:marLeft w:val="0"/>
      <w:marRight w:val="0"/>
      <w:marTop w:val="0"/>
      <w:marBottom w:val="0"/>
      <w:divBdr>
        <w:top w:val="none" w:sz="0" w:space="0" w:color="auto"/>
        <w:left w:val="none" w:sz="0" w:space="0" w:color="auto"/>
        <w:bottom w:val="none" w:sz="0" w:space="0" w:color="auto"/>
        <w:right w:val="none" w:sz="0" w:space="0" w:color="auto"/>
      </w:divBdr>
    </w:div>
    <w:div w:id="753402014">
      <w:bodyDiv w:val="1"/>
      <w:marLeft w:val="0"/>
      <w:marRight w:val="0"/>
      <w:marTop w:val="0"/>
      <w:marBottom w:val="0"/>
      <w:divBdr>
        <w:top w:val="none" w:sz="0" w:space="0" w:color="auto"/>
        <w:left w:val="none" w:sz="0" w:space="0" w:color="auto"/>
        <w:bottom w:val="none" w:sz="0" w:space="0" w:color="auto"/>
        <w:right w:val="none" w:sz="0" w:space="0" w:color="auto"/>
      </w:divBdr>
    </w:div>
    <w:div w:id="753554197">
      <w:bodyDiv w:val="1"/>
      <w:marLeft w:val="0"/>
      <w:marRight w:val="0"/>
      <w:marTop w:val="0"/>
      <w:marBottom w:val="0"/>
      <w:divBdr>
        <w:top w:val="none" w:sz="0" w:space="0" w:color="auto"/>
        <w:left w:val="none" w:sz="0" w:space="0" w:color="auto"/>
        <w:bottom w:val="none" w:sz="0" w:space="0" w:color="auto"/>
        <w:right w:val="none" w:sz="0" w:space="0" w:color="auto"/>
      </w:divBdr>
    </w:div>
    <w:div w:id="753598843">
      <w:bodyDiv w:val="1"/>
      <w:marLeft w:val="0"/>
      <w:marRight w:val="0"/>
      <w:marTop w:val="0"/>
      <w:marBottom w:val="0"/>
      <w:divBdr>
        <w:top w:val="none" w:sz="0" w:space="0" w:color="auto"/>
        <w:left w:val="none" w:sz="0" w:space="0" w:color="auto"/>
        <w:bottom w:val="none" w:sz="0" w:space="0" w:color="auto"/>
        <w:right w:val="none" w:sz="0" w:space="0" w:color="auto"/>
      </w:divBdr>
    </w:div>
    <w:div w:id="753672584">
      <w:bodyDiv w:val="1"/>
      <w:marLeft w:val="0"/>
      <w:marRight w:val="0"/>
      <w:marTop w:val="0"/>
      <w:marBottom w:val="0"/>
      <w:divBdr>
        <w:top w:val="none" w:sz="0" w:space="0" w:color="auto"/>
        <w:left w:val="none" w:sz="0" w:space="0" w:color="auto"/>
        <w:bottom w:val="none" w:sz="0" w:space="0" w:color="auto"/>
        <w:right w:val="none" w:sz="0" w:space="0" w:color="auto"/>
      </w:divBdr>
    </w:div>
    <w:div w:id="753747324">
      <w:bodyDiv w:val="1"/>
      <w:marLeft w:val="0"/>
      <w:marRight w:val="0"/>
      <w:marTop w:val="0"/>
      <w:marBottom w:val="0"/>
      <w:divBdr>
        <w:top w:val="none" w:sz="0" w:space="0" w:color="auto"/>
        <w:left w:val="none" w:sz="0" w:space="0" w:color="auto"/>
        <w:bottom w:val="none" w:sz="0" w:space="0" w:color="auto"/>
        <w:right w:val="none" w:sz="0" w:space="0" w:color="auto"/>
      </w:divBdr>
    </w:div>
    <w:div w:id="753819552">
      <w:bodyDiv w:val="1"/>
      <w:marLeft w:val="0"/>
      <w:marRight w:val="0"/>
      <w:marTop w:val="0"/>
      <w:marBottom w:val="0"/>
      <w:divBdr>
        <w:top w:val="none" w:sz="0" w:space="0" w:color="auto"/>
        <w:left w:val="none" w:sz="0" w:space="0" w:color="auto"/>
        <w:bottom w:val="none" w:sz="0" w:space="0" w:color="auto"/>
        <w:right w:val="none" w:sz="0" w:space="0" w:color="auto"/>
      </w:divBdr>
    </w:div>
    <w:div w:id="753861259">
      <w:bodyDiv w:val="1"/>
      <w:marLeft w:val="0"/>
      <w:marRight w:val="0"/>
      <w:marTop w:val="0"/>
      <w:marBottom w:val="0"/>
      <w:divBdr>
        <w:top w:val="none" w:sz="0" w:space="0" w:color="auto"/>
        <w:left w:val="none" w:sz="0" w:space="0" w:color="auto"/>
        <w:bottom w:val="none" w:sz="0" w:space="0" w:color="auto"/>
        <w:right w:val="none" w:sz="0" w:space="0" w:color="auto"/>
      </w:divBdr>
    </w:div>
    <w:div w:id="753891357">
      <w:bodyDiv w:val="1"/>
      <w:marLeft w:val="0"/>
      <w:marRight w:val="0"/>
      <w:marTop w:val="0"/>
      <w:marBottom w:val="0"/>
      <w:divBdr>
        <w:top w:val="none" w:sz="0" w:space="0" w:color="auto"/>
        <w:left w:val="none" w:sz="0" w:space="0" w:color="auto"/>
        <w:bottom w:val="none" w:sz="0" w:space="0" w:color="auto"/>
        <w:right w:val="none" w:sz="0" w:space="0" w:color="auto"/>
      </w:divBdr>
    </w:div>
    <w:div w:id="753892313">
      <w:bodyDiv w:val="1"/>
      <w:marLeft w:val="0"/>
      <w:marRight w:val="0"/>
      <w:marTop w:val="0"/>
      <w:marBottom w:val="0"/>
      <w:divBdr>
        <w:top w:val="none" w:sz="0" w:space="0" w:color="auto"/>
        <w:left w:val="none" w:sz="0" w:space="0" w:color="auto"/>
        <w:bottom w:val="none" w:sz="0" w:space="0" w:color="auto"/>
        <w:right w:val="none" w:sz="0" w:space="0" w:color="auto"/>
      </w:divBdr>
    </w:div>
    <w:div w:id="754205934">
      <w:bodyDiv w:val="1"/>
      <w:marLeft w:val="0"/>
      <w:marRight w:val="0"/>
      <w:marTop w:val="0"/>
      <w:marBottom w:val="0"/>
      <w:divBdr>
        <w:top w:val="none" w:sz="0" w:space="0" w:color="auto"/>
        <w:left w:val="none" w:sz="0" w:space="0" w:color="auto"/>
        <w:bottom w:val="none" w:sz="0" w:space="0" w:color="auto"/>
        <w:right w:val="none" w:sz="0" w:space="0" w:color="auto"/>
      </w:divBdr>
    </w:div>
    <w:div w:id="754205969">
      <w:bodyDiv w:val="1"/>
      <w:marLeft w:val="0"/>
      <w:marRight w:val="0"/>
      <w:marTop w:val="0"/>
      <w:marBottom w:val="0"/>
      <w:divBdr>
        <w:top w:val="none" w:sz="0" w:space="0" w:color="auto"/>
        <w:left w:val="none" w:sz="0" w:space="0" w:color="auto"/>
        <w:bottom w:val="none" w:sz="0" w:space="0" w:color="auto"/>
        <w:right w:val="none" w:sz="0" w:space="0" w:color="auto"/>
      </w:divBdr>
    </w:div>
    <w:div w:id="754280298">
      <w:bodyDiv w:val="1"/>
      <w:marLeft w:val="0"/>
      <w:marRight w:val="0"/>
      <w:marTop w:val="0"/>
      <w:marBottom w:val="0"/>
      <w:divBdr>
        <w:top w:val="none" w:sz="0" w:space="0" w:color="auto"/>
        <w:left w:val="none" w:sz="0" w:space="0" w:color="auto"/>
        <w:bottom w:val="none" w:sz="0" w:space="0" w:color="auto"/>
        <w:right w:val="none" w:sz="0" w:space="0" w:color="auto"/>
      </w:divBdr>
    </w:div>
    <w:div w:id="754397408">
      <w:bodyDiv w:val="1"/>
      <w:marLeft w:val="0"/>
      <w:marRight w:val="0"/>
      <w:marTop w:val="0"/>
      <w:marBottom w:val="0"/>
      <w:divBdr>
        <w:top w:val="none" w:sz="0" w:space="0" w:color="auto"/>
        <w:left w:val="none" w:sz="0" w:space="0" w:color="auto"/>
        <w:bottom w:val="none" w:sz="0" w:space="0" w:color="auto"/>
        <w:right w:val="none" w:sz="0" w:space="0" w:color="auto"/>
      </w:divBdr>
    </w:div>
    <w:div w:id="754472929">
      <w:bodyDiv w:val="1"/>
      <w:marLeft w:val="0"/>
      <w:marRight w:val="0"/>
      <w:marTop w:val="0"/>
      <w:marBottom w:val="0"/>
      <w:divBdr>
        <w:top w:val="none" w:sz="0" w:space="0" w:color="auto"/>
        <w:left w:val="none" w:sz="0" w:space="0" w:color="auto"/>
        <w:bottom w:val="none" w:sz="0" w:space="0" w:color="auto"/>
        <w:right w:val="none" w:sz="0" w:space="0" w:color="auto"/>
      </w:divBdr>
    </w:div>
    <w:div w:id="754480249">
      <w:bodyDiv w:val="1"/>
      <w:marLeft w:val="0"/>
      <w:marRight w:val="0"/>
      <w:marTop w:val="0"/>
      <w:marBottom w:val="0"/>
      <w:divBdr>
        <w:top w:val="none" w:sz="0" w:space="0" w:color="auto"/>
        <w:left w:val="none" w:sz="0" w:space="0" w:color="auto"/>
        <w:bottom w:val="none" w:sz="0" w:space="0" w:color="auto"/>
        <w:right w:val="none" w:sz="0" w:space="0" w:color="auto"/>
      </w:divBdr>
    </w:div>
    <w:div w:id="754597352">
      <w:bodyDiv w:val="1"/>
      <w:marLeft w:val="0"/>
      <w:marRight w:val="0"/>
      <w:marTop w:val="0"/>
      <w:marBottom w:val="0"/>
      <w:divBdr>
        <w:top w:val="none" w:sz="0" w:space="0" w:color="auto"/>
        <w:left w:val="none" w:sz="0" w:space="0" w:color="auto"/>
        <w:bottom w:val="none" w:sz="0" w:space="0" w:color="auto"/>
        <w:right w:val="none" w:sz="0" w:space="0" w:color="auto"/>
      </w:divBdr>
    </w:div>
    <w:div w:id="754665541">
      <w:bodyDiv w:val="1"/>
      <w:marLeft w:val="0"/>
      <w:marRight w:val="0"/>
      <w:marTop w:val="0"/>
      <w:marBottom w:val="0"/>
      <w:divBdr>
        <w:top w:val="none" w:sz="0" w:space="0" w:color="auto"/>
        <w:left w:val="none" w:sz="0" w:space="0" w:color="auto"/>
        <w:bottom w:val="none" w:sz="0" w:space="0" w:color="auto"/>
        <w:right w:val="none" w:sz="0" w:space="0" w:color="auto"/>
      </w:divBdr>
    </w:div>
    <w:div w:id="754666825">
      <w:bodyDiv w:val="1"/>
      <w:marLeft w:val="0"/>
      <w:marRight w:val="0"/>
      <w:marTop w:val="0"/>
      <w:marBottom w:val="0"/>
      <w:divBdr>
        <w:top w:val="none" w:sz="0" w:space="0" w:color="auto"/>
        <w:left w:val="none" w:sz="0" w:space="0" w:color="auto"/>
        <w:bottom w:val="none" w:sz="0" w:space="0" w:color="auto"/>
        <w:right w:val="none" w:sz="0" w:space="0" w:color="auto"/>
      </w:divBdr>
    </w:div>
    <w:div w:id="754860691">
      <w:bodyDiv w:val="1"/>
      <w:marLeft w:val="0"/>
      <w:marRight w:val="0"/>
      <w:marTop w:val="0"/>
      <w:marBottom w:val="0"/>
      <w:divBdr>
        <w:top w:val="none" w:sz="0" w:space="0" w:color="auto"/>
        <w:left w:val="none" w:sz="0" w:space="0" w:color="auto"/>
        <w:bottom w:val="none" w:sz="0" w:space="0" w:color="auto"/>
        <w:right w:val="none" w:sz="0" w:space="0" w:color="auto"/>
      </w:divBdr>
    </w:div>
    <w:div w:id="755057997">
      <w:bodyDiv w:val="1"/>
      <w:marLeft w:val="0"/>
      <w:marRight w:val="0"/>
      <w:marTop w:val="0"/>
      <w:marBottom w:val="0"/>
      <w:divBdr>
        <w:top w:val="none" w:sz="0" w:space="0" w:color="auto"/>
        <w:left w:val="none" w:sz="0" w:space="0" w:color="auto"/>
        <w:bottom w:val="none" w:sz="0" w:space="0" w:color="auto"/>
        <w:right w:val="none" w:sz="0" w:space="0" w:color="auto"/>
      </w:divBdr>
    </w:div>
    <w:div w:id="755134897">
      <w:bodyDiv w:val="1"/>
      <w:marLeft w:val="0"/>
      <w:marRight w:val="0"/>
      <w:marTop w:val="0"/>
      <w:marBottom w:val="0"/>
      <w:divBdr>
        <w:top w:val="none" w:sz="0" w:space="0" w:color="auto"/>
        <w:left w:val="none" w:sz="0" w:space="0" w:color="auto"/>
        <w:bottom w:val="none" w:sz="0" w:space="0" w:color="auto"/>
        <w:right w:val="none" w:sz="0" w:space="0" w:color="auto"/>
      </w:divBdr>
    </w:div>
    <w:div w:id="755203982">
      <w:bodyDiv w:val="1"/>
      <w:marLeft w:val="0"/>
      <w:marRight w:val="0"/>
      <w:marTop w:val="0"/>
      <w:marBottom w:val="0"/>
      <w:divBdr>
        <w:top w:val="none" w:sz="0" w:space="0" w:color="auto"/>
        <w:left w:val="none" w:sz="0" w:space="0" w:color="auto"/>
        <w:bottom w:val="none" w:sz="0" w:space="0" w:color="auto"/>
        <w:right w:val="none" w:sz="0" w:space="0" w:color="auto"/>
      </w:divBdr>
    </w:div>
    <w:div w:id="755246499">
      <w:bodyDiv w:val="1"/>
      <w:marLeft w:val="0"/>
      <w:marRight w:val="0"/>
      <w:marTop w:val="0"/>
      <w:marBottom w:val="0"/>
      <w:divBdr>
        <w:top w:val="none" w:sz="0" w:space="0" w:color="auto"/>
        <w:left w:val="none" w:sz="0" w:space="0" w:color="auto"/>
        <w:bottom w:val="none" w:sz="0" w:space="0" w:color="auto"/>
        <w:right w:val="none" w:sz="0" w:space="0" w:color="auto"/>
      </w:divBdr>
    </w:div>
    <w:div w:id="755438105">
      <w:bodyDiv w:val="1"/>
      <w:marLeft w:val="0"/>
      <w:marRight w:val="0"/>
      <w:marTop w:val="0"/>
      <w:marBottom w:val="0"/>
      <w:divBdr>
        <w:top w:val="none" w:sz="0" w:space="0" w:color="auto"/>
        <w:left w:val="none" w:sz="0" w:space="0" w:color="auto"/>
        <w:bottom w:val="none" w:sz="0" w:space="0" w:color="auto"/>
        <w:right w:val="none" w:sz="0" w:space="0" w:color="auto"/>
      </w:divBdr>
    </w:div>
    <w:div w:id="755632610">
      <w:bodyDiv w:val="1"/>
      <w:marLeft w:val="0"/>
      <w:marRight w:val="0"/>
      <w:marTop w:val="0"/>
      <w:marBottom w:val="0"/>
      <w:divBdr>
        <w:top w:val="none" w:sz="0" w:space="0" w:color="auto"/>
        <w:left w:val="none" w:sz="0" w:space="0" w:color="auto"/>
        <w:bottom w:val="none" w:sz="0" w:space="0" w:color="auto"/>
        <w:right w:val="none" w:sz="0" w:space="0" w:color="auto"/>
      </w:divBdr>
    </w:div>
    <w:div w:id="755635052">
      <w:bodyDiv w:val="1"/>
      <w:marLeft w:val="0"/>
      <w:marRight w:val="0"/>
      <w:marTop w:val="0"/>
      <w:marBottom w:val="0"/>
      <w:divBdr>
        <w:top w:val="none" w:sz="0" w:space="0" w:color="auto"/>
        <w:left w:val="none" w:sz="0" w:space="0" w:color="auto"/>
        <w:bottom w:val="none" w:sz="0" w:space="0" w:color="auto"/>
        <w:right w:val="none" w:sz="0" w:space="0" w:color="auto"/>
      </w:divBdr>
    </w:div>
    <w:div w:id="755639311">
      <w:bodyDiv w:val="1"/>
      <w:marLeft w:val="0"/>
      <w:marRight w:val="0"/>
      <w:marTop w:val="0"/>
      <w:marBottom w:val="0"/>
      <w:divBdr>
        <w:top w:val="none" w:sz="0" w:space="0" w:color="auto"/>
        <w:left w:val="none" w:sz="0" w:space="0" w:color="auto"/>
        <w:bottom w:val="none" w:sz="0" w:space="0" w:color="auto"/>
        <w:right w:val="none" w:sz="0" w:space="0" w:color="auto"/>
      </w:divBdr>
    </w:div>
    <w:div w:id="755782577">
      <w:bodyDiv w:val="1"/>
      <w:marLeft w:val="0"/>
      <w:marRight w:val="0"/>
      <w:marTop w:val="0"/>
      <w:marBottom w:val="0"/>
      <w:divBdr>
        <w:top w:val="none" w:sz="0" w:space="0" w:color="auto"/>
        <w:left w:val="none" w:sz="0" w:space="0" w:color="auto"/>
        <w:bottom w:val="none" w:sz="0" w:space="0" w:color="auto"/>
        <w:right w:val="none" w:sz="0" w:space="0" w:color="auto"/>
      </w:divBdr>
    </w:div>
    <w:div w:id="755782740">
      <w:bodyDiv w:val="1"/>
      <w:marLeft w:val="0"/>
      <w:marRight w:val="0"/>
      <w:marTop w:val="0"/>
      <w:marBottom w:val="0"/>
      <w:divBdr>
        <w:top w:val="none" w:sz="0" w:space="0" w:color="auto"/>
        <w:left w:val="none" w:sz="0" w:space="0" w:color="auto"/>
        <w:bottom w:val="none" w:sz="0" w:space="0" w:color="auto"/>
        <w:right w:val="none" w:sz="0" w:space="0" w:color="auto"/>
      </w:divBdr>
    </w:div>
    <w:div w:id="755828904">
      <w:bodyDiv w:val="1"/>
      <w:marLeft w:val="0"/>
      <w:marRight w:val="0"/>
      <w:marTop w:val="0"/>
      <w:marBottom w:val="0"/>
      <w:divBdr>
        <w:top w:val="none" w:sz="0" w:space="0" w:color="auto"/>
        <w:left w:val="none" w:sz="0" w:space="0" w:color="auto"/>
        <w:bottom w:val="none" w:sz="0" w:space="0" w:color="auto"/>
        <w:right w:val="none" w:sz="0" w:space="0" w:color="auto"/>
      </w:divBdr>
    </w:div>
    <w:div w:id="755978496">
      <w:bodyDiv w:val="1"/>
      <w:marLeft w:val="0"/>
      <w:marRight w:val="0"/>
      <w:marTop w:val="0"/>
      <w:marBottom w:val="0"/>
      <w:divBdr>
        <w:top w:val="none" w:sz="0" w:space="0" w:color="auto"/>
        <w:left w:val="none" w:sz="0" w:space="0" w:color="auto"/>
        <w:bottom w:val="none" w:sz="0" w:space="0" w:color="auto"/>
        <w:right w:val="none" w:sz="0" w:space="0" w:color="auto"/>
      </w:divBdr>
    </w:div>
    <w:div w:id="756051321">
      <w:bodyDiv w:val="1"/>
      <w:marLeft w:val="0"/>
      <w:marRight w:val="0"/>
      <w:marTop w:val="0"/>
      <w:marBottom w:val="0"/>
      <w:divBdr>
        <w:top w:val="none" w:sz="0" w:space="0" w:color="auto"/>
        <w:left w:val="none" w:sz="0" w:space="0" w:color="auto"/>
        <w:bottom w:val="none" w:sz="0" w:space="0" w:color="auto"/>
        <w:right w:val="none" w:sz="0" w:space="0" w:color="auto"/>
      </w:divBdr>
    </w:div>
    <w:div w:id="756250685">
      <w:bodyDiv w:val="1"/>
      <w:marLeft w:val="0"/>
      <w:marRight w:val="0"/>
      <w:marTop w:val="0"/>
      <w:marBottom w:val="0"/>
      <w:divBdr>
        <w:top w:val="none" w:sz="0" w:space="0" w:color="auto"/>
        <w:left w:val="none" w:sz="0" w:space="0" w:color="auto"/>
        <w:bottom w:val="none" w:sz="0" w:space="0" w:color="auto"/>
        <w:right w:val="none" w:sz="0" w:space="0" w:color="auto"/>
      </w:divBdr>
    </w:div>
    <w:div w:id="756293728">
      <w:bodyDiv w:val="1"/>
      <w:marLeft w:val="0"/>
      <w:marRight w:val="0"/>
      <w:marTop w:val="0"/>
      <w:marBottom w:val="0"/>
      <w:divBdr>
        <w:top w:val="none" w:sz="0" w:space="0" w:color="auto"/>
        <w:left w:val="none" w:sz="0" w:space="0" w:color="auto"/>
        <w:bottom w:val="none" w:sz="0" w:space="0" w:color="auto"/>
        <w:right w:val="none" w:sz="0" w:space="0" w:color="auto"/>
      </w:divBdr>
    </w:div>
    <w:div w:id="756636992">
      <w:bodyDiv w:val="1"/>
      <w:marLeft w:val="0"/>
      <w:marRight w:val="0"/>
      <w:marTop w:val="0"/>
      <w:marBottom w:val="0"/>
      <w:divBdr>
        <w:top w:val="none" w:sz="0" w:space="0" w:color="auto"/>
        <w:left w:val="none" w:sz="0" w:space="0" w:color="auto"/>
        <w:bottom w:val="none" w:sz="0" w:space="0" w:color="auto"/>
        <w:right w:val="none" w:sz="0" w:space="0" w:color="auto"/>
      </w:divBdr>
    </w:div>
    <w:div w:id="756824693">
      <w:bodyDiv w:val="1"/>
      <w:marLeft w:val="0"/>
      <w:marRight w:val="0"/>
      <w:marTop w:val="0"/>
      <w:marBottom w:val="0"/>
      <w:divBdr>
        <w:top w:val="none" w:sz="0" w:space="0" w:color="auto"/>
        <w:left w:val="none" w:sz="0" w:space="0" w:color="auto"/>
        <w:bottom w:val="none" w:sz="0" w:space="0" w:color="auto"/>
        <w:right w:val="none" w:sz="0" w:space="0" w:color="auto"/>
      </w:divBdr>
    </w:div>
    <w:div w:id="756831372">
      <w:bodyDiv w:val="1"/>
      <w:marLeft w:val="0"/>
      <w:marRight w:val="0"/>
      <w:marTop w:val="0"/>
      <w:marBottom w:val="0"/>
      <w:divBdr>
        <w:top w:val="none" w:sz="0" w:space="0" w:color="auto"/>
        <w:left w:val="none" w:sz="0" w:space="0" w:color="auto"/>
        <w:bottom w:val="none" w:sz="0" w:space="0" w:color="auto"/>
        <w:right w:val="none" w:sz="0" w:space="0" w:color="auto"/>
      </w:divBdr>
    </w:div>
    <w:div w:id="756902102">
      <w:bodyDiv w:val="1"/>
      <w:marLeft w:val="0"/>
      <w:marRight w:val="0"/>
      <w:marTop w:val="0"/>
      <w:marBottom w:val="0"/>
      <w:divBdr>
        <w:top w:val="none" w:sz="0" w:space="0" w:color="auto"/>
        <w:left w:val="none" w:sz="0" w:space="0" w:color="auto"/>
        <w:bottom w:val="none" w:sz="0" w:space="0" w:color="auto"/>
        <w:right w:val="none" w:sz="0" w:space="0" w:color="auto"/>
      </w:divBdr>
    </w:div>
    <w:div w:id="756905344">
      <w:bodyDiv w:val="1"/>
      <w:marLeft w:val="0"/>
      <w:marRight w:val="0"/>
      <w:marTop w:val="0"/>
      <w:marBottom w:val="0"/>
      <w:divBdr>
        <w:top w:val="none" w:sz="0" w:space="0" w:color="auto"/>
        <w:left w:val="none" w:sz="0" w:space="0" w:color="auto"/>
        <w:bottom w:val="none" w:sz="0" w:space="0" w:color="auto"/>
        <w:right w:val="none" w:sz="0" w:space="0" w:color="auto"/>
      </w:divBdr>
    </w:div>
    <w:div w:id="756942609">
      <w:bodyDiv w:val="1"/>
      <w:marLeft w:val="0"/>
      <w:marRight w:val="0"/>
      <w:marTop w:val="0"/>
      <w:marBottom w:val="0"/>
      <w:divBdr>
        <w:top w:val="none" w:sz="0" w:space="0" w:color="auto"/>
        <w:left w:val="none" w:sz="0" w:space="0" w:color="auto"/>
        <w:bottom w:val="none" w:sz="0" w:space="0" w:color="auto"/>
        <w:right w:val="none" w:sz="0" w:space="0" w:color="auto"/>
      </w:divBdr>
    </w:div>
    <w:div w:id="756949041">
      <w:bodyDiv w:val="1"/>
      <w:marLeft w:val="0"/>
      <w:marRight w:val="0"/>
      <w:marTop w:val="0"/>
      <w:marBottom w:val="0"/>
      <w:divBdr>
        <w:top w:val="none" w:sz="0" w:space="0" w:color="auto"/>
        <w:left w:val="none" w:sz="0" w:space="0" w:color="auto"/>
        <w:bottom w:val="none" w:sz="0" w:space="0" w:color="auto"/>
        <w:right w:val="none" w:sz="0" w:space="0" w:color="auto"/>
      </w:divBdr>
    </w:div>
    <w:div w:id="757098597">
      <w:bodyDiv w:val="1"/>
      <w:marLeft w:val="0"/>
      <w:marRight w:val="0"/>
      <w:marTop w:val="0"/>
      <w:marBottom w:val="0"/>
      <w:divBdr>
        <w:top w:val="none" w:sz="0" w:space="0" w:color="auto"/>
        <w:left w:val="none" w:sz="0" w:space="0" w:color="auto"/>
        <w:bottom w:val="none" w:sz="0" w:space="0" w:color="auto"/>
        <w:right w:val="none" w:sz="0" w:space="0" w:color="auto"/>
      </w:divBdr>
    </w:div>
    <w:div w:id="757138295">
      <w:bodyDiv w:val="1"/>
      <w:marLeft w:val="0"/>
      <w:marRight w:val="0"/>
      <w:marTop w:val="0"/>
      <w:marBottom w:val="0"/>
      <w:divBdr>
        <w:top w:val="none" w:sz="0" w:space="0" w:color="auto"/>
        <w:left w:val="none" w:sz="0" w:space="0" w:color="auto"/>
        <w:bottom w:val="none" w:sz="0" w:space="0" w:color="auto"/>
        <w:right w:val="none" w:sz="0" w:space="0" w:color="auto"/>
      </w:divBdr>
    </w:div>
    <w:div w:id="757168234">
      <w:bodyDiv w:val="1"/>
      <w:marLeft w:val="0"/>
      <w:marRight w:val="0"/>
      <w:marTop w:val="0"/>
      <w:marBottom w:val="0"/>
      <w:divBdr>
        <w:top w:val="none" w:sz="0" w:space="0" w:color="auto"/>
        <w:left w:val="none" w:sz="0" w:space="0" w:color="auto"/>
        <w:bottom w:val="none" w:sz="0" w:space="0" w:color="auto"/>
        <w:right w:val="none" w:sz="0" w:space="0" w:color="auto"/>
      </w:divBdr>
    </w:div>
    <w:div w:id="757210925">
      <w:bodyDiv w:val="1"/>
      <w:marLeft w:val="0"/>
      <w:marRight w:val="0"/>
      <w:marTop w:val="0"/>
      <w:marBottom w:val="0"/>
      <w:divBdr>
        <w:top w:val="none" w:sz="0" w:space="0" w:color="auto"/>
        <w:left w:val="none" w:sz="0" w:space="0" w:color="auto"/>
        <w:bottom w:val="none" w:sz="0" w:space="0" w:color="auto"/>
        <w:right w:val="none" w:sz="0" w:space="0" w:color="auto"/>
      </w:divBdr>
    </w:div>
    <w:div w:id="757218462">
      <w:bodyDiv w:val="1"/>
      <w:marLeft w:val="0"/>
      <w:marRight w:val="0"/>
      <w:marTop w:val="0"/>
      <w:marBottom w:val="0"/>
      <w:divBdr>
        <w:top w:val="none" w:sz="0" w:space="0" w:color="auto"/>
        <w:left w:val="none" w:sz="0" w:space="0" w:color="auto"/>
        <w:bottom w:val="none" w:sz="0" w:space="0" w:color="auto"/>
        <w:right w:val="none" w:sz="0" w:space="0" w:color="auto"/>
      </w:divBdr>
    </w:div>
    <w:div w:id="757292874">
      <w:bodyDiv w:val="1"/>
      <w:marLeft w:val="0"/>
      <w:marRight w:val="0"/>
      <w:marTop w:val="0"/>
      <w:marBottom w:val="0"/>
      <w:divBdr>
        <w:top w:val="none" w:sz="0" w:space="0" w:color="auto"/>
        <w:left w:val="none" w:sz="0" w:space="0" w:color="auto"/>
        <w:bottom w:val="none" w:sz="0" w:space="0" w:color="auto"/>
        <w:right w:val="none" w:sz="0" w:space="0" w:color="auto"/>
      </w:divBdr>
    </w:div>
    <w:div w:id="757405184">
      <w:bodyDiv w:val="1"/>
      <w:marLeft w:val="0"/>
      <w:marRight w:val="0"/>
      <w:marTop w:val="0"/>
      <w:marBottom w:val="0"/>
      <w:divBdr>
        <w:top w:val="none" w:sz="0" w:space="0" w:color="auto"/>
        <w:left w:val="none" w:sz="0" w:space="0" w:color="auto"/>
        <w:bottom w:val="none" w:sz="0" w:space="0" w:color="auto"/>
        <w:right w:val="none" w:sz="0" w:space="0" w:color="auto"/>
      </w:divBdr>
    </w:div>
    <w:div w:id="757478672">
      <w:bodyDiv w:val="1"/>
      <w:marLeft w:val="0"/>
      <w:marRight w:val="0"/>
      <w:marTop w:val="0"/>
      <w:marBottom w:val="0"/>
      <w:divBdr>
        <w:top w:val="none" w:sz="0" w:space="0" w:color="auto"/>
        <w:left w:val="none" w:sz="0" w:space="0" w:color="auto"/>
        <w:bottom w:val="none" w:sz="0" w:space="0" w:color="auto"/>
        <w:right w:val="none" w:sz="0" w:space="0" w:color="auto"/>
      </w:divBdr>
    </w:div>
    <w:div w:id="757679062">
      <w:bodyDiv w:val="1"/>
      <w:marLeft w:val="0"/>
      <w:marRight w:val="0"/>
      <w:marTop w:val="0"/>
      <w:marBottom w:val="0"/>
      <w:divBdr>
        <w:top w:val="none" w:sz="0" w:space="0" w:color="auto"/>
        <w:left w:val="none" w:sz="0" w:space="0" w:color="auto"/>
        <w:bottom w:val="none" w:sz="0" w:space="0" w:color="auto"/>
        <w:right w:val="none" w:sz="0" w:space="0" w:color="auto"/>
      </w:divBdr>
    </w:div>
    <w:div w:id="757796802">
      <w:bodyDiv w:val="1"/>
      <w:marLeft w:val="0"/>
      <w:marRight w:val="0"/>
      <w:marTop w:val="0"/>
      <w:marBottom w:val="0"/>
      <w:divBdr>
        <w:top w:val="none" w:sz="0" w:space="0" w:color="auto"/>
        <w:left w:val="none" w:sz="0" w:space="0" w:color="auto"/>
        <w:bottom w:val="none" w:sz="0" w:space="0" w:color="auto"/>
        <w:right w:val="none" w:sz="0" w:space="0" w:color="auto"/>
      </w:divBdr>
    </w:div>
    <w:div w:id="758138717">
      <w:bodyDiv w:val="1"/>
      <w:marLeft w:val="0"/>
      <w:marRight w:val="0"/>
      <w:marTop w:val="0"/>
      <w:marBottom w:val="0"/>
      <w:divBdr>
        <w:top w:val="none" w:sz="0" w:space="0" w:color="auto"/>
        <w:left w:val="none" w:sz="0" w:space="0" w:color="auto"/>
        <w:bottom w:val="none" w:sz="0" w:space="0" w:color="auto"/>
        <w:right w:val="none" w:sz="0" w:space="0" w:color="auto"/>
      </w:divBdr>
    </w:div>
    <w:div w:id="758141253">
      <w:bodyDiv w:val="1"/>
      <w:marLeft w:val="0"/>
      <w:marRight w:val="0"/>
      <w:marTop w:val="0"/>
      <w:marBottom w:val="0"/>
      <w:divBdr>
        <w:top w:val="none" w:sz="0" w:space="0" w:color="auto"/>
        <w:left w:val="none" w:sz="0" w:space="0" w:color="auto"/>
        <w:bottom w:val="none" w:sz="0" w:space="0" w:color="auto"/>
        <w:right w:val="none" w:sz="0" w:space="0" w:color="auto"/>
      </w:divBdr>
    </w:div>
    <w:div w:id="758141658">
      <w:bodyDiv w:val="1"/>
      <w:marLeft w:val="0"/>
      <w:marRight w:val="0"/>
      <w:marTop w:val="0"/>
      <w:marBottom w:val="0"/>
      <w:divBdr>
        <w:top w:val="none" w:sz="0" w:space="0" w:color="auto"/>
        <w:left w:val="none" w:sz="0" w:space="0" w:color="auto"/>
        <w:bottom w:val="none" w:sz="0" w:space="0" w:color="auto"/>
        <w:right w:val="none" w:sz="0" w:space="0" w:color="auto"/>
      </w:divBdr>
    </w:div>
    <w:div w:id="758410418">
      <w:bodyDiv w:val="1"/>
      <w:marLeft w:val="0"/>
      <w:marRight w:val="0"/>
      <w:marTop w:val="0"/>
      <w:marBottom w:val="0"/>
      <w:divBdr>
        <w:top w:val="none" w:sz="0" w:space="0" w:color="auto"/>
        <w:left w:val="none" w:sz="0" w:space="0" w:color="auto"/>
        <w:bottom w:val="none" w:sz="0" w:space="0" w:color="auto"/>
        <w:right w:val="none" w:sz="0" w:space="0" w:color="auto"/>
      </w:divBdr>
    </w:div>
    <w:div w:id="758449779">
      <w:bodyDiv w:val="1"/>
      <w:marLeft w:val="0"/>
      <w:marRight w:val="0"/>
      <w:marTop w:val="0"/>
      <w:marBottom w:val="0"/>
      <w:divBdr>
        <w:top w:val="none" w:sz="0" w:space="0" w:color="auto"/>
        <w:left w:val="none" w:sz="0" w:space="0" w:color="auto"/>
        <w:bottom w:val="none" w:sz="0" w:space="0" w:color="auto"/>
        <w:right w:val="none" w:sz="0" w:space="0" w:color="auto"/>
      </w:divBdr>
    </w:div>
    <w:div w:id="758453996">
      <w:bodyDiv w:val="1"/>
      <w:marLeft w:val="0"/>
      <w:marRight w:val="0"/>
      <w:marTop w:val="0"/>
      <w:marBottom w:val="0"/>
      <w:divBdr>
        <w:top w:val="none" w:sz="0" w:space="0" w:color="auto"/>
        <w:left w:val="none" w:sz="0" w:space="0" w:color="auto"/>
        <w:bottom w:val="none" w:sz="0" w:space="0" w:color="auto"/>
        <w:right w:val="none" w:sz="0" w:space="0" w:color="auto"/>
      </w:divBdr>
    </w:div>
    <w:div w:id="758676304">
      <w:bodyDiv w:val="1"/>
      <w:marLeft w:val="0"/>
      <w:marRight w:val="0"/>
      <w:marTop w:val="0"/>
      <w:marBottom w:val="0"/>
      <w:divBdr>
        <w:top w:val="none" w:sz="0" w:space="0" w:color="auto"/>
        <w:left w:val="none" w:sz="0" w:space="0" w:color="auto"/>
        <w:bottom w:val="none" w:sz="0" w:space="0" w:color="auto"/>
        <w:right w:val="none" w:sz="0" w:space="0" w:color="auto"/>
      </w:divBdr>
    </w:div>
    <w:div w:id="758721824">
      <w:bodyDiv w:val="1"/>
      <w:marLeft w:val="0"/>
      <w:marRight w:val="0"/>
      <w:marTop w:val="0"/>
      <w:marBottom w:val="0"/>
      <w:divBdr>
        <w:top w:val="none" w:sz="0" w:space="0" w:color="auto"/>
        <w:left w:val="none" w:sz="0" w:space="0" w:color="auto"/>
        <w:bottom w:val="none" w:sz="0" w:space="0" w:color="auto"/>
        <w:right w:val="none" w:sz="0" w:space="0" w:color="auto"/>
      </w:divBdr>
    </w:div>
    <w:div w:id="758792549">
      <w:bodyDiv w:val="1"/>
      <w:marLeft w:val="0"/>
      <w:marRight w:val="0"/>
      <w:marTop w:val="0"/>
      <w:marBottom w:val="0"/>
      <w:divBdr>
        <w:top w:val="none" w:sz="0" w:space="0" w:color="auto"/>
        <w:left w:val="none" w:sz="0" w:space="0" w:color="auto"/>
        <w:bottom w:val="none" w:sz="0" w:space="0" w:color="auto"/>
        <w:right w:val="none" w:sz="0" w:space="0" w:color="auto"/>
      </w:divBdr>
    </w:div>
    <w:div w:id="758988284">
      <w:bodyDiv w:val="1"/>
      <w:marLeft w:val="0"/>
      <w:marRight w:val="0"/>
      <w:marTop w:val="0"/>
      <w:marBottom w:val="0"/>
      <w:divBdr>
        <w:top w:val="none" w:sz="0" w:space="0" w:color="auto"/>
        <w:left w:val="none" w:sz="0" w:space="0" w:color="auto"/>
        <w:bottom w:val="none" w:sz="0" w:space="0" w:color="auto"/>
        <w:right w:val="none" w:sz="0" w:space="0" w:color="auto"/>
      </w:divBdr>
    </w:div>
    <w:div w:id="759104394">
      <w:bodyDiv w:val="1"/>
      <w:marLeft w:val="0"/>
      <w:marRight w:val="0"/>
      <w:marTop w:val="0"/>
      <w:marBottom w:val="0"/>
      <w:divBdr>
        <w:top w:val="none" w:sz="0" w:space="0" w:color="auto"/>
        <w:left w:val="none" w:sz="0" w:space="0" w:color="auto"/>
        <w:bottom w:val="none" w:sz="0" w:space="0" w:color="auto"/>
        <w:right w:val="none" w:sz="0" w:space="0" w:color="auto"/>
      </w:divBdr>
    </w:div>
    <w:div w:id="759135665">
      <w:bodyDiv w:val="1"/>
      <w:marLeft w:val="0"/>
      <w:marRight w:val="0"/>
      <w:marTop w:val="0"/>
      <w:marBottom w:val="0"/>
      <w:divBdr>
        <w:top w:val="none" w:sz="0" w:space="0" w:color="auto"/>
        <w:left w:val="none" w:sz="0" w:space="0" w:color="auto"/>
        <w:bottom w:val="none" w:sz="0" w:space="0" w:color="auto"/>
        <w:right w:val="none" w:sz="0" w:space="0" w:color="auto"/>
      </w:divBdr>
    </w:div>
    <w:div w:id="759176703">
      <w:bodyDiv w:val="1"/>
      <w:marLeft w:val="0"/>
      <w:marRight w:val="0"/>
      <w:marTop w:val="0"/>
      <w:marBottom w:val="0"/>
      <w:divBdr>
        <w:top w:val="none" w:sz="0" w:space="0" w:color="auto"/>
        <w:left w:val="none" w:sz="0" w:space="0" w:color="auto"/>
        <w:bottom w:val="none" w:sz="0" w:space="0" w:color="auto"/>
        <w:right w:val="none" w:sz="0" w:space="0" w:color="auto"/>
      </w:divBdr>
    </w:div>
    <w:div w:id="759302692">
      <w:bodyDiv w:val="1"/>
      <w:marLeft w:val="0"/>
      <w:marRight w:val="0"/>
      <w:marTop w:val="0"/>
      <w:marBottom w:val="0"/>
      <w:divBdr>
        <w:top w:val="none" w:sz="0" w:space="0" w:color="auto"/>
        <w:left w:val="none" w:sz="0" w:space="0" w:color="auto"/>
        <w:bottom w:val="none" w:sz="0" w:space="0" w:color="auto"/>
        <w:right w:val="none" w:sz="0" w:space="0" w:color="auto"/>
      </w:divBdr>
    </w:div>
    <w:div w:id="759646188">
      <w:bodyDiv w:val="1"/>
      <w:marLeft w:val="0"/>
      <w:marRight w:val="0"/>
      <w:marTop w:val="0"/>
      <w:marBottom w:val="0"/>
      <w:divBdr>
        <w:top w:val="none" w:sz="0" w:space="0" w:color="auto"/>
        <w:left w:val="none" w:sz="0" w:space="0" w:color="auto"/>
        <w:bottom w:val="none" w:sz="0" w:space="0" w:color="auto"/>
        <w:right w:val="none" w:sz="0" w:space="0" w:color="auto"/>
      </w:divBdr>
    </w:div>
    <w:div w:id="759759415">
      <w:bodyDiv w:val="1"/>
      <w:marLeft w:val="0"/>
      <w:marRight w:val="0"/>
      <w:marTop w:val="0"/>
      <w:marBottom w:val="0"/>
      <w:divBdr>
        <w:top w:val="none" w:sz="0" w:space="0" w:color="auto"/>
        <w:left w:val="none" w:sz="0" w:space="0" w:color="auto"/>
        <w:bottom w:val="none" w:sz="0" w:space="0" w:color="auto"/>
        <w:right w:val="none" w:sz="0" w:space="0" w:color="auto"/>
      </w:divBdr>
    </w:div>
    <w:div w:id="759830809">
      <w:bodyDiv w:val="1"/>
      <w:marLeft w:val="0"/>
      <w:marRight w:val="0"/>
      <w:marTop w:val="0"/>
      <w:marBottom w:val="0"/>
      <w:divBdr>
        <w:top w:val="none" w:sz="0" w:space="0" w:color="auto"/>
        <w:left w:val="none" w:sz="0" w:space="0" w:color="auto"/>
        <w:bottom w:val="none" w:sz="0" w:space="0" w:color="auto"/>
        <w:right w:val="none" w:sz="0" w:space="0" w:color="auto"/>
      </w:divBdr>
    </w:div>
    <w:div w:id="759832012">
      <w:bodyDiv w:val="1"/>
      <w:marLeft w:val="0"/>
      <w:marRight w:val="0"/>
      <w:marTop w:val="0"/>
      <w:marBottom w:val="0"/>
      <w:divBdr>
        <w:top w:val="none" w:sz="0" w:space="0" w:color="auto"/>
        <w:left w:val="none" w:sz="0" w:space="0" w:color="auto"/>
        <w:bottom w:val="none" w:sz="0" w:space="0" w:color="auto"/>
        <w:right w:val="none" w:sz="0" w:space="0" w:color="auto"/>
      </w:divBdr>
    </w:div>
    <w:div w:id="760031989">
      <w:bodyDiv w:val="1"/>
      <w:marLeft w:val="0"/>
      <w:marRight w:val="0"/>
      <w:marTop w:val="0"/>
      <w:marBottom w:val="0"/>
      <w:divBdr>
        <w:top w:val="none" w:sz="0" w:space="0" w:color="auto"/>
        <w:left w:val="none" w:sz="0" w:space="0" w:color="auto"/>
        <w:bottom w:val="none" w:sz="0" w:space="0" w:color="auto"/>
        <w:right w:val="none" w:sz="0" w:space="0" w:color="auto"/>
      </w:divBdr>
    </w:div>
    <w:div w:id="760100791">
      <w:bodyDiv w:val="1"/>
      <w:marLeft w:val="0"/>
      <w:marRight w:val="0"/>
      <w:marTop w:val="0"/>
      <w:marBottom w:val="0"/>
      <w:divBdr>
        <w:top w:val="none" w:sz="0" w:space="0" w:color="auto"/>
        <w:left w:val="none" w:sz="0" w:space="0" w:color="auto"/>
        <w:bottom w:val="none" w:sz="0" w:space="0" w:color="auto"/>
        <w:right w:val="none" w:sz="0" w:space="0" w:color="auto"/>
      </w:divBdr>
    </w:div>
    <w:div w:id="760177884">
      <w:bodyDiv w:val="1"/>
      <w:marLeft w:val="0"/>
      <w:marRight w:val="0"/>
      <w:marTop w:val="0"/>
      <w:marBottom w:val="0"/>
      <w:divBdr>
        <w:top w:val="none" w:sz="0" w:space="0" w:color="auto"/>
        <w:left w:val="none" w:sz="0" w:space="0" w:color="auto"/>
        <w:bottom w:val="none" w:sz="0" w:space="0" w:color="auto"/>
        <w:right w:val="none" w:sz="0" w:space="0" w:color="auto"/>
      </w:divBdr>
    </w:div>
    <w:div w:id="760220037">
      <w:bodyDiv w:val="1"/>
      <w:marLeft w:val="0"/>
      <w:marRight w:val="0"/>
      <w:marTop w:val="0"/>
      <w:marBottom w:val="0"/>
      <w:divBdr>
        <w:top w:val="none" w:sz="0" w:space="0" w:color="auto"/>
        <w:left w:val="none" w:sz="0" w:space="0" w:color="auto"/>
        <w:bottom w:val="none" w:sz="0" w:space="0" w:color="auto"/>
        <w:right w:val="none" w:sz="0" w:space="0" w:color="auto"/>
      </w:divBdr>
    </w:div>
    <w:div w:id="760222040">
      <w:bodyDiv w:val="1"/>
      <w:marLeft w:val="0"/>
      <w:marRight w:val="0"/>
      <w:marTop w:val="0"/>
      <w:marBottom w:val="0"/>
      <w:divBdr>
        <w:top w:val="none" w:sz="0" w:space="0" w:color="auto"/>
        <w:left w:val="none" w:sz="0" w:space="0" w:color="auto"/>
        <w:bottom w:val="none" w:sz="0" w:space="0" w:color="auto"/>
        <w:right w:val="none" w:sz="0" w:space="0" w:color="auto"/>
      </w:divBdr>
    </w:div>
    <w:div w:id="760569935">
      <w:bodyDiv w:val="1"/>
      <w:marLeft w:val="0"/>
      <w:marRight w:val="0"/>
      <w:marTop w:val="0"/>
      <w:marBottom w:val="0"/>
      <w:divBdr>
        <w:top w:val="none" w:sz="0" w:space="0" w:color="auto"/>
        <w:left w:val="none" w:sz="0" w:space="0" w:color="auto"/>
        <w:bottom w:val="none" w:sz="0" w:space="0" w:color="auto"/>
        <w:right w:val="none" w:sz="0" w:space="0" w:color="auto"/>
      </w:divBdr>
    </w:div>
    <w:div w:id="760571092">
      <w:bodyDiv w:val="1"/>
      <w:marLeft w:val="0"/>
      <w:marRight w:val="0"/>
      <w:marTop w:val="0"/>
      <w:marBottom w:val="0"/>
      <w:divBdr>
        <w:top w:val="none" w:sz="0" w:space="0" w:color="auto"/>
        <w:left w:val="none" w:sz="0" w:space="0" w:color="auto"/>
        <w:bottom w:val="none" w:sz="0" w:space="0" w:color="auto"/>
        <w:right w:val="none" w:sz="0" w:space="0" w:color="auto"/>
      </w:divBdr>
    </w:div>
    <w:div w:id="760685824">
      <w:bodyDiv w:val="1"/>
      <w:marLeft w:val="0"/>
      <w:marRight w:val="0"/>
      <w:marTop w:val="0"/>
      <w:marBottom w:val="0"/>
      <w:divBdr>
        <w:top w:val="none" w:sz="0" w:space="0" w:color="auto"/>
        <w:left w:val="none" w:sz="0" w:space="0" w:color="auto"/>
        <w:bottom w:val="none" w:sz="0" w:space="0" w:color="auto"/>
        <w:right w:val="none" w:sz="0" w:space="0" w:color="auto"/>
      </w:divBdr>
    </w:div>
    <w:div w:id="760838407">
      <w:bodyDiv w:val="1"/>
      <w:marLeft w:val="0"/>
      <w:marRight w:val="0"/>
      <w:marTop w:val="0"/>
      <w:marBottom w:val="0"/>
      <w:divBdr>
        <w:top w:val="none" w:sz="0" w:space="0" w:color="auto"/>
        <w:left w:val="none" w:sz="0" w:space="0" w:color="auto"/>
        <w:bottom w:val="none" w:sz="0" w:space="0" w:color="auto"/>
        <w:right w:val="none" w:sz="0" w:space="0" w:color="auto"/>
      </w:divBdr>
    </w:div>
    <w:div w:id="760873118">
      <w:bodyDiv w:val="1"/>
      <w:marLeft w:val="0"/>
      <w:marRight w:val="0"/>
      <w:marTop w:val="0"/>
      <w:marBottom w:val="0"/>
      <w:divBdr>
        <w:top w:val="none" w:sz="0" w:space="0" w:color="auto"/>
        <w:left w:val="none" w:sz="0" w:space="0" w:color="auto"/>
        <w:bottom w:val="none" w:sz="0" w:space="0" w:color="auto"/>
        <w:right w:val="none" w:sz="0" w:space="0" w:color="auto"/>
      </w:divBdr>
    </w:div>
    <w:div w:id="760875806">
      <w:bodyDiv w:val="1"/>
      <w:marLeft w:val="0"/>
      <w:marRight w:val="0"/>
      <w:marTop w:val="0"/>
      <w:marBottom w:val="0"/>
      <w:divBdr>
        <w:top w:val="none" w:sz="0" w:space="0" w:color="auto"/>
        <w:left w:val="none" w:sz="0" w:space="0" w:color="auto"/>
        <w:bottom w:val="none" w:sz="0" w:space="0" w:color="auto"/>
        <w:right w:val="none" w:sz="0" w:space="0" w:color="auto"/>
      </w:divBdr>
    </w:div>
    <w:div w:id="760948644">
      <w:bodyDiv w:val="1"/>
      <w:marLeft w:val="0"/>
      <w:marRight w:val="0"/>
      <w:marTop w:val="0"/>
      <w:marBottom w:val="0"/>
      <w:divBdr>
        <w:top w:val="none" w:sz="0" w:space="0" w:color="auto"/>
        <w:left w:val="none" w:sz="0" w:space="0" w:color="auto"/>
        <w:bottom w:val="none" w:sz="0" w:space="0" w:color="auto"/>
        <w:right w:val="none" w:sz="0" w:space="0" w:color="auto"/>
      </w:divBdr>
    </w:div>
    <w:div w:id="761023604">
      <w:bodyDiv w:val="1"/>
      <w:marLeft w:val="0"/>
      <w:marRight w:val="0"/>
      <w:marTop w:val="0"/>
      <w:marBottom w:val="0"/>
      <w:divBdr>
        <w:top w:val="none" w:sz="0" w:space="0" w:color="auto"/>
        <w:left w:val="none" w:sz="0" w:space="0" w:color="auto"/>
        <w:bottom w:val="none" w:sz="0" w:space="0" w:color="auto"/>
        <w:right w:val="none" w:sz="0" w:space="0" w:color="auto"/>
      </w:divBdr>
    </w:div>
    <w:div w:id="761150505">
      <w:bodyDiv w:val="1"/>
      <w:marLeft w:val="0"/>
      <w:marRight w:val="0"/>
      <w:marTop w:val="0"/>
      <w:marBottom w:val="0"/>
      <w:divBdr>
        <w:top w:val="none" w:sz="0" w:space="0" w:color="auto"/>
        <w:left w:val="none" w:sz="0" w:space="0" w:color="auto"/>
        <w:bottom w:val="none" w:sz="0" w:space="0" w:color="auto"/>
        <w:right w:val="none" w:sz="0" w:space="0" w:color="auto"/>
      </w:divBdr>
    </w:div>
    <w:div w:id="761222092">
      <w:bodyDiv w:val="1"/>
      <w:marLeft w:val="0"/>
      <w:marRight w:val="0"/>
      <w:marTop w:val="0"/>
      <w:marBottom w:val="0"/>
      <w:divBdr>
        <w:top w:val="none" w:sz="0" w:space="0" w:color="auto"/>
        <w:left w:val="none" w:sz="0" w:space="0" w:color="auto"/>
        <w:bottom w:val="none" w:sz="0" w:space="0" w:color="auto"/>
        <w:right w:val="none" w:sz="0" w:space="0" w:color="auto"/>
      </w:divBdr>
    </w:div>
    <w:div w:id="761266220">
      <w:bodyDiv w:val="1"/>
      <w:marLeft w:val="0"/>
      <w:marRight w:val="0"/>
      <w:marTop w:val="0"/>
      <w:marBottom w:val="0"/>
      <w:divBdr>
        <w:top w:val="none" w:sz="0" w:space="0" w:color="auto"/>
        <w:left w:val="none" w:sz="0" w:space="0" w:color="auto"/>
        <w:bottom w:val="none" w:sz="0" w:space="0" w:color="auto"/>
        <w:right w:val="none" w:sz="0" w:space="0" w:color="auto"/>
      </w:divBdr>
    </w:div>
    <w:div w:id="761266624">
      <w:bodyDiv w:val="1"/>
      <w:marLeft w:val="0"/>
      <w:marRight w:val="0"/>
      <w:marTop w:val="0"/>
      <w:marBottom w:val="0"/>
      <w:divBdr>
        <w:top w:val="none" w:sz="0" w:space="0" w:color="auto"/>
        <w:left w:val="none" w:sz="0" w:space="0" w:color="auto"/>
        <w:bottom w:val="none" w:sz="0" w:space="0" w:color="auto"/>
        <w:right w:val="none" w:sz="0" w:space="0" w:color="auto"/>
      </w:divBdr>
    </w:div>
    <w:div w:id="761337482">
      <w:bodyDiv w:val="1"/>
      <w:marLeft w:val="0"/>
      <w:marRight w:val="0"/>
      <w:marTop w:val="0"/>
      <w:marBottom w:val="0"/>
      <w:divBdr>
        <w:top w:val="none" w:sz="0" w:space="0" w:color="auto"/>
        <w:left w:val="none" w:sz="0" w:space="0" w:color="auto"/>
        <w:bottom w:val="none" w:sz="0" w:space="0" w:color="auto"/>
        <w:right w:val="none" w:sz="0" w:space="0" w:color="auto"/>
      </w:divBdr>
    </w:div>
    <w:div w:id="761339448">
      <w:bodyDiv w:val="1"/>
      <w:marLeft w:val="0"/>
      <w:marRight w:val="0"/>
      <w:marTop w:val="0"/>
      <w:marBottom w:val="0"/>
      <w:divBdr>
        <w:top w:val="none" w:sz="0" w:space="0" w:color="auto"/>
        <w:left w:val="none" w:sz="0" w:space="0" w:color="auto"/>
        <w:bottom w:val="none" w:sz="0" w:space="0" w:color="auto"/>
        <w:right w:val="none" w:sz="0" w:space="0" w:color="auto"/>
      </w:divBdr>
    </w:div>
    <w:div w:id="761491185">
      <w:bodyDiv w:val="1"/>
      <w:marLeft w:val="0"/>
      <w:marRight w:val="0"/>
      <w:marTop w:val="0"/>
      <w:marBottom w:val="0"/>
      <w:divBdr>
        <w:top w:val="none" w:sz="0" w:space="0" w:color="auto"/>
        <w:left w:val="none" w:sz="0" w:space="0" w:color="auto"/>
        <w:bottom w:val="none" w:sz="0" w:space="0" w:color="auto"/>
        <w:right w:val="none" w:sz="0" w:space="0" w:color="auto"/>
      </w:divBdr>
    </w:div>
    <w:div w:id="761726473">
      <w:bodyDiv w:val="1"/>
      <w:marLeft w:val="0"/>
      <w:marRight w:val="0"/>
      <w:marTop w:val="0"/>
      <w:marBottom w:val="0"/>
      <w:divBdr>
        <w:top w:val="none" w:sz="0" w:space="0" w:color="auto"/>
        <w:left w:val="none" w:sz="0" w:space="0" w:color="auto"/>
        <w:bottom w:val="none" w:sz="0" w:space="0" w:color="auto"/>
        <w:right w:val="none" w:sz="0" w:space="0" w:color="auto"/>
      </w:divBdr>
    </w:div>
    <w:div w:id="761948707">
      <w:bodyDiv w:val="1"/>
      <w:marLeft w:val="0"/>
      <w:marRight w:val="0"/>
      <w:marTop w:val="0"/>
      <w:marBottom w:val="0"/>
      <w:divBdr>
        <w:top w:val="none" w:sz="0" w:space="0" w:color="auto"/>
        <w:left w:val="none" w:sz="0" w:space="0" w:color="auto"/>
        <w:bottom w:val="none" w:sz="0" w:space="0" w:color="auto"/>
        <w:right w:val="none" w:sz="0" w:space="0" w:color="auto"/>
      </w:divBdr>
    </w:div>
    <w:div w:id="762065200">
      <w:bodyDiv w:val="1"/>
      <w:marLeft w:val="0"/>
      <w:marRight w:val="0"/>
      <w:marTop w:val="0"/>
      <w:marBottom w:val="0"/>
      <w:divBdr>
        <w:top w:val="none" w:sz="0" w:space="0" w:color="auto"/>
        <w:left w:val="none" w:sz="0" w:space="0" w:color="auto"/>
        <w:bottom w:val="none" w:sz="0" w:space="0" w:color="auto"/>
        <w:right w:val="none" w:sz="0" w:space="0" w:color="auto"/>
      </w:divBdr>
    </w:div>
    <w:div w:id="762724265">
      <w:bodyDiv w:val="1"/>
      <w:marLeft w:val="0"/>
      <w:marRight w:val="0"/>
      <w:marTop w:val="0"/>
      <w:marBottom w:val="0"/>
      <w:divBdr>
        <w:top w:val="none" w:sz="0" w:space="0" w:color="auto"/>
        <w:left w:val="none" w:sz="0" w:space="0" w:color="auto"/>
        <w:bottom w:val="none" w:sz="0" w:space="0" w:color="auto"/>
        <w:right w:val="none" w:sz="0" w:space="0" w:color="auto"/>
      </w:divBdr>
    </w:div>
    <w:div w:id="762844603">
      <w:bodyDiv w:val="1"/>
      <w:marLeft w:val="0"/>
      <w:marRight w:val="0"/>
      <w:marTop w:val="0"/>
      <w:marBottom w:val="0"/>
      <w:divBdr>
        <w:top w:val="none" w:sz="0" w:space="0" w:color="auto"/>
        <w:left w:val="none" w:sz="0" w:space="0" w:color="auto"/>
        <w:bottom w:val="none" w:sz="0" w:space="0" w:color="auto"/>
        <w:right w:val="none" w:sz="0" w:space="0" w:color="auto"/>
      </w:divBdr>
    </w:div>
    <w:div w:id="762918806">
      <w:bodyDiv w:val="1"/>
      <w:marLeft w:val="0"/>
      <w:marRight w:val="0"/>
      <w:marTop w:val="0"/>
      <w:marBottom w:val="0"/>
      <w:divBdr>
        <w:top w:val="none" w:sz="0" w:space="0" w:color="auto"/>
        <w:left w:val="none" w:sz="0" w:space="0" w:color="auto"/>
        <w:bottom w:val="none" w:sz="0" w:space="0" w:color="auto"/>
        <w:right w:val="none" w:sz="0" w:space="0" w:color="auto"/>
      </w:divBdr>
    </w:div>
    <w:div w:id="762922824">
      <w:bodyDiv w:val="1"/>
      <w:marLeft w:val="0"/>
      <w:marRight w:val="0"/>
      <w:marTop w:val="0"/>
      <w:marBottom w:val="0"/>
      <w:divBdr>
        <w:top w:val="none" w:sz="0" w:space="0" w:color="auto"/>
        <w:left w:val="none" w:sz="0" w:space="0" w:color="auto"/>
        <w:bottom w:val="none" w:sz="0" w:space="0" w:color="auto"/>
        <w:right w:val="none" w:sz="0" w:space="0" w:color="auto"/>
      </w:divBdr>
    </w:div>
    <w:div w:id="762989105">
      <w:bodyDiv w:val="1"/>
      <w:marLeft w:val="0"/>
      <w:marRight w:val="0"/>
      <w:marTop w:val="0"/>
      <w:marBottom w:val="0"/>
      <w:divBdr>
        <w:top w:val="none" w:sz="0" w:space="0" w:color="auto"/>
        <w:left w:val="none" w:sz="0" w:space="0" w:color="auto"/>
        <w:bottom w:val="none" w:sz="0" w:space="0" w:color="auto"/>
        <w:right w:val="none" w:sz="0" w:space="0" w:color="auto"/>
      </w:divBdr>
    </w:div>
    <w:div w:id="763111691">
      <w:bodyDiv w:val="1"/>
      <w:marLeft w:val="0"/>
      <w:marRight w:val="0"/>
      <w:marTop w:val="0"/>
      <w:marBottom w:val="0"/>
      <w:divBdr>
        <w:top w:val="none" w:sz="0" w:space="0" w:color="auto"/>
        <w:left w:val="none" w:sz="0" w:space="0" w:color="auto"/>
        <w:bottom w:val="none" w:sz="0" w:space="0" w:color="auto"/>
        <w:right w:val="none" w:sz="0" w:space="0" w:color="auto"/>
      </w:divBdr>
    </w:div>
    <w:div w:id="763263453">
      <w:bodyDiv w:val="1"/>
      <w:marLeft w:val="0"/>
      <w:marRight w:val="0"/>
      <w:marTop w:val="0"/>
      <w:marBottom w:val="0"/>
      <w:divBdr>
        <w:top w:val="none" w:sz="0" w:space="0" w:color="auto"/>
        <w:left w:val="none" w:sz="0" w:space="0" w:color="auto"/>
        <w:bottom w:val="none" w:sz="0" w:space="0" w:color="auto"/>
        <w:right w:val="none" w:sz="0" w:space="0" w:color="auto"/>
      </w:divBdr>
    </w:div>
    <w:div w:id="763384066">
      <w:bodyDiv w:val="1"/>
      <w:marLeft w:val="0"/>
      <w:marRight w:val="0"/>
      <w:marTop w:val="0"/>
      <w:marBottom w:val="0"/>
      <w:divBdr>
        <w:top w:val="none" w:sz="0" w:space="0" w:color="auto"/>
        <w:left w:val="none" w:sz="0" w:space="0" w:color="auto"/>
        <w:bottom w:val="none" w:sz="0" w:space="0" w:color="auto"/>
        <w:right w:val="none" w:sz="0" w:space="0" w:color="auto"/>
      </w:divBdr>
    </w:div>
    <w:div w:id="763500301">
      <w:bodyDiv w:val="1"/>
      <w:marLeft w:val="0"/>
      <w:marRight w:val="0"/>
      <w:marTop w:val="0"/>
      <w:marBottom w:val="0"/>
      <w:divBdr>
        <w:top w:val="none" w:sz="0" w:space="0" w:color="auto"/>
        <w:left w:val="none" w:sz="0" w:space="0" w:color="auto"/>
        <w:bottom w:val="none" w:sz="0" w:space="0" w:color="auto"/>
        <w:right w:val="none" w:sz="0" w:space="0" w:color="auto"/>
      </w:divBdr>
    </w:div>
    <w:div w:id="763914117">
      <w:bodyDiv w:val="1"/>
      <w:marLeft w:val="0"/>
      <w:marRight w:val="0"/>
      <w:marTop w:val="0"/>
      <w:marBottom w:val="0"/>
      <w:divBdr>
        <w:top w:val="none" w:sz="0" w:space="0" w:color="auto"/>
        <w:left w:val="none" w:sz="0" w:space="0" w:color="auto"/>
        <w:bottom w:val="none" w:sz="0" w:space="0" w:color="auto"/>
        <w:right w:val="none" w:sz="0" w:space="0" w:color="auto"/>
      </w:divBdr>
    </w:div>
    <w:div w:id="763916058">
      <w:bodyDiv w:val="1"/>
      <w:marLeft w:val="0"/>
      <w:marRight w:val="0"/>
      <w:marTop w:val="0"/>
      <w:marBottom w:val="0"/>
      <w:divBdr>
        <w:top w:val="none" w:sz="0" w:space="0" w:color="auto"/>
        <w:left w:val="none" w:sz="0" w:space="0" w:color="auto"/>
        <w:bottom w:val="none" w:sz="0" w:space="0" w:color="auto"/>
        <w:right w:val="none" w:sz="0" w:space="0" w:color="auto"/>
      </w:divBdr>
    </w:div>
    <w:div w:id="764036587">
      <w:bodyDiv w:val="1"/>
      <w:marLeft w:val="0"/>
      <w:marRight w:val="0"/>
      <w:marTop w:val="0"/>
      <w:marBottom w:val="0"/>
      <w:divBdr>
        <w:top w:val="none" w:sz="0" w:space="0" w:color="auto"/>
        <w:left w:val="none" w:sz="0" w:space="0" w:color="auto"/>
        <w:bottom w:val="none" w:sz="0" w:space="0" w:color="auto"/>
        <w:right w:val="none" w:sz="0" w:space="0" w:color="auto"/>
      </w:divBdr>
    </w:div>
    <w:div w:id="764157500">
      <w:bodyDiv w:val="1"/>
      <w:marLeft w:val="0"/>
      <w:marRight w:val="0"/>
      <w:marTop w:val="0"/>
      <w:marBottom w:val="0"/>
      <w:divBdr>
        <w:top w:val="none" w:sz="0" w:space="0" w:color="auto"/>
        <w:left w:val="none" w:sz="0" w:space="0" w:color="auto"/>
        <w:bottom w:val="none" w:sz="0" w:space="0" w:color="auto"/>
        <w:right w:val="none" w:sz="0" w:space="0" w:color="auto"/>
      </w:divBdr>
    </w:div>
    <w:div w:id="764227041">
      <w:bodyDiv w:val="1"/>
      <w:marLeft w:val="0"/>
      <w:marRight w:val="0"/>
      <w:marTop w:val="0"/>
      <w:marBottom w:val="0"/>
      <w:divBdr>
        <w:top w:val="none" w:sz="0" w:space="0" w:color="auto"/>
        <w:left w:val="none" w:sz="0" w:space="0" w:color="auto"/>
        <w:bottom w:val="none" w:sz="0" w:space="0" w:color="auto"/>
        <w:right w:val="none" w:sz="0" w:space="0" w:color="auto"/>
      </w:divBdr>
    </w:div>
    <w:div w:id="764351476">
      <w:bodyDiv w:val="1"/>
      <w:marLeft w:val="0"/>
      <w:marRight w:val="0"/>
      <w:marTop w:val="0"/>
      <w:marBottom w:val="0"/>
      <w:divBdr>
        <w:top w:val="none" w:sz="0" w:space="0" w:color="auto"/>
        <w:left w:val="none" w:sz="0" w:space="0" w:color="auto"/>
        <w:bottom w:val="none" w:sz="0" w:space="0" w:color="auto"/>
        <w:right w:val="none" w:sz="0" w:space="0" w:color="auto"/>
      </w:divBdr>
    </w:div>
    <w:div w:id="764351477">
      <w:bodyDiv w:val="1"/>
      <w:marLeft w:val="0"/>
      <w:marRight w:val="0"/>
      <w:marTop w:val="0"/>
      <w:marBottom w:val="0"/>
      <w:divBdr>
        <w:top w:val="none" w:sz="0" w:space="0" w:color="auto"/>
        <w:left w:val="none" w:sz="0" w:space="0" w:color="auto"/>
        <w:bottom w:val="none" w:sz="0" w:space="0" w:color="auto"/>
        <w:right w:val="none" w:sz="0" w:space="0" w:color="auto"/>
      </w:divBdr>
    </w:div>
    <w:div w:id="764423771">
      <w:bodyDiv w:val="1"/>
      <w:marLeft w:val="0"/>
      <w:marRight w:val="0"/>
      <w:marTop w:val="0"/>
      <w:marBottom w:val="0"/>
      <w:divBdr>
        <w:top w:val="none" w:sz="0" w:space="0" w:color="auto"/>
        <w:left w:val="none" w:sz="0" w:space="0" w:color="auto"/>
        <w:bottom w:val="none" w:sz="0" w:space="0" w:color="auto"/>
        <w:right w:val="none" w:sz="0" w:space="0" w:color="auto"/>
      </w:divBdr>
    </w:div>
    <w:div w:id="764619511">
      <w:bodyDiv w:val="1"/>
      <w:marLeft w:val="0"/>
      <w:marRight w:val="0"/>
      <w:marTop w:val="0"/>
      <w:marBottom w:val="0"/>
      <w:divBdr>
        <w:top w:val="none" w:sz="0" w:space="0" w:color="auto"/>
        <w:left w:val="none" w:sz="0" w:space="0" w:color="auto"/>
        <w:bottom w:val="none" w:sz="0" w:space="0" w:color="auto"/>
        <w:right w:val="none" w:sz="0" w:space="0" w:color="auto"/>
      </w:divBdr>
    </w:div>
    <w:div w:id="764688438">
      <w:bodyDiv w:val="1"/>
      <w:marLeft w:val="0"/>
      <w:marRight w:val="0"/>
      <w:marTop w:val="0"/>
      <w:marBottom w:val="0"/>
      <w:divBdr>
        <w:top w:val="none" w:sz="0" w:space="0" w:color="auto"/>
        <w:left w:val="none" w:sz="0" w:space="0" w:color="auto"/>
        <w:bottom w:val="none" w:sz="0" w:space="0" w:color="auto"/>
        <w:right w:val="none" w:sz="0" w:space="0" w:color="auto"/>
      </w:divBdr>
    </w:div>
    <w:div w:id="764766230">
      <w:bodyDiv w:val="1"/>
      <w:marLeft w:val="0"/>
      <w:marRight w:val="0"/>
      <w:marTop w:val="0"/>
      <w:marBottom w:val="0"/>
      <w:divBdr>
        <w:top w:val="none" w:sz="0" w:space="0" w:color="auto"/>
        <w:left w:val="none" w:sz="0" w:space="0" w:color="auto"/>
        <w:bottom w:val="none" w:sz="0" w:space="0" w:color="auto"/>
        <w:right w:val="none" w:sz="0" w:space="0" w:color="auto"/>
      </w:divBdr>
    </w:div>
    <w:div w:id="764805837">
      <w:bodyDiv w:val="1"/>
      <w:marLeft w:val="0"/>
      <w:marRight w:val="0"/>
      <w:marTop w:val="0"/>
      <w:marBottom w:val="0"/>
      <w:divBdr>
        <w:top w:val="none" w:sz="0" w:space="0" w:color="auto"/>
        <w:left w:val="none" w:sz="0" w:space="0" w:color="auto"/>
        <w:bottom w:val="none" w:sz="0" w:space="0" w:color="auto"/>
        <w:right w:val="none" w:sz="0" w:space="0" w:color="auto"/>
      </w:divBdr>
    </w:div>
    <w:div w:id="765032542">
      <w:bodyDiv w:val="1"/>
      <w:marLeft w:val="0"/>
      <w:marRight w:val="0"/>
      <w:marTop w:val="0"/>
      <w:marBottom w:val="0"/>
      <w:divBdr>
        <w:top w:val="none" w:sz="0" w:space="0" w:color="auto"/>
        <w:left w:val="none" w:sz="0" w:space="0" w:color="auto"/>
        <w:bottom w:val="none" w:sz="0" w:space="0" w:color="auto"/>
        <w:right w:val="none" w:sz="0" w:space="0" w:color="auto"/>
      </w:divBdr>
    </w:div>
    <w:div w:id="765618601">
      <w:bodyDiv w:val="1"/>
      <w:marLeft w:val="0"/>
      <w:marRight w:val="0"/>
      <w:marTop w:val="0"/>
      <w:marBottom w:val="0"/>
      <w:divBdr>
        <w:top w:val="none" w:sz="0" w:space="0" w:color="auto"/>
        <w:left w:val="none" w:sz="0" w:space="0" w:color="auto"/>
        <w:bottom w:val="none" w:sz="0" w:space="0" w:color="auto"/>
        <w:right w:val="none" w:sz="0" w:space="0" w:color="auto"/>
      </w:divBdr>
    </w:div>
    <w:div w:id="765921584">
      <w:bodyDiv w:val="1"/>
      <w:marLeft w:val="0"/>
      <w:marRight w:val="0"/>
      <w:marTop w:val="0"/>
      <w:marBottom w:val="0"/>
      <w:divBdr>
        <w:top w:val="none" w:sz="0" w:space="0" w:color="auto"/>
        <w:left w:val="none" w:sz="0" w:space="0" w:color="auto"/>
        <w:bottom w:val="none" w:sz="0" w:space="0" w:color="auto"/>
        <w:right w:val="none" w:sz="0" w:space="0" w:color="auto"/>
      </w:divBdr>
    </w:div>
    <w:div w:id="765924564">
      <w:bodyDiv w:val="1"/>
      <w:marLeft w:val="0"/>
      <w:marRight w:val="0"/>
      <w:marTop w:val="0"/>
      <w:marBottom w:val="0"/>
      <w:divBdr>
        <w:top w:val="none" w:sz="0" w:space="0" w:color="auto"/>
        <w:left w:val="none" w:sz="0" w:space="0" w:color="auto"/>
        <w:bottom w:val="none" w:sz="0" w:space="0" w:color="auto"/>
        <w:right w:val="none" w:sz="0" w:space="0" w:color="auto"/>
      </w:divBdr>
    </w:div>
    <w:div w:id="766120293">
      <w:bodyDiv w:val="1"/>
      <w:marLeft w:val="0"/>
      <w:marRight w:val="0"/>
      <w:marTop w:val="0"/>
      <w:marBottom w:val="0"/>
      <w:divBdr>
        <w:top w:val="none" w:sz="0" w:space="0" w:color="auto"/>
        <w:left w:val="none" w:sz="0" w:space="0" w:color="auto"/>
        <w:bottom w:val="none" w:sz="0" w:space="0" w:color="auto"/>
        <w:right w:val="none" w:sz="0" w:space="0" w:color="auto"/>
      </w:divBdr>
    </w:div>
    <w:div w:id="766270379">
      <w:bodyDiv w:val="1"/>
      <w:marLeft w:val="0"/>
      <w:marRight w:val="0"/>
      <w:marTop w:val="0"/>
      <w:marBottom w:val="0"/>
      <w:divBdr>
        <w:top w:val="none" w:sz="0" w:space="0" w:color="auto"/>
        <w:left w:val="none" w:sz="0" w:space="0" w:color="auto"/>
        <w:bottom w:val="none" w:sz="0" w:space="0" w:color="auto"/>
        <w:right w:val="none" w:sz="0" w:space="0" w:color="auto"/>
      </w:divBdr>
    </w:div>
    <w:div w:id="766317048">
      <w:bodyDiv w:val="1"/>
      <w:marLeft w:val="0"/>
      <w:marRight w:val="0"/>
      <w:marTop w:val="0"/>
      <w:marBottom w:val="0"/>
      <w:divBdr>
        <w:top w:val="none" w:sz="0" w:space="0" w:color="auto"/>
        <w:left w:val="none" w:sz="0" w:space="0" w:color="auto"/>
        <w:bottom w:val="none" w:sz="0" w:space="0" w:color="auto"/>
        <w:right w:val="none" w:sz="0" w:space="0" w:color="auto"/>
      </w:divBdr>
    </w:div>
    <w:div w:id="766388497">
      <w:bodyDiv w:val="1"/>
      <w:marLeft w:val="0"/>
      <w:marRight w:val="0"/>
      <w:marTop w:val="0"/>
      <w:marBottom w:val="0"/>
      <w:divBdr>
        <w:top w:val="none" w:sz="0" w:space="0" w:color="auto"/>
        <w:left w:val="none" w:sz="0" w:space="0" w:color="auto"/>
        <w:bottom w:val="none" w:sz="0" w:space="0" w:color="auto"/>
        <w:right w:val="none" w:sz="0" w:space="0" w:color="auto"/>
      </w:divBdr>
    </w:div>
    <w:div w:id="766460209">
      <w:bodyDiv w:val="1"/>
      <w:marLeft w:val="0"/>
      <w:marRight w:val="0"/>
      <w:marTop w:val="0"/>
      <w:marBottom w:val="0"/>
      <w:divBdr>
        <w:top w:val="none" w:sz="0" w:space="0" w:color="auto"/>
        <w:left w:val="none" w:sz="0" w:space="0" w:color="auto"/>
        <w:bottom w:val="none" w:sz="0" w:space="0" w:color="auto"/>
        <w:right w:val="none" w:sz="0" w:space="0" w:color="auto"/>
      </w:divBdr>
    </w:div>
    <w:div w:id="766462575">
      <w:bodyDiv w:val="1"/>
      <w:marLeft w:val="0"/>
      <w:marRight w:val="0"/>
      <w:marTop w:val="0"/>
      <w:marBottom w:val="0"/>
      <w:divBdr>
        <w:top w:val="none" w:sz="0" w:space="0" w:color="auto"/>
        <w:left w:val="none" w:sz="0" w:space="0" w:color="auto"/>
        <w:bottom w:val="none" w:sz="0" w:space="0" w:color="auto"/>
        <w:right w:val="none" w:sz="0" w:space="0" w:color="auto"/>
      </w:divBdr>
    </w:div>
    <w:div w:id="766729091">
      <w:bodyDiv w:val="1"/>
      <w:marLeft w:val="0"/>
      <w:marRight w:val="0"/>
      <w:marTop w:val="0"/>
      <w:marBottom w:val="0"/>
      <w:divBdr>
        <w:top w:val="none" w:sz="0" w:space="0" w:color="auto"/>
        <w:left w:val="none" w:sz="0" w:space="0" w:color="auto"/>
        <w:bottom w:val="none" w:sz="0" w:space="0" w:color="auto"/>
        <w:right w:val="none" w:sz="0" w:space="0" w:color="auto"/>
      </w:divBdr>
    </w:div>
    <w:div w:id="766778342">
      <w:bodyDiv w:val="1"/>
      <w:marLeft w:val="0"/>
      <w:marRight w:val="0"/>
      <w:marTop w:val="0"/>
      <w:marBottom w:val="0"/>
      <w:divBdr>
        <w:top w:val="none" w:sz="0" w:space="0" w:color="auto"/>
        <w:left w:val="none" w:sz="0" w:space="0" w:color="auto"/>
        <w:bottom w:val="none" w:sz="0" w:space="0" w:color="auto"/>
        <w:right w:val="none" w:sz="0" w:space="0" w:color="auto"/>
      </w:divBdr>
    </w:div>
    <w:div w:id="766852497">
      <w:bodyDiv w:val="1"/>
      <w:marLeft w:val="0"/>
      <w:marRight w:val="0"/>
      <w:marTop w:val="0"/>
      <w:marBottom w:val="0"/>
      <w:divBdr>
        <w:top w:val="none" w:sz="0" w:space="0" w:color="auto"/>
        <w:left w:val="none" w:sz="0" w:space="0" w:color="auto"/>
        <w:bottom w:val="none" w:sz="0" w:space="0" w:color="auto"/>
        <w:right w:val="none" w:sz="0" w:space="0" w:color="auto"/>
      </w:divBdr>
    </w:div>
    <w:div w:id="766926282">
      <w:bodyDiv w:val="1"/>
      <w:marLeft w:val="0"/>
      <w:marRight w:val="0"/>
      <w:marTop w:val="0"/>
      <w:marBottom w:val="0"/>
      <w:divBdr>
        <w:top w:val="none" w:sz="0" w:space="0" w:color="auto"/>
        <w:left w:val="none" w:sz="0" w:space="0" w:color="auto"/>
        <w:bottom w:val="none" w:sz="0" w:space="0" w:color="auto"/>
        <w:right w:val="none" w:sz="0" w:space="0" w:color="auto"/>
      </w:divBdr>
    </w:div>
    <w:div w:id="766972668">
      <w:bodyDiv w:val="1"/>
      <w:marLeft w:val="0"/>
      <w:marRight w:val="0"/>
      <w:marTop w:val="0"/>
      <w:marBottom w:val="0"/>
      <w:divBdr>
        <w:top w:val="none" w:sz="0" w:space="0" w:color="auto"/>
        <w:left w:val="none" w:sz="0" w:space="0" w:color="auto"/>
        <w:bottom w:val="none" w:sz="0" w:space="0" w:color="auto"/>
        <w:right w:val="none" w:sz="0" w:space="0" w:color="auto"/>
      </w:divBdr>
    </w:div>
    <w:div w:id="767048079">
      <w:bodyDiv w:val="1"/>
      <w:marLeft w:val="0"/>
      <w:marRight w:val="0"/>
      <w:marTop w:val="0"/>
      <w:marBottom w:val="0"/>
      <w:divBdr>
        <w:top w:val="none" w:sz="0" w:space="0" w:color="auto"/>
        <w:left w:val="none" w:sz="0" w:space="0" w:color="auto"/>
        <w:bottom w:val="none" w:sz="0" w:space="0" w:color="auto"/>
        <w:right w:val="none" w:sz="0" w:space="0" w:color="auto"/>
      </w:divBdr>
    </w:div>
    <w:div w:id="767196458">
      <w:bodyDiv w:val="1"/>
      <w:marLeft w:val="0"/>
      <w:marRight w:val="0"/>
      <w:marTop w:val="0"/>
      <w:marBottom w:val="0"/>
      <w:divBdr>
        <w:top w:val="none" w:sz="0" w:space="0" w:color="auto"/>
        <w:left w:val="none" w:sz="0" w:space="0" w:color="auto"/>
        <w:bottom w:val="none" w:sz="0" w:space="0" w:color="auto"/>
        <w:right w:val="none" w:sz="0" w:space="0" w:color="auto"/>
      </w:divBdr>
    </w:div>
    <w:div w:id="767390216">
      <w:bodyDiv w:val="1"/>
      <w:marLeft w:val="0"/>
      <w:marRight w:val="0"/>
      <w:marTop w:val="0"/>
      <w:marBottom w:val="0"/>
      <w:divBdr>
        <w:top w:val="none" w:sz="0" w:space="0" w:color="auto"/>
        <w:left w:val="none" w:sz="0" w:space="0" w:color="auto"/>
        <w:bottom w:val="none" w:sz="0" w:space="0" w:color="auto"/>
        <w:right w:val="none" w:sz="0" w:space="0" w:color="auto"/>
      </w:divBdr>
    </w:div>
    <w:div w:id="767427540">
      <w:bodyDiv w:val="1"/>
      <w:marLeft w:val="0"/>
      <w:marRight w:val="0"/>
      <w:marTop w:val="0"/>
      <w:marBottom w:val="0"/>
      <w:divBdr>
        <w:top w:val="none" w:sz="0" w:space="0" w:color="auto"/>
        <w:left w:val="none" w:sz="0" w:space="0" w:color="auto"/>
        <w:bottom w:val="none" w:sz="0" w:space="0" w:color="auto"/>
        <w:right w:val="none" w:sz="0" w:space="0" w:color="auto"/>
      </w:divBdr>
    </w:div>
    <w:div w:id="767655483">
      <w:bodyDiv w:val="1"/>
      <w:marLeft w:val="0"/>
      <w:marRight w:val="0"/>
      <w:marTop w:val="0"/>
      <w:marBottom w:val="0"/>
      <w:divBdr>
        <w:top w:val="none" w:sz="0" w:space="0" w:color="auto"/>
        <w:left w:val="none" w:sz="0" w:space="0" w:color="auto"/>
        <w:bottom w:val="none" w:sz="0" w:space="0" w:color="auto"/>
        <w:right w:val="none" w:sz="0" w:space="0" w:color="auto"/>
      </w:divBdr>
    </w:div>
    <w:div w:id="767703369">
      <w:bodyDiv w:val="1"/>
      <w:marLeft w:val="0"/>
      <w:marRight w:val="0"/>
      <w:marTop w:val="0"/>
      <w:marBottom w:val="0"/>
      <w:divBdr>
        <w:top w:val="none" w:sz="0" w:space="0" w:color="auto"/>
        <w:left w:val="none" w:sz="0" w:space="0" w:color="auto"/>
        <w:bottom w:val="none" w:sz="0" w:space="0" w:color="auto"/>
        <w:right w:val="none" w:sz="0" w:space="0" w:color="auto"/>
      </w:divBdr>
    </w:div>
    <w:div w:id="767770031">
      <w:bodyDiv w:val="1"/>
      <w:marLeft w:val="0"/>
      <w:marRight w:val="0"/>
      <w:marTop w:val="0"/>
      <w:marBottom w:val="0"/>
      <w:divBdr>
        <w:top w:val="none" w:sz="0" w:space="0" w:color="auto"/>
        <w:left w:val="none" w:sz="0" w:space="0" w:color="auto"/>
        <w:bottom w:val="none" w:sz="0" w:space="0" w:color="auto"/>
        <w:right w:val="none" w:sz="0" w:space="0" w:color="auto"/>
      </w:divBdr>
    </w:div>
    <w:div w:id="767847845">
      <w:bodyDiv w:val="1"/>
      <w:marLeft w:val="0"/>
      <w:marRight w:val="0"/>
      <w:marTop w:val="0"/>
      <w:marBottom w:val="0"/>
      <w:divBdr>
        <w:top w:val="none" w:sz="0" w:space="0" w:color="auto"/>
        <w:left w:val="none" w:sz="0" w:space="0" w:color="auto"/>
        <w:bottom w:val="none" w:sz="0" w:space="0" w:color="auto"/>
        <w:right w:val="none" w:sz="0" w:space="0" w:color="auto"/>
      </w:divBdr>
    </w:div>
    <w:div w:id="767851890">
      <w:bodyDiv w:val="1"/>
      <w:marLeft w:val="0"/>
      <w:marRight w:val="0"/>
      <w:marTop w:val="0"/>
      <w:marBottom w:val="0"/>
      <w:divBdr>
        <w:top w:val="none" w:sz="0" w:space="0" w:color="auto"/>
        <w:left w:val="none" w:sz="0" w:space="0" w:color="auto"/>
        <w:bottom w:val="none" w:sz="0" w:space="0" w:color="auto"/>
        <w:right w:val="none" w:sz="0" w:space="0" w:color="auto"/>
      </w:divBdr>
    </w:div>
    <w:div w:id="767896092">
      <w:bodyDiv w:val="1"/>
      <w:marLeft w:val="0"/>
      <w:marRight w:val="0"/>
      <w:marTop w:val="0"/>
      <w:marBottom w:val="0"/>
      <w:divBdr>
        <w:top w:val="none" w:sz="0" w:space="0" w:color="auto"/>
        <w:left w:val="none" w:sz="0" w:space="0" w:color="auto"/>
        <w:bottom w:val="none" w:sz="0" w:space="0" w:color="auto"/>
        <w:right w:val="none" w:sz="0" w:space="0" w:color="auto"/>
      </w:divBdr>
    </w:div>
    <w:div w:id="768231917">
      <w:bodyDiv w:val="1"/>
      <w:marLeft w:val="0"/>
      <w:marRight w:val="0"/>
      <w:marTop w:val="0"/>
      <w:marBottom w:val="0"/>
      <w:divBdr>
        <w:top w:val="none" w:sz="0" w:space="0" w:color="auto"/>
        <w:left w:val="none" w:sz="0" w:space="0" w:color="auto"/>
        <w:bottom w:val="none" w:sz="0" w:space="0" w:color="auto"/>
        <w:right w:val="none" w:sz="0" w:space="0" w:color="auto"/>
      </w:divBdr>
    </w:div>
    <w:div w:id="768236912">
      <w:bodyDiv w:val="1"/>
      <w:marLeft w:val="0"/>
      <w:marRight w:val="0"/>
      <w:marTop w:val="0"/>
      <w:marBottom w:val="0"/>
      <w:divBdr>
        <w:top w:val="none" w:sz="0" w:space="0" w:color="auto"/>
        <w:left w:val="none" w:sz="0" w:space="0" w:color="auto"/>
        <w:bottom w:val="none" w:sz="0" w:space="0" w:color="auto"/>
        <w:right w:val="none" w:sz="0" w:space="0" w:color="auto"/>
      </w:divBdr>
    </w:div>
    <w:div w:id="768307351">
      <w:bodyDiv w:val="1"/>
      <w:marLeft w:val="0"/>
      <w:marRight w:val="0"/>
      <w:marTop w:val="0"/>
      <w:marBottom w:val="0"/>
      <w:divBdr>
        <w:top w:val="none" w:sz="0" w:space="0" w:color="auto"/>
        <w:left w:val="none" w:sz="0" w:space="0" w:color="auto"/>
        <w:bottom w:val="none" w:sz="0" w:space="0" w:color="auto"/>
        <w:right w:val="none" w:sz="0" w:space="0" w:color="auto"/>
      </w:divBdr>
    </w:div>
    <w:div w:id="768425563">
      <w:bodyDiv w:val="1"/>
      <w:marLeft w:val="0"/>
      <w:marRight w:val="0"/>
      <w:marTop w:val="0"/>
      <w:marBottom w:val="0"/>
      <w:divBdr>
        <w:top w:val="none" w:sz="0" w:space="0" w:color="auto"/>
        <w:left w:val="none" w:sz="0" w:space="0" w:color="auto"/>
        <w:bottom w:val="none" w:sz="0" w:space="0" w:color="auto"/>
        <w:right w:val="none" w:sz="0" w:space="0" w:color="auto"/>
      </w:divBdr>
    </w:div>
    <w:div w:id="768432952">
      <w:bodyDiv w:val="1"/>
      <w:marLeft w:val="0"/>
      <w:marRight w:val="0"/>
      <w:marTop w:val="0"/>
      <w:marBottom w:val="0"/>
      <w:divBdr>
        <w:top w:val="none" w:sz="0" w:space="0" w:color="auto"/>
        <w:left w:val="none" w:sz="0" w:space="0" w:color="auto"/>
        <w:bottom w:val="none" w:sz="0" w:space="0" w:color="auto"/>
        <w:right w:val="none" w:sz="0" w:space="0" w:color="auto"/>
      </w:divBdr>
    </w:div>
    <w:div w:id="768938138">
      <w:bodyDiv w:val="1"/>
      <w:marLeft w:val="0"/>
      <w:marRight w:val="0"/>
      <w:marTop w:val="0"/>
      <w:marBottom w:val="0"/>
      <w:divBdr>
        <w:top w:val="none" w:sz="0" w:space="0" w:color="auto"/>
        <w:left w:val="none" w:sz="0" w:space="0" w:color="auto"/>
        <w:bottom w:val="none" w:sz="0" w:space="0" w:color="auto"/>
        <w:right w:val="none" w:sz="0" w:space="0" w:color="auto"/>
      </w:divBdr>
    </w:div>
    <w:div w:id="769008150">
      <w:bodyDiv w:val="1"/>
      <w:marLeft w:val="0"/>
      <w:marRight w:val="0"/>
      <w:marTop w:val="0"/>
      <w:marBottom w:val="0"/>
      <w:divBdr>
        <w:top w:val="none" w:sz="0" w:space="0" w:color="auto"/>
        <w:left w:val="none" w:sz="0" w:space="0" w:color="auto"/>
        <w:bottom w:val="none" w:sz="0" w:space="0" w:color="auto"/>
        <w:right w:val="none" w:sz="0" w:space="0" w:color="auto"/>
      </w:divBdr>
    </w:div>
    <w:div w:id="769163258">
      <w:bodyDiv w:val="1"/>
      <w:marLeft w:val="0"/>
      <w:marRight w:val="0"/>
      <w:marTop w:val="0"/>
      <w:marBottom w:val="0"/>
      <w:divBdr>
        <w:top w:val="none" w:sz="0" w:space="0" w:color="auto"/>
        <w:left w:val="none" w:sz="0" w:space="0" w:color="auto"/>
        <w:bottom w:val="none" w:sz="0" w:space="0" w:color="auto"/>
        <w:right w:val="none" w:sz="0" w:space="0" w:color="auto"/>
      </w:divBdr>
    </w:div>
    <w:div w:id="769279304">
      <w:bodyDiv w:val="1"/>
      <w:marLeft w:val="0"/>
      <w:marRight w:val="0"/>
      <w:marTop w:val="0"/>
      <w:marBottom w:val="0"/>
      <w:divBdr>
        <w:top w:val="none" w:sz="0" w:space="0" w:color="auto"/>
        <w:left w:val="none" w:sz="0" w:space="0" w:color="auto"/>
        <w:bottom w:val="none" w:sz="0" w:space="0" w:color="auto"/>
        <w:right w:val="none" w:sz="0" w:space="0" w:color="auto"/>
      </w:divBdr>
    </w:div>
    <w:div w:id="769350222">
      <w:bodyDiv w:val="1"/>
      <w:marLeft w:val="0"/>
      <w:marRight w:val="0"/>
      <w:marTop w:val="0"/>
      <w:marBottom w:val="0"/>
      <w:divBdr>
        <w:top w:val="none" w:sz="0" w:space="0" w:color="auto"/>
        <w:left w:val="none" w:sz="0" w:space="0" w:color="auto"/>
        <w:bottom w:val="none" w:sz="0" w:space="0" w:color="auto"/>
        <w:right w:val="none" w:sz="0" w:space="0" w:color="auto"/>
      </w:divBdr>
    </w:div>
    <w:div w:id="769397299">
      <w:bodyDiv w:val="1"/>
      <w:marLeft w:val="0"/>
      <w:marRight w:val="0"/>
      <w:marTop w:val="0"/>
      <w:marBottom w:val="0"/>
      <w:divBdr>
        <w:top w:val="none" w:sz="0" w:space="0" w:color="auto"/>
        <w:left w:val="none" w:sz="0" w:space="0" w:color="auto"/>
        <w:bottom w:val="none" w:sz="0" w:space="0" w:color="auto"/>
        <w:right w:val="none" w:sz="0" w:space="0" w:color="auto"/>
      </w:divBdr>
    </w:div>
    <w:div w:id="769543026">
      <w:bodyDiv w:val="1"/>
      <w:marLeft w:val="0"/>
      <w:marRight w:val="0"/>
      <w:marTop w:val="0"/>
      <w:marBottom w:val="0"/>
      <w:divBdr>
        <w:top w:val="none" w:sz="0" w:space="0" w:color="auto"/>
        <w:left w:val="none" w:sz="0" w:space="0" w:color="auto"/>
        <w:bottom w:val="none" w:sz="0" w:space="0" w:color="auto"/>
        <w:right w:val="none" w:sz="0" w:space="0" w:color="auto"/>
      </w:divBdr>
    </w:div>
    <w:div w:id="770007293">
      <w:bodyDiv w:val="1"/>
      <w:marLeft w:val="0"/>
      <w:marRight w:val="0"/>
      <w:marTop w:val="0"/>
      <w:marBottom w:val="0"/>
      <w:divBdr>
        <w:top w:val="none" w:sz="0" w:space="0" w:color="auto"/>
        <w:left w:val="none" w:sz="0" w:space="0" w:color="auto"/>
        <w:bottom w:val="none" w:sz="0" w:space="0" w:color="auto"/>
        <w:right w:val="none" w:sz="0" w:space="0" w:color="auto"/>
      </w:divBdr>
    </w:div>
    <w:div w:id="770050132">
      <w:bodyDiv w:val="1"/>
      <w:marLeft w:val="0"/>
      <w:marRight w:val="0"/>
      <w:marTop w:val="0"/>
      <w:marBottom w:val="0"/>
      <w:divBdr>
        <w:top w:val="none" w:sz="0" w:space="0" w:color="auto"/>
        <w:left w:val="none" w:sz="0" w:space="0" w:color="auto"/>
        <w:bottom w:val="none" w:sz="0" w:space="0" w:color="auto"/>
        <w:right w:val="none" w:sz="0" w:space="0" w:color="auto"/>
      </w:divBdr>
    </w:div>
    <w:div w:id="770200869">
      <w:bodyDiv w:val="1"/>
      <w:marLeft w:val="0"/>
      <w:marRight w:val="0"/>
      <w:marTop w:val="0"/>
      <w:marBottom w:val="0"/>
      <w:divBdr>
        <w:top w:val="none" w:sz="0" w:space="0" w:color="auto"/>
        <w:left w:val="none" w:sz="0" w:space="0" w:color="auto"/>
        <w:bottom w:val="none" w:sz="0" w:space="0" w:color="auto"/>
        <w:right w:val="none" w:sz="0" w:space="0" w:color="auto"/>
      </w:divBdr>
    </w:div>
    <w:div w:id="770472608">
      <w:bodyDiv w:val="1"/>
      <w:marLeft w:val="0"/>
      <w:marRight w:val="0"/>
      <w:marTop w:val="0"/>
      <w:marBottom w:val="0"/>
      <w:divBdr>
        <w:top w:val="none" w:sz="0" w:space="0" w:color="auto"/>
        <w:left w:val="none" w:sz="0" w:space="0" w:color="auto"/>
        <w:bottom w:val="none" w:sz="0" w:space="0" w:color="auto"/>
        <w:right w:val="none" w:sz="0" w:space="0" w:color="auto"/>
      </w:divBdr>
    </w:div>
    <w:div w:id="770515674">
      <w:bodyDiv w:val="1"/>
      <w:marLeft w:val="0"/>
      <w:marRight w:val="0"/>
      <w:marTop w:val="0"/>
      <w:marBottom w:val="0"/>
      <w:divBdr>
        <w:top w:val="none" w:sz="0" w:space="0" w:color="auto"/>
        <w:left w:val="none" w:sz="0" w:space="0" w:color="auto"/>
        <w:bottom w:val="none" w:sz="0" w:space="0" w:color="auto"/>
        <w:right w:val="none" w:sz="0" w:space="0" w:color="auto"/>
      </w:divBdr>
    </w:div>
    <w:div w:id="770664356">
      <w:bodyDiv w:val="1"/>
      <w:marLeft w:val="0"/>
      <w:marRight w:val="0"/>
      <w:marTop w:val="0"/>
      <w:marBottom w:val="0"/>
      <w:divBdr>
        <w:top w:val="none" w:sz="0" w:space="0" w:color="auto"/>
        <w:left w:val="none" w:sz="0" w:space="0" w:color="auto"/>
        <w:bottom w:val="none" w:sz="0" w:space="0" w:color="auto"/>
        <w:right w:val="none" w:sz="0" w:space="0" w:color="auto"/>
      </w:divBdr>
    </w:div>
    <w:div w:id="770667515">
      <w:bodyDiv w:val="1"/>
      <w:marLeft w:val="0"/>
      <w:marRight w:val="0"/>
      <w:marTop w:val="0"/>
      <w:marBottom w:val="0"/>
      <w:divBdr>
        <w:top w:val="none" w:sz="0" w:space="0" w:color="auto"/>
        <w:left w:val="none" w:sz="0" w:space="0" w:color="auto"/>
        <w:bottom w:val="none" w:sz="0" w:space="0" w:color="auto"/>
        <w:right w:val="none" w:sz="0" w:space="0" w:color="auto"/>
      </w:divBdr>
    </w:div>
    <w:div w:id="770667601">
      <w:bodyDiv w:val="1"/>
      <w:marLeft w:val="0"/>
      <w:marRight w:val="0"/>
      <w:marTop w:val="0"/>
      <w:marBottom w:val="0"/>
      <w:divBdr>
        <w:top w:val="none" w:sz="0" w:space="0" w:color="auto"/>
        <w:left w:val="none" w:sz="0" w:space="0" w:color="auto"/>
        <w:bottom w:val="none" w:sz="0" w:space="0" w:color="auto"/>
        <w:right w:val="none" w:sz="0" w:space="0" w:color="auto"/>
      </w:divBdr>
    </w:div>
    <w:div w:id="770707491">
      <w:bodyDiv w:val="1"/>
      <w:marLeft w:val="0"/>
      <w:marRight w:val="0"/>
      <w:marTop w:val="0"/>
      <w:marBottom w:val="0"/>
      <w:divBdr>
        <w:top w:val="none" w:sz="0" w:space="0" w:color="auto"/>
        <w:left w:val="none" w:sz="0" w:space="0" w:color="auto"/>
        <w:bottom w:val="none" w:sz="0" w:space="0" w:color="auto"/>
        <w:right w:val="none" w:sz="0" w:space="0" w:color="auto"/>
      </w:divBdr>
    </w:div>
    <w:div w:id="771097929">
      <w:bodyDiv w:val="1"/>
      <w:marLeft w:val="0"/>
      <w:marRight w:val="0"/>
      <w:marTop w:val="0"/>
      <w:marBottom w:val="0"/>
      <w:divBdr>
        <w:top w:val="none" w:sz="0" w:space="0" w:color="auto"/>
        <w:left w:val="none" w:sz="0" w:space="0" w:color="auto"/>
        <w:bottom w:val="none" w:sz="0" w:space="0" w:color="auto"/>
        <w:right w:val="none" w:sz="0" w:space="0" w:color="auto"/>
      </w:divBdr>
    </w:div>
    <w:div w:id="771441378">
      <w:bodyDiv w:val="1"/>
      <w:marLeft w:val="0"/>
      <w:marRight w:val="0"/>
      <w:marTop w:val="0"/>
      <w:marBottom w:val="0"/>
      <w:divBdr>
        <w:top w:val="none" w:sz="0" w:space="0" w:color="auto"/>
        <w:left w:val="none" w:sz="0" w:space="0" w:color="auto"/>
        <w:bottom w:val="none" w:sz="0" w:space="0" w:color="auto"/>
        <w:right w:val="none" w:sz="0" w:space="0" w:color="auto"/>
      </w:divBdr>
    </w:div>
    <w:div w:id="771512311">
      <w:bodyDiv w:val="1"/>
      <w:marLeft w:val="0"/>
      <w:marRight w:val="0"/>
      <w:marTop w:val="0"/>
      <w:marBottom w:val="0"/>
      <w:divBdr>
        <w:top w:val="none" w:sz="0" w:space="0" w:color="auto"/>
        <w:left w:val="none" w:sz="0" w:space="0" w:color="auto"/>
        <w:bottom w:val="none" w:sz="0" w:space="0" w:color="auto"/>
        <w:right w:val="none" w:sz="0" w:space="0" w:color="auto"/>
      </w:divBdr>
    </w:div>
    <w:div w:id="771512523">
      <w:bodyDiv w:val="1"/>
      <w:marLeft w:val="0"/>
      <w:marRight w:val="0"/>
      <w:marTop w:val="0"/>
      <w:marBottom w:val="0"/>
      <w:divBdr>
        <w:top w:val="none" w:sz="0" w:space="0" w:color="auto"/>
        <w:left w:val="none" w:sz="0" w:space="0" w:color="auto"/>
        <w:bottom w:val="none" w:sz="0" w:space="0" w:color="auto"/>
        <w:right w:val="none" w:sz="0" w:space="0" w:color="auto"/>
      </w:divBdr>
    </w:div>
    <w:div w:id="771513106">
      <w:bodyDiv w:val="1"/>
      <w:marLeft w:val="0"/>
      <w:marRight w:val="0"/>
      <w:marTop w:val="0"/>
      <w:marBottom w:val="0"/>
      <w:divBdr>
        <w:top w:val="none" w:sz="0" w:space="0" w:color="auto"/>
        <w:left w:val="none" w:sz="0" w:space="0" w:color="auto"/>
        <w:bottom w:val="none" w:sz="0" w:space="0" w:color="auto"/>
        <w:right w:val="none" w:sz="0" w:space="0" w:color="auto"/>
      </w:divBdr>
    </w:div>
    <w:div w:id="771513860">
      <w:bodyDiv w:val="1"/>
      <w:marLeft w:val="0"/>
      <w:marRight w:val="0"/>
      <w:marTop w:val="0"/>
      <w:marBottom w:val="0"/>
      <w:divBdr>
        <w:top w:val="none" w:sz="0" w:space="0" w:color="auto"/>
        <w:left w:val="none" w:sz="0" w:space="0" w:color="auto"/>
        <w:bottom w:val="none" w:sz="0" w:space="0" w:color="auto"/>
        <w:right w:val="none" w:sz="0" w:space="0" w:color="auto"/>
      </w:divBdr>
    </w:div>
    <w:div w:id="771585297">
      <w:bodyDiv w:val="1"/>
      <w:marLeft w:val="0"/>
      <w:marRight w:val="0"/>
      <w:marTop w:val="0"/>
      <w:marBottom w:val="0"/>
      <w:divBdr>
        <w:top w:val="none" w:sz="0" w:space="0" w:color="auto"/>
        <w:left w:val="none" w:sz="0" w:space="0" w:color="auto"/>
        <w:bottom w:val="none" w:sz="0" w:space="0" w:color="auto"/>
        <w:right w:val="none" w:sz="0" w:space="0" w:color="auto"/>
      </w:divBdr>
    </w:div>
    <w:div w:id="771632986">
      <w:bodyDiv w:val="1"/>
      <w:marLeft w:val="0"/>
      <w:marRight w:val="0"/>
      <w:marTop w:val="0"/>
      <w:marBottom w:val="0"/>
      <w:divBdr>
        <w:top w:val="none" w:sz="0" w:space="0" w:color="auto"/>
        <w:left w:val="none" w:sz="0" w:space="0" w:color="auto"/>
        <w:bottom w:val="none" w:sz="0" w:space="0" w:color="auto"/>
        <w:right w:val="none" w:sz="0" w:space="0" w:color="auto"/>
      </w:divBdr>
    </w:div>
    <w:div w:id="771704819">
      <w:bodyDiv w:val="1"/>
      <w:marLeft w:val="0"/>
      <w:marRight w:val="0"/>
      <w:marTop w:val="0"/>
      <w:marBottom w:val="0"/>
      <w:divBdr>
        <w:top w:val="none" w:sz="0" w:space="0" w:color="auto"/>
        <w:left w:val="none" w:sz="0" w:space="0" w:color="auto"/>
        <w:bottom w:val="none" w:sz="0" w:space="0" w:color="auto"/>
        <w:right w:val="none" w:sz="0" w:space="0" w:color="auto"/>
      </w:divBdr>
    </w:div>
    <w:div w:id="771752075">
      <w:bodyDiv w:val="1"/>
      <w:marLeft w:val="0"/>
      <w:marRight w:val="0"/>
      <w:marTop w:val="0"/>
      <w:marBottom w:val="0"/>
      <w:divBdr>
        <w:top w:val="none" w:sz="0" w:space="0" w:color="auto"/>
        <w:left w:val="none" w:sz="0" w:space="0" w:color="auto"/>
        <w:bottom w:val="none" w:sz="0" w:space="0" w:color="auto"/>
        <w:right w:val="none" w:sz="0" w:space="0" w:color="auto"/>
      </w:divBdr>
    </w:div>
    <w:div w:id="771778062">
      <w:bodyDiv w:val="1"/>
      <w:marLeft w:val="0"/>
      <w:marRight w:val="0"/>
      <w:marTop w:val="0"/>
      <w:marBottom w:val="0"/>
      <w:divBdr>
        <w:top w:val="none" w:sz="0" w:space="0" w:color="auto"/>
        <w:left w:val="none" w:sz="0" w:space="0" w:color="auto"/>
        <w:bottom w:val="none" w:sz="0" w:space="0" w:color="auto"/>
        <w:right w:val="none" w:sz="0" w:space="0" w:color="auto"/>
      </w:divBdr>
    </w:div>
    <w:div w:id="772096517">
      <w:bodyDiv w:val="1"/>
      <w:marLeft w:val="0"/>
      <w:marRight w:val="0"/>
      <w:marTop w:val="0"/>
      <w:marBottom w:val="0"/>
      <w:divBdr>
        <w:top w:val="none" w:sz="0" w:space="0" w:color="auto"/>
        <w:left w:val="none" w:sz="0" w:space="0" w:color="auto"/>
        <w:bottom w:val="none" w:sz="0" w:space="0" w:color="auto"/>
        <w:right w:val="none" w:sz="0" w:space="0" w:color="auto"/>
      </w:divBdr>
    </w:div>
    <w:div w:id="772475172">
      <w:bodyDiv w:val="1"/>
      <w:marLeft w:val="0"/>
      <w:marRight w:val="0"/>
      <w:marTop w:val="0"/>
      <w:marBottom w:val="0"/>
      <w:divBdr>
        <w:top w:val="none" w:sz="0" w:space="0" w:color="auto"/>
        <w:left w:val="none" w:sz="0" w:space="0" w:color="auto"/>
        <w:bottom w:val="none" w:sz="0" w:space="0" w:color="auto"/>
        <w:right w:val="none" w:sz="0" w:space="0" w:color="auto"/>
      </w:divBdr>
    </w:div>
    <w:div w:id="772628659">
      <w:bodyDiv w:val="1"/>
      <w:marLeft w:val="0"/>
      <w:marRight w:val="0"/>
      <w:marTop w:val="0"/>
      <w:marBottom w:val="0"/>
      <w:divBdr>
        <w:top w:val="none" w:sz="0" w:space="0" w:color="auto"/>
        <w:left w:val="none" w:sz="0" w:space="0" w:color="auto"/>
        <w:bottom w:val="none" w:sz="0" w:space="0" w:color="auto"/>
        <w:right w:val="none" w:sz="0" w:space="0" w:color="auto"/>
      </w:divBdr>
    </w:div>
    <w:div w:id="772676713">
      <w:bodyDiv w:val="1"/>
      <w:marLeft w:val="0"/>
      <w:marRight w:val="0"/>
      <w:marTop w:val="0"/>
      <w:marBottom w:val="0"/>
      <w:divBdr>
        <w:top w:val="none" w:sz="0" w:space="0" w:color="auto"/>
        <w:left w:val="none" w:sz="0" w:space="0" w:color="auto"/>
        <w:bottom w:val="none" w:sz="0" w:space="0" w:color="auto"/>
        <w:right w:val="none" w:sz="0" w:space="0" w:color="auto"/>
      </w:divBdr>
    </w:div>
    <w:div w:id="772744116">
      <w:bodyDiv w:val="1"/>
      <w:marLeft w:val="0"/>
      <w:marRight w:val="0"/>
      <w:marTop w:val="0"/>
      <w:marBottom w:val="0"/>
      <w:divBdr>
        <w:top w:val="none" w:sz="0" w:space="0" w:color="auto"/>
        <w:left w:val="none" w:sz="0" w:space="0" w:color="auto"/>
        <w:bottom w:val="none" w:sz="0" w:space="0" w:color="auto"/>
        <w:right w:val="none" w:sz="0" w:space="0" w:color="auto"/>
      </w:divBdr>
    </w:div>
    <w:div w:id="772894435">
      <w:bodyDiv w:val="1"/>
      <w:marLeft w:val="0"/>
      <w:marRight w:val="0"/>
      <w:marTop w:val="0"/>
      <w:marBottom w:val="0"/>
      <w:divBdr>
        <w:top w:val="none" w:sz="0" w:space="0" w:color="auto"/>
        <w:left w:val="none" w:sz="0" w:space="0" w:color="auto"/>
        <w:bottom w:val="none" w:sz="0" w:space="0" w:color="auto"/>
        <w:right w:val="none" w:sz="0" w:space="0" w:color="auto"/>
      </w:divBdr>
    </w:div>
    <w:div w:id="773012911">
      <w:bodyDiv w:val="1"/>
      <w:marLeft w:val="0"/>
      <w:marRight w:val="0"/>
      <w:marTop w:val="0"/>
      <w:marBottom w:val="0"/>
      <w:divBdr>
        <w:top w:val="none" w:sz="0" w:space="0" w:color="auto"/>
        <w:left w:val="none" w:sz="0" w:space="0" w:color="auto"/>
        <w:bottom w:val="none" w:sz="0" w:space="0" w:color="auto"/>
        <w:right w:val="none" w:sz="0" w:space="0" w:color="auto"/>
      </w:divBdr>
    </w:div>
    <w:div w:id="773131462">
      <w:bodyDiv w:val="1"/>
      <w:marLeft w:val="0"/>
      <w:marRight w:val="0"/>
      <w:marTop w:val="0"/>
      <w:marBottom w:val="0"/>
      <w:divBdr>
        <w:top w:val="none" w:sz="0" w:space="0" w:color="auto"/>
        <w:left w:val="none" w:sz="0" w:space="0" w:color="auto"/>
        <w:bottom w:val="none" w:sz="0" w:space="0" w:color="auto"/>
        <w:right w:val="none" w:sz="0" w:space="0" w:color="auto"/>
      </w:divBdr>
    </w:div>
    <w:div w:id="773285147">
      <w:bodyDiv w:val="1"/>
      <w:marLeft w:val="0"/>
      <w:marRight w:val="0"/>
      <w:marTop w:val="0"/>
      <w:marBottom w:val="0"/>
      <w:divBdr>
        <w:top w:val="none" w:sz="0" w:space="0" w:color="auto"/>
        <w:left w:val="none" w:sz="0" w:space="0" w:color="auto"/>
        <w:bottom w:val="none" w:sz="0" w:space="0" w:color="auto"/>
        <w:right w:val="none" w:sz="0" w:space="0" w:color="auto"/>
      </w:divBdr>
    </w:div>
    <w:div w:id="773289712">
      <w:bodyDiv w:val="1"/>
      <w:marLeft w:val="0"/>
      <w:marRight w:val="0"/>
      <w:marTop w:val="0"/>
      <w:marBottom w:val="0"/>
      <w:divBdr>
        <w:top w:val="none" w:sz="0" w:space="0" w:color="auto"/>
        <w:left w:val="none" w:sz="0" w:space="0" w:color="auto"/>
        <w:bottom w:val="none" w:sz="0" w:space="0" w:color="auto"/>
        <w:right w:val="none" w:sz="0" w:space="0" w:color="auto"/>
      </w:divBdr>
    </w:div>
    <w:div w:id="773400315">
      <w:bodyDiv w:val="1"/>
      <w:marLeft w:val="0"/>
      <w:marRight w:val="0"/>
      <w:marTop w:val="0"/>
      <w:marBottom w:val="0"/>
      <w:divBdr>
        <w:top w:val="none" w:sz="0" w:space="0" w:color="auto"/>
        <w:left w:val="none" w:sz="0" w:space="0" w:color="auto"/>
        <w:bottom w:val="none" w:sz="0" w:space="0" w:color="auto"/>
        <w:right w:val="none" w:sz="0" w:space="0" w:color="auto"/>
      </w:divBdr>
    </w:div>
    <w:div w:id="773549462">
      <w:bodyDiv w:val="1"/>
      <w:marLeft w:val="0"/>
      <w:marRight w:val="0"/>
      <w:marTop w:val="0"/>
      <w:marBottom w:val="0"/>
      <w:divBdr>
        <w:top w:val="none" w:sz="0" w:space="0" w:color="auto"/>
        <w:left w:val="none" w:sz="0" w:space="0" w:color="auto"/>
        <w:bottom w:val="none" w:sz="0" w:space="0" w:color="auto"/>
        <w:right w:val="none" w:sz="0" w:space="0" w:color="auto"/>
      </w:divBdr>
    </w:div>
    <w:div w:id="773591807">
      <w:bodyDiv w:val="1"/>
      <w:marLeft w:val="0"/>
      <w:marRight w:val="0"/>
      <w:marTop w:val="0"/>
      <w:marBottom w:val="0"/>
      <w:divBdr>
        <w:top w:val="none" w:sz="0" w:space="0" w:color="auto"/>
        <w:left w:val="none" w:sz="0" w:space="0" w:color="auto"/>
        <w:bottom w:val="none" w:sz="0" w:space="0" w:color="auto"/>
        <w:right w:val="none" w:sz="0" w:space="0" w:color="auto"/>
      </w:divBdr>
    </w:div>
    <w:div w:id="773793039">
      <w:bodyDiv w:val="1"/>
      <w:marLeft w:val="0"/>
      <w:marRight w:val="0"/>
      <w:marTop w:val="0"/>
      <w:marBottom w:val="0"/>
      <w:divBdr>
        <w:top w:val="none" w:sz="0" w:space="0" w:color="auto"/>
        <w:left w:val="none" w:sz="0" w:space="0" w:color="auto"/>
        <w:bottom w:val="none" w:sz="0" w:space="0" w:color="auto"/>
        <w:right w:val="none" w:sz="0" w:space="0" w:color="auto"/>
      </w:divBdr>
    </w:div>
    <w:div w:id="773861625">
      <w:bodyDiv w:val="1"/>
      <w:marLeft w:val="0"/>
      <w:marRight w:val="0"/>
      <w:marTop w:val="0"/>
      <w:marBottom w:val="0"/>
      <w:divBdr>
        <w:top w:val="none" w:sz="0" w:space="0" w:color="auto"/>
        <w:left w:val="none" w:sz="0" w:space="0" w:color="auto"/>
        <w:bottom w:val="none" w:sz="0" w:space="0" w:color="auto"/>
        <w:right w:val="none" w:sz="0" w:space="0" w:color="auto"/>
      </w:divBdr>
    </w:div>
    <w:div w:id="773869622">
      <w:bodyDiv w:val="1"/>
      <w:marLeft w:val="0"/>
      <w:marRight w:val="0"/>
      <w:marTop w:val="0"/>
      <w:marBottom w:val="0"/>
      <w:divBdr>
        <w:top w:val="none" w:sz="0" w:space="0" w:color="auto"/>
        <w:left w:val="none" w:sz="0" w:space="0" w:color="auto"/>
        <w:bottom w:val="none" w:sz="0" w:space="0" w:color="auto"/>
        <w:right w:val="none" w:sz="0" w:space="0" w:color="auto"/>
      </w:divBdr>
    </w:div>
    <w:div w:id="773936918">
      <w:bodyDiv w:val="1"/>
      <w:marLeft w:val="0"/>
      <w:marRight w:val="0"/>
      <w:marTop w:val="0"/>
      <w:marBottom w:val="0"/>
      <w:divBdr>
        <w:top w:val="none" w:sz="0" w:space="0" w:color="auto"/>
        <w:left w:val="none" w:sz="0" w:space="0" w:color="auto"/>
        <w:bottom w:val="none" w:sz="0" w:space="0" w:color="auto"/>
        <w:right w:val="none" w:sz="0" w:space="0" w:color="auto"/>
      </w:divBdr>
    </w:div>
    <w:div w:id="773982637">
      <w:bodyDiv w:val="1"/>
      <w:marLeft w:val="0"/>
      <w:marRight w:val="0"/>
      <w:marTop w:val="0"/>
      <w:marBottom w:val="0"/>
      <w:divBdr>
        <w:top w:val="none" w:sz="0" w:space="0" w:color="auto"/>
        <w:left w:val="none" w:sz="0" w:space="0" w:color="auto"/>
        <w:bottom w:val="none" w:sz="0" w:space="0" w:color="auto"/>
        <w:right w:val="none" w:sz="0" w:space="0" w:color="auto"/>
      </w:divBdr>
    </w:div>
    <w:div w:id="774057976">
      <w:bodyDiv w:val="1"/>
      <w:marLeft w:val="0"/>
      <w:marRight w:val="0"/>
      <w:marTop w:val="0"/>
      <w:marBottom w:val="0"/>
      <w:divBdr>
        <w:top w:val="none" w:sz="0" w:space="0" w:color="auto"/>
        <w:left w:val="none" w:sz="0" w:space="0" w:color="auto"/>
        <w:bottom w:val="none" w:sz="0" w:space="0" w:color="auto"/>
        <w:right w:val="none" w:sz="0" w:space="0" w:color="auto"/>
      </w:divBdr>
    </w:div>
    <w:div w:id="774129406">
      <w:bodyDiv w:val="1"/>
      <w:marLeft w:val="0"/>
      <w:marRight w:val="0"/>
      <w:marTop w:val="0"/>
      <w:marBottom w:val="0"/>
      <w:divBdr>
        <w:top w:val="none" w:sz="0" w:space="0" w:color="auto"/>
        <w:left w:val="none" w:sz="0" w:space="0" w:color="auto"/>
        <w:bottom w:val="none" w:sz="0" w:space="0" w:color="auto"/>
        <w:right w:val="none" w:sz="0" w:space="0" w:color="auto"/>
      </w:divBdr>
    </w:div>
    <w:div w:id="774135346">
      <w:bodyDiv w:val="1"/>
      <w:marLeft w:val="0"/>
      <w:marRight w:val="0"/>
      <w:marTop w:val="0"/>
      <w:marBottom w:val="0"/>
      <w:divBdr>
        <w:top w:val="none" w:sz="0" w:space="0" w:color="auto"/>
        <w:left w:val="none" w:sz="0" w:space="0" w:color="auto"/>
        <w:bottom w:val="none" w:sz="0" w:space="0" w:color="auto"/>
        <w:right w:val="none" w:sz="0" w:space="0" w:color="auto"/>
      </w:divBdr>
    </w:div>
    <w:div w:id="774443123">
      <w:bodyDiv w:val="1"/>
      <w:marLeft w:val="0"/>
      <w:marRight w:val="0"/>
      <w:marTop w:val="0"/>
      <w:marBottom w:val="0"/>
      <w:divBdr>
        <w:top w:val="none" w:sz="0" w:space="0" w:color="auto"/>
        <w:left w:val="none" w:sz="0" w:space="0" w:color="auto"/>
        <w:bottom w:val="none" w:sz="0" w:space="0" w:color="auto"/>
        <w:right w:val="none" w:sz="0" w:space="0" w:color="auto"/>
      </w:divBdr>
    </w:div>
    <w:div w:id="774640076">
      <w:bodyDiv w:val="1"/>
      <w:marLeft w:val="0"/>
      <w:marRight w:val="0"/>
      <w:marTop w:val="0"/>
      <w:marBottom w:val="0"/>
      <w:divBdr>
        <w:top w:val="none" w:sz="0" w:space="0" w:color="auto"/>
        <w:left w:val="none" w:sz="0" w:space="0" w:color="auto"/>
        <w:bottom w:val="none" w:sz="0" w:space="0" w:color="auto"/>
        <w:right w:val="none" w:sz="0" w:space="0" w:color="auto"/>
      </w:divBdr>
    </w:div>
    <w:div w:id="774712824">
      <w:bodyDiv w:val="1"/>
      <w:marLeft w:val="0"/>
      <w:marRight w:val="0"/>
      <w:marTop w:val="0"/>
      <w:marBottom w:val="0"/>
      <w:divBdr>
        <w:top w:val="none" w:sz="0" w:space="0" w:color="auto"/>
        <w:left w:val="none" w:sz="0" w:space="0" w:color="auto"/>
        <w:bottom w:val="none" w:sz="0" w:space="0" w:color="auto"/>
        <w:right w:val="none" w:sz="0" w:space="0" w:color="auto"/>
      </w:divBdr>
    </w:div>
    <w:div w:id="774909378">
      <w:bodyDiv w:val="1"/>
      <w:marLeft w:val="0"/>
      <w:marRight w:val="0"/>
      <w:marTop w:val="0"/>
      <w:marBottom w:val="0"/>
      <w:divBdr>
        <w:top w:val="none" w:sz="0" w:space="0" w:color="auto"/>
        <w:left w:val="none" w:sz="0" w:space="0" w:color="auto"/>
        <w:bottom w:val="none" w:sz="0" w:space="0" w:color="auto"/>
        <w:right w:val="none" w:sz="0" w:space="0" w:color="auto"/>
      </w:divBdr>
    </w:div>
    <w:div w:id="774981641">
      <w:bodyDiv w:val="1"/>
      <w:marLeft w:val="0"/>
      <w:marRight w:val="0"/>
      <w:marTop w:val="0"/>
      <w:marBottom w:val="0"/>
      <w:divBdr>
        <w:top w:val="none" w:sz="0" w:space="0" w:color="auto"/>
        <w:left w:val="none" w:sz="0" w:space="0" w:color="auto"/>
        <w:bottom w:val="none" w:sz="0" w:space="0" w:color="auto"/>
        <w:right w:val="none" w:sz="0" w:space="0" w:color="auto"/>
      </w:divBdr>
    </w:div>
    <w:div w:id="775096055">
      <w:bodyDiv w:val="1"/>
      <w:marLeft w:val="0"/>
      <w:marRight w:val="0"/>
      <w:marTop w:val="0"/>
      <w:marBottom w:val="0"/>
      <w:divBdr>
        <w:top w:val="none" w:sz="0" w:space="0" w:color="auto"/>
        <w:left w:val="none" w:sz="0" w:space="0" w:color="auto"/>
        <w:bottom w:val="none" w:sz="0" w:space="0" w:color="auto"/>
        <w:right w:val="none" w:sz="0" w:space="0" w:color="auto"/>
      </w:divBdr>
    </w:div>
    <w:div w:id="775246455">
      <w:bodyDiv w:val="1"/>
      <w:marLeft w:val="0"/>
      <w:marRight w:val="0"/>
      <w:marTop w:val="0"/>
      <w:marBottom w:val="0"/>
      <w:divBdr>
        <w:top w:val="none" w:sz="0" w:space="0" w:color="auto"/>
        <w:left w:val="none" w:sz="0" w:space="0" w:color="auto"/>
        <w:bottom w:val="none" w:sz="0" w:space="0" w:color="auto"/>
        <w:right w:val="none" w:sz="0" w:space="0" w:color="auto"/>
      </w:divBdr>
    </w:div>
    <w:div w:id="775978379">
      <w:bodyDiv w:val="1"/>
      <w:marLeft w:val="0"/>
      <w:marRight w:val="0"/>
      <w:marTop w:val="0"/>
      <w:marBottom w:val="0"/>
      <w:divBdr>
        <w:top w:val="none" w:sz="0" w:space="0" w:color="auto"/>
        <w:left w:val="none" w:sz="0" w:space="0" w:color="auto"/>
        <w:bottom w:val="none" w:sz="0" w:space="0" w:color="auto"/>
        <w:right w:val="none" w:sz="0" w:space="0" w:color="auto"/>
      </w:divBdr>
    </w:div>
    <w:div w:id="776024211">
      <w:bodyDiv w:val="1"/>
      <w:marLeft w:val="0"/>
      <w:marRight w:val="0"/>
      <w:marTop w:val="0"/>
      <w:marBottom w:val="0"/>
      <w:divBdr>
        <w:top w:val="none" w:sz="0" w:space="0" w:color="auto"/>
        <w:left w:val="none" w:sz="0" w:space="0" w:color="auto"/>
        <w:bottom w:val="none" w:sz="0" w:space="0" w:color="auto"/>
        <w:right w:val="none" w:sz="0" w:space="0" w:color="auto"/>
      </w:divBdr>
    </w:div>
    <w:div w:id="776102344">
      <w:bodyDiv w:val="1"/>
      <w:marLeft w:val="0"/>
      <w:marRight w:val="0"/>
      <w:marTop w:val="0"/>
      <w:marBottom w:val="0"/>
      <w:divBdr>
        <w:top w:val="none" w:sz="0" w:space="0" w:color="auto"/>
        <w:left w:val="none" w:sz="0" w:space="0" w:color="auto"/>
        <w:bottom w:val="none" w:sz="0" w:space="0" w:color="auto"/>
        <w:right w:val="none" w:sz="0" w:space="0" w:color="auto"/>
      </w:divBdr>
    </w:div>
    <w:div w:id="776144414">
      <w:bodyDiv w:val="1"/>
      <w:marLeft w:val="0"/>
      <w:marRight w:val="0"/>
      <w:marTop w:val="0"/>
      <w:marBottom w:val="0"/>
      <w:divBdr>
        <w:top w:val="none" w:sz="0" w:space="0" w:color="auto"/>
        <w:left w:val="none" w:sz="0" w:space="0" w:color="auto"/>
        <w:bottom w:val="none" w:sz="0" w:space="0" w:color="auto"/>
        <w:right w:val="none" w:sz="0" w:space="0" w:color="auto"/>
      </w:divBdr>
    </w:div>
    <w:div w:id="776409574">
      <w:bodyDiv w:val="1"/>
      <w:marLeft w:val="0"/>
      <w:marRight w:val="0"/>
      <w:marTop w:val="0"/>
      <w:marBottom w:val="0"/>
      <w:divBdr>
        <w:top w:val="none" w:sz="0" w:space="0" w:color="auto"/>
        <w:left w:val="none" w:sz="0" w:space="0" w:color="auto"/>
        <w:bottom w:val="none" w:sz="0" w:space="0" w:color="auto"/>
        <w:right w:val="none" w:sz="0" w:space="0" w:color="auto"/>
      </w:divBdr>
    </w:div>
    <w:div w:id="776490296">
      <w:bodyDiv w:val="1"/>
      <w:marLeft w:val="0"/>
      <w:marRight w:val="0"/>
      <w:marTop w:val="0"/>
      <w:marBottom w:val="0"/>
      <w:divBdr>
        <w:top w:val="none" w:sz="0" w:space="0" w:color="auto"/>
        <w:left w:val="none" w:sz="0" w:space="0" w:color="auto"/>
        <w:bottom w:val="none" w:sz="0" w:space="0" w:color="auto"/>
        <w:right w:val="none" w:sz="0" w:space="0" w:color="auto"/>
      </w:divBdr>
    </w:div>
    <w:div w:id="776759423">
      <w:bodyDiv w:val="1"/>
      <w:marLeft w:val="0"/>
      <w:marRight w:val="0"/>
      <w:marTop w:val="0"/>
      <w:marBottom w:val="0"/>
      <w:divBdr>
        <w:top w:val="none" w:sz="0" w:space="0" w:color="auto"/>
        <w:left w:val="none" w:sz="0" w:space="0" w:color="auto"/>
        <w:bottom w:val="none" w:sz="0" w:space="0" w:color="auto"/>
        <w:right w:val="none" w:sz="0" w:space="0" w:color="auto"/>
      </w:divBdr>
    </w:div>
    <w:div w:id="776830025">
      <w:bodyDiv w:val="1"/>
      <w:marLeft w:val="0"/>
      <w:marRight w:val="0"/>
      <w:marTop w:val="0"/>
      <w:marBottom w:val="0"/>
      <w:divBdr>
        <w:top w:val="none" w:sz="0" w:space="0" w:color="auto"/>
        <w:left w:val="none" w:sz="0" w:space="0" w:color="auto"/>
        <w:bottom w:val="none" w:sz="0" w:space="0" w:color="auto"/>
        <w:right w:val="none" w:sz="0" w:space="0" w:color="auto"/>
      </w:divBdr>
    </w:div>
    <w:div w:id="776870167">
      <w:bodyDiv w:val="1"/>
      <w:marLeft w:val="0"/>
      <w:marRight w:val="0"/>
      <w:marTop w:val="0"/>
      <w:marBottom w:val="0"/>
      <w:divBdr>
        <w:top w:val="none" w:sz="0" w:space="0" w:color="auto"/>
        <w:left w:val="none" w:sz="0" w:space="0" w:color="auto"/>
        <w:bottom w:val="none" w:sz="0" w:space="0" w:color="auto"/>
        <w:right w:val="none" w:sz="0" w:space="0" w:color="auto"/>
      </w:divBdr>
    </w:div>
    <w:div w:id="776946288">
      <w:bodyDiv w:val="1"/>
      <w:marLeft w:val="0"/>
      <w:marRight w:val="0"/>
      <w:marTop w:val="0"/>
      <w:marBottom w:val="0"/>
      <w:divBdr>
        <w:top w:val="none" w:sz="0" w:space="0" w:color="auto"/>
        <w:left w:val="none" w:sz="0" w:space="0" w:color="auto"/>
        <w:bottom w:val="none" w:sz="0" w:space="0" w:color="auto"/>
        <w:right w:val="none" w:sz="0" w:space="0" w:color="auto"/>
      </w:divBdr>
    </w:div>
    <w:div w:id="777020411">
      <w:bodyDiv w:val="1"/>
      <w:marLeft w:val="0"/>
      <w:marRight w:val="0"/>
      <w:marTop w:val="0"/>
      <w:marBottom w:val="0"/>
      <w:divBdr>
        <w:top w:val="none" w:sz="0" w:space="0" w:color="auto"/>
        <w:left w:val="none" w:sz="0" w:space="0" w:color="auto"/>
        <w:bottom w:val="none" w:sz="0" w:space="0" w:color="auto"/>
        <w:right w:val="none" w:sz="0" w:space="0" w:color="auto"/>
      </w:divBdr>
    </w:div>
    <w:div w:id="777023922">
      <w:bodyDiv w:val="1"/>
      <w:marLeft w:val="0"/>
      <w:marRight w:val="0"/>
      <w:marTop w:val="0"/>
      <w:marBottom w:val="0"/>
      <w:divBdr>
        <w:top w:val="none" w:sz="0" w:space="0" w:color="auto"/>
        <w:left w:val="none" w:sz="0" w:space="0" w:color="auto"/>
        <w:bottom w:val="none" w:sz="0" w:space="0" w:color="auto"/>
        <w:right w:val="none" w:sz="0" w:space="0" w:color="auto"/>
      </w:divBdr>
    </w:div>
    <w:div w:id="777214094">
      <w:bodyDiv w:val="1"/>
      <w:marLeft w:val="0"/>
      <w:marRight w:val="0"/>
      <w:marTop w:val="0"/>
      <w:marBottom w:val="0"/>
      <w:divBdr>
        <w:top w:val="none" w:sz="0" w:space="0" w:color="auto"/>
        <w:left w:val="none" w:sz="0" w:space="0" w:color="auto"/>
        <w:bottom w:val="none" w:sz="0" w:space="0" w:color="auto"/>
        <w:right w:val="none" w:sz="0" w:space="0" w:color="auto"/>
      </w:divBdr>
    </w:div>
    <w:div w:id="777406431">
      <w:bodyDiv w:val="1"/>
      <w:marLeft w:val="0"/>
      <w:marRight w:val="0"/>
      <w:marTop w:val="0"/>
      <w:marBottom w:val="0"/>
      <w:divBdr>
        <w:top w:val="none" w:sz="0" w:space="0" w:color="auto"/>
        <w:left w:val="none" w:sz="0" w:space="0" w:color="auto"/>
        <w:bottom w:val="none" w:sz="0" w:space="0" w:color="auto"/>
        <w:right w:val="none" w:sz="0" w:space="0" w:color="auto"/>
      </w:divBdr>
    </w:div>
    <w:div w:id="777675037">
      <w:bodyDiv w:val="1"/>
      <w:marLeft w:val="0"/>
      <w:marRight w:val="0"/>
      <w:marTop w:val="0"/>
      <w:marBottom w:val="0"/>
      <w:divBdr>
        <w:top w:val="none" w:sz="0" w:space="0" w:color="auto"/>
        <w:left w:val="none" w:sz="0" w:space="0" w:color="auto"/>
        <w:bottom w:val="none" w:sz="0" w:space="0" w:color="auto"/>
        <w:right w:val="none" w:sz="0" w:space="0" w:color="auto"/>
      </w:divBdr>
    </w:div>
    <w:div w:id="777993881">
      <w:bodyDiv w:val="1"/>
      <w:marLeft w:val="0"/>
      <w:marRight w:val="0"/>
      <w:marTop w:val="0"/>
      <w:marBottom w:val="0"/>
      <w:divBdr>
        <w:top w:val="none" w:sz="0" w:space="0" w:color="auto"/>
        <w:left w:val="none" w:sz="0" w:space="0" w:color="auto"/>
        <w:bottom w:val="none" w:sz="0" w:space="0" w:color="auto"/>
        <w:right w:val="none" w:sz="0" w:space="0" w:color="auto"/>
      </w:divBdr>
    </w:div>
    <w:div w:id="778110234">
      <w:bodyDiv w:val="1"/>
      <w:marLeft w:val="0"/>
      <w:marRight w:val="0"/>
      <w:marTop w:val="0"/>
      <w:marBottom w:val="0"/>
      <w:divBdr>
        <w:top w:val="none" w:sz="0" w:space="0" w:color="auto"/>
        <w:left w:val="none" w:sz="0" w:space="0" w:color="auto"/>
        <w:bottom w:val="none" w:sz="0" w:space="0" w:color="auto"/>
        <w:right w:val="none" w:sz="0" w:space="0" w:color="auto"/>
      </w:divBdr>
    </w:div>
    <w:div w:id="778112251">
      <w:bodyDiv w:val="1"/>
      <w:marLeft w:val="0"/>
      <w:marRight w:val="0"/>
      <w:marTop w:val="0"/>
      <w:marBottom w:val="0"/>
      <w:divBdr>
        <w:top w:val="none" w:sz="0" w:space="0" w:color="auto"/>
        <w:left w:val="none" w:sz="0" w:space="0" w:color="auto"/>
        <w:bottom w:val="none" w:sz="0" w:space="0" w:color="auto"/>
        <w:right w:val="none" w:sz="0" w:space="0" w:color="auto"/>
      </w:divBdr>
    </w:div>
    <w:div w:id="778187886">
      <w:bodyDiv w:val="1"/>
      <w:marLeft w:val="0"/>
      <w:marRight w:val="0"/>
      <w:marTop w:val="0"/>
      <w:marBottom w:val="0"/>
      <w:divBdr>
        <w:top w:val="none" w:sz="0" w:space="0" w:color="auto"/>
        <w:left w:val="none" w:sz="0" w:space="0" w:color="auto"/>
        <w:bottom w:val="none" w:sz="0" w:space="0" w:color="auto"/>
        <w:right w:val="none" w:sz="0" w:space="0" w:color="auto"/>
      </w:divBdr>
    </w:div>
    <w:div w:id="778255136">
      <w:bodyDiv w:val="1"/>
      <w:marLeft w:val="0"/>
      <w:marRight w:val="0"/>
      <w:marTop w:val="0"/>
      <w:marBottom w:val="0"/>
      <w:divBdr>
        <w:top w:val="none" w:sz="0" w:space="0" w:color="auto"/>
        <w:left w:val="none" w:sz="0" w:space="0" w:color="auto"/>
        <w:bottom w:val="none" w:sz="0" w:space="0" w:color="auto"/>
        <w:right w:val="none" w:sz="0" w:space="0" w:color="auto"/>
      </w:divBdr>
    </w:div>
    <w:div w:id="778572074">
      <w:bodyDiv w:val="1"/>
      <w:marLeft w:val="0"/>
      <w:marRight w:val="0"/>
      <w:marTop w:val="0"/>
      <w:marBottom w:val="0"/>
      <w:divBdr>
        <w:top w:val="none" w:sz="0" w:space="0" w:color="auto"/>
        <w:left w:val="none" w:sz="0" w:space="0" w:color="auto"/>
        <w:bottom w:val="none" w:sz="0" w:space="0" w:color="auto"/>
        <w:right w:val="none" w:sz="0" w:space="0" w:color="auto"/>
      </w:divBdr>
    </w:div>
    <w:div w:id="778573977">
      <w:bodyDiv w:val="1"/>
      <w:marLeft w:val="0"/>
      <w:marRight w:val="0"/>
      <w:marTop w:val="0"/>
      <w:marBottom w:val="0"/>
      <w:divBdr>
        <w:top w:val="none" w:sz="0" w:space="0" w:color="auto"/>
        <w:left w:val="none" w:sz="0" w:space="0" w:color="auto"/>
        <w:bottom w:val="none" w:sz="0" w:space="0" w:color="auto"/>
        <w:right w:val="none" w:sz="0" w:space="0" w:color="auto"/>
      </w:divBdr>
    </w:div>
    <w:div w:id="778643095">
      <w:bodyDiv w:val="1"/>
      <w:marLeft w:val="0"/>
      <w:marRight w:val="0"/>
      <w:marTop w:val="0"/>
      <w:marBottom w:val="0"/>
      <w:divBdr>
        <w:top w:val="none" w:sz="0" w:space="0" w:color="auto"/>
        <w:left w:val="none" w:sz="0" w:space="0" w:color="auto"/>
        <w:bottom w:val="none" w:sz="0" w:space="0" w:color="auto"/>
        <w:right w:val="none" w:sz="0" w:space="0" w:color="auto"/>
      </w:divBdr>
    </w:div>
    <w:div w:id="778645274">
      <w:bodyDiv w:val="1"/>
      <w:marLeft w:val="0"/>
      <w:marRight w:val="0"/>
      <w:marTop w:val="0"/>
      <w:marBottom w:val="0"/>
      <w:divBdr>
        <w:top w:val="none" w:sz="0" w:space="0" w:color="auto"/>
        <w:left w:val="none" w:sz="0" w:space="0" w:color="auto"/>
        <w:bottom w:val="none" w:sz="0" w:space="0" w:color="auto"/>
        <w:right w:val="none" w:sz="0" w:space="0" w:color="auto"/>
      </w:divBdr>
    </w:div>
    <w:div w:id="778718224">
      <w:bodyDiv w:val="1"/>
      <w:marLeft w:val="0"/>
      <w:marRight w:val="0"/>
      <w:marTop w:val="0"/>
      <w:marBottom w:val="0"/>
      <w:divBdr>
        <w:top w:val="none" w:sz="0" w:space="0" w:color="auto"/>
        <w:left w:val="none" w:sz="0" w:space="0" w:color="auto"/>
        <w:bottom w:val="none" w:sz="0" w:space="0" w:color="auto"/>
        <w:right w:val="none" w:sz="0" w:space="0" w:color="auto"/>
      </w:divBdr>
    </w:div>
    <w:div w:id="778720211">
      <w:bodyDiv w:val="1"/>
      <w:marLeft w:val="0"/>
      <w:marRight w:val="0"/>
      <w:marTop w:val="0"/>
      <w:marBottom w:val="0"/>
      <w:divBdr>
        <w:top w:val="none" w:sz="0" w:space="0" w:color="auto"/>
        <w:left w:val="none" w:sz="0" w:space="0" w:color="auto"/>
        <w:bottom w:val="none" w:sz="0" w:space="0" w:color="auto"/>
        <w:right w:val="none" w:sz="0" w:space="0" w:color="auto"/>
      </w:divBdr>
    </w:div>
    <w:div w:id="778765664">
      <w:bodyDiv w:val="1"/>
      <w:marLeft w:val="0"/>
      <w:marRight w:val="0"/>
      <w:marTop w:val="0"/>
      <w:marBottom w:val="0"/>
      <w:divBdr>
        <w:top w:val="none" w:sz="0" w:space="0" w:color="auto"/>
        <w:left w:val="none" w:sz="0" w:space="0" w:color="auto"/>
        <w:bottom w:val="none" w:sz="0" w:space="0" w:color="auto"/>
        <w:right w:val="none" w:sz="0" w:space="0" w:color="auto"/>
      </w:divBdr>
    </w:div>
    <w:div w:id="778836603">
      <w:bodyDiv w:val="1"/>
      <w:marLeft w:val="0"/>
      <w:marRight w:val="0"/>
      <w:marTop w:val="0"/>
      <w:marBottom w:val="0"/>
      <w:divBdr>
        <w:top w:val="none" w:sz="0" w:space="0" w:color="auto"/>
        <w:left w:val="none" w:sz="0" w:space="0" w:color="auto"/>
        <w:bottom w:val="none" w:sz="0" w:space="0" w:color="auto"/>
        <w:right w:val="none" w:sz="0" w:space="0" w:color="auto"/>
      </w:divBdr>
    </w:div>
    <w:div w:id="779111197">
      <w:bodyDiv w:val="1"/>
      <w:marLeft w:val="0"/>
      <w:marRight w:val="0"/>
      <w:marTop w:val="0"/>
      <w:marBottom w:val="0"/>
      <w:divBdr>
        <w:top w:val="none" w:sz="0" w:space="0" w:color="auto"/>
        <w:left w:val="none" w:sz="0" w:space="0" w:color="auto"/>
        <w:bottom w:val="none" w:sz="0" w:space="0" w:color="auto"/>
        <w:right w:val="none" w:sz="0" w:space="0" w:color="auto"/>
      </w:divBdr>
    </w:div>
    <w:div w:id="779224555">
      <w:bodyDiv w:val="1"/>
      <w:marLeft w:val="0"/>
      <w:marRight w:val="0"/>
      <w:marTop w:val="0"/>
      <w:marBottom w:val="0"/>
      <w:divBdr>
        <w:top w:val="none" w:sz="0" w:space="0" w:color="auto"/>
        <w:left w:val="none" w:sz="0" w:space="0" w:color="auto"/>
        <w:bottom w:val="none" w:sz="0" w:space="0" w:color="auto"/>
        <w:right w:val="none" w:sz="0" w:space="0" w:color="auto"/>
      </w:divBdr>
    </w:div>
    <w:div w:id="779229619">
      <w:bodyDiv w:val="1"/>
      <w:marLeft w:val="0"/>
      <w:marRight w:val="0"/>
      <w:marTop w:val="0"/>
      <w:marBottom w:val="0"/>
      <w:divBdr>
        <w:top w:val="none" w:sz="0" w:space="0" w:color="auto"/>
        <w:left w:val="none" w:sz="0" w:space="0" w:color="auto"/>
        <w:bottom w:val="none" w:sz="0" w:space="0" w:color="auto"/>
        <w:right w:val="none" w:sz="0" w:space="0" w:color="auto"/>
      </w:divBdr>
    </w:div>
    <w:div w:id="779573097">
      <w:bodyDiv w:val="1"/>
      <w:marLeft w:val="0"/>
      <w:marRight w:val="0"/>
      <w:marTop w:val="0"/>
      <w:marBottom w:val="0"/>
      <w:divBdr>
        <w:top w:val="none" w:sz="0" w:space="0" w:color="auto"/>
        <w:left w:val="none" w:sz="0" w:space="0" w:color="auto"/>
        <w:bottom w:val="none" w:sz="0" w:space="0" w:color="auto"/>
        <w:right w:val="none" w:sz="0" w:space="0" w:color="auto"/>
      </w:divBdr>
    </w:div>
    <w:div w:id="779954503">
      <w:bodyDiv w:val="1"/>
      <w:marLeft w:val="0"/>
      <w:marRight w:val="0"/>
      <w:marTop w:val="0"/>
      <w:marBottom w:val="0"/>
      <w:divBdr>
        <w:top w:val="none" w:sz="0" w:space="0" w:color="auto"/>
        <w:left w:val="none" w:sz="0" w:space="0" w:color="auto"/>
        <w:bottom w:val="none" w:sz="0" w:space="0" w:color="auto"/>
        <w:right w:val="none" w:sz="0" w:space="0" w:color="auto"/>
      </w:divBdr>
    </w:div>
    <w:div w:id="780028441">
      <w:bodyDiv w:val="1"/>
      <w:marLeft w:val="0"/>
      <w:marRight w:val="0"/>
      <w:marTop w:val="0"/>
      <w:marBottom w:val="0"/>
      <w:divBdr>
        <w:top w:val="none" w:sz="0" w:space="0" w:color="auto"/>
        <w:left w:val="none" w:sz="0" w:space="0" w:color="auto"/>
        <w:bottom w:val="none" w:sz="0" w:space="0" w:color="auto"/>
        <w:right w:val="none" w:sz="0" w:space="0" w:color="auto"/>
      </w:divBdr>
    </w:div>
    <w:div w:id="780148974">
      <w:bodyDiv w:val="1"/>
      <w:marLeft w:val="0"/>
      <w:marRight w:val="0"/>
      <w:marTop w:val="0"/>
      <w:marBottom w:val="0"/>
      <w:divBdr>
        <w:top w:val="none" w:sz="0" w:space="0" w:color="auto"/>
        <w:left w:val="none" w:sz="0" w:space="0" w:color="auto"/>
        <w:bottom w:val="none" w:sz="0" w:space="0" w:color="auto"/>
        <w:right w:val="none" w:sz="0" w:space="0" w:color="auto"/>
      </w:divBdr>
    </w:div>
    <w:div w:id="780152548">
      <w:bodyDiv w:val="1"/>
      <w:marLeft w:val="0"/>
      <w:marRight w:val="0"/>
      <w:marTop w:val="0"/>
      <w:marBottom w:val="0"/>
      <w:divBdr>
        <w:top w:val="none" w:sz="0" w:space="0" w:color="auto"/>
        <w:left w:val="none" w:sz="0" w:space="0" w:color="auto"/>
        <w:bottom w:val="none" w:sz="0" w:space="0" w:color="auto"/>
        <w:right w:val="none" w:sz="0" w:space="0" w:color="auto"/>
      </w:divBdr>
    </w:div>
    <w:div w:id="780565399">
      <w:bodyDiv w:val="1"/>
      <w:marLeft w:val="0"/>
      <w:marRight w:val="0"/>
      <w:marTop w:val="0"/>
      <w:marBottom w:val="0"/>
      <w:divBdr>
        <w:top w:val="none" w:sz="0" w:space="0" w:color="auto"/>
        <w:left w:val="none" w:sz="0" w:space="0" w:color="auto"/>
        <w:bottom w:val="none" w:sz="0" w:space="0" w:color="auto"/>
        <w:right w:val="none" w:sz="0" w:space="0" w:color="auto"/>
      </w:divBdr>
    </w:div>
    <w:div w:id="780612638">
      <w:bodyDiv w:val="1"/>
      <w:marLeft w:val="0"/>
      <w:marRight w:val="0"/>
      <w:marTop w:val="0"/>
      <w:marBottom w:val="0"/>
      <w:divBdr>
        <w:top w:val="none" w:sz="0" w:space="0" w:color="auto"/>
        <w:left w:val="none" w:sz="0" w:space="0" w:color="auto"/>
        <w:bottom w:val="none" w:sz="0" w:space="0" w:color="auto"/>
        <w:right w:val="none" w:sz="0" w:space="0" w:color="auto"/>
      </w:divBdr>
    </w:div>
    <w:div w:id="780682450">
      <w:bodyDiv w:val="1"/>
      <w:marLeft w:val="0"/>
      <w:marRight w:val="0"/>
      <w:marTop w:val="0"/>
      <w:marBottom w:val="0"/>
      <w:divBdr>
        <w:top w:val="none" w:sz="0" w:space="0" w:color="auto"/>
        <w:left w:val="none" w:sz="0" w:space="0" w:color="auto"/>
        <w:bottom w:val="none" w:sz="0" w:space="0" w:color="auto"/>
        <w:right w:val="none" w:sz="0" w:space="0" w:color="auto"/>
      </w:divBdr>
    </w:div>
    <w:div w:id="780878699">
      <w:bodyDiv w:val="1"/>
      <w:marLeft w:val="0"/>
      <w:marRight w:val="0"/>
      <w:marTop w:val="0"/>
      <w:marBottom w:val="0"/>
      <w:divBdr>
        <w:top w:val="none" w:sz="0" w:space="0" w:color="auto"/>
        <w:left w:val="none" w:sz="0" w:space="0" w:color="auto"/>
        <w:bottom w:val="none" w:sz="0" w:space="0" w:color="auto"/>
        <w:right w:val="none" w:sz="0" w:space="0" w:color="auto"/>
      </w:divBdr>
    </w:div>
    <w:div w:id="780951191">
      <w:bodyDiv w:val="1"/>
      <w:marLeft w:val="0"/>
      <w:marRight w:val="0"/>
      <w:marTop w:val="0"/>
      <w:marBottom w:val="0"/>
      <w:divBdr>
        <w:top w:val="none" w:sz="0" w:space="0" w:color="auto"/>
        <w:left w:val="none" w:sz="0" w:space="0" w:color="auto"/>
        <w:bottom w:val="none" w:sz="0" w:space="0" w:color="auto"/>
        <w:right w:val="none" w:sz="0" w:space="0" w:color="auto"/>
      </w:divBdr>
    </w:div>
    <w:div w:id="780954371">
      <w:bodyDiv w:val="1"/>
      <w:marLeft w:val="0"/>
      <w:marRight w:val="0"/>
      <w:marTop w:val="0"/>
      <w:marBottom w:val="0"/>
      <w:divBdr>
        <w:top w:val="none" w:sz="0" w:space="0" w:color="auto"/>
        <w:left w:val="none" w:sz="0" w:space="0" w:color="auto"/>
        <w:bottom w:val="none" w:sz="0" w:space="0" w:color="auto"/>
        <w:right w:val="none" w:sz="0" w:space="0" w:color="auto"/>
      </w:divBdr>
    </w:div>
    <w:div w:id="780994233">
      <w:bodyDiv w:val="1"/>
      <w:marLeft w:val="0"/>
      <w:marRight w:val="0"/>
      <w:marTop w:val="0"/>
      <w:marBottom w:val="0"/>
      <w:divBdr>
        <w:top w:val="none" w:sz="0" w:space="0" w:color="auto"/>
        <w:left w:val="none" w:sz="0" w:space="0" w:color="auto"/>
        <w:bottom w:val="none" w:sz="0" w:space="0" w:color="auto"/>
        <w:right w:val="none" w:sz="0" w:space="0" w:color="auto"/>
      </w:divBdr>
    </w:div>
    <w:div w:id="781068412">
      <w:bodyDiv w:val="1"/>
      <w:marLeft w:val="0"/>
      <w:marRight w:val="0"/>
      <w:marTop w:val="0"/>
      <w:marBottom w:val="0"/>
      <w:divBdr>
        <w:top w:val="none" w:sz="0" w:space="0" w:color="auto"/>
        <w:left w:val="none" w:sz="0" w:space="0" w:color="auto"/>
        <w:bottom w:val="none" w:sz="0" w:space="0" w:color="auto"/>
        <w:right w:val="none" w:sz="0" w:space="0" w:color="auto"/>
      </w:divBdr>
    </w:div>
    <w:div w:id="781218908">
      <w:bodyDiv w:val="1"/>
      <w:marLeft w:val="0"/>
      <w:marRight w:val="0"/>
      <w:marTop w:val="0"/>
      <w:marBottom w:val="0"/>
      <w:divBdr>
        <w:top w:val="none" w:sz="0" w:space="0" w:color="auto"/>
        <w:left w:val="none" w:sz="0" w:space="0" w:color="auto"/>
        <w:bottom w:val="none" w:sz="0" w:space="0" w:color="auto"/>
        <w:right w:val="none" w:sz="0" w:space="0" w:color="auto"/>
      </w:divBdr>
    </w:div>
    <w:div w:id="781220823">
      <w:bodyDiv w:val="1"/>
      <w:marLeft w:val="0"/>
      <w:marRight w:val="0"/>
      <w:marTop w:val="0"/>
      <w:marBottom w:val="0"/>
      <w:divBdr>
        <w:top w:val="none" w:sz="0" w:space="0" w:color="auto"/>
        <w:left w:val="none" w:sz="0" w:space="0" w:color="auto"/>
        <w:bottom w:val="none" w:sz="0" w:space="0" w:color="auto"/>
        <w:right w:val="none" w:sz="0" w:space="0" w:color="auto"/>
      </w:divBdr>
    </w:div>
    <w:div w:id="781266476">
      <w:bodyDiv w:val="1"/>
      <w:marLeft w:val="0"/>
      <w:marRight w:val="0"/>
      <w:marTop w:val="0"/>
      <w:marBottom w:val="0"/>
      <w:divBdr>
        <w:top w:val="none" w:sz="0" w:space="0" w:color="auto"/>
        <w:left w:val="none" w:sz="0" w:space="0" w:color="auto"/>
        <w:bottom w:val="none" w:sz="0" w:space="0" w:color="auto"/>
        <w:right w:val="none" w:sz="0" w:space="0" w:color="auto"/>
      </w:divBdr>
    </w:div>
    <w:div w:id="781415472">
      <w:bodyDiv w:val="1"/>
      <w:marLeft w:val="0"/>
      <w:marRight w:val="0"/>
      <w:marTop w:val="0"/>
      <w:marBottom w:val="0"/>
      <w:divBdr>
        <w:top w:val="none" w:sz="0" w:space="0" w:color="auto"/>
        <w:left w:val="none" w:sz="0" w:space="0" w:color="auto"/>
        <w:bottom w:val="none" w:sz="0" w:space="0" w:color="auto"/>
        <w:right w:val="none" w:sz="0" w:space="0" w:color="auto"/>
      </w:divBdr>
    </w:div>
    <w:div w:id="781609412">
      <w:bodyDiv w:val="1"/>
      <w:marLeft w:val="0"/>
      <w:marRight w:val="0"/>
      <w:marTop w:val="0"/>
      <w:marBottom w:val="0"/>
      <w:divBdr>
        <w:top w:val="none" w:sz="0" w:space="0" w:color="auto"/>
        <w:left w:val="none" w:sz="0" w:space="0" w:color="auto"/>
        <w:bottom w:val="none" w:sz="0" w:space="0" w:color="auto"/>
        <w:right w:val="none" w:sz="0" w:space="0" w:color="auto"/>
      </w:divBdr>
    </w:div>
    <w:div w:id="781613247">
      <w:bodyDiv w:val="1"/>
      <w:marLeft w:val="0"/>
      <w:marRight w:val="0"/>
      <w:marTop w:val="0"/>
      <w:marBottom w:val="0"/>
      <w:divBdr>
        <w:top w:val="none" w:sz="0" w:space="0" w:color="auto"/>
        <w:left w:val="none" w:sz="0" w:space="0" w:color="auto"/>
        <w:bottom w:val="none" w:sz="0" w:space="0" w:color="auto"/>
        <w:right w:val="none" w:sz="0" w:space="0" w:color="auto"/>
      </w:divBdr>
    </w:div>
    <w:div w:id="781726064">
      <w:bodyDiv w:val="1"/>
      <w:marLeft w:val="0"/>
      <w:marRight w:val="0"/>
      <w:marTop w:val="0"/>
      <w:marBottom w:val="0"/>
      <w:divBdr>
        <w:top w:val="none" w:sz="0" w:space="0" w:color="auto"/>
        <w:left w:val="none" w:sz="0" w:space="0" w:color="auto"/>
        <w:bottom w:val="none" w:sz="0" w:space="0" w:color="auto"/>
        <w:right w:val="none" w:sz="0" w:space="0" w:color="auto"/>
      </w:divBdr>
    </w:div>
    <w:div w:id="781731273">
      <w:bodyDiv w:val="1"/>
      <w:marLeft w:val="0"/>
      <w:marRight w:val="0"/>
      <w:marTop w:val="0"/>
      <w:marBottom w:val="0"/>
      <w:divBdr>
        <w:top w:val="none" w:sz="0" w:space="0" w:color="auto"/>
        <w:left w:val="none" w:sz="0" w:space="0" w:color="auto"/>
        <w:bottom w:val="none" w:sz="0" w:space="0" w:color="auto"/>
        <w:right w:val="none" w:sz="0" w:space="0" w:color="auto"/>
      </w:divBdr>
    </w:div>
    <w:div w:id="781801365">
      <w:bodyDiv w:val="1"/>
      <w:marLeft w:val="0"/>
      <w:marRight w:val="0"/>
      <w:marTop w:val="0"/>
      <w:marBottom w:val="0"/>
      <w:divBdr>
        <w:top w:val="none" w:sz="0" w:space="0" w:color="auto"/>
        <w:left w:val="none" w:sz="0" w:space="0" w:color="auto"/>
        <w:bottom w:val="none" w:sz="0" w:space="0" w:color="auto"/>
        <w:right w:val="none" w:sz="0" w:space="0" w:color="auto"/>
      </w:divBdr>
    </w:div>
    <w:div w:id="781802413">
      <w:bodyDiv w:val="1"/>
      <w:marLeft w:val="0"/>
      <w:marRight w:val="0"/>
      <w:marTop w:val="0"/>
      <w:marBottom w:val="0"/>
      <w:divBdr>
        <w:top w:val="none" w:sz="0" w:space="0" w:color="auto"/>
        <w:left w:val="none" w:sz="0" w:space="0" w:color="auto"/>
        <w:bottom w:val="none" w:sz="0" w:space="0" w:color="auto"/>
        <w:right w:val="none" w:sz="0" w:space="0" w:color="auto"/>
      </w:divBdr>
    </w:div>
    <w:div w:id="781995785">
      <w:bodyDiv w:val="1"/>
      <w:marLeft w:val="0"/>
      <w:marRight w:val="0"/>
      <w:marTop w:val="0"/>
      <w:marBottom w:val="0"/>
      <w:divBdr>
        <w:top w:val="none" w:sz="0" w:space="0" w:color="auto"/>
        <w:left w:val="none" w:sz="0" w:space="0" w:color="auto"/>
        <w:bottom w:val="none" w:sz="0" w:space="0" w:color="auto"/>
        <w:right w:val="none" w:sz="0" w:space="0" w:color="auto"/>
      </w:divBdr>
    </w:div>
    <w:div w:id="782113068">
      <w:bodyDiv w:val="1"/>
      <w:marLeft w:val="0"/>
      <w:marRight w:val="0"/>
      <w:marTop w:val="0"/>
      <w:marBottom w:val="0"/>
      <w:divBdr>
        <w:top w:val="none" w:sz="0" w:space="0" w:color="auto"/>
        <w:left w:val="none" w:sz="0" w:space="0" w:color="auto"/>
        <w:bottom w:val="none" w:sz="0" w:space="0" w:color="auto"/>
        <w:right w:val="none" w:sz="0" w:space="0" w:color="auto"/>
      </w:divBdr>
    </w:div>
    <w:div w:id="782193598">
      <w:bodyDiv w:val="1"/>
      <w:marLeft w:val="0"/>
      <w:marRight w:val="0"/>
      <w:marTop w:val="0"/>
      <w:marBottom w:val="0"/>
      <w:divBdr>
        <w:top w:val="none" w:sz="0" w:space="0" w:color="auto"/>
        <w:left w:val="none" w:sz="0" w:space="0" w:color="auto"/>
        <w:bottom w:val="none" w:sz="0" w:space="0" w:color="auto"/>
        <w:right w:val="none" w:sz="0" w:space="0" w:color="auto"/>
      </w:divBdr>
    </w:div>
    <w:div w:id="782384937">
      <w:bodyDiv w:val="1"/>
      <w:marLeft w:val="0"/>
      <w:marRight w:val="0"/>
      <w:marTop w:val="0"/>
      <w:marBottom w:val="0"/>
      <w:divBdr>
        <w:top w:val="none" w:sz="0" w:space="0" w:color="auto"/>
        <w:left w:val="none" w:sz="0" w:space="0" w:color="auto"/>
        <w:bottom w:val="none" w:sz="0" w:space="0" w:color="auto"/>
        <w:right w:val="none" w:sz="0" w:space="0" w:color="auto"/>
      </w:divBdr>
    </w:div>
    <w:div w:id="782530197">
      <w:bodyDiv w:val="1"/>
      <w:marLeft w:val="0"/>
      <w:marRight w:val="0"/>
      <w:marTop w:val="0"/>
      <w:marBottom w:val="0"/>
      <w:divBdr>
        <w:top w:val="none" w:sz="0" w:space="0" w:color="auto"/>
        <w:left w:val="none" w:sz="0" w:space="0" w:color="auto"/>
        <w:bottom w:val="none" w:sz="0" w:space="0" w:color="auto"/>
        <w:right w:val="none" w:sz="0" w:space="0" w:color="auto"/>
      </w:divBdr>
    </w:div>
    <w:div w:id="782530951">
      <w:bodyDiv w:val="1"/>
      <w:marLeft w:val="0"/>
      <w:marRight w:val="0"/>
      <w:marTop w:val="0"/>
      <w:marBottom w:val="0"/>
      <w:divBdr>
        <w:top w:val="none" w:sz="0" w:space="0" w:color="auto"/>
        <w:left w:val="none" w:sz="0" w:space="0" w:color="auto"/>
        <w:bottom w:val="none" w:sz="0" w:space="0" w:color="auto"/>
        <w:right w:val="none" w:sz="0" w:space="0" w:color="auto"/>
      </w:divBdr>
    </w:div>
    <w:div w:id="782965628">
      <w:bodyDiv w:val="1"/>
      <w:marLeft w:val="0"/>
      <w:marRight w:val="0"/>
      <w:marTop w:val="0"/>
      <w:marBottom w:val="0"/>
      <w:divBdr>
        <w:top w:val="none" w:sz="0" w:space="0" w:color="auto"/>
        <w:left w:val="none" w:sz="0" w:space="0" w:color="auto"/>
        <w:bottom w:val="none" w:sz="0" w:space="0" w:color="auto"/>
        <w:right w:val="none" w:sz="0" w:space="0" w:color="auto"/>
      </w:divBdr>
    </w:div>
    <w:div w:id="783117577">
      <w:bodyDiv w:val="1"/>
      <w:marLeft w:val="0"/>
      <w:marRight w:val="0"/>
      <w:marTop w:val="0"/>
      <w:marBottom w:val="0"/>
      <w:divBdr>
        <w:top w:val="none" w:sz="0" w:space="0" w:color="auto"/>
        <w:left w:val="none" w:sz="0" w:space="0" w:color="auto"/>
        <w:bottom w:val="none" w:sz="0" w:space="0" w:color="auto"/>
        <w:right w:val="none" w:sz="0" w:space="0" w:color="auto"/>
      </w:divBdr>
    </w:div>
    <w:div w:id="783184785">
      <w:bodyDiv w:val="1"/>
      <w:marLeft w:val="0"/>
      <w:marRight w:val="0"/>
      <w:marTop w:val="0"/>
      <w:marBottom w:val="0"/>
      <w:divBdr>
        <w:top w:val="none" w:sz="0" w:space="0" w:color="auto"/>
        <w:left w:val="none" w:sz="0" w:space="0" w:color="auto"/>
        <w:bottom w:val="none" w:sz="0" w:space="0" w:color="auto"/>
        <w:right w:val="none" w:sz="0" w:space="0" w:color="auto"/>
      </w:divBdr>
    </w:div>
    <w:div w:id="783228727">
      <w:bodyDiv w:val="1"/>
      <w:marLeft w:val="0"/>
      <w:marRight w:val="0"/>
      <w:marTop w:val="0"/>
      <w:marBottom w:val="0"/>
      <w:divBdr>
        <w:top w:val="none" w:sz="0" w:space="0" w:color="auto"/>
        <w:left w:val="none" w:sz="0" w:space="0" w:color="auto"/>
        <w:bottom w:val="none" w:sz="0" w:space="0" w:color="auto"/>
        <w:right w:val="none" w:sz="0" w:space="0" w:color="auto"/>
      </w:divBdr>
    </w:div>
    <w:div w:id="783379019">
      <w:bodyDiv w:val="1"/>
      <w:marLeft w:val="0"/>
      <w:marRight w:val="0"/>
      <w:marTop w:val="0"/>
      <w:marBottom w:val="0"/>
      <w:divBdr>
        <w:top w:val="none" w:sz="0" w:space="0" w:color="auto"/>
        <w:left w:val="none" w:sz="0" w:space="0" w:color="auto"/>
        <w:bottom w:val="none" w:sz="0" w:space="0" w:color="auto"/>
        <w:right w:val="none" w:sz="0" w:space="0" w:color="auto"/>
      </w:divBdr>
    </w:div>
    <w:div w:id="783615761">
      <w:bodyDiv w:val="1"/>
      <w:marLeft w:val="0"/>
      <w:marRight w:val="0"/>
      <w:marTop w:val="0"/>
      <w:marBottom w:val="0"/>
      <w:divBdr>
        <w:top w:val="none" w:sz="0" w:space="0" w:color="auto"/>
        <w:left w:val="none" w:sz="0" w:space="0" w:color="auto"/>
        <w:bottom w:val="none" w:sz="0" w:space="0" w:color="auto"/>
        <w:right w:val="none" w:sz="0" w:space="0" w:color="auto"/>
      </w:divBdr>
    </w:div>
    <w:div w:id="783619436">
      <w:bodyDiv w:val="1"/>
      <w:marLeft w:val="0"/>
      <w:marRight w:val="0"/>
      <w:marTop w:val="0"/>
      <w:marBottom w:val="0"/>
      <w:divBdr>
        <w:top w:val="none" w:sz="0" w:space="0" w:color="auto"/>
        <w:left w:val="none" w:sz="0" w:space="0" w:color="auto"/>
        <w:bottom w:val="none" w:sz="0" w:space="0" w:color="auto"/>
        <w:right w:val="none" w:sz="0" w:space="0" w:color="auto"/>
      </w:divBdr>
    </w:div>
    <w:div w:id="783887463">
      <w:bodyDiv w:val="1"/>
      <w:marLeft w:val="0"/>
      <w:marRight w:val="0"/>
      <w:marTop w:val="0"/>
      <w:marBottom w:val="0"/>
      <w:divBdr>
        <w:top w:val="none" w:sz="0" w:space="0" w:color="auto"/>
        <w:left w:val="none" w:sz="0" w:space="0" w:color="auto"/>
        <w:bottom w:val="none" w:sz="0" w:space="0" w:color="auto"/>
        <w:right w:val="none" w:sz="0" w:space="0" w:color="auto"/>
      </w:divBdr>
    </w:div>
    <w:div w:id="783962718">
      <w:bodyDiv w:val="1"/>
      <w:marLeft w:val="0"/>
      <w:marRight w:val="0"/>
      <w:marTop w:val="0"/>
      <w:marBottom w:val="0"/>
      <w:divBdr>
        <w:top w:val="none" w:sz="0" w:space="0" w:color="auto"/>
        <w:left w:val="none" w:sz="0" w:space="0" w:color="auto"/>
        <w:bottom w:val="none" w:sz="0" w:space="0" w:color="auto"/>
        <w:right w:val="none" w:sz="0" w:space="0" w:color="auto"/>
      </w:divBdr>
    </w:div>
    <w:div w:id="784084702">
      <w:bodyDiv w:val="1"/>
      <w:marLeft w:val="0"/>
      <w:marRight w:val="0"/>
      <w:marTop w:val="0"/>
      <w:marBottom w:val="0"/>
      <w:divBdr>
        <w:top w:val="none" w:sz="0" w:space="0" w:color="auto"/>
        <w:left w:val="none" w:sz="0" w:space="0" w:color="auto"/>
        <w:bottom w:val="none" w:sz="0" w:space="0" w:color="auto"/>
        <w:right w:val="none" w:sz="0" w:space="0" w:color="auto"/>
      </w:divBdr>
    </w:div>
    <w:div w:id="784226647">
      <w:bodyDiv w:val="1"/>
      <w:marLeft w:val="0"/>
      <w:marRight w:val="0"/>
      <w:marTop w:val="0"/>
      <w:marBottom w:val="0"/>
      <w:divBdr>
        <w:top w:val="none" w:sz="0" w:space="0" w:color="auto"/>
        <w:left w:val="none" w:sz="0" w:space="0" w:color="auto"/>
        <w:bottom w:val="none" w:sz="0" w:space="0" w:color="auto"/>
        <w:right w:val="none" w:sz="0" w:space="0" w:color="auto"/>
      </w:divBdr>
    </w:div>
    <w:div w:id="784232519">
      <w:bodyDiv w:val="1"/>
      <w:marLeft w:val="0"/>
      <w:marRight w:val="0"/>
      <w:marTop w:val="0"/>
      <w:marBottom w:val="0"/>
      <w:divBdr>
        <w:top w:val="none" w:sz="0" w:space="0" w:color="auto"/>
        <w:left w:val="none" w:sz="0" w:space="0" w:color="auto"/>
        <w:bottom w:val="none" w:sz="0" w:space="0" w:color="auto"/>
        <w:right w:val="none" w:sz="0" w:space="0" w:color="auto"/>
      </w:divBdr>
    </w:div>
    <w:div w:id="784274413">
      <w:bodyDiv w:val="1"/>
      <w:marLeft w:val="0"/>
      <w:marRight w:val="0"/>
      <w:marTop w:val="0"/>
      <w:marBottom w:val="0"/>
      <w:divBdr>
        <w:top w:val="none" w:sz="0" w:space="0" w:color="auto"/>
        <w:left w:val="none" w:sz="0" w:space="0" w:color="auto"/>
        <w:bottom w:val="none" w:sz="0" w:space="0" w:color="auto"/>
        <w:right w:val="none" w:sz="0" w:space="0" w:color="auto"/>
      </w:divBdr>
    </w:div>
    <w:div w:id="784420844">
      <w:bodyDiv w:val="1"/>
      <w:marLeft w:val="0"/>
      <w:marRight w:val="0"/>
      <w:marTop w:val="0"/>
      <w:marBottom w:val="0"/>
      <w:divBdr>
        <w:top w:val="none" w:sz="0" w:space="0" w:color="auto"/>
        <w:left w:val="none" w:sz="0" w:space="0" w:color="auto"/>
        <w:bottom w:val="none" w:sz="0" w:space="0" w:color="auto"/>
        <w:right w:val="none" w:sz="0" w:space="0" w:color="auto"/>
      </w:divBdr>
    </w:div>
    <w:div w:id="784618724">
      <w:bodyDiv w:val="1"/>
      <w:marLeft w:val="0"/>
      <w:marRight w:val="0"/>
      <w:marTop w:val="0"/>
      <w:marBottom w:val="0"/>
      <w:divBdr>
        <w:top w:val="none" w:sz="0" w:space="0" w:color="auto"/>
        <w:left w:val="none" w:sz="0" w:space="0" w:color="auto"/>
        <w:bottom w:val="none" w:sz="0" w:space="0" w:color="auto"/>
        <w:right w:val="none" w:sz="0" w:space="0" w:color="auto"/>
      </w:divBdr>
    </w:div>
    <w:div w:id="784731409">
      <w:bodyDiv w:val="1"/>
      <w:marLeft w:val="0"/>
      <w:marRight w:val="0"/>
      <w:marTop w:val="0"/>
      <w:marBottom w:val="0"/>
      <w:divBdr>
        <w:top w:val="none" w:sz="0" w:space="0" w:color="auto"/>
        <w:left w:val="none" w:sz="0" w:space="0" w:color="auto"/>
        <w:bottom w:val="none" w:sz="0" w:space="0" w:color="auto"/>
        <w:right w:val="none" w:sz="0" w:space="0" w:color="auto"/>
      </w:divBdr>
    </w:div>
    <w:div w:id="784806982">
      <w:bodyDiv w:val="1"/>
      <w:marLeft w:val="0"/>
      <w:marRight w:val="0"/>
      <w:marTop w:val="0"/>
      <w:marBottom w:val="0"/>
      <w:divBdr>
        <w:top w:val="none" w:sz="0" w:space="0" w:color="auto"/>
        <w:left w:val="none" w:sz="0" w:space="0" w:color="auto"/>
        <w:bottom w:val="none" w:sz="0" w:space="0" w:color="auto"/>
        <w:right w:val="none" w:sz="0" w:space="0" w:color="auto"/>
      </w:divBdr>
    </w:div>
    <w:div w:id="785004319">
      <w:bodyDiv w:val="1"/>
      <w:marLeft w:val="0"/>
      <w:marRight w:val="0"/>
      <w:marTop w:val="0"/>
      <w:marBottom w:val="0"/>
      <w:divBdr>
        <w:top w:val="none" w:sz="0" w:space="0" w:color="auto"/>
        <w:left w:val="none" w:sz="0" w:space="0" w:color="auto"/>
        <w:bottom w:val="none" w:sz="0" w:space="0" w:color="auto"/>
        <w:right w:val="none" w:sz="0" w:space="0" w:color="auto"/>
      </w:divBdr>
    </w:div>
    <w:div w:id="785122242">
      <w:bodyDiv w:val="1"/>
      <w:marLeft w:val="0"/>
      <w:marRight w:val="0"/>
      <w:marTop w:val="0"/>
      <w:marBottom w:val="0"/>
      <w:divBdr>
        <w:top w:val="none" w:sz="0" w:space="0" w:color="auto"/>
        <w:left w:val="none" w:sz="0" w:space="0" w:color="auto"/>
        <w:bottom w:val="none" w:sz="0" w:space="0" w:color="auto"/>
        <w:right w:val="none" w:sz="0" w:space="0" w:color="auto"/>
      </w:divBdr>
    </w:div>
    <w:div w:id="785152562">
      <w:bodyDiv w:val="1"/>
      <w:marLeft w:val="0"/>
      <w:marRight w:val="0"/>
      <w:marTop w:val="0"/>
      <w:marBottom w:val="0"/>
      <w:divBdr>
        <w:top w:val="none" w:sz="0" w:space="0" w:color="auto"/>
        <w:left w:val="none" w:sz="0" w:space="0" w:color="auto"/>
        <w:bottom w:val="none" w:sz="0" w:space="0" w:color="auto"/>
        <w:right w:val="none" w:sz="0" w:space="0" w:color="auto"/>
      </w:divBdr>
    </w:div>
    <w:div w:id="785195365">
      <w:bodyDiv w:val="1"/>
      <w:marLeft w:val="0"/>
      <w:marRight w:val="0"/>
      <w:marTop w:val="0"/>
      <w:marBottom w:val="0"/>
      <w:divBdr>
        <w:top w:val="none" w:sz="0" w:space="0" w:color="auto"/>
        <w:left w:val="none" w:sz="0" w:space="0" w:color="auto"/>
        <w:bottom w:val="none" w:sz="0" w:space="0" w:color="auto"/>
        <w:right w:val="none" w:sz="0" w:space="0" w:color="auto"/>
      </w:divBdr>
    </w:div>
    <w:div w:id="785195446">
      <w:bodyDiv w:val="1"/>
      <w:marLeft w:val="0"/>
      <w:marRight w:val="0"/>
      <w:marTop w:val="0"/>
      <w:marBottom w:val="0"/>
      <w:divBdr>
        <w:top w:val="none" w:sz="0" w:space="0" w:color="auto"/>
        <w:left w:val="none" w:sz="0" w:space="0" w:color="auto"/>
        <w:bottom w:val="none" w:sz="0" w:space="0" w:color="auto"/>
        <w:right w:val="none" w:sz="0" w:space="0" w:color="auto"/>
      </w:divBdr>
    </w:div>
    <w:div w:id="785199422">
      <w:bodyDiv w:val="1"/>
      <w:marLeft w:val="0"/>
      <w:marRight w:val="0"/>
      <w:marTop w:val="0"/>
      <w:marBottom w:val="0"/>
      <w:divBdr>
        <w:top w:val="none" w:sz="0" w:space="0" w:color="auto"/>
        <w:left w:val="none" w:sz="0" w:space="0" w:color="auto"/>
        <w:bottom w:val="none" w:sz="0" w:space="0" w:color="auto"/>
        <w:right w:val="none" w:sz="0" w:space="0" w:color="auto"/>
      </w:divBdr>
    </w:div>
    <w:div w:id="785274491">
      <w:bodyDiv w:val="1"/>
      <w:marLeft w:val="0"/>
      <w:marRight w:val="0"/>
      <w:marTop w:val="0"/>
      <w:marBottom w:val="0"/>
      <w:divBdr>
        <w:top w:val="none" w:sz="0" w:space="0" w:color="auto"/>
        <w:left w:val="none" w:sz="0" w:space="0" w:color="auto"/>
        <w:bottom w:val="none" w:sz="0" w:space="0" w:color="auto"/>
        <w:right w:val="none" w:sz="0" w:space="0" w:color="auto"/>
      </w:divBdr>
    </w:div>
    <w:div w:id="785349587">
      <w:bodyDiv w:val="1"/>
      <w:marLeft w:val="0"/>
      <w:marRight w:val="0"/>
      <w:marTop w:val="0"/>
      <w:marBottom w:val="0"/>
      <w:divBdr>
        <w:top w:val="none" w:sz="0" w:space="0" w:color="auto"/>
        <w:left w:val="none" w:sz="0" w:space="0" w:color="auto"/>
        <w:bottom w:val="none" w:sz="0" w:space="0" w:color="auto"/>
        <w:right w:val="none" w:sz="0" w:space="0" w:color="auto"/>
      </w:divBdr>
    </w:div>
    <w:div w:id="785540573">
      <w:bodyDiv w:val="1"/>
      <w:marLeft w:val="0"/>
      <w:marRight w:val="0"/>
      <w:marTop w:val="0"/>
      <w:marBottom w:val="0"/>
      <w:divBdr>
        <w:top w:val="none" w:sz="0" w:space="0" w:color="auto"/>
        <w:left w:val="none" w:sz="0" w:space="0" w:color="auto"/>
        <w:bottom w:val="none" w:sz="0" w:space="0" w:color="auto"/>
        <w:right w:val="none" w:sz="0" w:space="0" w:color="auto"/>
      </w:divBdr>
    </w:div>
    <w:div w:id="785732901">
      <w:bodyDiv w:val="1"/>
      <w:marLeft w:val="0"/>
      <w:marRight w:val="0"/>
      <w:marTop w:val="0"/>
      <w:marBottom w:val="0"/>
      <w:divBdr>
        <w:top w:val="none" w:sz="0" w:space="0" w:color="auto"/>
        <w:left w:val="none" w:sz="0" w:space="0" w:color="auto"/>
        <w:bottom w:val="none" w:sz="0" w:space="0" w:color="auto"/>
        <w:right w:val="none" w:sz="0" w:space="0" w:color="auto"/>
      </w:divBdr>
    </w:div>
    <w:div w:id="785736510">
      <w:bodyDiv w:val="1"/>
      <w:marLeft w:val="0"/>
      <w:marRight w:val="0"/>
      <w:marTop w:val="0"/>
      <w:marBottom w:val="0"/>
      <w:divBdr>
        <w:top w:val="none" w:sz="0" w:space="0" w:color="auto"/>
        <w:left w:val="none" w:sz="0" w:space="0" w:color="auto"/>
        <w:bottom w:val="none" w:sz="0" w:space="0" w:color="auto"/>
        <w:right w:val="none" w:sz="0" w:space="0" w:color="auto"/>
      </w:divBdr>
    </w:div>
    <w:div w:id="785809161">
      <w:bodyDiv w:val="1"/>
      <w:marLeft w:val="0"/>
      <w:marRight w:val="0"/>
      <w:marTop w:val="0"/>
      <w:marBottom w:val="0"/>
      <w:divBdr>
        <w:top w:val="none" w:sz="0" w:space="0" w:color="auto"/>
        <w:left w:val="none" w:sz="0" w:space="0" w:color="auto"/>
        <w:bottom w:val="none" w:sz="0" w:space="0" w:color="auto"/>
        <w:right w:val="none" w:sz="0" w:space="0" w:color="auto"/>
      </w:divBdr>
    </w:div>
    <w:div w:id="785848586">
      <w:bodyDiv w:val="1"/>
      <w:marLeft w:val="0"/>
      <w:marRight w:val="0"/>
      <w:marTop w:val="0"/>
      <w:marBottom w:val="0"/>
      <w:divBdr>
        <w:top w:val="none" w:sz="0" w:space="0" w:color="auto"/>
        <w:left w:val="none" w:sz="0" w:space="0" w:color="auto"/>
        <w:bottom w:val="none" w:sz="0" w:space="0" w:color="auto"/>
        <w:right w:val="none" w:sz="0" w:space="0" w:color="auto"/>
      </w:divBdr>
    </w:div>
    <w:div w:id="785856262">
      <w:bodyDiv w:val="1"/>
      <w:marLeft w:val="0"/>
      <w:marRight w:val="0"/>
      <w:marTop w:val="0"/>
      <w:marBottom w:val="0"/>
      <w:divBdr>
        <w:top w:val="none" w:sz="0" w:space="0" w:color="auto"/>
        <w:left w:val="none" w:sz="0" w:space="0" w:color="auto"/>
        <w:bottom w:val="none" w:sz="0" w:space="0" w:color="auto"/>
        <w:right w:val="none" w:sz="0" w:space="0" w:color="auto"/>
      </w:divBdr>
    </w:div>
    <w:div w:id="785923744">
      <w:bodyDiv w:val="1"/>
      <w:marLeft w:val="0"/>
      <w:marRight w:val="0"/>
      <w:marTop w:val="0"/>
      <w:marBottom w:val="0"/>
      <w:divBdr>
        <w:top w:val="none" w:sz="0" w:space="0" w:color="auto"/>
        <w:left w:val="none" w:sz="0" w:space="0" w:color="auto"/>
        <w:bottom w:val="none" w:sz="0" w:space="0" w:color="auto"/>
        <w:right w:val="none" w:sz="0" w:space="0" w:color="auto"/>
      </w:divBdr>
    </w:div>
    <w:div w:id="785999621">
      <w:bodyDiv w:val="1"/>
      <w:marLeft w:val="0"/>
      <w:marRight w:val="0"/>
      <w:marTop w:val="0"/>
      <w:marBottom w:val="0"/>
      <w:divBdr>
        <w:top w:val="none" w:sz="0" w:space="0" w:color="auto"/>
        <w:left w:val="none" w:sz="0" w:space="0" w:color="auto"/>
        <w:bottom w:val="none" w:sz="0" w:space="0" w:color="auto"/>
        <w:right w:val="none" w:sz="0" w:space="0" w:color="auto"/>
      </w:divBdr>
    </w:div>
    <w:div w:id="786047953">
      <w:bodyDiv w:val="1"/>
      <w:marLeft w:val="0"/>
      <w:marRight w:val="0"/>
      <w:marTop w:val="0"/>
      <w:marBottom w:val="0"/>
      <w:divBdr>
        <w:top w:val="none" w:sz="0" w:space="0" w:color="auto"/>
        <w:left w:val="none" w:sz="0" w:space="0" w:color="auto"/>
        <w:bottom w:val="none" w:sz="0" w:space="0" w:color="auto"/>
        <w:right w:val="none" w:sz="0" w:space="0" w:color="auto"/>
      </w:divBdr>
    </w:div>
    <w:div w:id="786241883">
      <w:bodyDiv w:val="1"/>
      <w:marLeft w:val="0"/>
      <w:marRight w:val="0"/>
      <w:marTop w:val="0"/>
      <w:marBottom w:val="0"/>
      <w:divBdr>
        <w:top w:val="none" w:sz="0" w:space="0" w:color="auto"/>
        <w:left w:val="none" w:sz="0" w:space="0" w:color="auto"/>
        <w:bottom w:val="none" w:sz="0" w:space="0" w:color="auto"/>
        <w:right w:val="none" w:sz="0" w:space="0" w:color="auto"/>
      </w:divBdr>
    </w:div>
    <w:div w:id="786390071">
      <w:bodyDiv w:val="1"/>
      <w:marLeft w:val="0"/>
      <w:marRight w:val="0"/>
      <w:marTop w:val="0"/>
      <w:marBottom w:val="0"/>
      <w:divBdr>
        <w:top w:val="none" w:sz="0" w:space="0" w:color="auto"/>
        <w:left w:val="none" w:sz="0" w:space="0" w:color="auto"/>
        <w:bottom w:val="none" w:sz="0" w:space="0" w:color="auto"/>
        <w:right w:val="none" w:sz="0" w:space="0" w:color="auto"/>
      </w:divBdr>
    </w:div>
    <w:div w:id="786462166">
      <w:bodyDiv w:val="1"/>
      <w:marLeft w:val="0"/>
      <w:marRight w:val="0"/>
      <w:marTop w:val="0"/>
      <w:marBottom w:val="0"/>
      <w:divBdr>
        <w:top w:val="none" w:sz="0" w:space="0" w:color="auto"/>
        <w:left w:val="none" w:sz="0" w:space="0" w:color="auto"/>
        <w:bottom w:val="none" w:sz="0" w:space="0" w:color="auto"/>
        <w:right w:val="none" w:sz="0" w:space="0" w:color="auto"/>
      </w:divBdr>
    </w:div>
    <w:div w:id="786463751">
      <w:bodyDiv w:val="1"/>
      <w:marLeft w:val="0"/>
      <w:marRight w:val="0"/>
      <w:marTop w:val="0"/>
      <w:marBottom w:val="0"/>
      <w:divBdr>
        <w:top w:val="none" w:sz="0" w:space="0" w:color="auto"/>
        <w:left w:val="none" w:sz="0" w:space="0" w:color="auto"/>
        <w:bottom w:val="none" w:sz="0" w:space="0" w:color="auto"/>
        <w:right w:val="none" w:sz="0" w:space="0" w:color="auto"/>
      </w:divBdr>
    </w:div>
    <w:div w:id="786506208">
      <w:bodyDiv w:val="1"/>
      <w:marLeft w:val="0"/>
      <w:marRight w:val="0"/>
      <w:marTop w:val="0"/>
      <w:marBottom w:val="0"/>
      <w:divBdr>
        <w:top w:val="none" w:sz="0" w:space="0" w:color="auto"/>
        <w:left w:val="none" w:sz="0" w:space="0" w:color="auto"/>
        <w:bottom w:val="none" w:sz="0" w:space="0" w:color="auto"/>
        <w:right w:val="none" w:sz="0" w:space="0" w:color="auto"/>
      </w:divBdr>
    </w:div>
    <w:div w:id="786585819">
      <w:bodyDiv w:val="1"/>
      <w:marLeft w:val="0"/>
      <w:marRight w:val="0"/>
      <w:marTop w:val="0"/>
      <w:marBottom w:val="0"/>
      <w:divBdr>
        <w:top w:val="none" w:sz="0" w:space="0" w:color="auto"/>
        <w:left w:val="none" w:sz="0" w:space="0" w:color="auto"/>
        <w:bottom w:val="none" w:sz="0" w:space="0" w:color="auto"/>
        <w:right w:val="none" w:sz="0" w:space="0" w:color="auto"/>
      </w:divBdr>
    </w:div>
    <w:div w:id="786586452">
      <w:bodyDiv w:val="1"/>
      <w:marLeft w:val="0"/>
      <w:marRight w:val="0"/>
      <w:marTop w:val="0"/>
      <w:marBottom w:val="0"/>
      <w:divBdr>
        <w:top w:val="none" w:sz="0" w:space="0" w:color="auto"/>
        <w:left w:val="none" w:sz="0" w:space="0" w:color="auto"/>
        <w:bottom w:val="none" w:sz="0" w:space="0" w:color="auto"/>
        <w:right w:val="none" w:sz="0" w:space="0" w:color="auto"/>
      </w:divBdr>
    </w:div>
    <w:div w:id="786588075">
      <w:bodyDiv w:val="1"/>
      <w:marLeft w:val="0"/>
      <w:marRight w:val="0"/>
      <w:marTop w:val="0"/>
      <w:marBottom w:val="0"/>
      <w:divBdr>
        <w:top w:val="none" w:sz="0" w:space="0" w:color="auto"/>
        <w:left w:val="none" w:sz="0" w:space="0" w:color="auto"/>
        <w:bottom w:val="none" w:sz="0" w:space="0" w:color="auto"/>
        <w:right w:val="none" w:sz="0" w:space="0" w:color="auto"/>
      </w:divBdr>
    </w:div>
    <w:div w:id="786654270">
      <w:bodyDiv w:val="1"/>
      <w:marLeft w:val="0"/>
      <w:marRight w:val="0"/>
      <w:marTop w:val="0"/>
      <w:marBottom w:val="0"/>
      <w:divBdr>
        <w:top w:val="none" w:sz="0" w:space="0" w:color="auto"/>
        <w:left w:val="none" w:sz="0" w:space="0" w:color="auto"/>
        <w:bottom w:val="none" w:sz="0" w:space="0" w:color="auto"/>
        <w:right w:val="none" w:sz="0" w:space="0" w:color="auto"/>
      </w:divBdr>
    </w:div>
    <w:div w:id="786697355">
      <w:bodyDiv w:val="1"/>
      <w:marLeft w:val="0"/>
      <w:marRight w:val="0"/>
      <w:marTop w:val="0"/>
      <w:marBottom w:val="0"/>
      <w:divBdr>
        <w:top w:val="none" w:sz="0" w:space="0" w:color="auto"/>
        <w:left w:val="none" w:sz="0" w:space="0" w:color="auto"/>
        <w:bottom w:val="none" w:sz="0" w:space="0" w:color="auto"/>
        <w:right w:val="none" w:sz="0" w:space="0" w:color="auto"/>
      </w:divBdr>
    </w:div>
    <w:div w:id="786697574">
      <w:bodyDiv w:val="1"/>
      <w:marLeft w:val="0"/>
      <w:marRight w:val="0"/>
      <w:marTop w:val="0"/>
      <w:marBottom w:val="0"/>
      <w:divBdr>
        <w:top w:val="none" w:sz="0" w:space="0" w:color="auto"/>
        <w:left w:val="none" w:sz="0" w:space="0" w:color="auto"/>
        <w:bottom w:val="none" w:sz="0" w:space="0" w:color="auto"/>
        <w:right w:val="none" w:sz="0" w:space="0" w:color="auto"/>
      </w:divBdr>
    </w:div>
    <w:div w:id="786854501">
      <w:bodyDiv w:val="1"/>
      <w:marLeft w:val="0"/>
      <w:marRight w:val="0"/>
      <w:marTop w:val="0"/>
      <w:marBottom w:val="0"/>
      <w:divBdr>
        <w:top w:val="none" w:sz="0" w:space="0" w:color="auto"/>
        <w:left w:val="none" w:sz="0" w:space="0" w:color="auto"/>
        <w:bottom w:val="none" w:sz="0" w:space="0" w:color="auto"/>
        <w:right w:val="none" w:sz="0" w:space="0" w:color="auto"/>
      </w:divBdr>
    </w:div>
    <w:div w:id="786892910">
      <w:bodyDiv w:val="1"/>
      <w:marLeft w:val="0"/>
      <w:marRight w:val="0"/>
      <w:marTop w:val="0"/>
      <w:marBottom w:val="0"/>
      <w:divBdr>
        <w:top w:val="none" w:sz="0" w:space="0" w:color="auto"/>
        <w:left w:val="none" w:sz="0" w:space="0" w:color="auto"/>
        <w:bottom w:val="none" w:sz="0" w:space="0" w:color="auto"/>
        <w:right w:val="none" w:sz="0" w:space="0" w:color="auto"/>
      </w:divBdr>
    </w:div>
    <w:div w:id="786894527">
      <w:bodyDiv w:val="1"/>
      <w:marLeft w:val="0"/>
      <w:marRight w:val="0"/>
      <w:marTop w:val="0"/>
      <w:marBottom w:val="0"/>
      <w:divBdr>
        <w:top w:val="none" w:sz="0" w:space="0" w:color="auto"/>
        <w:left w:val="none" w:sz="0" w:space="0" w:color="auto"/>
        <w:bottom w:val="none" w:sz="0" w:space="0" w:color="auto"/>
        <w:right w:val="none" w:sz="0" w:space="0" w:color="auto"/>
      </w:divBdr>
    </w:div>
    <w:div w:id="786973914">
      <w:bodyDiv w:val="1"/>
      <w:marLeft w:val="0"/>
      <w:marRight w:val="0"/>
      <w:marTop w:val="0"/>
      <w:marBottom w:val="0"/>
      <w:divBdr>
        <w:top w:val="none" w:sz="0" w:space="0" w:color="auto"/>
        <w:left w:val="none" w:sz="0" w:space="0" w:color="auto"/>
        <w:bottom w:val="none" w:sz="0" w:space="0" w:color="auto"/>
        <w:right w:val="none" w:sz="0" w:space="0" w:color="auto"/>
      </w:divBdr>
    </w:div>
    <w:div w:id="787047524">
      <w:bodyDiv w:val="1"/>
      <w:marLeft w:val="0"/>
      <w:marRight w:val="0"/>
      <w:marTop w:val="0"/>
      <w:marBottom w:val="0"/>
      <w:divBdr>
        <w:top w:val="none" w:sz="0" w:space="0" w:color="auto"/>
        <w:left w:val="none" w:sz="0" w:space="0" w:color="auto"/>
        <w:bottom w:val="none" w:sz="0" w:space="0" w:color="auto"/>
        <w:right w:val="none" w:sz="0" w:space="0" w:color="auto"/>
      </w:divBdr>
    </w:div>
    <w:div w:id="787090275">
      <w:bodyDiv w:val="1"/>
      <w:marLeft w:val="0"/>
      <w:marRight w:val="0"/>
      <w:marTop w:val="0"/>
      <w:marBottom w:val="0"/>
      <w:divBdr>
        <w:top w:val="none" w:sz="0" w:space="0" w:color="auto"/>
        <w:left w:val="none" w:sz="0" w:space="0" w:color="auto"/>
        <w:bottom w:val="none" w:sz="0" w:space="0" w:color="auto"/>
        <w:right w:val="none" w:sz="0" w:space="0" w:color="auto"/>
      </w:divBdr>
    </w:div>
    <w:div w:id="787429686">
      <w:bodyDiv w:val="1"/>
      <w:marLeft w:val="0"/>
      <w:marRight w:val="0"/>
      <w:marTop w:val="0"/>
      <w:marBottom w:val="0"/>
      <w:divBdr>
        <w:top w:val="none" w:sz="0" w:space="0" w:color="auto"/>
        <w:left w:val="none" w:sz="0" w:space="0" w:color="auto"/>
        <w:bottom w:val="none" w:sz="0" w:space="0" w:color="auto"/>
        <w:right w:val="none" w:sz="0" w:space="0" w:color="auto"/>
      </w:divBdr>
    </w:div>
    <w:div w:id="787435141">
      <w:bodyDiv w:val="1"/>
      <w:marLeft w:val="0"/>
      <w:marRight w:val="0"/>
      <w:marTop w:val="0"/>
      <w:marBottom w:val="0"/>
      <w:divBdr>
        <w:top w:val="none" w:sz="0" w:space="0" w:color="auto"/>
        <w:left w:val="none" w:sz="0" w:space="0" w:color="auto"/>
        <w:bottom w:val="none" w:sz="0" w:space="0" w:color="auto"/>
        <w:right w:val="none" w:sz="0" w:space="0" w:color="auto"/>
      </w:divBdr>
    </w:div>
    <w:div w:id="787505958">
      <w:bodyDiv w:val="1"/>
      <w:marLeft w:val="0"/>
      <w:marRight w:val="0"/>
      <w:marTop w:val="0"/>
      <w:marBottom w:val="0"/>
      <w:divBdr>
        <w:top w:val="none" w:sz="0" w:space="0" w:color="auto"/>
        <w:left w:val="none" w:sz="0" w:space="0" w:color="auto"/>
        <w:bottom w:val="none" w:sz="0" w:space="0" w:color="auto"/>
        <w:right w:val="none" w:sz="0" w:space="0" w:color="auto"/>
      </w:divBdr>
    </w:div>
    <w:div w:id="787701941">
      <w:bodyDiv w:val="1"/>
      <w:marLeft w:val="0"/>
      <w:marRight w:val="0"/>
      <w:marTop w:val="0"/>
      <w:marBottom w:val="0"/>
      <w:divBdr>
        <w:top w:val="none" w:sz="0" w:space="0" w:color="auto"/>
        <w:left w:val="none" w:sz="0" w:space="0" w:color="auto"/>
        <w:bottom w:val="none" w:sz="0" w:space="0" w:color="auto"/>
        <w:right w:val="none" w:sz="0" w:space="0" w:color="auto"/>
      </w:divBdr>
    </w:div>
    <w:div w:id="787702141">
      <w:bodyDiv w:val="1"/>
      <w:marLeft w:val="0"/>
      <w:marRight w:val="0"/>
      <w:marTop w:val="0"/>
      <w:marBottom w:val="0"/>
      <w:divBdr>
        <w:top w:val="none" w:sz="0" w:space="0" w:color="auto"/>
        <w:left w:val="none" w:sz="0" w:space="0" w:color="auto"/>
        <w:bottom w:val="none" w:sz="0" w:space="0" w:color="auto"/>
        <w:right w:val="none" w:sz="0" w:space="0" w:color="auto"/>
      </w:divBdr>
    </w:div>
    <w:div w:id="788087781">
      <w:bodyDiv w:val="1"/>
      <w:marLeft w:val="0"/>
      <w:marRight w:val="0"/>
      <w:marTop w:val="0"/>
      <w:marBottom w:val="0"/>
      <w:divBdr>
        <w:top w:val="none" w:sz="0" w:space="0" w:color="auto"/>
        <w:left w:val="none" w:sz="0" w:space="0" w:color="auto"/>
        <w:bottom w:val="none" w:sz="0" w:space="0" w:color="auto"/>
        <w:right w:val="none" w:sz="0" w:space="0" w:color="auto"/>
      </w:divBdr>
    </w:div>
    <w:div w:id="788165463">
      <w:bodyDiv w:val="1"/>
      <w:marLeft w:val="0"/>
      <w:marRight w:val="0"/>
      <w:marTop w:val="0"/>
      <w:marBottom w:val="0"/>
      <w:divBdr>
        <w:top w:val="none" w:sz="0" w:space="0" w:color="auto"/>
        <w:left w:val="none" w:sz="0" w:space="0" w:color="auto"/>
        <w:bottom w:val="none" w:sz="0" w:space="0" w:color="auto"/>
        <w:right w:val="none" w:sz="0" w:space="0" w:color="auto"/>
      </w:divBdr>
    </w:div>
    <w:div w:id="788233765">
      <w:bodyDiv w:val="1"/>
      <w:marLeft w:val="0"/>
      <w:marRight w:val="0"/>
      <w:marTop w:val="0"/>
      <w:marBottom w:val="0"/>
      <w:divBdr>
        <w:top w:val="none" w:sz="0" w:space="0" w:color="auto"/>
        <w:left w:val="none" w:sz="0" w:space="0" w:color="auto"/>
        <w:bottom w:val="none" w:sz="0" w:space="0" w:color="auto"/>
        <w:right w:val="none" w:sz="0" w:space="0" w:color="auto"/>
      </w:divBdr>
    </w:div>
    <w:div w:id="788283030">
      <w:bodyDiv w:val="1"/>
      <w:marLeft w:val="0"/>
      <w:marRight w:val="0"/>
      <w:marTop w:val="0"/>
      <w:marBottom w:val="0"/>
      <w:divBdr>
        <w:top w:val="none" w:sz="0" w:space="0" w:color="auto"/>
        <w:left w:val="none" w:sz="0" w:space="0" w:color="auto"/>
        <w:bottom w:val="none" w:sz="0" w:space="0" w:color="auto"/>
        <w:right w:val="none" w:sz="0" w:space="0" w:color="auto"/>
      </w:divBdr>
    </w:div>
    <w:div w:id="788476772">
      <w:bodyDiv w:val="1"/>
      <w:marLeft w:val="0"/>
      <w:marRight w:val="0"/>
      <w:marTop w:val="0"/>
      <w:marBottom w:val="0"/>
      <w:divBdr>
        <w:top w:val="none" w:sz="0" w:space="0" w:color="auto"/>
        <w:left w:val="none" w:sz="0" w:space="0" w:color="auto"/>
        <w:bottom w:val="none" w:sz="0" w:space="0" w:color="auto"/>
        <w:right w:val="none" w:sz="0" w:space="0" w:color="auto"/>
      </w:divBdr>
    </w:div>
    <w:div w:id="788552247">
      <w:bodyDiv w:val="1"/>
      <w:marLeft w:val="0"/>
      <w:marRight w:val="0"/>
      <w:marTop w:val="0"/>
      <w:marBottom w:val="0"/>
      <w:divBdr>
        <w:top w:val="none" w:sz="0" w:space="0" w:color="auto"/>
        <w:left w:val="none" w:sz="0" w:space="0" w:color="auto"/>
        <w:bottom w:val="none" w:sz="0" w:space="0" w:color="auto"/>
        <w:right w:val="none" w:sz="0" w:space="0" w:color="auto"/>
      </w:divBdr>
    </w:div>
    <w:div w:id="788664239">
      <w:bodyDiv w:val="1"/>
      <w:marLeft w:val="0"/>
      <w:marRight w:val="0"/>
      <w:marTop w:val="0"/>
      <w:marBottom w:val="0"/>
      <w:divBdr>
        <w:top w:val="none" w:sz="0" w:space="0" w:color="auto"/>
        <w:left w:val="none" w:sz="0" w:space="0" w:color="auto"/>
        <w:bottom w:val="none" w:sz="0" w:space="0" w:color="auto"/>
        <w:right w:val="none" w:sz="0" w:space="0" w:color="auto"/>
      </w:divBdr>
    </w:div>
    <w:div w:id="788667167">
      <w:bodyDiv w:val="1"/>
      <w:marLeft w:val="0"/>
      <w:marRight w:val="0"/>
      <w:marTop w:val="0"/>
      <w:marBottom w:val="0"/>
      <w:divBdr>
        <w:top w:val="none" w:sz="0" w:space="0" w:color="auto"/>
        <w:left w:val="none" w:sz="0" w:space="0" w:color="auto"/>
        <w:bottom w:val="none" w:sz="0" w:space="0" w:color="auto"/>
        <w:right w:val="none" w:sz="0" w:space="0" w:color="auto"/>
      </w:divBdr>
    </w:div>
    <w:div w:id="788668626">
      <w:bodyDiv w:val="1"/>
      <w:marLeft w:val="0"/>
      <w:marRight w:val="0"/>
      <w:marTop w:val="0"/>
      <w:marBottom w:val="0"/>
      <w:divBdr>
        <w:top w:val="none" w:sz="0" w:space="0" w:color="auto"/>
        <w:left w:val="none" w:sz="0" w:space="0" w:color="auto"/>
        <w:bottom w:val="none" w:sz="0" w:space="0" w:color="auto"/>
        <w:right w:val="none" w:sz="0" w:space="0" w:color="auto"/>
      </w:divBdr>
    </w:div>
    <w:div w:id="788742231">
      <w:bodyDiv w:val="1"/>
      <w:marLeft w:val="0"/>
      <w:marRight w:val="0"/>
      <w:marTop w:val="0"/>
      <w:marBottom w:val="0"/>
      <w:divBdr>
        <w:top w:val="none" w:sz="0" w:space="0" w:color="auto"/>
        <w:left w:val="none" w:sz="0" w:space="0" w:color="auto"/>
        <w:bottom w:val="none" w:sz="0" w:space="0" w:color="auto"/>
        <w:right w:val="none" w:sz="0" w:space="0" w:color="auto"/>
      </w:divBdr>
    </w:div>
    <w:div w:id="788817698">
      <w:bodyDiv w:val="1"/>
      <w:marLeft w:val="0"/>
      <w:marRight w:val="0"/>
      <w:marTop w:val="0"/>
      <w:marBottom w:val="0"/>
      <w:divBdr>
        <w:top w:val="none" w:sz="0" w:space="0" w:color="auto"/>
        <w:left w:val="none" w:sz="0" w:space="0" w:color="auto"/>
        <w:bottom w:val="none" w:sz="0" w:space="0" w:color="auto"/>
        <w:right w:val="none" w:sz="0" w:space="0" w:color="auto"/>
      </w:divBdr>
    </w:div>
    <w:div w:id="788858703">
      <w:bodyDiv w:val="1"/>
      <w:marLeft w:val="0"/>
      <w:marRight w:val="0"/>
      <w:marTop w:val="0"/>
      <w:marBottom w:val="0"/>
      <w:divBdr>
        <w:top w:val="none" w:sz="0" w:space="0" w:color="auto"/>
        <w:left w:val="none" w:sz="0" w:space="0" w:color="auto"/>
        <w:bottom w:val="none" w:sz="0" w:space="0" w:color="auto"/>
        <w:right w:val="none" w:sz="0" w:space="0" w:color="auto"/>
      </w:divBdr>
    </w:div>
    <w:div w:id="788940466">
      <w:bodyDiv w:val="1"/>
      <w:marLeft w:val="0"/>
      <w:marRight w:val="0"/>
      <w:marTop w:val="0"/>
      <w:marBottom w:val="0"/>
      <w:divBdr>
        <w:top w:val="none" w:sz="0" w:space="0" w:color="auto"/>
        <w:left w:val="none" w:sz="0" w:space="0" w:color="auto"/>
        <w:bottom w:val="none" w:sz="0" w:space="0" w:color="auto"/>
        <w:right w:val="none" w:sz="0" w:space="0" w:color="auto"/>
      </w:divBdr>
    </w:div>
    <w:div w:id="789124668">
      <w:bodyDiv w:val="1"/>
      <w:marLeft w:val="0"/>
      <w:marRight w:val="0"/>
      <w:marTop w:val="0"/>
      <w:marBottom w:val="0"/>
      <w:divBdr>
        <w:top w:val="none" w:sz="0" w:space="0" w:color="auto"/>
        <w:left w:val="none" w:sz="0" w:space="0" w:color="auto"/>
        <w:bottom w:val="none" w:sz="0" w:space="0" w:color="auto"/>
        <w:right w:val="none" w:sz="0" w:space="0" w:color="auto"/>
      </w:divBdr>
    </w:div>
    <w:div w:id="789276405">
      <w:bodyDiv w:val="1"/>
      <w:marLeft w:val="0"/>
      <w:marRight w:val="0"/>
      <w:marTop w:val="0"/>
      <w:marBottom w:val="0"/>
      <w:divBdr>
        <w:top w:val="none" w:sz="0" w:space="0" w:color="auto"/>
        <w:left w:val="none" w:sz="0" w:space="0" w:color="auto"/>
        <w:bottom w:val="none" w:sz="0" w:space="0" w:color="auto"/>
        <w:right w:val="none" w:sz="0" w:space="0" w:color="auto"/>
      </w:divBdr>
    </w:div>
    <w:div w:id="789278973">
      <w:bodyDiv w:val="1"/>
      <w:marLeft w:val="0"/>
      <w:marRight w:val="0"/>
      <w:marTop w:val="0"/>
      <w:marBottom w:val="0"/>
      <w:divBdr>
        <w:top w:val="none" w:sz="0" w:space="0" w:color="auto"/>
        <w:left w:val="none" w:sz="0" w:space="0" w:color="auto"/>
        <w:bottom w:val="none" w:sz="0" w:space="0" w:color="auto"/>
        <w:right w:val="none" w:sz="0" w:space="0" w:color="auto"/>
      </w:divBdr>
    </w:div>
    <w:div w:id="789321219">
      <w:bodyDiv w:val="1"/>
      <w:marLeft w:val="0"/>
      <w:marRight w:val="0"/>
      <w:marTop w:val="0"/>
      <w:marBottom w:val="0"/>
      <w:divBdr>
        <w:top w:val="none" w:sz="0" w:space="0" w:color="auto"/>
        <w:left w:val="none" w:sz="0" w:space="0" w:color="auto"/>
        <w:bottom w:val="none" w:sz="0" w:space="0" w:color="auto"/>
        <w:right w:val="none" w:sz="0" w:space="0" w:color="auto"/>
      </w:divBdr>
    </w:div>
    <w:div w:id="789596206">
      <w:bodyDiv w:val="1"/>
      <w:marLeft w:val="0"/>
      <w:marRight w:val="0"/>
      <w:marTop w:val="0"/>
      <w:marBottom w:val="0"/>
      <w:divBdr>
        <w:top w:val="none" w:sz="0" w:space="0" w:color="auto"/>
        <w:left w:val="none" w:sz="0" w:space="0" w:color="auto"/>
        <w:bottom w:val="none" w:sz="0" w:space="0" w:color="auto"/>
        <w:right w:val="none" w:sz="0" w:space="0" w:color="auto"/>
      </w:divBdr>
    </w:div>
    <w:div w:id="789668730">
      <w:bodyDiv w:val="1"/>
      <w:marLeft w:val="0"/>
      <w:marRight w:val="0"/>
      <w:marTop w:val="0"/>
      <w:marBottom w:val="0"/>
      <w:divBdr>
        <w:top w:val="none" w:sz="0" w:space="0" w:color="auto"/>
        <w:left w:val="none" w:sz="0" w:space="0" w:color="auto"/>
        <w:bottom w:val="none" w:sz="0" w:space="0" w:color="auto"/>
        <w:right w:val="none" w:sz="0" w:space="0" w:color="auto"/>
      </w:divBdr>
    </w:div>
    <w:div w:id="789857599">
      <w:bodyDiv w:val="1"/>
      <w:marLeft w:val="0"/>
      <w:marRight w:val="0"/>
      <w:marTop w:val="0"/>
      <w:marBottom w:val="0"/>
      <w:divBdr>
        <w:top w:val="none" w:sz="0" w:space="0" w:color="auto"/>
        <w:left w:val="none" w:sz="0" w:space="0" w:color="auto"/>
        <w:bottom w:val="none" w:sz="0" w:space="0" w:color="auto"/>
        <w:right w:val="none" w:sz="0" w:space="0" w:color="auto"/>
      </w:divBdr>
    </w:div>
    <w:div w:id="789858667">
      <w:bodyDiv w:val="1"/>
      <w:marLeft w:val="0"/>
      <w:marRight w:val="0"/>
      <w:marTop w:val="0"/>
      <w:marBottom w:val="0"/>
      <w:divBdr>
        <w:top w:val="none" w:sz="0" w:space="0" w:color="auto"/>
        <w:left w:val="none" w:sz="0" w:space="0" w:color="auto"/>
        <w:bottom w:val="none" w:sz="0" w:space="0" w:color="auto"/>
        <w:right w:val="none" w:sz="0" w:space="0" w:color="auto"/>
      </w:divBdr>
    </w:div>
    <w:div w:id="789931555">
      <w:bodyDiv w:val="1"/>
      <w:marLeft w:val="0"/>
      <w:marRight w:val="0"/>
      <w:marTop w:val="0"/>
      <w:marBottom w:val="0"/>
      <w:divBdr>
        <w:top w:val="none" w:sz="0" w:space="0" w:color="auto"/>
        <w:left w:val="none" w:sz="0" w:space="0" w:color="auto"/>
        <w:bottom w:val="none" w:sz="0" w:space="0" w:color="auto"/>
        <w:right w:val="none" w:sz="0" w:space="0" w:color="auto"/>
      </w:divBdr>
    </w:div>
    <w:div w:id="789976026">
      <w:bodyDiv w:val="1"/>
      <w:marLeft w:val="0"/>
      <w:marRight w:val="0"/>
      <w:marTop w:val="0"/>
      <w:marBottom w:val="0"/>
      <w:divBdr>
        <w:top w:val="none" w:sz="0" w:space="0" w:color="auto"/>
        <w:left w:val="none" w:sz="0" w:space="0" w:color="auto"/>
        <w:bottom w:val="none" w:sz="0" w:space="0" w:color="auto"/>
        <w:right w:val="none" w:sz="0" w:space="0" w:color="auto"/>
      </w:divBdr>
    </w:div>
    <w:div w:id="790049588">
      <w:bodyDiv w:val="1"/>
      <w:marLeft w:val="0"/>
      <w:marRight w:val="0"/>
      <w:marTop w:val="0"/>
      <w:marBottom w:val="0"/>
      <w:divBdr>
        <w:top w:val="none" w:sz="0" w:space="0" w:color="auto"/>
        <w:left w:val="none" w:sz="0" w:space="0" w:color="auto"/>
        <w:bottom w:val="none" w:sz="0" w:space="0" w:color="auto"/>
        <w:right w:val="none" w:sz="0" w:space="0" w:color="auto"/>
      </w:divBdr>
    </w:div>
    <w:div w:id="790057685">
      <w:bodyDiv w:val="1"/>
      <w:marLeft w:val="0"/>
      <w:marRight w:val="0"/>
      <w:marTop w:val="0"/>
      <w:marBottom w:val="0"/>
      <w:divBdr>
        <w:top w:val="none" w:sz="0" w:space="0" w:color="auto"/>
        <w:left w:val="none" w:sz="0" w:space="0" w:color="auto"/>
        <w:bottom w:val="none" w:sz="0" w:space="0" w:color="auto"/>
        <w:right w:val="none" w:sz="0" w:space="0" w:color="auto"/>
      </w:divBdr>
    </w:div>
    <w:div w:id="790247081">
      <w:bodyDiv w:val="1"/>
      <w:marLeft w:val="0"/>
      <w:marRight w:val="0"/>
      <w:marTop w:val="0"/>
      <w:marBottom w:val="0"/>
      <w:divBdr>
        <w:top w:val="none" w:sz="0" w:space="0" w:color="auto"/>
        <w:left w:val="none" w:sz="0" w:space="0" w:color="auto"/>
        <w:bottom w:val="none" w:sz="0" w:space="0" w:color="auto"/>
        <w:right w:val="none" w:sz="0" w:space="0" w:color="auto"/>
      </w:divBdr>
    </w:div>
    <w:div w:id="790513872">
      <w:bodyDiv w:val="1"/>
      <w:marLeft w:val="0"/>
      <w:marRight w:val="0"/>
      <w:marTop w:val="0"/>
      <w:marBottom w:val="0"/>
      <w:divBdr>
        <w:top w:val="none" w:sz="0" w:space="0" w:color="auto"/>
        <w:left w:val="none" w:sz="0" w:space="0" w:color="auto"/>
        <w:bottom w:val="none" w:sz="0" w:space="0" w:color="auto"/>
        <w:right w:val="none" w:sz="0" w:space="0" w:color="auto"/>
      </w:divBdr>
    </w:div>
    <w:div w:id="791092272">
      <w:bodyDiv w:val="1"/>
      <w:marLeft w:val="0"/>
      <w:marRight w:val="0"/>
      <w:marTop w:val="0"/>
      <w:marBottom w:val="0"/>
      <w:divBdr>
        <w:top w:val="none" w:sz="0" w:space="0" w:color="auto"/>
        <w:left w:val="none" w:sz="0" w:space="0" w:color="auto"/>
        <w:bottom w:val="none" w:sz="0" w:space="0" w:color="auto"/>
        <w:right w:val="none" w:sz="0" w:space="0" w:color="auto"/>
      </w:divBdr>
    </w:div>
    <w:div w:id="791248825">
      <w:bodyDiv w:val="1"/>
      <w:marLeft w:val="0"/>
      <w:marRight w:val="0"/>
      <w:marTop w:val="0"/>
      <w:marBottom w:val="0"/>
      <w:divBdr>
        <w:top w:val="none" w:sz="0" w:space="0" w:color="auto"/>
        <w:left w:val="none" w:sz="0" w:space="0" w:color="auto"/>
        <w:bottom w:val="none" w:sz="0" w:space="0" w:color="auto"/>
        <w:right w:val="none" w:sz="0" w:space="0" w:color="auto"/>
      </w:divBdr>
    </w:div>
    <w:div w:id="791288302">
      <w:bodyDiv w:val="1"/>
      <w:marLeft w:val="0"/>
      <w:marRight w:val="0"/>
      <w:marTop w:val="0"/>
      <w:marBottom w:val="0"/>
      <w:divBdr>
        <w:top w:val="none" w:sz="0" w:space="0" w:color="auto"/>
        <w:left w:val="none" w:sz="0" w:space="0" w:color="auto"/>
        <w:bottom w:val="none" w:sz="0" w:space="0" w:color="auto"/>
        <w:right w:val="none" w:sz="0" w:space="0" w:color="auto"/>
      </w:divBdr>
    </w:div>
    <w:div w:id="791480860">
      <w:bodyDiv w:val="1"/>
      <w:marLeft w:val="0"/>
      <w:marRight w:val="0"/>
      <w:marTop w:val="0"/>
      <w:marBottom w:val="0"/>
      <w:divBdr>
        <w:top w:val="none" w:sz="0" w:space="0" w:color="auto"/>
        <w:left w:val="none" w:sz="0" w:space="0" w:color="auto"/>
        <w:bottom w:val="none" w:sz="0" w:space="0" w:color="auto"/>
        <w:right w:val="none" w:sz="0" w:space="0" w:color="auto"/>
      </w:divBdr>
    </w:div>
    <w:div w:id="791555292">
      <w:bodyDiv w:val="1"/>
      <w:marLeft w:val="0"/>
      <w:marRight w:val="0"/>
      <w:marTop w:val="0"/>
      <w:marBottom w:val="0"/>
      <w:divBdr>
        <w:top w:val="none" w:sz="0" w:space="0" w:color="auto"/>
        <w:left w:val="none" w:sz="0" w:space="0" w:color="auto"/>
        <w:bottom w:val="none" w:sz="0" w:space="0" w:color="auto"/>
        <w:right w:val="none" w:sz="0" w:space="0" w:color="auto"/>
      </w:divBdr>
    </w:div>
    <w:div w:id="791557959">
      <w:bodyDiv w:val="1"/>
      <w:marLeft w:val="0"/>
      <w:marRight w:val="0"/>
      <w:marTop w:val="0"/>
      <w:marBottom w:val="0"/>
      <w:divBdr>
        <w:top w:val="none" w:sz="0" w:space="0" w:color="auto"/>
        <w:left w:val="none" w:sz="0" w:space="0" w:color="auto"/>
        <w:bottom w:val="none" w:sz="0" w:space="0" w:color="auto"/>
        <w:right w:val="none" w:sz="0" w:space="0" w:color="auto"/>
      </w:divBdr>
    </w:div>
    <w:div w:id="791825132">
      <w:bodyDiv w:val="1"/>
      <w:marLeft w:val="0"/>
      <w:marRight w:val="0"/>
      <w:marTop w:val="0"/>
      <w:marBottom w:val="0"/>
      <w:divBdr>
        <w:top w:val="none" w:sz="0" w:space="0" w:color="auto"/>
        <w:left w:val="none" w:sz="0" w:space="0" w:color="auto"/>
        <w:bottom w:val="none" w:sz="0" w:space="0" w:color="auto"/>
        <w:right w:val="none" w:sz="0" w:space="0" w:color="auto"/>
      </w:divBdr>
    </w:div>
    <w:div w:id="791825894">
      <w:bodyDiv w:val="1"/>
      <w:marLeft w:val="0"/>
      <w:marRight w:val="0"/>
      <w:marTop w:val="0"/>
      <w:marBottom w:val="0"/>
      <w:divBdr>
        <w:top w:val="none" w:sz="0" w:space="0" w:color="auto"/>
        <w:left w:val="none" w:sz="0" w:space="0" w:color="auto"/>
        <w:bottom w:val="none" w:sz="0" w:space="0" w:color="auto"/>
        <w:right w:val="none" w:sz="0" w:space="0" w:color="auto"/>
      </w:divBdr>
    </w:div>
    <w:div w:id="792135260">
      <w:bodyDiv w:val="1"/>
      <w:marLeft w:val="0"/>
      <w:marRight w:val="0"/>
      <w:marTop w:val="0"/>
      <w:marBottom w:val="0"/>
      <w:divBdr>
        <w:top w:val="none" w:sz="0" w:space="0" w:color="auto"/>
        <w:left w:val="none" w:sz="0" w:space="0" w:color="auto"/>
        <w:bottom w:val="none" w:sz="0" w:space="0" w:color="auto"/>
        <w:right w:val="none" w:sz="0" w:space="0" w:color="auto"/>
      </w:divBdr>
    </w:div>
    <w:div w:id="792165716">
      <w:bodyDiv w:val="1"/>
      <w:marLeft w:val="0"/>
      <w:marRight w:val="0"/>
      <w:marTop w:val="0"/>
      <w:marBottom w:val="0"/>
      <w:divBdr>
        <w:top w:val="none" w:sz="0" w:space="0" w:color="auto"/>
        <w:left w:val="none" w:sz="0" w:space="0" w:color="auto"/>
        <w:bottom w:val="none" w:sz="0" w:space="0" w:color="auto"/>
        <w:right w:val="none" w:sz="0" w:space="0" w:color="auto"/>
      </w:divBdr>
    </w:div>
    <w:div w:id="792400907">
      <w:bodyDiv w:val="1"/>
      <w:marLeft w:val="0"/>
      <w:marRight w:val="0"/>
      <w:marTop w:val="0"/>
      <w:marBottom w:val="0"/>
      <w:divBdr>
        <w:top w:val="none" w:sz="0" w:space="0" w:color="auto"/>
        <w:left w:val="none" w:sz="0" w:space="0" w:color="auto"/>
        <w:bottom w:val="none" w:sz="0" w:space="0" w:color="auto"/>
        <w:right w:val="none" w:sz="0" w:space="0" w:color="auto"/>
      </w:divBdr>
    </w:div>
    <w:div w:id="792409035">
      <w:bodyDiv w:val="1"/>
      <w:marLeft w:val="0"/>
      <w:marRight w:val="0"/>
      <w:marTop w:val="0"/>
      <w:marBottom w:val="0"/>
      <w:divBdr>
        <w:top w:val="none" w:sz="0" w:space="0" w:color="auto"/>
        <w:left w:val="none" w:sz="0" w:space="0" w:color="auto"/>
        <w:bottom w:val="none" w:sz="0" w:space="0" w:color="auto"/>
        <w:right w:val="none" w:sz="0" w:space="0" w:color="auto"/>
      </w:divBdr>
    </w:div>
    <w:div w:id="792553049">
      <w:bodyDiv w:val="1"/>
      <w:marLeft w:val="0"/>
      <w:marRight w:val="0"/>
      <w:marTop w:val="0"/>
      <w:marBottom w:val="0"/>
      <w:divBdr>
        <w:top w:val="none" w:sz="0" w:space="0" w:color="auto"/>
        <w:left w:val="none" w:sz="0" w:space="0" w:color="auto"/>
        <w:bottom w:val="none" w:sz="0" w:space="0" w:color="auto"/>
        <w:right w:val="none" w:sz="0" w:space="0" w:color="auto"/>
      </w:divBdr>
    </w:div>
    <w:div w:id="792675093">
      <w:bodyDiv w:val="1"/>
      <w:marLeft w:val="0"/>
      <w:marRight w:val="0"/>
      <w:marTop w:val="0"/>
      <w:marBottom w:val="0"/>
      <w:divBdr>
        <w:top w:val="none" w:sz="0" w:space="0" w:color="auto"/>
        <w:left w:val="none" w:sz="0" w:space="0" w:color="auto"/>
        <w:bottom w:val="none" w:sz="0" w:space="0" w:color="auto"/>
        <w:right w:val="none" w:sz="0" w:space="0" w:color="auto"/>
      </w:divBdr>
    </w:div>
    <w:div w:id="793013781">
      <w:bodyDiv w:val="1"/>
      <w:marLeft w:val="0"/>
      <w:marRight w:val="0"/>
      <w:marTop w:val="0"/>
      <w:marBottom w:val="0"/>
      <w:divBdr>
        <w:top w:val="none" w:sz="0" w:space="0" w:color="auto"/>
        <w:left w:val="none" w:sz="0" w:space="0" w:color="auto"/>
        <w:bottom w:val="none" w:sz="0" w:space="0" w:color="auto"/>
        <w:right w:val="none" w:sz="0" w:space="0" w:color="auto"/>
      </w:divBdr>
    </w:div>
    <w:div w:id="793409400">
      <w:bodyDiv w:val="1"/>
      <w:marLeft w:val="0"/>
      <w:marRight w:val="0"/>
      <w:marTop w:val="0"/>
      <w:marBottom w:val="0"/>
      <w:divBdr>
        <w:top w:val="none" w:sz="0" w:space="0" w:color="auto"/>
        <w:left w:val="none" w:sz="0" w:space="0" w:color="auto"/>
        <w:bottom w:val="none" w:sz="0" w:space="0" w:color="auto"/>
        <w:right w:val="none" w:sz="0" w:space="0" w:color="auto"/>
      </w:divBdr>
    </w:div>
    <w:div w:id="793908236">
      <w:bodyDiv w:val="1"/>
      <w:marLeft w:val="0"/>
      <w:marRight w:val="0"/>
      <w:marTop w:val="0"/>
      <w:marBottom w:val="0"/>
      <w:divBdr>
        <w:top w:val="none" w:sz="0" w:space="0" w:color="auto"/>
        <w:left w:val="none" w:sz="0" w:space="0" w:color="auto"/>
        <w:bottom w:val="none" w:sz="0" w:space="0" w:color="auto"/>
        <w:right w:val="none" w:sz="0" w:space="0" w:color="auto"/>
      </w:divBdr>
    </w:div>
    <w:div w:id="794103362">
      <w:bodyDiv w:val="1"/>
      <w:marLeft w:val="0"/>
      <w:marRight w:val="0"/>
      <w:marTop w:val="0"/>
      <w:marBottom w:val="0"/>
      <w:divBdr>
        <w:top w:val="none" w:sz="0" w:space="0" w:color="auto"/>
        <w:left w:val="none" w:sz="0" w:space="0" w:color="auto"/>
        <w:bottom w:val="none" w:sz="0" w:space="0" w:color="auto"/>
        <w:right w:val="none" w:sz="0" w:space="0" w:color="auto"/>
      </w:divBdr>
    </w:div>
    <w:div w:id="794104460">
      <w:bodyDiv w:val="1"/>
      <w:marLeft w:val="0"/>
      <w:marRight w:val="0"/>
      <w:marTop w:val="0"/>
      <w:marBottom w:val="0"/>
      <w:divBdr>
        <w:top w:val="none" w:sz="0" w:space="0" w:color="auto"/>
        <w:left w:val="none" w:sz="0" w:space="0" w:color="auto"/>
        <w:bottom w:val="none" w:sz="0" w:space="0" w:color="auto"/>
        <w:right w:val="none" w:sz="0" w:space="0" w:color="auto"/>
      </w:divBdr>
    </w:div>
    <w:div w:id="794181316">
      <w:bodyDiv w:val="1"/>
      <w:marLeft w:val="0"/>
      <w:marRight w:val="0"/>
      <w:marTop w:val="0"/>
      <w:marBottom w:val="0"/>
      <w:divBdr>
        <w:top w:val="none" w:sz="0" w:space="0" w:color="auto"/>
        <w:left w:val="none" w:sz="0" w:space="0" w:color="auto"/>
        <w:bottom w:val="none" w:sz="0" w:space="0" w:color="auto"/>
        <w:right w:val="none" w:sz="0" w:space="0" w:color="auto"/>
      </w:divBdr>
    </w:div>
    <w:div w:id="794366690">
      <w:bodyDiv w:val="1"/>
      <w:marLeft w:val="0"/>
      <w:marRight w:val="0"/>
      <w:marTop w:val="0"/>
      <w:marBottom w:val="0"/>
      <w:divBdr>
        <w:top w:val="none" w:sz="0" w:space="0" w:color="auto"/>
        <w:left w:val="none" w:sz="0" w:space="0" w:color="auto"/>
        <w:bottom w:val="none" w:sz="0" w:space="0" w:color="auto"/>
        <w:right w:val="none" w:sz="0" w:space="0" w:color="auto"/>
      </w:divBdr>
    </w:div>
    <w:div w:id="794449618">
      <w:bodyDiv w:val="1"/>
      <w:marLeft w:val="0"/>
      <w:marRight w:val="0"/>
      <w:marTop w:val="0"/>
      <w:marBottom w:val="0"/>
      <w:divBdr>
        <w:top w:val="none" w:sz="0" w:space="0" w:color="auto"/>
        <w:left w:val="none" w:sz="0" w:space="0" w:color="auto"/>
        <w:bottom w:val="none" w:sz="0" w:space="0" w:color="auto"/>
        <w:right w:val="none" w:sz="0" w:space="0" w:color="auto"/>
      </w:divBdr>
    </w:div>
    <w:div w:id="794519537">
      <w:bodyDiv w:val="1"/>
      <w:marLeft w:val="0"/>
      <w:marRight w:val="0"/>
      <w:marTop w:val="0"/>
      <w:marBottom w:val="0"/>
      <w:divBdr>
        <w:top w:val="none" w:sz="0" w:space="0" w:color="auto"/>
        <w:left w:val="none" w:sz="0" w:space="0" w:color="auto"/>
        <w:bottom w:val="none" w:sz="0" w:space="0" w:color="auto"/>
        <w:right w:val="none" w:sz="0" w:space="0" w:color="auto"/>
      </w:divBdr>
    </w:div>
    <w:div w:id="794566664">
      <w:bodyDiv w:val="1"/>
      <w:marLeft w:val="0"/>
      <w:marRight w:val="0"/>
      <w:marTop w:val="0"/>
      <w:marBottom w:val="0"/>
      <w:divBdr>
        <w:top w:val="none" w:sz="0" w:space="0" w:color="auto"/>
        <w:left w:val="none" w:sz="0" w:space="0" w:color="auto"/>
        <w:bottom w:val="none" w:sz="0" w:space="0" w:color="auto"/>
        <w:right w:val="none" w:sz="0" w:space="0" w:color="auto"/>
      </w:divBdr>
    </w:div>
    <w:div w:id="794568879">
      <w:bodyDiv w:val="1"/>
      <w:marLeft w:val="0"/>
      <w:marRight w:val="0"/>
      <w:marTop w:val="0"/>
      <w:marBottom w:val="0"/>
      <w:divBdr>
        <w:top w:val="none" w:sz="0" w:space="0" w:color="auto"/>
        <w:left w:val="none" w:sz="0" w:space="0" w:color="auto"/>
        <w:bottom w:val="none" w:sz="0" w:space="0" w:color="auto"/>
        <w:right w:val="none" w:sz="0" w:space="0" w:color="auto"/>
      </w:divBdr>
    </w:div>
    <w:div w:id="794829495">
      <w:bodyDiv w:val="1"/>
      <w:marLeft w:val="0"/>
      <w:marRight w:val="0"/>
      <w:marTop w:val="0"/>
      <w:marBottom w:val="0"/>
      <w:divBdr>
        <w:top w:val="none" w:sz="0" w:space="0" w:color="auto"/>
        <w:left w:val="none" w:sz="0" w:space="0" w:color="auto"/>
        <w:bottom w:val="none" w:sz="0" w:space="0" w:color="auto"/>
        <w:right w:val="none" w:sz="0" w:space="0" w:color="auto"/>
      </w:divBdr>
    </w:div>
    <w:div w:id="795174031">
      <w:bodyDiv w:val="1"/>
      <w:marLeft w:val="0"/>
      <w:marRight w:val="0"/>
      <w:marTop w:val="0"/>
      <w:marBottom w:val="0"/>
      <w:divBdr>
        <w:top w:val="none" w:sz="0" w:space="0" w:color="auto"/>
        <w:left w:val="none" w:sz="0" w:space="0" w:color="auto"/>
        <w:bottom w:val="none" w:sz="0" w:space="0" w:color="auto"/>
        <w:right w:val="none" w:sz="0" w:space="0" w:color="auto"/>
      </w:divBdr>
    </w:div>
    <w:div w:id="795299575">
      <w:bodyDiv w:val="1"/>
      <w:marLeft w:val="0"/>
      <w:marRight w:val="0"/>
      <w:marTop w:val="0"/>
      <w:marBottom w:val="0"/>
      <w:divBdr>
        <w:top w:val="none" w:sz="0" w:space="0" w:color="auto"/>
        <w:left w:val="none" w:sz="0" w:space="0" w:color="auto"/>
        <w:bottom w:val="none" w:sz="0" w:space="0" w:color="auto"/>
        <w:right w:val="none" w:sz="0" w:space="0" w:color="auto"/>
      </w:divBdr>
    </w:div>
    <w:div w:id="795487922">
      <w:bodyDiv w:val="1"/>
      <w:marLeft w:val="0"/>
      <w:marRight w:val="0"/>
      <w:marTop w:val="0"/>
      <w:marBottom w:val="0"/>
      <w:divBdr>
        <w:top w:val="none" w:sz="0" w:space="0" w:color="auto"/>
        <w:left w:val="none" w:sz="0" w:space="0" w:color="auto"/>
        <w:bottom w:val="none" w:sz="0" w:space="0" w:color="auto"/>
        <w:right w:val="none" w:sz="0" w:space="0" w:color="auto"/>
      </w:divBdr>
    </w:div>
    <w:div w:id="795610440">
      <w:bodyDiv w:val="1"/>
      <w:marLeft w:val="0"/>
      <w:marRight w:val="0"/>
      <w:marTop w:val="0"/>
      <w:marBottom w:val="0"/>
      <w:divBdr>
        <w:top w:val="none" w:sz="0" w:space="0" w:color="auto"/>
        <w:left w:val="none" w:sz="0" w:space="0" w:color="auto"/>
        <w:bottom w:val="none" w:sz="0" w:space="0" w:color="auto"/>
        <w:right w:val="none" w:sz="0" w:space="0" w:color="auto"/>
      </w:divBdr>
    </w:div>
    <w:div w:id="795680810">
      <w:bodyDiv w:val="1"/>
      <w:marLeft w:val="0"/>
      <w:marRight w:val="0"/>
      <w:marTop w:val="0"/>
      <w:marBottom w:val="0"/>
      <w:divBdr>
        <w:top w:val="none" w:sz="0" w:space="0" w:color="auto"/>
        <w:left w:val="none" w:sz="0" w:space="0" w:color="auto"/>
        <w:bottom w:val="none" w:sz="0" w:space="0" w:color="auto"/>
        <w:right w:val="none" w:sz="0" w:space="0" w:color="auto"/>
      </w:divBdr>
    </w:div>
    <w:div w:id="795680832">
      <w:bodyDiv w:val="1"/>
      <w:marLeft w:val="0"/>
      <w:marRight w:val="0"/>
      <w:marTop w:val="0"/>
      <w:marBottom w:val="0"/>
      <w:divBdr>
        <w:top w:val="none" w:sz="0" w:space="0" w:color="auto"/>
        <w:left w:val="none" w:sz="0" w:space="0" w:color="auto"/>
        <w:bottom w:val="none" w:sz="0" w:space="0" w:color="auto"/>
        <w:right w:val="none" w:sz="0" w:space="0" w:color="auto"/>
      </w:divBdr>
    </w:div>
    <w:div w:id="795683928">
      <w:bodyDiv w:val="1"/>
      <w:marLeft w:val="0"/>
      <w:marRight w:val="0"/>
      <w:marTop w:val="0"/>
      <w:marBottom w:val="0"/>
      <w:divBdr>
        <w:top w:val="none" w:sz="0" w:space="0" w:color="auto"/>
        <w:left w:val="none" w:sz="0" w:space="0" w:color="auto"/>
        <w:bottom w:val="none" w:sz="0" w:space="0" w:color="auto"/>
        <w:right w:val="none" w:sz="0" w:space="0" w:color="auto"/>
      </w:divBdr>
    </w:div>
    <w:div w:id="795684920">
      <w:bodyDiv w:val="1"/>
      <w:marLeft w:val="0"/>
      <w:marRight w:val="0"/>
      <w:marTop w:val="0"/>
      <w:marBottom w:val="0"/>
      <w:divBdr>
        <w:top w:val="none" w:sz="0" w:space="0" w:color="auto"/>
        <w:left w:val="none" w:sz="0" w:space="0" w:color="auto"/>
        <w:bottom w:val="none" w:sz="0" w:space="0" w:color="auto"/>
        <w:right w:val="none" w:sz="0" w:space="0" w:color="auto"/>
      </w:divBdr>
    </w:div>
    <w:div w:id="796027247">
      <w:bodyDiv w:val="1"/>
      <w:marLeft w:val="0"/>
      <w:marRight w:val="0"/>
      <w:marTop w:val="0"/>
      <w:marBottom w:val="0"/>
      <w:divBdr>
        <w:top w:val="none" w:sz="0" w:space="0" w:color="auto"/>
        <w:left w:val="none" w:sz="0" w:space="0" w:color="auto"/>
        <w:bottom w:val="none" w:sz="0" w:space="0" w:color="auto"/>
        <w:right w:val="none" w:sz="0" w:space="0" w:color="auto"/>
      </w:divBdr>
    </w:div>
    <w:div w:id="796098052">
      <w:bodyDiv w:val="1"/>
      <w:marLeft w:val="0"/>
      <w:marRight w:val="0"/>
      <w:marTop w:val="0"/>
      <w:marBottom w:val="0"/>
      <w:divBdr>
        <w:top w:val="none" w:sz="0" w:space="0" w:color="auto"/>
        <w:left w:val="none" w:sz="0" w:space="0" w:color="auto"/>
        <w:bottom w:val="none" w:sz="0" w:space="0" w:color="auto"/>
        <w:right w:val="none" w:sz="0" w:space="0" w:color="auto"/>
      </w:divBdr>
    </w:div>
    <w:div w:id="796223568">
      <w:bodyDiv w:val="1"/>
      <w:marLeft w:val="0"/>
      <w:marRight w:val="0"/>
      <w:marTop w:val="0"/>
      <w:marBottom w:val="0"/>
      <w:divBdr>
        <w:top w:val="none" w:sz="0" w:space="0" w:color="auto"/>
        <w:left w:val="none" w:sz="0" w:space="0" w:color="auto"/>
        <w:bottom w:val="none" w:sz="0" w:space="0" w:color="auto"/>
        <w:right w:val="none" w:sz="0" w:space="0" w:color="auto"/>
      </w:divBdr>
    </w:div>
    <w:div w:id="796412891">
      <w:bodyDiv w:val="1"/>
      <w:marLeft w:val="0"/>
      <w:marRight w:val="0"/>
      <w:marTop w:val="0"/>
      <w:marBottom w:val="0"/>
      <w:divBdr>
        <w:top w:val="none" w:sz="0" w:space="0" w:color="auto"/>
        <w:left w:val="none" w:sz="0" w:space="0" w:color="auto"/>
        <w:bottom w:val="none" w:sz="0" w:space="0" w:color="auto"/>
        <w:right w:val="none" w:sz="0" w:space="0" w:color="auto"/>
      </w:divBdr>
    </w:div>
    <w:div w:id="796484191">
      <w:bodyDiv w:val="1"/>
      <w:marLeft w:val="0"/>
      <w:marRight w:val="0"/>
      <w:marTop w:val="0"/>
      <w:marBottom w:val="0"/>
      <w:divBdr>
        <w:top w:val="none" w:sz="0" w:space="0" w:color="auto"/>
        <w:left w:val="none" w:sz="0" w:space="0" w:color="auto"/>
        <w:bottom w:val="none" w:sz="0" w:space="0" w:color="auto"/>
        <w:right w:val="none" w:sz="0" w:space="0" w:color="auto"/>
      </w:divBdr>
    </w:div>
    <w:div w:id="796605147">
      <w:bodyDiv w:val="1"/>
      <w:marLeft w:val="0"/>
      <w:marRight w:val="0"/>
      <w:marTop w:val="0"/>
      <w:marBottom w:val="0"/>
      <w:divBdr>
        <w:top w:val="none" w:sz="0" w:space="0" w:color="auto"/>
        <w:left w:val="none" w:sz="0" w:space="0" w:color="auto"/>
        <w:bottom w:val="none" w:sz="0" w:space="0" w:color="auto"/>
        <w:right w:val="none" w:sz="0" w:space="0" w:color="auto"/>
      </w:divBdr>
    </w:div>
    <w:div w:id="796676915">
      <w:bodyDiv w:val="1"/>
      <w:marLeft w:val="0"/>
      <w:marRight w:val="0"/>
      <w:marTop w:val="0"/>
      <w:marBottom w:val="0"/>
      <w:divBdr>
        <w:top w:val="none" w:sz="0" w:space="0" w:color="auto"/>
        <w:left w:val="none" w:sz="0" w:space="0" w:color="auto"/>
        <w:bottom w:val="none" w:sz="0" w:space="0" w:color="auto"/>
        <w:right w:val="none" w:sz="0" w:space="0" w:color="auto"/>
      </w:divBdr>
    </w:div>
    <w:div w:id="796795453">
      <w:bodyDiv w:val="1"/>
      <w:marLeft w:val="0"/>
      <w:marRight w:val="0"/>
      <w:marTop w:val="0"/>
      <w:marBottom w:val="0"/>
      <w:divBdr>
        <w:top w:val="none" w:sz="0" w:space="0" w:color="auto"/>
        <w:left w:val="none" w:sz="0" w:space="0" w:color="auto"/>
        <w:bottom w:val="none" w:sz="0" w:space="0" w:color="auto"/>
        <w:right w:val="none" w:sz="0" w:space="0" w:color="auto"/>
      </w:divBdr>
    </w:div>
    <w:div w:id="796799044">
      <w:bodyDiv w:val="1"/>
      <w:marLeft w:val="0"/>
      <w:marRight w:val="0"/>
      <w:marTop w:val="0"/>
      <w:marBottom w:val="0"/>
      <w:divBdr>
        <w:top w:val="none" w:sz="0" w:space="0" w:color="auto"/>
        <w:left w:val="none" w:sz="0" w:space="0" w:color="auto"/>
        <w:bottom w:val="none" w:sz="0" w:space="0" w:color="auto"/>
        <w:right w:val="none" w:sz="0" w:space="0" w:color="auto"/>
      </w:divBdr>
    </w:div>
    <w:div w:id="796873457">
      <w:bodyDiv w:val="1"/>
      <w:marLeft w:val="0"/>
      <w:marRight w:val="0"/>
      <w:marTop w:val="0"/>
      <w:marBottom w:val="0"/>
      <w:divBdr>
        <w:top w:val="none" w:sz="0" w:space="0" w:color="auto"/>
        <w:left w:val="none" w:sz="0" w:space="0" w:color="auto"/>
        <w:bottom w:val="none" w:sz="0" w:space="0" w:color="auto"/>
        <w:right w:val="none" w:sz="0" w:space="0" w:color="auto"/>
      </w:divBdr>
    </w:div>
    <w:div w:id="797064966">
      <w:bodyDiv w:val="1"/>
      <w:marLeft w:val="0"/>
      <w:marRight w:val="0"/>
      <w:marTop w:val="0"/>
      <w:marBottom w:val="0"/>
      <w:divBdr>
        <w:top w:val="none" w:sz="0" w:space="0" w:color="auto"/>
        <w:left w:val="none" w:sz="0" w:space="0" w:color="auto"/>
        <w:bottom w:val="none" w:sz="0" w:space="0" w:color="auto"/>
        <w:right w:val="none" w:sz="0" w:space="0" w:color="auto"/>
      </w:divBdr>
    </w:div>
    <w:div w:id="797256684">
      <w:bodyDiv w:val="1"/>
      <w:marLeft w:val="0"/>
      <w:marRight w:val="0"/>
      <w:marTop w:val="0"/>
      <w:marBottom w:val="0"/>
      <w:divBdr>
        <w:top w:val="none" w:sz="0" w:space="0" w:color="auto"/>
        <w:left w:val="none" w:sz="0" w:space="0" w:color="auto"/>
        <w:bottom w:val="none" w:sz="0" w:space="0" w:color="auto"/>
        <w:right w:val="none" w:sz="0" w:space="0" w:color="auto"/>
      </w:divBdr>
    </w:div>
    <w:div w:id="797335846">
      <w:bodyDiv w:val="1"/>
      <w:marLeft w:val="0"/>
      <w:marRight w:val="0"/>
      <w:marTop w:val="0"/>
      <w:marBottom w:val="0"/>
      <w:divBdr>
        <w:top w:val="none" w:sz="0" w:space="0" w:color="auto"/>
        <w:left w:val="none" w:sz="0" w:space="0" w:color="auto"/>
        <w:bottom w:val="none" w:sz="0" w:space="0" w:color="auto"/>
        <w:right w:val="none" w:sz="0" w:space="0" w:color="auto"/>
      </w:divBdr>
    </w:div>
    <w:div w:id="797574336">
      <w:bodyDiv w:val="1"/>
      <w:marLeft w:val="0"/>
      <w:marRight w:val="0"/>
      <w:marTop w:val="0"/>
      <w:marBottom w:val="0"/>
      <w:divBdr>
        <w:top w:val="none" w:sz="0" w:space="0" w:color="auto"/>
        <w:left w:val="none" w:sz="0" w:space="0" w:color="auto"/>
        <w:bottom w:val="none" w:sz="0" w:space="0" w:color="auto"/>
        <w:right w:val="none" w:sz="0" w:space="0" w:color="auto"/>
      </w:divBdr>
    </w:div>
    <w:div w:id="798037346">
      <w:bodyDiv w:val="1"/>
      <w:marLeft w:val="0"/>
      <w:marRight w:val="0"/>
      <w:marTop w:val="0"/>
      <w:marBottom w:val="0"/>
      <w:divBdr>
        <w:top w:val="none" w:sz="0" w:space="0" w:color="auto"/>
        <w:left w:val="none" w:sz="0" w:space="0" w:color="auto"/>
        <w:bottom w:val="none" w:sz="0" w:space="0" w:color="auto"/>
        <w:right w:val="none" w:sz="0" w:space="0" w:color="auto"/>
      </w:divBdr>
    </w:div>
    <w:div w:id="798062468">
      <w:bodyDiv w:val="1"/>
      <w:marLeft w:val="0"/>
      <w:marRight w:val="0"/>
      <w:marTop w:val="0"/>
      <w:marBottom w:val="0"/>
      <w:divBdr>
        <w:top w:val="none" w:sz="0" w:space="0" w:color="auto"/>
        <w:left w:val="none" w:sz="0" w:space="0" w:color="auto"/>
        <w:bottom w:val="none" w:sz="0" w:space="0" w:color="auto"/>
        <w:right w:val="none" w:sz="0" w:space="0" w:color="auto"/>
      </w:divBdr>
    </w:div>
    <w:div w:id="798259984">
      <w:bodyDiv w:val="1"/>
      <w:marLeft w:val="0"/>
      <w:marRight w:val="0"/>
      <w:marTop w:val="0"/>
      <w:marBottom w:val="0"/>
      <w:divBdr>
        <w:top w:val="none" w:sz="0" w:space="0" w:color="auto"/>
        <w:left w:val="none" w:sz="0" w:space="0" w:color="auto"/>
        <w:bottom w:val="none" w:sz="0" w:space="0" w:color="auto"/>
        <w:right w:val="none" w:sz="0" w:space="0" w:color="auto"/>
      </w:divBdr>
    </w:div>
    <w:div w:id="798374061">
      <w:bodyDiv w:val="1"/>
      <w:marLeft w:val="0"/>
      <w:marRight w:val="0"/>
      <w:marTop w:val="0"/>
      <w:marBottom w:val="0"/>
      <w:divBdr>
        <w:top w:val="none" w:sz="0" w:space="0" w:color="auto"/>
        <w:left w:val="none" w:sz="0" w:space="0" w:color="auto"/>
        <w:bottom w:val="none" w:sz="0" w:space="0" w:color="auto"/>
        <w:right w:val="none" w:sz="0" w:space="0" w:color="auto"/>
      </w:divBdr>
    </w:div>
    <w:div w:id="798451934">
      <w:bodyDiv w:val="1"/>
      <w:marLeft w:val="0"/>
      <w:marRight w:val="0"/>
      <w:marTop w:val="0"/>
      <w:marBottom w:val="0"/>
      <w:divBdr>
        <w:top w:val="none" w:sz="0" w:space="0" w:color="auto"/>
        <w:left w:val="none" w:sz="0" w:space="0" w:color="auto"/>
        <w:bottom w:val="none" w:sz="0" w:space="0" w:color="auto"/>
        <w:right w:val="none" w:sz="0" w:space="0" w:color="auto"/>
      </w:divBdr>
    </w:div>
    <w:div w:id="798498332">
      <w:bodyDiv w:val="1"/>
      <w:marLeft w:val="0"/>
      <w:marRight w:val="0"/>
      <w:marTop w:val="0"/>
      <w:marBottom w:val="0"/>
      <w:divBdr>
        <w:top w:val="none" w:sz="0" w:space="0" w:color="auto"/>
        <w:left w:val="none" w:sz="0" w:space="0" w:color="auto"/>
        <w:bottom w:val="none" w:sz="0" w:space="0" w:color="auto"/>
        <w:right w:val="none" w:sz="0" w:space="0" w:color="auto"/>
      </w:divBdr>
    </w:div>
    <w:div w:id="798648362">
      <w:bodyDiv w:val="1"/>
      <w:marLeft w:val="0"/>
      <w:marRight w:val="0"/>
      <w:marTop w:val="0"/>
      <w:marBottom w:val="0"/>
      <w:divBdr>
        <w:top w:val="none" w:sz="0" w:space="0" w:color="auto"/>
        <w:left w:val="none" w:sz="0" w:space="0" w:color="auto"/>
        <w:bottom w:val="none" w:sz="0" w:space="0" w:color="auto"/>
        <w:right w:val="none" w:sz="0" w:space="0" w:color="auto"/>
      </w:divBdr>
    </w:div>
    <w:div w:id="798648870">
      <w:bodyDiv w:val="1"/>
      <w:marLeft w:val="0"/>
      <w:marRight w:val="0"/>
      <w:marTop w:val="0"/>
      <w:marBottom w:val="0"/>
      <w:divBdr>
        <w:top w:val="none" w:sz="0" w:space="0" w:color="auto"/>
        <w:left w:val="none" w:sz="0" w:space="0" w:color="auto"/>
        <w:bottom w:val="none" w:sz="0" w:space="0" w:color="auto"/>
        <w:right w:val="none" w:sz="0" w:space="0" w:color="auto"/>
      </w:divBdr>
    </w:div>
    <w:div w:id="798650797">
      <w:bodyDiv w:val="1"/>
      <w:marLeft w:val="0"/>
      <w:marRight w:val="0"/>
      <w:marTop w:val="0"/>
      <w:marBottom w:val="0"/>
      <w:divBdr>
        <w:top w:val="none" w:sz="0" w:space="0" w:color="auto"/>
        <w:left w:val="none" w:sz="0" w:space="0" w:color="auto"/>
        <w:bottom w:val="none" w:sz="0" w:space="0" w:color="auto"/>
        <w:right w:val="none" w:sz="0" w:space="0" w:color="auto"/>
      </w:divBdr>
    </w:div>
    <w:div w:id="798693911">
      <w:bodyDiv w:val="1"/>
      <w:marLeft w:val="0"/>
      <w:marRight w:val="0"/>
      <w:marTop w:val="0"/>
      <w:marBottom w:val="0"/>
      <w:divBdr>
        <w:top w:val="none" w:sz="0" w:space="0" w:color="auto"/>
        <w:left w:val="none" w:sz="0" w:space="0" w:color="auto"/>
        <w:bottom w:val="none" w:sz="0" w:space="0" w:color="auto"/>
        <w:right w:val="none" w:sz="0" w:space="0" w:color="auto"/>
      </w:divBdr>
    </w:div>
    <w:div w:id="799417577">
      <w:bodyDiv w:val="1"/>
      <w:marLeft w:val="0"/>
      <w:marRight w:val="0"/>
      <w:marTop w:val="0"/>
      <w:marBottom w:val="0"/>
      <w:divBdr>
        <w:top w:val="none" w:sz="0" w:space="0" w:color="auto"/>
        <w:left w:val="none" w:sz="0" w:space="0" w:color="auto"/>
        <w:bottom w:val="none" w:sz="0" w:space="0" w:color="auto"/>
        <w:right w:val="none" w:sz="0" w:space="0" w:color="auto"/>
      </w:divBdr>
    </w:div>
    <w:div w:id="799423952">
      <w:bodyDiv w:val="1"/>
      <w:marLeft w:val="0"/>
      <w:marRight w:val="0"/>
      <w:marTop w:val="0"/>
      <w:marBottom w:val="0"/>
      <w:divBdr>
        <w:top w:val="none" w:sz="0" w:space="0" w:color="auto"/>
        <w:left w:val="none" w:sz="0" w:space="0" w:color="auto"/>
        <w:bottom w:val="none" w:sz="0" w:space="0" w:color="auto"/>
        <w:right w:val="none" w:sz="0" w:space="0" w:color="auto"/>
      </w:divBdr>
    </w:div>
    <w:div w:id="799610324">
      <w:bodyDiv w:val="1"/>
      <w:marLeft w:val="0"/>
      <w:marRight w:val="0"/>
      <w:marTop w:val="0"/>
      <w:marBottom w:val="0"/>
      <w:divBdr>
        <w:top w:val="none" w:sz="0" w:space="0" w:color="auto"/>
        <w:left w:val="none" w:sz="0" w:space="0" w:color="auto"/>
        <w:bottom w:val="none" w:sz="0" w:space="0" w:color="auto"/>
        <w:right w:val="none" w:sz="0" w:space="0" w:color="auto"/>
      </w:divBdr>
    </w:div>
    <w:div w:id="799961843">
      <w:bodyDiv w:val="1"/>
      <w:marLeft w:val="0"/>
      <w:marRight w:val="0"/>
      <w:marTop w:val="0"/>
      <w:marBottom w:val="0"/>
      <w:divBdr>
        <w:top w:val="none" w:sz="0" w:space="0" w:color="auto"/>
        <w:left w:val="none" w:sz="0" w:space="0" w:color="auto"/>
        <w:bottom w:val="none" w:sz="0" w:space="0" w:color="auto"/>
        <w:right w:val="none" w:sz="0" w:space="0" w:color="auto"/>
      </w:divBdr>
    </w:div>
    <w:div w:id="800002955">
      <w:bodyDiv w:val="1"/>
      <w:marLeft w:val="0"/>
      <w:marRight w:val="0"/>
      <w:marTop w:val="0"/>
      <w:marBottom w:val="0"/>
      <w:divBdr>
        <w:top w:val="none" w:sz="0" w:space="0" w:color="auto"/>
        <w:left w:val="none" w:sz="0" w:space="0" w:color="auto"/>
        <w:bottom w:val="none" w:sz="0" w:space="0" w:color="auto"/>
        <w:right w:val="none" w:sz="0" w:space="0" w:color="auto"/>
      </w:divBdr>
    </w:div>
    <w:div w:id="800343554">
      <w:bodyDiv w:val="1"/>
      <w:marLeft w:val="0"/>
      <w:marRight w:val="0"/>
      <w:marTop w:val="0"/>
      <w:marBottom w:val="0"/>
      <w:divBdr>
        <w:top w:val="none" w:sz="0" w:space="0" w:color="auto"/>
        <w:left w:val="none" w:sz="0" w:space="0" w:color="auto"/>
        <w:bottom w:val="none" w:sz="0" w:space="0" w:color="auto"/>
        <w:right w:val="none" w:sz="0" w:space="0" w:color="auto"/>
      </w:divBdr>
    </w:div>
    <w:div w:id="800613515">
      <w:bodyDiv w:val="1"/>
      <w:marLeft w:val="0"/>
      <w:marRight w:val="0"/>
      <w:marTop w:val="0"/>
      <w:marBottom w:val="0"/>
      <w:divBdr>
        <w:top w:val="none" w:sz="0" w:space="0" w:color="auto"/>
        <w:left w:val="none" w:sz="0" w:space="0" w:color="auto"/>
        <w:bottom w:val="none" w:sz="0" w:space="0" w:color="auto"/>
        <w:right w:val="none" w:sz="0" w:space="0" w:color="auto"/>
      </w:divBdr>
    </w:div>
    <w:div w:id="800729014">
      <w:bodyDiv w:val="1"/>
      <w:marLeft w:val="0"/>
      <w:marRight w:val="0"/>
      <w:marTop w:val="0"/>
      <w:marBottom w:val="0"/>
      <w:divBdr>
        <w:top w:val="none" w:sz="0" w:space="0" w:color="auto"/>
        <w:left w:val="none" w:sz="0" w:space="0" w:color="auto"/>
        <w:bottom w:val="none" w:sz="0" w:space="0" w:color="auto"/>
        <w:right w:val="none" w:sz="0" w:space="0" w:color="auto"/>
      </w:divBdr>
    </w:div>
    <w:div w:id="801070327">
      <w:bodyDiv w:val="1"/>
      <w:marLeft w:val="0"/>
      <w:marRight w:val="0"/>
      <w:marTop w:val="0"/>
      <w:marBottom w:val="0"/>
      <w:divBdr>
        <w:top w:val="none" w:sz="0" w:space="0" w:color="auto"/>
        <w:left w:val="none" w:sz="0" w:space="0" w:color="auto"/>
        <w:bottom w:val="none" w:sz="0" w:space="0" w:color="auto"/>
        <w:right w:val="none" w:sz="0" w:space="0" w:color="auto"/>
      </w:divBdr>
    </w:div>
    <w:div w:id="801189925">
      <w:bodyDiv w:val="1"/>
      <w:marLeft w:val="0"/>
      <w:marRight w:val="0"/>
      <w:marTop w:val="0"/>
      <w:marBottom w:val="0"/>
      <w:divBdr>
        <w:top w:val="none" w:sz="0" w:space="0" w:color="auto"/>
        <w:left w:val="none" w:sz="0" w:space="0" w:color="auto"/>
        <w:bottom w:val="none" w:sz="0" w:space="0" w:color="auto"/>
        <w:right w:val="none" w:sz="0" w:space="0" w:color="auto"/>
      </w:divBdr>
    </w:div>
    <w:div w:id="801264119">
      <w:bodyDiv w:val="1"/>
      <w:marLeft w:val="0"/>
      <w:marRight w:val="0"/>
      <w:marTop w:val="0"/>
      <w:marBottom w:val="0"/>
      <w:divBdr>
        <w:top w:val="none" w:sz="0" w:space="0" w:color="auto"/>
        <w:left w:val="none" w:sz="0" w:space="0" w:color="auto"/>
        <w:bottom w:val="none" w:sz="0" w:space="0" w:color="auto"/>
        <w:right w:val="none" w:sz="0" w:space="0" w:color="auto"/>
      </w:divBdr>
    </w:div>
    <w:div w:id="801266222">
      <w:bodyDiv w:val="1"/>
      <w:marLeft w:val="0"/>
      <w:marRight w:val="0"/>
      <w:marTop w:val="0"/>
      <w:marBottom w:val="0"/>
      <w:divBdr>
        <w:top w:val="none" w:sz="0" w:space="0" w:color="auto"/>
        <w:left w:val="none" w:sz="0" w:space="0" w:color="auto"/>
        <w:bottom w:val="none" w:sz="0" w:space="0" w:color="auto"/>
        <w:right w:val="none" w:sz="0" w:space="0" w:color="auto"/>
      </w:divBdr>
    </w:div>
    <w:div w:id="801574929">
      <w:bodyDiv w:val="1"/>
      <w:marLeft w:val="0"/>
      <w:marRight w:val="0"/>
      <w:marTop w:val="0"/>
      <w:marBottom w:val="0"/>
      <w:divBdr>
        <w:top w:val="none" w:sz="0" w:space="0" w:color="auto"/>
        <w:left w:val="none" w:sz="0" w:space="0" w:color="auto"/>
        <w:bottom w:val="none" w:sz="0" w:space="0" w:color="auto"/>
        <w:right w:val="none" w:sz="0" w:space="0" w:color="auto"/>
      </w:divBdr>
    </w:div>
    <w:div w:id="801654490">
      <w:bodyDiv w:val="1"/>
      <w:marLeft w:val="0"/>
      <w:marRight w:val="0"/>
      <w:marTop w:val="0"/>
      <w:marBottom w:val="0"/>
      <w:divBdr>
        <w:top w:val="none" w:sz="0" w:space="0" w:color="auto"/>
        <w:left w:val="none" w:sz="0" w:space="0" w:color="auto"/>
        <w:bottom w:val="none" w:sz="0" w:space="0" w:color="auto"/>
        <w:right w:val="none" w:sz="0" w:space="0" w:color="auto"/>
      </w:divBdr>
    </w:div>
    <w:div w:id="801776161">
      <w:bodyDiv w:val="1"/>
      <w:marLeft w:val="0"/>
      <w:marRight w:val="0"/>
      <w:marTop w:val="0"/>
      <w:marBottom w:val="0"/>
      <w:divBdr>
        <w:top w:val="none" w:sz="0" w:space="0" w:color="auto"/>
        <w:left w:val="none" w:sz="0" w:space="0" w:color="auto"/>
        <w:bottom w:val="none" w:sz="0" w:space="0" w:color="auto"/>
        <w:right w:val="none" w:sz="0" w:space="0" w:color="auto"/>
      </w:divBdr>
    </w:div>
    <w:div w:id="801921310">
      <w:bodyDiv w:val="1"/>
      <w:marLeft w:val="0"/>
      <w:marRight w:val="0"/>
      <w:marTop w:val="0"/>
      <w:marBottom w:val="0"/>
      <w:divBdr>
        <w:top w:val="none" w:sz="0" w:space="0" w:color="auto"/>
        <w:left w:val="none" w:sz="0" w:space="0" w:color="auto"/>
        <w:bottom w:val="none" w:sz="0" w:space="0" w:color="auto"/>
        <w:right w:val="none" w:sz="0" w:space="0" w:color="auto"/>
      </w:divBdr>
    </w:div>
    <w:div w:id="801925279">
      <w:bodyDiv w:val="1"/>
      <w:marLeft w:val="0"/>
      <w:marRight w:val="0"/>
      <w:marTop w:val="0"/>
      <w:marBottom w:val="0"/>
      <w:divBdr>
        <w:top w:val="none" w:sz="0" w:space="0" w:color="auto"/>
        <w:left w:val="none" w:sz="0" w:space="0" w:color="auto"/>
        <w:bottom w:val="none" w:sz="0" w:space="0" w:color="auto"/>
        <w:right w:val="none" w:sz="0" w:space="0" w:color="auto"/>
      </w:divBdr>
    </w:div>
    <w:div w:id="802041965">
      <w:bodyDiv w:val="1"/>
      <w:marLeft w:val="0"/>
      <w:marRight w:val="0"/>
      <w:marTop w:val="0"/>
      <w:marBottom w:val="0"/>
      <w:divBdr>
        <w:top w:val="none" w:sz="0" w:space="0" w:color="auto"/>
        <w:left w:val="none" w:sz="0" w:space="0" w:color="auto"/>
        <w:bottom w:val="none" w:sz="0" w:space="0" w:color="auto"/>
        <w:right w:val="none" w:sz="0" w:space="0" w:color="auto"/>
      </w:divBdr>
    </w:div>
    <w:div w:id="802233243">
      <w:bodyDiv w:val="1"/>
      <w:marLeft w:val="0"/>
      <w:marRight w:val="0"/>
      <w:marTop w:val="0"/>
      <w:marBottom w:val="0"/>
      <w:divBdr>
        <w:top w:val="none" w:sz="0" w:space="0" w:color="auto"/>
        <w:left w:val="none" w:sz="0" w:space="0" w:color="auto"/>
        <w:bottom w:val="none" w:sz="0" w:space="0" w:color="auto"/>
        <w:right w:val="none" w:sz="0" w:space="0" w:color="auto"/>
      </w:divBdr>
    </w:div>
    <w:div w:id="802307946">
      <w:bodyDiv w:val="1"/>
      <w:marLeft w:val="0"/>
      <w:marRight w:val="0"/>
      <w:marTop w:val="0"/>
      <w:marBottom w:val="0"/>
      <w:divBdr>
        <w:top w:val="none" w:sz="0" w:space="0" w:color="auto"/>
        <w:left w:val="none" w:sz="0" w:space="0" w:color="auto"/>
        <w:bottom w:val="none" w:sz="0" w:space="0" w:color="auto"/>
        <w:right w:val="none" w:sz="0" w:space="0" w:color="auto"/>
      </w:divBdr>
    </w:div>
    <w:div w:id="802427570">
      <w:bodyDiv w:val="1"/>
      <w:marLeft w:val="0"/>
      <w:marRight w:val="0"/>
      <w:marTop w:val="0"/>
      <w:marBottom w:val="0"/>
      <w:divBdr>
        <w:top w:val="none" w:sz="0" w:space="0" w:color="auto"/>
        <w:left w:val="none" w:sz="0" w:space="0" w:color="auto"/>
        <w:bottom w:val="none" w:sz="0" w:space="0" w:color="auto"/>
        <w:right w:val="none" w:sz="0" w:space="0" w:color="auto"/>
      </w:divBdr>
    </w:div>
    <w:div w:id="802698299">
      <w:bodyDiv w:val="1"/>
      <w:marLeft w:val="0"/>
      <w:marRight w:val="0"/>
      <w:marTop w:val="0"/>
      <w:marBottom w:val="0"/>
      <w:divBdr>
        <w:top w:val="none" w:sz="0" w:space="0" w:color="auto"/>
        <w:left w:val="none" w:sz="0" w:space="0" w:color="auto"/>
        <w:bottom w:val="none" w:sz="0" w:space="0" w:color="auto"/>
        <w:right w:val="none" w:sz="0" w:space="0" w:color="auto"/>
      </w:divBdr>
    </w:div>
    <w:div w:id="802769137">
      <w:bodyDiv w:val="1"/>
      <w:marLeft w:val="0"/>
      <w:marRight w:val="0"/>
      <w:marTop w:val="0"/>
      <w:marBottom w:val="0"/>
      <w:divBdr>
        <w:top w:val="none" w:sz="0" w:space="0" w:color="auto"/>
        <w:left w:val="none" w:sz="0" w:space="0" w:color="auto"/>
        <w:bottom w:val="none" w:sz="0" w:space="0" w:color="auto"/>
        <w:right w:val="none" w:sz="0" w:space="0" w:color="auto"/>
      </w:divBdr>
    </w:div>
    <w:div w:id="802969231">
      <w:bodyDiv w:val="1"/>
      <w:marLeft w:val="0"/>
      <w:marRight w:val="0"/>
      <w:marTop w:val="0"/>
      <w:marBottom w:val="0"/>
      <w:divBdr>
        <w:top w:val="none" w:sz="0" w:space="0" w:color="auto"/>
        <w:left w:val="none" w:sz="0" w:space="0" w:color="auto"/>
        <w:bottom w:val="none" w:sz="0" w:space="0" w:color="auto"/>
        <w:right w:val="none" w:sz="0" w:space="0" w:color="auto"/>
      </w:divBdr>
    </w:div>
    <w:div w:id="803041300">
      <w:bodyDiv w:val="1"/>
      <w:marLeft w:val="0"/>
      <w:marRight w:val="0"/>
      <w:marTop w:val="0"/>
      <w:marBottom w:val="0"/>
      <w:divBdr>
        <w:top w:val="none" w:sz="0" w:space="0" w:color="auto"/>
        <w:left w:val="none" w:sz="0" w:space="0" w:color="auto"/>
        <w:bottom w:val="none" w:sz="0" w:space="0" w:color="auto"/>
        <w:right w:val="none" w:sz="0" w:space="0" w:color="auto"/>
      </w:divBdr>
    </w:div>
    <w:div w:id="803546777">
      <w:bodyDiv w:val="1"/>
      <w:marLeft w:val="0"/>
      <w:marRight w:val="0"/>
      <w:marTop w:val="0"/>
      <w:marBottom w:val="0"/>
      <w:divBdr>
        <w:top w:val="none" w:sz="0" w:space="0" w:color="auto"/>
        <w:left w:val="none" w:sz="0" w:space="0" w:color="auto"/>
        <w:bottom w:val="none" w:sz="0" w:space="0" w:color="auto"/>
        <w:right w:val="none" w:sz="0" w:space="0" w:color="auto"/>
      </w:divBdr>
    </w:div>
    <w:div w:id="803693925">
      <w:bodyDiv w:val="1"/>
      <w:marLeft w:val="0"/>
      <w:marRight w:val="0"/>
      <w:marTop w:val="0"/>
      <w:marBottom w:val="0"/>
      <w:divBdr>
        <w:top w:val="none" w:sz="0" w:space="0" w:color="auto"/>
        <w:left w:val="none" w:sz="0" w:space="0" w:color="auto"/>
        <w:bottom w:val="none" w:sz="0" w:space="0" w:color="auto"/>
        <w:right w:val="none" w:sz="0" w:space="0" w:color="auto"/>
      </w:divBdr>
    </w:div>
    <w:div w:id="803735917">
      <w:bodyDiv w:val="1"/>
      <w:marLeft w:val="0"/>
      <w:marRight w:val="0"/>
      <w:marTop w:val="0"/>
      <w:marBottom w:val="0"/>
      <w:divBdr>
        <w:top w:val="none" w:sz="0" w:space="0" w:color="auto"/>
        <w:left w:val="none" w:sz="0" w:space="0" w:color="auto"/>
        <w:bottom w:val="none" w:sz="0" w:space="0" w:color="auto"/>
        <w:right w:val="none" w:sz="0" w:space="0" w:color="auto"/>
      </w:divBdr>
    </w:div>
    <w:div w:id="803817613">
      <w:bodyDiv w:val="1"/>
      <w:marLeft w:val="0"/>
      <w:marRight w:val="0"/>
      <w:marTop w:val="0"/>
      <w:marBottom w:val="0"/>
      <w:divBdr>
        <w:top w:val="none" w:sz="0" w:space="0" w:color="auto"/>
        <w:left w:val="none" w:sz="0" w:space="0" w:color="auto"/>
        <w:bottom w:val="none" w:sz="0" w:space="0" w:color="auto"/>
        <w:right w:val="none" w:sz="0" w:space="0" w:color="auto"/>
      </w:divBdr>
    </w:div>
    <w:div w:id="803894080">
      <w:bodyDiv w:val="1"/>
      <w:marLeft w:val="0"/>
      <w:marRight w:val="0"/>
      <w:marTop w:val="0"/>
      <w:marBottom w:val="0"/>
      <w:divBdr>
        <w:top w:val="none" w:sz="0" w:space="0" w:color="auto"/>
        <w:left w:val="none" w:sz="0" w:space="0" w:color="auto"/>
        <w:bottom w:val="none" w:sz="0" w:space="0" w:color="auto"/>
        <w:right w:val="none" w:sz="0" w:space="0" w:color="auto"/>
      </w:divBdr>
    </w:div>
    <w:div w:id="803931903">
      <w:bodyDiv w:val="1"/>
      <w:marLeft w:val="0"/>
      <w:marRight w:val="0"/>
      <w:marTop w:val="0"/>
      <w:marBottom w:val="0"/>
      <w:divBdr>
        <w:top w:val="none" w:sz="0" w:space="0" w:color="auto"/>
        <w:left w:val="none" w:sz="0" w:space="0" w:color="auto"/>
        <w:bottom w:val="none" w:sz="0" w:space="0" w:color="auto"/>
        <w:right w:val="none" w:sz="0" w:space="0" w:color="auto"/>
      </w:divBdr>
    </w:div>
    <w:div w:id="804006168">
      <w:bodyDiv w:val="1"/>
      <w:marLeft w:val="0"/>
      <w:marRight w:val="0"/>
      <w:marTop w:val="0"/>
      <w:marBottom w:val="0"/>
      <w:divBdr>
        <w:top w:val="none" w:sz="0" w:space="0" w:color="auto"/>
        <w:left w:val="none" w:sz="0" w:space="0" w:color="auto"/>
        <w:bottom w:val="none" w:sz="0" w:space="0" w:color="auto"/>
        <w:right w:val="none" w:sz="0" w:space="0" w:color="auto"/>
      </w:divBdr>
    </w:div>
    <w:div w:id="804009273">
      <w:bodyDiv w:val="1"/>
      <w:marLeft w:val="0"/>
      <w:marRight w:val="0"/>
      <w:marTop w:val="0"/>
      <w:marBottom w:val="0"/>
      <w:divBdr>
        <w:top w:val="none" w:sz="0" w:space="0" w:color="auto"/>
        <w:left w:val="none" w:sz="0" w:space="0" w:color="auto"/>
        <w:bottom w:val="none" w:sz="0" w:space="0" w:color="auto"/>
        <w:right w:val="none" w:sz="0" w:space="0" w:color="auto"/>
      </w:divBdr>
    </w:div>
    <w:div w:id="804011195">
      <w:bodyDiv w:val="1"/>
      <w:marLeft w:val="0"/>
      <w:marRight w:val="0"/>
      <w:marTop w:val="0"/>
      <w:marBottom w:val="0"/>
      <w:divBdr>
        <w:top w:val="none" w:sz="0" w:space="0" w:color="auto"/>
        <w:left w:val="none" w:sz="0" w:space="0" w:color="auto"/>
        <w:bottom w:val="none" w:sz="0" w:space="0" w:color="auto"/>
        <w:right w:val="none" w:sz="0" w:space="0" w:color="auto"/>
      </w:divBdr>
    </w:div>
    <w:div w:id="804155041">
      <w:bodyDiv w:val="1"/>
      <w:marLeft w:val="0"/>
      <w:marRight w:val="0"/>
      <w:marTop w:val="0"/>
      <w:marBottom w:val="0"/>
      <w:divBdr>
        <w:top w:val="none" w:sz="0" w:space="0" w:color="auto"/>
        <w:left w:val="none" w:sz="0" w:space="0" w:color="auto"/>
        <w:bottom w:val="none" w:sz="0" w:space="0" w:color="auto"/>
        <w:right w:val="none" w:sz="0" w:space="0" w:color="auto"/>
      </w:divBdr>
    </w:div>
    <w:div w:id="804271231">
      <w:bodyDiv w:val="1"/>
      <w:marLeft w:val="0"/>
      <w:marRight w:val="0"/>
      <w:marTop w:val="0"/>
      <w:marBottom w:val="0"/>
      <w:divBdr>
        <w:top w:val="none" w:sz="0" w:space="0" w:color="auto"/>
        <w:left w:val="none" w:sz="0" w:space="0" w:color="auto"/>
        <w:bottom w:val="none" w:sz="0" w:space="0" w:color="auto"/>
        <w:right w:val="none" w:sz="0" w:space="0" w:color="auto"/>
      </w:divBdr>
    </w:div>
    <w:div w:id="804351234">
      <w:bodyDiv w:val="1"/>
      <w:marLeft w:val="0"/>
      <w:marRight w:val="0"/>
      <w:marTop w:val="0"/>
      <w:marBottom w:val="0"/>
      <w:divBdr>
        <w:top w:val="none" w:sz="0" w:space="0" w:color="auto"/>
        <w:left w:val="none" w:sz="0" w:space="0" w:color="auto"/>
        <w:bottom w:val="none" w:sz="0" w:space="0" w:color="auto"/>
        <w:right w:val="none" w:sz="0" w:space="0" w:color="auto"/>
      </w:divBdr>
    </w:div>
    <w:div w:id="804471745">
      <w:bodyDiv w:val="1"/>
      <w:marLeft w:val="0"/>
      <w:marRight w:val="0"/>
      <w:marTop w:val="0"/>
      <w:marBottom w:val="0"/>
      <w:divBdr>
        <w:top w:val="none" w:sz="0" w:space="0" w:color="auto"/>
        <w:left w:val="none" w:sz="0" w:space="0" w:color="auto"/>
        <w:bottom w:val="none" w:sz="0" w:space="0" w:color="auto"/>
        <w:right w:val="none" w:sz="0" w:space="0" w:color="auto"/>
      </w:divBdr>
    </w:div>
    <w:div w:id="804472724">
      <w:bodyDiv w:val="1"/>
      <w:marLeft w:val="0"/>
      <w:marRight w:val="0"/>
      <w:marTop w:val="0"/>
      <w:marBottom w:val="0"/>
      <w:divBdr>
        <w:top w:val="none" w:sz="0" w:space="0" w:color="auto"/>
        <w:left w:val="none" w:sz="0" w:space="0" w:color="auto"/>
        <w:bottom w:val="none" w:sz="0" w:space="0" w:color="auto"/>
        <w:right w:val="none" w:sz="0" w:space="0" w:color="auto"/>
      </w:divBdr>
    </w:div>
    <w:div w:id="804540664">
      <w:bodyDiv w:val="1"/>
      <w:marLeft w:val="0"/>
      <w:marRight w:val="0"/>
      <w:marTop w:val="0"/>
      <w:marBottom w:val="0"/>
      <w:divBdr>
        <w:top w:val="none" w:sz="0" w:space="0" w:color="auto"/>
        <w:left w:val="none" w:sz="0" w:space="0" w:color="auto"/>
        <w:bottom w:val="none" w:sz="0" w:space="0" w:color="auto"/>
        <w:right w:val="none" w:sz="0" w:space="0" w:color="auto"/>
      </w:divBdr>
    </w:div>
    <w:div w:id="804546071">
      <w:bodyDiv w:val="1"/>
      <w:marLeft w:val="0"/>
      <w:marRight w:val="0"/>
      <w:marTop w:val="0"/>
      <w:marBottom w:val="0"/>
      <w:divBdr>
        <w:top w:val="none" w:sz="0" w:space="0" w:color="auto"/>
        <w:left w:val="none" w:sz="0" w:space="0" w:color="auto"/>
        <w:bottom w:val="none" w:sz="0" w:space="0" w:color="auto"/>
        <w:right w:val="none" w:sz="0" w:space="0" w:color="auto"/>
      </w:divBdr>
    </w:div>
    <w:div w:id="804547028">
      <w:bodyDiv w:val="1"/>
      <w:marLeft w:val="0"/>
      <w:marRight w:val="0"/>
      <w:marTop w:val="0"/>
      <w:marBottom w:val="0"/>
      <w:divBdr>
        <w:top w:val="none" w:sz="0" w:space="0" w:color="auto"/>
        <w:left w:val="none" w:sz="0" w:space="0" w:color="auto"/>
        <w:bottom w:val="none" w:sz="0" w:space="0" w:color="auto"/>
        <w:right w:val="none" w:sz="0" w:space="0" w:color="auto"/>
      </w:divBdr>
    </w:div>
    <w:div w:id="804548722">
      <w:bodyDiv w:val="1"/>
      <w:marLeft w:val="0"/>
      <w:marRight w:val="0"/>
      <w:marTop w:val="0"/>
      <w:marBottom w:val="0"/>
      <w:divBdr>
        <w:top w:val="none" w:sz="0" w:space="0" w:color="auto"/>
        <w:left w:val="none" w:sz="0" w:space="0" w:color="auto"/>
        <w:bottom w:val="none" w:sz="0" w:space="0" w:color="auto"/>
        <w:right w:val="none" w:sz="0" w:space="0" w:color="auto"/>
      </w:divBdr>
    </w:div>
    <w:div w:id="804549145">
      <w:bodyDiv w:val="1"/>
      <w:marLeft w:val="0"/>
      <w:marRight w:val="0"/>
      <w:marTop w:val="0"/>
      <w:marBottom w:val="0"/>
      <w:divBdr>
        <w:top w:val="none" w:sz="0" w:space="0" w:color="auto"/>
        <w:left w:val="none" w:sz="0" w:space="0" w:color="auto"/>
        <w:bottom w:val="none" w:sz="0" w:space="0" w:color="auto"/>
        <w:right w:val="none" w:sz="0" w:space="0" w:color="auto"/>
      </w:divBdr>
    </w:div>
    <w:div w:id="804737119">
      <w:bodyDiv w:val="1"/>
      <w:marLeft w:val="0"/>
      <w:marRight w:val="0"/>
      <w:marTop w:val="0"/>
      <w:marBottom w:val="0"/>
      <w:divBdr>
        <w:top w:val="none" w:sz="0" w:space="0" w:color="auto"/>
        <w:left w:val="none" w:sz="0" w:space="0" w:color="auto"/>
        <w:bottom w:val="none" w:sz="0" w:space="0" w:color="auto"/>
        <w:right w:val="none" w:sz="0" w:space="0" w:color="auto"/>
      </w:divBdr>
    </w:div>
    <w:div w:id="804742628">
      <w:bodyDiv w:val="1"/>
      <w:marLeft w:val="0"/>
      <w:marRight w:val="0"/>
      <w:marTop w:val="0"/>
      <w:marBottom w:val="0"/>
      <w:divBdr>
        <w:top w:val="none" w:sz="0" w:space="0" w:color="auto"/>
        <w:left w:val="none" w:sz="0" w:space="0" w:color="auto"/>
        <w:bottom w:val="none" w:sz="0" w:space="0" w:color="auto"/>
        <w:right w:val="none" w:sz="0" w:space="0" w:color="auto"/>
      </w:divBdr>
    </w:div>
    <w:div w:id="805195269">
      <w:bodyDiv w:val="1"/>
      <w:marLeft w:val="0"/>
      <w:marRight w:val="0"/>
      <w:marTop w:val="0"/>
      <w:marBottom w:val="0"/>
      <w:divBdr>
        <w:top w:val="none" w:sz="0" w:space="0" w:color="auto"/>
        <w:left w:val="none" w:sz="0" w:space="0" w:color="auto"/>
        <w:bottom w:val="none" w:sz="0" w:space="0" w:color="auto"/>
        <w:right w:val="none" w:sz="0" w:space="0" w:color="auto"/>
      </w:divBdr>
    </w:div>
    <w:div w:id="805319875">
      <w:bodyDiv w:val="1"/>
      <w:marLeft w:val="0"/>
      <w:marRight w:val="0"/>
      <w:marTop w:val="0"/>
      <w:marBottom w:val="0"/>
      <w:divBdr>
        <w:top w:val="none" w:sz="0" w:space="0" w:color="auto"/>
        <w:left w:val="none" w:sz="0" w:space="0" w:color="auto"/>
        <w:bottom w:val="none" w:sz="0" w:space="0" w:color="auto"/>
        <w:right w:val="none" w:sz="0" w:space="0" w:color="auto"/>
      </w:divBdr>
    </w:div>
    <w:div w:id="805390731">
      <w:bodyDiv w:val="1"/>
      <w:marLeft w:val="0"/>
      <w:marRight w:val="0"/>
      <w:marTop w:val="0"/>
      <w:marBottom w:val="0"/>
      <w:divBdr>
        <w:top w:val="none" w:sz="0" w:space="0" w:color="auto"/>
        <w:left w:val="none" w:sz="0" w:space="0" w:color="auto"/>
        <w:bottom w:val="none" w:sz="0" w:space="0" w:color="auto"/>
        <w:right w:val="none" w:sz="0" w:space="0" w:color="auto"/>
      </w:divBdr>
    </w:div>
    <w:div w:id="805392808">
      <w:bodyDiv w:val="1"/>
      <w:marLeft w:val="0"/>
      <w:marRight w:val="0"/>
      <w:marTop w:val="0"/>
      <w:marBottom w:val="0"/>
      <w:divBdr>
        <w:top w:val="none" w:sz="0" w:space="0" w:color="auto"/>
        <w:left w:val="none" w:sz="0" w:space="0" w:color="auto"/>
        <w:bottom w:val="none" w:sz="0" w:space="0" w:color="auto"/>
        <w:right w:val="none" w:sz="0" w:space="0" w:color="auto"/>
      </w:divBdr>
    </w:div>
    <w:div w:id="805396048">
      <w:bodyDiv w:val="1"/>
      <w:marLeft w:val="0"/>
      <w:marRight w:val="0"/>
      <w:marTop w:val="0"/>
      <w:marBottom w:val="0"/>
      <w:divBdr>
        <w:top w:val="none" w:sz="0" w:space="0" w:color="auto"/>
        <w:left w:val="none" w:sz="0" w:space="0" w:color="auto"/>
        <w:bottom w:val="none" w:sz="0" w:space="0" w:color="auto"/>
        <w:right w:val="none" w:sz="0" w:space="0" w:color="auto"/>
      </w:divBdr>
    </w:div>
    <w:div w:id="805463884">
      <w:bodyDiv w:val="1"/>
      <w:marLeft w:val="0"/>
      <w:marRight w:val="0"/>
      <w:marTop w:val="0"/>
      <w:marBottom w:val="0"/>
      <w:divBdr>
        <w:top w:val="none" w:sz="0" w:space="0" w:color="auto"/>
        <w:left w:val="none" w:sz="0" w:space="0" w:color="auto"/>
        <w:bottom w:val="none" w:sz="0" w:space="0" w:color="auto"/>
        <w:right w:val="none" w:sz="0" w:space="0" w:color="auto"/>
      </w:divBdr>
    </w:div>
    <w:div w:id="805666583">
      <w:bodyDiv w:val="1"/>
      <w:marLeft w:val="0"/>
      <w:marRight w:val="0"/>
      <w:marTop w:val="0"/>
      <w:marBottom w:val="0"/>
      <w:divBdr>
        <w:top w:val="none" w:sz="0" w:space="0" w:color="auto"/>
        <w:left w:val="none" w:sz="0" w:space="0" w:color="auto"/>
        <w:bottom w:val="none" w:sz="0" w:space="0" w:color="auto"/>
        <w:right w:val="none" w:sz="0" w:space="0" w:color="auto"/>
      </w:divBdr>
    </w:div>
    <w:div w:id="805666714">
      <w:bodyDiv w:val="1"/>
      <w:marLeft w:val="0"/>
      <w:marRight w:val="0"/>
      <w:marTop w:val="0"/>
      <w:marBottom w:val="0"/>
      <w:divBdr>
        <w:top w:val="none" w:sz="0" w:space="0" w:color="auto"/>
        <w:left w:val="none" w:sz="0" w:space="0" w:color="auto"/>
        <w:bottom w:val="none" w:sz="0" w:space="0" w:color="auto"/>
        <w:right w:val="none" w:sz="0" w:space="0" w:color="auto"/>
      </w:divBdr>
    </w:div>
    <w:div w:id="805779399">
      <w:bodyDiv w:val="1"/>
      <w:marLeft w:val="0"/>
      <w:marRight w:val="0"/>
      <w:marTop w:val="0"/>
      <w:marBottom w:val="0"/>
      <w:divBdr>
        <w:top w:val="none" w:sz="0" w:space="0" w:color="auto"/>
        <w:left w:val="none" w:sz="0" w:space="0" w:color="auto"/>
        <w:bottom w:val="none" w:sz="0" w:space="0" w:color="auto"/>
        <w:right w:val="none" w:sz="0" w:space="0" w:color="auto"/>
      </w:divBdr>
    </w:div>
    <w:div w:id="805898557">
      <w:bodyDiv w:val="1"/>
      <w:marLeft w:val="0"/>
      <w:marRight w:val="0"/>
      <w:marTop w:val="0"/>
      <w:marBottom w:val="0"/>
      <w:divBdr>
        <w:top w:val="none" w:sz="0" w:space="0" w:color="auto"/>
        <w:left w:val="none" w:sz="0" w:space="0" w:color="auto"/>
        <w:bottom w:val="none" w:sz="0" w:space="0" w:color="auto"/>
        <w:right w:val="none" w:sz="0" w:space="0" w:color="auto"/>
      </w:divBdr>
    </w:div>
    <w:div w:id="805971187">
      <w:bodyDiv w:val="1"/>
      <w:marLeft w:val="0"/>
      <w:marRight w:val="0"/>
      <w:marTop w:val="0"/>
      <w:marBottom w:val="0"/>
      <w:divBdr>
        <w:top w:val="none" w:sz="0" w:space="0" w:color="auto"/>
        <w:left w:val="none" w:sz="0" w:space="0" w:color="auto"/>
        <w:bottom w:val="none" w:sz="0" w:space="0" w:color="auto"/>
        <w:right w:val="none" w:sz="0" w:space="0" w:color="auto"/>
      </w:divBdr>
    </w:div>
    <w:div w:id="806050610">
      <w:bodyDiv w:val="1"/>
      <w:marLeft w:val="0"/>
      <w:marRight w:val="0"/>
      <w:marTop w:val="0"/>
      <w:marBottom w:val="0"/>
      <w:divBdr>
        <w:top w:val="none" w:sz="0" w:space="0" w:color="auto"/>
        <w:left w:val="none" w:sz="0" w:space="0" w:color="auto"/>
        <w:bottom w:val="none" w:sz="0" w:space="0" w:color="auto"/>
        <w:right w:val="none" w:sz="0" w:space="0" w:color="auto"/>
      </w:divBdr>
    </w:div>
    <w:div w:id="806119198">
      <w:bodyDiv w:val="1"/>
      <w:marLeft w:val="0"/>
      <w:marRight w:val="0"/>
      <w:marTop w:val="0"/>
      <w:marBottom w:val="0"/>
      <w:divBdr>
        <w:top w:val="none" w:sz="0" w:space="0" w:color="auto"/>
        <w:left w:val="none" w:sz="0" w:space="0" w:color="auto"/>
        <w:bottom w:val="none" w:sz="0" w:space="0" w:color="auto"/>
        <w:right w:val="none" w:sz="0" w:space="0" w:color="auto"/>
      </w:divBdr>
    </w:div>
    <w:div w:id="806320850">
      <w:bodyDiv w:val="1"/>
      <w:marLeft w:val="0"/>
      <w:marRight w:val="0"/>
      <w:marTop w:val="0"/>
      <w:marBottom w:val="0"/>
      <w:divBdr>
        <w:top w:val="none" w:sz="0" w:space="0" w:color="auto"/>
        <w:left w:val="none" w:sz="0" w:space="0" w:color="auto"/>
        <w:bottom w:val="none" w:sz="0" w:space="0" w:color="auto"/>
        <w:right w:val="none" w:sz="0" w:space="0" w:color="auto"/>
      </w:divBdr>
    </w:div>
    <w:div w:id="806780269">
      <w:bodyDiv w:val="1"/>
      <w:marLeft w:val="0"/>
      <w:marRight w:val="0"/>
      <w:marTop w:val="0"/>
      <w:marBottom w:val="0"/>
      <w:divBdr>
        <w:top w:val="none" w:sz="0" w:space="0" w:color="auto"/>
        <w:left w:val="none" w:sz="0" w:space="0" w:color="auto"/>
        <w:bottom w:val="none" w:sz="0" w:space="0" w:color="auto"/>
        <w:right w:val="none" w:sz="0" w:space="0" w:color="auto"/>
      </w:divBdr>
    </w:div>
    <w:div w:id="807042996">
      <w:bodyDiv w:val="1"/>
      <w:marLeft w:val="0"/>
      <w:marRight w:val="0"/>
      <w:marTop w:val="0"/>
      <w:marBottom w:val="0"/>
      <w:divBdr>
        <w:top w:val="none" w:sz="0" w:space="0" w:color="auto"/>
        <w:left w:val="none" w:sz="0" w:space="0" w:color="auto"/>
        <w:bottom w:val="none" w:sz="0" w:space="0" w:color="auto"/>
        <w:right w:val="none" w:sz="0" w:space="0" w:color="auto"/>
      </w:divBdr>
    </w:div>
    <w:div w:id="807208475">
      <w:bodyDiv w:val="1"/>
      <w:marLeft w:val="0"/>
      <w:marRight w:val="0"/>
      <w:marTop w:val="0"/>
      <w:marBottom w:val="0"/>
      <w:divBdr>
        <w:top w:val="none" w:sz="0" w:space="0" w:color="auto"/>
        <w:left w:val="none" w:sz="0" w:space="0" w:color="auto"/>
        <w:bottom w:val="none" w:sz="0" w:space="0" w:color="auto"/>
        <w:right w:val="none" w:sz="0" w:space="0" w:color="auto"/>
      </w:divBdr>
    </w:div>
    <w:div w:id="807280476">
      <w:bodyDiv w:val="1"/>
      <w:marLeft w:val="0"/>
      <w:marRight w:val="0"/>
      <w:marTop w:val="0"/>
      <w:marBottom w:val="0"/>
      <w:divBdr>
        <w:top w:val="none" w:sz="0" w:space="0" w:color="auto"/>
        <w:left w:val="none" w:sz="0" w:space="0" w:color="auto"/>
        <w:bottom w:val="none" w:sz="0" w:space="0" w:color="auto"/>
        <w:right w:val="none" w:sz="0" w:space="0" w:color="auto"/>
      </w:divBdr>
    </w:div>
    <w:div w:id="807404481">
      <w:bodyDiv w:val="1"/>
      <w:marLeft w:val="0"/>
      <w:marRight w:val="0"/>
      <w:marTop w:val="0"/>
      <w:marBottom w:val="0"/>
      <w:divBdr>
        <w:top w:val="none" w:sz="0" w:space="0" w:color="auto"/>
        <w:left w:val="none" w:sz="0" w:space="0" w:color="auto"/>
        <w:bottom w:val="none" w:sz="0" w:space="0" w:color="auto"/>
        <w:right w:val="none" w:sz="0" w:space="0" w:color="auto"/>
      </w:divBdr>
    </w:div>
    <w:div w:id="807475676">
      <w:bodyDiv w:val="1"/>
      <w:marLeft w:val="0"/>
      <w:marRight w:val="0"/>
      <w:marTop w:val="0"/>
      <w:marBottom w:val="0"/>
      <w:divBdr>
        <w:top w:val="none" w:sz="0" w:space="0" w:color="auto"/>
        <w:left w:val="none" w:sz="0" w:space="0" w:color="auto"/>
        <w:bottom w:val="none" w:sz="0" w:space="0" w:color="auto"/>
        <w:right w:val="none" w:sz="0" w:space="0" w:color="auto"/>
      </w:divBdr>
    </w:div>
    <w:div w:id="807937669">
      <w:bodyDiv w:val="1"/>
      <w:marLeft w:val="0"/>
      <w:marRight w:val="0"/>
      <w:marTop w:val="0"/>
      <w:marBottom w:val="0"/>
      <w:divBdr>
        <w:top w:val="none" w:sz="0" w:space="0" w:color="auto"/>
        <w:left w:val="none" w:sz="0" w:space="0" w:color="auto"/>
        <w:bottom w:val="none" w:sz="0" w:space="0" w:color="auto"/>
        <w:right w:val="none" w:sz="0" w:space="0" w:color="auto"/>
      </w:divBdr>
    </w:div>
    <w:div w:id="808017073">
      <w:bodyDiv w:val="1"/>
      <w:marLeft w:val="0"/>
      <w:marRight w:val="0"/>
      <w:marTop w:val="0"/>
      <w:marBottom w:val="0"/>
      <w:divBdr>
        <w:top w:val="none" w:sz="0" w:space="0" w:color="auto"/>
        <w:left w:val="none" w:sz="0" w:space="0" w:color="auto"/>
        <w:bottom w:val="none" w:sz="0" w:space="0" w:color="auto"/>
        <w:right w:val="none" w:sz="0" w:space="0" w:color="auto"/>
      </w:divBdr>
    </w:div>
    <w:div w:id="808059160">
      <w:bodyDiv w:val="1"/>
      <w:marLeft w:val="0"/>
      <w:marRight w:val="0"/>
      <w:marTop w:val="0"/>
      <w:marBottom w:val="0"/>
      <w:divBdr>
        <w:top w:val="none" w:sz="0" w:space="0" w:color="auto"/>
        <w:left w:val="none" w:sz="0" w:space="0" w:color="auto"/>
        <w:bottom w:val="none" w:sz="0" w:space="0" w:color="auto"/>
        <w:right w:val="none" w:sz="0" w:space="0" w:color="auto"/>
      </w:divBdr>
    </w:div>
    <w:div w:id="808207004">
      <w:bodyDiv w:val="1"/>
      <w:marLeft w:val="0"/>
      <w:marRight w:val="0"/>
      <w:marTop w:val="0"/>
      <w:marBottom w:val="0"/>
      <w:divBdr>
        <w:top w:val="none" w:sz="0" w:space="0" w:color="auto"/>
        <w:left w:val="none" w:sz="0" w:space="0" w:color="auto"/>
        <w:bottom w:val="none" w:sz="0" w:space="0" w:color="auto"/>
        <w:right w:val="none" w:sz="0" w:space="0" w:color="auto"/>
      </w:divBdr>
    </w:div>
    <w:div w:id="808399694">
      <w:bodyDiv w:val="1"/>
      <w:marLeft w:val="0"/>
      <w:marRight w:val="0"/>
      <w:marTop w:val="0"/>
      <w:marBottom w:val="0"/>
      <w:divBdr>
        <w:top w:val="none" w:sz="0" w:space="0" w:color="auto"/>
        <w:left w:val="none" w:sz="0" w:space="0" w:color="auto"/>
        <w:bottom w:val="none" w:sz="0" w:space="0" w:color="auto"/>
        <w:right w:val="none" w:sz="0" w:space="0" w:color="auto"/>
      </w:divBdr>
    </w:div>
    <w:div w:id="808547991">
      <w:bodyDiv w:val="1"/>
      <w:marLeft w:val="0"/>
      <w:marRight w:val="0"/>
      <w:marTop w:val="0"/>
      <w:marBottom w:val="0"/>
      <w:divBdr>
        <w:top w:val="none" w:sz="0" w:space="0" w:color="auto"/>
        <w:left w:val="none" w:sz="0" w:space="0" w:color="auto"/>
        <w:bottom w:val="none" w:sz="0" w:space="0" w:color="auto"/>
        <w:right w:val="none" w:sz="0" w:space="0" w:color="auto"/>
      </w:divBdr>
    </w:div>
    <w:div w:id="808548024">
      <w:bodyDiv w:val="1"/>
      <w:marLeft w:val="0"/>
      <w:marRight w:val="0"/>
      <w:marTop w:val="0"/>
      <w:marBottom w:val="0"/>
      <w:divBdr>
        <w:top w:val="none" w:sz="0" w:space="0" w:color="auto"/>
        <w:left w:val="none" w:sz="0" w:space="0" w:color="auto"/>
        <w:bottom w:val="none" w:sz="0" w:space="0" w:color="auto"/>
        <w:right w:val="none" w:sz="0" w:space="0" w:color="auto"/>
      </w:divBdr>
    </w:div>
    <w:div w:id="808598043">
      <w:bodyDiv w:val="1"/>
      <w:marLeft w:val="0"/>
      <w:marRight w:val="0"/>
      <w:marTop w:val="0"/>
      <w:marBottom w:val="0"/>
      <w:divBdr>
        <w:top w:val="none" w:sz="0" w:space="0" w:color="auto"/>
        <w:left w:val="none" w:sz="0" w:space="0" w:color="auto"/>
        <w:bottom w:val="none" w:sz="0" w:space="0" w:color="auto"/>
        <w:right w:val="none" w:sz="0" w:space="0" w:color="auto"/>
      </w:divBdr>
    </w:div>
    <w:div w:id="808665840">
      <w:bodyDiv w:val="1"/>
      <w:marLeft w:val="0"/>
      <w:marRight w:val="0"/>
      <w:marTop w:val="0"/>
      <w:marBottom w:val="0"/>
      <w:divBdr>
        <w:top w:val="none" w:sz="0" w:space="0" w:color="auto"/>
        <w:left w:val="none" w:sz="0" w:space="0" w:color="auto"/>
        <w:bottom w:val="none" w:sz="0" w:space="0" w:color="auto"/>
        <w:right w:val="none" w:sz="0" w:space="0" w:color="auto"/>
      </w:divBdr>
    </w:div>
    <w:div w:id="808674241">
      <w:bodyDiv w:val="1"/>
      <w:marLeft w:val="0"/>
      <w:marRight w:val="0"/>
      <w:marTop w:val="0"/>
      <w:marBottom w:val="0"/>
      <w:divBdr>
        <w:top w:val="none" w:sz="0" w:space="0" w:color="auto"/>
        <w:left w:val="none" w:sz="0" w:space="0" w:color="auto"/>
        <w:bottom w:val="none" w:sz="0" w:space="0" w:color="auto"/>
        <w:right w:val="none" w:sz="0" w:space="0" w:color="auto"/>
      </w:divBdr>
    </w:div>
    <w:div w:id="808790619">
      <w:bodyDiv w:val="1"/>
      <w:marLeft w:val="0"/>
      <w:marRight w:val="0"/>
      <w:marTop w:val="0"/>
      <w:marBottom w:val="0"/>
      <w:divBdr>
        <w:top w:val="none" w:sz="0" w:space="0" w:color="auto"/>
        <w:left w:val="none" w:sz="0" w:space="0" w:color="auto"/>
        <w:bottom w:val="none" w:sz="0" w:space="0" w:color="auto"/>
        <w:right w:val="none" w:sz="0" w:space="0" w:color="auto"/>
      </w:divBdr>
    </w:div>
    <w:div w:id="808860430">
      <w:bodyDiv w:val="1"/>
      <w:marLeft w:val="0"/>
      <w:marRight w:val="0"/>
      <w:marTop w:val="0"/>
      <w:marBottom w:val="0"/>
      <w:divBdr>
        <w:top w:val="none" w:sz="0" w:space="0" w:color="auto"/>
        <w:left w:val="none" w:sz="0" w:space="0" w:color="auto"/>
        <w:bottom w:val="none" w:sz="0" w:space="0" w:color="auto"/>
        <w:right w:val="none" w:sz="0" w:space="0" w:color="auto"/>
      </w:divBdr>
    </w:div>
    <w:div w:id="808942704">
      <w:bodyDiv w:val="1"/>
      <w:marLeft w:val="0"/>
      <w:marRight w:val="0"/>
      <w:marTop w:val="0"/>
      <w:marBottom w:val="0"/>
      <w:divBdr>
        <w:top w:val="none" w:sz="0" w:space="0" w:color="auto"/>
        <w:left w:val="none" w:sz="0" w:space="0" w:color="auto"/>
        <w:bottom w:val="none" w:sz="0" w:space="0" w:color="auto"/>
        <w:right w:val="none" w:sz="0" w:space="0" w:color="auto"/>
      </w:divBdr>
    </w:div>
    <w:div w:id="809132367">
      <w:bodyDiv w:val="1"/>
      <w:marLeft w:val="0"/>
      <w:marRight w:val="0"/>
      <w:marTop w:val="0"/>
      <w:marBottom w:val="0"/>
      <w:divBdr>
        <w:top w:val="none" w:sz="0" w:space="0" w:color="auto"/>
        <w:left w:val="none" w:sz="0" w:space="0" w:color="auto"/>
        <w:bottom w:val="none" w:sz="0" w:space="0" w:color="auto"/>
        <w:right w:val="none" w:sz="0" w:space="0" w:color="auto"/>
      </w:divBdr>
    </w:div>
    <w:div w:id="809176672">
      <w:bodyDiv w:val="1"/>
      <w:marLeft w:val="0"/>
      <w:marRight w:val="0"/>
      <w:marTop w:val="0"/>
      <w:marBottom w:val="0"/>
      <w:divBdr>
        <w:top w:val="none" w:sz="0" w:space="0" w:color="auto"/>
        <w:left w:val="none" w:sz="0" w:space="0" w:color="auto"/>
        <w:bottom w:val="none" w:sz="0" w:space="0" w:color="auto"/>
        <w:right w:val="none" w:sz="0" w:space="0" w:color="auto"/>
      </w:divBdr>
    </w:div>
    <w:div w:id="809372223">
      <w:bodyDiv w:val="1"/>
      <w:marLeft w:val="0"/>
      <w:marRight w:val="0"/>
      <w:marTop w:val="0"/>
      <w:marBottom w:val="0"/>
      <w:divBdr>
        <w:top w:val="none" w:sz="0" w:space="0" w:color="auto"/>
        <w:left w:val="none" w:sz="0" w:space="0" w:color="auto"/>
        <w:bottom w:val="none" w:sz="0" w:space="0" w:color="auto"/>
        <w:right w:val="none" w:sz="0" w:space="0" w:color="auto"/>
      </w:divBdr>
    </w:div>
    <w:div w:id="809395546">
      <w:bodyDiv w:val="1"/>
      <w:marLeft w:val="0"/>
      <w:marRight w:val="0"/>
      <w:marTop w:val="0"/>
      <w:marBottom w:val="0"/>
      <w:divBdr>
        <w:top w:val="none" w:sz="0" w:space="0" w:color="auto"/>
        <w:left w:val="none" w:sz="0" w:space="0" w:color="auto"/>
        <w:bottom w:val="none" w:sz="0" w:space="0" w:color="auto"/>
        <w:right w:val="none" w:sz="0" w:space="0" w:color="auto"/>
      </w:divBdr>
    </w:div>
    <w:div w:id="809398487">
      <w:bodyDiv w:val="1"/>
      <w:marLeft w:val="0"/>
      <w:marRight w:val="0"/>
      <w:marTop w:val="0"/>
      <w:marBottom w:val="0"/>
      <w:divBdr>
        <w:top w:val="none" w:sz="0" w:space="0" w:color="auto"/>
        <w:left w:val="none" w:sz="0" w:space="0" w:color="auto"/>
        <w:bottom w:val="none" w:sz="0" w:space="0" w:color="auto"/>
        <w:right w:val="none" w:sz="0" w:space="0" w:color="auto"/>
      </w:divBdr>
    </w:div>
    <w:div w:id="809440194">
      <w:bodyDiv w:val="1"/>
      <w:marLeft w:val="0"/>
      <w:marRight w:val="0"/>
      <w:marTop w:val="0"/>
      <w:marBottom w:val="0"/>
      <w:divBdr>
        <w:top w:val="none" w:sz="0" w:space="0" w:color="auto"/>
        <w:left w:val="none" w:sz="0" w:space="0" w:color="auto"/>
        <w:bottom w:val="none" w:sz="0" w:space="0" w:color="auto"/>
        <w:right w:val="none" w:sz="0" w:space="0" w:color="auto"/>
      </w:divBdr>
    </w:div>
    <w:div w:id="809788032">
      <w:bodyDiv w:val="1"/>
      <w:marLeft w:val="0"/>
      <w:marRight w:val="0"/>
      <w:marTop w:val="0"/>
      <w:marBottom w:val="0"/>
      <w:divBdr>
        <w:top w:val="none" w:sz="0" w:space="0" w:color="auto"/>
        <w:left w:val="none" w:sz="0" w:space="0" w:color="auto"/>
        <w:bottom w:val="none" w:sz="0" w:space="0" w:color="auto"/>
        <w:right w:val="none" w:sz="0" w:space="0" w:color="auto"/>
      </w:divBdr>
    </w:div>
    <w:div w:id="809861066">
      <w:bodyDiv w:val="1"/>
      <w:marLeft w:val="0"/>
      <w:marRight w:val="0"/>
      <w:marTop w:val="0"/>
      <w:marBottom w:val="0"/>
      <w:divBdr>
        <w:top w:val="none" w:sz="0" w:space="0" w:color="auto"/>
        <w:left w:val="none" w:sz="0" w:space="0" w:color="auto"/>
        <w:bottom w:val="none" w:sz="0" w:space="0" w:color="auto"/>
        <w:right w:val="none" w:sz="0" w:space="0" w:color="auto"/>
      </w:divBdr>
    </w:div>
    <w:div w:id="809908774">
      <w:bodyDiv w:val="1"/>
      <w:marLeft w:val="0"/>
      <w:marRight w:val="0"/>
      <w:marTop w:val="0"/>
      <w:marBottom w:val="0"/>
      <w:divBdr>
        <w:top w:val="none" w:sz="0" w:space="0" w:color="auto"/>
        <w:left w:val="none" w:sz="0" w:space="0" w:color="auto"/>
        <w:bottom w:val="none" w:sz="0" w:space="0" w:color="auto"/>
        <w:right w:val="none" w:sz="0" w:space="0" w:color="auto"/>
      </w:divBdr>
    </w:div>
    <w:div w:id="810054488">
      <w:bodyDiv w:val="1"/>
      <w:marLeft w:val="0"/>
      <w:marRight w:val="0"/>
      <w:marTop w:val="0"/>
      <w:marBottom w:val="0"/>
      <w:divBdr>
        <w:top w:val="none" w:sz="0" w:space="0" w:color="auto"/>
        <w:left w:val="none" w:sz="0" w:space="0" w:color="auto"/>
        <w:bottom w:val="none" w:sz="0" w:space="0" w:color="auto"/>
        <w:right w:val="none" w:sz="0" w:space="0" w:color="auto"/>
      </w:divBdr>
    </w:div>
    <w:div w:id="810055683">
      <w:bodyDiv w:val="1"/>
      <w:marLeft w:val="0"/>
      <w:marRight w:val="0"/>
      <w:marTop w:val="0"/>
      <w:marBottom w:val="0"/>
      <w:divBdr>
        <w:top w:val="none" w:sz="0" w:space="0" w:color="auto"/>
        <w:left w:val="none" w:sz="0" w:space="0" w:color="auto"/>
        <w:bottom w:val="none" w:sz="0" w:space="0" w:color="auto"/>
        <w:right w:val="none" w:sz="0" w:space="0" w:color="auto"/>
      </w:divBdr>
    </w:div>
    <w:div w:id="810558389">
      <w:bodyDiv w:val="1"/>
      <w:marLeft w:val="0"/>
      <w:marRight w:val="0"/>
      <w:marTop w:val="0"/>
      <w:marBottom w:val="0"/>
      <w:divBdr>
        <w:top w:val="none" w:sz="0" w:space="0" w:color="auto"/>
        <w:left w:val="none" w:sz="0" w:space="0" w:color="auto"/>
        <w:bottom w:val="none" w:sz="0" w:space="0" w:color="auto"/>
        <w:right w:val="none" w:sz="0" w:space="0" w:color="auto"/>
      </w:divBdr>
    </w:div>
    <w:div w:id="810632545">
      <w:bodyDiv w:val="1"/>
      <w:marLeft w:val="0"/>
      <w:marRight w:val="0"/>
      <w:marTop w:val="0"/>
      <w:marBottom w:val="0"/>
      <w:divBdr>
        <w:top w:val="none" w:sz="0" w:space="0" w:color="auto"/>
        <w:left w:val="none" w:sz="0" w:space="0" w:color="auto"/>
        <w:bottom w:val="none" w:sz="0" w:space="0" w:color="auto"/>
        <w:right w:val="none" w:sz="0" w:space="0" w:color="auto"/>
      </w:divBdr>
    </w:div>
    <w:div w:id="810706516">
      <w:bodyDiv w:val="1"/>
      <w:marLeft w:val="0"/>
      <w:marRight w:val="0"/>
      <w:marTop w:val="0"/>
      <w:marBottom w:val="0"/>
      <w:divBdr>
        <w:top w:val="none" w:sz="0" w:space="0" w:color="auto"/>
        <w:left w:val="none" w:sz="0" w:space="0" w:color="auto"/>
        <w:bottom w:val="none" w:sz="0" w:space="0" w:color="auto"/>
        <w:right w:val="none" w:sz="0" w:space="0" w:color="auto"/>
      </w:divBdr>
    </w:div>
    <w:div w:id="810749929">
      <w:bodyDiv w:val="1"/>
      <w:marLeft w:val="0"/>
      <w:marRight w:val="0"/>
      <w:marTop w:val="0"/>
      <w:marBottom w:val="0"/>
      <w:divBdr>
        <w:top w:val="none" w:sz="0" w:space="0" w:color="auto"/>
        <w:left w:val="none" w:sz="0" w:space="0" w:color="auto"/>
        <w:bottom w:val="none" w:sz="0" w:space="0" w:color="auto"/>
        <w:right w:val="none" w:sz="0" w:space="0" w:color="auto"/>
      </w:divBdr>
    </w:div>
    <w:div w:id="810756816">
      <w:bodyDiv w:val="1"/>
      <w:marLeft w:val="0"/>
      <w:marRight w:val="0"/>
      <w:marTop w:val="0"/>
      <w:marBottom w:val="0"/>
      <w:divBdr>
        <w:top w:val="none" w:sz="0" w:space="0" w:color="auto"/>
        <w:left w:val="none" w:sz="0" w:space="0" w:color="auto"/>
        <w:bottom w:val="none" w:sz="0" w:space="0" w:color="auto"/>
        <w:right w:val="none" w:sz="0" w:space="0" w:color="auto"/>
      </w:divBdr>
    </w:div>
    <w:div w:id="810948186">
      <w:bodyDiv w:val="1"/>
      <w:marLeft w:val="0"/>
      <w:marRight w:val="0"/>
      <w:marTop w:val="0"/>
      <w:marBottom w:val="0"/>
      <w:divBdr>
        <w:top w:val="none" w:sz="0" w:space="0" w:color="auto"/>
        <w:left w:val="none" w:sz="0" w:space="0" w:color="auto"/>
        <w:bottom w:val="none" w:sz="0" w:space="0" w:color="auto"/>
        <w:right w:val="none" w:sz="0" w:space="0" w:color="auto"/>
      </w:divBdr>
    </w:div>
    <w:div w:id="811101213">
      <w:bodyDiv w:val="1"/>
      <w:marLeft w:val="0"/>
      <w:marRight w:val="0"/>
      <w:marTop w:val="0"/>
      <w:marBottom w:val="0"/>
      <w:divBdr>
        <w:top w:val="none" w:sz="0" w:space="0" w:color="auto"/>
        <w:left w:val="none" w:sz="0" w:space="0" w:color="auto"/>
        <w:bottom w:val="none" w:sz="0" w:space="0" w:color="auto"/>
        <w:right w:val="none" w:sz="0" w:space="0" w:color="auto"/>
      </w:divBdr>
    </w:div>
    <w:div w:id="811948487">
      <w:bodyDiv w:val="1"/>
      <w:marLeft w:val="0"/>
      <w:marRight w:val="0"/>
      <w:marTop w:val="0"/>
      <w:marBottom w:val="0"/>
      <w:divBdr>
        <w:top w:val="none" w:sz="0" w:space="0" w:color="auto"/>
        <w:left w:val="none" w:sz="0" w:space="0" w:color="auto"/>
        <w:bottom w:val="none" w:sz="0" w:space="0" w:color="auto"/>
        <w:right w:val="none" w:sz="0" w:space="0" w:color="auto"/>
      </w:divBdr>
    </w:div>
    <w:div w:id="811992089">
      <w:bodyDiv w:val="1"/>
      <w:marLeft w:val="0"/>
      <w:marRight w:val="0"/>
      <w:marTop w:val="0"/>
      <w:marBottom w:val="0"/>
      <w:divBdr>
        <w:top w:val="none" w:sz="0" w:space="0" w:color="auto"/>
        <w:left w:val="none" w:sz="0" w:space="0" w:color="auto"/>
        <w:bottom w:val="none" w:sz="0" w:space="0" w:color="auto"/>
        <w:right w:val="none" w:sz="0" w:space="0" w:color="auto"/>
      </w:divBdr>
    </w:div>
    <w:div w:id="812021397">
      <w:bodyDiv w:val="1"/>
      <w:marLeft w:val="0"/>
      <w:marRight w:val="0"/>
      <w:marTop w:val="0"/>
      <w:marBottom w:val="0"/>
      <w:divBdr>
        <w:top w:val="none" w:sz="0" w:space="0" w:color="auto"/>
        <w:left w:val="none" w:sz="0" w:space="0" w:color="auto"/>
        <w:bottom w:val="none" w:sz="0" w:space="0" w:color="auto"/>
        <w:right w:val="none" w:sz="0" w:space="0" w:color="auto"/>
      </w:divBdr>
    </w:div>
    <w:div w:id="812215012">
      <w:bodyDiv w:val="1"/>
      <w:marLeft w:val="0"/>
      <w:marRight w:val="0"/>
      <w:marTop w:val="0"/>
      <w:marBottom w:val="0"/>
      <w:divBdr>
        <w:top w:val="none" w:sz="0" w:space="0" w:color="auto"/>
        <w:left w:val="none" w:sz="0" w:space="0" w:color="auto"/>
        <w:bottom w:val="none" w:sz="0" w:space="0" w:color="auto"/>
        <w:right w:val="none" w:sz="0" w:space="0" w:color="auto"/>
      </w:divBdr>
    </w:div>
    <w:div w:id="812216649">
      <w:bodyDiv w:val="1"/>
      <w:marLeft w:val="0"/>
      <w:marRight w:val="0"/>
      <w:marTop w:val="0"/>
      <w:marBottom w:val="0"/>
      <w:divBdr>
        <w:top w:val="none" w:sz="0" w:space="0" w:color="auto"/>
        <w:left w:val="none" w:sz="0" w:space="0" w:color="auto"/>
        <w:bottom w:val="none" w:sz="0" w:space="0" w:color="auto"/>
        <w:right w:val="none" w:sz="0" w:space="0" w:color="auto"/>
      </w:divBdr>
    </w:div>
    <w:div w:id="812254739">
      <w:bodyDiv w:val="1"/>
      <w:marLeft w:val="0"/>
      <w:marRight w:val="0"/>
      <w:marTop w:val="0"/>
      <w:marBottom w:val="0"/>
      <w:divBdr>
        <w:top w:val="none" w:sz="0" w:space="0" w:color="auto"/>
        <w:left w:val="none" w:sz="0" w:space="0" w:color="auto"/>
        <w:bottom w:val="none" w:sz="0" w:space="0" w:color="auto"/>
        <w:right w:val="none" w:sz="0" w:space="0" w:color="auto"/>
      </w:divBdr>
    </w:div>
    <w:div w:id="812285526">
      <w:bodyDiv w:val="1"/>
      <w:marLeft w:val="0"/>
      <w:marRight w:val="0"/>
      <w:marTop w:val="0"/>
      <w:marBottom w:val="0"/>
      <w:divBdr>
        <w:top w:val="none" w:sz="0" w:space="0" w:color="auto"/>
        <w:left w:val="none" w:sz="0" w:space="0" w:color="auto"/>
        <w:bottom w:val="none" w:sz="0" w:space="0" w:color="auto"/>
        <w:right w:val="none" w:sz="0" w:space="0" w:color="auto"/>
      </w:divBdr>
    </w:div>
    <w:div w:id="812527215">
      <w:bodyDiv w:val="1"/>
      <w:marLeft w:val="0"/>
      <w:marRight w:val="0"/>
      <w:marTop w:val="0"/>
      <w:marBottom w:val="0"/>
      <w:divBdr>
        <w:top w:val="none" w:sz="0" w:space="0" w:color="auto"/>
        <w:left w:val="none" w:sz="0" w:space="0" w:color="auto"/>
        <w:bottom w:val="none" w:sz="0" w:space="0" w:color="auto"/>
        <w:right w:val="none" w:sz="0" w:space="0" w:color="auto"/>
      </w:divBdr>
    </w:div>
    <w:div w:id="812723140">
      <w:bodyDiv w:val="1"/>
      <w:marLeft w:val="0"/>
      <w:marRight w:val="0"/>
      <w:marTop w:val="0"/>
      <w:marBottom w:val="0"/>
      <w:divBdr>
        <w:top w:val="none" w:sz="0" w:space="0" w:color="auto"/>
        <w:left w:val="none" w:sz="0" w:space="0" w:color="auto"/>
        <w:bottom w:val="none" w:sz="0" w:space="0" w:color="auto"/>
        <w:right w:val="none" w:sz="0" w:space="0" w:color="auto"/>
      </w:divBdr>
    </w:div>
    <w:div w:id="812798562">
      <w:bodyDiv w:val="1"/>
      <w:marLeft w:val="0"/>
      <w:marRight w:val="0"/>
      <w:marTop w:val="0"/>
      <w:marBottom w:val="0"/>
      <w:divBdr>
        <w:top w:val="none" w:sz="0" w:space="0" w:color="auto"/>
        <w:left w:val="none" w:sz="0" w:space="0" w:color="auto"/>
        <w:bottom w:val="none" w:sz="0" w:space="0" w:color="auto"/>
        <w:right w:val="none" w:sz="0" w:space="0" w:color="auto"/>
      </w:divBdr>
    </w:div>
    <w:div w:id="812908809">
      <w:bodyDiv w:val="1"/>
      <w:marLeft w:val="0"/>
      <w:marRight w:val="0"/>
      <w:marTop w:val="0"/>
      <w:marBottom w:val="0"/>
      <w:divBdr>
        <w:top w:val="none" w:sz="0" w:space="0" w:color="auto"/>
        <w:left w:val="none" w:sz="0" w:space="0" w:color="auto"/>
        <w:bottom w:val="none" w:sz="0" w:space="0" w:color="auto"/>
        <w:right w:val="none" w:sz="0" w:space="0" w:color="auto"/>
      </w:divBdr>
    </w:div>
    <w:div w:id="812990888">
      <w:bodyDiv w:val="1"/>
      <w:marLeft w:val="0"/>
      <w:marRight w:val="0"/>
      <w:marTop w:val="0"/>
      <w:marBottom w:val="0"/>
      <w:divBdr>
        <w:top w:val="none" w:sz="0" w:space="0" w:color="auto"/>
        <w:left w:val="none" w:sz="0" w:space="0" w:color="auto"/>
        <w:bottom w:val="none" w:sz="0" w:space="0" w:color="auto"/>
        <w:right w:val="none" w:sz="0" w:space="0" w:color="auto"/>
      </w:divBdr>
    </w:div>
    <w:div w:id="813107602">
      <w:bodyDiv w:val="1"/>
      <w:marLeft w:val="0"/>
      <w:marRight w:val="0"/>
      <w:marTop w:val="0"/>
      <w:marBottom w:val="0"/>
      <w:divBdr>
        <w:top w:val="none" w:sz="0" w:space="0" w:color="auto"/>
        <w:left w:val="none" w:sz="0" w:space="0" w:color="auto"/>
        <w:bottom w:val="none" w:sz="0" w:space="0" w:color="auto"/>
        <w:right w:val="none" w:sz="0" w:space="0" w:color="auto"/>
      </w:divBdr>
    </w:div>
    <w:div w:id="813108453">
      <w:bodyDiv w:val="1"/>
      <w:marLeft w:val="0"/>
      <w:marRight w:val="0"/>
      <w:marTop w:val="0"/>
      <w:marBottom w:val="0"/>
      <w:divBdr>
        <w:top w:val="none" w:sz="0" w:space="0" w:color="auto"/>
        <w:left w:val="none" w:sz="0" w:space="0" w:color="auto"/>
        <w:bottom w:val="none" w:sz="0" w:space="0" w:color="auto"/>
        <w:right w:val="none" w:sz="0" w:space="0" w:color="auto"/>
      </w:divBdr>
    </w:div>
    <w:div w:id="813176786">
      <w:bodyDiv w:val="1"/>
      <w:marLeft w:val="0"/>
      <w:marRight w:val="0"/>
      <w:marTop w:val="0"/>
      <w:marBottom w:val="0"/>
      <w:divBdr>
        <w:top w:val="none" w:sz="0" w:space="0" w:color="auto"/>
        <w:left w:val="none" w:sz="0" w:space="0" w:color="auto"/>
        <w:bottom w:val="none" w:sz="0" w:space="0" w:color="auto"/>
        <w:right w:val="none" w:sz="0" w:space="0" w:color="auto"/>
      </w:divBdr>
    </w:div>
    <w:div w:id="813372394">
      <w:bodyDiv w:val="1"/>
      <w:marLeft w:val="0"/>
      <w:marRight w:val="0"/>
      <w:marTop w:val="0"/>
      <w:marBottom w:val="0"/>
      <w:divBdr>
        <w:top w:val="none" w:sz="0" w:space="0" w:color="auto"/>
        <w:left w:val="none" w:sz="0" w:space="0" w:color="auto"/>
        <w:bottom w:val="none" w:sz="0" w:space="0" w:color="auto"/>
        <w:right w:val="none" w:sz="0" w:space="0" w:color="auto"/>
      </w:divBdr>
    </w:div>
    <w:div w:id="813452105">
      <w:bodyDiv w:val="1"/>
      <w:marLeft w:val="0"/>
      <w:marRight w:val="0"/>
      <w:marTop w:val="0"/>
      <w:marBottom w:val="0"/>
      <w:divBdr>
        <w:top w:val="none" w:sz="0" w:space="0" w:color="auto"/>
        <w:left w:val="none" w:sz="0" w:space="0" w:color="auto"/>
        <w:bottom w:val="none" w:sz="0" w:space="0" w:color="auto"/>
        <w:right w:val="none" w:sz="0" w:space="0" w:color="auto"/>
      </w:divBdr>
    </w:div>
    <w:div w:id="813595981">
      <w:bodyDiv w:val="1"/>
      <w:marLeft w:val="0"/>
      <w:marRight w:val="0"/>
      <w:marTop w:val="0"/>
      <w:marBottom w:val="0"/>
      <w:divBdr>
        <w:top w:val="none" w:sz="0" w:space="0" w:color="auto"/>
        <w:left w:val="none" w:sz="0" w:space="0" w:color="auto"/>
        <w:bottom w:val="none" w:sz="0" w:space="0" w:color="auto"/>
        <w:right w:val="none" w:sz="0" w:space="0" w:color="auto"/>
      </w:divBdr>
    </w:div>
    <w:div w:id="813834744">
      <w:bodyDiv w:val="1"/>
      <w:marLeft w:val="0"/>
      <w:marRight w:val="0"/>
      <w:marTop w:val="0"/>
      <w:marBottom w:val="0"/>
      <w:divBdr>
        <w:top w:val="none" w:sz="0" w:space="0" w:color="auto"/>
        <w:left w:val="none" w:sz="0" w:space="0" w:color="auto"/>
        <w:bottom w:val="none" w:sz="0" w:space="0" w:color="auto"/>
        <w:right w:val="none" w:sz="0" w:space="0" w:color="auto"/>
      </w:divBdr>
    </w:div>
    <w:div w:id="813909280">
      <w:bodyDiv w:val="1"/>
      <w:marLeft w:val="0"/>
      <w:marRight w:val="0"/>
      <w:marTop w:val="0"/>
      <w:marBottom w:val="0"/>
      <w:divBdr>
        <w:top w:val="none" w:sz="0" w:space="0" w:color="auto"/>
        <w:left w:val="none" w:sz="0" w:space="0" w:color="auto"/>
        <w:bottom w:val="none" w:sz="0" w:space="0" w:color="auto"/>
        <w:right w:val="none" w:sz="0" w:space="0" w:color="auto"/>
      </w:divBdr>
    </w:div>
    <w:div w:id="813911433">
      <w:bodyDiv w:val="1"/>
      <w:marLeft w:val="0"/>
      <w:marRight w:val="0"/>
      <w:marTop w:val="0"/>
      <w:marBottom w:val="0"/>
      <w:divBdr>
        <w:top w:val="none" w:sz="0" w:space="0" w:color="auto"/>
        <w:left w:val="none" w:sz="0" w:space="0" w:color="auto"/>
        <w:bottom w:val="none" w:sz="0" w:space="0" w:color="auto"/>
        <w:right w:val="none" w:sz="0" w:space="0" w:color="auto"/>
      </w:divBdr>
    </w:div>
    <w:div w:id="813958870">
      <w:bodyDiv w:val="1"/>
      <w:marLeft w:val="0"/>
      <w:marRight w:val="0"/>
      <w:marTop w:val="0"/>
      <w:marBottom w:val="0"/>
      <w:divBdr>
        <w:top w:val="none" w:sz="0" w:space="0" w:color="auto"/>
        <w:left w:val="none" w:sz="0" w:space="0" w:color="auto"/>
        <w:bottom w:val="none" w:sz="0" w:space="0" w:color="auto"/>
        <w:right w:val="none" w:sz="0" w:space="0" w:color="auto"/>
      </w:divBdr>
    </w:div>
    <w:div w:id="814029472">
      <w:bodyDiv w:val="1"/>
      <w:marLeft w:val="0"/>
      <w:marRight w:val="0"/>
      <w:marTop w:val="0"/>
      <w:marBottom w:val="0"/>
      <w:divBdr>
        <w:top w:val="none" w:sz="0" w:space="0" w:color="auto"/>
        <w:left w:val="none" w:sz="0" w:space="0" w:color="auto"/>
        <w:bottom w:val="none" w:sz="0" w:space="0" w:color="auto"/>
        <w:right w:val="none" w:sz="0" w:space="0" w:color="auto"/>
      </w:divBdr>
    </w:div>
    <w:div w:id="814102339">
      <w:bodyDiv w:val="1"/>
      <w:marLeft w:val="0"/>
      <w:marRight w:val="0"/>
      <w:marTop w:val="0"/>
      <w:marBottom w:val="0"/>
      <w:divBdr>
        <w:top w:val="none" w:sz="0" w:space="0" w:color="auto"/>
        <w:left w:val="none" w:sz="0" w:space="0" w:color="auto"/>
        <w:bottom w:val="none" w:sz="0" w:space="0" w:color="auto"/>
        <w:right w:val="none" w:sz="0" w:space="0" w:color="auto"/>
      </w:divBdr>
    </w:div>
    <w:div w:id="814294774">
      <w:bodyDiv w:val="1"/>
      <w:marLeft w:val="0"/>
      <w:marRight w:val="0"/>
      <w:marTop w:val="0"/>
      <w:marBottom w:val="0"/>
      <w:divBdr>
        <w:top w:val="none" w:sz="0" w:space="0" w:color="auto"/>
        <w:left w:val="none" w:sz="0" w:space="0" w:color="auto"/>
        <w:bottom w:val="none" w:sz="0" w:space="0" w:color="auto"/>
        <w:right w:val="none" w:sz="0" w:space="0" w:color="auto"/>
      </w:divBdr>
    </w:div>
    <w:div w:id="814296254">
      <w:bodyDiv w:val="1"/>
      <w:marLeft w:val="0"/>
      <w:marRight w:val="0"/>
      <w:marTop w:val="0"/>
      <w:marBottom w:val="0"/>
      <w:divBdr>
        <w:top w:val="none" w:sz="0" w:space="0" w:color="auto"/>
        <w:left w:val="none" w:sz="0" w:space="0" w:color="auto"/>
        <w:bottom w:val="none" w:sz="0" w:space="0" w:color="auto"/>
        <w:right w:val="none" w:sz="0" w:space="0" w:color="auto"/>
      </w:divBdr>
    </w:div>
    <w:div w:id="814488290">
      <w:bodyDiv w:val="1"/>
      <w:marLeft w:val="0"/>
      <w:marRight w:val="0"/>
      <w:marTop w:val="0"/>
      <w:marBottom w:val="0"/>
      <w:divBdr>
        <w:top w:val="none" w:sz="0" w:space="0" w:color="auto"/>
        <w:left w:val="none" w:sz="0" w:space="0" w:color="auto"/>
        <w:bottom w:val="none" w:sz="0" w:space="0" w:color="auto"/>
        <w:right w:val="none" w:sz="0" w:space="0" w:color="auto"/>
      </w:divBdr>
    </w:div>
    <w:div w:id="814565057">
      <w:bodyDiv w:val="1"/>
      <w:marLeft w:val="0"/>
      <w:marRight w:val="0"/>
      <w:marTop w:val="0"/>
      <w:marBottom w:val="0"/>
      <w:divBdr>
        <w:top w:val="none" w:sz="0" w:space="0" w:color="auto"/>
        <w:left w:val="none" w:sz="0" w:space="0" w:color="auto"/>
        <w:bottom w:val="none" w:sz="0" w:space="0" w:color="auto"/>
        <w:right w:val="none" w:sz="0" w:space="0" w:color="auto"/>
      </w:divBdr>
    </w:div>
    <w:div w:id="814613026">
      <w:bodyDiv w:val="1"/>
      <w:marLeft w:val="0"/>
      <w:marRight w:val="0"/>
      <w:marTop w:val="0"/>
      <w:marBottom w:val="0"/>
      <w:divBdr>
        <w:top w:val="none" w:sz="0" w:space="0" w:color="auto"/>
        <w:left w:val="none" w:sz="0" w:space="0" w:color="auto"/>
        <w:bottom w:val="none" w:sz="0" w:space="0" w:color="auto"/>
        <w:right w:val="none" w:sz="0" w:space="0" w:color="auto"/>
      </w:divBdr>
    </w:div>
    <w:div w:id="814639295">
      <w:bodyDiv w:val="1"/>
      <w:marLeft w:val="0"/>
      <w:marRight w:val="0"/>
      <w:marTop w:val="0"/>
      <w:marBottom w:val="0"/>
      <w:divBdr>
        <w:top w:val="none" w:sz="0" w:space="0" w:color="auto"/>
        <w:left w:val="none" w:sz="0" w:space="0" w:color="auto"/>
        <w:bottom w:val="none" w:sz="0" w:space="0" w:color="auto"/>
        <w:right w:val="none" w:sz="0" w:space="0" w:color="auto"/>
      </w:divBdr>
    </w:div>
    <w:div w:id="814640063">
      <w:bodyDiv w:val="1"/>
      <w:marLeft w:val="0"/>
      <w:marRight w:val="0"/>
      <w:marTop w:val="0"/>
      <w:marBottom w:val="0"/>
      <w:divBdr>
        <w:top w:val="none" w:sz="0" w:space="0" w:color="auto"/>
        <w:left w:val="none" w:sz="0" w:space="0" w:color="auto"/>
        <w:bottom w:val="none" w:sz="0" w:space="0" w:color="auto"/>
        <w:right w:val="none" w:sz="0" w:space="0" w:color="auto"/>
      </w:divBdr>
    </w:div>
    <w:div w:id="814831477">
      <w:bodyDiv w:val="1"/>
      <w:marLeft w:val="0"/>
      <w:marRight w:val="0"/>
      <w:marTop w:val="0"/>
      <w:marBottom w:val="0"/>
      <w:divBdr>
        <w:top w:val="none" w:sz="0" w:space="0" w:color="auto"/>
        <w:left w:val="none" w:sz="0" w:space="0" w:color="auto"/>
        <w:bottom w:val="none" w:sz="0" w:space="0" w:color="auto"/>
        <w:right w:val="none" w:sz="0" w:space="0" w:color="auto"/>
      </w:divBdr>
    </w:div>
    <w:div w:id="814876357">
      <w:bodyDiv w:val="1"/>
      <w:marLeft w:val="0"/>
      <w:marRight w:val="0"/>
      <w:marTop w:val="0"/>
      <w:marBottom w:val="0"/>
      <w:divBdr>
        <w:top w:val="none" w:sz="0" w:space="0" w:color="auto"/>
        <w:left w:val="none" w:sz="0" w:space="0" w:color="auto"/>
        <w:bottom w:val="none" w:sz="0" w:space="0" w:color="auto"/>
        <w:right w:val="none" w:sz="0" w:space="0" w:color="auto"/>
      </w:divBdr>
    </w:div>
    <w:div w:id="815026725">
      <w:bodyDiv w:val="1"/>
      <w:marLeft w:val="0"/>
      <w:marRight w:val="0"/>
      <w:marTop w:val="0"/>
      <w:marBottom w:val="0"/>
      <w:divBdr>
        <w:top w:val="none" w:sz="0" w:space="0" w:color="auto"/>
        <w:left w:val="none" w:sz="0" w:space="0" w:color="auto"/>
        <w:bottom w:val="none" w:sz="0" w:space="0" w:color="auto"/>
        <w:right w:val="none" w:sz="0" w:space="0" w:color="auto"/>
      </w:divBdr>
    </w:div>
    <w:div w:id="815101688">
      <w:bodyDiv w:val="1"/>
      <w:marLeft w:val="0"/>
      <w:marRight w:val="0"/>
      <w:marTop w:val="0"/>
      <w:marBottom w:val="0"/>
      <w:divBdr>
        <w:top w:val="none" w:sz="0" w:space="0" w:color="auto"/>
        <w:left w:val="none" w:sz="0" w:space="0" w:color="auto"/>
        <w:bottom w:val="none" w:sz="0" w:space="0" w:color="auto"/>
        <w:right w:val="none" w:sz="0" w:space="0" w:color="auto"/>
      </w:divBdr>
    </w:div>
    <w:div w:id="815217645">
      <w:bodyDiv w:val="1"/>
      <w:marLeft w:val="0"/>
      <w:marRight w:val="0"/>
      <w:marTop w:val="0"/>
      <w:marBottom w:val="0"/>
      <w:divBdr>
        <w:top w:val="none" w:sz="0" w:space="0" w:color="auto"/>
        <w:left w:val="none" w:sz="0" w:space="0" w:color="auto"/>
        <w:bottom w:val="none" w:sz="0" w:space="0" w:color="auto"/>
        <w:right w:val="none" w:sz="0" w:space="0" w:color="auto"/>
      </w:divBdr>
    </w:div>
    <w:div w:id="815222893">
      <w:bodyDiv w:val="1"/>
      <w:marLeft w:val="0"/>
      <w:marRight w:val="0"/>
      <w:marTop w:val="0"/>
      <w:marBottom w:val="0"/>
      <w:divBdr>
        <w:top w:val="none" w:sz="0" w:space="0" w:color="auto"/>
        <w:left w:val="none" w:sz="0" w:space="0" w:color="auto"/>
        <w:bottom w:val="none" w:sz="0" w:space="0" w:color="auto"/>
        <w:right w:val="none" w:sz="0" w:space="0" w:color="auto"/>
      </w:divBdr>
    </w:div>
    <w:div w:id="815726767">
      <w:bodyDiv w:val="1"/>
      <w:marLeft w:val="0"/>
      <w:marRight w:val="0"/>
      <w:marTop w:val="0"/>
      <w:marBottom w:val="0"/>
      <w:divBdr>
        <w:top w:val="none" w:sz="0" w:space="0" w:color="auto"/>
        <w:left w:val="none" w:sz="0" w:space="0" w:color="auto"/>
        <w:bottom w:val="none" w:sz="0" w:space="0" w:color="auto"/>
        <w:right w:val="none" w:sz="0" w:space="0" w:color="auto"/>
      </w:divBdr>
    </w:div>
    <w:div w:id="815799488">
      <w:bodyDiv w:val="1"/>
      <w:marLeft w:val="0"/>
      <w:marRight w:val="0"/>
      <w:marTop w:val="0"/>
      <w:marBottom w:val="0"/>
      <w:divBdr>
        <w:top w:val="none" w:sz="0" w:space="0" w:color="auto"/>
        <w:left w:val="none" w:sz="0" w:space="0" w:color="auto"/>
        <w:bottom w:val="none" w:sz="0" w:space="0" w:color="auto"/>
        <w:right w:val="none" w:sz="0" w:space="0" w:color="auto"/>
      </w:divBdr>
    </w:div>
    <w:div w:id="815923769">
      <w:bodyDiv w:val="1"/>
      <w:marLeft w:val="0"/>
      <w:marRight w:val="0"/>
      <w:marTop w:val="0"/>
      <w:marBottom w:val="0"/>
      <w:divBdr>
        <w:top w:val="none" w:sz="0" w:space="0" w:color="auto"/>
        <w:left w:val="none" w:sz="0" w:space="0" w:color="auto"/>
        <w:bottom w:val="none" w:sz="0" w:space="0" w:color="auto"/>
        <w:right w:val="none" w:sz="0" w:space="0" w:color="auto"/>
      </w:divBdr>
    </w:div>
    <w:div w:id="815949205">
      <w:bodyDiv w:val="1"/>
      <w:marLeft w:val="0"/>
      <w:marRight w:val="0"/>
      <w:marTop w:val="0"/>
      <w:marBottom w:val="0"/>
      <w:divBdr>
        <w:top w:val="none" w:sz="0" w:space="0" w:color="auto"/>
        <w:left w:val="none" w:sz="0" w:space="0" w:color="auto"/>
        <w:bottom w:val="none" w:sz="0" w:space="0" w:color="auto"/>
        <w:right w:val="none" w:sz="0" w:space="0" w:color="auto"/>
      </w:divBdr>
    </w:div>
    <w:div w:id="816072116">
      <w:bodyDiv w:val="1"/>
      <w:marLeft w:val="0"/>
      <w:marRight w:val="0"/>
      <w:marTop w:val="0"/>
      <w:marBottom w:val="0"/>
      <w:divBdr>
        <w:top w:val="none" w:sz="0" w:space="0" w:color="auto"/>
        <w:left w:val="none" w:sz="0" w:space="0" w:color="auto"/>
        <w:bottom w:val="none" w:sz="0" w:space="0" w:color="auto"/>
        <w:right w:val="none" w:sz="0" w:space="0" w:color="auto"/>
      </w:divBdr>
    </w:div>
    <w:div w:id="816145900">
      <w:bodyDiv w:val="1"/>
      <w:marLeft w:val="0"/>
      <w:marRight w:val="0"/>
      <w:marTop w:val="0"/>
      <w:marBottom w:val="0"/>
      <w:divBdr>
        <w:top w:val="none" w:sz="0" w:space="0" w:color="auto"/>
        <w:left w:val="none" w:sz="0" w:space="0" w:color="auto"/>
        <w:bottom w:val="none" w:sz="0" w:space="0" w:color="auto"/>
        <w:right w:val="none" w:sz="0" w:space="0" w:color="auto"/>
      </w:divBdr>
    </w:div>
    <w:div w:id="816185852">
      <w:bodyDiv w:val="1"/>
      <w:marLeft w:val="0"/>
      <w:marRight w:val="0"/>
      <w:marTop w:val="0"/>
      <w:marBottom w:val="0"/>
      <w:divBdr>
        <w:top w:val="none" w:sz="0" w:space="0" w:color="auto"/>
        <w:left w:val="none" w:sz="0" w:space="0" w:color="auto"/>
        <w:bottom w:val="none" w:sz="0" w:space="0" w:color="auto"/>
        <w:right w:val="none" w:sz="0" w:space="0" w:color="auto"/>
      </w:divBdr>
    </w:div>
    <w:div w:id="816335884">
      <w:bodyDiv w:val="1"/>
      <w:marLeft w:val="0"/>
      <w:marRight w:val="0"/>
      <w:marTop w:val="0"/>
      <w:marBottom w:val="0"/>
      <w:divBdr>
        <w:top w:val="none" w:sz="0" w:space="0" w:color="auto"/>
        <w:left w:val="none" w:sz="0" w:space="0" w:color="auto"/>
        <w:bottom w:val="none" w:sz="0" w:space="0" w:color="auto"/>
        <w:right w:val="none" w:sz="0" w:space="0" w:color="auto"/>
      </w:divBdr>
    </w:div>
    <w:div w:id="816337689">
      <w:bodyDiv w:val="1"/>
      <w:marLeft w:val="0"/>
      <w:marRight w:val="0"/>
      <w:marTop w:val="0"/>
      <w:marBottom w:val="0"/>
      <w:divBdr>
        <w:top w:val="none" w:sz="0" w:space="0" w:color="auto"/>
        <w:left w:val="none" w:sz="0" w:space="0" w:color="auto"/>
        <w:bottom w:val="none" w:sz="0" w:space="0" w:color="auto"/>
        <w:right w:val="none" w:sz="0" w:space="0" w:color="auto"/>
      </w:divBdr>
    </w:div>
    <w:div w:id="816453264">
      <w:bodyDiv w:val="1"/>
      <w:marLeft w:val="0"/>
      <w:marRight w:val="0"/>
      <w:marTop w:val="0"/>
      <w:marBottom w:val="0"/>
      <w:divBdr>
        <w:top w:val="none" w:sz="0" w:space="0" w:color="auto"/>
        <w:left w:val="none" w:sz="0" w:space="0" w:color="auto"/>
        <w:bottom w:val="none" w:sz="0" w:space="0" w:color="auto"/>
        <w:right w:val="none" w:sz="0" w:space="0" w:color="auto"/>
      </w:divBdr>
    </w:div>
    <w:div w:id="816607868">
      <w:bodyDiv w:val="1"/>
      <w:marLeft w:val="0"/>
      <w:marRight w:val="0"/>
      <w:marTop w:val="0"/>
      <w:marBottom w:val="0"/>
      <w:divBdr>
        <w:top w:val="none" w:sz="0" w:space="0" w:color="auto"/>
        <w:left w:val="none" w:sz="0" w:space="0" w:color="auto"/>
        <w:bottom w:val="none" w:sz="0" w:space="0" w:color="auto"/>
        <w:right w:val="none" w:sz="0" w:space="0" w:color="auto"/>
      </w:divBdr>
    </w:div>
    <w:div w:id="816608925">
      <w:bodyDiv w:val="1"/>
      <w:marLeft w:val="0"/>
      <w:marRight w:val="0"/>
      <w:marTop w:val="0"/>
      <w:marBottom w:val="0"/>
      <w:divBdr>
        <w:top w:val="none" w:sz="0" w:space="0" w:color="auto"/>
        <w:left w:val="none" w:sz="0" w:space="0" w:color="auto"/>
        <w:bottom w:val="none" w:sz="0" w:space="0" w:color="auto"/>
        <w:right w:val="none" w:sz="0" w:space="0" w:color="auto"/>
      </w:divBdr>
    </w:div>
    <w:div w:id="816802901">
      <w:bodyDiv w:val="1"/>
      <w:marLeft w:val="0"/>
      <w:marRight w:val="0"/>
      <w:marTop w:val="0"/>
      <w:marBottom w:val="0"/>
      <w:divBdr>
        <w:top w:val="none" w:sz="0" w:space="0" w:color="auto"/>
        <w:left w:val="none" w:sz="0" w:space="0" w:color="auto"/>
        <w:bottom w:val="none" w:sz="0" w:space="0" w:color="auto"/>
        <w:right w:val="none" w:sz="0" w:space="0" w:color="auto"/>
      </w:divBdr>
    </w:div>
    <w:div w:id="816846035">
      <w:bodyDiv w:val="1"/>
      <w:marLeft w:val="0"/>
      <w:marRight w:val="0"/>
      <w:marTop w:val="0"/>
      <w:marBottom w:val="0"/>
      <w:divBdr>
        <w:top w:val="none" w:sz="0" w:space="0" w:color="auto"/>
        <w:left w:val="none" w:sz="0" w:space="0" w:color="auto"/>
        <w:bottom w:val="none" w:sz="0" w:space="0" w:color="auto"/>
        <w:right w:val="none" w:sz="0" w:space="0" w:color="auto"/>
      </w:divBdr>
    </w:div>
    <w:div w:id="816871988">
      <w:bodyDiv w:val="1"/>
      <w:marLeft w:val="0"/>
      <w:marRight w:val="0"/>
      <w:marTop w:val="0"/>
      <w:marBottom w:val="0"/>
      <w:divBdr>
        <w:top w:val="none" w:sz="0" w:space="0" w:color="auto"/>
        <w:left w:val="none" w:sz="0" w:space="0" w:color="auto"/>
        <w:bottom w:val="none" w:sz="0" w:space="0" w:color="auto"/>
        <w:right w:val="none" w:sz="0" w:space="0" w:color="auto"/>
      </w:divBdr>
    </w:div>
    <w:div w:id="816923450">
      <w:bodyDiv w:val="1"/>
      <w:marLeft w:val="0"/>
      <w:marRight w:val="0"/>
      <w:marTop w:val="0"/>
      <w:marBottom w:val="0"/>
      <w:divBdr>
        <w:top w:val="none" w:sz="0" w:space="0" w:color="auto"/>
        <w:left w:val="none" w:sz="0" w:space="0" w:color="auto"/>
        <w:bottom w:val="none" w:sz="0" w:space="0" w:color="auto"/>
        <w:right w:val="none" w:sz="0" w:space="0" w:color="auto"/>
      </w:divBdr>
    </w:div>
    <w:div w:id="816992355">
      <w:bodyDiv w:val="1"/>
      <w:marLeft w:val="0"/>
      <w:marRight w:val="0"/>
      <w:marTop w:val="0"/>
      <w:marBottom w:val="0"/>
      <w:divBdr>
        <w:top w:val="none" w:sz="0" w:space="0" w:color="auto"/>
        <w:left w:val="none" w:sz="0" w:space="0" w:color="auto"/>
        <w:bottom w:val="none" w:sz="0" w:space="0" w:color="auto"/>
        <w:right w:val="none" w:sz="0" w:space="0" w:color="auto"/>
      </w:divBdr>
    </w:div>
    <w:div w:id="817265202">
      <w:bodyDiv w:val="1"/>
      <w:marLeft w:val="0"/>
      <w:marRight w:val="0"/>
      <w:marTop w:val="0"/>
      <w:marBottom w:val="0"/>
      <w:divBdr>
        <w:top w:val="none" w:sz="0" w:space="0" w:color="auto"/>
        <w:left w:val="none" w:sz="0" w:space="0" w:color="auto"/>
        <w:bottom w:val="none" w:sz="0" w:space="0" w:color="auto"/>
        <w:right w:val="none" w:sz="0" w:space="0" w:color="auto"/>
      </w:divBdr>
    </w:div>
    <w:div w:id="817309907">
      <w:bodyDiv w:val="1"/>
      <w:marLeft w:val="0"/>
      <w:marRight w:val="0"/>
      <w:marTop w:val="0"/>
      <w:marBottom w:val="0"/>
      <w:divBdr>
        <w:top w:val="none" w:sz="0" w:space="0" w:color="auto"/>
        <w:left w:val="none" w:sz="0" w:space="0" w:color="auto"/>
        <w:bottom w:val="none" w:sz="0" w:space="0" w:color="auto"/>
        <w:right w:val="none" w:sz="0" w:space="0" w:color="auto"/>
      </w:divBdr>
    </w:div>
    <w:div w:id="817693087">
      <w:bodyDiv w:val="1"/>
      <w:marLeft w:val="0"/>
      <w:marRight w:val="0"/>
      <w:marTop w:val="0"/>
      <w:marBottom w:val="0"/>
      <w:divBdr>
        <w:top w:val="none" w:sz="0" w:space="0" w:color="auto"/>
        <w:left w:val="none" w:sz="0" w:space="0" w:color="auto"/>
        <w:bottom w:val="none" w:sz="0" w:space="0" w:color="auto"/>
        <w:right w:val="none" w:sz="0" w:space="0" w:color="auto"/>
      </w:divBdr>
    </w:div>
    <w:div w:id="817695632">
      <w:bodyDiv w:val="1"/>
      <w:marLeft w:val="0"/>
      <w:marRight w:val="0"/>
      <w:marTop w:val="0"/>
      <w:marBottom w:val="0"/>
      <w:divBdr>
        <w:top w:val="none" w:sz="0" w:space="0" w:color="auto"/>
        <w:left w:val="none" w:sz="0" w:space="0" w:color="auto"/>
        <w:bottom w:val="none" w:sz="0" w:space="0" w:color="auto"/>
        <w:right w:val="none" w:sz="0" w:space="0" w:color="auto"/>
      </w:divBdr>
    </w:div>
    <w:div w:id="817724793">
      <w:bodyDiv w:val="1"/>
      <w:marLeft w:val="0"/>
      <w:marRight w:val="0"/>
      <w:marTop w:val="0"/>
      <w:marBottom w:val="0"/>
      <w:divBdr>
        <w:top w:val="none" w:sz="0" w:space="0" w:color="auto"/>
        <w:left w:val="none" w:sz="0" w:space="0" w:color="auto"/>
        <w:bottom w:val="none" w:sz="0" w:space="0" w:color="auto"/>
        <w:right w:val="none" w:sz="0" w:space="0" w:color="auto"/>
      </w:divBdr>
    </w:div>
    <w:div w:id="817771731">
      <w:bodyDiv w:val="1"/>
      <w:marLeft w:val="0"/>
      <w:marRight w:val="0"/>
      <w:marTop w:val="0"/>
      <w:marBottom w:val="0"/>
      <w:divBdr>
        <w:top w:val="none" w:sz="0" w:space="0" w:color="auto"/>
        <w:left w:val="none" w:sz="0" w:space="0" w:color="auto"/>
        <w:bottom w:val="none" w:sz="0" w:space="0" w:color="auto"/>
        <w:right w:val="none" w:sz="0" w:space="0" w:color="auto"/>
      </w:divBdr>
    </w:div>
    <w:div w:id="817838679">
      <w:bodyDiv w:val="1"/>
      <w:marLeft w:val="0"/>
      <w:marRight w:val="0"/>
      <w:marTop w:val="0"/>
      <w:marBottom w:val="0"/>
      <w:divBdr>
        <w:top w:val="none" w:sz="0" w:space="0" w:color="auto"/>
        <w:left w:val="none" w:sz="0" w:space="0" w:color="auto"/>
        <w:bottom w:val="none" w:sz="0" w:space="0" w:color="auto"/>
        <w:right w:val="none" w:sz="0" w:space="0" w:color="auto"/>
      </w:divBdr>
    </w:div>
    <w:div w:id="817915425">
      <w:bodyDiv w:val="1"/>
      <w:marLeft w:val="0"/>
      <w:marRight w:val="0"/>
      <w:marTop w:val="0"/>
      <w:marBottom w:val="0"/>
      <w:divBdr>
        <w:top w:val="none" w:sz="0" w:space="0" w:color="auto"/>
        <w:left w:val="none" w:sz="0" w:space="0" w:color="auto"/>
        <w:bottom w:val="none" w:sz="0" w:space="0" w:color="auto"/>
        <w:right w:val="none" w:sz="0" w:space="0" w:color="auto"/>
      </w:divBdr>
    </w:div>
    <w:div w:id="817963547">
      <w:bodyDiv w:val="1"/>
      <w:marLeft w:val="0"/>
      <w:marRight w:val="0"/>
      <w:marTop w:val="0"/>
      <w:marBottom w:val="0"/>
      <w:divBdr>
        <w:top w:val="none" w:sz="0" w:space="0" w:color="auto"/>
        <w:left w:val="none" w:sz="0" w:space="0" w:color="auto"/>
        <w:bottom w:val="none" w:sz="0" w:space="0" w:color="auto"/>
        <w:right w:val="none" w:sz="0" w:space="0" w:color="auto"/>
      </w:divBdr>
    </w:div>
    <w:div w:id="818108241">
      <w:bodyDiv w:val="1"/>
      <w:marLeft w:val="0"/>
      <w:marRight w:val="0"/>
      <w:marTop w:val="0"/>
      <w:marBottom w:val="0"/>
      <w:divBdr>
        <w:top w:val="none" w:sz="0" w:space="0" w:color="auto"/>
        <w:left w:val="none" w:sz="0" w:space="0" w:color="auto"/>
        <w:bottom w:val="none" w:sz="0" w:space="0" w:color="auto"/>
        <w:right w:val="none" w:sz="0" w:space="0" w:color="auto"/>
      </w:divBdr>
    </w:div>
    <w:div w:id="818152854">
      <w:bodyDiv w:val="1"/>
      <w:marLeft w:val="0"/>
      <w:marRight w:val="0"/>
      <w:marTop w:val="0"/>
      <w:marBottom w:val="0"/>
      <w:divBdr>
        <w:top w:val="none" w:sz="0" w:space="0" w:color="auto"/>
        <w:left w:val="none" w:sz="0" w:space="0" w:color="auto"/>
        <w:bottom w:val="none" w:sz="0" w:space="0" w:color="auto"/>
        <w:right w:val="none" w:sz="0" w:space="0" w:color="auto"/>
      </w:divBdr>
    </w:div>
    <w:div w:id="818155298">
      <w:bodyDiv w:val="1"/>
      <w:marLeft w:val="0"/>
      <w:marRight w:val="0"/>
      <w:marTop w:val="0"/>
      <w:marBottom w:val="0"/>
      <w:divBdr>
        <w:top w:val="none" w:sz="0" w:space="0" w:color="auto"/>
        <w:left w:val="none" w:sz="0" w:space="0" w:color="auto"/>
        <w:bottom w:val="none" w:sz="0" w:space="0" w:color="auto"/>
        <w:right w:val="none" w:sz="0" w:space="0" w:color="auto"/>
      </w:divBdr>
    </w:div>
    <w:div w:id="818159088">
      <w:bodyDiv w:val="1"/>
      <w:marLeft w:val="0"/>
      <w:marRight w:val="0"/>
      <w:marTop w:val="0"/>
      <w:marBottom w:val="0"/>
      <w:divBdr>
        <w:top w:val="none" w:sz="0" w:space="0" w:color="auto"/>
        <w:left w:val="none" w:sz="0" w:space="0" w:color="auto"/>
        <w:bottom w:val="none" w:sz="0" w:space="0" w:color="auto"/>
        <w:right w:val="none" w:sz="0" w:space="0" w:color="auto"/>
      </w:divBdr>
    </w:div>
    <w:div w:id="818419595">
      <w:bodyDiv w:val="1"/>
      <w:marLeft w:val="0"/>
      <w:marRight w:val="0"/>
      <w:marTop w:val="0"/>
      <w:marBottom w:val="0"/>
      <w:divBdr>
        <w:top w:val="none" w:sz="0" w:space="0" w:color="auto"/>
        <w:left w:val="none" w:sz="0" w:space="0" w:color="auto"/>
        <w:bottom w:val="none" w:sz="0" w:space="0" w:color="auto"/>
        <w:right w:val="none" w:sz="0" w:space="0" w:color="auto"/>
      </w:divBdr>
    </w:div>
    <w:div w:id="818612983">
      <w:bodyDiv w:val="1"/>
      <w:marLeft w:val="0"/>
      <w:marRight w:val="0"/>
      <w:marTop w:val="0"/>
      <w:marBottom w:val="0"/>
      <w:divBdr>
        <w:top w:val="none" w:sz="0" w:space="0" w:color="auto"/>
        <w:left w:val="none" w:sz="0" w:space="0" w:color="auto"/>
        <w:bottom w:val="none" w:sz="0" w:space="0" w:color="auto"/>
        <w:right w:val="none" w:sz="0" w:space="0" w:color="auto"/>
      </w:divBdr>
    </w:div>
    <w:div w:id="818838650">
      <w:bodyDiv w:val="1"/>
      <w:marLeft w:val="0"/>
      <w:marRight w:val="0"/>
      <w:marTop w:val="0"/>
      <w:marBottom w:val="0"/>
      <w:divBdr>
        <w:top w:val="none" w:sz="0" w:space="0" w:color="auto"/>
        <w:left w:val="none" w:sz="0" w:space="0" w:color="auto"/>
        <w:bottom w:val="none" w:sz="0" w:space="0" w:color="auto"/>
        <w:right w:val="none" w:sz="0" w:space="0" w:color="auto"/>
      </w:divBdr>
    </w:div>
    <w:div w:id="818956411">
      <w:bodyDiv w:val="1"/>
      <w:marLeft w:val="0"/>
      <w:marRight w:val="0"/>
      <w:marTop w:val="0"/>
      <w:marBottom w:val="0"/>
      <w:divBdr>
        <w:top w:val="none" w:sz="0" w:space="0" w:color="auto"/>
        <w:left w:val="none" w:sz="0" w:space="0" w:color="auto"/>
        <w:bottom w:val="none" w:sz="0" w:space="0" w:color="auto"/>
        <w:right w:val="none" w:sz="0" w:space="0" w:color="auto"/>
      </w:divBdr>
    </w:div>
    <w:div w:id="819074618">
      <w:bodyDiv w:val="1"/>
      <w:marLeft w:val="0"/>
      <w:marRight w:val="0"/>
      <w:marTop w:val="0"/>
      <w:marBottom w:val="0"/>
      <w:divBdr>
        <w:top w:val="none" w:sz="0" w:space="0" w:color="auto"/>
        <w:left w:val="none" w:sz="0" w:space="0" w:color="auto"/>
        <w:bottom w:val="none" w:sz="0" w:space="0" w:color="auto"/>
        <w:right w:val="none" w:sz="0" w:space="0" w:color="auto"/>
      </w:divBdr>
    </w:div>
    <w:div w:id="819224396">
      <w:bodyDiv w:val="1"/>
      <w:marLeft w:val="0"/>
      <w:marRight w:val="0"/>
      <w:marTop w:val="0"/>
      <w:marBottom w:val="0"/>
      <w:divBdr>
        <w:top w:val="none" w:sz="0" w:space="0" w:color="auto"/>
        <w:left w:val="none" w:sz="0" w:space="0" w:color="auto"/>
        <w:bottom w:val="none" w:sz="0" w:space="0" w:color="auto"/>
        <w:right w:val="none" w:sz="0" w:space="0" w:color="auto"/>
      </w:divBdr>
    </w:div>
    <w:div w:id="819269047">
      <w:bodyDiv w:val="1"/>
      <w:marLeft w:val="0"/>
      <w:marRight w:val="0"/>
      <w:marTop w:val="0"/>
      <w:marBottom w:val="0"/>
      <w:divBdr>
        <w:top w:val="none" w:sz="0" w:space="0" w:color="auto"/>
        <w:left w:val="none" w:sz="0" w:space="0" w:color="auto"/>
        <w:bottom w:val="none" w:sz="0" w:space="0" w:color="auto"/>
        <w:right w:val="none" w:sz="0" w:space="0" w:color="auto"/>
      </w:divBdr>
    </w:div>
    <w:div w:id="819344682">
      <w:bodyDiv w:val="1"/>
      <w:marLeft w:val="0"/>
      <w:marRight w:val="0"/>
      <w:marTop w:val="0"/>
      <w:marBottom w:val="0"/>
      <w:divBdr>
        <w:top w:val="none" w:sz="0" w:space="0" w:color="auto"/>
        <w:left w:val="none" w:sz="0" w:space="0" w:color="auto"/>
        <w:bottom w:val="none" w:sz="0" w:space="0" w:color="auto"/>
        <w:right w:val="none" w:sz="0" w:space="0" w:color="auto"/>
      </w:divBdr>
    </w:div>
    <w:div w:id="819418597">
      <w:bodyDiv w:val="1"/>
      <w:marLeft w:val="0"/>
      <w:marRight w:val="0"/>
      <w:marTop w:val="0"/>
      <w:marBottom w:val="0"/>
      <w:divBdr>
        <w:top w:val="none" w:sz="0" w:space="0" w:color="auto"/>
        <w:left w:val="none" w:sz="0" w:space="0" w:color="auto"/>
        <w:bottom w:val="none" w:sz="0" w:space="0" w:color="auto"/>
        <w:right w:val="none" w:sz="0" w:space="0" w:color="auto"/>
      </w:divBdr>
    </w:div>
    <w:div w:id="819811753">
      <w:bodyDiv w:val="1"/>
      <w:marLeft w:val="0"/>
      <w:marRight w:val="0"/>
      <w:marTop w:val="0"/>
      <w:marBottom w:val="0"/>
      <w:divBdr>
        <w:top w:val="none" w:sz="0" w:space="0" w:color="auto"/>
        <w:left w:val="none" w:sz="0" w:space="0" w:color="auto"/>
        <w:bottom w:val="none" w:sz="0" w:space="0" w:color="auto"/>
        <w:right w:val="none" w:sz="0" w:space="0" w:color="auto"/>
      </w:divBdr>
    </w:div>
    <w:div w:id="819856442">
      <w:bodyDiv w:val="1"/>
      <w:marLeft w:val="0"/>
      <w:marRight w:val="0"/>
      <w:marTop w:val="0"/>
      <w:marBottom w:val="0"/>
      <w:divBdr>
        <w:top w:val="none" w:sz="0" w:space="0" w:color="auto"/>
        <w:left w:val="none" w:sz="0" w:space="0" w:color="auto"/>
        <w:bottom w:val="none" w:sz="0" w:space="0" w:color="auto"/>
        <w:right w:val="none" w:sz="0" w:space="0" w:color="auto"/>
      </w:divBdr>
    </w:div>
    <w:div w:id="819882759">
      <w:bodyDiv w:val="1"/>
      <w:marLeft w:val="0"/>
      <w:marRight w:val="0"/>
      <w:marTop w:val="0"/>
      <w:marBottom w:val="0"/>
      <w:divBdr>
        <w:top w:val="none" w:sz="0" w:space="0" w:color="auto"/>
        <w:left w:val="none" w:sz="0" w:space="0" w:color="auto"/>
        <w:bottom w:val="none" w:sz="0" w:space="0" w:color="auto"/>
        <w:right w:val="none" w:sz="0" w:space="0" w:color="auto"/>
      </w:divBdr>
    </w:div>
    <w:div w:id="819885222">
      <w:bodyDiv w:val="1"/>
      <w:marLeft w:val="0"/>
      <w:marRight w:val="0"/>
      <w:marTop w:val="0"/>
      <w:marBottom w:val="0"/>
      <w:divBdr>
        <w:top w:val="none" w:sz="0" w:space="0" w:color="auto"/>
        <w:left w:val="none" w:sz="0" w:space="0" w:color="auto"/>
        <w:bottom w:val="none" w:sz="0" w:space="0" w:color="auto"/>
        <w:right w:val="none" w:sz="0" w:space="0" w:color="auto"/>
      </w:divBdr>
    </w:div>
    <w:div w:id="819886051">
      <w:bodyDiv w:val="1"/>
      <w:marLeft w:val="0"/>
      <w:marRight w:val="0"/>
      <w:marTop w:val="0"/>
      <w:marBottom w:val="0"/>
      <w:divBdr>
        <w:top w:val="none" w:sz="0" w:space="0" w:color="auto"/>
        <w:left w:val="none" w:sz="0" w:space="0" w:color="auto"/>
        <w:bottom w:val="none" w:sz="0" w:space="0" w:color="auto"/>
        <w:right w:val="none" w:sz="0" w:space="0" w:color="auto"/>
      </w:divBdr>
    </w:div>
    <w:div w:id="820005270">
      <w:bodyDiv w:val="1"/>
      <w:marLeft w:val="0"/>
      <w:marRight w:val="0"/>
      <w:marTop w:val="0"/>
      <w:marBottom w:val="0"/>
      <w:divBdr>
        <w:top w:val="none" w:sz="0" w:space="0" w:color="auto"/>
        <w:left w:val="none" w:sz="0" w:space="0" w:color="auto"/>
        <w:bottom w:val="none" w:sz="0" w:space="0" w:color="auto"/>
        <w:right w:val="none" w:sz="0" w:space="0" w:color="auto"/>
      </w:divBdr>
    </w:div>
    <w:div w:id="820120875">
      <w:bodyDiv w:val="1"/>
      <w:marLeft w:val="0"/>
      <w:marRight w:val="0"/>
      <w:marTop w:val="0"/>
      <w:marBottom w:val="0"/>
      <w:divBdr>
        <w:top w:val="none" w:sz="0" w:space="0" w:color="auto"/>
        <w:left w:val="none" w:sz="0" w:space="0" w:color="auto"/>
        <w:bottom w:val="none" w:sz="0" w:space="0" w:color="auto"/>
        <w:right w:val="none" w:sz="0" w:space="0" w:color="auto"/>
      </w:divBdr>
    </w:div>
    <w:div w:id="820195688">
      <w:bodyDiv w:val="1"/>
      <w:marLeft w:val="0"/>
      <w:marRight w:val="0"/>
      <w:marTop w:val="0"/>
      <w:marBottom w:val="0"/>
      <w:divBdr>
        <w:top w:val="none" w:sz="0" w:space="0" w:color="auto"/>
        <w:left w:val="none" w:sz="0" w:space="0" w:color="auto"/>
        <w:bottom w:val="none" w:sz="0" w:space="0" w:color="auto"/>
        <w:right w:val="none" w:sz="0" w:space="0" w:color="auto"/>
      </w:divBdr>
    </w:div>
    <w:div w:id="820267188">
      <w:bodyDiv w:val="1"/>
      <w:marLeft w:val="0"/>
      <w:marRight w:val="0"/>
      <w:marTop w:val="0"/>
      <w:marBottom w:val="0"/>
      <w:divBdr>
        <w:top w:val="none" w:sz="0" w:space="0" w:color="auto"/>
        <w:left w:val="none" w:sz="0" w:space="0" w:color="auto"/>
        <w:bottom w:val="none" w:sz="0" w:space="0" w:color="auto"/>
        <w:right w:val="none" w:sz="0" w:space="0" w:color="auto"/>
      </w:divBdr>
    </w:div>
    <w:div w:id="820273426">
      <w:bodyDiv w:val="1"/>
      <w:marLeft w:val="0"/>
      <w:marRight w:val="0"/>
      <w:marTop w:val="0"/>
      <w:marBottom w:val="0"/>
      <w:divBdr>
        <w:top w:val="none" w:sz="0" w:space="0" w:color="auto"/>
        <w:left w:val="none" w:sz="0" w:space="0" w:color="auto"/>
        <w:bottom w:val="none" w:sz="0" w:space="0" w:color="auto"/>
        <w:right w:val="none" w:sz="0" w:space="0" w:color="auto"/>
      </w:divBdr>
    </w:div>
    <w:div w:id="820344945">
      <w:bodyDiv w:val="1"/>
      <w:marLeft w:val="0"/>
      <w:marRight w:val="0"/>
      <w:marTop w:val="0"/>
      <w:marBottom w:val="0"/>
      <w:divBdr>
        <w:top w:val="none" w:sz="0" w:space="0" w:color="auto"/>
        <w:left w:val="none" w:sz="0" w:space="0" w:color="auto"/>
        <w:bottom w:val="none" w:sz="0" w:space="0" w:color="auto"/>
        <w:right w:val="none" w:sz="0" w:space="0" w:color="auto"/>
      </w:divBdr>
    </w:div>
    <w:div w:id="820345806">
      <w:bodyDiv w:val="1"/>
      <w:marLeft w:val="0"/>
      <w:marRight w:val="0"/>
      <w:marTop w:val="0"/>
      <w:marBottom w:val="0"/>
      <w:divBdr>
        <w:top w:val="none" w:sz="0" w:space="0" w:color="auto"/>
        <w:left w:val="none" w:sz="0" w:space="0" w:color="auto"/>
        <w:bottom w:val="none" w:sz="0" w:space="0" w:color="auto"/>
        <w:right w:val="none" w:sz="0" w:space="0" w:color="auto"/>
      </w:divBdr>
    </w:div>
    <w:div w:id="820466456">
      <w:bodyDiv w:val="1"/>
      <w:marLeft w:val="0"/>
      <w:marRight w:val="0"/>
      <w:marTop w:val="0"/>
      <w:marBottom w:val="0"/>
      <w:divBdr>
        <w:top w:val="none" w:sz="0" w:space="0" w:color="auto"/>
        <w:left w:val="none" w:sz="0" w:space="0" w:color="auto"/>
        <w:bottom w:val="none" w:sz="0" w:space="0" w:color="auto"/>
        <w:right w:val="none" w:sz="0" w:space="0" w:color="auto"/>
      </w:divBdr>
    </w:div>
    <w:div w:id="820467415">
      <w:bodyDiv w:val="1"/>
      <w:marLeft w:val="0"/>
      <w:marRight w:val="0"/>
      <w:marTop w:val="0"/>
      <w:marBottom w:val="0"/>
      <w:divBdr>
        <w:top w:val="none" w:sz="0" w:space="0" w:color="auto"/>
        <w:left w:val="none" w:sz="0" w:space="0" w:color="auto"/>
        <w:bottom w:val="none" w:sz="0" w:space="0" w:color="auto"/>
        <w:right w:val="none" w:sz="0" w:space="0" w:color="auto"/>
      </w:divBdr>
    </w:div>
    <w:div w:id="820579156">
      <w:bodyDiv w:val="1"/>
      <w:marLeft w:val="0"/>
      <w:marRight w:val="0"/>
      <w:marTop w:val="0"/>
      <w:marBottom w:val="0"/>
      <w:divBdr>
        <w:top w:val="none" w:sz="0" w:space="0" w:color="auto"/>
        <w:left w:val="none" w:sz="0" w:space="0" w:color="auto"/>
        <w:bottom w:val="none" w:sz="0" w:space="0" w:color="auto"/>
        <w:right w:val="none" w:sz="0" w:space="0" w:color="auto"/>
      </w:divBdr>
    </w:div>
    <w:div w:id="820924369">
      <w:bodyDiv w:val="1"/>
      <w:marLeft w:val="0"/>
      <w:marRight w:val="0"/>
      <w:marTop w:val="0"/>
      <w:marBottom w:val="0"/>
      <w:divBdr>
        <w:top w:val="none" w:sz="0" w:space="0" w:color="auto"/>
        <w:left w:val="none" w:sz="0" w:space="0" w:color="auto"/>
        <w:bottom w:val="none" w:sz="0" w:space="0" w:color="auto"/>
        <w:right w:val="none" w:sz="0" w:space="0" w:color="auto"/>
      </w:divBdr>
    </w:div>
    <w:div w:id="821196199">
      <w:bodyDiv w:val="1"/>
      <w:marLeft w:val="0"/>
      <w:marRight w:val="0"/>
      <w:marTop w:val="0"/>
      <w:marBottom w:val="0"/>
      <w:divBdr>
        <w:top w:val="none" w:sz="0" w:space="0" w:color="auto"/>
        <w:left w:val="none" w:sz="0" w:space="0" w:color="auto"/>
        <w:bottom w:val="none" w:sz="0" w:space="0" w:color="auto"/>
        <w:right w:val="none" w:sz="0" w:space="0" w:color="auto"/>
      </w:divBdr>
    </w:div>
    <w:div w:id="821434855">
      <w:bodyDiv w:val="1"/>
      <w:marLeft w:val="0"/>
      <w:marRight w:val="0"/>
      <w:marTop w:val="0"/>
      <w:marBottom w:val="0"/>
      <w:divBdr>
        <w:top w:val="none" w:sz="0" w:space="0" w:color="auto"/>
        <w:left w:val="none" w:sz="0" w:space="0" w:color="auto"/>
        <w:bottom w:val="none" w:sz="0" w:space="0" w:color="auto"/>
        <w:right w:val="none" w:sz="0" w:space="0" w:color="auto"/>
      </w:divBdr>
    </w:div>
    <w:div w:id="821508358">
      <w:bodyDiv w:val="1"/>
      <w:marLeft w:val="0"/>
      <w:marRight w:val="0"/>
      <w:marTop w:val="0"/>
      <w:marBottom w:val="0"/>
      <w:divBdr>
        <w:top w:val="none" w:sz="0" w:space="0" w:color="auto"/>
        <w:left w:val="none" w:sz="0" w:space="0" w:color="auto"/>
        <w:bottom w:val="none" w:sz="0" w:space="0" w:color="auto"/>
        <w:right w:val="none" w:sz="0" w:space="0" w:color="auto"/>
      </w:divBdr>
    </w:div>
    <w:div w:id="821576736">
      <w:bodyDiv w:val="1"/>
      <w:marLeft w:val="0"/>
      <w:marRight w:val="0"/>
      <w:marTop w:val="0"/>
      <w:marBottom w:val="0"/>
      <w:divBdr>
        <w:top w:val="none" w:sz="0" w:space="0" w:color="auto"/>
        <w:left w:val="none" w:sz="0" w:space="0" w:color="auto"/>
        <w:bottom w:val="none" w:sz="0" w:space="0" w:color="auto"/>
        <w:right w:val="none" w:sz="0" w:space="0" w:color="auto"/>
      </w:divBdr>
    </w:div>
    <w:div w:id="821703027">
      <w:bodyDiv w:val="1"/>
      <w:marLeft w:val="0"/>
      <w:marRight w:val="0"/>
      <w:marTop w:val="0"/>
      <w:marBottom w:val="0"/>
      <w:divBdr>
        <w:top w:val="none" w:sz="0" w:space="0" w:color="auto"/>
        <w:left w:val="none" w:sz="0" w:space="0" w:color="auto"/>
        <w:bottom w:val="none" w:sz="0" w:space="0" w:color="auto"/>
        <w:right w:val="none" w:sz="0" w:space="0" w:color="auto"/>
      </w:divBdr>
    </w:div>
    <w:div w:id="821852647">
      <w:bodyDiv w:val="1"/>
      <w:marLeft w:val="0"/>
      <w:marRight w:val="0"/>
      <w:marTop w:val="0"/>
      <w:marBottom w:val="0"/>
      <w:divBdr>
        <w:top w:val="none" w:sz="0" w:space="0" w:color="auto"/>
        <w:left w:val="none" w:sz="0" w:space="0" w:color="auto"/>
        <w:bottom w:val="none" w:sz="0" w:space="0" w:color="auto"/>
        <w:right w:val="none" w:sz="0" w:space="0" w:color="auto"/>
      </w:divBdr>
    </w:div>
    <w:div w:id="821894354">
      <w:bodyDiv w:val="1"/>
      <w:marLeft w:val="0"/>
      <w:marRight w:val="0"/>
      <w:marTop w:val="0"/>
      <w:marBottom w:val="0"/>
      <w:divBdr>
        <w:top w:val="none" w:sz="0" w:space="0" w:color="auto"/>
        <w:left w:val="none" w:sz="0" w:space="0" w:color="auto"/>
        <w:bottom w:val="none" w:sz="0" w:space="0" w:color="auto"/>
        <w:right w:val="none" w:sz="0" w:space="0" w:color="auto"/>
      </w:divBdr>
    </w:div>
    <w:div w:id="821897306">
      <w:bodyDiv w:val="1"/>
      <w:marLeft w:val="0"/>
      <w:marRight w:val="0"/>
      <w:marTop w:val="0"/>
      <w:marBottom w:val="0"/>
      <w:divBdr>
        <w:top w:val="none" w:sz="0" w:space="0" w:color="auto"/>
        <w:left w:val="none" w:sz="0" w:space="0" w:color="auto"/>
        <w:bottom w:val="none" w:sz="0" w:space="0" w:color="auto"/>
        <w:right w:val="none" w:sz="0" w:space="0" w:color="auto"/>
      </w:divBdr>
    </w:div>
    <w:div w:id="822087306">
      <w:bodyDiv w:val="1"/>
      <w:marLeft w:val="0"/>
      <w:marRight w:val="0"/>
      <w:marTop w:val="0"/>
      <w:marBottom w:val="0"/>
      <w:divBdr>
        <w:top w:val="none" w:sz="0" w:space="0" w:color="auto"/>
        <w:left w:val="none" w:sz="0" w:space="0" w:color="auto"/>
        <w:bottom w:val="none" w:sz="0" w:space="0" w:color="auto"/>
        <w:right w:val="none" w:sz="0" w:space="0" w:color="auto"/>
      </w:divBdr>
    </w:div>
    <w:div w:id="822088165">
      <w:bodyDiv w:val="1"/>
      <w:marLeft w:val="0"/>
      <w:marRight w:val="0"/>
      <w:marTop w:val="0"/>
      <w:marBottom w:val="0"/>
      <w:divBdr>
        <w:top w:val="none" w:sz="0" w:space="0" w:color="auto"/>
        <w:left w:val="none" w:sz="0" w:space="0" w:color="auto"/>
        <w:bottom w:val="none" w:sz="0" w:space="0" w:color="auto"/>
        <w:right w:val="none" w:sz="0" w:space="0" w:color="auto"/>
      </w:divBdr>
    </w:div>
    <w:div w:id="822308636">
      <w:bodyDiv w:val="1"/>
      <w:marLeft w:val="0"/>
      <w:marRight w:val="0"/>
      <w:marTop w:val="0"/>
      <w:marBottom w:val="0"/>
      <w:divBdr>
        <w:top w:val="none" w:sz="0" w:space="0" w:color="auto"/>
        <w:left w:val="none" w:sz="0" w:space="0" w:color="auto"/>
        <w:bottom w:val="none" w:sz="0" w:space="0" w:color="auto"/>
        <w:right w:val="none" w:sz="0" w:space="0" w:color="auto"/>
      </w:divBdr>
    </w:div>
    <w:div w:id="822358355">
      <w:bodyDiv w:val="1"/>
      <w:marLeft w:val="0"/>
      <w:marRight w:val="0"/>
      <w:marTop w:val="0"/>
      <w:marBottom w:val="0"/>
      <w:divBdr>
        <w:top w:val="none" w:sz="0" w:space="0" w:color="auto"/>
        <w:left w:val="none" w:sz="0" w:space="0" w:color="auto"/>
        <w:bottom w:val="none" w:sz="0" w:space="0" w:color="auto"/>
        <w:right w:val="none" w:sz="0" w:space="0" w:color="auto"/>
      </w:divBdr>
    </w:div>
    <w:div w:id="822624402">
      <w:bodyDiv w:val="1"/>
      <w:marLeft w:val="0"/>
      <w:marRight w:val="0"/>
      <w:marTop w:val="0"/>
      <w:marBottom w:val="0"/>
      <w:divBdr>
        <w:top w:val="none" w:sz="0" w:space="0" w:color="auto"/>
        <w:left w:val="none" w:sz="0" w:space="0" w:color="auto"/>
        <w:bottom w:val="none" w:sz="0" w:space="0" w:color="auto"/>
        <w:right w:val="none" w:sz="0" w:space="0" w:color="auto"/>
      </w:divBdr>
    </w:div>
    <w:div w:id="822697151">
      <w:bodyDiv w:val="1"/>
      <w:marLeft w:val="0"/>
      <w:marRight w:val="0"/>
      <w:marTop w:val="0"/>
      <w:marBottom w:val="0"/>
      <w:divBdr>
        <w:top w:val="none" w:sz="0" w:space="0" w:color="auto"/>
        <w:left w:val="none" w:sz="0" w:space="0" w:color="auto"/>
        <w:bottom w:val="none" w:sz="0" w:space="0" w:color="auto"/>
        <w:right w:val="none" w:sz="0" w:space="0" w:color="auto"/>
      </w:divBdr>
    </w:div>
    <w:div w:id="822894546">
      <w:bodyDiv w:val="1"/>
      <w:marLeft w:val="0"/>
      <w:marRight w:val="0"/>
      <w:marTop w:val="0"/>
      <w:marBottom w:val="0"/>
      <w:divBdr>
        <w:top w:val="none" w:sz="0" w:space="0" w:color="auto"/>
        <w:left w:val="none" w:sz="0" w:space="0" w:color="auto"/>
        <w:bottom w:val="none" w:sz="0" w:space="0" w:color="auto"/>
        <w:right w:val="none" w:sz="0" w:space="0" w:color="auto"/>
      </w:divBdr>
    </w:div>
    <w:div w:id="823010070">
      <w:bodyDiv w:val="1"/>
      <w:marLeft w:val="0"/>
      <w:marRight w:val="0"/>
      <w:marTop w:val="0"/>
      <w:marBottom w:val="0"/>
      <w:divBdr>
        <w:top w:val="none" w:sz="0" w:space="0" w:color="auto"/>
        <w:left w:val="none" w:sz="0" w:space="0" w:color="auto"/>
        <w:bottom w:val="none" w:sz="0" w:space="0" w:color="auto"/>
        <w:right w:val="none" w:sz="0" w:space="0" w:color="auto"/>
      </w:divBdr>
    </w:div>
    <w:div w:id="823013389">
      <w:bodyDiv w:val="1"/>
      <w:marLeft w:val="0"/>
      <w:marRight w:val="0"/>
      <w:marTop w:val="0"/>
      <w:marBottom w:val="0"/>
      <w:divBdr>
        <w:top w:val="none" w:sz="0" w:space="0" w:color="auto"/>
        <w:left w:val="none" w:sz="0" w:space="0" w:color="auto"/>
        <w:bottom w:val="none" w:sz="0" w:space="0" w:color="auto"/>
        <w:right w:val="none" w:sz="0" w:space="0" w:color="auto"/>
      </w:divBdr>
    </w:div>
    <w:div w:id="823163265">
      <w:bodyDiv w:val="1"/>
      <w:marLeft w:val="0"/>
      <w:marRight w:val="0"/>
      <w:marTop w:val="0"/>
      <w:marBottom w:val="0"/>
      <w:divBdr>
        <w:top w:val="none" w:sz="0" w:space="0" w:color="auto"/>
        <w:left w:val="none" w:sz="0" w:space="0" w:color="auto"/>
        <w:bottom w:val="none" w:sz="0" w:space="0" w:color="auto"/>
        <w:right w:val="none" w:sz="0" w:space="0" w:color="auto"/>
      </w:divBdr>
    </w:div>
    <w:div w:id="823352293">
      <w:bodyDiv w:val="1"/>
      <w:marLeft w:val="0"/>
      <w:marRight w:val="0"/>
      <w:marTop w:val="0"/>
      <w:marBottom w:val="0"/>
      <w:divBdr>
        <w:top w:val="none" w:sz="0" w:space="0" w:color="auto"/>
        <w:left w:val="none" w:sz="0" w:space="0" w:color="auto"/>
        <w:bottom w:val="none" w:sz="0" w:space="0" w:color="auto"/>
        <w:right w:val="none" w:sz="0" w:space="0" w:color="auto"/>
      </w:divBdr>
    </w:div>
    <w:div w:id="823355064">
      <w:bodyDiv w:val="1"/>
      <w:marLeft w:val="0"/>
      <w:marRight w:val="0"/>
      <w:marTop w:val="0"/>
      <w:marBottom w:val="0"/>
      <w:divBdr>
        <w:top w:val="none" w:sz="0" w:space="0" w:color="auto"/>
        <w:left w:val="none" w:sz="0" w:space="0" w:color="auto"/>
        <w:bottom w:val="none" w:sz="0" w:space="0" w:color="auto"/>
        <w:right w:val="none" w:sz="0" w:space="0" w:color="auto"/>
      </w:divBdr>
    </w:div>
    <w:div w:id="823591489">
      <w:bodyDiv w:val="1"/>
      <w:marLeft w:val="0"/>
      <w:marRight w:val="0"/>
      <w:marTop w:val="0"/>
      <w:marBottom w:val="0"/>
      <w:divBdr>
        <w:top w:val="none" w:sz="0" w:space="0" w:color="auto"/>
        <w:left w:val="none" w:sz="0" w:space="0" w:color="auto"/>
        <w:bottom w:val="none" w:sz="0" w:space="0" w:color="auto"/>
        <w:right w:val="none" w:sz="0" w:space="0" w:color="auto"/>
      </w:divBdr>
    </w:div>
    <w:div w:id="823741248">
      <w:bodyDiv w:val="1"/>
      <w:marLeft w:val="0"/>
      <w:marRight w:val="0"/>
      <w:marTop w:val="0"/>
      <w:marBottom w:val="0"/>
      <w:divBdr>
        <w:top w:val="none" w:sz="0" w:space="0" w:color="auto"/>
        <w:left w:val="none" w:sz="0" w:space="0" w:color="auto"/>
        <w:bottom w:val="none" w:sz="0" w:space="0" w:color="auto"/>
        <w:right w:val="none" w:sz="0" w:space="0" w:color="auto"/>
      </w:divBdr>
    </w:div>
    <w:div w:id="823742356">
      <w:bodyDiv w:val="1"/>
      <w:marLeft w:val="0"/>
      <w:marRight w:val="0"/>
      <w:marTop w:val="0"/>
      <w:marBottom w:val="0"/>
      <w:divBdr>
        <w:top w:val="none" w:sz="0" w:space="0" w:color="auto"/>
        <w:left w:val="none" w:sz="0" w:space="0" w:color="auto"/>
        <w:bottom w:val="none" w:sz="0" w:space="0" w:color="auto"/>
        <w:right w:val="none" w:sz="0" w:space="0" w:color="auto"/>
      </w:divBdr>
    </w:div>
    <w:div w:id="823819838">
      <w:bodyDiv w:val="1"/>
      <w:marLeft w:val="0"/>
      <w:marRight w:val="0"/>
      <w:marTop w:val="0"/>
      <w:marBottom w:val="0"/>
      <w:divBdr>
        <w:top w:val="none" w:sz="0" w:space="0" w:color="auto"/>
        <w:left w:val="none" w:sz="0" w:space="0" w:color="auto"/>
        <w:bottom w:val="none" w:sz="0" w:space="0" w:color="auto"/>
        <w:right w:val="none" w:sz="0" w:space="0" w:color="auto"/>
      </w:divBdr>
    </w:div>
    <w:div w:id="824008951">
      <w:bodyDiv w:val="1"/>
      <w:marLeft w:val="0"/>
      <w:marRight w:val="0"/>
      <w:marTop w:val="0"/>
      <w:marBottom w:val="0"/>
      <w:divBdr>
        <w:top w:val="none" w:sz="0" w:space="0" w:color="auto"/>
        <w:left w:val="none" w:sz="0" w:space="0" w:color="auto"/>
        <w:bottom w:val="none" w:sz="0" w:space="0" w:color="auto"/>
        <w:right w:val="none" w:sz="0" w:space="0" w:color="auto"/>
      </w:divBdr>
    </w:div>
    <w:div w:id="824010250">
      <w:bodyDiv w:val="1"/>
      <w:marLeft w:val="0"/>
      <w:marRight w:val="0"/>
      <w:marTop w:val="0"/>
      <w:marBottom w:val="0"/>
      <w:divBdr>
        <w:top w:val="none" w:sz="0" w:space="0" w:color="auto"/>
        <w:left w:val="none" w:sz="0" w:space="0" w:color="auto"/>
        <w:bottom w:val="none" w:sz="0" w:space="0" w:color="auto"/>
        <w:right w:val="none" w:sz="0" w:space="0" w:color="auto"/>
      </w:divBdr>
    </w:div>
    <w:div w:id="824200348">
      <w:bodyDiv w:val="1"/>
      <w:marLeft w:val="0"/>
      <w:marRight w:val="0"/>
      <w:marTop w:val="0"/>
      <w:marBottom w:val="0"/>
      <w:divBdr>
        <w:top w:val="none" w:sz="0" w:space="0" w:color="auto"/>
        <w:left w:val="none" w:sz="0" w:space="0" w:color="auto"/>
        <w:bottom w:val="none" w:sz="0" w:space="0" w:color="auto"/>
        <w:right w:val="none" w:sz="0" w:space="0" w:color="auto"/>
      </w:divBdr>
    </w:div>
    <w:div w:id="824248684">
      <w:bodyDiv w:val="1"/>
      <w:marLeft w:val="0"/>
      <w:marRight w:val="0"/>
      <w:marTop w:val="0"/>
      <w:marBottom w:val="0"/>
      <w:divBdr>
        <w:top w:val="none" w:sz="0" w:space="0" w:color="auto"/>
        <w:left w:val="none" w:sz="0" w:space="0" w:color="auto"/>
        <w:bottom w:val="none" w:sz="0" w:space="0" w:color="auto"/>
        <w:right w:val="none" w:sz="0" w:space="0" w:color="auto"/>
      </w:divBdr>
    </w:div>
    <w:div w:id="824274715">
      <w:bodyDiv w:val="1"/>
      <w:marLeft w:val="0"/>
      <w:marRight w:val="0"/>
      <w:marTop w:val="0"/>
      <w:marBottom w:val="0"/>
      <w:divBdr>
        <w:top w:val="none" w:sz="0" w:space="0" w:color="auto"/>
        <w:left w:val="none" w:sz="0" w:space="0" w:color="auto"/>
        <w:bottom w:val="none" w:sz="0" w:space="0" w:color="auto"/>
        <w:right w:val="none" w:sz="0" w:space="0" w:color="auto"/>
      </w:divBdr>
    </w:div>
    <w:div w:id="824318162">
      <w:bodyDiv w:val="1"/>
      <w:marLeft w:val="0"/>
      <w:marRight w:val="0"/>
      <w:marTop w:val="0"/>
      <w:marBottom w:val="0"/>
      <w:divBdr>
        <w:top w:val="none" w:sz="0" w:space="0" w:color="auto"/>
        <w:left w:val="none" w:sz="0" w:space="0" w:color="auto"/>
        <w:bottom w:val="none" w:sz="0" w:space="0" w:color="auto"/>
        <w:right w:val="none" w:sz="0" w:space="0" w:color="auto"/>
      </w:divBdr>
    </w:div>
    <w:div w:id="824443288">
      <w:bodyDiv w:val="1"/>
      <w:marLeft w:val="0"/>
      <w:marRight w:val="0"/>
      <w:marTop w:val="0"/>
      <w:marBottom w:val="0"/>
      <w:divBdr>
        <w:top w:val="none" w:sz="0" w:space="0" w:color="auto"/>
        <w:left w:val="none" w:sz="0" w:space="0" w:color="auto"/>
        <w:bottom w:val="none" w:sz="0" w:space="0" w:color="auto"/>
        <w:right w:val="none" w:sz="0" w:space="0" w:color="auto"/>
      </w:divBdr>
    </w:div>
    <w:div w:id="824474198">
      <w:bodyDiv w:val="1"/>
      <w:marLeft w:val="0"/>
      <w:marRight w:val="0"/>
      <w:marTop w:val="0"/>
      <w:marBottom w:val="0"/>
      <w:divBdr>
        <w:top w:val="none" w:sz="0" w:space="0" w:color="auto"/>
        <w:left w:val="none" w:sz="0" w:space="0" w:color="auto"/>
        <w:bottom w:val="none" w:sz="0" w:space="0" w:color="auto"/>
        <w:right w:val="none" w:sz="0" w:space="0" w:color="auto"/>
      </w:divBdr>
    </w:div>
    <w:div w:id="824517514">
      <w:bodyDiv w:val="1"/>
      <w:marLeft w:val="0"/>
      <w:marRight w:val="0"/>
      <w:marTop w:val="0"/>
      <w:marBottom w:val="0"/>
      <w:divBdr>
        <w:top w:val="none" w:sz="0" w:space="0" w:color="auto"/>
        <w:left w:val="none" w:sz="0" w:space="0" w:color="auto"/>
        <w:bottom w:val="none" w:sz="0" w:space="0" w:color="auto"/>
        <w:right w:val="none" w:sz="0" w:space="0" w:color="auto"/>
      </w:divBdr>
    </w:div>
    <w:div w:id="824664711">
      <w:bodyDiv w:val="1"/>
      <w:marLeft w:val="0"/>
      <w:marRight w:val="0"/>
      <w:marTop w:val="0"/>
      <w:marBottom w:val="0"/>
      <w:divBdr>
        <w:top w:val="none" w:sz="0" w:space="0" w:color="auto"/>
        <w:left w:val="none" w:sz="0" w:space="0" w:color="auto"/>
        <w:bottom w:val="none" w:sz="0" w:space="0" w:color="auto"/>
        <w:right w:val="none" w:sz="0" w:space="0" w:color="auto"/>
      </w:divBdr>
    </w:div>
    <w:div w:id="824778848">
      <w:bodyDiv w:val="1"/>
      <w:marLeft w:val="0"/>
      <w:marRight w:val="0"/>
      <w:marTop w:val="0"/>
      <w:marBottom w:val="0"/>
      <w:divBdr>
        <w:top w:val="none" w:sz="0" w:space="0" w:color="auto"/>
        <w:left w:val="none" w:sz="0" w:space="0" w:color="auto"/>
        <w:bottom w:val="none" w:sz="0" w:space="0" w:color="auto"/>
        <w:right w:val="none" w:sz="0" w:space="0" w:color="auto"/>
      </w:divBdr>
    </w:div>
    <w:div w:id="824859137">
      <w:bodyDiv w:val="1"/>
      <w:marLeft w:val="0"/>
      <w:marRight w:val="0"/>
      <w:marTop w:val="0"/>
      <w:marBottom w:val="0"/>
      <w:divBdr>
        <w:top w:val="none" w:sz="0" w:space="0" w:color="auto"/>
        <w:left w:val="none" w:sz="0" w:space="0" w:color="auto"/>
        <w:bottom w:val="none" w:sz="0" w:space="0" w:color="auto"/>
        <w:right w:val="none" w:sz="0" w:space="0" w:color="auto"/>
      </w:divBdr>
    </w:div>
    <w:div w:id="824978932">
      <w:bodyDiv w:val="1"/>
      <w:marLeft w:val="0"/>
      <w:marRight w:val="0"/>
      <w:marTop w:val="0"/>
      <w:marBottom w:val="0"/>
      <w:divBdr>
        <w:top w:val="none" w:sz="0" w:space="0" w:color="auto"/>
        <w:left w:val="none" w:sz="0" w:space="0" w:color="auto"/>
        <w:bottom w:val="none" w:sz="0" w:space="0" w:color="auto"/>
        <w:right w:val="none" w:sz="0" w:space="0" w:color="auto"/>
      </w:divBdr>
    </w:div>
    <w:div w:id="825241795">
      <w:bodyDiv w:val="1"/>
      <w:marLeft w:val="0"/>
      <w:marRight w:val="0"/>
      <w:marTop w:val="0"/>
      <w:marBottom w:val="0"/>
      <w:divBdr>
        <w:top w:val="none" w:sz="0" w:space="0" w:color="auto"/>
        <w:left w:val="none" w:sz="0" w:space="0" w:color="auto"/>
        <w:bottom w:val="none" w:sz="0" w:space="0" w:color="auto"/>
        <w:right w:val="none" w:sz="0" w:space="0" w:color="auto"/>
      </w:divBdr>
    </w:div>
    <w:div w:id="825515755">
      <w:bodyDiv w:val="1"/>
      <w:marLeft w:val="0"/>
      <w:marRight w:val="0"/>
      <w:marTop w:val="0"/>
      <w:marBottom w:val="0"/>
      <w:divBdr>
        <w:top w:val="none" w:sz="0" w:space="0" w:color="auto"/>
        <w:left w:val="none" w:sz="0" w:space="0" w:color="auto"/>
        <w:bottom w:val="none" w:sz="0" w:space="0" w:color="auto"/>
        <w:right w:val="none" w:sz="0" w:space="0" w:color="auto"/>
      </w:divBdr>
    </w:div>
    <w:div w:id="825588518">
      <w:bodyDiv w:val="1"/>
      <w:marLeft w:val="0"/>
      <w:marRight w:val="0"/>
      <w:marTop w:val="0"/>
      <w:marBottom w:val="0"/>
      <w:divBdr>
        <w:top w:val="none" w:sz="0" w:space="0" w:color="auto"/>
        <w:left w:val="none" w:sz="0" w:space="0" w:color="auto"/>
        <w:bottom w:val="none" w:sz="0" w:space="0" w:color="auto"/>
        <w:right w:val="none" w:sz="0" w:space="0" w:color="auto"/>
      </w:divBdr>
    </w:div>
    <w:div w:id="825589437">
      <w:bodyDiv w:val="1"/>
      <w:marLeft w:val="0"/>
      <w:marRight w:val="0"/>
      <w:marTop w:val="0"/>
      <w:marBottom w:val="0"/>
      <w:divBdr>
        <w:top w:val="none" w:sz="0" w:space="0" w:color="auto"/>
        <w:left w:val="none" w:sz="0" w:space="0" w:color="auto"/>
        <w:bottom w:val="none" w:sz="0" w:space="0" w:color="auto"/>
        <w:right w:val="none" w:sz="0" w:space="0" w:color="auto"/>
      </w:divBdr>
    </w:div>
    <w:div w:id="825626780">
      <w:bodyDiv w:val="1"/>
      <w:marLeft w:val="0"/>
      <w:marRight w:val="0"/>
      <w:marTop w:val="0"/>
      <w:marBottom w:val="0"/>
      <w:divBdr>
        <w:top w:val="none" w:sz="0" w:space="0" w:color="auto"/>
        <w:left w:val="none" w:sz="0" w:space="0" w:color="auto"/>
        <w:bottom w:val="none" w:sz="0" w:space="0" w:color="auto"/>
        <w:right w:val="none" w:sz="0" w:space="0" w:color="auto"/>
      </w:divBdr>
    </w:div>
    <w:div w:id="825779148">
      <w:bodyDiv w:val="1"/>
      <w:marLeft w:val="0"/>
      <w:marRight w:val="0"/>
      <w:marTop w:val="0"/>
      <w:marBottom w:val="0"/>
      <w:divBdr>
        <w:top w:val="none" w:sz="0" w:space="0" w:color="auto"/>
        <w:left w:val="none" w:sz="0" w:space="0" w:color="auto"/>
        <w:bottom w:val="none" w:sz="0" w:space="0" w:color="auto"/>
        <w:right w:val="none" w:sz="0" w:space="0" w:color="auto"/>
      </w:divBdr>
    </w:div>
    <w:div w:id="825783360">
      <w:bodyDiv w:val="1"/>
      <w:marLeft w:val="0"/>
      <w:marRight w:val="0"/>
      <w:marTop w:val="0"/>
      <w:marBottom w:val="0"/>
      <w:divBdr>
        <w:top w:val="none" w:sz="0" w:space="0" w:color="auto"/>
        <w:left w:val="none" w:sz="0" w:space="0" w:color="auto"/>
        <w:bottom w:val="none" w:sz="0" w:space="0" w:color="auto"/>
        <w:right w:val="none" w:sz="0" w:space="0" w:color="auto"/>
      </w:divBdr>
    </w:div>
    <w:div w:id="826017677">
      <w:bodyDiv w:val="1"/>
      <w:marLeft w:val="0"/>
      <w:marRight w:val="0"/>
      <w:marTop w:val="0"/>
      <w:marBottom w:val="0"/>
      <w:divBdr>
        <w:top w:val="none" w:sz="0" w:space="0" w:color="auto"/>
        <w:left w:val="none" w:sz="0" w:space="0" w:color="auto"/>
        <w:bottom w:val="none" w:sz="0" w:space="0" w:color="auto"/>
        <w:right w:val="none" w:sz="0" w:space="0" w:color="auto"/>
      </w:divBdr>
    </w:div>
    <w:div w:id="826095428">
      <w:bodyDiv w:val="1"/>
      <w:marLeft w:val="0"/>
      <w:marRight w:val="0"/>
      <w:marTop w:val="0"/>
      <w:marBottom w:val="0"/>
      <w:divBdr>
        <w:top w:val="none" w:sz="0" w:space="0" w:color="auto"/>
        <w:left w:val="none" w:sz="0" w:space="0" w:color="auto"/>
        <w:bottom w:val="none" w:sz="0" w:space="0" w:color="auto"/>
        <w:right w:val="none" w:sz="0" w:space="0" w:color="auto"/>
      </w:divBdr>
    </w:div>
    <w:div w:id="826214708">
      <w:bodyDiv w:val="1"/>
      <w:marLeft w:val="0"/>
      <w:marRight w:val="0"/>
      <w:marTop w:val="0"/>
      <w:marBottom w:val="0"/>
      <w:divBdr>
        <w:top w:val="none" w:sz="0" w:space="0" w:color="auto"/>
        <w:left w:val="none" w:sz="0" w:space="0" w:color="auto"/>
        <w:bottom w:val="none" w:sz="0" w:space="0" w:color="auto"/>
        <w:right w:val="none" w:sz="0" w:space="0" w:color="auto"/>
      </w:divBdr>
    </w:div>
    <w:div w:id="826483674">
      <w:bodyDiv w:val="1"/>
      <w:marLeft w:val="0"/>
      <w:marRight w:val="0"/>
      <w:marTop w:val="0"/>
      <w:marBottom w:val="0"/>
      <w:divBdr>
        <w:top w:val="none" w:sz="0" w:space="0" w:color="auto"/>
        <w:left w:val="none" w:sz="0" w:space="0" w:color="auto"/>
        <w:bottom w:val="none" w:sz="0" w:space="0" w:color="auto"/>
        <w:right w:val="none" w:sz="0" w:space="0" w:color="auto"/>
      </w:divBdr>
    </w:div>
    <w:div w:id="827088040">
      <w:bodyDiv w:val="1"/>
      <w:marLeft w:val="0"/>
      <w:marRight w:val="0"/>
      <w:marTop w:val="0"/>
      <w:marBottom w:val="0"/>
      <w:divBdr>
        <w:top w:val="none" w:sz="0" w:space="0" w:color="auto"/>
        <w:left w:val="none" w:sz="0" w:space="0" w:color="auto"/>
        <w:bottom w:val="none" w:sz="0" w:space="0" w:color="auto"/>
        <w:right w:val="none" w:sz="0" w:space="0" w:color="auto"/>
      </w:divBdr>
    </w:div>
    <w:div w:id="827096444">
      <w:bodyDiv w:val="1"/>
      <w:marLeft w:val="0"/>
      <w:marRight w:val="0"/>
      <w:marTop w:val="0"/>
      <w:marBottom w:val="0"/>
      <w:divBdr>
        <w:top w:val="none" w:sz="0" w:space="0" w:color="auto"/>
        <w:left w:val="none" w:sz="0" w:space="0" w:color="auto"/>
        <w:bottom w:val="none" w:sz="0" w:space="0" w:color="auto"/>
        <w:right w:val="none" w:sz="0" w:space="0" w:color="auto"/>
      </w:divBdr>
    </w:div>
    <w:div w:id="827595891">
      <w:bodyDiv w:val="1"/>
      <w:marLeft w:val="0"/>
      <w:marRight w:val="0"/>
      <w:marTop w:val="0"/>
      <w:marBottom w:val="0"/>
      <w:divBdr>
        <w:top w:val="none" w:sz="0" w:space="0" w:color="auto"/>
        <w:left w:val="none" w:sz="0" w:space="0" w:color="auto"/>
        <w:bottom w:val="none" w:sz="0" w:space="0" w:color="auto"/>
        <w:right w:val="none" w:sz="0" w:space="0" w:color="auto"/>
      </w:divBdr>
    </w:div>
    <w:div w:id="827938383">
      <w:bodyDiv w:val="1"/>
      <w:marLeft w:val="0"/>
      <w:marRight w:val="0"/>
      <w:marTop w:val="0"/>
      <w:marBottom w:val="0"/>
      <w:divBdr>
        <w:top w:val="none" w:sz="0" w:space="0" w:color="auto"/>
        <w:left w:val="none" w:sz="0" w:space="0" w:color="auto"/>
        <w:bottom w:val="none" w:sz="0" w:space="0" w:color="auto"/>
        <w:right w:val="none" w:sz="0" w:space="0" w:color="auto"/>
      </w:divBdr>
    </w:div>
    <w:div w:id="828013257">
      <w:bodyDiv w:val="1"/>
      <w:marLeft w:val="0"/>
      <w:marRight w:val="0"/>
      <w:marTop w:val="0"/>
      <w:marBottom w:val="0"/>
      <w:divBdr>
        <w:top w:val="none" w:sz="0" w:space="0" w:color="auto"/>
        <w:left w:val="none" w:sz="0" w:space="0" w:color="auto"/>
        <w:bottom w:val="none" w:sz="0" w:space="0" w:color="auto"/>
        <w:right w:val="none" w:sz="0" w:space="0" w:color="auto"/>
      </w:divBdr>
    </w:div>
    <w:div w:id="828130655">
      <w:bodyDiv w:val="1"/>
      <w:marLeft w:val="0"/>
      <w:marRight w:val="0"/>
      <w:marTop w:val="0"/>
      <w:marBottom w:val="0"/>
      <w:divBdr>
        <w:top w:val="none" w:sz="0" w:space="0" w:color="auto"/>
        <w:left w:val="none" w:sz="0" w:space="0" w:color="auto"/>
        <w:bottom w:val="none" w:sz="0" w:space="0" w:color="auto"/>
        <w:right w:val="none" w:sz="0" w:space="0" w:color="auto"/>
      </w:divBdr>
    </w:div>
    <w:div w:id="828181459">
      <w:bodyDiv w:val="1"/>
      <w:marLeft w:val="0"/>
      <w:marRight w:val="0"/>
      <w:marTop w:val="0"/>
      <w:marBottom w:val="0"/>
      <w:divBdr>
        <w:top w:val="none" w:sz="0" w:space="0" w:color="auto"/>
        <w:left w:val="none" w:sz="0" w:space="0" w:color="auto"/>
        <w:bottom w:val="none" w:sz="0" w:space="0" w:color="auto"/>
        <w:right w:val="none" w:sz="0" w:space="0" w:color="auto"/>
      </w:divBdr>
    </w:div>
    <w:div w:id="828403506">
      <w:bodyDiv w:val="1"/>
      <w:marLeft w:val="0"/>
      <w:marRight w:val="0"/>
      <w:marTop w:val="0"/>
      <w:marBottom w:val="0"/>
      <w:divBdr>
        <w:top w:val="none" w:sz="0" w:space="0" w:color="auto"/>
        <w:left w:val="none" w:sz="0" w:space="0" w:color="auto"/>
        <w:bottom w:val="none" w:sz="0" w:space="0" w:color="auto"/>
        <w:right w:val="none" w:sz="0" w:space="0" w:color="auto"/>
      </w:divBdr>
    </w:div>
    <w:div w:id="828443726">
      <w:bodyDiv w:val="1"/>
      <w:marLeft w:val="0"/>
      <w:marRight w:val="0"/>
      <w:marTop w:val="0"/>
      <w:marBottom w:val="0"/>
      <w:divBdr>
        <w:top w:val="none" w:sz="0" w:space="0" w:color="auto"/>
        <w:left w:val="none" w:sz="0" w:space="0" w:color="auto"/>
        <w:bottom w:val="none" w:sz="0" w:space="0" w:color="auto"/>
        <w:right w:val="none" w:sz="0" w:space="0" w:color="auto"/>
      </w:divBdr>
    </w:div>
    <w:div w:id="828445870">
      <w:bodyDiv w:val="1"/>
      <w:marLeft w:val="0"/>
      <w:marRight w:val="0"/>
      <w:marTop w:val="0"/>
      <w:marBottom w:val="0"/>
      <w:divBdr>
        <w:top w:val="none" w:sz="0" w:space="0" w:color="auto"/>
        <w:left w:val="none" w:sz="0" w:space="0" w:color="auto"/>
        <w:bottom w:val="none" w:sz="0" w:space="0" w:color="auto"/>
        <w:right w:val="none" w:sz="0" w:space="0" w:color="auto"/>
      </w:divBdr>
    </w:div>
    <w:div w:id="828637784">
      <w:bodyDiv w:val="1"/>
      <w:marLeft w:val="0"/>
      <w:marRight w:val="0"/>
      <w:marTop w:val="0"/>
      <w:marBottom w:val="0"/>
      <w:divBdr>
        <w:top w:val="none" w:sz="0" w:space="0" w:color="auto"/>
        <w:left w:val="none" w:sz="0" w:space="0" w:color="auto"/>
        <w:bottom w:val="none" w:sz="0" w:space="0" w:color="auto"/>
        <w:right w:val="none" w:sz="0" w:space="0" w:color="auto"/>
      </w:divBdr>
    </w:div>
    <w:div w:id="828906348">
      <w:bodyDiv w:val="1"/>
      <w:marLeft w:val="0"/>
      <w:marRight w:val="0"/>
      <w:marTop w:val="0"/>
      <w:marBottom w:val="0"/>
      <w:divBdr>
        <w:top w:val="none" w:sz="0" w:space="0" w:color="auto"/>
        <w:left w:val="none" w:sz="0" w:space="0" w:color="auto"/>
        <w:bottom w:val="none" w:sz="0" w:space="0" w:color="auto"/>
        <w:right w:val="none" w:sz="0" w:space="0" w:color="auto"/>
      </w:divBdr>
    </w:div>
    <w:div w:id="829248035">
      <w:bodyDiv w:val="1"/>
      <w:marLeft w:val="0"/>
      <w:marRight w:val="0"/>
      <w:marTop w:val="0"/>
      <w:marBottom w:val="0"/>
      <w:divBdr>
        <w:top w:val="none" w:sz="0" w:space="0" w:color="auto"/>
        <w:left w:val="none" w:sz="0" w:space="0" w:color="auto"/>
        <w:bottom w:val="none" w:sz="0" w:space="0" w:color="auto"/>
        <w:right w:val="none" w:sz="0" w:space="0" w:color="auto"/>
      </w:divBdr>
    </w:div>
    <w:div w:id="829293710">
      <w:bodyDiv w:val="1"/>
      <w:marLeft w:val="0"/>
      <w:marRight w:val="0"/>
      <w:marTop w:val="0"/>
      <w:marBottom w:val="0"/>
      <w:divBdr>
        <w:top w:val="none" w:sz="0" w:space="0" w:color="auto"/>
        <w:left w:val="none" w:sz="0" w:space="0" w:color="auto"/>
        <w:bottom w:val="none" w:sz="0" w:space="0" w:color="auto"/>
        <w:right w:val="none" w:sz="0" w:space="0" w:color="auto"/>
      </w:divBdr>
    </w:div>
    <w:div w:id="829298968">
      <w:bodyDiv w:val="1"/>
      <w:marLeft w:val="0"/>
      <w:marRight w:val="0"/>
      <w:marTop w:val="0"/>
      <w:marBottom w:val="0"/>
      <w:divBdr>
        <w:top w:val="none" w:sz="0" w:space="0" w:color="auto"/>
        <w:left w:val="none" w:sz="0" w:space="0" w:color="auto"/>
        <w:bottom w:val="none" w:sz="0" w:space="0" w:color="auto"/>
        <w:right w:val="none" w:sz="0" w:space="0" w:color="auto"/>
      </w:divBdr>
    </w:div>
    <w:div w:id="829373216">
      <w:bodyDiv w:val="1"/>
      <w:marLeft w:val="0"/>
      <w:marRight w:val="0"/>
      <w:marTop w:val="0"/>
      <w:marBottom w:val="0"/>
      <w:divBdr>
        <w:top w:val="none" w:sz="0" w:space="0" w:color="auto"/>
        <w:left w:val="none" w:sz="0" w:space="0" w:color="auto"/>
        <w:bottom w:val="none" w:sz="0" w:space="0" w:color="auto"/>
        <w:right w:val="none" w:sz="0" w:space="0" w:color="auto"/>
      </w:divBdr>
    </w:div>
    <w:div w:id="829557992">
      <w:bodyDiv w:val="1"/>
      <w:marLeft w:val="0"/>
      <w:marRight w:val="0"/>
      <w:marTop w:val="0"/>
      <w:marBottom w:val="0"/>
      <w:divBdr>
        <w:top w:val="none" w:sz="0" w:space="0" w:color="auto"/>
        <w:left w:val="none" w:sz="0" w:space="0" w:color="auto"/>
        <w:bottom w:val="none" w:sz="0" w:space="0" w:color="auto"/>
        <w:right w:val="none" w:sz="0" w:space="0" w:color="auto"/>
      </w:divBdr>
    </w:div>
    <w:div w:id="829559711">
      <w:bodyDiv w:val="1"/>
      <w:marLeft w:val="0"/>
      <w:marRight w:val="0"/>
      <w:marTop w:val="0"/>
      <w:marBottom w:val="0"/>
      <w:divBdr>
        <w:top w:val="none" w:sz="0" w:space="0" w:color="auto"/>
        <w:left w:val="none" w:sz="0" w:space="0" w:color="auto"/>
        <w:bottom w:val="none" w:sz="0" w:space="0" w:color="auto"/>
        <w:right w:val="none" w:sz="0" w:space="0" w:color="auto"/>
      </w:divBdr>
    </w:div>
    <w:div w:id="829559827">
      <w:bodyDiv w:val="1"/>
      <w:marLeft w:val="0"/>
      <w:marRight w:val="0"/>
      <w:marTop w:val="0"/>
      <w:marBottom w:val="0"/>
      <w:divBdr>
        <w:top w:val="none" w:sz="0" w:space="0" w:color="auto"/>
        <w:left w:val="none" w:sz="0" w:space="0" w:color="auto"/>
        <w:bottom w:val="none" w:sz="0" w:space="0" w:color="auto"/>
        <w:right w:val="none" w:sz="0" w:space="0" w:color="auto"/>
      </w:divBdr>
    </w:div>
    <w:div w:id="829560618">
      <w:bodyDiv w:val="1"/>
      <w:marLeft w:val="0"/>
      <w:marRight w:val="0"/>
      <w:marTop w:val="0"/>
      <w:marBottom w:val="0"/>
      <w:divBdr>
        <w:top w:val="none" w:sz="0" w:space="0" w:color="auto"/>
        <w:left w:val="none" w:sz="0" w:space="0" w:color="auto"/>
        <w:bottom w:val="none" w:sz="0" w:space="0" w:color="auto"/>
        <w:right w:val="none" w:sz="0" w:space="0" w:color="auto"/>
      </w:divBdr>
    </w:div>
    <w:div w:id="829906825">
      <w:bodyDiv w:val="1"/>
      <w:marLeft w:val="0"/>
      <w:marRight w:val="0"/>
      <w:marTop w:val="0"/>
      <w:marBottom w:val="0"/>
      <w:divBdr>
        <w:top w:val="none" w:sz="0" w:space="0" w:color="auto"/>
        <w:left w:val="none" w:sz="0" w:space="0" w:color="auto"/>
        <w:bottom w:val="none" w:sz="0" w:space="0" w:color="auto"/>
        <w:right w:val="none" w:sz="0" w:space="0" w:color="auto"/>
      </w:divBdr>
    </w:div>
    <w:div w:id="830028009">
      <w:bodyDiv w:val="1"/>
      <w:marLeft w:val="0"/>
      <w:marRight w:val="0"/>
      <w:marTop w:val="0"/>
      <w:marBottom w:val="0"/>
      <w:divBdr>
        <w:top w:val="none" w:sz="0" w:space="0" w:color="auto"/>
        <w:left w:val="none" w:sz="0" w:space="0" w:color="auto"/>
        <w:bottom w:val="none" w:sz="0" w:space="0" w:color="auto"/>
        <w:right w:val="none" w:sz="0" w:space="0" w:color="auto"/>
      </w:divBdr>
    </w:div>
    <w:div w:id="830096519">
      <w:bodyDiv w:val="1"/>
      <w:marLeft w:val="0"/>
      <w:marRight w:val="0"/>
      <w:marTop w:val="0"/>
      <w:marBottom w:val="0"/>
      <w:divBdr>
        <w:top w:val="none" w:sz="0" w:space="0" w:color="auto"/>
        <w:left w:val="none" w:sz="0" w:space="0" w:color="auto"/>
        <w:bottom w:val="none" w:sz="0" w:space="0" w:color="auto"/>
        <w:right w:val="none" w:sz="0" w:space="0" w:color="auto"/>
      </w:divBdr>
    </w:div>
    <w:div w:id="830176533">
      <w:bodyDiv w:val="1"/>
      <w:marLeft w:val="0"/>
      <w:marRight w:val="0"/>
      <w:marTop w:val="0"/>
      <w:marBottom w:val="0"/>
      <w:divBdr>
        <w:top w:val="none" w:sz="0" w:space="0" w:color="auto"/>
        <w:left w:val="none" w:sz="0" w:space="0" w:color="auto"/>
        <w:bottom w:val="none" w:sz="0" w:space="0" w:color="auto"/>
        <w:right w:val="none" w:sz="0" w:space="0" w:color="auto"/>
      </w:divBdr>
    </w:div>
    <w:div w:id="830220270">
      <w:bodyDiv w:val="1"/>
      <w:marLeft w:val="0"/>
      <w:marRight w:val="0"/>
      <w:marTop w:val="0"/>
      <w:marBottom w:val="0"/>
      <w:divBdr>
        <w:top w:val="none" w:sz="0" w:space="0" w:color="auto"/>
        <w:left w:val="none" w:sz="0" w:space="0" w:color="auto"/>
        <w:bottom w:val="none" w:sz="0" w:space="0" w:color="auto"/>
        <w:right w:val="none" w:sz="0" w:space="0" w:color="auto"/>
      </w:divBdr>
    </w:div>
    <w:div w:id="830371478">
      <w:bodyDiv w:val="1"/>
      <w:marLeft w:val="0"/>
      <w:marRight w:val="0"/>
      <w:marTop w:val="0"/>
      <w:marBottom w:val="0"/>
      <w:divBdr>
        <w:top w:val="none" w:sz="0" w:space="0" w:color="auto"/>
        <w:left w:val="none" w:sz="0" w:space="0" w:color="auto"/>
        <w:bottom w:val="none" w:sz="0" w:space="0" w:color="auto"/>
        <w:right w:val="none" w:sz="0" w:space="0" w:color="auto"/>
      </w:divBdr>
    </w:div>
    <w:div w:id="830412846">
      <w:bodyDiv w:val="1"/>
      <w:marLeft w:val="0"/>
      <w:marRight w:val="0"/>
      <w:marTop w:val="0"/>
      <w:marBottom w:val="0"/>
      <w:divBdr>
        <w:top w:val="none" w:sz="0" w:space="0" w:color="auto"/>
        <w:left w:val="none" w:sz="0" w:space="0" w:color="auto"/>
        <w:bottom w:val="none" w:sz="0" w:space="0" w:color="auto"/>
        <w:right w:val="none" w:sz="0" w:space="0" w:color="auto"/>
      </w:divBdr>
    </w:div>
    <w:div w:id="830605247">
      <w:bodyDiv w:val="1"/>
      <w:marLeft w:val="0"/>
      <w:marRight w:val="0"/>
      <w:marTop w:val="0"/>
      <w:marBottom w:val="0"/>
      <w:divBdr>
        <w:top w:val="none" w:sz="0" w:space="0" w:color="auto"/>
        <w:left w:val="none" w:sz="0" w:space="0" w:color="auto"/>
        <w:bottom w:val="none" w:sz="0" w:space="0" w:color="auto"/>
        <w:right w:val="none" w:sz="0" w:space="0" w:color="auto"/>
      </w:divBdr>
    </w:div>
    <w:div w:id="830677249">
      <w:bodyDiv w:val="1"/>
      <w:marLeft w:val="0"/>
      <w:marRight w:val="0"/>
      <w:marTop w:val="0"/>
      <w:marBottom w:val="0"/>
      <w:divBdr>
        <w:top w:val="none" w:sz="0" w:space="0" w:color="auto"/>
        <w:left w:val="none" w:sz="0" w:space="0" w:color="auto"/>
        <w:bottom w:val="none" w:sz="0" w:space="0" w:color="auto"/>
        <w:right w:val="none" w:sz="0" w:space="0" w:color="auto"/>
      </w:divBdr>
    </w:div>
    <w:div w:id="830756238">
      <w:bodyDiv w:val="1"/>
      <w:marLeft w:val="0"/>
      <w:marRight w:val="0"/>
      <w:marTop w:val="0"/>
      <w:marBottom w:val="0"/>
      <w:divBdr>
        <w:top w:val="none" w:sz="0" w:space="0" w:color="auto"/>
        <w:left w:val="none" w:sz="0" w:space="0" w:color="auto"/>
        <w:bottom w:val="none" w:sz="0" w:space="0" w:color="auto"/>
        <w:right w:val="none" w:sz="0" w:space="0" w:color="auto"/>
      </w:divBdr>
    </w:div>
    <w:div w:id="830801284">
      <w:bodyDiv w:val="1"/>
      <w:marLeft w:val="0"/>
      <w:marRight w:val="0"/>
      <w:marTop w:val="0"/>
      <w:marBottom w:val="0"/>
      <w:divBdr>
        <w:top w:val="none" w:sz="0" w:space="0" w:color="auto"/>
        <w:left w:val="none" w:sz="0" w:space="0" w:color="auto"/>
        <w:bottom w:val="none" w:sz="0" w:space="0" w:color="auto"/>
        <w:right w:val="none" w:sz="0" w:space="0" w:color="auto"/>
      </w:divBdr>
    </w:div>
    <w:div w:id="831071184">
      <w:bodyDiv w:val="1"/>
      <w:marLeft w:val="0"/>
      <w:marRight w:val="0"/>
      <w:marTop w:val="0"/>
      <w:marBottom w:val="0"/>
      <w:divBdr>
        <w:top w:val="none" w:sz="0" w:space="0" w:color="auto"/>
        <w:left w:val="none" w:sz="0" w:space="0" w:color="auto"/>
        <w:bottom w:val="none" w:sz="0" w:space="0" w:color="auto"/>
        <w:right w:val="none" w:sz="0" w:space="0" w:color="auto"/>
      </w:divBdr>
    </w:div>
    <w:div w:id="831411996">
      <w:bodyDiv w:val="1"/>
      <w:marLeft w:val="0"/>
      <w:marRight w:val="0"/>
      <w:marTop w:val="0"/>
      <w:marBottom w:val="0"/>
      <w:divBdr>
        <w:top w:val="none" w:sz="0" w:space="0" w:color="auto"/>
        <w:left w:val="none" w:sz="0" w:space="0" w:color="auto"/>
        <w:bottom w:val="none" w:sz="0" w:space="0" w:color="auto"/>
        <w:right w:val="none" w:sz="0" w:space="0" w:color="auto"/>
      </w:divBdr>
    </w:div>
    <w:div w:id="831413783">
      <w:bodyDiv w:val="1"/>
      <w:marLeft w:val="0"/>
      <w:marRight w:val="0"/>
      <w:marTop w:val="0"/>
      <w:marBottom w:val="0"/>
      <w:divBdr>
        <w:top w:val="none" w:sz="0" w:space="0" w:color="auto"/>
        <w:left w:val="none" w:sz="0" w:space="0" w:color="auto"/>
        <w:bottom w:val="none" w:sz="0" w:space="0" w:color="auto"/>
        <w:right w:val="none" w:sz="0" w:space="0" w:color="auto"/>
      </w:divBdr>
    </w:div>
    <w:div w:id="831718093">
      <w:bodyDiv w:val="1"/>
      <w:marLeft w:val="0"/>
      <w:marRight w:val="0"/>
      <w:marTop w:val="0"/>
      <w:marBottom w:val="0"/>
      <w:divBdr>
        <w:top w:val="none" w:sz="0" w:space="0" w:color="auto"/>
        <w:left w:val="none" w:sz="0" w:space="0" w:color="auto"/>
        <w:bottom w:val="none" w:sz="0" w:space="0" w:color="auto"/>
        <w:right w:val="none" w:sz="0" w:space="0" w:color="auto"/>
      </w:divBdr>
    </w:div>
    <w:div w:id="831718844">
      <w:bodyDiv w:val="1"/>
      <w:marLeft w:val="0"/>
      <w:marRight w:val="0"/>
      <w:marTop w:val="0"/>
      <w:marBottom w:val="0"/>
      <w:divBdr>
        <w:top w:val="none" w:sz="0" w:space="0" w:color="auto"/>
        <w:left w:val="none" w:sz="0" w:space="0" w:color="auto"/>
        <w:bottom w:val="none" w:sz="0" w:space="0" w:color="auto"/>
        <w:right w:val="none" w:sz="0" w:space="0" w:color="auto"/>
      </w:divBdr>
    </w:div>
    <w:div w:id="831793080">
      <w:bodyDiv w:val="1"/>
      <w:marLeft w:val="0"/>
      <w:marRight w:val="0"/>
      <w:marTop w:val="0"/>
      <w:marBottom w:val="0"/>
      <w:divBdr>
        <w:top w:val="none" w:sz="0" w:space="0" w:color="auto"/>
        <w:left w:val="none" w:sz="0" w:space="0" w:color="auto"/>
        <w:bottom w:val="none" w:sz="0" w:space="0" w:color="auto"/>
        <w:right w:val="none" w:sz="0" w:space="0" w:color="auto"/>
      </w:divBdr>
    </w:div>
    <w:div w:id="831796031">
      <w:bodyDiv w:val="1"/>
      <w:marLeft w:val="0"/>
      <w:marRight w:val="0"/>
      <w:marTop w:val="0"/>
      <w:marBottom w:val="0"/>
      <w:divBdr>
        <w:top w:val="none" w:sz="0" w:space="0" w:color="auto"/>
        <w:left w:val="none" w:sz="0" w:space="0" w:color="auto"/>
        <w:bottom w:val="none" w:sz="0" w:space="0" w:color="auto"/>
        <w:right w:val="none" w:sz="0" w:space="0" w:color="auto"/>
      </w:divBdr>
    </w:div>
    <w:div w:id="832448520">
      <w:bodyDiv w:val="1"/>
      <w:marLeft w:val="0"/>
      <w:marRight w:val="0"/>
      <w:marTop w:val="0"/>
      <w:marBottom w:val="0"/>
      <w:divBdr>
        <w:top w:val="none" w:sz="0" w:space="0" w:color="auto"/>
        <w:left w:val="none" w:sz="0" w:space="0" w:color="auto"/>
        <w:bottom w:val="none" w:sz="0" w:space="0" w:color="auto"/>
        <w:right w:val="none" w:sz="0" w:space="0" w:color="auto"/>
      </w:divBdr>
    </w:div>
    <w:div w:id="832450279">
      <w:bodyDiv w:val="1"/>
      <w:marLeft w:val="0"/>
      <w:marRight w:val="0"/>
      <w:marTop w:val="0"/>
      <w:marBottom w:val="0"/>
      <w:divBdr>
        <w:top w:val="none" w:sz="0" w:space="0" w:color="auto"/>
        <w:left w:val="none" w:sz="0" w:space="0" w:color="auto"/>
        <w:bottom w:val="none" w:sz="0" w:space="0" w:color="auto"/>
        <w:right w:val="none" w:sz="0" w:space="0" w:color="auto"/>
      </w:divBdr>
    </w:div>
    <w:div w:id="832526186">
      <w:bodyDiv w:val="1"/>
      <w:marLeft w:val="0"/>
      <w:marRight w:val="0"/>
      <w:marTop w:val="0"/>
      <w:marBottom w:val="0"/>
      <w:divBdr>
        <w:top w:val="none" w:sz="0" w:space="0" w:color="auto"/>
        <w:left w:val="none" w:sz="0" w:space="0" w:color="auto"/>
        <w:bottom w:val="none" w:sz="0" w:space="0" w:color="auto"/>
        <w:right w:val="none" w:sz="0" w:space="0" w:color="auto"/>
      </w:divBdr>
    </w:div>
    <w:div w:id="832599760">
      <w:bodyDiv w:val="1"/>
      <w:marLeft w:val="0"/>
      <w:marRight w:val="0"/>
      <w:marTop w:val="0"/>
      <w:marBottom w:val="0"/>
      <w:divBdr>
        <w:top w:val="none" w:sz="0" w:space="0" w:color="auto"/>
        <w:left w:val="none" w:sz="0" w:space="0" w:color="auto"/>
        <w:bottom w:val="none" w:sz="0" w:space="0" w:color="auto"/>
        <w:right w:val="none" w:sz="0" w:space="0" w:color="auto"/>
      </w:divBdr>
    </w:div>
    <w:div w:id="832648075">
      <w:bodyDiv w:val="1"/>
      <w:marLeft w:val="0"/>
      <w:marRight w:val="0"/>
      <w:marTop w:val="0"/>
      <w:marBottom w:val="0"/>
      <w:divBdr>
        <w:top w:val="none" w:sz="0" w:space="0" w:color="auto"/>
        <w:left w:val="none" w:sz="0" w:space="0" w:color="auto"/>
        <w:bottom w:val="none" w:sz="0" w:space="0" w:color="auto"/>
        <w:right w:val="none" w:sz="0" w:space="0" w:color="auto"/>
      </w:divBdr>
    </w:div>
    <w:div w:id="832839111">
      <w:bodyDiv w:val="1"/>
      <w:marLeft w:val="0"/>
      <w:marRight w:val="0"/>
      <w:marTop w:val="0"/>
      <w:marBottom w:val="0"/>
      <w:divBdr>
        <w:top w:val="none" w:sz="0" w:space="0" w:color="auto"/>
        <w:left w:val="none" w:sz="0" w:space="0" w:color="auto"/>
        <w:bottom w:val="none" w:sz="0" w:space="0" w:color="auto"/>
        <w:right w:val="none" w:sz="0" w:space="0" w:color="auto"/>
      </w:divBdr>
    </w:div>
    <w:div w:id="832841812">
      <w:bodyDiv w:val="1"/>
      <w:marLeft w:val="0"/>
      <w:marRight w:val="0"/>
      <w:marTop w:val="0"/>
      <w:marBottom w:val="0"/>
      <w:divBdr>
        <w:top w:val="none" w:sz="0" w:space="0" w:color="auto"/>
        <w:left w:val="none" w:sz="0" w:space="0" w:color="auto"/>
        <w:bottom w:val="none" w:sz="0" w:space="0" w:color="auto"/>
        <w:right w:val="none" w:sz="0" w:space="0" w:color="auto"/>
      </w:divBdr>
    </w:div>
    <w:div w:id="833105329">
      <w:bodyDiv w:val="1"/>
      <w:marLeft w:val="0"/>
      <w:marRight w:val="0"/>
      <w:marTop w:val="0"/>
      <w:marBottom w:val="0"/>
      <w:divBdr>
        <w:top w:val="none" w:sz="0" w:space="0" w:color="auto"/>
        <w:left w:val="none" w:sz="0" w:space="0" w:color="auto"/>
        <w:bottom w:val="none" w:sz="0" w:space="0" w:color="auto"/>
        <w:right w:val="none" w:sz="0" w:space="0" w:color="auto"/>
      </w:divBdr>
    </w:div>
    <w:div w:id="833108775">
      <w:bodyDiv w:val="1"/>
      <w:marLeft w:val="0"/>
      <w:marRight w:val="0"/>
      <w:marTop w:val="0"/>
      <w:marBottom w:val="0"/>
      <w:divBdr>
        <w:top w:val="none" w:sz="0" w:space="0" w:color="auto"/>
        <w:left w:val="none" w:sz="0" w:space="0" w:color="auto"/>
        <w:bottom w:val="none" w:sz="0" w:space="0" w:color="auto"/>
        <w:right w:val="none" w:sz="0" w:space="0" w:color="auto"/>
      </w:divBdr>
    </w:div>
    <w:div w:id="833492903">
      <w:bodyDiv w:val="1"/>
      <w:marLeft w:val="0"/>
      <w:marRight w:val="0"/>
      <w:marTop w:val="0"/>
      <w:marBottom w:val="0"/>
      <w:divBdr>
        <w:top w:val="none" w:sz="0" w:space="0" w:color="auto"/>
        <w:left w:val="none" w:sz="0" w:space="0" w:color="auto"/>
        <w:bottom w:val="none" w:sz="0" w:space="0" w:color="auto"/>
        <w:right w:val="none" w:sz="0" w:space="0" w:color="auto"/>
      </w:divBdr>
    </w:div>
    <w:div w:id="833641413">
      <w:bodyDiv w:val="1"/>
      <w:marLeft w:val="0"/>
      <w:marRight w:val="0"/>
      <w:marTop w:val="0"/>
      <w:marBottom w:val="0"/>
      <w:divBdr>
        <w:top w:val="none" w:sz="0" w:space="0" w:color="auto"/>
        <w:left w:val="none" w:sz="0" w:space="0" w:color="auto"/>
        <w:bottom w:val="none" w:sz="0" w:space="0" w:color="auto"/>
        <w:right w:val="none" w:sz="0" w:space="0" w:color="auto"/>
      </w:divBdr>
    </w:div>
    <w:div w:id="833762558">
      <w:bodyDiv w:val="1"/>
      <w:marLeft w:val="0"/>
      <w:marRight w:val="0"/>
      <w:marTop w:val="0"/>
      <w:marBottom w:val="0"/>
      <w:divBdr>
        <w:top w:val="none" w:sz="0" w:space="0" w:color="auto"/>
        <w:left w:val="none" w:sz="0" w:space="0" w:color="auto"/>
        <w:bottom w:val="none" w:sz="0" w:space="0" w:color="auto"/>
        <w:right w:val="none" w:sz="0" w:space="0" w:color="auto"/>
      </w:divBdr>
    </w:div>
    <w:div w:id="833953385">
      <w:bodyDiv w:val="1"/>
      <w:marLeft w:val="0"/>
      <w:marRight w:val="0"/>
      <w:marTop w:val="0"/>
      <w:marBottom w:val="0"/>
      <w:divBdr>
        <w:top w:val="none" w:sz="0" w:space="0" w:color="auto"/>
        <w:left w:val="none" w:sz="0" w:space="0" w:color="auto"/>
        <w:bottom w:val="none" w:sz="0" w:space="0" w:color="auto"/>
        <w:right w:val="none" w:sz="0" w:space="0" w:color="auto"/>
      </w:divBdr>
    </w:div>
    <w:div w:id="833958404">
      <w:bodyDiv w:val="1"/>
      <w:marLeft w:val="0"/>
      <w:marRight w:val="0"/>
      <w:marTop w:val="0"/>
      <w:marBottom w:val="0"/>
      <w:divBdr>
        <w:top w:val="none" w:sz="0" w:space="0" w:color="auto"/>
        <w:left w:val="none" w:sz="0" w:space="0" w:color="auto"/>
        <w:bottom w:val="none" w:sz="0" w:space="0" w:color="auto"/>
        <w:right w:val="none" w:sz="0" w:space="0" w:color="auto"/>
      </w:divBdr>
    </w:div>
    <w:div w:id="834220315">
      <w:bodyDiv w:val="1"/>
      <w:marLeft w:val="0"/>
      <w:marRight w:val="0"/>
      <w:marTop w:val="0"/>
      <w:marBottom w:val="0"/>
      <w:divBdr>
        <w:top w:val="none" w:sz="0" w:space="0" w:color="auto"/>
        <w:left w:val="none" w:sz="0" w:space="0" w:color="auto"/>
        <w:bottom w:val="none" w:sz="0" w:space="0" w:color="auto"/>
        <w:right w:val="none" w:sz="0" w:space="0" w:color="auto"/>
      </w:divBdr>
    </w:div>
    <w:div w:id="834344639">
      <w:bodyDiv w:val="1"/>
      <w:marLeft w:val="0"/>
      <w:marRight w:val="0"/>
      <w:marTop w:val="0"/>
      <w:marBottom w:val="0"/>
      <w:divBdr>
        <w:top w:val="none" w:sz="0" w:space="0" w:color="auto"/>
        <w:left w:val="none" w:sz="0" w:space="0" w:color="auto"/>
        <w:bottom w:val="none" w:sz="0" w:space="0" w:color="auto"/>
        <w:right w:val="none" w:sz="0" w:space="0" w:color="auto"/>
      </w:divBdr>
    </w:div>
    <w:div w:id="834414813">
      <w:bodyDiv w:val="1"/>
      <w:marLeft w:val="0"/>
      <w:marRight w:val="0"/>
      <w:marTop w:val="0"/>
      <w:marBottom w:val="0"/>
      <w:divBdr>
        <w:top w:val="none" w:sz="0" w:space="0" w:color="auto"/>
        <w:left w:val="none" w:sz="0" w:space="0" w:color="auto"/>
        <w:bottom w:val="none" w:sz="0" w:space="0" w:color="auto"/>
        <w:right w:val="none" w:sz="0" w:space="0" w:color="auto"/>
      </w:divBdr>
    </w:div>
    <w:div w:id="834416652">
      <w:bodyDiv w:val="1"/>
      <w:marLeft w:val="0"/>
      <w:marRight w:val="0"/>
      <w:marTop w:val="0"/>
      <w:marBottom w:val="0"/>
      <w:divBdr>
        <w:top w:val="none" w:sz="0" w:space="0" w:color="auto"/>
        <w:left w:val="none" w:sz="0" w:space="0" w:color="auto"/>
        <w:bottom w:val="none" w:sz="0" w:space="0" w:color="auto"/>
        <w:right w:val="none" w:sz="0" w:space="0" w:color="auto"/>
      </w:divBdr>
    </w:div>
    <w:div w:id="834493997">
      <w:bodyDiv w:val="1"/>
      <w:marLeft w:val="0"/>
      <w:marRight w:val="0"/>
      <w:marTop w:val="0"/>
      <w:marBottom w:val="0"/>
      <w:divBdr>
        <w:top w:val="none" w:sz="0" w:space="0" w:color="auto"/>
        <w:left w:val="none" w:sz="0" w:space="0" w:color="auto"/>
        <w:bottom w:val="none" w:sz="0" w:space="0" w:color="auto"/>
        <w:right w:val="none" w:sz="0" w:space="0" w:color="auto"/>
      </w:divBdr>
    </w:div>
    <w:div w:id="834540856">
      <w:bodyDiv w:val="1"/>
      <w:marLeft w:val="0"/>
      <w:marRight w:val="0"/>
      <w:marTop w:val="0"/>
      <w:marBottom w:val="0"/>
      <w:divBdr>
        <w:top w:val="none" w:sz="0" w:space="0" w:color="auto"/>
        <w:left w:val="none" w:sz="0" w:space="0" w:color="auto"/>
        <w:bottom w:val="none" w:sz="0" w:space="0" w:color="auto"/>
        <w:right w:val="none" w:sz="0" w:space="0" w:color="auto"/>
      </w:divBdr>
    </w:div>
    <w:div w:id="834688974">
      <w:bodyDiv w:val="1"/>
      <w:marLeft w:val="0"/>
      <w:marRight w:val="0"/>
      <w:marTop w:val="0"/>
      <w:marBottom w:val="0"/>
      <w:divBdr>
        <w:top w:val="none" w:sz="0" w:space="0" w:color="auto"/>
        <w:left w:val="none" w:sz="0" w:space="0" w:color="auto"/>
        <w:bottom w:val="none" w:sz="0" w:space="0" w:color="auto"/>
        <w:right w:val="none" w:sz="0" w:space="0" w:color="auto"/>
      </w:divBdr>
    </w:div>
    <w:div w:id="835074592">
      <w:bodyDiv w:val="1"/>
      <w:marLeft w:val="0"/>
      <w:marRight w:val="0"/>
      <w:marTop w:val="0"/>
      <w:marBottom w:val="0"/>
      <w:divBdr>
        <w:top w:val="none" w:sz="0" w:space="0" w:color="auto"/>
        <w:left w:val="none" w:sz="0" w:space="0" w:color="auto"/>
        <w:bottom w:val="none" w:sz="0" w:space="0" w:color="auto"/>
        <w:right w:val="none" w:sz="0" w:space="0" w:color="auto"/>
      </w:divBdr>
    </w:div>
    <w:div w:id="835223132">
      <w:bodyDiv w:val="1"/>
      <w:marLeft w:val="0"/>
      <w:marRight w:val="0"/>
      <w:marTop w:val="0"/>
      <w:marBottom w:val="0"/>
      <w:divBdr>
        <w:top w:val="none" w:sz="0" w:space="0" w:color="auto"/>
        <w:left w:val="none" w:sz="0" w:space="0" w:color="auto"/>
        <w:bottom w:val="none" w:sz="0" w:space="0" w:color="auto"/>
        <w:right w:val="none" w:sz="0" w:space="0" w:color="auto"/>
      </w:divBdr>
    </w:div>
    <w:div w:id="835263733">
      <w:bodyDiv w:val="1"/>
      <w:marLeft w:val="0"/>
      <w:marRight w:val="0"/>
      <w:marTop w:val="0"/>
      <w:marBottom w:val="0"/>
      <w:divBdr>
        <w:top w:val="none" w:sz="0" w:space="0" w:color="auto"/>
        <w:left w:val="none" w:sz="0" w:space="0" w:color="auto"/>
        <w:bottom w:val="none" w:sz="0" w:space="0" w:color="auto"/>
        <w:right w:val="none" w:sz="0" w:space="0" w:color="auto"/>
      </w:divBdr>
    </w:div>
    <w:div w:id="835270086">
      <w:bodyDiv w:val="1"/>
      <w:marLeft w:val="0"/>
      <w:marRight w:val="0"/>
      <w:marTop w:val="0"/>
      <w:marBottom w:val="0"/>
      <w:divBdr>
        <w:top w:val="none" w:sz="0" w:space="0" w:color="auto"/>
        <w:left w:val="none" w:sz="0" w:space="0" w:color="auto"/>
        <w:bottom w:val="none" w:sz="0" w:space="0" w:color="auto"/>
        <w:right w:val="none" w:sz="0" w:space="0" w:color="auto"/>
      </w:divBdr>
    </w:div>
    <w:div w:id="835337822">
      <w:bodyDiv w:val="1"/>
      <w:marLeft w:val="0"/>
      <w:marRight w:val="0"/>
      <w:marTop w:val="0"/>
      <w:marBottom w:val="0"/>
      <w:divBdr>
        <w:top w:val="none" w:sz="0" w:space="0" w:color="auto"/>
        <w:left w:val="none" w:sz="0" w:space="0" w:color="auto"/>
        <w:bottom w:val="none" w:sz="0" w:space="0" w:color="auto"/>
        <w:right w:val="none" w:sz="0" w:space="0" w:color="auto"/>
      </w:divBdr>
    </w:div>
    <w:div w:id="835346325">
      <w:bodyDiv w:val="1"/>
      <w:marLeft w:val="0"/>
      <w:marRight w:val="0"/>
      <w:marTop w:val="0"/>
      <w:marBottom w:val="0"/>
      <w:divBdr>
        <w:top w:val="none" w:sz="0" w:space="0" w:color="auto"/>
        <w:left w:val="none" w:sz="0" w:space="0" w:color="auto"/>
        <w:bottom w:val="none" w:sz="0" w:space="0" w:color="auto"/>
        <w:right w:val="none" w:sz="0" w:space="0" w:color="auto"/>
      </w:divBdr>
    </w:div>
    <w:div w:id="835387782">
      <w:bodyDiv w:val="1"/>
      <w:marLeft w:val="0"/>
      <w:marRight w:val="0"/>
      <w:marTop w:val="0"/>
      <w:marBottom w:val="0"/>
      <w:divBdr>
        <w:top w:val="none" w:sz="0" w:space="0" w:color="auto"/>
        <w:left w:val="none" w:sz="0" w:space="0" w:color="auto"/>
        <w:bottom w:val="none" w:sz="0" w:space="0" w:color="auto"/>
        <w:right w:val="none" w:sz="0" w:space="0" w:color="auto"/>
      </w:divBdr>
    </w:div>
    <w:div w:id="835417772">
      <w:bodyDiv w:val="1"/>
      <w:marLeft w:val="0"/>
      <w:marRight w:val="0"/>
      <w:marTop w:val="0"/>
      <w:marBottom w:val="0"/>
      <w:divBdr>
        <w:top w:val="none" w:sz="0" w:space="0" w:color="auto"/>
        <w:left w:val="none" w:sz="0" w:space="0" w:color="auto"/>
        <w:bottom w:val="none" w:sz="0" w:space="0" w:color="auto"/>
        <w:right w:val="none" w:sz="0" w:space="0" w:color="auto"/>
      </w:divBdr>
    </w:div>
    <w:div w:id="835534001">
      <w:bodyDiv w:val="1"/>
      <w:marLeft w:val="0"/>
      <w:marRight w:val="0"/>
      <w:marTop w:val="0"/>
      <w:marBottom w:val="0"/>
      <w:divBdr>
        <w:top w:val="none" w:sz="0" w:space="0" w:color="auto"/>
        <w:left w:val="none" w:sz="0" w:space="0" w:color="auto"/>
        <w:bottom w:val="none" w:sz="0" w:space="0" w:color="auto"/>
        <w:right w:val="none" w:sz="0" w:space="0" w:color="auto"/>
      </w:divBdr>
    </w:div>
    <w:div w:id="835606785">
      <w:bodyDiv w:val="1"/>
      <w:marLeft w:val="0"/>
      <w:marRight w:val="0"/>
      <w:marTop w:val="0"/>
      <w:marBottom w:val="0"/>
      <w:divBdr>
        <w:top w:val="none" w:sz="0" w:space="0" w:color="auto"/>
        <w:left w:val="none" w:sz="0" w:space="0" w:color="auto"/>
        <w:bottom w:val="none" w:sz="0" w:space="0" w:color="auto"/>
        <w:right w:val="none" w:sz="0" w:space="0" w:color="auto"/>
      </w:divBdr>
    </w:div>
    <w:div w:id="835607231">
      <w:bodyDiv w:val="1"/>
      <w:marLeft w:val="0"/>
      <w:marRight w:val="0"/>
      <w:marTop w:val="0"/>
      <w:marBottom w:val="0"/>
      <w:divBdr>
        <w:top w:val="none" w:sz="0" w:space="0" w:color="auto"/>
        <w:left w:val="none" w:sz="0" w:space="0" w:color="auto"/>
        <w:bottom w:val="none" w:sz="0" w:space="0" w:color="auto"/>
        <w:right w:val="none" w:sz="0" w:space="0" w:color="auto"/>
      </w:divBdr>
    </w:div>
    <w:div w:id="835608251">
      <w:bodyDiv w:val="1"/>
      <w:marLeft w:val="0"/>
      <w:marRight w:val="0"/>
      <w:marTop w:val="0"/>
      <w:marBottom w:val="0"/>
      <w:divBdr>
        <w:top w:val="none" w:sz="0" w:space="0" w:color="auto"/>
        <w:left w:val="none" w:sz="0" w:space="0" w:color="auto"/>
        <w:bottom w:val="none" w:sz="0" w:space="0" w:color="auto"/>
        <w:right w:val="none" w:sz="0" w:space="0" w:color="auto"/>
      </w:divBdr>
    </w:div>
    <w:div w:id="835731844">
      <w:bodyDiv w:val="1"/>
      <w:marLeft w:val="0"/>
      <w:marRight w:val="0"/>
      <w:marTop w:val="0"/>
      <w:marBottom w:val="0"/>
      <w:divBdr>
        <w:top w:val="none" w:sz="0" w:space="0" w:color="auto"/>
        <w:left w:val="none" w:sz="0" w:space="0" w:color="auto"/>
        <w:bottom w:val="none" w:sz="0" w:space="0" w:color="auto"/>
        <w:right w:val="none" w:sz="0" w:space="0" w:color="auto"/>
      </w:divBdr>
    </w:div>
    <w:div w:id="835847771">
      <w:bodyDiv w:val="1"/>
      <w:marLeft w:val="0"/>
      <w:marRight w:val="0"/>
      <w:marTop w:val="0"/>
      <w:marBottom w:val="0"/>
      <w:divBdr>
        <w:top w:val="none" w:sz="0" w:space="0" w:color="auto"/>
        <w:left w:val="none" w:sz="0" w:space="0" w:color="auto"/>
        <w:bottom w:val="none" w:sz="0" w:space="0" w:color="auto"/>
        <w:right w:val="none" w:sz="0" w:space="0" w:color="auto"/>
      </w:divBdr>
    </w:div>
    <w:div w:id="835919882">
      <w:bodyDiv w:val="1"/>
      <w:marLeft w:val="0"/>
      <w:marRight w:val="0"/>
      <w:marTop w:val="0"/>
      <w:marBottom w:val="0"/>
      <w:divBdr>
        <w:top w:val="none" w:sz="0" w:space="0" w:color="auto"/>
        <w:left w:val="none" w:sz="0" w:space="0" w:color="auto"/>
        <w:bottom w:val="none" w:sz="0" w:space="0" w:color="auto"/>
        <w:right w:val="none" w:sz="0" w:space="0" w:color="auto"/>
      </w:divBdr>
    </w:div>
    <w:div w:id="835925302">
      <w:bodyDiv w:val="1"/>
      <w:marLeft w:val="0"/>
      <w:marRight w:val="0"/>
      <w:marTop w:val="0"/>
      <w:marBottom w:val="0"/>
      <w:divBdr>
        <w:top w:val="none" w:sz="0" w:space="0" w:color="auto"/>
        <w:left w:val="none" w:sz="0" w:space="0" w:color="auto"/>
        <w:bottom w:val="none" w:sz="0" w:space="0" w:color="auto"/>
        <w:right w:val="none" w:sz="0" w:space="0" w:color="auto"/>
      </w:divBdr>
    </w:div>
    <w:div w:id="836044914">
      <w:bodyDiv w:val="1"/>
      <w:marLeft w:val="0"/>
      <w:marRight w:val="0"/>
      <w:marTop w:val="0"/>
      <w:marBottom w:val="0"/>
      <w:divBdr>
        <w:top w:val="none" w:sz="0" w:space="0" w:color="auto"/>
        <w:left w:val="none" w:sz="0" w:space="0" w:color="auto"/>
        <w:bottom w:val="none" w:sz="0" w:space="0" w:color="auto"/>
        <w:right w:val="none" w:sz="0" w:space="0" w:color="auto"/>
      </w:divBdr>
    </w:div>
    <w:div w:id="836111156">
      <w:bodyDiv w:val="1"/>
      <w:marLeft w:val="0"/>
      <w:marRight w:val="0"/>
      <w:marTop w:val="0"/>
      <w:marBottom w:val="0"/>
      <w:divBdr>
        <w:top w:val="none" w:sz="0" w:space="0" w:color="auto"/>
        <w:left w:val="none" w:sz="0" w:space="0" w:color="auto"/>
        <w:bottom w:val="none" w:sz="0" w:space="0" w:color="auto"/>
        <w:right w:val="none" w:sz="0" w:space="0" w:color="auto"/>
      </w:divBdr>
    </w:div>
    <w:div w:id="836116362">
      <w:bodyDiv w:val="1"/>
      <w:marLeft w:val="0"/>
      <w:marRight w:val="0"/>
      <w:marTop w:val="0"/>
      <w:marBottom w:val="0"/>
      <w:divBdr>
        <w:top w:val="none" w:sz="0" w:space="0" w:color="auto"/>
        <w:left w:val="none" w:sz="0" w:space="0" w:color="auto"/>
        <w:bottom w:val="none" w:sz="0" w:space="0" w:color="auto"/>
        <w:right w:val="none" w:sz="0" w:space="0" w:color="auto"/>
      </w:divBdr>
    </w:div>
    <w:div w:id="836269347">
      <w:bodyDiv w:val="1"/>
      <w:marLeft w:val="0"/>
      <w:marRight w:val="0"/>
      <w:marTop w:val="0"/>
      <w:marBottom w:val="0"/>
      <w:divBdr>
        <w:top w:val="none" w:sz="0" w:space="0" w:color="auto"/>
        <w:left w:val="none" w:sz="0" w:space="0" w:color="auto"/>
        <w:bottom w:val="none" w:sz="0" w:space="0" w:color="auto"/>
        <w:right w:val="none" w:sz="0" w:space="0" w:color="auto"/>
      </w:divBdr>
    </w:div>
    <w:div w:id="836310988">
      <w:bodyDiv w:val="1"/>
      <w:marLeft w:val="0"/>
      <w:marRight w:val="0"/>
      <w:marTop w:val="0"/>
      <w:marBottom w:val="0"/>
      <w:divBdr>
        <w:top w:val="none" w:sz="0" w:space="0" w:color="auto"/>
        <w:left w:val="none" w:sz="0" w:space="0" w:color="auto"/>
        <w:bottom w:val="none" w:sz="0" w:space="0" w:color="auto"/>
        <w:right w:val="none" w:sz="0" w:space="0" w:color="auto"/>
      </w:divBdr>
    </w:div>
    <w:div w:id="836387043">
      <w:bodyDiv w:val="1"/>
      <w:marLeft w:val="0"/>
      <w:marRight w:val="0"/>
      <w:marTop w:val="0"/>
      <w:marBottom w:val="0"/>
      <w:divBdr>
        <w:top w:val="none" w:sz="0" w:space="0" w:color="auto"/>
        <w:left w:val="none" w:sz="0" w:space="0" w:color="auto"/>
        <w:bottom w:val="none" w:sz="0" w:space="0" w:color="auto"/>
        <w:right w:val="none" w:sz="0" w:space="0" w:color="auto"/>
      </w:divBdr>
    </w:div>
    <w:div w:id="836456190">
      <w:bodyDiv w:val="1"/>
      <w:marLeft w:val="0"/>
      <w:marRight w:val="0"/>
      <w:marTop w:val="0"/>
      <w:marBottom w:val="0"/>
      <w:divBdr>
        <w:top w:val="none" w:sz="0" w:space="0" w:color="auto"/>
        <w:left w:val="none" w:sz="0" w:space="0" w:color="auto"/>
        <w:bottom w:val="none" w:sz="0" w:space="0" w:color="auto"/>
        <w:right w:val="none" w:sz="0" w:space="0" w:color="auto"/>
      </w:divBdr>
    </w:div>
    <w:div w:id="836574915">
      <w:bodyDiv w:val="1"/>
      <w:marLeft w:val="0"/>
      <w:marRight w:val="0"/>
      <w:marTop w:val="0"/>
      <w:marBottom w:val="0"/>
      <w:divBdr>
        <w:top w:val="none" w:sz="0" w:space="0" w:color="auto"/>
        <w:left w:val="none" w:sz="0" w:space="0" w:color="auto"/>
        <w:bottom w:val="none" w:sz="0" w:space="0" w:color="auto"/>
        <w:right w:val="none" w:sz="0" w:space="0" w:color="auto"/>
      </w:divBdr>
    </w:div>
    <w:div w:id="836992338">
      <w:bodyDiv w:val="1"/>
      <w:marLeft w:val="0"/>
      <w:marRight w:val="0"/>
      <w:marTop w:val="0"/>
      <w:marBottom w:val="0"/>
      <w:divBdr>
        <w:top w:val="none" w:sz="0" w:space="0" w:color="auto"/>
        <w:left w:val="none" w:sz="0" w:space="0" w:color="auto"/>
        <w:bottom w:val="none" w:sz="0" w:space="0" w:color="auto"/>
        <w:right w:val="none" w:sz="0" w:space="0" w:color="auto"/>
      </w:divBdr>
    </w:div>
    <w:div w:id="837308913">
      <w:bodyDiv w:val="1"/>
      <w:marLeft w:val="0"/>
      <w:marRight w:val="0"/>
      <w:marTop w:val="0"/>
      <w:marBottom w:val="0"/>
      <w:divBdr>
        <w:top w:val="none" w:sz="0" w:space="0" w:color="auto"/>
        <w:left w:val="none" w:sz="0" w:space="0" w:color="auto"/>
        <w:bottom w:val="none" w:sz="0" w:space="0" w:color="auto"/>
        <w:right w:val="none" w:sz="0" w:space="0" w:color="auto"/>
      </w:divBdr>
    </w:div>
    <w:div w:id="837426436">
      <w:bodyDiv w:val="1"/>
      <w:marLeft w:val="0"/>
      <w:marRight w:val="0"/>
      <w:marTop w:val="0"/>
      <w:marBottom w:val="0"/>
      <w:divBdr>
        <w:top w:val="none" w:sz="0" w:space="0" w:color="auto"/>
        <w:left w:val="none" w:sz="0" w:space="0" w:color="auto"/>
        <w:bottom w:val="none" w:sz="0" w:space="0" w:color="auto"/>
        <w:right w:val="none" w:sz="0" w:space="0" w:color="auto"/>
      </w:divBdr>
    </w:div>
    <w:div w:id="837428532">
      <w:bodyDiv w:val="1"/>
      <w:marLeft w:val="0"/>
      <w:marRight w:val="0"/>
      <w:marTop w:val="0"/>
      <w:marBottom w:val="0"/>
      <w:divBdr>
        <w:top w:val="none" w:sz="0" w:space="0" w:color="auto"/>
        <w:left w:val="none" w:sz="0" w:space="0" w:color="auto"/>
        <w:bottom w:val="none" w:sz="0" w:space="0" w:color="auto"/>
        <w:right w:val="none" w:sz="0" w:space="0" w:color="auto"/>
      </w:divBdr>
    </w:div>
    <w:div w:id="837574258">
      <w:bodyDiv w:val="1"/>
      <w:marLeft w:val="0"/>
      <w:marRight w:val="0"/>
      <w:marTop w:val="0"/>
      <w:marBottom w:val="0"/>
      <w:divBdr>
        <w:top w:val="none" w:sz="0" w:space="0" w:color="auto"/>
        <w:left w:val="none" w:sz="0" w:space="0" w:color="auto"/>
        <w:bottom w:val="none" w:sz="0" w:space="0" w:color="auto"/>
        <w:right w:val="none" w:sz="0" w:space="0" w:color="auto"/>
      </w:divBdr>
    </w:div>
    <w:div w:id="837844146">
      <w:bodyDiv w:val="1"/>
      <w:marLeft w:val="0"/>
      <w:marRight w:val="0"/>
      <w:marTop w:val="0"/>
      <w:marBottom w:val="0"/>
      <w:divBdr>
        <w:top w:val="none" w:sz="0" w:space="0" w:color="auto"/>
        <w:left w:val="none" w:sz="0" w:space="0" w:color="auto"/>
        <w:bottom w:val="none" w:sz="0" w:space="0" w:color="auto"/>
        <w:right w:val="none" w:sz="0" w:space="0" w:color="auto"/>
      </w:divBdr>
    </w:div>
    <w:div w:id="837888795">
      <w:bodyDiv w:val="1"/>
      <w:marLeft w:val="0"/>
      <w:marRight w:val="0"/>
      <w:marTop w:val="0"/>
      <w:marBottom w:val="0"/>
      <w:divBdr>
        <w:top w:val="none" w:sz="0" w:space="0" w:color="auto"/>
        <w:left w:val="none" w:sz="0" w:space="0" w:color="auto"/>
        <w:bottom w:val="none" w:sz="0" w:space="0" w:color="auto"/>
        <w:right w:val="none" w:sz="0" w:space="0" w:color="auto"/>
      </w:divBdr>
    </w:div>
    <w:div w:id="838076716">
      <w:bodyDiv w:val="1"/>
      <w:marLeft w:val="0"/>
      <w:marRight w:val="0"/>
      <w:marTop w:val="0"/>
      <w:marBottom w:val="0"/>
      <w:divBdr>
        <w:top w:val="none" w:sz="0" w:space="0" w:color="auto"/>
        <w:left w:val="none" w:sz="0" w:space="0" w:color="auto"/>
        <w:bottom w:val="none" w:sz="0" w:space="0" w:color="auto"/>
        <w:right w:val="none" w:sz="0" w:space="0" w:color="auto"/>
      </w:divBdr>
    </w:div>
    <w:div w:id="838159406">
      <w:bodyDiv w:val="1"/>
      <w:marLeft w:val="0"/>
      <w:marRight w:val="0"/>
      <w:marTop w:val="0"/>
      <w:marBottom w:val="0"/>
      <w:divBdr>
        <w:top w:val="none" w:sz="0" w:space="0" w:color="auto"/>
        <w:left w:val="none" w:sz="0" w:space="0" w:color="auto"/>
        <w:bottom w:val="none" w:sz="0" w:space="0" w:color="auto"/>
        <w:right w:val="none" w:sz="0" w:space="0" w:color="auto"/>
      </w:divBdr>
    </w:div>
    <w:div w:id="838234708">
      <w:bodyDiv w:val="1"/>
      <w:marLeft w:val="0"/>
      <w:marRight w:val="0"/>
      <w:marTop w:val="0"/>
      <w:marBottom w:val="0"/>
      <w:divBdr>
        <w:top w:val="none" w:sz="0" w:space="0" w:color="auto"/>
        <w:left w:val="none" w:sz="0" w:space="0" w:color="auto"/>
        <w:bottom w:val="none" w:sz="0" w:space="0" w:color="auto"/>
        <w:right w:val="none" w:sz="0" w:space="0" w:color="auto"/>
      </w:divBdr>
    </w:div>
    <w:div w:id="838349207">
      <w:bodyDiv w:val="1"/>
      <w:marLeft w:val="0"/>
      <w:marRight w:val="0"/>
      <w:marTop w:val="0"/>
      <w:marBottom w:val="0"/>
      <w:divBdr>
        <w:top w:val="none" w:sz="0" w:space="0" w:color="auto"/>
        <w:left w:val="none" w:sz="0" w:space="0" w:color="auto"/>
        <w:bottom w:val="none" w:sz="0" w:space="0" w:color="auto"/>
        <w:right w:val="none" w:sz="0" w:space="0" w:color="auto"/>
      </w:divBdr>
    </w:div>
    <w:div w:id="838422652">
      <w:bodyDiv w:val="1"/>
      <w:marLeft w:val="0"/>
      <w:marRight w:val="0"/>
      <w:marTop w:val="0"/>
      <w:marBottom w:val="0"/>
      <w:divBdr>
        <w:top w:val="none" w:sz="0" w:space="0" w:color="auto"/>
        <w:left w:val="none" w:sz="0" w:space="0" w:color="auto"/>
        <w:bottom w:val="none" w:sz="0" w:space="0" w:color="auto"/>
        <w:right w:val="none" w:sz="0" w:space="0" w:color="auto"/>
      </w:divBdr>
    </w:div>
    <w:div w:id="838546106">
      <w:bodyDiv w:val="1"/>
      <w:marLeft w:val="0"/>
      <w:marRight w:val="0"/>
      <w:marTop w:val="0"/>
      <w:marBottom w:val="0"/>
      <w:divBdr>
        <w:top w:val="none" w:sz="0" w:space="0" w:color="auto"/>
        <w:left w:val="none" w:sz="0" w:space="0" w:color="auto"/>
        <w:bottom w:val="none" w:sz="0" w:space="0" w:color="auto"/>
        <w:right w:val="none" w:sz="0" w:space="0" w:color="auto"/>
      </w:divBdr>
    </w:div>
    <w:div w:id="838814059">
      <w:bodyDiv w:val="1"/>
      <w:marLeft w:val="0"/>
      <w:marRight w:val="0"/>
      <w:marTop w:val="0"/>
      <w:marBottom w:val="0"/>
      <w:divBdr>
        <w:top w:val="none" w:sz="0" w:space="0" w:color="auto"/>
        <w:left w:val="none" w:sz="0" w:space="0" w:color="auto"/>
        <w:bottom w:val="none" w:sz="0" w:space="0" w:color="auto"/>
        <w:right w:val="none" w:sz="0" w:space="0" w:color="auto"/>
      </w:divBdr>
    </w:div>
    <w:div w:id="839000706">
      <w:bodyDiv w:val="1"/>
      <w:marLeft w:val="0"/>
      <w:marRight w:val="0"/>
      <w:marTop w:val="0"/>
      <w:marBottom w:val="0"/>
      <w:divBdr>
        <w:top w:val="none" w:sz="0" w:space="0" w:color="auto"/>
        <w:left w:val="none" w:sz="0" w:space="0" w:color="auto"/>
        <w:bottom w:val="none" w:sz="0" w:space="0" w:color="auto"/>
        <w:right w:val="none" w:sz="0" w:space="0" w:color="auto"/>
      </w:divBdr>
    </w:div>
    <w:div w:id="839007891">
      <w:bodyDiv w:val="1"/>
      <w:marLeft w:val="0"/>
      <w:marRight w:val="0"/>
      <w:marTop w:val="0"/>
      <w:marBottom w:val="0"/>
      <w:divBdr>
        <w:top w:val="none" w:sz="0" w:space="0" w:color="auto"/>
        <w:left w:val="none" w:sz="0" w:space="0" w:color="auto"/>
        <w:bottom w:val="none" w:sz="0" w:space="0" w:color="auto"/>
        <w:right w:val="none" w:sz="0" w:space="0" w:color="auto"/>
      </w:divBdr>
    </w:div>
    <w:div w:id="839154058">
      <w:bodyDiv w:val="1"/>
      <w:marLeft w:val="0"/>
      <w:marRight w:val="0"/>
      <w:marTop w:val="0"/>
      <w:marBottom w:val="0"/>
      <w:divBdr>
        <w:top w:val="none" w:sz="0" w:space="0" w:color="auto"/>
        <w:left w:val="none" w:sz="0" w:space="0" w:color="auto"/>
        <w:bottom w:val="none" w:sz="0" w:space="0" w:color="auto"/>
        <w:right w:val="none" w:sz="0" w:space="0" w:color="auto"/>
      </w:divBdr>
    </w:div>
    <w:div w:id="839154722">
      <w:bodyDiv w:val="1"/>
      <w:marLeft w:val="0"/>
      <w:marRight w:val="0"/>
      <w:marTop w:val="0"/>
      <w:marBottom w:val="0"/>
      <w:divBdr>
        <w:top w:val="none" w:sz="0" w:space="0" w:color="auto"/>
        <w:left w:val="none" w:sz="0" w:space="0" w:color="auto"/>
        <w:bottom w:val="none" w:sz="0" w:space="0" w:color="auto"/>
        <w:right w:val="none" w:sz="0" w:space="0" w:color="auto"/>
      </w:divBdr>
    </w:div>
    <w:div w:id="839347733">
      <w:bodyDiv w:val="1"/>
      <w:marLeft w:val="0"/>
      <w:marRight w:val="0"/>
      <w:marTop w:val="0"/>
      <w:marBottom w:val="0"/>
      <w:divBdr>
        <w:top w:val="none" w:sz="0" w:space="0" w:color="auto"/>
        <w:left w:val="none" w:sz="0" w:space="0" w:color="auto"/>
        <w:bottom w:val="none" w:sz="0" w:space="0" w:color="auto"/>
        <w:right w:val="none" w:sz="0" w:space="0" w:color="auto"/>
      </w:divBdr>
    </w:div>
    <w:div w:id="839664627">
      <w:bodyDiv w:val="1"/>
      <w:marLeft w:val="0"/>
      <w:marRight w:val="0"/>
      <w:marTop w:val="0"/>
      <w:marBottom w:val="0"/>
      <w:divBdr>
        <w:top w:val="none" w:sz="0" w:space="0" w:color="auto"/>
        <w:left w:val="none" w:sz="0" w:space="0" w:color="auto"/>
        <w:bottom w:val="none" w:sz="0" w:space="0" w:color="auto"/>
        <w:right w:val="none" w:sz="0" w:space="0" w:color="auto"/>
      </w:divBdr>
    </w:div>
    <w:div w:id="839731577">
      <w:bodyDiv w:val="1"/>
      <w:marLeft w:val="0"/>
      <w:marRight w:val="0"/>
      <w:marTop w:val="0"/>
      <w:marBottom w:val="0"/>
      <w:divBdr>
        <w:top w:val="none" w:sz="0" w:space="0" w:color="auto"/>
        <w:left w:val="none" w:sz="0" w:space="0" w:color="auto"/>
        <w:bottom w:val="none" w:sz="0" w:space="0" w:color="auto"/>
        <w:right w:val="none" w:sz="0" w:space="0" w:color="auto"/>
      </w:divBdr>
    </w:div>
    <w:div w:id="839849656">
      <w:bodyDiv w:val="1"/>
      <w:marLeft w:val="0"/>
      <w:marRight w:val="0"/>
      <w:marTop w:val="0"/>
      <w:marBottom w:val="0"/>
      <w:divBdr>
        <w:top w:val="none" w:sz="0" w:space="0" w:color="auto"/>
        <w:left w:val="none" w:sz="0" w:space="0" w:color="auto"/>
        <w:bottom w:val="none" w:sz="0" w:space="0" w:color="auto"/>
        <w:right w:val="none" w:sz="0" w:space="0" w:color="auto"/>
      </w:divBdr>
    </w:div>
    <w:div w:id="840390074">
      <w:bodyDiv w:val="1"/>
      <w:marLeft w:val="0"/>
      <w:marRight w:val="0"/>
      <w:marTop w:val="0"/>
      <w:marBottom w:val="0"/>
      <w:divBdr>
        <w:top w:val="none" w:sz="0" w:space="0" w:color="auto"/>
        <w:left w:val="none" w:sz="0" w:space="0" w:color="auto"/>
        <w:bottom w:val="none" w:sz="0" w:space="0" w:color="auto"/>
        <w:right w:val="none" w:sz="0" w:space="0" w:color="auto"/>
      </w:divBdr>
    </w:div>
    <w:div w:id="840507035">
      <w:bodyDiv w:val="1"/>
      <w:marLeft w:val="0"/>
      <w:marRight w:val="0"/>
      <w:marTop w:val="0"/>
      <w:marBottom w:val="0"/>
      <w:divBdr>
        <w:top w:val="none" w:sz="0" w:space="0" w:color="auto"/>
        <w:left w:val="none" w:sz="0" w:space="0" w:color="auto"/>
        <w:bottom w:val="none" w:sz="0" w:space="0" w:color="auto"/>
        <w:right w:val="none" w:sz="0" w:space="0" w:color="auto"/>
      </w:divBdr>
    </w:div>
    <w:div w:id="840631133">
      <w:bodyDiv w:val="1"/>
      <w:marLeft w:val="0"/>
      <w:marRight w:val="0"/>
      <w:marTop w:val="0"/>
      <w:marBottom w:val="0"/>
      <w:divBdr>
        <w:top w:val="none" w:sz="0" w:space="0" w:color="auto"/>
        <w:left w:val="none" w:sz="0" w:space="0" w:color="auto"/>
        <w:bottom w:val="none" w:sz="0" w:space="0" w:color="auto"/>
        <w:right w:val="none" w:sz="0" w:space="0" w:color="auto"/>
      </w:divBdr>
    </w:div>
    <w:div w:id="840631162">
      <w:bodyDiv w:val="1"/>
      <w:marLeft w:val="0"/>
      <w:marRight w:val="0"/>
      <w:marTop w:val="0"/>
      <w:marBottom w:val="0"/>
      <w:divBdr>
        <w:top w:val="none" w:sz="0" w:space="0" w:color="auto"/>
        <w:left w:val="none" w:sz="0" w:space="0" w:color="auto"/>
        <w:bottom w:val="none" w:sz="0" w:space="0" w:color="auto"/>
        <w:right w:val="none" w:sz="0" w:space="0" w:color="auto"/>
      </w:divBdr>
    </w:div>
    <w:div w:id="840655697">
      <w:bodyDiv w:val="1"/>
      <w:marLeft w:val="0"/>
      <w:marRight w:val="0"/>
      <w:marTop w:val="0"/>
      <w:marBottom w:val="0"/>
      <w:divBdr>
        <w:top w:val="none" w:sz="0" w:space="0" w:color="auto"/>
        <w:left w:val="none" w:sz="0" w:space="0" w:color="auto"/>
        <w:bottom w:val="none" w:sz="0" w:space="0" w:color="auto"/>
        <w:right w:val="none" w:sz="0" w:space="0" w:color="auto"/>
      </w:divBdr>
    </w:div>
    <w:div w:id="840702720">
      <w:bodyDiv w:val="1"/>
      <w:marLeft w:val="0"/>
      <w:marRight w:val="0"/>
      <w:marTop w:val="0"/>
      <w:marBottom w:val="0"/>
      <w:divBdr>
        <w:top w:val="none" w:sz="0" w:space="0" w:color="auto"/>
        <w:left w:val="none" w:sz="0" w:space="0" w:color="auto"/>
        <w:bottom w:val="none" w:sz="0" w:space="0" w:color="auto"/>
        <w:right w:val="none" w:sz="0" w:space="0" w:color="auto"/>
      </w:divBdr>
    </w:div>
    <w:div w:id="840848646">
      <w:bodyDiv w:val="1"/>
      <w:marLeft w:val="0"/>
      <w:marRight w:val="0"/>
      <w:marTop w:val="0"/>
      <w:marBottom w:val="0"/>
      <w:divBdr>
        <w:top w:val="none" w:sz="0" w:space="0" w:color="auto"/>
        <w:left w:val="none" w:sz="0" w:space="0" w:color="auto"/>
        <w:bottom w:val="none" w:sz="0" w:space="0" w:color="auto"/>
        <w:right w:val="none" w:sz="0" w:space="0" w:color="auto"/>
      </w:divBdr>
    </w:div>
    <w:div w:id="841090204">
      <w:bodyDiv w:val="1"/>
      <w:marLeft w:val="0"/>
      <w:marRight w:val="0"/>
      <w:marTop w:val="0"/>
      <w:marBottom w:val="0"/>
      <w:divBdr>
        <w:top w:val="none" w:sz="0" w:space="0" w:color="auto"/>
        <w:left w:val="none" w:sz="0" w:space="0" w:color="auto"/>
        <w:bottom w:val="none" w:sz="0" w:space="0" w:color="auto"/>
        <w:right w:val="none" w:sz="0" w:space="0" w:color="auto"/>
      </w:divBdr>
    </w:div>
    <w:div w:id="841241544">
      <w:bodyDiv w:val="1"/>
      <w:marLeft w:val="0"/>
      <w:marRight w:val="0"/>
      <w:marTop w:val="0"/>
      <w:marBottom w:val="0"/>
      <w:divBdr>
        <w:top w:val="none" w:sz="0" w:space="0" w:color="auto"/>
        <w:left w:val="none" w:sz="0" w:space="0" w:color="auto"/>
        <w:bottom w:val="none" w:sz="0" w:space="0" w:color="auto"/>
        <w:right w:val="none" w:sz="0" w:space="0" w:color="auto"/>
      </w:divBdr>
    </w:div>
    <w:div w:id="841430676">
      <w:bodyDiv w:val="1"/>
      <w:marLeft w:val="0"/>
      <w:marRight w:val="0"/>
      <w:marTop w:val="0"/>
      <w:marBottom w:val="0"/>
      <w:divBdr>
        <w:top w:val="none" w:sz="0" w:space="0" w:color="auto"/>
        <w:left w:val="none" w:sz="0" w:space="0" w:color="auto"/>
        <w:bottom w:val="none" w:sz="0" w:space="0" w:color="auto"/>
        <w:right w:val="none" w:sz="0" w:space="0" w:color="auto"/>
      </w:divBdr>
    </w:div>
    <w:div w:id="842089275">
      <w:bodyDiv w:val="1"/>
      <w:marLeft w:val="0"/>
      <w:marRight w:val="0"/>
      <w:marTop w:val="0"/>
      <w:marBottom w:val="0"/>
      <w:divBdr>
        <w:top w:val="none" w:sz="0" w:space="0" w:color="auto"/>
        <w:left w:val="none" w:sz="0" w:space="0" w:color="auto"/>
        <w:bottom w:val="none" w:sz="0" w:space="0" w:color="auto"/>
        <w:right w:val="none" w:sz="0" w:space="0" w:color="auto"/>
      </w:divBdr>
    </w:div>
    <w:div w:id="842279928">
      <w:bodyDiv w:val="1"/>
      <w:marLeft w:val="0"/>
      <w:marRight w:val="0"/>
      <w:marTop w:val="0"/>
      <w:marBottom w:val="0"/>
      <w:divBdr>
        <w:top w:val="none" w:sz="0" w:space="0" w:color="auto"/>
        <w:left w:val="none" w:sz="0" w:space="0" w:color="auto"/>
        <w:bottom w:val="none" w:sz="0" w:space="0" w:color="auto"/>
        <w:right w:val="none" w:sz="0" w:space="0" w:color="auto"/>
      </w:divBdr>
    </w:div>
    <w:div w:id="842356437">
      <w:bodyDiv w:val="1"/>
      <w:marLeft w:val="0"/>
      <w:marRight w:val="0"/>
      <w:marTop w:val="0"/>
      <w:marBottom w:val="0"/>
      <w:divBdr>
        <w:top w:val="none" w:sz="0" w:space="0" w:color="auto"/>
        <w:left w:val="none" w:sz="0" w:space="0" w:color="auto"/>
        <w:bottom w:val="none" w:sz="0" w:space="0" w:color="auto"/>
        <w:right w:val="none" w:sz="0" w:space="0" w:color="auto"/>
      </w:divBdr>
    </w:div>
    <w:div w:id="842740534">
      <w:bodyDiv w:val="1"/>
      <w:marLeft w:val="0"/>
      <w:marRight w:val="0"/>
      <w:marTop w:val="0"/>
      <w:marBottom w:val="0"/>
      <w:divBdr>
        <w:top w:val="none" w:sz="0" w:space="0" w:color="auto"/>
        <w:left w:val="none" w:sz="0" w:space="0" w:color="auto"/>
        <w:bottom w:val="none" w:sz="0" w:space="0" w:color="auto"/>
        <w:right w:val="none" w:sz="0" w:space="0" w:color="auto"/>
      </w:divBdr>
    </w:div>
    <w:div w:id="842745799">
      <w:bodyDiv w:val="1"/>
      <w:marLeft w:val="0"/>
      <w:marRight w:val="0"/>
      <w:marTop w:val="0"/>
      <w:marBottom w:val="0"/>
      <w:divBdr>
        <w:top w:val="none" w:sz="0" w:space="0" w:color="auto"/>
        <w:left w:val="none" w:sz="0" w:space="0" w:color="auto"/>
        <w:bottom w:val="none" w:sz="0" w:space="0" w:color="auto"/>
        <w:right w:val="none" w:sz="0" w:space="0" w:color="auto"/>
      </w:divBdr>
    </w:div>
    <w:div w:id="842861081">
      <w:bodyDiv w:val="1"/>
      <w:marLeft w:val="0"/>
      <w:marRight w:val="0"/>
      <w:marTop w:val="0"/>
      <w:marBottom w:val="0"/>
      <w:divBdr>
        <w:top w:val="none" w:sz="0" w:space="0" w:color="auto"/>
        <w:left w:val="none" w:sz="0" w:space="0" w:color="auto"/>
        <w:bottom w:val="none" w:sz="0" w:space="0" w:color="auto"/>
        <w:right w:val="none" w:sz="0" w:space="0" w:color="auto"/>
      </w:divBdr>
    </w:div>
    <w:div w:id="842935695">
      <w:bodyDiv w:val="1"/>
      <w:marLeft w:val="0"/>
      <w:marRight w:val="0"/>
      <w:marTop w:val="0"/>
      <w:marBottom w:val="0"/>
      <w:divBdr>
        <w:top w:val="none" w:sz="0" w:space="0" w:color="auto"/>
        <w:left w:val="none" w:sz="0" w:space="0" w:color="auto"/>
        <w:bottom w:val="none" w:sz="0" w:space="0" w:color="auto"/>
        <w:right w:val="none" w:sz="0" w:space="0" w:color="auto"/>
      </w:divBdr>
    </w:div>
    <w:div w:id="843134634">
      <w:bodyDiv w:val="1"/>
      <w:marLeft w:val="0"/>
      <w:marRight w:val="0"/>
      <w:marTop w:val="0"/>
      <w:marBottom w:val="0"/>
      <w:divBdr>
        <w:top w:val="none" w:sz="0" w:space="0" w:color="auto"/>
        <w:left w:val="none" w:sz="0" w:space="0" w:color="auto"/>
        <w:bottom w:val="none" w:sz="0" w:space="0" w:color="auto"/>
        <w:right w:val="none" w:sz="0" w:space="0" w:color="auto"/>
      </w:divBdr>
    </w:div>
    <w:div w:id="843207147">
      <w:bodyDiv w:val="1"/>
      <w:marLeft w:val="0"/>
      <w:marRight w:val="0"/>
      <w:marTop w:val="0"/>
      <w:marBottom w:val="0"/>
      <w:divBdr>
        <w:top w:val="none" w:sz="0" w:space="0" w:color="auto"/>
        <w:left w:val="none" w:sz="0" w:space="0" w:color="auto"/>
        <w:bottom w:val="none" w:sz="0" w:space="0" w:color="auto"/>
        <w:right w:val="none" w:sz="0" w:space="0" w:color="auto"/>
      </w:divBdr>
    </w:div>
    <w:div w:id="843327173">
      <w:bodyDiv w:val="1"/>
      <w:marLeft w:val="0"/>
      <w:marRight w:val="0"/>
      <w:marTop w:val="0"/>
      <w:marBottom w:val="0"/>
      <w:divBdr>
        <w:top w:val="none" w:sz="0" w:space="0" w:color="auto"/>
        <w:left w:val="none" w:sz="0" w:space="0" w:color="auto"/>
        <w:bottom w:val="none" w:sz="0" w:space="0" w:color="auto"/>
        <w:right w:val="none" w:sz="0" w:space="0" w:color="auto"/>
      </w:divBdr>
    </w:div>
    <w:div w:id="843399604">
      <w:bodyDiv w:val="1"/>
      <w:marLeft w:val="0"/>
      <w:marRight w:val="0"/>
      <w:marTop w:val="0"/>
      <w:marBottom w:val="0"/>
      <w:divBdr>
        <w:top w:val="none" w:sz="0" w:space="0" w:color="auto"/>
        <w:left w:val="none" w:sz="0" w:space="0" w:color="auto"/>
        <w:bottom w:val="none" w:sz="0" w:space="0" w:color="auto"/>
        <w:right w:val="none" w:sz="0" w:space="0" w:color="auto"/>
      </w:divBdr>
    </w:div>
    <w:div w:id="843403647">
      <w:bodyDiv w:val="1"/>
      <w:marLeft w:val="0"/>
      <w:marRight w:val="0"/>
      <w:marTop w:val="0"/>
      <w:marBottom w:val="0"/>
      <w:divBdr>
        <w:top w:val="none" w:sz="0" w:space="0" w:color="auto"/>
        <w:left w:val="none" w:sz="0" w:space="0" w:color="auto"/>
        <w:bottom w:val="none" w:sz="0" w:space="0" w:color="auto"/>
        <w:right w:val="none" w:sz="0" w:space="0" w:color="auto"/>
      </w:divBdr>
    </w:div>
    <w:div w:id="843593666">
      <w:bodyDiv w:val="1"/>
      <w:marLeft w:val="0"/>
      <w:marRight w:val="0"/>
      <w:marTop w:val="0"/>
      <w:marBottom w:val="0"/>
      <w:divBdr>
        <w:top w:val="none" w:sz="0" w:space="0" w:color="auto"/>
        <w:left w:val="none" w:sz="0" w:space="0" w:color="auto"/>
        <w:bottom w:val="none" w:sz="0" w:space="0" w:color="auto"/>
        <w:right w:val="none" w:sz="0" w:space="0" w:color="auto"/>
      </w:divBdr>
    </w:div>
    <w:div w:id="843594289">
      <w:bodyDiv w:val="1"/>
      <w:marLeft w:val="0"/>
      <w:marRight w:val="0"/>
      <w:marTop w:val="0"/>
      <w:marBottom w:val="0"/>
      <w:divBdr>
        <w:top w:val="none" w:sz="0" w:space="0" w:color="auto"/>
        <w:left w:val="none" w:sz="0" w:space="0" w:color="auto"/>
        <w:bottom w:val="none" w:sz="0" w:space="0" w:color="auto"/>
        <w:right w:val="none" w:sz="0" w:space="0" w:color="auto"/>
      </w:divBdr>
    </w:div>
    <w:div w:id="843672022">
      <w:bodyDiv w:val="1"/>
      <w:marLeft w:val="0"/>
      <w:marRight w:val="0"/>
      <w:marTop w:val="0"/>
      <w:marBottom w:val="0"/>
      <w:divBdr>
        <w:top w:val="none" w:sz="0" w:space="0" w:color="auto"/>
        <w:left w:val="none" w:sz="0" w:space="0" w:color="auto"/>
        <w:bottom w:val="none" w:sz="0" w:space="0" w:color="auto"/>
        <w:right w:val="none" w:sz="0" w:space="0" w:color="auto"/>
      </w:divBdr>
    </w:div>
    <w:div w:id="843742988">
      <w:bodyDiv w:val="1"/>
      <w:marLeft w:val="0"/>
      <w:marRight w:val="0"/>
      <w:marTop w:val="0"/>
      <w:marBottom w:val="0"/>
      <w:divBdr>
        <w:top w:val="none" w:sz="0" w:space="0" w:color="auto"/>
        <w:left w:val="none" w:sz="0" w:space="0" w:color="auto"/>
        <w:bottom w:val="none" w:sz="0" w:space="0" w:color="auto"/>
        <w:right w:val="none" w:sz="0" w:space="0" w:color="auto"/>
      </w:divBdr>
    </w:div>
    <w:div w:id="843974276">
      <w:bodyDiv w:val="1"/>
      <w:marLeft w:val="0"/>
      <w:marRight w:val="0"/>
      <w:marTop w:val="0"/>
      <w:marBottom w:val="0"/>
      <w:divBdr>
        <w:top w:val="none" w:sz="0" w:space="0" w:color="auto"/>
        <w:left w:val="none" w:sz="0" w:space="0" w:color="auto"/>
        <w:bottom w:val="none" w:sz="0" w:space="0" w:color="auto"/>
        <w:right w:val="none" w:sz="0" w:space="0" w:color="auto"/>
      </w:divBdr>
    </w:div>
    <w:div w:id="843975626">
      <w:bodyDiv w:val="1"/>
      <w:marLeft w:val="0"/>
      <w:marRight w:val="0"/>
      <w:marTop w:val="0"/>
      <w:marBottom w:val="0"/>
      <w:divBdr>
        <w:top w:val="none" w:sz="0" w:space="0" w:color="auto"/>
        <w:left w:val="none" w:sz="0" w:space="0" w:color="auto"/>
        <w:bottom w:val="none" w:sz="0" w:space="0" w:color="auto"/>
        <w:right w:val="none" w:sz="0" w:space="0" w:color="auto"/>
      </w:divBdr>
    </w:div>
    <w:div w:id="843978350">
      <w:bodyDiv w:val="1"/>
      <w:marLeft w:val="0"/>
      <w:marRight w:val="0"/>
      <w:marTop w:val="0"/>
      <w:marBottom w:val="0"/>
      <w:divBdr>
        <w:top w:val="none" w:sz="0" w:space="0" w:color="auto"/>
        <w:left w:val="none" w:sz="0" w:space="0" w:color="auto"/>
        <w:bottom w:val="none" w:sz="0" w:space="0" w:color="auto"/>
        <w:right w:val="none" w:sz="0" w:space="0" w:color="auto"/>
      </w:divBdr>
    </w:div>
    <w:div w:id="844171811">
      <w:bodyDiv w:val="1"/>
      <w:marLeft w:val="0"/>
      <w:marRight w:val="0"/>
      <w:marTop w:val="0"/>
      <w:marBottom w:val="0"/>
      <w:divBdr>
        <w:top w:val="none" w:sz="0" w:space="0" w:color="auto"/>
        <w:left w:val="none" w:sz="0" w:space="0" w:color="auto"/>
        <w:bottom w:val="none" w:sz="0" w:space="0" w:color="auto"/>
        <w:right w:val="none" w:sz="0" w:space="0" w:color="auto"/>
      </w:divBdr>
    </w:div>
    <w:div w:id="844171893">
      <w:bodyDiv w:val="1"/>
      <w:marLeft w:val="0"/>
      <w:marRight w:val="0"/>
      <w:marTop w:val="0"/>
      <w:marBottom w:val="0"/>
      <w:divBdr>
        <w:top w:val="none" w:sz="0" w:space="0" w:color="auto"/>
        <w:left w:val="none" w:sz="0" w:space="0" w:color="auto"/>
        <w:bottom w:val="none" w:sz="0" w:space="0" w:color="auto"/>
        <w:right w:val="none" w:sz="0" w:space="0" w:color="auto"/>
      </w:divBdr>
    </w:div>
    <w:div w:id="844324368">
      <w:bodyDiv w:val="1"/>
      <w:marLeft w:val="0"/>
      <w:marRight w:val="0"/>
      <w:marTop w:val="0"/>
      <w:marBottom w:val="0"/>
      <w:divBdr>
        <w:top w:val="none" w:sz="0" w:space="0" w:color="auto"/>
        <w:left w:val="none" w:sz="0" w:space="0" w:color="auto"/>
        <w:bottom w:val="none" w:sz="0" w:space="0" w:color="auto"/>
        <w:right w:val="none" w:sz="0" w:space="0" w:color="auto"/>
      </w:divBdr>
    </w:div>
    <w:div w:id="844632543">
      <w:bodyDiv w:val="1"/>
      <w:marLeft w:val="0"/>
      <w:marRight w:val="0"/>
      <w:marTop w:val="0"/>
      <w:marBottom w:val="0"/>
      <w:divBdr>
        <w:top w:val="none" w:sz="0" w:space="0" w:color="auto"/>
        <w:left w:val="none" w:sz="0" w:space="0" w:color="auto"/>
        <w:bottom w:val="none" w:sz="0" w:space="0" w:color="auto"/>
        <w:right w:val="none" w:sz="0" w:space="0" w:color="auto"/>
      </w:divBdr>
    </w:div>
    <w:div w:id="845218397">
      <w:bodyDiv w:val="1"/>
      <w:marLeft w:val="0"/>
      <w:marRight w:val="0"/>
      <w:marTop w:val="0"/>
      <w:marBottom w:val="0"/>
      <w:divBdr>
        <w:top w:val="none" w:sz="0" w:space="0" w:color="auto"/>
        <w:left w:val="none" w:sz="0" w:space="0" w:color="auto"/>
        <w:bottom w:val="none" w:sz="0" w:space="0" w:color="auto"/>
        <w:right w:val="none" w:sz="0" w:space="0" w:color="auto"/>
      </w:divBdr>
    </w:div>
    <w:div w:id="845362459">
      <w:bodyDiv w:val="1"/>
      <w:marLeft w:val="0"/>
      <w:marRight w:val="0"/>
      <w:marTop w:val="0"/>
      <w:marBottom w:val="0"/>
      <w:divBdr>
        <w:top w:val="none" w:sz="0" w:space="0" w:color="auto"/>
        <w:left w:val="none" w:sz="0" w:space="0" w:color="auto"/>
        <w:bottom w:val="none" w:sz="0" w:space="0" w:color="auto"/>
        <w:right w:val="none" w:sz="0" w:space="0" w:color="auto"/>
      </w:divBdr>
    </w:div>
    <w:div w:id="845438163">
      <w:bodyDiv w:val="1"/>
      <w:marLeft w:val="0"/>
      <w:marRight w:val="0"/>
      <w:marTop w:val="0"/>
      <w:marBottom w:val="0"/>
      <w:divBdr>
        <w:top w:val="none" w:sz="0" w:space="0" w:color="auto"/>
        <w:left w:val="none" w:sz="0" w:space="0" w:color="auto"/>
        <w:bottom w:val="none" w:sz="0" w:space="0" w:color="auto"/>
        <w:right w:val="none" w:sz="0" w:space="0" w:color="auto"/>
      </w:divBdr>
    </w:div>
    <w:div w:id="845628498">
      <w:bodyDiv w:val="1"/>
      <w:marLeft w:val="0"/>
      <w:marRight w:val="0"/>
      <w:marTop w:val="0"/>
      <w:marBottom w:val="0"/>
      <w:divBdr>
        <w:top w:val="none" w:sz="0" w:space="0" w:color="auto"/>
        <w:left w:val="none" w:sz="0" w:space="0" w:color="auto"/>
        <w:bottom w:val="none" w:sz="0" w:space="0" w:color="auto"/>
        <w:right w:val="none" w:sz="0" w:space="0" w:color="auto"/>
      </w:divBdr>
    </w:div>
    <w:div w:id="845628899">
      <w:bodyDiv w:val="1"/>
      <w:marLeft w:val="0"/>
      <w:marRight w:val="0"/>
      <w:marTop w:val="0"/>
      <w:marBottom w:val="0"/>
      <w:divBdr>
        <w:top w:val="none" w:sz="0" w:space="0" w:color="auto"/>
        <w:left w:val="none" w:sz="0" w:space="0" w:color="auto"/>
        <w:bottom w:val="none" w:sz="0" w:space="0" w:color="auto"/>
        <w:right w:val="none" w:sz="0" w:space="0" w:color="auto"/>
      </w:divBdr>
    </w:div>
    <w:div w:id="845707795">
      <w:bodyDiv w:val="1"/>
      <w:marLeft w:val="0"/>
      <w:marRight w:val="0"/>
      <w:marTop w:val="0"/>
      <w:marBottom w:val="0"/>
      <w:divBdr>
        <w:top w:val="none" w:sz="0" w:space="0" w:color="auto"/>
        <w:left w:val="none" w:sz="0" w:space="0" w:color="auto"/>
        <w:bottom w:val="none" w:sz="0" w:space="0" w:color="auto"/>
        <w:right w:val="none" w:sz="0" w:space="0" w:color="auto"/>
      </w:divBdr>
    </w:div>
    <w:div w:id="845749669">
      <w:bodyDiv w:val="1"/>
      <w:marLeft w:val="0"/>
      <w:marRight w:val="0"/>
      <w:marTop w:val="0"/>
      <w:marBottom w:val="0"/>
      <w:divBdr>
        <w:top w:val="none" w:sz="0" w:space="0" w:color="auto"/>
        <w:left w:val="none" w:sz="0" w:space="0" w:color="auto"/>
        <w:bottom w:val="none" w:sz="0" w:space="0" w:color="auto"/>
        <w:right w:val="none" w:sz="0" w:space="0" w:color="auto"/>
      </w:divBdr>
    </w:div>
    <w:div w:id="845941148">
      <w:bodyDiv w:val="1"/>
      <w:marLeft w:val="0"/>
      <w:marRight w:val="0"/>
      <w:marTop w:val="0"/>
      <w:marBottom w:val="0"/>
      <w:divBdr>
        <w:top w:val="none" w:sz="0" w:space="0" w:color="auto"/>
        <w:left w:val="none" w:sz="0" w:space="0" w:color="auto"/>
        <w:bottom w:val="none" w:sz="0" w:space="0" w:color="auto"/>
        <w:right w:val="none" w:sz="0" w:space="0" w:color="auto"/>
      </w:divBdr>
    </w:div>
    <w:div w:id="845941391">
      <w:bodyDiv w:val="1"/>
      <w:marLeft w:val="0"/>
      <w:marRight w:val="0"/>
      <w:marTop w:val="0"/>
      <w:marBottom w:val="0"/>
      <w:divBdr>
        <w:top w:val="none" w:sz="0" w:space="0" w:color="auto"/>
        <w:left w:val="none" w:sz="0" w:space="0" w:color="auto"/>
        <w:bottom w:val="none" w:sz="0" w:space="0" w:color="auto"/>
        <w:right w:val="none" w:sz="0" w:space="0" w:color="auto"/>
      </w:divBdr>
    </w:div>
    <w:div w:id="846015207">
      <w:bodyDiv w:val="1"/>
      <w:marLeft w:val="0"/>
      <w:marRight w:val="0"/>
      <w:marTop w:val="0"/>
      <w:marBottom w:val="0"/>
      <w:divBdr>
        <w:top w:val="none" w:sz="0" w:space="0" w:color="auto"/>
        <w:left w:val="none" w:sz="0" w:space="0" w:color="auto"/>
        <w:bottom w:val="none" w:sz="0" w:space="0" w:color="auto"/>
        <w:right w:val="none" w:sz="0" w:space="0" w:color="auto"/>
      </w:divBdr>
    </w:div>
    <w:div w:id="846024279">
      <w:bodyDiv w:val="1"/>
      <w:marLeft w:val="0"/>
      <w:marRight w:val="0"/>
      <w:marTop w:val="0"/>
      <w:marBottom w:val="0"/>
      <w:divBdr>
        <w:top w:val="none" w:sz="0" w:space="0" w:color="auto"/>
        <w:left w:val="none" w:sz="0" w:space="0" w:color="auto"/>
        <w:bottom w:val="none" w:sz="0" w:space="0" w:color="auto"/>
        <w:right w:val="none" w:sz="0" w:space="0" w:color="auto"/>
      </w:divBdr>
    </w:div>
    <w:div w:id="846138669">
      <w:bodyDiv w:val="1"/>
      <w:marLeft w:val="0"/>
      <w:marRight w:val="0"/>
      <w:marTop w:val="0"/>
      <w:marBottom w:val="0"/>
      <w:divBdr>
        <w:top w:val="none" w:sz="0" w:space="0" w:color="auto"/>
        <w:left w:val="none" w:sz="0" w:space="0" w:color="auto"/>
        <w:bottom w:val="none" w:sz="0" w:space="0" w:color="auto"/>
        <w:right w:val="none" w:sz="0" w:space="0" w:color="auto"/>
      </w:divBdr>
    </w:div>
    <w:div w:id="846209311">
      <w:bodyDiv w:val="1"/>
      <w:marLeft w:val="0"/>
      <w:marRight w:val="0"/>
      <w:marTop w:val="0"/>
      <w:marBottom w:val="0"/>
      <w:divBdr>
        <w:top w:val="none" w:sz="0" w:space="0" w:color="auto"/>
        <w:left w:val="none" w:sz="0" w:space="0" w:color="auto"/>
        <w:bottom w:val="none" w:sz="0" w:space="0" w:color="auto"/>
        <w:right w:val="none" w:sz="0" w:space="0" w:color="auto"/>
      </w:divBdr>
    </w:div>
    <w:div w:id="846290385">
      <w:bodyDiv w:val="1"/>
      <w:marLeft w:val="0"/>
      <w:marRight w:val="0"/>
      <w:marTop w:val="0"/>
      <w:marBottom w:val="0"/>
      <w:divBdr>
        <w:top w:val="none" w:sz="0" w:space="0" w:color="auto"/>
        <w:left w:val="none" w:sz="0" w:space="0" w:color="auto"/>
        <w:bottom w:val="none" w:sz="0" w:space="0" w:color="auto"/>
        <w:right w:val="none" w:sz="0" w:space="0" w:color="auto"/>
      </w:divBdr>
    </w:div>
    <w:div w:id="846409582">
      <w:bodyDiv w:val="1"/>
      <w:marLeft w:val="0"/>
      <w:marRight w:val="0"/>
      <w:marTop w:val="0"/>
      <w:marBottom w:val="0"/>
      <w:divBdr>
        <w:top w:val="none" w:sz="0" w:space="0" w:color="auto"/>
        <w:left w:val="none" w:sz="0" w:space="0" w:color="auto"/>
        <w:bottom w:val="none" w:sz="0" w:space="0" w:color="auto"/>
        <w:right w:val="none" w:sz="0" w:space="0" w:color="auto"/>
      </w:divBdr>
    </w:div>
    <w:div w:id="846554010">
      <w:bodyDiv w:val="1"/>
      <w:marLeft w:val="0"/>
      <w:marRight w:val="0"/>
      <w:marTop w:val="0"/>
      <w:marBottom w:val="0"/>
      <w:divBdr>
        <w:top w:val="none" w:sz="0" w:space="0" w:color="auto"/>
        <w:left w:val="none" w:sz="0" w:space="0" w:color="auto"/>
        <w:bottom w:val="none" w:sz="0" w:space="0" w:color="auto"/>
        <w:right w:val="none" w:sz="0" w:space="0" w:color="auto"/>
      </w:divBdr>
    </w:div>
    <w:div w:id="846554256">
      <w:bodyDiv w:val="1"/>
      <w:marLeft w:val="0"/>
      <w:marRight w:val="0"/>
      <w:marTop w:val="0"/>
      <w:marBottom w:val="0"/>
      <w:divBdr>
        <w:top w:val="none" w:sz="0" w:space="0" w:color="auto"/>
        <w:left w:val="none" w:sz="0" w:space="0" w:color="auto"/>
        <w:bottom w:val="none" w:sz="0" w:space="0" w:color="auto"/>
        <w:right w:val="none" w:sz="0" w:space="0" w:color="auto"/>
      </w:divBdr>
    </w:div>
    <w:div w:id="846599902">
      <w:bodyDiv w:val="1"/>
      <w:marLeft w:val="0"/>
      <w:marRight w:val="0"/>
      <w:marTop w:val="0"/>
      <w:marBottom w:val="0"/>
      <w:divBdr>
        <w:top w:val="none" w:sz="0" w:space="0" w:color="auto"/>
        <w:left w:val="none" w:sz="0" w:space="0" w:color="auto"/>
        <w:bottom w:val="none" w:sz="0" w:space="0" w:color="auto"/>
        <w:right w:val="none" w:sz="0" w:space="0" w:color="auto"/>
      </w:divBdr>
    </w:div>
    <w:div w:id="846600196">
      <w:bodyDiv w:val="1"/>
      <w:marLeft w:val="0"/>
      <w:marRight w:val="0"/>
      <w:marTop w:val="0"/>
      <w:marBottom w:val="0"/>
      <w:divBdr>
        <w:top w:val="none" w:sz="0" w:space="0" w:color="auto"/>
        <w:left w:val="none" w:sz="0" w:space="0" w:color="auto"/>
        <w:bottom w:val="none" w:sz="0" w:space="0" w:color="auto"/>
        <w:right w:val="none" w:sz="0" w:space="0" w:color="auto"/>
      </w:divBdr>
    </w:div>
    <w:div w:id="846672360">
      <w:bodyDiv w:val="1"/>
      <w:marLeft w:val="0"/>
      <w:marRight w:val="0"/>
      <w:marTop w:val="0"/>
      <w:marBottom w:val="0"/>
      <w:divBdr>
        <w:top w:val="none" w:sz="0" w:space="0" w:color="auto"/>
        <w:left w:val="none" w:sz="0" w:space="0" w:color="auto"/>
        <w:bottom w:val="none" w:sz="0" w:space="0" w:color="auto"/>
        <w:right w:val="none" w:sz="0" w:space="0" w:color="auto"/>
      </w:divBdr>
    </w:div>
    <w:div w:id="846674726">
      <w:bodyDiv w:val="1"/>
      <w:marLeft w:val="0"/>
      <w:marRight w:val="0"/>
      <w:marTop w:val="0"/>
      <w:marBottom w:val="0"/>
      <w:divBdr>
        <w:top w:val="none" w:sz="0" w:space="0" w:color="auto"/>
        <w:left w:val="none" w:sz="0" w:space="0" w:color="auto"/>
        <w:bottom w:val="none" w:sz="0" w:space="0" w:color="auto"/>
        <w:right w:val="none" w:sz="0" w:space="0" w:color="auto"/>
      </w:divBdr>
    </w:div>
    <w:div w:id="846675841">
      <w:bodyDiv w:val="1"/>
      <w:marLeft w:val="0"/>
      <w:marRight w:val="0"/>
      <w:marTop w:val="0"/>
      <w:marBottom w:val="0"/>
      <w:divBdr>
        <w:top w:val="none" w:sz="0" w:space="0" w:color="auto"/>
        <w:left w:val="none" w:sz="0" w:space="0" w:color="auto"/>
        <w:bottom w:val="none" w:sz="0" w:space="0" w:color="auto"/>
        <w:right w:val="none" w:sz="0" w:space="0" w:color="auto"/>
      </w:divBdr>
    </w:div>
    <w:div w:id="846752499">
      <w:bodyDiv w:val="1"/>
      <w:marLeft w:val="0"/>
      <w:marRight w:val="0"/>
      <w:marTop w:val="0"/>
      <w:marBottom w:val="0"/>
      <w:divBdr>
        <w:top w:val="none" w:sz="0" w:space="0" w:color="auto"/>
        <w:left w:val="none" w:sz="0" w:space="0" w:color="auto"/>
        <w:bottom w:val="none" w:sz="0" w:space="0" w:color="auto"/>
        <w:right w:val="none" w:sz="0" w:space="0" w:color="auto"/>
      </w:divBdr>
    </w:div>
    <w:div w:id="846797530">
      <w:bodyDiv w:val="1"/>
      <w:marLeft w:val="0"/>
      <w:marRight w:val="0"/>
      <w:marTop w:val="0"/>
      <w:marBottom w:val="0"/>
      <w:divBdr>
        <w:top w:val="none" w:sz="0" w:space="0" w:color="auto"/>
        <w:left w:val="none" w:sz="0" w:space="0" w:color="auto"/>
        <w:bottom w:val="none" w:sz="0" w:space="0" w:color="auto"/>
        <w:right w:val="none" w:sz="0" w:space="0" w:color="auto"/>
      </w:divBdr>
    </w:div>
    <w:div w:id="846865599">
      <w:bodyDiv w:val="1"/>
      <w:marLeft w:val="0"/>
      <w:marRight w:val="0"/>
      <w:marTop w:val="0"/>
      <w:marBottom w:val="0"/>
      <w:divBdr>
        <w:top w:val="none" w:sz="0" w:space="0" w:color="auto"/>
        <w:left w:val="none" w:sz="0" w:space="0" w:color="auto"/>
        <w:bottom w:val="none" w:sz="0" w:space="0" w:color="auto"/>
        <w:right w:val="none" w:sz="0" w:space="0" w:color="auto"/>
      </w:divBdr>
    </w:div>
    <w:div w:id="847448440">
      <w:bodyDiv w:val="1"/>
      <w:marLeft w:val="0"/>
      <w:marRight w:val="0"/>
      <w:marTop w:val="0"/>
      <w:marBottom w:val="0"/>
      <w:divBdr>
        <w:top w:val="none" w:sz="0" w:space="0" w:color="auto"/>
        <w:left w:val="none" w:sz="0" w:space="0" w:color="auto"/>
        <w:bottom w:val="none" w:sz="0" w:space="0" w:color="auto"/>
        <w:right w:val="none" w:sz="0" w:space="0" w:color="auto"/>
      </w:divBdr>
    </w:div>
    <w:div w:id="847839248">
      <w:bodyDiv w:val="1"/>
      <w:marLeft w:val="0"/>
      <w:marRight w:val="0"/>
      <w:marTop w:val="0"/>
      <w:marBottom w:val="0"/>
      <w:divBdr>
        <w:top w:val="none" w:sz="0" w:space="0" w:color="auto"/>
        <w:left w:val="none" w:sz="0" w:space="0" w:color="auto"/>
        <w:bottom w:val="none" w:sz="0" w:space="0" w:color="auto"/>
        <w:right w:val="none" w:sz="0" w:space="0" w:color="auto"/>
      </w:divBdr>
    </w:div>
    <w:div w:id="847866868">
      <w:bodyDiv w:val="1"/>
      <w:marLeft w:val="0"/>
      <w:marRight w:val="0"/>
      <w:marTop w:val="0"/>
      <w:marBottom w:val="0"/>
      <w:divBdr>
        <w:top w:val="none" w:sz="0" w:space="0" w:color="auto"/>
        <w:left w:val="none" w:sz="0" w:space="0" w:color="auto"/>
        <w:bottom w:val="none" w:sz="0" w:space="0" w:color="auto"/>
        <w:right w:val="none" w:sz="0" w:space="0" w:color="auto"/>
      </w:divBdr>
    </w:div>
    <w:div w:id="847915099">
      <w:bodyDiv w:val="1"/>
      <w:marLeft w:val="0"/>
      <w:marRight w:val="0"/>
      <w:marTop w:val="0"/>
      <w:marBottom w:val="0"/>
      <w:divBdr>
        <w:top w:val="none" w:sz="0" w:space="0" w:color="auto"/>
        <w:left w:val="none" w:sz="0" w:space="0" w:color="auto"/>
        <w:bottom w:val="none" w:sz="0" w:space="0" w:color="auto"/>
        <w:right w:val="none" w:sz="0" w:space="0" w:color="auto"/>
      </w:divBdr>
    </w:div>
    <w:div w:id="848102190">
      <w:bodyDiv w:val="1"/>
      <w:marLeft w:val="0"/>
      <w:marRight w:val="0"/>
      <w:marTop w:val="0"/>
      <w:marBottom w:val="0"/>
      <w:divBdr>
        <w:top w:val="none" w:sz="0" w:space="0" w:color="auto"/>
        <w:left w:val="none" w:sz="0" w:space="0" w:color="auto"/>
        <w:bottom w:val="none" w:sz="0" w:space="0" w:color="auto"/>
        <w:right w:val="none" w:sz="0" w:space="0" w:color="auto"/>
      </w:divBdr>
    </w:div>
    <w:div w:id="848131462">
      <w:bodyDiv w:val="1"/>
      <w:marLeft w:val="0"/>
      <w:marRight w:val="0"/>
      <w:marTop w:val="0"/>
      <w:marBottom w:val="0"/>
      <w:divBdr>
        <w:top w:val="none" w:sz="0" w:space="0" w:color="auto"/>
        <w:left w:val="none" w:sz="0" w:space="0" w:color="auto"/>
        <w:bottom w:val="none" w:sz="0" w:space="0" w:color="auto"/>
        <w:right w:val="none" w:sz="0" w:space="0" w:color="auto"/>
      </w:divBdr>
    </w:div>
    <w:div w:id="848181446">
      <w:bodyDiv w:val="1"/>
      <w:marLeft w:val="0"/>
      <w:marRight w:val="0"/>
      <w:marTop w:val="0"/>
      <w:marBottom w:val="0"/>
      <w:divBdr>
        <w:top w:val="none" w:sz="0" w:space="0" w:color="auto"/>
        <w:left w:val="none" w:sz="0" w:space="0" w:color="auto"/>
        <w:bottom w:val="none" w:sz="0" w:space="0" w:color="auto"/>
        <w:right w:val="none" w:sz="0" w:space="0" w:color="auto"/>
      </w:divBdr>
    </w:div>
    <w:div w:id="848377120">
      <w:bodyDiv w:val="1"/>
      <w:marLeft w:val="0"/>
      <w:marRight w:val="0"/>
      <w:marTop w:val="0"/>
      <w:marBottom w:val="0"/>
      <w:divBdr>
        <w:top w:val="none" w:sz="0" w:space="0" w:color="auto"/>
        <w:left w:val="none" w:sz="0" w:space="0" w:color="auto"/>
        <w:bottom w:val="none" w:sz="0" w:space="0" w:color="auto"/>
        <w:right w:val="none" w:sz="0" w:space="0" w:color="auto"/>
      </w:divBdr>
    </w:div>
    <w:div w:id="848449397">
      <w:bodyDiv w:val="1"/>
      <w:marLeft w:val="0"/>
      <w:marRight w:val="0"/>
      <w:marTop w:val="0"/>
      <w:marBottom w:val="0"/>
      <w:divBdr>
        <w:top w:val="none" w:sz="0" w:space="0" w:color="auto"/>
        <w:left w:val="none" w:sz="0" w:space="0" w:color="auto"/>
        <w:bottom w:val="none" w:sz="0" w:space="0" w:color="auto"/>
        <w:right w:val="none" w:sz="0" w:space="0" w:color="auto"/>
      </w:divBdr>
    </w:div>
    <w:div w:id="848561475">
      <w:bodyDiv w:val="1"/>
      <w:marLeft w:val="0"/>
      <w:marRight w:val="0"/>
      <w:marTop w:val="0"/>
      <w:marBottom w:val="0"/>
      <w:divBdr>
        <w:top w:val="none" w:sz="0" w:space="0" w:color="auto"/>
        <w:left w:val="none" w:sz="0" w:space="0" w:color="auto"/>
        <w:bottom w:val="none" w:sz="0" w:space="0" w:color="auto"/>
        <w:right w:val="none" w:sz="0" w:space="0" w:color="auto"/>
      </w:divBdr>
    </w:div>
    <w:div w:id="848644776">
      <w:bodyDiv w:val="1"/>
      <w:marLeft w:val="0"/>
      <w:marRight w:val="0"/>
      <w:marTop w:val="0"/>
      <w:marBottom w:val="0"/>
      <w:divBdr>
        <w:top w:val="none" w:sz="0" w:space="0" w:color="auto"/>
        <w:left w:val="none" w:sz="0" w:space="0" w:color="auto"/>
        <w:bottom w:val="none" w:sz="0" w:space="0" w:color="auto"/>
        <w:right w:val="none" w:sz="0" w:space="0" w:color="auto"/>
      </w:divBdr>
    </w:div>
    <w:div w:id="849026417">
      <w:bodyDiv w:val="1"/>
      <w:marLeft w:val="0"/>
      <w:marRight w:val="0"/>
      <w:marTop w:val="0"/>
      <w:marBottom w:val="0"/>
      <w:divBdr>
        <w:top w:val="none" w:sz="0" w:space="0" w:color="auto"/>
        <w:left w:val="none" w:sz="0" w:space="0" w:color="auto"/>
        <w:bottom w:val="none" w:sz="0" w:space="0" w:color="auto"/>
        <w:right w:val="none" w:sz="0" w:space="0" w:color="auto"/>
      </w:divBdr>
    </w:div>
    <w:div w:id="849218780">
      <w:bodyDiv w:val="1"/>
      <w:marLeft w:val="0"/>
      <w:marRight w:val="0"/>
      <w:marTop w:val="0"/>
      <w:marBottom w:val="0"/>
      <w:divBdr>
        <w:top w:val="none" w:sz="0" w:space="0" w:color="auto"/>
        <w:left w:val="none" w:sz="0" w:space="0" w:color="auto"/>
        <w:bottom w:val="none" w:sz="0" w:space="0" w:color="auto"/>
        <w:right w:val="none" w:sz="0" w:space="0" w:color="auto"/>
      </w:divBdr>
    </w:div>
    <w:div w:id="849374047">
      <w:bodyDiv w:val="1"/>
      <w:marLeft w:val="0"/>
      <w:marRight w:val="0"/>
      <w:marTop w:val="0"/>
      <w:marBottom w:val="0"/>
      <w:divBdr>
        <w:top w:val="none" w:sz="0" w:space="0" w:color="auto"/>
        <w:left w:val="none" w:sz="0" w:space="0" w:color="auto"/>
        <w:bottom w:val="none" w:sz="0" w:space="0" w:color="auto"/>
        <w:right w:val="none" w:sz="0" w:space="0" w:color="auto"/>
      </w:divBdr>
    </w:div>
    <w:div w:id="849567039">
      <w:bodyDiv w:val="1"/>
      <w:marLeft w:val="0"/>
      <w:marRight w:val="0"/>
      <w:marTop w:val="0"/>
      <w:marBottom w:val="0"/>
      <w:divBdr>
        <w:top w:val="none" w:sz="0" w:space="0" w:color="auto"/>
        <w:left w:val="none" w:sz="0" w:space="0" w:color="auto"/>
        <w:bottom w:val="none" w:sz="0" w:space="0" w:color="auto"/>
        <w:right w:val="none" w:sz="0" w:space="0" w:color="auto"/>
      </w:divBdr>
    </w:div>
    <w:div w:id="849568127">
      <w:bodyDiv w:val="1"/>
      <w:marLeft w:val="0"/>
      <w:marRight w:val="0"/>
      <w:marTop w:val="0"/>
      <w:marBottom w:val="0"/>
      <w:divBdr>
        <w:top w:val="none" w:sz="0" w:space="0" w:color="auto"/>
        <w:left w:val="none" w:sz="0" w:space="0" w:color="auto"/>
        <w:bottom w:val="none" w:sz="0" w:space="0" w:color="auto"/>
        <w:right w:val="none" w:sz="0" w:space="0" w:color="auto"/>
      </w:divBdr>
    </w:div>
    <w:div w:id="849568717">
      <w:bodyDiv w:val="1"/>
      <w:marLeft w:val="0"/>
      <w:marRight w:val="0"/>
      <w:marTop w:val="0"/>
      <w:marBottom w:val="0"/>
      <w:divBdr>
        <w:top w:val="none" w:sz="0" w:space="0" w:color="auto"/>
        <w:left w:val="none" w:sz="0" w:space="0" w:color="auto"/>
        <w:bottom w:val="none" w:sz="0" w:space="0" w:color="auto"/>
        <w:right w:val="none" w:sz="0" w:space="0" w:color="auto"/>
      </w:divBdr>
    </w:div>
    <w:div w:id="849677994">
      <w:bodyDiv w:val="1"/>
      <w:marLeft w:val="0"/>
      <w:marRight w:val="0"/>
      <w:marTop w:val="0"/>
      <w:marBottom w:val="0"/>
      <w:divBdr>
        <w:top w:val="none" w:sz="0" w:space="0" w:color="auto"/>
        <w:left w:val="none" w:sz="0" w:space="0" w:color="auto"/>
        <w:bottom w:val="none" w:sz="0" w:space="0" w:color="auto"/>
        <w:right w:val="none" w:sz="0" w:space="0" w:color="auto"/>
      </w:divBdr>
    </w:div>
    <w:div w:id="849679619">
      <w:bodyDiv w:val="1"/>
      <w:marLeft w:val="0"/>
      <w:marRight w:val="0"/>
      <w:marTop w:val="0"/>
      <w:marBottom w:val="0"/>
      <w:divBdr>
        <w:top w:val="none" w:sz="0" w:space="0" w:color="auto"/>
        <w:left w:val="none" w:sz="0" w:space="0" w:color="auto"/>
        <w:bottom w:val="none" w:sz="0" w:space="0" w:color="auto"/>
        <w:right w:val="none" w:sz="0" w:space="0" w:color="auto"/>
      </w:divBdr>
    </w:div>
    <w:div w:id="849760078">
      <w:bodyDiv w:val="1"/>
      <w:marLeft w:val="0"/>
      <w:marRight w:val="0"/>
      <w:marTop w:val="0"/>
      <w:marBottom w:val="0"/>
      <w:divBdr>
        <w:top w:val="none" w:sz="0" w:space="0" w:color="auto"/>
        <w:left w:val="none" w:sz="0" w:space="0" w:color="auto"/>
        <w:bottom w:val="none" w:sz="0" w:space="0" w:color="auto"/>
        <w:right w:val="none" w:sz="0" w:space="0" w:color="auto"/>
      </w:divBdr>
    </w:div>
    <w:div w:id="849837726">
      <w:bodyDiv w:val="1"/>
      <w:marLeft w:val="0"/>
      <w:marRight w:val="0"/>
      <w:marTop w:val="0"/>
      <w:marBottom w:val="0"/>
      <w:divBdr>
        <w:top w:val="none" w:sz="0" w:space="0" w:color="auto"/>
        <w:left w:val="none" w:sz="0" w:space="0" w:color="auto"/>
        <w:bottom w:val="none" w:sz="0" w:space="0" w:color="auto"/>
        <w:right w:val="none" w:sz="0" w:space="0" w:color="auto"/>
      </w:divBdr>
    </w:div>
    <w:div w:id="849875309">
      <w:bodyDiv w:val="1"/>
      <w:marLeft w:val="0"/>
      <w:marRight w:val="0"/>
      <w:marTop w:val="0"/>
      <w:marBottom w:val="0"/>
      <w:divBdr>
        <w:top w:val="none" w:sz="0" w:space="0" w:color="auto"/>
        <w:left w:val="none" w:sz="0" w:space="0" w:color="auto"/>
        <w:bottom w:val="none" w:sz="0" w:space="0" w:color="auto"/>
        <w:right w:val="none" w:sz="0" w:space="0" w:color="auto"/>
      </w:divBdr>
    </w:div>
    <w:div w:id="849949941">
      <w:bodyDiv w:val="1"/>
      <w:marLeft w:val="0"/>
      <w:marRight w:val="0"/>
      <w:marTop w:val="0"/>
      <w:marBottom w:val="0"/>
      <w:divBdr>
        <w:top w:val="none" w:sz="0" w:space="0" w:color="auto"/>
        <w:left w:val="none" w:sz="0" w:space="0" w:color="auto"/>
        <w:bottom w:val="none" w:sz="0" w:space="0" w:color="auto"/>
        <w:right w:val="none" w:sz="0" w:space="0" w:color="auto"/>
      </w:divBdr>
    </w:div>
    <w:div w:id="850072534">
      <w:bodyDiv w:val="1"/>
      <w:marLeft w:val="0"/>
      <w:marRight w:val="0"/>
      <w:marTop w:val="0"/>
      <w:marBottom w:val="0"/>
      <w:divBdr>
        <w:top w:val="none" w:sz="0" w:space="0" w:color="auto"/>
        <w:left w:val="none" w:sz="0" w:space="0" w:color="auto"/>
        <w:bottom w:val="none" w:sz="0" w:space="0" w:color="auto"/>
        <w:right w:val="none" w:sz="0" w:space="0" w:color="auto"/>
      </w:divBdr>
    </w:div>
    <w:div w:id="850098481">
      <w:bodyDiv w:val="1"/>
      <w:marLeft w:val="0"/>
      <w:marRight w:val="0"/>
      <w:marTop w:val="0"/>
      <w:marBottom w:val="0"/>
      <w:divBdr>
        <w:top w:val="none" w:sz="0" w:space="0" w:color="auto"/>
        <w:left w:val="none" w:sz="0" w:space="0" w:color="auto"/>
        <w:bottom w:val="none" w:sz="0" w:space="0" w:color="auto"/>
        <w:right w:val="none" w:sz="0" w:space="0" w:color="auto"/>
      </w:divBdr>
    </w:div>
    <w:div w:id="850487238">
      <w:bodyDiv w:val="1"/>
      <w:marLeft w:val="0"/>
      <w:marRight w:val="0"/>
      <w:marTop w:val="0"/>
      <w:marBottom w:val="0"/>
      <w:divBdr>
        <w:top w:val="none" w:sz="0" w:space="0" w:color="auto"/>
        <w:left w:val="none" w:sz="0" w:space="0" w:color="auto"/>
        <w:bottom w:val="none" w:sz="0" w:space="0" w:color="auto"/>
        <w:right w:val="none" w:sz="0" w:space="0" w:color="auto"/>
      </w:divBdr>
    </w:div>
    <w:div w:id="850491601">
      <w:bodyDiv w:val="1"/>
      <w:marLeft w:val="0"/>
      <w:marRight w:val="0"/>
      <w:marTop w:val="0"/>
      <w:marBottom w:val="0"/>
      <w:divBdr>
        <w:top w:val="none" w:sz="0" w:space="0" w:color="auto"/>
        <w:left w:val="none" w:sz="0" w:space="0" w:color="auto"/>
        <w:bottom w:val="none" w:sz="0" w:space="0" w:color="auto"/>
        <w:right w:val="none" w:sz="0" w:space="0" w:color="auto"/>
      </w:divBdr>
    </w:div>
    <w:div w:id="850534717">
      <w:bodyDiv w:val="1"/>
      <w:marLeft w:val="0"/>
      <w:marRight w:val="0"/>
      <w:marTop w:val="0"/>
      <w:marBottom w:val="0"/>
      <w:divBdr>
        <w:top w:val="none" w:sz="0" w:space="0" w:color="auto"/>
        <w:left w:val="none" w:sz="0" w:space="0" w:color="auto"/>
        <w:bottom w:val="none" w:sz="0" w:space="0" w:color="auto"/>
        <w:right w:val="none" w:sz="0" w:space="0" w:color="auto"/>
      </w:divBdr>
    </w:div>
    <w:div w:id="850605137">
      <w:bodyDiv w:val="1"/>
      <w:marLeft w:val="0"/>
      <w:marRight w:val="0"/>
      <w:marTop w:val="0"/>
      <w:marBottom w:val="0"/>
      <w:divBdr>
        <w:top w:val="none" w:sz="0" w:space="0" w:color="auto"/>
        <w:left w:val="none" w:sz="0" w:space="0" w:color="auto"/>
        <w:bottom w:val="none" w:sz="0" w:space="0" w:color="auto"/>
        <w:right w:val="none" w:sz="0" w:space="0" w:color="auto"/>
      </w:divBdr>
    </w:div>
    <w:div w:id="850988879">
      <w:bodyDiv w:val="1"/>
      <w:marLeft w:val="0"/>
      <w:marRight w:val="0"/>
      <w:marTop w:val="0"/>
      <w:marBottom w:val="0"/>
      <w:divBdr>
        <w:top w:val="none" w:sz="0" w:space="0" w:color="auto"/>
        <w:left w:val="none" w:sz="0" w:space="0" w:color="auto"/>
        <w:bottom w:val="none" w:sz="0" w:space="0" w:color="auto"/>
        <w:right w:val="none" w:sz="0" w:space="0" w:color="auto"/>
      </w:divBdr>
    </w:div>
    <w:div w:id="851338619">
      <w:bodyDiv w:val="1"/>
      <w:marLeft w:val="0"/>
      <w:marRight w:val="0"/>
      <w:marTop w:val="0"/>
      <w:marBottom w:val="0"/>
      <w:divBdr>
        <w:top w:val="none" w:sz="0" w:space="0" w:color="auto"/>
        <w:left w:val="none" w:sz="0" w:space="0" w:color="auto"/>
        <w:bottom w:val="none" w:sz="0" w:space="0" w:color="auto"/>
        <w:right w:val="none" w:sz="0" w:space="0" w:color="auto"/>
      </w:divBdr>
    </w:div>
    <w:div w:id="851459195">
      <w:bodyDiv w:val="1"/>
      <w:marLeft w:val="0"/>
      <w:marRight w:val="0"/>
      <w:marTop w:val="0"/>
      <w:marBottom w:val="0"/>
      <w:divBdr>
        <w:top w:val="none" w:sz="0" w:space="0" w:color="auto"/>
        <w:left w:val="none" w:sz="0" w:space="0" w:color="auto"/>
        <w:bottom w:val="none" w:sz="0" w:space="0" w:color="auto"/>
        <w:right w:val="none" w:sz="0" w:space="0" w:color="auto"/>
      </w:divBdr>
    </w:div>
    <w:div w:id="851800919">
      <w:bodyDiv w:val="1"/>
      <w:marLeft w:val="0"/>
      <w:marRight w:val="0"/>
      <w:marTop w:val="0"/>
      <w:marBottom w:val="0"/>
      <w:divBdr>
        <w:top w:val="none" w:sz="0" w:space="0" w:color="auto"/>
        <w:left w:val="none" w:sz="0" w:space="0" w:color="auto"/>
        <w:bottom w:val="none" w:sz="0" w:space="0" w:color="auto"/>
        <w:right w:val="none" w:sz="0" w:space="0" w:color="auto"/>
      </w:divBdr>
    </w:div>
    <w:div w:id="851837706">
      <w:bodyDiv w:val="1"/>
      <w:marLeft w:val="0"/>
      <w:marRight w:val="0"/>
      <w:marTop w:val="0"/>
      <w:marBottom w:val="0"/>
      <w:divBdr>
        <w:top w:val="none" w:sz="0" w:space="0" w:color="auto"/>
        <w:left w:val="none" w:sz="0" w:space="0" w:color="auto"/>
        <w:bottom w:val="none" w:sz="0" w:space="0" w:color="auto"/>
        <w:right w:val="none" w:sz="0" w:space="0" w:color="auto"/>
      </w:divBdr>
    </w:div>
    <w:div w:id="852494843">
      <w:bodyDiv w:val="1"/>
      <w:marLeft w:val="0"/>
      <w:marRight w:val="0"/>
      <w:marTop w:val="0"/>
      <w:marBottom w:val="0"/>
      <w:divBdr>
        <w:top w:val="none" w:sz="0" w:space="0" w:color="auto"/>
        <w:left w:val="none" w:sz="0" w:space="0" w:color="auto"/>
        <w:bottom w:val="none" w:sz="0" w:space="0" w:color="auto"/>
        <w:right w:val="none" w:sz="0" w:space="0" w:color="auto"/>
      </w:divBdr>
    </w:div>
    <w:div w:id="852843235">
      <w:bodyDiv w:val="1"/>
      <w:marLeft w:val="0"/>
      <w:marRight w:val="0"/>
      <w:marTop w:val="0"/>
      <w:marBottom w:val="0"/>
      <w:divBdr>
        <w:top w:val="none" w:sz="0" w:space="0" w:color="auto"/>
        <w:left w:val="none" w:sz="0" w:space="0" w:color="auto"/>
        <w:bottom w:val="none" w:sz="0" w:space="0" w:color="auto"/>
        <w:right w:val="none" w:sz="0" w:space="0" w:color="auto"/>
      </w:divBdr>
    </w:div>
    <w:div w:id="852915725">
      <w:bodyDiv w:val="1"/>
      <w:marLeft w:val="0"/>
      <w:marRight w:val="0"/>
      <w:marTop w:val="0"/>
      <w:marBottom w:val="0"/>
      <w:divBdr>
        <w:top w:val="none" w:sz="0" w:space="0" w:color="auto"/>
        <w:left w:val="none" w:sz="0" w:space="0" w:color="auto"/>
        <w:bottom w:val="none" w:sz="0" w:space="0" w:color="auto"/>
        <w:right w:val="none" w:sz="0" w:space="0" w:color="auto"/>
      </w:divBdr>
    </w:div>
    <w:div w:id="853036577">
      <w:bodyDiv w:val="1"/>
      <w:marLeft w:val="0"/>
      <w:marRight w:val="0"/>
      <w:marTop w:val="0"/>
      <w:marBottom w:val="0"/>
      <w:divBdr>
        <w:top w:val="none" w:sz="0" w:space="0" w:color="auto"/>
        <w:left w:val="none" w:sz="0" w:space="0" w:color="auto"/>
        <w:bottom w:val="none" w:sz="0" w:space="0" w:color="auto"/>
        <w:right w:val="none" w:sz="0" w:space="0" w:color="auto"/>
      </w:divBdr>
    </w:div>
    <w:div w:id="853110604">
      <w:bodyDiv w:val="1"/>
      <w:marLeft w:val="0"/>
      <w:marRight w:val="0"/>
      <w:marTop w:val="0"/>
      <w:marBottom w:val="0"/>
      <w:divBdr>
        <w:top w:val="none" w:sz="0" w:space="0" w:color="auto"/>
        <w:left w:val="none" w:sz="0" w:space="0" w:color="auto"/>
        <w:bottom w:val="none" w:sz="0" w:space="0" w:color="auto"/>
        <w:right w:val="none" w:sz="0" w:space="0" w:color="auto"/>
      </w:divBdr>
    </w:div>
    <w:div w:id="853231561">
      <w:bodyDiv w:val="1"/>
      <w:marLeft w:val="0"/>
      <w:marRight w:val="0"/>
      <w:marTop w:val="0"/>
      <w:marBottom w:val="0"/>
      <w:divBdr>
        <w:top w:val="none" w:sz="0" w:space="0" w:color="auto"/>
        <w:left w:val="none" w:sz="0" w:space="0" w:color="auto"/>
        <w:bottom w:val="none" w:sz="0" w:space="0" w:color="auto"/>
        <w:right w:val="none" w:sz="0" w:space="0" w:color="auto"/>
      </w:divBdr>
    </w:div>
    <w:div w:id="853345759">
      <w:bodyDiv w:val="1"/>
      <w:marLeft w:val="0"/>
      <w:marRight w:val="0"/>
      <w:marTop w:val="0"/>
      <w:marBottom w:val="0"/>
      <w:divBdr>
        <w:top w:val="none" w:sz="0" w:space="0" w:color="auto"/>
        <w:left w:val="none" w:sz="0" w:space="0" w:color="auto"/>
        <w:bottom w:val="none" w:sz="0" w:space="0" w:color="auto"/>
        <w:right w:val="none" w:sz="0" w:space="0" w:color="auto"/>
      </w:divBdr>
    </w:div>
    <w:div w:id="853496333">
      <w:bodyDiv w:val="1"/>
      <w:marLeft w:val="0"/>
      <w:marRight w:val="0"/>
      <w:marTop w:val="0"/>
      <w:marBottom w:val="0"/>
      <w:divBdr>
        <w:top w:val="none" w:sz="0" w:space="0" w:color="auto"/>
        <w:left w:val="none" w:sz="0" w:space="0" w:color="auto"/>
        <w:bottom w:val="none" w:sz="0" w:space="0" w:color="auto"/>
        <w:right w:val="none" w:sz="0" w:space="0" w:color="auto"/>
      </w:divBdr>
    </w:div>
    <w:div w:id="853500290">
      <w:bodyDiv w:val="1"/>
      <w:marLeft w:val="0"/>
      <w:marRight w:val="0"/>
      <w:marTop w:val="0"/>
      <w:marBottom w:val="0"/>
      <w:divBdr>
        <w:top w:val="none" w:sz="0" w:space="0" w:color="auto"/>
        <w:left w:val="none" w:sz="0" w:space="0" w:color="auto"/>
        <w:bottom w:val="none" w:sz="0" w:space="0" w:color="auto"/>
        <w:right w:val="none" w:sz="0" w:space="0" w:color="auto"/>
      </w:divBdr>
    </w:div>
    <w:div w:id="853693965">
      <w:bodyDiv w:val="1"/>
      <w:marLeft w:val="0"/>
      <w:marRight w:val="0"/>
      <w:marTop w:val="0"/>
      <w:marBottom w:val="0"/>
      <w:divBdr>
        <w:top w:val="none" w:sz="0" w:space="0" w:color="auto"/>
        <w:left w:val="none" w:sz="0" w:space="0" w:color="auto"/>
        <w:bottom w:val="none" w:sz="0" w:space="0" w:color="auto"/>
        <w:right w:val="none" w:sz="0" w:space="0" w:color="auto"/>
      </w:divBdr>
    </w:div>
    <w:div w:id="854072222">
      <w:bodyDiv w:val="1"/>
      <w:marLeft w:val="0"/>
      <w:marRight w:val="0"/>
      <w:marTop w:val="0"/>
      <w:marBottom w:val="0"/>
      <w:divBdr>
        <w:top w:val="none" w:sz="0" w:space="0" w:color="auto"/>
        <w:left w:val="none" w:sz="0" w:space="0" w:color="auto"/>
        <w:bottom w:val="none" w:sz="0" w:space="0" w:color="auto"/>
        <w:right w:val="none" w:sz="0" w:space="0" w:color="auto"/>
      </w:divBdr>
    </w:div>
    <w:div w:id="854073557">
      <w:bodyDiv w:val="1"/>
      <w:marLeft w:val="0"/>
      <w:marRight w:val="0"/>
      <w:marTop w:val="0"/>
      <w:marBottom w:val="0"/>
      <w:divBdr>
        <w:top w:val="none" w:sz="0" w:space="0" w:color="auto"/>
        <w:left w:val="none" w:sz="0" w:space="0" w:color="auto"/>
        <w:bottom w:val="none" w:sz="0" w:space="0" w:color="auto"/>
        <w:right w:val="none" w:sz="0" w:space="0" w:color="auto"/>
      </w:divBdr>
    </w:div>
    <w:div w:id="854149011">
      <w:bodyDiv w:val="1"/>
      <w:marLeft w:val="0"/>
      <w:marRight w:val="0"/>
      <w:marTop w:val="0"/>
      <w:marBottom w:val="0"/>
      <w:divBdr>
        <w:top w:val="none" w:sz="0" w:space="0" w:color="auto"/>
        <w:left w:val="none" w:sz="0" w:space="0" w:color="auto"/>
        <w:bottom w:val="none" w:sz="0" w:space="0" w:color="auto"/>
        <w:right w:val="none" w:sz="0" w:space="0" w:color="auto"/>
      </w:divBdr>
    </w:div>
    <w:div w:id="854225858">
      <w:bodyDiv w:val="1"/>
      <w:marLeft w:val="0"/>
      <w:marRight w:val="0"/>
      <w:marTop w:val="0"/>
      <w:marBottom w:val="0"/>
      <w:divBdr>
        <w:top w:val="none" w:sz="0" w:space="0" w:color="auto"/>
        <w:left w:val="none" w:sz="0" w:space="0" w:color="auto"/>
        <w:bottom w:val="none" w:sz="0" w:space="0" w:color="auto"/>
        <w:right w:val="none" w:sz="0" w:space="0" w:color="auto"/>
      </w:divBdr>
    </w:div>
    <w:div w:id="854463623">
      <w:bodyDiv w:val="1"/>
      <w:marLeft w:val="0"/>
      <w:marRight w:val="0"/>
      <w:marTop w:val="0"/>
      <w:marBottom w:val="0"/>
      <w:divBdr>
        <w:top w:val="none" w:sz="0" w:space="0" w:color="auto"/>
        <w:left w:val="none" w:sz="0" w:space="0" w:color="auto"/>
        <w:bottom w:val="none" w:sz="0" w:space="0" w:color="auto"/>
        <w:right w:val="none" w:sz="0" w:space="0" w:color="auto"/>
      </w:divBdr>
    </w:div>
    <w:div w:id="854542321">
      <w:bodyDiv w:val="1"/>
      <w:marLeft w:val="0"/>
      <w:marRight w:val="0"/>
      <w:marTop w:val="0"/>
      <w:marBottom w:val="0"/>
      <w:divBdr>
        <w:top w:val="none" w:sz="0" w:space="0" w:color="auto"/>
        <w:left w:val="none" w:sz="0" w:space="0" w:color="auto"/>
        <w:bottom w:val="none" w:sz="0" w:space="0" w:color="auto"/>
        <w:right w:val="none" w:sz="0" w:space="0" w:color="auto"/>
      </w:divBdr>
    </w:div>
    <w:div w:id="854542707">
      <w:bodyDiv w:val="1"/>
      <w:marLeft w:val="0"/>
      <w:marRight w:val="0"/>
      <w:marTop w:val="0"/>
      <w:marBottom w:val="0"/>
      <w:divBdr>
        <w:top w:val="none" w:sz="0" w:space="0" w:color="auto"/>
        <w:left w:val="none" w:sz="0" w:space="0" w:color="auto"/>
        <w:bottom w:val="none" w:sz="0" w:space="0" w:color="auto"/>
        <w:right w:val="none" w:sz="0" w:space="0" w:color="auto"/>
      </w:divBdr>
    </w:div>
    <w:div w:id="854613054">
      <w:bodyDiv w:val="1"/>
      <w:marLeft w:val="0"/>
      <w:marRight w:val="0"/>
      <w:marTop w:val="0"/>
      <w:marBottom w:val="0"/>
      <w:divBdr>
        <w:top w:val="none" w:sz="0" w:space="0" w:color="auto"/>
        <w:left w:val="none" w:sz="0" w:space="0" w:color="auto"/>
        <w:bottom w:val="none" w:sz="0" w:space="0" w:color="auto"/>
        <w:right w:val="none" w:sz="0" w:space="0" w:color="auto"/>
      </w:divBdr>
    </w:div>
    <w:div w:id="854687724">
      <w:bodyDiv w:val="1"/>
      <w:marLeft w:val="0"/>
      <w:marRight w:val="0"/>
      <w:marTop w:val="0"/>
      <w:marBottom w:val="0"/>
      <w:divBdr>
        <w:top w:val="none" w:sz="0" w:space="0" w:color="auto"/>
        <w:left w:val="none" w:sz="0" w:space="0" w:color="auto"/>
        <w:bottom w:val="none" w:sz="0" w:space="0" w:color="auto"/>
        <w:right w:val="none" w:sz="0" w:space="0" w:color="auto"/>
      </w:divBdr>
    </w:div>
    <w:div w:id="854729469">
      <w:bodyDiv w:val="1"/>
      <w:marLeft w:val="0"/>
      <w:marRight w:val="0"/>
      <w:marTop w:val="0"/>
      <w:marBottom w:val="0"/>
      <w:divBdr>
        <w:top w:val="none" w:sz="0" w:space="0" w:color="auto"/>
        <w:left w:val="none" w:sz="0" w:space="0" w:color="auto"/>
        <w:bottom w:val="none" w:sz="0" w:space="0" w:color="auto"/>
        <w:right w:val="none" w:sz="0" w:space="0" w:color="auto"/>
      </w:divBdr>
    </w:div>
    <w:div w:id="854925151">
      <w:bodyDiv w:val="1"/>
      <w:marLeft w:val="0"/>
      <w:marRight w:val="0"/>
      <w:marTop w:val="0"/>
      <w:marBottom w:val="0"/>
      <w:divBdr>
        <w:top w:val="none" w:sz="0" w:space="0" w:color="auto"/>
        <w:left w:val="none" w:sz="0" w:space="0" w:color="auto"/>
        <w:bottom w:val="none" w:sz="0" w:space="0" w:color="auto"/>
        <w:right w:val="none" w:sz="0" w:space="0" w:color="auto"/>
      </w:divBdr>
    </w:div>
    <w:div w:id="854929518">
      <w:bodyDiv w:val="1"/>
      <w:marLeft w:val="0"/>
      <w:marRight w:val="0"/>
      <w:marTop w:val="0"/>
      <w:marBottom w:val="0"/>
      <w:divBdr>
        <w:top w:val="none" w:sz="0" w:space="0" w:color="auto"/>
        <w:left w:val="none" w:sz="0" w:space="0" w:color="auto"/>
        <w:bottom w:val="none" w:sz="0" w:space="0" w:color="auto"/>
        <w:right w:val="none" w:sz="0" w:space="0" w:color="auto"/>
      </w:divBdr>
    </w:div>
    <w:div w:id="854998413">
      <w:bodyDiv w:val="1"/>
      <w:marLeft w:val="0"/>
      <w:marRight w:val="0"/>
      <w:marTop w:val="0"/>
      <w:marBottom w:val="0"/>
      <w:divBdr>
        <w:top w:val="none" w:sz="0" w:space="0" w:color="auto"/>
        <w:left w:val="none" w:sz="0" w:space="0" w:color="auto"/>
        <w:bottom w:val="none" w:sz="0" w:space="0" w:color="auto"/>
        <w:right w:val="none" w:sz="0" w:space="0" w:color="auto"/>
      </w:divBdr>
    </w:div>
    <w:div w:id="855003202">
      <w:bodyDiv w:val="1"/>
      <w:marLeft w:val="0"/>
      <w:marRight w:val="0"/>
      <w:marTop w:val="0"/>
      <w:marBottom w:val="0"/>
      <w:divBdr>
        <w:top w:val="none" w:sz="0" w:space="0" w:color="auto"/>
        <w:left w:val="none" w:sz="0" w:space="0" w:color="auto"/>
        <w:bottom w:val="none" w:sz="0" w:space="0" w:color="auto"/>
        <w:right w:val="none" w:sz="0" w:space="0" w:color="auto"/>
      </w:divBdr>
    </w:div>
    <w:div w:id="855073337">
      <w:bodyDiv w:val="1"/>
      <w:marLeft w:val="0"/>
      <w:marRight w:val="0"/>
      <w:marTop w:val="0"/>
      <w:marBottom w:val="0"/>
      <w:divBdr>
        <w:top w:val="none" w:sz="0" w:space="0" w:color="auto"/>
        <w:left w:val="none" w:sz="0" w:space="0" w:color="auto"/>
        <w:bottom w:val="none" w:sz="0" w:space="0" w:color="auto"/>
        <w:right w:val="none" w:sz="0" w:space="0" w:color="auto"/>
      </w:divBdr>
    </w:div>
    <w:div w:id="855078452">
      <w:bodyDiv w:val="1"/>
      <w:marLeft w:val="0"/>
      <w:marRight w:val="0"/>
      <w:marTop w:val="0"/>
      <w:marBottom w:val="0"/>
      <w:divBdr>
        <w:top w:val="none" w:sz="0" w:space="0" w:color="auto"/>
        <w:left w:val="none" w:sz="0" w:space="0" w:color="auto"/>
        <w:bottom w:val="none" w:sz="0" w:space="0" w:color="auto"/>
        <w:right w:val="none" w:sz="0" w:space="0" w:color="auto"/>
      </w:divBdr>
    </w:div>
    <w:div w:id="855457560">
      <w:bodyDiv w:val="1"/>
      <w:marLeft w:val="0"/>
      <w:marRight w:val="0"/>
      <w:marTop w:val="0"/>
      <w:marBottom w:val="0"/>
      <w:divBdr>
        <w:top w:val="none" w:sz="0" w:space="0" w:color="auto"/>
        <w:left w:val="none" w:sz="0" w:space="0" w:color="auto"/>
        <w:bottom w:val="none" w:sz="0" w:space="0" w:color="auto"/>
        <w:right w:val="none" w:sz="0" w:space="0" w:color="auto"/>
      </w:divBdr>
    </w:div>
    <w:div w:id="855532899">
      <w:bodyDiv w:val="1"/>
      <w:marLeft w:val="0"/>
      <w:marRight w:val="0"/>
      <w:marTop w:val="0"/>
      <w:marBottom w:val="0"/>
      <w:divBdr>
        <w:top w:val="none" w:sz="0" w:space="0" w:color="auto"/>
        <w:left w:val="none" w:sz="0" w:space="0" w:color="auto"/>
        <w:bottom w:val="none" w:sz="0" w:space="0" w:color="auto"/>
        <w:right w:val="none" w:sz="0" w:space="0" w:color="auto"/>
      </w:divBdr>
    </w:div>
    <w:div w:id="855730552">
      <w:bodyDiv w:val="1"/>
      <w:marLeft w:val="0"/>
      <w:marRight w:val="0"/>
      <w:marTop w:val="0"/>
      <w:marBottom w:val="0"/>
      <w:divBdr>
        <w:top w:val="none" w:sz="0" w:space="0" w:color="auto"/>
        <w:left w:val="none" w:sz="0" w:space="0" w:color="auto"/>
        <w:bottom w:val="none" w:sz="0" w:space="0" w:color="auto"/>
        <w:right w:val="none" w:sz="0" w:space="0" w:color="auto"/>
      </w:divBdr>
    </w:div>
    <w:div w:id="855734519">
      <w:bodyDiv w:val="1"/>
      <w:marLeft w:val="0"/>
      <w:marRight w:val="0"/>
      <w:marTop w:val="0"/>
      <w:marBottom w:val="0"/>
      <w:divBdr>
        <w:top w:val="none" w:sz="0" w:space="0" w:color="auto"/>
        <w:left w:val="none" w:sz="0" w:space="0" w:color="auto"/>
        <w:bottom w:val="none" w:sz="0" w:space="0" w:color="auto"/>
        <w:right w:val="none" w:sz="0" w:space="0" w:color="auto"/>
      </w:divBdr>
    </w:div>
    <w:div w:id="855967647">
      <w:bodyDiv w:val="1"/>
      <w:marLeft w:val="0"/>
      <w:marRight w:val="0"/>
      <w:marTop w:val="0"/>
      <w:marBottom w:val="0"/>
      <w:divBdr>
        <w:top w:val="none" w:sz="0" w:space="0" w:color="auto"/>
        <w:left w:val="none" w:sz="0" w:space="0" w:color="auto"/>
        <w:bottom w:val="none" w:sz="0" w:space="0" w:color="auto"/>
        <w:right w:val="none" w:sz="0" w:space="0" w:color="auto"/>
      </w:divBdr>
    </w:div>
    <w:div w:id="856192207">
      <w:bodyDiv w:val="1"/>
      <w:marLeft w:val="0"/>
      <w:marRight w:val="0"/>
      <w:marTop w:val="0"/>
      <w:marBottom w:val="0"/>
      <w:divBdr>
        <w:top w:val="none" w:sz="0" w:space="0" w:color="auto"/>
        <w:left w:val="none" w:sz="0" w:space="0" w:color="auto"/>
        <w:bottom w:val="none" w:sz="0" w:space="0" w:color="auto"/>
        <w:right w:val="none" w:sz="0" w:space="0" w:color="auto"/>
      </w:divBdr>
    </w:div>
    <w:div w:id="856432909">
      <w:bodyDiv w:val="1"/>
      <w:marLeft w:val="0"/>
      <w:marRight w:val="0"/>
      <w:marTop w:val="0"/>
      <w:marBottom w:val="0"/>
      <w:divBdr>
        <w:top w:val="none" w:sz="0" w:space="0" w:color="auto"/>
        <w:left w:val="none" w:sz="0" w:space="0" w:color="auto"/>
        <w:bottom w:val="none" w:sz="0" w:space="0" w:color="auto"/>
        <w:right w:val="none" w:sz="0" w:space="0" w:color="auto"/>
      </w:divBdr>
    </w:div>
    <w:div w:id="856693666">
      <w:bodyDiv w:val="1"/>
      <w:marLeft w:val="0"/>
      <w:marRight w:val="0"/>
      <w:marTop w:val="0"/>
      <w:marBottom w:val="0"/>
      <w:divBdr>
        <w:top w:val="none" w:sz="0" w:space="0" w:color="auto"/>
        <w:left w:val="none" w:sz="0" w:space="0" w:color="auto"/>
        <w:bottom w:val="none" w:sz="0" w:space="0" w:color="auto"/>
        <w:right w:val="none" w:sz="0" w:space="0" w:color="auto"/>
      </w:divBdr>
    </w:div>
    <w:div w:id="856694304">
      <w:bodyDiv w:val="1"/>
      <w:marLeft w:val="0"/>
      <w:marRight w:val="0"/>
      <w:marTop w:val="0"/>
      <w:marBottom w:val="0"/>
      <w:divBdr>
        <w:top w:val="none" w:sz="0" w:space="0" w:color="auto"/>
        <w:left w:val="none" w:sz="0" w:space="0" w:color="auto"/>
        <w:bottom w:val="none" w:sz="0" w:space="0" w:color="auto"/>
        <w:right w:val="none" w:sz="0" w:space="0" w:color="auto"/>
      </w:divBdr>
    </w:div>
    <w:div w:id="856847264">
      <w:bodyDiv w:val="1"/>
      <w:marLeft w:val="0"/>
      <w:marRight w:val="0"/>
      <w:marTop w:val="0"/>
      <w:marBottom w:val="0"/>
      <w:divBdr>
        <w:top w:val="none" w:sz="0" w:space="0" w:color="auto"/>
        <w:left w:val="none" w:sz="0" w:space="0" w:color="auto"/>
        <w:bottom w:val="none" w:sz="0" w:space="0" w:color="auto"/>
        <w:right w:val="none" w:sz="0" w:space="0" w:color="auto"/>
      </w:divBdr>
    </w:div>
    <w:div w:id="857306250">
      <w:bodyDiv w:val="1"/>
      <w:marLeft w:val="0"/>
      <w:marRight w:val="0"/>
      <w:marTop w:val="0"/>
      <w:marBottom w:val="0"/>
      <w:divBdr>
        <w:top w:val="none" w:sz="0" w:space="0" w:color="auto"/>
        <w:left w:val="none" w:sz="0" w:space="0" w:color="auto"/>
        <w:bottom w:val="none" w:sz="0" w:space="0" w:color="auto"/>
        <w:right w:val="none" w:sz="0" w:space="0" w:color="auto"/>
      </w:divBdr>
    </w:div>
    <w:div w:id="857353743">
      <w:bodyDiv w:val="1"/>
      <w:marLeft w:val="0"/>
      <w:marRight w:val="0"/>
      <w:marTop w:val="0"/>
      <w:marBottom w:val="0"/>
      <w:divBdr>
        <w:top w:val="none" w:sz="0" w:space="0" w:color="auto"/>
        <w:left w:val="none" w:sz="0" w:space="0" w:color="auto"/>
        <w:bottom w:val="none" w:sz="0" w:space="0" w:color="auto"/>
        <w:right w:val="none" w:sz="0" w:space="0" w:color="auto"/>
      </w:divBdr>
    </w:div>
    <w:div w:id="857432725">
      <w:bodyDiv w:val="1"/>
      <w:marLeft w:val="0"/>
      <w:marRight w:val="0"/>
      <w:marTop w:val="0"/>
      <w:marBottom w:val="0"/>
      <w:divBdr>
        <w:top w:val="none" w:sz="0" w:space="0" w:color="auto"/>
        <w:left w:val="none" w:sz="0" w:space="0" w:color="auto"/>
        <w:bottom w:val="none" w:sz="0" w:space="0" w:color="auto"/>
        <w:right w:val="none" w:sz="0" w:space="0" w:color="auto"/>
      </w:divBdr>
    </w:div>
    <w:div w:id="857498524">
      <w:bodyDiv w:val="1"/>
      <w:marLeft w:val="0"/>
      <w:marRight w:val="0"/>
      <w:marTop w:val="0"/>
      <w:marBottom w:val="0"/>
      <w:divBdr>
        <w:top w:val="none" w:sz="0" w:space="0" w:color="auto"/>
        <w:left w:val="none" w:sz="0" w:space="0" w:color="auto"/>
        <w:bottom w:val="none" w:sz="0" w:space="0" w:color="auto"/>
        <w:right w:val="none" w:sz="0" w:space="0" w:color="auto"/>
      </w:divBdr>
    </w:div>
    <w:div w:id="857541311">
      <w:bodyDiv w:val="1"/>
      <w:marLeft w:val="0"/>
      <w:marRight w:val="0"/>
      <w:marTop w:val="0"/>
      <w:marBottom w:val="0"/>
      <w:divBdr>
        <w:top w:val="none" w:sz="0" w:space="0" w:color="auto"/>
        <w:left w:val="none" w:sz="0" w:space="0" w:color="auto"/>
        <w:bottom w:val="none" w:sz="0" w:space="0" w:color="auto"/>
        <w:right w:val="none" w:sz="0" w:space="0" w:color="auto"/>
      </w:divBdr>
    </w:div>
    <w:div w:id="857618603">
      <w:bodyDiv w:val="1"/>
      <w:marLeft w:val="0"/>
      <w:marRight w:val="0"/>
      <w:marTop w:val="0"/>
      <w:marBottom w:val="0"/>
      <w:divBdr>
        <w:top w:val="none" w:sz="0" w:space="0" w:color="auto"/>
        <w:left w:val="none" w:sz="0" w:space="0" w:color="auto"/>
        <w:bottom w:val="none" w:sz="0" w:space="0" w:color="auto"/>
        <w:right w:val="none" w:sz="0" w:space="0" w:color="auto"/>
      </w:divBdr>
    </w:div>
    <w:div w:id="857618674">
      <w:bodyDiv w:val="1"/>
      <w:marLeft w:val="0"/>
      <w:marRight w:val="0"/>
      <w:marTop w:val="0"/>
      <w:marBottom w:val="0"/>
      <w:divBdr>
        <w:top w:val="none" w:sz="0" w:space="0" w:color="auto"/>
        <w:left w:val="none" w:sz="0" w:space="0" w:color="auto"/>
        <w:bottom w:val="none" w:sz="0" w:space="0" w:color="auto"/>
        <w:right w:val="none" w:sz="0" w:space="0" w:color="auto"/>
      </w:divBdr>
    </w:div>
    <w:div w:id="857618955">
      <w:bodyDiv w:val="1"/>
      <w:marLeft w:val="0"/>
      <w:marRight w:val="0"/>
      <w:marTop w:val="0"/>
      <w:marBottom w:val="0"/>
      <w:divBdr>
        <w:top w:val="none" w:sz="0" w:space="0" w:color="auto"/>
        <w:left w:val="none" w:sz="0" w:space="0" w:color="auto"/>
        <w:bottom w:val="none" w:sz="0" w:space="0" w:color="auto"/>
        <w:right w:val="none" w:sz="0" w:space="0" w:color="auto"/>
      </w:divBdr>
    </w:div>
    <w:div w:id="857735983">
      <w:bodyDiv w:val="1"/>
      <w:marLeft w:val="0"/>
      <w:marRight w:val="0"/>
      <w:marTop w:val="0"/>
      <w:marBottom w:val="0"/>
      <w:divBdr>
        <w:top w:val="none" w:sz="0" w:space="0" w:color="auto"/>
        <w:left w:val="none" w:sz="0" w:space="0" w:color="auto"/>
        <w:bottom w:val="none" w:sz="0" w:space="0" w:color="auto"/>
        <w:right w:val="none" w:sz="0" w:space="0" w:color="auto"/>
      </w:divBdr>
    </w:div>
    <w:div w:id="857815294">
      <w:bodyDiv w:val="1"/>
      <w:marLeft w:val="0"/>
      <w:marRight w:val="0"/>
      <w:marTop w:val="0"/>
      <w:marBottom w:val="0"/>
      <w:divBdr>
        <w:top w:val="none" w:sz="0" w:space="0" w:color="auto"/>
        <w:left w:val="none" w:sz="0" w:space="0" w:color="auto"/>
        <w:bottom w:val="none" w:sz="0" w:space="0" w:color="auto"/>
        <w:right w:val="none" w:sz="0" w:space="0" w:color="auto"/>
      </w:divBdr>
    </w:div>
    <w:div w:id="857819208">
      <w:bodyDiv w:val="1"/>
      <w:marLeft w:val="0"/>
      <w:marRight w:val="0"/>
      <w:marTop w:val="0"/>
      <w:marBottom w:val="0"/>
      <w:divBdr>
        <w:top w:val="none" w:sz="0" w:space="0" w:color="auto"/>
        <w:left w:val="none" w:sz="0" w:space="0" w:color="auto"/>
        <w:bottom w:val="none" w:sz="0" w:space="0" w:color="auto"/>
        <w:right w:val="none" w:sz="0" w:space="0" w:color="auto"/>
      </w:divBdr>
    </w:div>
    <w:div w:id="858078927">
      <w:bodyDiv w:val="1"/>
      <w:marLeft w:val="0"/>
      <w:marRight w:val="0"/>
      <w:marTop w:val="0"/>
      <w:marBottom w:val="0"/>
      <w:divBdr>
        <w:top w:val="none" w:sz="0" w:space="0" w:color="auto"/>
        <w:left w:val="none" w:sz="0" w:space="0" w:color="auto"/>
        <w:bottom w:val="none" w:sz="0" w:space="0" w:color="auto"/>
        <w:right w:val="none" w:sz="0" w:space="0" w:color="auto"/>
      </w:divBdr>
    </w:div>
    <w:div w:id="858130793">
      <w:bodyDiv w:val="1"/>
      <w:marLeft w:val="0"/>
      <w:marRight w:val="0"/>
      <w:marTop w:val="0"/>
      <w:marBottom w:val="0"/>
      <w:divBdr>
        <w:top w:val="none" w:sz="0" w:space="0" w:color="auto"/>
        <w:left w:val="none" w:sz="0" w:space="0" w:color="auto"/>
        <w:bottom w:val="none" w:sz="0" w:space="0" w:color="auto"/>
        <w:right w:val="none" w:sz="0" w:space="0" w:color="auto"/>
      </w:divBdr>
    </w:div>
    <w:div w:id="858160920">
      <w:bodyDiv w:val="1"/>
      <w:marLeft w:val="0"/>
      <w:marRight w:val="0"/>
      <w:marTop w:val="0"/>
      <w:marBottom w:val="0"/>
      <w:divBdr>
        <w:top w:val="none" w:sz="0" w:space="0" w:color="auto"/>
        <w:left w:val="none" w:sz="0" w:space="0" w:color="auto"/>
        <w:bottom w:val="none" w:sz="0" w:space="0" w:color="auto"/>
        <w:right w:val="none" w:sz="0" w:space="0" w:color="auto"/>
      </w:divBdr>
    </w:div>
    <w:div w:id="858196839">
      <w:bodyDiv w:val="1"/>
      <w:marLeft w:val="0"/>
      <w:marRight w:val="0"/>
      <w:marTop w:val="0"/>
      <w:marBottom w:val="0"/>
      <w:divBdr>
        <w:top w:val="none" w:sz="0" w:space="0" w:color="auto"/>
        <w:left w:val="none" w:sz="0" w:space="0" w:color="auto"/>
        <w:bottom w:val="none" w:sz="0" w:space="0" w:color="auto"/>
        <w:right w:val="none" w:sz="0" w:space="0" w:color="auto"/>
      </w:divBdr>
    </w:div>
    <w:div w:id="858200739">
      <w:bodyDiv w:val="1"/>
      <w:marLeft w:val="0"/>
      <w:marRight w:val="0"/>
      <w:marTop w:val="0"/>
      <w:marBottom w:val="0"/>
      <w:divBdr>
        <w:top w:val="none" w:sz="0" w:space="0" w:color="auto"/>
        <w:left w:val="none" w:sz="0" w:space="0" w:color="auto"/>
        <w:bottom w:val="none" w:sz="0" w:space="0" w:color="auto"/>
        <w:right w:val="none" w:sz="0" w:space="0" w:color="auto"/>
      </w:divBdr>
    </w:div>
    <w:div w:id="858543985">
      <w:bodyDiv w:val="1"/>
      <w:marLeft w:val="0"/>
      <w:marRight w:val="0"/>
      <w:marTop w:val="0"/>
      <w:marBottom w:val="0"/>
      <w:divBdr>
        <w:top w:val="none" w:sz="0" w:space="0" w:color="auto"/>
        <w:left w:val="none" w:sz="0" w:space="0" w:color="auto"/>
        <w:bottom w:val="none" w:sz="0" w:space="0" w:color="auto"/>
        <w:right w:val="none" w:sz="0" w:space="0" w:color="auto"/>
      </w:divBdr>
    </w:div>
    <w:div w:id="858588064">
      <w:bodyDiv w:val="1"/>
      <w:marLeft w:val="0"/>
      <w:marRight w:val="0"/>
      <w:marTop w:val="0"/>
      <w:marBottom w:val="0"/>
      <w:divBdr>
        <w:top w:val="none" w:sz="0" w:space="0" w:color="auto"/>
        <w:left w:val="none" w:sz="0" w:space="0" w:color="auto"/>
        <w:bottom w:val="none" w:sz="0" w:space="0" w:color="auto"/>
        <w:right w:val="none" w:sz="0" w:space="0" w:color="auto"/>
      </w:divBdr>
    </w:div>
    <w:div w:id="858616630">
      <w:bodyDiv w:val="1"/>
      <w:marLeft w:val="0"/>
      <w:marRight w:val="0"/>
      <w:marTop w:val="0"/>
      <w:marBottom w:val="0"/>
      <w:divBdr>
        <w:top w:val="none" w:sz="0" w:space="0" w:color="auto"/>
        <w:left w:val="none" w:sz="0" w:space="0" w:color="auto"/>
        <w:bottom w:val="none" w:sz="0" w:space="0" w:color="auto"/>
        <w:right w:val="none" w:sz="0" w:space="0" w:color="auto"/>
      </w:divBdr>
    </w:div>
    <w:div w:id="858735159">
      <w:bodyDiv w:val="1"/>
      <w:marLeft w:val="0"/>
      <w:marRight w:val="0"/>
      <w:marTop w:val="0"/>
      <w:marBottom w:val="0"/>
      <w:divBdr>
        <w:top w:val="none" w:sz="0" w:space="0" w:color="auto"/>
        <w:left w:val="none" w:sz="0" w:space="0" w:color="auto"/>
        <w:bottom w:val="none" w:sz="0" w:space="0" w:color="auto"/>
        <w:right w:val="none" w:sz="0" w:space="0" w:color="auto"/>
      </w:divBdr>
    </w:div>
    <w:div w:id="858855217">
      <w:bodyDiv w:val="1"/>
      <w:marLeft w:val="0"/>
      <w:marRight w:val="0"/>
      <w:marTop w:val="0"/>
      <w:marBottom w:val="0"/>
      <w:divBdr>
        <w:top w:val="none" w:sz="0" w:space="0" w:color="auto"/>
        <w:left w:val="none" w:sz="0" w:space="0" w:color="auto"/>
        <w:bottom w:val="none" w:sz="0" w:space="0" w:color="auto"/>
        <w:right w:val="none" w:sz="0" w:space="0" w:color="auto"/>
      </w:divBdr>
    </w:div>
    <w:div w:id="858934139">
      <w:bodyDiv w:val="1"/>
      <w:marLeft w:val="0"/>
      <w:marRight w:val="0"/>
      <w:marTop w:val="0"/>
      <w:marBottom w:val="0"/>
      <w:divBdr>
        <w:top w:val="none" w:sz="0" w:space="0" w:color="auto"/>
        <w:left w:val="none" w:sz="0" w:space="0" w:color="auto"/>
        <w:bottom w:val="none" w:sz="0" w:space="0" w:color="auto"/>
        <w:right w:val="none" w:sz="0" w:space="0" w:color="auto"/>
      </w:divBdr>
    </w:div>
    <w:div w:id="858934787">
      <w:bodyDiv w:val="1"/>
      <w:marLeft w:val="0"/>
      <w:marRight w:val="0"/>
      <w:marTop w:val="0"/>
      <w:marBottom w:val="0"/>
      <w:divBdr>
        <w:top w:val="none" w:sz="0" w:space="0" w:color="auto"/>
        <w:left w:val="none" w:sz="0" w:space="0" w:color="auto"/>
        <w:bottom w:val="none" w:sz="0" w:space="0" w:color="auto"/>
        <w:right w:val="none" w:sz="0" w:space="0" w:color="auto"/>
      </w:divBdr>
    </w:div>
    <w:div w:id="859005747">
      <w:bodyDiv w:val="1"/>
      <w:marLeft w:val="0"/>
      <w:marRight w:val="0"/>
      <w:marTop w:val="0"/>
      <w:marBottom w:val="0"/>
      <w:divBdr>
        <w:top w:val="none" w:sz="0" w:space="0" w:color="auto"/>
        <w:left w:val="none" w:sz="0" w:space="0" w:color="auto"/>
        <w:bottom w:val="none" w:sz="0" w:space="0" w:color="auto"/>
        <w:right w:val="none" w:sz="0" w:space="0" w:color="auto"/>
      </w:divBdr>
    </w:div>
    <w:div w:id="859046830">
      <w:bodyDiv w:val="1"/>
      <w:marLeft w:val="0"/>
      <w:marRight w:val="0"/>
      <w:marTop w:val="0"/>
      <w:marBottom w:val="0"/>
      <w:divBdr>
        <w:top w:val="none" w:sz="0" w:space="0" w:color="auto"/>
        <w:left w:val="none" w:sz="0" w:space="0" w:color="auto"/>
        <w:bottom w:val="none" w:sz="0" w:space="0" w:color="auto"/>
        <w:right w:val="none" w:sz="0" w:space="0" w:color="auto"/>
      </w:divBdr>
    </w:div>
    <w:div w:id="859128170">
      <w:bodyDiv w:val="1"/>
      <w:marLeft w:val="0"/>
      <w:marRight w:val="0"/>
      <w:marTop w:val="0"/>
      <w:marBottom w:val="0"/>
      <w:divBdr>
        <w:top w:val="none" w:sz="0" w:space="0" w:color="auto"/>
        <w:left w:val="none" w:sz="0" w:space="0" w:color="auto"/>
        <w:bottom w:val="none" w:sz="0" w:space="0" w:color="auto"/>
        <w:right w:val="none" w:sz="0" w:space="0" w:color="auto"/>
      </w:divBdr>
    </w:div>
    <w:div w:id="859201021">
      <w:bodyDiv w:val="1"/>
      <w:marLeft w:val="0"/>
      <w:marRight w:val="0"/>
      <w:marTop w:val="0"/>
      <w:marBottom w:val="0"/>
      <w:divBdr>
        <w:top w:val="none" w:sz="0" w:space="0" w:color="auto"/>
        <w:left w:val="none" w:sz="0" w:space="0" w:color="auto"/>
        <w:bottom w:val="none" w:sz="0" w:space="0" w:color="auto"/>
        <w:right w:val="none" w:sz="0" w:space="0" w:color="auto"/>
      </w:divBdr>
    </w:div>
    <w:div w:id="859318512">
      <w:bodyDiv w:val="1"/>
      <w:marLeft w:val="0"/>
      <w:marRight w:val="0"/>
      <w:marTop w:val="0"/>
      <w:marBottom w:val="0"/>
      <w:divBdr>
        <w:top w:val="none" w:sz="0" w:space="0" w:color="auto"/>
        <w:left w:val="none" w:sz="0" w:space="0" w:color="auto"/>
        <w:bottom w:val="none" w:sz="0" w:space="0" w:color="auto"/>
        <w:right w:val="none" w:sz="0" w:space="0" w:color="auto"/>
      </w:divBdr>
    </w:div>
    <w:div w:id="859704283">
      <w:bodyDiv w:val="1"/>
      <w:marLeft w:val="0"/>
      <w:marRight w:val="0"/>
      <w:marTop w:val="0"/>
      <w:marBottom w:val="0"/>
      <w:divBdr>
        <w:top w:val="none" w:sz="0" w:space="0" w:color="auto"/>
        <w:left w:val="none" w:sz="0" w:space="0" w:color="auto"/>
        <w:bottom w:val="none" w:sz="0" w:space="0" w:color="auto"/>
        <w:right w:val="none" w:sz="0" w:space="0" w:color="auto"/>
      </w:divBdr>
    </w:div>
    <w:div w:id="859709457">
      <w:bodyDiv w:val="1"/>
      <w:marLeft w:val="0"/>
      <w:marRight w:val="0"/>
      <w:marTop w:val="0"/>
      <w:marBottom w:val="0"/>
      <w:divBdr>
        <w:top w:val="none" w:sz="0" w:space="0" w:color="auto"/>
        <w:left w:val="none" w:sz="0" w:space="0" w:color="auto"/>
        <w:bottom w:val="none" w:sz="0" w:space="0" w:color="auto"/>
        <w:right w:val="none" w:sz="0" w:space="0" w:color="auto"/>
      </w:divBdr>
    </w:div>
    <w:div w:id="860322336">
      <w:bodyDiv w:val="1"/>
      <w:marLeft w:val="0"/>
      <w:marRight w:val="0"/>
      <w:marTop w:val="0"/>
      <w:marBottom w:val="0"/>
      <w:divBdr>
        <w:top w:val="none" w:sz="0" w:space="0" w:color="auto"/>
        <w:left w:val="none" w:sz="0" w:space="0" w:color="auto"/>
        <w:bottom w:val="none" w:sz="0" w:space="0" w:color="auto"/>
        <w:right w:val="none" w:sz="0" w:space="0" w:color="auto"/>
      </w:divBdr>
    </w:div>
    <w:div w:id="860359884">
      <w:bodyDiv w:val="1"/>
      <w:marLeft w:val="0"/>
      <w:marRight w:val="0"/>
      <w:marTop w:val="0"/>
      <w:marBottom w:val="0"/>
      <w:divBdr>
        <w:top w:val="none" w:sz="0" w:space="0" w:color="auto"/>
        <w:left w:val="none" w:sz="0" w:space="0" w:color="auto"/>
        <w:bottom w:val="none" w:sz="0" w:space="0" w:color="auto"/>
        <w:right w:val="none" w:sz="0" w:space="0" w:color="auto"/>
      </w:divBdr>
    </w:div>
    <w:div w:id="860700432">
      <w:bodyDiv w:val="1"/>
      <w:marLeft w:val="0"/>
      <w:marRight w:val="0"/>
      <w:marTop w:val="0"/>
      <w:marBottom w:val="0"/>
      <w:divBdr>
        <w:top w:val="none" w:sz="0" w:space="0" w:color="auto"/>
        <w:left w:val="none" w:sz="0" w:space="0" w:color="auto"/>
        <w:bottom w:val="none" w:sz="0" w:space="0" w:color="auto"/>
        <w:right w:val="none" w:sz="0" w:space="0" w:color="auto"/>
      </w:divBdr>
    </w:div>
    <w:div w:id="860751586">
      <w:bodyDiv w:val="1"/>
      <w:marLeft w:val="0"/>
      <w:marRight w:val="0"/>
      <w:marTop w:val="0"/>
      <w:marBottom w:val="0"/>
      <w:divBdr>
        <w:top w:val="none" w:sz="0" w:space="0" w:color="auto"/>
        <w:left w:val="none" w:sz="0" w:space="0" w:color="auto"/>
        <w:bottom w:val="none" w:sz="0" w:space="0" w:color="auto"/>
        <w:right w:val="none" w:sz="0" w:space="0" w:color="auto"/>
      </w:divBdr>
    </w:div>
    <w:div w:id="860776044">
      <w:bodyDiv w:val="1"/>
      <w:marLeft w:val="0"/>
      <w:marRight w:val="0"/>
      <w:marTop w:val="0"/>
      <w:marBottom w:val="0"/>
      <w:divBdr>
        <w:top w:val="none" w:sz="0" w:space="0" w:color="auto"/>
        <w:left w:val="none" w:sz="0" w:space="0" w:color="auto"/>
        <w:bottom w:val="none" w:sz="0" w:space="0" w:color="auto"/>
        <w:right w:val="none" w:sz="0" w:space="0" w:color="auto"/>
      </w:divBdr>
    </w:div>
    <w:div w:id="860780964">
      <w:bodyDiv w:val="1"/>
      <w:marLeft w:val="0"/>
      <w:marRight w:val="0"/>
      <w:marTop w:val="0"/>
      <w:marBottom w:val="0"/>
      <w:divBdr>
        <w:top w:val="none" w:sz="0" w:space="0" w:color="auto"/>
        <w:left w:val="none" w:sz="0" w:space="0" w:color="auto"/>
        <w:bottom w:val="none" w:sz="0" w:space="0" w:color="auto"/>
        <w:right w:val="none" w:sz="0" w:space="0" w:color="auto"/>
      </w:divBdr>
    </w:div>
    <w:div w:id="860781553">
      <w:bodyDiv w:val="1"/>
      <w:marLeft w:val="0"/>
      <w:marRight w:val="0"/>
      <w:marTop w:val="0"/>
      <w:marBottom w:val="0"/>
      <w:divBdr>
        <w:top w:val="none" w:sz="0" w:space="0" w:color="auto"/>
        <w:left w:val="none" w:sz="0" w:space="0" w:color="auto"/>
        <w:bottom w:val="none" w:sz="0" w:space="0" w:color="auto"/>
        <w:right w:val="none" w:sz="0" w:space="0" w:color="auto"/>
      </w:divBdr>
    </w:div>
    <w:div w:id="860820579">
      <w:bodyDiv w:val="1"/>
      <w:marLeft w:val="0"/>
      <w:marRight w:val="0"/>
      <w:marTop w:val="0"/>
      <w:marBottom w:val="0"/>
      <w:divBdr>
        <w:top w:val="none" w:sz="0" w:space="0" w:color="auto"/>
        <w:left w:val="none" w:sz="0" w:space="0" w:color="auto"/>
        <w:bottom w:val="none" w:sz="0" w:space="0" w:color="auto"/>
        <w:right w:val="none" w:sz="0" w:space="0" w:color="auto"/>
      </w:divBdr>
    </w:div>
    <w:div w:id="860821229">
      <w:bodyDiv w:val="1"/>
      <w:marLeft w:val="0"/>
      <w:marRight w:val="0"/>
      <w:marTop w:val="0"/>
      <w:marBottom w:val="0"/>
      <w:divBdr>
        <w:top w:val="none" w:sz="0" w:space="0" w:color="auto"/>
        <w:left w:val="none" w:sz="0" w:space="0" w:color="auto"/>
        <w:bottom w:val="none" w:sz="0" w:space="0" w:color="auto"/>
        <w:right w:val="none" w:sz="0" w:space="0" w:color="auto"/>
      </w:divBdr>
    </w:div>
    <w:div w:id="860827080">
      <w:bodyDiv w:val="1"/>
      <w:marLeft w:val="0"/>
      <w:marRight w:val="0"/>
      <w:marTop w:val="0"/>
      <w:marBottom w:val="0"/>
      <w:divBdr>
        <w:top w:val="none" w:sz="0" w:space="0" w:color="auto"/>
        <w:left w:val="none" w:sz="0" w:space="0" w:color="auto"/>
        <w:bottom w:val="none" w:sz="0" w:space="0" w:color="auto"/>
        <w:right w:val="none" w:sz="0" w:space="0" w:color="auto"/>
      </w:divBdr>
    </w:div>
    <w:div w:id="860972523">
      <w:bodyDiv w:val="1"/>
      <w:marLeft w:val="0"/>
      <w:marRight w:val="0"/>
      <w:marTop w:val="0"/>
      <w:marBottom w:val="0"/>
      <w:divBdr>
        <w:top w:val="none" w:sz="0" w:space="0" w:color="auto"/>
        <w:left w:val="none" w:sz="0" w:space="0" w:color="auto"/>
        <w:bottom w:val="none" w:sz="0" w:space="0" w:color="auto"/>
        <w:right w:val="none" w:sz="0" w:space="0" w:color="auto"/>
      </w:divBdr>
    </w:div>
    <w:div w:id="861095267">
      <w:bodyDiv w:val="1"/>
      <w:marLeft w:val="0"/>
      <w:marRight w:val="0"/>
      <w:marTop w:val="0"/>
      <w:marBottom w:val="0"/>
      <w:divBdr>
        <w:top w:val="none" w:sz="0" w:space="0" w:color="auto"/>
        <w:left w:val="none" w:sz="0" w:space="0" w:color="auto"/>
        <w:bottom w:val="none" w:sz="0" w:space="0" w:color="auto"/>
        <w:right w:val="none" w:sz="0" w:space="0" w:color="auto"/>
      </w:divBdr>
    </w:div>
    <w:div w:id="861434402">
      <w:bodyDiv w:val="1"/>
      <w:marLeft w:val="0"/>
      <w:marRight w:val="0"/>
      <w:marTop w:val="0"/>
      <w:marBottom w:val="0"/>
      <w:divBdr>
        <w:top w:val="none" w:sz="0" w:space="0" w:color="auto"/>
        <w:left w:val="none" w:sz="0" w:space="0" w:color="auto"/>
        <w:bottom w:val="none" w:sz="0" w:space="0" w:color="auto"/>
        <w:right w:val="none" w:sz="0" w:space="0" w:color="auto"/>
      </w:divBdr>
    </w:div>
    <w:div w:id="861437281">
      <w:bodyDiv w:val="1"/>
      <w:marLeft w:val="0"/>
      <w:marRight w:val="0"/>
      <w:marTop w:val="0"/>
      <w:marBottom w:val="0"/>
      <w:divBdr>
        <w:top w:val="none" w:sz="0" w:space="0" w:color="auto"/>
        <w:left w:val="none" w:sz="0" w:space="0" w:color="auto"/>
        <w:bottom w:val="none" w:sz="0" w:space="0" w:color="auto"/>
        <w:right w:val="none" w:sz="0" w:space="0" w:color="auto"/>
      </w:divBdr>
    </w:div>
    <w:div w:id="861631531">
      <w:bodyDiv w:val="1"/>
      <w:marLeft w:val="0"/>
      <w:marRight w:val="0"/>
      <w:marTop w:val="0"/>
      <w:marBottom w:val="0"/>
      <w:divBdr>
        <w:top w:val="none" w:sz="0" w:space="0" w:color="auto"/>
        <w:left w:val="none" w:sz="0" w:space="0" w:color="auto"/>
        <w:bottom w:val="none" w:sz="0" w:space="0" w:color="auto"/>
        <w:right w:val="none" w:sz="0" w:space="0" w:color="auto"/>
      </w:divBdr>
    </w:div>
    <w:div w:id="861864476">
      <w:bodyDiv w:val="1"/>
      <w:marLeft w:val="0"/>
      <w:marRight w:val="0"/>
      <w:marTop w:val="0"/>
      <w:marBottom w:val="0"/>
      <w:divBdr>
        <w:top w:val="none" w:sz="0" w:space="0" w:color="auto"/>
        <w:left w:val="none" w:sz="0" w:space="0" w:color="auto"/>
        <w:bottom w:val="none" w:sz="0" w:space="0" w:color="auto"/>
        <w:right w:val="none" w:sz="0" w:space="0" w:color="auto"/>
      </w:divBdr>
    </w:div>
    <w:div w:id="861894435">
      <w:bodyDiv w:val="1"/>
      <w:marLeft w:val="0"/>
      <w:marRight w:val="0"/>
      <w:marTop w:val="0"/>
      <w:marBottom w:val="0"/>
      <w:divBdr>
        <w:top w:val="none" w:sz="0" w:space="0" w:color="auto"/>
        <w:left w:val="none" w:sz="0" w:space="0" w:color="auto"/>
        <w:bottom w:val="none" w:sz="0" w:space="0" w:color="auto"/>
        <w:right w:val="none" w:sz="0" w:space="0" w:color="auto"/>
      </w:divBdr>
    </w:div>
    <w:div w:id="861939679">
      <w:bodyDiv w:val="1"/>
      <w:marLeft w:val="0"/>
      <w:marRight w:val="0"/>
      <w:marTop w:val="0"/>
      <w:marBottom w:val="0"/>
      <w:divBdr>
        <w:top w:val="none" w:sz="0" w:space="0" w:color="auto"/>
        <w:left w:val="none" w:sz="0" w:space="0" w:color="auto"/>
        <w:bottom w:val="none" w:sz="0" w:space="0" w:color="auto"/>
        <w:right w:val="none" w:sz="0" w:space="0" w:color="auto"/>
      </w:divBdr>
    </w:div>
    <w:div w:id="862012637">
      <w:bodyDiv w:val="1"/>
      <w:marLeft w:val="0"/>
      <w:marRight w:val="0"/>
      <w:marTop w:val="0"/>
      <w:marBottom w:val="0"/>
      <w:divBdr>
        <w:top w:val="none" w:sz="0" w:space="0" w:color="auto"/>
        <w:left w:val="none" w:sz="0" w:space="0" w:color="auto"/>
        <w:bottom w:val="none" w:sz="0" w:space="0" w:color="auto"/>
        <w:right w:val="none" w:sz="0" w:space="0" w:color="auto"/>
      </w:divBdr>
    </w:div>
    <w:div w:id="862204343">
      <w:bodyDiv w:val="1"/>
      <w:marLeft w:val="0"/>
      <w:marRight w:val="0"/>
      <w:marTop w:val="0"/>
      <w:marBottom w:val="0"/>
      <w:divBdr>
        <w:top w:val="none" w:sz="0" w:space="0" w:color="auto"/>
        <w:left w:val="none" w:sz="0" w:space="0" w:color="auto"/>
        <w:bottom w:val="none" w:sz="0" w:space="0" w:color="auto"/>
        <w:right w:val="none" w:sz="0" w:space="0" w:color="auto"/>
      </w:divBdr>
    </w:div>
    <w:div w:id="862210714">
      <w:bodyDiv w:val="1"/>
      <w:marLeft w:val="0"/>
      <w:marRight w:val="0"/>
      <w:marTop w:val="0"/>
      <w:marBottom w:val="0"/>
      <w:divBdr>
        <w:top w:val="none" w:sz="0" w:space="0" w:color="auto"/>
        <w:left w:val="none" w:sz="0" w:space="0" w:color="auto"/>
        <w:bottom w:val="none" w:sz="0" w:space="0" w:color="auto"/>
        <w:right w:val="none" w:sz="0" w:space="0" w:color="auto"/>
      </w:divBdr>
    </w:div>
    <w:div w:id="862323881">
      <w:bodyDiv w:val="1"/>
      <w:marLeft w:val="0"/>
      <w:marRight w:val="0"/>
      <w:marTop w:val="0"/>
      <w:marBottom w:val="0"/>
      <w:divBdr>
        <w:top w:val="none" w:sz="0" w:space="0" w:color="auto"/>
        <w:left w:val="none" w:sz="0" w:space="0" w:color="auto"/>
        <w:bottom w:val="none" w:sz="0" w:space="0" w:color="auto"/>
        <w:right w:val="none" w:sz="0" w:space="0" w:color="auto"/>
      </w:divBdr>
    </w:div>
    <w:div w:id="862981208">
      <w:bodyDiv w:val="1"/>
      <w:marLeft w:val="0"/>
      <w:marRight w:val="0"/>
      <w:marTop w:val="0"/>
      <w:marBottom w:val="0"/>
      <w:divBdr>
        <w:top w:val="none" w:sz="0" w:space="0" w:color="auto"/>
        <w:left w:val="none" w:sz="0" w:space="0" w:color="auto"/>
        <w:bottom w:val="none" w:sz="0" w:space="0" w:color="auto"/>
        <w:right w:val="none" w:sz="0" w:space="0" w:color="auto"/>
      </w:divBdr>
    </w:div>
    <w:div w:id="863054288">
      <w:bodyDiv w:val="1"/>
      <w:marLeft w:val="0"/>
      <w:marRight w:val="0"/>
      <w:marTop w:val="0"/>
      <w:marBottom w:val="0"/>
      <w:divBdr>
        <w:top w:val="none" w:sz="0" w:space="0" w:color="auto"/>
        <w:left w:val="none" w:sz="0" w:space="0" w:color="auto"/>
        <w:bottom w:val="none" w:sz="0" w:space="0" w:color="auto"/>
        <w:right w:val="none" w:sz="0" w:space="0" w:color="auto"/>
      </w:divBdr>
    </w:div>
    <w:div w:id="863129030">
      <w:bodyDiv w:val="1"/>
      <w:marLeft w:val="0"/>
      <w:marRight w:val="0"/>
      <w:marTop w:val="0"/>
      <w:marBottom w:val="0"/>
      <w:divBdr>
        <w:top w:val="none" w:sz="0" w:space="0" w:color="auto"/>
        <w:left w:val="none" w:sz="0" w:space="0" w:color="auto"/>
        <w:bottom w:val="none" w:sz="0" w:space="0" w:color="auto"/>
        <w:right w:val="none" w:sz="0" w:space="0" w:color="auto"/>
      </w:divBdr>
    </w:div>
    <w:div w:id="863131459">
      <w:bodyDiv w:val="1"/>
      <w:marLeft w:val="0"/>
      <w:marRight w:val="0"/>
      <w:marTop w:val="0"/>
      <w:marBottom w:val="0"/>
      <w:divBdr>
        <w:top w:val="none" w:sz="0" w:space="0" w:color="auto"/>
        <w:left w:val="none" w:sz="0" w:space="0" w:color="auto"/>
        <w:bottom w:val="none" w:sz="0" w:space="0" w:color="auto"/>
        <w:right w:val="none" w:sz="0" w:space="0" w:color="auto"/>
      </w:divBdr>
    </w:div>
    <w:div w:id="863134747">
      <w:bodyDiv w:val="1"/>
      <w:marLeft w:val="0"/>
      <w:marRight w:val="0"/>
      <w:marTop w:val="0"/>
      <w:marBottom w:val="0"/>
      <w:divBdr>
        <w:top w:val="none" w:sz="0" w:space="0" w:color="auto"/>
        <w:left w:val="none" w:sz="0" w:space="0" w:color="auto"/>
        <w:bottom w:val="none" w:sz="0" w:space="0" w:color="auto"/>
        <w:right w:val="none" w:sz="0" w:space="0" w:color="auto"/>
      </w:divBdr>
    </w:div>
    <w:div w:id="863203889">
      <w:bodyDiv w:val="1"/>
      <w:marLeft w:val="0"/>
      <w:marRight w:val="0"/>
      <w:marTop w:val="0"/>
      <w:marBottom w:val="0"/>
      <w:divBdr>
        <w:top w:val="none" w:sz="0" w:space="0" w:color="auto"/>
        <w:left w:val="none" w:sz="0" w:space="0" w:color="auto"/>
        <w:bottom w:val="none" w:sz="0" w:space="0" w:color="auto"/>
        <w:right w:val="none" w:sz="0" w:space="0" w:color="auto"/>
      </w:divBdr>
    </w:div>
    <w:div w:id="863207245">
      <w:bodyDiv w:val="1"/>
      <w:marLeft w:val="0"/>
      <w:marRight w:val="0"/>
      <w:marTop w:val="0"/>
      <w:marBottom w:val="0"/>
      <w:divBdr>
        <w:top w:val="none" w:sz="0" w:space="0" w:color="auto"/>
        <w:left w:val="none" w:sz="0" w:space="0" w:color="auto"/>
        <w:bottom w:val="none" w:sz="0" w:space="0" w:color="auto"/>
        <w:right w:val="none" w:sz="0" w:space="0" w:color="auto"/>
      </w:divBdr>
    </w:div>
    <w:div w:id="863321899">
      <w:bodyDiv w:val="1"/>
      <w:marLeft w:val="0"/>
      <w:marRight w:val="0"/>
      <w:marTop w:val="0"/>
      <w:marBottom w:val="0"/>
      <w:divBdr>
        <w:top w:val="none" w:sz="0" w:space="0" w:color="auto"/>
        <w:left w:val="none" w:sz="0" w:space="0" w:color="auto"/>
        <w:bottom w:val="none" w:sz="0" w:space="0" w:color="auto"/>
        <w:right w:val="none" w:sz="0" w:space="0" w:color="auto"/>
      </w:divBdr>
    </w:div>
    <w:div w:id="863396787">
      <w:bodyDiv w:val="1"/>
      <w:marLeft w:val="0"/>
      <w:marRight w:val="0"/>
      <w:marTop w:val="0"/>
      <w:marBottom w:val="0"/>
      <w:divBdr>
        <w:top w:val="none" w:sz="0" w:space="0" w:color="auto"/>
        <w:left w:val="none" w:sz="0" w:space="0" w:color="auto"/>
        <w:bottom w:val="none" w:sz="0" w:space="0" w:color="auto"/>
        <w:right w:val="none" w:sz="0" w:space="0" w:color="auto"/>
      </w:divBdr>
    </w:div>
    <w:div w:id="863402619">
      <w:bodyDiv w:val="1"/>
      <w:marLeft w:val="0"/>
      <w:marRight w:val="0"/>
      <w:marTop w:val="0"/>
      <w:marBottom w:val="0"/>
      <w:divBdr>
        <w:top w:val="none" w:sz="0" w:space="0" w:color="auto"/>
        <w:left w:val="none" w:sz="0" w:space="0" w:color="auto"/>
        <w:bottom w:val="none" w:sz="0" w:space="0" w:color="auto"/>
        <w:right w:val="none" w:sz="0" w:space="0" w:color="auto"/>
      </w:divBdr>
    </w:div>
    <w:div w:id="863444674">
      <w:bodyDiv w:val="1"/>
      <w:marLeft w:val="0"/>
      <w:marRight w:val="0"/>
      <w:marTop w:val="0"/>
      <w:marBottom w:val="0"/>
      <w:divBdr>
        <w:top w:val="none" w:sz="0" w:space="0" w:color="auto"/>
        <w:left w:val="none" w:sz="0" w:space="0" w:color="auto"/>
        <w:bottom w:val="none" w:sz="0" w:space="0" w:color="auto"/>
        <w:right w:val="none" w:sz="0" w:space="0" w:color="auto"/>
      </w:divBdr>
    </w:div>
    <w:div w:id="863596646">
      <w:bodyDiv w:val="1"/>
      <w:marLeft w:val="0"/>
      <w:marRight w:val="0"/>
      <w:marTop w:val="0"/>
      <w:marBottom w:val="0"/>
      <w:divBdr>
        <w:top w:val="none" w:sz="0" w:space="0" w:color="auto"/>
        <w:left w:val="none" w:sz="0" w:space="0" w:color="auto"/>
        <w:bottom w:val="none" w:sz="0" w:space="0" w:color="auto"/>
        <w:right w:val="none" w:sz="0" w:space="0" w:color="auto"/>
      </w:divBdr>
    </w:div>
    <w:div w:id="863597226">
      <w:bodyDiv w:val="1"/>
      <w:marLeft w:val="0"/>
      <w:marRight w:val="0"/>
      <w:marTop w:val="0"/>
      <w:marBottom w:val="0"/>
      <w:divBdr>
        <w:top w:val="none" w:sz="0" w:space="0" w:color="auto"/>
        <w:left w:val="none" w:sz="0" w:space="0" w:color="auto"/>
        <w:bottom w:val="none" w:sz="0" w:space="0" w:color="auto"/>
        <w:right w:val="none" w:sz="0" w:space="0" w:color="auto"/>
      </w:divBdr>
    </w:div>
    <w:div w:id="863639267">
      <w:bodyDiv w:val="1"/>
      <w:marLeft w:val="0"/>
      <w:marRight w:val="0"/>
      <w:marTop w:val="0"/>
      <w:marBottom w:val="0"/>
      <w:divBdr>
        <w:top w:val="none" w:sz="0" w:space="0" w:color="auto"/>
        <w:left w:val="none" w:sz="0" w:space="0" w:color="auto"/>
        <w:bottom w:val="none" w:sz="0" w:space="0" w:color="auto"/>
        <w:right w:val="none" w:sz="0" w:space="0" w:color="auto"/>
      </w:divBdr>
    </w:div>
    <w:div w:id="863711135">
      <w:bodyDiv w:val="1"/>
      <w:marLeft w:val="0"/>
      <w:marRight w:val="0"/>
      <w:marTop w:val="0"/>
      <w:marBottom w:val="0"/>
      <w:divBdr>
        <w:top w:val="none" w:sz="0" w:space="0" w:color="auto"/>
        <w:left w:val="none" w:sz="0" w:space="0" w:color="auto"/>
        <w:bottom w:val="none" w:sz="0" w:space="0" w:color="auto"/>
        <w:right w:val="none" w:sz="0" w:space="0" w:color="auto"/>
      </w:divBdr>
    </w:div>
    <w:div w:id="863791442">
      <w:bodyDiv w:val="1"/>
      <w:marLeft w:val="0"/>
      <w:marRight w:val="0"/>
      <w:marTop w:val="0"/>
      <w:marBottom w:val="0"/>
      <w:divBdr>
        <w:top w:val="none" w:sz="0" w:space="0" w:color="auto"/>
        <w:left w:val="none" w:sz="0" w:space="0" w:color="auto"/>
        <w:bottom w:val="none" w:sz="0" w:space="0" w:color="auto"/>
        <w:right w:val="none" w:sz="0" w:space="0" w:color="auto"/>
      </w:divBdr>
    </w:div>
    <w:div w:id="864095639">
      <w:bodyDiv w:val="1"/>
      <w:marLeft w:val="0"/>
      <w:marRight w:val="0"/>
      <w:marTop w:val="0"/>
      <w:marBottom w:val="0"/>
      <w:divBdr>
        <w:top w:val="none" w:sz="0" w:space="0" w:color="auto"/>
        <w:left w:val="none" w:sz="0" w:space="0" w:color="auto"/>
        <w:bottom w:val="none" w:sz="0" w:space="0" w:color="auto"/>
        <w:right w:val="none" w:sz="0" w:space="0" w:color="auto"/>
      </w:divBdr>
    </w:div>
    <w:div w:id="864171384">
      <w:bodyDiv w:val="1"/>
      <w:marLeft w:val="0"/>
      <w:marRight w:val="0"/>
      <w:marTop w:val="0"/>
      <w:marBottom w:val="0"/>
      <w:divBdr>
        <w:top w:val="none" w:sz="0" w:space="0" w:color="auto"/>
        <w:left w:val="none" w:sz="0" w:space="0" w:color="auto"/>
        <w:bottom w:val="none" w:sz="0" w:space="0" w:color="auto"/>
        <w:right w:val="none" w:sz="0" w:space="0" w:color="auto"/>
      </w:divBdr>
    </w:div>
    <w:div w:id="864294163">
      <w:bodyDiv w:val="1"/>
      <w:marLeft w:val="0"/>
      <w:marRight w:val="0"/>
      <w:marTop w:val="0"/>
      <w:marBottom w:val="0"/>
      <w:divBdr>
        <w:top w:val="none" w:sz="0" w:space="0" w:color="auto"/>
        <w:left w:val="none" w:sz="0" w:space="0" w:color="auto"/>
        <w:bottom w:val="none" w:sz="0" w:space="0" w:color="auto"/>
        <w:right w:val="none" w:sz="0" w:space="0" w:color="auto"/>
      </w:divBdr>
    </w:div>
    <w:div w:id="864368753">
      <w:bodyDiv w:val="1"/>
      <w:marLeft w:val="0"/>
      <w:marRight w:val="0"/>
      <w:marTop w:val="0"/>
      <w:marBottom w:val="0"/>
      <w:divBdr>
        <w:top w:val="none" w:sz="0" w:space="0" w:color="auto"/>
        <w:left w:val="none" w:sz="0" w:space="0" w:color="auto"/>
        <w:bottom w:val="none" w:sz="0" w:space="0" w:color="auto"/>
        <w:right w:val="none" w:sz="0" w:space="0" w:color="auto"/>
      </w:divBdr>
    </w:div>
    <w:div w:id="864636217">
      <w:bodyDiv w:val="1"/>
      <w:marLeft w:val="0"/>
      <w:marRight w:val="0"/>
      <w:marTop w:val="0"/>
      <w:marBottom w:val="0"/>
      <w:divBdr>
        <w:top w:val="none" w:sz="0" w:space="0" w:color="auto"/>
        <w:left w:val="none" w:sz="0" w:space="0" w:color="auto"/>
        <w:bottom w:val="none" w:sz="0" w:space="0" w:color="auto"/>
        <w:right w:val="none" w:sz="0" w:space="0" w:color="auto"/>
      </w:divBdr>
    </w:div>
    <w:div w:id="864637589">
      <w:bodyDiv w:val="1"/>
      <w:marLeft w:val="0"/>
      <w:marRight w:val="0"/>
      <w:marTop w:val="0"/>
      <w:marBottom w:val="0"/>
      <w:divBdr>
        <w:top w:val="none" w:sz="0" w:space="0" w:color="auto"/>
        <w:left w:val="none" w:sz="0" w:space="0" w:color="auto"/>
        <w:bottom w:val="none" w:sz="0" w:space="0" w:color="auto"/>
        <w:right w:val="none" w:sz="0" w:space="0" w:color="auto"/>
      </w:divBdr>
    </w:div>
    <w:div w:id="864754399">
      <w:bodyDiv w:val="1"/>
      <w:marLeft w:val="0"/>
      <w:marRight w:val="0"/>
      <w:marTop w:val="0"/>
      <w:marBottom w:val="0"/>
      <w:divBdr>
        <w:top w:val="none" w:sz="0" w:space="0" w:color="auto"/>
        <w:left w:val="none" w:sz="0" w:space="0" w:color="auto"/>
        <w:bottom w:val="none" w:sz="0" w:space="0" w:color="auto"/>
        <w:right w:val="none" w:sz="0" w:space="0" w:color="auto"/>
      </w:divBdr>
    </w:div>
    <w:div w:id="865026195">
      <w:bodyDiv w:val="1"/>
      <w:marLeft w:val="0"/>
      <w:marRight w:val="0"/>
      <w:marTop w:val="0"/>
      <w:marBottom w:val="0"/>
      <w:divBdr>
        <w:top w:val="none" w:sz="0" w:space="0" w:color="auto"/>
        <w:left w:val="none" w:sz="0" w:space="0" w:color="auto"/>
        <w:bottom w:val="none" w:sz="0" w:space="0" w:color="auto"/>
        <w:right w:val="none" w:sz="0" w:space="0" w:color="auto"/>
      </w:divBdr>
    </w:div>
    <w:div w:id="865097903">
      <w:bodyDiv w:val="1"/>
      <w:marLeft w:val="0"/>
      <w:marRight w:val="0"/>
      <w:marTop w:val="0"/>
      <w:marBottom w:val="0"/>
      <w:divBdr>
        <w:top w:val="none" w:sz="0" w:space="0" w:color="auto"/>
        <w:left w:val="none" w:sz="0" w:space="0" w:color="auto"/>
        <w:bottom w:val="none" w:sz="0" w:space="0" w:color="auto"/>
        <w:right w:val="none" w:sz="0" w:space="0" w:color="auto"/>
      </w:divBdr>
    </w:div>
    <w:div w:id="865101577">
      <w:bodyDiv w:val="1"/>
      <w:marLeft w:val="0"/>
      <w:marRight w:val="0"/>
      <w:marTop w:val="0"/>
      <w:marBottom w:val="0"/>
      <w:divBdr>
        <w:top w:val="none" w:sz="0" w:space="0" w:color="auto"/>
        <w:left w:val="none" w:sz="0" w:space="0" w:color="auto"/>
        <w:bottom w:val="none" w:sz="0" w:space="0" w:color="auto"/>
        <w:right w:val="none" w:sz="0" w:space="0" w:color="auto"/>
      </w:divBdr>
    </w:div>
    <w:div w:id="865141017">
      <w:bodyDiv w:val="1"/>
      <w:marLeft w:val="0"/>
      <w:marRight w:val="0"/>
      <w:marTop w:val="0"/>
      <w:marBottom w:val="0"/>
      <w:divBdr>
        <w:top w:val="none" w:sz="0" w:space="0" w:color="auto"/>
        <w:left w:val="none" w:sz="0" w:space="0" w:color="auto"/>
        <w:bottom w:val="none" w:sz="0" w:space="0" w:color="auto"/>
        <w:right w:val="none" w:sz="0" w:space="0" w:color="auto"/>
      </w:divBdr>
    </w:div>
    <w:div w:id="865143627">
      <w:bodyDiv w:val="1"/>
      <w:marLeft w:val="0"/>
      <w:marRight w:val="0"/>
      <w:marTop w:val="0"/>
      <w:marBottom w:val="0"/>
      <w:divBdr>
        <w:top w:val="none" w:sz="0" w:space="0" w:color="auto"/>
        <w:left w:val="none" w:sz="0" w:space="0" w:color="auto"/>
        <w:bottom w:val="none" w:sz="0" w:space="0" w:color="auto"/>
        <w:right w:val="none" w:sz="0" w:space="0" w:color="auto"/>
      </w:divBdr>
    </w:div>
    <w:div w:id="865218231">
      <w:bodyDiv w:val="1"/>
      <w:marLeft w:val="0"/>
      <w:marRight w:val="0"/>
      <w:marTop w:val="0"/>
      <w:marBottom w:val="0"/>
      <w:divBdr>
        <w:top w:val="none" w:sz="0" w:space="0" w:color="auto"/>
        <w:left w:val="none" w:sz="0" w:space="0" w:color="auto"/>
        <w:bottom w:val="none" w:sz="0" w:space="0" w:color="auto"/>
        <w:right w:val="none" w:sz="0" w:space="0" w:color="auto"/>
      </w:divBdr>
    </w:div>
    <w:div w:id="865367395">
      <w:bodyDiv w:val="1"/>
      <w:marLeft w:val="0"/>
      <w:marRight w:val="0"/>
      <w:marTop w:val="0"/>
      <w:marBottom w:val="0"/>
      <w:divBdr>
        <w:top w:val="none" w:sz="0" w:space="0" w:color="auto"/>
        <w:left w:val="none" w:sz="0" w:space="0" w:color="auto"/>
        <w:bottom w:val="none" w:sz="0" w:space="0" w:color="auto"/>
        <w:right w:val="none" w:sz="0" w:space="0" w:color="auto"/>
      </w:divBdr>
    </w:div>
    <w:div w:id="865369002">
      <w:bodyDiv w:val="1"/>
      <w:marLeft w:val="0"/>
      <w:marRight w:val="0"/>
      <w:marTop w:val="0"/>
      <w:marBottom w:val="0"/>
      <w:divBdr>
        <w:top w:val="none" w:sz="0" w:space="0" w:color="auto"/>
        <w:left w:val="none" w:sz="0" w:space="0" w:color="auto"/>
        <w:bottom w:val="none" w:sz="0" w:space="0" w:color="auto"/>
        <w:right w:val="none" w:sz="0" w:space="0" w:color="auto"/>
      </w:divBdr>
    </w:div>
    <w:div w:id="865483286">
      <w:bodyDiv w:val="1"/>
      <w:marLeft w:val="0"/>
      <w:marRight w:val="0"/>
      <w:marTop w:val="0"/>
      <w:marBottom w:val="0"/>
      <w:divBdr>
        <w:top w:val="none" w:sz="0" w:space="0" w:color="auto"/>
        <w:left w:val="none" w:sz="0" w:space="0" w:color="auto"/>
        <w:bottom w:val="none" w:sz="0" w:space="0" w:color="auto"/>
        <w:right w:val="none" w:sz="0" w:space="0" w:color="auto"/>
      </w:divBdr>
    </w:div>
    <w:div w:id="865556581">
      <w:bodyDiv w:val="1"/>
      <w:marLeft w:val="0"/>
      <w:marRight w:val="0"/>
      <w:marTop w:val="0"/>
      <w:marBottom w:val="0"/>
      <w:divBdr>
        <w:top w:val="none" w:sz="0" w:space="0" w:color="auto"/>
        <w:left w:val="none" w:sz="0" w:space="0" w:color="auto"/>
        <w:bottom w:val="none" w:sz="0" w:space="0" w:color="auto"/>
        <w:right w:val="none" w:sz="0" w:space="0" w:color="auto"/>
      </w:divBdr>
    </w:div>
    <w:div w:id="865950609">
      <w:bodyDiv w:val="1"/>
      <w:marLeft w:val="0"/>
      <w:marRight w:val="0"/>
      <w:marTop w:val="0"/>
      <w:marBottom w:val="0"/>
      <w:divBdr>
        <w:top w:val="none" w:sz="0" w:space="0" w:color="auto"/>
        <w:left w:val="none" w:sz="0" w:space="0" w:color="auto"/>
        <w:bottom w:val="none" w:sz="0" w:space="0" w:color="auto"/>
        <w:right w:val="none" w:sz="0" w:space="0" w:color="auto"/>
      </w:divBdr>
    </w:div>
    <w:div w:id="866260972">
      <w:bodyDiv w:val="1"/>
      <w:marLeft w:val="0"/>
      <w:marRight w:val="0"/>
      <w:marTop w:val="0"/>
      <w:marBottom w:val="0"/>
      <w:divBdr>
        <w:top w:val="none" w:sz="0" w:space="0" w:color="auto"/>
        <w:left w:val="none" w:sz="0" w:space="0" w:color="auto"/>
        <w:bottom w:val="none" w:sz="0" w:space="0" w:color="auto"/>
        <w:right w:val="none" w:sz="0" w:space="0" w:color="auto"/>
      </w:divBdr>
    </w:div>
    <w:div w:id="866286029">
      <w:bodyDiv w:val="1"/>
      <w:marLeft w:val="0"/>
      <w:marRight w:val="0"/>
      <w:marTop w:val="0"/>
      <w:marBottom w:val="0"/>
      <w:divBdr>
        <w:top w:val="none" w:sz="0" w:space="0" w:color="auto"/>
        <w:left w:val="none" w:sz="0" w:space="0" w:color="auto"/>
        <w:bottom w:val="none" w:sz="0" w:space="0" w:color="auto"/>
        <w:right w:val="none" w:sz="0" w:space="0" w:color="auto"/>
      </w:divBdr>
    </w:div>
    <w:div w:id="866337716">
      <w:bodyDiv w:val="1"/>
      <w:marLeft w:val="0"/>
      <w:marRight w:val="0"/>
      <w:marTop w:val="0"/>
      <w:marBottom w:val="0"/>
      <w:divBdr>
        <w:top w:val="none" w:sz="0" w:space="0" w:color="auto"/>
        <w:left w:val="none" w:sz="0" w:space="0" w:color="auto"/>
        <w:bottom w:val="none" w:sz="0" w:space="0" w:color="auto"/>
        <w:right w:val="none" w:sz="0" w:space="0" w:color="auto"/>
      </w:divBdr>
    </w:div>
    <w:div w:id="866452173">
      <w:bodyDiv w:val="1"/>
      <w:marLeft w:val="0"/>
      <w:marRight w:val="0"/>
      <w:marTop w:val="0"/>
      <w:marBottom w:val="0"/>
      <w:divBdr>
        <w:top w:val="none" w:sz="0" w:space="0" w:color="auto"/>
        <w:left w:val="none" w:sz="0" w:space="0" w:color="auto"/>
        <w:bottom w:val="none" w:sz="0" w:space="0" w:color="auto"/>
        <w:right w:val="none" w:sz="0" w:space="0" w:color="auto"/>
      </w:divBdr>
    </w:div>
    <w:div w:id="866605555">
      <w:bodyDiv w:val="1"/>
      <w:marLeft w:val="0"/>
      <w:marRight w:val="0"/>
      <w:marTop w:val="0"/>
      <w:marBottom w:val="0"/>
      <w:divBdr>
        <w:top w:val="none" w:sz="0" w:space="0" w:color="auto"/>
        <w:left w:val="none" w:sz="0" w:space="0" w:color="auto"/>
        <w:bottom w:val="none" w:sz="0" w:space="0" w:color="auto"/>
        <w:right w:val="none" w:sz="0" w:space="0" w:color="auto"/>
      </w:divBdr>
    </w:div>
    <w:div w:id="866868507">
      <w:bodyDiv w:val="1"/>
      <w:marLeft w:val="0"/>
      <w:marRight w:val="0"/>
      <w:marTop w:val="0"/>
      <w:marBottom w:val="0"/>
      <w:divBdr>
        <w:top w:val="none" w:sz="0" w:space="0" w:color="auto"/>
        <w:left w:val="none" w:sz="0" w:space="0" w:color="auto"/>
        <w:bottom w:val="none" w:sz="0" w:space="0" w:color="auto"/>
        <w:right w:val="none" w:sz="0" w:space="0" w:color="auto"/>
      </w:divBdr>
    </w:div>
    <w:div w:id="866871681">
      <w:bodyDiv w:val="1"/>
      <w:marLeft w:val="0"/>
      <w:marRight w:val="0"/>
      <w:marTop w:val="0"/>
      <w:marBottom w:val="0"/>
      <w:divBdr>
        <w:top w:val="none" w:sz="0" w:space="0" w:color="auto"/>
        <w:left w:val="none" w:sz="0" w:space="0" w:color="auto"/>
        <w:bottom w:val="none" w:sz="0" w:space="0" w:color="auto"/>
        <w:right w:val="none" w:sz="0" w:space="0" w:color="auto"/>
      </w:divBdr>
    </w:div>
    <w:div w:id="866871742">
      <w:bodyDiv w:val="1"/>
      <w:marLeft w:val="0"/>
      <w:marRight w:val="0"/>
      <w:marTop w:val="0"/>
      <w:marBottom w:val="0"/>
      <w:divBdr>
        <w:top w:val="none" w:sz="0" w:space="0" w:color="auto"/>
        <w:left w:val="none" w:sz="0" w:space="0" w:color="auto"/>
        <w:bottom w:val="none" w:sz="0" w:space="0" w:color="auto"/>
        <w:right w:val="none" w:sz="0" w:space="0" w:color="auto"/>
      </w:divBdr>
    </w:div>
    <w:div w:id="866872173">
      <w:bodyDiv w:val="1"/>
      <w:marLeft w:val="0"/>
      <w:marRight w:val="0"/>
      <w:marTop w:val="0"/>
      <w:marBottom w:val="0"/>
      <w:divBdr>
        <w:top w:val="none" w:sz="0" w:space="0" w:color="auto"/>
        <w:left w:val="none" w:sz="0" w:space="0" w:color="auto"/>
        <w:bottom w:val="none" w:sz="0" w:space="0" w:color="auto"/>
        <w:right w:val="none" w:sz="0" w:space="0" w:color="auto"/>
      </w:divBdr>
    </w:div>
    <w:div w:id="866911688">
      <w:bodyDiv w:val="1"/>
      <w:marLeft w:val="0"/>
      <w:marRight w:val="0"/>
      <w:marTop w:val="0"/>
      <w:marBottom w:val="0"/>
      <w:divBdr>
        <w:top w:val="none" w:sz="0" w:space="0" w:color="auto"/>
        <w:left w:val="none" w:sz="0" w:space="0" w:color="auto"/>
        <w:bottom w:val="none" w:sz="0" w:space="0" w:color="auto"/>
        <w:right w:val="none" w:sz="0" w:space="0" w:color="auto"/>
      </w:divBdr>
    </w:div>
    <w:div w:id="867062807">
      <w:bodyDiv w:val="1"/>
      <w:marLeft w:val="0"/>
      <w:marRight w:val="0"/>
      <w:marTop w:val="0"/>
      <w:marBottom w:val="0"/>
      <w:divBdr>
        <w:top w:val="none" w:sz="0" w:space="0" w:color="auto"/>
        <w:left w:val="none" w:sz="0" w:space="0" w:color="auto"/>
        <w:bottom w:val="none" w:sz="0" w:space="0" w:color="auto"/>
        <w:right w:val="none" w:sz="0" w:space="0" w:color="auto"/>
      </w:divBdr>
    </w:div>
    <w:div w:id="867108246">
      <w:bodyDiv w:val="1"/>
      <w:marLeft w:val="0"/>
      <w:marRight w:val="0"/>
      <w:marTop w:val="0"/>
      <w:marBottom w:val="0"/>
      <w:divBdr>
        <w:top w:val="none" w:sz="0" w:space="0" w:color="auto"/>
        <w:left w:val="none" w:sz="0" w:space="0" w:color="auto"/>
        <w:bottom w:val="none" w:sz="0" w:space="0" w:color="auto"/>
        <w:right w:val="none" w:sz="0" w:space="0" w:color="auto"/>
      </w:divBdr>
    </w:div>
    <w:div w:id="867109962">
      <w:bodyDiv w:val="1"/>
      <w:marLeft w:val="0"/>
      <w:marRight w:val="0"/>
      <w:marTop w:val="0"/>
      <w:marBottom w:val="0"/>
      <w:divBdr>
        <w:top w:val="none" w:sz="0" w:space="0" w:color="auto"/>
        <w:left w:val="none" w:sz="0" w:space="0" w:color="auto"/>
        <w:bottom w:val="none" w:sz="0" w:space="0" w:color="auto"/>
        <w:right w:val="none" w:sz="0" w:space="0" w:color="auto"/>
      </w:divBdr>
    </w:div>
    <w:div w:id="867184432">
      <w:bodyDiv w:val="1"/>
      <w:marLeft w:val="0"/>
      <w:marRight w:val="0"/>
      <w:marTop w:val="0"/>
      <w:marBottom w:val="0"/>
      <w:divBdr>
        <w:top w:val="none" w:sz="0" w:space="0" w:color="auto"/>
        <w:left w:val="none" w:sz="0" w:space="0" w:color="auto"/>
        <w:bottom w:val="none" w:sz="0" w:space="0" w:color="auto"/>
        <w:right w:val="none" w:sz="0" w:space="0" w:color="auto"/>
      </w:divBdr>
    </w:div>
    <w:div w:id="867258294">
      <w:bodyDiv w:val="1"/>
      <w:marLeft w:val="0"/>
      <w:marRight w:val="0"/>
      <w:marTop w:val="0"/>
      <w:marBottom w:val="0"/>
      <w:divBdr>
        <w:top w:val="none" w:sz="0" w:space="0" w:color="auto"/>
        <w:left w:val="none" w:sz="0" w:space="0" w:color="auto"/>
        <w:bottom w:val="none" w:sz="0" w:space="0" w:color="auto"/>
        <w:right w:val="none" w:sz="0" w:space="0" w:color="auto"/>
      </w:divBdr>
    </w:div>
    <w:div w:id="867333217">
      <w:bodyDiv w:val="1"/>
      <w:marLeft w:val="0"/>
      <w:marRight w:val="0"/>
      <w:marTop w:val="0"/>
      <w:marBottom w:val="0"/>
      <w:divBdr>
        <w:top w:val="none" w:sz="0" w:space="0" w:color="auto"/>
        <w:left w:val="none" w:sz="0" w:space="0" w:color="auto"/>
        <w:bottom w:val="none" w:sz="0" w:space="0" w:color="auto"/>
        <w:right w:val="none" w:sz="0" w:space="0" w:color="auto"/>
      </w:divBdr>
    </w:div>
    <w:div w:id="867335860">
      <w:bodyDiv w:val="1"/>
      <w:marLeft w:val="0"/>
      <w:marRight w:val="0"/>
      <w:marTop w:val="0"/>
      <w:marBottom w:val="0"/>
      <w:divBdr>
        <w:top w:val="none" w:sz="0" w:space="0" w:color="auto"/>
        <w:left w:val="none" w:sz="0" w:space="0" w:color="auto"/>
        <w:bottom w:val="none" w:sz="0" w:space="0" w:color="auto"/>
        <w:right w:val="none" w:sz="0" w:space="0" w:color="auto"/>
      </w:divBdr>
    </w:div>
    <w:div w:id="867376759">
      <w:bodyDiv w:val="1"/>
      <w:marLeft w:val="0"/>
      <w:marRight w:val="0"/>
      <w:marTop w:val="0"/>
      <w:marBottom w:val="0"/>
      <w:divBdr>
        <w:top w:val="none" w:sz="0" w:space="0" w:color="auto"/>
        <w:left w:val="none" w:sz="0" w:space="0" w:color="auto"/>
        <w:bottom w:val="none" w:sz="0" w:space="0" w:color="auto"/>
        <w:right w:val="none" w:sz="0" w:space="0" w:color="auto"/>
      </w:divBdr>
    </w:div>
    <w:div w:id="867571517">
      <w:bodyDiv w:val="1"/>
      <w:marLeft w:val="0"/>
      <w:marRight w:val="0"/>
      <w:marTop w:val="0"/>
      <w:marBottom w:val="0"/>
      <w:divBdr>
        <w:top w:val="none" w:sz="0" w:space="0" w:color="auto"/>
        <w:left w:val="none" w:sz="0" w:space="0" w:color="auto"/>
        <w:bottom w:val="none" w:sz="0" w:space="0" w:color="auto"/>
        <w:right w:val="none" w:sz="0" w:space="0" w:color="auto"/>
      </w:divBdr>
    </w:div>
    <w:div w:id="867644771">
      <w:bodyDiv w:val="1"/>
      <w:marLeft w:val="0"/>
      <w:marRight w:val="0"/>
      <w:marTop w:val="0"/>
      <w:marBottom w:val="0"/>
      <w:divBdr>
        <w:top w:val="none" w:sz="0" w:space="0" w:color="auto"/>
        <w:left w:val="none" w:sz="0" w:space="0" w:color="auto"/>
        <w:bottom w:val="none" w:sz="0" w:space="0" w:color="auto"/>
        <w:right w:val="none" w:sz="0" w:space="0" w:color="auto"/>
      </w:divBdr>
    </w:div>
    <w:div w:id="867763987">
      <w:bodyDiv w:val="1"/>
      <w:marLeft w:val="0"/>
      <w:marRight w:val="0"/>
      <w:marTop w:val="0"/>
      <w:marBottom w:val="0"/>
      <w:divBdr>
        <w:top w:val="none" w:sz="0" w:space="0" w:color="auto"/>
        <w:left w:val="none" w:sz="0" w:space="0" w:color="auto"/>
        <w:bottom w:val="none" w:sz="0" w:space="0" w:color="auto"/>
        <w:right w:val="none" w:sz="0" w:space="0" w:color="auto"/>
      </w:divBdr>
    </w:div>
    <w:div w:id="867908898">
      <w:bodyDiv w:val="1"/>
      <w:marLeft w:val="0"/>
      <w:marRight w:val="0"/>
      <w:marTop w:val="0"/>
      <w:marBottom w:val="0"/>
      <w:divBdr>
        <w:top w:val="none" w:sz="0" w:space="0" w:color="auto"/>
        <w:left w:val="none" w:sz="0" w:space="0" w:color="auto"/>
        <w:bottom w:val="none" w:sz="0" w:space="0" w:color="auto"/>
        <w:right w:val="none" w:sz="0" w:space="0" w:color="auto"/>
      </w:divBdr>
    </w:div>
    <w:div w:id="867915750">
      <w:bodyDiv w:val="1"/>
      <w:marLeft w:val="0"/>
      <w:marRight w:val="0"/>
      <w:marTop w:val="0"/>
      <w:marBottom w:val="0"/>
      <w:divBdr>
        <w:top w:val="none" w:sz="0" w:space="0" w:color="auto"/>
        <w:left w:val="none" w:sz="0" w:space="0" w:color="auto"/>
        <w:bottom w:val="none" w:sz="0" w:space="0" w:color="auto"/>
        <w:right w:val="none" w:sz="0" w:space="0" w:color="auto"/>
      </w:divBdr>
    </w:div>
    <w:div w:id="868375154">
      <w:bodyDiv w:val="1"/>
      <w:marLeft w:val="0"/>
      <w:marRight w:val="0"/>
      <w:marTop w:val="0"/>
      <w:marBottom w:val="0"/>
      <w:divBdr>
        <w:top w:val="none" w:sz="0" w:space="0" w:color="auto"/>
        <w:left w:val="none" w:sz="0" w:space="0" w:color="auto"/>
        <w:bottom w:val="none" w:sz="0" w:space="0" w:color="auto"/>
        <w:right w:val="none" w:sz="0" w:space="0" w:color="auto"/>
      </w:divBdr>
    </w:div>
    <w:div w:id="868566503">
      <w:bodyDiv w:val="1"/>
      <w:marLeft w:val="0"/>
      <w:marRight w:val="0"/>
      <w:marTop w:val="0"/>
      <w:marBottom w:val="0"/>
      <w:divBdr>
        <w:top w:val="none" w:sz="0" w:space="0" w:color="auto"/>
        <w:left w:val="none" w:sz="0" w:space="0" w:color="auto"/>
        <w:bottom w:val="none" w:sz="0" w:space="0" w:color="auto"/>
        <w:right w:val="none" w:sz="0" w:space="0" w:color="auto"/>
      </w:divBdr>
    </w:div>
    <w:div w:id="868614367">
      <w:bodyDiv w:val="1"/>
      <w:marLeft w:val="0"/>
      <w:marRight w:val="0"/>
      <w:marTop w:val="0"/>
      <w:marBottom w:val="0"/>
      <w:divBdr>
        <w:top w:val="none" w:sz="0" w:space="0" w:color="auto"/>
        <w:left w:val="none" w:sz="0" w:space="0" w:color="auto"/>
        <w:bottom w:val="none" w:sz="0" w:space="0" w:color="auto"/>
        <w:right w:val="none" w:sz="0" w:space="0" w:color="auto"/>
      </w:divBdr>
    </w:div>
    <w:div w:id="868614502">
      <w:bodyDiv w:val="1"/>
      <w:marLeft w:val="0"/>
      <w:marRight w:val="0"/>
      <w:marTop w:val="0"/>
      <w:marBottom w:val="0"/>
      <w:divBdr>
        <w:top w:val="none" w:sz="0" w:space="0" w:color="auto"/>
        <w:left w:val="none" w:sz="0" w:space="0" w:color="auto"/>
        <w:bottom w:val="none" w:sz="0" w:space="0" w:color="auto"/>
        <w:right w:val="none" w:sz="0" w:space="0" w:color="auto"/>
      </w:divBdr>
    </w:div>
    <w:div w:id="868640600">
      <w:bodyDiv w:val="1"/>
      <w:marLeft w:val="0"/>
      <w:marRight w:val="0"/>
      <w:marTop w:val="0"/>
      <w:marBottom w:val="0"/>
      <w:divBdr>
        <w:top w:val="none" w:sz="0" w:space="0" w:color="auto"/>
        <w:left w:val="none" w:sz="0" w:space="0" w:color="auto"/>
        <w:bottom w:val="none" w:sz="0" w:space="0" w:color="auto"/>
        <w:right w:val="none" w:sz="0" w:space="0" w:color="auto"/>
      </w:divBdr>
    </w:div>
    <w:div w:id="868689014">
      <w:bodyDiv w:val="1"/>
      <w:marLeft w:val="0"/>
      <w:marRight w:val="0"/>
      <w:marTop w:val="0"/>
      <w:marBottom w:val="0"/>
      <w:divBdr>
        <w:top w:val="none" w:sz="0" w:space="0" w:color="auto"/>
        <w:left w:val="none" w:sz="0" w:space="0" w:color="auto"/>
        <w:bottom w:val="none" w:sz="0" w:space="0" w:color="auto"/>
        <w:right w:val="none" w:sz="0" w:space="0" w:color="auto"/>
      </w:divBdr>
    </w:div>
    <w:div w:id="868838513">
      <w:bodyDiv w:val="1"/>
      <w:marLeft w:val="0"/>
      <w:marRight w:val="0"/>
      <w:marTop w:val="0"/>
      <w:marBottom w:val="0"/>
      <w:divBdr>
        <w:top w:val="none" w:sz="0" w:space="0" w:color="auto"/>
        <w:left w:val="none" w:sz="0" w:space="0" w:color="auto"/>
        <w:bottom w:val="none" w:sz="0" w:space="0" w:color="auto"/>
        <w:right w:val="none" w:sz="0" w:space="0" w:color="auto"/>
      </w:divBdr>
    </w:div>
    <w:div w:id="868907841">
      <w:bodyDiv w:val="1"/>
      <w:marLeft w:val="0"/>
      <w:marRight w:val="0"/>
      <w:marTop w:val="0"/>
      <w:marBottom w:val="0"/>
      <w:divBdr>
        <w:top w:val="none" w:sz="0" w:space="0" w:color="auto"/>
        <w:left w:val="none" w:sz="0" w:space="0" w:color="auto"/>
        <w:bottom w:val="none" w:sz="0" w:space="0" w:color="auto"/>
        <w:right w:val="none" w:sz="0" w:space="0" w:color="auto"/>
      </w:divBdr>
    </w:div>
    <w:div w:id="869030813">
      <w:bodyDiv w:val="1"/>
      <w:marLeft w:val="0"/>
      <w:marRight w:val="0"/>
      <w:marTop w:val="0"/>
      <w:marBottom w:val="0"/>
      <w:divBdr>
        <w:top w:val="none" w:sz="0" w:space="0" w:color="auto"/>
        <w:left w:val="none" w:sz="0" w:space="0" w:color="auto"/>
        <w:bottom w:val="none" w:sz="0" w:space="0" w:color="auto"/>
        <w:right w:val="none" w:sz="0" w:space="0" w:color="auto"/>
      </w:divBdr>
    </w:div>
    <w:div w:id="869419874">
      <w:bodyDiv w:val="1"/>
      <w:marLeft w:val="0"/>
      <w:marRight w:val="0"/>
      <w:marTop w:val="0"/>
      <w:marBottom w:val="0"/>
      <w:divBdr>
        <w:top w:val="none" w:sz="0" w:space="0" w:color="auto"/>
        <w:left w:val="none" w:sz="0" w:space="0" w:color="auto"/>
        <w:bottom w:val="none" w:sz="0" w:space="0" w:color="auto"/>
        <w:right w:val="none" w:sz="0" w:space="0" w:color="auto"/>
      </w:divBdr>
    </w:div>
    <w:div w:id="869495806">
      <w:bodyDiv w:val="1"/>
      <w:marLeft w:val="0"/>
      <w:marRight w:val="0"/>
      <w:marTop w:val="0"/>
      <w:marBottom w:val="0"/>
      <w:divBdr>
        <w:top w:val="none" w:sz="0" w:space="0" w:color="auto"/>
        <w:left w:val="none" w:sz="0" w:space="0" w:color="auto"/>
        <w:bottom w:val="none" w:sz="0" w:space="0" w:color="auto"/>
        <w:right w:val="none" w:sz="0" w:space="0" w:color="auto"/>
      </w:divBdr>
    </w:div>
    <w:div w:id="869610993">
      <w:bodyDiv w:val="1"/>
      <w:marLeft w:val="0"/>
      <w:marRight w:val="0"/>
      <w:marTop w:val="0"/>
      <w:marBottom w:val="0"/>
      <w:divBdr>
        <w:top w:val="none" w:sz="0" w:space="0" w:color="auto"/>
        <w:left w:val="none" w:sz="0" w:space="0" w:color="auto"/>
        <w:bottom w:val="none" w:sz="0" w:space="0" w:color="auto"/>
        <w:right w:val="none" w:sz="0" w:space="0" w:color="auto"/>
      </w:divBdr>
    </w:div>
    <w:div w:id="869686726">
      <w:bodyDiv w:val="1"/>
      <w:marLeft w:val="0"/>
      <w:marRight w:val="0"/>
      <w:marTop w:val="0"/>
      <w:marBottom w:val="0"/>
      <w:divBdr>
        <w:top w:val="none" w:sz="0" w:space="0" w:color="auto"/>
        <w:left w:val="none" w:sz="0" w:space="0" w:color="auto"/>
        <w:bottom w:val="none" w:sz="0" w:space="0" w:color="auto"/>
        <w:right w:val="none" w:sz="0" w:space="0" w:color="auto"/>
      </w:divBdr>
    </w:div>
    <w:div w:id="869729962">
      <w:bodyDiv w:val="1"/>
      <w:marLeft w:val="0"/>
      <w:marRight w:val="0"/>
      <w:marTop w:val="0"/>
      <w:marBottom w:val="0"/>
      <w:divBdr>
        <w:top w:val="none" w:sz="0" w:space="0" w:color="auto"/>
        <w:left w:val="none" w:sz="0" w:space="0" w:color="auto"/>
        <w:bottom w:val="none" w:sz="0" w:space="0" w:color="auto"/>
        <w:right w:val="none" w:sz="0" w:space="0" w:color="auto"/>
      </w:divBdr>
    </w:div>
    <w:div w:id="869803578">
      <w:bodyDiv w:val="1"/>
      <w:marLeft w:val="0"/>
      <w:marRight w:val="0"/>
      <w:marTop w:val="0"/>
      <w:marBottom w:val="0"/>
      <w:divBdr>
        <w:top w:val="none" w:sz="0" w:space="0" w:color="auto"/>
        <w:left w:val="none" w:sz="0" w:space="0" w:color="auto"/>
        <w:bottom w:val="none" w:sz="0" w:space="0" w:color="auto"/>
        <w:right w:val="none" w:sz="0" w:space="0" w:color="auto"/>
      </w:divBdr>
    </w:div>
    <w:div w:id="869805445">
      <w:bodyDiv w:val="1"/>
      <w:marLeft w:val="0"/>
      <w:marRight w:val="0"/>
      <w:marTop w:val="0"/>
      <w:marBottom w:val="0"/>
      <w:divBdr>
        <w:top w:val="none" w:sz="0" w:space="0" w:color="auto"/>
        <w:left w:val="none" w:sz="0" w:space="0" w:color="auto"/>
        <w:bottom w:val="none" w:sz="0" w:space="0" w:color="auto"/>
        <w:right w:val="none" w:sz="0" w:space="0" w:color="auto"/>
      </w:divBdr>
    </w:div>
    <w:div w:id="869998071">
      <w:bodyDiv w:val="1"/>
      <w:marLeft w:val="0"/>
      <w:marRight w:val="0"/>
      <w:marTop w:val="0"/>
      <w:marBottom w:val="0"/>
      <w:divBdr>
        <w:top w:val="none" w:sz="0" w:space="0" w:color="auto"/>
        <w:left w:val="none" w:sz="0" w:space="0" w:color="auto"/>
        <w:bottom w:val="none" w:sz="0" w:space="0" w:color="auto"/>
        <w:right w:val="none" w:sz="0" w:space="0" w:color="auto"/>
      </w:divBdr>
    </w:div>
    <w:div w:id="870268493">
      <w:bodyDiv w:val="1"/>
      <w:marLeft w:val="0"/>
      <w:marRight w:val="0"/>
      <w:marTop w:val="0"/>
      <w:marBottom w:val="0"/>
      <w:divBdr>
        <w:top w:val="none" w:sz="0" w:space="0" w:color="auto"/>
        <w:left w:val="none" w:sz="0" w:space="0" w:color="auto"/>
        <w:bottom w:val="none" w:sz="0" w:space="0" w:color="auto"/>
        <w:right w:val="none" w:sz="0" w:space="0" w:color="auto"/>
      </w:divBdr>
    </w:div>
    <w:div w:id="870338032">
      <w:bodyDiv w:val="1"/>
      <w:marLeft w:val="0"/>
      <w:marRight w:val="0"/>
      <w:marTop w:val="0"/>
      <w:marBottom w:val="0"/>
      <w:divBdr>
        <w:top w:val="none" w:sz="0" w:space="0" w:color="auto"/>
        <w:left w:val="none" w:sz="0" w:space="0" w:color="auto"/>
        <w:bottom w:val="none" w:sz="0" w:space="0" w:color="auto"/>
        <w:right w:val="none" w:sz="0" w:space="0" w:color="auto"/>
      </w:divBdr>
    </w:div>
    <w:div w:id="870338501">
      <w:bodyDiv w:val="1"/>
      <w:marLeft w:val="0"/>
      <w:marRight w:val="0"/>
      <w:marTop w:val="0"/>
      <w:marBottom w:val="0"/>
      <w:divBdr>
        <w:top w:val="none" w:sz="0" w:space="0" w:color="auto"/>
        <w:left w:val="none" w:sz="0" w:space="0" w:color="auto"/>
        <w:bottom w:val="none" w:sz="0" w:space="0" w:color="auto"/>
        <w:right w:val="none" w:sz="0" w:space="0" w:color="auto"/>
      </w:divBdr>
    </w:div>
    <w:div w:id="870412839">
      <w:bodyDiv w:val="1"/>
      <w:marLeft w:val="0"/>
      <w:marRight w:val="0"/>
      <w:marTop w:val="0"/>
      <w:marBottom w:val="0"/>
      <w:divBdr>
        <w:top w:val="none" w:sz="0" w:space="0" w:color="auto"/>
        <w:left w:val="none" w:sz="0" w:space="0" w:color="auto"/>
        <w:bottom w:val="none" w:sz="0" w:space="0" w:color="auto"/>
        <w:right w:val="none" w:sz="0" w:space="0" w:color="auto"/>
      </w:divBdr>
    </w:div>
    <w:div w:id="870454236">
      <w:bodyDiv w:val="1"/>
      <w:marLeft w:val="0"/>
      <w:marRight w:val="0"/>
      <w:marTop w:val="0"/>
      <w:marBottom w:val="0"/>
      <w:divBdr>
        <w:top w:val="none" w:sz="0" w:space="0" w:color="auto"/>
        <w:left w:val="none" w:sz="0" w:space="0" w:color="auto"/>
        <w:bottom w:val="none" w:sz="0" w:space="0" w:color="auto"/>
        <w:right w:val="none" w:sz="0" w:space="0" w:color="auto"/>
      </w:divBdr>
    </w:div>
    <w:div w:id="870456290">
      <w:bodyDiv w:val="1"/>
      <w:marLeft w:val="0"/>
      <w:marRight w:val="0"/>
      <w:marTop w:val="0"/>
      <w:marBottom w:val="0"/>
      <w:divBdr>
        <w:top w:val="none" w:sz="0" w:space="0" w:color="auto"/>
        <w:left w:val="none" w:sz="0" w:space="0" w:color="auto"/>
        <w:bottom w:val="none" w:sz="0" w:space="0" w:color="auto"/>
        <w:right w:val="none" w:sz="0" w:space="0" w:color="auto"/>
      </w:divBdr>
    </w:div>
    <w:div w:id="870608634">
      <w:bodyDiv w:val="1"/>
      <w:marLeft w:val="0"/>
      <w:marRight w:val="0"/>
      <w:marTop w:val="0"/>
      <w:marBottom w:val="0"/>
      <w:divBdr>
        <w:top w:val="none" w:sz="0" w:space="0" w:color="auto"/>
        <w:left w:val="none" w:sz="0" w:space="0" w:color="auto"/>
        <w:bottom w:val="none" w:sz="0" w:space="0" w:color="auto"/>
        <w:right w:val="none" w:sz="0" w:space="0" w:color="auto"/>
      </w:divBdr>
    </w:div>
    <w:div w:id="870730048">
      <w:bodyDiv w:val="1"/>
      <w:marLeft w:val="0"/>
      <w:marRight w:val="0"/>
      <w:marTop w:val="0"/>
      <w:marBottom w:val="0"/>
      <w:divBdr>
        <w:top w:val="none" w:sz="0" w:space="0" w:color="auto"/>
        <w:left w:val="none" w:sz="0" w:space="0" w:color="auto"/>
        <w:bottom w:val="none" w:sz="0" w:space="0" w:color="auto"/>
        <w:right w:val="none" w:sz="0" w:space="0" w:color="auto"/>
      </w:divBdr>
    </w:div>
    <w:div w:id="870800338">
      <w:bodyDiv w:val="1"/>
      <w:marLeft w:val="0"/>
      <w:marRight w:val="0"/>
      <w:marTop w:val="0"/>
      <w:marBottom w:val="0"/>
      <w:divBdr>
        <w:top w:val="none" w:sz="0" w:space="0" w:color="auto"/>
        <w:left w:val="none" w:sz="0" w:space="0" w:color="auto"/>
        <w:bottom w:val="none" w:sz="0" w:space="0" w:color="auto"/>
        <w:right w:val="none" w:sz="0" w:space="0" w:color="auto"/>
      </w:divBdr>
    </w:div>
    <w:div w:id="870801575">
      <w:bodyDiv w:val="1"/>
      <w:marLeft w:val="0"/>
      <w:marRight w:val="0"/>
      <w:marTop w:val="0"/>
      <w:marBottom w:val="0"/>
      <w:divBdr>
        <w:top w:val="none" w:sz="0" w:space="0" w:color="auto"/>
        <w:left w:val="none" w:sz="0" w:space="0" w:color="auto"/>
        <w:bottom w:val="none" w:sz="0" w:space="0" w:color="auto"/>
        <w:right w:val="none" w:sz="0" w:space="0" w:color="auto"/>
      </w:divBdr>
    </w:div>
    <w:div w:id="870918449">
      <w:bodyDiv w:val="1"/>
      <w:marLeft w:val="0"/>
      <w:marRight w:val="0"/>
      <w:marTop w:val="0"/>
      <w:marBottom w:val="0"/>
      <w:divBdr>
        <w:top w:val="none" w:sz="0" w:space="0" w:color="auto"/>
        <w:left w:val="none" w:sz="0" w:space="0" w:color="auto"/>
        <w:bottom w:val="none" w:sz="0" w:space="0" w:color="auto"/>
        <w:right w:val="none" w:sz="0" w:space="0" w:color="auto"/>
      </w:divBdr>
    </w:div>
    <w:div w:id="871111910">
      <w:bodyDiv w:val="1"/>
      <w:marLeft w:val="0"/>
      <w:marRight w:val="0"/>
      <w:marTop w:val="0"/>
      <w:marBottom w:val="0"/>
      <w:divBdr>
        <w:top w:val="none" w:sz="0" w:space="0" w:color="auto"/>
        <w:left w:val="none" w:sz="0" w:space="0" w:color="auto"/>
        <w:bottom w:val="none" w:sz="0" w:space="0" w:color="auto"/>
        <w:right w:val="none" w:sz="0" w:space="0" w:color="auto"/>
      </w:divBdr>
    </w:div>
    <w:div w:id="871116322">
      <w:bodyDiv w:val="1"/>
      <w:marLeft w:val="0"/>
      <w:marRight w:val="0"/>
      <w:marTop w:val="0"/>
      <w:marBottom w:val="0"/>
      <w:divBdr>
        <w:top w:val="none" w:sz="0" w:space="0" w:color="auto"/>
        <w:left w:val="none" w:sz="0" w:space="0" w:color="auto"/>
        <w:bottom w:val="none" w:sz="0" w:space="0" w:color="auto"/>
        <w:right w:val="none" w:sz="0" w:space="0" w:color="auto"/>
      </w:divBdr>
    </w:div>
    <w:div w:id="871576767">
      <w:bodyDiv w:val="1"/>
      <w:marLeft w:val="0"/>
      <w:marRight w:val="0"/>
      <w:marTop w:val="0"/>
      <w:marBottom w:val="0"/>
      <w:divBdr>
        <w:top w:val="none" w:sz="0" w:space="0" w:color="auto"/>
        <w:left w:val="none" w:sz="0" w:space="0" w:color="auto"/>
        <w:bottom w:val="none" w:sz="0" w:space="0" w:color="auto"/>
        <w:right w:val="none" w:sz="0" w:space="0" w:color="auto"/>
      </w:divBdr>
    </w:div>
    <w:div w:id="871773188">
      <w:bodyDiv w:val="1"/>
      <w:marLeft w:val="0"/>
      <w:marRight w:val="0"/>
      <w:marTop w:val="0"/>
      <w:marBottom w:val="0"/>
      <w:divBdr>
        <w:top w:val="none" w:sz="0" w:space="0" w:color="auto"/>
        <w:left w:val="none" w:sz="0" w:space="0" w:color="auto"/>
        <w:bottom w:val="none" w:sz="0" w:space="0" w:color="auto"/>
        <w:right w:val="none" w:sz="0" w:space="0" w:color="auto"/>
      </w:divBdr>
    </w:div>
    <w:div w:id="871839843">
      <w:bodyDiv w:val="1"/>
      <w:marLeft w:val="0"/>
      <w:marRight w:val="0"/>
      <w:marTop w:val="0"/>
      <w:marBottom w:val="0"/>
      <w:divBdr>
        <w:top w:val="none" w:sz="0" w:space="0" w:color="auto"/>
        <w:left w:val="none" w:sz="0" w:space="0" w:color="auto"/>
        <w:bottom w:val="none" w:sz="0" w:space="0" w:color="auto"/>
        <w:right w:val="none" w:sz="0" w:space="0" w:color="auto"/>
      </w:divBdr>
    </w:div>
    <w:div w:id="871922694">
      <w:bodyDiv w:val="1"/>
      <w:marLeft w:val="0"/>
      <w:marRight w:val="0"/>
      <w:marTop w:val="0"/>
      <w:marBottom w:val="0"/>
      <w:divBdr>
        <w:top w:val="none" w:sz="0" w:space="0" w:color="auto"/>
        <w:left w:val="none" w:sz="0" w:space="0" w:color="auto"/>
        <w:bottom w:val="none" w:sz="0" w:space="0" w:color="auto"/>
        <w:right w:val="none" w:sz="0" w:space="0" w:color="auto"/>
      </w:divBdr>
    </w:div>
    <w:div w:id="871966273">
      <w:bodyDiv w:val="1"/>
      <w:marLeft w:val="0"/>
      <w:marRight w:val="0"/>
      <w:marTop w:val="0"/>
      <w:marBottom w:val="0"/>
      <w:divBdr>
        <w:top w:val="none" w:sz="0" w:space="0" w:color="auto"/>
        <w:left w:val="none" w:sz="0" w:space="0" w:color="auto"/>
        <w:bottom w:val="none" w:sz="0" w:space="0" w:color="auto"/>
        <w:right w:val="none" w:sz="0" w:space="0" w:color="auto"/>
      </w:divBdr>
    </w:div>
    <w:div w:id="872038438">
      <w:bodyDiv w:val="1"/>
      <w:marLeft w:val="0"/>
      <w:marRight w:val="0"/>
      <w:marTop w:val="0"/>
      <w:marBottom w:val="0"/>
      <w:divBdr>
        <w:top w:val="none" w:sz="0" w:space="0" w:color="auto"/>
        <w:left w:val="none" w:sz="0" w:space="0" w:color="auto"/>
        <w:bottom w:val="none" w:sz="0" w:space="0" w:color="auto"/>
        <w:right w:val="none" w:sz="0" w:space="0" w:color="auto"/>
      </w:divBdr>
    </w:div>
    <w:div w:id="872111920">
      <w:bodyDiv w:val="1"/>
      <w:marLeft w:val="0"/>
      <w:marRight w:val="0"/>
      <w:marTop w:val="0"/>
      <w:marBottom w:val="0"/>
      <w:divBdr>
        <w:top w:val="none" w:sz="0" w:space="0" w:color="auto"/>
        <w:left w:val="none" w:sz="0" w:space="0" w:color="auto"/>
        <w:bottom w:val="none" w:sz="0" w:space="0" w:color="auto"/>
        <w:right w:val="none" w:sz="0" w:space="0" w:color="auto"/>
      </w:divBdr>
    </w:div>
    <w:div w:id="872157085">
      <w:bodyDiv w:val="1"/>
      <w:marLeft w:val="0"/>
      <w:marRight w:val="0"/>
      <w:marTop w:val="0"/>
      <w:marBottom w:val="0"/>
      <w:divBdr>
        <w:top w:val="none" w:sz="0" w:space="0" w:color="auto"/>
        <w:left w:val="none" w:sz="0" w:space="0" w:color="auto"/>
        <w:bottom w:val="none" w:sz="0" w:space="0" w:color="auto"/>
        <w:right w:val="none" w:sz="0" w:space="0" w:color="auto"/>
      </w:divBdr>
    </w:div>
    <w:div w:id="872234593">
      <w:bodyDiv w:val="1"/>
      <w:marLeft w:val="0"/>
      <w:marRight w:val="0"/>
      <w:marTop w:val="0"/>
      <w:marBottom w:val="0"/>
      <w:divBdr>
        <w:top w:val="none" w:sz="0" w:space="0" w:color="auto"/>
        <w:left w:val="none" w:sz="0" w:space="0" w:color="auto"/>
        <w:bottom w:val="none" w:sz="0" w:space="0" w:color="auto"/>
        <w:right w:val="none" w:sz="0" w:space="0" w:color="auto"/>
      </w:divBdr>
    </w:div>
    <w:div w:id="872306908">
      <w:bodyDiv w:val="1"/>
      <w:marLeft w:val="0"/>
      <w:marRight w:val="0"/>
      <w:marTop w:val="0"/>
      <w:marBottom w:val="0"/>
      <w:divBdr>
        <w:top w:val="none" w:sz="0" w:space="0" w:color="auto"/>
        <w:left w:val="none" w:sz="0" w:space="0" w:color="auto"/>
        <w:bottom w:val="none" w:sz="0" w:space="0" w:color="auto"/>
        <w:right w:val="none" w:sz="0" w:space="0" w:color="auto"/>
      </w:divBdr>
    </w:div>
    <w:div w:id="872576386">
      <w:bodyDiv w:val="1"/>
      <w:marLeft w:val="0"/>
      <w:marRight w:val="0"/>
      <w:marTop w:val="0"/>
      <w:marBottom w:val="0"/>
      <w:divBdr>
        <w:top w:val="none" w:sz="0" w:space="0" w:color="auto"/>
        <w:left w:val="none" w:sz="0" w:space="0" w:color="auto"/>
        <w:bottom w:val="none" w:sz="0" w:space="0" w:color="auto"/>
        <w:right w:val="none" w:sz="0" w:space="0" w:color="auto"/>
      </w:divBdr>
    </w:div>
    <w:div w:id="872578947">
      <w:bodyDiv w:val="1"/>
      <w:marLeft w:val="0"/>
      <w:marRight w:val="0"/>
      <w:marTop w:val="0"/>
      <w:marBottom w:val="0"/>
      <w:divBdr>
        <w:top w:val="none" w:sz="0" w:space="0" w:color="auto"/>
        <w:left w:val="none" w:sz="0" w:space="0" w:color="auto"/>
        <w:bottom w:val="none" w:sz="0" w:space="0" w:color="auto"/>
        <w:right w:val="none" w:sz="0" w:space="0" w:color="auto"/>
      </w:divBdr>
    </w:div>
    <w:div w:id="872614681">
      <w:bodyDiv w:val="1"/>
      <w:marLeft w:val="0"/>
      <w:marRight w:val="0"/>
      <w:marTop w:val="0"/>
      <w:marBottom w:val="0"/>
      <w:divBdr>
        <w:top w:val="none" w:sz="0" w:space="0" w:color="auto"/>
        <w:left w:val="none" w:sz="0" w:space="0" w:color="auto"/>
        <w:bottom w:val="none" w:sz="0" w:space="0" w:color="auto"/>
        <w:right w:val="none" w:sz="0" w:space="0" w:color="auto"/>
      </w:divBdr>
    </w:div>
    <w:div w:id="872695100">
      <w:bodyDiv w:val="1"/>
      <w:marLeft w:val="0"/>
      <w:marRight w:val="0"/>
      <w:marTop w:val="0"/>
      <w:marBottom w:val="0"/>
      <w:divBdr>
        <w:top w:val="none" w:sz="0" w:space="0" w:color="auto"/>
        <w:left w:val="none" w:sz="0" w:space="0" w:color="auto"/>
        <w:bottom w:val="none" w:sz="0" w:space="0" w:color="auto"/>
        <w:right w:val="none" w:sz="0" w:space="0" w:color="auto"/>
      </w:divBdr>
    </w:div>
    <w:div w:id="873035730">
      <w:bodyDiv w:val="1"/>
      <w:marLeft w:val="0"/>
      <w:marRight w:val="0"/>
      <w:marTop w:val="0"/>
      <w:marBottom w:val="0"/>
      <w:divBdr>
        <w:top w:val="none" w:sz="0" w:space="0" w:color="auto"/>
        <w:left w:val="none" w:sz="0" w:space="0" w:color="auto"/>
        <w:bottom w:val="none" w:sz="0" w:space="0" w:color="auto"/>
        <w:right w:val="none" w:sz="0" w:space="0" w:color="auto"/>
      </w:divBdr>
    </w:div>
    <w:div w:id="873075245">
      <w:bodyDiv w:val="1"/>
      <w:marLeft w:val="0"/>
      <w:marRight w:val="0"/>
      <w:marTop w:val="0"/>
      <w:marBottom w:val="0"/>
      <w:divBdr>
        <w:top w:val="none" w:sz="0" w:space="0" w:color="auto"/>
        <w:left w:val="none" w:sz="0" w:space="0" w:color="auto"/>
        <w:bottom w:val="none" w:sz="0" w:space="0" w:color="auto"/>
        <w:right w:val="none" w:sz="0" w:space="0" w:color="auto"/>
      </w:divBdr>
    </w:div>
    <w:div w:id="873233136">
      <w:bodyDiv w:val="1"/>
      <w:marLeft w:val="0"/>
      <w:marRight w:val="0"/>
      <w:marTop w:val="0"/>
      <w:marBottom w:val="0"/>
      <w:divBdr>
        <w:top w:val="none" w:sz="0" w:space="0" w:color="auto"/>
        <w:left w:val="none" w:sz="0" w:space="0" w:color="auto"/>
        <w:bottom w:val="none" w:sz="0" w:space="0" w:color="auto"/>
        <w:right w:val="none" w:sz="0" w:space="0" w:color="auto"/>
      </w:divBdr>
    </w:div>
    <w:div w:id="873347378">
      <w:bodyDiv w:val="1"/>
      <w:marLeft w:val="0"/>
      <w:marRight w:val="0"/>
      <w:marTop w:val="0"/>
      <w:marBottom w:val="0"/>
      <w:divBdr>
        <w:top w:val="none" w:sz="0" w:space="0" w:color="auto"/>
        <w:left w:val="none" w:sz="0" w:space="0" w:color="auto"/>
        <w:bottom w:val="none" w:sz="0" w:space="0" w:color="auto"/>
        <w:right w:val="none" w:sz="0" w:space="0" w:color="auto"/>
      </w:divBdr>
    </w:div>
    <w:div w:id="873425351">
      <w:bodyDiv w:val="1"/>
      <w:marLeft w:val="0"/>
      <w:marRight w:val="0"/>
      <w:marTop w:val="0"/>
      <w:marBottom w:val="0"/>
      <w:divBdr>
        <w:top w:val="none" w:sz="0" w:space="0" w:color="auto"/>
        <w:left w:val="none" w:sz="0" w:space="0" w:color="auto"/>
        <w:bottom w:val="none" w:sz="0" w:space="0" w:color="auto"/>
        <w:right w:val="none" w:sz="0" w:space="0" w:color="auto"/>
      </w:divBdr>
    </w:div>
    <w:div w:id="873883505">
      <w:bodyDiv w:val="1"/>
      <w:marLeft w:val="0"/>
      <w:marRight w:val="0"/>
      <w:marTop w:val="0"/>
      <w:marBottom w:val="0"/>
      <w:divBdr>
        <w:top w:val="none" w:sz="0" w:space="0" w:color="auto"/>
        <w:left w:val="none" w:sz="0" w:space="0" w:color="auto"/>
        <w:bottom w:val="none" w:sz="0" w:space="0" w:color="auto"/>
        <w:right w:val="none" w:sz="0" w:space="0" w:color="auto"/>
      </w:divBdr>
    </w:div>
    <w:div w:id="874079533">
      <w:bodyDiv w:val="1"/>
      <w:marLeft w:val="0"/>
      <w:marRight w:val="0"/>
      <w:marTop w:val="0"/>
      <w:marBottom w:val="0"/>
      <w:divBdr>
        <w:top w:val="none" w:sz="0" w:space="0" w:color="auto"/>
        <w:left w:val="none" w:sz="0" w:space="0" w:color="auto"/>
        <w:bottom w:val="none" w:sz="0" w:space="0" w:color="auto"/>
        <w:right w:val="none" w:sz="0" w:space="0" w:color="auto"/>
      </w:divBdr>
    </w:div>
    <w:div w:id="874539458">
      <w:bodyDiv w:val="1"/>
      <w:marLeft w:val="0"/>
      <w:marRight w:val="0"/>
      <w:marTop w:val="0"/>
      <w:marBottom w:val="0"/>
      <w:divBdr>
        <w:top w:val="none" w:sz="0" w:space="0" w:color="auto"/>
        <w:left w:val="none" w:sz="0" w:space="0" w:color="auto"/>
        <w:bottom w:val="none" w:sz="0" w:space="0" w:color="auto"/>
        <w:right w:val="none" w:sz="0" w:space="0" w:color="auto"/>
      </w:divBdr>
    </w:div>
    <w:div w:id="874735918">
      <w:bodyDiv w:val="1"/>
      <w:marLeft w:val="0"/>
      <w:marRight w:val="0"/>
      <w:marTop w:val="0"/>
      <w:marBottom w:val="0"/>
      <w:divBdr>
        <w:top w:val="none" w:sz="0" w:space="0" w:color="auto"/>
        <w:left w:val="none" w:sz="0" w:space="0" w:color="auto"/>
        <w:bottom w:val="none" w:sz="0" w:space="0" w:color="auto"/>
        <w:right w:val="none" w:sz="0" w:space="0" w:color="auto"/>
      </w:divBdr>
    </w:div>
    <w:div w:id="874737962">
      <w:bodyDiv w:val="1"/>
      <w:marLeft w:val="0"/>
      <w:marRight w:val="0"/>
      <w:marTop w:val="0"/>
      <w:marBottom w:val="0"/>
      <w:divBdr>
        <w:top w:val="none" w:sz="0" w:space="0" w:color="auto"/>
        <w:left w:val="none" w:sz="0" w:space="0" w:color="auto"/>
        <w:bottom w:val="none" w:sz="0" w:space="0" w:color="auto"/>
        <w:right w:val="none" w:sz="0" w:space="0" w:color="auto"/>
      </w:divBdr>
    </w:div>
    <w:div w:id="874807176">
      <w:bodyDiv w:val="1"/>
      <w:marLeft w:val="0"/>
      <w:marRight w:val="0"/>
      <w:marTop w:val="0"/>
      <w:marBottom w:val="0"/>
      <w:divBdr>
        <w:top w:val="none" w:sz="0" w:space="0" w:color="auto"/>
        <w:left w:val="none" w:sz="0" w:space="0" w:color="auto"/>
        <w:bottom w:val="none" w:sz="0" w:space="0" w:color="auto"/>
        <w:right w:val="none" w:sz="0" w:space="0" w:color="auto"/>
      </w:divBdr>
    </w:div>
    <w:div w:id="874854099">
      <w:bodyDiv w:val="1"/>
      <w:marLeft w:val="0"/>
      <w:marRight w:val="0"/>
      <w:marTop w:val="0"/>
      <w:marBottom w:val="0"/>
      <w:divBdr>
        <w:top w:val="none" w:sz="0" w:space="0" w:color="auto"/>
        <w:left w:val="none" w:sz="0" w:space="0" w:color="auto"/>
        <w:bottom w:val="none" w:sz="0" w:space="0" w:color="auto"/>
        <w:right w:val="none" w:sz="0" w:space="0" w:color="auto"/>
      </w:divBdr>
    </w:div>
    <w:div w:id="874928822">
      <w:bodyDiv w:val="1"/>
      <w:marLeft w:val="0"/>
      <w:marRight w:val="0"/>
      <w:marTop w:val="0"/>
      <w:marBottom w:val="0"/>
      <w:divBdr>
        <w:top w:val="none" w:sz="0" w:space="0" w:color="auto"/>
        <w:left w:val="none" w:sz="0" w:space="0" w:color="auto"/>
        <w:bottom w:val="none" w:sz="0" w:space="0" w:color="auto"/>
        <w:right w:val="none" w:sz="0" w:space="0" w:color="auto"/>
      </w:divBdr>
    </w:div>
    <w:div w:id="874972002">
      <w:bodyDiv w:val="1"/>
      <w:marLeft w:val="0"/>
      <w:marRight w:val="0"/>
      <w:marTop w:val="0"/>
      <w:marBottom w:val="0"/>
      <w:divBdr>
        <w:top w:val="none" w:sz="0" w:space="0" w:color="auto"/>
        <w:left w:val="none" w:sz="0" w:space="0" w:color="auto"/>
        <w:bottom w:val="none" w:sz="0" w:space="0" w:color="auto"/>
        <w:right w:val="none" w:sz="0" w:space="0" w:color="auto"/>
      </w:divBdr>
    </w:div>
    <w:div w:id="875390141">
      <w:bodyDiv w:val="1"/>
      <w:marLeft w:val="0"/>
      <w:marRight w:val="0"/>
      <w:marTop w:val="0"/>
      <w:marBottom w:val="0"/>
      <w:divBdr>
        <w:top w:val="none" w:sz="0" w:space="0" w:color="auto"/>
        <w:left w:val="none" w:sz="0" w:space="0" w:color="auto"/>
        <w:bottom w:val="none" w:sz="0" w:space="0" w:color="auto"/>
        <w:right w:val="none" w:sz="0" w:space="0" w:color="auto"/>
      </w:divBdr>
    </w:div>
    <w:div w:id="875462310">
      <w:bodyDiv w:val="1"/>
      <w:marLeft w:val="0"/>
      <w:marRight w:val="0"/>
      <w:marTop w:val="0"/>
      <w:marBottom w:val="0"/>
      <w:divBdr>
        <w:top w:val="none" w:sz="0" w:space="0" w:color="auto"/>
        <w:left w:val="none" w:sz="0" w:space="0" w:color="auto"/>
        <w:bottom w:val="none" w:sz="0" w:space="0" w:color="auto"/>
        <w:right w:val="none" w:sz="0" w:space="0" w:color="auto"/>
      </w:divBdr>
    </w:div>
    <w:div w:id="875772295">
      <w:bodyDiv w:val="1"/>
      <w:marLeft w:val="0"/>
      <w:marRight w:val="0"/>
      <w:marTop w:val="0"/>
      <w:marBottom w:val="0"/>
      <w:divBdr>
        <w:top w:val="none" w:sz="0" w:space="0" w:color="auto"/>
        <w:left w:val="none" w:sz="0" w:space="0" w:color="auto"/>
        <w:bottom w:val="none" w:sz="0" w:space="0" w:color="auto"/>
        <w:right w:val="none" w:sz="0" w:space="0" w:color="auto"/>
      </w:divBdr>
    </w:div>
    <w:div w:id="875854281">
      <w:bodyDiv w:val="1"/>
      <w:marLeft w:val="0"/>
      <w:marRight w:val="0"/>
      <w:marTop w:val="0"/>
      <w:marBottom w:val="0"/>
      <w:divBdr>
        <w:top w:val="none" w:sz="0" w:space="0" w:color="auto"/>
        <w:left w:val="none" w:sz="0" w:space="0" w:color="auto"/>
        <w:bottom w:val="none" w:sz="0" w:space="0" w:color="auto"/>
        <w:right w:val="none" w:sz="0" w:space="0" w:color="auto"/>
      </w:divBdr>
    </w:div>
    <w:div w:id="875965079">
      <w:bodyDiv w:val="1"/>
      <w:marLeft w:val="0"/>
      <w:marRight w:val="0"/>
      <w:marTop w:val="0"/>
      <w:marBottom w:val="0"/>
      <w:divBdr>
        <w:top w:val="none" w:sz="0" w:space="0" w:color="auto"/>
        <w:left w:val="none" w:sz="0" w:space="0" w:color="auto"/>
        <w:bottom w:val="none" w:sz="0" w:space="0" w:color="auto"/>
        <w:right w:val="none" w:sz="0" w:space="0" w:color="auto"/>
      </w:divBdr>
    </w:div>
    <w:div w:id="876159703">
      <w:bodyDiv w:val="1"/>
      <w:marLeft w:val="0"/>
      <w:marRight w:val="0"/>
      <w:marTop w:val="0"/>
      <w:marBottom w:val="0"/>
      <w:divBdr>
        <w:top w:val="none" w:sz="0" w:space="0" w:color="auto"/>
        <w:left w:val="none" w:sz="0" w:space="0" w:color="auto"/>
        <w:bottom w:val="none" w:sz="0" w:space="0" w:color="auto"/>
        <w:right w:val="none" w:sz="0" w:space="0" w:color="auto"/>
      </w:divBdr>
    </w:div>
    <w:div w:id="876239279">
      <w:bodyDiv w:val="1"/>
      <w:marLeft w:val="0"/>
      <w:marRight w:val="0"/>
      <w:marTop w:val="0"/>
      <w:marBottom w:val="0"/>
      <w:divBdr>
        <w:top w:val="none" w:sz="0" w:space="0" w:color="auto"/>
        <w:left w:val="none" w:sz="0" w:space="0" w:color="auto"/>
        <w:bottom w:val="none" w:sz="0" w:space="0" w:color="auto"/>
        <w:right w:val="none" w:sz="0" w:space="0" w:color="auto"/>
      </w:divBdr>
    </w:div>
    <w:div w:id="876239635">
      <w:bodyDiv w:val="1"/>
      <w:marLeft w:val="0"/>
      <w:marRight w:val="0"/>
      <w:marTop w:val="0"/>
      <w:marBottom w:val="0"/>
      <w:divBdr>
        <w:top w:val="none" w:sz="0" w:space="0" w:color="auto"/>
        <w:left w:val="none" w:sz="0" w:space="0" w:color="auto"/>
        <w:bottom w:val="none" w:sz="0" w:space="0" w:color="auto"/>
        <w:right w:val="none" w:sz="0" w:space="0" w:color="auto"/>
      </w:divBdr>
    </w:div>
    <w:div w:id="876284403">
      <w:bodyDiv w:val="1"/>
      <w:marLeft w:val="0"/>
      <w:marRight w:val="0"/>
      <w:marTop w:val="0"/>
      <w:marBottom w:val="0"/>
      <w:divBdr>
        <w:top w:val="none" w:sz="0" w:space="0" w:color="auto"/>
        <w:left w:val="none" w:sz="0" w:space="0" w:color="auto"/>
        <w:bottom w:val="none" w:sz="0" w:space="0" w:color="auto"/>
        <w:right w:val="none" w:sz="0" w:space="0" w:color="auto"/>
      </w:divBdr>
    </w:div>
    <w:div w:id="876309263">
      <w:bodyDiv w:val="1"/>
      <w:marLeft w:val="0"/>
      <w:marRight w:val="0"/>
      <w:marTop w:val="0"/>
      <w:marBottom w:val="0"/>
      <w:divBdr>
        <w:top w:val="none" w:sz="0" w:space="0" w:color="auto"/>
        <w:left w:val="none" w:sz="0" w:space="0" w:color="auto"/>
        <w:bottom w:val="none" w:sz="0" w:space="0" w:color="auto"/>
        <w:right w:val="none" w:sz="0" w:space="0" w:color="auto"/>
      </w:divBdr>
    </w:div>
    <w:div w:id="876310635">
      <w:bodyDiv w:val="1"/>
      <w:marLeft w:val="0"/>
      <w:marRight w:val="0"/>
      <w:marTop w:val="0"/>
      <w:marBottom w:val="0"/>
      <w:divBdr>
        <w:top w:val="none" w:sz="0" w:space="0" w:color="auto"/>
        <w:left w:val="none" w:sz="0" w:space="0" w:color="auto"/>
        <w:bottom w:val="none" w:sz="0" w:space="0" w:color="auto"/>
        <w:right w:val="none" w:sz="0" w:space="0" w:color="auto"/>
      </w:divBdr>
    </w:div>
    <w:div w:id="876356423">
      <w:bodyDiv w:val="1"/>
      <w:marLeft w:val="0"/>
      <w:marRight w:val="0"/>
      <w:marTop w:val="0"/>
      <w:marBottom w:val="0"/>
      <w:divBdr>
        <w:top w:val="none" w:sz="0" w:space="0" w:color="auto"/>
        <w:left w:val="none" w:sz="0" w:space="0" w:color="auto"/>
        <w:bottom w:val="none" w:sz="0" w:space="0" w:color="auto"/>
        <w:right w:val="none" w:sz="0" w:space="0" w:color="auto"/>
      </w:divBdr>
    </w:div>
    <w:div w:id="876427392">
      <w:bodyDiv w:val="1"/>
      <w:marLeft w:val="0"/>
      <w:marRight w:val="0"/>
      <w:marTop w:val="0"/>
      <w:marBottom w:val="0"/>
      <w:divBdr>
        <w:top w:val="none" w:sz="0" w:space="0" w:color="auto"/>
        <w:left w:val="none" w:sz="0" w:space="0" w:color="auto"/>
        <w:bottom w:val="none" w:sz="0" w:space="0" w:color="auto"/>
        <w:right w:val="none" w:sz="0" w:space="0" w:color="auto"/>
      </w:divBdr>
    </w:div>
    <w:div w:id="876505990">
      <w:bodyDiv w:val="1"/>
      <w:marLeft w:val="0"/>
      <w:marRight w:val="0"/>
      <w:marTop w:val="0"/>
      <w:marBottom w:val="0"/>
      <w:divBdr>
        <w:top w:val="none" w:sz="0" w:space="0" w:color="auto"/>
        <w:left w:val="none" w:sz="0" w:space="0" w:color="auto"/>
        <w:bottom w:val="none" w:sz="0" w:space="0" w:color="auto"/>
        <w:right w:val="none" w:sz="0" w:space="0" w:color="auto"/>
      </w:divBdr>
    </w:div>
    <w:div w:id="876549088">
      <w:bodyDiv w:val="1"/>
      <w:marLeft w:val="0"/>
      <w:marRight w:val="0"/>
      <w:marTop w:val="0"/>
      <w:marBottom w:val="0"/>
      <w:divBdr>
        <w:top w:val="none" w:sz="0" w:space="0" w:color="auto"/>
        <w:left w:val="none" w:sz="0" w:space="0" w:color="auto"/>
        <w:bottom w:val="none" w:sz="0" w:space="0" w:color="auto"/>
        <w:right w:val="none" w:sz="0" w:space="0" w:color="auto"/>
      </w:divBdr>
    </w:div>
    <w:div w:id="876623000">
      <w:bodyDiv w:val="1"/>
      <w:marLeft w:val="0"/>
      <w:marRight w:val="0"/>
      <w:marTop w:val="0"/>
      <w:marBottom w:val="0"/>
      <w:divBdr>
        <w:top w:val="none" w:sz="0" w:space="0" w:color="auto"/>
        <w:left w:val="none" w:sz="0" w:space="0" w:color="auto"/>
        <w:bottom w:val="none" w:sz="0" w:space="0" w:color="auto"/>
        <w:right w:val="none" w:sz="0" w:space="0" w:color="auto"/>
      </w:divBdr>
    </w:div>
    <w:div w:id="876623425">
      <w:bodyDiv w:val="1"/>
      <w:marLeft w:val="0"/>
      <w:marRight w:val="0"/>
      <w:marTop w:val="0"/>
      <w:marBottom w:val="0"/>
      <w:divBdr>
        <w:top w:val="none" w:sz="0" w:space="0" w:color="auto"/>
        <w:left w:val="none" w:sz="0" w:space="0" w:color="auto"/>
        <w:bottom w:val="none" w:sz="0" w:space="0" w:color="auto"/>
        <w:right w:val="none" w:sz="0" w:space="0" w:color="auto"/>
      </w:divBdr>
    </w:div>
    <w:div w:id="876813559">
      <w:bodyDiv w:val="1"/>
      <w:marLeft w:val="0"/>
      <w:marRight w:val="0"/>
      <w:marTop w:val="0"/>
      <w:marBottom w:val="0"/>
      <w:divBdr>
        <w:top w:val="none" w:sz="0" w:space="0" w:color="auto"/>
        <w:left w:val="none" w:sz="0" w:space="0" w:color="auto"/>
        <w:bottom w:val="none" w:sz="0" w:space="0" w:color="auto"/>
        <w:right w:val="none" w:sz="0" w:space="0" w:color="auto"/>
      </w:divBdr>
    </w:div>
    <w:div w:id="876889530">
      <w:bodyDiv w:val="1"/>
      <w:marLeft w:val="0"/>
      <w:marRight w:val="0"/>
      <w:marTop w:val="0"/>
      <w:marBottom w:val="0"/>
      <w:divBdr>
        <w:top w:val="none" w:sz="0" w:space="0" w:color="auto"/>
        <w:left w:val="none" w:sz="0" w:space="0" w:color="auto"/>
        <w:bottom w:val="none" w:sz="0" w:space="0" w:color="auto"/>
        <w:right w:val="none" w:sz="0" w:space="0" w:color="auto"/>
      </w:divBdr>
    </w:div>
    <w:div w:id="877006360">
      <w:bodyDiv w:val="1"/>
      <w:marLeft w:val="0"/>
      <w:marRight w:val="0"/>
      <w:marTop w:val="0"/>
      <w:marBottom w:val="0"/>
      <w:divBdr>
        <w:top w:val="none" w:sz="0" w:space="0" w:color="auto"/>
        <w:left w:val="none" w:sz="0" w:space="0" w:color="auto"/>
        <w:bottom w:val="none" w:sz="0" w:space="0" w:color="auto"/>
        <w:right w:val="none" w:sz="0" w:space="0" w:color="auto"/>
      </w:divBdr>
    </w:div>
    <w:div w:id="877277677">
      <w:bodyDiv w:val="1"/>
      <w:marLeft w:val="0"/>
      <w:marRight w:val="0"/>
      <w:marTop w:val="0"/>
      <w:marBottom w:val="0"/>
      <w:divBdr>
        <w:top w:val="none" w:sz="0" w:space="0" w:color="auto"/>
        <w:left w:val="none" w:sz="0" w:space="0" w:color="auto"/>
        <w:bottom w:val="none" w:sz="0" w:space="0" w:color="auto"/>
        <w:right w:val="none" w:sz="0" w:space="0" w:color="auto"/>
      </w:divBdr>
    </w:div>
    <w:div w:id="877427771">
      <w:bodyDiv w:val="1"/>
      <w:marLeft w:val="0"/>
      <w:marRight w:val="0"/>
      <w:marTop w:val="0"/>
      <w:marBottom w:val="0"/>
      <w:divBdr>
        <w:top w:val="none" w:sz="0" w:space="0" w:color="auto"/>
        <w:left w:val="none" w:sz="0" w:space="0" w:color="auto"/>
        <w:bottom w:val="none" w:sz="0" w:space="0" w:color="auto"/>
        <w:right w:val="none" w:sz="0" w:space="0" w:color="auto"/>
      </w:divBdr>
    </w:div>
    <w:div w:id="877552452">
      <w:bodyDiv w:val="1"/>
      <w:marLeft w:val="0"/>
      <w:marRight w:val="0"/>
      <w:marTop w:val="0"/>
      <w:marBottom w:val="0"/>
      <w:divBdr>
        <w:top w:val="none" w:sz="0" w:space="0" w:color="auto"/>
        <w:left w:val="none" w:sz="0" w:space="0" w:color="auto"/>
        <w:bottom w:val="none" w:sz="0" w:space="0" w:color="auto"/>
        <w:right w:val="none" w:sz="0" w:space="0" w:color="auto"/>
      </w:divBdr>
    </w:div>
    <w:div w:id="877594235">
      <w:bodyDiv w:val="1"/>
      <w:marLeft w:val="0"/>
      <w:marRight w:val="0"/>
      <w:marTop w:val="0"/>
      <w:marBottom w:val="0"/>
      <w:divBdr>
        <w:top w:val="none" w:sz="0" w:space="0" w:color="auto"/>
        <w:left w:val="none" w:sz="0" w:space="0" w:color="auto"/>
        <w:bottom w:val="none" w:sz="0" w:space="0" w:color="auto"/>
        <w:right w:val="none" w:sz="0" w:space="0" w:color="auto"/>
      </w:divBdr>
    </w:div>
    <w:div w:id="877666393">
      <w:bodyDiv w:val="1"/>
      <w:marLeft w:val="0"/>
      <w:marRight w:val="0"/>
      <w:marTop w:val="0"/>
      <w:marBottom w:val="0"/>
      <w:divBdr>
        <w:top w:val="none" w:sz="0" w:space="0" w:color="auto"/>
        <w:left w:val="none" w:sz="0" w:space="0" w:color="auto"/>
        <w:bottom w:val="none" w:sz="0" w:space="0" w:color="auto"/>
        <w:right w:val="none" w:sz="0" w:space="0" w:color="auto"/>
      </w:divBdr>
    </w:div>
    <w:div w:id="877738127">
      <w:bodyDiv w:val="1"/>
      <w:marLeft w:val="0"/>
      <w:marRight w:val="0"/>
      <w:marTop w:val="0"/>
      <w:marBottom w:val="0"/>
      <w:divBdr>
        <w:top w:val="none" w:sz="0" w:space="0" w:color="auto"/>
        <w:left w:val="none" w:sz="0" w:space="0" w:color="auto"/>
        <w:bottom w:val="none" w:sz="0" w:space="0" w:color="auto"/>
        <w:right w:val="none" w:sz="0" w:space="0" w:color="auto"/>
      </w:divBdr>
    </w:div>
    <w:div w:id="878051346">
      <w:bodyDiv w:val="1"/>
      <w:marLeft w:val="0"/>
      <w:marRight w:val="0"/>
      <w:marTop w:val="0"/>
      <w:marBottom w:val="0"/>
      <w:divBdr>
        <w:top w:val="none" w:sz="0" w:space="0" w:color="auto"/>
        <w:left w:val="none" w:sz="0" w:space="0" w:color="auto"/>
        <w:bottom w:val="none" w:sz="0" w:space="0" w:color="auto"/>
        <w:right w:val="none" w:sz="0" w:space="0" w:color="auto"/>
      </w:divBdr>
    </w:div>
    <w:div w:id="878054040">
      <w:bodyDiv w:val="1"/>
      <w:marLeft w:val="0"/>
      <w:marRight w:val="0"/>
      <w:marTop w:val="0"/>
      <w:marBottom w:val="0"/>
      <w:divBdr>
        <w:top w:val="none" w:sz="0" w:space="0" w:color="auto"/>
        <w:left w:val="none" w:sz="0" w:space="0" w:color="auto"/>
        <w:bottom w:val="none" w:sz="0" w:space="0" w:color="auto"/>
        <w:right w:val="none" w:sz="0" w:space="0" w:color="auto"/>
      </w:divBdr>
    </w:div>
    <w:div w:id="878056490">
      <w:bodyDiv w:val="1"/>
      <w:marLeft w:val="0"/>
      <w:marRight w:val="0"/>
      <w:marTop w:val="0"/>
      <w:marBottom w:val="0"/>
      <w:divBdr>
        <w:top w:val="none" w:sz="0" w:space="0" w:color="auto"/>
        <w:left w:val="none" w:sz="0" w:space="0" w:color="auto"/>
        <w:bottom w:val="none" w:sz="0" w:space="0" w:color="auto"/>
        <w:right w:val="none" w:sz="0" w:space="0" w:color="auto"/>
      </w:divBdr>
    </w:div>
    <w:div w:id="878056628">
      <w:bodyDiv w:val="1"/>
      <w:marLeft w:val="0"/>
      <w:marRight w:val="0"/>
      <w:marTop w:val="0"/>
      <w:marBottom w:val="0"/>
      <w:divBdr>
        <w:top w:val="none" w:sz="0" w:space="0" w:color="auto"/>
        <w:left w:val="none" w:sz="0" w:space="0" w:color="auto"/>
        <w:bottom w:val="none" w:sz="0" w:space="0" w:color="auto"/>
        <w:right w:val="none" w:sz="0" w:space="0" w:color="auto"/>
      </w:divBdr>
    </w:div>
    <w:div w:id="878126771">
      <w:bodyDiv w:val="1"/>
      <w:marLeft w:val="0"/>
      <w:marRight w:val="0"/>
      <w:marTop w:val="0"/>
      <w:marBottom w:val="0"/>
      <w:divBdr>
        <w:top w:val="none" w:sz="0" w:space="0" w:color="auto"/>
        <w:left w:val="none" w:sz="0" w:space="0" w:color="auto"/>
        <w:bottom w:val="none" w:sz="0" w:space="0" w:color="auto"/>
        <w:right w:val="none" w:sz="0" w:space="0" w:color="auto"/>
      </w:divBdr>
    </w:div>
    <w:div w:id="878274104">
      <w:bodyDiv w:val="1"/>
      <w:marLeft w:val="0"/>
      <w:marRight w:val="0"/>
      <w:marTop w:val="0"/>
      <w:marBottom w:val="0"/>
      <w:divBdr>
        <w:top w:val="none" w:sz="0" w:space="0" w:color="auto"/>
        <w:left w:val="none" w:sz="0" w:space="0" w:color="auto"/>
        <w:bottom w:val="none" w:sz="0" w:space="0" w:color="auto"/>
        <w:right w:val="none" w:sz="0" w:space="0" w:color="auto"/>
      </w:divBdr>
    </w:div>
    <w:div w:id="878274842">
      <w:bodyDiv w:val="1"/>
      <w:marLeft w:val="0"/>
      <w:marRight w:val="0"/>
      <w:marTop w:val="0"/>
      <w:marBottom w:val="0"/>
      <w:divBdr>
        <w:top w:val="none" w:sz="0" w:space="0" w:color="auto"/>
        <w:left w:val="none" w:sz="0" w:space="0" w:color="auto"/>
        <w:bottom w:val="none" w:sz="0" w:space="0" w:color="auto"/>
        <w:right w:val="none" w:sz="0" w:space="0" w:color="auto"/>
      </w:divBdr>
    </w:div>
    <w:div w:id="878396007">
      <w:bodyDiv w:val="1"/>
      <w:marLeft w:val="0"/>
      <w:marRight w:val="0"/>
      <w:marTop w:val="0"/>
      <w:marBottom w:val="0"/>
      <w:divBdr>
        <w:top w:val="none" w:sz="0" w:space="0" w:color="auto"/>
        <w:left w:val="none" w:sz="0" w:space="0" w:color="auto"/>
        <w:bottom w:val="none" w:sz="0" w:space="0" w:color="auto"/>
        <w:right w:val="none" w:sz="0" w:space="0" w:color="auto"/>
      </w:divBdr>
    </w:div>
    <w:div w:id="878468415">
      <w:bodyDiv w:val="1"/>
      <w:marLeft w:val="0"/>
      <w:marRight w:val="0"/>
      <w:marTop w:val="0"/>
      <w:marBottom w:val="0"/>
      <w:divBdr>
        <w:top w:val="none" w:sz="0" w:space="0" w:color="auto"/>
        <w:left w:val="none" w:sz="0" w:space="0" w:color="auto"/>
        <w:bottom w:val="none" w:sz="0" w:space="0" w:color="auto"/>
        <w:right w:val="none" w:sz="0" w:space="0" w:color="auto"/>
      </w:divBdr>
    </w:div>
    <w:div w:id="878665443">
      <w:bodyDiv w:val="1"/>
      <w:marLeft w:val="0"/>
      <w:marRight w:val="0"/>
      <w:marTop w:val="0"/>
      <w:marBottom w:val="0"/>
      <w:divBdr>
        <w:top w:val="none" w:sz="0" w:space="0" w:color="auto"/>
        <w:left w:val="none" w:sz="0" w:space="0" w:color="auto"/>
        <w:bottom w:val="none" w:sz="0" w:space="0" w:color="auto"/>
        <w:right w:val="none" w:sz="0" w:space="0" w:color="auto"/>
      </w:divBdr>
    </w:div>
    <w:div w:id="879052217">
      <w:bodyDiv w:val="1"/>
      <w:marLeft w:val="0"/>
      <w:marRight w:val="0"/>
      <w:marTop w:val="0"/>
      <w:marBottom w:val="0"/>
      <w:divBdr>
        <w:top w:val="none" w:sz="0" w:space="0" w:color="auto"/>
        <w:left w:val="none" w:sz="0" w:space="0" w:color="auto"/>
        <w:bottom w:val="none" w:sz="0" w:space="0" w:color="auto"/>
        <w:right w:val="none" w:sz="0" w:space="0" w:color="auto"/>
      </w:divBdr>
    </w:div>
    <w:div w:id="879123601">
      <w:bodyDiv w:val="1"/>
      <w:marLeft w:val="0"/>
      <w:marRight w:val="0"/>
      <w:marTop w:val="0"/>
      <w:marBottom w:val="0"/>
      <w:divBdr>
        <w:top w:val="none" w:sz="0" w:space="0" w:color="auto"/>
        <w:left w:val="none" w:sz="0" w:space="0" w:color="auto"/>
        <w:bottom w:val="none" w:sz="0" w:space="0" w:color="auto"/>
        <w:right w:val="none" w:sz="0" w:space="0" w:color="auto"/>
      </w:divBdr>
    </w:div>
    <w:div w:id="879130162">
      <w:bodyDiv w:val="1"/>
      <w:marLeft w:val="0"/>
      <w:marRight w:val="0"/>
      <w:marTop w:val="0"/>
      <w:marBottom w:val="0"/>
      <w:divBdr>
        <w:top w:val="none" w:sz="0" w:space="0" w:color="auto"/>
        <w:left w:val="none" w:sz="0" w:space="0" w:color="auto"/>
        <w:bottom w:val="none" w:sz="0" w:space="0" w:color="auto"/>
        <w:right w:val="none" w:sz="0" w:space="0" w:color="auto"/>
      </w:divBdr>
    </w:div>
    <w:div w:id="879132130">
      <w:bodyDiv w:val="1"/>
      <w:marLeft w:val="0"/>
      <w:marRight w:val="0"/>
      <w:marTop w:val="0"/>
      <w:marBottom w:val="0"/>
      <w:divBdr>
        <w:top w:val="none" w:sz="0" w:space="0" w:color="auto"/>
        <w:left w:val="none" w:sz="0" w:space="0" w:color="auto"/>
        <w:bottom w:val="none" w:sz="0" w:space="0" w:color="auto"/>
        <w:right w:val="none" w:sz="0" w:space="0" w:color="auto"/>
      </w:divBdr>
    </w:div>
    <w:div w:id="879245025">
      <w:bodyDiv w:val="1"/>
      <w:marLeft w:val="0"/>
      <w:marRight w:val="0"/>
      <w:marTop w:val="0"/>
      <w:marBottom w:val="0"/>
      <w:divBdr>
        <w:top w:val="none" w:sz="0" w:space="0" w:color="auto"/>
        <w:left w:val="none" w:sz="0" w:space="0" w:color="auto"/>
        <w:bottom w:val="none" w:sz="0" w:space="0" w:color="auto"/>
        <w:right w:val="none" w:sz="0" w:space="0" w:color="auto"/>
      </w:divBdr>
    </w:div>
    <w:div w:id="879365970">
      <w:bodyDiv w:val="1"/>
      <w:marLeft w:val="0"/>
      <w:marRight w:val="0"/>
      <w:marTop w:val="0"/>
      <w:marBottom w:val="0"/>
      <w:divBdr>
        <w:top w:val="none" w:sz="0" w:space="0" w:color="auto"/>
        <w:left w:val="none" w:sz="0" w:space="0" w:color="auto"/>
        <w:bottom w:val="none" w:sz="0" w:space="0" w:color="auto"/>
        <w:right w:val="none" w:sz="0" w:space="0" w:color="auto"/>
      </w:divBdr>
    </w:div>
    <w:div w:id="879558703">
      <w:bodyDiv w:val="1"/>
      <w:marLeft w:val="0"/>
      <w:marRight w:val="0"/>
      <w:marTop w:val="0"/>
      <w:marBottom w:val="0"/>
      <w:divBdr>
        <w:top w:val="none" w:sz="0" w:space="0" w:color="auto"/>
        <w:left w:val="none" w:sz="0" w:space="0" w:color="auto"/>
        <w:bottom w:val="none" w:sz="0" w:space="0" w:color="auto"/>
        <w:right w:val="none" w:sz="0" w:space="0" w:color="auto"/>
      </w:divBdr>
    </w:div>
    <w:div w:id="879635181">
      <w:bodyDiv w:val="1"/>
      <w:marLeft w:val="0"/>
      <w:marRight w:val="0"/>
      <w:marTop w:val="0"/>
      <w:marBottom w:val="0"/>
      <w:divBdr>
        <w:top w:val="none" w:sz="0" w:space="0" w:color="auto"/>
        <w:left w:val="none" w:sz="0" w:space="0" w:color="auto"/>
        <w:bottom w:val="none" w:sz="0" w:space="0" w:color="auto"/>
        <w:right w:val="none" w:sz="0" w:space="0" w:color="auto"/>
      </w:divBdr>
    </w:div>
    <w:div w:id="879707505">
      <w:bodyDiv w:val="1"/>
      <w:marLeft w:val="0"/>
      <w:marRight w:val="0"/>
      <w:marTop w:val="0"/>
      <w:marBottom w:val="0"/>
      <w:divBdr>
        <w:top w:val="none" w:sz="0" w:space="0" w:color="auto"/>
        <w:left w:val="none" w:sz="0" w:space="0" w:color="auto"/>
        <w:bottom w:val="none" w:sz="0" w:space="0" w:color="auto"/>
        <w:right w:val="none" w:sz="0" w:space="0" w:color="auto"/>
      </w:divBdr>
    </w:div>
    <w:div w:id="879823484">
      <w:bodyDiv w:val="1"/>
      <w:marLeft w:val="0"/>
      <w:marRight w:val="0"/>
      <w:marTop w:val="0"/>
      <w:marBottom w:val="0"/>
      <w:divBdr>
        <w:top w:val="none" w:sz="0" w:space="0" w:color="auto"/>
        <w:left w:val="none" w:sz="0" w:space="0" w:color="auto"/>
        <w:bottom w:val="none" w:sz="0" w:space="0" w:color="auto"/>
        <w:right w:val="none" w:sz="0" w:space="0" w:color="auto"/>
      </w:divBdr>
    </w:div>
    <w:div w:id="879824121">
      <w:bodyDiv w:val="1"/>
      <w:marLeft w:val="0"/>
      <w:marRight w:val="0"/>
      <w:marTop w:val="0"/>
      <w:marBottom w:val="0"/>
      <w:divBdr>
        <w:top w:val="none" w:sz="0" w:space="0" w:color="auto"/>
        <w:left w:val="none" w:sz="0" w:space="0" w:color="auto"/>
        <w:bottom w:val="none" w:sz="0" w:space="0" w:color="auto"/>
        <w:right w:val="none" w:sz="0" w:space="0" w:color="auto"/>
      </w:divBdr>
    </w:div>
    <w:div w:id="879897261">
      <w:bodyDiv w:val="1"/>
      <w:marLeft w:val="0"/>
      <w:marRight w:val="0"/>
      <w:marTop w:val="0"/>
      <w:marBottom w:val="0"/>
      <w:divBdr>
        <w:top w:val="none" w:sz="0" w:space="0" w:color="auto"/>
        <w:left w:val="none" w:sz="0" w:space="0" w:color="auto"/>
        <w:bottom w:val="none" w:sz="0" w:space="0" w:color="auto"/>
        <w:right w:val="none" w:sz="0" w:space="0" w:color="auto"/>
      </w:divBdr>
    </w:div>
    <w:div w:id="880164560">
      <w:bodyDiv w:val="1"/>
      <w:marLeft w:val="0"/>
      <w:marRight w:val="0"/>
      <w:marTop w:val="0"/>
      <w:marBottom w:val="0"/>
      <w:divBdr>
        <w:top w:val="none" w:sz="0" w:space="0" w:color="auto"/>
        <w:left w:val="none" w:sz="0" w:space="0" w:color="auto"/>
        <w:bottom w:val="none" w:sz="0" w:space="0" w:color="auto"/>
        <w:right w:val="none" w:sz="0" w:space="0" w:color="auto"/>
      </w:divBdr>
    </w:div>
    <w:div w:id="880169863">
      <w:bodyDiv w:val="1"/>
      <w:marLeft w:val="0"/>
      <w:marRight w:val="0"/>
      <w:marTop w:val="0"/>
      <w:marBottom w:val="0"/>
      <w:divBdr>
        <w:top w:val="none" w:sz="0" w:space="0" w:color="auto"/>
        <w:left w:val="none" w:sz="0" w:space="0" w:color="auto"/>
        <w:bottom w:val="none" w:sz="0" w:space="0" w:color="auto"/>
        <w:right w:val="none" w:sz="0" w:space="0" w:color="auto"/>
      </w:divBdr>
    </w:div>
    <w:div w:id="880284619">
      <w:bodyDiv w:val="1"/>
      <w:marLeft w:val="0"/>
      <w:marRight w:val="0"/>
      <w:marTop w:val="0"/>
      <w:marBottom w:val="0"/>
      <w:divBdr>
        <w:top w:val="none" w:sz="0" w:space="0" w:color="auto"/>
        <w:left w:val="none" w:sz="0" w:space="0" w:color="auto"/>
        <w:bottom w:val="none" w:sz="0" w:space="0" w:color="auto"/>
        <w:right w:val="none" w:sz="0" w:space="0" w:color="auto"/>
      </w:divBdr>
    </w:div>
    <w:div w:id="880364600">
      <w:bodyDiv w:val="1"/>
      <w:marLeft w:val="0"/>
      <w:marRight w:val="0"/>
      <w:marTop w:val="0"/>
      <w:marBottom w:val="0"/>
      <w:divBdr>
        <w:top w:val="none" w:sz="0" w:space="0" w:color="auto"/>
        <w:left w:val="none" w:sz="0" w:space="0" w:color="auto"/>
        <w:bottom w:val="none" w:sz="0" w:space="0" w:color="auto"/>
        <w:right w:val="none" w:sz="0" w:space="0" w:color="auto"/>
      </w:divBdr>
    </w:div>
    <w:div w:id="880479258">
      <w:bodyDiv w:val="1"/>
      <w:marLeft w:val="0"/>
      <w:marRight w:val="0"/>
      <w:marTop w:val="0"/>
      <w:marBottom w:val="0"/>
      <w:divBdr>
        <w:top w:val="none" w:sz="0" w:space="0" w:color="auto"/>
        <w:left w:val="none" w:sz="0" w:space="0" w:color="auto"/>
        <w:bottom w:val="none" w:sz="0" w:space="0" w:color="auto"/>
        <w:right w:val="none" w:sz="0" w:space="0" w:color="auto"/>
      </w:divBdr>
    </w:div>
    <w:div w:id="880678286">
      <w:bodyDiv w:val="1"/>
      <w:marLeft w:val="0"/>
      <w:marRight w:val="0"/>
      <w:marTop w:val="0"/>
      <w:marBottom w:val="0"/>
      <w:divBdr>
        <w:top w:val="none" w:sz="0" w:space="0" w:color="auto"/>
        <w:left w:val="none" w:sz="0" w:space="0" w:color="auto"/>
        <w:bottom w:val="none" w:sz="0" w:space="0" w:color="auto"/>
        <w:right w:val="none" w:sz="0" w:space="0" w:color="auto"/>
      </w:divBdr>
    </w:div>
    <w:div w:id="880746223">
      <w:bodyDiv w:val="1"/>
      <w:marLeft w:val="0"/>
      <w:marRight w:val="0"/>
      <w:marTop w:val="0"/>
      <w:marBottom w:val="0"/>
      <w:divBdr>
        <w:top w:val="none" w:sz="0" w:space="0" w:color="auto"/>
        <w:left w:val="none" w:sz="0" w:space="0" w:color="auto"/>
        <w:bottom w:val="none" w:sz="0" w:space="0" w:color="auto"/>
        <w:right w:val="none" w:sz="0" w:space="0" w:color="auto"/>
      </w:divBdr>
    </w:div>
    <w:div w:id="880753112">
      <w:bodyDiv w:val="1"/>
      <w:marLeft w:val="0"/>
      <w:marRight w:val="0"/>
      <w:marTop w:val="0"/>
      <w:marBottom w:val="0"/>
      <w:divBdr>
        <w:top w:val="none" w:sz="0" w:space="0" w:color="auto"/>
        <w:left w:val="none" w:sz="0" w:space="0" w:color="auto"/>
        <w:bottom w:val="none" w:sz="0" w:space="0" w:color="auto"/>
        <w:right w:val="none" w:sz="0" w:space="0" w:color="auto"/>
      </w:divBdr>
    </w:div>
    <w:div w:id="880820036">
      <w:bodyDiv w:val="1"/>
      <w:marLeft w:val="0"/>
      <w:marRight w:val="0"/>
      <w:marTop w:val="0"/>
      <w:marBottom w:val="0"/>
      <w:divBdr>
        <w:top w:val="none" w:sz="0" w:space="0" w:color="auto"/>
        <w:left w:val="none" w:sz="0" w:space="0" w:color="auto"/>
        <w:bottom w:val="none" w:sz="0" w:space="0" w:color="auto"/>
        <w:right w:val="none" w:sz="0" w:space="0" w:color="auto"/>
      </w:divBdr>
    </w:div>
    <w:div w:id="881013059">
      <w:bodyDiv w:val="1"/>
      <w:marLeft w:val="0"/>
      <w:marRight w:val="0"/>
      <w:marTop w:val="0"/>
      <w:marBottom w:val="0"/>
      <w:divBdr>
        <w:top w:val="none" w:sz="0" w:space="0" w:color="auto"/>
        <w:left w:val="none" w:sz="0" w:space="0" w:color="auto"/>
        <w:bottom w:val="none" w:sz="0" w:space="0" w:color="auto"/>
        <w:right w:val="none" w:sz="0" w:space="0" w:color="auto"/>
      </w:divBdr>
    </w:div>
    <w:div w:id="881139191">
      <w:bodyDiv w:val="1"/>
      <w:marLeft w:val="0"/>
      <w:marRight w:val="0"/>
      <w:marTop w:val="0"/>
      <w:marBottom w:val="0"/>
      <w:divBdr>
        <w:top w:val="none" w:sz="0" w:space="0" w:color="auto"/>
        <w:left w:val="none" w:sz="0" w:space="0" w:color="auto"/>
        <w:bottom w:val="none" w:sz="0" w:space="0" w:color="auto"/>
        <w:right w:val="none" w:sz="0" w:space="0" w:color="auto"/>
      </w:divBdr>
    </w:div>
    <w:div w:id="881330922">
      <w:bodyDiv w:val="1"/>
      <w:marLeft w:val="0"/>
      <w:marRight w:val="0"/>
      <w:marTop w:val="0"/>
      <w:marBottom w:val="0"/>
      <w:divBdr>
        <w:top w:val="none" w:sz="0" w:space="0" w:color="auto"/>
        <w:left w:val="none" w:sz="0" w:space="0" w:color="auto"/>
        <w:bottom w:val="none" w:sz="0" w:space="0" w:color="auto"/>
        <w:right w:val="none" w:sz="0" w:space="0" w:color="auto"/>
      </w:divBdr>
    </w:div>
    <w:div w:id="881406916">
      <w:bodyDiv w:val="1"/>
      <w:marLeft w:val="0"/>
      <w:marRight w:val="0"/>
      <w:marTop w:val="0"/>
      <w:marBottom w:val="0"/>
      <w:divBdr>
        <w:top w:val="none" w:sz="0" w:space="0" w:color="auto"/>
        <w:left w:val="none" w:sz="0" w:space="0" w:color="auto"/>
        <w:bottom w:val="none" w:sz="0" w:space="0" w:color="auto"/>
        <w:right w:val="none" w:sz="0" w:space="0" w:color="auto"/>
      </w:divBdr>
    </w:div>
    <w:div w:id="881479920">
      <w:bodyDiv w:val="1"/>
      <w:marLeft w:val="0"/>
      <w:marRight w:val="0"/>
      <w:marTop w:val="0"/>
      <w:marBottom w:val="0"/>
      <w:divBdr>
        <w:top w:val="none" w:sz="0" w:space="0" w:color="auto"/>
        <w:left w:val="none" w:sz="0" w:space="0" w:color="auto"/>
        <w:bottom w:val="none" w:sz="0" w:space="0" w:color="auto"/>
        <w:right w:val="none" w:sz="0" w:space="0" w:color="auto"/>
      </w:divBdr>
    </w:div>
    <w:div w:id="881551023">
      <w:bodyDiv w:val="1"/>
      <w:marLeft w:val="0"/>
      <w:marRight w:val="0"/>
      <w:marTop w:val="0"/>
      <w:marBottom w:val="0"/>
      <w:divBdr>
        <w:top w:val="none" w:sz="0" w:space="0" w:color="auto"/>
        <w:left w:val="none" w:sz="0" w:space="0" w:color="auto"/>
        <w:bottom w:val="none" w:sz="0" w:space="0" w:color="auto"/>
        <w:right w:val="none" w:sz="0" w:space="0" w:color="auto"/>
      </w:divBdr>
    </w:div>
    <w:div w:id="881791772">
      <w:bodyDiv w:val="1"/>
      <w:marLeft w:val="0"/>
      <w:marRight w:val="0"/>
      <w:marTop w:val="0"/>
      <w:marBottom w:val="0"/>
      <w:divBdr>
        <w:top w:val="none" w:sz="0" w:space="0" w:color="auto"/>
        <w:left w:val="none" w:sz="0" w:space="0" w:color="auto"/>
        <w:bottom w:val="none" w:sz="0" w:space="0" w:color="auto"/>
        <w:right w:val="none" w:sz="0" w:space="0" w:color="auto"/>
      </w:divBdr>
    </w:div>
    <w:div w:id="881793059">
      <w:bodyDiv w:val="1"/>
      <w:marLeft w:val="0"/>
      <w:marRight w:val="0"/>
      <w:marTop w:val="0"/>
      <w:marBottom w:val="0"/>
      <w:divBdr>
        <w:top w:val="none" w:sz="0" w:space="0" w:color="auto"/>
        <w:left w:val="none" w:sz="0" w:space="0" w:color="auto"/>
        <w:bottom w:val="none" w:sz="0" w:space="0" w:color="auto"/>
        <w:right w:val="none" w:sz="0" w:space="0" w:color="auto"/>
      </w:divBdr>
    </w:div>
    <w:div w:id="881793721">
      <w:bodyDiv w:val="1"/>
      <w:marLeft w:val="0"/>
      <w:marRight w:val="0"/>
      <w:marTop w:val="0"/>
      <w:marBottom w:val="0"/>
      <w:divBdr>
        <w:top w:val="none" w:sz="0" w:space="0" w:color="auto"/>
        <w:left w:val="none" w:sz="0" w:space="0" w:color="auto"/>
        <w:bottom w:val="none" w:sz="0" w:space="0" w:color="auto"/>
        <w:right w:val="none" w:sz="0" w:space="0" w:color="auto"/>
      </w:divBdr>
    </w:div>
    <w:div w:id="881819074">
      <w:bodyDiv w:val="1"/>
      <w:marLeft w:val="0"/>
      <w:marRight w:val="0"/>
      <w:marTop w:val="0"/>
      <w:marBottom w:val="0"/>
      <w:divBdr>
        <w:top w:val="none" w:sz="0" w:space="0" w:color="auto"/>
        <w:left w:val="none" w:sz="0" w:space="0" w:color="auto"/>
        <w:bottom w:val="none" w:sz="0" w:space="0" w:color="auto"/>
        <w:right w:val="none" w:sz="0" w:space="0" w:color="auto"/>
      </w:divBdr>
    </w:div>
    <w:div w:id="881819205">
      <w:bodyDiv w:val="1"/>
      <w:marLeft w:val="0"/>
      <w:marRight w:val="0"/>
      <w:marTop w:val="0"/>
      <w:marBottom w:val="0"/>
      <w:divBdr>
        <w:top w:val="none" w:sz="0" w:space="0" w:color="auto"/>
        <w:left w:val="none" w:sz="0" w:space="0" w:color="auto"/>
        <w:bottom w:val="none" w:sz="0" w:space="0" w:color="auto"/>
        <w:right w:val="none" w:sz="0" w:space="0" w:color="auto"/>
      </w:divBdr>
    </w:div>
    <w:div w:id="882057995">
      <w:bodyDiv w:val="1"/>
      <w:marLeft w:val="0"/>
      <w:marRight w:val="0"/>
      <w:marTop w:val="0"/>
      <w:marBottom w:val="0"/>
      <w:divBdr>
        <w:top w:val="none" w:sz="0" w:space="0" w:color="auto"/>
        <w:left w:val="none" w:sz="0" w:space="0" w:color="auto"/>
        <w:bottom w:val="none" w:sz="0" w:space="0" w:color="auto"/>
        <w:right w:val="none" w:sz="0" w:space="0" w:color="auto"/>
      </w:divBdr>
    </w:div>
    <w:div w:id="882058669">
      <w:bodyDiv w:val="1"/>
      <w:marLeft w:val="0"/>
      <w:marRight w:val="0"/>
      <w:marTop w:val="0"/>
      <w:marBottom w:val="0"/>
      <w:divBdr>
        <w:top w:val="none" w:sz="0" w:space="0" w:color="auto"/>
        <w:left w:val="none" w:sz="0" w:space="0" w:color="auto"/>
        <w:bottom w:val="none" w:sz="0" w:space="0" w:color="auto"/>
        <w:right w:val="none" w:sz="0" w:space="0" w:color="auto"/>
      </w:divBdr>
    </w:div>
    <w:div w:id="882132660">
      <w:bodyDiv w:val="1"/>
      <w:marLeft w:val="0"/>
      <w:marRight w:val="0"/>
      <w:marTop w:val="0"/>
      <w:marBottom w:val="0"/>
      <w:divBdr>
        <w:top w:val="none" w:sz="0" w:space="0" w:color="auto"/>
        <w:left w:val="none" w:sz="0" w:space="0" w:color="auto"/>
        <w:bottom w:val="none" w:sz="0" w:space="0" w:color="auto"/>
        <w:right w:val="none" w:sz="0" w:space="0" w:color="auto"/>
      </w:divBdr>
    </w:div>
    <w:div w:id="882133655">
      <w:bodyDiv w:val="1"/>
      <w:marLeft w:val="0"/>
      <w:marRight w:val="0"/>
      <w:marTop w:val="0"/>
      <w:marBottom w:val="0"/>
      <w:divBdr>
        <w:top w:val="none" w:sz="0" w:space="0" w:color="auto"/>
        <w:left w:val="none" w:sz="0" w:space="0" w:color="auto"/>
        <w:bottom w:val="none" w:sz="0" w:space="0" w:color="auto"/>
        <w:right w:val="none" w:sz="0" w:space="0" w:color="auto"/>
      </w:divBdr>
    </w:div>
    <w:div w:id="882134482">
      <w:bodyDiv w:val="1"/>
      <w:marLeft w:val="0"/>
      <w:marRight w:val="0"/>
      <w:marTop w:val="0"/>
      <w:marBottom w:val="0"/>
      <w:divBdr>
        <w:top w:val="none" w:sz="0" w:space="0" w:color="auto"/>
        <w:left w:val="none" w:sz="0" w:space="0" w:color="auto"/>
        <w:bottom w:val="none" w:sz="0" w:space="0" w:color="auto"/>
        <w:right w:val="none" w:sz="0" w:space="0" w:color="auto"/>
      </w:divBdr>
    </w:div>
    <w:div w:id="882206563">
      <w:bodyDiv w:val="1"/>
      <w:marLeft w:val="0"/>
      <w:marRight w:val="0"/>
      <w:marTop w:val="0"/>
      <w:marBottom w:val="0"/>
      <w:divBdr>
        <w:top w:val="none" w:sz="0" w:space="0" w:color="auto"/>
        <w:left w:val="none" w:sz="0" w:space="0" w:color="auto"/>
        <w:bottom w:val="none" w:sz="0" w:space="0" w:color="auto"/>
        <w:right w:val="none" w:sz="0" w:space="0" w:color="auto"/>
      </w:divBdr>
    </w:div>
    <w:div w:id="882210471">
      <w:bodyDiv w:val="1"/>
      <w:marLeft w:val="0"/>
      <w:marRight w:val="0"/>
      <w:marTop w:val="0"/>
      <w:marBottom w:val="0"/>
      <w:divBdr>
        <w:top w:val="none" w:sz="0" w:space="0" w:color="auto"/>
        <w:left w:val="none" w:sz="0" w:space="0" w:color="auto"/>
        <w:bottom w:val="none" w:sz="0" w:space="0" w:color="auto"/>
        <w:right w:val="none" w:sz="0" w:space="0" w:color="auto"/>
      </w:divBdr>
    </w:div>
    <w:div w:id="882250084">
      <w:bodyDiv w:val="1"/>
      <w:marLeft w:val="0"/>
      <w:marRight w:val="0"/>
      <w:marTop w:val="0"/>
      <w:marBottom w:val="0"/>
      <w:divBdr>
        <w:top w:val="none" w:sz="0" w:space="0" w:color="auto"/>
        <w:left w:val="none" w:sz="0" w:space="0" w:color="auto"/>
        <w:bottom w:val="none" w:sz="0" w:space="0" w:color="auto"/>
        <w:right w:val="none" w:sz="0" w:space="0" w:color="auto"/>
      </w:divBdr>
    </w:div>
    <w:div w:id="882326894">
      <w:bodyDiv w:val="1"/>
      <w:marLeft w:val="0"/>
      <w:marRight w:val="0"/>
      <w:marTop w:val="0"/>
      <w:marBottom w:val="0"/>
      <w:divBdr>
        <w:top w:val="none" w:sz="0" w:space="0" w:color="auto"/>
        <w:left w:val="none" w:sz="0" w:space="0" w:color="auto"/>
        <w:bottom w:val="none" w:sz="0" w:space="0" w:color="auto"/>
        <w:right w:val="none" w:sz="0" w:space="0" w:color="auto"/>
      </w:divBdr>
    </w:div>
    <w:div w:id="882405019">
      <w:bodyDiv w:val="1"/>
      <w:marLeft w:val="0"/>
      <w:marRight w:val="0"/>
      <w:marTop w:val="0"/>
      <w:marBottom w:val="0"/>
      <w:divBdr>
        <w:top w:val="none" w:sz="0" w:space="0" w:color="auto"/>
        <w:left w:val="none" w:sz="0" w:space="0" w:color="auto"/>
        <w:bottom w:val="none" w:sz="0" w:space="0" w:color="auto"/>
        <w:right w:val="none" w:sz="0" w:space="0" w:color="auto"/>
      </w:divBdr>
    </w:div>
    <w:div w:id="882522560">
      <w:bodyDiv w:val="1"/>
      <w:marLeft w:val="0"/>
      <w:marRight w:val="0"/>
      <w:marTop w:val="0"/>
      <w:marBottom w:val="0"/>
      <w:divBdr>
        <w:top w:val="none" w:sz="0" w:space="0" w:color="auto"/>
        <w:left w:val="none" w:sz="0" w:space="0" w:color="auto"/>
        <w:bottom w:val="none" w:sz="0" w:space="0" w:color="auto"/>
        <w:right w:val="none" w:sz="0" w:space="0" w:color="auto"/>
      </w:divBdr>
    </w:div>
    <w:div w:id="882712831">
      <w:bodyDiv w:val="1"/>
      <w:marLeft w:val="0"/>
      <w:marRight w:val="0"/>
      <w:marTop w:val="0"/>
      <w:marBottom w:val="0"/>
      <w:divBdr>
        <w:top w:val="none" w:sz="0" w:space="0" w:color="auto"/>
        <w:left w:val="none" w:sz="0" w:space="0" w:color="auto"/>
        <w:bottom w:val="none" w:sz="0" w:space="0" w:color="auto"/>
        <w:right w:val="none" w:sz="0" w:space="0" w:color="auto"/>
      </w:divBdr>
    </w:div>
    <w:div w:id="882907550">
      <w:bodyDiv w:val="1"/>
      <w:marLeft w:val="0"/>
      <w:marRight w:val="0"/>
      <w:marTop w:val="0"/>
      <w:marBottom w:val="0"/>
      <w:divBdr>
        <w:top w:val="none" w:sz="0" w:space="0" w:color="auto"/>
        <w:left w:val="none" w:sz="0" w:space="0" w:color="auto"/>
        <w:bottom w:val="none" w:sz="0" w:space="0" w:color="auto"/>
        <w:right w:val="none" w:sz="0" w:space="0" w:color="auto"/>
      </w:divBdr>
    </w:div>
    <w:div w:id="883097712">
      <w:bodyDiv w:val="1"/>
      <w:marLeft w:val="0"/>
      <w:marRight w:val="0"/>
      <w:marTop w:val="0"/>
      <w:marBottom w:val="0"/>
      <w:divBdr>
        <w:top w:val="none" w:sz="0" w:space="0" w:color="auto"/>
        <w:left w:val="none" w:sz="0" w:space="0" w:color="auto"/>
        <w:bottom w:val="none" w:sz="0" w:space="0" w:color="auto"/>
        <w:right w:val="none" w:sz="0" w:space="0" w:color="auto"/>
      </w:divBdr>
    </w:div>
    <w:div w:id="883255712">
      <w:bodyDiv w:val="1"/>
      <w:marLeft w:val="0"/>
      <w:marRight w:val="0"/>
      <w:marTop w:val="0"/>
      <w:marBottom w:val="0"/>
      <w:divBdr>
        <w:top w:val="none" w:sz="0" w:space="0" w:color="auto"/>
        <w:left w:val="none" w:sz="0" w:space="0" w:color="auto"/>
        <w:bottom w:val="none" w:sz="0" w:space="0" w:color="auto"/>
        <w:right w:val="none" w:sz="0" w:space="0" w:color="auto"/>
      </w:divBdr>
    </w:div>
    <w:div w:id="883754781">
      <w:bodyDiv w:val="1"/>
      <w:marLeft w:val="0"/>
      <w:marRight w:val="0"/>
      <w:marTop w:val="0"/>
      <w:marBottom w:val="0"/>
      <w:divBdr>
        <w:top w:val="none" w:sz="0" w:space="0" w:color="auto"/>
        <w:left w:val="none" w:sz="0" w:space="0" w:color="auto"/>
        <w:bottom w:val="none" w:sz="0" w:space="0" w:color="auto"/>
        <w:right w:val="none" w:sz="0" w:space="0" w:color="auto"/>
      </w:divBdr>
    </w:div>
    <w:div w:id="883785504">
      <w:bodyDiv w:val="1"/>
      <w:marLeft w:val="0"/>
      <w:marRight w:val="0"/>
      <w:marTop w:val="0"/>
      <w:marBottom w:val="0"/>
      <w:divBdr>
        <w:top w:val="none" w:sz="0" w:space="0" w:color="auto"/>
        <w:left w:val="none" w:sz="0" w:space="0" w:color="auto"/>
        <w:bottom w:val="none" w:sz="0" w:space="0" w:color="auto"/>
        <w:right w:val="none" w:sz="0" w:space="0" w:color="auto"/>
      </w:divBdr>
    </w:div>
    <w:div w:id="883950985">
      <w:bodyDiv w:val="1"/>
      <w:marLeft w:val="0"/>
      <w:marRight w:val="0"/>
      <w:marTop w:val="0"/>
      <w:marBottom w:val="0"/>
      <w:divBdr>
        <w:top w:val="none" w:sz="0" w:space="0" w:color="auto"/>
        <w:left w:val="none" w:sz="0" w:space="0" w:color="auto"/>
        <w:bottom w:val="none" w:sz="0" w:space="0" w:color="auto"/>
        <w:right w:val="none" w:sz="0" w:space="0" w:color="auto"/>
      </w:divBdr>
    </w:div>
    <w:div w:id="884097921">
      <w:bodyDiv w:val="1"/>
      <w:marLeft w:val="0"/>
      <w:marRight w:val="0"/>
      <w:marTop w:val="0"/>
      <w:marBottom w:val="0"/>
      <w:divBdr>
        <w:top w:val="none" w:sz="0" w:space="0" w:color="auto"/>
        <w:left w:val="none" w:sz="0" w:space="0" w:color="auto"/>
        <w:bottom w:val="none" w:sz="0" w:space="0" w:color="auto"/>
        <w:right w:val="none" w:sz="0" w:space="0" w:color="auto"/>
      </w:divBdr>
    </w:div>
    <w:div w:id="884100920">
      <w:bodyDiv w:val="1"/>
      <w:marLeft w:val="0"/>
      <w:marRight w:val="0"/>
      <w:marTop w:val="0"/>
      <w:marBottom w:val="0"/>
      <w:divBdr>
        <w:top w:val="none" w:sz="0" w:space="0" w:color="auto"/>
        <w:left w:val="none" w:sz="0" w:space="0" w:color="auto"/>
        <w:bottom w:val="none" w:sz="0" w:space="0" w:color="auto"/>
        <w:right w:val="none" w:sz="0" w:space="0" w:color="auto"/>
      </w:divBdr>
    </w:div>
    <w:div w:id="884102024">
      <w:bodyDiv w:val="1"/>
      <w:marLeft w:val="0"/>
      <w:marRight w:val="0"/>
      <w:marTop w:val="0"/>
      <w:marBottom w:val="0"/>
      <w:divBdr>
        <w:top w:val="none" w:sz="0" w:space="0" w:color="auto"/>
        <w:left w:val="none" w:sz="0" w:space="0" w:color="auto"/>
        <w:bottom w:val="none" w:sz="0" w:space="0" w:color="auto"/>
        <w:right w:val="none" w:sz="0" w:space="0" w:color="auto"/>
      </w:divBdr>
    </w:div>
    <w:div w:id="884218960">
      <w:bodyDiv w:val="1"/>
      <w:marLeft w:val="0"/>
      <w:marRight w:val="0"/>
      <w:marTop w:val="0"/>
      <w:marBottom w:val="0"/>
      <w:divBdr>
        <w:top w:val="none" w:sz="0" w:space="0" w:color="auto"/>
        <w:left w:val="none" w:sz="0" w:space="0" w:color="auto"/>
        <w:bottom w:val="none" w:sz="0" w:space="0" w:color="auto"/>
        <w:right w:val="none" w:sz="0" w:space="0" w:color="auto"/>
      </w:divBdr>
    </w:div>
    <w:div w:id="884409195">
      <w:bodyDiv w:val="1"/>
      <w:marLeft w:val="0"/>
      <w:marRight w:val="0"/>
      <w:marTop w:val="0"/>
      <w:marBottom w:val="0"/>
      <w:divBdr>
        <w:top w:val="none" w:sz="0" w:space="0" w:color="auto"/>
        <w:left w:val="none" w:sz="0" w:space="0" w:color="auto"/>
        <w:bottom w:val="none" w:sz="0" w:space="0" w:color="auto"/>
        <w:right w:val="none" w:sz="0" w:space="0" w:color="auto"/>
      </w:divBdr>
    </w:div>
    <w:div w:id="884487249">
      <w:bodyDiv w:val="1"/>
      <w:marLeft w:val="0"/>
      <w:marRight w:val="0"/>
      <w:marTop w:val="0"/>
      <w:marBottom w:val="0"/>
      <w:divBdr>
        <w:top w:val="none" w:sz="0" w:space="0" w:color="auto"/>
        <w:left w:val="none" w:sz="0" w:space="0" w:color="auto"/>
        <w:bottom w:val="none" w:sz="0" w:space="0" w:color="auto"/>
        <w:right w:val="none" w:sz="0" w:space="0" w:color="auto"/>
      </w:divBdr>
    </w:div>
    <w:div w:id="884491297">
      <w:bodyDiv w:val="1"/>
      <w:marLeft w:val="0"/>
      <w:marRight w:val="0"/>
      <w:marTop w:val="0"/>
      <w:marBottom w:val="0"/>
      <w:divBdr>
        <w:top w:val="none" w:sz="0" w:space="0" w:color="auto"/>
        <w:left w:val="none" w:sz="0" w:space="0" w:color="auto"/>
        <w:bottom w:val="none" w:sz="0" w:space="0" w:color="auto"/>
        <w:right w:val="none" w:sz="0" w:space="0" w:color="auto"/>
      </w:divBdr>
    </w:div>
    <w:div w:id="884560953">
      <w:bodyDiv w:val="1"/>
      <w:marLeft w:val="0"/>
      <w:marRight w:val="0"/>
      <w:marTop w:val="0"/>
      <w:marBottom w:val="0"/>
      <w:divBdr>
        <w:top w:val="none" w:sz="0" w:space="0" w:color="auto"/>
        <w:left w:val="none" w:sz="0" w:space="0" w:color="auto"/>
        <w:bottom w:val="none" w:sz="0" w:space="0" w:color="auto"/>
        <w:right w:val="none" w:sz="0" w:space="0" w:color="auto"/>
      </w:divBdr>
    </w:div>
    <w:div w:id="884607499">
      <w:bodyDiv w:val="1"/>
      <w:marLeft w:val="0"/>
      <w:marRight w:val="0"/>
      <w:marTop w:val="0"/>
      <w:marBottom w:val="0"/>
      <w:divBdr>
        <w:top w:val="none" w:sz="0" w:space="0" w:color="auto"/>
        <w:left w:val="none" w:sz="0" w:space="0" w:color="auto"/>
        <w:bottom w:val="none" w:sz="0" w:space="0" w:color="auto"/>
        <w:right w:val="none" w:sz="0" w:space="0" w:color="auto"/>
      </w:divBdr>
    </w:div>
    <w:div w:id="884608546">
      <w:bodyDiv w:val="1"/>
      <w:marLeft w:val="0"/>
      <w:marRight w:val="0"/>
      <w:marTop w:val="0"/>
      <w:marBottom w:val="0"/>
      <w:divBdr>
        <w:top w:val="none" w:sz="0" w:space="0" w:color="auto"/>
        <w:left w:val="none" w:sz="0" w:space="0" w:color="auto"/>
        <w:bottom w:val="none" w:sz="0" w:space="0" w:color="auto"/>
        <w:right w:val="none" w:sz="0" w:space="0" w:color="auto"/>
      </w:divBdr>
    </w:div>
    <w:div w:id="884634710">
      <w:bodyDiv w:val="1"/>
      <w:marLeft w:val="0"/>
      <w:marRight w:val="0"/>
      <w:marTop w:val="0"/>
      <w:marBottom w:val="0"/>
      <w:divBdr>
        <w:top w:val="none" w:sz="0" w:space="0" w:color="auto"/>
        <w:left w:val="none" w:sz="0" w:space="0" w:color="auto"/>
        <w:bottom w:val="none" w:sz="0" w:space="0" w:color="auto"/>
        <w:right w:val="none" w:sz="0" w:space="0" w:color="auto"/>
      </w:divBdr>
    </w:div>
    <w:div w:id="884637631">
      <w:bodyDiv w:val="1"/>
      <w:marLeft w:val="0"/>
      <w:marRight w:val="0"/>
      <w:marTop w:val="0"/>
      <w:marBottom w:val="0"/>
      <w:divBdr>
        <w:top w:val="none" w:sz="0" w:space="0" w:color="auto"/>
        <w:left w:val="none" w:sz="0" w:space="0" w:color="auto"/>
        <w:bottom w:val="none" w:sz="0" w:space="0" w:color="auto"/>
        <w:right w:val="none" w:sz="0" w:space="0" w:color="auto"/>
      </w:divBdr>
    </w:div>
    <w:div w:id="884676849">
      <w:bodyDiv w:val="1"/>
      <w:marLeft w:val="0"/>
      <w:marRight w:val="0"/>
      <w:marTop w:val="0"/>
      <w:marBottom w:val="0"/>
      <w:divBdr>
        <w:top w:val="none" w:sz="0" w:space="0" w:color="auto"/>
        <w:left w:val="none" w:sz="0" w:space="0" w:color="auto"/>
        <w:bottom w:val="none" w:sz="0" w:space="0" w:color="auto"/>
        <w:right w:val="none" w:sz="0" w:space="0" w:color="auto"/>
      </w:divBdr>
    </w:div>
    <w:div w:id="884802174">
      <w:bodyDiv w:val="1"/>
      <w:marLeft w:val="0"/>
      <w:marRight w:val="0"/>
      <w:marTop w:val="0"/>
      <w:marBottom w:val="0"/>
      <w:divBdr>
        <w:top w:val="none" w:sz="0" w:space="0" w:color="auto"/>
        <w:left w:val="none" w:sz="0" w:space="0" w:color="auto"/>
        <w:bottom w:val="none" w:sz="0" w:space="0" w:color="auto"/>
        <w:right w:val="none" w:sz="0" w:space="0" w:color="auto"/>
      </w:divBdr>
    </w:div>
    <w:div w:id="884872545">
      <w:bodyDiv w:val="1"/>
      <w:marLeft w:val="0"/>
      <w:marRight w:val="0"/>
      <w:marTop w:val="0"/>
      <w:marBottom w:val="0"/>
      <w:divBdr>
        <w:top w:val="none" w:sz="0" w:space="0" w:color="auto"/>
        <w:left w:val="none" w:sz="0" w:space="0" w:color="auto"/>
        <w:bottom w:val="none" w:sz="0" w:space="0" w:color="auto"/>
        <w:right w:val="none" w:sz="0" w:space="0" w:color="auto"/>
      </w:divBdr>
    </w:div>
    <w:div w:id="884872682">
      <w:bodyDiv w:val="1"/>
      <w:marLeft w:val="0"/>
      <w:marRight w:val="0"/>
      <w:marTop w:val="0"/>
      <w:marBottom w:val="0"/>
      <w:divBdr>
        <w:top w:val="none" w:sz="0" w:space="0" w:color="auto"/>
        <w:left w:val="none" w:sz="0" w:space="0" w:color="auto"/>
        <w:bottom w:val="none" w:sz="0" w:space="0" w:color="auto"/>
        <w:right w:val="none" w:sz="0" w:space="0" w:color="auto"/>
      </w:divBdr>
    </w:div>
    <w:div w:id="885143175">
      <w:bodyDiv w:val="1"/>
      <w:marLeft w:val="0"/>
      <w:marRight w:val="0"/>
      <w:marTop w:val="0"/>
      <w:marBottom w:val="0"/>
      <w:divBdr>
        <w:top w:val="none" w:sz="0" w:space="0" w:color="auto"/>
        <w:left w:val="none" w:sz="0" w:space="0" w:color="auto"/>
        <w:bottom w:val="none" w:sz="0" w:space="0" w:color="auto"/>
        <w:right w:val="none" w:sz="0" w:space="0" w:color="auto"/>
      </w:divBdr>
    </w:div>
    <w:div w:id="885143308">
      <w:bodyDiv w:val="1"/>
      <w:marLeft w:val="0"/>
      <w:marRight w:val="0"/>
      <w:marTop w:val="0"/>
      <w:marBottom w:val="0"/>
      <w:divBdr>
        <w:top w:val="none" w:sz="0" w:space="0" w:color="auto"/>
        <w:left w:val="none" w:sz="0" w:space="0" w:color="auto"/>
        <w:bottom w:val="none" w:sz="0" w:space="0" w:color="auto"/>
        <w:right w:val="none" w:sz="0" w:space="0" w:color="auto"/>
      </w:divBdr>
    </w:div>
    <w:div w:id="885218694">
      <w:bodyDiv w:val="1"/>
      <w:marLeft w:val="0"/>
      <w:marRight w:val="0"/>
      <w:marTop w:val="0"/>
      <w:marBottom w:val="0"/>
      <w:divBdr>
        <w:top w:val="none" w:sz="0" w:space="0" w:color="auto"/>
        <w:left w:val="none" w:sz="0" w:space="0" w:color="auto"/>
        <w:bottom w:val="none" w:sz="0" w:space="0" w:color="auto"/>
        <w:right w:val="none" w:sz="0" w:space="0" w:color="auto"/>
      </w:divBdr>
    </w:div>
    <w:div w:id="885260853">
      <w:bodyDiv w:val="1"/>
      <w:marLeft w:val="0"/>
      <w:marRight w:val="0"/>
      <w:marTop w:val="0"/>
      <w:marBottom w:val="0"/>
      <w:divBdr>
        <w:top w:val="none" w:sz="0" w:space="0" w:color="auto"/>
        <w:left w:val="none" w:sz="0" w:space="0" w:color="auto"/>
        <w:bottom w:val="none" w:sz="0" w:space="0" w:color="auto"/>
        <w:right w:val="none" w:sz="0" w:space="0" w:color="auto"/>
      </w:divBdr>
    </w:div>
    <w:div w:id="885409359">
      <w:bodyDiv w:val="1"/>
      <w:marLeft w:val="0"/>
      <w:marRight w:val="0"/>
      <w:marTop w:val="0"/>
      <w:marBottom w:val="0"/>
      <w:divBdr>
        <w:top w:val="none" w:sz="0" w:space="0" w:color="auto"/>
        <w:left w:val="none" w:sz="0" w:space="0" w:color="auto"/>
        <w:bottom w:val="none" w:sz="0" w:space="0" w:color="auto"/>
        <w:right w:val="none" w:sz="0" w:space="0" w:color="auto"/>
      </w:divBdr>
    </w:div>
    <w:div w:id="885606850">
      <w:bodyDiv w:val="1"/>
      <w:marLeft w:val="0"/>
      <w:marRight w:val="0"/>
      <w:marTop w:val="0"/>
      <w:marBottom w:val="0"/>
      <w:divBdr>
        <w:top w:val="none" w:sz="0" w:space="0" w:color="auto"/>
        <w:left w:val="none" w:sz="0" w:space="0" w:color="auto"/>
        <w:bottom w:val="none" w:sz="0" w:space="0" w:color="auto"/>
        <w:right w:val="none" w:sz="0" w:space="0" w:color="auto"/>
      </w:divBdr>
    </w:div>
    <w:div w:id="885995610">
      <w:bodyDiv w:val="1"/>
      <w:marLeft w:val="0"/>
      <w:marRight w:val="0"/>
      <w:marTop w:val="0"/>
      <w:marBottom w:val="0"/>
      <w:divBdr>
        <w:top w:val="none" w:sz="0" w:space="0" w:color="auto"/>
        <w:left w:val="none" w:sz="0" w:space="0" w:color="auto"/>
        <w:bottom w:val="none" w:sz="0" w:space="0" w:color="auto"/>
        <w:right w:val="none" w:sz="0" w:space="0" w:color="auto"/>
      </w:divBdr>
    </w:div>
    <w:div w:id="886257737">
      <w:bodyDiv w:val="1"/>
      <w:marLeft w:val="0"/>
      <w:marRight w:val="0"/>
      <w:marTop w:val="0"/>
      <w:marBottom w:val="0"/>
      <w:divBdr>
        <w:top w:val="none" w:sz="0" w:space="0" w:color="auto"/>
        <w:left w:val="none" w:sz="0" w:space="0" w:color="auto"/>
        <w:bottom w:val="none" w:sz="0" w:space="0" w:color="auto"/>
        <w:right w:val="none" w:sz="0" w:space="0" w:color="auto"/>
      </w:divBdr>
    </w:div>
    <w:div w:id="886264083">
      <w:bodyDiv w:val="1"/>
      <w:marLeft w:val="0"/>
      <w:marRight w:val="0"/>
      <w:marTop w:val="0"/>
      <w:marBottom w:val="0"/>
      <w:divBdr>
        <w:top w:val="none" w:sz="0" w:space="0" w:color="auto"/>
        <w:left w:val="none" w:sz="0" w:space="0" w:color="auto"/>
        <w:bottom w:val="none" w:sz="0" w:space="0" w:color="auto"/>
        <w:right w:val="none" w:sz="0" w:space="0" w:color="auto"/>
      </w:divBdr>
    </w:div>
    <w:div w:id="886335247">
      <w:bodyDiv w:val="1"/>
      <w:marLeft w:val="0"/>
      <w:marRight w:val="0"/>
      <w:marTop w:val="0"/>
      <w:marBottom w:val="0"/>
      <w:divBdr>
        <w:top w:val="none" w:sz="0" w:space="0" w:color="auto"/>
        <w:left w:val="none" w:sz="0" w:space="0" w:color="auto"/>
        <w:bottom w:val="none" w:sz="0" w:space="0" w:color="auto"/>
        <w:right w:val="none" w:sz="0" w:space="0" w:color="auto"/>
      </w:divBdr>
    </w:div>
    <w:div w:id="886523807">
      <w:bodyDiv w:val="1"/>
      <w:marLeft w:val="0"/>
      <w:marRight w:val="0"/>
      <w:marTop w:val="0"/>
      <w:marBottom w:val="0"/>
      <w:divBdr>
        <w:top w:val="none" w:sz="0" w:space="0" w:color="auto"/>
        <w:left w:val="none" w:sz="0" w:space="0" w:color="auto"/>
        <w:bottom w:val="none" w:sz="0" w:space="0" w:color="auto"/>
        <w:right w:val="none" w:sz="0" w:space="0" w:color="auto"/>
      </w:divBdr>
    </w:div>
    <w:div w:id="886601647">
      <w:bodyDiv w:val="1"/>
      <w:marLeft w:val="0"/>
      <w:marRight w:val="0"/>
      <w:marTop w:val="0"/>
      <w:marBottom w:val="0"/>
      <w:divBdr>
        <w:top w:val="none" w:sz="0" w:space="0" w:color="auto"/>
        <w:left w:val="none" w:sz="0" w:space="0" w:color="auto"/>
        <w:bottom w:val="none" w:sz="0" w:space="0" w:color="auto"/>
        <w:right w:val="none" w:sz="0" w:space="0" w:color="auto"/>
      </w:divBdr>
    </w:div>
    <w:div w:id="886642092">
      <w:bodyDiv w:val="1"/>
      <w:marLeft w:val="0"/>
      <w:marRight w:val="0"/>
      <w:marTop w:val="0"/>
      <w:marBottom w:val="0"/>
      <w:divBdr>
        <w:top w:val="none" w:sz="0" w:space="0" w:color="auto"/>
        <w:left w:val="none" w:sz="0" w:space="0" w:color="auto"/>
        <w:bottom w:val="none" w:sz="0" w:space="0" w:color="auto"/>
        <w:right w:val="none" w:sz="0" w:space="0" w:color="auto"/>
      </w:divBdr>
    </w:div>
    <w:div w:id="886798512">
      <w:bodyDiv w:val="1"/>
      <w:marLeft w:val="0"/>
      <w:marRight w:val="0"/>
      <w:marTop w:val="0"/>
      <w:marBottom w:val="0"/>
      <w:divBdr>
        <w:top w:val="none" w:sz="0" w:space="0" w:color="auto"/>
        <w:left w:val="none" w:sz="0" w:space="0" w:color="auto"/>
        <w:bottom w:val="none" w:sz="0" w:space="0" w:color="auto"/>
        <w:right w:val="none" w:sz="0" w:space="0" w:color="auto"/>
      </w:divBdr>
    </w:div>
    <w:div w:id="886842054">
      <w:bodyDiv w:val="1"/>
      <w:marLeft w:val="0"/>
      <w:marRight w:val="0"/>
      <w:marTop w:val="0"/>
      <w:marBottom w:val="0"/>
      <w:divBdr>
        <w:top w:val="none" w:sz="0" w:space="0" w:color="auto"/>
        <w:left w:val="none" w:sz="0" w:space="0" w:color="auto"/>
        <w:bottom w:val="none" w:sz="0" w:space="0" w:color="auto"/>
        <w:right w:val="none" w:sz="0" w:space="0" w:color="auto"/>
      </w:divBdr>
    </w:div>
    <w:div w:id="886913843">
      <w:bodyDiv w:val="1"/>
      <w:marLeft w:val="0"/>
      <w:marRight w:val="0"/>
      <w:marTop w:val="0"/>
      <w:marBottom w:val="0"/>
      <w:divBdr>
        <w:top w:val="none" w:sz="0" w:space="0" w:color="auto"/>
        <w:left w:val="none" w:sz="0" w:space="0" w:color="auto"/>
        <w:bottom w:val="none" w:sz="0" w:space="0" w:color="auto"/>
        <w:right w:val="none" w:sz="0" w:space="0" w:color="auto"/>
      </w:divBdr>
    </w:div>
    <w:div w:id="887113155">
      <w:bodyDiv w:val="1"/>
      <w:marLeft w:val="0"/>
      <w:marRight w:val="0"/>
      <w:marTop w:val="0"/>
      <w:marBottom w:val="0"/>
      <w:divBdr>
        <w:top w:val="none" w:sz="0" w:space="0" w:color="auto"/>
        <w:left w:val="none" w:sz="0" w:space="0" w:color="auto"/>
        <w:bottom w:val="none" w:sz="0" w:space="0" w:color="auto"/>
        <w:right w:val="none" w:sz="0" w:space="0" w:color="auto"/>
      </w:divBdr>
    </w:div>
    <w:div w:id="887299742">
      <w:bodyDiv w:val="1"/>
      <w:marLeft w:val="0"/>
      <w:marRight w:val="0"/>
      <w:marTop w:val="0"/>
      <w:marBottom w:val="0"/>
      <w:divBdr>
        <w:top w:val="none" w:sz="0" w:space="0" w:color="auto"/>
        <w:left w:val="none" w:sz="0" w:space="0" w:color="auto"/>
        <w:bottom w:val="none" w:sz="0" w:space="0" w:color="auto"/>
        <w:right w:val="none" w:sz="0" w:space="0" w:color="auto"/>
      </w:divBdr>
    </w:div>
    <w:div w:id="887303766">
      <w:bodyDiv w:val="1"/>
      <w:marLeft w:val="0"/>
      <w:marRight w:val="0"/>
      <w:marTop w:val="0"/>
      <w:marBottom w:val="0"/>
      <w:divBdr>
        <w:top w:val="none" w:sz="0" w:space="0" w:color="auto"/>
        <w:left w:val="none" w:sz="0" w:space="0" w:color="auto"/>
        <w:bottom w:val="none" w:sz="0" w:space="0" w:color="auto"/>
        <w:right w:val="none" w:sz="0" w:space="0" w:color="auto"/>
      </w:divBdr>
    </w:div>
    <w:div w:id="887306129">
      <w:bodyDiv w:val="1"/>
      <w:marLeft w:val="0"/>
      <w:marRight w:val="0"/>
      <w:marTop w:val="0"/>
      <w:marBottom w:val="0"/>
      <w:divBdr>
        <w:top w:val="none" w:sz="0" w:space="0" w:color="auto"/>
        <w:left w:val="none" w:sz="0" w:space="0" w:color="auto"/>
        <w:bottom w:val="none" w:sz="0" w:space="0" w:color="auto"/>
        <w:right w:val="none" w:sz="0" w:space="0" w:color="auto"/>
      </w:divBdr>
    </w:div>
    <w:div w:id="887377884">
      <w:bodyDiv w:val="1"/>
      <w:marLeft w:val="0"/>
      <w:marRight w:val="0"/>
      <w:marTop w:val="0"/>
      <w:marBottom w:val="0"/>
      <w:divBdr>
        <w:top w:val="none" w:sz="0" w:space="0" w:color="auto"/>
        <w:left w:val="none" w:sz="0" w:space="0" w:color="auto"/>
        <w:bottom w:val="none" w:sz="0" w:space="0" w:color="auto"/>
        <w:right w:val="none" w:sz="0" w:space="0" w:color="auto"/>
      </w:divBdr>
    </w:div>
    <w:div w:id="887453165">
      <w:bodyDiv w:val="1"/>
      <w:marLeft w:val="0"/>
      <w:marRight w:val="0"/>
      <w:marTop w:val="0"/>
      <w:marBottom w:val="0"/>
      <w:divBdr>
        <w:top w:val="none" w:sz="0" w:space="0" w:color="auto"/>
        <w:left w:val="none" w:sz="0" w:space="0" w:color="auto"/>
        <w:bottom w:val="none" w:sz="0" w:space="0" w:color="auto"/>
        <w:right w:val="none" w:sz="0" w:space="0" w:color="auto"/>
      </w:divBdr>
    </w:div>
    <w:div w:id="887491516">
      <w:bodyDiv w:val="1"/>
      <w:marLeft w:val="0"/>
      <w:marRight w:val="0"/>
      <w:marTop w:val="0"/>
      <w:marBottom w:val="0"/>
      <w:divBdr>
        <w:top w:val="none" w:sz="0" w:space="0" w:color="auto"/>
        <w:left w:val="none" w:sz="0" w:space="0" w:color="auto"/>
        <w:bottom w:val="none" w:sz="0" w:space="0" w:color="auto"/>
        <w:right w:val="none" w:sz="0" w:space="0" w:color="auto"/>
      </w:divBdr>
    </w:div>
    <w:div w:id="887568178">
      <w:bodyDiv w:val="1"/>
      <w:marLeft w:val="0"/>
      <w:marRight w:val="0"/>
      <w:marTop w:val="0"/>
      <w:marBottom w:val="0"/>
      <w:divBdr>
        <w:top w:val="none" w:sz="0" w:space="0" w:color="auto"/>
        <w:left w:val="none" w:sz="0" w:space="0" w:color="auto"/>
        <w:bottom w:val="none" w:sz="0" w:space="0" w:color="auto"/>
        <w:right w:val="none" w:sz="0" w:space="0" w:color="auto"/>
      </w:divBdr>
    </w:div>
    <w:div w:id="887645804">
      <w:bodyDiv w:val="1"/>
      <w:marLeft w:val="0"/>
      <w:marRight w:val="0"/>
      <w:marTop w:val="0"/>
      <w:marBottom w:val="0"/>
      <w:divBdr>
        <w:top w:val="none" w:sz="0" w:space="0" w:color="auto"/>
        <w:left w:val="none" w:sz="0" w:space="0" w:color="auto"/>
        <w:bottom w:val="none" w:sz="0" w:space="0" w:color="auto"/>
        <w:right w:val="none" w:sz="0" w:space="0" w:color="auto"/>
      </w:divBdr>
    </w:div>
    <w:div w:id="887685349">
      <w:bodyDiv w:val="1"/>
      <w:marLeft w:val="0"/>
      <w:marRight w:val="0"/>
      <w:marTop w:val="0"/>
      <w:marBottom w:val="0"/>
      <w:divBdr>
        <w:top w:val="none" w:sz="0" w:space="0" w:color="auto"/>
        <w:left w:val="none" w:sz="0" w:space="0" w:color="auto"/>
        <w:bottom w:val="none" w:sz="0" w:space="0" w:color="auto"/>
        <w:right w:val="none" w:sz="0" w:space="0" w:color="auto"/>
      </w:divBdr>
    </w:div>
    <w:div w:id="887686567">
      <w:bodyDiv w:val="1"/>
      <w:marLeft w:val="0"/>
      <w:marRight w:val="0"/>
      <w:marTop w:val="0"/>
      <w:marBottom w:val="0"/>
      <w:divBdr>
        <w:top w:val="none" w:sz="0" w:space="0" w:color="auto"/>
        <w:left w:val="none" w:sz="0" w:space="0" w:color="auto"/>
        <w:bottom w:val="none" w:sz="0" w:space="0" w:color="auto"/>
        <w:right w:val="none" w:sz="0" w:space="0" w:color="auto"/>
      </w:divBdr>
    </w:div>
    <w:div w:id="887689946">
      <w:bodyDiv w:val="1"/>
      <w:marLeft w:val="0"/>
      <w:marRight w:val="0"/>
      <w:marTop w:val="0"/>
      <w:marBottom w:val="0"/>
      <w:divBdr>
        <w:top w:val="none" w:sz="0" w:space="0" w:color="auto"/>
        <w:left w:val="none" w:sz="0" w:space="0" w:color="auto"/>
        <w:bottom w:val="none" w:sz="0" w:space="0" w:color="auto"/>
        <w:right w:val="none" w:sz="0" w:space="0" w:color="auto"/>
      </w:divBdr>
    </w:div>
    <w:div w:id="887834466">
      <w:bodyDiv w:val="1"/>
      <w:marLeft w:val="0"/>
      <w:marRight w:val="0"/>
      <w:marTop w:val="0"/>
      <w:marBottom w:val="0"/>
      <w:divBdr>
        <w:top w:val="none" w:sz="0" w:space="0" w:color="auto"/>
        <w:left w:val="none" w:sz="0" w:space="0" w:color="auto"/>
        <w:bottom w:val="none" w:sz="0" w:space="0" w:color="auto"/>
        <w:right w:val="none" w:sz="0" w:space="0" w:color="auto"/>
      </w:divBdr>
    </w:div>
    <w:div w:id="887885883">
      <w:bodyDiv w:val="1"/>
      <w:marLeft w:val="0"/>
      <w:marRight w:val="0"/>
      <w:marTop w:val="0"/>
      <w:marBottom w:val="0"/>
      <w:divBdr>
        <w:top w:val="none" w:sz="0" w:space="0" w:color="auto"/>
        <w:left w:val="none" w:sz="0" w:space="0" w:color="auto"/>
        <w:bottom w:val="none" w:sz="0" w:space="0" w:color="auto"/>
        <w:right w:val="none" w:sz="0" w:space="0" w:color="auto"/>
      </w:divBdr>
    </w:div>
    <w:div w:id="887914244">
      <w:bodyDiv w:val="1"/>
      <w:marLeft w:val="0"/>
      <w:marRight w:val="0"/>
      <w:marTop w:val="0"/>
      <w:marBottom w:val="0"/>
      <w:divBdr>
        <w:top w:val="none" w:sz="0" w:space="0" w:color="auto"/>
        <w:left w:val="none" w:sz="0" w:space="0" w:color="auto"/>
        <w:bottom w:val="none" w:sz="0" w:space="0" w:color="auto"/>
        <w:right w:val="none" w:sz="0" w:space="0" w:color="auto"/>
      </w:divBdr>
    </w:div>
    <w:div w:id="887959169">
      <w:bodyDiv w:val="1"/>
      <w:marLeft w:val="0"/>
      <w:marRight w:val="0"/>
      <w:marTop w:val="0"/>
      <w:marBottom w:val="0"/>
      <w:divBdr>
        <w:top w:val="none" w:sz="0" w:space="0" w:color="auto"/>
        <w:left w:val="none" w:sz="0" w:space="0" w:color="auto"/>
        <w:bottom w:val="none" w:sz="0" w:space="0" w:color="auto"/>
        <w:right w:val="none" w:sz="0" w:space="0" w:color="auto"/>
      </w:divBdr>
    </w:div>
    <w:div w:id="887960184">
      <w:bodyDiv w:val="1"/>
      <w:marLeft w:val="0"/>
      <w:marRight w:val="0"/>
      <w:marTop w:val="0"/>
      <w:marBottom w:val="0"/>
      <w:divBdr>
        <w:top w:val="none" w:sz="0" w:space="0" w:color="auto"/>
        <w:left w:val="none" w:sz="0" w:space="0" w:color="auto"/>
        <w:bottom w:val="none" w:sz="0" w:space="0" w:color="auto"/>
        <w:right w:val="none" w:sz="0" w:space="0" w:color="auto"/>
      </w:divBdr>
    </w:div>
    <w:div w:id="888032666">
      <w:bodyDiv w:val="1"/>
      <w:marLeft w:val="0"/>
      <w:marRight w:val="0"/>
      <w:marTop w:val="0"/>
      <w:marBottom w:val="0"/>
      <w:divBdr>
        <w:top w:val="none" w:sz="0" w:space="0" w:color="auto"/>
        <w:left w:val="none" w:sz="0" w:space="0" w:color="auto"/>
        <w:bottom w:val="none" w:sz="0" w:space="0" w:color="auto"/>
        <w:right w:val="none" w:sz="0" w:space="0" w:color="auto"/>
      </w:divBdr>
    </w:div>
    <w:div w:id="888298650">
      <w:bodyDiv w:val="1"/>
      <w:marLeft w:val="0"/>
      <w:marRight w:val="0"/>
      <w:marTop w:val="0"/>
      <w:marBottom w:val="0"/>
      <w:divBdr>
        <w:top w:val="none" w:sz="0" w:space="0" w:color="auto"/>
        <w:left w:val="none" w:sz="0" w:space="0" w:color="auto"/>
        <w:bottom w:val="none" w:sz="0" w:space="0" w:color="auto"/>
        <w:right w:val="none" w:sz="0" w:space="0" w:color="auto"/>
      </w:divBdr>
    </w:div>
    <w:div w:id="888343125">
      <w:bodyDiv w:val="1"/>
      <w:marLeft w:val="0"/>
      <w:marRight w:val="0"/>
      <w:marTop w:val="0"/>
      <w:marBottom w:val="0"/>
      <w:divBdr>
        <w:top w:val="none" w:sz="0" w:space="0" w:color="auto"/>
        <w:left w:val="none" w:sz="0" w:space="0" w:color="auto"/>
        <w:bottom w:val="none" w:sz="0" w:space="0" w:color="auto"/>
        <w:right w:val="none" w:sz="0" w:space="0" w:color="auto"/>
      </w:divBdr>
    </w:div>
    <w:div w:id="888418787">
      <w:bodyDiv w:val="1"/>
      <w:marLeft w:val="0"/>
      <w:marRight w:val="0"/>
      <w:marTop w:val="0"/>
      <w:marBottom w:val="0"/>
      <w:divBdr>
        <w:top w:val="none" w:sz="0" w:space="0" w:color="auto"/>
        <w:left w:val="none" w:sz="0" w:space="0" w:color="auto"/>
        <w:bottom w:val="none" w:sz="0" w:space="0" w:color="auto"/>
        <w:right w:val="none" w:sz="0" w:space="0" w:color="auto"/>
      </w:divBdr>
    </w:div>
    <w:div w:id="888612631">
      <w:bodyDiv w:val="1"/>
      <w:marLeft w:val="0"/>
      <w:marRight w:val="0"/>
      <w:marTop w:val="0"/>
      <w:marBottom w:val="0"/>
      <w:divBdr>
        <w:top w:val="none" w:sz="0" w:space="0" w:color="auto"/>
        <w:left w:val="none" w:sz="0" w:space="0" w:color="auto"/>
        <w:bottom w:val="none" w:sz="0" w:space="0" w:color="auto"/>
        <w:right w:val="none" w:sz="0" w:space="0" w:color="auto"/>
      </w:divBdr>
    </w:div>
    <w:div w:id="888613234">
      <w:bodyDiv w:val="1"/>
      <w:marLeft w:val="0"/>
      <w:marRight w:val="0"/>
      <w:marTop w:val="0"/>
      <w:marBottom w:val="0"/>
      <w:divBdr>
        <w:top w:val="none" w:sz="0" w:space="0" w:color="auto"/>
        <w:left w:val="none" w:sz="0" w:space="0" w:color="auto"/>
        <w:bottom w:val="none" w:sz="0" w:space="0" w:color="auto"/>
        <w:right w:val="none" w:sz="0" w:space="0" w:color="auto"/>
      </w:divBdr>
    </w:div>
    <w:div w:id="888800956">
      <w:bodyDiv w:val="1"/>
      <w:marLeft w:val="0"/>
      <w:marRight w:val="0"/>
      <w:marTop w:val="0"/>
      <w:marBottom w:val="0"/>
      <w:divBdr>
        <w:top w:val="none" w:sz="0" w:space="0" w:color="auto"/>
        <w:left w:val="none" w:sz="0" w:space="0" w:color="auto"/>
        <w:bottom w:val="none" w:sz="0" w:space="0" w:color="auto"/>
        <w:right w:val="none" w:sz="0" w:space="0" w:color="auto"/>
      </w:divBdr>
    </w:div>
    <w:div w:id="888881848">
      <w:bodyDiv w:val="1"/>
      <w:marLeft w:val="0"/>
      <w:marRight w:val="0"/>
      <w:marTop w:val="0"/>
      <w:marBottom w:val="0"/>
      <w:divBdr>
        <w:top w:val="none" w:sz="0" w:space="0" w:color="auto"/>
        <w:left w:val="none" w:sz="0" w:space="0" w:color="auto"/>
        <w:bottom w:val="none" w:sz="0" w:space="0" w:color="auto"/>
        <w:right w:val="none" w:sz="0" w:space="0" w:color="auto"/>
      </w:divBdr>
    </w:div>
    <w:div w:id="888954972">
      <w:bodyDiv w:val="1"/>
      <w:marLeft w:val="0"/>
      <w:marRight w:val="0"/>
      <w:marTop w:val="0"/>
      <w:marBottom w:val="0"/>
      <w:divBdr>
        <w:top w:val="none" w:sz="0" w:space="0" w:color="auto"/>
        <w:left w:val="none" w:sz="0" w:space="0" w:color="auto"/>
        <w:bottom w:val="none" w:sz="0" w:space="0" w:color="auto"/>
        <w:right w:val="none" w:sz="0" w:space="0" w:color="auto"/>
      </w:divBdr>
    </w:div>
    <w:div w:id="889003080">
      <w:bodyDiv w:val="1"/>
      <w:marLeft w:val="0"/>
      <w:marRight w:val="0"/>
      <w:marTop w:val="0"/>
      <w:marBottom w:val="0"/>
      <w:divBdr>
        <w:top w:val="none" w:sz="0" w:space="0" w:color="auto"/>
        <w:left w:val="none" w:sz="0" w:space="0" w:color="auto"/>
        <w:bottom w:val="none" w:sz="0" w:space="0" w:color="auto"/>
        <w:right w:val="none" w:sz="0" w:space="0" w:color="auto"/>
      </w:divBdr>
    </w:div>
    <w:div w:id="889195404">
      <w:bodyDiv w:val="1"/>
      <w:marLeft w:val="0"/>
      <w:marRight w:val="0"/>
      <w:marTop w:val="0"/>
      <w:marBottom w:val="0"/>
      <w:divBdr>
        <w:top w:val="none" w:sz="0" w:space="0" w:color="auto"/>
        <w:left w:val="none" w:sz="0" w:space="0" w:color="auto"/>
        <w:bottom w:val="none" w:sz="0" w:space="0" w:color="auto"/>
        <w:right w:val="none" w:sz="0" w:space="0" w:color="auto"/>
      </w:divBdr>
    </w:div>
    <w:div w:id="889223942">
      <w:bodyDiv w:val="1"/>
      <w:marLeft w:val="0"/>
      <w:marRight w:val="0"/>
      <w:marTop w:val="0"/>
      <w:marBottom w:val="0"/>
      <w:divBdr>
        <w:top w:val="none" w:sz="0" w:space="0" w:color="auto"/>
        <w:left w:val="none" w:sz="0" w:space="0" w:color="auto"/>
        <w:bottom w:val="none" w:sz="0" w:space="0" w:color="auto"/>
        <w:right w:val="none" w:sz="0" w:space="0" w:color="auto"/>
      </w:divBdr>
    </w:div>
    <w:div w:id="889266857">
      <w:bodyDiv w:val="1"/>
      <w:marLeft w:val="0"/>
      <w:marRight w:val="0"/>
      <w:marTop w:val="0"/>
      <w:marBottom w:val="0"/>
      <w:divBdr>
        <w:top w:val="none" w:sz="0" w:space="0" w:color="auto"/>
        <w:left w:val="none" w:sz="0" w:space="0" w:color="auto"/>
        <w:bottom w:val="none" w:sz="0" w:space="0" w:color="auto"/>
        <w:right w:val="none" w:sz="0" w:space="0" w:color="auto"/>
      </w:divBdr>
    </w:div>
    <w:div w:id="889345858">
      <w:bodyDiv w:val="1"/>
      <w:marLeft w:val="0"/>
      <w:marRight w:val="0"/>
      <w:marTop w:val="0"/>
      <w:marBottom w:val="0"/>
      <w:divBdr>
        <w:top w:val="none" w:sz="0" w:space="0" w:color="auto"/>
        <w:left w:val="none" w:sz="0" w:space="0" w:color="auto"/>
        <w:bottom w:val="none" w:sz="0" w:space="0" w:color="auto"/>
        <w:right w:val="none" w:sz="0" w:space="0" w:color="auto"/>
      </w:divBdr>
    </w:div>
    <w:div w:id="889389456">
      <w:bodyDiv w:val="1"/>
      <w:marLeft w:val="0"/>
      <w:marRight w:val="0"/>
      <w:marTop w:val="0"/>
      <w:marBottom w:val="0"/>
      <w:divBdr>
        <w:top w:val="none" w:sz="0" w:space="0" w:color="auto"/>
        <w:left w:val="none" w:sz="0" w:space="0" w:color="auto"/>
        <w:bottom w:val="none" w:sz="0" w:space="0" w:color="auto"/>
        <w:right w:val="none" w:sz="0" w:space="0" w:color="auto"/>
      </w:divBdr>
    </w:div>
    <w:div w:id="889417206">
      <w:bodyDiv w:val="1"/>
      <w:marLeft w:val="0"/>
      <w:marRight w:val="0"/>
      <w:marTop w:val="0"/>
      <w:marBottom w:val="0"/>
      <w:divBdr>
        <w:top w:val="none" w:sz="0" w:space="0" w:color="auto"/>
        <w:left w:val="none" w:sz="0" w:space="0" w:color="auto"/>
        <w:bottom w:val="none" w:sz="0" w:space="0" w:color="auto"/>
        <w:right w:val="none" w:sz="0" w:space="0" w:color="auto"/>
      </w:divBdr>
    </w:div>
    <w:div w:id="889682337">
      <w:bodyDiv w:val="1"/>
      <w:marLeft w:val="0"/>
      <w:marRight w:val="0"/>
      <w:marTop w:val="0"/>
      <w:marBottom w:val="0"/>
      <w:divBdr>
        <w:top w:val="none" w:sz="0" w:space="0" w:color="auto"/>
        <w:left w:val="none" w:sz="0" w:space="0" w:color="auto"/>
        <w:bottom w:val="none" w:sz="0" w:space="0" w:color="auto"/>
        <w:right w:val="none" w:sz="0" w:space="0" w:color="auto"/>
      </w:divBdr>
    </w:div>
    <w:div w:id="889924769">
      <w:bodyDiv w:val="1"/>
      <w:marLeft w:val="0"/>
      <w:marRight w:val="0"/>
      <w:marTop w:val="0"/>
      <w:marBottom w:val="0"/>
      <w:divBdr>
        <w:top w:val="none" w:sz="0" w:space="0" w:color="auto"/>
        <w:left w:val="none" w:sz="0" w:space="0" w:color="auto"/>
        <w:bottom w:val="none" w:sz="0" w:space="0" w:color="auto"/>
        <w:right w:val="none" w:sz="0" w:space="0" w:color="auto"/>
      </w:divBdr>
    </w:div>
    <w:div w:id="890074136">
      <w:bodyDiv w:val="1"/>
      <w:marLeft w:val="0"/>
      <w:marRight w:val="0"/>
      <w:marTop w:val="0"/>
      <w:marBottom w:val="0"/>
      <w:divBdr>
        <w:top w:val="none" w:sz="0" w:space="0" w:color="auto"/>
        <w:left w:val="none" w:sz="0" w:space="0" w:color="auto"/>
        <w:bottom w:val="none" w:sz="0" w:space="0" w:color="auto"/>
        <w:right w:val="none" w:sz="0" w:space="0" w:color="auto"/>
      </w:divBdr>
    </w:div>
    <w:div w:id="890192145">
      <w:bodyDiv w:val="1"/>
      <w:marLeft w:val="0"/>
      <w:marRight w:val="0"/>
      <w:marTop w:val="0"/>
      <w:marBottom w:val="0"/>
      <w:divBdr>
        <w:top w:val="none" w:sz="0" w:space="0" w:color="auto"/>
        <w:left w:val="none" w:sz="0" w:space="0" w:color="auto"/>
        <w:bottom w:val="none" w:sz="0" w:space="0" w:color="auto"/>
        <w:right w:val="none" w:sz="0" w:space="0" w:color="auto"/>
      </w:divBdr>
    </w:div>
    <w:div w:id="890195011">
      <w:bodyDiv w:val="1"/>
      <w:marLeft w:val="0"/>
      <w:marRight w:val="0"/>
      <w:marTop w:val="0"/>
      <w:marBottom w:val="0"/>
      <w:divBdr>
        <w:top w:val="none" w:sz="0" w:space="0" w:color="auto"/>
        <w:left w:val="none" w:sz="0" w:space="0" w:color="auto"/>
        <w:bottom w:val="none" w:sz="0" w:space="0" w:color="auto"/>
        <w:right w:val="none" w:sz="0" w:space="0" w:color="auto"/>
      </w:divBdr>
    </w:div>
    <w:div w:id="890268135">
      <w:bodyDiv w:val="1"/>
      <w:marLeft w:val="0"/>
      <w:marRight w:val="0"/>
      <w:marTop w:val="0"/>
      <w:marBottom w:val="0"/>
      <w:divBdr>
        <w:top w:val="none" w:sz="0" w:space="0" w:color="auto"/>
        <w:left w:val="none" w:sz="0" w:space="0" w:color="auto"/>
        <w:bottom w:val="none" w:sz="0" w:space="0" w:color="auto"/>
        <w:right w:val="none" w:sz="0" w:space="0" w:color="auto"/>
      </w:divBdr>
    </w:div>
    <w:div w:id="890306563">
      <w:bodyDiv w:val="1"/>
      <w:marLeft w:val="0"/>
      <w:marRight w:val="0"/>
      <w:marTop w:val="0"/>
      <w:marBottom w:val="0"/>
      <w:divBdr>
        <w:top w:val="none" w:sz="0" w:space="0" w:color="auto"/>
        <w:left w:val="none" w:sz="0" w:space="0" w:color="auto"/>
        <w:bottom w:val="none" w:sz="0" w:space="0" w:color="auto"/>
        <w:right w:val="none" w:sz="0" w:space="0" w:color="auto"/>
      </w:divBdr>
    </w:div>
    <w:div w:id="890380649">
      <w:bodyDiv w:val="1"/>
      <w:marLeft w:val="0"/>
      <w:marRight w:val="0"/>
      <w:marTop w:val="0"/>
      <w:marBottom w:val="0"/>
      <w:divBdr>
        <w:top w:val="none" w:sz="0" w:space="0" w:color="auto"/>
        <w:left w:val="none" w:sz="0" w:space="0" w:color="auto"/>
        <w:bottom w:val="none" w:sz="0" w:space="0" w:color="auto"/>
        <w:right w:val="none" w:sz="0" w:space="0" w:color="auto"/>
      </w:divBdr>
    </w:div>
    <w:div w:id="890766558">
      <w:bodyDiv w:val="1"/>
      <w:marLeft w:val="0"/>
      <w:marRight w:val="0"/>
      <w:marTop w:val="0"/>
      <w:marBottom w:val="0"/>
      <w:divBdr>
        <w:top w:val="none" w:sz="0" w:space="0" w:color="auto"/>
        <w:left w:val="none" w:sz="0" w:space="0" w:color="auto"/>
        <w:bottom w:val="none" w:sz="0" w:space="0" w:color="auto"/>
        <w:right w:val="none" w:sz="0" w:space="0" w:color="auto"/>
      </w:divBdr>
    </w:div>
    <w:div w:id="890771074">
      <w:bodyDiv w:val="1"/>
      <w:marLeft w:val="0"/>
      <w:marRight w:val="0"/>
      <w:marTop w:val="0"/>
      <w:marBottom w:val="0"/>
      <w:divBdr>
        <w:top w:val="none" w:sz="0" w:space="0" w:color="auto"/>
        <w:left w:val="none" w:sz="0" w:space="0" w:color="auto"/>
        <w:bottom w:val="none" w:sz="0" w:space="0" w:color="auto"/>
        <w:right w:val="none" w:sz="0" w:space="0" w:color="auto"/>
      </w:divBdr>
    </w:div>
    <w:div w:id="890772378">
      <w:bodyDiv w:val="1"/>
      <w:marLeft w:val="0"/>
      <w:marRight w:val="0"/>
      <w:marTop w:val="0"/>
      <w:marBottom w:val="0"/>
      <w:divBdr>
        <w:top w:val="none" w:sz="0" w:space="0" w:color="auto"/>
        <w:left w:val="none" w:sz="0" w:space="0" w:color="auto"/>
        <w:bottom w:val="none" w:sz="0" w:space="0" w:color="auto"/>
        <w:right w:val="none" w:sz="0" w:space="0" w:color="auto"/>
      </w:divBdr>
    </w:div>
    <w:div w:id="890842901">
      <w:bodyDiv w:val="1"/>
      <w:marLeft w:val="0"/>
      <w:marRight w:val="0"/>
      <w:marTop w:val="0"/>
      <w:marBottom w:val="0"/>
      <w:divBdr>
        <w:top w:val="none" w:sz="0" w:space="0" w:color="auto"/>
        <w:left w:val="none" w:sz="0" w:space="0" w:color="auto"/>
        <w:bottom w:val="none" w:sz="0" w:space="0" w:color="auto"/>
        <w:right w:val="none" w:sz="0" w:space="0" w:color="auto"/>
      </w:divBdr>
    </w:div>
    <w:div w:id="890966831">
      <w:bodyDiv w:val="1"/>
      <w:marLeft w:val="0"/>
      <w:marRight w:val="0"/>
      <w:marTop w:val="0"/>
      <w:marBottom w:val="0"/>
      <w:divBdr>
        <w:top w:val="none" w:sz="0" w:space="0" w:color="auto"/>
        <w:left w:val="none" w:sz="0" w:space="0" w:color="auto"/>
        <w:bottom w:val="none" w:sz="0" w:space="0" w:color="auto"/>
        <w:right w:val="none" w:sz="0" w:space="0" w:color="auto"/>
      </w:divBdr>
    </w:div>
    <w:div w:id="891118776">
      <w:bodyDiv w:val="1"/>
      <w:marLeft w:val="0"/>
      <w:marRight w:val="0"/>
      <w:marTop w:val="0"/>
      <w:marBottom w:val="0"/>
      <w:divBdr>
        <w:top w:val="none" w:sz="0" w:space="0" w:color="auto"/>
        <w:left w:val="none" w:sz="0" w:space="0" w:color="auto"/>
        <w:bottom w:val="none" w:sz="0" w:space="0" w:color="auto"/>
        <w:right w:val="none" w:sz="0" w:space="0" w:color="auto"/>
      </w:divBdr>
    </w:div>
    <w:div w:id="891160709">
      <w:bodyDiv w:val="1"/>
      <w:marLeft w:val="0"/>
      <w:marRight w:val="0"/>
      <w:marTop w:val="0"/>
      <w:marBottom w:val="0"/>
      <w:divBdr>
        <w:top w:val="none" w:sz="0" w:space="0" w:color="auto"/>
        <w:left w:val="none" w:sz="0" w:space="0" w:color="auto"/>
        <w:bottom w:val="none" w:sz="0" w:space="0" w:color="auto"/>
        <w:right w:val="none" w:sz="0" w:space="0" w:color="auto"/>
      </w:divBdr>
    </w:div>
    <w:div w:id="891231267">
      <w:bodyDiv w:val="1"/>
      <w:marLeft w:val="0"/>
      <w:marRight w:val="0"/>
      <w:marTop w:val="0"/>
      <w:marBottom w:val="0"/>
      <w:divBdr>
        <w:top w:val="none" w:sz="0" w:space="0" w:color="auto"/>
        <w:left w:val="none" w:sz="0" w:space="0" w:color="auto"/>
        <w:bottom w:val="none" w:sz="0" w:space="0" w:color="auto"/>
        <w:right w:val="none" w:sz="0" w:space="0" w:color="auto"/>
      </w:divBdr>
    </w:div>
    <w:div w:id="891769218">
      <w:bodyDiv w:val="1"/>
      <w:marLeft w:val="0"/>
      <w:marRight w:val="0"/>
      <w:marTop w:val="0"/>
      <w:marBottom w:val="0"/>
      <w:divBdr>
        <w:top w:val="none" w:sz="0" w:space="0" w:color="auto"/>
        <w:left w:val="none" w:sz="0" w:space="0" w:color="auto"/>
        <w:bottom w:val="none" w:sz="0" w:space="0" w:color="auto"/>
        <w:right w:val="none" w:sz="0" w:space="0" w:color="auto"/>
      </w:divBdr>
    </w:div>
    <w:div w:id="891965049">
      <w:bodyDiv w:val="1"/>
      <w:marLeft w:val="0"/>
      <w:marRight w:val="0"/>
      <w:marTop w:val="0"/>
      <w:marBottom w:val="0"/>
      <w:divBdr>
        <w:top w:val="none" w:sz="0" w:space="0" w:color="auto"/>
        <w:left w:val="none" w:sz="0" w:space="0" w:color="auto"/>
        <w:bottom w:val="none" w:sz="0" w:space="0" w:color="auto"/>
        <w:right w:val="none" w:sz="0" w:space="0" w:color="auto"/>
      </w:divBdr>
    </w:div>
    <w:div w:id="892156175">
      <w:bodyDiv w:val="1"/>
      <w:marLeft w:val="0"/>
      <w:marRight w:val="0"/>
      <w:marTop w:val="0"/>
      <w:marBottom w:val="0"/>
      <w:divBdr>
        <w:top w:val="none" w:sz="0" w:space="0" w:color="auto"/>
        <w:left w:val="none" w:sz="0" w:space="0" w:color="auto"/>
        <w:bottom w:val="none" w:sz="0" w:space="0" w:color="auto"/>
        <w:right w:val="none" w:sz="0" w:space="0" w:color="auto"/>
      </w:divBdr>
    </w:div>
    <w:div w:id="892304803">
      <w:bodyDiv w:val="1"/>
      <w:marLeft w:val="0"/>
      <w:marRight w:val="0"/>
      <w:marTop w:val="0"/>
      <w:marBottom w:val="0"/>
      <w:divBdr>
        <w:top w:val="none" w:sz="0" w:space="0" w:color="auto"/>
        <w:left w:val="none" w:sz="0" w:space="0" w:color="auto"/>
        <w:bottom w:val="none" w:sz="0" w:space="0" w:color="auto"/>
        <w:right w:val="none" w:sz="0" w:space="0" w:color="auto"/>
      </w:divBdr>
    </w:div>
    <w:div w:id="892424303">
      <w:bodyDiv w:val="1"/>
      <w:marLeft w:val="0"/>
      <w:marRight w:val="0"/>
      <w:marTop w:val="0"/>
      <w:marBottom w:val="0"/>
      <w:divBdr>
        <w:top w:val="none" w:sz="0" w:space="0" w:color="auto"/>
        <w:left w:val="none" w:sz="0" w:space="0" w:color="auto"/>
        <w:bottom w:val="none" w:sz="0" w:space="0" w:color="auto"/>
        <w:right w:val="none" w:sz="0" w:space="0" w:color="auto"/>
      </w:divBdr>
    </w:div>
    <w:div w:id="892472951">
      <w:bodyDiv w:val="1"/>
      <w:marLeft w:val="0"/>
      <w:marRight w:val="0"/>
      <w:marTop w:val="0"/>
      <w:marBottom w:val="0"/>
      <w:divBdr>
        <w:top w:val="none" w:sz="0" w:space="0" w:color="auto"/>
        <w:left w:val="none" w:sz="0" w:space="0" w:color="auto"/>
        <w:bottom w:val="none" w:sz="0" w:space="0" w:color="auto"/>
        <w:right w:val="none" w:sz="0" w:space="0" w:color="auto"/>
      </w:divBdr>
    </w:div>
    <w:div w:id="892539334">
      <w:bodyDiv w:val="1"/>
      <w:marLeft w:val="0"/>
      <w:marRight w:val="0"/>
      <w:marTop w:val="0"/>
      <w:marBottom w:val="0"/>
      <w:divBdr>
        <w:top w:val="none" w:sz="0" w:space="0" w:color="auto"/>
        <w:left w:val="none" w:sz="0" w:space="0" w:color="auto"/>
        <w:bottom w:val="none" w:sz="0" w:space="0" w:color="auto"/>
        <w:right w:val="none" w:sz="0" w:space="0" w:color="auto"/>
      </w:divBdr>
    </w:div>
    <w:div w:id="892539393">
      <w:bodyDiv w:val="1"/>
      <w:marLeft w:val="0"/>
      <w:marRight w:val="0"/>
      <w:marTop w:val="0"/>
      <w:marBottom w:val="0"/>
      <w:divBdr>
        <w:top w:val="none" w:sz="0" w:space="0" w:color="auto"/>
        <w:left w:val="none" w:sz="0" w:space="0" w:color="auto"/>
        <w:bottom w:val="none" w:sz="0" w:space="0" w:color="auto"/>
        <w:right w:val="none" w:sz="0" w:space="0" w:color="auto"/>
      </w:divBdr>
    </w:div>
    <w:div w:id="892618990">
      <w:bodyDiv w:val="1"/>
      <w:marLeft w:val="0"/>
      <w:marRight w:val="0"/>
      <w:marTop w:val="0"/>
      <w:marBottom w:val="0"/>
      <w:divBdr>
        <w:top w:val="none" w:sz="0" w:space="0" w:color="auto"/>
        <w:left w:val="none" w:sz="0" w:space="0" w:color="auto"/>
        <w:bottom w:val="none" w:sz="0" w:space="0" w:color="auto"/>
        <w:right w:val="none" w:sz="0" w:space="0" w:color="auto"/>
      </w:divBdr>
    </w:div>
    <w:div w:id="892691560">
      <w:bodyDiv w:val="1"/>
      <w:marLeft w:val="0"/>
      <w:marRight w:val="0"/>
      <w:marTop w:val="0"/>
      <w:marBottom w:val="0"/>
      <w:divBdr>
        <w:top w:val="none" w:sz="0" w:space="0" w:color="auto"/>
        <w:left w:val="none" w:sz="0" w:space="0" w:color="auto"/>
        <w:bottom w:val="none" w:sz="0" w:space="0" w:color="auto"/>
        <w:right w:val="none" w:sz="0" w:space="0" w:color="auto"/>
      </w:divBdr>
    </w:div>
    <w:div w:id="892697742">
      <w:bodyDiv w:val="1"/>
      <w:marLeft w:val="0"/>
      <w:marRight w:val="0"/>
      <w:marTop w:val="0"/>
      <w:marBottom w:val="0"/>
      <w:divBdr>
        <w:top w:val="none" w:sz="0" w:space="0" w:color="auto"/>
        <w:left w:val="none" w:sz="0" w:space="0" w:color="auto"/>
        <w:bottom w:val="none" w:sz="0" w:space="0" w:color="auto"/>
        <w:right w:val="none" w:sz="0" w:space="0" w:color="auto"/>
      </w:divBdr>
    </w:div>
    <w:div w:id="892698433">
      <w:bodyDiv w:val="1"/>
      <w:marLeft w:val="0"/>
      <w:marRight w:val="0"/>
      <w:marTop w:val="0"/>
      <w:marBottom w:val="0"/>
      <w:divBdr>
        <w:top w:val="none" w:sz="0" w:space="0" w:color="auto"/>
        <w:left w:val="none" w:sz="0" w:space="0" w:color="auto"/>
        <w:bottom w:val="none" w:sz="0" w:space="0" w:color="auto"/>
        <w:right w:val="none" w:sz="0" w:space="0" w:color="auto"/>
      </w:divBdr>
    </w:div>
    <w:div w:id="893077309">
      <w:bodyDiv w:val="1"/>
      <w:marLeft w:val="0"/>
      <w:marRight w:val="0"/>
      <w:marTop w:val="0"/>
      <w:marBottom w:val="0"/>
      <w:divBdr>
        <w:top w:val="none" w:sz="0" w:space="0" w:color="auto"/>
        <w:left w:val="none" w:sz="0" w:space="0" w:color="auto"/>
        <w:bottom w:val="none" w:sz="0" w:space="0" w:color="auto"/>
        <w:right w:val="none" w:sz="0" w:space="0" w:color="auto"/>
      </w:divBdr>
    </w:div>
    <w:div w:id="893081963">
      <w:bodyDiv w:val="1"/>
      <w:marLeft w:val="0"/>
      <w:marRight w:val="0"/>
      <w:marTop w:val="0"/>
      <w:marBottom w:val="0"/>
      <w:divBdr>
        <w:top w:val="none" w:sz="0" w:space="0" w:color="auto"/>
        <w:left w:val="none" w:sz="0" w:space="0" w:color="auto"/>
        <w:bottom w:val="none" w:sz="0" w:space="0" w:color="auto"/>
        <w:right w:val="none" w:sz="0" w:space="0" w:color="auto"/>
      </w:divBdr>
    </w:div>
    <w:div w:id="893155430">
      <w:bodyDiv w:val="1"/>
      <w:marLeft w:val="0"/>
      <w:marRight w:val="0"/>
      <w:marTop w:val="0"/>
      <w:marBottom w:val="0"/>
      <w:divBdr>
        <w:top w:val="none" w:sz="0" w:space="0" w:color="auto"/>
        <w:left w:val="none" w:sz="0" w:space="0" w:color="auto"/>
        <w:bottom w:val="none" w:sz="0" w:space="0" w:color="auto"/>
        <w:right w:val="none" w:sz="0" w:space="0" w:color="auto"/>
      </w:divBdr>
    </w:div>
    <w:div w:id="893351913">
      <w:bodyDiv w:val="1"/>
      <w:marLeft w:val="0"/>
      <w:marRight w:val="0"/>
      <w:marTop w:val="0"/>
      <w:marBottom w:val="0"/>
      <w:divBdr>
        <w:top w:val="none" w:sz="0" w:space="0" w:color="auto"/>
        <w:left w:val="none" w:sz="0" w:space="0" w:color="auto"/>
        <w:bottom w:val="none" w:sz="0" w:space="0" w:color="auto"/>
        <w:right w:val="none" w:sz="0" w:space="0" w:color="auto"/>
      </w:divBdr>
    </w:div>
    <w:div w:id="893395362">
      <w:bodyDiv w:val="1"/>
      <w:marLeft w:val="0"/>
      <w:marRight w:val="0"/>
      <w:marTop w:val="0"/>
      <w:marBottom w:val="0"/>
      <w:divBdr>
        <w:top w:val="none" w:sz="0" w:space="0" w:color="auto"/>
        <w:left w:val="none" w:sz="0" w:space="0" w:color="auto"/>
        <w:bottom w:val="none" w:sz="0" w:space="0" w:color="auto"/>
        <w:right w:val="none" w:sz="0" w:space="0" w:color="auto"/>
      </w:divBdr>
    </w:div>
    <w:div w:id="893538359">
      <w:bodyDiv w:val="1"/>
      <w:marLeft w:val="0"/>
      <w:marRight w:val="0"/>
      <w:marTop w:val="0"/>
      <w:marBottom w:val="0"/>
      <w:divBdr>
        <w:top w:val="none" w:sz="0" w:space="0" w:color="auto"/>
        <w:left w:val="none" w:sz="0" w:space="0" w:color="auto"/>
        <w:bottom w:val="none" w:sz="0" w:space="0" w:color="auto"/>
        <w:right w:val="none" w:sz="0" w:space="0" w:color="auto"/>
      </w:divBdr>
    </w:div>
    <w:div w:id="893614147">
      <w:bodyDiv w:val="1"/>
      <w:marLeft w:val="0"/>
      <w:marRight w:val="0"/>
      <w:marTop w:val="0"/>
      <w:marBottom w:val="0"/>
      <w:divBdr>
        <w:top w:val="none" w:sz="0" w:space="0" w:color="auto"/>
        <w:left w:val="none" w:sz="0" w:space="0" w:color="auto"/>
        <w:bottom w:val="none" w:sz="0" w:space="0" w:color="auto"/>
        <w:right w:val="none" w:sz="0" w:space="0" w:color="auto"/>
      </w:divBdr>
    </w:div>
    <w:div w:id="893659185">
      <w:bodyDiv w:val="1"/>
      <w:marLeft w:val="0"/>
      <w:marRight w:val="0"/>
      <w:marTop w:val="0"/>
      <w:marBottom w:val="0"/>
      <w:divBdr>
        <w:top w:val="none" w:sz="0" w:space="0" w:color="auto"/>
        <w:left w:val="none" w:sz="0" w:space="0" w:color="auto"/>
        <w:bottom w:val="none" w:sz="0" w:space="0" w:color="auto"/>
        <w:right w:val="none" w:sz="0" w:space="0" w:color="auto"/>
      </w:divBdr>
    </w:div>
    <w:div w:id="893665111">
      <w:bodyDiv w:val="1"/>
      <w:marLeft w:val="0"/>
      <w:marRight w:val="0"/>
      <w:marTop w:val="0"/>
      <w:marBottom w:val="0"/>
      <w:divBdr>
        <w:top w:val="none" w:sz="0" w:space="0" w:color="auto"/>
        <w:left w:val="none" w:sz="0" w:space="0" w:color="auto"/>
        <w:bottom w:val="none" w:sz="0" w:space="0" w:color="auto"/>
        <w:right w:val="none" w:sz="0" w:space="0" w:color="auto"/>
      </w:divBdr>
    </w:div>
    <w:div w:id="893781770">
      <w:bodyDiv w:val="1"/>
      <w:marLeft w:val="0"/>
      <w:marRight w:val="0"/>
      <w:marTop w:val="0"/>
      <w:marBottom w:val="0"/>
      <w:divBdr>
        <w:top w:val="none" w:sz="0" w:space="0" w:color="auto"/>
        <w:left w:val="none" w:sz="0" w:space="0" w:color="auto"/>
        <w:bottom w:val="none" w:sz="0" w:space="0" w:color="auto"/>
        <w:right w:val="none" w:sz="0" w:space="0" w:color="auto"/>
      </w:divBdr>
    </w:div>
    <w:div w:id="893807335">
      <w:bodyDiv w:val="1"/>
      <w:marLeft w:val="0"/>
      <w:marRight w:val="0"/>
      <w:marTop w:val="0"/>
      <w:marBottom w:val="0"/>
      <w:divBdr>
        <w:top w:val="none" w:sz="0" w:space="0" w:color="auto"/>
        <w:left w:val="none" w:sz="0" w:space="0" w:color="auto"/>
        <w:bottom w:val="none" w:sz="0" w:space="0" w:color="auto"/>
        <w:right w:val="none" w:sz="0" w:space="0" w:color="auto"/>
      </w:divBdr>
    </w:div>
    <w:div w:id="894008757">
      <w:bodyDiv w:val="1"/>
      <w:marLeft w:val="0"/>
      <w:marRight w:val="0"/>
      <w:marTop w:val="0"/>
      <w:marBottom w:val="0"/>
      <w:divBdr>
        <w:top w:val="none" w:sz="0" w:space="0" w:color="auto"/>
        <w:left w:val="none" w:sz="0" w:space="0" w:color="auto"/>
        <w:bottom w:val="none" w:sz="0" w:space="0" w:color="auto"/>
        <w:right w:val="none" w:sz="0" w:space="0" w:color="auto"/>
      </w:divBdr>
    </w:div>
    <w:div w:id="894119686">
      <w:bodyDiv w:val="1"/>
      <w:marLeft w:val="0"/>
      <w:marRight w:val="0"/>
      <w:marTop w:val="0"/>
      <w:marBottom w:val="0"/>
      <w:divBdr>
        <w:top w:val="none" w:sz="0" w:space="0" w:color="auto"/>
        <w:left w:val="none" w:sz="0" w:space="0" w:color="auto"/>
        <w:bottom w:val="none" w:sz="0" w:space="0" w:color="auto"/>
        <w:right w:val="none" w:sz="0" w:space="0" w:color="auto"/>
      </w:divBdr>
    </w:div>
    <w:div w:id="894241209">
      <w:bodyDiv w:val="1"/>
      <w:marLeft w:val="0"/>
      <w:marRight w:val="0"/>
      <w:marTop w:val="0"/>
      <w:marBottom w:val="0"/>
      <w:divBdr>
        <w:top w:val="none" w:sz="0" w:space="0" w:color="auto"/>
        <w:left w:val="none" w:sz="0" w:space="0" w:color="auto"/>
        <w:bottom w:val="none" w:sz="0" w:space="0" w:color="auto"/>
        <w:right w:val="none" w:sz="0" w:space="0" w:color="auto"/>
      </w:divBdr>
    </w:div>
    <w:div w:id="894437080">
      <w:bodyDiv w:val="1"/>
      <w:marLeft w:val="0"/>
      <w:marRight w:val="0"/>
      <w:marTop w:val="0"/>
      <w:marBottom w:val="0"/>
      <w:divBdr>
        <w:top w:val="none" w:sz="0" w:space="0" w:color="auto"/>
        <w:left w:val="none" w:sz="0" w:space="0" w:color="auto"/>
        <w:bottom w:val="none" w:sz="0" w:space="0" w:color="auto"/>
        <w:right w:val="none" w:sz="0" w:space="0" w:color="auto"/>
      </w:divBdr>
    </w:div>
    <w:div w:id="894462275">
      <w:bodyDiv w:val="1"/>
      <w:marLeft w:val="0"/>
      <w:marRight w:val="0"/>
      <w:marTop w:val="0"/>
      <w:marBottom w:val="0"/>
      <w:divBdr>
        <w:top w:val="none" w:sz="0" w:space="0" w:color="auto"/>
        <w:left w:val="none" w:sz="0" w:space="0" w:color="auto"/>
        <w:bottom w:val="none" w:sz="0" w:space="0" w:color="auto"/>
        <w:right w:val="none" w:sz="0" w:space="0" w:color="auto"/>
      </w:divBdr>
    </w:div>
    <w:div w:id="894507666">
      <w:bodyDiv w:val="1"/>
      <w:marLeft w:val="0"/>
      <w:marRight w:val="0"/>
      <w:marTop w:val="0"/>
      <w:marBottom w:val="0"/>
      <w:divBdr>
        <w:top w:val="none" w:sz="0" w:space="0" w:color="auto"/>
        <w:left w:val="none" w:sz="0" w:space="0" w:color="auto"/>
        <w:bottom w:val="none" w:sz="0" w:space="0" w:color="auto"/>
        <w:right w:val="none" w:sz="0" w:space="0" w:color="auto"/>
      </w:divBdr>
    </w:div>
    <w:div w:id="894580974">
      <w:bodyDiv w:val="1"/>
      <w:marLeft w:val="0"/>
      <w:marRight w:val="0"/>
      <w:marTop w:val="0"/>
      <w:marBottom w:val="0"/>
      <w:divBdr>
        <w:top w:val="none" w:sz="0" w:space="0" w:color="auto"/>
        <w:left w:val="none" w:sz="0" w:space="0" w:color="auto"/>
        <w:bottom w:val="none" w:sz="0" w:space="0" w:color="auto"/>
        <w:right w:val="none" w:sz="0" w:space="0" w:color="auto"/>
      </w:divBdr>
    </w:div>
    <w:div w:id="894584201">
      <w:bodyDiv w:val="1"/>
      <w:marLeft w:val="0"/>
      <w:marRight w:val="0"/>
      <w:marTop w:val="0"/>
      <w:marBottom w:val="0"/>
      <w:divBdr>
        <w:top w:val="none" w:sz="0" w:space="0" w:color="auto"/>
        <w:left w:val="none" w:sz="0" w:space="0" w:color="auto"/>
        <w:bottom w:val="none" w:sz="0" w:space="0" w:color="auto"/>
        <w:right w:val="none" w:sz="0" w:space="0" w:color="auto"/>
      </w:divBdr>
    </w:div>
    <w:div w:id="894584951">
      <w:bodyDiv w:val="1"/>
      <w:marLeft w:val="0"/>
      <w:marRight w:val="0"/>
      <w:marTop w:val="0"/>
      <w:marBottom w:val="0"/>
      <w:divBdr>
        <w:top w:val="none" w:sz="0" w:space="0" w:color="auto"/>
        <w:left w:val="none" w:sz="0" w:space="0" w:color="auto"/>
        <w:bottom w:val="none" w:sz="0" w:space="0" w:color="auto"/>
        <w:right w:val="none" w:sz="0" w:space="0" w:color="auto"/>
      </w:divBdr>
    </w:div>
    <w:div w:id="894894500">
      <w:bodyDiv w:val="1"/>
      <w:marLeft w:val="0"/>
      <w:marRight w:val="0"/>
      <w:marTop w:val="0"/>
      <w:marBottom w:val="0"/>
      <w:divBdr>
        <w:top w:val="none" w:sz="0" w:space="0" w:color="auto"/>
        <w:left w:val="none" w:sz="0" w:space="0" w:color="auto"/>
        <w:bottom w:val="none" w:sz="0" w:space="0" w:color="auto"/>
        <w:right w:val="none" w:sz="0" w:space="0" w:color="auto"/>
      </w:divBdr>
    </w:div>
    <w:div w:id="894968773">
      <w:bodyDiv w:val="1"/>
      <w:marLeft w:val="0"/>
      <w:marRight w:val="0"/>
      <w:marTop w:val="0"/>
      <w:marBottom w:val="0"/>
      <w:divBdr>
        <w:top w:val="none" w:sz="0" w:space="0" w:color="auto"/>
        <w:left w:val="none" w:sz="0" w:space="0" w:color="auto"/>
        <w:bottom w:val="none" w:sz="0" w:space="0" w:color="auto"/>
        <w:right w:val="none" w:sz="0" w:space="0" w:color="auto"/>
      </w:divBdr>
    </w:div>
    <w:div w:id="894976558">
      <w:bodyDiv w:val="1"/>
      <w:marLeft w:val="0"/>
      <w:marRight w:val="0"/>
      <w:marTop w:val="0"/>
      <w:marBottom w:val="0"/>
      <w:divBdr>
        <w:top w:val="none" w:sz="0" w:space="0" w:color="auto"/>
        <w:left w:val="none" w:sz="0" w:space="0" w:color="auto"/>
        <w:bottom w:val="none" w:sz="0" w:space="0" w:color="auto"/>
        <w:right w:val="none" w:sz="0" w:space="0" w:color="auto"/>
      </w:divBdr>
    </w:div>
    <w:div w:id="895318767">
      <w:bodyDiv w:val="1"/>
      <w:marLeft w:val="0"/>
      <w:marRight w:val="0"/>
      <w:marTop w:val="0"/>
      <w:marBottom w:val="0"/>
      <w:divBdr>
        <w:top w:val="none" w:sz="0" w:space="0" w:color="auto"/>
        <w:left w:val="none" w:sz="0" w:space="0" w:color="auto"/>
        <w:bottom w:val="none" w:sz="0" w:space="0" w:color="auto"/>
        <w:right w:val="none" w:sz="0" w:space="0" w:color="auto"/>
      </w:divBdr>
    </w:div>
    <w:div w:id="895319953">
      <w:bodyDiv w:val="1"/>
      <w:marLeft w:val="0"/>
      <w:marRight w:val="0"/>
      <w:marTop w:val="0"/>
      <w:marBottom w:val="0"/>
      <w:divBdr>
        <w:top w:val="none" w:sz="0" w:space="0" w:color="auto"/>
        <w:left w:val="none" w:sz="0" w:space="0" w:color="auto"/>
        <w:bottom w:val="none" w:sz="0" w:space="0" w:color="auto"/>
        <w:right w:val="none" w:sz="0" w:space="0" w:color="auto"/>
      </w:divBdr>
    </w:div>
    <w:div w:id="895438408">
      <w:bodyDiv w:val="1"/>
      <w:marLeft w:val="0"/>
      <w:marRight w:val="0"/>
      <w:marTop w:val="0"/>
      <w:marBottom w:val="0"/>
      <w:divBdr>
        <w:top w:val="none" w:sz="0" w:space="0" w:color="auto"/>
        <w:left w:val="none" w:sz="0" w:space="0" w:color="auto"/>
        <w:bottom w:val="none" w:sz="0" w:space="0" w:color="auto"/>
        <w:right w:val="none" w:sz="0" w:space="0" w:color="auto"/>
      </w:divBdr>
    </w:div>
    <w:div w:id="895510367">
      <w:bodyDiv w:val="1"/>
      <w:marLeft w:val="0"/>
      <w:marRight w:val="0"/>
      <w:marTop w:val="0"/>
      <w:marBottom w:val="0"/>
      <w:divBdr>
        <w:top w:val="none" w:sz="0" w:space="0" w:color="auto"/>
        <w:left w:val="none" w:sz="0" w:space="0" w:color="auto"/>
        <w:bottom w:val="none" w:sz="0" w:space="0" w:color="auto"/>
        <w:right w:val="none" w:sz="0" w:space="0" w:color="auto"/>
      </w:divBdr>
    </w:div>
    <w:div w:id="895698229">
      <w:bodyDiv w:val="1"/>
      <w:marLeft w:val="0"/>
      <w:marRight w:val="0"/>
      <w:marTop w:val="0"/>
      <w:marBottom w:val="0"/>
      <w:divBdr>
        <w:top w:val="none" w:sz="0" w:space="0" w:color="auto"/>
        <w:left w:val="none" w:sz="0" w:space="0" w:color="auto"/>
        <w:bottom w:val="none" w:sz="0" w:space="0" w:color="auto"/>
        <w:right w:val="none" w:sz="0" w:space="0" w:color="auto"/>
      </w:divBdr>
    </w:div>
    <w:div w:id="895705628">
      <w:bodyDiv w:val="1"/>
      <w:marLeft w:val="0"/>
      <w:marRight w:val="0"/>
      <w:marTop w:val="0"/>
      <w:marBottom w:val="0"/>
      <w:divBdr>
        <w:top w:val="none" w:sz="0" w:space="0" w:color="auto"/>
        <w:left w:val="none" w:sz="0" w:space="0" w:color="auto"/>
        <w:bottom w:val="none" w:sz="0" w:space="0" w:color="auto"/>
        <w:right w:val="none" w:sz="0" w:space="0" w:color="auto"/>
      </w:divBdr>
    </w:div>
    <w:div w:id="895815532">
      <w:bodyDiv w:val="1"/>
      <w:marLeft w:val="0"/>
      <w:marRight w:val="0"/>
      <w:marTop w:val="0"/>
      <w:marBottom w:val="0"/>
      <w:divBdr>
        <w:top w:val="none" w:sz="0" w:space="0" w:color="auto"/>
        <w:left w:val="none" w:sz="0" w:space="0" w:color="auto"/>
        <w:bottom w:val="none" w:sz="0" w:space="0" w:color="auto"/>
        <w:right w:val="none" w:sz="0" w:space="0" w:color="auto"/>
      </w:divBdr>
    </w:div>
    <w:div w:id="895890862">
      <w:bodyDiv w:val="1"/>
      <w:marLeft w:val="0"/>
      <w:marRight w:val="0"/>
      <w:marTop w:val="0"/>
      <w:marBottom w:val="0"/>
      <w:divBdr>
        <w:top w:val="none" w:sz="0" w:space="0" w:color="auto"/>
        <w:left w:val="none" w:sz="0" w:space="0" w:color="auto"/>
        <w:bottom w:val="none" w:sz="0" w:space="0" w:color="auto"/>
        <w:right w:val="none" w:sz="0" w:space="0" w:color="auto"/>
      </w:divBdr>
    </w:div>
    <w:div w:id="895894376">
      <w:bodyDiv w:val="1"/>
      <w:marLeft w:val="0"/>
      <w:marRight w:val="0"/>
      <w:marTop w:val="0"/>
      <w:marBottom w:val="0"/>
      <w:divBdr>
        <w:top w:val="none" w:sz="0" w:space="0" w:color="auto"/>
        <w:left w:val="none" w:sz="0" w:space="0" w:color="auto"/>
        <w:bottom w:val="none" w:sz="0" w:space="0" w:color="auto"/>
        <w:right w:val="none" w:sz="0" w:space="0" w:color="auto"/>
      </w:divBdr>
    </w:div>
    <w:div w:id="896431729">
      <w:bodyDiv w:val="1"/>
      <w:marLeft w:val="0"/>
      <w:marRight w:val="0"/>
      <w:marTop w:val="0"/>
      <w:marBottom w:val="0"/>
      <w:divBdr>
        <w:top w:val="none" w:sz="0" w:space="0" w:color="auto"/>
        <w:left w:val="none" w:sz="0" w:space="0" w:color="auto"/>
        <w:bottom w:val="none" w:sz="0" w:space="0" w:color="auto"/>
        <w:right w:val="none" w:sz="0" w:space="0" w:color="auto"/>
      </w:divBdr>
    </w:div>
    <w:div w:id="896745461">
      <w:bodyDiv w:val="1"/>
      <w:marLeft w:val="0"/>
      <w:marRight w:val="0"/>
      <w:marTop w:val="0"/>
      <w:marBottom w:val="0"/>
      <w:divBdr>
        <w:top w:val="none" w:sz="0" w:space="0" w:color="auto"/>
        <w:left w:val="none" w:sz="0" w:space="0" w:color="auto"/>
        <w:bottom w:val="none" w:sz="0" w:space="0" w:color="auto"/>
        <w:right w:val="none" w:sz="0" w:space="0" w:color="auto"/>
      </w:divBdr>
    </w:div>
    <w:div w:id="896817182">
      <w:bodyDiv w:val="1"/>
      <w:marLeft w:val="0"/>
      <w:marRight w:val="0"/>
      <w:marTop w:val="0"/>
      <w:marBottom w:val="0"/>
      <w:divBdr>
        <w:top w:val="none" w:sz="0" w:space="0" w:color="auto"/>
        <w:left w:val="none" w:sz="0" w:space="0" w:color="auto"/>
        <w:bottom w:val="none" w:sz="0" w:space="0" w:color="auto"/>
        <w:right w:val="none" w:sz="0" w:space="0" w:color="auto"/>
      </w:divBdr>
    </w:div>
    <w:div w:id="896820428">
      <w:bodyDiv w:val="1"/>
      <w:marLeft w:val="0"/>
      <w:marRight w:val="0"/>
      <w:marTop w:val="0"/>
      <w:marBottom w:val="0"/>
      <w:divBdr>
        <w:top w:val="none" w:sz="0" w:space="0" w:color="auto"/>
        <w:left w:val="none" w:sz="0" w:space="0" w:color="auto"/>
        <w:bottom w:val="none" w:sz="0" w:space="0" w:color="auto"/>
        <w:right w:val="none" w:sz="0" w:space="0" w:color="auto"/>
      </w:divBdr>
    </w:div>
    <w:div w:id="896935426">
      <w:bodyDiv w:val="1"/>
      <w:marLeft w:val="0"/>
      <w:marRight w:val="0"/>
      <w:marTop w:val="0"/>
      <w:marBottom w:val="0"/>
      <w:divBdr>
        <w:top w:val="none" w:sz="0" w:space="0" w:color="auto"/>
        <w:left w:val="none" w:sz="0" w:space="0" w:color="auto"/>
        <w:bottom w:val="none" w:sz="0" w:space="0" w:color="auto"/>
        <w:right w:val="none" w:sz="0" w:space="0" w:color="auto"/>
      </w:divBdr>
    </w:div>
    <w:div w:id="897083496">
      <w:bodyDiv w:val="1"/>
      <w:marLeft w:val="0"/>
      <w:marRight w:val="0"/>
      <w:marTop w:val="0"/>
      <w:marBottom w:val="0"/>
      <w:divBdr>
        <w:top w:val="none" w:sz="0" w:space="0" w:color="auto"/>
        <w:left w:val="none" w:sz="0" w:space="0" w:color="auto"/>
        <w:bottom w:val="none" w:sz="0" w:space="0" w:color="auto"/>
        <w:right w:val="none" w:sz="0" w:space="0" w:color="auto"/>
      </w:divBdr>
    </w:div>
    <w:div w:id="897279072">
      <w:bodyDiv w:val="1"/>
      <w:marLeft w:val="0"/>
      <w:marRight w:val="0"/>
      <w:marTop w:val="0"/>
      <w:marBottom w:val="0"/>
      <w:divBdr>
        <w:top w:val="none" w:sz="0" w:space="0" w:color="auto"/>
        <w:left w:val="none" w:sz="0" w:space="0" w:color="auto"/>
        <w:bottom w:val="none" w:sz="0" w:space="0" w:color="auto"/>
        <w:right w:val="none" w:sz="0" w:space="0" w:color="auto"/>
      </w:divBdr>
    </w:div>
    <w:div w:id="897279543">
      <w:bodyDiv w:val="1"/>
      <w:marLeft w:val="0"/>
      <w:marRight w:val="0"/>
      <w:marTop w:val="0"/>
      <w:marBottom w:val="0"/>
      <w:divBdr>
        <w:top w:val="none" w:sz="0" w:space="0" w:color="auto"/>
        <w:left w:val="none" w:sz="0" w:space="0" w:color="auto"/>
        <w:bottom w:val="none" w:sz="0" w:space="0" w:color="auto"/>
        <w:right w:val="none" w:sz="0" w:space="0" w:color="auto"/>
      </w:divBdr>
    </w:div>
    <w:div w:id="897319223">
      <w:bodyDiv w:val="1"/>
      <w:marLeft w:val="0"/>
      <w:marRight w:val="0"/>
      <w:marTop w:val="0"/>
      <w:marBottom w:val="0"/>
      <w:divBdr>
        <w:top w:val="none" w:sz="0" w:space="0" w:color="auto"/>
        <w:left w:val="none" w:sz="0" w:space="0" w:color="auto"/>
        <w:bottom w:val="none" w:sz="0" w:space="0" w:color="auto"/>
        <w:right w:val="none" w:sz="0" w:space="0" w:color="auto"/>
      </w:divBdr>
    </w:div>
    <w:div w:id="897470419">
      <w:bodyDiv w:val="1"/>
      <w:marLeft w:val="0"/>
      <w:marRight w:val="0"/>
      <w:marTop w:val="0"/>
      <w:marBottom w:val="0"/>
      <w:divBdr>
        <w:top w:val="none" w:sz="0" w:space="0" w:color="auto"/>
        <w:left w:val="none" w:sz="0" w:space="0" w:color="auto"/>
        <w:bottom w:val="none" w:sz="0" w:space="0" w:color="auto"/>
        <w:right w:val="none" w:sz="0" w:space="0" w:color="auto"/>
      </w:divBdr>
    </w:div>
    <w:div w:id="897547054">
      <w:bodyDiv w:val="1"/>
      <w:marLeft w:val="0"/>
      <w:marRight w:val="0"/>
      <w:marTop w:val="0"/>
      <w:marBottom w:val="0"/>
      <w:divBdr>
        <w:top w:val="none" w:sz="0" w:space="0" w:color="auto"/>
        <w:left w:val="none" w:sz="0" w:space="0" w:color="auto"/>
        <w:bottom w:val="none" w:sz="0" w:space="0" w:color="auto"/>
        <w:right w:val="none" w:sz="0" w:space="0" w:color="auto"/>
      </w:divBdr>
    </w:div>
    <w:div w:id="897547668">
      <w:bodyDiv w:val="1"/>
      <w:marLeft w:val="0"/>
      <w:marRight w:val="0"/>
      <w:marTop w:val="0"/>
      <w:marBottom w:val="0"/>
      <w:divBdr>
        <w:top w:val="none" w:sz="0" w:space="0" w:color="auto"/>
        <w:left w:val="none" w:sz="0" w:space="0" w:color="auto"/>
        <w:bottom w:val="none" w:sz="0" w:space="0" w:color="auto"/>
        <w:right w:val="none" w:sz="0" w:space="0" w:color="auto"/>
      </w:divBdr>
    </w:div>
    <w:div w:id="897596149">
      <w:bodyDiv w:val="1"/>
      <w:marLeft w:val="0"/>
      <w:marRight w:val="0"/>
      <w:marTop w:val="0"/>
      <w:marBottom w:val="0"/>
      <w:divBdr>
        <w:top w:val="none" w:sz="0" w:space="0" w:color="auto"/>
        <w:left w:val="none" w:sz="0" w:space="0" w:color="auto"/>
        <w:bottom w:val="none" w:sz="0" w:space="0" w:color="auto"/>
        <w:right w:val="none" w:sz="0" w:space="0" w:color="auto"/>
      </w:divBdr>
    </w:div>
    <w:div w:id="897596660">
      <w:bodyDiv w:val="1"/>
      <w:marLeft w:val="0"/>
      <w:marRight w:val="0"/>
      <w:marTop w:val="0"/>
      <w:marBottom w:val="0"/>
      <w:divBdr>
        <w:top w:val="none" w:sz="0" w:space="0" w:color="auto"/>
        <w:left w:val="none" w:sz="0" w:space="0" w:color="auto"/>
        <w:bottom w:val="none" w:sz="0" w:space="0" w:color="auto"/>
        <w:right w:val="none" w:sz="0" w:space="0" w:color="auto"/>
      </w:divBdr>
    </w:div>
    <w:div w:id="897667317">
      <w:bodyDiv w:val="1"/>
      <w:marLeft w:val="0"/>
      <w:marRight w:val="0"/>
      <w:marTop w:val="0"/>
      <w:marBottom w:val="0"/>
      <w:divBdr>
        <w:top w:val="none" w:sz="0" w:space="0" w:color="auto"/>
        <w:left w:val="none" w:sz="0" w:space="0" w:color="auto"/>
        <w:bottom w:val="none" w:sz="0" w:space="0" w:color="auto"/>
        <w:right w:val="none" w:sz="0" w:space="0" w:color="auto"/>
      </w:divBdr>
    </w:div>
    <w:div w:id="897789987">
      <w:bodyDiv w:val="1"/>
      <w:marLeft w:val="0"/>
      <w:marRight w:val="0"/>
      <w:marTop w:val="0"/>
      <w:marBottom w:val="0"/>
      <w:divBdr>
        <w:top w:val="none" w:sz="0" w:space="0" w:color="auto"/>
        <w:left w:val="none" w:sz="0" w:space="0" w:color="auto"/>
        <w:bottom w:val="none" w:sz="0" w:space="0" w:color="auto"/>
        <w:right w:val="none" w:sz="0" w:space="0" w:color="auto"/>
      </w:divBdr>
    </w:div>
    <w:div w:id="897856676">
      <w:bodyDiv w:val="1"/>
      <w:marLeft w:val="0"/>
      <w:marRight w:val="0"/>
      <w:marTop w:val="0"/>
      <w:marBottom w:val="0"/>
      <w:divBdr>
        <w:top w:val="none" w:sz="0" w:space="0" w:color="auto"/>
        <w:left w:val="none" w:sz="0" w:space="0" w:color="auto"/>
        <w:bottom w:val="none" w:sz="0" w:space="0" w:color="auto"/>
        <w:right w:val="none" w:sz="0" w:space="0" w:color="auto"/>
      </w:divBdr>
    </w:div>
    <w:div w:id="897976393">
      <w:bodyDiv w:val="1"/>
      <w:marLeft w:val="0"/>
      <w:marRight w:val="0"/>
      <w:marTop w:val="0"/>
      <w:marBottom w:val="0"/>
      <w:divBdr>
        <w:top w:val="none" w:sz="0" w:space="0" w:color="auto"/>
        <w:left w:val="none" w:sz="0" w:space="0" w:color="auto"/>
        <w:bottom w:val="none" w:sz="0" w:space="0" w:color="auto"/>
        <w:right w:val="none" w:sz="0" w:space="0" w:color="auto"/>
      </w:divBdr>
    </w:div>
    <w:div w:id="898251552">
      <w:bodyDiv w:val="1"/>
      <w:marLeft w:val="0"/>
      <w:marRight w:val="0"/>
      <w:marTop w:val="0"/>
      <w:marBottom w:val="0"/>
      <w:divBdr>
        <w:top w:val="none" w:sz="0" w:space="0" w:color="auto"/>
        <w:left w:val="none" w:sz="0" w:space="0" w:color="auto"/>
        <w:bottom w:val="none" w:sz="0" w:space="0" w:color="auto"/>
        <w:right w:val="none" w:sz="0" w:space="0" w:color="auto"/>
      </w:divBdr>
    </w:div>
    <w:div w:id="898436781">
      <w:bodyDiv w:val="1"/>
      <w:marLeft w:val="0"/>
      <w:marRight w:val="0"/>
      <w:marTop w:val="0"/>
      <w:marBottom w:val="0"/>
      <w:divBdr>
        <w:top w:val="none" w:sz="0" w:space="0" w:color="auto"/>
        <w:left w:val="none" w:sz="0" w:space="0" w:color="auto"/>
        <w:bottom w:val="none" w:sz="0" w:space="0" w:color="auto"/>
        <w:right w:val="none" w:sz="0" w:space="0" w:color="auto"/>
      </w:divBdr>
    </w:div>
    <w:div w:id="898639375">
      <w:bodyDiv w:val="1"/>
      <w:marLeft w:val="0"/>
      <w:marRight w:val="0"/>
      <w:marTop w:val="0"/>
      <w:marBottom w:val="0"/>
      <w:divBdr>
        <w:top w:val="none" w:sz="0" w:space="0" w:color="auto"/>
        <w:left w:val="none" w:sz="0" w:space="0" w:color="auto"/>
        <w:bottom w:val="none" w:sz="0" w:space="0" w:color="auto"/>
        <w:right w:val="none" w:sz="0" w:space="0" w:color="auto"/>
      </w:divBdr>
    </w:div>
    <w:div w:id="898900695">
      <w:bodyDiv w:val="1"/>
      <w:marLeft w:val="0"/>
      <w:marRight w:val="0"/>
      <w:marTop w:val="0"/>
      <w:marBottom w:val="0"/>
      <w:divBdr>
        <w:top w:val="none" w:sz="0" w:space="0" w:color="auto"/>
        <w:left w:val="none" w:sz="0" w:space="0" w:color="auto"/>
        <w:bottom w:val="none" w:sz="0" w:space="0" w:color="auto"/>
        <w:right w:val="none" w:sz="0" w:space="0" w:color="auto"/>
      </w:divBdr>
    </w:div>
    <w:div w:id="898980781">
      <w:bodyDiv w:val="1"/>
      <w:marLeft w:val="0"/>
      <w:marRight w:val="0"/>
      <w:marTop w:val="0"/>
      <w:marBottom w:val="0"/>
      <w:divBdr>
        <w:top w:val="none" w:sz="0" w:space="0" w:color="auto"/>
        <w:left w:val="none" w:sz="0" w:space="0" w:color="auto"/>
        <w:bottom w:val="none" w:sz="0" w:space="0" w:color="auto"/>
        <w:right w:val="none" w:sz="0" w:space="0" w:color="auto"/>
      </w:divBdr>
    </w:div>
    <w:div w:id="898983001">
      <w:bodyDiv w:val="1"/>
      <w:marLeft w:val="0"/>
      <w:marRight w:val="0"/>
      <w:marTop w:val="0"/>
      <w:marBottom w:val="0"/>
      <w:divBdr>
        <w:top w:val="none" w:sz="0" w:space="0" w:color="auto"/>
        <w:left w:val="none" w:sz="0" w:space="0" w:color="auto"/>
        <w:bottom w:val="none" w:sz="0" w:space="0" w:color="auto"/>
        <w:right w:val="none" w:sz="0" w:space="0" w:color="auto"/>
      </w:divBdr>
    </w:div>
    <w:div w:id="899022858">
      <w:bodyDiv w:val="1"/>
      <w:marLeft w:val="0"/>
      <w:marRight w:val="0"/>
      <w:marTop w:val="0"/>
      <w:marBottom w:val="0"/>
      <w:divBdr>
        <w:top w:val="none" w:sz="0" w:space="0" w:color="auto"/>
        <w:left w:val="none" w:sz="0" w:space="0" w:color="auto"/>
        <w:bottom w:val="none" w:sz="0" w:space="0" w:color="auto"/>
        <w:right w:val="none" w:sz="0" w:space="0" w:color="auto"/>
      </w:divBdr>
    </w:div>
    <w:div w:id="899023149">
      <w:bodyDiv w:val="1"/>
      <w:marLeft w:val="0"/>
      <w:marRight w:val="0"/>
      <w:marTop w:val="0"/>
      <w:marBottom w:val="0"/>
      <w:divBdr>
        <w:top w:val="none" w:sz="0" w:space="0" w:color="auto"/>
        <w:left w:val="none" w:sz="0" w:space="0" w:color="auto"/>
        <w:bottom w:val="none" w:sz="0" w:space="0" w:color="auto"/>
        <w:right w:val="none" w:sz="0" w:space="0" w:color="auto"/>
      </w:divBdr>
    </w:div>
    <w:div w:id="899286170">
      <w:bodyDiv w:val="1"/>
      <w:marLeft w:val="0"/>
      <w:marRight w:val="0"/>
      <w:marTop w:val="0"/>
      <w:marBottom w:val="0"/>
      <w:divBdr>
        <w:top w:val="none" w:sz="0" w:space="0" w:color="auto"/>
        <w:left w:val="none" w:sz="0" w:space="0" w:color="auto"/>
        <w:bottom w:val="none" w:sz="0" w:space="0" w:color="auto"/>
        <w:right w:val="none" w:sz="0" w:space="0" w:color="auto"/>
      </w:divBdr>
    </w:div>
    <w:div w:id="899487415">
      <w:bodyDiv w:val="1"/>
      <w:marLeft w:val="0"/>
      <w:marRight w:val="0"/>
      <w:marTop w:val="0"/>
      <w:marBottom w:val="0"/>
      <w:divBdr>
        <w:top w:val="none" w:sz="0" w:space="0" w:color="auto"/>
        <w:left w:val="none" w:sz="0" w:space="0" w:color="auto"/>
        <w:bottom w:val="none" w:sz="0" w:space="0" w:color="auto"/>
        <w:right w:val="none" w:sz="0" w:space="0" w:color="auto"/>
      </w:divBdr>
    </w:div>
    <w:div w:id="899558670">
      <w:bodyDiv w:val="1"/>
      <w:marLeft w:val="0"/>
      <w:marRight w:val="0"/>
      <w:marTop w:val="0"/>
      <w:marBottom w:val="0"/>
      <w:divBdr>
        <w:top w:val="none" w:sz="0" w:space="0" w:color="auto"/>
        <w:left w:val="none" w:sz="0" w:space="0" w:color="auto"/>
        <w:bottom w:val="none" w:sz="0" w:space="0" w:color="auto"/>
        <w:right w:val="none" w:sz="0" w:space="0" w:color="auto"/>
      </w:divBdr>
    </w:div>
    <w:div w:id="899558871">
      <w:bodyDiv w:val="1"/>
      <w:marLeft w:val="0"/>
      <w:marRight w:val="0"/>
      <w:marTop w:val="0"/>
      <w:marBottom w:val="0"/>
      <w:divBdr>
        <w:top w:val="none" w:sz="0" w:space="0" w:color="auto"/>
        <w:left w:val="none" w:sz="0" w:space="0" w:color="auto"/>
        <w:bottom w:val="none" w:sz="0" w:space="0" w:color="auto"/>
        <w:right w:val="none" w:sz="0" w:space="0" w:color="auto"/>
      </w:divBdr>
    </w:div>
    <w:div w:id="899629972">
      <w:bodyDiv w:val="1"/>
      <w:marLeft w:val="0"/>
      <w:marRight w:val="0"/>
      <w:marTop w:val="0"/>
      <w:marBottom w:val="0"/>
      <w:divBdr>
        <w:top w:val="none" w:sz="0" w:space="0" w:color="auto"/>
        <w:left w:val="none" w:sz="0" w:space="0" w:color="auto"/>
        <w:bottom w:val="none" w:sz="0" w:space="0" w:color="auto"/>
        <w:right w:val="none" w:sz="0" w:space="0" w:color="auto"/>
      </w:divBdr>
    </w:div>
    <w:div w:id="899822917">
      <w:bodyDiv w:val="1"/>
      <w:marLeft w:val="0"/>
      <w:marRight w:val="0"/>
      <w:marTop w:val="0"/>
      <w:marBottom w:val="0"/>
      <w:divBdr>
        <w:top w:val="none" w:sz="0" w:space="0" w:color="auto"/>
        <w:left w:val="none" w:sz="0" w:space="0" w:color="auto"/>
        <w:bottom w:val="none" w:sz="0" w:space="0" w:color="auto"/>
        <w:right w:val="none" w:sz="0" w:space="0" w:color="auto"/>
      </w:divBdr>
    </w:div>
    <w:div w:id="899825276">
      <w:bodyDiv w:val="1"/>
      <w:marLeft w:val="0"/>
      <w:marRight w:val="0"/>
      <w:marTop w:val="0"/>
      <w:marBottom w:val="0"/>
      <w:divBdr>
        <w:top w:val="none" w:sz="0" w:space="0" w:color="auto"/>
        <w:left w:val="none" w:sz="0" w:space="0" w:color="auto"/>
        <w:bottom w:val="none" w:sz="0" w:space="0" w:color="auto"/>
        <w:right w:val="none" w:sz="0" w:space="0" w:color="auto"/>
      </w:divBdr>
    </w:div>
    <w:div w:id="899901021">
      <w:bodyDiv w:val="1"/>
      <w:marLeft w:val="0"/>
      <w:marRight w:val="0"/>
      <w:marTop w:val="0"/>
      <w:marBottom w:val="0"/>
      <w:divBdr>
        <w:top w:val="none" w:sz="0" w:space="0" w:color="auto"/>
        <w:left w:val="none" w:sz="0" w:space="0" w:color="auto"/>
        <w:bottom w:val="none" w:sz="0" w:space="0" w:color="auto"/>
        <w:right w:val="none" w:sz="0" w:space="0" w:color="auto"/>
      </w:divBdr>
    </w:div>
    <w:div w:id="900018761">
      <w:bodyDiv w:val="1"/>
      <w:marLeft w:val="0"/>
      <w:marRight w:val="0"/>
      <w:marTop w:val="0"/>
      <w:marBottom w:val="0"/>
      <w:divBdr>
        <w:top w:val="none" w:sz="0" w:space="0" w:color="auto"/>
        <w:left w:val="none" w:sz="0" w:space="0" w:color="auto"/>
        <w:bottom w:val="none" w:sz="0" w:space="0" w:color="auto"/>
        <w:right w:val="none" w:sz="0" w:space="0" w:color="auto"/>
      </w:divBdr>
    </w:div>
    <w:div w:id="900021475">
      <w:bodyDiv w:val="1"/>
      <w:marLeft w:val="0"/>
      <w:marRight w:val="0"/>
      <w:marTop w:val="0"/>
      <w:marBottom w:val="0"/>
      <w:divBdr>
        <w:top w:val="none" w:sz="0" w:space="0" w:color="auto"/>
        <w:left w:val="none" w:sz="0" w:space="0" w:color="auto"/>
        <w:bottom w:val="none" w:sz="0" w:space="0" w:color="auto"/>
        <w:right w:val="none" w:sz="0" w:space="0" w:color="auto"/>
      </w:divBdr>
    </w:div>
    <w:div w:id="900477652">
      <w:bodyDiv w:val="1"/>
      <w:marLeft w:val="0"/>
      <w:marRight w:val="0"/>
      <w:marTop w:val="0"/>
      <w:marBottom w:val="0"/>
      <w:divBdr>
        <w:top w:val="none" w:sz="0" w:space="0" w:color="auto"/>
        <w:left w:val="none" w:sz="0" w:space="0" w:color="auto"/>
        <w:bottom w:val="none" w:sz="0" w:space="0" w:color="auto"/>
        <w:right w:val="none" w:sz="0" w:space="0" w:color="auto"/>
      </w:divBdr>
    </w:div>
    <w:div w:id="900675005">
      <w:bodyDiv w:val="1"/>
      <w:marLeft w:val="0"/>
      <w:marRight w:val="0"/>
      <w:marTop w:val="0"/>
      <w:marBottom w:val="0"/>
      <w:divBdr>
        <w:top w:val="none" w:sz="0" w:space="0" w:color="auto"/>
        <w:left w:val="none" w:sz="0" w:space="0" w:color="auto"/>
        <w:bottom w:val="none" w:sz="0" w:space="0" w:color="auto"/>
        <w:right w:val="none" w:sz="0" w:space="0" w:color="auto"/>
      </w:divBdr>
    </w:div>
    <w:div w:id="900676142">
      <w:bodyDiv w:val="1"/>
      <w:marLeft w:val="0"/>
      <w:marRight w:val="0"/>
      <w:marTop w:val="0"/>
      <w:marBottom w:val="0"/>
      <w:divBdr>
        <w:top w:val="none" w:sz="0" w:space="0" w:color="auto"/>
        <w:left w:val="none" w:sz="0" w:space="0" w:color="auto"/>
        <w:bottom w:val="none" w:sz="0" w:space="0" w:color="auto"/>
        <w:right w:val="none" w:sz="0" w:space="0" w:color="auto"/>
      </w:divBdr>
    </w:div>
    <w:div w:id="900871581">
      <w:bodyDiv w:val="1"/>
      <w:marLeft w:val="0"/>
      <w:marRight w:val="0"/>
      <w:marTop w:val="0"/>
      <w:marBottom w:val="0"/>
      <w:divBdr>
        <w:top w:val="none" w:sz="0" w:space="0" w:color="auto"/>
        <w:left w:val="none" w:sz="0" w:space="0" w:color="auto"/>
        <w:bottom w:val="none" w:sz="0" w:space="0" w:color="auto"/>
        <w:right w:val="none" w:sz="0" w:space="0" w:color="auto"/>
      </w:divBdr>
    </w:div>
    <w:div w:id="901065712">
      <w:bodyDiv w:val="1"/>
      <w:marLeft w:val="0"/>
      <w:marRight w:val="0"/>
      <w:marTop w:val="0"/>
      <w:marBottom w:val="0"/>
      <w:divBdr>
        <w:top w:val="none" w:sz="0" w:space="0" w:color="auto"/>
        <w:left w:val="none" w:sz="0" w:space="0" w:color="auto"/>
        <w:bottom w:val="none" w:sz="0" w:space="0" w:color="auto"/>
        <w:right w:val="none" w:sz="0" w:space="0" w:color="auto"/>
      </w:divBdr>
    </w:div>
    <w:div w:id="901451027">
      <w:bodyDiv w:val="1"/>
      <w:marLeft w:val="0"/>
      <w:marRight w:val="0"/>
      <w:marTop w:val="0"/>
      <w:marBottom w:val="0"/>
      <w:divBdr>
        <w:top w:val="none" w:sz="0" w:space="0" w:color="auto"/>
        <w:left w:val="none" w:sz="0" w:space="0" w:color="auto"/>
        <w:bottom w:val="none" w:sz="0" w:space="0" w:color="auto"/>
        <w:right w:val="none" w:sz="0" w:space="0" w:color="auto"/>
      </w:divBdr>
    </w:div>
    <w:div w:id="901478829">
      <w:bodyDiv w:val="1"/>
      <w:marLeft w:val="0"/>
      <w:marRight w:val="0"/>
      <w:marTop w:val="0"/>
      <w:marBottom w:val="0"/>
      <w:divBdr>
        <w:top w:val="none" w:sz="0" w:space="0" w:color="auto"/>
        <w:left w:val="none" w:sz="0" w:space="0" w:color="auto"/>
        <w:bottom w:val="none" w:sz="0" w:space="0" w:color="auto"/>
        <w:right w:val="none" w:sz="0" w:space="0" w:color="auto"/>
      </w:divBdr>
    </w:div>
    <w:div w:id="901673177">
      <w:bodyDiv w:val="1"/>
      <w:marLeft w:val="0"/>
      <w:marRight w:val="0"/>
      <w:marTop w:val="0"/>
      <w:marBottom w:val="0"/>
      <w:divBdr>
        <w:top w:val="none" w:sz="0" w:space="0" w:color="auto"/>
        <w:left w:val="none" w:sz="0" w:space="0" w:color="auto"/>
        <w:bottom w:val="none" w:sz="0" w:space="0" w:color="auto"/>
        <w:right w:val="none" w:sz="0" w:space="0" w:color="auto"/>
      </w:divBdr>
    </w:div>
    <w:div w:id="901788213">
      <w:bodyDiv w:val="1"/>
      <w:marLeft w:val="0"/>
      <w:marRight w:val="0"/>
      <w:marTop w:val="0"/>
      <w:marBottom w:val="0"/>
      <w:divBdr>
        <w:top w:val="none" w:sz="0" w:space="0" w:color="auto"/>
        <w:left w:val="none" w:sz="0" w:space="0" w:color="auto"/>
        <w:bottom w:val="none" w:sz="0" w:space="0" w:color="auto"/>
        <w:right w:val="none" w:sz="0" w:space="0" w:color="auto"/>
      </w:divBdr>
    </w:div>
    <w:div w:id="901788424">
      <w:bodyDiv w:val="1"/>
      <w:marLeft w:val="0"/>
      <w:marRight w:val="0"/>
      <w:marTop w:val="0"/>
      <w:marBottom w:val="0"/>
      <w:divBdr>
        <w:top w:val="none" w:sz="0" w:space="0" w:color="auto"/>
        <w:left w:val="none" w:sz="0" w:space="0" w:color="auto"/>
        <w:bottom w:val="none" w:sz="0" w:space="0" w:color="auto"/>
        <w:right w:val="none" w:sz="0" w:space="0" w:color="auto"/>
      </w:divBdr>
    </w:div>
    <w:div w:id="901789931">
      <w:bodyDiv w:val="1"/>
      <w:marLeft w:val="0"/>
      <w:marRight w:val="0"/>
      <w:marTop w:val="0"/>
      <w:marBottom w:val="0"/>
      <w:divBdr>
        <w:top w:val="none" w:sz="0" w:space="0" w:color="auto"/>
        <w:left w:val="none" w:sz="0" w:space="0" w:color="auto"/>
        <w:bottom w:val="none" w:sz="0" w:space="0" w:color="auto"/>
        <w:right w:val="none" w:sz="0" w:space="0" w:color="auto"/>
      </w:divBdr>
    </w:div>
    <w:div w:id="901789935">
      <w:bodyDiv w:val="1"/>
      <w:marLeft w:val="0"/>
      <w:marRight w:val="0"/>
      <w:marTop w:val="0"/>
      <w:marBottom w:val="0"/>
      <w:divBdr>
        <w:top w:val="none" w:sz="0" w:space="0" w:color="auto"/>
        <w:left w:val="none" w:sz="0" w:space="0" w:color="auto"/>
        <w:bottom w:val="none" w:sz="0" w:space="0" w:color="auto"/>
        <w:right w:val="none" w:sz="0" w:space="0" w:color="auto"/>
      </w:divBdr>
    </w:div>
    <w:div w:id="901866979">
      <w:bodyDiv w:val="1"/>
      <w:marLeft w:val="0"/>
      <w:marRight w:val="0"/>
      <w:marTop w:val="0"/>
      <w:marBottom w:val="0"/>
      <w:divBdr>
        <w:top w:val="none" w:sz="0" w:space="0" w:color="auto"/>
        <w:left w:val="none" w:sz="0" w:space="0" w:color="auto"/>
        <w:bottom w:val="none" w:sz="0" w:space="0" w:color="auto"/>
        <w:right w:val="none" w:sz="0" w:space="0" w:color="auto"/>
      </w:divBdr>
    </w:div>
    <w:div w:id="901908376">
      <w:bodyDiv w:val="1"/>
      <w:marLeft w:val="0"/>
      <w:marRight w:val="0"/>
      <w:marTop w:val="0"/>
      <w:marBottom w:val="0"/>
      <w:divBdr>
        <w:top w:val="none" w:sz="0" w:space="0" w:color="auto"/>
        <w:left w:val="none" w:sz="0" w:space="0" w:color="auto"/>
        <w:bottom w:val="none" w:sz="0" w:space="0" w:color="auto"/>
        <w:right w:val="none" w:sz="0" w:space="0" w:color="auto"/>
      </w:divBdr>
    </w:div>
    <w:div w:id="901915083">
      <w:bodyDiv w:val="1"/>
      <w:marLeft w:val="0"/>
      <w:marRight w:val="0"/>
      <w:marTop w:val="0"/>
      <w:marBottom w:val="0"/>
      <w:divBdr>
        <w:top w:val="none" w:sz="0" w:space="0" w:color="auto"/>
        <w:left w:val="none" w:sz="0" w:space="0" w:color="auto"/>
        <w:bottom w:val="none" w:sz="0" w:space="0" w:color="auto"/>
        <w:right w:val="none" w:sz="0" w:space="0" w:color="auto"/>
      </w:divBdr>
    </w:div>
    <w:div w:id="902177196">
      <w:bodyDiv w:val="1"/>
      <w:marLeft w:val="0"/>
      <w:marRight w:val="0"/>
      <w:marTop w:val="0"/>
      <w:marBottom w:val="0"/>
      <w:divBdr>
        <w:top w:val="none" w:sz="0" w:space="0" w:color="auto"/>
        <w:left w:val="none" w:sz="0" w:space="0" w:color="auto"/>
        <w:bottom w:val="none" w:sz="0" w:space="0" w:color="auto"/>
        <w:right w:val="none" w:sz="0" w:space="0" w:color="auto"/>
      </w:divBdr>
    </w:div>
    <w:div w:id="902329104">
      <w:bodyDiv w:val="1"/>
      <w:marLeft w:val="0"/>
      <w:marRight w:val="0"/>
      <w:marTop w:val="0"/>
      <w:marBottom w:val="0"/>
      <w:divBdr>
        <w:top w:val="none" w:sz="0" w:space="0" w:color="auto"/>
        <w:left w:val="none" w:sz="0" w:space="0" w:color="auto"/>
        <w:bottom w:val="none" w:sz="0" w:space="0" w:color="auto"/>
        <w:right w:val="none" w:sz="0" w:space="0" w:color="auto"/>
      </w:divBdr>
    </w:div>
    <w:div w:id="902370506">
      <w:bodyDiv w:val="1"/>
      <w:marLeft w:val="0"/>
      <w:marRight w:val="0"/>
      <w:marTop w:val="0"/>
      <w:marBottom w:val="0"/>
      <w:divBdr>
        <w:top w:val="none" w:sz="0" w:space="0" w:color="auto"/>
        <w:left w:val="none" w:sz="0" w:space="0" w:color="auto"/>
        <w:bottom w:val="none" w:sz="0" w:space="0" w:color="auto"/>
        <w:right w:val="none" w:sz="0" w:space="0" w:color="auto"/>
      </w:divBdr>
    </w:div>
    <w:div w:id="902377819">
      <w:bodyDiv w:val="1"/>
      <w:marLeft w:val="0"/>
      <w:marRight w:val="0"/>
      <w:marTop w:val="0"/>
      <w:marBottom w:val="0"/>
      <w:divBdr>
        <w:top w:val="none" w:sz="0" w:space="0" w:color="auto"/>
        <w:left w:val="none" w:sz="0" w:space="0" w:color="auto"/>
        <w:bottom w:val="none" w:sz="0" w:space="0" w:color="auto"/>
        <w:right w:val="none" w:sz="0" w:space="0" w:color="auto"/>
      </w:divBdr>
    </w:div>
    <w:div w:id="902719080">
      <w:bodyDiv w:val="1"/>
      <w:marLeft w:val="0"/>
      <w:marRight w:val="0"/>
      <w:marTop w:val="0"/>
      <w:marBottom w:val="0"/>
      <w:divBdr>
        <w:top w:val="none" w:sz="0" w:space="0" w:color="auto"/>
        <w:left w:val="none" w:sz="0" w:space="0" w:color="auto"/>
        <w:bottom w:val="none" w:sz="0" w:space="0" w:color="auto"/>
        <w:right w:val="none" w:sz="0" w:space="0" w:color="auto"/>
      </w:divBdr>
    </w:div>
    <w:div w:id="902986506">
      <w:bodyDiv w:val="1"/>
      <w:marLeft w:val="0"/>
      <w:marRight w:val="0"/>
      <w:marTop w:val="0"/>
      <w:marBottom w:val="0"/>
      <w:divBdr>
        <w:top w:val="none" w:sz="0" w:space="0" w:color="auto"/>
        <w:left w:val="none" w:sz="0" w:space="0" w:color="auto"/>
        <w:bottom w:val="none" w:sz="0" w:space="0" w:color="auto"/>
        <w:right w:val="none" w:sz="0" w:space="0" w:color="auto"/>
      </w:divBdr>
    </w:div>
    <w:div w:id="903098848">
      <w:bodyDiv w:val="1"/>
      <w:marLeft w:val="0"/>
      <w:marRight w:val="0"/>
      <w:marTop w:val="0"/>
      <w:marBottom w:val="0"/>
      <w:divBdr>
        <w:top w:val="none" w:sz="0" w:space="0" w:color="auto"/>
        <w:left w:val="none" w:sz="0" w:space="0" w:color="auto"/>
        <w:bottom w:val="none" w:sz="0" w:space="0" w:color="auto"/>
        <w:right w:val="none" w:sz="0" w:space="0" w:color="auto"/>
      </w:divBdr>
    </w:div>
    <w:div w:id="903217182">
      <w:bodyDiv w:val="1"/>
      <w:marLeft w:val="0"/>
      <w:marRight w:val="0"/>
      <w:marTop w:val="0"/>
      <w:marBottom w:val="0"/>
      <w:divBdr>
        <w:top w:val="none" w:sz="0" w:space="0" w:color="auto"/>
        <w:left w:val="none" w:sz="0" w:space="0" w:color="auto"/>
        <w:bottom w:val="none" w:sz="0" w:space="0" w:color="auto"/>
        <w:right w:val="none" w:sz="0" w:space="0" w:color="auto"/>
      </w:divBdr>
    </w:div>
    <w:div w:id="903416945">
      <w:bodyDiv w:val="1"/>
      <w:marLeft w:val="0"/>
      <w:marRight w:val="0"/>
      <w:marTop w:val="0"/>
      <w:marBottom w:val="0"/>
      <w:divBdr>
        <w:top w:val="none" w:sz="0" w:space="0" w:color="auto"/>
        <w:left w:val="none" w:sz="0" w:space="0" w:color="auto"/>
        <w:bottom w:val="none" w:sz="0" w:space="0" w:color="auto"/>
        <w:right w:val="none" w:sz="0" w:space="0" w:color="auto"/>
      </w:divBdr>
    </w:div>
    <w:div w:id="903568528">
      <w:bodyDiv w:val="1"/>
      <w:marLeft w:val="0"/>
      <w:marRight w:val="0"/>
      <w:marTop w:val="0"/>
      <w:marBottom w:val="0"/>
      <w:divBdr>
        <w:top w:val="none" w:sz="0" w:space="0" w:color="auto"/>
        <w:left w:val="none" w:sz="0" w:space="0" w:color="auto"/>
        <w:bottom w:val="none" w:sz="0" w:space="0" w:color="auto"/>
        <w:right w:val="none" w:sz="0" w:space="0" w:color="auto"/>
      </w:divBdr>
    </w:div>
    <w:div w:id="903763010">
      <w:bodyDiv w:val="1"/>
      <w:marLeft w:val="0"/>
      <w:marRight w:val="0"/>
      <w:marTop w:val="0"/>
      <w:marBottom w:val="0"/>
      <w:divBdr>
        <w:top w:val="none" w:sz="0" w:space="0" w:color="auto"/>
        <w:left w:val="none" w:sz="0" w:space="0" w:color="auto"/>
        <w:bottom w:val="none" w:sz="0" w:space="0" w:color="auto"/>
        <w:right w:val="none" w:sz="0" w:space="0" w:color="auto"/>
      </w:divBdr>
    </w:div>
    <w:div w:id="904070275">
      <w:bodyDiv w:val="1"/>
      <w:marLeft w:val="0"/>
      <w:marRight w:val="0"/>
      <w:marTop w:val="0"/>
      <w:marBottom w:val="0"/>
      <w:divBdr>
        <w:top w:val="none" w:sz="0" w:space="0" w:color="auto"/>
        <w:left w:val="none" w:sz="0" w:space="0" w:color="auto"/>
        <w:bottom w:val="none" w:sz="0" w:space="0" w:color="auto"/>
        <w:right w:val="none" w:sz="0" w:space="0" w:color="auto"/>
      </w:divBdr>
    </w:div>
    <w:div w:id="904098822">
      <w:bodyDiv w:val="1"/>
      <w:marLeft w:val="0"/>
      <w:marRight w:val="0"/>
      <w:marTop w:val="0"/>
      <w:marBottom w:val="0"/>
      <w:divBdr>
        <w:top w:val="none" w:sz="0" w:space="0" w:color="auto"/>
        <w:left w:val="none" w:sz="0" w:space="0" w:color="auto"/>
        <w:bottom w:val="none" w:sz="0" w:space="0" w:color="auto"/>
        <w:right w:val="none" w:sz="0" w:space="0" w:color="auto"/>
      </w:divBdr>
    </w:div>
    <w:div w:id="904144105">
      <w:bodyDiv w:val="1"/>
      <w:marLeft w:val="0"/>
      <w:marRight w:val="0"/>
      <w:marTop w:val="0"/>
      <w:marBottom w:val="0"/>
      <w:divBdr>
        <w:top w:val="none" w:sz="0" w:space="0" w:color="auto"/>
        <w:left w:val="none" w:sz="0" w:space="0" w:color="auto"/>
        <w:bottom w:val="none" w:sz="0" w:space="0" w:color="auto"/>
        <w:right w:val="none" w:sz="0" w:space="0" w:color="auto"/>
      </w:divBdr>
    </w:div>
    <w:div w:id="904145256">
      <w:bodyDiv w:val="1"/>
      <w:marLeft w:val="0"/>
      <w:marRight w:val="0"/>
      <w:marTop w:val="0"/>
      <w:marBottom w:val="0"/>
      <w:divBdr>
        <w:top w:val="none" w:sz="0" w:space="0" w:color="auto"/>
        <w:left w:val="none" w:sz="0" w:space="0" w:color="auto"/>
        <w:bottom w:val="none" w:sz="0" w:space="0" w:color="auto"/>
        <w:right w:val="none" w:sz="0" w:space="0" w:color="auto"/>
      </w:divBdr>
    </w:div>
    <w:div w:id="904146502">
      <w:bodyDiv w:val="1"/>
      <w:marLeft w:val="0"/>
      <w:marRight w:val="0"/>
      <w:marTop w:val="0"/>
      <w:marBottom w:val="0"/>
      <w:divBdr>
        <w:top w:val="none" w:sz="0" w:space="0" w:color="auto"/>
        <w:left w:val="none" w:sz="0" w:space="0" w:color="auto"/>
        <w:bottom w:val="none" w:sz="0" w:space="0" w:color="auto"/>
        <w:right w:val="none" w:sz="0" w:space="0" w:color="auto"/>
      </w:divBdr>
    </w:div>
    <w:div w:id="904292469">
      <w:bodyDiv w:val="1"/>
      <w:marLeft w:val="0"/>
      <w:marRight w:val="0"/>
      <w:marTop w:val="0"/>
      <w:marBottom w:val="0"/>
      <w:divBdr>
        <w:top w:val="none" w:sz="0" w:space="0" w:color="auto"/>
        <w:left w:val="none" w:sz="0" w:space="0" w:color="auto"/>
        <w:bottom w:val="none" w:sz="0" w:space="0" w:color="auto"/>
        <w:right w:val="none" w:sz="0" w:space="0" w:color="auto"/>
      </w:divBdr>
    </w:div>
    <w:div w:id="904294390">
      <w:bodyDiv w:val="1"/>
      <w:marLeft w:val="0"/>
      <w:marRight w:val="0"/>
      <w:marTop w:val="0"/>
      <w:marBottom w:val="0"/>
      <w:divBdr>
        <w:top w:val="none" w:sz="0" w:space="0" w:color="auto"/>
        <w:left w:val="none" w:sz="0" w:space="0" w:color="auto"/>
        <w:bottom w:val="none" w:sz="0" w:space="0" w:color="auto"/>
        <w:right w:val="none" w:sz="0" w:space="0" w:color="auto"/>
      </w:divBdr>
    </w:div>
    <w:div w:id="904335658">
      <w:bodyDiv w:val="1"/>
      <w:marLeft w:val="0"/>
      <w:marRight w:val="0"/>
      <w:marTop w:val="0"/>
      <w:marBottom w:val="0"/>
      <w:divBdr>
        <w:top w:val="none" w:sz="0" w:space="0" w:color="auto"/>
        <w:left w:val="none" w:sz="0" w:space="0" w:color="auto"/>
        <w:bottom w:val="none" w:sz="0" w:space="0" w:color="auto"/>
        <w:right w:val="none" w:sz="0" w:space="0" w:color="auto"/>
      </w:divBdr>
    </w:div>
    <w:div w:id="904340413">
      <w:bodyDiv w:val="1"/>
      <w:marLeft w:val="0"/>
      <w:marRight w:val="0"/>
      <w:marTop w:val="0"/>
      <w:marBottom w:val="0"/>
      <w:divBdr>
        <w:top w:val="none" w:sz="0" w:space="0" w:color="auto"/>
        <w:left w:val="none" w:sz="0" w:space="0" w:color="auto"/>
        <w:bottom w:val="none" w:sz="0" w:space="0" w:color="auto"/>
        <w:right w:val="none" w:sz="0" w:space="0" w:color="auto"/>
      </w:divBdr>
    </w:div>
    <w:div w:id="904416811">
      <w:bodyDiv w:val="1"/>
      <w:marLeft w:val="0"/>
      <w:marRight w:val="0"/>
      <w:marTop w:val="0"/>
      <w:marBottom w:val="0"/>
      <w:divBdr>
        <w:top w:val="none" w:sz="0" w:space="0" w:color="auto"/>
        <w:left w:val="none" w:sz="0" w:space="0" w:color="auto"/>
        <w:bottom w:val="none" w:sz="0" w:space="0" w:color="auto"/>
        <w:right w:val="none" w:sz="0" w:space="0" w:color="auto"/>
      </w:divBdr>
    </w:div>
    <w:div w:id="904604219">
      <w:bodyDiv w:val="1"/>
      <w:marLeft w:val="0"/>
      <w:marRight w:val="0"/>
      <w:marTop w:val="0"/>
      <w:marBottom w:val="0"/>
      <w:divBdr>
        <w:top w:val="none" w:sz="0" w:space="0" w:color="auto"/>
        <w:left w:val="none" w:sz="0" w:space="0" w:color="auto"/>
        <w:bottom w:val="none" w:sz="0" w:space="0" w:color="auto"/>
        <w:right w:val="none" w:sz="0" w:space="0" w:color="auto"/>
      </w:divBdr>
    </w:div>
    <w:div w:id="904873884">
      <w:bodyDiv w:val="1"/>
      <w:marLeft w:val="0"/>
      <w:marRight w:val="0"/>
      <w:marTop w:val="0"/>
      <w:marBottom w:val="0"/>
      <w:divBdr>
        <w:top w:val="none" w:sz="0" w:space="0" w:color="auto"/>
        <w:left w:val="none" w:sz="0" w:space="0" w:color="auto"/>
        <w:bottom w:val="none" w:sz="0" w:space="0" w:color="auto"/>
        <w:right w:val="none" w:sz="0" w:space="0" w:color="auto"/>
      </w:divBdr>
    </w:div>
    <w:div w:id="904995929">
      <w:bodyDiv w:val="1"/>
      <w:marLeft w:val="0"/>
      <w:marRight w:val="0"/>
      <w:marTop w:val="0"/>
      <w:marBottom w:val="0"/>
      <w:divBdr>
        <w:top w:val="none" w:sz="0" w:space="0" w:color="auto"/>
        <w:left w:val="none" w:sz="0" w:space="0" w:color="auto"/>
        <w:bottom w:val="none" w:sz="0" w:space="0" w:color="auto"/>
        <w:right w:val="none" w:sz="0" w:space="0" w:color="auto"/>
      </w:divBdr>
    </w:div>
    <w:div w:id="904997928">
      <w:bodyDiv w:val="1"/>
      <w:marLeft w:val="0"/>
      <w:marRight w:val="0"/>
      <w:marTop w:val="0"/>
      <w:marBottom w:val="0"/>
      <w:divBdr>
        <w:top w:val="none" w:sz="0" w:space="0" w:color="auto"/>
        <w:left w:val="none" w:sz="0" w:space="0" w:color="auto"/>
        <w:bottom w:val="none" w:sz="0" w:space="0" w:color="auto"/>
        <w:right w:val="none" w:sz="0" w:space="0" w:color="auto"/>
      </w:divBdr>
    </w:div>
    <w:div w:id="905148969">
      <w:bodyDiv w:val="1"/>
      <w:marLeft w:val="0"/>
      <w:marRight w:val="0"/>
      <w:marTop w:val="0"/>
      <w:marBottom w:val="0"/>
      <w:divBdr>
        <w:top w:val="none" w:sz="0" w:space="0" w:color="auto"/>
        <w:left w:val="none" w:sz="0" w:space="0" w:color="auto"/>
        <w:bottom w:val="none" w:sz="0" w:space="0" w:color="auto"/>
        <w:right w:val="none" w:sz="0" w:space="0" w:color="auto"/>
      </w:divBdr>
    </w:div>
    <w:div w:id="905190455">
      <w:bodyDiv w:val="1"/>
      <w:marLeft w:val="0"/>
      <w:marRight w:val="0"/>
      <w:marTop w:val="0"/>
      <w:marBottom w:val="0"/>
      <w:divBdr>
        <w:top w:val="none" w:sz="0" w:space="0" w:color="auto"/>
        <w:left w:val="none" w:sz="0" w:space="0" w:color="auto"/>
        <w:bottom w:val="none" w:sz="0" w:space="0" w:color="auto"/>
        <w:right w:val="none" w:sz="0" w:space="0" w:color="auto"/>
      </w:divBdr>
    </w:div>
    <w:div w:id="905260007">
      <w:bodyDiv w:val="1"/>
      <w:marLeft w:val="0"/>
      <w:marRight w:val="0"/>
      <w:marTop w:val="0"/>
      <w:marBottom w:val="0"/>
      <w:divBdr>
        <w:top w:val="none" w:sz="0" w:space="0" w:color="auto"/>
        <w:left w:val="none" w:sz="0" w:space="0" w:color="auto"/>
        <w:bottom w:val="none" w:sz="0" w:space="0" w:color="auto"/>
        <w:right w:val="none" w:sz="0" w:space="0" w:color="auto"/>
      </w:divBdr>
    </w:div>
    <w:div w:id="905795623">
      <w:bodyDiv w:val="1"/>
      <w:marLeft w:val="0"/>
      <w:marRight w:val="0"/>
      <w:marTop w:val="0"/>
      <w:marBottom w:val="0"/>
      <w:divBdr>
        <w:top w:val="none" w:sz="0" w:space="0" w:color="auto"/>
        <w:left w:val="none" w:sz="0" w:space="0" w:color="auto"/>
        <w:bottom w:val="none" w:sz="0" w:space="0" w:color="auto"/>
        <w:right w:val="none" w:sz="0" w:space="0" w:color="auto"/>
      </w:divBdr>
    </w:div>
    <w:div w:id="905841219">
      <w:bodyDiv w:val="1"/>
      <w:marLeft w:val="0"/>
      <w:marRight w:val="0"/>
      <w:marTop w:val="0"/>
      <w:marBottom w:val="0"/>
      <w:divBdr>
        <w:top w:val="none" w:sz="0" w:space="0" w:color="auto"/>
        <w:left w:val="none" w:sz="0" w:space="0" w:color="auto"/>
        <w:bottom w:val="none" w:sz="0" w:space="0" w:color="auto"/>
        <w:right w:val="none" w:sz="0" w:space="0" w:color="auto"/>
      </w:divBdr>
    </w:div>
    <w:div w:id="905922051">
      <w:bodyDiv w:val="1"/>
      <w:marLeft w:val="0"/>
      <w:marRight w:val="0"/>
      <w:marTop w:val="0"/>
      <w:marBottom w:val="0"/>
      <w:divBdr>
        <w:top w:val="none" w:sz="0" w:space="0" w:color="auto"/>
        <w:left w:val="none" w:sz="0" w:space="0" w:color="auto"/>
        <w:bottom w:val="none" w:sz="0" w:space="0" w:color="auto"/>
        <w:right w:val="none" w:sz="0" w:space="0" w:color="auto"/>
      </w:divBdr>
    </w:div>
    <w:div w:id="905989961">
      <w:bodyDiv w:val="1"/>
      <w:marLeft w:val="0"/>
      <w:marRight w:val="0"/>
      <w:marTop w:val="0"/>
      <w:marBottom w:val="0"/>
      <w:divBdr>
        <w:top w:val="none" w:sz="0" w:space="0" w:color="auto"/>
        <w:left w:val="none" w:sz="0" w:space="0" w:color="auto"/>
        <w:bottom w:val="none" w:sz="0" w:space="0" w:color="auto"/>
        <w:right w:val="none" w:sz="0" w:space="0" w:color="auto"/>
      </w:divBdr>
    </w:div>
    <w:div w:id="906036431">
      <w:bodyDiv w:val="1"/>
      <w:marLeft w:val="0"/>
      <w:marRight w:val="0"/>
      <w:marTop w:val="0"/>
      <w:marBottom w:val="0"/>
      <w:divBdr>
        <w:top w:val="none" w:sz="0" w:space="0" w:color="auto"/>
        <w:left w:val="none" w:sz="0" w:space="0" w:color="auto"/>
        <w:bottom w:val="none" w:sz="0" w:space="0" w:color="auto"/>
        <w:right w:val="none" w:sz="0" w:space="0" w:color="auto"/>
      </w:divBdr>
    </w:div>
    <w:div w:id="906110337">
      <w:bodyDiv w:val="1"/>
      <w:marLeft w:val="0"/>
      <w:marRight w:val="0"/>
      <w:marTop w:val="0"/>
      <w:marBottom w:val="0"/>
      <w:divBdr>
        <w:top w:val="none" w:sz="0" w:space="0" w:color="auto"/>
        <w:left w:val="none" w:sz="0" w:space="0" w:color="auto"/>
        <w:bottom w:val="none" w:sz="0" w:space="0" w:color="auto"/>
        <w:right w:val="none" w:sz="0" w:space="0" w:color="auto"/>
      </w:divBdr>
    </w:div>
    <w:div w:id="906115074">
      <w:bodyDiv w:val="1"/>
      <w:marLeft w:val="0"/>
      <w:marRight w:val="0"/>
      <w:marTop w:val="0"/>
      <w:marBottom w:val="0"/>
      <w:divBdr>
        <w:top w:val="none" w:sz="0" w:space="0" w:color="auto"/>
        <w:left w:val="none" w:sz="0" w:space="0" w:color="auto"/>
        <w:bottom w:val="none" w:sz="0" w:space="0" w:color="auto"/>
        <w:right w:val="none" w:sz="0" w:space="0" w:color="auto"/>
      </w:divBdr>
    </w:div>
    <w:div w:id="906182697">
      <w:bodyDiv w:val="1"/>
      <w:marLeft w:val="0"/>
      <w:marRight w:val="0"/>
      <w:marTop w:val="0"/>
      <w:marBottom w:val="0"/>
      <w:divBdr>
        <w:top w:val="none" w:sz="0" w:space="0" w:color="auto"/>
        <w:left w:val="none" w:sz="0" w:space="0" w:color="auto"/>
        <w:bottom w:val="none" w:sz="0" w:space="0" w:color="auto"/>
        <w:right w:val="none" w:sz="0" w:space="0" w:color="auto"/>
      </w:divBdr>
    </w:div>
    <w:div w:id="906188932">
      <w:bodyDiv w:val="1"/>
      <w:marLeft w:val="0"/>
      <w:marRight w:val="0"/>
      <w:marTop w:val="0"/>
      <w:marBottom w:val="0"/>
      <w:divBdr>
        <w:top w:val="none" w:sz="0" w:space="0" w:color="auto"/>
        <w:left w:val="none" w:sz="0" w:space="0" w:color="auto"/>
        <w:bottom w:val="none" w:sz="0" w:space="0" w:color="auto"/>
        <w:right w:val="none" w:sz="0" w:space="0" w:color="auto"/>
      </w:divBdr>
    </w:div>
    <w:div w:id="906262978">
      <w:bodyDiv w:val="1"/>
      <w:marLeft w:val="0"/>
      <w:marRight w:val="0"/>
      <w:marTop w:val="0"/>
      <w:marBottom w:val="0"/>
      <w:divBdr>
        <w:top w:val="none" w:sz="0" w:space="0" w:color="auto"/>
        <w:left w:val="none" w:sz="0" w:space="0" w:color="auto"/>
        <w:bottom w:val="none" w:sz="0" w:space="0" w:color="auto"/>
        <w:right w:val="none" w:sz="0" w:space="0" w:color="auto"/>
      </w:divBdr>
    </w:div>
    <w:div w:id="906302047">
      <w:bodyDiv w:val="1"/>
      <w:marLeft w:val="0"/>
      <w:marRight w:val="0"/>
      <w:marTop w:val="0"/>
      <w:marBottom w:val="0"/>
      <w:divBdr>
        <w:top w:val="none" w:sz="0" w:space="0" w:color="auto"/>
        <w:left w:val="none" w:sz="0" w:space="0" w:color="auto"/>
        <w:bottom w:val="none" w:sz="0" w:space="0" w:color="auto"/>
        <w:right w:val="none" w:sz="0" w:space="0" w:color="auto"/>
      </w:divBdr>
    </w:div>
    <w:div w:id="906381565">
      <w:bodyDiv w:val="1"/>
      <w:marLeft w:val="0"/>
      <w:marRight w:val="0"/>
      <w:marTop w:val="0"/>
      <w:marBottom w:val="0"/>
      <w:divBdr>
        <w:top w:val="none" w:sz="0" w:space="0" w:color="auto"/>
        <w:left w:val="none" w:sz="0" w:space="0" w:color="auto"/>
        <w:bottom w:val="none" w:sz="0" w:space="0" w:color="auto"/>
        <w:right w:val="none" w:sz="0" w:space="0" w:color="auto"/>
      </w:divBdr>
    </w:div>
    <w:div w:id="906455809">
      <w:bodyDiv w:val="1"/>
      <w:marLeft w:val="0"/>
      <w:marRight w:val="0"/>
      <w:marTop w:val="0"/>
      <w:marBottom w:val="0"/>
      <w:divBdr>
        <w:top w:val="none" w:sz="0" w:space="0" w:color="auto"/>
        <w:left w:val="none" w:sz="0" w:space="0" w:color="auto"/>
        <w:bottom w:val="none" w:sz="0" w:space="0" w:color="auto"/>
        <w:right w:val="none" w:sz="0" w:space="0" w:color="auto"/>
      </w:divBdr>
    </w:div>
    <w:div w:id="906766074">
      <w:bodyDiv w:val="1"/>
      <w:marLeft w:val="0"/>
      <w:marRight w:val="0"/>
      <w:marTop w:val="0"/>
      <w:marBottom w:val="0"/>
      <w:divBdr>
        <w:top w:val="none" w:sz="0" w:space="0" w:color="auto"/>
        <w:left w:val="none" w:sz="0" w:space="0" w:color="auto"/>
        <w:bottom w:val="none" w:sz="0" w:space="0" w:color="auto"/>
        <w:right w:val="none" w:sz="0" w:space="0" w:color="auto"/>
      </w:divBdr>
    </w:div>
    <w:div w:id="906839021">
      <w:bodyDiv w:val="1"/>
      <w:marLeft w:val="0"/>
      <w:marRight w:val="0"/>
      <w:marTop w:val="0"/>
      <w:marBottom w:val="0"/>
      <w:divBdr>
        <w:top w:val="none" w:sz="0" w:space="0" w:color="auto"/>
        <w:left w:val="none" w:sz="0" w:space="0" w:color="auto"/>
        <w:bottom w:val="none" w:sz="0" w:space="0" w:color="auto"/>
        <w:right w:val="none" w:sz="0" w:space="0" w:color="auto"/>
      </w:divBdr>
    </w:div>
    <w:div w:id="906845930">
      <w:bodyDiv w:val="1"/>
      <w:marLeft w:val="0"/>
      <w:marRight w:val="0"/>
      <w:marTop w:val="0"/>
      <w:marBottom w:val="0"/>
      <w:divBdr>
        <w:top w:val="none" w:sz="0" w:space="0" w:color="auto"/>
        <w:left w:val="none" w:sz="0" w:space="0" w:color="auto"/>
        <w:bottom w:val="none" w:sz="0" w:space="0" w:color="auto"/>
        <w:right w:val="none" w:sz="0" w:space="0" w:color="auto"/>
      </w:divBdr>
    </w:div>
    <w:div w:id="906846304">
      <w:bodyDiv w:val="1"/>
      <w:marLeft w:val="0"/>
      <w:marRight w:val="0"/>
      <w:marTop w:val="0"/>
      <w:marBottom w:val="0"/>
      <w:divBdr>
        <w:top w:val="none" w:sz="0" w:space="0" w:color="auto"/>
        <w:left w:val="none" w:sz="0" w:space="0" w:color="auto"/>
        <w:bottom w:val="none" w:sz="0" w:space="0" w:color="auto"/>
        <w:right w:val="none" w:sz="0" w:space="0" w:color="auto"/>
      </w:divBdr>
    </w:div>
    <w:div w:id="906955798">
      <w:bodyDiv w:val="1"/>
      <w:marLeft w:val="0"/>
      <w:marRight w:val="0"/>
      <w:marTop w:val="0"/>
      <w:marBottom w:val="0"/>
      <w:divBdr>
        <w:top w:val="none" w:sz="0" w:space="0" w:color="auto"/>
        <w:left w:val="none" w:sz="0" w:space="0" w:color="auto"/>
        <w:bottom w:val="none" w:sz="0" w:space="0" w:color="auto"/>
        <w:right w:val="none" w:sz="0" w:space="0" w:color="auto"/>
      </w:divBdr>
    </w:div>
    <w:div w:id="907105756">
      <w:bodyDiv w:val="1"/>
      <w:marLeft w:val="0"/>
      <w:marRight w:val="0"/>
      <w:marTop w:val="0"/>
      <w:marBottom w:val="0"/>
      <w:divBdr>
        <w:top w:val="none" w:sz="0" w:space="0" w:color="auto"/>
        <w:left w:val="none" w:sz="0" w:space="0" w:color="auto"/>
        <w:bottom w:val="none" w:sz="0" w:space="0" w:color="auto"/>
        <w:right w:val="none" w:sz="0" w:space="0" w:color="auto"/>
      </w:divBdr>
    </w:div>
    <w:div w:id="907109507">
      <w:bodyDiv w:val="1"/>
      <w:marLeft w:val="0"/>
      <w:marRight w:val="0"/>
      <w:marTop w:val="0"/>
      <w:marBottom w:val="0"/>
      <w:divBdr>
        <w:top w:val="none" w:sz="0" w:space="0" w:color="auto"/>
        <w:left w:val="none" w:sz="0" w:space="0" w:color="auto"/>
        <w:bottom w:val="none" w:sz="0" w:space="0" w:color="auto"/>
        <w:right w:val="none" w:sz="0" w:space="0" w:color="auto"/>
      </w:divBdr>
    </w:div>
    <w:div w:id="907181729">
      <w:bodyDiv w:val="1"/>
      <w:marLeft w:val="0"/>
      <w:marRight w:val="0"/>
      <w:marTop w:val="0"/>
      <w:marBottom w:val="0"/>
      <w:divBdr>
        <w:top w:val="none" w:sz="0" w:space="0" w:color="auto"/>
        <w:left w:val="none" w:sz="0" w:space="0" w:color="auto"/>
        <w:bottom w:val="none" w:sz="0" w:space="0" w:color="auto"/>
        <w:right w:val="none" w:sz="0" w:space="0" w:color="auto"/>
      </w:divBdr>
    </w:div>
    <w:div w:id="907230670">
      <w:bodyDiv w:val="1"/>
      <w:marLeft w:val="0"/>
      <w:marRight w:val="0"/>
      <w:marTop w:val="0"/>
      <w:marBottom w:val="0"/>
      <w:divBdr>
        <w:top w:val="none" w:sz="0" w:space="0" w:color="auto"/>
        <w:left w:val="none" w:sz="0" w:space="0" w:color="auto"/>
        <w:bottom w:val="none" w:sz="0" w:space="0" w:color="auto"/>
        <w:right w:val="none" w:sz="0" w:space="0" w:color="auto"/>
      </w:divBdr>
    </w:div>
    <w:div w:id="907302435">
      <w:bodyDiv w:val="1"/>
      <w:marLeft w:val="0"/>
      <w:marRight w:val="0"/>
      <w:marTop w:val="0"/>
      <w:marBottom w:val="0"/>
      <w:divBdr>
        <w:top w:val="none" w:sz="0" w:space="0" w:color="auto"/>
        <w:left w:val="none" w:sz="0" w:space="0" w:color="auto"/>
        <w:bottom w:val="none" w:sz="0" w:space="0" w:color="auto"/>
        <w:right w:val="none" w:sz="0" w:space="0" w:color="auto"/>
      </w:divBdr>
    </w:div>
    <w:div w:id="907348991">
      <w:bodyDiv w:val="1"/>
      <w:marLeft w:val="0"/>
      <w:marRight w:val="0"/>
      <w:marTop w:val="0"/>
      <w:marBottom w:val="0"/>
      <w:divBdr>
        <w:top w:val="none" w:sz="0" w:space="0" w:color="auto"/>
        <w:left w:val="none" w:sz="0" w:space="0" w:color="auto"/>
        <w:bottom w:val="none" w:sz="0" w:space="0" w:color="auto"/>
        <w:right w:val="none" w:sz="0" w:space="0" w:color="auto"/>
      </w:divBdr>
    </w:div>
    <w:div w:id="907958296">
      <w:bodyDiv w:val="1"/>
      <w:marLeft w:val="0"/>
      <w:marRight w:val="0"/>
      <w:marTop w:val="0"/>
      <w:marBottom w:val="0"/>
      <w:divBdr>
        <w:top w:val="none" w:sz="0" w:space="0" w:color="auto"/>
        <w:left w:val="none" w:sz="0" w:space="0" w:color="auto"/>
        <w:bottom w:val="none" w:sz="0" w:space="0" w:color="auto"/>
        <w:right w:val="none" w:sz="0" w:space="0" w:color="auto"/>
      </w:divBdr>
    </w:div>
    <w:div w:id="908002781">
      <w:bodyDiv w:val="1"/>
      <w:marLeft w:val="0"/>
      <w:marRight w:val="0"/>
      <w:marTop w:val="0"/>
      <w:marBottom w:val="0"/>
      <w:divBdr>
        <w:top w:val="none" w:sz="0" w:space="0" w:color="auto"/>
        <w:left w:val="none" w:sz="0" w:space="0" w:color="auto"/>
        <w:bottom w:val="none" w:sz="0" w:space="0" w:color="auto"/>
        <w:right w:val="none" w:sz="0" w:space="0" w:color="auto"/>
      </w:divBdr>
    </w:div>
    <w:div w:id="908230118">
      <w:bodyDiv w:val="1"/>
      <w:marLeft w:val="0"/>
      <w:marRight w:val="0"/>
      <w:marTop w:val="0"/>
      <w:marBottom w:val="0"/>
      <w:divBdr>
        <w:top w:val="none" w:sz="0" w:space="0" w:color="auto"/>
        <w:left w:val="none" w:sz="0" w:space="0" w:color="auto"/>
        <w:bottom w:val="none" w:sz="0" w:space="0" w:color="auto"/>
        <w:right w:val="none" w:sz="0" w:space="0" w:color="auto"/>
      </w:divBdr>
    </w:div>
    <w:div w:id="908268423">
      <w:bodyDiv w:val="1"/>
      <w:marLeft w:val="0"/>
      <w:marRight w:val="0"/>
      <w:marTop w:val="0"/>
      <w:marBottom w:val="0"/>
      <w:divBdr>
        <w:top w:val="none" w:sz="0" w:space="0" w:color="auto"/>
        <w:left w:val="none" w:sz="0" w:space="0" w:color="auto"/>
        <w:bottom w:val="none" w:sz="0" w:space="0" w:color="auto"/>
        <w:right w:val="none" w:sz="0" w:space="0" w:color="auto"/>
      </w:divBdr>
    </w:div>
    <w:div w:id="908272317">
      <w:bodyDiv w:val="1"/>
      <w:marLeft w:val="0"/>
      <w:marRight w:val="0"/>
      <w:marTop w:val="0"/>
      <w:marBottom w:val="0"/>
      <w:divBdr>
        <w:top w:val="none" w:sz="0" w:space="0" w:color="auto"/>
        <w:left w:val="none" w:sz="0" w:space="0" w:color="auto"/>
        <w:bottom w:val="none" w:sz="0" w:space="0" w:color="auto"/>
        <w:right w:val="none" w:sz="0" w:space="0" w:color="auto"/>
      </w:divBdr>
    </w:div>
    <w:div w:id="908346105">
      <w:bodyDiv w:val="1"/>
      <w:marLeft w:val="0"/>
      <w:marRight w:val="0"/>
      <w:marTop w:val="0"/>
      <w:marBottom w:val="0"/>
      <w:divBdr>
        <w:top w:val="none" w:sz="0" w:space="0" w:color="auto"/>
        <w:left w:val="none" w:sz="0" w:space="0" w:color="auto"/>
        <w:bottom w:val="none" w:sz="0" w:space="0" w:color="auto"/>
        <w:right w:val="none" w:sz="0" w:space="0" w:color="auto"/>
      </w:divBdr>
    </w:div>
    <w:div w:id="908685097">
      <w:bodyDiv w:val="1"/>
      <w:marLeft w:val="0"/>
      <w:marRight w:val="0"/>
      <w:marTop w:val="0"/>
      <w:marBottom w:val="0"/>
      <w:divBdr>
        <w:top w:val="none" w:sz="0" w:space="0" w:color="auto"/>
        <w:left w:val="none" w:sz="0" w:space="0" w:color="auto"/>
        <w:bottom w:val="none" w:sz="0" w:space="0" w:color="auto"/>
        <w:right w:val="none" w:sz="0" w:space="0" w:color="auto"/>
      </w:divBdr>
    </w:div>
    <w:div w:id="908734091">
      <w:bodyDiv w:val="1"/>
      <w:marLeft w:val="0"/>
      <w:marRight w:val="0"/>
      <w:marTop w:val="0"/>
      <w:marBottom w:val="0"/>
      <w:divBdr>
        <w:top w:val="none" w:sz="0" w:space="0" w:color="auto"/>
        <w:left w:val="none" w:sz="0" w:space="0" w:color="auto"/>
        <w:bottom w:val="none" w:sz="0" w:space="0" w:color="auto"/>
        <w:right w:val="none" w:sz="0" w:space="0" w:color="auto"/>
      </w:divBdr>
    </w:div>
    <w:div w:id="908881878">
      <w:bodyDiv w:val="1"/>
      <w:marLeft w:val="0"/>
      <w:marRight w:val="0"/>
      <w:marTop w:val="0"/>
      <w:marBottom w:val="0"/>
      <w:divBdr>
        <w:top w:val="none" w:sz="0" w:space="0" w:color="auto"/>
        <w:left w:val="none" w:sz="0" w:space="0" w:color="auto"/>
        <w:bottom w:val="none" w:sz="0" w:space="0" w:color="auto"/>
        <w:right w:val="none" w:sz="0" w:space="0" w:color="auto"/>
      </w:divBdr>
    </w:div>
    <w:div w:id="909002799">
      <w:bodyDiv w:val="1"/>
      <w:marLeft w:val="0"/>
      <w:marRight w:val="0"/>
      <w:marTop w:val="0"/>
      <w:marBottom w:val="0"/>
      <w:divBdr>
        <w:top w:val="none" w:sz="0" w:space="0" w:color="auto"/>
        <w:left w:val="none" w:sz="0" w:space="0" w:color="auto"/>
        <w:bottom w:val="none" w:sz="0" w:space="0" w:color="auto"/>
        <w:right w:val="none" w:sz="0" w:space="0" w:color="auto"/>
      </w:divBdr>
    </w:div>
    <w:div w:id="909004204">
      <w:bodyDiv w:val="1"/>
      <w:marLeft w:val="0"/>
      <w:marRight w:val="0"/>
      <w:marTop w:val="0"/>
      <w:marBottom w:val="0"/>
      <w:divBdr>
        <w:top w:val="none" w:sz="0" w:space="0" w:color="auto"/>
        <w:left w:val="none" w:sz="0" w:space="0" w:color="auto"/>
        <w:bottom w:val="none" w:sz="0" w:space="0" w:color="auto"/>
        <w:right w:val="none" w:sz="0" w:space="0" w:color="auto"/>
      </w:divBdr>
    </w:div>
    <w:div w:id="909080934">
      <w:bodyDiv w:val="1"/>
      <w:marLeft w:val="0"/>
      <w:marRight w:val="0"/>
      <w:marTop w:val="0"/>
      <w:marBottom w:val="0"/>
      <w:divBdr>
        <w:top w:val="none" w:sz="0" w:space="0" w:color="auto"/>
        <w:left w:val="none" w:sz="0" w:space="0" w:color="auto"/>
        <w:bottom w:val="none" w:sz="0" w:space="0" w:color="auto"/>
        <w:right w:val="none" w:sz="0" w:space="0" w:color="auto"/>
      </w:divBdr>
    </w:div>
    <w:div w:id="909195639">
      <w:bodyDiv w:val="1"/>
      <w:marLeft w:val="0"/>
      <w:marRight w:val="0"/>
      <w:marTop w:val="0"/>
      <w:marBottom w:val="0"/>
      <w:divBdr>
        <w:top w:val="none" w:sz="0" w:space="0" w:color="auto"/>
        <w:left w:val="none" w:sz="0" w:space="0" w:color="auto"/>
        <w:bottom w:val="none" w:sz="0" w:space="0" w:color="auto"/>
        <w:right w:val="none" w:sz="0" w:space="0" w:color="auto"/>
      </w:divBdr>
    </w:div>
    <w:div w:id="909462288">
      <w:bodyDiv w:val="1"/>
      <w:marLeft w:val="0"/>
      <w:marRight w:val="0"/>
      <w:marTop w:val="0"/>
      <w:marBottom w:val="0"/>
      <w:divBdr>
        <w:top w:val="none" w:sz="0" w:space="0" w:color="auto"/>
        <w:left w:val="none" w:sz="0" w:space="0" w:color="auto"/>
        <w:bottom w:val="none" w:sz="0" w:space="0" w:color="auto"/>
        <w:right w:val="none" w:sz="0" w:space="0" w:color="auto"/>
      </w:divBdr>
    </w:div>
    <w:div w:id="909509749">
      <w:bodyDiv w:val="1"/>
      <w:marLeft w:val="0"/>
      <w:marRight w:val="0"/>
      <w:marTop w:val="0"/>
      <w:marBottom w:val="0"/>
      <w:divBdr>
        <w:top w:val="none" w:sz="0" w:space="0" w:color="auto"/>
        <w:left w:val="none" w:sz="0" w:space="0" w:color="auto"/>
        <w:bottom w:val="none" w:sz="0" w:space="0" w:color="auto"/>
        <w:right w:val="none" w:sz="0" w:space="0" w:color="auto"/>
      </w:divBdr>
    </w:div>
    <w:div w:id="909582656">
      <w:bodyDiv w:val="1"/>
      <w:marLeft w:val="0"/>
      <w:marRight w:val="0"/>
      <w:marTop w:val="0"/>
      <w:marBottom w:val="0"/>
      <w:divBdr>
        <w:top w:val="none" w:sz="0" w:space="0" w:color="auto"/>
        <w:left w:val="none" w:sz="0" w:space="0" w:color="auto"/>
        <w:bottom w:val="none" w:sz="0" w:space="0" w:color="auto"/>
        <w:right w:val="none" w:sz="0" w:space="0" w:color="auto"/>
      </w:divBdr>
    </w:div>
    <w:div w:id="909657753">
      <w:bodyDiv w:val="1"/>
      <w:marLeft w:val="0"/>
      <w:marRight w:val="0"/>
      <w:marTop w:val="0"/>
      <w:marBottom w:val="0"/>
      <w:divBdr>
        <w:top w:val="none" w:sz="0" w:space="0" w:color="auto"/>
        <w:left w:val="none" w:sz="0" w:space="0" w:color="auto"/>
        <w:bottom w:val="none" w:sz="0" w:space="0" w:color="auto"/>
        <w:right w:val="none" w:sz="0" w:space="0" w:color="auto"/>
      </w:divBdr>
    </w:div>
    <w:div w:id="909727356">
      <w:bodyDiv w:val="1"/>
      <w:marLeft w:val="0"/>
      <w:marRight w:val="0"/>
      <w:marTop w:val="0"/>
      <w:marBottom w:val="0"/>
      <w:divBdr>
        <w:top w:val="none" w:sz="0" w:space="0" w:color="auto"/>
        <w:left w:val="none" w:sz="0" w:space="0" w:color="auto"/>
        <w:bottom w:val="none" w:sz="0" w:space="0" w:color="auto"/>
        <w:right w:val="none" w:sz="0" w:space="0" w:color="auto"/>
      </w:divBdr>
    </w:div>
    <w:div w:id="909772975">
      <w:bodyDiv w:val="1"/>
      <w:marLeft w:val="0"/>
      <w:marRight w:val="0"/>
      <w:marTop w:val="0"/>
      <w:marBottom w:val="0"/>
      <w:divBdr>
        <w:top w:val="none" w:sz="0" w:space="0" w:color="auto"/>
        <w:left w:val="none" w:sz="0" w:space="0" w:color="auto"/>
        <w:bottom w:val="none" w:sz="0" w:space="0" w:color="auto"/>
        <w:right w:val="none" w:sz="0" w:space="0" w:color="auto"/>
      </w:divBdr>
    </w:div>
    <w:div w:id="909929447">
      <w:bodyDiv w:val="1"/>
      <w:marLeft w:val="0"/>
      <w:marRight w:val="0"/>
      <w:marTop w:val="0"/>
      <w:marBottom w:val="0"/>
      <w:divBdr>
        <w:top w:val="none" w:sz="0" w:space="0" w:color="auto"/>
        <w:left w:val="none" w:sz="0" w:space="0" w:color="auto"/>
        <w:bottom w:val="none" w:sz="0" w:space="0" w:color="auto"/>
        <w:right w:val="none" w:sz="0" w:space="0" w:color="auto"/>
      </w:divBdr>
    </w:div>
    <w:div w:id="910038904">
      <w:bodyDiv w:val="1"/>
      <w:marLeft w:val="0"/>
      <w:marRight w:val="0"/>
      <w:marTop w:val="0"/>
      <w:marBottom w:val="0"/>
      <w:divBdr>
        <w:top w:val="none" w:sz="0" w:space="0" w:color="auto"/>
        <w:left w:val="none" w:sz="0" w:space="0" w:color="auto"/>
        <w:bottom w:val="none" w:sz="0" w:space="0" w:color="auto"/>
        <w:right w:val="none" w:sz="0" w:space="0" w:color="auto"/>
      </w:divBdr>
    </w:div>
    <w:div w:id="910045367">
      <w:bodyDiv w:val="1"/>
      <w:marLeft w:val="0"/>
      <w:marRight w:val="0"/>
      <w:marTop w:val="0"/>
      <w:marBottom w:val="0"/>
      <w:divBdr>
        <w:top w:val="none" w:sz="0" w:space="0" w:color="auto"/>
        <w:left w:val="none" w:sz="0" w:space="0" w:color="auto"/>
        <w:bottom w:val="none" w:sz="0" w:space="0" w:color="auto"/>
        <w:right w:val="none" w:sz="0" w:space="0" w:color="auto"/>
      </w:divBdr>
    </w:div>
    <w:div w:id="910117456">
      <w:bodyDiv w:val="1"/>
      <w:marLeft w:val="0"/>
      <w:marRight w:val="0"/>
      <w:marTop w:val="0"/>
      <w:marBottom w:val="0"/>
      <w:divBdr>
        <w:top w:val="none" w:sz="0" w:space="0" w:color="auto"/>
        <w:left w:val="none" w:sz="0" w:space="0" w:color="auto"/>
        <w:bottom w:val="none" w:sz="0" w:space="0" w:color="auto"/>
        <w:right w:val="none" w:sz="0" w:space="0" w:color="auto"/>
      </w:divBdr>
    </w:div>
    <w:div w:id="910120789">
      <w:bodyDiv w:val="1"/>
      <w:marLeft w:val="0"/>
      <w:marRight w:val="0"/>
      <w:marTop w:val="0"/>
      <w:marBottom w:val="0"/>
      <w:divBdr>
        <w:top w:val="none" w:sz="0" w:space="0" w:color="auto"/>
        <w:left w:val="none" w:sz="0" w:space="0" w:color="auto"/>
        <w:bottom w:val="none" w:sz="0" w:space="0" w:color="auto"/>
        <w:right w:val="none" w:sz="0" w:space="0" w:color="auto"/>
      </w:divBdr>
    </w:div>
    <w:div w:id="910231342">
      <w:bodyDiv w:val="1"/>
      <w:marLeft w:val="0"/>
      <w:marRight w:val="0"/>
      <w:marTop w:val="0"/>
      <w:marBottom w:val="0"/>
      <w:divBdr>
        <w:top w:val="none" w:sz="0" w:space="0" w:color="auto"/>
        <w:left w:val="none" w:sz="0" w:space="0" w:color="auto"/>
        <w:bottom w:val="none" w:sz="0" w:space="0" w:color="auto"/>
        <w:right w:val="none" w:sz="0" w:space="0" w:color="auto"/>
      </w:divBdr>
    </w:div>
    <w:div w:id="910235912">
      <w:bodyDiv w:val="1"/>
      <w:marLeft w:val="0"/>
      <w:marRight w:val="0"/>
      <w:marTop w:val="0"/>
      <w:marBottom w:val="0"/>
      <w:divBdr>
        <w:top w:val="none" w:sz="0" w:space="0" w:color="auto"/>
        <w:left w:val="none" w:sz="0" w:space="0" w:color="auto"/>
        <w:bottom w:val="none" w:sz="0" w:space="0" w:color="auto"/>
        <w:right w:val="none" w:sz="0" w:space="0" w:color="auto"/>
      </w:divBdr>
    </w:div>
    <w:div w:id="910698482">
      <w:bodyDiv w:val="1"/>
      <w:marLeft w:val="0"/>
      <w:marRight w:val="0"/>
      <w:marTop w:val="0"/>
      <w:marBottom w:val="0"/>
      <w:divBdr>
        <w:top w:val="none" w:sz="0" w:space="0" w:color="auto"/>
        <w:left w:val="none" w:sz="0" w:space="0" w:color="auto"/>
        <w:bottom w:val="none" w:sz="0" w:space="0" w:color="auto"/>
        <w:right w:val="none" w:sz="0" w:space="0" w:color="auto"/>
      </w:divBdr>
    </w:div>
    <w:div w:id="910849630">
      <w:bodyDiv w:val="1"/>
      <w:marLeft w:val="0"/>
      <w:marRight w:val="0"/>
      <w:marTop w:val="0"/>
      <w:marBottom w:val="0"/>
      <w:divBdr>
        <w:top w:val="none" w:sz="0" w:space="0" w:color="auto"/>
        <w:left w:val="none" w:sz="0" w:space="0" w:color="auto"/>
        <w:bottom w:val="none" w:sz="0" w:space="0" w:color="auto"/>
        <w:right w:val="none" w:sz="0" w:space="0" w:color="auto"/>
      </w:divBdr>
    </w:div>
    <w:div w:id="910851703">
      <w:bodyDiv w:val="1"/>
      <w:marLeft w:val="0"/>
      <w:marRight w:val="0"/>
      <w:marTop w:val="0"/>
      <w:marBottom w:val="0"/>
      <w:divBdr>
        <w:top w:val="none" w:sz="0" w:space="0" w:color="auto"/>
        <w:left w:val="none" w:sz="0" w:space="0" w:color="auto"/>
        <w:bottom w:val="none" w:sz="0" w:space="0" w:color="auto"/>
        <w:right w:val="none" w:sz="0" w:space="0" w:color="auto"/>
      </w:divBdr>
    </w:div>
    <w:div w:id="910887679">
      <w:bodyDiv w:val="1"/>
      <w:marLeft w:val="0"/>
      <w:marRight w:val="0"/>
      <w:marTop w:val="0"/>
      <w:marBottom w:val="0"/>
      <w:divBdr>
        <w:top w:val="none" w:sz="0" w:space="0" w:color="auto"/>
        <w:left w:val="none" w:sz="0" w:space="0" w:color="auto"/>
        <w:bottom w:val="none" w:sz="0" w:space="0" w:color="auto"/>
        <w:right w:val="none" w:sz="0" w:space="0" w:color="auto"/>
      </w:divBdr>
    </w:div>
    <w:div w:id="910966474">
      <w:bodyDiv w:val="1"/>
      <w:marLeft w:val="0"/>
      <w:marRight w:val="0"/>
      <w:marTop w:val="0"/>
      <w:marBottom w:val="0"/>
      <w:divBdr>
        <w:top w:val="none" w:sz="0" w:space="0" w:color="auto"/>
        <w:left w:val="none" w:sz="0" w:space="0" w:color="auto"/>
        <w:bottom w:val="none" w:sz="0" w:space="0" w:color="auto"/>
        <w:right w:val="none" w:sz="0" w:space="0" w:color="auto"/>
      </w:divBdr>
    </w:div>
    <w:div w:id="911042010">
      <w:bodyDiv w:val="1"/>
      <w:marLeft w:val="0"/>
      <w:marRight w:val="0"/>
      <w:marTop w:val="0"/>
      <w:marBottom w:val="0"/>
      <w:divBdr>
        <w:top w:val="none" w:sz="0" w:space="0" w:color="auto"/>
        <w:left w:val="none" w:sz="0" w:space="0" w:color="auto"/>
        <w:bottom w:val="none" w:sz="0" w:space="0" w:color="auto"/>
        <w:right w:val="none" w:sz="0" w:space="0" w:color="auto"/>
      </w:divBdr>
    </w:div>
    <w:div w:id="911355410">
      <w:bodyDiv w:val="1"/>
      <w:marLeft w:val="0"/>
      <w:marRight w:val="0"/>
      <w:marTop w:val="0"/>
      <w:marBottom w:val="0"/>
      <w:divBdr>
        <w:top w:val="none" w:sz="0" w:space="0" w:color="auto"/>
        <w:left w:val="none" w:sz="0" w:space="0" w:color="auto"/>
        <w:bottom w:val="none" w:sz="0" w:space="0" w:color="auto"/>
        <w:right w:val="none" w:sz="0" w:space="0" w:color="auto"/>
      </w:divBdr>
    </w:div>
    <w:div w:id="911620830">
      <w:bodyDiv w:val="1"/>
      <w:marLeft w:val="0"/>
      <w:marRight w:val="0"/>
      <w:marTop w:val="0"/>
      <w:marBottom w:val="0"/>
      <w:divBdr>
        <w:top w:val="none" w:sz="0" w:space="0" w:color="auto"/>
        <w:left w:val="none" w:sz="0" w:space="0" w:color="auto"/>
        <w:bottom w:val="none" w:sz="0" w:space="0" w:color="auto"/>
        <w:right w:val="none" w:sz="0" w:space="0" w:color="auto"/>
      </w:divBdr>
    </w:div>
    <w:div w:id="911887161">
      <w:bodyDiv w:val="1"/>
      <w:marLeft w:val="0"/>
      <w:marRight w:val="0"/>
      <w:marTop w:val="0"/>
      <w:marBottom w:val="0"/>
      <w:divBdr>
        <w:top w:val="none" w:sz="0" w:space="0" w:color="auto"/>
        <w:left w:val="none" w:sz="0" w:space="0" w:color="auto"/>
        <w:bottom w:val="none" w:sz="0" w:space="0" w:color="auto"/>
        <w:right w:val="none" w:sz="0" w:space="0" w:color="auto"/>
      </w:divBdr>
    </w:div>
    <w:div w:id="911894179">
      <w:bodyDiv w:val="1"/>
      <w:marLeft w:val="0"/>
      <w:marRight w:val="0"/>
      <w:marTop w:val="0"/>
      <w:marBottom w:val="0"/>
      <w:divBdr>
        <w:top w:val="none" w:sz="0" w:space="0" w:color="auto"/>
        <w:left w:val="none" w:sz="0" w:space="0" w:color="auto"/>
        <w:bottom w:val="none" w:sz="0" w:space="0" w:color="auto"/>
        <w:right w:val="none" w:sz="0" w:space="0" w:color="auto"/>
      </w:divBdr>
    </w:div>
    <w:div w:id="912004046">
      <w:bodyDiv w:val="1"/>
      <w:marLeft w:val="0"/>
      <w:marRight w:val="0"/>
      <w:marTop w:val="0"/>
      <w:marBottom w:val="0"/>
      <w:divBdr>
        <w:top w:val="none" w:sz="0" w:space="0" w:color="auto"/>
        <w:left w:val="none" w:sz="0" w:space="0" w:color="auto"/>
        <w:bottom w:val="none" w:sz="0" w:space="0" w:color="auto"/>
        <w:right w:val="none" w:sz="0" w:space="0" w:color="auto"/>
      </w:divBdr>
    </w:div>
    <w:div w:id="912011459">
      <w:bodyDiv w:val="1"/>
      <w:marLeft w:val="0"/>
      <w:marRight w:val="0"/>
      <w:marTop w:val="0"/>
      <w:marBottom w:val="0"/>
      <w:divBdr>
        <w:top w:val="none" w:sz="0" w:space="0" w:color="auto"/>
        <w:left w:val="none" w:sz="0" w:space="0" w:color="auto"/>
        <w:bottom w:val="none" w:sz="0" w:space="0" w:color="auto"/>
        <w:right w:val="none" w:sz="0" w:space="0" w:color="auto"/>
      </w:divBdr>
    </w:div>
    <w:div w:id="912086631">
      <w:bodyDiv w:val="1"/>
      <w:marLeft w:val="0"/>
      <w:marRight w:val="0"/>
      <w:marTop w:val="0"/>
      <w:marBottom w:val="0"/>
      <w:divBdr>
        <w:top w:val="none" w:sz="0" w:space="0" w:color="auto"/>
        <w:left w:val="none" w:sz="0" w:space="0" w:color="auto"/>
        <w:bottom w:val="none" w:sz="0" w:space="0" w:color="auto"/>
        <w:right w:val="none" w:sz="0" w:space="0" w:color="auto"/>
      </w:divBdr>
    </w:div>
    <w:div w:id="912276286">
      <w:bodyDiv w:val="1"/>
      <w:marLeft w:val="0"/>
      <w:marRight w:val="0"/>
      <w:marTop w:val="0"/>
      <w:marBottom w:val="0"/>
      <w:divBdr>
        <w:top w:val="none" w:sz="0" w:space="0" w:color="auto"/>
        <w:left w:val="none" w:sz="0" w:space="0" w:color="auto"/>
        <w:bottom w:val="none" w:sz="0" w:space="0" w:color="auto"/>
        <w:right w:val="none" w:sz="0" w:space="0" w:color="auto"/>
      </w:divBdr>
    </w:div>
    <w:div w:id="912349304">
      <w:bodyDiv w:val="1"/>
      <w:marLeft w:val="0"/>
      <w:marRight w:val="0"/>
      <w:marTop w:val="0"/>
      <w:marBottom w:val="0"/>
      <w:divBdr>
        <w:top w:val="none" w:sz="0" w:space="0" w:color="auto"/>
        <w:left w:val="none" w:sz="0" w:space="0" w:color="auto"/>
        <w:bottom w:val="none" w:sz="0" w:space="0" w:color="auto"/>
        <w:right w:val="none" w:sz="0" w:space="0" w:color="auto"/>
      </w:divBdr>
    </w:div>
    <w:div w:id="912351168">
      <w:bodyDiv w:val="1"/>
      <w:marLeft w:val="0"/>
      <w:marRight w:val="0"/>
      <w:marTop w:val="0"/>
      <w:marBottom w:val="0"/>
      <w:divBdr>
        <w:top w:val="none" w:sz="0" w:space="0" w:color="auto"/>
        <w:left w:val="none" w:sz="0" w:space="0" w:color="auto"/>
        <w:bottom w:val="none" w:sz="0" w:space="0" w:color="auto"/>
        <w:right w:val="none" w:sz="0" w:space="0" w:color="auto"/>
      </w:divBdr>
    </w:div>
    <w:div w:id="912351977">
      <w:bodyDiv w:val="1"/>
      <w:marLeft w:val="0"/>
      <w:marRight w:val="0"/>
      <w:marTop w:val="0"/>
      <w:marBottom w:val="0"/>
      <w:divBdr>
        <w:top w:val="none" w:sz="0" w:space="0" w:color="auto"/>
        <w:left w:val="none" w:sz="0" w:space="0" w:color="auto"/>
        <w:bottom w:val="none" w:sz="0" w:space="0" w:color="auto"/>
        <w:right w:val="none" w:sz="0" w:space="0" w:color="auto"/>
      </w:divBdr>
    </w:div>
    <w:div w:id="912470463">
      <w:bodyDiv w:val="1"/>
      <w:marLeft w:val="0"/>
      <w:marRight w:val="0"/>
      <w:marTop w:val="0"/>
      <w:marBottom w:val="0"/>
      <w:divBdr>
        <w:top w:val="none" w:sz="0" w:space="0" w:color="auto"/>
        <w:left w:val="none" w:sz="0" w:space="0" w:color="auto"/>
        <w:bottom w:val="none" w:sz="0" w:space="0" w:color="auto"/>
        <w:right w:val="none" w:sz="0" w:space="0" w:color="auto"/>
      </w:divBdr>
    </w:div>
    <w:div w:id="912738434">
      <w:bodyDiv w:val="1"/>
      <w:marLeft w:val="0"/>
      <w:marRight w:val="0"/>
      <w:marTop w:val="0"/>
      <w:marBottom w:val="0"/>
      <w:divBdr>
        <w:top w:val="none" w:sz="0" w:space="0" w:color="auto"/>
        <w:left w:val="none" w:sz="0" w:space="0" w:color="auto"/>
        <w:bottom w:val="none" w:sz="0" w:space="0" w:color="auto"/>
        <w:right w:val="none" w:sz="0" w:space="0" w:color="auto"/>
      </w:divBdr>
    </w:div>
    <w:div w:id="912930165">
      <w:bodyDiv w:val="1"/>
      <w:marLeft w:val="0"/>
      <w:marRight w:val="0"/>
      <w:marTop w:val="0"/>
      <w:marBottom w:val="0"/>
      <w:divBdr>
        <w:top w:val="none" w:sz="0" w:space="0" w:color="auto"/>
        <w:left w:val="none" w:sz="0" w:space="0" w:color="auto"/>
        <w:bottom w:val="none" w:sz="0" w:space="0" w:color="auto"/>
        <w:right w:val="none" w:sz="0" w:space="0" w:color="auto"/>
      </w:divBdr>
    </w:div>
    <w:div w:id="913125661">
      <w:bodyDiv w:val="1"/>
      <w:marLeft w:val="0"/>
      <w:marRight w:val="0"/>
      <w:marTop w:val="0"/>
      <w:marBottom w:val="0"/>
      <w:divBdr>
        <w:top w:val="none" w:sz="0" w:space="0" w:color="auto"/>
        <w:left w:val="none" w:sz="0" w:space="0" w:color="auto"/>
        <w:bottom w:val="none" w:sz="0" w:space="0" w:color="auto"/>
        <w:right w:val="none" w:sz="0" w:space="0" w:color="auto"/>
      </w:divBdr>
    </w:div>
    <w:div w:id="913129628">
      <w:bodyDiv w:val="1"/>
      <w:marLeft w:val="0"/>
      <w:marRight w:val="0"/>
      <w:marTop w:val="0"/>
      <w:marBottom w:val="0"/>
      <w:divBdr>
        <w:top w:val="none" w:sz="0" w:space="0" w:color="auto"/>
        <w:left w:val="none" w:sz="0" w:space="0" w:color="auto"/>
        <w:bottom w:val="none" w:sz="0" w:space="0" w:color="auto"/>
        <w:right w:val="none" w:sz="0" w:space="0" w:color="auto"/>
      </w:divBdr>
    </w:div>
    <w:div w:id="913196942">
      <w:bodyDiv w:val="1"/>
      <w:marLeft w:val="0"/>
      <w:marRight w:val="0"/>
      <w:marTop w:val="0"/>
      <w:marBottom w:val="0"/>
      <w:divBdr>
        <w:top w:val="none" w:sz="0" w:space="0" w:color="auto"/>
        <w:left w:val="none" w:sz="0" w:space="0" w:color="auto"/>
        <w:bottom w:val="none" w:sz="0" w:space="0" w:color="auto"/>
        <w:right w:val="none" w:sz="0" w:space="0" w:color="auto"/>
      </w:divBdr>
    </w:div>
    <w:div w:id="913199483">
      <w:bodyDiv w:val="1"/>
      <w:marLeft w:val="0"/>
      <w:marRight w:val="0"/>
      <w:marTop w:val="0"/>
      <w:marBottom w:val="0"/>
      <w:divBdr>
        <w:top w:val="none" w:sz="0" w:space="0" w:color="auto"/>
        <w:left w:val="none" w:sz="0" w:space="0" w:color="auto"/>
        <w:bottom w:val="none" w:sz="0" w:space="0" w:color="auto"/>
        <w:right w:val="none" w:sz="0" w:space="0" w:color="auto"/>
      </w:divBdr>
    </w:div>
    <w:div w:id="913206127">
      <w:bodyDiv w:val="1"/>
      <w:marLeft w:val="0"/>
      <w:marRight w:val="0"/>
      <w:marTop w:val="0"/>
      <w:marBottom w:val="0"/>
      <w:divBdr>
        <w:top w:val="none" w:sz="0" w:space="0" w:color="auto"/>
        <w:left w:val="none" w:sz="0" w:space="0" w:color="auto"/>
        <w:bottom w:val="none" w:sz="0" w:space="0" w:color="auto"/>
        <w:right w:val="none" w:sz="0" w:space="0" w:color="auto"/>
      </w:divBdr>
    </w:div>
    <w:div w:id="913466207">
      <w:bodyDiv w:val="1"/>
      <w:marLeft w:val="0"/>
      <w:marRight w:val="0"/>
      <w:marTop w:val="0"/>
      <w:marBottom w:val="0"/>
      <w:divBdr>
        <w:top w:val="none" w:sz="0" w:space="0" w:color="auto"/>
        <w:left w:val="none" w:sz="0" w:space="0" w:color="auto"/>
        <w:bottom w:val="none" w:sz="0" w:space="0" w:color="auto"/>
        <w:right w:val="none" w:sz="0" w:space="0" w:color="auto"/>
      </w:divBdr>
    </w:div>
    <w:div w:id="913708466">
      <w:bodyDiv w:val="1"/>
      <w:marLeft w:val="0"/>
      <w:marRight w:val="0"/>
      <w:marTop w:val="0"/>
      <w:marBottom w:val="0"/>
      <w:divBdr>
        <w:top w:val="none" w:sz="0" w:space="0" w:color="auto"/>
        <w:left w:val="none" w:sz="0" w:space="0" w:color="auto"/>
        <w:bottom w:val="none" w:sz="0" w:space="0" w:color="auto"/>
        <w:right w:val="none" w:sz="0" w:space="0" w:color="auto"/>
      </w:divBdr>
    </w:div>
    <w:div w:id="913778261">
      <w:bodyDiv w:val="1"/>
      <w:marLeft w:val="0"/>
      <w:marRight w:val="0"/>
      <w:marTop w:val="0"/>
      <w:marBottom w:val="0"/>
      <w:divBdr>
        <w:top w:val="none" w:sz="0" w:space="0" w:color="auto"/>
        <w:left w:val="none" w:sz="0" w:space="0" w:color="auto"/>
        <w:bottom w:val="none" w:sz="0" w:space="0" w:color="auto"/>
        <w:right w:val="none" w:sz="0" w:space="0" w:color="auto"/>
      </w:divBdr>
    </w:div>
    <w:div w:id="913780526">
      <w:bodyDiv w:val="1"/>
      <w:marLeft w:val="0"/>
      <w:marRight w:val="0"/>
      <w:marTop w:val="0"/>
      <w:marBottom w:val="0"/>
      <w:divBdr>
        <w:top w:val="none" w:sz="0" w:space="0" w:color="auto"/>
        <w:left w:val="none" w:sz="0" w:space="0" w:color="auto"/>
        <w:bottom w:val="none" w:sz="0" w:space="0" w:color="auto"/>
        <w:right w:val="none" w:sz="0" w:space="0" w:color="auto"/>
      </w:divBdr>
    </w:div>
    <w:div w:id="914125263">
      <w:bodyDiv w:val="1"/>
      <w:marLeft w:val="0"/>
      <w:marRight w:val="0"/>
      <w:marTop w:val="0"/>
      <w:marBottom w:val="0"/>
      <w:divBdr>
        <w:top w:val="none" w:sz="0" w:space="0" w:color="auto"/>
        <w:left w:val="none" w:sz="0" w:space="0" w:color="auto"/>
        <w:bottom w:val="none" w:sz="0" w:space="0" w:color="auto"/>
        <w:right w:val="none" w:sz="0" w:space="0" w:color="auto"/>
      </w:divBdr>
    </w:div>
    <w:div w:id="914128615">
      <w:bodyDiv w:val="1"/>
      <w:marLeft w:val="0"/>
      <w:marRight w:val="0"/>
      <w:marTop w:val="0"/>
      <w:marBottom w:val="0"/>
      <w:divBdr>
        <w:top w:val="none" w:sz="0" w:space="0" w:color="auto"/>
        <w:left w:val="none" w:sz="0" w:space="0" w:color="auto"/>
        <w:bottom w:val="none" w:sz="0" w:space="0" w:color="auto"/>
        <w:right w:val="none" w:sz="0" w:space="0" w:color="auto"/>
      </w:divBdr>
    </w:div>
    <w:div w:id="914240895">
      <w:bodyDiv w:val="1"/>
      <w:marLeft w:val="0"/>
      <w:marRight w:val="0"/>
      <w:marTop w:val="0"/>
      <w:marBottom w:val="0"/>
      <w:divBdr>
        <w:top w:val="none" w:sz="0" w:space="0" w:color="auto"/>
        <w:left w:val="none" w:sz="0" w:space="0" w:color="auto"/>
        <w:bottom w:val="none" w:sz="0" w:space="0" w:color="auto"/>
        <w:right w:val="none" w:sz="0" w:space="0" w:color="auto"/>
      </w:divBdr>
    </w:div>
    <w:div w:id="914360566">
      <w:bodyDiv w:val="1"/>
      <w:marLeft w:val="0"/>
      <w:marRight w:val="0"/>
      <w:marTop w:val="0"/>
      <w:marBottom w:val="0"/>
      <w:divBdr>
        <w:top w:val="none" w:sz="0" w:space="0" w:color="auto"/>
        <w:left w:val="none" w:sz="0" w:space="0" w:color="auto"/>
        <w:bottom w:val="none" w:sz="0" w:space="0" w:color="auto"/>
        <w:right w:val="none" w:sz="0" w:space="0" w:color="auto"/>
      </w:divBdr>
    </w:div>
    <w:div w:id="914559169">
      <w:bodyDiv w:val="1"/>
      <w:marLeft w:val="0"/>
      <w:marRight w:val="0"/>
      <w:marTop w:val="0"/>
      <w:marBottom w:val="0"/>
      <w:divBdr>
        <w:top w:val="none" w:sz="0" w:space="0" w:color="auto"/>
        <w:left w:val="none" w:sz="0" w:space="0" w:color="auto"/>
        <w:bottom w:val="none" w:sz="0" w:space="0" w:color="auto"/>
        <w:right w:val="none" w:sz="0" w:space="0" w:color="auto"/>
      </w:divBdr>
    </w:div>
    <w:div w:id="914701661">
      <w:bodyDiv w:val="1"/>
      <w:marLeft w:val="0"/>
      <w:marRight w:val="0"/>
      <w:marTop w:val="0"/>
      <w:marBottom w:val="0"/>
      <w:divBdr>
        <w:top w:val="none" w:sz="0" w:space="0" w:color="auto"/>
        <w:left w:val="none" w:sz="0" w:space="0" w:color="auto"/>
        <w:bottom w:val="none" w:sz="0" w:space="0" w:color="auto"/>
        <w:right w:val="none" w:sz="0" w:space="0" w:color="auto"/>
      </w:divBdr>
    </w:div>
    <w:div w:id="914706419">
      <w:bodyDiv w:val="1"/>
      <w:marLeft w:val="0"/>
      <w:marRight w:val="0"/>
      <w:marTop w:val="0"/>
      <w:marBottom w:val="0"/>
      <w:divBdr>
        <w:top w:val="none" w:sz="0" w:space="0" w:color="auto"/>
        <w:left w:val="none" w:sz="0" w:space="0" w:color="auto"/>
        <w:bottom w:val="none" w:sz="0" w:space="0" w:color="auto"/>
        <w:right w:val="none" w:sz="0" w:space="0" w:color="auto"/>
      </w:divBdr>
    </w:div>
    <w:div w:id="914775948">
      <w:bodyDiv w:val="1"/>
      <w:marLeft w:val="0"/>
      <w:marRight w:val="0"/>
      <w:marTop w:val="0"/>
      <w:marBottom w:val="0"/>
      <w:divBdr>
        <w:top w:val="none" w:sz="0" w:space="0" w:color="auto"/>
        <w:left w:val="none" w:sz="0" w:space="0" w:color="auto"/>
        <w:bottom w:val="none" w:sz="0" w:space="0" w:color="auto"/>
        <w:right w:val="none" w:sz="0" w:space="0" w:color="auto"/>
      </w:divBdr>
    </w:div>
    <w:div w:id="914824201">
      <w:bodyDiv w:val="1"/>
      <w:marLeft w:val="0"/>
      <w:marRight w:val="0"/>
      <w:marTop w:val="0"/>
      <w:marBottom w:val="0"/>
      <w:divBdr>
        <w:top w:val="none" w:sz="0" w:space="0" w:color="auto"/>
        <w:left w:val="none" w:sz="0" w:space="0" w:color="auto"/>
        <w:bottom w:val="none" w:sz="0" w:space="0" w:color="auto"/>
        <w:right w:val="none" w:sz="0" w:space="0" w:color="auto"/>
      </w:divBdr>
    </w:div>
    <w:div w:id="914900376">
      <w:bodyDiv w:val="1"/>
      <w:marLeft w:val="0"/>
      <w:marRight w:val="0"/>
      <w:marTop w:val="0"/>
      <w:marBottom w:val="0"/>
      <w:divBdr>
        <w:top w:val="none" w:sz="0" w:space="0" w:color="auto"/>
        <w:left w:val="none" w:sz="0" w:space="0" w:color="auto"/>
        <w:bottom w:val="none" w:sz="0" w:space="0" w:color="auto"/>
        <w:right w:val="none" w:sz="0" w:space="0" w:color="auto"/>
      </w:divBdr>
    </w:div>
    <w:div w:id="915014198">
      <w:bodyDiv w:val="1"/>
      <w:marLeft w:val="0"/>
      <w:marRight w:val="0"/>
      <w:marTop w:val="0"/>
      <w:marBottom w:val="0"/>
      <w:divBdr>
        <w:top w:val="none" w:sz="0" w:space="0" w:color="auto"/>
        <w:left w:val="none" w:sz="0" w:space="0" w:color="auto"/>
        <w:bottom w:val="none" w:sz="0" w:space="0" w:color="auto"/>
        <w:right w:val="none" w:sz="0" w:space="0" w:color="auto"/>
      </w:divBdr>
    </w:div>
    <w:div w:id="915239609">
      <w:bodyDiv w:val="1"/>
      <w:marLeft w:val="0"/>
      <w:marRight w:val="0"/>
      <w:marTop w:val="0"/>
      <w:marBottom w:val="0"/>
      <w:divBdr>
        <w:top w:val="none" w:sz="0" w:space="0" w:color="auto"/>
        <w:left w:val="none" w:sz="0" w:space="0" w:color="auto"/>
        <w:bottom w:val="none" w:sz="0" w:space="0" w:color="auto"/>
        <w:right w:val="none" w:sz="0" w:space="0" w:color="auto"/>
      </w:divBdr>
    </w:div>
    <w:div w:id="915239749">
      <w:bodyDiv w:val="1"/>
      <w:marLeft w:val="0"/>
      <w:marRight w:val="0"/>
      <w:marTop w:val="0"/>
      <w:marBottom w:val="0"/>
      <w:divBdr>
        <w:top w:val="none" w:sz="0" w:space="0" w:color="auto"/>
        <w:left w:val="none" w:sz="0" w:space="0" w:color="auto"/>
        <w:bottom w:val="none" w:sz="0" w:space="0" w:color="auto"/>
        <w:right w:val="none" w:sz="0" w:space="0" w:color="auto"/>
      </w:divBdr>
    </w:div>
    <w:div w:id="915818656">
      <w:bodyDiv w:val="1"/>
      <w:marLeft w:val="0"/>
      <w:marRight w:val="0"/>
      <w:marTop w:val="0"/>
      <w:marBottom w:val="0"/>
      <w:divBdr>
        <w:top w:val="none" w:sz="0" w:space="0" w:color="auto"/>
        <w:left w:val="none" w:sz="0" w:space="0" w:color="auto"/>
        <w:bottom w:val="none" w:sz="0" w:space="0" w:color="auto"/>
        <w:right w:val="none" w:sz="0" w:space="0" w:color="auto"/>
      </w:divBdr>
    </w:div>
    <w:div w:id="915935418">
      <w:bodyDiv w:val="1"/>
      <w:marLeft w:val="0"/>
      <w:marRight w:val="0"/>
      <w:marTop w:val="0"/>
      <w:marBottom w:val="0"/>
      <w:divBdr>
        <w:top w:val="none" w:sz="0" w:space="0" w:color="auto"/>
        <w:left w:val="none" w:sz="0" w:space="0" w:color="auto"/>
        <w:bottom w:val="none" w:sz="0" w:space="0" w:color="auto"/>
        <w:right w:val="none" w:sz="0" w:space="0" w:color="auto"/>
      </w:divBdr>
    </w:div>
    <w:div w:id="915944056">
      <w:bodyDiv w:val="1"/>
      <w:marLeft w:val="0"/>
      <w:marRight w:val="0"/>
      <w:marTop w:val="0"/>
      <w:marBottom w:val="0"/>
      <w:divBdr>
        <w:top w:val="none" w:sz="0" w:space="0" w:color="auto"/>
        <w:left w:val="none" w:sz="0" w:space="0" w:color="auto"/>
        <w:bottom w:val="none" w:sz="0" w:space="0" w:color="auto"/>
        <w:right w:val="none" w:sz="0" w:space="0" w:color="auto"/>
      </w:divBdr>
    </w:div>
    <w:div w:id="915944477">
      <w:bodyDiv w:val="1"/>
      <w:marLeft w:val="0"/>
      <w:marRight w:val="0"/>
      <w:marTop w:val="0"/>
      <w:marBottom w:val="0"/>
      <w:divBdr>
        <w:top w:val="none" w:sz="0" w:space="0" w:color="auto"/>
        <w:left w:val="none" w:sz="0" w:space="0" w:color="auto"/>
        <w:bottom w:val="none" w:sz="0" w:space="0" w:color="auto"/>
        <w:right w:val="none" w:sz="0" w:space="0" w:color="auto"/>
      </w:divBdr>
    </w:div>
    <w:div w:id="916398735">
      <w:bodyDiv w:val="1"/>
      <w:marLeft w:val="0"/>
      <w:marRight w:val="0"/>
      <w:marTop w:val="0"/>
      <w:marBottom w:val="0"/>
      <w:divBdr>
        <w:top w:val="none" w:sz="0" w:space="0" w:color="auto"/>
        <w:left w:val="none" w:sz="0" w:space="0" w:color="auto"/>
        <w:bottom w:val="none" w:sz="0" w:space="0" w:color="auto"/>
        <w:right w:val="none" w:sz="0" w:space="0" w:color="auto"/>
      </w:divBdr>
    </w:div>
    <w:div w:id="916406645">
      <w:bodyDiv w:val="1"/>
      <w:marLeft w:val="0"/>
      <w:marRight w:val="0"/>
      <w:marTop w:val="0"/>
      <w:marBottom w:val="0"/>
      <w:divBdr>
        <w:top w:val="none" w:sz="0" w:space="0" w:color="auto"/>
        <w:left w:val="none" w:sz="0" w:space="0" w:color="auto"/>
        <w:bottom w:val="none" w:sz="0" w:space="0" w:color="auto"/>
        <w:right w:val="none" w:sz="0" w:space="0" w:color="auto"/>
      </w:divBdr>
    </w:div>
    <w:div w:id="916750220">
      <w:bodyDiv w:val="1"/>
      <w:marLeft w:val="0"/>
      <w:marRight w:val="0"/>
      <w:marTop w:val="0"/>
      <w:marBottom w:val="0"/>
      <w:divBdr>
        <w:top w:val="none" w:sz="0" w:space="0" w:color="auto"/>
        <w:left w:val="none" w:sz="0" w:space="0" w:color="auto"/>
        <w:bottom w:val="none" w:sz="0" w:space="0" w:color="auto"/>
        <w:right w:val="none" w:sz="0" w:space="0" w:color="auto"/>
      </w:divBdr>
    </w:div>
    <w:div w:id="917056585">
      <w:bodyDiv w:val="1"/>
      <w:marLeft w:val="0"/>
      <w:marRight w:val="0"/>
      <w:marTop w:val="0"/>
      <w:marBottom w:val="0"/>
      <w:divBdr>
        <w:top w:val="none" w:sz="0" w:space="0" w:color="auto"/>
        <w:left w:val="none" w:sz="0" w:space="0" w:color="auto"/>
        <w:bottom w:val="none" w:sz="0" w:space="0" w:color="auto"/>
        <w:right w:val="none" w:sz="0" w:space="0" w:color="auto"/>
      </w:divBdr>
    </w:div>
    <w:div w:id="917129768">
      <w:bodyDiv w:val="1"/>
      <w:marLeft w:val="0"/>
      <w:marRight w:val="0"/>
      <w:marTop w:val="0"/>
      <w:marBottom w:val="0"/>
      <w:divBdr>
        <w:top w:val="none" w:sz="0" w:space="0" w:color="auto"/>
        <w:left w:val="none" w:sz="0" w:space="0" w:color="auto"/>
        <w:bottom w:val="none" w:sz="0" w:space="0" w:color="auto"/>
        <w:right w:val="none" w:sz="0" w:space="0" w:color="auto"/>
      </w:divBdr>
    </w:div>
    <w:div w:id="917135950">
      <w:bodyDiv w:val="1"/>
      <w:marLeft w:val="0"/>
      <w:marRight w:val="0"/>
      <w:marTop w:val="0"/>
      <w:marBottom w:val="0"/>
      <w:divBdr>
        <w:top w:val="none" w:sz="0" w:space="0" w:color="auto"/>
        <w:left w:val="none" w:sz="0" w:space="0" w:color="auto"/>
        <w:bottom w:val="none" w:sz="0" w:space="0" w:color="auto"/>
        <w:right w:val="none" w:sz="0" w:space="0" w:color="auto"/>
      </w:divBdr>
    </w:div>
    <w:div w:id="917178738">
      <w:bodyDiv w:val="1"/>
      <w:marLeft w:val="0"/>
      <w:marRight w:val="0"/>
      <w:marTop w:val="0"/>
      <w:marBottom w:val="0"/>
      <w:divBdr>
        <w:top w:val="none" w:sz="0" w:space="0" w:color="auto"/>
        <w:left w:val="none" w:sz="0" w:space="0" w:color="auto"/>
        <w:bottom w:val="none" w:sz="0" w:space="0" w:color="auto"/>
        <w:right w:val="none" w:sz="0" w:space="0" w:color="auto"/>
      </w:divBdr>
    </w:div>
    <w:div w:id="917204903">
      <w:bodyDiv w:val="1"/>
      <w:marLeft w:val="0"/>
      <w:marRight w:val="0"/>
      <w:marTop w:val="0"/>
      <w:marBottom w:val="0"/>
      <w:divBdr>
        <w:top w:val="none" w:sz="0" w:space="0" w:color="auto"/>
        <w:left w:val="none" w:sz="0" w:space="0" w:color="auto"/>
        <w:bottom w:val="none" w:sz="0" w:space="0" w:color="auto"/>
        <w:right w:val="none" w:sz="0" w:space="0" w:color="auto"/>
      </w:divBdr>
    </w:div>
    <w:div w:id="917206819">
      <w:bodyDiv w:val="1"/>
      <w:marLeft w:val="0"/>
      <w:marRight w:val="0"/>
      <w:marTop w:val="0"/>
      <w:marBottom w:val="0"/>
      <w:divBdr>
        <w:top w:val="none" w:sz="0" w:space="0" w:color="auto"/>
        <w:left w:val="none" w:sz="0" w:space="0" w:color="auto"/>
        <w:bottom w:val="none" w:sz="0" w:space="0" w:color="auto"/>
        <w:right w:val="none" w:sz="0" w:space="0" w:color="auto"/>
      </w:divBdr>
    </w:div>
    <w:div w:id="917248998">
      <w:bodyDiv w:val="1"/>
      <w:marLeft w:val="0"/>
      <w:marRight w:val="0"/>
      <w:marTop w:val="0"/>
      <w:marBottom w:val="0"/>
      <w:divBdr>
        <w:top w:val="none" w:sz="0" w:space="0" w:color="auto"/>
        <w:left w:val="none" w:sz="0" w:space="0" w:color="auto"/>
        <w:bottom w:val="none" w:sz="0" w:space="0" w:color="auto"/>
        <w:right w:val="none" w:sz="0" w:space="0" w:color="auto"/>
      </w:divBdr>
    </w:div>
    <w:div w:id="917325809">
      <w:bodyDiv w:val="1"/>
      <w:marLeft w:val="0"/>
      <w:marRight w:val="0"/>
      <w:marTop w:val="0"/>
      <w:marBottom w:val="0"/>
      <w:divBdr>
        <w:top w:val="none" w:sz="0" w:space="0" w:color="auto"/>
        <w:left w:val="none" w:sz="0" w:space="0" w:color="auto"/>
        <w:bottom w:val="none" w:sz="0" w:space="0" w:color="auto"/>
        <w:right w:val="none" w:sz="0" w:space="0" w:color="auto"/>
      </w:divBdr>
    </w:div>
    <w:div w:id="917326007">
      <w:bodyDiv w:val="1"/>
      <w:marLeft w:val="0"/>
      <w:marRight w:val="0"/>
      <w:marTop w:val="0"/>
      <w:marBottom w:val="0"/>
      <w:divBdr>
        <w:top w:val="none" w:sz="0" w:space="0" w:color="auto"/>
        <w:left w:val="none" w:sz="0" w:space="0" w:color="auto"/>
        <w:bottom w:val="none" w:sz="0" w:space="0" w:color="auto"/>
        <w:right w:val="none" w:sz="0" w:space="0" w:color="auto"/>
      </w:divBdr>
    </w:div>
    <w:div w:id="917326802">
      <w:bodyDiv w:val="1"/>
      <w:marLeft w:val="0"/>
      <w:marRight w:val="0"/>
      <w:marTop w:val="0"/>
      <w:marBottom w:val="0"/>
      <w:divBdr>
        <w:top w:val="none" w:sz="0" w:space="0" w:color="auto"/>
        <w:left w:val="none" w:sz="0" w:space="0" w:color="auto"/>
        <w:bottom w:val="none" w:sz="0" w:space="0" w:color="auto"/>
        <w:right w:val="none" w:sz="0" w:space="0" w:color="auto"/>
      </w:divBdr>
    </w:div>
    <w:div w:id="917441510">
      <w:bodyDiv w:val="1"/>
      <w:marLeft w:val="0"/>
      <w:marRight w:val="0"/>
      <w:marTop w:val="0"/>
      <w:marBottom w:val="0"/>
      <w:divBdr>
        <w:top w:val="none" w:sz="0" w:space="0" w:color="auto"/>
        <w:left w:val="none" w:sz="0" w:space="0" w:color="auto"/>
        <w:bottom w:val="none" w:sz="0" w:space="0" w:color="auto"/>
        <w:right w:val="none" w:sz="0" w:space="0" w:color="auto"/>
      </w:divBdr>
    </w:div>
    <w:div w:id="917595780">
      <w:bodyDiv w:val="1"/>
      <w:marLeft w:val="0"/>
      <w:marRight w:val="0"/>
      <w:marTop w:val="0"/>
      <w:marBottom w:val="0"/>
      <w:divBdr>
        <w:top w:val="none" w:sz="0" w:space="0" w:color="auto"/>
        <w:left w:val="none" w:sz="0" w:space="0" w:color="auto"/>
        <w:bottom w:val="none" w:sz="0" w:space="0" w:color="auto"/>
        <w:right w:val="none" w:sz="0" w:space="0" w:color="auto"/>
      </w:divBdr>
    </w:div>
    <w:div w:id="917596258">
      <w:bodyDiv w:val="1"/>
      <w:marLeft w:val="0"/>
      <w:marRight w:val="0"/>
      <w:marTop w:val="0"/>
      <w:marBottom w:val="0"/>
      <w:divBdr>
        <w:top w:val="none" w:sz="0" w:space="0" w:color="auto"/>
        <w:left w:val="none" w:sz="0" w:space="0" w:color="auto"/>
        <w:bottom w:val="none" w:sz="0" w:space="0" w:color="auto"/>
        <w:right w:val="none" w:sz="0" w:space="0" w:color="auto"/>
      </w:divBdr>
    </w:div>
    <w:div w:id="917787415">
      <w:bodyDiv w:val="1"/>
      <w:marLeft w:val="0"/>
      <w:marRight w:val="0"/>
      <w:marTop w:val="0"/>
      <w:marBottom w:val="0"/>
      <w:divBdr>
        <w:top w:val="none" w:sz="0" w:space="0" w:color="auto"/>
        <w:left w:val="none" w:sz="0" w:space="0" w:color="auto"/>
        <w:bottom w:val="none" w:sz="0" w:space="0" w:color="auto"/>
        <w:right w:val="none" w:sz="0" w:space="0" w:color="auto"/>
      </w:divBdr>
    </w:div>
    <w:div w:id="917834398">
      <w:bodyDiv w:val="1"/>
      <w:marLeft w:val="0"/>
      <w:marRight w:val="0"/>
      <w:marTop w:val="0"/>
      <w:marBottom w:val="0"/>
      <w:divBdr>
        <w:top w:val="none" w:sz="0" w:space="0" w:color="auto"/>
        <w:left w:val="none" w:sz="0" w:space="0" w:color="auto"/>
        <w:bottom w:val="none" w:sz="0" w:space="0" w:color="auto"/>
        <w:right w:val="none" w:sz="0" w:space="0" w:color="auto"/>
      </w:divBdr>
    </w:div>
    <w:div w:id="917901312">
      <w:bodyDiv w:val="1"/>
      <w:marLeft w:val="0"/>
      <w:marRight w:val="0"/>
      <w:marTop w:val="0"/>
      <w:marBottom w:val="0"/>
      <w:divBdr>
        <w:top w:val="none" w:sz="0" w:space="0" w:color="auto"/>
        <w:left w:val="none" w:sz="0" w:space="0" w:color="auto"/>
        <w:bottom w:val="none" w:sz="0" w:space="0" w:color="auto"/>
        <w:right w:val="none" w:sz="0" w:space="0" w:color="auto"/>
      </w:divBdr>
    </w:div>
    <w:div w:id="917983347">
      <w:bodyDiv w:val="1"/>
      <w:marLeft w:val="0"/>
      <w:marRight w:val="0"/>
      <w:marTop w:val="0"/>
      <w:marBottom w:val="0"/>
      <w:divBdr>
        <w:top w:val="none" w:sz="0" w:space="0" w:color="auto"/>
        <w:left w:val="none" w:sz="0" w:space="0" w:color="auto"/>
        <w:bottom w:val="none" w:sz="0" w:space="0" w:color="auto"/>
        <w:right w:val="none" w:sz="0" w:space="0" w:color="auto"/>
      </w:divBdr>
    </w:div>
    <w:div w:id="918094825">
      <w:bodyDiv w:val="1"/>
      <w:marLeft w:val="0"/>
      <w:marRight w:val="0"/>
      <w:marTop w:val="0"/>
      <w:marBottom w:val="0"/>
      <w:divBdr>
        <w:top w:val="none" w:sz="0" w:space="0" w:color="auto"/>
        <w:left w:val="none" w:sz="0" w:space="0" w:color="auto"/>
        <w:bottom w:val="none" w:sz="0" w:space="0" w:color="auto"/>
        <w:right w:val="none" w:sz="0" w:space="0" w:color="auto"/>
      </w:divBdr>
    </w:div>
    <w:div w:id="918291895">
      <w:bodyDiv w:val="1"/>
      <w:marLeft w:val="0"/>
      <w:marRight w:val="0"/>
      <w:marTop w:val="0"/>
      <w:marBottom w:val="0"/>
      <w:divBdr>
        <w:top w:val="none" w:sz="0" w:space="0" w:color="auto"/>
        <w:left w:val="none" w:sz="0" w:space="0" w:color="auto"/>
        <w:bottom w:val="none" w:sz="0" w:space="0" w:color="auto"/>
        <w:right w:val="none" w:sz="0" w:space="0" w:color="auto"/>
      </w:divBdr>
    </w:div>
    <w:div w:id="918294374">
      <w:bodyDiv w:val="1"/>
      <w:marLeft w:val="0"/>
      <w:marRight w:val="0"/>
      <w:marTop w:val="0"/>
      <w:marBottom w:val="0"/>
      <w:divBdr>
        <w:top w:val="none" w:sz="0" w:space="0" w:color="auto"/>
        <w:left w:val="none" w:sz="0" w:space="0" w:color="auto"/>
        <w:bottom w:val="none" w:sz="0" w:space="0" w:color="auto"/>
        <w:right w:val="none" w:sz="0" w:space="0" w:color="auto"/>
      </w:divBdr>
    </w:div>
    <w:div w:id="918321573">
      <w:bodyDiv w:val="1"/>
      <w:marLeft w:val="0"/>
      <w:marRight w:val="0"/>
      <w:marTop w:val="0"/>
      <w:marBottom w:val="0"/>
      <w:divBdr>
        <w:top w:val="none" w:sz="0" w:space="0" w:color="auto"/>
        <w:left w:val="none" w:sz="0" w:space="0" w:color="auto"/>
        <w:bottom w:val="none" w:sz="0" w:space="0" w:color="auto"/>
        <w:right w:val="none" w:sz="0" w:space="0" w:color="auto"/>
      </w:divBdr>
    </w:div>
    <w:div w:id="918441438">
      <w:bodyDiv w:val="1"/>
      <w:marLeft w:val="0"/>
      <w:marRight w:val="0"/>
      <w:marTop w:val="0"/>
      <w:marBottom w:val="0"/>
      <w:divBdr>
        <w:top w:val="none" w:sz="0" w:space="0" w:color="auto"/>
        <w:left w:val="none" w:sz="0" w:space="0" w:color="auto"/>
        <w:bottom w:val="none" w:sz="0" w:space="0" w:color="auto"/>
        <w:right w:val="none" w:sz="0" w:space="0" w:color="auto"/>
      </w:divBdr>
    </w:div>
    <w:div w:id="918442765">
      <w:bodyDiv w:val="1"/>
      <w:marLeft w:val="0"/>
      <w:marRight w:val="0"/>
      <w:marTop w:val="0"/>
      <w:marBottom w:val="0"/>
      <w:divBdr>
        <w:top w:val="none" w:sz="0" w:space="0" w:color="auto"/>
        <w:left w:val="none" w:sz="0" w:space="0" w:color="auto"/>
        <w:bottom w:val="none" w:sz="0" w:space="0" w:color="auto"/>
        <w:right w:val="none" w:sz="0" w:space="0" w:color="auto"/>
      </w:divBdr>
    </w:div>
    <w:div w:id="918515881">
      <w:bodyDiv w:val="1"/>
      <w:marLeft w:val="0"/>
      <w:marRight w:val="0"/>
      <w:marTop w:val="0"/>
      <w:marBottom w:val="0"/>
      <w:divBdr>
        <w:top w:val="none" w:sz="0" w:space="0" w:color="auto"/>
        <w:left w:val="none" w:sz="0" w:space="0" w:color="auto"/>
        <w:bottom w:val="none" w:sz="0" w:space="0" w:color="auto"/>
        <w:right w:val="none" w:sz="0" w:space="0" w:color="auto"/>
      </w:divBdr>
    </w:div>
    <w:div w:id="918712671">
      <w:bodyDiv w:val="1"/>
      <w:marLeft w:val="0"/>
      <w:marRight w:val="0"/>
      <w:marTop w:val="0"/>
      <w:marBottom w:val="0"/>
      <w:divBdr>
        <w:top w:val="none" w:sz="0" w:space="0" w:color="auto"/>
        <w:left w:val="none" w:sz="0" w:space="0" w:color="auto"/>
        <w:bottom w:val="none" w:sz="0" w:space="0" w:color="auto"/>
        <w:right w:val="none" w:sz="0" w:space="0" w:color="auto"/>
      </w:divBdr>
    </w:div>
    <w:div w:id="918752583">
      <w:bodyDiv w:val="1"/>
      <w:marLeft w:val="0"/>
      <w:marRight w:val="0"/>
      <w:marTop w:val="0"/>
      <w:marBottom w:val="0"/>
      <w:divBdr>
        <w:top w:val="none" w:sz="0" w:space="0" w:color="auto"/>
        <w:left w:val="none" w:sz="0" w:space="0" w:color="auto"/>
        <w:bottom w:val="none" w:sz="0" w:space="0" w:color="auto"/>
        <w:right w:val="none" w:sz="0" w:space="0" w:color="auto"/>
      </w:divBdr>
    </w:div>
    <w:div w:id="918907254">
      <w:bodyDiv w:val="1"/>
      <w:marLeft w:val="0"/>
      <w:marRight w:val="0"/>
      <w:marTop w:val="0"/>
      <w:marBottom w:val="0"/>
      <w:divBdr>
        <w:top w:val="none" w:sz="0" w:space="0" w:color="auto"/>
        <w:left w:val="none" w:sz="0" w:space="0" w:color="auto"/>
        <w:bottom w:val="none" w:sz="0" w:space="0" w:color="auto"/>
        <w:right w:val="none" w:sz="0" w:space="0" w:color="auto"/>
      </w:divBdr>
    </w:div>
    <w:div w:id="918976164">
      <w:bodyDiv w:val="1"/>
      <w:marLeft w:val="0"/>
      <w:marRight w:val="0"/>
      <w:marTop w:val="0"/>
      <w:marBottom w:val="0"/>
      <w:divBdr>
        <w:top w:val="none" w:sz="0" w:space="0" w:color="auto"/>
        <w:left w:val="none" w:sz="0" w:space="0" w:color="auto"/>
        <w:bottom w:val="none" w:sz="0" w:space="0" w:color="auto"/>
        <w:right w:val="none" w:sz="0" w:space="0" w:color="auto"/>
      </w:divBdr>
    </w:div>
    <w:div w:id="919100355">
      <w:bodyDiv w:val="1"/>
      <w:marLeft w:val="0"/>
      <w:marRight w:val="0"/>
      <w:marTop w:val="0"/>
      <w:marBottom w:val="0"/>
      <w:divBdr>
        <w:top w:val="none" w:sz="0" w:space="0" w:color="auto"/>
        <w:left w:val="none" w:sz="0" w:space="0" w:color="auto"/>
        <w:bottom w:val="none" w:sz="0" w:space="0" w:color="auto"/>
        <w:right w:val="none" w:sz="0" w:space="0" w:color="auto"/>
      </w:divBdr>
    </w:div>
    <w:div w:id="919142474">
      <w:bodyDiv w:val="1"/>
      <w:marLeft w:val="0"/>
      <w:marRight w:val="0"/>
      <w:marTop w:val="0"/>
      <w:marBottom w:val="0"/>
      <w:divBdr>
        <w:top w:val="none" w:sz="0" w:space="0" w:color="auto"/>
        <w:left w:val="none" w:sz="0" w:space="0" w:color="auto"/>
        <w:bottom w:val="none" w:sz="0" w:space="0" w:color="auto"/>
        <w:right w:val="none" w:sz="0" w:space="0" w:color="auto"/>
      </w:divBdr>
    </w:div>
    <w:div w:id="919144256">
      <w:bodyDiv w:val="1"/>
      <w:marLeft w:val="0"/>
      <w:marRight w:val="0"/>
      <w:marTop w:val="0"/>
      <w:marBottom w:val="0"/>
      <w:divBdr>
        <w:top w:val="none" w:sz="0" w:space="0" w:color="auto"/>
        <w:left w:val="none" w:sz="0" w:space="0" w:color="auto"/>
        <w:bottom w:val="none" w:sz="0" w:space="0" w:color="auto"/>
        <w:right w:val="none" w:sz="0" w:space="0" w:color="auto"/>
      </w:divBdr>
    </w:div>
    <w:div w:id="919213303">
      <w:bodyDiv w:val="1"/>
      <w:marLeft w:val="0"/>
      <w:marRight w:val="0"/>
      <w:marTop w:val="0"/>
      <w:marBottom w:val="0"/>
      <w:divBdr>
        <w:top w:val="none" w:sz="0" w:space="0" w:color="auto"/>
        <w:left w:val="none" w:sz="0" w:space="0" w:color="auto"/>
        <w:bottom w:val="none" w:sz="0" w:space="0" w:color="auto"/>
        <w:right w:val="none" w:sz="0" w:space="0" w:color="auto"/>
      </w:divBdr>
    </w:div>
    <w:div w:id="919220771">
      <w:bodyDiv w:val="1"/>
      <w:marLeft w:val="0"/>
      <w:marRight w:val="0"/>
      <w:marTop w:val="0"/>
      <w:marBottom w:val="0"/>
      <w:divBdr>
        <w:top w:val="none" w:sz="0" w:space="0" w:color="auto"/>
        <w:left w:val="none" w:sz="0" w:space="0" w:color="auto"/>
        <w:bottom w:val="none" w:sz="0" w:space="0" w:color="auto"/>
        <w:right w:val="none" w:sz="0" w:space="0" w:color="auto"/>
      </w:divBdr>
    </w:div>
    <w:div w:id="919405627">
      <w:bodyDiv w:val="1"/>
      <w:marLeft w:val="0"/>
      <w:marRight w:val="0"/>
      <w:marTop w:val="0"/>
      <w:marBottom w:val="0"/>
      <w:divBdr>
        <w:top w:val="none" w:sz="0" w:space="0" w:color="auto"/>
        <w:left w:val="none" w:sz="0" w:space="0" w:color="auto"/>
        <w:bottom w:val="none" w:sz="0" w:space="0" w:color="auto"/>
        <w:right w:val="none" w:sz="0" w:space="0" w:color="auto"/>
      </w:divBdr>
    </w:div>
    <w:div w:id="919407572">
      <w:bodyDiv w:val="1"/>
      <w:marLeft w:val="0"/>
      <w:marRight w:val="0"/>
      <w:marTop w:val="0"/>
      <w:marBottom w:val="0"/>
      <w:divBdr>
        <w:top w:val="none" w:sz="0" w:space="0" w:color="auto"/>
        <w:left w:val="none" w:sz="0" w:space="0" w:color="auto"/>
        <w:bottom w:val="none" w:sz="0" w:space="0" w:color="auto"/>
        <w:right w:val="none" w:sz="0" w:space="0" w:color="auto"/>
      </w:divBdr>
    </w:div>
    <w:div w:id="919485020">
      <w:bodyDiv w:val="1"/>
      <w:marLeft w:val="0"/>
      <w:marRight w:val="0"/>
      <w:marTop w:val="0"/>
      <w:marBottom w:val="0"/>
      <w:divBdr>
        <w:top w:val="none" w:sz="0" w:space="0" w:color="auto"/>
        <w:left w:val="none" w:sz="0" w:space="0" w:color="auto"/>
        <w:bottom w:val="none" w:sz="0" w:space="0" w:color="auto"/>
        <w:right w:val="none" w:sz="0" w:space="0" w:color="auto"/>
      </w:divBdr>
    </w:div>
    <w:div w:id="919870395">
      <w:bodyDiv w:val="1"/>
      <w:marLeft w:val="0"/>
      <w:marRight w:val="0"/>
      <w:marTop w:val="0"/>
      <w:marBottom w:val="0"/>
      <w:divBdr>
        <w:top w:val="none" w:sz="0" w:space="0" w:color="auto"/>
        <w:left w:val="none" w:sz="0" w:space="0" w:color="auto"/>
        <w:bottom w:val="none" w:sz="0" w:space="0" w:color="auto"/>
        <w:right w:val="none" w:sz="0" w:space="0" w:color="auto"/>
      </w:divBdr>
    </w:div>
    <w:div w:id="920018675">
      <w:bodyDiv w:val="1"/>
      <w:marLeft w:val="0"/>
      <w:marRight w:val="0"/>
      <w:marTop w:val="0"/>
      <w:marBottom w:val="0"/>
      <w:divBdr>
        <w:top w:val="none" w:sz="0" w:space="0" w:color="auto"/>
        <w:left w:val="none" w:sz="0" w:space="0" w:color="auto"/>
        <w:bottom w:val="none" w:sz="0" w:space="0" w:color="auto"/>
        <w:right w:val="none" w:sz="0" w:space="0" w:color="auto"/>
      </w:divBdr>
    </w:div>
    <w:div w:id="920138764">
      <w:bodyDiv w:val="1"/>
      <w:marLeft w:val="0"/>
      <w:marRight w:val="0"/>
      <w:marTop w:val="0"/>
      <w:marBottom w:val="0"/>
      <w:divBdr>
        <w:top w:val="none" w:sz="0" w:space="0" w:color="auto"/>
        <w:left w:val="none" w:sz="0" w:space="0" w:color="auto"/>
        <w:bottom w:val="none" w:sz="0" w:space="0" w:color="auto"/>
        <w:right w:val="none" w:sz="0" w:space="0" w:color="auto"/>
      </w:divBdr>
    </w:div>
    <w:div w:id="920141875">
      <w:bodyDiv w:val="1"/>
      <w:marLeft w:val="0"/>
      <w:marRight w:val="0"/>
      <w:marTop w:val="0"/>
      <w:marBottom w:val="0"/>
      <w:divBdr>
        <w:top w:val="none" w:sz="0" w:space="0" w:color="auto"/>
        <w:left w:val="none" w:sz="0" w:space="0" w:color="auto"/>
        <w:bottom w:val="none" w:sz="0" w:space="0" w:color="auto"/>
        <w:right w:val="none" w:sz="0" w:space="0" w:color="auto"/>
      </w:divBdr>
    </w:div>
    <w:div w:id="920219093">
      <w:bodyDiv w:val="1"/>
      <w:marLeft w:val="0"/>
      <w:marRight w:val="0"/>
      <w:marTop w:val="0"/>
      <w:marBottom w:val="0"/>
      <w:divBdr>
        <w:top w:val="none" w:sz="0" w:space="0" w:color="auto"/>
        <w:left w:val="none" w:sz="0" w:space="0" w:color="auto"/>
        <w:bottom w:val="none" w:sz="0" w:space="0" w:color="auto"/>
        <w:right w:val="none" w:sz="0" w:space="0" w:color="auto"/>
      </w:divBdr>
    </w:div>
    <w:div w:id="920256585">
      <w:bodyDiv w:val="1"/>
      <w:marLeft w:val="0"/>
      <w:marRight w:val="0"/>
      <w:marTop w:val="0"/>
      <w:marBottom w:val="0"/>
      <w:divBdr>
        <w:top w:val="none" w:sz="0" w:space="0" w:color="auto"/>
        <w:left w:val="none" w:sz="0" w:space="0" w:color="auto"/>
        <w:bottom w:val="none" w:sz="0" w:space="0" w:color="auto"/>
        <w:right w:val="none" w:sz="0" w:space="0" w:color="auto"/>
      </w:divBdr>
    </w:div>
    <w:div w:id="920331185">
      <w:bodyDiv w:val="1"/>
      <w:marLeft w:val="0"/>
      <w:marRight w:val="0"/>
      <w:marTop w:val="0"/>
      <w:marBottom w:val="0"/>
      <w:divBdr>
        <w:top w:val="none" w:sz="0" w:space="0" w:color="auto"/>
        <w:left w:val="none" w:sz="0" w:space="0" w:color="auto"/>
        <w:bottom w:val="none" w:sz="0" w:space="0" w:color="auto"/>
        <w:right w:val="none" w:sz="0" w:space="0" w:color="auto"/>
      </w:divBdr>
    </w:div>
    <w:div w:id="920410924">
      <w:bodyDiv w:val="1"/>
      <w:marLeft w:val="0"/>
      <w:marRight w:val="0"/>
      <w:marTop w:val="0"/>
      <w:marBottom w:val="0"/>
      <w:divBdr>
        <w:top w:val="none" w:sz="0" w:space="0" w:color="auto"/>
        <w:left w:val="none" w:sz="0" w:space="0" w:color="auto"/>
        <w:bottom w:val="none" w:sz="0" w:space="0" w:color="auto"/>
        <w:right w:val="none" w:sz="0" w:space="0" w:color="auto"/>
      </w:divBdr>
    </w:div>
    <w:div w:id="920530433">
      <w:bodyDiv w:val="1"/>
      <w:marLeft w:val="0"/>
      <w:marRight w:val="0"/>
      <w:marTop w:val="0"/>
      <w:marBottom w:val="0"/>
      <w:divBdr>
        <w:top w:val="none" w:sz="0" w:space="0" w:color="auto"/>
        <w:left w:val="none" w:sz="0" w:space="0" w:color="auto"/>
        <w:bottom w:val="none" w:sz="0" w:space="0" w:color="auto"/>
        <w:right w:val="none" w:sz="0" w:space="0" w:color="auto"/>
      </w:divBdr>
    </w:div>
    <w:div w:id="920676779">
      <w:bodyDiv w:val="1"/>
      <w:marLeft w:val="0"/>
      <w:marRight w:val="0"/>
      <w:marTop w:val="0"/>
      <w:marBottom w:val="0"/>
      <w:divBdr>
        <w:top w:val="none" w:sz="0" w:space="0" w:color="auto"/>
        <w:left w:val="none" w:sz="0" w:space="0" w:color="auto"/>
        <w:bottom w:val="none" w:sz="0" w:space="0" w:color="auto"/>
        <w:right w:val="none" w:sz="0" w:space="0" w:color="auto"/>
      </w:divBdr>
    </w:div>
    <w:div w:id="920875340">
      <w:bodyDiv w:val="1"/>
      <w:marLeft w:val="0"/>
      <w:marRight w:val="0"/>
      <w:marTop w:val="0"/>
      <w:marBottom w:val="0"/>
      <w:divBdr>
        <w:top w:val="none" w:sz="0" w:space="0" w:color="auto"/>
        <w:left w:val="none" w:sz="0" w:space="0" w:color="auto"/>
        <w:bottom w:val="none" w:sz="0" w:space="0" w:color="auto"/>
        <w:right w:val="none" w:sz="0" w:space="0" w:color="auto"/>
      </w:divBdr>
    </w:div>
    <w:div w:id="920917082">
      <w:bodyDiv w:val="1"/>
      <w:marLeft w:val="0"/>
      <w:marRight w:val="0"/>
      <w:marTop w:val="0"/>
      <w:marBottom w:val="0"/>
      <w:divBdr>
        <w:top w:val="none" w:sz="0" w:space="0" w:color="auto"/>
        <w:left w:val="none" w:sz="0" w:space="0" w:color="auto"/>
        <w:bottom w:val="none" w:sz="0" w:space="0" w:color="auto"/>
        <w:right w:val="none" w:sz="0" w:space="0" w:color="auto"/>
      </w:divBdr>
    </w:div>
    <w:div w:id="921068265">
      <w:bodyDiv w:val="1"/>
      <w:marLeft w:val="0"/>
      <w:marRight w:val="0"/>
      <w:marTop w:val="0"/>
      <w:marBottom w:val="0"/>
      <w:divBdr>
        <w:top w:val="none" w:sz="0" w:space="0" w:color="auto"/>
        <w:left w:val="none" w:sz="0" w:space="0" w:color="auto"/>
        <w:bottom w:val="none" w:sz="0" w:space="0" w:color="auto"/>
        <w:right w:val="none" w:sz="0" w:space="0" w:color="auto"/>
      </w:divBdr>
    </w:div>
    <w:div w:id="921110823">
      <w:bodyDiv w:val="1"/>
      <w:marLeft w:val="0"/>
      <w:marRight w:val="0"/>
      <w:marTop w:val="0"/>
      <w:marBottom w:val="0"/>
      <w:divBdr>
        <w:top w:val="none" w:sz="0" w:space="0" w:color="auto"/>
        <w:left w:val="none" w:sz="0" w:space="0" w:color="auto"/>
        <w:bottom w:val="none" w:sz="0" w:space="0" w:color="auto"/>
        <w:right w:val="none" w:sz="0" w:space="0" w:color="auto"/>
      </w:divBdr>
    </w:div>
    <w:div w:id="921177793">
      <w:bodyDiv w:val="1"/>
      <w:marLeft w:val="0"/>
      <w:marRight w:val="0"/>
      <w:marTop w:val="0"/>
      <w:marBottom w:val="0"/>
      <w:divBdr>
        <w:top w:val="none" w:sz="0" w:space="0" w:color="auto"/>
        <w:left w:val="none" w:sz="0" w:space="0" w:color="auto"/>
        <w:bottom w:val="none" w:sz="0" w:space="0" w:color="auto"/>
        <w:right w:val="none" w:sz="0" w:space="0" w:color="auto"/>
      </w:divBdr>
    </w:div>
    <w:div w:id="921186978">
      <w:bodyDiv w:val="1"/>
      <w:marLeft w:val="0"/>
      <w:marRight w:val="0"/>
      <w:marTop w:val="0"/>
      <w:marBottom w:val="0"/>
      <w:divBdr>
        <w:top w:val="none" w:sz="0" w:space="0" w:color="auto"/>
        <w:left w:val="none" w:sz="0" w:space="0" w:color="auto"/>
        <w:bottom w:val="none" w:sz="0" w:space="0" w:color="auto"/>
        <w:right w:val="none" w:sz="0" w:space="0" w:color="auto"/>
      </w:divBdr>
    </w:div>
    <w:div w:id="921255510">
      <w:bodyDiv w:val="1"/>
      <w:marLeft w:val="0"/>
      <w:marRight w:val="0"/>
      <w:marTop w:val="0"/>
      <w:marBottom w:val="0"/>
      <w:divBdr>
        <w:top w:val="none" w:sz="0" w:space="0" w:color="auto"/>
        <w:left w:val="none" w:sz="0" w:space="0" w:color="auto"/>
        <w:bottom w:val="none" w:sz="0" w:space="0" w:color="auto"/>
        <w:right w:val="none" w:sz="0" w:space="0" w:color="auto"/>
      </w:divBdr>
    </w:div>
    <w:div w:id="921333288">
      <w:bodyDiv w:val="1"/>
      <w:marLeft w:val="0"/>
      <w:marRight w:val="0"/>
      <w:marTop w:val="0"/>
      <w:marBottom w:val="0"/>
      <w:divBdr>
        <w:top w:val="none" w:sz="0" w:space="0" w:color="auto"/>
        <w:left w:val="none" w:sz="0" w:space="0" w:color="auto"/>
        <w:bottom w:val="none" w:sz="0" w:space="0" w:color="auto"/>
        <w:right w:val="none" w:sz="0" w:space="0" w:color="auto"/>
      </w:divBdr>
    </w:div>
    <w:div w:id="921334342">
      <w:bodyDiv w:val="1"/>
      <w:marLeft w:val="0"/>
      <w:marRight w:val="0"/>
      <w:marTop w:val="0"/>
      <w:marBottom w:val="0"/>
      <w:divBdr>
        <w:top w:val="none" w:sz="0" w:space="0" w:color="auto"/>
        <w:left w:val="none" w:sz="0" w:space="0" w:color="auto"/>
        <w:bottom w:val="none" w:sz="0" w:space="0" w:color="auto"/>
        <w:right w:val="none" w:sz="0" w:space="0" w:color="auto"/>
      </w:divBdr>
    </w:div>
    <w:div w:id="921374699">
      <w:bodyDiv w:val="1"/>
      <w:marLeft w:val="0"/>
      <w:marRight w:val="0"/>
      <w:marTop w:val="0"/>
      <w:marBottom w:val="0"/>
      <w:divBdr>
        <w:top w:val="none" w:sz="0" w:space="0" w:color="auto"/>
        <w:left w:val="none" w:sz="0" w:space="0" w:color="auto"/>
        <w:bottom w:val="none" w:sz="0" w:space="0" w:color="auto"/>
        <w:right w:val="none" w:sz="0" w:space="0" w:color="auto"/>
      </w:divBdr>
    </w:div>
    <w:div w:id="921453886">
      <w:bodyDiv w:val="1"/>
      <w:marLeft w:val="0"/>
      <w:marRight w:val="0"/>
      <w:marTop w:val="0"/>
      <w:marBottom w:val="0"/>
      <w:divBdr>
        <w:top w:val="none" w:sz="0" w:space="0" w:color="auto"/>
        <w:left w:val="none" w:sz="0" w:space="0" w:color="auto"/>
        <w:bottom w:val="none" w:sz="0" w:space="0" w:color="auto"/>
        <w:right w:val="none" w:sz="0" w:space="0" w:color="auto"/>
      </w:divBdr>
    </w:div>
    <w:div w:id="921569484">
      <w:bodyDiv w:val="1"/>
      <w:marLeft w:val="0"/>
      <w:marRight w:val="0"/>
      <w:marTop w:val="0"/>
      <w:marBottom w:val="0"/>
      <w:divBdr>
        <w:top w:val="none" w:sz="0" w:space="0" w:color="auto"/>
        <w:left w:val="none" w:sz="0" w:space="0" w:color="auto"/>
        <w:bottom w:val="none" w:sz="0" w:space="0" w:color="auto"/>
        <w:right w:val="none" w:sz="0" w:space="0" w:color="auto"/>
      </w:divBdr>
    </w:div>
    <w:div w:id="921646539">
      <w:bodyDiv w:val="1"/>
      <w:marLeft w:val="0"/>
      <w:marRight w:val="0"/>
      <w:marTop w:val="0"/>
      <w:marBottom w:val="0"/>
      <w:divBdr>
        <w:top w:val="none" w:sz="0" w:space="0" w:color="auto"/>
        <w:left w:val="none" w:sz="0" w:space="0" w:color="auto"/>
        <w:bottom w:val="none" w:sz="0" w:space="0" w:color="auto"/>
        <w:right w:val="none" w:sz="0" w:space="0" w:color="auto"/>
      </w:divBdr>
    </w:div>
    <w:div w:id="921835375">
      <w:bodyDiv w:val="1"/>
      <w:marLeft w:val="0"/>
      <w:marRight w:val="0"/>
      <w:marTop w:val="0"/>
      <w:marBottom w:val="0"/>
      <w:divBdr>
        <w:top w:val="none" w:sz="0" w:space="0" w:color="auto"/>
        <w:left w:val="none" w:sz="0" w:space="0" w:color="auto"/>
        <w:bottom w:val="none" w:sz="0" w:space="0" w:color="auto"/>
        <w:right w:val="none" w:sz="0" w:space="0" w:color="auto"/>
      </w:divBdr>
    </w:div>
    <w:div w:id="921908367">
      <w:bodyDiv w:val="1"/>
      <w:marLeft w:val="0"/>
      <w:marRight w:val="0"/>
      <w:marTop w:val="0"/>
      <w:marBottom w:val="0"/>
      <w:divBdr>
        <w:top w:val="none" w:sz="0" w:space="0" w:color="auto"/>
        <w:left w:val="none" w:sz="0" w:space="0" w:color="auto"/>
        <w:bottom w:val="none" w:sz="0" w:space="0" w:color="auto"/>
        <w:right w:val="none" w:sz="0" w:space="0" w:color="auto"/>
      </w:divBdr>
    </w:div>
    <w:div w:id="921909956">
      <w:bodyDiv w:val="1"/>
      <w:marLeft w:val="0"/>
      <w:marRight w:val="0"/>
      <w:marTop w:val="0"/>
      <w:marBottom w:val="0"/>
      <w:divBdr>
        <w:top w:val="none" w:sz="0" w:space="0" w:color="auto"/>
        <w:left w:val="none" w:sz="0" w:space="0" w:color="auto"/>
        <w:bottom w:val="none" w:sz="0" w:space="0" w:color="auto"/>
        <w:right w:val="none" w:sz="0" w:space="0" w:color="auto"/>
      </w:divBdr>
    </w:div>
    <w:div w:id="921910624">
      <w:bodyDiv w:val="1"/>
      <w:marLeft w:val="0"/>
      <w:marRight w:val="0"/>
      <w:marTop w:val="0"/>
      <w:marBottom w:val="0"/>
      <w:divBdr>
        <w:top w:val="none" w:sz="0" w:space="0" w:color="auto"/>
        <w:left w:val="none" w:sz="0" w:space="0" w:color="auto"/>
        <w:bottom w:val="none" w:sz="0" w:space="0" w:color="auto"/>
        <w:right w:val="none" w:sz="0" w:space="0" w:color="auto"/>
      </w:divBdr>
    </w:div>
    <w:div w:id="921985000">
      <w:bodyDiv w:val="1"/>
      <w:marLeft w:val="0"/>
      <w:marRight w:val="0"/>
      <w:marTop w:val="0"/>
      <w:marBottom w:val="0"/>
      <w:divBdr>
        <w:top w:val="none" w:sz="0" w:space="0" w:color="auto"/>
        <w:left w:val="none" w:sz="0" w:space="0" w:color="auto"/>
        <w:bottom w:val="none" w:sz="0" w:space="0" w:color="auto"/>
        <w:right w:val="none" w:sz="0" w:space="0" w:color="auto"/>
      </w:divBdr>
    </w:div>
    <w:div w:id="922032266">
      <w:bodyDiv w:val="1"/>
      <w:marLeft w:val="0"/>
      <w:marRight w:val="0"/>
      <w:marTop w:val="0"/>
      <w:marBottom w:val="0"/>
      <w:divBdr>
        <w:top w:val="none" w:sz="0" w:space="0" w:color="auto"/>
        <w:left w:val="none" w:sz="0" w:space="0" w:color="auto"/>
        <w:bottom w:val="none" w:sz="0" w:space="0" w:color="auto"/>
        <w:right w:val="none" w:sz="0" w:space="0" w:color="auto"/>
      </w:divBdr>
    </w:div>
    <w:div w:id="922032620">
      <w:bodyDiv w:val="1"/>
      <w:marLeft w:val="0"/>
      <w:marRight w:val="0"/>
      <w:marTop w:val="0"/>
      <w:marBottom w:val="0"/>
      <w:divBdr>
        <w:top w:val="none" w:sz="0" w:space="0" w:color="auto"/>
        <w:left w:val="none" w:sz="0" w:space="0" w:color="auto"/>
        <w:bottom w:val="none" w:sz="0" w:space="0" w:color="auto"/>
        <w:right w:val="none" w:sz="0" w:space="0" w:color="auto"/>
      </w:divBdr>
    </w:div>
    <w:div w:id="922034420">
      <w:bodyDiv w:val="1"/>
      <w:marLeft w:val="0"/>
      <w:marRight w:val="0"/>
      <w:marTop w:val="0"/>
      <w:marBottom w:val="0"/>
      <w:divBdr>
        <w:top w:val="none" w:sz="0" w:space="0" w:color="auto"/>
        <w:left w:val="none" w:sz="0" w:space="0" w:color="auto"/>
        <w:bottom w:val="none" w:sz="0" w:space="0" w:color="auto"/>
        <w:right w:val="none" w:sz="0" w:space="0" w:color="auto"/>
      </w:divBdr>
    </w:div>
    <w:div w:id="922298248">
      <w:bodyDiv w:val="1"/>
      <w:marLeft w:val="0"/>
      <w:marRight w:val="0"/>
      <w:marTop w:val="0"/>
      <w:marBottom w:val="0"/>
      <w:divBdr>
        <w:top w:val="none" w:sz="0" w:space="0" w:color="auto"/>
        <w:left w:val="none" w:sz="0" w:space="0" w:color="auto"/>
        <w:bottom w:val="none" w:sz="0" w:space="0" w:color="auto"/>
        <w:right w:val="none" w:sz="0" w:space="0" w:color="auto"/>
      </w:divBdr>
    </w:div>
    <w:div w:id="922643435">
      <w:bodyDiv w:val="1"/>
      <w:marLeft w:val="0"/>
      <w:marRight w:val="0"/>
      <w:marTop w:val="0"/>
      <w:marBottom w:val="0"/>
      <w:divBdr>
        <w:top w:val="none" w:sz="0" w:space="0" w:color="auto"/>
        <w:left w:val="none" w:sz="0" w:space="0" w:color="auto"/>
        <w:bottom w:val="none" w:sz="0" w:space="0" w:color="auto"/>
        <w:right w:val="none" w:sz="0" w:space="0" w:color="auto"/>
      </w:divBdr>
    </w:div>
    <w:div w:id="922683659">
      <w:bodyDiv w:val="1"/>
      <w:marLeft w:val="0"/>
      <w:marRight w:val="0"/>
      <w:marTop w:val="0"/>
      <w:marBottom w:val="0"/>
      <w:divBdr>
        <w:top w:val="none" w:sz="0" w:space="0" w:color="auto"/>
        <w:left w:val="none" w:sz="0" w:space="0" w:color="auto"/>
        <w:bottom w:val="none" w:sz="0" w:space="0" w:color="auto"/>
        <w:right w:val="none" w:sz="0" w:space="0" w:color="auto"/>
      </w:divBdr>
    </w:div>
    <w:div w:id="922683759">
      <w:bodyDiv w:val="1"/>
      <w:marLeft w:val="0"/>
      <w:marRight w:val="0"/>
      <w:marTop w:val="0"/>
      <w:marBottom w:val="0"/>
      <w:divBdr>
        <w:top w:val="none" w:sz="0" w:space="0" w:color="auto"/>
        <w:left w:val="none" w:sz="0" w:space="0" w:color="auto"/>
        <w:bottom w:val="none" w:sz="0" w:space="0" w:color="auto"/>
        <w:right w:val="none" w:sz="0" w:space="0" w:color="auto"/>
      </w:divBdr>
    </w:div>
    <w:div w:id="922839418">
      <w:bodyDiv w:val="1"/>
      <w:marLeft w:val="0"/>
      <w:marRight w:val="0"/>
      <w:marTop w:val="0"/>
      <w:marBottom w:val="0"/>
      <w:divBdr>
        <w:top w:val="none" w:sz="0" w:space="0" w:color="auto"/>
        <w:left w:val="none" w:sz="0" w:space="0" w:color="auto"/>
        <w:bottom w:val="none" w:sz="0" w:space="0" w:color="auto"/>
        <w:right w:val="none" w:sz="0" w:space="0" w:color="auto"/>
      </w:divBdr>
    </w:div>
    <w:div w:id="922952564">
      <w:bodyDiv w:val="1"/>
      <w:marLeft w:val="0"/>
      <w:marRight w:val="0"/>
      <w:marTop w:val="0"/>
      <w:marBottom w:val="0"/>
      <w:divBdr>
        <w:top w:val="none" w:sz="0" w:space="0" w:color="auto"/>
        <w:left w:val="none" w:sz="0" w:space="0" w:color="auto"/>
        <w:bottom w:val="none" w:sz="0" w:space="0" w:color="auto"/>
        <w:right w:val="none" w:sz="0" w:space="0" w:color="auto"/>
      </w:divBdr>
    </w:div>
    <w:div w:id="923028737">
      <w:bodyDiv w:val="1"/>
      <w:marLeft w:val="0"/>
      <w:marRight w:val="0"/>
      <w:marTop w:val="0"/>
      <w:marBottom w:val="0"/>
      <w:divBdr>
        <w:top w:val="none" w:sz="0" w:space="0" w:color="auto"/>
        <w:left w:val="none" w:sz="0" w:space="0" w:color="auto"/>
        <w:bottom w:val="none" w:sz="0" w:space="0" w:color="auto"/>
        <w:right w:val="none" w:sz="0" w:space="0" w:color="auto"/>
      </w:divBdr>
    </w:div>
    <w:div w:id="923032535">
      <w:bodyDiv w:val="1"/>
      <w:marLeft w:val="0"/>
      <w:marRight w:val="0"/>
      <w:marTop w:val="0"/>
      <w:marBottom w:val="0"/>
      <w:divBdr>
        <w:top w:val="none" w:sz="0" w:space="0" w:color="auto"/>
        <w:left w:val="none" w:sz="0" w:space="0" w:color="auto"/>
        <w:bottom w:val="none" w:sz="0" w:space="0" w:color="auto"/>
        <w:right w:val="none" w:sz="0" w:space="0" w:color="auto"/>
      </w:divBdr>
    </w:div>
    <w:div w:id="923300905">
      <w:bodyDiv w:val="1"/>
      <w:marLeft w:val="0"/>
      <w:marRight w:val="0"/>
      <w:marTop w:val="0"/>
      <w:marBottom w:val="0"/>
      <w:divBdr>
        <w:top w:val="none" w:sz="0" w:space="0" w:color="auto"/>
        <w:left w:val="none" w:sz="0" w:space="0" w:color="auto"/>
        <w:bottom w:val="none" w:sz="0" w:space="0" w:color="auto"/>
        <w:right w:val="none" w:sz="0" w:space="0" w:color="auto"/>
      </w:divBdr>
    </w:div>
    <w:div w:id="923302289">
      <w:bodyDiv w:val="1"/>
      <w:marLeft w:val="0"/>
      <w:marRight w:val="0"/>
      <w:marTop w:val="0"/>
      <w:marBottom w:val="0"/>
      <w:divBdr>
        <w:top w:val="none" w:sz="0" w:space="0" w:color="auto"/>
        <w:left w:val="none" w:sz="0" w:space="0" w:color="auto"/>
        <w:bottom w:val="none" w:sz="0" w:space="0" w:color="auto"/>
        <w:right w:val="none" w:sz="0" w:space="0" w:color="auto"/>
      </w:divBdr>
    </w:div>
    <w:div w:id="923340333">
      <w:bodyDiv w:val="1"/>
      <w:marLeft w:val="0"/>
      <w:marRight w:val="0"/>
      <w:marTop w:val="0"/>
      <w:marBottom w:val="0"/>
      <w:divBdr>
        <w:top w:val="none" w:sz="0" w:space="0" w:color="auto"/>
        <w:left w:val="none" w:sz="0" w:space="0" w:color="auto"/>
        <w:bottom w:val="none" w:sz="0" w:space="0" w:color="auto"/>
        <w:right w:val="none" w:sz="0" w:space="0" w:color="auto"/>
      </w:divBdr>
    </w:div>
    <w:div w:id="923680790">
      <w:bodyDiv w:val="1"/>
      <w:marLeft w:val="0"/>
      <w:marRight w:val="0"/>
      <w:marTop w:val="0"/>
      <w:marBottom w:val="0"/>
      <w:divBdr>
        <w:top w:val="none" w:sz="0" w:space="0" w:color="auto"/>
        <w:left w:val="none" w:sz="0" w:space="0" w:color="auto"/>
        <w:bottom w:val="none" w:sz="0" w:space="0" w:color="auto"/>
        <w:right w:val="none" w:sz="0" w:space="0" w:color="auto"/>
      </w:divBdr>
    </w:div>
    <w:div w:id="923688112">
      <w:bodyDiv w:val="1"/>
      <w:marLeft w:val="0"/>
      <w:marRight w:val="0"/>
      <w:marTop w:val="0"/>
      <w:marBottom w:val="0"/>
      <w:divBdr>
        <w:top w:val="none" w:sz="0" w:space="0" w:color="auto"/>
        <w:left w:val="none" w:sz="0" w:space="0" w:color="auto"/>
        <w:bottom w:val="none" w:sz="0" w:space="0" w:color="auto"/>
        <w:right w:val="none" w:sz="0" w:space="0" w:color="auto"/>
      </w:divBdr>
    </w:div>
    <w:div w:id="923757500">
      <w:bodyDiv w:val="1"/>
      <w:marLeft w:val="0"/>
      <w:marRight w:val="0"/>
      <w:marTop w:val="0"/>
      <w:marBottom w:val="0"/>
      <w:divBdr>
        <w:top w:val="none" w:sz="0" w:space="0" w:color="auto"/>
        <w:left w:val="none" w:sz="0" w:space="0" w:color="auto"/>
        <w:bottom w:val="none" w:sz="0" w:space="0" w:color="auto"/>
        <w:right w:val="none" w:sz="0" w:space="0" w:color="auto"/>
      </w:divBdr>
    </w:div>
    <w:div w:id="923874691">
      <w:bodyDiv w:val="1"/>
      <w:marLeft w:val="0"/>
      <w:marRight w:val="0"/>
      <w:marTop w:val="0"/>
      <w:marBottom w:val="0"/>
      <w:divBdr>
        <w:top w:val="none" w:sz="0" w:space="0" w:color="auto"/>
        <w:left w:val="none" w:sz="0" w:space="0" w:color="auto"/>
        <w:bottom w:val="none" w:sz="0" w:space="0" w:color="auto"/>
        <w:right w:val="none" w:sz="0" w:space="0" w:color="auto"/>
      </w:divBdr>
    </w:div>
    <w:div w:id="924150616">
      <w:bodyDiv w:val="1"/>
      <w:marLeft w:val="0"/>
      <w:marRight w:val="0"/>
      <w:marTop w:val="0"/>
      <w:marBottom w:val="0"/>
      <w:divBdr>
        <w:top w:val="none" w:sz="0" w:space="0" w:color="auto"/>
        <w:left w:val="none" w:sz="0" w:space="0" w:color="auto"/>
        <w:bottom w:val="none" w:sz="0" w:space="0" w:color="auto"/>
        <w:right w:val="none" w:sz="0" w:space="0" w:color="auto"/>
      </w:divBdr>
    </w:div>
    <w:div w:id="924342975">
      <w:bodyDiv w:val="1"/>
      <w:marLeft w:val="0"/>
      <w:marRight w:val="0"/>
      <w:marTop w:val="0"/>
      <w:marBottom w:val="0"/>
      <w:divBdr>
        <w:top w:val="none" w:sz="0" w:space="0" w:color="auto"/>
        <w:left w:val="none" w:sz="0" w:space="0" w:color="auto"/>
        <w:bottom w:val="none" w:sz="0" w:space="0" w:color="auto"/>
        <w:right w:val="none" w:sz="0" w:space="0" w:color="auto"/>
      </w:divBdr>
    </w:div>
    <w:div w:id="924457247">
      <w:bodyDiv w:val="1"/>
      <w:marLeft w:val="0"/>
      <w:marRight w:val="0"/>
      <w:marTop w:val="0"/>
      <w:marBottom w:val="0"/>
      <w:divBdr>
        <w:top w:val="none" w:sz="0" w:space="0" w:color="auto"/>
        <w:left w:val="none" w:sz="0" w:space="0" w:color="auto"/>
        <w:bottom w:val="none" w:sz="0" w:space="0" w:color="auto"/>
        <w:right w:val="none" w:sz="0" w:space="0" w:color="auto"/>
      </w:divBdr>
    </w:div>
    <w:div w:id="924458510">
      <w:bodyDiv w:val="1"/>
      <w:marLeft w:val="0"/>
      <w:marRight w:val="0"/>
      <w:marTop w:val="0"/>
      <w:marBottom w:val="0"/>
      <w:divBdr>
        <w:top w:val="none" w:sz="0" w:space="0" w:color="auto"/>
        <w:left w:val="none" w:sz="0" w:space="0" w:color="auto"/>
        <w:bottom w:val="none" w:sz="0" w:space="0" w:color="auto"/>
        <w:right w:val="none" w:sz="0" w:space="0" w:color="auto"/>
      </w:divBdr>
    </w:div>
    <w:div w:id="924459014">
      <w:bodyDiv w:val="1"/>
      <w:marLeft w:val="0"/>
      <w:marRight w:val="0"/>
      <w:marTop w:val="0"/>
      <w:marBottom w:val="0"/>
      <w:divBdr>
        <w:top w:val="none" w:sz="0" w:space="0" w:color="auto"/>
        <w:left w:val="none" w:sz="0" w:space="0" w:color="auto"/>
        <w:bottom w:val="none" w:sz="0" w:space="0" w:color="auto"/>
        <w:right w:val="none" w:sz="0" w:space="0" w:color="auto"/>
      </w:divBdr>
    </w:div>
    <w:div w:id="924651400">
      <w:bodyDiv w:val="1"/>
      <w:marLeft w:val="0"/>
      <w:marRight w:val="0"/>
      <w:marTop w:val="0"/>
      <w:marBottom w:val="0"/>
      <w:divBdr>
        <w:top w:val="none" w:sz="0" w:space="0" w:color="auto"/>
        <w:left w:val="none" w:sz="0" w:space="0" w:color="auto"/>
        <w:bottom w:val="none" w:sz="0" w:space="0" w:color="auto"/>
        <w:right w:val="none" w:sz="0" w:space="0" w:color="auto"/>
      </w:divBdr>
    </w:div>
    <w:div w:id="924803043">
      <w:bodyDiv w:val="1"/>
      <w:marLeft w:val="0"/>
      <w:marRight w:val="0"/>
      <w:marTop w:val="0"/>
      <w:marBottom w:val="0"/>
      <w:divBdr>
        <w:top w:val="none" w:sz="0" w:space="0" w:color="auto"/>
        <w:left w:val="none" w:sz="0" w:space="0" w:color="auto"/>
        <w:bottom w:val="none" w:sz="0" w:space="0" w:color="auto"/>
        <w:right w:val="none" w:sz="0" w:space="0" w:color="auto"/>
      </w:divBdr>
    </w:div>
    <w:div w:id="924804226">
      <w:bodyDiv w:val="1"/>
      <w:marLeft w:val="0"/>
      <w:marRight w:val="0"/>
      <w:marTop w:val="0"/>
      <w:marBottom w:val="0"/>
      <w:divBdr>
        <w:top w:val="none" w:sz="0" w:space="0" w:color="auto"/>
        <w:left w:val="none" w:sz="0" w:space="0" w:color="auto"/>
        <w:bottom w:val="none" w:sz="0" w:space="0" w:color="auto"/>
        <w:right w:val="none" w:sz="0" w:space="0" w:color="auto"/>
      </w:divBdr>
    </w:div>
    <w:div w:id="924849214">
      <w:bodyDiv w:val="1"/>
      <w:marLeft w:val="0"/>
      <w:marRight w:val="0"/>
      <w:marTop w:val="0"/>
      <w:marBottom w:val="0"/>
      <w:divBdr>
        <w:top w:val="none" w:sz="0" w:space="0" w:color="auto"/>
        <w:left w:val="none" w:sz="0" w:space="0" w:color="auto"/>
        <w:bottom w:val="none" w:sz="0" w:space="0" w:color="auto"/>
        <w:right w:val="none" w:sz="0" w:space="0" w:color="auto"/>
      </w:divBdr>
    </w:div>
    <w:div w:id="925113652">
      <w:bodyDiv w:val="1"/>
      <w:marLeft w:val="0"/>
      <w:marRight w:val="0"/>
      <w:marTop w:val="0"/>
      <w:marBottom w:val="0"/>
      <w:divBdr>
        <w:top w:val="none" w:sz="0" w:space="0" w:color="auto"/>
        <w:left w:val="none" w:sz="0" w:space="0" w:color="auto"/>
        <w:bottom w:val="none" w:sz="0" w:space="0" w:color="auto"/>
        <w:right w:val="none" w:sz="0" w:space="0" w:color="auto"/>
      </w:divBdr>
    </w:div>
    <w:div w:id="925191019">
      <w:bodyDiv w:val="1"/>
      <w:marLeft w:val="0"/>
      <w:marRight w:val="0"/>
      <w:marTop w:val="0"/>
      <w:marBottom w:val="0"/>
      <w:divBdr>
        <w:top w:val="none" w:sz="0" w:space="0" w:color="auto"/>
        <w:left w:val="none" w:sz="0" w:space="0" w:color="auto"/>
        <w:bottom w:val="none" w:sz="0" w:space="0" w:color="auto"/>
        <w:right w:val="none" w:sz="0" w:space="0" w:color="auto"/>
      </w:divBdr>
    </w:div>
    <w:div w:id="925192832">
      <w:bodyDiv w:val="1"/>
      <w:marLeft w:val="0"/>
      <w:marRight w:val="0"/>
      <w:marTop w:val="0"/>
      <w:marBottom w:val="0"/>
      <w:divBdr>
        <w:top w:val="none" w:sz="0" w:space="0" w:color="auto"/>
        <w:left w:val="none" w:sz="0" w:space="0" w:color="auto"/>
        <w:bottom w:val="none" w:sz="0" w:space="0" w:color="auto"/>
        <w:right w:val="none" w:sz="0" w:space="0" w:color="auto"/>
      </w:divBdr>
    </w:div>
    <w:div w:id="925461828">
      <w:bodyDiv w:val="1"/>
      <w:marLeft w:val="0"/>
      <w:marRight w:val="0"/>
      <w:marTop w:val="0"/>
      <w:marBottom w:val="0"/>
      <w:divBdr>
        <w:top w:val="none" w:sz="0" w:space="0" w:color="auto"/>
        <w:left w:val="none" w:sz="0" w:space="0" w:color="auto"/>
        <w:bottom w:val="none" w:sz="0" w:space="0" w:color="auto"/>
        <w:right w:val="none" w:sz="0" w:space="0" w:color="auto"/>
      </w:divBdr>
    </w:div>
    <w:div w:id="925649082">
      <w:bodyDiv w:val="1"/>
      <w:marLeft w:val="0"/>
      <w:marRight w:val="0"/>
      <w:marTop w:val="0"/>
      <w:marBottom w:val="0"/>
      <w:divBdr>
        <w:top w:val="none" w:sz="0" w:space="0" w:color="auto"/>
        <w:left w:val="none" w:sz="0" w:space="0" w:color="auto"/>
        <w:bottom w:val="none" w:sz="0" w:space="0" w:color="auto"/>
        <w:right w:val="none" w:sz="0" w:space="0" w:color="auto"/>
      </w:divBdr>
    </w:div>
    <w:div w:id="925650618">
      <w:bodyDiv w:val="1"/>
      <w:marLeft w:val="0"/>
      <w:marRight w:val="0"/>
      <w:marTop w:val="0"/>
      <w:marBottom w:val="0"/>
      <w:divBdr>
        <w:top w:val="none" w:sz="0" w:space="0" w:color="auto"/>
        <w:left w:val="none" w:sz="0" w:space="0" w:color="auto"/>
        <w:bottom w:val="none" w:sz="0" w:space="0" w:color="auto"/>
        <w:right w:val="none" w:sz="0" w:space="0" w:color="auto"/>
      </w:divBdr>
    </w:div>
    <w:div w:id="925650817">
      <w:bodyDiv w:val="1"/>
      <w:marLeft w:val="0"/>
      <w:marRight w:val="0"/>
      <w:marTop w:val="0"/>
      <w:marBottom w:val="0"/>
      <w:divBdr>
        <w:top w:val="none" w:sz="0" w:space="0" w:color="auto"/>
        <w:left w:val="none" w:sz="0" w:space="0" w:color="auto"/>
        <w:bottom w:val="none" w:sz="0" w:space="0" w:color="auto"/>
        <w:right w:val="none" w:sz="0" w:space="0" w:color="auto"/>
      </w:divBdr>
    </w:div>
    <w:div w:id="925697869">
      <w:bodyDiv w:val="1"/>
      <w:marLeft w:val="0"/>
      <w:marRight w:val="0"/>
      <w:marTop w:val="0"/>
      <w:marBottom w:val="0"/>
      <w:divBdr>
        <w:top w:val="none" w:sz="0" w:space="0" w:color="auto"/>
        <w:left w:val="none" w:sz="0" w:space="0" w:color="auto"/>
        <w:bottom w:val="none" w:sz="0" w:space="0" w:color="auto"/>
        <w:right w:val="none" w:sz="0" w:space="0" w:color="auto"/>
      </w:divBdr>
    </w:div>
    <w:div w:id="925769496">
      <w:bodyDiv w:val="1"/>
      <w:marLeft w:val="0"/>
      <w:marRight w:val="0"/>
      <w:marTop w:val="0"/>
      <w:marBottom w:val="0"/>
      <w:divBdr>
        <w:top w:val="none" w:sz="0" w:space="0" w:color="auto"/>
        <w:left w:val="none" w:sz="0" w:space="0" w:color="auto"/>
        <w:bottom w:val="none" w:sz="0" w:space="0" w:color="auto"/>
        <w:right w:val="none" w:sz="0" w:space="0" w:color="auto"/>
      </w:divBdr>
    </w:div>
    <w:div w:id="926038347">
      <w:bodyDiv w:val="1"/>
      <w:marLeft w:val="0"/>
      <w:marRight w:val="0"/>
      <w:marTop w:val="0"/>
      <w:marBottom w:val="0"/>
      <w:divBdr>
        <w:top w:val="none" w:sz="0" w:space="0" w:color="auto"/>
        <w:left w:val="none" w:sz="0" w:space="0" w:color="auto"/>
        <w:bottom w:val="none" w:sz="0" w:space="0" w:color="auto"/>
        <w:right w:val="none" w:sz="0" w:space="0" w:color="auto"/>
      </w:divBdr>
    </w:div>
    <w:div w:id="926236195">
      <w:bodyDiv w:val="1"/>
      <w:marLeft w:val="0"/>
      <w:marRight w:val="0"/>
      <w:marTop w:val="0"/>
      <w:marBottom w:val="0"/>
      <w:divBdr>
        <w:top w:val="none" w:sz="0" w:space="0" w:color="auto"/>
        <w:left w:val="none" w:sz="0" w:space="0" w:color="auto"/>
        <w:bottom w:val="none" w:sz="0" w:space="0" w:color="auto"/>
        <w:right w:val="none" w:sz="0" w:space="0" w:color="auto"/>
      </w:divBdr>
    </w:div>
    <w:div w:id="926309313">
      <w:bodyDiv w:val="1"/>
      <w:marLeft w:val="0"/>
      <w:marRight w:val="0"/>
      <w:marTop w:val="0"/>
      <w:marBottom w:val="0"/>
      <w:divBdr>
        <w:top w:val="none" w:sz="0" w:space="0" w:color="auto"/>
        <w:left w:val="none" w:sz="0" w:space="0" w:color="auto"/>
        <w:bottom w:val="none" w:sz="0" w:space="0" w:color="auto"/>
        <w:right w:val="none" w:sz="0" w:space="0" w:color="auto"/>
      </w:divBdr>
    </w:div>
    <w:div w:id="926421481">
      <w:bodyDiv w:val="1"/>
      <w:marLeft w:val="0"/>
      <w:marRight w:val="0"/>
      <w:marTop w:val="0"/>
      <w:marBottom w:val="0"/>
      <w:divBdr>
        <w:top w:val="none" w:sz="0" w:space="0" w:color="auto"/>
        <w:left w:val="none" w:sz="0" w:space="0" w:color="auto"/>
        <w:bottom w:val="none" w:sz="0" w:space="0" w:color="auto"/>
        <w:right w:val="none" w:sz="0" w:space="0" w:color="auto"/>
      </w:divBdr>
    </w:div>
    <w:div w:id="926618582">
      <w:bodyDiv w:val="1"/>
      <w:marLeft w:val="0"/>
      <w:marRight w:val="0"/>
      <w:marTop w:val="0"/>
      <w:marBottom w:val="0"/>
      <w:divBdr>
        <w:top w:val="none" w:sz="0" w:space="0" w:color="auto"/>
        <w:left w:val="none" w:sz="0" w:space="0" w:color="auto"/>
        <w:bottom w:val="none" w:sz="0" w:space="0" w:color="auto"/>
        <w:right w:val="none" w:sz="0" w:space="0" w:color="auto"/>
      </w:divBdr>
    </w:div>
    <w:div w:id="926695091">
      <w:bodyDiv w:val="1"/>
      <w:marLeft w:val="0"/>
      <w:marRight w:val="0"/>
      <w:marTop w:val="0"/>
      <w:marBottom w:val="0"/>
      <w:divBdr>
        <w:top w:val="none" w:sz="0" w:space="0" w:color="auto"/>
        <w:left w:val="none" w:sz="0" w:space="0" w:color="auto"/>
        <w:bottom w:val="none" w:sz="0" w:space="0" w:color="auto"/>
        <w:right w:val="none" w:sz="0" w:space="0" w:color="auto"/>
      </w:divBdr>
    </w:div>
    <w:div w:id="926815887">
      <w:bodyDiv w:val="1"/>
      <w:marLeft w:val="0"/>
      <w:marRight w:val="0"/>
      <w:marTop w:val="0"/>
      <w:marBottom w:val="0"/>
      <w:divBdr>
        <w:top w:val="none" w:sz="0" w:space="0" w:color="auto"/>
        <w:left w:val="none" w:sz="0" w:space="0" w:color="auto"/>
        <w:bottom w:val="none" w:sz="0" w:space="0" w:color="auto"/>
        <w:right w:val="none" w:sz="0" w:space="0" w:color="auto"/>
      </w:divBdr>
    </w:div>
    <w:div w:id="927079271">
      <w:bodyDiv w:val="1"/>
      <w:marLeft w:val="0"/>
      <w:marRight w:val="0"/>
      <w:marTop w:val="0"/>
      <w:marBottom w:val="0"/>
      <w:divBdr>
        <w:top w:val="none" w:sz="0" w:space="0" w:color="auto"/>
        <w:left w:val="none" w:sz="0" w:space="0" w:color="auto"/>
        <w:bottom w:val="none" w:sz="0" w:space="0" w:color="auto"/>
        <w:right w:val="none" w:sz="0" w:space="0" w:color="auto"/>
      </w:divBdr>
    </w:div>
    <w:div w:id="927083413">
      <w:bodyDiv w:val="1"/>
      <w:marLeft w:val="0"/>
      <w:marRight w:val="0"/>
      <w:marTop w:val="0"/>
      <w:marBottom w:val="0"/>
      <w:divBdr>
        <w:top w:val="none" w:sz="0" w:space="0" w:color="auto"/>
        <w:left w:val="none" w:sz="0" w:space="0" w:color="auto"/>
        <w:bottom w:val="none" w:sz="0" w:space="0" w:color="auto"/>
        <w:right w:val="none" w:sz="0" w:space="0" w:color="auto"/>
      </w:divBdr>
    </w:div>
    <w:div w:id="927301097">
      <w:bodyDiv w:val="1"/>
      <w:marLeft w:val="0"/>
      <w:marRight w:val="0"/>
      <w:marTop w:val="0"/>
      <w:marBottom w:val="0"/>
      <w:divBdr>
        <w:top w:val="none" w:sz="0" w:space="0" w:color="auto"/>
        <w:left w:val="none" w:sz="0" w:space="0" w:color="auto"/>
        <w:bottom w:val="none" w:sz="0" w:space="0" w:color="auto"/>
        <w:right w:val="none" w:sz="0" w:space="0" w:color="auto"/>
      </w:divBdr>
    </w:div>
    <w:div w:id="927425887">
      <w:bodyDiv w:val="1"/>
      <w:marLeft w:val="0"/>
      <w:marRight w:val="0"/>
      <w:marTop w:val="0"/>
      <w:marBottom w:val="0"/>
      <w:divBdr>
        <w:top w:val="none" w:sz="0" w:space="0" w:color="auto"/>
        <w:left w:val="none" w:sz="0" w:space="0" w:color="auto"/>
        <w:bottom w:val="none" w:sz="0" w:space="0" w:color="auto"/>
        <w:right w:val="none" w:sz="0" w:space="0" w:color="auto"/>
      </w:divBdr>
    </w:div>
    <w:div w:id="927426514">
      <w:bodyDiv w:val="1"/>
      <w:marLeft w:val="0"/>
      <w:marRight w:val="0"/>
      <w:marTop w:val="0"/>
      <w:marBottom w:val="0"/>
      <w:divBdr>
        <w:top w:val="none" w:sz="0" w:space="0" w:color="auto"/>
        <w:left w:val="none" w:sz="0" w:space="0" w:color="auto"/>
        <w:bottom w:val="none" w:sz="0" w:space="0" w:color="auto"/>
        <w:right w:val="none" w:sz="0" w:space="0" w:color="auto"/>
      </w:divBdr>
    </w:div>
    <w:div w:id="927734734">
      <w:bodyDiv w:val="1"/>
      <w:marLeft w:val="0"/>
      <w:marRight w:val="0"/>
      <w:marTop w:val="0"/>
      <w:marBottom w:val="0"/>
      <w:divBdr>
        <w:top w:val="none" w:sz="0" w:space="0" w:color="auto"/>
        <w:left w:val="none" w:sz="0" w:space="0" w:color="auto"/>
        <w:bottom w:val="none" w:sz="0" w:space="0" w:color="auto"/>
        <w:right w:val="none" w:sz="0" w:space="0" w:color="auto"/>
      </w:divBdr>
    </w:div>
    <w:div w:id="927808807">
      <w:bodyDiv w:val="1"/>
      <w:marLeft w:val="0"/>
      <w:marRight w:val="0"/>
      <w:marTop w:val="0"/>
      <w:marBottom w:val="0"/>
      <w:divBdr>
        <w:top w:val="none" w:sz="0" w:space="0" w:color="auto"/>
        <w:left w:val="none" w:sz="0" w:space="0" w:color="auto"/>
        <w:bottom w:val="none" w:sz="0" w:space="0" w:color="auto"/>
        <w:right w:val="none" w:sz="0" w:space="0" w:color="auto"/>
      </w:divBdr>
    </w:div>
    <w:div w:id="928080145">
      <w:bodyDiv w:val="1"/>
      <w:marLeft w:val="0"/>
      <w:marRight w:val="0"/>
      <w:marTop w:val="0"/>
      <w:marBottom w:val="0"/>
      <w:divBdr>
        <w:top w:val="none" w:sz="0" w:space="0" w:color="auto"/>
        <w:left w:val="none" w:sz="0" w:space="0" w:color="auto"/>
        <w:bottom w:val="none" w:sz="0" w:space="0" w:color="auto"/>
        <w:right w:val="none" w:sz="0" w:space="0" w:color="auto"/>
      </w:divBdr>
    </w:div>
    <w:div w:id="928122725">
      <w:bodyDiv w:val="1"/>
      <w:marLeft w:val="0"/>
      <w:marRight w:val="0"/>
      <w:marTop w:val="0"/>
      <w:marBottom w:val="0"/>
      <w:divBdr>
        <w:top w:val="none" w:sz="0" w:space="0" w:color="auto"/>
        <w:left w:val="none" w:sz="0" w:space="0" w:color="auto"/>
        <w:bottom w:val="none" w:sz="0" w:space="0" w:color="auto"/>
        <w:right w:val="none" w:sz="0" w:space="0" w:color="auto"/>
      </w:divBdr>
    </w:div>
    <w:div w:id="928268547">
      <w:bodyDiv w:val="1"/>
      <w:marLeft w:val="0"/>
      <w:marRight w:val="0"/>
      <w:marTop w:val="0"/>
      <w:marBottom w:val="0"/>
      <w:divBdr>
        <w:top w:val="none" w:sz="0" w:space="0" w:color="auto"/>
        <w:left w:val="none" w:sz="0" w:space="0" w:color="auto"/>
        <w:bottom w:val="none" w:sz="0" w:space="0" w:color="auto"/>
        <w:right w:val="none" w:sz="0" w:space="0" w:color="auto"/>
      </w:divBdr>
    </w:div>
    <w:div w:id="928270405">
      <w:bodyDiv w:val="1"/>
      <w:marLeft w:val="0"/>
      <w:marRight w:val="0"/>
      <w:marTop w:val="0"/>
      <w:marBottom w:val="0"/>
      <w:divBdr>
        <w:top w:val="none" w:sz="0" w:space="0" w:color="auto"/>
        <w:left w:val="none" w:sz="0" w:space="0" w:color="auto"/>
        <w:bottom w:val="none" w:sz="0" w:space="0" w:color="auto"/>
        <w:right w:val="none" w:sz="0" w:space="0" w:color="auto"/>
      </w:divBdr>
    </w:div>
    <w:div w:id="928272843">
      <w:bodyDiv w:val="1"/>
      <w:marLeft w:val="0"/>
      <w:marRight w:val="0"/>
      <w:marTop w:val="0"/>
      <w:marBottom w:val="0"/>
      <w:divBdr>
        <w:top w:val="none" w:sz="0" w:space="0" w:color="auto"/>
        <w:left w:val="none" w:sz="0" w:space="0" w:color="auto"/>
        <w:bottom w:val="none" w:sz="0" w:space="0" w:color="auto"/>
        <w:right w:val="none" w:sz="0" w:space="0" w:color="auto"/>
      </w:divBdr>
    </w:div>
    <w:div w:id="928344303">
      <w:bodyDiv w:val="1"/>
      <w:marLeft w:val="0"/>
      <w:marRight w:val="0"/>
      <w:marTop w:val="0"/>
      <w:marBottom w:val="0"/>
      <w:divBdr>
        <w:top w:val="none" w:sz="0" w:space="0" w:color="auto"/>
        <w:left w:val="none" w:sz="0" w:space="0" w:color="auto"/>
        <w:bottom w:val="none" w:sz="0" w:space="0" w:color="auto"/>
        <w:right w:val="none" w:sz="0" w:space="0" w:color="auto"/>
      </w:divBdr>
    </w:div>
    <w:div w:id="928392959">
      <w:bodyDiv w:val="1"/>
      <w:marLeft w:val="0"/>
      <w:marRight w:val="0"/>
      <w:marTop w:val="0"/>
      <w:marBottom w:val="0"/>
      <w:divBdr>
        <w:top w:val="none" w:sz="0" w:space="0" w:color="auto"/>
        <w:left w:val="none" w:sz="0" w:space="0" w:color="auto"/>
        <w:bottom w:val="none" w:sz="0" w:space="0" w:color="auto"/>
        <w:right w:val="none" w:sz="0" w:space="0" w:color="auto"/>
      </w:divBdr>
    </w:div>
    <w:div w:id="928461913">
      <w:bodyDiv w:val="1"/>
      <w:marLeft w:val="0"/>
      <w:marRight w:val="0"/>
      <w:marTop w:val="0"/>
      <w:marBottom w:val="0"/>
      <w:divBdr>
        <w:top w:val="none" w:sz="0" w:space="0" w:color="auto"/>
        <w:left w:val="none" w:sz="0" w:space="0" w:color="auto"/>
        <w:bottom w:val="none" w:sz="0" w:space="0" w:color="auto"/>
        <w:right w:val="none" w:sz="0" w:space="0" w:color="auto"/>
      </w:divBdr>
    </w:div>
    <w:div w:id="928468070">
      <w:bodyDiv w:val="1"/>
      <w:marLeft w:val="0"/>
      <w:marRight w:val="0"/>
      <w:marTop w:val="0"/>
      <w:marBottom w:val="0"/>
      <w:divBdr>
        <w:top w:val="none" w:sz="0" w:space="0" w:color="auto"/>
        <w:left w:val="none" w:sz="0" w:space="0" w:color="auto"/>
        <w:bottom w:val="none" w:sz="0" w:space="0" w:color="auto"/>
        <w:right w:val="none" w:sz="0" w:space="0" w:color="auto"/>
      </w:divBdr>
    </w:div>
    <w:div w:id="928543089">
      <w:bodyDiv w:val="1"/>
      <w:marLeft w:val="0"/>
      <w:marRight w:val="0"/>
      <w:marTop w:val="0"/>
      <w:marBottom w:val="0"/>
      <w:divBdr>
        <w:top w:val="none" w:sz="0" w:space="0" w:color="auto"/>
        <w:left w:val="none" w:sz="0" w:space="0" w:color="auto"/>
        <w:bottom w:val="none" w:sz="0" w:space="0" w:color="auto"/>
        <w:right w:val="none" w:sz="0" w:space="0" w:color="auto"/>
      </w:divBdr>
    </w:div>
    <w:div w:id="928543109">
      <w:bodyDiv w:val="1"/>
      <w:marLeft w:val="0"/>
      <w:marRight w:val="0"/>
      <w:marTop w:val="0"/>
      <w:marBottom w:val="0"/>
      <w:divBdr>
        <w:top w:val="none" w:sz="0" w:space="0" w:color="auto"/>
        <w:left w:val="none" w:sz="0" w:space="0" w:color="auto"/>
        <w:bottom w:val="none" w:sz="0" w:space="0" w:color="auto"/>
        <w:right w:val="none" w:sz="0" w:space="0" w:color="auto"/>
      </w:divBdr>
    </w:div>
    <w:div w:id="928580325">
      <w:bodyDiv w:val="1"/>
      <w:marLeft w:val="0"/>
      <w:marRight w:val="0"/>
      <w:marTop w:val="0"/>
      <w:marBottom w:val="0"/>
      <w:divBdr>
        <w:top w:val="none" w:sz="0" w:space="0" w:color="auto"/>
        <w:left w:val="none" w:sz="0" w:space="0" w:color="auto"/>
        <w:bottom w:val="none" w:sz="0" w:space="0" w:color="auto"/>
        <w:right w:val="none" w:sz="0" w:space="0" w:color="auto"/>
      </w:divBdr>
    </w:div>
    <w:div w:id="928855408">
      <w:bodyDiv w:val="1"/>
      <w:marLeft w:val="0"/>
      <w:marRight w:val="0"/>
      <w:marTop w:val="0"/>
      <w:marBottom w:val="0"/>
      <w:divBdr>
        <w:top w:val="none" w:sz="0" w:space="0" w:color="auto"/>
        <w:left w:val="none" w:sz="0" w:space="0" w:color="auto"/>
        <w:bottom w:val="none" w:sz="0" w:space="0" w:color="auto"/>
        <w:right w:val="none" w:sz="0" w:space="0" w:color="auto"/>
      </w:divBdr>
    </w:div>
    <w:div w:id="928924789">
      <w:bodyDiv w:val="1"/>
      <w:marLeft w:val="0"/>
      <w:marRight w:val="0"/>
      <w:marTop w:val="0"/>
      <w:marBottom w:val="0"/>
      <w:divBdr>
        <w:top w:val="none" w:sz="0" w:space="0" w:color="auto"/>
        <w:left w:val="none" w:sz="0" w:space="0" w:color="auto"/>
        <w:bottom w:val="none" w:sz="0" w:space="0" w:color="auto"/>
        <w:right w:val="none" w:sz="0" w:space="0" w:color="auto"/>
      </w:divBdr>
    </w:div>
    <w:div w:id="928928122">
      <w:bodyDiv w:val="1"/>
      <w:marLeft w:val="0"/>
      <w:marRight w:val="0"/>
      <w:marTop w:val="0"/>
      <w:marBottom w:val="0"/>
      <w:divBdr>
        <w:top w:val="none" w:sz="0" w:space="0" w:color="auto"/>
        <w:left w:val="none" w:sz="0" w:space="0" w:color="auto"/>
        <w:bottom w:val="none" w:sz="0" w:space="0" w:color="auto"/>
        <w:right w:val="none" w:sz="0" w:space="0" w:color="auto"/>
      </w:divBdr>
    </w:div>
    <w:div w:id="928998645">
      <w:bodyDiv w:val="1"/>
      <w:marLeft w:val="0"/>
      <w:marRight w:val="0"/>
      <w:marTop w:val="0"/>
      <w:marBottom w:val="0"/>
      <w:divBdr>
        <w:top w:val="none" w:sz="0" w:space="0" w:color="auto"/>
        <w:left w:val="none" w:sz="0" w:space="0" w:color="auto"/>
        <w:bottom w:val="none" w:sz="0" w:space="0" w:color="auto"/>
        <w:right w:val="none" w:sz="0" w:space="0" w:color="auto"/>
      </w:divBdr>
    </w:div>
    <w:div w:id="929314545">
      <w:bodyDiv w:val="1"/>
      <w:marLeft w:val="0"/>
      <w:marRight w:val="0"/>
      <w:marTop w:val="0"/>
      <w:marBottom w:val="0"/>
      <w:divBdr>
        <w:top w:val="none" w:sz="0" w:space="0" w:color="auto"/>
        <w:left w:val="none" w:sz="0" w:space="0" w:color="auto"/>
        <w:bottom w:val="none" w:sz="0" w:space="0" w:color="auto"/>
        <w:right w:val="none" w:sz="0" w:space="0" w:color="auto"/>
      </w:divBdr>
    </w:div>
    <w:div w:id="929435303">
      <w:bodyDiv w:val="1"/>
      <w:marLeft w:val="0"/>
      <w:marRight w:val="0"/>
      <w:marTop w:val="0"/>
      <w:marBottom w:val="0"/>
      <w:divBdr>
        <w:top w:val="none" w:sz="0" w:space="0" w:color="auto"/>
        <w:left w:val="none" w:sz="0" w:space="0" w:color="auto"/>
        <w:bottom w:val="none" w:sz="0" w:space="0" w:color="auto"/>
        <w:right w:val="none" w:sz="0" w:space="0" w:color="auto"/>
      </w:divBdr>
    </w:div>
    <w:div w:id="929461991">
      <w:bodyDiv w:val="1"/>
      <w:marLeft w:val="0"/>
      <w:marRight w:val="0"/>
      <w:marTop w:val="0"/>
      <w:marBottom w:val="0"/>
      <w:divBdr>
        <w:top w:val="none" w:sz="0" w:space="0" w:color="auto"/>
        <w:left w:val="none" w:sz="0" w:space="0" w:color="auto"/>
        <w:bottom w:val="none" w:sz="0" w:space="0" w:color="auto"/>
        <w:right w:val="none" w:sz="0" w:space="0" w:color="auto"/>
      </w:divBdr>
    </w:div>
    <w:div w:id="929779438">
      <w:bodyDiv w:val="1"/>
      <w:marLeft w:val="0"/>
      <w:marRight w:val="0"/>
      <w:marTop w:val="0"/>
      <w:marBottom w:val="0"/>
      <w:divBdr>
        <w:top w:val="none" w:sz="0" w:space="0" w:color="auto"/>
        <w:left w:val="none" w:sz="0" w:space="0" w:color="auto"/>
        <w:bottom w:val="none" w:sz="0" w:space="0" w:color="auto"/>
        <w:right w:val="none" w:sz="0" w:space="0" w:color="auto"/>
      </w:divBdr>
    </w:div>
    <w:div w:id="929780191">
      <w:bodyDiv w:val="1"/>
      <w:marLeft w:val="0"/>
      <w:marRight w:val="0"/>
      <w:marTop w:val="0"/>
      <w:marBottom w:val="0"/>
      <w:divBdr>
        <w:top w:val="none" w:sz="0" w:space="0" w:color="auto"/>
        <w:left w:val="none" w:sz="0" w:space="0" w:color="auto"/>
        <w:bottom w:val="none" w:sz="0" w:space="0" w:color="auto"/>
        <w:right w:val="none" w:sz="0" w:space="0" w:color="auto"/>
      </w:divBdr>
    </w:div>
    <w:div w:id="929856310">
      <w:bodyDiv w:val="1"/>
      <w:marLeft w:val="0"/>
      <w:marRight w:val="0"/>
      <w:marTop w:val="0"/>
      <w:marBottom w:val="0"/>
      <w:divBdr>
        <w:top w:val="none" w:sz="0" w:space="0" w:color="auto"/>
        <w:left w:val="none" w:sz="0" w:space="0" w:color="auto"/>
        <w:bottom w:val="none" w:sz="0" w:space="0" w:color="auto"/>
        <w:right w:val="none" w:sz="0" w:space="0" w:color="auto"/>
      </w:divBdr>
    </w:div>
    <w:div w:id="930041038">
      <w:bodyDiv w:val="1"/>
      <w:marLeft w:val="0"/>
      <w:marRight w:val="0"/>
      <w:marTop w:val="0"/>
      <w:marBottom w:val="0"/>
      <w:divBdr>
        <w:top w:val="none" w:sz="0" w:space="0" w:color="auto"/>
        <w:left w:val="none" w:sz="0" w:space="0" w:color="auto"/>
        <w:bottom w:val="none" w:sz="0" w:space="0" w:color="auto"/>
        <w:right w:val="none" w:sz="0" w:space="0" w:color="auto"/>
      </w:divBdr>
    </w:div>
    <w:div w:id="930046577">
      <w:bodyDiv w:val="1"/>
      <w:marLeft w:val="0"/>
      <w:marRight w:val="0"/>
      <w:marTop w:val="0"/>
      <w:marBottom w:val="0"/>
      <w:divBdr>
        <w:top w:val="none" w:sz="0" w:space="0" w:color="auto"/>
        <w:left w:val="none" w:sz="0" w:space="0" w:color="auto"/>
        <w:bottom w:val="none" w:sz="0" w:space="0" w:color="auto"/>
        <w:right w:val="none" w:sz="0" w:space="0" w:color="auto"/>
      </w:divBdr>
    </w:div>
    <w:div w:id="930164649">
      <w:bodyDiv w:val="1"/>
      <w:marLeft w:val="0"/>
      <w:marRight w:val="0"/>
      <w:marTop w:val="0"/>
      <w:marBottom w:val="0"/>
      <w:divBdr>
        <w:top w:val="none" w:sz="0" w:space="0" w:color="auto"/>
        <w:left w:val="none" w:sz="0" w:space="0" w:color="auto"/>
        <w:bottom w:val="none" w:sz="0" w:space="0" w:color="auto"/>
        <w:right w:val="none" w:sz="0" w:space="0" w:color="auto"/>
      </w:divBdr>
    </w:div>
    <w:div w:id="930241339">
      <w:bodyDiv w:val="1"/>
      <w:marLeft w:val="0"/>
      <w:marRight w:val="0"/>
      <w:marTop w:val="0"/>
      <w:marBottom w:val="0"/>
      <w:divBdr>
        <w:top w:val="none" w:sz="0" w:space="0" w:color="auto"/>
        <w:left w:val="none" w:sz="0" w:space="0" w:color="auto"/>
        <w:bottom w:val="none" w:sz="0" w:space="0" w:color="auto"/>
        <w:right w:val="none" w:sz="0" w:space="0" w:color="auto"/>
      </w:divBdr>
    </w:div>
    <w:div w:id="930285067">
      <w:bodyDiv w:val="1"/>
      <w:marLeft w:val="0"/>
      <w:marRight w:val="0"/>
      <w:marTop w:val="0"/>
      <w:marBottom w:val="0"/>
      <w:divBdr>
        <w:top w:val="none" w:sz="0" w:space="0" w:color="auto"/>
        <w:left w:val="none" w:sz="0" w:space="0" w:color="auto"/>
        <w:bottom w:val="none" w:sz="0" w:space="0" w:color="auto"/>
        <w:right w:val="none" w:sz="0" w:space="0" w:color="auto"/>
      </w:divBdr>
    </w:div>
    <w:div w:id="930309420">
      <w:bodyDiv w:val="1"/>
      <w:marLeft w:val="0"/>
      <w:marRight w:val="0"/>
      <w:marTop w:val="0"/>
      <w:marBottom w:val="0"/>
      <w:divBdr>
        <w:top w:val="none" w:sz="0" w:space="0" w:color="auto"/>
        <w:left w:val="none" w:sz="0" w:space="0" w:color="auto"/>
        <w:bottom w:val="none" w:sz="0" w:space="0" w:color="auto"/>
        <w:right w:val="none" w:sz="0" w:space="0" w:color="auto"/>
      </w:divBdr>
    </w:div>
    <w:div w:id="930434091">
      <w:bodyDiv w:val="1"/>
      <w:marLeft w:val="0"/>
      <w:marRight w:val="0"/>
      <w:marTop w:val="0"/>
      <w:marBottom w:val="0"/>
      <w:divBdr>
        <w:top w:val="none" w:sz="0" w:space="0" w:color="auto"/>
        <w:left w:val="none" w:sz="0" w:space="0" w:color="auto"/>
        <w:bottom w:val="none" w:sz="0" w:space="0" w:color="auto"/>
        <w:right w:val="none" w:sz="0" w:space="0" w:color="auto"/>
      </w:divBdr>
    </w:div>
    <w:div w:id="930503929">
      <w:bodyDiv w:val="1"/>
      <w:marLeft w:val="0"/>
      <w:marRight w:val="0"/>
      <w:marTop w:val="0"/>
      <w:marBottom w:val="0"/>
      <w:divBdr>
        <w:top w:val="none" w:sz="0" w:space="0" w:color="auto"/>
        <w:left w:val="none" w:sz="0" w:space="0" w:color="auto"/>
        <w:bottom w:val="none" w:sz="0" w:space="0" w:color="auto"/>
        <w:right w:val="none" w:sz="0" w:space="0" w:color="auto"/>
      </w:divBdr>
    </w:div>
    <w:div w:id="930622368">
      <w:bodyDiv w:val="1"/>
      <w:marLeft w:val="0"/>
      <w:marRight w:val="0"/>
      <w:marTop w:val="0"/>
      <w:marBottom w:val="0"/>
      <w:divBdr>
        <w:top w:val="none" w:sz="0" w:space="0" w:color="auto"/>
        <w:left w:val="none" w:sz="0" w:space="0" w:color="auto"/>
        <w:bottom w:val="none" w:sz="0" w:space="0" w:color="auto"/>
        <w:right w:val="none" w:sz="0" w:space="0" w:color="auto"/>
      </w:divBdr>
    </w:div>
    <w:div w:id="930704789">
      <w:bodyDiv w:val="1"/>
      <w:marLeft w:val="0"/>
      <w:marRight w:val="0"/>
      <w:marTop w:val="0"/>
      <w:marBottom w:val="0"/>
      <w:divBdr>
        <w:top w:val="none" w:sz="0" w:space="0" w:color="auto"/>
        <w:left w:val="none" w:sz="0" w:space="0" w:color="auto"/>
        <w:bottom w:val="none" w:sz="0" w:space="0" w:color="auto"/>
        <w:right w:val="none" w:sz="0" w:space="0" w:color="auto"/>
      </w:divBdr>
    </w:div>
    <w:div w:id="930896240">
      <w:bodyDiv w:val="1"/>
      <w:marLeft w:val="0"/>
      <w:marRight w:val="0"/>
      <w:marTop w:val="0"/>
      <w:marBottom w:val="0"/>
      <w:divBdr>
        <w:top w:val="none" w:sz="0" w:space="0" w:color="auto"/>
        <w:left w:val="none" w:sz="0" w:space="0" w:color="auto"/>
        <w:bottom w:val="none" w:sz="0" w:space="0" w:color="auto"/>
        <w:right w:val="none" w:sz="0" w:space="0" w:color="auto"/>
      </w:divBdr>
    </w:div>
    <w:div w:id="931008659">
      <w:bodyDiv w:val="1"/>
      <w:marLeft w:val="0"/>
      <w:marRight w:val="0"/>
      <w:marTop w:val="0"/>
      <w:marBottom w:val="0"/>
      <w:divBdr>
        <w:top w:val="none" w:sz="0" w:space="0" w:color="auto"/>
        <w:left w:val="none" w:sz="0" w:space="0" w:color="auto"/>
        <w:bottom w:val="none" w:sz="0" w:space="0" w:color="auto"/>
        <w:right w:val="none" w:sz="0" w:space="0" w:color="auto"/>
      </w:divBdr>
    </w:div>
    <w:div w:id="931091221">
      <w:bodyDiv w:val="1"/>
      <w:marLeft w:val="0"/>
      <w:marRight w:val="0"/>
      <w:marTop w:val="0"/>
      <w:marBottom w:val="0"/>
      <w:divBdr>
        <w:top w:val="none" w:sz="0" w:space="0" w:color="auto"/>
        <w:left w:val="none" w:sz="0" w:space="0" w:color="auto"/>
        <w:bottom w:val="none" w:sz="0" w:space="0" w:color="auto"/>
        <w:right w:val="none" w:sz="0" w:space="0" w:color="auto"/>
      </w:divBdr>
    </w:div>
    <w:div w:id="931284969">
      <w:bodyDiv w:val="1"/>
      <w:marLeft w:val="0"/>
      <w:marRight w:val="0"/>
      <w:marTop w:val="0"/>
      <w:marBottom w:val="0"/>
      <w:divBdr>
        <w:top w:val="none" w:sz="0" w:space="0" w:color="auto"/>
        <w:left w:val="none" w:sz="0" w:space="0" w:color="auto"/>
        <w:bottom w:val="none" w:sz="0" w:space="0" w:color="auto"/>
        <w:right w:val="none" w:sz="0" w:space="0" w:color="auto"/>
      </w:divBdr>
    </w:div>
    <w:div w:id="931471674">
      <w:bodyDiv w:val="1"/>
      <w:marLeft w:val="0"/>
      <w:marRight w:val="0"/>
      <w:marTop w:val="0"/>
      <w:marBottom w:val="0"/>
      <w:divBdr>
        <w:top w:val="none" w:sz="0" w:space="0" w:color="auto"/>
        <w:left w:val="none" w:sz="0" w:space="0" w:color="auto"/>
        <w:bottom w:val="none" w:sz="0" w:space="0" w:color="auto"/>
        <w:right w:val="none" w:sz="0" w:space="0" w:color="auto"/>
      </w:divBdr>
    </w:div>
    <w:div w:id="931546065">
      <w:bodyDiv w:val="1"/>
      <w:marLeft w:val="0"/>
      <w:marRight w:val="0"/>
      <w:marTop w:val="0"/>
      <w:marBottom w:val="0"/>
      <w:divBdr>
        <w:top w:val="none" w:sz="0" w:space="0" w:color="auto"/>
        <w:left w:val="none" w:sz="0" w:space="0" w:color="auto"/>
        <w:bottom w:val="none" w:sz="0" w:space="0" w:color="auto"/>
        <w:right w:val="none" w:sz="0" w:space="0" w:color="auto"/>
      </w:divBdr>
    </w:div>
    <w:div w:id="931666836">
      <w:bodyDiv w:val="1"/>
      <w:marLeft w:val="0"/>
      <w:marRight w:val="0"/>
      <w:marTop w:val="0"/>
      <w:marBottom w:val="0"/>
      <w:divBdr>
        <w:top w:val="none" w:sz="0" w:space="0" w:color="auto"/>
        <w:left w:val="none" w:sz="0" w:space="0" w:color="auto"/>
        <w:bottom w:val="none" w:sz="0" w:space="0" w:color="auto"/>
        <w:right w:val="none" w:sz="0" w:space="0" w:color="auto"/>
      </w:divBdr>
    </w:div>
    <w:div w:id="931814844">
      <w:bodyDiv w:val="1"/>
      <w:marLeft w:val="0"/>
      <w:marRight w:val="0"/>
      <w:marTop w:val="0"/>
      <w:marBottom w:val="0"/>
      <w:divBdr>
        <w:top w:val="none" w:sz="0" w:space="0" w:color="auto"/>
        <w:left w:val="none" w:sz="0" w:space="0" w:color="auto"/>
        <w:bottom w:val="none" w:sz="0" w:space="0" w:color="auto"/>
        <w:right w:val="none" w:sz="0" w:space="0" w:color="auto"/>
      </w:divBdr>
    </w:div>
    <w:div w:id="931858827">
      <w:bodyDiv w:val="1"/>
      <w:marLeft w:val="0"/>
      <w:marRight w:val="0"/>
      <w:marTop w:val="0"/>
      <w:marBottom w:val="0"/>
      <w:divBdr>
        <w:top w:val="none" w:sz="0" w:space="0" w:color="auto"/>
        <w:left w:val="none" w:sz="0" w:space="0" w:color="auto"/>
        <w:bottom w:val="none" w:sz="0" w:space="0" w:color="auto"/>
        <w:right w:val="none" w:sz="0" w:space="0" w:color="auto"/>
      </w:divBdr>
    </w:div>
    <w:div w:id="931861624">
      <w:bodyDiv w:val="1"/>
      <w:marLeft w:val="0"/>
      <w:marRight w:val="0"/>
      <w:marTop w:val="0"/>
      <w:marBottom w:val="0"/>
      <w:divBdr>
        <w:top w:val="none" w:sz="0" w:space="0" w:color="auto"/>
        <w:left w:val="none" w:sz="0" w:space="0" w:color="auto"/>
        <w:bottom w:val="none" w:sz="0" w:space="0" w:color="auto"/>
        <w:right w:val="none" w:sz="0" w:space="0" w:color="auto"/>
      </w:divBdr>
    </w:div>
    <w:div w:id="932392549">
      <w:bodyDiv w:val="1"/>
      <w:marLeft w:val="0"/>
      <w:marRight w:val="0"/>
      <w:marTop w:val="0"/>
      <w:marBottom w:val="0"/>
      <w:divBdr>
        <w:top w:val="none" w:sz="0" w:space="0" w:color="auto"/>
        <w:left w:val="none" w:sz="0" w:space="0" w:color="auto"/>
        <w:bottom w:val="none" w:sz="0" w:space="0" w:color="auto"/>
        <w:right w:val="none" w:sz="0" w:space="0" w:color="auto"/>
      </w:divBdr>
    </w:div>
    <w:div w:id="932394668">
      <w:bodyDiv w:val="1"/>
      <w:marLeft w:val="0"/>
      <w:marRight w:val="0"/>
      <w:marTop w:val="0"/>
      <w:marBottom w:val="0"/>
      <w:divBdr>
        <w:top w:val="none" w:sz="0" w:space="0" w:color="auto"/>
        <w:left w:val="none" w:sz="0" w:space="0" w:color="auto"/>
        <w:bottom w:val="none" w:sz="0" w:space="0" w:color="auto"/>
        <w:right w:val="none" w:sz="0" w:space="0" w:color="auto"/>
      </w:divBdr>
    </w:div>
    <w:div w:id="932737962">
      <w:bodyDiv w:val="1"/>
      <w:marLeft w:val="0"/>
      <w:marRight w:val="0"/>
      <w:marTop w:val="0"/>
      <w:marBottom w:val="0"/>
      <w:divBdr>
        <w:top w:val="none" w:sz="0" w:space="0" w:color="auto"/>
        <w:left w:val="none" w:sz="0" w:space="0" w:color="auto"/>
        <w:bottom w:val="none" w:sz="0" w:space="0" w:color="auto"/>
        <w:right w:val="none" w:sz="0" w:space="0" w:color="auto"/>
      </w:divBdr>
    </w:div>
    <w:div w:id="932933016">
      <w:bodyDiv w:val="1"/>
      <w:marLeft w:val="0"/>
      <w:marRight w:val="0"/>
      <w:marTop w:val="0"/>
      <w:marBottom w:val="0"/>
      <w:divBdr>
        <w:top w:val="none" w:sz="0" w:space="0" w:color="auto"/>
        <w:left w:val="none" w:sz="0" w:space="0" w:color="auto"/>
        <w:bottom w:val="none" w:sz="0" w:space="0" w:color="auto"/>
        <w:right w:val="none" w:sz="0" w:space="0" w:color="auto"/>
      </w:divBdr>
    </w:div>
    <w:div w:id="933052210">
      <w:bodyDiv w:val="1"/>
      <w:marLeft w:val="0"/>
      <w:marRight w:val="0"/>
      <w:marTop w:val="0"/>
      <w:marBottom w:val="0"/>
      <w:divBdr>
        <w:top w:val="none" w:sz="0" w:space="0" w:color="auto"/>
        <w:left w:val="none" w:sz="0" w:space="0" w:color="auto"/>
        <w:bottom w:val="none" w:sz="0" w:space="0" w:color="auto"/>
        <w:right w:val="none" w:sz="0" w:space="0" w:color="auto"/>
      </w:divBdr>
    </w:div>
    <w:div w:id="933124061">
      <w:bodyDiv w:val="1"/>
      <w:marLeft w:val="0"/>
      <w:marRight w:val="0"/>
      <w:marTop w:val="0"/>
      <w:marBottom w:val="0"/>
      <w:divBdr>
        <w:top w:val="none" w:sz="0" w:space="0" w:color="auto"/>
        <w:left w:val="none" w:sz="0" w:space="0" w:color="auto"/>
        <w:bottom w:val="none" w:sz="0" w:space="0" w:color="auto"/>
        <w:right w:val="none" w:sz="0" w:space="0" w:color="auto"/>
      </w:divBdr>
    </w:div>
    <w:div w:id="933173125">
      <w:bodyDiv w:val="1"/>
      <w:marLeft w:val="0"/>
      <w:marRight w:val="0"/>
      <w:marTop w:val="0"/>
      <w:marBottom w:val="0"/>
      <w:divBdr>
        <w:top w:val="none" w:sz="0" w:space="0" w:color="auto"/>
        <w:left w:val="none" w:sz="0" w:space="0" w:color="auto"/>
        <w:bottom w:val="none" w:sz="0" w:space="0" w:color="auto"/>
        <w:right w:val="none" w:sz="0" w:space="0" w:color="auto"/>
      </w:divBdr>
    </w:div>
    <w:div w:id="933199633">
      <w:bodyDiv w:val="1"/>
      <w:marLeft w:val="0"/>
      <w:marRight w:val="0"/>
      <w:marTop w:val="0"/>
      <w:marBottom w:val="0"/>
      <w:divBdr>
        <w:top w:val="none" w:sz="0" w:space="0" w:color="auto"/>
        <w:left w:val="none" w:sz="0" w:space="0" w:color="auto"/>
        <w:bottom w:val="none" w:sz="0" w:space="0" w:color="auto"/>
        <w:right w:val="none" w:sz="0" w:space="0" w:color="auto"/>
      </w:divBdr>
    </w:div>
    <w:div w:id="933243788">
      <w:bodyDiv w:val="1"/>
      <w:marLeft w:val="0"/>
      <w:marRight w:val="0"/>
      <w:marTop w:val="0"/>
      <w:marBottom w:val="0"/>
      <w:divBdr>
        <w:top w:val="none" w:sz="0" w:space="0" w:color="auto"/>
        <w:left w:val="none" w:sz="0" w:space="0" w:color="auto"/>
        <w:bottom w:val="none" w:sz="0" w:space="0" w:color="auto"/>
        <w:right w:val="none" w:sz="0" w:space="0" w:color="auto"/>
      </w:divBdr>
    </w:div>
    <w:div w:id="933708432">
      <w:bodyDiv w:val="1"/>
      <w:marLeft w:val="0"/>
      <w:marRight w:val="0"/>
      <w:marTop w:val="0"/>
      <w:marBottom w:val="0"/>
      <w:divBdr>
        <w:top w:val="none" w:sz="0" w:space="0" w:color="auto"/>
        <w:left w:val="none" w:sz="0" w:space="0" w:color="auto"/>
        <w:bottom w:val="none" w:sz="0" w:space="0" w:color="auto"/>
        <w:right w:val="none" w:sz="0" w:space="0" w:color="auto"/>
      </w:divBdr>
    </w:div>
    <w:div w:id="933710579">
      <w:bodyDiv w:val="1"/>
      <w:marLeft w:val="0"/>
      <w:marRight w:val="0"/>
      <w:marTop w:val="0"/>
      <w:marBottom w:val="0"/>
      <w:divBdr>
        <w:top w:val="none" w:sz="0" w:space="0" w:color="auto"/>
        <w:left w:val="none" w:sz="0" w:space="0" w:color="auto"/>
        <w:bottom w:val="none" w:sz="0" w:space="0" w:color="auto"/>
        <w:right w:val="none" w:sz="0" w:space="0" w:color="auto"/>
      </w:divBdr>
    </w:div>
    <w:div w:id="933779165">
      <w:bodyDiv w:val="1"/>
      <w:marLeft w:val="0"/>
      <w:marRight w:val="0"/>
      <w:marTop w:val="0"/>
      <w:marBottom w:val="0"/>
      <w:divBdr>
        <w:top w:val="none" w:sz="0" w:space="0" w:color="auto"/>
        <w:left w:val="none" w:sz="0" w:space="0" w:color="auto"/>
        <w:bottom w:val="none" w:sz="0" w:space="0" w:color="auto"/>
        <w:right w:val="none" w:sz="0" w:space="0" w:color="auto"/>
      </w:divBdr>
    </w:div>
    <w:div w:id="933779793">
      <w:bodyDiv w:val="1"/>
      <w:marLeft w:val="0"/>
      <w:marRight w:val="0"/>
      <w:marTop w:val="0"/>
      <w:marBottom w:val="0"/>
      <w:divBdr>
        <w:top w:val="none" w:sz="0" w:space="0" w:color="auto"/>
        <w:left w:val="none" w:sz="0" w:space="0" w:color="auto"/>
        <w:bottom w:val="none" w:sz="0" w:space="0" w:color="auto"/>
        <w:right w:val="none" w:sz="0" w:space="0" w:color="auto"/>
      </w:divBdr>
    </w:div>
    <w:div w:id="933784601">
      <w:bodyDiv w:val="1"/>
      <w:marLeft w:val="0"/>
      <w:marRight w:val="0"/>
      <w:marTop w:val="0"/>
      <w:marBottom w:val="0"/>
      <w:divBdr>
        <w:top w:val="none" w:sz="0" w:space="0" w:color="auto"/>
        <w:left w:val="none" w:sz="0" w:space="0" w:color="auto"/>
        <w:bottom w:val="none" w:sz="0" w:space="0" w:color="auto"/>
        <w:right w:val="none" w:sz="0" w:space="0" w:color="auto"/>
      </w:divBdr>
    </w:div>
    <w:div w:id="933787173">
      <w:bodyDiv w:val="1"/>
      <w:marLeft w:val="0"/>
      <w:marRight w:val="0"/>
      <w:marTop w:val="0"/>
      <w:marBottom w:val="0"/>
      <w:divBdr>
        <w:top w:val="none" w:sz="0" w:space="0" w:color="auto"/>
        <w:left w:val="none" w:sz="0" w:space="0" w:color="auto"/>
        <w:bottom w:val="none" w:sz="0" w:space="0" w:color="auto"/>
        <w:right w:val="none" w:sz="0" w:space="0" w:color="auto"/>
      </w:divBdr>
    </w:div>
    <w:div w:id="933903372">
      <w:bodyDiv w:val="1"/>
      <w:marLeft w:val="0"/>
      <w:marRight w:val="0"/>
      <w:marTop w:val="0"/>
      <w:marBottom w:val="0"/>
      <w:divBdr>
        <w:top w:val="none" w:sz="0" w:space="0" w:color="auto"/>
        <w:left w:val="none" w:sz="0" w:space="0" w:color="auto"/>
        <w:bottom w:val="none" w:sz="0" w:space="0" w:color="auto"/>
        <w:right w:val="none" w:sz="0" w:space="0" w:color="auto"/>
      </w:divBdr>
    </w:div>
    <w:div w:id="934021820">
      <w:bodyDiv w:val="1"/>
      <w:marLeft w:val="0"/>
      <w:marRight w:val="0"/>
      <w:marTop w:val="0"/>
      <w:marBottom w:val="0"/>
      <w:divBdr>
        <w:top w:val="none" w:sz="0" w:space="0" w:color="auto"/>
        <w:left w:val="none" w:sz="0" w:space="0" w:color="auto"/>
        <w:bottom w:val="none" w:sz="0" w:space="0" w:color="auto"/>
        <w:right w:val="none" w:sz="0" w:space="0" w:color="auto"/>
      </w:divBdr>
    </w:div>
    <w:div w:id="934092784">
      <w:bodyDiv w:val="1"/>
      <w:marLeft w:val="0"/>
      <w:marRight w:val="0"/>
      <w:marTop w:val="0"/>
      <w:marBottom w:val="0"/>
      <w:divBdr>
        <w:top w:val="none" w:sz="0" w:space="0" w:color="auto"/>
        <w:left w:val="none" w:sz="0" w:space="0" w:color="auto"/>
        <w:bottom w:val="none" w:sz="0" w:space="0" w:color="auto"/>
        <w:right w:val="none" w:sz="0" w:space="0" w:color="auto"/>
      </w:divBdr>
    </w:div>
    <w:div w:id="934167820">
      <w:bodyDiv w:val="1"/>
      <w:marLeft w:val="0"/>
      <w:marRight w:val="0"/>
      <w:marTop w:val="0"/>
      <w:marBottom w:val="0"/>
      <w:divBdr>
        <w:top w:val="none" w:sz="0" w:space="0" w:color="auto"/>
        <w:left w:val="none" w:sz="0" w:space="0" w:color="auto"/>
        <w:bottom w:val="none" w:sz="0" w:space="0" w:color="auto"/>
        <w:right w:val="none" w:sz="0" w:space="0" w:color="auto"/>
      </w:divBdr>
    </w:div>
    <w:div w:id="934438347">
      <w:bodyDiv w:val="1"/>
      <w:marLeft w:val="0"/>
      <w:marRight w:val="0"/>
      <w:marTop w:val="0"/>
      <w:marBottom w:val="0"/>
      <w:divBdr>
        <w:top w:val="none" w:sz="0" w:space="0" w:color="auto"/>
        <w:left w:val="none" w:sz="0" w:space="0" w:color="auto"/>
        <w:bottom w:val="none" w:sz="0" w:space="0" w:color="auto"/>
        <w:right w:val="none" w:sz="0" w:space="0" w:color="auto"/>
      </w:divBdr>
    </w:div>
    <w:div w:id="934479848">
      <w:bodyDiv w:val="1"/>
      <w:marLeft w:val="0"/>
      <w:marRight w:val="0"/>
      <w:marTop w:val="0"/>
      <w:marBottom w:val="0"/>
      <w:divBdr>
        <w:top w:val="none" w:sz="0" w:space="0" w:color="auto"/>
        <w:left w:val="none" w:sz="0" w:space="0" w:color="auto"/>
        <w:bottom w:val="none" w:sz="0" w:space="0" w:color="auto"/>
        <w:right w:val="none" w:sz="0" w:space="0" w:color="auto"/>
      </w:divBdr>
    </w:div>
    <w:div w:id="934509039">
      <w:bodyDiv w:val="1"/>
      <w:marLeft w:val="0"/>
      <w:marRight w:val="0"/>
      <w:marTop w:val="0"/>
      <w:marBottom w:val="0"/>
      <w:divBdr>
        <w:top w:val="none" w:sz="0" w:space="0" w:color="auto"/>
        <w:left w:val="none" w:sz="0" w:space="0" w:color="auto"/>
        <w:bottom w:val="none" w:sz="0" w:space="0" w:color="auto"/>
        <w:right w:val="none" w:sz="0" w:space="0" w:color="auto"/>
      </w:divBdr>
    </w:div>
    <w:div w:id="934553223">
      <w:bodyDiv w:val="1"/>
      <w:marLeft w:val="0"/>
      <w:marRight w:val="0"/>
      <w:marTop w:val="0"/>
      <w:marBottom w:val="0"/>
      <w:divBdr>
        <w:top w:val="none" w:sz="0" w:space="0" w:color="auto"/>
        <w:left w:val="none" w:sz="0" w:space="0" w:color="auto"/>
        <w:bottom w:val="none" w:sz="0" w:space="0" w:color="auto"/>
        <w:right w:val="none" w:sz="0" w:space="0" w:color="auto"/>
      </w:divBdr>
    </w:div>
    <w:div w:id="934627151">
      <w:bodyDiv w:val="1"/>
      <w:marLeft w:val="0"/>
      <w:marRight w:val="0"/>
      <w:marTop w:val="0"/>
      <w:marBottom w:val="0"/>
      <w:divBdr>
        <w:top w:val="none" w:sz="0" w:space="0" w:color="auto"/>
        <w:left w:val="none" w:sz="0" w:space="0" w:color="auto"/>
        <w:bottom w:val="none" w:sz="0" w:space="0" w:color="auto"/>
        <w:right w:val="none" w:sz="0" w:space="0" w:color="auto"/>
      </w:divBdr>
    </w:div>
    <w:div w:id="934633346">
      <w:bodyDiv w:val="1"/>
      <w:marLeft w:val="0"/>
      <w:marRight w:val="0"/>
      <w:marTop w:val="0"/>
      <w:marBottom w:val="0"/>
      <w:divBdr>
        <w:top w:val="none" w:sz="0" w:space="0" w:color="auto"/>
        <w:left w:val="none" w:sz="0" w:space="0" w:color="auto"/>
        <w:bottom w:val="none" w:sz="0" w:space="0" w:color="auto"/>
        <w:right w:val="none" w:sz="0" w:space="0" w:color="auto"/>
      </w:divBdr>
    </w:div>
    <w:div w:id="934675973">
      <w:bodyDiv w:val="1"/>
      <w:marLeft w:val="0"/>
      <w:marRight w:val="0"/>
      <w:marTop w:val="0"/>
      <w:marBottom w:val="0"/>
      <w:divBdr>
        <w:top w:val="none" w:sz="0" w:space="0" w:color="auto"/>
        <w:left w:val="none" w:sz="0" w:space="0" w:color="auto"/>
        <w:bottom w:val="none" w:sz="0" w:space="0" w:color="auto"/>
        <w:right w:val="none" w:sz="0" w:space="0" w:color="auto"/>
      </w:divBdr>
    </w:div>
    <w:div w:id="934946967">
      <w:bodyDiv w:val="1"/>
      <w:marLeft w:val="0"/>
      <w:marRight w:val="0"/>
      <w:marTop w:val="0"/>
      <w:marBottom w:val="0"/>
      <w:divBdr>
        <w:top w:val="none" w:sz="0" w:space="0" w:color="auto"/>
        <w:left w:val="none" w:sz="0" w:space="0" w:color="auto"/>
        <w:bottom w:val="none" w:sz="0" w:space="0" w:color="auto"/>
        <w:right w:val="none" w:sz="0" w:space="0" w:color="auto"/>
      </w:divBdr>
    </w:div>
    <w:div w:id="935020934">
      <w:bodyDiv w:val="1"/>
      <w:marLeft w:val="0"/>
      <w:marRight w:val="0"/>
      <w:marTop w:val="0"/>
      <w:marBottom w:val="0"/>
      <w:divBdr>
        <w:top w:val="none" w:sz="0" w:space="0" w:color="auto"/>
        <w:left w:val="none" w:sz="0" w:space="0" w:color="auto"/>
        <w:bottom w:val="none" w:sz="0" w:space="0" w:color="auto"/>
        <w:right w:val="none" w:sz="0" w:space="0" w:color="auto"/>
      </w:divBdr>
    </w:div>
    <w:div w:id="935211388">
      <w:bodyDiv w:val="1"/>
      <w:marLeft w:val="0"/>
      <w:marRight w:val="0"/>
      <w:marTop w:val="0"/>
      <w:marBottom w:val="0"/>
      <w:divBdr>
        <w:top w:val="none" w:sz="0" w:space="0" w:color="auto"/>
        <w:left w:val="none" w:sz="0" w:space="0" w:color="auto"/>
        <w:bottom w:val="none" w:sz="0" w:space="0" w:color="auto"/>
        <w:right w:val="none" w:sz="0" w:space="0" w:color="auto"/>
      </w:divBdr>
    </w:div>
    <w:div w:id="935214856">
      <w:bodyDiv w:val="1"/>
      <w:marLeft w:val="0"/>
      <w:marRight w:val="0"/>
      <w:marTop w:val="0"/>
      <w:marBottom w:val="0"/>
      <w:divBdr>
        <w:top w:val="none" w:sz="0" w:space="0" w:color="auto"/>
        <w:left w:val="none" w:sz="0" w:space="0" w:color="auto"/>
        <w:bottom w:val="none" w:sz="0" w:space="0" w:color="auto"/>
        <w:right w:val="none" w:sz="0" w:space="0" w:color="auto"/>
      </w:divBdr>
    </w:div>
    <w:div w:id="935402376">
      <w:bodyDiv w:val="1"/>
      <w:marLeft w:val="0"/>
      <w:marRight w:val="0"/>
      <w:marTop w:val="0"/>
      <w:marBottom w:val="0"/>
      <w:divBdr>
        <w:top w:val="none" w:sz="0" w:space="0" w:color="auto"/>
        <w:left w:val="none" w:sz="0" w:space="0" w:color="auto"/>
        <w:bottom w:val="none" w:sz="0" w:space="0" w:color="auto"/>
        <w:right w:val="none" w:sz="0" w:space="0" w:color="auto"/>
      </w:divBdr>
    </w:div>
    <w:div w:id="935404387">
      <w:bodyDiv w:val="1"/>
      <w:marLeft w:val="0"/>
      <w:marRight w:val="0"/>
      <w:marTop w:val="0"/>
      <w:marBottom w:val="0"/>
      <w:divBdr>
        <w:top w:val="none" w:sz="0" w:space="0" w:color="auto"/>
        <w:left w:val="none" w:sz="0" w:space="0" w:color="auto"/>
        <w:bottom w:val="none" w:sz="0" w:space="0" w:color="auto"/>
        <w:right w:val="none" w:sz="0" w:space="0" w:color="auto"/>
      </w:divBdr>
    </w:div>
    <w:div w:id="935408689">
      <w:bodyDiv w:val="1"/>
      <w:marLeft w:val="0"/>
      <w:marRight w:val="0"/>
      <w:marTop w:val="0"/>
      <w:marBottom w:val="0"/>
      <w:divBdr>
        <w:top w:val="none" w:sz="0" w:space="0" w:color="auto"/>
        <w:left w:val="none" w:sz="0" w:space="0" w:color="auto"/>
        <w:bottom w:val="none" w:sz="0" w:space="0" w:color="auto"/>
        <w:right w:val="none" w:sz="0" w:space="0" w:color="auto"/>
      </w:divBdr>
    </w:div>
    <w:div w:id="935483375">
      <w:bodyDiv w:val="1"/>
      <w:marLeft w:val="0"/>
      <w:marRight w:val="0"/>
      <w:marTop w:val="0"/>
      <w:marBottom w:val="0"/>
      <w:divBdr>
        <w:top w:val="none" w:sz="0" w:space="0" w:color="auto"/>
        <w:left w:val="none" w:sz="0" w:space="0" w:color="auto"/>
        <w:bottom w:val="none" w:sz="0" w:space="0" w:color="auto"/>
        <w:right w:val="none" w:sz="0" w:space="0" w:color="auto"/>
      </w:divBdr>
    </w:div>
    <w:div w:id="935598194">
      <w:bodyDiv w:val="1"/>
      <w:marLeft w:val="0"/>
      <w:marRight w:val="0"/>
      <w:marTop w:val="0"/>
      <w:marBottom w:val="0"/>
      <w:divBdr>
        <w:top w:val="none" w:sz="0" w:space="0" w:color="auto"/>
        <w:left w:val="none" w:sz="0" w:space="0" w:color="auto"/>
        <w:bottom w:val="none" w:sz="0" w:space="0" w:color="auto"/>
        <w:right w:val="none" w:sz="0" w:space="0" w:color="auto"/>
      </w:divBdr>
    </w:div>
    <w:div w:id="935669666">
      <w:bodyDiv w:val="1"/>
      <w:marLeft w:val="0"/>
      <w:marRight w:val="0"/>
      <w:marTop w:val="0"/>
      <w:marBottom w:val="0"/>
      <w:divBdr>
        <w:top w:val="none" w:sz="0" w:space="0" w:color="auto"/>
        <w:left w:val="none" w:sz="0" w:space="0" w:color="auto"/>
        <w:bottom w:val="none" w:sz="0" w:space="0" w:color="auto"/>
        <w:right w:val="none" w:sz="0" w:space="0" w:color="auto"/>
      </w:divBdr>
    </w:div>
    <w:div w:id="935862927">
      <w:bodyDiv w:val="1"/>
      <w:marLeft w:val="0"/>
      <w:marRight w:val="0"/>
      <w:marTop w:val="0"/>
      <w:marBottom w:val="0"/>
      <w:divBdr>
        <w:top w:val="none" w:sz="0" w:space="0" w:color="auto"/>
        <w:left w:val="none" w:sz="0" w:space="0" w:color="auto"/>
        <w:bottom w:val="none" w:sz="0" w:space="0" w:color="auto"/>
        <w:right w:val="none" w:sz="0" w:space="0" w:color="auto"/>
      </w:divBdr>
    </w:div>
    <w:div w:id="935866232">
      <w:bodyDiv w:val="1"/>
      <w:marLeft w:val="0"/>
      <w:marRight w:val="0"/>
      <w:marTop w:val="0"/>
      <w:marBottom w:val="0"/>
      <w:divBdr>
        <w:top w:val="none" w:sz="0" w:space="0" w:color="auto"/>
        <w:left w:val="none" w:sz="0" w:space="0" w:color="auto"/>
        <w:bottom w:val="none" w:sz="0" w:space="0" w:color="auto"/>
        <w:right w:val="none" w:sz="0" w:space="0" w:color="auto"/>
      </w:divBdr>
    </w:div>
    <w:div w:id="935989185">
      <w:bodyDiv w:val="1"/>
      <w:marLeft w:val="0"/>
      <w:marRight w:val="0"/>
      <w:marTop w:val="0"/>
      <w:marBottom w:val="0"/>
      <w:divBdr>
        <w:top w:val="none" w:sz="0" w:space="0" w:color="auto"/>
        <w:left w:val="none" w:sz="0" w:space="0" w:color="auto"/>
        <w:bottom w:val="none" w:sz="0" w:space="0" w:color="auto"/>
        <w:right w:val="none" w:sz="0" w:space="0" w:color="auto"/>
      </w:divBdr>
    </w:div>
    <w:div w:id="936015599">
      <w:bodyDiv w:val="1"/>
      <w:marLeft w:val="0"/>
      <w:marRight w:val="0"/>
      <w:marTop w:val="0"/>
      <w:marBottom w:val="0"/>
      <w:divBdr>
        <w:top w:val="none" w:sz="0" w:space="0" w:color="auto"/>
        <w:left w:val="none" w:sz="0" w:space="0" w:color="auto"/>
        <w:bottom w:val="none" w:sz="0" w:space="0" w:color="auto"/>
        <w:right w:val="none" w:sz="0" w:space="0" w:color="auto"/>
      </w:divBdr>
    </w:div>
    <w:div w:id="936206209">
      <w:bodyDiv w:val="1"/>
      <w:marLeft w:val="0"/>
      <w:marRight w:val="0"/>
      <w:marTop w:val="0"/>
      <w:marBottom w:val="0"/>
      <w:divBdr>
        <w:top w:val="none" w:sz="0" w:space="0" w:color="auto"/>
        <w:left w:val="none" w:sz="0" w:space="0" w:color="auto"/>
        <w:bottom w:val="none" w:sz="0" w:space="0" w:color="auto"/>
        <w:right w:val="none" w:sz="0" w:space="0" w:color="auto"/>
      </w:divBdr>
    </w:div>
    <w:div w:id="936408583">
      <w:bodyDiv w:val="1"/>
      <w:marLeft w:val="0"/>
      <w:marRight w:val="0"/>
      <w:marTop w:val="0"/>
      <w:marBottom w:val="0"/>
      <w:divBdr>
        <w:top w:val="none" w:sz="0" w:space="0" w:color="auto"/>
        <w:left w:val="none" w:sz="0" w:space="0" w:color="auto"/>
        <w:bottom w:val="none" w:sz="0" w:space="0" w:color="auto"/>
        <w:right w:val="none" w:sz="0" w:space="0" w:color="auto"/>
      </w:divBdr>
    </w:div>
    <w:div w:id="936907831">
      <w:bodyDiv w:val="1"/>
      <w:marLeft w:val="0"/>
      <w:marRight w:val="0"/>
      <w:marTop w:val="0"/>
      <w:marBottom w:val="0"/>
      <w:divBdr>
        <w:top w:val="none" w:sz="0" w:space="0" w:color="auto"/>
        <w:left w:val="none" w:sz="0" w:space="0" w:color="auto"/>
        <w:bottom w:val="none" w:sz="0" w:space="0" w:color="auto"/>
        <w:right w:val="none" w:sz="0" w:space="0" w:color="auto"/>
      </w:divBdr>
    </w:div>
    <w:div w:id="937175743">
      <w:bodyDiv w:val="1"/>
      <w:marLeft w:val="0"/>
      <w:marRight w:val="0"/>
      <w:marTop w:val="0"/>
      <w:marBottom w:val="0"/>
      <w:divBdr>
        <w:top w:val="none" w:sz="0" w:space="0" w:color="auto"/>
        <w:left w:val="none" w:sz="0" w:space="0" w:color="auto"/>
        <w:bottom w:val="none" w:sz="0" w:space="0" w:color="auto"/>
        <w:right w:val="none" w:sz="0" w:space="0" w:color="auto"/>
      </w:divBdr>
    </w:div>
    <w:div w:id="937179036">
      <w:bodyDiv w:val="1"/>
      <w:marLeft w:val="0"/>
      <w:marRight w:val="0"/>
      <w:marTop w:val="0"/>
      <w:marBottom w:val="0"/>
      <w:divBdr>
        <w:top w:val="none" w:sz="0" w:space="0" w:color="auto"/>
        <w:left w:val="none" w:sz="0" w:space="0" w:color="auto"/>
        <w:bottom w:val="none" w:sz="0" w:space="0" w:color="auto"/>
        <w:right w:val="none" w:sz="0" w:space="0" w:color="auto"/>
      </w:divBdr>
    </w:div>
    <w:div w:id="937297507">
      <w:bodyDiv w:val="1"/>
      <w:marLeft w:val="0"/>
      <w:marRight w:val="0"/>
      <w:marTop w:val="0"/>
      <w:marBottom w:val="0"/>
      <w:divBdr>
        <w:top w:val="none" w:sz="0" w:space="0" w:color="auto"/>
        <w:left w:val="none" w:sz="0" w:space="0" w:color="auto"/>
        <w:bottom w:val="none" w:sz="0" w:space="0" w:color="auto"/>
        <w:right w:val="none" w:sz="0" w:space="0" w:color="auto"/>
      </w:divBdr>
    </w:div>
    <w:div w:id="937367076">
      <w:bodyDiv w:val="1"/>
      <w:marLeft w:val="0"/>
      <w:marRight w:val="0"/>
      <w:marTop w:val="0"/>
      <w:marBottom w:val="0"/>
      <w:divBdr>
        <w:top w:val="none" w:sz="0" w:space="0" w:color="auto"/>
        <w:left w:val="none" w:sz="0" w:space="0" w:color="auto"/>
        <w:bottom w:val="none" w:sz="0" w:space="0" w:color="auto"/>
        <w:right w:val="none" w:sz="0" w:space="0" w:color="auto"/>
      </w:divBdr>
    </w:div>
    <w:div w:id="937636483">
      <w:bodyDiv w:val="1"/>
      <w:marLeft w:val="0"/>
      <w:marRight w:val="0"/>
      <w:marTop w:val="0"/>
      <w:marBottom w:val="0"/>
      <w:divBdr>
        <w:top w:val="none" w:sz="0" w:space="0" w:color="auto"/>
        <w:left w:val="none" w:sz="0" w:space="0" w:color="auto"/>
        <w:bottom w:val="none" w:sz="0" w:space="0" w:color="auto"/>
        <w:right w:val="none" w:sz="0" w:space="0" w:color="auto"/>
      </w:divBdr>
    </w:div>
    <w:div w:id="937755395">
      <w:bodyDiv w:val="1"/>
      <w:marLeft w:val="0"/>
      <w:marRight w:val="0"/>
      <w:marTop w:val="0"/>
      <w:marBottom w:val="0"/>
      <w:divBdr>
        <w:top w:val="none" w:sz="0" w:space="0" w:color="auto"/>
        <w:left w:val="none" w:sz="0" w:space="0" w:color="auto"/>
        <w:bottom w:val="none" w:sz="0" w:space="0" w:color="auto"/>
        <w:right w:val="none" w:sz="0" w:space="0" w:color="auto"/>
      </w:divBdr>
    </w:div>
    <w:div w:id="937836273">
      <w:bodyDiv w:val="1"/>
      <w:marLeft w:val="0"/>
      <w:marRight w:val="0"/>
      <w:marTop w:val="0"/>
      <w:marBottom w:val="0"/>
      <w:divBdr>
        <w:top w:val="none" w:sz="0" w:space="0" w:color="auto"/>
        <w:left w:val="none" w:sz="0" w:space="0" w:color="auto"/>
        <w:bottom w:val="none" w:sz="0" w:space="0" w:color="auto"/>
        <w:right w:val="none" w:sz="0" w:space="0" w:color="auto"/>
      </w:divBdr>
    </w:div>
    <w:div w:id="938106279">
      <w:bodyDiv w:val="1"/>
      <w:marLeft w:val="0"/>
      <w:marRight w:val="0"/>
      <w:marTop w:val="0"/>
      <w:marBottom w:val="0"/>
      <w:divBdr>
        <w:top w:val="none" w:sz="0" w:space="0" w:color="auto"/>
        <w:left w:val="none" w:sz="0" w:space="0" w:color="auto"/>
        <w:bottom w:val="none" w:sz="0" w:space="0" w:color="auto"/>
        <w:right w:val="none" w:sz="0" w:space="0" w:color="auto"/>
      </w:divBdr>
    </w:div>
    <w:div w:id="938176076">
      <w:bodyDiv w:val="1"/>
      <w:marLeft w:val="0"/>
      <w:marRight w:val="0"/>
      <w:marTop w:val="0"/>
      <w:marBottom w:val="0"/>
      <w:divBdr>
        <w:top w:val="none" w:sz="0" w:space="0" w:color="auto"/>
        <w:left w:val="none" w:sz="0" w:space="0" w:color="auto"/>
        <w:bottom w:val="none" w:sz="0" w:space="0" w:color="auto"/>
        <w:right w:val="none" w:sz="0" w:space="0" w:color="auto"/>
      </w:divBdr>
    </w:div>
    <w:div w:id="938292506">
      <w:bodyDiv w:val="1"/>
      <w:marLeft w:val="0"/>
      <w:marRight w:val="0"/>
      <w:marTop w:val="0"/>
      <w:marBottom w:val="0"/>
      <w:divBdr>
        <w:top w:val="none" w:sz="0" w:space="0" w:color="auto"/>
        <w:left w:val="none" w:sz="0" w:space="0" w:color="auto"/>
        <w:bottom w:val="none" w:sz="0" w:space="0" w:color="auto"/>
        <w:right w:val="none" w:sz="0" w:space="0" w:color="auto"/>
      </w:divBdr>
    </w:div>
    <w:div w:id="938559834">
      <w:bodyDiv w:val="1"/>
      <w:marLeft w:val="0"/>
      <w:marRight w:val="0"/>
      <w:marTop w:val="0"/>
      <w:marBottom w:val="0"/>
      <w:divBdr>
        <w:top w:val="none" w:sz="0" w:space="0" w:color="auto"/>
        <w:left w:val="none" w:sz="0" w:space="0" w:color="auto"/>
        <w:bottom w:val="none" w:sz="0" w:space="0" w:color="auto"/>
        <w:right w:val="none" w:sz="0" w:space="0" w:color="auto"/>
      </w:divBdr>
    </w:div>
    <w:div w:id="938562333">
      <w:bodyDiv w:val="1"/>
      <w:marLeft w:val="0"/>
      <w:marRight w:val="0"/>
      <w:marTop w:val="0"/>
      <w:marBottom w:val="0"/>
      <w:divBdr>
        <w:top w:val="none" w:sz="0" w:space="0" w:color="auto"/>
        <w:left w:val="none" w:sz="0" w:space="0" w:color="auto"/>
        <w:bottom w:val="none" w:sz="0" w:space="0" w:color="auto"/>
        <w:right w:val="none" w:sz="0" w:space="0" w:color="auto"/>
      </w:divBdr>
    </w:div>
    <w:div w:id="938831788">
      <w:bodyDiv w:val="1"/>
      <w:marLeft w:val="0"/>
      <w:marRight w:val="0"/>
      <w:marTop w:val="0"/>
      <w:marBottom w:val="0"/>
      <w:divBdr>
        <w:top w:val="none" w:sz="0" w:space="0" w:color="auto"/>
        <w:left w:val="none" w:sz="0" w:space="0" w:color="auto"/>
        <w:bottom w:val="none" w:sz="0" w:space="0" w:color="auto"/>
        <w:right w:val="none" w:sz="0" w:space="0" w:color="auto"/>
      </w:divBdr>
    </w:div>
    <w:div w:id="939069039">
      <w:bodyDiv w:val="1"/>
      <w:marLeft w:val="0"/>
      <w:marRight w:val="0"/>
      <w:marTop w:val="0"/>
      <w:marBottom w:val="0"/>
      <w:divBdr>
        <w:top w:val="none" w:sz="0" w:space="0" w:color="auto"/>
        <w:left w:val="none" w:sz="0" w:space="0" w:color="auto"/>
        <w:bottom w:val="none" w:sz="0" w:space="0" w:color="auto"/>
        <w:right w:val="none" w:sz="0" w:space="0" w:color="auto"/>
      </w:divBdr>
    </w:div>
    <w:div w:id="939340166">
      <w:bodyDiv w:val="1"/>
      <w:marLeft w:val="0"/>
      <w:marRight w:val="0"/>
      <w:marTop w:val="0"/>
      <w:marBottom w:val="0"/>
      <w:divBdr>
        <w:top w:val="none" w:sz="0" w:space="0" w:color="auto"/>
        <w:left w:val="none" w:sz="0" w:space="0" w:color="auto"/>
        <w:bottom w:val="none" w:sz="0" w:space="0" w:color="auto"/>
        <w:right w:val="none" w:sz="0" w:space="0" w:color="auto"/>
      </w:divBdr>
    </w:div>
    <w:div w:id="939340250">
      <w:bodyDiv w:val="1"/>
      <w:marLeft w:val="0"/>
      <w:marRight w:val="0"/>
      <w:marTop w:val="0"/>
      <w:marBottom w:val="0"/>
      <w:divBdr>
        <w:top w:val="none" w:sz="0" w:space="0" w:color="auto"/>
        <w:left w:val="none" w:sz="0" w:space="0" w:color="auto"/>
        <w:bottom w:val="none" w:sz="0" w:space="0" w:color="auto"/>
        <w:right w:val="none" w:sz="0" w:space="0" w:color="auto"/>
      </w:divBdr>
    </w:div>
    <w:div w:id="939408694">
      <w:bodyDiv w:val="1"/>
      <w:marLeft w:val="0"/>
      <w:marRight w:val="0"/>
      <w:marTop w:val="0"/>
      <w:marBottom w:val="0"/>
      <w:divBdr>
        <w:top w:val="none" w:sz="0" w:space="0" w:color="auto"/>
        <w:left w:val="none" w:sz="0" w:space="0" w:color="auto"/>
        <w:bottom w:val="none" w:sz="0" w:space="0" w:color="auto"/>
        <w:right w:val="none" w:sz="0" w:space="0" w:color="auto"/>
      </w:divBdr>
    </w:div>
    <w:div w:id="939532647">
      <w:bodyDiv w:val="1"/>
      <w:marLeft w:val="0"/>
      <w:marRight w:val="0"/>
      <w:marTop w:val="0"/>
      <w:marBottom w:val="0"/>
      <w:divBdr>
        <w:top w:val="none" w:sz="0" w:space="0" w:color="auto"/>
        <w:left w:val="none" w:sz="0" w:space="0" w:color="auto"/>
        <w:bottom w:val="none" w:sz="0" w:space="0" w:color="auto"/>
        <w:right w:val="none" w:sz="0" w:space="0" w:color="auto"/>
      </w:divBdr>
    </w:div>
    <w:div w:id="939796168">
      <w:bodyDiv w:val="1"/>
      <w:marLeft w:val="0"/>
      <w:marRight w:val="0"/>
      <w:marTop w:val="0"/>
      <w:marBottom w:val="0"/>
      <w:divBdr>
        <w:top w:val="none" w:sz="0" w:space="0" w:color="auto"/>
        <w:left w:val="none" w:sz="0" w:space="0" w:color="auto"/>
        <w:bottom w:val="none" w:sz="0" w:space="0" w:color="auto"/>
        <w:right w:val="none" w:sz="0" w:space="0" w:color="auto"/>
      </w:divBdr>
    </w:div>
    <w:div w:id="939874014">
      <w:bodyDiv w:val="1"/>
      <w:marLeft w:val="0"/>
      <w:marRight w:val="0"/>
      <w:marTop w:val="0"/>
      <w:marBottom w:val="0"/>
      <w:divBdr>
        <w:top w:val="none" w:sz="0" w:space="0" w:color="auto"/>
        <w:left w:val="none" w:sz="0" w:space="0" w:color="auto"/>
        <w:bottom w:val="none" w:sz="0" w:space="0" w:color="auto"/>
        <w:right w:val="none" w:sz="0" w:space="0" w:color="auto"/>
      </w:divBdr>
    </w:div>
    <w:div w:id="940067399">
      <w:bodyDiv w:val="1"/>
      <w:marLeft w:val="0"/>
      <w:marRight w:val="0"/>
      <w:marTop w:val="0"/>
      <w:marBottom w:val="0"/>
      <w:divBdr>
        <w:top w:val="none" w:sz="0" w:space="0" w:color="auto"/>
        <w:left w:val="none" w:sz="0" w:space="0" w:color="auto"/>
        <w:bottom w:val="none" w:sz="0" w:space="0" w:color="auto"/>
        <w:right w:val="none" w:sz="0" w:space="0" w:color="auto"/>
      </w:divBdr>
    </w:div>
    <w:div w:id="940188222">
      <w:bodyDiv w:val="1"/>
      <w:marLeft w:val="0"/>
      <w:marRight w:val="0"/>
      <w:marTop w:val="0"/>
      <w:marBottom w:val="0"/>
      <w:divBdr>
        <w:top w:val="none" w:sz="0" w:space="0" w:color="auto"/>
        <w:left w:val="none" w:sz="0" w:space="0" w:color="auto"/>
        <w:bottom w:val="none" w:sz="0" w:space="0" w:color="auto"/>
        <w:right w:val="none" w:sz="0" w:space="0" w:color="auto"/>
      </w:divBdr>
    </w:div>
    <w:div w:id="940256915">
      <w:bodyDiv w:val="1"/>
      <w:marLeft w:val="0"/>
      <w:marRight w:val="0"/>
      <w:marTop w:val="0"/>
      <w:marBottom w:val="0"/>
      <w:divBdr>
        <w:top w:val="none" w:sz="0" w:space="0" w:color="auto"/>
        <w:left w:val="none" w:sz="0" w:space="0" w:color="auto"/>
        <w:bottom w:val="none" w:sz="0" w:space="0" w:color="auto"/>
        <w:right w:val="none" w:sz="0" w:space="0" w:color="auto"/>
      </w:divBdr>
    </w:div>
    <w:div w:id="940531579">
      <w:bodyDiv w:val="1"/>
      <w:marLeft w:val="0"/>
      <w:marRight w:val="0"/>
      <w:marTop w:val="0"/>
      <w:marBottom w:val="0"/>
      <w:divBdr>
        <w:top w:val="none" w:sz="0" w:space="0" w:color="auto"/>
        <w:left w:val="none" w:sz="0" w:space="0" w:color="auto"/>
        <w:bottom w:val="none" w:sz="0" w:space="0" w:color="auto"/>
        <w:right w:val="none" w:sz="0" w:space="0" w:color="auto"/>
      </w:divBdr>
    </w:div>
    <w:div w:id="940531982">
      <w:bodyDiv w:val="1"/>
      <w:marLeft w:val="0"/>
      <w:marRight w:val="0"/>
      <w:marTop w:val="0"/>
      <w:marBottom w:val="0"/>
      <w:divBdr>
        <w:top w:val="none" w:sz="0" w:space="0" w:color="auto"/>
        <w:left w:val="none" w:sz="0" w:space="0" w:color="auto"/>
        <w:bottom w:val="none" w:sz="0" w:space="0" w:color="auto"/>
        <w:right w:val="none" w:sz="0" w:space="0" w:color="auto"/>
      </w:divBdr>
    </w:div>
    <w:div w:id="940533269">
      <w:bodyDiv w:val="1"/>
      <w:marLeft w:val="0"/>
      <w:marRight w:val="0"/>
      <w:marTop w:val="0"/>
      <w:marBottom w:val="0"/>
      <w:divBdr>
        <w:top w:val="none" w:sz="0" w:space="0" w:color="auto"/>
        <w:left w:val="none" w:sz="0" w:space="0" w:color="auto"/>
        <w:bottom w:val="none" w:sz="0" w:space="0" w:color="auto"/>
        <w:right w:val="none" w:sz="0" w:space="0" w:color="auto"/>
      </w:divBdr>
    </w:div>
    <w:div w:id="940650210">
      <w:bodyDiv w:val="1"/>
      <w:marLeft w:val="0"/>
      <w:marRight w:val="0"/>
      <w:marTop w:val="0"/>
      <w:marBottom w:val="0"/>
      <w:divBdr>
        <w:top w:val="none" w:sz="0" w:space="0" w:color="auto"/>
        <w:left w:val="none" w:sz="0" w:space="0" w:color="auto"/>
        <w:bottom w:val="none" w:sz="0" w:space="0" w:color="auto"/>
        <w:right w:val="none" w:sz="0" w:space="0" w:color="auto"/>
      </w:divBdr>
    </w:div>
    <w:div w:id="940796881">
      <w:bodyDiv w:val="1"/>
      <w:marLeft w:val="0"/>
      <w:marRight w:val="0"/>
      <w:marTop w:val="0"/>
      <w:marBottom w:val="0"/>
      <w:divBdr>
        <w:top w:val="none" w:sz="0" w:space="0" w:color="auto"/>
        <w:left w:val="none" w:sz="0" w:space="0" w:color="auto"/>
        <w:bottom w:val="none" w:sz="0" w:space="0" w:color="auto"/>
        <w:right w:val="none" w:sz="0" w:space="0" w:color="auto"/>
      </w:divBdr>
    </w:div>
    <w:div w:id="940841106">
      <w:bodyDiv w:val="1"/>
      <w:marLeft w:val="0"/>
      <w:marRight w:val="0"/>
      <w:marTop w:val="0"/>
      <w:marBottom w:val="0"/>
      <w:divBdr>
        <w:top w:val="none" w:sz="0" w:space="0" w:color="auto"/>
        <w:left w:val="none" w:sz="0" w:space="0" w:color="auto"/>
        <w:bottom w:val="none" w:sz="0" w:space="0" w:color="auto"/>
        <w:right w:val="none" w:sz="0" w:space="0" w:color="auto"/>
      </w:divBdr>
    </w:div>
    <w:div w:id="940991665">
      <w:bodyDiv w:val="1"/>
      <w:marLeft w:val="0"/>
      <w:marRight w:val="0"/>
      <w:marTop w:val="0"/>
      <w:marBottom w:val="0"/>
      <w:divBdr>
        <w:top w:val="none" w:sz="0" w:space="0" w:color="auto"/>
        <w:left w:val="none" w:sz="0" w:space="0" w:color="auto"/>
        <w:bottom w:val="none" w:sz="0" w:space="0" w:color="auto"/>
        <w:right w:val="none" w:sz="0" w:space="0" w:color="auto"/>
      </w:divBdr>
    </w:div>
    <w:div w:id="941107652">
      <w:bodyDiv w:val="1"/>
      <w:marLeft w:val="0"/>
      <w:marRight w:val="0"/>
      <w:marTop w:val="0"/>
      <w:marBottom w:val="0"/>
      <w:divBdr>
        <w:top w:val="none" w:sz="0" w:space="0" w:color="auto"/>
        <w:left w:val="none" w:sz="0" w:space="0" w:color="auto"/>
        <w:bottom w:val="none" w:sz="0" w:space="0" w:color="auto"/>
        <w:right w:val="none" w:sz="0" w:space="0" w:color="auto"/>
      </w:divBdr>
    </w:div>
    <w:div w:id="941231822">
      <w:bodyDiv w:val="1"/>
      <w:marLeft w:val="0"/>
      <w:marRight w:val="0"/>
      <w:marTop w:val="0"/>
      <w:marBottom w:val="0"/>
      <w:divBdr>
        <w:top w:val="none" w:sz="0" w:space="0" w:color="auto"/>
        <w:left w:val="none" w:sz="0" w:space="0" w:color="auto"/>
        <w:bottom w:val="none" w:sz="0" w:space="0" w:color="auto"/>
        <w:right w:val="none" w:sz="0" w:space="0" w:color="auto"/>
      </w:divBdr>
    </w:div>
    <w:div w:id="941258156">
      <w:bodyDiv w:val="1"/>
      <w:marLeft w:val="0"/>
      <w:marRight w:val="0"/>
      <w:marTop w:val="0"/>
      <w:marBottom w:val="0"/>
      <w:divBdr>
        <w:top w:val="none" w:sz="0" w:space="0" w:color="auto"/>
        <w:left w:val="none" w:sz="0" w:space="0" w:color="auto"/>
        <w:bottom w:val="none" w:sz="0" w:space="0" w:color="auto"/>
        <w:right w:val="none" w:sz="0" w:space="0" w:color="auto"/>
      </w:divBdr>
    </w:div>
    <w:div w:id="941300015">
      <w:bodyDiv w:val="1"/>
      <w:marLeft w:val="0"/>
      <w:marRight w:val="0"/>
      <w:marTop w:val="0"/>
      <w:marBottom w:val="0"/>
      <w:divBdr>
        <w:top w:val="none" w:sz="0" w:space="0" w:color="auto"/>
        <w:left w:val="none" w:sz="0" w:space="0" w:color="auto"/>
        <w:bottom w:val="none" w:sz="0" w:space="0" w:color="auto"/>
        <w:right w:val="none" w:sz="0" w:space="0" w:color="auto"/>
      </w:divBdr>
    </w:div>
    <w:div w:id="941302093">
      <w:bodyDiv w:val="1"/>
      <w:marLeft w:val="0"/>
      <w:marRight w:val="0"/>
      <w:marTop w:val="0"/>
      <w:marBottom w:val="0"/>
      <w:divBdr>
        <w:top w:val="none" w:sz="0" w:space="0" w:color="auto"/>
        <w:left w:val="none" w:sz="0" w:space="0" w:color="auto"/>
        <w:bottom w:val="none" w:sz="0" w:space="0" w:color="auto"/>
        <w:right w:val="none" w:sz="0" w:space="0" w:color="auto"/>
      </w:divBdr>
    </w:div>
    <w:div w:id="941451852">
      <w:bodyDiv w:val="1"/>
      <w:marLeft w:val="0"/>
      <w:marRight w:val="0"/>
      <w:marTop w:val="0"/>
      <w:marBottom w:val="0"/>
      <w:divBdr>
        <w:top w:val="none" w:sz="0" w:space="0" w:color="auto"/>
        <w:left w:val="none" w:sz="0" w:space="0" w:color="auto"/>
        <w:bottom w:val="none" w:sz="0" w:space="0" w:color="auto"/>
        <w:right w:val="none" w:sz="0" w:space="0" w:color="auto"/>
      </w:divBdr>
    </w:div>
    <w:div w:id="941490927">
      <w:bodyDiv w:val="1"/>
      <w:marLeft w:val="0"/>
      <w:marRight w:val="0"/>
      <w:marTop w:val="0"/>
      <w:marBottom w:val="0"/>
      <w:divBdr>
        <w:top w:val="none" w:sz="0" w:space="0" w:color="auto"/>
        <w:left w:val="none" w:sz="0" w:space="0" w:color="auto"/>
        <w:bottom w:val="none" w:sz="0" w:space="0" w:color="auto"/>
        <w:right w:val="none" w:sz="0" w:space="0" w:color="auto"/>
      </w:divBdr>
    </w:div>
    <w:div w:id="941491633">
      <w:bodyDiv w:val="1"/>
      <w:marLeft w:val="0"/>
      <w:marRight w:val="0"/>
      <w:marTop w:val="0"/>
      <w:marBottom w:val="0"/>
      <w:divBdr>
        <w:top w:val="none" w:sz="0" w:space="0" w:color="auto"/>
        <w:left w:val="none" w:sz="0" w:space="0" w:color="auto"/>
        <w:bottom w:val="none" w:sz="0" w:space="0" w:color="auto"/>
        <w:right w:val="none" w:sz="0" w:space="0" w:color="auto"/>
      </w:divBdr>
    </w:div>
    <w:div w:id="941491731">
      <w:bodyDiv w:val="1"/>
      <w:marLeft w:val="0"/>
      <w:marRight w:val="0"/>
      <w:marTop w:val="0"/>
      <w:marBottom w:val="0"/>
      <w:divBdr>
        <w:top w:val="none" w:sz="0" w:space="0" w:color="auto"/>
        <w:left w:val="none" w:sz="0" w:space="0" w:color="auto"/>
        <w:bottom w:val="none" w:sz="0" w:space="0" w:color="auto"/>
        <w:right w:val="none" w:sz="0" w:space="0" w:color="auto"/>
      </w:divBdr>
    </w:div>
    <w:div w:id="941498776">
      <w:bodyDiv w:val="1"/>
      <w:marLeft w:val="0"/>
      <w:marRight w:val="0"/>
      <w:marTop w:val="0"/>
      <w:marBottom w:val="0"/>
      <w:divBdr>
        <w:top w:val="none" w:sz="0" w:space="0" w:color="auto"/>
        <w:left w:val="none" w:sz="0" w:space="0" w:color="auto"/>
        <w:bottom w:val="none" w:sz="0" w:space="0" w:color="auto"/>
        <w:right w:val="none" w:sz="0" w:space="0" w:color="auto"/>
      </w:divBdr>
    </w:div>
    <w:div w:id="941568815">
      <w:bodyDiv w:val="1"/>
      <w:marLeft w:val="0"/>
      <w:marRight w:val="0"/>
      <w:marTop w:val="0"/>
      <w:marBottom w:val="0"/>
      <w:divBdr>
        <w:top w:val="none" w:sz="0" w:space="0" w:color="auto"/>
        <w:left w:val="none" w:sz="0" w:space="0" w:color="auto"/>
        <w:bottom w:val="none" w:sz="0" w:space="0" w:color="auto"/>
        <w:right w:val="none" w:sz="0" w:space="0" w:color="auto"/>
      </w:divBdr>
    </w:div>
    <w:div w:id="941693534">
      <w:bodyDiv w:val="1"/>
      <w:marLeft w:val="0"/>
      <w:marRight w:val="0"/>
      <w:marTop w:val="0"/>
      <w:marBottom w:val="0"/>
      <w:divBdr>
        <w:top w:val="none" w:sz="0" w:space="0" w:color="auto"/>
        <w:left w:val="none" w:sz="0" w:space="0" w:color="auto"/>
        <w:bottom w:val="none" w:sz="0" w:space="0" w:color="auto"/>
        <w:right w:val="none" w:sz="0" w:space="0" w:color="auto"/>
      </w:divBdr>
    </w:div>
    <w:div w:id="941760668">
      <w:bodyDiv w:val="1"/>
      <w:marLeft w:val="0"/>
      <w:marRight w:val="0"/>
      <w:marTop w:val="0"/>
      <w:marBottom w:val="0"/>
      <w:divBdr>
        <w:top w:val="none" w:sz="0" w:space="0" w:color="auto"/>
        <w:left w:val="none" w:sz="0" w:space="0" w:color="auto"/>
        <w:bottom w:val="none" w:sz="0" w:space="0" w:color="auto"/>
        <w:right w:val="none" w:sz="0" w:space="0" w:color="auto"/>
      </w:divBdr>
    </w:div>
    <w:div w:id="941766384">
      <w:bodyDiv w:val="1"/>
      <w:marLeft w:val="0"/>
      <w:marRight w:val="0"/>
      <w:marTop w:val="0"/>
      <w:marBottom w:val="0"/>
      <w:divBdr>
        <w:top w:val="none" w:sz="0" w:space="0" w:color="auto"/>
        <w:left w:val="none" w:sz="0" w:space="0" w:color="auto"/>
        <w:bottom w:val="none" w:sz="0" w:space="0" w:color="auto"/>
        <w:right w:val="none" w:sz="0" w:space="0" w:color="auto"/>
      </w:divBdr>
    </w:div>
    <w:div w:id="941844208">
      <w:bodyDiv w:val="1"/>
      <w:marLeft w:val="0"/>
      <w:marRight w:val="0"/>
      <w:marTop w:val="0"/>
      <w:marBottom w:val="0"/>
      <w:divBdr>
        <w:top w:val="none" w:sz="0" w:space="0" w:color="auto"/>
        <w:left w:val="none" w:sz="0" w:space="0" w:color="auto"/>
        <w:bottom w:val="none" w:sz="0" w:space="0" w:color="auto"/>
        <w:right w:val="none" w:sz="0" w:space="0" w:color="auto"/>
      </w:divBdr>
    </w:div>
    <w:div w:id="941887267">
      <w:bodyDiv w:val="1"/>
      <w:marLeft w:val="0"/>
      <w:marRight w:val="0"/>
      <w:marTop w:val="0"/>
      <w:marBottom w:val="0"/>
      <w:divBdr>
        <w:top w:val="none" w:sz="0" w:space="0" w:color="auto"/>
        <w:left w:val="none" w:sz="0" w:space="0" w:color="auto"/>
        <w:bottom w:val="none" w:sz="0" w:space="0" w:color="auto"/>
        <w:right w:val="none" w:sz="0" w:space="0" w:color="auto"/>
      </w:divBdr>
    </w:div>
    <w:div w:id="942104174">
      <w:bodyDiv w:val="1"/>
      <w:marLeft w:val="0"/>
      <w:marRight w:val="0"/>
      <w:marTop w:val="0"/>
      <w:marBottom w:val="0"/>
      <w:divBdr>
        <w:top w:val="none" w:sz="0" w:space="0" w:color="auto"/>
        <w:left w:val="none" w:sz="0" w:space="0" w:color="auto"/>
        <w:bottom w:val="none" w:sz="0" w:space="0" w:color="auto"/>
        <w:right w:val="none" w:sz="0" w:space="0" w:color="auto"/>
      </w:divBdr>
    </w:div>
    <w:div w:id="942108681">
      <w:bodyDiv w:val="1"/>
      <w:marLeft w:val="0"/>
      <w:marRight w:val="0"/>
      <w:marTop w:val="0"/>
      <w:marBottom w:val="0"/>
      <w:divBdr>
        <w:top w:val="none" w:sz="0" w:space="0" w:color="auto"/>
        <w:left w:val="none" w:sz="0" w:space="0" w:color="auto"/>
        <w:bottom w:val="none" w:sz="0" w:space="0" w:color="auto"/>
        <w:right w:val="none" w:sz="0" w:space="0" w:color="auto"/>
      </w:divBdr>
    </w:div>
    <w:div w:id="942151735">
      <w:bodyDiv w:val="1"/>
      <w:marLeft w:val="0"/>
      <w:marRight w:val="0"/>
      <w:marTop w:val="0"/>
      <w:marBottom w:val="0"/>
      <w:divBdr>
        <w:top w:val="none" w:sz="0" w:space="0" w:color="auto"/>
        <w:left w:val="none" w:sz="0" w:space="0" w:color="auto"/>
        <w:bottom w:val="none" w:sz="0" w:space="0" w:color="auto"/>
        <w:right w:val="none" w:sz="0" w:space="0" w:color="auto"/>
      </w:divBdr>
    </w:div>
    <w:div w:id="942346136">
      <w:bodyDiv w:val="1"/>
      <w:marLeft w:val="0"/>
      <w:marRight w:val="0"/>
      <w:marTop w:val="0"/>
      <w:marBottom w:val="0"/>
      <w:divBdr>
        <w:top w:val="none" w:sz="0" w:space="0" w:color="auto"/>
        <w:left w:val="none" w:sz="0" w:space="0" w:color="auto"/>
        <w:bottom w:val="none" w:sz="0" w:space="0" w:color="auto"/>
        <w:right w:val="none" w:sz="0" w:space="0" w:color="auto"/>
      </w:divBdr>
    </w:div>
    <w:div w:id="942420854">
      <w:bodyDiv w:val="1"/>
      <w:marLeft w:val="0"/>
      <w:marRight w:val="0"/>
      <w:marTop w:val="0"/>
      <w:marBottom w:val="0"/>
      <w:divBdr>
        <w:top w:val="none" w:sz="0" w:space="0" w:color="auto"/>
        <w:left w:val="none" w:sz="0" w:space="0" w:color="auto"/>
        <w:bottom w:val="none" w:sz="0" w:space="0" w:color="auto"/>
        <w:right w:val="none" w:sz="0" w:space="0" w:color="auto"/>
      </w:divBdr>
    </w:div>
    <w:div w:id="942570778">
      <w:bodyDiv w:val="1"/>
      <w:marLeft w:val="0"/>
      <w:marRight w:val="0"/>
      <w:marTop w:val="0"/>
      <w:marBottom w:val="0"/>
      <w:divBdr>
        <w:top w:val="none" w:sz="0" w:space="0" w:color="auto"/>
        <w:left w:val="none" w:sz="0" w:space="0" w:color="auto"/>
        <w:bottom w:val="none" w:sz="0" w:space="0" w:color="auto"/>
        <w:right w:val="none" w:sz="0" w:space="0" w:color="auto"/>
      </w:divBdr>
    </w:div>
    <w:div w:id="942877216">
      <w:bodyDiv w:val="1"/>
      <w:marLeft w:val="0"/>
      <w:marRight w:val="0"/>
      <w:marTop w:val="0"/>
      <w:marBottom w:val="0"/>
      <w:divBdr>
        <w:top w:val="none" w:sz="0" w:space="0" w:color="auto"/>
        <w:left w:val="none" w:sz="0" w:space="0" w:color="auto"/>
        <w:bottom w:val="none" w:sz="0" w:space="0" w:color="auto"/>
        <w:right w:val="none" w:sz="0" w:space="0" w:color="auto"/>
      </w:divBdr>
    </w:div>
    <w:div w:id="943341116">
      <w:bodyDiv w:val="1"/>
      <w:marLeft w:val="0"/>
      <w:marRight w:val="0"/>
      <w:marTop w:val="0"/>
      <w:marBottom w:val="0"/>
      <w:divBdr>
        <w:top w:val="none" w:sz="0" w:space="0" w:color="auto"/>
        <w:left w:val="none" w:sz="0" w:space="0" w:color="auto"/>
        <w:bottom w:val="none" w:sz="0" w:space="0" w:color="auto"/>
        <w:right w:val="none" w:sz="0" w:space="0" w:color="auto"/>
      </w:divBdr>
    </w:div>
    <w:div w:id="943341658">
      <w:bodyDiv w:val="1"/>
      <w:marLeft w:val="0"/>
      <w:marRight w:val="0"/>
      <w:marTop w:val="0"/>
      <w:marBottom w:val="0"/>
      <w:divBdr>
        <w:top w:val="none" w:sz="0" w:space="0" w:color="auto"/>
        <w:left w:val="none" w:sz="0" w:space="0" w:color="auto"/>
        <w:bottom w:val="none" w:sz="0" w:space="0" w:color="auto"/>
        <w:right w:val="none" w:sz="0" w:space="0" w:color="auto"/>
      </w:divBdr>
    </w:div>
    <w:div w:id="943416688">
      <w:bodyDiv w:val="1"/>
      <w:marLeft w:val="0"/>
      <w:marRight w:val="0"/>
      <w:marTop w:val="0"/>
      <w:marBottom w:val="0"/>
      <w:divBdr>
        <w:top w:val="none" w:sz="0" w:space="0" w:color="auto"/>
        <w:left w:val="none" w:sz="0" w:space="0" w:color="auto"/>
        <w:bottom w:val="none" w:sz="0" w:space="0" w:color="auto"/>
        <w:right w:val="none" w:sz="0" w:space="0" w:color="auto"/>
      </w:divBdr>
    </w:div>
    <w:div w:id="943539162">
      <w:bodyDiv w:val="1"/>
      <w:marLeft w:val="0"/>
      <w:marRight w:val="0"/>
      <w:marTop w:val="0"/>
      <w:marBottom w:val="0"/>
      <w:divBdr>
        <w:top w:val="none" w:sz="0" w:space="0" w:color="auto"/>
        <w:left w:val="none" w:sz="0" w:space="0" w:color="auto"/>
        <w:bottom w:val="none" w:sz="0" w:space="0" w:color="auto"/>
        <w:right w:val="none" w:sz="0" w:space="0" w:color="auto"/>
      </w:divBdr>
    </w:div>
    <w:div w:id="943541311">
      <w:bodyDiv w:val="1"/>
      <w:marLeft w:val="0"/>
      <w:marRight w:val="0"/>
      <w:marTop w:val="0"/>
      <w:marBottom w:val="0"/>
      <w:divBdr>
        <w:top w:val="none" w:sz="0" w:space="0" w:color="auto"/>
        <w:left w:val="none" w:sz="0" w:space="0" w:color="auto"/>
        <w:bottom w:val="none" w:sz="0" w:space="0" w:color="auto"/>
        <w:right w:val="none" w:sz="0" w:space="0" w:color="auto"/>
      </w:divBdr>
    </w:div>
    <w:div w:id="943653440">
      <w:bodyDiv w:val="1"/>
      <w:marLeft w:val="0"/>
      <w:marRight w:val="0"/>
      <w:marTop w:val="0"/>
      <w:marBottom w:val="0"/>
      <w:divBdr>
        <w:top w:val="none" w:sz="0" w:space="0" w:color="auto"/>
        <w:left w:val="none" w:sz="0" w:space="0" w:color="auto"/>
        <w:bottom w:val="none" w:sz="0" w:space="0" w:color="auto"/>
        <w:right w:val="none" w:sz="0" w:space="0" w:color="auto"/>
      </w:divBdr>
    </w:div>
    <w:div w:id="943851714">
      <w:bodyDiv w:val="1"/>
      <w:marLeft w:val="0"/>
      <w:marRight w:val="0"/>
      <w:marTop w:val="0"/>
      <w:marBottom w:val="0"/>
      <w:divBdr>
        <w:top w:val="none" w:sz="0" w:space="0" w:color="auto"/>
        <w:left w:val="none" w:sz="0" w:space="0" w:color="auto"/>
        <w:bottom w:val="none" w:sz="0" w:space="0" w:color="auto"/>
        <w:right w:val="none" w:sz="0" w:space="0" w:color="auto"/>
      </w:divBdr>
    </w:div>
    <w:div w:id="943881638">
      <w:bodyDiv w:val="1"/>
      <w:marLeft w:val="0"/>
      <w:marRight w:val="0"/>
      <w:marTop w:val="0"/>
      <w:marBottom w:val="0"/>
      <w:divBdr>
        <w:top w:val="none" w:sz="0" w:space="0" w:color="auto"/>
        <w:left w:val="none" w:sz="0" w:space="0" w:color="auto"/>
        <w:bottom w:val="none" w:sz="0" w:space="0" w:color="auto"/>
        <w:right w:val="none" w:sz="0" w:space="0" w:color="auto"/>
      </w:divBdr>
    </w:div>
    <w:div w:id="943994515">
      <w:bodyDiv w:val="1"/>
      <w:marLeft w:val="0"/>
      <w:marRight w:val="0"/>
      <w:marTop w:val="0"/>
      <w:marBottom w:val="0"/>
      <w:divBdr>
        <w:top w:val="none" w:sz="0" w:space="0" w:color="auto"/>
        <w:left w:val="none" w:sz="0" w:space="0" w:color="auto"/>
        <w:bottom w:val="none" w:sz="0" w:space="0" w:color="auto"/>
        <w:right w:val="none" w:sz="0" w:space="0" w:color="auto"/>
      </w:divBdr>
    </w:div>
    <w:div w:id="943999947">
      <w:bodyDiv w:val="1"/>
      <w:marLeft w:val="0"/>
      <w:marRight w:val="0"/>
      <w:marTop w:val="0"/>
      <w:marBottom w:val="0"/>
      <w:divBdr>
        <w:top w:val="none" w:sz="0" w:space="0" w:color="auto"/>
        <w:left w:val="none" w:sz="0" w:space="0" w:color="auto"/>
        <w:bottom w:val="none" w:sz="0" w:space="0" w:color="auto"/>
        <w:right w:val="none" w:sz="0" w:space="0" w:color="auto"/>
      </w:divBdr>
    </w:div>
    <w:div w:id="944069889">
      <w:bodyDiv w:val="1"/>
      <w:marLeft w:val="0"/>
      <w:marRight w:val="0"/>
      <w:marTop w:val="0"/>
      <w:marBottom w:val="0"/>
      <w:divBdr>
        <w:top w:val="none" w:sz="0" w:space="0" w:color="auto"/>
        <w:left w:val="none" w:sz="0" w:space="0" w:color="auto"/>
        <w:bottom w:val="none" w:sz="0" w:space="0" w:color="auto"/>
        <w:right w:val="none" w:sz="0" w:space="0" w:color="auto"/>
      </w:divBdr>
    </w:div>
    <w:div w:id="944072405">
      <w:bodyDiv w:val="1"/>
      <w:marLeft w:val="0"/>
      <w:marRight w:val="0"/>
      <w:marTop w:val="0"/>
      <w:marBottom w:val="0"/>
      <w:divBdr>
        <w:top w:val="none" w:sz="0" w:space="0" w:color="auto"/>
        <w:left w:val="none" w:sz="0" w:space="0" w:color="auto"/>
        <w:bottom w:val="none" w:sz="0" w:space="0" w:color="auto"/>
        <w:right w:val="none" w:sz="0" w:space="0" w:color="auto"/>
      </w:divBdr>
    </w:div>
    <w:div w:id="944077023">
      <w:bodyDiv w:val="1"/>
      <w:marLeft w:val="0"/>
      <w:marRight w:val="0"/>
      <w:marTop w:val="0"/>
      <w:marBottom w:val="0"/>
      <w:divBdr>
        <w:top w:val="none" w:sz="0" w:space="0" w:color="auto"/>
        <w:left w:val="none" w:sz="0" w:space="0" w:color="auto"/>
        <w:bottom w:val="none" w:sz="0" w:space="0" w:color="auto"/>
        <w:right w:val="none" w:sz="0" w:space="0" w:color="auto"/>
      </w:divBdr>
    </w:div>
    <w:div w:id="944113387">
      <w:bodyDiv w:val="1"/>
      <w:marLeft w:val="0"/>
      <w:marRight w:val="0"/>
      <w:marTop w:val="0"/>
      <w:marBottom w:val="0"/>
      <w:divBdr>
        <w:top w:val="none" w:sz="0" w:space="0" w:color="auto"/>
        <w:left w:val="none" w:sz="0" w:space="0" w:color="auto"/>
        <w:bottom w:val="none" w:sz="0" w:space="0" w:color="auto"/>
        <w:right w:val="none" w:sz="0" w:space="0" w:color="auto"/>
      </w:divBdr>
    </w:div>
    <w:div w:id="944264317">
      <w:bodyDiv w:val="1"/>
      <w:marLeft w:val="0"/>
      <w:marRight w:val="0"/>
      <w:marTop w:val="0"/>
      <w:marBottom w:val="0"/>
      <w:divBdr>
        <w:top w:val="none" w:sz="0" w:space="0" w:color="auto"/>
        <w:left w:val="none" w:sz="0" w:space="0" w:color="auto"/>
        <w:bottom w:val="none" w:sz="0" w:space="0" w:color="auto"/>
        <w:right w:val="none" w:sz="0" w:space="0" w:color="auto"/>
      </w:divBdr>
    </w:div>
    <w:div w:id="944270584">
      <w:bodyDiv w:val="1"/>
      <w:marLeft w:val="0"/>
      <w:marRight w:val="0"/>
      <w:marTop w:val="0"/>
      <w:marBottom w:val="0"/>
      <w:divBdr>
        <w:top w:val="none" w:sz="0" w:space="0" w:color="auto"/>
        <w:left w:val="none" w:sz="0" w:space="0" w:color="auto"/>
        <w:bottom w:val="none" w:sz="0" w:space="0" w:color="auto"/>
        <w:right w:val="none" w:sz="0" w:space="0" w:color="auto"/>
      </w:divBdr>
    </w:div>
    <w:div w:id="944314621">
      <w:bodyDiv w:val="1"/>
      <w:marLeft w:val="0"/>
      <w:marRight w:val="0"/>
      <w:marTop w:val="0"/>
      <w:marBottom w:val="0"/>
      <w:divBdr>
        <w:top w:val="none" w:sz="0" w:space="0" w:color="auto"/>
        <w:left w:val="none" w:sz="0" w:space="0" w:color="auto"/>
        <w:bottom w:val="none" w:sz="0" w:space="0" w:color="auto"/>
        <w:right w:val="none" w:sz="0" w:space="0" w:color="auto"/>
      </w:divBdr>
    </w:div>
    <w:div w:id="944535164">
      <w:bodyDiv w:val="1"/>
      <w:marLeft w:val="0"/>
      <w:marRight w:val="0"/>
      <w:marTop w:val="0"/>
      <w:marBottom w:val="0"/>
      <w:divBdr>
        <w:top w:val="none" w:sz="0" w:space="0" w:color="auto"/>
        <w:left w:val="none" w:sz="0" w:space="0" w:color="auto"/>
        <w:bottom w:val="none" w:sz="0" w:space="0" w:color="auto"/>
        <w:right w:val="none" w:sz="0" w:space="0" w:color="auto"/>
      </w:divBdr>
    </w:div>
    <w:div w:id="944725450">
      <w:bodyDiv w:val="1"/>
      <w:marLeft w:val="0"/>
      <w:marRight w:val="0"/>
      <w:marTop w:val="0"/>
      <w:marBottom w:val="0"/>
      <w:divBdr>
        <w:top w:val="none" w:sz="0" w:space="0" w:color="auto"/>
        <w:left w:val="none" w:sz="0" w:space="0" w:color="auto"/>
        <w:bottom w:val="none" w:sz="0" w:space="0" w:color="auto"/>
        <w:right w:val="none" w:sz="0" w:space="0" w:color="auto"/>
      </w:divBdr>
    </w:div>
    <w:div w:id="944924468">
      <w:bodyDiv w:val="1"/>
      <w:marLeft w:val="0"/>
      <w:marRight w:val="0"/>
      <w:marTop w:val="0"/>
      <w:marBottom w:val="0"/>
      <w:divBdr>
        <w:top w:val="none" w:sz="0" w:space="0" w:color="auto"/>
        <w:left w:val="none" w:sz="0" w:space="0" w:color="auto"/>
        <w:bottom w:val="none" w:sz="0" w:space="0" w:color="auto"/>
        <w:right w:val="none" w:sz="0" w:space="0" w:color="auto"/>
      </w:divBdr>
    </w:div>
    <w:div w:id="944996021">
      <w:bodyDiv w:val="1"/>
      <w:marLeft w:val="0"/>
      <w:marRight w:val="0"/>
      <w:marTop w:val="0"/>
      <w:marBottom w:val="0"/>
      <w:divBdr>
        <w:top w:val="none" w:sz="0" w:space="0" w:color="auto"/>
        <w:left w:val="none" w:sz="0" w:space="0" w:color="auto"/>
        <w:bottom w:val="none" w:sz="0" w:space="0" w:color="auto"/>
        <w:right w:val="none" w:sz="0" w:space="0" w:color="auto"/>
      </w:divBdr>
    </w:div>
    <w:div w:id="945112782">
      <w:bodyDiv w:val="1"/>
      <w:marLeft w:val="0"/>
      <w:marRight w:val="0"/>
      <w:marTop w:val="0"/>
      <w:marBottom w:val="0"/>
      <w:divBdr>
        <w:top w:val="none" w:sz="0" w:space="0" w:color="auto"/>
        <w:left w:val="none" w:sz="0" w:space="0" w:color="auto"/>
        <w:bottom w:val="none" w:sz="0" w:space="0" w:color="auto"/>
        <w:right w:val="none" w:sz="0" w:space="0" w:color="auto"/>
      </w:divBdr>
    </w:div>
    <w:div w:id="945234636">
      <w:bodyDiv w:val="1"/>
      <w:marLeft w:val="0"/>
      <w:marRight w:val="0"/>
      <w:marTop w:val="0"/>
      <w:marBottom w:val="0"/>
      <w:divBdr>
        <w:top w:val="none" w:sz="0" w:space="0" w:color="auto"/>
        <w:left w:val="none" w:sz="0" w:space="0" w:color="auto"/>
        <w:bottom w:val="none" w:sz="0" w:space="0" w:color="auto"/>
        <w:right w:val="none" w:sz="0" w:space="0" w:color="auto"/>
      </w:divBdr>
    </w:div>
    <w:div w:id="945236385">
      <w:bodyDiv w:val="1"/>
      <w:marLeft w:val="0"/>
      <w:marRight w:val="0"/>
      <w:marTop w:val="0"/>
      <w:marBottom w:val="0"/>
      <w:divBdr>
        <w:top w:val="none" w:sz="0" w:space="0" w:color="auto"/>
        <w:left w:val="none" w:sz="0" w:space="0" w:color="auto"/>
        <w:bottom w:val="none" w:sz="0" w:space="0" w:color="auto"/>
        <w:right w:val="none" w:sz="0" w:space="0" w:color="auto"/>
      </w:divBdr>
    </w:div>
    <w:div w:id="945310411">
      <w:bodyDiv w:val="1"/>
      <w:marLeft w:val="0"/>
      <w:marRight w:val="0"/>
      <w:marTop w:val="0"/>
      <w:marBottom w:val="0"/>
      <w:divBdr>
        <w:top w:val="none" w:sz="0" w:space="0" w:color="auto"/>
        <w:left w:val="none" w:sz="0" w:space="0" w:color="auto"/>
        <w:bottom w:val="none" w:sz="0" w:space="0" w:color="auto"/>
        <w:right w:val="none" w:sz="0" w:space="0" w:color="auto"/>
      </w:divBdr>
    </w:div>
    <w:div w:id="945382276">
      <w:bodyDiv w:val="1"/>
      <w:marLeft w:val="0"/>
      <w:marRight w:val="0"/>
      <w:marTop w:val="0"/>
      <w:marBottom w:val="0"/>
      <w:divBdr>
        <w:top w:val="none" w:sz="0" w:space="0" w:color="auto"/>
        <w:left w:val="none" w:sz="0" w:space="0" w:color="auto"/>
        <w:bottom w:val="none" w:sz="0" w:space="0" w:color="auto"/>
        <w:right w:val="none" w:sz="0" w:space="0" w:color="auto"/>
      </w:divBdr>
    </w:div>
    <w:div w:id="945502148">
      <w:bodyDiv w:val="1"/>
      <w:marLeft w:val="0"/>
      <w:marRight w:val="0"/>
      <w:marTop w:val="0"/>
      <w:marBottom w:val="0"/>
      <w:divBdr>
        <w:top w:val="none" w:sz="0" w:space="0" w:color="auto"/>
        <w:left w:val="none" w:sz="0" w:space="0" w:color="auto"/>
        <w:bottom w:val="none" w:sz="0" w:space="0" w:color="auto"/>
        <w:right w:val="none" w:sz="0" w:space="0" w:color="auto"/>
      </w:divBdr>
    </w:div>
    <w:div w:id="945507224">
      <w:bodyDiv w:val="1"/>
      <w:marLeft w:val="0"/>
      <w:marRight w:val="0"/>
      <w:marTop w:val="0"/>
      <w:marBottom w:val="0"/>
      <w:divBdr>
        <w:top w:val="none" w:sz="0" w:space="0" w:color="auto"/>
        <w:left w:val="none" w:sz="0" w:space="0" w:color="auto"/>
        <w:bottom w:val="none" w:sz="0" w:space="0" w:color="auto"/>
        <w:right w:val="none" w:sz="0" w:space="0" w:color="auto"/>
      </w:divBdr>
    </w:div>
    <w:div w:id="945579360">
      <w:bodyDiv w:val="1"/>
      <w:marLeft w:val="0"/>
      <w:marRight w:val="0"/>
      <w:marTop w:val="0"/>
      <w:marBottom w:val="0"/>
      <w:divBdr>
        <w:top w:val="none" w:sz="0" w:space="0" w:color="auto"/>
        <w:left w:val="none" w:sz="0" w:space="0" w:color="auto"/>
        <w:bottom w:val="none" w:sz="0" w:space="0" w:color="auto"/>
        <w:right w:val="none" w:sz="0" w:space="0" w:color="auto"/>
      </w:divBdr>
    </w:div>
    <w:div w:id="945769602">
      <w:bodyDiv w:val="1"/>
      <w:marLeft w:val="0"/>
      <w:marRight w:val="0"/>
      <w:marTop w:val="0"/>
      <w:marBottom w:val="0"/>
      <w:divBdr>
        <w:top w:val="none" w:sz="0" w:space="0" w:color="auto"/>
        <w:left w:val="none" w:sz="0" w:space="0" w:color="auto"/>
        <w:bottom w:val="none" w:sz="0" w:space="0" w:color="auto"/>
        <w:right w:val="none" w:sz="0" w:space="0" w:color="auto"/>
      </w:divBdr>
    </w:div>
    <w:div w:id="945968915">
      <w:bodyDiv w:val="1"/>
      <w:marLeft w:val="0"/>
      <w:marRight w:val="0"/>
      <w:marTop w:val="0"/>
      <w:marBottom w:val="0"/>
      <w:divBdr>
        <w:top w:val="none" w:sz="0" w:space="0" w:color="auto"/>
        <w:left w:val="none" w:sz="0" w:space="0" w:color="auto"/>
        <w:bottom w:val="none" w:sz="0" w:space="0" w:color="auto"/>
        <w:right w:val="none" w:sz="0" w:space="0" w:color="auto"/>
      </w:divBdr>
    </w:div>
    <w:div w:id="946279274">
      <w:bodyDiv w:val="1"/>
      <w:marLeft w:val="0"/>
      <w:marRight w:val="0"/>
      <w:marTop w:val="0"/>
      <w:marBottom w:val="0"/>
      <w:divBdr>
        <w:top w:val="none" w:sz="0" w:space="0" w:color="auto"/>
        <w:left w:val="none" w:sz="0" w:space="0" w:color="auto"/>
        <w:bottom w:val="none" w:sz="0" w:space="0" w:color="auto"/>
        <w:right w:val="none" w:sz="0" w:space="0" w:color="auto"/>
      </w:divBdr>
    </w:div>
    <w:div w:id="946348031">
      <w:bodyDiv w:val="1"/>
      <w:marLeft w:val="0"/>
      <w:marRight w:val="0"/>
      <w:marTop w:val="0"/>
      <w:marBottom w:val="0"/>
      <w:divBdr>
        <w:top w:val="none" w:sz="0" w:space="0" w:color="auto"/>
        <w:left w:val="none" w:sz="0" w:space="0" w:color="auto"/>
        <w:bottom w:val="none" w:sz="0" w:space="0" w:color="auto"/>
        <w:right w:val="none" w:sz="0" w:space="0" w:color="auto"/>
      </w:divBdr>
    </w:div>
    <w:div w:id="946422838">
      <w:bodyDiv w:val="1"/>
      <w:marLeft w:val="0"/>
      <w:marRight w:val="0"/>
      <w:marTop w:val="0"/>
      <w:marBottom w:val="0"/>
      <w:divBdr>
        <w:top w:val="none" w:sz="0" w:space="0" w:color="auto"/>
        <w:left w:val="none" w:sz="0" w:space="0" w:color="auto"/>
        <w:bottom w:val="none" w:sz="0" w:space="0" w:color="auto"/>
        <w:right w:val="none" w:sz="0" w:space="0" w:color="auto"/>
      </w:divBdr>
    </w:div>
    <w:div w:id="946498649">
      <w:bodyDiv w:val="1"/>
      <w:marLeft w:val="0"/>
      <w:marRight w:val="0"/>
      <w:marTop w:val="0"/>
      <w:marBottom w:val="0"/>
      <w:divBdr>
        <w:top w:val="none" w:sz="0" w:space="0" w:color="auto"/>
        <w:left w:val="none" w:sz="0" w:space="0" w:color="auto"/>
        <w:bottom w:val="none" w:sz="0" w:space="0" w:color="auto"/>
        <w:right w:val="none" w:sz="0" w:space="0" w:color="auto"/>
      </w:divBdr>
    </w:div>
    <w:div w:id="946809095">
      <w:bodyDiv w:val="1"/>
      <w:marLeft w:val="0"/>
      <w:marRight w:val="0"/>
      <w:marTop w:val="0"/>
      <w:marBottom w:val="0"/>
      <w:divBdr>
        <w:top w:val="none" w:sz="0" w:space="0" w:color="auto"/>
        <w:left w:val="none" w:sz="0" w:space="0" w:color="auto"/>
        <w:bottom w:val="none" w:sz="0" w:space="0" w:color="auto"/>
        <w:right w:val="none" w:sz="0" w:space="0" w:color="auto"/>
      </w:divBdr>
    </w:div>
    <w:div w:id="946960079">
      <w:bodyDiv w:val="1"/>
      <w:marLeft w:val="0"/>
      <w:marRight w:val="0"/>
      <w:marTop w:val="0"/>
      <w:marBottom w:val="0"/>
      <w:divBdr>
        <w:top w:val="none" w:sz="0" w:space="0" w:color="auto"/>
        <w:left w:val="none" w:sz="0" w:space="0" w:color="auto"/>
        <w:bottom w:val="none" w:sz="0" w:space="0" w:color="auto"/>
        <w:right w:val="none" w:sz="0" w:space="0" w:color="auto"/>
      </w:divBdr>
    </w:div>
    <w:div w:id="947200623">
      <w:bodyDiv w:val="1"/>
      <w:marLeft w:val="0"/>
      <w:marRight w:val="0"/>
      <w:marTop w:val="0"/>
      <w:marBottom w:val="0"/>
      <w:divBdr>
        <w:top w:val="none" w:sz="0" w:space="0" w:color="auto"/>
        <w:left w:val="none" w:sz="0" w:space="0" w:color="auto"/>
        <w:bottom w:val="none" w:sz="0" w:space="0" w:color="auto"/>
        <w:right w:val="none" w:sz="0" w:space="0" w:color="auto"/>
      </w:divBdr>
    </w:div>
    <w:div w:id="947273729">
      <w:bodyDiv w:val="1"/>
      <w:marLeft w:val="0"/>
      <w:marRight w:val="0"/>
      <w:marTop w:val="0"/>
      <w:marBottom w:val="0"/>
      <w:divBdr>
        <w:top w:val="none" w:sz="0" w:space="0" w:color="auto"/>
        <w:left w:val="none" w:sz="0" w:space="0" w:color="auto"/>
        <w:bottom w:val="none" w:sz="0" w:space="0" w:color="auto"/>
        <w:right w:val="none" w:sz="0" w:space="0" w:color="auto"/>
      </w:divBdr>
    </w:div>
    <w:div w:id="947345993">
      <w:bodyDiv w:val="1"/>
      <w:marLeft w:val="0"/>
      <w:marRight w:val="0"/>
      <w:marTop w:val="0"/>
      <w:marBottom w:val="0"/>
      <w:divBdr>
        <w:top w:val="none" w:sz="0" w:space="0" w:color="auto"/>
        <w:left w:val="none" w:sz="0" w:space="0" w:color="auto"/>
        <w:bottom w:val="none" w:sz="0" w:space="0" w:color="auto"/>
        <w:right w:val="none" w:sz="0" w:space="0" w:color="auto"/>
      </w:divBdr>
    </w:div>
    <w:div w:id="947390358">
      <w:bodyDiv w:val="1"/>
      <w:marLeft w:val="0"/>
      <w:marRight w:val="0"/>
      <w:marTop w:val="0"/>
      <w:marBottom w:val="0"/>
      <w:divBdr>
        <w:top w:val="none" w:sz="0" w:space="0" w:color="auto"/>
        <w:left w:val="none" w:sz="0" w:space="0" w:color="auto"/>
        <w:bottom w:val="none" w:sz="0" w:space="0" w:color="auto"/>
        <w:right w:val="none" w:sz="0" w:space="0" w:color="auto"/>
      </w:divBdr>
    </w:div>
    <w:div w:id="947541434">
      <w:bodyDiv w:val="1"/>
      <w:marLeft w:val="0"/>
      <w:marRight w:val="0"/>
      <w:marTop w:val="0"/>
      <w:marBottom w:val="0"/>
      <w:divBdr>
        <w:top w:val="none" w:sz="0" w:space="0" w:color="auto"/>
        <w:left w:val="none" w:sz="0" w:space="0" w:color="auto"/>
        <w:bottom w:val="none" w:sz="0" w:space="0" w:color="auto"/>
        <w:right w:val="none" w:sz="0" w:space="0" w:color="auto"/>
      </w:divBdr>
    </w:div>
    <w:div w:id="947617035">
      <w:bodyDiv w:val="1"/>
      <w:marLeft w:val="0"/>
      <w:marRight w:val="0"/>
      <w:marTop w:val="0"/>
      <w:marBottom w:val="0"/>
      <w:divBdr>
        <w:top w:val="none" w:sz="0" w:space="0" w:color="auto"/>
        <w:left w:val="none" w:sz="0" w:space="0" w:color="auto"/>
        <w:bottom w:val="none" w:sz="0" w:space="0" w:color="auto"/>
        <w:right w:val="none" w:sz="0" w:space="0" w:color="auto"/>
      </w:divBdr>
    </w:div>
    <w:div w:id="947617780">
      <w:bodyDiv w:val="1"/>
      <w:marLeft w:val="0"/>
      <w:marRight w:val="0"/>
      <w:marTop w:val="0"/>
      <w:marBottom w:val="0"/>
      <w:divBdr>
        <w:top w:val="none" w:sz="0" w:space="0" w:color="auto"/>
        <w:left w:val="none" w:sz="0" w:space="0" w:color="auto"/>
        <w:bottom w:val="none" w:sz="0" w:space="0" w:color="auto"/>
        <w:right w:val="none" w:sz="0" w:space="0" w:color="auto"/>
      </w:divBdr>
    </w:div>
    <w:div w:id="947931111">
      <w:bodyDiv w:val="1"/>
      <w:marLeft w:val="0"/>
      <w:marRight w:val="0"/>
      <w:marTop w:val="0"/>
      <w:marBottom w:val="0"/>
      <w:divBdr>
        <w:top w:val="none" w:sz="0" w:space="0" w:color="auto"/>
        <w:left w:val="none" w:sz="0" w:space="0" w:color="auto"/>
        <w:bottom w:val="none" w:sz="0" w:space="0" w:color="auto"/>
        <w:right w:val="none" w:sz="0" w:space="0" w:color="auto"/>
      </w:divBdr>
    </w:div>
    <w:div w:id="948001677">
      <w:bodyDiv w:val="1"/>
      <w:marLeft w:val="0"/>
      <w:marRight w:val="0"/>
      <w:marTop w:val="0"/>
      <w:marBottom w:val="0"/>
      <w:divBdr>
        <w:top w:val="none" w:sz="0" w:space="0" w:color="auto"/>
        <w:left w:val="none" w:sz="0" w:space="0" w:color="auto"/>
        <w:bottom w:val="none" w:sz="0" w:space="0" w:color="auto"/>
        <w:right w:val="none" w:sz="0" w:space="0" w:color="auto"/>
      </w:divBdr>
    </w:div>
    <w:div w:id="948319295">
      <w:bodyDiv w:val="1"/>
      <w:marLeft w:val="0"/>
      <w:marRight w:val="0"/>
      <w:marTop w:val="0"/>
      <w:marBottom w:val="0"/>
      <w:divBdr>
        <w:top w:val="none" w:sz="0" w:space="0" w:color="auto"/>
        <w:left w:val="none" w:sz="0" w:space="0" w:color="auto"/>
        <w:bottom w:val="none" w:sz="0" w:space="0" w:color="auto"/>
        <w:right w:val="none" w:sz="0" w:space="0" w:color="auto"/>
      </w:divBdr>
    </w:div>
    <w:div w:id="948397394">
      <w:bodyDiv w:val="1"/>
      <w:marLeft w:val="0"/>
      <w:marRight w:val="0"/>
      <w:marTop w:val="0"/>
      <w:marBottom w:val="0"/>
      <w:divBdr>
        <w:top w:val="none" w:sz="0" w:space="0" w:color="auto"/>
        <w:left w:val="none" w:sz="0" w:space="0" w:color="auto"/>
        <w:bottom w:val="none" w:sz="0" w:space="0" w:color="auto"/>
        <w:right w:val="none" w:sz="0" w:space="0" w:color="auto"/>
      </w:divBdr>
    </w:div>
    <w:div w:id="948469328">
      <w:bodyDiv w:val="1"/>
      <w:marLeft w:val="0"/>
      <w:marRight w:val="0"/>
      <w:marTop w:val="0"/>
      <w:marBottom w:val="0"/>
      <w:divBdr>
        <w:top w:val="none" w:sz="0" w:space="0" w:color="auto"/>
        <w:left w:val="none" w:sz="0" w:space="0" w:color="auto"/>
        <w:bottom w:val="none" w:sz="0" w:space="0" w:color="auto"/>
        <w:right w:val="none" w:sz="0" w:space="0" w:color="auto"/>
      </w:divBdr>
    </w:div>
    <w:div w:id="948663215">
      <w:bodyDiv w:val="1"/>
      <w:marLeft w:val="0"/>
      <w:marRight w:val="0"/>
      <w:marTop w:val="0"/>
      <w:marBottom w:val="0"/>
      <w:divBdr>
        <w:top w:val="none" w:sz="0" w:space="0" w:color="auto"/>
        <w:left w:val="none" w:sz="0" w:space="0" w:color="auto"/>
        <w:bottom w:val="none" w:sz="0" w:space="0" w:color="auto"/>
        <w:right w:val="none" w:sz="0" w:space="0" w:color="auto"/>
      </w:divBdr>
    </w:div>
    <w:div w:id="949163447">
      <w:bodyDiv w:val="1"/>
      <w:marLeft w:val="0"/>
      <w:marRight w:val="0"/>
      <w:marTop w:val="0"/>
      <w:marBottom w:val="0"/>
      <w:divBdr>
        <w:top w:val="none" w:sz="0" w:space="0" w:color="auto"/>
        <w:left w:val="none" w:sz="0" w:space="0" w:color="auto"/>
        <w:bottom w:val="none" w:sz="0" w:space="0" w:color="auto"/>
        <w:right w:val="none" w:sz="0" w:space="0" w:color="auto"/>
      </w:divBdr>
    </w:div>
    <w:div w:id="949242474">
      <w:bodyDiv w:val="1"/>
      <w:marLeft w:val="0"/>
      <w:marRight w:val="0"/>
      <w:marTop w:val="0"/>
      <w:marBottom w:val="0"/>
      <w:divBdr>
        <w:top w:val="none" w:sz="0" w:space="0" w:color="auto"/>
        <w:left w:val="none" w:sz="0" w:space="0" w:color="auto"/>
        <w:bottom w:val="none" w:sz="0" w:space="0" w:color="auto"/>
        <w:right w:val="none" w:sz="0" w:space="0" w:color="auto"/>
      </w:divBdr>
    </w:div>
    <w:div w:id="949244024">
      <w:bodyDiv w:val="1"/>
      <w:marLeft w:val="0"/>
      <w:marRight w:val="0"/>
      <w:marTop w:val="0"/>
      <w:marBottom w:val="0"/>
      <w:divBdr>
        <w:top w:val="none" w:sz="0" w:space="0" w:color="auto"/>
        <w:left w:val="none" w:sz="0" w:space="0" w:color="auto"/>
        <w:bottom w:val="none" w:sz="0" w:space="0" w:color="auto"/>
        <w:right w:val="none" w:sz="0" w:space="0" w:color="auto"/>
      </w:divBdr>
    </w:div>
    <w:div w:id="949510070">
      <w:bodyDiv w:val="1"/>
      <w:marLeft w:val="0"/>
      <w:marRight w:val="0"/>
      <w:marTop w:val="0"/>
      <w:marBottom w:val="0"/>
      <w:divBdr>
        <w:top w:val="none" w:sz="0" w:space="0" w:color="auto"/>
        <w:left w:val="none" w:sz="0" w:space="0" w:color="auto"/>
        <w:bottom w:val="none" w:sz="0" w:space="0" w:color="auto"/>
        <w:right w:val="none" w:sz="0" w:space="0" w:color="auto"/>
      </w:divBdr>
    </w:div>
    <w:div w:id="949706114">
      <w:bodyDiv w:val="1"/>
      <w:marLeft w:val="0"/>
      <w:marRight w:val="0"/>
      <w:marTop w:val="0"/>
      <w:marBottom w:val="0"/>
      <w:divBdr>
        <w:top w:val="none" w:sz="0" w:space="0" w:color="auto"/>
        <w:left w:val="none" w:sz="0" w:space="0" w:color="auto"/>
        <w:bottom w:val="none" w:sz="0" w:space="0" w:color="auto"/>
        <w:right w:val="none" w:sz="0" w:space="0" w:color="auto"/>
      </w:divBdr>
    </w:div>
    <w:div w:id="949824853">
      <w:bodyDiv w:val="1"/>
      <w:marLeft w:val="0"/>
      <w:marRight w:val="0"/>
      <w:marTop w:val="0"/>
      <w:marBottom w:val="0"/>
      <w:divBdr>
        <w:top w:val="none" w:sz="0" w:space="0" w:color="auto"/>
        <w:left w:val="none" w:sz="0" w:space="0" w:color="auto"/>
        <w:bottom w:val="none" w:sz="0" w:space="0" w:color="auto"/>
        <w:right w:val="none" w:sz="0" w:space="0" w:color="auto"/>
      </w:divBdr>
    </w:div>
    <w:div w:id="949891623">
      <w:bodyDiv w:val="1"/>
      <w:marLeft w:val="0"/>
      <w:marRight w:val="0"/>
      <w:marTop w:val="0"/>
      <w:marBottom w:val="0"/>
      <w:divBdr>
        <w:top w:val="none" w:sz="0" w:space="0" w:color="auto"/>
        <w:left w:val="none" w:sz="0" w:space="0" w:color="auto"/>
        <w:bottom w:val="none" w:sz="0" w:space="0" w:color="auto"/>
        <w:right w:val="none" w:sz="0" w:space="0" w:color="auto"/>
      </w:divBdr>
    </w:div>
    <w:div w:id="949900860">
      <w:bodyDiv w:val="1"/>
      <w:marLeft w:val="0"/>
      <w:marRight w:val="0"/>
      <w:marTop w:val="0"/>
      <w:marBottom w:val="0"/>
      <w:divBdr>
        <w:top w:val="none" w:sz="0" w:space="0" w:color="auto"/>
        <w:left w:val="none" w:sz="0" w:space="0" w:color="auto"/>
        <w:bottom w:val="none" w:sz="0" w:space="0" w:color="auto"/>
        <w:right w:val="none" w:sz="0" w:space="0" w:color="auto"/>
      </w:divBdr>
    </w:div>
    <w:div w:id="949900976">
      <w:bodyDiv w:val="1"/>
      <w:marLeft w:val="0"/>
      <w:marRight w:val="0"/>
      <w:marTop w:val="0"/>
      <w:marBottom w:val="0"/>
      <w:divBdr>
        <w:top w:val="none" w:sz="0" w:space="0" w:color="auto"/>
        <w:left w:val="none" w:sz="0" w:space="0" w:color="auto"/>
        <w:bottom w:val="none" w:sz="0" w:space="0" w:color="auto"/>
        <w:right w:val="none" w:sz="0" w:space="0" w:color="auto"/>
      </w:divBdr>
    </w:div>
    <w:div w:id="950090400">
      <w:bodyDiv w:val="1"/>
      <w:marLeft w:val="0"/>
      <w:marRight w:val="0"/>
      <w:marTop w:val="0"/>
      <w:marBottom w:val="0"/>
      <w:divBdr>
        <w:top w:val="none" w:sz="0" w:space="0" w:color="auto"/>
        <w:left w:val="none" w:sz="0" w:space="0" w:color="auto"/>
        <w:bottom w:val="none" w:sz="0" w:space="0" w:color="auto"/>
        <w:right w:val="none" w:sz="0" w:space="0" w:color="auto"/>
      </w:divBdr>
    </w:div>
    <w:div w:id="950208778">
      <w:bodyDiv w:val="1"/>
      <w:marLeft w:val="0"/>
      <w:marRight w:val="0"/>
      <w:marTop w:val="0"/>
      <w:marBottom w:val="0"/>
      <w:divBdr>
        <w:top w:val="none" w:sz="0" w:space="0" w:color="auto"/>
        <w:left w:val="none" w:sz="0" w:space="0" w:color="auto"/>
        <w:bottom w:val="none" w:sz="0" w:space="0" w:color="auto"/>
        <w:right w:val="none" w:sz="0" w:space="0" w:color="auto"/>
      </w:divBdr>
    </w:div>
    <w:div w:id="950355027">
      <w:bodyDiv w:val="1"/>
      <w:marLeft w:val="0"/>
      <w:marRight w:val="0"/>
      <w:marTop w:val="0"/>
      <w:marBottom w:val="0"/>
      <w:divBdr>
        <w:top w:val="none" w:sz="0" w:space="0" w:color="auto"/>
        <w:left w:val="none" w:sz="0" w:space="0" w:color="auto"/>
        <w:bottom w:val="none" w:sz="0" w:space="0" w:color="auto"/>
        <w:right w:val="none" w:sz="0" w:space="0" w:color="auto"/>
      </w:divBdr>
    </w:div>
    <w:div w:id="950361988">
      <w:bodyDiv w:val="1"/>
      <w:marLeft w:val="0"/>
      <w:marRight w:val="0"/>
      <w:marTop w:val="0"/>
      <w:marBottom w:val="0"/>
      <w:divBdr>
        <w:top w:val="none" w:sz="0" w:space="0" w:color="auto"/>
        <w:left w:val="none" w:sz="0" w:space="0" w:color="auto"/>
        <w:bottom w:val="none" w:sz="0" w:space="0" w:color="auto"/>
        <w:right w:val="none" w:sz="0" w:space="0" w:color="auto"/>
      </w:divBdr>
    </w:div>
    <w:div w:id="950404294">
      <w:bodyDiv w:val="1"/>
      <w:marLeft w:val="0"/>
      <w:marRight w:val="0"/>
      <w:marTop w:val="0"/>
      <w:marBottom w:val="0"/>
      <w:divBdr>
        <w:top w:val="none" w:sz="0" w:space="0" w:color="auto"/>
        <w:left w:val="none" w:sz="0" w:space="0" w:color="auto"/>
        <w:bottom w:val="none" w:sz="0" w:space="0" w:color="auto"/>
        <w:right w:val="none" w:sz="0" w:space="0" w:color="auto"/>
      </w:divBdr>
    </w:div>
    <w:div w:id="950555021">
      <w:bodyDiv w:val="1"/>
      <w:marLeft w:val="0"/>
      <w:marRight w:val="0"/>
      <w:marTop w:val="0"/>
      <w:marBottom w:val="0"/>
      <w:divBdr>
        <w:top w:val="none" w:sz="0" w:space="0" w:color="auto"/>
        <w:left w:val="none" w:sz="0" w:space="0" w:color="auto"/>
        <w:bottom w:val="none" w:sz="0" w:space="0" w:color="auto"/>
        <w:right w:val="none" w:sz="0" w:space="0" w:color="auto"/>
      </w:divBdr>
    </w:div>
    <w:div w:id="950622096">
      <w:bodyDiv w:val="1"/>
      <w:marLeft w:val="0"/>
      <w:marRight w:val="0"/>
      <w:marTop w:val="0"/>
      <w:marBottom w:val="0"/>
      <w:divBdr>
        <w:top w:val="none" w:sz="0" w:space="0" w:color="auto"/>
        <w:left w:val="none" w:sz="0" w:space="0" w:color="auto"/>
        <w:bottom w:val="none" w:sz="0" w:space="0" w:color="auto"/>
        <w:right w:val="none" w:sz="0" w:space="0" w:color="auto"/>
      </w:divBdr>
    </w:div>
    <w:div w:id="950745880">
      <w:bodyDiv w:val="1"/>
      <w:marLeft w:val="0"/>
      <w:marRight w:val="0"/>
      <w:marTop w:val="0"/>
      <w:marBottom w:val="0"/>
      <w:divBdr>
        <w:top w:val="none" w:sz="0" w:space="0" w:color="auto"/>
        <w:left w:val="none" w:sz="0" w:space="0" w:color="auto"/>
        <w:bottom w:val="none" w:sz="0" w:space="0" w:color="auto"/>
        <w:right w:val="none" w:sz="0" w:space="0" w:color="auto"/>
      </w:divBdr>
    </w:div>
    <w:div w:id="950862097">
      <w:bodyDiv w:val="1"/>
      <w:marLeft w:val="0"/>
      <w:marRight w:val="0"/>
      <w:marTop w:val="0"/>
      <w:marBottom w:val="0"/>
      <w:divBdr>
        <w:top w:val="none" w:sz="0" w:space="0" w:color="auto"/>
        <w:left w:val="none" w:sz="0" w:space="0" w:color="auto"/>
        <w:bottom w:val="none" w:sz="0" w:space="0" w:color="auto"/>
        <w:right w:val="none" w:sz="0" w:space="0" w:color="auto"/>
      </w:divBdr>
    </w:div>
    <w:div w:id="951086987">
      <w:bodyDiv w:val="1"/>
      <w:marLeft w:val="0"/>
      <w:marRight w:val="0"/>
      <w:marTop w:val="0"/>
      <w:marBottom w:val="0"/>
      <w:divBdr>
        <w:top w:val="none" w:sz="0" w:space="0" w:color="auto"/>
        <w:left w:val="none" w:sz="0" w:space="0" w:color="auto"/>
        <w:bottom w:val="none" w:sz="0" w:space="0" w:color="auto"/>
        <w:right w:val="none" w:sz="0" w:space="0" w:color="auto"/>
      </w:divBdr>
    </w:div>
    <w:div w:id="951202942">
      <w:bodyDiv w:val="1"/>
      <w:marLeft w:val="0"/>
      <w:marRight w:val="0"/>
      <w:marTop w:val="0"/>
      <w:marBottom w:val="0"/>
      <w:divBdr>
        <w:top w:val="none" w:sz="0" w:space="0" w:color="auto"/>
        <w:left w:val="none" w:sz="0" w:space="0" w:color="auto"/>
        <w:bottom w:val="none" w:sz="0" w:space="0" w:color="auto"/>
        <w:right w:val="none" w:sz="0" w:space="0" w:color="auto"/>
      </w:divBdr>
    </w:div>
    <w:div w:id="951324942">
      <w:bodyDiv w:val="1"/>
      <w:marLeft w:val="0"/>
      <w:marRight w:val="0"/>
      <w:marTop w:val="0"/>
      <w:marBottom w:val="0"/>
      <w:divBdr>
        <w:top w:val="none" w:sz="0" w:space="0" w:color="auto"/>
        <w:left w:val="none" w:sz="0" w:space="0" w:color="auto"/>
        <w:bottom w:val="none" w:sz="0" w:space="0" w:color="auto"/>
        <w:right w:val="none" w:sz="0" w:space="0" w:color="auto"/>
      </w:divBdr>
    </w:div>
    <w:div w:id="951326149">
      <w:bodyDiv w:val="1"/>
      <w:marLeft w:val="0"/>
      <w:marRight w:val="0"/>
      <w:marTop w:val="0"/>
      <w:marBottom w:val="0"/>
      <w:divBdr>
        <w:top w:val="none" w:sz="0" w:space="0" w:color="auto"/>
        <w:left w:val="none" w:sz="0" w:space="0" w:color="auto"/>
        <w:bottom w:val="none" w:sz="0" w:space="0" w:color="auto"/>
        <w:right w:val="none" w:sz="0" w:space="0" w:color="auto"/>
      </w:divBdr>
    </w:div>
    <w:div w:id="951473592">
      <w:bodyDiv w:val="1"/>
      <w:marLeft w:val="0"/>
      <w:marRight w:val="0"/>
      <w:marTop w:val="0"/>
      <w:marBottom w:val="0"/>
      <w:divBdr>
        <w:top w:val="none" w:sz="0" w:space="0" w:color="auto"/>
        <w:left w:val="none" w:sz="0" w:space="0" w:color="auto"/>
        <w:bottom w:val="none" w:sz="0" w:space="0" w:color="auto"/>
        <w:right w:val="none" w:sz="0" w:space="0" w:color="auto"/>
      </w:divBdr>
    </w:div>
    <w:div w:id="951520536">
      <w:bodyDiv w:val="1"/>
      <w:marLeft w:val="0"/>
      <w:marRight w:val="0"/>
      <w:marTop w:val="0"/>
      <w:marBottom w:val="0"/>
      <w:divBdr>
        <w:top w:val="none" w:sz="0" w:space="0" w:color="auto"/>
        <w:left w:val="none" w:sz="0" w:space="0" w:color="auto"/>
        <w:bottom w:val="none" w:sz="0" w:space="0" w:color="auto"/>
        <w:right w:val="none" w:sz="0" w:space="0" w:color="auto"/>
      </w:divBdr>
    </w:div>
    <w:div w:id="951520844">
      <w:bodyDiv w:val="1"/>
      <w:marLeft w:val="0"/>
      <w:marRight w:val="0"/>
      <w:marTop w:val="0"/>
      <w:marBottom w:val="0"/>
      <w:divBdr>
        <w:top w:val="none" w:sz="0" w:space="0" w:color="auto"/>
        <w:left w:val="none" w:sz="0" w:space="0" w:color="auto"/>
        <w:bottom w:val="none" w:sz="0" w:space="0" w:color="auto"/>
        <w:right w:val="none" w:sz="0" w:space="0" w:color="auto"/>
      </w:divBdr>
    </w:div>
    <w:div w:id="951594207">
      <w:bodyDiv w:val="1"/>
      <w:marLeft w:val="0"/>
      <w:marRight w:val="0"/>
      <w:marTop w:val="0"/>
      <w:marBottom w:val="0"/>
      <w:divBdr>
        <w:top w:val="none" w:sz="0" w:space="0" w:color="auto"/>
        <w:left w:val="none" w:sz="0" w:space="0" w:color="auto"/>
        <w:bottom w:val="none" w:sz="0" w:space="0" w:color="auto"/>
        <w:right w:val="none" w:sz="0" w:space="0" w:color="auto"/>
      </w:divBdr>
    </w:div>
    <w:div w:id="951671542">
      <w:bodyDiv w:val="1"/>
      <w:marLeft w:val="0"/>
      <w:marRight w:val="0"/>
      <w:marTop w:val="0"/>
      <w:marBottom w:val="0"/>
      <w:divBdr>
        <w:top w:val="none" w:sz="0" w:space="0" w:color="auto"/>
        <w:left w:val="none" w:sz="0" w:space="0" w:color="auto"/>
        <w:bottom w:val="none" w:sz="0" w:space="0" w:color="auto"/>
        <w:right w:val="none" w:sz="0" w:space="0" w:color="auto"/>
      </w:divBdr>
    </w:div>
    <w:div w:id="951742308">
      <w:bodyDiv w:val="1"/>
      <w:marLeft w:val="0"/>
      <w:marRight w:val="0"/>
      <w:marTop w:val="0"/>
      <w:marBottom w:val="0"/>
      <w:divBdr>
        <w:top w:val="none" w:sz="0" w:space="0" w:color="auto"/>
        <w:left w:val="none" w:sz="0" w:space="0" w:color="auto"/>
        <w:bottom w:val="none" w:sz="0" w:space="0" w:color="auto"/>
        <w:right w:val="none" w:sz="0" w:space="0" w:color="auto"/>
      </w:divBdr>
    </w:div>
    <w:div w:id="951787596">
      <w:bodyDiv w:val="1"/>
      <w:marLeft w:val="0"/>
      <w:marRight w:val="0"/>
      <w:marTop w:val="0"/>
      <w:marBottom w:val="0"/>
      <w:divBdr>
        <w:top w:val="none" w:sz="0" w:space="0" w:color="auto"/>
        <w:left w:val="none" w:sz="0" w:space="0" w:color="auto"/>
        <w:bottom w:val="none" w:sz="0" w:space="0" w:color="auto"/>
        <w:right w:val="none" w:sz="0" w:space="0" w:color="auto"/>
      </w:divBdr>
    </w:div>
    <w:div w:id="951857914">
      <w:bodyDiv w:val="1"/>
      <w:marLeft w:val="0"/>
      <w:marRight w:val="0"/>
      <w:marTop w:val="0"/>
      <w:marBottom w:val="0"/>
      <w:divBdr>
        <w:top w:val="none" w:sz="0" w:space="0" w:color="auto"/>
        <w:left w:val="none" w:sz="0" w:space="0" w:color="auto"/>
        <w:bottom w:val="none" w:sz="0" w:space="0" w:color="auto"/>
        <w:right w:val="none" w:sz="0" w:space="0" w:color="auto"/>
      </w:divBdr>
    </w:div>
    <w:div w:id="951979187">
      <w:bodyDiv w:val="1"/>
      <w:marLeft w:val="0"/>
      <w:marRight w:val="0"/>
      <w:marTop w:val="0"/>
      <w:marBottom w:val="0"/>
      <w:divBdr>
        <w:top w:val="none" w:sz="0" w:space="0" w:color="auto"/>
        <w:left w:val="none" w:sz="0" w:space="0" w:color="auto"/>
        <w:bottom w:val="none" w:sz="0" w:space="0" w:color="auto"/>
        <w:right w:val="none" w:sz="0" w:space="0" w:color="auto"/>
      </w:divBdr>
    </w:div>
    <w:div w:id="952135553">
      <w:bodyDiv w:val="1"/>
      <w:marLeft w:val="0"/>
      <w:marRight w:val="0"/>
      <w:marTop w:val="0"/>
      <w:marBottom w:val="0"/>
      <w:divBdr>
        <w:top w:val="none" w:sz="0" w:space="0" w:color="auto"/>
        <w:left w:val="none" w:sz="0" w:space="0" w:color="auto"/>
        <w:bottom w:val="none" w:sz="0" w:space="0" w:color="auto"/>
        <w:right w:val="none" w:sz="0" w:space="0" w:color="auto"/>
      </w:divBdr>
    </w:div>
    <w:div w:id="952248675">
      <w:bodyDiv w:val="1"/>
      <w:marLeft w:val="0"/>
      <w:marRight w:val="0"/>
      <w:marTop w:val="0"/>
      <w:marBottom w:val="0"/>
      <w:divBdr>
        <w:top w:val="none" w:sz="0" w:space="0" w:color="auto"/>
        <w:left w:val="none" w:sz="0" w:space="0" w:color="auto"/>
        <w:bottom w:val="none" w:sz="0" w:space="0" w:color="auto"/>
        <w:right w:val="none" w:sz="0" w:space="0" w:color="auto"/>
      </w:divBdr>
    </w:div>
    <w:div w:id="952396573">
      <w:bodyDiv w:val="1"/>
      <w:marLeft w:val="0"/>
      <w:marRight w:val="0"/>
      <w:marTop w:val="0"/>
      <w:marBottom w:val="0"/>
      <w:divBdr>
        <w:top w:val="none" w:sz="0" w:space="0" w:color="auto"/>
        <w:left w:val="none" w:sz="0" w:space="0" w:color="auto"/>
        <w:bottom w:val="none" w:sz="0" w:space="0" w:color="auto"/>
        <w:right w:val="none" w:sz="0" w:space="0" w:color="auto"/>
      </w:divBdr>
    </w:div>
    <w:div w:id="952593897">
      <w:bodyDiv w:val="1"/>
      <w:marLeft w:val="0"/>
      <w:marRight w:val="0"/>
      <w:marTop w:val="0"/>
      <w:marBottom w:val="0"/>
      <w:divBdr>
        <w:top w:val="none" w:sz="0" w:space="0" w:color="auto"/>
        <w:left w:val="none" w:sz="0" w:space="0" w:color="auto"/>
        <w:bottom w:val="none" w:sz="0" w:space="0" w:color="auto"/>
        <w:right w:val="none" w:sz="0" w:space="0" w:color="auto"/>
      </w:divBdr>
    </w:div>
    <w:div w:id="952907674">
      <w:bodyDiv w:val="1"/>
      <w:marLeft w:val="0"/>
      <w:marRight w:val="0"/>
      <w:marTop w:val="0"/>
      <w:marBottom w:val="0"/>
      <w:divBdr>
        <w:top w:val="none" w:sz="0" w:space="0" w:color="auto"/>
        <w:left w:val="none" w:sz="0" w:space="0" w:color="auto"/>
        <w:bottom w:val="none" w:sz="0" w:space="0" w:color="auto"/>
        <w:right w:val="none" w:sz="0" w:space="0" w:color="auto"/>
      </w:divBdr>
    </w:div>
    <w:div w:id="952976635">
      <w:bodyDiv w:val="1"/>
      <w:marLeft w:val="0"/>
      <w:marRight w:val="0"/>
      <w:marTop w:val="0"/>
      <w:marBottom w:val="0"/>
      <w:divBdr>
        <w:top w:val="none" w:sz="0" w:space="0" w:color="auto"/>
        <w:left w:val="none" w:sz="0" w:space="0" w:color="auto"/>
        <w:bottom w:val="none" w:sz="0" w:space="0" w:color="auto"/>
        <w:right w:val="none" w:sz="0" w:space="0" w:color="auto"/>
      </w:divBdr>
    </w:div>
    <w:div w:id="952982032">
      <w:bodyDiv w:val="1"/>
      <w:marLeft w:val="0"/>
      <w:marRight w:val="0"/>
      <w:marTop w:val="0"/>
      <w:marBottom w:val="0"/>
      <w:divBdr>
        <w:top w:val="none" w:sz="0" w:space="0" w:color="auto"/>
        <w:left w:val="none" w:sz="0" w:space="0" w:color="auto"/>
        <w:bottom w:val="none" w:sz="0" w:space="0" w:color="auto"/>
        <w:right w:val="none" w:sz="0" w:space="0" w:color="auto"/>
      </w:divBdr>
    </w:div>
    <w:div w:id="952982826">
      <w:bodyDiv w:val="1"/>
      <w:marLeft w:val="0"/>
      <w:marRight w:val="0"/>
      <w:marTop w:val="0"/>
      <w:marBottom w:val="0"/>
      <w:divBdr>
        <w:top w:val="none" w:sz="0" w:space="0" w:color="auto"/>
        <w:left w:val="none" w:sz="0" w:space="0" w:color="auto"/>
        <w:bottom w:val="none" w:sz="0" w:space="0" w:color="auto"/>
        <w:right w:val="none" w:sz="0" w:space="0" w:color="auto"/>
      </w:divBdr>
    </w:div>
    <w:div w:id="953637935">
      <w:bodyDiv w:val="1"/>
      <w:marLeft w:val="0"/>
      <w:marRight w:val="0"/>
      <w:marTop w:val="0"/>
      <w:marBottom w:val="0"/>
      <w:divBdr>
        <w:top w:val="none" w:sz="0" w:space="0" w:color="auto"/>
        <w:left w:val="none" w:sz="0" w:space="0" w:color="auto"/>
        <w:bottom w:val="none" w:sz="0" w:space="0" w:color="auto"/>
        <w:right w:val="none" w:sz="0" w:space="0" w:color="auto"/>
      </w:divBdr>
    </w:div>
    <w:div w:id="953898550">
      <w:bodyDiv w:val="1"/>
      <w:marLeft w:val="0"/>
      <w:marRight w:val="0"/>
      <w:marTop w:val="0"/>
      <w:marBottom w:val="0"/>
      <w:divBdr>
        <w:top w:val="none" w:sz="0" w:space="0" w:color="auto"/>
        <w:left w:val="none" w:sz="0" w:space="0" w:color="auto"/>
        <w:bottom w:val="none" w:sz="0" w:space="0" w:color="auto"/>
        <w:right w:val="none" w:sz="0" w:space="0" w:color="auto"/>
      </w:divBdr>
    </w:div>
    <w:div w:id="953901802">
      <w:bodyDiv w:val="1"/>
      <w:marLeft w:val="0"/>
      <w:marRight w:val="0"/>
      <w:marTop w:val="0"/>
      <w:marBottom w:val="0"/>
      <w:divBdr>
        <w:top w:val="none" w:sz="0" w:space="0" w:color="auto"/>
        <w:left w:val="none" w:sz="0" w:space="0" w:color="auto"/>
        <w:bottom w:val="none" w:sz="0" w:space="0" w:color="auto"/>
        <w:right w:val="none" w:sz="0" w:space="0" w:color="auto"/>
      </w:divBdr>
    </w:div>
    <w:div w:id="953945550">
      <w:bodyDiv w:val="1"/>
      <w:marLeft w:val="0"/>
      <w:marRight w:val="0"/>
      <w:marTop w:val="0"/>
      <w:marBottom w:val="0"/>
      <w:divBdr>
        <w:top w:val="none" w:sz="0" w:space="0" w:color="auto"/>
        <w:left w:val="none" w:sz="0" w:space="0" w:color="auto"/>
        <w:bottom w:val="none" w:sz="0" w:space="0" w:color="auto"/>
        <w:right w:val="none" w:sz="0" w:space="0" w:color="auto"/>
      </w:divBdr>
    </w:div>
    <w:div w:id="953948246">
      <w:bodyDiv w:val="1"/>
      <w:marLeft w:val="0"/>
      <w:marRight w:val="0"/>
      <w:marTop w:val="0"/>
      <w:marBottom w:val="0"/>
      <w:divBdr>
        <w:top w:val="none" w:sz="0" w:space="0" w:color="auto"/>
        <w:left w:val="none" w:sz="0" w:space="0" w:color="auto"/>
        <w:bottom w:val="none" w:sz="0" w:space="0" w:color="auto"/>
        <w:right w:val="none" w:sz="0" w:space="0" w:color="auto"/>
      </w:divBdr>
    </w:div>
    <w:div w:id="954022085">
      <w:bodyDiv w:val="1"/>
      <w:marLeft w:val="0"/>
      <w:marRight w:val="0"/>
      <w:marTop w:val="0"/>
      <w:marBottom w:val="0"/>
      <w:divBdr>
        <w:top w:val="none" w:sz="0" w:space="0" w:color="auto"/>
        <w:left w:val="none" w:sz="0" w:space="0" w:color="auto"/>
        <w:bottom w:val="none" w:sz="0" w:space="0" w:color="auto"/>
        <w:right w:val="none" w:sz="0" w:space="0" w:color="auto"/>
      </w:divBdr>
    </w:div>
    <w:div w:id="954139159">
      <w:bodyDiv w:val="1"/>
      <w:marLeft w:val="0"/>
      <w:marRight w:val="0"/>
      <w:marTop w:val="0"/>
      <w:marBottom w:val="0"/>
      <w:divBdr>
        <w:top w:val="none" w:sz="0" w:space="0" w:color="auto"/>
        <w:left w:val="none" w:sz="0" w:space="0" w:color="auto"/>
        <w:bottom w:val="none" w:sz="0" w:space="0" w:color="auto"/>
        <w:right w:val="none" w:sz="0" w:space="0" w:color="auto"/>
      </w:divBdr>
    </w:div>
    <w:div w:id="954361430">
      <w:bodyDiv w:val="1"/>
      <w:marLeft w:val="0"/>
      <w:marRight w:val="0"/>
      <w:marTop w:val="0"/>
      <w:marBottom w:val="0"/>
      <w:divBdr>
        <w:top w:val="none" w:sz="0" w:space="0" w:color="auto"/>
        <w:left w:val="none" w:sz="0" w:space="0" w:color="auto"/>
        <w:bottom w:val="none" w:sz="0" w:space="0" w:color="auto"/>
        <w:right w:val="none" w:sz="0" w:space="0" w:color="auto"/>
      </w:divBdr>
    </w:div>
    <w:div w:id="954364248">
      <w:bodyDiv w:val="1"/>
      <w:marLeft w:val="0"/>
      <w:marRight w:val="0"/>
      <w:marTop w:val="0"/>
      <w:marBottom w:val="0"/>
      <w:divBdr>
        <w:top w:val="none" w:sz="0" w:space="0" w:color="auto"/>
        <w:left w:val="none" w:sz="0" w:space="0" w:color="auto"/>
        <w:bottom w:val="none" w:sz="0" w:space="0" w:color="auto"/>
        <w:right w:val="none" w:sz="0" w:space="0" w:color="auto"/>
      </w:divBdr>
    </w:div>
    <w:div w:id="954366674">
      <w:bodyDiv w:val="1"/>
      <w:marLeft w:val="0"/>
      <w:marRight w:val="0"/>
      <w:marTop w:val="0"/>
      <w:marBottom w:val="0"/>
      <w:divBdr>
        <w:top w:val="none" w:sz="0" w:space="0" w:color="auto"/>
        <w:left w:val="none" w:sz="0" w:space="0" w:color="auto"/>
        <w:bottom w:val="none" w:sz="0" w:space="0" w:color="auto"/>
        <w:right w:val="none" w:sz="0" w:space="0" w:color="auto"/>
      </w:divBdr>
    </w:div>
    <w:div w:id="954558398">
      <w:bodyDiv w:val="1"/>
      <w:marLeft w:val="0"/>
      <w:marRight w:val="0"/>
      <w:marTop w:val="0"/>
      <w:marBottom w:val="0"/>
      <w:divBdr>
        <w:top w:val="none" w:sz="0" w:space="0" w:color="auto"/>
        <w:left w:val="none" w:sz="0" w:space="0" w:color="auto"/>
        <w:bottom w:val="none" w:sz="0" w:space="0" w:color="auto"/>
        <w:right w:val="none" w:sz="0" w:space="0" w:color="auto"/>
      </w:divBdr>
    </w:div>
    <w:div w:id="955136331">
      <w:bodyDiv w:val="1"/>
      <w:marLeft w:val="0"/>
      <w:marRight w:val="0"/>
      <w:marTop w:val="0"/>
      <w:marBottom w:val="0"/>
      <w:divBdr>
        <w:top w:val="none" w:sz="0" w:space="0" w:color="auto"/>
        <w:left w:val="none" w:sz="0" w:space="0" w:color="auto"/>
        <w:bottom w:val="none" w:sz="0" w:space="0" w:color="auto"/>
        <w:right w:val="none" w:sz="0" w:space="0" w:color="auto"/>
      </w:divBdr>
    </w:div>
    <w:div w:id="955402515">
      <w:bodyDiv w:val="1"/>
      <w:marLeft w:val="0"/>
      <w:marRight w:val="0"/>
      <w:marTop w:val="0"/>
      <w:marBottom w:val="0"/>
      <w:divBdr>
        <w:top w:val="none" w:sz="0" w:space="0" w:color="auto"/>
        <w:left w:val="none" w:sz="0" w:space="0" w:color="auto"/>
        <w:bottom w:val="none" w:sz="0" w:space="0" w:color="auto"/>
        <w:right w:val="none" w:sz="0" w:space="0" w:color="auto"/>
      </w:divBdr>
    </w:div>
    <w:div w:id="955406993">
      <w:bodyDiv w:val="1"/>
      <w:marLeft w:val="0"/>
      <w:marRight w:val="0"/>
      <w:marTop w:val="0"/>
      <w:marBottom w:val="0"/>
      <w:divBdr>
        <w:top w:val="none" w:sz="0" w:space="0" w:color="auto"/>
        <w:left w:val="none" w:sz="0" w:space="0" w:color="auto"/>
        <w:bottom w:val="none" w:sz="0" w:space="0" w:color="auto"/>
        <w:right w:val="none" w:sz="0" w:space="0" w:color="auto"/>
      </w:divBdr>
    </w:div>
    <w:div w:id="955411543">
      <w:bodyDiv w:val="1"/>
      <w:marLeft w:val="0"/>
      <w:marRight w:val="0"/>
      <w:marTop w:val="0"/>
      <w:marBottom w:val="0"/>
      <w:divBdr>
        <w:top w:val="none" w:sz="0" w:space="0" w:color="auto"/>
        <w:left w:val="none" w:sz="0" w:space="0" w:color="auto"/>
        <w:bottom w:val="none" w:sz="0" w:space="0" w:color="auto"/>
        <w:right w:val="none" w:sz="0" w:space="0" w:color="auto"/>
      </w:divBdr>
    </w:div>
    <w:div w:id="955525988">
      <w:bodyDiv w:val="1"/>
      <w:marLeft w:val="0"/>
      <w:marRight w:val="0"/>
      <w:marTop w:val="0"/>
      <w:marBottom w:val="0"/>
      <w:divBdr>
        <w:top w:val="none" w:sz="0" w:space="0" w:color="auto"/>
        <w:left w:val="none" w:sz="0" w:space="0" w:color="auto"/>
        <w:bottom w:val="none" w:sz="0" w:space="0" w:color="auto"/>
        <w:right w:val="none" w:sz="0" w:space="0" w:color="auto"/>
      </w:divBdr>
    </w:div>
    <w:div w:id="955672524">
      <w:bodyDiv w:val="1"/>
      <w:marLeft w:val="0"/>
      <w:marRight w:val="0"/>
      <w:marTop w:val="0"/>
      <w:marBottom w:val="0"/>
      <w:divBdr>
        <w:top w:val="none" w:sz="0" w:space="0" w:color="auto"/>
        <w:left w:val="none" w:sz="0" w:space="0" w:color="auto"/>
        <w:bottom w:val="none" w:sz="0" w:space="0" w:color="auto"/>
        <w:right w:val="none" w:sz="0" w:space="0" w:color="auto"/>
      </w:divBdr>
    </w:div>
    <w:div w:id="955913749">
      <w:bodyDiv w:val="1"/>
      <w:marLeft w:val="0"/>
      <w:marRight w:val="0"/>
      <w:marTop w:val="0"/>
      <w:marBottom w:val="0"/>
      <w:divBdr>
        <w:top w:val="none" w:sz="0" w:space="0" w:color="auto"/>
        <w:left w:val="none" w:sz="0" w:space="0" w:color="auto"/>
        <w:bottom w:val="none" w:sz="0" w:space="0" w:color="auto"/>
        <w:right w:val="none" w:sz="0" w:space="0" w:color="auto"/>
      </w:divBdr>
    </w:div>
    <w:div w:id="955990653">
      <w:bodyDiv w:val="1"/>
      <w:marLeft w:val="0"/>
      <w:marRight w:val="0"/>
      <w:marTop w:val="0"/>
      <w:marBottom w:val="0"/>
      <w:divBdr>
        <w:top w:val="none" w:sz="0" w:space="0" w:color="auto"/>
        <w:left w:val="none" w:sz="0" w:space="0" w:color="auto"/>
        <w:bottom w:val="none" w:sz="0" w:space="0" w:color="auto"/>
        <w:right w:val="none" w:sz="0" w:space="0" w:color="auto"/>
      </w:divBdr>
    </w:div>
    <w:div w:id="955990737">
      <w:bodyDiv w:val="1"/>
      <w:marLeft w:val="0"/>
      <w:marRight w:val="0"/>
      <w:marTop w:val="0"/>
      <w:marBottom w:val="0"/>
      <w:divBdr>
        <w:top w:val="none" w:sz="0" w:space="0" w:color="auto"/>
        <w:left w:val="none" w:sz="0" w:space="0" w:color="auto"/>
        <w:bottom w:val="none" w:sz="0" w:space="0" w:color="auto"/>
        <w:right w:val="none" w:sz="0" w:space="0" w:color="auto"/>
      </w:divBdr>
    </w:div>
    <w:div w:id="956133872">
      <w:bodyDiv w:val="1"/>
      <w:marLeft w:val="0"/>
      <w:marRight w:val="0"/>
      <w:marTop w:val="0"/>
      <w:marBottom w:val="0"/>
      <w:divBdr>
        <w:top w:val="none" w:sz="0" w:space="0" w:color="auto"/>
        <w:left w:val="none" w:sz="0" w:space="0" w:color="auto"/>
        <w:bottom w:val="none" w:sz="0" w:space="0" w:color="auto"/>
        <w:right w:val="none" w:sz="0" w:space="0" w:color="auto"/>
      </w:divBdr>
    </w:div>
    <w:div w:id="956255453">
      <w:bodyDiv w:val="1"/>
      <w:marLeft w:val="0"/>
      <w:marRight w:val="0"/>
      <w:marTop w:val="0"/>
      <w:marBottom w:val="0"/>
      <w:divBdr>
        <w:top w:val="none" w:sz="0" w:space="0" w:color="auto"/>
        <w:left w:val="none" w:sz="0" w:space="0" w:color="auto"/>
        <w:bottom w:val="none" w:sz="0" w:space="0" w:color="auto"/>
        <w:right w:val="none" w:sz="0" w:space="0" w:color="auto"/>
      </w:divBdr>
    </w:div>
    <w:div w:id="956370826">
      <w:bodyDiv w:val="1"/>
      <w:marLeft w:val="0"/>
      <w:marRight w:val="0"/>
      <w:marTop w:val="0"/>
      <w:marBottom w:val="0"/>
      <w:divBdr>
        <w:top w:val="none" w:sz="0" w:space="0" w:color="auto"/>
        <w:left w:val="none" w:sz="0" w:space="0" w:color="auto"/>
        <w:bottom w:val="none" w:sz="0" w:space="0" w:color="auto"/>
        <w:right w:val="none" w:sz="0" w:space="0" w:color="auto"/>
      </w:divBdr>
    </w:div>
    <w:div w:id="956720883">
      <w:bodyDiv w:val="1"/>
      <w:marLeft w:val="0"/>
      <w:marRight w:val="0"/>
      <w:marTop w:val="0"/>
      <w:marBottom w:val="0"/>
      <w:divBdr>
        <w:top w:val="none" w:sz="0" w:space="0" w:color="auto"/>
        <w:left w:val="none" w:sz="0" w:space="0" w:color="auto"/>
        <w:bottom w:val="none" w:sz="0" w:space="0" w:color="auto"/>
        <w:right w:val="none" w:sz="0" w:space="0" w:color="auto"/>
      </w:divBdr>
    </w:div>
    <w:div w:id="956792300">
      <w:bodyDiv w:val="1"/>
      <w:marLeft w:val="0"/>
      <w:marRight w:val="0"/>
      <w:marTop w:val="0"/>
      <w:marBottom w:val="0"/>
      <w:divBdr>
        <w:top w:val="none" w:sz="0" w:space="0" w:color="auto"/>
        <w:left w:val="none" w:sz="0" w:space="0" w:color="auto"/>
        <w:bottom w:val="none" w:sz="0" w:space="0" w:color="auto"/>
        <w:right w:val="none" w:sz="0" w:space="0" w:color="auto"/>
      </w:divBdr>
    </w:div>
    <w:div w:id="956838497">
      <w:bodyDiv w:val="1"/>
      <w:marLeft w:val="0"/>
      <w:marRight w:val="0"/>
      <w:marTop w:val="0"/>
      <w:marBottom w:val="0"/>
      <w:divBdr>
        <w:top w:val="none" w:sz="0" w:space="0" w:color="auto"/>
        <w:left w:val="none" w:sz="0" w:space="0" w:color="auto"/>
        <w:bottom w:val="none" w:sz="0" w:space="0" w:color="auto"/>
        <w:right w:val="none" w:sz="0" w:space="0" w:color="auto"/>
      </w:divBdr>
    </w:div>
    <w:div w:id="956907256">
      <w:bodyDiv w:val="1"/>
      <w:marLeft w:val="0"/>
      <w:marRight w:val="0"/>
      <w:marTop w:val="0"/>
      <w:marBottom w:val="0"/>
      <w:divBdr>
        <w:top w:val="none" w:sz="0" w:space="0" w:color="auto"/>
        <w:left w:val="none" w:sz="0" w:space="0" w:color="auto"/>
        <w:bottom w:val="none" w:sz="0" w:space="0" w:color="auto"/>
        <w:right w:val="none" w:sz="0" w:space="0" w:color="auto"/>
      </w:divBdr>
    </w:div>
    <w:div w:id="956982392">
      <w:bodyDiv w:val="1"/>
      <w:marLeft w:val="0"/>
      <w:marRight w:val="0"/>
      <w:marTop w:val="0"/>
      <w:marBottom w:val="0"/>
      <w:divBdr>
        <w:top w:val="none" w:sz="0" w:space="0" w:color="auto"/>
        <w:left w:val="none" w:sz="0" w:space="0" w:color="auto"/>
        <w:bottom w:val="none" w:sz="0" w:space="0" w:color="auto"/>
        <w:right w:val="none" w:sz="0" w:space="0" w:color="auto"/>
      </w:divBdr>
    </w:div>
    <w:div w:id="957024819">
      <w:bodyDiv w:val="1"/>
      <w:marLeft w:val="0"/>
      <w:marRight w:val="0"/>
      <w:marTop w:val="0"/>
      <w:marBottom w:val="0"/>
      <w:divBdr>
        <w:top w:val="none" w:sz="0" w:space="0" w:color="auto"/>
        <w:left w:val="none" w:sz="0" w:space="0" w:color="auto"/>
        <w:bottom w:val="none" w:sz="0" w:space="0" w:color="auto"/>
        <w:right w:val="none" w:sz="0" w:space="0" w:color="auto"/>
      </w:divBdr>
    </w:div>
    <w:div w:id="957030827">
      <w:bodyDiv w:val="1"/>
      <w:marLeft w:val="0"/>
      <w:marRight w:val="0"/>
      <w:marTop w:val="0"/>
      <w:marBottom w:val="0"/>
      <w:divBdr>
        <w:top w:val="none" w:sz="0" w:space="0" w:color="auto"/>
        <w:left w:val="none" w:sz="0" w:space="0" w:color="auto"/>
        <w:bottom w:val="none" w:sz="0" w:space="0" w:color="auto"/>
        <w:right w:val="none" w:sz="0" w:space="0" w:color="auto"/>
      </w:divBdr>
    </w:div>
    <w:div w:id="957033767">
      <w:bodyDiv w:val="1"/>
      <w:marLeft w:val="0"/>
      <w:marRight w:val="0"/>
      <w:marTop w:val="0"/>
      <w:marBottom w:val="0"/>
      <w:divBdr>
        <w:top w:val="none" w:sz="0" w:space="0" w:color="auto"/>
        <w:left w:val="none" w:sz="0" w:space="0" w:color="auto"/>
        <w:bottom w:val="none" w:sz="0" w:space="0" w:color="auto"/>
        <w:right w:val="none" w:sz="0" w:space="0" w:color="auto"/>
      </w:divBdr>
    </w:div>
    <w:div w:id="957181247">
      <w:bodyDiv w:val="1"/>
      <w:marLeft w:val="0"/>
      <w:marRight w:val="0"/>
      <w:marTop w:val="0"/>
      <w:marBottom w:val="0"/>
      <w:divBdr>
        <w:top w:val="none" w:sz="0" w:space="0" w:color="auto"/>
        <w:left w:val="none" w:sz="0" w:space="0" w:color="auto"/>
        <w:bottom w:val="none" w:sz="0" w:space="0" w:color="auto"/>
        <w:right w:val="none" w:sz="0" w:space="0" w:color="auto"/>
      </w:divBdr>
    </w:div>
    <w:div w:id="957223139">
      <w:bodyDiv w:val="1"/>
      <w:marLeft w:val="0"/>
      <w:marRight w:val="0"/>
      <w:marTop w:val="0"/>
      <w:marBottom w:val="0"/>
      <w:divBdr>
        <w:top w:val="none" w:sz="0" w:space="0" w:color="auto"/>
        <w:left w:val="none" w:sz="0" w:space="0" w:color="auto"/>
        <w:bottom w:val="none" w:sz="0" w:space="0" w:color="auto"/>
        <w:right w:val="none" w:sz="0" w:space="0" w:color="auto"/>
      </w:divBdr>
    </w:div>
    <w:div w:id="957223574">
      <w:bodyDiv w:val="1"/>
      <w:marLeft w:val="0"/>
      <w:marRight w:val="0"/>
      <w:marTop w:val="0"/>
      <w:marBottom w:val="0"/>
      <w:divBdr>
        <w:top w:val="none" w:sz="0" w:space="0" w:color="auto"/>
        <w:left w:val="none" w:sz="0" w:space="0" w:color="auto"/>
        <w:bottom w:val="none" w:sz="0" w:space="0" w:color="auto"/>
        <w:right w:val="none" w:sz="0" w:space="0" w:color="auto"/>
      </w:divBdr>
    </w:div>
    <w:div w:id="957227109">
      <w:bodyDiv w:val="1"/>
      <w:marLeft w:val="0"/>
      <w:marRight w:val="0"/>
      <w:marTop w:val="0"/>
      <w:marBottom w:val="0"/>
      <w:divBdr>
        <w:top w:val="none" w:sz="0" w:space="0" w:color="auto"/>
        <w:left w:val="none" w:sz="0" w:space="0" w:color="auto"/>
        <w:bottom w:val="none" w:sz="0" w:space="0" w:color="auto"/>
        <w:right w:val="none" w:sz="0" w:space="0" w:color="auto"/>
      </w:divBdr>
    </w:div>
    <w:div w:id="957416672">
      <w:bodyDiv w:val="1"/>
      <w:marLeft w:val="0"/>
      <w:marRight w:val="0"/>
      <w:marTop w:val="0"/>
      <w:marBottom w:val="0"/>
      <w:divBdr>
        <w:top w:val="none" w:sz="0" w:space="0" w:color="auto"/>
        <w:left w:val="none" w:sz="0" w:space="0" w:color="auto"/>
        <w:bottom w:val="none" w:sz="0" w:space="0" w:color="auto"/>
        <w:right w:val="none" w:sz="0" w:space="0" w:color="auto"/>
      </w:divBdr>
    </w:div>
    <w:div w:id="957417682">
      <w:bodyDiv w:val="1"/>
      <w:marLeft w:val="0"/>
      <w:marRight w:val="0"/>
      <w:marTop w:val="0"/>
      <w:marBottom w:val="0"/>
      <w:divBdr>
        <w:top w:val="none" w:sz="0" w:space="0" w:color="auto"/>
        <w:left w:val="none" w:sz="0" w:space="0" w:color="auto"/>
        <w:bottom w:val="none" w:sz="0" w:space="0" w:color="auto"/>
        <w:right w:val="none" w:sz="0" w:space="0" w:color="auto"/>
      </w:divBdr>
    </w:div>
    <w:div w:id="957488800">
      <w:bodyDiv w:val="1"/>
      <w:marLeft w:val="0"/>
      <w:marRight w:val="0"/>
      <w:marTop w:val="0"/>
      <w:marBottom w:val="0"/>
      <w:divBdr>
        <w:top w:val="none" w:sz="0" w:space="0" w:color="auto"/>
        <w:left w:val="none" w:sz="0" w:space="0" w:color="auto"/>
        <w:bottom w:val="none" w:sz="0" w:space="0" w:color="auto"/>
        <w:right w:val="none" w:sz="0" w:space="0" w:color="auto"/>
      </w:divBdr>
    </w:div>
    <w:div w:id="957492547">
      <w:bodyDiv w:val="1"/>
      <w:marLeft w:val="0"/>
      <w:marRight w:val="0"/>
      <w:marTop w:val="0"/>
      <w:marBottom w:val="0"/>
      <w:divBdr>
        <w:top w:val="none" w:sz="0" w:space="0" w:color="auto"/>
        <w:left w:val="none" w:sz="0" w:space="0" w:color="auto"/>
        <w:bottom w:val="none" w:sz="0" w:space="0" w:color="auto"/>
        <w:right w:val="none" w:sz="0" w:space="0" w:color="auto"/>
      </w:divBdr>
    </w:div>
    <w:div w:id="957493407">
      <w:bodyDiv w:val="1"/>
      <w:marLeft w:val="0"/>
      <w:marRight w:val="0"/>
      <w:marTop w:val="0"/>
      <w:marBottom w:val="0"/>
      <w:divBdr>
        <w:top w:val="none" w:sz="0" w:space="0" w:color="auto"/>
        <w:left w:val="none" w:sz="0" w:space="0" w:color="auto"/>
        <w:bottom w:val="none" w:sz="0" w:space="0" w:color="auto"/>
        <w:right w:val="none" w:sz="0" w:space="0" w:color="auto"/>
      </w:divBdr>
    </w:div>
    <w:div w:id="957566543">
      <w:bodyDiv w:val="1"/>
      <w:marLeft w:val="0"/>
      <w:marRight w:val="0"/>
      <w:marTop w:val="0"/>
      <w:marBottom w:val="0"/>
      <w:divBdr>
        <w:top w:val="none" w:sz="0" w:space="0" w:color="auto"/>
        <w:left w:val="none" w:sz="0" w:space="0" w:color="auto"/>
        <w:bottom w:val="none" w:sz="0" w:space="0" w:color="auto"/>
        <w:right w:val="none" w:sz="0" w:space="0" w:color="auto"/>
      </w:divBdr>
    </w:div>
    <w:div w:id="957685500">
      <w:bodyDiv w:val="1"/>
      <w:marLeft w:val="0"/>
      <w:marRight w:val="0"/>
      <w:marTop w:val="0"/>
      <w:marBottom w:val="0"/>
      <w:divBdr>
        <w:top w:val="none" w:sz="0" w:space="0" w:color="auto"/>
        <w:left w:val="none" w:sz="0" w:space="0" w:color="auto"/>
        <w:bottom w:val="none" w:sz="0" w:space="0" w:color="auto"/>
        <w:right w:val="none" w:sz="0" w:space="0" w:color="auto"/>
      </w:divBdr>
    </w:div>
    <w:div w:id="957755993">
      <w:bodyDiv w:val="1"/>
      <w:marLeft w:val="0"/>
      <w:marRight w:val="0"/>
      <w:marTop w:val="0"/>
      <w:marBottom w:val="0"/>
      <w:divBdr>
        <w:top w:val="none" w:sz="0" w:space="0" w:color="auto"/>
        <w:left w:val="none" w:sz="0" w:space="0" w:color="auto"/>
        <w:bottom w:val="none" w:sz="0" w:space="0" w:color="auto"/>
        <w:right w:val="none" w:sz="0" w:space="0" w:color="auto"/>
      </w:divBdr>
    </w:div>
    <w:div w:id="957760493">
      <w:bodyDiv w:val="1"/>
      <w:marLeft w:val="0"/>
      <w:marRight w:val="0"/>
      <w:marTop w:val="0"/>
      <w:marBottom w:val="0"/>
      <w:divBdr>
        <w:top w:val="none" w:sz="0" w:space="0" w:color="auto"/>
        <w:left w:val="none" w:sz="0" w:space="0" w:color="auto"/>
        <w:bottom w:val="none" w:sz="0" w:space="0" w:color="auto"/>
        <w:right w:val="none" w:sz="0" w:space="0" w:color="auto"/>
      </w:divBdr>
    </w:div>
    <w:div w:id="957950016">
      <w:bodyDiv w:val="1"/>
      <w:marLeft w:val="0"/>
      <w:marRight w:val="0"/>
      <w:marTop w:val="0"/>
      <w:marBottom w:val="0"/>
      <w:divBdr>
        <w:top w:val="none" w:sz="0" w:space="0" w:color="auto"/>
        <w:left w:val="none" w:sz="0" w:space="0" w:color="auto"/>
        <w:bottom w:val="none" w:sz="0" w:space="0" w:color="auto"/>
        <w:right w:val="none" w:sz="0" w:space="0" w:color="auto"/>
      </w:divBdr>
    </w:div>
    <w:div w:id="958031944">
      <w:bodyDiv w:val="1"/>
      <w:marLeft w:val="0"/>
      <w:marRight w:val="0"/>
      <w:marTop w:val="0"/>
      <w:marBottom w:val="0"/>
      <w:divBdr>
        <w:top w:val="none" w:sz="0" w:space="0" w:color="auto"/>
        <w:left w:val="none" w:sz="0" w:space="0" w:color="auto"/>
        <w:bottom w:val="none" w:sz="0" w:space="0" w:color="auto"/>
        <w:right w:val="none" w:sz="0" w:space="0" w:color="auto"/>
      </w:divBdr>
    </w:div>
    <w:div w:id="958147366">
      <w:bodyDiv w:val="1"/>
      <w:marLeft w:val="0"/>
      <w:marRight w:val="0"/>
      <w:marTop w:val="0"/>
      <w:marBottom w:val="0"/>
      <w:divBdr>
        <w:top w:val="none" w:sz="0" w:space="0" w:color="auto"/>
        <w:left w:val="none" w:sz="0" w:space="0" w:color="auto"/>
        <w:bottom w:val="none" w:sz="0" w:space="0" w:color="auto"/>
        <w:right w:val="none" w:sz="0" w:space="0" w:color="auto"/>
      </w:divBdr>
    </w:div>
    <w:div w:id="958150583">
      <w:bodyDiv w:val="1"/>
      <w:marLeft w:val="0"/>
      <w:marRight w:val="0"/>
      <w:marTop w:val="0"/>
      <w:marBottom w:val="0"/>
      <w:divBdr>
        <w:top w:val="none" w:sz="0" w:space="0" w:color="auto"/>
        <w:left w:val="none" w:sz="0" w:space="0" w:color="auto"/>
        <w:bottom w:val="none" w:sz="0" w:space="0" w:color="auto"/>
        <w:right w:val="none" w:sz="0" w:space="0" w:color="auto"/>
      </w:divBdr>
    </w:div>
    <w:div w:id="958217317">
      <w:bodyDiv w:val="1"/>
      <w:marLeft w:val="0"/>
      <w:marRight w:val="0"/>
      <w:marTop w:val="0"/>
      <w:marBottom w:val="0"/>
      <w:divBdr>
        <w:top w:val="none" w:sz="0" w:space="0" w:color="auto"/>
        <w:left w:val="none" w:sz="0" w:space="0" w:color="auto"/>
        <w:bottom w:val="none" w:sz="0" w:space="0" w:color="auto"/>
        <w:right w:val="none" w:sz="0" w:space="0" w:color="auto"/>
      </w:divBdr>
    </w:div>
    <w:div w:id="958223846">
      <w:bodyDiv w:val="1"/>
      <w:marLeft w:val="0"/>
      <w:marRight w:val="0"/>
      <w:marTop w:val="0"/>
      <w:marBottom w:val="0"/>
      <w:divBdr>
        <w:top w:val="none" w:sz="0" w:space="0" w:color="auto"/>
        <w:left w:val="none" w:sz="0" w:space="0" w:color="auto"/>
        <w:bottom w:val="none" w:sz="0" w:space="0" w:color="auto"/>
        <w:right w:val="none" w:sz="0" w:space="0" w:color="auto"/>
      </w:divBdr>
    </w:div>
    <w:div w:id="958411266">
      <w:bodyDiv w:val="1"/>
      <w:marLeft w:val="0"/>
      <w:marRight w:val="0"/>
      <w:marTop w:val="0"/>
      <w:marBottom w:val="0"/>
      <w:divBdr>
        <w:top w:val="none" w:sz="0" w:space="0" w:color="auto"/>
        <w:left w:val="none" w:sz="0" w:space="0" w:color="auto"/>
        <w:bottom w:val="none" w:sz="0" w:space="0" w:color="auto"/>
        <w:right w:val="none" w:sz="0" w:space="0" w:color="auto"/>
      </w:divBdr>
    </w:div>
    <w:div w:id="958413465">
      <w:bodyDiv w:val="1"/>
      <w:marLeft w:val="0"/>
      <w:marRight w:val="0"/>
      <w:marTop w:val="0"/>
      <w:marBottom w:val="0"/>
      <w:divBdr>
        <w:top w:val="none" w:sz="0" w:space="0" w:color="auto"/>
        <w:left w:val="none" w:sz="0" w:space="0" w:color="auto"/>
        <w:bottom w:val="none" w:sz="0" w:space="0" w:color="auto"/>
        <w:right w:val="none" w:sz="0" w:space="0" w:color="auto"/>
      </w:divBdr>
    </w:div>
    <w:div w:id="958415841">
      <w:bodyDiv w:val="1"/>
      <w:marLeft w:val="0"/>
      <w:marRight w:val="0"/>
      <w:marTop w:val="0"/>
      <w:marBottom w:val="0"/>
      <w:divBdr>
        <w:top w:val="none" w:sz="0" w:space="0" w:color="auto"/>
        <w:left w:val="none" w:sz="0" w:space="0" w:color="auto"/>
        <w:bottom w:val="none" w:sz="0" w:space="0" w:color="auto"/>
        <w:right w:val="none" w:sz="0" w:space="0" w:color="auto"/>
      </w:divBdr>
    </w:div>
    <w:div w:id="958532583">
      <w:bodyDiv w:val="1"/>
      <w:marLeft w:val="0"/>
      <w:marRight w:val="0"/>
      <w:marTop w:val="0"/>
      <w:marBottom w:val="0"/>
      <w:divBdr>
        <w:top w:val="none" w:sz="0" w:space="0" w:color="auto"/>
        <w:left w:val="none" w:sz="0" w:space="0" w:color="auto"/>
        <w:bottom w:val="none" w:sz="0" w:space="0" w:color="auto"/>
        <w:right w:val="none" w:sz="0" w:space="0" w:color="auto"/>
      </w:divBdr>
    </w:div>
    <w:div w:id="958726895">
      <w:bodyDiv w:val="1"/>
      <w:marLeft w:val="0"/>
      <w:marRight w:val="0"/>
      <w:marTop w:val="0"/>
      <w:marBottom w:val="0"/>
      <w:divBdr>
        <w:top w:val="none" w:sz="0" w:space="0" w:color="auto"/>
        <w:left w:val="none" w:sz="0" w:space="0" w:color="auto"/>
        <w:bottom w:val="none" w:sz="0" w:space="0" w:color="auto"/>
        <w:right w:val="none" w:sz="0" w:space="0" w:color="auto"/>
      </w:divBdr>
    </w:div>
    <w:div w:id="958755552">
      <w:bodyDiv w:val="1"/>
      <w:marLeft w:val="0"/>
      <w:marRight w:val="0"/>
      <w:marTop w:val="0"/>
      <w:marBottom w:val="0"/>
      <w:divBdr>
        <w:top w:val="none" w:sz="0" w:space="0" w:color="auto"/>
        <w:left w:val="none" w:sz="0" w:space="0" w:color="auto"/>
        <w:bottom w:val="none" w:sz="0" w:space="0" w:color="auto"/>
        <w:right w:val="none" w:sz="0" w:space="0" w:color="auto"/>
      </w:divBdr>
    </w:div>
    <w:div w:id="958801836">
      <w:bodyDiv w:val="1"/>
      <w:marLeft w:val="0"/>
      <w:marRight w:val="0"/>
      <w:marTop w:val="0"/>
      <w:marBottom w:val="0"/>
      <w:divBdr>
        <w:top w:val="none" w:sz="0" w:space="0" w:color="auto"/>
        <w:left w:val="none" w:sz="0" w:space="0" w:color="auto"/>
        <w:bottom w:val="none" w:sz="0" w:space="0" w:color="auto"/>
        <w:right w:val="none" w:sz="0" w:space="0" w:color="auto"/>
      </w:divBdr>
    </w:div>
    <w:div w:id="958947558">
      <w:bodyDiv w:val="1"/>
      <w:marLeft w:val="0"/>
      <w:marRight w:val="0"/>
      <w:marTop w:val="0"/>
      <w:marBottom w:val="0"/>
      <w:divBdr>
        <w:top w:val="none" w:sz="0" w:space="0" w:color="auto"/>
        <w:left w:val="none" w:sz="0" w:space="0" w:color="auto"/>
        <w:bottom w:val="none" w:sz="0" w:space="0" w:color="auto"/>
        <w:right w:val="none" w:sz="0" w:space="0" w:color="auto"/>
      </w:divBdr>
    </w:div>
    <w:div w:id="958996308">
      <w:bodyDiv w:val="1"/>
      <w:marLeft w:val="0"/>
      <w:marRight w:val="0"/>
      <w:marTop w:val="0"/>
      <w:marBottom w:val="0"/>
      <w:divBdr>
        <w:top w:val="none" w:sz="0" w:space="0" w:color="auto"/>
        <w:left w:val="none" w:sz="0" w:space="0" w:color="auto"/>
        <w:bottom w:val="none" w:sz="0" w:space="0" w:color="auto"/>
        <w:right w:val="none" w:sz="0" w:space="0" w:color="auto"/>
      </w:divBdr>
    </w:div>
    <w:div w:id="959382862">
      <w:bodyDiv w:val="1"/>
      <w:marLeft w:val="0"/>
      <w:marRight w:val="0"/>
      <w:marTop w:val="0"/>
      <w:marBottom w:val="0"/>
      <w:divBdr>
        <w:top w:val="none" w:sz="0" w:space="0" w:color="auto"/>
        <w:left w:val="none" w:sz="0" w:space="0" w:color="auto"/>
        <w:bottom w:val="none" w:sz="0" w:space="0" w:color="auto"/>
        <w:right w:val="none" w:sz="0" w:space="0" w:color="auto"/>
      </w:divBdr>
    </w:div>
    <w:div w:id="959535674">
      <w:bodyDiv w:val="1"/>
      <w:marLeft w:val="0"/>
      <w:marRight w:val="0"/>
      <w:marTop w:val="0"/>
      <w:marBottom w:val="0"/>
      <w:divBdr>
        <w:top w:val="none" w:sz="0" w:space="0" w:color="auto"/>
        <w:left w:val="none" w:sz="0" w:space="0" w:color="auto"/>
        <w:bottom w:val="none" w:sz="0" w:space="0" w:color="auto"/>
        <w:right w:val="none" w:sz="0" w:space="0" w:color="auto"/>
      </w:divBdr>
    </w:div>
    <w:div w:id="959610035">
      <w:bodyDiv w:val="1"/>
      <w:marLeft w:val="0"/>
      <w:marRight w:val="0"/>
      <w:marTop w:val="0"/>
      <w:marBottom w:val="0"/>
      <w:divBdr>
        <w:top w:val="none" w:sz="0" w:space="0" w:color="auto"/>
        <w:left w:val="none" w:sz="0" w:space="0" w:color="auto"/>
        <w:bottom w:val="none" w:sz="0" w:space="0" w:color="auto"/>
        <w:right w:val="none" w:sz="0" w:space="0" w:color="auto"/>
      </w:divBdr>
    </w:div>
    <w:div w:id="959725347">
      <w:bodyDiv w:val="1"/>
      <w:marLeft w:val="0"/>
      <w:marRight w:val="0"/>
      <w:marTop w:val="0"/>
      <w:marBottom w:val="0"/>
      <w:divBdr>
        <w:top w:val="none" w:sz="0" w:space="0" w:color="auto"/>
        <w:left w:val="none" w:sz="0" w:space="0" w:color="auto"/>
        <w:bottom w:val="none" w:sz="0" w:space="0" w:color="auto"/>
        <w:right w:val="none" w:sz="0" w:space="0" w:color="auto"/>
      </w:divBdr>
    </w:div>
    <w:div w:id="959725502">
      <w:bodyDiv w:val="1"/>
      <w:marLeft w:val="0"/>
      <w:marRight w:val="0"/>
      <w:marTop w:val="0"/>
      <w:marBottom w:val="0"/>
      <w:divBdr>
        <w:top w:val="none" w:sz="0" w:space="0" w:color="auto"/>
        <w:left w:val="none" w:sz="0" w:space="0" w:color="auto"/>
        <w:bottom w:val="none" w:sz="0" w:space="0" w:color="auto"/>
        <w:right w:val="none" w:sz="0" w:space="0" w:color="auto"/>
      </w:divBdr>
    </w:div>
    <w:div w:id="960192054">
      <w:bodyDiv w:val="1"/>
      <w:marLeft w:val="0"/>
      <w:marRight w:val="0"/>
      <w:marTop w:val="0"/>
      <w:marBottom w:val="0"/>
      <w:divBdr>
        <w:top w:val="none" w:sz="0" w:space="0" w:color="auto"/>
        <w:left w:val="none" w:sz="0" w:space="0" w:color="auto"/>
        <w:bottom w:val="none" w:sz="0" w:space="0" w:color="auto"/>
        <w:right w:val="none" w:sz="0" w:space="0" w:color="auto"/>
      </w:divBdr>
    </w:div>
    <w:div w:id="960498715">
      <w:bodyDiv w:val="1"/>
      <w:marLeft w:val="0"/>
      <w:marRight w:val="0"/>
      <w:marTop w:val="0"/>
      <w:marBottom w:val="0"/>
      <w:divBdr>
        <w:top w:val="none" w:sz="0" w:space="0" w:color="auto"/>
        <w:left w:val="none" w:sz="0" w:space="0" w:color="auto"/>
        <w:bottom w:val="none" w:sz="0" w:space="0" w:color="auto"/>
        <w:right w:val="none" w:sz="0" w:space="0" w:color="auto"/>
      </w:divBdr>
    </w:div>
    <w:div w:id="960694051">
      <w:bodyDiv w:val="1"/>
      <w:marLeft w:val="0"/>
      <w:marRight w:val="0"/>
      <w:marTop w:val="0"/>
      <w:marBottom w:val="0"/>
      <w:divBdr>
        <w:top w:val="none" w:sz="0" w:space="0" w:color="auto"/>
        <w:left w:val="none" w:sz="0" w:space="0" w:color="auto"/>
        <w:bottom w:val="none" w:sz="0" w:space="0" w:color="auto"/>
        <w:right w:val="none" w:sz="0" w:space="0" w:color="auto"/>
      </w:divBdr>
    </w:div>
    <w:div w:id="960724940">
      <w:bodyDiv w:val="1"/>
      <w:marLeft w:val="0"/>
      <w:marRight w:val="0"/>
      <w:marTop w:val="0"/>
      <w:marBottom w:val="0"/>
      <w:divBdr>
        <w:top w:val="none" w:sz="0" w:space="0" w:color="auto"/>
        <w:left w:val="none" w:sz="0" w:space="0" w:color="auto"/>
        <w:bottom w:val="none" w:sz="0" w:space="0" w:color="auto"/>
        <w:right w:val="none" w:sz="0" w:space="0" w:color="auto"/>
      </w:divBdr>
    </w:div>
    <w:div w:id="961420919">
      <w:bodyDiv w:val="1"/>
      <w:marLeft w:val="0"/>
      <w:marRight w:val="0"/>
      <w:marTop w:val="0"/>
      <w:marBottom w:val="0"/>
      <w:divBdr>
        <w:top w:val="none" w:sz="0" w:space="0" w:color="auto"/>
        <w:left w:val="none" w:sz="0" w:space="0" w:color="auto"/>
        <w:bottom w:val="none" w:sz="0" w:space="0" w:color="auto"/>
        <w:right w:val="none" w:sz="0" w:space="0" w:color="auto"/>
      </w:divBdr>
    </w:div>
    <w:div w:id="961421384">
      <w:bodyDiv w:val="1"/>
      <w:marLeft w:val="0"/>
      <w:marRight w:val="0"/>
      <w:marTop w:val="0"/>
      <w:marBottom w:val="0"/>
      <w:divBdr>
        <w:top w:val="none" w:sz="0" w:space="0" w:color="auto"/>
        <w:left w:val="none" w:sz="0" w:space="0" w:color="auto"/>
        <w:bottom w:val="none" w:sz="0" w:space="0" w:color="auto"/>
        <w:right w:val="none" w:sz="0" w:space="0" w:color="auto"/>
      </w:divBdr>
    </w:div>
    <w:div w:id="961693779">
      <w:bodyDiv w:val="1"/>
      <w:marLeft w:val="0"/>
      <w:marRight w:val="0"/>
      <w:marTop w:val="0"/>
      <w:marBottom w:val="0"/>
      <w:divBdr>
        <w:top w:val="none" w:sz="0" w:space="0" w:color="auto"/>
        <w:left w:val="none" w:sz="0" w:space="0" w:color="auto"/>
        <w:bottom w:val="none" w:sz="0" w:space="0" w:color="auto"/>
        <w:right w:val="none" w:sz="0" w:space="0" w:color="auto"/>
      </w:divBdr>
    </w:div>
    <w:div w:id="961958113">
      <w:bodyDiv w:val="1"/>
      <w:marLeft w:val="0"/>
      <w:marRight w:val="0"/>
      <w:marTop w:val="0"/>
      <w:marBottom w:val="0"/>
      <w:divBdr>
        <w:top w:val="none" w:sz="0" w:space="0" w:color="auto"/>
        <w:left w:val="none" w:sz="0" w:space="0" w:color="auto"/>
        <w:bottom w:val="none" w:sz="0" w:space="0" w:color="auto"/>
        <w:right w:val="none" w:sz="0" w:space="0" w:color="auto"/>
      </w:divBdr>
    </w:div>
    <w:div w:id="961961628">
      <w:bodyDiv w:val="1"/>
      <w:marLeft w:val="0"/>
      <w:marRight w:val="0"/>
      <w:marTop w:val="0"/>
      <w:marBottom w:val="0"/>
      <w:divBdr>
        <w:top w:val="none" w:sz="0" w:space="0" w:color="auto"/>
        <w:left w:val="none" w:sz="0" w:space="0" w:color="auto"/>
        <w:bottom w:val="none" w:sz="0" w:space="0" w:color="auto"/>
        <w:right w:val="none" w:sz="0" w:space="0" w:color="auto"/>
      </w:divBdr>
    </w:div>
    <w:div w:id="962080582">
      <w:bodyDiv w:val="1"/>
      <w:marLeft w:val="0"/>
      <w:marRight w:val="0"/>
      <w:marTop w:val="0"/>
      <w:marBottom w:val="0"/>
      <w:divBdr>
        <w:top w:val="none" w:sz="0" w:space="0" w:color="auto"/>
        <w:left w:val="none" w:sz="0" w:space="0" w:color="auto"/>
        <w:bottom w:val="none" w:sz="0" w:space="0" w:color="auto"/>
        <w:right w:val="none" w:sz="0" w:space="0" w:color="auto"/>
      </w:divBdr>
    </w:div>
    <w:div w:id="962344040">
      <w:bodyDiv w:val="1"/>
      <w:marLeft w:val="0"/>
      <w:marRight w:val="0"/>
      <w:marTop w:val="0"/>
      <w:marBottom w:val="0"/>
      <w:divBdr>
        <w:top w:val="none" w:sz="0" w:space="0" w:color="auto"/>
        <w:left w:val="none" w:sz="0" w:space="0" w:color="auto"/>
        <w:bottom w:val="none" w:sz="0" w:space="0" w:color="auto"/>
        <w:right w:val="none" w:sz="0" w:space="0" w:color="auto"/>
      </w:divBdr>
    </w:div>
    <w:div w:id="962468443">
      <w:bodyDiv w:val="1"/>
      <w:marLeft w:val="0"/>
      <w:marRight w:val="0"/>
      <w:marTop w:val="0"/>
      <w:marBottom w:val="0"/>
      <w:divBdr>
        <w:top w:val="none" w:sz="0" w:space="0" w:color="auto"/>
        <w:left w:val="none" w:sz="0" w:space="0" w:color="auto"/>
        <w:bottom w:val="none" w:sz="0" w:space="0" w:color="auto"/>
        <w:right w:val="none" w:sz="0" w:space="0" w:color="auto"/>
      </w:divBdr>
    </w:div>
    <w:div w:id="962494060">
      <w:bodyDiv w:val="1"/>
      <w:marLeft w:val="0"/>
      <w:marRight w:val="0"/>
      <w:marTop w:val="0"/>
      <w:marBottom w:val="0"/>
      <w:divBdr>
        <w:top w:val="none" w:sz="0" w:space="0" w:color="auto"/>
        <w:left w:val="none" w:sz="0" w:space="0" w:color="auto"/>
        <w:bottom w:val="none" w:sz="0" w:space="0" w:color="auto"/>
        <w:right w:val="none" w:sz="0" w:space="0" w:color="auto"/>
      </w:divBdr>
    </w:div>
    <w:div w:id="962610601">
      <w:bodyDiv w:val="1"/>
      <w:marLeft w:val="0"/>
      <w:marRight w:val="0"/>
      <w:marTop w:val="0"/>
      <w:marBottom w:val="0"/>
      <w:divBdr>
        <w:top w:val="none" w:sz="0" w:space="0" w:color="auto"/>
        <w:left w:val="none" w:sz="0" w:space="0" w:color="auto"/>
        <w:bottom w:val="none" w:sz="0" w:space="0" w:color="auto"/>
        <w:right w:val="none" w:sz="0" w:space="0" w:color="auto"/>
      </w:divBdr>
    </w:div>
    <w:div w:id="962614124">
      <w:bodyDiv w:val="1"/>
      <w:marLeft w:val="0"/>
      <w:marRight w:val="0"/>
      <w:marTop w:val="0"/>
      <w:marBottom w:val="0"/>
      <w:divBdr>
        <w:top w:val="none" w:sz="0" w:space="0" w:color="auto"/>
        <w:left w:val="none" w:sz="0" w:space="0" w:color="auto"/>
        <w:bottom w:val="none" w:sz="0" w:space="0" w:color="auto"/>
        <w:right w:val="none" w:sz="0" w:space="0" w:color="auto"/>
      </w:divBdr>
    </w:div>
    <w:div w:id="962736695">
      <w:bodyDiv w:val="1"/>
      <w:marLeft w:val="0"/>
      <w:marRight w:val="0"/>
      <w:marTop w:val="0"/>
      <w:marBottom w:val="0"/>
      <w:divBdr>
        <w:top w:val="none" w:sz="0" w:space="0" w:color="auto"/>
        <w:left w:val="none" w:sz="0" w:space="0" w:color="auto"/>
        <w:bottom w:val="none" w:sz="0" w:space="0" w:color="auto"/>
        <w:right w:val="none" w:sz="0" w:space="0" w:color="auto"/>
      </w:divBdr>
    </w:div>
    <w:div w:id="962806995">
      <w:bodyDiv w:val="1"/>
      <w:marLeft w:val="0"/>
      <w:marRight w:val="0"/>
      <w:marTop w:val="0"/>
      <w:marBottom w:val="0"/>
      <w:divBdr>
        <w:top w:val="none" w:sz="0" w:space="0" w:color="auto"/>
        <w:left w:val="none" w:sz="0" w:space="0" w:color="auto"/>
        <w:bottom w:val="none" w:sz="0" w:space="0" w:color="auto"/>
        <w:right w:val="none" w:sz="0" w:space="0" w:color="auto"/>
      </w:divBdr>
    </w:div>
    <w:div w:id="962812385">
      <w:bodyDiv w:val="1"/>
      <w:marLeft w:val="0"/>
      <w:marRight w:val="0"/>
      <w:marTop w:val="0"/>
      <w:marBottom w:val="0"/>
      <w:divBdr>
        <w:top w:val="none" w:sz="0" w:space="0" w:color="auto"/>
        <w:left w:val="none" w:sz="0" w:space="0" w:color="auto"/>
        <w:bottom w:val="none" w:sz="0" w:space="0" w:color="auto"/>
        <w:right w:val="none" w:sz="0" w:space="0" w:color="auto"/>
      </w:divBdr>
    </w:div>
    <w:div w:id="962881565">
      <w:bodyDiv w:val="1"/>
      <w:marLeft w:val="0"/>
      <w:marRight w:val="0"/>
      <w:marTop w:val="0"/>
      <w:marBottom w:val="0"/>
      <w:divBdr>
        <w:top w:val="none" w:sz="0" w:space="0" w:color="auto"/>
        <w:left w:val="none" w:sz="0" w:space="0" w:color="auto"/>
        <w:bottom w:val="none" w:sz="0" w:space="0" w:color="auto"/>
        <w:right w:val="none" w:sz="0" w:space="0" w:color="auto"/>
      </w:divBdr>
    </w:div>
    <w:div w:id="962882345">
      <w:bodyDiv w:val="1"/>
      <w:marLeft w:val="0"/>
      <w:marRight w:val="0"/>
      <w:marTop w:val="0"/>
      <w:marBottom w:val="0"/>
      <w:divBdr>
        <w:top w:val="none" w:sz="0" w:space="0" w:color="auto"/>
        <w:left w:val="none" w:sz="0" w:space="0" w:color="auto"/>
        <w:bottom w:val="none" w:sz="0" w:space="0" w:color="auto"/>
        <w:right w:val="none" w:sz="0" w:space="0" w:color="auto"/>
      </w:divBdr>
    </w:div>
    <w:div w:id="963004294">
      <w:bodyDiv w:val="1"/>
      <w:marLeft w:val="0"/>
      <w:marRight w:val="0"/>
      <w:marTop w:val="0"/>
      <w:marBottom w:val="0"/>
      <w:divBdr>
        <w:top w:val="none" w:sz="0" w:space="0" w:color="auto"/>
        <w:left w:val="none" w:sz="0" w:space="0" w:color="auto"/>
        <w:bottom w:val="none" w:sz="0" w:space="0" w:color="auto"/>
        <w:right w:val="none" w:sz="0" w:space="0" w:color="auto"/>
      </w:divBdr>
    </w:div>
    <w:div w:id="963123438">
      <w:bodyDiv w:val="1"/>
      <w:marLeft w:val="0"/>
      <w:marRight w:val="0"/>
      <w:marTop w:val="0"/>
      <w:marBottom w:val="0"/>
      <w:divBdr>
        <w:top w:val="none" w:sz="0" w:space="0" w:color="auto"/>
        <w:left w:val="none" w:sz="0" w:space="0" w:color="auto"/>
        <w:bottom w:val="none" w:sz="0" w:space="0" w:color="auto"/>
        <w:right w:val="none" w:sz="0" w:space="0" w:color="auto"/>
      </w:divBdr>
    </w:div>
    <w:div w:id="963273511">
      <w:bodyDiv w:val="1"/>
      <w:marLeft w:val="0"/>
      <w:marRight w:val="0"/>
      <w:marTop w:val="0"/>
      <w:marBottom w:val="0"/>
      <w:divBdr>
        <w:top w:val="none" w:sz="0" w:space="0" w:color="auto"/>
        <w:left w:val="none" w:sz="0" w:space="0" w:color="auto"/>
        <w:bottom w:val="none" w:sz="0" w:space="0" w:color="auto"/>
        <w:right w:val="none" w:sz="0" w:space="0" w:color="auto"/>
      </w:divBdr>
    </w:div>
    <w:div w:id="963383498">
      <w:bodyDiv w:val="1"/>
      <w:marLeft w:val="0"/>
      <w:marRight w:val="0"/>
      <w:marTop w:val="0"/>
      <w:marBottom w:val="0"/>
      <w:divBdr>
        <w:top w:val="none" w:sz="0" w:space="0" w:color="auto"/>
        <w:left w:val="none" w:sz="0" w:space="0" w:color="auto"/>
        <w:bottom w:val="none" w:sz="0" w:space="0" w:color="auto"/>
        <w:right w:val="none" w:sz="0" w:space="0" w:color="auto"/>
      </w:divBdr>
    </w:div>
    <w:div w:id="963467627">
      <w:bodyDiv w:val="1"/>
      <w:marLeft w:val="0"/>
      <w:marRight w:val="0"/>
      <w:marTop w:val="0"/>
      <w:marBottom w:val="0"/>
      <w:divBdr>
        <w:top w:val="none" w:sz="0" w:space="0" w:color="auto"/>
        <w:left w:val="none" w:sz="0" w:space="0" w:color="auto"/>
        <w:bottom w:val="none" w:sz="0" w:space="0" w:color="auto"/>
        <w:right w:val="none" w:sz="0" w:space="0" w:color="auto"/>
      </w:divBdr>
    </w:div>
    <w:div w:id="963542766">
      <w:bodyDiv w:val="1"/>
      <w:marLeft w:val="0"/>
      <w:marRight w:val="0"/>
      <w:marTop w:val="0"/>
      <w:marBottom w:val="0"/>
      <w:divBdr>
        <w:top w:val="none" w:sz="0" w:space="0" w:color="auto"/>
        <w:left w:val="none" w:sz="0" w:space="0" w:color="auto"/>
        <w:bottom w:val="none" w:sz="0" w:space="0" w:color="auto"/>
        <w:right w:val="none" w:sz="0" w:space="0" w:color="auto"/>
      </w:divBdr>
    </w:div>
    <w:div w:id="963579297">
      <w:bodyDiv w:val="1"/>
      <w:marLeft w:val="0"/>
      <w:marRight w:val="0"/>
      <w:marTop w:val="0"/>
      <w:marBottom w:val="0"/>
      <w:divBdr>
        <w:top w:val="none" w:sz="0" w:space="0" w:color="auto"/>
        <w:left w:val="none" w:sz="0" w:space="0" w:color="auto"/>
        <w:bottom w:val="none" w:sz="0" w:space="0" w:color="auto"/>
        <w:right w:val="none" w:sz="0" w:space="0" w:color="auto"/>
      </w:divBdr>
    </w:div>
    <w:div w:id="963655584">
      <w:bodyDiv w:val="1"/>
      <w:marLeft w:val="0"/>
      <w:marRight w:val="0"/>
      <w:marTop w:val="0"/>
      <w:marBottom w:val="0"/>
      <w:divBdr>
        <w:top w:val="none" w:sz="0" w:space="0" w:color="auto"/>
        <w:left w:val="none" w:sz="0" w:space="0" w:color="auto"/>
        <w:bottom w:val="none" w:sz="0" w:space="0" w:color="auto"/>
        <w:right w:val="none" w:sz="0" w:space="0" w:color="auto"/>
      </w:divBdr>
    </w:div>
    <w:div w:id="963655907">
      <w:bodyDiv w:val="1"/>
      <w:marLeft w:val="0"/>
      <w:marRight w:val="0"/>
      <w:marTop w:val="0"/>
      <w:marBottom w:val="0"/>
      <w:divBdr>
        <w:top w:val="none" w:sz="0" w:space="0" w:color="auto"/>
        <w:left w:val="none" w:sz="0" w:space="0" w:color="auto"/>
        <w:bottom w:val="none" w:sz="0" w:space="0" w:color="auto"/>
        <w:right w:val="none" w:sz="0" w:space="0" w:color="auto"/>
      </w:divBdr>
    </w:div>
    <w:div w:id="963728145">
      <w:bodyDiv w:val="1"/>
      <w:marLeft w:val="0"/>
      <w:marRight w:val="0"/>
      <w:marTop w:val="0"/>
      <w:marBottom w:val="0"/>
      <w:divBdr>
        <w:top w:val="none" w:sz="0" w:space="0" w:color="auto"/>
        <w:left w:val="none" w:sz="0" w:space="0" w:color="auto"/>
        <w:bottom w:val="none" w:sz="0" w:space="0" w:color="auto"/>
        <w:right w:val="none" w:sz="0" w:space="0" w:color="auto"/>
      </w:divBdr>
    </w:div>
    <w:div w:id="963804820">
      <w:bodyDiv w:val="1"/>
      <w:marLeft w:val="0"/>
      <w:marRight w:val="0"/>
      <w:marTop w:val="0"/>
      <w:marBottom w:val="0"/>
      <w:divBdr>
        <w:top w:val="none" w:sz="0" w:space="0" w:color="auto"/>
        <w:left w:val="none" w:sz="0" w:space="0" w:color="auto"/>
        <w:bottom w:val="none" w:sz="0" w:space="0" w:color="auto"/>
        <w:right w:val="none" w:sz="0" w:space="0" w:color="auto"/>
      </w:divBdr>
    </w:div>
    <w:div w:id="963999079">
      <w:bodyDiv w:val="1"/>
      <w:marLeft w:val="0"/>
      <w:marRight w:val="0"/>
      <w:marTop w:val="0"/>
      <w:marBottom w:val="0"/>
      <w:divBdr>
        <w:top w:val="none" w:sz="0" w:space="0" w:color="auto"/>
        <w:left w:val="none" w:sz="0" w:space="0" w:color="auto"/>
        <w:bottom w:val="none" w:sz="0" w:space="0" w:color="auto"/>
        <w:right w:val="none" w:sz="0" w:space="0" w:color="auto"/>
      </w:divBdr>
    </w:div>
    <w:div w:id="964316135">
      <w:bodyDiv w:val="1"/>
      <w:marLeft w:val="0"/>
      <w:marRight w:val="0"/>
      <w:marTop w:val="0"/>
      <w:marBottom w:val="0"/>
      <w:divBdr>
        <w:top w:val="none" w:sz="0" w:space="0" w:color="auto"/>
        <w:left w:val="none" w:sz="0" w:space="0" w:color="auto"/>
        <w:bottom w:val="none" w:sz="0" w:space="0" w:color="auto"/>
        <w:right w:val="none" w:sz="0" w:space="0" w:color="auto"/>
      </w:divBdr>
    </w:div>
    <w:div w:id="964387032">
      <w:bodyDiv w:val="1"/>
      <w:marLeft w:val="0"/>
      <w:marRight w:val="0"/>
      <w:marTop w:val="0"/>
      <w:marBottom w:val="0"/>
      <w:divBdr>
        <w:top w:val="none" w:sz="0" w:space="0" w:color="auto"/>
        <w:left w:val="none" w:sz="0" w:space="0" w:color="auto"/>
        <w:bottom w:val="none" w:sz="0" w:space="0" w:color="auto"/>
        <w:right w:val="none" w:sz="0" w:space="0" w:color="auto"/>
      </w:divBdr>
    </w:div>
    <w:div w:id="964698123">
      <w:bodyDiv w:val="1"/>
      <w:marLeft w:val="0"/>
      <w:marRight w:val="0"/>
      <w:marTop w:val="0"/>
      <w:marBottom w:val="0"/>
      <w:divBdr>
        <w:top w:val="none" w:sz="0" w:space="0" w:color="auto"/>
        <w:left w:val="none" w:sz="0" w:space="0" w:color="auto"/>
        <w:bottom w:val="none" w:sz="0" w:space="0" w:color="auto"/>
        <w:right w:val="none" w:sz="0" w:space="0" w:color="auto"/>
      </w:divBdr>
    </w:div>
    <w:div w:id="964702073">
      <w:bodyDiv w:val="1"/>
      <w:marLeft w:val="0"/>
      <w:marRight w:val="0"/>
      <w:marTop w:val="0"/>
      <w:marBottom w:val="0"/>
      <w:divBdr>
        <w:top w:val="none" w:sz="0" w:space="0" w:color="auto"/>
        <w:left w:val="none" w:sz="0" w:space="0" w:color="auto"/>
        <w:bottom w:val="none" w:sz="0" w:space="0" w:color="auto"/>
        <w:right w:val="none" w:sz="0" w:space="0" w:color="auto"/>
      </w:divBdr>
    </w:div>
    <w:div w:id="964965459">
      <w:bodyDiv w:val="1"/>
      <w:marLeft w:val="0"/>
      <w:marRight w:val="0"/>
      <w:marTop w:val="0"/>
      <w:marBottom w:val="0"/>
      <w:divBdr>
        <w:top w:val="none" w:sz="0" w:space="0" w:color="auto"/>
        <w:left w:val="none" w:sz="0" w:space="0" w:color="auto"/>
        <w:bottom w:val="none" w:sz="0" w:space="0" w:color="auto"/>
        <w:right w:val="none" w:sz="0" w:space="0" w:color="auto"/>
      </w:divBdr>
    </w:div>
    <w:div w:id="965046350">
      <w:bodyDiv w:val="1"/>
      <w:marLeft w:val="0"/>
      <w:marRight w:val="0"/>
      <w:marTop w:val="0"/>
      <w:marBottom w:val="0"/>
      <w:divBdr>
        <w:top w:val="none" w:sz="0" w:space="0" w:color="auto"/>
        <w:left w:val="none" w:sz="0" w:space="0" w:color="auto"/>
        <w:bottom w:val="none" w:sz="0" w:space="0" w:color="auto"/>
        <w:right w:val="none" w:sz="0" w:space="0" w:color="auto"/>
      </w:divBdr>
    </w:div>
    <w:div w:id="965086883">
      <w:bodyDiv w:val="1"/>
      <w:marLeft w:val="0"/>
      <w:marRight w:val="0"/>
      <w:marTop w:val="0"/>
      <w:marBottom w:val="0"/>
      <w:divBdr>
        <w:top w:val="none" w:sz="0" w:space="0" w:color="auto"/>
        <w:left w:val="none" w:sz="0" w:space="0" w:color="auto"/>
        <w:bottom w:val="none" w:sz="0" w:space="0" w:color="auto"/>
        <w:right w:val="none" w:sz="0" w:space="0" w:color="auto"/>
      </w:divBdr>
    </w:div>
    <w:div w:id="965309008">
      <w:bodyDiv w:val="1"/>
      <w:marLeft w:val="0"/>
      <w:marRight w:val="0"/>
      <w:marTop w:val="0"/>
      <w:marBottom w:val="0"/>
      <w:divBdr>
        <w:top w:val="none" w:sz="0" w:space="0" w:color="auto"/>
        <w:left w:val="none" w:sz="0" w:space="0" w:color="auto"/>
        <w:bottom w:val="none" w:sz="0" w:space="0" w:color="auto"/>
        <w:right w:val="none" w:sz="0" w:space="0" w:color="auto"/>
      </w:divBdr>
    </w:div>
    <w:div w:id="965619495">
      <w:bodyDiv w:val="1"/>
      <w:marLeft w:val="0"/>
      <w:marRight w:val="0"/>
      <w:marTop w:val="0"/>
      <w:marBottom w:val="0"/>
      <w:divBdr>
        <w:top w:val="none" w:sz="0" w:space="0" w:color="auto"/>
        <w:left w:val="none" w:sz="0" w:space="0" w:color="auto"/>
        <w:bottom w:val="none" w:sz="0" w:space="0" w:color="auto"/>
        <w:right w:val="none" w:sz="0" w:space="0" w:color="auto"/>
      </w:divBdr>
    </w:div>
    <w:div w:id="965888894">
      <w:bodyDiv w:val="1"/>
      <w:marLeft w:val="0"/>
      <w:marRight w:val="0"/>
      <w:marTop w:val="0"/>
      <w:marBottom w:val="0"/>
      <w:divBdr>
        <w:top w:val="none" w:sz="0" w:space="0" w:color="auto"/>
        <w:left w:val="none" w:sz="0" w:space="0" w:color="auto"/>
        <w:bottom w:val="none" w:sz="0" w:space="0" w:color="auto"/>
        <w:right w:val="none" w:sz="0" w:space="0" w:color="auto"/>
      </w:divBdr>
    </w:div>
    <w:div w:id="966005560">
      <w:bodyDiv w:val="1"/>
      <w:marLeft w:val="0"/>
      <w:marRight w:val="0"/>
      <w:marTop w:val="0"/>
      <w:marBottom w:val="0"/>
      <w:divBdr>
        <w:top w:val="none" w:sz="0" w:space="0" w:color="auto"/>
        <w:left w:val="none" w:sz="0" w:space="0" w:color="auto"/>
        <w:bottom w:val="none" w:sz="0" w:space="0" w:color="auto"/>
        <w:right w:val="none" w:sz="0" w:space="0" w:color="auto"/>
      </w:divBdr>
    </w:div>
    <w:div w:id="966008734">
      <w:bodyDiv w:val="1"/>
      <w:marLeft w:val="0"/>
      <w:marRight w:val="0"/>
      <w:marTop w:val="0"/>
      <w:marBottom w:val="0"/>
      <w:divBdr>
        <w:top w:val="none" w:sz="0" w:space="0" w:color="auto"/>
        <w:left w:val="none" w:sz="0" w:space="0" w:color="auto"/>
        <w:bottom w:val="none" w:sz="0" w:space="0" w:color="auto"/>
        <w:right w:val="none" w:sz="0" w:space="0" w:color="auto"/>
      </w:divBdr>
    </w:div>
    <w:div w:id="966009290">
      <w:bodyDiv w:val="1"/>
      <w:marLeft w:val="0"/>
      <w:marRight w:val="0"/>
      <w:marTop w:val="0"/>
      <w:marBottom w:val="0"/>
      <w:divBdr>
        <w:top w:val="none" w:sz="0" w:space="0" w:color="auto"/>
        <w:left w:val="none" w:sz="0" w:space="0" w:color="auto"/>
        <w:bottom w:val="none" w:sz="0" w:space="0" w:color="auto"/>
        <w:right w:val="none" w:sz="0" w:space="0" w:color="auto"/>
      </w:divBdr>
    </w:div>
    <w:div w:id="966011585">
      <w:bodyDiv w:val="1"/>
      <w:marLeft w:val="0"/>
      <w:marRight w:val="0"/>
      <w:marTop w:val="0"/>
      <w:marBottom w:val="0"/>
      <w:divBdr>
        <w:top w:val="none" w:sz="0" w:space="0" w:color="auto"/>
        <w:left w:val="none" w:sz="0" w:space="0" w:color="auto"/>
        <w:bottom w:val="none" w:sz="0" w:space="0" w:color="auto"/>
        <w:right w:val="none" w:sz="0" w:space="0" w:color="auto"/>
      </w:divBdr>
    </w:div>
    <w:div w:id="966087059">
      <w:bodyDiv w:val="1"/>
      <w:marLeft w:val="0"/>
      <w:marRight w:val="0"/>
      <w:marTop w:val="0"/>
      <w:marBottom w:val="0"/>
      <w:divBdr>
        <w:top w:val="none" w:sz="0" w:space="0" w:color="auto"/>
        <w:left w:val="none" w:sz="0" w:space="0" w:color="auto"/>
        <w:bottom w:val="none" w:sz="0" w:space="0" w:color="auto"/>
        <w:right w:val="none" w:sz="0" w:space="0" w:color="auto"/>
      </w:divBdr>
    </w:div>
    <w:div w:id="966469109">
      <w:bodyDiv w:val="1"/>
      <w:marLeft w:val="0"/>
      <w:marRight w:val="0"/>
      <w:marTop w:val="0"/>
      <w:marBottom w:val="0"/>
      <w:divBdr>
        <w:top w:val="none" w:sz="0" w:space="0" w:color="auto"/>
        <w:left w:val="none" w:sz="0" w:space="0" w:color="auto"/>
        <w:bottom w:val="none" w:sz="0" w:space="0" w:color="auto"/>
        <w:right w:val="none" w:sz="0" w:space="0" w:color="auto"/>
      </w:divBdr>
    </w:div>
    <w:div w:id="966544376">
      <w:bodyDiv w:val="1"/>
      <w:marLeft w:val="0"/>
      <w:marRight w:val="0"/>
      <w:marTop w:val="0"/>
      <w:marBottom w:val="0"/>
      <w:divBdr>
        <w:top w:val="none" w:sz="0" w:space="0" w:color="auto"/>
        <w:left w:val="none" w:sz="0" w:space="0" w:color="auto"/>
        <w:bottom w:val="none" w:sz="0" w:space="0" w:color="auto"/>
        <w:right w:val="none" w:sz="0" w:space="0" w:color="auto"/>
      </w:divBdr>
    </w:div>
    <w:div w:id="967198305">
      <w:bodyDiv w:val="1"/>
      <w:marLeft w:val="0"/>
      <w:marRight w:val="0"/>
      <w:marTop w:val="0"/>
      <w:marBottom w:val="0"/>
      <w:divBdr>
        <w:top w:val="none" w:sz="0" w:space="0" w:color="auto"/>
        <w:left w:val="none" w:sz="0" w:space="0" w:color="auto"/>
        <w:bottom w:val="none" w:sz="0" w:space="0" w:color="auto"/>
        <w:right w:val="none" w:sz="0" w:space="0" w:color="auto"/>
      </w:divBdr>
    </w:div>
    <w:div w:id="967203387">
      <w:bodyDiv w:val="1"/>
      <w:marLeft w:val="0"/>
      <w:marRight w:val="0"/>
      <w:marTop w:val="0"/>
      <w:marBottom w:val="0"/>
      <w:divBdr>
        <w:top w:val="none" w:sz="0" w:space="0" w:color="auto"/>
        <w:left w:val="none" w:sz="0" w:space="0" w:color="auto"/>
        <w:bottom w:val="none" w:sz="0" w:space="0" w:color="auto"/>
        <w:right w:val="none" w:sz="0" w:space="0" w:color="auto"/>
      </w:divBdr>
    </w:div>
    <w:div w:id="967469633">
      <w:bodyDiv w:val="1"/>
      <w:marLeft w:val="0"/>
      <w:marRight w:val="0"/>
      <w:marTop w:val="0"/>
      <w:marBottom w:val="0"/>
      <w:divBdr>
        <w:top w:val="none" w:sz="0" w:space="0" w:color="auto"/>
        <w:left w:val="none" w:sz="0" w:space="0" w:color="auto"/>
        <w:bottom w:val="none" w:sz="0" w:space="0" w:color="auto"/>
        <w:right w:val="none" w:sz="0" w:space="0" w:color="auto"/>
      </w:divBdr>
    </w:div>
    <w:div w:id="967736471">
      <w:bodyDiv w:val="1"/>
      <w:marLeft w:val="0"/>
      <w:marRight w:val="0"/>
      <w:marTop w:val="0"/>
      <w:marBottom w:val="0"/>
      <w:divBdr>
        <w:top w:val="none" w:sz="0" w:space="0" w:color="auto"/>
        <w:left w:val="none" w:sz="0" w:space="0" w:color="auto"/>
        <w:bottom w:val="none" w:sz="0" w:space="0" w:color="auto"/>
        <w:right w:val="none" w:sz="0" w:space="0" w:color="auto"/>
      </w:divBdr>
    </w:div>
    <w:div w:id="967781983">
      <w:bodyDiv w:val="1"/>
      <w:marLeft w:val="0"/>
      <w:marRight w:val="0"/>
      <w:marTop w:val="0"/>
      <w:marBottom w:val="0"/>
      <w:divBdr>
        <w:top w:val="none" w:sz="0" w:space="0" w:color="auto"/>
        <w:left w:val="none" w:sz="0" w:space="0" w:color="auto"/>
        <w:bottom w:val="none" w:sz="0" w:space="0" w:color="auto"/>
        <w:right w:val="none" w:sz="0" w:space="0" w:color="auto"/>
      </w:divBdr>
    </w:div>
    <w:div w:id="968125198">
      <w:bodyDiv w:val="1"/>
      <w:marLeft w:val="0"/>
      <w:marRight w:val="0"/>
      <w:marTop w:val="0"/>
      <w:marBottom w:val="0"/>
      <w:divBdr>
        <w:top w:val="none" w:sz="0" w:space="0" w:color="auto"/>
        <w:left w:val="none" w:sz="0" w:space="0" w:color="auto"/>
        <w:bottom w:val="none" w:sz="0" w:space="0" w:color="auto"/>
        <w:right w:val="none" w:sz="0" w:space="0" w:color="auto"/>
      </w:divBdr>
    </w:div>
    <w:div w:id="968391449">
      <w:bodyDiv w:val="1"/>
      <w:marLeft w:val="0"/>
      <w:marRight w:val="0"/>
      <w:marTop w:val="0"/>
      <w:marBottom w:val="0"/>
      <w:divBdr>
        <w:top w:val="none" w:sz="0" w:space="0" w:color="auto"/>
        <w:left w:val="none" w:sz="0" w:space="0" w:color="auto"/>
        <w:bottom w:val="none" w:sz="0" w:space="0" w:color="auto"/>
        <w:right w:val="none" w:sz="0" w:space="0" w:color="auto"/>
      </w:divBdr>
    </w:div>
    <w:div w:id="968630358">
      <w:bodyDiv w:val="1"/>
      <w:marLeft w:val="0"/>
      <w:marRight w:val="0"/>
      <w:marTop w:val="0"/>
      <w:marBottom w:val="0"/>
      <w:divBdr>
        <w:top w:val="none" w:sz="0" w:space="0" w:color="auto"/>
        <w:left w:val="none" w:sz="0" w:space="0" w:color="auto"/>
        <w:bottom w:val="none" w:sz="0" w:space="0" w:color="auto"/>
        <w:right w:val="none" w:sz="0" w:space="0" w:color="auto"/>
      </w:divBdr>
    </w:div>
    <w:div w:id="968705754">
      <w:bodyDiv w:val="1"/>
      <w:marLeft w:val="0"/>
      <w:marRight w:val="0"/>
      <w:marTop w:val="0"/>
      <w:marBottom w:val="0"/>
      <w:divBdr>
        <w:top w:val="none" w:sz="0" w:space="0" w:color="auto"/>
        <w:left w:val="none" w:sz="0" w:space="0" w:color="auto"/>
        <w:bottom w:val="none" w:sz="0" w:space="0" w:color="auto"/>
        <w:right w:val="none" w:sz="0" w:space="0" w:color="auto"/>
      </w:divBdr>
    </w:div>
    <w:div w:id="968827789">
      <w:bodyDiv w:val="1"/>
      <w:marLeft w:val="0"/>
      <w:marRight w:val="0"/>
      <w:marTop w:val="0"/>
      <w:marBottom w:val="0"/>
      <w:divBdr>
        <w:top w:val="none" w:sz="0" w:space="0" w:color="auto"/>
        <w:left w:val="none" w:sz="0" w:space="0" w:color="auto"/>
        <w:bottom w:val="none" w:sz="0" w:space="0" w:color="auto"/>
        <w:right w:val="none" w:sz="0" w:space="0" w:color="auto"/>
      </w:divBdr>
    </w:div>
    <w:div w:id="968971363">
      <w:bodyDiv w:val="1"/>
      <w:marLeft w:val="0"/>
      <w:marRight w:val="0"/>
      <w:marTop w:val="0"/>
      <w:marBottom w:val="0"/>
      <w:divBdr>
        <w:top w:val="none" w:sz="0" w:space="0" w:color="auto"/>
        <w:left w:val="none" w:sz="0" w:space="0" w:color="auto"/>
        <w:bottom w:val="none" w:sz="0" w:space="0" w:color="auto"/>
        <w:right w:val="none" w:sz="0" w:space="0" w:color="auto"/>
      </w:divBdr>
    </w:div>
    <w:div w:id="969478465">
      <w:bodyDiv w:val="1"/>
      <w:marLeft w:val="0"/>
      <w:marRight w:val="0"/>
      <w:marTop w:val="0"/>
      <w:marBottom w:val="0"/>
      <w:divBdr>
        <w:top w:val="none" w:sz="0" w:space="0" w:color="auto"/>
        <w:left w:val="none" w:sz="0" w:space="0" w:color="auto"/>
        <w:bottom w:val="none" w:sz="0" w:space="0" w:color="auto"/>
        <w:right w:val="none" w:sz="0" w:space="0" w:color="auto"/>
      </w:divBdr>
    </w:div>
    <w:div w:id="969553927">
      <w:bodyDiv w:val="1"/>
      <w:marLeft w:val="0"/>
      <w:marRight w:val="0"/>
      <w:marTop w:val="0"/>
      <w:marBottom w:val="0"/>
      <w:divBdr>
        <w:top w:val="none" w:sz="0" w:space="0" w:color="auto"/>
        <w:left w:val="none" w:sz="0" w:space="0" w:color="auto"/>
        <w:bottom w:val="none" w:sz="0" w:space="0" w:color="auto"/>
        <w:right w:val="none" w:sz="0" w:space="0" w:color="auto"/>
      </w:divBdr>
    </w:div>
    <w:div w:id="969555932">
      <w:bodyDiv w:val="1"/>
      <w:marLeft w:val="0"/>
      <w:marRight w:val="0"/>
      <w:marTop w:val="0"/>
      <w:marBottom w:val="0"/>
      <w:divBdr>
        <w:top w:val="none" w:sz="0" w:space="0" w:color="auto"/>
        <w:left w:val="none" w:sz="0" w:space="0" w:color="auto"/>
        <w:bottom w:val="none" w:sz="0" w:space="0" w:color="auto"/>
        <w:right w:val="none" w:sz="0" w:space="0" w:color="auto"/>
      </w:divBdr>
    </w:div>
    <w:div w:id="969629844">
      <w:bodyDiv w:val="1"/>
      <w:marLeft w:val="0"/>
      <w:marRight w:val="0"/>
      <w:marTop w:val="0"/>
      <w:marBottom w:val="0"/>
      <w:divBdr>
        <w:top w:val="none" w:sz="0" w:space="0" w:color="auto"/>
        <w:left w:val="none" w:sz="0" w:space="0" w:color="auto"/>
        <w:bottom w:val="none" w:sz="0" w:space="0" w:color="auto"/>
        <w:right w:val="none" w:sz="0" w:space="0" w:color="auto"/>
      </w:divBdr>
    </w:div>
    <w:div w:id="969673606">
      <w:bodyDiv w:val="1"/>
      <w:marLeft w:val="0"/>
      <w:marRight w:val="0"/>
      <w:marTop w:val="0"/>
      <w:marBottom w:val="0"/>
      <w:divBdr>
        <w:top w:val="none" w:sz="0" w:space="0" w:color="auto"/>
        <w:left w:val="none" w:sz="0" w:space="0" w:color="auto"/>
        <w:bottom w:val="none" w:sz="0" w:space="0" w:color="auto"/>
        <w:right w:val="none" w:sz="0" w:space="0" w:color="auto"/>
      </w:divBdr>
    </w:div>
    <w:div w:id="969827758">
      <w:bodyDiv w:val="1"/>
      <w:marLeft w:val="0"/>
      <w:marRight w:val="0"/>
      <w:marTop w:val="0"/>
      <w:marBottom w:val="0"/>
      <w:divBdr>
        <w:top w:val="none" w:sz="0" w:space="0" w:color="auto"/>
        <w:left w:val="none" w:sz="0" w:space="0" w:color="auto"/>
        <w:bottom w:val="none" w:sz="0" w:space="0" w:color="auto"/>
        <w:right w:val="none" w:sz="0" w:space="0" w:color="auto"/>
      </w:divBdr>
    </w:div>
    <w:div w:id="970087783">
      <w:bodyDiv w:val="1"/>
      <w:marLeft w:val="0"/>
      <w:marRight w:val="0"/>
      <w:marTop w:val="0"/>
      <w:marBottom w:val="0"/>
      <w:divBdr>
        <w:top w:val="none" w:sz="0" w:space="0" w:color="auto"/>
        <w:left w:val="none" w:sz="0" w:space="0" w:color="auto"/>
        <w:bottom w:val="none" w:sz="0" w:space="0" w:color="auto"/>
        <w:right w:val="none" w:sz="0" w:space="0" w:color="auto"/>
      </w:divBdr>
    </w:div>
    <w:div w:id="970088113">
      <w:bodyDiv w:val="1"/>
      <w:marLeft w:val="0"/>
      <w:marRight w:val="0"/>
      <w:marTop w:val="0"/>
      <w:marBottom w:val="0"/>
      <w:divBdr>
        <w:top w:val="none" w:sz="0" w:space="0" w:color="auto"/>
        <w:left w:val="none" w:sz="0" w:space="0" w:color="auto"/>
        <w:bottom w:val="none" w:sz="0" w:space="0" w:color="auto"/>
        <w:right w:val="none" w:sz="0" w:space="0" w:color="auto"/>
      </w:divBdr>
    </w:div>
    <w:div w:id="970091291">
      <w:bodyDiv w:val="1"/>
      <w:marLeft w:val="0"/>
      <w:marRight w:val="0"/>
      <w:marTop w:val="0"/>
      <w:marBottom w:val="0"/>
      <w:divBdr>
        <w:top w:val="none" w:sz="0" w:space="0" w:color="auto"/>
        <w:left w:val="none" w:sz="0" w:space="0" w:color="auto"/>
        <w:bottom w:val="none" w:sz="0" w:space="0" w:color="auto"/>
        <w:right w:val="none" w:sz="0" w:space="0" w:color="auto"/>
      </w:divBdr>
    </w:div>
    <w:div w:id="970093900">
      <w:bodyDiv w:val="1"/>
      <w:marLeft w:val="0"/>
      <w:marRight w:val="0"/>
      <w:marTop w:val="0"/>
      <w:marBottom w:val="0"/>
      <w:divBdr>
        <w:top w:val="none" w:sz="0" w:space="0" w:color="auto"/>
        <w:left w:val="none" w:sz="0" w:space="0" w:color="auto"/>
        <w:bottom w:val="none" w:sz="0" w:space="0" w:color="auto"/>
        <w:right w:val="none" w:sz="0" w:space="0" w:color="auto"/>
      </w:divBdr>
    </w:div>
    <w:div w:id="970330563">
      <w:bodyDiv w:val="1"/>
      <w:marLeft w:val="0"/>
      <w:marRight w:val="0"/>
      <w:marTop w:val="0"/>
      <w:marBottom w:val="0"/>
      <w:divBdr>
        <w:top w:val="none" w:sz="0" w:space="0" w:color="auto"/>
        <w:left w:val="none" w:sz="0" w:space="0" w:color="auto"/>
        <w:bottom w:val="none" w:sz="0" w:space="0" w:color="auto"/>
        <w:right w:val="none" w:sz="0" w:space="0" w:color="auto"/>
      </w:divBdr>
    </w:div>
    <w:div w:id="970398937">
      <w:bodyDiv w:val="1"/>
      <w:marLeft w:val="0"/>
      <w:marRight w:val="0"/>
      <w:marTop w:val="0"/>
      <w:marBottom w:val="0"/>
      <w:divBdr>
        <w:top w:val="none" w:sz="0" w:space="0" w:color="auto"/>
        <w:left w:val="none" w:sz="0" w:space="0" w:color="auto"/>
        <w:bottom w:val="none" w:sz="0" w:space="0" w:color="auto"/>
        <w:right w:val="none" w:sz="0" w:space="0" w:color="auto"/>
      </w:divBdr>
    </w:div>
    <w:div w:id="970597772">
      <w:bodyDiv w:val="1"/>
      <w:marLeft w:val="0"/>
      <w:marRight w:val="0"/>
      <w:marTop w:val="0"/>
      <w:marBottom w:val="0"/>
      <w:divBdr>
        <w:top w:val="none" w:sz="0" w:space="0" w:color="auto"/>
        <w:left w:val="none" w:sz="0" w:space="0" w:color="auto"/>
        <w:bottom w:val="none" w:sz="0" w:space="0" w:color="auto"/>
        <w:right w:val="none" w:sz="0" w:space="0" w:color="auto"/>
      </w:divBdr>
    </w:div>
    <w:div w:id="970669854">
      <w:bodyDiv w:val="1"/>
      <w:marLeft w:val="0"/>
      <w:marRight w:val="0"/>
      <w:marTop w:val="0"/>
      <w:marBottom w:val="0"/>
      <w:divBdr>
        <w:top w:val="none" w:sz="0" w:space="0" w:color="auto"/>
        <w:left w:val="none" w:sz="0" w:space="0" w:color="auto"/>
        <w:bottom w:val="none" w:sz="0" w:space="0" w:color="auto"/>
        <w:right w:val="none" w:sz="0" w:space="0" w:color="auto"/>
      </w:divBdr>
    </w:div>
    <w:div w:id="970671115">
      <w:bodyDiv w:val="1"/>
      <w:marLeft w:val="0"/>
      <w:marRight w:val="0"/>
      <w:marTop w:val="0"/>
      <w:marBottom w:val="0"/>
      <w:divBdr>
        <w:top w:val="none" w:sz="0" w:space="0" w:color="auto"/>
        <w:left w:val="none" w:sz="0" w:space="0" w:color="auto"/>
        <w:bottom w:val="none" w:sz="0" w:space="0" w:color="auto"/>
        <w:right w:val="none" w:sz="0" w:space="0" w:color="auto"/>
      </w:divBdr>
    </w:div>
    <w:div w:id="970935686">
      <w:bodyDiv w:val="1"/>
      <w:marLeft w:val="0"/>
      <w:marRight w:val="0"/>
      <w:marTop w:val="0"/>
      <w:marBottom w:val="0"/>
      <w:divBdr>
        <w:top w:val="none" w:sz="0" w:space="0" w:color="auto"/>
        <w:left w:val="none" w:sz="0" w:space="0" w:color="auto"/>
        <w:bottom w:val="none" w:sz="0" w:space="0" w:color="auto"/>
        <w:right w:val="none" w:sz="0" w:space="0" w:color="auto"/>
      </w:divBdr>
    </w:div>
    <w:div w:id="970983209">
      <w:bodyDiv w:val="1"/>
      <w:marLeft w:val="0"/>
      <w:marRight w:val="0"/>
      <w:marTop w:val="0"/>
      <w:marBottom w:val="0"/>
      <w:divBdr>
        <w:top w:val="none" w:sz="0" w:space="0" w:color="auto"/>
        <w:left w:val="none" w:sz="0" w:space="0" w:color="auto"/>
        <w:bottom w:val="none" w:sz="0" w:space="0" w:color="auto"/>
        <w:right w:val="none" w:sz="0" w:space="0" w:color="auto"/>
      </w:divBdr>
    </w:div>
    <w:div w:id="971012872">
      <w:bodyDiv w:val="1"/>
      <w:marLeft w:val="0"/>
      <w:marRight w:val="0"/>
      <w:marTop w:val="0"/>
      <w:marBottom w:val="0"/>
      <w:divBdr>
        <w:top w:val="none" w:sz="0" w:space="0" w:color="auto"/>
        <w:left w:val="none" w:sz="0" w:space="0" w:color="auto"/>
        <w:bottom w:val="none" w:sz="0" w:space="0" w:color="auto"/>
        <w:right w:val="none" w:sz="0" w:space="0" w:color="auto"/>
      </w:divBdr>
    </w:div>
    <w:div w:id="971208298">
      <w:bodyDiv w:val="1"/>
      <w:marLeft w:val="0"/>
      <w:marRight w:val="0"/>
      <w:marTop w:val="0"/>
      <w:marBottom w:val="0"/>
      <w:divBdr>
        <w:top w:val="none" w:sz="0" w:space="0" w:color="auto"/>
        <w:left w:val="none" w:sz="0" w:space="0" w:color="auto"/>
        <w:bottom w:val="none" w:sz="0" w:space="0" w:color="auto"/>
        <w:right w:val="none" w:sz="0" w:space="0" w:color="auto"/>
      </w:divBdr>
    </w:div>
    <w:div w:id="971323439">
      <w:bodyDiv w:val="1"/>
      <w:marLeft w:val="0"/>
      <w:marRight w:val="0"/>
      <w:marTop w:val="0"/>
      <w:marBottom w:val="0"/>
      <w:divBdr>
        <w:top w:val="none" w:sz="0" w:space="0" w:color="auto"/>
        <w:left w:val="none" w:sz="0" w:space="0" w:color="auto"/>
        <w:bottom w:val="none" w:sz="0" w:space="0" w:color="auto"/>
        <w:right w:val="none" w:sz="0" w:space="0" w:color="auto"/>
      </w:divBdr>
    </w:div>
    <w:div w:id="971330497">
      <w:bodyDiv w:val="1"/>
      <w:marLeft w:val="0"/>
      <w:marRight w:val="0"/>
      <w:marTop w:val="0"/>
      <w:marBottom w:val="0"/>
      <w:divBdr>
        <w:top w:val="none" w:sz="0" w:space="0" w:color="auto"/>
        <w:left w:val="none" w:sz="0" w:space="0" w:color="auto"/>
        <w:bottom w:val="none" w:sz="0" w:space="0" w:color="auto"/>
        <w:right w:val="none" w:sz="0" w:space="0" w:color="auto"/>
      </w:divBdr>
    </w:div>
    <w:div w:id="971595949">
      <w:bodyDiv w:val="1"/>
      <w:marLeft w:val="0"/>
      <w:marRight w:val="0"/>
      <w:marTop w:val="0"/>
      <w:marBottom w:val="0"/>
      <w:divBdr>
        <w:top w:val="none" w:sz="0" w:space="0" w:color="auto"/>
        <w:left w:val="none" w:sz="0" w:space="0" w:color="auto"/>
        <w:bottom w:val="none" w:sz="0" w:space="0" w:color="auto"/>
        <w:right w:val="none" w:sz="0" w:space="0" w:color="auto"/>
      </w:divBdr>
    </w:div>
    <w:div w:id="971596686">
      <w:bodyDiv w:val="1"/>
      <w:marLeft w:val="0"/>
      <w:marRight w:val="0"/>
      <w:marTop w:val="0"/>
      <w:marBottom w:val="0"/>
      <w:divBdr>
        <w:top w:val="none" w:sz="0" w:space="0" w:color="auto"/>
        <w:left w:val="none" w:sz="0" w:space="0" w:color="auto"/>
        <w:bottom w:val="none" w:sz="0" w:space="0" w:color="auto"/>
        <w:right w:val="none" w:sz="0" w:space="0" w:color="auto"/>
      </w:divBdr>
    </w:div>
    <w:div w:id="971668918">
      <w:bodyDiv w:val="1"/>
      <w:marLeft w:val="0"/>
      <w:marRight w:val="0"/>
      <w:marTop w:val="0"/>
      <w:marBottom w:val="0"/>
      <w:divBdr>
        <w:top w:val="none" w:sz="0" w:space="0" w:color="auto"/>
        <w:left w:val="none" w:sz="0" w:space="0" w:color="auto"/>
        <w:bottom w:val="none" w:sz="0" w:space="0" w:color="auto"/>
        <w:right w:val="none" w:sz="0" w:space="0" w:color="auto"/>
      </w:divBdr>
    </w:div>
    <w:div w:id="971907363">
      <w:bodyDiv w:val="1"/>
      <w:marLeft w:val="0"/>
      <w:marRight w:val="0"/>
      <w:marTop w:val="0"/>
      <w:marBottom w:val="0"/>
      <w:divBdr>
        <w:top w:val="none" w:sz="0" w:space="0" w:color="auto"/>
        <w:left w:val="none" w:sz="0" w:space="0" w:color="auto"/>
        <w:bottom w:val="none" w:sz="0" w:space="0" w:color="auto"/>
        <w:right w:val="none" w:sz="0" w:space="0" w:color="auto"/>
      </w:divBdr>
    </w:div>
    <w:div w:id="971979805">
      <w:bodyDiv w:val="1"/>
      <w:marLeft w:val="0"/>
      <w:marRight w:val="0"/>
      <w:marTop w:val="0"/>
      <w:marBottom w:val="0"/>
      <w:divBdr>
        <w:top w:val="none" w:sz="0" w:space="0" w:color="auto"/>
        <w:left w:val="none" w:sz="0" w:space="0" w:color="auto"/>
        <w:bottom w:val="none" w:sz="0" w:space="0" w:color="auto"/>
        <w:right w:val="none" w:sz="0" w:space="0" w:color="auto"/>
      </w:divBdr>
    </w:div>
    <w:div w:id="971980828">
      <w:bodyDiv w:val="1"/>
      <w:marLeft w:val="0"/>
      <w:marRight w:val="0"/>
      <w:marTop w:val="0"/>
      <w:marBottom w:val="0"/>
      <w:divBdr>
        <w:top w:val="none" w:sz="0" w:space="0" w:color="auto"/>
        <w:left w:val="none" w:sz="0" w:space="0" w:color="auto"/>
        <w:bottom w:val="none" w:sz="0" w:space="0" w:color="auto"/>
        <w:right w:val="none" w:sz="0" w:space="0" w:color="auto"/>
      </w:divBdr>
    </w:div>
    <w:div w:id="972060651">
      <w:bodyDiv w:val="1"/>
      <w:marLeft w:val="0"/>
      <w:marRight w:val="0"/>
      <w:marTop w:val="0"/>
      <w:marBottom w:val="0"/>
      <w:divBdr>
        <w:top w:val="none" w:sz="0" w:space="0" w:color="auto"/>
        <w:left w:val="none" w:sz="0" w:space="0" w:color="auto"/>
        <w:bottom w:val="none" w:sz="0" w:space="0" w:color="auto"/>
        <w:right w:val="none" w:sz="0" w:space="0" w:color="auto"/>
      </w:divBdr>
    </w:div>
    <w:div w:id="972295014">
      <w:bodyDiv w:val="1"/>
      <w:marLeft w:val="0"/>
      <w:marRight w:val="0"/>
      <w:marTop w:val="0"/>
      <w:marBottom w:val="0"/>
      <w:divBdr>
        <w:top w:val="none" w:sz="0" w:space="0" w:color="auto"/>
        <w:left w:val="none" w:sz="0" w:space="0" w:color="auto"/>
        <w:bottom w:val="none" w:sz="0" w:space="0" w:color="auto"/>
        <w:right w:val="none" w:sz="0" w:space="0" w:color="auto"/>
      </w:divBdr>
    </w:div>
    <w:div w:id="972440321">
      <w:bodyDiv w:val="1"/>
      <w:marLeft w:val="0"/>
      <w:marRight w:val="0"/>
      <w:marTop w:val="0"/>
      <w:marBottom w:val="0"/>
      <w:divBdr>
        <w:top w:val="none" w:sz="0" w:space="0" w:color="auto"/>
        <w:left w:val="none" w:sz="0" w:space="0" w:color="auto"/>
        <w:bottom w:val="none" w:sz="0" w:space="0" w:color="auto"/>
        <w:right w:val="none" w:sz="0" w:space="0" w:color="auto"/>
      </w:divBdr>
    </w:div>
    <w:div w:id="972516879">
      <w:bodyDiv w:val="1"/>
      <w:marLeft w:val="0"/>
      <w:marRight w:val="0"/>
      <w:marTop w:val="0"/>
      <w:marBottom w:val="0"/>
      <w:divBdr>
        <w:top w:val="none" w:sz="0" w:space="0" w:color="auto"/>
        <w:left w:val="none" w:sz="0" w:space="0" w:color="auto"/>
        <w:bottom w:val="none" w:sz="0" w:space="0" w:color="auto"/>
        <w:right w:val="none" w:sz="0" w:space="0" w:color="auto"/>
      </w:divBdr>
    </w:div>
    <w:div w:id="972641163">
      <w:bodyDiv w:val="1"/>
      <w:marLeft w:val="0"/>
      <w:marRight w:val="0"/>
      <w:marTop w:val="0"/>
      <w:marBottom w:val="0"/>
      <w:divBdr>
        <w:top w:val="none" w:sz="0" w:space="0" w:color="auto"/>
        <w:left w:val="none" w:sz="0" w:space="0" w:color="auto"/>
        <w:bottom w:val="none" w:sz="0" w:space="0" w:color="auto"/>
        <w:right w:val="none" w:sz="0" w:space="0" w:color="auto"/>
      </w:divBdr>
    </w:div>
    <w:div w:id="972753411">
      <w:bodyDiv w:val="1"/>
      <w:marLeft w:val="0"/>
      <w:marRight w:val="0"/>
      <w:marTop w:val="0"/>
      <w:marBottom w:val="0"/>
      <w:divBdr>
        <w:top w:val="none" w:sz="0" w:space="0" w:color="auto"/>
        <w:left w:val="none" w:sz="0" w:space="0" w:color="auto"/>
        <w:bottom w:val="none" w:sz="0" w:space="0" w:color="auto"/>
        <w:right w:val="none" w:sz="0" w:space="0" w:color="auto"/>
      </w:divBdr>
    </w:div>
    <w:div w:id="972758131">
      <w:bodyDiv w:val="1"/>
      <w:marLeft w:val="0"/>
      <w:marRight w:val="0"/>
      <w:marTop w:val="0"/>
      <w:marBottom w:val="0"/>
      <w:divBdr>
        <w:top w:val="none" w:sz="0" w:space="0" w:color="auto"/>
        <w:left w:val="none" w:sz="0" w:space="0" w:color="auto"/>
        <w:bottom w:val="none" w:sz="0" w:space="0" w:color="auto"/>
        <w:right w:val="none" w:sz="0" w:space="0" w:color="auto"/>
      </w:divBdr>
    </w:div>
    <w:div w:id="972902657">
      <w:bodyDiv w:val="1"/>
      <w:marLeft w:val="0"/>
      <w:marRight w:val="0"/>
      <w:marTop w:val="0"/>
      <w:marBottom w:val="0"/>
      <w:divBdr>
        <w:top w:val="none" w:sz="0" w:space="0" w:color="auto"/>
        <w:left w:val="none" w:sz="0" w:space="0" w:color="auto"/>
        <w:bottom w:val="none" w:sz="0" w:space="0" w:color="auto"/>
        <w:right w:val="none" w:sz="0" w:space="0" w:color="auto"/>
      </w:divBdr>
    </w:div>
    <w:div w:id="972950892">
      <w:bodyDiv w:val="1"/>
      <w:marLeft w:val="0"/>
      <w:marRight w:val="0"/>
      <w:marTop w:val="0"/>
      <w:marBottom w:val="0"/>
      <w:divBdr>
        <w:top w:val="none" w:sz="0" w:space="0" w:color="auto"/>
        <w:left w:val="none" w:sz="0" w:space="0" w:color="auto"/>
        <w:bottom w:val="none" w:sz="0" w:space="0" w:color="auto"/>
        <w:right w:val="none" w:sz="0" w:space="0" w:color="auto"/>
      </w:divBdr>
    </w:div>
    <w:div w:id="973025026">
      <w:bodyDiv w:val="1"/>
      <w:marLeft w:val="0"/>
      <w:marRight w:val="0"/>
      <w:marTop w:val="0"/>
      <w:marBottom w:val="0"/>
      <w:divBdr>
        <w:top w:val="none" w:sz="0" w:space="0" w:color="auto"/>
        <w:left w:val="none" w:sz="0" w:space="0" w:color="auto"/>
        <w:bottom w:val="none" w:sz="0" w:space="0" w:color="auto"/>
        <w:right w:val="none" w:sz="0" w:space="0" w:color="auto"/>
      </w:divBdr>
    </w:div>
    <w:div w:id="973100891">
      <w:bodyDiv w:val="1"/>
      <w:marLeft w:val="0"/>
      <w:marRight w:val="0"/>
      <w:marTop w:val="0"/>
      <w:marBottom w:val="0"/>
      <w:divBdr>
        <w:top w:val="none" w:sz="0" w:space="0" w:color="auto"/>
        <w:left w:val="none" w:sz="0" w:space="0" w:color="auto"/>
        <w:bottom w:val="none" w:sz="0" w:space="0" w:color="auto"/>
        <w:right w:val="none" w:sz="0" w:space="0" w:color="auto"/>
      </w:divBdr>
    </w:div>
    <w:div w:id="973145383">
      <w:bodyDiv w:val="1"/>
      <w:marLeft w:val="0"/>
      <w:marRight w:val="0"/>
      <w:marTop w:val="0"/>
      <w:marBottom w:val="0"/>
      <w:divBdr>
        <w:top w:val="none" w:sz="0" w:space="0" w:color="auto"/>
        <w:left w:val="none" w:sz="0" w:space="0" w:color="auto"/>
        <w:bottom w:val="none" w:sz="0" w:space="0" w:color="auto"/>
        <w:right w:val="none" w:sz="0" w:space="0" w:color="auto"/>
      </w:divBdr>
    </w:div>
    <w:div w:id="973175548">
      <w:bodyDiv w:val="1"/>
      <w:marLeft w:val="0"/>
      <w:marRight w:val="0"/>
      <w:marTop w:val="0"/>
      <w:marBottom w:val="0"/>
      <w:divBdr>
        <w:top w:val="none" w:sz="0" w:space="0" w:color="auto"/>
        <w:left w:val="none" w:sz="0" w:space="0" w:color="auto"/>
        <w:bottom w:val="none" w:sz="0" w:space="0" w:color="auto"/>
        <w:right w:val="none" w:sz="0" w:space="0" w:color="auto"/>
      </w:divBdr>
    </w:div>
    <w:div w:id="973214078">
      <w:bodyDiv w:val="1"/>
      <w:marLeft w:val="0"/>
      <w:marRight w:val="0"/>
      <w:marTop w:val="0"/>
      <w:marBottom w:val="0"/>
      <w:divBdr>
        <w:top w:val="none" w:sz="0" w:space="0" w:color="auto"/>
        <w:left w:val="none" w:sz="0" w:space="0" w:color="auto"/>
        <w:bottom w:val="none" w:sz="0" w:space="0" w:color="auto"/>
        <w:right w:val="none" w:sz="0" w:space="0" w:color="auto"/>
      </w:divBdr>
    </w:div>
    <w:div w:id="973215909">
      <w:bodyDiv w:val="1"/>
      <w:marLeft w:val="0"/>
      <w:marRight w:val="0"/>
      <w:marTop w:val="0"/>
      <w:marBottom w:val="0"/>
      <w:divBdr>
        <w:top w:val="none" w:sz="0" w:space="0" w:color="auto"/>
        <w:left w:val="none" w:sz="0" w:space="0" w:color="auto"/>
        <w:bottom w:val="none" w:sz="0" w:space="0" w:color="auto"/>
        <w:right w:val="none" w:sz="0" w:space="0" w:color="auto"/>
      </w:divBdr>
    </w:div>
    <w:div w:id="973288127">
      <w:bodyDiv w:val="1"/>
      <w:marLeft w:val="0"/>
      <w:marRight w:val="0"/>
      <w:marTop w:val="0"/>
      <w:marBottom w:val="0"/>
      <w:divBdr>
        <w:top w:val="none" w:sz="0" w:space="0" w:color="auto"/>
        <w:left w:val="none" w:sz="0" w:space="0" w:color="auto"/>
        <w:bottom w:val="none" w:sz="0" w:space="0" w:color="auto"/>
        <w:right w:val="none" w:sz="0" w:space="0" w:color="auto"/>
      </w:divBdr>
    </w:div>
    <w:div w:id="973290141">
      <w:bodyDiv w:val="1"/>
      <w:marLeft w:val="0"/>
      <w:marRight w:val="0"/>
      <w:marTop w:val="0"/>
      <w:marBottom w:val="0"/>
      <w:divBdr>
        <w:top w:val="none" w:sz="0" w:space="0" w:color="auto"/>
        <w:left w:val="none" w:sz="0" w:space="0" w:color="auto"/>
        <w:bottom w:val="none" w:sz="0" w:space="0" w:color="auto"/>
        <w:right w:val="none" w:sz="0" w:space="0" w:color="auto"/>
      </w:divBdr>
    </w:div>
    <w:div w:id="973608465">
      <w:bodyDiv w:val="1"/>
      <w:marLeft w:val="0"/>
      <w:marRight w:val="0"/>
      <w:marTop w:val="0"/>
      <w:marBottom w:val="0"/>
      <w:divBdr>
        <w:top w:val="none" w:sz="0" w:space="0" w:color="auto"/>
        <w:left w:val="none" w:sz="0" w:space="0" w:color="auto"/>
        <w:bottom w:val="none" w:sz="0" w:space="0" w:color="auto"/>
        <w:right w:val="none" w:sz="0" w:space="0" w:color="auto"/>
      </w:divBdr>
    </w:div>
    <w:div w:id="973946430">
      <w:bodyDiv w:val="1"/>
      <w:marLeft w:val="0"/>
      <w:marRight w:val="0"/>
      <w:marTop w:val="0"/>
      <w:marBottom w:val="0"/>
      <w:divBdr>
        <w:top w:val="none" w:sz="0" w:space="0" w:color="auto"/>
        <w:left w:val="none" w:sz="0" w:space="0" w:color="auto"/>
        <w:bottom w:val="none" w:sz="0" w:space="0" w:color="auto"/>
        <w:right w:val="none" w:sz="0" w:space="0" w:color="auto"/>
      </w:divBdr>
    </w:div>
    <w:div w:id="973949144">
      <w:bodyDiv w:val="1"/>
      <w:marLeft w:val="0"/>
      <w:marRight w:val="0"/>
      <w:marTop w:val="0"/>
      <w:marBottom w:val="0"/>
      <w:divBdr>
        <w:top w:val="none" w:sz="0" w:space="0" w:color="auto"/>
        <w:left w:val="none" w:sz="0" w:space="0" w:color="auto"/>
        <w:bottom w:val="none" w:sz="0" w:space="0" w:color="auto"/>
        <w:right w:val="none" w:sz="0" w:space="0" w:color="auto"/>
      </w:divBdr>
    </w:div>
    <w:div w:id="974024449">
      <w:bodyDiv w:val="1"/>
      <w:marLeft w:val="0"/>
      <w:marRight w:val="0"/>
      <w:marTop w:val="0"/>
      <w:marBottom w:val="0"/>
      <w:divBdr>
        <w:top w:val="none" w:sz="0" w:space="0" w:color="auto"/>
        <w:left w:val="none" w:sz="0" w:space="0" w:color="auto"/>
        <w:bottom w:val="none" w:sz="0" w:space="0" w:color="auto"/>
        <w:right w:val="none" w:sz="0" w:space="0" w:color="auto"/>
      </w:divBdr>
    </w:div>
    <w:div w:id="974069900">
      <w:bodyDiv w:val="1"/>
      <w:marLeft w:val="0"/>
      <w:marRight w:val="0"/>
      <w:marTop w:val="0"/>
      <w:marBottom w:val="0"/>
      <w:divBdr>
        <w:top w:val="none" w:sz="0" w:space="0" w:color="auto"/>
        <w:left w:val="none" w:sz="0" w:space="0" w:color="auto"/>
        <w:bottom w:val="none" w:sz="0" w:space="0" w:color="auto"/>
        <w:right w:val="none" w:sz="0" w:space="0" w:color="auto"/>
      </w:divBdr>
    </w:div>
    <w:div w:id="974214373">
      <w:bodyDiv w:val="1"/>
      <w:marLeft w:val="0"/>
      <w:marRight w:val="0"/>
      <w:marTop w:val="0"/>
      <w:marBottom w:val="0"/>
      <w:divBdr>
        <w:top w:val="none" w:sz="0" w:space="0" w:color="auto"/>
        <w:left w:val="none" w:sz="0" w:space="0" w:color="auto"/>
        <w:bottom w:val="none" w:sz="0" w:space="0" w:color="auto"/>
        <w:right w:val="none" w:sz="0" w:space="0" w:color="auto"/>
      </w:divBdr>
    </w:div>
    <w:div w:id="974337284">
      <w:bodyDiv w:val="1"/>
      <w:marLeft w:val="0"/>
      <w:marRight w:val="0"/>
      <w:marTop w:val="0"/>
      <w:marBottom w:val="0"/>
      <w:divBdr>
        <w:top w:val="none" w:sz="0" w:space="0" w:color="auto"/>
        <w:left w:val="none" w:sz="0" w:space="0" w:color="auto"/>
        <w:bottom w:val="none" w:sz="0" w:space="0" w:color="auto"/>
        <w:right w:val="none" w:sz="0" w:space="0" w:color="auto"/>
      </w:divBdr>
    </w:div>
    <w:div w:id="974411150">
      <w:bodyDiv w:val="1"/>
      <w:marLeft w:val="0"/>
      <w:marRight w:val="0"/>
      <w:marTop w:val="0"/>
      <w:marBottom w:val="0"/>
      <w:divBdr>
        <w:top w:val="none" w:sz="0" w:space="0" w:color="auto"/>
        <w:left w:val="none" w:sz="0" w:space="0" w:color="auto"/>
        <w:bottom w:val="none" w:sz="0" w:space="0" w:color="auto"/>
        <w:right w:val="none" w:sz="0" w:space="0" w:color="auto"/>
      </w:divBdr>
    </w:div>
    <w:div w:id="974601793">
      <w:bodyDiv w:val="1"/>
      <w:marLeft w:val="0"/>
      <w:marRight w:val="0"/>
      <w:marTop w:val="0"/>
      <w:marBottom w:val="0"/>
      <w:divBdr>
        <w:top w:val="none" w:sz="0" w:space="0" w:color="auto"/>
        <w:left w:val="none" w:sz="0" w:space="0" w:color="auto"/>
        <w:bottom w:val="none" w:sz="0" w:space="0" w:color="auto"/>
        <w:right w:val="none" w:sz="0" w:space="0" w:color="auto"/>
      </w:divBdr>
    </w:div>
    <w:div w:id="974604664">
      <w:bodyDiv w:val="1"/>
      <w:marLeft w:val="0"/>
      <w:marRight w:val="0"/>
      <w:marTop w:val="0"/>
      <w:marBottom w:val="0"/>
      <w:divBdr>
        <w:top w:val="none" w:sz="0" w:space="0" w:color="auto"/>
        <w:left w:val="none" w:sz="0" w:space="0" w:color="auto"/>
        <w:bottom w:val="none" w:sz="0" w:space="0" w:color="auto"/>
        <w:right w:val="none" w:sz="0" w:space="0" w:color="auto"/>
      </w:divBdr>
    </w:div>
    <w:div w:id="974605452">
      <w:bodyDiv w:val="1"/>
      <w:marLeft w:val="0"/>
      <w:marRight w:val="0"/>
      <w:marTop w:val="0"/>
      <w:marBottom w:val="0"/>
      <w:divBdr>
        <w:top w:val="none" w:sz="0" w:space="0" w:color="auto"/>
        <w:left w:val="none" w:sz="0" w:space="0" w:color="auto"/>
        <w:bottom w:val="none" w:sz="0" w:space="0" w:color="auto"/>
        <w:right w:val="none" w:sz="0" w:space="0" w:color="auto"/>
      </w:divBdr>
    </w:div>
    <w:div w:id="974796779">
      <w:bodyDiv w:val="1"/>
      <w:marLeft w:val="0"/>
      <w:marRight w:val="0"/>
      <w:marTop w:val="0"/>
      <w:marBottom w:val="0"/>
      <w:divBdr>
        <w:top w:val="none" w:sz="0" w:space="0" w:color="auto"/>
        <w:left w:val="none" w:sz="0" w:space="0" w:color="auto"/>
        <w:bottom w:val="none" w:sz="0" w:space="0" w:color="auto"/>
        <w:right w:val="none" w:sz="0" w:space="0" w:color="auto"/>
      </w:divBdr>
    </w:div>
    <w:div w:id="974797092">
      <w:bodyDiv w:val="1"/>
      <w:marLeft w:val="0"/>
      <w:marRight w:val="0"/>
      <w:marTop w:val="0"/>
      <w:marBottom w:val="0"/>
      <w:divBdr>
        <w:top w:val="none" w:sz="0" w:space="0" w:color="auto"/>
        <w:left w:val="none" w:sz="0" w:space="0" w:color="auto"/>
        <w:bottom w:val="none" w:sz="0" w:space="0" w:color="auto"/>
        <w:right w:val="none" w:sz="0" w:space="0" w:color="auto"/>
      </w:divBdr>
    </w:div>
    <w:div w:id="975069762">
      <w:bodyDiv w:val="1"/>
      <w:marLeft w:val="0"/>
      <w:marRight w:val="0"/>
      <w:marTop w:val="0"/>
      <w:marBottom w:val="0"/>
      <w:divBdr>
        <w:top w:val="none" w:sz="0" w:space="0" w:color="auto"/>
        <w:left w:val="none" w:sz="0" w:space="0" w:color="auto"/>
        <w:bottom w:val="none" w:sz="0" w:space="0" w:color="auto"/>
        <w:right w:val="none" w:sz="0" w:space="0" w:color="auto"/>
      </w:divBdr>
    </w:div>
    <w:div w:id="975185209">
      <w:bodyDiv w:val="1"/>
      <w:marLeft w:val="0"/>
      <w:marRight w:val="0"/>
      <w:marTop w:val="0"/>
      <w:marBottom w:val="0"/>
      <w:divBdr>
        <w:top w:val="none" w:sz="0" w:space="0" w:color="auto"/>
        <w:left w:val="none" w:sz="0" w:space="0" w:color="auto"/>
        <w:bottom w:val="none" w:sz="0" w:space="0" w:color="auto"/>
        <w:right w:val="none" w:sz="0" w:space="0" w:color="auto"/>
      </w:divBdr>
    </w:div>
    <w:div w:id="975260677">
      <w:bodyDiv w:val="1"/>
      <w:marLeft w:val="0"/>
      <w:marRight w:val="0"/>
      <w:marTop w:val="0"/>
      <w:marBottom w:val="0"/>
      <w:divBdr>
        <w:top w:val="none" w:sz="0" w:space="0" w:color="auto"/>
        <w:left w:val="none" w:sz="0" w:space="0" w:color="auto"/>
        <w:bottom w:val="none" w:sz="0" w:space="0" w:color="auto"/>
        <w:right w:val="none" w:sz="0" w:space="0" w:color="auto"/>
      </w:divBdr>
    </w:div>
    <w:div w:id="975379197">
      <w:bodyDiv w:val="1"/>
      <w:marLeft w:val="0"/>
      <w:marRight w:val="0"/>
      <w:marTop w:val="0"/>
      <w:marBottom w:val="0"/>
      <w:divBdr>
        <w:top w:val="none" w:sz="0" w:space="0" w:color="auto"/>
        <w:left w:val="none" w:sz="0" w:space="0" w:color="auto"/>
        <w:bottom w:val="none" w:sz="0" w:space="0" w:color="auto"/>
        <w:right w:val="none" w:sz="0" w:space="0" w:color="auto"/>
      </w:divBdr>
    </w:div>
    <w:div w:id="975447028">
      <w:bodyDiv w:val="1"/>
      <w:marLeft w:val="0"/>
      <w:marRight w:val="0"/>
      <w:marTop w:val="0"/>
      <w:marBottom w:val="0"/>
      <w:divBdr>
        <w:top w:val="none" w:sz="0" w:space="0" w:color="auto"/>
        <w:left w:val="none" w:sz="0" w:space="0" w:color="auto"/>
        <w:bottom w:val="none" w:sz="0" w:space="0" w:color="auto"/>
        <w:right w:val="none" w:sz="0" w:space="0" w:color="auto"/>
      </w:divBdr>
    </w:div>
    <w:div w:id="975724524">
      <w:bodyDiv w:val="1"/>
      <w:marLeft w:val="0"/>
      <w:marRight w:val="0"/>
      <w:marTop w:val="0"/>
      <w:marBottom w:val="0"/>
      <w:divBdr>
        <w:top w:val="none" w:sz="0" w:space="0" w:color="auto"/>
        <w:left w:val="none" w:sz="0" w:space="0" w:color="auto"/>
        <w:bottom w:val="none" w:sz="0" w:space="0" w:color="auto"/>
        <w:right w:val="none" w:sz="0" w:space="0" w:color="auto"/>
      </w:divBdr>
    </w:div>
    <w:div w:id="975797764">
      <w:bodyDiv w:val="1"/>
      <w:marLeft w:val="0"/>
      <w:marRight w:val="0"/>
      <w:marTop w:val="0"/>
      <w:marBottom w:val="0"/>
      <w:divBdr>
        <w:top w:val="none" w:sz="0" w:space="0" w:color="auto"/>
        <w:left w:val="none" w:sz="0" w:space="0" w:color="auto"/>
        <w:bottom w:val="none" w:sz="0" w:space="0" w:color="auto"/>
        <w:right w:val="none" w:sz="0" w:space="0" w:color="auto"/>
      </w:divBdr>
    </w:div>
    <w:div w:id="975835974">
      <w:bodyDiv w:val="1"/>
      <w:marLeft w:val="0"/>
      <w:marRight w:val="0"/>
      <w:marTop w:val="0"/>
      <w:marBottom w:val="0"/>
      <w:divBdr>
        <w:top w:val="none" w:sz="0" w:space="0" w:color="auto"/>
        <w:left w:val="none" w:sz="0" w:space="0" w:color="auto"/>
        <w:bottom w:val="none" w:sz="0" w:space="0" w:color="auto"/>
        <w:right w:val="none" w:sz="0" w:space="0" w:color="auto"/>
      </w:divBdr>
    </w:div>
    <w:div w:id="976105235">
      <w:bodyDiv w:val="1"/>
      <w:marLeft w:val="0"/>
      <w:marRight w:val="0"/>
      <w:marTop w:val="0"/>
      <w:marBottom w:val="0"/>
      <w:divBdr>
        <w:top w:val="none" w:sz="0" w:space="0" w:color="auto"/>
        <w:left w:val="none" w:sz="0" w:space="0" w:color="auto"/>
        <w:bottom w:val="none" w:sz="0" w:space="0" w:color="auto"/>
        <w:right w:val="none" w:sz="0" w:space="0" w:color="auto"/>
      </w:divBdr>
    </w:div>
    <w:div w:id="976107820">
      <w:bodyDiv w:val="1"/>
      <w:marLeft w:val="0"/>
      <w:marRight w:val="0"/>
      <w:marTop w:val="0"/>
      <w:marBottom w:val="0"/>
      <w:divBdr>
        <w:top w:val="none" w:sz="0" w:space="0" w:color="auto"/>
        <w:left w:val="none" w:sz="0" w:space="0" w:color="auto"/>
        <w:bottom w:val="none" w:sz="0" w:space="0" w:color="auto"/>
        <w:right w:val="none" w:sz="0" w:space="0" w:color="auto"/>
      </w:divBdr>
    </w:div>
    <w:div w:id="976371159">
      <w:bodyDiv w:val="1"/>
      <w:marLeft w:val="0"/>
      <w:marRight w:val="0"/>
      <w:marTop w:val="0"/>
      <w:marBottom w:val="0"/>
      <w:divBdr>
        <w:top w:val="none" w:sz="0" w:space="0" w:color="auto"/>
        <w:left w:val="none" w:sz="0" w:space="0" w:color="auto"/>
        <w:bottom w:val="none" w:sz="0" w:space="0" w:color="auto"/>
        <w:right w:val="none" w:sz="0" w:space="0" w:color="auto"/>
      </w:divBdr>
    </w:div>
    <w:div w:id="976491374">
      <w:bodyDiv w:val="1"/>
      <w:marLeft w:val="0"/>
      <w:marRight w:val="0"/>
      <w:marTop w:val="0"/>
      <w:marBottom w:val="0"/>
      <w:divBdr>
        <w:top w:val="none" w:sz="0" w:space="0" w:color="auto"/>
        <w:left w:val="none" w:sz="0" w:space="0" w:color="auto"/>
        <w:bottom w:val="none" w:sz="0" w:space="0" w:color="auto"/>
        <w:right w:val="none" w:sz="0" w:space="0" w:color="auto"/>
      </w:divBdr>
    </w:div>
    <w:div w:id="976840479">
      <w:bodyDiv w:val="1"/>
      <w:marLeft w:val="0"/>
      <w:marRight w:val="0"/>
      <w:marTop w:val="0"/>
      <w:marBottom w:val="0"/>
      <w:divBdr>
        <w:top w:val="none" w:sz="0" w:space="0" w:color="auto"/>
        <w:left w:val="none" w:sz="0" w:space="0" w:color="auto"/>
        <w:bottom w:val="none" w:sz="0" w:space="0" w:color="auto"/>
        <w:right w:val="none" w:sz="0" w:space="0" w:color="auto"/>
      </w:divBdr>
    </w:div>
    <w:div w:id="976955067">
      <w:bodyDiv w:val="1"/>
      <w:marLeft w:val="0"/>
      <w:marRight w:val="0"/>
      <w:marTop w:val="0"/>
      <w:marBottom w:val="0"/>
      <w:divBdr>
        <w:top w:val="none" w:sz="0" w:space="0" w:color="auto"/>
        <w:left w:val="none" w:sz="0" w:space="0" w:color="auto"/>
        <w:bottom w:val="none" w:sz="0" w:space="0" w:color="auto"/>
        <w:right w:val="none" w:sz="0" w:space="0" w:color="auto"/>
      </w:divBdr>
    </w:div>
    <w:div w:id="977103310">
      <w:bodyDiv w:val="1"/>
      <w:marLeft w:val="0"/>
      <w:marRight w:val="0"/>
      <w:marTop w:val="0"/>
      <w:marBottom w:val="0"/>
      <w:divBdr>
        <w:top w:val="none" w:sz="0" w:space="0" w:color="auto"/>
        <w:left w:val="none" w:sz="0" w:space="0" w:color="auto"/>
        <w:bottom w:val="none" w:sz="0" w:space="0" w:color="auto"/>
        <w:right w:val="none" w:sz="0" w:space="0" w:color="auto"/>
      </w:divBdr>
    </w:div>
    <w:div w:id="977298315">
      <w:bodyDiv w:val="1"/>
      <w:marLeft w:val="0"/>
      <w:marRight w:val="0"/>
      <w:marTop w:val="0"/>
      <w:marBottom w:val="0"/>
      <w:divBdr>
        <w:top w:val="none" w:sz="0" w:space="0" w:color="auto"/>
        <w:left w:val="none" w:sz="0" w:space="0" w:color="auto"/>
        <w:bottom w:val="none" w:sz="0" w:space="0" w:color="auto"/>
        <w:right w:val="none" w:sz="0" w:space="0" w:color="auto"/>
      </w:divBdr>
    </w:div>
    <w:div w:id="977298352">
      <w:bodyDiv w:val="1"/>
      <w:marLeft w:val="0"/>
      <w:marRight w:val="0"/>
      <w:marTop w:val="0"/>
      <w:marBottom w:val="0"/>
      <w:divBdr>
        <w:top w:val="none" w:sz="0" w:space="0" w:color="auto"/>
        <w:left w:val="none" w:sz="0" w:space="0" w:color="auto"/>
        <w:bottom w:val="none" w:sz="0" w:space="0" w:color="auto"/>
        <w:right w:val="none" w:sz="0" w:space="0" w:color="auto"/>
      </w:divBdr>
    </w:div>
    <w:div w:id="977339370">
      <w:bodyDiv w:val="1"/>
      <w:marLeft w:val="0"/>
      <w:marRight w:val="0"/>
      <w:marTop w:val="0"/>
      <w:marBottom w:val="0"/>
      <w:divBdr>
        <w:top w:val="none" w:sz="0" w:space="0" w:color="auto"/>
        <w:left w:val="none" w:sz="0" w:space="0" w:color="auto"/>
        <w:bottom w:val="none" w:sz="0" w:space="0" w:color="auto"/>
        <w:right w:val="none" w:sz="0" w:space="0" w:color="auto"/>
      </w:divBdr>
    </w:div>
    <w:div w:id="977416264">
      <w:bodyDiv w:val="1"/>
      <w:marLeft w:val="0"/>
      <w:marRight w:val="0"/>
      <w:marTop w:val="0"/>
      <w:marBottom w:val="0"/>
      <w:divBdr>
        <w:top w:val="none" w:sz="0" w:space="0" w:color="auto"/>
        <w:left w:val="none" w:sz="0" w:space="0" w:color="auto"/>
        <w:bottom w:val="none" w:sz="0" w:space="0" w:color="auto"/>
        <w:right w:val="none" w:sz="0" w:space="0" w:color="auto"/>
      </w:divBdr>
    </w:div>
    <w:div w:id="977419471">
      <w:bodyDiv w:val="1"/>
      <w:marLeft w:val="0"/>
      <w:marRight w:val="0"/>
      <w:marTop w:val="0"/>
      <w:marBottom w:val="0"/>
      <w:divBdr>
        <w:top w:val="none" w:sz="0" w:space="0" w:color="auto"/>
        <w:left w:val="none" w:sz="0" w:space="0" w:color="auto"/>
        <w:bottom w:val="none" w:sz="0" w:space="0" w:color="auto"/>
        <w:right w:val="none" w:sz="0" w:space="0" w:color="auto"/>
      </w:divBdr>
    </w:div>
    <w:div w:id="977494470">
      <w:bodyDiv w:val="1"/>
      <w:marLeft w:val="0"/>
      <w:marRight w:val="0"/>
      <w:marTop w:val="0"/>
      <w:marBottom w:val="0"/>
      <w:divBdr>
        <w:top w:val="none" w:sz="0" w:space="0" w:color="auto"/>
        <w:left w:val="none" w:sz="0" w:space="0" w:color="auto"/>
        <w:bottom w:val="none" w:sz="0" w:space="0" w:color="auto"/>
        <w:right w:val="none" w:sz="0" w:space="0" w:color="auto"/>
      </w:divBdr>
    </w:div>
    <w:div w:id="977564757">
      <w:bodyDiv w:val="1"/>
      <w:marLeft w:val="0"/>
      <w:marRight w:val="0"/>
      <w:marTop w:val="0"/>
      <w:marBottom w:val="0"/>
      <w:divBdr>
        <w:top w:val="none" w:sz="0" w:space="0" w:color="auto"/>
        <w:left w:val="none" w:sz="0" w:space="0" w:color="auto"/>
        <w:bottom w:val="none" w:sz="0" w:space="0" w:color="auto"/>
        <w:right w:val="none" w:sz="0" w:space="0" w:color="auto"/>
      </w:divBdr>
    </w:div>
    <w:div w:id="977565973">
      <w:bodyDiv w:val="1"/>
      <w:marLeft w:val="0"/>
      <w:marRight w:val="0"/>
      <w:marTop w:val="0"/>
      <w:marBottom w:val="0"/>
      <w:divBdr>
        <w:top w:val="none" w:sz="0" w:space="0" w:color="auto"/>
        <w:left w:val="none" w:sz="0" w:space="0" w:color="auto"/>
        <w:bottom w:val="none" w:sz="0" w:space="0" w:color="auto"/>
        <w:right w:val="none" w:sz="0" w:space="0" w:color="auto"/>
      </w:divBdr>
    </w:div>
    <w:div w:id="977567264">
      <w:bodyDiv w:val="1"/>
      <w:marLeft w:val="0"/>
      <w:marRight w:val="0"/>
      <w:marTop w:val="0"/>
      <w:marBottom w:val="0"/>
      <w:divBdr>
        <w:top w:val="none" w:sz="0" w:space="0" w:color="auto"/>
        <w:left w:val="none" w:sz="0" w:space="0" w:color="auto"/>
        <w:bottom w:val="none" w:sz="0" w:space="0" w:color="auto"/>
        <w:right w:val="none" w:sz="0" w:space="0" w:color="auto"/>
      </w:divBdr>
    </w:div>
    <w:div w:id="977610695">
      <w:bodyDiv w:val="1"/>
      <w:marLeft w:val="0"/>
      <w:marRight w:val="0"/>
      <w:marTop w:val="0"/>
      <w:marBottom w:val="0"/>
      <w:divBdr>
        <w:top w:val="none" w:sz="0" w:space="0" w:color="auto"/>
        <w:left w:val="none" w:sz="0" w:space="0" w:color="auto"/>
        <w:bottom w:val="none" w:sz="0" w:space="0" w:color="auto"/>
        <w:right w:val="none" w:sz="0" w:space="0" w:color="auto"/>
      </w:divBdr>
    </w:div>
    <w:div w:id="977684121">
      <w:bodyDiv w:val="1"/>
      <w:marLeft w:val="0"/>
      <w:marRight w:val="0"/>
      <w:marTop w:val="0"/>
      <w:marBottom w:val="0"/>
      <w:divBdr>
        <w:top w:val="none" w:sz="0" w:space="0" w:color="auto"/>
        <w:left w:val="none" w:sz="0" w:space="0" w:color="auto"/>
        <w:bottom w:val="none" w:sz="0" w:space="0" w:color="auto"/>
        <w:right w:val="none" w:sz="0" w:space="0" w:color="auto"/>
      </w:divBdr>
    </w:div>
    <w:div w:id="977952344">
      <w:bodyDiv w:val="1"/>
      <w:marLeft w:val="0"/>
      <w:marRight w:val="0"/>
      <w:marTop w:val="0"/>
      <w:marBottom w:val="0"/>
      <w:divBdr>
        <w:top w:val="none" w:sz="0" w:space="0" w:color="auto"/>
        <w:left w:val="none" w:sz="0" w:space="0" w:color="auto"/>
        <w:bottom w:val="none" w:sz="0" w:space="0" w:color="auto"/>
        <w:right w:val="none" w:sz="0" w:space="0" w:color="auto"/>
      </w:divBdr>
    </w:div>
    <w:div w:id="977993785">
      <w:bodyDiv w:val="1"/>
      <w:marLeft w:val="0"/>
      <w:marRight w:val="0"/>
      <w:marTop w:val="0"/>
      <w:marBottom w:val="0"/>
      <w:divBdr>
        <w:top w:val="none" w:sz="0" w:space="0" w:color="auto"/>
        <w:left w:val="none" w:sz="0" w:space="0" w:color="auto"/>
        <w:bottom w:val="none" w:sz="0" w:space="0" w:color="auto"/>
        <w:right w:val="none" w:sz="0" w:space="0" w:color="auto"/>
      </w:divBdr>
    </w:div>
    <w:div w:id="978077676">
      <w:bodyDiv w:val="1"/>
      <w:marLeft w:val="0"/>
      <w:marRight w:val="0"/>
      <w:marTop w:val="0"/>
      <w:marBottom w:val="0"/>
      <w:divBdr>
        <w:top w:val="none" w:sz="0" w:space="0" w:color="auto"/>
        <w:left w:val="none" w:sz="0" w:space="0" w:color="auto"/>
        <w:bottom w:val="none" w:sz="0" w:space="0" w:color="auto"/>
        <w:right w:val="none" w:sz="0" w:space="0" w:color="auto"/>
      </w:divBdr>
    </w:div>
    <w:div w:id="978609459">
      <w:bodyDiv w:val="1"/>
      <w:marLeft w:val="0"/>
      <w:marRight w:val="0"/>
      <w:marTop w:val="0"/>
      <w:marBottom w:val="0"/>
      <w:divBdr>
        <w:top w:val="none" w:sz="0" w:space="0" w:color="auto"/>
        <w:left w:val="none" w:sz="0" w:space="0" w:color="auto"/>
        <w:bottom w:val="none" w:sz="0" w:space="0" w:color="auto"/>
        <w:right w:val="none" w:sz="0" w:space="0" w:color="auto"/>
      </w:divBdr>
    </w:div>
    <w:div w:id="978727189">
      <w:bodyDiv w:val="1"/>
      <w:marLeft w:val="0"/>
      <w:marRight w:val="0"/>
      <w:marTop w:val="0"/>
      <w:marBottom w:val="0"/>
      <w:divBdr>
        <w:top w:val="none" w:sz="0" w:space="0" w:color="auto"/>
        <w:left w:val="none" w:sz="0" w:space="0" w:color="auto"/>
        <w:bottom w:val="none" w:sz="0" w:space="0" w:color="auto"/>
        <w:right w:val="none" w:sz="0" w:space="0" w:color="auto"/>
      </w:divBdr>
    </w:div>
    <w:div w:id="978806477">
      <w:bodyDiv w:val="1"/>
      <w:marLeft w:val="0"/>
      <w:marRight w:val="0"/>
      <w:marTop w:val="0"/>
      <w:marBottom w:val="0"/>
      <w:divBdr>
        <w:top w:val="none" w:sz="0" w:space="0" w:color="auto"/>
        <w:left w:val="none" w:sz="0" w:space="0" w:color="auto"/>
        <w:bottom w:val="none" w:sz="0" w:space="0" w:color="auto"/>
        <w:right w:val="none" w:sz="0" w:space="0" w:color="auto"/>
      </w:divBdr>
    </w:div>
    <w:div w:id="978995401">
      <w:bodyDiv w:val="1"/>
      <w:marLeft w:val="0"/>
      <w:marRight w:val="0"/>
      <w:marTop w:val="0"/>
      <w:marBottom w:val="0"/>
      <w:divBdr>
        <w:top w:val="none" w:sz="0" w:space="0" w:color="auto"/>
        <w:left w:val="none" w:sz="0" w:space="0" w:color="auto"/>
        <w:bottom w:val="none" w:sz="0" w:space="0" w:color="auto"/>
        <w:right w:val="none" w:sz="0" w:space="0" w:color="auto"/>
      </w:divBdr>
    </w:div>
    <w:div w:id="979001671">
      <w:bodyDiv w:val="1"/>
      <w:marLeft w:val="0"/>
      <w:marRight w:val="0"/>
      <w:marTop w:val="0"/>
      <w:marBottom w:val="0"/>
      <w:divBdr>
        <w:top w:val="none" w:sz="0" w:space="0" w:color="auto"/>
        <w:left w:val="none" w:sz="0" w:space="0" w:color="auto"/>
        <w:bottom w:val="none" w:sz="0" w:space="0" w:color="auto"/>
        <w:right w:val="none" w:sz="0" w:space="0" w:color="auto"/>
      </w:divBdr>
    </w:div>
    <w:div w:id="979192167">
      <w:bodyDiv w:val="1"/>
      <w:marLeft w:val="0"/>
      <w:marRight w:val="0"/>
      <w:marTop w:val="0"/>
      <w:marBottom w:val="0"/>
      <w:divBdr>
        <w:top w:val="none" w:sz="0" w:space="0" w:color="auto"/>
        <w:left w:val="none" w:sz="0" w:space="0" w:color="auto"/>
        <w:bottom w:val="none" w:sz="0" w:space="0" w:color="auto"/>
        <w:right w:val="none" w:sz="0" w:space="0" w:color="auto"/>
      </w:divBdr>
    </w:div>
    <w:div w:id="979261781">
      <w:bodyDiv w:val="1"/>
      <w:marLeft w:val="0"/>
      <w:marRight w:val="0"/>
      <w:marTop w:val="0"/>
      <w:marBottom w:val="0"/>
      <w:divBdr>
        <w:top w:val="none" w:sz="0" w:space="0" w:color="auto"/>
        <w:left w:val="none" w:sz="0" w:space="0" w:color="auto"/>
        <w:bottom w:val="none" w:sz="0" w:space="0" w:color="auto"/>
        <w:right w:val="none" w:sz="0" w:space="0" w:color="auto"/>
      </w:divBdr>
    </w:div>
    <w:div w:id="979304685">
      <w:bodyDiv w:val="1"/>
      <w:marLeft w:val="0"/>
      <w:marRight w:val="0"/>
      <w:marTop w:val="0"/>
      <w:marBottom w:val="0"/>
      <w:divBdr>
        <w:top w:val="none" w:sz="0" w:space="0" w:color="auto"/>
        <w:left w:val="none" w:sz="0" w:space="0" w:color="auto"/>
        <w:bottom w:val="none" w:sz="0" w:space="0" w:color="auto"/>
        <w:right w:val="none" w:sz="0" w:space="0" w:color="auto"/>
      </w:divBdr>
    </w:div>
    <w:div w:id="979308432">
      <w:bodyDiv w:val="1"/>
      <w:marLeft w:val="0"/>
      <w:marRight w:val="0"/>
      <w:marTop w:val="0"/>
      <w:marBottom w:val="0"/>
      <w:divBdr>
        <w:top w:val="none" w:sz="0" w:space="0" w:color="auto"/>
        <w:left w:val="none" w:sz="0" w:space="0" w:color="auto"/>
        <w:bottom w:val="none" w:sz="0" w:space="0" w:color="auto"/>
        <w:right w:val="none" w:sz="0" w:space="0" w:color="auto"/>
      </w:divBdr>
    </w:div>
    <w:div w:id="979379085">
      <w:bodyDiv w:val="1"/>
      <w:marLeft w:val="0"/>
      <w:marRight w:val="0"/>
      <w:marTop w:val="0"/>
      <w:marBottom w:val="0"/>
      <w:divBdr>
        <w:top w:val="none" w:sz="0" w:space="0" w:color="auto"/>
        <w:left w:val="none" w:sz="0" w:space="0" w:color="auto"/>
        <w:bottom w:val="none" w:sz="0" w:space="0" w:color="auto"/>
        <w:right w:val="none" w:sz="0" w:space="0" w:color="auto"/>
      </w:divBdr>
    </w:div>
    <w:div w:id="979386743">
      <w:bodyDiv w:val="1"/>
      <w:marLeft w:val="0"/>
      <w:marRight w:val="0"/>
      <w:marTop w:val="0"/>
      <w:marBottom w:val="0"/>
      <w:divBdr>
        <w:top w:val="none" w:sz="0" w:space="0" w:color="auto"/>
        <w:left w:val="none" w:sz="0" w:space="0" w:color="auto"/>
        <w:bottom w:val="none" w:sz="0" w:space="0" w:color="auto"/>
        <w:right w:val="none" w:sz="0" w:space="0" w:color="auto"/>
      </w:divBdr>
    </w:div>
    <w:div w:id="979386947">
      <w:bodyDiv w:val="1"/>
      <w:marLeft w:val="0"/>
      <w:marRight w:val="0"/>
      <w:marTop w:val="0"/>
      <w:marBottom w:val="0"/>
      <w:divBdr>
        <w:top w:val="none" w:sz="0" w:space="0" w:color="auto"/>
        <w:left w:val="none" w:sz="0" w:space="0" w:color="auto"/>
        <w:bottom w:val="none" w:sz="0" w:space="0" w:color="auto"/>
        <w:right w:val="none" w:sz="0" w:space="0" w:color="auto"/>
      </w:divBdr>
    </w:div>
    <w:div w:id="979462569">
      <w:bodyDiv w:val="1"/>
      <w:marLeft w:val="0"/>
      <w:marRight w:val="0"/>
      <w:marTop w:val="0"/>
      <w:marBottom w:val="0"/>
      <w:divBdr>
        <w:top w:val="none" w:sz="0" w:space="0" w:color="auto"/>
        <w:left w:val="none" w:sz="0" w:space="0" w:color="auto"/>
        <w:bottom w:val="none" w:sz="0" w:space="0" w:color="auto"/>
        <w:right w:val="none" w:sz="0" w:space="0" w:color="auto"/>
      </w:divBdr>
    </w:div>
    <w:div w:id="979652352">
      <w:bodyDiv w:val="1"/>
      <w:marLeft w:val="0"/>
      <w:marRight w:val="0"/>
      <w:marTop w:val="0"/>
      <w:marBottom w:val="0"/>
      <w:divBdr>
        <w:top w:val="none" w:sz="0" w:space="0" w:color="auto"/>
        <w:left w:val="none" w:sz="0" w:space="0" w:color="auto"/>
        <w:bottom w:val="none" w:sz="0" w:space="0" w:color="auto"/>
        <w:right w:val="none" w:sz="0" w:space="0" w:color="auto"/>
      </w:divBdr>
    </w:div>
    <w:div w:id="980118464">
      <w:bodyDiv w:val="1"/>
      <w:marLeft w:val="0"/>
      <w:marRight w:val="0"/>
      <w:marTop w:val="0"/>
      <w:marBottom w:val="0"/>
      <w:divBdr>
        <w:top w:val="none" w:sz="0" w:space="0" w:color="auto"/>
        <w:left w:val="none" w:sz="0" w:space="0" w:color="auto"/>
        <w:bottom w:val="none" w:sz="0" w:space="0" w:color="auto"/>
        <w:right w:val="none" w:sz="0" w:space="0" w:color="auto"/>
      </w:divBdr>
    </w:div>
    <w:div w:id="980184686">
      <w:bodyDiv w:val="1"/>
      <w:marLeft w:val="0"/>
      <w:marRight w:val="0"/>
      <w:marTop w:val="0"/>
      <w:marBottom w:val="0"/>
      <w:divBdr>
        <w:top w:val="none" w:sz="0" w:space="0" w:color="auto"/>
        <w:left w:val="none" w:sz="0" w:space="0" w:color="auto"/>
        <w:bottom w:val="none" w:sz="0" w:space="0" w:color="auto"/>
        <w:right w:val="none" w:sz="0" w:space="0" w:color="auto"/>
      </w:divBdr>
    </w:div>
    <w:div w:id="980302974">
      <w:bodyDiv w:val="1"/>
      <w:marLeft w:val="0"/>
      <w:marRight w:val="0"/>
      <w:marTop w:val="0"/>
      <w:marBottom w:val="0"/>
      <w:divBdr>
        <w:top w:val="none" w:sz="0" w:space="0" w:color="auto"/>
        <w:left w:val="none" w:sz="0" w:space="0" w:color="auto"/>
        <w:bottom w:val="none" w:sz="0" w:space="0" w:color="auto"/>
        <w:right w:val="none" w:sz="0" w:space="0" w:color="auto"/>
      </w:divBdr>
    </w:div>
    <w:div w:id="980382400">
      <w:bodyDiv w:val="1"/>
      <w:marLeft w:val="0"/>
      <w:marRight w:val="0"/>
      <w:marTop w:val="0"/>
      <w:marBottom w:val="0"/>
      <w:divBdr>
        <w:top w:val="none" w:sz="0" w:space="0" w:color="auto"/>
        <w:left w:val="none" w:sz="0" w:space="0" w:color="auto"/>
        <w:bottom w:val="none" w:sz="0" w:space="0" w:color="auto"/>
        <w:right w:val="none" w:sz="0" w:space="0" w:color="auto"/>
      </w:divBdr>
    </w:div>
    <w:div w:id="980426083">
      <w:bodyDiv w:val="1"/>
      <w:marLeft w:val="0"/>
      <w:marRight w:val="0"/>
      <w:marTop w:val="0"/>
      <w:marBottom w:val="0"/>
      <w:divBdr>
        <w:top w:val="none" w:sz="0" w:space="0" w:color="auto"/>
        <w:left w:val="none" w:sz="0" w:space="0" w:color="auto"/>
        <w:bottom w:val="none" w:sz="0" w:space="0" w:color="auto"/>
        <w:right w:val="none" w:sz="0" w:space="0" w:color="auto"/>
      </w:divBdr>
    </w:div>
    <w:div w:id="980621871">
      <w:bodyDiv w:val="1"/>
      <w:marLeft w:val="0"/>
      <w:marRight w:val="0"/>
      <w:marTop w:val="0"/>
      <w:marBottom w:val="0"/>
      <w:divBdr>
        <w:top w:val="none" w:sz="0" w:space="0" w:color="auto"/>
        <w:left w:val="none" w:sz="0" w:space="0" w:color="auto"/>
        <w:bottom w:val="none" w:sz="0" w:space="0" w:color="auto"/>
        <w:right w:val="none" w:sz="0" w:space="0" w:color="auto"/>
      </w:divBdr>
    </w:div>
    <w:div w:id="980962904">
      <w:bodyDiv w:val="1"/>
      <w:marLeft w:val="0"/>
      <w:marRight w:val="0"/>
      <w:marTop w:val="0"/>
      <w:marBottom w:val="0"/>
      <w:divBdr>
        <w:top w:val="none" w:sz="0" w:space="0" w:color="auto"/>
        <w:left w:val="none" w:sz="0" w:space="0" w:color="auto"/>
        <w:bottom w:val="none" w:sz="0" w:space="0" w:color="auto"/>
        <w:right w:val="none" w:sz="0" w:space="0" w:color="auto"/>
      </w:divBdr>
    </w:div>
    <w:div w:id="980963424">
      <w:bodyDiv w:val="1"/>
      <w:marLeft w:val="0"/>
      <w:marRight w:val="0"/>
      <w:marTop w:val="0"/>
      <w:marBottom w:val="0"/>
      <w:divBdr>
        <w:top w:val="none" w:sz="0" w:space="0" w:color="auto"/>
        <w:left w:val="none" w:sz="0" w:space="0" w:color="auto"/>
        <w:bottom w:val="none" w:sz="0" w:space="0" w:color="auto"/>
        <w:right w:val="none" w:sz="0" w:space="0" w:color="auto"/>
      </w:divBdr>
    </w:div>
    <w:div w:id="981151799">
      <w:bodyDiv w:val="1"/>
      <w:marLeft w:val="0"/>
      <w:marRight w:val="0"/>
      <w:marTop w:val="0"/>
      <w:marBottom w:val="0"/>
      <w:divBdr>
        <w:top w:val="none" w:sz="0" w:space="0" w:color="auto"/>
        <w:left w:val="none" w:sz="0" w:space="0" w:color="auto"/>
        <w:bottom w:val="none" w:sz="0" w:space="0" w:color="auto"/>
        <w:right w:val="none" w:sz="0" w:space="0" w:color="auto"/>
      </w:divBdr>
    </w:div>
    <w:div w:id="981157627">
      <w:bodyDiv w:val="1"/>
      <w:marLeft w:val="0"/>
      <w:marRight w:val="0"/>
      <w:marTop w:val="0"/>
      <w:marBottom w:val="0"/>
      <w:divBdr>
        <w:top w:val="none" w:sz="0" w:space="0" w:color="auto"/>
        <w:left w:val="none" w:sz="0" w:space="0" w:color="auto"/>
        <w:bottom w:val="none" w:sz="0" w:space="0" w:color="auto"/>
        <w:right w:val="none" w:sz="0" w:space="0" w:color="auto"/>
      </w:divBdr>
    </w:div>
    <w:div w:id="981160360">
      <w:bodyDiv w:val="1"/>
      <w:marLeft w:val="0"/>
      <w:marRight w:val="0"/>
      <w:marTop w:val="0"/>
      <w:marBottom w:val="0"/>
      <w:divBdr>
        <w:top w:val="none" w:sz="0" w:space="0" w:color="auto"/>
        <w:left w:val="none" w:sz="0" w:space="0" w:color="auto"/>
        <w:bottom w:val="none" w:sz="0" w:space="0" w:color="auto"/>
        <w:right w:val="none" w:sz="0" w:space="0" w:color="auto"/>
      </w:divBdr>
    </w:div>
    <w:div w:id="981230079">
      <w:bodyDiv w:val="1"/>
      <w:marLeft w:val="0"/>
      <w:marRight w:val="0"/>
      <w:marTop w:val="0"/>
      <w:marBottom w:val="0"/>
      <w:divBdr>
        <w:top w:val="none" w:sz="0" w:space="0" w:color="auto"/>
        <w:left w:val="none" w:sz="0" w:space="0" w:color="auto"/>
        <w:bottom w:val="none" w:sz="0" w:space="0" w:color="auto"/>
        <w:right w:val="none" w:sz="0" w:space="0" w:color="auto"/>
      </w:divBdr>
    </w:div>
    <w:div w:id="981428283">
      <w:bodyDiv w:val="1"/>
      <w:marLeft w:val="0"/>
      <w:marRight w:val="0"/>
      <w:marTop w:val="0"/>
      <w:marBottom w:val="0"/>
      <w:divBdr>
        <w:top w:val="none" w:sz="0" w:space="0" w:color="auto"/>
        <w:left w:val="none" w:sz="0" w:space="0" w:color="auto"/>
        <w:bottom w:val="none" w:sz="0" w:space="0" w:color="auto"/>
        <w:right w:val="none" w:sz="0" w:space="0" w:color="auto"/>
      </w:divBdr>
    </w:div>
    <w:div w:id="981538045">
      <w:bodyDiv w:val="1"/>
      <w:marLeft w:val="0"/>
      <w:marRight w:val="0"/>
      <w:marTop w:val="0"/>
      <w:marBottom w:val="0"/>
      <w:divBdr>
        <w:top w:val="none" w:sz="0" w:space="0" w:color="auto"/>
        <w:left w:val="none" w:sz="0" w:space="0" w:color="auto"/>
        <w:bottom w:val="none" w:sz="0" w:space="0" w:color="auto"/>
        <w:right w:val="none" w:sz="0" w:space="0" w:color="auto"/>
      </w:divBdr>
    </w:div>
    <w:div w:id="981884191">
      <w:bodyDiv w:val="1"/>
      <w:marLeft w:val="0"/>
      <w:marRight w:val="0"/>
      <w:marTop w:val="0"/>
      <w:marBottom w:val="0"/>
      <w:divBdr>
        <w:top w:val="none" w:sz="0" w:space="0" w:color="auto"/>
        <w:left w:val="none" w:sz="0" w:space="0" w:color="auto"/>
        <w:bottom w:val="none" w:sz="0" w:space="0" w:color="auto"/>
        <w:right w:val="none" w:sz="0" w:space="0" w:color="auto"/>
      </w:divBdr>
    </w:div>
    <w:div w:id="982197708">
      <w:bodyDiv w:val="1"/>
      <w:marLeft w:val="0"/>
      <w:marRight w:val="0"/>
      <w:marTop w:val="0"/>
      <w:marBottom w:val="0"/>
      <w:divBdr>
        <w:top w:val="none" w:sz="0" w:space="0" w:color="auto"/>
        <w:left w:val="none" w:sz="0" w:space="0" w:color="auto"/>
        <w:bottom w:val="none" w:sz="0" w:space="0" w:color="auto"/>
        <w:right w:val="none" w:sz="0" w:space="0" w:color="auto"/>
      </w:divBdr>
    </w:div>
    <w:div w:id="982274649">
      <w:bodyDiv w:val="1"/>
      <w:marLeft w:val="0"/>
      <w:marRight w:val="0"/>
      <w:marTop w:val="0"/>
      <w:marBottom w:val="0"/>
      <w:divBdr>
        <w:top w:val="none" w:sz="0" w:space="0" w:color="auto"/>
        <w:left w:val="none" w:sz="0" w:space="0" w:color="auto"/>
        <w:bottom w:val="none" w:sz="0" w:space="0" w:color="auto"/>
        <w:right w:val="none" w:sz="0" w:space="0" w:color="auto"/>
      </w:divBdr>
    </w:div>
    <w:div w:id="982467331">
      <w:bodyDiv w:val="1"/>
      <w:marLeft w:val="0"/>
      <w:marRight w:val="0"/>
      <w:marTop w:val="0"/>
      <w:marBottom w:val="0"/>
      <w:divBdr>
        <w:top w:val="none" w:sz="0" w:space="0" w:color="auto"/>
        <w:left w:val="none" w:sz="0" w:space="0" w:color="auto"/>
        <w:bottom w:val="none" w:sz="0" w:space="0" w:color="auto"/>
        <w:right w:val="none" w:sz="0" w:space="0" w:color="auto"/>
      </w:divBdr>
    </w:div>
    <w:div w:id="982543805">
      <w:bodyDiv w:val="1"/>
      <w:marLeft w:val="0"/>
      <w:marRight w:val="0"/>
      <w:marTop w:val="0"/>
      <w:marBottom w:val="0"/>
      <w:divBdr>
        <w:top w:val="none" w:sz="0" w:space="0" w:color="auto"/>
        <w:left w:val="none" w:sz="0" w:space="0" w:color="auto"/>
        <w:bottom w:val="none" w:sz="0" w:space="0" w:color="auto"/>
        <w:right w:val="none" w:sz="0" w:space="0" w:color="auto"/>
      </w:divBdr>
    </w:div>
    <w:div w:id="982581626">
      <w:bodyDiv w:val="1"/>
      <w:marLeft w:val="0"/>
      <w:marRight w:val="0"/>
      <w:marTop w:val="0"/>
      <w:marBottom w:val="0"/>
      <w:divBdr>
        <w:top w:val="none" w:sz="0" w:space="0" w:color="auto"/>
        <w:left w:val="none" w:sz="0" w:space="0" w:color="auto"/>
        <w:bottom w:val="none" w:sz="0" w:space="0" w:color="auto"/>
        <w:right w:val="none" w:sz="0" w:space="0" w:color="auto"/>
      </w:divBdr>
    </w:div>
    <w:div w:id="982657706">
      <w:bodyDiv w:val="1"/>
      <w:marLeft w:val="0"/>
      <w:marRight w:val="0"/>
      <w:marTop w:val="0"/>
      <w:marBottom w:val="0"/>
      <w:divBdr>
        <w:top w:val="none" w:sz="0" w:space="0" w:color="auto"/>
        <w:left w:val="none" w:sz="0" w:space="0" w:color="auto"/>
        <w:bottom w:val="none" w:sz="0" w:space="0" w:color="auto"/>
        <w:right w:val="none" w:sz="0" w:space="0" w:color="auto"/>
      </w:divBdr>
    </w:div>
    <w:div w:id="982731117">
      <w:bodyDiv w:val="1"/>
      <w:marLeft w:val="0"/>
      <w:marRight w:val="0"/>
      <w:marTop w:val="0"/>
      <w:marBottom w:val="0"/>
      <w:divBdr>
        <w:top w:val="none" w:sz="0" w:space="0" w:color="auto"/>
        <w:left w:val="none" w:sz="0" w:space="0" w:color="auto"/>
        <w:bottom w:val="none" w:sz="0" w:space="0" w:color="auto"/>
        <w:right w:val="none" w:sz="0" w:space="0" w:color="auto"/>
      </w:divBdr>
    </w:div>
    <w:div w:id="982731683">
      <w:bodyDiv w:val="1"/>
      <w:marLeft w:val="0"/>
      <w:marRight w:val="0"/>
      <w:marTop w:val="0"/>
      <w:marBottom w:val="0"/>
      <w:divBdr>
        <w:top w:val="none" w:sz="0" w:space="0" w:color="auto"/>
        <w:left w:val="none" w:sz="0" w:space="0" w:color="auto"/>
        <w:bottom w:val="none" w:sz="0" w:space="0" w:color="auto"/>
        <w:right w:val="none" w:sz="0" w:space="0" w:color="auto"/>
      </w:divBdr>
    </w:div>
    <w:div w:id="982780632">
      <w:bodyDiv w:val="1"/>
      <w:marLeft w:val="0"/>
      <w:marRight w:val="0"/>
      <w:marTop w:val="0"/>
      <w:marBottom w:val="0"/>
      <w:divBdr>
        <w:top w:val="none" w:sz="0" w:space="0" w:color="auto"/>
        <w:left w:val="none" w:sz="0" w:space="0" w:color="auto"/>
        <w:bottom w:val="none" w:sz="0" w:space="0" w:color="auto"/>
        <w:right w:val="none" w:sz="0" w:space="0" w:color="auto"/>
      </w:divBdr>
    </w:div>
    <w:div w:id="982782460">
      <w:bodyDiv w:val="1"/>
      <w:marLeft w:val="0"/>
      <w:marRight w:val="0"/>
      <w:marTop w:val="0"/>
      <w:marBottom w:val="0"/>
      <w:divBdr>
        <w:top w:val="none" w:sz="0" w:space="0" w:color="auto"/>
        <w:left w:val="none" w:sz="0" w:space="0" w:color="auto"/>
        <w:bottom w:val="none" w:sz="0" w:space="0" w:color="auto"/>
        <w:right w:val="none" w:sz="0" w:space="0" w:color="auto"/>
      </w:divBdr>
    </w:div>
    <w:div w:id="982852847">
      <w:bodyDiv w:val="1"/>
      <w:marLeft w:val="0"/>
      <w:marRight w:val="0"/>
      <w:marTop w:val="0"/>
      <w:marBottom w:val="0"/>
      <w:divBdr>
        <w:top w:val="none" w:sz="0" w:space="0" w:color="auto"/>
        <w:left w:val="none" w:sz="0" w:space="0" w:color="auto"/>
        <w:bottom w:val="none" w:sz="0" w:space="0" w:color="auto"/>
        <w:right w:val="none" w:sz="0" w:space="0" w:color="auto"/>
      </w:divBdr>
    </w:div>
    <w:div w:id="982931259">
      <w:bodyDiv w:val="1"/>
      <w:marLeft w:val="0"/>
      <w:marRight w:val="0"/>
      <w:marTop w:val="0"/>
      <w:marBottom w:val="0"/>
      <w:divBdr>
        <w:top w:val="none" w:sz="0" w:space="0" w:color="auto"/>
        <w:left w:val="none" w:sz="0" w:space="0" w:color="auto"/>
        <w:bottom w:val="none" w:sz="0" w:space="0" w:color="auto"/>
        <w:right w:val="none" w:sz="0" w:space="0" w:color="auto"/>
      </w:divBdr>
    </w:div>
    <w:div w:id="983045931">
      <w:bodyDiv w:val="1"/>
      <w:marLeft w:val="0"/>
      <w:marRight w:val="0"/>
      <w:marTop w:val="0"/>
      <w:marBottom w:val="0"/>
      <w:divBdr>
        <w:top w:val="none" w:sz="0" w:space="0" w:color="auto"/>
        <w:left w:val="none" w:sz="0" w:space="0" w:color="auto"/>
        <w:bottom w:val="none" w:sz="0" w:space="0" w:color="auto"/>
        <w:right w:val="none" w:sz="0" w:space="0" w:color="auto"/>
      </w:divBdr>
    </w:div>
    <w:div w:id="983048198">
      <w:bodyDiv w:val="1"/>
      <w:marLeft w:val="0"/>
      <w:marRight w:val="0"/>
      <w:marTop w:val="0"/>
      <w:marBottom w:val="0"/>
      <w:divBdr>
        <w:top w:val="none" w:sz="0" w:space="0" w:color="auto"/>
        <w:left w:val="none" w:sz="0" w:space="0" w:color="auto"/>
        <w:bottom w:val="none" w:sz="0" w:space="0" w:color="auto"/>
        <w:right w:val="none" w:sz="0" w:space="0" w:color="auto"/>
      </w:divBdr>
    </w:div>
    <w:div w:id="983049635">
      <w:bodyDiv w:val="1"/>
      <w:marLeft w:val="0"/>
      <w:marRight w:val="0"/>
      <w:marTop w:val="0"/>
      <w:marBottom w:val="0"/>
      <w:divBdr>
        <w:top w:val="none" w:sz="0" w:space="0" w:color="auto"/>
        <w:left w:val="none" w:sz="0" w:space="0" w:color="auto"/>
        <w:bottom w:val="none" w:sz="0" w:space="0" w:color="auto"/>
        <w:right w:val="none" w:sz="0" w:space="0" w:color="auto"/>
      </w:divBdr>
    </w:div>
    <w:div w:id="983200998">
      <w:bodyDiv w:val="1"/>
      <w:marLeft w:val="0"/>
      <w:marRight w:val="0"/>
      <w:marTop w:val="0"/>
      <w:marBottom w:val="0"/>
      <w:divBdr>
        <w:top w:val="none" w:sz="0" w:space="0" w:color="auto"/>
        <w:left w:val="none" w:sz="0" w:space="0" w:color="auto"/>
        <w:bottom w:val="none" w:sz="0" w:space="0" w:color="auto"/>
        <w:right w:val="none" w:sz="0" w:space="0" w:color="auto"/>
      </w:divBdr>
    </w:div>
    <w:div w:id="983317042">
      <w:bodyDiv w:val="1"/>
      <w:marLeft w:val="0"/>
      <w:marRight w:val="0"/>
      <w:marTop w:val="0"/>
      <w:marBottom w:val="0"/>
      <w:divBdr>
        <w:top w:val="none" w:sz="0" w:space="0" w:color="auto"/>
        <w:left w:val="none" w:sz="0" w:space="0" w:color="auto"/>
        <w:bottom w:val="none" w:sz="0" w:space="0" w:color="auto"/>
        <w:right w:val="none" w:sz="0" w:space="0" w:color="auto"/>
      </w:divBdr>
    </w:div>
    <w:div w:id="983463224">
      <w:bodyDiv w:val="1"/>
      <w:marLeft w:val="0"/>
      <w:marRight w:val="0"/>
      <w:marTop w:val="0"/>
      <w:marBottom w:val="0"/>
      <w:divBdr>
        <w:top w:val="none" w:sz="0" w:space="0" w:color="auto"/>
        <w:left w:val="none" w:sz="0" w:space="0" w:color="auto"/>
        <w:bottom w:val="none" w:sz="0" w:space="0" w:color="auto"/>
        <w:right w:val="none" w:sz="0" w:space="0" w:color="auto"/>
      </w:divBdr>
    </w:div>
    <w:div w:id="983701940">
      <w:bodyDiv w:val="1"/>
      <w:marLeft w:val="0"/>
      <w:marRight w:val="0"/>
      <w:marTop w:val="0"/>
      <w:marBottom w:val="0"/>
      <w:divBdr>
        <w:top w:val="none" w:sz="0" w:space="0" w:color="auto"/>
        <w:left w:val="none" w:sz="0" w:space="0" w:color="auto"/>
        <w:bottom w:val="none" w:sz="0" w:space="0" w:color="auto"/>
        <w:right w:val="none" w:sz="0" w:space="0" w:color="auto"/>
      </w:divBdr>
    </w:div>
    <w:div w:id="983779702">
      <w:bodyDiv w:val="1"/>
      <w:marLeft w:val="0"/>
      <w:marRight w:val="0"/>
      <w:marTop w:val="0"/>
      <w:marBottom w:val="0"/>
      <w:divBdr>
        <w:top w:val="none" w:sz="0" w:space="0" w:color="auto"/>
        <w:left w:val="none" w:sz="0" w:space="0" w:color="auto"/>
        <w:bottom w:val="none" w:sz="0" w:space="0" w:color="auto"/>
        <w:right w:val="none" w:sz="0" w:space="0" w:color="auto"/>
      </w:divBdr>
    </w:div>
    <w:div w:id="983965582">
      <w:bodyDiv w:val="1"/>
      <w:marLeft w:val="0"/>
      <w:marRight w:val="0"/>
      <w:marTop w:val="0"/>
      <w:marBottom w:val="0"/>
      <w:divBdr>
        <w:top w:val="none" w:sz="0" w:space="0" w:color="auto"/>
        <w:left w:val="none" w:sz="0" w:space="0" w:color="auto"/>
        <w:bottom w:val="none" w:sz="0" w:space="0" w:color="auto"/>
        <w:right w:val="none" w:sz="0" w:space="0" w:color="auto"/>
      </w:divBdr>
    </w:div>
    <w:div w:id="984117060">
      <w:bodyDiv w:val="1"/>
      <w:marLeft w:val="0"/>
      <w:marRight w:val="0"/>
      <w:marTop w:val="0"/>
      <w:marBottom w:val="0"/>
      <w:divBdr>
        <w:top w:val="none" w:sz="0" w:space="0" w:color="auto"/>
        <w:left w:val="none" w:sz="0" w:space="0" w:color="auto"/>
        <w:bottom w:val="none" w:sz="0" w:space="0" w:color="auto"/>
        <w:right w:val="none" w:sz="0" w:space="0" w:color="auto"/>
      </w:divBdr>
    </w:div>
    <w:div w:id="984237318">
      <w:bodyDiv w:val="1"/>
      <w:marLeft w:val="0"/>
      <w:marRight w:val="0"/>
      <w:marTop w:val="0"/>
      <w:marBottom w:val="0"/>
      <w:divBdr>
        <w:top w:val="none" w:sz="0" w:space="0" w:color="auto"/>
        <w:left w:val="none" w:sz="0" w:space="0" w:color="auto"/>
        <w:bottom w:val="none" w:sz="0" w:space="0" w:color="auto"/>
        <w:right w:val="none" w:sz="0" w:space="0" w:color="auto"/>
      </w:divBdr>
    </w:div>
    <w:div w:id="984315105">
      <w:bodyDiv w:val="1"/>
      <w:marLeft w:val="0"/>
      <w:marRight w:val="0"/>
      <w:marTop w:val="0"/>
      <w:marBottom w:val="0"/>
      <w:divBdr>
        <w:top w:val="none" w:sz="0" w:space="0" w:color="auto"/>
        <w:left w:val="none" w:sz="0" w:space="0" w:color="auto"/>
        <w:bottom w:val="none" w:sz="0" w:space="0" w:color="auto"/>
        <w:right w:val="none" w:sz="0" w:space="0" w:color="auto"/>
      </w:divBdr>
    </w:div>
    <w:div w:id="984355697">
      <w:bodyDiv w:val="1"/>
      <w:marLeft w:val="0"/>
      <w:marRight w:val="0"/>
      <w:marTop w:val="0"/>
      <w:marBottom w:val="0"/>
      <w:divBdr>
        <w:top w:val="none" w:sz="0" w:space="0" w:color="auto"/>
        <w:left w:val="none" w:sz="0" w:space="0" w:color="auto"/>
        <w:bottom w:val="none" w:sz="0" w:space="0" w:color="auto"/>
        <w:right w:val="none" w:sz="0" w:space="0" w:color="auto"/>
      </w:divBdr>
    </w:div>
    <w:div w:id="984437046">
      <w:bodyDiv w:val="1"/>
      <w:marLeft w:val="0"/>
      <w:marRight w:val="0"/>
      <w:marTop w:val="0"/>
      <w:marBottom w:val="0"/>
      <w:divBdr>
        <w:top w:val="none" w:sz="0" w:space="0" w:color="auto"/>
        <w:left w:val="none" w:sz="0" w:space="0" w:color="auto"/>
        <w:bottom w:val="none" w:sz="0" w:space="0" w:color="auto"/>
        <w:right w:val="none" w:sz="0" w:space="0" w:color="auto"/>
      </w:divBdr>
    </w:div>
    <w:div w:id="984744745">
      <w:bodyDiv w:val="1"/>
      <w:marLeft w:val="0"/>
      <w:marRight w:val="0"/>
      <w:marTop w:val="0"/>
      <w:marBottom w:val="0"/>
      <w:divBdr>
        <w:top w:val="none" w:sz="0" w:space="0" w:color="auto"/>
        <w:left w:val="none" w:sz="0" w:space="0" w:color="auto"/>
        <w:bottom w:val="none" w:sz="0" w:space="0" w:color="auto"/>
        <w:right w:val="none" w:sz="0" w:space="0" w:color="auto"/>
      </w:divBdr>
    </w:div>
    <w:div w:id="985016313">
      <w:bodyDiv w:val="1"/>
      <w:marLeft w:val="0"/>
      <w:marRight w:val="0"/>
      <w:marTop w:val="0"/>
      <w:marBottom w:val="0"/>
      <w:divBdr>
        <w:top w:val="none" w:sz="0" w:space="0" w:color="auto"/>
        <w:left w:val="none" w:sz="0" w:space="0" w:color="auto"/>
        <w:bottom w:val="none" w:sz="0" w:space="0" w:color="auto"/>
        <w:right w:val="none" w:sz="0" w:space="0" w:color="auto"/>
      </w:divBdr>
    </w:div>
    <w:div w:id="985085144">
      <w:bodyDiv w:val="1"/>
      <w:marLeft w:val="0"/>
      <w:marRight w:val="0"/>
      <w:marTop w:val="0"/>
      <w:marBottom w:val="0"/>
      <w:divBdr>
        <w:top w:val="none" w:sz="0" w:space="0" w:color="auto"/>
        <w:left w:val="none" w:sz="0" w:space="0" w:color="auto"/>
        <w:bottom w:val="none" w:sz="0" w:space="0" w:color="auto"/>
        <w:right w:val="none" w:sz="0" w:space="0" w:color="auto"/>
      </w:divBdr>
    </w:div>
    <w:div w:id="985085322">
      <w:bodyDiv w:val="1"/>
      <w:marLeft w:val="0"/>
      <w:marRight w:val="0"/>
      <w:marTop w:val="0"/>
      <w:marBottom w:val="0"/>
      <w:divBdr>
        <w:top w:val="none" w:sz="0" w:space="0" w:color="auto"/>
        <w:left w:val="none" w:sz="0" w:space="0" w:color="auto"/>
        <w:bottom w:val="none" w:sz="0" w:space="0" w:color="auto"/>
        <w:right w:val="none" w:sz="0" w:space="0" w:color="auto"/>
      </w:divBdr>
    </w:div>
    <w:div w:id="985352224">
      <w:bodyDiv w:val="1"/>
      <w:marLeft w:val="0"/>
      <w:marRight w:val="0"/>
      <w:marTop w:val="0"/>
      <w:marBottom w:val="0"/>
      <w:divBdr>
        <w:top w:val="none" w:sz="0" w:space="0" w:color="auto"/>
        <w:left w:val="none" w:sz="0" w:space="0" w:color="auto"/>
        <w:bottom w:val="none" w:sz="0" w:space="0" w:color="auto"/>
        <w:right w:val="none" w:sz="0" w:space="0" w:color="auto"/>
      </w:divBdr>
    </w:div>
    <w:div w:id="985596217">
      <w:bodyDiv w:val="1"/>
      <w:marLeft w:val="0"/>
      <w:marRight w:val="0"/>
      <w:marTop w:val="0"/>
      <w:marBottom w:val="0"/>
      <w:divBdr>
        <w:top w:val="none" w:sz="0" w:space="0" w:color="auto"/>
        <w:left w:val="none" w:sz="0" w:space="0" w:color="auto"/>
        <w:bottom w:val="none" w:sz="0" w:space="0" w:color="auto"/>
        <w:right w:val="none" w:sz="0" w:space="0" w:color="auto"/>
      </w:divBdr>
    </w:div>
    <w:div w:id="985668899">
      <w:bodyDiv w:val="1"/>
      <w:marLeft w:val="0"/>
      <w:marRight w:val="0"/>
      <w:marTop w:val="0"/>
      <w:marBottom w:val="0"/>
      <w:divBdr>
        <w:top w:val="none" w:sz="0" w:space="0" w:color="auto"/>
        <w:left w:val="none" w:sz="0" w:space="0" w:color="auto"/>
        <w:bottom w:val="none" w:sz="0" w:space="0" w:color="auto"/>
        <w:right w:val="none" w:sz="0" w:space="0" w:color="auto"/>
      </w:divBdr>
    </w:div>
    <w:div w:id="985745276">
      <w:bodyDiv w:val="1"/>
      <w:marLeft w:val="0"/>
      <w:marRight w:val="0"/>
      <w:marTop w:val="0"/>
      <w:marBottom w:val="0"/>
      <w:divBdr>
        <w:top w:val="none" w:sz="0" w:space="0" w:color="auto"/>
        <w:left w:val="none" w:sz="0" w:space="0" w:color="auto"/>
        <w:bottom w:val="none" w:sz="0" w:space="0" w:color="auto"/>
        <w:right w:val="none" w:sz="0" w:space="0" w:color="auto"/>
      </w:divBdr>
    </w:div>
    <w:div w:id="985819570">
      <w:bodyDiv w:val="1"/>
      <w:marLeft w:val="0"/>
      <w:marRight w:val="0"/>
      <w:marTop w:val="0"/>
      <w:marBottom w:val="0"/>
      <w:divBdr>
        <w:top w:val="none" w:sz="0" w:space="0" w:color="auto"/>
        <w:left w:val="none" w:sz="0" w:space="0" w:color="auto"/>
        <w:bottom w:val="none" w:sz="0" w:space="0" w:color="auto"/>
        <w:right w:val="none" w:sz="0" w:space="0" w:color="auto"/>
      </w:divBdr>
    </w:div>
    <w:div w:id="986595168">
      <w:bodyDiv w:val="1"/>
      <w:marLeft w:val="0"/>
      <w:marRight w:val="0"/>
      <w:marTop w:val="0"/>
      <w:marBottom w:val="0"/>
      <w:divBdr>
        <w:top w:val="none" w:sz="0" w:space="0" w:color="auto"/>
        <w:left w:val="none" w:sz="0" w:space="0" w:color="auto"/>
        <w:bottom w:val="none" w:sz="0" w:space="0" w:color="auto"/>
        <w:right w:val="none" w:sz="0" w:space="0" w:color="auto"/>
      </w:divBdr>
    </w:div>
    <w:div w:id="986780995">
      <w:bodyDiv w:val="1"/>
      <w:marLeft w:val="0"/>
      <w:marRight w:val="0"/>
      <w:marTop w:val="0"/>
      <w:marBottom w:val="0"/>
      <w:divBdr>
        <w:top w:val="none" w:sz="0" w:space="0" w:color="auto"/>
        <w:left w:val="none" w:sz="0" w:space="0" w:color="auto"/>
        <w:bottom w:val="none" w:sz="0" w:space="0" w:color="auto"/>
        <w:right w:val="none" w:sz="0" w:space="0" w:color="auto"/>
      </w:divBdr>
    </w:div>
    <w:div w:id="986938591">
      <w:bodyDiv w:val="1"/>
      <w:marLeft w:val="0"/>
      <w:marRight w:val="0"/>
      <w:marTop w:val="0"/>
      <w:marBottom w:val="0"/>
      <w:divBdr>
        <w:top w:val="none" w:sz="0" w:space="0" w:color="auto"/>
        <w:left w:val="none" w:sz="0" w:space="0" w:color="auto"/>
        <w:bottom w:val="none" w:sz="0" w:space="0" w:color="auto"/>
        <w:right w:val="none" w:sz="0" w:space="0" w:color="auto"/>
      </w:divBdr>
    </w:div>
    <w:div w:id="986973468">
      <w:bodyDiv w:val="1"/>
      <w:marLeft w:val="0"/>
      <w:marRight w:val="0"/>
      <w:marTop w:val="0"/>
      <w:marBottom w:val="0"/>
      <w:divBdr>
        <w:top w:val="none" w:sz="0" w:space="0" w:color="auto"/>
        <w:left w:val="none" w:sz="0" w:space="0" w:color="auto"/>
        <w:bottom w:val="none" w:sz="0" w:space="0" w:color="auto"/>
        <w:right w:val="none" w:sz="0" w:space="0" w:color="auto"/>
      </w:divBdr>
    </w:div>
    <w:div w:id="987249393">
      <w:bodyDiv w:val="1"/>
      <w:marLeft w:val="0"/>
      <w:marRight w:val="0"/>
      <w:marTop w:val="0"/>
      <w:marBottom w:val="0"/>
      <w:divBdr>
        <w:top w:val="none" w:sz="0" w:space="0" w:color="auto"/>
        <w:left w:val="none" w:sz="0" w:space="0" w:color="auto"/>
        <w:bottom w:val="none" w:sz="0" w:space="0" w:color="auto"/>
        <w:right w:val="none" w:sz="0" w:space="0" w:color="auto"/>
      </w:divBdr>
    </w:div>
    <w:div w:id="987317755">
      <w:bodyDiv w:val="1"/>
      <w:marLeft w:val="0"/>
      <w:marRight w:val="0"/>
      <w:marTop w:val="0"/>
      <w:marBottom w:val="0"/>
      <w:divBdr>
        <w:top w:val="none" w:sz="0" w:space="0" w:color="auto"/>
        <w:left w:val="none" w:sz="0" w:space="0" w:color="auto"/>
        <w:bottom w:val="none" w:sz="0" w:space="0" w:color="auto"/>
        <w:right w:val="none" w:sz="0" w:space="0" w:color="auto"/>
      </w:divBdr>
    </w:div>
    <w:div w:id="987438233">
      <w:bodyDiv w:val="1"/>
      <w:marLeft w:val="0"/>
      <w:marRight w:val="0"/>
      <w:marTop w:val="0"/>
      <w:marBottom w:val="0"/>
      <w:divBdr>
        <w:top w:val="none" w:sz="0" w:space="0" w:color="auto"/>
        <w:left w:val="none" w:sz="0" w:space="0" w:color="auto"/>
        <w:bottom w:val="none" w:sz="0" w:space="0" w:color="auto"/>
        <w:right w:val="none" w:sz="0" w:space="0" w:color="auto"/>
      </w:divBdr>
    </w:div>
    <w:div w:id="987441475">
      <w:bodyDiv w:val="1"/>
      <w:marLeft w:val="0"/>
      <w:marRight w:val="0"/>
      <w:marTop w:val="0"/>
      <w:marBottom w:val="0"/>
      <w:divBdr>
        <w:top w:val="none" w:sz="0" w:space="0" w:color="auto"/>
        <w:left w:val="none" w:sz="0" w:space="0" w:color="auto"/>
        <w:bottom w:val="none" w:sz="0" w:space="0" w:color="auto"/>
        <w:right w:val="none" w:sz="0" w:space="0" w:color="auto"/>
      </w:divBdr>
    </w:div>
    <w:div w:id="987510556">
      <w:bodyDiv w:val="1"/>
      <w:marLeft w:val="0"/>
      <w:marRight w:val="0"/>
      <w:marTop w:val="0"/>
      <w:marBottom w:val="0"/>
      <w:divBdr>
        <w:top w:val="none" w:sz="0" w:space="0" w:color="auto"/>
        <w:left w:val="none" w:sz="0" w:space="0" w:color="auto"/>
        <w:bottom w:val="none" w:sz="0" w:space="0" w:color="auto"/>
        <w:right w:val="none" w:sz="0" w:space="0" w:color="auto"/>
      </w:divBdr>
    </w:div>
    <w:div w:id="987514892">
      <w:bodyDiv w:val="1"/>
      <w:marLeft w:val="0"/>
      <w:marRight w:val="0"/>
      <w:marTop w:val="0"/>
      <w:marBottom w:val="0"/>
      <w:divBdr>
        <w:top w:val="none" w:sz="0" w:space="0" w:color="auto"/>
        <w:left w:val="none" w:sz="0" w:space="0" w:color="auto"/>
        <w:bottom w:val="none" w:sz="0" w:space="0" w:color="auto"/>
        <w:right w:val="none" w:sz="0" w:space="0" w:color="auto"/>
      </w:divBdr>
    </w:div>
    <w:div w:id="987516128">
      <w:bodyDiv w:val="1"/>
      <w:marLeft w:val="0"/>
      <w:marRight w:val="0"/>
      <w:marTop w:val="0"/>
      <w:marBottom w:val="0"/>
      <w:divBdr>
        <w:top w:val="none" w:sz="0" w:space="0" w:color="auto"/>
        <w:left w:val="none" w:sz="0" w:space="0" w:color="auto"/>
        <w:bottom w:val="none" w:sz="0" w:space="0" w:color="auto"/>
        <w:right w:val="none" w:sz="0" w:space="0" w:color="auto"/>
      </w:divBdr>
    </w:div>
    <w:div w:id="987628794">
      <w:bodyDiv w:val="1"/>
      <w:marLeft w:val="0"/>
      <w:marRight w:val="0"/>
      <w:marTop w:val="0"/>
      <w:marBottom w:val="0"/>
      <w:divBdr>
        <w:top w:val="none" w:sz="0" w:space="0" w:color="auto"/>
        <w:left w:val="none" w:sz="0" w:space="0" w:color="auto"/>
        <w:bottom w:val="none" w:sz="0" w:space="0" w:color="auto"/>
        <w:right w:val="none" w:sz="0" w:space="0" w:color="auto"/>
      </w:divBdr>
    </w:div>
    <w:div w:id="987706823">
      <w:bodyDiv w:val="1"/>
      <w:marLeft w:val="0"/>
      <w:marRight w:val="0"/>
      <w:marTop w:val="0"/>
      <w:marBottom w:val="0"/>
      <w:divBdr>
        <w:top w:val="none" w:sz="0" w:space="0" w:color="auto"/>
        <w:left w:val="none" w:sz="0" w:space="0" w:color="auto"/>
        <w:bottom w:val="none" w:sz="0" w:space="0" w:color="auto"/>
        <w:right w:val="none" w:sz="0" w:space="0" w:color="auto"/>
      </w:divBdr>
    </w:div>
    <w:div w:id="987856263">
      <w:bodyDiv w:val="1"/>
      <w:marLeft w:val="0"/>
      <w:marRight w:val="0"/>
      <w:marTop w:val="0"/>
      <w:marBottom w:val="0"/>
      <w:divBdr>
        <w:top w:val="none" w:sz="0" w:space="0" w:color="auto"/>
        <w:left w:val="none" w:sz="0" w:space="0" w:color="auto"/>
        <w:bottom w:val="none" w:sz="0" w:space="0" w:color="auto"/>
        <w:right w:val="none" w:sz="0" w:space="0" w:color="auto"/>
      </w:divBdr>
    </w:div>
    <w:div w:id="987897349">
      <w:bodyDiv w:val="1"/>
      <w:marLeft w:val="0"/>
      <w:marRight w:val="0"/>
      <w:marTop w:val="0"/>
      <w:marBottom w:val="0"/>
      <w:divBdr>
        <w:top w:val="none" w:sz="0" w:space="0" w:color="auto"/>
        <w:left w:val="none" w:sz="0" w:space="0" w:color="auto"/>
        <w:bottom w:val="none" w:sz="0" w:space="0" w:color="auto"/>
        <w:right w:val="none" w:sz="0" w:space="0" w:color="auto"/>
      </w:divBdr>
    </w:div>
    <w:div w:id="987975967">
      <w:bodyDiv w:val="1"/>
      <w:marLeft w:val="0"/>
      <w:marRight w:val="0"/>
      <w:marTop w:val="0"/>
      <w:marBottom w:val="0"/>
      <w:divBdr>
        <w:top w:val="none" w:sz="0" w:space="0" w:color="auto"/>
        <w:left w:val="none" w:sz="0" w:space="0" w:color="auto"/>
        <w:bottom w:val="none" w:sz="0" w:space="0" w:color="auto"/>
        <w:right w:val="none" w:sz="0" w:space="0" w:color="auto"/>
      </w:divBdr>
    </w:div>
    <w:div w:id="988021266">
      <w:bodyDiv w:val="1"/>
      <w:marLeft w:val="0"/>
      <w:marRight w:val="0"/>
      <w:marTop w:val="0"/>
      <w:marBottom w:val="0"/>
      <w:divBdr>
        <w:top w:val="none" w:sz="0" w:space="0" w:color="auto"/>
        <w:left w:val="none" w:sz="0" w:space="0" w:color="auto"/>
        <w:bottom w:val="none" w:sz="0" w:space="0" w:color="auto"/>
        <w:right w:val="none" w:sz="0" w:space="0" w:color="auto"/>
      </w:divBdr>
    </w:div>
    <w:div w:id="988242170">
      <w:bodyDiv w:val="1"/>
      <w:marLeft w:val="0"/>
      <w:marRight w:val="0"/>
      <w:marTop w:val="0"/>
      <w:marBottom w:val="0"/>
      <w:divBdr>
        <w:top w:val="none" w:sz="0" w:space="0" w:color="auto"/>
        <w:left w:val="none" w:sz="0" w:space="0" w:color="auto"/>
        <w:bottom w:val="none" w:sz="0" w:space="0" w:color="auto"/>
        <w:right w:val="none" w:sz="0" w:space="0" w:color="auto"/>
      </w:divBdr>
    </w:div>
    <w:div w:id="988243042">
      <w:bodyDiv w:val="1"/>
      <w:marLeft w:val="0"/>
      <w:marRight w:val="0"/>
      <w:marTop w:val="0"/>
      <w:marBottom w:val="0"/>
      <w:divBdr>
        <w:top w:val="none" w:sz="0" w:space="0" w:color="auto"/>
        <w:left w:val="none" w:sz="0" w:space="0" w:color="auto"/>
        <w:bottom w:val="none" w:sz="0" w:space="0" w:color="auto"/>
        <w:right w:val="none" w:sz="0" w:space="0" w:color="auto"/>
      </w:divBdr>
    </w:div>
    <w:div w:id="988248653">
      <w:bodyDiv w:val="1"/>
      <w:marLeft w:val="0"/>
      <w:marRight w:val="0"/>
      <w:marTop w:val="0"/>
      <w:marBottom w:val="0"/>
      <w:divBdr>
        <w:top w:val="none" w:sz="0" w:space="0" w:color="auto"/>
        <w:left w:val="none" w:sz="0" w:space="0" w:color="auto"/>
        <w:bottom w:val="none" w:sz="0" w:space="0" w:color="auto"/>
        <w:right w:val="none" w:sz="0" w:space="0" w:color="auto"/>
      </w:divBdr>
    </w:div>
    <w:div w:id="988286492">
      <w:bodyDiv w:val="1"/>
      <w:marLeft w:val="0"/>
      <w:marRight w:val="0"/>
      <w:marTop w:val="0"/>
      <w:marBottom w:val="0"/>
      <w:divBdr>
        <w:top w:val="none" w:sz="0" w:space="0" w:color="auto"/>
        <w:left w:val="none" w:sz="0" w:space="0" w:color="auto"/>
        <w:bottom w:val="none" w:sz="0" w:space="0" w:color="auto"/>
        <w:right w:val="none" w:sz="0" w:space="0" w:color="auto"/>
      </w:divBdr>
    </w:div>
    <w:div w:id="988367691">
      <w:bodyDiv w:val="1"/>
      <w:marLeft w:val="0"/>
      <w:marRight w:val="0"/>
      <w:marTop w:val="0"/>
      <w:marBottom w:val="0"/>
      <w:divBdr>
        <w:top w:val="none" w:sz="0" w:space="0" w:color="auto"/>
        <w:left w:val="none" w:sz="0" w:space="0" w:color="auto"/>
        <w:bottom w:val="none" w:sz="0" w:space="0" w:color="auto"/>
        <w:right w:val="none" w:sz="0" w:space="0" w:color="auto"/>
      </w:divBdr>
    </w:div>
    <w:div w:id="988556474">
      <w:bodyDiv w:val="1"/>
      <w:marLeft w:val="0"/>
      <w:marRight w:val="0"/>
      <w:marTop w:val="0"/>
      <w:marBottom w:val="0"/>
      <w:divBdr>
        <w:top w:val="none" w:sz="0" w:space="0" w:color="auto"/>
        <w:left w:val="none" w:sz="0" w:space="0" w:color="auto"/>
        <w:bottom w:val="none" w:sz="0" w:space="0" w:color="auto"/>
        <w:right w:val="none" w:sz="0" w:space="0" w:color="auto"/>
      </w:divBdr>
    </w:div>
    <w:div w:id="988560491">
      <w:bodyDiv w:val="1"/>
      <w:marLeft w:val="0"/>
      <w:marRight w:val="0"/>
      <w:marTop w:val="0"/>
      <w:marBottom w:val="0"/>
      <w:divBdr>
        <w:top w:val="none" w:sz="0" w:space="0" w:color="auto"/>
        <w:left w:val="none" w:sz="0" w:space="0" w:color="auto"/>
        <w:bottom w:val="none" w:sz="0" w:space="0" w:color="auto"/>
        <w:right w:val="none" w:sz="0" w:space="0" w:color="auto"/>
      </w:divBdr>
    </w:div>
    <w:div w:id="988822401">
      <w:bodyDiv w:val="1"/>
      <w:marLeft w:val="0"/>
      <w:marRight w:val="0"/>
      <w:marTop w:val="0"/>
      <w:marBottom w:val="0"/>
      <w:divBdr>
        <w:top w:val="none" w:sz="0" w:space="0" w:color="auto"/>
        <w:left w:val="none" w:sz="0" w:space="0" w:color="auto"/>
        <w:bottom w:val="none" w:sz="0" w:space="0" w:color="auto"/>
        <w:right w:val="none" w:sz="0" w:space="0" w:color="auto"/>
      </w:divBdr>
    </w:div>
    <w:div w:id="989015587">
      <w:bodyDiv w:val="1"/>
      <w:marLeft w:val="0"/>
      <w:marRight w:val="0"/>
      <w:marTop w:val="0"/>
      <w:marBottom w:val="0"/>
      <w:divBdr>
        <w:top w:val="none" w:sz="0" w:space="0" w:color="auto"/>
        <w:left w:val="none" w:sz="0" w:space="0" w:color="auto"/>
        <w:bottom w:val="none" w:sz="0" w:space="0" w:color="auto"/>
        <w:right w:val="none" w:sz="0" w:space="0" w:color="auto"/>
      </w:divBdr>
    </w:div>
    <w:div w:id="989021326">
      <w:bodyDiv w:val="1"/>
      <w:marLeft w:val="0"/>
      <w:marRight w:val="0"/>
      <w:marTop w:val="0"/>
      <w:marBottom w:val="0"/>
      <w:divBdr>
        <w:top w:val="none" w:sz="0" w:space="0" w:color="auto"/>
        <w:left w:val="none" w:sz="0" w:space="0" w:color="auto"/>
        <w:bottom w:val="none" w:sz="0" w:space="0" w:color="auto"/>
        <w:right w:val="none" w:sz="0" w:space="0" w:color="auto"/>
      </w:divBdr>
    </w:div>
    <w:div w:id="989089724">
      <w:bodyDiv w:val="1"/>
      <w:marLeft w:val="0"/>
      <w:marRight w:val="0"/>
      <w:marTop w:val="0"/>
      <w:marBottom w:val="0"/>
      <w:divBdr>
        <w:top w:val="none" w:sz="0" w:space="0" w:color="auto"/>
        <w:left w:val="none" w:sz="0" w:space="0" w:color="auto"/>
        <w:bottom w:val="none" w:sz="0" w:space="0" w:color="auto"/>
        <w:right w:val="none" w:sz="0" w:space="0" w:color="auto"/>
      </w:divBdr>
    </w:div>
    <w:div w:id="989092213">
      <w:bodyDiv w:val="1"/>
      <w:marLeft w:val="0"/>
      <w:marRight w:val="0"/>
      <w:marTop w:val="0"/>
      <w:marBottom w:val="0"/>
      <w:divBdr>
        <w:top w:val="none" w:sz="0" w:space="0" w:color="auto"/>
        <w:left w:val="none" w:sz="0" w:space="0" w:color="auto"/>
        <w:bottom w:val="none" w:sz="0" w:space="0" w:color="auto"/>
        <w:right w:val="none" w:sz="0" w:space="0" w:color="auto"/>
      </w:divBdr>
    </w:div>
    <w:div w:id="989165281">
      <w:bodyDiv w:val="1"/>
      <w:marLeft w:val="0"/>
      <w:marRight w:val="0"/>
      <w:marTop w:val="0"/>
      <w:marBottom w:val="0"/>
      <w:divBdr>
        <w:top w:val="none" w:sz="0" w:space="0" w:color="auto"/>
        <w:left w:val="none" w:sz="0" w:space="0" w:color="auto"/>
        <w:bottom w:val="none" w:sz="0" w:space="0" w:color="auto"/>
        <w:right w:val="none" w:sz="0" w:space="0" w:color="auto"/>
      </w:divBdr>
    </w:div>
    <w:div w:id="989290683">
      <w:bodyDiv w:val="1"/>
      <w:marLeft w:val="0"/>
      <w:marRight w:val="0"/>
      <w:marTop w:val="0"/>
      <w:marBottom w:val="0"/>
      <w:divBdr>
        <w:top w:val="none" w:sz="0" w:space="0" w:color="auto"/>
        <w:left w:val="none" w:sz="0" w:space="0" w:color="auto"/>
        <w:bottom w:val="none" w:sz="0" w:space="0" w:color="auto"/>
        <w:right w:val="none" w:sz="0" w:space="0" w:color="auto"/>
      </w:divBdr>
    </w:div>
    <w:div w:id="989292481">
      <w:bodyDiv w:val="1"/>
      <w:marLeft w:val="0"/>
      <w:marRight w:val="0"/>
      <w:marTop w:val="0"/>
      <w:marBottom w:val="0"/>
      <w:divBdr>
        <w:top w:val="none" w:sz="0" w:space="0" w:color="auto"/>
        <w:left w:val="none" w:sz="0" w:space="0" w:color="auto"/>
        <w:bottom w:val="none" w:sz="0" w:space="0" w:color="auto"/>
        <w:right w:val="none" w:sz="0" w:space="0" w:color="auto"/>
      </w:divBdr>
    </w:div>
    <w:div w:id="989477838">
      <w:bodyDiv w:val="1"/>
      <w:marLeft w:val="0"/>
      <w:marRight w:val="0"/>
      <w:marTop w:val="0"/>
      <w:marBottom w:val="0"/>
      <w:divBdr>
        <w:top w:val="none" w:sz="0" w:space="0" w:color="auto"/>
        <w:left w:val="none" w:sz="0" w:space="0" w:color="auto"/>
        <w:bottom w:val="none" w:sz="0" w:space="0" w:color="auto"/>
        <w:right w:val="none" w:sz="0" w:space="0" w:color="auto"/>
      </w:divBdr>
    </w:div>
    <w:div w:id="989672547">
      <w:bodyDiv w:val="1"/>
      <w:marLeft w:val="0"/>
      <w:marRight w:val="0"/>
      <w:marTop w:val="0"/>
      <w:marBottom w:val="0"/>
      <w:divBdr>
        <w:top w:val="none" w:sz="0" w:space="0" w:color="auto"/>
        <w:left w:val="none" w:sz="0" w:space="0" w:color="auto"/>
        <w:bottom w:val="none" w:sz="0" w:space="0" w:color="auto"/>
        <w:right w:val="none" w:sz="0" w:space="0" w:color="auto"/>
      </w:divBdr>
    </w:div>
    <w:div w:id="989675857">
      <w:bodyDiv w:val="1"/>
      <w:marLeft w:val="0"/>
      <w:marRight w:val="0"/>
      <w:marTop w:val="0"/>
      <w:marBottom w:val="0"/>
      <w:divBdr>
        <w:top w:val="none" w:sz="0" w:space="0" w:color="auto"/>
        <w:left w:val="none" w:sz="0" w:space="0" w:color="auto"/>
        <w:bottom w:val="none" w:sz="0" w:space="0" w:color="auto"/>
        <w:right w:val="none" w:sz="0" w:space="0" w:color="auto"/>
      </w:divBdr>
    </w:div>
    <w:div w:id="989676039">
      <w:bodyDiv w:val="1"/>
      <w:marLeft w:val="0"/>
      <w:marRight w:val="0"/>
      <w:marTop w:val="0"/>
      <w:marBottom w:val="0"/>
      <w:divBdr>
        <w:top w:val="none" w:sz="0" w:space="0" w:color="auto"/>
        <w:left w:val="none" w:sz="0" w:space="0" w:color="auto"/>
        <w:bottom w:val="none" w:sz="0" w:space="0" w:color="auto"/>
        <w:right w:val="none" w:sz="0" w:space="0" w:color="auto"/>
      </w:divBdr>
    </w:div>
    <w:div w:id="989791922">
      <w:bodyDiv w:val="1"/>
      <w:marLeft w:val="0"/>
      <w:marRight w:val="0"/>
      <w:marTop w:val="0"/>
      <w:marBottom w:val="0"/>
      <w:divBdr>
        <w:top w:val="none" w:sz="0" w:space="0" w:color="auto"/>
        <w:left w:val="none" w:sz="0" w:space="0" w:color="auto"/>
        <w:bottom w:val="none" w:sz="0" w:space="0" w:color="auto"/>
        <w:right w:val="none" w:sz="0" w:space="0" w:color="auto"/>
      </w:divBdr>
    </w:div>
    <w:div w:id="990711789">
      <w:bodyDiv w:val="1"/>
      <w:marLeft w:val="0"/>
      <w:marRight w:val="0"/>
      <w:marTop w:val="0"/>
      <w:marBottom w:val="0"/>
      <w:divBdr>
        <w:top w:val="none" w:sz="0" w:space="0" w:color="auto"/>
        <w:left w:val="none" w:sz="0" w:space="0" w:color="auto"/>
        <w:bottom w:val="none" w:sz="0" w:space="0" w:color="auto"/>
        <w:right w:val="none" w:sz="0" w:space="0" w:color="auto"/>
      </w:divBdr>
    </w:div>
    <w:div w:id="990712543">
      <w:bodyDiv w:val="1"/>
      <w:marLeft w:val="0"/>
      <w:marRight w:val="0"/>
      <w:marTop w:val="0"/>
      <w:marBottom w:val="0"/>
      <w:divBdr>
        <w:top w:val="none" w:sz="0" w:space="0" w:color="auto"/>
        <w:left w:val="none" w:sz="0" w:space="0" w:color="auto"/>
        <w:bottom w:val="none" w:sz="0" w:space="0" w:color="auto"/>
        <w:right w:val="none" w:sz="0" w:space="0" w:color="auto"/>
      </w:divBdr>
    </w:div>
    <w:div w:id="990788424">
      <w:bodyDiv w:val="1"/>
      <w:marLeft w:val="0"/>
      <w:marRight w:val="0"/>
      <w:marTop w:val="0"/>
      <w:marBottom w:val="0"/>
      <w:divBdr>
        <w:top w:val="none" w:sz="0" w:space="0" w:color="auto"/>
        <w:left w:val="none" w:sz="0" w:space="0" w:color="auto"/>
        <w:bottom w:val="none" w:sz="0" w:space="0" w:color="auto"/>
        <w:right w:val="none" w:sz="0" w:space="0" w:color="auto"/>
      </w:divBdr>
    </w:div>
    <w:div w:id="990790784">
      <w:bodyDiv w:val="1"/>
      <w:marLeft w:val="0"/>
      <w:marRight w:val="0"/>
      <w:marTop w:val="0"/>
      <w:marBottom w:val="0"/>
      <w:divBdr>
        <w:top w:val="none" w:sz="0" w:space="0" w:color="auto"/>
        <w:left w:val="none" w:sz="0" w:space="0" w:color="auto"/>
        <w:bottom w:val="none" w:sz="0" w:space="0" w:color="auto"/>
        <w:right w:val="none" w:sz="0" w:space="0" w:color="auto"/>
      </w:divBdr>
    </w:div>
    <w:div w:id="990986570">
      <w:bodyDiv w:val="1"/>
      <w:marLeft w:val="0"/>
      <w:marRight w:val="0"/>
      <w:marTop w:val="0"/>
      <w:marBottom w:val="0"/>
      <w:divBdr>
        <w:top w:val="none" w:sz="0" w:space="0" w:color="auto"/>
        <w:left w:val="none" w:sz="0" w:space="0" w:color="auto"/>
        <w:bottom w:val="none" w:sz="0" w:space="0" w:color="auto"/>
        <w:right w:val="none" w:sz="0" w:space="0" w:color="auto"/>
      </w:divBdr>
    </w:div>
    <w:div w:id="990988189">
      <w:bodyDiv w:val="1"/>
      <w:marLeft w:val="0"/>
      <w:marRight w:val="0"/>
      <w:marTop w:val="0"/>
      <w:marBottom w:val="0"/>
      <w:divBdr>
        <w:top w:val="none" w:sz="0" w:space="0" w:color="auto"/>
        <w:left w:val="none" w:sz="0" w:space="0" w:color="auto"/>
        <w:bottom w:val="none" w:sz="0" w:space="0" w:color="auto"/>
        <w:right w:val="none" w:sz="0" w:space="0" w:color="auto"/>
      </w:divBdr>
    </w:div>
    <w:div w:id="991059691">
      <w:bodyDiv w:val="1"/>
      <w:marLeft w:val="0"/>
      <w:marRight w:val="0"/>
      <w:marTop w:val="0"/>
      <w:marBottom w:val="0"/>
      <w:divBdr>
        <w:top w:val="none" w:sz="0" w:space="0" w:color="auto"/>
        <w:left w:val="none" w:sz="0" w:space="0" w:color="auto"/>
        <w:bottom w:val="none" w:sz="0" w:space="0" w:color="auto"/>
        <w:right w:val="none" w:sz="0" w:space="0" w:color="auto"/>
      </w:divBdr>
    </w:div>
    <w:div w:id="991060953">
      <w:bodyDiv w:val="1"/>
      <w:marLeft w:val="0"/>
      <w:marRight w:val="0"/>
      <w:marTop w:val="0"/>
      <w:marBottom w:val="0"/>
      <w:divBdr>
        <w:top w:val="none" w:sz="0" w:space="0" w:color="auto"/>
        <w:left w:val="none" w:sz="0" w:space="0" w:color="auto"/>
        <w:bottom w:val="none" w:sz="0" w:space="0" w:color="auto"/>
        <w:right w:val="none" w:sz="0" w:space="0" w:color="auto"/>
      </w:divBdr>
    </w:div>
    <w:div w:id="991173430">
      <w:bodyDiv w:val="1"/>
      <w:marLeft w:val="0"/>
      <w:marRight w:val="0"/>
      <w:marTop w:val="0"/>
      <w:marBottom w:val="0"/>
      <w:divBdr>
        <w:top w:val="none" w:sz="0" w:space="0" w:color="auto"/>
        <w:left w:val="none" w:sz="0" w:space="0" w:color="auto"/>
        <w:bottom w:val="none" w:sz="0" w:space="0" w:color="auto"/>
        <w:right w:val="none" w:sz="0" w:space="0" w:color="auto"/>
      </w:divBdr>
    </w:div>
    <w:div w:id="991174252">
      <w:bodyDiv w:val="1"/>
      <w:marLeft w:val="0"/>
      <w:marRight w:val="0"/>
      <w:marTop w:val="0"/>
      <w:marBottom w:val="0"/>
      <w:divBdr>
        <w:top w:val="none" w:sz="0" w:space="0" w:color="auto"/>
        <w:left w:val="none" w:sz="0" w:space="0" w:color="auto"/>
        <w:bottom w:val="none" w:sz="0" w:space="0" w:color="auto"/>
        <w:right w:val="none" w:sz="0" w:space="0" w:color="auto"/>
      </w:divBdr>
    </w:div>
    <w:div w:id="991181119">
      <w:bodyDiv w:val="1"/>
      <w:marLeft w:val="0"/>
      <w:marRight w:val="0"/>
      <w:marTop w:val="0"/>
      <w:marBottom w:val="0"/>
      <w:divBdr>
        <w:top w:val="none" w:sz="0" w:space="0" w:color="auto"/>
        <w:left w:val="none" w:sz="0" w:space="0" w:color="auto"/>
        <w:bottom w:val="none" w:sz="0" w:space="0" w:color="auto"/>
        <w:right w:val="none" w:sz="0" w:space="0" w:color="auto"/>
      </w:divBdr>
    </w:div>
    <w:div w:id="991249672">
      <w:bodyDiv w:val="1"/>
      <w:marLeft w:val="0"/>
      <w:marRight w:val="0"/>
      <w:marTop w:val="0"/>
      <w:marBottom w:val="0"/>
      <w:divBdr>
        <w:top w:val="none" w:sz="0" w:space="0" w:color="auto"/>
        <w:left w:val="none" w:sz="0" w:space="0" w:color="auto"/>
        <w:bottom w:val="none" w:sz="0" w:space="0" w:color="auto"/>
        <w:right w:val="none" w:sz="0" w:space="0" w:color="auto"/>
      </w:divBdr>
    </w:div>
    <w:div w:id="991329369">
      <w:bodyDiv w:val="1"/>
      <w:marLeft w:val="0"/>
      <w:marRight w:val="0"/>
      <w:marTop w:val="0"/>
      <w:marBottom w:val="0"/>
      <w:divBdr>
        <w:top w:val="none" w:sz="0" w:space="0" w:color="auto"/>
        <w:left w:val="none" w:sz="0" w:space="0" w:color="auto"/>
        <w:bottom w:val="none" w:sz="0" w:space="0" w:color="auto"/>
        <w:right w:val="none" w:sz="0" w:space="0" w:color="auto"/>
      </w:divBdr>
    </w:div>
    <w:div w:id="991329416">
      <w:bodyDiv w:val="1"/>
      <w:marLeft w:val="0"/>
      <w:marRight w:val="0"/>
      <w:marTop w:val="0"/>
      <w:marBottom w:val="0"/>
      <w:divBdr>
        <w:top w:val="none" w:sz="0" w:space="0" w:color="auto"/>
        <w:left w:val="none" w:sz="0" w:space="0" w:color="auto"/>
        <w:bottom w:val="none" w:sz="0" w:space="0" w:color="auto"/>
        <w:right w:val="none" w:sz="0" w:space="0" w:color="auto"/>
      </w:divBdr>
    </w:div>
    <w:div w:id="991368897">
      <w:bodyDiv w:val="1"/>
      <w:marLeft w:val="0"/>
      <w:marRight w:val="0"/>
      <w:marTop w:val="0"/>
      <w:marBottom w:val="0"/>
      <w:divBdr>
        <w:top w:val="none" w:sz="0" w:space="0" w:color="auto"/>
        <w:left w:val="none" w:sz="0" w:space="0" w:color="auto"/>
        <w:bottom w:val="none" w:sz="0" w:space="0" w:color="auto"/>
        <w:right w:val="none" w:sz="0" w:space="0" w:color="auto"/>
      </w:divBdr>
    </w:div>
    <w:div w:id="991375542">
      <w:bodyDiv w:val="1"/>
      <w:marLeft w:val="0"/>
      <w:marRight w:val="0"/>
      <w:marTop w:val="0"/>
      <w:marBottom w:val="0"/>
      <w:divBdr>
        <w:top w:val="none" w:sz="0" w:space="0" w:color="auto"/>
        <w:left w:val="none" w:sz="0" w:space="0" w:color="auto"/>
        <w:bottom w:val="none" w:sz="0" w:space="0" w:color="auto"/>
        <w:right w:val="none" w:sz="0" w:space="0" w:color="auto"/>
      </w:divBdr>
    </w:div>
    <w:div w:id="991518831">
      <w:bodyDiv w:val="1"/>
      <w:marLeft w:val="0"/>
      <w:marRight w:val="0"/>
      <w:marTop w:val="0"/>
      <w:marBottom w:val="0"/>
      <w:divBdr>
        <w:top w:val="none" w:sz="0" w:space="0" w:color="auto"/>
        <w:left w:val="none" w:sz="0" w:space="0" w:color="auto"/>
        <w:bottom w:val="none" w:sz="0" w:space="0" w:color="auto"/>
        <w:right w:val="none" w:sz="0" w:space="0" w:color="auto"/>
      </w:divBdr>
    </w:div>
    <w:div w:id="991525861">
      <w:bodyDiv w:val="1"/>
      <w:marLeft w:val="0"/>
      <w:marRight w:val="0"/>
      <w:marTop w:val="0"/>
      <w:marBottom w:val="0"/>
      <w:divBdr>
        <w:top w:val="none" w:sz="0" w:space="0" w:color="auto"/>
        <w:left w:val="none" w:sz="0" w:space="0" w:color="auto"/>
        <w:bottom w:val="none" w:sz="0" w:space="0" w:color="auto"/>
        <w:right w:val="none" w:sz="0" w:space="0" w:color="auto"/>
      </w:divBdr>
    </w:div>
    <w:div w:id="991640541">
      <w:bodyDiv w:val="1"/>
      <w:marLeft w:val="0"/>
      <w:marRight w:val="0"/>
      <w:marTop w:val="0"/>
      <w:marBottom w:val="0"/>
      <w:divBdr>
        <w:top w:val="none" w:sz="0" w:space="0" w:color="auto"/>
        <w:left w:val="none" w:sz="0" w:space="0" w:color="auto"/>
        <w:bottom w:val="none" w:sz="0" w:space="0" w:color="auto"/>
        <w:right w:val="none" w:sz="0" w:space="0" w:color="auto"/>
      </w:divBdr>
    </w:div>
    <w:div w:id="991837960">
      <w:bodyDiv w:val="1"/>
      <w:marLeft w:val="0"/>
      <w:marRight w:val="0"/>
      <w:marTop w:val="0"/>
      <w:marBottom w:val="0"/>
      <w:divBdr>
        <w:top w:val="none" w:sz="0" w:space="0" w:color="auto"/>
        <w:left w:val="none" w:sz="0" w:space="0" w:color="auto"/>
        <w:bottom w:val="none" w:sz="0" w:space="0" w:color="auto"/>
        <w:right w:val="none" w:sz="0" w:space="0" w:color="auto"/>
      </w:divBdr>
    </w:div>
    <w:div w:id="991910067">
      <w:bodyDiv w:val="1"/>
      <w:marLeft w:val="0"/>
      <w:marRight w:val="0"/>
      <w:marTop w:val="0"/>
      <w:marBottom w:val="0"/>
      <w:divBdr>
        <w:top w:val="none" w:sz="0" w:space="0" w:color="auto"/>
        <w:left w:val="none" w:sz="0" w:space="0" w:color="auto"/>
        <w:bottom w:val="none" w:sz="0" w:space="0" w:color="auto"/>
        <w:right w:val="none" w:sz="0" w:space="0" w:color="auto"/>
      </w:divBdr>
    </w:div>
    <w:div w:id="991985543">
      <w:bodyDiv w:val="1"/>
      <w:marLeft w:val="0"/>
      <w:marRight w:val="0"/>
      <w:marTop w:val="0"/>
      <w:marBottom w:val="0"/>
      <w:divBdr>
        <w:top w:val="none" w:sz="0" w:space="0" w:color="auto"/>
        <w:left w:val="none" w:sz="0" w:space="0" w:color="auto"/>
        <w:bottom w:val="none" w:sz="0" w:space="0" w:color="auto"/>
        <w:right w:val="none" w:sz="0" w:space="0" w:color="auto"/>
      </w:divBdr>
    </w:div>
    <w:div w:id="992173794">
      <w:bodyDiv w:val="1"/>
      <w:marLeft w:val="0"/>
      <w:marRight w:val="0"/>
      <w:marTop w:val="0"/>
      <w:marBottom w:val="0"/>
      <w:divBdr>
        <w:top w:val="none" w:sz="0" w:space="0" w:color="auto"/>
        <w:left w:val="none" w:sz="0" w:space="0" w:color="auto"/>
        <w:bottom w:val="none" w:sz="0" w:space="0" w:color="auto"/>
        <w:right w:val="none" w:sz="0" w:space="0" w:color="auto"/>
      </w:divBdr>
    </w:div>
    <w:div w:id="992223932">
      <w:bodyDiv w:val="1"/>
      <w:marLeft w:val="0"/>
      <w:marRight w:val="0"/>
      <w:marTop w:val="0"/>
      <w:marBottom w:val="0"/>
      <w:divBdr>
        <w:top w:val="none" w:sz="0" w:space="0" w:color="auto"/>
        <w:left w:val="none" w:sz="0" w:space="0" w:color="auto"/>
        <w:bottom w:val="none" w:sz="0" w:space="0" w:color="auto"/>
        <w:right w:val="none" w:sz="0" w:space="0" w:color="auto"/>
      </w:divBdr>
    </w:div>
    <w:div w:id="992442404">
      <w:bodyDiv w:val="1"/>
      <w:marLeft w:val="0"/>
      <w:marRight w:val="0"/>
      <w:marTop w:val="0"/>
      <w:marBottom w:val="0"/>
      <w:divBdr>
        <w:top w:val="none" w:sz="0" w:space="0" w:color="auto"/>
        <w:left w:val="none" w:sz="0" w:space="0" w:color="auto"/>
        <w:bottom w:val="none" w:sz="0" w:space="0" w:color="auto"/>
        <w:right w:val="none" w:sz="0" w:space="0" w:color="auto"/>
      </w:divBdr>
    </w:div>
    <w:div w:id="992492019">
      <w:bodyDiv w:val="1"/>
      <w:marLeft w:val="0"/>
      <w:marRight w:val="0"/>
      <w:marTop w:val="0"/>
      <w:marBottom w:val="0"/>
      <w:divBdr>
        <w:top w:val="none" w:sz="0" w:space="0" w:color="auto"/>
        <w:left w:val="none" w:sz="0" w:space="0" w:color="auto"/>
        <w:bottom w:val="none" w:sz="0" w:space="0" w:color="auto"/>
        <w:right w:val="none" w:sz="0" w:space="0" w:color="auto"/>
      </w:divBdr>
    </w:div>
    <w:div w:id="992829445">
      <w:bodyDiv w:val="1"/>
      <w:marLeft w:val="0"/>
      <w:marRight w:val="0"/>
      <w:marTop w:val="0"/>
      <w:marBottom w:val="0"/>
      <w:divBdr>
        <w:top w:val="none" w:sz="0" w:space="0" w:color="auto"/>
        <w:left w:val="none" w:sz="0" w:space="0" w:color="auto"/>
        <w:bottom w:val="none" w:sz="0" w:space="0" w:color="auto"/>
        <w:right w:val="none" w:sz="0" w:space="0" w:color="auto"/>
      </w:divBdr>
    </w:div>
    <w:div w:id="992837230">
      <w:bodyDiv w:val="1"/>
      <w:marLeft w:val="0"/>
      <w:marRight w:val="0"/>
      <w:marTop w:val="0"/>
      <w:marBottom w:val="0"/>
      <w:divBdr>
        <w:top w:val="none" w:sz="0" w:space="0" w:color="auto"/>
        <w:left w:val="none" w:sz="0" w:space="0" w:color="auto"/>
        <w:bottom w:val="none" w:sz="0" w:space="0" w:color="auto"/>
        <w:right w:val="none" w:sz="0" w:space="0" w:color="auto"/>
      </w:divBdr>
    </w:div>
    <w:div w:id="993071963">
      <w:bodyDiv w:val="1"/>
      <w:marLeft w:val="0"/>
      <w:marRight w:val="0"/>
      <w:marTop w:val="0"/>
      <w:marBottom w:val="0"/>
      <w:divBdr>
        <w:top w:val="none" w:sz="0" w:space="0" w:color="auto"/>
        <w:left w:val="none" w:sz="0" w:space="0" w:color="auto"/>
        <w:bottom w:val="none" w:sz="0" w:space="0" w:color="auto"/>
        <w:right w:val="none" w:sz="0" w:space="0" w:color="auto"/>
      </w:divBdr>
    </w:div>
    <w:div w:id="993143957">
      <w:bodyDiv w:val="1"/>
      <w:marLeft w:val="0"/>
      <w:marRight w:val="0"/>
      <w:marTop w:val="0"/>
      <w:marBottom w:val="0"/>
      <w:divBdr>
        <w:top w:val="none" w:sz="0" w:space="0" w:color="auto"/>
        <w:left w:val="none" w:sz="0" w:space="0" w:color="auto"/>
        <w:bottom w:val="none" w:sz="0" w:space="0" w:color="auto"/>
        <w:right w:val="none" w:sz="0" w:space="0" w:color="auto"/>
      </w:divBdr>
    </w:div>
    <w:div w:id="993291066">
      <w:bodyDiv w:val="1"/>
      <w:marLeft w:val="0"/>
      <w:marRight w:val="0"/>
      <w:marTop w:val="0"/>
      <w:marBottom w:val="0"/>
      <w:divBdr>
        <w:top w:val="none" w:sz="0" w:space="0" w:color="auto"/>
        <w:left w:val="none" w:sz="0" w:space="0" w:color="auto"/>
        <w:bottom w:val="none" w:sz="0" w:space="0" w:color="auto"/>
        <w:right w:val="none" w:sz="0" w:space="0" w:color="auto"/>
      </w:divBdr>
    </w:div>
    <w:div w:id="993333268">
      <w:bodyDiv w:val="1"/>
      <w:marLeft w:val="0"/>
      <w:marRight w:val="0"/>
      <w:marTop w:val="0"/>
      <w:marBottom w:val="0"/>
      <w:divBdr>
        <w:top w:val="none" w:sz="0" w:space="0" w:color="auto"/>
        <w:left w:val="none" w:sz="0" w:space="0" w:color="auto"/>
        <w:bottom w:val="none" w:sz="0" w:space="0" w:color="auto"/>
        <w:right w:val="none" w:sz="0" w:space="0" w:color="auto"/>
      </w:divBdr>
    </w:div>
    <w:div w:id="993488302">
      <w:bodyDiv w:val="1"/>
      <w:marLeft w:val="0"/>
      <w:marRight w:val="0"/>
      <w:marTop w:val="0"/>
      <w:marBottom w:val="0"/>
      <w:divBdr>
        <w:top w:val="none" w:sz="0" w:space="0" w:color="auto"/>
        <w:left w:val="none" w:sz="0" w:space="0" w:color="auto"/>
        <w:bottom w:val="none" w:sz="0" w:space="0" w:color="auto"/>
        <w:right w:val="none" w:sz="0" w:space="0" w:color="auto"/>
      </w:divBdr>
    </w:div>
    <w:div w:id="993679796">
      <w:bodyDiv w:val="1"/>
      <w:marLeft w:val="0"/>
      <w:marRight w:val="0"/>
      <w:marTop w:val="0"/>
      <w:marBottom w:val="0"/>
      <w:divBdr>
        <w:top w:val="none" w:sz="0" w:space="0" w:color="auto"/>
        <w:left w:val="none" w:sz="0" w:space="0" w:color="auto"/>
        <w:bottom w:val="none" w:sz="0" w:space="0" w:color="auto"/>
        <w:right w:val="none" w:sz="0" w:space="0" w:color="auto"/>
      </w:divBdr>
    </w:div>
    <w:div w:id="993801676">
      <w:bodyDiv w:val="1"/>
      <w:marLeft w:val="0"/>
      <w:marRight w:val="0"/>
      <w:marTop w:val="0"/>
      <w:marBottom w:val="0"/>
      <w:divBdr>
        <w:top w:val="none" w:sz="0" w:space="0" w:color="auto"/>
        <w:left w:val="none" w:sz="0" w:space="0" w:color="auto"/>
        <w:bottom w:val="none" w:sz="0" w:space="0" w:color="auto"/>
        <w:right w:val="none" w:sz="0" w:space="0" w:color="auto"/>
      </w:divBdr>
    </w:div>
    <w:div w:id="993919082">
      <w:bodyDiv w:val="1"/>
      <w:marLeft w:val="0"/>
      <w:marRight w:val="0"/>
      <w:marTop w:val="0"/>
      <w:marBottom w:val="0"/>
      <w:divBdr>
        <w:top w:val="none" w:sz="0" w:space="0" w:color="auto"/>
        <w:left w:val="none" w:sz="0" w:space="0" w:color="auto"/>
        <w:bottom w:val="none" w:sz="0" w:space="0" w:color="auto"/>
        <w:right w:val="none" w:sz="0" w:space="0" w:color="auto"/>
      </w:divBdr>
    </w:div>
    <w:div w:id="993950902">
      <w:bodyDiv w:val="1"/>
      <w:marLeft w:val="0"/>
      <w:marRight w:val="0"/>
      <w:marTop w:val="0"/>
      <w:marBottom w:val="0"/>
      <w:divBdr>
        <w:top w:val="none" w:sz="0" w:space="0" w:color="auto"/>
        <w:left w:val="none" w:sz="0" w:space="0" w:color="auto"/>
        <w:bottom w:val="none" w:sz="0" w:space="0" w:color="auto"/>
        <w:right w:val="none" w:sz="0" w:space="0" w:color="auto"/>
      </w:divBdr>
    </w:div>
    <w:div w:id="993987779">
      <w:bodyDiv w:val="1"/>
      <w:marLeft w:val="0"/>
      <w:marRight w:val="0"/>
      <w:marTop w:val="0"/>
      <w:marBottom w:val="0"/>
      <w:divBdr>
        <w:top w:val="none" w:sz="0" w:space="0" w:color="auto"/>
        <w:left w:val="none" w:sz="0" w:space="0" w:color="auto"/>
        <w:bottom w:val="none" w:sz="0" w:space="0" w:color="auto"/>
        <w:right w:val="none" w:sz="0" w:space="0" w:color="auto"/>
      </w:divBdr>
    </w:div>
    <w:div w:id="994070221">
      <w:bodyDiv w:val="1"/>
      <w:marLeft w:val="0"/>
      <w:marRight w:val="0"/>
      <w:marTop w:val="0"/>
      <w:marBottom w:val="0"/>
      <w:divBdr>
        <w:top w:val="none" w:sz="0" w:space="0" w:color="auto"/>
        <w:left w:val="none" w:sz="0" w:space="0" w:color="auto"/>
        <w:bottom w:val="none" w:sz="0" w:space="0" w:color="auto"/>
        <w:right w:val="none" w:sz="0" w:space="0" w:color="auto"/>
      </w:divBdr>
    </w:div>
    <w:div w:id="994185055">
      <w:bodyDiv w:val="1"/>
      <w:marLeft w:val="0"/>
      <w:marRight w:val="0"/>
      <w:marTop w:val="0"/>
      <w:marBottom w:val="0"/>
      <w:divBdr>
        <w:top w:val="none" w:sz="0" w:space="0" w:color="auto"/>
        <w:left w:val="none" w:sz="0" w:space="0" w:color="auto"/>
        <w:bottom w:val="none" w:sz="0" w:space="0" w:color="auto"/>
        <w:right w:val="none" w:sz="0" w:space="0" w:color="auto"/>
      </w:divBdr>
    </w:div>
    <w:div w:id="994185401">
      <w:bodyDiv w:val="1"/>
      <w:marLeft w:val="0"/>
      <w:marRight w:val="0"/>
      <w:marTop w:val="0"/>
      <w:marBottom w:val="0"/>
      <w:divBdr>
        <w:top w:val="none" w:sz="0" w:space="0" w:color="auto"/>
        <w:left w:val="none" w:sz="0" w:space="0" w:color="auto"/>
        <w:bottom w:val="none" w:sz="0" w:space="0" w:color="auto"/>
        <w:right w:val="none" w:sz="0" w:space="0" w:color="auto"/>
      </w:divBdr>
    </w:div>
    <w:div w:id="994458155">
      <w:bodyDiv w:val="1"/>
      <w:marLeft w:val="0"/>
      <w:marRight w:val="0"/>
      <w:marTop w:val="0"/>
      <w:marBottom w:val="0"/>
      <w:divBdr>
        <w:top w:val="none" w:sz="0" w:space="0" w:color="auto"/>
        <w:left w:val="none" w:sz="0" w:space="0" w:color="auto"/>
        <w:bottom w:val="none" w:sz="0" w:space="0" w:color="auto"/>
        <w:right w:val="none" w:sz="0" w:space="0" w:color="auto"/>
      </w:divBdr>
    </w:div>
    <w:div w:id="994648199">
      <w:bodyDiv w:val="1"/>
      <w:marLeft w:val="0"/>
      <w:marRight w:val="0"/>
      <w:marTop w:val="0"/>
      <w:marBottom w:val="0"/>
      <w:divBdr>
        <w:top w:val="none" w:sz="0" w:space="0" w:color="auto"/>
        <w:left w:val="none" w:sz="0" w:space="0" w:color="auto"/>
        <w:bottom w:val="none" w:sz="0" w:space="0" w:color="auto"/>
        <w:right w:val="none" w:sz="0" w:space="0" w:color="auto"/>
      </w:divBdr>
    </w:div>
    <w:div w:id="994801261">
      <w:bodyDiv w:val="1"/>
      <w:marLeft w:val="0"/>
      <w:marRight w:val="0"/>
      <w:marTop w:val="0"/>
      <w:marBottom w:val="0"/>
      <w:divBdr>
        <w:top w:val="none" w:sz="0" w:space="0" w:color="auto"/>
        <w:left w:val="none" w:sz="0" w:space="0" w:color="auto"/>
        <w:bottom w:val="none" w:sz="0" w:space="0" w:color="auto"/>
        <w:right w:val="none" w:sz="0" w:space="0" w:color="auto"/>
      </w:divBdr>
    </w:div>
    <w:div w:id="994917815">
      <w:bodyDiv w:val="1"/>
      <w:marLeft w:val="0"/>
      <w:marRight w:val="0"/>
      <w:marTop w:val="0"/>
      <w:marBottom w:val="0"/>
      <w:divBdr>
        <w:top w:val="none" w:sz="0" w:space="0" w:color="auto"/>
        <w:left w:val="none" w:sz="0" w:space="0" w:color="auto"/>
        <w:bottom w:val="none" w:sz="0" w:space="0" w:color="auto"/>
        <w:right w:val="none" w:sz="0" w:space="0" w:color="auto"/>
      </w:divBdr>
    </w:div>
    <w:div w:id="994990293">
      <w:bodyDiv w:val="1"/>
      <w:marLeft w:val="0"/>
      <w:marRight w:val="0"/>
      <w:marTop w:val="0"/>
      <w:marBottom w:val="0"/>
      <w:divBdr>
        <w:top w:val="none" w:sz="0" w:space="0" w:color="auto"/>
        <w:left w:val="none" w:sz="0" w:space="0" w:color="auto"/>
        <w:bottom w:val="none" w:sz="0" w:space="0" w:color="auto"/>
        <w:right w:val="none" w:sz="0" w:space="0" w:color="auto"/>
      </w:divBdr>
    </w:div>
    <w:div w:id="995232448">
      <w:bodyDiv w:val="1"/>
      <w:marLeft w:val="0"/>
      <w:marRight w:val="0"/>
      <w:marTop w:val="0"/>
      <w:marBottom w:val="0"/>
      <w:divBdr>
        <w:top w:val="none" w:sz="0" w:space="0" w:color="auto"/>
        <w:left w:val="none" w:sz="0" w:space="0" w:color="auto"/>
        <w:bottom w:val="none" w:sz="0" w:space="0" w:color="auto"/>
        <w:right w:val="none" w:sz="0" w:space="0" w:color="auto"/>
      </w:divBdr>
    </w:div>
    <w:div w:id="995300889">
      <w:bodyDiv w:val="1"/>
      <w:marLeft w:val="0"/>
      <w:marRight w:val="0"/>
      <w:marTop w:val="0"/>
      <w:marBottom w:val="0"/>
      <w:divBdr>
        <w:top w:val="none" w:sz="0" w:space="0" w:color="auto"/>
        <w:left w:val="none" w:sz="0" w:space="0" w:color="auto"/>
        <w:bottom w:val="none" w:sz="0" w:space="0" w:color="auto"/>
        <w:right w:val="none" w:sz="0" w:space="0" w:color="auto"/>
      </w:divBdr>
    </w:div>
    <w:div w:id="995307228">
      <w:bodyDiv w:val="1"/>
      <w:marLeft w:val="0"/>
      <w:marRight w:val="0"/>
      <w:marTop w:val="0"/>
      <w:marBottom w:val="0"/>
      <w:divBdr>
        <w:top w:val="none" w:sz="0" w:space="0" w:color="auto"/>
        <w:left w:val="none" w:sz="0" w:space="0" w:color="auto"/>
        <w:bottom w:val="none" w:sz="0" w:space="0" w:color="auto"/>
        <w:right w:val="none" w:sz="0" w:space="0" w:color="auto"/>
      </w:divBdr>
    </w:div>
    <w:div w:id="995374744">
      <w:bodyDiv w:val="1"/>
      <w:marLeft w:val="0"/>
      <w:marRight w:val="0"/>
      <w:marTop w:val="0"/>
      <w:marBottom w:val="0"/>
      <w:divBdr>
        <w:top w:val="none" w:sz="0" w:space="0" w:color="auto"/>
        <w:left w:val="none" w:sz="0" w:space="0" w:color="auto"/>
        <w:bottom w:val="none" w:sz="0" w:space="0" w:color="auto"/>
        <w:right w:val="none" w:sz="0" w:space="0" w:color="auto"/>
      </w:divBdr>
    </w:div>
    <w:div w:id="995378128">
      <w:bodyDiv w:val="1"/>
      <w:marLeft w:val="0"/>
      <w:marRight w:val="0"/>
      <w:marTop w:val="0"/>
      <w:marBottom w:val="0"/>
      <w:divBdr>
        <w:top w:val="none" w:sz="0" w:space="0" w:color="auto"/>
        <w:left w:val="none" w:sz="0" w:space="0" w:color="auto"/>
        <w:bottom w:val="none" w:sz="0" w:space="0" w:color="auto"/>
        <w:right w:val="none" w:sz="0" w:space="0" w:color="auto"/>
      </w:divBdr>
    </w:div>
    <w:div w:id="995380830">
      <w:bodyDiv w:val="1"/>
      <w:marLeft w:val="0"/>
      <w:marRight w:val="0"/>
      <w:marTop w:val="0"/>
      <w:marBottom w:val="0"/>
      <w:divBdr>
        <w:top w:val="none" w:sz="0" w:space="0" w:color="auto"/>
        <w:left w:val="none" w:sz="0" w:space="0" w:color="auto"/>
        <w:bottom w:val="none" w:sz="0" w:space="0" w:color="auto"/>
        <w:right w:val="none" w:sz="0" w:space="0" w:color="auto"/>
      </w:divBdr>
    </w:div>
    <w:div w:id="995646893">
      <w:bodyDiv w:val="1"/>
      <w:marLeft w:val="0"/>
      <w:marRight w:val="0"/>
      <w:marTop w:val="0"/>
      <w:marBottom w:val="0"/>
      <w:divBdr>
        <w:top w:val="none" w:sz="0" w:space="0" w:color="auto"/>
        <w:left w:val="none" w:sz="0" w:space="0" w:color="auto"/>
        <w:bottom w:val="none" w:sz="0" w:space="0" w:color="auto"/>
        <w:right w:val="none" w:sz="0" w:space="0" w:color="auto"/>
      </w:divBdr>
    </w:div>
    <w:div w:id="995717747">
      <w:bodyDiv w:val="1"/>
      <w:marLeft w:val="0"/>
      <w:marRight w:val="0"/>
      <w:marTop w:val="0"/>
      <w:marBottom w:val="0"/>
      <w:divBdr>
        <w:top w:val="none" w:sz="0" w:space="0" w:color="auto"/>
        <w:left w:val="none" w:sz="0" w:space="0" w:color="auto"/>
        <w:bottom w:val="none" w:sz="0" w:space="0" w:color="auto"/>
        <w:right w:val="none" w:sz="0" w:space="0" w:color="auto"/>
      </w:divBdr>
    </w:div>
    <w:div w:id="995720417">
      <w:bodyDiv w:val="1"/>
      <w:marLeft w:val="0"/>
      <w:marRight w:val="0"/>
      <w:marTop w:val="0"/>
      <w:marBottom w:val="0"/>
      <w:divBdr>
        <w:top w:val="none" w:sz="0" w:space="0" w:color="auto"/>
        <w:left w:val="none" w:sz="0" w:space="0" w:color="auto"/>
        <w:bottom w:val="none" w:sz="0" w:space="0" w:color="auto"/>
        <w:right w:val="none" w:sz="0" w:space="0" w:color="auto"/>
      </w:divBdr>
    </w:div>
    <w:div w:id="995769686">
      <w:bodyDiv w:val="1"/>
      <w:marLeft w:val="0"/>
      <w:marRight w:val="0"/>
      <w:marTop w:val="0"/>
      <w:marBottom w:val="0"/>
      <w:divBdr>
        <w:top w:val="none" w:sz="0" w:space="0" w:color="auto"/>
        <w:left w:val="none" w:sz="0" w:space="0" w:color="auto"/>
        <w:bottom w:val="none" w:sz="0" w:space="0" w:color="auto"/>
        <w:right w:val="none" w:sz="0" w:space="0" w:color="auto"/>
      </w:divBdr>
    </w:div>
    <w:div w:id="995915770">
      <w:bodyDiv w:val="1"/>
      <w:marLeft w:val="0"/>
      <w:marRight w:val="0"/>
      <w:marTop w:val="0"/>
      <w:marBottom w:val="0"/>
      <w:divBdr>
        <w:top w:val="none" w:sz="0" w:space="0" w:color="auto"/>
        <w:left w:val="none" w:sz="0" w:space="0" w:color="auto"/>
        <w:bottom w:val="none" w:sz="0" w:space="0" w:color="auto"/>
        <w:right w:val="none" w:sz="0" w:space="0" w:color="auto"/>
      </w:divBdr>
    </w:div>
    <w:div w:id="996298172">
      <w:bodyDiv w:val="1"/>
      <w:marLeft w:val="0"/>
      <w:marRight w:val="0"/>
      <w:marTop w:val="0"/>
      <w:marBottom w:val="0"/>
      <w:divBdr>
        <w:top w:val="none" w:sz="0" w:space="0" w:color="auto"/>
        <w:left w:val="none" w:sz="0" w:space="0" w:color="auto"/>
        <w:bottom w:val="none" w:sz="0" w:space="0" w:color="auto"/>
        <w:right w:val="none" w:sz="0" w:space="0" w:color="auto"/>
      </w:divBdr>
    </w:div>
    <w:div w:id="996807034">
      <w:bodyDiv w:val="1"/>
      <w:marLeft w:val="0"/>
      <w:marRight w:val="0"/>
      <w:marTop w:val="0"/>
      <w:marBottom w:val="0"/>
      <w:divBdr>
        <w:top w:val="none" w:sz="0" w:space="0" w:color="auto"/>
        <w:left w:val="none" w:sz="0" w:space="0" w:color="auto"/>
        <w:bottom w:val="none" w:sz="0" w:space="0" w:color="auto"/>
        <w:right w:val="none" w:sz="0" w:space="0" w:color="auto"/>
      </w:divBdr>
    </w:div>
    <w:div w:id="996952856">
      <w:bodyDiv w:val="1"/>
      <w:marLeft w:val="0"/>
      <w:marRight w:val="0"/>
      <w:marTop w:val="0"/>
      <w:marBottom w:val="0"/>
      <w:divBdr>
        <w:top w:val="none" w:sz="0" w:space="0" w:color="auto"/>
        <w:left w:val="none" w:sz="0" w:space="0" w:color="auto"/>
        <w:bottom w:val="none" w:sz="0" w:space="0" w:color="auto"/>
        <w:right w:val="none" w:sz="0" w:space="0" w:color="auto"/>
      </w:divBdr>
    </w:div>
    <w:div w:id="996960923">
      <w:bodyDiv w:val="1"/>
      <w:marLeft w:val="0"/>
      <w:marRight w:val="0"/>
      <w:marTop w:val="0"/>
      <w:marBottom w:val="0"/>
      <w:divBdr>
        <w:top w:val="none" w:sz="0" w:space="0" w:color="auto"/>
        <w:left w:val="none" w:sz="0" w:space="0" w:color="auto"/>
        <w:bottom w:val="none" w:sz="0" w:space="0" w:color="auto"/>
        <w:right w:val="none" w:sz="0" w:space="0" w:color="auto"/>
      </w:divBdr>
    </w:div>
    <w:div w:id="997028812">
      <w:bodyDiv w:val="1"/>
      <w:marLeft w:val="0"/>
      <w:marRight w:val="0"/>
      <w:marTop w:val="0"/>
      <w:marBottom w:val="0"/>
      <w:divBdr>
        <w:top w:val="none" w:sz="0" w:space="0" w:color="auto"/>
        <w:left w:val="none" w:sz="0" w:space="0" w:color="auto"/>
        <w:bottom w:val="none" w:sz="0" w:space="0" w:color="auto"/>
        <w:right w:val="none" w:sz="0" w:space="0" w:color="auto"/>
      </w:divBdr>
    </w:div>
    <w:div w:id="997265047">
      <w:bodyDiv w:val="1"/>
      <w:marLeft w:val="0"/>
      <w:marRight w:val="0"/>
      <w:marTop w:val="0"/>
      <w:marBottom w:val="0"/>
      <w:divBdr>
        <w:top w:val="none" w:sz="0" w:space="0" w:color="auto"/>
        <w:left w:val="none" w:sz="0" w:space="0" w:color="auto"/>
        <w:bottom w:val="none" w:sz="0" w:space="0" w:color="auto"/>
        <w:right w:val="none" w:sz="0" w:space="0" w:color="auto"/>
      </w:divBdr>
    </w:div>
    <w:div w:id="997414845">
      <w:bodyDiv w:val="1"/>
      <w:marLeft w:val="0"/>
      <w:marRight w:val="0"/>
      <w:marTop w:val="0"/>
      <w:marBottom w:val="0"/>
      <w:divBdr>
        <w:top w:val="none" w:sz="0" w:space="0" w:color="auto"/>
        <w:left w:val="none" w:sz="0" w:space="0" w:color="auto"/>
        <w:bottom w:val="none" w:sz="0" w:space="0" w:color="auto"/>
        <w:right w:val="none" w:sz="0" w:space="0" w:color="auto"/>
      </w:divBdr>
    </w:div>
    <w:div w:id="997418783">
      <w:bodyDiv w:val="1"/>
      <w:marLeft w:val="0"/>
      <w:marRight w:val="0"/>
      <w:marTop w:val="0"/>
      <w:marBottom w:val="0"/>
      <w:divBdr>
        <w:top w:val="none" w:sz="0" w:space="0" w:color="auto"/>
        <w:left w:val="none" w:sz="0" w:space="0" w:color="auto"/>
        <w:bottom w:val="none" w:sz="0" w:space="0" w:color="auto"/>
        <w:right w:val="none" w:sz="0" w:space="0" w:color="auto"/>
      </w:divBdr>
    </w:div>
    <w:div w:id="997541527">
      <w:bodyDiv w:val="1"/>
      <w:marLeft w:val="0"/>
      <w:marRight w:val="0"/>
      <w:marTop w:val="0"/>
      <w:marBottom w:val="0"/>
      <w:divBdr>
        <w:top w:val="none" w:sz="0" w:space="0" w:color="auto"/>
        <w:left w:val="none" w:sz="0" w:space="0" w:color="auto"/>
        <w:bottom w:val="none" w:sz="0" w:space="0" w:color="auto"/>
        <w:right w:val="none" w:sz="0" w:space="0" w:color="auto"/>
      </w:divBdr>
    </w:div>
    <w:div w:id="997611939">
      <w:bodyDiv w:val="1"/>
      <w:marLeft w:val="0"/>
      <w:marRight w:val="0"/>
      <w:marTop w:val="0"/>
      <w:marBottom w:val="0"/>
      <w:divBdr>
        <w:top w:val="none" w:sz="0" w:space="0" w:color="auto"/>
        <w:left w:val="none" w:sz="0" w:space="0" w:color="auto"/>
        <w:bottom w:val="none" w:sz="0" w:space="0" w:color="auto"/>
        <w:right w:val="none" w:sz="0" w:space="0" w:color="auto"/>
      </w:divBdr>
    </w:div>
    <w:div w:id="997658162">
      <w:bodyDiv w:val="1"/>
      <w:marLeft w:val="0"/>
      <w:marRight w:val="0"/>
      <w:marTop w:val="0"/>
      <w:marBottom w:val="0"/>
      <w:divBdr>
        <w:top w:val="none" w:sz="0" w:space="0" w:color="auto"/>
        <w:left w:val="none" w:sz="0" w:space="0" w:color="auto"/>
        <w:bottom w:val="none" w:sz="0" w:space="0" w:color="auto"/>
        <w:right w:val="none" w:sz="0" w:space="0" w:color="auto"/>
      </w:divBdr>
    </w:div>
    <w:div w:id="997852782">
      <w:bodyDiv w:val="1"/>
      <w:marLeft w:val="0"/>
      <w:marRight w:val="0"/>
      <w:marTop w:val="0"/>
      <w:marBottom w:val="0"/>
      <w:divBdr>
        <w:top w:val="none" w:sz="0" w:space="0" w:color="auto"/>
        <w:left w:val="none" w:sz="0" w:space="0" w:color="auto"/>
        <w:bottom w:val="none" w:sz="0" w:space="0" w:color="auto"/>
        <w:right w:val="none" w:sz="0" w:space="0" w:color="auto"/>
      </w:divBdr>
    </w:div>
    <w:div w:id="997922499">
      <w:bodyDiv w:val="1"/>
      <w:marLeft w:val="0"/>
      <w:marRight w:val="0"/>
      <w:marTop w:val="0"/>
      <w:marBottom w:val="0"/>
      <w:divBdr>
        <w:top w:val="none" w:sz="0" w:space="0" w:color="auto"/>
        <w:left w:val="none" w:sz="0" w:space="0" w:color="auto"/>
        <w:bottom w:val="none" w:sz="0" w:space="0" w:color="auto"/>
        <w:right w:val="none" w:sz="0" w:space="0" w:color="auto"/>
      </w:divBdr>
    </w:div>
    <w:div w:id="997996993">
      <w:bodyDiv w:val="1"/>
      <w:marLeft w:val="0"/>
      <w:marRight w:val="0"/>
      <w:marTop w:val="0"/>
      <w:marBottom w:val="0"/>
      <w:divBdr>
        <w:top w:val="none" w:sz="0" w:space="0" w:color="auto"/>
        <w:left w:val="none" w:sz="0" w:space="0" w:color="auto"/>
        <w:bottom w:val="none" w:sz="0" w:space="0" w:color="auto"/>
        <w:right w:val="none" w:sz="0" w:space="0" w:color="auto"/>
      </w:divBdr>
    </w:div>
    <w:div w:id="998115355">
      <w:bodyDiv w:val="1"/>
      <w:marLeft w:val="0"/>
      <w:marRight w:val="0"/>
      <w:marTop w:val="0"/>
      <w:marBottom w:val="0"/>
      <w:divBdr>
        <w:top w:val="none" w:sz="0" w:space="0" w:color="auto"/>
        <w:left w:val="none" w:sz="0" w:space="0" w:color="auto"/>
        <w:bottom w:val="none" w:sz="0" w:space="0" w:color="auto"/>
        <w:right w:val="none" w:sz="0" w:space="0" w:color="auto"/>
      </w:divBdr>
    </w:div>
    <w:div w:id="998193296">
      <w:bodyDiv w:val="1"/>
      <w:marLeft w:val="0"/>
      <w:marRight w:val="0"/>
      <w:marTop w:val="0"/>
      <w:marBottom w:val="0"/>
      <w:divBdr>
        <w:top w:val="none" w:sz="0" w:space="0" w:color="auto"/>
        <w:left w:val="none" w:sz="0" w:space="0" w:color="auto"/>
        <w:bottom w:val="none" w:sz="0" w:space="0" w:color="auto"/>
        <w:right w:val="none" w:sz="0" w:space="0" w:color="auto"/>
      </w:divBdr>
    </w:div>
    <w:div w:id="998196017">
      <w:bodyDiv w:val="1"/>
      <w:marLeft w:val="0"/>
      <w:marRight w:val="0"/>
      <w:marTop w:val="0"/>
      <w:marBottom w:val="0"/>
      <w:divBdr>
        <w:top w:val="none" w:sz="0" w:space="0" w:color="auto"/>
        <w:left w:val="none" w:sz="0" w:space="0" w:color="auto"/>
        <w:bottom w:val="none" w:sz="0" w:space="0" w:color="auto"/>
        <w:right w:val="none" w:sz="0" w:space="0" w:color="auto"/>
      </w:divBdr>
    </w:div>
    <w:div w:id="998271869">
      <w:bodyDiv w:val="1"/>
      <w:marLeft w:val="0"/>
      <w:marRight w:val="0"/>
      <w:marTop w:val="0"/>
      <w:marBottom w:val="0"/>
      <w:divBdr>
        <w:top w:val="none" w:sz="0" w:space="0" w:color="auto"/>
        <w:left w:val="none" w:sz="0" w:space="0" w:color="auto"/>
        <w:bottom w:val="none" w:sz="0" w:space="0" w:color="auto"/>
        <w:right w:val="none" w:sz="0" w:space="0" w:color="auto"/>
      </w:divBdr>
    </w:div>
    <w:div w:id="998314198">
      <w:bodyDiv w:val="1"/>
      <w:marLeft w:val="0"/>
      <w:marRight w:val="0"/>
      <w:marTop w:val="0"/>
      <w:marBottom w:val="0"/>
      <w:divBdr>
        <w:top w:val="none" w:sz="0" w:space="0" w:color="auto"/>
        <w:left w:val="none" w:sz="0" w:space="0" w:color="auto"/>
        <w:bottom w:val="none" w:sz="0" w:space="0" w:color="auto"/>
        <w:right w:val="none" w:sz="0" w:space="0" w:color="auto"/>
      </w:divBdr>
    </w:div>
    <w:div w:id="998314523">
      <w:bodyDiv w:val="1"/>
      <w:marLeft w:val="0"/>
      <w:marRight w:val="0"/>
      <w:marTop w:val="0"/>
      <w:marBottom w:val="0"/>
      <w:divBdr>
        <w:top w:val="none" w:sz="0" w:space="0" w:color="auto"/>
        <w:left w:val="none" w:sz="0" w:space="0" w:color="auto"/>
        <w:bottom w:val="none" w:sz="0" w:space="0" w:color="auto"/>
        <w:right w:val="none" w:sz="0" w:space="0" w:color="auto"/>
      </w:divBdr>
    </w:div>
    <w:div w:id="998315358">
      <w:bodyDiv w:val="1"/>
      <w:marLeft w:val="0"/>
      <w:marRight w:val="0"/>
      <w:marTop w:val="0"/>
      <w:marBottom w:val="0"/>
      <w:divBdr>
        <w:top w:val="none" w:sz="0" w:space="0" w:color="auto"/>
        <w:left w:val="none" w:sz="0" w:space="0" w:color="auto"/>
        <w:bottom w:val="none" w:sz="0" w:space="0" w:color="auto"/>
        <w:right w:val="none" w:sz="0" w:space="0" w:color="auto"/>
      </w:divBdr>
    </w:div>
    <w:div w:id="998457422">
      <w:bodyDiv w:val="1"/>
      <w:marLeft w:val="0"/>
      <w:marRight w:val="0"/>
      <w:marTop w:val="0"/>
      <w:marBottom w:val="0"/>
      <w:divBdr>
        <w:top w:val="none" w:sz="0" w:space="0" w:color="auto"/>
        <w:left w:val="none" w:sz="0" w:space="0" w:color="auto"/>
        <w:bottom w:val="none" w:sz="0" w:space="0" w:color="auto"/>
        <w:right w:val="none" w:sz="0" w:space="0" w:color="auto"/>
      </w:divBdr>
    </w:div>
    <w:div w:id="998507110">
      <w:bodyDiv w:val="1"/>
      <w:marLeft w:val="0"/>
      <w:marRight w:val="0"/>
      <w:marTop w:val="0"/>
      <w:marBottom w:val="0"/>
      <w:divBdr>
        <w:top w:val="none" w:sz="0" w:space="0" w:color="auto"/>
        <w:left w:val="none" w:sz="0" w:space="0" w:color="auto"/>
        <w:bottom w:val="none" w:sz="0" w:space="0" w:color="auto"/>
        <w:right w:val="none" w:sz="0" w:space="0" w:color="auto"/>
      </w:divBdr>
    </w:div>
    <w:div w:id="998535485">
      <w:bodyDiv w:val="1"/>
      <w:marLeft w:val="0"/>
      <w:marRight w:val="0"/>
      <w:marTop w:val="0"/>
      <w:marBottom w:val="0"/>
      <w:divBdr>
        <w:top w:val="none" w:sz="0" w:space="0" w:color="auto"/>
        <w:left w:val="none" w:sz="0" w:space="0" w:color="auto"/>
        <w:bottom w:val="none" w:sz="0" w:space="0" w:color="auto"/>
        <w:right w:val="none" w:sz="0" w:space="0" w:color="auto"/>
      </w:divBdr>
    </w:div>
    <w:div w:id="998848023">
      <w:bodyDiv w:val="1"/>
      <w:marLeft w:val="0"/>
      <w:marRight w:val="0"/>
      <w:marTop w:val="0"/>
      <w:marBottom w:val="0"/>
      <w:divBdr>
        <w:top w:val="none" w:sz="0" w:space="0" w:color="auto"/>
        <w:left w:val="none" w:sz="0" w:space="0" w:color="auto"/>
        <w:bottom w:val="none" w:sz="0" w:space="0" w:color="auto"/>
        <w:right w:val="none" w:sz="0" w:space="0" w:color="auto"/>
      </w:divBdr>
    </w:div>
    <w:div w:id="998920538">
      <w:bodyDiv w:val="1"/>
      <w:marLeft w:val="0"/>
      <w:marRight w:val="0"/>
      <w:marTop w:val="0"/>
      <w:marBottom w:val="0"/>
      <w:divBdr>
        <w:top w:val="none" w:sz="0" w:space="0" w:color="auto"/>
        <w:left w:val="none" w:sz="0" w:space="0" w:color="auto"/>
        <w:bottom w:val="none" w:sz="0" w:space="0" w:color="auto"/>
        <w:right w:val="none" w:sz="0" w:space="0" w:color="auto"/>
      </w:divBdr>
    </w:div>
    <w:div w:id="999115934">
      <w:bodyDiv w:val="1"/>
      <w:marLeft w:val="0"/>
      <w:marRight w:val="0"/>
      <w:marTop w:val="0"/>
      <w:marBottom w:val="0"/>
      <w:divBdr>
        <w:top w:val="none" w:sz="0" w:space="0" w:color="auto"/>
        <w:left w:val="none" w:sz="0" w:space="0" w:color="auto"/>
        <w:bottom w:val="none" w:sz="0" w:space="0" w:color="auto"/>
        <w:right w:val="none" w:sz="0" w:space="0" w:color="auto"/>
      </w:divBdr>
    </w:div>
    <w:div w:id="999235707">
      <w:bodyDiv w:val="1"/>
      <w:marLeft w:val="0"/>
      <w:marRight w:val="0"/>
      <w:marTop w:val="0"/>
      <w:marBottom w:val="0"/>
      <w:divBdr>
        <w:top w:val="none" w:sz="0" w:space="0" w:color="auto"/>
        <w:left w:val="none" w:sz="0" w:space="0" w:color="auto"/>
        <w:bottom w:val="none" w:sz="0" w:space="0" w:color="auto"/>
        <w:right w:val="none" w:sz="0" w:space="0" w:color="auto"/>
      </w:divBdr>
    </w:div>
    <w:div w:id="999311659">
      <w:bodyDiv w:val="1"/>
      <w:marLeft w:val="0"/>
      <w:marRight w:val="0"/>
      <w:marTop w:val="0"/>
      <w:marBottom w:val="0"/>
      <w:divBdr>
        <w:top w:val="none" w:sz="0" w:space="0" w:color="auto"/>
        <w:left w:val="none" w:sz="0" w:space="0" w:color="auto"/>
        <w:bottom w:val="none" w:sz="0" w:space="0" w:color="auto"/>
        <w:right w:val="none" w:sz="0" w:space="0" w:color="auto"/>
      </w:divBdr>
    </w:div>
    <w:div w:id="999622420">
      <w:bodyDiv w:val="1"/>
      <w:marLeft w:val="0"/>
      <w:marRight w:val="0"/>
      <w:marTop w:val="0"/>
      <w:marBottom w:val="0"/>
      <w:divBdr>
        <w:top w:val="none" w:sz="0" w:space="0" w:color="auto"/>
        <w:left w:val="none" w:sz="0" w:space="0" w:color="auto"/>
        <w:bottom w:val="none" w:sz="0" w:space="0" w:color="auto"/>
        <w:right w:val="none" w:sz="0" w:space="0" w:color="auto"/>
      </w:divBdr>
    </w:div>
    <w:div w:id="999693902">
      <w:bodyDiv w:val="1"/>
      <w:marLeft w:val="0"/>
      <w:marRight w:val="0"/>
      <w:marTop w:val="0"/>
      <w:marBottom w:val="0"/>
      <w:divBdr>
        <w:top w:val="none" w:sz="0" w:space="0" w:color="auto"/>
        <w:left w:val="none" w:sz="0" w:space="0" w:color="auto"/>
        <w:bottom w:val="none" w:sz="0" w:space="0" w:color="auto"/>
        <w:right w:val="none" w:sz="0" w:space="0" w:color="auto"/>
      </w:divBdr>
    </w:div>
    <w:div w:id="999697367">
      <w:bodyDiv w:val="1"/>
      <w:marLeft w:val="0"/>
      <w:marRight w:val="0"/>
      <w:marTop w:val="0"/>
      <w:marBottom w:val="0"/>
      <w:divBdr>
        <w:top w:val="none" w:sz="0" w:space="0" w:color="auto"/>
        <w:left w:val="none" w:sz="0" w:space="0" w:color="auto"/>
        <w:bottom w:val="none" w:sz="0" w:space="0" w:color="auto"/>
        <w:right w:val="none" w:sz="0" w:space="0" w:color="auto"/>
      </w:divBdr>
    </w:div>
    <w:div w:id="999771649">
      <w:bodyDiv w:val="1"/>
      <w:marLeft w:val="0"/>
      <w:marRight w:val="0"/>
      <w:marTop w:val="0"/>
      <w:marBottom w:val="0"/>
      <w:divBdr>
        <w:top w:val="none" w:sz="0" w:space="0" w:color="auto"/>
        <w:left w:val="none" w:sz="0" w:space="0" w:color="auto"/>
        <w:bottom w:val="none" w:sz="0" w:space="0" w:color="auto"/>
        <w:right w:val="none" w:sz="0" w:space="0" w:color="auto"/>
      </w:divBdr>
    </w:div>
    <w:div w:id="999819556">
      <w:bodyDiv w:val="1"/>
      <w:marLeft w:val="0"/>
      <w:marRight w:val="0"/>
      <w:marTop w:val="0"/>
      <w:marBottom w:val="0"/>
      <w:divBdr>
        <w:top w:val="none" w:sz="0" w:space="0" w:color="auto"/>
        <w:left w:val="none" w:sz="0" w:space="0" w:color="auto"/>
        <w:bottom w:val="none" w:sz="0" w:space="0" w:color="auto"/>
        <w:right w:val="none" w:sz="0" w:space="0" w:color="auto"/>
      </w:divBdr>
    </w:div>
    <w:div w:id="999961051">
      <w:bodyDiv w:val="1"/>
      <w:marLeft w:val="0"/>
      <w:marRight w:val="0"/>
      <w:marTop w:val="0"/>
      <w:marBottom w:val="0"/>
      <w:divBdr>
        <w:top w:val="none" w:sz="0" w:space="0" w:color="auto"/>
        <w:left w:val="none" w:sz="0" w:space="0" w:color="auto"/>
        <w:bottom w:val="none" w:sz="0" w:space="0" w:color="auto"/>
        <w:right w:val="none" w:sz="0" w:space="0" w:color="auto"/>
      </w:divBdr>
    </w:div>
    <w:div w:id="1000038945">
      <w:bodyDiv w:val="1"/>
      <w:marLeft w:val="0"/>
      <w:marRight w:val="0"/>
      <w:marTop w:val="0"/>
      <w:marBottom w:val="0"/>
      <w:divBdr>
        <w:top w:val="none" w:sz="0" w:space="0" w:color="auto"/>
        <w:left w:val="none" w:sz="0" w:space="0" w:color="auto"/>
        <w:bottom w:val="none" w:sz="0" w:space="0" w:color="auto"/>
        <w:right w:val="none" w:sz="0" w:space="0" w:color="auto"/>
      </w:divBdr>
    </w:div>
    <w:div w:id="1000045624">
      <w:bodyDiv w:val="1"/>
      <w:marLeft w:val="0"/>
      <w:marRight w:val="0"/>
      <w:marTop w:val="0"/>
      <w:marBottom w:val="0"/>
      <w:divBdr>
        <w:top w:val="none" w:sz="0" w:space="0" w:color="auto"/>
        <w:left w:val="none" w:sz="0" w:space="0" w:color="auto"/>
        <w:bottom w:val="none" w:sz="0" w:space="0" w:color="auto"/>
        <w:right w:val="none" w:sz="0" w:space="0" w:color="auto"/>
      </w:divBdr>
    </w:div>
    <w:div w:id="1000160765">
      <w:bodyDiv w:val="1"/>
      <w:marLeft w:val="0"/>
      <w:marRight w:val="0"/>
      <w:marTop w:val="0"/>
      <w:marBottom w:val="0"/>
      <w:divBdr>
        <w:top w:val="none" w:sz="0" w:space="0" w:color="auto"/>
        <w:left w:val="none" w:sz="0" w:space="0" w:color="auto"/>
        <w:bottom w:val="none" w:sz="0" w:space="0" w:color="auto"/>
        <w:right w:val="none" w:sz="0" w:space="0" w:color="auto"/>
      </w:divBdr>
    </w:div>
    <w:div w:id="1000430927">
      <w:bodyDiv w:val="1"/>
      <w:marLeft w:val="0"/>
      <w:marRight w:val="0"/>
      <w:marTop w:val="0"/>
      <w:marBottom w:val="0"/>
      <w:divBdr>
        <w:top w:val="none" w:sz="0" w:space="0" w:color="auto"/>
        <w:left w:val="none" w:sz="0" w:space="0" w:color="auto"/>
        <w:bottom w:val="none" w:sz="0" w:space="0" w:color="auto"/>
        <w:right w:val="none" w:sz="0" w:space="0" w:color="auto"/>
      </w:divBdr>
    </w:div>
    <w:div w:id="1000474752">
      <w:bodyDiv w:val="1"/>
      <w:marLeft w:val="0"/>
      <w:marRight w:val="0"/>
      <w:marTop w:val="0"/>
      <w:marBottom w:val="0"/>
      <w:divBdr>
        <w:top w:val="none" w:sz="0" w:space="0" w:color="auto"/>
        <w:left w:val="none" w:sz="0" w:space="0" w:color="auto"/>
        <w:bottom w:val="none" w:sz="0" w:space="0" w:color="auto"/>
        <w:right w:val="none" w:sz="0" w:space="0" w:color="auto"/>
      </w:divBdr>
    </w:div>
    <w:div w:id="1000542271">
      <w:bodyDiv w:val="1"/>
      <w:marLeft w:val="0"/>
      <w:marRight w:val="0"/>
      <w:marTop w:val="0"/>
      <w:marBottom w:val="0"/>
      <w:divBdr>
        <w:top w:val="none" w:sz="0" w:space="0" w:color="auto"/>
        <w:left w:val="none" w:sz="0" w:space="0" w:color="auto"/>
        <w:bottom w:val="none" w:sz="0" w:space="0" w:color="auto"/>
        <w:right w:val="none" w:sz="0" w:space="0" w:color="auto"/>
      </w:divBdr>
    </w:div>
    <w:div w:id="1000739045">
      <w:bodyDiv w:val="1"/>
      <w:marLeft w:val="0"/>
      <w:marRight w:val="0"/>
      <w:marTop w:val="0"/>
      <w:marBottom w:val="0"/>
      <w:divBdr>
        <w:top w:val="none" w:sz="0" w:space="0" w:color="auto"/>
        <w:left w:val="none" w:sz="0" w:space="0" w:color="auto"/>
        <w:bottom w:val="none" w:sz="0" w:space="0" w:color="auto"/>
        <w:right w:val="none" w:sz="0" w:space="0" w:color="auto"/>
      </w:divBdr>
    </w:div>
    <w:div w:id="1000743410">
      <w:bodyDiv w:val="1"/>
      <w:marLeft w:val="0"/>
      <w:marRight w:val="0"/>
      <w:marTop w:val="0"/>
      <w:marBottom w:val="0"/>
      <w:divBdr>
        <w:top w:val="none" w:sz="0" w:space="0" w:color="auto"/>
        <w:left w:val="none" w:sz="0" w:space="0" w:color="auto"/>
        <w:bottom w:val="none" w:sz="0" w:space="0" w:color="auto"/>
        <w:right w:val="none" w:sz="0" w:space="0" w:color="auto"/>
      </w:divBdr>
    </w:div>
    <w:div w:id="1000962822">
      <w:bodyDiv w:val="1"/>
      <w:marLeft w:val="0"/>
      <w:marRight w:val="0"/>
      <w:marTop w:val="0"/>
      <w:marBottom w:val="0"/>
      <w:divBdr>
        <w:top w:val="none" w:sz="0" w:space="0" w:color="auto"/>
        <w:left w:val="none" w:sz="0" w:space="0" w:color="auto"/>
        <w:bottom w:val="none" w:sz="0" w:space="0" w:color="auto"/>
        <w:right w:val="none" w:sz="0" w:space="0" w:color="auto"/>
      </w:divBdr>
    </w:div>
    <w:div w:id="1001128985">
      <w:bodyDiv w:val="1"/>
      <w:marLeft w:val="0"/>
      <w:marRight w:val="0"/>
      <w:marTop w:val="0"/>
      <w:marBottom w:val="0"/>
      <w:divBdr>
        <w:top w:val="none" w:sz="0" w:space="0" w:color="auto"/>
        <w:left w:val="none" w:sz="0" w:space="0" w:color="auto"/>
        <w:bottom w:val="none" w:sz="0" w:space="0" w:color="auto"/>
        <w:right w:val="none" w:sz="0" w:space="0" w:color="auto"/>
      </w:divBdr>
    </w:div>
    <w:div w:id="1001196186">
      <w:bodyDiv w:val="1"/>
      <w:marLeft w:val="0"/>
      <w:marRight w:val="0"/>
      <w:marTop w:val="0"/>
      <w:marBottom w:val="0"/>
      <w:divBdr>
        <w:top w:val="none" w:sz="0" w:space="0" w:color="auto"/>
        <w:left w:val="none" w:sz="0" w:space="0" w:color="auto"/>
        <w:bottom w:val="none" w:sz="0" w:space="0" w:color="auto"/>
        <w:right w:val="none" w:sz="0" w:space="0" w:color="auto"/>
      </w:divBdr>
    </w:div>
    <w:div w:id="1001350616">
      <w:bodyDiv w:val="1"/>
      <w:marLeft w:val="0"/>
      <w:marRight w:val="0"/>
      <w:marTop w:val="0"/>
      <w:marBottom w:val="0"/>
      <w:divBdr>
        <w:top w:val="none" w:sz="0" w:space="0" w:color="auto"/>
        <w:left w:val="none" w:sz="0" w:space="0" w:color="auto"/>
        <w:bottom w:val="none" w:sz="0" w:space="0" w:color="auto"/>
        <w:right w:val="none" w:sz="0" w:space="0" w:color="auto"/>
      </w:divBdr>
    </w:div>
    <w:div w:id="1001352718">
      <w:bodyDiv w:val="1"/>
      <w:marLeft w:val="0"/>
      <w:marRight w:val="0"/>
      <w:marTop w:val="0"/>
      <w:marBottom w:val="0"/>
      <w:divBdr>
        <w:top w:val="none" w:sz="0" w:space="0" w:color="auto"/>
        <w:left w:val="none" w:sz="0" w:space="0" w:color="auto"/>
        <w:bottom w:val="none" w:sz="0" w:space="0" w:color="auto"/>
        <w:right w:val="none" w:sz="0" w:space="0" w:color="auto"/>
      </w:divBdr>
    </w:div>
    <w:div w:id="1001354165">
      <w:bodyDiv w:val="1"/>
      <w:marLeft w:val="0"/>
      <w:marRight w:val="0"/>
      <w:marTop w:val="0"/>
      <w:marBottom w:val="0"/>
      <w:divBdr>
        <w:top w:val="none" w:sz="0" w:space="0" w:color="auto"/>
        <w:left w:val="none" w:sz="0" w:space="0" w:color="auto"/>
        <w:bottom w:val="none" w:sz="0" w:space="0" w:color="auto"/>
        <w:right w:val="none" w:sz="0" w:space="0" w:color="auto"/>
      </w:divBdr>
    </w:div>
    <w:div w:id="1001395707">
      <w:bodyDiv w:val="1"/>
      <w:marLeft w:val="0"/>
      <w:marRight w:val="0"/>
      <w:marTop w:val="0"/>
      <w:marBottom w:val="0"/>
      <w:divBdr>
        <w:top w:val="none" w:sz="0" w:space="0" w:color="auto"/>
        <w:left w:val="none" w:sz="0" w:space="0" w:color="auto"/>
        <w:bottom w:val="none" w:sz="0" w:space="0" w:color="auto"/>
        <w:right w:val="none" w:sz="0" w:space="0" w:color="auto"/>
      </w:divBdr>
    </w:div>
    <w:div w:id="1001616795">
      <w:bodyDiv w:val="1"/>
      <w:marLeft w:val="0"/>
      <w:marRight w:val="0"/>
      <w:marTop w:val="0"/>
      <w:marBottom w:val="0"/>
      <w:divBdr>
        <w:top w:val="none" w:sz="0" w:space="0" w:color="auto"/>
        <w:left w:val="none" w:sz="0" w:space="0" w:color="auto"/>
        <w:bottom w:val="none" w:sz="0" w:space="0" w:color="auto"/>
        <w:right w:val="none" w:sz="0" w:space="0" w:color="auto"/>
      </w:divBdr>
    </w:div>
    <w:div w:id="1001734919">
      <w:bodyDiv w:val="1"/>
      <w:marLeft w:val="0"/>
      <w:marRight w:val="0"/>
      <w:marTop w:val="0"/>
      <w:marBottom w:val="0"/>
      <w:divBdr>
        <w:top w:val="none" w:sz="0" w:space="0" w:color="auto"/>
        <w:left w:val="none" w:sz="0" w:space="0" w:color="auto"/>
        <w:bottom w:val="none" w:sz="0" w:space="0" w:color="auto"/>
        <w:right w:val="none" w:sz="0" w:space="0" w:color="auto"/>
      </w:divBdr>
    </w:div>
    <w:div w:id="1001740313">
      <w:bodyDiv w:val="1"/>
      <w:marLeft w:val="0"/>
      <w:marRight w:val="0"/>
      <w:marTop w:val="0"/>
      <w:marBottom w:val="0"/>
      <w:divBdr>
        <w:top w:val="none" w:sz="0" w:space="0" w:color="auto"/>
        <w:left w:val="none" w:sz="0" w:space="0" w:color="auto"/>
        <w:bottom w:val="none" w:sz="0" w:space="0" w:color="auto"/>
        <w:right w:val="none" w:sz="0" w:space="0" w:color="auto"/>
      </w:divBdr>
    </w:div>
    <w:div w:id="1001810807">
      <w:bodyDiv w:val="1"/>
      <w:marLeft w:val="0"/>
      <w:marRight w:val="0"/>
      <w:marTop w:val="0"/>
      <w:marBottom w:val="0"/>
      <w:divBdr>
        <w:top w:val="none" w:sz="0" w:space="0" w:color="auto"/>
        <w:left w:val="none" w:sz="0" w:space="0" w:color="auto"/>
        <w:bottom w:val="none" w:sz="0" w:space="0" w:color="auto"/>
        <w:right w:val="none" w:sz="0" w:space="0" w:color="auto"/>
      </w:divBdr>
    </w:div>
    <w:div w:id="1001855580">
      <w:bodyDiv w:val="1"/>
      <w:marLeft w:val="0"/>
      <w:marRight w:val="0"/>
      <w:marTop w:val="0"/>
      <w:marBottom w:val="0"/>
      <w:divBdr>
        <w:top w:val="none" w:sz="0" w:space="0" w:color="auto"/>
        <w:left w:val="none" w:sz="0" w:space="0" w:color="auto"/>
        <w:bottom w:val="none" w:sz="0" w:space="0" w:color="auto"/>
        <w:right w:val="none" w:sz="0" w:space="0" w:color="auto"/>
      </w:divBdr>
    </w:div>
    <w:div w:id="1002197183">
      <w:bodyDiv w:val="1"/>
      <w:marLeft w:val="0"/>
      <w:marRight w:val="0"/>
      <w:marTop w:val="0"/>
      <w:marBottom w:val="0"/>
      <w:divBdr>
        <w:top w:val="none" w:sz="0" w:space="0" w:color="auto"/>
        <w:left w:val="none" w:sz="0" w:space="0" w:color="auto"/>
        <w:bottom w:val="none" w:sz="0" w:space="0" w:color="auto"/>
        <w:right w:val="none" w:sz="0" w:space="0" w:color="auto"/>
      </w:divBdr>
    </w:div>
    <w:div w:id="1002316597">
      <w:bodyDiv w:val="1"/>
      <w:marLeft w:val="0"/>
      <w:marRight w:val="0"/>
      <w:marTop w:val="0"/>
      <w:marBottom w:val="0"/>
      <w:divBdr>
        <w:top w:val="none" w:sz="0" w:space="0" w:color="auto"/>
        <w:left w:val="none" w:sz="0" w:space="0" w:color="auto"/>
        <w:bottom w:val="none" w:sz="0" w:space="0" w:color="auto"/>
        <w:right w:val="none" w:sz="0" w:space="0" w:color="auto"/>
      </w:divBdr>
    </w:div>
    <w:div w:id="1002390943">
      <w:bodyDiv w:val="1"/>
      <w:marLeft w:val="0"/>
      <w:marRight w:val="0"/>
      <w:marTop w:val="0"/>
      <w:marBottom w:val="0"/>
      <w:divBdr>
        <w:top w:val="none" w:sz="0" w:space="0" w:color="auto"/>
        <w:left w:val="none" w:sz="0" w:space="0" w:color="auto"/>
        <w:bottom w:val="none" w:sz="0" w:space="0" w:color="auto"/>
        <w:right w:val="none" w:sz="0" w:space="0" w:color="auto"/>
      </w:divBdr>
    </w:div>
    <w:div w:id="1002391408">
      <w:bodyDiv w:val="1"/>
      <w:marLeft w:val="0"/>
      <w:marRight w:val="0"/>
      <w:marTop w:val="0"/>
      <w:marBottom w:val="0"/>
      <w:divBdr>
        <w:top w:val="none" w:sz="0" w:space="0" w:color="auto"/>
        <w:left w:val="none" w:sz="0" w:space="0" w:color="auto"/>
        <w:bottom w:val="none" w:sz="0" w:space="0" w:color="auto"/>
        <w:right w:val="none" w:sz="0" w:space="0" w:color="auto"/>
      </w:divBdr>
    </w:div>
    <w:div w:id="1002705228">
      <w:bodyDiv w:val="1"/>
      <w:marLeft w:val="0"/>
      <w:marRight w:val="0"/>
      <w:marTop w:val="0"/>
      <w:marBottom w:val="0"/>
      <w:divBdr>
        <w:top w:val="none" w:sz="0" w:space="0" w:color="auto"/>
        <w:left w:val="none" w:sz="0" w:space="0" w:color="auto"/>
        <w:bottom w:val="none" w:sz="0" w:space="0" w:color="auto"/>
        <w:right w:val="none" w:sz="0" w:space="0" w:color="auto"/>
      </w:divBdr>
    </w:div>
    <w:div w:id="1002783940">
      <w:bodyDiv w:val="1"/>
      <w:marLeft w:val="0"/>
      <w:marRight w:val="0"/>
      <w:marTop w:val="0"/>
      <w:marBottom w:val="0"/>
      <w:divBdr>
        <w:top w:val="none" w:sz="0" w:space="0" w:color="auto"/>
        <w:left w:val="none" w:sz="0" w:space="0" w:color="auto"/>
        <w:bottom w:val="none" w:sz="0" w:space="0" w:color="auto"/>
        <w:right w:val="none" w:sz="0" w:space="0" w:color="auto"/>
      </w:divBdr>
    </w:div>
    <w:div w:id="1002856521">
      <w:bodyDiv w:val="1"/>
      <w:marLeft w:val="0"/>
      <w:marRight w:val="0"/>
      <w:marTop w:val="0"/>
      <w:marBottom w:val="0"/>
      <w:divBdr>
        <w:top w:val="none" w:sz="0" w:space="0" w:color="auto"/>
        <w:left w:val="none" w:sz="0" w:space="0" w:color="auto"/>
        <w:bottom w:val="none" w:sz="0" w:space="0" w:color="auto"/>
        <w:right w:val="none" w:sz="0" w:space="0" w:color="auto"/>
      </w:divBdr>
    </w:div>
    <w:div w:id="1002975125">
      <w:bodyDiv w:val="1"/>
      <w:marLeft w:val="0"/>
      <w:marRight w:val="0"/>
      <w:marTop w:val="0"/>
      <w:marBottom w:val="0"/>
      <w:divBdr>
        <w:top w:val="none" w:sz="0" w:space="0" w:color="auto"/>
        <w:left w:val="none" w:sz="0" w:space="0" w:color="auto"/>
        <w:bottom w:val="none" w:sz="0" w:space="0" w:color="auto"/>
        <w:right w:val="none" w:sz="0" w:space="0" w:color="auto"/>
      </w:divBdr>
    </w:div>
    <w:div w:id="1002975510">
      <w:bodyDiv w:val="1"/>
      <w:marLeft w:val="0"/>
      <w:marRight w:val="0"/>
      <w:marTop w:val="0"/>
      <w:marBottom w:val="0"/>
      <w:divBdr>
        <w:top w:val="none" w:sz="0" w:space="0" w:color="auto"/>
        <w:left w:val="none" w:sz="0" w:space="0" w:color="auto"/>
        <w:bottom w:val="none" w:sz="0" w:space="0" w:color="auto"/>
        <w:right w:val="none" w:sz="0" w:space="0" w:color="auto"/>
      </w:divBdr>
    </w:div>
    <w:div w:id="1002976003">
      <w:bodyDiv w:val="1"/>
      <w:marLeft w:val="0"/>
      <w:marRight w:val="0"/>
      <w:marTop w:val="0"/>
      <w:marBottom w:val="0"/>
      <w:divBdr>
        <w:top w:val="none" w:sz="0" w:space="0" w:color="auto"/>
        <w:left w:val="none" w:sz="0" w:space="0" w:color="auto"/>
        <w:bottom w:val="none" w:sz="0" w:space="0" w:color="auto"/>
        <w:right w:val="none" w:sz="0" w:space="0" w:color="auto"/>
      </w:divBdr>
    </w:div>
    <w:div w:id="1003166086">
      <w:bodyDiv w:val="1"/>
      <w:marLeft w:val="0"/>
      <w:marRight w:val="0"/>
      <w:marTop w:val="0"/>
      <w:marBottom w:val="0"/>
      <w:divBdr>
        <w:top w:val="none" w:sz="0" w:space="0" w:color="auto"/>
        <w:left w:val="none" w:sz="0" w:space="0" w:color="auto"/>
        <w:bottom w:val="none" w:sz="0" w:space="0" w:color="auto"/>
        <w:right w:val="none" w:sz="0" w:space="0" w:color="auto"/>
      </w:divBdr>
    </w:div>
    <w:div w:id="1003435086">
      <w:bodyDiv w:val="1"/>
      <w:marLeft w:val="0"/>
      <w:marRight w:val="0"/>
      <w:marTop w:val="0"/>
      <w:marBottom w:val="0"/>
      <w:divBdr>
        <w:top w:val="none" w:sz="0" w:space="0" w:color="auto"/>
        <w:left w:val="none" w:sz="0" w:space="0" w:color="auto"/>
        <w:bottom w:val="none" w:sz="0" w:space="0" w:color="auto"/>
        <w:right w:val="none" w:sz="0" w:space="0" w:color="auto"/>
      </w:divBdr>
    </w:div>
    <w:div w:id="1003556525">
      <w:bodyDiv w:val="1"/>
      <w:marLeft w:val="0"/>
      <w:marRight w:val="0"/>
      <w:marTop w:val="0"/>
      <w:marBottom w:val="0"/>
      <w:divBdr>
        <w:top w:val="none" w:sz="0" w:space="0" w:color="auto"/>
        <w:left w:val="none" w:sz="0" w:space="0" w:color="auto"/>
        <w:bottom w:val="none" w:sz="0" w:space="0" w:color="auto"/>
        <w:right w:val="none" w:sz="0" w:space="0" w:color="auto"/>
      </w:divBdr>
    </w:div>
    <w:div w:id="1003583960">
      <w:bodyDiv w:val="1"/>
      <w:marLeft w:val="0"/>
      <w:marRight w:val="0"/>
      <w:marTop w:val="0"/>
      <w:marBottom w:val="0"/>
      <w:divBdr>
        <w:top w:val="none" w:sz="0" w:space="0" w:color="auto"/>
        <w:left w:val="none" w:sz="0" w:space="0" w:color="auto"/>
        <w:bottom w:val="none" w:sz="0" w:space="0" w:color="auto"/>
        <w:right w:val="none" w:sz="0" w:space="0" w:color="auto"/>
      </w:divBdr>
    </w:div>
    <w:div w:id="1003819780">
      <w:bodyDiv w:val="1"/>
      <w:marLeft w:val="0"/>
      <w:marRight w:val="0"/>
      <w:marTop w:val="0"/>
      <w:marBottom w:val="0"/>
      <w:divBdr>
        <w:top w:val="none" w:sz="0" w:space="0" w:color="auto"/>
        <w:left w:val="none" w:sz="0" w:space="0" w:color="auto"/>
        <w:bottom w:val="none" w:sz="0" w:space="0" w:color="auto"/>
        <w:right w:val="none" w:sz="0" w:space="0" w:color="auto"/>
      </w:divBdr>
    </w:div>
    <w:div w:id="1003901356">
      <w:bodyDiv w:val="1"/>
      <w:marLeft w:val="0"/>
      <w:marRight w:val="0"/>
      <w:marTop w:val="0"/>
      <w:marBottom w:val="0"/>
      <w:divBdr>
        <w:top w:val="none" w:sz="0" w:space="0" w:color="auto"/>
        <w:left w:val="none" w:sz="0" w:space="0" w:color="auto"/>
        <w:bottom w:val="none" w:sz="0" w:space="0" w:color="auto"/>
        <w:right w:val="none" w:sz="0" w:space="0" w:color="auto"/>
      </w:divBdr>
    </w:div>
    <w:div w:id="1004161757">
      <w:bodyDiv w:val="1"/>
      <w:marLeft w:val="0"/>
      <w:marRight w:val="0"/>
      <w:marTop w:val="0"/>
      <w:marBottom w:val="0"/>
      <w:divBdr>
        <w:top w:val="none" w:sz="0" w:space="0" w:color="auto"/>
        <w:left w:val="none" w:sz="0" w:space="0" w:color="auto"/>
        <w:bottom w:val="none" w:sz="0" w:space="0" w:color="auto"/>
        <w:right w:val="none" w:sz="0" w:space="0" w:color="auto"/>
      </w:divBdr>
    </w:div>
    <w:div w:id="1004430586">
      <w:bodyDiv w:val="1"/>
      <w:marLeft w:val="0"/>
      <w:marRight w:val="0"/>
      <w:marTop w:val="0"/>
      <w:marBottom w:val="0"/>
      <w:divBdr>
        <w:top w:val="none" w:sz="0" w:space="0" w:color="auto"/>
        <w:left w:val="none" w:sz="0" w:space="0" w:color="auto"/>
        <w:bottom w:val="none" w:sz="0" w:space="0" w:color="auto"/>
        <w:right w:val="none" w:sz="0" w:space="0" w:color="auto"/>
      </w:divBdr>
    </w:div>
    <w:div w:id="1004433504">
      <w:bodyDiv w:val="1"/>
      <w:marLeft w:val="0"/>
      <w:marRight w:val="0"/>
      <w:marTop w:val="0"/>
      <w:marBottom w:val="0"/>
      <w:divBdr>
        <w:top w:val="none" w:sz="0" w:space="0" w:color="auto"/>
        <w:left w:val="none" w:sz="0" w:space="0" w:color="auto"/>
        <w:bottom w:val="none" w:sz="0" w:space="0" w:color="auto"/>
        <w:right w:val="none" w:sz="0" w:space="0" w:color="auto"/>
      </w:divBdr>
    </w:div>
    <w:div w:id="1004476022">
      <w:bodyDiv w:val="1"/>
      <w:marLeft w:val="0"/>
      <w:marRight w:val="0"/>
      <w:marTop w:val="0"/>
      <w:marBottom w:val="0"/>
      <w:divBdr>
        <w:top w:val="none" w:sz="0" w:space="0" w:color="auto"/>
        <w:left w:val="none" w:sz="0" w:space="0" w:color="auto"/>
        <w:bottom w:val="none" w:sz="0" w:space="0" w:color="auto"/>
        <w:right w:val="none" w:sz="0" w:space="0" w:color="auto"/>
      </w:divBdr>
    </w:div>
    <w:div w:id="1004478618">
      <w:bodyDiv w:val="1"/>
      <w:marLeft w:val="0"/>
      <w:marRight w:val="0"/>
      <w:marTop w:val="0"/>
      <w:marBottom w:val="0"/>
      <w:divBdr>
        <w:top w:val="none" w:sz="0" w:space="0" w:color="auto"/>
        <w:left w:val="none" w:sz="0" w:space="0" w:color="auto"/>
        <w:bottom w:val="none" w:sz="0" w:space="0" w:color="auto"/>
        <w:right w:val="none" w:sz="0" w:space="0" w:color="auto"/>
      </w:divBdr>
    </w:div>
    <w:div w:id="1004742437">
      <w:bodyDiv w:val="1"/>
      <w:marLeft w:val="0"/>
      <w:marRight w:val="0"/>
      <w:marTop w:val="0"/>
      <w:marBottom w:val="0"/>
      <w:divBdr>
        <w:top w:val="none" w:sz="0" w:space="0" w:color="auto"/>
        <w:left w:val="none" w:sz="0" w:space="0" w:color="auto"/>
        <w:bottom w:val="none" w:sz="0" w:space="0" w:color="auto"/>
        <w:right w:val="none" w:sz="0" w:space="0" w:color="auto"/>
      </w:divBdr>
    </w:div>
    <w:div w:id="1004940967">
      <w:bodyDiv w:val="1"/>
      <w:marLeft w:val="0"/>
      <w:marRight w:val="0"/>
      <w:marTop w:val="0"/>
      <w:marBottom w:val="0"/>
      <w:divBdr>
        <w:top w:val="none" w:sz="0" w:space="0" w:color="auto"/>
        <w:left w:val="none" w:sz="0" w:space="0" w:color="auto"/>
        <w:bottom w:val="none" w:sz="0" w:space="0" w:color="auto"/>
        <w:right w:val="none" w:sz="0" w:space="0" w:color="auto"/>
      </w:divBdr>
    </w:div>
    <w:div w:id="1004943413">
      <w:bodyDiv w:val="1"/>
      <w:marLeft w:val="0"/>
      <w:marRight w:val="0"/>
      <w:marTop w:val="0"/>
      <w:marBottom w:val="0"/>
      <w:divBdr>
        <w:top w:val="none" w:sz="0" w:space="0" w:color="auto"/>
        <w:left w:val="none" w:sz="0" w:space="0" w:color="auto"/>
        <w:bottom w:val="none" w:sz="0" w:space="0" w:color="auto"/>
        <w:right w:val="none" w:sz="0" w:space="0" w:color="auto"/>
      </w:divBdr>
    </w:div>
    <w:div w:id="1005134081">
      <w:bodyDiv w:val="1"/>
      <w:marLeft w:val="0"/>
      <w:marRight w:val="0"/>
      <w:marTop w:val="0"/>
      <w:marBottom w:val="0"/>
      <w:divBdr>
        <w:top w:val="none" w:sz="0" w:space="0" w:color="auto"/>
        <w:left w:val="none" w:sz="0" w:space="0" w:color="auto"/>
        <w:bottom w:val="none" w:sz="0" w:space="0" w:color="auto"/>
        <w:right w:val="none" w:sz="0" w:space="0" w:color="auto"/>
      </w:divBdr>
    </w:div>
    <w:div w:id="1005136750">
      <w:bodyDiv w:val="1"/>
      <w:marLeft w:val="0"/>
      <w:marRight w:val="0"/>
      <w:marTop w:val="0"/>
      <w:marBottom w:val="0"/>
      <w:divBdr>
        <w:top w:val="none" w:sz="0" w:space="0" w:color="auto"/>
        <w:left w:val="none" w:sz="0" w:space="0" w:color="auto"/>
        <w:bottom w:val="none" w:sz="0" w:space="0" w:color="auto"/>
        <w:right w:val="none" w:sz="0" w:space="0" w:color="auto"/>
      </w:divBdr>
    </w:div>
    <w:div w:id="1005475405">
      <w:bodyDiv w:val="1"/>
      <w:marLeft w:val="0"/>
      <w:marRight w:val="0"/>
      <w:marTop w:val="0"/>
      <w:marBottom w:val="0"/>
      <w:divBdr>
        <w:top w:val="none" w:sz="0" w:space="0" w:color="auto"/>
        <w:left w:val="none" w:sz="0" w:space="0" w:color="auto"/>
        <w:bottom w:val="none" w:sz="0" w:space="0" w:color="auto"/>
        <w:right w:val="none" w:sz="0" w:space="0" w:color="auto"/>
      </w:divBdr>
    </w:div>
    <w:div w:id="1005520563">
      <w:bodyDiv w:val="1"/>
      <w:marLeft w:val="0"/>
      <w:marRight w:val="0"/>
      <w:marTop w:val="0"/>
      <w:marBottom w:val="0"/>
      <w:divBdr>
        <w:top w:val="none" w:sz="0" w:space="0" w:color="auto"/>
        <w:left w:val="none" w:sz="0" w:space="0" w:color="auto"/>
        <w:bottom w:val="none" w:sz="0" w:space="0" w:color="auto"/>
        <w:right w:val="none" w:sz="0" w:space="0" w:color="auto"/>
      </w:divBdr>
    </w:div>
    <w:div w:id="1005742193">
      <w:bodyDiv w:val="1"/>
      <w:marLeft w:val="0"/>
      <w:marRight w:val="0"/>
      <w:marTop w:val="0"/>
      <w:marBottom w:val="0"/>
      <w:divBdr>
        <w:top w:val="none" w:sz="0" w:space="0" w:color="auto"/>
        <w:left w:val="none" w:sz="0" w:space="0" w:color="auto"/>
        <w:bottom w:val="none" w:sz="0" w:space="0" w:color="auto"/>
        <w:right w:val="none" w:sz="0" w:space="0" w:color="auto"/>
      </w:divBdr>
    </w:div>
    <w:div w:id="1005792304">
      <w:bodyDiv w:val="1"/>
      <w:marLeft w:val="0"/>
      <w:marRight w:val="0"/>
      <w:marTop w:val="0"/>
      <w:marBottom w:val="0"/>
      <w:divBdr>
        <w:top w:val="none" w:sz="0" w:space="0" w:color="auto"/>
        <w:left w:val="none" w:sz="0" w:space="0" w:color="auto"/>
        <w:bottom w:val="none" w:sz="0" w:space="0" w:color="auto"/>
        <w:right w:val="none" w:sz="0" w:space="0" w:color="auto"/>
      </w:divBdr>
    </w:div>
    <w:div w:id="1006129322">
      <w:bodyDiv w:val="1"/>
      <w:marLeft w:val="0"/>
      <w:marRight w:val="0"/>
      <w:marTop w:val="0"/>
      <w:marBottom w:val="0"/>
      <w:divBdr>
        <w:top w:val="none" w:sz="0" w:space="0" w:color="auto"/>
        <w:left w:val="none" w:sz="0" w:space="0" w:color="auto"/>
        <w:bottom w:val="none" w:sz="0" w:space="0" w:color="auto"/>
        <w:right w:val="none" w:sz="0" w:space="0" w:color="auto"/>
      </w:divBdr>
    </w:div>
    <w:div w:id="1006784118">
      <w:bodyDiv w:val="1"/>
      <w:marLeft w:val="0"/>
      <w:marRight w:val="0"/>
      <w:marTop w:val="0"/>
      <w:marBottom w:val="0"/>
      <w:divBdr>
        <w:top w:val="none" w:sz="0" w:space="0" w:color="auto"/>
        <w:left w:val="none" w:sz="0" w:space="0" w:color="auto"/>
        <w:bottom w:val="none" w:sz="0" w:space="0" w:color="auto"/>
        <w:right w:val="none" w:sz="0" w:space="0" w:color="auto"/>
      </w:divBdr>
    </w:div>
    <w:div w:id="1007100408">
      <w:bodyDiv w:val="1"/>
      <w:marLeft w:val="0"/>
      <w:marRight w:val="0"/>
      <w:marTop w:val="0"/>
      <w:marBottom w:val="0"/>
      <w:divBdr>
        <w:top w:val="none" w:sz="0" w:space="0" w:color="auto"/>
        <w:left w:val="none" w:sz="0" w:space="0" w:color="auto"/>
        <w:bottom w:val="none" w:sz="0" w:space="0" w:color="auto"/>
        <w:right w:val="none" w:sz="0" w:space="0" w:color="auto"/>
      </w:divBdr>
    </w:div>
    <w:div w:id="1007440658">
      <w:bodyDiv w:val="1"/>
      <w:marLeft w:val="0"/>
      <w:marRight w:val="0"/>
      <w:marTop w:val="0"/>
      <w:marBottom w:val="0"/>
      <w:divBdr>
        <w:top w:val="none" w:sz="0" w:space="0" w:color="auto"/>
        <w:left w:val="none" w:sz="0" w:space="0" w:color="auto"/>
        <w:bottom w:val="none" w:sz="0" w:space="0" w:color="auto"/>
        <w:right w:val="none" w:sz="0" w:space="0" w:color="auto"/>
      </w:divBdr>
    </w:div>
    <w:div w:id="1007637043">
      <w:bodyDiv w:val="1"/>
      <w:marLeft w:val="0"/>
      <w:marRight w:val="0"/>
      <w:marTop w:val="0"/>
      <w:marBottom w:val="0"/>
      <w:divBdr>
        <w:top w:val="none" w:sz="0" w:space="0" w:color="auto"/>
        <w:left w:val="none" w:sz="0" w:space="0" w:color="auto"/>
        <w:bottom w:val="none" w:sz="0" w:space="0" w:color="auto"/>
        <w:right w:val="none" w:sz="0" w:space="0" w:color="auto"/>
      </w:divBdr>
    </w:div>
    <w:div w:id="1008019807">
      <w:bodyDiv w:val="1"/>
      <w:marLeft w:val="0"/>
      <w:marRight w:val="0"/>
      <w:marTop w:val="0"/>
      <w:marBottom w:val="0"/>
      <w:divBdr>
        <w:top w:val="none" w:sz="0" w:space="0" w:color="auto"/>
        <w:left w:val="none" w:sz="0" w:space="0" w:color="auto"/>
        <w:bottom w:val="none" w:sz="0" w:space="0" w:color="auto"/>
        <w:right w:val="none" w:sz="0" w:space="0" w:color="auto"/>
      </w:divBdr>
    </w:div>
    <w:div w:id="1008170801">
      <w:bodyDiv w:val="1"/>
      <w:marLeft w:val="0"/>
      <w:marRight w:val="0"/>
      <w:marTop w:val="0"/>
      <w:marBottom w:val="0"/>
      <w:divBdr>
        <w:top w:val="none" w:sz="0" w:space="0" w:color="auto"/>
        <w:left w:val="none" w:sz="0" w:space="0" w:color="auto"/>
        <w:bottom w:val="none" w:sz="0" w:space="0" w:color="auto"/>
        <w:right w:val="none" w:sz="0" w:space="0" w:color="auto"/>
      </w:divBdr>
    </w:div>
    <w:div w:id="1008171486">
      <w:bodyDiv w:val="1"/>
      <w:marLeft w:val="0"/>
      <w:marRight w:val="0"/>
      <w:marTop w:val="0"/>
      <w:marBottom w:val="0"/>
      <w:divBdr>
        <w:top w:val="none" w:sz="0" w:space="0" w:color="auto"/>
        <w:left w:val="none" w:sz="0" w:space="0" w:color="auto"/>
        <w:bottom w:val="none" w:sz="0" w:space="0" w:color="auto"/>
        <w:right w:val="none" w:sz="0" w:space="0" w:color="auto"/>
      </w:divBdr>
    </w:div>
    <w:div w:id="1008404108">
      <w:bodyDiv w:val="1"/>
      <w:marLeft w:val="0"/>
      <w:marRight w:val="0"/>
      <w:marTop w:val="0"/>
      <w:marBottom w:val="0"/>
      <w:divBdr>
        <w:top w:val="none" w:sz="0" w:space="0" w:color="auto"/>
        <w:left w:val="none" w:sz="0" w:space="0" w:color="auto"/>
        <w:bottom w:val="none" w:sz="0" w:space="0" w:color="auto"/>
        <w:right w:val="none" w:sz="0" w:space="0" w:color="auto"/>
      </w:divBdr>
    </w:div>
    <w:div w:id="1008629923">
      <w:bodyDiv w:val="1"/>
      <w:marLeft w:val="0"/>
      <w:marRight w:val="0"/>
      <w:marTop w:val="0"/>
      <w:marBottom w:val="0"/>
      <w:divBdr>
        <w:top w:val="none" w:sz="0" w:space="0" w:color="auto"/>
        <w:left w:val="none" w:sz="0" w:space="0" w:color="auto"/>
        <w:bottom w:val="none" w:sz="0" w:space="0" w:color="auto"/>
        <w:right w:val="none" w:sz="0" w:space="0" w:color="auto"/>
      </w:divBdr>
    </w:div>
    <w:div w:id="1008872232">
      <w:bodyDiv w:val="1"/>
      <w:marLeft w:val="0"/>
      <w:marRight w:val="0"/>
      <w:marTop w:val="0"/>
      <w:marBottom w:val="0"/>
      <w:divBdr>
        <w:top w:val="none" w:sz="0" w:space="0" w:color="auto"/>
        <w:left w:val="none" w:sz="0" w:space="0" w:color="auto"/>
        <w:bottom w:val="none" w:sz="0" w:space="0" w:color="auto"/>
        <w:right w:val="none" w:sz="0" w:space="0" w:color="auto"/>
      </w:divBdr>
    </w:div>
    <w:div w:id="1009023489">
      <w:bodyDiv w:val="1"/>
      <w:marLeft w:val="0"/>
      <w:marRight w:val="0"/>
      <w:marTop w:val="0"/>
      <w:marBottom w:val="0"/>
      <w:divBdr>
        <w:top w:val="none" w:sz="0" w:space="0" w:color="auto"/>
        <w:left w:val="none" w:sz="0" w:space="0" w:color="auto"/>
        <w:bottom w:val="none" w:sz="0" w:space="0" w:color="auto"/>
        <w:right w:val="none" w:sz="0" w:space="0" w:color="auto"/>
      </w:divBdr>
    </w:div>
    <w:div w:id="1009134474">
      <w:bodyDiv w:val="1"/>
      <w:marLeft w:val="0"/>
      <w:marRight w:val="0"/>
      <w:marTop w:val="0"/>
      <w:marBottom w:val="0"/>
      <w:divBdr>
        <w:top w:val="none" w:sz="0" w:space="0" w:color="auto"/>
        <w:left w:val="none" w:sz="0" w:space="0" w:color="auto"/>
        <w:bottom w:val="none" w:sz="0" w:space="0" w:color="auto"/>
        <w:right w:val="none" w:sz="0" w:space="0" w:color="auto"/>
      </w:divBdr>
    </w:div>
    <w:div w:id="1009143687">
      <w:bodyDiv w:val="1"/>
      <w:marLeft w:val="0"/>
      <w:marRight w:val="0"/>
      <w:marTop w:val="0"/>
      <w:marBottom w:val="0"/>
      <w:divBdr>
        <w:top w:val="none" w:sz="0" w:space="0" w:color="auto"/>
        <w:left w:val="none" w:sz="0" w:space="0" w:color="auto"/>
        <w:bottom w:val="none" w:sz="0" w:space="0" w:color="auto"/>
        <w:right w:val="none" w:sz="0" w:space="0" w:color="auto"/>
      </w:divBdr>
    </w:div>
    <w:div w:id="1009451244">
      <w:bodyDiv w:val="1"/>
      <w:marLeft w:val="0"/>
      <w:marRight w:val="0"/>
      <w:marTop w:val="0"/>
      <w:marBottom w:val="0"/>
      <w:divBdr>
        <w:top w:val="none" w:sz="0" w:space="0" w:color="auto"/>
        <w:left w:val="none" w:sz="0" w:space="0" w:color="auto"/>
        <w:bottom w:val="none" w:sz="0" w:space="0" w:color="auto"/>
        <w:right w:val="none" w:sz="0" w:space="0" w:color="auto"/>
      </w:divBdr>
    </w:div>
    <w:div w:id="1009676512">
      <w:bodyDiv w:val="1"/>
      <w:marLeft w:val="0"/>
      <w:marRight w:val="0"/>
      <w:marTop w:val="0"/>
      <w:marBottom w:val="0"/>
      <w:divBdr>
        <w:top w:val="none" w:sz="0" w:space="0" w:color="auto"/>
        <w:left w:val="none" w:sz="0" w:space="0" w:color="auto"/>
        <w:bottom w:val="none" w:sz="0" w:space="0" w:color="auto"/>
        <w:right w:val="none" w:sz="0" w:space="0" w:color="auto"/>
      </w:divBdr>
    </w:div>
    <w:div w:id="1009714925">
      <w:bodyDiv w:val="1"/>
      <w:marLeft w:val="0"/>
      <w:marRight w:val="0"/>
      <w:marTop w:val="0"/>
      <w:marBottom w:val="0"/>
      <w:divBdr>
        <w:top w:val="none" w:sz="0" w:space="0" w:color="auto"/>
        <w:left w:val="none" w:sz="0" w:space="0" w:color="auto"/>
        <w:bottom w:val="none" w:sz="0" w:space="0" w:color="auto"/>
        <w:right w:val="none" w:sz="0" w:space="0" w:color="auto"/>
      </w:divBdr>
    </w:div>
    <w:div w:id="1009799110">
      <w:bodyDiv w:val="1"/>
      <w:marLeft w:val="0"/>
      <w:marRight w:val="0"/>
      <w:marTop w:val="0"/>
      <w:marBottom w:val="0"/>
      <w:divBdr>
        <w:top w:val="none" w:sz="0" w:space="0" w:color="auto"/>
        <w:left w:val="none" w:sz="0" w:space="0" w:color="auto"/>
        <w:bottom w:val="none" w:sz="0" w:space="0" w:color="auto"/>
        <w:right w:val="none" w:sz="0" w:space="0" w:color="auto"/>
      </w:divBdr>
    </w:div>
    <w:div w:id="1010138848">
      <w:bodyDiv w:val="1"/>
      <w:marLeft w:val="0"/>
      <w:marRight w:val="0"/>
      <w:marTop w:val="0"/>
      <w:marBottom w:val="0"/>
      <w:divBdr>
        <w:top w:val="none" w:sz="0" w:space="0" w:color="auto"/>
        <w:left w:val="none" w:sz="0" w:space="0" w:color="auto"/>
        <w:bottom w:val="none" w:sz="0" w:space="0" w:color="auto"/>
        <w:right w:val="none" w:sz="0" w:space="0" w:color="auto"/>
      </w:divBdr>
    </w:div>
    <w:div w:id="1010181977">
      <w:bodyDiv w:val="1"/>
      <w:marLeft w:val="0"/>
      <w:marRight w:val="0"/>
      <w:marTop w:val="0"/>
      <w:marBottom w:val="0"/>
      <w:divBdr>
        <w:top w:val="none" w:sz="0" w:space="0" w:color="auto"/>
        <w:left w:val="none" w:sz="0" w:space="0" w:color="auto"/>
        <w:bottom w:val="none" w:sz="0" w:space="0" w:color="auto"/>
        <w:right w:val="none" w:sz="0" w:space="0" w:color="auto"/>
      </w:divBdr>
    </w:div>
    <w:div w:id="1010335715">
      <w:bodyDiv w:val="1"/>
      <w:marLeft w:val="0"/>
      <w:marRight w:val="0"/>
      <w:marTop w:val="0"/>
      <w:marBottom w:val="0"/>
      <w:divBdr>
        <w:top w:val="none" w:sz="0" w:space="0" w:color="auto"/>
        <w:left w:val="none" w:sz="0" w:space="0" w:color="auto"/>
        <w:bottom w:val="none" w:sz="0" w:space="0" w:color="auto"/>
        <w:right w:val="none" w:sz="0" w:space="0" w:color="auto"/>
      </w:divBdr>
    </w:div>
    <w:div w:id="1010374097">
      <w:bodyDiv w:val="1"/>
      <w:marLeft w:val="0"/>
      <w:marRight w:val="0"/>
      <w:marTop w:val="0"/>
      <w:marBottom w:val="0"/>
      <w:divBdr>
        <w:top w:val="none" w:sz="0" w:space="0" w:color="auto"/>
        <w:left w:val="none" w:sz="0" w:space="0" w:color="auto"/>
        <w:bottom w:val="none" w:sz="0" w:space="0" w:color="auto"/>
        <w:right w:val="none" w:sz="0" w:space="0" w:color="auto"/>
      </w:divBdr>
    </w:div>
    <w:div w:id="1010450711">
      <w:bodyDiv w:val="1"/>
      <w:marLeft w:val="0"/>
      <w:marRight w:val="0"/>
      <w:marTop w:val="0"/>
      <w:marBottom w:val="0"/>
      <w:divBdr>
        <w:top w:val="none" w:sz="0" w:space="0" w:color="auto"/>
        <w:left w:val="none" w:sz="0" w:space="0" w:color="auto"/>
        <w:bottom w:val="none" w:sz="0" w:space="0" w:color="auto"/>
        <w:right w:val="none" w:sz="0" w:space="0" w:color="auto"/>
      </w:divBdr>
    </w:div>
    <w:div w:id="1010452041">
      <w:bodyDiv w:val="1"/>
      <w:marLeft w:val="0"/>
      <w:marRight w:val="0"/>
      <w:marTop w:val="0"/>
      <w:marBottom w:val="0"/>
      <w:divBdr>
        <w:top w:val="none" w:sz="0" w:space="0" w:color="auto"/>
        <w:left w:val="none" w:sz="0" w:space="0" w:color="auto"/>
        <w:bottom w:val="none" w:sz="0" w:space="0" w:color="auto"/>
        <w:right w:val="none" w:sz="0" w:space="0" w:color="auto"/>
      </w:divBdr>
    </w:div>
    <w:div w:id="1010597862">
      <w:bodyDiv w:val="1"/>
      <w:marLeft w:val="0"/>
      <w:marRight w:val="0"/>
      <w:marTop w:val="0"/>
      <w:marBottom w:val="0"/>
      <w:divBdr>
        <w:top w:val="none" w:sz="0" w:space="0" w:color="auto"/>
        <w:left w:val="none" w:sz="0" w:space="0" w:color="auto"/>
        <w:bottom w:val="none" w:sz="0" w:space="0" w:color="auto"/>
        <w:right w:val="none" w:sz="0" w:space="0" w:color="auto"/>
      </w:divBdr>
    </w:div>
    <w:div w:id="1010646570">
      <w:bodyDiv w:val="1"/>
      <w:marLeft w:val="0"/>
      <w:marRight w:val="0"/>
      <w:marTop w:val="0"/>
      <w:marBottom w:val="0"/>
      <w:divBdr>
        <w:top w:val="none" w:sz="0" w:space="0" w:color="auto"/>
        <w:left w:val="none" w:sz="0" w:space="0" w:color="auto"/>
        <w:bottom w:val="none" w:sz="0" w:space="0" w:color="auto"/>
        <w:right w:val="none" w:sz="0" w:space="0" w:color="auto"/>
      </w:divBdr>
    </w:div>
    <w:div w:id="1010722043">
      <w:bodyDiv w:val="1"/>
      <w:marLeft w:val="0"/>
      <w:marRight w:val="0"/>
      <w:marTop w:val="0"/>
      <w:marBottom w:val="0"/>
      <w:divBdr>
        <w:top w:val="none" w:sz="0" w:space="0" w:color="auto"/>
        <w:left w:val="none" w:sz="0" w:space="0" w:color="auto"/>
        <w:bottom w:val="none" w:sz="0" w:space="0" w:color="auto"/>
        <w:right w:val="none" w:sz="0" w:space="0" w:color="auto"/>
      </w:divBdr>
    </w:div>
    <w:div w:id="1010762739">
      <w:bodyDiv w:val="1"/>
      <w:marLeft w:val="0"/>
      <w:marRight w:val="0"/>
      <w:marTop w:val="0"/>
      <w:marBottom w:val="0"/>
      <w:divBdr>
        <w:top w:val="none" w:sz="0" w:space="0" w:color="auto"/>
        <w:left w:val="none" w:sz="0" w:space="0" w:color="auto"/>
        <w:bottom w:val="none" w:sz="0" w:space="0" w:color="auto"/>
        <w:right w:val="none" w:sz="0" w:space="0" w:color="auto"/>
      </w:divBdr>
    </w:div>
    <w:div w:id="1010793616">
      <w:bodyDiv w:val="1"/>
      <w:marLeft w:val="0"/>
      <w:marRight w:val="0"/>
      <w:marTop w:val="0"/>
      <w:marBottom w:val="0"/>
      <w:divBdr>
        <w:top w:val="none" w:sz="0" w:space="0" w:color="auto"/>
        <w:left w:val="none" w:sz="0" w:space="0" w:color="auto"/>
        <w:bottom w:val="none" w:sz="0" w:space="0" w:color="auto"/>
        <w:right w:val="none" w:sz="0" w:space="0" w:color="auto"/>
      </w:divBdr>
    </w:div>
    <w:div w:id="1011102592">
      <w:bodyDiv w:val="1"/>
      <w:marLeft w:val="0"/>
      <w:marRight w:val="0"/>
      <w:marTop w:val="0"/>
      <w:marBottom w:val="0"/>
      <w:divBdr>
        <w:top w:val="none" w:sz="0" w:space="0" w:color="auto"/>
        <w:left w:val="none" w:sz="0" w:space="0" w:color="auto"/>
        <w:bottom w:val="none" w:sz="0" w:space="0" w:color="auto"/>
        <w:right w:val="none" w:sz="0" w:space="0" w:color="auto"/>
      </w:divBdr>
    </w:div>
    <w:div w:id="1011104179">
      <w:bodyDiv w:val="1"/>
      <w:marLeft w:val="0"/>
      <w:marRight w:val="0"/>
      <w:marTop w:val="0"/>
      <w:marBottom w:val="0"/>
      <w:divBdr>
        <w:top w:val="none" w:sz="0" w:space="0" w:color="auto"/>
        <w:left w:val="none" w:sz="0" w:space="0" w:color="auto"/>
        <w:bottom w:val="none" w:sz="0" w:space="0" w:color="auto"/>
        <w:right w:val="none" w:sz="0" w:space="0" w:color="auto"/>
      </w:divBdr>
    </w:div>
    <w:div w:id="1011181151">
      <w:bodyDiv w:val="1"/>
      <w:marLeft w:val="0"/>
      <w:marRight w:val="0"/>
      <w:marTop w:val="0"/>
      <w:marBottom w:val="0"/>
      <w:divBdr>
        <w:top w:val="none" w:sz="0" w:space="0" w:color="auto"/>
        <w:left w:val="none" w:sz="0" w:space="0" w:color="auto"/>
        <w:bottom w:val="none" w:sz="0" w:space="0" w:color="auto"/>
        <w:right w:val="none" w:sz="0" w:space="0" w:color="auto"/>
      </w:divBdr>
    </w:div>
    <w:div w:id="1011375036">
      <w:bodyDiv w:val="1"/>
      <w:marLeft w:val="0"/>
      <w:marRight w:val="0"/>
      <w:marTop w:val="0"/>
      <w:marBottom w:val="0"/>
      <w:divBdr>
        <w:top w:val="none" w:sz="0" w:space="0" w:color="auto"/>
        <w:left w:val="none" w:sz="0" w:space="0" w:color="auto"/>
        <w:bottom w:val="none" w:sz="0" w:space="0" w:color="auto"/>
        <w:right w:val="none" w:sz="0" w:space="0" w:color="auto"/>
      </w:divBdr>
    </w:div>
    <w:div w:id="1011490008">
      <w:bodyDiv w:val="1"/>
      <w:marLeft w:val="0"/>
      <w:marRight w:val="0"/>
      <w:marTop w:val="0"/>
      <w:marBottom w:val="0"/>
      <w:divBdr>
        <w:top w:val="none" w:sz="0" w:space="0" w:color="auto"/>
        <w:left w:val="none" w:sz="0" w:space="0" w:color="auto"/>
        <w:bottom w:val="none" w:sz="0" w:space="0" w:color="auto"/>
        <w:right w:val="none" w:sz="0" w:space="0" w:color="auto"/>
      </w:divBdr>
    </w:div>
    <w:div w:id="1011494619">
      <w:bodyDiv w:val="1"/>
      <w:marLeft w:val="0"/>
      <w:marRight w:val="0"/>
      <w:marTop w:val="0"/>
      <w:marBottom w:val="0"/>
      <w:divBdr>
        <w:top w:val="none" w:sz="0" w:space="0" w:color="auto"/>
        <w:left w:val="none" w:sz="0" w:space="0" w:color="auto"/>
        <w:bottom w:val="none" w:sz="0" w:space="0" w:color="auto"/>
        <w:right w:val="none" w:sz="0" w:space="0" w:color="auto"/>
      </w:divBdr>
    </w:div>
    <w:div w:id="1011878588">
      <w:bodyDiv w:val="1"/>
      <w:marLeft w:val="0"/>
      <w:marRight w:val="0"/>
      <w:marTop w:val="0"/>
      <w:marBottom w:val="0"/>
      <w:divBdr>
        <w:top w:val="none" w:sz="0" w:space="0" w:color="auto"/>
        <w:left w:val="none" w:sz="0" w:space="0" w:color="auto"/>
        <w:bottom w:val="none" w:sz="0" w:space="0" w:color="auto"/>
        <w:right w:val="none" w:sz="0" w:space="0" w:color="auto"/>
      </w:divBdr>
    </w:div>
    <w:div w:id="1011951832">
      <w:bodyDiv w:val="1"/>
      <w:marLeft w:val="0"/>
      <w:marRight w:val="0"/>
      <w:marTop w:val="0"/>
      <w:marBottom w:val="0"/>
      <w:divBdr>
        <w:top w:val="none" w:sz="0" w:space="0" w:color="auto"/>
        <w:left w:val="none" w:sz="0" w:space="0" w:color="auto"/>
        <w:bottom w:val="none" w:sz="0" w:space="0" w:color="auto"/>
        <w:right w:val="none" w:sz="0" w:space="0" w:color="auto"/>
      </w:divBdr>
    </w:div>
    <w:div w:id="1012298137">
      <w:bodyDiv w:val="1"/>
      <w:marLeft w:val="0"/>
      <w:marRight w:val="0"/>
      <w:marTop w:val="0"/>
      <w:marBottom w:val="0"/>
      <w:divBdr>
        <w:top w:val="none" w:sz="0" w:space="0" w:color="auto"/>
        <w:left w:val="none" w:sz="0" w:space="0" w:color="auto"/>
        <w:bottom w:val="none" w:sz="0" w:space="0" w:color="auto"/>
        <w:right w:val="none" w:sz="0" w:space="0" w:color="auto"/>
      </w:divBdr>
    </w:div>
    <w:div w:id="1012495195">
      <w:bodyDiv w:val="1"/>
      <w:marLeft w:val="0"/>
      <w:marRight w:val="0"/>
      <w:marTop w:val="0"/>
      <w:marBottom w:val="0"/>
      <w:divBdr>
        <w:top w:val="none" w:sz="0" w:space="0" w:color="auto"/>
        <w:left w:val="none" w:sz="0" w:space="0" w:color="auto"/>
        <w:bottom w:val="none" w:sz="0" w:space="0" w:color="auto"/>
        <w:right w:val="none" w:sz="0" w:space="0" w:color="auto"/>
      </w:divBdr>
    </w:div>
    <w:div w:id="1012535553">
      <w:bodyDiv w:val="1"/>
      <w:marLeft w:val="0"/>
      <w:marRight w:val="0"/>
      <w:marTop w:val="0"/>
      <w:marBottom w:val="0"/>
      <w:divBdr>
        <w:top w:val="none" w:sz="0" w:space="0" w:color="auto"/>
        <w:left w:val="none" w:sz="0" w:space="0" w:color="auto"/>
        <w:bottom w:val="none" w:sz="0" w:space="0" w:color="auto"/>
        <w:right w:val="none" w:sz="0" w:space="0" w:color="auto"/>
      </w:divBdr>
    </w:div>
    <w:div w:id="1012757935">
      <w:bodyDiv w:val="1"/>
      <w:marLeft w:val="0"/>
      <w:marRight w:val="0"/>
      <w:marTop w:val="0"/>
      <w:marBottom w:val="0"/>
      <w:divBdr>
        <w:top w:val="none" w:sz="0" w:space="0" w:color="auto"/>
        <w:left w:val="none" w:sz="0" w:space="0" w:color="auto"/>
        <w:bottom w:val="none" w:sz="0" w:space="0" w:color="auto"/>
        <w:right w:val="none" w:sz="0" w:space="0" w:color="auto"/>
      </w:divBdr>
    </w:div>
    <w:div w:id="1012876423">
      <w:bodyDiv w:val="1"/>
      <w:marLeft w:val="0"/>
      <w:marRight w:val="0"/>
      <w:marTop w:val="0"/>
      <w:marBottom w:val="0"/>
      <w:divBdr>
        <w:top w:val="none" w:sz="0" w:space="0" w:color="auto"/>
        <w:left w:val="none" w:sz="0" w:space="0" w:color="auto"/>
        <w:bottom w:val="none" w:sz="0" w:space="0" w:color="auto"/>
        <w:right w:val="none" w:sz="0" w:space="0" w:color="auto"/>
      </w:divBdr>
    </w:div>
    <w:div w:id="1012879569">
      <w:bodyDiv w:val="1"/>
      <w:marLeft w:val="0"/>
      <w:marRight w:val="0"/>
      <w:marTop w:val="0"/>
      <w:marBottom w:val="0"/>
      <w:divBdr>
        <w:top w:val="none" w:sz="0" w:space="0" w:color="auto"/>
        <w:left w:val="none" w:sz="0" w:space="0" w:color="auto"/>
        <w:bottom w:val="none" w:sz="0" w:space="0" w:color="auto"/>
        <w:right w:val="none" w:sz="0" w:space="0" w:color="auto"/>
      </w:divBdr>
    </w:div>
    <w:div w:id="1012949503">
      <w:bodyDiv w:val="1"/>
      <w:marLeft w:val="0"/>
      <w:marRight w:val="0"/>
      <w:marTop w:val="0"/>
      <w:marBottom w:val="0"/>
      <w:divBdr>
        <w:top w:val="none" w:sz="0" w:space="0" w:color="auto"/>
        <w:left w:val="none" w:sz="0" w:space="0" w:color="auto"/>
        <w:bottom w:val="none" w:sz="0" w:space="0" w:color="auto"/>
        <w:right w:val="none" w:sz="0" w:space="0" w:color="auto"/>
      </w:divBdr>
    </w:div>
    <w:div w:id="1012955522">
      <w:bodyDiv w:val="1"/>
      <w:marLeft w:val="0"/>
      <w:marRight w:val="0"/>
      <w:marTop w:val="0"/>
      <w:marBottom w:val="0"/>
      <w:divBdr>
        <w:top w:val="none" w:sz="0" w:space="0" w:color="auto"/>
        <w:left w:val="none" w:sz="0" w:space="0" w:color="auto"/>
        <w:bottom w:val="none" w:sz="0" w:space="0" w:color="auto"/>
        <w:right w:val="none" w:sz="0" w:space="0" w:color="auto"/>
      </w:divBdr>
    </w:div>
    <w:div w:id="1013073101">
      <w:bodyDiv w:val="1"/>
      <w:marLeft w:val="0"/>
      <w:marRight w:val="0"/>
      <w:marTop w:val="0"/>
      <w:marBottom w:val="0"/>
      <w:divBdr>
        <w:top w:val="none" w:sz="0" w:space="0" w:color="auto"/>
        <w:left w:val="none" w:sz="0" w:space="0" w:color="auto"/>
        <w:bottom w:val="none" w:sz="0" w:space="0" w:color="auto"/>
        <w:right w:val="none" w:sz="0" w:space="0" w:color="auto"/>
      </w:divBdr>
    </w:div>
    <w:div w:id="1013336774">
      <w:bodyDiv w:val="1"/>
      <w:marLeft w:val="0"/>
      <w:marRight w:val="0"/>
      <w:marTop w:val="0"/>
      <w:marBottom w:val="0"/>
      <w:divBdr>
        <w:top w:val="none" w:sz="0" w:space="0" w:color="auto"/>
        <w:left w:val="none" w:sz="0" w:space="0" w:color="auto"/>
        <w:bottom w:val="none" w:sz="0" w:space="0" w:color="auto"/>
        <w:right w:val="none" w:sz="0" w:space="0" w:color="auto"/>
      </w:divBdr>
    </w:div>
    <w:div w:id="1013412328">
      <w:bodyDiv w:val="1"/>
      <w:marLeft w:val="0"/>
      <w:marRight w:val="0"/>
      <w:marTop w:val="0"/>
      <w:marBottom w:val="0"/>
      <w:divBdr>
        <w:top w:val="none" w:sz="0" w:space="0" w:color="auto"/>
        <w:left w:val="none" w:sz="0" w:space="0" w:color="auto"/>
        <w:bottom w:val="none" w:sz="0" w:space="0" w:color="auto"/>
        <w:right w:val="none" w:sz="0" w:space="0" w:color="auto"/>
      </w:divBdr>
    </w:div>
    <w:div w:id="1013413965">
      <w:bodyDiv w:val="1"/>
      <w:marLeft w:val="0"/>
      <w:marRight w:val="0"/>
      <w:marTop w:val="0"/>
      <w:marBottom w:val="0"/>
      <w:divBdr>
        <w:top w:val="none" w:sz="0" w:space="0" w:color="auto"/>
        <w:left w:val="none" w:sz="0" w:space="0" w:color="auto"/>
        <w:bottom w:val="none" w:sz="0" w:space="0" w:color="auto"/>
        <w:right w:val="none" w:sz="0" w:space="0" w:color="auto"/>
      </w:divBdr>
    </w:div>
    <w:div w:id="1013414496">
      <w:bodyDiv w:val="1"/>
      <w:marLeft w:val="0"/>
      <w:marRight w:val="0"/>
      <w:marTop w:val="0"/>
      <w:marBottom w:val="0"/>
      <w:divBdr>
        <w:top w:val="none" w:sz="0" w:space="0" w:color="auto"/>
        <w:left w:val="none" w:sz="0" w:space="0" w:color="auto"/>
        <w:bottom w:val="none" w:sz="0" w:space="0" w:color="auto"/>
        <w:right w:val="none" w:sz="0" w:space="0" w:color="auto"/>
      </w:divBdr>
    </w:div>
    <w:div w:id="1013724532">
      <w:bodyDiv w:val="1"/>
      <w:marLeft w:val="0"/>
      <w:marRight w:val="0"/>
      <w:marTop w:val="0"/>
      <w:marBottom w:val="0"/>
      <w:divBdr>
        <w:top w:val="none" w:sz="0" w:space="0" w:color="auto"/>
        <w:left w:val="none" w:sz="0" w:space="0" w:color="auto"/>
        <w:bottom w:val="none" w:sz="0" w:space="0" w:color="auto"/>
        <w:right w:val="none" w:sz="0" w:space="0" w:color="auto"/>
      </w:divBdr>
    </w:div>
    <w:div w:id="1013726806">
      <w:bodyDiv w:val="1"/>
      <w:marLeft w:val="0"/>
      <w:marRight w:val="0"/>
      <w:marTop w:val="0"/>
      <w:marBottom w:val="0"/>
      <w:divBdr>
        <w:top w:val="none" w:sz="0" w:space="0" w:color="auto"/>
        <w:left w:val="none" w:sz="0" w:space="0" w:color="auto"/>
        <w:bottom w:val="none" w:sz="0" w:space="0" w:color="auto"/>
        <w:right w:val="none" w:sz="0" w:space="0" w:color="auto"/>
      </w:divBdr>
    </w:div>
    <w:div w:id="1014066310">
      <w:bodyDiv w:val="1"/>
      <w:marLeft w:val="0"/>
      <w:marRight w:val="0"/>
      <w:marTop w:val="0"/>
      <w:marBottom w:val="0"/>
      <w:divBdr>
        <w:top w:val="none" w:sz="0" w:space="0" w:color="auto"/>
        <w:left w:val="none" w:sz="0" w:space="0" w:color="auto"/>
        <w:bottom w:val="none" w:sz="0" w:space="0" w:color="auto"/>
        <w:right w:val="none" w:sz="0" w:space="0" w:color="auto"/>
      </w:divBdr>
    </w:div>
    <w:div w:id="1014115666">
      <w:bodyDiv w:val="1"/>
      <w:marLeft w:val="0"/>
      <w:marRight w:val="0"/>
      <w:marTop w:val="0"/>
      <w:marBottom w:val="0"/>
      <w:divBdr>
        <w:top w:val="none" w:sz="0" w:space="0" w:color="auto"/>
        <w:left w:val="none" w:sz="0" w:space="0" w:color="auto"/>
        <w:bottom w:val="none" w:sz="0" w:space="0" w:color="auto"/>
        <w:right w:val="none" w:sz="0" w:space="0" w:color="auto"/>
      </w:divBdr>
    </w:div>
    <w:div w:id="1014260532">
      <w:bodyDiv w:val="1"/>
      <w:marLeft w:val="0"/>
      <w:marRight w:val="0"/>
      <w:marTop w:val="0"/>
      <w:marBottom w:val="0"/>
      <w:divBdr>
        <w:top w:val="none" w:sz="0" w:space="0" w:color="auto"/>
        <w:left w:val="none" w:sz="0" w:space="0" w:color="auto"/>
        <w:bottom w:val="none" w:sz="0" w:space="0" w:color="auto"/>
        <w:right w:val="none" w:sz="0" w:space="0" w:color="auto"/>
      </w:divBdr>
    </w:div>
    <w:div w:id="1014382899">
      <w:bodyDiv w:val="1"/>
      <w:marLeft w:val="0"/>
      <w:marRight w:val="0"/>
      <w:marTop w:val="0"/>
      <w:marBottom w:val="0"/>
      <w:divBdr>
        <w:top w:val="none" w:sz="0" w:space="0" w:color="auto"/>
        <w:left w:val="none" w:sz="0" w:space="0" w:color="auto"/>
        <w:bottom w:val="none" w:sz="0" w:space="0" w:color="auto"/>
        <w:right w:val="none" w:sz="0" w:space="0" w:color="auto"/>
      </w:divBdr>
    </w:div>
    <w:div w:id="1014461247">
      <w:bodyDiv w:val="1"/>
      <w:marLeft w:val="0"/>
      <w:marRight w:val="0"/>
      <w:marTop w:val="0"/>
      <w:marBottom w:val="0"/>
      <w:divBdr>
        <w:top w:val="none" w:sz="0" w:space="0" w:color="auto"/>
        <w:left w:val="none" w:sz="0" w:space="0" w:color="auto"/>
        <w:bottom w:val="none" w:sz="0" w:space="0" w:color="auto"/>
        <w:right w:val="none" w:sz="0" w:space="0" w:color="auto"/>
      </w:divBdr>
    </w:div>
    <w:div w:id="1014723756">
      <w:bodyDiv w:val="1"/>
      <w:marLeft w:val="0"/>
      <w:marRight w:val="0"/>
      <w:marTop w:val="0"/>
      <w:marBottom w:val="0"/>
      <w:divBdr>
        <w:top w:val="none" w:sz="0" w:space="0" w:color="auto"/>
        <w:left w:val="none" w:sz="0" w:space="0" w:color="auto"/>
        <w:bottom w:val="none" w:sz="0" w:space="0" w:color="auto"/>
        <w:right w:val="none" w:sz="0" w:space="0" w:color="auto"/>
      </w:divBdr>
    </w:div>
    <w:div w:id="1014842439">
      <w:bodyDiv w:val="1"/>
      <w:marLeft w:val="0"/>
      <w:marRight w:val="0"/>
      <w:marTop w:val="0"/>
      <w:marBottom w:val="0"/>
      <w:divBdr>
        <w:top w:val="none" w:sz="0" w:space="0" w:color="auto"/>
        <w:left w:val="none" w:sz="0" w:space="0" w:color="auto"/>
        <w:bottom w:val="none" w:sz="0" w:space="0" w:color="auto"/>
        <w:right w:val="none" w:sz="0" w:space="0" w:color="auto"/>
      </w:divBdr>
    </w:div>
    <w:div w:id="1014960245">
      <w:bodyDiv w:val="1"/>
      <w:marLeft w:val="0"/>
      <w:marRight w:val="0"/>
      <w:marTop w:val="0"/>
      <w:marBottom w:val="0"/>
      <w:divBdr>
        <w:top w:val="none" w:sz="0" w:space="0" w:color="auto"/>
        <w:left w:val="none" w:sz="0" w:space="0" w:color="auto"/>
        <w:bottom w:val="none" w:sz="0" w:space="0" w:color="auto"/>
        <w:right w:val="none" w:sz="0" w:space="0" w:color="auto"/>
      </w:divBdr>
    </w:div>
    <w:div w:id="1015033144">
      <w:bodyDiv w:val="1"/>
      <w:marLeft w:val="0"/>
      <w:marRight w:val="0"/>
      <w:marTop w:val="0"/>
      <w:marBottom w:val="0"/>
      <w:divBdr>
        <w:top w:val="none" w:sz="0" w:space="0" w:color="auto"/>
        <w:left w:val="none" w:sz="0" w:space="0" w:color="auto"/>
        <w:bottom w:val="none" w:sz="0" w:space="0" w:color="auto"/>
        <w:right w:val="none" w:sz="0" w:space="0" w:color="auto"/>
      </w:divBdr>
    </w:div>
    <w:div w:id="1015034370">
      <w:bodyDiv w:val="1"/>
      <w:marLeft w:val="0"/>
      <w:marRight w:val="0"/>
      <w:marTop w:val="0"/>
      <w:marBottom w:val="0"/>
      <w:divBdr>
        <w:top w:val="none" w:sz="0" w:space="0" w:color="auto"/>
        <w:left w:val="none" w:sz="0" w:space="0" w:color="auto"/>
        <w:bottom w:val="none" w:sz="0" w:space="0" w:color="auto"/>
        <w:right w:val="none" w:sz="0" w:space="0" w:color="auto"/>
      </w:divBdr>
    </w:div>
    <w:div w:id="1015107705">
      <w:bodyDiv w:val="1"/>
      <w:marLeft w:val="0"/>
      <w:marRight w:val="0"/>
      <w:marTop w:val="0"/>
      <w:marBottom w:val="0"/>
      <w:divBdr>
        <w:top w:val="none" w:sz="0" w:space="0" w:color="auto"/>
        <w:left w:val="none" w:sz="0" w:space="0" w:color="auto"/>
        <w:bottom w:val="none" w:sz="0" w:space="0" w:color="auto"/>
        <w:right w:val="none" w:sz="0" w:space="0" w:color="auto"/>
      </w:divBdr>
    </w:div>
    <w:div w:id="1015158011">
      <w:bodyDiv w:val="1"/>
      <w:marLeft w:val="0"/>
      <w:marRight w:val="0"/>
      <w:marTop w:val="0"/>
      <w:marBottom w:val="0"/>
      <w:divBdr>
        <w:top w:val="none" w:sz="0" w:space="0" w:color="auto"/>
        <w:left w:val="none" w:sz="0" w:space="0" w:color="auto"/>
        <w:bottom w:val="none" w:sz="0" w:space="0" w:color="auto"/>
        <w:right w:val="none" w:sz="0" w:space="0" w:color="auto"/>
      </w:divBdr>
    </w:div>
    <w:div w:id="1015184488">
      <w:bodyDiv w:val="1"/>
      <w:marLeft w:val="0"/>
      <w:marRight w:val="0"/>
      <w:marTop w:val="0"/>
      <w:marBottom w:val="0"/>
      <w:divBdr>
        <w:top w:val="none" w:sz="0" w:space="0" w:color="auto"/>
        <w:left w:val="none" w:sz="0" w:space="0" w:color="auto"/>
        <w:bottom w:val="none" w:sz="0" w:space="0" w:color="auto"/>
        <w:right w:val="none" w:sz="0" w:space="0" w:color="auto"/>
      </w:divBdr>
    </w:div>
    <w:div w:id="1015225370">
      <w:bodyDiv w:val="1"/>
      <w:marLeft w:val="0"/>
      <w:marRight w:val="0"/>
      <w:marTop w:val="0"/>
      <w:marBottom w:val="0"/>
      <w:divBdr>
        <w:top w:val="none" w:sz="0" w:space="0" w:color="auto"/>
        <w:left w:val="none" w:sz="0" w:space="0" w:color="auto"/>
        <w:bottom w:val="none" w:sz="0" w:space="0" w:color="auto"/>
        <w:right w:val="none" w:sz="0" w:space="0" w:color="auto"/>
      </w:divBdr>
    </w:div>
    <w:div w:id="1015377226">
      <w:bodyDiv w:val="1"/>
      <w:marLeft w:val="0"/>
      <w:marRight w:val="0"/>
      <w:marTop w:val="0"/>
      <w:marBottom w:val="0"/>
      <w:divBdr>
        <w:top w:val="none" w:sz="0" w:space="0" w:color="auto"/>
        <w:left w:val="none" w:sz="0" w:space="0" w:color="auto"/>
        <w:bottom w:val="none" w:sz="0" w:space="0" w:color="auto"/>
        <w:right w:val="none" w:sz="0" w:space="0" w:color="auto"/>
      </w:divBdr>
    </w:div>
    <w:div w:id="1015419949">
      <w:bodyDiv w:val="1"/>
      <w:marLeft w:val="0"/>
      <w:marRight w:val="0"/>
      <w:marTop w:val="0"/>
      <w:marBottom w:val="0"/>
      <w:divBdr>
        <w:top w:val="none" w:sz="0" w:space="0" w:color="auto"/>
        <w:left w:val="none" w:sz="0" w:space="0" w:color="auto"/>
        <w:bottom w:val="none" w:sz="0" w:space="0" w:color="auto"/>
        <w:right w:val="none" w:sz="0" w:space="0" w:color="auto"/>
      </w:divBdr>
    </w:div>
    <w:div w:id="1015546090">
      <w:bodyDiv w:val="1"/>
      <w:marLeft w:val="0"/>
      <w:marRight w:val="0"/>
      <w:marTop w:val="0"/>
      <w:marBottom w:val="0"/>
      <w:divBdr>
        <w:top w:val="none" w:sz="0" w:space="0" w:color="auto"/>
        <w:left w:val="none" w:sz="0" w:space="0" w:color="auto"/>
        <w:bottom w:val="none" w:sz="0" w:space="0" w:color="auto"/>
        <w:right w:val="none" w:sz="0" w:space="0" w:color="auto"/>
      </w:divBdr>
    </w:div>
    <w:div w:id="1015615701">
      <w:bodyDiv w:val="1"/>
      <w:marLeft w:val="0"/>
      <w:marRight w:val="0"/>
      <w:marTop w:val="0"/>
      <w:marBottom w:val="0"/>
      <w:divBdr>
        <w:top w:val="none" w:sz="0" w:space="0" w:color="auto"/>
        <w:left w:val="none" w:sz="0" w:space="0" w:color="auto"/>
        <w:bottom w:val="none" w:sz="0" w:space="0" w:color="auto"/>
        <w:right w:val="none" w:sz="0" w:space="0" w:color="auto"/>
      </w:divBdr>
    </w:div>
    <w:div w:id="1015889295">
      <w:bodyDiv w:val="1"/>
      <w:marLeft w:val="0"/>
      <w:marRight w:val="0"/>
      <w:marTop w:val="0"/>
      <w:marBottom w:val="0"/>
      <w:divBdr>
        <w:top w:val="none" w:sz="0" w:space="0" w:color="auto"/>
        <w:left w:val="none" w:sz="0" w:space="0" w:color="auto"/>
        <w:bottom w:val="none" w:sz="0" w:space="0" w:color="auto"/>
        <w:right w:val="none" w:sz="0" w:space="0" w:color="auto"/>
      </w:divBdr>
    </w:div>
    <w:div w:id="1015961988">
      <w:bodyDiv w:val="1"/>
      <w:marLeft w:val="0"/>
      <w:marRight w:val="0"/>
      <w:marTop w:val="0"/>
      <w:marBottom w:val="0"/>
      <w:divBdr>
        <w:top w:val="none" w:sz="0" w:space="0" w:color="auto"/>
        <w:left w:val="none" w:sz="0" w:space="0" w:color="auto"/>
        <w:bottom w:val="none" w:sz="0" w:space="0" w:color="auto"/>
        <w:right w:val="none" w:sz="0" w:space="0" w:color="auto"/>
      </w:divBdr>
    </w:div>
    <w:div w:id="1015965006">
      <w:bodyDiv w:val="1"/>
      <w:marLeft w:val="0"/>
      <w:marRight w:val="0"/>
      <w:marTop w:val="0"/>
      <w:marBottom w:val="0"/>
      <w:divBdr>
        <w:top w:val="none" w:sz="0" w:space="0" w:color="auto"/>
        <w:left w:val="none" w:sz="0" w:space="0" w:color="auto"/>
        <w:bottom w:val="none" w:sz="0" w:space="0" w:color="auto"/>
        <w:right w:val="none" w:sz="0" w:space="0" w:color="auto"/>
      </w:divBdr>
    </w:div>
    <w:div w:id="1016691576">
      <w:bodyDiv w:val="1"/>
      <w:marLeft w:val="0"/>
      <w:marRight w:val="0"/>
      <w:marTop w:val="0"/>
      <w:marBottom w:val="0"/>
      <w:divBdr>
        <w:top w:val="none" w:sz="0" w:space="0" w:color="auto"/>
        <w:left w:val="none" w:sz="0" w:space="0" w:color="auto"/>
        <w:bottom w:val="none" w:sz="0" w:space="0" w:color="auto"/>
        <w:right w:val="none" w:sz="0" w:space="0" w:color="auto"/>
      </w:divBdr>
    </w:div>
    <w:div w:id="1016882459">
      <w:bodyDiv w:val="1"/>
      <w:marLeft w:val="0"/>
      <w:marRight w:val="0"/>
      <w:marTop w:val="0"/>
      <w:marBottom w:val="0"/>
      <w:divBdr>
        <w:top w:val="none" w:sz="0" w:space="0" w:color="auto"/>
        <w:left w:val="none" w:sz="0" w:space="0" w:color="auto"/>
        <w:bottom w:val="none" w:sz="0" w:space="0" w:color="auto"/>
        <w:right w:val="none" w:sz="0" w:space="0" w:color="auto"/>
      </w:divBdr>
    </w:div>
    <w:div w:id="1016884282">
      <w:bodyDiv w:val="1"/>
      <w:marLeft w:val="0"/>
      <w:marRight w:val="0"/>
      <w:marTop w:val="0"/>
      <w:marBottom w:val="0"/>
      <w:divBdr>
        <w:top w:val="none" w:sz="0" w:space="0" w:color="auto"/>
        <w:left w:val="none" w:sz="0" w:space="0" w:color="auto"/>
        <w:bottom w:val="none" w:sz="0" w:space="0" w:color="auto"/>
        <w:right w:val="none" w:sz="0" w:space="0" w:color="auto"/>
      </w:divBdr>
    </w:div>
    <w:div w:id="1016884816">
      <w:bodyDiv w:val="1"/>
      <w:marLeft w:val="0"/>
      <w:marRight w:val="0"/>
      <w:marTop w:val="0"/>
      <w:marBottom w:val="0"/>
      <w:divBdr>
        <w:top w:val="none" w:sz="0" w:space="0" w:color="auto"/>
        <w:left w:val="none" w:sz="0" w:space="0" w:color="auto"/>
        <w:bottom w:val="none" w:sz="0" w:space="0" w:color="auto"/>
        <w:right w:val="none" w:sz="0" w:space="0" w:color="auto"/>
      </w:divBdr>
    </w:div>
    <w:div w:id="1016927672">
      <w:bodyDiv w:val="1"/>
      <w:marLeft w:val="0"/>
      <w:marRight w:val="0"/>
      <w:marTop w:val="0"/>
      <w:marBottom w:val="0"/>
      <w:divBdr>
        <w:top w:val="none" w:sz="0" w:space="0" w:color="auto"/>
        <w:left w:val="none" w:sz="0" w:space="0" w:color="auto"/>
        <w:bottom w:val="none" w:sz="0" w:space="0" w:color="auto"/>
        <w:right w:val="none" w:sz="0" w:space="0" w:color="auto"/>
      </w:divBdr>
    </w:div>
    <w:div w:id="1017082108">
      <w:bodyDiv w:val="1"/>
      <w:marLeft w:val="0"/>
      <w:marRight w:val="0"/>
      <w:marTop w:val="0"/>
      <w:marBottom w:val="0"/>
      <w:divBdr>
        <w:top w:val="none" w:sz="0" w:space="0" w:color="auto"/>
        <w:left w:val="none" w:sz="0" w:space="0" w:color="auto"/>
        <w:bottom w:val="none" w:sz="0" w:space="0" w:color="auto"/>
        <w:right w:val="none" w:sz="0" w:space="0" w:color="auto"/>
      </w:divBdr>
    </w:div>
    <w:div w:id="1017082260">
      <w:bodyDiv w:val="1"/>
      <w:marLeft w:val="0"/>
      <w:marRight w:val="0"/>
      <w:marTop w:val="0"/>
      <w:marBottom w:val="0"/>
      <w:divBdr>
        <w:top w:val="none" w:sz="0" w:space="0" w:color="auto"/>
        <w:left w:val="none" w:sz="0" w:space="0" w:color="auto"/>
        <w:bottom w:val="none" w:sz="0" w:space="0" w:color="auto"/>
        <w:right w:val="none" w:sz="0" w:space="0" w:color="auto"/>
      </w:divBdr>
    </w:div>
    <w:div w:id="1017119332">
      <w:bodyDiv w:val="1"/>
      <w:marLeft w:val="0"/>
      <w:marRight w:val="0"/>
      <w:marTop w:val="0"/>
      <w:marBottom w:val="0"/>
      <w:divBdr>
        <w:top w:val="none" w:sz="0" w:space="0" w:color="auto"/>
        <w:left w:val="none" w:sz="0" w:space="0" w:color="auto"/>
        <w:bottom w:val="none" w:sz="0" w:space="0" w:color="auto"/>
        <w:right w:val="none" w:sz="0" w:space="0" w:color="auto"/>
      </w:divBdr>
    </w:div>
    <w:div w:id="1017267363">
      <w:bodyDiv w:val="1"/>
      <w:marLeft w:val="0"/>
      <w:marRight w:val="0"/>
      <w:marTop w:val="0"/>
      <w:marBottom w:val="0"/>
      <w:divBdr>
        <w:top w:val="none" w:sz="0" w:space="0" w:color="auto"/>
        <w:left w:val="none" w:sz="0" w:space="0" w:color="auto"/>
        <w:bottom w:val="none" w:sz="0" w:space="0" w:color="auto"/>
        <w:right w:val="none" w:sz="0" w:space="0" w:color="auto"/>
      </w:divBdr>
    </w:div>
    <w:div w:id="1017317772">
      <w:bodyDiv w:val="1"/>
      <w:marLeft w:val="0"/>
      <w:marRight w:val="0"/>
      <w:marTop w:val="0"/>
      <w:marBottom w:val="0"/>
      <w:divBdr>
        <w:top w:val="none" w:sz="0" w:space="0" w:color="auto"/>
        <w:left w:val="none" w:sz="0" w:space="0" w:color="auto"/>
        <w:bottom w:val="none" w:sz="0" w:space="0" w:color="auto"/>
        <w:right w:val="none" w:sz="0" w:space="0" w:color="auto"/>
      </w:divBdr>
    </w:div>
    <w:div w:id="1017465117">
      <w:bodyDiv w:val="1"/>
      <w:marLeft w:val="0"/>
      <w:marRight w:val="0"/>
      <w:marTop w:val="0"/>
      <w:marBottom w:val="0"/>
      <w:divBdr>
        <w:top w:val="none" w:sz="0" w:space="0" w:color="auto"/>
        <w:left w:val="none" w:sz="0" w:space="0" w:color="auto"/>
        <w:bottom w:val="none" w:sz="0" w:space="0" w:color="auto"/>
        <w:right w:val="none" w:sz="0" w:space="0" w:color="auto"/>
      </w:divBdr>
    </w:div>
    <w:div w:id="1017466844">
      <w:bodyDiv w:val="1"/>
      <w:marLeft w:val="0"/>
      <w:marRight w:val="0"/>
      <w:marTop w:val="0"/>
      <w:marBottom w:val="0"/>
      <w:divBdr>
        <w:top w:val="none" w:sz="0" w:space="0" w:color="auto"/>
        <w:left w:val="none" w:sz="0" w:space="0" w:color="auto"/>
        <w:bottom w:val="none" w:sz="0" w:space="0" w:color="auto"/>
        <w:right w:val="none" w:sz="0" w:space="0" w:color="auto"/>
      </w:divBdr>
    </w:div>
    <w:div w:id="1017467045">
      <w:bodyDiv w:val="1"/>
      <w:marLeft w:val="0"/>
      <w:marRight w:val="0"/>
      <w:marTop w:val="0"/>
      <w:marBottom w:val="0"/>
      <w:divBdr>
        <w:top w:val="none" w:sz="0" w:space="0" w:color="auto"/>
        <w:left w:val="none" w:sz="0" w:space="0" w:color="auto"/>
        <w:bottom w:val="none" w:sz="0" w:space="0" w:color="auto"/>
        <w:right w:val="none" w:sz="0" w:space="0" w:color="auto"/>
      </w:divBdr>
    </w:div>
    <w:div w:id="1017581924">
      <w:bodyDiv w:val="1"/>
      <w:marLeft w:val="0"/>
      <w:marRight w:val="0"/>
      <w:marTop w:val="0"/>
      <w:marBottom w:val="0"/>
      <w:divBdr>
        <w:top w:val="none" w:sz="0" w:space="0" w:color="auto"/>
        <w:left w:val="none" w:sz="0" w:space="0" w:color="auto"/>
        <w:bottom w:val="none" w:sz="0" w:space="0" w:color="auto"/>
        <w:right w:val="none" w:sz="0" w:space="0" w:color="auto"/>
      </w:divBdr>
    </w:div>
    <w:div w:id="1017653535">
      <w:bodyDiv w:val="1"/>
      <w:marLeft w:val="0"/>
      <w:marRight w:val="0"/>
      <w:marTop w:val="0"/>
      <w:marBottom w:val="0"/>
      <w:divBdr>
        <w:top w:val="none" w:sz="0" w:space="0" w:color="auto"/>
        <w:left w:val="none" w:sz="0" w:space="0" w:color="auto"/>
        <w:bottom w:val="none" w:sz="0" w:space="0" w:color="auto"/>
        <w:right w:val="none" w:sz="0" w:space="0" w:color="auto"/>
      </w:divBdr>
    </w:div>
    <w:div w:id="1017655182">
      <w:bodyDiv w:val="1"/>
      <w:marLeft w:val="0"/>
      <w:marRight w:val="0"/>
      <w:marTop w:val="0"/>
      <w:marBottom w:val="0"/>
      <w:divBdr>
        <w:top w:val="none" w:sz="0" w:space="0" w:color="auto"/>
        <w:left w:val="none" w:sz="0" w:space="0" w:color="auto"/>
        <w:bottom w:val="none" w:sz="0" w:space="0" w:color="auto"/>
        <w:right w:val="none" w:sz="0" w:space="0" w:color="auto"/>
      </w:divBdr>
    </w:div>
    <w:div w:id="1017661535">
      <w:bodyDiv w:val="1"/>
      <w:marLeft w:val="0"/>
      <w:marRight w:val="0"/>
      <w:marTop w:val="0"/>
      <w:marBottom w:val="0"/>
      <w:divBdr>
        <w:top w:val="none" w:sz="0" w:space="0" w:color="auto"/>
        <w:left w:val="none" w:sz="0" w:space="0" w:color="auto"/>
        <w:bottom w:val="none" w:sz="0" w:space="0" w:color="auto"/>
        <w:right w:val="none" w:sz="0" w:space="0" w:color="auto"/>
      </w:divBdr>
    </w:div>
    <w:div w:id="1017972952">
      <w:bodyDiv w:val="1"/>
      <w:marLeft w:val="0"/>
      <w:marRight w:val="0"/>
      <w:marTop w:val="0"/>
      <w:marBottom w:val="0"/>
      <w:divBdr>
        <w:top w:val="none" w:sz="0" w:space="0" w:color="auto"/>
        <w:left w:val="none" w:sz="0" w:space="0" w:color="auto"/>
        <w:bottom w:val="none" w:sz="0" w:space="0" w:color="auto"/>
        <w:right w:val="none" w:sz="0" w:space="0" w:color="auto"/>
      </w:divBdr>
    </w:div>
    <w:div w:id="1018198316">
      <w:bodyDiv w:val="1"/>
      <w:marLeft w:val="0"/>
      <w:marRight w:val="0"/>
      <w:marTop w:val="0"/>
      <w:marBottom w:val="0"/>
      <w:divBdr>
        <w:top w:val="none" w:sz="0" w:space="0" w:color="auto"/>
        <w:left w:val="none" w:sz="0" w:space="0" w:color="auto"/>
        <w:bottom w:val="none" w:sz="0" w:space="0" w:color="auto"/>
        <w:right w:val="none" w:sz="0" w:space="0" w:color="auto"/>
      </w:divBdr>
    </w:div>
    <w:div w:id="1018316761">
      <w:bodyDiv w:val="1"/>
      <w:marLeft w:val="0"/>
      <w:marRight w:val="0"/>
      <w:marTop w:val="0"/>
      <w:marBottom w:val="0"/>
      <w:divBdr>
        <w:top w:val="none" w:sz="0" w:space="0" w:color="auto"/>
        <w:left w:val="none" w:sz="0" w:space="0" w:color="auto"/>
        <w:bottom w:val="none" w:sz="0" w:space="0" w:color="auto"/>
        <w:right w:val="none" w:sz="0" w:space="0" w:color="auto"/>
      </w:divBdr>
    </w:div>
    <w:div w:id="1018579830">
      <w:bodyDiv w:val="1"/>
      <w:marLeft w:val="0"/>
      <w:marRight w:val="0"/>
      <w:marTop w:val="0"/>
      <w:marBottom w:val="0"/>
      <w:divBdr>
        <w:top w:val="none" w:sz="0" w:space="0" w:color="auto"/>
        <w:left w:val="none" w:sz="0" w:space="0" w:color="auto"/>
        <w:bottom w:val="none" w:sz="0" w:space="0" w:color="auto"/>
        <w:right w:val="none" w:sz="0" w:space="0" w:color="auto"/>
      </w:divBdr>
    </w:div>
    <w:div w:id="1018658280">
      <w:bodyDiv w:val="1"/>
      <w:marLeft w:val="0"/>
      <w:marRight w:val="0"/>
      <w:marTop w:val="0"/>
      <w:marBottom w:val="0"/>
      <w:divBdr>
        <w:top w:val="none" w:sz="0" w:space="0" w:color="auto"/>
        <w:left w:val="none" w:sz="0" w:space="0" w:color="auto"/>
        <w:bottom w:val="none" w:sz="0" w:space="0" w:color="auto"/>
        <w:right w:val="none" w:sz="0" w:space="0" w:color="auto"/>
      </w:divBdr>
    </w:div>
    <w:div w:id="1019039160">
      <w:bodyDiv w:val="1"/>
      <w:marLeft w:val="0"/>
      <w:marRight w:val="0"/>
      <w:marTop w:val="0"/>
      <w:marBottom w:val="0"/>
      <w:divBdr>
        <w:top w:val="none" w:sz="0" w:space="0" w:color="auto"/>
        <w:left w:val="none" w:sz="0" w:space="0" w:color="auto"/>
        <w:bottom w:val="none" w:sz="0" w:space="0" w:color="auto"/>
        <w:right w:val="none" w:sz="0" w:space="0" w:color="auto"/>
      </w:divBdr>
    </w:div>
    <w:div w:id="1019045058">
      <w:bodyDiv w:val="1"/>
      <w:marLeft w:val="0"/>
      <w:marRight w:val="0"/>
      <w:marTop w:val="0"/>
      <w:marBottom w:val="0"/>
      <w:divBdr>
        <w:top w:val="none" w:sz="0" w:space="0" w:color="auto"/>
        <w:left w:val="none" w:sz="0" w:space="0" w:color="auto"/>
        <w:bottom w:val="none" w:sz="0" w:space="0" w:color="auto"/>
        <w:right w:val="none" w:sz="0" w:space="0" w:color="auto"/>
      </w:divBdr>
    </w:div>
    <w:div w:id="1019046380">
      <w:bodyDiv w:val="1"/>
      <w:marLeft w:val="0"/>
      <w:marRight w:val="0"/>
      <w:marTop w:val="0"/>
      <w:marBottom w:val="0"/>
      <w:divBdr>
        <w:top w:val="none" w:sz="0" w:space="0" w:color="auto"/>
        <w:left w:val="none" w:sz="0" w:space="0" w:color="auto"/>
        <w:bottom w:val="none" w:sz="0" w:space="0" w:color="auto"/>
        <w:right w:val="none" w:sz="0" w:space="0" w:color="auto"/>
      </w:divBdr>
    </w:div>
    <w:div w:id="1019115330">
      <w:bodyDiv w:val="1"/>
      <w:marLeft w:val="0"/>
      <w:marRight w:val="0"/>
      <w:marTop w:val="0"/>
      <w:marBottom w:val="0"/>
      <w:divBdr>
        <w:top w:val="none" w:sz="0" w:space="0" w:color="auto"/>
        <w:left w:val="none" w:sz="0" w:space="0" w:color="auto"/>
        <w:bottom w:val="none" w:sz="0" w:space="0" w:color="auto"/>
        <w:right w:val="none" w:sz="0" w:space="0" w:color="auto"/>
      </w:divBdr>
    </w:div>
    <w:div w:id="1019159775">
      <w:bodyDiv w:val="1"/>
      <w:marLeft w:val="0"/>
      <w:marRight w:val="0"/>
      <w:marTop w:val="0"/>
      <w:marBottom w:val="0"/>
      <w:divBdr>
        <w:top w:val="none" w:sz="0" w:space="0" w:color="auto"/>
        <w:left w:val="none" w:sz="0" w:space="0" w:color="auto"/>
        <w:bottom w:val="none" w:sz="0" w:space="0" w:color="auto"/>
        <w:right w:val="none" w:sz="0" w:space="0" w:color="auto"/>
      </w:divBdr>
    </w:div>
    <w:div w:id="1019166388">
      <w:bodyDiv w:val="1"/>
      <w:marLeft w:val="0"/>
      <w:marRight w:val="0"/>
      <w:marTop w:val="0"/>
      <w:marBottom w:val="0"/>
      <w:divBdr>
        <w:top w:val="none" w:sz="0" w:space="0" w:color="auto"/>
        <w:left w:val="none" w:sz="0" w:space="0" w:color="auto"/>
        <w:bottom w:val="none" w:sz="0" w:space="0" w:color="auto"/>
        <w:right w:val="none" w:sz="0" w:space="0" w:color="auto"/>
      </w:divBdr>
    </w:div>
    <w:div w:id="1019357755">
      <w:bodyDiv w:val="1"/>
      <w:marLeft w:val="0"/>
      <w:marRight w:val="0"/>
      <w:marTop w:val="0"/>
      <w:marBottom w:val="0"/>
      <w:divBdr>
        <w:top w:val="none" w:sz="0" w:space="0" w:color="auto"/>
        <w:left w:val="none" w:sz="0" w:space="0" w:color="auto"/>
        <w:bottom w:val="none" w:sz="0" w:space="0" w:color="auto"/>
        <w:right w:val="none" w:sz="0" w:space="0" w:color="auto"/>
      </w:divBdr>
    </w:div>
    <w:div w:id="1019502523">
      <w:bodyDiv w:val="1"/>
      <w:marLeft w:val="0"/>
      <w:marRight w:val="0"/>
      <w:marTop w:val="0"/>
      <w:marBottom w:val="0"/>
      <w:divBdr>
        <w:top w:val="none" w:sz="0" w:space="0" w:color="auto"/>
        <w:left w:val="none" w:sz="0" w:space="0" w:color="auto"/>
        <w:bottom w:val="none" w:sz="0" w:space="0" w:color="auto"/>
        <w:right w:val="none" w:sz="0" w:space="0" w:color="auto"/>
      </w:divBdr>
    </w:div>
    <w:div w:id="1019548108">
      <w:bodyDiv w:val="1"/>
      <w:marLeft w:val="0"/>
      <w:marRight w:val="0"/>
      <w:marTop w:val="0"/>
      <w:marBottom w:val="0"/>
      <w:divBdr>
        <w:top w:val="none" w:sz="0" w:space="0" w:color="auto"/>
        <w:left w:val="none" w:sz="0" w:space="0" w:color="auto"/>
        <w:bottom w:val="none" w:sz="0" w:space="0" w:color="auto"/>
        <w:right w:val="none" w:sz="0" w:space="0" w:color="auto"/>
      </w:divBdr>
    </w:div>
    <w:div w:id="1019549930">
      <w:bodyDiv w:val="1"/>
      <w:marLeft w:val="0"/>
      <w:marRight w:val="0"/>
      <w:marTop w:val="0"/>
      <w:marBottom w:val="0"/>
      <w:divBdr>
        <w:top w:val="none" w:sz="0" w:space="0" w:color="auto"/>
        <w:left w:val="none" w:sz="0" w:space="0" w:color="auto"/>
        <w:bottom w:val="none" w:sz="0" w:space="0" w:color="auto"/>
        <w:right w:val="none" w:sz="0" w:space="0" w:color="auto"/>
      </w:divBdr>
    </w:div>
    <w:div w:id="1019740514">
      <w:bodyDiv w:val="1"/>
      <w:marLeft w:val="0"/>
      <w:marRight w:val="0"/>
      <w:marTop w:val="0"/>
      <w:marBottom w:val="0"/>
      <w:divBdr>
        <w:top w:val="none" w:sz="0" w:space="0" w:color="auto"/>
        <w:left w:val="none" w:sz="0" w:space="0" w:color="auto"/>
        <w:bottom w:val="none" w:sz="0" w:space="0" w:color="auto"/>
        <w:right w:val="none" w:sz="0" w:space="0" w:color="auto"/>
      </w:divBdr>
    </w:div>
    <w:div w:id="1019741919">
      <w:bodyDiv w:val="1"/>
      <w:marLeft w:val="0"/>
      <w:marRight w:val="0"/>
      <w:marTop w:val="0"/>
      <w:marBottom w:val="0"/>
      <w:divBdr>
        <w:top w:val="none" w:sz="0" w:space="0" w:color="auto"/>
        <w:left w:val="none" w:sz="0" w:space="0" w:color="auto"/>
        <w:bottom w:val="none" w:sz="0" w:space="0" w:color="auto"/>
        <w:right w:val="none" w:sz="0" w:space="0" w:color="auto"/>
      </w:divBdr>
    </w:div>
    <w:div w:id="1019744075">
      <w:bodyDiv w:val="1"/>
      <w:marLeft w:val="0"/>
      <w:marRight w:val="0"/>
      <w:marTop w:val="0"/>
      <w:marBottom w:val="0"/>
      <w:divBdr>
        <w:top w:val="none" w:sz="0" w:space="0" w:color="auto"/>
        <w:left w:val="none" w:sz="0" w:space="0" w:color="auto"/>
        <w:bottom w:val="none" w:sz="0" w:space="0" w:color="auto"/>
        <w:right w:val="none" w:sz="0" w:space="0" w:color="auto"/>
      </w:divBdr>
    </w:div>
    <w:div w:id="1020012735">
      <w:bodyDiv w:val="1"/>
      <w:marLeft w:val="0"/>
      <w:marRight w:val="0"/>
      <w:marTop w:val="0"/>
      <w:marBottom w:val="0"/>
      <w:divBdr>
        <w:top w:val="none" w:sz="0" w:space="0" w:color="auto"/>
        <w:left w:val="none" w:sz="0" w:space="0" w:color="auto"/>
        <w:bottom w:val="none" w:sz="0" w:space="0" w:color="auto"/>
        <w:right w:val="none" w:sz="0" w:space="0" w:color="auto"/>
      </w:divBdr>
    </w:div>
    <w:div w:id="1020083586">
      <w:bodyDiv w:val="1"/>
      <w:marLeft w:val="0"/>
      <w:marRight w:val="0"/>
      <w:marTop w:val="0"/>
      <w:marBottom w:val="0"/>
      <w:divBdr>
        <w:top w:val="none" w:sz="0" w:space="0" w:color="auto"/>
        <w:left w:val="none" w:sz="0" w:space="0" w:color="auto"/>
        <w:bottom w:val="none" w:sz="0" w:space="0" w:color="auto"/>
        <w:right w:val="none" w:sz="0" w:space="0" w:color="auto"/>
      </w:divBdr>
    </w:div>
    <w:div w:id="1020083671">
      <w:bodyDiv w:val="1"/>
      <w:marLeft w:val="0"/>
      <w:marRight w:val="0"/>
      <w:marTop w:val="0"/>
      <w:marBottom w:val="0"/>
      <w:divBdr>
        <w:top w:val="none" w:sz="0" w:space="0" w:color="auto"/>
        <w:left w:val="none" w:sz="0" w:space="0" w:color="auto"/>
        <w:bottom w:val="none" w:sz="0" w:space="0" w:color="auto"/>
        <w:right w:val="none" w:sz="0" w:space="0" w:color="auto"/>
      </w:divBdr>
    </w:div>
    <w:div w:id="1020162393">
      <w:bodyDiv w:val="1"/>
      <w:marLeft w:val="0"/>
      <w:marRight w:val="0"/>
      <w:marTop w:val="0"/>
      <w:marBottom w:val="0"/>
      <w:divBdr>
        <w:top w:val="none" w:sz="0" w:space="0" w:color="auto"/>
        <w:left w:val="none" w:sz="0" w:space="0" w:color="auto"/>
        <w:bottom w:val="none" w:sz="0" w:space="0" w:color="auto"/>
        <w:right w:val="none" w:sz="0" w:space="0" w:color="auto"/>
      </w:divBdr>
    </w:div>
    <w:div w:id="1020349605">
      <w:bodyDiv w:val="1"/>
      <w:marLeft w:val="0"/>
      <w:marRight w:val="0"/>
      <w:marTop w:val="0"/>
      <w:marBottom w:val="0"/>
      <w:divBdr>
        <w:top w:val="none" w:sz="0" w:space="0" w:color="auto"/>
        <w:left w:val="none" w:sz="0" w:space="0" w:color="auto"/>
        <w:bottom w:val="none" w:sz="0" w:space="0" w:color="auto"/>
        <w:right w:val="none" w:sz="0" w:space="0" w:color="auto"/>
      </w:divBdr>
    </w:div>
    <w:div w:id="1020351377">
      <w:bodyDiv w:val="1"/>
      <w:marLeft w:val="0"/>
      <w:marRight w:val="0"/>
      <w:marTop w:val="0"/>
      <w:marBottom w:val="0"/>
      <w:divBdr>
        <w:top w:val="none" w:sz="0" w:space="0" w:color="auto"/>
        <w:left w:val="none" w:sz="0" w:space="0" w:color="auto"/>
        <w:bottom w:val="none" w:sz="0" w:space="0" w:color="auto"/>
        <w:right w:val="none" w:sz="0" w:space="0" w:color="auto"/>
      </w:divBdr>
    </w:div>
    <w:div w:id="1020397885">
      <w:bodyDiv w:val="1"/>
      <w:marLeft w:val="0"/>
      <w:marRight w:val="0"/>
      <w:marTop w:val="0"/>
      <w:marBottom w:val="0"/>
      <w:divBdr>
        <w:top w:val="none" w:sz="0" w:space="0" w:color="auto"/>
        <w:left w:val="none" w:sz="0" w:space="0" w:color="auto"/>
        <w:bottom w:val="none" w:sz="0" w:space="0" w:color="auto"/>
        <w:right w:val="none" w:sz="0" w:space="0" w:color="auto"/>
      </w:divBdr>
    </w:div>
    <w:div w:id="1020622904">
      <w:bodyDiv w:val="1"/>
      <w:marLeft w:val="0"/>
      <w:marRight w:val="0"/>
      <w:marTop w:val="0"/>
      <w:marBottom w:val="0"/>
      <w:divBdr>
        <w:top w:val="none" w:sz="0" w:space="0" w:color="auto"/>
        <w:left w:val="none" w:sz="0" w:space="0" w:color="auto"/>
        <w:bottom w:val="none" w:sz="0" w:space="0" w:color="auto"/>
        <w:right w:val="none" w:sz="0" w:space="0" w:color="auto"/>
      </w:divBdr>
    </w:div>
    <w:div w:id="1020816654">
      <w:bodyDiv w:val="1"/>
      <w:marLeft w:val="0"/>
      <w:marRight w:val="0"/>
      <w:marTop w:val="0"/>
      <w:marBottom w:val="0"/>
      <w:divBdr>
        <w:top w:val="none" w:sz="0" w:space="0" w:color="auto"/>
        <w:left w:val="none" w:sz="0" w:space="0" w:color="auto"/>
        <w:bottom w:val="none" w:sz="0" w:space="0" w:color="auto"/>
        <w:right w:val="none" w:sz="0" w:space="0" w:color="auto"/>
      </w:divBdr>
    </w:div>
    <w:div w:id="1020886887">
      <w:bodyDiv w:val="1"/>
      <w:marLeft w:val="0"/>
      <w:marRight w:val="0"/>
      <w:marTop w:val="0"/>
      <w:marBottom w:val="0"/>
      <w:divBdr>
        <w:top w:val="none" w:sz="0" w:space="0" w:color="auto"/>
        <w:left w:val="none" w:sz="0" w:space="0" w:color="auto"/>
        <w:bottom w:val="none" w:sz="0" w:space="0" w:color="auto"/>
        <w:right w:val="none" w:sz="0" w:space="0" w:color="auto"/>
      </w:divBdr>
    </w:div>
    <w:div w:id="1020934869">
      <w:bodyDiv w:val="1"/>
      <w:marLeft w:val="0"/>
      <w:marRight w:val="0"/>
      <w:marTop w:val="0"/>
      <w:marBottom w:val="0"/>
      <w:divBdr>
        <w:top w:val="none" w:sz="0" w:space="0" w:color="auto"/>
        <w:left w:val="none" w:sz="0" w:space="0" w:color="auto"/>
        <w:bottom w:val="none" w:sz="0" w:space="0" w:color="auto"/>
        <w:right w:val="none" w:sz="0" w:space="0" w:color="auto"/>
      </w:divBdr>
    </w:div>
    <w:div w:id="1021122727">
      <w:bodyDiv w:val="1"/>
      <w:marLeft w:val="0"/>
      <w:marRight w:val="0"/>
      <w:marTop w:val="0"/>
      <w:marBottom w:val="0"/>
      <w:divBdr>
        <w:top w:val="none" w:sz="0" w:space="0" w:color="auto"/>
        <w:left w:val="none" w:sz="0" w:space="0" w:color="auto"/>
        <w:bottom w:val="none" w:sz="0" w:space="0" w:color="auto"/>
        <w:right w:val="none" w:sz="0" w:space="0" w:color="auto"/>
      </w:divBdr>
    </w:div>
    <w:div w:id="1021127934">
      <w:bodyDiv w:val="1"/>
      <w:marLeft w:val="0"/>
      <w:marRight w:val="0"/>
      <w:marTop w:val="0"/>
      <w:marBottom w:val="0"/>
      <w:divBdr>
        <w:top w:val="none" w:sz="0" w:space="0" w:color="auto"/>
        <w:left w:val="none" w:sz="0" w:space="0" w:color="auto"/>
        <w:bottom w:val="none" w:sz="0" w:space="0" w:color="auto"/>
        <w:right w:val="none" w:sz="0" w:space="0" w:color="auto"/>
      </w:divBdr>
    </w:div>
    <w:div w:id="1021129356">
      <w:bodyDiv w:val="1"/>
      <w:marLeft w:val="0"/>
      <w:marRight w:val="0"/>
      <w:marTop w:val="0"/>
      <w:marBottom w:val="0"/>
      <w:divBdr>
        <w:top w:val="none" w:sz="0" w:space="0" w:color="auto"/>
        <w:left w:val="none" w:sz="0" w:space="0" w:color="auto"/>
        <w:bottom w:val="none" w:sz="0" w:space="0" w:color="auto"/>
        <w:right w:val="none" w:sz="0" w:space="0" w:color="auto"/>
      </w:divBdr>
    </w:div>
    <w:div w:id="1021273764">
      <w:bodyDiv w:val="1"/>
      <w:marLeft w:val="0"/>
      <w:marRight w:val="0"/>
      <w:marTop w:val="0"/>
      <w:marBottom w:val="0"/>
      <w:divBdr>
        <w:top w:val="none" w:sz="0" w:space="0" w:color="auto"/>
        <w:left w:val="none" w:sz="0" w:space="0" w:color="auto"/>
        <w:bottom w:val="none" w:sz="0" w:space="0" w:color="auto"/>
        <w:right w:val="none" w:sz="0" w:space="0" w:color="auto"/>
      </w:divBdr>
    </w:div>
    <w:div w:id="1021320980">
      <w:bodyDiv w:val="1"/>
      <w:marLeft w:val="0"/>
      <w:marRight w:val="0"/>
      <w:marTop w:val="0"/>
      <w:marBottom w:val="0"/>
      <w:divBdr>
        <w:top w:val="none" w:sz="0" w:space="0" w:color="auto"/>
        <w:left w:val="none" w:sz="0" w:space="0" w:color="auto"/>
        <w:bottom w:val="none" w:sz="0" w:space="0" w:color="auto"/>
        <w:right w:val="none" w:sz="0" w:space="0" w:color="auto"/>
      </w:divBdr>
    </w:div>
    <w:div w:id="1021664589">
      <w:bodyDiv w:val="1"/>
      <w:marLeft w:val="0"/>
      <w:marRight w:val="0"/>
      <w:marTop w:val="0"/>
      <w:marBottom w:val="0"/>
      <w:divBdr>
        <w:top w:val="none" w:sz="0" w:space="0" w:color="auto"/>
        <w:left w:val="none" w:sz="0" w:space="0" w:color="auto"/>
        <w:bottom w:val="none" w:sz="0" w:space="0" w:color="auto"/>
        <w:right w:val="none" w:sz="0" w:space="0" w:color="auto"/>
      </w:divBdr>
    </w:div>
    <w:div w:id="1021712118">
      <w:bodyDiv w:val="1"/>
      <w:marLeft w:val="0"/>
      <w:marRight w:val="0"/>
      <w:marTop w:val="0"/>
      <w:marBottom w:val="0"/>
      <w:divBdr>
        <w:top w:val="none" w:sz="0" w:space="0" w:color="auto"/>
        <w:left w:val="none" w:sz="0" w:space="0" w:color="auto"/>
        <w:bottom w:val="none" w:sz="0" w:space="0" w:color="auto"/>
        <w:right w:val="none" w:sz="0" w:space="0" w:color="auto"/>
      </w:divBdr>
    </w:div>
    <w:div w:id="1022173547">
      <w:bodyDiv w:val="1"/>
      <w:marLeft w:val="0"/>
      <w:marRight w:val="0"/>
      <w:marTop w:val="0"/>
      <w:marBottom w:val="0"/>
      <w:divBdr>
        <w:top w:val="none" w:sz="0" w:space="0" w:color="auto"/>
        <w:left w:val="none" w:sz="0" w:space="0" w:color="auto"/>
        <w:bottom w:val="none" w:sz="0" w:space="0" w:color="auto"/>
        <w:right w:val="none" w:sz="0" w:space="0" w:color="auto"/>
      </w:divBdr>
    </w:div>
    <w:div w:id="1022441991">
      <w:bodyDiv w:val="1"/>
      <w:marLeft w:val="0"/>
      <w:marRight w:val="0"/>
      <w:marTop w:val="0"/>
      <w:marBottom w:val="0"/>
      <w:divBdr>
        <w:top w:val="none" w:sz="0" w:space="0" w:color="auto"/>
        <w:left w:val="none" w:sz="0" w:space="0" w:color="auto"/>
        <w:bottom w:val="none" w:sz="0" w:space="0" w:color="auto"/>
        <w:right w:val="none" w:sz="0" w:space="0" w:color="auto"/>
      </w:divBdr>
    </w:div>
    <w:div w:id="1022517142">
      <w:bodyDiv w:val="1"/>
      <w:marLeft w:val="0"/>
      <w:marRight w:val="0"/>
      <w:marTop w:val="0"/>
      <w:marBottom w:val="0"/>
      <w:divBdr>
        <w:top w:val="none" w:sz="0" w:space="0" w:color="auto"/>
        <w:left w:val="none" w:sz="0" w:space="0" w:color="auto"/>
        <w:bottom w:val="none" w:sz="0" w:space="0" w:color="auto"/>
        <w:right w:val="none" w:sz="0" w:space="0" w:color="auto"/>
      </w:divBdr>
    </w:div>
    <w:div w:id="1022584198">
      <w:bodyDiv w:val="1"/>
      <w:marLeft w:val="0"/>
      <w:marRight w:val="0"/>
      <w:marTop w:val="0"/>
      <w:marBottom w:val="0"/>
      <w:divBdr>
        <w:top w:val="none" w:sz="0" w:space="0" w:color="auto"/>
        <w:left w:val="none" w:sz="0" w:space="0" w:color="auto"/>
        <w:bottom w:val="none" w:sz="0" w:space="0" w:color="auto"/>
        <w:right w:val="none" w:sz="0" w:space="0" w:color="auto"/>
      </w:divBdr>
    </w:div>
    <w:div w:id="1022587533">
      <w:bodyDiv w:val="1"/>
      <w:marLeft w:val="0"/>
      <w:marRight w:val="0"/>
      <w:marTop w:val="0"/>
      <w:marBottom w:val="0"/>
      <w:divBdr>
        <w:top w:val="none" w:sz="0" w:space="0" w:color="auto"/>
        <w:left w:val="none" w:sz="0" w:space="0" w:color="auto"/>
        <w:bottom w:val="none" w:sz="0" w:space="0" w:color="auto"/>
        <w:right w:val="none" w:sz="0" w:space="0" w:color="auto"/>
      </w:divBdr>
    </w:div>
    <w:div w:id="1022630570">
      <w:bodyDiv w:val="1"/>
      <w:marLeft w:val="0"/>
      <w:marRight w:val="0"/>
      <w:marTop w:val="0"/>
      <w:marBottom w:val="0"/>
      <w:divBdr>
        <w:top w:val="none" w:sz="0" w:space="0" w:color="auto"/>
        <w:left w:val="none" w:sz="0" w:space="0" w:color="auto"/>
        <w:bottom w:val="none" w:sz="0" w:space="0" w:color="auto"/>
        <w:right w:val="none" w:sz="0" w:space="0" w:color="auto"/>
      </w:divBdr>
    </w:div>
    <w:div w:id="1022632104">
      <w:bodyDiv w:val="1"/>
      <w:marLeft w:val="0"/>
      <w:marRight w:val="0"/>
      <w:marTop w:val="0"/>
      <w:marBottom w:val="0"/>
      <w:divBdr>
        <w:top w:val="none" w:sz="0" w:space="0" w:color="auto"/>
        <w:left w:val="none" w:sz="0" w:space="0" w:color="auto"/>
        <w:bottom w:val="none" w:sz="0" w:space="0" w:color="auto"/>
        <w:right w:val="none" w:sz="0" w:space="0" w:color="auto"/>
      </w:divBdr>
    </w:div>
    <w:div w:id="1022706504">
      <w:bodyDiv w:val="1"/>
      <w:marLeft w:val="0"/>
      <w:marRight w:val="0"/>
      <w:marTop w:val="0"/>
      <w:marBottom w:val="0"/>
      <w:divBdr>
        <w:top w:val="none" w:sz="0" w:space="0" w:color="auto"/>
        <w:left w:val="none" w:sz="0" w:space="0" w:color="auto"/>
        <w:bottom w:val="none" w:sz="0" w:space="0" w:color="auto"/>
        <w:right w:val="none" w:sz="0" w:space="0" w:color="auto"/>
      </w:divBdr>
    </w:div>
    <w:div w:id="1022784526">
      <w:bodyDiv w:val="1"/>
      <w:marLeft w:val="0"/>
      <w:marRight w:val="0"/>
      <w:marTop w:val="0"/>
      <w:marBottom w:val="0"/>
      <w:divBdr>
        <w:top w:val="none" w:sz="0" w:space="0" w:color="auto"/>
        <w:left w:val="none" w:sz="0" w:space="0" w:color="auto"/>
        <w:bottom w:val="none" w:sz="0" w:space="0" w:color="auto"/>
        <w:right w:val="none" w:sz="0" w:space="0" w:color="auto"/>
      </w:divBdr>
    </w:div>
    <w:div w:id="1022825242">
      <w:bodyDiv w:val="1"/>
      <w:marLeft w:val="0"/>
      <w:marRight w:val="0"/>
      <w:marTop w:val="0"/>
      <w:marBottom w:val="0"/>
      <w:divBdr>
        <w:top w:val="none" w:sz="0" w:space="0" w:color="auto"/>
        <w:left w:val="none" w:sz="0" w:space="0" w:color="auto"/>
        <w:bottom w:val="none" w:sz="0" w:space="0" w:color="auto"/>
        <w:right w:val="none" w:sz="0" w:space="0" w:color="auto"/>
      </w:divBdr>
    </w:div>
    <w:div w:id="1023020753">
      <w:bodyDiv w:val="1"/>
      <w:marLeft w:val="0"/>
      <w:marRight w:val="0"/>
      <w:marTop w:val="0"/>
      <w:marBottom w:val="0"/>
      <w:divBdr>
        <w:top w:val="none" w:sz="0" w:space="0" w:color="auto"/>
        <w:left w:val="none" w:sz="0" w:space="0" w:color="auto"/>
        <w:bottom w:val="none" w:sz="0" w:space="0" w:color="auto"/>
        <w:right w:val="none" w:sz="0" w:space="0" w:color="auto"/>
      </w:divBdr>
    </w:div>
    <w:div w:id="1023357328">
      <w:bodyDiv w:val="1"/>
      <w:marLeft w:val="0"/>
      <w:marRight w:val="0"/>
      <w:marTop w:val="0"/>
      <w:marBottom w:val="0"/>
      <w:divBdr>
        <w:top w:val="none" w:sz="0" w:space="0" w:color="auto"/>
        <w:left w:val="none" w:sz="0" w:space="0" w:color="auto"/>
        <w:bottom w:val="none" w:sz="0" w:space="0" w:color="auto"/>
        <w:right w:val="none" w:sz="0" w:space="0" w:color="auto"/>
      </w:divBdr>
    </w:div>
    <w:div w:id="1023433578">
      <w:bodyDiv w:val="1"/>
      <w:marLeft w:val="0"/>
      <w:marRight w:val="0"/>
      <w:marTop w:val="0"/>
      <w:marBottom w:val="0"/>
      <w:divBdr>
        <w:top w:val="none" w:sz="0" w:space="0" w:color="auto"/>
        <w:left w:val="none" w:sz="0" w:space="0" w:color="auto"/>
        <w:bottom w:val="none" w:sz="0" w:space="0" w:color="auto"/>
        <w:right w:val="none" w:sz="0" w:space="0" w:color="auto"/>
      </w:divBdr>
    </w:div>
    <w:div w:id="1023481158">
      <w:bodyDiv w:val="1"/>
      <w:marLeft w:val="0"/>
      <w:marRight w:val="0"/>
      <w:marTop w:val="0"/>
      <w:marBottom w:val="0"/>
      <w:divBdr>
        <w:top w:val="none" w:sz="0" w:space="0" w:color="auto"/>
        <w:left w:val="none" w:sz="0" w:space="0" w:color="auto"/>
        <w:bottom w:val="none" w:sz="0" w:space="0" w:color="auto"/>
        <w:right w:val="none" w:sz="0" w:space="0" w:color="auto"/>
      </w:divBdr>
    </w:div>
    <w:div w:id="1023551882">
      <w:bodyDiv w:val="1"/>
      <w:marLeft w:val="0"/>
      <w:marRight w:val="0"/>
      <w:marTop w:val="0"/>
      <w:marBottom w:val="0"/>
      <w:divBdr>
        <w:top w:val="none" w:sz="0" w:space="0" w:color="auto"/>
        <w:left w:val="none" w:sz="0" w:space="0" w:color="auto"/>
        <w:bottom w:val="none" w:sz="0" w:space="0" w:color="auto"/>
        <w:right w:val="none" w:sz="0" w:space="0" w:color="auto"/>
      </w:divBdr>
    </w:div>
    <w:div w:id="1023700949">
      <w:bodyDiv w:val="1"/>
      <w:marLeft w:val="0"/>
      <w:marRight w:val="0"/>
      <w:marTop w:val="0"/>
      <w:marBottom w:val="0"/>
      <w:divBdr>
        <w:top w:val="none" w:sz="0" w:space="0" w:color="auto"/>
        <w:left w:val="none" w:sz="0" w:space="0" w:color="auto"/>
        <w:bottom w:val="none" w:sz="0" w:space="0" w:color="auto"/>
        <w:right w:val="none" w:sz="0" w:space="0" w:color="auto"/>
      </w:divBdr>
    </w:div>
    <w:div w:id="1023747514">
      <w:bodyDiv w:val="1"/>
      <w:marLeft w:val="0"/>
      <w:marRight w:val="0"/>
      <w:marTop w:val="0"/>
      <w:marBottom w:val="0"/>
      <w:divBdr>
        <w:top w:val="none" w:sz="0" w:space="0" w:color="auto"/>
        <w:left w:val="none" w:sz="0" w:space="0" w:color="auto"/>
        <w:bottom w:val="none" w:sz="0" w:space="0" w:color="auto"/>
        <w:right w:val="none" w:sz="0" w:space="0" w:color="auto"/>
      </w:divBdr>
    </w:div>
    <w:div w:id="1023825091">
      <w:bodyDiv w:val="1"/>
      <w:marLeft w:val="0"/>
      <w:marRight w:val="0"/>
      <w:marTop w:val="0"/>
      <w:marBottom w:val="0"/>
      <w:divBdr>
        <w:top w:val="none" w:sz="0" w:space="0" w:color="auto"/>
        <w:left w:val="none" w:sz="0" w:space="0" w:color="auto"/>
        <w:bottom w:val="none" w:sz="0" w:space="0" w:color="auto"/>
        <w:right w:val="none" w:sz="0" w:space="0" w:color="auto"/>
      </w:divBdr>
    </w:div>
    <w:div w:id="1023826439">
      <w:bodyDiv w:val="1"/>
      <w:marLeft w:val="0"/>
      <w:marRight w:val="0"/>
      <w:marTop w:val="0"/>
      <w:marBottom w:val="0"/>
      <w:divBdr>
        <w:top w:val="none" w:sz="0" w:space="0" w:color="auto"/>
        <w:left w:val="none" w:sz="0" w:space="0" w:color="auto"/>
        <w:bottom w:val="none" w:sz="0" w:space="0" w:color="auto"/>
        <w:right w:val="none" w:sz="0" w:space="0" w:color="auto"/>
      </w:divBdr>
    </w:div>
    <w:div w:id="1023898151">
      <w:bodyDiv w:val="1"/>
      <w:marLeft w:val="0"/>
      <w:marRight w:val="0"/>
      <w:marTop w:val="0"/>
      <w:marBottom w:val="0"/>
      <w:divBdr>
        <w:top w:val="none" w:sz="0" w:space="0" w:color="auto"/>
        <w:left w:val="none" w:sz="0" w:space="0" w:color="auto"/>
        <w:bottom w:val="none" w:sz="0" w:space="0" w:color="auto"/>
        <w:right w:val="none" w:sz="0" w:space="0" w:color="auto"/>
      </w:divBdr>
    </w:div>
    <w:div w:id="1023937217">
      <w:bodyDiv w:val="1"/>
      <w:marLeft w:val="0"/>
      <w:marRight w:val="0"/>
      <w:marTop w:val="0"/>
      <w:marBottom w:val="0"/>
      <w:divBdr>
        <w:top w:val="none" w:sz="0" w:space="0" w:color="auto"/>
        <w:left w:val="none" w:sz="0" w:space="0" w:color="auto"/>
        <w:bottom w:val="none" w:sz="0" w:space="0" w:color="auto"/>
        <w:right w:val="none" w:sz="0" w:space="0" w:color="auto"/>
      </w:divBdr>
    </w:div>
    <w:div w:id="1023938629">
      <w:bodyDiv w:val="1"/>
      <w:marLeft w:val="0"/>
      <w:marRight w:val="0"/>
      <w:marTop w:val="0"/>
      <w:marBottom w:val="0"/>
      <w:divBdr>
        <w:top w:val="none" w:sz="0" w:space="0" w:color="auto"/>
        <w:left w:val="none" w:sz="0" w:space="0" w:color="auto"/>
        <w:bottom w:val="none" w:sz="0" w:space="0" w:color="auto"/>
        <w:right w:val="none" w:sz="0" w:space="0" w:color="auto"/>
      </w:divBdr>
    </w:div>
    <w:div w:id="1024090583">
      <w:bodyDiv w:val="1"/>
      <w:marLeft w:val="0"/>
      <w:marRight w:val="0"/>
      <w:marTop w:val="0"/>
      <w:marBottom w:val="0"/>
      <w:divBdr>
        <w:top w:val="none" w:sz="0" w:space="0" w:color="auto"/>
        <w:left w:val="none" w:sz="0" w:space="0" w:color="auto"/>
        <w:bottom w:val="none" w:sz="0" w:space="0" w:color="auto"/>
        <w:right w:val="none" w:sz="0" w:space="0" w:color="auto"/>
      </w:divBdr>
    </w:div>
    <w:div w:id="1024287756">
      <w:bodyDiv w:val="1"/>
      <w:marLeft w:val="0"/>
      <w:marRight w:val="0"/>
      <w:marTop w:val="0"/>
      <w:marBottom w:val="0"/>
      <w:divBdr>
        <w:top w:val="none" w:sz="0" w:space="0" w:color="auto"/>
        <w:left w:val="none" w:sz="0" w:space="0" w:color="auto"/>
        <w:bottom w:val="none" w:sz="0" w:space="0" w:color="auto"/>
        <w:right w:val="none" w:sz="0" w:space="0" w:color="auto"/>
      </w:divBdr>
    </w:div>
    <w:div w:id="1024328013">
      <w:bodyDiv w:val="1"/>
      <w:marLeft w:val="0"/>
      <w:marRight w:val="0"/>
      <w:marTop w:val="0"/>
      <w:marBottom w:val="0"/>
      <w:divBdr>
        <w:top w:val="none" w:sz="0" w:space="0" w:color="auto"/>
        <w:left w:val="none" w:sz="0" w:space="0" w:color="auto"/>
        <w:bottom w:val="none" w:sz="0" w:space="0" w:color="auto"/>
        <w:right w:val="none" w:sz="0" w:space="0" w:color="auto"/>
      </w:divBdr>
    </w:div>
    <w:div w:id="1024403284">
      <w:bodyDiv w:val="1"/>
      <w:marLeft w:val="0"/>
      <w:marRight w:val="0"/>
      <w:marTop w:val="0"/>
      <w:marBottom w:val="0"/>
      <w:divBdr>
        <w:top w:val="none" w:sz="0" w:space="0" w:color="auto"/>
        <w:left w:val="none" w:sz="0" w:space="0" w:color="auto"/>
        <w:bottom w:val="none" w:sz="0" w:space="0" w:color="auto"/>
        <w:right w:val="none" w:sz="0" w:space="0" w:color="auto"/>
      </w:divBdr>
    </w:div>
    <w:div w:id="1024477193">
      <w:bodyDiv w:val="1"/>
      <w:marLeft w:val="0"/>
      <w:marRight w:val="0"/>
      <w:marTop w:val="0"/>
      <w:marBottom w:val="0"/>
      <w:divBdr>
        <w:top w:val="none" w:sz="0" w:space="0" w:color="auto"/>
        <w:left w:val="none" w:sz="0" w:space="0" w:color="auto"/>
        <w:bottom w:val="none" w:sz="0" w:space="0" w:color="auto"/>
        <w:right w:val="none" w:sz="0" w:space="0" w:color="auto"/>
      </w:divBdr>
    </w:div>
    <w:div w:id="1024524298">
      <w:bodyDiv w:val="1"/>
      <w:marLeft w:val="0"/>
      <w:marRight w:val="0"/>
      <w:marTop w:val="0"/>
      <w:marBottom w:val="0"/>
      <w:divBdr>
        <w:top w:val="none" w:sz="0" w:space="0" w:color="auto"/>
        <w:left w:val="none" w:sz="0" w:space="0" w:color="auto"/>
        <w:bottom w:val="none" w:sz="0" w:space="0" w:color="auto"/>
        <w:right w:val="none" w:sz="0" w:space="0" w:color="auto"/>
      </w:divBdr>
    </w:div>
    <w:div w:id="1024554379">
      <w:bodyDiv w:val="1"/>
      <w:marLeft w:val="0"/>
      <w:marRight w:val="0"/>
      <w:marTop w:val="0"/>
      <w:marBottom w:val="0"/>
      <w:divBdr>
        <w:top w:val="none" w:sz="0" w:space="0" w:color="auto"/>
        <w:left w:val="none" w:sz="0" w:space="0" w:color="auto"/>
        <w:bottom w:val="none" w:sz="0" w:space="0" w:color="auto"/>
        <w:right w:val="none" w:sz="0" w:space="0" w:color="auto"/>
      </w:divBdr>
    </w:div>
    <w:div w:id="1024593880">
      <w:bodyDiv w:val="1"/>
      <w:marLeft w:val="0"/>
      <w:marRight w:val="0"/>
      <w:marTop w:val="0"/>
      <w:marBottom w:val="0"/>
      <w:divBdr>
        <w:top w:val="none" w:sz="0" w:space="0" w:color="auto"/>
        <w:left w:val="none" w:sz="0" w:space="0" w:color="auto"/>
        <w:bottom w:val="none" w:sz="0" w:space="0" w:color="auto"/>
        <w:right w:val="none" w:sz="0" w:space="0" w:color="auto"/>
      </w:divBdr>
    </w:div>
    <w:div w:id="1024598153">
      <w:bodyDiv w:val="1"/>
      <w:marLeft w:val="0"/>
      <w:marRight w:val="0"/>
      <w:marTop w:val="0"/>
      <w:marBottom w:val="0"/>
      <w:divBdr>
        <w:top w:val="none" w:sz="0" w:space="0" w:color="auto"/>
        <w:left w:val="none" w:sz="0" w:space="0" w:color="auto"/>
        <w:bottom w:val="none" w:sz="0" w:space="0" w:color="auto"/>
        <w:right w:val="none" w:sz="0" w:space="0" w:color="auto"/>
      </w:divBdr>
    </w:div>
    <w:div w:id="1024671310">
      <w:bodyDiv w:val="1"/>
      <w:marLeft w:val="0"/>
      <w:marRight w:val="0"/>
      <w:marTop w:val="0"/>
      <w:marBottom w:val="0"/>
      <w:divBdr>
        <w:top w:val="none" w:sz="0" w:space="0" w:color="auto"/>
        <w:left w:val="none" w:sz="0" w:space="0" w:color="auto"/>
        <w:bottom w:val="none" w:sz="0" w:space="0" w:color="auto"/>
        <w:right w:val="none" w:sz="0" w:space="0" w:color="auto"/>
      </w:divBdr>
    </w:div>
    <w:div w:id="1024789727">
      <w:bodyDiv w:val="1"/>
      <w:marLeft w:val="0"/>
      <w:marRight w:val="0"/>
      <w:marTop w:val="0"/>
      <w:marBottom w:val="0"/>
      <w:divBdr>
        <w:top w:val="none" w:sz="0" w:space="0" w:color="auto"/>
        <w:left w:val="none" w:sz="0" w:space="0" w:color="auto"/>
        <w:bottom w:val="none" w:sz="0" w:space="0" w:color="auto"/>
        <w:right w:val="none" w:sz="0" w:space="0" w:color="auto"/>
      </w:divBdr>
    </w:div>
    <w:div w:id="1025134143">
      <w:bodyDiv w:val="1"/>
      <w:marLeft w:val="0"/>
      <w:marRight w:val="0"/>
      <w:marTop w:val="0"/>
      <w:marBottom w:val="0"/>
      <w:divBdr>
        <w:top w:val="none" w:sz="0" w:space="0" w:color="auto"/>
        <w:left w:val="none" w:sz="0" w:space="0" w:color="auto"/>
        <w:bottom w:val="none" w:sz="0" w:space="0" w:color="auto"/>
        <w:right w:val="none" w:sz="0" w:space="0" w:color="auto"/>
      </w:divBdr>
    </w:div>
    <w:div w:id="1025205162">
      <w:bodyDiv w:val="1"/>
      <w:marLeft w:val="0"/>
      <w:marRight w:val="0"/>
      <w:marTop w:val="0"/>
      <w:marBottom w:val="0"/>
      <w:divBdr>
        <w:top w:val="none" w:sz="0" w:space="0" w:color="auto"/>
        <w:left w:val="none" w:sz="0" w:space="0" w:color="auto"/>
        <w:bottom w:val="none" w:sz="0" w:space="0" w:color="auto"/>
        <w:right w:val="none" w:sz="0" w:space="0" w:color="auto"/>
      </w:divBdr>
    </w:div>
    <w:div w:id="1025400472">
      <w:bodyDiv w:val="1"/>
      <w:marLeft w:val="0"/>
      <w:marRight w:val="0"/>
      <w:marTop w:val="0"/>
      <w:marBottom w:val="0"/>
      <w:divBdr>
        <w:top w:val="none" w:sz="0" w:space="0" w:color="auto"/>
        <w:left w:val="none" w:sz="0" w:space="0" w:color="auto"/>
        <w:bottom w:val="none" w:sz="0" w:space="0" w:color="auto"/>
        <w:right w:val="none" w:sz="0" w:space="0" w:color="auto"/>
      </w:divBdr>
    </w:div>
    <w:div w:id="1025448885">
      <w:bodyDiv w:val="1"/>
      <w:marLeft w:val="0"/>
      <w:marRight w:val="0"/>
      <w:marTop w:val="0"/>
      <w:marBottom w:val="0"/>
      <w:divBdr>
        <w:top w:val="none" w:sz="0" w:space="0" w:color="auto"/>
        <w:left w:val="none" w:sz="0" w:space="0" w:color="auto"/>
        <w:bottom w:val="none" w:sz="0" w:space="0" w:color="auto"/>
        <w:right w:val="none" w:sz="0" w:space="0" w:color="auto"/>
      </w:divBdr>
    </w:div>
    <w:div w:id="1025642321">
      <w:bodyDiv w:val="1"/>
      <w:marLeft w:val="0"/>
      <w:marRight w:val="0"/>
      <w:marTop w:val="0"/>
      <w:marBottom w:val="0"/>
      <w:divBdr>
        <w:top w:val="none" w:sz="0" w:space="0" w:color="auto"/>
        <w:left w:val="none" w:sz="0" w:space="0" w:color="auto"/>
        <w:bottom w:val="none" w:sz="0" w:space="0" w:color="auto"/>
        <w:right w:val="none" w:sz="0" w:space="0" w:color="auto"/>
      </w:divBdr>
    </w:div>
    <w:div w:id="1025787951">
      <w:bodyDiv w:val="1"/>
      <w:marLeft w:val="0"/>
      <w:marRight w:val="0"/>
      <w:marTop w:val="0"/>
      <w:marBottom w:val="0"/>
      <w:divBdr>
        <w:top w:val="none" w:sz="0" w:space="0" w:color="auto"/>
        <w:left w:val="none" w:sz="0" w:space="0" w:color="auto"/>
        <w:bottom w:val="none" w:sz="0" w:space="0" w:color="auto"/>
        <w:right w:val="none" w:sz="0" w:space="0" w:color="auto"/>
      </w:divBdr>
    </w:div>
    <w:div w:id="1026055182">
      <w:bodyDiv w:val="1"/>
      <w:marLeft w:val="0"/>
      <w:marRight w:val="0"/>
      <w:marTop w:val="0"/>
      <w:marBottom w:val="0"/>
      <w:divBdr>
        <w:top w:val="none" w:sz="0" w:space="0" w:color="auto"/>
        <w:left w:val="none" w:sz="0" w:space="0" w:color="auto"/>
        <w:bottom w:val="none" w:sz="0" w:space="0" w:color="auto"/>
        <w:right w:val="none" w:sz="0" w:space="0" w:color="auto"/>
      </w:divBdr>
    </w:div>
    <w:div w:id="1026176385">
      <w:bodyDiv w:val="1"/>
      <w:marLeft w:val="0"/>
      <w:marRight w:val="0"/>
      <w:marTop w:val="0"/>
      <w:marBottom w:val="0"/>
      <w:divBdr>
        <w:top w:val="none" w:sz="0" w:space="0" w:color="auto"/>
        <w:left w:val="none" w:sz="0" w:space="0" w:color="auto"/>
        <w:bottom w:val="none" w:sz="0" w:space="0" w:color="auto"/>
        <w:right w:val="none" w:sz="0" w:space="0" w:color="auto"/>
      </w:divBdr>
    </w:div>
    <w:div w:id="1026253090">
      <w:bodyDiv w:val="1"/>
      <w:marLeft w:val="0"/>
      <w:marRight w:val="0"/>
      <w:marTop w:val="0"/>
      <w:marBottom w:val="0"/>
      <w:divBdr>
        <w:top w:val="none" w:sz="0" w:space="0" w:color="auto"/>
        <w:left w:val="none" w:sz="0" w:space="0" w:color="auto"/>
        <w:bottom w:val="none" w:sz="0" w:space="0" w:color="auto"/>
        <w:right w:val="none" w:sz="0" w:space="0" w:color="auto"/>
      </w:divBdr>
    </w:div>
    <w:div w:id="1026254302">
      <w:bodyDiv w:val="1"/>
      <w:marLeft w:val="0"/>
      <w:marRight w:val="0"/>
      <w:marTop w:val="0"/>
      <w:marBottom w:val="0"/>
      <w:divBdr>
        <w:top w:val="none" w:sz="0" w:space="0" w:color="auto"/>
        <w:left w:val="none" w:sz="0" w:space="0" w:color="auto"/>
        <w:bottom w:val="none" w:sz="0" w:space="0" w:color="auto"/>
        <w:right w:val="none" w:sz="0" w:space="0" w:color="auto"/>
      </w:divBdr>
    </w:div>
    <w:div w:id="1026298490">
      <w:bodyDiv w:val="1"/>
      <w:marLeft w:val="0"/>
      <w:marRight w:val="0"/>
      <w:marTop w:val="0"/>
      <w:marBottom w:val="0"/>
      <w:divBdr>
        <w:top w:val="none" w:sz="0" w:space="0" w:color="auto"/>
        <w:left w:val="none" w:sz="0" w:space="0" w:color="auto"/>
        <w:bottom w:val="none" w:sz="0" w:space="0" w:color="auto"/>
        <w:right w:val="none" w:sz="0" w:space="0" w:color="auto"/>
      </w:divBdr>
    </w:div>
    <w:div w:id="1026634517">
      <w:bodyDiv w:val="1"/>
      <w:marLeft w:val="0"/>
      <w:marRight w:val="0"/>
      <w:marTop w:val="0"/>
      <w:marBottom w:val="0"/>
      <w:divBdr>
        <w:top w:val="none" w:sz="0" w:space="0" w:color="auto"/>
        <w:left w:val="none" w:sz="0" w:space="0" w:color="auto"/>
        <w:bottom w:val="none" w:sz="0" w:space="0" w:color="auto"/>
        <w:right w:val="none" w:sz="0" w:space="0" w:color="auto"/>
      </w:divBdr>
    </w:div>
    <w:div w:id="1026784657">
      <w:bodyDiv w:val="1"/>
      <w:marLeft w:val="0"/>
      <w:marRight w:val="0"/>
      <w:marTop w:val="0"/>
      <w:marBottom w:val="0"/>
      <w:divBdr>
        <w:top w:val="none" w:sz="0" w:space="0" w:color="auto"/>
        <w:left w:val="none" w:sz="0" w:space="0" w:color="auto"/>
        <w:bottom w:val="none" w:sz="0" w:space="0" w:color="auto"/>
        <w:right w:val="none" w:sz="0" w:space="0" w:color="auto"/>
      </w:divBdr>
    </w:div>
    <w:div w:id="1026831596">
      <w:bodyDiv w:val="1"/>
      <w:marLeft w:val="0"/>
      <w:marRight w:val="0"/>
      <w:marTop w:val="0"/>
      <w:marBottom w:val="0"/>
      <w:divBdr>
        <w:top w:val="none" w:sz="0" w:space="0" w:color="auto"/>
        <w:left w:val="none" w:sz="0" w:space="0" w:color="auto"/>
        <w:bottom w:val="none" w:sz="0" w:space="0" w:color="auto"/>
        <w:right w:val="none" w:sz="0" w:space="0" w:color="auto"/>
      </w:divBdr>
    </w:div>
    <w:div w:id="1027145772">
      <w:bodyDiv w:val="1"/>
      <w:marLeft w:val="0"/>
      <w:marRight w:val="0"/>
      <w:marTop w:val="0"/>
      <w:marBottom w:val="0"/>
      <w:divBdr>
        <w:top w:val="none" w:sz="0" w:space="0" w:color="auto"/>
        <w:left w:val="none" w:sz="0" w:space="0" w:color="auto"/>
        <w:bottom w:val="none" w:sz="0" w:space="0" w:color="auto"/>
        <w:right w:val="none" w:sz="0" w:space="0" w:color="auto"/>
      </w:divBdr>
    </w:div>
    <w:div w:id="1027173927">
      <w:bodyDiv w:val="1"/>
      <w:marLeft w:val="0"/>
      <w:marRight w:val="0"/>
      <w:marTop w:val="0"/>
      <w:marBottom w:val="0"/>
      <w:divBdr>
        <w:top w:val="none" w:sz="0" w:space="0" w:color="auto"/>
        <w:left w:val="none" w:sz="0" w:space="0" w:color="auto"/>
        <w:bottom w:val="none" w:sz="0" w:space="0" w:color="auto"/>
        <w:right w:val="none" w:sz="0" w:space="0" w:color="auto"/>
      </w:divBdr>
    </w:div>
    <w:div w:id="1027292171">
      <w:bodyDiv w:val="1"/>
      <w:marLeft w:val="0"/>
      <w:marRight w:val="0"/>
      <w:marTop w:val="0"/>
      <w:marBottom w:val="0"/>
      <w:divBdr>
        <w:top w:val="none" w:sz="0" w:space="0" w:color="auto"/>
        <w:left w:val="none" w:sz="0" w:space="0" w:color="auto"/>
        <w:bottom w:val="none" w:sz="0" w:space="0" w:color="auto"/>
        <w:right w:val="none" w:sz="0" w:space="0" w:color="auto"/>
      </w:divBdr>
    </w:div>
    <w:div w:id="1027364650">
      <w:bodyDiv w:val="1"/>
      <w:marLeft w:val="0"/>
      <w:marRight w:val="0"/>
      <w:marTop w:val="0"/>
      <w:marBottom w:val="0"/>
      <w:divBdr>
        <w:top w:val="none" w:sz="0" w:space="0" w:color="auto"/>
        <w:left w:val="none" w:sz="0" w:space="0" w:color="auto"/>
        <w:bottom w:val="none" w:sz="0" w:space="0" w:color="auto"/>
        <w:right w:val="none" w:sz="0" w:space="0" w:color="auto"/>
      </w:divBdr>
    </w:div>
    <w:div w:id="1027366435">
      <w:bodyDiv w:val="1"/>
      <w:marLeft w:val="0"/>
      <w:marRight w:val="0"/>
      <w:marTop w:val="0"/>
      <w:marBottom w:val="0"/>
      <w:divBdr>
        <w:top w:val="none" w:sz="0" w:space="0" w:color="auto"/>
        <w:left w:val="none" w:sz="0" w:space="0" w:color="auto"/>
        <w:bottom w:val="none" w:sz="0" w:space="0" w:color="auto"/>
        <w:right w:val="none" w:sz="0" w:space="0" w:color="auto"/>
      </w:divBdr>
    </w:div>
    <w:div w:id="1027607444">
      <w:bodyDiv w:val="1"/>
      <w:marLeft w:val="0"/>
      <w:marRight w:val="0"/>
      <w:marTop w:val="0"/>
      <w:marBottom w:val="0"/>
      <w:divBdr>
        <w:top w:val="none" w:sz="0" w:space="0" w:color="auto"/>
        <w:left w:val="none" w:sz="0" w:space="0" w:color="auto"/>
        <w:bottom w:val="none" w:sz="0" w:space="0" w:color="auto"/>
        <w:right w:val="none" w:sz="0" w:space="0" w:color="auto"/>
      </w:divBdr>
    </w:div>
    <w:div w:id="1027754612">
      <w:bodyDiv w:val="1"/>
      <w:marLeft w:val="0"/>
      <w:marRight w:val="0"/>
      <w:marTop w:val="0"/>
      <w:marBottom w:val="0"/>
      <w:divBdr>
        <w:top w:val="none" w:sz="0" w:space="0" w:color="auto"/>
        <w:left w:val="none" w:sz="0" w:space="0" w:color="auto"/>
        <w:bottom w:val="none" w:sz="0" w:space="0" w:color="auto"/>
        <w:right w:val="none" w:sz="0" w:space="0" w:color="auto"/>
      </w:divBdr>
    </w:div>
    <w:div w:id="1027949243">
      <w:bodyDiv w:val="1"/>
      <w:marLeft w:val="0"/>
      <w:marRight w:val="0"/>
      <w:marTop w:val="0"/>
      <w:marBottom w:val="0"/>
      <w:divBdr>
        <w:top w:val="none" w:sz="0" w:space="0" w:color="auto"/>
        <w:left w:val="none" w:sz="0" w:space="0" w:color="auto"/>
        <w:bottom w:val="none" w:sz="0" w:space="0" w:color="auto"/>
        <w:right w:val="none" w:sz="0" w:space="0" w:color="auto"/>
      </w:divBdr>
    </w:div>
    <w:div w:id="1028020811">
      <w:bodyDiv w:val="1"/>
      <w:marLeft w:val="0"/>
      <w:marRight w:val="0"/>
      <w:marTop w:val="0"/>
      <w:marBottom w:val="0"/>
      <w:divBdr>
        <w:top w:val="none" w:sz="0" w:space="0" w:color="auto"/>
        <w:left w:val="none" w:sz="0" w:space="0" w:color="auto"/>
        <w:bottom w:val="none" w:sz="0" w:space="0" w:color="auto"/>
        <w:right w:val="none" w:sz="0" w:space="0" w:color="auto"/>
      </w:divBdr>
    </w:div>
    <w:div w:id="1028020859">
      <w:bodyDiv w:val="1"/>
      <w:marLeft w:val="0"/>
      <w:marRight w:val="0"/>
      <w:marTop w:val="0"/>
      <w:marBottom w:val="0"/>
      <w:divBdr>
        <w:top w:val="none" w:sz="0" w:space="0" w:color="auto"/>
        <w:left w:val="none" w:sz="0" w:space="0" w:color="auto"/>
        <w:bottom w:val="none" w:sz="0" w:space="0" w:color="auto"/>
        <w:right w:val="none" w:sz="0" w:space="0" w:color="auto"/>
      </w:divBdr>
    </w:div>
    <w:div w:id="1028264111">
      <w:bodyDiv w:val="1"/>
      <w:marLeft w:val="0"/>
      <w:marRight w:val="0"/>
      <w:marTop w:val="0"/>
      <w:marBottom w:val="0"/>
      <w:divBdr>
        <w:top w:val="none" w:sz="0" w:space="0" w:color="auto"/>
        <w:left w:val="none" w:sz="0" w:space="0" w:color="auto"/>
        <w:bottom w:val="none" w:sz="0" w:space="0" w:color="auto"/>
        <w:right w:val="none" w:sz="0" w:space="0" w:color="auto"/>
      </w:divBdr>
    </w:div>
    <w:div w:id="1028338394">
      <w:bodyDiv w:val="1"/>
      <w:marLeft w:val="0"/>
      <w:marRight w:val="0"/>
      <w:marTop w:val="0"/>
      <w:marBottom w:val="0"/>
      <w:divBdr>
        <w:top w:val="none" w:sz="0" w:space="0" w:color="auto"/>
        <w:left w:val="none" w:sz="0" w:space="0" w:color="auto"/>
        <w:bottom w:val="none" w:sz="0" w:space="0" w:color="auto"/>
        <w:right w:val="none" w:sz="0" w:space="0" w:color="auto"/>
      </w:divBdr>
    </w:div>
    <w:div w:id="1028484294">
      <w:bodyDiv w:val="1"/>
      <w:marLeft w:val="0"/>
      <w:marRight w:val="0"/>
      <w:marTop w:val="0"/>
      <w:marBottom w:val="0"/>
      <w:divBdr>
        <w:top w:val="none" w:sz="0" w:space="0" w:color="auto"/>
        <w:left w:val="none" w:sz="0" w:space="0" w:color="auto"/>
        <w:bottom w:val="none" w:sz="0" w:space="0" w:color="auto"/>
        <w:right w:val="none" w:sz="0" w:space="0" w:color="auto"/>
      </w:divBdr>
    </w:div>
    <w:div w:id="1028484679">
      <w:bodyDiv w:val="1"/>
      <w:marLeft w:val="0"/>
      <w:marRight w:val="0"/>
      <w:marTop w:val="0"/>
      <w:marBottom w:val="0"/>
      <w:divBdr>
        <w:top w:val="none" w:sz="0" w:space="0" w:color="auto"/>
        <w:left w:val="none" w:sz="0" w:space="0" w:color="auto"/>
        <w:bottom w:val="none" w:sz="0" w:space="0" w:color="auto"/>
        <w:right w:val="none" w:sz="0" w:space="0" w:color="auto"/>
      </w:divBdr>
    </w:div>
    <w:div w:id="1028606056">
      <w:bodyDiv w:val="1"/>
      <w:marLeft w:val="0"/>
      <w:marRight w:val="0"/>
      <w:marTop w:val="0"/>
      <w:marBottom w:val="0"/>
      <w:divBdr>
        <w:top w:val="none" w:sz="0" w:space="0" w:color="auto"/>
        <w:left w:val="none" w:sz="0" w:space="0" w:color="auto"/>
        <w:bottom w:val="none" w:sz="0" w:space="0" w:color="auto"/>
        <w:right w:val="none" w:sz="0" w:space="0" w:color="auto"/>
      </w:divBdr>
    </w:div>
    <w:div w:id="1028677877">
      <w:bodyDiv w:val="1"/>
      <w:marLeft w:val="0"/>
      <w:marRight w:val="0"/>
      <w:marTop w:val="0"/>
      <w:marBottom w:val="0"/>
      <w:divBdr>
        <w:top w:val="none" w:sz="0" w:space="0" w:color="auto"/>
        <w:left w:val="none" w:sz="0" w:space="0" w:color="auto"/>
        <w:bottom w:val="none" w:sz="0" w:space="0" w:color="auto"/>
        <w:right w:val="none" w:sz="0" w:space="0" w:color="auto"/>
      </w:divBdr>
    </w:div>
    <w:div w:id="1028718637">
      <w:bodyDiv w:val="1"/>
      <w:marLeft w:val="0"/>
      <w:marRight w:val="0"/>
      <w:marTop w:val="0"/>
      <w:marBottom w:val="0"/>
      <w:divBdr>
        <w:top w:val="none" w:sz="0" w:space="0" w:color="auto"/>
        <w:left w:val="none" w:sz="0" w:space="0" w:color="auto"/>
        <w:bottom w:val="none" w:sz="0" w:space="0" w:color="auto"/>
        <w:right w:val="none" w:sz="0" w:space="0" w:color="auto"/>
      </w:divBdr>
    </w:div>
    <w:div w:id="1028945543">
      <w:bodyDiv w:val="1"/>
      <w:marLeft w:val="0"/>
      <w:marRight w:val="0"/>
      <w:marTop w:val="0"/>
      <w:marBottom w:val="0"/>
      <w:divBdr>
        <w:top w:val="none" w:sz="0" w:space="0" w:color="auto"/>
        <w:left w:val="none" w:sz="0" w:space="0" w:color="auto"/>
        <w:bottom w:val="none" w:sz="0" w:space="0" w:color="auto"/>
        <w:right w:val="none" w:sz="0" w:space="0" w:color="auto"/>
      </w:divBdr>
    </w:div>
    <w:div w:id="1029136449">
      <w:bodyDiv w:val="1"/>
      <w:marLeft w:val="0"/>
      <w:marRight w:val="0"/>
      <w:marTop w:val="0"/>
      <w:marBottom w:val="0"/>
      <w:divBdr>
        <w:top w:val="none" w:sz="0" w:space="0" w:color="auto"/>
        <w:left w:val="none" w:sz="0" w:space="0" w:color="auto"/>
        <w:bottom w:val="none" w:sz="0" w:space="0" w:color="auto"/>
        <w:right w:val="none" w:sz="0" w:space="0" w:color="auto"/>
      </w:divBdr>
    </w:div>
    <w:div w:id="1029139082">
      <w:bodyDiv w:val="1"/>
      <w:marLeft w:val="0"/>
      <w:marRight w:val="0"/>
      <w:marTop w:val="0"/>
      <w:marBottom w:val="0"/>
      <w:divBdr>
        <w:top w:val="none" w:sz="0" w:space="0" w:color="auto"/>
        <w:left w:val="none" w:sz="0" w:space="0" w:color="auto"/>
        <w:bottom w:val="none" w:sz="0" w:space="0" w:color="auto"/>
        <w:right w:val="none" w:sz="0" w:space="0" w:color="auto"/>
      </w:divBdr>
    </w:div>
    <w:div w:id="1029179952">
      <w:bodyDiv w:val="1"/>
      <w:marLeft w:val="0"/>
      <w:marRight w:val="0"/>
      <w:marTop w:val="0"/>
      <w:marBottom w:val="0"/>
      <w:divBdr>
        <w:top w:val="none" w:sz="0" w:space="0" w:color="auto"/>
        <w:left w:val="none" w:sz="0" w:space="0" w:color="auto"/>
        <w:bottom w:val="none" w:sz="0" w:space="0" w:color="auto"/>
        <w:right w:val="none" w:sz="0" w:space="0" w:color="auto"/>
      </w:divBdr>
    </w:div>
    <w:div w:id="1029182195">
      <w:bodyDiv w:val="1"/>
      <w:marLeft w:val="0"/>
      <w:marRight w:val="0"/>
      <w:marTop w:val="0"/>
      <w:marBottom w:val="0"/>
      <w:divBdr>
        <w:top w:val="none" w:sz="0" w:space="0" w:color="auto"/>
        <w:left w:val="none" w:sz="0" w:space="0" w:color="auto"/>
        <w:bottom w:val="none" w:sz="0" w:space="0" w:color="auto"/>
        <w:right w:val="none" w:sz="0" w:space="0" w:color="auto"/>
      </w:divBdr>
    </w:div>
    <w:div w:id="1029261437">
      <w:bodyDiv w:val="1"/>
      <w:marLeft w:val="0"/>
      <w:marRight w:val="0"/>
      <w:marTop w:val="0"/>
      <w:marBottom w:val="0"/>
      <w:divBdr>
        <w:top w:val="none" w:sz="0" w:space="0" w:color="auto"/>
        <w:left w:val="none" w:sz="0" w:space="0" w:color="auto"/>
        <w:bottom w:val="none" w:sz="0" w:space="0" w:color="auto"/>
        <w:right w:val="none" w:sz="0" w:space="0" w:color="auto"/>
      </w:divBdr>
    </w:div>
    <w:div w:id="1029526370">
      <w:bodyDiv w:val="1"/>
      <w:marLeft w:val="0"/>
      <w:marRight w:val="0"/>
      <w:marTop w:val="0"/>
      <w:marBottom w:val="0"/>
      <w:divBdr>
        <w:top w:val="none" w:sz="0" w:space="0" w:color="auto"/>
        <w:left w:val="none" w:sz="0" w:space="0" w:color="auto"/>
        <w:bottom w:val="none" w:sz="0" w:space="0" w:color="auto"/>
        <w:right w:val="none" w:sz="0" w:space="0" w:color="auto"/>
      </w:divBdr>
    </w:div>
    <w:div w:id="1029571574">
      <w:bodyDiv w:val="1"/>
      <w:marLeft w:val="0"/>
      <w:marRight w:val="0"/>
      <w:marTop w:val="0"/>
      <w:marBottom w:val="0"/>
      <w:divBdr>
        <w:top w:val="none" w:sz="0" w:space="0" w:color="auto"/>
        <w:left w:val="none" w:sz="0" w:space="0" w:color="auto"/>
        <w:bottom w:val="none" w:sz="0" w:space="0" w:color="auto"/>
        <w:right w:val="none" w:sz="0" w:space="0" w:color="auto"/>
      </w:divBdr>
    </w:div>
    <w:div w:id="1029839370">
      <w:bodyDiv w:val="1"/>
      <w:marLeft w:val="0"/>
      <w:marRight w:val="0"/>
      <w:marTop w:val="0"/>
      <w:marBottom w:val="0"/>
      <w:divBdr>
        <w:top w:val="none" w:sz="0" w:space="0" w:color="auto"/>
        <w:left w:val="none" w:sz="0" w:space="0" w:color="auto"/>
        <w:bottom w:val="none" w:sz="0" w:space="0" w:color="auto"/>
        <w:right w:val="none" w:sz="0" w:space="0" w:color="auto"/>
      </w:divBdr>
    </w:div>
    <w:div w:id="1029839407">
      <w:bodyDiv w:val="1"/>
      <w:marLeft w:val="0"/>
      <w:marRight w:val="0"/>
      <w:marTop w:val="0"/>
      <w:marBottom w:val="0"/>
      <w:divBdr>
        <w:top w:val="none" w:sz="0" w:space="0" w:color="auto"/>
        <w:left w:val="none" w:sz="0" w:space="0" w:color="auto"/>
        <w:bottom w:val="none" w:sz="0" w:space="0" w:color="auto"/>
        <w:right w:val="none" w:sz="0" w:space="0" w:color="auto"/>
      </w:divBdr>
    </w:div>
    <w:div w:id="1030228593">
      <w:bodyDiv w:val="1"/>
      <w:marLeft w:val="0"/>
      <w:marRight w:val="0"/>
      <w:marTop w:val="0"/>
      <w:marBottom w:val="0"/>
      <w:divBdr>
        <w:top w:val="none" w:sz="0" w:space="0" w:color="auto"/>
        <w:left w:val="none" w:sz="0" w:space="0" w:color="auto"/>
        <w:bottom w:val="none" w:sz="0" w:space="0" w:color="auto"/>
        <w:right w:val="none" w:sz="0" w:space="0" w:color="auto"/>
      </w:divBdr>
    </w:div>
    <w:div w:id="1030450181">
      <w:bodyDiv w:val="1"/>
      <w:marLeft w:val="0"/>
      <w:marRight w:val="0"/>
      <w:marTop w:val="0"/>
      <w:marBottom w:val="0"/>
      <w:divBdr>
        <w:top w:val="none" w:sz="0" w:space="0" w:color="auto"/>
        <w:left w:val="none" w:sz="0" w:space="0" w:color="auto"/>
        <w:bottom w:val="none" w:sz="0" w:space="0" w:color="auto"/>
        <w:right w:val="none" w:sz="0" w:space="0" w:color="auto"/>
      </w:divBdr>
    </w:div>
    <w:div w:id="1030716785">
      <w:bodyDiv w:val="1"/>
      <w:marLeft w:val="0"/>
      <w:marRight w:val="0"/>
      <w:marTop w:val="0"/>
      <w:marBottom w:val="0"/>
      <w:divBdr>
        <w:top w:val="none" w:sz="0" w:space="0" w:color="auto"/>
        <w:left w:val="none" w:sz="0" w:space="0" w:color="auto"/>
        <w:bottom w:val="none" w:sz="0" w:space="0" w:color="auto"/>
        <w:right w:val="none" w:sz="0" w:space="0" w:color="auto"/>
      </w:divBdr>
    </w:div>
    <w:div w:id="1030759310">
      <w:bodyDiv w:val="1"/>
      <w:marLeft w:val="0"/>
      <w:marRight w:val="0"/>
      <w:marTop w:val="0"/>
      <w:marBottom w:val="0"/>
      <w:divBdr>
        <w:top w:val="none" w:sz="0" w:space="0" w:color="auto"/>
        <w:left w:val="none" w:sz="0" w:space="0" w:color="auto"/>
        <w:bottom w:val="none" w:sz="0" w:space="0" w:color="auto"/>
        <w:right w:val="none" w:sz="0" w:space="0" w:color="auto"/>
      </w:divBdr>
    </w:div>
    <w:div w:id="1030885015">
      <w:bodyDiv w:val="1"/>
      <w:marLeft w:val="0"/>
      <w:marRight w:val="0"/>
      <w:marTop w:val="0"/>
      <w:marBottom w:val="0"/>
      <w:divBdr>
        <w:top w:val="none" w:sz="0" w:space="0" w:color="auto"/>
        <w:left w:val="none" w:sz="0" w:space="0" w:color="auto"/>
        <w:bottom w:val="none" w:sz="0" w:space="0" w:color="auto"/>
        <w:right w:val="none" w:sz="0" w:space="0" w:color="auto"/>
      </w:divBdr>
    </w:div>
    <w:div w:id="1030956682">
      <w:bodyDiv w:val="1"/>
      <w:marLeft w:val="0"/>
      <w:marRight w:val="0"/>
      <w:marTop w:val="0"/>
      <w:marBottom w:val="0"/>
      <w:divBdr>
        <w:top w:val="none" w:sz="0" w:space="0" w:color="auto"/>
        <w:left w:val="none" w:sz="0" w:space="0" w:color="auto"/>
        <w:bottom w:val="none" w:sz="0" w:space="0" w:color="auto"/>
        <w:right w:val="none" w:sz="0" w:space="0" w:color="auto"/>
      </w:divBdr>
    </w:div>
    <w:div w:id="1031027029">
      <w:bodyDiv w:val="1"/>
      <w:marLeft w:val="0"/>
      <w:marRight w:val="0"/>
      <w:marTop w:val="0"/>
      <w:marBottom w:val="0"/>
      <w:divBdr>
        <w:top w:val="none" w:sz="0" w:space="0" w:color="auto"/>
        <w:left w:val="none" w:sz="0" w:space="0" w:color="auto"/>
        <w:bottom w:val="none" w:sz="0" w:space="0" w:color="auto"/>
        <w:right w:val="none" w:sz="0" w:space="0" w:color="auto"/>
      </w:divBdr>
    </w:div>
    <w:div w:id="1031226550">
      <w:bodyDiv w:val="1"/>
      <w:marLeft w:val="0"/>
      <w:marRight w:val="0"/>
      <w:marTop w:val="0"/>
      <w:marBottom w:val="0"/>
      <w:divBdr>
        <w:top w:val="none" w:sz="0" w:space="0" w:color="auto"/>
        <w:left w:val="none" w:sz="0" w:space="0" w:color="auto"/>
        <w:bottom w:val="none" w:sz="0" w:space="0" w:color="auto"/>
        <w:right w:val="none" w:sz="0" w:space="0" w:color="auto"/>
      </w:divBdr>
    </w:div>
    <w:div w:id="1031497217">
      <w:bodyDiv w:val="1"/>
      <w:marLeft w:val="0"/>
      <w:marRight w:val="0"/>
      <w:marTop w:val="0"/>
      <w:marBottom w:val="0"/>
      <w:divBdr>
        <w:top w:val="none" w:sz="0" w:space="0" w:color="auto"/>
        <w:left w:val="none" w:sz="0" w:space="0" w:color="auto"/>
        <w:bottom w:val="none" w:sz="0" w:space="0" w:color="auto"/>
        <w:right w:val="none" w:sz="0" w:space="0" w:color="auto"/>
      </w:divBdr>
    </w:div>
    <w:div w:id="1031498571">
      <w:bodyDiv w:val="1"/>
      <w:marLeft w:val="0"/>
      <w:marRight w:val="0"/>
      <w:marTop w:val="0"/>
      <w:marBottom w:val="0"/>
      <w:divBdr>
        <w:top w:val="none" w:sz="0" w:space="0" w:color="auto"/>
        <w:left w:val="none" w:sz="0" w:space="0" w:color="auto"/>
        <w:bottom w:val="none" w:sz="0" w:space="0" w:color="auto"/>
        <w:right w:val="none" w:sz="0" w:space="0" w:color="auto"/>
      </w:divBdr>
    </w:div>
    <w:div w:id="1031761031">
      <w:bodyDiv w:val="1"/>
      <w:marLeft w:val="0"/>
      <w:marRight w:val="0"/>
      <w:marTop w:val="0"/>
      <w:marBottom w:val="0"/>
      <w:divBdr>
        <w:top w:val="none" w:sz="0" w:space="0" w:color="auto"/>
        <w:left w:val="none" w:sz="0" w:space="0" w:color="auto"/>
        <w:bottom w:val="none" w:sz="0" w:space="0" w:color="auto"/>
        <w:right w:val="none" w:sz="0" w:space="0" w:color="auto"/>
      </w:divBdr>
    </w:div>
    <w:div w:id="1032269170">
      <w:bodyDiv w:val="1"/>
      <w:marLeft w:val="0"/>
      <w:marRight w:val="0"/>
      <w:marTop w:val="0"/>
      <w:marBottom w:val="0"/>
      <w:divBdr>
        <w:top w:val="none" w:sz="0" w:space="0" w:color="auto"/>
        <w:left w:val="none" w:sz="0" w:space="0" w:color="auto"/>
        <w:bottom w:val="none" w:sz="0" w:space="0" w:color="auto"/>
        <w:right w:val="none" w:sz="0" w:space="0" w:color="auto"/>
      </w:divBdr>
    </w:div>
    <w:div w:id="1032458158">
      <w:bodyDiv w:val="1"/>
      <w:marLeft w:val="0"/>
      <w:marRight w:val="0"/>
      <w:marTop w:val="0"/>
      <w:marBottom w:val="0"/>
      <w:divBdr>
        <w:top w:val="none" w:sz="0" w:space="0" w:color="auto"/>
        <w:left w:val="none" w:sz="0" w:space="0" w:color="auto"/>
        <w:bottom w:val="none" w:sz="0" w:space="0" w:color="auto"/>
        <w:right w:val="none" w:sz="0" w:space="0" w:color="auto"/>
      </w:divBdr>
    </w:div>
    <w:div w:id="1032537353">
      <w:bodyDiv w:val="1"/>
      <w:marLeft w:val="0"/>
      <w:marRight w:val="0"/>
      <w:marTop w:val="0"/>
      <w:marBottom w:val="0"/>
      <w:divBdr>
        <w:top w:val="none" w:sz="0" w:space="0" w:color="auto"/>
        <w:left w:val="none" w:sz="0" w:space="0" w:color="auto"/>
        <w:bottom w:val="none" w:sz="0" w:space="0" w:color="auto"/>
        <w:right w:val="none" w:sz="0" w:space="0" w:color="auto"/>
      </w:divBdr>
    </w:div>
    <w:div w:id="1032609228">
      <w:bodyDiv w:val="1"/>
      <w:marLeft w:val="0"/>
      <w:marRight w:val="0"/>
      <w:marTop w:val="0"/>
      <w:marBottom w:val="0"/>
      <w:divBdr>
        <w:top w:val="none" w:sz="0" w:space="0" w:color="auto"/>
        <w:left w:val="none" w:sz="0" w:space="0" w:color="auto"/>
        <w:bottom w:val="none" w:sz="0" w:space="0" w:color="auto"/>
        <w:right w:val="none" w:sz="0" w:space="0" w:color="auto"/>
      </w:divBdr>
    </w:div>
    <w:div w:id="1032655108">
      <w:bodyDiv w:val="1"/>
      <w:marLeft w:val="0"/>
      <w:marRight w:val="0"/>
      <w:marTop w:val="0"/>
      <w:marBottom w:val="0"/>
      <w:divBdr>
        <w:top w:val="none" w:sz="0" w:space="0" w:color="auto"/>
        <w:left w:val="none" w:sz="0" w:space="0" w:color="auto"/>
        <w:bottom w:val="none" w:sz="0" w:space="0" w:color="auto"/>
        <w:right w:val="none" w:sz="0" w:space="0" w:color="auto"/>
      </w:divBdr>
    </w:div>
    <w:div w:id="1032807471">
      <w:bodyDiv w:val="1"/>
      <w:marLeft w:val="0"/>
      <w:marRight w:val="0"/>
      <w:marTop w:val="0"/>
      <w:marBottom w:val="0"/>
      <w:divBdr>
        <w:top w:val="none" w:sz="0" w:space="0" w:color="auto"/>
        <w:left w:val="none" w:sz="0" w:space="0" w:color="auto"/>
        <w:bottom w:val="none" w:sz="0" w:space="0" w:color="auto"/>
        <w:right w:val="none" w:sz="0" w:space="0" w:color="auto"/>
      </w:divBdr>
    </w:div>
    <w:div w:id="1033111973">
      <w:bodyDiv w:val="1"/>
      <w:marLeft w:val="0"/>
      <w:marRight w:val="0"/>
      <w:marTop w:val="0"/>
      <w:marBottom w:val="0"/>
      <w:divBdr>
        <w:top w:val="none" w:sz="0" w:space="0" w:color="auto"/>
        <w:left w:val="none" w:sz="0" w:space="0" w:color="auto"/>
        <w:bottom w:val="none" w:sz="0" w:space="0" w:color="auto"/>
        <w:right w:val="none" w:sz="0" w:space="0" w:color="auto"/>
      </w:divBdr>
    </w:div>
    <w:div w:id="1033265311">
      <w:bodyDiv w:val="1"/>
      <w:marLeft w:val="0"/>
      <w:marRight w:val="0"/>
      <w:marTop w:val="0"/>
      <w:marBottom w:val="0"/>
      <w:divBdr>
        <w:top w:val="none" w:sz="0" w:space="0" w:color="auto"/>
        <w:left w:val="none" w:sz="0" w:space="0" w:color="auto"/>
        <w:bottom w:val="none" w:sz="0" w:space="0" w:color="auto"/>
        <w:right w:val="none" w:sz="0" w:space="0" w:color="auto"/>
      </w:divBdr>
    </w:div>
    <w:div w:id="1033578616">
      <w:bodyDiv w:val="1"/>
      <w:marLeft w:val="0"/>
      <w:marRight w:val="0"/>
      <w:marTop w:val="0"/>
      <w:marBottom w:val="0"/>
      <w:divBdr>
        <w:top w:val="none" w:sz="0" w:space="0" w:color="auto"/>
        <w:left w:val="none" w:sz="0" w:space="0" w:color="auto"/>
        <w:bottom w:val="none" w:sz="0" w:space="0" w:color="auto"/>
        <w:right w:val="none" w:sz="0" w:space="0" w:color="auto"/>
      </w:divBdr>
    </w:div>
    <w:div w:id="1033961483">
      <w:bodyDiv w:val="1"/>
      <w:marLeft w:val="0"/>
      <w:marRight w:val="0"/>
      <w:marTop w:val="0"/>
      <w:marBottom w:val="0"/>
      <w:divBdr>
        <w:top w:val="none" w:sz="0" w:space="0" w:color="auto"/>
        <w:left w:val="none" w:sz="0" w:space="0" w:color="auto"/>
        <w:bottom w:val="none" w:sz="0" w:space="0" w:color="auto"/>
        <w:right w:val="none" w:sz="0" w:space="0" w:color="auto"/>
      </w:divBdr>
    </w:div>
    <w:div w:id="1033993212">
      <w:bodyDiv w:val="1"/>
      <w:marLeft w:val="0"/>
      <w:marRight w:val="0"/>
      <w:marTop w:val="0"/>
      <w:marBottom w:val="0"/>
      <w:divBdr>
        <w:top w:val="none" w:sz="0" w:space="0" w:color="auto"/>
        <w:left w:val="none" w:sz="0" w:space="0" w:color="auto"/>
        <w:bottom w:val="none" w:sz="0" w:space="0" w:color="auto"/>
        <w:right w:val="none" w:sz="0" w:space="0" w:color="auto"/>
      </w:divBdr>
    </w:div>
    <w:div w:id="1034044273">
      <w:bodyDiv w:val="1"/>
      <w:marLeft w:val="0"/>
      <w:marRight w:val="0"/>
      <w:marTop w:val="0"/>
      <w:marBottom w:val="0"/>
      <w:divBdr>
        <w:top w:val="none" w:sz="0" w:space="0" w:color="auto"/>
        <w:left w:val="none" w:sz="0" w:space="0" w:color="auto"/>
        <w:bottom w:val="none" w:sz="0" w:space="0" w:color="auto"/>
        <w:right w:val="none" w:sz="0" w:space="0" w:color="auto"/>
      </w:divBdr>
    </w:div>
    <w:div w:id="1034233105">
      <w:bodyDiv w:val="1"/>
      <w:marLeft w:val="0"/>
      <w:marRight w:val="0"/>
      <w:marTop w:val="0"/>
      <w:marBottom w:val="0"/>
      <w:divBdr>
        <w:top w:val="none" w:sz="0" w:space="0" w:color="auto"/>
        <w:left w:val="none" w:sz="0" w:space="0" w:color="auto"/>
        <w:bottom w:val="none" w:sz="0" w:space="0" w:color="auto"/>
        <w:right w:val="none" w:sz="0" w:space="0" w:color="auto"/>
      </w:divBdr>
    </w:div>
    <w:div w:id="1034234999">
      <w:bodyDiv w:val="1"/>
      <w:marLeft w:val="0"/>
      <w:marRight w:val="0"/>
      <w:marTop w:val="0"/>
      <w:marBottom w:val="0"/>
      <w:divBdr>
        <w:top w:val="none" w:sz="0" w:space="0" w:color="auto"/>
        <w:left w:val="none" w:sz="0" w:space="0" w:color="auto"/>
        <w:bottom w:val="none" w:sz="0" w:space="0" w:color="auto"/>
        <w:right w:val="none" w:sz="0" w:space="0" w:color="auto"/>
      </w:divBdr>
    </w:div>
    <w:div w:id="1034309805">
      <w:bodyDiv w:val="1"/>
      <w:marLeft w:val="0"/>
      <w:marRight w:val="0"/>
      <w:marTop w:val="0"/>
      <w:marBottom w:val="0"/>
      <w:divBdr>
        <w:top w:val="none" w:sz="0" w:space="0" w:color="auto"/>
        <w:left w:val="none" w:sz="0" w:space="0" w:color="auto"/>
        <w:bottom w:val="none" w:sz="0" w:space="0" w:color="auto"/>
        <w:right w:val="none" w:sz="0" w:space="0" w:color="auto"/>
      </w:divBdr>
    </w:div>
    <w:div w:id="1034378744">
      <w:bodyDiv w:val="1"/>
      <w:marLeft w:val="0"/>
      <w:marRight w:val="0"/>
      <w:marTop w:val="0"/>
      <w:marBottom w:val="0"/>
      <w:divBdr>
        <w:top w:val="none" w:sz="0" w:space="0" w:color="auto"/>
        <w:left w:val="none" w:sz="0" w:space="0" w:color="auto"/>
        <w:bottom w:val="none" w:sz="0" w:space="0" w:color="auto"/>
        <w:right w:val="none" w:sz="0" w:space="0" w:color="auto"/>
      </w:divBdr>
    </w:div>
    <w:div w:id="1034379352">
      <w:bodyDiv w:val="1"/>
      <w:marLeft w:val="0"/>
      <w:marRight w:val="0"/>
      <w:marTop w:val="0"/>
      <w:marBottom w:val="0"/>
      <w:divBdr>
        <w:top w:val="none" w:sz="0" w:space="0" w:color="auto"/>
        <w:left w:val="none" w:sz="0" w:space="0" w:color="auto"/>
        <w:bottom w:val="none" w:sz="0" w:space="0" w:color="auto"/>
        <w:right w:val="none" w:sz="0" w:space="0" w:color="auto"/>
      </w:divBdr>
    </w:div>
    <w:div w:id="1034382498">
      <w:bodyDiv w:val="1"/>
      <w:marLeft w:val="0"/>
      <w:marRight w:val="0"/>
      <w:marTop w:val="0"/>
      <w:marBottom w:val="0"/>
      <w:divBdr>
        <w:top w:val="none" w:sz="0" w:space="0" w:color="auto"/>
        <w:left w:val="none" w:sz="0" w:space="0" w:color="auto"/>
        <w:bottom w:val="none" w:sz="0" w:space="0" w:color="auto"/>
        <w:right w:val="none" w:sz="0" w:space="0" w:color="auto"/>
      </w:divBdr>
    </w:div>
    <w:div w:id="1034423127">
      <w:bodyDiv w:val="1"/>
      <w:marLeft w:val="0"/>
      <w:marRight w:val="0"/>
      <w:marTop w:val="0"/>
      <w:marBottom w:val="0"/>
      <w:divBdr>
        <w:top w:val="none" w:sz="0" w:space="0" w:color="auto"/>
        <w:left w:val="none" w:sz="0" w:space="0" w:color="auto"/>
        <w:bottom w:val="none" w:sz="0" w:space="0" w:color="auto"/>
        <w:right w:val="none" w:sz="0" w:space="0" w:color="auto"/>
      </w:divBdr>
    </w:div>
    <w:div w:id="1034693915">
      <w:bodyDiv w:val="1"/>
      <w:marLeft w:val="0"/>
      <w:marRight w:val="0"/>
      <w:marTop w:val="0"/>
      <w:marBottom w:val="0"/>
      <w:divBdr>
        <w:top w:val="none" w:sz="0" w:space="0" w:color="auto"/>
        <w:left w:val="none" w:sz="0" w:space="0" w:color="auto"/>
        <w:bottom w:val="none" w:sz="0" w:space="0" w:color="auto"/>
        <w:right w:val="none" w:sz="0" w:space="0" w:color="auto"/>
      </w:divBdr>
    </w:div>
    <w:div w:id="1034695812">
      <w:bodyDiv w:val="1"/>
      <w:marLeft w:val="0"/>
      <w:marRight w:val="0"/>
      <w:marTop w:val="0"/>
      <w:marBottom w:val="0"/>
      <w:divBdr>
        <w:top w:val="none" w:sz="0" w:space="0" w:color="auto"/>
        <w:left w:val="none" w:sz="0" w:space="0" w:color="auto"/>
        <w:bottom w:val="none" w:sz="0" w:space="0" w:color="auto"/>
        <w:right w:val="none" w:sz="0" w:space="0" w:color="auto"/>
      </w:divBdr>
    </w:div>
    <w:div w:id="1034773569">
      <w:bodyDiv w:val="1"/>
      <w:marLeft w:val="0"/>
      <w:marRight w:val="0"/>
      <w:marTop w:val="0"/>
      <w:marBottom w:val="0"/>
      <w:divBdr>
        <w:top w:val="none" w:sz="0" w:space="0" w:color="auto"/>
        <w:left w:val="none" w:sz="0" w:space="0" w:color="auto"/>
        <w:bottom w:val="none" w:sz="0" w:space="0" w:color="auto"/>
        <w:right w:val="none" w:sz="0" w:space="0" w:color="auto"/>
      </w:divBdr>
    </w:div>
    <w:div w:id="1035036210">
      <w:bodyDiv w:val="1"/>
      <w:marLeft w:val="0"/>
      <w:marRight w:val="0"/>
      <w:marTop w:val="0"/>
      <w:marBottom w:val="0"/>
      <w:divBdr>
        <w:top w:val="none" w:sz="0" w:space="0" w:color="auto"/>
        <w:left w:val="none" w:sz="0" w:space="0" w:color="auto"/>
        <w:bottom w:val="none" w:sz="0" w:space="0" w:color="auto"/>
        <w:right w:val="none" w:sz="0" w:space="0" w:color="auto"/>
      </w:divBdr>
    </w:div>
    <w:div w:id="1035083241">
      <w:bodyDiv w:val="1"/>
      <w:marLeft w:val="0"/>
      <w:marRight w:val="0"/>
      <w:marTop w:val="0"/>
      <w:marBottom w:val="0"/>
      <w:divBdr>
        <w:top w:val="none" w:sz="0" w:space="0" w:color="auto"/>
        <w:left w:val="none" w:sz="0" w:space="0" w:color="auto"/>
        <w:bottom w:val="none" w:sz="0" w:space="0" w:color="auto"/>
        <w:right w:val="none" w:sz="0" w:space="0" w:color="auto"/>
      </w:divBdr>
    </w:div>
    <w:div w:id="1035084022">
      <w:bodyDiv w:val="1"/>
      <w:marLeft w:val="0"/>
      <w:marRight w:val="0"/>
      <w:marTop w:val="0"/>
      <w:marBottom w:val="0"/>
      <w:divBdr>
        <w:top w:val="none" w:sz="0" w:space="0" w:color="auto"/>
        <w:left w:val="none" w:sz="0" w:space="0" w:color="auto"/>
        <w:bottom w:val="none" w:sz="0" w:space="0" w:color="auto"/>
        <w:right w:val="none" w:sz="0" w:space="0" w:color="auto"/>
      </w:divBdr>
    </w:div>
    <w:div w:id="1035153128">
      <w:bodyDiv w:val="1"/>
      <w:marLeft w:val="0"/>
      <w:marRight w:val="0"/>
      <w:marTop w:val="0"/>
      <w:marBottom w:val="0"/>
      <w:divBdr>
        <w:top w:val="none" w:sz="0" w:space="0" w:color="auto"/>
        <w:left w:val="none" w:sz="0" w:space="0" w:color="auto"/>
        <w:bottom w:val="none" w:sz="0" w:space="0" w:color="auto"/>
        <w:right w:val="none" w:sz="0" w:space="0" w:color="auto"/>
      </w:divBdr>
    </w:div>
    <w:div w:id="1035153326">
      <w:bodyDiv w:val="1"/>
      <w:marLeft w:val="0"/>
      <w:marRight w:val="0"/>
      <w:marTop w:val="0"/>
      <w:marBottom w:val="0"/>
      <w:divBdr>
        <w:top w:val="none" w:sz="0" w:space="0" w:color="auto"/>
        <w:left w:val="none" w:sz="0" w:space="0" w:color="auto"/>
        <w:bottom w:val="none" w:sz="0" w:space="0" w:color="auto"/>
        <w:right w:val="none" w:sz="0" w:space="0" w:color="auto"/>
      </w:divBdr>
    </w:div>
    <w:div w:id="1035348559">
      <w:bodyDiv w:val="1"/>
      <w:marLeft w:val="0"/>
      <w:marRight w:val="0"/>
      <w:marTop w:val="0"/>
      <w:marBottom w:val="0"/>
      <w:divBdr>
        <w:top w:val="none" w:sz="0" w:space="0" w:color="auto"/>
        <w:left w:val="none" w:sz="0" w:space="0" w:color="auto"/>
        <w:bottom w:val="none" w:sz="0" w:space="0" w:color="auto"/>
        <w:right w:val="none" w:sz="0" w:space="0" w:color="auto"/>
      </w:divBdr>
    </w:div>
    <w:div w:id="1035425902">
      <w:bodyDiv w:val="1"/>
      <w:marLeft w:val="0"/>
      <w:marRight w:val="0"/>
      <w:marTop w:val="0"/>
      <w:marBottom w:val="0"/>
      <w:divBdr>
        <w:top w:val="none" w:sz="0" w:space="0" w:color="auto"/>
        <w:left w:val="none" w:sz="0" w:space="0" w:color="auto"/>
        <w:bottom w:val="none" w:sz="0" w:space="0" w:color="auto"/>
        <w:right w:val="none" w:sz="0" w:space="0" w:color="auto"/>
      </w:divBdr>
    </w:div>
    <w:div w:id="1035544041">
      <w:bodyDiv w:val="1"/>
      <w:marLeft w:val="0"/>
      <w:marRight w:val="0"/>
      <w:marTop w:val="0"/>
      <w:marBottom w:val="0"/>
      <w:divBdr>
        <w:top w:val="none" w:sz="0" w:space="0" w:color="auto"/>
        <w:left w:val="none" w:sz="0" w:space="0" w:color="auto"/>
        <w:bottom w:val="none" w:sz="0" w:space="0" w:color="auto"/>
        <w:right w:val="none" w:sz="0" w:space="0" w:color="auto"/>
      </w:divBdr>
    </w:div>
    <w:div w:id="1035544694">
      <w:bodyDiv w:val="1"/>
      <w:marLeft w:val="0"/>
      <w:marRight w:val="0"/>
      <w:marTop w:val="0"/>
      <w:marBottom w:val="0"/>
      <w:divBdr>
        <w:top w:val="none" w:sz="0" w:space="0" w:color="auto"/>
        <w:left w:val="none" w:sz="0" w:space="0" w:color="auto"/>
        <w:bottom w:val="none" w:sz="0" w:space="0" w:color="auto"/>
        <w:right w:val="none" w:sz="0" w:space="0" w:color="auto"/>
      </w:divBdr>
    </w:div>
    <w:div w:id="1035884357">
      <w:bodyDiv w:val="1"/>
      <w:marLeft w:val="0"/>
      <w:marRight w:val="0"/>
      <w:marTop w:val="0"/>
      <w:marBottom w:val="0"/>
      <w:divBdr>
        <w:top w:val="none" w:sz="0" w:space="0" w:color="auto"/>
        <w:left w:val="none" w:sz="0" w:space="0" w:color="auto"/>
        <w:bottom w:val="none" w:sz="0" w:space="0" w:color="auto"/>
        <w:right w:val="none" w:sz="0" w:space="0" w:color="auto"/>
      </w:divBdr>
    </w:div>
    <w:div w:id="1035890373">
      <w:bodyDiv w:val="1"/>
      <w:marLeft w:val="0"/>
      <w:marRight w:val="0"/>
      <w:marTop w:val="0"/>
      <w:marBottom w:val="0"/>
      <w:divBdr>
        <w:top w:val="none" w:sz="0" w:space="0" w:color="auto"/>
        <w:left w:val="none" w:sz="0" w:space="0" w:color="auto"/>
        <w:bottom w:val="none" w:sz="0" w:space="0" w:color="auto"/>
        <w:right w:val="none" w:sz="0" w:space="0" w:color="auto"/>
      </w:divBdr>
    </w:div>
    <w:div w:id="1035931791">
      <w:bodyDiv w:val="1"/>
      <w:marLeft w:val="0"/>
      <w:marRight w:val="0"/>
      <w:marTop w:val="0"/>
      <w:marBottom w:val="0"/>
      <w:divBdr>
        <w:top w:val="none" w:sz="0" w:space="0" w:color="auto"/>
        <w:left w:val="none" w:sz="0" w:space="0" w:color="auto"/>
        <w:bottom w:val="none" w:sz="0" w:space="0" w:color="auto"/>
        <w:right w:val="none" w:sz="0" w:space="0" w:color="auto"/>
      </w:divBdr>
    </w:div>
    <w:div w:id="1036394371">
      <w:bodyDiv w:val="1"/>
      <w:marLeft w:val="0"/>
      <w:marRight w:val="0"/>
      <w:marTop w:val="0"/>
      <w:marBottom w:val="0"/>
      <w:divBdr>
        <w:top w:val="none" w:sz="0" w:space="0" w:color="auto"/>
        <w:left w:val="none" w:sz="0" w:space="0" w:color="auto"/>
        <w:bottom w:val="none" w:sz="0" w:space="0" w:color="auto"/>
        <w:right w:val="none" w:sz="0" w:space="0" w:color="auto"/>
      </w:divBdr>
    </w:div>
    <w:div w:id="1036543380">
      <w:bodyDiv w:val="1"/>
      <w:marLeft w:val="0"/>
      <w:marRight w:val="0"/>
      <w:marTop w:val="0"/>
      <w:marBottom w:val="0"/>
      <w:divBdr>
        <w:top w:val="none" w:sz="0" w:space="0" w:color="auto"/>
        <w:left w:val="none" w:sz="0" w:space="0" w:color="auto"/>
        <w:bottom w:val="none" w:sz="0" w:space="0" w:color="auto"/>
        <w:right w:val="none" w:sz="0" w:space="0" w:color="auto"/>
      </w:divBdr>
    </w:div>
    <w:div w:id="1036582930">
      <w:bodyDiv w:val="1"/>
      <w:marLeft w:val="0"/>
      <w:marRight w:val="0"/>
      <w:marTop w:val="0"/>
      <w:marBottom w:val="0"/>
      <w:divBdr>
        <w:top w:val="none" w:sz="0" w:space="0" w:color="auto"/>
        <w:left w:val="none" w:sz="0" w:space="0" w:color="auto"/>
        <w:bottom w:val="none" w:sz="0" w:space="0" w:color="auto"/>
        <w:right w:val="none" w:sz="0" w:space="0" w:color="auto"/>
      </w:divBdr>
    </w:div>
    <w:div w:id="1036779620">
      <w:bodyDiv w:val="1"/>
      <w:marLeft w:val="0"/>
      <w:marRight w:val="0"/>
      <w:marTop w:val="0"/>
      <w:marBottom w:val="0"/>
      <w:divBdr>
        <w:top w:val="none" w:sz="0" w:space="0" w:color="auto"/>
        <w:left w:val="none" w:sz="0" w:space="0" w:color="auto"/>
        <w:bottom w:val="none" w:sz="0" w:space="0" w:color="auto"/>
        <w:right w:val="none" w:sz="0" w:space="0" w:color="auto"/>
      </w:divBdr>
    </w:div>
    <w:div w:id="1036929066">
      <w:bodyDiv w:val="1"/>
      <w:marLeft w:val="0"/>
      <w:marRight w:val="0"/>
      <w:marTop w:val="0"/>
      <w:marBottom w:val="0"/>
      <w:divBdr>
        <w:top w:val="none" w:sz="0" w:space="0" w:color="auto"/>
        <w:left w:val="none" w:sz="0" w:space="0" w:color="auto"/>
        <w:bottom w:val="none" w:sz="0" w:space="0" w:color="auto"/>
        <w:right w:val="none" w:sz="0" w:space="0" w:color="auto"/>
      </w:divBdr>
    </w:div>
    <w:div w:id="1037007060">
      <w:bodyDiv w:val="1"/>
      <w:marLeft w:val="0"/>
      <w:marRight w:val="0"/>
      <w:marTop w:val="0"/>
      <w:marBottom w:val="0"/>
      <w:divBdr>
        <w:top w:val="none" w:sz="0" w:space="0" w:color="auto"/>
        <w:left w:val="none" w:sz="0" w:space="0" w:color="auto"/>
        <w:bottom w:val="none" w:sz="0" w:space="0" w:color="auto"/>
        <w:right w:val="none" w:sz="0" w:space="0" w:color="auto"/>
      </w:divBdr>
    </w:div>
    <w:div w:id="1037048576">
      <w:bodyDiv w:val="1"/>
      <w:marLeft w:val="0"/>
      <w:marRight w:val="0"/>
      <w:marTop w:val="0"/>
      <w:marBottom w:val="0"/>
      <w:divBdr>
        <w:top w:val="none" w:sz="0" w:space="0" w:color="auto"/>
        <w:left w:val="none" w:sz="0" w:space="0" w:color="auto"/>
        <w:bottom w:val="none" w:sz="0" w:space="0" w:color="auto"/>
        <w:right w:val="none" w:sz="0" w:space="0" w:color="auto"/>
      </w:divBdr>
    </w:div>
    <w:div w:id="1037124164">
      <w:bodyDiv w:val="1"/>
      <w:marLeft w:val="0"/>
      <w:marRight w:val="0"/>
      <w:marTop w:val="0"/>
      <w:marBottom w:val="0"/>
      <w:divBdr>
        <w:top w:val="none" w:sz="0" w:space="0" w:color="auto"/>
        <w:left w:val="none" w:sz="0" w:space="0" w:color="auto"/>
        <w:bottom w:val="none" w:sz="0" w:space="0" w:color="auto"/>
        <w:right w:val="none" w:sz="0" w:space="0" w:color="auto"/>
      </w:divBdr>
    </w:div>
    <w:div w:id="1037310929">
      <w:bodyDiv w:val="1"/>
      <w:marLeft w:val="0"/>
      <w:marRight w:val="0"/>
      <w:marTop w:val="0"/>
      <w:marBottom w:val="0"/>
      <w:divBdr>
        <w:top w:val="none" w:sz="0" w:space="0" w:color="auto"/>
        <w:left w:val="none" w:sz="0" w:space="0" w:color="auto"/>
        <w:bottom w:val="none" w:sz="0" w:space="0" w:color="auto"/>
        <w:right w:val="none" w:sz="0" w:space="0" w:color="auto"/>
      </w:divBdr>
    </w:div>
    <w:div w:id="1037314320">
      <w:bodyDiv w:val="1"/>
      <w:marLeft w:val="0"/>
      <w:marRight w:val="0"/>
      <w:marTop w:val="0"/>
      <w:marBottom w:val="0"/>
      <w:divBdr>
        <w:top w:val="none" w:sz="0" w:space="0" w:color="auto"/>
        <w:left w:val="none" w:sz="0" w:space="0" w:color="auto"/>
        <w:bottom w:val="none" w:sz="0" w:space="0" w:color="auto"/>
        <w:right w:val="none" w:sz="0" w:space="0" w:color="auto"/>
      </w:divBdr>
    </w:div>
    <w:div w:id="1037315210">
      <w:bodyDiv w:val="1"/>
      <w:marLeft w:val="0"/>
      <w:marRight w:val="0"/>
      <w:marTop w:val="0"/>
      <w:marBottom w:val="0"/>
      <w:divBdr>
        <w:top w:val="none" w:sz="0" w:space="0" w:color="auto"/>
        <w:left w:val="none" w:sz="0" w:space="0" w:color="auto"/>
        <w:bottom w:val="none" w:sz="0" w:space="0" w:color="auto"/>
        <w:right w:val="none" w:sz="0" w:space="0" w:color="auto"/>
      </w:divBdr>
    </w:div>
    <w:div w:id="1037392041">
      <w:bodyDiv w:val="1"/>
      <w:marLeft w:val="0"/>
      <w:marRight w:val="0"/>
      <w:marTop w:val="0"/>
      <w:marBottom w:val="0"/>
      <w:divBdr>
        <w:top w:val="none" w:sz="0" w:space="0" w:color="auto"/>
        <w:left w:val="none" w:sz="0" w:space="0" w:color="auto"/>
        <w:bottom w:val="none" w:sz="0" w:space="0" w:color="auto"/>
        <w:right w:val="none" w:sz="0" w:space="0" w:color="auto"/>
      </w:divBdr>
    </w:div>
    <w:div w:id="1037513573">
      <w:bodyDiv w:val="1"/>
      <w:marLeft w:val="0"/>
      <w:marRight w:val="0"/>
      <w:marTop w:val="0"/>
      <w:marBottom w:val="0"/>
      <w:divBdr>
        <w:top w:val="none" w:sz="0" w:space="0" w:color="auto"/>
        <w:left w:val="none" w:sz="0" w:space="0" w:color="auto"/>
        <w:bottom w:val="none" w:sz="0" w:space="0" w:color="auto"/>
        <w:right w:val="none" w:sz="0" w:space="0" w:color="auto"/>
      </w:divBdr>
    </w:div>
    <w:div w:id="1037580852">
      <w:bodyDiv w:val="1"/>
      <w:marLeft w:val="0"/>
      <w:marRight w:val="0"/>
      <w:marTop w:val="0"/>
      <w:marBottom w:val="0"/>
      <w:divBdr>
        <w:top w:val="none" w:sz="0" w:space="0" w:color="auto"/>
        <w:left w:val="none" w:sz="0" w:space="0" w:color="auto"/>
        <w:bottom w:val="none" w:sz="0" w:space="0" w:color="auto"/>
        <w:right w:val="none" w:sz="0" w:space="0" w:color="auto"/>
      </w:divBdr>
    </w:div>
    <w:div w:id="1037662708">
      <w:bodyDiv w:val="1"/>
      <w:marLeft w:val="0"/>
      <w:marRight w:val="0"/>
      <w:marTop w:val="0"/>
      <w:marBottom w:val="0"/>
      <w:divBdr>
        <w:top w:val="none" w:sz="0" w:space="0" w:color="auto"/>
        <w:left w:val="none" w:sz="0" w:space="0" w:color="auto"/>
        <w:bottom w:val="none" w:sz="0" w:space="0" w:color="auto"/>
        <w:right w:val="none" w:sz="0" w:space="0" w:color="auto"/>
      </w:divBdr>
    </w:div>
    <w:div w:id="1037697486">
      <w:bodyDiv w:val="1"/>
      <w:marLeft w:val="0"/>
      <w:marRight w:val="0"/>
      <w:marTop w:val="0"/>
      <w:marBottom w:val="0"/>
      <w:divBdr>
        <w:top w:val="none" w:sz="0" w:space="0" w:color="auto"/>
        <w:left w:val="none" w:sz="0" w:space="0" w:color="auto"/>
        <w:bottom w:val="none" w:sz="0" w:space="0" w:color="auto"/>
        <w:right w:val="none" w:sz="0" w:space="0" w:color="auto"/>
      </w:divBdr>
    </w:div>
    <w:div w:id="1037699521">
      <w:bodyDiv w:val="1"/>
      <w:marLeft w:val="0"/>
      <w:marRight w:val="0"/>
      <w:marTop w:val="0"/>
      <w:marBottom w:val="0"/>
      <w:divBdr>
        <w:top w:val="none" w:sz="0" w:space="0" w:color="auto"/>
        <w:left w:val="none" w:sz="0" w:space="0" w:color="auto"/>
        <w:bottom w:val="none" w:sz="0" w:space="0" w:color="auto"/>
        <w:right w:val="none" w:sz="0" w:space="0" w:color="auto"/>
      </w:divBdr>
    </w:div>
    <w:div w:id="1037971567">
      <w:bodyDiv w:val="1"/>
      <w:marLeft w:val="0"/>
      <w:marRight w:val="0"/>
      <w:marTop w:val="0"/>
      <w:marBottom w:val="0"/>
      <w:divBdr>
        <w:top w:val="none" w:sz="0" w:space="0" w:color="auto"/>
        <w:left w:val="none" w:sz="0" w:space="0" w:color="auto"/>
        <w:bottom w:val="none" w:sz="0" w:space="0" w:color="auto"/>
        <w:right w:val="none" w:sz="0" w:space="0" w:color="auto"/>
      </w:divBdr>
    </w:div>
    <w:div w:id="1038166904">
      <w:bodyDiv w:val="1"/>
      <w:marLeft w:val="0"/>
      <w:marRight w:val="0"/>
      <w:marTop w:val="0"/>
      <w:marBottom w:val="0"/>
      <w:divBdr>
        <w:top w:val="none" w:sz="0" w:space="0" w:color="auto"/>
        <w:left w:val="none" w:sz="0" w:space="0" w:color="auto"/>
        <w:bottom w:val="none" w:sz="0" w:space="0" w:color="auto"/>
        <w:right w:val="none" w:sz="0" w:space="0" w:color="auto"/>
      </w:divBdr>
    </w:div>
    <w:div w:id="1038431409">
      <w:bodyDiv w:val="1"/>
      <w:marLeft w:val="0"/>
      <w:marRight w:val="0"/>
      <w:marTop w:val="0"/>
      <w:marBottom w:val="0"/>
      <w:divBdr>
        <w:top w:val="none" w:sz="0" w:space="0" w:color="auto"/>
        <w:left w:val="none" w:sz="0" w:space="0" w:color="auto"/>
        <w:bottom w:val="none" w:sz="0" w:space="0" w:color="auto"/>
        <w:right w:val="none" w:sz="0" w:space="0" w:color="auto"/>
      </w:divBdr>
    </w:div>
    <w:div w:id="1038434308">
      <w:bodyDiv w:val="1"/>
      <w:marLeft w:val="0"/>
      <w:marRight w:val="0"/>
      <w:marTop w:val="0"/>
      <w:marBottom w:val="0"/>
      <w:divBdr>
        <w:top w:val="none" w:sz="0" w:space="0" w:color="auto"/>
        <w:left w:val="none" w:sz="0" w:space="0" w:color="auto"/>
        <w:bottom w:val="none" w:sz="0" w:space="0" w:color="auto"/>
        <w:right w:val="none" w:sz="0" w:space="0" w:color="auto"/>
      </w:divBdr>
    </w:div>
    <w:div w:id="1038505784">
      <w:bodyDiv w:val="1"/>
      <w:marLeft w:val="0"/>
      <w:marRight w:val="0"/>
      <w:marTop w:val="0"/>
      <w:marBottom w:val="0"/>
      <w:divBdr>
        <w:top w:val="none" w:sz="0" w:space="0" w:color="auto"/>
        <w:left w:val="none" w:sz="0" w:space="0" w:color="auto"/>
        <w:bottom w:val="none" w:sz="0" w:space="0" w:color="auto"/>
        <w:right w:val="none" w:sz="0" w:space="0" w:color="auto"/>
      </w:divBdr>
    </w:div>
    <w:div w:id="1039164786">
      <w:bodyDiv w:val="1"/>
      <w:marLeft w:val="0"/>
      <w:marRight w:val="0"/>
      <w:marTop w:val="0"/>
      <w:marBottom w:val="0"/>
      <w:divBdr>
        <w:top w:val="none" w:sz="0" w:space="0" w:color="auto"/>
        <w:left w:val="none" w:sz="0" w:space="0" w:color="auto"/>
        <w:bottom w:val="none" w:sz="0" w:space="0" w:color="auto"/>
        <w:right w:val="none" w:sz="0" w:space="0" w:color="auto"/>
      </w:divBdr>
    </w:div>
    <w:div w:id="1039361094">
      <w:bodyDiv w:val="1"/>
      <w:marLeft w:val="0"/>
      <w:marRight w:val="0"/>
      <w:marTop w:val="0"/>
      <w:marBottom w:val="0"/>
      <w:divBdr>
        <w:top w:val="none" w:sz="0" w:space="0" w:color="auto"/>
        <w:left w:val="none" w:sz="0" w:space="0" w:color="auto"/>
        <w:bottom w:val="none" w:sz="0" w:space="0" w:color="auto"/>
        <w:right w:val="none" w:sz="0" w:space="0" w:color="auto"/>
      </w:divBdr>
    </w:div>
    <w:div w:id="1039429998">
      <w:bodyDiv w:val="1"/>
      <w:marLeft w:val="0"/>
      <w:marRight w:val="0"/>
      <w:marTop w:val="0"/>
      <w:marBottom w:val="0"/>
      <w:divBdr>
        <w:top w:val="none" w:sz="0" w:space="0" w:color="auto"/>
        <w:left w:val="none" w:sz="0" w:space="0" w:color="auto"/>
        <w:bottom w:val="none" w:sz="0" w:space="0" w:color="auto"/>
        <w:right w:val="none" w:sz="0" w:space="0" w:color="auto"/>
      </w:divBdr>
    </w:div>
    <w:div w:id="1039545959">
      <w:bodyDiv w:val="1"/>
      <w:marLeft w:val="0"/>
      <w:marRight w:val="0"/>
      <w:marTop w:val="0"/>
      <w:marBottom w:val="0"/>
      <w:divBdr>
        <w:top w:val="none" w:sz="0" w:space="0" w:color="auto"/>
        <w:left w:val="none" w:sz="0" w:space="0" w:color="auto"/>
        <w:bottom w:val="none" w:sz="0" w:space="0" w:color="auto"/>
        <w:right w:val="none" w:sz="0" w:space="0" w:color="auto"/>
      </w:divBdr>
    </w:div>
    <w:div w:id="1039664082">
      <w:bodyDiv w:val="1"/>
      <w:marLeft w:val="0"/>
      <w:marRight w:val="0"/>
      <w:marTop w:val="0"/>
      <w:marBottom w:val="0"/>
      <w:divBdr>
        <w:top w:val="none" w:sz="0" w:space="0" w:color="auto"/>
        <w:left w:val="none" w:sz="0" w:space="0" w:color="auto"/>
        <w:bottom w:val="none" w:sz="0" w:space="0" w:color="auto"/>
        <w:right w:val="none" w:sz="0" w:space="0" w:color="auto"/>
      </w:divBdr>
    </w:div>
    <w:div w:id="1040085130">
      <w:bodyDiv w:val="1"/>
      <w:marLeft w:val="0"/>
      <w:marRight w:val="0"/>
      <w:marTop w:val="0"/>
      <w:marBottom w:val="0"/>
      <w:divBdr>
        <w:top w:val="none" w:sz="0" w:space="0" w:color="auto"/>
        <w:left w:val="none" w:sz="0" w:space="0" w:color="auto"/>
        <w:bottom w:val="none" w:sz="0" w:space="0" w:color="auto"/>
        <w:right w:val="none" w:sz="0" w:space="0" w:color="auto"/>
      </w:divBdr>
    </w:div>
    <w:div w:id="1040129341">
      <w:bodyDiv w:val="1"/>
      <w:marLeft w:val="0"/>
      <w:marRight w:val="0"/>
      <w:marTop w:val="0"/>
      <w:marBottom w:val="0"/>
      <w:divBdr>
        <w:top w:val="none" w:sz="0" w:space="0" w:color="auto"/>
        <w:left w:val="none" w:sz="0" w:space="0" w:color="auto"/>
        <w:bottom w:val="none" w:sz="0" w:space="0" w:color="auto"/>
        <w:right w:val="none" w:sz="0" w:space="0" w:color="auto"/>
      </w:divBdr>
    </w:div>
    <w:div w:id="1040131377">
      <w:bodyDiv w:val="1"/>
      <w:marLeft w:val="0"/>
      <w:marRight w:val="0"/>
      <w:marTop w:val="0"/>
      <w:marBottom w:val="0"/>
      <w:divBdr>
        <w:top w:val="none" w:sz="0" w:space="0" w:color="auto"/>
        <w:left w:val="none" w:sz="0" w:space="0" w:color="auto"/>
        <w:bottom w:val="none" w:sz="0" w:space="0" w:color="auto"/>
        <w:right w:val="none" w:sz="0" w:space="0" w:color="auto"/>
      </w:divBdr>
    </w:div>
    <w:div w:id="1040206763">
      <w:bodyDiv w:val="1"/>
      <w:marLeft w:val="0"/>
      <w:marRight w:val="0"/>
      <w:marTop w:val="0"/>
      <w:marBottom w:val="0"/>
      <w:divBdr>
        <w:top w:val="none" w:sz="0" w:space="0" w:color="auto"/>
        <w:left w:val="none" w:sz="0" w:space="0" w:color="auto"/>
        <w:bottom w:val="none" w:sz="0" w:space="0" w:color="auto"/>
        <w:right w:val="none" w:sz="0" w:space="0" w:color="auto"/>
      </w:divBdr>
    </w:div>
    <w:div w:id="1040328124">
      <w:bodyDiv w:val="1"/>
      <w:marLeft w:val="0"/>
      <w:marRight w:val="0"/>
      <w:marTop w:val="0"/>
      <w:marBottom w:val="0"/>
      <w:divBdr>
        <w:top w:val="none" w:sz="0" w:space="0" w:color="auto"/>
        <w:left w:val="none" w:sz="0" w:space="0" w:color="auto"/>
        <w:bottom w:val="none" w:sz="0" w:space="0" w:color="auto"/>
        <w:right w:val="none" w:sz="0" w:space="0" w:color="auto"/>
      </w:divBdr>
    </w:div>
    <w:div w:id="1040472493">
      <w:bodyDiv w:val="1"/>
      <w:marLeft w:val="0"/>
      <w:marRight w:val="0"/>
      <w:marTop w:val="0"/>
      <w:marBottom w:val="0"/>
      <w:divBdr>
        <w:top w:val="none" w:sz="0" w:space="0" w:color="auto"/>
        <w:left w:val="none" w:sz="0" w:space="0" w:color="auto"/>
        <w:bottom w:val="none" w:sz="0" w:space="0" w:color="auto"/>
        <w:right w:val="none" w:sz="0" w:space="0" w:color="auto"/>
      </w:divBdr>
    </w:div>
    <w:div w:id="1040517711">
      <w:bodyDiv w:val="1"/>
      <w:marLeft w:val="0"/>
      <w:marRight w:val="0"/>
      <w:marTop w:val="0"/>
      <w:marBottom w:val="0"/>
      <w:divBdr>
        <w:top w:val="none" w:sz="0" w:space="0" w:color="auto"/>
        <w:left w:val="none" w:sz="0" w:space="0" w:color="auto"/>
        <w:bottom w:val="none" w:sz="0" w:space="0" w:color="auto"/>
        <w:right w:val="none" w:sz="0" w:space="0" w:color="auto"/>
      </w:divBdr>
    </w:div>
    <w:div w:id="1040669257">
      <w:bodyDiv w:val="1"/>
      <w:marLeft w:val="0"/>
      <w:marRight w:val="0"/>
      <w:marTop w:val="0"/>
      <w:marBottom w:val="0"/>
      <w:divBdr>
        <w:top w:val="none" w:sz="0" w:space="0" w:color="auto"/>
        <w:left w:val="none" w:sz="0" w:space="0" w:color="auto"/>
        <w:bottom w:val="none" w:sz="0" w:space="0" w:color="auto"/>
        <w:right w:val="none" w:sz="0" w:space="0" w:color="auto"/>
      </w:divBdr>
    </w:div>
    <w:div w:id="1040784265">
      <w:bodyDiv w:val="1"/>
      <w:marLeft w:val="0"/>
      <w:marRight w:val="0"/>
      <w:marTop w:val="0"/>
      <w:marBottom w:val="0"/>
      <w:divBdr>
        <w:top w:val="none" w:sz="0" w:space="0" w:color="auto"/>
        <w:left w:val="none" w:sz="0" w:space="0" w:color="auto"/>
        <w:bottom w:val="none" w:sz="0" w:space="0" w:color="auto"/>
        <w:right w:val="none" w:sz="0" w:space="0" w:color="auto"/>
      </w:divBdr>
    </w:div>
    <w:div w:id="1041058382">
      <w:bodyDiv w:val="1"/>
      <w:marLeft w:val="0"/>
      <w:marRight w:val="0"/>
      <w:marTop w:val="0"/>
      <w:marBottom w:val="0"/>
      <w:divBdr>
        <w:top w:val="none" w:sz="0" w:space="0" w:color="auto"/>
        <w:left w:val="none" w:sz="0" w:space="0" w:color="auto"/>
        <w:bottom w:val="none" w:sz="0" w:space="0" w:color="auto"/>
        <w:right w:val="none" w:sz="0" w:space="0" w:color="auto"/>
      </w:divBdr>
    </w:div>
    <w:div w:id="1041128941">
      <w:bodyDiv w:val="1"/>
      <w:marLeft w:val="0"/>
      <w:marRight w:val="0"/>
      <w:marTop w:val="0"/>
      <w:marBottom w:val="0"/>
      <w:divBdr>
        <w:top w:val="none" w:sz="0" w:space="0" w:color="auto"/>
        <w:left w:val="none" w:sz="0" w:space="0" w:color="auto"/>
        <w:bottom w:val="none" w:sz="0" w:space="0" w:color="auto"/>
        <w:right w:val="none" w:sz="0" w:space="0" w:color="auto"/>
      </w:divBdr>
    </w:div>
    <w:div w:id="1041175230">
      <w:bodyDiv w:val="1"/>
      <w:marLeft w:val="0"/>
      <w:marRight w:val="0"/>
      <w:marTop w:val="0"/>
      <w:marBottom w:val="0"/>
      <w:divBdr>
        <w:top w:val="none" w:sz="0" w:space="0" w:color="auto"/>
        <w:left w:val="none" w:sz="0" w:space="0" w:color="auto"/>
        <w:bottom w:val="none" w:sz="0" w:space="0" w:color="auto"/>
        <w:right w:val="none" w:sz="0" w:space="0" w:color="auto"/>
      </w:divBdr>
    </w:div>
    <w:div w:id="1041200407">
      <w:bodyDiv w:val="1"/>
      <w:marLeft w:val="0"/>
      <w:marRight w:val="0"/>
      <w:marTop w:val="0"/>
      <w:marBottom w:val="0"/>
      <w:divBdr>
        <w:top w:val="none" w:sz="0" w:space="0" w:color="auto"/>
        <w:left w:val="none" w:sz="0" w:space="0" w:color="auto"/>
        <w:bottom w:val="none" w:sz="0" w:space="0" w:color="auto"/>
        <w:right w:val="none" w:sz="0" w:space="0" w:color="auto"/>
      </w:divBdr>
    </w:div>
    <w:div w:id="1041202601">
      <w:bodyDiv w:val="1"/>
      <w:marLeft w:val="0"/>
      <w:marRight w:val="0"/>
      <w:marTop w:val="0"/>
      <w:marBottom w:val="0"/>
      <w:divBdr>
        <w:top w:val="none" w:sz="0" w:space="0" w:color="auto"/>
        <w:left w:val="none" w:sz="0" w:space="0" w:color="auto"/>
        <w:bottom w:val="none" w:sz="0" w:space="0" w:color="auto"/>
        <w:right w:val="none" w:sz="0" w:space="0" w:color="auto"/>
      </w:divBdr>
    </w:div>
    <w:div w:id="1041368732">
      <w:bodyDiv w:val="1"/>
      <w:marLeft w:val="0"/>
      <w:marRight w:val="0"/>
      <w:marTop w:val="0"/>
      <w:marBottom w:val="0"/>
      <w:divBdr>
        <w:top w:val="none" w:sz="0" w:space="0" w:color="auto"/>
        <w:left w:val="none" w:sz="0" w:space="0" w:color="auto"/>
        <w:bottom w:val="none" w:sz="0" w:space="0" w:color="auto"/>
        <w:right w:val="none" w:sz="0" w:space="0" w:color="auto"/>
      </w:divBdr>
    </w:div>
    <w:div w:id="1041511656">
      <w:bodyDiv w:val="1"/>
      <w:marLeft w:val="0"/>
      <w:marRight w:val="0"/>
      <w:marTop w:val="0"/>
      <w:marBottom w:val="0"/>
      <w:divBdr>
        <w:top w:val="none" w:sz="0" w:space="0" w:color="auto"/>
        <w:left w:val="none" w:sz="0" w:space="0" w:color="auto"/>
        <w:bottom w:val="none" w:sz="0" w:space="0" w:color="auto"/>
        <w:right w:val="none" w:sz="0" w:space="0" w:color="auto"/>
      </w:divBdr>
    </w:div>
    <w:div w:id="1041632260">
      <w:bodyDiv w:val="1"/>
      <w:marLeft w:val="0"/>
      <w:marRight w:val="0"/>
      <w:marTop w:val="0"/>
      <w:marBottom w:val="0"/>
      <w:divBdr>
        <w:top w:val="none" w:sz="0" w:space="0" w:color="auto"/>
        <w:left w:val="none" w:sz="0" w:space="0" w:color="auto"/>
        <w:bottom w:val="none" w:sz="0" w:space="0" w:color="auto"/>
        <w:right w:val="none" w:sz="0" w:space="0" w:color="auto"/>
      </w:divBdr>
    </w:div>
    <w:div w:id="1041634922">
      <w:bodyDiv w:val="1"/>
      <w:marLeft w:val="0"/>
      <w:marRight w:val="0"/>
      <w:marTop w:val="0"/>
      <w:marBottom w:val="0"/>
      <w:divBdr>
        <w:top w:val="none" w:sz="0" w:space="0" w:color="auto"/>
        <w:left w:val="none" w:sz="0" w:space="0" w:color="auto"/>
        <w:bottom w:val="none" w:sz="0" w:space="0" w:color="auto"/>
        <w:right w:val="none" w:sz="0" w:space="0" w:color="auto"/>
      </w:divBdr>
    </w:div>
    <w:div w:id="1041899915">
      <w:bodyDiv w:val="1"/>
      <w:marLeft w:val="0"/>
      <w:marRight w:val="0"/>
      <w:marTop w:val="0"/>
      <w:marBottom w:val="0"/>
      <w:divBdr>
        <w:top w:val="none" w:sz="0" w:space="0" w:color="auto"/>
        <w:left w:val="none" w:sz="0" w:space="0" w:color="auto"/>
        <w:bottom w:val="none" w:sz="0" w:space="0" w:color="auto"/>
        <w:right w:val="none" w:sz="0" w:space="0" w:color="auto"/>
      </w:divBdr>
    </w:div>
    <w:div w:id="1041980237">
      <w:bodyDiv w:val="1"/>
      <w:marLeft w:val="0"/>
      <w:marRight w:val="0"/>
      <w:marTop w:val="0"/>
      <w:marBottom w:val="0"/>
      <w:divBdr>
        <w:top w:val="none" w:sz="0" w:space="0" w:color="auto"/>
        <w:left w:val="none" w:sz="0" w:space="0" w:color="auto"/>
        <w:bottom w:val="none" w:sz="0" w:space="0" w:color="auto"/>
        <w:right w:val="none" w:sz="0" w:space="0" w:color="auto"/>
      </w:divBdr>
    </w:div>
    <w:div w:id="1042051741">
      <w:bodyDiv w:val="1"/>
      <w:marLeft w:val="0"/>
      <w:marRight w:val="0"/>
      <w:marTop w:val="0"/>
      <w:marBottom w:val="0"/>
      <w:divBdr>
        <w:top w:val="none" w:sz="0" w:space="0" w:color="auto"/>
        <w:left w:val="none" w:sz="0" w:space="0" w:color="auto"/>
        <w:bottom w:val="none" w:sz="0" w:space="0" w:color="auto"/>
        <w:right w:val="none" w:sz="0" w:space="0" w:color="auto"/>
      </w:divBdr>
    </w:div>
    <w:div w:id="1042093539">
      <w:bodyDiv w:val="1"/>
      <w:marLeft w:val="0"/>
      <w:marRight w:val="0"/>
      <w:marTop w:val="0"/>
      <w:marBottom w:val="0"/>
      <w:divBdr>
        <w:top w:val="none" w:sz="0" w:space="0" w:color="auto"/>
        <w:left w:val="none" w:sz="0" w:space="0" w:color="auto"/>
        <w:bottom w:val="none" w:sz="0" w:space="0" w:color="auto"/>
        <w:right w:val="none" w:sz="0" w:space="0" w:color="auto"/>
      </w:divBdr>
    </w:div>
    <w:div w:id="1042100464">
      <w:bodyDiv w:val="1"/>
      <w:marLeft w:val="0"/>
      <w:marRight w:val="0"/>
      <w:marTop w:val="0"/>
      <w:marBottom w:val="0"/>
      <w:divBdr>
        <w:top w:val="none" w:sz="0" w:space="0" w:color="auto"/>
        <w:left w:val="none" w:sz="0" w:space="0" w:color="auto"/>
        <w:bottom w:val="none" w:sz="0" w:space="0" w:color="auto"/>
        <w:right w:val="none" w:sz="0" w:space="0" w:color="auto"/>
      </w:divBdr>
    </w:div>
    <w:div w:id="1042443856">
      <w:bodyDiv w:val="1"/>
      <w:marLeft w:val="0"/>
      <w:marRight w:val="0"/>
      <w:marTop w:val="0"/>
      <w:marBottom w:val="0"/>
      <w:divBdr>
        <w:top w:val="none" w:sz="0" w:space="0" w:color="auto"/>
        <w:left w:val="none" w:sz="0" w:space="0" w:color="auto"/>
        <w:bottom w:val="none" w:sz="0" w:space="0" w:color="auto"/>
        <w:right w:val="none" w:sz="0" w:space="0" w:color="auto"/>
      </w:divBdr>
    </w:div>
    <w:div w:id="1042485039">
      <w:bodyDiv w:val="1"/>
      <w:marLeft w:val="0"/>
      <w:marRight w:val="0"/>
      <w:marTop w:val="0"/>
      <w:marBottom w:val="0"/>
      <w:divBdr>
        <w:top w:val="none" w:sz="0" w:space="0" w:color="auto"/>
        <w:left w:val="none" w:sz="0" w:space="0" w:color="auto"/>
        <w:bottom w:val="none" w:sz="0" w:space="0" w:color="auto"/>
        <w:right w:val="none" w:sz="0" w:space="0" w:color="auto"/>
      </w:divBdr>
    </w:div>
    <w:div w:id="1042629066">
      <w:bodyDiv w:val="1"/>
      <w:marLeft w:val="0"/>
      <w:marRight w:val="0"/>
      <w:marTop w:val="0"/>
      <w:marBottom w:val="0"/>
      <w:divBdr>
        <w:top w:val="none" w:sz="0" w:space="0" w:color="auto"/>
        <w:left w:val="none" w:sz="0" w:space="0" w:color="auto"/>
        <w:bottom w:val="none" w:sz="0" w:space="0" w:color="auto"/>
        <w:right w:val="none" w:sz="0" w:space="0" w:color="auto"/>
      </w:divBdr>
    </w:div>
    <w:div w:id="1042828589">
      <w:bodyDiv w:val="1"/>
      <w:marLeft w:val="0"/>
      <w:marRight w:val="0"/>
      <w:marTop w:val="0"/>
      <w:marBottom w:val="0"/>
      <w:divBdr>
        <w:top w:val="none" w:sz="0" w:space="0" w:color="auto"/>
        <w:left w:val="none" w:sz="0" w:space="0" w:color="auto"/>
        <w:bottom w:val="none" w:sz="0" w:space="0" w:color="auto"/>
        <w:right w:val="none" w:sz="0" w:space="0" w:color="auto"/>
      </w:divBdr>
    </w:div>
    <w:div w:id="1042904913">
      <w:bodyDiv w:val="1"/>
      <w:marLeft w:val="0"/>
      <w:marRight w:val="0"/>
      <w:marTop w:val="0"/>
      <w:marBottom w:val="0"/>
      <w:divBdr>
        <w:top w:val="none" w:sz="0" w:space="0" w:color="auto"/>
        <w:left w:val="none" w:sz="0" w:space="0" w:color="auto"/>
        <w:bottom w:val="none" w:sz="0" w:space="0" w:color="auto"/>
        <w:right w:val="none" w:sz="0" w:space="0" w:color="auto"/>
      </w:divBdr>
    </w:div>
    <w:div w:id="1043021203">
      <w:bodyDiv w:val="1"/>
      <w:marLeft w:val="0"/>
      <w:marRight w:val="0"/>
      <w:marTop w:val="0"/>
      <w:marBottom w:val="0"/>
      <w:divBdr>
        <w:top w:val="none" w:sz="0" w:space="0" w:color="auto"/>
        <w:left w:val="none" w:sz="0" w:space="0" w:color="auto"/>
        <w:bottom w:val="none" w:sz="0" w:space="0" w:color="auto"/>
        <w:right w:val="none" w:sz="0" w:space="0" w:color="auto"/>
      </w:divBdr>
    </w:div>
    <w:div w:id="1043024233">
      <w:bodyDiv w:val="1"/>
      <w:marLeft w:val="0"/>
      <w:marRight w:val="0"/>
      <w:marTop w:val="0"/>
      <w:marBottom w:val="0"/>
      <w:divBdr>
        <w:top w:val="none" w:sz="0" w:space="0" w:color="auto"/>
        <w:left w:val="none" w:sz="0" w:space="0" w:color="auto"/>
        <w:bottom w:val="none" w:sz="0" w:space="0" w:color="auto"/>
        <w:right w:val="none" w:sz="0" w:space="0" w:color="auto"/>
      </w:divBdr>
    </w:div>
    <w:div w:id="1043093173">
      <w:bodyDiv w:val="1"/>
      <w:marLeft w:val="0"/>
      <w:marRight w:val="0"/>
      <w:marTop w:val="0"/>
      <w:marBottom w:val="0"/>
      <w:divBdr>
        <w:top w:val="none" w:sz="0" w:space="0" w:color="auto"/>
        <w:left w:val="none" w:sz="0" w:space="0" w:color="auto"/>
        <w:bottom w:val="none" w:sz="0" w:space="0" w:color="auto"/>
        <w:right w:val="none" w:sz="0" w:space="0" w:color="auto"/>
      </w:divBdr>
    </w:div>
    <w:div w:id="1043138258">
      <w:bodyDiv w:val="1"/>
      <w:marLeft w:val="0"/>
      <w:marRight w:val="0"/>
      <w:marTop w:val="0"/>
      <w:marBottom w:val="0"/>
      <w:divBdr>
        <w:top w:val="none" w:sz="0" w:space="0" w:color="auto"/>
        <w:left w:val="none" w:sz="0" w:space="0" w:color="auto"/>
        <w:bottom w:val="none" w:sz="0" w:space="0" w:color="auto"/>
        <w:right w:val="none" w:sz="0" w:space="0" w:color="auto"/>
      </w:divBdr>
    </w:div>
    <w:div w:id="1043360981">
      <w:bodyDiv w:val="1"/>
      <w:marLeft w:val="0"/>
      <w:marRight w:val="0"/>
      <w:marTop w:val="0"/>
      <w:marBottom w:val="0"/>
      <w:divBdr>
        <w:top w:val="none" w:sz="0" w:space="0" w:color="auto"/>
        <w:left w:val="none" w:sz="0" w:space="0" w:color="auto"/>
        <w:bottom w:val="none" w:sz="0" w:space="0" w:color="auto"/>
        <w:right w:val="none" w:sz="0" w:space="0" w:color="auto"/>
      </w:divBdr>
    </w:div>
    <w:div w:id="1043364160">
      <w:bodyDiv w:val="1"/>
      <w:marLeft w:val="0"/>
      <w:marRight w:val="0"/>
      <w:marTop w:val="0"/>
      <w:marBottom w:val="0"/>
      <w:divBdr>
        <w:top w:val="none" w:sz="0" w:space="0" w:color="auto"/>
        <w:left w:val="none" w:sz="0" w:space="0" w:color="auto"/>
        <w:bottom w:val="none" w:sz="0" w:space="0" w:color="auto"/>
        <w:right w:val="none" w:sz="0" w:space="0" w:color="auto"/>
      </w:divBdr>
    </w:div>
    <w:div w:id="1043408320">
      <w:bodyDiv w:val="1"/>
      <w:marLeft w:val="0"/>
      <w:marRight w:val="0"/>
      <w:marTop w:val="0"/>
      <w:marBottom w:val="0"/>
      <w:divBdr>
        <w:top w:val="none" w:sz="0" w:space="0" w:color="auto"/>
        <w:left w:val="none" w:sz="0" w:space="0" w:color="auto"/>
        <w:bottom w:val="none" w:sz="0" w:space="0" w:color="auto"/>
        <w:right w:val="none" w:sz="0" w:space="0" w:color="auto"/>
      </w:divBdr>
    </w:div>
    <w:div w:id="1043409370">
      <w:bodyDiv w:val="1"/>
      <w:marLeft w:val="0"/>
      <w:marRight w:val="0"/>
      <w:marTop w:val="0"/>
      <w:marBottom w:val="0"/>
      <w:divBdr>
        <w:top w:val="none" w:sz="0" w:space="0" w:color="auto"/>
        <w:left w:val="none" w:sz="0" w:space="0" w:color="auto"/>
        <w:bottom w:val="none" w:sz="0" w:space="0" w:color="auto"/>
        <w:right w:val="none" w:sz="0" w:space="0" w:color="auto"/>
      </w:divBdr>
    </w:div>
    <w:div w:id="1043477687">
      <w:bodyDiv w:val="1"/>
      <w:marLeft w:val="0"/>
      <w:marRight w:val="0"/>
      <w:marTop w:val="0"/>
      <w:marBottom w:val="0"/>
      <w:divBdr>
        <w:top w:val="none" w:sz="0" w:space="0" w:color="auto"/>
        <w:left w:val="none" w:sz="0" w:space="0" w:color="auto"/>
        <w:bottom w:val="none" w:sz="0" w:space="0" w:color="auto"/>
        <w:right w:val="none" w:sz="0" w:space="0" w:color="auto"/>
      </w:divBdr>
    </w:div>
    <w:div w:id="1043483869">
      <w:bodyDiv w:val="1"/>
      <w:marLeft w:val="0"/>
      <w:marRight w:val="0"/>
      <w:marTop w:val="0"/>
      <w:marBottom w:val="0"/>
      <w:divBdr>
        <w:top w:val="none" w:sz="0" w:space="0" w:color="auto"/>
        <w:left w:val="none" w:sz="0" w:space="0" w:color="auto"/>
        <w:bottom w:val="none" w:sz="0" w:space="0" w:color="auto"/>
        <w:right w:val="none" w:sz="0" w:space="0" w:color="auto"/>
      </w:divBdr>
    </w:div>
    <w:div w:id="1043791918">
      <w:bodyDiv w:val="1"/>
      <w:marLeft w:val="0"/>
      <w:marRight w:val="0"/>
      <w:marTop w:val="0"/>
      <w:marBottom w:val="0"/>
      <w:divBdr>
        <w:top w:val="none" w:sz="0" w:space="0" w:color="auto"/>
        <w:left w:val="none" w:sz="0" w:space="0" w:color="auto"/>
        <w:bottom w:val="none" w:sz="0" w:space="0" w:color="auto"/>
        <w:right w:val="none" w:sz="0" w:space="0" w:color="auto"/>
      </w:divBdr>
    </w:div>
    <w:div w:id="1043866857">
      <w:bodyDiv w:val="1"/>
      <w:marLeft w:val="0"/>
      <w:marRight w:val="0"/>
      <w:marTop w:val="0"/>
      <w:marBottom w:val="0"/>
      <w:divBdr>
        <w:top w:val="none" w:sz="0" w:space="0" w:color="auto"/>
        <w:left w:val="none" w:sz="0" w:space="0" w:color="auto"/>
        <w:bottom w:val="none" w:sz="0" w:space="0" w:color="auto"/>
        <w:right w:val="none" w:sz="0" w:space="0" w:color="auto"/>
      </w:divBdr>
    </w:div>
    <w:div w:id="1043871995">
      <w:bodyDiv w:val="1"/>
      <w:marLeft w:val="0"/>
      <w:marRight w:val="0"/>
      <w:marTop w:val="0"/>
      <w:marBottom w:val="0"/>
      <w:divBdr>
        <w:top w:val="none" w:sz="0" w:space="0" w:color="auto"/>
        <w:left w:val="none" w:sz="0" w:space="0" w:color="auto"/>
        <w:bottom w:val="none" w:sz="0" w:space="0" w:color="auto"/>
        <w:right w:val="none" w:sz="0" w:space="0" w:color="auto"/>
      </w:divBdr>
    </w:div>
    <w:div w:id="1043948140">
      <w:bodyDiv w:val="1"/>
      <w:marLeft w:val="0"/>
      <w:marRight w:val="0"/>
      <w:marTop w:val="0"/>
      <w:marBottom w:val="0"/>
      <w:divBdr>
        <w:top w:val="none" w:sz="0" w:space="0" w:color="auto"/>
        <w:left w:val="none" w:sz="0" w:space="0" w:color="auto"/>
        <w:bottom w:val="none" w:sz="0" w:space="0" w:color="auto"/>
        <w:right w:val="none" w:sz="0" w:space="0" w:color="auto"/>
      </w:divBdr>
    </w:div>
    <w:div w:id="1044015418">
      <w:bodyDiv w:val="1"/>
      <w:marLeft w:val="0"/>
      <w:marRight w:val="0"/>
      <w:marTop w:val="0"/>
      <w:marBottom w:val="0"/>
      <w:divBdr>
        <w:top w:val="none" w:sz="0" w:space="0" w:color="auto"/>
        <w:left w:val="none" w:sz="0" w:space="0" w:color="auto"/>
        <w:bottom w:val="none" w:sz="0" w:space="0" w:color="auto"/>
        <w:right w:val="none" w:sz="0" w:space="0" w:color="auto"/>
      </w:divBdr>
    </w:div>
    <w:div w:id="1044019630">
      <w:bodyDiv w:val="1"/>
      <w:marLeft w:val="0"/>
      <w:marRight w:val="0"/>
      <w:marTop w:val="0"/>
      <w:marBottom w:val="0"/>
      <w:divBdr>
        <w:top w:val="none" w:sz="0" w:space="0" w:color="auto"/>
        <w:left w:val="none" w:sz="0" w:space="0" w:color="auto"/>
        <w:bottom w:val="none" w:sz="0" w:space="0" w:color="auto"/>
        <w:right w:val="none" w:sz="0" w:space="0" w:color="auto"/>
      </w:divBdr>
    </w:div>
    <w:div w:id="1044066100">
      <w:bodyDiv w:val="1"/>
      <w:marLeft w:val="0"/>
      <w:marRight w:val="0"/>
      <w:marTop w:val="0"/>
      <w:marBottom w:val="0"/>
      <w:divBdr>
        <w:top w:val="none" w:sz="0" w:space="0" w:color="auto"/>
        <w:left w:val="none" w:sz="0" w:space="0" w:color="auto"/>
        <w:bottom w:val="none" w:sz="0" w:space="0" w:color="auto"/>
        <w:right w:val="none" w:sz="0" w:space="0" w:color="auto"/>
      </w:divBdr>
    </w:div>
    <w:div w:id="1044402081">
      <w:bodyDiv w:val="1"/>
      <w:marLeft w:val="0"/>
      <w:marRight w:val="0"/>
      <w:marTop w:val="0"/>
      <w:marBottom w:val="0"/>
      <w:divBdr>
        <w:top w:val="none" w:sz="0" w:space="0" w:color="auto"/>
        <w:left w:val="none" w:sz="0" w:space="0" w:color="auto"/>
        <w:bottom w:val="none" w:sz="0" w:space="0" w:color="auto"/>
        <w:right w:val="none" w:sz="0" w:space="0" w:color="auto"/>
      </w:divBdr>
    </w:div>
    <w:div w:id="1044408693">
      <w:bodyDiv w:val="1"/>
      <w:marLeft w:val="0"/>
      <w:marRight w:val="0"/>
      <w:marTop w:val="0"/>
      <w:marBottom w:val="0"/>
      <w:divBdr>
        <w:top w:val="none" w:sz="0" w:space="0" w:color="auto"/>
        <w:left w:val="none" w:sz="0" w:space="0" w:color="auto"/>
        <w:bottom w:val="none" w:sz="0" w:space="0" w:color="auto"/>
        <w:right w:val="none" w:sz="0" w:space="0" w:color="auto"/>
      </w:divBdr>
    </w:div>
    <w:div w:id="1044527119">
      <w:bodyDiv w:val="1"/>
      <w:marLeft w:val="0"/>
      <w:marRight w:val="0"/>
      <w:marTop w:val="0"/>
      <w:marBottom w:val="0"/>
      <w:divBdr>
        <w:top w:val="none" w:sz="0" w:space="0" w:color="auto"/>
        <w:left w:val="none" w:sz="0" w:space="0" w:color="auto"/>
        <w:bottom w:val="none" w:sz="0" w:space="0" w:color="auto"/>
        <w:right w:val="none" w:sz="0" w:space="0" w:color="auto"/>
      </w:divBdr>
    </w:div>
    <w:div w:id="1044527802">
      <w:bodyDiv w:val="1"/>
      <w:marLeft w:val="0"/>
      <w:marRight w:val="0"/>
      <w:marTop w:val="0"/>
      <w:marBottom w:val="0"/>
      <w:divBdr>
        <w:top w:val="none" w:sz="0" w:space="0" w:color="auto"/>
        <w:left w:val="none" w:sz="0" w:space="0" w:color="auto"/>
        <w:bottom w:val="none" w:sz="0" w:space="0" w:color="auto"/>
        <w:right w:val="none" w:sz="0" w:space="0" w:color="auto"/>
      </w:divBdr>
    </w:div>
    <w:div w:id="1044674484">
      <w:bodyDiv w:val="1"/>
      <w:marLeft w:val="0"/>
      <w:marRight w:val="0"/>
      <w:marTop w:val="0"/>
      <w:marBottom w:val="0"/>
      <w:divBdr>
        <w:top w:val="none" w:sz="0" w:space="0" w:color="auto"/>
        <w:left w:val="none" w:sz="0" w:space="0" w:color="auto"/>
        <w:bottom w:val="none" w:sz="0" w:space="0" w:color="auto"/>
        <w:right w:val="none" w:sz="0" w:space="0" w:color="auto"/>
      </w:divBdr>
    </w:div>
    <w:div w:id="1044716087">
      <w:bodyDiv w:val="1"/>
      <w:marLeft w:val="0"/>
      <w:marRight w:val="0"/>
      <w:marTop w:val="0"/>
      <w:marBottom w:val="0"/>
      <w:divBdr>
        <w:top w:val="none" w:sz="0" w:space="0" w:color="auto"/>
        <w:left w:val="none" w:sz="0" w:space="0" w:color="auto"/>
        <w:bottom w:val="none" w:sz="0" w:space="0" w:color="auto"/>
        <w:right w:val="none" w:sz="0" w:space="0" w:color="auto"/>
      </w:divBdr>
    </w:div>
    <w:div w:id="1044790733">
      <w:bodyDiv w:val="1"/>
      <w:marLeft w:val="0"/>
      <w:marRight w:val="0"/>
      <w:marTop w:val="0"/>
      <w:marBottom w:val="0"/>
      <w:divBdr>
        <w:top w:val="none" w:sz="0" w:space="0" w:color="auto"/>
        <w:left w:val="none" w:sz="0" w:space="0" w:color="auto"/>
        <w:bottom w:val="none" w:sz="0" w:space="0" w:color="auto"/>
        <w:right w:val="none" w:sz="0" w:space="0" w:color="auto"/>
      </w:divBdr>
    </w:div>
    <w:div w:id="1044795171">
      <w:bodyDiv w:val="1"/>
      <w:marLeft w:val="0"/>
      <w:marRight w:val="0"/>
      <w:marTop w:val="0"/>
      <w:marBottom w:val="0"/>
      <w:divBdr>
        <w:top w:val="none" w:sz="0" w:space="0" w:color="auto"/>
        <w:left w:val="none" w:sz="0" w:space="0" w:color="auto"/>
        <w:bottom w:val="none" w:sz="0" w:space="0" w:color="auto"/>
        <w:right w:val="none" w:sz="0" w:space="0" w:color="auto"/>
      </w:divBdr>
    </w:div>
    <w:div w:id="1044909653">
      <w:bodyDiv w:val="1"/>
      <w:marLeft w:val="0"/>
      <w:marRight w:val="0"/>
      <w:marTop w:val="0"/>
      <w:marBottom w:val="0"/>
      <w:divBdr>
        <w:top w:val="none" w:sz="0" w:space="0" w:color="auto"/>
        <w:left w:val="none" w:sz="0" w:space="0" w:color="auto"/>
        <w:bottom w:val="none" w:sz="0" w:space="0" w:color="auto"/>
        <w:right w:val="none" w:sz="0" w:space="0" w:color="auto"/>
      </w:divBdr>
    </w:div>
    <w:div w:id="1044911294">
      <w:bodyDiv w:val="1"/>
      <w:marLeft w:val="0"/>
      <w:marRight w:val="0"/>
      <w:marTop w:val="0"/>
      <w:marBottom w:val="0"/>
      <w:divBdr>
        <w:top w:val="none" w:sz="0" w:space="0" w:color="auto"/>
        <w:left w:val="none" w:sz="0" w:space="0" w:color="auto"/>
        <w:bottom w:val="none" w:sz="0" w:space="0" w:color="auto"/>
        <w:right w:val="none" w:sz="0" w:space="0" w:color="auto"/>
      </w:divBdr>
    </w:div>
    <w:div w:id="1044912449">
      <w:bodyDiv w:val="1"/>
      <w:marLeft w:val="0"/>
      <w:marRight w:val="0"/>
      <w:marTop w:val="0"/>
      <w:marBottom w:val="0"/>
      <w:divBdr>
        <w:top w:val="none" w:sz="0" w:space="0" w:color="auto"/>
        <w:left w:val="none" w:sz="0" w:space="0" w:color="auto"/>
        <w:bottom w:val="none" w:sz="0" w:space="0" w:color="auto"/>
        <w:right w:val="none" w:sz="0" w:space="0" w:color="auto"/>
      </w:divBdr>
    </w:div>
    <w:div w:id="1044981038">
      <w:bodyDiv w:val="1"/>
      <w:marLeft w:val="0"/>
      <w:marRight w:val="0"/>
      <w:marTop w:val="0"/>
      <w:marBottom w:val="0"/>
      <w:divBdr>
        <w:top w:val="none" w:sz="0" w:space="0" w:color="auto"/>
        <w:left w:val="none" w:sz="0" w:space="0" w:color="auto"/>
        <w:bottom w:val="none" w:sz="0" w:space="0" w:color="auto"/>
        <w:right w:val="none" w:sz="0" w:space="0" w:color="auto"/>
      </w:divBdr>
    </w:div>
    <w:div w:id="1044988666">
      <w:bodyDiv w:val="1"/>
      <w:marLeft w:val="0"/>
      <w:marRight w:val="0"/>
      <w:marTop w:val="0"/>
      <w:marBottom w:val="0"/>
      <w:divBdr>
        <w:top w:val="none" w:sz="0" w:space="0" w:color="auto"/>
        <w:left w:val="none" w:sz="0" w:space="0" w:color="auto"/>
        <w:bottom w:val="none" w:sz="0" w:space="0" w:color="auto"/>
        <w:right w:val="none" w:sz="0" w:space="0" w:color="auto"/>
      </w:divBdr>
    </w:div>
    <w:div w:id="1045107819">
      <w:bodyDiv w:val="1"/>
      <w:marLeft w:val="0"/>
      <w:marRight w:val="0"/>
      <w:marTop w:val="0"/>
      <w:marBottom w:val="0"/>
      <w:divBdr>
        <w:top w:val="none" w:sz="0" w:space="0" w:color="auto"/>
        <w:left w:val="none" w:sz="0" w:space="0" w:color="auto"/>
        <w:bottom w:val="none" w:sz="0" w:space="0" w:color="auto"/>
        <w:right w:val="none" w:sz="0" w:space="0" w:color="auto"/>
      </w:divBdr>
    </w:div>
    <w:div w:id="1045256986">
      <w:bodyDiv w:val="1"/>
      <w:marLeft w:val="0"/>
      <w:marRight w:val="0"/>
      <w:marTop w:val="0"/>
      <w:marBottom w:val="0"/>
      <w:divBdr>
        <w:top w:val="none" w:sz="0" w:space="0" w:color="auto"/>
        <w:left w:val="none" w:sz="0" w:space="0" w:color="auto"/>
        <w:bottom w:val="none" w:sz="0" w:space="0" w:color="auto"/>
        <w:right w:val="none" w:sz="0" w:space="0" w:color="auto"/>
      </w:divBdr>
    </w:div>
    <w:div w:id="1045449226">
      <w:bodyDiv w:val="1"/>
      <w:marLeft w:val="0"/>
      <w:marRight w:val="0"/>
      <w:marTop w:val="0"/>
      <w:marBottom w:val="0"/>
      <w:divBdr>
        <w:top w:val="none" w:sz="0" w:space="0" w:color="auto"/>
        <w:left w:val="none" w:sz="0" w:space="0" w:color="auto"/>
        <w:bottom w:val="none" w:sz="0" w:space="0" w:color="auto"/>
        <w:right w:val="none" w:sz="0" w:space="0" w:color="auto"/>
      </w:divBdr>
    </w:div>
    <w:div w:id="1045980087">
      <w:bodyDiv w:val="1"/>
      <w:marLeft w:val="0"/>
      <w:marRight w:val="0"/>
      <w:marTop w:val="0"/>
      <w:marBottom w:val="0"/>
      <w:divBdr>
        <w:top w:val="none" w:sz="0" w:space="0" w:color="auto"/>
        <w:left w:val="none" w:sz="0" w:space="0" w:color="auto"/>
        <w:bottom w:val="none" w:sz="0" w:space="0" w:color="auto"/>
        <w:right w:val="none" w:sz="0" w:space="0" w:color="auto"/>
      </w:divBdr>
    </w:div>
    <w:div w:id="1045982739">
      <w:bodyDiv w:val="1"/>
      <w:marLeft w:val="0"/>
      <w:marRight w:val="0"/>
      <w:marTop w:val="0"/>
      <w:marBottom w:val="0"/>
      <w:divBdr>
        <w:top w:val="none" w:sz="0" w:space="0" w:color="auto"/>
        <w:left w:val="none" w:sz="0" w:space="0" w:color="auto"/>
        <w:bottom w:val="none" w:sz="0" w:space="0" w:color="auto"/>
        <w:right w:val="none" w:sz="0" w:space="0" w:color="auto"/>
      </w:divBdr>
    </w:div>
    <w:div w:id="1046027508">
      <w:bodyDiv w:val="1"/>
      <w:marLeft w:val="0"/>
      <w:marRight w:val="0"/>
      <w:marTop w:val="0"/>
      <w:marBottom w:val="0"/>
      <w:divBdr>
        <w:top w:val="none" w:sz="0" w:space="0" w:color="auto"/>
        <w:left w:val="none" w:sz="0" w:space="0" w:color="auto"/>
        <w:bottom w:val="none" w:sz="0" w:space="0" w:color="auto"/>
        <w:right w:val="none" w:sz="0" w:space="0" w:color="auto"/>
      </w:divBdr>
    </w:div>
    <w:div w:id="1046105368">
      <w:bodyDiv w:val="1"/>
      <w:marLeft w:val="0"/>
      <w:marRight w:val="0"/>
      <w:marTop w:val="0"/>
      <w:marBottom w:val="0"/>
      <w:divBdr>
        <w:top w:val="none" w:sz="0" w:space="0" w:color="auto"/>
        <w:left w:val="none" w:sz="0" w:space="0" w:color="auto"/>
        <w:bottom w:val="none" w:sz="0" w:space="0" w:color="auto"/>
        <w:right w:val="none" w:sz="0" w:space="0" w:color="auto"/>
      </w:divBdr>
    </w:div>
    <w:div w:id="1046219244">
      <w:bodyDiv w:val="1"/>
      <w:marLeft w:val="0"/>
      <w:marRight w:val="0"/>
      <w:marTop w:val="0"/>
      <w:marBottom w:val="0"/>
      <w:divBdr>
        <w:top w:val="none" w:sz="0" w:space="0" w:color="auto"/>
        <w:left w:val="none" w:sz="0" w:space="0" w:color="auto"/>
        <w:bottom w:val="none" w:sz="0" w:space="0" w:color="auto"/>
        <w:right w:val="none" w:sz="0" w:space="0" w:color="auto"/>
      </w:divBdr>
    </w:div>
    <w:div w:id="1046249215">
      <w:bodyDiv w:val="1"/>
      <w:marLeft w:val="0"/>
      <w:marRight w:val="0"/>
      <w:marTop w:val="0"/>
      <w:marBottom w:val="0"/>
      <w:divBdr>
        <w:top w:val="none" w:sz="0" w:space="0" w:color="auto"/>
        <w:left w:val="none" w:sz="0" w:space="0" w:color="auto"/>
        <w:bottom w:val="none" w:sz="0" w:space="0" w:color="auto"/>
        <w:right w:val="none" w:sz="0" w:space="0" w:color="auto"/>
      </w:divBdr>
    </w:div>
    <w:div w:id="1046417256">
      <w:bodyDiv w:val="1"/>
      <w:marLeft w:val="0"/>
      <w:marRight w:val="0"/>
      <w:marTop w:val="0"/>
      <w:marBottom w:val="0"/>
      <w:divBdr>
        <w:top w:val="none" w:sz="0" w:space="0" w:color="auto"/>
        <w:left w:val="none" w:sz="0" w:space="0" w:color="auto"/>
        <w:bottom w:val="none" w:sz="0" w:space="0" w:color="auto"/>
        <w:right w:val="none" w:sz="0" w:space="0" w:color="auto"/>
      </w:divBdr>
    </w:div>
    <w:div w:id="1046562719">
      <w:bodyDiv w:val="1"/>
      <w:marLeft w:val="0"/>
      <w:marRight w:val="0"/>
      <w:marTop w:val="0"/>
      <w:marBottom w:val="0"/>
      <w:divBdr>
        <w:top w:val="none" w:sz="0" w:space="0" w:color="auto"/>
        <w:left w:val="none" w:sz="0" w:space="0" w:color="auto"/>
        <w:bottom w:val="none" w:sz="0" w:space="0" w:color="auto"/>
        <w:right w:val="none" w:sz="0" w:space="0" w:color="auto"/>
      </w:divBdr>
    </w:div>
    <w:div w:id="1047296285">
      <w:bodyDiv w:val="1"/>
      <w:marLeft w:val="0"/>
      <w:marRight w:val="0"/>
      <w:marTop w:val="0"/>
      <w:marBottom w:val="0"/>
      <w:divBdr>
        <w:top w:val="none" w:sz="0" w:space="0" w:color="auto"/>
        <w:left w:val="none" w:sz="0" w:space="0" w:color="auto"/>
        <w:bottom w:val="none" w:sz="0" w:space="0" w:color="auto"/>
        <w:right w:val="none" w:sz="0" w:space="0" w:color="auto"/>
      </w:divBdr>
    </w:div>
    <w:div w:id="1047337087">
      <w:bodyDiv w:val="1"/>
      <w:marLeft w:val="0"/>
      <w:marRight w:val="0"/>
      <w:marTop w:val="0"/>
      <w:marBottom w:val="0"/>
      <w:divBdr>
        <w:top w:val="none" w:sz="0" w:space="0" w:color="auto"/>
        <w:left w:val="none" w:sz="0" w:space="0" w:color="auto"/>
        <w:bottom w:val="none" w:sz="0" w:space="0" w:color="auto"/>
        <w:right w:val="none" w:sz="0" w:space="0" w:color="auto"/>
      </w:divBdr>
    </w:div>
    <w:div w:id="1047414902">
      <w:bodyDiv w:val="1"/>
      <w:marLeft w:val="0"/>
      <w:marRight w:val="0"/>
      <w:marTop w:val="0"/>
      <w:marBottom w:val="0"/>
      <w:divBdr>
        <w:top w:val="none" w:sz="0" w:space="0" w:color="auto"/>
        <w:left w:val="none" w:sz="0" w:space="0" w:color="auto"/>
        <w:bottom w:val="none" w:sz="0" w:space="0" w:color="auto"/>
        <w:right w:val="none" w:sz="0" w:space="0" w:color="auto"/>
      </w:divBdr>
    </w:div>
    <w:div w:id="1047490897">
      <w:bodyDiv w:val="1"/>
      <w:marLeft w:val="0"/>
      <w:marRight w:val="0"/>
      <w:marTop w:val="0"/>
      <w:marBottom w:val="0"/>
      <w:divBdr>
        <w:top w:val="none" w:sz="0" w:space="0" w:color="auto"/>
        <w:left w:val="none" w:sz="0" w:space="0" w:color="auto"/>
        <w:bottom w:val="none" w:sz="0" w:space="0" w:color="auto"/>
        <w:right w:val="none" w:sz="0" w:space="0" w:color="auto"/>
      </w:divBdr>
    </w:div>
    <w:div w:id="1047603366">
      <w:bodyDiv w:val="1"/>
      <w:marLeft w:val="0"/>
      <w:marRight w:val="0"/>
      <w:marTop w:val="0"/>
      <w:marBottom w:val="0"/>
      <w:divBdr>
        <w:top w:val="none" w:sz="0" w:space="0" w:color="auto"/>
        <w:left w:val="none" w:sz="0" w:space="0" w:color="auto"/>
        <w:bottom w:val="none" w:sz="0" w:space="0" w:color="auto"/>
        <w:right w:val="none" w:sz="0" w:space="0" w:color="auto"/>
      </w:divBdr>
    </w:div>
    <w:div w:id="1047755784">
      <w:bodyDiv w:val="1"/>
      <w:marLeft w:val="0"/>
      <w:marRight w:val="0"/>
      <w:marTop w:val="0"/>
      <w:marBottom w:val="0"/>
      <w:divBdr>
        <w:top w:val="none" w:sz="0" w:space="0" w:color="auto"/>
        <w:left w:val="none" w:sz="0" w:space="0" w:color="auto"/>
        <w:bottom w:val="none" w:sz="0" w:space="0" w:color="auto"/>
        <w:right w:val="none" w:sz="0" w:space="0" w:color="auto"/>
      </w:divBdr>
    </w:div>
    <w:div w:id="1047878363">
      <w:bodyDiv w:val="1"/>
      <w:marLeft w:val="0"/>
      <w:marRight w:val="0"/>
      <w:marTop w:val="0"/>
      <w:marBottom w:val="0"/>
      <w:divBdr>
        <w:top w:val="none" w:sz="0" w:space="0" w:color="auto"/>
        <w:left w:val="none" w:sz="0" w:space="0" w:color="auto"/>
        <w:bottom w:val="none" w:sz="0" w:space="0" w:color="auto"/>
        <w:right w:val="none" w:sz="0" w:space="0" w:color="auto"/>
      </w:divBdr>
    </w:div>
    <w:div w:id="1047947199">
      <w:bodyDiv w:val="1"/>
      <w:marLeft w:val="0"/>
      <w:marRight w:val="0"/>
      <w:marTop w:val="0"/>
      <w:marBottom w:val="0"/>
      <w:divBdr>
        <w:top w:val="none" w:sz="0" w:space="0" w:color="auto"/>
        <w:left w:val="none" w:sz="0" w:space="0" w:color="auto"/>
        <w:bottom w:val="none" w:sz="0" w:space="0" w:color="auto"/>
        <w:right w:val="none" w:sz="0" w:space="0" w:color="auto"/>
      </w:divBdr>
    </w:div>
    <w:div w:id="1048068087">
      <w:bodyDiv w:val="1"/>
      <w:marLeft w:val="0"/>
      <w:marRight w:val="0"/>
      <w:marTop w:val="0"/>
      <w:marBottom w:val="0"/>
      <w:divBdr>
        <w:top w:val="none" w:sz="0" w:space="0" w:color="auto"/>
        <w:left w:val="none" w:sz="0" w:space="0" w:color="auto"/>
        <w:bottom w:val="none" w:sz="0" w:space="0" w:color="auto"/>
        <w:right w:val="none" w:sz="0" w:space="0" w:color="auto"/>
      </w:divBdr>
    </w:div>
    <w:div w:id="1048141362">
      <w:bodyDiv w:val="1"/>
      <w:marLeft w:val="0"/>
      <w:marRight w:val="0"/>
      <w:marTop w:val="0"/>
      <w:marBottom w:val="0"/>
      <w:divBdr>
        <w:top w:val="none" w:sz="0" w:space="0" w:color="auto"/>
        <w:left w:val="none" w:sz="0" w:space="0" w:color="auto"/>
        <w:bottom w:val="none" w:sz="0" w:space="0" w:color="auto"/>
        <w:right w:val="none" w:sz="0" w:space="0" w:color="auto"/>
      </w:divBdr>
    </w:div>
    <w:div w:id="1048183534">
      <w:bodyDiv w:val="1"/>
      <w:marLeft w:val="0"/>
      <w:marRight w:val="0"/>
      <w:marTop w:val="0"/>
      <w:marBottom w:val="0"/>
      <w:divBdr>
        <w:top w:val="none" w:sz="0" w:space="0" w:color="auto"/>
        <w:left w:val="none" w:sz="0" w:space="0" w:color="auto"/>
        <w:bottom w:val="none" w:sz="0" w:space="0" w:color="auto"/>
        <w:right w:val="none" w:sz="0" w:space="0" w:color="auto"/>
      </w:divBdr>
    </w:div>
    <w:div w:id="1048185510">
      <w:bodyDiv w:val="1"/>
      <w:marLeft w:val="0"/>
      <w:marRight w:val="0"/>
      <w:marTop w:val="0"/>
      <w:marBottom w:val="0"/>
      <w:divBdr>
        <w:top w:val="none" w:sz="0" w:space="0" w:color="auto"/>
        <w:left w:val="none" w:sz="0" w:space="0" w:color="auto"/>
        <w:bottom w:val="none" w:sz="0" w:space="0" w:color="auto"/>
        <w:right w:val="none" w:sz="0" w:space="0" w:color="auto"/>
      </w:divBdr>
    </w:div>
    <w:div w:id="1048189925">
      <w:bodyDiv w:val="1"/>
      <w:marLeft w:val="0"/>
      <w:marRight w:val="0"/>
      <w:marTop w:val="0"/>
      <w:marBottom w:val="0"/>
      <w:divBdr>
        <w:top w:val="none" w:sz="0" w:space="0" w:color="auto"/>
        <w:left w:val="none" w:sz="0" w:space="0" w:color="auto"/>
        <w:bottom w:val="none" w:sz="0" w:space="0" w:color="auto"/>
        <w:right w:val="none" w:sz="0" w:space="0" w:color="auto"/>
      </w:divBdr>
    </w:div>
    <w:div w:id="1048452075">
      <w:bodyDiv w:val="1"/>
      <w:marLeft w:val="0"/>
      <w:marRight w:val="0"/>
      <w:marTop w:val="0"/>
      <w:marBottom w:val="0"/>
      <w:divBdr>
        <w:top w:val="none" w:sz="0" w:space="0" w:color="auto"/>
        <w:left w:val="none" w:sz="0" w:space="0" w:color="auto"/>
        <w:bottom w:val="none" w:sz="0" w:space="0" w:color="auto"/>
        <w:right w:val="none" w:sz="0" w:space="0" w:color="auto"/>
      </w:divBdr>
    </w:div>
    <w:div w:id="1048459637">
      <w:bodyDiv w:val="1"/>
      <w:marLeft w:val="0"/>
      <w:marRight w:val="0"/>
      <w:marTop w:val="0"/>
      <w:marBottom w:val="0"/>
      <w:divBdr>
        <w:top w:val="none" w:sz="0" w:space="0" w:color="auto"/>
        <w:left w:val="none" w:sz="0" w:space="0" w:color="auto"/>
        <w:bottom w:val="none" w:sz="0" w:space="0" w:color="auto"/>
        <w:right w:val="none" w:sz="0" w:space="0" w:color="auto"/>
      </w:divBdr>
    </w:div>
    <w:div w:id="1048532654">
      <w:bodyDiv w:val="1"/>
      <w:marLeft w:val="0"/>
      <w:marRight w:val="0"/>
      <w:marTop w:val="0"/>
      <w:marBottom w:val="0"/>
      <w:divBdr>
        <w:top w:val="none" w:sz="0" w:space="0" w:color="auto"/>
        <w:left w:val="none" w:sz="0" w:space="0" w:color="auto"/>
        <w:bottom w:val="none" w:sz="0" w:space="0" w:color="auto"/>
        <w:right w:val="none" w:sz="0" w:space="0" w:color="auto"/>
      </w:divBdr>
    </w:div>
    <w:div w:id="1048841550">
      <w:bodyDiv w:val="1"/>
      <w:marLeft w:val="0"/>
      <w:marRight w:val="0"/>
      <w:marTop w:val="0"/>
      <w:marBottom w:val="0"/>
      <w:divBdr>
        <w:top w:val="none" w:sz="0" w:space="0" w:color="auto"/>
        <w:left w:val="none" w:sz="0" w:space="0" w:color="auto"/>
        <w:bottom w:val="none" w:sz="0" w:space="0" w:color="auto"/>
        <w:right w:val="none" w:sz="0" w:space="0" w:color="auto"/>
      </w:divBdr>
    </w:div>
    <w:div w:id="1048914170">
      <w:bodyDiv w:val="1"/>
      <w:marLeft w:val="0"/>
      <w:marRight w:val="0"/>
      <w:marTop w:val="0"/>
      <w:marBottom w:val="0"/>
      <w:divBdr>
        <w:top w:val="none" w:sz="0" w:space="0" w:color="auto"/>
        <w:left w:val="none" w:sz="0" w:space="0" w:color="auto"/>
        <w:bottom w:val="none" w:sz="0" w:space="0" w:color="auto"/>
        <w:right w:val="none" w:sz="0" w:space="0" w:color="auto"/>
      </w:divBdr>
    </w:div>
    <w:div w:id="1048916151">
      <w:bodyDiv w:val="1"/>
      <w:marLeft w:val="0"/>
      <w:marRight w:val="0"/>
      <w:marTop w:val="0"/>
      <w:marBottom w:val="0"/>
      <w:divBdr>
        <w:top w:val="none" w:sz="0" w:space="0" w:color="auto"/>
        <w:left w:val="none" w:sz="0" w:space="0" w:color="auto"/>
        <w:bottom w:val="none" w:sz="0" w:space="0" w:color="auto"/>
        <w:right w:val="none" w:sz="0" w:space="0" w:color="auto"/>
      </w:divBdr>
    </w:div>
    <w:div w:id="1049106529">
      <w:bodyDiv w:val="1"/>
      <w:marLeft w:val="0"/>
      <w:marRight w:val="0"/>
      <w:marTop w:val="0"/>
      <w:marBottom w:val="0"/>
      <w:divBdr>
        <w:top w:val="none" w:sz="0" w:space="0" w:color="auto"/>
        <w:left w:val="none" w:sz="0" w:space="0" w:color="auto"/>
        <w:bottom w:val="none" w:sz="0" w:space="0" w:color="auto"/>
        <w:right w:val="none" w:sz="0" w:space="0" w:color="auto"/>
      </w:divBdr>
    </w:div>
    <w:div w:id="1049183979">
      <w:bodyDiv w:val="1"/>
      <w:marLeft w:val="0"/>
      <w:marRight w:val="0"/>
      <w:marTop w:val="0"/>
      <w:marBottom w:val="0"/>
      <w:divBdr>
        <w:top w:val="none" w:sz="0" w:space="0" w:color="auto"/>
        <w:left w:val="none" w:sz="0" w:space="0" w:color="auto"/>
        <w:bottom w:val="none" w:sz="0" w:space="0" w:color="auto"/>
        <w:right w:val="none" w:sz="0" w:space="0" w:color="auto"/>
      </w:divBdr>
    </w:div>
    <w:div w:id="1049188522">
      <w:bodyDiv w:val="1"/>
      <w:marLeft w:val="0"/>
      <w:marRight w:val="0"/>
      <w:marTop w:val="0"/>
      <w:marBottom w:val="0"/>
      <w:divBdr>
        <w:top w:val="none" w:sz="0" w:space="0" w:color="auto"/>
        <w:left w:val="none" w:sz="0" w:space="0" w:color="auto"/>
        <w:bottom w:val="none" w:sz="0" w:space="0" w:color="auto"/>
        <w:right w:val="none" w:sz="0" w:space="0" w:color="auto"/>
      </w:divBdr>
    </w:div>
    <w:div w:id="1049302508">
      <w:bodyDiv w:val="1"/>
      <w:marLeft w:val="0"/>
      <w:marRight w:val="0"/>
      <w:marTop w:val="0"/>
      <w:marBottom w:val="0"/>
      <w:divBdr>
        <w:top w:val="none" w:sz="0" w:space="0" w:color="auto"/>
        <w:left w:val="none" w:sz="0" w:space="0" w:color="auto"/>
        <w:bottom w:val="none" w:sz="0" w:space="0" w:color="auto"/>
        <w:right w:val="none" w:sz="0" w:space="0" w:color="auto"/>
      </w:divBdr>
    </w:div>
    <w:div w:id="1049378044">
      <w:bodyDiv w:val="1"/>
      <w:marLeft w:val="0"/>
      <w:marRight w:val="0"/>
      <w:marTop w:val="0"/>
      <w:marBottom w:val="0"/>
      <w:divBdr>
        <w:top w:val="none" w:sz="0" w:space="0" w:color="auto"/>
        <w:left w:val="none" w:sz="0" w:space="0" w:color="auto"/>
        <w:bottom w:val="none" w:sz="0" w:space="0" w:color="auto"/>
        <w:right w:val="none" w:sz="0" w:space="0" w:color="auto"/>
      </w:divBdr>
    </w:div>
    <w:div w:id="1049456017">
      <w:bodyDiv w:val="1"/>
      <w:marLeft w:val="0"/>
      <w:marRight w:val="0"/>
      <w:marTop w:val="0"/>
      <w:marBottom w:val="0"/>
      <w:divBdr>
        <w:top w:val="none" w:sz="0" w:space="0" w:color="auto"/>
        <w:left w:val="none" w:sz="0" w:space="0" w:color="auto"/>
        <w:bottom w:val="none" w:sz="0" w:space="0" w:color="auto"/>
        <w:right w:val="none" w:sz="0" w:space="0" w:color="auto"/>
      </w:divBdr>
    </w:div>
    <w:div w:id="1049457256">
      <w:bodyDiv w:val="1"/>
      <w:marLeft w:val="0"/>
      <w:marRight w:val="0"/>
      <w:marTop w:val="0"/>
      <w:marBottom w:val="0"/>
      <w:divBdr>
        <w:top w:val="none" w:sz="0" w:space="0" w:color="auto"/>
        <w:left w:val="none" w:sz="0" w:space="0" w:color="auto"/>
        <w:bottom w:val="none" w:sz="0" w:space="0" w:color="auto"/>
        <w:right w:val="none" w:sz="0" w:space="0" w:color="auto"/>
      </w:divBdr>
    </w:div>
    <w:div w:id="1049576891">
      <w:bodyDiv w:val="1"/>
      <w:marLeft w:val="0"/>
      <w:marRight w:val="0"/>
      <w:marTop w:val="0"/>
      <w:marBottom w:val="0"/>
      <w:divBdr>
        <w:top w:val="none" w:sz="0" w:space="0" w:color="auto"/>
        <w:left w:val="none" w:sz="0" w:space="0" w:color="auto"/>
        <w:bottom w:val="none" w:sz="0" w:space="0" w:color="auto"/>
        <w:right w:val="none" w:sz="0" w:space="0" w:color="auto"/>
      </w:divBdr>
    </w:div>
    <w:div w:id="1049646227">
      <w:bodyDiv w:val="1"/>
      <w:marLeft w:val="0"/>
      <w:marRight w:val="0"/>
      <w:marTop w:val="0"/>
      <w:marBottom w:val="0"/>
      <w:divBdr>
        <w:top w:val="none" w:sz="0" w:space="0" w:color="auto"/>
        <w:left w:val="none" w:sz="0" w:space="0" w:color="auto"/>
        <w:bottom w:val="none" w:sz="0" w:space="0" w:color="auto"/>
        <w:right w:val="none" w:sz="0" w:space="0" w:color="auto"/>
      </w:divBdr>
    </w:div>
    <w:div w:id="1049647109">
      <w:bodyDiv w:val="1"/>
      <w:marLeft w:val="0"/>
      <w:marRight w:val="0"/>
      <w:marTop w:val="0"/>
      <w:marBottom w:val="0"/>
      <w:divBdr>
        <w:top w:val="none" w:sz="0" w:space="0" w:color="auto"/>
        <w:left w:val="none" w:sz="0" w:space="0" w:color="auto"/>
        <w:bottom w:val="none" w:sz="0" w:space="0" w:color="auto"/>
        <w:right w:val="none" w:sz="0" w:space="0" w:color="auto"/>
      </w:divBdr>
    </w:div>
    <w:div w:id="1049768075">
      <w:bodyDiv w:val="1"/>
      <w:marLeft w:val="0"/>
      <w:marRight w:val="0"/>
      <w:marTop w:val="0"/>
      <w:marBottom w:val="0"/>
      <w:divBdr>
        <w:top w:val="none" w:sz="0" w:space="0" w:color="auto"/>
        <w:left w:val="none" w:sz="0" w:space="0" w:color="auto"/>
        <w:bottom w:val="none" w:sz="0" w:space="0" w:color="auto"/>
        <w:right w:val="none" w:sz="0" w:space="0" w:color="auto"/>
      </w:divBdr>
    </w:div>
    <w:div w:id="1049963261">
      <w:bodyDiv w:val="1"/>
      <w:marLeft w:val="0"/>
      <w:marRight w:val="0"/>
      <w:marTop w:val="0"/>
      <w:marBottom w:val="0"/>
      <w:divBdr>
        <w:top w:val="none" w:sz="0" w:space="0" w:color="auto"/>
        <w:left w:val="none" w:sz="0" w:space="0" w:color="auto"/>
        <w:bottom w:val="none" w:sz="0" w:space="0" w:color="auto"/>
        <w:right w:val="none" w:sz="0" w:space="0" w:color="auto"/>
      </w:divBdr>
    </w:div>
    <w:div w:id="1050113315">
      <w:bodyDiv w:val="1"/>
      <w:marLeft w:val="0"/>
      <w:marRight w:val="0"/>
      <w:marTop w:val="0"/>
      <w:marBottom w:val="0"/>
      <w:divBdr>
        <w:top w:val="none" w:sz="0" w:space="0" w:color="auto"/>
        <w:left w:val="none" w:sz="0" w:space="0" w:color="auto"/>
        <w:bottom w:val="none" w:sz="0" w:space="0" w:color="auto"/>
        <w:right w:val="none" w:sz="0" w:space="0" w:color="auto"/>
      </w:divBdr>
    </w:div>
    <w:div w:id="1050149043">
      <w:bodyDiv w:val="1"/>
      <w:marLeft w:val="0"/>
      <w:marRight w:val="0"/>
      <w:marTop w:val="0"/>
      <w:marBottom w:val="0"/>
      <w:divBdr>
        <w:top w:val="none" w:sz="0" w:space="0" w:color="auto"/>
        <w:left w:val="none" w:sz="0" w:space="0" w:color="auto"/>
        <w:bottom w:val="none" w:sz="0" w:space="0" w:color="auto"/>
        <w:right w:val="none" w:sz="0" w:space="0" w:color="auto"/>
      </w:divBdr>
    </w:div>
    <w:div w:id="1050151284">
      <w:bodyDiv w:val="1"/>
      <w:marLeft w:val="0"/>
      <w:marRight w:val="0"/>
      <w:marTop w:val="0"/>
      <w:marBottom w:val="0"/>
      <w:divBdr>
        <w:top w:val="none" w:sz="0" w:space="0" w:color="auto"/>
        <w:left w:val="none" w:sz="0" w:space="0" w:color="auto"/>
        <w:bottom w:val="none" w:sz="0" w:space="0" w:color="auto"/>
        <w:right w:val="none" w:sz="0" w:space="0" w:color="auto"/>
      </w:divBdr>
    </w:div>
    <w:div w:id="1050495409">
      <w:bodyDiv w:val="1"/>
      <w:marLeft w:val="0"/>
      <w:marRight w:val="0"/>
      <w:marTop w:val="0"/>
      <w:marBottom w:val="0"/>
      <w:divBdr>
        <w:top w:val="none" w:sz="0" w:space="0" w:color="auto"/>
        <w:left w:val="none" w:sz="0" w:space="0" w:color="auto"/>
        <w:bottom w:val="none" w:sz="0" w:space="0" w:color="auto"/>
        <w:right w:val="none" w:sz="0" w:space="0" w:color="auto"/>
      </w:divBdr>
    </w:div>
    <w:div w:id="1050496582">
      <w:bodyDiv w:val="1"/>
      <w:marLeft w:val="0"/>
      <w:marRight w:val="0"/>
      <w:marTop w:val="0"/>
      <w:marBottom w:val="0"/>
      <w:divBdr>
        <w:top w:val="none" w:sz="0" w:space="0" w:color="auto"/>
        <w:left w:val="none" w:sz="0" w:space="0" w:color="auto"/>
        <w:bottom w:val="none" w:sz="0" w:space="0" w:color="auto"/>
        <w:right w:val="none" w:sz="0" w:space="0" w:color="auto"/>
      </w:divBdr>
    </w:div>
    <w:div w:id="1050501336">
      <w:bodyDiv w:val="1"/>
      <w:marLeft w:val="0"/>
      <w:marRight w:val="0"/>
      <w:marTop w:val="0"/>
      <w:marBottom w:val="0"/>
      <w:divBdr>
        <w:top w:val="none" w:sz="0" w:space="0" w:color="auto"/>
        <w:left w:val="none" w:sz="0" w:space="0" w:color="auto"/>
        <w:bottom w:val="none" w:sz="0" w:space="0" w:color="auto"/>
        <w:right w:val="none" w:sz="0" w:space="0" w:color="auto"/>
      </w:divBdr>
    </w:div>
    <w:div w:id="1050571967">
      <w:bodyDiv w:val="1"/>
      <w:marLeft w:val="0"/>
      <w:marRight w:val="0"/>
      <w:marTop w:val="0"/>
      <w:marBottom w:val="0"/>
      <w:divBdr>
        <w:top w:val="none" w:sz="0" w:space="0" w:color="auto"/>
        <w:left w:val="none" w:sz="0" w:space="0" w:color="auto"/>
        <w:bottom w:val="none" w:sz="0" w:space="0" w:color="auto"/>
        <w:right w:val="none" w:sz="0" w:space="0" w:color="auto"/>
      </w:divBdr>
    </w:div>
    <w:div w:id="1050766483">
      <w:bodyDiv w:val="1"/>
      <w:marLeft w:val="0"/>
      <w:marRight w:val="0"/>
      <w:marTop w:val="0"/>
      <w:marBottom w:val="0"/>
      <w:divBdr>
        <w:top w:val="none" w:sz="0" w:space="0" w:color="auto"/>
        <w:left w:val="none" w:sz="0" w:space="0" w:color="auto"/>
        <w:bottom w:val="none" w:sz="0" w:space="0" w:color="auto"/>
        <w:right w:val="none" w:sz="0" w:space="0" w:color="auto"/>
      </w:divBdr>
    </w:div>
    <w:div w:id="1050768420">
      <w:bodyDiv w:val="1"/>
      <w:marLeft w:val="0"/>
      <w:marRight w:val="0"/>
      <w:marTop w:val="0"/>
      <w:marBottom w:val="0"/>
      <w:divBdr>
        <w:top w:val="none" w:sz="0" w:space="0" w:color="auto"/>
        <w:left w:val="none" w:sz="0" w:space="0" w:color="auto"/>
        <w:bottom w:val="none" w:sz="0" w:space="0" w:color="auto"/>
        <w:right w:val="none" w:sz="0" w:space="0" w:color="auto"/>
      </w:divBdr>
    </w:div>
    <w:div w:id="1051000941">
      <w:bodyDiv w:val="1"/>
      <w:marLeft w:val="0"/>
      <w:marRight w:val="0"/>
      <w:marTop w:val="0"/>
      <w:marBottom w:val="0"/>
      <w:divBdr>
        <w:top w:val="none" w:sz="0" w:space="0" w:color="auto"/>
        <w:left w:val="none" w:sz="0" w:space="0" w:color="auto"/>
        <w:bottom w:val="none" w:sz="0" w:space="0" w:color="auto"/>
        <w:right w:val="none" w:sz="0" w:space="0" w:color="auto"/>
      </w:divBdr>
    </w:div>
    <w:div w:id="1051223684">
      <w:bodyDiv w:val="1"/>
      <w:marLeft w:val="0"/>
      <w:marRight w:val="0"/>
      <w:marTop w:val="0"/>
      <w:marBottom w:val="0"/>
      <w:divBdr>
        <w:top w:val="none" w:sz="0" w:space="0" w:color="auto"/>
        <w:left w:val="none" w:sz="0" w:space="0" w:color="auto"/>
        <w:bottom w:val="none" w:sz="0" w:space="0" w:color="auto"/>
        <w:right w:val="none" w:sz="0" w:space="0" w:color="auto"/>
      </w:divBdr>
    </w:div>
    <w:div w:id="1051225715">
      <w:bodyDiv w:val="1"/>
      <w:marLeft w:val="0"/>
      <w:marRight w:val="0"/>
      <w:marTop w:val="0"/>
      <w:marBottom w:val="0"/>
      <w:divBdr>
        <w:top w:val="none" w:sz="0" w:space="0" w:color="auto"/>
        <w:left w:val="none" w:sz="0" w:space="0" w:color="auto"/>
        <w:bottom w:val="none" w:sz="0" w:space="0" w:color="auto"/>
        <w:right w:val="none" w:sz="0" w:space="0" w:color="auto"/>
      </w:divBdr>
    </w:div>
    <w:div w:id="1051422929">
      <w:bodyDiv w:val="1"/>
      <w:marLeft w:val="0"/>
      <w:marRight w:val="0"/>
      <w:marTop w:val="0"/>
      <w:marBottom w:val="0"/>
      <w:divBdr>
        <w:top w:val="none" w:sz="0" w:space="0" w:color="auto"/>
        <w:left w:val="none" w:sz="0" w:space="0" w:color="auto"/>
        <w:bottom w:val="none" w:sz="0" w:space="0" w:color="auto"/>
        <w:right w:val="none" w:sz="0" w:space="0" w:color="auto"/>
      </w:divBdr>
    </w:div>
    <w:div w:id="1051466713">
      <w:bodyDiv w:val="1"/>
      <w:marLeft w:val="0"/>
      <w:marRight w:val="0"/>
      <w:marTop w:val="0"/>
      <w:marBottom w:val="0"/>
      <w:divBdr>
        <w:top w:val="none" w:sz="0" w:space="0" w:color="auto"/>
        <w:left w:val="none" w:sz="0" w:space="0" w:color="auto"/>
        <w:bottom w:val="none" w:sz="0" w:space="0" w:color="auto"/>
        <w:right w:val="none" w:sz="0" w:space="0" w:color="auto"/>
      </w:divBdr>
    </w:div>
    <w:div w:id="1051536046">
      <w:bodyDiv w:val="1"/>
      <w:marLeft w:val="0"/>
      <w:marRight w:val="0"/>
      <w:marTop w:val="0"/>
      <w:marBottom w:val="0"/>
      <w:divBdr>
        <w:top w:val="none" w:sz="0" w:space="0" w:color="auto"/>
        <w:left w:val="none" w:sz="0" w:space="0" w:color="auto"/>
        <w:bottom w:val="none" w:sz="0" w:space="0" w:color="auto"/>
        <w:right w:val="none" w:sz="0" w:space="0" w:color="auto"/>
      </w:divBdr>
    </w:div>
    <w:div w:id="1051684248">
      <w:bodyDiv w:val="1"/>
      <w:marLeft w:val="0"/>
      <w:marRight w:val="0"/>
      <w:marTop w:val="0"/>
      <w:marBottom w:val="0"/>
      <w:divBdr>
        <w:top w:val="none" w:sz="0" w:space="0" w:color="auto"/>
        <w:left w:val="none" w:sz="0" w:space="0" w:color="auto"/>
        <w:bottom w:val="none" w:sz="0" w:space="0" w:color="auto"/>
        <w:right w:val="none" w:sz="0" w:space="0" w:color="auto"/>
      </w:divBdr>
    </w:div>
    <w:div w:id="1051995735">
      <w:bodyDiv w:val="1"/>
      <w:marLeft w:val="0"/>
      <w:marRight w:val="0"/>
      <w:marTop w:val="0"/>
      <w:marBottom w:val="0"/>
      <w:divBdr>
        <w:top w:val="none" w:sz="0" w:space="0" w:color="auto"/>
        <w:left w:val="none" w:sz="0" w:space="0" w:color="auto"/>
        <w:bottom w:val="none" w:sz="0" w:space="0" w:color="auto"/>
        <w:right w:val="none" w:sz="0" w:space="0" w:color="auto"/>
      </w:divBdr>
    </w:div>
    <w:div w:id="1052070948">
      <w:bodyDiv w:val="1"/>
      <w:marLeft w:val="0"/>
      <w:marRight w:val="0"/>
      <w:marTop w:val="0"/>
      <w:marBottom w:val="0"/>
      <w:divBdr>
        <w:top w:val="none" w:sz="0" w:space="0" w:color="auto"/>
        <w:left w:val="none" w:sz="0" w:space="0" w:color="auto"/>
        <w:bottom w:val="none" w:sz="0" w:space="0" w:color="auto"/>
        <w:right w:val="none" w:sz="0" w:space="0" w:color="auto"/>
      </w:divBdr>
    </w:div>
    <w:div w:id="1052078822">
      <w:bodyDiv w:val="1"/>
      <w:marLeft w:val="0"/>
      <w:marRight w:val="0"/>
      <w:marTop w:val="0"/>
      <w:marBottom w:val="0"/>
      <w:divBdr>
        <w:top w:val="none" w:sz="0" w:space="0" w:color="auto"/>
        <w:left w:val="none" w:sz="0" w:space="0" w:color="auto"/>
        <w:bottom w:val="none" w:sz="0" w:space="0" w:color="auto"/>
        <w:right w:val="none" w:sz="0" w:space="0" w:color="auto"/>
      </w:divBdr>
    </w:div>
    <w:div w:id="1052080565">
      <w:bodyDiv w:val="1"/>
      <w:marLeft w:val="0"/>
      <w:marRight w:val="0"/>
      <w:marTop w:val="0"/>
      <w:marBottom w:val="0"/>
      <w:divBdr>
        <w:top w:val="none" w:sz="0" w:space="0" w:color="auto"/>
        <w:left w:val="none" w:sz="0" w:space="0" w:color="auto"/>
        <w:bottom w:val="none" w:sz="0" w:space="0" w:color="auto"/>
        <w:right w:val="none" w:sz="0" w:space="0" w:color="auto"/>
      </w:divBdr>
    </w:div>
    <w:div w:id="1052342997">
      <w:bodyDiv w:val="1"/>
      <w:marLeft w:val="0"/>
      <w:marRight w:val="0"/>
      <w:marTop w:val="0"/>
      <w:marBottom w:val="0"/>
      <w:divBdr>
        <w:top w:val="none" w:sz="0" w:space="0" w:color="auto"/>
        <w:left w:val="none" w:sz="0" w:space="0" w:color="auto"/>
        <w:bottom w:val="none" w:sz="0" w:space="0" w:color="auto"/>
        <w:right w:val="none" w:sz="0" w:space="0" w:color="auto"/>
      </w:divBdr>
    </w:div>
    <w:div w:id="1052578029">
      <w:bodyDiv w:val="1"/>
      <w:marLeft w:val="0"/>
      <w:marRight w:val="0"/>
      <w:marTop w:val="0"/>
      <w:marBottom w:val="0"/>
      <w:divBdr>
        <w:top w:val="none" w:sz="0" w:space="0" w:color="auto"/>
        <w:left w:val="none" w:sz="0" w:space="0" w:color="auto"/>
        <w:bottom w:val="none" w:sz="0" w:space="0" w:color="auto"/>
        <w:right w:val="none" w:sz="0" w:space="0" w:color="auto"/>
      </w:divBdr>
    </w:div>
    <w:div w:id="1052994828">
      <w:bodyDiv w:val="1"/>
      <w:marLeft w:val="0"/>
      <w:marRight w:val="0"/>
      <w:marTop w:val="0"/>
      <w:marBottom w:val="0"/>
      <w:divBdr>
        <w:top w:val="none" w:sz="0" w:space="0" w:color="auto"/>
        <w:left w:val="none" w:sz="0" w:space="0" w:color="auto"/>
        <w:bottom w:val="none" w:sz="0" w:space="0" w:color="auto"/>
        <w:right w:val="none" w:sz="0" w:space="0" w:color="auto"/>
      </w:divBdr>
    </w:div>
    <w:div w:id="1052997320">
      <w:bodyDiv w:val="1"/>
      <w:marLeft w:val="0"/>
      <w:marRight w:val="0"/>
      <w:marTop w:val="0"/>
      <w:marBottom w:val="0"/>
      <w:divBdr>
        <w:top w:val="none" w:sz="0" w:space="0" w:color="auto"/>
        <w:left w:val="none" w:sz="0" w:space="0" w:color="auto"/>
        <w:bottom w:val="none" w:sz="0" w:space="0" w:color="auto"/>
        <w:right w:val="none" w:sz="0" w:space="0" w:color="auto"/>
      </w:divBdr>
    </w:div>
    <w:div w:id="1053113978">
      <w:bodyDiv w:val="1"/>
      <w:marLeft w:val="0"/>
      <w:marRight w:val="0"/>
      <w:marTop w:val="0"/>
      <w:marBottom w:val="0"/>
      <w:divBdr>
        <w:top w:val="none" w:sz="0" w:space="0" w:color="auto"/>
        <w:left w:val="none" w:sz="0" w:space="0" w:color="auto"/>
        <w:bottom w:val="none" w:sz="0" w:space="0" w:color="auto"/>
        <w:right w:val="none" w:sz="0" w:space="0" w:color="auto"/>
      </w:divBdr>
    </w:div>
    <w:div w:id="1053388695">
      <w:bodyDiv w:val="1"/>
      <w:marLeft w:val="0"/>
      <w:marRight w:val="0"/>
      <w:marTop w:val="0"/>
      <w:marBottom w:val="0"/>
      <w:divBdr>
        <w:top w:val="none" w:sz="0" w:space="0" w:color="auto"/>
        <w:left w:val="none" w:sz="0" w:space="0" w:color="auto"/>
        <w:bottom w:val="none" w:sz="0" w:space="0" w:color="auto"/>
        <w:right w:val="none" w:sz="0" w:space="0" w:color="auto"/>
      </w:divBdr>
    </w:div>
    <w:div w:id="1053429097">
      <w:bodyDiv w:val="1"/>
      <w:marLeft w:val="0"/>
      <w:marRight w:val="0"/>
      <w:marTop w:val="0"/>
      <w:marBottom w:val="0"/>
      <w:divBdr>
        <w:top w:val="none" w:sz="0" w:space="0" w:color="auto"/>
        <w:left w:val="none" w:sz="0" w:space="0" w:color="auto"/>
        <w:bottom w:val="none" w:sz="0" w:space="0" w:color="auto"/>
        <w:right w:val="none" w:sz="0" w:space="0" w:color="auto"/>
      </w:divBdr>
    </w:div>
    <w:div w:id="1054037786">
      <w:bodyDiv w:val="1"/>
      <w:marLeft w:val="0"/>
      <w:marRight w:val="0"/>
      <w:marTop w:val="0"/>
      <w:marBottom w:val="0"/>
      <w:divBdr>
        <w:top w:val="none" w:sz="0" w:space="0" w:color="auto"/>
        <w:left w:val="none" w:sz="0" w:space="0" w:color="auto"/>
        <w:bottom w:val="none" w:sz="0" w:space="0" w:color="auto"/>
        <w:right w:val="none" w:sz="0" w:space="0" w:color="auto"/>
      </w:divBdr>
    </w:div>
    <w:div w:id="1054156332">
      <w:bodyDiv w:val="1"/>
      <w:marLeft w:val="0"/>
      <w:marRight w:val="0"/>
      <w:marTop w:val="0"/>
      <w:marBottom w:val="0"/>
      <w:divBdr>
        <w:top w:val="none" w:sz="0" w:space="0" w:color="auto"/>
        <w:left w:val="none" w:sz="0" w:space="0" w:color="auto"/>
        <w:bottom w:val="none" w:sz="0" w:space="0" w:color="auto"/>
        <w:right w:val="none" w:sz="0" w:space="0" w:color="auto"/>
      </w:divBdr>
    </w:div>
    <w:div w:id="1054234150">
      <w:bodyDiv w:val="1"/>
      <w:marLeft w:val="0"/>
      <w:marRight w:val="0"/>
      <w:marTop w:val="0"/>
      <w:marBottom w:val="0"/>
      <w:divBdr>
        <w:top w:val="none" w:sz="0" w:space="0" w:color="auto"/>
        <w:left w:val="none" w:sz="0" w:space="0" w:color="auto"/>
        <w:bottom w:val="none" w:sz="0" w:space="0" w:color="auto"/>
        <w:right w:val="none" w:sz="0" w:space="0" w:color="auto"/>
      </w:divBdr>
    </w:div>
    <w:div w:id="1054544228">
      <w:bodyDiv w:val="1"/>
      <w:marLeft w:val="0"/>
      <w:marRight w:val="0"/>
      <w:marTop w:val="0"/>
      <w:marBottom w:val="0"/>
      <w:divBdr>
        <w:top w:val="none" w:sz="0" w:space="0" w:color="auto"/>
        <w:left w:val="none" w:sz="0" w:space="0" w:color="auto"/>
        <w:bottom w:val="none" w:sz="0" w:space="0" w:color="auto"/>
        <w:right w:val="none" w:sz="0" w:space="0" w:color="auto"/>
      </w:divBdr>
    </w:div>
    <w:div w:id="1054548642">
      <w:bodyDiv w:val="1"/>
      <w:marLeft w:val="0"/>
      <w:marRight w:val="0"/>
      <w:marTop w:val="0"/>
      <w:marBottom w:val="0"/>
      <w:divBdr>
        <w:top w:val="none" w:sz="0" w:space="0" w:color="auto"/>
        <w:left w:val="none" w:sz="0" w:space="0" w:color="auto"/>
        <w:bottom w:val="none" w:sz="0" w:space="0" w:color="auto"/>
        <w:right w:val="none" w:sz="0" w:space="0" w:color="auto"/>
      </w:divBdr>
    </w:div>
    <w:div w:id="1054618045">
      <w:bodyDiv w:val="1"/>
      <w:marLeft w:val="0"/>
      <w:marRight w:val="0"/>
      <w:marTop w:val="0"/>
      <w:marBottom w:val="0"/>
      <w:divBdr>
        <w:top w:val="none" w:sz="0" w:space="0" w:color="auto"/>
        <w:left w:val="none" w:sz="0" w:space="0" w:color="auto"/>
        <w:bottom w:val="none" w:sz="0" w:space="0" w:color="auto"/>
        <w:right w:val="none" w:sz="0" w:space="0" w:color="auto"/>
      </w:divBdr>
    </w:div>
    <w:div w:id="1054810367">
      <w:bodyDiv w:val="1"/>
      <w:marLeft w:val="0"/>
      <w:marRight w:val="0"/>
      <w:marTop w:val="0"/>
      <w:marBottom w:val="0"/>
      <w:divBdr>
        <w:top w:val="none" w:sz="0" w:space="0" w:color="auto"/>
        <w:left w:val="none" w:sz="0" w:space="0" w:color="auto"/>
        <w:bottom w:val="none" w:sz="0" w:space="0" w:color="auto"/>
        <w:right w:val="none" w:sz="0" w:space="0" w:color="auto"/>
      </w:divBdr>
    </w:div>
    <w:div w:id="1054888544">
      <w:bodyDiv w:val="1"/>
      <w:marLeft w:val="0"/>
      <w:marRight w:val="0"/>
      <w:marTop w:val="0"/>
      <w:marBottom w:val="0"/>
      <w:divBdr>
        <w:top w:val="none" w:sz="0" w:space="0" w:color="auto"/>
        <w:left w:val="none" w:sz="0" w:space="0" w:color="auto"/>
        <w:bottom w:val="none" w:sz="0" w:space="0" w:color="auto"/>
        <w:right w:val="none" w:sz="0" w:space="0" w:color="auto"/>
      </w:divBdr>
    </w:div>
    <w:div w:id="1054964669">
      <w:bodyDiv w:val="1"/>
      <w:marLeft w:val="0"/>
      <w:marRight w:val="0"/>
      <w:marTop w:val="0"/>
      <w:marBottom w:val="0"/>
      <w:divBdr>
        <w:top w:val="none" w:sz="0" w:space="0" w:color="auto"/>
        <w:left w:val="none" w:sz="0" w:space="0" w:color="auto"/>
        <w:bottom w:val="none" w:sz="0" w:space="0" w:color="auto"/>
        <w:right w:val="none" w:sz="0" w:space="0" w:color="auto"/>
      </w:divBdr>
    </w:div>
    <w:div w:id="1054964944">
      <w:bodyDiv w:val="1"/>
      <w:marLeft w:val="0"/>
      <w:marRight w:val="0"/>
      <w:marTop w:val="0"/>
      <w:marBottom w:val="0"/>
      <w:divBdr>
        <w:top w:val="none" w:sz="0" w:space="0" w:color="auto"/>
        <w:left w:val="none" w:sz="0" w:space="0" w:color="auto"/>
        <w:bottom w:val="none" w:sz="0" w:space="0" w:color="auto"/>
        <w:right w:val="none" w:sz="0" w:space="0" w:color="auto"/>
      </w:divBdr>
    </w:div>
    <w:div w:id="1055082045">
      <w:bodyDiv w:val="1"/>
      <w:marLeft w:val="0"/>
      <w:marRight w:val="0"/>
      <w:marTop w:val="0"/>
      <w:marBottom w:val="0"/>
      <w:divBdr>
        <w:top w:val="none" w:sz="0" w:space="0" w:color="auto"/>
        <w:left w:val="none" w:sz="0" w:space="0" w:color="auto"/>
        <w:bottom w:val="none" w:sz="0" w:space="0" w:color="auto"/>
        <w:right w:val="none" w:sz="0" w:space="0" w:color="auto"/>
      </w:divBdr>
    </w:div>
    <w:div w:id="1055084922">
      <w:bodyDiv w:val="1"/>
      <w:marLeft w:val="0"/>
      <w:marRight w:val="0"/>
      <w:marTop w:val="0"/>
      <w:marBottom w:val="0"/>
      <w:divBdr>
        <w:top w:val="none" w:sz="0" w:space="0" w:color="auto"/>
        <w:left w:val="none" w:sz="0" w:space="0" w:color="auto"/>
        <w:bottom w:val="none" w:sz="0" w:space="0" w:color="auto"/>
        <w:right w:val="none" w:sz="0" w:space="0" w:color="auto"/>
      </w:divBdr>
    </w:div>
    <w:div w:id="1055159134">
      <w:bodyDiv w:val="1"/>
      <w:marLeft w:val="0"/>
      <w:marRight w:val="0"/>
      <w:marTop w:val="0"/>
      <w:marBottom w:val="0"/>
      <w:divBdr>
        <w:top w:val="none" w:sz="0" w:space="0" w:color="auto"/>
        <w:left w:val="none" w:sz="0" w:space="0" w:color="auto"/>
        <w:bottom w:val="none" w:sz="0" w:space="0" w:color="auto"/>
        <w:right w:val="none" w:sz="0" w:space="0" w:color="auto"/>
      </w:divBdr>
    </w:div>
    <w:div w:id="1055200960">
      <w:bodyDiv w:val="1"/>
      <w:marLeft w:val="0"/>
      <w:marRight w:val="0"/>
      <w:marTop w:val="0"/>
      <w:marBottom w:val="0"/>
      <w:divBdr>
        <w:top w:val="none" w:sz="0" w:space="0" w:color="auto"/>
        <w:left w:val="none" w:sz="0" w:space="0" w:color="auto"/>
        <w:bottom w:val="none" w:sz="0" w:space="0" w:color="auto"/>
        <w:right w:val="none" w:sz="0" w:space="0" w:color="auto"/>
      </w:divBdr>
    </w:div>
    <w:div w:id="1055205939">
      <w:bodyDiv w:val="1"/>
      <w:marLeft w:val="0"/>
      <w:marRight w:val="0"/>
      <w:marTop w:val="0"/>
      <w:marBottom w:val="0"/>
      <w:divBdr>
        <w:top w:val="none" w:sz="0" w:space="0" w:color="auto"/>
        <w:left w:val="none" w:sz="0" w:space="0" w:color="auto"/>
        <w:bottom w:val="none" w:sz="0" w:space="0" w:color="auto"/>
        <w:right w:val="none" w:sz="0" w:space="0" w:color="auto"/>
      </w:divBdr>
    </w:div>
    <w:div w:id="1055276867">
      <w:bodyDiv w:val="1"/>
      <w:marLeft w:val="0"/>
      <w:marRight w:val="0"/>
      <w:marTop w:val="0"/>
      <w:marBottom w:val="0"/>
      <w:divBdr>
        <w:top w:val="none" w:sz="0" w:space="0" w:color="auto"/>
        <w:left w:val="none" w:sz="0" w:space="0" w:color="auto"/>
        <w:bottom w:val="none" w:sz="0" w:space="0" w:color="auto"/>
        <w:right w:val="none" w:sz="0" w:space="0" w:color="auto"/>
      </w:divBdr>
    </w:div>
    <w:div w:id="1055392917">
      <w:bodyDiv w:val="1"/>
      <w:marLeft w:val="0"/>
      <w:marRight w:val="0"/>
      <w:marTop w:val="0"/>
      <w:marBottom w:val="0"/>
      <w:divBdr>
        <w:top w:val="none" w:sz="0" w:space="0" w:color="auto"/>
        <w:left w:val="none" w:sz="0" w:space="0" w:color="auto"/>
        <w:bottom w:val="none" w:sz="0" w:space="0" w:color="auto"/>
        <w:right w:val="none" w:sz="0" w:space="0" w:color="auto"/>
      </w:divBdr>
    </w:div>
    <w:div w:id="1055395675">
      <w:bodyDiv w:val="1"/>
      <w:marLeft w:val="0"/>
      <w:marRight w:val="0"/>
      <w:marTop w:val="0"/>
      <w:marBottom w:val="0"/>
      <w:divBdr>
        <w:top w:val="none" w:sz="0" w:space="0" w:color="auto"/>
        <w:left w:val="none" w:sz="0" w:space="0" w:color="auto"/>
        <w:bottom w:val="none" w:sz="0" w:space="0" w:color="auto"/>
        <w:right w:val="none" w:sz="0" w:space="0" w:color="auto"/>
      </w:divBdr>
    </w:div>
    <w:div w:id="1055785358">
      <w:bodyDiv w:val="1"/>
      <w:marLeft w:val="0"/>
      <w:marRight w:val="0"/>
      <w:marTop w:val="0"/>
      <w:marBottom w:val="0"/>
      <w:divBdr>
        <w:top w:val="none" w:sz="0" w:space="0" w:color="auto"/>
        <w:left w:val="none" w:sz="0" w:space="0" w:color="auto"/>
        <w:bottom w:val="none" w:sz="0" w:space="0" w:color="auto"/>
        <w:right w:val="none" w:sz="0" w:space="0" w:color="auto"/>
      </w:divBdr>
    </w:div>
    <w:div w:id="1055810820">
      <w:bodyDiv w:val="1"/>
      <w:marLeft w:val="0"/>
      <w:marRight w:val="0"/>
      <w:marTop w:val="0"/>
      <w:marBottom w:val="0"/>
      <w:divBdr>
        <w:top w:val="none" w:sz="0" w:space="0" w:color="auto"/>
        <w:left w:val="none" w:sz="0" w:space="0" w:color="auto"/>
        <w:bottom w:val="none" w:sz="0" w:space="0" w:color="auto"/>
        <w:right w:val="none" w:sz="0" w:space="0" w:color="auto"/>
      </w:divBdr>
    </w:div>
    <w:div w:id="1055929662">
      <w:bodyDiv w:val="1"/>
      <w:marLeft w:val="0"/>
      <w:marRight w:val="0"/>
      <w:marTop w:val="0"/>
      <w:marBottom w:val="0"/>
      <w:divBdr>
        <w:top w:val="none" w:sz="0" w:space="0" w:color="auto"/>
        <w:left w:val="none" w:sz="0" w:space="0" w:color="auto"/>
        <w:bottom w:val="none" w:sz="0" w:space="0" w:color="auto"/>
        <w:right w:val="none" w:sz="0" w:space="0" w:color="auto"/>
      </w:divBdr>
    </w:div>
    <w:div w:id="1055933104">
      <w:bodyDiv w:val="1"/>
      <w:marLeft w:val="0"/>
      <w:marRight w:val="0"/>
      <w:marTop w:val="0"/>
      <w:marBottom w:val="0"/>
      <w:divBdr>
        <w:top w:val="none" w:sz="0" w:space="0" w:color="auto"/>
        <w:left w:val="none" w:sz="0" w:space="0" w:color="auto"/>
        <w:bottom w:val="none" w:sz="0" w:space="0" w:color="auto"/>
        <w:right w:val="none" w:sz="0" w:space="0" w:color="auto"/>
      </w:divBdr>
    </w:div>
    <w:div w:id="1055936886">
      <w:bodyDiv w:val="1"/>
      <w:marLeft w:val="0"/>
      <w:marRight w:val="0"/>
      <w:marTop w:val="0"/>
      <w:marBottom w:val="0"/>
      <w:divBdr>
        <w:top w:val="none" w:sz="0" w:space="0" w:color="auto"/>
        <w:left w:val="none" w:sz="0" w:space="0" w:color="auto"/>
        <w:bottom w:val="none" w:sz="0" w:space="0" w:color="auto"/>
        <w:right w:val="none" w:sz="0" w:space="0" w:color="auto"/>
      </w:divBdr>
    </w:div>
    <w:div w:id="1056199779">
      <w:bodyDiv w:val="1"/>
      <w:marLeft w:val="0"/>
      <w:marRight w:val="0"/>
      <w:marTop w:val="0"/>
      <w:marBottom w:val="0"/>
      <w:divBdr>
        <w:top w:val="none" w:sz="0" w:space="0" w:color="auto"/>
        <w:left w:val="none" w:sz="0" w:space="0" w:color="auto"/>
        <w:bottom w:val="none" w:sz="0" w:space="0" w:color="auto"/>
        <w:right w:val="none" w:sz="0" w:space="0" w:color="auto"/>
      </w:divBdr>
    </w:div>
    <w:div w:id="1056315569">
      <w:bodyDiv w:val="1"/>
      <w:marLeft w:val="0"/>
      <w:marRight w:val="0"/>
      <w:marTop w:val="0"/>
      <w:marBottom w:val="0"/>
      <w:divBdr>
        <w:top w:val="none" w:sz="0" w:space="0" w:color="auto"/>
        <w:left w:val="none" w:sz="0" w:space="0" w:color="auto"/>
        <w:bottom w:val="none" w:sz="0" w:space="0" w:color="auto"/>
        <w:right w:val="none" w:sz="0" w:space="0" w:color="auto"/>
      </w:divBdr>
    </w:div>
    <w:div w:id="1056320229">
      <w:bodyDiv w:val="1"/>
      <w:marLeft w:val="0"/>
      <w:marRight w:val="0"/>
      <w:marTop w:val="0"/>
      <w:marBottom w:val="0"/>
      <w:divBdr>
        <w:top w:val="none" w:sz="0" w:space="0" w:color="auto"/>
        <w:left w:val="none" w:sz="0" w:space="0" w:color="auto"/>
        <w:bottom w:val="none" w:sz="0" w:space="0" w:color="auto"/>
        <w:right w:val="none" w:sz="0" w:space="0" w:color="auto"/>
      </w:divBdr>
    </w:div>
    <w:div w:id="1056586281">
      <w:bodyDiv w:val="1"/>
      <w:marLeft w:val="0"/>
      <w:marRight w:val="0"/>
      <w:marTop w:val="0"/>
      <w:marBottom w:val="0"/>
      <w:divBdr>
        <w:top w:val="none" w:sz="0" w:space="0" w:color="auto"/>
        <w:left w:val="none" w:sz="0" w:space="0" w:color="auto"/>
        <w:bottom w:val="none" w:sz="0" w:space="0" w:color="auto"/>
        <w:right w:val="none" w:sz="0" w:space="0" w:color="auto"/>
      </w:divBdr>
    </w:div>
    <w:div w:id="1056928982">
      <w:bodyDiv w:val="1"/>
      <w:marLeft w:val="0"/>
      <w:marRight w:val="0"/>
      <w:marTop w:val="0"/>
      <w:marBottom w:val="0"/>
      <w:divBdr>
        <w:top w:val="none" w:sz="0" w:space="0" w:color="auto"/>
        <w:left w:val="none" w:sz="0" w:space="0" w:color="auto"/>
        <w:bottom w:val="none" w:sz="0" w:space="0" w:color="auto"/>
        <w:right w:val="none" w:sz="0" w:space="0" w:color="auto"/>
      </w:divBdr>
    </w:div>
    <w:div w:id="1056931112">
      <w:bodyDiv w:val="1"/>
      <w:marLeft w:val="0"/>
      <w:marRight w:val="0"/>
      <w:marTop w:val="0"/>
      <w:marBottom w:val="0"/>
      <w:divBdr>
        <w:top w:val="none" w:sz="0" w:space="0" w:color="auto"/>
        <w:left w:val="none" w:sz="0" w:space="0" w:color="auto"/>
        <w:bottom w:val="none" w:sz="0" w:space="0" w:color="auto"/>
        <w:right w:val="none" w:sz="0" w:space="0" w:color="auto"/>
      </w:divBdr>
    </w:div>
    <w:div w:id="1057168590">
      <w:bodyDiv w:val="1"/>
      <w:marLeft w:val="0"/>
      <w:marRight w:val="0"/>
      <w:marTop w:val="0"/>
      <w:marBottom w:val="0"/>
      <w:divBdr>
        <w:top w:val="none" w:sz="0" w:space="0" w:color="auto"/>
        <w:left w:val="none" w:sz="0" w:space="0" w:color="auto"/>
        <w:bottom w:val="none" w:sz="0" w:space="0" w:color="auto"/>
        <w:right w:val="none" w:sz="0" w:space="0" w:color="auto"/>
      </w:divBdr>
    </w:div>
    <w:div w:id="1057243372">
      <w:bodyDiv w:val="1"/>
      <w:marLeft w:val="0"/>
      <w:marRight w:val="0"/>
      <w:marTop w:val="0"/>
      <w:marBottom w:val="0"/>
      <w:divBdr>
        <w:top w:val="none" w:sz="0" w:space="0" w:color="auto"/>
        <w:left w:val="none" w:sz="0" w:space="0" w:color="auto"/>
        <w:bottom w:val="none" w:sz="0" w:space="0" w:color="auto"/>
        <w:right w:val="none" w:sz="0" w:space="0" w:color="auto"/>
      </w:divBdr>
    </w:div>
    <w:div w:id="1057432980">
      <w:bodyDiv w:val="1"/>
      <w:marLeft w:val="0"/>
      <w:marRight w:val="0"/>
      <w:marTop w:val="0"/>
      <w:marBottom w:val="0"/>
      <w:divBdr>
        <w:top w:val="none" w:sz="0" w:space="0" w:color="auto"/>
        <w:left w:val="none" w:sz="0" w:space="0" w:color="auto"/>
        <w:bottom w:val="none" w:sz="0" w:space="0" w:color="auto"/>
        <w:right w:val="none" w:sz="0" w:space="0" w:color="auto"/>
      </w:divBdr>
    </w:div>
    <w:div w:id="1057440175">
      <w:bodyDiv w:val="1"/>
      <w:marLeft w:val="0"/>
      <w:marRight w:val="0"/>
      <w:marTop w:val="0"/>
      <w:marBottom w:val="0"/>
      <w:divBdr>
        <w:top w:val="none" w:sz="0" w:space="0" w:color="auto"/>
        <w:left w:val="none" w:sz="0" w:space="0" w:color="auto"/>
        <w:bottom w:val="none" w:sz="0" w:space="0" w:color="auto"/>
        <w:right w:val="none" w:sz="0" w:space="0" w:color="auto"/>
      </w:divBdr>
    </w:div>
    <w:div w:id="1057706884">
      <w:bodyDiv w:val="1"/>
      <w:marLeft w:val="0"/>
      <w:marRight w:val="0"/>
      <w:marTop w:val="0"/>
      <w:marBottom w:val="0"/>
      <w:divBdr>
        <w:top w:val="none" w:sz="0" w:space="0" w:color="auto"/>
        <w:left w:val="none" w:sz="0" w:space="0" w:color="auto"/>
        <w:bottom w:val="none" w:sz="0" w:space="0" w:color="auto"/>
        <w:right w:val="none" w:sz="0" w:space="0" w:color="auto"/>
      </w:divBdr>
    </w:div>
    <w:div w:id="1057970844">
      <w:bodyDiv w:val="1"/>
      <w:marLeft w:val="0"/>
      <w:marRight w:val="0"/>
      <w:marTop w:val="0"/>
      <w:marBottom w:val="0"/>
      <w:divBdr>
        <w:top w:val="none" w:sz="0" w:space="0" w:color="auto"/>
        <w:left w:val="none" w:sz="0" w:space="0" w:color="auto"/>
        <w:bottom w:val="none" w:sz="0" w:space="0" w:color="auto"/>
        <w:right w:val="none" w:sz="0" w:space="0" w:color="auto"/>
      </w:divBdr>
    </w:div>
    <w:div w:id="1057972404">
      <w:bodyDiv w:val="1"/>
      <w:marLeft w:val="0"/>
      <w:marRight w:val="0"/>
      <w:marTop w:val="0"/>
      <w:marBottom w:val="0"/>
      <w:divBdr>
        <w:top w:val="none" w:sz="0" w:space="0" w:color="auto"/>
        <w:left w:val="none" w:sz="0" w:space="0" w:color="auto"/>
        <w:bottom w:val="none" w:sz="0" w:space="0" w:color="auto"/>
        <w:right w:val="none" w:sz="0" w:space="0" w:color="auto"/>
      </w:divBdr>
    </w:div>
    <w:div w:id="1058162750">
      <w:bodyDiv w:val="1"/>
      <w:marLeft w:val="0"/>
      <w:marRight w:val="0"/>
      <w:marTop w:val="0"/>
      <w:marBottom w:val="0"/>
      <w:divBdr>
        <w:top w:val="none" w:sz="0" w:space="0" w:color="auto"/>
        <w:left w:val="none" w:sz="0" w:space="0" w:color="auto"/>
        <w:bottom w:val="none" w:sz="0" w:space="0" w:color="auto"/>
        <w:right w:val="none" w:sz="0" w:space="0" w:color="auto"/>
      </w:divBdr>
    </w:div>
    <w:div w:id="1058237609">
      <w:bodyDiv w:val="1"/>
      <w:marLeft w:val="0"/>
      <w:marRight w:val="0"/>
      <w:marTop w:val="0"/>
      <w:marBottom w:val="0"/>
      <w:divBdr>
        <w:top w:val="none" w:sz="0" w:space="0" w:color="auto"/>
        <w:left w:val="none" w:sz="0" w:space="0" w:color="auto"/>
        <w:bottom w:val="none" w:sz="0" w:space="0" w:color="auto"/>
        <w:right w:val="none" w:sz="0" w:space="0" w:color="auto"/>
      </w:divBdr>
    </w:div>
    <w:div w:id="1058476245">
      <w:bodyDiv w:val="1"/>
      <w:marLeft w:val="0"/>
      <w:marRight w:val="0"/>
      <w:marTop w:val="0"/>
      <w:marBottom w:val="0"/>
      <w:divBdr>
        <w:top w:val="none" w:sz="0" w:space="0" w:color="auto"/>
        <w:left w:val="none" w:sz="0" w:space="0" w:color="auto"/>
        <w:bottom w:val="none" w:sz="0" w:space="0" w:color="auto"/>
        <w:right w:val="none" w:sz="0" w:space="0" w:color="auto"/>
      </w:divBdr>
    </w:div>
    <w:div w:id="1058550473">
      <w:bodyDiv w:val="1"/>
      <w:marLeft w:val="0"/>
      <w:marRight w:val="0"/>
      <w:marTop w:val="0"/>
      <w:marBottom w:val="0"/>
      <w:divBdr>
        <w:top w:val="none" w:sz="0" w:space="0" w:color="auto"/>
        <w:left w:val="none" w:sz="0" w:space="0" w:color="auto"/>
        <w:bottom w:val="none" w:sz="0" w:space="0" w:color="auto"/>
        <w:right w:val="none" w:sz="0" w:space="0" w:color="auto"/>
      </w:divBdr>
    </w:div>
    <w:div w:id="1058669605">
      <w:bodyDiv w:val="1"/>
      <w:marLeft w:val="0"/>
      <w:marRight w:val="0"/>
      <w:marTop w:val="0"/>
      <w:marBottom w:val="0"/>
      <w:divBdr>
        <w:top w:val="none" w:sz="0" w:space="0" w:color="auto"/>
        <w:left w:val="none" w:sz="0" w:space="0" w:color="auto"/>
        <w:bottom w:val="none" w:sz="0" w:space="0" w:color="auto"/>
        <w:right w:val="none" w:sz="0" w:space="0" w:color="auto"/>
      </w:divBdr>
    </w:div>
    <w:div w:id="1058669777">
      <w:bodyDiv w:val="1"/>
      <w:marLeft w:val="0"/>
      <w:marRight w:val="0"/>
      <w:marTop w:val="0"/>
      <w:marBottom w:val="0"/>
      <w:divBdr>
        <w:top w:val="none" w:sz="0" w:space="0" w:color="auto"/>
        <w:left w:val="none" w:sz="0" w:space="0" w:color="auto"/>
        <w:bottom w:val="none" w:sz="0" w:space="0" w:color="auto"/>
        <w:right w:val="none" w:sz="0" w:space="0" w:color="auto"/>
      </w:divBdr>
    </w:div>
    <w:div w:id="1058742819">
      <w:bodyDiv w:val="1"/>
      <w:marLeft w:val="0"/>
      <w:marRight w:val="0"/>
      <w:marTop w:val="0"/>
      <w:marBottom w:val="0"/>
      <w:divBdr>
        <w:top w:val="none" w:sz="0" w:space="0" w:color="auto"/>
        <w:left w:val="none" w:sz="0" w:space="0" w:color="auto"/>
        <w:bottom w:val="none" w:sz="0" w:space="0" w:color="auto"/>
        <w:right w:val="none" w:sz="0" w:space="0" w:color="auto"/>
      </w:divBdr>
    </w:div>
    <w:div w:id="1058826346">
      <w:bodyDiv w:val="1"/>
      <w:marLeft w:val="0"/>
      <w:marRight w:val="0"/>
      <w:marTop w:val="0"/>
      <w:marBottom w:val="0"/>
      <w:divBdr>
        <w:top w:val="none" w:sz="0" w:space="0" w:color="auto"/>
        <w:left w:val="none" w:sz="0" w:space="0" w:color="auto"/>
        <w:bottom w:val="none" w:sz="0" w:space="0" w:color="auto"/>
        <w:right w:val="none" w:sz="0" w:space="0" w:color="auto"/>
      </w:divBdr>
    </w:div>
    <w:div w:id="1058866529">
      <w:bodyDiv w:val="1"/>
      <w:marLeft w:val="0"/>
      <w:marRight w:val="0"/>
      <w:marTop w:val="0"/>
      <w:marBottom w:val="0"/>
      <w:divBdr>
        <w:top w:val="none" w:sz="0" w:space="0" w:color="auto"/>
        <w:left w:val="none" w:sz="0" w:space="0" w:color="auto"/>
        <w:bottom w:val="none" w:sz="0" w:space="0" w:color="auto"/>
        <w:right w:val="none" w:sz="0" w:space="0" w:color="auto"/>
      </w:divBdr>
    </w:div>
    <w:div w:id="1058896192">
      <w:bodyDiv w:val="1"/>
      <w:marLeft w:val="0"/>
      <w:marRight w:val="0"/>
      <w:marTop w:val="0"/>
      <w:marBottom w:val="0"/>
      <w:divBdr>
        <w:top w:val="none" w:sz="0" w:space="0" w:color="auto"/>
        <w:left w:val="none" w:sz="0" w:space="0" w:color="auto"/>
        <w:bottom w:val="none" w:sz="0" w:space="0" w:color="auto"/>
        <w:right w:val="none" w:sz="0" w:space="0" w:color="auto"/>
      </w:divBdr>
    </w:div>
    <w:div w:id="1058940370">
      <w:bodyDiv w:val="1"/>
      <w:marLeft w:val="0"/>
      <w:marRight w:val="0"/>
      <w:marTop w:val="0"/>
      <w:marBottom w:val="0"/>
      <w:divBdr>
        <w:top w:val="none" w:sz="0" w:space="0" w:color="auto"/>
        <w:left w:val="none" w:sz="0" w:space="0" w:color="auto"/>
        <w:bottom w:val="none" w:sz="0" w:space="0" w:color="auto"/>
        <w:right w:val="none" w:sz="0" w:space="0" w:color="auto"/>
      </w:divBdr>
    </w:div>
    <w:div w:id="1058941072">
      <w:bodyDiv w:val="1"/>
      <w:marLeft w:val="0"/>
      <w:marRight w:val="0"/>
      <w:marTop w:val="0"/>
      <w:marBottom w:val="0"/>
      <w:divBdr>
        <w:top w:val="none" w:sz="0" w:space="0" w:color="auto"/>
        <w:left w:val="none" w:sz="0" w:space="0" w:color="auto"/>
        <w:bottom w:val="none" w:sz="0" w:space="0" w:color="auto"/>
        <w:right w:val="none" w:sz="0" w:space="0" w:color="auto"/>
      </w:divBdr>
    </w:div>
    <w:div w:id="1059128254">
      <w:bodyDiv w:val="1"/>
      <w:marLeft w:val="0"/>
      <w:marRight w:val="0"/>
      <w:marTop w:val="0"/>
      <w:marBottom w:val="0"/>
      <w:divBdr>
        <w:top w:val="none" w:sz="0" w:space="0" w:color="auto"/>
        <w:left w:val="none" w:sz="0" w:space="0" w:color="auto"/>
        <w:bottom w:val="none" w:sz="0" w:space="0" w:color="auto"/>
        <w:right w:val="none" w:sz="0" w:space="0" w:color="auto"/>
      </w:divBdr>
    </w:div>
    <w:div w:id="1059206038">
      <w:bodyDiv w:val="1"/>
      <w:marLeft w:val="0"/>
      <w:marRight w:val="0"/>
      <w:marTop w:val="0"/>
      <w:marBottom w:val="0"/>
      <w:divBdr>
        <w:top w:val="none" w:sz="0" w:space="0" w:color="auto"/>
        <w:left w:val="none" w:sz="0" w:space="0" w:color="auto"/>
        <w:bottom w:val="none" w:sz="0" w:space="0" w:color="auto"/>
        <w:right w:val="none" w:sz="0" w:space="0" w:color="auto"/>
      </w:divBdr>
    </w:div>
    <w:div w:id="1059211440">
      <w:bodyDiv w:val="1"/>
      <w:marLeft w:val="0"/>
      <w:marRight w:val="0"/>
      <w:marTop w:val="0"/>
      <w:marBottom w:val="0"/>
      <w:divBdr>
        <w:top w:val="none" w:sz="0" w:space="0" w:color="auto"/>
        <w:left w:val="none" w:sz="0" w:space="0" w:color="auto"/>
        <w:bottom w:val="none" w:sz="0" w:space="0" w:color="auto"/>
        <w:right w:val="none" w:sz="0" w:space="0" w:color="auto"/>
      </w:divBdr>
    </w:div>
    <w:div w:id="1059324600">
      <w:bodyDiv w:val="1"/>
      <w:marLeft w:val="0"/>
      <w:marRight w:val="0"/>
      <w:marTop w:val="0"/>
      <w:marBottom w:val="0"/>
      <w:divBdr>
        <w:top w:val="none" w:sz="0" w:space="0" w:color="auto"/>
        <w:left w:val="none" w:sz="0" w:space="0" w:color="auto"/>
        <w:bottom w:val="none" w:sz="0" w:space="0" w:color="auto"/>
        <w:right w:val="none" w:sz="0" w:space="0" w:color="auto"/>
      </w:divBdr>
    </w:div>
    <w:div w:id="1059330271">
      <w:bodyDiv w:val="1"/>
      <w:marLeft w:val="0"/>
      <w:marRight w:val="0"/>
      <w:marTop w:val="0"/>
      <w:marBottom w:val="0"/>
      <w:divBdr>
        <w:top w:val="none" w:sz="0" w:space="0" w:color="auto"/>
        <w:left w:val="none" w:sz="0" w:space="0" w:color="auto"/>
        <w:bottom w:val="none" w:sz="0" w:space="0" w:color="auto"/>
        <w:right w:val="none" w:sz="0" w:space="0" w:color="auto"/>
      </w:divBdr>
    </w:div>
    <w:div w:id="1059473213">
      <w:bodyDiv w:val="1"/>
      <w:marLeft w:val="0"/>
      <w:marRight w:val="0"/>
      <w:marTop w:val="0"/>
      <w:marBottom w:val="0"/>
      <w:divBdr>
        <w:top w:val="none" w:sz="0" w:space="0" w:color="auto"/>
        <w:left w:val="none" w:sz="0" w:space="0" w:color="auto"/>
        <w:bottom w:val="none" w:sz="0" w:space="0" w:color="auto"/>
        <w:right w:val="none" w:sz="0" w:space="0" w:color="auto"/>
      </w:divBdr>
    </w:div>
    <w:div w:id="1059523591">
      <w:bodyDiv w:val="1"/>
      <w:marLeft w:val="0"/>
      <w:marRight w:val="0"/>
      <w:marTop w:val="0"/>
      <w:marBottom w:val="0"/>
      <w:divBdr>
        <w:top w:val="none" w:sz="0" w:space="0" w:color="auto"/>
        <w:left w:val="none" w:sz="0" w:space="0" w:color="auto"/>
        <w:bottom w:val="none" w:sz="0" w:space="0" w:color="auto"/>
        <w:right w:val="none" w:sz="0" w:space="0" w:color="auto"/>
      </w:divBdr>
    </w:div>
    <w:div w:id="1059549966">
      <w:bodyDiv w:val="1"/>
      <w:marLeft w:val="0"/>
      <w:marRight w:val="0"/>
      <w:marTop w:val="0"/>
      <w:marBottom w:val="0"/>
      <w:divBdr>
        <w:top w:val="none" w:sz="0" w:space="0" w:color="auto"/>
        <w:left w:val="none" w:sz="0" w:space="0" w:color="auto"/>
        <w:bottom w:val="none" w:sz="0" w:space="0" w:color="auto"/>
        <w:right w:val="none" w:sz="0" w:space="0" w:color="auto"/>
      </w:divBdr>
    </w:div>
    <w:div w:id="1059591274">
      <w:bodyDiv w:val="1"/>
      <w:marLeft w:val="0"/>
      <w:marRight w:val="0"/>
      <w:marTop w:val="0"/>
      <w:marBottom w:val="0"/>
      <w:divBdr>
        <w:top w:val="none" w:sz="0" w:space="0" w:color="auto"/>
        <w:left w:val="none" w:sz="0" w:space="0" w:color="auto"/>
        <w:bottom w:val="none" w:sz="0" w:space="0" w:color="auto"/>
        <w:right w:val="none" w:sz="0" w:space="0" w:color="auto"/>
      </w:divBdr>
    </w:div>
    <w:div w:id="1059599471">
      <w:bodyDiv w:val="1"/>
      <w:marLeft w:val="0"/>
      <w:marRight w:val="0"/>
      <w:marTop w:val="0"/>
      <w:marBottom w:val="0"/>
      <w:divBdr>
        <w:top w:val="none" w:sz="0" w:space="0" w:color="auto"/>
        <w:left w:val="none" w:sz="0" w:space="0" w:color="auto"/>
        <w:bottom w:val="none" w:sz="0" w:space="0" w:color="auto"/>
        <w:right w:val="none" w:sz="0" w:space="0" w:color="auto"/>
      </w:divBdr>
    </w:div>
    <w:div w:id="1059665577">
      <w:bodyDiv w:val="1"/>
      <w:marLeft w:val="0"/>
      <w:marRight w:val="0"/>
      <w:marTop w:val="0"/>
      <w:marBottom w:val="0"/>
      <w:divBdr>
        <w:top w:val="none" w:sz="0" w:space="0" w:color="auto"/>
        <w:left w:val="none" w:sz="0" w:space="0" w:color="auto"/>
        <w:bottom w:val="none" w:sz="0" w:space="0" w:color="auto"/>
        <w:right w:val="none" w:sz="0" w:space="0" w:color="auto"/>
      </w:divBdr>
    </w:div>
    <w:div w:id="1059666722">
      <w:bodyDiv w:val="1"/>
      <w:marLeft w:val="0"/>
      <w:marRight w:val="0"/>
      <w:marTop w:val="0"/>
      <w:marBottom w:val="0"/>
      <w:divBdr>
        <w:top w:val="none" w:sz="0" w:space="0" w:color="auto"/>
        <w:left w:val="none" w:sz="0" w:space="0" w:color="auto"/>
        <w:bottom w:val="none" w:sz="0" w:space="0" w:color="auto"/>
        <w:right w:val="none" w:sz="0" w:space="0" w:color="auto"/>
      </w:divBdr>
    </w:div>
    <w:div w:id="1059786663">
      <w:bodyDiv w:val="1"/>
      <w:marLeft w:val="0"/>
      <w:marRight w:val="0"/>
      <w:marTop w:val="0"/>
      <w:marBottom w:val="0"/>
      <w:divBdr>
        <w:top w:val="none" w:sz="0" w:space="0" w:color="auto"/>
        <w:left w:val="none" w:sz="0" w:space="0" w:color="auto"/>
        <w:bottom w:val="none" w:sz="0" w:space="0" w:color="auto"/>
        <w:right w:val="none" w:sz="0" w:space="0" w:color="auto"/>
      </w:divBdr>
    </w:div>
    <w:div w:id="1059789397">
      <w:bodyDiv w:val="1"/>
      <w:marLeft w:val="0"/>
      <w:marRight w:val="0"/>
      <w:marTop w:val="0"/>
      <w:marBottom w:val="0"/>
      <w:divBdr>
        <w:top w:val="none" w:sz="0" w:space="0" w:color="auto"/>
        <w:left w:val="none" w:sz="0" w:space="0" w:color="auto"/>
        <w:bottom w:val="none" w:sz="0" w:space="0" w:color="auto"/>
        <w:right w:val="none" w:sz="0" w:space="0" w:color="auto"/>
      </w:divBdr>
    </w:div>
    <w:div w:id="1059790711">
      <w:bodyDiv w:val="1"/>
      <w:marLeft w:val="0"/>
      <w:marRight w:val="0"/>
      <w:marTop w:val="0"/>
      <w:marBottom w:val="0"/>
      <w:divBdr>
        <w:top w:val="none" w:sz="0" w:space="0" w:color="auto"/>
        <w:left w:val="none" w:sz="0" w:space="0" w:color="auto"/>
        <w:bottom w:val="none" w:sz="0" w:space="0" w:color="auto"/>
        <w:right w:val="none" w:sz="0" w:space="0" w:color="auto"/>
      </w:divBdr>
    </w:div>
    <w:div w:id="1059865435">
      <w:bodyDiv w:val="1"/>
      <w:marLeft w:val="0"/>
      <w:marRight w:val="0"/>
      <w:marTop w:val="0"/>
      <w:marBottom w:val="0"/>
      <w:divBdr>
        <w:top w:val="none" w:sz="0" w:space="0" w:color="auto"/>
        <w:left w:val="none" w:sz="0" w:space="0" w:color="auto"/>
        <w:bottom w:val="none" w:sz="0" w:space="0" w:color="auto"/>
        <w:right w:val="none" w:sz="0" w:space="0" w:color="auto"/>
      </w:divBdr>
    </w:div>
    <w:div w:id="1059942373">
      <w:bodyDiv w:val="1"/>
      <w:marLeft w:val="0"/>
      <w:marRight w:val="0"/>
      <w:marTop w:val="0"/>
      <w:marBottom w:val="0"/>
      <w:divBdr>
        <w:top w:val="none" w:sz="0" w:space="0" w:color="auto"/>
        <w:left w:val="none" w:sz="0" w:space="0" w:color="auto"/>
        <w:bottom w:val="none" w:sz="0" w:space="0" w:color="auto"/>
        <w:right w:val="none" w:sz="0" w:space="0" w:color="auto"/>
      </w:divBdr>
    </w:div>
    <w:div w:id="1060010351">
      <w:bodyDiv w:val="1"/>
      <w:marLeft w:val="0"/>
      <w:marRight w:val="0"/>
      <w:marTop w:val="0"/>
      <w:marBottom w:val="0"/>
      <w:divBdr>
        <w:top w:val="none" w:sz="0" w:space="0" w:color="auto"/>
        <w:left w:val="none" w:sz="0" w:space="0" w:color="auto"/>
        <w:bottom w:val="none" w:sz="0" w:space="0" w:color="auto"/>
        <w:right w:val="none" w:sz="0" w:space="0" w:color="auto"/>
      </w:divBdr>
    </w:div>
    <w:div w:id="1060178966">
      <w:bodyDiv w:val="1"/>
      <w:marLeft w:val="0"/>
      <w:marRight w:val="0"/>
      <w:marTop w:val="0"/>
      <w:marBottom w:val="0"/>
      <w:divBdr>
        <w:top w:val="none" w:sz="0" w:space="0" w:color="auto"/>
        <w:left w:val="none" w:sz="0" w:space="0" w:color="auto"/>
        <w:bottom w:val="none" w:sz="0" w:space="0" w:color="auto"/>
        <w:right w:val="none" w:sz="0" w:space="0" w:color="auto"/>
      </w:divBdr>
    </w:div>
    <w:div w:id="1060324640">
      <w:bodyDiv w:val="1"/>
      <w:marLeft w:val="0"/>
      <w:marRight w:val="0"/>
      <w:marTop w:val="0"/>
      <w:marBottom w:val="0"/>
      <w:divBdr>
        <w:top w:val="none" w:sz="0" w:space="0" w:color="auto"/>
        <w:left w:val="none" w:sz="0" w:space="0" w:color="auto"/>
        <w:bottom w:val="none" w:sz="0" w:space="0" w:color="auto"/>
        <w:right w:val="none" w:sz="0" w:space="0" w:color="auto"/>
      </w:divBdr>
    </w:div>
    <w:div w:id="1060399807">
      <w:bodyDiv w:val="1"/>
      <w:marLeft w:val="0"/>
      <w:marRight w:val="0"/>
      <w:marTop w:val="0"/>
      <w:marBottom w:val="0"/>
      <w:divBdr>
        <w:top w:val="none" w:sz="0" w:space="0" w:color="auto"/>
        <w:left w:val="none" w:sz="0" w:space="0" w:color="auto"/>
        <w:bottom w:val="none" w:sz="0" w:space="0" w:color="auto"/>
        <w:right w:val="none" w:sz="0" w:space="0" w:color="auto"/>
      </w:divBdr>
    </w:div>
    <w:div w:id="1060404675">
      <w:bodyDiv w:val="1"/>
      <w:marLeft w:val="0"/>
      <w:marRight w:val="0"/>
      <w:marTop w:val="0"/>
      <w:marBottom w:val="0"/>
      <w:divBdr>
        <w:top w:val="none" w:sz="0" w:space="0" w:color="auto"/>
        <w:left w:val="none" w:sz="0" w:space="0" w:color="auto"/>
        <w:bottom w:val="none" w:sz="0" w:space="0" w:color="auto"/>
        <w:right w:val="none" w:sz="0" w:space="0" w:color="auto"/>
      </w:divBdr>
    </w:div>
    <w:div w:id="1060440062">
      <w:bodyDiv w:val="1"/>
      <w:marLeft w:val="0"/>
      <w:marRight w:val="0"/>
      <w:marTop w:val="0"/>
      <w:marBottom w:val="0"/>
      <w:divBdr>
        <w:top w:val="none" w:sz="0" w:space="0" w:color="auto"/>
        <w:left w:val="none" w:sz="0" w:space="0" w:color="auto"/>
        <w:bottom w:val="none" w:sz="0" w:space="0" w:color="auto"/>
        <w:right w:val="none" w:sz="0" w:space="0" w:color="auto"/>
      </w:divBdr>
    </w:div>
    <w:div w:id="1060514809">
      <w:bodyDiv w:val="1"/>
      <w:marLeft w:val="0"/>
      <w:marRight w:val="0"/>
      <w:marTop w:val="0"/>
      <w:marBottom w:val="0"/>
      <w:divBdr>
        <w:top w:val="none" w:sz="0" w:space="0" w:color="auto"/>
        <w:left w:val="none" w:sz="0" w:space="0" w:color="auto"/>
        <w:bottom w:val="none" w:sz="0" w:space="0" w:color="auto"/>
        <w:right w:val="none" w:sz="0" w:space="0" w:color="auto"/>
      </w:divBdr>
    </w:div>
    <w:div w:id="1060709650">
      <w:bodyDiv w:val="1"/>
      <w:marLeft w:val="0"/>
      <w:marRight w:val="0"/>
      <w:marTop w:val="0"/>
      <w:marBottom w:val="0"/>
      <w:divBdr>
        <w:top w:val="none" w:sz="0" w:space="0" w:color="auto"/>
        <w:left w:val="none" w:sz="0" w:space="0" w:color="auto"/>
        <w:bottom w:val="none" w:sz="0" w:space="0" w:color="auto"/>
        <w:right w:val="none" w:sz="0" w:space="0" w:color="auto"/>
      </w:divBdr>
    </w:div>
    <w:div w:id="1060714064">
      <w:bodyDiv w:val="1"/>
      <w:marLeft w:val="0"/>
      <w:marRight w:val="0"/>
      <w:marTop w:val="0"/>
      <w:marBottom w:val="0"/>
      <w:divBdr>
        <w:top w:val="none" w:sz="0" w:space="0" w:color="auto"/>
        <w:left w:val="none" w:sz="0" w:space="0" w:color="auto"/>
        <w:bottom w:val="none" w:sz="0" w:space="0" w:color="auto"/>
        <w:right w:val="none" w:sz="0" w:space="0" w:color="auto"/>
      </w:divBdr>
    </w:div>
    <w:div w:id="1060786416">
      <w:bodyDiv w:val="1"/>
      <w:marLeft w:val="0"/>
      <w:marRight w:val="0"/>
      <w:marTop w:val="0"/>
      <w:marBottom w:val="0"/>
      <w:divBdr>
        <w:top w:val="none" w:sz="0" w:space="0" w:color="auto"/>
        <w:left w:val="none" w:sz="0" w:space="0" w:color="auto"/>
        <w:bottom w:val="none" w:sz="0" w:space="0" w:color="auto"/>
        <w:right w:val="none" w:sz="0" w:space="0" w:color="auto"/>
      </w:divBdr>
    </w:div>
    <w:div w:id="1060788864">
      <w:bodyDiv w:val="1"/>
      <w:marLeft w:val="0"/>
      <w:marRight w:val="0"/>
      <w:marTop w:val="0"/>
      <w:marBottom w:val="0"/>
      <w:divBdr>
        <w:top w:val="none" w:sz="0" w:space="0" w:color="auto"/>
        <w:left w:val="none" w:sz="0" w:space="0" w:color="auto"/>
        <w:bottom w:val="none" w:sz="0" w:space="0" w:color="auto"/>
        <w:right w:val="none" w:sz="0" w:space="0" w:color="auto"/>
      </w:divBdr>
    </w:div>
    <w:div w:id="1060901358">
      <w:bodyDiv w:val="1"/>
      <w:marLeft w:val="0"/>
      <w:marRight w:val="0"/>
      <w:marTop w:val="0"/>
      <w:marBottom w:val="0"/>
      <w:divBdr>
        <w:top w:val="none" w:sz="0" w:space="0" w:color="auto"/>
        <w:left w:val="none" w:sz="0" w:space="0" w:color="auto"/>
        <w:bottom w:val="none" w:sz="0" w:space="0" w:color="auto"/>
        <w:right w:val="none" w:sz="0" w:space="0" w:color="auto"/>
      </w:divBdr>
    </w:div>
    <w:div w:id="1060979127">
      <w:bodyDiv w:val="1"/>
      <w:marLeft w:val="0"/>
      <w:marRight w:val="0"/>
      <w:marTop w:val="0"/>
      <w:marBottom w:val="0"/>
      <w:divBdr>
        <w:top w:val="none" w:sz="0" w:space="0" w:color="auto"/>
        <w:left w:val="none" w:sz="0" w:space="0" w:color="auto"/>
        <w:bottom w:val="none" w:sz="0" w:space="0" w:color="auto"/>
        <w:right w:val="none" w:sz="0" w:space="0" w:color="auto"/>
      </w:divBdr>
    </w:div>
    <w:div w:id="1061438964">
      <w:bodyDiv w:val="1"/>
      <w:marLeft w:val="0"/>
      <w:marRight w:val="0"/>
      <w:marTop w:val="0"/>
      <w:marBottom w:val="0"/>
      <w:divBdr>
        <w:top w:val="none" w:sz="0" w:space="0" w:color="auto"/>
        <w:left w:val="none" w:sz="0" w:space="0" w:color="auto"/>
        <w:bottom w:val="none" w:sz="0" w:space="0" w:color="auto"/>
        <w:right w:val="none" w:sz="0" w:space="0" w:color="auto"/>
      </w:divBdr>
    </w:div>
    <w:div w:id="1061440796">
      <w:bodyDiv w:val="1"/>
      <w:marLeft w:val="0"/>
      <w:marRight w:val="0"/>
      <w:marTop w:val="0"/>
      <w:marBottom w:val="0"/>
      <w:divBdr>
        <w:top w:val="none" w:sz="0" w:space="0" w:color="auto"/>
        <w:left w:val="none" w:sz="0" w:space="0" w:color="auto"/>
        <w:bottom w:val="none" w:sz="0" w:space="0" w:color="auto"/>
        <w:right w:val="none" w:sz="0" w:space="0" w:color="auto"/>
      </w:divBdr>
    </w:div>
    <w:div w:id="1061446989">
      <w:bodyDiv w:val="1"/>
      <w:marLeft w:val="0"/>
      <w:marRight w:val="0"/>
      <w:marTop w:val="0"/>
      <w:marBottom w:val="0"/>
      <w:divBdr>
        <w:top w:val="none" w:sz="0" w:space="0" w:color="auto"/>
        <w:left w:val="none" w:sz="0" w:space="0" w:color="auto"/>
        <w:bottom w:val="none" w:sz="0" w:space="0" w:color="auto"/>
        <w:right w:val="none" w:sz="0" w:space="0" w:color="auto"/>
      </w:divBdr>
    </w:div>
    <w:div w:id="1062095458">
      <w:bodyDiv w:val="1"/>
      <w:marLeft w:val="0"/>
      <w:marRight w:val="0"/>
      <w:marTop w:val="0"/>
      <w:marBottom w:val="0"/>
      <w:divBdr>
        <w:top w:val="none" w:sz="0" w:space="0" w:color="auto"/>
        <w:left w:val="none" w:sz="0" w:space="0" w:color="auto"/>
        <w:bottom w:val="none" w:sz="0" w:space="0" w:color="auto"/>
        <w:right w:val="none" w:sz="0" w:space="0" w:color="auto"/>
      </w:divBdr>
    </w:div>
    <w:div w:id="1062098443">
      <w:bodyDiv w:val="1"/>
      <w:marLeft w:val="0"/>
      <w:marRight w:val="0"/>
      <w:marTop w:val="0"/>
      <w:marBottom w:val="0"/>
      <w:divBdr>
        <w:top w:val="none" w:sz="0" w:space="0" w:color="auto"/>
        <w:left w:val="none" w:sz="0" w:space="0" w:color="auto"/>
        <w:bottom w:val="none" w:sz="0" w:space="0" w:color="auto"/>
        <w:right w:val="none" w:sz="0" w:space="0" w:color="auto"/>
      </w:divBdr>
    </w:div>
    <w:div w:id="1062100157">
      <w:bodyDiv w:val="1"/>
      <w:marLeft w:val="0"/>
      <w:marRight w:val="0"/>
      <w:marTop w:val="0"/>
      <w:marBottom w:val="0"/>
      <w:divBdr>
        <w:top w:val="none" w:sz="0" w:space="0" w:color="auto"/>
        <w:left w:val="none" w:sz="0" w:space="0" w:color="auto"/>
        <w:bottom w:val="none" w:sz="0" w:space="0" w:color="auto"/>
        <w:right w:val="none" w:sz="0" w:space="0" w:color="auto"/>
      </w:divBdr>
    </w:div>
    <w:div w:id="1062212117">
      <w:bodyDiv w:val="1"/>
      <w:marLeft w:val="0"/>
      <w:marRight w:val="0"/>
      <w:marTop w:val="0"/>
      <w:marBottom w:val="0"/>
      <w:divBdr>
        <w:top w:val="none" w:sz="0" w:space="0" w:color="auto"/>
        <w:left w:val="none" w:sz="0" w:space="0" w:color="auto"/>
        <w:bottom w:val="none" w:sz="0" w:space="0" w:color="auto"/>
        <w:right w:val="none" w:sz="0" w:space="0" w:color="auto"/>
      </w:divBdr>
    </w:div>
    <w:div w:id="1062367405">
      <w:bodyDiv w:val="1"/>
      <w:marLeft w:val="0"/>
      <w:marRight w:val="0"/>
      <w:marTop w:val="0"/>
      <w:marBottom w:val="0"/>
      <w:divBdr>
        <w:top w:val="none" w:sz="0" w:space="0" w:color="auto"/>
        <w:left w:val="none" w:sz="0" w:space="0" w:color="auto"/>
        <w:bottom w:val="none" w:sz="0" w:space="0" w:color="auto"/>
        <w:right w:val="none" w:sz="0" w:space="0" w:color="auto"/>
      </w:divBdr>
    </w:div>
    <w:div w:id="1062409246">
      <w:bodyDiv w:val="1"/>
      <w:marLeft w:val="0"/>
      <w:marRight w:val="0"/>
      <w:marTop w:val="0"/>
      <w:marBottom w:val="0"/>
      <w:divBdr>
        <w:top w:val="none" w:sz="0" w:space="0" w:color="auto"/>
        <w:left w:val="none" w:sz="0" w:space="0" w:color="auto"/>
        <w:bottom w:val="none" w:sz="0" w:space="0" w:color="auto"/>
        <w:right w:val="none" w:sz="0" w:space="0" w:color="auto"/>
      </w:divBdr>
    </w:div>
    <w:div w:id="1062412188">
      <w:bodyDiv w:val="1"/>
      <w:marLeft w:val="0"/>
      <w:marRight w:val="0"/>
      <w:marTop w:val="0"/>
      <w:marBottom w:val="0"/>
      <w:divBdr>
        <w:top w:val="none" w:sz="0" w:space="0" w:color="auto"/>
        <w:left w:val="none" w:sz="0" w:space="0" w:color="auto"/>
        <w:bottom w:val="none" w:sz="0" w:space="0" w:color="auto"/>
        <w:right w:val="none" w:sz="0" w:space="0" w:color="auto"/>
      </w:divBdr>
    </w:div>
    <w:div w:id="1062479993">
      <w:bodyDiv w:val="1"/>
      <w:marLeft w:val="0"/>
      <w:marRight w:val="0"/>
      <w:marTop w:val="0"/>
      <w:marBottom w:val="0"/>
      <w:divBdr>
        <w:top w:val="none" w:sz="0" w:space="0" w:color="auto"/>
        <w:left w:val="none" w:sz="0" w:space="0" w:color="auto"/>
        <w:bottom w:val="none" w:sz="0" w:space="0" w:color="auto"/>
        <w:right w:val="none" w:sz="0" w:space="0" w:color="auto"/>
      </w:divBdr>
    </w:div>
    <w:div w:id="1062482456">
      <w:bodyDiv w:val="1"/>
      <w:marLeft w:val="0"/>
      <w:marRight w:val="0"/>
      <w:marTop w:val="0"/>
      <w:marBottom w:val="0"/>
      <w:divBdr>
        <w:top w:val="none" w:sz="0" w:space="0" w:color="auto"/>
        <w:left w:val="none" w:sz="0" w:space="0" w:color="auto"/>
        <w:bottom w:val="none" w:sz="0" w:space="0" w:color="auto"/>
        <w:right w:val="none" w:sz="0" w:space="0" w:color="auto"/>
      </w:divBdr>
    </w:div>
    <w:div w:id="1062681705">
      <w:bodyDiv w:val="1"/>
      <w:marLeft w:val="0"/>
      <w:marRight w:val="0"/>
      <w:marTop w:val="0"/>
      <w:marBottom w:val="0"/>
      <w:divBdr>
        <w:top w:val="none" w:sz="0" w:space="0" w:color="auto"/>
        <w:left w:val="none" w:sz="0" w:space="0" w:color="auto"/>
        <w:bottom w:val="none" w:sz="0" w:space="0" w:color="auto"/>
        <w:right w:val="none" w:sz="0" w:space="0" w:color="auto"/>
      </w:divBdr>
    </w:div>
    <w:div w:id="1062682594">
      <w:bodyDiv w:val="1"/>
      <w:marLeft w:val="0"/>
      <w:marRight w:val="0"/>
      <w:marTop w:val="0"/>
      <w:marBottom w:val="0"/>
      <w:divBdr>
        <w:top w:val="none" w:sz="0" w:space="0" w:color="auto"/>
        <w:left w:val="none" w:sz="0" w:space="0" w:color="auto"/>
        <w:bottom w:val="none" w:sz="0" w:space="0" w:color="auto"/>
        <w:right w:val="none" w:sz="0" w:space="0" w:color="auto"/>
      </w:divBdr>
    </w:div>
    <w:div w:id="1062828093">
      <w:bodyDiv w:val="1"/>
      <w:marLeft w:val="0"/>
      <w:marRight w:val="0"/>
      <w:marTop w:val="0"/>
      <w:marBottom w:val="0"/>
      <w:divBdr>
        <w:top w:val="none" w:sz="0" w:space="0" w:color="auto"/>
        <w:left w:val="none" w:sz="0" w:space="0" w:color="auto"/>
        <w:bottom w:val="none" w:sz="0" w:space="0" w:color="auto"/>
        <w:right w:val="none" w:sz="0" w:space="0" w:color="auto"/>
      </w:divBdr>
    </w:div>
    <w:div w:id="1062868470">
      <w:bodyDiv w:val="1"/>
      <w:marLeft w:val="0"/>
      <w:marRight w:val="0"/>
      <w:marTop w:val="0"/>
      <w:marBottom w:val="0"/>
      <w:divBdr>
        <w:top w:val="none" w:sz="0" w:space="0" w:color="auto"/>
        <w:left w:val="none" w:sz="0" w:space="0" w:color="auto"/>
        <w:bottom w:val="none" w:sz="0" w:space="0" w:color="auto"/>
        <w:right w:val="none" w:sz="0" w:space="0" w:color="auto"/>
      </w:divBdr>
    </w:div>
    <w:div w:id="1062868988">
      <w:bodyDiv w:val="1"/>
      <w:marLeft w:val="0"/>
      <w:marRight w:val="0"/>
      <w:marTop w:val="0"/>
      <w:marBottom w:val="0"/>
      <w:divBdr>
        <w:top w:val="none" w:sz="0" w:space="0" w:color="auto"/>
        <w:left w:val="none" w:sz="0" w:space="0" w:color="auto"/>
        <w:bottom w:val="none" w:sz="0" w:space="0" w:color="auto"/>
        <w:right w:val="none" w:sz="0" w:space="0" w:color="auto"/>
      </w:divBdr>
    </w:div>
    <w:div w:id="1063059736">
      <w:bodyDiv w:val="1"/>
      <w:marLeft w:val="0"/>
      <w:marRight w:val="0"/>
      <w:marTop w:val="0"/>
      <w:marBottom w:val="0"/>
      <w:divBdr>
        <w:top w:val="none" w:sz="0" w:space="0" w:color="auto"/>
        <w:left w:val="none" w:sz="0" w:space="0" w:color="auto"/>
        <w:bottom w:val="none" w:sz="0" w:space="0" w:color="auto"/>
        <w:right w:val="none" w:sz="0" w:space="0" w:color="auto"/>
      </w:divBdr>
    </w:div>
    <w:div w:id="1063064404">
      <w:bodyDiv w:val="1"/>
      <w:marLeft w:val="0"/>
      <w:marRight w:val="0"/>
      <w:marTop w:val="0"/>
      <w:marBottom w:val="0"/>
      <w:divBdr>
        <w:top w:val="none" w:sz="0" w:space="0" w:color="auto"/>
        <w:left w:val="none" w:sz="0" w:space="0" w:color="auto"/>
        <w:bottom w:val="none" w:sz="0" w:space="0" w:color="auto"/>
        <w:right w:val="none" w:sz="0" w:space="0" w:color="auto"/>
      </w:divBdr>
    </w:div>
    <w:div w:id="1063065600">
      <w:bodyDiv w:val="1"/>
      <w:marLeft w:val="0"/>
      <w:marRight w:val="0"/>
      <w:marTop w:val="0"/>
      <w:marBottom w:val="0"/>
      <w:divBdr>
        <w:top w:val="none" w:sz="0" w:space="0" w:color="auto"/>
        <w:left w:val="none" w:sz="0" w:space="0" w:color="auto"/>
        <w:bottom w:val="none" w:sz="0" w:space="0" w:color="auto"/>
        <w:right w:val="none" w:sz="0" w:space="0" w:color="auto"/>
      </w:divBdr>
    </w:div>
    <w:div w:id="1063141670">
      <w:bodyDiv w:val="1"/>
      <w:marLeft w:val="0"/>
      <w:marRight w:val="0"/>
      <w:marTop w:val="0"/>
      <w:marBottom w:val="0"/>
      <w:divBdr>
        <w:top w:val="none" w:sz="0" w:space="0" w:color="auto"/>
        <w:left w:val="none" w:sz="0" w:space="0" w:color="auto"/>
        <w:bottom w:val="none" w:sz="0" w:space="0" w:color="auto"/>
        <w:right w:val="none" w:sz="0" w:space="0" w:color="auto"/>
      </w:divBdr>
    </w:div>
    <w:div w:id="1063213451">
      <w:bodyDiv w:val="1"/>
      <w:marLeft w:val="0"/>
      <w:marRight w:val="0"/>
      <w:marTop w:val="0"/>
      <w:marBottom w:val="0"/>
      <w:divBdr>
        <w:top w:val="none" w:sz="0" w:space="0" w:color="auto"/>
        <w:left w:val="none" w:sz="0" w:space="0" w:color="auto"/>
        <w:bottom w:val="none" w:sz="0" w:space="0" w:color="auto"/>
        <w:right w:val="none" w:sz="0" w:space="0" w:color="auto"/>
      </w:divBdr>
    </w:div>
    <w:div w:id="1063256434">
      <w:bodyDiv w:val="1"/>
      <w:marLeft w:val="0"/>
      <w:marRight w:val="0"/>
      <w:marTop w:val="0"/>
      <w:marBottom w:val="0"/>
      <w:divBdr>
        <w:top w:val="none" w:sz="0" w:space="0" w:color="auto"/>
        <w:left w:val="none" w:sz="0" w:space="0" w:color="auto"/>
        <w:bottom w:val="none" w:sz="0" w:space="0" w:color="auto"/>
        <w:right w:val="none" w:sz="0" w:space="0" w:color="auto"/>
      </w:divBdr>
    </w:div>
    <w:div w:id="1063334968">
      <w:bodyDiv w:val="1"/>
      <w:marLeft w:val="0"/>
      <w:marRight w:val="0"/>
      <w:marTop w:val="0"/>
      <w:marBottom w:val="0"/>
      <w:divBdr>
        <w:top w:val="none" w:sz="0" w:space="0" w:color="auto"/>
        <w:left w:val="none" w:sz="0" w:space="0" w:color="auto"/>
        <w:bottom w:val="none" w:sz="0" w:space="0" w:color="auto"/>
        <w:right w:val="none" w:sz="0" w:space="0" w:color="auto"/>
      </w:divBdr>
    </w:div>
    <w:div w:id="1063406509">
      <w:bodyDiv w:val="1"/>
      <w:marLeft w:val="0"/>
      <w:marRight w:val="0"/>
      <w:marTop w:val="0"/>
      <w:marBottom w:val="0"/>
      <w:divBdr>
        <w:top w:val="none" w:sz="0" w:space="0" w:color="auto"/>
        <w:left w:val="none" w:sz="0" w:space="0" w:color="auto"/>
        <w:bottom w:val="none" w:sz="0" w:space="0" w:color="auto"/>
        <w:right w:val="none" w:sz="0" w:space="0" w:color="auto"/>
      </w:divBdr>
    </w:div>
    <w:div w:id="1063410827">
      <w:bodyDiv w:val="1"/>
      <w:marLeft w:val="0"/>
      <w:marRight w:val="0"/>
      <w:marTop w:val="0"/>
      <w:marBottom w:val="0"/>
      <w:divBdr>
        <w:top w:val="none" w:sz="0" w:space="0" w:color="auto"/>
        <w:left w:val="none" w:sz="0" w:space="0" w:color="auto"/>
        <w:bottom w:val="none" w:sz="0" w:space="0" w:color="auto"/>
        <w:right w:val="none" w:sz="0" w:space="0" w:color="auto"/>
      </w:divBdr>
    </w:div>
    <w:div w:id="1063453784">
      <w:bodyDiv w:val="1"/>
      <w:marLeft w:val="0"/>
      <w:marRight w:val="0"/>
      <w:marTop w:val="0"/>
      <w:marBottom w:val="0"/>
      <w:divBdr>
        <w:top w:val="none" w:sz="0" w:space="0" w:color="auto"/>
        <w:left w:val="none" w:sz="0" w:space="0" w:color="auto"/>
        <w:bottom w:val="none" w:sz="0" w:space="0" w:color="auto"/>
        <w:right w:val="none" w:sz="0" w:space="0" w:color="auto"/>
      </w:divBdr>
    </w:div>
    <w:div w:id="1063525986">
      <w:bodyDiv w:val="1"/>
      <w:marLeft w:val="0"/>
      <w:marRight w:val="0"/>
      <w:marTop w:val="0"/>
      <w:marBottom w:val="0"/>
      <w:divBdr>
        <w:top w:val="none" w:sz="0" w:space="0" w:color="auto"/>
        <w:left w:val="none" w:sz="0" w:space="0" w:color="auto"/>
        <w:bottom w:val="none" w:sz="0" w:space="0" w:color="auto"/>
        <w:right w:val="none" w:sz="0" w:space="0" w:color="auto"/>
      </w:divBdr>
    </w:div>
    <w:div w:id="1063597795">
      <w:bodyDiv w:val="1"/>
      <w:marLeft w:val="0"/>
      <w:marRight w:val="0"/>
      <w:marTop w:val="0"/>
      <w:marBottom w:val="0"/>
      <w:divBdr>
        <w:top w:val="none" w:sz="0" w:space="0" w:color="auto"/>
        <w:left w:val="none" w:sz="0" w:space="0" w:color="auto"/>
        <w:bottom w:val="none" w:sz="0" w:space="0" w:color="auto"/>
        <w:right w:val="none" w:sz="0" w:space="0" w:color="auto"/>
      </w:divBdr>
    </w:div>
    <w:div w:id="1063600242">
      <w:bodyDiv w:val="1"/>
      <w:marLeft w:val="0"/>
      <w:marRight w:val="0"/>
      <w:marTop w:val="0"/>
      <w:marBottom w:val="0"/>
      <w:divBdr>
        <w:top w:val="none" w:sz="0" w:space="0" w:color="auto"/>
        <w:left w:val="none" w:sz="0" w:space="0" w:color="auto"/>
        <w:bottom w:val="none" w:sz="0" w:space="0" w:color="auto"/>
        <w:right w:val="none" w:sz="0" w:space="0" w:color="auto"/>
      </w:divBdr>
    </w:div>
    <w:div w:id="1063675946">
      <w:bodyDiv w:val="1"/>
      <w:marLeft w:val="0"/>
      <w:marRight w:val="0"/>
      <w:marTop w:val="0"/>
      <w:marBottom w:val="0"/>
      <w:divBdr>
        <w:top w:val="none" w:sz="0" w:space="0" w:color="auto"/>
        <w:left w:val="none" w:sz="0" w:space="0" w:color="auto"/>
        <w:bottom w:val="none" w:sz="0" w:space="0" w:color="auto"/>
        <w:right w:val="none" w:sz="0" w:space="0" w:color="auto"/>
      </w:divBdr>
    </w:div>
    <w:div w:id="1063797750">
      <w:bodyDiv w:val="1"/>
      <w:marLeft w:val="0"/>
      <w:marRight w:val="0"/>
      <w:marTop w:val="0"/>
      <w:marBottom w:val="0"/>
      <w:divBdr>
        <w:top w:val="none" w:sz="0" w:space="0" w:color="auto"/>
        <w:left w:val="none" w:sz="0" w:space="0" w:color="auto"/>
        <w:bottom w:val="none" w:sz="0" w:space="0" w:color="auto"/>
        <w:right w:val="none" w:sz="0" w:space="0" w:color="auto"/>
      </w:divBdr>
    </w:div>
    <w:div w:id="1063914980">
      <w:bodyDiv w:val="1"/>
      <w:marLeft w:val="0"/>
      <w:marRight w:val="0"/>
      <w:marTop w:val="0"/>
      <w:marBottom w:val="0"/>
      <w:divBdr>
        <w:top w:val="none" w:sz="0" w:space="0" w:color="auto"/>
        <w:left w:val="none" w:sz="0" w:space="0" w:color="auto"/>
        <w:bottom w:val="none" w:sz="0" w:space="0" w:color="auto"/>
        <w:right w:val="none" w:sz="0" w:space="0" w:color="auto"/>
      </w:divBdr>
    </w:div>
    <w:div w:id="1063983763">
      <w:bodyDiv w:val="1"/>
      <w:marLeft w:val="0"/>
      <w:marRight w:val="0"/>
      <w:marTop w:val="0"/>
      <w:marBottom w:val="0"/>
      <w:divBdr>
        <w:top w:val="none" w:sz="0" w:space="0" w:color="auto"/>
        <w:left w:val="none" w:sz="0" w:space="0" w:color="auto"/>
        <w:bottom w:val="none" w:sz="0" w:space="0" w:color="auto"/>
        <w:right w:val="none" w:sz="0" w:space="0" w:color="auto"/>
      </w:divBdr>
    </w:div>
    <w:div w:id="1064067448">
      <w:bodyDiv w:val="1"/>
      <w:marLeft w:val="0"/>
      <w:marRight w:val="0"/>
      <w:marTop w:val="0"/>
      <w:marBottom w:val="0"/>
      <w:divBdr>
        <w:top w:val="none" w:sz="0" w:space="0" w:color="auto"/>
        <w:left w:val="none" w:sz="0" w:space="0" w:color="auto"/>
        <w:bottom w:val="none" w:sz="0" w:space="0" w:color="auto"/>
        <w:right w:val="none" w:sz="0" w:space="0" w:color="auto"/>
      </w:divBdr>
    </w:div>
    <w:div w:id="1064337172">
      <w:bodyDiv w:val="1"/>
      <w:marLeft w:val="0"/>
      <w:marRight w:val="0"/>
      <w:marTop w:val="0"/>
      <w:marBottom w:val="0"/>
      <w:divBdr>
        <w:top w:val="none" w:sz="0" w:space="0" w:color="auto"/>
        <w:left w:val="none" w:sz="0" w:space="0" w:color="auto"/>
        <w:bottom w:val="none" w:sz="0" w:space="0" w:color="auto"/>
        <w:right w:val="none" w:sz="0" w:space="0" w:color="auto"/>
      </w:divBdr>
    </w:div>
    <w:div w:id="1064376171">
      <w:bodyDiv w:val="1"/>
      <w:marLeft w:val="0"/>
      <w:marRight w:val="0"/>
      <w:marTop w:val="0"/>
      <w:marBottom w:val="0"/>
      <w:divBdr>
        <w:top w:val="none" w:sz="0" w:space="0" w:color="auto"/>
        <w:left w:val="none" w:sz="0" w:space="0" w:color="auto"/>
        <w:bottom w:val="none" w:sz="0" w:space="0" w:color="auto"/>
        <w:right w:val="none" w:sz="0" w:space="0" w:color="auto"/>
      </w:divBdr>
    </w:div>
    <w:div w:id="1064377018">
      <w:bodyDiv w:val="1"/>
      <w:marLeft w:val="0"/>
      <w:marRight w:val="0"/>
      <w:marTop w:val="0"/>
      <w:marBottom w:val="0"/>
      <w:divBdr>
        <w:top w:val="none" w:sz="0" w:space="0" w:color="auto"/>
        <w:left w:val="none" w:sz="0" w:space="0" w:color="auto"/>
        <w:bottom w:val="none" w:sz="0" w:space="0" w:color="auto"/>
        <w:right w:val="none" w:sz="0" w:space="0" w:color="auto"/>
      </w:divBdr>
    </w:div>
    <w:div w:id="1064445762">
      <w:bodyDiv w:val="1"/>
      <w:marLeft w:val="0"/>
      <w:marRight w:val="0"/>
      <w:marTop w:val="0"/>
      <w:marBottom w:val="0"/>
      <w:divBdr>
        <w:top w:val="none" w:sz="0" w:space="0" w:color="auto"/>
        <w:left w:val="none" w:sz="0" w:space="0" w:color="auto"/>
        <w:bottom w:val="none" w:sz="0" w:space="0" w:color="auto"/>
        <w:right w:val="none" w:sz="0" w:space="0" w:color="auto"/>
      </w:divBdr>
    </w:div>
    <w:div w:id="1064526480">
      <w:bodyDiv w:val="1"/>
      <w:marLeft w:val="0"/>
      <w:marRight w:val="0"/>
      <w:marTop w:val="0"/>
      <w:marBottom w:val="0"/>
      <w:divBdr>
        <w:top w:val="none" w:sz="0" w:space="0" w:color="auto"/>
        <w:left w:val="none" w:sz="0" w:space="0" w:color="auto"/>
        <w:bottom w:val="none" w:sz="0" w:space="0" w:color="auto"/>
        <w:right w:val="none" w:sz="0" w:space="0" w:color="auto"/>
      </w:divBdr>
    </w:div>
    <w:div w:id="1064571748">
      <w:bodyDiv w:val="1"/>
      <w:marLeft w:val="0"/>
      <w:marRight w:val="0"/>
      <w:marTop w:val="0"/>
      <w:marBottom w:val="0"/>
      <w:divBdr>
        <w:top w:val="none" w:sz="0" w:space="0" w:color="auto"/>
        <w:left w:val="none" w:sz="0" w:space="0" w:color="auto"/>
        <w:bottom w:val="none" w:sz="0" w:space="0" w:color="auto"/>
        <w:right w:val="none" w:sz="0" w:space="0" w:color="auto"/>
      </w:divBdr>
    </w:div>
    <w:div w:id="1064837382">
      <w:bodyDiv w:val="1"/>
      <w:marLeft w:val="0"/>
      <w:marRight w:val="0"/>
      <w:marTop w:val="0"/>
      <w:marBottom w:val="0"/>
      <w:divBdr>
        <w:top w:val="none" w:sz="0" w:space="0" w:color="auto"/>
        <w:left w:val="none" w:sz="0" w:space="0" w:color="auto"/>
        <w:bottom w:val="none" w:sz="0" w:space="0" w:color="auto"/>
        <w:right w:val="none" w:sz="0" w:space="0" w:color="auto"/>
      </w:divBdr>
    </w:div>
    <w:div w:id="1064839383">
      <w:bodyDiv w:val="1"/>
      <w:marLeft w:val="0"/>
      <w:marRight w:val="0"/>
      <w:marTop w:val="0"/>
      <w:marBottom w:val="0"/>
      <w:divBdr>
        <w:top w:val="none" w:sz="0" w:space="0" w:color="auto"/>
        <w:left w:val="none" w:sz="0" w:space="0" w:color="auto"/>
        <w:bottom w:val="none" w:sz="0" w:space="0" w:color="auto"/>
        <w:right w:val="none" w:sz="0" w:space="0" w:color="auto"/>
      </w:divBdr>
    </w:div>
    <w:div w:id="1064911094">
      <w:bodyDiv w:val="1"/>
      <w:marLeft w:val="0"/>
      <w:marRight w:val="0"/>
      <w:marTop w:val="0"/>
      <w:marBottom w:val="0"/>
      <w:divBdr>
        <w:top w:val="none" w:sz="0" w:space="0" w:color="auto"/>
        <w:left w:val="none" w:sz="0" w:space="0" w:color="auto"/>
        <w:bottom w:val="none" w:sz="0" w:space="0" w:color="auto"/>
        <w:right w:val="none" w:sz="0" w:space="0" w:color="auto"/>
      </w:divBdr>
    </w:div>
    <w:div w:id="1064986651">
      <w:bodyDiv w:val="1"/>
      <w:marLeft w:val="0"/>
      <w:marRight w:val="0"/>
      <w:marTop w:val="0"/>
      <w:marBottom w:val="0"/>
      <w:divBdr>
        <w:top w:val="none" w:sz="0" w:space="0" w:color="auto"/>
        <w:left w:val="none" w:sz="0" w:space="0" w:color="auto"/>
        <w:bottom w:val="none" w:sz="0" w:space="0" w:color="auto"/>
        <w:right w:val="none" w:sz="0" w:space="0" w:color="auto"/>
      </w:divBdr>
    </w:div>
    <w:div w:id="1065030811">
      <w:bodyDiv w:val="1"/>
      <w:marLeft w:val="0"/>
      <w:marRight w:val="0"/>
      <w:marTop w:val="0"/>
      <w:marBottom w:val="0"/>
      <w:divBdr>
        <w:top w:val="none" w:sz="0" w:space="0" w:color="auto"/>
        <w:left w:val="none" w:sz="0" w:space="0" w:color="auto"/>
        <w:bottom w:val="none" w:sz="0" w:space="0" w:color="auto"/>
        <w:right w:val="none" w:sz="0" w:space="0" w:color="auto"/>
      </w:divBdr>
    </w:div>
    <w:div w:id="1065223408">
      <w:bodyDiv w:val="1"/>
      <w:marLeft w:val="0"/>
      <w:marRight w:val="0"/>
      <w:marTop w:val="0"/>
      <w:marBottom w:val="0"/>
      <w:divBdr>
        <w:top w:val="none" w:sz="0" w:space="0" w:color="auto"/>
        <w:left w:val="none" w:sz="0" w:space="0" w:color="auto"/>
        <w:bottom w:val="none" w:sz="0" w:space="0" w:color="auto"/>
        <w:right w:val="none" w:sz="0" w:space="0" w:color="auto"/>
      </w:divBdr>
    </w:div>
    <w:div w:id="1065370212">
      <w:bodyDiv w:val="1"/>
      <w:marLeft w:val="0"/>
      <w:marRight w:val="0"/>
      <w:marTop w:val="0"/>
      <w:marBottom w:val="0"/>
      <w:divBdr>
        <w:top w:val="none" w:sz="0" w:space="0" w:color="auto"/>
        <w:left w:val="none" w:sz="0" w:space="0" w:color="auto"/>
        <w:bottom w:val="none" w:sz="0" w:space="0" w:color="auto"/>
        <w:right w:val="none" w:sz="0" w:space="0" w:color="auto"/>
      </w:divBdr>
    </w:div>
    <w:div w:id="1065639144">
      <w:bodyDiv w:val="1"/>
      <w:marLeft w:val="0"/>
      <w:marRight w:val="0"/>
      <w:marTop w:val="0"/>
      <w:marBottom w:val="0"/>
      <w:divBdr>
        <w:top w:val="none" w:sz="0" w:space="0" w:color="auto"/>
        <w:left w:val="none" w:sz="0" w:space="0" w:color="auto"/>
        <w:bottom w:val="none" w:sz="0" w:space="0" w:color="auto"/>
        <w:right w:val="none" w:sz="0" w:space="0" w:color="auto"/>
      </w:divBdr>
    </w:div>
    <w:div w:id="1065762677">
      <w:bodyDiv w:val="1"/>
      <w:marLeft w:val="0"/>
      <w:marRight w:val="0"/>
      <w:marTop w:val="0"/>
      <w:marBottom w:val="0"/>
      <w:divBdr>
        <w:top w:val="none" w:sz="0" w:space="0" w:color="auto"/>
        <w:left w:val="none" w:sz="0" w:space="0" w:color="auto"/>
        <w:bottom w:val="none" w:sz="0" w:space="0" w:color="auto"/>
        <w:right w:val="none" w:sz="0" w:space="0" w:color="auto"/>
      </w:divBdr>
    </w:div>
    <w:div w:id="1066030946">
      <w:bodyDiv w:val="1"/>
      <w:marLeft w:val="0"/>
      <w:marRight w:val="0"/>
      <w:marTop w:val="0"/>
      <w:marBottom w:val="0"/>
      <w:divBdr>
        <w:top w:val="none" w:sz="0" w:space="0" w:color="auto"/>
        <w:left w:val="none" w:sz="0" w:space="0" w:color="auto"/>
        <w:bottom w:val="none" w:sz="0" w:space="0" w:color="auto"/>
        <w:right w:val="none" w:sz="0" w:space="0" w:color="auto"/>
      </w:divBdr>
    </w:div>
    <w:div w:id="1066145690">
      <w:bodyDiv w:val="1"/>
      <w:marLeft w:val="0"/>
      <w:marRight w:val="0"/>
      <w:marTop w:val="0"/>
      <w:marBottom w:val="0"/>
      <w:divBdr>
        <w:top w:val="none" w:sz="0" w:space="0" w:color="auto"/>
        <w:left w:val="none" w:sz="0" w:space="0" w:color="auto"/>
        <w:bottom w:val="none" w:sz="0" w:space="0" w:color="auto"/>
        <w:right w:val="none" w:sz="0" w:space="0" w:color="auto"/>
      </w:divBdr>
    </w:div>
    <w:div w:id="1066218820">
      <w:bodyDiv w:val="1"/>
      <w:marLeft w:val="0"/>
      <w:marRight w:val="0"/>
      <w:marTop w:val="0"/>
      <w:marBottom w:val="0"/>
      <w:divBdr>
        <w:top w:val="none" w:sz="0" w:space="0" w:color="auto"/>
        <w:left w:val="none" w:sz="0" w:space="0" w:color="auto"/>
        <w:bottom w:val="none" w:sz="0" w:space="0" w:color="auto"/>
        <w:right w:val="none" w:sz="0" w:space="0" w:color="auto"/>
      </w:divBdr>
    </w:div>
    <w:div w:id="1066419109">
      <w:bodyDiv w:val="1"/>
      <w:marLeft w:val="0"/>
      <w:marRight w:val="0"/>
      <w:marTop w:val="0"/>
      <w:marBottom w:val="0"/>
      <w:divBdr>
        <w:top w:val="none" w:sz="0" w:space="0" w:color="auto"/>
        <w:left w:val="none" w:sz="0" w:space="0" w:color="auto"/>
        <w:bottom w:val="none" w:sz="0" w:space="0" w:color="auto"/>
        <w:right w:val="none" w:sz="0" w:space="0" w:color="auto"/>
      </w:divBdr>
    </w:div>
    <w:div w:id="1066490791">
      <w:bodyDiv w:val="1"/>
      <w:marLeft w:val="0"/>
      <w:marRight w:val="0"/>
      <w:marTop w:val="0"/>
      <w:marBottom w:val="0"/>
      <w:divBdr>
        <w:top w:val="none" w:sz="0" w:space="0" w:color="auto"/>
        <w:left w:val="none" w:sz="0" w:space="0" w:color="auto"/>
        <w:bottom w:val="none" w:sz="0" w:space="0" w:color="auto"/>
        <w:right w:val="none" w:sz="0" w:space="0" w:color="auto"/>
      </w:divBdr>
    </w:div>
    <w:div w:id="1066611130">
      <w:bodyDiv w:val="1"/>
      <w:marLeft w:val="0"/>
      <w:marRight w:val="0"/>
      <w:marTop w:val="0"/>
      <w:marBottom w:val="0"/>
      <w:divBdr>
        <w:top w:val="none" w:sz="0" w:space="0" w:color="auto"/>
        <w:left w:val="none" w:sz="0" w:space="0" w:color="auto"/>
        <w:bottom w:val="none" w:sz="0" w:space="0" w:color="auto"/>
        <w:right w:val="none" w:sz="0" w:space="0" w:color="auto"/>
      </w:divBdr>
    </w:div>
    <w:div w:id="1066686699">
      <w:bodyDiv w:val="1"/>
      <w:marLeft w:val="0"/>
      <w:marRight w:val="0"/>
      <w:marTop w:val="0"/>
      <w:marBottom w:val="0"/>
      <w:divBdr>
        <w:top w:val="none" w:sz="0" w:space="0" w:color="auto"/>
        <w:left w:val="none" w:sz="0" w:space="0" w:color="auto"/>
        <w:bottom w:val="none" w:sz="0" w:space="0" w:color="auto"/>
        <w:right w:val="none" w:sz="0" w:space="0" w:color="auto"/>
      </w:divBdr>
    </w:div>
    <w:div w:id="1066760074">
      <w:bodyDiv w:val="1"/>
      <w:marLeft w:val="0"/>
      <w:marRight w:val="0"/>
      <w:marTop w:val="0"/>
      <w:marBottom w:val="0"/>
      <w:divBdr>
        <w:top w:val="none" w:sz="0" w:space="0" w:color="auto"/>
        <w:left w:val="none" w:sz="0" w:space="0" w:color="auto"/>
        <w:bottom w:val="none" w:sz="0" w:space="0" w:color="auto"/>
        <w:right w:val="none" w:sz="0" w:space="0" w:color="auto"/>
      </w:divBdr>
    </w:div>
    <w:div w:id="1066875694">
      <w:bodyDiv w:val="1"/>
      <w:marLeft w:val="0"/>
      <w:marRight w:val="0"/>
      <w:marTop w:val="0"/>
      <w:marBottom w:val="0"/>
      <w:divBdr>
        <w:top w:val="none" w:sz="0" w:space="0" w:color="auto"/>
        <w:left w:val="none" w:sz="0" w:space="0" w:color="auto"/>
        <w:bottom w:val="none" w:sz="0" w:space="0" w:color="auto"/>
        <w:right w:val="none" w:sz="0" w:space="0" w:color="auto"/>
      </w:divBdr>
    </w:div>
    <w:div w:id="1066953172">
      <w:bodyDiv w:val="1"/>
      <w:marLeft w:val="0"/>
      <w:marRight w:val="0"/>
      <w:marTop w:val="0"/>
      <w:marBottom w:val="0"/>
      <w:divBdr>
        <w:top w:val="none" w:sz="0" w:space="0" w:color="auto"/>
        <w:left w:val="none" w:sz="0" w:space="0" w:color="auto"/>
        <w:bottom w:val="none" w:sz="0" w:space="0" w:color="auto"/>
        <w:right w:val="none" w:sz="0" w:space="0" w:color="auto"/>
      </w:divBdr>
    </w:div>
    <w:div w:id="1066957419">
      <w:bodyDiv w:val="1"/>
      <w:marLeft w:val="0"/>
      <w:marRight w:val="0"/>
      <w:marTop w:val="0"/>
      <w:marBottom w:val="0"/>
      <w:divBdr>
        <w:top w:val="none" w:sz="0" w:space="0" w:color="auto"/>
        <w:left w:val="none" w:sz="0" w:space="0" w:color="auto"/>
        <w:bottom w:val="none" w:sz="0" w:space="0" w:color="auto"/>
        <w:right w:val="none" w:sz="0" w:space="0" w:color="auto"/>
      </w:divBdr>
    </w:div>
    <w:div w:id="1066991762">
      <w:bodyDiv w:val="1"/>
      <w:marLeft w:val="0"/>
      <w:marRight w:val="0"/>
      <w:marTop w:val="0"/>
      <w:marBottom w:val="0"/>
      <w:divBdr>
        <w:top w:val="none" w:sz="0" w:space="0" w:color="auto"/>
        <w:left w:val="none" w:sz="0" w:space="0" w:color="auto"/>
        <w:bottom w:val="none" w:sz="0" w:space="0" w:color="auto"/>
        <w:right w:val="none" w:sz="0" w:space="0" w:color="auto"/>
      </w:divBdr>
    </w:div>
    <w:div w:id="1066993592">
      <w:bodyDiv w:val="1"/>
      <w:marLeft w:val="0"/>
      <w:marRight w:val="0"/>
      <w:marTop w:val="0"/>
      <w:marBottom w:val="0"/>
      <w:divBdr>
        <w:top w:val="none" w:sz="0" w:space="0" w:color="auto"/>
        <w:left w:val="none" w:sz="0" w:space="0" w:color="auto"/>
        <w:bottom w:val="none" w:sz="0" w:space="0" w:color="auto"/>
        <w:right w:val="none" w:sz="0" w:space="0" w:color="auto"/>
      </w:divBdr>
    </w:div>
    <w:div w:id="1067192725">
      <w:bodyDiv w:val="1"/>
      <w:marLeft w:val="0"/>
      <w:marRight w:val="0"/>
      <w:marTop w:val="0"/>
      <w:marBottom w:val="0"/>
      <w:divBdr>
        <w:top w:val="none" w:sz="0" w:space="0" w:color="auto"/>
        <w:left w:val="none" w:sz="0" w:space="0" w:color="auto"/>
        <w:bottom w:val="none" w:sz="0" w:space="0" w:color="auto"/>
        <w:right w:val="none" w:sz="0" w:space="0" w:color="auto"/>
      </w:divBdr>
    </w:div>
    <w:div w:id="1067218378">
      <w:bodyDiv w:val="1"/>
      <w:marLeft w:val="0"/>
      <w:marRight w:val="0"/>
      <w:marTop w:val="0"/>
      <w:marBottom w:val="0"/>
      <w:divBdr>
        <w:top w:val="none" w:sz="0" w:space="0" w:color="auto"/>
        <w:left w:val="none" w:sz="0" w:space="0" w:color="auto"/>
        <w:bottom w:val="none" w:sz="0" w:space="0" w:color="auto"/>
        <w:right w:val="none" w:sz="0" w:space="0" w:color="auto"/>
      </w:divBdr>
    </w:div>
    <w:div w:id="1067263915">
      <w:bodyDiv w:val="1"/>
      <w:marLeft w:val="0"/>
      <w:marRight w:val="0"/>
      <w:marTop w:val="0"/>
      <w:marBottom w:val="0"/>
      <w:divBdr>
        <w:top w:val="none" w:sz="0" w:space="0" w:color="auto"/>
        <w:left w:val="none" w:sz="0" w:space="0" w:color="auto"/>
        <w:bottom w:val="none" w:sz="0" w:space="0" w:color="auto"/>
        <w:right w:val="none" w:sz="0" w:space="0" w:color="auto"/>
      </w:divBdr>
    </w:div>
    <w:div w:id="1067342175">
      <w:bodyDiv w:val="1"/>
      <w:marLeft w:val="0"/>
      <w:marRight w:val="0"/>
      <w:marTop w:val="0"/>
      <w:marBottom w:val="0"/>
      <w:divBdr>
        <w:top w:val="none" w:sz="0" w:space="0" w:color="auto"/>
        <w:left w:val="none" w:sz="0" w:space="0" w:color="auto"/>
        <w:bottom w:val="none" w:sz="0" w:space="0" w:color="auto"/>
        <w:right w:val="none" w:sz="0" w:space="0" w:color="auto"/>
      </w:divBdr>
    </w:div>
    <w:div w:id="1067415474">
      <w:bodyDiv w:val="1"/>
      <w:marLeft w:val="0"/>
      <w:marRight w:val="0"/>
      <w:marTop w:val="0"/>
      <w:marBottom w:val="0"/>
      <w:divBdr>
        <w:top w:val="none" w:sz="0" w:space="0" w:color="auto"/>
        <w:left w:val="none" w:sz="0" w:space="0" w:color="auto"/>
        <w:bottom w:val="none" w:sz="0" w:space="0" w:color="auto"/>
        <w:right w:val="none" w:sz="0" w:space="0" w:color="auto"/>
      </w:divBdr>
    </w:div>
    <w:div w:id="1067655541">
      <w:bodyDiv w:val="1"/>
      <w:marLeft w:val="0"/>
      <w:marRight w:val="0"/>
      <w:marTop w:val="0"/>
      <w:marBottom w:val="0"/>
      <w:divBdr>
        <w:top w:val="none" w:sz="0" w:space="0" w:color="auto"/>
        <w:left w:val="none" w:sz="0" w:space="0" w:color="auto"/>
        <w:bottom w:val="none" w:sz="0" w:space="0" w:color="auto"/>
        <w:right w:val="none" w:sz="0" w:space="0" w:color="auto"/>
      </w:divBdr>
    </w:div>
    <w:div w:id="1067802992">
      <w:bodyDiv w:val="1"/>
      <w:marLeft w:val="0"/>
      <w:marRight w:val="0"/>
      <w:marTop w:val="0"/>
      <w:marBottom w:val="0"/>
      <w:divBdr>
        <w:top w:val="none" w:sz="0" w:space="0" w:color="auto"/>
        <w:left w:val="none" w:sz="0" w:space="0" w:color="auto"/>
        <w:bottom w:val="none" w:sz="0" w:space="0" w:color="auto"/>
        <w:right w:val="none" w:sz="0" w:space="0" w:color="auto"/>
      </w:divBdr>
    </w:div>
    <w:div w:id="1068068777">
      <w:bodyDiv w:val="1"/>
      <w:marLeft w:val="0"/>
      <w:marRight w:val="0"/>
      <w:marTop w:val="0"/>
      <w:marBottom w:val="0"/>
      <w:divBdr>
        <w:top w:val="none" w:sz="0" w:space="0" w:color="auto"/>
        <w:left w:val="none" w:sz="0" w:space="0" w:color="auto"/>
        <w:bottom w:val="none" w:sz="0" w:space="0" w:color="auto"/>
        <w:right w:val="none" w:sz="0" w:space="0" w:color="auto"/>
      </w:divBdr>
    </w:div>
    <w:div w:id="1068114176">
      <w:bodyDiv w:val="1"/>
      <w:marLeft w:val="0"/>
      <w:marRight w:val="0"/>
      <w:marTop w:val="0"/>
      <w:marBottom w:val="0"/>
      <w:divBdr>
        <w:top w:val="none" w:sz="0" w:space="0" w:color="auto"/>
        <w:left w:val="none" w:sz="0" w:space="0" w:color="auto"/>
        <w:bottom w:val="none" w:sz="0" w:space="0" w:color="auto"/>
        <w:right w:val="none" w:sz="0" w:space="0" w:color="auto"/>
      </w:divBdr>
    </w:div>
    <w:div w:id="1068115466">
      <w:bodyDiv w:val="1"/>
      <w:marLeft w:val="0"/>
      <w:marRight w:val="0"/>
      <w:marTop w:val="0"/>
      <w:marBottom w:val="0"/>
      <w:divBdr>
        <w:top w:val="none" w:sz="0" w:space="0" w:color="auto"/>
        <w:left w:val="none" w:sz="0" w:space="0" w:color="auto"/>
        <w:bottom w:val="none" w:sz="0" w:space="0" w:color="auto"/>
        <w:right w:val="none" w:sz="0" w:space="0" w:color="auto"/>
      </w:divBdr>
    </w:div>
    <w:div w:id="1068261177">
      <w:bodyDiv w:val="1"/>
      <w:marLeft w:val="0"/>
      <w:marRight w:val="0"/>
      <w:marTop w:val="0"/>
      <w:marBottom w:val="0"/>
      <w:divBdr>
        <w:top w:val="none" w:sz="0" w:space="0" w:color="auto"/>
        <w:left w:val="none" w:sz="0" w:space="0" w:color="auto"/>
        <w:bottom w:val="none" w:sz="0" w:space="0" w:color="auto"/>
        <w:right w:val="none" w:sz="0" w:space="0" w:color="auto"/>
      </w:divBdr>
    </w:div>
    <w:div w:id="1068650845">
      <w:bodyDiv w:val="1"/>
      <w:marLeft w:val="0"/>
      <w:marRight w:val="0"/>
      <w:marTop w:val="0"/>
      <w:marBottom w:val="0"/>
      <w:divBdr>
        <w:top w:val="none" w:sz="0" w:space="0" w:color="auto"/>
        <w:left w:val="none" w:sz="0" w:space="0" w:color="auto"/>
        <w:bottom w:val="none" w:sz="0" w:space="0" w:color="auto"/>
        <w:right w:val="none" w:sz="0" w:space="0" w:color="auto"/>
      </w:divBdr>
    </w:div>
    <w:div w:id="1068725032">
      <w:bodyDiv w:val="1"/>
      <w:marLeft w:val="0"/>
      <w:marRight w:val="0"/>
      <w:marTop w:val="0"/>
      <w:marBottom w:val="0"/>
      <w:divBdr>
        <w:top w:val="none" w:sz="0" w:space="0" w:color="auto"/>
        <w:left w:val="none" w:sz="0" w:space="0" w:color="auto"/>
        <w:bottom w:val="none" w:sz="0" w:space="0" w:color="auto"/>
        <w:right w:val="none" w:sz="0" w:space="0" w:color="auto"/>
      </w:divBdr>
    </w:div>
    <w:div w:id="1068763952">
      <w:bodyDiv w:val="1"/>
      <w:marLeft w:val="0"/>
      <w:marRight w:val="0"/>
      <w:marTop w:val="0"/>
      <w:marBottom w:val="0"/>
      <w:divBdr>
        <w:top w:val="none" w:sz="0" w:space="0" w:color="auto"/>
        <w:left w:val="none" w:sz="0" w:space="0" w:color="auto"/>
        <w:bottom w:val="none" w:sz="0" w:space="0" w:color="auto"/>
        <w:right w:val="none" w:sz="0" w:space="0" w:color="auto"/>
      </w:divBdr>
    </w:div>
    <w:div w:id="1068965377">
      <w:bodyDiv w:val="1"/>
      <w:marLeft w:val="0"/>
      <w:marRight w:val="0"/>
      <w:marTop w:val="0"/>
      <w:marBottom w:val="0"/>
      <w:divBdr>
        <w:top w:val="none" w:sz="0" w:space="0" w:color="auto"/>
        <w:left w:val="none" w:sz="0" w:space="0" w:color="auto"/>
        <w:bottom w:val="none" w:sz="0" w:space="0" w:color="auto"/>
        <w:right w:val="none" w:sz="0" w:space="0" w:color="auto"/>
      </w:divBdr>
    </w:div>
    <w:div w:id="1069034245">
      <w:bodyDiv w:val="1"/>
      <w:marLeft w:val="0"/>
      <w:marRight w:val="0"/>
      <w:marTop w:val="0"/>
      <w:marBottom w:val="0"/>
      <w:divBdr>
        <w:top w:val="none" w:sz="0" w:space="0" w:color="auto"/>
        <w:left w:val="none" w:sz="0" w:space="0" w:color="auto"/>
        <w:bottom w:val="none" w:sz="0" w:space="0" w:color="auto"/>
        <w:right w:val="none" w:sz="0" w:space="0" w:color="auto"/>
      </w:divBdr>
    </w:div>
    <w:div w:id="1069157048">
      <w:bodyDiv w:val="1"/>
      <w:marLeft w:val="0"/>
      <w:marRight w:val="0"/>
      <w:marTop w:val="0"/>
      <w:marBottom w:val="0"/>
      <w:divBdr>
        <w:top w:val="none" w:sz="0" w:space="0" w:color="auto"/>
        <w:left w:val="none" w:sz="0" w:space="0" w:color="auto"/>
        <w:bottom w:val="none" w:sz="0" w:space="0" w:color="auto"/>
        <w:right w:val="none" w:sz="0" w:space="0" w:color="auto"/>
      </w:divBdr>
    </w:div>
    <w:div w:id="1069228114">
      <w:bodyDiv w:val="1"/>
      <w:marLeft w:val="0"/>
      <w:marRight w:val="0"/>
      <w:marTop w:val="0"/>
      <w:marBottom w:val="0"/>
      <w:divBdr>
        <w:top w:val="none" w:sz="0" w:space="0" w:color="auto"/>
        <w:left w:val="none" w:sz="0" w:space="0" w:color="auto"/>
        <w:bottom w:val="none" w:sz="0" w:space="0" w:color="auto"/>
        <w:right w:val="none" w:sz="0" w:space="0" w:color="auto"/>
      </w:divBdr>
    </w:div>
    <w:div w:id="1069425640">
      <w:bodyDiv w:val="1"/>
      <w:marLeft w:val="0"/>
      <w:marRight w:val="0"/>
      <w:marTop w:val="0"/>
      <w:marBottom w:val="0"/>
      <w:divBdr>
        <w:top w:val="none" w:sz="0" w:space="0" w:color="auto"/>
        <w:left w:val="none" w:sz="0" w:space="0" w:color="auto"/>
        <w:bottom w:val="none" w:sz="0" w:space="0" w:color="auto"/>
        <w:right w:val="none" w:sz="0" w:space="0" w:color="auto"/>
      </w:divBdr>
    </w:div>
    <w:div w:id="1069691368">
      <w:bodyDiv w:val="1"/>
      <w:marLeft w:val="0"/>
      <w:marRight w:val="0"/>
      <w:marTop w:val="0"/>
      <w:marBottom w:val="0"/>
      <w:divBdr>
        <w:top w:val="none" w:sz="0" w:space="0" w:color="auto"/>
        <w:left w:val="none" w:sz="0" w:space="0" w:color="auto"/>
        <w:bottom w:val="none" w:sz="0" w:space="0" w:color="auto"/>
        <w:right w:val="none" w:sz="0" w:space="0" w:color="auto"/>
      </w:divBdr>
    </w:div>
    <w:div w:id="1069811929">
      <w:bodyDiv w:val="1"/>
      <w:marLeft w:val="0"/>
      <w:marRight w:val="0"/>
      <w:marTop w:val="0"/>
      <w:marBottom w:val="0"/>
      <w:divBdr>
        <w:top w:val="none" w:sz="0" w:space="0" w:color="auto"/>
        <w:left w:val="none" w:sz="0" w:space="0" w:color="auto"/>
        <w:bottom w:val="none" w:sz="0" w:space="0" w:color="auto"/>
        <w:right w:val="none" w:sz="0" w:space="0" w:color="auto"/>
      </w:divBdr>
    </w:div>
    <w:div w:id="1069962945">
      <w:bodyDiv w:val="1"/>
      <w:marLeft w:val="0"/>
      <w:marRight w:val="0"/>
      <w:marTop w:val="0"/>
      <w:marBottom w:val="0"/>
      <w:divBdr>
        <w:top w:val="none" w:sz="0" w:space="0" w:color="auto"/>
        <w:left w:val="none" w:sz="0" w:space="0" w:color="auto"/>
        <w:bottom w:val="none" w:sz="0" w:space="0" w:color="auto"/>
        <w:right w:val="none" w:sz="0" w:space="0" w:color="auto"/>
      </w:divBdr>
    </w:div>
    <w:div w:id="1069964458">
      <w:bodyDiv w:val="1"/>
      <w:marLeft w:val="0"/>
      <w:marRight w:val="0"/>
      <w:marTop w:val="0"/>
      <w:marBottom w:val="0"/>
      <w:divBdr>
        <w:top w:val="none" w:sz="0" w:space="0" w:color="auto"/>
        <w:left w:val="none" w:sz="0" w:space="0" w:color="auto"/>
        <w:bottom w:val="none" w:sz="0" w:space="0" w:color="auto"/>
        <w:right w:val="none" w:sz="0" w:space="0" w:color="auto"/>
      </w:divBdr>
    </w:div>
    <w:div w:id="1070008215">
      <w:bodyDiv w:val="1"/>
      <w:marLeft w:val="0"/>
      <w:marRight w:val="0"/>
      <w:marTop w:val="0"/>
      <w:marBottom w:val="0"/>
      <w:divBdr>
        <w:top w:val="none" w:sz="0" w:space="0" w:color="auto"/>
        <w:left w:val="none" w:sz="0" w:space="0" w:color="auto"/>
        <w:bottom w:val="none" w:sz="0" w:space="0" w:color="auto"/>
        <w:right w:val="none" w:sz="0" w:space="0" w:color="auto"/>
      </w:divBdr>
    </w:div>
    <w:div w:id="1070008322">
      <w:bodyDiv w:val="1"/>
      <w:marLeft w:val="0"/>
      <w:marRight w:val="0"/>
      <w:marTop w:val="0"/>
      <w:marBottom w:val="0"/>
      <w:divBdr>
        <w:top w:val="none" w:sz="0" w:space="0" w:color="auto"/>
        <w:left w:val="none" w:sz="0" w:space="0" w:color="auto"/>
        <w:bottom w:val="none" w:sz="0" w:space="0" w:color="auto"/>
        <w:right w:val="none" w:sz="0" w:space="0" w:color="auto"/>
      </w:divBdr>
    </w:div>
    <w:div w:id="1070008509">
      <w:bodyDiv w:val="1"/>
      <w:marLeft w:val="0"/>
      <w:marRight w:val="0"/>
      <w:marTop w:val="0"/>
      <w:marBottom w:val="0"/>
      <w:divBdr>
        <w:top w:val="none" w:sz="0" w:space="0" w:color="auto"/>
        <w:left w:val="none" w:sz="0" w:space="0" w:color="auto"/>
        <w:bottom w:val="none" w:sz="0" w:space="0" w:color="auto"/>
        <w:right w:val="none" w:sz="0" w:space="0" w:color="auto"/>
      </w:divBdr>
    </w:div>
    <w:div w:id="1070083030">
      <w:bodyDiv w:val="1"/>
      <w:marLeft w:val="0"/>
      <w:marRight w:val="0"/>
      <w:marTop w:val="0"/>
      <w:marBottom w:val="0"/>
      <w:divBdr>
        <w:top w:val="none" w:sz="0" w:space="0" w:color="auto"/>
        <w:left w:val="none" w:sz="0" w:space="0" w:color="auto"/>
        <w:bottom w:val="none" w:sz="0" w:space="0" w:color="auto"/>
        <w:right w:val="none" w:sz="0" w:space="0" w:color="auto"/>
      </w:divBdr>
    </w:div>
    <w:div w:id="1070228488">
      <w:bodyDiv w:val="1"/>
      <w:marLeft w:val="0"/>
      <w:marRight w:val="0"/>
      <w:marTop w:val="0"/>
      <w:marBottom w:val="0"/>
      <w:divBdr>
        <w:top w:val="none" w:sz="0" w:space="0" w:color="auto"/>
        <w:left w:val="none" w:sz="0" w:space="0" w:color="auto"/>
        <w:bottom w:val="none" w:sz="0" w:space="0" w:color="auto"/>
        <w:right w:val="none" w:sz="0" w:space="0" w:color="auto"/>
      </w:divBdr>
    </w:div>
    <w:div w:id="1070273546">
      <w:bodyDiv w:val="1"/>
      <w:marLeft w:val="0"/>
      <w:marRight w:val="0"/>
      <w:marTop w:val="0"/>
      <w:marBottom w:val="0"/>
      <w:divBdr>
        <w:top w:val="none" w:sz="0" w:space="0" w:color="auto"/>
        <w:left w:val="none" w:sz="0" w:space="0" w:color="auto"/>
        <w:bottom w:val="none" w:sz="0" w:space="0" w:color="auto"/>
        <w:right w:val="none" w:sz="0" w:space="0" w:color="auto"/>
      </w:divBdr>
    </w:div>
    <w:div w:id="1070273802">
      <w:bodyDiv w:val="1"/>
      <w:marLeft w:val="0"/>
      <w:marRight w:val="0"/>
      <w:marTop w:val="0"/>
      <w:marBottom w:val="0"/>
      <w:divBdr>
        <w:top w:val="none" w:sz="0" w:space="0" w:color="auto"/>
        <w:left w:val="none" w:sz="0" w:space="0" w:color="auto"/>
        <w:bottom w:val="none" w:sz="0" w:space="0" w:color="auto"/>
        <w:right w:val="none" w:sz="0" w:space="0" w:color="auto"/>
      </w:divBdr>
    </w:div>
    <w:div w:id="1070348897">
      <w:bodyDiv w:val="1"/>
      <w:marLeft w:val="0"/>
      <w:marRight w:val="0"/>
      <w:marTop w:val="0"/>
      <w:marBottom w:val="0"/>
      <w:divBdr>
        <w:top w:val="none" w:sz="0" w:space="0" w:color="auto"/>
        <w:left w:val="none" w:sz="0" w:space="0" w:color="auto"/>
        <w:bottom w:val="none" w:sz="0" w:space="0" w:color="auto"/>
        <w:right w:val="none" w:sz="0" w:space="0" w:color="auto"/>
      </w:divBdr>
    </w:div>
    <w:div w:id="1070806679">
      <w:bodyDiv w:val="1"/>
      <w:marLeft w:val="0"/>
      <w:marRight w:val="0"/>
      <w:marTop w:val="0"/>
      <w:marBottom w:val="0"/>
      <w:divBdr>
        <w:top w:val="none" w:sz="0" w:space="0" w:color="auto"/>
        <w:left w:val="none" w:sz="0" w:space="0" w:color="auto"/>
        <w:bottom w:val="none" w:sz="0" w:space="0" w:color="auto"/>
        <w:right w:val="none" w:sz="0" w:space="0" w:color="auto"/>
      </w:divBdr>
    </w:div>
    <w:div w:id="1070884999">
      <w:bodyDiv w:val="1"/>
      <w:marLeft w:val="0"/>
      <w:marRight w:val="0"/>
      <w:marTop w:val="0"/>
      <w:marBottom w:val="0"/>
      <w:divBdr>
        <w:top w:val="none" w:sz="0" w:space="0" w:color="auto"/>
        <w:left w:val="none" w:sz="0" w:space="0" w:color="auto"/>
        <w:bottom w:val="none" w:sz="0" w:space="0" w:color="auto"/>
        <w:right w:val="none" w:sz="0" w:space="0" w:color="auto"/>
      </w:divBdr>
    </w:div>
    <w:div w:id="1071003578">
      <w:bodyDiv w:val="1"/>
      <w:marLeft w:val="0"/>
      <w:marRight w:val="0"/>
      <w:marTop w:val="0"/>
      <w:marBottom w:val="0"/>
      <w:divBdr>
        <w:top w:val="none" w:sz="0" w:space="0" w:color="auto"/>
        <w:left w:val="none" w:sz="0" w:space="0" w:color="auto"/>
        <w:bottom w:val="none" w:sz="0" w:space="0" w:color="auto"/>
        <w:right w:val="none" w:sz="0" w:space="0" w:color="auto"/>
      </w:divBdr>
    </w:div>
    <w:div w:id="1071003668">
      <w:bodyDiv w:val="1"/>
      <w:marLeft w:val="0"/>
      <w:marRight w:val="0"/>
      <w:marTop w:val="0"/>
      <w:marBottom w:val="0"/>
      <w:divBdr>
        <w:top w:val="none" w:sz="0" w:space="0" w:color="auto"/>
        <w:left w:val="none" w:sz="0" w:space="0" w:color="auto"/>
        <w:bottom w:val="none" w:sz="0" w:space="0" w:color="auto"/>
        <w:right w:val="none" w:sz="0" w:space="0" w:color="auto"/>
      </w:divBdr>
    </w:div>
    <w:div w:id="1071123086">
      <w:bodyDiv w:val="1"/>
      <w:marLeft w:val="0"/>
      <w:marRight w:val="0"/>
      <w:marTop w:val="0"/>
      <w:marBottom w:val="0"/>
      <w:divBdr>
        <w:top w:val="none" w:sz="0" w:space="0" w:color="auto"/>
        <w:left w:val="none" w:sz="0" w:space="0" w:color="auto"/>
        <w:bottom w:val="none" w:sz="0" w:space="0" w:color="auto"/>
        <w:right w:val="none" w:sz="0" w:space="0" w:color="auto"/>
      </w:divBdr>
    </w:div>
    <w:div w:id="1071780825">
      <w:bodyDiv w:val="1"/>
      <w:marLeft w:val="0"/>
      <w:marRight w:val="0"/>
      <w:marTop w:val="0"/>
      <w:marBottom w:val="0"/>
      <w:divBdr>
        <w:top w:val="none" w:sz="0" w:space="0" w:color="auto"/>
        <w:left w:val="none" w:sz="0" w:space="0" w:color="auto"/>
        <w:bottom w:val="none" w:sz="0" w:space="0" w:color="auto"/>
        <w:right w:val="none" w:sz="0" w:space="0" w:color="auto"/>
      </w:divBdr>
    </w:div>
    <w:div w:id="1072045791">
      <w:bodyDiv w:val="1"/>
      <w:marLeft w:val="0"/>
      <w:marRight w:val="0"/>
      <w:marTop w:val="0"/>
      <w:marBottom w:val="0"/>
      <w:divBdr>
        <w:top w:val="none" w:sz="0" w:space="0" w:color="auto"/>
        <w:left w:val="none" w:sz="0" w:space="0" w:color="auto"/>
        <w:bottom w:val="none" w:sz="0" w:space="0" w:color="auto"/>
        <w:right w:val="none" w:sz="0" w:space="0" w:color="auto"/>
      </w:divBdr>
    </w:div>
    <w:div w:id="1072239038">
      <w:bodyDiv w:val="1"/>
      <w:marLeft w:val="0"/>
      <w:marRight w:val="0"/>
      <w:marTop w:val="0"/>
      <w:marBottom w:val="0"/>
      <w:divBdr>
        <w:top w:val="none" w:sz="0" w:space="0" w:color="auto"/>
        <w:left w:val="none" w:sz="0" w:space="0" w:color="auto"/>
        <w:bottom w:val="none" w:sz="0" w:space="0" w:color="auto"/>
        <w:right w:val="none" w:sz="0" w:space="0" w:color="auto"/>
      </w:divBdr>
    </w:div>
    <w:div w:id="1072240272">
      <w:bodyDiv w:val="1"/>
      <w:marLeft w:val="0"/>
      <w:marRight w:val="0"/>
      <w:marTop w:val="0"/>
      <w:marBottom w:val="0"/>
      <w:divBdr>
        <w:top w:val="none" w:sz="0" w:space="0" w:color="auto"/>
        <w:left w:val="none" w:sz="0" w:space="0" w:color="auto"/>
        <w:bottom w:val="none" w:sz="0" w:space="0" w:color="auto"/>
        <w:right w:val="none" w:sz="0" w:space="0" w:color="auto"/>
      </w:divBdr>
    </w:div>
    <w:div w:id="1072311478">
      <w:bodyDiv w:val="1"/>
      <w:marLeft w:val="0"/>
      <w:marRight w:val="0"/>
      <w:marTop w:val="0"/>
      <w:marBottom w:val="0"/>
      <w:divBdr>
        <w:top w:val="none" w:sz="0" w:space="0" w:color="auto"/>
        <w:left w:val="none" w:sz="0" w:space="0" w:color="auto"/>
        <w:bottom w:val="none" w:sz="0" w:space="0" w:color="auto"/>
        <w:right w:val="none" w:sz="0" w:space="0" w:color="auto"/>
      </w:divBdr>
    </w:div>
    <w:div w:id="1072313962">
      <w:bodyDiv w:val="1"/>
      <w:marLeft w:val="0"/>
      <w:marRight w:val="0"/>
      <w:marTop w:val="0"/>
      <w:marBottom w:val="0"/>
      <w:divBdr>
        <w:top w:val="none" w:sz="0" w:space="0" w:color="auto"/>
        <w:left w:val="none" w:sz="0" w:space="0" w:color="auto"/>
        <w:bottom w:val="none" w:sz="0" w:space="0" w:color="auto"/>
        <w:right w:val="none" w:sz="0" w:space="0" w:color="auto"/>
      </w:divBdr>
    </w:div>
    <w:div w:id="1072317944">
      <w:bodyDiv w:val="1"/>
      <w:marLeft w:val="0"/>
      <w:marRight w:val="0"/>
      <w:marTop w:val="0"/>
      <w:marBottom w:val="0"/>
      <w:divBdr>
        <w:top w:val="none" w:sz="0" w:space="0" w:color="auto"/>
        <w:left w:val="none" w:sz="0" w:space="0" w:color="auto"/>
        <w:bottom w:val="none" w:sz="0" w:space="0" w:color="auto"/>
        <w:right w:val="none" w:sz="0" w:space="0" w:color="auto"/>
      </w:divBdr>
    </w:div>
    <w:div w:id="1072393377">
      <w:bodyDiv w:val="1"/>
      <w:marLeft w:val="0"/>
      <w:marRight w:val="0"/>
      <w:marTop w:val="0"/>
      <w:marBottom w:val="0"/>
      <w:divBdr>
        <w:top w:val="none" w:sz="0" w:space="0" w:color="auto"/>
        <w:left w:val="none" w:sz="0" w:space="0" w:color="auto"/>
        <w:bottom w:val="none" w:sz="0" w:space="0" w:color="auto"/>
        <w:right w:val="none" w:sz="0" w:space="0" w:color="auto"/>
      </w:divBdr>
    </w:div>
    <w:div w:id="1072704978">
      <w:bodyDiv w:val="1"/>
      <w:marLeft w:val="0"/>
      <w:marRight w:val="0"/>
      <w:marTop w:val="0"/>
      <w:marBottom w:val="0"/>
      <w:divBdr>
        <w:top w:val="none" w:sz="0" w:space="0" w:color="auto"/>
        <w:left w:val="none" w:sz="0" w:space="0" w:color="auto"/>
        <w:bottom w:val="none" w:sz="0" w:space="0" w:color="auto"/>
        <w:right w:val="none" w:sz="0" w:space="0" w:color="auto"/>
      </w:divBdr>
    </w:div>
    <w:div w:id="1072889883">
      <w:bodyDiv w:val="1"/>
      <w:marLeft w:val="0"/>
      <w:marRight w:val="0"/>
      <w:marTop w:val="0"/>
      <w:marBottom w:val="0"/>
      <w:divBdr>
        <w:top w:val="none" w:sz="0" w:space="0" w:color="auto"/>
        <w:left w:val="none" w:sz="0" w:space="0" w:color="auto"/>
        <w:bottom w:val="none" w:sz="0" w:space="0" w:color="auto"/>
        <w:right w:val="none" w:sz="0" w:space="0" w:color="auto"/>
      </w:divBdr>
    </w:div>
    <w:div w:id="1072895917">
      <w:bodyDiv w:val="1"/>
      <w:marLeft w:val="0"/>
      <w:marRight w:val="0"/>
      <w:marTop w:val="0"/>
      <w:marBottom w:val="0"/>
      <w:divBdr>
        <w:top w:val="none" w:sz="0" w:space="0" w:color="auto"/>
        <w:left w:val="none" w:sz="0" w:space="0" w:color="auto"/>
        <w:bottom w:val="none" w:sz="0" w:space="0" w:color="auto"/>
        <w:right w:val="none" w:sz="0" w:space="0" w:color="auto"/>
      </w:divBdr>
    </w:div>
    <w:div w:id="1073046950">
      <w:bodyDiv w:val="1"/>
      <w:marLeft w:val="0"/>
      <w:marRight w:val="0"/>
      <w:marTop w:val="0"/>
      <w:marBottom w:val="0"/>
      <w:divBdr>
        <w:top w:val="none" w:sz="0" w:space="0" w:color="auto"/>
        <w:left w:val="none" w:sz="0" w:space="0" w:color="auto"/>
        <w:bottom w:val="none" w:sz="0" w:space="0" w:color="auto"/>
        <w:right w:val="none" w:sz="0" w:space="0" w:color="auto"/>
      </w:divBdr>
    </w:div>
    <w:div w:id="1073234556">
      <w:bodyDiv w:val="1"/>
      <w:marLeft w:val="0"/>
      <w:marRight w:val="0"/>
      <w:marTop w:val="0"/>
      <w:marBottom w:val="0"/>
      <w:divBdr>
        <w:top w:val="none" w:sz="0" w:space="0" w:color="auto"/>
        <w:left w:val="none" w:sz="0" w:space="0" w:color="auto"/>
        <w:bottom w:val="none" w:sz="0" w:space="0" w:color="auto"/>
        <w:right w:val="none" w:sz="0" w:space="0" w:color="auto"/>
      </w:divBdr>
    </w:div>
    <w:div w:id="1073355823">
      <w:bodyDiv w:val="1"/>
      <w:marLeft w:val="0"/>
      <w:marRight w:val="0"/>
      <w:marTop w:val="0"/>
      <w:marBottom w:val="0"/>
      <w:divBdr>
        <w:top w:val="none" w:sz="0" w:space="0" w:color="auto"/>
        <w:left w:val="none" w:sz="0" w:space="0" w:color="auto"/>
        <w:bottom w:val="none" w:sz="0" w:space="0" w:color="auto"/>
        <w:right w:val="none" w:sz="0" w:space="0" w:color="auto"/>
      </w:divBdr>
    </w:div>
    <w:div w:id="1073426182">
      <w:bodyDiv w:val="1"/>
      <w:marLeft w:val="0"/>
      <w:marRight w:val="0"/>
      <w:marTop w:val="0"/>
      <w:marBottom w:val="0"/>
      <w:divBdr>
        <w:top w:val="none" w:sz="0" w:space="0" w:color="auto"/>
        <w:left w:val="none" w:sz="0" w:space="0" w:color="auto"/>
        <w:bottom w:val="none" w:sz="0" w:space="0" w:color="auto"/>
        <w:right w:val="none" w:sz="0" w:space="0" w:color="auto"/>
      </w:divBdr>
    </w:div>
    <w:div w:id="1073428175">
      <w:bodyDiv w:val="1"/>
      <w:marLeft w:val="0"/>
      <w:marRight w:val="0"/>
      <w:marTop w:val="0"/>
      <w:marBottom w:val="0"/>
      <w:divBdr>
        <w:top w:val="none" w:sz="0" w:space="0" w:color="auto"/>
        <w:left w:val="none" w:sz="0" w:space="0" w:color="auto"/>
        <w:bottom w:val="none" w:sz="0" w:space="0" w:color="auto"/>
        <w:right w:val="none" w:sz="0" w:space="0" w:color="auto"/>
      </w:divBdr>
    </w:div>
    <w:div w:id="1073696895">
      <w:bodyDiv w:val="1"/>
      <w:marLeft w:val="0"/>
      <w:marRight w:val="0"/>
      <w:marTop w:val="0"/>
      <w:marBottom w:val="0"/>
      <w:divBdr>
        <w:top w:val="none" w:sz="0" w:space="0" w:color="auto"/>
        <w:left w:val="none" w:sz="0" w:space="0" w:color="auto"/>
        <w:bottom w:val="none" w:sz="0" w:space="0" w:color="auto"/>
        <w:right w:val="none" w:sz="0" w:space="0" w:color="auto"/>
      </w:divBdr>
    </w:div>
    <w:div w:id="1073704369">
      <w:bodyDiv w:val="1"/>
      <w:marLeft w:val="0"/>
      <w:marRight w:val="0"/>
      <w:marTop w:val="0"/>
      <w:marBottom w:val="0"/>
      <w:divBdr>
        <w:top w:val="none" w:sz="0" w:space="0" w:color="auto"/>
        <w:left w:val="none" w:sz="0" w:space="0" w:color="auto"/>
        <w:bottom w:val="none" w:sz="0" w:space="0" w:color="auto"/>
        <w:right w:val="none" w:sz="0" w:space="0" w:color="auto"/>
      </w:divBdr>
    </w:div>
    <w:div w:id="1073770639">
      <w:bodyDiv w:val="1"/>
      <w:marLeft w:val="0"/>
      <w:marRight w:val="0"/>
      <w:marTop w:val="0"/>
      <w:marBottom w:val="0"/>
      <w:divBdr>
        <w:top w:val="none" w:sz="0" w:space="0" w:color="auto"/>
        <w:left w:val="none" w:sz="0" w:space="0" w:color="auto"/>
        <w:bottom w:val="none" w:sz="0" w:space="0" w:color="auto"/>
        <w:right w:val="none" w:sz="0" w:space="0" w:color="auto"/>
      </w:divBdr>
    </w:div>
    <w:div w:id="1073817020">
      <w:bodyDiv w:val="1"/>
      <w:marLeft w:val="0"/>
      <w:marRight w:val="0"/>
      <w:marTop w:val="0"/>
      <w:marBottom w:val="0"/>
      <w:divBdr>
        <w:top w:val="none" w:sz="0" w:space="0" w:color="auto"/>
        <w:left w:val="none" w:sz="0" w:space="0" w:color="auto"/>
        <w:bottom w:val="none" w:sz="0" w:space="0" w:color="auto"/>
        <w:right w:val="none" w:sz="0" w:space="0" w:color="auto"/>
      </w:divBdr>
    </w:div>
    <w:div w:id="1074204115">
      <w:bodyDiv w:val="1"/>
      <w:marLeft w:val="0"/>
      <w:marRight w:val="0"/>
      <w:marTop w:val="0"/>
      <w:marBottom w:val="0"/>
      <w:divBdr>
        <w:top w:val="none" w:sz="0" w:space="0" w:color="auto"/>
        <w:left w:val="none" w:sz="0" w:space="0" w:color="auto"/>
        <w:bottom w:val="none" w:sz="0" w:space="0" w:color="auto"/>
        <w:right w:val="none" w:sz="0" w:space="0" w:color="auto"/>
      </w:divBdr>
    </w:div>
    <w:div w:id="1074232884">
      <w:bodyDiv w:val="1"/>
      <w:marLeft w:val="0"/>
      <w:marRight w:val="0"/>
      <w:marTop w:val="0"/>
      <w:marBottom w:val="0"/>
      <w:divBdr>
        <w:top w:val="none" w:sz="0" w:space="0" w:color="auto"/>
        <w:left w:val="none" w:sz="0" w:space="0" w:color="auto"/>
        <w:bottom w:val="none" w:sz="0" w:space="0" w:color="auto"/>
        <w:right w:val="none" w:sz="0" w:space="0" w:color="auto"/>
      </w:divBdr>
    </w:div>
    <w:div w:id="1074282888">
      <w:bodyDiv w:val="1"/>
      <w:marLeft w:val="0"/>
      <w:marRight w:val="0"/>
      <w:marTop w:val="0"/>
      <w:marBottom w:val="0"/>
      <w:divBdr>
        <w:top w:val="none" w:sz="0" w:space="0" w:color="auto"/>
        <w:left w:val="none" w:sz="0" w:space="0" w:color="auto"/>
        <w:bottom w:val="none" w:sz="0" w:space="0" w:color="auto"/>
        <w:right w:val="none" w:sz="0" w:space="0" w:color="auto"/>
      </w:divBdr>
    </w:div>
    <w:div w:id="1074283043">
      <w:bodyDiv w:val="1"/>
      <w:marLeft w:val="0"/>
      <w:marRight w:val="0"/>
      <w:marTop w:val="0"/>
      <w:marBottom w:val="0"/>
      <w:divBdr>
        <w:top w:val="none" w:sz="0" w:space="0" w:color="auto"/>
        <w:left w:val="none" w:sz="0" w:space="0" w:color="auto"/>
        <w:bottom w:val="none" w:sz="0" w:space="0" w:color="auto"/>
        <w:right w:val="none" w:sz="0" w:space="0" w:color="auto"/>
      </w:divBdr>
    </w:div>
    <w:div w:id="1075008800">
      <w:bodyDiv w:val="1"/>
      <w:marLeft w:val="0"/>
      <w:marRight w:val="0"/>
      <w:marTop w:val="0"/>
      <w:marBottom w:val="0"/>
      <w:divBdr>
        <w:top w:val="none" w:sz="0" w:space="0" w:color="auto"/>
        <w:left w:val="none" w:sz="0" w:space="0" w:color="auto"/>
        <w:bottom w:val="none" w:sz="0" w:space="0" w:color="auto"/>
        <w:right w:val="none" w:sz="0" w:space="0" w:color="auto"/>
      </w:divBdr>
    </w:div>
    <w:div w:id="1075057476">
      <w:bodyDiv w:val="1"/>
      <w:marLeft w:val="0"/>
      <w:marRight w:val="0"/>
      <w:marTop w:val="0"/>
      <w:marBottom w:val="0"/>
      <w:divBdr>
        <w:top w:val="none" w:sz="0" w:space="0" w:color="auto"/>
        <w:left w:val="none" w:sz="0" w:space="0" w:color="auto"/>
        <w:bottom w:val="none" w:sz="0" w:space="0" w:color="auto"/>
        <w:right w:val="none" w:sz="0" w:space="0" w:color="auto"/>
      </w:divBdr>
    </w:div>
    <w:div w:id="1075468264">
      <w:bodyDiv w:val="1"/>
      <w:marLeft w:val="0"/>
      <w:marRight w:val="0"/>
      <w:marTop w:val="0"/>
      <w:marBottom w:val="0"/>
      <w:divBdr>
        <w:top w:val="none" w:sz="0" w:space="0" w:color="auto"/>
        <w:left w:val="none" w:sz="0" w:space="0" w:color="auto"/>
        <w:bottom w:val="none" w:sz="0" w:space="0" w:color="auto"/>
        <w:right w:val="none" w:sz="0" w:space="0" w:color="auto"/>
      </w:divBdr>
    </w:div>
    <w:div w:id="1075669038">
      <w:bodyDiv w:val="1"/>
      <w:marLeft w:val="0"/>
      <w:marRight w:val="0"/>
      <w:marTop w:val="0"/>
      <w:marBottom w:val="0"/>
      <w:divBdr>
        <w:top w:val="none" w:sz="0" w:space="0" w:color="auto"/>
        <w:left w:val="none" w:sz="0" w:space="0" w:color="auto"/>
        <w:bottom w:val="none" w:sz="0" w:space="0" w:color="auto"/>
        <w:right w:val="none" w:sz="0" w:space="0" w:color="auto"/>
      </w:divBdr>
    </w:div>
    <w:div w:id="1075711238">
      <w:bodyDiv w:val="1"/>
      <w:marLeft w:val="0"/>
      <w:marRight w:val="0"/>
      <w:marTop w:val="0"/>
      <w:marBottom w:val="0"/>
      <w:divBdr>
        <w:top w:val="none" w:sz="0" w:space="0" w:color="auto"/>
        <w:left w:val="none" w:sz="0" w:space="0" w:color="auto"/>
        <w:bottom w:val="none" w:sz="0" w:space="0" w:color="auto"/>
        <w:right w:val="none" w:sz="0" w:space="0" w:color="auto"/>
      </w:divBdr>
    </w:div>
    <w:div w:id="1075786211">
      <w:bodyDiv w:val="1"/>
      <w:marLeft w:val="0"/>
      <w:marRight w:val="0"/>
      <w:marTop w:val="0"/>
      <w:marBottom w:val="0"/>
      <w:divBdr>
        <w:top w:val="none" w:sz="0" w:space="0" w:color="auto"/>
        <w:left w:val="none" w:sz="0" w:space="0" w:color="auto"/>
        <w:bottom w:val="none" w:sz="0" w:space="0" w:color="auto"/>
        <w:right w:val="none" w:sz="0" w:space="0" w:color="auto"/>
      </w:divBdr>
    </w:div>
    <w:div w:id="1075787634">
      <w:bodyDiv w:val="1"/>
      <w:marLeft w:val="0"/>
      <w:marRight w:val="0"/>
      <w:marTop w:val="0"/>
      <w:marBottom w:val="0"/>
      <w:divBdr>
        <w:top w:val="none" w:sz="0" w:space="0" w:color="auto"/>
        <w:left w:val="none" w:sz="0" w:space="0" w:color="auto"/>
        <w:bottom w:val="none" w:sz="0" w:space="0" w:color="auto"/>
        <w:right w:val="none" w:sz="0" w:space="0" w:color="auto"/>
      </w:divBdr>
    </w:div>
    <w:div w:id="1075858013">
      <w:bodyDiv w:val="1"/>
      <w:marLeft w:val="0"/>
      <w:marRight w:val="0"/>
      <w:marTop w:val="0"/>
      <w:marBottom w:val="0"/>
      <w:divBdr>
        <w:top w:val="none" w:sz="0" w:space="0" w:color="auto"/>
        <w:left w:val="none" w:sz="0" w:space="0" w:color="auto"/>
        <w:bottom w:val="none" w:sz="0" w:space="0" w:color="auto"/>
        <w:right w:val="none" w:sz="0" w:space="0" w:color="auto"/>
      </w:divBdr>
    </w:div>
    <w:div w:id="1075932840">
      <w:bodyDiv w:val="1"/>
      <w:marLeft w:val="0"/>
      <w:marRight w:val="0"/>
      <w:marTop w:val="0"/>
      <w:marBottom w:val="0"/>
      <w:divBdr>
        <w:top w:val="none" w:sz="0" w:space="0" w:color="auto"/>
        <w:left w:val="none" w:sz="0" w:space="0" w:color="auto"/>
        <w:bottom w:val="none" w:sz="0" w:space="0" w:color="auto"/>
        <w:right w:val="none" w:sz="0" w:space="0" w:color="auto"/>
      </w:divBdr>
    </w:div>
    <w:div w:id="1075973251">
      <w:bodyDiv w:val="1"/>
      <w:marLeft w:val="0"/>
      <w:marRight w:val="0"/>
      <w:marTop w:val="0"/>
      <w:marBottom w:val="0"/>
      <w:divBdr>
        <w:top w:val="none" w:sz="0" w:space="0" w:color="auto"/>
        <w:left w:val="none" w:sz="0" w:space="0" w:color="auto"/>
        <w:bottom w:val="none" w:sz="0" w:space="0" w:color="auto"/>
        <w:right w:val="none" w:sz="0" w:space="0" w:color="auto"/>
      </w:divBdr>
    </w:div>
    <w:div w:id="1076049320">
      <w:bodyDiv w:val="1"/>
      <w:marLeft w:val="0"/>
      <w:marRight w:val="0"/>
      <w:marTop w:val="0"/>
      <w:marBottom w:val="0"/>
      <w:divBdr>
        <w:top w:val="none" w:sz="0" w:space="0" w:color="auto"/>
        <w:left w:val="none" w:sz="0" w:space="0" w:color="auto"/>
        <w:bottom w:val="none" w:sz="0" w:space="0" w:color="auto"/>
        <w:right w:val="none" w:sz="0" w:space="0" w:color="auto"/>
      </w:divBdr>
    </w:div>
    <w:div w:id="1076166839">
      <w:bodyDiv w:val="1"/>
      <w:marLeft w:val="0"/>
      <w:marRight w:val="0"/>
      <w:marTop w:val="0"/>
      <w:marBottom w:val="0"/>
      <w:divBdr>
        <w:top w:val="none" w:sz="0" w:space="0" w:color="auto"/>
        <w:left w:val="none" w:sz="0" w:space="0" w:color="auto"/>
        <w:bottom w:val="none" w:sz="0" w:space="0" w:color="auto"/>
        <w:right w:val="none" w:sz="0" w:space="0" w:color="auto"/>
      </w:divBdr>
    </w:div>
    <w:div w:id="1076322026">
      <w:bodyDiv w:val="1"/>
      <w:marLeft w:val="0"/>
      <w:marRight w:val="0"/>
      <w:marTop w:val="0"/>
      <w:marBottom w:val="0"/>
      <w:divBdr>
        <w:top w:val="none" w:sz="0" w:space="0" w:color="auto"/>
        <w:left w:val="none" w:sz="0" w:space="0" w:color="auto"/>
        <w:bottom w:val="none" w:sz="0" w:space="0" w:color="auto"/>
        <w:right w:val="none" w:sz="0" w:space="0" w:color="auto"/>
      </w:divBdr>
    </w:div>
    <w:div w:id="1076363313">
      <w:bodyDiv w:val="1"/>
      <w:marLeft w:val="0"/>
      <w:marRight w:val="0"/>
      <w:marTop w:val="0"/>
      <w:marBottom w:val="0"/>
      <w:divBdr>
        <w:top w:val="none" w:sz="0" w:space="0" w:color="auto"/>
        <w:left w:val="none" w:sz="0" w:space="0" w:color="auto"/>
        <w:bottom w:val="none" w:sz="0" w:space="0" w:color="auto"/>
        <w:right w:val="none" w:sz="0" w:space="0" w:color="auto"/>
      </w:divBdr>
    </w:div>
    <w:div w:id="1076392893">
      <w:bodyDiv w:val="1"/>
      <w:marLeft w:val="0"/>
      <w:marRight w:val="0"/>
      <w:marTop w:val="0"/>
      <w:marBottom w:val="0"/>
      <w:divBdr>
        <w:top w:val="none" w:sz="0" w:space="0" w:color="auto"/>
        <w:left w:val="none" w:sz="0" w:space="0" w:color="auto"/>
        <w:bottom w:val="none" w:sz="0" w:space="0" w:color="auto"/>
        <w:right w:val="none" w:sz="0" w:space="0" w:color="auto"/>
      </w:divBdr>
    </w:div>
    <w:div w:id="1076518749">
      <w:bodyDiv w:val="1"/>
      <w:marLeft w:val="0"/>
      <w:marRight w:val="0"/>
      <w:marTop w:val="0"/>
      <w:marBottom w:val="0"/>
      <w:divBdr>
        <w:top w:val="none" w:sz="0" w:space="0" w:color="auto"/>
        <w:left w:val="none" w:sz="0" w:space="0" w:color="auto"/>
        <w:bottom w:val="none" w:sz="0" w:space="0" w:color="auto"/>
        <w:right w:val="none" w:sz="0" w:space="0" w:color="auto"/>
      </w:divBdr>
    </w:div>
    <w:div w:id="1076585987">
      <w:bodyDiv w:val="1"/>
      <w:marLeft w:val="0"/>
      <w:marRight w:val="0"/>
      <w:marTop w:val="0"/>
      <w:marBottom w:val="0"/>
      <w:divBdr>
        <w:top w:val="none" w:sz="0" w:space="0" w:color="auto"/>
        <w:left w:val="none" w:sz="0" w:space="0" w:color="auto"/>
        <w:bottom w:val="none" w:sz="0" w:space="0" w:color="auto"/>
        <w:right w:val="none" w:sz="0" w:space="0" w:color="auto"/>
      </w:divBdr>
    </w:div>
    <w:div w:id="1076589247">
      <w:bodyDiv w:val="1"/>
      <w:marLeft w:val="0"/>
      <w:marRight w:val="0"/>
      <w:marTop w:val="0"/>
      <w:marBottom w:val="0"/>
      <w:divBdr>
        <w:top w:val="none" w:sz="0" w:space="0" w:color="auto"/>
        <w:left w:val="none" w:sz="0" w:space="0" w:color="auto"/>
        <w:bottom w:val="none" w:sz="0" w:space="0" w:color="auto"/>
        <w:right w:val="none" w:sz="0" w:space="0" w:color="auto"/>
      </w:divBdr>
    </w:div>
    <w:div w:id="1076635159">
      <w:bodyDiv w:val="1"/>
      <w:marLeft w:val="0"/>
      <w:marRight w:val="0"/>
      <w:marTop w:val="0"/>
      <w:marBottom w:val="0"/>
      <w:divBdr>
        <w:top w:val="none" w:sz="0" w:space="0" w:color="auto"/>
        <w:left w:val="none" w:sz="0" w:space="0" w:color="auto"/>
        <w:bottom w:val="none" w:sz="0" w:space="0" w:color="auto"/>
        <w:right w:val="none" w:sz="0" w:space="0" w:color="auto"/>
      </w:divBdr>
    </w:div>
    <w:div w:id="1076899737">
      <w:bodyDiv w:val="1"/>
      <w:marLeft w:val="0"/>
      <w:marRight w:val="0"/>
      <w:marTop w:val="0"/>
      <w:marBottom w:val="0"/>
      <w:divBdr>
        <w:top w:val="none" w:sz="0" w:space="0" w:color="auto"/>
        <w:left w:val="none" w:sz="0" w:space="0" w:color="auto"/>
        <w:bottom w:val="none" w:sz="0" w:space="0" w:color="auto"/>
        <w:right w:val="none" w:sz="0" w:space="0" w:color="auto"/>
      </w:divBdr>
    </w:div>
    <w:div w:id="1077167126">
      <w:bodyDiv w:val="1"/>
      <w:marLeft w:val="0"/>
      <w:marRight w:val="0"/>
      <w:marTop w:val="0"/>
      <w:marBottom w:val="0"/>
      <w:divBdr>
        <w:top w:val="none" w:sz="0" w:space="0" w:color="auto"/>
        <w:left w:val="none" w:sz="0" w:space="0" w:color="auto"/>
        <w:bottom w:val="none" w:sz="0" w:space="0" w:color="auto"/>
        <w:right w:val="none" w:sz="0" w:space="0" w:color="auto"/>
      </w:divBdr>
    </w:div>
    <w:div w:id="1077169984">
      <w:bodyDiv w:val="1"/>
      <w:marLeft w:val="0"/>
      <w:marRight w:val="0"/>
      <w:marTop w:val="0"/>
      <w:marBottom w:val="0"/>
      <w:divBdr>
        <w:top w:val="none" w:sz="0" w:space="0" w:color="auto"/>
        <w:left w:val="none" w:sz="0" w:space="0" w:color="auto"/>
        <w:bottom w:val="none" w:sz="0" w:space="0" w:color="auto"/>
        <w:right w:val="none" w:sz="0" w:space="0" w:color="auto"/>
      </w:divBdr>
    </w:div>
    <w:div w:id="1077247496">
      <w:bodyDiv w:val="1"/>
      <w:marLeft w:val="0"/>
      <w:marRight w:val="0"/>
      <w:marTop w:val="0"/>
      <w:marBottom w:val="0"/>
      <w:divBdr>
        <w:top w:val="none" w:sz="0" w:space="0" w:color="auto"/>
        <w:left w:val="none" w:sz="0" w:space="0" w:color="auto"/>
        <w:bottom w:val="none" w:sz="0" w:space="0" w:color="auto"/>
        <w:right w:val="none" w:sz="0" w:space="0" w:color="auto"/>
      </w:divBdr>
    </w:div>
    <w:div w:id="1077290248">
      <w:bodyDiv w:val="1"/>
      <w:marLeft w:val="0"/>
      <w:marRight w:val="0"/>
      <w:marTop w:val="0"/>
      <w:marBottom w:val="0"/>
      <w:divBdr>
        <w:top w:val="none" w:sz="0" w:space="0" w:color="auto"/>
        <w:left w:val="none" w:sz="0" w:space="0" w:color="auto"/>
        <w:bottom w:val="none" w:sz="0" w:space="0" w:color="auto"/>
        <w:right w:val="none" w:sz="0" w:space="0" w:color="auto"/>
      </w:divBdr>
    </w:div>
    <w:div w:id="1077362119">
      <w:bodyDiv w:val="1"/>
      <w:marLeft w:val="0"/>
      <w:marRight w:val="0"/>
      <w:marTop w:val="0"/>
      <w:marBottom w:val="0"/>
      <w:divBdr>
        <w:top w:val="none" w:sz="0" w:space="0" w:color="auto"/>
        <w:left w:val="none" w:sz="0" w:space="0" w:color="auto"/>
        <w:bottom w:val="none" w:sz="0" w:space="0" w:color="auto"/>
        <w:right w:val="none" w:sz="0" w:space="0" w:color="auto"/>
      </w:divBdr>
    </w:div>
    <w:div w:id="1077436454">
      <w:bodyDiv w:val="1"/>
      <w:marLeft w:val="0"/>
      <w:marRight w:val="0"/>
      <w:marTop w:val="0"/>
      <w:marBottom w:val="0"/>
      <w:divBdr>
        <w:top w:val="none" w:sz="0" w:space="0" w:color="auto"/>
        <w:left w:val="none" w:sz="0" w:space="0" w:color="auto"/>
        <w:bottom w:val="none" w:sz="0" w:space="0" w:color="auto"/>
        <w:right w:val="none" w:sz="0" w:space="0" w:color="auto"/>
      </w:divBdr>
    </w:div>
    <w:div w:id="1077439500">
      <w:bodyDiv w:val="1"/>
      <w:marLeft w:val="0"/>
      <w:marRight w:val="0"/>
      <w:marTop w:val="0"/>
      <w:marBottom w:val="0"/>
      <w:divBdr>
        <w:top w:val="none" w:sz="0" w:space="0" w:color="auto"/>
        <w:left w:val="none" w:sz="0" w:space="0" w:color="auto"/>
        <w:bottom w:val="none" w:sz="0" w:space="0" w:color="auto"/>
        <w:right w:val="none" w:sz="0" w:space="0" w:color="auto"/>
      </w:divBdr>
    </w:div>
    <w:div w:id="1077551617">
      <w:bodyDiv w:val="1"/>
      <w:marLeft w:val="0"/>
      <w:marRight w:val="0"/>
      <w:marTop w:val="0"/>
      <w:marBottom w:val="0"/>
      <w:divBdr>
        <w:top w:val="none" w:sz="0" w:space="0" w:color="auto"/>
        <w:left w:val="none" w:sz="0" w:space="0" w:color="auto"/>
        <w:bottom w:val="none" w:sz="0" w:space="0" w:color="auto"/>
        <w:right w:val="none" w:sz="0" w:space="0" w:color="auto"/>
      </w:divBdr>
    </w:div>
    <w:div w:id="1077746692">
      <w:bodyDiv w:val="1"/>
      <w:marLeft w:val="0"/>
      <w:marRight w:val="0"/>
      <w:marTop w:val="0"/>
      <w:marBottom w:val="0"/>
      <w:divBdr>
        <w:top w:val="none" w:sz="0" w:space="0" w:color="auto"/>
        <w:left w:val="none" w:sz="0" w:space="0" w:color="auto"/>
        <w:bottom w:val="none" w:sz="0" w:space="0" w:color="auto"/>
        <w:right w:val="none" w:sz="0" w:space="0" w:color="auto"/>
      </w:divBdr>
    </w:div>
    <w:div w:id="1077898336">
      <w:bodyDiv w:val="1"/>
      <w:marLeft w:val="0"/>
      <w:marRight w:val="0"/>
      <w:marTop w:val="0"/>
      <w:marBottom w:val="0"/>
      <w:divBdr>
        <w:top w:val="none" w:sz="0" w:space="0" w:color="auto"/>
        <w:left w:val="none" w:sz="0" w:space="0" w:color="auto"/>
        <w:bottom w:val="none" w:sz="0" w:space="0" w:color="auto"/>
        <w:right w:val="none" w:sz="0" w:space="0" w:color="auto"/>
      </w:divBdr>
    </w:div>
    <w:div w:id="1077900032">
      <w:bodyDiv w:val="1"/>
      <w:marLeft w:val="0"/>
      <w:marRight w:val="0"/>
      <w:marTop w:val="0"/>
      <w:marBottom w:val="0"/>
      <w:divBdr>
        <w:top w:val="none" w:sz="0" w:space="0" w:color="auto"/>
        <w:left w:val="none" w:sz="0" w:space="0" w:color="auto"/>
        <w:bottom w:val="none" w:sz="0" w:space="0" w:color="auto"/>
        <w:right w:val="none" w:sz="0" w:space="0" w:color="auto"/>
      </w:divBdr>
    </w:div>
    <w:div w:id="1077944474">
      <w:bodyDiv w:val="1"/>
      <w:marLeft w:val="0"/>
      <w:marRight w:val="0"/>
      <w:marTop w:val="0"/>
      <w:marBottom w:val="0"/>
      <w:divBdr>
        <w:top w:val="none" w:sz="0" w:space="0" w:color="auto"/>
        <w:left w:val="none" w:sz="0" w:space="0" w:color="auto"/>
        <w:bottom w:val="none" w:sz="0" w:space="0" w:color="auto"/>
        <w:right w:val="none" w:sz="0" w:space="0" w:color="auto"/>
      </w:divBdr>
    </w:div>
    <w:div w:id="1077947317">
      <w:bodyDiv w:val="1"/>
      <w:marLeft w:val="0"/>
      <w:marRight w:val="0"/>
      <w:marTop w:val="0"/>
      <w:marBottom w:val="0"/>
      <w:divBdr>
        <w:top w:val="none" w:sz="0" w:space="0" w:color="auto"/>
        <w:left w:val="none" w:sz="0" w:space="0" w:color="auto"/>
        <w:bottom w:val="none" w:sz="0" w:space="0" w:color="auto"/>
        <w:right w:val="none" w:sz="0" w:space="0" w:color="auto"/>
      </w:divBdr>
    </w:div>
    <w:div w:id="1078016165">
      <w:bodyDiv w:val="1"/>
      <w:marLeft w:val="0"/>
      <w:marRight w:val="0"/>
      <w:marTop w:val="0"/>
      <w:marBottom w:val="0"/>
      <w:divBdr>
        <w:top w:val="none" w:sz="0" w:space="0" w:color="auto"/>
        <w:left w:val="none" w:sz="0" w:space="0" w:color="auto"/>
        <w:bottom w:val="none" w:sz="0" w:space="0" w:color="auto"/>
        <w:right w:val="none" w:sz="0" w:space="0" w:color="auto"/>
      </w:divBdr>
    </w:div>
    <w:div w:id="1078408501">
      <w:bodyDiv w:val="1"/>
      <w:marLeft w:val="0"/>
      <w:marRight w:val="0"/>
      <w:marTop w:val="0"/>
      <w:marBottom w:val="0"/>
      <w:divBdr>
        <w:top w:val="none" w:sz="0" w:space="0" w:color="auto"/>
        <w:left w:val="none" w:sz="0" w:space="0" w:color="auto"/>
        <w:bottom w:val="none" w:sz="0" w:space="0" w:color="auto"/>
        <w:right w:val="none" w:sz="0" w:space="0" w:color="auto"/>
      </w:divBdr>
    </w:div>
    <w:div w:id="1079205706">
      <w:bodyDiv w:val="1"/>
      <w:marLeft w:val="0"/>
      <w:marRight w:val="0"/>
      <w:marTop w:val="0"/>
      <w:marBottom w:val="0"/>
      <w:divBdr>
        <w:top w:val="none" w:sz="0" w:space="0" w:color="auto"/>
        <w:left w:val="none" w:sz="0" w:space="0" w:color="auto"/>
        <w:bottom w:val="none" w:sz="0" w:space="0" w:color="auto"/>
        <w:right w:val="none" w:sz="0" w:space="0" w:color="auto"/>
      </w:divBdr>
    </w:div>
    <w:div w:id="1079327347">
      <w:bodyDiv w:val="1"/>
      <w:marLeft w:val="0"/>
      <w:marRight w:val="0"/>
      <w:marTop w:val="0"/>
      <w:marBottom w:val="0"/>
      <w:divBdr>
        <w:top w:val="none" w:sz="0" w:space="0" w:color="auto"/>
        <w:left w:val="none" w:sz="0" w:space="0" w:color="auto"/>
        <w:bottom w:val="none" w:sz="0" w:space="0" w:color="auto"/>
        <w:right w:val="none" w:sz="0" w:space="0" w:color="auto"/>
      </w:divBdr>
    </w:div>
    <w:div w:id="1079331076">
      <w:bodyDiv w:val="1"/>
      <w:marLeft w:val="0"/>
      <w:marRight w:val="0"/>
      <w:marTop w:val="0"/>
      <w:marBottom w:val="0"/>
      <w:divBdr>
        <w:top w:val="none" w:sz="0" w:space="0" w:color="auto"/>
        <w:left w:val="none" w:sz="0" w:space="0" w:color="auto"/>
        <w:bottom w:val="none" w:sz="0" w:space="0" w:color="auto"/>
        <w:right w:val="none" w:sz="0" w:space="0" w:color="auto"/>
      </w:divBdr>
    </w:div>
    <w:div w:id="1079404116">
      <w:bodyDiv w:val="1"/>
      <w:marLeft w:val="0"/>
      <w:marRight w:val="0"/>
      <w:marTop w:val="0"/>
      <w:marBottom w:val="0"/>
      <w:divBdr>
        <w:top w:val="none" w:sz="0" w:space="0" w:color="auto"/>
        <w:left w:val="none" w:sz="0" w:space="0" w:color="auto"/>
        <w:bottom w:val="none" w:sz="0" w:space="0" w:color="auto"/>
        <w:right w:val="none" w:sz="0" w:space="0" w:color="auto"/>
      </w:divBdr>
    </w:div>
    <w:div w:id="1079718028">
      <w:bodyDiv w:val="1"/>
      <w:marLeft w:val="0"/>
      <w:marRight w:val="0"/>
      <w:marTop w:val="0"/>
      <w:marBottom w:val="0"/>
      <w:divBdr>
        <w:top w:val="none" w:sz="0" w:space="0" w:color="auto"/>
        <w:left w:val="none" w:sz="0" w:space="0" w:color="auto"/>
        <w:bottom w:val="none" w:sz="0" w:space="0" w:color="auto"/>
        <w:right w:val="none" w:sz="0" w:space="0" w:color="auto"/>
      </w:divBdr>
    </w:div>
    <w:div w:id="1079836845">
      <w:bodyDiv w:val="1"/>
      <w:marLeft w:val="0"/>
      <w:marRight w:val="0"/>
      <w:marTop w:val="0"/>
      <w:marBottom w:val="0"/>
      <w:divBdr>
        <w:top w:val="none" w:sz="0" w:space="0" w:color="auto"/>
        <w:left w:val="none" w:sz="0" w:space="0" w:color="auto"/>
        <w:bottom w:val="none" w:sz="0" w:space="0" w:color="auto"/>
        <w:right w:val="none" w:sz="0" w:space="0" w:color="auto"/>
      </w:divBdr>
    </w:div>
    <w:div w:id="1079864321">
      <w:bodyDiv w:val="1"/>
      <w:marLeft w:val="0"/>
      <w:marRight w:val="0"/>
      <w:marTop w:val="0"/>
      <w:marBottom w:val="0"/>
      <w:divBdr>
        <w:top w:val="none" w:sz="0" w:space="0" w:color="auto"/>
        <w:left w:val="none" w:sz="0" w:space="0" w:color="auto"/>
        <w:bottom w:val="none" w:sz="0" w:space="0" w:color="auto"/>
        <w:right w:val="none" w:sz="0" w:space="0" w:color="auto"/>
      </w:divBdr>
    </w:div>
    <w:div w:id="1079905915">
      <w:bodyDiv w:val="1"/>
      <w:marLeft w:val="0"/>
      <w:marRight w:val="0"/>
      <w:marTop w:val="0"/>
      <w:marBottom w:val="0"/>
      <w:divBdr>
        <w:top w:val="none" w:sz="0" w:space="0" w:color="auto"/>
        <w:left w:val="none" w:sz="0" w:space="0" w:color="auto"/>
        <w:bottom w:val="none" w:sz="0" w:space="0" w:color="auto"/>
        <w:right w:val="none" w:sz="0" w:space="0" w:color="auto"/>
      </w:divBdr>
    </w:div>
    <w:div w:id="1079910405">
      <w:bodyDiv w:val="1"/>
      <w:marLeft w:val="0"/>
      <w:marRight w:val="0"/>
      <w:marTop w:val="0"/>
      <w:marBottom w:val="0"/>
      <w:divBdr>
        <w:top w:val="none" w:sz="0" w:space="0" w:color="auto"/>
        <w:left w:val="none" w:sz="0" w:space="0" w:color="auto"/>
        <w:bottom w:val="none" w:sz="0" w:space="0" w:color="auto"/>
        <w:right w:val="none" w:sz="0" w:space="0" w:color="auto"/>
      </w:divBdr>
    </w:div>
    <w:div w:id="1079982455">
      <w:bodyDiv w:val="1"/>
      <w:marLeft w:val="0"/>
      <w:marRight w:val="0"/>
      <w:marTop w:val="0"/>
      <w:marBottom w:val="0"/>
      <w:divBdr>
        <w:top w:val="none" w:sz="0" w:space="0" w:color="auto"/>
        <w:left w:val="none" w:sz="0" w:space="0" w:color="auto"/>
        <w:bottom w:val="none" w:sz="0" w:space="0" w:color="auto"/>
        <w:right w:val="none" w:sz="0" w:space="0" w:color="auto"/>
      </w:divBdr>
    </w:div>
    <w:div w:id="1080178201">
      <w:bodyDiv w:val="1"/>
      <w:marLeft w:val="0"/>
      <w:marRight w:val="0"/>
      <w:marTop w:val="0"/>
      <w:marBottom w:val="0"/>
      <w:divBdr>
        <w:top w:val="none" w:sz="0" w:space="0" w:color="auto"/>
        <w:left w:val="none" w:sz="0" w:space="0" w:color="auto"/>
        <w:bottom w:val="none" w:sz="0" w:space="0" w:color="auto"/>
        <w:right w:val="none" w:sz="0" w:space="0" w:color="auto"/>
      </w:divBdr>
    </w:div>
    <w:div w:id="1080327967">
      <w:bodyDiv w:val="1"/>
      <w:marLeft w:val="0"/>
      <w:marRight w:val="0"/>
      <w:marTop w:val="0"/>
      <w:marBottom w:val="0"/>
      <w:divBdr>
        <w:top w:val="none" w:sz="0" w:space="0" w:color="auto"/>
        <w:left w:val="none" w:sz="0" w:space="0" w:color="auto"/>
        <w:bottom w:val="none" w:sz="0" w:space="0" w:color="auto"/>
        <w:right w:val="none" w:sz="0" w:space="0" w:color="auto"/>
      </w:divBdr>
    </w:div>
    <w:div w:id="1080375008">
      <w:bodyDiv w:val="1"/>
      <w:marLeft w:val="0"/>
      <w:marRight w:val="0"/>
      <w:marTop w:val="0"/>
      <w:marBottom w:val="0"/>
      <w:divBdr>
        <w:top w:val="none" w:sz="0" w:space="0" w:color="auto"/>
        <w:left w:val="none" w:sz="0" w:space="0" w:color="auto"/>
        <w:bottom w:val="none" w:sz="0" w:space="0" w:color="auto"/>
        <w:right w:val="none" w:sz="0" w:space="0" w:color="auto"/>
      </w:divBdr>
    </w:div>
    <w:div w:id="1080565764">
      <w:bodyDiv w:val="1"/>
      <w:marLeft w:val="0"/>
      <w:marRight w:val="0"/>
      <w:marTop w:val="0"/>
      <w:marBottom w:val="0"/>
      <w:divBdr>
        <w:top w:val="none" w:sz="0" w:space="0" w:color="auto"/>
        <w:left w:val="none" w:sz="0" w:space="0" w:color="auto"/>
        <w:bottom w:val="none" w:sz="0" w:space="0" w:color="auto"/>
        <w:right w:val="none" w:sz="0" w:space="0" w:color="auto"/>
      </w:divBdr>
    </w:div>
    <w:div w:id="1080638381">
      <w:bodyDiv w:val="1"/>
      <w:marLeft w:val="0"/>
      <w:marRight w:val="0"/>
      <w:marTop w:val="0"/>
      <w:marBottom w:val="0"/>
      <w:divBdr>
        <w:top w:val="none" w:sz="0" w:space="0" w:color="auto"/>
        <w:left w:val="none" w:sz="0" w:space="0" w:color="auto"/>
        <w:bottom w:val="none" w:sz="0" w:space="0" w:color="auto"/>
        <w:right w:val="none" w:sz="0" w:space="0" w:color="auto"/>
      </w:divBdr>
    </w:div>
    <w:div w:id="1080827487">
      <w:bodyDiv w:val="1"/>
      <w:marLeft w:val="0"/>
      <w:marRight w:val="0"/>
      <w:marTop w:val="0"/>
      <w:marBottom w:val="0"/>
      <w:divBdr>
        <w:top w:val="none" w:sz="0" w:space="0" w:color="auto"/>
        <w:left w:val="none" w:sz="0" w:space="0" w:color="auto"/>
        <w:bottom w:val="none" w:sz="0" w:space="0" w:color="auto"/>
        <w:right w:val="none" w:sz="0" w:space="0" w:color="auto"/>
      </w:divBdr>
    </w:div>
    <w:div w:id="1080906344">
      <w:bodyDiv w:val="1"/>
      <w:marLeft w:val="0"/>
      <w:marRight w:val="0"/>
      <w:marTop w:val="0"/>
      <w:marBottom w:val="0"/>
      <w:divBdr>
        <w:top w:val="none" w:sz="0" w:space="0" w:color="auto"/>
        <w:left w:val="none" w:sz="0" w:space="0" w:color="auto"/>
        <w:bottom w:val="none" w:sz="0" w:space="0" w:color="auto"/>
        <w:right w:val="none" w:sz="0" w:space="0" w:color="auto"/>
      </w:divBdr>
    </w:div>
    <w:div w:id="1080907343">
      <w:bodyDiv w:val="1"/>
      <w:marLeft w:val="0"/>
      <w:marRight w:val="0"/>
      <w:marTop w:val="0"/>
      <w:marBottom w:val="0"/>
      <w:divBdr>
        <w:top w:val="none" w:sz="0" w:space="0" w:color="auto"/>
        <w:left w:val="none" w:sz="0" w:space="0" w:color="auto"/>
        <w:bottom w:val="none" w:sz="0" w:space="0" w:color="auto"/>
        <w:right w:val="none" w:sz="0" w:space="0" w:color="auto"/>
      </w:divBdr>
    </w:div>
    <w:div w:id="1081025348">
      <w:bodyDiv w:val="1"/>
      <w:marLeft w:val="0"/>
      <w:marRight w:val="0"/>
      <w:marTop w:val="0"/>
      <w:marBottom w:val="0"/>
      <w:divBdr>
        <w:top w:val="none" w:sz="0" w:space="0" w:color="auto"/>
        <w:left w:val="none" w:sz="0" w:space="0" w:color="auto"/>
        <w:bottom w:val="none" w:sz="0" w:space="0" w:color="auto"/>
        <w:right w:val="none" w:sz="0" w:space="0" w:color="auto"/>
      </w:divBdr>
    </w:div>
    <w:div w:id="1081218869">
      <w:bodyDiv w:val="1"/>
      <w:marLeft w:val="0"/>
      <w:marRight w:val="0"/>
      <w:marTop w:val="0"/>
      <w:marBottom w:val="0"/>
      <w:divBdr>
        <w:top w:val="none" w:sz="0" w:space="0" w:color="auto"/>
        <w:left w:val="none" w:sz="0" w:space="0" w:color="auto"/>
        <w:bottom w:val="none" w:sz="0" w:space="0" w:color="auto"/>
        <w:right w:val="none" w:sz="0" w:space="0" w:color="auto"/>
      </w:divBdr>
    </w:div>
    <w:div w:id="1081296003">
      <w:bodyDiv w:val="1"/>
      <w:marLeft w:val="0"/>
      <w:marRight w:val="0"/>
      <w:marTop w:val="0"/>
      <w:marBottom w:val="0"/>
      <w:divBdr>
        <w:top w:val="none" w:sz="0" w:space="0" w:color="auto"/>
        <w:left w:val="none" w:sz="0" w:space="0" w:color="auto"/>
        <w:bottom w:val="none" w:sz="0" w:space="0" w:color="auto"/>
        <w:right w:val="none" w:sz="0" w:space="0" w:color="auto"/>
      </w:divBdr>
    </w:div>
    <w:div w:id="1081296972">
      <w:bodyDiv w:val="1"/>
      <w:marLeft w:val="0"/>
      <w:marRight w:val="0"/>
      <w:marTop w:val="0"/>
      <w:marBottom w:val="0"/>
      <w:divBdr>
        <w:top w:val="none" w:sz="0" w:space="0" w:color="auto"/>
        <w:left w:val="none" w:sz="0" w:space="0" w:color="auto"/>
        <w:bottom w:val="none" w:sz="0" w:space="0" w:color="auto"/>
        <w:right w:val="none" w:sz="0" w:space="0" w:color="auto"/>
      </w:divBdr>
    </w:div>
    <w:div w:id="1081365700">
      <w:bodyDiv w:val="1"/>
      <w:marLeft w:val="0"/>
      <w:marRight w:val="0"/>
      <w:marTop w:val="0"/>
      <w:marBottom w:val="0"/>
      <w:divBdr>
        <w:top w:val="none" w:sz="0" w:space="0" w:color="auto"/>
        <w:left w:val="none" w:sz="0" w:space="0" w:color="auto"/>
        <w:bottom w:val="none" w:sz="0" w:space="0" w:color="auto"/>
        <w:right w:val="none" w:sz="0" w:space="0" w:color="auto"/>
      </w:divBdr>
    </w:div>
    <w:div w:id="1081368223">
      <w:bodyDiv w:val="1"/>
      <w:marLeft w:val="0"/>
      <w:marRight w:val="0"/>
      <w:marTop w:val="0"/>
      <w:marBottom w:val="0"/>
      <w:divBdr>
        <w:top w:val="none" w:sz="0" w:space="0" w:color="auto"/>
        <w:left w:val="none" w:sz="0" w:space="0" w:color="auto"/>
        <w:bottom w:val="none" w:sz="0" w:space="0" w:color="auto"/>
        <w:right w:val="none" w:sz="0" w:space="0" w:color="auto"/>
      </w:divBdr>
    </w:div>
    <w:div w:id="1081441102">
      <w:bodyDiv w:val="1"/>
      <w:marLeft w:val="0"/>
      <w:marRight w:val="0"/>
      <w:marTop w:val="0"/>
      <w:marBottom w:val="0"/>
      <w:divBdr>
        <w:top w:val="none" w:sz="0" w:space="0" w:color="auto"/>
        <w:left w:val="none" w:sz="0" w:space="0" w:color="auto"/>
        <w:bottom w:val="none" w:sz="0" w:space="0" w:color="auto"/>
        <w:right w:val="none" w:sz="0" w:space="0" w:color="auto"/>
      </w:divBdr>
    </w:div>
    <w:div w:id="1081488613">
      <w:bodyDiv w:val="1"/>
      <w:marLeft w:val="0"/>
      <w:marRight w:val="0"/>
      <w:marTop w:val="0"/>
      <w:marBottom w:val="0"/>
      <w:divBdr>
        <w:top w:val="none" w:sz="0" w:space="0" w:color="auto"/>
        <w:left w:val="none" w:sz="0" w:space="0" w:color="auto"/>
        <w:bottom w:val="none" w:sz="0" w:space="0" w:color="auto"/>
        <w:right w:val="none" w:sz="0" w:space="0" w:color="auto"/>
      </w:divBdr>
    </w:div>
    <w:div w:id="1081559782">
      <w:bodyDiv w:val="1"/>
      <w:marLeft w:val="0"/>
      <w:marRight w:val="0"/>
      <w:marTop w:val="0"/>
      <w:marBottom w:val="0"/>
      <w:divBdr>
        <w:top w:val="none" w:sz="0" w:space="0" w:color="auto"/>
        <w:left w:val="none" w:sz="0" w:space="0" w:color="auto"/>
        <w:bottom w:val="none" w:sz="0" w:space="0" w:color="auto"/>
        <w:right w:val="none" w:sz="0" w:space="0" w:color="auto"/>
      </w:divBdr>
    </w:div>
    <w:div w:id="1081562222">
      <w:bodyDiv w:val="1"/>
      <w:marLeft w:val="0"/>
      <w:marRight w:val="0"/>
      <w:marTop w:val="0"/>
      <w:marBottom w:val="0"/>
      <w:divBdr>
        <w:top w:val="none" w:sz="0" w:space="0" w:color="auto"/>
        <w:left w:val="none" w:sz="0" w:space="0" w:color="auto"/>
        <w:bottom w:val="none" w:sz="0" w:space="0" w:color="auto"/>
        <w:right w:val="none" w:sz="0" w:space="0" w:color="auto"/>
      </w:divBdr>
    </w:div>
    <w:div w:id="1081566287">
      <w:bodyDiv w:val="1"/>
      <w:marLeft w:val="0"/>
      <w:marRight w:val="0"/>
      <w:marTop w:val="0"/>
      <w:marBottom w:val="0"/>
      <w:divBdr>
        <w:top w:val="none" w:sz="0" w:space="0" w:color="auto"/>
        <w:left w:val="none" w:sz="0" w:space="0" w:color="auto"/>
        <w:bottom w:val="none" w:sz="0" w:space="0" w:color="auto"/>
        <w:right w:val="none" w:sz="0" w:space="0" w:color="auto"/>
      </w:divBdr>
    </w:div>
    <w:div w:id="1081638676">
      <w:bodyDiv w:val="1"/>
      <w:marLeft w:val="0"/>
      <w:marRight w:val="0"/>
      <w:marTop w:val="0"/>
      <w:marBottom w:val="0"/>
      <w:divBdr>
        <w:top w:val="none" w:sz="0" w:space="0" w:color="auto"/>
        <w:left w:val="none" w:sz="0" w:space="0" w:color="auto"/>
        <w:bottom w:val="none" w:sz="0" w:space="0" w:color="auto"/>
        <w:right w:val="none" w:sz="0" w:space="0" w:color="auto"/>
      </w:divBdr>
    </w:div>
    <w:div w:id="1081759120">
      <w:bodyDiv w:val="1"/>
      <w:marLeft w:val="0"/>
      <w:marRight w:val="0"/>
      <w:marTop w:val="0"/>
      <w:marBottom w:val="0"/>
      <w:divBdr>
        <w:top w:val="none" w:sz="0" w:space="0" w:color="auto"/>
        <w:left w:val="none" w:sz="0" w:space="0" w:color="auto"/>
        <w:bottom w:val="none" w:sz="0" w:space="0" w:color="auto"/>
        <w:right w:val="none" w:sz="0" w:space="0" w:color="auto"/>
      </w:divBdr>
    </w:div>
    <w:div w:id="1081826698">
      <w:bodyDiv w:val="1"/>
      <w:marLeft w:val="0"/>
      <w:marRight w:val="0"/>
      <w:marTop w:val="0"/>
      <w:marBottom w:val="0"/>
      <w:divBdr>
        <w:top w:val="none" w:sz="0" w:space="0" w:color="auto"/>
        <w:left w:val="none" w:sz="0" w:space="0" w:color="auto"/>
        <w:bottom w:val="none" w:sz="0" w:space="0" w:color="auto"/>
        <w:right w:val="none" w:sz="0" w:space="0" w:color="auto"/>
      </w:divBdr>
    </w:div>
    <w:div w:id="1081945582">
      <w:bodyDiv w:val="1"/>
      <w:marLeft w:val="0"/>
      <w:marRight w:val="0"/>
      <w:marTop w:val="0"/>
      <w:marBottom w:val="0"/>
      <w:divBdr>
        <w:top w:val="none" w:sz="0" w:space="0" w:color="auto"/>
        <w:left w:val="none" w:sz="0" w:space="0" w:color="auto"/>
        <w:bottom w:val="none" w:sz="0" w:space="0" w:color="auto"/>
        <w:right w:val="none" w:sz="0" w:space="0" w:color="auto"/>
      </w:divBdr>
    </w:div>
    <w:div w:id="1082026592">
      <w:bodyDiv w:val="1"/>
      <w:marLeft w:val="0"/>
      <w:marRight w:val="0"/>
      <w:marTop w:val="0"/>
      <w:marBottom w:val="0"/>
      <w:divBdr>
        <w:top w:val="none" w:sz="0" w:space="0" w:color="auto"/>
        <w:left w:val="none" w:sz="0" w:space="0" w:color="auto"/>
        <w:bottom w:val="none" w:sz="0" w:space="0" w:color="auto"/>
        <w:right w:val="none" w:sz="0" w:space="0" w:color="auto"/>
      </w:divBdr>
    </w:div>
    <w:div w:id="1082029385">
      <w:bodyDiv w:val="1"/>
      <w:marLeft w:val="0"/>
      <w:marRight w:val="0"/>
      <w:marTop w:val="0"/>
      <w:marBottom w:val="0"/>
      <w:divBdr>
        <w:top w:val="none" w:sz="0" w:space="0" w:color="auto"/>
        <w:left w:val="none" w:sz="0" w:space="0" w:color="auto"/>
        <w:bottom w:val="none" w:sz="0" w:space="0" w:color="auto"/>
        <w:right w:val="none" w:sz="0" w:space="0" w:color="auto"/>
      </w:divBdr>
    </w:div>
    <w:div w:id="1082068394">
      <w:bodyDiv w:val="1"/>
      <w:marLeft w:val="0"/>
      <w:marRight w:val="0"/>
      <w:marTop w:val="0"/>
      <w:marBottom w:val="0"/>
      <w:divBdr>
        <w:top w:val="none" w:sz="0" w:space="0" w:color="auto"/>
        <w:left w:val="none" w:sz="0" w:space="0" w:color="auto"/>
        <w:bottom w:val="none" w:sz="0" w:space="0" w:color="auto"/>
        <w:right w:val="none" w:sz="0" w:space="0" w:color="auto"/>
      </w:divBdr>
    </w:div>
    <w:div w:id="1082070209">
      <w:bodyDiv w:val="1"/>
      <w:marLeft w:val="0"/>
      <w:marRight w:val="0"/>
      <w:marTop w:val="0"/>
      <w:marBottom w:val="0"/>
      <w:divBdr>
        <w:top w:val="none" w:sz="0" w:space="0" w:color="auto"/>
        <w:left w:val="none" w:sz="0" w:space="0" w:color="auto"/>
        <w:bottom w:val="none" w:sz="0" w:space="0" w:color="auto"/>
        <w:right w:val="none" w:sz="0" w:space="0" w:color="auto"/>
      </w:divBdr>
    </w:div>
    <w:div w:id="1082138767">
      <w:bodyDiv w:val="1"/>
      <w:marLeft w:val="0"/>
      <w:marRight w:val="0"/>
      <w:marTop w:val="0"/>
      <w:marBottom w:val="0"/>
      <w:divBdr>
        <w:top w:val="none" w:sz="0" w:space="0" w:color="auto"/>
        <w:left w:val="none" w:sz="0" w:space="0" w:color="auto"/>
        <w:bottom w:val="none" w:sz="0" w:space="0" w:color="auto"/>
        <w:right w:val="none" w:sz="0" w:space="0" w:color="auto"/>
      </w:divBdr>
    </w:div>
    <w:div w:id="1082217492">
      <w:bodyDiv w:val="1"/>
      <w:marLeft w:val="0"/>
      <w:marRight w:val="0"/>
      <w:marTop w:val="0"/>
      <w:marBottom w:val="0"/>
      <w:divBdr>
        <w:top w:val="none" w:sz="0" w:space="0" w:color="auto"/>
        <w:left w:val="none" w:sz="0" w:space="0" w:color="auto"/>
        <w:bottom w:val="none" w:sz="0" w:space="0" w:color="auto"/>
        <w:right w:val="none" w:sz="0" w:space="0" w:color="auto"/>
      </w:divBdr>
    </w:div>
    <w:div w:id="1082262275">
      <w:bodyDiv w:val="1"/>
      <w:marLeft w:val="0"/>
      <w:marRight w:val="0"/>
      <w:marTop w:val="0"/>
      <w:marBottom w:val="0"/>
      <w:divBdr>
        <w:top w:val="none" w:sz="0" w:space="0" w:color="auto"/>
        <w:left w:val="none" w:sz="0" w:space="0" w:color="auto"/>
        <w:bottom w:val="none" w:sz="0" w:space="0" w:color="auto"/>
        <w:right w:val="none" w:sz="0" w:space="0" w:color="auto"/>
      </w:divBdr>
    </w:div>
    <w:div w:id="1082337109">
      <w:bodyDiv w:val="1"/>
      <w:marLeft w:val="0"/>
      <w:marRight w:val="0"/>
      <w:marTop w:val="0"/>
      <w:marBottom w:val="0"/>
      <w:divBdr>
        <w:top w:val="none" w:sz="0" w:space="0" w:color="auto"/>
        <w:left w:val="none" w:sz="0" w:space="0" w:color="auto"/>
        <w:bottom w:val="none" w:sz="0" w:space="0" w:color="auto"/>
        <w:right w:val="none" w:sz="0" w:space="0" w:color="auto"/>
      </w:divBdr>
    </w:div>
    <w:div w:id="1082410542">
      <w:bodyDiv w:val="1"/>
      <w:marLeft w:val="0"/>
      <w:marRight w:val="0"/>
      <w:marTop w:val="0"/>
      <w:marBottom w:val="0"/>
      <w:divBdr>
        <w:top w:val="none" w:sz="0" w:space="0" w:color="auto"/>
        <w:left w:val="none" w:sz="0" w:space="0" w:color="auto"/>
        <w:bottom w:val="none" w:sz="0" w:space="0" w:color="auto"/>
        <w:right w:val="none" w:sz="0" w:space="0" w:color="auto"/>
      </w:divBdr>
    </w:div>
    <w:div w:id="1082529837">
      <w:bodyDiv w:val="1"/>
      <w:marLeft w:val="0"/>
      <w:marRight w:val="0"/>
      <w:marTop w:val="0"/>
      <w:marBottom w:val="0"/>
      <w:divBdr>
        <w:top w:val="none" w:sz="0" w:space="0" w:color="auto"/>
        <w:left w:val="none" w:sz="0" w:space="0" w:color="auto"/>
        <w:bottom w:val="none" w:sz="0" w:space="0" w:color="auto"/>
        <w:right w:val="none" w:sz="0" w:space="0" w:color="auto"/>
      </w:divBdr>
    </w:div>
    <w:div w:id="1082726714">
      <w:bodyDiv w:val="1"/>
      <w:marLeft w:val="0"/>
      <w:marRight w:val="0"/>
      <w:marTop w:val="0"/>
      <w:marBottom w:val="0"/>
      <w:divBdr>
        <w:top w:val="none" w:sz="0" w:space="0" w:color="auto"/>
        <w:left w:val="none" w:sz="0" w:space="0" w:color="auto"/>
        <w:bottom w:val="none" w:sz="0" w:space="0" w:color="auto"/>
        <w:right w:val="none" w:sz="0" w:space="0" w:color="auto"/>
      </w:divBdr>
    </w:div>
    <w:div w:id="1082797233">
      <w:bodyDiv w:val="1"/>
      <w:marLeft w:val="0"/>
      <w:marRight w:val="0"/>
      <w:marTop w:val="0"/>
      <w:marBottom w:val="0"/>
      <w:divBdr>
        <w:top w:val="none" w:sz="0" w:space="0" w:color="auto"/>
        <w:left w:val="none" w:sz="0" w:space="0" w:color="auto"/>
        <w:bottom w:val="none" w:sz="0" w:space="0" w:color="auto"/>
        <w:right w:val="none" w:sz="0" w:space="0" w:color="auto"/>
      </w:divBdr>
    </w:div>
    <w:div w:id="1082798495">
      <w:bodyDiv w:val="1"/>
      <w:marLeft w:val="0"/>
      <w:marRight w:val="0"/>
      <w:marTop w:val="0"/>
      <w:marBottom w:val="0"/>
      <w:divBdr>
        <w:top w:val="none" w:sz="0" w:space="0" w:color="auto"/>
        <w:left w:val="none" w:sz="0" w:space="0" w:color="auto"/>
        <w:bottom w:val="none" w:sz="0" w:space="0" w:color="auto"/>
        <w:right w:val="none" w:sz="0" w:space="0" w:color="auto"/>
      </w:divBdr>
    </w:div>
    <w:div w:id="1082994147">
      <w:bodyDiv w:val="1"/>
      <w:marLeft w:val="0"/>
      <w:marRight w:val="0"/>
      <w:marTop w:val="0"/>
      <w:marBottom w:val="0"/>
      <w:divBdr>
        <w:top w:val="none" w:sz="0" w:space="0" w:color="auto"/>
        <w:left w:val="none" w:sz="0" w:space="0" w:color="auto"/>
        <w:bottom w:val="none" w:sz="0" w:space="0" w:color="auto"/>
        <w:right w:val="none" w:sz="0" w:space="0" w:color="auto"/>
      </w:divBdr>
    </w:div>
    <w:div w:id="1083066181">
      <w:bodyDiv w:val="1"/>
      <w:marLeft w:val="0"/>
      <w:marRight w:val="0"/>
      <w:marTop w:val="0"/>
      <w:marBottom w:val="0"/>
      <w:divBdr>
        <w:top w:val="none" w:sz="0" w:space="0" w:color="auto"/>
        <w:left w:val="none" w:sz="0" w:space="0" w:color="auto"/>
        <w:bottom w:val="none" w:sz="0" w:space="0" w:color="auto"/>
        <w:right w:val="none" w:sz="0" w:space="0" w:color="auto"/>
      </w:divBdr>
    </w:div>
    <w:div w:id="1083071094">
      <w:bodyDiv w:val="1"/>
      <w:marLeft w:val="0"/>
      <w:marRight w:val="0"/>
      <w:marTop w:val="0"/>
      <w:marBottom w:val="0"/>
      <w:divBdr>
        <w:top w:val="none" w:sz="0" w:space="0" w:color="auto"/>
        <w:left w:val="none" w:sz="0" w:space="0" w:color="auto"/>
        <w:bottom w:val="none" w:sz="0" w:space="0" w:color="auto"/>
        <w:right w:val="none" w:sz="0" w:space="0" w:color="auto"/>
      </w:divBdr>
    </w:div>
    <w:div w:id="1083139713">
      <w:bodyDiv w:val="1"/>
      <w:marLeft w:val="0"/>
      <w:marRight w:val="0"/>
      <w:marTop w:val="0"/>
      <w:marBottom w:val="0"/>
      <w:divBdr>
        <w:top w:val="none" w:sz="0" w:space="0" w:color="auto"/>
        <w:left w:val="none" w:sz="0" w:space="0" w:color="auto"/>
        <w:bottom w:val="none" w:sz="0" w:space="0" w:color="auto"/>
        <w:right w:val="none" w:sz="0" w:space="0" w:color="auto"/>
      </w:divBdr>
    </w:div>
    <w:div w:id="1083141184">
      <w:bodyDiv w:val="1"/>
      <w:marLeft w:val="0"/>
      <w:marRight w:val="0"/>
      <w:marTop w:val="0"/>
      <w:marBottom w:val="0"/>
      <w:divBdr>
        <w:top w:val="none" w:sz="0" w:space="0" w:color="auto"/>
        <w:left w:val="none" w:sz="0" w:space="0" w:color="auto"/>
        <w:bottom w:val="none" w:sz="0" w:space="0" w:color="auto"/>
        <w:right w:val="none" w:sz="0" w:space="0" w:color="auto"/>
      </w:divBdr>
    </w:div>
    <w:div w:id="1083454728">
      <w:bodyDiv w:val="1"/>
      <w:marLeft w:val="0"/>
      <w:marRight w:val="0"/>
      <w:marTop w:val="0"/>
      <w:marBottom w:val="0"/>
      <w:divBdr>
        <w:top w:val="none" w:sz="0" w:space="0" w:color="auto"/>
        <w:left w:val="none" w:sz="0" w:space="0" w:color="auto"/>
        <w:bottom w:val="none" w:sz="0" w:space="0" w:color="auto"/>
        <w:right w:val="none" w:sz="0" w:space="0" w:color="auto"/>
      </w:divBdr>
    </w:div>
    <w:div w:id="1083797940">
      <w:bodyDiv w:val="1"/>
      <w:marLeft w:val="0"/>
      <w:marRight w:val="0"/>
      <w:marTop w:val="0"/>
      <w:marBottom w:val="0"/>
      <w:divBdr>
        <w:top w:val="none" w:sz="0" w:space="0" w:color="auto"/>
        <w:left w:val="none" w:sz="0" w:space="0" w:color="auto"/>
        <w:bottom w:val="none" w:sz="0" w:space="0" w:color="auto"/>
        <w:right w:val="none" w:sz="0" w:space="0" w:color="auto"/>
      </w:divBdr>
    </w:div>
    <w:div w:id="1084033830">
      <w:bodyDiv w:val="1"/>
      <w:marLeft w:val="0"/>
      <w:marRight w:val="0"/>
      <w:marTop w:val="0"/>
      <w:marBottom w:val="0"/>
      <w:divBdr>
        <w:top w:val="none" w:sz="0" w:space="0" w:color="auto"/>
        <w:left w:val="none" w:sz="0" w:space="0" w:color="auto"/>
        <w:bottom w:val="none" w:sz="0" w:space="0" w:color="auto"/>
        <w:right w:val="none" w:sz="0" w:space="0" w:color="auto"/>
      </w:divBdr>
    </w:div>
    <w:div w:id="1084062904">
      <w:bodyDiv w:val="1"/>
      <w:marLeft w:val="0"/>
      <w:marRight w:val="0"/>
      <w:marTop w:val="0"/>
      <w:marBottom w:val="0"/>
      <w:divBdr>
        <w:top w:val="none" w:sz="0" w:space="0" w:color="auto"/>
        <w:left w:val="none" w:sz="0" w:space="0" w:color="auto"/>
        <w:bottom w:val="none" w:sz="0" w:space="0" w:color="auto"/>
        <w:right w:val="none" w:sz="0" w:space="0" w:color="auto"/>
      </w:divBdr>
    </w:div>
    <w:div w:id="1084063164">
      <w:bodyDiv w:val="1"/>
      <w:marLeft w:val="0"/>
      <w:marRight w:val="0"/>
      <w:marTop w:val="0"/>
      <w:marBottom w:val="0"/>
      <w:divBdr>
        <w:top w:val="none" w:sz="0" w:space="0" w:color="auto"/>
        <w:left w:val="none" w:sz="0" w:space="0" w:color="auto"/>
        <w:bottom w:val="none" w:sz="0" w:space="0" w:color="auto"/>
        <w:right w:val="none" w:sz="0" w:space="0" w:color="auto"/>
      </w:divBdr>
    </w:div>
    <w:div w:id="1084257103">
      <w:bodyDiv w:val="1"/>
      <w:marLeft w:val="0"/>
      <w:marRight w:val="0"/>
      <w:marTop w:val="0"/>
      <w:marBottom w:val="0"/>
      <w:divBdr>
        <w:top w:val="none" w:sz="0" w:space="0" w:color="auto"/>
        <w:left w:val="none" w:sz="0" w:space="0" w:color="auto"/>
        <w:bottom w:val="none" w:sz="0" w:space="0" w:color="auto"/>
        <w:right w:val="none" w:sz="0" w:space="0" w:color="auto"/>
      </w:divBdr>
    </w:div>
    <w:div w:id="1084306273">
      <w:bodyDiv w:val="1"/>
      <w:marLeft w:val="0"/>
      <w:marRight w:val="0"/>
      <w:marTop w:val="0"/>
      <w:marBottom w:val="0"/>
      <w:divBdr>
        <w:top w:val="none" w:sz="0" w:space="0" w:color="auto"/>
        <w:left w:val="none" w:sz="0" w:space="0" w:color="auto"/>
        <w:bottom w:val="none" w:sz="0" w:space="0" w:color="auto"/>
        <w:right w:val="none" w:sz="0" w:space="0" w:color="auto"/>
      </w:divBdr>
    </w:div>
    <w:div w:id="1084449152">
      <w:bodyDiv w:val="1"/>
      <w:marLeft w:val="0"/>
      <w:marRight w:val="0"/>
      <w:marTop w:val="0"/>
      <w:marBottom w:val="0"/>
      <w:divBdr>
        <w:top w:val="none" w:sz="0" w:space="0" w:color="auto"/>
        <w:left w:val="none" w:sz="0" w:space="0" w:color="auto"/>
        <w:bottom w:val="none" w:sz="0" w:space="0" w:color="auto"/>
        <w:right w:val="none" w:sz="0" w:space="0" w:color="auto"/>
      </w:divBdr>
    </w:div>
    <w:div w:id="1084453501">
      <w:bodyDiv w:val="1"/>
      <w:marLeft w:val="0"/>
      <w:marRight w:val="0"/>
      <w:marTop w:val="0"/>
      <w:marBottom w:val="0"/>
      <w:divBdr>
        <w:top w:val="none" w:sz="0" w:space="0" w:color="auto"/>
        <w:left w:val="none" w:sz="0" w:space="0" w:color="auto"/>
        <w:bottom w:val="none" w:sz="0" w:space="0" w:color="auto"/>
        <w:right w:val="none" w:sz="0" w:space="0" w:color="auto"/>
      </w:divBdr>
    </w:div>
    <w:div w:id="1084491305">
      <w:bodyDiv w:val="1"/>
      <w:marLeft w:val="0"/>
      <w:marRight w:val="0"/>
      <w:marTop w:val="0"/>
      <w:marBottom w:val="0"/>
      <w:divBdr>
        <w:top w:val="none" w:sz="0" w:space="0" w:color="auto"/>
        <w:left w:val="none" w:sz="0" w:space="0" w:color="auto"/>
        <w:bottom w:val="none" w:sz="0" w:space="0" w:color="auto"/>
        <w:right w:val="none" w:sz="0" w:space="0" w:color="auto"/>
      </w:divBdr>
    </w:div>
    <w:div w:id="1084496192">
      <w:bodyDiv w:val="1"/>
      <w:marLeft w:val="0"/>
      <w:marRight w:val="0"/>
      <w:marTop w:val="0"/>
      <w:marBottom w:val="0"/>
      <w:divBdr>
        <w:top w:val="none" w:sz="0" w:space="0" w:color="auto"/>
        <w:left w:val="none" w:sz="0" w:space="0" w:color="auto"/>
        <w:bottom w:val="none" w:sz="0" w:space="0" w:color="auto"/>
        <w:right w:val="none" w:sz="0" w:space="0" w:color="auto"/>
      </w:divBdr>
    </w:div>
    <w:div w:id="1084645374">
      <w:bodyDiv w:val="1"/>
      <w:marLeft w:val="0"/>
      <w:marRight w:val="0"/>
      <w:marTop w:val="0"/>
      <w:marBottom w:val="0"/>
      <w:divBdr>
        <w:top w:val="none" w:sz="0" w:space="0" w:color="auto"/>
        <w:left w:val="none" w:sz="0" w:space="0" w:color="auto"/>
        <w:bottom w:val="none" w:sz="0" w:space="0" w:color="auto"/>
        <w:right w:val="none" w:sz="0" w:space="0" w:color="auto"/>
      </w:divBdr>
    </w:div>
    <w:div w:id="1084650399">
      <w:bodyDiv w:val="1"/>
      <w:marLeft w:val="0"/>
      <w:marRight w:val="0"/>
      <w:marTop w:val="0"/>
      <w:marBottom w:val="0"/>
      <w:divBdr>
        <w:top w:val="none" w:sz="0" w:space="0" w:color="auto"/>
        <w:left w:val="none" w:sz="0" w:space="0" w:color="auto"/>
        <w:bottom w:val="none" w:sz="0" w:space="0" w:color="auto"/>
        <w:right w:val="none" w:sz="0" w:space="0" w:color="auto"/>
      </w:divBdr>
    </w:div>
    <w:div w:id="1084688301">
      <w:bodyDiv w:val="1"/>
      <w:marLeft w:val="0"/>
      <w:marRight w:val="0"/>
      <w:marTop w:val="0"/>
      <w:marBottom w:val="0"/>
      <w:divBdr>
        <w:top w:val="none" w:sz="0" w:space="0" w:color="auto"/>
        <w:left w:val="none" w:sz="0" w:space="0" w:color="auto"/>
        <w:bottom w:val="none" w:sz="0" w:space="0" w:color="auto"/>
        <w:right w:val="none" w:sz="0" w:space="0" w:color="auto"/>
      </w:divBdr>
    </w:div>
    <w:div w:id="1084762244">
      <w:bodyDiv w:val="1"/>
      <w:marLeft w:val="0"/>
      <w:marRight w:val="0"/>
      <w:marTop w:val="0"/>
      <w:marBottom w:val="0"/>
      <w:divBdr>
        <w:top w:val="none" w:sz="0" w:space="0" w:color="auto"/>
        <w:left w:val="none" w:sz="0" w:space="0" w:color="auto"/>
        <w:bottom w:val="none" w:sz="0" w:space="0" w:color="auto"/>
        <w:right w:val="none" w:sz="0" w:space="0" w:color="auto"/>
      </w:divBdr>
    </w:div>
    <w:div w:id="1084837787">
      <w:bodyDiv w:val="1"/>
      <w:marLeft w:val="0"/>
      <w:marRight w:val="0"/>
      <w:marTop w:val="0"/>
      <w:marBottom w:val="0"/>
      <w:divBdr>
        <w:top w:val="none" w:sz="0" w:space="0" w:color="auto"/>
        <w:left w:val="none" w:sz="0" w:space="0" w:color="auto"/>
        <w:bottom w:val="none" w:sz="0" w:space="0" w:color="auto"/>
        <w:right w:val="none" w:sz="0" w:space="0" w:color="auto"/>
      </w:divBdr>
    </w:div>
    <w:div w:id="1084960878">
      <w:bodyDiv w:val="1"/>
      <w:marLeft w:val="0"/>
      <w:marRight w:val="0"/>
      <w:marTop w:val="0"/>
      <w:marBottom w:val="0"/>
      <w:divBdr>
        <w:top w:val="none" w:sz="0" w:space="0" w:color="auto"/>
        <w:left w:val="none" w:sz="0" w:space="0" w:color="auto"/>
        <w:bottom w:val="none" w:sz="0" w:space="0" w:color="auto"/>
        <w:right w:val="none" w:sz="0" w:space="0" w:color="auto"/>
      </w:divBdr>
    </w:div>
    <w:div w:id="1084961492">
      <w:bodyDiv w:val="1"/>
      <w:marLeft w:val="0"/>
      <w:marRight w:val="0"/>
      <w:marTop w:val="0"/>
      <w:marBottom w:val="0"/>
      <w:divBdr>
        <w:top w:val="none" w:sz="0" w:space="0" w:color="auto"/>
        <w:left w:val="none" w:sz="0" w:space="0" w:color="auto"/>
        <w:bottom w:val="none" w:sz="0" w:space="0" w:color="auto"/>
        <w:right w:val="none" w:sz="0" w:space="0" w:color="auto"/>
      </w:divBdr>
    </w:div>
    <w:div w:id="1085034046">
      <w:bodyDiv w:val="1"/>
      <w:marLeft w:val="0"/>
      <w:marRight w:val="0"/>
      <w:marTop w:val="0"/>
      <w:marBottom w:val="0"/>
      <w:divBdr>
        <w:top w:val="none" w:sz="0" w:space="0" w:color="auto"/>
        <w:left w:val="none" w:sz="0" w:space="0" w:color="auto"/>
        <w:bottom w:val="none" w:sz="0" w:space="0" w:color="auto"/>
        <w:right w:val="none" w:sz="0" w:space="0" w:color="auto"/>
      </w:divBdr>
    </w:div>
    <w:div w:id="1085227178">
      <w:bodyDiv w:val="1"/>
      <w:marLeft w:val="0"/>
      <w:marRight w:val="0"/>
      <w:marTop w:val="0"/>
      <w:marBottom w:val="0"/>
      <w:divBdr>
        <w:top w:val="none" w:sz="0" w:space="0" w:color="auto"/>
        <w:left w:val="none" w:sz="0" w:space="0" w:color="auto"/>
        <w:bottom w:val="none" w:sz="0" w:space="0" w:color="auto"/>
        <w:right w:val="none" w:sz="0" w:space="0" w:color="auto"/>
      </w:divBdr>
    </w:div>
    <w:div w:id="1085420777">
      <w:bodyDiv w:val="1"/>
      <w:marLeft w:val="0"/>
      <w:marRight w:val="0"/>
      <w:marTop w:val="0"/>
      <w:marBottom w:val="0"/>
      <w:divBdr>
        <w:top w:val="none" w:sz="0" w:space="0" w:color="auto"/>
        <w:left w:val="none" w:sz="0" w:space="0" w:color="auto"/>
        <w:bottom w:val="none" w:sz="0" w:space="0" w:color="auto"/>
        <w:right w:val="none" w:sz="0" w:space="0" w:color="auto"/>
      </w:divBdr>
    </w:div>
    <w:div w:id="1085692287">
      <w:bodyDiv w:val="1"/>
      <w:marLeft w:val="0"/>
      <w:marRight w:val="0"/>
      <w:marTop w:val="0"/>
      <w:marBottom w:val="0"/>
      <w:divBdr>
        <w:top w:val="none" w:sz="0" w:space="0" w:color="auto"/>
        <w:left w:val="none" w:sz="0" w:space="0" w:color="auto"/>
        <w:bottom w:val="none" w:sz="0" w:space="0" w:color="auto"/>
        <w:right w:val="none" w:sz="0" w:space="0" w:color="auto"/>
      </w:divBdr>
    </w:div>
    <w:div w:id="1085806307">
      <w:bodyDiv w:val="1"/>
      <w:marLeft w:val="0"/>
      <w:marRight w:val="0"/>
      <w:marTop w:val="0"/>
      <w:marBottom w:val="0"/>
      <w:divBdr>
        <w:top w:val="none" w:sz="0" w:space="0" w:color="auto"/>
        <w:left w:val="none" w:sz="0" w:space="0" w:color="auto"/>
        <w:bottom w:val="none" w:sz="0" w:space="0" w:color="auto"/>
        <w:right w:val="none" w:sz="0" w:space="0" w:color="auto"/>
      </w:divBdr>
    </w:div>
    <w:div w:id="1085954280">
      <w:bodyDiv w:val="1"/>
      <w:marLeft w:val="0"/>
      <w:marRight w:val="0"/>
      <w:marTop w:val="0"/>
      <w:marBottom w:val="0"/>
      <w:divBdr>
        <w:top w:val="none" w:sz="0" w:space="0" w:color="auto"/>
        <w:left w:val="none" w:sz="0" w:space="0" w:color="auto"/>
        <w:bottom w:val="none" w:sz="0" w:space="0" w:color="auto"/>
        <w:right w:val="none" w:sz="0" w:space="0" w:color="auto"/>
      </w:divBdr>
    </w:div>
    <w:div w:id="1086074499">
      <w:bodyDiv w:val="1"/>
      <w:marLeft w:val="0"/>
      <w:marRight w:val="0"/>
      <w:marTop w:val="0"/>
      <w:marBottom w:val="0"/>
      <w:divBdr>
        <w:top w:val="none" w:sz="0" w:space="0" w:color="auto"/>
        <w:left w:val="none" w:sz="0" w:space="0" w:color="auto"/>
        <w:bottom w:val="none" w:sz="0" w:space="0" w:color="auto"/>
        <w:right w:val="none" w:sz="0" w:space="0" w:color="auto"/>
      </w:divBdr>
    </w:div>
    <w:div w:id="1086144956">
      <w:bodyDiv w:val="1"/>
      <w:marLeft w:val="0"/>
      <w:marRight w:val="0"/>
      <w:marTop w:val="0"/>
      <w:marBottom w:val="0"/>
      <w:divBdr>
        <w:top w:val="none" w:sz="0" w:space="0" w:color="auto"/>
        <w:left w:val="none" w:sz="0" w:space="0" w:color="auto"/>
        <w:bottom w:val="none" w:sz="0" w:space="0" w:color="auto"/>
        <w:right w:val="none" w:sz="0" w:space="0" w:color="auto"/>
      </w:divBdr>
    </w:div>
    <w:div w:id="1086150645">
      <w:bodyDiv w:val="1"/>
      <w:marLeft w:val="0"/>
      <w:marRight w:val="0"/>
      <w:marTop w:val="0"/>
      <w:marBottom w:val="0"/>
      <w:divBdr>
        <w:top w:val="none" w:sz="0" w:space="0" w:color="auto"/>
        <w:left w:val="none" w:sz="0" w:space="0" w:color="auto"/>
        <w:bottom w:val="none" w:sz="0" w:space="0" w:color="auto"/>
        <w:right w:val="none" w:sz="0" w:space="0" w:color="auto"/>
      </w:divBdr>
    </w:div>
    <w:div w:id="1086196021">
      <w:bodyDiv w:val="1"/>
      <w:marLeft w:val="0"/>
      <w:marRight w:val="0"/>
      <w:marTop w:val="0"/>
      <w:marBottom w:val="0"/>
      <w:divBdr>
        <w:top w:val="none" w:sz="0" w:space="0" w:color="auto"/>
        <w:left w:val="none" w:sz="0" w:space="0" w:color="auto"/>
        <w:bottom w:val="none" w:sz="0" w:space="0" w:color="auto"/>
        <w:right w:val="none" w:sz="0" w:space="0" w:color="auto"/>
      </w:divBdr>
    </w:div>
    <w:div w:id="1086224505">
      <w:bodyDiv w:val="1"/>
      <w:marLeft w:val="0"/>
      <w:marRight w:val="0"/>
      <w:marTop w:val="0"/>
      <w:marBottom w:val="0"/>
      <w:divBdr>
        <w:top w:val="none" w:sz="0" w:space="0" w:color="auto"/>
        <w:left w:val="none" w:sz="0" w:space="0" w:color="auto"/>
        <w:bottom w:val="none" w:sz="0" w:space="0" w:color="auto"/>
        <w:right w:val="none" w:sz="0" w:space="0" w:color="auto"/>
      </w:divBdr>
    </w:div>
    <w:div w:id="1086537808">
      <w:bodyDiv w:val="1"/>
      <w:marLeft w:val="0"/>
      <w:marRight w:val="0"/>
      <w:marTop w:val="0"/>
      <w:marBottom w:val="0"/>
      <w:divBdr>
        <w:top w:val="none" w:sz="0" w:space="0" w:color="auto"/>
        <w:left w:val="none" w:sz="0" w:space="0" w:color="auto"/>
        <w:bottom w:val="none" w:sz="0" w:space="0" w:color="auto"/>
        <w:right w:val="none" w:sz="0" w:space="0" w:color="auto"/>
      </w:divBdr>
    </w:div>
    <w:div w:id="1086879504">
      <w:bodyDiv w:val="1"/>
      <w:marLeft w:val="0"/>
      <w:marRight w:val="0"/>
      <w:marTop w:val="0"/>
      <w:marBottom w:val="0"/>
      <w:divBdr>
        <w:top w:val="none" w:sz="0" w:space="0" w:color="auto"/>
        <w:left w:val="none" w:sz="0" w:space="0" w:color="auto"/>
        <w:bottom w:val="none" w:sz="0" w:space="0" w:color="auto"/>
        <w:right w:val="none" w:sz="0" w:space="0" w:color="auto"/>
      </w:divBdr>
    </w:div>
    <w:div w:id="1086927077">
      <w:bodyDiv w:val="1"/>
      <w:marLeft w:val="0"/>
      <w:marRight w:val="0"/>
      <w:marTop w:val="0"/>
      <w:marBottom w:val="0"/>
      <w:divBdr>
        <w:top w:val="none" w:sz="0" w:space="0" w:color="auto"/>
        <w:left w:val="none" w:sz="0" w:space="0" w:color="auto"/>
        <w:bottom w:val="none" w:sz="0" w:space="0" w:color="auto"/>
        <w:right w:val="none" w:sz="0" w:space="0" w:color="auto"/>
      </w:divBdr>
    </w:div>
    <w:div w:id="1087119843">
      <w:bodyDiv w:val="1"/>
      <w:marLeft w:val="0"/>
      <w:marRight w:val="0"/>
      <w:marTop w:val="0"/>
      <w:marBottom w:val="0"/>
      <w:divBdr>
        <w:top w:val="none" w:sz="0" w:space="0" w:color="auto"/>
        <w:left w:val="none" w:sz="0" w:space="0" w:color="auto"/>
        <w:bottom w:val="none" w:sz="0" w:space="0" w:color="auto"/>
        <w:right w:val="none" w:sz="0" w:space="0" w:color="auto"/>
      </w:divBdr>
    </w:div>
    <w:div w:id="1087190931">
      <w:bodyDiv w:val="1"/>
      <w:marLeft w:val="0"/>
      <w:marRight w:val="0"/>
      <w:marTop w:val="0"/>
      <w:marBottom w:val="0"/>
      <w:divBdr>
        <w:top w:val="none" w:sz="0" w:space="0" w:color="auto"/>
        <w:left w:val="none" w:sz="0" w:space="0" w:color="auto"/>
        <w:bottom w:val="none" w:sz="0" w:space="0" w:color="auto"/>
        <w:right w:val="none" w:sz="0" w:space="0" w:color="auto"/>
      </w:divBdr>
    </w:div>
    <w:div w:id="1087268993">
      <w:bodyDiv w:val="1"/>
      <w:marLeft w:val="0"/>
      <w:marRight w:val="0"/>
      <w:marTop w:val="0"/>
      <w:marBottom w:val="0"/>
      <w:divBdr>
        <w:top w:val="none" w:sz="0" w:space="0" w:color="auto"/>
        <w:left w:val="none" w:sz="0" w:space="0" w:color="auto"/>
        <w:bottom w:val="none" w:sz="0" w:space="0" w:color="auto"/>
        <w:right w:val="none" w:sz="0" w:space="0" w:color="auto"/>
      </w:divBdr>
    </w:div>
    <w:div w:id="1087313866">
      <w:bodyDiv w:val="1"/>
      <w:marLeft w:val="0"/>
      <w:marRight w:val="0"/>
      <w:marTop w:val="0"/>
      <w:marBottom w:val="0"/>
      <w:divBdr>
        <w:top w:val="none" w:sz="0" w:space="0" w:color="auto"/>
        <w:left w:val="none" w:sz="0" w:space="0" w:color="auto"/>
        <w:bottom w:val="none" w:sz="0" w:space="0" w:color="auto"/>
        <w:right w:val="none" w:sz="0" w:space="0" w:color="auto"/>
      </w:divBdr>
    </w:div>
    <w:div w:id="1087380879">
      <w:bodyDiv w:val="1"/>
      <w:marLeft w:val="0"/>
      <w:marRight w:val="0"/>
      <w:marTop w:val="0"/>
      <w:marBottom w:val="0"/>
      <w:divBdr>
        <w:top w:val="none" w:sz="0" w:space="0" w:color="auto"/>
        <w:left w:val="none" w:sz="0" w:space="0" w:color="auto"/>
        <w:bottom w:val="none" w:sz="0" w:space="0" w:color="auto"/>
        <w:right w:val="none" w:sz="0" w:space="0" w:color="auto"/>
      </w:divBdr>
    </w:div>
    <w:div w:id="1087455566">
      <w:bodyDiv w:val="1"/>
      <w:marLeft w:val="0"/>
      <w:marRight w:val="0"/>
      <w:marTop w:val="0"/>
      <w:marBottom w:val="0"/>
      <w:divBdr>
        <w:top w:val="none" w:sz="0" w:space="0" w:color="auto"/>
        <w:left w:val="none" w:sz="0" w:space="0" w:color="auto"/>
        <w:bottom w:val="none" w:sz="0" w:space="0" w:color="auto"/>
        <w:right w:val="none" w:sz="0" w:space="0" w:color="auto"/>
      </w:divBdr>
    </w:div>
    <w:div w:id="1087461266">
      <w:bodyDiv w:val="1"/>
      <w:marLeft w:val="0"/>
      <w:marRight w:val="0"/>
      <w:marTop w:val="0"/>
      <w:marBottom w:val="0"/>
      <w:divBdr>
        <w:top w:val="none" w:sz="0" w:space="0" w:color="auto"/>
        <w:left w:val="none" w:sz="0" w:space="0" w:color="auto"/>
        <w:bottom w:val="none" w:sz="0" w:space="0" w:color="auto"/>
        <w:right w:val="none" w:sz="0" w:space="0" w:color="auto"/>
      </w:divBdr>
    </w:div>
    <w:div w:id="1087535656">
      <w:bodyDiv w:val="1"/>
      <w:marLeft w:val="0"/>
      <w:marRight w:val="0"/>
      <w:marTop w:val="0"/>
      <w:marBottom w:val="0"/>
      <w:divBdr>
        <w:top w:val="none" w:sz="0" w:space="0" w:color="auto"/>
        <w:left w:val="none" w:sz="0" w:space="0" w:color="auto"/>
        <w:bottom w:val="none" w:sz="0" w:space="0" w:color="auto"/>
        <w:right w:val="none" w:sz="0" w:space="0" w:color="auto"/>
      </w:divBdr>
    </w:div>
    <w:div w:id="1087733212">
      <w:bodyDiv w:val="1"/>
      <w:marLeft w:val="0"/>
      <w:marRight w:val="0"/>
      <w:marTop w:val="0"/>
      <w:marBottom w:val="0"/>
      <w:divBdr>
        <w:top w:val="none" w:sz="0" w:space="0" w:color="auto"/>
        <w:left w:val="none" w:sz="0" w:space="0" w:color="auto"/>
        <w:bottom w:val="none" w:sz="0" w:space="0" w:color="auto"/>
        <w:right w:val="none" w:sz="0" w:space="0" w:color="auto"/>
      </w:divBdr>
    </w:div>
    <w:div w:id="1087994762">
      <w:bodyDiv w:val="1"/>
      <w:marLeft w:val="0"/>
      <w:marRight w:val="0"/>
      <w:marTop w:val="0"/>
      <w:marBottom w:val="0"/>
      <w:divBdr>
        <w:top w:val="none" w:sz="0" w:space="0" w:color="auto"/>
        <w:left w:val="none" w:sz="0" w:space="0" w:color="auto"/>
        <w:bottom w:val="none" w:sz="0" w:space="0" w:color="auto"/>
        <w:right w:val="none" w:sz="0" w:space="0" w:color="auto"/>
      </w:divBdr>
    </w:div>
    <w:div w:id="1088306353">
      <w:bodyDiv w:val="1"/>
      <w:marLeft w:val="0"/>
      <w:marRight w:val="0"/>
      <w:marTop w:val="0"/>
      <w:marBottom w:val="0"/>
      <w:divBdr>
        <w:top w:val="none" w:sz="0" w:space="0" w:color="auto"/>
        <w:left w:val="none" w:sz="0" w:space="0" w:color="auto"/>
        <w:bottom w:val="none" w:sz="0" w:space="0" w:color="auto"/>
        <w:right w:val="none" w:sz="0" w:space="0" w:color="auto"/>
      </w:divBdr>
    </w:div>
    <w:div w:id="1088385724">
      <w:bodyDiv w:val="1"/>
      <w:marLeft w:val="0"/>
      <w:marRight w:val="0"/>
      <w:marTop w:val="0"/>
      <w:marBottom w:val="0"/>
      <w:divBdr>
        <w:top w:val="none" w:sz="0" w:space="0" w:color="auto"/>
        <w:left w:val="none" w:sz="0" w:space="0" w:color="auto"/>
        <w:bottom w:val="none" w:sz="0" w:space="0" w:color="auto"/>
        <w:right w:val="none" w:sz="0" w:space="0" w:color="auto"/>
      </w:divBdr>
    </w:div>
    <w:div w:id="1088624925">
      <w:bodyDiv w:val="1"/>
      <w:marLeft w:val="0"/>
      <w:marRight w:val="0"/>
      <w:marTop w:val="0"/>
      <w:marBottom w:val="0"/>
      <w:divBdr>
        <w:top w:val="none" w:sz="0" w:space="0" w:color="auto"/>
        <w:left w:val="none" w:sz="0" w:space="0" w:color="auto"/>
        <w:bottom w:val="none" w:sz="0" w:space="0" w:color="auto"/>
        <w:right w:val="none" w:sz="0" w:space="0" w:color="auto"/>
      </w:divBdr>
    </w:div>
    <w:div w:id="1088694470">
      <w:bodyDiv w:val="1"/>
      <w:marLeft w:val="0"/>
      <w:marRight w:val="0"/>
      <w:marTop w:val="0"/>
      <w:marBottom w:val="0"/>
      <w:divBdr>
        <w:top w:val="none" w:sz="0" w:space="0" w:color="auto"/>
        <w:left w:val="none" w:sz="0" w:space="0" w:color="auto"/>
        <w:bottom w:val="none" w:sz="0" w:space="0" w:color="auto"/>
        <w:right w:val="none" w:sz="0" w:space="0" w:color="auto"/>
      </w:divBdr>
    </w:div>
    <w:div w:id="1088698416">
      <w:bodyDiv w:val="1"/>
      <w:marLeft w:val="0"/>
      <w:marRight w:val="0"/>
      <w:marTop w:val="0"/>
      <w:marBottom w:val="0"/>
      <w:divBdr>
        <w:top w:val="none" w:sz="0" w:space="0" w:color="auto"/>
        <w:left w:val="none" w:sz="0" w:space="0" w:color="auto"/>
        <w:bottom w:val="none" w:sz="0" w:space="0" w:color="auto"/>
        <w:right w:val="none" w:sz="0" w:space="0" w:color="auto"/>
      </w:divBdr>
    </w:div>
    <w:div w:id="1089043633">
      <w:bodyDiv w:val="1"/>
      <w:marLeft w:val="0"/>
      <w:marRight w:val="0"/>
      <w:marTop w:val="0"/>
      <w:marBottom w:val="0"/>
      <w:divBdr>
        <w:top w:val="none" w:sz="0" w:space="0" w:color="auto"/>
        <w:left w:val="none" w:sz="0" w:space="0" w:color="auto"/>
        <w:bottom w:val="none" w:sz="0" w:space="0" w:color="auto"/>
        <w:right w:val="none" w:sz="0" w:space="0" w:color="auto"/>
      </w:divBdr>
    </w:div>
    <w:div w:id="1089237063">
      <w:bodyDiv w:val="1"/>
      <w:marLeft w:val="0"/>
      <w:marRight w:val="0"/>
      <w:marTop w:val="0"/>
      <w:marBottom w:val="0"/>
      <w:divBdr>
        <w:top w:val="none" w:sz="0" w:space="0" w:color="auto"/>
        <w:left w:val="none" w:sz="0" w:space="0" w:color="auto"/>
        <w:bottom w:val="none" w:sz="0" w:space="0" w:color="auto"/>
        <w:right w:val="none" w:sz="0" w:space="0" w:color="auto"/>
      </w:divBdr>
    </w:div>
    <w:div w:id="1089276235">
      <w:bodyDiv w:val="1"/>
      <w:marLeft w:val="0"/>
      <w:marRight w:val="0"/>
      <w:marTop w:val="0"/>
      <w:marBottom w:val="0"/>
      <w:divBdr>
        <w:top w:val="none" w:sz="0" w:space="0" w:color="auto"/>
        <w:left w:val="none" w:sz="0" w:space="0" w:color="auto"/>
        <w:bottom w:val="none" w:sz="0" w:space="0" w:color="auto"/>
        <w:right w:val="none" w:sz="0" w:space="0" w:color="auto"/>
      </w:divBdr>
    </w:div>
    <w:div w:id="1089279423">
      <w:bodyDiv w:val="1"/>
      <w:marLeft w:val="0"/>
      <w:marRight w:val="0"/>
      <w:marTop w:val="0"/>
      <w:marBottom w:val="0"/>
      <w:divBdr>
        <w:top w:val="none" w:sz="0" w:space="0" w:color="auto"/>
        <w:left w:val="none" w:sz="0" w:space="0" w:color="auto"/>
        <w:bottom w:val="none" w:sz="0" w:space="0" w:color="auto"/>
        <w:right w:val="none" w:sz="0" w:space="0" w:color="auto"/>
      </w:divBdr>
    </w:div>
    <w:div w:id="1089347742">
      <w:bodyDiv w:val="1"/>
      <w:marLeft w:val="0"/>
      <w:marRight w:val="0"/>
      <w:marTop w:val="0"/>
      <w:marBottom w:val="0"/>
      <w:divBdr>
        <w:top w:val="none" w:sz="0" w:space="0" w:color="auto"/>
        <w:left w:val="none" w:sz="0" w:space="0" w:color="auto"/>
        <w:bottom w:val="none" w:sz="0" w:space="0" w:color="auto"/>
        <w:right w:val="none" w:sz="0" w:space="0" w:color="auto"/>
      </w:divBdr>
    </w:div>
    <w:div w:id="1089421180">
      <w:bodyDiv w:val="1"/>
      <w:marLeft w:val="0"/>
      <w:marRight w:val="0"/>
      <w:marTop w:val="0"/>
      <w:marBottom w:val="0"/>
      <w:divBdr>
        <w:top w:val="none" w:sz="0" w:space="0" w:color="auto"/>
        <w:left w:val="none" w:sz="0" w:space="0" w:color="auto"/>
        <w:bottom w:val="none" w:sz="0" w:space="0" w:color="auto"/>
        <w:right w:val="none" w:sz="0" w:space="0" w:color="auto"/>
      </w:divBdr>
    </w:div>
    <w:div w:id="1089546005">
      <w:bodyDiv w:val="1"/>
      <w:marLeft w:val="0"/>
      <w:marRight w:val="0"/>
      <w:marTop w:val="0"/>
      <w:marBottom w:val="0"/>
      <w:divBdr>
        <w:top w:val="none" w:sz="0" w:space="0" w:color="auto"/>
        <w:left w:val="none" w:sz="0" w:space="0" w:color="auto"/>
        <w:bottom w:val="none" w:sz="0" w:space="0" w:color="auto"/>
        <w:right w:val="none" w:sz="0" w:space="0" w:color="auto"/>
      </w:divBdr>
    </w:div>
    <w:div w:id="1089738326">
      <w:bodyDiv w:val="1"/>
      <w:marLeft w:val="0"/>
      <w:marRight w:val="0"/>
      <w:marTop w:val="0"/>
      <w:marBottom w:val="0"/>
      <w:divBdr>
        <w:top w:val="none" w:sz="0" w:space="0" w:color="auto"/>
        <w:left w:val="none" w:sz="0" w:space="0" w:color="auto"/>
        <w:bottom w:val="none" w:sz="0" w:space="0" w:color="auto"/>
        <w:right w:val="none" w:sz="0" w:space="0" w:color="auto"/>
      </w:divBdr>
    </w:div>
    <w:div w:id="1089933365">
      <w:bodyDiv w:val="1"/>
      <w:marLeft w:val="0"/>
      <w:marRight w:val="0"/>
      <w:marTop w:val="0"/>
      <w:marBottom w:val="0"/>
      <w:divBdr>
        <w:top w:val="none" w:sz="0" w:space="0" w:color="auto"/>
        <w:left w:val="none" w:sz="0" w:space="0" w:color="auto"/>
        <w:bottom w:val="none" w:sz="0" w:space="0" w:color="auto"/>
        <w:right w:val="none" w:sz="0" w:space="0" w:color="auto"/>
      </w:divBdr>
    </w:div>
    <w:div w:id="1089959763">
      <w:bodyDiv w:val="1"/>
      <w:marLeft w:val="0"/>
      <w:marRight w:val="0"/>
      <w:marTop w:val="0"/>
      <w:marBottom w:val="0"/>
      <w:divBdr>
        <w:top w:val="none" w:sz="0" w:space="0" w:color="auto"/>
        <w:left w:val="none" w:sz="0" w:space="0" w:color="auto"/>
        <w:bottom w:val="none" w:sz="0" w:space="0" w:color="auto"/>
        <w:right w:val="none" w:sz="0" w:space="0" w:color="auto"/>
      </w:divBdr>
    </w:div>
    <w:div w:id="1089961729">
      <w:bodyDiv w:val="1"/>
      <w:marLeft w:val="0"/>
      <w:marRight w:val="0"/>
      <w:marTop w:val="0"/>
      <w:marBottom w:val="0"/>
      <w:divBdr>
        <w:top w:val="none" w:sz="0" w:space="0" w:color="auto"/>
        <w:left w:val="none" w:sz="0" w:space="0" w:color="auto"/>
        <w:bottom w:val="none" w:sz="0" w:space="0" w:color="auto"/>
        <w:right w:val="none" w:sz="0" w:space="0" w:color="auto"/>
      </w:divBdr>
    </w:div>
    <w:div w:id="1090078276">
      <w:bodyDiv w:val="1"/>
      <w:marLeft w:val="0"/>
      <w:marRight w:val="0"/>
      <w:marTop w:val="0"/>
      <w:marBottom w:val="0"/>
      <w:divBdr>
        <w:top w:val="none" w:sz="0" w:space="0" w:color="auto"/>
        <w:left w:val="none" w:sz="0" w:space="0" w:color="auto"/>
        <w:bottom w:val="none" w:sz="0" w:space="0" w:color="auto"/>
        <w:right w:val="none" w:sz="0" w:space="0" w:color="auto"/>
      </w:divBdr>
    </w:div>
    <w:div w:id="1090086017">
      <w:bodyDiv w:val="1"/>
      <w:marLeft w:val="0"/>
      <w:marRight w:val="0"/>
      <w:marTop w:val="0"/>
      <w:marBottom w:val="0"/>
      <w:divBdr>
        <w:top w:val="none" w:sz="0" w:space="0" w:color="auto"/>
        <w:left w:val="none" w:sz="0" w:space="0" w:color="auto"/>
        <w:bottom w:val="none" w:sz="0" w:space="0" w:color="auto"/>
        <w:right w:val="none" w:sz="0" w:space="0" w:color="auto"/>
      </w:divBdr>
    </w:div>
    <w:div w:id="1090152491">
      <w:bodyDiv w:val="1"/>
      <w:marLeft w:val="0"/>
      <w:marRight w:val="0"/>
      <w:marTop w:val="0"/>
      <w:marBottom w:val="0"/>
      <w:divBdr>
        <w:top w:val="none" w:sz="0" w:space="0" w:color="auto"/>
        <w:left w:val="none" w:sz="0" w:space="0" w:color="auto"/>
        <w:bottom w:val="none" w:sz="0" w:space="0" w:color="auto"/>
        <w:right w:val="none" w:sz="0" w:space="0" w:color="auto"/>
      </w:divBdr>
    </w:div>
    <w:div w:id="1090153160">
      <w:bodyDiv w:val="1"/>
      <w:marLeft w:val="0"/>
      <w:marRight w:val="0"/>
      <w:marTop w:val="0"/>
      <w:marBottom w:val="0"/>
      <w:divBdr>
        <w:top w:val="none" w:sz="0" w:space="0" w:color="auto"/>
        <w:left w:val="none" w:sz="0" w:space="0" w:color="auto"/>
        <w:bottom w:val="none" w:sz="0" w:space="0" w:color="auto"/>
        <w:right w:val="none" w:sz="0" w:space="0" w:color="auto"/>
      </w:divBdr>
    </w:div>
    <w:div w:id="1090157517">
      <w:bodyDiv w:val="1"/>
      <w:marLeft w:val="0"/>
      <w:marRight w:val="0"/>
      <w:marTop w:val="0"/>
      <w:marBottom w:val="0"/>
      <w:divBdr>
        <w:top w:val="none" w:sz="0" w:space="0" w:color="auto"/>
        <w:left w:val="none" w:sz="0" w:space="0" w:color="auto"/>
        <w:bottom w:val="none" w:sz="0" w:space="0" w:color="auto"/>
        <w:right w:val="none" w:sz="0" w:space="0" w:color="auto"/>
      </w:divBdr>
    </w:div>
    <w:div w:id="1090203715">
      <w:bodyDiv w:val="1"/>
      <w:marLeft w:val="0"/>
      <w:marRight w:val="0"/>
      <w:marTop w:val="0"/>
      <w:marBottom w:val="0"/>
      <w:divBdr>
        <w:top w:val="none" w:sz="0" w:space="0" w:color="auto"/>
        <w:left w:val="none" w:sz="0" w:space="0" w:color="auto"/>
        <w:bottom w:val="none" w:sz="0" w:space="0" w:color="auto"/>
        <w:right w:val="none" w:sz="0" w:space="0" w:color="auto"/>
      </w:divBdr>
    </w:div>
    <w:div w:id="1090395843">
      <w:bodyDiv w:val="1"/>
      <w:marLeft w:val="0"/>
      <w:marRight w:val="0"/>
      <w:marTop w:val="0"/>
      <w:marBottom w:val="0"/>
      <w:divBdr>
        <w:top w:val="none" w:sz="0" w:space="0" w:color="auto"/>
        <w:left w:val="none" w:sz="0" w:space="0" w:color="auto"/>
        <w:bottom w:val="none" w:sz="0" w:space="0" w:color="auto"/>
        <w:right w:val="none" w:sz="0" w:space="0" w:color="auto"/>
      </w:divBdr>
    </w:div>
    <w:div w:id="1090546746">
      <w:bodyDiv w:val="1"/>
      <w:marLeft w:val="0"/>
      <w:marRight w:val="0"/>
      <w:marTop w:val="0"/>
      <w:marBottom w:val="0"/>
      <w:divBdr>
        <w:top w:val="none" w:sz="0" w:space="0" w:color="auto"/>
        <w:left w:val="none" w:sz="0" w:space="0" w:color="auto"/>
        <w:bottom w:val="none" w:sz="0" w:space="0" w:color="auto"/>
        <w:right w:val="none" w:sz="0" w:space="0" w:color="auto"/>
      </w:divBdr>
    </w:div>
    <w:div w:id="1090657950">
      <w:bodyDiv w:val="1"/>
      <w:marLeft w:val="0"/>
      <w:marRight w:val="0"/>
      <w:marTop w:val="0"/>
      <w:marBottom w:val="0"/>
      <w:divBdr>
        <w:top w:val="none" w:sz="0" w:space="0" w:color="auto"/>
        <w:left w:val="none" w:sz="0" w:space="0" w:color="auto"/>
        <w:bottom w:val="none" w:sz="0" w:space="0" w:color="auto"/>
        <w:right w:val="none" w:sz="0" w:space="0" w:color="auto"/>
      </w:divBdr>
    </w:div>
    <w:div w:id="1090855020">
      <w:bodyDiv w:val="1"/>
      <w:marLeft w:val="0"/>
      <w:marRight w:val="0"/>
      <w:marTop w:val="0"/>
      <w:marBottom w:val="0"/>
      <w:divBdr>
        <w:top w:val="none" w:sz="0" w:space="0" w:color="auto"/>
        <w:left w:val="none" w:sz="0" w:space="0" w:color="auto"/>
        <w:bottom w:val="none" w:sz="0" w:space="0" w:color="auto"/>
        <w:right w:val="none" w:sz="0" w:space="0" w:color="auto"/>
      </w:divBdr>
    </w:div>
    <w:div w:id="1090927019">
      <w:bodyDiv w:val="1"/>
      <w:marLeft w:val="0"/>
      <w:marRight w:val="0"/>
      <w:marTop w:val="0"/>
      <w:marBottom w:val="0"/>
      <w:divBdr>
        <w:top w:val="none" w:sz="0" w:space="0" w:color="auto"/>
        <w:left w:val="none" w:sz="0" w:space="0" w:color="auto"/>
        <w:bottom w:val="none" w:sz="0" w:space="0" w:color="auto"/>
        <w:right w:val="none" w:sz="0" w:space="0" w:color="auto"/>
      </w:divBdr>
    </w:div>
    <w:div w:id="1091004625">
      <w:bodyDiv w:val="1"/>
      <w:marLeft w:val="0"/>
      <w:marRight w:val="0"/>
      <w:marTop w:val="0"/>
      <w:marBottom w:val="0"/>
      <w:divBdr>
        <w:top w:val="none" w:sz="0" w:space="0" w:color="auto"/>
        <w:left w:val="none" w:sz="0" w:space="0" w:color="auto"/>
        <w:bottom w:val="none" w:sz="0" w:space="0" w:color="auto"/>
        <w:right w:val="none" w:sz="0" w:space="0" w:color="auto"/>
      </w:divBdr>
    </w:div>
    <w:div w:id="1091008376">
      <w:bodyDiv w:val="1"/>
      <w:marLeft w:val="0"/>
      <w:marRight w:val="0"/>
      <w:marTop w:val="0"/>
      <w:marBottom w:val="0"/>
      <w:divBdr>
        <w:top w:val="none" w:sz="0" w:space="0" w:color="auto"/>
        <w:left w:val="none" w:sz="0" w:space="0" w:color="auto"/>
        <w:bottom w:val="none" w:sz="0" w:space="0" w:color="auto"/>
        <w:right w:val="none" w:sz="0" w:space="0" w:color="auto"/>
      </w:divBdr>
    </w:div>
    <w:div w:id="1091121745">
      <w:bodyDiv w:val="1"/>
      <w:marLeft w:val="0"/>
      <w:marRight w:val="0"/>
      <w:marTop w:val="0"/>
      <w:marBottom w:val="0"/>
      <w:divBdr>
        <w:top w:val="none" w:sz="0" w:space="0" w:color="auto"/>
        <w:left w:val="none" w:sz="0" w:space="0" w:color="auto"/>
        <w:bottom w:val="none" w:sz="0" w:space="0" w:color="auto"/>
        <w:right w:val="none" w:sz="0" w:space="0" w:color="auto"/>
      </w:divBdr>
    </w:div>
    <w:div w:id="1091195930">
      <w:bodyDiv w:val="1"/>
      <w:marLeft w:val="0"/>
      <w:marRight w:val="0"/>
      <w:marTop w:val="0"/>
      <w:marBottom w:val="0"/>
      <w:divBdr>
        <w:top w:val="none" w:sz="0" w:space="0" w:color="auto"/>
        <w:left w:val="none" w:sz="0" w:space="0" w:color="auto"/>
        <w:bottom w:val="none" w:sz="0" w:space="0" w:color="auto"/>
        <w:right w:val="none" w:sz="0" w:space="0" w:color="auto"/>
      </w:divBdr>
    </w:div>
    <w:div w:id="1091320244">
      <w:bodyDiv w:val="1"/>
      <w:marLeft w:val="0"/>
      <w:marRight w:val="0"/>
      <w:marTop w:val="0"/>
      <w:marBottom w:val="0"/>
      <w:divBdr>
        <w:top w:val="none" w:sz="0" w:space="0" w:color="auto"/>
        <w:left w:val="none" w:sz="0" w:space="0" w:color="auto"/>
        <w:bottom w:val="none" w:sz="0" w:space="0" w:color="auto"/>
        <w:right w:val="none" w:sz="0" w:space="0" w:color="auto"/>
      </w:divBdr>
    </w:div>
    <w:div w:id="1091439270">
      <w:bodyDiv w:val="1"/>
      <w:marLeft w:val="0"/>
      <w:marRight w:val="0"/>
      <w:marTop w:val="0"/>
      <w:marBottom w:val="0"/>
      <w:divBdr>
        <w:top w:val="none" w:sz="0" w:space="0" w:color="auto"/>
        <w:left w:val="none" w:sz="0" w:space="0" w:color="auto"/>
        <w:bottom w:val="none" w:sz="0" w:space="0" w:color="auto"/>
        <w:right w:val="none" w:sz="0" w:space="0" w:color="auto"/>
      </w:divBdr>
    </w:div>
    <w:div w:id="1091463866">
      <w:bodyDiv w:val="1"/>
      <w:marLeft w:val="0"/>
      <w:marRight w:val="0"/>
      <w:marTop w:val="0"/>
      <w:marBottom w:val="0"/>
      <w:divBdr>
        <w:top w:val="none" w:sz="0" w:space="0" w:color="auto"/>
        <w:left w:val="none" w:sz="0" w:space="0" w:color="auto"/>
        <w:bottom w:val="none" w:sz="0" w:space="0" w:color="auto"/>
        <w:right w:val="none" w:sz="0" w:space="0" w:color="auto"/>
      </w:divBdr>
    </w:div>
    <w:div w:id="1091586079">
      <w:bodyDiv w:val="1"/>
      <w:marLeft w:val="0"/>
      <w:marRight w:val="0"/>
      <w:marTop w:val="0"/>
      <w:marBottom w:val="0"/>
      <w:divBdr>
        <w:top w:val="none" w:sz="0" w:space="0" w:color="auto"/>
        <w:left w:val="none" w:sz="0" w:space="0" w:color="auto"/>
        <w:bottom w:val="none" w:sz="0" w:space="0" w:color="auto"/>
        <w:right w:val="none" w:sz="0" w:space="0" w:color="auto"/>
      </w:divBdr>
    </w:div>
    <w:div w:id="1091587663">
      <w:bodyDiv w:val="1"/>
      <w:marLeft w:val="0"/>
      <w:marRight w:val="0"/>
      <w:marTop w:val="0"/>
      <w:marBottom w:val="0"/>
      <w:divBdr>
        <w:top w:val="none" w:sz="0" w:space="0" w:color="auto"/>
        <w:left w:val="none" w:sz="0" w:space="0" w:color="auto"/>
        <w:bottom w:val="none" w:sz="0" w:space="0" w:color="auto"/>
        <w:right w:val="none" w:sz="0" w:space="0" w:color="auto"/>
      </w:divBdr>
    </w:div>
    <w:div w:id="1091781668">
      <w:bodyDiv w:val="1"/>
      <w:marLeft w:val="0"/>
      <w:marRight w:val="0"/>
      <w:marTop w:val="0"/>
      <w:marBottom w:val="0"/>
      <w:divBdr>
        <w:top w:val="none" w:sz="0" w:space="0" w:color="auto"/>
        <w:left w:val="none" w:sz="0" w:space="0" w:color="auto"/>
        <w:bottom w:val="none" w:sz="0" w:space="0" w:color="auto"/>
        <w:right w:val="none" w:sz="0" w:space="0" w:color="auto"/>
      </w:divBdr>
    </w:div>
    <w:div w:id="1092430190">
      <w:bodyDiv w:val="1"/>
      <w:marLeft w:val="0"/>
      <w:marRight w:val="0"/>
      <w:marTop w:val="0"/>
      <w:marBottom w:val="0"/>
      <w:divBdr>
        <w:top w:val="none" w:sz="0" w:space="0" w:color="auto"/>
        <w:left w:val="none" w:sz="0" w:space="0" w:color="auto"/>
        <w:bottom w:val="none" w:sz="0" w:space="0" w:color="auto"/>
        <w:right w:val="none" w:sz="0" w:space="0" w:color="auto"/>
      </w:divBdr>
    </w:div>
    <w:div w:id="1092433750">
      <w:bodyDiv w:val="1"/>
      <w:marLeft w:val="0"/>
      <w:marRight w:val="0"/>
      <w:marTop w:val="0"/>
      <w:marBottom w:val="0"/>
      <w:divBdr>
        <w:top w:val="none" w:sz="0" w:space="0" w:color="auto"/>
        <w:left w:val="none" w:sz="0" w:space="0" w:color="auto"/>
        <w:bottom w:val="none" w:sz="0" w:space="0" w:color="auto"/>
        <w:right w:val="none" w:sz="0" w:space="0" w:color="auto"/>
      </w:divBdr>
    </w:div>
    <w:div w:id="1092507752">
      <w:bodyDiv w:val="1"/>
      <w:marLeft w:val="0"/>
      <w:marRight w:val="0"/>
      <w:marTop w:val="0"/>
      <w:marBottom w:val="0"/>
      <w:divBdr>
        <w:top w:val="none" w:sz="0" w:space="0" w:color="auto"/>
        <w:left w:val="none" w:sz="0" w:space="0" w:color="auto"/>
        <w:bottom w:val="none" w:sz="0" w:space="0" w:color="auto"/>
        <w:right w:val="none" w:sz="0" w:space="0" w:color="auto"/>
      </w:divBdr>
    </w:div>
    <w:div w:id="1092555948">
      <w:bodyDiv w:val="1"/>
      <w:marLeft w:val="0"/>
      <w:marRight w:val="0"/>
      <w:marTop w:val="0"/>
      <w:marBottom w:val="0"/>
      <w:divBdr>
        <w:top w:val="none" w:sz="0" w:space="0" w:color="auto"/>
        <w:left w:val="none" w:sz="0" w:space="0" w:color="auto"/>
        <w:bottom w:val="none" w:sz="0" w:space="0" w:color="auto"/>
        <w:right w:val="none" w:sz="0" w:space="0" w:color="auto"/>
      </w:divBdr>
    </w:div>
    <w:div w:id="1092704770">
      <w:bodyDiv w:val="1"/>
      <w:marLeft w:val="0"/>
      <w:marRight w:val="0"/>
      <w:marTop w:val="0"/>
      <w:marBottom w:val="0"/>
      <w:divBdr>
        <w:top w:val="none" w:sz="0" w:space="0" w:color="auto"/>
        <w:left w:val="none" w:sz="0" w:space="0" w:color="auto"/>
        <w:bottom w:val="none" w:sz="0" w:space="0" w:color="auto"/>
        <w:right w:val="none" w:sz="0" w:space="0" w:color="auto"/>
      </w:divBdr>
    </w:div>
    <w:div w:id="1092822717">
      <w:bodyDiv w:val="1"/>
      <w:marLeft w:val="0"/>
      <w:marRight w:val="0"/>
      <w:marTop w:val="0"/>
      <w:marBottom w:val="0"/>
      <w:divBdr>
        <w:top w:val="none" w:sz="0" w:space="0" w:color="auto"/>
        <w:left w:val="none" w:sz="0" w:space="0" w:color="auto"/>
        <w:bottom w:val="none" w:sz="0" w:space="0" w:color="auto"/>
        <w:right w:val="none" w:sz="0" w:space="0" w:color="auto"/>
      </w:divBdr>
    </w:div>
    <w:div w:id="1092890987">
      <w:bodyDiv w:val="1"/>
      <w:marLeft w:val="0"/>
      <w:marRight w:val="0"/>
      <w:marTop w:val="0"/>
      <w:marBottom w:val="0"/>
      <w:divBdr>
        <w:top w:val="none" w:sz="0" w:space="0" w:color="auto"/>
        <w:left w:val="none" w:sz="0" w:space="0" w:color="auto"/>
        <w:bottom w:val="none" w:sz="0" w:space="0" w:color="auto"/>
        <w:right w:val="none" w:sz="0" w:space="0" w:color="auto"/>
      </w:divBdr>
    </w:div>
    <w:div w:id="1092967262">
      <w:bodyDiv w:val="1"/>
      <w:marLeft w:val="0"/>
      <w:marRight w:val="0"/>
      <w:marTop w:val="0"/>
      <w:marBottom w:val="0"/>
      <w:divBdr>
        <w:top w:val="none" w:sz="0" w:space="0" w:color="auto"/>
        <w:left w:val="none" w:sz="0" w:space="0" w:color="auto"/>
        <w:bottom w:val="none" w:sz="0" w:space="0" w:color="auto"/>
        <w:right w:val="none" w:sz="0" w:space="0" w:color="auto"/>
      </w:divBdr>
    </w:div>
    <w:div w:id="1092970075">
      <w:bodyDiv w:val="1"/>
      <w:marLeft w:val="0"/>
      <w:marRight w:val="0"/>
      <w:marTop w:val="0"/>
      <w:marBottom w:val="0"/>
      <w:divBdr>
        <w:top w:val="none" w:sz="0" w:space="0" w:color="auto"/>
        <w:left w:val="none" w:sz="0" w:space="0" w:color="auto"/>
        <w:bottom w:val="none" w:sz="0" w:space="0" w:color="auto"/>
        <w:right w:val="none" w:sz="0" w:space="0" w:color="auto"/>
      </w:divBdr>
    </w:div>
    <w:div w:id="1092975355">
      <w:bodyDiv w:val="1"/>
      <w:marLeft w:val="0"/>
      <w:marRight w:val="0"/>
      <w:marTop w:val="0"/>
      <w:marBottom w:val="0"/>
      <w:divBdr>
        <w:top w:val="none" w:sz="0" w:space="0" w:color="auto"/>
        <w:left w:val="none" w:sz="0" w:space="0" w:color="auto"/>
        <w:bottom w:val="none" w:sz="0" w:space="0" w:color="auto"/>
        <w:right w:val="none" w:sz="0" w:space="0" w:color="auto"/>
      </w:divBdr>
    </w:div>
    <w:div w:id="1093010205">
      <w:bodyDiv w:val="1"/>
      <w:marLeft w:val="0"/>
      <w:marRight w:val="0"/>
      <w:marTop w:val="0"/>
      <w:marBottom w:val="0"/>
      <w:divBdr>
        <w:top w:val="none" w:sz="0" w:space="0" w:color="auto"/>
        <w:left w:val="none" w:sz="0" w:space="0" w:color="auto"/>
        <w:bottom w:val="none" w:sz="0" w:space="0" w:color="auto"/>
        <w:right w:val="none" w:sz="0" w:space="0" w:color="auto"/>
      </w:divBdr>
    </w:div>
    <w:div w:id="1093093175">
      <w:bodyDiv w:val="1"/>
      <w:marLeft w:val="0"/>
      <w:marRight w:val="0"/>
      <w:marTop w:val="0"/>
      <w:marBottom w:val="0"/>
      <w:divBdr>
        <w:top w:val="none" w:sz="0" w:space="0" w:color="auto"/>
        <w:left w:val="none" w:sz="0" w:space="0" w:color="auto"/>
        <w:bottom w:val="none" w:sz="0" w:space="0" w:color="auto"/>
        <w:right w:val="none" w:sz="0" w:space="0" w:color="auto"/>
      </w:divBdr>
    </w:div>
    <w:div w:id="1093160929">
      <w:bodyDiv w:val="1"/>
      <w:marLeft w:val="0"/>
      <w:marRight w:val="0"/>
      <w:marTop w:val="0"/>
      <w:marBottom w:val="0"/>
      <w:divBdr>
        <w:top w:val="none" w:sz="0" w:space="0" w:color="auto"/>
        <w:left w:val="none" w:sz="0" w:space="0" w:color="auto"/>
        <w:bottom w:val="none" w:sz="0" w:space="0" w:color="auto"/>
        <w:right w:val="none" w:sz="0" w:space="0" w:color="auto"/>
      </w:divBdr>
    </w:div>
    <w:div w:id="1093354620">
      <w:bodyDiv w:val="1"/>
      <w:marLeft w:val="0"/>
      <w:marRight w:val="0"/>
      <w:marTop w:val="0"/>
      <w:marBottom w:val="0"/>
      <w:divBdr>
        <w:top w:val="none" w:sz="0" w:space="0" w:color="auto"/>
        <w:left w:val="none" w:sz="0" w:space="0" w:color="auto"/>
        <w:bottom w:val="none" w:sz="0" w:space="0" w:color="auto"/>
        <w:right w:val="none" w:sz="0" w:space="0" w:color="auto"/>
      </w:divBdr>
    </w:div>
    <w:div w:id="1093362021">
      <w:bodyDiv w:val="1"/>
      <w:marLeft w:val="0"/>
      <w:marRight w:val="0"/>
      <w:marTop w:val="0"/>
      <w:marBottom w:val="0"/>
      <w:divBdr>
        <w:top w:val="none" w:sz="0" w:space="0" w:color="auto"/>
        <w:left w:val="none" w:sz="0" w:space="0" w:color="auto"/>
        <w:bottom w:val="none" w:sz="0" w:space="0" w:color="auto"/>
        <w:right w:val="none" w:sz="0" w:space="0" w:color="auto"/>
      </w:divBdr>
    </w:div>
    <w:div w:id="1093477864">
      <w:bodyDiv w:val="1"/>
      <w:marLeft w:val="0"/>
      <w:marRight w:val="0"/>
      <w:marTop w:val="0"/>
      <w:marBottom w:val="0"/>
      <w:divBdr>
        <w:top w:val="none" w:sz="0" w:space="0" w:color="auto"/>
        <w:left w:val="none" w:sz="0" w:space="0" w:color="auto"/>
        <w:bottom w:val="none" w:sz="0" w:space="0" w:color="auto"/>
        <w:right w:val="none" w:sz="0" w:space="0" w:color="auto"/>
      </w:divBdr>
    </w:div>
    <w:div w:id="1093550725">
      <w:bodyDiv w:val="1"/>
      <w:marLeft w:val="0"/>
      <w:marRight w:val="0"/>
      <w:marTop w:val="0"/>
      <w:marBottom w:val="0"/>
      <w:divBdr>
        <w:top w:val="none" w:sz="0" w:space="0" w:color="auto"/>
        <w:left w:val="none" w:sz="0" w:space="0" w:color="auto"/>
        <w:bottom w:val="none" w:sz="0" w:space="0" w:color="auto"/>
        <w:right w:val="none" w:sz="0" w:space="0" w:color="auto"/>
      </w:divBdr>
    </w:div>
    <w:div w:id="1093671248">
      <w:bodyDiv w:val="1"/>
      <w:marLeft w:val="0"/>
      <w:marRight w:val="0"/>
      <w:marTop w:val="0"/>
      <w:marBottom w:val="0"/>
      <w:divBdr>
        <w:top w:val="none" w:sz="0" w:space="0" w:color="auto"/>
        <w:left w:val="none" w:sz="0" w:space="0" w:color="auto"/>
        <w:bottom w:val="none" w:sz="0" w:space="0" w:color="auto"/>
        <w:right w:val="none" w:sz="0" w:space="0" w:color="auto"/>
      </w:divBdr>
    </w:div>
    <w:div w:id="1093696948">
      <w:bodyDiv w:val="1"/>
      <w:marLeft w:val="0"/>
      <w:marRight w:val="0"/>
      <w:marTop w:val="0"/>
      <w:marBottom w:val="0"/>
      <w:divBdr>
        <w:top w:val="none" w:sz="0" w:space="0" w:color="auto"/>
        <w:left w:val="none" w:sz="0" w:space="0" w:color="auto"/>
        <w:bottom w:val="none" w:sz="0" w:space="0" w:color="auto"/>
        <w:right w:val="none" w:sz="0" w:space="0" w:color="auto"/>
      </w:divBdr>
    </w:div>
    <w:div w:id="1093739866">
      <w:bodyDiv w:val="1"/>
      <w:marLeft w:val="0"/>
      <w:marRight w:val="0"/>
      <w:marTop w:val="0"/>
      <w:marBottom w:val="0"/>
      <w:divBdr>
        <w:top w:val="none" w:sz="0" w:space="0" w:color="auto"/>
        <w:left w:val="none" w:sz="0" w:space="0" w:color="auto"/>
        <w:bottom w:val="none" w:sz="0" w:space="0" w:color="auto"/>
        <w:right w:val="none" w:sz="0" w:space="0" w:color="auto"/>
      </w:divBdr>
    </w:div>
    <w:div w:id="1093863456">
      <w:bodyDiv w:val="1"/>
      <w:marLeft w:val="0"/>
      <w:marRight w:val="0"/>
      <w:marTop w:val="0"/>
      <w:marBottom w:val="0"/>
      <w:divBdr>
        <w:top w:val="none" w:sz="0" w:space="0" w:color="auto"/>
        <w:left w:val="none" w:sz="0" w:space="0" w:color="auto"/>
        <w:bottom w:val="none" w:sz="0" w:space="0" w:color="auto"/>
        <w:right w:val="none" w:sz="0" w:space="0" w:color="auto"/>
      </w:divBdr>
    </w:div>
    <w:div w:id="1093934004">
      <w:bodyDiv w:val="1"/>
      <w:marLeft w:val="0"/>
      <w:marRight w:val="0"/>
      <w:marTop w:val="0"/>
      <w:marBottom w:val="0"/>
      <w:divBdr>
        <w:top w:val="none" w:sz="0" w:space="0" w:color="auto"/>
        <w:left w:val="none" w:sz="0" w:space="0" w:color="auto"/>
        <w:bottom w:val="none" w:sz="0" w:space="0" w:color="auto"/>
        <w:right w:val="none" w:sz="0" w:space="0" w:color="auto"/>
      </w:divBdr>
    </w:div>
    <w:div w:id="1093934146">
      <w:bodyDiv w:val="1"/>
      <w:marLeft w:val="0"/>
      <w:marRight w:val="0"/>
      <w:marTop w:val="0"/>
      <w:marBottom w:val="0"/>
      <w:divBdr>
        <w:top w:val="none" w:sz="0" w:space="0" w:color="auto"/>
        <w:left w:val="none" w:sz="0" w:space="0" w:color="auto"/>
        <w:bottom w:val="none" w:sz="0" w:space="0" w:color="auto"/>
        <w:right w:val="none" w:sz="0" w:space="0" w:color="auto"/>
      </w:divBdr>
    </w:div>
    <w:div w:id="1094084058">
      <w:bodyDiv w:val="1"/>
      <w:marLeft w:val="0"/>
      <w:marRight w:val="0"/>
      <w:marTop w:val="0"/>
      <w:marBottom w:val="0"/>
      <w:divBdr>
        <w:top w:val="none" w:sz="0" w:space="0" w:color="auto"/>
        <w:left w:val="none" w:sz="0" w:space="0" w:color="auto"/>
        <w:bottom w:val="none" w:sz="0" w:space="0" w:color="auto"/>
        <w:right w:val="none" w:sz="0" w:space="0" w:color="auto"/>
      </w:divBdr>
    </w:div>
    <w:div w:id="1094088020">
      <w:bodyDiv w:val="1"/>
      <w:marLeft w:val="0"/>
      <w:marRight w:val="0"/>
      <w:marTop w:val="0"/>
      <w:marBottom w:val="0"/>
      <w:divBdr>
        <w:top w:val="none" w:sz="0" w:space="0" w:color="auto"/>
        <w:left w:val="none" w:sz="0" w:space="0" w:color="auto"/>
        <w:bottom w:val="none" w:sz="0" w:space="0" w:color="auto"/>
        <w:right w:val="none" w:sz="0" w:space="0" w:color="auto"/>
      </w:divBdr>
    </w:div>
    <w:div w:id="1094088669">
      <w:bodyDiv w:val="1"/>
      <w:marLeft w:val="0"/>
      <w:marRight w:val="0"/>
      <w:marTop w:val="0"/>
      <w:marBottom w:val="0"/>
      <w:divBdr>
        <w:top w:val="none" w:sz="0" w:space="0" w:color="auto"/>
        <w:left w:val="none" w:sz="0" w:space="0" w:color="auto"/>
        <w:bottom w:val="none" w:sz="0" w:space="0" w:color="auto"/>
        <w:right w:val="none" w:sz="0" w:space="0" w:color="auto"/>
      </w:divBdr>
    </w:div>
    <w:div w:id="1094470984">
      <w:bodyDiv w:val="1"/>
      <w:marLeft w:val="0"/>
      <w:marRight w:val="0"/>
      <w:marTop w:val="0"/>
      <w:marBottom w:val="0"/>
      <w:divBdr>
        <w:top w:val="none" w:sz="0" w:space="0" w:color="auto"/>
        <w:left w:val="none" w:sz="0" w:space="0" w:color="auto"/>
        <w:bottom w:val="none" w:sz="0" w:space="0" w:color="auto"/>
        <w:right w:val="none" w:sz="0" w:space="0" w:color="auto"/>
      </w:divBdr>
    </w:div>
    <w:div w:id="1094517136">
      <w:bodyDiv w:val="1"/>
      <w:marLeft w:val="0"/>
      <w:marRight w:val="0"/>
      <w:marTop w:val="0"/>
      <w:marBottom w:val="0"/>
      <w:divBdr>
        <w:top w:val="none" w:sz="0" w:space="0" w:color="auto"/>
        <w:left w:val="none" w:sz="0" w:space="0" w:color="auto"/>
        <w:bottom w:val="none" w:sz="0" w:space="0" w:color="auto"/>
        <w:right w:val="none" w:sz="0" w:space="0" w:color="auto"/>
      </w:divBdr>
    </w:div>
    <w:div w:id="1094590514">
      <w:bodyDiv w:val="1"/>
      <w:marLeft w:val="0"/>
      <w:marRight w:val="0"/>
      <w:marTop w:val="0"/>
      <w:marBottom w:val="0"/>
      <w:divBdr>
        <w:top w:val="none" w:sz="0" w:space="0" w:color="auto"/>
        <w:left w:val="none" w:sz="0" w:space="0" w:color="auto"/>
        <w:bottom w:val="none" w:sz="0" w:space="0" w:color="auto"/>
        <w:right w:val="none" w:sz="0" w:space="0" w:color="auto"/>
      </w:divBdr>
    </w:div>
    <w:div w:id="1094665120">
      <w:bodyDiv w:val="1"/>
      <w:marLeft w:val="0"/>
      <w:marRight w:val="0"/>
      <w:marTop w:val="0"/>
      <w:marBottom w:val="0"/>
      <w:divBdr>
        <w:top w:val="none" w:sz="0" w:space="0" w:color="auto"/>
        <w:left w:val="none" w:sz="0" w:space="0" w:color="auto"/>
        <w:bottom w:val="none" w:sz="0" w:space="0" w:color="auto"/>
        <w:right w:val="none" w:sz="0" w:space="0" w:color="auto"/>
      </w:divBdr>
    </w:div>
    <w:div w:id="1094790038">
      <w:bodyDiv w:val="1"/>
      <w:marLeft w:val="0"/>
      <w:marRight w:val="0"/>
      <w:marTop w:val="0"/>
      <w:marBottom w:val="0"/>
      <w:divBdr>
        <w:top w:val="none" w:sz="0" w:space="0" w:color="auto"/>
        <w:left w:val="none" w:sz="0" w:space="0" w:color="auto"/>
        <w:bottom w:val="none" w:sz="0" w:space="0" w:color="auto"/>
        <w:right w:val="none" w:sz="0" w:space="0" w:color="auto"/>
      </w:divBdr>
    </w:div>
    <w:div w:id="1094858154">
      <w:bodyDiv w:val="1"/>
      <w:marLeft w:val="0"/>
      <w:marRight w:val="0"/>
      <w:marTop w:val="0"/>
      <w:marBottom w:val="0"/>
      <w:divBdr>
        <w:top w:val="none" w:sz="0" w:space="0" w:color="auto"/>
        <w:left w:val="none" w:sz="0" w:space="0" w:color="auto"/>
        <w:bottom w:val="none" w:sz="0" w:space="0" w:color="auto"/>
        <w:right w:val="none" w:sz="0" w:space="0" w:color="auto"/>
      </w:divBdr>
    </w:div>
    <w:div w:id="1095054206">
      <w:bodyDiv w:val="1"/>
      <w:marLeft w:val="0"/>
      <w:marRight w:val="0"/>
      <w:marTop w:val="0"/>
      <w:marBottom w:val="0"/>
      <w:divBdr>
        <w:top w:val="none" w:sz="0" w:space="0" w:color="auto"/>
        <w:left w:val="none" w:sz="0" w:space="0" w:color="auto"/>
        <w:bottom w:val="none" w:sz="0" w:space="0" w:color="auto"/>
        <w:right w:val="none" w:sz="0" w:space="0" w:color="auto"/>
      </w:divBdr>
    </w:div>
    <w:div w:id="1095133585">
      <w:bodyDiv w:val="1"/>
      <w:marLeft w:val="0"/>
      <w:marRight w:val="0"/>
      <w:marTop w:val="0"/>
      <w:marBottom w:val="0"/>
      <w:divBdr>
        <w:top w:val="none" w:sz="0" w:space="0" w:color="auto"/>
        <w:left w:val="none" w:sz="0" w:space="0" w:color="auto"/>
        <w:bottom w:val="none" w:sz="0" w:space="0" w:color="auto"/>
        <w:right w:val="none" w:sz="0" w:space="0" w:color="auto"/>
      </w:divBdr>
    </w:div>
    <w:div w:id="1095368993">
      <w:bodyDiv w:val="1"/>
      <w:marLeft w:val="0"/>
      <w:marRight w:val="0"/>
      <w:marTop w:val="0"/>
      <w:marBottom w:val="0"/>
      <w:divBdr>
        <w:top w:val="none" w:sz="0" w:space="0" w:color="auto"/>
        <w:left w:val="none" w:sz="0" w:space="0" w:color="auto"/>
        <w:bottom w:val="none" w:sz="0" w:space="0" w:color="auto"/>
        <w:right w:val="none" w:sz="0" w:space="0" w:color="auto"/>
      </w:divBdr>
    </w:div>
    <w:div w:id="1095441007">
      <w:bodyDiv w:val="1"/>
      <w:marLeft w:val="0"/>
      <w:marRight w:val="0"/>
      <w:marTop w:val="0"/>
      <w:marBottom w:val="0"/>
      <w:divBdr>
        <w:top w:val="none" w:sz="0" w:space="0" w:color="auto"/>
        <w:left w:val="none" w:sz="0" w:space="0" w:color="auto"/>
        <w:bottom w:val="none" w:sz="0" w:space="0" w:color="auto"/>
        <w:right w:val="none" w:sz="0" w:space="0" w:color="auto"/>
      </w:divBdr>
    </w:div>
    <w:div w:id="1095514807">
      <w:bodyDiv w:val="1"/>
      <w:marLeft w:val="0"/>
      <w:marRight w:val="0"/>
      <w:marTop w:val="0"/>
      <w:marBottom w:val="0"/>
      <w:divBdr>
        <w:top w:val="none" w:sz="0" w:space="0" w:color="auto"/>
        <w:left w:val="none" w:sz="0" w:space="0" w:color="auto"/>
        <w:bottom w:val="none" w:sz="0" w:space="0" w:color="auto"/>
        <w:right w:val="none" w:sz="0" w:space="0" w:color="auto"/>
      </w:divBdr>
    </w:div>
    <w:div w:id="1095898933">
      <w:bodyDiv w:val="1"/>
      <w:marLeft w:val="0"/>
      <w:marRight w:val="0"/>
      <w:marTop w:val="0"/>
      <w:marBottom w:val="0"/>
      <w:divBdr>
        <w:top w:val="none" w:sz="0" w:space="0" w:color="auto"/>
        <w:left w:val="none" w:sz="0" w:space="0" w:color="auto"/>
        <w:bottom w:val="none" w:sz="0" w:space="0" w:color="auto"/>
        <w:right w:val="none" w:sz="0" w:space="0" w:color="auto"/>
      </w:divBdr>
    </w:div>
    <w:div w:id="1096169023">
      <w:bodyDiv w:val="1"/>
      <w:marLeft w:val="0"/>
      <w:marRight w:val="0"/>
      <w:marTop w:val="0"/>
      <w:marBottom w:val="0"/>
      <w:divBdr>
        <w:top w:val="none" w:sz="0" w:space="0" w:color="auto"/>
        <w:left w:val="none" w:sz="0" w:space="0" w:color="auto"/>
        <w:bottom w:val="none" w:sz="0" w:space="0" w:color="auto"/>
        <w:right w:val="none" w:sz="0" w:space="0" w:color="auto"/>
      </w:divBdr>
    </w:div>
    <w:div w:id="1096249917">
      <w:bodyDiv w:val="1"/>
      <w:marLeft w:val="0"/>
      <w:marRight w:val="0"/>
      <w:marTop w:val="0"/>
      <w:marBottom w:val="0"/>
      <w:divBdr>
        <w:top w:val="none" w:sz="0" w:space="0" w:color="auto"/>
        <w:left w:val="none" w:sz="0" w:space="0" w:color="auto"/>
        <w:bottom w:val="none" w:sz="0" w:space="0" w:color="auto"/>
        <w:right w:val="none" w:sz="0" w:space="0" w:color="auto"/>
      </w:divBdr>
    </w:div>
    <w:div w:id="1096631408">
      <w:bodyDiv w:val="1"/>
      <w:marLeft w:val="0"/>
      <w:marRight w:val="0"/>
      <w:marTop w:val="0"/>
      <w:marBottom w:val="0"/>
      <w:divBdr>
        <w:top w:val="none" w:sz="0" w:space="0" w:color="auto"/>
        <w:left w:val="none" w:sz="0" w:space="0" w:color="auto"/>
        <w:bottom w:val="none" w:sz="0" w:space="0" w:color="auto"/>
        <w:right w:val="none" w:sz="0" w:space="0" w:color="auto"/>
      </w:divBdr>
    </w:div>
    <w:div w:id="1097017814">
      <w:bodyDiv w:val="1"/>
      <w:marLeft w:val="0"/>
      <w:marRight w:val="0"/>
      <w:marTop w:val="0"/>
      <w:marBottom w:val="0"/>
      <w:divBdr>
        <w:top w:val="none" w:sz="0" w:space="0" w:color="auto"/>
        <w:left w:val="none" w:sz="0" w:space="0" w:color="auto"/>
        <w:bottom w:val="none" w:sz="0" w:space="0" w:color="auto"/>
        <w:right w:val="none" w:sz="0" w:space="0" w:color="auto"/>
      </w:divBdr>
    </w:div>
    <w:div w:id="1097289361">
      <w:bodyDiv w:val="1"/>
      <w:marLeft w:val="0"/>
      <w:marRight w:val="0"/>
      <w:marTop w:val="0"/>
      <w:marBottom w:val="0"/>
      <w:divBdr>
        <w:top w:val="none" w:sz="0" w:space="0" w:color="auto"/>
        <w:left w:val="none" w:sz="0" w:space="0" w:color="auto"/>
        <w:bottom w:val="none" w:sz="0" w:space="0" w:color="auto"/>
        <w:right w:val="none" w:sz="0" w:space="0" w:color="auto"/>
      </w:divBdr>
    </w:div>
    <w:div w:id="1097291891">
      <w:bodyDiv w:val="1"/>
      <w:marLeft w:val="0"/>
      <w:marRight w:val="0"/>
      <w:marTop w:val="0"/>
      <w:marBottom w:val="0"/>
      <w:divBdr>
        <w:top w:val="none" w:sz="0" w:space="0" w:color="auto"/>
        <w:left w:val="none" w:sz="0" w:space="0" w:color="auto"/>
        <w:bottom w:val="none" w:sz="0" w:space="0" w:color="auto"/>
        <w:right w:val="none" w:sz="0" w:space="0" w:color="auto"/>
      </w:divBdr>
    </w:div>
    <w:div w:id="1097403563">
      <w:bodyDiv w:val="1"/>
      <w:marLeft w:val="0"/>
      <w:marRight w:val="0"/>
      <w:marTop w:val="0"/>
      <w:marBottom w:val="0"/>
      <w:divBdr>
        <w:top w:val="none" w:sz="0" w:space="0" w:color="auto"/>
        <w:left w:val="none" w:sz="0" w:space="0" w:color="auto"/>
        <w:bottom w:val="none" w:sz="0" w:space="0" w:color="auto"/>
        <w:right w:val="none" w:sz="0" w:space="0" w:color="auto"/>
      </w:divBdr>
    </w:div>
    <w:div w:id="1097407256">
      <w:bodyDiv w:val="1"/>
      <w:marLeft w:val="0"/>
      <w:marRight w:val="0"/>
      <w:marTop w:val="0"/>
      <w:marBottom w:val="0"/>
      <w:divBdr>
        <w:top w:val="none" w:sz="0" w:space="0" w:color="auto"/>
        <w:left w:val="none" w:sz="0" w:space="0" w:color="auto"/>
        <w:bottom w:val="none" w:sz="0" w:space="0" w:color="auto"/>
        <w:right w:val="none" w:sz="0" w:space="0" w:color="auto"/>
      </w:divBdr>
    </w:div>
    <w:div w:id="1097479944">
      <w:bodyDiv w:val="1"/>
      <w:marLeft w:val="0"/>
      <w:marRight w:val="0"/>
      <w:marTop w:val="0"/>
      <w:marBottom w:val="0"/>
      <w:divBdr>
        <w:top w:val="none" w:sz="0" w:space="0" w:color="auto"/>
        <w:left w:val="none" w:sz="0" w:space="0" w:color="auto"/>
        <w:bottom w:val="none" w:sz="0" w:space="0" w:color="auto"/>
        <w:right w:val="none" w:sz="0" w:space="0" w:color="auto"/>
      </w:divBdr>
    </w:div>
    <w:div w:id="1097604811">
      <w:bodyDiv w:val="1"/>
      <w:marLeft w:val="0"/>
      <w:marRight w:val="0"/>
      <w:marTop w:val="0"/>
      <w:marBottom w:val="0"/>
      <w:divBdr>
        <w:top w:val="none" w:sz="0" w:space="0" w:color="auto"/>
        <w:left w:val="none" w:sz="0" w:space="0" w:color="auto"/>
        <w:bottom w:val="none" w:sz="0" w:space="0" w:color="auto"/>
        <w:right w:val="none" w:sz="0" w:space="0" w:color="auto"/>
      </w:divBdr>
    </w:div>
    <w:div w:id="1097797056">
      <w:bodyDiv w:val="1"/>
      <w:marLeft w:val="0"/>
      <w:marRight w:val="0"/>
      <w:marTop w:val="0"/>
      <w:marBottom w:val="0"/>
      <w:divBdr>
        <w:top w:val="none" w:sz="0" w:space="0" w:color="auto"/>
        <w:left w:val="none" w:sz="0" w:space="0" w:color="auto"/>
        <w:bottom w:val="none" w:sz="0" w:space="0" w:color="auto"/>
        <w:right w:val="none" w:sz="0" w:space="0" w:color="auto"/>
      </w:divBdr>
    </w:div>
    <w:div w:id="1097868853">
      <w:bodyDiv w:val="1"/>
      <w:marLeft w:val="0"/>
      <w:marRight w:val="0"/>
      <w:marTop w:val="0"/>
      <w:marBottom w:val="0"/>
      <w:divBdr>
        <w:top w:val="none" w:sz="0" w:space="0" w:color="auto"/>
        <w:left w:val="none" w:sz="0" w:space="0" w:color="auto"/>
        <w:bottom w:val="none" w:sz="0" w:space="0" w:color="auto"/>
        <w:right w:val="none" w:sz="0" w:space="0" w:color="auto"/>
      </w:divBdr>
    </w:div>
    <w:div w:id="1097869755">
      <w:bodyDiv w:val="1"/>
      <w:marLeft w:val="0"/>
      <w:marRight w:val="0"/>
      <w:marTop w:val="0"/>
      <w:marBottom w:val="0"/>
      <w:divBdr>
        <w:top w:val="none" w:sz="0" w:space="0" w:color="auto"/>
        <w:left w:val="none" w:sz="0" w:space="0" w:color="auto"/>
        <w:bottom w:val="none" w:sz="0" w:space="0" w:color="auto"/>
        <w:right w:val="none" w:sz="0" w:space="0" w:color="auto"/>
      </w:divBdr>
    </w:div>
    <w:div w:id="1097945671">
      <w:bodyDiv w:val="1"/>
      <w:marLeft w:val="0"/>
      <w:marRight w:val="0"/>
      <w:marTop w:val="0"/>
      <w:marBottom w:val="0"/>
      <w:divBdr>
        <w:top w:val="none" w:sz="0" w:space="0" w:color="auto"/>
        <w:left w:val="none" w:sz="0" w:space="0" w:color="auto"/>
        <w:bottom w:val="none" w:sz="0" w:space="0" w:color="auto"/>
        <w:right w:val="none" w:sz="0" w:space="0" w:color="auto"/>
      </w:divBdr>
    </w:div>
    <w:div w:id="1098065199">
      <w:bodyDiv w:val="1"/>
      <w:marLeft w:val="0"/>
      <w:marRight w:val="0"/>
      <w:marTop w:val="0"/>
      <w:marBottom w:val="0"/>
      <w:divBdr>
        <w:top w:val="none" w:sz="0" w:space="0" w:color="auto"/>
        <w:left w:val="none" w:sz="0" w:space="0" w:color="auto"/>
        <w:bottom w:val="none" w:sz="0" w:space="0" w:color="auto"/>
        <w:right w:val="none" w:sz="0" w:space="0" w:color="auto"/>
      </w:divBdr>
    </w:div>
    <w:div w:id="1098259046">
      <w:bodyDiv w:val="1"/>
      <w:marLeft w:val="0"/>
      <w:marRight w:val="0"/>
      <w:marTop w:val="0"/>
      <w:marBottom w:val="0"/>
      <w:divBdr>
        <w:top w:val="none" w:sz="0" w:space="0" w:color="auto"/>
        <w:left w:val="none" w:sz="0" w:space="0" w:color="auto"/>
        <w:bottom w:val="none" w:sz="0" w:space="0" w:color="auto"/>
        <w:right w:val="none" w:sz="0" w:space="0" w:color="auto"/>
      </w:divBdr>
    </w:div>
    <w:div w:id="1098404401">
      <w:bodyDiv w:val="1"/>
      <w:marLeft w:val="0"/>
      <w:marRight w:val="0"/>
      <w:marTop w:val="0"/>
      <w:marBottom w:val="0"/>
      <w:divBdr>
        <w:top w:val="none" w:sz="0" w:space="0" w:color="auto"/>
        <w:left w:val="none" w:sz="0" w:space="0" w:color="auto"/>
        <w:bottom w:val="none" w:sz="0" w:space="0" w:color="auto"/>
        <w:right w:val="none" w:sz="0" w:space="0" w:color="auto"/>
      </w:divBdr>
    </w:div>
    <w:div w:id="1098601447">
      <w:bodyDiv w:val="1"/>
      <w:marLeft w:val="0"/>
      <w:marRight w:val="0"/>
      <w:marTop w:val="0"/>
      <w:marBottom w:val="0"/>
      <w:divBdr>
        <w:top w:val="none" w:sz="0" w:space="0" w:color="auto"/>
        <w:left w:val="none" w:sz="0" w:space="0" w:color="auto"/>
        <w:bottom w:val="none" w:sz="0" w:space="0" w:color="auto"/>
        <w:right w:val="none" w:sz="0" w:space="0" w:color="auto"/>
      </w:divBdr>
    </w:div>
    <w:div w:id="1098603201">
      <w:bodyDiv w:val="1"/>
      <w:marLeft w:val="0"/>
      <w:marRight w:val="0"/>
      <w:marTop w:val="0"/>
      <w:marBottom w:val="0"/>
      <w:divBdr>
        <w:top w:val="none" w:sz="0" w:space="0" w:color="auto"/>
        <w:left w:val="none" w:sz="0" w:space="0" w:color="auto"/>
        <w:bottom w:val="none" w:sz="0" w:space="0" w:color="auto"/>
        <w:right w:val="none" w:sz="0" w:space="0" w:color="auto"/>
      </w:divBdr>
    </w:div>
    <w:div w:id="1098716406">
      <w:bodyDiv w:val="1"/>
      <w:marLeft w:val="0"/>
      <w:marRight w:val="0"/>
      <w:marTop w:val="0"/>
      <w:marBottom w:val="0"/>
      <w:divBdr>
        <w:top w:val="none" w:sz="0" w:space="0" w:color="auto"/>
        <w:left w:val="none" w:sz="0" w:space="0" w:color="auto"/>
        <w:bottom w:val="none" w:sz="0" w:space="0" w:color="auto"/>
        <w:right w:val="none" w:sz="0" w:space="0" w:color="auto"/>
      </w:divBdr>
    </w:div>
    <w:div w:id="1098789904">
      <w:bodyDiv w:val="1"/>
      <w:marLeft w:val="0"/>
      <w:marRight w:val="0"/>
      <w:marTop w:val="0"/>
      <w:marBottom w:val="0"/>
      <w:divBdr>
        <w:top w:val="none" w:sz="0" w:space="0" w:color="auto"/>
        <w:left w:val="none" w:sz="0" w:space="0" w:color="auto"/>
        <w:bottom w:val="none" w:sz="0" w:space="0" w:color="auto"/>
        <w:right w:val="none" w:sz="0" w:space="0" w:color="auto"/>
      </w:divBdr>
    </w:div>
    <w:div w:id="1099057565">
      <w:bodyDiv w:val="1"/>
      <w:marLeft w:val="0"/>
      <w:marRight w:val="0"/>
      <w:marTop w:val="0"/>
      <w:marBottom w:val="0"/>
      <w:divBdr>
        <w:top w:val="none" w:sz="0" w:space="0" w:color="auto"/>
        <w:left w:val="none" w:sz="0" w:space="0" w:color="auto"/>
        <w:bottom w:val="none" w:sz="0" w:space="0" w:color="auto"/>
        <w:right w:val="none" w:sz="0" w:space="0" w:color="auto"/>
      </w:divBdr>
    </w:div>
    <w:div w:id="1099061709">
      <w:bodyDiv w:val="1"/>
      <w:marLeft w:val="0"/>
      <w:marRight w:val="0"/>
      <w:marTop w:val="0"/>
      <w:marBottom w:val="0"/>
      <w:divBdr>
        <w:top w:val="none" w:sz="0" w:space="0" w:color="auto"/>
        <w:left w:val="none" w:sz="0" w:space="0" w:color="auto"/>
        <w:bottom w:val="none" w:sz="0" w:space="0" w:color="auto"/>
        <w:right w:val="none" w:sz="0" w:space="0" w:color="auto"/>
      </w:divBdr>
    </w:div>
    <w:div w:id="1099104908">
      <w:bodyDiv w:val="1"/>
      <w:marLeft w:val="0"/>
      <w:marRight w:val="0"/>
      <w:marTop w:val="0"/>
      <w:marBottom w:val="0"/>
      <w:divBdr>
        <w:top w:val="none" w:sz="0" w:space="0" w:color="auto"/>
        <w:left w:val="none" w:sz="0" w:space="0" w:color="auto"/>
        <w:bottom w:val="none" w:sz="0" w:space="0" w:color="auto"/>
        <w:right w:val="none" w:sz="0" w:space="0" w:color="auto"/>
      </w:divBdr>
    </w:div>
    <w:div w:id="1099108173">
      <w:bodyDiv w:val="1"/>
      <w:marLeft w:val="0"/>
      <w:marRight w:val="0"/>
      <w:marTop w:val="0"/>
      <w:marBottom w:val="0"/>
      <w:divBdr>
        <w:top w:val="none" w:sz="0" w:space="0" w:color="auto"/>
        <w:left w:val="none" w:sz="0" w:space="0" w:color="auto"/>
        <w:bottom w:val="none" w:sz="0" w:space="0" w:color="auto"/>
        <w:right w:val="none" w:sz="0" w:space="0" w:color="auto"/>
      </w:divBdr>
    </w:div>
    <w:div w:id="1099183334">
      <w:bodyDiv w:val="1"/>
      <w:marLeft w:val="0"/>
      <w:marRight w:val="0"/>
      <w:marTop w:val="0"/>
      <w:marBottom w:val="0"/>
      <w:divBdr>
        <w:top w:val="none" w:sz="0" w:space="0" w:color="auto"/>
        <w:left w:val="none" w:sz="0" w:space="0" w:color="auto"/>
        <w:bottom w:val="none" w:sz="0" w:space="0" w:color="auto"/>
        <w:right w:val="none" w:sz="0" w:space="0" w:color="auto"/>
      </w:divBdr>
    </w:div>
    <w:div w:id="1099252875">
      <w:bodyDiv w:val="1"/>
      <w:marLeft w:val="0"/>
      <w:marRight w:val="0"/>
      <w:marTop w:val="0"/>
      <w:marBottom w:val="0"/>
      <w:divBdr>
        <w:top w:val="none" w:sz="0" w:space="0" w:color="auto"/>
        <w:left w:val="none" w:sz="0" w:space="0" w:color="auto"/>
        <w:bottom w:val="none" w:sz="0" w:space="0" w:color="auto"/>
        <w:right w:val="none" w:sz="0" w:space="0" w:color="auto"/>
      </w:divBdr>
    </w:div>
    <w:div w:id="1099451471">
      <w:bodyDiv w:val="1"/>
      <w:marLeft w:val="0"/>
      <w:marRight w:val="0"/>
      <w:marTop w:val="0"/>
      <w:marBottom w:val="0"/>
      <w:divBdr>
        <w:top w:val="none" w:sz="0" w:space="0" w:color="auto"/>
        <w:left w:val="none" w:sz="0" w:space="0" w:color="auto"/>
        <w:bottom w:val="none" w:sz="0" w:space="0" w:color="auto"/>
        <w:right w:val="none" w:sz="0" w:space="0" w:color="auto"/>
      </w:divBdr>
    </w:div>
    <w:div w:id="1099523469">
      <w:bodyDiv w:val="1"/>
      <w:marLeft w:val="0"/>
      <w:marRight w:val="0"/>
      <w:marTop w:val="0"/>
      <w:marBottom w:val="0"/>
      <w:divBdr>
        <w:top w:val="none" w:sz="0" w:space="0" w:color="auto"/>
        <w:left w:val="none" w:sz="0" w:space="0" w:color="auto"/>
        <w:bottom w:val="none" w:sz="0" w:space="0" w:color="auto"/>
        <w:right w:val="none" w:sz="0" w:space="0" w:color="auto"/>
      </w:divBdr>
    </w:div>
    <w:div w:id="1099641571">
      <w:bodyDiv w:val="1"/>
      <w:marLeft w:val="0"/>
      <w:marRight w:val="0"/>
      <w:marTop w:val="0"/>
      <w:marBottom w:val="0"/>
      <w:divBdr>
        <w:top w:val="none" w:sz="0" w:space="0" w:color="auto"/>
        <w:left w:val="none" w:sz="0" w:space="0" w:color="auto"/>
        <w:bottom w:val="none" w:sz="0" w:space="0" w:color="auto"/>
        <w:right w:val="none" w:sz="0" w:space="0" w:color="auto"/>
      </w:divBdr>
    </w:div>
    <w:div w:id="1099715202">
      <w:bodyDiv w:val="1"/>
      <w:marLeft w:val="0"/>
      <w:marRight w:val="0"/>
      <w:marTop w:val="0"/>
      <w:marBottom w:val="0"/>
      <w:divBdr>
        <w:top w:val="none" w:sz="0" w:space="0" w:color="auto"/>
        <w:left w:val="none" w:sz="0" w:space="0" w:color="auto"/>
        <w:bottom w:val="none" w:sz="0" w:space="0" w:color="auto"/>
        <w:right w:val="none" w:sz="0" w:space="0" w:color="auto"/>
      </w:divBdr>
    </w:div>
    <w:div w:id="1099908155">
      <w:bodyDiv w:val="1"/>
      <w:marLeft w:val="0"/>
      <w:marRight w:val="0"/>
      <w:marTop w:val="0"/>
      <w:marBottom w:val="0"/>
      <w:divBdr>
        <w:top w:val="none" w:sz="0" w:space="0" w:color="auto"/>
        <w:left w:val="none" w:sz="0" w:space="0" w:color="auto"/>
        <w:bottom w:val="none" w:sz="0" w:space="0" w:color="auto"/>
        <w:right w:val="none" w:sz="0" w:space="0" w:color="auto"/>
      </w:divBdr>
    </w:div>
    <w:div w:id="1099987906">
      <w:bodyDiv w:val="1"/>
      <w:marLeft w:val="0"/>
      <w:marRight w:val="0"/>
      <w:marTop w:val="0"/>
      <w:marBottom w:val="0"/>
      <w:divBdr>
        <w:top w:val="none" w:sz="0" w:space="0" w:color="auto"/>
        <w:left w:val="none" w:sz="0" w:space="0" w:color="auto"/>
        <w:bottom w:val="none" w:sz="0" w:space="0" w:color="auto"/>
        <w:right w:val="none" w:sz="0" w:space="0" w:color="auto"/>
      </w:divBdr>
    </w:div>
    <w:div w:id="1100024592">
      <w:bodyDiv w:val="1"/>
      <w:marLeft w:val="0"/>
      <w:marRight w:val="0"/>
      <w:marTop w:val="0"/>
      <w:marBottom w:val="0"/>
      <w:divBdr>
        <w:top w:val="none" w:sz="0" w:space="0" w:color="auto"/>
        <w:left w:val="none" w:sz="0" w:space="0" w:color="auto"/>
        <w:bottom w:val="none" w:sz="0" w:space="0" w:color="auto"/>
        <w:right w:val="none" w:sz="0" w:space="0" w:color="auto"/>
      </w:divBdr>
    </w:div>
    <w:div w:id="1100101978">
      <w:bodyDiv w:val="1"/>
      <w:marLeft w:val="0"/>
      <w:marRight w:val="0"/>
      <w:marTop w:val="0"/>
      <w:marBottom w:val="0"/>
      <w:divBdr>
        <w:top w:val="none" w:sz="0" w:space="0" w:color="auto"/>
        <w:left w:val="none" w:sz="0" w:space="0" w:color="auto"/>
        <w:bottom w:val="none" w:sz="0" w:space="0" w:color="auto"/>
        <w:right w:val="none" w:sz="0" w:space="0" w:color="auto"/>
      </w:divBdr>
    </w:div>
    <w:div w:id="1100102324">
      <w:bodyDiv w:val="1"/>
      <w:marLeft w:val="0"/>
      <w:marRight w:val="0"/>
      <w:marTop w:val="0"/>
      <w:marBottom w:val="0"/>
      <w:divBdr>
        <w:top w:val="none" w:sz="0" w:space="0" w:color="auto"/>
        <w:left w:val="none" w:sz="0" w:space="0" w:color="auto"/>
        <w:bottom w:val="none" w:sz="0" w:space="0" w:color="auto"/>
        <w:right w:val="none" w:sz="0" w:space="0" w:color="auto"/>
      </w:divBdr>
    </w:div>
    <w:div w:id="1100108035">
      <w:bodyDiv w:val="1"/>
      <w:marLeft w:val="0"/>
      <w:marRight w:val="0"/>
      <w:marTop w:val="0"/>
      <w:marBottom w:val="0"/>
      <w:divBdr>
        <w:top w:val="none" w:sz="0" w:space="0" w:color="auto"/>
        <w:left w:val="none" w:sz="0" w:space="0" w:color="auto"/>
        <w:bottom w:val="none" w:sz="0" w:space="0" w:color="auto"/>
        <w:right w:val="none" w:sz="0" w:space="0" w:color="auto"/>
      </w:divBdr>
    </w:div>
    <w:div w:id="1100218769">
      <w:bodyDiv w:val="1"/>
      <w:marLeft w:val="0"/>
      <w:marRight w:val="0"/>
      <w:marTop w:val="0"/>
      <w:marBottom w:val="0"/>
      <w:divBdr>
        <w:top w:val="none" w:sz="0" w:space="0" w:color="auto"/>
        <w:left w:val="none" w:sz="0" w:space="0" w:color="auto"/>
        <w:bottom w:val="none" w:sz="0" w:space="0" w:color="auto"/>
        <w:right w:val="none" w:sz="0" w:space="0" w:color="auto"/>
      </w:divBdr>
    </w:div>
    <w:div w:id="1100370772">
      <w:bodyDiv w:val="1"/>
      <w:marLeft w:val="0"/>
      <w:marRight w:val="0"/>
      <w:marTop w:val="0"/>
      <w:marBottom w:val="0"/>
      <w:divBdr>
        <w:top w:val="none" w:sz="0" w:space="0" w:color="auto"/>
        <w:left w:val="none" w:sz="0" w:space="0" w:color="auto"/>
        <w:bottom w:val="none" w:sz="0" w:space="0" w:color="auto"/>
        <w:right w:val="none" w:sz="0" w:space="0" w:color="auto"/>
      </w:divBdr>
    </w:div>
    <w:div w:id="1100487459">
      <w:bodyDiv w:val="1"/>
      <w:marLeft w:val="0"/>
      <w:marRight w:val="0"/>
      <w:marTop w:val="0"/>
      <w:marBottom w:val="0"/>
      <w:divBdr>
        <w:top w:val="none" w:sz="0" w:space="0" w:color="auto"/>
        <w:left w:val="none" w:sz="0" w:space="0" w:color="auto"/>
        <w:bottom w:val="none" w:sz="0" w:space="0" w:color="auto"/>
        <w:right w:val="none" w:sz="0" w:space="0" w:color="auto"/>
      </w:divBdr>
    </w:div>
    <w:div w:id="1100566046">
      <w:bodyDiv w:val="1"/>
      <w:marLeft w:val="0"/>
      <w:marRight w:val="0"/>
      <w:marTop w:val="0"/>
      <w:marBottom w:val="0"/>
      <w:divBdr>
        <w:top w:val="none" w:sz="0" w:space="0" w:color="auto"/>
        <w:left w:val="none" w:sz="0" w:space="0" w:color="auto"/>
        <w:bottom w:val="none" w:sz="0" w:space="0" w:color="auto"/>
        <w:right w:val="none" w:sz="0" w:space="0" w:color="auto"/>
      </w:divBdr>
    </w:div>
    <w:div w:id="1100642075">
      <w:bodyDiv w:val="1"/>
      <w:marLeft w:val="0"/>
      <w:marRight w:val="0"/>
      <w:marTop w:val="0"/>
      <w:marBottom w:val="0"/>
      <w:divBdr>
        <w:top w:val="none" w:sz="0" w:space="0" w:color="auto"/>
        <w:left w:val="none" w:sz="0" w:space="0" w:color="auto"/>
        <w:bottom w:val="none" w:sz="0" w:space="0" w:color="auto"/>
        <w:right w:val="none" w:sz="0" w:space="0" w:color="auto"/>
      </w:divBdr>
    </w:div>
    <w:div w:id="1100684602">
      <w:bodyDiv w:val="1"/>
      <w:marLeft w:val="0"/>
      <w:marRight w:val="0"/>
      <w:marTop w:val="0"/>
      <w:marBottom w:val="0"/>
      <w:divBdr>
        <w:top w:val="none" w:sz="0" w:space="0" w:color="auto"/>
        <w:left w:val="none" w:sz="0" w:space="0" w:color="auto"/>
        <w:bottom w:val="none" w:sz="0" w:space="0" w:color="auto"/>
        <w:right w:val="none" w:sz="0" w:space="0" w:color="auto"/>
      </w:divBdr>
    </w:div>
    <w:div w:id="1100685366">
      <w:bodyDiv w:val="1"/>
      <w:marLeft w:val="0"/>
      <w:marRight w:val="0"/>
      <w:marTop w:val="0"/>
      <w:marBottom w:val="0"/>
      <w:divBdr>
        <w:top w:val="none" w:sz="0" w:space="0" w:color="auto"/>
        <w:left w:val="none" w:sz="0" w:space="0" w:color="auto"/>
        <w:bottom w:val="none" w:sz="0" w:space="0" w:color="auto"/>
        <w:right w:val="none" w:sz="0" w:space="0" w:color="auto"/>
      </w:divBdr>
    </w:div>
    <w:div w:id="1100837353">
      <w:bodyDiv w:val="1"/>
      <w:marLeft w:val="0"/>
      <w:marRight w:val="0"/>
      <w:marTop w:val="0"/>
      <w:marBottom w:val="0"/>
      <w:divBdr>
        <w:top w:val="none" w:sz="0" w:space="0" w:color="auto"/>
        <w:left w:val="none" w:sz="0" w:space="0" w:color="auto"/>
        <w:bottom w:val="none" w:sz="0" w:space="0" w:color="auto"/>
        <w:right w:val="none" w:sz="0" w:space="0" w:color="auto"/>
      </w:divBdr>
    </w:div>
    <w:div w:id="1100877321">
      <w:bodyDiv w:val="1"/>
      <w:marLeft w:val="0"/>
      <w:marRight w:val="0"/>
      <w:marTop w:val="0"/>
      <w:marBottom w:val="0"/>
      <w:divBdr>
        <w:top w:val="none" w:sz="0" w:space="0" w:color="auto"/>
        <w:left w:val="none" w:sz="0" w:space="0" w:color="auto"/>
        <w:bottom w:val="none" w:sz="0" w:space="0" w:color="auto"/>
        <w:right w:val="none" w:sz="0" w:space="0" w:color="auto"/>
      </w:divBdr>
    </w:div>
    <w:div w:id="1101031642">
      <w:bodyDiv w:val="1"/>
      <w:marLeft w:val="0"/>
      <w:marRight w:val="0"/>
      <w:marTop w:val="0"/>
      <w:marBottom w:val="0"/>
      <w:divBdr>
        <w:top w:val="none" w:sz="0" w:space="0" w:color="auto"/>
        <w:left w:val="none" w:sz="0" w:space="0" w:color="auto"/>
        <w:bottom w:val="none" w:sz="0" w:space="0" w:color="auto"/>
        <w:right w:val="none" w:sz="0" w:space="0" w:color="auto"/>
      </w:divBdr>
    </w:div>
    <w:div w:id="1101031985">
      <w:bodyDiv w:val="1"/>
      <w:marLeft w:val="0"/>
      <w:marRight w:val="0"/>
      <w:marTop w:val="0"/>
      <w:marBottom w:val="0"/>
      <w:divBdr>
        <w:top w:val="none" w:sz="0" w:space="0" w:color="auto"/>
        <w:left w:val="none" w:sz="0" w:space="0" w:color="auto"/>
        <w:bottom w:val="none" w:sz="0" w:space="0" w:color="auto"/>
        <w:right w:val="none" w:sz="0" w:space="0" w:color="auto"/>
      </w:divBdr>
    </w:div>
    <w:div w:id="1101294110">
      <w:bodyDiv w:val="1"/>
      <w:marLeft w:val="0"/>
      <w:marRight w:val="0"/>
      <w:marTop w:val="0"/>
      <w:marBottom w:val="0"/>
      <w:divBdr>
        <w:top w:val="none" w:sz="0" w:space="0" w:color="auto"/>
        <w:left w:val="none" w:sz="0" w:space="0" w:color="auto"/>
        <w:bottom w:val="none" w:sz="0" w:space="0" w:color="auto"/>
        <w:right w:val="none" w:sz="0" w:space="0" w:color="auto"/>
      </w:divBdr>
    </w:div>
    <w:div w:id="1101338526">
      <w:bodyDiv w:val="1"/>
      <w:marLeft w:val="0"/>
      <w:marRight w:val="0"/>
      <w:marTop w:val="0"/>
      <w:marBottom w:val="0"/>
      <w:divBdr>
        <w:top w:val="none" w:sz="0" w:space="0" w:color="auto"/>
        <w:left w:val="none" w:sz="0" w:space="0" w:color="auto"/>
        <w:bottom w:val="none" w:sz="0" w:space="0" w:color="auto"/>
        <w:right w:val="none" w:sz="0" w:space="0" w:color="auto"/>
      </w:divBdr>
    </w:div>
    <w:div w:id="1101410003">
      <w:bodyDiv w:val="1"/>
      <w:marLeft w:val="0"/>
      <w:marRight w:val="0"/>
      <w:marTop w:val="0"/>
      <w:marBottom w:val="0"/>
      <w:divBdr>
        <w:top w:val="none" w:sz="0" w:space="0" w:color="auto"/>
        <w:left w:val="none" w:sz="0" w:space="0" w:color="auto"/>
        <w:bottom w:val="none" w:sz="0" w:space="0" w:color="auto"/>
        <w:right w:val="none" w:sz="0" w:space="0" w:color="auto"/>
      </w:divBdr>
    </w:div>
    <w:div w:id="1101415494">
      <w:bodyDiv w:val="1"/>
      <w:marLeft w:val="0"/>
      <w:marRight w:val="0"/>
      <w:marTop w:val="0"/>
      <w:marBottom w:val="0"/>
      <w:divBdr>
        <w:top w:val="none" w:sz="0" w:space="0" w:color="auto"/>
        <w:left w:val="none" w:sz="0" w:space="0" w:color="auto"/>
        <w:bottom w:val="none" w:sz="0" w:space="0" w:color="auto"/>
        <w:right w:val="none" w:sz="0" w:space="0" w:color="auto"/>
      </w:divBdr>
    </w:div>
    <w:div w:id="1101603468">
      <w:bodyDiv w:val="1"/>
      <w:marLeft w:val="0"/>
      <w:marRight w:val="0"/>
      <w:marTop w:val="0"/>
      <w:marBottom w:val="0"/>
      <w:divBdr>
        <w:top w:val="none" w:sz="0" w:space="0" w:color="auto"/>
        <w:left w:val="none" w:sz="0" w:space="0" w:color="auto"/>
        <w:bottom w:val="none" w:sz="0" w:space="0" w:color="auto"/>
        <w:right w:val="none" w:sz="0" w:space="0" w:color="auto"/>
      </w:divBdr>
    </w:div>
    <w:div w:id="1101680414">
      <w:bodyDiv w:val="1"/>
      <w:marLeft w:val="0"/>
      <w:marRight w:val="0"/>
      <w:marTop w:val="0"/>
      <w:marBottom w:val="0"/>
      <w:divBdr>
        <w:top w:val="none" w:sz="0" w:space="0" w:color="auto"/>
        <w:left w:val="none" w:sz="0" w:space="0" w:color="auto"/>
        <w:bottom w:val="none" w:sz="0" w:space="0" w:color="auto"/>
        <w:right w:val="none" w:sz="0" w:space="0" w:color="auto"/>
      </w:divBdr>
    </w:div>
    <w:div w:id="1101680439">
      <w:bodyDiv w:val="1"/>
      <w:marLeft w:val="0"/>
      <w:marRight w:val="0"/>
      <w:marTop w:val="0"/>
      <w:marBottom w:val="0"/>
      <w:divBdr>
        <w:top w:val="none" w:sz="0" w:space="0" w:color="auto"/>
        <w:left w:val="none" w:sz="0" w:space="0" w:color="auto"/>
        <w:bottom w:val="none" w:sz="0" w:space="0" w:color="auto"/>
        <w:right w:val="none" w:sz="0" w:space="0" w:color="auto"/>
      </w:divBdr>
    </w:div>
    <w:div w:id="1101682195">
      <w:bodyDiv w:val="1"/>
      <w:marLeft w:val="0"/>
      <w:marRight w:val="0"/>
      <w:marTop w:val="0"/>
      <w:marBottom w:val="0"/>
      <w:divBdr>
        <w:top w:val="none" w:sz="0" w:space="0" w:color="auto"/>
        <w:left w:val="none" w:sz="0" w:space="0" w:color="auto"/>
        <w:bottom w:val="none" w:sz="0" w:space="0" w:color="auto"/>
        <w:right w:val="none" w:sz="0" w:space="0" w:color="auto"/>
      </w:divBdr>
    </w:div>
    <w:div w:id="1101796845">
      <w:bodyDiv w:val="1"/>
      <w:marLeft w:val="0"/>
      <w:marRight w:val="0"/>
      <w:marTop w:val="0"/>
      <w:marBottom w:val="0"/>
      <w:divBdr>
        <w:top w:val="none" w:sz="0" w:space="0" w:color="auto"/>
        <w:left w:val="none" w:sz="0" w:space="0" w:color="auto"/>
        <w:bottom w:val="none" w:sz="0" w:space="0" w:color="auto"/>
        <w:right w:val="none" w:sz="0" w:space="0" w:color="auto"/>
      </w:divBdr>
    </w:div>
    <w:div w:id="1101952866">
      <w:bodyDiv w:val="1"/>
      <w:marLeft w:val="0"/>
      <w:marRight w:val="0"/>
      <w:marTop w:val="0"/>
      <w:marBottom w:val="0"/>
      <w:divBdr>
        <w:top w:val="none" w:sz="0" w:space="0" w:color="auto"/>
        <w:left w:val="none" w:sz="0" w:space="0" w:color="auto"/>
        <w:bottom w:val="none" w:sz="0" w:space="0" w:color="auto"/>
        <w:right w:val="none" w:sz="0" w:space="0" w:color="auto"/>
      </w:divBdr>
    </w:div>
    <w:div w:id="1102067267">
      <w:bodyDiv w:val="1"/>
      <w:marLeft w:val="0"/>
      <w:marRight w:val="0"/>
      <w:marTop w:val="0"/>
      <w:marBottom w:val="0"/>
      <w:divBdr>
        <w:top w:val="none" w:sz="0" w:space="0" w:color="auto"/>
        <w:left w:val="none" w:sz="0" w:space="0" w:color="auto"/>
        <w:bottom w:val="none" w:sz="0" w:space="0" w:color="auto"/>
        <w:right w:val="none" w:sz="0" w:space="0" w:color="auto"/>
      </w:divBdr>
    </w:div>
    <w:div w:id="1102144838">
      <w:bodyDiv w:val="1"/>
      <w:marLeft w:val="0"/>
      <w:marRight w:val="0"/>
      <w:marTop w:val="0"/>
      <w:marBottom w:val="0"/>
      <w:divBdr>
        <w:top w:val="none" w:sz="0" w:space="0" w:color="auto"/>
        <w:left w:val="none" w:sz="0" w:space="0" w:color="auto"/>
        <w:bottom w:val="none" w:sz="0" w:space="0" w:color="auto"/>
        <w:right w:val="none" w:sz="0" w:space="0" w:color="auto"/>
      </w:divBdr>
    </w:div>
    <w:div w:id="1102146743">
      <w:bodyDiv w:val="1"/>
      <w:marLeft w:val="0"/>
      <w:marRight w:val="0"/>
      <w:marTop w:val="0"/>
      <w:marBottom w:val="0"/>
      <w:divBdr>
        <w:top w:val="none" w:sz="0" w:space="0" w:color="auto"/>
        <w:left w:val="none" w:sz="0" w:space="0" w:color="auto"/>
        <w:bottom w:val="none" w:sz="0" w:space="0" w:color="auto"/>
        <w:right w:val="none" w:sz="0" w:space="0" w:color="auto"/>
      </w:divBdr>
    </w:div>
    <w:div w:id="1102456381">
      <w:bodyDiv w:val="1"/>
      <w:marLeft w:val="0"/>
      <w:marRight w:val="0"/>
      <w:marTop w:val="0"/>
      <w:marBottom w:val="0"/>
      <w:divBdr>
        <w:top w:val="none" w:sz="0" w:space="0" w:color="auto"/>
        <w:left w:val="none" w:sz="0" w:space="0" w:color="auto"/>
        <w:bottom w:val="none" w:sz="0" w:space="0" w:color="auto"/>
        <w:right w:val="none" w:sz="0" w:space="0" w:color="auto"/>
      </w:divBdr>
    </w:div>
    <w:div w:id="1102528608">
      <w:bodyDiv w:val="1"/>
      <w:marLeft w:val="0"/>
      <w:marRight w:val="0"/>
      <w:marTop w:val="0"/>
      <w:marBottom w:val="0"/>
      <w:divBdr>
        <w:top w:val="none" w:sz="0" w:space="0" w:color="auto"/>
        <w:left w:val="none" w:sz="0" w:space="0" w:color="auto"/>
        <w:bottom w:val="none" w:sz="0" w:space="0" w:color="auto"/>
        <w:right w:val="none" w:sz="0" w:space="0" w:color="auto"/>
      </w:divBdr>
    </w:div>
    <w:div w:id="1102649484">
      <w:bodyDiv w:val="1"/>
      <w:marLeft w:val="0"/>
      <w:marRight w:val="0"/>
      <w:marTop w:val="0"/>
      <w:marBottom w:val="0"/>
      <w:divBdr>
        <w:top w:val="none" w:sz="0" w:space="0" w:color="auto"/>
        <w:left w:val="none" w:sz="0" w:space="0" w:color="auto"/>
        <w:bottom w:val="none" w:sz="0" w:space="0" w:color="auto"/>
        <w:right w:val="none" w:sz="0" w:space="0" w:color="auto"/>
      </w:divBdr>
    </w:div>
    <w:div w:id="1102650874">
      <w:bodyDiv w:val="1"/>
      <w:marLeft w:val="0"/>
      <w:marRight w:val="0"/>
      <w:marTop w:val="0"/>
      <w:marBottom w:val="0"/>
      <w:divBdr>
        <w:top w:val="none" w:sz="0" w:space="0" w:color="auto"/>
        <w:left w:val="none" w:sz="0" w:space="0" w:color="auto"/>
        <w:bottom w:val="none" w:sz="0" w:space="0" w:color="auto"/>
        <w:right w:val="none" w:sz="0" w:space="0" w:color="auto"/>
      </w:divBdr>
    </w:div>
    <w:div w:id="1102914224">
      <w:bodyDiv w:val="1"/>
      <w:marLeft w:val="0"/>
      <w:marRight w:val="0"/>
      <w:marTop w:val="0"/>
      <w:marBottom w:val="0"/>
      <w:divBdr>
        <w:top w:val="none" w:sz="0" w:space="0" w:color="auto"/>
        <w:left w:val="none" w:sz="0" w:space="0" w:color="auto"/>
        <w:bottom w:val="none" w:sz="0" w:space="0" w:color="auto"/>
        <w:right w:val="none" w:sz="0" w:space="0" w:color="auto"/>
      </w:divBdr>
    </w:div>
    <w:div w:id="1103569026">
      <w:bodyDiv w:val="1"/>
      <w:marLeft w:val="0"/>
      <w:marRight w:val="0"/>
      <w:marTop w:val="0"/>
      <w:marBottom w:val="0"/>
      <w:divBdr>
        <w:top w:val="none" w:sz="0" w:space="0" w:color="auto"/>
        <w:left w:val="none" w:sz="0" w:space="0" w:color="auto"/>
        <w:bottom w:val="none" w:sz="0" w:space="0" w:color="auto"/>
        <w:right w:val="none" w:sz="0" w:space="0" w:color="auto"/>
      </w:divBdr>
    </w:div>
    <w:div w:id="1103577442">
      <w:bodyDiv w:val="1"/>
      <w:marLeft w:val="0"/>
      <w:marRight w:val="0"/>
      <w:marTop w:val="0"/>
      <w:marBottom w:val="0"/>
      <w:divBdr>
        <w:top w:val="none" w:sz="0" w:space="0" w:color="auto"/>
        <w:left w:val="none" w:sz="0" w:space="0" w:color="auto"/>
        <w:bottom w:val="none" w:sz="0" w:space="0" w:color="auto"/>
        <w:right w:val="none" w:sz="0" w:space="0" w:color="auto"/>
      </w:divBdr>
    </w:div>
    <w:div w:id="1103577785">
      <w:bodyDiv w:val="1"/>
      <w:marLeft w:val="0"/>
      <w:marRight w:val="0"/>
      <w:marTop w:val="0"/>
      <w:marBottom w:val="0"/>
      <w:divBdr>
        <w:top w:val="none" w:sz="0" w:space="0" w:color="auto"/>
        <w:left w:val="none" w:sz="0" w:space="0" w:color="auto"/>
        <w:bottom w:val="none" w:sz="0" w:space="0" w:color="auto"/>
        <w:right w:val="none" w:sz="0" w:space="0" w:color="auto"/>
      </w:divBdr>
    </w:div>
    <w:div w:id="1103763631">
      <w:bodyDiv w:val="1"/>
      <w:marLeft w:val="0"/>
      <w:marRight w:val="0"/>
      <w:marTop w:val="0"/>
      <w:marBottom w:val="0"/>
      <w:divBdr>
        <w:top w:val="none" w:sz="0" w:space="0" w:color="auto"/>
        <w:left w:val="none" w:sz="0" w:space="0" w:color="auto"/>
        <w:bottom w:val="none" w:sz="0" w:space="0" w:color="auto"/>
        <w:right w:val="none" w:sz="0" w:space="0" w:color="auto"/>
      </w:divBdr>
    </w:div>
    <w:div w:id="1103766582">
      <w:bodyDiv w:val="1"/>
      <w:marLeft w:val="0"/>
      <w:marRight w:val="0"/>
      <w:marTop w:val="0"/>
      <w:marBottom w:val="0"/>
      <w:divBdr>
        <w:top w:val="none" w:sz="0" w:space="0" w:color="auto"/>
        <w:left w:val="none" w:sz="0" w:space="0" w:color="auto"/>
        <w:bottom w:val="none" w:sz="0" w:space="0" w:color="auto"/>
        <w:right w:val="none" w:sz="0" w:space="0" w:color="auto"/>
      </w:divBdr>
    </w:div>
    <w:div w:id="1103840750">
      <w:bodyDiv w:val="1"/>
      <w:marLeft w:val="0"/>
      <w:marRight w:val="0"/>
      <w:marTop w:val="0"/>
      <w:marBottom w:val="0"/>
      <w:divBdr>
        <w:top w:val="none" w:sz="0" w:space="0" w:color="auto"/>
        <w:left w:val="none" w:sz="0" w:space="0" w:color="auto"/>
        <w:bottom w:val="none" w:sz="0" w:space="0" w:color="auto"/>
        <w:right w:val="none" w:sz="0" w:space="0" w:color="auto"/>
      </w:divBdr>
    </w:div>
    <w:div w:id="1103918908">
      <w:bodyDiv w:val="1"/>
      <w:marLeft w:val="0"/>
      <w:marRight w:val="0"/>
      <w:marTop w:val="0"/>
      <w:marBottom w:val="0"/>
      <w:divBdr>
        <w:top w:val="none" w:sz="0" w:space="0" w:color="auto"/>
        <w:left w:val="none" w:sz="0" w:space="0" w:color="auto"/>
        <w:bottom w:val="none" w:sz="0" w:space="0" w:color="auto"/>
        <w:right w:val="none" w:sz="0" w:space="0" w:color="auto"/>
      </w:divBdr>
    </w:div>
    <w:div w:id="1104228786">
      <w:bodyDiv w:val="1"/>
      <w:marLeft w:val="0"/>
      <w:marRight w:val="0"/>
      <w:marTop w:val="0"/>
      <w:marBottom w:val="0"/>
      <w:divBdr>
        <w:top w:val="none" w:sz="0" w:space="0" w:color="auto"/>
        <w:left w:val="none" w:sz="0" w:space="0" w:color="auto"/>
        <w:bottom w:val="none" w:sz="0" w:space="0" w:color="auto"/>
        <w:right w:val="none" w:sz="0" w:space="0" w:color="auto"/>
      </w:divBdr>
    </w:div>
    <w:div w:id="1104229827">
      <w:bodyDiv w:val="1"/>
      <w:marLeft w:val="0"/>
      <w:marRight w:val="0"/>
      <w:marTop w:val="0"/>
      <w:marBottom w:val="0"/>
      <w:divBdr>
        <w:top w:val="none" w:sz="0" w:space="0" w:color="auto"/>
        <w:left w:val="none" w:sz="0" w:space="0" w:color="auto"/>
        <w:bottom w:val="none" w:sz="0" w:space="0" w:color="auto"/>
        <w:right w:val="none" w:sz="0" w:space="0" w:color="auto"/>
      </w:divBdr>
    </w:div>
    <w:div w:id="1104418704">
      <w:bodyDiv w:val="1"/>
      <w:marLeft w:val="0"/>
      <w:marRight w:val="0"/>
      <w:marTop w:val="0"/>
      <w:marBottom w:val="0"/>
      <w:divBdr>
        <w:top w:val="none" w:sz="0" w:space="0" w:color="auto"/>
        <w:left w:val="none" w:sz="0" w:space="0" w:color="auto"/>
        <w:bottom w:val="none" w:sz="0" w:space="0" w:color="auto"/>
        <w:right w:val="none" w:sz="0" w:space="0" w:color="auto"/>
      </w:divBdr>
    </w:div>
    <w:div w:id="1104619863">
      <w:bodyDiv w:val="1"/>
      <w:marLeft w:val="0"/>
      <w:marRight w:val="0"/>
      <w:marTop w:val="0"/>
      <w:marBottom w:val="0"/>
      <w:divBdr>
        <w:top w:val="none" w:sz="0" w:space="0" w:color="auto"/>
        <w:left w:val="none" w:sz="0" w:space="0" w:color="auto"/>
        <w:bottom w:val="none" w:sz="0" w:space="0" w:color="auto"/>
        <w:right w:val="none" w:sz="0" w:space="0" w:color="auto"/>
      </w:divBdr>
    </w:div>
    <w:div w:id="1104838588">
      <w:bodyDiv w:val="1"/>
      <w:marLeft w:val="0"/>
      <w:marRight w:val="0"/>
      <w:marTop w:val="0"/>
      <w:marBottom w:val="0"/>
      <w:divBdr>
        <w:top w:val="none" w:sz="0" w:space="0" w:color="auto"/>
        <w:left w:val="none" w:sz="0" w:space="0" w:color="auto"/>
        <w:bottom w:val="none" w:sz="0" w:space="0" w:color="auto"/>
        <w:right w:val="none" w:sz="0" w:space="0" w:color="auto"/>
      </w:divBdr>
    </w:div>
    <w:div w:id="1104881364">
      <w:bodyDiv w:val="1"/>
      <w:marLeft w:val="0"/>
      <w:marRight w:val="0"/>
      <w:marTop w:val="0"/>
      <w:marBottom w:val="0"/>
      <w:divBdr>
        <w:top w:val="none" w:sz="0" w:space="0" w:color="auto"/>
        <w:left w:val="none" w:sz="0" w:space="0" w:color="auto"/>
        <w:bottom w:val="none" w:sz="0" w:space="0" w:color="auto"/>
        <w:right w:val="none" w:sz="0" w:space="0" w:color="auto"/>
      </w:divBdr>
    </w:div>
    <w:div w:id="1105034221">
      <w:bodyDiv w:val="1"/>
      <w:marLeft w:val="0"/>
      <w:marRight w:val="0"/>
      <w:marTop w:val="0"/>
      <w:marBottom w:val="0"/>
      <w:divBdr>
        <w:top w:val="none" w:sz="0" w:space="0" w:color="auto"/>
        <w:left w:val="none" w:sz="0" w:space="0" w:color="auto"/>
        <w:bottom w:val="none" w:sz="0" w:space="0" w:color="auto"/>
        <w:right w:val="none" w:sz="0" w:space="0" w:color="auto"/>
      </w:divBdr>
    </w:div>
    <w:div w:id="1105072882">
      <w:bodyDiv w:val="1"/>
      <w:marLeft w:val="0"/>
      <w:marRight w:val="0"/>
      <w:marTop w:val="0"/>
      <w:marBottom w:val="0"/>
      <w:divBdr>
        <w:top w:val="none" w:sz="0" w:space="0" w:color="auto"/>
        <w:left w:val="none" w:sz="0" w:space="0" w:color="auto"/>
        <w:bottom w:val="none" w:sz="0" w:space="0" w:color="auto"/>
        <w:right w:val="none" w:sz="0" w:space="0" w:color="auto"/>
      </w:divBdr>
    </w:div>
    <w:div w:id="1105080821">
      <w:bodyDiv w:val="1"/>
      <w:marLeft w:val="0"/>
      <w:marRight w:val="0"/>
      <w:marTop w:val="0"/>
      <w:marBottom w:val="0"/>
      <w:divBdr>
        <w:top w:val="none" w:sz="0" w:space="0" w:color="auto"/>
        <w:left w:val="none" w:sz="0" w:space="0" w:color="auto"/>
        <w:bottom w:val="none" w:sz="0" w:space="0" w:color="auto"/>
        <w:right w:val="none" w:sz="0" w:space="0" w:color="auto"/>
      </w:divBdr>
    </w:div>
    <w:div w:id="1105155923">
      <w:bodyDiv w:val="1"/>
      <w:marLeft w:val="0"/>
      <w:marRight w:val="0"/>
      <w:marTop w:val="0"/>
      <w:marBottom w:val="0"/>
      <w:divBdr>
        <w:top w:val="none" w:sz="0" w:space="0" w:color="auto"/>
        <w:left w:val="none" w:sz="0" w:space="0" w:color="auto"/>
        <w:bottom w:val="none" w:sz="0" w:space="0" w:color="auto"/>
        <w:right w:val="none" w:sz="0" w:space="0" w:color="auto"/>
      </w:divBdr>
    </w:div>
    <w:div w:id="1105199906">
      <w:bodyDiv w:val="1"/>
      <w:marLeft w:val="0"/>
      <w:marRight w:val="0"/>
      <w:marTop w:val="0"/>
      <w:marBottom w:val="0"/>
      <w:divBdr>
        <w:top w:val="none" w:sz="0" w:space="0" w:color="auto"/>
        <w:left w:val="none" w:sz="0" w:space="0" w:color="auto"/>
        <w:bottom w:val="none" w:sz="0" w:space="0" w:color="auto"/>
        <w:right w:val="none" w:sz="0" w:space="0" w:color="auto"/>
      </w:divBdr>
    </w:div>
    <w:div w:id="1105461868">
      <w:bodyDiv w:val="1"/>
      <w:marLeft w:val="0"/>
      <w:marRight w:val="0"/>
      <w:marTop w:val="0"/>
      <w:marBottom w:val="0"/>
      <w:divBdr>
        <w:top w:val="none" w:sz="0" w:space="0" w:color="auto"/>
        <w:left w:val="none" w:sz="0" w:space="0" w:color="auto"/>
        <w:bottom w:val="none" w:sz="0" w:space="0" w:color="auto"/>
        <w:right w:val="none" w:sz="0" w:space="0" w:color="auto"/>
      </w:divBdr>
    </w:div>
    <w:div w:id="1105540290">
      <w:bodyDiv w:val="1"/>
      <w:marLeft w:val="0"/>
      <w:marRight w:val="0"/>
      <w:marTop w:val="0"/>
      <w:marBottom w:val="0"/>
      <w:divBdr>
        <w:top w:val="none" w:sz="0" w:space="0" w:color="auto"/>
        <w:left w:val="none" w:sz="0" w:space="0" w:color="auto"/>
        <w:bottom w:val="none" w:sz="0" w:space="0" w:color="auto"/>
        <w:right w:val="none" w:sz="0" w:space="0" w:color="auto"/>
      </w:divBdr>
    </w:div>
    <w:div w:id="1105541802">
      <w:bodyDiv w:val="1"/>
      <w:marLeft w:val="0"/>
      <w:marRight w:val="0"/>
      <w:marTop w:val="0"/>
      <w:marBottom w:val="0"/>
      <w:divBdr>
        <w:top w:val="none" w:sz="0" w:space="0" w:color="auto"/>
        <w:left w:val="none" w:sz="0" w:space="0" w:color="auto"/>
        <w:bottom w:val="none" w:sz="0" w:space="0" w:color="auto"/>
        <w:right w:val="none" w:sz="0" w:space="0" w:color="auto"/>
      </w:divBdr>
    </w:div>
    <w:div w:id="1105661702">
      <w:bodyDiv w:val="1"/>
      <w:marLeft w:val="0"/>
      <w:marRight w:val="0"/>
      <w:marTop w:val="0"/>
      <w:marBottom w:val="0"/>
      <w:divBdr>
        <w:top w:val="none" w:sz="0" w:space="0" w:color="auto"/>
        <w:left w:val="none" w:sz="0" w:space="0" w:color="auto"/>
        <w:bottom w:val="none" w:sz="0" w:space="0" w:color="auto"/>
        <w:right w:val="none" w:sz="0" w:space="0" w:color="auto"/>
      </w:divBdr>
    </w:div>
    <w:div w:id="1105690144">
      <w:bodyDiv w:val="1"/>
      <w:marLeft w:val="0"/>
      <w:marRight w:val="0"/>
      <w:marTop w:val="0"/>
      <w:marBottom w:val="0"/>
      <w:divBdr>
        <w:top w:val="none" w:sz="0" w:space="0" w:color="auto"/>
        <w:left w:val="none" w:sz="0" w:space="0" w:color="auto"/>
        <w:bottom w:val="none" w:sz="0" w:space="0" w:color="auto"/>
        <w:right w:val="none" w:sz="0" w:space="0" w:color="auto"/>
      </w:divBdr>
    </w:div>
    <w:div w:id="1105808658">
      <w:bodyDiv w:val="1"/>
      <w:marLeft w:val="0"/>
      <w:marRight w:val="0"/>
      <w:marTop w:val="0"/>
      <w:marBottom w:val="0"/>
      <w:divBdr>
        <w:top w:val="none" w:sz="0" w:space="0" w:color="auto"/>
        <w:left w:val="none" w:sz="0" w:space="0" w:color="auto"/>
        <w:bottom w:val="none" w:sz="0" w:space="0" w:color="auto"/>
        <w:right w:val="none" w:sz="0" w:space="0" w:color="auto"/>
      </w:divBdr>
    </w:div>
    <w:div w:id="1105811133">
      <w:bodyDiv w:val="1"/>
      <w:marLeft w:val="0"/>
      <w:marRight w:val="0"/>
      <w:marTop w:val="0"/>
      <w:marBottom w:val="0"/>
      <w:divBdr>
        <w:top w:val="none" w:sz="0" w:space="0" w:color="auto"/>
        <w:left w:val="none" w:sz="0" w:space="0" w:color="auto"/>
        <w:bottom w:val="none" w:sz="0" w:space="0" w:color="auto"/>
        <w:right w:val="none" w:sz="0" w:space="0" w:color="auto"/>
      </w:divBdr>
    </w:div>
    <w:div w:id="1105998158">
      <w:bodyDiv w:val="1"/>
      <w:marLeft w:val="0"/>
      <w:marRight w:val="0"/>
      <w:marTop w:val="0"/>
      <w:marBottom w:val="0"/>
      <w:divBdr>
        <w:top w:val="none" w:sz="0" w:space="0" w:color="auto"/>
        <w:left w:val="none" w:sz="0" w:space="0" w:color="auto"/>
        <w:bottom w:val="none" w:sz="0" w:space="0" w:color="auto"/>
        <w:right w:val="none" w:sz="0" w:space="0" w:color="auto"/>
      </w:divBdr>
    </w:div>
    <w:div w:id="1106315398">
      <w:bodyDiv w:val="1"/>
      <w:marLeft w:val="0"/>
      <w:marRight w:val="0"/>
      <w:marTop w:val="0"/>
      <w:marBottom w:val="0"/>
      <w:divBdr>
        <w:top w:val="none" w:sz="0" w:space="0" w:color="auto"/>
        <w:left w:val="none" w:sz="0" w:space="0" w:color="auto"/>
        <w:bottom w:val="none" w:sz="0" w:space="0" w:color="auto"/>
        <w:right w:val="none" w:sz="0" w:space="0" w:color="auto"/>
      </w:divBdr>
    </w:div>
    <w:div w:id="1106537038">
      <w:bodyDiv w:val="1"/>
      <w:marLeft w:val="0"/>
      <w:marRight w:val="0"/>
      <w:marTop w:val="0"/>
      <w:marBottom w:val="0"/>
      <w:divBdr>
        <w:top w:val="none" w:sz="0" w:space="0" w:color="auto"/>
        <w:left w:val="none" w:sz="0" w:space="0" w:color="auto"/>
        <w:bottom w:val="none" w:sz="0" w:space="0" w:color="auto"/>
        <w:right w:val="none" w:sz="0" w:space="0" w:color="auto"/>
      </w:divBdr>
    </w:div>
    <w:div w:id="1106730813">
      <w:bodyDiv w:val="1"/>
      <w:marLeft w:val="0"/>
      <w:marRight w:val="0"/>
      <w:marTop w:val="0"/>
      <w:marBottom w:val="0"/>
      <w:divBdr>
        <w:top w:val="none" w:sz="0" w:space="0" w:color="auto"/>
        <w:left w:val="none" w:sz="0" w:space="0" w:color="auto"/>
        <w:bottom w:val="none" w:sz="0" w:space="0" w:color="auto"/>
        <w:right w:val="none" w:sz="0" w:space="0" w:color="auto"/>
      </w:divBdr>
    </w:div>
    <w:div w:id="1106847190">
      <w:bodyDiv w:val="1"/>
      <w:marLeft w:val="0"/>
      <w:marRight w:val="0"/>
      <w:marTop w:val="0"/>
      <w:marBottom w:val="0"/>
      <w:divBdr>
        <w:top w:val="none" w:sz="0" w:space="0" w:color="auto"/>
        <w:left w:val="none" w:sz="0" w:space="0" w:color="auto"/>
        <w:bottom w:val="none" w:sz="0" w:space="0" w:color="auto"/>
        <w:right w:val="none" w:sz="0" w:space="0" w:color="auto"/>
      </w:divBdr>
    </w:div>
    <w:div w:id="1106854337">
      <w:bodyDiv w:val="1"/>
      <w:marLeft w:val="0"/>
      <w:marRight w:val="0"/>
      <w:marTop w:val="0"/>
      <w:marBottom w:val="0"/>
      <w:divBdr>
        <w:top w:val="none" w:sz="0" w:space="0" w:color="auto"/>
        <w:left w:val="none" w:sz="0" w:space="0" w:color="auto"/>
        <w:bottom w:val="none" w:sz="0" w:space="0" w:color="auto"/>
        <w:right w:val="none" w:sz="0" w:space="0" w:color="auto"/>
      </w:divBdr>
    </w:div>
    <w:div w:id="1106921189">
      <w:bodyDiv w:val="1"/>
      <w:marLeft w:val="0"/>
      <w:marRight w:val="0"/>
      <w:marTop w:val="0"/>
      <w:marBottom w:val="0"/>
      <w:divBdr>
        <w:top w:val="none" w:sz="0" w:space="0" w:color="auto"/>
        <w:left w:val="none" w:sz="0" w:space="0" w:color="auto"/>
        <w:bottom w:val="none" w:sz="0" w:space="0" w:color="auto"/>
        <w:right w:val="none" w:sz="0" w:space="0" w:color="auto"/>
      </w:divBdr>
    </w:div>
    <w:div w:id="1107038551">
      <w:bodyDiv w:val="1"/>
      <w:marLeft w:val="0"/>
      <w:marRight w:val="0"/>
      <w:marTop w:val="0"/>
      <w:marBottom w:val="0"/>
      <w:divBdr>
        <w:top w:val="none" w:sz="0" w:space="0" w:color="auto"/>
        <w:left w:val="none" w:sz="0" w:space="0" w:color="auto"/>
        <w:bottom w:val="none" w:sz="0" w:space="0" w:color="auto"/>
        <w:right w:val="none" w:sz="0" w:space="0" w:color="auto"/>
      </w:divBdr>
    </w:div>
    <w:div w:id="1107045774">
      <w:bodyDiv w:val="1"/>
      <w:marLeft w:val="0"/>
      <w:marRight w:val="0"/>
      <w:marTop w:val="0"/>
      <w:marBottom w:val="0"/>
      <w:divBdr>
        <w:top w:val="none" w:sz="0" w:space="0" w:color="auto"/>
        <w:left w:val="none" w:sz="0" w:space="0" w:color="auto"/>
        <w:bottom w:val="none" w:sz="0" w:space="0" w:color="auto"/>
        <w:right w:val="none" w:sz="0" w:space="0" w:color="auto"/>
      </w:divBdr>
    </w:div>
    <w:div w:id="1107121922">
      <w:bodyDiv w:val="1"/>
      <w:marLeft w:val="0"/>
      <w:marRight w:val="0"/>
      <w:marTop w:val="0"/>
      <w:marBottom w:val="0"/>
      <w:divBdr>
        <w:top w:val="none" w:sz="0" w:space="0" w:color="auto"/>
        <w:left w:val="none" w:sz="0" w:space="0" w:color="auto"/>
        <w:bottom w:val="none" w:sz="0" w:space="0" w:color="auto"/>
        <w:right w:val="none" w:sz="0" w:space="0" w:color="auto"/>
      </w:divBdr>
    </w:div>
    <w:div w:id="1107388269">
      <w:bodyDiv w:val="1"/>
      <w:marLeft w:val="0"/>
      <w:marRight w:val="0"/>
      <w:marTop w:val="0"/>
      <w:marBottom w:val="0"/>
      <w:divBdr>
        <w:top w:val="none" w:sz="0" w:space="0" w:color="auto"/>
        <w:left w:val="none" w:sz="0" w:space="0" w:color="auto"/>
        <w:bottom w:val="none" w:sz="0" w:space="0" w:color="auto"/>
        <w:right w:val="none" w:sz="0" w:space="0" w:color="auto"/>
      </w:divBdr>
    </w:div>
    <w:div w:id="1107431178">
      <w:bodyDiv w:val="1"/>
      <w:marLeft w:val="0"/>
      <w:marRight w:val="0"/>
      <w:marTop w:val="0"/>
      <w:marBottom w:val="0"/>
      <w:divBdr>
        <w:top w:val="none" w:sz="0" w:space="0" w:color="auto"/>
        <w:left w:val="none" w:sz="0" w:space="0" w:color="auto"/>
        <w:bottom w:val="none" w:sz="0" w:space="0" w:color="auto"/>
        <w:right w:val="none" w:sz="0" w:space="0" w:color="auto"/>
      </w:divBdr>
    </w:div>
    <w:div w:id="1107502446">
      <w:bodyDiv w:val="1"/>
      <w:marLeft w:val="0"/>
      <w:marRight w:val="0"/>
      <w:marTop w:val="0"/>
      <w:marBottom w:val="0"/>
      <w:divBdr>
        <w:top w:val="none" w:sz="0" w:space="0" w:color="auto"/>
        <w:left w:val="none" w:sz="0" w:space="0" w:color="auto"/>
        <w:bottom w:val="none" w:sz="0" w:space="0" w:color="auto"/>
        <w:right w:val="none" w:sz="0" w:space="0" w:color="auto"/>
      </w:divBdr>
    </w:div>
    <w:div w:id="1108355200">
      <w:bodyDiv w:val="1"/>
      <w:marLeft w:val="0"/>
      <w:marRight w:val="0"/>
      <w:marTop w:val="0"/>
      <w:marBottom w:val="0"/>
      <w:divBdr>
        <w:top w:val="none" w:sz="0" w:space="0" w:color="auto"/>
        <w:left w:val="none" w:sz="0" w:space="0" w:color="auto"/>
        <w:bottom w:val="none" w:sz="0" w:space="0" w:color="auto"/>
        <w:right w:val="none" w:sz="0" w:space="0" w:color="auto"/>
      </w:divBdr>
    </w:div>
    <w:div w:id="1108357450">
      <w:bodyDiv w:val="1"/>
      <w:marLeft w:val="0"/>
      <w:marRight w:val="0"/>
      <w:marTop w:val="0"/>
      <w:marBottom w:val="0"/>
      <w:divBdr>
        <w:top w:val="none" w:sz="0" w:space="0" w:color="auto"/>
        <w:left w:val="none" w:sz="0" w:space="0" w:color="auto"/>
        <w:bottom w:val="none" w:sz="0" w:space="0" w:color="auto"/>
        <w:right w:val="none" w:sz="0" w:space="0" w:color="auto"/>
      </w:divBdr>
    </w:div>
    <w:div w:id="1108426964">
      <w:bodyDiv w:val="1"/>
      <w:marLeft w:val="0"/>
      <w:marRight w:val="0"/>
      <w:marTop w:val="0"/>
      <w:marBottom w:val="0"/>
      <w:divBdr>
        <w:top w:val="none" w:sz="0" w:space="0" w:color="auto"/>
        <w:left w:val="none" w:sz="0" w:space="0" w:color="auto"/>
        <w:bottom w:val="none" w:sz="0" w:space="0" w:color="auto"/>
        <w:right w:val="none" w:sz="0" w:space="0" w:color="auto"/>
      </w:divBdr>
    </w:div>
    <w:div w:id="1108548626">
      <w:bodyDiv w:val="1"/>
      <w:marLeft w:val="0"/>
      <w:marRight w:val="0"/>
      <w:marTop w:val="0"/>
      <w:marBottom w:val="0"/>
      <w:divBdr>
        <w:top w:val="none" w:sz="0" w:space="0" w:color="auto"/>
        <w:left w:val="none" w:sz="0" w:space="0" w:color="auto"/>
        <w:bottom w:val="none" w:sz="0" w:space="0" w:color="auto"/>
        <w:right w:val="none" w:sz="0" w:space="0" w:color="auto"/>
      </w:divBdr>
    </w:div>
    <w:div w:id="1108700886">
      <w:bodyDiv w:val="1"/>
      <w:marLeft w:val="0"/>
      <w:marRight w:val="0"/>
      <w:marTop w:val="0"/>
      <w:marBottom w:val="0"/>
      <w:divBdr>
        <w:top w:val="none" w:sz="0" w:space="0" w:color="auto"/>
        <w:left w:val="none" w:sz="0" w:space="0" w:color="auto"/>
        <w:bottom w:val="none" w:sz="0" w:space="0" w:color="auto"/>
        <w:right w:val="none" w:sz="0" w:space="0" w:color="auto"/>
      </w:divBdr>
    </w:div>
    <w:div w:id="1109080353">
      <w:bodyDiv w:val="1"/>
      <w:marLeft w:val="0"/>
      <w:marRight w:val="0"/>
      <w:marTop w:val="0"/>
      <w:marBottom w:val="0"/>
      <w:divBdr>
        <w:top w:val="none" w:sz="0" w:space="0" w:color="auto"/>
        <w:left w:val="none" w:sz="0" w:space="0" w:color="auto"/>
        <w:bottom w:val="none" w:sz="0" w:space="0" w:color="auto"/>
        <w:right w:val="none" w:sz="0" w:space="0" w:color="auto"/>
      </w:divBdr>
    </w:div>
    <w:div w:id="1109084357">
      <w:bodyDiv w:val="1"/>
      <w:marLeft w:val="0"/>
      <w:marRight w:val="0"/>
      <w:marTop w:val="0"/>
      <w:marBottom w:val="0"/>
      <w:divBdr>
        <w:top w:val="none" w:sz="0" w:space="0" w:color="auto"/>
        <w:left w:val="none" w:sz="0" w:space="0" w:color="auto"/>
        <w:bottom w:val="none" w:sz="0" w:space="0" w:color="auto"/>
        <w:right w:val="none" w:sz="0" w:space="0" w:color="auto"/>
      </w:divBdr>
    </w:div>
    <w:div w:id="1109088766">
      <w:bodyDiv w:val="1"/>
      <w:marLeft w:val="0"/>
      <w:marRight w:val="0"/>
      <w:marTop w:val="0"/>
      <w:marBottom w:val="0"/>
      <w:divBdr>
        <w:top w:val="none" w:sz="0" w:space="0" w:color="auto"/>
        <w:left w:val="none" w:sz="0" w:space="0" w:color="auto"/>
        <w:bottom w:val="none" w:sz="0" w:space="0" w:color="auto"/>
        <w:right w:val="none" w:sz="0" w:space="0" w:color="auto"/>
      </w:divBdr>
    </w:div>
    <w:div w:id="1109157095">
      <w:bodyDiv w:val="1"/>
      <w:marLeft w:val="0"/>
      <w:marRight w:val="0"/>
      <w:marTop w:val="0"/>
      <w:marBottom w:val="0"/>
      <w:divBdr>
        <w:top w:val="none" w:sz="0" w:space="0" w:color="auto"/>
        <w:left w:val="none" w:sz="0" w:space="0" w:color="auto"/>
        <w:bottom w:val="none" w:sz="0" w:space="0" w:color="auto"/>
        <w:right w:val="none" w:sz="0" w:space="0" w:color="auto"/>
      </w:divBdr>
    </w:div>
    <w:div w:id="1109163624">
      <w:bodyDiv w:val="1"/>
      <w:marLeft w:val="0"/>
      <w:marRight w:val="0"/>
      <w:marTop w:val="0"/>
      <w:marBottom w:val="0"/>
      <w:divBdr>
        <w:top w:val="none" w:sz="0" w:space="0" w:color="auto"/>
        <w:left w:val="none" w:sz="0" w:space="0" w:color="auto"/>
        <w:bottom w:val="none" w:sz="0" w:space="0" w:color="auto"/>
        <w:right w:val="none" w:sz="0" w:space="0" w:color="auto"/>
      </w:divBdr>
    </w:div>
    <w:div w:id="1109204024">
      <w:bodyDiv w:val="1"/>
      <w:marLeft w:val="0"/>
      <w:marRight w:val="0"/>
      <w:marTop w:val="0"/>
      <w:marBottom w:val="0"/>
      <w:divBdr>
        <w:top w:val="none" w:sz="0" w:space="0" w:color="auto"/>
        <w:left w:val="none" w:sz="0" w:space="0" w:color="auto"/>
        <w:bottom w:val="none" w:sz="0" w:space="0" w:color="auto"/>
        <w:right w:val="none" w:sz="0" w:space="0" w:color="auto"/>
      </w:divBdr>
    </w:div>
    <w:div w:id="1109276111">
      <w:bodyDiv w:val="1"/>
      <w:marLeft w:val="0"/>
      <w:marRight w:val="0"/>
      <w:marTop w:val="0"/>
      <w:marBottom w:val="0"/>
      <w:divBdr>
        <w:top w:val="none" w:sz="0" w:space="0" w:color="auto"/>
        <w:left w:val="none" w:sz="0" w:space="0" w:color="auto"/>
        <w:bottom w:val="none" w:sz="0" w:space="0" w:color="auto"/>
        <w:right w:val="none" w:sz="0" w:space="0" w:color="auto"/>
      </w:divBdr>
    </w:div>
    <w:div w:id="1109348058">
      <w:bodyDiv w:val="1"/>
      <w:marLeft w:val="0"/>
      <w:marRight w:val="0"/>
      <w:marTop w:val="0"/>
      <w:marBottom w:val="0"/>
      <w:divBdr>
        <w:top w:val="none" w:sz="0" w:space="0" w:color="auto"/>
        <w:left w:val="none" w:sz="0" w:space="0" w:color="auto"/>
        <w:bottom w:val="none" w:sz="0" w:space="0" w:color="auto"/>
        <w:right w:val="none" w:sz="0" w:space="0" w:color="auto"/>
      </w:divBdr>
    </w:div>
    <w:div w:id="1109399754">
      <w:bodyDiv w:val="1"/>
      <w:marLeft w:val="0"/>
      <w:marRight w:val="0"/>
      <w:marTop w:val="0"/>
      <w:marBottom w:val="0"/>
      <w:divBdr>
        <w:top w:val="none" w:sz="0" w:space="0" w:color="auto"/>
        <w:left w:val="none" w:sz="0" w:space="0" w:color="auto"/>
        <w:bottom w:val="none" w:sz="0" w:space="0" w:color="auto"/>
        <w:right w:val="none" w:sz="0" w:space="0" w:color="auto"/>
      </w:divBdr>
    </w:div>
    <w:div w:id="1109425345">
      <w:bodyDiv w:val="1"/>
      <w:marLeft w:val="0"/>
      <w:marRight w:val="0"/>
      <w:marTop w:val="0"/>
      <w:marBottom w:val="0"/>
      <w:divBdr>
        <w:top w:val="none" w:sz="0" w:space="0" w:color="auto"/>
        <w:left w:val="none" w:sz="0" w:space="0" w:color="auto"/>
        <w:bottom w:val="none" w:sz="0" w:space="0" w:color="auto"/>
        <w:right w:val="none" w:sz="0" w:space="0" w:color="auto"/>
      </w:divBdr>
    </w:div>
    <w:div w:id="1109659730">
      <w:bodyDiv w:val="1"/>
      <w:marLeft w:val="0"/>
      <w:marRight w:val="0"/>
      <w:marTop w:val="0"/>
      <w:marBottom w:val="0"/>
      <w:divBdr>
        <w:top w:val="none" w:sz="0" w:space="0" w:color="auto"/>
        <w:left w:val="none" w:sz="0" w:space="0" w:color="auto"/>
        <w:bottom w:val="none" w:sz="0" w:space="0" w:color="auto"/>
        <w:right w:val="none" w:sz="0" w:space="0" w:color="auto"/>
      </w:divBdr>
    </w:div>
    <w:div w:id="1109666320">
      <w:bodyDiv w:val="1"/>
      <w:marLeft w:val="0"/>
      <w:marRight w:val="0"/>
      <w:marTop w:val="0"/>
      <w:marBottom w:val="0"/>
      <w:divBdr>
        <w:top w:val="none" w:sz="0" w:space="0" w:color="auto"/>
        <w:left w:val="none" w:sz="0" w:space="0" w:color="auto"/>
        <w:bottom w:val="none" w:sz="0" w:space="0" w:color="auto"/>
        <w:right w:val="none" w:sz="0" w:space="0" w:color="auto"/>
      </w:divBdr>
    </w:div>
    <w:div w:id="1109741530">
      <w:bodyDiv w:val="1"/>
      <w:marLeft w:val="0"/>
      <w:marRight w:val="0"/>
      <w:marTop w:val="0"/>
      <w:marBottom w:val="0"/>
      <w:divBdr>
        <w:top w:val="none" w:sz="0" w:space="0" w:color="auto"/>
        <w:left w:val="none" w:sz="0" w:space="0" w:color="auto"/>
        <w:bottom w:val="none" w:sz="0" w:space="0" w:color="auto"/>
        <w:right w:val="none" w:sz="0" w:space="0" w:color="auto"/>
      </w:divBdr>
    </w:div>
    <w:div w:id="1109934703">
      <w:bodyDiv w:val="1"/>
      <w:marLeft w:val="0"/>
      <w:marRight w:val="0"/>
      <w:marTop w:val="0"/>
      <w:marBottom w:val="0"/>
      <w:divBdr>
        <w:top w:val="none" w:sz="0" w:space="0" w:color="auto"/>
        <w:left w:val="none" w:sz="0" w:space="0" w:color="auto"/>
        <w:bottom w:val="none" w:sz="0" w:space="0" w:color="auto"/>
        <w:right w:val="none" w:sz="0" w:space="0" w:color="auto"/>
      </w:divBdr>
    </w:div>
    <w:div w:id="1110009299">
      <w:bodyDiv w:val="1"/>
      <w:marLeft w:val="0"/>
      <w:marRight w:val="0"/>
      <w:marTop w:val="0"/>
      <w:marBottom w:val="0"/>
      <w:divBdr>
        <w:top w:val="none" w:sz="0" w:space="0" w:color="auto"/>
        <w:left w:val="none" w:sz="0" w:space="0" w:color="auto"/>
        <w:bottom w:val="none" w:sz="0" w:space="0" w:color="auto"/>
        <w:right w:val="none" w:sz="0" w:space="0" w:color="auto"/>
      </w:divBdr>
    </w:div>
    <w:div w:id="1110124646">
      <w:bodyDiv w:val="1"/>
      <w:marLeft w:val="0"/>
      <w:marRight w:val="0"/>
      <w:marTop w:val="0"/>
      <w:marBottom w:val="0"/>
      <w:divBdr>
        <w:top w:val="none" w:sz="0" w:space="0" w:color="auto"/>
        <w:left w:val="none" w:sz="0" w:space="0" w:color="auto"/>
        <w:bottom w:val="none" w:sz="0" w:space="0" w:color="auto"/>
        <w:right w:val="none" w:sz="0" w:space="0" w:color="auto"/>
      </w:divBdr>
    </w:div>
    <w:div w:id="1110202366">
      <w:bodyDiv w:val="1"/>
      <w:marLeft w:val="0"/>
      <w:marRight w:val="0"/>
      <w:marTop w:val="0"/>
      <w:marBottom w:val="0"/>
      <w:divBdr>
        <w:top w:val="none" w:sz="0" w:space="0" w:color="auto"/>
        <w:left w:val="none" w:sz="0" w:space="0" w:color="auto"/>
        <w:bottom w:val="none" w:sz="0" w:space="0" w:color="auto"/>
        <w:right w:val="none" w:sz="0" w:space="0" w:color="auto"/>
      </w:divBdr>
    </w:div>
    <w:div w:id="1110321879">
      <w:bodyDiv w:val="1"/>
      <w:marLeft w:val="0"/>
      <w:marRight w:val="0"/>
      <w:marTop w:val="0"/>
      <w:marBottom w:val="0"/>
      <w:divBdr>
        <w:top w:val="none" w:sz="0" w:space="0" w:color="auto"/>
        <w:left w:val="none" w:sz="0" w:space="0" w:color="auto"/>
        <w:bottom w:val="none" w:sz="0" w:space="0" w:color="auto"/>
        <w:right w:val="none" w:sz="0" w:space="0" w:color="auto"/>
      </w:divBdr>
    </w:div>
    <w:div w:id="1110469734">
      <w:bodyDiv w:val="1"/>
      <w:marLeft w:val="0"/>
      <w:marRight w:val="0"/>
      <w:marTop w:val="0"/>
      <w:marBottom w:val="0"/>
      <w:divBdr>
        <w:top w:val="none" w:sz="0" w:space="0" w:color="auto"/>
        <w:left w:val="none" w:sz="0" w:space="0" w:color="auto"/>
        <w:bottom w:val="none" w:sz="0" w:space="0" w:color="auto"/>
        <w:right w:val="none" w:sz="0" w:space="0" w:color="auto"/>
      </w:divBdr>
    </w:div>
    <w:div w:id="1110474560">
      <w:bodyDiv w:val="1"/>
      <w:marLeft w:val="0"/>
      <w:marRight w:val="0"/>
      <w:marTop w:val="0"/>
      <w:marBottom w:val="0"/>
      <w:divBdr>
        <w:top w:val="none" w:sz="0" w:space="0" w:color="auto"/>
        <w:left w:val="none" w:sz="0" w:space="0" w:color="auto"/>
        <w:bottom w:val="none" w:sz="0" w:space="0" w:color="auto"/>
        <w:right w:val="none" w:sz="0" w:space="0" w:color="auto"/>
      </w:divBdr>
    </w:div>
    <w:div w:id="1110664253">
      <w:bodyDiv w:val="1"/>
      <w:marLeft w:val="0"/>
      <w:marRight w:val="0"/>
      <w:marTop w:val="0"/>
      <w:marBottom w:val="0"/>
      <w:divBdr>
        <w:top w:val="none" w:sz="0" w:space="0" w:color="auto"/>
        <w:left w:val="none" w:sz="0" w:space="0" w:color="auto"/>
        <w:bottom w:val="none" w:sz="0" w:space="0" w:color="auto"/>
        <w:right w:val="none" w:sz="0" w:space="0" w:color="auto"/>
      </w:divBdr>
    </w:div>
    <w:div w:id="1110854812">
      <w:bodyDiv w:val="1"/>
      <w:marLeft w:val="0"/>
      <w:marRight w:val="0"/>
      <w:marTop w:val="0"/>
      <w:marBottom w:val="0"/>
      <w:divBdr>
        <w:top w:val="none" w:sz="0" w:space="0" w:color="auto"/>
        <w:left w:val="none" w:sz="0" w:space="0" w:color="auto"/>
        <w:bottom w:val="none" w:sz="0" w:space="0" w:color="auto"/>
        <w:right w:val="none" w:sz="0" w:space="0" w:color="auto"/>
      </w:divBdr>
    </w:div>
    <w:div w:id="1111124434">
      <w:bodyDiv w:val="1"/>
      <w:marLeft w:val="0"/>
      <w:marRight w:val="0"/>
      <w:marTop w:val="0"/>
      <w:marBottom w:val="0"/>
      <w:divBdr>
        <w:top w:val="none" w:sz="0" w:space="0" w:color="auto"/>
        <w:left w:val="none" w:sz="0" w:space="0" w:color="auto"/>
        <w:bottom w:val="none" w:sz="0" w:space="0" w:color="auto"/>
        <w:right w:val="none" w:sz="0" w:space="0" w:color="auto"/>
      </w:divBdr>
    </w:div>
    <w:div w:id="1111127897">
      <w:bodyDiv w:val="1"/>
      <w:marLeft w:val="0"/>
      <w:marRight w:val="0"/>
      <w:marTop w:val="0"/>
      <w:marBottom w:val="0"/>
      <w:divBdr>
        <w:top w:val="none" w:sz="0" w:space="0" w:color="auto"/>
        <w:left w:val="none" w:sz="0" w:space="0" w:color="auto"/>
        <w:bottom w:val="none" w:sz="0" w:space="0" w:color="auto"/>
        <w:right w:val="none" w:sz="0" w:space="0" w:color="auto"/>
      </w:divBdr>
    </w:div>
    <w:div w:id="1111245939">
      <w:bodyDiv w:val="1"/>
      <w:marLeft w:val="0"/>
      <w:marRight w:val="0"/>
      <w:marTop w:val="0"/>
      <w:marBottom w:val="0"/>
      <w:divBdr>
        <w:top w:val="none" w:sz="0" w:space="0" w:color="auto"/>
        <w:left w:val="none" w:sz="0" w:space="0" w:color="auto"/>
        <w:bottom w:val="none" w:sz="0" w:space="0" w:color="auto"/>
        <w:right w:val="none" w:sz="0" w:space="0" w:color="auto"/>
      </w:divBdr>
    </w:div>
    <w:div w:id="1111439705">
      <w:bodyDiv w:val="1"/>
      <w:marLeft w:val="0"/>
      <w:marRight w:val="0"/>
      <w:marTop w:val="0"/>
      <w:marBottom w:val="0"/>
      <w:divBdr>
        <w:top w:val="none" w:sz="0" w:space="0" w:color="auto"/>
        <w:left w:val="none" w:sz="0" w:space="0" w:color="auto"/>
        <w:bottom w:val="none" w:sz="0" w:space="0" w:color="auto"/>
        <w:right w:val="none" w:sz="0" w:space="0" w:color="auto"/>
      </w:divBdr>
    </w:div>
    <w:div w:id="1111513282">
      <w:bodyDiv w:val="1"/>
      <w:marLeft w:val="0"/>
      <w:marRight w:val="0"/>
      <w:marTop w:val="0"/>
      <w:marBottom w:val="0"/>
      <w:divBdr>
        <w:top w:val="none" w:sz="0" w:space="0" w:color="auto"/>
        <w:left w:val="none" w:sz="0" w:space="0" w:color="auto"/>
        <w:bottom w:val="none" w:sz="0" w:space="0" w:color="auto"/>
        <w:right w:val="none" w:sz="0" w:space="0" w:color="auto"/>
      </w:divBdr>
    </w:div>
    <w:div w:id="1111584133">
      <w:bodyDiv w:val="1"/>
      <w:marLeft w:val="0"/>
      <w:marRight w:val="0"/>
      <w:marTop w:val="0"/>
      <w:marBottom w:val="0"/>
      <w:divBdr>
        <w:top w:val="none" w:sz="0" w:space="0" w:color="auto"/>
        <w:left w:val="none" w:sz="0" w:space="0" w:color="auto"/>
        <w:bottom w:val="none" w:sz="0" w:space="0" w:color="auto"/>
        <w:right w:val="none" w:sz="0" w:space="0" w:color="auto"/>
      </w:divBdr>
    </w:div>
    <w:div w:id="1111900385">
      <w:bodyDiv w:val="1"/>
      <w:marLeft w:val="0"/>
      <w:marRight w:val="0"/>
      <w:marTop w:val="0"/>
      <w:marBottom w:val="0"/>
      <w:divBdr>
        <w:top w:val="none" w:sz="0" w:space="0" w:color="auto"/>
        <w:left w:val="none" w:sz="0" w:space="0" w:color="auto"/>
        <w:bottom w:val="none" w:sz="0" w:space="0" w:color="auto"/>
        <w:right w:val="none" w:sz="0" w:space="0" w:color="auto"/>
      </w:divBdr>
    </w:div>
    <w:div w:id="1112091586">
      <w:bodyDiv w:val="1"/>
      <w:marLeft w:val="0"/>
      <w:marRight w:val="0"/>
      <w:marTop w:val="0"/>
      <w:marBottom w:val="0"/>
      <w:divBdr>
        <w:top w:val="none" w:sz="0" w:space="0" w:color="auto"/>
        <w:left w:val="none" w:sz="0" w:space="0" w:color="auto"/>
        <w:bottom w:val="none" w:sz="0" w:space="0" w:color="auto"/>
        <w:right w:val="none" w:sz="0" w:space="0" w:color="auto"/>
      </w:divBdr>
    </w:div>
    <w:div w:id="1112093615">
      <w:bodyDiv w:val="1"/>
      <w:marLeft w:val="0"/>
      <w:marRight w:val="0"/>
      <w:marTop w:val="0"/>
      <w:marBottom w:val="0"/>
      <w:divBdr>
        <w:top w:val="none" w:sz="0" w:space="0" w:color="auto"/>
        <w:left w:val="none" w:sz="0" w:space="0" w:color="auto"/>
        <w:bottom w:val="none" w:sz="0" w:space="0" w:color="auto"/>
        <w:right w:val="none" w:sz="0" w:space="0" w:color="auto"/>
      </w:divBdr>
    </w:div>
    <w:div w:id="1112167547">
      <w:bodyDiv w:val="1"/>
      <w:marLeft w:val="0"/>
      <w:marRight w:val="0"/>
      <w:marTop w:val="0"/>
      <w:marBottom w:val="0"/>
      <w:divBdr>
        <w:top w:val="none" w:sz="0" w:space="0" w:color="auto"/>
        <w:left w:val="none" w:sz="0" w:space="0" w:color="auto"/>
        <w:bottom w:val="none" w:sz="0" w:space="0" w:color="auto"/>
        <w:right w:val="none" w:sz="0" w:space="0" w:color="auto"/>
      </w:divBdr>
    </w:div>
    <w:div w:id="1112280261">
      <w:bodyDiv w:val="1"/>
      <w:marLeft w:val="0"/>
      <w:marRight w:val="0"/>
      <w:marTop w:val="0"/>
      <w:marBottom w:val="0"/>
      <w:divBdr>
        <w:top w:val="none" w:sz="0" w:space="0" w:color="auto"/>
        <w:left w:val="none" w:sz="0" w:space="0" w:color="auto"/>
        <w:bottom w:val="none" w:sz="0" w:space="0" w:color="auto"/>
        <w:right w:val="none" w:sz="0" w:space="0" w:color="auto"/>
      </w:divBdr>
    </w:div>
    <w:div w:id="1112281074">
      <w:bodyDiv w:val="1"/>
      <w:marLeft w:val="0"/>
      <w:marRight w:val="0"/>
      <w:marTop w:val="0"/>
      <w:marBottom w:val="0"/>
      <w:divBdr>
        <w:top w:val="none" w:sz="0" w:space="0" w:color="auto"/>
        <w:left w:val="none" w:sz="0" w:space="0" w:color="auto"/>
        <w:bottom w:val="none" w:sz="0" w:space="0" w:color="auto"/>
        <w:right w:val="none" w:sz="0" w:space="0" w:color="auto"/>
      </w:divBdr>
    </w:div>
    <w:div w:id="1112288320">
      <w:bodyDiv w:val="1"/>
      <w:marLeft w:val="0"/>
      <w:marRight w:val="0"/>
      <w:marTop w:val="0"/>
      <w:marBottom w:val="0"/>
      <w:divBdr>
        <w:top w:val="none" w:sz="0" w:space="0" w:color="auto"/>
        <w:left w:val="none" w:sz="0" w:space="0" w:color="auto"/>
        <w:bottom w:val="none" w:sz="0" w:space="0" w:color="auto"/>
        <w:right w:val="none" w:sz="0" w:space="0" w:color="auto"/>
      </w:divBdr>
    </w:div>
    <w:div w:id="1112357680">
      <w:bodyDiv w:val="1"/>
      <w:marLeft w:val="0"/>
      <w:marRight w:val="0"/>
      <w:marTop w:val="0"/>
      <w:marBottom w:val="0"/>
      <w:divBdr>
        <w:top w:val="none" w:sz="0" w:space="0" w:color="auto"/>
        <w:left w:val="none" w:sz="0" w:space="0" w:color="auto"/>
        <w:bottom w:val="none" w:sz="0" w:space="0" w:color="auto"/>
        <w:right w:val="none" w:sz="0" w:space="0" w:color="auto"/>
      </w:divBdr>
    </w:div>
    <w:div w:id="1112477130">
      <w:bodyDiv w:val="1"/>
      <w:marLeft w:val="0"/>
      <w:marRight w:val="0"/>
      <w:marTop w:val="0"/>
      <w:marBottom w:val="0"/>
      <w:divBdr>
        <w:top w:val="none" w:sz="0" w:space="0" w:color="auto"/>
        <w:left w:val="none" w:sz="0" w:space="0" w:color="auto"/>
        <w:bottom w:val="none" w:sz="0" w:space="0" w:color="auto"/>
        <w:right w:val="none" w:sz="0" w:space="0" w:color="auto"/>
      </w:divBdr>
    </w:div>
    <w:div w:id="1112550483">
      <w:bodyDiv w:val="1"/>
      <w:marLeft w:val="0"/>
      <w:marRight w:val="0"/>
      <w:marTop w:val="0"/>
      <w:marBottom w:val="0"/>
      <w:divBdr>
        <w:top w:val="none" w:sz="0" w:space="0" w:color="auto"/>
        <w:left w:val="none" w:sz="0" w:space="0" w:color="auto"/>
        <w:bottom w:val="none" w:sz="0" w:space="0" w:color="auto"/>
        <w:right w:val="none" w:sz="0" w:space="0" w:color="auto"/>
      </w:divBdr>
    </w:div>
    <w:div w:id="1112555218">
      <w:bodyDiv w:val="1"/>
      <w:marLeft w:val="0"/>
      <w:marRight w:val="0"/>
      <w:marTop w:val="0"/>
      <w:marBottom w:val="0"/>
      <w:divBdr>
        <w:top w:val="none" w:sz="0" w:space="0" w:color="auto"/>
        <w:left w:val="none" w:sz="0" w:space="0" w:color="auto"/>
        <w:bottom w:val="none" w:sz="0" w:space="0" w:color="auto"/>
        <w:right w:val="none" w:sz="0" w:space="0" w:color="auto"/>
      </w:divBdr>
    </w:div>
    <w:div w:id="1112633961">
      <w:bodyDiv w:val="1"/>
      <w:marLeft w:val="0"/>
      <w:marRight w:val="0"/>
      <w:marTop w:val="0"/>
      <w:marBottom w:val="0"/>
      <w:divBdr>
        <w:top w:val="none" w:sz="0" w:space="0" w:color="auto"/>
        <w:left w:val="none" w:sz="0" w:space="0" w:color="auto"/>
        <w:bottom w:val="none" w:sz="0" w:space="0" w:color="auto"/>
        <w:right w:val="none" w:sz="0" w:space="0" w:color="auto"/>
      </w:divBdr>
    </w:div>
    <w:div w:id="1112742180">
      <w:bodyDiv w:val="1"/>
      <w:marLeft w:val="0"/>
      <w:marRight w:val="0"/>
      <w:marTop w:val="0"/>
      <w:marBottom w:val="0"/>
      <w:divBdr>
        <w:top w:val="none" w:sz="0" w:space="0" w:color="auto"/>
        <w:left w:val="none" w:sz="0" w:space="0" w:color="auto"/>
        <w:bottom w:val="none" w:sz="0" w:space="0" w:color="auto"/>
        <w:right w:val="none" w:sz="0" w:space="0" w:color="auto"/>
      </w:divBdr>
    </w:div>
    <w:div w:id="1112749736">
      <w:bodyDiv w:val="1"/>
      <w:marLeft w:val="0"/>
      <w:marRight w:val="0"/>
      <w:marTop w:val="0"/>
      <w:marBottom w:val="0"/>
      <w:divBdr>
        <w:top w:val="none" w:sz="0" w:space="0" w:color="auto"/>
        <w:left w:val="none" w:sz="0" w:space="0" w:color="auto"/>
        <w:bottom w:val="none" w:sz="0" w:space="0" w:color="auto"/>
        <w:right w:val="none" w:sz="0" w:space="0" w:color="auto"/>
      </w:divBdr>
    </w:div>
    <w:div w:id="1112943579">
      <w:bodyDiv w:val="1"/>
      <w:marLeft w:val="0"/>
      <w:marRight w:val="0"/>
      <w:marTop w:val="0"/>
      <w:marBottom w:val="0"/>
      <w:divBdr>
        <w:top w:val="none" w:sz="0" w:space="0" w:color="auto"/>
        <w:left w:val="none" w:sz="0" w:space="0" w:color="auto"/>
        <w:bottom w:val="none" w:sz="0" w:space="0" w:color="auto"/>
        <w:right w:val="none" w:sz="0" w:space="0" w:color="auto"/>
      </w:divBdr>
    </w:div>
    <w:div w:id="1113020243">
      <w:bodyDiv w:val="1"/>
      <w:marLeft w:val="0"/>
      <w:marRight w:val="0"/>
      <w:marTop w:val="0"/>
      <w:marBottom w:val="0"/>
      <w:divBdr>
        <w:top w:val="none" w:sz="0" w:space="0" w:color="auto"/>
        <w:left w:val="none" w:sz="0" w:space="0" w:color="auto"/>
        <w:bottom w:val="none" w:sz="0" w:space="0" w:color="auto"/>
        <w:right w:val="none" w:sz="0" w:space="0" w:color="auto"/>
      </w:divBdr>
    </w:div>
    <w:div w:id="1113130004">
      <w:bodyDiv w:val="1"/>
      <w:marLeft w:val="0"/>
      <w:marRight w:val="0"/>
      <w:marTop w:val="0"/>
      <w:marBottom w:val="0"/>
      <w:divBdr>
        <w:top w:val="none" w:sz="0" w:space="0" w:color="auto"/>
        <w:left w:val="none" w:sz="0" w:space="0" w:color="auto"/>
        <w:bottom w:val="none" w:sz="0" w:space="0" w:color="auto"/>
        <w:right w:val="none" w:sz="0" w:space="0" w:color="auto"/>
      </w:divBdr>
    </w:div>
    <w:div w:id="1113206984">
      <w:bodyDiv w:val="1"/>
      <w:marLeft w:val="0"/>
      <w:marRight w:val="0"/>
      <w:marTop w:val="0"/>
      <w:marBottom w:val="0"/>
      <w:divBdr>
        <w:top w:val="none" w:sz="0" w:space="0" w:color="auto"/>
        <w:left w:val="none" w:sz="0" w:space="0" w:color="auto"/>
        <w:bottom w:val="none" w:sz="0" w:space="0" w:color="auto"/>
        <w:right w:val="none" w:sz="0" w:space="0" w:color="auto"/>
      </w:divBdr>
    </w:div>
    <w:div w:id="1113282301">
      <w:bodyDiv w:val="1"/>
      <w:marLeft w:val="0"/>
      <w:marRight w:val="0"/>
      <w:marTop w:val="0"/>
      <w:marBottom w:val="0"/>
      <w:divBdr>
        <w:top w:val="none" w:sz="0" w:space="0" w:color="auto"/>
        <w:left w:val="none" w:sz="0" w:space="0" w:color="auto"/>
        <w:bottom w:val="none" w:sz="0" w:space="0" w:color="auto"/>
        <w:right w:val="none" w:sz="0" w:space="0" w:color="auto"/>
      </w:divBdr>
    </w:div>
    <w:div w:id="1113284672">
      <w:bodyDiv w:val="1"/>
      <w:marLeft w:val="0"/>
      <w:marRight w:val="0"/>
      <w:marTop w:val="0"/>
      <w:marBottom w:val="0"/>
      <w:divBdr>
        <w:top w:val="none" w:sz="0" w:space="0" w:color="auto"/>
        <w:left w:val="none" w:sz="0" w:space="0" w:color="auto"/>
        <w:bottom w:val="none" w:sz="0" w:space="0" w:color="auto"/>
        <w:right w:val="none" w:sz="0" w:space="0" w:color="auto"/>
      </w:divBdr>
    </w:div>
    <w:div w:id="1113591924">
      <w:bodyDiv w:val="1"/>
      <w:marLeft w:val="0"/>
      <w:marRight w:val="0"/>
      <w:marTop w:val="0"/>
      <w:marBottom w:val="0"/>
      <w:divBdr>
        <w:top w:val="none" w:sz="0" w:space="0" w:color="auto"/>
        <w:left w:val="none" w:sz="0" w:space="0" w:color="auto"/>
        <w:bottom w:val="none" w:sz="0" w:space="0" w:color="auto"/>
        <w:right w:val="none" w:sz="0" w:space="0" w:color="auto"/>
      </w:divBdr>
    </w:div>
    <w:div w:id="1113593195">
      <w:bodyDiv w:val="1"/>
      <w:marLeft w:val="0"/>
      <w:marRight w:val="0"/>
      <w:marTop w:val="0"/>
      <w:marBottom w:val="0"/>
      <w:divBdr>
        <w:top w:val="none" w:sz="0" w:space="0" w:color="auto"/>
        <w:left w:val="none" w:sz="0" w:space="0" w:color="auto"/>
        <w:bottom w:val="none" w:sz="0" w:space="0" w:color="auto"/>
        <w:right w:val="none" w:sz="0" w:space="0" w:color="auto"/>
      </w:divBdr>
    </w:div>
    <w:div w:id="1113670469">
      <w:bodyDiv w:val="1"/>
      <w:marLeft w:val="0"/>
      <w:marRight w:val="0"/>
      <w:marTop w:val="0"/>
      <w:marBottom w:val="0"/>
      <w:divBdr>
        <w:top w:val="none" w:sz="0" w:space="0" w:color="auto"/>
        <w:left w:val="none" w:sz="0" w:space="0" w:color="auto"/>
        <w:bottom w:val="none" w:sz="0" w:space="0" w:color="auto"/>
        <w:right w:val="none" w:sz="0" w:space="0" w:color="auto"/>
      </w:divBdr>
    </w:div>
    <w:div w:id="1113741571">
      <w:bodyDiv w:val="1"/>
      <w:marLeft w:val="0"/>
      <w:marRight w:val="0"/>
      <w:marTop w:val="0"/>
      <w:marBottom w:val="0"/>
      <w:divBdr>
        <w:top w:val="none" w:sz="0" w:space="0" w:color="auto"/>
        <w:left w:val="none" w:sz="0" w:space="0" w:color="auto"/>
        <w:bottom w:val="none" w:sz="0" w:space="0" w:color="auto"/>
        <w:right w:val="none" w:sz="0" w:space="0" w:color="auto"/>
      </w:divBdr>
    </w:div>
    <w:div w:id="1113743580">
      <w:bodyDiv w:val="1"/>
      <w:marLeft w:val="0"/>
      <w:marRight w:val="0"/>
      <w:marTop w:val="0"/>
      <w:marBottom w:val="0"/>
      <w:divBdr>
        <w:top w:val="none" w:sz="0" w:space="0" w:color="auto"/>
        <w:left w:val="none" w:sz="0" w:space="0" w:color="auto"/>
        <w:bottom w:val="none" w:sz="0" w:space="0" w:color="auto"/>
        <w:right w:val="none" w:sz="0" w:space="0" w:color="auto"/>
      </w:divBdr>
    </w:div>
    <w:div w:id="1113788234">
      <w:bodyDiv w:val="1"/>
      <w:marLeft w:val="0"/>
      <w:marRight w:val="0"/>
      <w:marTop w:val="0"/>
      <w:marBottom w:val="0"/>
      <w:divBdr>
        <w:top w:val="none" w:sz="0" w:space="0" w:color="auto"/>
        <w:left w:val="none" w:sz="0" w:space="0" w:color="auto"/>
        <w:bottom w:val="none" w:sz="0" w:space="0" w:color="auto"/>
        <w:right w:val="none" w:sz="0" w:space="0" w:color="auto"/>
      </w:divBdr>
    </w:div>
    <w:div w:id="1113790170">
      <w:bodyDiv w:val="1"/>
      <w:marLeft w:val="0"/>
      <w:marRight w:val="0"/>
      <w:marTop w:val="0"/>
      <w:marBottom w:val="0"/>
      <w:divBdr>
        <w:top w:val="none" w:sz="0" w:space="0" w:color="auto"/>
        <w:left w:val="none" w:sz="0" w:space="0" w:color="auto"/>
        <w:bottom w:val="none" w:sz="0" w:space="0" w:color="auto"/>
        <w:right w:val="none" w:sz="0" w:space="0" w:color="auto"/>
      </w:divBdr>
    </w:div>
    <w:div w:id="1114053598">
      <w:bodyDiv w:val="1"/>
      <w:marLeft w:val="0"/>
      <w:marRight w:val="0"/>
      <w:marTop w:val="0"/>
      <w:marBottom w:val="0"/>
      <w:divBdr>
        <w:top w:val="none" w:sz="0" w:space="0" w:color="auto"/>
        <w:left w:val="none" w:sz="0" w:space="0" w:color="auto"/>
        <w:bottom w:val="none" w:sz="0" w:space="0" w:color="auto"/>
        <w:right w:val="none" w:sz="0" w:space="0" w:color="auto"/>
      </w:divBdr>
    </w:div>
    <w:div w:id="1114322762">
      <w:bodyDiv w:val="1"/>
      <w:marLeft w:val="0"/>
      <w:marRight w:val="0"/>
      <w:marTop w:val="0"/>
      <w:marBottom w:val="0"/>
      <w:divBdr>
        <w:top w:val="none" w:sz="0" w:space="0" w:color="auto"/>
        <w:left w:val="none" w:sz="0" w:space="0" w:color="auto"/>
        <w:bottom w:val="none" w:sz="0" w:space="0" w:color="auto"/>
        <w:right w:val="none" w:sz="0" w:space="0" w:color="auto"/>
      </w:divBdr>
    </w:div>
    <w:div w:id="1114441166">
      <w:bodyDiv w:val="1"/>
      <w:marLeft w:val="0"/>
      <w:marRight w:val="0"/>
      <w:marTop w:val="0"/>
      <w:marBottom w:val="0"/>
      <w:divBdr>
        <w:top w:val="none" w:sz="0" w:space="0" w:color="auto"/>
        <w:left w:val="none" w:sz="0" w:space="0" w:color="auto"/>
        <w:bottom w:val="none" w:sz="0" w:space="0" w:color="auto"/>
        <w:right w:val="none" w:sz="0" w:space="0" w:color="auto"/>
      </w:divBdr>
    </w:div>
    <w:div w:id="1114515193">
      <w:bodyDiv w:val="1"/>
      <w:marLeft w:val="0"/>
      <w:marRight w:val="0"/>
      <w:marTop w:val="0"/>
      <w:marBottom w:val="0"/>
      <w:divBdr>
        <w:top w:val="none" w:sz="0" w:space="0" w:color="auto"/>
        <w:left w:val="none" w:sz="0" w:space="0" w:color="auto"/>
        <w:bottom w:val="none" w:sz="0" w:space="0" w:color="auto"/>
        <w:right w:val="none" w:sz="0" w:space="0" w:color="auto"/>
      </w:divBdr>
    </w:div>
    <w:div w:id="1114717668">
      <w:bodyDiv w:val="1"/>
      <w:marLeft w:val="0"/>
      <w:marRight w:val="0"/>
      <w:marTop w:val="0"/>
      <w:marBottom w:val="0"/>
      <w:divBdr>
        <w:top w:val="none" w:sz="0" w:space="0" w:color="auto"/>
        <w:left w:val="none" w:sz="0" w:space="0" w:color="auto"/>
        <w:bottom w:val="none" w:sz="0" w:space="0" w:color="auto"/>
        <w:right w:val="none" w:sz="0" w:space="0" w:color="auto"/>
      </w:divBdr>
    </w:div>
    <w:div w:id="1114910058">
      <w:bodyDiv w:val="1"/>
      <w:marLeft w:val="0"/>
      <w:marRight w:val="0"/>
      <w:marTop w:val="0"/>
      <w:marBottom w:val="0"/>
      <w:divBdr>
        <w:top w:val="none" w:sz="0" w:space="0" w:color="auto"/>
        <w:left w:val="none" w:sz="0" w:space="0" w:color="auto"/>
        <w:bottom w:val="none" w:sz="0" w:space="0" w:color="auto"/>
        <w:right w:val="none" w:sz="0" w:space="0" w:color="auto"/>
      </w:divBdr>
    </w:div>
    <w:div w:id="1115101200">
      <w:bodyDiv w:val="1"/>
      <w:marLeft w:val="0"/>
      <w:marRight w:val="0"/>
      <w:marTop w:val="0"/>
      <w:marBottom w:val="0"/>
      <w:divBdr>
        <w:top w:val="none" w:sz="0" w:space="0" w:color="auto"/>
        <w:left w:val="none" w:sz="0" w:space="0" w:color="auto"/>
        <w:bottom w:val="none" w:sz="0" w:space="0" w:color="auto"/>
        <w:right w:val="none" w:sz="0" w:space="0" w:color="auto"/>
      </w:divBdr>
    </w:div>
    <w:div w:id="1115173461">
      <w:bodyDiv w:val="1"/>
      <w:marLeft w:val="0"/>
      <w:marRight w:val="0"/>
      <w:marTop w:val="0"/>
      <w:marBottom w:val="0"/>
      <w:divBdr>
        <w:top w:val="none" w:sz="0" w:space="0" w:color="auto"/>
        <w:left w:val="none" w:sz="0" w:space="0" w:color="auto"/>
        <w:bottom w:val="none" w:sz="0" w:space="0" w:color="auto"/>
        <w:right w:val="none" w:sz="0" w:space="0" w:color="auto"/>
      </w:divBdr>
    </w:div>
    <w:div w:id="1115442406">
      <w:bodyDiv w:val="1"/>
      <w:marLeft w:val="0"/>
      <w:marRight w:val="0"/>
      <w:marTop w:val="0"/>
      <w:marBottom w:val="0"/>
      <w:divBdr>
        <w:top w:val="none" w:sz="0" w:space="0" w:color="auto"/>
        <w:left w:val="none" w:sz="0" w:space="0" w:color="auto"/>
        <w:bottom w:val="none" w:sz="0" w:space="0" w:color="auto"/>
        <w:right w:val="none" w:sz="0" w:space="0" w:color="auto"/>
      </w:divBdr>
    </w:div>
    <w:div w:id="1115488264">
      <w:bodyDiv w:val="1"/>
      <w:marLeft w:val="0"/>
      <w:marRight w:val="0"/>
      <w:marTop w:val="0"/>
      <w:marBottom w:val="0"/>
      <w:divBdr>
        <w:top w:val="none" w:sz="0" w:space="0" w:color="auto"/>
        <w:left w:val="none" w:sz="0" w:space="0" w:color="auto"/>
        <w:bottom w:val="none" w:sz="0" w:space="0" w:color="auto"/>
        <w:right w:val="none" w:sz="0" w:space="0" w:color="auto"/>
      </w:divBdr>
    </w:div>
    <w:div w:id="1115489017">
      <w:bodyDiv w:val="1"/>
      <w:marLeft w:val="0"/>
      <w:marRight w:val="0"/>
      <w:marTop w:val="0"/>
      <w:marBottom w:val="0"/>
      <w:divBdr>
        <w:top w:val="none" w:sz="0" w:space="0" w:color="auto"/>
        <w:left w:val="none" w:sz="0" w:space="0" w:color="auto"/>
        <w:bottom w:val="none" w:sz="0" w:space="0" w:color="auto"/>
        <w:right w:val="none" w:sz="0" w:space="0" w:color="auto"/>
      </w:divBdr>
    </w:div>
    <w:div w:id="1115560297">
      <w:bodyDiv w:val="1"/>
      <w:marLeft w:val="0"/>
      <w:marRight w:val="0"/>
      <w:marTop w:val="0"/>
      <w:marBottom w:val="0"/>
      <w:divBdr>
        <w:top w:val="none" w:sz="0" w:space="0" w:color="auto"/>
        <w:left w:val="none" w:sz="0" w:space="0" w:color="auto"/>
        <w:bottom w:val="none" w:sz="0" w:space="0" w:color="auto"/>
        <w:right w:val="none" w:sz="0" w:space="0" w:color="auto"/>
      </w:divBdr>
    </w:div>
    <w:div w:id="1115634611">
      <w:bodyDiv w:val="1"/>
      <w:marLeft w:val="0"/>
      <w:marRight w:val="0"/>
      <w:marTop w:val="0"/>
      <w:marBottom w:val="0"/>
      <w:divBdr>
        <w:top w:val="none" w:sz="0" w:space="0" w:color="auto"/>
        <w:left w:val="none" w:sz="0" w:space="0" w:color="auto"/>
        <w:bottom w:val="none" w:sz="0" w:space="0" w:color="auto"/>
        <w:right w:val="none" w:sz="0" w:space="0" w:color="auto"/>
      </w:divBdr>
    </w:div>
    <w:div w:id="1115829474">
      <w:bodyDiv w:val="1"/>
      <w:marLeft w:val="0"/>
      <w:marRight w:val="0"/>
      <w:marTop w:val="0"/>
      <w:marBottom w:val="0"/>
      <w:divBdr>
        <w:top w:val="none" w:sz="0" w:space="0" w:color="auto"/>
        <w:left w:val="none" w:sz="0" w:space="0" w:color="auto"/>
        <w:bottom w:val="none" w:sz="0" w:space="0" w:color="auto"/>
        <w:right w:val="none" w:sz="0" w:space="0" w:color="auto"/>
      </w:divBdr>
    </w:div>
    <w:div w:id="1115834264">
      <w:bodyDiv w:val="1"/>
      <w:marLeft w:val="0"/>
      <w:marRight w:val="0"/>
      <w:marTop w:val="0"/>
      <w:marBottom w:val="0"/>
      <w:divBdr>
        <w:top w:val="none" w:sz="0" w:space="0" w:color="auto"/>
        <w:left w:val="none" w:sz="0" w:space="0" w:color="auto"/>
        <w:bottom w:val="none" w:sz="0" w:space="0" w:color="auto"/>
        <w:right w:val="none" w:sz="0" w:space="0" w:color="auto"/>
      </w:divBdr>
    </w:div>
    <w:div w:id="1115834366">
      <w:bodyDiv w:val="1"/>
      <w:marLeft w:val="0"/>
      <w:marRight w:val="0"/>
      <w:marTop w:val="0"/>
      <w:marBottom w:val="0"/>
      <w:divBdr>
        <w:top w:val="none" w:sz="0" w:space="0" w:color="auto"/>
        <w:left w:val="none" w:sz="0" w:space="0" w:color="auto"/>
        <w:bottom w:val="none" w:sz="0" w:space="0" w:color="auto"/>
        <w:right w:val="none" w:sz="0" w:space="0" w:color="auto"/>
      </w:divBdr>
    </w:div>
    <w:div w:id="1115908635">
      <w:bodyDiv w:val="1"/>
      <w:marLeft w:val="0"/>
      <w:marRight w:val="0"/>
      <w:marTop w:val="0"/>
      <w:marBottom w:val="0"/>
      <w:divBdr>
        <w:top w:val="none" w:sz="0" w:space="0" w:color="auto"/>
        <w:left w:val="none" w:sz="0" w:space="0" w:color="auto"/>
        <w:bottom w:val="none" w:sz="0" w:space="0" w:color="auto"/>
        <w:right w:val="none" w:sz="0" w:space="0" w:color="auto"/>
      </w:divBdr>
    </w:div>
    <w:div w:id="1116025593">
      <w:bodyDiv w:val="1"/>
      <w:marLeft w:val="0"/>
      <w:marRight w:val="0"/>
      <w:marTop w:val="0"/>
      <w:marBottom w:val="0"/>
      <w:divBdr>
        <w:top w:val="none" w:sz="0" w:space="0" w:color="auto"/>
        <w:left w:val="none" w:sz="0" w:space="0" w:color="auto"/>
        <w:bottom w:val="none" w:sz="0" w:space="0" w:color="auto"/>
        <w:right w:val="none" w:sz="0" w:space="0" w:color="auto"/>
      </w:divBdr>
    </w:div>
    <w:div w:id="1116144215">
      <w:bodyDiv w:val="1"/>
      <w:marLeft w:val="0"/>
      <w:marRight w:val="0"/>
      <w:marTop w:val="0"/>
      <w:marBottom w:val="0"/>
      <w:divBdr>
        <w:top w:val="none" w:sz="0" w:space="0" w:color="auto"/>
        <w:left w:val="none" w:sz="0" w:space="0" w:color="auto"/>
        <w:bottom w:val="none" w:sz="0" w:space="0" w:color="auto"/>
        <w:right w:val="none" w:sz="0" w:space="0" w:color="auto"/>
      </w:divBdr>
    </w:div>
    <w:div w:id="1116410855">
      <w:bodyDiv w:val="1"/>
      <w:marLeft w:val="0"/>
      <w:marRight w:val="0"/>
      <w:marTop w:val="0"/>
      <w:marBottom w:val="0"/>
      <w:divBdr>
        <w:top w:val="none" w:sz="0" w:space="0" w:color="auto"/>
        <w:left w:val="none" w:sz="0" w:space="0" w:color="auto"/>
        <w:bottom w:val="none" w:sz="0" w:space="0" w:color="auto"/>
        <w:right w:val="none" w:sz="0" w:space="0" w:color="auto"/>
      </w:divBdr>
    </w:div>
    <w:div w:id="1116414777">
      <w:bodyDiv w:val="1"/>
      <w:marLeft w:val="0"/>
      <w:marRight w:val="0"/>
      <w:marTop w:val="0"/>
      <w:marBottom w:val="0"/>
      <w:divBdr>
        <w:top w:val="none" w:sz="0" w:space="0" w:color="auto"/>
        <w:left w:val="none" w:sz="0" w:space="0" w:color="auto"/>
        <w:bottom w:val="none" w:sz="0" w:space="0" w:color="auto"/>
        <w:right w:val="none" w:sz="0" w:space="0" w:color="auto"/>
      </w:divBdr>
    </w:div>
    <w:div w:id="1116490255">
      <w:bodyDiv w:val="1"/>
      <w:marLeft w:val="0"/>
      <w:marRight w:val="0"/>
      <w:marTop w:val="0"/>
      <w:marBottom w:val="0"/>
      <w:divBdr>
        <w:top w:val="none" w:sz="0" w:space="0" w:color="auto"/>
        <w:left w:val="none" w:sz="0" w:space="0" w:color="auto"/>
        <w:bottom w:val="none" w:sz="0" w:space="0" w:color="auto"/>
        <w:right w:val="none" w:sz="0" w:space="0" w:color="auto"/>
      </w:divBdr>
    </w:div>
    <w:div w:id="1116753387">
      <w:bodyDiv w:val="1"/>
      <w:marLeft w:val="0"/>
      <w:marRight w:val="0"/>
      <w:marTop w:val="0"/>
      <w:marBottom w:val="0"/>
      <w:divBdr>
        <w:top w:val="none" w:sz="0" w:space="0" w:color="auto"/>
        <w:left w:val="none" w:sz="0" w:space="0" w:color="auto"/>
        <w:bottom w:val="none" w:sz="0" w:space="0" w:color="auto"/>
        <w:right w:val="none" w:sz="0" w:space="0" w:color="auto"/>
      </w:divBdr>
    </w:div>
    <w:div w:id="1116756342">
      <w:bodyDiv w:val="1"/>
      <w:marLeft w:val="0"/>
      <w:marRight w:val="0"/>
      <w:marTop w:val="0"/>
      <w:marBottom w:val="0"/>
      <w:divBdr>
        <w:top w:val="none" w:sz="0" w:space="0" w:color="auto"/>
        <w:left w:val="none" w:sz="0" w:space="0" w:color="auto"/>
        <w:bottom w:val="none" w:sz="0" w:space="0" w:color="auto"/>
        <w:right w:val="none" w:sz="0" w:space="0" w:color="auto"/>
      </w:divBdr>
    </w:div>
    <w:div w:id="1116829520">
      <w:bodyDiv w:val="1"/>
      <w:marLeft w:val="0"/>
      <w:marRight w:val="0"/>
      <w:marTop w:val="0"/>
      <w:marBottom w:val="0"/>
      <w:divBdr>
        <w:top w:val="none" w:sz="0" w:space="0" w:color="auto"/>
        <w:left w:val="none" w:sz="0" w:space="0" w:color="auto"/>
        <w:bottom w:val="none" w:sz="0" w:space="0" w:color="auto"/>
        <w:right w:val="none" w:sz="0" w:space="0" w:color="auto"/>
      </w:divBdr>
    </w:div>
    <w:div w:id="1117019782">
      <w:bodyDiv w:val="1"/>
      <w:marLeft w:val="0"/>
      <w:marRight w:val="0"/>
      <w:marTop w:val="0"/>
      <w:marBottom w:val="0"/>
      <w:divBdr>
        <w:top w:val="none" w:sz="0" w:space="0" w:color="auto"/>
        <w:left w:val="none" w:sz="0" w:space="0" w:color="auto"/>
        <w:bottom w:val="none" w:sz="0" w:space="0" w:color="auto"/>
        <w:right w:val="none" w:sz="0" w:space="0" w:color="auto"/>
      </w:divBdr>
    </w:div>
    <w:div w:id="1117144230">
      <w:bodyDiv w:val="1"/>
      <w:marLeft w:val="0"/>
      <w:marRight w:val="0"/>
      <w:marTop w:val="0"/>
      <w:marBottom w:val="0"/>
      <w:divBdr>
        <w:top w:val="none" w:sz="0" w:space="0" w:color="auto"/>
        <w:left w:val="none" w:sz="0" w:space="0" w:color="auto"/>
        <w:bottom w:val="none" w:sz="0" w:space="0" w:color="auto"/>
        <w:right w:val="none" w:sz="0" w:space="0" w:color="auto"/>
      </w:divBdr>
    </w:div>
    <w:div w:id="1117144782">
      <w:bodyDiv w:val="1"/>
      <w:marLeft w:val="0"/>
      <w:marRight w:val="0"/>
      <w:marTop w:val="0"/>
      <w:marBottom w:val="0"/>
      <w:divBdr>
        <w:top w:val="none" w:sz="0" w:space="0" w:color="auto"/>
        <w:left w:val="none" w:sz="0" w:space="0" w:color="auto"/>
        <w:bottom w:val="none" w:sz="0" w:space="0" w:color="auto"/>
        <w:right w:val="none" w:sz="0" w:space="0" w:color="auto"/>
      </w:divBdr>
    </w:div>
    <w:div w:id="1117413662">
      <w:bodyDiv w:val="1"/>
      <w:marLeft w:val="0"/>
      <w:marRight w:val="0"/>
      <w:marTop w:val="0"/>
      <w:marBottom w:val="0"/>
      <w:divBdr>
        <w:top w:val="none" w:sz="0" w:space="0" w:color="auto"/>
        <w:left w:val="none" w:sz="0" w:space="0" w:color="auto"/>
        <w:bottom w:val="none" w:sz="0" w:space="0" w:color="auto"/>
        <w:right w:val="none" w:sz="0" w:space="0" w:color="auto"/>
      </w:divBdr>
    </w:div>
    <w:div w:id="1117601382">
      <w:bodyDiv w:val="1"/>
      <w:marLeft w:val="0"/>
      <w:marRight w:val="0"/>
      <w:marTop w:val="0"/>
      <w:marBottom w:val="0"/>
      <w:divBdr>
        <w:top w:val="none" w:sz="0" w:space="0" w:color="auto"/>
        <w:left w:val="none" w:sz="0" w:space="0" w:color="auto"/>
        <w:bottom w:val="none" w:sz="0" w:space="0" w:color="auto"/>
        <w:right w:val="none" w:sz="0" w:space="0" w:color="auto"/>
      </w:divBdr>
    </w:div>
    <w:div w:id="1117606405">
      <w:bodyDiv w:val="1"/>
      <w:marLeft w:val="0"/>
      <w:marRight w:val="0"/>
      <w:marTop w:val="0"/>
      <w:marBottom w:val="0"/>
      <w:divBdr>
        <w:top w:val="none" w:sz="0" w:space="0" w:color="auto"/>
        <w:left w:val="none" w:sz="0" w:space="0" w:color="auto"/>
        <w:bottom w:val="none" w:sz="0" w:space="0" w:color="auto"/>
        <w:right w:val="none" w:sz="0" w:space="0" w:color="auto"/>
      </w:divBdr>
    </w:div>
    <w:div w:id="1117682681">
      <w:bodyDiv w:val="1"/>
      <w:marLeft w:val="0"/>
      <w:marRight w:val="0"/>
      <w:marTop w:val="0"/>
      <w:marBottom w:val="0"/>
      <w:divBdr>
        <w:top w:val="none" w:sz="0" w:space="0" w:color="auto"/>
        <w:left w:val="none" w:sz="0" w:space="0" w:color="auto"/>
        <w:bottom w:val="none" w:sz="0" w:space="0" w:color="auto"/>
        <w:right w:val="none" w:sz="0" w:space="0" w:color="auto"/>
      </w:divBdr>
    </w:div>
    <w:div w:id="1117793051">
      <w:bodyDiv w:val="1"/>
      <w:marLeft w:val="0"/>
      <w:marRight w:val="0"/>
      <w:marTop w:val="0"/>
      <w:marBottom w:val="0"/>
      <w:divBdr>
        <w:top w:val="none" w:sz="0" w:space="0" w:color="auto"/>
        <w:left w:val="none" w:sz="0" w:space="0" w:color="auto"/>
        <w:bottom w:val="none" w:sz="0" w:space="0" w:color="auto"/>
        <w:right w:val="none" w:sz="0" w:space="0" w:color="auto"/>
      </w:divBdr>
    </w:div>
    <w:div w:id="1117868056">
      <w:bodyDiv w:val="1"/>
      <w:marLeft w:val="0"/>
      <w:marRight w:val="0"/>
      <w:marTop w:val="0"/>
      <w:marBottom w:val="0"/>
      <w:divBdr>
        <w:top w:val="none" w:sz="0" w:space="0" w:color="auto"/>
        <w:left w:val="none" w:sz="0" w:space="0" w:color="auto"/>
        <w:bottom w:val="none" w:sz="0" w:space="0" w:color="auto"/>
        <w:right w:val="none" w:sz="0" w:space="0" w:color="auto"/>
      </w:divBdr>
    </w:div>
    <w:div w:id="1117874235">
      <w:bodyDiv w:val="1"/>
      <w:marLeft w:val="0"/>
      <w:marRight w:val="0"/>
      <w:marTop w:val="0"/>
      <w:marBottom w:val="0"/>
      <w:divBdr>
        <w:top w:val="none" w:sz="0" w:space="0" w:color="auto"/>
        <w:left w:val="none" w:sz="0" w:space="0" w:color="auto"/>
        <w:bottom w:val="none" w:sz="0" w:space="0" w:color="auto"/>
        <w:right w:val="none" w:sz="0" w:space="0" w:color="auto"/>
      </w:divBdr>
    </w:div>
    <w:div w:id="1117874700">
      <w:bodyDiv w:val="1"/>
      <w:marLeft w:val="0"/>
      <w:marRight w:val="0"/>
      <w:marTop w:val="0"/>
      <w:marBottom w:val="0"/>
      <w:divBdr>
        <w:top w:val="none" w:sz="0" w:space="0" w:color="auto"/>
        <w:left w:val="none" w:sz="0" w:space="0" w:color="auto"/>
        <w:bottom w:val="none" w:sz="0" w:space="0" w:color="auto"/>
        <w:right w:val="none" w:sz="0" w:space="0" w:color="auto"/>
      </w:divBdr>
    </w:div>
    <w:div w:id="1117913444">
      <w:bodyDiv w:val="1"/>
      <w:marLeft w:val="0"/>
      <w:marRight w:val="0"/>
      <w:marTop w:val="0"/>
      <w:marBottom w:val="0"/>
      <w:divBdr>
        <w:top w:val="none" w:sz="0" w:space="0" w:color="auto"/>
        <w:left w:val="none" w:sz="0" w:space="0" w:color="auto"/>
        <w:bottom w:val="none" w:sz="0" w:space="0" w:color="auto"/>
        <w:right w:val="none" w:sz="0" w:space="0" w:color="auto"/>
      </w:divBdr>
    </w:div>
    <w:div w:id="1117916080">
      <w:bodyDiv w:val="1"/>
      <w:marLeft w:val="0"/>
      <w:marRight w:val="0"/>
      <w:marTop w:val="0"/>
      <w:marBottom w:val="0"/>
      <w:divBdr>
        <w:top w:val="none" w:sz="0" w:space="0" w:color="auto"/>
        <w:left w:val="none" w:sz="0" w:space="0" w:color="auto"/>
        <w:bottom w:val="none" w:sz="0" w:space="0" w:color="auto"/>
        <w:right w:val="none" w:sz="0" w:space="0" w:color="auto"/>
      </w:divBdr>
    </w:div>
    <w:div w:id="1117916985">
      <w:bodyDiv w:val="1"/>
      <w:marLeft w:val="0"/>
      <w:marRight w:val="0"/>
      <w:marTop w:val="0"/>
      <w:marBottom w:val="0"/>
      <w:divBdr>
        <w:top w:val="none" w:sz="0" w:space="0" w:color="auto"/>
        <w:left w:val="none" w:sz="0" w:space="0" w:color="auto"/>
        <w:bottom w:val="none" w:sz="0" w:space="0" w:color="auto"/>
        <w:right w:val="none" w:sz="0" w:space="0" w:color="auto"/>
      </w:divBdr>
    </w:div>
    <w:div w:id="1117987026">
      <w:bodyDiv w:val="1"/>
      <w:marLeft w:val="0"/>
      <w:marRight w:val="0"/>
      <w:marTop w:val="0"/>
      <w:marBottom w:val="0"/>
      <w:divBdr>
        <w:top w:val="none" w:sz="0" w:space="0" w:color="auto"/>
        <w:left w:val="none" w:sz="0" w:space="0" w:color="auto"/>
        <w:bottom w:val="none" w:sz="0" w:space="0" w:color="auto"/>
        <w:right w:val="none" w:sz="0" w:space="0" w:color="auto"/>
      </w:divBdr>
    </w:div>
    <w:div w:id="1118138544">
      <w:bodyDiv w:val="1"/>
      <w:marLeft w:val="0"/>
      <w:marRight w:val="0"/>
      <w:marTop w:val="0"/>
      <w:marBottom w:val="0"/>
      <w:divBdr>
        <w:top w:val="none" w:sz="0" w:space="0" w:color="auto"/>
        <w:left w:val="none" w:sz="0" w:space="0" w:color="auto"/>
        <w:bottom w:val="none" w:sz="0" w:space="0" w:color="auto"/>
        <w:right w:val="none" w:sz="0" w:space="0" w:color="auto"/>
      </w:divBdr>
    </w:div>
    <w:div w:id="1118253143">
      <w:bodyDiv w:val="1"/>
      <w:marLeft w:val="0"/>
      <w:marRight w:val="0"/>
      <w:marTop w:val="0"/>
      <w:marBottom w:val="0"/>
      <w:divBdr>
        <w:top w:val="none" w:sz="0" w:space="0" w:color="auto"/>
        <w:left w:val="none" w:sz="0" w:space="0" w:color="auto"/>
        <w:bottom w:val="none" w:sz="0" w:space="0" w:color="auto"/>
        <w:right w:val="none" w:sz="0" w:space="0" w:color="auto"/>
      </w:divBdr>
    </w:div>
    <w:div w:id="1118260139">
      <w:bodyDiv w:val="1"/>
      <w:marLeft w:val="0"/>
      <w:marRight w:val="0"/>
      <w:marTop w:val="0"/>
      <w:marBottom w:val="0"/>
      <w:divBdr>
        <w:top w:val="none" w:sz="0" w:space="0" w:color="auto"/>
        <w:left w:val="none" w:sz="0" w:space="0" w:color="auto"/>
        <w:bottom w:val="none" w:sz="0" w:space="0" w:color="auto"/>
        <w:right w:val="none" w:sz="0" w:space="0" w:color="auto"/>
      </w:divBdr>
    </w:div>
    <w:div w:id="1118260387">
      <w:bodyDiv w:val="1"/>
      <w:marLeft w:val="0"/>
      <w:marRight w:val="0"/>
      <w:marTop w:val="0"/>
      <w:marBottom w:val="0"/>
      <w:divBdr>
        <w:top w:val="none" w:sz="0" w:space="0" w:color="auto"/>
        <w:left w:val="none" w:sz="0" w:space="0" w:color="auto"/>
        <w:bottom w:val="none" w:sz="0" w:space="0" w:color="auto"/>
        <w:right w:val="none" w:sz="0" w:space="0" w:color="auto"/>
      </w:divBdr>
    </w:div>
    <w:div w:id="1118449882">
      <w:bodyDiv w:val="1"/>
      <w:marLeft w:val="0"/>
      <w:marRight w:val="0"/>
      <w:marTop w:val="0"/>
      <w:marBottom w:val="0"/>
      <w:divBdr>
        <w:top w:val="none" w:sz="0" w:space="0" w:color="auto"/>
        <w:left w:val="none" w:sz="0" w:space="0" w:color="auto"/>
        <w:bottom w:val="none" w:sz="0" w:space="0" w:color="auto"/>
        <w:right w:val="none" w:sz="0" w:space="0" w:color="auto"/>
      </w:divBdr>
    </w:div>
    <w:div w:id="1118452059">
      <w:bodyDiv w:val="1"/>
      <w:marLeft w:val="0"/>
      <w:marRight w:val="0"/>
      <w:marTop w:val="0"/>
      <w:marBottom w:val="0"/>
      <w:divBdr>
        <w:top w:val="none" w:sz="0" w:space="0" w:color="auto"/>
        <w:left w:val="none" w:sz="0" w:space="0" w:color="auto"/>
        <w:bottom w:val="none" w:sz="0" w:space="0" w:color="auto"/>
        <w:right w:val="none" w:sz="0" w:space="0" w:color="auto"/>
      </w:divBdr>
    </w:div>
    <w:div w:id="1118526730">
      <w:bodyDiv w:val="1"/>
      <w:marLeft w:val="0"/>
      <w:marRight w:val="0"/>
      <w:marTop w:val="0"/>
      <w:marBottom w:val="0"/>
      <w:divBdr>
        <w:top w:val="none" w:sz="0" w:space="0" w:color="auto"/>
        <w:left w:val="none" w:sz="0" w:space="0" w:color="auto"/>
        <w:bottom w:val="none" w:sz="0" w:space="0" w:color="auto"/>
        <w:right w:val="none" w:sz="0" w:space="0" w:color="auto"/>
      </w:divBdr>
    </w:div>
    <w:div w:id="1118646446">
      <w:bodyDiv w:val="1"/>
      <w:marLeft w:val="0"/>
      <w:marRight w:val="0"/>
      <w:marTop w:val="0"/>
      <w:marBottom w:val="0"/>
      <w:divBdr>
        <w:top w:val="none" w:sz="0" w:space="0" w:color="auto"/>
        <w:left w:val="none" w:sz="0" w:space="0" w:color="auto"/>
        <w:bottom w:val="none" w:sz="0" w:space="0" w:color="auto"/>
        <w:right w:val="none" w:sz="0" w:space="0" w:color="auto"/>
      </w:divBdr>
    </w:div>
    <w:div w:id="1118724321">
      <w:bodyDiv w:val="1"/>
      <w:marLeft w:val="0"/>
      <w:marRight w:val="0"/>
      <w:marTop w:val="0"/>
      <w:marBottom w:val="0"/>
      <w:divBdr>
        <w:top w:val="none" w:sz="0" w:space="0" w:color="auto"/>
        <w:left w:val="none" w:sz="0" w:space="0" w:color="auto"/>
        <w:bottom w:val="none" w:sz="0" w:space="0" w:color="auto"/>
        <w:right w:val="none" w:sz="0" w:space="0" w:color="auto"/>
      </w:divBdr>
    </w:div>
    <w:div w:id="1118917422">
      <w:bodyDiv w:val="1"/>
      <w:marLeft w:val="0"/>
      <w:marRight w:val="0"/>
      <w:marTop w:val="0"/>
      <w:marBottom w:val="0"/>
      <w:divBdr>
        <w:top w:val="none" w:sz="0" w:space="0" w:color="auto"/>
        <w:left w:val="none" w:sz="0" w:space="0" w:color="auto"/>
        <w:bottom w:val="none" w:sz="0" w:space="0" w:color="auto"/>
        <w:right w:val="none" w:sz="0" w:space="0" w:color="auto"/>
      </w:divBdr>
    </w:div>
    <w:div w:id="1119109311">
      <w:bodyDiv w:val="1"/>
      <w:marLeft w:val="0"/>
      <w:marRight w:val="0"/>
      <w:marTop w:val="0"/>
      <w:marBottom w:val="0"/>
      <w:divBdr>
        <w:top w:val="none" w:sz="0" w:space="0" w:color="auto"/>
        <w:left w:val="none" w:sz="0" w:space="0" w:color="auto"/>
        <w:bottom w:val="none" w:sz="0" w:space="0" w:color="auto"/>
        <w:right w:val="none" w:sz="0" w:space="0" w:color="auto"/>
      </w:divBdr>
    </w:div>
    <w:div w:id="1119111238">
      <w:bodyDiv w:val="1"/>
      <w:marLeft w:val="0"/>
      <w:marRight w:val="0"/>
      <w:marTop w:val="0"/>
      <w:marBottom w:val="0"/>
      <w:divBdr>
        <w:top w:val="none" w:sz="0" w:space="0" w:color="auto"/>
        <w:left w:val="none" w:sz="0" w:space="0" w:color="auto"/>
        <w:bottom w:val="none" w:sz="0" w:space="0" w:color="auto"/>
        <w:right w:val="none" w:sz="0" w:space="0" w:color="auto"/>
      </w:divBdr>
    </w:div>
    <w:div w:id="1119186676">
      <w:bodyDiv w:val="1"/>
      <w:marLeft w:val="0"/>
      <w:marRight w:val="0"/>
      <w:marTop w:val="0"/>
      <w:marBottom w:val="0"/>
      <w:divBdr>
        <w:top w:val="none" w:sz="0" w:space="0" w:color="auto"/>
        <w:left w:val="none" w:sz="0" w:space="0" w:color="auto"/>
        <w:bottom w:val="none" w:sz="0" w:space="0" w:color="auto"/>
        <w:right w:val="none" w:sz="0" w:space="0" w:color="auto"/>
      </w:divBdr>
    </w:div>
    <w:div w:id="1119228387">
      <w:bodyDiv w:val="1"/>
      <w:marLeft w:val="0"/>
      <w:marRight w:val="0"/>
      <w:marTop w:val="0"/>
      <w:marBottom w:val="0"/>
      <w:divBdr>
        <w:top w:val="none" w:sz="0" w:space="0" w:color="auto"/>
        <w:left w:val="none" w:sz="0" w:space="0" w:color="auto"/>
        <w:bottom w:val="none" w:sz="0" w:space="0" w:color="auto"/>
        <w:right w:val="none" w:sz="0" w:space="0" w:color="auto"/>
      </w:divBdr>
    </w:div>
    <w:div w:id="1119297391">
      <w:bodyDiv w:val="1"/>
      <w:marLeft w:val="0"/>
      <w:marRight w:val="0"/>
      <w:marTop w:val="0"/>
      <w:marBottom w:val="0"/>
      <w:divBdr>
        <w:top w:val="none" w:sz="0" w:space="0" w:color="auto"/>
        <w:left w:val="none" w:sz="0" w:space="0" w:color="auto"/>
        <w:bottom w:val="none" w:sz="0" w:space="0" w:color="auto"/>
        <w:right w:val="none" w:sz="0" w:space="0" w:color="auto"/>
      </w:divBdr>
    </w:div>
    <w:div w:id="1119300083">
      <w:bodyDiv w:val="1"/>
      <w:marLeft w:val="0"/>
      <w:marRight w:val="0"/>
      <w:marTop w:val="0"/>
      <w:marBottom w:val="0"/>
      <w:divBdr>
        <w:top w:val="none" w:sz="0" w:space="0" w:color="auto"/>
        <w:left w:val="none" w:sz="0" w:space="0" w:color="auto"/>
        <w:bottom w:val="none" w:sz="0" w:space="0" w:color="auto"/>
        <w:right w:val="none" w:sz="0" w:space="0" w:color="auto"/>
      </w:divBdr>
    </w:div>
    <w:div w:id="1119375271">
      <w:bodyDiv w:val="1"/>
      <w:marLeft w:val="0"/>
      <w:marRight w:val="0"/>
      <w:marTop w:val="0"/>
      <w:marBottom w:val="0"/>
      <w:divBdr>
        <w:top w:val="none" w:sz="0" w:space="0" w:color="auto"/>
        <w:left w:val="none" w:sz="0" w:space="0" w:color="auto"/>
        <w:bottom w:val="none" w:sz="0" w:space="0" w:color="auto"/>
        <w:right w:val="none" w:sz="0" w:space="0" w:color="auto"/>
      </w:divBdr>
    </w:div>
    <w:div w:id="1119490806">
      <w:bodyDiv w:val="1"/>
      <w:marLeft w:val="0"/>
      <w:marRight w:val="0"/>
      <w:marTop w:val="0"/>
      <w:marBottom w:val="0"/>
      <w:divBdr>
        <w:top w:val="none" w:sz="0" w:space="0" w:color="auto"/>
        <w:left w:val="none" w:sz="0" w:space="0" w:color="auto"/>
        <w:bottom w:val="none" w:sz="0" w:space="0" w:color="auto"/>
        <w:right w:val="none" w:sz="0" w:space="0" w:color="auto"/>
      </w:divBdr>
    </w:div>
    <w:div w:id="1119757722">
      <w:bodyDiv w:val="1"/>
      <w:marLeft w:val="0"/>
      <w:marRight w:val="0"/>
      <w:marTop w:val="0"/>
      <w:marBottom w:val="0"/>
      <w:divBdr>
        <w:top w:val="none" w:sz="0" w:space="0" w:color="auto"/>
        <w:left w:val="none" w:sz="0" w:space="0" w:color="auto"/>
        <w:bottom w:val="none" w:sz="0" w:space="0" w:color="auto"/>
        <w:right w:val="none" w:sz="0" w:space="0" w:color="auto"/>
      </w:divBdr>
    </w:div>
    <w:div w:id="1120034856">
      <w:bodyDiv w:val="1"/>
      <w:marLeft w:val="0"/>
      <w:marRight w:val="0"/>
      <w:marTop w:val="0"/>
      <w:marBottom w:val="0"/>
      <w:divBdr>
        <w:top w:val="none" w:sz="0" w:space="0" w:color="auto"/>
        <w:left w:val="none" w:sz="0" w:space="0" w:color="auto"/>
        <w:bottom w:val="none" w:sz="0" w:space="0" w:color="auto"/>
        <w:right w:val="none" w:sz="0" w:space="0" w:color="auto"/>
      </w:divBdr>
    </w:div>
    <w:div w:id="1120800422">
      <w:bodyDiv w:val="1"/>
      <w:marLeft w:val="0"/>
      <w:marRight w:val="0"/>
      <w:marTop w:val="0"/>
      <w:marBottom w:val="0"/>
      <w:divBdr>
        <w:top w:val="none" w:sz="0" w:space="0" w:color="auto"/>
        <w:left w:val="none" w:sz="0" w:space="0" w:color="auto"/>
        <w:bottom w:val="none" w:sz="0" w:space="0" w:color="auto"/>
        <w:right w:val="none" w:sz="0" w:space="0" w:color="auto"/>
      </w:divBdr>
    </w:div>
    <w:div w:id="1120874939">
      <w:bodyDiv w:val="1"/>
      <w:marLeft w:val="0"/>
      <w:marRight w:val="0"/>
      <w:marTop w:val="0"/>
      <w:marBottom w:val="0"/>
      <w:divBdr>
        <w:top w:val="none" w:sz="0" w:space="0" w:color="auto"/>
        <w:left w:val="none" w:sz="0" w:space="0" w:color="auto"/>
        <w:bottom w:val="none" w:sz="0" w:space="0" w:color="auto"/>
        <w:right w:val="none" w:sz="0" w:space="0" w:color="auto"/>
      </w:divBdr>
    </w:div>
    <w:div w:id="1120958136">
      <w:bodyDiv w:val="1"/>
      <w:marLeft w:val="0"/>
      <w:marRight w:val="0"/>
      <w:marTop w:val="0"/>
      <w:marBottom w:val="0"/>
      <w:divBdr>
        <w:top w:val="none" w:sz="0" w:space="0" w:color="auto"/>
        <w:left w:val="none" w:sz="0" w:space="0" w:color="auto"/>
        <w:bottom w:val="none" w:sz="0" w:space="0" w:color="auto"/>
        <w:right w:val="none" w:sz="0" w:space="0" w:color="auto"/>
      </w:divBdr>
    </w:div>
    <w:div w:id="1120958650">
      <w:bodyDiv w:val="1"/>
      <w:marLeft w:val="0"/>
      <w:marRight w:val="0"/>
      <w:marTop w:val="0"/>
      <w:marBottom w:val="0"/>
      <w:divBdr>
        <w:top w:val="none" w:sz="0" w:space="0" w:color="auto"/>
        <w:left w:val="none" w:sz="0" w:space="0" w:color="auto"/>
        <w:bottom w:val="none" w:sz="0" w:space="0" w:color="auto"/>
        <w:right w:val="none" w:sz="0" w:space="0" w:color="auto"/>
      </w:divBdr>
    </w:div>
    <w:div w:id="1120999525">
      <w:bodyDiv w:val="1"/>
      <w:marLeft w:val="0"/>
      <w:marRight w:val="0"/>
      <w:marTop w:val="0"/>
      <w:marBottom w:val="0"/>
      <w:divBdr>
        <w:top w:val="none" w:sz="0" w:space="0" w:color="auto"/>
        <w:left w:val="none" w:sz="0" w:space="0" w:color="auto"/>
        <w:bottom w:val="none" w:sz="0" w:space="0" w:color="auto"/>
        <w:right w:val="none" w:sz="0" w:space="0" w:color="auto"/>
      </w:divBdr>
    </w:div>
    <w:div w:id="1121339063">
      <w:bodyDiv w:val="1"/>
      <w:marLeft w:val="0"/>
      <w:marRight w:val="0"/>
      <w:marTop w:val="0"/>
      <w:marBottom w:val="0"/>
      <w:divBdr>
        <w:top w:val="none" w:sz="0" w:space="0" w:color="auto"/>
        <w:left w:val="none" w:sz="0" w:space="0" w:color="auto"/>
        <w:bottom w:val="none" w:sz="0" w:space="0" w:color="auto"/>
        <w:right w:val="none" w:sz="0" w:space="0" w:color="auto"/>
      </w:divBdr>
    </w:div>
    <w:div w:id="1121417109">
      <w:bodyDiv w:val="1"/>
      <w:marLeft w:val="0"/>
      <w:marRight w:val="0"/>
      <w:marTop w:val="0"/>
      <w:marBottom w:val="0"/>
      <w:divBdr>
        <w:top w:val="none" w:sz="0" w:space="0" w:color="auto"/>
        <w:left w:val="none" w:sz="0" w:space="0" w:color="auto"/>
        <w:bottom w:val="none" w:sz="0" w:space="0" w:color="auto"/>
        <w:right w:val="none" w:sz="0" w:space="0" w:color="auto"/>
      </w:divBdr>
    </w:div>
    <w:div w:id="1121532169">
      <w:bodyDiv w:val="1"/>
      <w:marLeft w:val="0"/>
      <w:marRight w:val="0"/>
      <w:marTop w:val="0"/>
      <w:marBottom w:val="0"/>
      <w:divBdr>
        <w:top w:val="none" w:sz="0" w:space="0" w:color="auto"/>
        <w:left w:val="none" w:sz="0" w:space="0" w:color="auto"/>
        <w:bottom w:val="none" w:sz="0" w:space="0" w:color="auto"/>
        <w:right w:val="none" w:sz="0" w:space="0" w:color="auto"/>
      </w:divBdr>
    </w:div>
    <w:div w:id="1121650738">
      <w:bodyDiv w:val="1"/>
      <w:marLeft w:val="0"/>
      <w:marRight w:val="0"/>
      <w:marTop w:val="0"/>
      <w:marBottom w:val="0"/>
      <w:divBdr>
        <w:top w:val="none" w:sz="0" w:space="0" w:color="auto"/>
        <w:left w:val="none" w:sz="0" w:space="0" w:color="auto"/>
        <w:bottom w:val="none" w:sz="0" w:space="0" w:color="auto"/>
        <w:right w:val="none" w:sz="0" w:space="0" w:color="auto"/>
      </w:divBdr>
    </w:div>
    <w:div w:id="1122117956">
      <w:bodyDiv w:val="1"/>
      <w:marLeft w:val="0"/>
      <w:marRight w:val="0"/>
      <w:marTop w:val="0"/>
      <w:marBottom w:val="0"/>
      <w:divBdr>
        <w:top w:val="none" w:sz="0" w:space="0" w:color="auto"/>
        <w:left w:val="none" w:sz="0" w:space="0" w:color="auto"/>
        <w:bottom w:val="none" w:sz="0" w:space="0" w:color="auto"/>
        <w:right w:val="none" w:sz="0" w:space="0" w:color="auto"/>
      </w:divBdr>
    </w:div>
    <w:div w:id="1122118223">
      <w:bodyDiv w:val="1"/>
      <w:marLeft w:val="0"/>
      <w:marRight w:val="0"/>
      <w:marTop w:val="0"/>
      <w:marBottom w:val="0"/>
      <w:divBdr>
        <w:top w:val="none" w:sz="0" w:space="0" w:color="auto"/>
        <w:left w:val="none" w:sz="0" w:space="0" w:color="auto"/>
        <w:bottom w:val="none" w:sz="0" w:space="0" w:color="auto"/>
        <w:right w:val="none" w:sz="0" w:space="0" w:color="auto"/>
      </w:divBdr>
    </w:div>
    <w:div w:id="1122305273">
      <w:bodyDiv w:val="1"/>
      <w:marLeft w:val="0"/>
      <w:marRight w:val="0"/>
      <w:marTop w:val="0"/>
      <w:marBottom w:val="0"/>
      <w:divBdr>
        <w:top w:val="none" w:sz="0" w:space="0" w:color="auto"/>
        <w:left w:val="none" w:sz="0" w:space="0" w:color="auto"/>
        <w:bottom w:val="none" w:sz="0" w:space="0" w:color="auto"/>
        <w:right w:val="none" w:sz="0" w:space="0" w:color="auto"/>
      </w:divBdr>
    </w:div>
    <w:div w:id="1122306210">
      <w:bodyDiv w:val="1"/>
      <w:marLeft w:val="0"/>
      <w:marRight w:val="0"/>
      <w:marTop w:val="0"/>
      <w:marBottom w:val="0"/>
      <w:divBdr>
        <w:top w:val="none" w:sz="0" w:space="0" w:color="auto"/>
        <w:left w:val="none" w:sz="0" w:space="0" w:color="auto"/>
        <w:bottom w:val="none" w:sz="0" w:space="0" w:color="auto"/>
        <w:right w:val="none" w:sz="0" w:space="0" w:color="auto"/>
      </w:divBdr>
    </w:div>
    <w:div w:id="1122309542">
      <w:bodyDiv w:val="1"/>
      <w:marLeft w:val="0"/>
      <w:marRight w:val="0"/>
      <w:marTop w:val="0"/>
      <w:marBottom w:val="0"/>
      <w:divBdr>
        <w:top w:val="none" w:sz="0" w:space="0" w:color="auto"/>
        <w:left w:val="none" w:sz="0" w:space="0" w:color="auto"/>
        <w:bottom w:val="none" w:sz="0" w:space="0" w:color="auto"/>
        <w:right w:val="none" w:sz="0" w:space="0" w:color="auto"/>
      </w:divBdr>
    </w:div>
    <w:div w:id="1122387328">
      <w:bodyDiv w:val="1"/>
      <w:marLeft w:val="0"/>
      <w:marRight w:val="0"/>
      <w:marTop w:val="0"/>
      <w:marBottom w:val="0"/>
      <w:divBdr>
        <w:top w:val="none" w:sz="0" w:space="0" w:color="auto"/>
        <w:left w:val="none" w:sz="0" w:space="0" w:color="auto"/>
        <w:bottom w:val="none" w:sz="0" w:space="0" w:color="auto"/>
        <w:right w:val="none" w:sz="0" w:space="0" w:color="auto"/>
      </w:divBdr>
    </w:div>
    <w:div w:id="1122574616">
      <w:bodyDiv w:val="1"/>
      <w:marLeft w:val="0"/>
      <w:marRight w:val="0"/>
      <w:marTop w:val="0"/>
      <w:marBottom w:val="0"/>
      <w:divBdr>
        <w:top w:val="none" w:sz="0" w:space="0" w:color="auto"/>
        <w:left w:val="none" w:sz="0" w:space="0" w:color="auto"/>
        <w:bottom w:val="none" w:sz="0" w:space="0" w:color="auto"/>
        <w:right w:val="none" w:sz="0" w:space="0" w:color="auto"/>
      </w:divBdr>
    </w:div>
    <w:div w:id="1122646744">
      <w:bodyDiv w:val="1"/>
      <w:marLeft w:val="0"/>
      <w:marRight w:val="0"/>
      <w:marTop w:val="0"/>
      <w:marBottom w:val="0"/>
      <w:divBdr>
        <w:top w:val="none" w:sz="0" w:space="0" w:color="auto"/>
        <w:left w:val="none" w:sz="0" w:space="0" w:color="auto"/>
        <w:bottom w:val="none" w:sz="0" w:space="0" w:color="auto"/>
        <w:right w:val="none" w:sz="0" w:space="0" w:color="auto"/>
      </w:divBdr>
    </w:div>
    <w:div w:id="1122653945">
      <w:bodyDiv w:val="1"/>
      <w:marLeft w:val="0"/>
      <w:marRight w:val="0"/>
      <w:marTop w:val="0"/>
      <w:marBottom w:val="0"/>
      <w:divBdr>
        <w:top w:val="none" w:sz="0" w:space="0" w:color="auto"/>
        <w:left w:val="none" w:sz="0" w:space="0" w:color="auto"/>
        <w:bottom w:val="none" w:sz="0" w:space="0" w:color="auto"/>
        <w:right w:val="none" w:sz="0" w:space="0" w:color="auto"/>
      </w:divBdr>
    </w:div>
    <w:div w:id="1122723504">
      <w:bodyDiv w:val="1"/>
      <w:marLeft w:val="0"/>
      <w:marRight w:val="0"/>
      <w:marTop w:val="0"/>
      <w:marBottom w:val="0"/>
      <w:divBdr>
        <w:top w:val="none" w:sz="0" w:space="0" w:color="auto"/>
        <w:left w:val="none" w:sz="0" w:space="0" w:color="auto"/>
        <w:bottom w:val="none" w:sz="0" w:space="0" w:color="auto"/>
        <w:right w:val="none" w:sz="0" w:space="0" w:color="auto"/>
      </w:divBdr>
    </w:div>
    <w:div w:id="1122723843">
      <w:bodyDiv w:val="1"/>
      <w:marLeft w:val="0"/>
      <w:marRight w:val="0"/>
      <w:marTop w:val="0"/>
      <w:marBottom w:val="0"/>
      <w:divBdr>
        <w:top w:val="none" w:sz="0" w:space="0" w:color="auto"/>
        <w:left w:val="none" w:sz="0" w:space="0" w:color="auto"/>
        <w:bottom w:val="none" w:sz="0" w:space="0" w:color="auto"/>
        <w:right w:val="none" w:sz="0" w:space="0" w:color="auto"/>
      </w:divBdr>
    </w:div>
    <w:div w:id="1122728386">
      <w:bodyDiv w:val="1"/>
      <w:marLeft w:val="0"/>
      <w:marRight w:val="0"/>
      <w:marTop w:val="0"/>
      <w:marBottom w:val="0"/>
      <w:divBdr>
        <w:top w:val="none" w:sz="0" w:space="0" w:color="auto"/>
        <w:left w:val="none" w:sz="0" w:space="0" w:color="auto"/>
        <w:bottom w:val="none" w:sz="0" w:space="0" w:color="auto"/>
        <w:right w:val="none" w:sz="0" w:space="0" w:color="auto"/>
      </w:divBdr>
    </w:div>
    <w:div w:id="1122772550">
      <w:bodyDiv w:val="1"/>
      <w:marLeft w:val="0"/>
      <w:marRight w:val="0"/>
      <w:marTop w:val="0"/>
      <w:marBottom w:val="0"/>
      <w:divBdr>
        <w:top w:val="none" w:sz="0" w:space="0" w:color="auto"/>
        <w:left w:val="none" w:sz="0" w:space="0" w:color="auto"/>
        <w:bottom w:val="none" w:sz="0" w:space="0" w:color="auto"/>
        <w:right w:val="none" w:sz="0" w:space="0" w:color="auto"/>
      </w:divBdr>
    </w:div>
    <w:div w:id="1122991180">
      <w:bodyDiv w:val="1"/>
      <w:marLeft w:val="0"/>
      <w:marRight w:val="0"/>
      <w:marTop w:val="0"/>
      <w:marBottom w:val="0"/>
      <w:divBdr>
        <w:top w:val="none" w:sz="0" w:space="0" w:color="auto"/>
        <w:left w:val="none" w:sz="0" w:space="0" w:color="auto"/>
        <w:bottom w:val="none" w:sz="0" w:space="0" w:color="auto"/>
        <w:right w:val="none" w:sz="0" w:space="0" w:color="auto"/>
      </w:divBdr>
    </w:div>
    <w:div w:id="1123042091">
      <w:bodyDiv w:val="1"/>
      <w:marLeft w:val="0"/>
      <w:marRight w:val="0"/>
      <w:marTop w:val="0"/>
      <w:marBottom w:val="0"/>
      <w:divBdr>
        <w:top w:val="none" w:sz="0" w:space="0" w:color="auto"/>
        <w:left w:val="none" w:sz="0" w:space="0" w:color="auto"/>
        <w:bottom w:val="none" w:sz="0" w:space="0" w:color="auto"/>
        <w:right w:val="none" w:sz="0" w:space="0" w:color="auto"/>
      </w:divBdr>
    </w:div>
    <w:div w:id="1123042835">
      <w:bodyDiv w:val="1"/>
      <w:marLeft w:val="0"/>
      <w:marRight w:val="0"/>
      <w:marTop w:val="0"/>
      <w:marBottom w:val="0"/>
      <w:divBdr>
        <w:top w:val="none" w:sz="0" w:space="0" w:color="auto"/>
        <w:left w:val="none" w:sz="0" w:space="0" w:color="auto"/>
        <w:bottom w:val="none" w:sz="0" w:space="0" w:color="auto"/>
        <w:right w:val="none" w:sz="0" w:space="0" w:color="auto"/>
      </w:divBdr>
    </w:div>
    <w:div w:id="1123353279">
      <w:bodyDiv w:val="1"/>
      <w:marLeft w:val="0"/>
      <w:marRight w:val="0"/>
      <w:marTop w:val="0"/>
      <w:marBottom w:val="0"/>
      <w:divBdr>
        <w:top w:val="none" w:sz="0" w:space="0" w:color="auto"/>
        <w:left w:val="none" w:sz="0" w:space="0" w:color="auto"/>
        <w:bottom w:val="none" w:sz="0" w:space="0" w:color="auto"/>
        <w:right w:val="none" w:sz="0" w:space="0" w:color="auto"/>
      </w:divBdr>
    </w:div>
    <w:div w:id="1123377336">
      <w:bodyDiv w:val="1"/>
      <w:marLeft w:val="0"/>
      <w:marRight w:val="0"/>
      <w:marTop w:val="0"/>
      <w:marBottom w:val="0"/>
      <w:divBdr>
        <w:top w:val="none" w:sz="0" w:space="0" w:color="auto"/>
        <w:left w:val="none" w:sz="0" w:space="0" w:color="auto"/>
        <w:bottom w:val="none" w:sz="0" w:space="0" w:color="auto"/>
        <w:right w:val="none" w:sz="0" w:space="0" w:color="auto"/>
      </w:divBdr>
    </w:div>
    <w:div w:id="1123377819">
      <w:bodyDiv w:val="1"/>
      <w:marLeft w:val="0"/>
      <w:marRight w:val="0"/>
      <w:marTop w:val="0"/>
      <w:marBottom w:val="0"/>
      <w:divBdr>
        <w:top w:val="none" w:sz="0" w:space="0" w:color="auto"/>
        <w:left w:val="none" w:sz="0" w:space="0" w:color="auto"/>
        <w:bottom w:val="none" w:sz="0" w:space="0" w:color="auto"/>
        <w:right w:val="none" w:sz="0" w:space="0" w:color="auto"/>
      </w:divBdr>
    </w:div>
    <w:div w:id="1123383878">
      <w:bodyDiv w:val="1"/>
      <w:marLeft w:val="0"/>
      <w:marRight w:val="0"/>
      <w:marTop w:val="0"/>
      <w:marBottom w:val="0"/>
      <w:divBdr>
        <w:top w:val="none" w:sz="0" w:space="0" w:color="auto"/>
        <w:left w:val="none" w:sz="0" w:space="0" w:color="auto"/>
        <w:bottom w:val="none" w:sz="0" w:space="0" w:color="auto"/>
        <w:right w:val="none" w:sz="0" w:space="0" w:color="auto"/>
      </w:divBdr>
    </w:div>
    <w:div w:id="1123571076">
      <w:bodyDiv w:val="1"/>
      <w:marLeft w:val="0"/>
      <w:marRight w:val="0"/>
      <w:marTop w:val="0"/>
      <w:marBottom w:val="0"/>
      <w:divBdr>
        <w:top w:val="none" w:sz="0" w:space="0" w:color="auto"/>
        <w:left w:val="none" w:sz="0" w:space="0" w:color="auto"/>
        <w:bottom w:val="none" w:sz="0" w:space="0" w:color="auto"/>
        <w:right w:val="none" w:sz="0" w:space="0" w:color="auto"/>
      </w:divBdr>
    </w:div>
    <w:div w:id="1123645905">
      <w:bodyDiv w:val="1"/>
      <w:marLeft w:val="0"/>
      <w:marRight w:val="0"/>
      <w:marTop w:val="0"/>
      <w:marBottom w:val="0"/>
      <w:divBdr>
        <w:top w:val="none" w:sz="0" w:space="0" w:color="auto"/>
        <w:left w:val="none" w:sz="0" w:space="0" w:color="auto"/>
        <w:bottom w:val="none" w:sz="0" w:space="0" w:color="auto"/>
        <w:right w:val="none" w:sz="0" w:space="0" w:color="auto"/>
      </w:divBdr>
    </w:div>
    <w:div w:id="1123768343">
      <w:bodyDiv w:val="1"/>
      <w:marLeft w:val="0"/>
      <w:marRight w:val="0"/>
      <w:marTop w:val="0"/>
      <w:marBottom w:val="0"/>
      <w:divBdr>
        <w:top w:val="none" w:sz="0" w:space="0" w:color="auto"/>
        <w:left w:val="none" w:sz="0" w:space="0" w:color="auto"/>
        <w:bottom w:val="none" w:sz="0" w:space="0" w:color="auto"/>
        <w:right w:val="none" w:sz="0" w:space="0" w:color="auto"/>
      </w:divBdr>
    </w:div>
    <w:div w:id="1123887610">
      <w:bodyDiv w:val="1"/>
      <w:marLeft w:val="0"/>
      <w:marRight w:val="0"/>
      <w:marTop w:val="0"/>
      <w:marBottom w:val="0"/>
      <w:divBdr>
        <w:top w:val="none" w:sz="0" w:space="0" w:color="auto"/>
        <w:left w:val="none" w:sz="0" w:space="0" w:color="auto"/>
        <w:bottom w:val="none" w:sz="0" w:space="0" w:color="auto"/>
        <w:right w:val="none" w:sz="0" w:space="0" w:color="auto"/>
      </w:divBdr>
    </w:div>
    <w:div w:id="1124038559">
      <w:bodyDiv w:val="1"/>
      <w:marLeft w:val="0"/>
      <w:marRight w:val="0"/>
      <w:marTop w:val="0"/>
      <w:marBottom w:val="0"/>
      <w:divBdr>
        <w:top w:val="none" w:sz="0" w:space="0" w:color="auto"/>
        <w:left w:val="none" w:sz="0" w:space="0" w:color="auto"/>
        <w:bottom w:val="none" w:sz="0" w:space="0" w:color="auto"/>
        <w:right w:val="none" w:sz="0" w:space="0" w:color="auto"/>
      </w:divBdr>
    </w:div>
    <w:div w:id="1124274805">
      <w:bodyDiv w:val="1"/>
      <w:marLeft w:val="0"/>
      <w:marRight w:val="0"/>
      <w:marTop w:val="0"/>
      <w:marBottom w:val="0"/>
      <w:divBdr>
        <w:top w:val="none" w:sz="0" w:space="0" w:color="auto"/>
        <w:left w:val="none" w:sz="0" w:space="0" w:color="auto"/>
        <w:bottom w:val="none" w:sz="0" w:space="0" w:color="auto"/>
        <w:right w:val="none" w:sz="0" w:space="0" w:color="auto"/>
      </w:divBdr>
    </w:div>
    <w:div w:id="1124277662">
      <w:bodyDiv w:val="1"/>
      <w:marLeft w:val="0"/>
      <w:marRight w:val="0"/>
      <w:marTop w:val="0"/>
      <w:marBottom w:val="0"/>
      <w:divBdr>
        <w:top w:val="none" w:sz="0" w:space="0" w:color="auto"/>
        <w:left w:val="none" w:sz="0" w:space="0" w:color="auto"/>
        <w:bottom w:val="none" w:sz="0" w:space="0" w:color="auto"/>
        <w:right w:val="none" w:sz="0" w:space="0" w:color="auto"/>
      </w:divBdr>
    </w:div>
    <w:div w:id="1124348348">
      <w:bodyDiv w:val="1"/>
      <w:marLeft w:val="0"/>
      <w:marRight w:val="0"/>
      <w:marTop w:val="0"/>
      <w:marBottom w:val="0"/>
      <w:divBdr>
        <w:top w:val="none" w:sz="0" w:space="0" w:color="auto"/>
        <w:left w:val="none" w:sz="0" w:space="0" w:color="auto"/>
        <w:bottom w:val="none" w:sz="0" w:space="0" w:color="auto"/>
        <w:right w:val="none" w:sz="0" w:space="0" w:color="auto"/>
      </w:divBdr>
    </w:div>
    <w:div w:id="1124730654">
      <w:bodyDiv w:val="1"/>
      <w:marLeft w:val="0"/>
      <w:marRight w:val="0"/>
      <w:marTop w:val="0"/>
      <w:marBottom w:val="0"/>
      <w:divBdr>
        <w:top w:val="none" w:sz="0" w:space="0" w:color="auto"/>
        <w:left w:val="none" w:sz="0" w:space="0" w:color="auto"/>
        <w:bottom w:val="none" w:sz="0" w:space="0" w:color="auto"/>
        <w:right w:val="none" w:sz="0" w:space="0" w:color="auto"/>
      </w:divBdr>
    </w:div>
    <w:div w:id="1124926678">
      <w:bodyDiv w:val="1"/>
      <w:marLeft w:val="0"/>
      <w:marRight w:val="0"/>
      <w:marTop w:val="0"/>
      <w:marBottom w:val="0"/>
      <w:divBdr>
        <w:top w:val="none" w:sz="0" w:space="0" w:color="auto"/>
        <w:left w:val="none" w:sz="0" w:space="0" w:color="auto"/>
        <w:bottom w:val="none" w:sz="0" w:space="0" w:color="auto"/>
        <w:right w:val="none" w:sz="0" w:space="0" w:color="auto"/>
      </w:divBdr>
    </w:div>
    <w:div w:id="1125081728">
      <w:bodyDiv w:val="1"/>
      <w:marLeft w:val="0"/>
      <w:marRight w:val="0"/>
      <w:marTop w:val="0"/>
      <w:marBottom w:val="0"/>
      <w:divBdr>
        <w:top w:val="none" w:sz="0" w:space="0" w:color="auto"/>
        <w:left w:val="none" w:sz="0" w:space="0" w:color="auto"/>
        <w:bottom w:val="none" w:sz="0" w:space="0" w:color="auto"/>
        <w:right w:val="none" w:sz="0" w:space="0" w:color="auto"/>
      </w:divBdr>
    </w:div>
    <w:div w:id="1125124655">
      <w:bodyDiv w:val="1"/>
      <w:marLeft w:val="0"/>
      <w:marRight w:val="0"/>
      <w:marTop w:val="0"/>
      <w:marBottom w:val="0"/>
      <w:divBdr>
        <w:top w:val="none" w:sz="0" w:space="0" w:color="auto"/>
        <w:left w:val="none" w:sz="0" w:space="0" w:color="auto"/>
        <w:bottom w:val="none" w:sz="0" w:space="0" w:color="auto"/>
        <w:right w:val="none" w:sz="0" w:space="0" w:color="auto"/>
      </w:divBdr>
    </w:div>
    <w:div w:id="1125271884">
      <w:bodyDiv w:val="1"/>
      <w:marLeft w:val="0"/>
      <w:marRight w:val="0"/>
      <w:marTop w:val="0"/>
      <w:marBottom w:val="0"/>
      <w:divBdr>
        <w:top w:val="none" w:sz="0" w:space="0" w:color="auto"/>
        <w:left w:val="none" w:sz="0" w:space="0" w:color="auto"/>
        <w:bottom w:val="none" w:sz="0" w:space="0" w:color="auto"/>
        <w:right w:val="none" w:sz="0" w:space="0" w:color="auto"/>
      </w:divBdr>
    </w:div>
    <w:div w:id="1125536943">
      <w:bodyDiv w:val="1"/>
      <w:marLeft w:val="0"/>
      <w:marRight w:val="0"/>
      <w:marTop w:val="0"/>
      <w:marBottom w:val="0"/>
      <w:divBdr>
        <w:top w:val="none" w:sz="0" w:space="0" w:color="auto"/>
        <w:left w:val="none" w:sz="0" w:space="0" w:color="auto"/>
        <w:bottom w:val="none" w:sz="0" w:space="0" w:color="auto"/>
        <w:right w:val="none" w:sz="0" w:space="0" w:color="auto"/>
      </w:divBdr>
    </w:div>
    <w:div w:id="1125541945">
      <w:bodyDiv w:val="1"/>
      <w:marLeft w:val="0"/>
      <w:marRight w:val="0"/>
      <w:marTop w:val="0"/>
      <w:marBottom w:val="0"/>
      <w:divBdr>
        <w:top w:val="none" w:sz="0" w:space="0" w:color="auto"/>
        <w:left w:val="none" w:sz="0" w:space="0" w:color="auto"/>
        <w:bottom w:val="none" w:sz="0" w:space="0" w:color="auto"/>
        <w:right w:val="none" w:sz="0" w:space="0" w:color="auto"/>
      </w:divBdr>
    </w:div>
    <w:div w:id="1125656813">
      <w:bodyDiv w:val="1"/>
      <w:marLeft w:val="0"/>
      <w:marRight w:val="0"/>
      <w:marTop w:val="0"/>
      <w:marBottom w:val="0"/>
      <w:divBdr>
        <w:top w:val="none" w:sz="0" w:space="0" w:color="auto"/>
        <w:left w:val="none" w:sz="0" w:space="0" w:color="auto"/>
        <w:bottom w:val="none" w:sz="0" w:space="0" w:color="auto"/>
        <w:right w:val="none" w:sz="0" w:space="0" w:color="auto"/>
      </w:divBdr>
    </w:div>
    <w:div w:id="1125778037">
      <w:bodyDiv w:val="1"/>
      <w:marLeft w:val="0"/>
      <w:marRight w:val="0"/>
      <w:marTop w:val="0"/>
      <w:marBottom w:val="0"/>
      <w:divBdr>
        <w:top w:val="none" w:sz="0" w:space="0" w:color="auto"/>
        <w:left w:val="none" w:sz="0" w:space="0" w:color="auto"/>
        <w:bottom w:val="none" w:sz="0" w:space="0" w:color="auto"/>
        <w:right w:val="none" w:sz="0" w:space="0" w:color="auto"/>
      </w:divBdr>
    </w:div>
    <w:div w:id="1125809247">
      <w:bodyDiv w:val="1"/>
      <w:marLeft w:val="0"/>
      <w:marRight w:val="0"/>
      <w:marTop w:val="0"/>
      <w:marBottom w:val="0"/>
      <w:divBdr>
        <w:top w:val="none" w:sz="0" w:space="0" w:color="auto"/>
        <w:left w:val="none" w:sz="0" w:space="0" w:color="auto"/>
        <w:bottom w:val="none" w:sz="0" w:space="0" w:color="auto"/>
        <w:right w:val="none" w:sz="0" w:space="0" w:color="auto"/>
      </w:divBdr>
    </w:div>
    <w:div w:id="1125855459">
      <w:bodyDiv w:val="1"/>
      <w:marLeft w:val="0"/>
      <w:marRight w:val="0"/>
      <w:marTop w:val="0"/>
      <w:marBottom w:val="0"/>
      <w:divBdr>
        <w:top w:val="none" w:sz="0" w:space="0" w:color="auto"/>
        <w:left w:val="none" w:sz="0" w:space="0" w:color="auto"/>
        <w:bottom w:val="none" w:sz="0" w:space="0" w:color="auto"/>
        <w:right w:val="none" w:sz="0" w:space="0" w:color="auto"/>
      </w:divBdr>
    </w:div>
    <w:div w:id="1126003913">
      <w:bodyDiv w:val="1"/>
      <w:marLeft w:val="0"/>
      <w:marRight w:val="0"/>
      <w:marTop w:val="0"/>
      <w:marBottom w:val="0"/>
      <w:divBdr>
        <w:top w:val="none" w:sz="0" w:space="0" w:color="auto"/>
        <w:left w:val="none" w:sz="0" w:space="0" w:color="auto"/>
        <w:bottom w:val="none" w:sz="0" w:space="0" w:color="auto"/>
        <w:right w:val="none" w:sz="0" w:space="0" w:color="auto"/>
      </w:divBdr>
    </w:div>
    <w:div w:id="1126195315">
      <w:bodyDiv w:val="1"/>
      <w:marLeft w:val="0"/>
      <w:marRight w:val="0"/>
      <w:marTop w:val="0"/>
      <w:marBottom w:val="0"/>
      <w:divBdr>
        <w:top w:val="none" w:sz="0" w:space="0" w:color="auto"/>
        <w:left w:val="none" w:sz="0" w:space="0" w:color="auto"/>
        <w:bottom w:val="none" w:sz="0" w:space="0" w:color="auto"/>
        <w:right w:val="none" w:sz="0" w:space="0" w:color="auto"/>
      </w:divBdr>
    </w:div>
    <w:div w:id="1126509125">
      <w:bodyDiv w:val="1"/>
      <w:marLeft w:val="0"/>
      <w:marRight w:val="0"/>
      <w:marTop w:val="0"/>
      <w:marBottom w:val="0"/>
      <w:divBdr>
        <w:top w:val="none" w:sz="0" w:space="0" w:color="auto"/>
        <w:left w:val="none" w:sz="0" w:space="0" w:color="auto"/>
        <w:bottom w:val="none" w:sz="0" w:space="0" w:color="auto"/>
        <w:right w:val="none" w:sz="0" w:space="0" w:color="auto"/>
      </w:divBdr>
    </w:div>
    <w:div w:id="1126586541">
      <w:bodyDiv w:val="1"/>
      <w:marLeft w:val="0"/>
      <w:marRight w:val="0"/>
      <w:marTop w:val="0"/>
      <w:marBottom w:val="0"/>
      <w:divBdr>
        <w:top w:val="none" w:sz="0" w:space="0" w:color="auto"/>
        <w:left w:val="none" w:sz="0" w:space="0" w:color="auto"/>
        <w:bottom w:val="none" w:sz="0" w:space="0" w:color="auto"/>
        <w:right w:val="none" w:sz="0" w:space="0" w:color="auto"/>
      </w:divBdr>
    </w:div>
    <w:div w:id="1126855315">
      <w:bodyDiv w:val="1"/>
      <w:marLeft w:val="0"/>
      <w:marRight w:val="0"/>
      <w:marTop w:val="0"/>
      <w:marBottom w:val="0"/>
      <w:divBdr>
        <w:top w:val="none" w:sz="0" w:space="0" w:color="auto"/>
        <w:left w:val="none" w:sz="0" w:space="0" w:color="auto"/>
        <w:bottom w:val="none" w:sz="0" w:space="0" w:color="auto"/>
        <w:right w:val="none" w:sz="0" w:space="0" w:color="auto"/>
      </w:divBdr>
    </w:div>
    <w:div w:id="1126893760">
      <w:bodyDiv w:val="1"/>
      <w:marLeft w:val="0"/>
      <w:marRight w:val="0"/>
      <w:marTop w:val="0"/>
      <w:marBottom w:val="0"/>
      <w:divBdr>
        <w:top w:val="none" w:sz="0" w:space="0" w:color="auto"/>
        <w:left w:val="none" w:sz="0" w:space="0" w:color="auto"/>
        <w:bottom w:val="none" w:sz="0" w:space="0" w:color="auto"/>
        <w:right w:val="none" w:sz="0" w:space="0" w:color="auto"/>
      </w:divBdr>
    </w:div>
    <w:div w:id="1127042205">
      <w:bodyDiv w:val="1"/>
      <w:marLeft w:val="0"/>
      <w:marRight w:val="0"/>
      <w:marTop w:val="0"/>
      <w:marBottom w:val="0"/>
      <w:divBdr>
        <w:top w:val="none" w:sz="0" w:space="0" w:color="auto"/>
        <w:left w:val="none" w:sz="0" w:space="0" w:color="auto"/>
        <w:bottom w:val="none" w:sz="0" w:space="0" w:color="auto"/>
        <w:right w:val="none" w:sz="0" w:space="0" w:color="auto"/>
      </w:divBdr>
    </w:div>
    <w:div w:id="1127115734">
      <w:bodyDiv w:val="1"/>
      <w:marLeft w:val="0"/>
      <w:marRight w:val="0"/>
      <w:marTop w:val="0"/>
      <w:marBottom w:val="0"/>
      <w:divBdr>
        <w:top w:val="none" w:sz="0" w:space="0" w:color="auto"/>
        <w:left w:val="none" w:sz="0" w:space="0" w:color="auto"/>
        <w:bottom w:val="none" w:sz="0" w:space="0" w:color="auto"/>
        <w:right w:val="none" w:sz="0" w:space="0" w:color="auto"/>
      </w:divBdr>
    </w:div>
    <w:div w:id="1127118521">
      <w:bodyDiv w:val="1"/>
      <w:marLeft w:val="0"/>
      <w:marRight w:val="0"/>
      <w:marTop w:val="0"/>
      <w:marBottom w:val="0"/>
      <w:divBdr>
        <w:top w:val="none" w:sz="0" w:space="0" w:color="auto"/>
        <w:left w:val="none" w:sz="0" w:space="0" w:color="auto"/>
        <w:bottom w:val="none" w:sz="0" w:space="0" w:color="auto"/>
        <w:right w:val="none" w:sz="0" w:space="0" w:color="auto"/>
      </w:divBdr>
    </w:div>
    <w:div w:id="1127162292">
      <w:bodyDiv w:val="1"/>
      <w:marLeft w:val="0"/>
      <w:marRight w:val="0"/>
      <w:marTop w:val="0"/>
      <w:marBottom w:val="0"/>
      <w:divBdr>
        <w:top w:val="none" w:sz="0" w:space="0" w:color="auto"/>
        <w:left w:val="none" w:sz="0" w:space="0" w:color="auto"/>
        <w:bottom w:val="none" w:sz="0" w:space="0" w:color="auto"/>
        <w:right w:val="none" w:sz="0" w:space="0" w:color="auto"/>
      </w:divBdr>
    </w:div>
    <w:div w:id="1127234293">
      <w:bodyDiv w:val="1"/>
      <w:marLeft w:val="0"/>
      <w:marRight w:val="0"/>
      <w:marTop w:val="0"/>
      <w:marBottom w:val="0"/>
      <w:divBdr>
        <w:top w:val="none" w:sz="0" w:space="0" w:color="auto"/>
        <w:left w:val="none" w:sz="0" w:space="0" w:color="auto"/>
        <w:bottom w:val="none" w:sz="0" w:space="0" w:color="auto"/>
        <w:right w:val="none" w:sz="0" w:space="0" w:color="auto"/>
      </w:divBdr>
    </w:div>
    <w:div w:id="1127284970">
      <w:bodyDiv w:val="1"/>
      <w:marLeft w:val="0"/>
      <w:marRight w:val="0"/>
      <w:marTop w:val="0"/>
      <w:marBottom w:val="0"/>
      <w:divBdr>
        <w:top w:val="none" w:sz="0" w:space="0" w:color="auto"/>
        <w:left w:val="none" w:sz="0" w:space="0" w:color="auto"/>
        <w:bottom w:val="none" w:sz="0" w:space="0" w:color="auto"/>
        <w:right w:val="none" w:sz="0" w:space="0" w:color="auto"/>
      </w:divBdr>
    </w:div>
    <w:div w:id="1127313576">
      <w:bodyDiv w:val="1"/>
      <w:marLeft w:val="0"/>
      <w:marRight w:val="0"/>
      <w:marTop w:val="0"/>
      <w:marBottom w:val="0"/>
      <w:divBdr>
        <w:top w:val="none" w:sz="0" w:space="0" w:color="auto"/>
        <w:left w:val="none" w:sz="0" w:space="0" w:color="auto"/>
        <w:bottom w:val="none" w:sz="0" w:space="0" w:color="auto"/>
        <w:right w:val="none" w:sz="0" w:space="0" w:color="auto"/>
      </w:divBdr>
    </w:div>
    <w:div w:id="1127354757">
      <w:bodyDiv w:val="1"/>
      <w:marLeft w:val="0"/>
      <w:marRight w:val="0"/>
      <w:marTop w:val="0"/>
      <w:marBottom w:val="0"/>
      <w:divBdr>
        <w:top w:val="none" w:sz="0" w:space="0" w:color="auto"/>
        <w:left w:val="none" w:sz="0" w:space="0" w:color="auto"/>
        <w:bottom w:val="none" w:sz="0" w:space="0" w:color="auto"/>
        <w:right w:val="none" w:sz="0" w:space="0" w:color="auto"/>
      </w:divBdr>
    </w:div>
    <w:div w:id="1127554382">
      <w:bodyDiv w:val="1"/>
      <w:marLeft w:val="0"/>
      <w:marRight w:val="0"/>
      <w:marTop w:val="0"/>
      <w:marBottom w:val="0"/>
      <w:divBdr>
        <w:top w:val="none" w:sz="0" w:space="0" w:color="auto"/>
        <w:left w:val="none" w:sz="0" w:space="0" w:color="auto"/>
        <w:bottom w:val="none" w:sz="0" w:space="0" w:color="auto"/>
        <w:right w:val="none" w:sz="0" w:space="0" w:color="auto"/>
      </w:divBdr>
    </w:div>
    <w:div w:id="1127578005">
      <w:bodyDiv w:val="1"/>
      <w:marLeft w:val="0"/>
      <w:marRight w:val="0"/>
      <w:marTop w:val="0"/>
      <w:marBottom w:val="0"/>
      <w:divBdr>
        <w:top w:val="none" w:sz="0" w:space="0" w:color="auto"/>
        <w:left w:val="none" w:sz="0" w:space="0" w:color="auto"/>
        <w:bottom w:val="none" w:sz="0" w:space="0" w:color="auto"/>
        <w:right w:val="none" w:sz="0" w:space="0" w:color="auto"/>
      </w:divBdr>
    </w:div>
    <w:div w:id="1127771578">
      <w:bodyDiv w:val="1"/>
      <w:marLeft w:val="0"/>
      <w:marRight w:val="0"/>
      <w:marTop w:val="0"/>
      <w:marBottom w:val="0"/>
      <w:divBdr>
        <w:top w:val="none" w:sz="0" w:space="0" w:color="auto"/>
        <w:left w:val="none" w:sz="0" w:space="0" w:color="auto"/>
        <w:bottom w:val="none" w:sz="0" w:space="0" w:color="auto"/>
        <w:right w:val="none" w:sz="0" w:space="0" w:color="auto"/>
      </w:divBdr>
    </w:div>
    <w:div w:id="1127895532">
      <w:bodyDiv w:val="1"/>
      <w:marLeft w:val="0"/>
      <w:marRight w:val="0"/>
      <w:marTop w:val="0"/>
      <w:marBottom w:val="0"/>
      <w:divBdr>
        <w:top w:val="none" w:sz="0" w:space="0" w:color="auto"/>
        <w:left w:val="none" w:sz="0" w:space="0" w:color="auto"/>
        <w:bottom w:val="none" w:sz="0" w:space="0" w:color="auto"/>
        <w:right w:val="none" w:sz="0" w:space="0" w:color="auto"/>
      </w:divBdr>
    </w:div>
    <w:div w:id="1127965990">
      <w:bodyDiv w:val="1"/>
      <w:marLeft w:val="0"/>
      <w:marRight w:val="0"/>
      <w:marTop w:val="0"/>
      <w:marBottom w:val="0"/>
      <w:divBdr>
        <w:top w:val="none" w:sz="0" w:space="0" w:color="auto"/>
        <w:left w:val="none" w:sz="0" w:space="0" w:color="auto"/>
        <w:bottom w:val="none" w:sz="0" w:space="0" w:color="auto"/>
        <w:right w:val="none" w:sz="0" w:space="0" w:color="auto"/>
      </w:divBdr>
    </w:div>
    <w:div w:id="1127969838">
      <w:bodyDiv w:val="1"/>
      <w:marLeft w:val="0"/>
      <w:marRight w:val="0"/>
      <w:marTop w:val="0"/>
      <w:marBottom w:val="0"/>
      <w:divBdr>
        <w:top w:val="none" w:sz="0" w:space="0" w:color="auto"/>
        <w:left w:val="none" w:sz="0" w:space="0" w:color="auto"/>
        <w:bottom w:val="none" w:sz="0" w:space="0" w:color="auto"/>
        <w:right w:val="none" w:sz="0" w:space="0" w:color="auto"/>
      </w:divBdr>
    </w:div>
    <w:div w:id="1128276363">
      <w:bodyDiv w:val="1"/>
      <w:marLeft w:val="0"/>
      <w:marRight w:val="0"/>
      <w:marTop w:val="0"/>
      <w:marBottom w:val="0"/>
      <w:divBdr>
        <w:top w:val="none" w:sz="0" w:space="0" w:color="auto"/>
        <w:left w:val="none" w:sz="0" w:space="0" w:color="auto"/>
        <w:bottom w:val="none" w:sz="0" w:space="0" w:color="auto"/>
        <w:right w:val="none" w:sz="0" w:space="0" w:color="auto"/>
      </w:divBdr>
    </w:div>
    <w:div w:id="1128356818">
      <w:bodyDiv w:val="1"/>
      <w:marLeft w:val="0"/>
      <w:marRight w:val="0"/>
      <w:marTop w:val="0"/>
      <w:marBottom w:val="0"/>
      <w:divBdr>
        <w:top w:val="none" w:sz="0" w:space="0" w:color="auto"/>
        <w:left w:val="none" w:sz="0" w:space="0" w:color="auto"/>
        <w:bottom w:val="none" w:sz="0" w:space="0" w:color="auto"/>
        <w:right w:val="none" w:sz="0" w:space="0" w:color="auto"/>
      </w:divBdr>
    </w:div>
    <w:div w:id="1128670420">
      <w:bodyDiv w:val="1"/>
      <w:marLeft w:val="0"/>
      <w:marRight w:val="0"/>
      <w:marTop w:val="0"/>
      <w:marBottom w:val="0"/>
      <w:divBdr>
        <w:top w:val="none" w:sz="0" w:space="0" w:color="auto"/>
        <w:left w:val="none" w:sz="0" w:space="0" w:color="auto"/>
        <w:bottom w:val="none" w:sz="0" w:space="0" w:color="auto"/>
        <w:right w:val="none" w:sz="0" w:space="0" w:color="auto"/>
      </w:divBdr>
    </w:div>
    <w:div w:id="1128813239">
      <w:bodyDiv w:val="1"/>
      <w:marLeft w:val="0"/>
      <w:marRight w:val="0"/>
      <w:marTop w:val="0"/>
      <w:marBottom w:val="0"/>
      <w:divBdr>
        <w:top w:val="none" w:sz="0" w:space="0" w:color="auto"/>
        <w:left w:val="none" w:sz="0" w:space="0" w:color="auto"/>
        <w:bottom w:val="none" w:sz="0" w:space="0" w:color="auto"/>
        <w:right w:val="none" w:sz="0" w:space="0" w:color="auto"/>
      </w:divBdr>
    </w:div>
    <w:div w:id="1128862951">
      <w:bodyDiv w:val="1"/>
      <w:marLeft w:val="0"/>
      <w:marRight w:val="0"/>
      <w:marTop w:val="0"/>
      <w:marBottom w:val="0"/>
      <w:divBdr>
        <w:top w:val="none" w:sz="0" w:space="0" w:color="auto"/>
        <w:left w:val="none" w:sz="0" w:space="0" w:color="auto"/>
        <w:bottom w:val="none" w:sz="0" w:space="0" w:color="auto"/>
        <w:right w:val="none" w:sz="0" w:space="0" w:color="auto"/>
      </w:divBdr>
    </w:div>
    <w:div w:id="1128888333">
      <w:bodyDiv w:val="1"/>
      <w:marLeft w:val="0"/>
      <w:marRight w:val="0"/>
      <w:marTop w:val="0"/>
      <w:marBottom w:val="0"/>
      <w:divBdr>
        <w:top w:val="none" w:sz="0" w:space="0" w:color="auto"/>
        <w:left w:val="none" w:sz="0" w:space="0" w:color="auto"/>
        <w:bottom w:val="none" w:sz="0" w:space="0" w:color="auto"/>
        <w:right w:val="none" w:sz="0" w:space="0" w:color="auto"/>
      </w:divBdr>
    </w:div>
    <w:div w:id="1129202473">
      <w:bodyDiv w:val="1"/>
      <w:marLeft w:val="0"/>
      <w:marRight w:val="0"/>
      <w:marTop w:val="0"/>
      <w:marBottom w:val="0"/>
      <w:divBdr>
        <w:top w:val="none" w:sz="0" w:space="0" w:color="auto"/>
        <w:left w:val="none" w:sz="0" w:space="0" w:color="auto"/>
        <w:bottom w:val="none" w:sz="0" w:space="0" w:color="auto"/>
        <w:right w:val="none" w:sz="0" w:space="0" w:color="auto"/>
      </w:divBdr>
    </w:div>
    <w:div w:id="1129277761">
      <w:bodyDiv w:val="1"/>
      <w:marLeft w:val="0"/>
      <w:marRight w:val="0"/>
      <w:marTop w:val="0"/>
      <w:marBottom w:val="0"/>
      <w:divBdr>
        <w:top w:val="none" w:sz="0" w:space="0" w:color="auto"/>
        <w:left w:val="none" w:sz="0" w:space="0" w:color="auto"/>
        <w:bottom w:val="none" w:sz="0" w:space="0" w:color="auto"/>
        <w:right w:val="none" w:sz="0" w:space="0" w:color="auto"/>
      </w:divBdr>
    </w:div>
    <w:div w:id="1129282814">
      <w:bodyDiv w:val="1"/>
      <w:marLeft w:val="0"/>
      <w:marRight w:val="0"/>
      <w:marTop w:val="0"/>
      <w:marBottom w:val="0"/>
      <w:divBdr>
        <w:top w:val="none" w:sz="0" w:space="0" w:color="auto"/>
        <w:left w:val="none" w:sz="0" w:space="0" w:color="auto"/>
        <w:bottom w:val="none" w:sz="0" w:space="0" w:color="auto"/>
        <w:right w:val="none" w:sz="0" w:space="0" w:color="auto"/>
      </w:divBdr>
    </w:div>
    <w:div w:id="1129325946">
      <w:bodyDiv w:val="1"/>
      <w:marLeft w:val="0"/>
      <w:marRight w:val="0"/>
      <w:marTop w:val="0"/>
      <w:marBottom w:val="0"/>
      <w:divBdr>
        <w:top w:val="none" w:sz="0" w:space="0" w:color="auto"/>
        <w:left w:val="none" w:sz="0" w:space="0" w:color="auto"/>
        <w:bottom w:val="none" w:sz="0" w:space="0" w:color="auto"/>
        <w:right w:val="none" w:sz="0" w:space="0" w:color="auto"/>
      </w:divBdr>
    </w:div>
    <w:div w:id="1129667000">
      <w:bodyDiv w:val="1"/>
      <w:marLeft w:val="0"/>
      <w:marRight w:val="0"/>
      <w:marTop w:val="0"/>
      <w:marBottom w:val="0"/>
      <w:divBdr>
        <w:top w:val="none" w:sz="0" w:space="0" w:color="auto"/>
        <w:left w:val="none" w:sz="0" w:space="0" w:color="auto"/>
        <w:bottom w:val="none" w:sz="0" w:space="0" w:color="auto"/>
        <w:right w:val="none" w:sz="0" w:space="0" w:color="auto"/>
      </w:divBdr>
    </w:div>
    <w:div w:id="1129787912">
      <w:bodyDiv w:val="1"/>
      <w:marLeft w:val="0"/>
      <w:marRight w:val="0"/>
      <w:marTop w:val="0"/>
      <w:marBottom w:val="0"/>
      <w:divBdr>
        <w:top w:val="none" w:sz="0" w:space="0" w:color="auto"/>
        <w:left w:val="none" w:sz="0" w:space="0" w:color="auto"/>
        <w:bottom w:val="none" w:sz="0" w:space="0" w:color="auto"/>
        <w:right w:val="none" w:sz="0" w:space="0" w:color="auto"/>
      </w:divBdr>
    </w:div>
    <w:div w:id="1129932348">
      <w:bodyDiv w:val="1"/>
      <w:marLeft w:val="0"/>
      <w:marRight w:val="0"/>
      <w:marTop w:val="0"/>
      <w:marBottom w:val="0"/>
      <w:divBdr>
        <w:top w:val="none" w:sz="0" w:space="0" w:color="auto"/>
        <w:left w:val="none" w:sz="0" w:space="0" w:color="auto"/>
        <w:bottom w:val="none" w:sz="0" w:space="0" w:color="auto"/>
        <w:right w:val="none" w:sz="0" w:space="0" w:color="auto"/>
      </w:divBdr>
    </w:div>
    <w:div w:id="1129976377">
      <w:bodyDiv w:val="1"/>
      <w:marLeft w:val="0"/>
      <w:marRight w:val="0"/>
      <w:marTop w:val="0"/>
      <w:marBottom w:val="0"/>
      <w:divBdr>
        <w:top w:val="none" w:sz="0" w:space="0" w:color="auto"/>
        <w:left w:val="none" w:sz="0" w:space="0" w:color="auto"/>
        <w:bottom w:val="none" w:sz="0" w:space="0" w:color="auto"/>
        <w:right w:val="none" w:sz="0" w:space="0" w:color="auto"/>
      </w:divBdr>
    </w:div>
    <w:div w:id="1130317693">
      <w:bodyDiv w:val="1"/>
      <w:marLeft w:val="0"/>
      <w:marRight w:val="0"/>
      <w:marTop w:val="0"/>
      <w:marBottom w:val="0"/>
      <w:divBdr>
        <w:top w:val="none" w:sz="0" w:space="0" w:color="auto"/>
        <w:left w:val="none" w:sz="0" w:space="0" w:color="auto"/>
        <w:bottom w:val="none" w:sz="0" w:space="0" w:color="auto"/>
        <w:right w:val="none" w:sz="0" w:space="0" w:color="auto"/>
      </w:divBdr>
    </w:div>
    <w:div w:id="1130512300">
      <w:bodyDiv w:val="1"/>
      <w:marLeft w:val="0"/>
      <w:marRight w:val="0"/>
      <w:marTop w:val="0"/>
      <w:marBottom w:val="0"/>
      <w:divBdr>
        <w:top w:val="none" w:sz="0" w:space="0" w:color="auto"/>
        <w:left w:val="none" w:sz="0" w:space="0" w:color="auto"/>
        <w:bottom w:val="none" w:sz="0" w:space="0" w:color="auto"/>
        <w:right w:val="none" w:sz="0" w:space="0" w:color="auto"/>
      </w:divBdr>
    </w:div>
    <w:div w:id="1130592611">
      <w:bodyDiv w:val="1"/>
      <w:marLeft w:val="0"/>
      <w:marRight w:val="0"/>
      <w:marTop w:val="0"/>
      <w:marBottom w:val="0"/>
      <w:divBdr>
        <w:top w:val="none" w:sz="0" w:space="0" w:color="auto"/>
        <w:left w:val="none" w:sz="0" w:space="0" w:color="auto"/>
        <w:bottom w:val="none" w:sz="0" w:space="0" w:color="auto"/>
        <w:right w:val="none" w:sz="0" w:space="0" w:color="auto"/>
      </w:divBdr>
    </w:div>
    <w:div w:id="1130629187">
      <w:bodyDiv w:val="1"/>
      <w:marLeft w:val="0"/>
      <w:marRight w:val="0"/>
      <w:marTop w:val="0"/>
      <w:marBottom w:val="0"/>
      <w:divBdr>
        <w:top w:val="none" w:sz="0" w:space="0" w:color="auto"/>
        <w:left w:val="none" w:sz="0" w:space="0" w:color="auto"/>
        <w:bottom w:val="none" w:sz="0" w:space="0" w:color="auto"/>
        <w:right w:val="none" w:sz="0" w:space="0" w:color="auto"/>
      </w:divBdr>
    </w:div>
    <w:div w:id="1130709843">
      <w:bodyDiv w:val="1"/>
      <w:marLeft w:val="0"/>
      <w:marRight w:val="0"/>
      <w:marTop w:val="0"/>
      <w:marBottom w:val="0"/>
      <w:divBdr>
        <w:top w:val="none" w:sz="0" w:space="0" w:color="auto"/>
        <w:left w:val="none" w:sz="0" w:space="0" w:color="auto"/>
        <w:bottom w:val="none" w:sz="0" w:space="0" w:color="auto"/>
        <w:right w:val="none" w:sz="0" w:space="0" w:color="auto"/>
      </w:divBdr>
    </w:div>
    <w:div w:id="1130783843">
      <w:bodyDiv w:val="1"/>
      <w:marLeft w:val="0"/>
      <w:marRight w:val="0"/>
      <w:marTop w:val="0"/>
      <w:marBottom w:val="0"/>
      <w:divBdr>
        <w:top w:val="none" w:sz="0" w:space="0" w:color="auto"/>
        <w:left w:val="none" w:sz="0" w:space="0" w:color="auto"/>
        <w:bottom w:val="none" w:sz="0" w:space="0" w:color="auto"/>
        <w:right w:val="none" w:sz="0" w:space="0" w:color="auto"/>
      </w:divBdr>
    </w:div>
    <w:div w:id="1130901240">
      <w:bodyDiv w:val="1"/>
      <w:marLeft w:val="0"/>
      <w:marRight w:val="0"/>
      <w:marTop w:val="0"/>
      <w:marBottom w:val="0"/>
      <w:divBdr>
        <w:top w:val="none" w:sz="0" w:space="0" w:color="auto"/>
        <w:left w:val="none" w:sz="0" w:space="0" w:color="auto"/>
        <w:bottom w:val="none" w:sz="0" w:space="0" w:color="auto"/>
        <w:right w:val="none" w:sz="0" w:space="0" w:color="auto"/>
      </w:divBdr>
    </w:div>
    <w:div w:id="1131022451">
      <w:bodyDiv w:val="1"/>
      <w:marLeft w:val="0"/>
      <w:marRight w:val="0"/>
      <w:marTop w:val="0"/>
      <w:marBottom w:val="0"/>
      <w:divBdr>
        <w:top w:val="none" w:sz="0" w:space="0" w:color="auto"/>
        <w:left w:val="none" w:sz="0" w:space="0" w:color="auto"/>
        <w:bottom w:val="none" w:sz="0" w:space="0" w:color="auto"/>
        <w:right w:val="none" w:sz="0" w:space="0" w:color="auto"/>
      </w:divBdr>
    </w:div>
    <w:div w:id="1131097397">
      <w:bodyDiv w:val="1"/>
      <w:marLeft w:val="0"/>
      <w:marRight w:val="0"/>
      <w:marTop w:val="0"/>
      <w:marBottom w:val="0"/>
      <w:divBdr>
        <w:top w:val="none" w:sz="0" w:space="0" w:color="auto"/>
        <w:left w:val="none" w:sz="0" w:space="0" w:color="auto"/>
        <w:bottom w:val="none" w:sz="0" w:space="0" w:color="auto"/>
        <w:right w:val="none" w:sz="0" w:space="0" w:color="auto"/>
      </w:divBdr>
    </w:div>
    <w:div w:id="1131169162">
      <w:bodyDiv w:val="1"/>
      <w:marLeft w:val="0"/>
      <w:marRight w:val="0"/>
      <w:marTop w:val="0"/>
      <w:marBottom w:val="0"/>
      <w:divBdr>
        <w:top w:val="none" w:sz="0" w:space="0" w:color="auto"/>
        <w:left w:val="none" w:sz="0" w:space="0" w:color="auto"/>
        <w:bottom w:val="none" w:sz="0" w:space="0" w:color="auto"/>
        <w:right w:val="none" w:sz="0" w:space="0" w:color="auto"/>
      </w:divBdr>
    </w:div>
    <w:div w:id="1131361548">
      <w:bodyDiv w:val="1"/>
      <w:marLeft w:val="0"/>
      <w:marRight w:val="0"/>
      <w:marTop w:val="0"/>
      <w:marBottom w:val="0"/>
      <w:divBdr>
        <w:top w:val="none" w:sz="0" w:space="0" w:color="auto"/>
        <w:left w:val="none" w:sz="0" w:space="0" w:color="auto"/>
        <w:bottom w:val="none" w:sz="0" w:space="0" w:color="auto"/>
        <w:right w:val="none" w:sz="0" w:space="0" w:color="auto"/>
      </w:divBdr>
    </w:div>
    <w:div w:id="1131366569">
      <w:bodyDiv w:val="1"/>
      <w:marLeft w:val="0"/>
      <w:marRight w:val="0"/>
      <w:marTop w:val="0"/>
      <w:marBottom w:val="0"/>
      <w:divBdr>
        <w:top w:val="none" w:sz="0" w:space="0" w:color="auto"/>
        <w:left w:val="none" w:sz="0" w:space="0" w:color="auto"/>
        <w:bottom w:val="none" w:sz="0" w:space="0" w:color="auto"/>
        <w:right w:val="none" w:sz="0" w:space="0" w:color="auto"/>
      </w:divBdr>
    </w:div>
    <w:div w:id="1131437514">
      <w:bodyDiv w:val="1"/>
      <w:marLeft w:val="0"/>
      <w:marRight w:val="0"/>
      <w:marTop w:val="0"/>
      <w:marBottom w:val="0"/>
      <w:divBdr>
        <w:top w:val="none" w:sz="0" w:space="0" w:color="auto"/>
        <w:left w:val="none" w:sz="0" w:space="0" w:color="auto"/>
        <w:bottom w:val="none" w:sz="0" w:space="0" w:color="auto"/>
        <w:right w:val="none" w:sz="0" w:space="0" w:color="auto"/>
      </w:divBdr>
    </w:div>
    <w:div w:id="1131481014">
      <w:bodyDiv w:val="1"/>
      <w:marLeft w:val="0"/>
      <w:marRight w:val="0"/>
      <w:marTop w:val="0"/>
      <w:marBottom w:val="0"/>
      <w:divBdr>
        <w:top w:val="none" w:sz="0" w:space="0" w:color="auto"/>
        <w:left w:val="none" w:sz="0" w:space="0" w:color="auto"/>
        <w:bottom w:val="none" w:sz="0" w:space="0" w:color="auto"/>
        <w:right w:val="none" w:sz="0" w:space="0" w:color="auto"/>
      </w:divBdr>
    </w:div>
    <w:div w:id="1131481856">
      <w:bodyDiv w:val="1"/>
      <w:marLeft w:val="0"/>
      <w:marRight w:val="0"/>
      <w:marTop w:val="0"/>
      <w:marBottom w:val="0"/>
      <w:divBdr>
        <w:top w:val="none" w:sz="0" w:space="0" w:color="auto"/>
        <w:left w:val="none" w:sz="0" w:space="0" w:color="auto"/>
        <w:bottom w:val="none" w:sz="0" w:space="0" w:color="auto"/>
        <w:right w:val="none" w:sz="0" w:space="0" w:color="auto"/>
      </w:divBdr>
    </w:div>
    <w:div w:id="1131554833">
      <w:bodyDiv w:val="1"/>
      <w:marLeft w:val="0"/>
      <w:marRight w:val="0"/>
      <w:marTop w:val="0"/>
      <w:marBottom w:val="0"/>
      <w:divBdr>
        <w:top w:val="none" w:sz="0" w:space="0" w:color="auto"/>
        <w:left w:val="none" w:sz="0" w:space="0" w:color="auto"/>
        <w:bottom w:val="none" w:sz="0" w:space="0" w:color="auto"/>
        <w:right w:val="none" w:sz="0" w:space="0" w:color="auto"/>
      </w:divBdr>
    </w:div>
    <w:div w:id="1131627345">
      <w:bodyDiv w:val="1"/>
      <w:marLeft w:val="0"/>
      <w:marRight w:val="0"/>
      <w:marTop w:val="0"/>
      <w:marBottom w:val="0"/>
      <w:divBdr>
        <w:top w:val="none" w:sz="0" w:space="0" w:color="auto"/>
        <w:left w:val="none" w:sz="0" w:space="0" w:color="auto"/>
        <w:bottom w:val="none" w:sz="0" w:space="0" w:color="auto"/>
        <w:right w:val="none" w:sz="0" w:space="0" w:color="auto"/>
      </w:divBdr>
    </w:div>
    <w:div w:id="1131629941">
      <w:bodyDiv w:val="1"/>
      <w:marLeft w:val="0"/>
      <w:marRight w:val="0"/>
      <w:marTop w:val="0"/>
      <w:marBottom w:val="0"/>
      <w:divBdr>
        <w:top w:val="none" w:sz="0" w:space="0" w:color="auto"/>
        <w:left w:val="none" w:sz="0" w:space="0" w:color="auto"/>
        <w:bottom w:val="none" w:sz="0" w:space="0" w:color="auto"/>
        <w:right w:val="none" w:sz="0" w:space="0" w:color="auto"/>
      </w:divBdr>
    </w:div>
    <w:div w:id="1131676776">
      <w:bodyDiv w:val="1"/>
      <w:marLeft w:val="0"/>
      <w:marRight w:val="0"/>
      <w:marTop w:val="0"/>
      <w:marBottom w:val="0"/>
      <w:divBdr>
        <w:top w:val="none" w:sz="0" w:space="0" w:color="auto"/>
        <w:left w:val="none" w:sz="0" w:space="0" w:color="auto"/>
        <w:bottom w:val="none" w:sz="0" w:space="0" w:color="auto"/>
        <w:right w:val="none" w:sz="0" w:space="0" w:color="auto"/>
      </w:divBdr>
    </w:div>
    <w:div w:id="1131745133">
      <w:bodyDiv w:val="1"/>
      <w:marLeft w:val="0"/>
      <w:marRight w:val="0"/>
      <w:marTop w:val="0"/>
      <w:marBottom w:val="0"/>
      <w:divBdr>
        <w:top w:val="none" w:sz="0" w:space="0" w:color="auto"/>
        <w:left w:val="none" w:sz="0" w:space="0" w:color="auto"/>
        <w:bottom w:val="none" w:sz="0" w:space="0" w:color="auto"/>
        <w:right w:val="none" w:sz="0" w:space="0" w:color="auto"/>
      </w:divBdr>
    </w:div>
    <w:div w:id="1131820878">
      <w:bodyDiv w:val="1"/>
      <w:marLeft w:val="0"/>
      <w:marRight w:val="0"/>
      <w:marTop w:val="0"/>
      <w:marBottom w:val="0"/>
      <w:divBdr>
        <w:top w:val="none" w:sz="0" w:space="0" w:color="auto"/>
        <w:left w:val="none" w:sz="0" w:space="0" w:color="auto"/>
        <w:bottom w:val="none" w:sz="0" w:space="0" w:color="auto"/>
        <w:right w:val="none" w:sz="0" w:space="0" w:color="auto"/>
      </w:divBdr>
    </w:div>
    <w:div w:id="1131899173">
      <w:bodyDiv w:val="1"/>
      <w:marLeft w:val="0"/>
      <w:marRight w:val="0"/>
      <w:marTop w:val="0"/>
      <w:marBottom w:val="0"/>
      <w:divBdr>
        <w:top w:val="none" w:sz="0" w:space="0" w:color="auto"/>
        <w:left w:val="none" w:sz="0" w:space="0" w:color="auto"/>
        <w:bottom w:val="none" w:sz="0" w:space="0" w:color="auto"/>
        <w:right w:val="none" w:sz="0" w:space="0" w:color="auto"/>
      </w:divBdr>
    </w:div>
    <w:div w:id="1131940714">
      <w:bodyDiv w:val="1"/>
      <w:marLeft w:val="0"/>
      <w:marRight w:val="0"/>
      <w:marTop w:val="0"/>
      <w:marBottom w:val="0"/>
      <w:divBdr>
        <w:top w:val="none" w:sz="0" w:space="0" w:color="auto"/>
        <w:left w:val="none" w:sz="0" w:space="0" w:color="auto"/>
        <w:bottom w:val="none" w:sz="0" w:space="0" w:color="auto"/>
        <w:right w:val="none" w:sz="0" w:space="0" w:color="auto"/>
      </w:divBdr>
    </w:div>
    <w:div w:id="1132019143">
      <w:bodyDiv w:val="1"/>
      <w:marLeft w:val="0"/>
      <w:marRight w:val="0"/>
      <w:marTop w:val="0"/>
      <w:marBottom w:val="0"/>
      <w:divBdr>
        <w:top w:val="none" w:sz="0" w:space="0" w:color="auto"/>
        <w:left w:val="none" w:sz="0" w:space="0" w:color="auto"/>
        <w:bottom w:val="none" w:sz="0" w:space="0" w:color="auto"/>
        <w:right w:val="none" w:sz="0" w:space="0" w:color="auto"/>
      </w:divBdr>
    </w:div>
    <w:div w:id="1132136396">
      <w:bodyDiv w:val="1"/>
      <w:marLeft w:val="0"/>
      <w:marRight w:val="0"/>
      <w:marTop w:val="0"/>
      <w:marBottom w:val="0"/>
      <w:divBdr>
        <w:top w:val="none" w:sz="0" w:space="0" w:color="auto"/>
        <w:left w:val="none" w:sz="0" w:space="0" w:color="auto"/>
        <w:bottom w:val="none" w:sz="0" w:space="0" w:color="auto"/>
        <w:right w:val="none" w:sz="0" w:space="0" w:color="auto"/>
      </w:divBdr>
    </w:div>
    <w:div w:id="1132285823">
      <w:bodyDiv w:val="1"/>
      <w:marLeft w:val="0"/>
      <w:marRight w:val="0"/>
      <w:marTop w:val="0"/>
      <w:marBottom w:val="0"/>
      <w:divBdr>
        <w:top w:val="none" w:sz="0" w:space="0" w:color="auto"/>
        <w:left w:val="none" w:sz="0" w:space="0" w:color="auto"/>
        <w:bottom w:val="none" w:sz="0" w:space="0" w:color="auto"/>
        <w:right w:val="none" w:sz="0" w:space="0" w:color="auto"/>
      </w:divBdr>
    </w:div>
    <w:div w:id="1132288829">
      <w:bodyDiv w:val="1"/>
      <w:marLeft w:val="0"/>
      <w:marRight w:val="0"/>
      <w:marTop w:val="0"/>
      <w:marBottom w:val="0"/>
      <w:divBdr>
        <w:top w:val="none" w:sz="0" w:space="0" w:color="auto"/>
        <w:left w:val="none" w:sz="0" w:space="0" w:color="auto"/>
        <w:bottom w:val="none" w:sz="0" w:space="0" w:color="auto"/>
        <w:right w:val="none" w:sz="0" w:space="0" w:color="auto"/>
      </w:divBdr>
    </w:div>
    <w:div w:id="1132406793">
      <w:bodyDiv w:val="1"/>
      <w:marLeft w:val="0"/>
      <w:marRight w:val="0"/>
      <w:marTop w:val="0"/>
      <w:marBottom w:val="0"/>
      <w:divBdr>
        <w:top w:val="none" w:sz="0" w:space="0" w:color="auto"/>
        <w:left w:val="none" w:sz="0" w:space="0" w:color="auto"/>
        <w:bottom w:val="none" w:sz="0" w:space="0" w:color="auto"/>
        <w:right w:val="none" w:sz="0" w:space="0" w:color="auto"/>
      </w:divBdr>
    </w:div>
    <w:div w:id="1132555977">
      <w:bodyDiv w:val="1"/>
      <w:marLeft w:val="0"/>
      <w:marRight w:val="0"/>
      <w:marTop w:val="0"/>
      <w:marBottom w:val="0"/>
      <w:divBdr>
        <w:top w:val="none" w:sz="0" w:space="0" w:color="auto"/>
        <w:left w:val="none" w:sz="0" w:space="0" w:color="auto"/>
        <w:bottom w:val="none" w:sz="0" w:space="0" w:color="auto"/>
        <w:right w:val="none" w:sz="0" w:space="0" w:color="auto"/>
      </w:divBdr>
    </w:div>
    <w:div w:id="1133015040">
      <w:bodyDiv w:val="1"/>
      <w:marLeft w:val="0"/>
      <w:marRight w:val="0"/>
      <w:marTop w:val="0"/>
      <w:marBottom w:val="0"/>
      <w:divBdr>
        <w:top w:val="none" w:sz="0" w:space="0" w:color="auto"/>
        <w:left w:val="none" w:sz="0" w:space="0" w:color="auto"/>
        <w:bottom w:val="none" w:sz="0" w:space="0" w:color="auto"/>
        <w:right w:val="none" w:sz="0" w:space="0" w:color="auto"/>
      </w:divBdr>
    </w:div>
    <w:div w:id="1133136400">
      <w:bodyDiv w:val="1"/>
      <w:marLeft w:val="0"/>
      <w:marRight w:val="0"/>
      <w:marTop w:val="0"/>
      <w:marBottom w:val="0"/>
      <w:divBdr>
        <w:top w:val="none" w:sz="0" w:space="0" w:color="auto"/>
        <w:left w:val="none" w:sz="0" w:space="0" w:color="auto"/>
        <w:bottom w:val="none" w:sz="0" w:space="0" w:color="auto"/>
        <w:right w:val="none" w:sz="0" w:space="0" w:color="auto"/>
      </w:divBdr>
    </w:div>
    <w:div w:id="1133138200">
      <w:bodyDiv w:val="1"/>
      <w:marLeft w:val="0"/>
      <w:marRight w:val="0"/>
      <w:marTop w:val="0"/>
      <w:marBottom w:val="0"/>
      <w:divBdr>
        <w:top w:val="none" w:sz="0" w:space="0" w:color="auto"/>
        <w:left w:val="none" w:sz="0" w:space="0" w:color="auto"/>
        <w:bottom w:val="none" w:sz="0" w:space="0" w:color="auto"/>
        <w:right w:val="none" w:sz="0" w:space="0" w:color="auto"/>
      </w:divBdr>
    </w:div>
    <w:div w:id="1133212081">
      <w:bodyDiv w:val="1"/>
      <w:marLeft w:val="0"/>
      <w:marRight w:val="0"/>
      <w:marTop w:val="0"/>
      <w:marBottom w:val="0"/>
      <w:divBdr>
        <w:top w:val="none" w:sz="0" w:space="0" w:color="auto"/>
        <w:left w:val="none" w:sz="0" w:space="0" w:color="auto"/>
        <w:bottom w:val="none" w:sz="0" w:space="0" w:color="auto"/>
        <w:right w:val="none" w:sz="0" w:space="0" w:color="auto"/>
      </w:divBdr>
    </w:div>
    <w:div w:id="1133792194">
      <w:bodyDiv w:val="1"/>
      <w:marLeft w:val="0"/>
      <w:marRight w:val="0"/>
      <w:marTop w:val="0"/>
      <w:marBottom w:val="0"/>
      <w:divBdr>
        <w:top w:val="none" w:sz="0" w:space="0" w:color="auto"/>
        <w:left w:val="none" w:sz="0" w:space="0" w:color="auto"/>
        <w:bottom w:val="none" w:sz="0" w:space="0" w:color="auto"/>
        <w:right w:val="none" w:sz="0" w:space="0" w:color="auto"/>
      </w:divBdr>
    </w:div>
    <w:div w:id="1133867815">
      <w:bodyDiv w:val="1"/>
      <w:marLeft w:val="0"/>
      <w:marRight w:val="0"/>
      <w:marTop w:val="0"/>
      <w:marBottom w:val="0"/>
      <w:divBdr>
        <w:top w:val="none" w:sz="0" w:space="0" w:color="auto"/>
        <w:left w:val="none" w:sz="0" w:space="0" w:color="auto"/>
        <w:bottom w:val="none" w:sz="0" w:space="0" w:color="auto"/>
        <w:right w:val="none" w:sz="0" w:space="0" w:color="auto"/>
      </w:divBdr>
    </w:div>
    <w:div w:id="1133987405">
      <w:bodyDiv w:val="1"/>
      <w:marLeft w:val="0"/>
      <w:marRight w:val="0"/>
      <w:marTop w:val="0"/>
      <w:marBottom w:val="0"/>
      <w:divBdr>
        <w:top w:val="none" w:sz="0" w:space="0" w:color="auto"/>
        <w:left w:val="none" w:sz="0" w:space="0" w:color="auto"/>
        <w:bottom w:val="none" w:sz="0" w:space="0" w:color="auto"/>
        <w:right w:val="none" w:sz="0" w:space="0" w:color="auto"/>
      </w:divBdr>
    </w:div>
    <w:div w:id="1134101775">
      <w:bodyDiv w:val="1"/>
      <w:marLeft w:val="0"/>
      <w:marRight w:val="0"/>
      <w:marTop w:val="0"/>
      <w:marBottom w:val="0"/>
      <w:divBdr>
        <w:top w:val="none" w:sz="0" w:space="0" w:color="auto"/>
        <w:left w:val="none" w:sz="0" w:space="0" w:color="auto"/>
        <w:bottom w:val="none" w:sz="0" w:space="0" w:color="auto"/>
        <w:right w:val="none" w:sz="0" w:space="0" w:color="auto"/>
      </w:divBdr>
    </w:div>
    <w:div w:id="1134176045">
      <w:bodyDiv w:val="1"/>
      <w:marLeft w:val="0"/>
      <w:marRight w:val="0"/>
      <w:marTop w:val="0"/>
      <w:marBottom w:val="0"/>
      <w:divBdr>
        <w:top w:val="none" w:sz="0" w:space="0" w:color="auto"/>
        <w:left w:val="none" w:sz="0" w:space="0" w:color="auto"/>
        <w:bottom w:val="none" w:sz="0" w:space="0" w:color="auto"/>
        <w:right w:val="none" w:sz="0" w:space="0" w:color="auto"/>
      </w:divBdr>
    </w:div>
    <w:div w:id="1134180797">
      <w:bodyDiv w:val="1"/>
      <w:marLeft w:val="0"/>
      <w:marRight w:val="0"/>
      <w:marTop w:val="0"/>
      <w:marBottom w:val="0"/>
      <w:divBdr>
        <w:top w:val="none" w:sz="0" w:space="0" w:color="auto"/>
        <w:left w:val="none" w:sz="0" w:space="0" w:color="auto"/>
        <w:bottom w:val="none" w:sz="0" w:space="0" w:color="auto"/>
        <w:right w:val="none" w:sz="0" w:space="0" w:color="auto"/>
      </w:divBdr>
    </w:div>
    <w:div w:id="1134182477">
      <w:bodyDiv w:val="1"/>
      <w:marLeft w:val="0"/>
      <w:marRight w:val="0"/>
      <w:marTop w:val="0"/>
      <w:marBottom w:val="0"/>
      <w:divBdr>
        <w:top w:val="none" w:sz="0" w:space="0" w:color="auto"/>
        <w:left w:val="none" w:sz="0" w:space="0" w:color="auto"/>
        <w:bottom w:val="none" w:sz="0" w:space="0" w:color="auto"/>
        <w:right w:val="none" w:sz="0" w:space="0" w:color="auto"/>
      </w:divBdr>
    </w:div>
    <w:div w:id="1134561403">
      <w:bodyDiv w:val="1"/>
      <w:marLeft w:val="0"/>
      <w:marRight w:val="0"/>
      <w:marTop w:val="0"/>
      <w:marBottom w:val="0"/>
      <w:divBdr>
        <w:top w:val="none" w:sz="0" w:space="0" w:color="auto"/>
        <w:left w:val="none" w:sz="0" w:space="0" w:color="auto"/>
        <w:bottom w:val="none" w:sz="0" w:space="0" w:color="auto"/>
        <w:right w:val="none" w:sz="0" w:space="0" w:color="auto"/>
      </w:divBdr>
    </w:div>
    <w:div w:id="1134567045">
      <w:bodyDiv w:val="1"/>
      <w:marLeft w:val="0"/>
      <w:marRight w:val="0"/>
      <w:marTop w:val="0"/>
      <w:marBottom w:val="0"/>
      <w:divBdr>
        <w:top w:val="none" w:sz="0" w:space="0" w:color="auto"/>
        <w:left w:val="none" w:sz="0" w:space="0" w:color="auto"/>
        <w:bottom w:val="none" w:sz="0" w:space="0" w:color="auto"/>
        <w:right w:val="none" w:sz="0" w:space="0" w:color="auto"/>
      </w:divBdr>
    </w:div>
    <w:div w:id="1134758470">
      <w:bodyDiv w:val="1"/>
      <w:marLeft w:val="0"/>
      <w:marRight w:val="0"/>
      <w:marTop w:val="0"/>
      <w:marBottom w:val="0"/>
      <w:divBdr>
        <w:top w:val="none" w:sz="0" w:space="0" w:color="auto"/>
        <w:left w:val="none" w:sz="0" w:space="0" w:color="auto"/>
        <w:bottom w:val="none" w:sz="0" w:space="0" w:color="auto"/>
        <w:right w:val="none" w:sz="0" w:space="0" w:color="auto"/>
      </w:divBdr>
    </w:div>
    <w:div w:id="1135021434">
      <w:bodyDiv w:val="1"/>
      <w:marLeft w:val="0"/>
      <w:marRight w:val="0"/>
      <w:marTop w:val="0"/>
      <w:marBottom w:val="0"/>
      <w:divBdr>
        <w:top w:val="none" w:sz="0" w:space="0" w:color="auto"/>
        <w:left w:val="none" w:sz="0" w:space="0" w:color="auto"/>
        <w:bottom w:val="none" w:sz="0" w:space="0" w:color="auto"/>
        <w:right w:val="none" w:sz="0" w:space="0" w:color="auto"/>
      </w:divBdr>
    </w:div>
    <w:div w:id="1135023967">
      <w:bodyDiv w:val="1"/>
      <w:marLeft w:val="0"/>
      <w:marRight w:val="0"/>
      <w:marTop w:val="0"/>
      <w:marBottom w:val="0"/>
      <w:divBdr>
        <w:top w:val="none" w:sz="0" w:space="0" w:color="auto"/>
        <w:left w:val="none" w:sz="0" w:space="0" w:color="auto"/>
        <w:bottom w:val="none" w:sz="0" w:space="0" w:color="auto"/>
        <w:right w:val="none" w:sz="0" w:space="0" w:color="auto"/>
      </w:divBdr>
    </w:div>
    <w:div w:id="1135637666">
      <w:bodyDiv w:val="1"/>
      <w:marLeft w:val="0"/>
      <w:marRight w:val="0"/>
      <w:marTop w:val="0"/>
      <w:marBottom w:val="0"/>
      <w:divBdr>
        <w:top w:val="none" w:sz="0" w:space="0" w:color="auto"/>
        <w:left w:val="none" w:sz="0" w:space="0" w:color="auto"/>
        <w:bottom w:val="none" w:sz="0" w:space="0" w:color="auto"/>
        <w:right w:val="none" w:sz="0" w:space="0" w:color="auto"/>
      </w:divBdr>
    </w:div>
    <w:div w:id="1135878028">
      <w:bodyDiv w:val="1"/>
      <w:marLeft w:val="0"/>
      <w:marRight w:val="0"/>
      <w:marTop w:val="0"/>
      <w:marBottom w:val="0"/>
      <w:divBdr>
        <w:top w:val="none" w:sz="0" w:space="0" w:color="auto"/>
        <w:left w:val="none" w:sz="0" w:space="0" w:color="auto"/>
        <w:bottom w:val="none" w:sz="0" w:space="0" w:color="auto"/>
        <w:right w:val="none" w:sz="0" w:space="0" w:color="auto"/>
      </w:divBdr>
    </w:div>
    <w:div w:id="1135946281">
      <w:bodyDiv w:val="1"/>
      <w:marLeft w:val="0"/>
      <w:marRight w:val="0"/>
      <w:marTop w:val="0"/>
      <w:marBottom w:val="0"/>
      <w:divBdr>
        <w:top w:val="none" w:sz="0" w:space="0" w:color="auto"/>
        <w:left w:val="none" w:sz="0" w:space="0" w:color="auto"/>
        <w:bottom w:val="none" w:sz="0" w:space="0" w:color="auto"/>
        <w:right w:val="none" w:sz="0" w:space="0" w:color="auto"/>
      </w:divBdr>
    </w:div>
    <w:div w:id="1136143736">
      <w:bodyDiv w:val="1"/>
      <w:marLeft w:val="0"/>
      <w:marRight w:val="0"/>
      <w:marTop w:val="0"/>
      <w:marBottom w:val="0"/>
      <w:divBdr>
        <w:top w:val="none" w:sz="0" w:space="0" w:color="auto"/>
        <w:left w:val="none" w:sz="0" w:space="0" w:color="auto"/>
        <w:bottom w:val="none" w:sz="0" w:space="0" w:color="auto"/>
        <w:right w:val="none" w:sz="0" w:space="0" w:color="auto"/>
      </w:divBdr>
    </w:div>
    <w:div w:id="1136148284">
      <w:bodyDiv w:val="1"/>
      <w:marLeft w:val="0"/>
      <w:marRight w:val="0"/>
      <w:marTop w:val="0"/>
      <w:marBottom w:val="0"/>
      <w:divBdr>
        <w:top w:val="none" w:sz="0" w:space="0" w:color="auto"/>
        <w:left w:val="none" w:sz="0" w:space="0" w:color="auto"/>
        <w:bottom w:val="none" w:sz="0" w:space="0" w:color="auto"/>
        <w:right w:val="none" w:sz="0" w:space="0" w:color="auto"/>
      </w:divBdr>
    </w:div>
    <w:div w:id="1136215902">
      <w:bodyDiv w:val="1"/>
      <w:marLeft w:val="0"/>
      <w:marRight w:val="0"/>
      <w:marTop w:val="0"/>
      <w:marBottom w:val="0"/>
      <w:divBdr>
        <w:top w:val="none" w:sz="0" w:space="0" w:color="auto"/>
        <w:left w:val="none" w:sz="0" w:space="0" w:color="auto"/>
        <w:bottom w:val="none" w:sz="0" w:space="0" w:color="auto"/>
        <w:right w:val="none" w:sz="0" w:space="0" w:color="auto"/>
      </w:divBdr>
    </w:div>
    <w:div w:id="1136215914">
      <w:bodyDiv w:val="1"/>
      <w:marLeft w:val="0"/>
      <w:marRight w:val="0"/>
      <w:marTop w:val="0"/>
      <w:marBottom w:val="0"/>
      <w:divBdr>
        <w:top w:val="none" w:sz="0" w:space="0" w:color="auto"/>
        <w:left w:val="none" w:sz="0" w:space="0" w:color="auto"/>
        <w:bottom w:val="none" w:sz="0" w:space="0" w:color="auto"/>
        <w:right w:val="none" w:sz="0" w:space="0" w:color="auto"/>
      </w:divBdr>
    </w:div>
    <w:div w:id="1136333812">
      <w:bodyDiv w:val="1"/>
      <w:marLeft w:val="0"/>
      <w:marRight w:val="0"/>
      <w:marTop w:val="0"/>
      <w:marBottom w:val="0"/>
      <w:divBdr>
        <w:top w:val="none" w:sz="0" w:space="0" w:color="auto"/>
        <w:left w:val="none" w:sz="0" w:space="0" w:color="auto"/>
        <w:bottom w:val="none" w:sz="0" w:space="0" w:color="auto"/>
        <w:right w:val="none" w:sz="0" w:space="0" w:color="auto"/>
      </w:divBdr>
    </w:div>
    <w:div w:id="1136486185">
      <w:bodyDiv w:val="1"/>
      <w:marLeft w:val="0"/>
      <w:marRight w:val="0"/>
      <w:marTop w:val="0"/>
      <w:marBottom w:val="0"/>
      <w:divBdr>
        <w:top w:val="none" w:sz="0" w:space="0" w:color="auto"/>
        <w:left w:val="none" w:sz="0" w:space="0" w:color="auto"/>
        <w:bottom w:val="none" w:sz="0" w:space="0" w:color="auto"/>
        <w:right w:val="none" w:sz="0" w:space="0" w:color="auto"/>
      </w:divBdr>
    </w:div>
    <w:div w:id="1136600885">
      <w:bodyDiv w:val="1"/>
      <w:marLeft w:val="0"/>
      <w:marRight w:val="0"/>
      <w:marTop w:val="0"/>
      <w:marBottom w:val="0"/>
      <w:divBdr>
        <w:top w:val="none" w:sz="0" w:space="0" w:color="auto"/>
        <w:left w:val="none" w:sz="0" w:space="0" w:color="auto"/>
        <w:bottom w:val="none" w:sz="0" w:space="0" w:color="auto"/>
        <w:right w:val="none" w:sz="0" w:space="0" w:color="auto"/>
      </w:divBdr>
    </w:div>
    <w:div w:id="1136987690">
      <w:bodyDiv w:val="1"/>
      <w:marLeft w:val="0"/>
      <w:marRight w:val="0"/>
      <w:marTop w:val="0"/>
      <w:marBottom w:val="0"/>
      <w:divBdr>
        <w:top w:val="none" w:sz="0" w:space="0" w:color="auto"/>
        <w:left w:val="none" w:sz="0" w:space="0" w:color="auto"/>
        <w:bottom w:val="none" w:sz="0" w:space="0" w:color="auto"/>
        <w:right w:val="none" w:sz="0" w:space="0" w:color="auto"/>
      </w:divBdr>
    </w:div>
    <w:div w:id="1137145663">
      <w:bodyDiv w:val="1"/>
      <w:marLeft w:val="0"/>
      <w:marRight w:val="0"/>
      <w:marTop w:val="0"/>
      <w:marBottom w:val="0"/>
      <w:divBdr>
        <w:top w:val="none" w:sz="0" w:space="0" w:color="auto"/>
        <w:left w:val="none" w:sz="0" w:space="0" w:color="auto"/>
        <w:bottom w:val="none" w:sz="0" w:space="0" w:color="auto"/>
        <w:right w:val="none" w:sz="0" w:space="0" w:color="auto"/>
      </w:divBdr>
    </w:div>
    <w:div w:id="1137258108">
      <w:bodyDiv w:val="1"/>
      <w:marLeft w:val="0"/>
      <w:marRight w:val="0"/>
      <w:marTop w:val="0"/>
      <w:marBottom w:val="0"/>
      <w:divBdr>
        <w:top w:val="none" w:sz="0" w:space="0" w:color="auto"/>
        <w:left w:val="none" w:sz="0" w:space="0" w:color="auto"/>
        <w:bottom w:val="none" w:sz="0" w:space="0" w:color="auto"/>
        <w:right w:val="none" w:sz="0" w:space="0" w:color="auto"/>
      </w:divBdr>
    </w:div>
    <w:div w:id="1137333458">
      <w:bodyDiv w:val="1"/>
      <w:marLeft w:val="0"/>
      <w:marRight w:val="0"/>
      <w:marTop w:val="0"/>
      <w:marBottom w:val="0"/>
      <w:divBdr>
        <w:top w:val="none" w:sz="0" w:space="0" w:color="auto"/>
        <w:left w:val="none" w:sz="0" w:space="0" w:color="auto"/>
        <w:bottom w:val="none" w:sz="0" w:space="0" w:color="auto"/>
        <w:right w:val="none" w:sz="0" w:space="0" w:color="auto"/>
      </w:divBdr>
    </w:div>
    <w:div w:id="1137449889">
      <w:bodyDiv w:val="1"/>
      <w:marLeft w:val="0"/>
      <w:marRight w:val="0"/>
      <w:marTop w:val="0"/>
      <w:marBottom w:val="0"/>
      <w:divBdr>
        <w:top w:val="none" w:sz="0" w:space="0" w:color="auto"/>
        <w:left w:val="none" w:sz="0" w:space="0" w:color="auto"/>
        <w:bottom w:val="none" w:sz="0" w:space="0" w:color="auto"/>
        <w:right w:val="none" w:sz="0" w:space="0" w:color="auto"/>
      </w:divBdr>
    </w:div>
    <w:div w:id="1137650871">
      <w:bodyDiv w:val="1"/>
      <w:marLeft w:val="0"/>
      <w:marRight w:val="0"/>
      <w:marTop w:val="0"/>
      <w:marBottom w:val="0"/>
      <w:divBdr>
        <w:top w:val="none" w:sz="0" w:space="0" w:color="auto"/>
        <w:left w:val="none" w:sz="0" w:space="0" w:color="auto"/>
        <w:bottom w:val="none" w:sz="0" w:space="0" w:color="auto"/>
        <w:right w:val="none" w:sz="0" w:space="0" w:color="auto"/>
      </w:divBdr>
    </w:div>
    <w:div w:id="1137838107">
      <w:bodyDiv w:val="1"/>
      <w:marLeft w:val="0"/>
      <w:marRight w:val="0"/>
      <w:marTop w:val="0"/>
      <w:marBottom w:val="0"/>
      <w:divBdr>
        <w:top w:val="none" w:sz="0" w:space="0" w:color="auto"/>
        <w:left w:val="none" w:sz="0" w:space="0" w:color="auto"/>
        <w:bottom w:val="none" w:sz="0" w:space="0" w:color="auto"/>
        <w:right w:val="none" w:sz="0" w:space="0" w:color="auto"/>
      </w:divBdr>
    </w:div>
    <w:div w:id="1137920714">
      <w:bodyDiv w:val="1"/>
      <w:marLeft w:val="0"/>
      <w:marRight w:val="0"/>
      <w:marTop w:val="0"/>
      <w:marBottom w:val="0"/>
      <w:divBdr>
        <w:top w:val="none" w:sz="0" w:space="0" w:color="auto"/>
        <w:left w:val="none" w:sz="0" w:space="0" w:color="auto"/>
        <w:bottom w:val="none" w:sz="0" w:space="0" w:color="auto"/>
        <w:right w:val="none" w:sz="0" w:space="0" w:color="auto"/>
      </w:divBdr>
    </w:div>
    <w:div w:id="1138063286">
      <w:bodyDiv w:val="1"/>
      <w:marLeft w:val="0"/>
      <w:marRight w:val="0"/>
      <w:marTop w:val="0"/>
      <w:marBottom w:val="0"/>
      <w:divBdr>
        <w:top w:val="none" w:sz="0" w:space="0" w:color="auto"/>
        <w:left w:val="none" w:sz="0" w:space="0" w:color="auto"/>
        <w:bottom w:val="none" w:sz="0" w:space="0" w:color="auto"/>
        <w:right w:val="none" w:sz="0" w:space="0" w:color="auto"/>
      </w:divBdr>
    </w:div>
    <w:div w:id="1138107203">
      <w:bodyDiv w:val="1"/>
      <w:marLeft w:val="0"/>
      <w:marRight w:val="0"/>
      <w:marTop w:val="0"/>
      <w:marBottom w:val="0"/>
      <w:divBdr>
        <w:top w:val="none" w:sz="0" w:space="0" w:color="auto"/>
        <w:left w:val="none" w:sz="0" w:space="0" w:color="auto"/>
        <w:bottom w:val="none" w:sz="0" w:space="0" w:color="auto"/>
        <w:right w:val="none" w:sz="0" w:space="0" w:color="auto"/>
      </w:divBdr>
    </w:div>
    <w:div w:id="1138229366">
      <w:bodyDiv w:val="1"/>
      <w:marLeft w:val="0"/>
      <w:marRight w:val="0"/>
      <w:marTop w:val="0"/>
      <w:marBottom w:val="0"/>
      <w:divBdr>
        <w:top w:val="none" w:sz="0" w:space="0" w:color="auto"/>
        <w:left w:val="none" w:sz="0" w:space="0" w:color="auto"/>
        <w:bottom w:val="none" w:sz="0" w:space="0" w:color="auto"/>
        <w:right w:val="none" w:sz="0" w:space="0" w:color="auto"/>
      </w:divBdr>
    </w:div>
    <w:div w:id="1138257680">
      <w:bodyDiv w:val="1"/>
      <w:marLeft w:val="0"/>
      <w:marRight w:val="0"/>
      <w:marTop w:val="0"/>
      <w:marBottom w:val="0"/>
      <w:divBdr>
        <w:top w:val="none" w:sz="0" w:space="0" w:color="auto"/>
        <w:left w:val="none" w:sz="0" w:space="0" w:color="auto"/>
        <w:bottom w:val="none" w:sz="0" w:space="0" w:color="auto"/>
        <w:right w:val="none" w:sz="0" w:space="0" w:color="auto"/>
      </w:divBdr>
    </w:div>
    <w:div w:id="1138307043">
      <w:bodyDiv w:val="1"/>
      <w:marLeft w:val="0"/>
      <w:marRight w:val="0"/>
      <w:marTop w:val="0"/>
      <w:marBottom w:val="0"/>
      <w:divBdr>
        <w:top w:val="none" w:sz="0" w:space="0" w:color="auto"/>
        <w:left w:val="none" w:sz="0" w:space="0" w:color="auto"/>
        <w:bottom w:val="none" w:sz="0" w:space="0" w:color="auto"/>
        <w:right w:val="none" w:sz="0" w:space="0" w:color="auto"/>
      </w:divBdr>
    </w:div>
    <w:div w:id="1138378098">
      <w:bodyDiv w:val="1"/>
      <w:marLeft w:val="0"/>
      <w:marRight w:val="0"/>
      <w:marTop w:val="0"/>
      <w:marBottom w:val="0"/>
      <w:divBdr>
        <w:top w:val="none" w:sz="0" w:space="0" w:color="auto"/>
        <w:left w:val="none" w:sz="0" w:space="0" w:color="auto"/>
        <w:bottom w:val="none" w:sz="0" w:space="0" w:color="auto"/>
        <w:right w:val="none" w:sz="0" w:space="0" w:color="auto"/>
      </w:divBdr>
    </w:div>
    <w:div w:id="1138380835">
      <w:bodyDiv w:val="1"/>
      <w:marLeft w:val="0"/>
      <w:marRight w:val="0"/>
      <w:marTop w:val="0"/>
      <w:marBottom w:val="0"/>
      <w:divBdr>
        <w:top w:val="none" w:sz="0" w:space="0" w:color="auto"/>
        <w:left w:val="none" w:sz="0" w:space="0" w:color="auto"/>
        <w:bottom w:val="none" w:sz="0" w:space="0" w:color="auto"/>
        <w:right w:val="none" w:sz="0" w:space="0" w:color="auto"/>
      </w:divBdr>
    </w:div>
    <w:div w:id="1138573515">
      <w:bodyDiv w:val="1"/>
      <w:marLeft w:val="0"/>
      <w:marRight w:val="0"/>
      <w:marTop w:val="0"/>
      <w:marBottom w:val="0"/>
      <w:divBdr>
        <w:top w:val="none" w:sz="0" w:space="0" w:color="auto"/>
        <w:left w:val="none" w:sz="0" w:space="0" w:color="auto"/>
        <w:bottom w:val="none" w:sz="0" w:space="0" w:color="auto"/>
        <w:right w:val="none" w:sz="0" w:space="0" w:color="auto"/>
      </w:divBdr>
    </w:div>
    <w:div w:id="1138692775">
      <w:bodyDiv w:val="1"/>
      <w:marLeft w:val="0"/>
      <w:marRight w:val="0"/>
      <w:marTop w:val="0"/>
      <w:marBottom w:val="0"/>
      <w:divBdr>
        <w:top w:val="none" w:sz="0" w:space="0" w:color="auto"/>
        <w:left w:val="none" w:sz="0" w:space="0" w:color="auto"/>
        <w:bottom w:val="none" w:sz="0" w:space="0" w:color="auto"/>
        <w:right w:val="none" w:sz="0" w:space="0" w:color="auto"/>
      </w:divBdr>
    </w:div>
    <w:div w:id="1138836995">
      <w:bodyDiv w:val="1"/>
      <w:marLeft w:val="0"/>
      <w:marRight w:val="0"/>
      <w:marTop w:val="0"/>
      <w:marBottom w:val="0"/>
      <w:divBdr>
        <w:top w:val="none" w:sz="0" w:space="0" w:color="auto"/>
        <w:left w:val="none" w:sz="0" w:space="0" w:color="auto"/>
        <w:bottom w:val="none" w:sz="0" w:space="0" w:color="auto"/>
        <w:right w:val="none" w:sz="0" w:space="0" w:color="auto"/>
      </w:divBdr>
    </w:div>
    <w:div w:id="1139028323">
      <w:bodyDiv w:val="1"/>
      <w:marLeft w:val="0"/>
      <w:marRight w:val="0"/>
      <w:marTop w:val="0"/>
      <w:marBottom w:val="0"/>
      <w:divBdr>
        <w:top w:val="none" w:sz="0" w:space="0" w:color="auto"/>
        <w:left w:val="none" w:sz="0" w:space="0" w:color="auto"/>
        <w:bottom w:val="none" w:sz="0" w:space="0" w:color="auto"/>
        <w:right w:val="none" w:sz="0" w:space="0" w:color="auto"/>
      </w:divBdr>
    </w:div>
    <w:div w:id="1139028456">
      <w:bodyDiv w:val="1"/>
      <w:marLeft w:val="0"/>
      <w:marRight w:val="0"/>
      <w:marTop w:val="0"/>
      <w:marBottom w:val="0"/>
      <w:divBdr>
        <w:top w:val="none" w:sz="0" w:space="0" w:color="auto"/>
        <w:left w:val="none" w:sz="0" w:space="0" w:color="auto"/>
        <w:bottom w:val="none" w:sz="0" w:space="0" w:color="auto"/>
        <w:right w:val="none" w:sz="0" w:space="0" w:color="auto"/>
      </w:divBdr>
    </w:div>
    <w:div w:id="1139037403">
      <w:bodyDiv w:val="1"/>
      <w:marLeft w:val="0"/>
      <w:marRight w:val="0"/>
      <w:marTop w:val="0"/>
      <w:marBottom w:val="0"/>
      <w:divBdr>
        <w:top w:val="none" w:sz="0" w:space="0" w:color="auto"/>
        <w:left w:val="none" w:sz="0" w:space="0" w:color="auto"/>
        <w:bottom w:val="none" w:sz="0" w:space="0" w:color="auto"/>
        <w:right w:val="none" w:sz="0" w:space="0" w:color="auto"/>
      </w:divBdr>
    </w:div>
    <w:div w:id="1139107610">
      <w:bodyDiv w:val="1"/>
      <w:marLeft w:val="0"/>
      <w:marRight w:val="0"/>
      <w:marTop w:val="0"/>
      <w:marBottom w:val="0"/>
      <w:divBdr>
        <w:top w:val="none" w:sz="0" w:space="0" w:color="auto"/>
        <w:left w:val="none" w:sz="0" w:space="0" w:color="auto"/>
        <w:bottom w:val="none" w:sz="0" w:space="0" w:color="auto"/>
        <w:right w:val="none" w:sz="0" w:space="0" w:color="auto"/>
      </w:divBdr>
    </w:div>
    <w:div w:id="1139111753">
      <w:bodyDiv w:val="1"/>
      <w:marLeft w:val="0"/>
      <w:marRight w:val="0"/>
      <w:marTop w:val="0"/>
      <w:marBottom w:val="0"/>
      <w:divBdr>
        <w:top w:val="none" w:sz="0" w:space="0" w:color="auto"/>
        <w:left w:val="none" w:sz="0" w:space="0" w:color="auto"/>
        <w:bottom w:val="none" w:sz="0" w:space="0" w:color="auto"/>
        <w:right w:val="none" w:sz="0" w:space="0" w:color="auto"/>
      </w:divBdr>
    </w:div>
    <w:div w:id="1139147396">
      <w:bodyDiv w:val="1"/>
      <w:marLeft w:val="0"/>
      <w:marRight w:val="0"/>
      <w:marTop w:val="0"/>
      <w:marBottom w:val="0"/>
      <w:divBdr>
        <w:top w:val="none" w:sz="0" w:space="0" w:color="auto"/>
        <w:left w:val="none" w:sz="0" w:space="0" w:color="auto"/>
        <w:bottom w:val="none" w:sz="0" w:space="0" w:color="auto"/>
        <w:right w:val="none" w:sz="0" w:space="0" w:color="auto"/>
      </w:divBdr>
    </w:div>
    <w:div w:id="1139225334">
      <w:bodyDiv w:val="1"/>
      <w:marLeft w:val="0"/>
      <w:marRight w:val="0"/>
      <w:marTop w:val="0"/>
      <w:marBottom w:val="0"/>
      <w:divBdr>
        <w:top w:val="none" w:sz="0" w:space="0" w:color="auto"/>
        <w:left w:val="none" w:sz="0" w:space="0" w:color="auto"/>
        <w:bottom w:val="none" w:sz="0" w:space="0" w:color="auto"/>
        <w:right w:val="none" w:sz="0" w:space="0" w:color="auto"/>
      </w:divBdr>
    </w:div>
    <w:div w:id="1139301625">
      <w:bodyDiv w:val="1"/>
      <w:marLeft w:val="0"/>
      <w:marRight w:val="0"/>
      <w:marTop w:val="0"/>
      <w:marBottom w:val="0"/>
      <w:divBdr>
        <w:top w:val="none" w:sz="0" w:space="0" w:color="auto"/>
        <w:left w:val="none" w:sz="0" w:space="0" w:color="auto"/>
        <w:bottom w:val="none" w:sz="0" w:space="0" w:color="auto"/>
        <w:right w:val="none" w:sz="0" w:space="0" w:color="auto"/>
      </w:divBdr>
    </w:div>
    <w:div w:id="1139303562">
      <w:bodyDiv w:val="1"/>
      <w:marLeft w:val="0"/>
      <w:marRight w:val="0"/>
      <w:marTop w:val="0"/>
      <w:marBottom w:val="0"/>
      <w:divBdr>
        <w:top w:val="none" w:sz="0" w:space="0" w:color="auto"/>
        <w:left w:val="none" w:sz="0" w:space="0" w:color="auto"/>
        <w:bottom w:val="none" w:sz="0" w:space="0" w:color="auto"/>
        <w:right w:val="none" w:sz="0" w:space="0" w:color="auto"/>
      </w:divBdr>
    </w:div>
    <w:div w:id="1139802358">
      <w:bodyDiv w:val="1"/>
      <w:marLeft w:val="0"/>
      <w:marRight w:val="0"/>
      <w:marTop w:val="0"/>
      <w:marBottom w:val="0"/>
      <w:divBdr>
        <w:top w:val="none" w:sz="0" w:space="0" w:color="auto"/>
        <w:left w:val="none" w:sz="0" w:space="0" w:color="auto"/>
        <w:bottom w:val="none" w:sz="0" w:space="0" w:color="auto"/>
        <w:right w:val="none" w:sz="0" w:space="0" w:color="auto"/>
      </w:divBdr>
    </w:div>
    <w:div w:id="1139883097">
      <w:bodyDiv w:val="1"/>
      <w:marLeft w:val="0"/>
      <w:marRight w:val="0"/>
      <w:marTop w:val="0"/>
      <w:marBottom w:val="0"/>
      <w:divBdr>
        <w:top w:val="none" w:sz="0" w:space="0" w:color="auto"/>
        <w:left w:val="none" w:sz="0" w:space="0" w:color="auto"/>
        <w:bottom w:val="none" w:sz="0" w:space="0" w:color="auto"/>
        <w:right w:val="none" w:sz="0" w:space="0" w:color="auto"/>
      </w:divBdr>
    </w:div>
    <w:div w:id="1139885139">
      <w:bodyDiv w:val="1"/>
      <w:marLeft w:val="0"/>
      <w:marRight w:val="0"/>
      <w:marTop w:val="0"/>
      <w:marBottom w:val="0"/>
      <w:divBdr>
        <w:top w:val="none" w:sz="0" w:space="0" w:color="auto"/>
        <w:left w:val="none" w:sz="0" w:space="0" w:color="auto"/>
        <w:bottom w:val="none" w:sz="0" w:space="0" w:color="auto"/>
        <w:right w:val="none" w:sz="0" w:space="0" w:color="auto"/>
      </w:divBdr>
    </w:div>
    <w:div w:id="1139885318">
      <w:bodyDiv w:val="1"/>
      <w:marLeft w:val="0"/>
      <w:marRight w:val="0"/>
      <w:marTop w:val="0"/>
      <w:marBottom w:val="0"/>
      <w:divBdr>
        <w:top w:val="none" w:sz="0" w:space="0" w:color="auto"/>
        <w:left w:val="none" w:sz="0" w:space="0" w:color="auto"/>
        <w:bottom w:val="none" w:sz="0" w:space="0" w:color="auto"/>
        <w:right w:val="none" w:sz="0" w:space="0" w:color="auto"/>
      </w:divBdr>
    </w:div>
    <w:div w:id="1140148750">
      <w:bodyDiv w:val="1"/>
      <w:marLeft w:val="0"/>
      <w:marRight w:val="0"/>
      <w:marTop w:val="0"/>
      <w:marBottom w:val="0"/>
      <w:divBdr>
        <w:top w:val="none" w:sz="0" w:space="0" w:color="auto"/>
        <w:left w:val="none" w:sz="0" w:space="0" w:color="auto"/>
        <w:bottom w:val="none" w:sz="0" w:space="0" w:color="auto"/>
        <w:right w:val="none" w:sz="0" w:space="0" w:color="auto"/>
      </w:divBdr>
    </w:div>
    <w:div w:id="1140347513">
      <w:bodyDiv w:val="1"/>
      <w:marLeft w:val="0"/>
      <w:marRight w:val="0"/>
      <w:marTop w:val="0"/>
      <w:marBottom w:val="0"/>
      <w:divBdr>
        <w:top w:val="none" w:sz="0" w:space="0" w:color="auto"/>
        <w:left w:val="none" w:sz="0" w:space="0" w:color="auto"/>
        <w:bottom w:val="none" w:sz="0" w:space="0" w:color="auto"/>
        <w:right w:val="none" w:sz="0" w:space="0" w:color="auto"/>
      </w:divBdr>
    </w:div>
    <w:div w:id="1140464727">
      <w:bodyDiv w:val="1"/>
      <w:marLeft w:val="0"/>
      <w:marRight w:val="0"/>
      <w:marTop w:val="0"/>
      <w:marBottom w:val="0"/>
      <w:divBdr>
        <w:top w:val="none" w:sz="0" w:space="0" w:color="auto"/>
        <w:left w:val="none" w:sz="0" w:space="0" w:color="auto"/>
        <w:bottom w:val="none" w:sz="0" w:space="0" w:color="auto"/>
        <w:right w:val="none" w:sz="0" w:space="0" w:color="auto"/>
      </w:divBdr>
    </w:div>
    <w:div w:id="1140613611">
      <w:bodyDiv w:val="1"/>
      <w:marLeft w:val="0"/>
      <w:marRight w:val="0"/>
      <w:marTop w:val="0"/>
      <w:marBottom w:val="0"/>
      <w:divBdr>
        <w:top w:val="none" w:sz="0" w:space="0" w:color="auto"/>
        <w:left w:val="none" w:sz="0" w:space="0" w:color="auto"/>
        <w:bottom w:val="none" w:sz="0" w:space="0" w:color="auto"/>
        <w:right w:val="none" w:sz="0" w:space="0" w:color="auto"/>
      </w:divBdr>
    </w:div>
    <w:div w:id="1140684992">
      <w:bodyDiv w:val="1"/>
      <w:marLeft w:val="0"/>
      <w:marRight w:val="0"/>
      <w:marTop w:val="0"/>
      <w:marBottom w:val="0"/>
      <w:divBdr>
        <w:top w:val="none" w:sz="0" w:space="0" w:color="auto"/>
        <w:left w:val="none" w:sz="0" w:space="0" w:color="auto"/>
        <w:bottom w:val="none" w:sz="0" w:space="0" w:color="auto"/>
        <w:right w:val="none" w:sz="0" w:space="0" w:color="auto"/>
      </w:divBdr>
    </w:div>
    <w:div w:id="1140733594">
      <w:bodyDiv w:val="1"/>
      <w:marLeft w:val="0"/>
      <w:marRight w:val="0"/>
      <w:marTop w:val="0"/>
      <w:marBottom w:val="0"/>
      <w:divBdr>
        <w:top w:val="none" w:sz="0" w:space="0" w:color="auto"/>
        <w:left w:val="none" w:sz="0" w:space="0" w:color="auto"/>
        <w:bottom w:val="none" w:sz="0" w:space="0" w:color="auto"/>
        <w:right w:val="none" w:sz="0" w:space="0" w:color="auto"/>
      </w:divBdr>
    </w:div>
    <w:div w:id="1141193810">
      <w:bodyDiv w:val="1"/>
      <w:marLeft w:val="0"/>
      <w:marRight w:val="0"/>
      <w:marTop w:val="0"/>
      <w:marBottom w:val="0"/>
      <w:divBdr>
        <w:top w:val="none" w:sz="0" w:space="0" w:color="auto"/>
        <w:left w:val="none" w:sz="0" w:space="0" w:color="auto"/>
        <w:bottom w:val="none" w:sz="0" w:space="0" w:color="auto"/>
        <w:right w:val="none" w:sz="0" w:space="0" w:color="auto"/>
      </w:divBdr>
    </w:div>
    <w:div w:id="1141270915">
      <w:bodyDiv w:val="1"/>
      <w:marLeft w:val="0"/>
      <w:marRight w:val="0"/>
      <w:marTop w:val="0"/>
      <w:marBottom w:val="0"/>
      <w:divBdr>
        <w:top w:val="none" w:sz="0" w:space="0" w:color="auto"/>
        <w:left w:val="none" w:sz="0" w:space="0" w:color="auto"/>
        <w:bottom w:val="none" w:sz="0" w:space="0" w:color="auto"/>
        <w:right w:val="none" w:sz="0" w:space="0" w:color="auto"/>
      </w:divBdr>
    </w:div>
    <w:div w:id="1141460947">
      <w:bodyDiv w:val="1"/>
      <w:marLeft w:val="0"/>
      <w:marRight w:val="0"/>
      <w:marTop w:val="0"/>
      <w:marBottom w:val="0"/>
      <w:divBdr>
        <w:top w:val="none" w:sz="0" w:space="0" w:color="auto"/>
        <w:left w:val="none" w:sz="0" w:space="0" w:color="auto"/>
        <w:bottom w:val="none" w:sz="0" w:space="0" w:color="auto"/>
        <w:right w:val="none" w:sz="0" w:space="0" w:color="auto"/>
      </w:divBdr>
    </w:div>
    <w:div w:id="1141728412">
      <w:bodyDiv w:val="1"/>
      <w:marLeft w:val="0"/>
      <w:marRight w:val="0"/>
      <w:marTop w:val="0"/>
      <w:marBottom w:val="0"/>
      <w:divBdr>
        <w:top w:val="none" w:sz="0" w:space="0" w:color="auto"/>
        <w:left w:val="none" w:sz="0" w:space="0" w:color="auto"/>
        <w:bottom w:val="none" w:sz="0" w:space="0" w:color="auto"/>
        <w:right w:val="none" w:sz="0" w:space="0" w:color="auto"/>
      </w:divBdr>
    </w:div>
    <w:div w:id="1141923415">
      <w:bodyDiv w:val="1"/>
      <w:marLeft w:val="0"/>
      <w:marRight w:val="0"/>
      <w:marTop w:val="0"/>
      <w:marBottom w:val="0"/>
      <w:divBdr>
        <w:top w:val="none" w:sz="0" w:space="0" w:color="auto"/>
        <w:left w:val="none" w:sz="0" w:space="0" w:color="auto"/>
        <w:bottom w:val="none" w:sz="0" w:space="0" w:color="auto"/>
        <w:right w:val="none" w:sz="0" w:space="0" w:color="auto"/>
      </w:divBdr>
    </w:div>
    <w:div w:id="1142039241">
      <w:bodyDiv w:val="1"/>
      <w:marLeft w:val="0"/>
      <w:marRight w:val="0"/>
      <w:marTop w:val="0"/>
      <w:marBottom w:val="0"/>
      <w:divBdr>
        <w:top w:val="none" w:sz="0" w:space="0" w:color="auto"/>
        <w:left w:val="none" w:sz="0" w:space="0" w:color="auto"/>
        <w:bottom w:val="none" w:sz="0" w:space="0" w:color="auto"/>
        <w:right w:val="none" w:sz="0" w:space="0" w:color="auto"/>
      </w:divBdr>
    </w:div>
    <w:div w:id="1142118879">
      <w:bodyDiv w:val="1"/>
      <w:marLeft w:val="0"/>
      <w:marRight w:val="0"/>
      <w:marTop w:val="0"/>
      <w:marBottom w:val="0"/>
      <w:divBdr>
        <w:top w:val="none" w:sz="0" w:space="0" w:color="auto"/>
        <w:left w:val="none" w:sz="0" w:space="0" w:color="auto"/>
        <w:bottom w:val="none" w:sz="0" w:space="0" w:color="auto"/>
        <w:right w:val="none" w:sz="0" w:space="0" w:color="auto"/>
      </w:divBdr>
    </w:div>
    <w:div w:id="1142238208">
      <w:bodyDiv w:val="1"/>
      <w:marLeft w:val="0"/>
      <w:marRight w:val="0"/>
      <w:marTop w:val="0"/>
      <w:marBottom w:val="0"/>
      <w:divBdr>
        <w:top w:val="none" w:sz="0" w:space="0" w:color="auto"/>
        <w:left w:val="none" w:sz="0" w:space="0" w:color="auto"/>
        <w:bottom w:val="none" w:sz="0" w:space="0" w:color="auto"/>
        <w:right w:val="none" w:sz="0" w:space="0" w:color="auto"/>
      </w:divBdr>
    </w:div>
    <w:div w:id="1142308652">
      <w:bodyDiv w:val="1"/>
      <w:marLeft w:val="0"/>
      <w:marRight w:val="0"/>
      <w:marTop w:val="0"/>
      <w:marBottom w:val="0"/>
      <w:divBdr>
        <w:top w:val="none" w:sz="0" w:space="0" w:color="auto"/>
        <w:left w:val="none" w:sz="0" w:space="0" w:color="auto"/>
        <w:bottom w:val="none" w:sz="0" w:space="0" w:color="auto"/>
        <w:right w:val="none" w:sz="0" w:space="0" w:color="auto"/>
      </w:divBdr>
    </w:div>
    <w:div w:id="1143424511">
      <w:bodyDiv w:val="1"/>
      <w:marLeft w:val="0"/>
      <w:marRight w:val="0"/>
      <w:marTop w:val="0"/>
      <w:marBottom w:val="0"/>
      <w:divBdr>
        <w:top w:val="none" w:sz="0" w:space="0" w:color="auto"/>
        <w:left w:val="none" w:sz="0" w:space="0" w:color="auto"/>
        <w:bottom w:val="none" w:sz="0" w:space="0" w:color="auto"/>
        <w:right w:val="none" w:sz="0" w:space="0" w:color="auto"/>
      </w:divBdr>
    </w:div>
    <w:div w:id="1143501847">
      <w:bodyDiv w:val="1"/>
      <w:marLeft w:val="0"/>
      <w:marRight w:val="0"/>
      <w:marTop w:val="0"/>
      <w:marBottom w:val="0"/>
      <w:divBdr>
        <w:top w:val="none" w:sz="0" w:space="0" w:color="auto"/>
        <w:left w:val="none" w:sz="0" w:space="0" w:color="auto"/>
        <w:bottom w:val="none" w:sz="0" w:space="0" w:color="auto"/>
        <w:right w:val="none" w:sz="0" w:space="0" w:color="auto"/>
      </w:divBdr>
    </w:div>
    <w:div w:id="1143504079">
      <w:bodyDiv w:val="1"/>
      <w:marLeft w:val="0"/>
      <w:marRight w:val="0"/>
      <w:marTop w:val="0"/>
      <w:marBottom w:val="0"/>
      <w:divBdr>
        <w:top w:val="none" w:sz="0" w:space="0" w:color="auto"/>
        <w:left w:val="none" w:sz="0" w:space="0" w:color="auto"/>
        <w:bottom w:val="none" w:sz="0" w:space="0" w:color="auto"/>
        <w:right w:val="none" w:sz="0" w:space="0" w:color="auto"/>
      </w:divBdr>
    </w:div>
    <w:div w:id="1143619870">
      <w:bodyDiv w:val="1"/>
      <w:marLeft w:val="0"/>
      <w:marRight w:val="0"/>
      <w:marTop w:val="0"/>
      <w:marBottom w:val="0"/>
      <w:divBdr>
        <w:top w:val="none" w:sz="0" w:space="0" w:color="auto"/>
        <w:left w:val="none" w:sz="0" w:space="0" w:color="auto"/>
        <w:bottom w:val="none" w:sz="0" w:space="0" w:color="auto"/>
        <w:right w:val="none" w:sz="0" w:space="0" w:color="auto"/>
      </w:divBdr>
    </w:div>
    <w:div w:id="1143885367">
      <w:bodyDiv w:val="1"/>
      <w:marLeft w:val="0"/>
      <w:marRight w:val="0"/>
      <w:marTop w:val="0"/>
      <w:marBottom w:val="0"/>
      <w:divBdr>
        <w:top w:val="none" w:sz="0" w:space="0" w:color="auto"/>
        <w:left w:val="none" w:sz="0" w:space="0" w:color="auto"/>
        <w:bottom w:val="none" w:sz="0" w:space="0" w:color="auto"/>
        <w:right w:val="none" w:sz="0" w:space="0" w:color="auto"/>
      </w:divBdr>
    </w:div>
    <w:div w:id="1143962217">
      <w:bodyDiv w:val="1"/>
      <w:marLeft w:val="0"/>
      <w:marRight w:val="0"/>
      <w:marTop w:val="0"/>
      <w:marBottom w:val="0"/>
      <w:divBdr>
        <w:top w:val="none" w:sz="0" w:space="0" w:color="auto"/>
        <w:left w:val="none" w:sz="0" w:space="0" w:color="auto"/>
        <w:bottom w:val="none" w:sz="0" w:space="0" w:color="auto"/>
        <w:right w:val="none" w:sz="0" w:space="0" w:color="auto"/>
      </w:divBdr>
    </w:div>
    <w:div w:id="1144084349">
      <w:bodyDiv w:val="1"/>
      <w:marLeft w:val="0"/>
      <w:marRight w:val="0"/>
      <w:marTop w:val="0"/>
      <w:marBottom w:val="0"/>
      <w:divBdr>
        <w:top w:val="none" w:sz="0" w:space="0" w:color="auto"/>
        <w:left w:val="none" w:sz="0" w:space="0" w:color="auto"/>
        <w:bottom w:val="none" w:sz="0" w:space="0" w:color="auto"/>
        <w:right w:val="none" w:sz="0" w:space="0" w:color="auto"/>
      </w:divBdr>
    </w:div>
    <w:div w:id="1144154540">
      <w:bodyDiv w:val="1"/>
      <w:marLeft w:val="0"/>
      <w:marRight w:val="0"/>
      <w:marTop w:val="0"/>
      <w:marBottom w:val="0"/>
      <w:divBdr>
        <w:top w:val="none" w:sz="0" w:space="0" w:color="auto"/>
        <w:left w:val="none" w:sz="0" w:space="0" w:color="auto"/>
        <w:bottom w:val="none" w:sz="0" w:space="0" w:color="auto"/>
        <w:right w:val="none" w:sz="0" w:space="0" w:color="auto"/>
      </w:divBdr>
    </w:div>
    <w:div w:id="1144274192">
      <w:bodyDiv w:val="1"/>
      <w:marLeft w:val="0"/>
      <w:marRight w:val="0"/>
      <w:marTop w:val="0"/>
      <w:marBottom w:val="0"/>
      <w:divBdr>
        <w:top w:val="none" w:sz="0" w:space="0" w:color="auto"/>
        <w:left w:val="none" w:sz="0" w:space="0" w:color="auto"/>
        <w:bottom w:val="none" w:sz="0" w:space="0" w:color="auto"/>
        <w:right w:val="none" w:sz="0" w:space="0" w:color="auto"/>
      </w:divBdr>
    </w:div>
    <w:div w:id="1144465156">
      <w:bodyDiv w:val="1"/>
      <w:marLeft w:val="0"/>
      <w:marRight w:val="0"/>
      <w:marTop w:val="0"/>
      <w:marBottom w:val="0"/>
      <w:divBdr>
        <w:top w:val="none" w:sz="0" w:space="0" w:color="auto"/>
        <w:left w:val="none" w:sz="0" w:space="0" w:color="auto"/>
        <w:bottom w:val="none" w:sz="0" w:space="0" w:color="auto"/>
        <w:right w:val="none" w:sz="0" w:space="0" w:color="auto"/>
      </w:divBdr>
    </w:div>
    <w:div w:id="1144468206">
      <w:bodyDiv w:val="1"/>
      <w:marLeft w:val="0"/>
      <w:marRight w:val="0"/>
      <w:marTop w:val="0"/>
      <w:marBottom w:val="0"/>
      <w:divBdr>
        <w:top w:val="none" w:sz="0" w:space="0" w:color="auto"/>
        <w:left w:val="none" w:sz="0" w:space="0" w:color="auto"/>
        <w:bottom w:val="none" w:sz="0" w:space="0" w:color="auto"/>
        <w:right w:val="none" w:sz="0" w:space="0" w:color="auto"/>
      </w:divBdr>
    </w:div>
    <w:div w:id="1144587222">
      <w:bodyDiv w:val="1"/>
      <w:marLeft w:val="0"/>
      <w:marRight w:val="0"/>
      <w:marTop w:val="0"/>
      <w:marBottom w:val="0"/>
      <w:divBdr>
        <w:top w:val="none" w:sz="0" w:space="0" w:color="auto"/>
        <w:left w:val="none" w:sz="0" w:space="0" w:color="auto"/>
        <w:bottom w:val="none" w:sz="0" w:space="0" w:color="auto"/>
        <w:right w:val="none" w:sz="0" w:space="0" w:color="auto"/>
      </w:divBdr>
    </w:div>
    <w:div w:id="1144784122">
      <w:bodyDiv w:val="1"/>
      <w:marLeft w:val="0"/>
      <w:marRight w:val="0"/>
      <w:marTop w:val="0"/>
      <w:marBottom w:val="0"/>
      <w:divBdr>
        <w:top w:val="none" w:sz="0" w:space="0" w:color="auto"/>
        <w:left w:val="none" w:sz="0" w:space="0" w:color="auto"/>
        <w:bottom w:val="none" w:sz="0" w:space="0" w:color="auto"/>
        <w:right w:val="none" w:sz="0" w:space="0" w:color="auto"/>
      </w:divBdr>
    </w:div>
    <w:div w:id="1144810572">
      <w:bodyDiv w:val="1"/>
      <w:marLeft w:val="0"/>
      <w:marRight w:val="0"/>
      <w:marTop w:val="0"/>
      <w:marBottom w:val="0"/>
      <w:divBdr>
        <w:top w:val="none" w:sz="0" w:space="0" w:color="auto"/>
        <w:left w:val="none" w:sz="0" w:space="0" w:color="auto"/>
        <w:bottom w:val="none" w:sz="0" w:space="0" w:color="auto"/>
        <w:right w:val="none" w:sz="0" w:space="0" w:color="auto"/>
      </w:divBdr>
    </w:div>
    <w:div w:id="1144858176">
      <w:bodyDiv w:val="1"/>
      <w:marLeft w:val="0"/>
      <w:marRight w:val="0"/>
      <w:marTop w:val="0"/>
      <w:marBottom w:val="0"/>
      <w:divBdr>
        <w:top w:val="none" w:sz="0" w:space="0" w:color="auto"/>
        <w:left w:val="none" w:sz="0" w:space="0" w:color="auto"/>
        <w:bottom w:val="none" w:sz="0" w:space="0" w:color="auto"/>
        <w:right w:val="none" w:sz="0" w:space="0" w:color="auto"/>
      </w:divBdr>
    </w:div>
    <w:div w:id="1145045686">
      <w:bodyDiv w:val="1"/>
      <w:marLeft w:val="0"/>
      <w:marRight w:val="0"/>
      <w:marTop w:val="0"/>
      <w:marBottom w:val="0"/>
      <w:divBdr>
        <w:top w:val="none" w:sz="0" w:space="0" w:color="auto"/>
        <w:left w:val="none" w:sz="0" w:space="0" w:color="auto"/>
        <w:bottom w:val="none" w:sz="0" w:space="0" w:color="auto"/>
        <w:right w:val="none" w:sz="0" w:space="0" w:color="auto"/>
      </w:divBdr>
    </w:div>
    <w:div w:id="1145121108">
      <w:bodyDiv w:val="1"/>
      <w:marLeft w:val="0"/>
      <w:marRight w:val="0"/>
      <w:marTop w:val="0"/>
      <w:marBottom w:val="0"/>
      <w:divBdr>
        <w:top w:val="none" w:sz="0" w:space="0" w:color="auto"/>
        <w:left w:val="none" w:sz="0" w:space="0" w:color="auto"/>
        <w:bottom w:val="none" w:sz="0" w:space="0" w:color="auto"/>
        <w:right w:val="none" w:sz="0" w:space="0" w:color="auto"/>
      </w:divBdr>
    </w:div>
    <w:div w:id="1145125584">
      <w:bodyDiv w:val="1"/>
      <w:marLeft w:val="0"/>
      <w:marRight w:val="0"/>
      <w:marTop w:val="0"/>
      <w:marBottom w:val="0"/>
      <w:divBdr>
        <w:top w:val="none" w:sz="0" w:space="0" w:color="auto"/>
        <w:left w:val="none" w:sz="0" w:space="0" w:color="auto"/>
        <w:bottom w:val="none" w:sz="0" w:space="0" w:color="auto"/>
        <w:right w:val="none" w:sz="0" w:space="0" w:color="auto"/>
      </w:divBdr>
    </w:div>
    <w:div w:id="1145513202">
      <w:bodyDiv w:val="1"/>
      <w:marLeft w:val="0"/>
      <w:marRight w:val="0"/>
      <w:marTop w:val="0"/>
      <w:marBottom w:val="0"/>
      <w:divBdr>
        <w:top w:val="none" w:sz="0" w:space="0" w:color="auto"/>
        <w:left w:val="none" w:sz="0" w:space="0" w:color="auto"/>
        <w:bottom w:val="none" w:sz="0" w:space="0" w:color="auto"/>
        <w:right w:val="none" w:sz="0" w:space="0" w:color="auto"/>
      </w:divBdr>
    </w:div>
    <w:div w:id="1145584613">
      <w:bodyDiv w:val="1"/>
      <w:marLeft w:val="0"/>
      <w:marRight w:val="0"/>
      <w:marTop w:val="0"/>
      <w:marBottom w:val="0"/>
      <w:divBdr>
        <w:top w:val="none" w:sz="0" w:space="0" w:color="auto"/>
        <w:left w:val="none" w:sz="0" w:space="0" w:color="auto"/>
        <w:bottom w:val="none" w:sz="0" w:space="0" w:color="auto"/>
        <w:right w:val="none" w:sz="0" w:space="0" w:color="auto"/>
      </w:divBdr>
    </w:div>
    <w:div w:id="1145658766">
      <w:bodyDiv w:val="1"/>
      <w:marLeft w:val="0"/>
      <w:marRight w:val="0"/>
      <w:marTop w:val="0"/>
      <w:marBottom w:val="0"/>
      <w:divBdr>
        <w:top w:val="none" w:sz="0" w:space="0" w:color="auto"/>
        <w:left w:val="none" w:sz="0" w:space="0" w:color="auto"/>
        <w:bottom w:val="none" w:sz="0" w:space="0" w:color="auto"/>
        <w:right w:val="none" w:sz="0" w:space="0" w:color="auto"/>
      </w:divBdr>
    </w:div>
    <w:div w:id="1145663257">
      <w:bodyDiv w:val="1"/>
      <w:marLeft w:val="0"/>
      <w:marRight w:val="0"/>
      <w:marTop w:val="0"/>
      <w:marBottom w:val="0"/>
      <w:divBdr>
        <w:top w:val="none" w:sz="0" w:space="0" w:color="auto"/>
        <w:left w:val="none" w:sz="0" w:space="0" w:color="auto"/>
        <w:bottom w:val="none" w:sz="0" w:space="0" w:color="auto"/>
        <w:right w:val="none" w:sz="0" w:space="0" w:color="auto"/>
      </w:divBdr>
    </w:div>
    <w:div w:id="1145775705">
      <w:bodyDiv w:val="1"/>
      <w:marLeft w:val="0"/>
      <w:marRight w:val="0"/>
      <w:marTop w:val="0"/>
      <w:marBottom w:val="0"/>
      <w:divBdr>
        <w:top w:val="none" w:sz="0" w:space="0" w:color="auto"/>
        <w:left w:val="none" w:sz="0" w:space="0" w:color="auto"/>
        <w:bottom w:val="none" w:sz="0" w:space="0" w:color="auto"/>
        <w:right w:val="none" w:sz="0" w:space="0" w:color="auto"/>
      </w:divBdr>
    </w:div>
    <w:div w:id="1145897018">
      <w:bodyDiv w:val="1"/>
      <w:marLeft w:val="0"/>
      <w:marRight w:val="0"/>
      <w:marTop w:val="0"/>
      <w:marBottom w:val="0"/>
      <w:divBdr>
        <w:top w:val="none" w:sz="0" w:space="0" w:color="auto"/>
        <w:left w:val="none" w:sz="0" w:space="0" w:color="auto"/>
        <w:bottom w:val="none" w:sz="0" w:space="0" w:color="auto"/>
        <w:right w:val="none" w:sz="0" w:space="0" w:color="auto"/>
      </w:divBdr>
    </w:div>
    <w:div w:id="1145971689">
      <w:bodyDiv w:val="1"/>
      <w:marLeft w:val="0"/>
      <w:marRight w:val="0"/>
      <w:marTop w:val="0"/>
      <w:marBottom w:val="0"/>
      <w:divBdr>
        <w:top w:val="none" w:sz="0" w:space="0" w:color="auto"/>
        <w:left w:val="none" w:sz="0" w:space="0" w:color="auto"/>
        <w:bottom w:val="none" w:sz="0" w:space="0" w:color="auto"/>
        <w:right w:val="none" w:sz="0" w:space="0" w:color="auto"/>
      </w:divBdr>
    </w:div>
    <w:div w:id="1146049100">
      <w:bodyDiv w:val="1"/>
      <w:marLeft w:val="0"/>
      <w:marRight w:val="0"/>
      <w:marTop w:val="0"/>
      <w:marBottom w:val="0"/>
      <w:divBdr>
        <w:top w:val="none" w:sz="0" w:space="0" w:color="auto"/>
        <w:left w:val="none" w:sz="0" w:space="0" w:color="auto"/>
        <w:bottom w:val="none" w:sz="0" w:space="0" w:color="auto"/>
        <w:right w:val="none" w:sz="0" w:space="0" w:color="auto"/>
      </w:divBdr>
    </w:div>
    <w:div w:id="1146050781">
      <w:bodyDiv w:val="1"/>
      <w:marLeft w:val="0"/>
      <w:marRight w:val="0"/>
      <w:marTop w:val="0"/>
      <w:marBottom w:val="0"/>
      <w:divBdr>
        <w:top w:val="none" w:sz="0" w:space="0" w:color="auto"/>
        <w:left w:val="none" w:sz="0" w:space="0" w:color="auto"/>
        <w:bottom w:val="none" w:sz="0" w:space="0" w:color="auto"/>
        <w:right w:val="none" w:sz="0" w:space="0" w:color="auto"/>
      </w:divBdr>
    </w:div>
    <w:div w:id="1146119010">
      <w:bodyDiv w:val="1"/>
      <w:marLeft w:val="0"/>
      <w:marRight w:val="0"/>
      <w:marTop w:val="0"/>
      <w:marBottom w:val="0"/>
      <w:divBdr>
        <w:top w:val="none" w:sz="0" w:space="0" w:color="auto"/>
        <w:left w:val="none" w:sz="0" w:space="0" w:color="auto"/>
        <w:bottom w:val="none" w:sz="0" w:space="0" w:color="auto"/>
        <w:right w:val="none" w:sz="0" w:space="0" w:color="auto"/>
      </w:divBdr>
    </w:div>
    <w:div w:id="1146245509">
      <w:bodyDiv w:val="1"/>
      <w:marLeft w:val="0"/>
      <w:marRight w:val="0"/>
      <w:marTop w:val="0"/>
      <w:marBottom w:val="0"/>
      <w:divBdr>
        <w:top w:val="none" w:sz="0" w:space="0" w:color="auto"/>
        <w:left w:val="none" w:sz="0" w:space="0" w:color="auto"/>
        <w:bottom w:val="none" w:sz="0" w:space="0" w:color="auto"/>
        <w:right w:val="none" w:sz="0" w:space="0" w:color="auto"/>
      </w:divBdr>
    </w:div>
    <w:div w:id="1146319181">
      <w:bodyDiv w:val="1"/>
      <w:marLeft w:val="0"/>
      <w:marRight w:val="0"/>
      <w:marTop w:val="0"/>
      <w:marBottom w:val="0"/>
      <w:divBdr>
        <w:top w:val="none" w:sz="0" w:space="0" w:color="auto"/>
        <w:left w:val="none" w:sz="0" w:space="0" w:color="auto"/>
        <w:bottom w:val="none" w:sz="0" w:space="0" w:color="auto"/>
        <w:right w:val="none" w:sz="0" w:space="0" w:color="auto"/>
      </w:divBdr>
    </w:div>
    <w:div w:id="1146510540">
      <w:bodyDiv w:val="1"/>
      <w:marLeft w:val="0"/>
      <w:marRight w:val="0"/>
      <w:marTop w:val="0"/>
      <w:marBottom w:val="0"/>
      <w:divBdr>
        <w:top w:val="none" w:sz="0" w:space="0" w:color="auto"/>
        <w:left w:val="none" w:sz="0" w:space="0" w:color="auto"/>
        <w:bottom w:val="none" w:sz="0" w:space="0" w:color="auto"/>
        <w:right w:val="none" w:sz="0" w:space="0" w:color="auto"/>
      </w:divBdr>
    </w:div>
    <w:div w:id="1146699969">
      <w:bodyDiv w:val="1"/>
      <w:marLeft w:val="0"/>
      <w:marRight w:val="0"/>
      <w:marTop w:val="0"/>
      <w:marBottom w:val="0"/>
      <w:divBdr>
        <w:top w:val="none" w:sz="0" w:space="0" w:color="auto"/>
        <w:left w:val="none" w:sz="0" w:space="0" w:color="auto"/>
        <w:bottom w:val="none" w:sz="0" w:space="0" w:color="auto"/>
        <w:right w:val="none" w:sz="0" w:space="0" w:color="auto"/>
      </w:divBdr>
    </w:div>
    <w:div w:id="1146700895">
      <w:bodyDiv w:val="1"/>
      <w:marLeft w:val="0"/>
      <w:marRight w:val="0"/>
      <w:marTop w:val="0"/>
      <w:marBottom w:val="0"/>
      <w:divBdr>
        <w:top w:val="none" w:sz="0" w:space="0" w:color="auto"/>
        <w:left w:val="none" w:sz="0" w:space="0" w:color="auto"/>
        <w:bottom w:val="none" w:sz="0" w:space="0" w:color="auto"/>
        <w:right w:val="none" w:sz="0" w:space="0" w:color="auto"/>
      </w:divBdr>
    </w:div>
    <w:div w:id="1146705807">
      <w:bodyDiv w:val="1"/>
      <w:marLeft w:val="0"/>
      <w:marRight w:val="0"/>
      <w:marTop w:val="0"/>
      <w:marBottom w:val="0"/>
      <w:divBdr>
        <w:top w:val="none" w:sz="0" w:space="0" w:color="auto"/>
        <w:left w:val="none" w:sz="0" w:space="0" w:color="auto"/>
        <w:bottom w:val="none" w:sz="0" w:space="0" w:color="auto"/>
        <w:right w:val="none" w:sz="0" w:space="0" w:color="auto"/>
      </w:divBdr>
    </w:div>
    <w:div w:id="1146817371">
      <w:bodyDiv w:val="1"/>
      <w:marLeft w:val="0"/>
      <w:marRight w:val="0"/>
      <w:marTop w:val="0"/>
      <w:marBottom w:val="0"/>
      <w:divBdr>
        <w:top w:val="none" w:sz="0" w:space="0" w:color="auto"/>
        <w:left w:val="none" w:sz="0" w:space="0" w:color="auto"/>
        <w:bottom w:val="none" w:sz="0" w:space="0" w:color="auto"/>
        <w:right w:val="none" w:sz="0" w:space="0" w:color="auto"/>
      </w:divBdr>
    </w:div>
    <w:div w:id="1147164021">
      <w:bodyDiv w:val="1"/>
      <w:marLeft w:val="0"/>
      <w:marRight w:val="0"/>
      <w:marTop w:val="0"/>
      <w:marBottom w:val="0"/>
      <w:divBdr>
        <w:top w:val="none" w:sz="0" w:space="0" w:color="auto"/>
        <w:left w:val="none" w:sz="0" w:space="0" w:color="auto"/>
        <w:bottom w:val="none" w:sz="0" w:space="0" w:color="auto"/>
        <w:right w:val="none" w:sz="0" w:space="0" w:color="auto"/>
      </w:divBdr>
    </w:div>
    <w:div w:id="1147164979">
      <w:bodyDiv w:val="1"/>
      <w:marLeft w:val="0"/>
      <w:marRight w:val="0"/>
      <w:marTop w:val="0"/>
      <w:marBottom w:val="0"/>
      <w:divBdr>
        <w:top w:val="none" w:sz="0" w:space="0" w:color="auto"/>
        <w:left w:val="none" w:sz="0" w:space="0" w:color="auto"/>
        <w:bottom w:val="none" w:sz="0" w:space="0" w:color="auto"/>
        <w:right w:val="none" w:sz="0" w:space="0" w:color="auto"/>
      </w:divBdr>
    </w:div>
    <w:div w:id="1147429342">
      <w:bodyDiv w:val="1"/>
      <w:marLeft w:val="0"/>
      <w:marRight w:val="0"/>
      <w:marTop w:val="0"/>
      <w:marBottom w:val="0"/>
      <w:divBdr>
        <w:top w:val="none" w:sz="0" w:space="0" w:color="auto"/>
        <w:left w:val="none" w:sz="0" w:space="0" w:color="auto"/>
        <w:bottom w:val="none" w:sz="0" w:space="0" w:color="auto"/>
        <w:right w:val="none" w:sz="0" w:space="0" w:color="auto"/>
      </w:divBdr>
    </w:div>
    <w:div w:id="1147435581">
      <w:bodyDiv w:val="1"/>
      <w:marLeft w:val="0"/>
      <w:marRight w:val="0"/>
      <w:marTop w:val="0"/>
      <w:marBottom w:val="0"/>
      <w:divBdr>
        <w:top w:val="none" w:sz="0" w:space="0" w:color="auto"/>
        <w:left w:val="none" w:sz="0" w:space="0" w:color="auto"/>
        <w:bottom w:val="none" w:sz="0" w:space="0" w:color="auto"/>
        <w:right w:val="none" w:sz="0" w:space="0" w:color="auto"/>
      </w:divBdr>
    </w:div>
    <w:div w:id="1147551482">
      <w:bodyDiv w:val="1"/>
      <w:marLeft w:val="0"/>
      <w:marRight w:val="0"/>
      <w:marTop w:val="0"/>
      <w:marBottom w:val="0"/>
      <w:divBdr>
        <w:top w:val="none" w:sz="0" w:space="0" w:color="auto"/>
        <w:left w:val="none" w:sz="0" w:space="0" w:color="auto"/>
        <w:bottom w:val="none" w:sz="0" w:space="0" w:color="auto"/>
        <w:right w:val="none" w:sz="0" w:space="0" w:color="auto"/>
      </w:divBdr>
    </w:div>
    <w:div w:id="1147740624">
      <w:bodyDiv w:val="1"/>
      <w:marLeft w:val="0"/>
      <w:marRight w:val="0"/>
      <w:marTop w:val="0"/>
      <w:marBottom w:val="0"/>
      <w:divBdr>
        <w:top w:val="none" w:sz="0" w:space="0" w:color="auto"/>
        <w:left w:val="none" w:sz="0" w:space="0" w:color="auto"/>
        <w:bottom w:val="none" w:sz="0" w:space="0" w:color="auto"/>
        <w:right w:val="none" w:sz="0" w:space="0" w:color="auto"/>
      </w:divBdr>
    </w:div>
    <w:div w:id="1147742839">
      <w:bodyDiv w:val="1"/>
      <w:marLeft w:val="0"/>
      <w:marRight w:val="0"/>
      <w:marTop w:val="0"/>
      <w:marBottom w:val="0"/>
      <w:divBdr>
        <w:top w:val="none" w:sz="0" w:space="0" w:color="auto"/>
        <w:left w:val="none" w:sz="0" w:space="0" w:color="auto"/>
        <w:bottom w:val="none" w:sz="0" w:space="0" w:color="auto"/>
        <w:right w:val="none" w:sz="0" w:space="0" w:color="auto"/>
      </w:divBdr>
    </w:div>
    <w:div w:id="1147745468">
      <w:bodyDiv w:val="1"/>
      <w:marLeft w:val="0"/>
      <w:marRight w:val="0"/>
      <w:marTop w:val="0"/>
      <w:marBottom w:val="0"/>
      <w:divBdr>
        <w:top w:val="none" w:sz="0" w:space="0" w:color="auto"/>
        <w:left w:val="none" w:sz="0" w:space="0" w:color="auto"/>
        <w:bottom w:val="none" w:sz="0" w:space="0" w:color="auto"/>
        <w:right w:val="none" w:sz="0" w:space="0" w:color="auto"/>
      </w:divBdr>
    </w:div>
    <w:div w:id="1148324319">
      <w:bodyDiv w:val="1"/>
      <w:marLeft w:val="0"/>
      <w:marRight w:val="0"/>
      <w:marTop w:val="0"/>
      <w:marBottom w:val="0"/>
      <w:divBdr>
        <w:top w:val="none" w:sz="0" w:space="0" w:color="auto"/>
        <w:left w:val="none" w:sz="0" w:space="0" w:color="auto"/>
        <w:bottom w:val="none" w:sz="0" w:space="0" w:color="auto"/>
        <w:right w:val="none" w:sz="0" w:space="0" w:color="auto"/>
      </w:divBdr>
    </w:div>
    <w:div w:id="1148353584">
      <w:bodyDiv w:val="1"/>
      <w:marLeft w:val="0"/>
      <w:marRight w:val="0"/>
      <w:marTop w:val="0"/>
      <w:marBottom w:val="0"/>
      <w:divBdr>
        <w:top w:val="none" w:sz="0" w:space="0" w:color="auto"/>
        <w:left w:val="none" w:sz="0" w:space="0" w:color="auto"/>
        <w:bottom w:val="none" w:sz="0" w:space="0" w:color="auto"/>
        <w:right w:val="none" w:sz="0" w:space="0" w:color="auto"/>
      </w:divBdr>
    </w:div>
    <w:div w:id="1148354517">
      <w:bodyDiv w:val="1"/>
      <w:marLeft w:val="0"/>
      <w:marRight w:val="0"/>
      <w:marTop w:val="0"/>
      <w:marBottom w:val="0"/>
      <w:divBdr>
        <w:top w:val="none" w:sz="0" w:space="0" w:color="auto"/>
        <w:left w:val="none" w:sz="0" w:space="0" w:color="auto"/>
        <w:bottom w:val="none" w:sz="0" w:space="0" w:color="auto"/>
        <w:right w:val="none" w:sz="0" w:space="0" w:color="auto"/>
      </w:divBdr>
    </w:div>
    <w:div w:id="1148404098">
      <w:bodyDiv w:val="1"/>
      <w:marLeft w:val="0"/>
      <w:marRight w:val="0"/>
      <w:marTop w:val="0"/>
      <w:marBottom w:val="0"/>
      <w:divBdr>
        <w:top w:val="none" w:sz="0" w:space="0" w:color="auto"/>
        <w:left w:val="none" w:sz="0" w:space="0" w:color="auto"/>
        <w:bottom w:val="none" w:sz="0" w:space="0" w:color="auto"/>
        <w:right w:val="none" w:sz="0" w:space="0" w:color="auto"/>
      </w:divBdr>
    </w:div>
    <w:div w:id="1148742406">
      <w:bodyDiv w:val="1"/>
      <w:marLeft w:val="0"/>
      <w:marRight w:val="0"/>
      <w:marTop w:val="0"/>
      <w:marBottom w:val="0"/>
      <w:divBdr>
        <w:top w:val="none" w:sz="0" w:space="0" w:color="auto"/>
        <w:left w:val="none" w:sz="0" w:space="0" w:color="auto"/>
        <w:bottom w:val="none" w:sz="0" w:space="0" w:color="auto"/>
        <w:right w:val="none" w:sz="0" w:space="0" w:color="auto"/>
      </w:divBdr>
    </w:div>
    <w:div w:id="1149251081">
      <w:bodyDiv w:val="1"/>
      <w:marLeft w:val="0"/>
      <w:marRight w:val="0"/>
      <w:marTop w:val="0"/>
      <w:marBottom w:val="0"/>
      <w:divBdr>
        <w:top w:val="none" w:sz="0" w:space="0" w:color="auto"/>
        <w:left w:val="none" w:sz="0" w:space="0" w:color="auto"/>
        <w:bottom w:val="none" w:sz="0" w:space="0" w:color="auto"/>
        <w:right w:val="none" w:sz="0" w:space="0" w:color="auto"/>
      </w:divBdr>
    </w:div>
    <w:div w:id="1149325345">
      <w:bodyDiv w:val="1"/>
      <w:marLeft w:val="0"/>
      <w:marRight w:val="0"/>
      <w:marTop w:val="0"/>
      <w:marBottom w:val="0"/>
      <w:divBdr>
        <w:top w:val="none" w:sz="0" w:space="0" w:color="auto"/>
        <w:left w:val="none" w:sz="0" w:space="0" w:color="auto"/>
        <w:bottom w:val="none" w:sz="0" w:space="0" w:color="auto"/>
        <w:right w:val="none" w:sz="0" w:space="0" w:color="auto"/>
      </w:divBdr>
    </w:div>
    <w:div w:id="1149327276">
      <w:bodyDiv w:val="1"/>
      <w:marLeft w:val="0"/>
      <w:marRight w:val="0"/>
      <w:marTop w:val="0"/>
      <w:marBottom w:val="0"/>
      <w:divBdr>
        <w:top w:val="none" w:sz="0" w:space="0" w:color="auto"/>
        <w:left w:val="none" w:sz="0" w:space="0" w:color="auto"/>
        <w:bottom w:val="none" w:sz="0" w:space="0" w:color="auto"/>
        <w:right w:val="none" w:sz="0" w:space="0" w:color="auto"/>
      </w:divBdr>
    </w:div>
    <w:div w:id="1149592345">
      <w:bodyDiv w:val="1"/>
      <w:marLeft w:val="0"/>
      <w:marRight w:val="0"/>
      <w:marTop w:val="0"/>
      <w:marBottom w:val="0"/>
      <w:divBdr>
        <w:top w:val="none" w:sz="0" w:space="0" w:color="auto"/>
        <w:left w:val="none" w:sz="0" w:space="0" w:color="auto"/>
        <w:bottom w:val="none" w:sz="0" w:space="0" w:color="auto"/>
        <w:right w:val="none" w:sz="0" w:space="0" w:color="auto"/>
      </w:divBdr>
    </w:div>
    <w:div w:id="1149593161">
      <w:bodyDiv w:val="1"/>
      <w:marLeft w:val="0"/>
      <w:marRight w:val="0"/>
      <w:marTop w:val="0"/>
      <w:marBottom w:val="0"/>
      <w:divBdr>
        <w:top w:val="none" w:sz="0" w:space="0" w:color="auto"/>
        <w:left w:val="none" w:sz="0" w:space="0" w:color="auto"/>
        <w:bottom w:val="none" w:sz="0" w:space="0" w:color="auto"/>
        <w:right w:val="none" w:sz="0" w:space="0" w:color="auto"/>
      </w:divBdr>
    </w:div>
    <w:div w:id="1149830423">
      <w:bodyDiv w:val="1"/>
      <w:marLeft w:val="0"/>
      <w:marRight w:val="0"/>
      <w:marTop w:val="0"/>
      <w:marBottom w:val="0"/>
      <w:divBdr>
        <w:top w:val="none" w:sz="0" w:space="0" w:color="auto"/>
        <w:left w:val="none" w:sz="0" w:space="0" w:color="auto"/>
        <w:bottom w:val="none" w:sz="0" w:space="0" w:color="auto"/>
        <w:right w:val="none" w:sz="0" w:space="0" w:color="auto"/>
      </w:divBdr>
    </w:div>
    <w:div w:id="1149906802">
      <w:bodyDiv w:val="1"/>
      <w:marLeft w:val="0"/>
      <w:marRight w:val="0"/>
      <w:marTop w:val="0"/>
      <w:marBottom w:val="0"/>
      <w:divBdr>
        <w:top w:val="none" w:sz="0" w:space="0" w:color="auto"/>
        <w:left w:val="none" w:sz="0" w:space="0" w:color="auto"/>
        <w:bottom w:val="none" w:sz="0" w:space="0" w:color="auto"/>
        <w:right w:val="none" w:sz="0" w:space="0" w:color="auto"/>
      </w:divBdr>
    </w:div>
    <w:div w:id="1149906822">
      <w:bodyDiv w:val="1"/>
      <w:marLeft w:val="0"/>
      <w:marRight w:val="0"/>
      <w:marTop w:val="0"/>
      <w:marBottom w:val="0"/>
      <w:divBdr>
        <w:top w:val="none" w:sz="0" w:space="0" w:color="auto"/>
        <w:left w:val="none" w:sz="0" w:space="0" w:color="auto"/>
        <w:bottom w:val="none" w:sz="0" w:space="0" w:color="auto"/>
        <w:right w:val="none" w:sz="0" w:space="0" w:color="auto"/>
      </w:divBdr>
    </w:div>
    <w:div w:id="1150051569">
      <w:bodyDiv w:val="1"/>
      <w:marLeft w:val="0"/>
      <w:marRight w:val="0"/>
      <w:marTop w:val="0"/>
      <w:marBottom w:val="0"/>
      <w:divBdr>
        <w:top w:val="none" w:sz="0" w:space="0" w:color="auto"/>
        <w:left w:val="none" w:sz="0" w:space="0" w:color="auto"/>
        <w:bottom w:val="none" w:sz="0" w:space="0" w:color="auto"/>
        <w:right w:val="none" w:sz="0" w:space="0" w:color="auto"/>
      </w:divBdr>
    </w:div>
    <w:div w:id="1150056813">
      <w:bodyDiv w:val="1"/>
      <w:marLeft w:val="0"/>
      <w:marRight w:val="0"/>
      <w:marTop w:val="0"/>
      <w:marBottom w:val="0"/>
      <w:divBdr>
        <w:top w:val="none" w:sz="0" w:space="0" w:color="auto"/>
        <w:left w:val="none" w:sz="0" w:space="0" w:color="auto"/>
        <w:bottom w:val="none" w:sz="0" w:space="0" w:color="auto"/>
        <w:right w:val="none" w:sz="0" w:space="0" w:color="auto"/>
      </w:divBdr>
    </w:div>
    <w:div w:id="1150099852">
      <w:bodyDiv w:val="1"/>
      <w:marLeft w:val="0"/>
      <w:marRight w:val="0"/>
      <w:marTop w:val="0"/>
      <w:marBottom w:val="0"/>
      <w:divBdr>
        <w:top w:val="none" w:sz="0" w:space="0" w:color="auto"/>
        <w:left w:val="none" w:sz="0" w:space="0" w:color="auto"/>
        <w:bottom w:val="none" w:sz="0" w:space="0" w:color="auto"/>
        <w:right w:val="none" w:sz="0" w:space="0" w:color="auto"/>
      </w:divBdr>
    </w:div>
    <w:div w:id="1150288755">
      <w:bodyDiv w:val="1"/>
      <w:marLeft w:val="0"/>
      <w:marRight w:val="0"/>
      <w:marTop w:val="0"/>
      <w:marBottom w:val="0"/>
      <w:divBdr>
        <w:top w:val="none" w:sz="0" w:space="0" w:color="auto"/>
        <w:left w:val="none" w:sz="0" w:space="0" w:color="auto"/>
        <w:bottom w:val="none" w:sz="0" w:space="0" w:color="auto"/>
        <w:right w:val="none" w:sz="0" w:space="0" w:color="auto"/>
      </w:divBdr>
    </w:div>
    <w:div w:id="1150292222">
      <w:bodyDiv w:val="1"/>
      <w:marLeft w:val="0"/>
      <w:marRight w:val="0"/>
      <w:marTop w:val="0"/>
      <w:marBottom w:val="0"/>
      <w:divBdr>
        <w:top w:val="none" w:sz="0" w:space="0" w:color="auto"/>
        <w:left w:val="none" w:sz="0" w:space="0" w:color="auto"/>
        <w:bottom w:val="none" w:sz="0" w:space="0" w:color="auto"/>
        <w:right w:val="none" w:sz="0" w:space="0" w:color="auto"/>
      </w:divBdr>
    </w:div>
    <w:div w:id="1150366617">
      <w:bodyDiv w:val="1"/>
      <w:marLeft w:val="0"/>
      <w:marRight w:val="0"/>
      <w:marTop w:val="0"/>
      <w:marBottom w:val="0"/>
      <w:divBdr>
        <w:top w:val="none" w:sz="0" w:space="0" w:color="auto"/>
        <w:left w:val="none" w:sz="0" w:space="0" w:color="auto"/>
        <w:bottom w:val="none" w:sz="0" w:space="0" w:color="auto"/>
        <w:right w:val="none" w:sz="0" w:space="0" w:color="auto"/>
      </w:divBdr>
    </w:div>
    <w:div w:id="1150437031">
      <w:bodyDiv w:val="1"/>
      <w:marLeft w:val="0"/>
      <w:marRight w:val="0"/>
      <w:marTop w:val="0"/>
      <w:marBottom w:val="0"/>
      <w:divBdr>
        <w:top w:val="none" w:sz="0" w:space="0" w:color="auto"/>
        <w:left w:val="none" w:sz="0" w:space="0" w:color="auto"/>
        <w:bottom w:val="none" w:sz="0" w:space="0" w:color="auto"/>
        <w:right w:val="none" w:sz="0" w:space="0" w:color="auto"/>
      </w:divBdr>
    </w:div>
    <w:div w:id="1150515108">
      <w:bodyDiv w:val="1"/>
      <w:marLeft w:val="0"/>
      <w:marRight w:val="0"/>
      <w:marTop w:val="0"/>
      <w:marBottom w:val="0"/>
      <w:divBdr>
        <w:top w:val="none" w:sz="0" w:space="0" w:color="auto"/>
        <w:left w:val="none" w:sz="0" w:space="0" w:color="auto"/>
        <w:bottom w:val="none" w:sz="0" w:space="0" w:color="auto"/>
        <w:right w:val="none" w:sz="0" w:space="0" w:color="auto"/>
      </w:divBdr>
    </w:div>
    <w:div w:id="1150558263">
      <w:bodyDiv w:val="1"/>
      <w:marLeft w:val="0"/>
      <w:marRight w:val="0"/>
      <w:marTop w:val="0"/>
      <w:marBottom w:val="0"/>
      <w:divBdr>
        <w:top w:val="none" w:sz="0" w:space="0" w:color="auto"/>
        <w:left w:val="none" w:sz="0" w:space="0" w:color="auto"/>
        <w:bottom w:val="none" w:sz="0" w:space="0" w:color="auto"/>
        <w:right w:val="none" w:sz="0" w:space="0" w:color="auto"/>
      </w:divBdr>
    </w:div>
    <w:div w:id="1150706049">
      <w:bodyDiv w:val="1"/>
      <w:marLeft w:val="0"/>
      <w:marRight w:val="0"/>
      <w:marTop w:val="0"/>
      <w:marBottom w:val="0"/>
      <w:divBdr>
        <w:top w:val="none" w:sz="0" w:space="0" w:color="auto"/>
        <w:left w:val="none" w:sz="0" w:space="0" w:color="auto"/>
        <w:bottom w:val="none" w:sz="0" w:space="0" w:color="auto"/>
        <w:right w:val="none" w:sz="0" w:space="0" w:color="auto"/>
      </w:divBdr>
    </w:div>
    <w:div w:id="1150706055">
      <w:bodyDiv w:val="1"/>
      <w:marLeft w:val="0"/>
      <w:marRight w:val="0"/>
      <w:marTop w:val="0"/>
      <w:marBottom w:val="0"/>
      <w:divBdr>
        <w:top w:val="none" w:sz="0" w:space="0" w:color="auto"/>
        <w:left w:val="none" w:sz="0" w:space="0" w:color="auto"/>
        <w:bottom w:val="none" w:sz="0" w:space="0" w:color="auto"/>
        <w:right w:val="none" w:sz="0" w:space="0" w:color="auto"/>
      </w:divBdr>
    </w:div>
    <w:div w:id="1150826586">
      <w:bodyDiv w:val="1"/>
      <w:marLeft w:val="0"/>
      <w:marRight w:val="0"/>
      <w:marTop w:val="0"/>
      <w:marBottom w:val="0"/>
      <w:divBdr>
        <w:top w:val="none" w:sz="0" w:space="0" w:color="auto"/>
        <w:left w:val="none" w:sz="0" w:space="0" w:color="auto"/>
        <w:bottom w:val="none" w:sz="0" w:space="0" w:color="auto"/>
        <w:right w:val="none" w:sz="0" w:space="0" w:color="auto"/>
      </w:divBdr>
    </w:div>
    <w:div w:id="1150947317">
      <w:bodyDiv w:val="1"/>
      <w:marLeft w:val="0"/>
      <w:marRight w:val="0"/>
      <w:marTop w:val="0"/>
      <w:marBottom w:val="0"/>
      <w:divBdr>
        <w:top w:val="none" w:sz="0" w:space="0" w:color="auto"/>
        <w:left w:val="none" w:sz="0" w:space="0" w:color="auto"/>
        <w:bottom w:val="none" w:sz="0" w:space="0" w:color="auto"/>
        <w:right w:val="none" w:sz="0" w:space="0" w:color="auto"/>
      </w:divBdr>
    </w:div>
    <w:div w:id="1150948851">
      <w:bodyDiv w:val="1"/>
      <w:marLeft w:val="0"/>
      <w:marRight w:val="0"/>
      <w:marTop w:val="0"/>
      <w:marBottom w:val="0"/>
      <w:divBdr>
        <w:top w:val="none" w:sz="0" w:space="0" w:color="auto"/>
        <w:left w:val="none" w:sz="0" w:space="0" w:color="auto"/>
        <w:bottom w:val="none" w:sz="0" w:space="0" w:color="auto"/>
        <w:right w:val="none" w:sz="0" w:space="0" w:color="auto"/>
      </w:divBdr>
    </w:div>
    <w:div w:id="1151479543">
      <w:bodyDiv w:val="1"/>
      <w:marLeft w:val="0"/>
      <w:marRight w:val="0"/>
      <w:marTop w:val="0"/>
      <w:marBottom w:val="0"/>
      <w:divBdr>
        <w:top w:val="none" w:sz="0" w:space="0" w:color="auto"/>
        <w:left w:val="none" w:sz="0" w:space="0" w:color="auto"/>
        <w:bottom w:val="none" w:sz="0" w:space="0" w:color="auto"/>
        <w:right w:val="none" w:sz="0" w:space="0" w:color="auto"/>
      </w:divBdr>
    </w:div>
    <w:div w:id="1151484509">
      <w:bodyDiv w:val="1"/>
      <w:marLeft w:val="0"/>
      <w:marRight w:val="0"/>
      <w:marTop w:val="0"/>
      <w:marBottom w:val="0"/>
      <w:divBdr>
        <w:top w:val="none" w:sz="0" w:space="0" w:color="auto"/>
        <w:left w:val="none" w:sz="0" w:space="0" w:color="auto"/>
        <w:bottom w:val="none" w:sz="0" w:space="0" w:color="auto"/>
        <w:right w:val="none" w:sz="0" w:space="0" w:color="auto"/>
      </w:divBdr>
    </w:div>
    <w:div w:id="1151604899">
      <w:bodyDiv w:val="1"/>
      <w:marLeft w:val="0"/>
      <w:marRight w:val="0"/>
      <w:marTop w:val="0"/>
      <w:marBottom w:val="0"/>
      <w:divBdr>
        <w:top w:val="none" w:sz="0" w:space="0" w:color="auto"/>
        <w:left w:val="none" w:sz="0" w:space="0" w:color="auto"/>
        <w:bottom w:val="none" w:sz="0" w:space="0" w:color="auto"/>
        <w:right w:val="none" w:sz="0" w:space="0" w:color="auto"/>
      </w:divBdr>
    </w:div>
    <w:div w:id="1151754985">
      <w:bodyDiv w:val="1"/>
      <w:marLeft w:val="0"/>
      <w:marRight w:val="0"/>
      <w:marTop w:val="0"/>
      <w:marBottom w:val="0"/>
      <w:divBdr>
        <w:top w:val="none" w:sz="0" w:space="0" w:color="auto"/>
        <w:left w:val="none" w:sz="0" w:space="0" w:color="auto"/>
        <w:bottom w:val="none" w:sz="0" w:space="0" w:color="auto"/>
        <w:right w:val="none" w:sz="0" w:space="0" w:color="auto"/>
      </w:divBdr>
    </w:div>
    <w:div w:id="1151824976">
      <w:bodyDiv w:val="1"/>
      <w:marLeft w:val="0"/>
      <w:marRight w:val="0"/>
      <w:marTop w:val="0"/>
      <w:marBottom w:val="0"/>
      <w:divBdr>
        <w:top w:val="none" w:sz="0" w:space="0" w:color="auto"/>
        <w:left w:val="none" w:sz="0" w:space="0" w:color="auto"/>
        <w:bottom w:val="none" w:sz="0" w:space="0" w:color="auto"/>
        <w:right w:val="none" w:sz="0" w:space="0" w:color="auto"/>
      </w:divBdr>
    </w:div>
    <w:div w:id="1151866414">
      <w:bodyDiv w:val="1"/>
      <w:marLeft w:val="0"/>
      <w:marRight w:val="0"/>
      <w:marTop w:val="0"/>
      <w:marBottom w:val="0"/>
      <w:divBdr>
        <w:top w:val="none" w:sz="0" w:space="0" w:color="auto"/>
        <w:left w:val="none" w:sz="0" w:space="0" w:color="auto"/>
        <w:bottom w:val="none" w:sz="0" w:space="0" w:color="auto"/>
        <w:right w:val="none" w:sz="0" w:space="0" w:color="auto"/>
      </w:divBdr>
    </w:div>
    <w:div w:id="1151948030">
      <w:bodyDiv w:val="1"/>
      <w:marLeft w:val="0"/>
      <w:marRight w:val="0"/>
      <w:marTop w:val="0"/>
      <w:marBottom w:val="0"/>
      <w:divBdr>
        <w:top w:val="none" w:sz="0" w:space="0" w:color="auto"/>
        <w:left w:val="none" w:sz="0" w:space="0" w:color="auto"/>
        <w:bottom w:val="none" w:sz="0" w:space="0" w:color="auto"/>
        <w:right w:val="none" w:sz="0" w:space="0" w:color="auto"/>
      </w:divBdr>
    </w:div>
    <w:div w:id="1152064866">
      <w:bodyDiv w:val="1"/>
      <w:marLeft w:val="0"/>
      <w:marRight w:val="0"/>
      <w:marTop w:val="0"/>
      <w:marBottom w:val="0"/>
      <w:divBdr>
        <w:top w:val="none" w:sz="0" w:space="0" w:color="auto"/>
        <w:left w:val="none" w:sz="0" w:space="0" w:color="auto"/>
        <w:bottom w:val="none" w:sz="0" w:space="0" w:color="auto"/>
        <w:right w:val="none" w:sz="0" w:space="0" w:color="auto"/>
      </w:divBdr>
    </w:div>
    <w:div w:id="1152405462">
      <w:bodyDiv w:val="1"/>
      <w:marLeft w:val="0"/>
      <w:marRight w:val="0"/>
      <w:marTop w:val="0"/>
      <w:marBottom w:val="0"/>
      <w:divBdr>
        <w:top w:val="none" w:sz="0" w:space="0" w:color="auto"/>
        <w:left w:val="none" w:sz="0" w:space="0" w:color="auto"/>
        <w:bottom w:val="none" w:sz="0" w:space="0" w:color="auto"/>
        <w:right w:val="none" w:sz="0" w:space="0" w:color="auto"/>
      </w:divBdr>
    </w:div>
    <w:div w:id="1152409152">
      <w:bodyDiv w:val="1"/>
      <w:marLeft w:val="0"/>
      <w:marRight w:val="0"/>
      <w:marTop w:val="0"/>
      <w:marBottom w:val="0"/>
      <w:divBdr>
        <w:top w:val="none" w:sz="0" w:space="0" w:color="auto"/>
        <w:left w:val="none" w:sz="0" w:space="0" w:color="auto"/>
        <w:bottom w:val="none" w:sz="0" w:space="0" w:color="auto"/>
        <w:right w:val="none" w:sz="0" w:space="0" w:color="auto"/>
      </w:divBdr>
    </w:div>
    <w:div w:id="1152523901">
      <w:bodyDiv w:val="1"/>
      <w:marLeft w:val="0"/>
      <w:marRight w:val="0"/>
      <w:marTop w:val="0"/>
      <w:marBottom w:val="0"/>
      <w:divBdr>
        <w:top w:val="none" w:sz="0" w:space="0" w:color="auto"/>
        <w:left w:val="none" w:sz="0" w:space="0" w:color="auto"/>
        <w:bottom w:val="none" w:sz="0" w:space="0" w:color="auto"/>
        <w:right w:val="none" w:sz="0" w:space="0" w:color="auto"/>
      </w:divBdr>
    </w:div>
    <w:div w:id="1152674066">
      <w:bodyDiv w:val="1"/>
      <w:marLeft w:val="0"/>
      <w:marRight w:val="0"/>
      <w:marTop w:val="0"/>
      <w:marBottom w:val="0"/>
      <w:divBdr>
        <w:top w:val="none" w:sz="0" w:space="0" w:color="auto"/>
        <w:left w:val="none" w:sz="0" w:space="0" w:color="auto"/>
        <w:bottom w:val="none" w:sz="0" w:space="0" w:color="auto"/>
        <w:right w:val="none" w:sz="0" w:space="0" w:color="auto"/>
      </w:divBdr>
    </w:div>
    <w:div w:id="1152718963">
      <w:bodyDiv w:val="1"/>
      <w:marLeft w:val="0"/>
      <w:marRight w:val="0"/>
      <w:marTop w:val="0"/>
      <w:marBottom w:val="0"/>
      <w:divBdr>
        <w:top w:val="none" w:sz="0" w:space="0" w:color="auto"/>
        <w:left w:val="none" w:sz="0" w:space="0" w:color="auto"/>
        <w:bottom w:val="none" w:sz="0" w:space="0" w:color="auto"/>
        <w:right w:val="none" w:sz="0" w:space="0" w:color="auto"/>
      </w:divBdr>
    </w:div>
    <w:div w:id="1153134291">
      <w:bodyDiv w:val="1"/>
      <w:marLeft w:val="0"/>
      <w:marRight w:val="0"/>
      <w:marTop w:val="0"/>
      <w:marBottom w:val="0"/>
      <w:divBdr>
        <w:top w:val="none" w:sz="0" w:space="0" w:color="auto"/>
        <w:left w:val="none" w:sz="0" w:space="0" w:color="auto"/>
        <w:bottom w:val="none" w:sz="0" w:space="0" w:color="auto"/>
        <w:right w:val="none" w:sz="0" w:space="0" w:color="auto"/>
      </w:divBdr>
    </w:div>
    <w:div w:id="1153175933">
      <w:bodyDiv w:val="1"/>
      <w:marLeft w:val="0"/>
      <w:marRight w:val="0"/>
      <w:marTop w:val="0"/>
      <w:marBottom w:val="0"/>
      <w:divBdr>
        <w:top w:val="none" w:sz="0" w:space="0" w:color="auto"/>
        <w:left w:val="none" w:sz="0" w:space="0" w:color="auto"/>
        <w:bottom w:val="none" w:sz="0" w:space="0" w:color="auto"/>
        <w:right w:val="none" w:sz="0" w:space="0" w:color="auto"/>
      </w:divBdr>
    </w:div>
    <w:div w:id="1153258624">
      <w:bodyDiv w:val="1"/>
      <w:marLeft w:val="0"/>
      <w:marRight w:val="0"/>
      <w:marTop w:val="0"/>
      <w:marBottom w:val="0"/>
      <w:divBdr>
        <w:top w:val="none" w:sz="0" w:space="0" w:color="auto"/>
        <w:left w:val="none" w:sz="0" w:space="0" w:color="auto"/>
        <w:bottom w:val="none" w:sz="0" w:space="0" w:color="auto"/>
        <w:right w:val="none" w:sz="0" w:space="0" w:color="auto"/>
      </w:divBdr>
    </w:div>
    <w:div w:id="1153327907">
      <w:bodyDiv w:val="1"/>
      <w:marLeft w:val="0"/>
      <w:marRight w:val="0"/>
      <w:marTop w:val="0"/>
      <w:marBottom w:val="0"/>
      <w:divBdr>
        <w:top w:val="none" w:sz="0" w:space="0" w:color="auto"/>
        <w:left w:val="none" w:sz="0" w:space="0" w:color="auto"/>
        <w:bottom w:val="none" w:sz="0" w:space="0" w:color="auto"/>
        <w:right w:val="none" w:sz="0" w:space="0" w:color="auto"/>
      </w:divBdr>
    </w:div>
    <w:div w:id="1153377281">
      <w:bodyDiv w:val="1"/>
      <w:marLeft w:val="0"/>
      <w:marRight w:val="0"/>
      <w:marTop w:val="0"/>
      <w:marBottom w:val="0"/>
      <w:divBdr>
        <w:top w:val="none" w:sz="0" w:space="0" w:color="auto"/>
        <w:left w:val="none" w:sz="0" w:space="0" w:color="auto"/>
        <w:bottom w:val="none" w:sz="0" w:space="0" w:color="auto"/>
        <w:right w:val="none" w:sz="0" w:space="0" w:color="auto"/>
      </w:divBdr>
    </w:div>
    <w:div w:id="1153647093">
      <w:bodyDiv w:val="1"/>
      <w:marLeft w:val="0"/>
      <w:marRight w:val="0"/>
      <w:marTop w:val="0"/>
      <w:marBottom w:val="0"/>
      <w:divBdr>
        <w:top w:val="none" w:sz="0" w:space="0" w:color="auto"/>
        <w:left w:val="none" w:sz="0" w:space="0" w:color="auto"/>
        <w:bottom w:val="none" w:sz="0" w:space="0" w:color="auto"/>
        <w:right w:val="none" w:sz="0" w:space="0" w:color="auto"/>
      </w:divBdr>
    </w:div>
    <w:div w:id="1153721280">
      <w:bodyDiv w:val="1"/>
      <w:marLeft w:val="0"/>
      <w:marRight w:val="0"/>
      <w:marTop w:val="0"/>
      <w:marBottom w:val="0"/>
      <w:divBdr>
        <w:top w:val="none" w:sz="0" w:space="0" w:color="auto"/>
        <w:left w:val="none" w:sz="0" w:space="0" w:color="auto"/>
        <w:bottom w:val="none" w:sz="0" w:space="0" w:color="auto"/>
        <w:right w:val="none" w:sz="0" w:space="0" w:color="auto"/>
      </w:divBdr>
    </w:div>
    <w:div w:id="1153761713">
      <w:bodyDiv w:val="1"/>
      <w:marLeft w:val="0"/>
      <w:marRight w:val="0"/>
      <w:marTop w:val="0"/>
      <w:marBottom w:val="0"/>
      <w:divBdr>
        <w:top w:val="none" w:sz="0" w:space="0" w:color="auto"/>
        <w:left w:val="none" w:sz="0" w:space="0" w:color="auto"/>
        <w:bottom w:val="none" w:sz="0" w:space="0" w:color="auto"/>
        <w:right w:val="none" w:sz="0" w:space="0" w:color="auto"/>
      </w:divBdr>
    </w:div>
    <w:div w:id="1153764255">
      <w:bodyDiv w:val="1"/>
      <w:marLeft w:val="0"/>
      <w:marRight w:val="0"/>
      <w:marTop w:val="0"/>
      <w:marBottom w:val="0"/>
      <w:divBdr>
        <w:top w:val="none" w:sz="0" w:space="0" w:color="auto"/>
        <w:left w:val="none" w:sz="0" w:space="0" w:color="auto"/>
        <w:bottom w:val="none" w:sz="0" w:space="0" w:color="auto"/>
        <w:right w:val="none" w:sz="0" w:space="0" w:color="auto"/>
      </w:divBdr>
    </w:div>
    <w:div w:id="1153988967">
      <w:bodyDiv w:val="1"/>
      <w:marLeft w:val="0"/>
      <w:marRight w:val="0"/>
      <w:marTop w:val="0"/>
      <w:marBottom w:val="0"/>
      <w:divBdr>
        <w:top w:val="none" w:sz="0" w:space="0" w:color="auto"/>
        <w:left w:val="none" w:sz="0" w:space="0" w:color="auto"/>
        <w:bottom w:val="none" w:sz="0" w:space="0" w:color="auto"/>
        <w:right w:val="none" w:sz="0" w:space="0" w:color="auto"/>
      </w:divBdr>
    </w:div>
    <w:div w:id="1154029867">
      <w:bodyDiv w:val="1"/>
      <w:marLeft w:val="0"/>
      <w:marRight w:val="0"/>
      <w:marTop w:val="0"/>
      <w:marBottom w:val="0"/>
      <w:divBdr>
        <w:top w:val="none" w:sz="0" w:space="0" w:color="auto"/>
        <w:left w:val="none" w:sz="0" w:space="0" w:color="auto"/>
        <w:bottom w:val="none" w:sz="0" w:space="0" w:color="auto"/>
        <w:right w:val="none" w:sz="0" w:space="0" w:color="auto"/>
      </w:divBdr>
    </w:div>
    <w:div w:id="1154175858">
      <w:bodyDiv w:val="1"/>
      <w:marLeft w:val="0"/>
      <w:marRight w:val="0"/>
      <w:marTop w:val="0"/>
      <w:marBottom w:val="0"/>
      <w:divBdr>
        <w:top w:val="none" w:sz="0" w:space="0" w:color="auto"/>
        <w:left w:val="none" w:sz="0" w:space="0" w:color="auto"/>
        <w:bottom w:val="none" w:sz="0" w:space="0" w:color="auto"/>
        <w:right w:val="none" w:sz="0" w:space="0" w:color="auto"/>
      </w:divBdr>
    </w:div>
    <w:div w:id="1154226947">
      <w:bodyDiv w:val="1"/>
      <w:marLeft w:val="0"/>
      <w:marRight w:val="0"/>
      <w:marTop w:val="0"/>
      <w:marBottom w:val="0"/>
      <w:divBdr>
        <w:top w:val="none" w:sz="0" w:space="0" w:color="auto"/>
        <w:left w:val="none" w:sz="0" w:space="0" w:color="auto"/>
        <w:bottom w:val="none" w:sz="0" w:space="0" w:color="auto"/>
        <w:right w:val="none" w:sz="0" w:space="0" w:color="auto"/>
      </w:divBdr>
    </w:div>
    <w:div w:id="1154418219">
      <w:bodyDiv w:val="1"/>
      <w:marLeft w:val="0"/>
      <w:marRight w:val="0"/>
      <w:marTop w:val="0"/>
      <w:marBottom w:val="0"/>
      <w:divBdr>
        <w:top w:val="none" w:sz="0" w:space="0" w:color="auto"/>
        <w:left w:val="none" w:sz="0" w:space="0" w:color="auto"/>
        <w:bottom w:val="none" w:sz="0" w:space="0" w:color="auto"/>
        <w:right w:val="none" w:sz="0" w:space="0" w:color="auto"/>
      </w:divBdr>
    </w:div>
    <w:div w:id="1154759634">
      <w:bodyDiv w:val="1"/>
      <w:marLeft w:val="0"/>
      <w:marRight w:val="0"/>
      <w:marTop w:val="0"/>
      <w:marBottom w:val="0"/>
      <w:divBdr>
        <w:top w:val="none" w:sz="0" w:space="0" w:color="auto"/>
        <w:left w:val="none" w:sz="0" w:space="0" w:color="auto"/>
        <w:bottom w:val="none" w:sz="0" w:space="0" w:color="auto"/>
        <w:right w:val="none" w:sz="0" w:space="0" w:color="auto"/>
      </w:divBdr>
    </w:div>
    <w:div w:id="1154838898">
      <w:bodyDiv w:val="1"/>
      <w:marLeft w:val="0"/>
      <w:marRight w:val="0"/>
      <w:marTop w:val="0"/>
      <w:marBottom w:val="0"/>
      <w:divBdr>
        <w:top w:val="none" w:sz="0" w:space="0" w:color="auto"/>
        <w:left w:val="none" w:sz="0" w:space="0" w:color="auto"/>
        <w:bottom w:val="none" w:sz="0" w:space="0" w:color="auto"/>
        <w:right w:val="none" w:sz="0" w:space="0" w:color="auto"/>
      </w:divBdr>
    </w:div>
    <w:div w:id="1154879970">
      <w:bodyDiv w:val="1"/>
      <w:marLeft w:val="0"/>
      <w:marRight w:val="0"/>
      <w:marTop w:val="0"/>
      <w:marBottom w:val="0"/>
      <w:divBdr>
        <w:top w:val="none" w:sz="0" w:space="0" w:color="auto"/>
        <w:left w:val="none" w:sz="0" w:space="0" w:color="auto"/>
        <w:bottom w:val="none" w:sz="0" w:space="0" w:color="auto"/>
        <w:right w:val="none" w:sz="0" w:space="0" w:color="auto"/>
      </w:divBdr>
    </w:div>
    <w:div w:id="1154907022">
      <w:bodyDiv w:val="1"/>
      <w:marLeft w:val="0"/>
      <w:marRight w:val="0"/>
      <w:marTop w:val="0"/>
      <w:marBottom w:val="0"/>
      <w:divBdr>
        <w:top w:val="none" w:sz="0" w:space="0" w:color="auto"/>
        <w:left w:val="none" w:sz="0" w:space="0" w:color="auto"/>
        <w:bottom w:val="none" w:sz="0" w:space="0" w:color="auto"/>
        <w:right w:val="none" w:sz="0" w:space="0" w:color="auto"/>
      </w:divBdr>
    </w:div>
    <w:div w:id="1154950374">
      <w:bodyDiv w:val="1"/>
      <w:marLeft w:val="0"/>
      <w:marRight w:val="0"/>
      <w:marTop w:val="0"/>
      <w:marBottom w:val="0"/>
      <w:divBdr>
        <w:top w:val="none" w:sz="0" w:space="0" w:color="auto"/>
        <w:left w:val="none" w:sz="0" w:space="0" w:color="auto"/>
        <w:bottom w:val="none" w:sz="0" w:space="0" w:color="auto"/>
        <w:right w:val="none" w:sz="0" w:space="0" w:color="auto"/>
      </w:divBdr>
    </w:div>
    <w:div w:id="1154950650">
      <w:bodyDiv w:val="1"/>
      <w:marLeft w:val="0"/>
      <w:marRight w:val="0"/>
      <w:marTop w:val="0"/>
      <w:marBottom w:val="0"/>
      <w:divBdr>
        <w:top w:val="none" w:sz="0" w:space="0" w:color="auto"/>
        <w:left w:val="none" w:sz="0" w:space="0" w:color="auto"/>
        <w:bottom w:val="none" w:sz="0" w:space="0" w:color="auto"/>
        <w:right w:val="none" w:sz="0" w:space="0" w:color="auto"/>
      </w:divBdr>
    </w:div>
    <w:div w:id="1154954966">
      <w:bodyDiv w:val="1"/>
      <w:marLeft w:val="0"/>
      <w:marRight w:val="0"/>
      <w:marTop w:val="0"/>
      <w:marBottom w:val="0"/>
      <w:divBdr>
        <w:top w:val="none" w:sz="0" w:space="0" w:color="auto"/>
        <w:left w:val="none" w:sz="0" w:space="0" w:color="auto"/>
        <w:bottom w:val="none" w:sz="0" w:space="0" w:color="auto"/>
        <w:right w:val="none" w:sz="0" w:space="0" w:color="auto"/>
      </w:divBdr>
    </w:div>
    <w:div w:id="1155024894">
      <w:bodyDiv w:val="1"/>
      <w:marLeft w:val="0"/>
      <w:marRight w:val="0"/>
      <w:marTop w:val="0"/>
      <w:marBottom w:val="0"/>
      <w:divBdr>
        <w:top w:val="none" w:sz="0" w:space="0" w:color="auto"/>
        <w:left w:val="none" w:sz="0" w:space="0" w:color="auto"/>
        <w:bottom w:val="none" w:sz="0" w:space="0" w:color="auto"/>
        <w:right w:val="none" w:sz="0" w:space="0" w:color="auto"/>
      </w:divBdr>
    </w:div>
    <w:div w:id="1155413887">
      <w:bodyDiv w:val="1"/>
      <w:marLeft w:val="0"/>
      <w:marRight w:val="0"/>
      <w:marTop w:val="0"/>
      <w:marBottom w:val="0"/>
      <w:divBdr>
        <w:top w:val="none" w:sz="0" w:space="0" w:color="auto"/>
        <w:left w:val="none" w:sz="0" w:space="0" w:color="auto"/>
        <w:bottom w:val="none" w:sz="0" w:space="0" w:color="auto"/>
        <w:right w:val="none" w:sz="0" w:space="0" w:color="auto"/>
      </w:divBdr>
    </w:div>
    <w:div w:id="1155530948">
      <w:bodyDiv w:val="1"/>
      <w:marLeft w:val="0"/>
      <w:marRight w:val="0"/>
      <w:marTop w:val="0"/>
      <w:marBottom w:val="0"/>
      <w:divBdr>
        <w:top w:val="none" w:sz="0" w:space="0" w:color="auto"/>
        <w:left w:val="none" w:sz="0" w:space="0" w:color="auto"/>
        <w:bottom w:val="none" w:sz="0" w:space="0" w:color="auto"/>
        <w:right w:val="none" w:sz="0" w:space="0" w:color="auto"/>
      </w:divBdr>
    </w:div>
    <w:div w:id="1155603505">
      <w:bodyDiv w:val="1"/>
      <w:marLeft w:val="0"/>
      <w:marRight w:val="0"/>
      <w:marTop w:val="0"/>
      <w:marBottom w:val="0"/>
      <w:divBdr>
        <w:top w:val="none" w:sz="0" w:space="0" w:color="auto"/>
        <w:left w:val="none" w:sz="0" w:space="0" w:color="auto"/>
        <w:bottom w:val="none" w:sz="0" w:space="0" w:color="auto"/>
        <w:right w:val="none" w:sz="0" w:space="0" w:color="auto"/>
      </w:divBdr>
    </w:div>
    <w:div w:id="1155991876">
      <w:bodyDiv w:val="1"/>
      <w:marLeft w:val="0"/>
      <w:marRight w:val="0"/>
      <w:marTop w:val="0"/>
      <w:marBottom w:val="0"/>
      <w:divBdr>
        <w:top w:val="none" w:sz="0" w:space="0" w:color="auto"/>
        <w:left w:val="none" w:sz="0" w:space="0" w:color="auto"/>
        <w:bottom w:val="none" w:sz="0" w:space="0" w:color="auto"/>
        <w:right w:val="none" w:sz="0" w:space="0" w:color="auto"/>
      </w:divBdr>
    </w:div>
    <w:div w:id="1156069387">
      <w:bodyDiv w:val="1"/>
      <w:marLeft w:val="0"/>
      <w:marRight w:val="0"/>
      <w:marTop w:val="0"/>
      <w:marBottom w:val="0"/>
      <w:divBdr>
        <w:top w:val="none" w:sz="0" w:space="0" w:color="auto"/>
        <w:left w:val="none" w:sz="0" w:space="0" w:color="auto"/>
        <w:bottom w:val="none" w:sz="0" w:space="0" w:color="auto"/>
        <w:right w:val="none" w:sz="0" w:space="0" w:color="auto"/>
      </w:divBdr>
    </w:div>
    <w:div w:id="1156141398">
      <w:bodyDiv w:val="1"/>
      <w:marLeft w:val="0"/>
      <w:marRight w:val="0"/>
      <w:marTop w:val="0"/>
      <w:marBottom w:val="0"/>
      <w:divBdr>
        <w:top w:val="none" w:sz="0" w:space="0" w:color="auto"/>
        <w:left w:val="none" w:sz="0" w:space="0" w:color="auto"/>
        <w:bottom w:val="none" w:sz="0" w:space="0" w:color="auto"/>
        <w:right w:val="none" w:sz="0" w:space="0" w:color="auto"/>
      </w:divBdr>
    </w:div>
    <w:div w:id="1156263556">
      <w:bodyDiv w:val="1"/>
      <w:marLeft w:val="0"/>
      <w:marRight w:val="0"/>
      <w:marTop w:val="0"/>
      <w:marBottom w:val="0"/>
      <w:divBdr>
        <w:top w:val="none" w:sz="0" w:space="0" w:color="auto"/>
        <w:left w:val="none" w:sz="0" w:space="0" w:color="auto"/>
        <w:bottom w:val="none" w:sz="0" w:space="0" w:color="auto"/>
        <w:right w:val="none" w:sz="0" w:space="0" w:color="auto"/>
      </w:divBdr>
    </w:div>
    <w:div w:id="1156386057">
      <w:bodyDiv w:val="1"/>
      <w:marLeft w:val="0"/>
      <w:marRight w:val="0"/>
      <w:marTop w:val="0"/>
      <w:marBottom w:val="0"/>
      <w:divBdr>
        <w:top w:val="none" w:sz="0" w:space="0" w:color="auto"/>
        <w:left w:val="none" w:sz="0" w:space="0" w:color="auto"/>
        <w:bottom w:val="none" w:sz="0" w:space="0" w:color="auto"/>
        <w:right w:val="none" w:sz="0" w:space="0" w:color="auto"/>
      </w:divBdr>
    </w:div>
    <w:div w:id="1156609680">
      <w:bodyDiv w:val="1"/>
      <w:marLeft w:val="0"/>
      <w:marRight w:val="0"/>
      <w:marTop w:val="0"/>
      <w:marBottom w:val="0"/>
      <w:divBdr>
        <w:top w:val="none" w:sz="0" w:space="0" w:color="auto"/>
        <w:left w:val="none" w:sz="0" w:space="0" w:color="auto"/>
        <w:bottom w:val="none" w:sz="0" w:space="0" w:color="auto"/>
        <w:right w:val="none" w:sz="0" w:space="0" w:color="auto"/>
      </w:divBdr>
    </w:div>
    <w:div w:id="1156649730">
      <w:bodyDiv w:val="1"/>
      <w:marLeft w:val="0"/>
      <w:marRight w:val="0"/>
      <w:marTop w:val="0"/>
      <w:marBottom w:val="0"/>
      <w:divBdr>
        <w:top w:val="none" w:sz="0" w:space="0" w:color="auto"/>
        <w:left w:val="none" w:sz="0" w:space="0" w:color="auto"/>
        <w:bottom w:val="none" w:sz="0" w:space="0" w:color="auto"/>
        <w:right w:val="none" w:sz="0" w:space="0" w:color="auto"/>
      </w:divBdr>
    </w:div>
    <w:div w:id="1156993128">
      <w:bodyDiv w:val="1"/>
      <w:marLeft w:val="0"/>
      <w:marRight w:val="0"/>
      <w:marTop w:val="0"/>
      <w:marBottom w:val="0"/>
      <w:divBdr>
        <w:top w:val="none" w:sz="0" w:space="0" w:color="auto"/>
        <w:left w:val="none" w:sz="0" w:space="0" w:color="auto"/>
        <w:bottom w:val="none" w:sz="0" w:space="0" w:color="auto"/>
        <w:right w:val="none" w:sz="0" w:space="0" w:color="auto"/>
      </w:divBdr>
    </w:div>
    <w:div w:id="1157182899">
      <w:bodyDiv w:val="1"/>
      <w:marLeft w:val="0"/>
      <w:marRight w:val="0"/>
      <w:marTop w:val="0"/>
      <w:marBottom w:val="0"/>
      <w:divBdr>
        <w:top w:val="none" w:sz="0" w:space="0" w:color="auto"/>
        <w:left w:val="none" w:sz="0" w:space="0" w:color="auto"/>
        <w:bottom w:val="none" w:sz="0" w:space="0" w:color="auto"/>
        <w:right w:val="none" w:sz="0" w:space="0" w:color="auto"/>
      </w:divBdr>
    </w:div>
    <w:div w:id="1157184398">
      <w:bodyDiv w:val="1"/>
      <w:marLeft w:val="0"/>
      <w:marRight w:val="0"/>
      <w:marTop w:val="0"/>
      <w:marBottom w:val="0"/>
      <w:divBdr>
        <w:top w:val="none" w:sz="0" w:space="0" w:color="auto"/>
        <w:left w:val="none" w:sz="0" w:space="0" w:color="auto"/>
        <w:bottom w:val="none" w:sz="0" w:space="0" w:color="auto"/>
        <w:right w:val="none" w:sz="0" w:space="0" w:color="auto"/>
      </w:divBdr>
    </w:div>
    <w:div w:id="1157263131">
      <w:bodyDiv w:val="1"/>
      <w:marLeft w:val="0"/>
      <w:marRight w:val="0"/>
      <w:marTop w:val="0"/>
      <w:marBottom w:val="0"/>
      <w:divBdr>
        <w:top w:val="none" w:sz="0" w:space="0" w:color="auto"/>
        <w:left w:val="none" w:sz="0" w:space="0" w:color="auto"/>
        <w:bottom w:val="none" w:sz="0" w:space="0" w:color="auto"/>
        <w:right w:val="none" w:sz="0" w:space="0" w:color="auto"/>
      </w:divBdr>
    </w:div>
    <w:div w:id="1157307832">
      <w:bodyDiv w:val="1"/>
      <w:marLeft w:val="0"/>
      <w:marRight w:val="0"/>
      <w:marTop w:val="0"/>
      <w:marBottom w:val="0"/>
      <w:divBdr>
        <w:top w:val="none" w:sz="0" w:space="0" w:color="auto"/>
        <w:left w:val="none" w:sz="0" w:space="0" w:color="auto"/>
        <w:bottom w:val="none" w:sz="0" w:space="0" w:color="auto"/>
        <w:right w:val="none" w:sz="0" w:space="0" w:color="auto"/>
      </w:divBdr>
    </w:div>
    <w:div w:id="1157385511">
      <w:bodyDiv w:val="1"/>
      <w:marLeft w:val="0"/>
      <w:marRight w:val="0"/>
      <w:marTop w:val="0"/>
      <w:marBottom w:val="0"/>
      <w:divBdr>
        <w:top w:val="none" w:sz="0" w:space="0" w:color="auto"/>
        <w:left w:val="none" w:sz="0" w:space="0" w:color="auto"/>
        <w:bottom w:val="none" w:sz="0" w:space="0" w:color="auto"/>
        <w:right w:val="none" w:sz="0" w:space="0" w:color="auto"/>
      </w:divBdr>
    </w:div>
    <w:div w:id="1157457307">
      <w:bodyDiv w:val="1"/>
      <w:marLeft w:val="0"/>
      <w:marRight w:val="0"/>
      <w:marTop w:val="0"/>
      <w:marBottom w:val="0"/>
      <w:divBdr>
        <w:top w:val="none" w:sz="0" w:space="0" w:color="auto"/>
        <w:left w:val="none" w:sz="0" w:space="0" w:color="auto"/>
        <w:bottom w:val="none" w:sz="0" w:space="0" w:color="auto"/>
        <w:right w:val="none" w:sz="0" w:space="0" w:color="auto"/>
      </w:divBdr>
    </w:div>
    <w:div w:id="1157647712">
      <w:bodyDiv w:val="1"/>
      <w:marLeft w:val="0"/>
      <w:marRight w:val="0"/>
      <w:marTop w:val="0"/>
      <w:marBottom w:val="0"/>
      <w:divBdr>
        <w:top w:val="none" w:sz="0" w:space="0" w:color="auto"/>
        <w:left w:val="none" w:sz="0" w:space="0" w:color="auto"/>
        <w:bottom w:val="none" w:sz="0" w:space="0" w:color="auto"/>
        <w:right w:val="none" w:sz="0" w:space="0" w:color="auto"/>
      </w:divBdr>
    </w:div>
    <w:div w:id="1157723393">
      <w:bodyDiv w:val="1"/>
      <w:marLeft w:val="0"/>
      <w:marRight w:val="0"/>
      <w:marTop w:val="0"/>
      <w:marBottom w:val="0"/>
      <w:divBdr>
        <w:top w:val="none" w:sz="0" w:space="0" w:color="auto"/>
        <w:left w:val="none" w:sz="0" w:space="0" w:color="auto"/>
        <w:bottom w:val="none" w:sz="0" w:space="0" w:color="auto"/>
        <w:right w:val="none" w:sz="0" w:space="0" w:color="auto"/>
      </w:divBdr>
    </w:div>
    <w:div w:id="1158038772">
      <w:bodyDiv w:val="1"/>
      <w:marLeft w:val="0"/>
      <w:marRight w:val="0"/>
      <w:marTop w:val="0"/>
      <w:marBottom w:val="0"/>
      <w:divBdr>
        <w:top w:val="none" w:sz="0" w:space="0" w:color="auto"/>
        <w:left w:val="none" w:sz="0" w:space="0" w:color="auto"/>
        <w:bottom w:val="none" w:sz="0" w:space="0" w:color="auto"/>
        <w:right w:val="none" w:sz="0" w:space="0" w:color="auto"/>
      </w:divBdr>
    </w:div>
    <w:div w:id="1158158330">
      <w:bodyDiv w:val="1"/>
      <w:marLeft w:val="0"/>
      <w:marRight w:val="0"/>
      <w:marTop w:val="0"/>
      <w:marBottom w:val="0"/>
      <w:divBdr>
        <w:top w:val="none" w:sz="0" w:space="0" w:color="auto"/>
        <w:left w:val="none" w:sz="0" w:space="0" w:color="auto"/>
        <w:bottom w:val="none" w:sz="0" w:space="0" w:color="auto"/>
        <w:right w:val="none" w:sz="0" w:space="0" w:color="auto"/>
      </w:divBdr>
    </w:div>
    <w:div w:id="1158182615">
      <w:bodyDiv w:val="1"/>
      <w:marLeft w:val="0"/>
      <w:marRight w:val="0"/>
      <w:marTop w:val="0"/>
      <w:marBottom w:val="0"/>
      <w:divBdr>
        <w:top w:val="none" w:sz="0" w:space="0" w:color="auto"/>
        <w:left w:val="none" w:sz="0" w:space="0" w:color="auto"/>
        <w:bottom w:val="none" w:sz="0" w:space="0" w:color="auto"/>
        <w:right w:val="none" w:sz="0" w:space="0" w:color="auto"/>
      </w:divBdr>
    </w:div>
    <w:div w:id="1158377988">
      <w:bodyDiv w:val="1"/>
      <w:marLeft w:val="0"/>
      <w:marRight w:val="0"/>
      <w:marTop w:val="0"/>
      <w:marBottom w:val="0"/>
      <w:divBdr>
        <w:top w:val="none" w:sz="0" w:space="0" w:color="auto"/>
        <w:left w:val="none" w:sz="0" w:space="0" w:color="auto"/>
        <w:bottom w:val="none" w:sz="0" w:space="0" w:color="auto"/>
        <w:right w:val="none" w:sz="0" w:space="0" w:color="auto"/>
      </w:divBdr>
    </w:div>
    <w:div w:id="1158419833">
      <w:bodyDiv w:val="1"/>
      <w:marLeft w:val="0"/>
      <w:marRight w:val="0"/>
      <w:marTop w:val="0"/>
      <w:marBottom w:val="0"/>
      <w:divBdr>
        <w:top w:val="none" w:sz="0" w:space="0" w:color="auto"/>
        <w:left w:val="none" w:sz="0" w:space="0" w:color="auto"/>
        <w:bottom w:val="none" w:sz="0" w:space="0" w:color="auto"/>
        <w:right w:val="none" w:sz="0" w:space="0" w:color="auto"/>
      </w:divBdr>
    </w:div>
    <w:div w:id="1158493868">
      <w:bodyDiv w:val="1"/>
      <w:marLeft w:val="0"/>
      <w:marRight w:val="0"/>
      <w:marTop w:val="0"/>
      <w:marBottom w:val="0"/>
      <w:divBdr>
        <w:top w:val="none" w:sz="0" w:space="0" w:color="auto"/>
        <w:left w:val="none" w:sz="0" w:space="0" w:color="auto"/>
        <w:bottom w:val="none" w:sz="0" w:space="0" w:color="auto"/>
        <w:right w:val="none" w:sz="0" w:space="0" w:color="auto"/>
      </w:divBdr>
    </w:div>
    <w:div w:id="1158500845">
      <w:bodyDiv w:val="1"/>
      <w:marLeft w:val="0"/>
      <w:marRight w:val="0"/>
      <w:marTop w:val="0"/>
      <w:marBottom w:val="0"/>
      <w:divBdr>
        <w:top w:val="none" w:sz="0" w:space="0" w:color="auto"/>
        <w:left w:val="none" w:sz="0" w:space="0" w:color="auto"/>
        <w:bottom w:val="none" w:sz="0" w:space="0" w:color="auto"/>
        <w:right w:val="none" w:sz="0" w:space="0" w:color="auto"/>
      </w:divBdr>
    </w:div>
    <w:div w:id="1158689524">
      <w:bodyDiv w:val="1"/>
      <w:marLeft w:val="0"/>
      <w:marRight w:val="0"/>
      <w:marTop w:val="0"/>
      <w:marBottom w:val="0"/>
      <w:divBdr>
        <w:top w:val="none" w:sz="0" w:space="0" w:color="auto"/>
        <w:left w:val="none" w:sz="0" w:space="0" w:color="auto"/>
        <w:bottom w:val="none" w:sz="0" w:space="0" w:color="auto"/>
        <w:right w:val="none" w:sz="0" w:space="0" w:color="auto"/>
      </w:divBdr>
    </w:div>
    <w:div w:id="1158963424">
      <w:bodyDiv w:val="1"/>
      <w:marLeft w:val="0"/>
      <w:marRight w:val="0"/>
      <w:marTop w:val="0"/>
      <w:marBottom w:val="0"/>
      <w:divBdr>
        <w:top w:val="none" w:sz="0" w:space="0" w:color="auto"/>
        <w:left w:val="none" w:sz="0" w:space="0" w:color="auto"/>
        <w:bottom w:val="none" w:sz="0" w:space="0" w:color="auto"/>
        <w:right w:val="none" w:sz="0" w:space="0" w:color="auto"/>
      </w:divBdr>
    </w:div>
    <w:div w:id="1159151162">
      <w:bodyDiv w:val="1"/>
      <w:marLeft w:val="0"/>
      <w:marRight w:val="0"/>
      <w:marTop w:val="0"/>
      <w:marBottom w:val="0"/>
      <w:divBdr>
        <w:top w:val="none" w:sz="0" w:space="0" w:color="auto"/>
        <w:left w:val="none" w:sz="0" w:space="0" w:color="auto"/>
        <w:bottom w:val="none" w:sz="0" w:space="0" w:color="auto"/>
        <w:right w:val="none" w:sz="0" w:space="0" w:color="auto"/>
      </w:divBdr>
    </w:div>
    <w:div w:id="1159224893">
      <w:bodyDiv w:val="1"/>
      <w:marLeft w:val="0"/>
      <w:marRight w:val="0"/>
      <w:marTop w:val="0"/>
      <w:marBottom w:val="0"/>
      <w:divBdr>
        <w:top w:val="none" w:sz="0" w:space="0" w:color="auto"/>
        <w:left w:val="none" w:sz="0" w:space="0" w:color="auto"/>
        <w:bottom w:val="none" w:sz="0" w:space="0" w:color="auto"/>
        <w:right w:val="none" w:sz="0" w:space="0" w:color="auto"/>
      </w:divBdr>
    </w:div>
    <w:div w:id="1159233199">
      <w:bodyDiv w:val="1"/>
      <w:marLeft w:val="0"/>
      <w:marRight w:val="0"/>
      <w:marTop w:val="0"/>
      <w:marBottom w:val="0"/>
      <w:divBdr>
        <w:top w:val="none" w:sz="0" w:space="0" w:color="auto"/>
        <w:left w:val="none" w:sz="0" w:space="0" w:color="auto"/>
        <w:bottom w:val="none" w:sz="0" w:space="0" w:color="auto"/>
        <w:right w:val="none" w:sz="0" w:space="0" w:color="auto"/>
      </w:divBdr>
    </w:div>
    <w:div w:id="1159274073">
      <w:bodyDiv w:val="1"/>
      <w:marLeft w:val="0"/>
      <w:marRight w:val="0"/>
      <w:marTop w:val="0"/>
      <w:marBottom w:val="0"/>
      <w:divBdr>
        <w:top w:val="none" w:sz="0" w:space="0" w:color="auto"/>
        <w:left w:val="none" w:sz="0" w:space="0" w:color="auto"/>
        <w:bottom w:val="none" w:sz="0" w:space="0" w:color="auto"/>
        <w:right w:val="none" w:sz="0" w:space="0" w:color="auto"/>
      </w:divBdr>
    </w:div>
    <w:div w:id="1159420783">
      <w:bodyDiv w:val="1"/>
      <w:marLeft w:val="0"/>
      <w:marRight w:val="0"/>
      <w:marTop w:val="0"/>
      <w:marBottom w:val="0"/>
      <w:divBdr>
        <w:top w:val="none" w:sz="0" w:space="0" w:color="auto"/>
        <w:left w:val="none" w:sz="0" w:space="0" w:color="auto"/>
        <w:bottom w:val="none" w:sz="0" w:space="0" w:color="auto"/>
        <w:right w:val="none" w:sz="0" w:space="0" w:color="auto"/>
      </w:divBdr>
    </w:div>
    <w:div w:id="1159535011">
      <w:bodyDiv w:val="1"/>
      <w:marLeft w:val="0"/>
      <w:marRight w:val="0"/>
      <w:marTop w:val="0"/>
      <w:marBottom w:val="0"/>
      <w:divBdr>
        <w:top w:val="none" w:sz="0" w:space="0" w:color="auto"/>
        <w:left w:val="none" w:sz="0" w:space="0" w:color="auto"/>
        <w:bottom w:val="none" w:sz="0" w:space="0" w:color="auto"/>
        <w:right w:val="none" w:sz="0" w:space="0" w:color="auto"/>
      </w:divBdr>
    </w:div>
    <w:div w:id="1159535422">
      <w:bodyDiv w:val="1"/>
      <w:marLeft w:val="0"/>
      <w:marRight w:val="0"/>
      <w:marTop w:val="0"/>
      <w:marBottom w:val="0"/>
      <w:divBdr>
        <w:top w:val="none" w:sz="0" w:space="0" w:color="auto"/>
        <w:left w:val="none" w:sz="0" w:space="0" w:color="auto"/>
        <w:bottom w:val="none" w:sz="0" w:space="0" w:color="auto"/>
        <w:right w:val="none" w:sz="0" w:space="0" w:color="auto"/>
      </w:divBdr>
    </w:div>
    <w:div w:id="1159541920">
      <w:bodyDiv w:val="1"/>
      <w:marLeft w:val="0"/>
      <w:marRight w:val="0"/>
      <w:marTop w:val="0"/>
      <w:marBottom w:val="0"/>
      <w:divBdr>
        <w:top w:val="none" w:sz="0" w:space="0" w:color="auto"/>
        <w:left w:val="none" w:sz="0" w:space="0" w:color="auto"/>
        <w:bottom w:val="none" w:sz="0" w:space="0" w:color="auto"/>
        <w:right w:val="none" w:sz="0" w:space="0" w:color="auto"/>
      </w:divBdr>
    </w:div>
    <w:div w:id="1159731150">
      <w:bodyDiv w:val="1"/>
      <w:marLeft w:val="0"/>
      <w:marRight w:val="0"/>
      <w:marTop w:val="0"/>
      <w:marBottom w:val="0"/>
      <w:divBdr>
        <w:top w:val="none" w:sz="0" w:space="0" w:color="auto"/>
        <w:left w:val="none" w:sz="0" w:space="0" w:color="auto"/>
        <w:bottom w:val="none" w:sz="0" w:space="0" w:color="auto"/>
        <w:right w:val="none" w:sz="0" w:space="0" w:color="auto"/>
      </w:divBdr>
    </w:div>
    <w:div w:id="1159886400">
      <w:bodyDiv w:val="1"/>
      <w:marLeft w:val="0"/>
      <w:marRight w:val="0"/>
      <w:marTop w:val="0"/>
      <w:marBottom w:val="0"/>
      <w:divBdr>
        <w:top w:val="none" w:sz="0" w:space="0" w:color="auto"/>
        <w:left w:val="none" w:sz="0" w:space="0" w:color="auto"/>
        <w:bottom w:val="none" w:sz="0" w:space="0" w:color="auto"/>
        <w:right w:val="none" w:sz="0" w:space="0" w:color="auto"/>
      </w:divBdr>
    </w:div>
    <w:div w:id="1159926222">
      <w:bodyDiv w:val="1"/>
      <w:marLeft w:val="0"/>
      <w:marRight w:val="0"/>
      <w:marTop w:val="0"/>
      <w:marBottom w:val="0"/>
      <w:divBdr>
        <w:top w:val="none" w:sz="0" w:space="0" w:color="auto"/>
        <w:left w:val="none" w:sz="0" w:space="0" w:color="auto"/>
        <w:bottom w:val="none" w:sz="0" w:space="0" w:color="auto"/>
        <w:right w:val="none" w:sz="0" w:space="0" w:color="auto"/>
      </w:divBdr>
    </w:div>
    <w:div w:id="1160000875">
      <w:bodyDiv w:val="1"/>
      <w:marLeft w:val="0"/>
      <w:marRight w:val="0"/>
      <w:marTop w:val="0"/>
      <w:marBottom w:val="0"/>
      <w:divBdr>
        <w:top w:val="none" w:sz="0" w:space="0" w:color="auto"/>
        <w:left w:val="none" w:sz="0" w:space="0" w:color="auto"/>
        <w:bottom w:val="none" w:sz="0" w:space="0" w:color="auto"/>
        <w:right w:val="none" w:sz="0" w:space="0" w:color="auto"/>
      </w:divBdr>
    </w:div>
    <w:div w:id="1160385363">
      <w:bodyDiv w:val="1"/>
      <w:marLeft w:val="0"/>
      <w:marRight w:val="0"/>
      <w:marTop w:val="0"/>
      <w:marBottom w:val="0"/>
      <w:divBdr>
        <w:top w:val="none" w:sz="0" w:space="0" w:color="auto"/>
        <w:left w:val="none" w:sz="0" w:space="0" w:color="auto"/>
        <w:bottom w:val="none" w:sz="0" w:space="0" w:color="auto"/>
        <w:right w:val="none" w:sz="0" w:space="0" w:color="auto"/>
      </w:divBdr>
    </w:div>
    <w:div w:id="1160389414">
      <w:bodyDiv w:val="1"/>
      <w:marLeft w:val="0"/>
      <w:marRight w:val="0"/>
      <w:marTop w:val="0"/>
      <w:marBottom w:val="0"/>
      <w:divBdr>
        <w:top w:val="none" w:sz="0" w:space="0" w:color="auto"/>
        <w:left w:val="none" w:sz="0" w:space="0" w:color="auto"/>
        <w:bottom w:val="none" w:sz="0" w:space="0" w:color="auto"/>
        <w:right w:val="none" w:sz="0" w:space="0" w:color="auto"/>
      </w:divBdr>
    </w:div>
    <w:div w:id="1160390092">
      <w:bodyDiv w:val="1"/>
      <w:marLeft w:val="0"/>
      <w:marRight w:val="0"/>
      <w:marTop w:val="0"/>
      <w:marBottom w:val="0"/>
      <w:divBdr>
        <w:top w:val="none" w:sz="0" w:space="0" w:color="auto"/>
        <w:left w:val="none" w:sz="0" w:space="0" w:color="auto"/>
        <w:bottom w:val="none" w:sz="0" w:space="0" w:color="auto"/>
        <w:right w:val="none" w:sz="0" w:space="0" w:color="auto"/>
      </w:divBdr>
    </w:div>
    <w:div w:id="1160392713">
      <w:bodyDiv w:val="1"/>
      <w:marLeft w:val="0"/>
      <w:marRight w:val="0"/>
      <w:marTop w:val="0"/>
      <w:marBottom w:val="0"/>
      <w:divBdr>
        <w:top w:val="none" w:sz="0" w:space="0" w:color="auto"/>
        <w:left w:val="none" w:sz="0" w:space="0" w:color="auto"/>
        <w:bottom w:val="none" w:sz="0" w:space="0" w:color="auto"/>
        <w:right w:val="none" w:sz="0" w:space="0" w:color="auto"/>
      </w:divBdr>
    </w:div>
    <w:div w:id="1160852401">
      <w:bodyDiv w:val="1"/>
      <w:marLeft w:val="0"/>
      <w:marRight w:val="0"/>
      <w:marTop w:val="0"/>
      <w:marBottom w:val="0"/>
      <w:divBdr>
        <w:top w:val="none" w:sz="0" w:space="0" w:color="auto"/>
        <w:left w:val="none" w:sz="0" w:space="0" w:color="auto"/>
        <w:bottom w:val="none" w:sz="0" w:space="0" w:color="auto"/>
        <w:right w:val="none" w:sz="0" w:space="0" w:color="auto"/>
      </w:divBdr>
    </w:div>
    <w:div w:id="1161115108">
      <w:bodyDiv w:val="1"/>
      <w:marLeft w:val="0"/>
      <w:marRight w:val="0"/>
      <w:marTop w:val="0"/>
      <w:marBottom w:val="0"/>
      <w:divBdr>
        <w:top w:val="none" w:sz="0" w:space="0" w:color="auto"/>
        <w:left w:val="none" w:sz="0" w:space="0" w:color="auto"/>
        <w:bottom w:val="none" w:sz="0" w:space="0" w:color="auto"/>
        <w:right w:val="none" w:sz="0" w:space="0" w:color="auto"/>
      </w:divBdr>
    </w:div>
    <w:div w:id="1161119780">
      <w:bodyDiv w:val="1"/>
      <w:marLeft w:val="0"/>
      <w:marRight w:val="0"/>
      <w:marTop w:val="0"/>
      <w:marBottom w:val="0"/>
      <w:divBdr>
        <w:top w:val="none" w:sz="0" w:space="0" w:color="auto"/>
        <w:left w:val="none" w:sz="0" w:space="0" w:color="auto"/>
        <w:bottom w:val="none" w:sz="0" w:space="0" w:color="auto"/>
        <w:right w:val="none" w:sz="0" w:space="0" w:color="auto"/>
      </w:divBdr>
    </w:div>
    <w:div w:id="1161122775">
      <w:bodyDiv w:val="1"/>
      <w:marLeft w:val="0"/>
      <w:marRight w:val="0"/>
      <w:marTop w:val="0"/>
      <w:marBottom w:val="0"/>
      <w:divBdr>
        <w:top w:val="none" w:sz="0" w:space="0" w:color="auto"/>
        <w:left w:val="none" w:sz="0" w:space="0" w:color="auto"/>
        <w:bottom w:val="none" w:sz="0" w:space="0" w:color="auto"/>
        <w:right w:val="none" w:sz="0" w:space="0" w:color="auto"/>
      </w:divBdr>
    </w:div>
    <w:div w:id="1161198792">
      <w:bodyDiv w:val="1"/>
      <w:marLeft w:val="0"/>
      <w:marRight w:val="0"/>
      <w:marTop w:val="0"/>
      <w:marBottom w:val="0"/>
      <w:divBdr>
        <w:top w:val="none" w:sz="0" w:space="0" w:color="auto"/>
        <w:left w:val="none" w:sz="0" w:space="0" w:color="auto"/>
        <w:bottom w:val="none" w:sz="0" w:space="0" w:color="auto"/>
        <w:right w:val="none" w:sz="0" w:space="0" w:color="auto"/>
      </w:divBdr>
    </w:div>
    <w:div w:id="1161383081">
      <w:bodyDiv w:val="1"/>
      <w:marLeft w:val="0"/>
      <w:marRight w:val="0"/>
      <w:marTop w:val="0"/>
      <w:marBottom w:val="0"/>
      <w:divBdr>
        <w:top w:val="none" w:sz="0" w:space="0" w:color="auto"/>
        <w:left w:val="none" w:sz="0" w:space="0" w:color="auto"/>
        <w:bottom w:val="none" w:sz="0" w:space="0" w:color="auto"/>
        <w:right w:val="none" w:sz="0" w:space="0" w:color="auto"/>
      </w:divBdr>
    </w:div>
    <w:div w:id="1161383549">
      <w:bodyDiv w:val="1"/>
      <w:marLeft w:val="0"/>
      <w:marRight w:val="0"/>
      <w:marTop w:val="0"/>
      <w:marBottom w:val="0"/>
      <w:divBdr>
        <w:top w:val="none" w:sz="0" w:space="0" w:color="auto"/>
        <w:left w:val="none" w:sz="0" w:space="0" w:color="auto"/>
        <w:bottom w:val="none" w:sz="0" w:space="0" w:color="auto"/>
        <w:right w:val="none" w:sz="0" w:space="0" w:color="auto"/>
      </w:divBdr>
    </w:div>
    <w:div w:id="1161389007">
      <w:bodyDiv w:val="1"/>
      <w:marLeft w:val="0"/>
      <w:marRight w:val="0"/>
      <w:marTop w:val="0"/>
      <w:marBottom w:val="0"/>
      <w:divBdr>
        <w:top w:val="none" w:sz="0" w:space="0" w:color="auto"/>
        <w:left w:val="none" w:sz="0" w:space="0" w:color="auto"/>
        <w:bottom w:val="none" w:sz="0" w:space="0" w:color="auto"/>
        <w:right w:val="none" w:sz="0" w:space="0" w:color="auto"/>
      </w:divBdr>
    </w:div>
    <w:div w:id="1161508509">
      <w:bodyDiv w:val="1"/>
      <w:marLeft w:val="0"/>
      <w:marRight w:val="0"/>
      <w:marTop w:val="0"/>
      <w:marBottom w:val="0"/>
      <w:divBdr>
        <w:top w:val="none" w:sz="0" w:space="0" w:color="auto"/>
        <w:left w:val="none" w:sz="0" w:space="0" w:color="auto"/>
        <w:bottom w:val="none" w:sz="0" w:space="0" w:color="auto"/>
        <w:right w:val="none" w:sz="0" w:space="0" w:color="auto"/>
      </w:divBdr>
    </w:div>
    <w:div w:id="1161628117">
      <w:bodyDiv w:val="1"/>
      <w:marLeft w:val="0"/>
      <w:marRight w:val="0"/>
      <w:marTop w:val="0"/>
      <w:marBottom w:val="0"/>
      <w:divBdr>
        <w:top w:val="none" w:sz="0" w:space="0" w:color="auto"/>
        <w:left w:val="none" w:sz="0" w:space="0" w:color="auto"/>
        <w:bottom w:val="none" w:sz="0" w:space="0" w:color="auto"/>
        <w:right w:val="none" w:sz="0" w:space="0" w:color="auto"/>
      </w:divBdr>
    </w:div>
    <w:div w:id="1161657984">
      <w:bodyDiv w:val="1"/>
      <w:marLeft w:val="0"/>
      <w:marRight w:val="0"/>
      <w:marTop w:val="0"/>
      <w:marBottom w:val="0"/>
      <w:divBdr>
        <w:top w:val="none" w:sz="0" w:space="0" w:color="auto"/>
        <w:left w:val="none" w:sz="0" w:space="0" w:color="auto"/>
        <w:bottom w:val="none" w:sz="0" w:space="0" w:color="auto"/>
        <w:right w:val="none" w:sz="0" w:space="0" w:color="auto"/>
      </w:divBdr>
    </w:div>
    <w:div w:id="1161700302">
      <w:bodyDiv w:val="1"/>
      <w:marLeft w:val="0"/>
      <w:marRight w:val="0"/>
      <w:marTop w:val="0"/>
      <w:marBottom w:val="0"/>
      <w:divBdr>
        <w:top w:val="none" w:sz="0" w:space="0" w:color="auto"/>
        <w:left w:val="none" w:sz="0" w:space="0" w:color="auto"/>
        <w:bottom w:val="none" w:sz="0" w:space="0" w:color="auto"/>
        <w:right w:val="none" w:sz="0" w:space="0" w:color="auto"/>
      </w:divBdr>
    </w:div>
    <w:div w:id="1161702689">
      <w:bodyDiv w:val="1"/>
      <w:marLeft w:val="0"/>
      <w:marRight w:val="0"/>
      <w:marTop w:val="0"/>
      <w:marBottom w:val="0"/>
      <w:divBdr>
        <w:top w:val="none" w:sz="0" w:space="0" w:color="auto"/>
        <w:left w:val="none" w:sz="0" w:space="0" w:color="auto"/>
        <w:bottom w:val="none" w:sz="0" w:space="0" w:color="auto"/>
        <w:right w:val="none" w:sz="0" w:space="0" w:color="auto"/>
      </w:divBdr>
    </w:div>
    <w:div w:id="1161774769">
      <w:bodyDiv w:val="1"/>
      <w:marLeft w:val="0"/>
      <w:marRight w:val="0"/>
      <w:marTop w:val="0"/>
      <w:marBottom w:val="0"/>
      <w:divBdr>
        <w:top w:val="none" w:sz="0" w:space="0" w:color="auto"/>
        <w:left w:val="none" w:sz="0" w:space="0" w:color="auto"/>
        <w:bottom w:val="none" w:sz="0" w:space="0" w:color="auto"/>
        <w:right w:val="none" w:sz="0" w:space="0" w:color="auto"/>
      </w:divBdr>
    </w:div>
    <w:div w:id="1161846960">
      <w:bodyDiv w:val="1"/>
      <w:marLeft w:val="0"/>
      <w:marRight w:val="0"/>
      <w:marTop w:val="0"/>
      <w:marBottom w:val="0"/>
      <w:divBdr>
        <w:top w:val="none" w:sz="0" w:space="0" w:color="auto"/>
        <w:left w:val="none" w:sz="0" w:space="0" w:color="auto"/>
        <w:bottom w:val="none" w:sz="0" w:space="0" w:color="auto"/>
        <w:right w:val="none" w:sz="0" w:space="0" w:color="auto"/>
      </w:divBdr>
    </w:div>
    <w:div w:id="1161890307">
      <w:bodyDiv w:val="1"/>
      <w:marLeft w:val="0"/>
      <w:marRight w:val="0"/>
      <w:marTop w:val="0"/>
      <w:marBottom w:val="0"/>
      <w:divBdr>
        <w:top w:val="none" w:sz="0" w:space="0" w:color="auto"/>
        <w:left w:val="none" w:sz="0" w:space="0" w:color="auto"/>
        <w:bottom w:val="none" w:sz="0" w:space="0" w:color="auto"/>
        <w:right w:val="none" w:sz="0" w:space="0" w:color="auto"/>
      </w:divBdr>
    </w:div>
    <w:div w:id="1162161661">
      <w:bodyDiv w:val="1"/>
      <w:marLeft w:val="0"/>
      <w:marRight w:val="0"/>
      <w:marTop w:val="0"/>
      <w:marBottom w:val="0"/>
      <w:divBdr>
        <w:top w:val="none" w:sz="0" w:space="0" w:color="auto"/>
        <w:left w:val="none" w:sz="0" w:space="0" w:color="auto"/>
        <w:bottom w:val="none" w:sz="0" w:space="0" w:color="auto"/>
        <w:right w:val="none" w:sz="0" w:space="0" w:color="auto"/>
      </w:divBdr>
    </w:div>
    <w:div w:id="1162163511">
      <w:bodyDiv w:val="1"/>
      <w:marLeft w:val="0"/>
      <w:marRight w:val="0"/>
      <w:marTop w:val="0"/>
      <w:marBottom w:val="0"/>
      <w:divBdr>
        <w:top w:val="none" w:sz="0" w:space="0" w:color="auto"/>
        <w:left w:val="none" w:sz="0" w:space="0" w:color="auto"/>
        <w:bottom w:val="none" w:sz="0" w:space="0" w:color="auto"/>
        <w:right w:val="none" w:sz="0" w:space="0" w:color="auto"/>
      </w:divBdr>
    </w:div>
    <w:div w:id="1162505299">
      <w:bodyDiv w:val="1"/>
      <w:marLeft w:val="0"/>
      <w:marRight w:val="0"/>
      <w:marTop w:val="0"/>
      <w:marBottom w:val="0"/>
      <w:divBdr>
        <w:top w:val="none" w:sz="0" w:space="0" w:color="auto"/>
        <w:left w:val="none" w:sz="0" w:space="0" w:color="auto"/>
        <w:bottom w:val="none" w:sz="0" w:space="0" w:color="auto"/>
        <w:right w:val="none" w:sz="0" w:space="0" w:color="auto"/>
      </w:divBdr>
    </w:div>
    <w:div w:id="1162814032">
      <w:bodyDiv w:val="1"/>
      <w:marLeft w:val="0"/>
      <w:marRight w:val="0"/>
      <w:marTop w:val="0"/>
      <w:marBottom w:val="0"/>
      <w:divBdr>
        <w:top w:val="none" w:sz="0" w:space="0" w:color="auto"/>
        <w:left w:val="none" w:sz="0" w:space="0" w:color="auto"/>
        <w:bottom w:val="none" w:sz="0" w:space="0" w:color="auto"/>
        <w:right w:val="none" w:sz="0" w:space="0" w:color="auto"/>
      </w:divBdr>
    </w:div>
    <w:div w:id="1162896105">
      <w:bodyDiv w:val="1"/>
      <w:marLeft w:val="0"/>
      <w:marRight w:val="0"/>
      <w:marTop w:val="0"/>
      <w:marBottom w:val="0"/>
      <w:divBdr>
        <w:top w:val="none" w:sz="0" w:space="0" w:color="auto"/>
        <w:left w:val="none" w:sz="0" w:space="0" w:color="auto"/>
        <w:bottom w:val="none" w:sz="0" w:space="0" w:color="auto"/>
        <w:right w:val="none" w:sz="0" w:space="0" w:color="auto"/>
      </w:divBdr>
    </w:div>
    <w:div w:id="1163082929">
      <w:bodyDiv w:val="1"/>
      <w:marLeft w:val="0"/>
      <w:marRight w:val="0"/>
      <w:marTop w:val="0"/>
      <w:marBottom w:val="0"/>
      <w:divBdr>
        <w:top w:val="none" w:sz="0" w:space="0" w:color="auto"/>
        <w:left w:val="none" w:sz="0" w:space="0" w:color="auto"/>
        <w:bottom w:val="none" w:sz="0" w:space="0" w:color="auto"/>
        <w:right w:val="none" w:sz="0" w:space="0" w:color="auto"/>
      </w:divBdr>
    </w:div>
    <w:div w:id="1163160607">
      <w:bodyDiv w:val="1"/>
      <w:marLeft w:val="0"/>
      <w:marRight w:val="0"/>
      <w:marTop w:val="0"/>
      <w:marBottom w:val="0"/>
      <w:divBdr>
        <w:top w:val="none" w:sz="0" w:space="0" w:color="auto"/>
        <w:left w:val="none" w:sz="0" w:space="0" w:color="auto"/>
        <w:bottom w:val="none" w:sz="0" w:space="0" w:color="auto"/>
        <w:right w:val="none" w:sz="0" w:space="0" w:color="auto"/>
      </w:divBdr>
    </w:div>
    <w:div w:id="1163273889">
      <w:bodyDiv w:val="1"/>
      <w:marLeft w:val="0"/>
      <w:marRight w:val="0"/>
      <w:marTop w:val="0"/>
      <w:marBottom w:val="0"/>
      <w:divBdr>
        <w:top w:val="none" w:sz="0" w:space="0" w:color="auto"/>
        <w:left w:val="none" w:sz="0" w:space="0" w:color="auto"/>
        <w:bottom w:val="none" w:sz="0" w:space="0" w:color="auto"/>
        <w:right w:val="none" w:sz="0" w:space="0" w:color="auto"/>
      </w:divBdr>
    </w:div>
    <w:div w:id="1163358389">
      <w:bodyDiv w:val="1"/>
      <w:marLeft w:val="0"/>
      <w:marRight w:val="0"/>
      <w:marTop w:val="0"/>
      <w:marBottom w:val="0"/>
      <w:divBdr>
        <w:top w:val="none" w:sz="0" w:space="0" w:color="auto"/>
        <w:left w:val="none" w:sz="0" w:space="0" w:color="auto"/>
        <w:bottom w:val="none" w:sz="0" w:space="0" w:color="auto"/>
        <w:right w:val="none" w:sz="0" w:space="0" w:color="auto"/>
      </w:divBdr>
    </w:div>
    <w:div w:id="1163424889">
      <w:bodyDiv w:val="1"/>
      <w:marLeft w:val="0"/>
      <w:marRight w:val="0"/>
      <w:marTop w:val="0"/>
      <w:marBottom w:val="0"/>
      <w:divBdr>
        <w:top w:val="none" w:sz="0" w:space="0" w:color="auto"/>
        <w:left w:val="none" w:sz="0" w:space="0" w:color="auto"/>
        <w:bottom w:val="none" w:sz="0" w:space="0" w:color="auto"/>
        <w:right w:val="none" w:sz="0" w:space="0" w:color="auto"/>
      </w:divBdr>
    </w:div>
    <w:div w:id="1163545357">
      <w:bodyDiv w:val="1"/>
      <w:marLeft w:val="0"/>
      <w:marRight w:val="0"/>
      <w:marTop w:val="0"/>
      <w:marBottom w:val="0"/>
      <w:divBdr>
        <w:top w:val="none" w:sz="0" w:space="0" w:color="auto"/>
        <w:left w:val="none" w:sz="0" w:space="0" w:color="auto"/>
        <w:bottom w:val="none" w:sz="0" w:space="0" w:color="auto"/>
        <w:right w:val="none" w:sz="0" w:space="0" w:color="auto"/>
      </w:divBdr>
    </w:div>
    <w:div w:id="1163592173">
      <w:bodyDiv w:val="1"/>
      <w:marLeft w:val="0"/>
      <w:marRight w:val="0"/>
      <w:marTop w:val="0"/>
      <w:marBottom w:val="0"/>
      <w:divBdr>
        <w:top w:val="none" w:sz="0" w:space="0" w:color="auto"/>
        <w:left w:val="none" w:sz="0" w:space="0" w:color="auto"/>
        <w:bottom w:val="none" w:sz="0" w:space="0" w:color="auto"/>
        <w:right w:val="none" w:sz="0" w:space="0" w:color="auto"/>
      </w:divBdr>
    </w:div>
    <w:div w:id="1163594033">
      <w:bodyDiv w:val="1"/>
      <w:marLeft w:val="0"/>
      <w:marRight w:val="0"/>
      <w:marTop w:val="0"/>
      <w:marBottom w:val="0"/>
      <w:divBdr>
        <w:top w:val="none" w:sz="0" w:space="0" w:color="auto"/>
        <w:left w:val="none" w:sz="0" w:space="0" w:color="auto"/>
        <w:bottom w:val="none" w:sz="0" w:space="0" w:color="auto"/>
        <w:right w:val="none" w:sz="0" w:space="0" w:color="auto"/>
      </w:divBdr>
    </w:div>
    <w:div w:id="1163619252">
      <w:bodyDiv w:val="1"/>
      <w:marLeft w:val="0"/>
      <w:marRight w:val="0"/>
      <w:marTop w:val="0"/>
      <w:marBottom w:val="0"/>
      <w:divBdr>
        <w:top w:val="none" w:sz="0" w:space="0" w:color="auto"/>
        <w:left w:val="none" w:sz="0" w:space="0" w:color="auto"/>
        <w:bottom w:val="none" w:sz="0" w:space="0" w:color="auto"/>
        <w:right w:val="none" w:sz="0" w:space="0" w:color="auto"/>
      </w:divBdr>
    </w:div>
    <w:div w:id="1163622512">
      <w:bodyDiv w:val="1"/>
      <w:marLeft w:val="0"/>
      <w:marRight w:val="0"/>
      <w:marTop w:val="0"/>
      <w:marBottom w:val="0"/>
      <w:divBdr>
        <w:top w:val="none" w:sz="0" w:space="0" w:color="auto"/>
        <w:left w:val="none" w:sz="0" w:space="0" w:color="auto"/>
        <w:bottom w:val="none" w:sz="0" w:space="0" w:color="auto"/>
        <w:right w:val="none" w:sz="0" w:space="0" w:color="auto"/>
      </w:divBdr>
    </w:div>
    <w:div w:id="1163624080">
      <w:bodyDiv w:val="1"/>
      <w:marLeft w:val="0"/>
      <w:marRight w:val="0"/>
      <w:marTop w:val="0"/>
      <w:marBottom w:val="0"/>
      <w:divBdr>
        <w:top w:val="none" w:sz="0" w:space="0" w:color="auto"/>
        <w:left w:val="none" w:sz="0" w:space="0" w:color="auto"/>
        <w:bottom w:val="none" w:sz="0" w:space="0" w:color="auto"/>
        <w:right w:val="none" w:sz="0" w:space="0" w:color="auto"/>
      </w:divBdr>
    </w:div>
    <w:div w:id="1163738952">
      <w:bodyDiv w:val="1"/>
      <w:marLeft w:val="0"/>
      <w:marRight w:val="0"/>
      <w:marTop w:val="0"/>
      <w:marBottom w:val="0"/>
      <w:divBdr>
        <w:top w:val="none" w:sz="0" w:space="0" w:color="auto"/>
        <w:left w:val="none" w:sz="0" w:space="0" w:color="auto"/>
        <w:bottom w:val="none" w:sz="0" w:space="0" w:color="auto"/>
        <w:right w:val="none" w:sz="0" w:space="0" w:color="auto"/>
      </w:divBdr>
    </w:div>
    <w:div w:id="1163812301">
      <w:bodyDiv w:val="1"/>
      <w:marLeft w:val="0"/>
      <w:marRight w:val="0"/>
      <w:marTop w:val="0"/>
      <w:marBottom w:val="0"/>
      <w:divBdr>
        <w:top w:val="none" w:sz="0" w:space="0" w:color="auto"/>
        <w:left w:val="none" w:sz="0" w:space="0" w:color="auto"/>
        <w:bottom w:val="none" w:sz="0" w:space="0" w:color="auto"/>
        <w:right w:val="none" w:sz="0" w:space="0" w:color="auto"/>
      </w:divBdr>
    </w:div>
    <w:div w:id="1163937406">
      <w:bodyDiv w:val="1"/>
      <w:marLeft w:val="0"/>
      <w:marRight w:val="0"/>
      <w:marTop w:val="0"/>
      <w:marBottom w:val="0"/>
      <w:divBdr>
        <w:top w:val="none" w:sz="0" w:space="0" w:color="auto"/>
        <w:left w:val="none" w:sz="0" w:space="0" w:color="auto"/>
        <w:bottom w:val="none" w:sz="0" w:space="0" w:color="auto"/>
        <w:right w:val="none" w:sz="0" w:space="0" w:color="auto"/>
      </w:divBdr>
    </w:div>
    <w:div w:id="1164009944">
      <w:bodyDiv w:val="1"/>
      <w:marLeft w:val="0"/>
      <w:marRight w:val="0"/>
      <w:marTop w:val="0"/>
      <w:marBottom w:val="0"/>
      <w:divBdr>
        <w:top w:val="none" w:sz="0" w:space="0" w:color="auto"/>
        <w:left w:val="none" w:sz="0" w:space="0" w:color="auto"/>
        <w:bottom w:val="none" w:sz="0" w:space="0" w:color="auto"/>
        <w:right w:val="none" w:sz="0" w:space="0" w:color="auto"/>
      </w:divBdr>
    </w:div>
    <w:div w:id="1164053550">
      <w:bodyDiv w:val="1"/>
      <w:marLeft w:val="0"/>
      <w:marRight w:val="0"/>
      <w:marTop w:val="0"/>
      <w:marBottom w:val="0"/>
      <w:divBdr>
        <w:top w:val="none" w:sz="0" w:space="0" w:color="auto"/>
        <w:left w:val="none" w:sz="0" w:space="0" w:color="auto"/>
        <w:bottom w:val="none" w:sz="0" w:space="0" w:color="auto"/>
        <w:right w:val="none" w:sz="0" w:space="0" w:color="auto"/>
      </w:divBdr>
    </w:div>
    <w:div w:id="1164397493">
      <w:bodyDiv w:val="1"/>
      <w:marLeft w:val="0"/>
      <w:marRight w:val="0"/>
      <w:marTop w:val="0"/>
      <w:marBottom w:val="0"/>
      <w:divBdr>
        <w:top w:val="none" w:sz="0" w:space="0" w:color="auto"/>
        <w:left w:val="none" w:sz="0" w:space="0" w:color="auto"/>
        <w:bottom w:val="none" w:sz="0" w:space="0" w:color="auto"/>
        <w:right w:val="none" w:sz="0" w:space="0" w:color="auto"/>
      </w:divBdr>
    </w:div>
    <w:div w:id="1164399778">
      <w:bodyDiv w:val="1"/>
      <w:marLeft w:val="0"/>
      <w:marRight w:val="0"/>
      <w:marTop w:val="0"/>
      <w:marBottom w:val="0"/>
      <w:divBdr>
        <w:top w:val="none" w:sz="0" w:space="0" w:color="auto"/>
        <w:left w:val="none" w:sz="0" w:space="0" w:color="auto"/>
        <w:bottom w:val="none" w:sz="0" w:space="0" w:color="auto"/>
        <w:right w:val="none" w:sz="0" w:space="0" w:color="auto"/>
      </w:divBdr>
    </w:div>
    <w:div w:id="1164779432">
      <w:bodyDiv w:val="1"/>
      <w:marLeft w:val="0"/>
      <w:marRight w:val="0"/>
      <w:marTop w:val="0"/>
      <w:marBottom w:val="0"/>
      <w:divBdr>
        <w:top w:val="none" w:sz="0" w:space="0" w:color="auto"/>
        <w:left w:val="none" w:sz="0" w:space="0" w:color="auto"/>
        <w:bottom w:val="none" w:sz="0" w:space="0" w:color="auto"/>
        <w:right w:val="none" w:sz="0" w:space="0" w:color="auto"/>
      </w:divBdr>
    </w:div>
    <w:div w:id="1164933358">
      <w:bodyDiv w:val="1"/>
      <w:marLeft w:val="0"/>
      <w:marRight w:val="0"/>
      <w:marTop w:val="0"/>
      <w:marBottom w:val="0"/>
      <w:divBdr>
        <w:top w:val="none" w:sz="0" w:space="0" w:color="auto"/>
        <w:left w:val="none" w:sz="0" w:space="0" w:color="auto"/>
        <w:bottom w:val="none" w:sz="0" w:space="0" w:color="auto"/>
        <w:right w:val="none" w:sz="0" w:space="0" w:color="auto"/>
      </w:divBdr>
    </w:div>
    <w:div w:id="1164970927">
      <w:bodyDiv w:val="1"/>
      <w:marLeft w:val="0"/>
      <w:marRight w:val="0"/>
      <w:marTop w:val="0"/>
      <w:marBottom w:val="0"/>
      <w:divBdr>
        <w:top w:val="none" w:sz="0" w:space="0" w:color="auto"/>
        <w:left w:val="none" w:sz="0" w:space="0" w:color="auto"/>
        <w:bottom w:val="none" w:sz="0" w:space="0" w:color="auto"/>
        <w:right w:val="none" w:sz="0" w:space="0" w:color="auto"/>
      </w:divBdr>
    </w:div>
    <w:div w:id="1164973382">
      <w:bodyDiv w:val="1"/>
      <w:marLeft w:val="0"/>
      <w:marRight w:val="0"/>
      <w:marTop w:val="0"/>
      <w:marBottom w:val="0"/>
      <w:divBdr>
        <w:top w:val="none" w:sz="0" w:space="0" w:color="auto"/>
        <w:left w:val="none" w:sz="0" w:space="0" w:color="auto"/>
        <w:bottom w:val="none" w:sz="0" w:space="0" w:color="auto"/>
        <w:right w:val="none" w:sz="0" w:space="0" w:color="auto"/>
      </w:divBdr>
    </w:div>
    <w:div w:id="1165242075">
      <w:bodyDiv w:val="1"/>
      <w:marLeft w:val="0"/>
      <w:marRight w:val="0"/>
      <w:marTop w:val="0"/>
      <w:marBottom w:val="0"/>
      <w:divBdr>
        <w:top w:val="none" w:sz="0" w:space="0" w:color="auto"/>
        <w:left w:val="none" w:sz="0" w:space="0" w:color="auto"/>
        <w:bottom w:val="none" w:sz="0" w:space="0" w:color="auto"/>
        <w:right w:val="none" w:sz="0" w:space="0" w:color="auto"/>
      </w:divBdr>
    </w:div>
    <w:div w:id="1165248240">
      <w:bodyDiv w:val="1"/>
      <w:marLeft w:val="0"/>
      <w:marRight w:val="0"/>
      <w:marTop w:val="0"/>
      <w:marBottom w:val="0"/>
      <w:divBdr>
        <w:top w:val="none" w:sz="0" w:space="0" w:color="auto"/>
        <w:left w:val="none" w:sz="0" w:space="0" w:color="auto"/>
        <w:bottom w:val="none" w:sz="0" w:space="0" w:color="auto"/>
        <w:right w:val="none" w:sz="0" w:space="0" w:color="auto"/>
      </w:divBdr>
    </w:div>
    <w:div w:id="1165440183">
      <w:bodyDiv w:val="1"/>
      <w:marLeft w:val="0"/>
      <w:marRight w:val="0"/>
      <w:marTop w:val="0"/>
      <w:marBottom w:val="0"/>
      <w:divBdr>
        <w:top w:val="none" w:sz="0" w:space="0" w:color="auto"/>
        <w:left w:val="none" w:sz="0" w:space="0" w:color="auto"/>
        <w:bottom w:val="none" w:sz="0" w:space="0" w:color="auto"/>
        <w:right w:val="none" w:sz="0" w:space="0" w:color="auto"/>
      </w:divBdr>
    </w:div>
    <w:div w:id="1165510474">
      <w:bodyDiv w:val="1"/>
      <w:marLeft w:val="0"/>
      <w:marRight w:val="0"/>
      <w:marTop w:val="0"/>
      <w:marBottom w:val="0"/>
      <w:divBdr>
        <w:top w:val="none" w:sz="0" w:space="0" w:color="auto"/>
        <w:left w:val="none" w:sz="0" w:space="0" w:color="auto"/>
        <w:bottom w:val="none" w:sz="0" w:space="0" w:color="auto"/>
        <w:right w:val="none" w:sz="0" w:space="0" w:color="auto"/>
      </w:divBdr>
    </w:div>
    <w:div w:id="1165516057">
      <w:bodyDiv w:val="1"/>
      <w:marLeft w:val="0"/>
      <w:marRight w:val="0"/>
      <w:marTop w:val="0"/>
      <w:marBottom w:val="0"/>
      <w:divBdr>
        <w:top w:val="none" w:sz="0" w:space="0" w:color="auto"/>
        <w:left w:val="none" w:sz="0" w:space="0" w:color="auto"/>
        <w:bottom w:val="none" w:sz="0" w:space="0" w:color="auto"/>
        <w:right w:val="none" w:sz="0" w:space="0" w:color="auto"/>
      </w:divBdr>
    </w:div>
    <w:div w:id="1165628096">
      <w:bodyDiv w:val="1"/>
      <w:marLeft w:val="0"/>
      <w:marRight w:val="0"/>
      <w:marTop w:val="0"/>
      <w:marBottom w:val="0"/>
      <w:divBdr>
        <w:top w:val="none" w:sz="0" w:space="0" w:color="auto"/>
        <w:left w:val="none" w:sz="0" w:space="0" w:color="auto"/>
        <w:bottom w:val="none" w:sz="0" w:space="0" w:color="auto"/>
        <w:right w:val="none" w:sz="0" w:space="0" w:color="auto"/>
      </w:divBdr>
    </w:div>
    <w:div w:id="1165821666">
      <w:bodyDiv w:val="1"/>
      <w:marLeft w:val="0"/>
      <w:marRight w:val="0"/>
      <w:marTop w:val="0"/>
      <w:marBottom w:val="0"/>
      <w:divBdr>
        <w:top w:val="none" w:sz="0" w:space="0" w:color="auto"/>
        <w:left w:val="none" w:sz="0" w:space="0" w:color="auto"/>
        <w:bottom w:val="none" w:sz="0" w:space="0" w:color="auto"/>
        <w:right w:val="none" w:sz="0" w:space="0" w:color="auto"/>
      </w:divBdr>
    </w:div>
    <w:div w:id="1165894648">
      <w:bodyDiv w:val="1"/>
      <w:marLeft w:val="0"/>
      <w:marRight w:val="0"/>
      <w:marTop w:val="0"/>
      <w:marBottom w:val="0"/>
      <w:divBdr>
        <w:top w:val="none" w:sz="0" w:space="0" w:color="auto"/>
        <w:left w:val="none" w:sz="0" w:space="0" w:color="auto"/>
        <w:bottom w:val="none" w:sz="0" w:space="0" w:color="auto"/>
        <w:right w:val="none" w:sz="0" w:space="0" w:color="auto"/>
      </w:divBdr>
    </w:div>
    <w:div w:id="1166284010">
      <w:bodyDiv w:val="1"/>
      <w:marLeft w:val="0"/>
      <w:marRight w:val="0"/>
      <w:marTop w:val="0"/>
      <w:marBottom w:val="0"/>
      <w:divBdr>
        <w:top w:val="none" w:sz="0" w:space="0" w:color="auto"/>
        <w:left w:val="none" w:sz="0" w:space="0" w:color="auto"/>
        <w:bottom w:val="none" w:sz="0" w:space="0" w:color="auto"/>
        <w:right w:val="none" w:sz="0" w:space="0" w:color="auto"/>
      </w:divBdr>
    </w:div>
    <w:div w:id="1166361223">
      <w:bodyDiv w:val="1"/>
      <w:marLeft w:val="0"/>
      <w:marRight w:val="0"/>
      <w:marTop w:val="0"/>
      <w:marBottom w:val="0"/>
      <w:divBdr>
        <w:top w:val="none" w:sz="0" w:space="0" w:color="auto"/>
        <w:left w:val="none" w:sz="0" w:space="0" w:color="auto"/>
        <w:bottom w:val="none" w:sz="0" w:space="0" w:color="auto"/>
        <w:right w:val="none" w:sz="0" w:space="0" w:color="auto"/>
      </w:divBdr>
    </w:div>
    <w:div w:id="1166363945">
      <w:bodyDiv w:val="1"/>
      <w:marLeft w:val="0"/>
      <w:marRight w:val="0"/>
      <w:marTop w:val="0"/>
      <w:marBottom w:val="0"/>
      <w:divBdr>
        <w:top w:val="none" w:sz="0" w:space="0" w:color="auto"/>
        <w:left w:val="none" w:sz="0" w:space="0" w:color="auto"/>
        <w:bottom w:val="none" w:sz="0" w:space="0" w:color="auto"/>
        <w:right w:val="none" w:sz="0" w:space="0" w:color="auto"/>
      </w:divBdr>
    </w:div>
    <w:div w:id="1166478375">
      <w:bodyDiv w:val="1"/>
      <w:marLeft w:val="0"/>
      <w:marRight w:val="0"/>
      <w:marTop w:val="0"/>
      <w:marBottom w:val="0"/>
      <w:divBdr>
        <w:top w:val="none" w:sz="0" w:space="0" w:color="auto"/>
        <w:left w:val="none" w:sz="0" w:space="0" w:color="auto"/>
        <w:bottom w:val="none" w:sz="0" w:space="0" w:color="auto"/>
        <w:right w:val="none" w:sz="0" w:space="0" w:color="auto"/>
      </w:divBdr>
    </w:div>
    <w:div w:id="1166507171">
      <w:bodyDiv w:val="1"/>
      <w:marLeft w:val="0"/>
      <w:marRight w:val="0"/>
      <w:marTop w:val="0"/>
      <w:marBottom w:val="0"/>
      <w:divBdr>
        <w:top w:val="none" w:sz="0" w:space="0" w:color="auto"/>
        <w:left w:val="none" w:sz="0" w:space="0" w:color="auto"/>
        <w:bottom w:val="none" w:sz="0" w:space="0" w:color="auto"/>
        <w:right w:val="none" w:sz="0" w:space="0" w:color="auto"/>
      </w:divBdr>
    </w:div>
    <w:div w:id="1166822362">
      <w:bodyDiv w:val="1"/>
      <w:marLeft w:val="0"/>
      <w:marRight w:val="0"/>
      <w:marTop w:val="0"/>
      <w:marBottom w:val="0"/>
      <w:divBdr>
        <w:top w:val="none" w:sz="0" w:space="0" w:color="auto"/>
        <w:left w:val="none" w:sz="0" w:space="0" w:color="auto"/>
        <w:bottom w:val="none" w:sz="0" w:space="0" w:color="auto"/>
        <w:right w:val="none" w:sz="0" w:space="0" w:color="auto"/>
      </w:divBdr>
    </w:div>
    <w:div w:id="1166898070">
      <w:bodyDiv w:val="1"/>
      <w:marLeft w:val="0"/>
      <w:marRight w:val="0"/>
      <w:marTop w:val="0"/>
      <w:marBottom w:val="0"/>
      <w:divBdr>
        <w:top w:val="none" w:sz="0" w:space="0" w:color="auto"/>
        <w:left w:val="none" w:sz="0" w:space="0" w:color="auto"/>
        <w:bottom w:val="none" w:sz="0" w:space="0" w:color="auto"/>
        <w:right w:val="none" w:sz="0" w:space="0" w:color="auto"/>
      </w:divBdr>
    </w:div>
    <w:div w:id="1166900860">
      <w:bodyDiv w:val="1"/>
      <w:marLeft w:val="0"/>
      <w:marRight w:val="0"/>
      <w:marTop w:val="0"/>
      <w:marBottom w:val="0"/>
      <w:divBdr>
        <w:top w:val="none" w:sz="0" w:space="0" w:color="auto"/>
        <w:left w:val="none" w:sz="0" w:space="0" w:color="auto"/>
        <w:bottom w:val="none" w:sz="0" w:space="0" w:color="auto"/>
        <w:right w:val="none" w:sz="0" w:space="0" w:color="auto"/>
      </w:divBdr>
    </w:div>
    <w:div w:id="1167017977">
      <w:bodyDiv w:val="1"/>
      <w:marLeft w:val="0"/>
      <w:marRight w:val="0"/>
      <w:marTop w:val="0"/>
      <w:marBottom w:val="0"/>
      <w:divBdr>
        <w:top w:val="none" w:sz="0" w:space="0" w:color="auto"/>
        <w:left w:val="none" w:sz="0" w:space="0" w:color="auto"/>
        <w:bottom w:val="none" w:sz="0" w:space="0" w:color="auto"/>
        <w:right w:val="none" w:sz="0" w:space="0" w:color="auto"/>
      </w:divBdr>
    </w:div>
    <w:div w:id="1167091269">
      <w:bodyDiv w:val="1"/>
      <w:marLeft w:val="0"/>
      <w:marRight w:val="0"/>
      <w:marTop w:val="0"/>
      <w:marBottom w:val="0"/>
      <w:divBdr>
        <w:top w:val="none" w:sz="0" w:space="0" w:color="auto"/>
        <w:left w:val="none" w:sz="0" w:space="0" w:color="auto"/>
        <w:bottom w:val="none" w:sz="0" w:space="0" w:color="auto"/>
        <w:right w:val="none" w:sz="0" w:space="0" w:color="auto"/>
      </w:divBdr>
    </w:div>
    <w:div w:id="1167289554">
      <w:bodyDiv w:val="1"/>
      <w:marLeft w:val="0"/>
      <w:marRight w:val="0"/>
      <w:marTop w:val="0"/>
      <w:marBottom w:val="0"/>
      <w:divBdr>
        <w:top w:val="none" w:sz="0" w:space="0" w:color="auto"/>
        <w:left w:val="none" w:sz="0" w:space="0" w:color="auto"/>
        <w:bottom w:val="none" w:sz="0" w:space="0" w:color="auto"/>
        <w:right w:val="none" w:sz="0" w:space="0" w:color="auto"/>
      </w:divBdr>
    </w:div>
    <w:div w:id="1167399384">
      <w:bodyDiv w:val="1"/>
      <w:marLeft w:val="0"/>
      <w:marRight w:val="0"/>
      <w:marTop w:val="0"/>
      <w:marBottom w:val="0"/>
      <w:divBdr>
        <w:top w:val="none" w:sz="0" w:space="0" w:color="auto"/>
        <w:left w:val="none" w:sz="0" w:space="0" w:color="auto"/>
        <w:bottom w:val="none" w:sz="0" w:space="0" w:color="auto"/>
        <w:right w:val="none" w:sz="0" w:space="0" w:color="auto"/>
      </w:divBdr>
    </w:div>
    <w:div w:id="1167552311">
      <w:bodyDiv w:val="1"/>
      <w:marLeft w:val="0"/>
      <w:marRight w:val="0"/>
      <w:marTop w:val="0"/>
      <w:marBottom w:val="0"/>
      <w:divBdr>
        <w:top w:val="none" w:sz="0" w:space="0" w:color="auto"/>
        <w:left w:val="none" w:sz="0" w:space="0" w:color="auto"/>
        <w:bottom w:val="none" w:sz="0" w:space="0" w:color="auto"/>
        <w:right w:val="none" w:sz="0" w:space="0" w:color="auto"/>
      </w:divBdr>
    </w:div>
    <w:div w:id="1167556015">
      <w:bodyDiv w:val="1"/>
      <w:marLeft w:val="0"/>
      <w:marRight w:val="0"/>
      <w:marTop w:val="0"/>
      <w:marBottom w:val="0"/>
      <w:divBdr>
        <w:top w:val="none" w:sz="0" w:space="0" w:color="auto"/>
        <w:left w:val="none" w:sz="0" w:space="0" w:color="auto"/>
        <w:bottom w:val="none" w:sz="0" w:space="0" w:color="auto"/>
        <w:right w:val="none" w:sz="0" w:space="0" w:color="auto"/>
      </w:divBdr>
    </w:div>
    <w:div w:id="1167592165">
      <w:bodyDiv w:val="1"/>
      <w:marLeft w:val="0"/>
      <w:marRight w:val="0"/>
      <w:marTop w:val="0"/>
      <w:marBottom w:val="0"/>
      <w:divBdr>
        <w:top w:val="none" w:sz="0" w:space="0" w:color="auto"/>
        <w:left w:val="none" w:sz="0" w:space="0" w:color="auto"/>
        <w:bottom w:val="none" w:sz="0" w:space="0" w:color="auto"/>
        <w:right w:val="none" w:sz="0" w:space="0" w:color="auto"/>
      </w:divBdr>
    </w:div>
    <w:div w:id="1167601055">
      <w:bodyDiv w:val="1"/>
      <w:marLeft w:val="0"/>
      <w:marRight w:val="0"/>
      <w:marTop w:val="0"/>
      <w:marBottom w:val="0"/>
      <w:divBdr>
        <w:top w:val="none" w:sz="0" w:space="0" w:color="auto"/>
        <w:left w:val="none" w:sz="0" w:space="0" w:color="auto"/>
        <w:bottom w:val="none" w:sz="0" w:space="0" w:color="auto"/>
        <w:right w:val="none" w:sz="0" w:space="0" w:color="auto"/>
      </w:divBdr>
    </w:div>
    <w:div w:id="1167676372">
      <w:bodyDiv w:val="1"/>
      <w:marLeft w:val="0"/>
      <w:marRight w:val="0"/>
      <w:marTop w:val="0"/>
      <w:marBottom w:val="0"/>
      <w:divBdr>
        <w:top w:val="none" w:sz="0" w:space="0" w:color="auto"/>
        <w:left w:val="none" w:sz="0" w:space="0" w:color="auto"/>
        <w:bottom w:val="none" w:sz="0" w:space="0" w:color="auto"/>
        <w:right w:val="none" w:sz="0" w:space="0" w:color="auto"/>
      </w:divBdr>
    </w:div>
    <w:div w:id="1167750625">
      <w:bodyDiv w:val="1"/>
      <w:marLeft w:val="0"/>
      <w:marRight w:val="0"/>
      <w:marTop w:val="0"/>
      <w:marBottom w:val="0"/>
      <w:divBdr>
        <w:top w:val="none" w:sz="0" w:space="0" w:color="auto"/>
        <w:left w:val="none" w:sz="0" w:space="0" w:color="auto"/>
        <w:bottom w:val="none" w:sz="0" w:space="0" w:color="auto"/>
        <w:right w:val="none" w:sz="0" w:space="0" w:color="auto"/>
      </w:divBdr>
    </w:div>
    <w:div w:id="1167751632">
      <w:bodyDiv w:val="1"/>
      <w:marLeft w:val="0"/>
      <w:marRight w:val="0"/>
      <w:marTop w:val="0"/>
      <w:marBottom w:val="0"/>
      <w:divBdr>
        <w:top w:val="none" w:sz="0" w:space="0" w:color="auto"/>
        <w:left w:val="none" w:sz="0" w:space="0" w:color="auto"/>
        <w:bottom w:val="none" w:sz="0" w:space="0" w:color="auto"/>
        <w:right w:val="none" w:sz="0" w:space="0" w:color="auto"/>
      </w:divBdr>
    </w:div>
    <w:div w:id="1167791927">
      <w:bodyDiv w:val="1"/>
      <w:marLeft w:val="0"/>
      <w:marRight w:val="0"/>
      <w:marTop w:val="0"/>
      <w:marBottom w:val="0"/>
      <w:divBdr>
        <w:top w:val="none" w:sz="0" w:space="0" w:color="auto"/>
        <w:left w:val="none" w:sz="0" w:space="0" w:color="auto"/>
        <w:bottom w:val="none" w:sz="0" w:space="0" w:color="auto"/>
        <w:right w:val="none" w:sz="0" w:space="0" w:color="auto"/>
      </w:divBdr>
    </w:div>
    <w:div w:id="1168247407">
      <w:bodyDiv w:val="1"/>
      <w:marLeft w:val="0"/>
      <w:marRight w:val="0"/>
      <w:marTop w:val="0"/>
      <w:marBottom w:val="0"/>
      <w:divBdr>
        <w:top w:val="none" w:sz="0" w:space="0" w:color="auto"/>
        <w:left w:val="none" w:sz="0" w:space="0" w:color="auto"/>
        <w:bottom w:val="none" w:sz="0" w:space="0" w:color="auto"/>
        <w:right w:val="none" w:sz="0" w:space="0" w:color="auto"/>
      </w:divBdr>
    </w:div>
    <w:div w:id="1168597818">
      <w:bodyDiv w:val="1"/>
      <w:marLeft w:val="0"/>
      <w:marRight w:val="0"/>
      <w:marTop w:val="0"/>
      <w:marBottom w:val="0"/>
      <w:divBdr>
        <w:top w:val="none" w:sz="0" w:space="0" w:color="auto"/>
        <w:left w:val="none" w:sz="0" w:space="0" w:color="auto"/>
        <w:bottom w:val="none" w:sz="0" w:space="0" w:color="auto"/>
        <w:right w:val="none" w:sz="0" w:space="0" w:color="auto"/>
      </w:divBdr>
    </w:div>
    <w:div w:id="1168718092">
      <w:bodyDiv w:val="1"/>
      <w:marLeft w:val="0"/>
      <w:marRight w:val="0"/>
      <w:marTop w:val="0"/>
      <w:marBottom w:val="0"/>
      <w:divBdr>
        <w:top w:val="none" w:sz="0" w:space="0" w:color="auto"/>
        <w:left w:val="none" w:sz="0" w:space="0" w:color="auto"/>
        <w:bottom w:val="none" w:sz="0" w:space="0" w:color="auto"/>
        <w:right w:val="none" w:sz="0" w:space="0" w:color="auto"/>
      </w:divBdr>
    </w:div>
    <w:div w:id="1168864659">
      <w:bodyDiv w:val="1"/>
      <w:marLeft w:val="0"/>
      <w:marRight w:val="0"/>
      <w:marTop w:val="0"/>
      <w:marBottom w:val="0"/>
      <w:divBdr>
        <w:top w:val="none" w:sz="0" w:space="0" w:color="auto"/>
        <w:left w:val="none" w:sz="0" w:space="0" w:color="auto"/>
        <w:bottom w:val="none" w:sz="0" w:space="0" w:color="auto"/>
        <w:right w:val="none" w:sz="0" w:space="0" w:color="auto"/>
      </w:divBdr>
    </w:div>
    <w:div w:id="1168902380">
      <w:bodyDiv w:val="1"/>
      <w:marLeft w:val="0"/>
      <w:marRight w:val="0"/>
      <w:marTop w:val="0"/>
      <w:marBottom w:val="0"/>
      <w:divBdr>
        <w:top w:val="none" w:sz="0" w:space="0" w:color="auto"/>
        <w:left w:val="none" w:sz="0" w:space="0" w:color="auto"/>
        <w:bottom w:val="none" w:sz="0" w:space="0" w:color="auto"/>
        <w:right w:val="none" w:sz="0" w:space="0" w:color="auto"/>
      </w:divBdr>
    </w:div>
    <w:div w:id="1168908962">
      <w:bodyDiv w:val="1"/>
      <w:marLeft w:val="0"/>
      <w:marRight w:val="0"/>
      <w:marTop w:val="0"/>
      <w:marBottom w:val="0"/>
      <w:divBdr>
        <w:top w:val="none" w:sz="0" w:space="0" w:color="auto"/>
        <w:left w:val="none" w:sz="0" w:space="0" w:color="auto"/>
        <w:bottom w:val="none" w:sz="0" w:space="0" w:color="auto"/>
        <w:right w:val="none" w:sz="0" w:space="0" w:color="auto"/>
      </w:divBdr>
    </w:div>
    <w:div w:id="1168985122">
      <w:bodyDiv w:val="1"/>
      <w:marLeft w:val="0"/>
      <w:marRight w:val="0"/>
      <w:marTop w:val="0"/>
      <w:marBottom w:val="0"/>
      <w:divBdr>
        <w:top w:val="none" w:sz="0" w:space="0" w:color="auto"/>
        <w:left w:val="none" w:sz="0" w:space="0" w:color="auto"/>
        <w:bottom w:val="none" w:sz="0" w:space="0" w:color="auto"/>
        <w:right w:val="none" w:sz="0" w:space="0" w:color="auto"/>
      </w:divBdr>
    </w:div>
    <w:div w:id="1169294489">
      <w:bodyDiv w:val="1"/>
      <w:marLeft w:val="0"/>
      <w:marRight w:val="0"/>
      <w:marTop w:val="0"/>
      <w:marBottom w:val="0"/>
      <w:divBdr>
        <w:top w:val="none" w:sz="0" w:space="0" w:color="auto"/>
        <w:left w:val="none" w:sz="0" w:space="0" w:color="auto"/>
        <w:bottom w:val="none" w:sz="0" w:space="0" w:color="auto"/>
        <w:right w:val="none" w:sz="0" w:space="0" w:color="auto"/>
      </w:divBdr>
    </w:div>
    <w:div w:id="1169519740">
      <w:bodyDiv w:val="1"/>
      <w:marLeft w:val="0"/>
      <w:marRight w:val="0"/>
      <w:marTop w:val="0"/>
      <w:marBottom w:val="0"/>
      <w:divBdr>
        <w:top w:val="none" w:sz="0" w:space="0" w:color="auto"/>
        <w:left w:val="none" w:sz="0" w:space="0" w:color="auto"/>
        <w:bottom w:val="none" w:sz="0" w:space="0" w:color="auto"/>
        <w:right w:val="none" w:sz="0" w:space="0" w:color="auto"/>
      </w:divBdr>
    </w:div>
    <w:div w:id="1169712055">
      <w:bodyDiv w:val="1"/>
      <w:marLeft w:val="0"/>
      <w:marRight w:val="0"/>
      <w:marTop w:val="0"/>
      <w:marBottom w:val="0"/>
      <w:divBdr>
        <w:top w:val="none" w:sz="0" w:space="0" w:color="auto"/>
        <w:left w:val="none" w:sz="0" w:space="0" w:color="auto"/>
        <w:bottom w:val="none" w:sz="0" w:space="0" w:color="auto"/>
        <w:right w:val="none" w:sz="0" w:space="0" w:color="auto"/>
      </w:divBdr>
    </w:div>
    <w:div w:id="1169953328">
      <w:bodyDiv w:val="1"/>
      <w:marLeft w:val="0"/>
      <w:marRight w:val="0"/>
      <w:marTop w:val="0"/>
      <w:marBottom w:val="0"/>
      <w:divBdr>
        <w:top w:val="none" w:sz="0" w:space="0" w:color="auto"/>
        <w:left w:val="none" w:sz="0" w:space="0" w:color="auto"/>
        <w:bottom w:val="none" w:sz="0" w:space="0" w:color="auto"/>
        <w:right w:val="none" w:sz="0" w:space="0" w:color="auto"/>
      </w:divBdr>
    </w:div>
    <w:div w:id="1170026535">
      <w:bodyDiv w:val="1"/>
      <w:marLeft w:val="0"/>
      <w:marRight w:val="0"/>
      <w:marTop w:val="0"/>
      <w:marBottom w:val="0"/>
      <w:divBdr>
        <w:top w:val="none" w:sz="0" w:space="0" w:color="auto"/>
        <w:left w:val="none" w:sz="0" w:space="0" w:color="auto"/>
        <w:bottom w:val="none" w:sz="0" w:space="0" w:color="auto"/>
        <w:right w:val="none" w:sz="0" w:space="0" w:color="auto"/>
      </w:divBdr>
    </w:div>
    <w:div w:id="1170094605">
      <w:bodyDiv w:val="1"/>
      <w:marLeft w:val="0"/>
      <w:marRight w:val="0"/>
      <w:marTop w:val="0"/>
      <w:marBottom w:val="0"/>
      <w:divBdr>
        <w:top w:val="none" w:sz="0" w:space="0" w:color="auto"/>
        <w:left w:val="none" w:sz="0" w:space="0" w:color="auto"/>
        <w:bottom w:val="none" w:sz="0" w:space="0" w:color="auto"/>
        <w:right w:val="none" w:sz="0" w:space="0" w:color="auto"/>
      </w:divBdr>
    </w:div>
    <w:div w:id="1170099458">
      <w:bodyDiv w:val="1"/>
      <w:marLeft w:val="0"/>
      <w:marRight w:val="0"/>
      <w:marTop w:val="0"/>
      <w:marBottom w:val="0"/>
      <w:divBdr>
        <w:top w:val="none" w:sz="0" w:space="0" w:color="auto"/>
        <w:left w:val="none" w:sz="0" w:space="0" w:color="auto"/>
        <w:bottom w:val="none" w:sz="0" w:space="0" w:color="auto"/>
        <w:right w:val="none" w:sz="0" w:space="0" w:color="auto"/>
      </w:divBdr>
    </w:div>
    <w:div w:id="1170564499">
      <w:bodyDiv w:val="1"/>
      <w:marLeft w:val="0"/>
      <w:marRight w:val="0"/>
      <w:marTop w:val="0"/>
      <w:marBottom w:val="0"/>
      <w:divBdr>
        <w:top w:val="none" w:sz="0" w:space="0" w:color="auto"/>
        <w:left w:val="none" w:sz="0" w:space="0" w:color="auto"/>
        <w:bottom w:val="none" w:sz="0" w:space="0" w:color="auto"/>
        <w:right w:val="none" w:sz="0" w:space="0" w:color="auto"/>
      </w:divBdr>
    </w:div>
    <w:div w:id="1170634335">
      <w:bodyDiv w:val="1"/>
      <w:marLeft w:val="0"/>
      <w:marRight w:val="0"/>
      <w:marTop w:val="0"/>
      <w:marBottom w:val="0"/>
      <w:divBdr>
        <w:top w:val="none" w:sz="0" w:space="0" w:color="auto"/>
        <w:left w:val="none" w:sz="0" w:space="0" w:color="auto"/>
        <w:bottom w:val="none" w:sz="0" w:space="0" w:color="auto"/>
        <w:right w:val="none" w:sz="0" w:space="0" w:color="auto"/>
      </w:divBdr>
    </w:div>
    <w:div w:id="1170801959">
      <w:bodyDiv w:val="1"/>
      <w:marLeft w:val="0"/>
      <w:marRight w:val="0"/>
      <w:marTop w:val="0"/>
      <w:marBottom w:val="0"/>
      <w:divBdr>
        <w:top w:val="none" w:sz="0" w:space="0" w:color="auto"/>
        <w:left w:val="none" w:sz="0" w:space="0" w:color="auto"/>
        <w:bottom w:val="none" w:sz="0" w:space="0" w:color="auto"/>
        <w:right w:val="none" w:sz="0" w:space="0" w:color="auto"/>
      </w:divBdr>
    </w:div>
    <w:div w:id="1170828366">
      <w:bodyDiv w:val="1"/>
      <w:marLeft w:val="0"/>
      <w:marRight w:val="0"/>
      <w:marTop w:val="0"/>
      <w:marBottom w:val="0"/>
      <w:divBdr>
        <w:top w:val="none" w:sz="0" w:space="0" w:color="auto"/>
        <w:left w:val="none" w:sz="0" w:space="0" w:color="auto"/>
        <w:bottom w:val="none" w:sz="0" w:space="0" w:color="auto"/>
        <w:right w:val="none" w:sz="0" w:space="0" w:color="auto"/>
      </w:divBdr>
    </w:div>
    <w:div w:id="1171021197">
      <w:bodyDiv w:val="1"/>
      <w:marLeft w:val="0"/>
      <w:marRight w:val="0"/>
      <w:marTop w:val="0"/>
      <w:marBottom w:val="0"/>
      <w:divBdr>
        <w:top w:val="none" w:sz="0" w:space="0" w:color="auto"/>
        <w:left w:val="none" w:sz="0" w:space="0" w:color="auto"/>
        <w:bottom w:val="none" w:sz="0" w:space="0" w:color="auto"/>
        <w:right w:val="none" w:sz="0" w:space="0" w:color="auto"/>
      </w:divBdr>
    </w:div>
    <w:div w:id="1171215657">
      <w:bodyDiv w:val="1"/>
      <w:marLeft w:val="0"/>
      <w:marRight w:val="0"/>
      <w:marTop w:val="0"/>
      <w:marBottom w:val="0"/>
      <w:divBdr>
        <w:top w:val="none" w:sz="0" w:space="0" w:color="auto"/>
        <w:left w:val="none" w:sz="0" w:space="0" w:color="auto"/>
        <w:bottom w:val="none" w:sz="0" w:space="0" w:color="auto"/>
        <w:right w:val="none" w:sz="0" w:space="0" w:color="auto"/>
      </w:divBdr>
    </w:div>
    <w:div w:id="1171259548">
      <w:bodyDiv w:val="1"/>
      <w:marLeft w:val="0"/>
      <w:marRight w:val="0"/>
      <w:marTop w:val="0"/>
      <w:marBottom w:val="0"/>
      <w:divBdr>
        <w:top w:val="none" w:sz="0" w:space="0" w:color="auto"/>
        <w:left w:val="none" w:sz="0" w:space="0" w:color="auto"/>
        <w:bottom w:val="none" w:sz="0" w:space="0" w:color="auto"/>
        <w:right w:val="none" w:sz="0" w:space="0" w:color="auto"/>
      </w:divBdr>
    </w:div>
    <w:div w:id="1171405872">
      <w:bodyDiv w:val="1"/>
      <w:marLeft w:val="0"/>
      <w:marRight w:val="0"/>
      <w:marTop w:val="0"/>
      <w:marBottom w:val="0"/>
      <w:divBdr>
        <w:top w:val="none" w:sz="0" w:space="0" w:color="auto"/>
        <w:left w:val="none" w:sz="0" w:space="0" w:color="auto"/>
        <w:bottom w:val="none" w:sz="0" w:space="0" w:color="auto"/>
        <w:right w:val="none" w:sz="0" w:space="0" w:color="auto"/>
      </w:divBdr>
    </w:div>
    <w:div w:id="1171487421">
      <w:bodyDiv w:val="1"/>
      <w:marLeft w:val="0"/>
      <w:marRight w:val="0"/>
      <w:marTop w:val="0"/>
      <w:marBottom w:val="0"/>
      <w:divBdr>
        <w:top w:val="none" w:sz="0" w:space="0" w:color="auto"/>
        <w:left w:val="none" w:sz="0" w:space="0" w:color="auto"/>
        <w:bottom w:val="none" w:sz="0" w:space="0" w:color="auto"/>
        <w:right w:val="none" w:sz="0" w:space="0" w:color="auto"/>
      </w:divBdr>
    </w:div>
    <w:div w:id="1171531486">
      <w:bodyDiv w:val="1"/>
      <w:marLeft w:val="0"/>
      <w:marRight w:val="0"/>
      <w:marTop w:val="0"/>
      <w:marBottom w:val="0"/>
      <w:divBdr>
        <w:top w:val="none" w:sz="0" w:space="0" w:color="auto"/>
        <w:left w:val="none" w:sz="0" w:space="0" w:color="auto"/>
        <w:bottom w:val="none" w:sz="0" w:space="0" w:color="auto"/>
        <w:right w:val="none" w:sz="0" w:space="0" w:color="auto"/>
      </w:divBdr>
    </w:div>
    <w:div w:id="1171682583">
      <w:bodyDiv w:val="1"/>
      <w:marLeft w:val="0"/>
      <w:marRight w:val="0"/>
      <w:marTop w:val="0"/>
      <w:marBottom w:val="0"/>
      <w:divBdr>
        <w:top w:val="none" w:sz="0" w:space="0" w:color="auto"/>
        <w:left w:val="none" w:sz="0" w:space="0" w:color="auto"/>
        <w:bottom w:val="none" w:sz="0" w:space="0" w:color="auto"/>
        <w:right w:val="none" w:sz="0" w:space="0" w:color="auto"/>
      </w:divBdr>
    </w:div>
    <w:div w:id="1171683281">
      <w:bodyDiv w:val="1"/>
      <w:marLeft w:val="0"/>
      <w:marRight w:val="0"/>
      <w:marTop w:val="0"/>
      <w:marBottom w:val="0"/>
      <w:divBdr>
        <w:top w:val="none" w:sz="0" w:space="0" w:color="auto"/>
        <w:left w:val="none" w:sz="0" w:space="0" w:color="auto"/>
        <w:bottom w:val="none" w:sz="0" w:space="0" w:color="auto"/>
        <w:right w:val="none" w:sz="0" w:space="0" w:color="auto"/>
      </w:divBdr>
    </w:div>
    <w:div w:id="1171720412">
      <w:bodyDiv w:val="1"/>
      <w:marLeft w:val="0"/>
      <w:marRight w:val="0"/>
      <w:marTop w:val="0"/>
      <w:marBottom w:val="0"/>
      <w:divBdr>
        <w:top w:val="none" w:sz="0" w:space="0" w:color="auto"/>
        <w:left w:val="none" w:sz="0" w:space="0" w:color="auto"/>
        <w:bottom w:val="none" w:sz="0" w:space="0" w:color="auto"/>
        <w:right w:val="none" w:sz="0" w:space="0" w:color="auto"/>
      </w:divBdr>
    </w:div>
    <w:div w:id="1171793887">
      <w:bodyDiv w:val="1"/>
      <w:marLeft w:val="0"/>
      <w:marRight w:val="0"/>
      <w:marTop w:val="0"/>
      <w:marBottom w:val="0"/>
      <w:divBdr>
        <w:top w:val="none" w:sz="0" w:space="0" w:color="auto"/>
        <w:left w:val="none" w:sz="0" w:space="0" w:color="auto"/>
        <w:bottom w:val="none" w:sz="0" w:space="0" w:color="auto"/>
        <w:right w:val="none" w:sz="0" w:space="0" w:color="auto"/>
      </w:divBdr>
    </w:div>
    <w:div w:id="1172070186">
      <w:bodyDiv w:val="1"/>
      <w:marLeft w:val="0"/>
      <w:marRight w:val="0"/>
      <w:marTop w:val="0"/>
      <w:marBottom w:val="0"/>
      <w:divBdr>
        <w:top w:val="none" w:sz="0" w:space="0" w:color="auto"/>
        <w:left w:val="none" w:sz="0" w:space="0" w:color="auto"/>
        <w:bottom w:val="none" w:sz="0" w:space="0" w:color="auto"/>
        <w:right w:val="none" w:sz="0" w:space="0" w:color="auto"/>
      </w:divBdr>
    </w:div>
    <w:div w:id="1172183246">
      <w:bodyDiv w:val="1"/>
      <w:marLeft w:val="0"/>
      <w:marRight w:val="0"/>
      <w:marTop w:val="0"/>
      <w:marBottom w:val="0"/>
      <w:divBdr>
        <w:top w:val="none" w:sz="0" w:space="0" w:color="auto"/>
        <w:left w:val="none" w:sz="0" w:space="0" w:color="auto"/>
        <w:bottom w:val="none" w:sz="0" w:space="0" w:color="auto"/>
        <w:right w:val="none" w:sz="0" w:space="0" w:color="auto"/>
      </w:divBdr>
    </w:div>
    <w:div w:id="1172262055">
      <w:bodyDiv w:val="1"/>
      <w:marLeft w:val="0"/>
      <w:marRight w:val="0"/>
      <w:marTop w:val="0"/>
      <w:marBottom w:val="0"/>
      <w:divBdr>
        <w:top w:val="none" w:sz="0" w:space="0" w:color="auto"/>
        <w:left w:val="none" w:sz="0" w:space="0" w:color="auto"/>
        <w:bottom w:val="none" w:sz="0" w:space="0" w:color="auto"/>
        <w:right w:val="none" w:sz="0" w:space="0" w:color="auto"/>
      </w:divBdr>
    </w:div>
    <w:div w:id="1172262350">
      <w:bodyDiv w:val="1"/>
      <w:marLeft w:val="0"/>
      <w:marRight w:val="0"/>
      <w:marTop w:val="0"/>
      <w:marBottom w:val="0"/>
      <w:divBdr>
        <w:top w:val="none" w:sz="0" w:space="0" w:color="auto"/>
        <w:left w:val="none" w:sz="0" w:space="0" w:color="auto"/>
        <w:bottom w:val="none" w:sz="0" w:space="0" w:color="auto"/>
        <w:right w:val="none" w:sz="0" w:space="0" w:color="auto"/>
      </w:divBdr>
    </w:div>
    <w:div w:id="1172447070">
      <w:bodyDiv w:val="1"/>
      <w:marLeft w:val="0"/>
      <w:marRight w:val="0"/>
      <w:marTop w:val="0"/>
      <w:marBottom w:val="0"/>
      <w:divBdr>
        <w:top w:val="none" w:sz="0" w:space="0" w:color="auto"/>
        <w:left w:val="none" w:sz="0" w:space="0" w:color="auto"/>
        <w:bottom w:val="none" w:sz="0" w:space="0" w:color="auto"/>
        <w:right w:val="none" w:sz="0" w:space="0" w:color="auto"/>
      </w:divBdr>
    </w:div>
    <w:div w:id="1172451474">
      <w:bodyDiv w:val="1"/>
      <w:marLeft w:val="0"/>
      <w:marRight w:val="0"/>
      <w:marTop w:val="0"/>
      <w:marBottom w:val="0"/>
      <w:divBdr>
        <w:top w:val="none" w:sz="0" w:space="0" w:color="auto"/>
        <w:left w:val="none" w:sz="0" w:space="0" w:color="auto"/>
        <w:bottom w:val="none" w:sz="0" w:space="0" w:color="auto"/>
        <w:right w:val="none" w:sz="0" w:space="0" w:color="auto"/>
      </w:divBdr>
    </w:div>
    <w:div w:id="1172454768">
      <w:bodyDiv w:val="1"/>
      <w:marLeft w:val="0"/>
      <w:marRight w:val="0"/>
      <w:marTop w:val="0"/>
      <w:marBottom w:val="0"/>
      <w:divBdr>
        <w:top w:val="none" w:sz="0" w:space="0" w:color="auto"/>
        <w:left w:val="none" w:sz="0" w:space="0" w:color="auto"/>
        <w:bottom w:val="none" w:sz="0" w:space="0" w:color="auto"/>
        <w:right w:val="none" w:sz="0" w:space="0" w:color="auto"/>
      </w:divBdr>
    </w:div>
    <w:div w:id="1172645753">
      <w:bodyDiv w:val="1"/>
      <w:marLeft w:val="0"/>
      <w:marRight w:val="0"/>
      <w:marTop w:val="0"/>
      <w:marBottom w:val="0"/>
      <w:divBdr>
        <w:top w:val="none" w:sz="0" w:space="0" w:color="auto"/>
        <w:left w:val="none" w:sz="0" w:space="0" w:color="auto"/>
        <w:bottom w:val="none" w:sz="0" w:space="0" w:color="auto"/>
        <w:right w:val="none" w:sz="0" w:space="0" w:color="auto"/>
      </w:divBdr>
    </w:div>
    <w:div w:id="1172723587">
      <w:bodyDiv w:val="1"/>
      <w:marLeft w:val="0"/>
      <w:marRight w:val="0"/>
      <w:marTop w:val="0"/>
      <w:marBottom w:val="0"/>
      <w:divBdr>
        <w:top w:val="none" w:sz="0" w:space="0" w:color="auto"/>
        <w:left w:val="none" w:sz="0" w:space="0" w:color="auto"/>
        <w:bottom w:val="none" w:sz="0" w:space="0" w:color="auto"/>
        <w:right w:val="none" w:sz="0" w:space="0" w:color="auto"/>
      </w:divBdr>
    </w:div>
    <w:div w:id="1172794935">
      <w:bodyDiv w:val="1"/>
      <w:marLeft w:val="0"/>
      <w:marRight w:val="0"/>
      <w:marTop w:val="0"/>
      <w:marBottom w:val="0"/>
      <w:divBdr>
        <w:top w:val="none" w:sz="0" w:space="0" w:color="auto"/>
        <w:left w:val="none" w:sz="0" w:space="0" w:color="auto"/>
        <w:bottom w:val="none" w:sz="0" w:space="0" w:color="auto"/>
        <w:right w:val="none" w:sz="0" w:space="0" w:color="auto"/>
      </w:divBdr>
    </w:div>
    <w:div w:id="1172797240">
      <w:bodyDiv w:val="1"/>
      <w:marLeft w:val="0"/>
      <w:marRight w:val="0"/>
      <w:marTop w:val="0"/>
      <w:marBottom w:val="0"/>
      <w:divBdr>
        <w:top w:val="none" w:sz="0" w:space="0" w:color="auto"/>
        <w:left w:val="none" w:sz="0" w:space="0" w:color="auto"/>
        <w:bottom w:val="none" w:sz="0" w:space="0" w:color="auto"/>
        <w:right w:val="none" w:sz="0" w:space="0" w:color="auto"/>
      </w:divBdr>
    </w:div>
    <w:div w:id="1173036679">
      <w:bodyDiv w:val="1"/>
      <w:marLeft w:val="0"/>
      <w:marRight w:val="0"/>
      <w:marTop w:val="0"/>
      <w:marBottom w:val="0"/>
      <w:divBdr>
        <w:top w:val="none" w:sz="0" w:space="0" w:color="auto"/>
        <w:left w:val="none" w:sz="0" w:space="0" w:color="auto"/>
        <w:bottom w:val="none" w:sz="0" w:space="0" w:color="auto"/>
        <w:right w:val="none" w:sz="0" w:space="0" w:color="auto"/>
      </w:divBdr>
    </w:div>
    <w:div w:id="1173060286">
      <w:bodyDiv w:val="1"/>
      <w:marLeft w:val="0"/>
      <w:marRight w:val="0"/>
      <w:marTop w:val="0"/>
      <w:marBottom w:val="0"/>
      <w:divBdr>
        <w:top w:val="none" w:sz="0" w:space="0" w:color="auto"/>
        <w:left w:val="none" w:sz="0" w:space="0" w:color="auto"/>
        <w:bottom w:val="none" w:sz="0" w:space="0" w:color="auto"/>
        <w:right w:val="none" w:sz="0" w:space="0" w:color="auto"/>
      </w:divBdr>
    </w:div>
    <w:div w:id="1173228004">
      <w:bodyDiv w:val="1"/>
      <w:marLeft w:val="0"/>
      <w:marRight w:val="0"/>
      <w:marTop w:val="0"/>
      <w:marBottom w:val="0"/>
      <w:divBdr>
        <w:top w:val="none" w:sz="0" w:space="0" w:color="auto"/>
        <w:left w:val="none" w:sz="0" w:space="0" w:color="auto"/>
        <w:bottom w:val="none" w:sz="0" w:space="0" w:color="auto"/>
        <w:right w:val="none" w:sz="0" w:space="0" w:color="auto"/>
      </w:divBdr>
    </w:div>
    <w:div w:id="1173254842">
      <w:bodyDiv w:val="1"/>
      <w:marLeft w:val="0"/>
      <w:marRight w:val="0"/>
      <w:marTop w:val="0"/>
      <w:marBottom w:val="0"/>
      <w:divBdr>
        <w:top w:val="none" w:sz="0" w:space="0" w:color="auto"/>
        <w:left w:val="none" w:sz="0" w:space="0" w:color="auto"/>
        <w:bottom w:val="none" w:sz="0" w:space="0" w:color="auto"/>
        <w:right w:val="none" w:sz="0" w:space="0" w:color="auto"/>
      </w:divBdr>
    </w:div>
    <w:div w:id="1173448463">
      <w:bodyDiv w:val="1"/>
      <w:marLeft w:val="0"/>
      <w:marRight w:val="0"/>
      <w:marTop w:val="0"/>
      <w:marBottom w:val="0"/>
      <w:divBdr>
        <w:top w:val="none" w:sz="0" w:space="0" w:color="auto"/>
        <w:left w:val="none" w:sz="0" w:space="0" w:color="auto"/>
        <w:bottom w:val="none" w:sz="0" w:space="0" w:color="auto"/>
        <w:right w:val="none" w:sz="0" w:space="0" w:color="auto"/>
      </w:divBdr>
    </w:div>
    <w:div w:id="1173566155">
      <w:bodyDiv w:val="1"/>
      <w:marLeft w:val="0"/>
      <w:marRight w:val="0"/>
      <w:marTop w:val="0"/>
      <w:marBottom w:val="0"/>
      <w:divBdr>
        <w:top w:val="none" w:sz="0" w:space="0" w:color="auto"/>
        <w:left w:val="none" w:sz="0" w:space="0" w:color="auto"/>
        <w:bottom w:val="none" w:sz="0" w:space="0" w:color="auto"/>
        <w:right w:val="none" w:sz="0" w:space="0" w:color="auto"/>
      </w:divBdr>
    </w:div>
    <w:div w:id="1173571641">
      <w:bodyDiv w:val="1"/>
      <w:marLeft w:val="0"/>
      <w:marRight w:val="0"/>
      <w:marTop w:val="0"/>
      <w:marBottom w:val="0"/>
      <w:divBdr>
        <w:top w:val="none" w:sz="0" w:space="0" w:color="auto"/>
        <w:left w:val="none" w:sz="0" w:space="0" w:color="auto"/>
        <w:bottom w:val="none" w:sz="0" w:space="0" w:color="auto"/>
        <w:right w:val="none" w:sz="0" w:space="0" w:color="auto"/>
      </w:divBdr>
    </w:div>
    <w:div w:id="1173645413">
      <w:bodyDiv w:val="1"/>
      <w:marLeft w:val="0"/>
      <w:marRight w:val="0"/>
      <w:marTop w:val="0"/>
      <w:marBottom w:val="0"/>
      <w:divBdr>
        <w:top w:val="none" w:sz="0" w:space="0" w:color="auto"/>
        <w:left w:val="none" w:sz="0" w:space="0" w:color="auto"/>
        <w:bottom w:val="none" w:sz="0" w:space="0" w:color="auto"/>
        <w:right w:val="none" w:sz="0" w:space="0" w:color="auto"/>
      </w:divBdr>
    </w:div>
    <w:div w:id="1173645528">
      <w:bodyDiv w:val="1"/>
      <w:marLeft w:val="0"/>
      <w:marRight w:val="0"/>
      <w:marTop w:val="0"/>
      <w:marBottom w:val="0"/>
      <w:divBdr>
        <w:top w:val="none" w:sz="0" w:space="0" w:color="auto"/>
        <w:left w:val="none" w:sz="0" w:space="0" w:color="auto"/>
        <w:bottom w:val="none" w:sz="0" w:space="0" w:color="auto"/>
        <w:right w:val="none" w:sz="0" w:space="0" w:color="auto"/>
      </w:divBdr>
    </w:div>
    <w:div w:id="1173646813">
      <w:bodyDiv w:val="1"/>
      <w:marLeft w:val="0"/>
      <w:marRight w:val="0"/>
      <w:marTop w:val="0"/>
      <w:marBottom w:val="0"/>
      <w:divBdr>
        <w:top w:val="none" w:sz="0" w:space="0" w:color="auto"/>
        <w:left w:val="none" w:sz="0" w:space="0" w:color="auto"/>
        <w:bottom w:val="none" w:sz="0" w:space="0" w:color="auto"/>
        <w:right w:val="none" w:sz="0" w:space="0" w:color="auto"/>
      </w:divBdr>
    </w:div>
    <w:div w:id="1173834319">
      <w:bodyDiv w:val="1"/>
      <w:marLeft w:val="0"/>
      <w:marRight w:val="0"/>
      <w:marTop w:val="0"/>
      <w:marBottom w:val="0"/>
      <w:divBdr>
        <w:top w:val="none" w:sz="0" w:space="0" w:color="auto"/>
        <w:left w:val="none" w:sz="0" w:space="0" w:color="auto"/>
        <w:bottom w:val="none" w:sz="0" w:space="0" w:color="auto"/>
        <w:right w:val="none" w:sz="0" w:space="0" w:color="auto"/>
      </w:divBdr>
    </w:div>
    <w:div w:id="1173909243">
      <w:bodyDiv w:val="1"/>
      <w:marLeft w:val="0"/>
      <w:marRight w:val="0"/>
      <w:marTop w:val="0"/>
      <w:marBottom w:val="0"/>
      <w:divBdr>
        <w:top w:val="none" w:sz="0" w:space="0" w:color="auto"/>
        <w:left w:val="none" w:sz="0" w:space="0" w:color="auto"/>
        <w:bottom w:val="none" w:sz="0" w:space="0" w:color="auto"/>
        <w:right w:val="none" w:sz="0" w:space="0" w:color="auto"/>
      </w:divBdr>
    </w:div>
    <w:div w:id="1173910819">
      <w:bodyDiv w:val="1"/>
      <w:marLeft w:val="0"/>
      <w:marRight w:val="0"/>
      <w:marTop w:val="0"/>
      <w:marBottom w:val="0"/>
      <w:divBdr>
        <w:top w:val="none" w:sz="0" w:space="0" w:color="auto"/>
        <w:left w:val="none" w:sz="0" w:space="0" w:color="auto"/>
        <w:bottom w:val="none" w:sz="0" w:space="0" w:color="auto"/>
        <w:right w:val="none" w:sz="0" w:space="0" w:color="auto"/>
      </w:divBdr>
    </w:div>
    <w:div w:id="1174026205">
      <w:bodyDiv w:val="1"/>
      <w:marLeft w:val="0"/>
      <w:marRight w:val="0"/>
      <w:marTop w:val="0"/>
      <w:marBottom w:val="0"/>
      <w:divBdr>
        <w:top w:val="none" w:sz="0" w:space="0" w:color="auto"/>
        <w:left w:val="none" w:sz="0" w:space="0" w:color="auto"/>
        <w:bottom w:val="none" w:sz="0" w:space="0" w:color="auto"/>
        <w:right w:val="none" w:sz="0" w:space="0" w:color="auto"/>
      </w:divBdr>
    </w:div>
    <w:div w:id="1174035564">
      <w:bodyDiv w:val="1"/>
      <w:marLeft w:val="0"/>
      <w:marRight w:val="0"/>
      <w:marTop w:val="0"/>
      <w:marBottom w:val="0"/>
      <w:divBdr>
        <w:top w:val="none" w:sz="0" w:space="0" w:color="auto"/>
        <w:left w:val="none" w:sz="0" w:space="0" w:color="auto"/>
        <w:bottom w:val="none" w:sz="0" w:space="0" w:color="auto"/>
        <w:right w:val="none" w:sz="0" w:space="0" w:color="auto"/>
      </w:divBdr>
    </w:div>
    <w:div w:id="1174103618">
      <w:bodyDiv w:val="1"/>
      <w:marLeft w:val="0"/>
      <w:marRight w:val="0"/>
      <w:marTop w:val="0"/>
      <w:marBottom w:val="0"/>
      <w:divBdr>
        <w:top w:val="none" w:sz="0" w:space="0" w:color="auto"/>
        <w:left w:val="none" w:sz="0" w:space="0" w:color="auto"/>
        <w:bottom w:val="none" w:sz="0" w:space="0" w:color="auto"/>
        <w:right w:val="none" w:sz="0" w:space="0" w:color="auto"/>
      </w:divBdr>
    </w:div>
    <w:div w:id="1174109471">
      <w:bodyDiv w:val="1"/>
      <w:marLeft w:val="0"/>
      <w:marRight w:val="0"/>
      <w:marTop w:val="0"/>
      <w:marBottom w:val="0"/>
      <w:divBdr>
        <w:top w:val="none" w:sz="0" w:space="0" w:color="auto"/>
        <w:left w:val="none" w:sz="0" w:space="0" w:color="auto"/>
        <w:bottom w:val="none" w:sz="0" w:space="0" w:color="auto"/>
        <w:right w:val="none" w:sz="0" w:space="0" w:color="auto"/>
      </w:divBdr>
    </w:div>
    <w:div w:id="1174294956">
      <w:bodyDiv w:val="1"/>
      <w:marLeft w:val="0"/>
      <w:marRight w:val="0"/>
      <w:marTop w:val="0"/>
      <w:marBottom w:val="0"/>
      <w:divBdr>
        <w:top w:val="none" w:sz="0" w:space="0" w:color="auto"/>
        <w:left w:val="none" w:sz="0" w:space="0" w:color="auto"/>
        <w:bottom w:val="none" w:sz="0" w:space="0" w:color="auto"/>
        <w:right w:val="none" w:sz="0" w:space="0" w:color="auto"/>
      </w:divBdr>
    </w:div>
    <w:div w:id="1174303197">
      <w:bodyDiv w:val="1"/>
      <w:marLeft w:val="0"/>
      <w:marRight w:val="0"/>
      <w:marTop w:val="0"/>
      <w:marBottom w:val="0"/>
      <w:divBdr>
        <w:top w:val="none" w:sz="0" w:space="0" w:color="auto"/>
        <w:left w:val="none" w:sz="0" w:space="0" w:color="auto"/>
        <w:bottom w:val="none" w:sz="0" w:space="0" w:color="auto"/>
        <w:right w:val="none" w:sz="0" w:space="0" w:color="auto"/>
      </w:divBdr>
    </w:div>
    <w:div w:id="1174344824">
      <w:bodyDiv w:val="1"/>
      <w:marLeft w:val="0"/>
      <w:marRight w:val="0"/>
      <w:marTop w:val="0"/>
      <w:marBottom w:val="0"/>
      <w:divBdr>
        <w:top w:val="none" w:sz="0" w:space="0" w:color="auto"/>
        <w:left w:val="none" w:sz="0" w:space="0" w:color="auto"/>
        <w:bottom w:val="none" w:sz="0" w:space="0" w:color="auto"/>
        <w:right w:val="none" w:sz="0" w:space="0" w:color="auto"/>
      </w:divBdr>
    </w:div>
    <w:div w:id="1174566529">
      <w:bodyDiv w:val="1"/>
      <w:marLeft w:val="0"/>
      <w:marRight w:val="0"/>
      <w:marTop w:val="0"/>
      <w:marBottom w:val="0"/>
      <w:divBdr>
        <w:top w:val="none" w:sz="0" w:space="0" w:color="auto"/>
        <w:left w:val="none" w:sz="0" w:space="0" w:color="auto"/>
        <w:bottom w:val="none" w:sz="0" w:space="0" w:color="auto"/>
        <w:right w:val="none" w:sz="0" w:space="0" w:color="auto"/>
      </w:divBdr>
    </w:div>
    <w:div w:id="1174608979">
      <w:bodyDiv w:val="1"/>
      <w:marLeft w:val="0"/>
      <w:marRight w:val="0"/>
      <w:marTop w:val="0"/>
      <w:marBottom w:val="0"/>
      <w:divBdr>
        <w:top w:val="none" w:sz="0" w:space="0" w:color="auto"/>
        <w:left w:val="none" w:sz="0" w:space="0" w:color="auto"/>
        <w:bottom w:val="none" w:sz="0" w:space="0" w:color="auto"/>
        <w:right w:val="none" w:sz="0" w:space="0" w:color="auto"/>
      </w:divBdr>
    </w:div>
    <w:div w:id="1174690485">
      <w:bodyDiv w:val="1"/>
      <w:marLeft w:val="0"/>
      <w:marRight w:val="0"/>
      <w:marTop w:val="0"/>
      <w:marBottom w:val="0"/>
      <w:divBdr>
        <w:top w:val="none" w:sz="0" w:space="0" w:color="auto"/>
        <w:left w:val="none" w:sz="0" w:space="0" w:color="auto"/>
        <w:bottom w:val="none" w:sz="0" w:space="0" w:color="auto"/>
        <w:right w:val="none" w:sz="0" w:space="0" w:color="auto"/>
      </w:divBdr>
    </w:div>
    <w:div w:id="1174956059">
      <w:bodyDiv w:val="1"/>
      <w:marLeft w:val="0"/>
      <w:marRight w:val="0"/>
      <w:marTop w:val="0"/>
      <w:marBottom w:val="0"/>
      <w:divBdr>
        <w:top w:val="none" w:sz="0" w:space="0" w:color="auto"/>
        <w:left w:val="none" w:sz="0" w:space="0" w:color="auto"/>
        <w:bottom w:val="none" w:sz="0" w:space="0" w:color="auto"/>
        <w:right w:val="none" w:sz="0" w:space="0" w:color="auto"/>
      </w:divBdr>
    </w:div>
    <w:div w:id="1174956217">
      <w:bodyDiv w:val="1"/>
      <w:marLeft w:val="0"/>
      <w:marRight w:val="0"/>
      <w:marTop w:val="0"/>
      <w:marBottom w:val="0"/>
      <w:divBdr>
        <w:top w:val="none" w:sz="0" w:space="0" w:color="auto"/>
        <w:left w:val="none" w:sz="0" w:space="0" w:color="auto"/>
        <w:bottom w:val="none" w:sz="0" w:space="0" w:color="auto"/>
        <w:right w:val="none" w:sz="0" w:space="0" w:color="auto"/>
      </w:divBdr>
    </w:div>
    <w:div w:id="1175001532">
      <w:bodyDiv w:val="1"/>
      <w:marLeft w:val="0"/>
      <w:marRight w:val="0"/>
      <w:marTop w:val="0"/>
      <w:marBottom w:val="0"/>
      <w:divBdr>
        <w:top w:val="none" w:sz="0" w:space="0" w:color="auto"/>
        <w:left w:val="none" w:sz="0" w:space="0" w:color="auto"/>
        <w:bottom w:val="none" w:sz="0" w:space="0" w:color="auto"/>
        <w:right w:val="none" w:sz="0" w:space="0" w:color="auto"/>
      </w:divBdr>
    </w:div>
    <w:div w:id="1175194458">
      <w:bodyDiv w:val="1"/>
      <w:marLeft w:val="0"/>
      <w:marRight w:val="0"/>
      <w:marTop w:val="0"/>
      <w:marBottom w:val="0"/>
      <w:divBdr>
        <w:top w:val="none" w:sz="0" w:space="0" w:color="auto"/>
        <w:left w:val="none" w:sz="0" w:space="0" w:color="auto"/>
        <w:bottom w:val="none" w:sz="0" w:space="0" w:color="auto"/>
        <w:right w:val="none" w:sz="0" w:space="0" w:color="auto"/>
      </w:divBdr>
    </w:div>
    <w:div w:id="1175194630">
      <w:bodyDiv w:val="1"/>
      <w:marLeft w:val="0"/>
      <w:marRight w:val="0"/>
      <w:marTop w:val="0"/>
      <w:marBottom w:val="0"/>
      <w:divBdr>
        <w:top w:val="none" w:sz="0" w:space="0" w:color="auto"/>
        <w:left w:val="none" w:sz="0" w:space="0" w:color="auto"/>
        <w:bottom w:val="none" w:sz="0" w:space="0" w:color="auto"/>
        <w:right w:val="none" w:sz="0" w:space="0" w:color="auto"/>
      </w:divBdr>
    </w:div>
    <w:div w:id="1175220974">
      <w:bodyDiv w:val="1"/>
      <w:marLeft w:val="0"/>
      <w:marRight w:val="0"/>
      <w:marTop w:val="0"/>
      <w:marBottom w:val="0"/>
      <w:divBdr>
        <w:top w:val="none" w:sz="0" w:space="0" w:color="auto"/>
        <w:left w:val="none" w:sz="0" w:space="0" w:color="auto"/>
        <w:bottom w:val="none" w:sz="0" w:space="0" w:color="auto"/>
        <w:right w:val="none" w:sz="0" w:space="0" w:color="auto"/>
      </w:divBdr>
    </w:div>
    <w:div w:id="1175262166">
      <w:bodyDiv w:val="1"/>
      <w:marLeft w:val="0"/>
      <w:marRight w:val="0"/>
      <w:marTop w:val="0"/>
      <w:marBottom w:val="0"/>
      <w:divBdr>
        <w:top w:val="none" w:sz="0" w:space="0" w:color="auto"/>
        <w:left w:val="none" w:sz="0" w:space="0" w:color="auto"/>
        <w:bottom w:val="none" w:sz="0" w:space="0" w:color="auto"/>
        <w:right w:val="none" w:sz="0" w:space="0" w:color="auto"/>
      </w:divBdr>
    </w:div>
    <w:div w:id="1175264694">
      <w:bodyDiv w:val="1"/>
      <w:marLeft w:val="0"/>
      <w:marRight w:val="0"/>
      <w:marTop w:val="0"/>
      <w:marBottom w:val="0"/>
      <w:divBdr>
        <w:top w:val="none" w:sz="0" w:space="0" w:color="auto"/>
        <w:left w:val="none" w:sz="0" w:space="0" w:color="auto"/>
        <w:bottom w:val="none" w:sz="0" w:space="0" w:color="auto"/>
        <w:right w:val="none" w:sz="0" w:space="0" w:color="auto"/>
      </w:divBdr>
    </w:div>
    <w:div w:id="1175606238">
      <w:bodyDiv w:val="1"/>
      <w:marLeft w:val="0"/>
      <w:marRight w:val="0"/>
      <w:marTop w:val="0"/>
      <w:marBottom w:val="0"/>
      <w:divBdr>
        <w:top w:val="none" w:sz="0" w:space="0" w:color="auto"/>
        <w:left w:val="none" w:sz="0" w:space="0" w:color="auto"/>
        <w:bottom w:val="none" w:sz="0" w:space="0" w:color="auto"/>
        <w:right w:val="none" w:sz="0" w:space="0" w:color="auto"/>
      </w:divBdr>
    </w:div>
    <w:div w:id="1175613660">
      <w:bodyDiv w:val="1"/>
      <w:marLeft w:val="0"/>
      <w:marRight w:val="0"/>
      <w:marTop w:val="0"/>
      <w:marBottom w:val="0"/>
      <w:divBdr>
        <w:top w:val="none" w:sz="0" w:space="0" w:color="auto"/>
        <w:left w:val="none" w:sz="0" w:space="0" w:color="auto"/>
        <w:bottom w:val="none" w:sz="0" w:space="0" w:color="auto"/>
        <w:right w:val="none" w:sz="0" w:space="0" w:color="auto"/>
      </w:divBdr>
    </w:div>
    <w:div w:id="1175656442">
      <w:bodyDiv w:val="1"/>
      <w:marLeft w:val="0"/>
      <w:marRight w:val="0"/>
      <w:marTop w:val="0"/>
      <w:marBottom w:val="0"/>
      <w:divBdr>
        <w:top w:val="none" w:sz="0" w:space="0" w:color="auto"/>
        <w:left w:val="none" w:sz="0" w:space="0" w:color="auto"/>
        <w:bottom w:val="none" w:sz="0" w:space="0" w:color="auto"/>
        <w:right w:val="none" w:sz="0" w:space="0" w:color="auto"/>
      </w:divBdr>
    </w:div>
    <w:div w:id="1175682160">
      <w:bodyDiv w:val="1"/>
      <w:marLeft w:val="0"/>
      <w:marRight w:val="0"/>
      <w:marTop w:val="0"/>
      <w:marBottom w:val="0"/>
      <w:divBdr>
        <w:top w:val="none" w:sz="0" w:space="0" w:color="auto"/>
        <w:left w:val="none" w:sz="0" w:space="0" w:color="auto"/>
        <w:bottom w:val="none" w:sz="0" w:space="0" w:color="auto"/>
        <w:right w:val="none" w:sz="0" w:space="0" w:color="auto"/>
      </w:divBdr>
    </w:div>
    <w:div w:id="1175732439">
      <w:bodyDiv w:val="1"/>
      <w:marLeft w:val="0"/>
      <w:marRight w:val="0"/>
      <w:marTop w:val="0"/>
      <w:marBottom w:val="0"/>
      <w:divBdr>
        <w:top w:val="none" w:sz="0" w:space="0" w:color="auto"/>
        <w:left w:val="none" w:sz="0" w:space="0" w:color="auto"/>
        <w:bottom w:val="none" w:sz="0" w:space="0" w:color="auto"/>
        <w:right w:val="none" w:sz="0" w:space="0" w:color="auto"/>
      </w:divBdr>
    </w:div>
    <w:div w:id="1175801693">
      <w:bodyDiv w:val="1"/>
      <w:marLeft w:val="0"/>
      <w:marRight w:val="0"/>
      <w:marTop w:val="0"/>
      <w:marBottom w:val="0"/>
      <w:divBdr>
        <w:top w:val="none" w:sz="0" w:space="0" w:color="auto"/>
        <w:left w:val="none" w:sz="0" w:space="0" w:color="auto"/>
        <w:bottom w:val="none" w:sz="0" w:space="0" w:color="auto"/>
        <w:right w:val="none" w:sz="0" w:space="0" w:color="auto"/>
      </w:divBdr>
    </w:div>
    <w:div w:id="1175996772">
      <w:bodyDiv w:val="1"/>
      <w:marLeft w:val="0"/>
      <w:marRight w:val="0"/>
      <w:marTop w:val="0"/>
      <w:marBottom w:val="0"/>
      <w:divBdr>
        <w:top w:val="none" w:sz="0" w:space="0" w:color="auto"/>
        <w:left w:val="none" w:sz="0" w:space="0" w:color="auto"/>
        <w:bottom w:val="none" w:sz="0" w:space="0" w:color="auto"/>
        <w:right w:val="none" w:sz="0" w:space="0" w:color="auto"/>
      </w:divBdr>
    </w:div>
    <w:div w:id="1176070192">
      <w:bodyDiv w:val="1"/>
      <w:marLeft w:val="0"/>
      <w:marRight w:val="0"/>
      <w:marTop w:val="0"/>
      <w:marBottom w:val="0"/>
      <w:divBdr>
        <w:top w:val="none" w:sz="0" w:space="0" w:color="auto"/>
        <w:left w:val="none" w:sz="0" w:space="0" w:color="auto"/>
        <w:bottom w:val="none" w:sz="0" w:space="0" w:color="auto"/>
        <w:right w:val="none" w:sz="0" w:space="0" w:color="auto"/>
      </w:divBdr>
    </w:div>
    <w:div w:id="1176336122">
      <w:bodyDiv w:val="1"/>
      <w:marLeft w:val="0"/>
      <w:marRight w:val="0"/>
      <w:marTop w:val="0"/>
      <w:marBottom w:val="0"/>
      <w:divBdr>
        <w:top w:val="none" w:sz="0" w:space="0" w:color="auto"/>
        <w:left w:val="none" w:sz="0" w:space="0" w:color="auto"/>
        <w:bottom w:val="none" w:sz="0" w:space="0" w:color="auto"/>
        <w:right w:val="none" w:sz="0" w:space="0" w:color="auto"/>
      </w:divBdr>
    </w:div>
    <w:div w:id="1176534451">
      <w:bodyDiv w:val="1"/>
      <w:marLeft w:val="0"/>
      <w:marRight w:val="0"/>
      <w:marTop w:val="0"/>
      <w:marBottom w:val="0"/>
      <w:divBdr>
        <w:top w:val="none" w:sz="0" w:space="0" w:color="auto"/>
        <w:left w:val="none" w:sz="0" w:space="0" w:color="auto"/>
        <w:bottom w:val="none" w:sz="0" w:space="0" w:color="auto"/>
        <w:right w:val="none" w:sz="0" w:space="0" w:color="auto"/>
      </w:divBdr>
    </w:div>
    <w:div w:id="1176571952">
      <w:bodyDiv w:val="1"/>
      <w:marLeft w:val="0"/>
      <w:marRight w:val="0"/>
      <w:marTop w:val="0"/>
      <w:marBottom w:val="0"/>
      <w:divBdr>
        <w:top w:val="none" w:sz="0" w:space="0" w:color="auto"/>
        <w:left w:val="none" w:sz="0" w:space="0" w:color="auto"/>
        <w:bottom w:val="none" w:sz="0" w:space="0" w:color="auto"/>
        <w:right w:val="none" w:sz="0" w:space="0" w:color="auto"/>
      </w:divBdr>
    </w:div>
    <w:div w:id="1176581709">
      <w:bodyDiv w:val="1"/>
      <w:marLeft w:val="0"/>
      <w:marRight w:val="0"/>
      <w:marTop w:val="0"/>
      <w:marBottom w:val="0"/>
      <w:divBdr>
        <w:top w:val="none" w:sz="0" w:space="0" w:color="auto"/>
        <w:left w:val="none" w:sz="0" w:space="0" w:color="auto"/>
        <w:bottom w:val="none" w:sz="0" w:space="0" w:color="auto"/>
        <w:right w:val="none" w:sz="0" w:space="0" w:color="auto"/>
      </w:divBdr>
    </w:div>
    <w:div w:id="1176773527">
      <w:bodyDiv w:val="1"/>
      <w:marLeft w:val="0"/>
      <w:marRight w:val="0"/>
      <w:marTop w:val="0"/>
      <w:marBottom w:val="0"/>
      <w:divBdr>
        <w:top w:val="none" w:sz="0" w:space="0" w:color="auto"/>
        <w:left w:val="none" w:sz="0" w:space="0" w:color="auto"/>
        <w:bottom w:val="none" w:sz="0" w:space="0" w:color="auto"/>
        <w:right w:val="none" w:sz="0" w:space="0" w:color="auto"/>
      </w:divBdr>
    </w:div>
    <w:div w:id="1176919144">
      <w:bodyDiv w:val="1"/>
      <w:marLeft w:val="0"/>
      <w:marRight w:val="0"/>
      <w:marTop w:val="0"/>
      <w:marBottom w:val="0"/>
      <w:divBdr>
        <w:top w:val="none" w:sz="0" w:space="0" w:color="auto"/>
        <w:left w:val="none" w:sz="0" w:space="0" w:color="auto"/>
        <w:bottom w:val="none" w:sz="0" w:space="0" w:color="auto"/>
        <w:right w:val="none" w:sz="0" w:space="0" w:color="auto"/>
      </w:divBdr>
    </w:div>
    <w:div w:id="1176921261">
      <w:bodyDiv w:val="1"/>
      <w:marLeft w:val="0"/>
      <w:marRight w:val="0"/>
      <w:marTop w:val="0"/>
      <w:marBottom w:val="0"/>
      <w:divBdr>
        <w:top w:val="none" w:sz="0" w:space="0" w:color="auto"/>
        <w:left w:val="none" w:sz="0" w:space="0" w:color="auto"/>
        <w:bottom w:val="none" w:sz="0" w:space="0" w:color="auto"/>
        <w:right w:val="none" w:sz="0" w:space="0" w:color="auto"/>
      </w:divBdr>
    </w:div>
    <w:div w:id="1177311558">
      <w:bodyDiv w:val="1"/>
      <w:marLeft w:val="0"/>
      <w:marRight w:val="0"/>
      <w:marTop w:val="0"/>
      <w:marBottom w:val="0"/>
      <w:divBdr>
        <w:top w:val="none" w:sz="0" w:space="0" w:color="auto"/>
        <w:left w:val="none" w:sz="0" w:space="0" w:color="auto"/>
        <w:bottom w:val="none" w:sz="0" w:space="0" w:color="auto"/>
        <w:right w:val="none" w:sz="0" w:space="0" w:color="auto"/>
      </w:divBdr>
    </w:div>
    <w:div w:id="1177572046">
      <w:bodyDiv w:val="1"/>
      <w:marLeft w:val="0"/>
      <w:marRight w:val="0"/>
      <w:marTop w:val="0"/>
      <w:marBottom w:val="0"/>
      <w:divBdr>
        <w:top w:val="none" w:sz="0" w:space="0" w:color="auto"/>
        <w:left w:val="none" w:sz="0" w:space="0" w:color="auto"/>
        <w:bottom w:val="none" w:sz="0" w:space="0" w:color="auto"/>
        <w:right w:val="none" w:sz="0" w:space="0" w:color="auto"/>
      </w:divBdr>
    </w:div>
    <w:div w:id="1177576238">
      <w:bodyDiv w:val="1"/>
      <w:marLeft w:val="0"/>
      <w:marRight w:val="0"/>
      <w:marTop w:val="0"/>
      <w:marBottom w:val="0"/>
      <w:divBdr>
        <w:top w:val="none" w:sz="0" w:space="0" w:color="auto"/>
        <w:left w:val="none" w:sz="0" w:space="0" w:color="auto"/>
        <w:bottom w:val="none" w:sz="0" w:space="0" w:color="auto"/>
        <w:right w:val="none" w:sz="0" w:space="0" w:color="auto"/>
      </w:divBdr>
    </w:div>
    <w:div w:id="1177770124">
      <w:bodyDiv w:val="1"/>
      <w:marLeft w:val="0"/>
      <w:marRight w:val="0"/>
      <w:marTop w:val="0"/>
      <w:marBottom w:val="0"/>
      <w:divBdr>
        <w:top w:val="none" w:sz="0" w:space="0" w:color="auto"/>
        <w:left w:val="none" w:sz="0" w:space="0" w:color="auto"/>
        <w:bottom w:val="none" w:sz="0" w:space="0" w:color="auto"/>
        <w:right w:val="none" w:sz="0" w:space="0" w:color="auto"/>
      </w:divBdr>
    </w:div>
    <w:div w:id="1178039456">
      <w:bodyDiv w:val="1"/>
      <w:marLeft w:val="0"/>
      <w:marRight w:val="0"/>
      <w:marTop w:val="0"/>
      <w:marBottom w:val="0"/>
      <w:divBdr>
        <w:top w:val="none" w:sz="0" w:space="0" w:color="auto"/>
        <w:left w:val="none" w:sz="0" w:space="0" w:color="auto"/>
        <w:bottom w:val="none" w:sz="0" w:space="0" w:color="auto"/>
        <w:right w:val="none" w:sz="0" w:space="0" w:color="auto"/>
      </w:divBdr>
    </w:div>
    <w:div w:id="1178351893">
      <w:bodyDiv w:val="1"/>
      <w:marLeft w:val="0"/>
      <w:marRight w:val="0"/>
      <w:marTop w:val="0"/>
      <w:marBottom w:val="0"/>
      <w:divBdr>
        <w:top w:val="none" w:sz="0" w:space="0" w:color="auto"/>
        <w:left w:val="none" w:sz="0" w:space="0" w:color="auto"/>
        <w:bottom w:val="none" w:sz="0" w:space="0" w:color="auto"/>
        <w:right w:val="none" w:sz="0" w:space="0" w:color="auto"/>
      </w:divBdr>
    </w:div>
    <w:div w:id="1178546620">
      <w:bodyDiv w:val="1"/>
      <w:marLeft w:val="0"/>
      <w:marRight w:val="0"/>
      <w:marTop w:val="0"/>
      <w:marBottom w:val="0"/>
      <w:divBdr>
        <w:top w:val="none" w:sz="0" w:space="0" w:color="auto"/>
        <w:left w:val="none" w:sz="0" w:space="0" w:color="auto"/>
        <w:bottom w:val="none" w:sz="0" w:space="0" w:color="auto"/>
        <w:right w:val="none" w:sz="0" w:space="0" w:color="auto"/>
      </w:divBdr>
    </w:div>
    <w:div w:id="1178695864">
      <w:bodyDiv w:val="1"/>
      <w:marLeft w:val="0"/>
      <w:marRight w:val="0"/>
      <w:marTop w:val="0"/>
      <w:marBottom w:val="0"/>
      <w:divBdr>
        <w:top w:val="none" w:sz="0" w:space="0" w:color="auto"/>
        <w:left w:val="none" w:sz="0" w:space="0" w:color="auto"/>
        <w:bottom w:val="none" w:sz="0" w:space="0" w:color="auto"/>
        <w:right w:val="none" w:sz="0" w:space="0" w:color="auto"/>
      </w:divBdr>
    </w:div>
    <w:div w:id="1178736444">
      <w:bodyDiv w:val="1"/>
      <w:marLeft w:val="0"/>
      <w:marRight w:val="0"/>
      <w:marTop w:val="0"/>
      <w:marBottom w:val="0"/>
      <w:divBdr>
        <w:top w:val="none" w:sz="0" w:space="0" w:color="auto"/>
        <w:left w:val="none" w:sz="0" w:space="0" w:color="auto"/>
        <w:bottom w:val="none" w:sz="0" w:space="0" w:color="auto"/>
        <w:right w:val="none" w:sz="0" w:space="0" w:color="auto"/>
      </w:divBdr>
    </w:div>
    <w:div w:id="1178738140">
      <w:bodyDiv w:val="1"/>
      <w:marLeft w:val="0"/>
      <w:marRight w:val="0"/>
      <w:marTop w:val="0"/>
      <w:marBottom w:val="0"/>
      <w:divBdr>
        <w:top w:val="none" w:sz="0" w:space="0" w:color="auto"/>
        <w:left w:val="none" w:sz="0" w:space="0" w:color="auto"/>
        <w:bottom w:val="none" w:sz="0" w:space="0" w:color="auto"/>
        <w:right w:val="none" w:sz="0" w:space="0" w:color="auto"/>
      </w:divBdr>
    </w:div>
    <w:div w:id="1179075367">
      <w:bodyDiv w:val="1"/>
      <w:marLeft w:val="0"/>
      <w:marRight w:val="0"/>
      <w:marTop w:val="0"/>
      <w:marBottom w:val="0"/>
      <w:divBdr>
        <w:top w:val="none" w:sz="0" w:space="0" w:color="auto"/>
        <w:left w:val="none" w:sz="0" w:space="0" w:color="auto"/>
        <w:bottom w:val="none" w:sz="0" w:space="0" w:color="auto"/>
        <w:right w:val="none" w:sz="0" w:space="0" w:color="auto"/>
      </w:divBdr>
    </w:div>
    <w:div w:id="1179077845">
      <w:bodyDiv w:val="1"/>
      <w:marLeft w:val="0"/>
      <w:marRight w:val="0"/>
      <w:marTop w:val="0"/>
      <w:marBottom w:val="0"/>
      <w:divBdr>
        <w:top w:val="none" w:sz="0" w:space="0" w:color="auto"/>
        <w:left w:val="none" w:sz="0" w:space="0" w:color="auto"/>
        <w:bottom w:val="none" w:sz="0" w:space="0" w:color="auto"/>
        <w:right w:val="none" w:sz="0" w:space="0" w:color="auto"/>
      </w:divBdr>
    </w:div>
    <w:div w:id="1179151579">
      <w:bodyDiv w:val="1"/>
      <w:marLeft w:val="0"/>
      <w:marRight w:val="0"/>
      <w:marTop w:val="0"/>
      <w:marBottom w:val="0"/>
      <w:divBdr>
        <w:top w:val="none" w:sz="0" w:space="0" w:color="auto"/>
        <w:left w:val="none" w:sz="0" w:space="0" w:color="auto"/>
        <w:bottom w:val="none" w:sz="0" w:space="0" w:color="auto"/>
        <w:right w:val="none" w:sz="0" w:space="0" w:color="auto"/>
      </w:divBdr>
    </w:div>
    <w:div w:id="1179276872">
      <w:bodyDiv w:val="1"/>
      <w:marLeft w:val="0"/>
      <w:marRight w:val="0"/>
      <w:marTop w:val="0"/>
      <w:marBottom w:val="0"/>
      <w:divBdr>
        <w:top w:val="none" w:sz="0" w:space="0" w:color="auto"/>
        <w:left w:val="none" w:sz="0" w:space="0" w:color="auto"/>
        <w:bottom w:val="none" w:sz="0" w:space="0" w:color="auto"/>
        <w:right w:val="none" w:sz="0" w:space="0" w:color="auto"/>
      </w:divBdr>
    </w:div>
    <w:div w:id="1179347858">
      <w:bodyDiv w:val="1"/>
      <w:marLeft w:val="0"/>
      <w:marRight w:val="0"/>
      <w:marTop w:val="0"/>
      <w:marBottom w:val="0"/>
      <w:divBdr>
        <w:top w:val="none" w:sz="0" w:space="0" w:color="auto"/>
        <w:left w:val="none" w:sz="0" w:space="0" w:color="auto"/>
        <w:bottom w:val="none" w:sz="0" w:space="0" w:color="auto"/>
        <w:right w:val="none" w:sz="0" w:space="0" w:color="auto"/>
      </w:divBdr>
    </w:div>
    <w:div w:id="1179395425">
      <w:bodyDiv w:val="1"/>
      <w:marLeft w:val="0"/>
      <w:marRight w:val="0"/>
      <w:marTop w:val="0"/>
      <w:marBottom w:val="0"/>
      <w:divBdr>
        <w:top w:val="none" w:sz="0" w:space="0" w:color="auto"/>
        <w:left w:val="none" w:sz="0" w:space="0" w:color="auto"/>
        <w:bottom w:val="none" w:sz="0" w:space="0" w:color="auto"/>
        <w:right w:val="none" w:sz="0" w:space="0" w:color="auto"/>
      </w:divBdr>
    </w:div>
    <w:div w:id="1179464788">
      <w:bodyDiv w:val="1"/>
      <w:marLeft w:val="0"/>
      <w:marRight w:val="0"/>
      <w:marTop w:val="0"/>
      <w:marBottom w:val="0"/>
      <w:divBdr>
        <w:top w:val="none" w:sz="0" w:space="0" w:color="auto"/>
        <w:left w:val="none" w:sz="0" w:space="0" w:color="auto"/>
        <w:bottom w:val="none" w:sz="0" w:space="0" w:color="auto"/>
        <w:right w:val="none" w:sz="0" w:space="0" w:color="auto"/>
      </w:divBdr>
    </w:div>
    <w:div w:id="1179545599">
      <w:bodyDiv w:val="1"/>
      <w:marLeft w:val="0"/>
      <w:marRight w:val="0"/>
      <w:marTop w:val="0"/>
      <w:marBottom w:val="0"/>
      <w:divBdr>
        <w:top w:val="none" w:sz="0" w:space="0" w:color="auto"/>
        <w:left w:val="none" w:sz="0" w:space="0" w:color="auto"/>
        <w:bottom w:val="none" w:sz="0" w:space="0" w:color="auto"/>
        <w:right w:val="none" w:sz="0" w:space="0" w:color="auto"/>
      </w:divBdr>
    </w:div>
    <w:div w:id="1179660956">
      <w:bodyDiv w:val="1"/>
      <w:marLeft w:val="0"/>
      <w:marRight w:val="0"/>
      <w:marTop w:val="0"/>
      <w:marBottom w:val="0"/>
      <w:divBdr>
        <w:top w:val="none" w:sz="0" w:space="0" w:color="auto"/>
        <w:left w:val="none" w:sz="0" w:space="0" w:color="auto"/>
        <w:bottom w:val="none" w:sz="0" w:space="0" w:color="auto"/>
        <w:right w:val="none" w:sz="0" w:space="0" w:color="auto"/>
      </w:divBdr>
    </w:div>
    <w:div w:id="1179730970">
      <w:bodyDiv w:val="1"/>
      <w:marLeft w:val="0"/>
      <w:marRight w:val="0"/>
      <w:marTop w:val="0"/>
      <w:marBottom w:val="0"/>
      <w:divBdr>
        <w:top w:val="none" w:sz="0" w:space="0" w:color="auto"/>
        <w:left w:val="none" w:sz="0" w:space="0" w:color="auto"/>
        <w:bottom w:val="none" w:sz="0" w:space="0" w:color="auto"/>
        <w:right w:val="none" w:sz="0" w:space="0" w:color="auto"/>
      </w:divBdr>
    </w:div>
    <w:div w:id="1179855818">
      <w:bodyDiv w:val="1"/>
      <w:marLeft w:val="0"/>
      <w:marRight w:val="0"/>
      <w:marTop w:val="0"/>
      <w:marBottom w:val="0"/>
      <w:divBdr>
        <w:top w:val="none" w:sz="0" w:space="0" w:color="auto"/>
        <w:left w:val="none" w:sz="0" w:space="0" w:color="auto"/>
        <w:bottom w:val="none" w:sz="0" w:space="0" w:color="auto"/>
        <w:right w:val="none" w:sz="0" w:space="0" w:color="auto"/>
      </w:divBdr>
    </w:div>
    <w:div w:id="1179925581">
      <w:bodyDiv w:val="1"/>
      <w:marLeft w:val="0"/>
      <w:marRight w:val="0"/>
      <w:marTop w:val="0"/>
      <w:marBottom w:val="0"/>
      <w:divBdr>
        <w:top w:val="none" w:sz="0" w:space="0" w:color="auto"/>
        <w:left w:val="none" w:sz="0" w:space="0" w:color="auto"/>
        <w:bottom w:val="none" w:sz="0" w:space="0" w:color="auto"/>
        <w:right w:val="none" w:sz="0" w:space="0" w:color="auto"/>
      </w:divBdr>
    </w:div>
    <w:div w:id="1179929064">
      <w:bodyDiv w:val="1"/>
      <w:marLeft w:val="0"/>
      <w:marRight w:val="0"/>
      <w:marTop w:val="0"/>
      <w:marBottom w:val="0"/>
      <w:divBdr>
        <w:top w:val="none" w:sz="0" w:space="0" w:color="auto"/>
        <w:left w:val="none" w:sz="0" w:space="0" w:color="auto"/>
        <w:bottom w:val="none" w:sz="0" w:space="0" w:color="auto"/>
        <w:right w:val="none" w:sz="0" w:space="0" w:color="auto"/>
      </w:divBdr>
    </w:div>
    <w:div w:id="1180002327">
      <w:bodyDiv w:val="1"/>
      <w:marLeft w:val="0"/>
      <w:marRight w:val="0"/>
      <w:marTop w:val="0"/>
      <w:marBottom w:val="0"/>
      <w:divBdr>
        <w:top w:val="none" w:sz="0" w:space="0" w:color="auto"/>
        <w:left w:val="none" w:sz="0" w:space="0" w:color="auto"/>
        <w:bottom w:val="none" w:sz="0" w:space="0" w:color="auto"/>
        <w:right w:val="none" w:sz="0" w:space="0" w:color="auto"/>
      </w:divBdr>
    </w:div>
    <w:div w:id="1180240331">
      <w:bodyDiv w:val="1"/>
      <w:marLeft w:val="0"/>
      <w:marRight w:val="0"/>
      <w:marTop w:val="0"/>
      <w:marBottom w:val="0"/>
      <w:divBdr>
        <w:top w:val="none" w:sz="0" w:space="0" w:color="auto"/>
        <w:left w:val="none" w:sz="0" w:space="0" w:color="auto"/>
        <w:bottom w:val="none" w:sz="0" w:space="0" w:color="auto"/>
        <w:right w:val="none" w:sz="0" w:space="0" w:color="auto"/>
      </w:divBdr>
    </w:div>
    <w:div w:id="1180388378">
      <w:bodyDiv w:val="1"/>
      <w:marLeft w:val="0"/>
      <w:marRight w:val="0"/>
      <w:marTop w:val="0"/>
      <w:marBottom w:val="0"/>
      <w:divBdr>
        <w:top w:val="none" w:sz="0" w:space="0" w:color="auto"/>
        <w:left w:val="none" w:sz="0" w:space="0" w:color="auto"/>
        <w:bottom w:val="none" w:sz="0" w:space="0" w:color="auto"/>
        <w:right w:val="none" w:sz="0" w:space="0" w:color="auto"/>
      </w:divBdr>
    </w:div>
    <w:div w:id="1180390161">
      <w:bodyDiv w:val="1"/>
      <w:marLeft w:val="0"/>
      <w:marRight w:val="0"/>
      <w:marTop w:val="0"/>
      <w:marBottom w:val="0"/>
      <w:divBdr>
        <w:top w:val="none" w:sz="0" w:space="0" w:color="auto"/>
        <w:left w:val="none" w:sz="0" w:space="0" w:color="auto"/>
        <w:bottom w:val="none" w:sz="0" w:space="0" w:color="auto"/>
        <w:right w:val="none" w:sz="0" w:space="0" w:color="auto"/>
      </w:divBdr>
    </w:div>
    <w:div w:id="1180462520">
      <w:bodyDiv w:val="1"/>
      <w:marLeft w:val="0"/>
      <w:marRight w:val="0"/>
      <w:marTop w:val="0"/>
      <w:marBottom w:val="0"/>
      <w:divBdr>
        <w:top w:val="none" w:sz="0" w:space="0" w:color="auto"/>
        <w:left w:val="none" w:sz="0" w:space="0" w:color="auto"/>
        <w:bottom w:val="none" w:sz="0" w:space="0" w:color="auto"/>
        <w:right w:val="none" w:sz="0" w:space="0" w:color="auto"/>
      </w:divBdr>
    </w:div>
    <w:div w:id="1180510726">
      <w:bodyDiv w:val="1"/>
      <w:marLeft w:val="0"/>
      <w:marRight w:val="0"/>
      <w:marTop w:val="0"/>
      <w:marBottom w:val="0"/>
      <w:divBdr>
        <w:top w:val="none" w:sz="0" w:space="0" w:color="auto"/>
        <w:left w:val="none" w:sz="0" w:space="0" w:color="auto"/>
        <w:bottom w:val="none" w:sz="0" w:space="0" w:color="auto"/>
        <w:right w:val="none" w:sz="0" w:space="0" w:color="auto"/>
      </w:divBdr>
    </w:div>
    <w:div w:id="1180585909">
      <w:bodyDiv w:val="1"/>
      <w:marLeft w:val="0"/>
      <w:marRight w:val="0"/>
      <w:marTop w:val="0"/>
      <w:marBottom w:val="0"/>
      <w:divBdr>
        <w:top w:val="none" w:sz="0" w:space="0" w:color="auto"/>
        <w:left w:val="none" w:sz="0" w:space="0" w:color="auto"/>
        <w:bottom w:val="none" w:sz="0" w:space="0" w:color="auto"/>
        <w:right w:val="none" w:sz="0" w:space="0" w:color="auto"/>
      </w:divBdr>
    </w:div>
    <w:div w:id="1180893339">
      <w:bodyDiv w:val="1"/>
      <w:marLeft w:val="0"/>
      <w:marRight w:val="0"/>
      <w:marTop w:val="0"/>
      <w:marBottom w:val="0"/>
      <w:divBdr>
        <w:top w:val="none" w:sz="0" w:space="0" w:color="auto"/>
        <w:left w:val="none" w:sz="0" w:space="0" w:color="auto"/>
        <w:bottom w:val="none" w:sz="0" w:space="0" w:color="auto"/>
        <w:right w:val="none" w:sz="0" w:space="0" w:color="auto"/>
      </w:divBdr>
    </w:div>
    <w:div w:id="1181352352">
      <w:bodyDiv w:val="1"/>
      <w:marLeft w:val="0"/>
      <w:marRight w:val="0"/>
      <w:marTop w:val="0"/>
      <w:marBottom w:val="0"/>
      <w:divBdr>
        <w:top w:val="none" w:sz="0" w:space="0" w:color="auto"/>
        <w:left w:val="none" w:sz="0" w:space="0" w:color="auto"/>
        <w:bottom w:val="none" w:sz="0" w:space="0" w:color="auto"/>
        <w:right w:val="none" w:sz="0" w:space="0" w:color="auto"/>
      </w:divBdr>
    </w:div>
    <w:div w:id="1181552022">
      <w:bodyDiv w:val="1"/>
      <w:marLeft w:val="0"/>
      <w:marRight w:val="0"/>
      <w:marTop w:val="0"/>
      <w:marBottom w:val="0"/>
      <w:divBdr>
        <w:top w:val="none" w:sz="0" w:space="0" w:color="auto"/>
        <w:left w:val="none" w:sz="0" w:space="0" w:color="auto"/>
        <w:bottom w:val="none" w:sz="0" w:space="0" w:color="auto"/>
        <w:right w:val="none" w:sz="0" w:space="0" w:color="auto"/>
      </w:divBdr>
    </w:div>
    <w:div w:id="1181578969">
      <w:bodyDiv w:val="1"/>
      <w:marLeft w:val="0"/>
      <w:marRight w:val="0"/>
      <w:marTop w:val="0"/>
      <w:marBottom w:val="0"/>
      <w:divBdr>
        <w:top w:val="none" w:sz="0" w:space="0" w:color="auto"/>
        <w:left w:val="none" w:sz="0" w:space="0" w:color="auto"/>
        <w:bottom w:val="none" w:sz="0" w:space="0" w:color="auto"/>
        <w:right w:val="none" w:sz="0" w:space="0" w:color="auto"/>
      </w:divBdr>
    </w:div>
    <w:div w:id="1181579604">
      <w:bodyDiv w:val="1"/>
      <w:marLeft w:val="0"/>
      <w:marRight w:val="0"/>
      <w:marTop w:val="0"/>
      <w:marBottom w:val="0"/>
      <w:divBdr>
        <w:top w:val="none" w:sz="0" w:space="0" w:color="auto"/>
        <w:left w:val="none" w:sz="0" w:space="0" w:color="auto"/>
        <w:bottom w:val="none" w:sz="0" w:space="0" w:color="auto"/>
        <w:right w:val="none" w:sz="0" w:space="0" w:color="auto"/>
      </w:divBdr>
    </w:div>
    <w:div w:id="1181823354">
      <w:bodyDiv w:val="1"/>
      <w:marLeft w:val="0"/>
      <w:marRight w:val="0"/>
      <w:marTop w:val="0"/>
      <w:marBottom w:val="0"/>
      <w:divBdr>
        <w:top w:val="none" w:sz="0" w:space="0" w:color="auto"/>
        <w:left w:val="none" w:sz="0" w:space="0" w:color="auto"/>
        <w:bottom w:val="none" w:sz="0" w:space="0" w:color="auto"/>
        <w:right w:val="none" w:sz="0" w:space="0" w:color="auto"/>
      </w:divBdr>
    </w:div>
    <w:div w:id="1181972163">
      <w:bodyDiv w:val="1"/>
      <w:marLeft w:val="0"/>
      <w:marRight w:val="0"/>
      <w:marTop w:val="0"/>
      <w:marBottom w:val="0"/>
      <w:divBdr>
        <w:top w:val="none" w:sz="0" w:space="0" w:color="auto"/>
        <w:left w:val="none" w:sz="0" w:space="0" w:color="auto"/>
        <w:bottom w:val="none" w:sz="0" w:space="0" w:color="auto"/>
        <w:right w:val="none" w:sz="0" w:space="0" w:color="auto"/>
      </w:divBdr>
    </w:div>
    <w:div w:id="1182234801">
      <w:bodyDiv w:val="1"/>
      <w:marLeft w:val="0"/>
      <w:marRight w:val="0"/>
      <w:marTop w:val="0"/>
      <w:marBottom w:val="0"/>
      <w:divBdr>
        <w:top w:val="none" w:sz="0" w:space="0" w:color="auto"/>
        <w:left w:val="none" w:sz="0" w:space="0" w:color="auto"/>
        <w:bottom w:val="none" w:sz="0" w:space="0" w:color="auto"/>
        <w:right w:val="none" w:sz="0" w:space="0" w:color="auto"/>
      </w:divBdr>
    </w:div>
    <w:div w:id="1182281509">
      <w:bodyDiv w:val="1"/>
      <w:marLeft w:val="0"/>
      <w:marRight w:val="0"/>
      <w:marTop w:val="0"/>
      <w:marBottom w:val="0"/>
      <w:divBdr>
        <w:top w:val="none" w:sz="0" w:space="0" w:color="auto"/>
        <w:left w:val="none" w:sz="0" w:space="0" w:color="auto"/>
        <w:bottom w:val="none" w:sz="0" w:space="0" w:color="auto"/>
        <w:right w:val="none" w:sz="0" w:space="0" w:color="auto"/>
      </w:divBdr>
    </w:div>
    <w:div w:id="1182820360">
      <w:bodyDiv w:val="1"/>
      <w:marLeft w:val="0"/>
      <w:marRight w:val="0"/>
      <w:marTop w:val="0"/>
      <w:marBottom w:val="0"/>
      <w:divBdr>
        <w:top w:val="none" w:sz="0" w:space="0" w:color="auto"/>
        <w:left w:val="none" w:sz="0" w:space="0" w:color="auto"/>
        <w:bottom w:val="none" w:sz="0" w:space="0" w:color="auto"/>
        <w:right w:val="none" w:sz="0" w:space="0" w:color="auto"/>
      </w:divBdr>
    </w:div>
    <w:div w:id="1182889695">
      <w:bodyDiv w:val="1"/>
      <w:marLeft w:val="0"/>
      <w:marRight w:val="0"/>
      <w:marTop w:val="0"/>
      <w:marBottom w:val="0"/>
      <w:divBdr>
        <w:top w:val="none" w:sz="0" w:space="0" w:color="auto"/>
        <w:left w:val="none" w:sz="0" w:space="0" w:color="auto"/>
        <w:bottom w:val="none" w:sz="0" w:space="0" w:color="auto"/>
        <w:right w:val="none" w:sz="0" w:space="0" w:color="auto"/>
      </w:divBdr>
    </w:div>
    <w:div w:id="1182890078">
      <w:bodyDiv w:val="1"/>
      <w:marLeft w:val="0"/>
      <w:marRight w:val="0"/>
      <w:marTop w:val="0"/>
      <w:marBottom w:val="0"/>
      <w:divBdr>
        <w:top w:val="none" w:sz="0" w:space="0" w:color="auto"/>
        <w:left w:val="none" w:sz="0" w:space="0" w:color="auto"/>
        <w:bottom w:val="none" w:sz="0" w:space="0" w:color="auto"/>
        <w:right w:val="none" w:sz="0" w:space="0" w:color="auto"/>
      </w:divBdr>
    </w:div>
    <w:div w:id="1183205647">
      <w:bodyDiv w:val="1"/>
      <w:marLeft w:val="0"/>
      <w:marRight w:val="0"/>
      <w:marTop w:val="0"/>
      <w:marBottom w:val="0"/>
      <w:divBdr>
        <w:top w:val="none" w:sz="0" w:space="0" w:color="auto"/>
        <w:left w:val="none" w:sz="0" w:space="0" w:color="auto"/>
        <w:bottom w:val="none" w:sz="0" w:space="0" w:color="auto"/>
        <w:right w:val="none" w:sz="0" w:space="0" w:color="auto"/>
      </w:divBdr>
    </w:div>
    <w:div w:id="1183277528">
      <w:bodyDiv w:val="1"/>
      <w:marLeft w:val="0"/>
      <w:marRight w:val="0"/>
      <w:marTop w:val="0"/>
      <w:marBottom w:val="0"/>
      <w:divBdr>
        <w:top w:val="none" w:sz="0" w:space="0" w:color="auto"/>
        <w:left w:val="none" w:sz="0" w:space="0" w:color="auto"/>
        <w:bottom w:val="none" w:sz="0" w:space="0" w:color="auto"/>
        <w:right w:val="none" w:sz="0" w:space="0" w:color="auto"/>
      </w:divBdr>
    </w:div>
    <w:div w:id="1183277760">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326886">
      <w:bodyDiv w:val="1"/>
      <w:marLeft w:val="0"/>
      <w:marRight w:val="0"/>
      <w:marTop w:val="0"/>
      <w:marBottom w:val="0"/>
      <w:divBdr>
        <w:top w:val="none" w:sz="0" w:space="0" w:color="auto"/>
        <w:left w:val="none" w:sz="0" w:space="0" w:color="auto"/>
        <w:bottom w:val="none" w:sz="0" w:space="0" w:color="auto"/>
        <w:right w:val="none" w:sz="0" w:space="0" w:color="auto"/>
      </w:divBdr>
    </w:div>
    <w:div w:id="1183398622">
      <w:bodyDiv w:val="1"/>
      <w:marLeft w:val="0"/>
      <w:marRight w:val="0"/>
      <w:marTop w:val="0"/>
      <w:marBottom w:val="0"/>
      <w:divBdr>
        <w:top w:val="none" w:sz="0" w:space="0" w:color="auto"/>
        <w:left w:val="none" w:sz="0" w:space="0" w:color="auto"/>
        <w:bottom w:val="none" w:sz="0" w:space="0" w:color="auto"/>
        <w:right w:val="none" w:sz="0" w:space="0" w:color="auto"/>
      </w:divBdr>
    </w:div>
    <w:div w:id="1183857747">
      <w:bodyDiv w:val="1"/>
      <w:marLeft w:val="0"/>
      <w:marRight w:val="0"/>
      <w:marTop w:val="0"/>
      <w:marBottom w:val="0"/>
      <w:divBdr>
        <w:top w:val="none" w:sz="0" w:space="0" w:color="auto"/>
        <w:left w:val="none" w:sz="0" w:space="0" w:color="auto"/>
        <w:bottom w:val="none" w:sz="0" w:space="0" w:color="auto"/>
        <w:right w:val="none" w:sz="0" w:space="0" w:color="auto"/>
      </w:divBdr>
    </w:div>
    <w:div w:id="1183931747">
      <w:bodyDiv w:val="1"/>
      <w:marLeft w:val="0"/>
      <w:marRight w:val="0"/>
      <w:marTop w:val="0"/>
      <w:marBottom w:val="0"/>
      <w:divBdr>
        <w:top w:val="none" w:sz="0" w:space="0" w:color="auto"/>
        <w:left w:val="none" w:sz="0" w:space="0" w:color="auto"/>
        <w:bottom w:val="none" w:sz="0" w:space="0" w:color="auto"/>
        <w:right w:val="none" w:sz="0" w:space="0" w:color="auto"/>
      </w:divBdr>
    </w:div>
    <w:div w:id="1184123921">
      <w:bodyDiv w:val="1"/>
      <w:marLeft w:val="0"/>
      <w:marRight w:val="0"/>
      <w:marTop w:val="0"/>
      <w:marBottom w:val="0"/>
      <w:divBdr>
        <w:top w:val="none" w:sz="0" w:space="0" w:color="auto"/>
        <w:left w:val="none" w:sz="0" w:space="0" w:color="auto"/>
        <w:bottom w:val="none" w:sz="0" w:space="0" w:color="auto"/>
        <w:right w:val="none" w:sz="0" w:space="0" w:color="auto"/>
      </w:divBdr>
    </w:div>
    <w:div w:id="1184242367">
      <w:bodyDiv w:val="1"/>
      <w:marLeft w:val="0"/>
      <w:marRight w:val="0"/>
      <w:marTop w:val="0"/>
      <w:marBottom w:val="0"/>
      <w:divBdr>
        <w:top w:val="none" w:sz="0" w:space="0" w:color="auto"/>
        <w:left w:val="none" w:sz="0" w:space="0" w:color="auto"/>
        <w:bottom w:val="none" w:sz="0" w:space="0" w:color="auto"/>
        <w:right w:val="none" w:sz="0" w:space="0" w:color="auto"/>
      </w:divBdr>
    </w:div>
    <w:div w:id="1184589442">
      <w:bodyDiv w:val="1"/>
      <w:marLeft w:val="0"/>
      <w:marRight w:val="0"/>
      <w:marTop w:val="0"/>
      <w:marBottom w:val="0"/>
      <w:divBdr>
        <w:top w:val="none" w:sz="0" w:space="0" w:color="auto"/>
        <w:left w:val="none" w:sz="0" w:space="0" w:color="auto"/>
        <w:bottom w:val="none" w:sz="0" w:space="0" w:color="auto"/>
        <w:right w:val="none" w:sz="0" w:space="0" w:color="auto"/>
      </w:divBdr>
    </w:div>
    <w:div w:id="1184589638">
      <w:bodyDiv w:val="1"/>
      <w:marLeft w:val="0"/>
      <w:marRight w:val="0"/>
      <w:marTop w:val="0"/>
      <w:marBottom w:val="0"/>
      <w:divBdr>
        <w:top w:val="none" w:sz="0" w:space="0" w:color="auto"/>
        <w:left w:val="none" w:sz="0" w:space="0" w:color="auto"/>
        <w:bottom w:val="none" w:sz="0" w:space="0" w:color="auto"/>
        <w:right w:val="none" w:sz="0" w:space="0" w:color="auto"/>
      </w:divBdr>
    </w:div>
    <w:div w:id="1184637401">
      <w:bodyDiv w:val="1"/>
      <w:marLeft w:val="0"/>
      <w:marRight w:val="0"/>
      <w:marTop w:val="0"/>
      <w:marBottom w:val="0"/>
      <w:divBdr>
        <w:top w:val="none" w:sz="0" w:space="0" w:color="auto"/>
        <w:left w:val="none" w:sz="0" w:space="0" w:color="auto"/>
        <w:bottom w:val="none" w:sz="0" w:space="0" w:color="auto"/>
        <w:right w:val="none" w:sz="0" w:space="0" w:color="auto"/>
      </w:divBdr>
    </w:div>
    <w:div w:id="1184855684">
      <w:bodyDiv w:val="1"/>
      <w:marLeft w:val="0"/>
      <w:marRight w:val="0"/>
      <w:marTop w:val="0"/>
      <w:marBottom w:val="0"/>
      <w:divBdr>
        <w:top w:val="none" w:sz="0" w:space="0" w:color="auto"/>
        <w:left w:val="none" w:sz="0" w:space="0" w:color="auto"/>
        <w:bottom w:val="none" w:sz="0" w:space="0" w:color="auto"/>
        <w:right w:val="none" w:sz="0" w:space="0" w:color="auto"/>
      </w:divBdr>
    </w:div>
    <w:div w:id="1185099585">
      <w:bodyDiv w:val="1"/>
      <w:marLeft w:val="0"/>
      <w:marRight w:val="0"/>
      <w:marTop w:val="0"/>
      <w:marBottom w:val="0"/>
      <w:divBdr>
        <w:top w:val="none" w:sz="0" w:space="0" w:color="auto"/>
        <w:left w:val="none" w:sz="0" w:space="0" w:color="auto"/>
        <w:bottom w:val="none" w:sz="0" w:space="0" w:color="auto"/>
        <w:right w:val="none" w:sz="0" w:space="0" w:color="auto"/>
      </w:divBdr>
    </w:div>
    <w:div w:id="1185169388">
      <w:bodyDiv w:val="1"/>
      <w:marLeft w:val="0"/>
      <w:marRight w:val="0"/>
      <w:marTop w:val="0"/>
      <w:marBottom w:val="0"/>
      <w:divBdr>
        <w:top w:val="none" w:sz="0" w:space="0" w:color="auto"/>
        <w:left w:val="none" w:sz="0" w:space="0" w:color="auto"/>
        <w:bottom w:val="none" w:sz="0" w:space="0" w:color="auto"/>
        <w:right w:val="none" w:sz="0" w:space="0" w:color="auto"/>
      </w:divBdr>
    </w:div>
    <w:div w:id="1185289200">
      <w:bodyDiv w:val="1"/>
      <w:marLeft w:val="0"/>
      <w:marRight w:val="0"/>
      <w:marTop w:val="0"/>
      <w:marBottom w:val="0"/>
      <w:divBdr>
        <w:top w:val="none" w:sz="0" w:space="0" w:color="auto"/>
        <w:left w:val="none" w:sz="0" w:space="0" w:color="auto"/>
        <w:bottom w:val="none" w:sz="0" w:space="0" w:color="auto"/>
        <w:right w:val="none" w:sz="0" w:space="0" w:color="auto"/>
      </w:divBdr>
    </w:div>
    <w:div w:id="1185486498">
      <w:bodyDiv w:val="1"/>
      <w:marLeft w:val="0"/>
      <w:marRight w:val="0"/>
      <w:marTop w:val="0"/>
      <w:marBottom w:val="0"/>
      <w:divBdr>
        <w:top w:val="none" w:sz="0" w:space="0" w:color="auto"/>
        <w:left w:val="none" w:sz="0" w:space="0" w:color="auto"/>
        <w:bottom w:val="none" w:sz="0" w:space="0" w:color="auto"/>
        <w:right w:val="none" w:sz="0" w:space="0" w:color="auto"/>
      </w:divBdr>
    </w:div>
    <w:div w:id="1185634963">
      <w:bodyDiv w:val="1"/>
      <w:marLeft w:val="0"/>
      <w:marRight w:val="0"/>
      <w:marTop w:val="0"/>
      <w:marBottom w:val="0"/>
      <w:divBdr>
        <w:top w:val="none" w:sz="0" w:space="0" w:color="auto"/>
        <w:left w:val="none" w:sz="0" w:space="0" w:color="auto"/>
        <w:bottom w:val="none" w:sz="0" w:space="0" w:color="auto"/>
        <w:right w:val="none" w:sz="0" w:space="0" w:color="auto"/>
      </w:divBdr>
    </w:div>
    <w:div w:id="1185679152">
      <w:bodyDiv w:val="1"/>
      <w:marLeft w:val="0"/>
      <w:marRight w:val="0"/>
      <w:marTop w:val="0"/>
      <w:marBottom w:val="0"/>
      <w:divBdr>
        <w:top w:val="none" w:sz="0" w:space="0" w:color="auto"/>
        <w:left w:val="none" w:sz="0" w:space="0" w:color="auto"/>
        <w:bottom w:val="none" w:sz="0" w:space="0" w:color="auto"/>
        <w:right w:val="none" w:sz="0" w:space="0" w:color="auto"/>
      </w:divBdr>
    </w:div>
    <w:div w:id="1185940968">
      <w:bodyDiv w:val="1"/>
      <w:marLeft w:val="0"/>
      <w:marRight w:val="0"/>
      <w:marTop w:val="0"/>
      <w:marBottom w:val="0"/>
      <w:divBdr>
        <w:top w:val="none" w:sz="0" w:space="0" w:color="auto"/>
        <w:left w:val="none" w:sz="0" w:space="0" w:color="auto"/>
        <w:bottom w:val="none" w:sz="0" w:space="0" w:color="auto"/>
        <w:right w:val="none" w:sz="0" w:space="0" w:color="auto"/>
      </w:divBdr>
    </w:div>
    <w:div w:id="1186292210">
      <w:bodyDiv w:val="1"/>
      <w:marLeft w:val="0"/>
      <w:marRight w:val="0"/>
      <w:marTop w:val="0"/>
      <w:marBottom w:val="0"/>
      <w:divBdr>
        <w:top w:val="none" w:sz="0" w:space="0" w:color="auto"/>
        <w:left w:val="none" w:sz="0" w:space="0" w:color="auto"/>
        <w:bottom w:val="none" w:sz="0" w:space="0" w:color="auto"/>
        <w:right w:val="none" w:sz="0" w:space="0" w:color="auto"/>
      </w:divBdr>
    </w:div>
    <w:div w:id="1186596637">
      <w:bodyDiv w:val="1"/>
      <w:marLeft w:val="0"/>
      <w:marRight w:val="0"/>
      <w:marTop w:val="0"/>
      <w:marBottom w:val="0"/>
      <w:divBdr>
        <w:top w:val="none" w:sz="0" w:space="0" w:color="auto"/>
        <w:left w:val="none" w:sz="0" w:space="0" w:color="auto"/>
        <w:bottom w:val="none" w:sz="0" w:space="0" w:color="auto"/>
        <w:right w:val="none" w:sz="0" w:space="0" w:color="auto"/>
      </w:divBdr>
    </w:div>
    <w:div w:id="1186745960">
      <w:bodyDiv w:val="1"/>
      <w:marLeft w:val="0"/>
      <w:marRight w:val="0"/>
      <w:marTop w:val="0"/>
      <w:marBottom w:val="0"/>
      <w:divBdr>
        <w:top w:val="none" w:sz="0" w:space="0" w:color="auto"/>
        <w:left w:val="none" w:sz="0" w:space="0" w:color="auto"/>
        <w:bottom w:val="none" w:sz="0" w:space="0" w:color="auto"/>
        <w:right w:val="none" w:sz="0" w:space="0" w:color="auto"/>
      </w:divBdr>
    </w:div>
    <w:div w:id="1186988218">
      <w:bodyDiv w:val="1"/>
      <w:marLeft w:val="0"/>
      <w:marRight w:val="0"/>
      <w:marTop w:val="0"/>
      <w:marBottom w:val="0"/>
      <w:divBdr>
        <w:top w:val="none" w:sz="0" w:space="0" w:color="auto"/>
        <w:left w:val="none" w:sz="0" w:space="0" w:color="auto"/>
        <w:bottom w:val="none" w:sz="0" w:space="0" w:color="auto"/>
        <w:right w:val="none" w:sz="0" w:space="0" w:color="auto"/>
      </w:divBdr>
    </w:div>
    <w:div w:id="1187215213">
      <w:bodyDiv w:val="1"/>
      <w:marLeft w:val="0"/>
      <w:marRight w:val="0"/>
      <w:marTop w:val="0"/>
      <w:marBottom w:val="0"/>
      <w:divBdr>
        <w:top w:val="none" w:sz="0" w:space="0" w:color="auto"/>
        <w:left w:val="none" w:sz="0" w:space="0" w:color="auto"/>
        <w:bottom w:val="none" w:sz="0" w:space="0" w:color="auto"/>
        <w:right w:val="none" w:sz="0" w:space="0" w:color="auto"/>
      </w:divBdr>
    </w:div>
    <w:div w:id="1187523177">
      <w:bodyDiv w:val="1"/>
      <w:marLeft w:val="0"/>
      <w:marRight w:val="0"/>
      <w:marTop w:val="0"/>
      <w:marBottom w:val="0"/>
      <w:divBdr>
        <w:top w:val="none" w:sz="0" w:space="0" w:color="auto"/>
        <w:left w:val="none" w:sz="0" w:space="0" w:color="auto"/>
        <w:bottom w:val="none" w:sz="0" w:space="0" w:color="auto"/>
        <w:right w:val="none" w:sz="0" w:space="0" w:color="auto"/>
      </w:divBdr>
    </w:div>
    <w:div w:id="1187712663">
      <w:bodyDiv w:val="1"/>
      <w:marLeft w:val="0"/>
      <w:marRight w:val="0"/>
      <w:marTop w:val="0"/>
      <w:marBottom w:val="0"/>
      <w:divBdr>
        <w:top w:val="none" w:sz="0" w:space="0" w:color="auto"/>
        <w:left w:val="none" w:sz="0" w:space="0" w:color="auto"/>
        <w:bottom w:val="none" w:sz="0" w:space="0" w:color="auto"/>
        <w:right w:val="none" w:sz="0" w:space="0" w:color="auto"/>
      </w:divBdr>
    </w:div>
    <w:div w:id="1187718110">
      <w:bodyDiv w:val="1"/>
      <w:marLeft w:val="0"/>
      <w:marRight w:val="0"/>
      <w:marTop w:val="0"/>
      <w:marBottom w:val="0"/>
      <w:divBdr>
        <w:top w:val="none" w:sz="0" w:space="0" w:color="auto"/>
        <w:left w:val="none" w:sz="0" w:space="0" w:color="auto"/>
        <w:bottom w:val="none" w:sz="0" w:space="0" w:color="auto"/>
        <w:right w:val="none" w:sz="0" w:space="0" w:color="auto"/>
      </w:divBdr>
    </w:div>
    <w:div w:id="1187911322">
      <w:bodyDiv w:val="1"/>
      <w:marLeft w:val="0"/>
      <w:marRight w:val="0"/>
      <w:marTop w:val="0"/>
      <w:marBottom w:val="0"/>
      <w:divBdr>
        <w:top w:val="none" w:sz="0" w:space="0" w:color="auto"/>
        <w:left w:val="none" w:sz="0" w:space="0" w:color="auto"/>
        <w:bottom w:val="none" w:sz="0" w:space="0" w:color="auto"/>
        <w:right w:val="none" w:sz="0" w:space="0" w:color="auto"/>
      </w:divBdr>
    </w:div>
    <w:div w:id="1187988273">
      <w:bodyDiv w:val="1"/>
      <w:marLeft w:val="0"/>
      <w:marRight w:val="0"/>
      <w:marTop w:val="0"/>
      <w:marBottom w:val="0"/>
      <w:divBdr>
        <w:top w:val="none" w:sz="0" w:space="0" w:color="auto"/>
        <w:left w:val="none" w:sz="0" w:space="0" w:color="auto"/>
        <w:bottom w:val="none" w:sz="0" w:space="0" w:color="auto"/>
        <w:right w:val="none" w:sz="0" w:space="0" w:color="auto"/>
      </w:divBdr>
    </w:div>
    <w:div w:id="1188300831">
      <w:bodyDiv w:val="1"/>
      <w:marLeft w:val="0"/>
      <w:marRight w:val="0"/>
      <w:marTop w:val="0"/>
      <w:marBottom w:val="0"/>
      <w:divBdr>
        <w:top w:val="none" w:sz="0" w:space="0" w:color="auto"/>
        <w:left w:val="none" w:sz="0" w:space="0" w:color="auto"/>
        <w:bottom w:val="none" w:sz="0" w:space="0" w:color="auto"/>
        <w:right w:val="none" w:sz="0" w:space="0" w:color="auto"/>
      </w:divBdr>
    </w:div>
    <w:div w:id="1188370876">
      <w:bodyDiv w:val="1"/>
      <w:marLeft w:val="0"/>
      <w:marRight w:val="0"/>
      <w:marTop w:val="0"/>
      <w:marBottom w:val="0"/>
      <w:divBdr>
        <w:top w:val="none" w:sz="0" w:space="0" w:color="auto"/>
        <w:left w:val="none" w:sz="0" w:space="0" w:color="auto"/>
        <w:bottom w:val="none" w:sz="0" w:space="0" w:color="auto"/>
        <w:right w:val="none" w:sz="0" w:space="0" w:color="auto"/>
      </w:divBdr>
    </w:div>
    <w:div w:id="1188373389">
      <w:bodyDiv w:val="1"/>
      <w:marLeft w:val="0"/>
      <w:marRight w:val="0"/>
      <w:marTop w:val="0"/>
      <w:marBottom w:val="0"/>
      <w:divBdr>
        <w:top w:val="none" w:sz="0" w:space="0" w:color="auto"/>
        <w:left w:val="none" w:sz="0" w:space="0" w:color="auto"/>
        <w:bottom w:val="none" w:sz="0" w:space="0" w:color="auto"/>
        <w:right w:val="none" w:sz="0" w:space="0" w:color="auto"/>
      </w:divBdr>
    </w:div>
    <w:div w:id="1188519153">
      <w:bodyDiv w:val="1"/>
      <w:marLeft w:val="0"/>
      <w:marRight w:val="0"/>
      <w:marTop w:val="0"/>
      <w:marBottom w:val="0"/>
      <w:divBdr>
        <w:top w:val="none" w:sz="0" w:space="0" w:color="auto"/>
        <w:left w:val="none" w:sz="0" w:space="0" w:color="auto"/>
        <w:bottom w:val="none" w:sz="0" w:space="0" w:color="auto"/>
        <w:right w:val="none" w:sz="0" w:space="0" w:color="auto"/>
      </w:divBdr>
    </w:div>
    <w:div w:id="1188524273">
      <w:bodyDiv w:val="1"/>
      <w:marLeft w:val="0"/>
      <w:marRight w:val="0"/>
      <w:marTop w:val="0"/>
      <w:marBottom w:val="0"/>
      <w:divBdr>
        <w:top w:val="none" w:sz="0" w:space="0" w:color="auto"/>
        <w:left w:val="none" w:sz="0" w:space="0" w:color="auto"/>
        <w:bottom w:val="none" w:sz="0" w:space="0" w:color="auto"/>
        <w:right w:val="none" w:sz="0" w:space="0" w:color="auto"/>
      </w:divBdr>
    </w:div>
    <w:div w:id="1188567105">
      <w:bodyDiv w:val="1"/>
      <w:marLeft w:val="0"/>
      <w:marRight w:val="0"/>
      <w:marTop w:val="0"/>
      <w:marBottom w:val="0"/>
      <w:divBdr>
        <w:top w:val="none" w:sz="0" w:space="0" w:color="auto"/>
        <w:left w:val="none" w:sz="0" w:space="0" w:color="auto"/>
        <w:bottom w:val="none" w:sz="0" w:space="0" w:color="auto"/>
        <w:right w:val="none" w:sz="0" w:space="0" w:color="auto"/>
      </w:divBdr>
    </w:div>
    <w:div w:id="1188714407">
      <w:bodyDiv w:val="1"/>
      <w:marLeft w:val="0"/>
      <w:marRight w:val="0"/>
      <w:marTop w:val="0"/>
      <w:marBottom w:val="0"/>
      <w:divBdr>
        <w:top w:val="none" w:sz="0" w:space="0" w:color="auto"/>
        <w:left w:val="none" w:sz="0" w:space="0" w:color="auto"/>
        <w:bottom w:val="none" w:sz="0" w:space="0" w:color="auto"/>
        <w:right w:val="none" w:sz="0" w:space="0" w:color="auto"/>
      </w:divBdr>
    </w:div>
    <w:div w:id="1188833015">
      <w:bodyDiv w:val="1"/>
      <w:marLeft w:val="0"/>
      <w:marRight w:val="0"/>
      <w:marTop w:val="0"/>
      <w:marBottom w:val="0"/>
      <w:divBdr>
        <w:top w:val="none" w:sz="0" w:space="0" w:color="auto"/>
        <w:left w:val="none" w:sz="0" w:space="0" w:color="auto"/>
        <w:bottom w:val="none" w:sz="0" w:space="0" w:color="auto"/>
        <w:right w:val="none" w:sz="0" w:space="0" w:color="auto"/>
      </w:divBdr>
    </w:div>
    <w:div w:id="1188912736">
      <w:bodyDiv w:val="1"/>
      <w:marLeft w:val="0"/>
      <w:marRight w:val="0"/>
      <w:marTop w:val="0"/>
      <w:marBottom w:val="0"/>
      <w:divBdr>
        <w:top w:val="none" w:sz="0" w:space="0" w:color="auto"/>
        <w:left w:val="none" w:sz="0" w:space="0" w:color="auto"/>
        <w:bottom w:val="none" w:sz="0" w:space="0" w:color="auto"/>
        <w:right w:val="none" w:sz="0" w:space="0" w:color="auto"/>
      </w:divBdr>
    </w:div>
    <w:div w:id="1188984922">
      <w:bodyDiv w:val="1"/>
      <w:marLeft w:val="0"/>
      <w:marRight w:val="0"/>
      <w:marTop w:val="0"/>
      <w:marBottom w:val="0"/>
      <w:divBdr>
        <w:top w:val="none" w:sz="0" w:space="0" w:color="auto"/>
        <w:left w:val="none" w:sz="0" w:space="0" w:color="auto"/>
        <w:bottom w:val="none" w:sz="0" w:space="0" w:color="auto"/>
        <w:right w:val="none" w:sz="0" w:space="0" w:color="auto"/>
      </w:divBdr>
    </w:div>
    <w:div w:id="1189103745">
      <w:bodyDiv w:val="1"/>
      <w:marLeft w:val="0"/>
      <w:marRight w:val="0"/>
      <w:marTop w:val="0"/>
      <w:marBottom w:val="0"/>
      <w:divBdr>
        <w:top w:val="none" w:sz="0" w:space="0" w:color="auto"/>
        <w:left w:val="none" w:sz="0" w:space="0" w:color="auto"/>
        <w:bottom w:val="none" w:sz="0" w:space="0" w:color="auto"/>
        <w:right w:val="none" w:sz="0" w:space="0" w:color="auto"/>
      </w:divBdr>
    </w:div>
    <w:div w:id="1189218900">
      <w:bodyDiv w:val="1"/>
      <w:marLeft w:val="0"/>
      <w:marRight w:val="0"/>
      <w:marTop w:val="0"/>
      <w:marBottom w:val="0"/>
      <w:divBdr>
        <w:top w:val="none" w:sz="0" w:space="0" w:color="auto"/>
        <w:left w:val="none" w:sz="0" w:space="0" w:color="auto"/>
        <w:bottom w:val="none" w:sz="0" w:space="0" w:color="auto"/>
        <w:right w:val="none" w:sz="0" w:space="0" w:color="auto"/>
      </w:divBdr>
    </w:div>
    <w:div w:id="1189564413">
      <w:bodyDiv w:val="1"/>
      <w:marLeft w:val="0"/>
      <w:marRight w:val="0"/>
      <w:marTop w:val="0"/>
      <w:marBottom w:val="0"/>
      <w:divBdr>
        <w:top w:val="none" w:sz="0" w:space="0" w:color="auto"/>
        <w:left w:val="none" w:sz="0" w:space="0" w:color="auto"/>
        <w:bottom w:val="none" w:sz="0" w:space="0" w:color="auto"/>
        <w:right w:val="none" w:sz="0" w:space="0" w:color="auto"/>
      </w:divBdr>
    </w:div>
    <w:div w:id="1189831515">
      <w:bodyDiv w:val="1"/>
      <w:marLeft w:val="0"/>
      <w:marRight w:val="0"/>
      <w:marTop w:val="0"/>
      <w:marBottom w:val="0"/>
      <w:divBdr>
        <w:top w:val="none" w:sz="0" w:space="0" w:color="auto"/>
        <w:left w:val="none" w:sz="0" w:space="0" w:color="auto"/>
        <w:bottom w:val="none" w:sz="0" w:space="0" w:color="auto"/>
        <w:right w:val="none" w:sz="0" w:space="0" w:color="auto"/>
      </w:divBdr>
    </w:div>
    <w:div w:id="1189873764">
      <w:bodyDiv w:val="1"/>
      <w:marLeft w:val="0"/>
      <w:marRight w:val="0"/>
      <w:marTop w:val="0"/>
      <w:marBottom w:val="0"/>
      <w:divBdr>
        <w:top w:val="none" w:sz="0" w:space="0" w:color="auto"/>
        <w:left w:val="none" w:sz="0" w:space="0" w:color="auto"/>
        <w:bottom w:val="none" w:sz="0" w:space="0" w:color="auto"/>
        <w:right w:val="none" w:sz="0" w:space="0" w:color="auto"/>
      </w:divBdr>
    </w:div>
    <w:div w:id="1189875134">
      <w:bodyDiv w:val="1"/>
      <w:marLeft w:val="0"/>
      <w:marRight w:val="0"/>
      <w:marTop w:val="0"/>
      <w:marBottom w:val="0"/>
      <w:divBdr>
        <w:top w:val="none" w:sz="0" w:space="0" w:color="auto"/>
        <w:left w:val="none" w:sz="0" w:space="0" w:color="auto"/>
        <w:bottom w:val="none" w:sz="0" w:space="0" w:color="auto"/>
        <w:right w:val="none" w:sz="0" w:space="0" w:color="auto"/>
      </w:divBdr>
    </w:div>
    <w:div w:id="1190072178">
      <w:bodyDiv w:val="1"/>
      <w:marLeft w:val="0"/>
      <w:marRight w:val="0"/>
      <w:marTop w:val="0"/>
      <w:marBottom w:val="0"/>
      <w:divBdr>
        <w:top w:val="none" w:sz="0" w:space="0" w:color="auto"/>
        <w:left w:val="none" w:sz="0" w:space="0" w:color="auto"/>
        <w:bottom w:val="none" w:sz="0" w:space="0" w:color="auto"/>
        <w:right w:val="none" w:sz="0" w:space="0" w:color="auto"/>
      </w:divBdr>
    </w:div>
    <w:div w:id="1190144339">
      <w:bodyDiv w:val="1"/>
      <w:marLeft w:val="0"/>
      <w:marRight w:val="0"/>
      <w:marTop w:val="0"/>
      <w:marBottom w:val="0"/>
      <w:divBdr>
        <w:top w:val="none" w:sz="0" w:space="0" w:color="auto"/>
        <w:left w:val="none" w:sz="0" w:space="0" w:color="auto"/>
        <w:bottom w:val="none" w:sz="0" w:space="0" w:color="auto"/>
        <w:right w:val="none" w:sz="0" w:space="0" w:color="auto"/>
      </w:divBdr>
    </w:div>
    <w:div w:id="1190264943">
      <w:bodyDiv w:val="1"/>
      <w:marLeft w:val="0"/>
      <w:marRight w:val="0"/>
      <w:marTop w:val="0"/>
      <w:marBottom w:val="0"/>
      <w:divBdr>
        <w:top w:val="none" w:sz="0" w:space="0" w:color="auto"/>
        <w:left w:val="none" w:sz="0" w:space="0" w:color="auto"/>
        <w:bottom w:val="none" w:sz="0" w:space="0" w:color="auto"/>
        <w:right w:val="none" w:sz="0" w:space="0" w:color="auto"/>
      </w:divBdr>
    </w:div>
    <w:div w:id="1190291398">
      <w:bodyDiv w:val="1"/>
      <w:marLeft w:val="0"/>
      <w:marRight w:val="0"/>
      <w:marTop w:val="0"/>
      <w:marBottom w:val="0"/>
      <w:divBdr>
        <w:top w:val="none" w:sz="0" w:space="0" w:color="auto"/>
        <w:left w:val="none" w:sz="0" w:space="0" w:color="auto"/>
        <w:bottom w:val="none" w:sz="0" w:space="0" w:color="auto"/>
        <w:right w:val="none" w:sz="0" w:space="0" w:color="auto"/>
      </w:divBdr>
    </w:div>
    <w:div w:id="1190407994">
      <w:bodyDiv w:val="1"/>
      <w:marLeft w:val="0"/>
      <w:marRight w:val="0"/>
      <w:marTop w:val="0"/>
      <w:marBottom w:val="0"/>
      <w:divBdr>
        <w:top w:val="none" w:sz="0" w:space="0" w:color="auto"/>
        <w:left w:val="none" w:sz="0" w:space="0" w:color="auto"/>
        <w:bottom w:val="none" w:sz="0" w:space="0" w:color="auto"/>
        <w:right w:val="none" w:sz="0" w:space="0" w:color="auto"/>
      </w:divBdr>
    </w:div>
    <w:div w:id="1190414552">
      <w:bodyDiv w:val="1"/>
      <w:marLeft w:val="0"/>
      <w:marRight w:val="0"/>
      <w:marTop w:val="0"/>
      <w:marBottom w:val="0"/>
      <w:divBdr>
        <w:top w:val="none" w:sz="0" w:space="0" w:color="auto"/>
        <w:left w:val="none" w:sz="0" w:space="0" w:color="auto"/>
        <w:bottom w:val="none" w:sz="0" w:space="0" w:color="auto"/>
        <w:right w:val="none" w:sz="0" w:space="0" w:color="auto"/>
      </w:divBdr>
    </w:div>
    <w:div w:id="1190492859">
      <w:bodyDiv w:val="1"/>
      <w:marLeft w:val="0"/>
      <w:marRight w:val="0"/>
      <w:marTop w:val="0"/>
      <w:marBottom w:val="0"/>
      <w:divBdr>
        <w:top w:val="none" w:sz="0" w:space="0" w:color="auto"/>
        <w:left w:val="none" w:sz="0" w:space="0" w:color="auto"/>
        <w:bottom w:val="none" w:sz="0" w:space="0" w:color="auto"/>
        <w:right w:val="none" w:sz="0" w:space="0" w:color="auto"/>
      </w:divBdr>
    </w:div>
    <w:div w:id="1190795000">
      <w:bodyDiv w:val="1"/>
      <w:marLeft w:val="0"/>
      <w:marRight w:val="0"/>
      <w:marTop w:val="0"/>
      <w:marBottom w:val="0"/>
      <w:divBdr>
        <w:top w:val="none" w:sz="0" w:space="0" w:color="auto"/>
        <w:left w:val="none" w:sz="0" w:space="0" w:color="auto"/>
        <w:bottom w:val="none" w:sz="0" w:space="0" w:color="auto"/>
        <w:right w:val="none" w:sz="0" w:space="0" w:color="auto"/>
      </w:divBdr>
    </w:div>
    <w:div w:id="1190870570">
      <w:bodyDiv w:val="1"/>
      <w:marLeft w:val="0"/>
      <w:marRight w:val="0"/>
      <w:marTop w:val="0"/>
      <w:marBottom w:val="0"/>
      <w:divBdr>
        <w:top w:val="none" w:sz="0" w:space="0" w:color="auto"/>
        <w:left w:val="none" w:sz="0" w:space="0" w:color="auto"/>
        <w:bottom w:val="none" w:sz="0" w:space="0" w:color="auto"/>
        <w:right w:val="none" w:sz="0" w:space="0" w:color="auto"/>
      </w:divBdr>
    </w:div>
    <w:div w:id="1190952317">
      <w:bodyDiv w:val="1"/>
      <w:marLeft w:val="0"/>
      <w:marRight w:val="0"/>
      <w:marTop w:val="0"/>
      <w:marBottom w:val="0"/>
      <w:divBdr>
        <w:top w:val="none" w:sz="0" w:space="0" w:color="auto"/>
        <w:left w:val="none" w:sz="0" w:space="0" w:color="auto"/>
        <w:bottom w:val="none" w:sz="0" w:space="0" w:color="auto"/>
        <w:right w:val="none" w:sz="0" w:space="0" w:color="auto"/>
      </w:divBdr>
    </w:div>
    <w:div w:id="1191340093">
      <w:bodyDiv w:val="1"/>
      <w:marLeft w:val="0"/>
      <w:marRight w:val="0"/>
      <w:marTop w:val="0"/>
      <w:marBottom w:val="0"/>
      <w:divBdr>
        <w:top w:val="none" w:sz="0" w:space="0" w:color="auto"/>
        <w:left w:val="none" w:sz="0" w:space="0" w:color="auto"/>
        <w:bottom w:val="none" w:sz="0" w:space="0" w:color="auto"/>
        <w:right w:val="none" w:sz="0" w:space="0" w:color="auto"/>
      </w:divBdr>
    </w:div>
    <w:div w:id="1191340991">
      <w:bodyDiv w:val="1"/>
      <w:marLeft w:val="0"/>
      <w:marRight w:val="0"/>
      <w:marTop w:val="0"/>
      <w:marBottom w:val="0"/>
      <w:divBdr>
        <w:top w:val="none" w:sz="0" w:space="0" w:color="auto"/>
        <w:left w:val="none" w:sz="0" w:space="0" w:color="auto"/>
        <w:bottom w:val="none" w:sz="0" w:space="0" w:color="auto"/>
        <w:right w:val="none" w:sz="0" w:space="0" w:color="auto"/>
      </w:divBdr>
    </w:div>
    <w:div w:id="1191841761">
      <w:bodyDiv w:val="1"/>
      <w:marLeft w:val="0"/>
      <w:marRight w:val="0"/>
      <w:marTop w:val="0"/>
      <w:marBottom w:val="0"/>
      <w:divBdr>
        <w:top w:val="none" w:sz="0" w:space="0" w:color="auto"/>
        <w:left w:val="none" w:sz="0" w:space="0" w:color="auto"/>
        <w:bottom w:val="none" w:sz="0" w:space="0" w:color="auto"/>
        <w:right w:val="none" w:sz="0" w:space="0" w:color="auto"/>
      </w:divBdr>
    </w:div>
    <w:div w:id="1191989451">
      <w:bodyDiv w:val="1"/>
      <w:marLeft w:val="0"/>
      <w:marRight w:val="0"/>
      <w:marTop w:val="0"/>
      <w:marBottom w:val="0"/>
      <w:divBdr>
        <w:top w:val="none" w:sz="0" w:space="0" w:color="auto"/>
        <w:left w:val="none" w:sz="0" w:space="0" w:color="auto"/>
        <w:bottom w:val="none" w:sz="0" w:space="0" w:color="auto"/>
        <w:right w:val="none" w:sz="0" w:space="0" w:color="auto"/>
      </w:divBdr>
    </w:div>
    <w:div w:id="1192035095">
      <w:bodyDiv w:val="1"/>
      <w:marLeft w:val="0"/>
      <w:marRight w:val="0"/>
      <w:marTop w:val="0"/>
      <w:marBottom w:val="0"/>
      <w:divBdr>
        <w:top w:val="none" w:sz="0" w:space="0" w:color="auto"/>
        <w:left w:val="none" w:sz="0" w:space="0" w:color="auto"/>
        <w:bottom w:val="none" w:sz="0" w:space="0" w:color="auto"/>
        <w:right w:val="none" w:sz="0" w:space="0" w:color="auto"/>
      </w:divBdr>
    </w:div>
    <w:div w:id="1192036474">
      <w:bodyDiv w:val="1"/>
      <w:marLeft w:val="0"/>
      <w:marRight w:val="0"/>
      <w:marTop w:val="0"/>
      <w:marBottom w:val="0"/>
      <w:divBdr>
        <w:top w:val="none" w:sz="0" w:space="0" w:color="auto"/>
        <w:left w:val="none" w:sz="0" w:space="0" w:color="auto"/>
        <w:bottom w:val="none" w:sz="0" w:space="0" w:color="auto"/>
        <w:right w:val="none" w:sz="0" w:space="0" w:color="auto"/>
      </w:divBdr>
    </w:div>
    <w:div w:id="1192180637">
      <w:bodyDiv w:val="1"/>
      <w:marLeft w:val="0"/>
      <w:marRight w:val="0"/>
      <w:marTop w:val="0"/>
      <w:marBottom w:val="0"/>
      <w:divBdr>
        <w:top w:val="none" w:sz="0" w:space="0" w:color="auto"/>
        <w:left w:val="none" w:sz="0" w:space="0" w:color="auto"/>
        <w:bottom w:val="none" w:sz="0" w:space="0" w:color="auto"/>
        <w:right w:val="none" w:sz="0" w:space="0" w:color="auto"/>
      </w:divBdr>
    </w:div>
    <w:div w:id="1192182954">
      <w:bodyDiv w:val="1"/>
      <w:marLeft w:val="0"/>
      <w:marRight w:val="0"/>
      <w:marTop w:val="0"/>
      <w:marBottom w:val="0"/>
      <w:divBdr>
        <w:top w:val="none" w:sz="0" w:space="0" w:color="auto"/>
        <w:left w:val="none" w:sz="0" w:space="0" w:color="auto"/>
        <w:bottom w:val="none" w:sz="0" w:space="0" w:color="auto"/>
        <w:right w:val="none" w:sz="0" w:space="0" w:color="auto"/>
      </w:divBdr>
    </w:div>
    <w:div w:id="1192186095">
      <w:bodyDiv w:val="1"/>
      <w:marLeft w:val="0"/>
      <w:marRight w:val="0"/>
      <w:marTop w:val="0"/>
      <w:marBottom w:val="0"/>
      <w:divBdr>
        <w:top w:val="none" w:sz="0" w:space="0" w:color="auto"/>
        <w:left w:val="none" w:sz="0" w:space="0" w:color="auto"/>
        <w:bottom w:val="none" w:sz="0" w:space="0" w:color="auto"/>
        <w:right w:val="none" w:sz="0" w:space="0" w:color="auto"/>
      </w:divBdr>
    </w:div>
    <w:div w:id="1192188202">
      <w:bodyDiv w:val="1"/>
      <w:marLeft w:val="0"/>
      <w:marRight w:val="0"/>
      <w:marTop w:val="0"/>
      <w:marBottom w:val="0"/>
      <w:divBdr>
        <w:top w:val="none" w:sz="0" w:space="0" w:color="auto"/>
        <w:left w:val="none" w:sz="0" w:space="0" w:color="auto"/>
        <w:bottom w:val="none" w:sz="0" w:space="0" w:color="auto"/>
        <w:right w:val="none" w:sz="0" w:space="0" w:color="auto"/>
      </w:divBdr>
    </w:div>
    <w:div w:id="1192256467">
      <w:bodyDiv w:val="1"/>
      <w:marLeft w:val="0"/>
      <w:marRight w:val="0"/>
      <w:marTop w:val="0"/>
      <w:marBottom w:val="0"/>
      <w:divBdr>
        <w:top w:val="none" w:sz="0" w:space="0" w:color="auto"/>
        <w:left w:val="none" w:sz="0" w:space="0" w:color="auto"/>
        <w:bottom w:val="none" w:sz="0" w:space="0" w:color="auto"/>
        <w:right w:val="none" w:sz="0" w:space="0" w:color="auto"/>
      </w:divBdr>
    </w:div>
    <w:div w:id="1192576646">
      <w:bodyDiv w:val="1"/>
      <w:marLeft w:val="0"/>
      <w:marRight w:val="0"/>
      <w:marTop w:val="0"/>
      <w:marBottom w:val="0"/>
      <w:divBdr>
        <w:top w:val="none" w:sz="0" w:space="0" w:color="auto"/>
        <w:left w:val="none" w:sz="0" w:space="0" w:color="auto"/>
        <w:bottom w:val="none" w:sz="0" w:space="0" w:color="auto"/>
        <w:right w:val="none" w:sz="0" w:space="0" w:color="auto"/>
      </w:divBdr>
    </w:div>
    <w:div w:id="1192690033">
      <w:bodyDiv w:val="1"/>
      <w:marLeft w:val="0"/>
      <w:marRight w:val="0"/>
      <w:marTop w:val="0"/>
      <w:marBottom w:val="0"/>
      <w:divBdr>
        <w:top w:val="none" w:sz="0" w:space="0" w:color="auto"/>
        <w:left w:val="none" w:sz="0" w:space="0" w:color="auto"/>
        <w:bottom w:val="none" w:sz="0" w:space="0" w:color="auto"/>
        <w:right w:val="none" w:sz="0" w:space="0" w:color="auto"/>
      </w:divBdr>
    </w:div>
    <w:div w:id="1192836595">
      <w:bodyDiv w:val="1"/>
      <w:marLeft w:val="0"/>
      <w:marRight w:val="0"/>
      <w:marTop w:val="0"/>
      <w:marBottom w:val="0"/>
      <w:divBdr>
        <w:top w:val="none" w:sz="0" w:space="0" w:color="auto"/>
        <w:left w:val="none" w:sz="0" w:space="0" w:color="auto"/>
        <w:bottom w:val="none" w:sz="0" w:space="0" w:color="auto"/>
        <w:right w:val="none" w:sz="0" w:space="0" w:color="auto"/>
      </w:divBdr>
    </w:div>
    <w:div w:id="1192845270">
      <w:bodyDiv w:val="1"/>
      <w:marLeft w:val="0"/>
      <w:marRight w:val="0"/>
      <w:marTop w:val="0"/>
      <w:marBottom w:val="0"/>
      <w:divBdr>
        <w:top w:val="none" w:sz="0" w:space="0" w:color="auto"/>
        <w:left w:val="none" w:sz="0" w:space="0" w:color="auto"/>
        <w:bottom w:val="none" w:sz="0" w:space="0" w:color="auto"/>
        <w:right w:val="none" w:sz="0" w:space="0" w:color="auto"/>
      </w:divBdr>
    </w:div>
    <w:div w:id="1192887546">
      <w:bodyDiv w:val="1"/>
      <w:marLeft w:val="0"/>
      <w:marRight w:val="0"/>
      <w:marTop w:val="0"/>
      <w:marBottom w:val="0"/>
      <w:divBdr>
        <w:top w:val="none" w:sz="0" w:space="0" w:color="auto"/>
        <w:left w:val="none" w:sz="0" w:space="0" w:color="auto"/>
        <w:bottom w:val="none" w:sz="0" w:space="0" w:color="auto"/>
        <w:right w:val="none" w:sz="0" w:space="0" w:color="auto"/>
      </w:divBdr>
    </w:div>
    <w:div w:id="1192917934">
      <w:bodyDiv w:val="1"/>
      <w:marLeft w:val="0"/>
      <w:marRight w:val="0"/>
      <w:marTop w:val="0"/>
      <w:marBottom w:val="0"/>
      <w:divBdr>
        <w:top w:val="none" w:sz="0" w:space="0" w:color="auto"/>
        <w:left w:val="none" w:sz="0" w:space="0" w:color="auto"/>
        <w:bottom w:val="none" w:sz="0" w:space="0" w:color="auto"/>
        <w:right w:val="none" w:sz="0" w:space="0" w:color="auto"/>
      </w:divBdr>
    </w:div>
    <w:div w:id="1192958678">
      <w:bodyDiv w:val="1"/>
      <w:marLeft w:val="0"/>
      <w:marRight w:val="0"/>
      <w:marTop w:val="0"/>
      <w:marBottom w:val="0"/>
      <w:divBdr>
        <w:top w:val="none" w:sz="0" w:space="0" w:color="auto"/>
        <w:left w:val="none" w:sz="0" w:space="0" w:color="auto"/>
        <w:bottom w:val="none" w:sz="0" w:space="0" w:color="auto"/>
        <w:right w:val="none" w:sz="0" w:space="0" w:color="auto"/>
      </w:divBdr>
    </w:div>
    <w:div w:id="1193031825">
      <w:bodyDiv w:val="1"/>
      <w:marLeft w:val="0"/>
      <w:marRight w:val="0"/>
      <w:marTop w:val="0"/>
      <w:marBottom w:val="0"/>
      <w:divBdr>
        <w:top w:val="none" w:sz="0" w:space="0" w:color="auto"/>
        <w:left w:val="none" w:sz="0" w:space="0" w:color="auto"/>
        <w:bottom w:val="none" w:sz="0" w:space="0" w:color="auto"/>
        <w:right w:val="none" w:sz="0" w:space="0" w:color="auto"/>
      </w:divBdr>
    </w:div>
    <w:div w:id="1193032500">
      <w:bodyDiv w:val="1"/>
      <w:marLeft w:val="0"/>
      <w:marRight w:val="0"/>
      <w:marTop w:val="0"/>
      <w:marBottom w:val="0"/>
      <w:divBdr>
        <w:top w:val="none" w:sz="0" w:space="0" w:color="auto"/>
        <w:left w:val="none" w:sz="0" w:space="0" w:color="auto"/>
        <w:bottom w:val="none" w:sz="0" w:space="0" w:color="auto"/>
        <w:right w:val="none" w:sz="0" w:space="0" w:color="auto"/>
      </w:divBdr>
    </w:div>
    <w:div w:id="1193104366">
      <w:bodyDiv w:val="1"/>
      <w:marLeft w:val="0"/>
      <w:marRight w:val="0"/>
      <w:marTop w:val="0"/>
      <w:marBottom w:val="0"/>
      <w:divBdr>
        <w:top w:val="none" w:sz="0" w:space="0" w:color="auto"/>
        <w:left w:val="none" w:sz="0" w:space="0" w:color="auto"/>
        <w:bottom w:val="none" w:sz="0" w:space="0" w:color="auto"/>
        <w:right w:val="none" w:sz="0" w:space="0" w:color="auto"/>
      </w:divBdr>
    </w:div>
    <w:div w:id="1193305059">
      <w:bodyDiv w:val="1"/>
      <w:marLeft w:val="0"/>
      <w:marRight w:val="0"/>
      <w:marTop w:val="0"/>
      <w:marBottom w:val="0"/>
      <w:divBdr>
        <w:top w:val="none" w:sz="0" w:space="0" w:color="auto"/>
        <w:left w:val="none" w:sz="0" w:space="0" w:color="auto"/>
        <w:bottom w:val="none" w:sz="0" w:space="0" w:color="auto"/>
        <w:right w:val="none" w:sz="0" w:space="0" w:color="auto"/>
      </w:divBdr>
    </w:div>
    <w:div w:id="1193374497">
      <w:bodyDiv w:val="1"/>
      <w:marLeft w:val="0"/>
      <w:marRight w:val="0"/>
      <w:marTop w:val="0"/>
      <w:marBottom w:val="0"/>
      <w:divBdr>
        <w:top w:val="none" w:sz="0" w:space="0" w:color="auto"/>
        <w:left w:val="none" w:sz="0" w:space="0" w:color="auto"/>
        <w:bottom w:val="none" w:sz="0" w:space="0" w:color="auto"/>
        <w:right w:val="none" w:sz="0" w:space="0" w:color="auto"/>
      </w:divBdr>
    </w:div>
    <w:div w:id="1193568572">
      <w:bodyDiv w:val="1"/>
      <w:marLeft w:val="0"/>
      <w:marRight w:val="0"/>
      <w:marTop w:val="0"/>
      <w:marBottom w:val="0"/>
      <w:divBdr>
        <w:top w:val="none" w:sz="0" w:space="0" w:color="auto"/>
        <w:left w:val="none" w:sz="0" w:space="0" w:color="auto"/>
        <w:bottom w:val="none" w:sz="0" w:space="0" w:color="auto"/>
        <w:right w:val="none" w:sz="0" w:space="0" w:color="auto"/>
      </w:divBdr>
    </w:div>
    <w:div w:id="1193764687">
      <w:bodyDiv w:val="1"/>
      <w:marLeft w:val="0"/>
      <w:marRight w:val="0"/>
      <w:marTop w:val="0"/>
      <w:marBottom w:val="0"/>
      <w:divBdr>
        <w:top w:val="none" w:sz="0" w:space="0" w:color="auto"/>
        <w:left w:val="none" w:sz="0" w:space="0" w:color="auto"/>
        <w:bottom w:val="none" w:sz="0" w:space="0" w:color="auto"/>
        <w:right w:val="none" w:sz="0" w:space="0" w:color="auto"/>
      </w:divBdr>
    </w:div>
    <w:div w:id="1193765992">
      <w:bodyDiv w:val="1"/>
      <w:marLeft w:val="0"/>
      <w:marRight w:val="0"/>
      <w:marTop w:val="0"/>
      <w:marBottom w:val="0"/>
      <w:divBdr>
        <w:top w:val="none" w:sz="0" w:space="0" w:color="auto"/>
        <w:left w:val="none" w:sz="0" w:space="0" w:color="auto"/>
        <w:bottom w:val="none" w:sz="0" w:space="0" w:color="auto"/>
        <w:right w:val="none" w:sz="0" w:space="0" w:color="auto"/>
      </w:divBdr>
    </w:div>
    <w:div w:id="1193803920">
      <w:bodyDiv w:val="1"/>
      <w:marLeft w:val="0"/>
      <w:marRight w:val="0"/>
      <w:marTop w:val="0"/>
      <w:marBottom w:val="0"/>
      <w:divBdr>
        <w:top w:val="none" w:sz="0" w:space="0" w:color="auto"/>
        <w:left w:val="none" w:sz="0" w:space="0" w:color="auto"/>
        <w:bottom w:val="none" w:sz="0" w:space="0" w:color="auto"/>
        <w:right w:val="none" w:sz="0" w:space="0" w:color="auto"/>
      </w:divBdr>
    </w:div>
    <w:div w:id="1193953952">
      <w:bodyDiv w:val="1"/>
      <w:marLeft w:val="0"/>
      <w:marRight w:val="0"/>
      <w:marTop w:val="0"/>
      <w:marBottom w:val="0"/>
      <w:divBdr>
        <w:top w:val="none" w:sz="0" w:space="0" w:color="auto"/>
        <w:left w:val="none" w:sz="0" w:space="0" w:color="auto"/>
        <w:bottom w:val="none" w:sz="0" w:space="0" w:color="auto"/>
        <w:right w:val="none" w:sz="0" w:space="0" w:color="auto"/>
      </w:divBdr>
    </w:div>
    <w:div w:id="1194001831">
      <w:bodyDiv w:val="1"/>
      <w:marLeft w:val="0"/>
      <w:marRight w:val="0"/>
      <w:marTop w:val="0"/>
      <w:marBottom w:val="0"/>
      <w:divBdr>
        <w:top w:val="none" w:sz="0" w:space="0" w:color="auto"/>
        <w:left w:val="none" w:sz="0" w:space="0" w:color="auto"/>
        <w:bottom w:val="none" w:sz="0" w:space="0" w:color="auto"/>
        <w:right w:val="none" w:sz="0" w:space="0" w:color="auto"/>
      </w:divBdr>
    </w:div>
    <w:div w:id="1194031542">
      <w:bodyDiv w:val="1"/>
      <w:marLeft w:val="0"/>
      <w:marRight w:val="0"/>
      <w:marTop w:val="0"/>
      <w:marBottom w:val="0"/>
      <w:divBdr>
        <w:top w:val="none" w:sz="0" w:space="0" w:color="auto"/>
        <w:left w:val="none" w:sz="0" w:space="0" w:color="auto"/>
        <w:bottom w:val="none" w:sz="0" w:space="0" w:color="auto"/>
        <w:right w:val="none" w:sz="0" w:space="0" w:color="auto"/>
      </w:divBdr>
    </w:div>
    <w:div w:id="1194266593">
      <w:bodyDiv w:val="1"/>
      <w:marLeft w:val="0"/>
      <w:marRight w:val="0"/>
      <w:marTop w:val="0"/>
      <w:marBottom w:val="0"/>
      <w:divBdr>
        <w:top w:val="none" w:sz="0" w:space="0" w:color="auto"/>
        <w:left w:val="none" w:sz="0" w:space="0" w:color="auto"/>
        <w:bottom w:val="none" w:sz="0" w:space="0" w:color="auto"/>
        <w:right w:val="none" w:sz="0" w:space="0" w:color="auto"/>
      </w:divBdr>
    </w:div>
    <w:div w:id="1194659095">
      <w:bodyDiv w:val="1"/>
      <w:marLeft w:val="0"/>
      <w:marRight w:val="0"/>
      <w:marTop w:val="0"/>
      <w:marBottom w:val="0"/>
      <w:divBdr>
        <w:top w:val="none" w:sz="0" w:space="0" w:color="auto"/>
        <w:left w:val="none" w:sz="0" w:space="0" w:color="auto"/>
        <w:bottom w:val="none" w:sz="0" w:space="0" w:color="auto"/>
        <w:right w:val="none" w:sz="0" w:space="0" w:color="auto"/>
      </w:divBdr>
    </w:div>
    <w:div w:id="1194685466">
      <w:bodyDiv w:val="1"/>
      <w:marLeft w:val="0"/>
      <w:marRight w:val="0"/>
      <w:marTop w:val="0"/>
      <w:marBottom w:val="0"/>
      <w:divBdr>
        <w:top w:val="none" w:sz="0" w:space="0" w:color="auto"/>
        <w:left w:val="none" w:sz="0" w:space="0" w:color="auto"/>
        <w:bottom w:val="none" w:sz="0" w:space="0" w:color="auto"/>
        <w:right w:val="none" w:sz="0" w:space="0" w:color="auto"/>
      </w:divBdr>
    </w:div>
    <w:div w:id="1194853809">
      <w:bodyDiv w:val="1"/>
      <w:marLeft w:val="0"/>
      <w:marRight w:val="0"/>
      <w:marTop w:val="0"/>
      <w:marBottom w:val="0"/>
      <w:divBdr>
        <w:top w:val="none" w:sz="0" w:space="0" w:color="auto"/>
        <w:left w:val="none" w:sz="0" w:space="0" w:color="auto"/>
        <w:bottom w:val="none" w:sz="0" w:space="0" w:color="auto"/>
        <w:right w:val="none" w:sz="0" w:space="0" w:color="auto"/>
      </w:divBdr>
    </w:div>
    <w:div w:id="1194880033">
      <w:bodyDiv w:val="1"/>
      <w:marLeft w:val="0"/>
      <w:marRight w:val="0"/>
      <w:marTop w:val="0"/>
      <w:marBottom w:val="0"/>
      <w:divBdr>
        <w:top w:val="none" w:sz="0" w:space="0" w:color="auto"/>
        <w:left w:val="none" w:sz="0" w:space="0" w:color="auto"/>
        <w:bottom w:val="none" w:sz="0" w:space="0" w:color="auto"/>
        <w:right w:val="none" w:sz="0" w:space="0" w:color="auto"/>
      </w:divBdr>
    </w:div>
    <w:div w:id="1194925194">
      <w:bodyDiv w:val="1"/>
      <w:marLeft w:val="0"/>
      <w:marRight w:val="0"/>
      <w:marTop w:val="0"/>
      <w:marBottom w:val="0"/>
      <w:divBdr>
        <w:top w:val="none" w:sz="0" w:space="0" w:color="auto"/>
        <w:left w:val="none" w:sz="0" w:space="0" w:color="auto"/>
        <w:bottom w:val="none" w:sz="0" w:space="0" w:color="auto"/>
        <w:right w:val="none" w:sz="0" w:space="0" w:color="auto"/>
      </w:divBdr>
    </w:div>
    <w:div w:id="1194997099">
      <w:bodyDiv w:val="1"/>
      <w:marLeft w:val="0"/>
      <w:marRight w:val="0"/>
      <w:marTop w:val="0"/>
      <w:marBottom w:val="0"/>
      <w:divBdr>
        <w:top w:val="none" w:sz="0" w:space="0" w:color="auto"/>
        <w:left w:val="none" w:sz="0" w:space="0" w:color="auto"/>
        <w:bottom w:val="none" w:sz="0" w:space="0" w:color="auto"/>
        <w:right w:val="none" w:sz="0" w:space="0" w:color="auto"/>
      </w:divBdr>
    </w:div>
    <w:div w:id="1195000194">
      <w:bodyDiv w:val="1"/>
      <w:marLeft w:val="0"/>
      <w:marRight w:val="0"/>
      <w:marTop w:val="0"/>
      <w:marBottom w:val="0"/>
      <w:divBdr>
        <w:top w:val="none" w:sz="0" w:space="0" w:color="auto"/>
        <w:left w:val="none" w:sz="0" w:space="0" w:color="auto"/>
        <w:bottom w:val="none" w:sz="0" w:space="0" w:color="auto"/>
        <w:right w:val="none" w:sz="0" w:space="0" w:color="auto"/>
      </w:divBdr>
    </w:div>
    <w:div w:id="1195195708">
      <w:bodyDiv w:val="1"/>
      <w:marLeft w:val="0"/>
      <w:marRight w:val="0"/>
      <w:marTop w:val="0"/>
      <w:marBottom w:val="0"/>
      <w:divBdr>
        <w:top w:val="none" w:sz="0" w:space="0" w:color="auto"/>
        <w:left w:val="none" w:sz="0" w:space="0" w:color="auto"/>
        <w:bottom w:val="none" w:sz="0" w:space="0" w:color="auto"/>
        <w:right w:val="none" w:sz="0" w:space="0" w:color="auto"/>
      </w:divBdr>
    </w:div>
    <w:div w:id="1195311583">
      <w:bodyDiv w:val="1"/>
      <w:marLeft w:val="0"/>
      <w:marRight w:val="0"/>
      <w:marTop w:val="0"/>
      <w:marBottom w:val="0"/>
      <w:divBdr>
        <w:top w:val="none" w:sz="0" w:space="0" w:color="auto"/>
        <w:left w:val="none" w:sz="0" w:space="0" w:color="auto"/>
        <w:bottom w:val="none" w:sz="0" w:space="0" w:color="auto"/>
        <w:right w:val="none" w:sz="0" w:space="0" w:color="auto"/>
      </w:divBdr>
    </w:div>
    <w:div w:id="1195314767">
      <w:bodyDiv w:val="1"/>
      <w:marLeft w:val="0"/>
      <w:marRight w:val="0"/>
      <w:marTop w:val="0"/>
      <w:marBottom w:val="0"/>
      <w:divBdr>
        <w:top w:val="none" w:sz="0" w:space="0" w:color="auto"/>
        <w:left w:val="none" w:sz="0" w:space="0" w:color="auto"/>
        <w:bottom w:val="none" w:sz="0" w:space="0" w:color="auto"/>
        <w:right w:val="none" w:sz="0" w:space="0" w:color="auto"/>
      </w:divBdr>
    </w:div>
    <w:div w:id="1195388999">
      <w:bodyDiv w:val="1"/>
      <w:marLeft w:val="0"/>
      <w:marRight w:val="0"/>
      <w:marTop w:val="0"/>
      <w:marBottom w:val="0"/>
      <w:divBdr>
        <w:top w:val="none" w:sz="0" w:space="0" w:color="auto"/>
        <w:left w:val="none" w:sz="0" w:space="0" w:color="auto"/>
        <w:bottom w:val="none" w:sz="0" w:space="0" w:color="auto"/>
        <w:right w:val="none" w:sz="0" w:space="0" w:color="auto"/>
      </w:divBdr>
    </w:div>
    <w:div w:id="1195575335">
      <w:bodyDiv w:val="1"/>
      <w:marLeft w:val="0"/>
      <w:marRight w:val="0"/>
      <w:marTop w:val="0"/>
      <w:marBottom w:val="0"/>
      <w:divBdr>
        <w:top w:val="none" w:sz="0" w:space="0" w:color="auto"/>
        <w:left w:val="none" w:sz="0" w:space="0" w:color="auto"/>
        <w:bottom w:val="none" w:sz="0" w:space="0" w:color="auto"/>
        <w:right w:val="none" w:sz="0" w:space="0" w:color="auto"/>
      </w:divBdr>
    </w:div>
    <w:div w:id="1195579587">
      <w:bodyDiv w:val="1"/>
      <w:marLeft w:val="0"/>
      <w:marRight w:val="0"/>
      <w:marTop w:val="0"/>
      <w:marBottom w:val="0"/>
      <w:divBdr>
        <w:top w:val="none" w:sz="0" w:space="0" w:color="auto"/>
        <w:left w:val="none" w:sz="0" w:space="0" w:color="auto"/>
        <w:bottom w:val="none" w:sz="0" w:space="0" w:color="auto"/>
        <w:right w:val="none" w:sz="0" w:space="0" w:color="auto"/>
      </w:divBdr>
    </w:div>
    <w:div w:id="1195769920">
      <w:bodyDiv w:val="1"/>
      <w:marLeft w:val="0"/>
      <w:marRight w:val="0"/>
      <w:marTop w:val="0"/>
      <w:marBottom w:val="0"/>
      <w:divBdr>
        <w:top w:val="none" w:sz="0" w:space="0" w:color="auto"/>
        <w:left w:val="none" w:sz="0" w:space="0" w:color="auto"/>
        <w:bottom w:val="none" w:sz="0" w:space="0" w:color="auto"/>
        <w:right w:val="none" w:sz="0" w:space="0" w:color="auto"/>
      </w:divBdr>
    </w:div>
    <w:div w:id="1195774112">
      <w:bodyDiv w:val="1"/>
      <w:marLeft w:val="0"/>
      <w:marRight w:val="0"/>
      <w:marTop w:val="0"/>
      <w:marBottom w:val="0"/>
      <w:divBdr>
        <w:top w:val="none" w:sz="0" w:space="0" w:color="auto"/>
        <w:left w:val="none" w:sz="0" w:space="0" w:color="auto"/>
        <w:bottom w:val="none" w:sz="0" w:space="0" w:color="auto"/>
        <w:right w:val="none" w:sz="0" w:space="0" w:color="auto"/>
      </w:divBdr>
    </w:div>
    <w:div w:id="1195774228">
      <w:bodyDiv w:val="1"/>
      <w:marLeft w:val="0"/>
      <w:marRight w:val="0"/>
      <w:marTop w:val="0"/>
      <w:marBottom w:val="0"/>
      <w:divBdr>
        <w:top w:val="none" w:sz="0" w:space="0" w:color="auto"/>
        <w:left w:val="none" w:sz="0" w:space="0" w:color="auto"/>
        <w:bottom w:val="none" w:sz="0" w:space="0" w:color="auto"/>
        <w:right w:val="none" w:sz="0" w:space="0" w:color="auto"/>
      </w:divBdr>
    </w:div>
    <w:div w:id="1195970353">
      <w:bodyDiv w:val="1"/>
      <w:marLeft w:val="0"/>
      <w:marRight w:val="0"/>
      <w:marTop w:val="0"/>
      <w:marBottom w:val="0"/>
      <w:divBdr>
        <w:top w:val="none" w:sz="0" w:space="0" w:color="auto"/>
        <w:left w:val="none" w:sz="0" w:space="0" w:color="auto"/>
        <w:bottom w:val="none" w:sz="0" w:space="0" w:color="auto"/>
        <w:right w:val="none" w:sz="0" w:space="0" w:color="auto"/>
      </w:divBdr>
    </w:div>
    <w:div w:id="1196194382">
      <w:bodyDiv w:val="1"/>
      <w:marLeft w:val="0"/>
      <w:marRight w:val="0"/>
      <w:marTop w:val="0"/>
      <w:marBottom w:val="0"/>
      <w:divBdr>
        <w:top w:val="none" w:sz="0" w:space="0" w:color="auto"/>
        <w:left w:val="none" w:sz="0" w:space="0" w:color="auto"/>
        <w:bottom w:val="none" w:sz="0" w:space="0" w:color="auto"/>
        <w:right w:val="none" w:sz="0" w:space="0" w:color="auto"/>
      </w:divBdr>
    </w:div>
    <w:div w:id="1196381765">
      <w:bodyDiv w:val="1"/>
      <w:marLeft w:val="0"/>
      <w:marRight w:val="0"/>
      <w:marTop w:val="0"/>
      <w:marBottom w:val="0"/>
      <w:divBdr>
        <w:top w:val="none" w:sz="0" w:space="0" w:color="auto"/>
        <w:left w:val="none" w:sz="0" w:space="0" w:color="auto"/>
        <w:bottom w:val="none" w:sz="0" w:space="0" w:color="auto"/>
        <w:right w:val="none" w:sz="0" w:space="0" w:color="auto"/>
      </w:divBdr>
    </w:div>
    <w:div w:id="1196382402">
      <w:bodyDiv w:val="1"/>
      <w:marLeft w:val="0"/>
      <w:marRight w:val="0"/>
      <w:marTop w:val="0"/>
      <w:marBottom w:val="0"/>
      <w:divBdr>
        <w:top w:val="none" w:sz="0" w:space="0" w:color="auto"/>
        <w:left w:val="none" w:sz="0" w:space="0" w:color="auto"/>
        <w:bottom w:val="none" w:sz="0" w:space="0" w:color="auto"/>
        <w:right w:val="none" w:sz="0" w:space="0" w:color="auto"/>
      </w:divBdr>
    </w:div>
    <w:div w:id="1196430886">
      <w:bodyDiv w:val="1"/>
      <w:marLeft w:val="0"/>
      <w:marRight w:val="0"/>
      <w:marTop w:val="0"/>
      <w:marBottom w:val="0"/>
      <w:divBdr>
        <w:top w:val="none" w:sz="0" w:space="0" w:color="auto"/>
        <w:left w:val="none" w:sz="0" w:space="0" w:color="auto"/>
        <w:bottom w:val="none" w:sz="0" w:space="0" w:color="auto"/>
        <w:right w:val="none" w:sz="0" w:space="0" w:color="auto"/>
      </w:divBdr>
    </w:div>
    <w:div w:id="1196500778">
      <w:bodyDiv w:val="1"/>
      <w:marLeft w:val="0"/>
      <w:marRight w:val="0"/>
      <w:marTop w:val="0"/>
      <w:marBottom w:val="0"/>
      <w:divBdr>
        <w:top w:val="none" w:sz="0" w:space="0" w:color="auto"/>
        <w:left w:val="none" w:sz="0" w:space="0" w:color="auto"/>
        <w:bottom w:val="none" w:sz="0" w:space="0" w:color="auto"/>
        <w:right w:val="none" w:sz="0" w:space="0" w:color="auto"/>
      </w:divBdr>
    </w:div>
    <w:div w:id="1196502033">
      <w:bodyDiv w:val="1"/>
      <w:marLeft w:val="0"/>
      <w:marRight w:val="0"/>
      <w:marTop w:val="0"/>
      <w:marBottom w:val="0"/>
      <w:divBdr>
        <w:top w:val="none" w:sz="0" w:space="0" w:color="auto"/>
        <w:left w:val="none" w:sz="0" w:space="0" w:color="auto"/>
        <w:bottom w:val="none" w:sz="0" w:space="0" w:color="auto"/>
        <w:right w:val="none" w:sz="0" w:space="0" w:color="auto"/>
      </w:divBdr>
    </w:div>
    <w:div w:id="1196504118">
      <w:bodyDiv w:val="1"/>
      <w:marLeft w:val="0"/>
      <w:marRight w:val="0"/>
      <w:marTop w:val="0"/>
      <w:marBottom w:val="0"/>
      <w:divBdr>
        <w:top w:val="none" w:sz="0" w:space="0" w:color="auto"/>
        <w:left w:val="none" w:sz="0" w:space="0" w:color="auto"/>
        <w:bottom w:val="none" w:sz="0" w:space="0" w:color="auto"/>
        <w:right w:val="none" w:sz="0" w:space="0" w:color="auto"/>
      </w:divBdr>
    </w:div>
    <w:div w:id="1196574213">
      <w:bodyDiv w:val="1"/>
      <w:marLeft w:val="0"/>
      <w:marRight w:val="0"/>
      <w:marTop w:val="0"/>
      <w:marBottom w:val="0"/>
      <w:divBdr>
        <w:top w:val="none" w:sz="0" w:space="0" w:color="auto"/>
        <w:left w:val="none" w:sz="0" w:space="0" w:color="auto"/>
        <w:bottom w:val="none" w:sz="0" w:space="0" w:color="auto"/>
        <w:right w:val="none" w:sz="0" w:space="0" w:color="auto"/>
      </w:divBdr>
    </w:div>
    <w:div w:id="1196623219">
      <w:bodyDiv w:val="1"/>
      <w:marLeft w:val="0"/>
      <w:marRight w:val="0"/>
      <w:marTop w:val="0"/>
      <w:marBottom w:val="0"/>
      <w:divBdr>
        <w:top w:val="none" w:sz="0" w:space="0" w:color="auto"/>
        <w:left w:val="none" w:sz="0" w:space="0" w:color="auto"/>
        <w:bottom w:val="none" w:sz="0" w:space="0" w:color="auto"/>
        <w:right w:val="none" w:sz="0" w:space="0" w:color="auto"/>
      </w:divBdr>
    </w:div>
    <w:div w:id="1196699369">
      <w:bodyDiv w:val="1"/>
      <w:marLeft w:val="0"/>
      <w:marRight w:val="0"/>
      <w:marTop w:val="0"/>
      <w:marBottom w:val="0"/>
      <w:divBdr>
        <w:top w:val="none" w:sz="0" w:space="0" w:color="auto"/>
        <w:left w:val="none" w:sz="0" w:space="0" w:color="auto"/>
        <w:bottom w:val="none" w:sz="0" w:space="0" w:color="auto"/>
        <w:right w:val="none" w:sz="0" w:space="0" w:color="auto"/>
      </w:divBdr>
    </w:div>
    <w:div w:id="1196767324">
      <w:bodyDiv w:val="1"/>
      <w:marLeft w:val="0"/>
      <w:marRight w:val="0"/>
      <w:marTop w:val="0"/>
      <w:marBottom w:val="0"/>
      <w:divBdr>
        <w:top w:val="none" w:sz="0" w:space="0" w:color="auto"/>
        <w:left w:val="none" w:sz="0" w:space="0" w:color="auto"/>
        <w:bottom w:val="none" w:sz="0" w:space="0" w:color="auto"/>
        <w:right w:val="none" w:sz="0" w:space="0" w:color="auto"/>
      </w:divBdr>
    </w:div>
    <w:div w:id="1196768076">
      <w:bodyDiv w:val="1"/>
      <w:marLeft w:val="0"/>
      <w:marRight w:val="0"/>
      <w:marTop w:val="0"/>
      <w:marBottom w:val="0"/>
      <w:divBdr>
        <w:top w:val="none" w:sz="0" w:space="0" w:color="auto"/>
        <w:left w:val="none" w:sz="0" w:space="0" w:color="auto"/>
        <w:bottom w:val="none" w:sz="0" w:space="0" w:color="auto"/>
        <w:right w:val="none" w:sz="0" w:space="0" w:color="auto"/>
      </w:divBdr>
    </w:div>
    <w:div w:id="1196818586">
      <w:bodyDiv w:val="1"/>
      <w:marLeft w:val="0"/>
      <w:marRight w:val="0"/>
      <w:marTop w:val="0"/>
      <w:marBottom w:val="0"/>
      <w:divBdr>
        <w:top w:val="none" w:sz="0" w:space="0" w:color="auto"/>
        <w:left w:val="none" w:sz="0" w:space="0" w:color="auto"/>
        <w:bottom w:val="none" w:sz="0" w:space="0" w:color="auto"/>
        <w:right w:val="none" w:sz="0" w:space="0" w:color="auto"/>
      </w:divBdr>
    </w:div>
    <w:div w:id="1196842698">
      <w:bodyDiv w:val="1"/>
      <w:marLeft w:val="0"/>
      <w:marRight w:val="0"/>
      <w:marTop w:val="0"/>
      <w:marBottom w:val="0"/>
      <w:divBdr>
        <w:top w:val="none" w:sz="0" w:space="0" w:color="auto"/>
        <w:left w:val="none" w:sz="0" w:space="0" w:color="auto"/>
        <w:bottom w:val="none" w:sz="0" w:space="0" w:color="auto"/>
        <w:right w:val="none" w:sz="0" w:space="0" w:color="auto"/>
      </w:divBdr>
    </w:div>
    <w:div w:id="1196847303">
      <w:bodyDiv w:val="1"/>
      <w:marLeft w:val="0"/>
      <w:marRight w:val="0"/>
      <w:marTop w:val="0"/>
      <w:marBottom w:val="0"/>
      <w:divBdr>
        <w:top w:val="none" w:sz="0" w:space="0" w:color="auto"/>
        <w:left w:val="none" w:sz="0" w:space="0" w:color="auto"/>
        <w:bottom w:val="none" w:sz="0" w:space="0" w:color="auto"/>
        <w:right w:val="none" w:sz="0" w:space="0" w:color="auto"/>
      </w:divBdr>
    </w:div>
    <w:div w:id="1197036681">
      <w:bodyDiv w:val="1"/>
      <w:marLeft w:val="0"/>
      <w:marRight w:val="0"/>
      <w:marTop w:val="0"/>
      <w:marBottom w:val="0"/>
      <w:divBdr>
        <w:top w:val="none" w:sz="0" w:space="0" w:color="auto"/>
        <w:left w:val="none" w:sz="0" w:space="0" w:color="auto"/>
        <w:bottom w:val="none" w:sz="0" w:space="0" w:color="auto"/>
        <w:right w:val="none" w:sz="0" w:space="0" w:color="auto"/>
      </w:divBdr>
    </w:div>
    <w:div w:id="1197161715">
      <w:bodyDiv w:val="1"/>
      <w:marLeft w:val="0"/>
      <w:marRight w:val="0"/>
      <w:marTop w:val="0"/>
      <w:marBottom w:val="0"/>
      <w:divBdr>
        <w:top w:val="none" w:sz="0" w:space="0" w:color="auto"/>
        <w:left w:val="none" w:sz="0" w:space="0" w:color="auto"/>
        <w:bottom w:val="none" w:sz="0" w:space="0" w:color="auto"/>
        <w:right w:val="none" w:sz="0" w:space="0" w:color="auto"/>
      </w:divBdr>
    </w:div>
    <w:div w:id="1197230242">
      <w:bodyDiv w:val="1"/>
      <w:marLeft w:val="0"/>
      <w:marRight w:val="0"/>
      <w:marTop w:val="0"/>
      <w:marBottom w:val="0"/>
      <w:divBdr>
        <w:top w:val="none" w:sz="0" w:space="0" w:color="auto"/>
        <w:left w:val="none" w:sz="0" w:space="0" w:color="auto"/>
        <w:bottom w:val="none" w:sz="0" w:space="0" w:color="auto"/>
        <w:right w:val="none" w:sz="0" w:space="0" w:color="auto"/>
      </w:divBdr>
    </w:div>
    <w:div w:id="1197305006">
      <w:bodyDiv w:val="1"/>
      <w:marLeft w:val="0"/>
      <w:marRight w:val="0"/>
      <w:marTop w:val="0"/>
      <w:marBottom w:val="0"/>
      <w:divBdr>
        <w:top w:val="none" w:sz="0" w:space="0" w:color="auto"/>
        <w:left w:val="none" w:sz="0" w:space="0" w:color="auto"/>
        <w:bottom w:val="none" w:sz="0" w:space="0" w:color="auto"/>
        <w:right w:val="none" w:sz="0" w:space="0" w:color="auto"/>
      </w:divBdr>
    </w:div>
    <w:div w:id="1197541680">
      <w:bodyDiv w:val="1"/>
      <w:marLeft w:val="0"/>
      <w:marRight w:val="0"/>
      <w:marTop w:val="0"/>
      <w:marBottom w:val="0"/>
      <w:divBdr>
        <w:top w:val="none" w:sz="0" w:space="0" w:color="auto"/>
        <w:left w:val="none" w:sz="0" w:space="0" w:color="auto"/>
        <w:bottom w:val="none" w:sz="0" w:space="0" w:color="auto"/>
        <w:right w:val="none" w:sz="0" w:space="0" w:color="auto"/>
      </w:divBdr>
    </w:div>
    <w:div w:id="1197813351">
      <w:bodyDiv w:val="1"/>
      <w:marLeft w:val="0"/>
      <w:marRight w:val="0"/>
      <w:marTop w:val="0"/>
      <w:marBottom w:val="0"/>
      <w:divBdr>
        <w:top w:val="none" w:sz="0" w:space="0" w:color="auto"/>
        <w:left w:val="none" w:sz="0" w:space="0" w:color="auto"/>
        <w:bottom w:val="none" w:sz="0" w:space="0" w:color="auto"/>
        <w:right w:val="none" w:sz="0" w:space="0" w:color="auto"/>
      </w:divBdr>
    </w:div>
    <w:div w:id="1198004027">
      <w:bodyDiv w:val="1"/>
      <w:marLeft w:val="0"/>
      <w:marRight w:val="0"/>
      <w:marTop w:val="0"/>
      <w:marBottom w:val="0"/>
      <w:divBdr>
        <w:top w:val="none" w:sz="0" w:space="0" w:color="auto"/>
        <w:left w:val="none" w:sz="0" w:space="0" w:color="auto"/>
        <w:bottom w:val="none" w:sz="0" w:space="0" w:color="auto"/>
        <w:right w:val="none" w:sz="0" w:space="0" w:color="auto"/>
      </w:divBdr>
    </w:div>
    <w:div w:id="1198078883">
      <w:bodyDiv w:val="1"/>
      <w:marLeft w:val="0"/>
      <w:marRight w:val="0"/>
      <w:marTop w:val="0"/>
      <w:marBottom w:val="0"/>
      <w:divBdr>
        <w:top w:val="none" w:sz="0" w:space="0" w:color="auto"/>
        <w:left w:val="none" w:sz="0" w:space="0" w:color="auto"/>
        <w:bottom w:val="none" w:sz="0" w:space="0" w:color="auto"/>
        <w:right w:val="none" w:sz="0" w:space="0" w:color="auto"/>
      </w:divBdr>
    </w:div>
    <w:div w:id="1198085142">
      <w:bodyDiv w:val="1"/>
      <w:marLeft w:val="0"/>
      <w:marRight w:val="0"/>
      <w:marTop w:val="0"/>
      <w:marBottom w:val="0"/>
      <w:divBdr>
        <w:top w:val="none" w:sz="0" w:space="0" w:color="auto"/>
        <w:left w:val="none" w:sz="0" w:space="0" w:color="auto"/>
        <w:bottom w:val="none" w:sz="0" w:space="0" w:color="auto"/>
        <w:right w:val="none" w:sz="0" w:space="0" w:color="auto"/>
      </w:divBdr>
    </w:div>
    <w:div w:id="1198129193">
      <w:bodyDiv w:val="1"/>
      <w:marLeft w:val="0"/>
      <w:marRight w:val="0"/>
      <w:marTop w:val="0"/>
      <w:marBottom w:val="0"/>
      <w:divBdr>
        <w:top w:val="none" w:sz="0" w:space="0" w:color="auto"/>
        <w:left w:val="none" w:sz="0" w:space="0" w:color="auto"/>
        <w:bottom w:val="none" w:sz="0" w:space="0" w:color="auto"/>
        <w:right w:val="none" w:sz="0" w:space="0" w:color="auto"/>
      </w:divBdr>
    </w:div>
    <w:div w:id="1198130194">
      <w:bodyDiv w:val="1"/>
      <w:marLeft w:val="0"/>
      <w:marRight w:val="0"/>
      <w:marTop w:val="0"/>
      <w:marBottom w:val="0"/>
      <w:divBdr>
        <w:top w:val="none" w:sz="0" w:space="0" w:color="auto"/>
        <w:left w:val="none" w:sz="0" w:space="0" w:color="auto"/>
        <w:bottom w:val="none" w:sz="0" w:space="0" w:color="auto"/>
        <w:right w:val="none" w:sz="0" w:space="0" w:color="auto"/>
      </w:divBdr>
    </w:div>
    <w:div w:id="1198275163">
      <w:bodyDiv w:val="1"/>
      <w:marLeft w:val="0"/>
      <w:marRight w:val="0"/>
      <w:marTop w:val="0"/>
      <w:marBottom w:val="0"/>
      <w:divBdr>
        <w:top w:val="none" w:sz="0" w:space="0" w:color="auto"/>
        <w:left w:val="none" w:sz="0" w:space="0" w:color="auto"/>
        <w:bottom w:val="none" w:sz="0" w:space="0" w:color="auto"/>
        <w:right w:val="none" w:sz="0" w:space="0" w:color="auto"/>
      </w:divBdr>
    </w:div>
    <w:div w:id="1198351673">
      <w:bodyDiv w:val="1"/>
      <w:marLeft w:val="0"/>
      <w:marRight w:val="0"/>
      <w:marTop w:val="0"/>
      <w:marBottom w:val="0"/>
      <w:divBdr>
        <w:top w:val="none" w:sz="0" w:space="0" w:color="auto"/>
        <w:left w:val="none" w:sz="0" w:space="0" w:color="auto"/>
        <w:bottom w:val="none" w:sz="0" w:space="0" w:color="auto"/>
        <w:right w:val="none" w:sz="0" w:space="0" w:color="auto"/>
      </w:divBdr>
    </w:div>
    <w:div w:id="1198396835">
      <w:bodyDiv w:val="1"/>
      <w:marLeft w:val="0"/>
      <w:marRight w:val="0"/>
      <w:marTop w:val="0"/>
      <w:marBottom w:val="0"/>
      <w:divBdr>
        <w:top w:val="none" w:sz="0" w:space="0" w:color="auto"/>
        <w:left w:val="none" w:sz="0" w:space="0" w:color="auto"/>
        <w:bottom w:val="none" w:sz="0" w:space="0" w:color="auto"/>
        <w:right w:val="none" w:sz="0" w:space="0" w:color="auto"/>
      </w:divBdr>
    </w:div>
    <w:div w:id="1198542946">
      <w:bodyDiv w:val="1"/>
      <w:marLeft w:val="0"/>
      <w:marRight w:val="0"/>
      <w:marTop w:val="0"/>
      <w:marBottom w:val="0"/>
      <w:divBdr>
        <w:top w:val="none" w:sz="0" w:space="0" w:color="auto"/>
        <w:left w:val="none" w:sz="0" w:space="0" w:color="auto"/>
        <w:bottom w:val="none" w:sz="0" w:space="0" w:color="auto"/>
        <w:right w:val="none" w:sz="0" w:space="0" w:color="auto"/>
      </w:divBdr>
    </w:div>
    <w:div w:id="1198666543">
      <w:bodyDiv w:val="1"/>
      <w:marLeft w:val="0"/>
      <w:marRight w:val="0"/>
      <w:marTop w:val="0"/>
      <w:marBottom w:val="0"/>
      <w:divBdr>
        <w:top w:val="none" w:sz="0" w:space="0" w:color="auto"/>
        <w:left w:val="none" w:sz="0" w:space="0" w:color="auto"/>
        <w:bottom w:val="none" w:sz="0" w:space="0" w:color="auto"/>
        <w:right w:val="none" w:sz="0" w:space="0" w:color="auto"/>
      </w:divBdr>
    </w:div>
    <w:div w:id="1198735234">
      <w:bodyDiv w:val="1"/>
      <w:marLeft w:val="0"/>
      <w:marRight w:val="0"/>
      <w:marTop w:val="0"/>
      <w:marBottom w:val="0"/>
      <w:divBdr>
        <w:top w:val="none" w:sz="0" w:space="0" w:color="auto"/>
        <w:left w:val="none" w:sz="0" w:space="0" w:color="auto"/>
        <w:bottom w:val="none" w:sz="0" w:space="0" w:color="auto"/>
        <w:right w:val="none" w:sz="0" w:space="0" w:color="auto"/>
      </w:divBdr>
    </w:div>
    <w:div w:id="1198859628">
      <w:bodyDiv w:val="1"/>
      <w:marLeft w:val="0"/>
      <w:marRight w:val="0"/>
      <w:marTop w:val="0"/>
      <w:marBottom w:val="0"/>
      <w:divBdr>
        <w:top w:val="none" w:sz="0" w:space="0" w:color="auto"/>
        <w:left w:val="none" w:sz="0" w:space="0" w:color="auto"/>
        <w:bottom w:val="none" w:sz="0" w:space="0" w:color="auto"/>
        <w:right w:val="none" w:sz="0" w:space="0" w:color="auto"/>
      </w:divBdr>
    </w:div>
    <w:div w:id="1199005552">
      <w:bodyDiv w:val="1"/>
      <w:marLeft w:val="0"/>
      <w:marRight w:val="0"/>
      <w:marTop w:val="0"/>
      <w:marBottom w:val="0"/>
      <w:divBdr>
        <w:top w:val="none" w:sz="0" w:space="0" w:color="auto"/>
        <w:left w:val="none" w:sz="0" w:space="0" w:color="auto"/>
        <w:bottom w:val="none" w:sz="0" w:space="0" w:color="auto"/>
        <w:right w:val="none" w:sz="0" w:space="0" w:color="auto"/>
      </w:divBdr>
    </w:div>
    <w:div w:id="1199010616">
      <w:bodyDiv w:val="1"/>
      <w:marLeft w:val="0"/>
      <w:marRight w:val="0"/>
      <w:marTop w:val="0"/>
      <w:marBottom w:val="0"/>
      <w:divBdr>
        <w:top w:val="none" w:sz="0" w:space="0" w:color="auto"/>
        <w:left w:val="none" w:sz="0" w:space="0" w:color="auto"/>
        <w:bottom w:val="none" w:sz="0" w:space="0" w:color="auto"/>
        <w:right w:val="none" w:sz="0" w:space="0" w:color="auto"/>
      </w:divBdr>
    </w:div>
    <w:div w:id="1199049260">
      <w:bodyDiv w:val="1"/>
      <w:marLeft w:val="0"/>
      <w:marRight w:val="0"/>
      <w:marTop w:val="0"/>
      <w:marBottom w:val="0"/>
      <w:divBdr>
        <w:top w:val="none" w:sz="0" w:space="0" w:color="auto"/>
        <w:left w:val="none" w:sz="0" w:space="0" w:color="auto"/>
        <w:bottom w:val="none" w:sz="0" w:space="0" w:color="auto"/>
        <w:right w:val="none" w:sz="0" w:space="0" w:color="auto"/>
      </w:divBdr>
    </w:div>
    <w:div w:id="1199050353">
      <w:bodyDiv w:val="1"/>
      <w:marLeft w:val="0"/>
      <w:marRight w:val="0"/>
      <w:marTop w:val="0"/>
      <w:marBottom w:val="0"/>
      <w:divBdr>
        <w:top w:val="none" w:sz="0" w:space="0" w:color="auto"/>
        <w:left w:val="none" w:sz="0" w:space="0" w:color="auto"/>
        <w:bottom w:val="none" w:sz="0" w:space="0" w:color="auto"/>
        <w:right w:val="none" w:sz="0" w:space="0" w:color="auto"/>
      </w:divBdr>
    </w:div>
    <w:div w:id="1199050385">
      <w:bodyDiv w:val="1"/>
      <w:marLeft w:val="0"/>
      <w:marRight w:val="0"/>
      <w:marTop w:val="0"/>
      <w:marBottom w:val="0"/>
      <w:divBdr>
        <w:top w:val="none" w:sz="0" w:space="0" w:color="auto"/>
        <w:left w:val="none" w:sz="0" w:space="0" w:color="auto"/>
        <w:bottom w:val="none" w:sz="0" w:space="0" w:color="auto"/>
        <w:right w:val="none" w:sz="0" w:space="0" w:color="auto"/>
      </w:divBdr>
    </w:div>
    <w:div w:id="1199120427">
      <w:bodyDiv w:val="1"/>
      <w:marLeft w:val="0"/>
      <w:marRight w:val="0"/>
      <w:marTop w:val="0"/>
      <w:marBottom w:val="0"/>
      <w:divBdr>
        <w:top w:val="none" w:sz="0" w:space="0" w:color="auto"/>
        <w:left w:val="none" w:sz="0" w:space="0" w:color="auto"/>
        <w:bottom w:val="none" w:sz="0" w:space="0" w:color="auto"/>
        <w:right w:val="none" w:sz="0" w:space="0" w:color="auto"/>
      </w:divBdr>
    </w:div>
    <w:div w:id="1199120704">
      <w:bodyDiv w:val="1"/>
      <w:marLeft w:val="0"/>
      <w:marRight w:val="0"/>
      <w:marTop w:val="0"/>
      <w:marBottom w:val="0"/>
      <w:divBdr>
        <w:top w:val="none" w:sz="0" w:space="0" w:color="auto"/>
        <w:left w:val="none" w:sz="0" w:space="0" w:color="auto"/>
        <w:bottom w:val="none" w:sz="0" w:space="0" w:color="auto"/>
        <w:right w:val="none" w:sz="0" w:space="0" w:color="auto"/>
      </w:divBdr>
    </w:div>
    <w:div w:id="1199199406">
      <w:bodyDiv w:val="1"/>
      <w:marLeft w:val="0"/>
      <w:marRight w:val="0"/>
      <w:marTop w:val="0"/>
      <w:marBottom w:val="0"/>
      <w:divBdr>
        <w:top w:val="none" w:sz="0" w:space="0" w:color="auto"/>
        <w:left w:val="none" w:sz="0" w:space="0" w:color="auto"/>
        <w:bottom w:val="none" w:sz="0" w:space="0" w:color="auto"/>
        <w:right w:val="none" w:sz="0" w:space="0" w:color="auto"/>
      </w:divBdr>
    </w:div>
    <w:div w:id="1199855731">
      <w:bodyDiv w:val="1"/>
      <w:marLeft w:val="0"/>
      <w:marRight w:val="0"/>
      <w:marTop w:val="0"/>
      <w:marBottom w:val="0"/>
      <w:divBdr>
        <w:top w:val="none" w:sz="0" w:space="0" w:color="auto"/>
        <w:left w:val="none" w:sz="0" w:space="0" w:color="auto"/>
        <w:bottom w:val="none" w:sz="0" w:space="0" w:color="auto"/>
        <w:right w:val="none" w:sz="0" w:space="0" w:color="auto"/>
      </w:divBdr>
    </w:div>
    <w:div w:id="1199970364">
      <w:bodyDiv w:val="1"/>
      <w:marLeft w:val="0"/>
      <w:marRight w:val="0"/>
      <w:marTop w:val="0"/>
      <w:marBottom w:val="0"/>
      <w:divBdr>
        <w:top w:val="none" w:sz="0" w:space="0" w:color="auto"/>
        <w:left w:val="none" w:sz="0" w:space="0" w:color="auto"/>
        <w:bottom w:val="none" w:sz="0" w:space="0" w:color="auto"/>
        <w:right w:val="none" w:sz="0" w:space="0" w:color="auto"/>
      </w:divBdr>
    </w:div>
    <w:div w:id="1199971168">
      <w:bodyDiv w:val="1"/>
      <w:marLeft w:val="0"/>
      <w:marRight w:val="0"/>
      <w:marTop w:val="0"/>
      <w:marBottom w:val="0"/>
      <w:divBdr>
        <w:top w:val="none" w:sz="0" w:space="0" w:color="auto"/>
        <w:left w:val="none" w:sz="0" w:space="0" w:color="auto"/>
        <w:bottom w:val="none" w:sz="0" w:space="0" w:color="auto"/>
        <w:right w:val="none" w:sz="0" w:space="0" w:color="auto"/>
      </w:divBdr>
    </w:div>
    <w:div w:id="1200049355">
      <w:bodyDiv w:val="1"/>
      <w:marLeft w:val="0"/>
      <w:marRight w:val="0"/>
      <w:marTop w:val="0"/>
      <w:marBottom w:val="0"/>
      <w:divBdr>
        <w:top w:val="none" w:sz="0" w:space="0" w:color="auto"/>
        <w:left w:val="none" w:sz="0" w:space="0" w:color="auto"/>
        <w:bottom w:val="none" w:sz="0" w:space="0" w:color="auto"/>
        <w:right w:val="none" w:sz="0" w:space="0" w:color="auto"/>
      </w:divBdr>
    </w:div>
    <w:div w:id="1200244232">
      <w:bodyDiv w:val="1"/>
      <w:marLeft w:val="0"/>
      <w:marRight w:val="0"/>
      <w:marTop w:val="0"/>
      <w:marBottom w:val="0"/>
      <w:divBdr>
        <w:top w:val="none" w:sz="0" w:space="0" w:color="auto"/>
        <w:left w:val="none" w:sz="0" w:space="0" w:color="auto"/>
        <w:bottom w:val="none" w:sz="0" w:space="0" w:color="auto"/>
        <w:right w:val="none" w:sz="0" w:space="0" w:color="auto"/>
      </w:divBdr>
    </w:div>
    <w:div w:id="1200508212">
      <w:bodyDiv w:val="1"/>
      <w:marLeft w:val="0"/>
      <w:marRight w:val="0"/>
      <w:marTop w:val="0"/>
      <w:marBottom w:val="0"/>
      <w:divBdr>
        <w:top w:val="none" w:sz="0" w:space="0" w:color="auto"/>
        <w:left w:val="none" w:sz="0" w:space="0" w:color="auto"/>
        <w:bottom w:val="none" w:sz="0" w:space="0" w:color="auto"/>
        <w:right w:val="none" w:sz="0" w:space="0" w:color="auto"/>
      </w:divBdr>
    </w:div>
    <w:div w:id="1201089647">
      <w:bodyDiv w:val="1"/>
      <w:marLeft w:val="0"/>
      <w:marRight w:val="0"/>
      <w:marTop w:val="0"/>
      <w:marBottom w:val="0"/>
      <w:divBdr>
        <w:top w:val="none" w:sz="0" w:space="0" w:color="auto"/>
        <w:left w:val="none" w:sz="0" w:space="0" w:color="auto"/>
        <w:bottom w:val="none" w:sz="0" w:space="0" w:color="auto"/>
        <w:right w:val="none" w:sz="0" w:space="0" w:color="auto"/>
      </w:divBdr>
    </w:div>
    <w:div w:id="1201241646">
      <w:bodyDiv w:val="1"/>
      <w:marLeft w:val="0"/>
      <w:marRight w:val="0"/>
      <w:marTop w:val="0"/>
      <w:marBottom w:val="0"/>
      <w:divBdr>
        <w:top w:val="none" w:sz="0" w:space="0" w:color="auto"/>
        <w:left w:val="none" w:sz="0" w:space="0" w:color="auto"/>
        <w:bottom w:val="none" w:sz="0" w:space="0" w:color="auto"/>
        <w:right w:val="none" w:sz="0" w:space="0" w:color="auto"/>
      </w:divBdr>
    </w:div>
    <w:div w:id="1201284334">
      <w:bodyDiv w:val="1"/>
      <w:marLeft w:val="0"/>
      <w:marRight w:val="0"/>
      <w:marTop w:val="0"/>
      <w:marBottom w:val="0"/>
      <w:divBdr>
        <w:top w:val="none" w:sz="0" w:space="0" w:color="auto"/>
        <w:left w:val="none" w:sz="0" w:space="0" w:color="auto"/>
        <w:bottom w:val="none" w:sz="0" w:space="0" w:color="auto"/>
        <w:right w:val="none" w:sz="0" w:space="0" w:color="auto"/>
      </w:divBdr>
    </w:div>
    <w:div w:id="1201548481">
      <w:bodyDiv w:val="1"/>
      <w:marLeft w:val="0"/>
      <w:marRight w:val="0"/>
      <w:marTop w:val="0"/>
      <w:marBottom w:val="0"/>
      <w:divBdr>
        <w:top w:val="none" w:sz="0" w:space="0" w:color="auto"/>
        <w:left w:val="none" w:sz="0" w:space="0" w:color="auto"/>
        <w:bottom w:val="none" w:sz="0" w:space="0" w:color="auto"/>
        <w:right w:val="none" w:sz="0" w:space="0" w:color="auto"/>
      </w:divBdr>
    </w:div>
    <w:div w:id="1201556737">
      <w:bodyDiv w:val="1"/>
      <w:marLeft w:val="0"/>
      <w:marRight w:val="0"/>
      <w:marTop w:val="0"/>
      <w:marBottom w:val="0"/>
      <w:divBdr>
        <w:top w:val="none" w:sz="0" w:space="0" w:color="auto"/>
        <w:left w:val="none" w:sz="0" w:space="0" w:color="auto"/>
        <w:bottom w:val="none" w:sz="0" w:space="0" w:color="auto"/>
        <w:right w:val="none" w:sz="0" w:space="0" w:color="auto"/>
      </w:divBdr>
    </w:div>
    <w:div w:id="1201750467">
      <w:bodyDiv w:val="1"/>
      <w:marLeft w:val="0"/>
      <w:marRight w:val="0"/>
      <w:marTop w:val="0"/>
      <w:marBottom w:val="0"/>
      <w:divBdr>
        <w:top w:val="none" w:sz="0" w:space="0" w:color="auto"/>
        <w:left w:val="none" w:sz="0" w:space="0" w:color="auto"/>
        <w:bottom w:val="none" w:sz="0" w:space="0" w:color="auto"/>
        <w:right w:val="none" w:sz="0" w:space="0" w:color="auto"/>
      </w:divBdr>
    </w:div>
    <w:div w:id="1201865122">
      <w:bodyDiv w:val="1"/>
      <w:marLeft w:val="0"/>
      <w:marRight w:val="0"/>
      <w:marTop w:val="0"/>
      <w:marBottom w:val="0"/>
      <w:divBdr>
        <w:top w:val="none" w:sz="0" w:space="0" w:color="auto"/>
        <w:left w:val="none" w:sz="0" w:space="0" w:color="auto"/>
        <w:bottom w:val="none" w:sz="0" w:space="0" w:color="auto"/>
        <w:right w:val="none" w:sz="0" w:space="0" w:color="auto"/>
      </w:divBdr>
    </w:div>
    <w:div w:id="1202211377">
      <w:bodyDiv w:val="1"/>
      <w:marLeft w:val="0"/>
      <w:marRight w:val="0"/>
      <w:marTop w:val="0"/>
      <w:marBottom w:val="0"/>
      <w:divBdr>
        <w:top w:val="none" w:sz="0" w:space="0" w:color="auto"/>
        <w:left w:val="none" w:sz="0" w:space="0" w:color="auto"/>
        <w:bottom w:val="none" w:sz="0" w:space="0" w:color="auto"/>
        <w:right w:val="none" w:sz="0" w:space="0" w:color="auto"/>
      </w:divBdr>
    </w:div>
    <w:div w:id="1202284910">
      <w:bodyDiv w:val="1"/>
      <w:marLeft w:val="0"/>
      <w:marRight w:val="0"/>
      <w:marTop w:val="0"/>
      <w:marBottom w:val="0"/>
      <w:divBdr>
        <w:top w:val="none" w:sz="0" w:space="0" w:color="auto"/>
        <w:left w:val="none" w:sz="0" w:space="0" w:color="auto"/>
        <w:bottom w:val="none" w:sz="0" w:space="0" w:color="auto"/>
        <w:right w:val="none" w:sz="0" w:space="0" w:color="auto"/>
      </w:divBdr>
    </w:div>
    <w:div w:id="1202355597">
      <w:bodyDiv w:val="1"/>
      <w:marLeft w:val="0"/>
      <w:marRight w:val="0"/>
      <w:marTop w:val="0"/>
      <w:marBottom w:val="0"/>
      <w:divBdr>
        <w:top w:val="none" w:sz="0" w:space="0" w:color="auto"/>
        <w:left w:val="none" w:sz="0" w:space="0" w:color="auto"/>
        <w:bottom w:val="none" w:sz="0" w:space="0" w:color="auto"/>
        <w:right w:val="none" w:sz="0" w:space="0" w:color="auto"/>
      </w:divBdr>
    </w:div>
    <w:div w:id="1202471504">
      <w:bodyDiv w:val="1"/>
      <w:marLeft w:val="0"/>
      <w:marRight w:val="0"/>
      <w:marTop w:val="0"/>
      <w:marBottom w:val="0"/>
      <w:divBdr>
        <w:top w:val="none" w:sz="0" w:space="0" w:color="auto"/>
        <w:left w:val="none" w:sz="0" w:space="0" w:color="auto"/>
        <w:bottom w:val="none" w:sz="0" w:space="0" w:color="auto"/>
        <w:right w:val="none" w:sz="0" w:space="0" w:color="auto"/>
      </w:divBdr>
    </w:div>
    <w:div w:id="1202480173">
      <w:bodyDiv w:val="1"/>
      <w:marLeft w:val="0"/>
      <w:marRight w:val="0"/>
      <w:marTop w:val="0"/>
      <w:marBottom w:val="0"/>
      <w:divBdr>
        <w:top w:val="none" w:sz="0" w:space="0" w:color="auto"/>
        <w:left w:val="none" w:sz="0" w:space="0" w:color="auto"/>
        <w:bottom w:val="none" w:sz="0" w:space="0" w:color="auto"/>
        <w:right w:val="none" w:sz="0" w:space="0" w:color="auto"/>
      </w:divBdr>
    </w:div>
    <w:div w:id="1202592382">
      <w:bodyDiv w:val="1"/>
      <w:marLeft w:val="0"/>
      <w:marRight w:val="0"/>
      <w:marTop w:val="0"/>
      <w:marBottom w:val="0"/>
      <w:divBdr>
        <w:top w:val="none" w:sz="0" w:space="0" w:color="auto"/>
        <w:left w:val="none" w:sz="0" w:space="0" w:color="auto"/>
        <w:bottom w:val="none" w:sz="0" w:space="0" w:color="auto"/>
        <w:right w:val="none" w:sz="0" w:space="0" w:color="auto"/>
      </w:divBdr>
    </w:div>
    <w:div w:id="1202673399">
      <w:bodyDiv w:val="1"/>
      <w:marLeft w:val="0"/>
      <w:marRight w:val="0"/>
      <w:marTop w:val="0"/>
      <w:marBottom w:val="0"/>
      <w:divBdr>
        <w:top w:val="none" w:sz="0" w:space="0" w:color="auto"/>
        <w:left w:val="none" w:sz="0" w:space="0" w:color="auto"/>
        <w:bottom w:val="none" w:sz="0" w:space="0" w:color="auto"/>
        <w:right w:val="none" w:sz="0" w:space="0" w:color="auto"/>
      </w:divBdr>
    </w:div>
    <w:div w:id="1202743228">
      <w:bodyDiv w:val="1"/>
      <w:marLeft w:val="0"/>
      <w:marRight w:val="0"/>
      <w:marTop w:val="0"/>
      <w:marBottom w:val="0"/>
      <w:divBdr>
        <w:top w:val="none" w:sz="0" w:space="0" w:color="auto"/>
        <w:left w:val="none" w:sz="0" w:space="0" w:color="auto"/>
        <w:bottom w:val="none" w:sz="0" w:space="0" w:color="auto"/>
        <w:right w:val="none" w:sz="0" w:space="0" w:color="auto"/>
      </w:divBdr>
    </w:div>
    <w:div w:id="1202790693">
      <w:bodyDiv w:val="1"/>
      <w:marLeft w:val="0"/>
      <w:marRight w:val="0"/>
      <w:marTop w:val="0"/>
      <w:marBottom w:val="0"/>
      <w:divBdr>
        <w:top w:val="none" w:sz="0" w:space="0" w:color="auto"/>
        <w:left w:val="none" w:sz="0" w:space="0" w:color="auto"/>
        <w:bottom w:val="none" w:sz="0" w:space="0" w:color="auto"/>
        <w:right w:val="none" w:sz="0" w:space="0" w:color="auto"/>
      </w:divBdr>
    </w:div>
    <w:div w:id="1202935296">
      <w:bodyDiv w:val="1"/>
      <w:marLeft w:val="0"/>
      <w:marRight w:val="0"/>
      <w:marTop w:val="0"/>
      <w:marBottom w:val="0"/>
      <w:divBdr>
        <w:top w:val="none" w:sz="0" w:space="0" w:color="auto"/>
        <w:left w:val="none" w:sz="0" w:space="0" w:color="auto"/>
        <w:bottom w:val="none" w:sz="0" w:space="0" w:color="auto"/>
        <w:right w:val="none" w:sz="0" w:space="0" w:color="auto"/>
      </w:divBdr>
    </w:div>
    <w:div w:id="1203252385">
      <w:bodyDiv w:val="1"/>
      <w:marLeft w:val="0"/>
      <w:marRight w:val="0"/>
      <w:marTop w:val="0"/>
      <w:marBottom w:val="0"/>
      <w:divBdr>
        <w:top w:val="none" w:sz="0" w:space="0" w:color="auto"/>
        <w:left w:val="none" w:sz="0" w:space="0" w:color="auto"/>
        <w:bottom w:val="none" w:sz="0" w:space="0" w:color="auto"/>
        <w:right w:val="none" w:sz="0" w:space="0" w:color="auto"/>
      </w:divBdr>
    </w:div>
    <w:div w:id="1203444682">
      <w:bodyDiv w:val="1"/>
      <w:marLeft w:val="0"/>
      <w:marRight w:val="0"/>
      <w:marTop w:val="0"/>
      <w:marBottom w:val="0"/>
      <w:divBdr>
        <w:top w:val="none" w:sz="0" w:space="0" w:color="auto"/>
        <w:left w:val="none" w:sz="0" w:space="0" w:color="auto"/>
        <w:bottom w:val="none" w:sz="0" w:space="0" w:color="auto"/>
        <w:right w:val="none" w:sz="0" w:space="0" w:color="auto"/>
      </w:divBdr>
    </w:div>
    <w:div w:id="1203516794">
      <w:bodyDiv w:val="1"/>
      <w:marLeft w:val="0"/>
      <w:marRight w:val="0"/>
      <w:marTop w:val="0"/>
      <w:marBottom w:val="0"/>
      <w:divBdr>
        <w:top w:val="none" w:sz="0" w:space="0" w:color="auto"/>
        <w:left w:val="none" w:sz="0" w:space="0" w:color="auto"/>
        <w:bottom w:val="none" w:sz="0" w:space="0" w:color="auto"/>
        <w:right w:val="none" w:sz="0" w:space="0" w:color="auto"/>
      </w:divBdr>
    </w:div>
    <w:div w:id="1203636101">
      <w:bodyDiv w:val="1"/>
      <w:marLeft w:val="0"/>
      <w:marRight w:val="0"/>
      <w:marTop w:val="0"/>
      <w:marBottom w:val="0"/>
      <w:divBdr>
        <w:top w:val="none" w:sz="0" w:space="0" w:color="auto"/>
        <w:left w:val="none" w:sz="0" w:space="0" w:color="auto"/>
        <w:bottom w:val="none" w:sz="0" w:space="0" w:color="auto"/>
        <w:right w:val="none" w:sz="0" w:space="0" w:color="auto"/>
      </w:divBdr>
    </w:div>
    <w:div w:id="1203789725">
      <w:bodyDiv w:val="1"/>
      <w:marLeft w:val="0"/>
      <w:marRight w:val="0"/>
      <w:marTop w:val="0"/>
      <w:marBottom w:val="0"/>
      <w:divBdr>
        <w:top w:val="none" w:sz="0" w:space="0" w:color="auto"/>
        <w:left w:val="none" w:sz="0" w:space="0" w:color="auto"/>
        <w:bottom w:val="none" w:sz="0" w:space="0" w:color="auto"/>
        <w:right w:val="none" w:sz="0" w:space="0" w:color="auto"/>
      </w:divBdr>
    </w:div>
    <w:div w:id="1203906427">
      <w:bodyDiv w:val="1"/>
      <w:marLeft w:val="0"/>
      <w:marRight w:val="0"/>
      <w:marTop w:val="0"/>
      <w:marBottom w:val="0"/>
      <w:divBdr>
        <w:top w:val="none" w:sz="0" w:space="0" w:color="auto"/>
        <w:left w:val="none" w:sz="0" w:space="0" w:color="auto"/>
        <w:bottom w:val="none" w:sz="0" w:space="0" w:color="auto"/>
        <w:right w:val="none" w:sz="0" w:space="0" w:color="auto"/>
      </w:divBdr>
    </w:div>
    <w:div w:id="1204027585">
      <w:bodyDiv w:val="1"/>
      <w:marLeft w:val="0"/>
      <w:marRight w:val="0"/>
      <w:marTop w:val="0"/>
      <w:marBottom w:val="0"/>
      <w:divBdr>
        <w:top w:val="none" w:sz="0" w:space="0" w:color="auto"/>
        <w:left w:val="none" w:sz="0" w:space="0" w:color="auto"/>
        <w:bottom w:val="none" w:sz="0" w:space="0" w:color="auto"/>
        <w:right w:val="none" w:sz="0" w:space="0" w:color="auto"/>
      </w:divBdr>
    </w:div>
    <w:div w:id="1204027596">
      <w:bodyDiv w:val="1"/>
      <w:marLeft w:val="0"/>
      <w:marRight w:val="0"/>
      <w:marTop w:val="0"/>
      <w:marBottom w:val="0"/>
      <w:divBdr>
        <w:top w:val="none" w:sz="0" w:space="0" w:color="auto"/>
        <w:left w:val="none" w:sz="0" w:space="0" w:color="auto"/>
        <w:bottom w:val="none" w:sz="0" w:space="0" w:color="auto"/>
        <w:right w:val="none" w:sz="0" w:space="0" w:color="auto"/>
      </w:divBdr>
    </w:div>
    <w:div w:id="1204244614">
      <w:bodyDiv w:val="1"/>
      <w:marLeft w:val="0"/>
      <w:marRight w:val="0"/>
      <w:marTop w:val="0"/>
      <w:marBottom w:val="0"/>
      <w:divBdr>
        <w:top w:val="none" w:sz="0" w:space="0" w:color="auto"/>
        <w:left w:val="none" w:sz="0" w:space="0" w:color="auto"/>
        <w:bottom w:val="none" w:sz="0" w:space="0" w:color="auto"/>
        <w:right w:val="none" w:sz="0" w:space="0" w:color="auto"/>
      </w:divBdr>
    </w:div>
    <w:div w:id="1204250462">
      <w:bodyDiv w:val="1"/>
      <w:marLeft w:val="0"/>
      <w:marRight w:val="0"/>
      <w:marTop w:val="0"/>
      <w:marBottom w:val="0"/>
      <w:divBdr>
        <w:top w:val="none" w:sz="0" w:space="0" w:color="auto"/>
        <w:left w:val="none" w:sz="0" w:space="0" w:color="auto"/>
        <w:bottom w:val="none" w:sz="0" w:space="0" w:color="auto"/>
        <w:right w:val="none" w:sz="0" w:space="0" w:color="auto"/>
      </w:divBdr>
    </w:div>
    <w:div w:id="1204290369">
      <w:bodyDiv w:val="1"/>
      <w:marLeft w:val="0"/>
      <w:marRight w:val="0"/>
      <w:marTop w:val="0"/>
      <w:marBottom w:val="0"/>
      <w:divBdr>
        <w:top w:val="none" w:sz="0" w:space="0" w:color="auto"/>
        <w:left w:val="none" w:sz="0" w:space="0" w:color="auto"/>
        <w:bottom w:val="none" w:sz="0" w:space="0" w:color="auto"/>
        <w:right w:val="none" w:sz="0" w:space="0" w:color="auto"/>
      </w:divBdr>
    </w:div>
    <w:div w:id="1204363939">
      <w:bodyDiv w:val="1"/>
      <w:marLeft w:val="0"/>
      <w:marRight w:val="0"/>
      <w:marTop w:val="0"/>
      <w:marBottom w:val="0"/>
      <w:divBdr>
        <w:top w:val="none" w:sz="0" w:space="0" w:color="auto"/>
        <w:left w:val="none" w:sz="0" w:space="0" w:color="auto"/>
        <w:bottom w:val="none" w:sz="0" w:space="0" w:color="auto"/>
        <w:right w:val="none" w:sz="0" w:space="0" w:color="auto"/>
      </w:divBdr>
    </w:div>
    <w:div w:id="1204486930">
      <w:bodyDiv w:val="1"/>
      <w:marLeft w:val="0"/>
      <w:marRight w:val="0"/>
      <w:marTop w:val="0"/>
      <w:marBottom w:val="0"/>
      <w:divBdr>
        <w:top w:val="none" w:sz="0" w:space="0" w:color="auto"/>
        <w:left w:val="none" w:sz="0" w:space="0" w:color="auto"/>
        <w:bottom w:val="none" w:sz="0" w:space="0" w:color="auto"/>
        <w:right w:val="none" w:sz="0" w:space="0" w:color="auto"/>
      </w:divBdr>
    </w:div>
    <w:div w:id="1204488238">
      <w:bodyDiv w:val="1"/>
      <w:marLeft w:val="0"/>
      <w:marRight w:val="0"/>
      <w:marTop w:val="0"/>
      <w:marBottom w:val="0"/>
      <w:divBdr>
        <w:top w:val="none" w:sz="0" w:space="0" w:color="auto"/>
        <w:left w:val="none" w:sz="0" w:space="0" w:color="auto"/>
        <w:bottom w:val="none" w:sz="0" w:space="0" w:color="auto"/>
        <w:right w:val="none" w:sz="0" w:space="0" w:color="auto"/>
      </w:divBdr>
    </w:div>
    <w:div w:id="1204561906">
      <w:bodyDiv w:val="1"/>
      <w:marLeft w:val="0"/>
      <w:marRight w:val="0"/>
      <w:marTop w:val="0"/>
      <w:marBottom w:val="0"/>
      <w:divBdr>
        <w:top w:val="none" w:sz="0" w:space="0" w:color="auto"/>
        <w:left w:val="none" w:sz="0" w:space="0" w:color="auto"/>
        <w:bottom w:val="none" w:sz="0" w:space="0" w:color="auto"/>
        <w:right w:val="none" w:sz="0" w:space="0" w:color="auto"/>
      </w:divBdr>
    </w:div>
    <w:div w:id="1204563791">
      <w:bodyDiv w:val="1"/>
      <w:marLeft w:val="0"/>
      <w:marRight w:val="0"/>
      <w:marTop w:val="0"/>
      <w:marBottom w:val="0"/>
      <w:divBdr>
        <w:top w:val="none" w:sz="0" w:space="0" w:color="auto"/>
        <w:left w:val="none" w:sz="0" w:space="0" w:color="auto"/>
        <w:bottom w:val="none" w:sz="0" w:space="0" w:color="auto"/>
        <w:right w:val="none" w:sz="0" w:space="0" w:color="auto"/>
      </w:divBdr>
    </w:div>
    <w:div w:id="1204753996">
      <w:bodyDiv w:val="1"/>
      <w:marLeft w:val="0"/>
      <w:marRight w:val="0"/>
      <w:marTop w:val="0"/>
      <w:marBottom w:val="0"/>
      <w:divBdr>
        <w:top w:val="none" w:sz="0" w:space="0" w:color="auto"/>
        <w:left w:val="none" w:sz="0" w:space="0" w:color="auto"/>
        <w:bottom w:val="none" w:sz="0" w:space="0" w:color="auto"/>
        <w:right w:val="none" w:sz="0" w:space="0" w:color="auto"/>
      </w:divBdr>
    </w:div>
    <w:div w:id="1204827138">
      <w:bodyDiv w:val="1"/>
      <w:marLeft w:val="0"/>
      <w:marRight w:val="0"/>
      <w:marTop w:val="0"/>
      <w:marBottom w:val="0"/>
      <w:divBdr>
        <w:top w:val="none" w:sz="0" w:space="0" w:color="auto"/>
        <w:left w:val="none" w:sz="0" w:space="0" w:color="auto"/>
        <w:bottom w:val="none" w:sz="0" w:space="0" w:color="auto"/>
        <w:right w:val="none" w:sz="0" w:space="0" w:color="auto"/>
      </w:divBdr>
    </w:div>
    <w:div w:id="1204830611">
      <w:bodyDiv w:val="1"/>
      <w:marLeft w:val="0"/>
      <w:marRight w:val="0"/>
      <w:marTop w:val="0"/>
      <w:marBottom w:val="0"/>
      <w:divBdr>
        <w:top w:val="none" w:sz="0" w:space="0" w:color="auto"/>
        <w:left w:val="none" w:sz="0" w:space="0" w:color="auto"/>
        <w:bottom w:val="none" w:sz="0" w:space="0" w:color="auto"/>
        <w:right w:val="none" w:sz="0" w:space="0" w:color="auto"/>
      </w:divBdr>
    </w:div>
    <w:div w:id="1204948838">
      <w:bodyDiv w:val="1"/>
      <w:marLeft w:val="0"/>
      <w:marRight w:val="0"/>
      <w:marTop w:val="0"/>
      <w:marBottom w:val="0"/>
      <w:divBdr>
        <w:top w:val="none" w:sz="0" w:space="0" w:color="auto"/>
        <w:left w:val="none" w:sz="0" w:space="0" w:color="auto"/>
        <w:bottom w:val="none" w:sz="0" w:space="0" w:color="auto"/>
        <w:right w:val="none" w:sz="0" w:space="0" w:color="auto"/>
      </w:divBdr>
    </w:div>
    <w:div w:id="1204949384">
      <w:bodyDiv w:val="1"/>
      <w:marLeft w:val="0"/>
      <w:marRight w:val="0"/>
      <w:marTop w:val="0"/>
      <w:marBottom w:val="0"/>
      <w:divBdr>
        <w:top w:val="none" w:sz="0" w:space="0" w:color="auto"/>
        <w:left w:val="none" w:sz="0" w:space="0" w:color="auto"/>
        <w:bottom w:val="none" w:sz="0" w:space="0" w:color="auto"/>
        <w:right w:val="none" w:sz="0" w:space="0" w:color="auto"/>
      </w:divBdr>
    </w:div>
    <w:div w:id="1205174192">
      <w:bodyDiv w:val="1"/>
      <w:marLeft w:val="0"/>
      <w:marRight w:val="0"/>
      <w:marTop w:val="0"/>
      <w:marBottom w:val="0"/>
      <w:divBdr>
        <w:top w:val="none" w:sz="0" w:space="0" w:color="auto"/>
        <w:left w:val="none" w:sz="0" w:space="0" w:color="auto"/>
        <w:bottom w:val="none" w:sz="0" w:space="0" w:color="auto"/>
        <w:right w:val="none" w:sz="0" w:space="0" w:color="auto"/>
      </w:divBdr>
    </w:div>
    <w:div w:id="1205214512">
      <w:bodyDiv w:val="1"/>
      <w:marLeft w:val="0"/>
      <w:marRight w:val="0"/>
      <w:marTop w:val="0"/>
      <w:marBottom w:val="0"/>
      <w:divBdr>
        <w:top w:val="none" w:sz="0" w:space="0" w:color="auto"/>
        <w:left w:val="none" w:sz="0" w:space="0" w:color="auto"/>
        <w:bottom w:val="none" w:sz="0" w:space="0" w:color="auto"/>
        <w:right w:val="none" w:sz="0" w:space="0" w:color="auto"/>
      </w:divBdr>
    </w:div>
    <w:div w:id="1205681763">
      <w:bodyDiv w:val="1"/>
      <w:marLeft w:val="0"/>
      <w:marRight w:val="0"/>
      <w:marTop w:val="0"/>
      <w:marBottom w:val="0"/>
      <w:divBdr>
        <w:top w:val="none" w:sz="0" w:space="0" w:color="auto"/>
        <w:left w:val="none" w:sz="0" w:space="0" w:color="auto"/>
        <w:bottom w:val="none" w:sz="0" w:space="0" w:color="auto"/>
        <w:right w:val="none" w:sz="0" w:space="0" w:color="auto"/>
      </w:divBdr>
    </w:div>
    <w:div w:id="1205825849">
      <w:bodyDiv w:val="1"/>
      <w:marLeft w:val="0"/>
      <w:marRight w:val="0"/>
      <w:marTop w:val="0"/>
      <w:marBottom w:val="0"/>
      <w:divBdr>
        <w:top w:val="none" w:sz="0" w:space="0" w:color="auto"/>
        <w:left w:val="none" w:sz="0" w:space="0" w:color="auto"/>
        <w:bottom w:val="none" w:sz="0" w:space="0" w:color="auto"/>
        <w:right w:val="none" w:sz="0" w:space="0" w:color="auto"/>
      </w:divBdr>
    </w:div>
    <w:div w:id="1205871227">
      <w:bodyDiv w:val="1"/>
      <w:marLeft w:val="0"/>
      <w:marRight w:val="0"/>
      <w:marTop w:val="0"/>
      <w:marBottom w:val="0"/>
      <w:divBdr>
        <w:top w:val="none" w:sz="0" w:space="0" w:color="auto"/>
        <w:left w:val="none" w:sz="0" w:space="0" w:color="auto"/>
        <w:bottom w:val="none" w:sz="0" w:space="0" w:color="auto"/>
        <w:right w:val="none" w:sz="0" w:space="0" w:color="auto"/>
      </w:divBdr>
    </w:div>
    <w:div w:id="1205871863">
      <w:bodyDiv w:val="1"/>
      <w:marLeft w:val="0"/>
      <w:marRight w:val="0"/>
      <w:marTop w:val="0"/>
      <w:marBottom w:val="0"/>
      <w:divBdr>
        <w:top w:val="none" w:sz="0" w:space="0" w:color="auto"/>
        <w:left w:val="none" w:sz="0" w:space="0" w:color="auto"/>
        <w:bottom w:val="none" w:sz="0" w:space="0" w:color="auto"/>
        <w:right w:val="none" w:sz="0" w:space="0" w:color="auto"/>
      </w:divBdr>
    </w:div>
    <w:div w:id="1205944157">
      <w:bodyDiv w:val="1"/>
      <w:marLeft w:val="0"/>
      <w:marRight w:val="0"/>
      <w:marTop w:val="0"/>
      <w:marBottom w:val="0"/>
      <w:divBdr>
        <w:top w:val="none" w:sz="0" w:space="0" w:color="auto"/>
        <w:left w:val="none" w:sz="0" w:space="0" w:color="auto"/>
        <w:bottom w:val="none" w:sz="0" w:space="0" w:color="auto"/>
        <w:right w:val="none" w:sz="0" w:space="0" w:color="auto"/>
      </w:divBdr>
    </w:div>
    <w:div w:id="1205947223">
      <w:bodyDiv w:val="1"/>
      <w:marLeft w:val="0"/>
      <w:marRight w:val="0"/>
      <w:marTop w:val="0"/>
      <w:marBottom w:val="0"/>
      <w:divBdr>
        <w:top w:val="none" w:sz="0" w:space="0" w:color="auto"/>
        <w:left w:val="none" w:sz="0" w:space="0" w:color="auto"/>
        <w:bottom w:val="none" w:sz="0" w:space="0" w:color="auto"/>
        <w:right w:val="none" w:sz="0" w:space="0" w:color="auto"/>
      </w:divBdr>
    </w:div>
    <w:div w:id="1206067411">
      <w:bodyDiv w:val="1"/>
      <w:marLeft w:val="0"/>
      <w:marRight w:val="0"/>
      <w:marTop w:val="0"/>
      <w:marBottom w:val="0"/>
      <w:divBdr>
        <w:top w:val="none" w:sz="0" w:space="0" w:color="auto"/>
        <w:left w:val="none" w:sz="0" w:space="0" w:color="auto"/>
        <w:bottom w:val="none" w:sz="0" w:space="0" w:color="auto"/>
        <w:right w:val="none" w:sz="0" w:space="0" w:color="auto"/>
      </w:divBdr>
    </w:div>
    <w:div w:id="1206218469">
      <w:bodyDiv w:val="1"/>
      <w:marLeft w:val="0"/>
      <w:marRight w:val="0"/>
      <w:marTop w:val="0"/>
      <w:marBottom w:val="0"/>
      <w:divBdr>
        <w:top w:val="none" w:sz="0" w:space="0" w:color="auto"/>
        <w:left w:val="none" w:sz="0" w:space="0" w:color="auto"/>
        <w:bottom w:val="none" w:sz="0" w:space="0" w:color="auto"/>
        <w:right w:val="none" w:sz="0" w:space="0" w:color="auto"/>
      </w:divBdr>
    </w:div>
    <w:div w:id="1206410950">
      <w:bodyDiv w:val="1"/>
      <w:marLeft w:val="0"/>
      <w:marRight w:val="0"/>
      <w:marTop w:val="0"/>
      <w:marBottom w:val="0"/>
      <w:divBdr>
        <w:top w:val="none" w:sz="0" w:space="0" w:color="auto"/>
        <w:left w:val="none" w:sz="0" w:space="0" w:color="auto"/>
        <w:bottom w:val="none" w:sz="0" w:space="0" w:color="auto"/>
        <w:right w:val="none" w:sz="0" w:space="0" w:color="auto"/>
      </w:divBdr>
    </w:div>
    <w:div w:id="1206482602">
      <w:bodyDiv w:val="1"/>
      <w:marLeft w:val="0"/>
      <w:marRight w:val="0"/>
      <w:marTop w:val="0"/>
      <w:marBottom w:val="0"/>
      <w:divBdr>
        <w:top w:val="none" w:sz="0" w:space="0" w:color="auto"/>
        <w:left w:val="none" w:sz="0" w:space="0" w:color="auto"/>
        <w:bottom w:val="none" w:sz="0" w:space="0" w:color="auto"/>
        <w:right w:val="none" w:sz="0" w:space="0" w:color="auto"/>
      </w:divBdr>
    </w:div>
    <w:div w:id="1206483156">
      <w:bodyDiv w:val="1"/>
      <w:marLeft w:val="0"/>
      <w:marRight w:val="0"/>
      <w:marTop w:val="0"/>
      <w:marBottom w:val="0"/>
      <w:divBdr>
        <w:top w:val="none" w:sz="0" w:space="0" w:color="auto"/>
        <w:left w:val="none" w:sz="0" w:space="0" w:color="auto"/>
        <w:bottom w:val="none" w:sz="0" w:space="0" w:color="auto"/>
        <w:right w:val="none" w:sz="0" w:space="0" w:color="auto"/>
      </w:divBdr>
    </w:div>
    <w:div w:id="1206599461">
      <w:bodyDiv w:val="1"/>
      <w:marLeft w:val="0"/>
      <w:marRight w:val="0"/>
      <w:marTop w:val="0"/>
      <w:marBottom w:val="0"/>
      <w:divBdr>
        <w:top w:val="none" w:sz="0" w:space="0" w:color="auto"/>
        <w:left w:val="none" w:sz="0" w:space="0" w:color="auto"/>
        <w:bottom w:val="none" w:sz="0" w:space="0" w:color="auto"/>
        <w:right w:val="none" w:sz="0" w:space="0" w:color="auto"/>
      </w:divBdr>
    </w:div>
    <w:div w:id="1206605638">
      <w:bodyDiv w:val="1"/>
      <w:marLeft w:val="0"/>
      <w:marRight w:val="0"/>
      <w:marTop w:val="0"/>
      <w:marBottom w:val="0"/>
      <w:divBdr>
        <w:top w:val="none" w:sz="0" w:space="0" w:color="auto"/>
        <w:left w:val="none" w:sz="0" w:space="0" w:color="auto"/>
        <w:bottom w:val="none" w:sz="0" w:space="0" w:color="auto"/>
        <w:right w:val="none" w:sz="0" w:space="0" w:color="auto"/>
      </w:divBdr>
    </w:div>
    <w:div w:id="1206793827">
      <w:bodyDiv w:val="1"/>
      <w:marLeft w:val="0"/>
      <w:marRight w:val="0"/>
      <w:marTop w:val="0"/>
      <w:marBottom w:val="0"/>
      <w:divBdr>
        <w:top w:val="none" w:sz="0" w:space="0" w:color="auto"/>
        <w:left w:val="none" w:sz="0" w:space="0" w:color="auto"/>
        <w:bottom w:val="none" w:sz="0" w:space="0" w:color="auto"/>
        <w:right w:val="none" w:sz="0" w:space="0" w:color="auto"/>
      </w:divBdr>
    </w:div>
    <w:div w:id="1206914972">
      <w:bodyDiv w:val="1"/>
      <w:marLeft w:val="0"/>
      <w:marRight w:val="0"/>
      <w:marTop w:val="0"/>
      <w:marBottom w:val="0"/>
      <w:divBdr>
        <w:top w:val="none" w:sz="0" w:space="0" w:color="auto"/>
        <w:left w:val="none" w:sz="0" w:space="0" w:color="auto"/>
        <w:bottom w:val="none" w:sz="0" w:space="0" w:color="auto"/>
        <w:right w:val="none" w:sz="0" w:space="0" w:color="auto"/>
      </w:divBdr>
    </w:div>
    <w:div w:id="1207066552">
      <w:bodyDiv w:val="1"/>
      <w:marLeft w:val="0"/>
      <w:marRight w:val="0"/>
      <w:marTop w:val="0"/>
      <w:marBottom w:val="0"/>
      <w:divBdr>
        <w:top w:val="none" w:sz="0" w:space="0" w:color="auto"/>
        <w:left w:val="none" w:sz="0" w:space="0" w:color="auto"/>
        <w:bottom w:val="none" w:sz="0" w:space="0" w:color="auto"/>
        <w:right w:val="none" w:sz="0" w:space="0" w:color="auto"/>
      </w:divBdr>
    </w:div>
    <w:div w:id="1207067244">
      <w:bodyDiv w:val="1"/>
      <w:marLeft w:val="0"/>
      <w:marRight w:val="0"/>
      <w:marTop w:val="0"/>
      <w:marBottom w:val="0"/>
      <w:divBdr>
        <w:top w:val="none" w:sz="0" w:space="0" w:color="auto"/>
        <w:left w:val="none" w:sz="0" w:space="0" w:color="auto"/>
        <w:bottom w:val="none" w:sz="0" w:space="0" w:color="auto"/>
        <w:right w:val="none" w:sz="0" w:space="0" w:color="auto"/>
      </w:divBdr>
    </w:div>
    <w:div w:id="1207109669">
      <w:bodyDiv w:val="1"/>
      <w:marLeft w:val="0"/>
      <w:marRight w:val="0"/>
      <w:marTop w:val="0"/>
      <w:marBottom w:val="0"/>
      <w:divBdr>
        <w:top w:val="none" w:sz="0" w:space="0" w:color="auto"/>
        <w:left w:val="none" w:sz="0" w:space="0" w:color="auto"/>
        <w:bottom w:val="none" w:sz="0" w:space="0" w:color="auto"/>
        <w:right w:val="none" w:sz="0" w:space="0" w:color="auto"/>
      </w:divBdr>
    </w:div>
    <w:div w:id="1207136983">
      <w:bodyDiv w:val="1"/>
      <w:marLeft w:val="0"/>
      <w:marRight w:val="0"/>
      <w:marTop w:val="0"/>
      <w:marBottom w:val="0"/>
      <w:divBdr>
        <w:top w:val="none" w:sz="0" w:space="0" w:color="auto"/>
        <w:left w:val="none" w:sz="0" w:space="0" w:color="auto"/>
        <w:bottom w:val="none" w:sz="0" w:space="0" w:color="auto"/>
        <w:right w:val="none" w:sz="0" w:space="0" w:color="auto"/>
      </w:divBdr>
    </w:div>
    <w:div w:id="1207181244">
      <w:bodyDiv w:val="1"/>
      <w:marLeft w:val="0"/>
      <w:marRight w:val="0"/>
      <w:marTop w:val="0"/>
      <w:marBottom w:val="0"/>
      <w:divBdr>
        <w:top w:val="none" w:sz="0" w:space="0" w:color="auto"/>
        <w:left w:val="none" w:sz="0" w:space="0" w:color="auto"/>
        <w:bottom w:val="none" w:sz="0" w:space="0" w:color="auto"/>
        <w:right w:val="none" w:sz="0" w:space="0" w:color="auto"/>
      </w:divBdr>
    </w:div>
    <w:div w:id="1207261432">
      <w:bodyDiv w:val="1"/>
      <w:marLeft w:val="0"/>
      <w:marRight w:val="0"/>
      <w:marTop w:val="0"/>
      <w:marBottom w:val="0"/>
      <w:divBdr>
        <w:top w:val="none" w:sz="0" w:space="0" w:color="auto"/>
        <w:left w:val="none" w:sz="0" w:space="0" w:color="auto"/>
        <w:bottom w:val="none" w:sz="0" w:space="0" w:color="auto"/>
        <w:right w:val="none" w:sz="0" w:space="0" w:color="auto"/>
      </w:divBdr>
    </w:div>
    <w:div w:id="1207333657">
      <w:bodyDiv w:val="1"/>
      <w:marLeft w:val="0"/>
      <w:marRight w:val="0"/>
      <w:marTop w:val="0"/>
      <w:marBottom w:val="0"/>
      <w:divBdr>
        <w:top w:val="none" w:sz="0" w:space="0" w:color="auto"/>
        <w:left w:val="none" w:sz="0" w:space="0" w:color="auto"/>
        <w:bottom w:val="none" w:sz="0" w:space="0" w:color="auto"/>
        <w:right w:val="none" w:sz="0" w:space="0" w:color="auto"/>
      </w:divBdr>
    </w:div>
    <w:div w:id="1207445076">
      <w:bodyDiv w:val="1"/>
      <w:marLeft w:val="0"/>
      <w:marRight w:val="0"/>
      <w:marTop w:val="0"/>
      <w:marBottom w:val="0"/>
      <w:divBdr>
        <w:top w:val="none" w:sz="0" w:space="0" w:color="auto"/>
        <w:left w:val="none" w:sz="0" w:space="0" w:color="auto"/>
        <w:bottom w:val="none" w:sz="0" w:space="0" w:color="auto"/>
        <w:right w:val="none" w:sz="0" w:space="0" w:color="auto"/>
      </w:divBdr>
    </w:div>
    <w:div w:id="1207790295">
      <w:bodyDiv w:val="1"/>
      <w:marLeft w:val="0"/>
      <w:marRight w:val="0"/>
      <w:marTop w:val="0"/>
      <w:marBottom w:val="0"/>
      <w:divBdr>
        <w:top w:val="none" w:sz="0" w:space="0" w:color="auto"/>
        <w:left w:val="none" w:sz="0" w:space="0" w:color="auto"/>
        <w:bottom w:val="none" w:sz="0" w:space="0" w:color="auto"/>
        <w:right w:val="none" w:sz="0" w:space="0" w:color="auto"/>
      </w:divBdr>
    </w:div>
    <w:div w:id="1207989055">
      <w:bodyDiv w:val="1"/>
      <w:marLeft w:val="0"/>
      <w:marRight w:val="0"/>
      <w:marTop w:val="0"/>
      <w:marBottom w:val="0"/>
      <w:divBdr>
        <w:top w:val="none" w:sz="0" w:space="0" w:color="auto"/>
        <w:left w:val="none" w:sz="0" w:space="0" w:color="auto"/>
        <w:bottom w:val="none" w:sz="0" w:space="0" w:color="auto"/>
        <w:right w:val="none" w:sz="0" w:space="0" w:color="auto"/>
      </w:divBdr>
    </w:div>
    <w:div w:id="1208109503">
      <w:bodyDiv w:val="1"/>
      <w:marLeft w:val="0"/>
      <w:marRight w:val="0"/>
      <w:marTop w:val="0"/>
      <w:marBottom w:val="0"/>
      <w:divBdr>
        <w:top w:val="none" w:sz="0" w:space="0" w:color="auto"/>
        <w:left w:val="none" w:sz="0" w:space="0" w:color="auto"/>
        <w:bottom w:val="none" w:sz="0" w:space="0" w:color="auto"/>
        <w:right w:val="none" w:sz="0" w:space="0" w:color="auto"/>
      </w:divBdr>
    </w:div>
    <w:div w:id="1208221989">
      <w:bodyDiv w:val="1"/>
      <w:marLeft w:val="0"/>
      <w:marRight w:val="0"/>
      <w:marTop w:val="0"/>
      <w:marBottom w:val="0"/>
      <w:divBdr>
        <w:top w:val="none" w:sz="0" w:space="0" w:color="auto"/>
        <w:left w:val="none" w:sz="0" w:space="0" w:color="auto"/>
        <w:bottom w:val="none" w:sz="0" w:space="0" w:color="auto"/>
        <w:right w:val="none" w:sz="0" w:space="0" w:color="auto"/>
      </w:divBdr>
    </w:div>
    <w:div w:id="1208224971">
      <w:bodyDiv w:val="1"/>
      <w:marLeft w:val="0"/>
      <w:marRight w:val="0"/>
      <w:marTop w:val="0"/>
      <w:marBottom w:val="0"/>
      <w:divBdr>
        <w:top w:val="none" w:sz="0" w:space="0" w:color="auto"/>
        <w:left w:val="none" w:sz="0" w:space="0" w:color="auto"/>
        <w:bottom w:val="none" w:sz="0" w:space="0" w:color="auto"/>
        <w:right w:val="none" w:sz="0" w:space="0" w:color="auto"/>
      </w:divBdr>
    </w:div>
    <w:div w:id="1208254140">
      <w:bodyDiv w:val="1"/>
      <w:marLeft w:val="0"/>
      <w:marRight w:val="0"/>
      <w:marTop w:val="0"/>
      <w:marBottom w:val="0"/>
      <w:divBdr>
        <w:top w:val="none" w:sz="0" w:space="0" w:color="auto"/>
        <w:left w:val="none" w:sz="0" w:space="0" w:color="auto"/>
        <w:bottom w:val="none" w:sz="0" w:space="0" w:color="auto"/>
        <w:right w:val="none" w:sz="0" w:space="0" w:color="auto"/>
      </w:divBdr>
    </w:div>
    <w:div w:id="1208419264">
      <w:bodyDiv w:val="1"/>
      <w:marLeft w:val="0"/>
      <w:marRight w:val="0"/>
      <w:marTop w:val="0"/>
      <w:marBottom w:val="0"/>
      <w:divBdr>
        <w:top w:val="none" w:sz="0" w:space="0" w:color="auto"/>
        <w:left w:val="none" w:sz="0" w:space="0" w:color="auto"/>
        <w:bottom w:val="none" w:sz="0" w:space="0" w:color="auto"/>
        <w:right w:val="none" w:sz="0" w:space="0" w:color="auto"/>
      </w:divBdr>
    </w:div>
    <w:div w:id="1208686013">
      <w:bodyDiv w:val="1"/>
      <w:marLeft w:val="0"/>
      <w:marRight w:val="0"/>
      <w:marTop w:val="0"/>
      <w:marBottom w:val="0"/>
      <w:divBdr>
        <w:top w:val="none" w:sz="0" w:space="0" w:color="auto"/>
        <w:left w:val="none" w:sz="0" w:space="0" w:color="auto"/>
        <w:bottom w:val="none" w:sz="0" w:space="0" w:color="auto"/>
        <w:right w:val="none" w:sz="0" w:space="0" w:color="auto"/>
      </w:divBdr>
    </w:div>
    <w:div w:id="1208763904">
      <w:bodyDiv w:val="1"/>
      <w:marLeft w:val="0"/>
      <w:marRight w:val="0"/>
      <w:marTop w:val="0"/>
      <w:marBottom w:val="0"/>
      <w:divBdr>
        <w:top w:val="none" w:sz="0" w:space="0" w:color="auto"/>
        <w:left w:val="none" w:sz="0" w:space="0" w:color="auto"/>
        <w:bottom w:val="none" w:sz="0" w:space="0" w:color="auto"/>
        <w:right w:val="none" w:sz="0" w:space="0" w:color="auto"/>
      </w:divBdr>
    </w:div>
    <w:div w:id="1208835554">
      <w:bodyDiv w:val="1"/>
      <w:marLeft w:val="0"/>
      <w:marRight w:val="0"/>
      <w:marTop w:val="0"/>
      <w:marBottom w:val="0"/>
      <w:divBdr>
        <w:top w:val="none" w:sz="0" w:space="0" w:color="auto"/>
        <w:left w:val="none" w:sz="0" w:space="0" w:color="auto"/>
        <w:bottom w:val="none" w:sz="0" w:space="0" w:color="auto"/>
        <w:right w:val="none" w:sz="0" w:space="0" w:color="auto"/>
      </w:divBdr>
    </w:div>
    <w:div w:id="1208877747">
      <w:bodyDiv w:val="1"/>
      <w:marLeft w:val="0"/>
      <w:marRight w:val="0"/>
      <w:marTop w:val="0"/>
      <w:marBottom w:val="0"/>
      <w:divBdr>
        <w:top w:val="none" w:sz="0" w:space="0" w:color="auto"/>
        <w:left w:val="none" w:sz="0" w:space="0" w:color="auto"/>
        <w:bottom w:val="none" w:sz="0" w:space="0" w:color="auto"/>
        <w:right w:val="none" w:sz="0" w:space="0" w:color="auto"/>
      </w:divBdr>
    </w:div>
    <w:div w:id="1208953919">
      <w:bodyDiv w:val="1"/>
      <w:marLeft w:val="0"/>
      <w:marRight w:val="0"/>
      <w:marTop w:val="0"/>
      <w:marBottom w:val="0"/>
      <w:divBdr>
        <w:top w:val="none" w:sz="0" w:space="0" w:color="auto"/>
        <w:left w:val="none" w:sz="0" w:space="0" w:color="auto"/>
        <w:bottom w:val="none" w:sz="0" w:space="0" w:color="auto"/>
        <w:right w:val="none" w:sz="0" w:space="0" w:color="auto"/>
      </w:divBdr>
    </w:div>
    <w:div w:id="1209218864">
      <w:bodyDiv w:val="1"/>
      <w:marLeft w:val="0"/>
      <w:marRight w:val="0"/>
      <w:marTop w:val="0"/>
      <w:marBottom w:val="0"/>
      <w:divBdr>
        <w:top w:val="none" w:sz="0" w:space="0" w:color="auto"/>
        <w:left w:val="none" w:sz="0" w:space="0" w:color="auto"/>
        <w:bottom w:val="none" w:sz="0" w:space="0" w:color="auto"/>
        <w:right w:val="none" w:sz="0" w:space="0" w:color="auto"/>
      </w:divBdr>
    </w:div>
    <w:div w:id="1209341420">
      <w:bodyDiv w:val="1"/>
      <w:marLeft w:val="0"/>
      <w:marRight w:val="0"/>
      <w:marTop w:val="0"/>
      <w:marBottom w:val="0"/>
      <w:divBdr>
        <w:top w:val="none" w:sz="0" w:space="0" w:color="auto"/>
        <w:left w:val="none" w:sz="0" w:space="0" w:color="auto"/>
        <w:bottom w:val="none" w:sz="0" w:space="0" w:color="auto"/>
        <w:right w:val="none" w:sz="0" w:space="0" w:color="auto"/>
      </w:divBdr>
    </w:div>
    <w:div w:id="1209416186">
      <w:bodyDiv w:val="1"/>
      <w:marLeft w:val="0"/>
      <w:marRight w:val="0"/>
      <w:marTop w:val="0"/>
      <w:marBottom w:val="0"/>
      <w:divBdr>
        <w:top w:val="none" w:sz="0" w:space="0" w:color="auto"/>
        <w:left w:val="none" w:sz="0" w:space="0" w:color="auto"/>
        <w:bottom w:val="none" w:sz="0" w:space="0" w:color="auto"/>
        <w:right w:val="none" w:sz="0" w:space="0" w:color="auto"/>
      </w:divBdr>
    </w:div>
    <w:div w:id="1209536974">
      <w:bodyDiv w:val="1"/>
      <w:marLeft w:val="0"/>
      <w:marRight w:val="0"/>
      <w:marTop w:val="0"/>
      <w:marBottom w:val="0"/>
      <w:divBdr>
        <w:top w:val="none" w:sz="0" w:space="0" w:color="auto"/>
        <w:left w:val="none" w:sz="0" w:space="0" w:color="auto"/>
        <w:bottom w:val="none" w:sz="0" w:space="0" w:color="auto"/>
        <w:right w:val="none" w:sz="0" w:space="0" w:color="auto"/>
      </w:divBdr>
    </w:div>
    <w:div w:id="1209689046">
      <w:bodyDiv w:val="1"/>
      <w:marLeft w:val="0"/>
      <w:marRight w:val="0"/>
      <w:marTop w:val="0"/>
      <w:marBottom w:val="0"/>
      <w:divBdr>
        <w:top w:val="none" w:sz="0" w:space="0" w:color="auto"/>
        <w:left w:val="none" w:sz="0" w:space="0" w:color="auto"/>
        <w:bottom w:val="none" w:sz="0" w:space="0" w:color="auto"/>
        <w:right w:val="none" w:sz="0" w:space="0" w:color="auto"/>
      </w:divBdr>
    </w:div>
    <w:div w:id="1209799217">
      <w:bodyDiv w:val="1"/>
      <w:marLeft w:val="0"/>
      <w:marRight w:val="0"/>
      <w:marTop w:val="0"/>
      <w:marBottom w:val="0"/>
      <w:divBdr>
        <w:top w:val="none" w:sz="0" w:space="0" w:color="auto"/>
        <w:left w:val="none" w:sz="0" w:space="0" w:color="auto"/>
        <w:bottom w:val="none" w:sz="0" w:space="0" w:color="auto"/>
        <w:right w:val="none" w:sz="0" w:space="0" w:color="auto"/>
      </w:divBdr>
    </w:div>
    <w:div w:id="1209951985">
      <w:bodyDiv w:val="1"/>
      <w:marLeft w:val="0"/>
      <w:marRight w:val="0"/>
      <w:marTop w:val="0"/>
      <w:marBottom w:val="0"/>
      <w:divBdr>
        <w:top w:val="none" w:sz="0" w:space="0" w:color="auto"/>
        <w:left w:val="none" w:sz="0" w:space="0" w:color="auto"/>
        <w:bottom w:val="none" w:sz="0" w:space="0" w:color="auto"/>
        <w:right w:val="none" w:sz="0" w:space="0" w:color="auto"/>
      </w:divBdr>
    </w:div>
    <w:div w:id="1209952930">
      <w:bodyDiv w:val="1"/>
      <w:marLeft w:val="0"/>
      <w:marRight w:val="0"/>
      <w:marTop w:val="0"/>
      <w:marBottom w:val="0"/>
      <w:divBdr>
        <w:top w:val="none" w:sz="0" w:space="0" w:color="auto"/>
        <w:left w:val="none" w:sz="0" w:space="0" w:color="auto"/>
        <w:bottom w:val="none" w:sz="0" w:space="0" w:color="auto"/>
        <w:right w:val="none" w:sz="0" w:space="0" w:color="auto"/>
      </w:divBdr>
    </w:div>
    <w:div w:id="1209953791">
      <w:bodyDiv w:val="1"/>
      <w:marLeft w:val="0"/>
      <w:marRight w:val="0"/>
      <w:marTop w:val="0"/>
      <w:marBottom w:val="0"/>
      <w:divBdr>
        <w:top w:val="none" w:sz="0" w:space="0" w:color="auto"/>
        <w:left w:val="none" w:sz="0" w:space="0" w:color="auto"/>
        <w:bottom w:val="none" w:sz="0" w:space="0" w:color="auto"/>
        <w:right w:val="none" w:sz="0" w:space="0" w:color="auto"/>
      </w:divBdr>
    </w:div>
    <w:div w:id="1210070788">
      <w:bodyDiv w:val="1"/>
      <w:marLeft w:val="0"/>
      <w:marRight w:val="0"/>
      <w:marTop w:val="0"/>
      <w:marBottom w:val="0"/>
      <w:divBdr>
        <w:top w:val="none" w:sz="0" w:space="0" w:color="auto"/>
        <w:left w:val="none" w:sz="0" w:space="0" w:color="auto"/>
        <w:bottom w:val="none" w:sz="0" w:space="0" w:color="auto"/>
        <w:right w:val="none" w:sz="0" w:space="0" w:color="auto"/>
      </w:divBdr>
    </w:div>
    <w:div w:id="1210075173">
      <w:bodyDiv w:val="1"/>
      <w:marLeft w:val="0"/>
      <w:marRight w:val="0"/>
      <w:marTop w:val="0"/>
      <w:marBottom w:val="0"/>
      <w:divBdr>
        <w:top w:val="none" w:sz="0" w:space="0" w:color="auto"/>
        <w:left w:val="none" w:sz="0" w:space="0" w:color="auto"/>
        <w:bottom w:val="none" w:sz="0" w:space="0" w:color="auto"/>
        <w:right w:val="none" w:sz="0" w:space="0" w:color="auto"/>
      </w:divBdr>
    </w:div>
    <w:div w:id="1210416602">
      <w:bodyDiv w:val="1"/>
      <w:marLeft w:val="0"/>
      <w:marRight w:val="0"/>
      <w:marTop w:val="0"/>
      <w:marBottom w:val="0"/>
      <w:divBdr>
        <w:top w:val="none" w:sz="0" w:space="0" w:color="auto"/>
        <w:left w:val="none" w:sz="0" w:space="0" w:color="auto"/>
        <w:bottom w:val="none" w:sz="0" w:space="0" w:color="auto"/>
        <w:right w:val="none" w:sz="0" w:space="0" w:color="auto"/>
      </w:divBdr>
    </w:div>
    <w:div w:id="1210458571">
      <w:bodyDiv w:val="1"/>
      <w:marLeft w:val="0"/>
      <w:marRight w:val="0"/>
      <w:marTop w:val="0"/>
      <w:marBottom w:val="0"/>
      <w:divBdr>
        <w:top w:val="none" w:sz="0" w:space="0" w:color="auto"/>
        <w:left w:val="none" w:sz="0" w:space="0" w:color="auto"/>
        <w:bottom w:val="none" w:sz="0" w:space="0" w:color="auto"/>
        <w:right w:val="none" w:sz="0" w:space="0" w:color="auto"/>
      </w:divBdr>
    </w:div>
    <w:div w:id="1210532956">
      <w:bodyDiv w:val="1"/>
      <w:marLeft w:val="0"/>
      <w:marRight w:val="0"/>
      <w:marTop w:val="0"/>
      <w:marBottom w:val="0"/>
      <w:divBdr>
        <w:top w:val="none" w:sz="0" w:space="0" w:color="auto"/>
        <w:left w:val="none" w:sz="0" w:space="0" w:color="auto"/>
        <w:bottom w:val="none" w:sz="0" w:space="0" w:color="auto"/>
        <w:right w:val="none" w:sz="0" w:space="0" w:color="auto"/>
      </w:divBdr>
    </w:div>
    <w:div w:id="1210651800">
      <w:bodyDiv w:val="1"/>
      <w:marLeft w:val="0"/>
      <w:marRight w:val="0"/>
      <w:marTop w:val="0"/>
      <w:marBottom w:val="0"/>
      <w:divBdr>
        <w:top w:val="none" w:sz="0" w:space="0" w:color="auto"/>
        <w:left w:val="none" w:sz="0" w:space="0" w:color="auto"/>
        <w:bottom w:val="none" w:sz="0" w:space="0" w:color="auto"/>
        <w:right w:val="none" w:sz="0" w:space="0" w:color="auto"/>
      </w:divBdr>
    </w:div>
    <w:div w:id="1210721383">
      <w:bodyDiv w:val="1"/>
      <w:marLeft w:val="0"/>
      <w:marRight w:val="0"/>
      <w:marTop w:val="0"/>
      <w:marBottom w:val="0"/>
      <w:divBdr>
        <w:top w:val="none" w:sz="0" w:space="0" w:color="auto"/>
        <w:left w:val="none" w:sz="0" w:space="0" w:color="auto"/>
        <w:bottom w:val="none" w:sz="0" w:space="0" w:color="auto"/>
        <w:right w:val="none" w:sz="0" w:space="0" w:color="auto"/>
      </w:divBdr>
    </w:div>
    <w:div w:id="1210804426">
      <w:bodyDiv w:val="1"/>
      <w:marLeft w:val="0"/>
      <w:marRight w:val="0"/>
      <w:marTop w:val="0"/>
      <w:marBottom w:val="0"/>
      <w:divBdr>
        <w:top w:val="none" w:sz="0" w:space="0" w:color="auto"/>
        <w:left w:val="none" w:sz="0" w:space="0" w:color="auto"/>
        <w:bottom w:val="none" w:sz="0" w:space="0" w:color="auto"/>
        <w:right w:val="none" w:sz="0" w:space="0" w:color="auto"/>
      </w:divBdr>
    </w:div>
    <w:div w:id="1210804675">
      <w:bodyDiv w:val="1"/>
      <w:marLeft w:val="0"/>
      <w:marRight w:val="0"/>
      <w:marTop w:val="0"/>
      <w:marBottom w:val="0"/>
      <w:divBdr>
        <w:top w:val="none" w:sz="0" w:space="0" w:color="auto"/>
        <w:left w:val="none" w:sz="0" w:space="0" w:color="auto"/>
        <w:bottom w:val="none" w:sz="0" w:space="0" w:color="auto"/>
        <w:right w:val="none" w:sz="0" w:space="0" w:color="auto"/>
      </w:divBdr>
    </w:div>
    <w:div w:id="1211112658">
      <w:bodyDiv w:val="1"/>
      <w:marLeft w:val="0"/>
      <w:marRight w:val="0"/>
      <w:marTop w:val="0"/>
      <w:marBottom w:val="0"/>
      <w:divBdr>
        <w:top w:val="none" w:sz="0" w:space="0" w:color="auto"/>
        <w:left w:val="none" w:sz="0" w:space="0" w:color="auto"/>
        <w:bottom w:val="none" w:sz="0" w:space="0" w:color="auto"/>
        <w:right w:val="none" w:sz="0" w:space="0" w:color="auto"/>
      </w:divBdr>
    </w:div>
    <w:div w:id="1211113019">
      <w:bodyDiv w:val="1"/>
      <w:marLeft w:val="0"/>
      <w:marRight w:val="0"/>
      <w:marTop w:val="0"/>
      <w:marBottom w:val="0"/>
      <w:divBdr>
        <w:top w:val="none" w:sz="0" w:space="0" w:color="auto"/>
        <w:left w:val="none" w:sz="0" w:space="0" w:color="auto"/>
        <w:bottom w:val="none" w:sz="0" w:space="0" w:color="auto"/>
        <w:right w:val="none" w:sz="0" w:space="0" w:color="auto"/>
      </w:divBdr>
    </w:div>
    <w:div w:id="1211113861">
      <w:bodyDiv w:val="1"/>
      <w:marLeft w:val="0"/>
      <w:marRight w:val="0"/>
      <w:marTop w:val="0"/>
      <w:marBottom w:val="0"/>
      <w:divBdr>
        <w:top w:val="none" w:sz="0" w:space="0" w:color="auto"/>
        <w:left w:val="none" w:sz="0" w:space="0" w:color="auto"/>
        <w:bottom w:val="none" w:sz="0" w:space="0" w:color="auto"/>
        <w:right w:val="none" w:sz="0" w:space="0" w:color="auto"/>
      </w:divBdr>
    </w:div>
    <w:div w:id="1211188640">
      <w:bodyDiv w:val="1"/>
      <w:marLeft w:val="0"/>
      <w:marRight w:val="0"/>
      <w:marTop w:val="0"/>
      <w:marBottom w:val="0"/>
      <w:divBdr>
        <w:top w:val="none" w:sz="0" w:space="0" w:color="auto"/>
        <w:left w:val="none" w:sz="0" w:space="0" w:color="auto"/>
        <w:bottom w:val="none" w:sz="0" w:space="0" w:color="auto"/>
        <w:right w:val="none" w:sz="0" w:space="0" w:color="auto"/>
      </w:divBdr>
    </w:div>
    <w:div w:id="1211310150">
      <w:bodyDiv w:val="1"/>
      <w:marLeft w:val="0"/>
      <w:marRight w:val="0"/>
      <w:marTop w:val="0"/>
      <w:marBottom w:val="0"/>
      <w:divBdr>
        <w:top w:val="none" w:sz="0" w:space="0" w:color="auto"/>
        <w:left w:val="none" w:sz="0" w:space="0" w:color="auto"/>
        <w:bottom w:val="none" w:sz="0" w:space="0" w:color="auto"/>
        <w:right w:val="none" w:sz="0" w:space="0" w:color="auto"/>
      </w:divBdr>
    </w:div>
    <w:div w:id="1211457861">
      <w:bodyDiv w:val="1"/>
      <w:marLeft w:val="0"/>
      <w:marRight w:val="0"/>
      <w:marTop w:val="0"/>
      <w:marBottom w:val="0"/>
      <w:divBdr>
        <w:top w:val="none" w:sz="0" w:space="0" w:color="auto"/>
        <w:left w:val="none" w:sz="0" w:space="0" w:color="auto"/>
        <w:bottom w:val="none" w:sz="0" w:space="0" w:color="auto"/>
        <w:right w:val="none" w:sz="0" w:space="0" w:color="auto"/>
      </w:divBdr>
    </w:div>
    <w:div w:id="1211577812">
      <w:bodyDiv w:val="1"/>
      <w:marLeft w:val="0"/>
      <w:marRight w:val="0"/>
      <w:marTop w:val="0"/>
      <w:marBottom w:val="0"/>
      <w:divBdr>
        <w:top w:val="none" w:sz="0" w:space="0" w:color="auto"/>
        <w:left w:val="none" w:sz="0" w:space="0" w:color="auto"/>
        <w:bottom w:val="none" w:sz="0" w:space="0" w:color="auto"/>
        <w:right w:val="none" w:sz="0" w:space="0" w:color="auto"/>
      </w:divBdr>
    </w:div>
    <w:div w:id="1211650563">
      <w:bodyDiv w:val="1"/>
      <w:marLeft w:val="0"/>
      <w:marRight w:val="0"/>
      <w:marTop w:val="0"/>
      <w:marBottom w:val="0"/>
      <w:divBdr>
        <w:top w:val="none" w:sz="0" w:space="0" w:color="auto"/>
        <w:left w:val="none" w:sz="0" w:space="0" w:color="auto"/>
        <w:bottom w:val="none" w:sz="0" w:space="0" w:color="auto"/>
        <w:right w:val="none" w:sz="0" w:space="0" w:color="auto"/>
      </w:divBdr>
    </w:div>
    <w:div w:id="1211914792">
      <w:bodyDiv w:val="1"/>
      <w:marLeft w:val="0"/>
      <w:marRight w:val="0"/>
      <w:marTop w:val="0"/>
      <w:marBottom w:val="0"/>
      <w:divBdr>
        <w:top w:val="none" w:sz="0" w:space="0" w:color="auto"/>
        <w:left w:val="none" w:sz="0" w:space="0" w:color="auto"/>
        <w:bottom w:val="none" w:sz="0" w:space="0" w:color="auto"/>
        <w:right w:val="none" w:sz="0" w:space="0" w:color="auto"/>
      </w:divBdr>
    </w:div>
    <w:div w:id="1211918001">
      <w:bodyDiv w:val="1"/>
      <w:marLeft w:val="0"/>
      <w:marRight w:val="0"/>
      <w:marTop w:val="0"/>
      <w:marBottom w:val="0"/>
      <w:divBdr>
        <w:top w:val="none" w:sz="0" w:space="0" w:color="auto"/>
        <w:left w:val="none" w:sz="0" w:space="0" w:color="auto"/>
        <w:bottom w:val="none" w:sz="0" w:space="0" w:color="auto"/>
        <w:right w:val="none" w:sz="0" w:space="0" w:color="auto"/>
      </w:divBdr>
    </w:div>
    <w:div w:id="1212182826">
      <w:bodyDiv w:val="1"/>
      <w:marLeft w:val="0"/>
      <w:marRight w:val="0"/>
      <w:marTop w:val="0"/>
      <w:marBottom w:val="0"/>
      <w:divBdr>
        <w:top w:val="none" w:sz="0" w:space="0" w:color="auto"/>
        <w:left w:val="none" w:sz="0" w:space="0" w:color="auto"/>
        <w:bottom w:val="none" w:sz="0" w:space="0" w:color="auto"/>
        <w:right w:val="none" w:sz="0" w:space="0" w:color="auto"/>
      </w:divBdr>
    </w:div>
    <w:div w:id="1212184455">
      <w:bodyDiv w:val="1"/>
      <w:marLeft w:val="0"/>
      <w:marRight w:val="0"/>
      <w:marTop w:val="0"/>
      <w:marBottom w:val="0"/>
      <w:divBdr>
        <w:top w:val="none" w:sz="0" w:space="0" w:color="auto"/>
        <w:left w:val="none" w:sz="0" w:space="0" w:color="auto"/>
        <w:bottom w:val="none" w:sz="0" w:space="0" w:color="auto"/>
        <w:right w:val="none" w:sz="0" w:space="0" w:color="auto"/>
      </w:divBdr>
    </w:div>
    <w:div w:id="1212644887">
      <w:bodyDiv w:val="1"/>
      <w:marLeft w:val="0"/>
      <w:marRight w:val="0"/>
      <w:marTop w:val="0"/>
      <w:marBottom w:val="0"/>
      <w:divBdr>
        <w:top w:val="none" w:sz="0" w:space="0" w:color="auto"/>
        <w:left w:val="none" w:sz="0" w:space="0" w:color="auto"/>
        <w:bottom w:val="none" w:sz="0" w:space="0" w:color="auto"/>
        <w:right w:val="none" w:sz="0" w:space="0" w:color="auto"/>
      </w:divBdr>
    </w:div>
    <w:div w:id="1212763280">
      <w:bodyDiv w:val="1"/>
      <w:marLeft w:val="0"/>
      <w:marRight w:val="0"/>
      <w:marTop w:val="0"/>
      <w:marBottom w:val="0"/>
      <w:divBdr>
        <w:top w:val="none" w:sz="0" w:space="0" w:color="auto"/>
        <w:left w:val="none" w:sz="0" w:space="0" w:color="auto"/>
        <w:bottom w:val="none" w:sz="0" w:space="0" w:color="auto"/>
        <w:right w:val="none" w:sz="0" w:space="0" w:color="auto"/>
      </w:divBdr>
    </w:div>
    <w:div w:id="1212766338">
      <w:bodyDiv w:val="1"/>
      <w:marLeft w:val="0"/>
      <w:marRight w:val="0"/>
      <w:marTop w:val="0"/>
      <w:marBottom w:val="0"/>
      <w:divBdr>
        <w:top w:val="none" w:sz="0" w:space="0" w:color="auto"/>
        <w:left w:val="none" w:sz="0" w:space="0" w:color="auto"/>
        <w:bottom w:val="none" w:sz="0" w:space="0" w:color="auto"/>
        <w:right w:val="none" w:sz="0" w:space="0" w:color="auto"/>
      </w:divBdr>
    </w:div>
    <w:div w:id="1212814763">
      <w:bodyDiv w:val="1"/>
      <w:marLeft w:val="0"/>
      <w:marRight w:val="0"/>
      <w:marTop w:val="0"/>
      <w:marBottom w:val="0"/>
      <w:divBdr>
        <w:top w:val="none" w:sz="0" w:space="0" w:color="auto"/>
        <w:left w:val="none" w:sz="0" w:space="0" w:color="auto"/>
        <w:bottom w:val="none" w:sz="0" w:space="0" w:color="auto"/>
        <w:right w:val="none" w:sz="0" w:space="0" w:color="auto"/>
      </w:divBdr>
    </w:div>
    <w:div w:id="1212959317">
      <w:bodyDiv w:val="1"/>
      <w:marLeft w:val="0"/>
      <w:marRight w:val="0"/>
      <w:marTop w:val="0"/>
      <w:marBottom w:val="0"/>
      <w:divBdr>
        <w:top w:val="none" w:sz="0" w:space="0" w:color="auto"/>
        <w:left w:val="none" w:sz="0" w:space="0" w:color="auto"/>
        <w:bottom w:val="none" w:sz="0" w:space="0" w:color="auto"/>
        <w:right w:val="none" w:sz="0" w:space="0" w:color="auto"/>
      </w:divBdr>
    </w:div>
    <w:div w:id="1213075328">
      <w:bodyDiv w:val="1"/>
      <w:marLeft w:val="0"/>
      <w:marRight w:val="0"/>
      <w:marTop w:val="0"/>
      <w:marBottom w:val="0"/>
      <w:divBdr>
        <w:top w:val="none" w:sz="0" w:space="0" w:color="auto"/>
        <w:left w:val="none" w:sz="0" w:space="0" w:color="auto"/>
        <w:bottom w:val="none" w:sz="0" w:space="0" w:color="auto"/>
        <w:right w:val="none" w:sz="0" w:space="0" w:color="auto"/>
      </w:divBdr>
    </w:div>
    <w:div w:id="1213228762">
      <w:bodyDiv w:val="1"/>
      <w:marLeft w:val="0"/>
      <w:marRight w:val="0"/>
      <w:marTop w:val="0"/>
      <w:marBottom w:val="0"/>
      <w:divBdr>
        <w:top w:val="none" w:sz="0" w:space="0" w:color="auto"/>
        <w:left w:val="none" w:sz="0" w:space="0" w:color="auto"/>
        <w:bottom w:val="none" w:sz="0" w:space="0" w:color="auto"/>
        <w:right w:val="none" w:sz="0" w:space="0" w:color="auto"/>
      </w:divBdr>
    </w:div>
    <w:div w:id="1213233619">
      <w:bodyDiv w:val="1"/>
      <w:marLeft w:val="0"/>
      <w:marRight w:val="0"/>
      <w:marTop w:val="0"/>
      <w:marBottom w:val="0"/>
      <w:divBdr>
        <w:top w:val="none" w:sz="0" w:space="0" w:color="auto"/>
        <w:left w:val="none" w:sz="0" w:space="0" w:color="auto"/>
        <w:bottom w:val="none" w:sz="0" w:space="0" w:color="auto"/>
        <w:right w:val="none" w:sz="0" w:space="0" w:color="auto"/>
      </w:divBdr>
    </w:div>
    <w:div w:id="1213344145">
      <w:bodyDiv w:val="1"/>
      <w:marLeft w:val="0"/>
      <w:marRight w:val="0"/>
      <w:marTop w:val="0"/>
      <w:marBottom w:val="0"/>
      <w:divBdr>
        <w:top w:val="none" w:sz="0" w:space="0" w:color="auto"/>
        <w:left w:val="none" w:sz="0" w:space="0" w:color="auto"/>
        <w:bottom w:val="none" w:sz="0" w:space="0" w:color="auto"/>
        <w:right w:val="none" w:sz="0" w:space="0" w:color="auto"/>
      </w:divBdr>
    </w:div>
    <w:div w:id="1213351546">
      <w:bodyDiv w:val="1"/>
      <w:marLeft w:val="0"/>
      <w:marRight w:val="0"/>
      <w:marTop w:val="0"/>
      <w:marBottom w:val="0"/>
      <w:divBdr>
        <w:top w:val="none" w:sz="0" w:space="0" w:color="auto"/>
        <w:left w:val="none" w:sz="0" w:space="0" w:color="auto"/>
        <w:bottom w:val="none" w:sz="0" w:space="0" w:color="auto"/>
        <w:right w:val="none" w:sz="0" w:space="0" w:color="auto"/>
      </w:divBdr>
    </w:div>
    <w:div w:id="1213469642">
      <w:bodyDiv w:val="1"/>
      <w:marLeft w:val="0"/>
      <w:marRight w:val="0"/>
      <w:marTop w:val="0"/>
      <w:marBottom w:val="0"/>
      <w:divBdr>
        <w:top w:val="none" w:sz="0" w:space="0" w:color="auto"/>
        <w:left w:val="none" w:sz="0" w:space="0" w:color="auto"/>
        <w:bottom w:val="none" w:sz="0" w:space="0" w:color="auto"/>
        <w:right w:val="none" w:sz="0" w:space="0" w:color="auto"/>
      </w:divBdr>
    </w:div>
    <w:div w:id="1213691507">
      <w:bodyDiv w:val="1"/>
      <w:marLeft w:val="0"/>
      <w:marRight w:val="0"/>
      <w:marTop w:val="0"/>
      <w:marBottom w:val="0"/>
      <w:divBdr>
        <w:top w:val="none" w:sz="0" w:space="0" w:color="auto"/>
        <w:left w:val="none" w:sz="0" w:space="0" w:color="auto"/>
        <w:bottom w:val="none" w:sz="0" w:space="0" w:color="auto"/>
        <w:right w:val="none" w:sz="0" w:space="0" w:color="auto"/>
      </w:divBdr>
    </w:div>
    <w:div w:id="1213812154">
      <w:bodyDiv w:val="1"/>
      <w:marLeft w:val="0"/>
      <w:marRight w:val="0"/>
      <w:marTop w:val="0"/>
      <w:marBottom w:val="0"/>
      <w:divBdr>
        <w:top w:val="none" w:sz="0" w:space="0" w:color="auto"/>
        <w:left w:val="none" w:sz="0" w:space="0" w:color="auto"/>
        <w:bottom w:val="none" w:sz="0" w:space="0" w:color="auto"/>
        <w:right w:val="none" w:sz="0" w:space="0" w:color="auto"/>
      </w:divBdr>
    </w:div>
    <w:div w:id="1213886115">
      <w:bodyDiv w:val="1"/>
      <w:marLeft w:val="0"/>
      <w:marRight w:val="0"/>
      <w:marTop w:val="0"/>
      <w:marBottom w:val="0"/>
      <w:divBdr>
        <w:top w:val="none" w:sz="0" w:space="0" w:color="auto"/>
        <w:left w:val="none" w:sz="0" w:space="0" w:color="auto"/>
        <w:bottom w:val="none" w:sz="0" w:space="0" w:color="auto"/>
        <w:right w:val="none" w:sz="0" w:space="0" w:color="auto"/>
      </w:divBdr>
    </w:div>
    <w:div w:id="1213926783">
      <w:bodyDiv w:val="1"/>
      <w:marLeft w:val="0"/>
      <w:marRight w:val="0"/>
      <w:marTop w:val="0"/>
      <w:marBottom w:val="0"/>
      <w:divBdr>
        <w:top w:val="none" w:sz="0" w:space="0" w:color="auto"/>
        <w:left w:val="none" w:sz="0" w:space="0" w:color="auto"/>
        <w:bottom w:val="none" w:sz="0" w:space="0" w:color="auto"/>
        <w:right w:val="none" w:sz="0" w:space="0" w:color="auto"/>
      </w:divBdr>
    </w:div>
    <w:div w:id="1214003890">
      <w:bodyDiv w:val="1"/>
      <w:marLeft w:val="0"/>
      <w:marRight w:val="0"/>
      <w:marTop w:val="0"/>
      <w:marBottom w:val="0"/>
      <w:divBdr>
        <w:top w:val="none" w:sz="0" w:space="0" w:color="auto"/>
        <w:left w:val="none" w:sz="0" w:space="0" w:color="auto"/>
        <w:bottom w:val="none" w:sz="0" w:space="0" w:color="auto"/>
        <w:right w:val="none" w:sz="0" w:space="0" w:color="auto"/>
      </w:divBdr>
    </w:div>
    <w:div w:id="1214152582">
      <w:bodyDiv w:val="1"/>
      <w:marLeft w:val="0"/>
      <w:marRight w:val="0"/>
      <w:marTop w:val="0"/>
      <w:marBottom w:val="0"/>
      <w:divBdr>
        <w:top w:val="none" w:sz="0" w:space="0" w:color="auto"/>
        <w:left w:val="none" w:sz="0" w:space="0" w:color="auto"/>
        <w:bottom w:val="none" w:sz="0" w:space="0" w:color="auto"/>
        <w:right w:val="none" w:sz="0" w:space="0" w:color="auto"/>
      </w:divBdr>
    </w:div>
    <w:div w:id="1214196563">
      <w:bodyDiv w:val="1"/>
      <w:marLeft w:val="0"/>
      <w:marRight w:val="0"/>
      <w:marTop w:val="0"/>
      <w:marBottom w:val="0"/>
      <w:divBdr>
        <w:top w:val="none" w:sz="0" w:space="0" w:color="auto"/>
        <w:left w:val="none" w:sz="0" w:space="0" w:color="auto"/>
        <w:bottom w:val="none" w:sz="0" w:space="0" w:color="auto"/>
        <w:right w:val="none" w:sz="0" w:space="0" w:color="auto"/>
      </w:divBdr>
    </w:div>
    <w:div w:id="1214199810">
      <w:bodyDiv w:val="1"/>
      <w:marLeft w:val="0"/>
      <w:marRight w:val="0"/>
      <w:marTop w:val="0"/>
      <w:marBottom w:val="0"/>
      <w:divBdr>
        <w:top w:val="none" w:sz="0" w:space="0" w:color="auto"/>
        <w:left w:val="none" w:sz="0" w:space="0" w:color="auto"/>
        <w:bottom w:val="none" w:sz="0" w:space="0" w:color="auto"/>
        <w:right w:val="none" w:sz="0" w:space="0" w:color="auto"/>
      </w:divBdr>
    </w:div>
    <w:div w:id="1214275960">
      <w:bodyDiv w:val="1"/>
      <w:marLeft w:val="0"/>
      <w:marRight w:val="0"/>
      <w:marTop w:val="0"/>
      <w:marBottom w:val="0"/>
      <w:divBdr>
        <w:top w:val="none" w:sz="0" w:space="0" w:color="auto"/>
        <w:left w:val="none" w:sz="0" w:space="0" w:color="auto"/>
        <w:bottom w:val="none" w:sz="0" w:space="0" w:color="auto"/>
        <w:right w:val="none" w:sz="0" w:space="0" w:color="auto"/>
      </w:divBdr>
    </w:div>
    <w:div w:id="1214392220">
      <w:bodyDiv w:val="1"/>
      <w:marLeft w:val="0"/>
      <w:marRight w:val="0"/>
      <w:marTop w:val="0"/>
      <w:marBottom w:val="0"/>
      <w:divBdr>
        <w:top w:val="none" w:sz="0" w:space="0" w:color="auto"/>
        <w:left w:val="none" w:sz="0" w:space="0" w:color="auto"/>
        <w:bottom w:val="none" w:sz="0" w:space="0" w:color="auto"/>
        <w:right w:val="none" w:sz="0" w:space="0" w:color="auto"/>
      </w:divBdr>
    </w:div>
    <w:div w:id="1214462286">
      <w:bodyDiv w:val="1"/>
      <w:marLeft w:val="0"/>
      <w:marRight w:val="0"/>
      <w:marTop w:val="0"/>
      <w:marBottom w:val="0"/>
      <w:divBdr>
        <w:top w:val="none" w:sz="0" w:space="0" w:color="auto"/>
        <w:left w:val="none" w:sz="0" w:space="0" w:color="auto"/>
        <w:bottom w:val="none" w:sz="0" w:space="0" w:color="auto"/>
        <w:right w:val="none" w:sz="0" w:space="0" w:color="auto"/>
      </w:divBdr>
    </w:div>
    <w:div w:id="1214466055">
      <w:bodyDiv w:val="1"/>
      <w:marLeft w:val="0"/>
      <w:marRight w:val="0"/>
      <w:marTop w:val="0"/>
      <w:marBottom w:val="0"/>
      <w:divBdr>
        <w:top w:val="none" w:sz="0" w:space="0" w:color="auto"/>
        <w:left w:val="none" w:sz="0" w:space="0" w:color="auto"/>
        <w:bottom w:val="none" w:sz="0" w:space="0" w:color="auto"/>
        <w:right w:val="none" w:sz="0" w:space="0" w:color="auto"/>
      </w:divBdr>
    </w:div>
    <w:div w:id="1214778503">
      <w:bodyDiv w:val="1"/>
      <w:marLeft w:val="0"/>
      <w:marRight w:val="0"/>
      <w:marTop w:val="0"/>
      <w:marBottom w:val="0"/>
      <w:divBdr>
        <w:top w:val="none" w:sz="0" w:space="0" w:color="auto"/>
        <w:left w:val="none" w:sz="0" w:space="0" w:color="auto"/>
        <w:bottom w:val="none" w:sz="0" w:space="0" w:color="auto"/>
        <w:right w:val="none" w:sz="0" w:space="0" w:color="auto"/>
      </w:divBdr>
    </w:div>
    <w:div w:id="1214804455">
      <w:bodyDiv w:val="1"/>
      <w:marLeft w:val="0"/>
      <w:marRight w:val="0"/>
      <w:marTop w:val="0"/>
      <w:marBottom w:val="0"/>
      <w:divBdr>
        <w:top w:val="none" w:sz="0" w:space="0" w:color="auto"/>
        <w:left w:val="none" w:sz="0" w:space="0" w:color="auto"/>
        <w:bottom w:val="none" w:sz="0" w:space="0" w:color="auto"/>
        <w:right w:val="none" w:sz="0" w:space="0" w:color="auto"/>
      </w:divBdr>
    </w:div>
    <w:div w:id="1214849665">
      <w:bodyDiv w:val="1"/>
      <w:marLeft w:val="0"/>
      <w:marRight w:val="0"/>
      <w:marTop w:val="0"/>
      <w:marBottom w:val="0"/>
      <w:divBdr>
        <w:top w:val="none" w:sz="0" w:space="0" w:color="auto"/>
        <w:left w:val="none" w:sz="0" w:space="0" w:color="auto"/>
        <w:bottom w:val="none" w:sz="0" w:space="0" w:color="auto"/>
        <w:right w:val="none" w:sz="0" w:space="0" w:color="auto"/>
      </w:divBdr>
    </w:div>
    <w:div w:id="1215003284">
      <w:bodyDiv w:val="1"/>
      <w:marLeft w:val="0"/>
      <w:marRight w:val="0"/>
      <w:marTop w:val="0"/>
      <w:marBottom w:val="0"/>
      <w:divBdr>
        <w:top w:val="none" w:sz="0" w:space="0" w:color="auto"/>
        <w:left w:val="none" w:sz="0" w:space="0" w:color="auto"/>
        <w:bottom w:val="none" w:sz="0" w:space="0" w:color="auto"/>
        <w:right w:val="none" w:sz="0" w:space="0" w:color="auto"/>
      </w:divBdr>
    </w:div>
    <w:div w:id="1215241503">
      <w:bodyDiv w:val="1"/>
      <w:marLeft w:val="0"/>
      <w:marRight w:val="0"/>
      <w:marTop w:val="0"/>
      <w:marBottom w:val="0"/>
      <w:divBdr>
        <w:top w:val="none" w:sz="0" w:space="0" w:color="auto"/>
        <w:left w:val="none" w:sz="0" w:space="0" w:color="auto"/>
        <w:bottom w:val="none" w:sz="0" w:space="0" w:color="auto"/>
        <w:right w:val="none" w:sz="0" w:space="0" w:color="auto"/>
      </w:divBdr>
    </w:div>
    <w:div w:id="1215508795">
      <w:bodyDiv w:val="1"/>
      <w:marLeft w:val="0"/>
      <w:marRight w:val="0"/>
      <w:marTop w:val="0"/>
      <w:marBottom w:val="0"/>
      <w:divBdr>
        <w:top w:val="none" w:sz="0" w:space="0" w:color="auto"/>
        <w:left w:val="none" w:sz="0" w:space="0" w:color="auto"/>
        <w:bottom w:val="none" w:sz="0" w:space="0" w:color="auto"/>
        <w:right w:val="none" w:sz="0" w:space="0" w:color="auto"/>
      </w:divBdr>
    </w:div>
    <w:div w:id="1215698940">
      <w:bodyDiv w:val="1"/>
      <w:marLeft w:val="0"/>
      <w:marRight w:val="0"/>
      <w:marTop w:val="0"/>
      <w:marBottom w:val="0"/>
      <w:divBdr>
        <w:top w:val="none" w:sz="0" w:space="0" w:color="auto"/>
        <w:left w:val="none" w:sz="0" w:space="0" w:color="auto"/>
        <w:bottom w:val="none" w:sz="0" w:space="0" w:color="auto"/>
        <w:right w:val="none" w:sz="0" w:space="0" w:color="auto"/>
      </w:divBdr>
    </w:div>
    <w:div w:id="1215702841">
      <w:bodyDiv w:val="1"/>
      <w:marLeft w:val="0"/>
      <w:marRight w:val="0"/>
      <w:marTop w:val="0"/>
      <w:marBottom w:val="0"/>
      <w:divBdr>
        <w:top w:val="none" w:sz="0" w:space="0" w:color="auto"/>
        <w:left w:val="none" w:sz="0" w:space="0" w:color="auto"/>
        <w:bottom w:val="none" w:sz="0" w:space="0" w:color="auto"/>
        <w:right w:val="none" w:sz="0" w:space="0" w:color="auto"/>
      </w:divBdr>
    </w:div>
    <w:div w:id="1215895495">
      <w:bodyDiv w:val="1"/>
      <w:marLeft w:val="0"/>
      <w:marRight w:val="0"/>
      <w:marTop w:val="0"/>
      <w:marBottom w:val="0"/>
      <w:divBdr>
        <w:top w:val="none" w:sz="0" w:space="0" w:color="auto"/>
        <w:left w:val="none" w:sz="0" w:space="0" w:color="auto"/>
        <w:bottom w:val="none" w:sz="0" w:space="0" w:color="auto"/>
        <w:right w:val="none" w:sz="0" w:space="0" w:color="auto"/>
      </w:divBdr>
    </w:div>
    <w:div w:id="1216116280">
      <w:bodyDiv w:val="1"/>
      <w:marLeft w:val="0"/>
      <w:marRight w:val="0"/>
      <w:marTop w:val="0"/>
      <w:marBottom w:val="0"/>
      <w:divBdr>
        <w:top w:val="none" w:sz="0" w:space="0" w:color="auto"/>
        <w:left w:val="none" w:sz="0" w:space="0" w:color="auto"/>
        <w:bottom w:val="none" w:sz="0" w:space="0" w:color="auto"/>
        <w:right w:val="none" w:sz="0" w:space="0" w:color="auto"/>
      </w:divBdr>
    </w:div>
    <w:div w:id="1216117139">
      <w:bodyDiv w:val="1"/>
      <w:marLeft w:val="0"/>
      <w:marRight w:val="0"/>
      <w:marTop w:val="0"/>
      <w:marBottom w:val="0"/>
      <w:divBdr>
        <w:top w:val="none" w:sz="0" w:space="0" w:color="auto"/>
        <w:left w:val="none" w:sz="0" w:space="0" w:color="auto"/>
        <w:bottom w:val="none" w:sz="0" w:space="0" w:color="auto"/>
        <w:right w:val="none" w:sz="0" w:space="0" w:color="auto"/>
      </w:divBdr>
    </w:div>
    <w:div w:id="1216164678">
      <w:bodyDiv w:val="1"/>
      <w:marLeft w:val="0"/>
      <w:marRight w:val="0"/>
      <w:marTop w:val="0"/>
      <w:marBottom w:val="0"/>
      <w:divBdr>
        <w:top w:val="none" w:sz="0" w:space="0" w:color="auto"/>
        <w:left w:val="none" w:sz="0" w:space="0" w:color="auto"/>
        <w:bottom w:val="none" w:sz="0" w:space="0" w:color="auto"/>
        <w:right w:val="none" w:sz="0" w:space="0" w:color="auto"/>
      </w:divBdr>
    </w:div>
    <w:div w:id="1216237299">
      <w:bodyDiv w:val="1"/>
      <w:marLeft w:val="0"/>
      <w:marRight w:val="0"/>
      <w:marTop w:val="0"/>
      <w:marBottom w:val="0"/>
      <w:divBdr>
        <w:top w:val="none" w:sz="0" w:space="0" w:color="auto"/>
        <w:left w:val="none" w:sz="0" w:space="0" w:color="auto"/>
        <w:bottom w:val="none" w:sz="0" w:space="0" w:color="auto"/>
        <w:right w:val="none" w:sz="0" w:space="0" w:color="auto"/>
      </w:divBdr>
    </w:div>
    <w:div w:id="1216237978">
      <w:bodyDiv w:val="1"/>
      <w:marLeft w:val="0"/>
      <w:marRight w:val="0"/>
      <w:marTop w:val="0"/>
      <w:marBottom w:val="0"/>
      <w:divBdr>
        <w:top w:val="none" w:sz="0" w:space="0" w:color="auto"/>
        <w:left w:val="none" w:sz="0" w:space="0" w:color="auto"/>
        <w:bottom w:val="none" w:sz="0" w:space="0" w:color="auto"/>
        <w:right w:val="none" w:sz="0" w:space="0" w:color="auto"/>
      </w:divBdr>
    </w:div>
    <w:div w:id="1216314074">
      <w:bodyDiv w:val="1"/>
      <w:marLeft w:val="0"/>
      <w:marRight w:val="0"/>
      <w:marTop w:val="0"/>
      <w:marBottom w:val="0"/>
      <w:divBdr>
        <w:top w:val="none" w:sz="0" w:space="0" w:color="auto"/>
        <w:left w:val="none" w:sz="0" w:space="0" w:color="auto"/>
        <w:bottom w:val="none" w:sz="0" w:space="0" w:color="auto"/>
        <w:right w:val="none" w:sz="0" w:space="0" w:color="auto"/>
      </w:divBdr>
    </w:div>
    <w:div w:id="1216546266">
      <w:bodyDiv w:val="1"/>
      <w:marLeft w:val="0"/>
      <w:marRight w:val="0"/>
      <w:marTop w:val="0"/>
      <w:marBottom w:val="0"/>
      <w:divBdr>
        <w:top w:val="none" w:sz="0" w:space="0" w:color="auto"/>
        <w:left w:val="none" w:sz="0" w:space="0" w:color="auto"/>
        <w:bottom w:val="none" w:sz="0" w:space="0" w:color="auto"/>
        <w:right w:val="none" w:sz="0" w:space="0" w:color="auto"/>
      </w:divBdr>
    </w:div>
    <w:div w:id="1216697187">
      <w:bodyDiv w:val="1"/>
      <w:marLeft w:val="0"/>
      <w:marRight w:val="0"/>
      <w:marTop w:val="0"/>
      <w:marBottom w:val="0"/>
      <w:divBdr>
        <w:top w:val="none" w:sz="0" w:space="0" w:color="auto"/>
        <w:left w:val="none" w:sz="0" w:space="0" w:color="auto"/>
        <w:bottom w:val="none" w:sz="0" w:space="0" w:color="auto"/>
        <w:right w:val="none" w:sz="0" w:space="0" w:color="auto"/>
      </w:divBdr>
    </w:div>
    <w:div w:id="1216815985">
      <w:bodyDiv w:val="1"/>
      <w:marLeft w:val="0"/>
      <w:marRight w:val="0"/>
      <w:marTop w:val="0"/>
      <w:marBottom w:val="0"/>
      <w:divBdr>
        <w:top w:val="none" w:sz="0" w:space="0" w:color="auto"/>
        <w:left w:val="none" w:sz="0" w:space="0" w:color="auto"/>
        <w:bottom w:val="none" w:sz="0" w:space="0" w:color="auto"/>
        <w:right w:val="none" w:sz="0" w:space="0" w:color="auto"/>
      </w:divBdr>
    </w:div>
    <w:div w:id="1216820170">
      <w:bodyDiv w:val="1"/>
      <w:marLeft w:val="0"/>
      <w:marRight w:val="0"/>
      <w:marTop w:val="0"/>
      <w:marBottom w:val="0"/>
      <w:divBdr>
        <w:top w:val="none" w:sz="0" w:space="0" w:color="auto"/>
        <w:left w:val="none" w:sz="0" w:space="0" w:color="auto"/>
        <w:bottom w:val="none" w:sz="0" w:space="0" w:color="auto"/>
        <w:right w:val="none" w:sz="0" w:space="0" w:color="auto"/>
      </w:divBdr>
    </w:div>
    <w:div w:id="1216892833">
      <w:bodyDiv w:val="1"/>
      <w:marLeft w:val="0"/>
      <w:marRight w:val="0"/>
      <w:marTop w:val="0"/>
      <w:marBottom w:val="0"/>
      <w:divBdr>
        <w:top w:val="none" w:sz="0" w:space="0" w:color="auto"/>
        <w:left w:val="none" w:sz="0" w:space="0" w:color="auto"/>
        <w:bottom w:val="none" w:sz="0" w:space="0" w:color="auto"/>
        <w:right w:val="none" w:sz="0" w:space="0" w:color="auto"/>
      </w:divBdr>
    </w:div>
    <w:div w:id="1216895889">
      <w:bodyDiv w:val="1"/>
      <w:marLeft w:val="0"/>
      <w:marRight w:val="0"/>
      <w:marTop w:val="0"/>
      <w:marBottom w:val="0"/>
      <w:divBdr>
        <w:top w:val="none" w:sz="0" w:space="0" w:color="auto"/>
        <w:left w:val="none" w:sz="0" w:space="0" w:color="auto"/>
        <w:bottom w:val="none" w:sz="0" w:space="0" w:color="auto"/>
        <w:right w:val="none" w:sz="0" w:space="0" w:color="auto"/>
      </w:divBdr>
    </w:div>
    <w:div w:id="1216968194">
      <w:bodyDiv w:val="1"/>
      <w:marLeft w:val="0"/>
      <w:marRight w:val="0"/>
      <w:marTop w:val="0"/>
      <w:marBottom w:val="0"/>
      <w:divBdr>
        <w:top w:val="none" w:sz="0" w:space="0" w:color="auto"/>
        <w:left w:val="none" w:sz="0" w:space="0" w:color="auto"/>
        <w:bottom w:val="none" w:sz="0" w:space="0" w:color="auto"/>
        <w:right w:val="none" w:sz="0" w:space="0" w:color="auto"/>
      </w:divBdr>
    </w:div>
    <w:div w:id="1216969612">
      <w:bodyDiv w:val="1"/>
      <w:marLeft w:val="0"/>
      <w:marRight w:val="0"/>
      <w:marTop w:val="0"/>
      <w:marBottom w:val="0"/>
      <w:divBdr>
        <w:top w:val="none" w:sz="0" w:space="0" w:color="auto"/>
        <w:left w:val="none" w:sz="0" w:space="0" w:color="auto"/>
        <w:bottom w:val="none" w:sz="0" w:space="0" w:color="auto"/>
        <w:right w:val="none" w:sz="0" w:space="0" w:color="auto"/>
      </w:divBdr>
    </w:div>
    <w:div w:id="1217010746">
      <w:bodyDiv w:val="1"/>
      <w:marLeft w:val="0"/>
      <w:marRight w:val="0"/>
      <w:marTop w:val="0"/>
      <w:marBottom w:val="0"/>
      <w:divBdr>
        <w:top w:val="none" w:sz="0" w:space="0" w:color="auto"/>
        <w:left w:val="none" w:sz="0" w:space="0" w:color="auto"/>
        <w:bottom w:val="none" w:sz="0" w:space="0" w:color="auto"/>
        <w:right w:val="none" w:sz="0" w:space="0" w:color="auto"/>
      </w:divBdr>
    </w:div>
    <w:div w:id="1217011900">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7593939">
      <w:bodyDiv w:val="1"/>
      <w:marLeft w:val="0"/>
      <w:marRight w:val="0"/>
      <w:marTop w:val="0"/>
      <w:marBottom w:val="0"/>
      <w:divBdr>
        <w:top w:val="none" w:sz="0" w:space="0" w:color="auto"/>
        <w:left w:val="none" w:sz="0" w:space="0" w:color="auto"/>
        <w:bottom w:val="none" w:sz="0" w:space="0" w:color="auto"/>
        <w:right w:val="none" w:sz="0" w:space="0" w:color="auto"/>
      </w:divBdr>
    </w:div>
    <w:div w:id="1217594826">
      <w:bodyDiv w:val="1"/>
      <w:marLeft w:val="0"/>
      <w:marRight w:val="0"/>
      <w:marTop w:val="0"/>
      <w:marBottom w:val="0"/>
      <w:divBdr>
        <w:top w:val="none" w:sz="0" w:space="0" w:color="auto"/>
        <w:left w:val="none" w:sz="0" w:space="0" w:color="auto"/>
        <w:bottom w:val="none" w:sz="0" w:space="0" w:color="auto"/>
        <w:right w:val="none" w:sz="0" w:space="0" w:color="auto"/>
      </w:divBdr>
    </w:div>
    <w:div w:id="1217663847">
      <w:bodyDiv w:val="1"/>
      <w:marLeft w:val="0"/>
      <w:marRight w:val="0"/>
      <w:marTop w:val="0"/>
      <w:marBottom w:val="0"/>
      <w:divBdr>
        <w:top w:val="none" w:sz="0" w:space="0" w:color="auto"/>
        <w:left w:val="none" w:sz="0" w:space="0" w:color="auto"/>
        <w:bottom w:val="none" w:sz="0" w:space="0" w:color="auto"/>
        <w:right w:val="none" w:sz="0" w:space="0" w:color="auto"/>
      </w:divBdr>
    </w:div>
    <w:div w:id="1217819821">
      <w:bodyDiv w:val="1"/>
      <w:marLeft w:val="0"/>
      <w:marRight w:val="0"/>
      <w:marTop w:val="0"/>
      <w:marBottom w:val="0"/>
      <w:divBdr>
        <w:top w:val="none" w:sz="0" w:space="0" w:color="auto"/>
        <w:left w:val="none" w:sz="0" w:space="0" w:color="auto"/>
        <w:bottom w:val="none" w:sz="0" w:space="0" w:color="auto"/>
        <w:right w:val="none" w:sz="0" w:space="0" w:color="auto"/>
      </w:divBdr>
    </w:div>
    <w:div w:id="1217856188">
      <w:bodyDiv w:val="1"/>
      <w:marLeft w:val="0"/>
      <w:marRight w:val="0"/>
      <w:marTop w:val="0"/>
      <w:marBottom w:val="0"/>
      <w:divBdr>
        <w:top w:val="none" w:sz="0" w:space="0" w:color="auto"/>
        <w:left w:val="none" w:sz="0" w:space="0" w:color="auto"/>
        <w:bottom w:val="none" w:sz="0" w:space="0" w:color="auto"/>
        <w:right w:val="none" w:sz="0" w:space="0" w:color="auto"/>
      </w:divBdr>
    </w:div>
    <w:div w:id="1217938166">
      <w:bodyDiv w:val="1"/>
      <w:marLeft w:val="0"/>
      <w:marRight w:val="0"/>
      <w:marTop w:val="0"/>
      <w:marBottom w:val="0"/>
      <w:divBdr>
        <w:top w:val="none" w:sz="0" w:space="0" w:color="auto"/>
        <w:left w:val="none" w:sz="0" w:space="0" w:color="auto"/>
        <w:bottom w:val="none" w:sz="0" w:space="0" w:color="auto"/>
        <w:right w:val="none" w:sz="0" w:space="0" w:color="auto"/>
      </w:divBdr>
    </w:div>
    <w:div w:id="1217939011">
      <w:bodyDiv w:val="1"/>
      <w:marLeft w:val="0"/>
      <w:marRight w:val="0"/>
      <w:marTop w:val="0"/>
      <w:marBottom w:val="0"/>
      <w:divBdr>
        <w:top w:val="none" w:sz="0" w:space="0" w:color="auto"/>
        <w:left w:val="none" w:sz="0" w:space="0" w:color="auto"/>
        <w:bottom w:val="none" w:sz="0" w:space="0" w:color="auto"/>
        <w:right w:val="none" w:sz="0" w:space="0" w:color="auto"/>
      </w:divBdr>
    </w:div>
    <w:div w:id="1218200604">
      <w:bodyDiv w:val="1"/>
      <w:marLeft w:val="0"/>
      <w:marRight w:val="0"/>
      <w:marTop w:val="0"/>
      <w:marBottom w:val="0"/>
      <w:divBdr>
        <w:top w:val="none" w:sz="0" w:space="0" w:color="auto"/>
        <w:left w:val="none" w:sz="0" w:space="0" w:color="auto"/>
        <w:bottom w:val="none" w:sz="0" w:space="0" w:color="auto"/>
        <w:right w:val="none" w:sz="0" w:space="0" w:color="auto"/>
      </w:divBdr>
    </w:div>
    <w:div w:id="1218203023">
      <w:bodyDiv w:val="1"/>
      <w:marLeft w:val="0"/>
      <w:marRight w:val="0"/>
      <w:marTop w:val="0"/>
      <w:marBottom w:val="0"/>
      <w:divBdr>
        <w:top w:val="none" w:sz="0" w:space="0" w:color="auto"/>
        <w:left w:val="none" w:sz="0" w:space="0" w:color="auto"/>
        <w:bottom w:val="none" w:sz="0" w:space="0" w:color="auto"/>
        <w:right w:val="none" w:sz="0" w:space="0" w:color="auto"/>
      </w:divBdr>
    </w:div>
    <w:div w:id="1218587336">
      <w:bodyDiv w:val="1"/>
      <w:marLeft w:val="0"/>
      <w:marRight w:val="0"/>
      <w:marTop w:val="0"/>
      <w:marBottom w:val="0"/>
      <w:divBdr>
        <w:top w:val="none" w:sz="0" w:space="0" w:color="auto"/>
        <w:left w:val="none" w:sz="0" w:space="0" w:color="auto"/>
        <w:bottom w:val="none" w:sz="0" w:space="0" w:color="auto"/>
        <w:right w:val="none" w:sz="0" w:space="0" w:color="auto"/>
      </w:divBdr>
    </w:div>
    <w:div w:id="1218665278">
      <w:bodyDiv w:val="1"/>
      <w:marLeft w:val="0"/>
      <w:marRight w:val="0"/>
      <w:marTop w:val="0"/>
      <w:marBottom w:val="0"/>
      <w:divBdr>
        <w:top w:val="none" w:sz="0" w:space="0" w:color="auto"/>
        <w:left w:val="none" w:sz="0" w:space="0" w:color="auto"/>
        <w:bottom w:val="none" w:sz="0" w:space="0" w:color="auto"/>
        <w:right w:val="none" w:sz="0" w:space="0" w:color="auto"/>
      </w:divBdr>
    </w:div>
    <w:div w:id="1218930134">
      <w:bodyDiv w:val="1"/>
      <w:marLeft w:val="0"/>
      <w:marRight w:val="0"/>
      <w:marTop w:val="0"/>
      <w:marBottom w:val="0"/>
      <w:divBdr>
        <w:top w:val="none" w:sz="0" w:space="0" w:color="auto"/>
        <w:left w:val="none" w:sz="0" w:space="0" w:color="auto"/>
        <w:bottom w:val="none" w:sz="0" w:space="0" w:color="auto"/>
        <w:right w:val="none" w:sz="0" w:space="0" w:color="auto"/>
      </w:divBdr>
    </w:div>
    <w:div w:id="1219130645">
      <w:bodyDiv w:val="1"/>
      <w:marLeft w:val="0"/>
      <w:marRight w:val="0"/>
      <w:marTop w:val="0"/>
      <w:marBottom w:val="0"/>
      <w:divBdr>
        <w:top w:val="none" w:sz="0" w:space="0" w:color="auto"/>
        <w:left w:val="none" w:sz="0" w:space="0" w:color="auto"/>
        <w:bottom w:val="none" w:sz="0" w:space="0" w:color="auto"/>
        <w:right w:val="none" w:sz="0" w:space="0" w:color="auto"/>
      </w:divBdr>
    </w:div>
    <w:div w:id="1219366071">
      <w:bodyDiv w:val="1"/>
      <w:marLeft w:val="0"/>
      <w:marRight w:val="0"/>
      <w:marTop w:val="0"/>
      <w:marBottom w:val="0"/>
      <w:divBdr>
        <w:top w:val="none" w:sz="0" w:space="0" w:color="auto"/>
        <w:left w:val="none" w:sz="0" w:space="0" w:color="auto"/>
        <w:bottom w:val="none" w:sz="0" w:space="0" w:color="auto"/>
        <w:right w:val="none" w:sz="0" w:space="0" w:color="auto"/>
      </w:divBdr>
    </w:div>
    <w:div w:id="1219631725">
      <w:bodyDiv w:val="1"/>
      <w:marLeft w:val="0"/>
      <w:marRight w:val="0"/>
      <w:marTop w:val="0"/>
      <w:marBottom w:val="0"/>
      <w:divBdr>
        <w:top w:val="none" w:sz="0" w:space="0" w:color="auto"/>
        <w:left w:val="none" w:sz="0" w:space="0" w:color="auto"/>
        <w:bottom w:val="none" w:sz="0" w:space="0" w:color="auto"/>
        <w:right w:val="none" w:sz="0" w:space="0" w:color="auto"/>
      </w:divBdr>
    </w:div>
    <w:div w:id="1219702410">
      <w:bodyDiv w:val="1"/>
      <w:marLeft w:val="0"/>
      <w:marRight w:val="0"/>
      <w:marTop w:val="0"/>
      <w:marBottom w:val="0"/>
      <w:divBdr>
        <w:top w:val="none" w:sz="0" w:space="0" w:color="auto"/>
        <w:left w:val="none" w:sz="0" w:space="0" w:color="auto"/>
        <w:bottom w:val="none" w:sz="0" w:space="0" w:color="auto"/>
        <w:right w:val="none" w:sz="0" w:space="0" w:color="auto"/>
      </w:divBdr>
    </w:div>
    <w:div w:id="1219822313">
      <w:bodyDiv w:val="1"/>
      <w:marLeft w:val="0"/>
      <w:marRight w:val="0"/>
      <w:marTop w:val="0"/>
      <w:marBottom w:val="0"/>
      <w:divBdr>
        <w:top w:val="none" w:sz="0" w:space="0" w:color="auto"/>
        <w:left w:val="none" w:sz="0" w:space="0" w:color="auto"/>
        <w:bottom w:val="none" w:sz="0" w:space="0" w:color="auto"/>
        <w:right w:val="none" w:sz="0" w:space="0" w:color="auto"/>
      </w:divBdr>
    </w:div>
    <w:div w:id="1219824674">
      <w:bodyDiv w:val="1"/>
      <w:marLeft w:val="0"/>
      <w:marRight w:val="0"/>
      <w:marTop w:val="0"/>
      <w:marBottom w:val="0"/>
      <w:divBdr>
        <w:top w:val="none" w:sz="0" w:space="0" w:color="auto"/>
        <w:left w:val="none" w:sz="0" w:space="0" w:color="auto"/>
        <w:bottom w:val="none" w:sz="0" w:space="0" w:color="auto"/>
        <w:right w:val="none" w:sz="0" w:space="0" w:color="auto"/>
      </w:divBdr>
    </w:div>
    <w:div w:id="1220021272">
      <w:bodyDiv w:val="1"/>
      <w:marLeft w:val="0"/>
      <w:marRight w:val="0"/>
      <w:marTop w:val="0"/>
      <w:marBottom w:val="0"/>
      <w:divBdr>
        <w:top w:val="none" w:sz="0" w:space="0" w:color="auto"/>
        <w:left w:val="none" w:sz="0" w:space="0" w:color="auto"/>
        <w:bottom w:val="none" w:sz="0" w:space="0" w:color="auto"/>
        <w:right w:val="none" w:sz="0" w:space="0" w:color="auto"/>
      </w:divBdr>
    </w:div>
    <w:div w:id="1220045931">
      <w:bodyDiv w:val="1"/>
      <w:marLeft w:val="0"/>
      <w:marRight w:val="0"/>
      <w:marTop w:val="0"/>
      <w:marBottom w:val="0"/>
      <w:divBdr>
        <w:top w:val="none" w:sz="0" w:space="0" w:color="auto"/>
        <w:left w:val="none" w:sz="0" w:space="0" w:color="auto"/>
        <w:bottom w:val="none" w:sz="0" w:space="0" w:color="auto"/>
        <w:right w:val="none" w:sz="0" w:space="0" w:color="auto"/>
      </w:divBdr>
    </w:div>
    <w:div w:id="1220896220">
      <w:bodyDiv w:val="1"/>
      <w:marLeft w:val="0"/>
      <w:marRight w:val="0"/>
      <w:marTop w:val="0"/>
      <w:marBottom w:val="0"/>
      <w:divBdr>
        <w:top w:val="none" w:sz="0" w:space="0" w:color="auto"/>
        <w:left w:val="none" w:sz="0" w:space="0" w:color="auto"/>
        <w:bottom w:val="none" w:sz="0" w:space="0" w:color="auto"/>
        <w:right w:val="none" w:sz="0" w:space="0" w:color="auto"/>
      </w:divBdr>
    </w:div>
    <w:div w:id="1220939267">
      <w:bodyDiv w:val="1"/>
      <w:marLeft w:val="0"/>
      <w:marRight w:val="0"/>
      <w:marTop w:val="0"/>
      <w:marBottom w:val="0"/>
      <w:divBdr>
        <w:top w:val="none" w:sz="0" w:space="0" w:color="auto"/>
        <w:left w:val="none" w:sz="0" w:space="0" w:color="auto"/>
        <w:bottom w:val="none" w:sz="0" w:space="0" w:color="auto"/>
        <w:right w:val="none" w:sz="0" w:space="0" w:color="auto"/>
      </w:divBdr>
    </w:div>
    <w:div w:id="1221017893">
      <w:bodyDiv w:val="1"/>
      <w:marLeft w:val="0"/>
      <w:marRight w:val="0"/>
      <w:marTop w:val="0"/>
      <w:marBottom w:val="0"/>
      <w:divBdr>
        <w:top w:val="none" w:sz="0" w:space="0" w:color="auto"/>
        <w:left w:val="none" w:sz="0" w:space="0" w:color="auto"/>
        <w:bottom w:val="none" w:sz="0" w:space="0" w:color="auto"/>
        <w:right w:val="none" w:sz="0" w:space="0" w:color="auto"/>
      </w:divBdr>
    </w:div>
    <w:div w:id="1221134272">
      <w:bodyDiv w:val="1"/>
      <w:marLeft w:val="0"/>
      <w:marRight w:val="0"/>
      <w:marTop w:val="0"/>
      <w:marBottom w:val="0"/>
      <w:divBdr>
        <w:top w:val="none" w:sz="0" w:space="0" w:color="auto"/>
        <w:left w:val="none" w:sz="0" w:space="0" w:color="auto"/>
        <w:bottom w:val="none" w:sz="0" w:space="0" w:color="auto"/>
        <w:right w:val="none" w:sz="0" w:space="0" w:color="auto"/>
      </w:divBdr>
    </w:div>
    <w:div w:id="1221329051">
      <w:bodyDiv w:val="1"/>
      <w:marLeft w:val="0"/>
      <w:marRight w:val="0"/>
      <w:marTop w:val="0"/>
      <w:marBottom w:val="0"/>
      <w:divBdr>
        <w:top w:val="none" w:sz="0" w:space="0" w:color="auto"/>
        <w:left w:val="none" w:sz="0" w:space="0" w:color="auto"/>
        <w:bottom w:val="none" w:sz="0" w:space="0" w:color="auto"/>
        <w:right w:val="none" w:sz="0" w:space="0" w:color="auto"/>
      </w:divBdr>
    </w:div>
    <w:div w:id="1221358404">
      <w:bodyDiv w:val="1"/>
      <w:marLeft w:val="0"/>
      <w:marRight w:val="0"/>
      <w:marTop w:val="0"/>
      <w:marBottom w:val="0"/>
      <w:divBdr>
        <w:top w:val="none" w:sz="0" w:space="0" w:color="auto"/>
        <w:left w:val="none" w:sz="0" w:space="0" w:color="auto"/>
        <w:bottom w:val="none" w:sz="0" w:space="0" w:color="auto"/>
        <w:right w:val="none" w:sz="0" w:space="0" w:color="auto"/>
      </w:divBdr>
    </w:div>
    <w:div w:id="1221400051">
      <w:bodyDiv w:val="1"/>
      <w:marLeft w:val="0"/>
      <w:marRight w:val="0"/>
      <w:marTop w:val="0"/>
      <w:marBottom w:val="0"/>
      <w:divBdr>
        <w:top w:val="none" w:sz="0" w:space="0" w:color="auto"/>
        <w:left w:val="none" w:sz="0" w:space="0" w:color="auto"/>
        <w:bottom w:val="none" w:sz="0" w:space="0" w:color="auto"/>
        <w:right w:val="none" w:sz="0" w:space="0" w:color="auto"/>
      </w:divBdr>
    </w:div>
    <w:div w:id="1221401991">
      <w:bodyDiv w:val="1"/>
      <w:marLeft w:val="0"/>
      <w:marRight w:val="0"/>
      <w:marTop w:val="0"/>
      <w:marBottom w:val="0"/>
      <w:divBdr>
        <w:top w:val="none" w:sz="0" w:space="0" w:color="auto"/>
        <w:left w:val="none" w:sz="0" w:space="0" w:color="auto"/>
        <w:bottom w:val="none" w:sz="0" w:space="0" w:color="auto"/>
        <w:right w:val="none" w:sz="0" w:space="0" w:color="auto"/>
      </w:divBdr>
    </w:div>
    <w:div w:id="1221403554">
      <w:bodyDiv w:val="1"/>
      <w:marLeft w:val="0"/>
      <w:marRight w:val="0"/>
      <w:marTop w:val="0"/>
      <w:marBottom w:val="0"/>
      <w:divBdr>
        <w:top w:val="none" w:sz="0" w:space="0" w:color="auto"/>
        <w:left w:val="none" w:sz="0" w:space="0" w:color="auto"/>
        <w:bottom w:val="none" w:sz="0" w:space="0" w:color="auto"/>
        <w:right w:val="none" w:sz="0" w:space="0" w:color="auto"/>
      </w:divBdr>
    </w:div>
    <w:div w:id="1221745646">
      <w:bodyDiv w:val="1"/>
      <w:marLeft w:val="0"/>
      <w:marRight w:val="0"/>
      <w:marTop w:val="0"/>
      <w:marBottom w:val="0"/>
      <w:divBdr>
        <w:top w:val="none" w:sz="0" w:space="0" w:color="auto"/>
        <w:left w:val="none" w:sz="0" w:space="0" w:color="auto"/>
        <w:bottom w:val="none" w:sz="0" w:space="0" w:color="auto"/>
        <w:right w:val="none" w:sz="0" w:space="0" w:color="auto"/>
      </w:divBdr>
    </w:div>
    <w:div w:id="1221747582">
      <w:bodyDiv w:val="1"/>
      <w:marLeft w:val="0"/>
      <w:marRight w:val="0"/>
      <w:marTop w:val="0"/>
      <w:marBottom w:val="0"/>
      <w:divBdr>
        <w:top w:val="none" w:sz="0" w:space="0" w:color="auto"/>
        <w:left w:val="none" w:sz="0" w:space="0" w:color="auto"/>
        <w:bottom w:val="none" w:sz="0" w:space="0" w:color="auto"/>
        <w:right w:val="none" w:sz="0" w:space="0" w:color="auto"/>
      </w:divBdr>
    </w:div>
    <w:div w:id="1221789520">
      <w:bodyDiv w:val="1"/>
      <w:marLeft w:val="0"/>
      <w:marRight w:val="0"/>
      <w:marTop w:val="0"/>
      <w:marBottom w:val="0"/>
      <w:divBdr>
        <w:top w:val="none" w:sz="0" w:space="0" w:color="auto"/>
        <w:left w:val="none" w:sz="0" w:space="0" w:color="auto"/>
        <w:bottom w:val="none" w:sz="0" w:space="0" w:color="auto"/>
        <w:right w:val="none" w:sz="0" w:space="0" w:color="auto"/>
      </w:divBdr>
    </w:div>
    <w:div w:id="1221864987">
      <w:bodyDiv w:val="1"/>
      <w:marLeft w:val="0"/>
      <w:marRight w:val="0"/>
      <w:marTop w:val="0"/>
      <w:marBottom w:val="0"/>
      <w:divBdr>
        <w:top w:val="none" w:sz="0" w:space="0" w:color="auto"/>
        <w:left w:val="none" w:sz="0" w:space="0" w:color="auto"/>
        <w:bottom w:val="none" w:sz="0" w:space="0" w:color="auto"/>
        <w:right w:val="none" w:sz="0" w:space="0" w:color="auto"/>
      </w:divBdr>
    </w:div>
    <w:div w:id="1222061106">
      <w:bodyDiv w:val="1"/>
      <w:marLeft w:val="0"/>
      <w:marRight w:val="0"/>
      <w:marTop w:val="0"/>
      <w:marBottom w:val="0"/>
      <w:divBdr>
        <w:top w:val="none" w:sz="0" w:space="0" w:color="auto"/>
        <w:left w:val="none" w:sz="0" w:space="0" w:color="auto"/>
        <w:bottom w:val="none" w:sz="0" w:space="0" w:color="auto"/>
        <w:right w:val="none" w:sz="0" w:space="0" w:color="auto"/>
      </w:divBdr>
    </w:div>
    <w:div w:id="1222206350">
      <w:bodyDiv w:val="1"/>
      <w:marLeft w:val="0"/>
      <w:marRight w:val="0"/>
      <w:marTop w:val="0"/>
      <w:marBottom w:val="0"/>
      <w:divBdr>
        <w:top w:val="none" w:sz="0" w:space="0" w:color="auto"/>
        <w:left w:val="none" w:sz="0" w:space="0" w:color="auto"/>
        <w:bottom w:val="none" w:sz="0" w:space="0" w:color="auto"/>
        <w:right w:val="none" w:sz="0" w:space="0" w:color="auto"/>
      </w:divBdr>
    </w:div>
    <w:div w:id="1222208102">
      <w:bodyDiv w:val="1"/>
      <w:marLeft w:val="0"/>
      <w:marRight w:val="0"/>
      <w:marTop w:val="0"/>
      <w:marBottom w:val="0"/>
      <w:divBdr>
        <w:top w:val="none" w:sz="0" w:space="0" w:color="auto"/>
        <w:left w:val="none" w:sz="0" w:space="0" w:color="auto"/>
        <w:bottom w:val="none" w:sz="0" w:space="0" w:color="auto"/>
        <w:right w:val="none" w:sz="0" w:space="0" w:color="auto"/>
      </w:divBdr>
    </w:div>
    <w:div w:id="1222400492">
      <w:bodyDiv w:val="1"/>
      <w:marLeft w:val="0"/>
      <w:marRight w:val="0"/>
      <w:marTop w:val="0"/>
      <w:marBottom w:val="0"/>
      <w:divBdr>
        <w:top w:val="none" w:sz="0" w:space="0" w:color="auto"/>
        <w:left w:val="none" w:sz="0" w:space="0" w:color="auto"/>
        <w:bottom w:val="none" w:sz="0" w:space="0" w:color="auto"/>
        <w:right w:val="none" w:sz="0" w:space="0" w:color="auto"/>
      </w:divBdr>
    </w:div>
    <w:div w:id="1222473676">
      <w:bodyDiv w:val="1"/>
      <w:marLeft w:val="0"/>
      <w:marRight w:val="0"/>
      <w:marTop w:val="0"/>
      <w:marBottom w:val="0"/>
      <w:divBdr>
        <w:top w:val="none" w:sz="0" w:space="0" w:color="auto"/>
        <w:left w:val="none" w:sz="0" w:space="0" w:color="auto"/>
        <w:bottom w:val="none" w:sz="0" w:space="0" w:color="auto"/>
        <w:right w:val="none" w:sz="0" w:space="0" w:color="auto"/>
      </w:divBdr>
    </w:div>
    <w:div w:id="1222718745">
      <w:bodyDiv w:val="1"/>
      <w:marLeft w:val="0"/>
      <w:marRight w:val="0"/>
      <w:marTop w:val="0"/>
      <w:marBottom w:val="0"/>
      <w:divBdr>
        <w:top w:val="none" w:sz="0" w:space="0" w:color="auto"/>
        <w:left w:val="none" w:sz="0" w:space="0" w:color="auto"/>
        <w:bottom w:val="none" w:sz="0" w:space="0" w:color="auto"/>
        <w:right w:val="none" w:sz="0" w:space="0" w:color="auto"/>
      </w:divBdr>
    </w:div>
    <w:div w:id="1222784965">
      <w:bodyDiv w:val="1"/>
      <w:marLeft w:val="0"/>
      <w:marRight w:val="0"/>
      <w:marTop w:val="0"/>
      <w:marBottom w:val="0"/>
      <w:divBdr>
        <w:top w:val="none" w:sz="0" w:space="0" w:color="auto"/>
        <w:left w:val="none" w:sz="0" w:space="0" w:color="auto"/>
        <w:bottom w:val="none" w:sz="0" w:space="0" w:color="auto"/>
        <w:right w:val="none" w:sz="0" w:space="0" w:color="auto"/>
      </w:divBdr>
    </w:div>
    <w:div w:id="1222787950">
      <w:bodyDiv w:val="1"/>
      <w:marLeft w:val="0"/>
      <w:marRight w:val="0"/>
      <w:marTop w:val="0"/>
      <w:marBottom w:val="0"/>
      <w:divBdr>
        <w:top w:val="none" w:sz="0" w:space="0" w:color="auto"/>
        <w:left w:val="none" w:sz="0" w:space="0" w:color="auto"/>
        <w:bottom w:val="none" w:sz="0" w:space="0" w:color="auto"/>
        <w:right w:val="none" w:sz="0" w:space="0" w:color="auto"/>
      </w:divBdr>
    </w:div>
    <w:div w:id="1222905296">
      <w:bodyDiv w:val="1"/>
      <w:marLeft w:val="0"/>
      <w:marRight w:val="0"/>
      <w:marTop w:val="0"/>
      <w:marBottom w:val="0"/>
      <w:divBdr>
        <w:top w:val="none" w:sz="0" w:space="0" w:color="auto"/>
        <w:left w:val="none" w:sz="0" w:space="0" w:color="auto"/>
        <w:bottom w:val="none" w:sz="0" w:space="0" w:color="auto"/>
        <w:right w:val="none" w:sz="0" w:space="0" w:color="auto"/>
      </w:divBdr>
    </w:div>
    <w:div w:id="1223295688">
      <w:bodyDiv w:val="1"/>
      <w:marLeft w:val="0"/>
      <w:marRight w:val="0"/>
      <w:marTop w:val="0"/>
      <w:marBottom w:val="0"/>
      <w:divBdr>
        <w:top w:val="none" w:sz="0" w:space="0" w:color="auto"/>
        <w:left w:val="none" w:sz="0" w:space="0" w:color="auto"/>
        <w:bottom w:val="none" w:sz="0" w:space="0" w:color="auto"/>
        <w:right w:val="none" w:sz="0" w:space="0" w:color="auto"/>
      </w:divBdr>
    </w:div>
    <w:div w:id="1223561064">
      <w:bodyDiv w:val="1"/>
      <w:marLeft w:val="0"/>
      <w:marRight w:val="0"/>
      <w:marTop w:val="0"/>
      <w:marBottom w:val="0"/>
      <w:divBdr>
        <w:top w:val="none" w:sz="0" w:space="0" w:color="auto"/>
        <w:left w:val="none" w:sz="0" w:space="0" w:color="auto"/>
        <w:bottom w:val="none" w:sz="0" w:space="0" w:color="auto"/>
        <w:right w:val="none" w:sz="0" w:space="0" w:color="auto"/>
      </w:divBdr>
    </w:div>
    <w:div w:id="1223567618">
      <w:bodyDiv w:val="1"/>
      <w:marLeft w:val="0"/>
      <w:marRight w:val="0"/>
      <w:marTop w:val="0"/>
      <w:marBottom w:val="0"/>
      <w:divBdr>
        <w:top w:val="none" w:sz="0" w:space="0" w:color="auto"/>
        <w:left w:val="none" w:sz="0" w:space="0" w:color="auto"/>
        <w:bottom w:val="none" w:sz="0" w:space="0" w:color="auto"/>
        <w:right w:val="none" w:sz="0" w:space="0" w:color="auto"/>
      </w:divBdr>
    </w:div>
    <w:div w:id="1223637057">
      <w:bodyDiv w:val="1"/>
      <w:marLeft w:val="0"/>
      <w:marRight w:val="0"/>
      <w:marTop w:val="0"/>
      <w:marBottom w:val="0"/>
      <w:divBdr>
        <w:top w:val="none" w:sz="0" w:space="0" w:color="auto"/>
        <w:left w:val="none" w:sz="0" w:space="0" w:color="auto"/>
        <w:bottom w:val="none" w:sz="0" w:space="0" w:color="auto"/>
        <w:right w:val="none" w:sz="0" w:space="0" w:color="auto"/>
      </w:divBdr>
    </w:div>
    <w:div w:id="1223716250">
      <w:bodyDiv w:val="1"/>
      <w:marLeft w:val="0"/>
      <w:marRight w:val="0"/>
      <w:marTop w:val="0"/>
      <w:marBottom w:val="0"/>
      <w:divBdr>
        <w:top w:val="none" w:sz="0" w:space="0" w:color="auto"/>
        <w:left w:val="none" w:sz="0" w:space="0" w:color="auto"/>
        <w:bottom w:val="none" w:sz="0" w:space="0" w:color="auto"/>
        <w:right w:val="none" w:sz="0" w:space="0" w:color="auto"/>
      </w:divBdr>
    </w:div>
    <w:div w:id="1223980276">
      <w:bodyDiv w:val="1"/>
      <w:marLeft w:val="0"/>
      <w:marRight w:val="0"/>
      <w:marTop w:val="0"/>
      <w:marBottom w:val="0"/>
      <w:divBdr>
        <w:top w:val="none" w:sz="0" w:space="0" w:color="auto"/>
        <w:left w:val="none" w:sz="0" w:space="0" w:color="auto"/>
        <w:bottom w:val="none" w:sz="0" w:space="0" w:color="auto"/>
        <w:right w:val="none" w:sz="0" w:space="0" w:color="auto"/>
      </w:divBdr>
    </w:div>
    <w:div w:id="1223981462">
      <w:bodyDiv w:val="1"/>
      <w:marLeft w:val="0"/>
      <w:marRight w:val="0"/>
      <w:marTop w:val="0"/>
      <w:marBottom w:val="0"/>
      <w:divBdr>
        <w:top w:val="none" w:sz="0" w:space="0" w:color="auto"/>
        <w:left w:val="none" w:sz="0" w:space="0" w:color="auto"/>
        <w:bottom w:val="none" w:sz="0" w:space="0" w:color="auto"/>
        <w:right w:val="none" w:sz="0" w:space="0" w:color="auto"/>
      </w:divBdr>
    </w:div>
    <w:div w:id="1224147069">
      <w:bodyDiv w:val="1"/>
      <w:marLeft w:val="0"/>
      <w:marRight w:val="0"/>
      <w:marTop w:val="0"/>
      <w:marBottom w:val="0"/>
      <w:divBdr>
        <w:top w:val="none" w:sz="0" w:space="0" w:color="auto"/>
        <w:left w:val="none" w:sz="0" w:space="0" w:color="auto"/>
        <w:bottom w:val="none" w:sz="0" w:space="0" w:color="auto"/>
        <w:right w:val="none" w:sz="0" w:space="0" w:color="auto"/>
      </w:divBdr>
    </w:div>
    <w:div w:id="1224147424">
      <w:bodyDiv w:val="1"/>
      <w:marLeft w:val="0"/>
      <w:marRight w:val="0"/>
      <w:marTop w:val="0"/>
      <w:marBottom w:val="0"/>
      <w:divBdr>
        <w:top w:val="none" w:sz="0" w:space="0" w:color="auto"/>
        <w:left w:val="none" w:sz="0" w:space="0" w:color="auto"/>
        <w:bottom w:val="none" w:sz="0" w:space="0" w:color="auto"/>
        <w:right w:val="none" w:sz="0" w:space="0" w:color="auto"/>
      </w:divBdr>
    </w:div>
    <w:div w:id="1224216213">
      <w:bodyDiv w:val="1"/>
      <w:marLeft w:val="0"/>
      <w:marRight w:val="0"/>
      <w:marTop w:val="0"/>
      <w:marBottom w:val="0"/>
      <w:divBdr>
        <w:top w:val="none" w:sz="0" w:space="0" w:color="auto"/>
        <w:left w:val="none" w:sz="0" w:space="0" w:color="auto"/>
        <w:bottom w:val="none" w:sz="0" w:space="0" w:color="auto"/>
        <w:right w:val="none" w:sz="0" w:space="0" w:color="auto"/>
      </w:divBdr>
    </w:div>
    <w:div w:id="1224415030">
      <w:bodyDiv w:val="1"/>
      <w:marLeft w:val="0"/>
      <w:marRight w:val="0"/>
      <w:marTop w:val="0"/>
      <w:marBottom w:val="0"/>
      <w:divBdr>
        <w:top w:val="none" w:sz="0" w:space="0" w:color="auto"/>
        <w:left w:val="none" w:sz="0" w:space="0" w:color="auto"/>
        <w:bottom w:val="none" w:sz="0" w:space="0" w:color="auto"/>
        <w:right w:val="none" w:sz="0" w:space="0" w:color="auto"/>
      </w:divBdr>
    </w:div>
    <w:div w:id="1224483865">
      <w:bodyDiv w:val="1"/>
      <w:marLeft w:val="0"/>
      <w:marRight w:val="0"/>
      <w:marTop w:val="0"/>
      <w:marBottom w:val="0"/>
      <w:divBdr>
        <w:top w:val="none" w:sz="0" w:space="0" w:color="auto"/>
        <w:left w:val="none" w:sz="0" w:space="0" w:color="auto"/>
        <w:bottom w:val="none" w:sz="0" w:space="0" w:color="auto"/>
        <w:right w:val="none" w:sz="0" w:space="0" w:color="auto"/>
      </w:divBdr>
    </w:div>
    <w:div w:id="1224560034">
      <w:bodyDiv w:val="1"/>
      <w:marLeft w:val="0"/>
      <w:marRight w:val="0"/>
      <w:marTop w:val="0"/>
      <w:marBottom w:val="0"/>
      <w:divBdr>
        <w:top w:val="none" w:sz="0" w:space="0" w:color="auto"/>
        <w:left w:val="none" w:sz="0" w:space="0" w:color="auto"/>
        <w:bottom w:val="none" w:sz="0" w:space="0" w:color="auto"/>
        <w:right w:val="none" w:sz="0" w:space="0" w:color="auto"/>
      </w:divBdr>
    </w:div>
    <w:div w:id="1224563470">
      <w:bodyDiv w:val="1"/>
      <w:marLeft w:val="0"/>
      <w:marRight w:val="0"/>
      <w:marTop w:val="0"/>
      <w:marBottom w:val="0"/>
      <w:divBdr>
        <w:top w:val="none" w:sz="0" w:space="0" w:color="auto"/>
        <w:left w:val="none" w:sz="0" w:space="0" w:color="auto"/>
        <w:bottom w:val="none" w:sz="0" w:space="0" w:color="auto"/>
        <w:right w:val="none" w:sz="0" w:space="0" w:color="auto"/>
      </w:divBdr>
    </w:div>
    <w:div w:id="1224683929">
      <w:bodyDiv w:val="1"/>
      <w:marLeft w:val="0"/>
      <w:marRight w:val="0"/>
      <w:marTop w:val="0"/>
      <w:marBottom w:val="0"/>
      <w:divBdr>
        <w:top w:val="none" w:sz="0" w:space="0" w:color="auto"/>
        <w:left w:val="none" w:sz="0" w:space="0" w:color="auto"/>
        <w:bottom w:val="none" w:sz="0" w:space="0" w:color="auto"/>
        <w:right w:val="none" w:sz="0" w:space="0" w:color="auto"/>
      </w:divBdr>
    </w:div>
    <w:div w:id="1224877537">
      <w:bodyDiv w:val="1"/>
      <w:marLeft w:val="0"/>
      <w:marRight w:val="0"/>
      <w:marTop w:val="0"/>
      <w:marBottom w:val="0"/>
      <w:divBdr>
        <w:top w:val="none" w:sz="0" w:space="0" w:color="auto"/>
        <w:left w:val="none" w:sz="0" w:space="0" w:color="auto"/>
        <w:bottom w:val="none" w:sz="0" w:space="0" w:color="auto"/>
        <w:right w:val="none" w:sz="0" w:space="0" w:color="auto"/>
      </w:divBdr>
    </w:div>
    <w:div w:id="1224943937">
      <w:bodyDiv w:val="1"/>
      <w:marLeft w:val="0"/>
      <w:marRight w:val="0"/>
      <w:marTop w:val="0"/>
      <w:marBottom w:val="0"/>
      <w:divBdr>
        <w:top w:val="none" w:sz="0" w:space="0" w:color="auto"/>
        <w:left w:val="none" w:sz="0" w:space="0" w:color="auto"/>
        <w:bottom w:val="none" w:sz="0" w:space="0" w:color="auto"/>
        <w:right w:val="none" w:sz="0" w:space="0" w:color="auto"/>
      </w:divBdr>
    </w:div>
    <w:div w:id="1225096419">
      <w:bodyDiv w:val="1"/>
      <w:marLeft w:val="0"/>
      <w:marRight w:val="0"/>
      <w:marTop w:val="0"/>
      <w:marBottom w:val="0"/>
      <w:divBdr>
        <w:top w:val="none" w:sz="0" w:space="0" w:color="auto"/>
        <w:left w:val="none" w:sz="0" w:space="0" w:color="auto"/>
        <w:bottom w:val="none" w:sz="0" w:space="0" w:color="auto"/>
        <w:right w:val="none" w:sz="0" w:space="0" w:color="auto"/>
      </w:divBdr>
    </w:div>
    <w:div w:id="1225141704">
      <w:bodyDiv w:val="1"/>
      <w:marLeft w:val="0"/>
      <w:marRight w:val="0"/>
      <w:marTop w:val="0"/>
      <w:marBottom w:val="0"/>
      <w:divBdr>
        <w:top w:val="none" w:sz="0" w:space="0" w:color="auto"/>
        <w:left w:val="none" w:sz="0" w:space="0" w:color="auto"/>
        <w:bottom w:val="none" w:sz="0" w:space="0" w:color="auto"/>
        <w:right w:val="none" w:sz="0" w:space="0" w:color="auto"/>
      </w:divBdr>
    </w:div>
    <w:div w:id="1225215306">
      <w:bodyDiv w:val="1"/>
      <w:marLeft w:val="0"/>
      <w:marRight w:val="0"/>
      <w:marTop w:val="0"/>
      <w:marBottom w:val="0"/>
      <w:divBdr>
        <w:top w:val="none" w:sz="0" w:space="0" w:color="auto"/>
        <w:left w:val="none" w:sz="0" w:space="0" w:color="auto"/>
        <w:bottom w:val="none" w:sz="0" w:space="0" w:color="auto"/>
        <w:right w:val="none" w:sz="0" w:space="0" w:color="auto"/>
      </w:divBdr>
    </w:div>
    <w:div w:id="1225220850">
      <w:bodyDiv w:val="1"/>
      <w:marLeft w:val="0"/>
      <w:marRight w:val="0"/>
      <w:marTop w:val="0"/>
      <w:marBottom w:val="0"/>
      <w:divBdr>
        <w:top w:val="none" w:sz="0" w:space="0" w:color="auto"/>
        <w:left w:val="none" w:sz="0" w:space="0" w:color="auto"/>
        <w:bottom w:val="none" w:sz="0" w:space="0" w:color="auto"/>
        <w:right w:val="none" w:sz="0" w:space="0" w:color="auto"/>
      </w:divBdr>
    </w:div>
    <w:div w:id="1225264503">
      <w:bodyDiv w:val="1"/>
      <w:marLeft w:val="0"/>
      <w:marRight w:val="0"/>
      <w:marTop w:val="0"/>
      <w:marBottom w:val="0"/>
      <w:divBdr>
        <w:top w:val="none" w:sz="0" w:space="0" w:color="auto"/>
        <w:left w:val="none" w:sz="0" w:space="0" w:color="auto"/>
        <w:bottom w:val="none" w:sz="0" w:space="0" w:color="auto"/>
        <w:right w:val="none" w:sz="0" w:space="0" w:color="auto"/>
      </w:divBdr>
    </w:div>
    <w:div w:id="1225264611">
      <w:bodyDiv w:val="1"/>
      <w:marLeft w:val="0"/>
      <w:marRight w:val="0"/>
      <w:marTop w:val="0"/>
      <w:marBottom w:val="0"/>
      <w:divBdr>
        <w:top w:val="none" w:sz="0" w:space="0" w:color="auto"/>
        <w:left w:val="none" w:sz="0" w:space="0" w:color="auto"/>
        <w:bottom w:val="none" w:sz="0" w:space="0" w:color="auto"/>
        <w:right w:val="none" w:sz="0" w:space="0" w:color="auto"/>
      </w:divBdr>
    </w:div>
    <w:div w:id="1225291578">
      <w:bodyDiv w:val="1"/>
      <w:marLeft w:val="0"/>
      <w:marRight w:val="0"/>
      <w:marTop w:val="0"/>
      <w:marBottom w:val="0"/>
      <w:divBdr>
        <w:top w:val="none" w:sz="0" w:space="0" w:color="auto"/>
        <w:left w:val="none" w:sz="0" w:space="0" w:color="auto"/>
        <w:bottom w:val="none" w:sz="0" w:space="0" w:color="auto"/>
        <w:right w:val="none" w:sz="0" w:space="0" w:color="auto"/>
      </w:divBdr>
    </w:div>
    <w:div w:id="1225291609">
      <w:bodyDiv w:val="1"/>
      <w:marLeft w:val="0"/>
      <w:marRight w:val="0"/>
      <w:marTop w:val="0"/>
      <w:marBottom w:val="0"/>
      <w:divBdr>
        <w:top w:val="none" w:sz="0" w:space="0" w:color="auto"/>
        <w:left w:val="none" w:sz="0" w:space="0" w:color="auto"/>
        <w:bottom w:val="none" w:sz="0" w:space="0" w:color="auto"/>
        <w:right w:val="none" w:sz="0" w:space="0" w:color="auto"/>
      </w:divBdr>
    </w:div>
    <w:div w:id="1225336602">
      <w:bodyDiv w:val="1"/>
      <w:marLeft w:val="0"/>
      <w:marRight w:val="0"/>
      <w:marTop w:val="0"/>
      <w:marBottom w:val="0"/>
      <w:divBdr>
        <w:top w:val="none" w:sz="0" w:space="0" w:color="auto"/>
        <w:left w:val="none" w:sz="0" w:space="0" w:color="auto"/>
        <w:bottom w:val="none" w:sz="0" w:space="0" w:color="auto"/>
        <w:right w:val="none" w:sz="0" w:space="0" w:color="auto"/>
      </w:divBdr>
    </w:div>
    <w:div w:id="1225337525">
      <w:bodyDiv w:val="1"/>
      <w:marLeft w:val="0"/>
      <w:marRight w:val="0"/>
      <w:marTop w:val="0"/>
      <w:marBottom w:val="0"/>
      <w:divBdr>
        <w:top w:val="none" w:sz="0" w:space="0" w:color="auto"/>
        <w:left w:val="none" w:sz="0" w:space="0" w:color="auto"/>
        <w:bottom w:val="none" w:sz="0" w:space="0" w:color="auto"/>
        <w:right w:val="none" w:sz="0" w:space="0" w:color="auto"/>
      </w:divBdr>
    </w:div>
    <w:div w:id="1225413983">
      <w:bodyDiv w:val="1"/>
      <w:marLeft w:val="0"/>
      <w:marRight w:val="0"/>
      <w:marTop w:val="0"/>
      <w:marBottom w:val="0"/>
      <w:divBdr>
        <w:top w:val="none" w:sz="0" w:space="0" w:color="auto"/>
        <w:left w:val="none" w:sz="0" w:space="0" w:color="auto"/>
        <w:bottom w:val="none" w:sz="0" w:space="0" w:color="auto"/>
        <w:right w:val="none" w:sz="0" w:space="0" w:color="auto"/>
      </w:divBdr>
    </w:div>
    <w:div w:id="1225750203">
      <w:bodyDiv w:val="1"/>
      <w:marLeft w:val="0"/>
      <w:marRight w:val="0"/>
      <w:marTop w:val="0"/>
      <w:marBottom w:val="0"/>
      <w:divBdr>
        <w:top w:val="none" w:sz="0" w:space="0" w:color="auto"/>
        <w:left w:val="none" w:sz="0" w:space="0" w:color="auto"/>
        <w:bottom w:val="none" w:sz="0" w:space="0" w:color="auto"/>
        <w:right w:val="none" w:sz="0" w:space="0" w:color="auto"/>
      </w:divBdr>
    </w:div>
    <w:div w:id="1226069716">
      <w:bodyDiv w:val="1"/>
      <w:marLeft w:val="0"/>
      <w:marRight w:val="0"/>
      <w:marTop w:val="0"/>
      <w:marBottom w:val="0"/>
      <w:divBdr>
        <w:top w:val="none" w:sz="0" w:space="0" w:color="auto"/>
        <w:left w:val="none" w:sz="0" w:space="0" w:color="auto"/>
        <w:bottom w:val="none" w:sz="0" w:space="0" w:color="auto"/>
        <w:right w:val="none" w:sz="0" w:space="0" w:color="auto"/>
      </w:divBdr>
    </w:div>
    <w:div w:id="1226070468">
      <w:bodyDiv w:val="1"/>
      <w:marLeft w:val="0"/>
      <w:marRight w:val="0"/>
      <w:marTop w:val="0"/>
      <w:marBottom w:val="0"/>
      <w:divBdr>
        <w:top w:val="none" w:sz="0" w:space="0" w:color="auto"/>
        <w:left w:val="none" w:sz="0" w:space="0" w:color="auto"/>
        <w:bottom w:val="none" w:sz="0" w:space="0" w:color="auto"/>
        <w:right w:val="none" w:sz="0" w:space="0" w:color="auto"/>
      </w:divBdr>
    </w:div>
    <w:div w:id="1226180504">
      <w:bodyDiv w:val="1"/>
      <w:marLeft w:val="0"/>
      <w:marRight w:val="0"/>
      <w:marTop w:val="0"/>
      <w:marBottom w:val="0"/>
      <w:divBdr>
        <w:top w:val="none" w:sz="0" w:space="0" w:color="auto"/>
        <w:left w:val="none" w:sz="0" w:space="0" w:color="auto"/>
        <w:bottom w:val="none" w:sz="0" w:space="0" w:color="auto"/>
        <w:right w:val="none" w:sz="0" w:space="0" w:color="auto"/>
      </w:divBdr>
    </w:div>
    <w:div w:id="1226182724">
      <w:bodyDiv w:val="1"/>
      <w:marLeft w:val="0"/>
      <w:marRight w:val="0"/>
      <w:marTop w:val="0"/>
      <w:marBottom w:val="0"/>
      <w:divBdr>
        <w:top w:val="none" w:sz="0" w:space="0" w:color="auto"/>
        <w:left w:val="none" w:sz="0" w:space="0" w:color="auto"/>
        <w:bottom w:val="none" w:sz="0" w:space="0" w:color="auto"/>
        <w:right w:val="none" w:sz="0" w:space="0" w:color="auto"/>
      </w:divBdr>
    </w:div>
    <w:div w:id="1226187045">
      <w:bodyDiv w:val="1"/>
      <w:marLeft w:val="0"/>
      <w:marRight w:val="0"/>
      <w:marTop w:val="0"/>
      <w:marBottom w:val="0"/>
      <w:divBdr>
        <w:top w:val="none" w:sz="0" w:space="0" w:color="auto"/>
        <w:left w:val="none" w:sz="0" w:space="0" w:color="auto"/>
        <w:bottom w:val="none" w:sz="0" w:space="0" w:color="auto"/>
        <w:right w:val="none" w:sz="0" w:space="0" w:color="auto"/>
      </w:divBdr>
    </w:div>
    <w:div w:id="1226572650">
      <w:bodyDiv w:val="1"/>
      <w:marLeft w:val="0"/>
      <w:marRight w:val="0"/>
      <w:marTop w:val="0"/>
      <w:marBottom w:val="0"/>
      <w:divBdr>
        <w:top w:val="none" w:sz="0" w:space="0" w:color="auto"/>
        <w:left w:val="none" w:sz="0" w:space="0" w:color="auto"/>
        <w:bottom w:val="none" w:sz="0" w:space="0" w:color="auto"/>
        <w:right w:val="none" w:sz="0" w:space="0" w:color="auto"/>
      </w:divBdr>
    </w:div>
    <w:div w:id="1226716965">
      <w:bodyDiv w:val="1"/>
      <w:marLeft w:val="0"/>
      <w:marRight w:val="0"/>
      <w:marTop w:val="0"/>
      <w:marBottom w:val="0"/>
      <w:divBdr>
        <w:top w:val="none" w:sz="0" w:space="0" w:color="auto"/>
        <w:left w:val="none" w:sz="0" w:space="0" w:color="auto"/>
        <w:bottom w:val="none" w:sz="0" w:space="0" w:color="auto"/>
        <w:right w:val="none" w:sz="0" w:space="0" w:color="auto"/>
      </w:divBdr>
    </w:div>
    <w:div w:id="1226720558">
      <w:bodyDiv w:val="1"/>
      <w:marLeft w:val="0"/>
      <w:marRight w:val="0"/>
      <w:marTop w:val="0"/>
      <w:marBottom w:val="0"/>
      <w:divBdr>
        <w:top w:val="none" w:sz="0" w:space="0" w:color="auto"/>
        <w:left w:val="none" w:sz="0" w:space="0" w:color="auto"/>
        <w:bottom w:val="none" w:sz="0" w:space="0" w:color="auto"/>
        <w:right w:val="none" w:sz="0" w:space="0" w:color="auto"/>
      </w:divBdr>
    </w:div>
    <w:div w:id="1226915660">
      <w:bodyDiv w:val="1"/>
      <w:marLeft w:val="0"/>
      <w:marRight w:val="0"/>
      <w:marTop w:val="0"/>
      <w:marBottom w:val="0"/>
      <w:divBdr>
        <w:top w:val="none" w:sz="0" w:space="0" w:color="auto"/>
        <w:left w:val="none" w:sz="0" w:space="0" w:color="auto"/>
        <w:bottom w:val="none" w:sz="0" w:space="0" w:color="auto"/>
        <w:right w:val="none" w:sz="0" w:space="0" w:color="auto"/>
      </w:divBdr>
    </w:div>
    <w:div w:id="1226992208">
      <w:bodyDiv w:val="1"/>
      <w:marLeft w:val="0"/>
      <w:marRight w:val="0"/>
      <w:marTop w:val="0"/>
      <w:marBottom w:val="0"/>
      <w:divBdr>
        <w:top w:val="none" w:sz="0" w:space="0" w:color="auto"/>
        <w:left w:val="none" w:sz="0" w:space="0" w:color="auto"/>
        <w:bottom w:val="none" w:sz="0" w:space="0" w:color="auto"/>
        <w:right w:val="none" w:sz="0" w:space="0" w:color="auto"/>
      </w:divBdr>
    </w:div>
    <w:div w:id="1227061187">
      <w:bodyDiv w:val="1"/>
      <w:marLeft w:val="0"/>
      <w:marRight w:val="0"/>
      <w:marTop w:val="0"/>
      <w:marBottom w:val="0"/>
      <w:divBdr>
        <w:top w:val="none" w:sz="0" w:space="0" w:color="auto"/>
        <w:left w:val="none" w:sz="0" w:space="0" w:color="auto"/>
        <w:bottom w:val="none" w:sz="0" w:space="0" w:color="auto"/>
        <w:right w:val="none" w:sz="0" w:space="0" w:color="auto"/>
      </w:divBdr>
    </w:div>
    <w:div w:id="1227181305">
      <w:bodyDiv w:val="1"/>
      <w:marLeft w:val="0"/>
      <w:marRight w:val="0"/>
      <w:marTop w:val="0"/>
      <w:marBottom w:val="0"/>
      <w:divBdr>
        <w:top w:val="none" w:sz="0" w:space="0" w:color="auto"/>
        <w:left w:val="none" w:sz="0" w:space="0" w:color="auto"/>
        <w:bottom w:val="none" w:sz="0" w:space="0" w:color="auto"/>
        <w:right w:val="none" w:sz="0" w:space="0" w:color="auto"/>
      </w:divBdr>
    </w:div>
    <w:div w:id="1227376251">
      <w:bodyDiv w:val="1"/>
      <w:marLeft w:val="0"/>
      <w:marRight w:val="0"/>
      <w:marTop w:val="0"/>
      <w:marBottom w:val="0"/>
      <w:divBdr>
        <w:top w:val="none" w:sz="0" w:space="0" w:color="auto"/>
        <w:left w:val="none" w:sz="0" w:space="0" w:color="auto"/>
        <w:bottom w:val="none" w:sz="0" w:space="0" w:color="auto"/>
        <w:right w:val="none" w:sz="0" w:space="0" w:color="auto"/>
      </w:divBdr>
    </w:div>
    <w:div w:id="1227572953">
      <w:bodyDiv w:val="1"/>
      <w:marLeft w:val="0"/>
      <w:marRight w:val="0"/>
      <w:marTop w:val="0"/>
      <w:marBottom w:val="0"/>
      <w:divBdr>
        <w:top w:val="none" w:sz="0" w:space="0" w:color="auto"/>
        <w:left w:val="none" w:sz="0" w:space="0" w:color="auto"/>
        <w:bottom w:val="none" w:sz="0" w:space="0" w:color="auto"/>
        <w:right w:val="none" w:sz="0" w:space="0" w:color="auto"/>
      </w:divBdr>
    </w:div>
    <w:div w:id="1227835165">
      <w:bodyDiv w:val="1"/>
      <w:marLeft w:val="0"/>
      <w:marRight w:val="0"/>
      <w:marTop w:val="0"/>
      <w:marBottom w:val="0"/>
      <w:divBdr>
        <w:top w:val="none" w:sz="0" w:space="0" w:color="auto"/>
        <w:left w:val="none" w:sz="0" w:space="0" w:color="auto"/>
        <w:bottom w:val="none" w:sz="0" w:space="0" w:color="auto"/>
        <w:right w:val="none" w:sz="0" w:space="0" w:color="auto"/>
      </w:divBdr>
    </w:div>
    <w:div w:id="1227914169">
      <w:bodyDiv w:val="1"/>
      <w:marLeft w:val="0"/>
      <w:marRight w:val="0"/>
      <w:marTop w:val="0"/>
      <w:marBottom w:val="0"/>
      <w:divBdr>
        <w:top w:val="none" w:sz="0" w:space="0" w:color="auto"/>
        <w:left w:val="none" w:sz="0" w:space="0" w:color="auto"/>
        <w:bottom w:val="none" w:sz="0" w:space="0" w:color="auto"/>
        <w:right w:val="none" w:sz="0" w:space="0" w:color="auto"/>
      </w:divBdr>
    </w:div>
    <w:div w:id="1228032824">
      <w:bodyDiv w:val="1"/>
      <w:marLeft w:val="0"/>
      <w:marRight w:val="0"/>
      <w:marTop w:val="0"/>
      <w:marBottom w:val="0"/>
      <w:divBdr>
        <w:top w:val="none" w:sz="0" w:space="0" w:color="auto"/>
        <w:left w:val="none" w:sz="0" w:space="0" w:color="auto"/>
        <w:bottom w:val="none" w:sz="0" w:space="0" w:color="auto"/>
        <w:right w:val="none" w:sz="0" w:space="0" w:color="auto"/>
      </w:divBdr>
    </w:div>
    <w:div w:id="1228036240">
      <w:bodyDiv w:val="1"/>
      <w:marLeft w:val="0"/>
      <w:marRight w:val="0"/>
      <w:marTop w:val="0"/>
      <w:marBottom w:val="0"/>
      <w:divBdr>
        <w:top w:val="none" w:sz="0" w:space="0" w:color="auto"/>
        <w:left w:val="none" w:sz="0" w:space="0" w:color="auto"/>
        <w:bottom w:val="none" w:sz="0" w:space="0" w:color="auto"/>
        <w:right w:val="none" w:sz="0" w:space="0" w:color="auto"/>
      </w:divBdr>
    </w:div>
    <w:div w:id="1228224909">
      <w:bodyDiv w:val="1"/>
      <w:marLeft w:val="0"/>
      <w:marRight w:val="0"/>
      <w:marTop w:val="0"/>
      <w:marBottom w:val="0"/>
      <w:divBdr>
        <w:top w:val="none" w:sz="0" w:space="0" w:color="auto"/>
        <w:left w:val="none" w:sz="0" w:space="0" w:color="auto"/>
        <w:bottom w:val="none" w:sz="0" w:space="0" w:color="auto"/>
        <w:right w:val="none" w:sz="0" w:space="0" w:color="auto"/>
      </w:divBdr>
    </w:div>
    <w:div w:id="1228373297">
      <w:bodyDiv w:val="1"/>
      <w:marLeft w:val="0"/>
      <w:marRight w:val="0"/>
      <w:marTop w:val="0"/>
      <w:marBottom w:val="0"/>
      <w:divBdr>
        <w:top w:val="none" w:sz="0" w:space="0" w:color="auto"/>
        <w:left w:val="none" w:sz="0" w:space="0" w:color="auto"/>
        <w:bottom w:val="none" w:sz="0" w:space="0" w:color="auto"/>
        <w:right w:val="none" w:sz="0" w:space="0" w:color="auto"/>
      </w:divBdr>
    </w:div>
    <w:div w:id="1228541103">
      <w:bodyDiv w:val="1"/>
      <w:marLeft w:val="0"/>
      <w:marRight w:val="0"/>
      <w:marTop w:val="0"/>
      <w:marBottom w:val="0"/>
      <w:divBdr>
        <w:top w:val="none" w:sz="0" w:space="0" w:color="auto"/>
        <w:left w:val="none" w:sz="0" w:space="0" w:color="auto"/>
        <w:bottom w:val="none" w:sz="0" w:space="0" w:color="auto"/>
        <w:right w:val="none" w:sz="0" w:space="0" w:color="auto"/>
      </w:divBdr>
    </w:div>
    <w:div w:id="1228801079">
      <w:bodyDiv w:val="1"/>
      <w:marLeft w:val="0"/>
      <w:marRight w:val="0"/>
      <w:marTop w:val="0"/>
      <w:marBottom w:val="0"/>
      <w:divBdr>
        <w:top w:val="none" w:sz="0" w:space="0" w:color="auto"/>
        <w:left w:val="none" w:sz="0" w:space="0" w:color="auto"/>
        <w:bottom w:val="none" w:sz="0" w:space="0" w:color="auto"/>
        <w:right w:val="none" w:sz="0" w:space="0" w:color="auto"/>
      </w:divBdr>
    </w:div>
    <w:div w:id="1228805121">
      <w:bodyDiv w:val="1"/>
      <w:marLeft w:val="0"/>
      <w:marRight w:val="0"/>
      <w:marTop w:val="0"/>
      <w:marBottom w:val="0"/>
      <w:divBdr>
        <w:top w:val="none" w:sz="0" w:space="0" w:color="auto"/>
        <w:left w:val="none" w:sz="0" w:space="0" w:color="auto"/>
        <w:bottom w:val="none" w:sz="0" w:space="0" w:color="auto"/>
        <w:right w:val="none" w:sz="0" w:space="0" w:color="auto"/>
      </w:divBdr>
    </w:div>
    <w:div w:id="1228877298">
      <w:bodyDiv w:val="1"/>
      <w:marLeft w:val="0"/>
      <w:marRight w:val="0"/>
      <w:marTop w:val="0"/>
      <w:marBottom w:val="0"/>
      <w:divBdr>
        <w:top w:val="none" w:sz="0" w:space="0" w:color="auto"/>
        <w:left w:val="none" w:sz="0" w:space="0" w:color="auto"/>
        <w:bottom w:val="none" w:sz="0" w:space="0" w:color="auto"/>
        <w:right w:val="none" w:sz="0" w:space="0" w:color="auto"/>
      </w:divBdr>
    </w:div>
    <w:div w:id="1228998933">
      <w:bodyDiv w:val="1"/>
      <w:marLeft w:val="0"/>
      <w:marRight w:val="0"/>
      <w:marTop w:val="0"/>
      <w:marBottom w:val="0"/>
      <w:divBdr>
        <w:top w:val="none" w:sz="0" w:space="0" w:color="auto"/>
        <w:left w:val="none" w:sz="0" w:space="0" w:color="auto"/>
        <w:bottom w:val="none" w:sz="0" w:space="0" w:color="auto"/>
        <w:right w:val="none" w:sz="0" w:space="0" w:color="auto"/>
      </w:divBdr>
    </w:div>
    <w:div w:id="1229072133">
      <w:bodyDiv w:val="1"/>
      <w:marLeft w:val="0"/>
      <w:marRight w:val="0"/>
      <w:marTop w:val="0"/>
      <w:marBottom w:val="0"/>
      <w:divBdr>
        <w:top w:val="none" w:sz="0" w:space="0" w:color="auto"/>
        <w:left w:val="none" w:sz="0" w:space="0" w:color="auto"/>
        <w:bottom w:val="none" w:sz="0" w:space="0" w:color="auto"/>
        <w:right w:val="none" w:sz="0" w:space="0" w:color="auto"/>
      </w:divBdr>
    </w:div>
    <w:div w:id="1229072196">
      <w:bodyDiv w:val="1"/>
      <w:marLeft w:val="0"/>
      <w:marRight w:val="0"/>
      <w:marTop w:val="0"/>
      <w:marBottom w:val="0"/>
      <w:divBdr>
        <w:top w:val="none" w:sz="0" w:space="0" w:color="auto"/>
        <w:left w:val="none" w:sz="0" w:space="0" w:color="auto"/>
        <w:bottom w:val="none" w:sz="0" w:space="0" w:color="auto"/>
        <w:right w:val="none" w:sz="0" w:space="0" w:color="auto"/>
      </w:divBdr>
    </w:div>
    <w:div w:id="1229220713">
      <w:bodyDiv w:val="1"/>
      <w:marLeft w:val="0"/>
      <w:marRight w:val="0"/>
      <w:marTop w:val="0"/>
      <w:marBottom w:val="0"/>
      <w:divBdr>
        <w:top w:val="none" w:sz="0" w:space="0" w:color="auto"/>
        <w:left w:val="none" w:sz="0" w:space="0" w:color="auto"/>
        <w:bottom w:val="none" w:sz="0" w:space="0" w:color="auto"/>
        <w:right w:val="none" w:sz="0" w:space="0" w:color="auto"/>
      </w:divBdr>
    </w:div>
    <w:div w:id="1229345231">
      <w:bodyDiv w:val="1"/>
      <w:marLeft w:val="0"/>
      <w:marRight w:val="0"/>
      <w:marTop w:val="0"/>
      <w:marBottom w:val="0"/>
      <w:divBdr>
        <w:top w:val="none" w:sz="0" w:space="0" w:color="auto"/>
        <w:left w:val="none" w:sz="0" w:space="0" w:color="auto"/>
        <w:bottom w:val="none" w:sz="0" w:space="0" w:color="auto"/>
        <w:right w:val="none" w:sz="0" w:space="0" w:color="auto"/>
      </w:divBdr>
    </w:div>
    <w:div w:id="1229458134">
      <w:bodyDiv w:val="1"/>
      <w:marLeft w:val="0"/>
      <w:marRight w:val="0"/>
      <w:marTop w:val="0"/>
      <w:marBottom w:val="0"/>
      <w:divBdr>
        <w:top w:val="none" w:sz="0" w:space="0" w:color="auto"/>
        <w:left w:val="none" w:sz="0" w:space="0" w:color="auto"/>
        <w:bottom w:val="none" w:sz="0" w:space="0" w:color="auto"/>
        <w:right w:val="none" w:sz="0" w:space="0" w:color="auto"/>
      </w:divBdr>
    </w:div>
    <w:div w:id="1229458319">
      <w:bodyDiv w:val="1"/>
      <w:marLeft w:val="0"/>
      <w:marRight w:val="0"/>
      <w:marTop w:val="0"/>
      <w:marBottom w:val="0"/>
      <w:divBdr>
        <w:top w:val="none" w:sz="0" w:space="0" w:color="auto"/>
        <w:left w:val="none" w:sz="0" w:space="0" w:color="auto"/>
        <w:bottom w:val="none" w:sz="0" w:space="0" w:color="auto"/>
        <w:right w:val="none" w:sz="0" w:space="0" w:color="auto"/>
      </w:divBdr>
    </w:div>
    <w:div w:id="1229459206">
      <w:bodyDiv w:val="1"/>
      <w:marLeft w:val="0"/>
      <w:marRight w:val="0"/>
      <w:marTop w:val="0"/>
      <w:marBottom w:val="0"/>
      <w:divBdr>
        <w:top w:val="none" w:sz="0" w:space="0" w:color="auto"/>
        <w:left w:val="none" w:sz="0" w:space="0" w:color="auto"/>
        <w:bottom w:val="none" w:sz="0" w:space="0" w:color="auto"/>
        <w:right w:val="none" w:sz="0" w:space="0" w:color="auto"/>
      </w:divBdr>
    </w:div>
    <w:div w:id="1229531245">
      <w:bodyDiv w:val="1"/>
      <w:marLeft w:val="0"/>
      <w:marRight w:val="0"/>
      <w:marTop w:val="0"/>
      <w:marBottom w:val="0"/>
      <w:divBdr>
        <w:top w:val="none" w:sz="0" w:space="0" w:color="auto"/>
        <w:left w:val="none" w:sz="0" w:space="0" w:color="auto"/>
        <w:bottom w:val="none" w:sz="0" w:space="0" w:color="auto"/>
        <w:right w:val="none" w:sz="0" w:space="0" w:color="auto"/>
      </w:divBdr>
    </w:div>
    <w:div w:id="1229610300">
      <w:bodyDiv w:val="1"/>
      <w:marLeft w:val="0"/>
      <w:marRight w:val="0"/>
      <w:marTop w:val="0"/>
      <w:marBottom w:val="0"/>
      <w:divBdr>
        <w:top w:val="none" w:sz="0" w:space="0" w:color="auto"/>
        <w:left w:val="none" w:sz="0" w:space="0" w:color="auto"/>
        <w:bottom w:val="none" w:sz="0" w:space="0" w:color="auto"/>
        <w:right w:val="none" w:sz="0" w:space="0" w:color="auto"/>
      </w:divBdr>
    </w:div>
    <w:div w:id="1229611351">
      <w:bodyDiv w:val="1"/>
      <w:marLeft w:val="0"/>
      <w:marRight w:val="0"/>
      <w:marTop w:val="0"/>
      <w:marBottom w:val="0"/>
      <w:divBdr>
        <w:top w:val="none" w:sz="0" w:space="0" w:color="auto"/>
        <w:left w:val="none" w:sz="0" w:space="0" w:color="auto"/>
        <w:bottom w:val="none" w:sz="0" w:space="0" w:color="auto"/>
        <w:right w:val="none" w:sz="0" w:space="0" w:color="auto"/>
      </w:divBdr>
    </w:div>
    <w:div w:id="1229611437">
      <w:bodyDiv w:val="1"/>
      <w:marLeft w:val="0"/>
      <w:marRight w:val="0"/>
      <w:marTop w:val="0"/>
      <w:marBottom w:val="0"/>
      <w:divBdr>
        <w:top w:val="none" w:sz="0" w:space="0" w:color="auto"/>
        <w:left w:val="none" w:sz="0" w:space="0" w:color="auto"/>
        <w:bottom w:val="none" w:sz="0" w:space="0" w:color="auto"/>
        <w:right w:val="none" w:sz="0" w:space="0" w:color="auto"/>
      </w:divBdr>
    </w:div>
    <w:div w:id="1229732903">
      <w:bodyDiv w:val="1"/>
      <w:marLeft w:val="0"/>
      <w:marRight w:val="0"/>
      <w:marTop w:val="0"/>
      <w:marBottom w:val="0"/>
      <w:divBdr>
        <w:top w:val="none" w:sz="0" w:space="0" w:color="auto"/>
        <w:left w:val="none" w:sz="0" w:space="0" w:color="auto"/>
        <w:bottom w:val="none" w:sz="0" w:space="0" w:color="auto"/>
        <w:right w:val="none" w:sz="0" w:space="0" w:color="auto"/>
      </w:divBdr>
    </w:div>
    <w:div w:id="1229800386">
      <w:bodyDiv w:val="1"/>
      <w:marLeft w:val="0"/>
      <w:marRight w:val="0"/>
      <w:marTop w:val="0"/>
      <w:marBottom w:val="0"/>
      <w:divBdr>
        <w:top w:val="none" w:sz="0" w:space="0" w:color="auto"/>
        <w:left w:val="none" w:sz="0" w:space="0" w:color="auto"/>
        <w:bottom w:val="none" w:sz="0" w:space="0" w:color="auto"/>
        <w:right w:val="none" w:sz="0" w:space="0" w:color="auto"/>
      </w:divBdr>
    </w:div>
    <w:div w:id="1229801510">
      <w:bodyDiv w:val="1"/>
      <w:marLeft w:val="0"/>
      <w:marRight w:val="0"/>
      <w:marTop w:val="0"/>
      <w:marBottom w:val="0"/>
      <w:divBdr>
        <w:top w:val="none" w:sz="0" w:space="0" w:color="auto"/>
        <w:left w:val="none" w:sz="0" w:space="0" w:color="auto"/>
        <w:bottom w:val="none" w:sz="0" w:space="0" w:color="auto"/>
        <w:right w:val="none" w:sz="0" w:space="0" w:color="auto"/>
      </w:divBdr>
    </w:div>
    <w:div w:id="1229802551">
      <w:bodyDiv w:val="1"/>
      <w:marLeft w:val="0"/>
      <w:marRight w:val="0"/>
      <w:marTop w:val="0"/>
      <w:marBottom w:val="0"/>
      <w:divBdr>
        <w:top w:val="none" w:sz="0" w:space="0" w:color="auto"/>
        <w:left w:val="none" w:sz="0" w:space="0" w:color="auto"/>
        <w:bottom w:val="none" w:sz="0" w:space="0" w:color="auto"/>
        <w:right w:val="none" w:sz="0" w:space="0" w:color="auto"/>
      </w:divBdr>
    </w:div>
    <w:div w:id="1229875096">
      <w:bodyDiv w:val="1"/>
      <w:marLeft w:val="0"/>
      <w:marRight w:val="0"/>
      <w:marTop w:val="0"/>
      <w:marBottom w:val="0"/>
      <w:divBdr>
        <w:top w:val="none" w:sz="0" w:space="0" w:color="auto"/>
        <w:left w:val="none" w:sz="0" w:space="0" w:color="auto"/>
        <w:bottom w:val="none" w:sz="0" w:space="0" w:color="auto"/>
        <w:right w:val="none" w:sz="0" w:space="0" w:color="auto"/>
      </w:divBdr>
    </w:div>
    <w:div w:id="1229994379">
      <w:bodyDiv w:val="1"/>
      <w:marLeft w:val="0"/>
      <w:marRight w:val="0"/>
      <w:marTop w:val="0"/>
      <w:marBottom w:val="0"/>
      <w:divBdr>
        <w:top w:val="none" w:sz="0" w:space="0" w:color="auto"/>
        <w:left w:val="none" w:sz="0" w:space="0" w:color="auto"/>
        <w:bottom w:val="none" w:sz="0" w:space="0" w:color="auto"/>
        <w:right w:val="none" w:sz="0" w:space="0" w:color="auto"/>
      </w:divBdr>
    </w:div>
    <w:div w:id="1230115829">
      <w:bodyDiv w:val="1"/>
      <w:marLeft w:val="0"/>
      <w:marRight w:val="0"/>
      <w:marTop w:val="0"/>
      <w:marBottom w:val="0"/>
      <w:divBdr>
        <w:top w:val="none" w:sz="0" w:space="0" w:color="auto"/>
        <w:left w:val="none" w:sz="0" w:space="0" w:color="auto"/>
        <w:bottom w:val="none" w:sz="0" w:space="0" w:color="auto"/>
        <w:right w:val="none" w:sz="0" w:space="0" w:color="auto"/>
      </w:divBdr>
    </w:div>
    <w:div w:id="1230463533">
      <w:bodyDiv w:val="1"/>
      <w:marLeft w:val="0"/>
      <w:marRight w:val="0"/>
      <w:marTop w:val="0"/>
      <w:marBottom w:val="0"/>
      <w:divBdr>
        <w:top w:val="none" w:sz="0" w:space="0" w:color="auto"/>
        <w:left w:val="none" w:sz="0" w:space="0" w:color="auto"/>
        <w:bottom w:val="none" w:sz="0" w:space="0" w:color="auto"/>
        <w:right w:val="none" w:sz="0" w:space="0" w:color="auto"/>
      </w:divBdr>
    </w:div>
    <w:div w:id="1230575336">
      <w:bodyDiv w:val="1"/>
      <w:marLeft w:val="0"/>
      <w:marRight w:val="0"/>
      <w:marTop w:val="0"/>
      <w:marBottom w:val="0"/>
      <w:divBdr>
        <w:top w:val="none" w:sz="0" w:space="0" w:color="auto"/>
        <w:left w:val="none" w:sz="0" w:space="0" w:color="auto"/>
        <w:bottom w:val="none" w:sz="0" w:space="0" w:color="auto"/>
        <w:right w:val="none" w:sz="0" w:space="0" w:color="auto"/>
      </w:divBdr>
    </w:div>
    <w:div w:id="1230847083">
      <w:bodyDiv w:val="1"/>
      <w:marLeft w:val="0"/>
      <w:marRight w:val="0"/>
      <w:marTop w:val="0"/>
      <w:marBottom w:val="0"/>
      <w:divBdr>
        <w:top w:val="none" w:sz="0" w:space="0" w:color="auto"/>
        <w:left w:val="none" w:sz="0" w:space="0" w:color="auto"/>
        <w:bottom w:val="none" w:sz="0" w:space="0" w:color="auto"/>
        <w:right w:val="none" w:sz="0" w:space="0" w:color="auto"/>
      </w:divBdr>
    </w:div>
    <w:div w:id="1230847188">
      <w:bodyDiv w:val="1"/>
      <w:marLeft w:val="0"/>
      <w:marRight w:val="0"/>
      <w:marTop w:val="0"/>
      <w:marBottom w:val="0"/>
      <w:divBdr>
        <w:top w:val="none" w:sz="0" w:space="0" w:color="auto"/>
        <w:left w:val="none" w:sz="0" w:space="0" w:color="auto"/>
        <w:bottom w:val="none" w:sz="0" w:space="0" w:color="auto"/>
        <w:right w:val="none" w:sz="0" w:space="0" w:color="auto"/>
      </w:divBdr>
    </w:div>
    <w:div w:id="1230966125">
      <w:bodyDiv w:val="1"/>
      <w:marLeft w:val="0"/>
      <w:marRight w:val="0"/>
      <w:marTop w:val="0"/>
      <w:marBottom w:val="0"/>
      <w:divBdr>
        <w:top w:val="none" w:sz="0" w:space="0" w:color="auto"/>
        <w:left w:val="none" w:sz="0" w:space="0" w:color="auto"/>
        <w:bottom w:val="none" w:sz="0" w:space="0" w:color="auto"/>
        <w:right w:val="none" w:sz="0" w:space="0" w:color="auto"/>
      </w:divBdr>
    </w:div>
    <w:div w:id="1231038668">
      <w:bodyDiv w:val="1"/>
      <w:marLeft w:val="0"/>
      <w:marRight w:val="0"/>
      <w:marTop w:val="0"/>
      <w:marBottom w:val="0"/>
      <w:divBdr>
        <w:top w:val="none" w:sz="0" w:space="0" w:color="auto"/>
        <w:left w:val="none" w:sz="0" w:space="0" w:color="auto"/>
        <w:bottom w:val="none" w:sz="0" w:space="0" w:color="auto"/>
        <w:right w:val="none" w:sz="0" w:space="0" w:color="auto"/>
      </w:divBdr>
    </w:div>
    <w:div w:id="1231187092">
      <w:bodyDiv w:val="1"/>
      <w:marLeft w:val="0"/>
      <w:marRight w:val="0"/>
      <w:marTop w:val="0"/>
      <w:marBottom w:val="0"/>
      <w:divBdr>
        <w:top w:val="none" w:sz="0" w:space="0" w:color="auto"/>
        <w:left w:val="none" w:sz="0" w:space="0" w:color="auto"/>
        <w:bottom w:val="none" w:sz="0" w:space="0" w:color="auto"/>
        <w:right w:val="none" w:sz="0" w:space="0" w:color="auto"/>
      </w:divBdr>
    </w:div>
    <w:div w:id="1231188934">
      <w:bodyDiv w:val="1"/>
      <w:marLeft w:val="0"/>
      <w:marRight w:val="0"/>
      <w:marTop w:val="0"/>
      <w:marBottom w:val="0"/>
      <w:divBdr>
        <w:top w:val="none" w:sz="0" w:space="0" w:color="auto"/>
        <w:left w:val="none" w:sz="0" w:space="0" w:color="auto"/>
        <w:bottom w:val="none" w:sz="0" w:space="0" w:color="auto"/>
        <w:right w:val="none" w:sz="0" w:space="0" w:color="auto"/>
      </w:divBdr>
    </w:div>
    <w:div w:id="1231190403">
      <w:bodyDiv w:val="1"/>
      <w:marLeft w:val="0"/>
      <w:marRight w:val="0"/>
      <w:marTop w:val="0"/>
      <w:marBottom w:val="0"/>
      <w:divBdr>
        <w:top w:val="none" w:sz="0" w:space="0" w:color="auto"/>
        <w:left w:val="none" w:sz="0" w:space="0" w:color="auto"/>
        <w:bottom w:val="none" w:sz="0" w:space="0" w:color="auto"/>
        <w:right w:val="none" w:sz="0" w:space="0" w:color="auto"/>
      </w:divBdr>
    </w:div>
    <w:div w:id="1231429664">
      <w:bodyDiv w:val="1"/>
      <w:marLeft w:val="0"/>
      <w:marRight w:val="0"/>
      <w:marTop w:val="0"/>
      <w:marBottom w:val="0"/>
      <w:divBdr>
        <w:top w:val="none" w:sz="0" w:space="0" w:color="auto"/>
        <w:left w:val="none" w:sz="0" w:space="0" w:color="auto"/>
        <w:bottom w:val="none" w:sz="0" w:space="0" w:color="auto"/>
        <w:right w:val="none" w:sz="0" w:space="0" w:color="auto"/>
      </w:divBdr>
    </w:div>
    <w:div w:id="1231429780">
      <w:bodyDiv w:val="1"/>
      <w:marLeft w:val="0"/>
      <w:marRight w:val="0"/>
      <w:marTop w:val="0"/>
      <w:marBottom w:val="0"/>
      <w:divBdr>
        <w:top w:val="none" w:sz="0" w:space="0" w:color="auto"/>
        <w:left w:val="none" w:sz="0" w:space="0" w:color="auto"/>
        <w:bottom w:val="none" w:sz="0" w:space="0" w:color="auto"/>
        <w:right w:val="none" w:sz="0" w:space="0" w:color="auto"/>
      </w:divBdr>
    </w:div>
    <w:div w:id="1231573396">
      <w:bodyDiv w:val="1"/>
      <w:marLeft w:val="0"/>
      <w:marRight w:val="0"/>
      <w:marTop w:val="0"/>
      <w:marBottom w:val="0"/>
      <w:divBdr>
        <w:top w:val="none" w:sz="0" w:space="0" w:color="auto"/>
        <w:left w:val="none" w:sz="0" w:space="0" w:color="auto"/>
        <w:bottom w:val="none" w:sz="0" w:space="0" w:color="auto"/>
        <w:right w:val="none" w:sz="0" w:space="0" w:color="auto"/>
      </w:divBdr>
    </w:div>
    <w:div w:id="1231577194">
      <w:bodyDiv w:val="1"/>
      <w:marLeft w:val="0"/>
      <w:marRight w:val="0"/>
      <w:marTop w:val="0"/>
      <w:marBottom w:val="0"/>
      <w:divBdr>
        <w:top w:val="none" w:sz="0" w:space="0" w:color="auto"/>
        <w:left w:val="none" w:sz="0" w:space="0" w:color="auto"/>
        <w:bottom w:val="none" w:sz="0" w:space="0" w:color="auto"/>
        <w:right w:val="none" w:sz="0" w:space="0" w:color="auto"/>
      </w:divBdr>
    </w:div>
    <w:div w:id="1231579983">
      <w:bodyDiv w:val="1"/>
      <w:marLeft w:val="0"/>
      <w:marRight w:val="0"/>
      <w:marTop w:val="0"/>
      <w:marBottom w:val="0"/>
      <w:divBdr>
        <w:top w:val="none" w:sz="0" w:space="0" w:color="auto"/>
        <w:left w:val="none" w:sz="0" w:space="0" w:color="auto"/>
        <w:bottom w:val="none" w:sz="0" w:space="0" w:color="auto"/>
        <w:right w:val="none" w:sz="0" w:space="0" w:color="auto"/>
      </w:divBdr>
    </w:div>
    <w:div w:id="1231619352">
      <w:bodyDiv w:val="1"/>
      <w:marLeft w:val="0"/>
      <w:marRight w:val="0"/>
      <w:marTop w:val="0"/>
      <w:marBottom w:val="0"/>
      <w:divBdr>
        <w:top w:val="none" w:sz="0" w:space="0" w:color="auto"/>
        <w:left w:val="none" w:sz="0" w:space="0" w:color="auto"/>
        <w:bottom w:val="none" w:sz="0" w:space="0" w:color="auto"/>
        <w:right w:val="none" w:sz="0" w:space="0" w:color="auto"/>
      </w:divBdr>
    </w:div>
    <w:div w:id="1231621313">
      <w:bodyDiv w:val="1"/>
      <w:marLeft w:val="0"/>
      <w:marRight w:val="0"/>
      <w:marTop w:val="0"/>
      <w:marBottom w:val="0"/>
      <w:divBdr>
        <w:top w:val="none" w:sz="0" w:space="0" w:color="auto"/>
        <w:left w:val="none" w:sz="0" w:space="0" w:color="auto"/>
        <w:bottom w:val="none" w:sz="0" w:space="0" w:color="auto"/>
        <w:right w:val="none" w:sz="0" w:space="0" w:color="auto"/>
      </w:divBdr>
    </w:div>
    <w:div w:id="1231696291">
      <w:bodyDiv w:val="1"/>
      <w:marLeft w:val="0"/>
      <w:marRight w:val="0"/>
      <w:marTop w:val="0"/>
      <w:marBottom w:val="0"/>
      <w:divBdr>
        <w:top w:val="none" w:sz="0" w:space="0" w:color="auto"/>
        <w:left w:val="none" w:sz="0" w:space="0" w:color="auto"/>
        <w:bottom w:val="none" w:sz="0" w:space="0" w:color="auto"/>
        <w:right w:val="none" w:sz="0" w:space="0" w:color="auto"/>
      </w:divBdr>
    </w:div>
    <w:div w:id="1231770418">
      <w:bodyDiv w:val="1"/>
      <w:marLeft w:val="0"/>
      <w:marRight w:val="0"/>
      <w:marTop w:val="0"/>
      <w:marBottom w:val="0"/>
      <w:divBdr>
        <w:top w:val="none" w:sz="0" w:space="0" w:color="auto"/>
        <w:left w:val="none" w:sz="0" w:space="0" w:color="auto"/>
        <w:bottom w:val="none" w:sz="0" w:space="0" w:color="auto"/>
        <w:right w:val="none" w:sz="0" w:space="0" w:color="auto"/>
      </w:divBdr>
    </w:div>
    <w:div w:id="1232039859">
      <w:bodyDiv w:val="1"/>
      <w:marLeft w:val="0"/>
      <w:marRight w:val="0"/>
      <w:marTop w:val="0"/>
      <w:marBottom w:val="0"/>
      <w:divBdr>
        <w:top w:val="none" w:sz="0" w:space="0" w:color="auto"/>
        <w:left w:val="none" w:sz="0" w:space="0" w:color="auto"/>
        <w:bottom w:val="none" w:sz="0" w:space="0" w:color="auto"/>
        <w:right w:val="none" w:sz="0" w:space="0" w:color="auto"/>
      </w:divBdr>
    </w:div>
    <w:div w:id="1232234021">
      <w:bodyDiv w:val="1"/>
      <w:marLeft w:val="0"/>
      <w:marRight w:val="0"/>
      <w:marTop w:val="0"/>
      <w:marBottom w:val="0"/>
      <w:divBdr>
        <w:top w:val="none" w:sz="0" w:space="0" w:color="auto"/>
        <w:left w:val="none" w:sz="0" w:space="0" w:color="auto"/>
        <w:bottom w:val="none" w:sz="0" w:space="0" w:color="auto"/>
        <w:right w:val="none" w:sz="0" w:space="0" w:color="auto"/>
      </w:divBdr>
    </w:div>
    <w:div w:id="1232345447">
      <w:bodyDiv w:val="1"/>
      <w:marLeft w:val="0"/>
      <w:marRight w:val="0"/>
      <w:marTop w:val="0"/>
      <w:marBottom w:val="0"/>
      <w:divBdr>
        <w:top w:val="none" w:sz="0" w:space="0" w:color="auto"/>
        <w:left w:val="none" w:sz="0" w:space="0" w:color="auto"/>
        <w:bottom w:val="none" w:sz="0" w:space="0" w:color="auto"/>
        <w:right w:val="none" w:sz="0" w:space="0" w:color="auto"/>
      </w:divBdr>
    </w:div>
    <w:div w:id="1232471336">
      <w:bodyDiv w:val="1"/>
      <w:marLeft w:val="0"/>
      <w:marRight w:val="0"/>
      <w:marTop w:val="0"/>
      <w:marBottom w:val="0"/>
      <w:divBdr>
        <w:top w:val="none" w:sz="0" w:space="0" w:color="auto"/>
        <w:left w:val="none" w:sz="0" w:space="0" w:color="auto"/>
        <w:bottom w:val="none" w:sz="0" w:space="0" w:color="auto"/>
        <w:right w:val="none" w:sz="0" w:space="0" w:color="auto"/>
      </w:divBdr>
    </w:div>
    <w:div w:id="1232498012">
      <w:bodyDiv w:val="1"/>
      <w:marLeft w:val="0"/>
      <w:marRight w:val="0"/>
      <w:marTop w:val="0"/>
      <w:marBottom w:val="0"/>
      <w:divBdr>
        <w:top w:val="none" w:sz="0" w:space="0" w:color="auto"/>
        <w:left w:val="none" w:sz="0" w:space="0" w:color="auto"/>
        <w:bottom w:val="none" w:sz="0" w:space="0" w:color="auto"/>
        <w:right w:val="none" w:sz="0" w:space="0" w:color="auto"/>
      </w:divBdr>
    </w:div>
    <w:div w:id="1232541138">
      <w:bodyDiv w:val="1"/>
      <w:marLeft w:val="0"/>
      <w:marRight w:val="0"/>
      <w:marTop w:val="0"/>
      <w:marBottom w:val="0"/>
      <w:divBdr>
        <w:top w:val="none" w:sz="0" w:space="0" w:color="auto"/>
        <w:left w:val="none" w:sz="0" w:space="0" w:color="auto"/>
        <w:bottom w:val="none" w:sz="0" w:space="0" w:color="auto"/>
        <w:right w:val="none" w:sz="0" w:space="0" w:color="auto"/>
      </w:divBdr>
    </w:div>
    <w:div w:id="1232934714">
      <w:bodyDiv w:val="1"/>
      <w:marLeft w:val="0"/>
      <w:marRight w:val="0"/>
      <w:marTop w:val="0"/>
      <w:marBottom w:val="0"/>
      <w:divBdr>
        <w:top w:val="none" w:sz="0" w:space="0" w:color="auto"/>
        <w:left w:val="none" w:sz="0" w:space="0" w:color="auto"/>
        <w:bottom w:val="none" w:sz="0" w:space="0" w:color="auto"/>
        <w:right w:val="none" w:sz="0" w:space="0" w:color="auto"/>
      </w:divBdr>
    </w:div>
    <w:div w:id="1233002396">
      <w:bodyDiv w:val="1"/>
      <w:marLeft w:val="0"/>
      <w:marRight w:val="0"/>
      <w:marTop w:val="0"/>
      <w:marBottom w:val="0"/>
      <w:divBdr>
        <w:top w:val="none" w:sz="0" w:space="0" w:color="auto"/>
        <w:left w:val="none" w:sz="0" w:space="0" w:color="auto"/>
        <w:bottom w:val="none" w:sz="0" w:space="0" w:color="auto"/>
        <w:right w:val="none" w:sz="0" w:space="0" w:color="auto"/>
      </w:divBdr>
    </w:div>
    <w:div w:id="1233202465">
      <w:bodyDiv w:val="1"/>
      <w:marLeft w:val="0"/>
      <w:marRight w:val="0"/>
      <w:marTop w:val="0"/>
      <w:marBottom w:val="0"/>
      <w:divBdr>
        <w:top w:val="none" w:sz="0" w:space="0" w:color="auto"/>
        <w:left w:val="none" w:sz="0" w:space="0" w:color="auto"/>
        <w:bottom w:val="none" w:sz="0" w:space="0" w:color="auto"/>
        <w:right w:val="none" w:sz="0" w:space="0" w:color="auto"/>
      </w:divBdr>
    </w:div>
    <w:div w:id="1233462533">
      <w:bodyDiv w:val="1"/>
      <w:marLeft w:val="0"/>
      <w:marRight w:val="0"/>
      <w:marTop w:val="0"/>
      <w:marBottom w:val="0"/>
      <w:divBdr>
        <w:top w:val="none" w:sz="0" w:space="0" w:color="auto"/>
        <w:left w:val="none" w:sz="0" w:space="0" w:color="auto"/>
        <w:bottom w:val="none" w:sz="0" w:space="0" w:color="auto"/>
        <w:right w:val="none" w:sz="0" w:space="0" w:color="auto"/>
      </w:divBdr>
    </w:div>
    <w:div w:id="1233464330">
      <w:bodyDiv w:val="1"/>
      <w:marLeft w:val="0"/>
      <w:marRight w:val="0"/>
      <w:marTop w:val="0"/>
      <w:marBottom w:val="0"/>
      <w:divBdr>
        <w:top w:val="none" w:sz="0" w:space="0" w:color="auto"/>
        <w:left w:val="none" w:sz="0" w:space="0" w:color="auto"/>
        <w:bottom w:val="none" w:sz="0" w:space="0" w:color="auto"/>
        <w:right w:val="none" w:sz="0" w:space="0" w:color="auto"/>
      </w:divBdr>
    </w:div>
    <w:div w:id="1233539831">
      <w:bodyDiv w:val="1"/>
      <w:marLeft w:val="0"/>
      <w:marRight w:val="0"/>
      <w:marTop w:val="0"/>
      <w:marBottom w:val="0"/>
      <w:divBdr>
        <w:top w:val="none" w:sz="0" w:space="0" w:color="auto"/>
        <w:left w:val="none" w:sz="0" w:space="0" w:color="auto"/>
        <w:bottom w:val="none" w:sz="0" w:space="0" w:color="auto"/>
        <w:right w:val="none" w:sz="0" w:space="0" w:color="auto"/>
      </w:divBdr>
    </w:div>
    <w:div w:id="1233737539">
      <w:bodyDiv w:val="1"/>
      <w:marLeft w:val="0"/>
      <w:marRight w:val="0"/>
      <w:marTop w:val="0"/>
      <w:marBottom w:val="0"/>
      <w:divBdr>
        <w:top w:val="none" w:sz="0" w:space="0" w:color="auto"/>
        <w:left w:val="none" w:sz="0" w:space="0" w:color="auto"/>
        <w:bottom w:val="none" w:sz="0" w:space="0" w:color="auto"/>
        <w:right w:val="none" w:sz="0" w:space="0" w:color="auto"/>
      </w:divBdr>
    </w:div>
    <w:div w:id="1233849720">
      <w:bodyDiv w:val="1"/>
      <w:marLeft w:val="0"/>
      <w:marRight w:val="0"/>
      <w:marTop w:val="0"/>
      <w:marBottom w:val="0"/>
      <w:divBdr>
        <w:top w:val="none" w:sz="0" w:space="0" w:color="auto"/>
        <w:left w:val="none" w:sz="0" w:space="0" w:color="auto"/>
        <w:bottom w:val="none" w:sz="0" w:space="0" w:color="auto"/>
        <w:right w:val="none" w:sz="0" w:space="0" w:color="auto"/>
      </w:divBdr>
    </w:div>
    <w:div w:id="1233930186">
      <w:bodyDiv w:val="1"/>
      <w:marLeft w:val="0"/>
      <w:marRight w:val="0"/>
      <w:marTop w:val="0"/>
      <w:marBottom w:val="0"/>
      <w:divBdr>
        <w:top w:val="none" w:sz="0" w:space="0" w:color="auto"/>
        <w:left w:val="none" w:sz="0" w:space="0" w:color="auto"/>
        <w:bottom w:val="none" w:sz="0" w:space="0" w:color="auto"/>
        <w:right w:val="none" w:sz="0" w:space="0" w:color="auto"/>
      </w:divBdr>
    </w:div>
    <w:div w:id="1234001033">
      <w:bodyDiv w:val="1"/>
      <w:marLeft w:val="0"/>
      <w:marRight w:val="0"/>
      <w:marTop w:val="0"/>
      <w:marBottom w:val="0"/>
      <w:divBdr>
        <w:top w:val="none" w:sz="0" w:space="0" w:color="auto"/>
        <w:left w:val="none" w:sz="0" w:space="0" w:color="auto"/>
        <w:bottom w:val="none" w:sz="0" w:space="0" w:color="auto"/>
        <w:right w:val="none" w:sz="0" w:space="0" w:color="auto"/>
      </w:divBdr>
    </w:div>
    <w:div w:id="1234118239">
      <w:bodyDiv w:val="1"/>
      <w:marLeft w:val="0"/>
      <w:marRight w:val="0"/>
      <w:marTop w:val="0"/>
      <w:marBottom w:val="0"/>
      <w:divBdr>
        <w:top w:val="none" w:sz="0" w:space="0" w:color="auto"/>
        <w:left w:val="none" w:sz="0" w:space="0" w:color="auto"/>
        <w:bottom w:val="none" w:sz="0" w:space="0" w:color="auto"/>
        <w:right w:val="none" w:sz="0" w:space="0" w:color="auto"/>
      </w:divBdr>
    </w:div>
    <w:div w:id="1234389756">
      <w:bodyDiv w:val="1"/>
      <w:marLeft w:val="0"/>
      <w:marRight w:val="0"/>
      <w:marTop w:val="0"/>
      <w:marBottom w:val="0"/>
      <w:divBdr>
        <w:top w:val="none" w:sz="0" w:space="0" w:color="auto"/>
        <w:left w:val="none" w:sz="0" w:space="0" w:color="auto"/>
        <w:bottom w:val="none" w:sz="0" w:space="0" w:color="auto"/>
        <w:right w:val="none" w:sz="0" w:space="0" w:color="auto"/>
      </w:divBdr>
    </w:div>
    <w:div w:id="1234584162">
      <w:bodyDiv w:val="1"/>
      <w:marLeft w:val="0"/>
      <w:marRight w:val="0"/>
      <w:marTop w:val="0"/>
      <w:marBottom w:val="0"/>
      <w:divBdr>
        <w:top w:val="none" w:sz="0" w:space="0" w:color="auto"/>
        <w:left w:val="none" w:sz="0" w:space="0" w:color="auto"/>
        <w:bottom w:val="none" w:sz="0" w:space="0" w:color="auto"/>
        <w:right w:val="none" w:sz="0" w:space="0" w:color="auto"/>
      </w:divBdr>
    </w:div>
    <w:div w:id="1234775753">
      <w:bodyDiv w:val="1"/>
      <w:marLeft w:val="0"/>
      <w:marRight w:val="0"/>
      <w:marTop w:val="0"/>
      <w:marBottom w:val="0"/>
      <w:divBdr>
        <w:top w:val="none" w:sz="0" w:space="0" w:color="auto"/>
        <w:left w:val="none" w:sz="0" w:space="0" w:color="auto"/>
        <w:bottom w:val="none" w:sz="0" w:space="0" w:color="auto"/>
        <w:right w:val="none" w:sz="0" w:space="0" w:color="auto"/>
      </w:divBdr>
    </w:div>
    <w:div w:id="1234895583">
      <w:bodyDiv w:val="1"/>
      <w:marLeft w:val="0"/>
      <w:marRight w:val="0"/>
      <w:marTop w:val="0"/>
      <w:marBottom w:val="0"/>
      <w:divBdr>
        <w:top w:val="none" w:sz="0" w:space="0" w:color="auto"/>
        <w:left w:val="none" w:sz="0" w:space="0" w:color="auto"/>
        <w:bottom w:val="none" w:sz="0" w:space="0" w:color="auto"/>
        <w:right w:val="none" w:sz="0" w:space="0" w:color="auto"/>
      </w:divBdr>
    </w:div>
    <w:div w:id="1234925286">
      <w:bodyDiv w:val="1"/>
      <w:marLeft w:val="0"/>
      <w:marRight w:val="0"/>
      <w:marTop w:val="0"/>
      <w:marBottom w:val="0"/>
      <w:divBdr>
        <w:top w:val="none" w:sz="0" w:space="0" w:color="auto"/>
        <w:left w:val="none" w:sz="0" w:space="0" w:color="auto"/>
        <w:bottom w:val="none" w:sz="0" w:space="0" w:color="auto"/>
        <w:right w:val="none" w:sz="0" w:space="0" w:color="auto"/>
      </w:divBdr>
    </w:div>
    <w:div w:id="1235241860">
      <w:bodyDiv w:val="1"/>
      <w:marLeft w:val="0"/>
      <w:marRight w:val="0"/>
      <w:marTop w:val="0"/>
      <w:marBottom w:val="0"/>
      <w:divBdr>
        <w:top w:val="none" w:sz="0" w:space="0" w:color="auto"/>
        <w:left w:val="none" w:sz="0" w:space="0" w:color="auto"/>
        <w:bottom w:val="none" w:sz="0" w:space="0" w:color="auto"/>
        <w:right w:val="none" w:sz="0" w:space="0" w:color="auto"/>
      </w:divBdr>
    </w:div>
    <w:div w:id="1235242868">
      <w:bodyDiv w:val="1"/>
      <w:marLeft w:val="0"/>
      <w:marRight w:val="0"/>
      <w:marTop w:val="0"/>
      <w:marBottom w:val="0"/>
      <w:divBdr>
        <w:top w:val="none" w:sz="0" w:space="0" w:color="auto"/>
        <w:left w:val="none" w:sz="0" w:space="0" w:color="auto"/>
        <w:bottom w:val="none" w:sz="0" w:space="0" w:color="auto"/>
        <w:right w:val="none" w:sz="0" w:space="0" w:color="auto"/>
      </w:divBdr>
    </w:div>
    <w:div w:id="1235432504">
      <w:bodyDiv w:val="1"/>
      <w:marLeft w:val="0"/>
      <w:marRight w:val="0"/>
      <w:marTop w:val="0"/>
      <w:marBottom w:val="0"/>
      <w:divBdr>
        <w:top w:val="none" w:sz="0" w:space="0" w:color="auto"/>
        <w:left w:val="none" w:sz="0" w:space="0" w:color="auto"/>
        <w:bottom w:val="none" w:sz="0" w:space="0" w:color="auto"/>
        <w:right w:val="none" w:sz="0" w:space="0" w:color="auto"/>
      </w:divBdr>
    </w:div>
    <w:div w:id="1235580472">
      <w:bodyDiv w:val="1"/>
      <w:marLeft w:val="0"/>
      <w:marRight w:val="0"/>
      <w:marTop w:val="0"/>
      <w:marBottom w:val="0"/>
      <w:divBdr>
        <w:top w:val="none" w:sz="0" w:space="0" w:color="auto"/>
        <w:left w:val="none" w:sz="0" w:space="0" w:color="auto"/>
        <w:bottom w:val="none" w:sz="0" w:space="0" w:color="auto"/>
        <w:right w:val="none" w:sz="0" w:space="0" w:color="auto"/>
      </w:divBdr>
    </w:div>
    <w:div w:id="1235626921">
      <w:bodyDiv w:val="1"/>
      <w:marLeft w:val="0"/>
      <w:marRight w:val="0"/>
      <w:marTop w:val="0"/>
      <w:marBottom w:val="0"/>
      <w:divBdr>
        <w:top w:val="none" w:sz="0" w:space="0" w:color="auto"/>
        <w:left w:val="none" w:sz="0" w:space="0" w:color="auto"/>
        <w:bottom w:val="none" w:sz="0" w:space="0" w:color="auto"/>
        <w:right w:val="none" w:sz="0" w:space="0" w:color="auto"/>
      </w:divBdr>
    </w:div>
    <w:div w:id="1235626952">
      <w:bodyDiv w:val="1"/>
      <w:marLeft w:val="0"/>
      <w:marRight w:val="0"/>
      <w:marTop w:val="0"/>
      <w:marBottom w:val="0"/>
      <w:divBdr>
        <w:top w:val="none" w:sz="0" w:space="0" w:color="auto"/>
        <w:left w:val="none" w:sz="0" w:space="0" w:color="auto"/>
        <w:bottom w:val="none" w:sz="0" w:space="0" w:color="auto"/>
        <w:right w:val="none" w:sz="0" w:space="0" w:color="auto"/>
      </w:divBdr>
    </w:div>
    <w:div w:id="1235629739">
      <w:bodyDiv w:val="1"/>
      <w:marLeft w:val="0"/>
      <w:marRight w:val="0"/>
      <w:marTop w:val="0"/>
      <w:marBottom w:val="0"/>
      <w:divBdr>
        <w:top w:val="none" w:sz="0" w:space="0" w:color="auto"/>
        <w:left w:val="none" w:sz="0" w:space="0" w:color="auto"/>
        <w:bottom w:val="none" w:sz="0" w:space="0" w:color="auto"/>
        <w:right w:val="none" w:sz="0" w:space="0" w:color="auto"/>
      </w:divBdr>
    </w:div>
    <w:div w:id="1235703480">
      <w:bodyDiv w:val="1"/>
      <w:marLeft w:val="0"/>
      <w:marRight w:val="0"/>
      <w:marTop w:val="0"/>
      <w:marBottom w:val="0"/>
      <w:divBdr>
        <w:top w:val="none" w:sz="0" w:space="0" w:color="auto"/>
        <w:left w:val="none" w:sz="0" w:space="0" w:color="auto"/>
        <w:bottom w:val="none" w:sz="0" w:space="0" w:color="auto"/>
        <w:right w:val="none" w:sz="0" w:space="0" w:color="auto"/>
      </w:divBdr>
    </w:div>
    <w:div w:id="1235775603">
      <w:bodyDiv w:val="1"/>
      <w:marLeft w:val="0"/>
      <w:marRight w:val="0"/>
      <w:marTop w:val="0"/>
      <w:marBottom w:val="0"/>
      <w:divBdr>
        <w:top w:val="none" w:sz="0" w:space="0" w:color="auto"/>
        <w:left w:val="none" w:sz="0" w:space="0" w:color="auto"/>
        <w:bottom w:val="none" w:sz="0" w:space="0" w:color="auto"/>
        <w:right w:val="none" w:sz="0" w:space="0" w:color="auto"/>
      </w:divBdr>
    </w:div>
    <w:div w:id="1235819763">
      <w:bodyDiv w:val="1"/>
      <w:marLeft w:val="0"/>
      <w:marRight w:val="0"/>
      <w:marTop w:val="0"/>
      <w:marBottom w:val="0"/>
      <w:divBdr>
        <w:top w:val="none" w:sz="0" w:space="0" w:color="auto"/>
        <w:left w:val="none" w:sz="0" w:space="0" w:color="auto"/>
        <w:bottom w:val="none" w:sz="0" w:space="0" w:color="auto"/>
        <w:right w:val="none" w:sz="0" w:space="0" w:color="auto"/>
      </w:divBdr>
    </w:div>
    <w:div w:id="1236040916">
      <w:bodyDiv w:val="1"/>
      <w:marLeft w:val="0"/>
      <w:marRight w:val="0"/>
      <w:marTop w:val="0"/>
      <w:marBottom w:val="0"/>
      <w:divBdr>
        <w:top w:val="none" w:sz="0" w:space="0" w:color="auto"/>
        <w:left w:val="none" w:sz="0" w:space="0" w:color="auto"/>
        <w:bottom w:val="none" w:sz="0" w:space="0" w:color="auto"/>
        <w:right w:val="none" w:sz="0" w:space="0" w:color="auto"/>
      </w:divBdr>
    </w:div>
    <w:div w:id="1236359867">
      <w:bodyDiv w:val="1"/>
      <w:marLeft w:val="0"/>
      <w:marRight w:val="0"/>
      <w:marTop w:val="0"/>
      <w:marBottom w:val="0"/>
      <w:divBdr>
        <w:top w:val="none" w:sz="0" w:space="0" w:color="auto"/>
        <w:left w:val="none" w:sz="0" w:space="0" w:color="auto"/>
        <w:bottom w:val="none" w:sz="0" w:space="0" w:color="auto"/>
        <w:right w:val="none" w:sz="0" w:space="0" w:color="auto"/>
      </w:divBdr>
    </w:div>
    <w:div w:id="1236360338">
      <w:bodyDiv w:val="1"/>
      <w:marLeft w:val="0"/>
      <w:marRight w:val="0"/>
      <w:marTop w:val="0"/>
      <w:marBottom w:val="0"/>
      <w:divBdr>
        <w:top w:val="none" w:sz="0" w:space="0" w:color="auto"/>
        <w:left w:val="none" w:sz="0" w:space="0" w:color="auto"/>
        <w:bottom w:val="none" w:sz="0" w:space="0" w:color="auto"/>
        <w:right w:val="none" w:sz="0" w:space="0" w:color="auto"/>
      </w:divBdr>
    </w:div>
    <w:div w:id="1236665782">
      <w:bodyDiv w:val="1"/>
      <w:marLeft w:val="0"/>
      <w:marRight w:val="0"/>
      <w:marTop w:val="0"/>
      <w:marBottom w:val="0"/>
      <w:divBdr>
        <w:top w:val="none" w:sz="0" w:space="0" w:color="auto"/>
        <w:left w:val="none" w:sz="0" w:space="0" w:color="auto"/>
        <w:bottom w:val="none" w:sz="0" w:space="0" w:color="auto"/>
        <w:right w:val="none" w:sz="0" w:space="0" w:color="auto"/>
      </w:divBdr>
    </w:div>
    <w:div w:id="1236739376">
      <w:bodyDiv w:val="1"/>
      <w:marLeft w:val="0"/>
      <w:marRight w:val="0"/>
      <w:marTop w:val="0"/>
      <w:marBottom w:val="0"/>
      <w:divBdr>
        <w:top w:val="none" w:sz="0" w:space="0" w:color="auto"/>
        <w:left w:val="none" w:sz="0" w:space="0" w:color="auto"/>
        <w:bottom w:val="none" w:sz="0" w:space="0" w:color="auto"/>
        <w:right w:val="none" w:sz="0" w:space="0" w:color="auto"/>
      </w:divBdr>
    </w:div>
    <w:div w:id="1236817850">
      <w:bodyDiv w:val="1"/>
      <w:marLeft w:val="0"/>
      <w:marRight w:val="0"/>
      <w:marTop w:val="0"/>
      <w:marBottom w:val="0"/>
      <w:divBdr>
        <w:top w:val="none" w:sz="0" w:space="0" w:color="auto"/>
        <w:left w:val="none" w:sz="0" w:space="0" w:color="auto"/>
        <w:bottom w:val="none" w:sz="0" w:space="0" w:color="auto"/>
        <w:right w:val="none" w:sz="0" w:space="0" w:color="auto"/>
      </w:divBdr>
    </w:div>
    <w:div w:id="1236863864">
      <w:bodyDiv w:val="1"/>
      <w:marLeft w:val="0"/>
      <w:marRight w:val="0"/>
      <w:marTop w:val="0"/>
      <w:marBottom w:val="0"/>
      <w:divBdr>
        <w:top w:val="none" w:sz="0" w:space="0" w:color="auto"/>
        <w:left w:val="none" w:sz="0" w:space="0" w:color="auto"/>
        <w:bottom w:val="none" w:sz="0" w:space="0" w:color="auto"/>
        <w:right w:val="none" w:sz="0" w:space="0" w:color="auto"/>
      </w:divBdr>
    </w:div>
    <w:div w:id="1236941543">
      <w:bodyDiv w:val="1"/>
      <w:marLeft w:val="0"/>
      <w:marRight w:val="0"/>
      <w:marTop w:val="0"/>
      <w:marBottom w:val="0"/>
      <w:divBdr>
        <w:top w:val="none" w:sz="0" w:space="0" w:color="auto"/>
        <w:left w:val="none" w:sz="0" w:space="0" w:color="auto"/>
        <w:bottom w:val="none" w:sz="0" w:space="0" w:color="auto"/>
        <w:right w:val="none" w:sz="0" w:space="0" w:color="auto"/>
      </w:divBdr>
    </w:div>
    <w:div w:id="1237209474">
      <w:bodyDiv w:val="1"/>
      <w:marLeft w:val="0"/>
      <w:marRight w:val="0"/>
      <w:marTop w:val="0"/>
      <w:marBottom w:val="0"/>
      <w:divBdr>
        <w:top w:val="none" w:sz="0" w:space="0" w:color="auto"/>
        <w:left w:val="none" w:sz="0" w:space="0" w:color="auto"/>
        <w:bottom w:val="none" w:sz="0" w:space="0" w:color="auto"/>
        <w:right w:val="none" w:sz="0" w:space="0" w:color="auto"/>
      </w:divBdr>
    </w:div>
    <w:div w:id="1237276274">
      <w:bodyDiv w:val="1"/>
      <w:marLeft w:val="0"/>
      <w:marRight w:val="0"/>
      <w:marTop w:val="0"/>
      <w:marBottom w:val="0"/>
      <w:divBdr>
        <w:top w:val="none" w:sz="0" w:space="0" w:color="auto"/>
        <w:left w:val="none" w:sz="0" w:space="0" w:color="auto"/>
        <w:bottom w:val="none" w:sz="0" w:space="0" w:color="auto"/>
        <w:right w:val="none" w:sz="0" w:space="0" w:color="auto"/>
      </w:divBdr>
    </w:div>
    <w:div w:id="1237283095">
      <w:bodyDiv w:val="1"/>
      <w:marLeft w:val="0"/>
      <w:marRight w:val="0"/>
      <w:marTop w:val="0"/>
      <w:marBottom w:val="0"/>
      <w:divBdr>
        <w:top w:val="none" w:sz="0" w:space="0" w:color="auto"/>
        <w:left w:val="none" w:sz="0" w:space="0" w:color="auto"/>
        <w:bottom w:val="none" w:sz="0" w:space="0" w:color="auto"/>
        <w:right w:val="none" w:sz="0" w:space="0" w:color="auto"/>
      </w:divBdr>
    </w:div>
    <w:div w:id="1237402529">
      <w:bodyDiv w:val="1"/>
      <w:marLeft w:val="0"/>
      <w:marRight w:val="0"/>
      <w:marTop w:val="0"/>
      <w:marBottom w:val="0"/>
      <w:divBdr>
        <w:top w:val="none" w:sz="0" w:space="0" w:color="auto"/>
        <w:left w:val="none" w:sz="0" w:space="0" w:color="auto"/>
        <w:bottom w:val="none" w:sz="0" w:space="0" w:color="auto"/>
        <w:right w:val="none" w:sz="0" w:space="0" w:color="auto"/>
      </w:divBdr>
    </w:div>
    <w:div w:id="1237517792">
      <w:bodyDiv w:val="1"/>
      <w:marLeft w:val="0"/>
      <w:marRight w:val="0"/>
      <w:marTop w:val="0"/>
      <w:marBottom w:val="0"/>
      <w:divBdr>
        <w:top w:val="none" w:sz="0" w:space="0" w:color="auto"/>
        <w:left w:val="none" w:sz="0" w:space="0" w:color="auto"/>
        <w:bottom w:val="none" w:sz="0" w:space="0" w:color="auto"/>
        <w:right w:val="none" w:sz="0" w:space="0" w:color="auto"/>
      </w:divBdr>
    </w:div>
    <w:div w:id="1237520096">
      <w:bodyDiv w:val="1"/>
      <w:marLeft w:val="0"/>
      <w:marRight w:val="0"/>
      <w:marTop w:val="0"/>
      <w:marBottom w:val="0"/>
      <w:divBdr>
        <w:top w:val="none" w:sz="0" w:space="0" w:color="auto"/>
        <w:left w:val="none" w:sz="0" w:space="0" w:color="auto"/>
        <w:bottom w:val="none" w:sz="0" w:space="0" w:color="auto"/>
        <w:right w:val="none" w:sz="0" w:space="0" w:color="auto"/>
      </w:divBdr>
    </w:div>
    <w:div w:id="1237787774">
      <w:bodyDiv w:val="1"/>
      <w:marLeft w:val="0"/>
      <w:marRight w:val="0"/>
      <w:marTop w:val="0"/>
      <w:marBottom w:val="0"/>
      <w:divBdr>
        <w:top w:val="none" w:sz="0" w:space="0" w:color="auto"/>
        <w:left w:val="none" w:sz="0" w:space="0" w:color="auto"/>
        <w:bottom w:val="none" w:sz="0" w:space="0" w:color="auto"/>
        <w:right w:val="none" w:sz="0" w:space="0" w:color="auto"/>
      </w:divBdr>
    </w:div>
    <w:div w:id="1238125772">
      <w:bodyDiv w:val="1"/>
      <w:marLeft w:val="0"/>
      <w:marRight w:val="0"/>
      <w:marTop w:val="0"/>
      <w:marBottom w:val="0"/>
      <w:divBdr>
        <w:top w:val="none" w:sz="0" w:space="0" w:color="auto"/>
        <w:left w:val="none" w:sz="0" w:space="0" w:color="auto"/>
        <w:bottom w:val="none" w:sz="0" w:space="0" w:color="auto"/>
        <w:right w:val="none" w:sz="0" w:space="0" w:color="auto"/>
      </w:divBdr>
    </w:div>
    <w:div w:id="1238127058">
      <w:bodyDiv w:val="1"/>
      <w:marLeft w:val="0"/>
      <w:marRight w:val="0"/>
      <w:marTop w:val="0"/>
      <w:marBottom w:val="0"/>
      <w:divBdr>
        <w:top w:val="none" w:sz="0" w:space="0" w:color="auto"/>
        <w:left w:val="none" w:sz="0" w:space="0" w:color="auto"/>
        <w:bottom w:val="none" w:sz="0" w:space="0" w:color="auto"/>
        <w:right w:val="none" w:sz="0" w:space="0" w:color="auto"/>
      </w:divBdr>
    </w:div>
    <w:div w:id="1238130109">
      <w:bodyDiv w:val="1"/>
      <w:marLeft w:val="0"/>
      <w:marRight w:val="0"/>
      <w:marTop w:val="0"/>
      <w:marBottom w:val="0"/>
      <w:divBdr>
        <w:top w:val="none" w:sz="0" w:space="0" w:color="auto"/>
        <w:left w:val="none" w:sz="0" w:space="0" w:color="auto"/>
        <w:bottom w:val="none" w:sz="0" w:space="0" w:color="auto"/>
        <w:right w:val="none" w:sz="0" w:space="0" w:color="auto"/>
      </w:divBdr>
    </w:div>
    <w:div w:id="1238242652">
      <w:bodyDiv w:val="1"/>
      <w:marLeft w:val="0"/>
      <w:marRight w:val="0"/>
      <w:marTop w:val="0"/>
      <w:marBottom w:val="0"/>
      <w:divBdr>
        <w:top w:val="none" w:sz="0" w:space="0" w:color="auto"/>
        <w:left w:val="none" w:sz="0" w:space="0" w:color="auto"/>
        <w:bottom w:val="none" w:sz="0" w:space="0" w:color="auto"/>
        <w:right w:val="none" w:sz="0" w:space="0" w:color="auto"/>
      </w:divBdr>
    </w:div>
    <w:div w:id="1238324615">
      <w:bodyDiv w:val="1"/>
      <w:marLeft w:val="0"/>
      <w:marRight w:val="0"/>
      <w:marTop w:val="0"/>
      <w:marBottom w:val="0"/>
      <w:divBdr>
        <w:top w:val="none" w:sz="0" w:space="0" w:color="auto"/>
        <w:left w:val="none" w:sz="0" w:space="0" w:color="auto"/>
        <w:bottom w:val="none" w:sz="0" w:space="0" w:color="auto"/>
        <w:right w:val="none" w:sz="0" w:space="0" w:color="auto"/>
      </w:divBdr>
    </w:div>
    <w:div w:id="1238326635">
      <w:bodyDiv w:val="1"/>
      <w:marLeft w:val="0"/>
      <w:marRight w:val="0"/>
      <w:marTop w:val="0"/>
      <w:marBottom w:val="0"/>
      <w:divBdr>
        <w:top w:val="none" w:sz="0" w:space="0" w:color="auto"/>
        <w:left w:val="none" w:sz="0" w:space="0" w:color="auto"/>
        <w:bottom w:val="none" w:sz="0" w:space="0" w:color="auto"/>
        <w:right w:val="none" w:sz="0" w:space="0" w:color="auto"/>
      </w:divBdr>
    </w:div>
    <w:div w:id="1238327267">
      <w:bodyDiv w:val="1"/>
      <w:marLeft w:val="0"/>
      <w:marRight w:val="0"/>
      <w:marTop w:val="0"/>
      <w:marBottom w:val="0"/>
      <w:divBdr>
        <w:top w:val="none" w:sz="0" w:space="0" w:color="auto"/>
        <w:left w:val="none" w:sz="0" w:space="0" w:color="auto"/>
        <w:bottom w:val="none" w:sz="0" w:space="0" w:color="auto"/>
        <w:right w:val="none" w:sz="0" w:space="0" w:color="auto"/>
      </w:divBdr>
    </w:div>
    <w:div w:id="1238396110">
      <w:bodyDiv w:val="1"/>
      <w:marLeft w:val="0"/>
      <w:marRight w:val="0"/>
      <w:marTop w:val="0"/>
      <w:marBottom w:val="0"/>
      <w:divBdr>
        <w:top w:val="none" w:sz="0" w:space="0" w:color="auto"/>
        <w:left w:val="none" w:sz="0" w:space="0" w:color="auto"/>
        <w:bottom w:val="none" w:sz="0" w:space="0" w:color="auto"/>
        <w:right w:val="none" w:sz="0" w:space="0" w:color="auto"/>
      </w:divBdr>
    </w:div>
    <w:div w:id="1238399180">
      <w:bodyDiv w:val="1"/>
      <w:marLeft w:val="0"/>
      <w:marRight w:val="0"/>
      <w:marTop w:val="0"/>
      <w:marBottom w:val="0"/>
      <w:divBdr>
        <w:top w:val="none" w:sz="0" w:space="0" w:color="auto"/>
        <w:left w:val="none" w:sz="0" w:space="0" w:color="auto"/>
        <w:bottom w:val="none" w:sz="0" w:space="0" w:color="auto"/>
        <w:right w:val="none" w:sz="0" w:space="0" w:color="auto"/>
      </w:divBdr>
    </w:div>
    <w:div w:id="1238708575">
      <w:bodyDiv w:val="1"/>
      <w:marLeft w:val="0"/>
      <w:marRight w:val="0"/>
      <w:marTop w:val="0"/>
      <w:marBottom w:val="0"/>
      <w:divBdr>
        <w:top w:val="none" w:sz="0" w:space="0" w:color="auto"/>
        <w:left w:val="none" w:sz="0" w:space="0" w:color="auto"/>
        <w:bottom w:val="none" w:sz="0" w:space="0" w:color="auto"/>
        <w:right w:val="none" w:sz="0" w:space="0" w:color="auto"/>
      </w:divBdr>
    </w:div>
    <w:div w:id="1238780942">
      <w:bodyDiv w:val="1"/>
      <w:marLeft w:val="0"/>
      <w:marRight w:val="0"/>
      <w:marTop w:val="0"/>
      <w:marBottom w:val="0"/>
      <w:divBdr>
        <w:top w:val="none" w:sz="0" w:space="0" w:color="auto"/>
        <w:left w:val="none" w:sz="0" w:space="0" w:color="auto"/>
        <w:bottom w:val="none" w:sz="0" w:space="0" w:color="auto"/>
        <w:right w:val="none" w:sz="0" w:space="0" w:color="auto"/>
      </w:divBdr>
    </w:div>
    <w:div w:id="1238900498">
      <w:bodyDiv w:val="1"/>
      <w:marLeft w:val="0"/>
      <w:marRight w:val="0"/>
      <w:marTop w:val="0"/>
      <w:marBottom w:val="0"/>
      <w:divBdr>
        <w:top w:val="none" w:sz="0" w:space="0" w:color="auto"/>
        <w:left w:val="none" w:sz="0" w:space="0" w:color="auto"/>
        <w:bottom w:val="none" w:sz="0" w:space="0" w:color="auto"/>
        <w:right w:val="none" w:sz="0" w:space="0" w:color="auto"/>
      </w:divBdr>
    </w:div>
    <w:div w:id="1239024744">
      <w:bodyDiv w:val="1"/>
      <w:marLeft w:val="0"/>
      <w:marRight w:val="0"/>
      <w:marTop w:val="0"/>
      <w:marBottom w:val="0"/>
      <w:divBdr>
        <w:top w:val="none" w:sz="0" w:space="0" w:color="auto"/>
        <w:left w:val="none" w:sz="0" w:space="0" w:color="auto"/>
        <w:bottom w:val="none" w:sz="0" w:space="0" w:color="auto"/>
        <w:right w:val="none" w:sz="0" w:space="0" w:color="auto"/>
      </w:divBdr>
    </w:div>
    <w:div w:id="1239093478">
      <w:bodyDiv w:val="1"/>
      <w:marLeft w:val="0"/>
      <w:marRight w:val="0"/>
      <w:marTop w:val="0"/>
      <w:marBottom w:val="0"/>
      <w:divBdr>
        <w:top w:val="none" w:sz="0" w:space="0" w:color="auto"/>
        <w:left w:val="none" w:sz="0" w:space="0" w:color="auto"/>
        <w:bottom w:val="none" w:sz="0" w:space="0" w:color="auto"/>
        <w:right w:val="none" w:sz="0" w:space="0" w:color="auto"/>
      </w:divBdr>
    </w:div>
    <w:div w:id="1239097815">
      <w:bodyDiv w:val="1"/>
      <w:marLeft w:val="0"/>
      <w:marRight w:val="0"/>
      <w:marTop w:val="0"/>
      <w:marBottom w:val="0"/>
      <w:divBdr>
        <w:top w:val="none" w:sz="0" w:space="0" w:color="auto"/>
        <w:left w:val="none" w:sz="0" w:space="0" w:color="auto"/>
        <w:bottom w:val="none" w:sz="0" w:space="0" w:color="auto"/>
        <w:right w:val="none" w:sz="0" w:space="0" w:color="auto"/>
      </w:divBdr>
    </w:div>
    <w:div w:id="1239245739">
      <w:bodyDiv w:val="1"/>
      <w:marLeft w:val="0"/>
      <w:marRight w:val="0"/>
      <w:marTop w:val="0"/>
      <w:marBottom w:val="0"/>
      <w:divBdr>
        <w:top w:val="none" w:sz="0" w:space="0" w:color="auto"/>
        <w:left w:val="none" w:sz="0" w:space="0" w:color="auto"/>
        <w:bottom w:val="none" w:sz="0" w:space="0" w:color="auto"/>
        <w:right w:val="none" w:sz="0" w:space="0" w:color="auto"/>
      </w:divBdr>
    </w:div>
    <w:div w:id="1239248441">
      <w:bodyDiv w:val="1"/>
      <w:marLeft w:val="0"/>
      <w:marRight w:val="0"/>
      <w:marTop w:val="0"/>
      <w:marBottom w:val="0"/>
      <w:divBdr>
        <w:top w:val="none" w:sz="0" w:space="0" w:color="auto"/>
        <w:left w:val="none" w:sz="0" w:space="0" w:color="auto"/>
        <w:bottom w:val="none" w:sz="0" w:space="0" w:color="auto"/>
        <w:right w:val="none" w:sz="0" w:space="0" w:color="auto"/>
      </w:divBdr>
    </w:div>
    <w:div w:id="1239286957">
      <w:bodyDiv w:val="1"/>
      <w:marLeft w:val="0"/>
      <w:marRight w:val="0"/>
      <w:marTop w:val="0"/>
      <w:marBottom w:val="0"/>
      <w:divBdr>
        <w:top w:val="none" w:sz="0" w:space="0" w:color="auto"/>
        <w:left w:val="none" w:sz="0" w:space="0" w:color="auto"/>
        <w:bottom w:val="none" w:sz="0" w:space="0" w:color="auto"/>
        <w:right w:val="none" w:sz="0" w:space="0" w:color="auto"/>
      </w:divBdr>
    </w:div>
    <w:div w:id="1239367019">
      <w:bodyDiv w:val="1"/>
      <w:marLeft w:val="0"/>
      <w:marRight w:val="0"/>
      <w:marTop w:val="0"/>
      <w:marBottom w:val="0"/>
      <w:divBdr>
        <w:top w:val="none" w:sz="0" w:space="0" w:color="auto"/>
        <w:left w:val="none" w:sz="0" w:space="0" w:color="auto"/>
        <w:bottom w:val="none" w:sz="0" w:space="0" w:color="auto"/>
        <w:right w:val="none" w:sz="0" w:space="0" w:color="auto"/>
      </w:divBdr>
    </w:div>
    <w:div w:id="1239486168">
      <w:bodyDiv w:val="1"/>
      <w:marLeft w:val="0"/>
      <w:marRight w:val="0"/>
      <w:marTop w:val="0"/>
      <w:marBottom w:val="0"/>
      <w:divBdr>
        <w:top w:val="none" w:sz="0" w:space="0" w:color="auto"/>
        <w:left w:val="none" w:sz="0" w:space="0" w:color="auto"/>
        <w:bottom w:val="none" w:sz="0" w:space="0" w:color="auto"/>
        <w:right w:val="none" w:sz="0" w:space="0" w:color="auto"/>
      </w:divBdr>
    </w:div>
    <w:div w:id="1239822649">
      <w:bodyDiv w:val="1"/>
      <w:marLeft w:val="0"/>
      <w:marRight w:val="0"/>
      <w:marTop w:val="0"/>
      <w:marBottom w:val="0"/>
      <w:divBdr>
        <w:top w:val="none" w:sz="0" w:space="0" w:color="auto"/>
        <w:left w:val="none" w:sz="0" w:space="0" w:color="auto"/>
        <w:bottom w:val="none" w:sz="0" w:space="0" w:color="auto"/>
        <w:right w:val="none" w:sz="0" w:space="0" w:color="auto"/>
      </w:divBdr>
    </w:div>
    <w:div w:id="1239823836">
      <w:bodyDiv w:val="1"/>
      <w:marLeft w:val="0"/>
      <w:marRight w:val="0"/>
      <w:marTop w:val="0"/>
      <w:marBottom w:val="0"/>
      <w:divBdr>
        <w:top w:val="none" w:sz="0" w:space="0" w:color="auto"/>
        <w:left w:val="none" w:sz="0" w:space="0" w:color="auto"/>
        <w:bottom w:val="none" w:sz="0" w:space="0" w:color="auto"/>
        <w:right w:val="none" w:sz="0" w:space="0" w:color="auto"/>
      </w:divBdr>
    </w:div>
    <w:div w:id="1239829395">
      <w:bodyDiv w:val="1"/>
      <w:marLeft w:val="0"/>
      <w:marRight w:val="0"/>
      <w:marTop w:val="0"/>
      <w:marBottom w:val="0"/>
      <w:divBdr>
        <w:top w:val="none" w:sz="0" w:space="0" w:color="auto"/>
        <w:left w:val="none" w:sz="0" w:space="0" w:color="auto"/>
        <w:bottom w:val="none" w:sz="0" w:space="0" w:color="auto"/>
        <w:right w:val="none" w:sz="0" w:space="0" w:color="auto"/>
      </w:divBdr>
    </w:div>
    <w:div w:id="1239830222">
      <w:bodyDiv w:val="1"/>
      <w:marLeft w:val="0"/>
      <w:marRight w:val="0"/>
      <w:marTop w:val="0"/>
      <w:marBottom w:val="0"/>
      <w:divBdr>
        <w:top w:val="none" w:sz="0" w:space="0" w:color="auto"/>
        <w:left w:val="none" w:sz="0" w:space="0" w:color="auto"/>
        <w:bottom w:val="none" w:sz="0" w:space="0" w:color="auto"/>
        <w:right w:val="none" w:sz="0" w:space="0" w:color="auto"/>
      </w:divBdr>
    </w:div>
    <w:div w:id="1239905541">
      <w:bodyDiv w:val="1"/>
      <w:marLeft w:val="0"/>
      <w:marRight w:val="0"/>
      <w:marTop w:val="0"/>
      <w:marBottom w:val="0"/>
      <w:divBdr>
        <w:top w:val="none" w:sz="0" w:space="0" w:color="auto"/>
        <w:left w:val="none" w:sz="0" w:space="0" w:color="auto"/>
        <w:bottom w:val="none" w:sz="0" w:space="0" w:color="auto"/>
        <w:right w:val="none" w:sz="0" w:space="0" w:color="auto"/>
      </w:divBdr>
    </w:div>
    <w:div w:id="1240018965">
      <w:bodyDiv w:val="1"/>
      <w:marLeft w:val="0"/>
      <w:marRight w:val="0"/>
      <w:marTop w:val="0"/>
      <w:marBottom w:val="0"/>
      <w:divBdr>
        <w:top w:val="none" w:sz="0" w:space="0" w:color="auto"/>
        <w:left w:val="none" w:sz="0" w:space="0" w:color="auto"/>
        <w:bottom w:val="none" w:sz="0" w:space="0" w:color="auto"/>
        <w:right w:val="none" w:sz="0" w:space="0" w:color="auto"/>
      </w:divBdr>
    </w:div>
    <w:div w:id="1240021184">
      <w:bodyDiv w:val="1"/>
      <w:marLeft w:val="0"/>
      <w:marRight w:val="0"/>
      <w:marTop w:val="0"/>
      <w:marBottom w:val="0"/>
      <w:divBdr>
        <w:top w:val="none" w:sz="0" w:space="0" w:color="auto"/>
        <w:left w:val="none" w:sz="0" w:space="0" w:color="auto"/>
        <w:bottom w:val="none" w:sz="0" w:space="0" w:color="auto"/>
        <w:right w:val="none" w:sz="0" w:space="0" w:color="auto"/>
      </w:divBdr>
    </w:div>
    <w:div w:id="1240292842">
      <w:bodyDiv w:val="1"/>
      <w:marLeft w:val="0"/>
      <w:marRight w:val="0"/>
      <w:marTop w:val="0"/>
      <w:marBottom w:val="0"/>
      <w:divBdr>
        <w:top w:val="none" w:sz="0" w:space="0" w:color="auto"/>
        <w:left w:val="none" w:sz="0" w:space="0" w:color="auto"/>
        <w:bottom w:val="none" w:sz="0" w:space="0" w:color="auto"/>
        <w:right w:val="none" w:sz="0" w:space="0" w:color="auto"/>
      </w:divBdr>
    </w:div>
    <w:div w:id="1240334844">
      <w:bodyDiv w:val="1"/>
      <w:marLeft w:val="0"/>
      <w:marRight w:val="0"/>
      <w:marTop w:val="0"/>
      <w:marBottom w:val="0"/>
      <w:divBdr>
        <w:top w:val="none" w:sz="0" w:space="0" w:color="auto"/>
        <w:left w:val="none" w:sz="0" w:space="0" w:color="auto"/>
        <w:bottom w:val="none" w:sz="0" w:space="0" w:color="auto"/>
        <w:right w:val="none" w:sz="0" w:space="0" w:color="auto"/>
      </w:divBdr>
    </w:div>
    <w:div w:id="1240363629">
      <w:bodyDiv w:val="1"/>
      <w:marLeft w:val="0"/>
      <w:marRight w:val="0"/>
      <w:marTop w:val="0"/>
      <w:marBottom w:val="0"/>
      <w:divBdr>
        <w:top w:val="none" w:sz="0" w:space="0" w:color="auto"/>
        <w:left w:val="none" w:sz="0" w:space="0" w:color="auto"/>
        <w:bottom w:val="none" w:sz="0" w:space="0" w:color="auto"/>
        <w:right w:val="none" w:sz="0" w:space="0" w:color="auto"/>
      </w:divBdr>
    </w:div>
    <w:div w:id="1240481881">
      <w:bodyDiv w:val="1"/>
      <w:marLeft w:val="0"/>
      <w:marRight w:val="0"/>
      <w:marTop w:val="0"/>
      <w:marBottom w:val="0"/>
      <w:divBdr>
        <w:top w:val="none" w:sz="0" w:space="0" w:color="auto"/>
        <w:left w:val="none" w:sz="0" w:space="0" w:color="auto"/>
        <w:bottom w:val="none" w:sz="0" w:space="0" w:color="auto"/>
        <w:right w:val="none" w:sz="0" w:space="0" w:color="auto"/>
      </w:divBdr>
    </w:div>
    <w:div w:id="1240599389">
      <w:bodyDiv w:val="1"/>
      <w:marLeft w:val="0"/>
      <w:marRight w:val="0"/>
      <w:marTop w:val="0"/>
      <w:marBottom w:val="0"/>
      <w:divBdr>
        <w:top w:val="none" w:sz="0" w:space="0" w:color="auto"/>
        <w:left w:val="none" w:sz="0" w:space="0" w:color="auto"/>
        <w:bottom w:val="none" w:sz="0" w:space="0" w:color="auto"/>
        <w:right w:val="none" w:sz="0" w:space="0" w:color="auto"/>
      </w:divBdr>
    </w:div>
    <w:div w:id="1240940255">
      <w:bodyDiv w:val="1"/>
      <w:marLeft w:val="0"/>
      <w:marRight w:val="0"/>
      <w:marTop w:val="0"/>
      <w:marBottom w:val="0"/>
      <w:divBdr>
        <w:top w:val="none" w:sz="0" w:space="0" w:color="auto"/>
        <w:left w:val="none" w:sz="0" w:space="0" w:color="auto"/>
        <w:bottom w:val="none" w:sz="0" w:space="0" w:color="auto"/>
        <w:right w:val="none" w:sz="0" w:space="0" w:color="auto"/>
      </w:divBdr>
    </w:div>
    <w:div w:id="1240940424">
      <w:bodyDiv w:val="1"/>
      <w:marLeft w:val="0"/>
      <w:marRight w:val="0"/>
      <w:marTop w:val="0"/>
      <w:marBottom w:val="0"/>
      <w:divBdr>
        <w:top w:val="none" w:sz="0" w:space="0" w:color="auto"/>
        <w:left w:val="none" w:sz="0" w:space="0" w:color="auto"/>
        <w:bottom w:val="none" w:sz="0" w:space="0" w:color="auto"/>
        <w:right w:val="none" w:sz="0" w:space="0" w:color="auto"/>
      </w:divBdr>
    </w:div>
    <w:div w:id="1241058590">
      <w:bodyDiv w:val="1"/>
      <w:marLeft w:val="0"/>
      <w:marRight w:val="0"/>
      <w:marTop w:val="0"/>
      <w:marBottom w:val="0"/>
      <w:divBdr>
        <w:top w:val="none" w:sz="0" w:space="0" w:color="auto"/>
        <w:left w:val="none" w:sz="0" w:space="0" w:color="auto"/>
        <w:bottom w:val="none" w:sz="0" w:space="0" w:color="auto"/>
        <w:right w:val="none" w:sz="0" w:space="0" w:color="auto"/>
      </w:divBdr>
    </w:div>
    <w:div w:id="1241059284">
      <w:bodyDiv w:val="1"/>
      <w:marLeft w:val="0"/>
      <w:marRight w:val="0"/>
      <w:marTop w:val="0"/>
      <w:marBottom w:val="0"/>
      <w:divBdr>
        <w:top w:val="none" w:sz="0" w:space="0" w:color="auto"/>
        <w:left w:val="none" w:sz="0" w:space="0" w:color="auto"/>
        <w:bottom w:val="none" w:sz="0" w:space="0" w:color="auto"/>
        <w:right w:val="none" w:sz="0" w:space="0" w:color="auto"/>
      </w:divBdr>
    </w:div>
    <w:div w:id="1241061210">
      <w:bodyDiv w:val="1"/>
      <w:marLeft w:val="0"/>
      <w:marRight w:val="0"/>
      <w:marTop w:val="0"/>
      <w:marBottom w:val="0"/>
      <w:divBdr>
        <w:top w:val="none" w:sz="0" w:space="0" w:color="auto"/>
        <w:left w:val="none" w:sz="0" w:space="0" w:color="auto"/>
        <w:bottom w:val="none" w:sz="0" w:space="0" w:color="auto"/>
        <w:right w:val="none" w:sz="0" w:space="0" w:color="auto"/>
      </w:divBdr>
    </w:div>
    <w:div w:id="1241216219">
      <w:bodyDiv w:val="1"/>
      <w:marLeft w:val="0"/>
      <w:marRight w:val="0"/>
      <w:marTop w:val="0"/>
      <w:marBottom w:val="0"/>
      <w:divBdr>
        <w:top w:val="none" w:sz="0" w:space="0" w:color="auto"/>
        <w:left w:val="none" w:sz="0" w:space="0" w:color="auto"/>
        <w:bottom w:val="none" w:sz="0" w:space="0" w:color="auto"/>
        <w:right w:val="none" w:sz="0" w:space="0" w:color="auto"/>
      </w:divBdr>
    </w:div>
    <w:div w:id="1241402656">
      <w:bodyDiv w:val="1"/>
      <w:marLeft w:val="0"/>
      <w:marRight w:val="0"/>
      <w:marTop w:val="0"/>
      <w:marBottom w:val="0"/>
      <w:divBdr>
        <w:top w:val="none" w:sz="0" w:space="0" w:color="auto"/>
        <w:left w:val="none" w:sz="0" w:space="0" w:color="auto"/>
        <w:bottom w:val="none" w:sz="0" w:space="0" w:color="auto"/>
        <w:right w:val="none" w:sz="0" w:space="0" w:color="auto"/>
      </w:divBdr>
    </w:div>
    <w:div w:id="1241403252">
      <w:bodyDiv w:val="1"/>
      <w:marLeft w:val="0"/>
      <w:marRight w:val="0"/>
      <w:marTop w:val="0"/>
      <w:marBottom w:val="0"/>
      <w:divBdr>
        <w:top w:val="none" w:sz="0" w:space="0" w:color="auto"/>
        <w:left w:val="none" w:sz="0" w:space="0" w:color="auto"/>
        <w:bottom w:val="none" w:sz="0" w:space="0" w:color="auto"/>
        <w:right w:val="none" w:sz="0" w:space="0" w:color="auto"/>
      </w:divBdr>
    </w:div>
    <w:div w:id="1241669896">
      <w:bodyDiv w:val="1"/>
      <w:marLeft w:val="0"/>
      <w:marRight w:val="0"/>
      <w:marTop w:val="0"/>
      <w:marBottom w:val="0"/>
      <w:divBdr>
        <w:top w:val="none" w:sz="0" w:space="0" w:color="auto"/>
        <w:left w:val="none" w:sz="0" w:space="0" w:color="auto"/>
        <w:bottom w:val="none" w:sz="0" w:space="0" w:color="auto"/>
        <w:right w:val="none" w:sz="0" w:space="0" w:color="auto"/>
      </w:divBdr>
    </w:div>
    <w:div w:id="1241675809">
      <w:bodyDiv w:val="1"/>
      <w:marLeft w:val="0"/>
      <w:marRight w:val="0"/>
      <w:marTop w:val="0"/>
      <w:marBottom w:val="0"/>
      <w:divBdr>
        <w:top w:val="none" w:sz="0" w:space="0" w:color="auto"/>
        <w:left w:val="none" w:sz="0" w:space="0" w:color="auto"/>
        <w:bottom w:val="none" w:sz="0" w:space="0" w:color="auto"/>
        <w:right w:val="none" w:sz="0" w:space="0" w:color="auto"/>
      </w:divBdr>
    </w:div>
    <w:div w:id="1241865158">
      <w:bodyDiv w:val="1"/>
      <w:marLeft w:val="0"/>
      <w:marRight w:val="0"/>
      <w:marTop w:val="0"/>
      <w:marBottom w:val="0"/>
      <w:divBdr>
        <w:top w:val="none" w:sz="0" w:space="0" w:color="auto"/>
        <w:left w:val="none" w:sz="0" w:space="0" w:color="auto"/>
        <w:bottom w:val="none" w:sz="0" w:space="0" w:color="auto"/>
        <w:right w:val="none" w:sz="0" w:space="0" w:color="auto"/>
      </w:divBdr>
    </w:div>
    <w:div w:id="1242059946">
      <w:bodyDiv w:val="1"/>
      <w:marLeft w:val="0"/>
      <w:marRight w:val="0"/>
      <w:marTop w:val="0"/>
      <w:marBottom w:val="0"/>
      <w:divBdr>
        <w:top w:val="none" w:sz="0" w:space="0" w:color="auto"/>
        <w:left w:val="none" w:sz="0" w:space="0" w:color="auto"/>
        <w:bottom w:val="none" w:sz="0" w:space="0" w:color="auto"/>
        <w:right w:val="none" w:sz="0" w:space="0" w:color="auto"/>
      </w:divBdr>
    </w:div>
    <w:div w:id="1242175061">
      <w:bodyDiv w:val="1"/>
      <w:marLeft w:val="0"/>
      <w:marRight w:val="0"/>
      <w:marTop w:val="0"/>
      <w:marBottom w:val="0"/>
      <w:divBdr>
        <w:top w:val="none" w:sz="0" w:space="0" w:color="auto"/>
        <w:left w:val="none" w:sz="0" w:space="0" w:color="auto"/>
        <w:bottom w:val="none" w:sz="0" w:space="0" w:color="auto"/>
        <w:right w:val="none" w:sz="0" w:space="0" w:color="auto"/>
      </w:divBdr>
    </w:div>
    <w:div w:id="1242253277">
      <w:bodyDiv w:val="1"/>
      <w:marLeft w:val="0"/>
      <w:marRight w:val="0"/>
      <w:marTop w:val="0"/>
      <w:marBottom w:val="0"/>
      <w:divBdr>
        <w:top w:val="none" w:sz="0" w:space="0" w:color="auto"/>
        <w:left w:val="none" w:sz="0" w:space="0" w:color="auto"/>
        <w:bottom w:val="none" w:sz="0" w:space="0" w:color="auto"/>
        <w:right w:val="none" w:sz="0" w:space="0" w:color="auto"/>
      </w:divBdr>
    </w:div>
    <w:div w:id="1242521627">
      <w:bodyDiv w:val="1"/>
      <w:marLeft w:val="0"/>
      <w:marRight w:val="0"/>
      <w:marTop w:val="0"/>
      <w:marBottom w:val="0"/>
      <w:divBdr>
        <w:top w:val="none" w:sz="0" w:space="0" w:color="auto"/>
        <w:left w:val="none" w:sz="0" w:space="0" w:color="auto"/>
        <w:bottom w:val="none" w:sz="0" w:space="0" w:color="auto"/>
        <w:right w:val="none" w:sz="0" w:space="0" w:color="auto"/>
      </w:divBdr>
    </w:div>
    <w:div w:id="1242526660">
      <w:bodyDiv w:val="1"/>
      <w:marLeft w:val="0"/>
      <w:marRight w:val="0"/>
      <w:marTop w:val="0"/>
      <w:marBottom w:val="0"/>
      <w:divBdr>
        <w:top w:val="none" w:sz="0" w:space="0" w:color="auto"/>
        <w:left w:val="none" w:sz="0" w:space="0" w:color="auto"/>
        <w:bottom w:val="none" w:sz="0" w:space="0" w:color="auto"/>
        <w:right w:val="none" w:sz="0" w:space="0" w:color="auto"/>
      </w:divBdr>
    </w:div>
    <w:div w:id="1242564145">
      <w:bodyDiv w:val="1"/>
      <w:marLeft w:val="0"/>
      <w:marRight w:val="0"/>
      <w:marTop w:val="0"/>
      <w:marBottom w:val="0"/>
      <w:divBdr>
        <w:top w:val="none" w:sz="0" w:space="0" w:color="auto"/>
        <w:left w:val="none" w:sz="0" w:space="0" w:color="auto"/>
        <w:bottom w:val="none" w:sz="0" w:space="0" w:color="auto"/>
        <w:right w:val="none" w:sz="0" w:space="0" w:color="auto"/>
      </w:divBdr>
    </w:div>
    <w:div w:id="1242716915">
      <w:bodyDiv w:val="1"/>
      <w:marLeft w:val="0"/>
      <w:marRight w:val="0"/>
      <w:marTop w:val="0"/>
      <w:marBottom w:val="0"/>
      <w:divBdr>
        <w:top w:val="none" w:sz="0" w:space="0" w:color="auto"/>
        <w:left w:val="none" w:sz="0" w:space="0" w:color="auto"/>
        <w:bottom w:val="none" w:sz="0" w:space="0" w:color="auto"/>
        <w:right w:val="none" w:sz="0" w:space="0" w:color="auto"/>
      </w:divBdr>
    </w:div>
    <w:div w:id="1242831935">
      <w:bodyDiv w:val="1"/>
      <w:marLeft w:val="0"/>
      <w:marRight w:val="0"/>
      <w:marTop w:val="0"/>
      <w:marBottom w:val="0"/>
      <w:divBdr>
        <w:top w:val="none" w:sz="0" w:space="0" w:color="auto"/>
        <w:left w:val="none" w:sz="0" w:space="0" w:color="auto"/>
        <w:bottom w:val="none" w:sz="0" w:space="0" w:color="auto"/>
        <w:right w:val="none" w:sz="0" w:space="0" w:color="auto"/>
      </w:divBdr>
    </w:div>
    <w:div w:id="1243489646">
      <w:bodyDiv w:val="1"/>
      <w:marLeft w:val="0"/>
      <w:marRight w:val="0"/>
      <w:marTop w:val="0"/>
      <w:marBottom w:val="0"/>
      <w:divBdr>
        <w:top w:val="none" w:sz="0" w:space="0" w:color="auto"/>
        <w:left w:val="none" w:sz="0" w:space="0" w:color="auto"/>
        <w:bottom w:val="none" w:sz="0" w:space="0" w:color="auto"/>
        <w:right w:val="none" w:sz="0" w:space="0" w:color="auto"/>
      </w:divBdr>
    </w:div>
    <w:div w:id="1243492927">
      <w:bodyDiv w:val="1"/>
      <w:marLeft w:val="0"/>
      <w:marRight w:val="0"/>
      <w:marTop w:val="0"/>
      <w:marBottom w:val="0"/>
      <w:divBdr>
        <w:top w:val="none" w:sz="0" w:space="0" w:color="auto"/>
        <w:left w:val="none" w:sz="0" w:space="0" w:color="auto"/>
        <w:bottom w:val="none" w:sz="0" w:space="0" w:color="auto"/>
        <w:right w:val="none" w:sz="0" w:space="0" w:color="auto"/>
      </w:divBdr>
    </w:div>
    <w:div w:id="1243562615">
      <w:bodyDiv w:val="1"/>
      <w:marLeft w:val="0"/>
      <w:marRight w:val="0"/>
      <w:marTop w:val="0"/>
      <w:marBottom w:val="0"/>
      <w:divBdr>
        <w:top w:val="none" w:sz="0" w:space="0" w:color="auto"/>
        <w:left w:val="none" w:sz="0" w:space="0" w:color="auto"/>
        <w:bottom w:val="none" w:sz="0" w:space="0" w:color="auto"/>
        <w:right w:val="none" w:sz="0" w:space="0" w:color="auto"/>
      </w:divBdr>
    </w:div>
    <w:div w:id="1243680198">
      <w:bodyDiv w:val="1"/>
      <w:marLeft w:val="0"/>
      <w:marRight w:val="0"/>
      <w:marTop w:val="0"/>
      <w:marBottom w:val="0"/>
      <w:divBdr>
        <w:top w:val="none" w:sz="0" w:space="0" w:color="auto"/>
        <w:left w:val="none" w:sz="0" w:space="0" w:color="auto"/>
        <w:bottom w:val="none" w:sz="0" w:space="0" w:color="auto"/>
        <w:right w:val="none" w:sz="0" w:space="0" w:color="auto"/>
      </w:divBdr>
    </w:div>
    <w:div w:id="1243682397">
      <w:bodyDiv w:val="1"/>
      <w:marLeft w:val="0"/>
      <w:marRight w:val="0"/>
      <w:marTop w:val="0"/>
      <w:marBottom w:val="0"/>
      <w:divBdr>
        <w:top w:val="none" w:sz="0" w:space="0" w:color="auto"/>
        <w:left w:val="none" w:sz="0" w:space="0" w:color="auto"/>
        <w:bottom w:val="none" w:sz="0" w:space="0" w:color="auto"/>
        <w:right w:val="none" w:sz="0" w:space="0" w:color="auto"/>
      </w:divBdr>
    </w:div>
    <w:div w:id="1243753635">
      <w:bodyDiv w:val="1"/>
      <w:marLeft w:val="0"/>
      <w:marRight w:val="0"/>
      <w:marTop w:val="0"/>
      <w:marBottom w:val="0"/>
      <w:divBdr>
        <w:top w:val="none" w:sz="0" w:space="0" w:color="auto"/>
        <w:left w:val="none" w:sz="0" w:space="0" w:color="auto"/>
        <w:bottom w:val="none" w:sz="0" w:space="0" w:color="auto"/>
        <w:right w:val="none" w:sz="0" w:space="0" w:color="auto"/>
      </w:divBdr>
    </w:div>
    <w:div w:id="1244148764">
      <w:bodyDiv w:val="1"/>
      <w:marLeft w:val="0"/>
      <w:marRight w:val="0"/>
      <w:marTop w:val="0"/>
      <w:marBottom w:val="0"/>
      <w:divBdr>
        <w:top w:val="none" w:sz="0" w:space="0" w:color="auto"/>
        <w:left w:val="none" w:sz="0" w:space="0" w:color="auto"/>
        <w:bottom w:val="none" w:sz="0" w:space="0" w:color="auto"/>
        <w:right w:val="none" w:sz="0" w:space="0" w:color="auto"/>
      </w:divBdr>
    </w:div>
    <w:div w:id="1244291424">
      <w:bodyDiv w:val="1"/>
      <w:marLeft w:val="0"/>
      <w:marRight w:val="0"/>
      <w:marTop w:val="0"/>
      <w:marBottom w:val="0"/>
      <w:divBdr>
        <w:top w:val="none" w:sz="0" w:space="0" w:color="auto"/>
        <w:left w:val="none" w:sz="0" w:space="0" w:color="auto"/>
        <w:bottom w:val="none" w:sz="0" w:space="0" w:color="auto"/>
        <w:right w:val="none" w:sz="0" w:space="0" w:color="auto"/>
      </w:divBdr>
    </w:div>
    <w:div w:id="1244296770">
      <w:bodyDiv w:val="1"/>
      <w:marLeft w:val="0"/>
      <w:marRight w:val="0"/>
      <w:marTop w:val="0"/>
      <w:marBottom w:val="0"/>
      <w:divBdr>
        <w:top w:val="none" w:sz="0" w:space="0" w:color="auto"/>
        <w:left w:val="none" w:sz="0" w:space="0" w:color="auto"/>
        <w:bottom w:val="none" w:sz="0" w:space="0" w:color="auto"/>
        <w:right w:val="none" w:sz="0" w:space="0" w:color="auto"/>
      </w:divBdr>
    </w:div>
    <w:div w:id="1244412043">
      <w:bodyDiv w:val="1"/>
      <w:marLeft w:val="0"/>
      <w:marRight w:val="0"/>
      <w:marTop w:val="0"/>
      <w:marBottom w:val="0"/>
      <w:divBdr>
        <w:top w:val="none" w:sz="0" w:space="0" w:color="auto"/>
        <w:left w:val="none" w:sz="0" w:space="0" w:color="auto"/>
        <w:bottom w:val="none" w:sz="0" w:space="0" w:color="auto"/>
        <w:right w:val="none" w:sz="0" w:space="0" w:color="auto"/>
      </w:divBdr>
    </w:div>
    <w:div w:id="1244602548">
      <w:bodyDiv w:val="1"/>
      <w:marLeft w:val="0"/>
      <w:marRight w:val="0"/>
      <w:marTop w:val="0"/>
      <w:marBottom w:val="0"/>
      <w:divBdr>
        <w:top w:val="none" w:sz="0" w:space="0" w:color="auto"/>
        <w:left w:val="none" w:sz="0" w:space="0" w:color="auto"/>
        <w:bottom w:val="none" w:sz="0" w:space="0" w:color="auto"/>
        <w:right w:val="none" w:sz="0" w:space="0" w:color="auto"/>
      </w:divBdr>
    </w:div>
    <w:div w:id="1244603132">
      <w:bodyDiv w:val="1"/>
      <w:marLeft w:val="0"/>
      <w:marRight w:val="0"/>
      <w:marTop w:val="0"/>
      <w:marBottom w:val="0"/>
      <w:divBdr>
        <w:top w:val="none" w:sz="0" w:space="0" w:color="auto"/>
        <w:left w:val="none" w:sz="0" w:space="0" w:color="auto"/>
        <w:bottom w:val="none" w:sz="0" w:space="0" w:color="auto"/>
        <w:right w:val="none" w:sz="0" w:space="0" w:color="auto"/>
      </w:divBdr>
    </w:div>
    <w:div w:id="1244603810">
      <w:bodyDiv w:val="1"/>
      <w:marLeft w:val="0"/>
      <w:marRight w:val="0"/>
      <w:marTop w:val="0"/>
      <w:marBottom w:val="0"/>
      <w:divBdr>
        <w:top w:val="none" w:sz="0" w:space="0" w:color="auto"/>
        <w:left w:val="none" w:sz="0" w:space="0" w:color="auto"/>
        <w:bottom w:val="none" w:sz="0" w:space="0" w:color="auto"/>
        <w:right w:val="none" w:sz="0" w:space="0" w:color="auto"/>
      </w:divBdr>
    </w:div>
    <w:div w:id="1244685120">
      <w:bodyDiv w:val="1"/>
      <w:marLeft w:val="0"/>
      <w:marRight w:val="0"/>
      <w:marTop w:val="0"/>
      <w:marBottom w:val="0"/>
      <w:divBdr>
        <w:top w:val="none" w:sz="0" w:space="0" w:color="auto"/>
        <w:left w:val="none" w:sz="0" w:space="0" w:color="auto"/>
        <w:bottom w:val="none" w:sz="0" w:space="0" w:color="auto"/>
        <w:right w:val="none" w:sz="0" w:space="0" w:color="auto"/>
      </w:divBdr>
    </w:div>
    <w:div w:id="1244755292">
      <w:bodyDiv w:val="1"/>
      <w:marLeft w:val="0"/>
      <w:marRight w:val="0"/>
      <w:marTop w:val="0"/>
      <w:marBottom w:val="0"/>
      <w:divBdr>
        <w:top w:val="none" w:sz="0" w:space="0" w:color="auto"/>
        <w:left w:val="none" w:sz="0" w:space="0" w:color="auto"/>
        <w:bottom w:val="none" w:sz="0" w:space="0" w:color="auto"/>
        <w:right w:val="none" w:sz="0" w:space="0" w:color="auto"/>
      </w:divBdr>
    </w:div>
    <w:div w:id="1244871202">
      <w:bodyDiv w:val="1"/>
      <w:marLeft w:val="0"/>
      <w:marRight w:val="0"/>
      <w:marTop w:val="0"/>
      <w:marBottom w:val="0"/>
      <w:divBdr>
        <w:top w:val="none" w:sz="0" w:space="0" w:color="auto"/>
        <w:left w:val="none" w:sz="0" w:space="0" w:color="auto"/>
        <w:bottom w:val="none" w:sz="0" w:space="0" w:color="auto"/>
        <w:right w:val="none" w:sz="0" w:space="0" w:color="auto"/>
      </w:divBdr>
    </w:div>
    <w:div w:id="1244874152">
      <w:bodyDiv w:val="1"/>
      <w:marLeft w:val="0"/>
      <w:marRight w:val="0"/>
      <w:marTop w:val="0"/>
      <w:marBottom w:val="0"/>
      <w:divBdr>
        <w:top w:val="none" w:sz="0" w:space="0" w:color="auto"/>
        <w:left w:val="none" w:sz="0" w:space="0" w:color="auto"/>
        <w:bottom w:val="none" w:sz="0" w:space="0" w:color="auto"/>
        <w:right w:val="none" w:sz="0" w:space="0" w:color="auto"/>
      </w:divBdr>
    </w:div>
    <w:div w:id="1244876386">
      <w:bodyDiv w:val="1"/>
      <w:marLeft w:val="0"/>
      <w:marRight w:val="0"/>
      <w:marTop w:val="0"/>
      <w:marBottom w:val="0"/>
      <w:divBdr>
        <w:top w:val="none" w:sz="0" w:space="0" w:color="auto"/>
        <w:left w:val="none" w:sz="0" w:space="0" w:color="auto"/>
        <w:bottom w:val="none" w:sz="0" w:space="0" w:color="auto"/>
        <w:right w:val="none" w:sz="0" w:space="0" w:color="auto"/>
      </w:divBdr>
    </w:div>
    <w:div w:id="1244950231">
      <w:bodyDiv w:val="1"/>
      <w:marLeft w:val="0"/>
      <w:marRight w:val="0"/>
      <w:marTop w:val="0"/>
      <w:marBottom w:val="0"/>
      <w:divBdr>
        <w:top w:val="none" w:sz="0" w:space="0" w:color="auto"/>
        <w:left w:val="none" w:sz="0" w:space="0" w:color="auto"/>
        <w:bottom w:val="none" w:sz="0" w:space="0" w:color="auto"/>
        <w:right w:val="none" w:sz="0" w:space="0" w:color="auto"/>
      </w:divBdr>
    </w:div>
    <w:div w:id="1244989818">
      <w:bodyDiv w:val="1"/>
      <w:marLeft w:val="0"/>
      <w:marRight w:val="0"/>
      <w:marTop w:val="0"/>
      <w:marBottom w:val="0"/>
      <w:divBdr>
        <w:top w:val="none" w:sz="0" w:space="0" w:color="auto"/>
        <w:left w:val="none" w:sz="0" w:space="0" w:color="auto"/>
        <w:bottom w:val="none" w:sz="0" w:space="0" w:color="auto"/>
        <w:right w:val="none" w:sz="0" w:space="0" w:color="auto"/>
      </w:divBdr>
    </w:div>
    <w:div w:id="1245411120">
      <w:bodyDiv w:val="1"/>
      <w:marLeft w:val="0"/>
      <w:marRight w:val="0"/>
      <w:marTop w:val="0"/>
      <w:marBottom w:val="0"/>
      <w:divBdr>
        <w:top w:val="none" w:sz="0" w:space="0" w:color="auto"/>
        <w:left w:val="none" w:sz="0" w:space="0" w:color="auto"/>
        <w:bottom w:val="none" w:sz="0" w:space="0" w:color="auto"/>
        <w:right w:val="none" w:sz="0" w:space="0" w:color="auto"/>
      </w:divBdr>
    </w:div>
    <w:div w:id="1245609360">
      <w:bodyDiv w:val="1"/>
      <w:marLeft w:val="0"/>
      <w:marRight w:val="0"/>
      <w:marTop w:val="0"/>
      <w:marBottom w:val="0"/>
      <w:divBdr>
        <w:top w:val="none" w:sz="0" w:space="0" w:color="auto"/>
        <w:left w:val="none" w:sz="0" w:space="0" w:color="auto"/>
        <w:bottom w:val="none" w:sz="0" w:space="0" w:color="auto"/>
        <w:right w:val="none" w:sz="0" w:space="0" w:color="auto"/>
      </w:divBdr>
    </w:div>
    <w:div w:id="1246106913">
      <w:bodyDiv w:val="1"/>
      <w:marLeft w:val="0"/>
      <w:marRight w:val="0"/>
      <w:marTop w:val="0"/>
      <w:marBottom w:val="0"/>
      <w:divBdr>
        <w:top w:val="none" w:sz="0" w:space="0" w:color="auto"/>
        <w:left w:val="none" w:sz="0" w:space="0" w:color="auto"/>
        <w:bottom w:val="none" w:sz="0" w:space="0" w:color="auto"/>
        <w:right w:val="none" w:sz="0" w:space="0" w:color="auto"/>
      </w:divBdr>
    </w:div>
    <w:div w:id="1246260877">
      <w:bodyDiv w:val="1"/>
      <w:marLeft w:val="0"/>
      <w:marRight w:val="0"/>
      <w:marTop w:val="0"/>
      <w:marBottom w:val="0"/>
      <w:divBdr>
        <w:top w:val="none" w:sz="0" w:space="0" w:color="auto"/>
        <w:left w:val="none" w:sz="0" w:space="0" w:color="auto"/>
        <w:bottom w:val="none" w:sz="0" w:space="0" w:color="auto"/>
        <w:right w:val="none" w:sz="0" w:space="0" w:color="auto"/>
      </w:divBdr>
    </w:div>
    <w:div w:id="1246305895">
      <w:bodyDiv w:val="1"/>
      <w:marLeft w:val="0"/>
      <w:marRight w:val="0"/>
      <w:marTop w:val="0"/>
      <w:marBottom w:val="0"/>
      <w:divBdr>
        <w:top w:val="none" w:sz="0" w:space="0" w:color="auto"/>
        <w:left w:val="none" w:sz="0" w:space="0" w:color="auto"/>
        <w:bottom w:val="none" w:sz="0" w:space="0" w:color="auto"/>
        <w:right w:val="none" w:sz="0" w:space="0" w:color="auto"/>
      </w:divBdr>
    </w:div>
    <w:div w:id="1246763482">
      <w:bodyDiv w:val="1"/>
      <w:marLeft w:val="0"/>
      <w:marRight w:val="0"/>
      <w:marTop w:val="0"/>
      <w:marBottom w:val="0"/>
      <w:divBdr>
        <w:top w:val="none" w:sz="0" w:space="0" w:color="auto"/>
        <w:left w:val="none" w:sz="0" w:space="0" w:color="auto"/>
        <w:bottom w:val="none" w:sz="0" w:space="0" w:color="auto"/>
        <w:right w:val="none" w:sz="0" w:space="0" w:color="auto"/>
      </w:divBdr>
    </w:div>
    <w:div w:id="1246767581">
      <w:bodyDiv w:val="1"/>
      <w:marLeft w:val="0"/>
      <w:marRight w:val="0"/>
      <w:marTop w:val="0"/>
      <w:marBottom w:val="0"/>
      <w:divBdr>
        <w:top w:val="none" w:sz="0" w:space="0" w:color="auto"/>
        <w:left w:val="none" w:sz="0" w:space="0" w:color="auto"/>
        <w:bottom w:val="none" w:sz="0" w:space="0" w:color="auto"/>
        <w:right w:val="none" w:sz="0" w:space="0" w:color="auto"/>
      </w:divBdr>
    </w:div>
    <w:div w:id="1246770450">
      <w:bodyDiv w:val="1"/>
      <w:marLeft w:val="0"/>
      <w:marRight w:val="0"/>
      <w:marTop w:val="0"/>
      <w:marBottom w:val="0"/>
      <w:divBdr>
        <w:top w:val="none" w:sz="0" w:space="0" w:color="auto"/>
        <w:left w:val="none" w:sz="0" w:space="0" w:color="auto"/>
        <w:bottom w:val="none" w:sz="0" w:space="0" w:color="auto"/>
        <w:right w:val="none" w:sz="0" w:space="0" w:color="auto"/>
      </w:divBdr>
    </w:div>
    <w:div w:id="1247109246">
      <w:bodyDiv w:val="1"/>
      <w:marLeft w:val="0"/>
      <w:marRight w:val="0"/>
      <w:marTop w:val="0"/>
      <w:marBottom w:val="0"/>
      <w:divBdr>
        <w:top w:val="none" w:sz="0" w:space="0" w:color="auto"/>
        <w:left w:val="none" w:sz="0" w:space="0" w:color="auto"/>
        <w:bottom w:val="none" w:sz="0" w:space="0" w:color="auto"/>
        <w:right w:val="none" w:sz="0" w:space="0" w:color="auto"/>
      </w:divBdr>
    </w:div>
    <w:div w:id="1247114169">
      <w:bodyDiv w:val="1"/>
      <w:marLeft w:val="0"/>
      <w:marRight w:val="0"/>
      <w:marTop w:val="0"/>
      <w:marBottom w:val="0"/>
      <w:divBdr>
        <w:top w:val="none" w:sz="0" w:space="0" w:color="auto"/>
        <w:left w:val="none" w:sz="0" w:space="0" w:color="auto"/>
        <w:bottom w:val="none" w:sz="0" w:space="0" w:color="auto"/>
        <w:right w:val="none" w:sz="0" w:space="0" w:color="auto"/>
      </w:divBdr>
    </w:div>
    <w:div w:id="1247153833">
      <w:bodyDiv w:val="1"/>
      <w:marLeft w:val="0"/>
      <w:marRight w:val="0"/>
      <w:marTop w:val="0"/>
      <w:marBottom w:val="0"/>
      <w:divBdr>
        <w:top w:val="none" w:sz="0" w:space="0" w:color="auto"/>
        <w:left w:val="none" w:sz="0" w:space="0" w:color="auto"/>
        <w:bottom w:val="none" w:sz="0" w:space="0" w:color="auto"/>
        <w:right w:val="none" w:sz="0" w:space="0" w:color="auto"/>
      </w:divBdr>
    </w:div>
    <w:div w:id="1247232746">
      <w:bodyDiv w:val="1"/>
      <w:marLeft w:val="0"/>
      <w:marRight w:val="0"/>
      <w:marTop w:val="0"/>
      <w:marBottom w:val="0"/>
      <w:divBdr>
        <w:top w:val="none" w:sz="0" w:space="0" w:color="auto"/>
        <w:left w:val="none" w:sz="0" w:space="0" w:color="auto"/>
        <w:bottom w:val="none" w:sz="0" w:space="0" w:color="auto"/>
        <w:right w:val="none" w:sz="0" w:space="0" w:color="auto"/>
      </w:divBdr>
    </w:div>
    <w:div w:id="1247300005">
      <w:bodyDiv w:val="1"/>
      <w:marLeft w:val="0"/>
      <w:marRight w:val="0"/>
      <w:marTop w:val="0"/>
      <w:marBottom w:val="0"/>
      <w:divBdr>
        <w:top w:val="none" w:sz="0" w:space="0" w:color="auto"/>
        <w:left w:val="none" w:sz="0" w:space="0" w:color="auto"/>
        <w:bottom w:val="none" w:sz="0" w:space="0" w:color="auto"/>
        <w:right w:val="none" w:sz="0" w:space="0" w:color="auto"/>
      </w:divBdr>
    </w:div>
    <w:div w:id="1247301138">
      <w:bodyDiv w:val="1"/>
      <w:marLeft w:val="0"/>
      <w:marRight w:val="0"/>
      <w:marTop w:val="0"/>
      <w:marBottom w:val="0"/>
      <w:divBdr>
        <w:top w:val="none" w:sz="0" w:space="0" w:color="auto"/>
        <w:left w:val="none" w:sz="0" w:space="0" w:color="auto"/>
        <w:bottom w:val="none" w:sz="0" w:space="0" w:color="auto"/>
        <w:right w:val="none" w:sz="0" w:space="0" w:color="auto"/>
      </w:divBdr>
    </w:div>
    <w:div w:id="1247302137">
      <w:bodyDiv w:val="1"/>
      <w:marLeft w:val="0"/>
      <w:marRight w:val="0"/>
      <w:marTop w:val="0"/>
      <w:marBottom w:val="0"/>
      <w:divBdr>
        <w:top w:val="none" w:sz="0" w:space="0" w:color="auto"/>
        <w:left w:val="none" w:sz="0" w:space="0" w:color="auto"/>
        <w:bottom w:val="none" w:sz="0" w:space="0" w:color="auto"/>
        <w:right w:val="none" w:sz="0" w:space="0" w:color="auto"/>
      </w:divBdr>
    </w:div>
    <w:div w:id="1247574013">
      <w:bodyDiv w:val="1"/>
      <w:marLeft w:val="0"/>
      <w:marRight w:val="0"/>
      <w:marTop w:val="0"/>
      <w:marBottom w:val="0"/>
      <w:divBdr>
        <w:top w:val="none" w:sz="0" w:space="0" w:color="auto"/>
        <w:left w:val="none" w:sz="0" w:space="0" w:color="auto"/>
        <w:bottom w:val="none" w:sz="0" w:space="0" w:color="auto"/>
        <w:right w:val="none" w:sz="0" w:space="0" w:color="auto"/>
      </w:divBdr>
    </w:div>
    <w:div w:id="1247693011">
      <w:bodyDiv w:val="1"/>
      <w:marLeft w:val="0"/>
      <w:marRight w:val="0"/>
      <w:marTop w:val="0"/>
      <w:marBottom w:val="0"/>
      <w:divBdr>
        <w:top w:val="none" w:sz="0" w:space="0" w:color="auto"/>
        <w:left w:val="none" w:sz="0" w:space="0" w:color="auto"/>
        <w:bottom w:val="none" w:sz="0" w:space="0" w:color="auto"/>
        <w:right w:val="none" w:sz="0" w:space="0" w:color="auto"/>
      </w:divBdr>
    </w:div>
    <w:div w:id="1247962030">
      <w:bodyDiv w:val="1"/>
      <w:marLeft w:val="0"/>
      <w:marRight w:val="0"/>
      <w:marTop w:val="0"/>
      <w:marBottom w:val="0"/>
      <w:divBdr>
        <w:top w:val="none" w:sz="0" w:space="0" w:color="auto"/>
        <w:left w:val="none" w:sz="0" w:space="0" w:color="auto"/>
        <w:bottom w:val="none" w:sz="0" w:space="0" w:color="auto"/>
        <w:right w:val="none" w:sz="0" w:space="0" w:color="auto"/>
      </w:divBdr>
    </w:div>
    <w:div w:id="1247963009">
      <w:bodyDiv w:val="1"/>
      <w:marLeft w:val="0"/>
      <w:marRight w:val="0"/>
      <w:marTop w:val="0"/>
      <w:marBottom w:val="0"/>
      <w:divBdr>
        <w:top w:val="none" w:sz="0" w:space="0" w:color="auto"/>
        <w:left w:val="none" w:sz="0" w:space="0" w:color="auto"/>
        <w:bottom w:val="none" w:sz="0" w:space="0" w:color="auto"/>
        <w:right w:val="none" w:sz="0" w:space="0" w:color="auto"/>
      </w:divBdr>
    </w:div>
    <w:div w:id="1248030355">
      <w:bodyDiv w:val="1"/>
      <w:marLeft w:val="0"/>
      <w:marRight w:val="0"/>
      <w:marTop w:val="0"/>
      <w:marBottom w:val="0"/>
      <w:divBdr>
        <w:top w:val="none" w:sz="0" w:space="0" w:color="auto"/>
        <w:left w:val="none" w:sz="0" w:space="0" w:color="auto"/>
        <w:bottom w:val="none" w:sz="0" w:space="0" w:color="auto"/>
        <w:right w:val="none" w:sz="0" w:space="0" w:color="auto"/>
      </w:divBdr>
    </w:div>
    <w:div w:id="1248074851">
      <w:bodyDiv w:val="1"/>
      <w:marLeft w:val="0"/>
      <w:marRight w:val="0"/>
      <w:marTop w:val="0"/>
      <w:marBottom w:val="0"/>
      <w:divBdr>
        <w:top w:val="none" w:sz="0" w:space="0" w:color="auto"/>
        <w:left w:val="none" w:sz="0" w:space="0" w:color="auto"/>
        <w:bottom w:val="none" w:sz="0" w:space="0" w:color="auto"/>
        <w:right w:val="none" w:sz="0" w:space="0" w:color="auto"/>
      </w:divBdr>
    </w:div>
    <w:div w:id="1248148859">
      <w:bodyDiv w:val="1"/>
      <w:marLeft w:val="0"/>
      <w:marRight w:val="0"/>
      <w:marTop w:val="0"/>
      <w:marBottom w:val="0"/>
      <w:divBdr>
        <w:top w:val="none" w:sz="0" w:space="0" w:color="auto"/>
        <w:left w:val="none" w:sz="0" w:space="0" w:color="auto"/>
        <w:bottom w:val="none" w:sz="0" w:space="0" w:color="auto"/>
        <w:right w:val="none" w:sz="0" w:space="0" w:color="auto"/>
      </w:divBdr>
    </w:div>
    <w:div w:id="1248155999">
      <w:bodyDiv w:val="1"/>
      <w:marLeft w:val="0"/>
      <w:marRight w:val="0"/>
      <w:marTop w:val="0"/>
      <w:marBottom w:val="0"/>
      <w:divBdr>
        <w:top w:val="none" w:sz="0" w:space="0" w:color="auto"/>
        <w:left w:val="none" w:sz="0" w:space="0" w:color="auto"/>
        <w:bottom w:val="none" w:sz="0" w:space="0" w:color="auto"/>
        <w:right w:val="none" w:sz="0" w:space="0" w:color="auto"/>
      </w:divBdr>
    </w:div>
    <w:div w:id="1248883868">
      <w:bodyDiv w:val="1"/>
      <w:marLeft w:val="0"/>
      <w:marRight w:val="0"/>
      <w:marTop w:val="0"/>
      <w:marBottom w:val="0"/>
      <w:divBdr>
        <w:top w:val="none" w:sz="0" w:space="0" w:color="auto"/>
        <w:left w:val="none" w:sz="0" w:space="0" w:color="auto"/>
        <w:bottom w:val="none" w:sz="0" w:space="0" w:color="auto"/>
        <w:right w:val="none" w:sz="0" w:space="0" w:color="auto"/>
      </w:divBdr>
    </w:div>
    <w:div w:id="1248886643">
      <w:bodyDiv w:val="1"/>
      <w:marLeft w:val="0"/>
      <w:marRight w:val="0"/>
      <w:marTop w:val="0"/>
      <w:marBottom w:val="0"/>
      <w:divBdr>
        <w:top w:val="none" w:sz="0" w:space="0" w:color="auto"/>
        <w:left w:val="none" w:sz="0" w:space="0" w:color="auto"/>
        <w:bottom w:val="none" w:sz="0" w:space="0" w:color="auto"/>
        <w:right w:val="none" w:sz="0" w:space="0" w:color="auto"/>
      </w:divBdr>
    </w:div>
    <w:div w:id="1248922520">
      <w:bodyDiv w:val="1"/>
      <w:marLeft w:val="0"/>
      <w:marRight w:val="0"/>
      <w:marTop w:val="0"/>
      <w:marBottom w:val="0"/>
      <w:divBdr>
        <w:top w:val="none" w:sz="0" w:space="0" w:color="auto"/>
        <w:left w:val="none" w:sz="0" w:space="0" w:color="auto"/>
        <w:bottom w:val="none" w:sz="0" w:space="0" w:color="auto"/>
        <w:right w:val="none" w:sz="0" w:space="0" w:color="auto"/>
      </w:divBdr>
    </w:div>
    <w:div w:id="1249080317">
      <w:bodyDiv w:val="1"/>
      <w:marLeft w:val="0"/>
      <w:marRight w:val="0"/>
      <w:marTop w:val="0"/>
      <w:marBottom w:val="0"/>
      <w:divBdr>
        <w:top w:val="none" w:sz="0" w:space="0" w:color="auto"/>
        <w:left w:val="none" w:sz="0" w:space="0" w:color="auto"/>
        <w:bottom w:val="none" w:sz="0" w:space="0" w:color="auto"/>
        <w:right w:val="none" w:sz="0" w:space="0" w:color="auto"/>
      </w:divBdr>
    </w:div>
    <w:div w:id="1249121503">
      <w:bodyDiv w:val="1"/>
      <w:marLeft w:val="0"/>
      <w:marRight w:val="0"/>
      <w:marTop w:val="0"/>
      <w:marBottom w:val="0"/>
      <w:divBdr>
        <w:top w:val="none" w:sz="0" w:space="0" w:color="auto"/>
        <w:left w:val="none" w:sz="0" w:space="0" w:color="auto"/>
        <w:bottom w:val="none" w:sz="0" w:space="0" w:color="auto"/>
        <w:right w:val="none" w:sz="0" w:space="0" w:color="auto"/>
      </w:divBdr>
    </w:div>
    <w:div w:id="1249459483">
      <w:bodyDiv w:val="1"/>
      <w:marLeft w:val="0"/>
      <w:marRight w:val="0"/>
      <w:marTop w:val="0"/>
      <w:marBottom w:val="0"/>
      <w:divBdr>
        <w:top w:val="none" w:sz="0" w:space="0" w:color="auto"/>
        <w:left w:val="none" w:sz="0" w:space="0" w:color="auto"/>
        <w:bottom w:val="none" w:sz="0" w:space="0" w:color="auto"/>
        <w:right w:val="none" w:sz="0" w:space="0" w:color="auto"/>
      </w:divBdr>
    </w:div>
    <w:div w:id="1249577539">
      <w:bodyDiv w:val="1"/>
      <w:marLeft w:val="0"/>
      <w:marRight w:val="0"/>
      <w:marTop w:val="0"/>
      <w:marBottom w:val="0"/>
      <w:divBdr>
        <w:top w:val="none" w:sz="0" w:space="0" w:color="auto"/>
        <w:left w:val="none" w:sz="0" w:space="0" w:color="auto"/>
        <w:bottom w:val="none" w:sz="0" w:space="0" w:color="auto"/>
        <w:right w:val="none" w:sz="0" w:space="0" w:color="auto"/>
      </w:divBdr>
    </w:div>
    <w:div w:id="1249581452">
      <w:bodyDiv w:val="1"/>
      <w:marLeft w:val="0"/>
      <w:marRight w:val="0"/>
      <w:marTop w:val="0"/>
      <w:marBottom w:val="0"/>
      <w:divBdr>
        <w:top w:val="none" w:sz="0" w:space="0" w:color="auto"/>
        <w:left w:val="none" w:sz="0" w:space="0" w:color="auto"/>
        <w:bottom w:val="none" w:sz="0" w:space="0" w:color="auto"/>
        <w:right w:val="none" w:sz="0" w:space="0" w:color="auto"/>
      </w:divBdr>
    </w:div>
    <w:div w:id="1249652238">
      <w:bodyDiv w:val="1"/>
      <w:marLeft w:val="0"/>
      <w:marRight w:val="0"/>
      <w:marTop w:val="0"/>
      <w:marBottom w:val="0"/>
      <w:divBdr>
        <w:top w:val="none" w:sz="0" w:space="0" w:color="auto"/>
        <w:left w:val="none" w:sz="0" w:space="0" w:color="auto"/>
        <w:bottom w:val="none" w:sz="0" w:space="0" w:color="auto"/>
        <w:right w:val="none" w:sz="0" w:space="0" w:color="auto"/>
      </w:divBdr>
    </w:div>
    <w:div w:id="1249844547">
      <w:bodyDiv w:val="1"/>
      <w:marLeft w:val="0"/>
      <w:marRight w:val="0"/>
      <w:marTop w:val="0"/>
      <w:marBottom w:val="0"/>
      <w:divBdr>
        <w:top w:val="none" w:sz="0" w:space="0" w:color="auto"/>
        <w:left w:val="none" w:sz="0" w:space="0" w:color="auto"/>
        <w:bottom w:val="none" w:sz="0" w:space="0" w:color="auto"/>
        <w:right w:val="none" w:sz="0" w:space="0" w:color="auto"/>
      </w:divBdr>
    </w:div>
    <w:div w:id="1249996018">
      <w:bodyDiv w:val="1"/>
      <w:marLeft w:val="0"/>
      <w:marRight w:val="0"/>
      <w:marTop w:val="0"/>
      <w:marBottom w:val="0"/>
      <w:divBdr>
        <w:top w:val="none" w:sz="0" w:space="0" w:color="auto"/>
        <w:left w:val="none" w:sz="0" w:space="0" w:color="auto"/>
        <w:bottom w:val="none" w:sz="0" w:space="0" w:color="auto"/>
        <w:right w:val="none" w:sz="0" w:space="0" w:color="auto"/>
      </w:divBdr>
    </w:div>
    <w:div w:id="1250040983">
      <w:bodyDiv w:val="1"/>
      <w:marLeft w:val="0"/>
      <w:marRight w:val="0"/>
      <w:marTop w:val="0"/>
      <w:marBottom w:val="0"/>
      <w:divBdr>
        <w:top w:val="none" w:sz="0" w:space="0" w:color="auto"/>
        <w:left w:val="none" w:sz="0" w:space="0" w:color="auto"/>
        <w:bottom w:val="none" w:sz="0" w:space="0" w:color="auto"/>
        <w:right w:val="none" w:sz="0" w:space="0" w:color="auto"/>
      </w:divBdr>
    </w:div>
    <w:div w:id="1250306361">
      <w:bodyDiv w:val="1"/>
      <w:marLeft w:val="0"/>
      <w:marRight w:val="0"/>
      <w:marTop w:val="0"/>
      <w:marBottom w:val="0"/>
      <w:divBdr>
        <w:top w:val="none" w:sz="0" w:space="0" w:color="auto"/>
        <w:left w:val="none" w:sz="0" w:space="0" w:color="auto"/>
        <w:bottom w:val="none" w:sz="0" w:space="0" w:color="auto"/>
        <w:right w:val="none" w:sz="0" w:space="0" w:color="auto"/>
      </w:divBdr>
    </w:div>
    <w:div w:id="1250500968">
      <w:bodyDiv w:val="1"/>
      <w:marLeft w:val="0"/>
      <w:marRight w:val="0"/>
      <w:marTop w:val="0"/>
      <w:marBottom w:val="0"/>
      <w:divBdr>
        <w:top w:val="none" w:sz="0" w:space="0" w:color="auto"/>
        <w:left w:val="none" w:sz="0" w:space="0" w:color="auto"/>
        <w:bottom w:val="none" w:sz="0" w:space="0" w:color="auto"/>
        <w:right w:val="none" w:sz="0" w:space="0" w:color="auto"/>
      </w:divBdr>
    </w:div>
    <w:div w:id="1250654617">
      <w:bodyDiv w:val="1"/>
      <w:marLeft w:val="0"/>
      <w:marRight w:val="0"/>
      <w:marTop w:val="0"/>
      <w:marBottom w:val="0"/>
      <w:divBdr>
        <w:top w:val="none" w:sz="0" w:space="0" w:color="auto"/>
        <w:left w:val="none" w:sz="0" w:space="0" w:color="auto"/>
        <w:bottom w:val="none" w:sz="0" w:space="0" w:color="auto"/>
        <w:right w:val="none" w:sz="0" w:space="0" w:color="auto"/>
      </w:divBdr>
    </w:div>
    <w:div w:id="1250769987">
      <w:bodyDiv w:val="1"/>
      <w:marLeft w:val="0"/>
      <w:marRight w:val="0"/>
      <w:marTop w:val="0"/>
      <w:marBottom w:val="0"/>
      <w:divBdr>
        <w:top w:val="none" w:sz="0" w:space="0" w:color="auto"/>
        <w:left w:val="none" w:sz="0" w:space="0" w:color="auto"/>
        <w:bottom w:val="none" w:sz="0" w:space="0" w:color="auto"/>
        <w:right w:val="none" w:sz="0" w:space="0" w:color="auto"/>
      </w:divBdr>
    </w:div>
    <w:div w:id="1250773055">
      <w:bodyDiv w:val="1"/>
      <w:marLeft w:val="0"/>
      <w:marRight w:val="0"/>
      <w:marTop w:val="0"/>
      <w:marBottom w:val="0"/>
      <w:divBdr>
        <w:top w:val="none" w:sz="0" w:space="0" w:color="auto"/>
        <w:left w:val="none" w:sz="0" w:space="0" w:color="auto"/>
        <w:bottom w:val="none" w:sz="0" w:space="0" w:color="auto"/>
        <w:right w:val="none" w:sz="0" w:space="0" w:color="auto"/>
      </w:divBdr>
    </w:div>
    <w:div w:id="1250963623">
      <w:bodyDiv w:val="1"/>
      <w:marLeft w:val="0"/>
      <w:marRight w:val="0"/>
      <w:marTop w:val="0"/>
      <w:marBottom w:val="0"/>
      <w:divBdr>
        <w:top w:val="none" w:sz="0" w:space="0" w:color="auto"/>
        <w:left w:val="none" w:sz="0" w:space="0" w:color="auto"/>
        <w:bottom w:val="none" w:sz="0" w:space="0" w:color="auto"/>
        <w:right w:val="none" w:sz="0" w:space="0" w:color="auto"/>
      </w:divBdr>
    </w:div>
    <w:div w:id="1250966451">
      <w:bodyDiv w:val="1"/>
      <w:marLeft w:val="0"/>
      <w:marRight w:val="0"/>
      <w:marTop w:val="0"/>
      <w:marBottom w:val="0"/>
      <w:divBdr>
        <w:top w:val="none" w:sz="0" w:space="0" w:color="auto"/>
        <w:left w:val="none" w:sz="0" w:space="0" w:color="auto"/>
        <w:bottom w:val="none" w:sz="0" w:space="0" w:color="auto"/>
        <w:right w:val="none" w:sz="0" w:space="0" w:color="auto"/>
      </w:divBdr>
    </w:div>
    <w:div w:id="1251083497">
      <w:bodyDiv w:val="1"/>
      <w:marLeft w:val="0"/>
      <w:marRight w:val="0"/>
      <w:marTop w:val="0"/>
      <w:marBottom w:val="0"/>
      <w:divBdr>
        <w:top w:val="none" w:sz="0" w:space="0" w:color="auto"/>
        <w:left w:val="none" w:sz="0" w:space="0" w:color="auto"/>
        <w:bottom w:val="none" w:sz="0" w:space="0" w:color="auto"/>
        <w:right w:val="none" w:sz="0" w:space="0" w:color="auto"/>
      </w:divBdr>
    </w:div>
    <w:div w:id="1251280158">
      <w:bodyDiv w:val="1"/>
      <w:marLeft w:val="0"/>
      <w:marRight w:val="0"/>
      <w:marTop w:val="0"/>
      <w:marBottom w:val="0"/>
      <w:divBdr>
        <w:top w:val="none" w:sz="0" w:space="0" w:color="auto"/>
        <w:left w:val="none" w:sz="0" w:space="0" w:color="auto"/>
        <w:bottom w:val="none" w:sz="0" w:space="0" w:color="auto"/>
        <w:right w:val="none" w:sz="0" w:space="0" w:color="auto"/>
      </w:divBdr>
    </w:div>
    <w:div w:id="1251356701">
      <w:bodyDiv w:val="1"/>
      <w:marLeft w:val="0"/>
      <w:marRight w:val="0"/>
      <w:marTop w:val="0"/>
      <w:marBottom w:val="0"/>
      <w:divBdr>
        <w:top w:val="none" w:sz="0" w:space="0" w:color="auto"/>
        <w:left w:val="none" w:sz="0" w:space="0" w:color="auto"/>
        <w:bottom w:val="none" w:sz="0" w:space="0" w:color="auto"/>
        <w:right w:val="none" w:sz="0" w:space="0" w:color="auto"/>
      </w:divBdr>
    </w:div>
    <w:div w:id="1251427882">
      <w:bodyDiv w:val="1"/>
      <w:marLeft w:val="0"/>
      <w:marRight w:val="0"/>
      <w:marTop w:val="0"/>
      <w:marBottom w:val="0"/>
      <w:divBdr>
        <w:top w:val="none" w:sz="0" w:space="0" w:color="auto"/>
        <w:left w:val="none" w:sz="0" w:space="0" w:color="auto"/>
        <w:bottom w:val="none" w:sz="0" w:space="0" w:color="auto"/>
        <w:right w:val="none" w:sz="0" w:space="0" w:color="auto"/>
      </w:divBdr>
    </w:div>
    <w:div w:id="1251501754">
      <w:bodyDiv w:val="1"/>
      <w:marLeft w:val="0"/>
      <w:marRight w:val="0"/>
      <w:marTop w:val="0"/>
      <w:marBottom w:val="0"/>
      <w:divBdr>
        <w:top w:val="none" w:sz="0" w:space="0" w:color="auto"/>
        <w:left w:val="none" w:sz="0" w:space="0" w:color="auto"/>
        <w:bottom w:val="none" w:sz="0" w:space="0" w:color="auto"/>
        <w:right w:val="none" w:sz="0" w:space="0" w:color="auto"/>
      </w:divBdr>
    </w:div>
    <w:div w:id="1251550132">
      <w:bodyDiv w:val="1"/>
      <w:marLeft w:val="0"/>
      <w:marRight w:val="0"/>
      <w:marTop w:val="0"/>
      <w:marBottom w:val="0"/>
      <w:divBdr>
        <w:top w:val="none" w:sz="0" w:space="0" w:color="auto"/>
        <w:left w:val="none" w:sz="0" w:space="0" w:color="auto"/>
        <w:bottom w:val="none" w:sz="0" w:space="0" w:color="auto"/>
        <w:right w:val="none" w:sz="0" w:space="0" w:color="auto"/>
      </w:divBdr>
    </w:div>
    <w:div w:id="1251692245">
      <w:bodyDiv w:val="1"/>
      <w:marLeft w:val="0"/>
      <w:marRight w:val="0"/>
      <w:marTop w:val="0"/>
      <w:marBottom w:val="0"/>
      <w:divBdr>
        <w:top w:val="none" w:sz="0" w:space="0" w:color="auto"/>
        <w:left w:val="none" w:sz="0" w:space="0" w:color="auto"/>
        <w:bottom w:val="none" w:sz="0" w:space="0" w:color="auto"/>
        <w:right w:val="none" w:sz="0" w:space="0" w:color="auto"/>
      </w:divBdr>
    </w:div>
    <w:div w:id="1251818374">
      <w:bodyDiv w:val="1"/>
      <w:marLeft w:val="0"/>
      <w:marRight w:val="0"/>
      <w:marTop w:val="0"/>
      <w:marBottom w:val="0"/>
      <w:divBdr>
        <w:top w:val="none" w:sz="0" w:space="0" w:color="auto"/>
        <w:left w:val="none" w:sz="0" w:space="0" w:color="auto"/>
        <w:bottom w:val="none" w:sz="0" w:space="0" w:color="auto"/>
        <w:right w:val="none" w:sz="0" w:space="0" w:color="auto"/>
      </w:divBdr>
    </w:div>
    <w:div w:id="1251887026">
      <w:bodyDiv w:val="1"/>
      <w:marLeft w:val="0"/>
      <w:marRight w:val="0"/>
      <w:marTop w:val="0"/>
      <w:marBottom w:val="0"/>
      <w:divBdr>
        <w:top w:val="none" w:sz="0" w:space="0" w:color="auto"/>
        <w:left w:val="none" w:sz="0" w:space="0" w:color="auto"/>
        <w:bottom w:val="none" w:sz="0" w:space="0" w:color="auto"/>
        <w:right w:val="none" w:sz="0" w:space="0" w:color="auto"/>
      </w:divBdr>
    </w:div>
    <w:div w:id="1252085173">
      <w:bodyDiv w:val="1"/>
      <w:marLeft w:val="0"/>
      <w:marRight w:val="0"/>
      <w:marTop w:val="0"/>
      <w:marBottom w:val="0"/>
      <w:divBdr>
        <w:top w:val="none" w:sz="0" w:space="0" w:color="auto"/>
        <w:left w:val="none" w:sz="0" w:space="0" w:color="auto"/>
        <w:bottom w:val="none" w:sz="0" w:space="0" w:color="auto"/>
        <w:right w:val="none" w:sz="0" w:space="0" w:color="auto"/>
      </w:divBdr>
    </w:div>
    <w:div w:id="1252274192">
      <w:bodyDiv w:val="1"/>
      <w:marLeft w:val="0"/>
      <w:marRight w:val="0"/>
      <w:marTop w:val="0"/>
      <w:marBottom w:val="0"/>
      <w:divBdr>
        <w:top w:val="none" w:sz="0" w:space="0" w:color="auto"/>
        <w:left w:val="none" w:sz="0" w:space="0" w:color="auto"/>
        <w:bottom w:val="none" w:sz="0" w:space="0" w:color="auto"/>
        <w:right w:val="none" w:sz="0" w:space="0" w:color="auto"/>
      </w:divBdr>
    </w:div>
    <w:div w:id="1252424097">
      <w:bodyDiv w:val="1"/>
      <w:marLeft w:val="0"/>
      <w:marRight w:val="0"/>
      <w:marTop w:val="0"/>
      <w:marBottom w:val="0"/>
      <w:divBdr>
        <w:top w:val="none" w:sz="0" w:space="0" w:color="auto"/>
        <w:left w:val="none" w:sz="0" w:space="0" w:color="auto"/>
        <w:bottom w:val="none" w:sz="0" w:space="0" w:color="auto"/>
        <w:right w:val="none" w:sz="0" w:space="0" w:color="auto"/>
      </w:divBdr>
    </w:div>
    <w:div w:id="1252546163">
      <w:bodyDiv w:val="1"/>
      <w:marLeft w:val="0"/>
      <w:marRight w:val="0"/>
      <w:marTop w:val="0"/>
      <w:marBottom w:val="0"/>
      <w:divBdr>
        <w:top w:val="none" w:sz="0" w:space="0" w:color="auto"/>
        <w:left w:val="none" w:sz="0" w:space="0" w:color="auto"/>
        <w:bottom w:val="none" w:sz="0" w:space="0" w:color="auto"/>
        <w:right w:val="none" w:sz="0" w:space="0" w:color="auto"/>
      </w:divBdr>
    </w:div>
    <w:div w:id="1252591634">
      <w:bodyDiv w:val="1"/>
      <w:marLeft w:val="0"/>
      <w:marRight w:val="0"/>
      <w:marTop w:val="0"/>
      <w:marBottom w:val="0"/>
      <w:divBdr>
        <w:top w:val="none" w:sz="0" w:space="0" w:color="auto"/>
        <w:left w:val="none" w:sz="0" w:space="0" w:color="auto"/>
        <w:bottom w:val="none" w:sz="0" w:space="0" w:color="auto"/>
        <w:right w:val="none" w:sz="0" w:space="0" w:color="auto"/>
      </w:divBdr>
    </w:div>
    <w:div w:id="1252667053">
      <w:bodyDiv w:val="1"/>
      <w:marLeft w:val="0"/>
      <w:marRight w:val="0"/>
      <w:marTop w:val="0"/>
      <w:marBottom w:val="0"/>
      <w:divBdr>
        <w:top w:val="none" w:sz="0" w:space="0" w:color="auto"/>
        <w:left w:val="none" w:sz="0" w:space="0" w:color="auto"/>
        <w:bottom w:val="none" w:sz="0" w:space="0" w:color="auto"/>
        <w:right w:val="none" w:sz="0" w:space="0" w:color="auto"/>
      </w:divBdr>
    </w:div>
    <w:div w:id="1252734451">
      <w:bodyDiv w:val="1"/>
      <w:marLeft w:val="0"/>
      <w:marRight w:val="0"/>
      <w:marTop w:val="0"/>
      <w:marBottom w:val="0"/>
      <w:divBdr>
        <w:top w:val="none" w:sz="0" w:space="0" w:color="auto"/>
        <w:left w:val="none" w:sz="0" w:space="0" w:color="auto"/>
        <w:bottom w:val="none" w:sz="0" w:space="0" w:color="auto"/>
        <w:right w:val="none" w:sz="0" w:space="0" w:color="auto"/>
      </w:divBdr>
    </w:div>
    <w:div w:id="1252741920">
      <w:bodyDiv w:val="1"/>
      <w:marLeft w:val="0"/>
      <w:marRight w:val="0"/>
      <w:marTop w:val="0"/>
      <w:marBottom w:val="0"/>
      <w:divBdr>
        <w:top w:val="none" w:sz="0" w:space="0" w:color="auto"/>
        <w:left w:val="none" w:sz="0" w:space="0" w:color="auto"/>
        <w:bottom w:val="none" w:sz="0" w:space="0" w:color="auto"/>
        <w:right w:val="none" w:sz="0" w:space="0" w:color="auto"/>
      </w:divBdr>
    </w:div>
    <w:div w:id="1252742284">
      <w:bodyDiv w:val="1"/>
      <w:marLeft w:val="0"/>
      <w:marRight w:val="0"/>
      <w:marTop w:val="0"/>
      <w:marBottom w:val="0"/>
      <w:divBdr>
        <w:top w:val="none" w:sz="0" w:space="0" w:color="auto"/>
        <w:left w:val="none" w:sz="0" w:space="0" w:color="auto"/>
        <w:bottom w:val="none" w:sz="0" w:space="0" w:color="auto"/>
        <w:right w:val="none" w:sz="0" w:space="0" w:color="auto"/>
      </w:divBdr>
    </w:div>
    <w:div w:id="1252932943">
      <w:bodyDiv w:val="1"/>
      <w:marLeft w:val="0"/>
      <w:marRight w:val="0"/>
      <w:marTop w:val="0"/>
      <w:marBottom w:val="0"/>
      <w:divBdr>
        <w:top w:val="none" w:sz="0" w:space="0" w:color="auto"/>
        <w:left w:val="none" w:sz="0" w:space="0" w:color="auto"/>
        <w:bottom w:val="none" w:sz="0" w:space="0" w:color="auto"/>
        <w:right w:val="none" w:sz="0" w:space="0" w:color="auto"/>
      </w:divBdr>
    </w:div>
    <w:div w:id="1252936415">
      <w:bodyDiv w:val="1"/>
      <w:marLeft w:val="0"/>
      <w:marRight w:val="0"/>
      <w:marTop w:val="0"/>
      <w:marBottom w:val="0"/>
      <w:divBdr>
        <w:top w:val="none" w:sz="0" w:space="0" w:color="auto"/>
        <w:left w:val="none" w:sz="0" w:space="0" w:color="auto"/>
        <w:bottom w:val="none" w:sz="0" w:space="0" w:color="auto"/>
        <w:right w:val="none" w:sz="0" w:space="0" w:color="auto"/>
      </w:divBdr>
    </w:div>
    <w:div w:id="1253053458">
      <w:bodyDiv w:val="1"/>
      <w:marLeft w:val="0"/>
      <w:marRight w:val="0"/>
      <w:marTop w:val="0"/>
      <w:marBottom w:val="0"/>
      <w:divBdr>
        <w:top w:val="none" w:sz="0" w:space="0" w:color="auto"/>
        <w:left w:val="none" w:sz="0" w:space="0" w:color="auto"/>
        <w:bottom w:val="none" w:sz="0" w:space="0" w:color="auto"/>
        <w:right w:val="none" w:sz="0" w:space="0" w:color="auto"/>
      </w:divBdr>
    </w:div>
    <w:div w:id="1253271510">
      <w:bodyDiv w:val="1"/>
      <w:marLeft w:val="0"/>
      <w:marRight w:val="0"/>
      <w:marTop w:val="0"/>
      <w:marBottom w:val="0"/>
      <w:divBdr>
        <w:top w:val="none" w:sz="0" w:space="0" w:color="auto"/>
        <w:left w:val="none" w:sz="0" w:space="0" w:color="auto"/>
        <w:bottom w:val="none" w:sz="0" w:space="0" w:color="auto"/>
        <w:right w:val="none" w:sz="0" w:space="0" w:color="auto"/>
      </w:divBdr>
    </w:div>
    <w:div w:id="1253276632">
      <w:bodyDiv w:val="1"/>
      <w:marLeft w:val="0"/>
      <w:marRight w:val="0"/>
      <w:marTop w:val="0"/>
      <w:marBottom w:val="0"/>
      <w:divBdr>
        <w:top w:val="none" w:sz="0" w:space="0" w:color="auto"/>
        <w:left w:val="none" w:sz="0" w:space="0" w:color="auto"/>
        <w:bottom w:val="none" w:sz="0" w:space="0" w:color="auto"/>
        <w:right w:val="none" w:sz="0" w:space="0" w:color="auto"/>
      </w:divBdr>
    </w:div>
    <w:div w:id="1253314513">
      <w:bodyDiv w:val="1"/>
      <w:marLeft w:val="0"/>
      <w:marRight w:val="0"/>
      <w:marTop w:val="0"/>
      <w:marBottom w:val="0"/>
      <w:divBdr>
        <w:top w:val="none" w:sz="0" w:space="0" w:color="auto"/>
        <w:left w:val="none" w:sz="0" w:space="0" w:color="auto"/>
        <w:bottom w:val="none" w:sz="0" w:space="0" w:color="auto"/>
        <w:right w:val="none" w:sz="0" w:space="0" w:color="auto"/>
      </w:divBdr>
    </w:div>
    <w:div w:id="1253320882">
      <w:bodyDiv w:val="1"/>
      <w:marLeft w:val="0"/>
      <w:marRight w:val="0"/>
      <w:marTop w:val="0"/>
      <w:marBottom w:val="0"/>
      <w:divBdr>
        <w:top w:val="none" w:sz="0" w:space="0" w:color="auto"/>
        <w:left w:val="none" w:sz="0" w:space="0" w:color="auto"/>
        <w:bottom w:val="none" w:sz="0" w:space="0" w:color="auto"/>
        <w:right w:val="none" w:sz="0" w:space="0" w:color="auto"/>
      </w:divBdr>
    </w:div>
    <w:div w:id="1253471543">
      <w:bodyDiv w:val="1"/>
      <w:marLeft w:val="0"/>
      <w:marRight w:val="0"/>
      <w:marTop w:val="0"/>
      <w:marBottom w:val="0"/>
      <w:divBdr>
        <w:top w:val="none" w:sz="0" w:space="0" w:color="auto"/>
        <w:left w:val="none" w:sz="0" w:space="0" w:color="auto"/>
        <w:bottom w:val="none" w:sz="0" w:space="0" w:color="auto"/>
        <w:right w:val="none" w:sz="0" w:space="0" w:color="auto"/>
      </w:divBdr>
    </w:div>
    <w:div w:id="1253472222">
      <w:bodyDiv w:val="1"/>
      <w:marLeft w:val="0"/>
      <w:marRight w:val="0"/>
      <w:marTop w:val="0"/>
      <w:marBottom w:val="0"/>
      <w:divBdr>
        <w:top w:val="none" w:sz="0" w:space="0" w:color="auto"/>
        <w:left w:val="none" w:sz="0" w:space="0" w:color="auto"/>
        <w:bottom w:val="none" w:sz="0" w:space="0" w:color="auto"/>
        <w:right w:val="none" w:sz="0" w:space="0" w:color="auto"/>
      </w:divBdr>
    </w:div>
    <w:div w:id="1253473842">
      <w:bodyDiv w:val="1"/>
      <w:marLeft w:val="0"/>
      <w:marRight w:val="0"/>
      <w:marTop w:val="0"/>
      <w:marBottom w:val="0"/>
      <w:divBdr>
        <w:top w:val="none" w:sz="0" w:space="0" w:color="auto"/>
        <w:left w:val="none" w:sz="0" w:space="0" w:color="auto"/>
        <w:bottom w:val="none" w:sz="0" w:space="0" w:color="auto"/>
        <w:right w:val="none" w:sz="0" w:space="0" w:color="auto"/>
      </w:divBdr>
    </w:div>
    <w:div w:id="1253585307">
      <w:bodyDiv w:val="1"/>
      <w:marLeft w:val="0"/>
      <w:marRight w:val="0"/>
      <w:marTop w:val="0"/>
      <w:marBottom w:val="0"/>
      <w:divBdr>
        <w:top w:val="none" w:sz="0" w:space="0" w:color="auto"/>
        <w:left w:val="none" w:sz="0" w:space="0" w:color="auto"/>
        <w:bottom w:val="none" w:sz="0" w:space="0" w:color="auto"/>
        <w:right w:val="none" w:sz="0" w:space="0" w:color="auto"/>
      </w:divBdr>
    </w:div>
    <w:div w:id="1253733396">
      <w:bodyDiv w:val="1"/>
      <w:marLeft w:val="0"/>
      <w:marRight w:val="0"/>
      <w:marTop w:val="0"/>
      <w:marBottom w:val="0"/>
      <w:divBdr>
        <w:top w:val="none" w:sz="0" w:space="0" w:color="auto"/>
        <w:left w:val="none" w:sz="0" w:space="0" w:color="auto"/>
        <w:bottom w:val="none" w:sz="0" w:space="0" w:color="auto"/>
        <w:right w:val="none" w:sz="0" w:space="0" w:color="auto"/>
      </w:divBdr>
    </w:div>
    <w:div w:id="1253783858">
      <w:bodyDiv w:val="1"/>
      <w:marLeft w:val="0"/>
      <w:marRight w:val="0"/>
      <w:marTop w:val="0"/>
      <w:marBottom w:val="0"/>
      <w:divBdr>
        <w:top w:val="none" w:sz="0" w:space="0" w:color="auto"/>
        <w:left w:val="none" w:sz="0" w:space="0" w:color="auto"/>
        <w:bottom w:val="none" w:sz="0" w:space="0" w:color="auto"/>
        <w:right w:val="none" w:sz="0" w:space="0" w:color="auto"/>
      </w:divBdr>
    </w:div>
    <w:div w:id="1253973439">
      <w:bodyDiv w:val="1"/>
      <w:marLeft w:val="0"/>
      <w:marRight w:val="0"/>
      <w:marTop w:val="0"/>
      <w:marBottom w:val="0"/>
      <w:divBdr>
        <w:top w:val="none" w:sz="0" w:space="0" w:color="auto"/>
        <w:left w:val="none" w:sz="0" w:space="0" w:color="auto"/>
        <w:bottom w:val="none" w:sz="0" w:space="0" w:color="auto"/>
        <w:right w:val="none" w:sz="0" w:space="0" w:color="auto"/>
      </w:divBdr>
    </w:div>
    <w:div w:id="1253974094">
      <w:bodyDiv w:val="1"/>
      <w:marLeft w:val="0"/>
      <w:marRight w:val="0"/>
      <w:marTop w:val="0"/>
      <w:marBottom w:val="0"/>
      <w:divBdr>
        <w:top w:val="none" w:sz="0" w:space="0" w:color="auto"/>
        <w:left w:val="none" w:sz="0" w:space="0" w:color="auto"/>
        <w:bottom w:val="none" w:sz="0" w:space="0" w:color="auto"/>
        <w:right w:val="none" w:sz="0" w:space="0" w:color="auto"/>
      </w:divBdr>
    </w:div>
    <w:div w:id="1253978328">
      <w:bodyDiv w:val="1"/>
      <w:marLeft w:val="0"/>
      <w:marRight w:val="0"/>
      <w:marTop w:val="0"/>
      <w:marBottom w:val="0"/>
      <w:divBdr>
        <w:top w:val="none" w:sz="0" w:space="0" w:color="auto"/>
        <w:left w:val="none" w:sz="0" w:space="0" w:color="auto"/>
        <w:bottom w:val="none" w:sz="0" w:space="0" w:color="auto"/>
        <w:right w:val="none" w:sz="0" w:space="0" w:color="auto"/>
      </w:divBdr>
    </w:div>
    <w:div w:id="1254044546">
      <w:bodyDiv w:val="1"/>
      <w:marLeft w:val="0"/>
      <w:marRight w:val="0"/>
      <w:marTop w:val="0"/>
      <w:marBottom w:val="0"/>
      <w:divBdr>
        <w:top w:val="none" w:sz="0" w:space="0" w:color="auto"/>
        <w:left w:val="none" w:sz="0" w:space="0" w:color="auto"/>
        <w:bottom w:val="none" w:sz="0" w:space="0" w:color="auto"/>
        <w:right w:val="none" w:sz="0" w:space="0" w:color="auto"/>
      </w:divBdr>
    </w:div>
    <w:div w:id="1254122347">
      <w:bodyDiv w:val="1"/>
      <w:marLeft w:val="0"/>
      <w:marRight w:val="0"/>
      <w:marTop w:val="0"/>
      <w:marBottom w:val="0"/>
      <w:divBdr>
        <w:top w:val="none" w:sz="0" w:space="0" w:color="auto"/>
        <w:left w:val="none" w:sz="0" w:space="0" w:color="auto"/>
        <w:bottom w:val="none" w:sz="0" w:space="0" w:color="auto"/>
        <w:right w:val="none" w:sz="0" w:space="0" w:color="auto"/>
      </w:divBdr>
    </w:div>
    <w:div w:id="1254244081">
      <w:bodyDiv w:val="1"/>
      <w:marLeft w:val="0"/>
      <w:marRight w:val="0"/>
      <w:marTop w:val="0"/>
      <w:marBottom w:val="0"/>
      <w:divBdr>
        <w:top w:val="none" w:sz="0" w:space="0" w:color="auto"/>
        <w:left w:val="none" w:sz="0" w:space="0" w:color="auto"/>
        <w:bottom w:val="none" w:sz="0" w:space="0" w:color="auto"/>
        <w:right w:val="none" w:sz="0" w:space="0" w:color="auto"/>
      </w:divBdr>
    </w:div>
    <w:div w:id="1254321478">
      <w:bodyDiv w:val="1"/>
      <w:marLeft w:val="0"/>
      <w:marRight w:val="0"/>
      <w:marTop w:val="0"/>
      <w:marBottom w:val="0"/>
      <w:divBdr>
        <w:top w:val="none" w:sz="0" w:space="0" w:color="auto"/>
        <w:left w:val="none" w:sz="0" w:space="0" w:color="auto"/>
        <w:bottom w:val="none" w:sz="0" w:space="0" w:color="auto"/>
        <w:right w:val="none" w:sz="0" w:space="0" w:color="auto"/>
      </w:divBdr>
    </w:div>
    <w:div w:id="1254322400">
      <w:bodyDiv w:val="1"/>
      <w:marLeft w:val="0"/>
      <w:marRight w:val="0"/>
      <w:marTop w:val="0"/>
      <w:marBottom w:val="0"/>
      <w:divBdr>
        <w:top w:val="none" w:sz="0" w:space="0" w:color="auto"/>
        <w:left w:val="none" w:sz="0" w:space="0" w:color="auto"/>
        <w:bottom w:val="none" w:sz="0" w:space="0" w:color="auto"/>
        <w:right w:val="none" w:sz="0" w:space="0" w:color="auto"/>
      </w:divBdr>
    </w:div>
    <w:div w:id="1254629508">
      <w:bodyDiv w:val="1"/>
      <w:marLeft w:val="0"/>
      <w:marRight w:val="0"/>
      <w:marTop w:val="0"/>
      <w:marBottom w:val="0"/>
      <w:divBdr>
        <w:top w:val="none" w:sz="0" w:space="0" w:color="auto"/>
        <w:left w:val="none" w:sz="0" w:space="0" w:color="auto"/>
        <w:bottom w:val="none" w:sz="0" w:space="0" w:color="auto"/>
        <w:right w:val="none" w:sz="0" w:space="0" w:color="auto"/>
      </w:divBdr>
    </w:div>
    <w:div w:id="1254781214">
      <w:bodyDiv w:val="1"/>
      <w:marLeft w:val="0"/>
      <w:marRight w:val="0"/>
      <w:marTop w:val="0"/>
      <w:marBottom w:val="0"/>
      <w:divBdr>
        <w:top w:val="none" w:sz="0" w:space="0" w:color="auto"/>
        <w:left w:val="none" w:sz="0" w:space="0" w:color="auto"/>
        <w:bottom w:val="none" w:sz="0" w:space="0" w:color="auto"/>
        <w:right w:val="none" w:sz="0" w:space="0" w:color="auto"/>
      </w:divBdr>
    </w:div>
    <w:div w:id="1254894195">
      <w:bodyDiv w:val="1"/>
      <w:marLeft w:val="0"/>
      <w:marRight w:val="0"/>
      <w:marTop w:val="0"/>
      <w:marBottom w:val="0"/>
      <w:divBdr>
        <w:top w:val="none" w:sz="0" w:space="0" w:color="auto"/>
        <w:left w:val="none" w:sz="0" w:space="0" w:color="auto"/>
        <w:bottom w:val="none" w:sz="0" w:space="0" w:color="auto"/>
        <w:right w:val="none" w:sz="0" w:space="0" w:color="auto"/>
      </w:divBdr>
    </w:div>
    <w:div w:id="1255286301">
      <w:bodyDiv w:val="1"/>
      <w:marLeft w:val="0"/>
      <w:marRight w:val="0"/>
      <w:marTop w:val="0"/>
      <w:marBottom w:val="0"/>
      <w:divBdr>
        <w:top w:val="none" w:sz="0" w:space="0" w:color="auto"/>
        <w:left w:val="none" w:sz="0" w:space="0" w:color="auto"/>
        <w:bottom w:val="none" w:sz="0" w:space="0" w:color="auto"/>
        <w:right w:val="none" w:sz="0" w:space="0" w:color="auto"/>
      </w:divBdr>
    </w:div>
    <w:div w:id="1255359310">
      <w:bodyDiv w:val="1"/>
      <w:marLeft w:val="0"/>
      <w:marRight w:val="0"/>
      <w:marTop w:val="0"/>
      <w:marBottom w:val="0"/>
      <w:divBdr>
        <w:top w:val="none" w:sz="0" w:space="0" w:color="auto"/>
        <w:left w:val="none" w:sz="0" w:space="0" w:color="auto"/>
        <w:bottom w:val="none" w:sz="0" w:space="0" w:color="auto"/>
        <w:right w:val="none" w:sz="0" w:space="0" w:color="auto"/>
      </w:divBdr>
    </w:div>
    <w:div w:id="1255432763">
      <w:bodyDiv w:val="1"/>
      <w:marLeft w:val="0"/>
      <w:marRight w:val="0"/>
      <w:marTop w:val="0"/>
      <w:marBottom w:val="0"/>
      <w:divBdr>
        <w:top w:val="none" w:sz="0" w:space="0" w:color="auto"/>
        <w:left w:val="none" w:sz="0" w:space="0" w:color="auto"/>
        <w:bottom w:val="none" w:sz="0" w:space="0" w:color="auto"/>
        <w:right w:val="none" w:sz="0" w:space="0" w:color="auto"/>
      </w:divBdr>
    </w:div>
    <w:div w:id="1255869240">
      <w:bodyDiv w:val="1"/>
      <w:marLeft w:val="0"/>
      <w:marRight w:val="0"/>
      <w:marTop w:val="0"/>
      <w:marBottom w:val="0"/>
      <w:divBdr>
        <w:top w:val="none" w:sz="0" w:space="0" w:color="auto"/>
        <w:left w:val="none" w:sz="0" w:space="0" w:color="auto"/>
        <w:bottom w:val="none" w:sz="0" w:space="0" w:color="auto"/>
        <w:right w:val="none" w:sz="0" w:space="0" w:color="auto"/>
      </w:divBdr>
    </w:div>
    <w:div w:id="1256287762">
      <w:bodyDiv w:val="1"/>
      <w:marLeft w:val="0"/>
      <w:marRight w:val="0"/>
      <w:marTop w:val="0"/>
      <w:marBottom w:val="0"/>
      <w:divBdr>
        <w:top w:val="none" w:sz="0" w:space="0" w:color="auto"/>
        <w:left w:val="none" w:sz="0" w:space="0" w:color="auto"/>
        <w:bottom w:val="none" w:sz="0" w:space="0" w:color="auto"/>
        <w:right w:val="none" w:sz="0" w:space="0" w:color="auto"/>
      </w:divBdr>
    </w:div>
    <w:div w:id="1256329193">
      <w:bodyDiv w:val="1"/>
      <w:marLeft w:val="0"/>
      <w:marRight w:val="0"/>
      <w:marTop w:val="0"/>
      <w:marBottom w:val="0"/>
      <w:divBdr>
        <w:top w:val="none" w:sz="0" w:space="0" w:color="auto"/>
        <w:left w:val="none" w:sz="0" w:space="0" w:color="auto"/>
        <w:bottom w:val="none" w:sz="0" w:space="0" w:color="auto"/>
        <w:right w:val="none" w:sz="0" w:space="0" w:color="auto"/>
      </w:divBdr>
    </w:div>
    <w:div w:id="1256741565">
      <w:bodyDiv w:val="1"/>
      <w:marLeft w:val="0"/>
      <w:marRight w:val="0"/>
      <w:marTop w:val="0"/>
      <w:marBottom w:val="0"/>
      <w:divBdr>
        <w:top w:val="none" w:sz="0" w:space="0" w:color="auto"/>
        <w:left w:val="none" w:sz="0" w:space="0" w:color="auto"/>
        <w:bottom w:val="none" w:sz="0" w:space="0" w:color="auto"/>
        <w:right w:val="none" w:sz="0" w:space="0" w:color="auto"/>
      </w:divBdr>
    </w:div>
    <w:div w:id="1256865748">
      <w:bodyDiv w:val="1"/>
      <w:marLeft w:val="0"/>
      <w:marRight w:val="0"/>
      <w:marTop w:val="0"/>
      <w:marBottom w:val="0"/>
      <w:divBdr>
        <w:top w:val="none" w:sz="0" w:space="0" w:color="auto"/>
        <w:left w:val="none" w:sz="0" w:space="0" w:color="auto"/>
        <w:bottom w:val="none" w:sz="0" w:space="0" w:color="auto"/>
        <w:right w:val="none" w:sz="0" w:space="0" w:color="auto"/>
      </w:divBdr>
    </w:div>
    <w:div w:id="1256935990">
      <w:bodyDiv w:val="1"/>
      <w:marLeft w:val="0"/>
      <w:marRight w:val="0"/>
      <w:marTop w:val="0"/>
      <w:marBottom w:val="0"/>
      <w:divBdr>
        <w:top w:val="none" w:sz="0" w:space="0" w:color="auto"/>
        <w:left w:val="none" w:sz="0" w:space="0" w:color="auto"/>
        <w:bottom w:val="none" w:sz="0" w:space="0" w:color="auto"/>
        <w:right w:val="none" w:sz="0" w:space="0" w:color="auto"/>
      </w:divBdr>
    </w:div>
    <w:div w:id="1257206442">
      <w:bodyDiv w:val="1"/>
      <w:marLeft w:val="0"/>
      <w:marRight w:val="0"/>
      <w:marTop w:val="0"/>
      <w:marBottom w:val="0"/>
      <w:divBdr>
        <w:top w:val="none" w:sz="0" w:space="0" w:color="auto"/>
        <w:left w:val="none" w:sz="0" w:space="0" w:color="auto"/>
        <w:bottom w:val="none" w:sz="0" w:space="0" w:color="auto"/>
        <w:right w:val="none" w:sz="0" w:space="0" w:color="auto"/>
      </w:divBdr>
    </w:div>
    <w:div w:id="1257439540">
      <w:bodyDiv w:val="1"/>
      <w:marLeft w:val="0"/>
      <w:marRight w:val="0"/>
      <w:marTop w:val="0"/>
      <w:marBottom w:val="0"/>
      <w:divBdr>
        <w:top w:val="none" w:sz="0" w:space="0" w:color="auto"/>
        <w:left w:val="none" w:sz="0" w:space="0" w:color="auto"/>
        <w:bottom w:val="none" w:sz="0" w:space="0" w:color="auto"/>
        <w:right w:val="none" w:sz="0" w:space="0" w:color="auto"/>
      </w:divBdr>
    </w:div>
    <w:div w:id="1257445209">
      <w:bodyDiv w:val="1"/>
      <w:marLeft w:val="0"/>
      <w:marRight w:val="0"/>
      <w:marTop w:val="0"/>
      <w:marBottom w:val="0"/>
      <w:divBdr>
        <w:top w:val="none" w:sz="0" w:space="0" w:color="auto"/>
        <w:left w:val="none" w:sz="0" w:space="0" w:color="auto"/>
        <w:bottom w:val="none" w:sz="0" w:space="0" w:color="auto"/>
        <w:right w:val="none" w:sz="0" w:space="0" w:color="auto"/>
      </w:divBdr>
    </w:div>
    <w:div w:id="1257787814">
      <w:bodyDiv w:val="1"/>
      <w:marLeft w:val="0"/>
      <w:marRight w:val="0"/>
      <w:marTop w:val="0"/>
      <w:marBottom w:val="0"/>
      <w:divBdr>
        <w:top w:val="none" w:sz="0" w:space="0" w:color="auto"/>
        <w:left w:val="none" w:sz="0" w:space="0" w:color="auto"/>
        <w:bottom w:val="none" w:sz="0" w:space="0" w:color="auto"/>
        <w:right w:val="none" w:sz="0" w:space="0" w:color="auto"/>
      </w:divBdr>
    </w:div>
    <w:div w:id="1257981766">
      <w:bodyDiv w:val="1"/>
      <w:marLeft w:val="0"/>
      <w:marRight w:val="0"/>
      <w:marTop w:val="0"/>
      <w:marBottom w:val="0"/>
      <w:divBdr>
        <w:top w:val="none" w:sz="0" w:space="0" w:color="auto"/>
        <w:left w:val="none" w:sz="0" w:space="0" w:color="auto"/>
        <w:bottom w:val="none" w:sz="0" w:space="0" w:color="auto"/>
        <w:right w:val="none" w:sz="0" w:space="0" w:color="auto"/>
      </w:divBdr>
    </w:div>
    <w:div w:id="1258055853">
      <w:bodyDiv w:val="1"/>
      <w:marLeft w:val="0"/>
      <w:marRight w:val="0"/>
      <w:marTop w:val="0"/>
      <w:marBottom w:val="0"/>
      <w:divBdr>
        <w:top w:val="none" w:sz="0" w:space="0" w:color="auto"/>
        <w:left w:val="none" w:sz="0" w:space="0" w:color="auto"/>
        <w:bottom w:val="none" w:sz="0" w:space="0" w:color="auto"/>
        <w:right w:val="none" w:sz="0" w:space="0" w:color="auto"/>
      </w:divBdr>
    </w:div>
    <w:div w:id="1258095461">
      <w:bodyDiv w:val="1"/>
      <w:marLeft w:val="0"/>
      <w:marRight w:val="0"/>
      <w:marTop w:val="0"/>
      <w:marBottom w:val="0"/>
      <w:divBdr>
        <w:top w:val="none" w:sz="0" w:space="0" w:color="auto"/>
        <w:left w:val="none" w:sz="0" w:space="0" w:color="auto"/>
        <w:bottom w:val="none" w:sz="0" w:space="0" w:color="auto"/>
        <w:right w:val="none" w:sz="0" w:space="0" w:color="auto"/>
      </w:divBdr>
    </w:div>
    <w:div w:id="1258292351">
      <w:bodyDiv w:val="1"/>
      <w:marLeft w:val="0"/>
      <w:marRight w:val="0"/>
      <w:marTop w:val="0"/>
      <w:marBottom w:val="0"/>
      <w:divBdr>
        <w:top w:val="none" w:sz="0" w:space="0" w:color="auto"/>
        <w:left w:val="none" w:sz="0" w:space="0" w:color="auto"/>
        <w:bottom w:val="none" w:sz="0" w:space="0" w:color="auto"/>
        <w:right w:val="none" w:sz="0" w:space="0" w:color="auto"/>
      </w:divBdr>
    </w:div>
    <w:div w:id="1258562977">
      <w:bodyDiv w:val="1"/>
      <w:marLeft w:val="0"/>
      <w:marRight w:val="0"/>
      <w:marTop w:val="0"/>
      <w:marBottom w:val="0"/>
      <w:divBdr>
        <w:top w:val="none" w:sz="0" w:space="0" w:color="auto"/>
        <w:left w:val="none" w:sz="0" w:space="0" w:color="auto"/>
        <w:bottom w:val="none" w:sz="0" w:space="0" w:color="auto"/>
        <w:right w:val="none" w:sz="0" w:space="0" w:color="auto"/>
      </w:divBdr>
    </w:div>
    <w:div w:id="1258632427">
      <w:bodyDiv w:val="1"/>
      <w:marLeft w:val="0"/>
      <w:marRight w:val="0"/>
      <w:marTop w:val="0"/>
      <w:marBottom w:val="0"/>
      <w:divBdr>
        <w:top w:val="none" w:sz="0" w:space="0" w:color="auto"/>
        <w:left w:val="none" w:sz="0" w:space="0" w:color="auto"/>
        <w:bottom w:val="none" w:sz="0" w:space="0" w:color="auto"/>
        <w:right w:val="none" w:sz="0" w:space="0" w:color="auto"/>
      </w:divBdr>
    </w:div>
    <w:div w:id="1258639605">
      <w:bodyDiv w:val="1"/>
      <w:marLeft w:val="0"/>
      <w:marRight w:val="0"/>
      <w:marTop w:val="0"/>
      <w:marBottom w:val="0"/>
      <w:divBdr>
        <w:top w:val="none" w:sz="0" w:space="0" w:color="auto"/>
        <w:left w:val="none" w:sz="0" w:space="0" w:color="auto"/>
        <w:bottom w:val="none" w:sz="0" w:space="0" w:color="auto"/>
        <w:right w:val="none" w:sz="0" w:space="0" w:color="auto"/>
      </w:divBdr>
    </w:div>
    <w:div w:id="1258708538">
      <w:bodyDiv w:val="1"/>
      <w:marLeft w:val="0"/>
      <w:marRight w:val="0"/>
      <w:marTop w:val="0"/>
      <w:marBottom w:val="0"/>
      <w:divBdr>
        <w:top w:val="none" w:sz="0" w:space="0" w:color="auto"/>
        <w:left w:val="none" w:sz="0" w:space="0" w:color="auto"/>
        <w:bottom w:val="none" w:sz="0" w:space="0" w:color="auto"/>
        <w:right w:val="none" w:sz="0" w:space="0" w:color="auto"/>
      </w:divBdr>
    </w:div>
    <w:div w:id="1258950358">
      <w:bodyDiv w:val="1"/>
      <w:marLeft w:val="0"/>
      <w:marRight w:val="0"/>
      <w:marTop w:val="0"/>
      <w:marBottom w:val="0"/>
      <w:divBdr>
        <w:top w:val="none" w:sz="0" w:space="0" w:color="auto"/>
        <w:left w:val="none" w:sz="0" w:space="0" w:color="auto"/>
        <w:bottom w:val="none" w:sz="0" w:space="0" w:color="auto"/>
        <w:right w:val="none" w:sz="0" w:space="0" w:color="auto"/>
      </w:divBdr>
    </w:div>
    <w:div w:id="1259367854">
      <w:bodyDiv w:val="1"/>
      <w:marLeft w:val="0"/>
      <w:marRight w:val="0"/>
      <w:marTop w:val="0"/>
      <w:marBottom w:val="0"/>
      <w:divBdr>
        <w:top w:val="none" w:sz="0" w:space="0" w:color="auto"/>
        <w:left w:val="none" w:sz="0" w:space="0" w:color="auto"/>
        <w:bottom w:val="none" w:sz="0" w:space="0" w:color="auto"/>
        <w:right w:val="none" w:sz="0" w:space="0" w:color="auto"/>
      </w:divBdr>
    </w:div>
    <w:div w:id="1259409447">
      <w:bodyDiv w:val="1"/>
      <w:marLeft w:val="0"/>
      <w:marRight w:val="0"/>
      <w:marTop w:val="0"/>
      <w:marBottom w:val="0"/>
      <w:divBdr>
        <w:top w:val="none" w:sz="0" w:space="0" w:color="auto"/>
        <w:left w:val="none" w:sz="0" w:space="0" w:color="auto"/>
        <w:bottom w:val="none" w:sz="0" w:space="0" w:color="auto"/>
        <w:right w:val="none" w:sz="0" w:space="0" w:color="auto"/>
      </w:divBdr>
    </w:div>
    <w:div w:id="1259410493">
      <w:bodyDiv w:val="1"/>
      <w:marLeft w:val="0"/>
      <w:marRight w:val="0"/>
      <w:marTop w:val="0"/>
      <w:marBottom w:val="0"/>
      <w:divBdr>
        <w:top w:val="none" w:sz="0" w:space="0" w:color="auto"/>
        <w:left w:val="none" w:sz="0" w:space="0" w:color="auto"/>
        <w:bottom w:val="none" w:sz="0" w:space="0" w:color="auto"/>
        <w:right w:val="none" w:sz="0" w:space="0" w:color="auto"/>
      </w:divBdr>
    </w:div>
    <w:div w:id="1259488878">
      <w:bodyDiv w:val="1"/>
      <w:marLeft w:val="0"/>
      <w:marRight w:val="0"/>
      <w:marTop w:val="0"/>
      <w:marBottom w:val="0"/>
      <w:divBdr>
        <w:top w:val="none" w:sz="0" w:space="0" w:color="auto"/>
        <w:left w:val="none" w:sz="0" w:space="0" w:color="auto"/>
        <w:bottom w:val="none" w:sz="0" w:space="0" w:color="auto"/>
        <w:right w:val="none" w:sz="0" w:space="0" w:color="auto"/>
      </w:divBdr>
    </w:div>
    <w:div w:id="1259555642">
      <w:bodyDiv w:val="1"/>
      <w:marLeft w:val="0"/>
      <w:marRight w:val="0"/>
      <w:marTop w:val="0"/>
      <w:marBottom w:val="0"/>
      <w:divBdr>
        <w:top w:val="none" w:sz="0" w:space="0" w:color="auto"/>
        <w:left w:val="none" w:sz="0" w:space="0" w:color="auto"/>
        <w:bottom w:val="none" w:sz="0" w:space="0" w:color="auto"/>
        <w:right w:val="none" w:sz="0" w:space="0" w:color="auto"/>
      </w:divBdr>
    </w:div>
    <w:div w:id="1259562928">
      <w:bodyDiv w:val="1"/>
      <w:marLeft w:val="0"/>
      <w:marRight w:val="0"/>
      <w:marTop w:val="0"/>
      <w:marBottom w:val="0"/>
      <w:divBdr>
        <w:top w:val="none" w:sz="0" w:space="0" w:color="auto"/>
        <w:left w:val="none" w:sz="0" w:space="0" w:color="auto"/>
        <w:bottom w:val="none" w:sz="0" w:space="0" w:color="auto"/>
        <w:right w:val="none" w:sz="0" w:space="0" w:color="auto"/>
      </w:divBdr>
    </w:div>
    <w:div w:id="1259564137">
      <w:bodyDiv w:val="1"/>
      <w:marLeft w:val="0"/>
      <w:marRight w:val="0"/>
      <w:marTop w:val="0"/>
      <w:marBottom w:val="0"/>
      <w:divBdr>
        <w:top w:val="none" w:sz="0" w:space="0" w:color="auto"/>
        <w:left w:val="none" w:sz="0" w:space="0" w:color="auto"/>
        <w:bottom w:val="none" w:sz="0" w:space="0" w:color="auto"/>
        <w:right w:val="none" w:sz="0" w:space="0" w:color="auto"/>
      </w:divBdr>
    </w:div>
    <w:div w:id="1259605223">
      <w:bodyDiv w:val="1"/>
      <w:marLeft w:val="0"/>
      <w:marRight w:val="0"/>
      <w:marTop w:val="0"/>
      <w:marBottom w:val="0"/>
      <w:divBdr>
        <w:top w:val="none" w:sz="0" w:space="0" w:color="auto"/>
        <w:left w:val="none" w:sz="0" w:space="0" w:color="auto"/>
        <w:bottom w:val="none" w:sz="0" w:space="0" w:color="auto"/>
        <w:right w:val="none" w:sz="0" w:space="0" w:color="auto"/>
      </w:divBdr>
    </w:div>
    <w:div w:id="1259678812">
      <w:bodyDiv w:val="1"/>
      <w:marLeft w:val="0"/>
      <w:marRight w:val="0"/>
      <w:marTop w:val="0"/>
      <w:marBottom w:val="0"/>
      <w:divBdr>
        <w:top w:val="none" w:sz="0" w:space="0" w:color="auto"/>
        <w:left w:val="none" w:sz="0" w:space="0" w:color="auto"/>
        <w:bottom w:val="none" w:sz="0" w:space="0" w:color="auto"/>
        <w:right w:val="none" w:sz="0" w:space="0" w:color="auto"/>
      </w:divBdr>
    </w:div>
    <w:div w:id="1259753823">
      <w:bodyDiv w:val="1"/>
      <w:marLeft w:val="0"/>
      <w:marRight w:val="0"/>
      <w:marTop w:val="0"/>
      <w:marBottom w:val="0"/>
      <w:divBdr>
        <w:top w:val="none" w:sz="0" w:space="0" w:color="auto"/>
        <w:left w:val="none" w:sz="0" w:space="0" w:color="auto"/>
        <w:bottom w:val="none" w:sz="0" w:space="0" w:color="auto"/>
        <w:right w:val="none" w:sz="0" w:space="0" w:color="auto"/>
      </w:divBdr>
    </w:div>
    <w:div w:id="1259942541">
      <w:bodyDiv w:val="1"/>
      <w:marLeft w:val="0"/>
      <w:marRight w:val="0"/>
      <w:marTop w:val="0"/>
      <w:marBottom w:val="0"/>
      <w:divBdr>
        <w:top w:val="none" w:sz="0" w:space="0" w:color="auto"/>
        <w:left w:val="none" w:sz="0" w:space="0" w:color="auto"/>
        <w:bottom w:val="none" w:sz="0" w:space="0" w:color="auto"/>
        <w:right w:val="none" w:sz="0" w:space="0" w:color="auto"/>
      </w:divBdr>
    </w:div>
    <w:div w:id="1260064906">
      <w:bodyDiv w:val="1"/>
      <w:marLeft w:val="0"/>
      <w:marRight w:val="0"/>
      <w:marTop w:val="0"/>
      <w:marBottom w:val="0"/>
      <w:divBdr>
        <w:top w:val="none" w:sz="0" w:space="0" w:color="auto"/>
        <w:left w:val="none" w:sz="0" w:space="0" w:color="auto"/>
        <w:bottom w:val="none" w:sz="0" w:space="0" w:color="auto"/>
        <w:right w:val="none" w:sz="0" w:space="0" w:color="auto"/>
      </w:divBdr>
    </w:div>
    <w:div w:id="1260139898">
      <w:bodyDiv w:val="1"/>
      <w:marLeft w:val="0"/>
      <w:marRight w:val="0"/>
      <w:marTop w:val="0"/>
      <w:marBottom w:val="0"/>
      <w:divBdr>
        <w:top w:val="none" w:sz="0" w:space="0" w:color="auto"/>
        <w:left w:val="none" w:sz="0" w:space="0" w:color="auto"/>
        <w:bottom w:val="none" w:sz="0" w:space="0" w:color="auto"/>
        <w:right w:val="none" w:sz="0" w:space="0" w:color="auto"/>
      </w:divBdr>
    </w:div>
    <w:div w:id="1260144677">
      <w:bodyDiv w:val="1"/>
      <w:marLeft w:val="0"/>
      <w:marRight w:val="0"/>
      <w:marTop w:val="0"/>
      <w:marBottom w:val="0"/>
      <w:divBdr>
        <w:top w:val="none" w:sz="0" w:space="0" w:color="auto"/>
        <w:left w:val="none" w:sz="0" w:space="0" w:color="auto"/>
        <w:bottom w:val="none" w:sz="0" w:space="0" w:color="auto"/>
        <w:right w:val="none" w:sz="0" w:space="0" w:color="auto"/>
      </w:divBdr>
    </w:div>
    <w:div w:id="1260258610">
      <w:bodyDiv w:val="1"/>
      <w:marLeft w:val="0"/>
      <w:marRight w:val="0"/>
      <w:marTop w:val="0"/>
      <w:marBottom w:val="0"/>
      <w:divBdr>
        <w:top w:val="none" w:sz="0" w:space="0" w:color="auto"/>
        <w:left w:val="none" w:sz="0" w:space="0" w:color="auto"/>
        <w:bottom w:val="none" w:sz="0" w:space="0" w:color="auto"/>
        <w:right w:val="none" w:sz="0" w:space="0" w:color="auto"/>
      </w:divBdr>
    </w:div>
    <w:div w:id="1260337660">
      <w:bodyDiv w:val="1"/>
      <w:marLeft w:val="0"/>
      <w:marRight w:val="0"/>
      <w:marTop w:val="0"/>
      <w:marBottom w:val="0"/>
      <w:divBdr>
        <w:top w:val="none" w:sz="0" w:space="0" w:color="auto"/>
        <w:left w:val="none" w:sz="0" w:space="0" w:color="auto"/>
        <w:bottom w:val="none" w:sz="0" w:space="0" w:color="auto"/>
        <w:right w:val="none" w:sz="0" w:space="0" w:color="auto"/>
      </w:divBdr>
    </w:div>
    <w:div w:id="1260405857">
      <w:bodyDiv w:val="1"/>
      <w:marLeft w:val="0"/>
      <w:marRight w:val="0"/>
      <w:marTop w:val="0"/>
      <w:marBottom w:val="0"/>
      <w:divBdr>
        <w:top w:val="none" w:sz="0" w:space="0" w:color="auto"/>
        <w:left w:val="none" w:sz="0" w:space="0" w:color="auto"/>
        <w:bottom w:val="none" w:sz="0" w:space="0" w:color="auto"/>
        <w:right w:val="none" w:sz="0" w:space="0" w:color="auto"/>
      </w:divBdr>
    </w:div>
    <w:div w:id="1260410801">
      <w:bodyDiv w:val="1"/>
      <w:marLeft w:val="0"/>
      <w:marRight w:val="0"/>
      <w:marTop w:val="0"/>
      <w:marBottom w:val="0"/>
      <w:divBdr>
        <w:top w:val="none" w:sz="0" w:space="0" w:color="auto"/>
        <w:left w:val="none" w:sz="0" w:space="0" w:color="auto"/>
        <w:bottom w:val="none" w:sz="0" w:space="0" w:color="auto"/>
        <w:right w:val="none" w:sz="0" w:space="0" w:color="auto"/>
      </w:divBdr>
    </w:div>
    <w:div w:id="1260484430">
      <w:bodyDiv w:val="1"/>
      <w:marLeft w:val="0"/>
      <w:marRight w:val="0"/>
      <w:marTop w:val="0"/>
      <w:marBottom w:val="0"/>
      <w:divBdr>
        <w:top w:val="none" w:sz="0" w:space="0" w:color="auto"/>
        <w:left w:val="none" w:sz="0" w:space="0" w:color="auto"/>
        <w:bottom w:val="none" w:sz="0" w:space="0" w:color="auto"/>
        <w:right w:val="none" w:sz="0" w:space="0" w:color="auto"/>
      </w:divBdr>
    </w:div>
    <w:div w:id="1260603801">
      <w:bodyDiv w:val="1"/>
      <w:marLeft w:val="0"/>
      <w:marRight w:val="0"/>
      <w:marTop w:val="0"/>
      <w:marBottom w:val="0"/>
      <w:divBdr>
        <w:top w:val="none" w:sz="0" w:space="0" w:color="auto"/>
        <w:left w:val="none" w:sz="0" w:space="0" w:color="auto"/>
        <w:bottom w:val="none" w:sz="0" w:space="0" w:color="auto"/>
        <w:right w:val="none" w:sz="0" w:space="0" w:color="auto"/>
      </w:divBdr>
    </w:div>
    <w:div w:id="1260873197">
      <w:bodyDiv w:val="1"/>
      <w:marLeft w:val="0"/>
      <w:marRight w:val="0"/>
      <w:marTop w:val="0"/>
      <w:marBottom w:val="0"/>
      <w:divBdr>
        <w:top w:val="none" w:sz="0" w:space="0" w:color="auto"/>
        <w:left w:val="none" w:sz="0" w:space="0" w:color="auto"/>
        <w:bottom w:val="none" w:sz="0" w:space="0" w:color="auto"/>
        <w:right w:val="none" w:sz="0" w:space="0" w:color="auto"/>
      </w:divBdr>
    </w:div>
    <w:div w:id="1260942602">
      <w:bodyDiv w:val="1"/>
      <w:marLeft w:val="0"/>
      <w:marRight w:val="0"/>
      <w:marTop w:val="0"/>
      <w:marBottom w:val="0"/>
      <w:divBdr>
        <w:top w:val="none" w:sz="0" w:space="0" w:color="auto"/>
        <w:left w:val="none" w:sz="0" w:space="0" w:color="auto"/>
        <w:bottom w:val="none" w:sz="0" w:space="0" w:color="auto"/>
        <w:right w:val="none" w:sz="0" w:space="0" w:color="auto"/>
      </w:divBdr>
    </w:div>
    <w:div w:id="1261067221">
      <w:bodyDiv w:val="1"/>
      <w:marLeft w:val="0"/>
      <w:marRight w:val="0"/>
      <w:marTop w:val="0"/>
      <w:marBottom w:val="0"/>
      <w:divBdr>
        <w:top w:val="none" w:sz="0" w:space="0" w:color="auto"/>
        <w:left w:val="none" w:sz="0" w:space="0" w:color="auto"/>
        <w:bottom w:val="none" w:sz="0" w:space="0" w:color="auto"/>
        <w:right w:val="none" w:sz="0" w:space="0" w:color="auto"/>
      </w:divBdr>
    </w:div>
    <w:div w:id="1261253187">
      <w:bodyDiv w:val="1"/>
      <w:marLeft w:val="0"/>
      <w:marRight w:val="0"/>
      <w:marTop w:val="0"/>
      <w:marBottom w:val="0"/>
      <w:divBdr>
        <w:top w:val="none" w:sz="0" w:space="0" w:color="auto"/>
        <w:left w:val="none" w:sz="0" w:space="0" w:color="auto"/>
        <w:bottom w:val="none" w:sz="0" w:space="0" w:color="auto"/>
        <w:right w:val="none" w:sz="0" w:space="0" w:color="auto"/>
      </w:divBdr>
    </w:div>
    <w:div w:id="1261331688">
      <w:bodyDiv w:val="1"/>
      <w:marLeft w:val="0"/>
      <w:marRight w:val="0"/>
      <w:marTop w:val="0"/>
      <w:marBottom w:val="0"/>
      <w:divBdr>
        <w:top w:val="none" w:sz="0" w:space="0" w:color="auto"/>
        <w:left w:val="none" w:sz="0" w:space="0" w:color="auto"/>
        <w:bottom w:val="none" w:sz="0" w:space="0" w:color="auto"/>
        <w:right w:val="none" w:sz="0" w:space="0" w:color="auto"/>
      </w:divBdr>
    </w:div>
    <w:div w:id="1261571262">
      <w:bodyDiv w:val="1"/>
      <w:marLeft w:val="0"/>
      <w:marRight w:val="0"/>
      <w:marTop w:val="0"/>
      <w:marBottom w:val="0"/>
      <w:divBdr>
        <w:top w:val="none" w:sz="0" w:space="0" w:color="auto"/>
        <w:left w:val="none" w:sz="0" w:space="0" w:color="auto"/>
        <w:bottom w:val="none" w:sz="0" w:space="0" w:color="auto"/>
        <w:right w:val="none" w:sz="0" w:space="0" w:color="auto"/>
      </w:divBdr>
    </w:div>
    <w:div w:id="1261645392">
      <w:bodyDiv w:val="1"/>
      <w:marLeft w:val="0"/>
      <w:marRight w:val="0"/>
      <w:marTop w:val="0"/>
      <w:marBottom w:val="0"/>
      <w:divBdr>
        <w:top w:val="none" w:sz="0" w:space="0" w:color="auto"/>
        <w:left w:val="none" w:sz="0" w:space="0" w:color="auto"/>
        <w:bottom w:val="none" w:sz="0" w:space="0" w:color="auto"/>
        <w:right w:val="none" w:sz="0" w:space="0" w:color="auto"/>
      </w:divBdr>
    </w:div>
    <w:div w:id="1261645445">
      <w:bodyDiv w:val="1"/>
      <w:marLeft w:val="0"/>
      <w:marRight w:val="0"/>
      <w:marTop w:val="0"/>
      <w:marBottom w:val="0"/>
      <w:divBdr>
        <w:top w:val="none" w:sz="0" w:space="0" w:color="auto"/>
        <w:left w:val="none" w:sz="0" w:space="0" w:color="auto"/>
        <w:bottom w:val="none" w:sz="0" w:space="0" w:color="auto"/>
        <w:right w:val="none" w:sz="0" w:space="0" w:color="auto"/>
      </w:divBdr>
    </w:div>
    <w:div w:id="1261720951">
      <w:bodyDiv w:val="1"/>
      <w:marLeft w:val="0"/>
      <w:marRight w:val="0"/>
      <w:marTop w:val="0"/>
      <w:marBottom w:val="0"/>
      <w:divBdr>
        <w:top w:val="none" w:sz="0" w:space="0" w:color="auto"/>
        <w:left w:val="none" w:sz="0" w:space="0" w:color="auto"/>
        <w:bottom w:val="none" w:sz="0" w:space="0" w:color="auto"/>
        <w:right w:val="none" w:sz="0" w:space="0" w:color="auto"/>
      </w:divBdr>
    </w:div>
    <w:div w:id="1261796522">
      <w:bodyDiv w:val="1"/>
      <w:marLeft w:val="0"/>
      <w:marRight w:val="0"/>
      <w:marTop w:val="0"/>
      <w:marBottom w:val="0"/>
      <w:divBdr>
        <w:top w:val="none" w:sz="0" w:space="0" w:color="auto"/>
        <w:left w:val="none" w:sz="0" w:space="0" w:color="auto"/>
        <w:bottom w:val="none" w:sz="0" w:space="0" w:color="auto"/>
        <w:right w:val="none" w:sz="0" w:space="0" w:color="auto"/>
      </w:divBdr>
    </w:div>
    <w:div w:id="1261836339">
      <w:bodyDiv w:val="1"/>
      <w:marLeft w:val="0"/>
      <w:marRight w:val="0"/>
      <w:marTop w:val="0"/>
      <w:marBottom w:val="0"/>
      <w:divBdr>
        <w:top w:val="none" w:sz="0" w:space="0" w:color="auto"/>
        <w:left w:val="none" w:sz="0" w:space="0" w:color="auto"/>
        <w:bottom w:val="none" w:sz="0" w:space="0" w:color="auto"/>
        <w:right w:val="none" w:sz="0" w:space="0" w:color="auto"/>
      </w:divBdr>
    </w:div>
    <w:div w:id="1261910649">
      <w:bodyDiv w:val="1"/>
      <w:marLeft w:val="0"/>
      <w:marRight w:val="0"/>
      <w:marTop w:val="0"/>
      <w:marBottom w:val="0"/>
      <w:divBdr>
        <w:top w:val="none" w:sz="0" w:space="0" w:color="auto"/>
        <w:left w:val="none" w:sz="0" w:space="0" w:color="auto"/>
        <w:bottom w:val="none" w:sz="0" w:space="0" w:color="auto"/>
        <w:right w:val="none" w:sz="0" w:space="0" w:color="auto"/>
      </w:divBdr>
    </w:div>
    <w:div w:id="1261916346">
      <w:bodyDiv w:val="1"/>
      <w:marLeft w:val="0"/>
      <w:marRight w:val="0"/>
      <w:marTop w:val="0"/>
      <w:marBottom w:val="0"/>
      <w:divBdr>
        <w:top w:val="none" w:sz="0" w:space="0" w:color="auto"/>
        <w:left w:val="none" w:sz="0" w:space="0" w:color="auto"/>
        <w:bottom w:val="none" w:sz="0" w:space="0" w:color="auto"/>
        <w:right w:val="none" w:sz="0" w:space="0" w:color="auto"/>
      </w:divBdr>
    </w:div>
    <w:div w:id="1262028402">
      <w:bodyDiv w:val="1"/>
      <w:marLeft w:val="0"/>
      <w:marRight w:val="0"/>
      <w:marTop w:val="0"/>
      <w:marBottom w:val="0"/>
      <w:divBdr>
        <w:top w:val="none" w:sz="0" w:space="0" w:color="auto"/>
        <w:left w:val="none" w:sz="0" w:space="0" w:color="auto"/>
        <w:bottom w:val="none" w:sz="0" w:space="0" w:color="auto"/>
        <w:right w:val="none" w:sz="0" w:space="0" w:color="auto"/>
      </w:divBdr>
    </w:div>
    <w:div w:id="1262177845">
      <w:bodyDiv w:val="1"/>
      <w:marLeft w:val="0"/>
      <w:marRight w:val="0"/>
      <w:marTop w:val="0"/>
      <w:marBottom w:val="0"/>
      <w:divBdr>
        <w:top w:val="none" w:sz="0" w:space="0" w:color="auto"/>
        <w:left w:val="none" w:sz="0" w:space="0" w:color="auto"/>
        <w:bottom w:val="none" w:sz="0" w:space="0" w:color="auto"/>
        <w:right w:val="none" w:sz="0" w:space="0" w:color="auto"/>
      </w:divBdr>
    </w:div>
    <w:div w:id="1262376154">
      <w:bodyDiv w:val="1"/>
      <w:marLeft w:val="0"/>
      <w:marRight w:val="0"/>
      <w:marTop w:val="0"/>
      <w:marBottom w:val="0"/>
      <w:divBdr>
        <w:top w:val="none" w:sz="0" w:space="0" w:color="auto"/>
        <w:left w:val="none" w:sz="0" w:space="0" w:color="auto"/>
        <w:bottom w:val="none" w:sz="0" w:space="0" w:color="auto"/>
        <w:right w:val="none" w:sz="0" w:space="0" w:color="auto"/>
      </w:divBdr>
    </w:div>
    <w:div w:id="1262564693">
      <w:bodyDiv w:val="1"/>
      <w:marLeft w:val="0"/>
      <w:marRight w:val="0"/>
      <w:marTop w:val="0"/>
      <w:marBottom w:val="0"/>
      <w:divBdr>
        <w:top w:val="none" w:sz="0" w:space="0" w:color="auto"/>
        <w:left w:val="none" w:sz="0" w:space="0" w:color="auto"/>
        <w:bottom w:val="none" w:sz="0" w:space="0" w:color="auto"/>
        <w:right w:val="none" w:sz="0" w:space="0" w:color="auto"/>
      </w:divBdr>
    </w:div>
    <w:div w:id="1262836299">
      <w:bodyDiv w:val="1"/>
      <w:marLeft w:val="0"/>
      <w:marRight w:val="0"/>
      <w:marTop w:val="0"/>
      <w:marBottom w:val="0"/>
      <w:divBdr>
        <w:top w:val="none" w:sz="0" w:space="0" w:color="auto"/>
        <w:left w:val="none" w:sz="0" w:space="0" w:color="auto"/>
        <w:bottom w:val="none" w:sz="0" w:space="0" w:color="auto"/>
        <w:right w:val="none" w:sz="0" w:space="0" w:color="auto"/>
      </w:divBdr>
    </w:div>
    <w:div w:id="1263027958">
      <w:bodyDiv w:val="1"/>
      <w:marLeft w:val="0"/>
      <w:marRight w:val="0"/>
      <w:marTop w:val="0"/>
      <w:marBottom w:val="0"/>
      <w:divBdr>
        <w:top w:val="none" w:sz="0" w:space="0" w:color="auto"/>
        <w:left w:val="none" w:sz="0" w:space="0" w:color="auto"/>
        <w:bottom w:val="none" w:sz="0" w:space="0" w:color="auto"/>
        <w:right w:val="none" w:sz="0" w:space="0" w:color="auto"/>
      </w:divBdr>
    </w:div>
    <w:div w:id="1263300907">
      <w:bodyDiv w:val="1"/>
      <w:marLeft w:val="0"/>
      <w:marRight w:val="0"/>
      <w:marTop w:val="0"/>
      <w:marBottom w:val="0"/>
      <w:divBdr>
        <w:top w:val="none" w:sz="0" w:space="0" w:color="auto"/>
        <w:left w:val="none" w:sz="0" w:space="0" w:color="auto"/>
        <w:bottom w:val="none" w:sz="0" w:space="0" w:color="auto"/>
        <w:right w:val="none" w:sz="0" w:space="0" w:color="auto"/>
      </w:divBdr>
    </w:div>
    <w:div w:id="1263413130">
      <w:bodyDiv w:val="1"/>
      <w:marLeft w:val="0"/>
      <w:marRight w:val="0"/>
      <w:marTop w:val="0"/>
      <w:marBottom w:val="0"/>
      <w:divBdr>
        <w:top w:val="none" w:sz="0" w:space="0" w:color="auto"/>
        <w:left w:val="none" w:sz="0" w:space="0" w:color="auto"/>
        <w:bottom w:val="none" w:sz="0" w:space="0" w:color="auto"/>
        <w:right w:val="none" w:sz="0" w:space="0" w:color="auto"/>
      </w:divBdr>
    </w:div>
    <w:div w:id="1263604980">
      <w:bodyDiv w:val="1"/>
      <w:marLeft w:val="0"/>
      <w:marRight w:val="0"/>
      <w:marTop w:val="0"/>
      <w:marBottom w:val="0"/>
      <w:divBdr>
        <w:top w:val="none" w:sz="0" w:space="0" w:color="auto"/>
        <w:left w:val="none" w:sz="0" w:space="0" w:color="auto"/>
        <w:bottom w:val="none" w:sz="0" w:space="0" w:color="auto"/>
        <w:right w:val="none" w:sz="0" w:space="0" w:color="auto"/>
      </w:divBdr>
    </w:div>
    <w:div w:id="1263612925">
      <w:bodyDiv w:val="1"/>
      <w:marLeft w:val="0"/>
      <w:marRight w:val="0"/>
      <w:marTop w:val="0"/>
      <w:marBottom w:val="0"/>
      <w:divBdr>
        <w:top w:val="none" w:sz="0" w:space="0" w:color="auto"/>
        <w:left w:val="none" w:sz="0" w:space="0" w:color="auto"/>
        <w:bottom w:val="none" w:sz="0" w:space="0" w:color="auto"/>
        <w:right w:val="none" w:sz="0" w:space="0" w:color="auto"/>
      </w:divBdr>
    </w:div>
    <w:div w:id="1263687259">
      <w:bodyDiv w:val="1"/>
      <w:marLeft w:val="0"/>
      <w:marRight w:val="0"/>
      <w:marTop w:val="0"/>
      <w:marBottom w:val="0"/>
      <w:divBdr>
        <w:top w:val="none" w:sz="0" w:space="0" w:color="auto"/>
        <w:left w:val="none" w:sz="0" w:space="0" w:color="auto"/>
        <w:bottom w:val="none" w:sz="0" w:space="0" w:color="auto"/>
        <w:right w:val="none" w:sz="0" w:space="0" w:color="auto"/>
      </w:divBdr>
    </w:div>
    <w:div w:id="1263687669">
      <w:bodyDiv w:val="1"/>
      <w:marLeft w:val="0"/>
      <w:marRight w:val="0"/>
      <w:marTop w:val="0"/>
      <w:marBottom w:val="0"/>
      <w:divBdr>
        <w:top w:val="none" w:sz="0" w:space="0" w:color="auto"/>
        <w:left w:val="none" w:sz="0" w:space="0" w:color="auto"/>
        <w:bottom w:val="none" w:sz="0" w:space="0" w:color="auto"/>
        <w:right w:val="none" w:sz="0" w:space="0" w:color="auto"/>
      </w:divBdr>
    </w:div>
    <w:div w:id="1263874012">
      <w:bodyDiv w:val="1"/>
      <w:marLeft w:val="0"/>
      <w:marRight w:val="0"/>
      <w:marTop w:val="0"/>
      <w:marBottom w:val="0"/>
      <w:divBdr>
        <w:top w:val="none" w:sz="0" w:space="0" w:color="auto"/>
        <w:left w:val="none" w:sz="0" w:space="0" w:color="auto"/>
        <w:bottom w:val="none" w:sz="0" w:space="0" w:color="auto"/>
        <w:right w:val="none" w:sz="0" w:space="0" w:color="auto"/>
      </w:divBdr>
    </w:div>
    <w:div w:id="1263954947">
      <w:bodyDiv w:val="1"/>
      <w:marLeft w:val="0"/>
      <w:marRight w:val="0"/>
      <w:marTop w:val="0"/>
      <w:marBottom w:val="0"/>
      <w:divBdr>
        <w:top w:val="none" w:sz="0" w:space="0" w:color="auto"/>
        <w:left w:val="none" w:sz="0" w:space="0" w:color="auto"/>
        <w:bottom w:val="none" w:sz="0" w:space="0" w:color="auto"/>
        <w:right w:val="none" w:sz="0" w:space="0" w:color="auto"/>
      </w:divBdr>
    </w:div>
    <w:div w:id="1263956579">
      <w:bodyDiv w:val="1"/>
      <w:marLeft w:val="0"/>
      <w:marRight w:val="0"/>
      <w:marTop w:val="0"/>
      <w:marBottom w:val="0"/>
      <w:divBdr>
        <w:top w:val="none" w:sz="0" w:space="0" w:color="auto"/>
        <w:left w:val="none" w:sz="0" w:space="0" w:color="auto"/>
        <w:bottom w:val="none" w:sz="0" w:space="0" w:color="auto"/>
        <w:right w:val="none" w:sz="0" w:space="0" w:color="auto"/>
      </w:divBdr>
    </w:div>
    <w:div w:id="1264149690">
      <w:bodyDiv w:val="1"/>
      <w:marLeft w:val="0"/>
      <w:marRight w:val="0"/>
      <w:marTop w:val="0"/>
      <w:marBottom w:val="0"/>
      <w:divBdr>
        <w:top w:val="none" w:sz="0" w:space="0" w:color="auto"/>
        <w:left w:val="none" w:sz="0" w:space="0" w:color="auto"/>
        <w:bottom w:val="none" w:sz="0" w:space="0" w:color="auto"/>
        <w:right w:val="none" w:sz="0" w:space="0" w:color="auto"/>
      </w:divBdr>
    </w:div>
    <w:div w:id="1264262770">
      <w:bodyDiv w:val="1"/>
      <w:marLeft w:val="0"/>
      <w:marRight w:val="0"/>
      <w:marTop w:val="0"/>
      <w:marBottom w:val="0"/>
      <w:divBdr>
        <w:top w:val="none" w:sz="0" w:space="0" w:color="auto"/>
        <w:left w:val="none" w:sz="0" w:space="0" w:color="auto"/>
        <w:bottom w:val="none" w:sz="0" w:space="0" w:color="auto"/>
        <w:right w:val="none" w:sz="0" w:space="0" w:color="auto"/>
      </w:divBdr>
    </w:div>
    <w:div w:id="1264455533">
      <w:bodyDiv w:val="1"/>
      <w:marLeft w:val="0"/>
      <w:marRight w:val="0"/>
      <w:marTop w:val="0"/>
      <w:marBottom w:val="0"/>
      <w:divBdr>
        <w:top w:val="none" w:sz="0" w:space="0" w:color="auto"/>
        <w:left w:val="none" w:sz="0" w:space="0" w:color="auto"/>
        <w:bottom w:val="none" w:sz="0" w:space="0" w:color="auto"/>
        <w:right w:val="none" w:sz="0" w:space="0" w:color="auto"/>
      </w:divBdr>
    </w:div>
    <w:div w:id="1264725533">
      <w:bodyDiv w:val="1"/>
      <w:marLeft w:val="0"/>
      <w:marRight w:val="0"/>
      <w:marTop w:val="0"/>
      <w:marBottom w:val="0"/>
      <w:divBdr>
        <w:top w:val="none" w:sz="0" w:space="0" w:color="auto"/>
        <w:left w:val="none" w:sz="0" w:space="0" w:color="auto"/>
        <w:bottom w:val="none" w:sz="0" w:space="0" w:color="auto"/>
        <w:right w:val="none" w:sz="0" w:space="0" w:color="auto"/>
      </w:divBdr>
    </w:div>
    <w:div w:id="1264845916">
      <w:bodyDiv w:val="1"/>
      <w:marLeft w:val="0"/>
      <w:marRight w:val="0"/>
      <w:marTop w:val="0"/>
      <w:marBottom w:val="0"/>
      <w:divBdr>
        <w:top w:val="none" w:sz="0" w:space="0" w:color="auto"/>
        <w:left w:val="none" w:sz="0" w:space="0" w:color="auto"/>
        <w:bottom w:val="none" w:sz="0" w:space="0" w:color="auto"/>
        <w:right w:val="none" w:sz="0" w:space="0" w:color="auto"/>
      </w:divBdr>
    </w:div>
    <w:div w:id="1264995567">
      <w:bodyDiv w:val="1"/>
      <w:marLeft w:val="0"/>
      <w:marRight w:val="0"/>
      <w:marTop w:val="0"/>
      <w:marBottom w:val="0"/>
      <w:divBdr>
        <w:top w:val="none" w:sz="0" w:space="0" w:color="auto"/>
        <w:left w:val="none" w:sz="0" w:space="0" w:color="auto"/>
        <w:bottom w:val="none" w:sz="0" w:space="0" w:color="auto"/>
        <w:right w:val="none" w:sz="0" w:space="0" w:color="auto"/>
      </w:divBdr>
    </w:div>
    <w:div w:id="1265260997">
      <w:bodyDiv w:val="1"/>
      <w:marLeft w:val="0"/>
      <w:marRight w:val="0"/>
      <w:marTop w:val="0"/>
      <w:marBottom w:val="0"/>
      <w:divBdr>
        <w:top w:val="none" w:sz="0" w:space="0" w:color="auto"/>
        <w:left w:val="none" w:sz="0" w:space="0" w:color="auto"/>
        <w:bottom w:val="none" w:sz="0" w:space="0" w:color="auto"/>
        <w:right w:val="none" w:sz="0" w:space="0" w:color="auto"/>
      </w:divBdr>
    </w:div>
    <w:div w:id="1265382795">
      <w:bodyDiv w:val="1"/>
      <w:marLeft w:val="0"/>
      <w:marRight w:val="0"/>
      <w:marTop w:val="0"/>
      <w:marBottom w:val="0"/>
      <w:divBdr>
        <w:top w:val="none" w:sz="0" w:space="0" w:color="auto"/>
        <w:left w:val="none" w:sz="0" w:space="0" w:color="auto"/>
        <w:bottom w:val="none" w:sz="0" w:space="0" w:color="auto"/>
        <w:right w:val="none" w:sz="0" w:space="0" w:color="auto"/>
      </w:divBdr>
    </w:div>
    <w:div w:id="1265459053">
      <w:bodyDiv w:val="1"/>
      <w:marLeft w:val="0"/>
      <w:marRight w:val="0"/>
      <w:marTop w:val="0"/>
      <w:marBottom w:val="0"/>
      <w:divBdr>
        <w:top w:val="none" w:sz="0" w:space="0" w:color="auto"/>
        <w:left w:val="none" w:sz="0" w:space="0" w:color="auto"/>
        <w:bottom w:val="none" w:sz="0" w:space="0" w:color="auto"/>
        <w:right w:val="none" w:sz="0" w:space="0" w:color="auto"/>
      </w:divBdr>
    </w:div>
    <w:div w:id="1265530198">
      <w:bodyDiv w:val="1"/>
      <w:marLeft w:val="0"/>
      <w:marRight w:val="0"/>
      <w:marTop w:val="0"/>
      <w:marBottom w:val="0"/>
      <w:divBdr>
        <w:top w:val="none" w:sz="0" w:space="0" w:color="auto"/>
        <w:left w:val="none" w:sz="0" w:space="0" w:color="auto"/>
        <w:bottom w:val="none" w:sz="0" w:space="0" w:color="auto"/>
        <w:right w:val="none" w:sz="0" w:space="0" w:color="auto"/>
      </w:divBdr>
    </w:div>
    <w:div w:id="1265843643">
      <w:bodyDiv w:val="1"/>
      <w:marLeft w:val="0"/>
      <w:marRight w:val="0"/>
      <w:marTop w:val="0"/>
      <w:marBottom w:val="0"/>
      <w:divBdr>
        <w:top w:val="none" w:sz="0" w:space="0" w:color="auto"/>
        <w:left w:val="none" w:sz="0" w:space="0" w:color="auto"/>
        <w:bottom w:val="none" w:sz="0" w:space="0" w:color="auto"/>
        <w:right w:val="none" w:sz="0" w:space="0" w:color="auto"/>
      </w:divBdr>
    </w:div>
    <w:div w:id="1265920132">
      <w:bodyDiv w:val="1"/>
      <w:marLeft w:val="0"/>
      <w:marRight w:val="0"/>
      <w:marTop w:val="0"/>
      <w:marBottom w:val="0"/>
      <w:divBdr>
        <w:top w:val="none" w:sz="0" w:space="0" w:color="auto"/>
        <w:left w:val="none" w:sz="0" w:space="0" w:color="auto"/>
        <w:bottom w:val="none" w:sz="0" w:space="0" w:color="auto"/>
        <w:right w:val="none" w:sz="0" w:space="0" w:color="auto"/>
      </w:divBdr>
    </w:div>
    <w:div w:id="1265991097">
      <w:bodyDiv w:val="1"/>
      <w:marLeft w:val="0"/>
      <w:marRight w:val="0"/>
      <w:marTop w:val="0"/>
      <w:marBottom w:val="0"/>
      <w:divBdr>
        <w:top w:val="none" w:sz="0" w:space="0" w:color="auto"/>
        <w:left w:val="none" w:sz="0" w:space="0" w:color="auto"/>
        <w:bottom w:val="none" w:sz="0" w:space="0" w:color="auto"/>
        <w:right w:val="none" w:sz="0" w:space="0" w:color="auto"/>
      </w:divBdr>
    </w:div>
    <w:div w:id="1266110629">
      <w:bodyDiv w:val="1"/>
      <w:marLeft w:val="0"/>
      <w:marRight w:val="0"/>
      <w:marTop w:val="0"/>
      <w:marBottom w:val="0"/>
      <w:divBdr>
        <w:top w:val="none" w:sz="0" w:space="0" w:color="auto"/>
        <w:left w:val="none" w:sz="0" w:space="0" w:color="auto"/>
        <w:bottom w:val="none" w:sz="0" w:space="0" w:color="auto"/>
        <w:right w:val="none" w:sz="0" w:space="0" w:color="auto"/>
      </w:divBdr>
    </w:div>
    <w:div w:id="1266157859">
      <w:bodyDiv w:val="1"/>
      <w:marLeft w:val="0"/>
      <w:marRight w:val="0"/>
      <w:marTop w:val="0"/>
      <w:marBottom w:val="0"/>
      <w:divBdr>
        <w:top w:val="none" w:sz="0" w:space="0" w:color="auto"/>
        <w:left w:val="none" w:sz="0" w:space="0" w:color="auto"/>
        <w:bottom w:val="none" w:sz="0" w:space="0" w:color="auto"/>
        <w:right w:val="none" w:sz="0" w:space="0" w:color="auto"/>
      </w:divBdr>
    </w:div>
    <w:div w:id="1266304152">
      <w:bodyDiv w:val="1"/>
      <w:marLeft w:val="0"/>
      <w:marRight w:val="0"/>
      <w:marTop w:val="0"/>
      <w:marBottom w:val="0"/>
      <w:divBdr>
        <w:top w:val="none" w:sz="0" w:space="0" w:color="auto"/>
        <w:left w:val="none" w:sz="0" w:space="0" w:color="auto"/>
        <w:bottom w:val="none" w:sz="0" w:space="0" w:color="auto"/>
        <w:right w:val="none" w:sz="0" w:space="0" w:color="auto"/>
      </w:divBdr>
    </w:div>
    <w:div w:id="1266424635">
      <w:bodyDiv w:val="1"/>
      <w:marLeft w:val="0"/>
      <w:marRight w:val="0"/>
      <w:marTop w:val="0"/>
      <w:marBottom w:val="0"/>
      <w:divBdr>
        <w:top w:val="none" w:sz="0" w:space="0" w:color="auto"/>
        <w:left w:val="none" w:sz="0" w:space="0" w:color="auto"/>
        <w:bottom w:val="none" w:sz="0" w:space="0" w:color="auto"/>
        <w:right w:val="none" w:sz="0" w:space="0" w:color="auto"/>
      </w:divBdr>
    </w:div>
    <w:div w:id="1266498599">
      <w:bodyDiv w:val="1"/>
      <w:marLeft w:val="0"/>
      <w:marRight w:val="0"/>
      <w:marTop w:val="0"/>
      <w:marBottom w:val="0"/>
      <w:divBdr>
        <w:top w:val="none" w:sz="0" w:space="0" w:color="auto"/>
        <w:left w:val="none" w:sz="0" w:space="0" w:color="auto"/>
        <w:bottom w:val="none" w:sz="0" w:space="0" w:color="auto"/>
        <w:right w:val="none" w:sz="0" w:space="0" w:color="auto"/>
      </w:divBdr>
    </w:div>
    <w:div w:id="1266501920">
      <w:bodyDiv w:val="1"/>
      <w:marLeft w:val="0"/>
      <w:marRight w:val="0"/>
      <w:marTop w:val="0"/>
      <w:marBottom w:val="0"/>
      <w:divBdr>
        <w:top w:val="none" w:sz="0" w:space="0" w:color="auto"/>
        <w:left w:val="none" w:sz="0" w:space="0" w:color="auto"/>
        <w:bottom w:val="none" w:sz="0" w:space="0" w:color="auto"/>
        <w:right w:val="none" w:sz="0" w:space="0" w:color="auto"/>
      </w:divBdr>
    </w:div>
    <w:div w:id="1266619658">
      <w:bodyDiv w:val="1"/>
      <w:marLeft w:val="0"/>
      <w:marRight w:val="0"/>
      <w:marTop w:val="0"/>
      <w:marBottom w:val="0"/>
      <w:divBdr>
        <w:top w:val="none" w:sz="0" w:space="0" w:color="auto"/>
        <w:left w:val="none" w:sz="0" w:space="0" w:color="auto"/>
        <w:bottom w:val="none" w:sz="0" w:space="0" w:color="auto"/>
        <w:right w:val="none" w:sz="0" w:space="0" w:color="auto"/>
      </w:divBdr>
    </w:div>
    <w:div w:id="1266811477">
      <w:bodyDiv w:val="1"/>
      <w:marLeft w:val="0"/>
      <w:marRight w:val="0"/>
      <w:marTop w:val="0"/>
      <w:marBottom w:val="0"/>
      <w:divBdr>
        <w:top w:val="none" w:sz="0" w:space="0" w:color="auto"/>
        <w:left w:val="none" w:sz="0" w:space="0" w:color="auto"/>
        <w:bottom w:val="none" w:sz="0" w:space="0" w:color="auto"/>
        <w:right w:val="none" w:sz="0" w:space="0" w:color="auto"/>
      </w:divBdr>
    </w:div>
    <w:div w:id="1266813140">
      <w:bodyDiv w:val="1"/>
      <w:marLeft w:val="0"/>
      <w:marRight w:val="0"/>
      <w:marTop w:val="0"/>
      <w:marBottom w:val="0"/>
      <w:divBdr>
        <w:top w:val="none" w:sz="0" w:space="0" w:color="auto"/>
        <w:left w:val="none" w:sz="0" w:space="0" w:color="auto"/>
        <w:bottom w:val="none" w:sz="0" w:space="0" w:color="auto"/>
        <w:right w:val="none" w:sz="0" w:space="0" w:color="auto"/>
      </w:divBdr>
    </w:div>
    <w:div w:id="1266815404">
      <w:bodyDiv w:val="1"/>
      <w:marLeft w:val="0"/>
      <w:marRight w:val="0"/>
      <w:marTop w:val="0"/>
      <w:marBottom w:val="0"/>
      <w:divBdr>
        <w:top w:val="none" w:sz="0" w:space="0" w:color="auto"/>
        <w:left w:val="none" w:sz="0" w:space="0" w:color="auto"/>
        <w:bottom w:val="none" w:sz="0" w:space="0" w:color="auto"/>
        <w:right w:val="none" w:sz="0" w:space="0" w:color="auto"/>
      </w:divBdr>
    </w:div>
    <w:div w:id="1267007857">
      <w:bodyDiv w:val="1"/>
      <w:marLeft w:val="0"/>
      <w:marRight w:val="0"/>
      <w:marTop w:val="0"/>
      <w:marBottom w:val="0"/>
      <w:divBdr>
        <w:top w:val="none" w:sz="0" w:space="0" w:color="auto"/>
        <w:left w:val="none" w:sz="0" w:space="0" w:color="auto"/>
        <w:bottom w:val="none" w:sz="0" w:space="0" w:color="auto"/>
        <w:right w:val="none" w:sz="0" w:space="0" w:color="auto"/>
      </w:divBdr>
    </w:div>
    <w:div w:id="1267076715">
      <w:bodyDiv w:val="1"/>
      <w:marLeft w:val="0"/>
      <w:marRight w:val="0"/>
      <w:marTop w:val="0"/>
      <w:marBottom w:val="0"/>
      <w:divBdr>
        <w:top w:val="none" w:sz="0" w:space="0" w:color="auto"/>
        <w:left w:val="none" w:sz="0" w:space="0" w:color="auto"/>
        <w:bottom w:val="none" w:sz="0" w:space="0" w:color="auto"/>
        <w:right w:val="none" w:sz="0" w:space="0" w:color="auto"/>
      </w:divBdr>
    </w:div>
    <w:div w:id="1267157806">
      <w:bodyDiv w:val="1"/>
      <w:marLeft w:val="0"/>
      <w:marRight w:val="0"/>
      <w:marTop w:val="0"/>
      <w:marBottom w:val="0"/>
      <w:divBdr>
        <w:top w:val="none" w:sz="0" w:space="0" w:color="auto"/>
        <w:left w:val="none" w:sz="0" w:space="0" w:color="auto"/>
        <w:bottom w:val="none" w:sz="0" w:space="0" w:color="auto"/>
        <w:right w:val="none" w:sz="0" w:space="0" w:color="auto"/>
      </w:divBdr>
    </w:div>
    <w:div w:id="1267227966">
      <w:bodyDiv w:val="1"/>
      <w:marLeft w:val="0"/>
      <w:marRight w:val="0"/>
      <w:marTop w:val="0"/>
      <w:marBottom w:val="0"/>
      <w:divBdr>
        <w:top w:val="none" w:sz="0" w:space="0" w:color="auto"/>
        <w:left w:val="none" w:sz="0" w:space="0" w:color="auto"/>
        <w:bottom w:val="none" w:sz="0" w:space="0" w:color="auto"/>
        <w:right w:val="none" w:sz="0" w:space="0" w:color="auto"/>
      </w:divBdr>
    </w:div>
    <w:div w:id="1267232235">
      <w:bodyDiv w:val="1"/>
      <w:marLeft w:val="0"/>
      <w:marRight w:val="0"/>
      <w:marTop w:val="0"/>
      <w:marBottom w:val="0"/>
      <w:divBdr>
        <w:top w:val="none" w:sz="0" w:space="0" w:color="auto"/>
        <w:left w:val="none" w:sz="0" w:space="0" w:color="auto"/>
        <w:bottom w:val="none" w:sz="0" w:space="0" w:color="auto"/>
        <w:right w:val="none" w:sz="0" w:space="0" w:color="auto"/>
      </w:divBdr>
    </w:div>
    <w:div w:id="1267347077">
      <w:bodyDiv w:val="1"/>
      <w:marLeft w:val="0"/>
      <w:marRight w:val="0"/>
      <w:marTop w:val="0"/>
      <w:marBottom w:val="0"/>
      <w:divBdr>
        <w:top w:val="none" w:sz="0" w:space="0" w:color="auto"/>
        <w:left w:val="none" w:sz="0" w:space="0" w:color="auto"/>
        <w:bottom w:val="none" w:sz="0" w:space="0" w:color="auto"/>
        <w:right w:val="none" w:sz="0" w:space="0" w:color="auto"/>
      </w:divBdr>
    </w:div>
    <w:div w:id="1267348311">
      <w:bodyDiv w:val="1"/>
      <w:marLeft w:val="0"/>
      <w:marRight w:val="0"/>
      <w:marTop w:val="0"/>
      <w:marBottom w:val="0"/>
      <w:divBdr>
        <w:top w:val="none" w:sz="0" w:space="0" w:color="auto"/>
        <w:left w:val="none" w:sz="0" w:space="0" w:color="auto"/>
        <w:bottom w:val="none" w:sz="0" w:space="0" w:color="auto"/>
        <w:right w:val="none" w:sz="0" w:space="0" w:color="auto"/>
      </w:divBdr>
    </w:div>
    <w:div w:id="1267424814">
      <w:bodyDiv w:val="1"/>
      <w:marLeft w:val="0"/>
      <w:marRight w:val="0"/>
      <w:marTop w:val="0"/>
      <w:marBottom w:val="0"/>
      <w:divBdr>
        <w:top w:val="none" w:sz="0" w:space="0" w:color="auto"/>
        <w:left w:val="none" w:sz="0" w:space="0" w:color="auto"/>
        <w:bottom w:val="none" w:sz="0" w:space="0" w:color="auto"/>
        <w:right w:val="none" w:sz="0" w:space="0" w:color="auto"/>
      </w:divBdr>
    </w:div>
    <w:div w:id="1267541628">
      <w:bodyDiv w:val="1"/>
      <w:marLeft w:val="0"/>
      <w:marRight w:val="0"/>
      <w:marTop w:val="0"/>
      <w:marBottom w:val="0"/>
      <w:divBdr>
        <w:top w:val="none" w:sz="0" w:space="0" w:color="auto"/>
        <w:left w:val="none" w:sz="0" w:space="0" w:color="auto"/>
        <w:bottom w:val="none" w:sz="0" w:space="0" w:color="auto"/>
        <w:right w:val="none" w:sz="0" w:space="0" w:color="auto"/>
      </w:divBdr>
    </w:div>
    <w:div w:id="1267881620">
      <w:bodyDiv w:val="1"/>
      <w:marLeft w:val="0"/>
      <w:marRight w:val="0"/>
      <w:marTop w:val="0"/>
      <w:marBottom w:val="0"/>
      <w:divBdr>
        <w:top w:val="none" w:sz="0" w:space="0" w:color="auto"/>
        <w:left w:val="none" w:sz="0" w:space="0" w:color="auto"/>
        <w:bottom w:val="none" w:sz="0" w:space="0" w:color="auto"/>
        <w:right w:val="none" w:sz="0" w:space="0" w:color="auto"/>
      </w:divBdr>
    </w:div>
    <w:div w:id="1267927103">
      <w:bodyDiv w:val="1"/>
      <w:marLeft w:val="0"/>
      <w:marRight w:val="0"/>
      <w:marTop w:val="0"/>
      <w:marBottom w:val="0"/>
      <w:divBdr>
        <w:top w:val="none" w:sz="0" w:space="0" w:color="auto"/>
        <w:left w:val="none" w:sz="0" w:space="0" w:color="auto"/>
        <w:bottom w:val="none" w:sz="0" w:space="0" w:color="auto"/>
        <w:right w:val="none" w:sz="0" w:space="0" w:color="auto"/>
      </w:divBdr>
    </w:div>
    <w:div w:id="1268078092">
      <w:bodyDiv w:val="1"/>
      <w:marLeft w:val="0"/>
      <w:marRight w:val="0"/>
      <w:marTop w:val="0"/>
      <w:marBottom w:val="0"/>
      <w:divBdr>
        <w:top w:val="none" w:sz="0" w:space="0" w:color="auto"/>
        <w:left w:val="none" w:sz="0" w:space="0" w:color="auto"/>
        <w:bottom w:val="none" w:sz="0" w:space="0" w:color="auto"/>
        <w:right w:val="none" w:sz="0" w:space="0" w:color="auto"/>
      </w:divBdr>
    </w:div>
    <w:div w:id="1268151681">
      <w:bodyDiv w:val="1"/>
      <w:marLeft w:val="0"/>
      <w:marRight w:val="0"/>
      <w:marTop w:val="0"/>
      <w:marBottom w:val="0"/>
      <w:divBdr>
        <w:top w:val="none" w:sz="0" w:space="0" w:color="auto"/>
        <w:left w:val="none" w:sz="0" w:space="0" w:color="auto"/>
        <w:bottom w:val="none" w:sz="0" w:space="0" w:color="auto"/>
        <w:right w:val="none" w:sz="0" w:space="0" w:color="auto"/>
      </w:divBdr>
    </w:div>
    <w:div w:id="1268275563">
      <w:bodyDiv w:val="1"/>
      <w:marLeft w:val="0"/>
      <w:marRight w:val="0"/>
      <w:marTop w:val="0"/>
      <w:marBottom w:val="0"/>
      <w:divBdr>
        <w:top w:val="none" w:sz="0" w:space="0" w:color="auto"/>
        <w:left w:val="none" w:sz="0" w:space="0" w:color="auto"/>
        <w:bottom w:val="none" w:sz="0" w:space="0" w:color="auto"/>
        <w:right w:val="none" w:sz="0" w:space="0" w:color="auto"/>
      </w:divBdr>
    </w:div>
    <w:div w:id="1268392092">
      <w:bodyDiv w:val="1"/>
      <w:marLeft w:val="0"/>
      <w:marRight w:val="0"/>
      <w:marTop w:val="0"/>
      <w:marBottom w:val="0"/>
      <w:divBdr>
        <w:top w:val="none" w:sz="0" w:space="0" w:color="auto"/>
        <w:left w:val="none" w:sz="0" w:space="0" w:color="auto"/>
        <w:bottom w:val="none" w:sz="0" w:space="0" w:color="auto"/>
        <w:right w:val="none" w:sz="0" w:space="0" w:color="auto"/>
      </w:divBdr>
    </w:div>
    <w:div w:id="1268661930">
      <w:bodyDiv w:val="1"/>
      <w:marLeft w:val="0"/>
      <w:marRight w:val="0"/>
      <w:marTop w:val="0"/>
      <w:marBottom w:val="0"/>
      <w:divBdr>
        <w:top w:val="none" w:sz="0" w:space="0" w:color="auto"/>
        <w:left w:val="none" w:sz="0" w:space="0" w:color="auto"/>
        <w:bottom w:val="none" w:sz="0" w:space="0" w:color="auto"/>
        <w:right w:val="none" w:sz="0" w:space="0" w:color="auto"/>
      </w:divBdr>
    </w:div>
    <w:div w:id="1268807979">
      <w:bodyDiv w:val="1"/>
      <w:marLeft w:val="0"/>
      <w:marRight w:val="0"/>
      <w:marTop w:val="0"/>
      <w:marBottom w:val="0"/>
      <w:divBdr>
        <w:top w:val="none" w:sz="0" w:space="0" w:color="auto"/>
        <w:left w:val="none" w:sz="0" w:space="0" w:color="auto"/>
        <w:bottom w:val="none" w:sz="0" w:space="0" w:color="auto"/>
        <w:right w:val="none" w:sz="0" w:space="0" w:color="auto"/>
      </w:divBdr>
    </w:div>
    <w:div w:id="1268808673">
      <w:bodyDiv w:val="1"/>
      <w:marLeft w:val="0"/>
      <w:marRight w:val="0"/>
      <w:marTop w:val="0"/>
      <w:marBottom w:val="0"/>
      <w:divBdr>
        <w:top w:val="none" w:sz="0" w:space="0" w:color="auto"/>
        <w:left w:val="none" w:sz="0" w:space="0" w:color="auto"/>
        <w:bottom w:val="none" w:sz="0" w:space="0" w:color="auto"/>
        <w:right w:val="none" w:sz="0" w:space="0" w:color="auto"/>
      </w:divBdr>
    </w:div>
    <w:div w:id="1268926338">
      <w:bodyDiv w:val="1"/>
      <w:marLeft w:val="0"/>
      <w:marRight w:val="0"/>
      <w:marTop w:val="0"/>
      <w:marBottom w:val="0"/>
      <w:divBdr>
        <w:top w:val="none" w:sz="0" w:space="0" w:color="auto"/>
        <w:left w:val="none" w:sz="0" w:space="0" w:color="auto"/>
        <w:bottom w:val="none" w:sz="0" w:space="0" w:color="auto"/>
        <w:right w:val="none" w:sz="0" w:space="0" w:color="auto"/>
      </w:divBdr>
    </w:div>
    <w:div w:id="1269116726">
      <w:bodyDiv w:val="1"/>
      <w:marLeft w:val="0"/>
      <w:marRight w:val="0"/>
      <w:marTop w:val="0"/>
      <w:marBottom w:val="0"/>
      <w:divBdr>
        <w:top w:val="none" w:sz="0" w:space="0" w:color="auto"/>
        <w:left w:val="none" w:sz="0" w:space="0" w:color="auto"/>
        <w:bottom w:val="none" w:sz="0" w:space="0" w:color="auto"/>
        <w:right w:val="none" w:sz="0" w:space="0" w:color="auto"/>
      </w:divBdr>
    </w:div>
    <w:div w:id="1269120352">
      <w:bodyDiv w:val="1"/>
      <w:marLeft w:val="0"/>
      <w:marRight w:val="0"/>
      <w:marTop w:val="0"/>
      <w:marBottom w:val="0"/>
      <w:divBdr>
        <w:top w:val="none" w:sz="0" w:space="0" w:color="auto"/>
        <w:left w:val="none" w:sz="0" w:space="0" w:color="auto"/>
        <w:bottom w:val="none" w:sz="0" w:space="0" w:color="auto"/>
        <w:right w:val="none" w:sz="0" w:space="0" w:color="auto"/>
      </w:divBdr>
    </w:div>
    <w:div w:id="1269316613">
      <w:bodyDiv w:val="1"/>
      <w:marLeft w:val="0"/>
      <w:marRight w:val="0"/>
      <w:marTop w:val="0"/>
      <w:marBottom w:val="0"/>
      <w:divBdr>
        <w:top w:val="none" w:sz="0" w:space="0" w:color="auto"/>
        <w:left w:val="none" w:sz="0" w:space="0" w:color="auto"/>
        <w:bottom w:val="none" w:sz="0" w:space="0" w:color="auto"/>
        <w:right w:val="none" w:sz="0" w:space="0" w:color="auto"/>
      </w:divBdr>
    </w:div>
    <w:div w:id="1269661508">
      <w:bodyDiv w:val="1"/>
      <w:marLeft w:val="0"/>
      <w:marRight w:val="0"/>
      <w:marTop w:val="0"/>
      <w:marBottom w:val="0"/>
      <w:divBdr>
        <w:top w:val="none" w:sz="0" w:space="0" w:color="auto"/>
        <w:left w:val="none" w:sz="0" w:space="0" w:color="auto"/>
        <w:bottom w:val="none" w:sz="0" w:space="0" w:color="auto"/>
        <w:right w:val="none" w:sz="0" w:space="0" w:color="auto"/>
      </w:divBdr>
    </w:div>
    <w:div w:id="1269973732">
      <w:bodyDiv w:val="1"/>
      <w:marLeft w:val="0"/>
      <w:marRight w:val="0"/>
      <w:marTop w:val="0"/>
      <w:marBottom w:val="0"/>
      <w:divBdr>
        <w:top w:val="none" w:sz="0" w:space="0" w:color="auto"/>
        <w:left w:val="none" w:sz="0" w:space="0" w:color="auto"/>
        <w:bottom w:val="none" w:sz="0" w:space="0" w:color="auto"/>
        <w:right w:val="none" w:sz="0" w:space="0" w:color="auto"/>
      </w:divBdr>
    </w:div>
    <w:div w:id="1270042787">
      <w:bodyDiv w:val="1"/>
      <w:marLeft w:val="0"/>
      <w:marRight w:val="0"/>
      <w:marTop w:val="0"/>
      <w:marBottom w:val="0"/>
      <w:divBdr>
        <w:top w:val="none" w:sz="0" w:space="0" w:color="auto"/>
        <w:left w:val="none" w:sz="0" w:space="0" w:color="auto"/>
        <w:bottom w:val="none" w:sz="0" w:space="0" w:color="auto"/>
        <w:right w:val="none" w:sz="0" w:space="0" w:color="auto"/>
      </w:divBdr>
    </w:div>
    <w:div w:id="1270090855">
      <w:bodyDiv w:val="1"/>
      <w:marLeft w:val="0"/>
      <w:marRight w:val="0"/>
      <w:marTop w:val="0"/>
      <w:marBottom w:val="0"/>
      <w:divBdr>
        <w:top w:val="none" w:sz="0" w:space="0" w:color="auto"/>
        <w:left w:val="none" w:sz="0" w:space="0" w:color="auto"/>
        <w:bottom w:val="none" w:sz="0" w:space="0" w:color="auto"/>
        <w:right w:val="none" w:sz="0" w:space="0" w:color="auto"/>
      </w:divBdr>
    </w:div>
    <w:div w:id="1270164868">
      <w:bodyDiv w:val="1"/>
      <w:marLeft w:val="0"/>
      <w:marRight w:val="0"/>
      <w:marTop w:val="0"/>
      <w:marBottom w:val="0"/>
      <w:divBdr>
        <w:top w:val="none" w:sz="0" w:space="0" w:color="auto"/>
        <w:left w:val="none" w:sz="0" w:space="0" w:color="auto"/>
        <w:bottom w:val="none" w:sz="0" w:space="0" w:color="auto"/>
        <w:right w:val="none" w:sz="0" w:space="0" w:color="auto"/>
      </w:divBdr>
    </w:div>
    <w:div w:id="1270165081">
      <w:bodyDiv w:val="1"/>
      <w:marLeft w:val="0"/>
      <w:marRight w:val="0"/>
      <w:marTop w:val="0"/>
      <w:marBottom w:val="0"/>
      <w:divBdr>
        <w:top w:val="none" w:sz="0" w:space="0" w:color="auto"/>
        <w:left w:val="none" w:sz="0" w:space="0" w:color="auto"/>
        <w:bottom w:val="none" w:sz="0" w:space="0" w:color="auto"/>
        <w:right w:val="none" w:sz="0" w:space="0" w:color="auto"/>
      </w:divBdr>
    </w:div>
    <w:div w:id="1270232828">
      <w:bodyDiv w:val="1"/>
      <w:marLeft w:val="0"/>
      <w:marRight w:val="0"/>
      <w:marTop w:val="0"/>
      <w:marBottom w:val="0"/>
      <w:divBdr>
        <w:top w:val="none" w:sz="0" w:space="0" w:color="auto"/>
        <w:left w:val="none" w:sz="0" w:space="0" w:color="auto"/>
        <w:bottom w:val="none" w:sz="0" w:space="0" w:color="auto"/>
        <w:right w:val="none" w:sz="0" w:space="0" w:color="auto"/>
      </w:divBdr>
    </w:div>
    <w:div w:id="1270234513">
      <w:bodyDiv w:val="1"/>
      <w:marLeft w:val="0"/>
      <w:marRight w:val="0"/>
      <w:marTop w:val="0"/>
      <w:marBottom w:val="0"/>
      <w:divBdr>
        <w:top w:val="none" w:sz="0" w:space="0" w:color="auto"/>
        <w:left w:val="none" w:sz="0" w:space="0" w:color="auto"/>
        <w:bottom w:val="none" w:sz="0" w:space="0" w:color="auto"/>
        <w:right w:val="none" w:sz="0" w:space="0" w:color="auto"/>
      </w:divBdr>
    </w:div>
    <w:div w:id="1270284560">
      <w:bodyDiv w:val="1"/>
      <w:marLeft w:val="0"/>
      <w:marRight w:val="0"/>
      <w:marTop w:val="0"/>
      <w:marBottom w:val="0"/>
      <w:divBdr>
        <w:top w:val="none" w:sz="0" w:space="0" w:color="auto"/>
        <w:left w:val="none" w:sz="0" w:space="0" w:color="auto"/>
        <w:bottom w:val="none" w:sz="0" w:space="0" w:color="auto"/>
        <w:right w:val="none" w:sz="0" w:space="0" w:color="auto"/>
      </w:divBdr>
    </w:div>
    <w:div w:id="1270312351">
      <w:bodyDiv w:val="1"/>
      <w:marLeft w:val="0"/>
      <w:marRight w:val="0"/>
      <w:marTop w:val="0"/>
      <w:marBottom w:val="0"/>
      <w:divBdr>
        <w:top w:val="none" w:sz="0" w:space="0" w:color="auto"/>
        <w:left w:val="none" w:sz="0" w:space="0" w:color="auto"/>
        <w:bottom w:val="none" w:sz="0" w:space="0" w:color="auto"/>
        <w:right w:val="none" w:sz="0" w:space="0" w:color="auto"/>
      </w:divBdr>
    </w:div>
    <w:div w:id="1270312810">
      <w:bodyDiv w:val="1"/>
      <w:marLeft w:val="0"/>
      <w:marRight w:val="0"/>
      <w:marTop w:val="0"/>
      <w:marBottom w:val="0"/>
      <w:divBdr>
        <w:top w:val="none" w:sz="0" w:space="0" w:color="auto"/>
        <w:left w:val="none" w:sz="0" w:space="0" w:color="auto"/>
        <w:bottom w:val="none" w:sz="0" w:space="0" w:color="auto"/>
        <w:right w:val="none" w:sz="0" w:space="0" w:color="auto"/>
      </w:divBdr>
    </w:div>
    <w:div w:id="1270358500">
      <w:bodyDiv w:val="1"/>
      <w:marLeft w:val="0"/>
      <w:marRight w:val="0"/>
      <w:marTop w:val="0"/>
      <w:marBottom w:val="0"/>
      <w:divBdr>
        <w:top w:val="none" w:sz="0" w:space="0" w:color="auto"/>
        <w:left w:val="none" w:sz="0" w:space="0" w:color="auto"/>
        <w:bottom w:val="none" w:sz="0" w:space="0" w:color="auto"/>
        <w:right w:val="none" w:sz="0" w:space="0" w:color="auto"/>
      </w:divBdr>
    </w:div>
    <w:div w:id="1270360248">
      <w:bodyDiv w:val="1"/>
      <w:marLeft w:val="0"/>
      <w:marRight w:val="0"/>
      <w:marTop w:val="0"/>
      <w:marBottom w:val="0"/>
      <w:divBdr>
        <w:top w:val="none" w:sz="0" w:space="0" w:color="auto"/>
        <w:left w:val="none" w:sz="0" w:space="0" w:color="auto"/>
        <w:bottom w:val="none" w:sz="0" w:space="0" w:color="auto"/>
        <w:right w:val="none" w:sz="0" w:space="0" w:color="auto"/>
      </w:divBdr>
    </w:div>
    <w:div w:id="1271009580">
      <w:bodyDiv w:val="1"/>
      <w:marLeft w:val="0"/>
      <w:marRight w:val="0"/>
      <w:marTop w:val="0"/>
      <w:marBottom w:val="0"/>
      <w:divBdr>
        <w:top w:val="none" w:sz="0" w:space="0" w:color="auto"/>
        <w:left w:val="none" w:sz="0" w:space="0" w:color="auto"/>
        <w:bottom w:val="none" w:sz="0" w:space="0" w:color="auto"/>
        <w:right w:val="none" w:sz="0" w:space="0" w:color="auto"/>
      </w:divBdr>
    </w:div>
    <w:div w:id="1271012065">
      <w:bodyDiv w:val="1"/>
      <w:marLeft w:val="0"/>
      <w:marRight w:val="0"/>
      <w:marTop w:val="0"/>
      <w:marBottom w:val="0"/>
      <w:divBdr>
        <w:top w:val="none" w:sz="0" w:space="0" w:color="auto"/>
        <w:left w:val="none" w:sz="0" w:space="0" w:color="auto"/>
        <w:bottom w:val="none" w:sz="0" w:space="0" w:color="auto"/>
        <w:right w:val="none" w:sz="0" w:space="0" w:color="auto"/>
      </w:divBdr>
    </w:div>
    <w:div w:id="1271164697">
      <w:bodyDiv w:val="1"/>
      <w:marLeft w:val="0"/>
      <w:marRight w:val="0"/>
      <w:marTop w:val="0"/>
      <w:marBottom w:val="0"/>
      <w:divBdr>
        <w:top w:val="none" w:sz="0" w:space="0" w:color="auto"/>
        <w:left w:val="none" w:sz="0" w:space="0" w:color="auto"/>
        <w:bottom w:val="none" w:sz="0" w:space="0" w:color="auto"/>
        <w:right w:val="none" w:sz="0" w:space="0" w:color="auto"/>
      </w:divBdr>
    </w:div>
    <w:div w:id="1271276494">
      <w:bodyDiv w:val="1"/>
      <w:marLeft w:val="0"/>
      <w:marRight w:val="0"/>
      <w:marTop w:val="0"/>
      <w:marBottom w:val="0"/>
      <w:divBdr>
        <w:top w:val="none" w:sz="0" w:space="0" w:color="auto"/>
        <w:left w:val="none" w:sz="0" w:space="0" w:color="auto"/>
        <w:bottom w:val="none" w:sz="0" w:space="0" w:color="auto"/>
        <w:right w:val="none" w:sz="0" w:space="0" w:color="auto"/>
      </w:divBdr>
    </w:div>
    <w:div w:id="1271353507">
      <w:bodyDiv w:val="1"/>
      <w:marLeft w:val="0"/>
      <w:marRight w:val="0"/>
      <w:marTop w:val="0"/>
      <w:marBottom w:val="0"/>
      <w:divBdr>
        <w:top w:val="none" w:sz="0" w:space="0" w:color="auto"/>
        <w:left w:val="none" w:sz="0" w:space="0" w:color="auto"/>
        <w:bottom w:val="none" w:sz="0" w:space="0" w:color="auto"/>
        <w:right w:val="none" w:sz="0" w:space="0" w:color="auto"/>
      </w:divBdr>
    </w:div>
    <w:div w:id="1271426238">
      <w:bodyDiv w:val="1"/>
      <w:marLeft w:val="0"/>
      <w:marRight w:val="0"/>
      <w:marTop w:val="0"/>
      <w:marBottom w:val="0"/>
      <w:divBdr>
        <w:top w:val="none" w:sz="0" w:space="0" w:color="auto"/>
        <w:left w:val="none" w:sz="0" w:space="0" w:color="auto"/>
        <w:bottom w:val="none" w:sz="0" w:space="0" w:color="auto"/>
        <w:right w:val="none" w:sz="0" w:space="0" w:color="auto"/>
      </w:divBdr>
    </w:div>
    <w:div w:id="1271427083">
      <w:bodyDiv w:val="1"/>
      <w:marLeft w:val="0"/>
      <w:marRight w:val="0"/>
      <w:marTop w:val="0"/>
      <w:marBottom w:val="0"/>
      <w:divBdr>
        <w:top w:val="none" w:sz="0" w:space="0" w:color="auto"/>
        <w:left w:val="none" w:sz="0" w:space="0" w:color="auto"/>
        <w:bottom w:val="none" w:sz="0" w:space="0" w:color="auto"/>
        <w:right w:val="none" w:sz="0" w:space="0" w:color="auto"/>
      </w:divBdr>
    </w:div>
    <w:div w:id="1271476153">
      <w:bodyDiv w:val="1"/>
      <w:marLeft w:val="0"/>
      <w:marRight w:val="0"/>
      <w:marTop w:val="0"/>
      <w:marBottom w:val="0"/>
      <w:divBdr>
        <w:top w:val="none" w:sz="0" w:space="0" w:color="auto"/>
        <w:left w:val="none" w:sz="0" w:space="0" w:color="auto"/>
        <w:bottom w:val="none" w:sz="0" w:space="0" w:color="auto"/>
        <w:right w:val="none" w:sz="0" w:space="0" w:color="auto"/>
      </w:divBdr>
    </w:div>
    <w:div w:id="1271553012">
      <w:bodyDiv w:val="1"/>
      <w:marLeft w:val="0"/>
      <w:marRight w:val="0"/>
      <w:marTop w:val="0"/>
      <w:marBottom w:val="0"/>
      <w:divBdr>
        <w:top w:val="none" w:sz="0" w:space="0" w:color="auto"/>
        <w:left w:val="none" w:sz="0" w:space="0" w:color="auto"/>
        <w:bottom w:val="none" w:sz="0" w:space="0" w:color="auto"/>
        <w:right w:val="none" w:sz="0" w:space="0" w:color="auto"/>
      </w:divBdr>
    </w:div>
    <w:div w:id="1271553115">
      <w:bodyDiv w:val="1"/>
      <w:marLeft w:val="0"/>
      <w:marRight w:val="0"/>
      <w:marTop w:val="0"/>
      <w:marBottom w:val="0"/>
      <w:divBdr>
        <w:top w:val="none" w:sz="0" w:space="0" w:color="auto"/>
        <w:left w:val="none" w:sz="0" w:space="0" w:color="auto"/>
        <w:bottom w:val="none" w:sz="0" w:space="0" w:color="auto"/>
        <w:right w:val="none" w:sz="0" w:space="0" w:color="auto"/>
      </w:divBdr>
    </w:div>
    <w:div w:id="1271665875">
      <w:bodyDiv w:val="1"/>
      <w:marLeft w:val="0"/>
      <w:marRight w:val="0"/>
      <w:marTop w:val="0"/>
      <w:marBottom w:val="0"/>
      <w:divBdr>
        <w:top w:val="none" w:sz="0" w:space="0" w:color="auto"/>
        <w:left w:val="none" w:sz="0" w:space="0" w:color="auto"/>
        <w:bottom w:val="none" w:sz="0" w:space="0" w:color="auto"/>
        <w:right w:val="none" w:sz="0" w:space="0" w:color="auto"/>
      </w:divBdr>
    </w:div>
    <w:div w:id="1271667358">
      <w:bodyDiv w:val="1"/>
      <w:marLeft w:val="0"/>
      <w:marRight w:val="0"/>
      <w:marTop w:val="0"/>
      <w:marBottom w:val="0"/>
      <w:divBdr>
        <w:top w:val="none" w:sz="0" w:space="0" w:color="auto"/>
        <w:left w:val="none" w:sz="0" w:space="0" w:color="auto"/>
        <w:bottom w:val="none" w:sz="0" w:space="0" w:color="auto"/>
        <w:right w:val="none" w:sz="0" w:space="0" w:color="auto"/>
      </w:divBdr>
    </w:div>
    <w:div w:id="1271819159">
      <w:bodyDiv w:val="1"/>
      <w:marLeft w:val="0"/>
      <w:marRight w:val="0"/>
      <w:marTop w:val="0"/>
      <w:marBottom w:val="0"/>
      <w:divBdr>
        <w:top w:val="none" w:sz="0" w:space="0" w:color="auto"/>
        <w:left w:val="none" w:sz="0" w:space="0" w:color="auto"/>
        <w:bottom w:val="none" w:sz="0" w:space="0" w:color="auto"/>
        <w:right w:val="none" w:sz="0" w:space="0" w:color="auto"/>
      </w:divBdr>
    </w:div>
    <w:div w:id="1271863680">
      <w:bodyDiv w:val="1"/>
      <w:marLeft w:val="0"/>
      <w:marRight w:val="0"/>
      <w:marTop w:val="0"/>
      <w:marBottom w:val="0"/>
      <w:divBdr>
        <w:top w:val="none" w:sz="0" w:space="0" w:color="auto"/>
        <w:left w:val="none" w:sz="0" w:space="0" w:color="auto"/>
        <w:bottom w:val="none" w:sz="0" w:space="0" w:color="auto"/>
        <w:right w:val="none" w:sz="0" w:space="0" w:color="auto"/>
      </w:divBdr>
    </w:div>
    <w:div w:id="1271938223">
      <w:bodyDiv w:val="1"/>
      <w:marLeft w:val="0"/>
      <w:marRight w:val="0"/>
      <w:marTop w:val="0"/>
      <w:marBottom w:val="0"/>
      <w:divBdr>
        <w:top w:val="none" w:sz="0" w:space="0" w:color="auto"/>
        <w:left w:val="none" w:sz="0" w:space="0" w:color="auto"/>
        <w:bottom w:val="none" w:sz="0" w:space="0" w:color="auto"/>
        <w:right w:val="none" w:sz="0" w:space="0" w:color="auto"/>
      </w:divBdr>
    </w:div>
    <w:div w:id="1272083468">
      <w:bodyDiv w:val="1"/>
      <w:marLeft w:val="0"/>
      <w:marRight w:val="0"/>
      <w:marTop w:val="0"/>
      <w:marBottom w:val="0"/>
      <w:divBdr>
        <w:top w:val="none" w:sz="0" w:space="0" w:color="auto"/>
        <w:left w:val="none" w:sz="0" w:space="0" w:color="auto"/>
        <w:bottom w:val="none" w:sz="0" w:space="0" w:color="auto"/>
        <w:right w:val="none" w:sz="0" w:space="0" w:color="auto"/>
      </w:divBdr>
    </w:div>
    <w:div w:id="1272125190">
      <w:bodyDiv w:val="1"/>
      <w:marLeft w:val="0"/>
      <w:marRight w:val="0"/>
      <w:marTop w:val="0"/>
      <w:marBottom w:val="0"/>
      <w:divBdr>
        <w:top w:val="none" w:sz="0" w:space="0" w:color="auto"/>
        <w:left w:val="none" w:sz="0" w:space="0" w:color="auto"/>
        <w:bottom w:val="none" w:sz="0" w:space="0" w:color="auto"/>
        <w:right w:val="none" w:sz="0" w:space="0" w:color="auto"/>
      </w:divBdr>
    </w:div>
    <w:div w:id="1272130239">
      <w:bodyDiv w:val="1"/>
      <w:marLeft w:val="0"/>
      <w:marRight w:val="0"/>
      <w:marTop w:val="0"/>
      <w:marBottom w:val="0"/>
      <w:divBdr>
        <w:top w:val="none" w:sz="0" w:space="0" w:color="auto"/>
        <w:left w:val="none" w:sz="0" w:space="0" w:color="auto"/>
        <w:bottom w:val="none" w:sz="0" w:space="0" w:color="auto"/>
        <w:right w:val="none" w:sz="0" w:space="0" w:color="auto"/>
      </w:divBdr>
    </w:div>
    <w:div w:id="1272199621">
      <w:bodyDiv w:val="1"/>
      <w:marLeft w:val="0"/>
      <w:marRight w:val="0"/>
      <w:marTop w:val="0"/>
      <w:marBottom w:val="0"/>
      <w:divBdr>
        <w:top w:val="none" w:sz="0" w:space="0" w:color="auto"/>
        <w:left w:val="none" w:sz="0" w:space="0" w:color="auto"/>
        <w:bottom w:val="none" w:sz="0" w:space="0" w:color="auto"/>
        <w:right w:val="none" w:sz="0" w:space="0" w:color="auto"/>
      </w:divBdr>
    </w:div>
    <w:div w:id="1272398322">
      <w:bodyDiv w:val="1"/>
      <w:marLeft w:val="0"/>
      <w:marRight w:val="0"/>
      <w:marTop w:val="0"/>
      <w:marBottom w:val="0"/>
      <w:divBdr>
        <w:top w:val="none" w:sz="0" w:space="0" w:color="auto"/>
        <w:left w:val="none" w:sz="0" w:space="0" w:color="auto"/>
        <w:bottom w:val="none" w:sz="0" w:space="0" w:color="auto"/>
        <w:right w:val="none" w:sz="0" w:space="0" w:color="auto"/>
      </w:divBdr>
    </w:div>
    <w:div w:id="1272518179">
      <w:bodyDiv w:val="1"/>
      <w:marLeft w:val="0"/>
      <w:marRight w:val="0"/>
      <w:marTop w:val="0"/>
      <w:marBottom w:val="0"/>
      <w:divBdr>
        <w:top w:val="none" w:sz="0" w:space="0" w:color="auto"/>
        <w:left w:val="none" w:sz="0" w:space="0" w:color="auto"/>
        <w:bottom w:val="none" w:sz="0" w:space="0" w:color="auto"/>
        <w:right w:val="none" w:sz="0" w:space="0" w:color="auto"/>
      </w:divBdr>
    </w:div>
    <w:div w:id="1272784352">
      <w:bodyDiv w:val="1"/>
      <w:marLeft w:val="0"/>
      <w:marRight w:val="0"/>
      <w:marTop w:val="0"/>
      <w:marBottom w:val="0"/>
      <w:divBdr>
        <w:top w:val="none" w:sz="0" w:space="0" w:color="auto"/>
        <w:left w:val="none" w:sz="0" w:space="0" w:color="auto"/>
        <w:bottom w:val="none" w:sz="0" w:space="0" w:color="auto"/>
        <w:right w:val="none" w:sz="0" w:space="0" w:color="auto"/>
      </w:divBdr>
    </w:div>
    <w:div w:id="1272859496">
      <w:bodyDiv w:val="1"/>
      <w:marLeft w:val="0"/>
      <w:marRight w:val="0"/>
      <w:marTop w:val="0"/>
      <w:marBottom w:val="0"/>
      <w:divBdr>
        <w:top w:val="none" w:sz="0" w:space="0" w:color="auto"/>
        <w:left w:val="none" w:sz="0" w:space="0" w:color="auto"/>
        <w:bottom w:val="none" w:sz="0" w:space="0" w:color="auto"/>
        <w:right w:val="none" w:sz="0" w:space="0" w:color="auto"/>
      </w:divBdr>
    </w:div>
    <w:div w:id="1273127162">
      <w:bodyDiv w:val="1"/>
      <w:marLeft w:val="0"/>
      <w:marRight w:val="0"/>
      <w:marTop w:val="0"/>
      <w:marBottom w:val="0"/>
      <w:divBdr>
        <w:top w:val="none" w:sz="0" w:space="0" w:color="auto"/>
        <w:left w:val="none" w:sz="0" w:space="0" w:color="auto"/>
        <w:bottom w:val="none" w:sz="0" w:space="0" w:color="auto"/>
        <w:right w:val="none" w:sz="0" w:space="0" w:color="auto"/>
      </w:divBdr>
    </w:div>
    <w:div w:id="1273319316">
      <w:bodyDiv w:val="1"/>
      <w:marLeft w:val="0"/>
      <w:marRight w:val="0"/>
      <w:marTop w:val="0"/>
      <w:marBottom w:val="0"/>
      <w:divBdr>
        <w:top w:val="none" w:sz="0" w:space="0" w:color="auto"/>
        <w:left w:val="none" w:sz="0" w:space="0" w:color="auto"/>
        <w:bottom w:val="none" w:sz="0" w:space="0" w:color="auto"/>
        <w:right w:val="none" w:sz="0" w:space="0" w:color="auto"/>
      </w:divBdr>
    </w:div>
    <w:div w:id="1273514030">
      <w:bodyDiv w:val="1"/>
      <w:marLeft w:val="0"/>
      <w:marRight w:val="0"/>
      <w:marTop w:val="0"/>
      <w:marBottom w:val="0"/>
      <w:divBdr>
        <w:top w:val="none" w:sz="0" w:space="0" w:color="auto"/>
        <w:left w:val="none" w:sz="0" w:space="0" w:color="auto"/>
        <w:bottom w:val="none" w:sz="0" w:space="0" w:color="auto"/>
        <w:right w:val="none" w:sz="0" w:space="0" w:color="auto"/>
      </w:divBdr>
    </w:div>
    <w:div w:id="1273517449">
      <w:bodyDiv w:val="1"/>
      <w:marLeft w:val="0"/>
      <w:marRight w:val="0"/>
      <w:marTop w:val="0"/>
      <w:marBottom w:val="0"/>
      <w:divBdr>
        <w:top w:val="none" w:sz="0" w:space="0" w:color="auto"/>
        <w:left w:val="none" w:sz="0" w:space="0" w:color="auto"/>
        <w:bottom w:val="none" w:sz="0" w:space="0" w:color="auto"/>
        <w:right w:val="none" w:sz="0" w:space="0" w:color="auto"/>
      </w:divBdr>
    </w:div>
    <w:div w:id="1273783097">
      <w:bodyDiv w:val="1"/>
      <w:marLeft w:val="0"/>
      <w:marRight w:val="0"/>
      <w:marTop w:val="0"/>
      <w:marBottom w:val="0"/>
      <w:divBdr>
        <w:top w:val="none" w:sz="0" w:space="0" w:color="auto"/>
        <w:left w:val="none" w:sz="0" w:space="0" w:color="auto"/>
        <w:bottom w:val="none" w:sz="0" w:space="0" w:color="auto"/>
        <w:right w:val="none" w:sz="0" w:space="0" w:color="auto"/>
      </w:divBdr>
    </w:div>
    <w:div w:id="1273899770">
      <w:bodyDiv w:val="1"/>
      <w:marLeft w:val="0"/>
      <w:marRight w:val="0"/>
      <w:marTop w:val="0"/>
      <w:marBottom w:val="0"/>
      <w:divBdr>
        <w:top w:val="none" w:sz="0" w:space="0" w:color="auto"/>
        <w:left w:val="none" w:sz="0" w:space="0" w:color="auto"/>
        <w:bottom w:val="none" w:sz="0" w:space="0" w:color="auto"/>
        <w:right w:val="none" w:sz="0" w:space="0" w:color="auto"/>
      </w:divBdr>
    </w:div>
    <w:div w:id="1273972146">
      <w:bodyDiv w:val="1"/>
      <w:marLeft w:val="0"/>
      <w:marRight w:val="0"/>
      <w:marTop w:val="0"/>
      <w:marBottom w:val="0"/>
      <w:divBdr>
        <w:top w:val="none" w:sz="0" w:space="0" w:color="auto"/>
        <w:left w:val="none" w:sz="0" w:space="0" w:color="auto"/>
        <w:bottom w:val="none" w:sz="0" w:space="0" w:color="auto"/>
        <w:right w:val="none" w:sz="0" w:space="0" w:color="auto"/>
      </w:divBdr>
    </w:div>
    <w:div w:id="1274022995">
      <w:bodyDiv w:val="1"/>
      <w:marLeft w:val="0"/>
      <w:marRight w:val="0"/>
      <w:marTop w:val="0"/>
      <w:marBottom w:val="0"/>
      <w:divBdr>
        <w:top w:val="none" w:sz="0" w:space="0" w:color="auto"/>
        <w:left w:val="none" w:sz="0" w:space="0" w:color="auto"/>
        <w:bottom w:val="none" w:sz="0" w:space="0" w:color="auto"/>
        <w:right w:val="none" w:sz="0" w:space="0" w:color="auto"/>
      </w:divBdr>
    </w:div>
    <w:div w:id="1274051522">
      <w:bodyDiv w:val="1"/>
      <w:marLeft w:val="0"/>
      <w:marRight w:val="0"/>
      <w:marTop w:val="0"/>
      <w:marBottom w:val="0"/>
      <w:divBdr>
        <w:top w:val="none" w:sz="0" w:space="0" w:color="auto"/>
        <w:left w:val="none" w:sz="0" w:space="0" w:color="auto"/>
        <w:bottom w:val="none" w:sz="0" w:space="0" w:color="auto"/>
        <w:right w:val="none" w:sz="0" w:space="0" w:color="auto"/>
      </w:divBdr>
    </w:div>
    <w:div w:id="1274052042">
      <w:bodyDiv w:val="1"/>
      <w:marLeft w:val="0"/>
      <w:marRight w:val="0"/>
      <w:marTop w:val="0"/>
      <w:marBottom w:val="0"/>
      <w:divBdr>
        <w:top w:val="none" w:sz="0" w:space="0" w:color="auto"/>
        <w:left w:val="none" w:sz="0" w:space="0" w:color="auto"/>
        <w:bottom w:val="none" w:sz="0" w:space="0" w:color="auto"/>
        <w:right w:val="none" w:sz="0" w:space="0" w:color="auto"/>
      </w:divBdr>
    </w:div>
    <w:div w:id="1274243554">
      <w:bodyDiv w:val="1"/>
      <w:marLeft w:val="0"/>
      <w:marRight w:val="0"/>
      <w:marTop w:val="0"/>
      <w:marBottom w:val="0"/>
      <w:divBdr>
        <w:top w:val="none" w:sz="0" w:space="0" w:color="auto"/>
        <w:left w:val="none" w:sz="0" w:space="0" w:color="auto"/>
        <w:bottom w:val="none" w:sz="0" w:space="0" w:color="auto"/>
        <w:right w:val="none" w:sz="0" w:space="0" w:color="auto"/>
      </w:divBdr>
    </w:div>
    <w:div w:id="1274244660">
      <w:bodyDiv w:val="1"/>
      <w:marLeft w:val="0"/>
      <w:marRight w:val="0"/>
      <w:marTop w:val="0"/>
      <w:marBottom w:val="0"/>
      <w:divBdr>
        <w:top w:val="none" w:sz="0" w:space="0" w:color="auto"/>
        <w:left w:val="none" w:sz="0" w:space="0" w:color="auto"/>
        <w:bottom w:val="none" w:sz="0" w:space="0" w:color="auto"/>
        <w:right w:val="none" w:sz="0" w:space="0" w:color="auto"/>
      </w:divBdr>
    </w:div>
    <w:div w:id="1274439932">
      <w:bodyDiv w:val="1"/>
      <w:marLeft w:val="0"/>
      <w:marRight w:val="0"/>
      <w:marTop w:val="0"/>
      <w:marBottom w:val="0"/>
      <w:divBdr>
        <w:top w:val="none" w:sz="0" w:space="0" w:color="auto"/>
        <w:left w:val="none" w:sz="0" w:space="0" w:color="auto"/>
        <w:bottom w:val="none" w:sz="0" w:space="0" w:color="auto"/>
        <w:right w:val="none" w:sz="0" w:space="0" w:color="auto"/>
      </w:divBdr>
    </w:div>
    <w:div w:id="1274480576">
      <w:bodyDiv w:val="1"/>
      <w:marLeft w:val="0"/>
      <w:marRight w:val="0"/>
      <w:marTop w:val="0"/>
      <w:marBottom w:val="0"/>
      <w:divBdr>
        <w:top w:val="none" w:sz="0" w:space="0" w:color="auto"/>
        <w:left w:val="none" w:sz="0" w:space="0" w:color="auto"/>
        <w:bottom w:val="none" w:sz="0" w:space="0" w:color="auto"/>
        <w:right w:val="none" w:sz="0" w:space="0" w:color="auto"/>
      </w:divBdr>
    </w:div>
    <w:div w:id="1274481973">
      <w:bodyDiv w:val="1"/>
      <w:marLeft w:val="0"/>
      <w:marRight w:val="0"/>
      <w:marTop w:val="0"/>
      <w:marBottom w:val="0"/>
      <w:divBdr>
        <w:top w:val="none" w:sz="0" w:space="0" w:color="auto"/>
        <w:left w:val="none" w:sz="0" w:space="0" w:color="auto"/>
        <w:bottom w:val="none" w:sz="0" w:space="0" w:color="auto"/>
        <w:right w:val="none" w:sz="0" w:space="0" w:color="auto"/>
      </w:divBdr>
    </w:div>
    <w:div w:id="1274484026">
      <w:bodyDiv w:val="1"/>
      <w:marLeft w:val="0"/>
      <w:marRight w:val="0"/>
      <w:marTop w:val="0"/>
      <w:marBottom w:val="0"/>
      <w:divBdr>
        <w:top w:val="none" w:sz="0" w:space="0" w:color="auto"/>
        <w:left w:val="none" w:sz="0" w:space="0" w:color="auto"/>
        <w:bottom w:val="none" w:sz="0" w:space="0" w:color="auto"/>
        <w:right w:val="none" w:sz="0" w:space="0" w:color="auto"/>
      </w:divBdr>
    </w:div>
    <w:div w:id="1274552604">
      <w:bodyDiv w:val="1"/>
      <w:marLeft w:val="0"/>
      <w:marRight w:val="0"/>
      <w:marTop w:val="0"/>
      <w:marBottom w:val="0"/>
      <w:divBdr>
        <w:top w:val="none" w:sz="0" w:space="0" w:color="auto"/>
        <w:left w:val="none" w:sz="0" w:space="0" w:color="auto"/>
        <w:bottom w:val="none" w:sz="0" w:space="0" w:color="auto"/>
        <w:right w:val="none" w:sz="0" w:space="0" w:color="auto"/>
      </w:divBdr>
    </w:div>
    <w:div w:id="1274626724">
      <w:bodyDiv w:val="1"/>
      <w:marLeft w:val="0"/>
      <w:marRight w:val="0"/>
      <w:marTop w:val="0"/>
      <w:marBottom w:val="0"/>
      <w:divBdr>
        <w:top w:val="none" w:sz="0" w:space="0" w:color="auto"/>
        <w:left w:val="none" w:sz="0" w:space="0" w:color="auto"/>
        <w:bottom w:val="none" w:sz="0" w:space="0" w:color="auto"/>
        <w:right w:val="none" w:sz="0" w:space="0" w:color="auto"/>
      </w:divBdr>
    </w:div>
    <w:div w:id="1274633153">
      <w:bodyDiv w:val="1"/>
      <w:marLeft w:val="0"/>
      <w:marRight w:val="0"/>
      <w:marTop w:val="0"/>
      <w:marBottom w:val="0"/>
      <w:divBdr>
        <w:top w:val="none" w:sz="0" w:space="0" w:color="auto"/>
        <w:left w:val="none" w:sz="0" w:space="0" w:color="auto"/>
        <w:bottom w:val="none" w:sz="0" w:space="0" w:color="auto"/>
        <w:right w:val="none" w:sz="0" w:space="0" w:color="auto"/>
      </w:divBdr>
    </w:div>
    <w:div w:id="1275014443">
      <w:bodyDiv w:val="1"/>
      <w:marLeft w:val="0"/>
      <w:marRight w:val="0"/>
      <w:marTop w:val="0"/>
      <w:marBottom w:val="0"/>
      <w:divBdr>
        <w:top w:val="none" w:sz="0" w:space="0" w:color="auto"/>
        <w:left w:val="none" w:sz="0" w:space="0" w:color="auto"/>
        <w:bottom w:val="none" w:sz="0" w:space="0" w:color="auto"/>
        <w:right w:val="none" w:sz="0" w:space="0" w:color="auto"/>
      </w:divBdr>
    </w:div>
    <w:div w:id="1275210835">
      <w:bodyDiv w:val="1"/>
      <w:marLeft w:val="0"/>
      <w:marRight w:val="0"/>
      <w:marTop w:val="0"/>
      <w:marBottom w:val="0"/>
      <w:divBdr>
        <w:top w:val="none" w:sz="0" w:space="0" w:color="auto"/>
        <w:left w:val="none" w:sz="0" w:space="0" w:color="auto"/>
        <w:bottom w:val="none" w:sz="0" w:space="0" w:color="auto"/>
        <w:right w:val="none" w:sz="0" w:space="0" w:color="auto"/>
      </w:divBdr>
    </w:div>
    <w:div w:id="1275286854">
      <w:bodyDiv w:val="1"/>
      <w:marLeft w:val="0"/>
      <w:marRight w:val="0"/>
      <w:marTop w:val="0"/>
      <w:marBottom w:val="0"/>
      <w:divBdr>
        <w:top w:val="none" w:sz="0" w:space="0" w:color="auto"/>
        <w:left w:val="none" w:sz="0" w:space="0" w:color="auto"/>
        <w:bottom w:val="none" w:sz="0" w:space="0" w:color="auto"/>
        <w:right w:val="none" w:sz="0" w:space="0" w:color="auto"/>
      </w:divBdr>
    </w:div>
    <w:div w:id="1275287503">
      <w:bodyDiv w:val="1"/>
      <w:marLeft w:val="0"/>
      <w:marRight w:val="0"/>
      <w:marTop w:val="0"/>
      <w:marBottom w:val="0"/>
      <w:divBdr>
        <w:top w:val="none" w:sz="0" w:space="0" w:color="auto"/>
        <w:left w:val="none" w:sz="0" w:space="0" w:color="auto"/>
        <w:bottom w:val="none" w:sz="0" w:space="0" w:color="auto"/>
        <w:right w:val="none" w:sz="0" w:space="0" w:color="auto"/>
      </w:divBdr>
    </w:div>
    <w:div w:id="1275289354">
      <w:bodyDiv w:val="1"/>
      <w:marLeft w:val="0"/>
      <w:marRight w:val="0"/>
      <w:marTop w:val="0"/>
      <w:marBottom w:val="0"/>
      <w:divBdr>
        <w:top w:val="none" w:sz="0" w:space="0" w:color="auto"/>
        <w:left w:val="none" w:sz="0" w:space="0" w:color="auto"/>
        <w:bottom w:val="none" w:sz="0" w:space="0" w:color="auto"/>
        <w:right w:val="none" w:sz="0" w:space="0" w:color="auto"/>
      </w:divBdr>
    </w:div>
    <w:div w:id="1275289509">
      <w:bodyDiv w:val="1"/>
      <w:marLeft w:val="0"/>
      <w:marRight w:val="0"/>
      <w:marTop w:val="0"/>
      <w:marBottom w:val="0"/>
      <w:divBdr>
        <w:top w:val="none" w:sz="0" w:space="0" w:color="auto"/>
        <w:left w:val="none" w:sz="0" w:space="0" w:color="auto"/>
        <w:bottom w:val="none" w:sz="0" w:space="0" w:color="auto"/>
        <w:right w:val="none" w:sz="0" w:space="0" w:color="auto"/>
      </w:divBdr>
    </w:div>
    <w:div w:id="1275333196">
      <w:bodyDiv w:val="1"/>
      <w:marLeft w:val="0"/>
      <w:marRight w:val="0"/>
      <w:marTop w:val="0"/>
      <w:marBottom w:val="0"/>
      <w:divBdr>
        <w:top w:val="none" w:sz="0" w:space="0" w:color="auto"/>
        <w:left w:val="none" w:sz="0" w:space="0" w:color="auto"/>
        <w:bottom w:val="none" w:sz="0" w:space="0" w:color="auto"/>
        <w:right w:val="none" w:sz="0" w:space="0" w:color="auto"/>
      </w:divBdr>
    </w:div>
    <w:div w:id="1275360448">
      <w:bodyDiv w:val="1"/>
      <w:marLeft w:val="0"/>
      <w:marRight w:val="0"/>
      <w:marTop w:val="0"/>
      <w:marBottom w:val="0"/>
      <w:divBdr>
        <w:top w:val="none" w:sz="0" w:space="0" w:color="auto"/>
        <w:left w:val="none" w:sz="0" w:space="0" w:color="auto"/>
        <w:bottom w:val="none" w:sz="0" w:space="0" w:color="auto"/>
        <w:right w:val="none" w:sz="0" w:space="0" w:color="auto"/>
      </w:divBdr>
    </w:div>
    <w:div w:id="1275404578">
      <w:bodyDiv w:val="1"/>
      <w:marLeft w:val="0"/>
      <w:marRight w:val="0"/>
      <w:marTop w:val="0"/>
      <w:marBottom w:val="0"/>
      <w:divBdr>
        <w:top w:val="none" w:sz="0" w:space="0" w:color="auto"/>
        <w:left w:val="none" w:sz="0" w:space="0" w:color="auto"/>
        <w:bottom w:val="none" w:sz="0" w:space="0" w:color="auto"/>
        <w:right w:val="none" w:sz="0" w:space="0" w:color="auto"/>
      </w:divBdr>
    </w:div>
    <w:div w:id="1275409319">
      <w:bodyDiv w:val="1"/>
      <w:marLeft w:val="0"/>
      <w:marRight w:val="0"/>
      <w:marTop w:val="0"/>
      <w:marBottom w:val="0"/>
      <w:divBdr>
        <w:top w:val="none" w:sz="0" w:space="0" w:color="auto"/>
        <w:left w:val="none" w:sz="0" w:space="0" w:color="auto"/>
        <w:bottom w:val="none" w:sz="0" w:space="0" w:color="auto"/>
        <w:right w:val="none" w:sz="0" w:space="0" w:color="auto"/>
      </w:divBdr>
    </w:div>
    <w:div w:id="1275480779">
      <w:bodyDiv w:val="1"/>
      <w:marLeft w:val="0"/>
      <w:marRight w:val="0"/>
      <w:marTop w:val="0"/>
      <w:marBottom w:val="0"/>
      <w:divBdr>
        <w:top w:val="none" w:sz="0" w:space="0" w:color="auto"/>
        <w:left w:val="none" w:sz="0" w:space="0" w:color="auto"/>
        <w:bottom w:val="none" w:sz="0" w:space="0" w:color="auto"/>
        <w:right w:val="none" w:sz="0" w:space="0" w:color="auto"/>
      </w:divBdr>
    </w:div>
    <w:div w:id="1275987057">
      <w:bodyDiv w:val="1"/>
      <w:marLeft w:val="0"/>
      <w:marRight w:val="0"/>
      <w:marTop w:val="0"/>
      <w:marBottom w:val="0"/>
      <w:divBdr>
        <w:top w:val="none" w:sz="0" w:space="0" w:color="auto"/>
        <w:left w:val="none" w:sz="0" w:space="0" w:color="auto"/>
        <w:bottom w:val="none" w:sz="0" w:space="0" w:color="auto"/>
        <w:right w:val="none" w:sz="0" w:space="0" w:color="auto"/>
      </w:divBdr>
    </w:div>
    <w:div w:id="1276136112">
      <w:bodyDiv w:val="1"/>
      <w:marLeft w:val="0"/>
      <w:marRight w:val="0"/>
      <w:marTop w:val="0"/>
      <w:marBottom w:val="0"/>
      <w:divBdr>
        <w:top w:val="none" w:sz="0" w:space="0" w:color="auto"/>
        <w:left w:val="none" w:sz="0" w:space="0" w:color="auto"/>
        <w:bottom w:val="none" w:sz="0" w:space="0" w:color="auto"/>
        <w:right w:val="none" w:sz="0" w:space="0" w:color="auto"/>
      </w:divBdr>
    </w:div>
    <w:div w:id="1276213004">
      <w:bodyDiv w:val="1"/>
      <w:marLeft w:val="0"/>
      <w:marRight w:val="0"/>
      <w:marTop w:val="0"/>
      <w:marBottom w:val="0"/>
      <w:divBdr>
        <w:top w:val="none" w:sz="0" w:space="0" w:color="auto"/>
        <w:left w:val="none" w:sz="0" w:space="0" w:color="auto"/>
        <w:bottom w:val="none" w:sz="0" w:space="0" w:color="auto"/>
        <w:right w:val="none" w:sz="0" w:space="0" w:color="auto"/>
      </w:divBdr>
    </w:div>
    <w:div w:id="1276398908">
      <w:bodyDiv w:val="1"/>
      <w:marLeft w:val="0"/>
      <w:marRight w:val="0"/>
      <w:marTop w:val="0"/>
      <w:marBottom w:val="0"/>
      <w:divBdr>
        <w:top w:val="none" w:sz="0" w:space="0" w:color="auto"/>
        <w:left w:val="none" w:sz="0" w:space="0" w:color="auto"/>
        <w:bottom w:val="none" w:sz="0" w:space="0" w:color="auto"/>
        <w:right w:val="none" w:sz="0" w:space="0" w:color="auto"/>
      </w:divBdr>
    </w:div>
    <w:div w:id="1276595986">
      <w:bodyDiv w:val="1"/>
      <w:marLeft w:val="0"/>
      <w:marRight w:val="0"/>
      <w:marTop w:val="0"/>
      <w:marBottom w:val="0"/>
      <w:divBdr>
        <w:top w:val="none" w:sz="0" w:space="0" w:color="auto"/>
        <w:left w:val="none" w:sz="0" w:space="0" w:color="auto"/>
        <w:bottom w:val="none" w:sz="0" w:space="0" w:color="auto"/>
        <w:right w:val="none" w:sz="0" w:space="0" w:color="auto"/>
      </w:divBdr>
    </w:div>
    <w:div w:id="1276673873">
      <w:bodyDiv w:val="1"/>
      <w:marLeft w:val="0"/>
      <w:marRight w:val="0"/>
      <w:marTop w:val="0"/>
      <w:marBottom w:val="0"/>
      <w:divBdr>
        <w:top w:val="none" w:sz="0" w:space="0" w:color="auto"/>
        <w:left w:val="none" w:sz="0" w:space="0" w:color="auto"/>
        <w:bottom w:val="none" w:sz="0" w:space="0" w:color="auto"/>
        <w:right w:val="none" w:sz="0" w:space="0" w:color="auto"/>
      </w:divBdr>
    </w:div>
    <w:div w:id="1276866558">
      <w:bodyDiv w:val="1"/>
      <w:marLeft w:val="0"/>
      <w:marRight w:val="0"/>
      <w:marTop w:val="0"/>
      <w:marBottom w:val="0"/>
      <w:divBdr>
        <w:top w:val="none" w:sz="0" w:space="0" w:color="auto"/>
        <w:left w:val="none" w:sz="0" w:space="0" w:color="auto"/>
        <w:bottom w:val="none" w:sz="0" w:space="0" w:color="auto"/>
        <w:right w:val="none" w:sz="0" w:space="0" w:color="auto"/>
      </w:divBdr>
    </w:div>
    <w:div w:id="1276907967">
      <w:bodyDiv w:val="1"/>
      <w:marLeft w:val="0"/>
      <w:marRight w:val="0"/>
      <w:marTop w:val="0"/>
      <w:marBottom w:val="0"/>
      <w:divBdr>
        <w:top w:val="none" w:sz="0" w:space="0" w:color="auto"/>
        <w:left w:val="none" w:sz="0" w:space="0" w:color="auto"/>
        <w:bottom w:val="none" w:sz="0" w:space="0" w:color="auto"/>
        <w:right w:val="none" w:sz="0" w:space="0" w:color="auto"/>
      </w:divBdr>
    </w:div>
    <w:div w:id="1276979702">
      <w:bodyDiv w:val="1"/>
      <w:marLeft w:val="0"/>
      <w:marRight w:val="0"/>
      <w:marTop w:val="0"/>
      <w:marBottom w:val="0"/>
      <w:divBdr>
        <w:top w:val="none" w:sz="0" w:space="0" w:color="auto"/>
        <w:left w:val="none" w:sz="0" w:space="0" w:color="auto"/>
        <w:bottom w:val="none" w:sz="0" w:space="0" w:color="auto"/>
        <w:right w:val="none" w:sz="0" w:space="0" w:color="auto"/>
      </w:divBdr>
    </w:div>
    <w:div w:id="1276985979">
      <w:bodyDiv w:val="1"/>
      <w:marLeft w:val="0"/>
      <w:marRight w:val="0"/>
      <w:marTop w:val="0"/>
      <w:marBottom w:val="0"/>
      <w:divBdr>
        <w:top w:val="none" w:sz="0" w:space="0" w:color="auto"/>
        <w:left w:val="none" w:sz="0" w:space="0" w:color="auto"/>
        <w:bottom w:val="none" w:sz="0" w:space="0" w:color="auto"/>
        <w:right w:val="none" w:sz="0" w:space="0" w:color="auto"/>
      </w:divBdr>
    </w:div>
    <w:div w:id="1276986760">
      <w:bodyDiv w:val="1"/>
      <w:marLeft w:val="0"/>
      <w:marRight w:val="0"/>
      <w:marTop w:val="0"/>
      <w:marBottom w:val="0"/>
      <w:divBdr>
        <w:top w:val="none" w:sz="0" w:space="0" w:color="auto"/>
        <w:left w:val="none" w:sz="0" w:space="0" w:color="auto"/>
        <w:bottom w:val="none" w:sz="0" w:space="0" w:color="auto"/>
        <w:right w:val="none" w:sz="0" w:space="0" w:color="auto"/>
      </w:divBdr>
    </w:div>
    <w:div w:id="1276987221">
      <w:bodyDiv w:val="1"/>
      <w:marLeft w:val="0"/>
      <w:marRight w:val="0"/>
      <w:marTop w:val="0"/>
      <w:marBottom w:val="0"/>
      <w:divBdr>
        <w:top w:val="none" w:sz="0" w:space="0" w:color="auto"/>
        <w:left w:val="none" w:sz="0" w:space="0" w:color="auto"/>
        <w:bottom w:val="none" w:sz="0" w:space="0" w:color="auto"/>
        <w:right w:val="none" w:sz="0" w:space="0" w:color="auto"/>
      </w:divBdr>
    </w:div>
    <w:div w:id="1277106520">
      <w:bodyDiv w:val="1"/>
      <w:marLeft w:val="0"/>
      <w:marRight w:val="0"/>
      <w:marTop w:val="0"/>
      <w:marBottom w:val="0"/>
      <w:divBdr>
        <w:top w:val="none" w:sz="0" w:space="0" w:color="auto"/>
        <w:left w:val="none" w:sz="0" w:space="0" w:color="auto"/>
        <w:bottom w:val="none" w:sz="0" w:space="0" w:color="auto"/>
        <w:right w:val="none" w:sz="0" w:space="0" w:color="auto"/>
      </w:divBdr>
    </w:div>
    <w:div w:id="1277129938">
      <w:bodyDiv w:val="1"/>
      <w:marLeft w:val="0"/>
      <w:marRight w:val="0"/>
      <w:marTop w:val="0"/>
      <w:marBottom w:val="0"/>
      <w:divBdr>
        <w:top w:val="none" w:sz="0" w:space="0" w:color="auto"/>
        <w:left w:val="none" w:sz="0" w:space="0" w:color="auto"/>
        <w:bottom w:val="none" w:sz="0" w:space="0" w:color="auto"/>
        <w:right w:val="none" w:sz="0" w:space="0" w:color="auto"/>
      </w:divBdr>
    </w:div>
    <w:div w:id="1277129952">
      <w:bodyDiv w:val="1"/>
      <w:marLeft w:val="0"/>
      <w:marRight w:val="0"/>
      <w:marTop w:val="0"/>
      <w:marBottom w:val="0"/>
      <w:divBdr>
        <w:top w:val="none" w:sz="0" w:space="0" w:color="auto"/>
        <w:left w:val="none" w:sz="0" w:space="0" w:color="auto"/>
        <w:bottom w:val="none" w:sz="0" w:space="0" w:color="auto"/>
        <w:right w:val="none" w:sz="0" w:space="0" w:color="auto"/>
      </w:divBdr>
    </w:div>
    <w:div w:id="1277174642">
      <w:bodyDiv w:val="1"/>
      <w:marLeft w:val="0"/>
      <w:marRight w:val="0"/>
      <w:marTop w:val="0"/>
      <w:marBottom w:val="0"/>
      <w:divBdr>
        <w:top w:val="none" w:sz="0" w:space="0" w:color="auto"/>
        <w:left w:val="none" w:sz="0" w:space="0" w:color="auto"/>
        <w:bottom w:val="none" w:sz="0" w:space="0" w:color="auto"/>
        <w:right w:val="none" w:sz="0" w:space="0" w:color="auto"/>
      </w:divBdr>
    </w:div>
    <w:div w:id="1277296686">
      <w:bodyDiv w:val="1"/>
      <w:marLeft w:val="0"/>
      <w:marRight w:val="0"/>
      <w:marTop w:val="0"/>
      <w:marBottom w:val="0"/>
      <w:divBdr>
        <w:top w:val="none" w:sz="0" w:space="0" w:color="auto"/>
        <w:left w:val="none" w:sz="0" w:space="0" w:color="auto"/>
        <w:bottom w:val="none" w:sz="0" w:space="0" w:color="auto"/>
        <w:right w:val="none" w:sz="0" w:space="0" w:color="auto"/>
      </w:divBdr>
    </w:div>
    <w:div w:id="1277369643">
      <w:bodyDiv w:val="1"/>
      <w:marLeft w:val="0"/>
      <w:marRight w:val="0"/>
      <w:marTop w:val="0"/>
      <w:marBottom w:val="0"/>
      <w:divBdr>
        <w:top w:val="none" w:sz="0" w:space="0" w:color="auto"/>
        <w:left w:val="none" w:sz="0" w:space="0" w:color="auto"/>
        <w:bottom w:val="none" w:sz="0" w:space="0" w:color="auto"/>
        <w:right w:val="none" w:sz="0" w:space="0" w:color="auto"/>
      </w:divBdr>
    </w:div>
    <w:div w:id="1277517864">
      <w:bodyDiv w:val="1"/>
      <w:marLeft w:val="0"/>
      <w:marRight w:val="0"/>
      <w:marTop w:val="0"/>
      <w:marBottom w:val="0"/>
      <w:divBdr>
        <w:top w:val="none" w:sz="0" w:space="0" w:color="auto"/>
        <w:left w:val="none" w:sz="0" w:space="0" w:color="auto"/>
        <w:bottom w:val="none" w:sz="0" w:space="0" w:color="auto"/>
        <w:right w:val="none" w:sz="0" w:space="0" w:color="auto"/>
      </w:divBdr>
    </w:div>
    <w:div w:id="1277837107">
      <w:bodyDiv w:val="1"/>
      <w:marLeft w:val="0"/>
      <w:marRight w:val="0"/>
      <w:marTop w:val="0"/>
      <w:marBottom w:val="0"/>
      <w:divBdr>
        <w:top w:val="none" w:sz="0" w:space="0" w:color="auto"/>
        <w:left w:val="none" w:sz="0" w:space="0" w:color="auto"/>
        <w:bottom w:val="none" w:sz="0" w:space="0" w:color="auto"/>
        <w:right w:val="none" w:sz="0" w:space="0" w:color="auto"/>
      </w:divBdr>
    </w:div>
    <w:div w:id="1277911509">
      <w:bodyDiv w:val="1"/>
      <w:marLeft w:val="0"/>
      <w:marRight w:val="0"/>
      <w:marTop w:val="0"/>
      <w:marBottom w:val="0"/>
      <w:divBdr>
        <w:top w:val="none" w:sz="0" w:space="0" w:color="auto"/>
        <w:left w:val="none" w:sz="0" w:space="0" w:color="auto"/>
        <w:bottom w:val="none" w:sz="0" w:space="0" w:color="auto"/>
        <w:right w:val="none" w:sz="0" w:space="0" w:color="auto"/>
      </w:divBdr>
    </w:div>
    <w:div w:id="1278023921">
      <w:bodyDiv w:val="1"/>
      <w:marLeft w:val="0"/>
      <w:marRight w:val="0"/>
      <w:marTop w:val="0"/>
      <w:marBottom w:val="0"/>
      <w:divBdr>
        <w:top w:val="none" w:sz="0" w:space="0" w:color="auto"/>
        <w:left w:val="none" w:sz="0" w:space="0" w:color="auto"/>
        <w:bottom w:val="none" w:sz="0" w:space="0" w:color="auto"/>
        <w:right w:val="none" w:sz="0" w:space="0" w:color="auto"/>
      </w:divBdr>
    </w:div>
    <w:div w:id="1278025830">
      <w:bodyDiv w:val="1"/>
      <w:marLeft w:val="0"/>
      <w:marRight w:val="0"/>
      <w:marTop w:val="0"/>
      <w:marBottom w:val="0"/>
      <w:divBdr>
        <w:top w:val="none" w:sz="0" w:space="0" w:color="auto"/>
        <w:left w:val="none" w:sz="0" w:space="0" w:color="auto"/>
        <w:bottom w:val="none" w:sz="0" w:space="0" w:color="auto"/>
        <w:right w:val="none" w:sz="0" w:space="0" w:color="auto"/>
      </w:divBdr>
    </w:div>
    <w:div w:id="1278098157">
      <w:bodyDiv w:val="1"/>
      <w:marLeft w:val="0"/>
      <w:marRight w:val="0"/>
      <w:marTop w:val="0"/>
      <w:marBottom w:val="0"/>
      <w:divBdr>
        <w:top w:val="none" w:sz="0" w:space="0" w:color="auto"/>
        <w:left w:val="none" w:sz="0" w:space="0" w:color="auto"/>
        <w:bottom w:val="none" w:sz="0" w:space="0" w:color="auto"/>
        <w:right w:val="none" w:sz="0" w:space="0" w:color="auto"/>
      </w:divBdr>
    </w:div>
    <w:div w:id="1278172828">
      <w:bodyDiv w:val="1"/>
      <w:marLeft w:val="0"/>
      <w:marRight w:val="0"/>
      <w:marTop w:val="0"/>
      <w:marBottom w:val="0"/>
      <w:divBdr>
        <w:top w:val="none" w:sz="0" w:space="0" w:color="auto"/>
        <w:left w:val="none" w:sz="0" w:space="0" w:color="auto"/>
        <w:bottom w:val="none" w:sz="0" w:space="0" w:color="auto"/>
        <w:right w:val="none" w:sz="0" w:space="0" w:color="auto"/>
      </w:divBdr>
    </w:div>
    <w:div w:id="1278214827">
      <w:bodyDiv w:val="1"/>
      <w:marLeft w:val="0"/>
      <w:marRight w:val="0"/>
      <w:marTop w:val="0"/>
      <w:marBottom w:val="0"/>
      <w:divBdr>
        <w:top w:val="none" w:sz="0" w:space="0" w:color="auto"/>
        <w:left w:val="none" w:sz="0" w:space="0" w:color="auto"/>
        <w:bottom w:val="none" w:sz="0" w:space="0" w:color="auto"/>
        <w:right w:val="none" w:sz="0" w:space="0" w:color="auto"/>
      </w:divBdr>
    </w:div>
    <w:div w:id="1278215441">
      <w:bodyDiv w:val="1"/>
      <w:marLeft w:val="0"/>
      <w:marRight w:val="0"/>
      <w:marTop w:val="0"/>
      <w:marBottom w:val="0"/>
      <w:divBdr>
        <w:top w:val="none" w:sz="0" w:space="0" w:color="auto"/>
        <w:left w:val="none" w:sz="0" w:space="0" w:color="auto"/>
        <w:bottom w:val="none" w:sz="0" w:space="0" w:color="auto"/>
        <w:right w:val="none" w:sz="0" w:space="0" w:color="auto"/>
      </w:divBdr>
    </w:div>
    <w:div w:id="1278374272">
      <w:bodyDiv w:val="1"/>
      <w:marLeft w:val="0"/>
      <w:marRight w:val="0"/>
      <w:marTop w:val="0"/>
      <w:marBottom w:val="0"/>
      <w:divBdr>
        <w:top w:val="none" w:sz="0" w:space="0" w:color="auto"/>
        <w:left w:val="none" w:sz="0" w:space="0" w:color="auto"/>
        <w:bottom w:val="none" w:sz="0" w:space="0" w:color="auto"/>
        <w:right w:val="none" w:sz="0" w:space="0" w:color="auto"/>
      </w:divBdr>
    </w:div>
    <w:div w:id="1278752504">
      <w:bodyDiv w:val="1"/>
      <w:marLeft w:val="0"/>
      <w:marRight w:val="0"/>
      <w:marTop w:val="0"/>
      <w:marBottom w:val="0"/>
      <w:divBdr>
        <w:top w:val="none" w:sz="0" w:space="0" w:color="auto"/>
        <w:left w:val="none" w:sz="0" w:space="0" w:color="auto"/>
        <w:bottom w:val="none" w:sz="0" w:space="0" w:color="auto"/>
        <w:right w:val="none" w:sz="0" w:space="0" w:color="auto"/>
      </w:divBdr>
    </w:div>
    <w:div w:id="1278752803">
      <w:bodyDiv w:val="1"/>
      <w:marLeft w:val="0"/>
      <w:marRight w:val="0"/>
      <w:marTop w:val="0"/>
      <w:marBottom w:val="0"/>
      <w:divBdr>
        <w:top w:val="none" w:sz="0" w:space="0" w:color="auto"/>
        <w:left w:val="none" w:sz="0" w:space="0" w:color="auto"/>
        <w:bottom w:val="none" w:sz="0" w:space="0" w:color="auto"/>
        <w:right w:val="none" w:sz="0" w:space="0" w:color="auto"/>
      </w:divBdr>
    </w:div>
    <w:div w:id="1278754225">
      <w:bodyDiv w:val="1"/>
      <w:marLeft w:val="0"/>
      <w:marRight w:val="0"/>
      <w:marTop w:val="0"/>
      <w:marBottom w:val="0"/>
      <w:divBdr>
        <w:top w:val="none" w:sz="0" w:space="0" w:color="auto"/>
        <w:left w:val="none" w:sz="0" w:space="0" w:color="auto"/>
        <w:bottom w:val="none" w:sz="0" w:space="0" w:color="auto"/>
        <w:right w:val="none" w:sz="0" w:space="0" w:color="auto"/>
      </w:divBdr>
    </w:div>
    <w:div w:id="1279022253">
      <w:bodyDiv w:val="1"/>
      <w:marLeft w:val="0"/>
      <w:marRight w:val="0"/>
      <w:marTop w:val="0"/>
      <w:marBottom w:val="0"/>
      <w:divBdr>
        <w:top w:val="none" w:sz="0" w:space="0" w:color="auto"/>
        <w:left w:val="none" w:sz="0" w:space="0" w:color="auto"/>
        <w:bottom w:val="none" w:sz="0" w:space="0" w:color="auto"/>
        <w:right w:val="none" w:sz="0" w:space="0" w:color="auto"/>
      </w:divBdr>
    </w:div>
    <w:div w:id="1279067223">
      <w:bodyDiv w:val="1"/>
      <w:marLeft w:val="0"/>
      <w:marRight w:val="0"/>
      <w:marTop w:val="0"/>
      <w:marBottom w:val="0"/>
      <w:divBdr>
        <w:top w:val="none" w:sz="0" w:space="0" w:color="auto"/>
        <w:left w:val="none" w:sz="0" w:space="0" w:color="auto"/>
        <w:bottom w:val="none" w:sz="0" w:space="0" w:color="auto"/>
        <w:right w:val="none" w:sz="0" w:space="0" w:color="auto"/>
      </w:divBdr>
    </w:div>
    <w:div w:id="1279096089">
      <w:bodyDiv w:val="1"/>
      <w:marLeft w:val="0"/>
      <w:marRight w:val="0"/>
      <w:marTop w:val="0"/>
      <w:marBottom w:val="0"/>
      <w:divBdr>
        <w:top w:val="none" w:sz="0" w:space="0" w:color="auto"/>
        <w:left w:val="none" w:sz="0" w:space="0" w:color="auto"/>
        <w:bottom w:val="none" w:sz="0" w:space="0" w:color="auto"/>
        <w:right w:val="none" w:sz="0" w:space="0" w:color="auto"/>
      </w:divBdr>
    </w:div>
    <w:div w:id="1279097310">
      <w:bodyDiv w:val="1"/>
      <w:marLeft w:val="0"/>
      <w:marRight w:val="0"/>
      <w:marTop w:val="0"/>
      <w:marBottom w:val="0"/>
      <w:divBdr>
        <w:top w:val="none" w:sz="0" w:space="0" w:color="auto"/>
        <w:left w:val="none" w:sz="0" w:space="0" w:color="auto"/>
        <w:bottom w:val="none" w:sz="0" w:space="0" w:color="auto"/>
        <w:right w:val="none" w:sz="0" w:space="0" w:color="auto"/>
      </w:divBdr>
    </w:div>
    <w:div w:id="1279484617">
      <w:bodyDiv w:val="1"/>
      <w:marLeft w:val="0"/>
      <w:marRight w:val="0"/>
      <w:marTop w:val="0"/>
      <w:marBottom w:val="0"/>
      <w:divBdr>
        <w:top w:val="none" w:sz="0" w:space="0" w:color="auto"/>
        <w:left w:val="none" w:sz="0" w:space="0" w:color="auto"/>
        <w:bottom w:val="none" w:sz="0" w:space="0" w:color="auto"/>
        <w:right w:val="none" w:sz="0" w:space="0" w:color="auto"/>
      </w:divBdr>
    </w:div>
    <w:div w:id="1279489513">
      <w:bodyDiv w:val="1"/>
      <w:marLeft w:val="0"/>
      <w:marRight w:val="0"/>
      <w:marTop w:val="0"/>
      <w:marBottom w:val="0"/>
      <w:divBdr>
        <w:top w:val="none" w:sz="0" w:space="0" w:color="auto"/>
        <w:left w:val="none" w:sz="0" w:space="0" w:color="auto"/>
        <w:bottom w:val="none" w:sz="0" w:space="0" w:color="auto"/>
        <w:right w:val="none" w:sz="0" w:space="0" w:color="auto"/>
      </w:divBdr>
    </w:div>
    <w:div w:id="1279727247">
      <w:bodyDiv w:val="1"/>
      <w:marLeft w:val="0"/>
      <w:marRight w:val="0"/>
      <w:marTop w:val="0"/>
      <w:marBottom w:val="0"/>
      <w:divBdr>
        <w:top w:val="none" w:sz="0" w:space="0" w:color="auto"/>
        <w:left w:val="none" w:sz="0" w:space="0" w:color="auto"/>
        <w:bottom w:val="none" w:sz="0" w:space="0" w:color="auto"/>
        <w:right w:val="none" w:sz="0" w:space="0" w:color="auto"/>
      </w:divBdr>
    </w:div>
    <w:div w:id="1279751069">
      <w:bodyDiv w:val="1"/>
      <w:marLeft w:val="0"/>
      <w:marRight w:val="0"/>
      <w:marTop w:val="0"/>
      <w:marBottom w:val="0"/>
      <w:divBdr>
        <w:top w:val="none" w:sz="0" w:space="0" w:color="auto"/>
        <w:left w:val="none" w:sz="0" w:space="0" w:color="auto"/>
        <w:bottom w:val="none" w:sz="0" w:space="0" w:color="auto"/>
        <w:right w:val="none" w:sz="0" w:space="0" w:color="auto"/>
      </w:divBdr>
    </w:div>
    <w:div w:id="1279793503">
      <w:bodyDiv w:val="1"/>
      <w:marLeft w:val="0"/>
      <w:marRight w:val="0"/>
      <w:marTop w:val="0"/>
      <w:marBottom w:val="0"/>
      <w:divBdr>
        <w:top w:val="none" w:sz="0" w:space="0" w:color="auto"/>
        <w:left w:val="none" w:sz="0" w:space="0" w:color="auto"/>
        <w:bottom w:val="none" w:sz="0" w:space="0" w:color="auto"/>
        <w:right w:val="none" w:sz="0" w:space="0" w:color="auto"/>
      </w:divBdr>
    </w:div>
    <w:div w:id="1279796425">
      <w:bodyDiv w:val="1"/>
      <w:marLeft w:val="0"/>
      <w:marRight w:val="0"/>
      <w:marTop w:val="0"/>
      <w:marBottom w:val="0"/>
      <w:divBdr>
        <w:top w:val="none" w:sz="0" w:space="0" w:color="auto"/>
        <w:left w:val="none" w:sz="0" w:space="0" w:color="auto"/>
        <w:bottom w:val="none" w:sz="0" w:space="0" w:color="auto"/>
        <w:right w:val="none" w:sz="0" w:space="0" w:color="auto"/>
      </w:divBdr>
    </w:div>
    <w:div w:id="1279800251">
      <w:bodyDiv w:val="1"/>
      <w:marLeft w:val="0"/>
      <w:marRight w:val="0"/>
      <w:marTop w:val="0"/>
      <w:marBottom w:val="0"/>
      <w:divBdr>
        <w:top w:val="none" w:sz="0" w:space="0" w:color="auto"/>
        <w:left w:val="none" w:sz="0" w:space="0" w:color="auto"/>
        <w:bottom w:val="none" w:sz="0" w:space="0" w:color="auto"/>
        <w:right w:val="none" w:sz="0" w:space="0" w:color="auto"/>
      </w:divBdr>
    </w:div>
    <w:div w:id="1279919663">
      <w:bodyDiv w:val="1"/>
      <w:marLeft w:val="0"/>
      <w:marRight w:val="0"/>
      <w:marTop w:val="0"/>
      <w:marBottom w:val="0"/>
      <w:divBdr>
        <w:top w:val="none" w:sz="0" w:space="0" w:color="auto"/>
        <w:left w:val="none" w:sz="0" w:space="0" w:color="auto"/>
        <w:bottom w:val="none" w:sz="0" w:space="0" w:color="auto"/>
        <w:right w:val="none" w:sz="0" w:space="0" w:color="auto"/>
      </w:divBdr>
    </w:div>
    <w:div w:id="1279950011">
      <w:bodyDiv w:val="1"/>
      <w:marLeft w:val="0"/>
      <w:marRight w:val="0"/>
      <w:marTop w:val="0"/>
      <w:marBottom w:val="0"/>
      <w:divBdr>
        <w:top w:val="none" w:sz="0" w:space="0" w:color="auto"/>
        <w:left w:val="none" w:sz="0" w:space="0" w:color="auto"/>
        <w:bottom w:val="none" w:sz="0" w:space="0" w:color="auto"/>
        <w:right w:val="none" w:sz="0" w:space="0" w:color="auto"/>
      </w:divBdr>
    </w:div>
    <w:div w:id="1279990722">
      <w:bodyDiv w:val="1"/>
      <w:marLeft w:val="0"/>
      <w:marRight w:val="0"/>
      <w:marTop w:val="0"/>
      <w:marBottom w:val="0"/>
      <w:divBdr>
        <w:top w:val="none" w:sz="0" w:space="0" w:color="auto"/>
        <w:left w:val="none" w:sz="0" w:space="0" w:color="auto"/>
        <w:bottom w:val="none" w:sz="0" w:space="0" w:color="auto"/>
        <w:right w:val="none" w:sz="0" w:space="0" w:color="auto"/>
      </w:divBdr>
    </w:div>
    <w:div w:id="1280062610">
      <w:bodyDiv w:val="1"/>
      <w:marLeft w:val="0"/>
      <w:marRight w:val="0"/>
      <w:marTop w:val="0"/>
      <w:marBottom w:val="0"/>
      <w:divBdr>
        <w:top w:val="none" w:sz="0" w:space="0" w:color="auto"/>
        <w:left w:val="none" w:sz="0" w:space="0" w:color="auto"/>
        <w:bottom w:val="none" w:sz="0" w:space="0" w:color="auto"/>
        <w:right w:val="none" w:sz="0" w:space="0" w:color="auto"/>
      </w:divBdr>
    </w:div>
    <w:div w:id="1280183537">
      <w:bodyDiv w:val="1"/>
      <w:marLeft w:val="0"/>
      <w:marRight w:val="0"/>
      <w:marTop w:val="0"/>
      <w:marBottom w:val="0"/>
      <w:divBdr>
        <w:top w:val="none" w:sz="0" w:space="0" w:color="auto"/>
        <w:left w:val="none" w:sz="0" w:space="0" w:color="auto"/>
        <w:bottom w:val="none" w:sz="0" w:space="0" w:color="auto"/>
        <w:right w:val="none" w:sz="0" w:space="0" w:color="auto"/>
      </w:divBdr>
    </w:div>
    <w:div w:id="1280186364">
      <w:bodyDiv w:val="1"/>
      <w:marLeft w:val="0"/>
      <w:marRight w:val="0"/>
      <w:marTop w:val="0"/>
      <w:marBottom w:val="0"/>
      <w:divBdr>
        <w:top w:val="none" w:sz="0" w:space="0" w:color="auto"/>
        <w:left w:val="none" w:sz="0" w:space="0" w:color="auto"/>
        <w:bottom w:val="none" w:sz="0" w:space="0" w:color="auto"/>
        <w:right w:val="none" w:sz="0" w:space="0" w:color="auto"/>
      </w:divBdr>
    </w:div>
    <w:div w:id="1280263674">
      <w:bodyDiv w:val="1"/>
      <w:marLeft w:val="0"/>
      <w:marRight w:val="0"/>
      <w:marTop w:val="0"/>
      <w:marBottom w:val="0"/>
      <w:divBdr>
        <w:top w:val="none" w:sz="0" w:space="0" w:color="auto"/>
        <w:left w:val="none" w:sz="0" w:space="0" w:color="auto"/>
        <w:bottom w:val="none" w:sz="0" w:space="0" w:color="auto"/>
        <w:right w:val="none" w:sz="0" w:space="0" w:color="auto"/>
      </w:divBdr>
    </w:div>
    <w:div w:id="1280332674">
      <w:bodyDiv w:val="1"/>
      <w:marLeft w:val="0"/>
      <w:marRight w:val="0"/>
      <w:marTop w:val="0"/>
      <w:marBottom w:val="0"/>
      <w:divBdr>
        <w:top w:val="none" w:sz="0" w:space="0" w:color="auto"/>
        <w:left w:val="none" w:sz="0" w:space="0" w:color="auto"/>
        <w:bottom w:val="none" w:sz="0" w:space="0" w:color="auto"/>
        <w:right w:val="none" w:sz="0" w:space="0" w:color="auto"/>
      </w:divBdr>
    </w:div>
    <w:div w:id="1280338674">
      <w:bodyDiv w:val="1"/>
      <w:marLeft w:val="0"/>
      <w:marRight w:val="0"/>
      <w:marTop w:val="0"/>
      <w:marBottom w:val="0"/>
      <w:divBdr>
        <w:top w:val="none" w:sz="0" w:space="0" w:color="auto"/>
        <w:left w:val="none" w:sz="0" w:space="0" w:color="auto"/>
        <w:bottom w:val="none" w:sz="0" w:space="0" w:color="auto"/>
        <w:right w:val="none" w:sz="0" w:space="0" w:color="auto"/>
      </w:divBdr>
    </w:div>
    <w:div w:id="1280340194">
      <w:bodyDiv w:val="1"/>
      <w:marLeft w:val="0"/>
      <w:marRight w:val="0"/>
      <w:marTop w:val="0"/>
      <w:marBottom w:val="0"/>
      <w:divBdr>
        <w:top w:val="none" w:sz="0" w:space="0" w:color="auto"/>
        <w:left w:val="none" w:sz="0" w:space="0" w:color="auto"/>
        <w:bottom w:val="none" w:sz="0" w:space="0" w:color="auto"/>
        <w:right w:val="none" w:sz="0" w:space="0" w:color="auto"/>
      </w:divBdr>
    </w:div>
    <w:div w:id="1280449974">
      <w:bodyDiv w:val="1"/>
      <w:marLeft w:val="0"/>
      <w:marRight w:val="0"/>
      <w:marTop w:val="0"/>
      <w:marBottom w:val="0"/>
      <w:divBdr>
        <w:top w:val="none" w:sz="0" w:space="0" w:color="auto"/>
        <w:left w:val="none" w:sz="0" w:space="0" w:color="auto"/>
        <w:bottom w:val="none" w:sz="0" w:space="0" w:color="auto"/>
        <w:right w:val="none" w:sz="0" w:space="0" w:color="auto"/>
      </w:divBdr>
    </w:div>
    <w:div w:id="1280600885">
      <w:bodyDiv w:val="1"/>
      <w:marLeft w:val="0"/>
      <w:marRight w:val="0"/>
      <w:marTop w:val="0"/>
      <w:marBottom w:val="0"/>
      <w:divBdr>
        <w:top w:val="none" w:sz="0" w:space="0" w:color="auto"/>
        <w:left w:val="none" w:sz="0" w:space="0" w:color="auto"/>
        <w:bottom w:val="none" w:sz="0" w:space="0" w:color="auto"/>
        <w:right w:val="none" w:sz="0" w:space="0" w:color="auto"/>
      </w:divBdr>
    </w:div>
    <w:div w:id="1280721776">
      <w:bodyDiv w:val="1"/>
      <w:marLeft w:val="0"/>
      <w:marRight w:val="0"/>
      <w:marTop w:val="0"/>
      <w:marBottom w:val="0"/>
      <w:divBdr>
        <w:top w:val="none" w:sz="0" w:space="0" w:color="auto"/>
        <w:left w:val="none" w:sz="0" w:space="0" w:color="auto"/>
        <w:bottom w:val="none" w:sz="0" w:space="0" w:color="auto"/>
        <w:right w:val="none" w:sz="0" w:space="0" w:color="auto"/>
      </w:divBdr>
    </w:div>
    <w:div w:id="1280794129">
      <w:bodyDiv w:val="1"/>
      <w:marLeft w:val="0"/>
      <w:marRight w:val="0"/>
      <w:marTop w:val="0"/>
      <w:marBottom w:val="0"/>
      <w:divBdr>
        <w:top w:val="none" w:sz="0" w:space="0" w:color="auto"/>
        <w:left w:val="none" w:sz="0" w:space="0" w:color="auto"/>
        <w:bottom w:val="none" w:sz="0" w:space="0" w:color="auto"/>
        <w:right w:val="none" w:sz="0" w:space="0" w:color="auto"/>
      </w:divBdr>
    </w:div>
    <w:div w:id="1280796201">
      <w:bodyDiv w:val="1"/>
      <w:marLeft w:val="0"/>
      <w:marRight w:val="0"/>
      <w:marTop w:val="0"/>
      <w:marBottom w:val="0"/>
      <w:divBdr>
        <w:top w:val="none" w:sz="0" w:space="0" w:color="auto"/>
        <w:left w:val="none" w:sz="0" w:space="0" w:color="auto"/>
        <w:bottom w:val="none" w:sz="0" w:space="0" w:color="auto"/>
        <w:right w:val="none" w:sz="0" w:space="0" w:color="auto"/>
      </w:divBdr>
    </w:div>
    <w:div w:id="1281448066">
      <w:bodyDiv w:val="1"/>
      <w:marLeft w:val="0"/>
      <w:marRight w:val="0"/>
      <w:marTop w:val="0"/>
      <w:marBottom w:val="0"/>
      <w:divBdr>
        <w:top w:val="none" w:sz="0" w:space="0" w:color="auto"/>
        <w:left w:val="none" w:sz="0" w:space="0" w:color="auto"/>
        <w:bottom w:val="none" w:sz="0" w:space="0" w:color="auto"/>
        <w:right w:val="none" w:sz="0" w:space="0" w:color="auto"/>
      </w:divBdr>
    </w:div>
    <w:div w:id="1281571797">
      <w:bodyDiv w:val="1"/>
      <w:marLeft w:val="0"/>
      <w:marRight w:val="0"/>
      <w:marTop w:val="0"/>
      <w:marBottom w:val="0"/>
      <w:divBdr>
        <w:top w:val="none" w:sz="0" w:space="0" w:color="auto"/>
        <w:left w:val="none" w:sz="0" w:space="0" w:color="auto"/>
        <w:bottom w:val="none" w:sz="0" w:space="0" w:color="auto"/>
        <w:right w:val="none" w:sz="0" w:space="0" w:color="auto"/>
      </w:divBdr>
    </w:div>
    <w:div w:id="1281572753">
      <w:bodyDiv w:val="1"/>
      <w:marLeft w:val="0"/>
      <w:marRight w:val="0"/>
      <w:marTop w:val="0"/>
      <w:marBottom w:val="0"/>
      <w:divBdr>
        <w:top w:val="none" w:sz="0" w:space="0" w:color="auto"/>
        <w:left w:val="none" w:sz="0" w:space="0" w:color="auto"/>
        <w:bottom w:val="none" w:sz="0" w:space="0" w:color="auto"/>
        <w:right w:val="none" w:sz="0" w:space="0" w:color="auto"/>
      </w:divBdr>
    </w:div>
    <w:div w:id="1281765030">
      <w:bodyDiv w:val="1"/>
      <w:marLeft w:val="0"/>
      <w:marRight w:val="0"/>
      <w:marTop w:val="0"/>
      <w:marBottom w:val="0"/>
      <w:divBdr>
        <w:top w:val="none" w:sz="0" w:space="0" w:color="auto"/>
        <w:left w:val="none" w:sz="0" w:space="0" w:color="auto"/>
        <w:bottom w:val="none" w:sz="0" w:space="0" w:color="auto"/>
        <w:right w:val="none" w:sz="0" w:space="0" w:color="auto"/>
      </w:divBdr>
    </w:div>
    <w:div w:id="1281766243">
      <w:bodyDiv w:val="1"/>
      <w:marLeft w:val="0"/>
      <w:marRight w:val="0"/>
      <w:marTop w:val="0"/>
      <w:marBottom w:val="0"/>
      <w:divBdr>
        <w:top w:val="none" w:sz="0" w:space="0" w:color="auto"/>
        <w:left w:val="none" w:sz="0" w:space="0" w:color="auto"/>
        <w:bottom w:val="none" w:sz="0" w:space="0" w:color="auto"/>
        <w:right w:val="none" w:sz="0" w:space="0" w:color="auto"/>
      </w:divBdr>
    </w:div>
    <w:div w:id="1281955570">
      <w:bodyDiv w:val="1"/>
      <w:marLeft w:val="0"/>
      <w:marRight w:val="0"/>
      <w:marTop w:val="0"/>
      <w:marBottom w:val="0"/>
      <w:divBdr>
        <w:top w:val="none" w:sz="0" w:space="0" w:color="auto"/>
        <w:left w:val="none" w:sz="0" w:space="0" w:color="auto"/>
        <w:bottom w:val="none" w:sz="0" w:space="0" w:color="auto"/>
        <w:right w:val="none" w:sz="0" w:space="0" w:color="auto"/>
      </w:divBdr>
    </w:div>
    <w:div w:id="1282103222">
      <w:bodyDiv w:val="1"/>
      <w:marLeft w:val="0"/>
      <w:marRight w:val="0"/>
      <w:marTop w:val="0"/>
      <w:marBottom w:val="0"/>
      <w:divBdr>
        <w:top w:val="none" w:sz="0" w:space="0" w:color="auto"/>
        <w:left w:val="none" w:sz="0" w:space="0" w:color="auto"/>
        <w:bottom w:val="none" w:sz="0" w:space="0" w:color="auto"/>
        <w:right w:val="none" w:sz="0" w:space="0" w:color="auto"/>
      </w:divBdr>
    </w:div>
    <w:div w:id="1282221463">
      <w:bodyDiv w:val="1"/>
      <w:marLeft w:val="0"/>
      <w:marRight w:val="0"/>
      <w:marTop w:val="0"/>
      <w:marBottom w:val="0"/>
      <w:divBdr>
        <w:top w:val="none" w:sz="0" w:space="0" w:color="auto"/>
        <w:left w:val="none" w:sz="0" w:space="0" w:color="auto"/>
        <w:bottom w:val="none" w:sz="0" w:space="0" w:color="auto"/>
        <w:right w:val="none" w:sz="0" w:space="0" w:color="auto"/>
      </w:divBdr>
    </w:div>
    <w:div w:id="1282226065">
      <w:bodyDiv w:val="1"/>
      <w:marLeft w:val="0"/>
      <w:marRight w:val="0"/>
      <w:marTop w:val="0"/>
      <w:marBottom w:val="0"/>
      <w:divBdr>
        <w:top w:val="none" w:sz="0" w:space="0" w:color="auto"/>
        <w:left w:val="none" w:sz="0" w:space="0" w:color="auto"/>
        <w:bottom w:val="none" w:sz="0" w:space="0" w:color="auto"/>
        <w:right w:val="none" w:sz="0" w:space="0" w:color="auto"/>
      </w:divBdr>
    </w:div>
    <w:div w:id="1282343075">
      <w:bodyDiv w:val="1"/>
      <w:marLeft w:val="0"/>
      <w:marRight w:val="0"/>
      <w:marTop w:val="0"/>
      <w:marBottom w:val="0"/>
      <w:divBdr>
        <w:top w:val="none" w:sz="0" w:space="0" w:color="auto"/>
        <w:left w:val="none" w:sz="0" w:space="0" w:color="auto"/>
        <w:bottom w:val="none" w:sz="0" w:space="0" w:color="auto"/>
        <w:right w:val="none" w:sz="0" w:space="0" w:color="auto"/>
      </w:divBdr>
    </w:div>
    <w:div w:id="1282346766">
      <w:bodyDiv w:val="1"/>
      <w:marLeft w:val="0"/>
      <w:marRight w:val="0"/>
      <w:marTop w:val="0"/>
      <w:marBottom w:val="0"/>
      <w:divBdr>
        <w:top w:val="none" w:sz="0" w:space="0" w:color="auto"/>
        <w:left w:val="none" w:sz="0" w:space="0" w:color="auto"/>
        <w:bottom w:val="none" w:sz="0" w:space="0" w:color="auto"/>
        <w:right w:val="none" w:sz="0" w:space="0" w:color="auto"/>
      </w:divBdr>
    </w:div>
    <w:div w:id="1282567475">
      <w:bodyDiv w:val="1"/>
      <w:marLeft w:val="0"/>
      <w:marRight w:val="0"/>
      <w:marTop w:val="0"/>
      <w:marBottom w:val="0"/>
      <w:divBdr>
        <w:top w:val="none" w:sz="0" w:space="0" w:color="auto"/>
        <w:left w:val="none" w:sz="0" w:space="0" w:color="auto"/>
        <w:bottom w:val="none" w:sz="0" w:space="0" w:color="auto"/>
        <w:right w:val="none" w:sz="0" w:space="0" w:color="auto"/>
      </w:divBdr>
    </w:div>
    <w:div w:id="1282685866">
      <w:bodyDiv w:val="1"/>
      <w:marLeft w:val="0"/>
      <w:marRight w:val="0"/>
      <w:marTop w:val="0"/>
      <w:marBottom w:val="0"/>
      <w:divBdr>
        <w:top w:val="none" w:sz="0" w:space="0" w:color="auto"/>
        <w:left w:val="none" w:sz="0" w:space="0" w:color="auto"/>
        <w:bottom w:val="none" w:sz="0" w:space="0" w:color="auto"/>
        <w:right w:val="none" w:sz="0" w:space="0" w:color="auto"/>
      </w:divBdr>
    </w:div>
    <w:div w:id="1282691911">
      <w:bodyDiv w:val="1"/>
      <w:marLeft w:val="0"/>
      <w:marRight w:val="0"/>
      <w:marTop w:val="0"/>
      <w:marBottom w:val="0"/>
      <w:divBdr>
        <w:top w:val="none" w:sz="0" w:space="0" w:color="auto"/>
        <w:left w:val="none" w:sz="0" w:space="0" w:color="auto"/>
        <w:bottom w:val="none" w:sz="0" w:space="0" w:color="auto"/>
        <w:right w:val="none" w:sz="0" w:space="0" w:color="auto"/>
      </w:divBdr>
    </w:div>
    <w:div w:id="1283269944">
      <w:bodyDiv w:val="1"/>
      <w:marLeft w:val="0"/>
      <w:marRight w:val="0"/>
      <w:marTop w:val="0"/>
      <w:marBottom w:val="0"/>
      <w:divBdr>
        <w:top w:val="none" w:sz="0" w:space="0" w:color="auto"/>
        <w:left w:val="none" w:sz="0" w:space="0" w:color="auto"/>
        <w:bottom w:val="none" w:sz="0" w:space="0" w:color="auto"/>
        <w:right w:val="none" w:sz="0" w:space="0" w:color="auto"/>
      </w:divBdr>
    </w:div>
    <w:div w:id="1283413678">
      <w:bodyDiv w:val="1"/>
      <w:marLeft w:val="0"/>
      <w:marRight w:val="0"/>
      <w:marTop w:val="0"/>
      <w:marBottom w:val="0"/>
      <w:divBdr>
        <w:top w:val="none" w:sz="0" w:space="0" w:color="auto"/>
        <w:left w:val="none" w:sz="0" w:space="0" w:color="auto"/>
        <w:bottom w:val="none" w:sz="0" w:space="0" w:color="auto"/>
        <w:right w:val="none" w:sz="0" w:space="0" w:color="auto"/>
      </w:divBdr>
    </w:div>
    <w:div w:id="1283417163">
      <w:bodyDiv w:val="1"/>
      <w:marLeft w:val="0"/>
      <w:marRight w:val="0"/>
      <w:marTop w:val="0"/>
      <w:marBottom w:val="0"/>
      <w:divBdr>
        <w:top w:val="none" w:sz="0" w:space="0" w:color="auto"/>
        <w:left w:val="none" w:sz="0" w:space="0" w:color="auto"/>
        <w:bottom w:val="none" w:sz="0" w:space="0" w:color="auto"/>
        <w:right w:val="none" w:sz="0" w:space="0" w:color="auto"/>
      </w:divBdr>
    </w:div>
    <w:div w:id="1283464113">
      <w:bodyDiv w:val="1"/>
      <w:marLeft w:val="0"/>
      <w:marRight w:val="0"/>
      <w:marTop w:val="0"/>
      <w:marBottom w:val="0"/>
      <w:divBdr>
        <w:top w:val="none" w:sz="0" w:space="0" w:color="auto"/>
        <w:left w:val="none" w:sz="0" w:space="0" w:color="auto"/>
        <w:bottom w:val="none" w:sz="0" w:space="0" w:color="auto"/>
        <w:right w:val="none" w:sz="0" w:space="0" w:color="auto"/>
      </w:divBdr>
    </w:div>
    <w:div w:id="1283804036">
      <w:bodyDiv w:val="1"/>
      <w:marLeft w:val="0"/>
      <w:marRight w:val="0"/>
      <w:marTop w:val="0"/>
      <w:marBottom w:val="0"/>
      <w:divBdr>
        <w:top w:val="none" w:sz="0" w:space="0" w:color="auto"/>
        <w:left w:val="none" w:sz="0" w:space="0" w:color="auto"/>
        <w:bottom w:val="none" w:sz="0" w:space="0" w:color="auto"/>
        <w:right w:val="none" w:sz="0" w:space="0" w:color="auto"/>
      </w:divBdr>
    </w:div>
    <w:div w:id="1283921174">
      <w:bodyDiv w:val="1"/>
      <w:marLeft w:val="0"/>
      <w:marRight w:val="0"/>
      <w:marTop w:val="0"/>
      <w:marBottom w:val="0"/>
      <w:divBdr>
        <w:top w:val="none" w:sz="0" w:space="0" w:color="auto"/>
        <w:left w:val="none" w:sz="0" w:space="0" w:color="auto"/>
        <w:bottom w:val="none" w:sz="0" w:space="0" w:color="auto"/>
        <w:right w:val="none" w:sz="0" w:space="0" w:color="auto"/>
      </w:divBdr>
    </w:div>
    <w:div w:id="1283923568">
      <w:bodyDiv w:val="1"/>
      <w:marLeft w:val="0"/>
      <w:marRight w:val="0"/>
      <w:marTop w:val="0"/>
      <w:marBottom w:val="0"/>
      <w:divBdr>
        <w:top w:val="none" w:sz="0" w:space="0" w:color="auto"/>
        <w:left w:val="none" w:sz="0" w:space="0" w:color="auto"/>
        <w:bottom w:val="none" w:sz="0" w:space="0" w:color="auto"/>
        <w:right w:val="none" w:sz="0" w:space="0" w:color="auto"/>
      </w:divBdr>
    </w:div>
    <w:div w:id="1284001105">
      <w:bodyDiv w:val="1"/>
      <w:marLeft w:val="0"/>
      <w:marRight w:val="0"/>
      <w:marTop w:val="0"/>
      <w:marBottom w:val="0"/>
      <w:divBdr>
        <w:top w:val="none" w:sz="0" w:space="0" w:color="auto"/>
        <w:left w:val="none" w:sz="0" w:space="0" w:color="auto"/>
        <w:bottom w:val="none" w:sz="0" w:space="0" w:color="auto"/>
        <w:right w:val="none" w:sz="0" w:space="0" w:color="auto"/>
      </w:divBdr>
    </w:div>
    <w:div w:id="1284069017">
      <w:bodyDiv w:val="1"/>
      <w:marLeft w:val="0"/>
      <w:marRight w:val="0"/>
      <w:marTop w:val="0"/>
      <w:marBottom w:val="0"/>
      <w:divBdr>
        <w:top w:val="none" w:sz="0" w:space="0" w:color="auto"/>
        <w:left w:val="none" w:sz="0" w:space="0" w:color="auto"/>
        <w:bottom w:val="none" w:sz="0" w:space="0" w:color="auto"/>
        <w:right w:val="none" w:sz="0" w:space="0" w:color="auto"/>
      </w:divBdr>
    </w:div>
    <w:div w:id="1284069515">
      <w:bodyDiv w:val="1"/>
      <w:marLeft w:val="0"/>
      <w:marRight w:val="0"/>
      <w:marTop w:val="0"/>
      <w:marBottom w:val="0"/>
      <w:divBdr>
        <w:top w:val="none" w:sz="0" w:space="0" w:color="auto"/>
        <w:left w:val="none" w:sz="0" w:space="0" w:color="auto"/>
        <w:bottom w:val="none" w:sz="0" w:space="0" w:color="auto"/>
        <w:right w:val="none" w:sz="0" w:space="0" w:color="auto"/>
      </w:divBdr>
    </w:div>
    <w:div w:id="1284074369">
      <w:bodyDiv w:val="1"/>
      <w:marLeft w:val="0"/>
      <w:marRight w:val="0"/>
      <w:marTop w:val="0"/>
      <w:marBottom w:val="0"/>
      <w:divBdr>
        <w:top w:val="none" w:sz="0" w:space="0" w:color="auto"/>
        <w:left w:val="none" w:sz="0" w:space="0" w:color="auto"/>
        <w:bottom w:val="none" w:sz="0" w:space="0" w:color="auto"/>
        <w:right w:val="none" w:sz="0" w:space="0" w:color="auto"/>
      </w:divBdr>
    </w:div>
    <w:div w:id="1284190159">
      <w:bodyDiv w:val="1"/>
      <w:marLeft w:val="0"/>
      <w:marRight w:val="0"/>
      <w:marTop w:val="0"/>
      <w:marBottom w:val="0"/>
      <w:divBdr>
        <w:top w:val="none" w:sz="0" w:space="0" w:color="auto"/>
        <w:left w:val="none" w:sz="0" w:space="0" w:color="auto"/>
        <w:bottom w:val="none" w:sz="0" w:space="0" w:color="auto"/>
        <w:right w:val="none" w:sz="0" w:space="0" w:color="auto"/>
      </w:divBdr>
    </w:div>
    <w:div w:id="1284192823">
      <w:bodyDiv w:val="1"/>
      <w:marLeft w:val="0"/>
      <w:marRight w:val="0"/>
      <w:marTop w:val="0"/>
      <w:marBottom w:val="0"/>
      <w:divBdr>
        <w:top w:val="none" w:sz="0" w:space="0" w:color="auto"/>
        <w:left w:val="none" w:sz="0" w:space="0" w:color="auto"/>
        <w:bottom w:val="none" w:sz="0" w:space="0" w:color="auto"/>
        <w:right w:val="none" w:sz="0" w:space="0" w:color="auto"/>
      </w:divBdr>
    </w:div>
    <w:div w:id="1284194825">
      <w:bodyDiv w:val="1"/>
      <w:marLeft w:val="0"/>
      <w:marRight w:val="0"/>
      <w:marTop w:val="0"/>
      <w:marBottom w:val="0"/>
      <w:divBdr>
        <w:top w:val="none" w:sz="0" w:space="0" w:color="auto"/>
        <w:left w:val="none" w:sz="0" w:space="0" w:color="auto"/>
        <w:bottom w:val="none" w:sz="0" w:space="0" w:color="auto"/>
        <w:right w:val="none" w:sz="0" w:space="0" w:color="auto"/>
      </w:divBdr>
    </w:div>
    <w:div w:id="1284267880">
      <w:bodyDiv w:val="1"/>
      <w:marLeft w:val="0"/>
      <w:marRight w:val="0"/>
      <w:marTop w:val="0"/>
      <w:marBottom w:val="0"/>
      <w:divBdr>
        <w:top w:val="none" w:sz="0" w:space="0" w:color="auto"/>
        <w:left w:val="none" w:sz="0" w:space="0" w:color="auto"/>
        <w:bottom w:val="none" w:sz="0" w:space="0" w:color="auto"/>
        <w:right w:val="none" w:sz="0" w:space="0" w:color="auto"/>
      </w:divBdr>
    </w:div>
    <w:div w:id="1284269138">
      <w:bodyDiv w:val="1"/>
      <w:marLeft w:val="0"/>
      <w:marRight w:val="0"/>
      <w:marTop w:val="0"/>
      <w:marBottom w:val="0"/>
      <w:divBdr>
        <w:top w:val="none" w:sz="0" w:space="0" w:color="auto"/>
        <w:left w:val="none" w:sz="0" w:space="0" w:color="auto"/>
        <w:bottom w:val="none" w:sz="0" w:space="0" w:color="auto"/>
        <w:right w:val="none" w:sz="0" w:space="0" w:color="auto"/>
      </w:divBdr>
    </w:div>
    <w:div w:id="1284383442">
      <w:bodyDiv w:val="1"/>
      <w:marLeft w:val="0"/>
      <w:marRight w:val="0"/>
      <w:marTop w:val="0"/>
      <w:marBottom w:val="0"/>
      <w:divBdr>
        <w:top w:val="none" w:sz="0" w:space="0" w:color="auto"/>
        <w:left w:val="none" w:sz="0" w:space="0" w:color="auto"/>
        <w:bottom w:val="none" w:sz="0" w:space="0" w:color="auto"/>
        <w:right w:val="none" w:sz="0" w:space="0" w:color="auto"/>
      </w:divBdr>
    </w:div>
    <w:div w:id="1284581552">
      <w:bodyDiv w:val="1"/>
      <w:marLeft w:val="0"/>
      <w:marRight w:val="0"/>
      <w:marTop w:val="0"/>
      <w:marBottom w:val="0"/>
      <w:divBdr>
        <w:top w:val="none" w:sz="0" w:space="0" w:color="auto"/>
        <w:left w:val="none" w:sz="0" w:space="0" w:color="auto"/>
        <w:bottom w:val="none" w:sz="0" w:space="0" w:color="auto"/>
        <w:right w:val="none" w:sz="0" w:space="0" w:color="auto"/>
      </w:divBdr>
    </w:div>
    <w:div w:id="1284657724">
      <w:bodyDiv w:val="1"/>
      <w:marLeft w:val="0"/>
      <w:marRight w:val="0"/>
      <w:marTop w:val="0"/>
      <w:marBottom w:val="0"/>
      <w:divBdr>
        <w:top w:val="none" w:sz="0" w:space="0" w:color="auto"/>
        <w:left w:val="none" w:sz="0" w:space="0" w:color="auto"/>
        <w:bottom w:val="none" w:sz="0" w:space="0" w:color="auto"/>
        <w:right w:val="none" w:sz="0" w:space="0" w:color="auto"/>
      </w:divBdr>
    </w:div>
    <w:div w:id="1284851129">
      <w:bodyDiv w:val="1"/>
      <w:marLeft w:val="0"/>
      <w:marRight w:val="0"/>
      <w:marTop w:val="0"/>
      <w:marBottom w:val="0"/>
      <w:divBdr>
        <w:top w:val="none" w:sz="0" w:space="0" w:color="auto"/>
        <w:left w:val="none" w:sz="0" w:space="0" w:color="auto"/>
        <w:bottom w:val="none" w:sz="0" w:space="0" w:color="auto"/>
        <w:right w:val="none" w:sz="0" w:space="0" w:color="auto"/>
      </w:divBdr>
    </w:div>
    <w:div w:id="1284995942">
      <w:bodyDiv w:val="1"/>
      <w:marLeft w:val="0"/>
      <w:marRight w:val="0"/>
      <w:marTop w:val="0"/>
      <w:marBottom w:val="0"/>
      <w:divBdr>
        <w:top w:val="none" w:sz="0" w:space="0" w:color="auto"/>
        <w:left w:val="none" w:sz="0" w:space="0" w:color="auto"/>
        <w:bottom w:val="none" w:sz="0" w:space="0" w:color="auto"/>
        <w:right w:val="none" w:sz="0" w:space="0" w:color="auto"/>
      </w:divBdr>
    </w:div>
    <w:div w:id="1285044454">
      <w:bodyDiv w:val="1"/>
      <w:marLeft w:val="0"/>
      <w:marRight w:val="0"/>
      <w:marTop w:val="0"/>
      <w:marBottom w:val="0"/>
      <w:divBdr>
        <w:top w:val="none" w:sz="0" w:space="0" w:color="auto"/>
        <w:left w:val="none" w:sz="0" w:space="0" w:color="auto"/>
        <w:bottom w:val="none" w:sz="0" w:space="0" w:color="auto"/>
        <w:right w:val="none" w:sz="0" w:space="0" w:color="auto"/>
      </w:divBdr>
    </w:div>
    <w:div w:id="1285189357">
      <w:bodyDiv w:val="1"/>
      <w:marLeft w:val="0"/>
      <w:marRight w:val="0"/>
      <w:marTop w:val="0"/>
      <w:marBottom w:val="0"/>
      <w:divBdr>
        <w:top w:val="none" w:sz="0" w:space="0" w:color="auto"/>
        <w:left w:val="none" w:sz="0" w:space="0" w:color="auto"/>
        <w:bottom w:val="none" w:sz="0" w:space="0" w:color="auto"/>
        <w:right w:val="none" w:sz="0" w:space="0" w:color="auto"/>
      </w:divBdr>
    </w:div>
    <w:div w:id="1285191719">
      <w:bodyDiv w:val="1"/>
      <w:marLeft w:val="0"/>
      <w:marRight w:val="0"/>
      <w:marTop w:val="0"/>
      <w:marBottom w:val="0"/>
      <w:divBdr>
        <w:top w:val="none" w:sz="0" w:space="0" w:color="auto"/>
        <w:left w:val="none" w:sz="0" w:space="0" w:color="auto"/>
        <w:bottom w:val="none" w:sz="0" w:space="0" w:color="auto"/>
        <w:right w:val="none" w:sz="0" w:space="0" w:color="auto"/>
      </w:divBdr>
    </w:div>
    <w:div w:id="1285308379">
      <w:bodyDiv w:val="1"/>
      <w:marLeft w:val="0"/>
      <w:marRight w:val="0"/>
      <w:marTop w:val="0"/>
      <w:marBottom w:val="0"/>
      <w:divBdr>
        <w:top w:val="none" w:sz="0" w:space="0" w:color="auto"/>
        <w:left w:val="none" w:sz="0" w:space="0" w:color="auto"/>
        <w:bottom w:val="none" w:sz="0" w:space="0" w:color="auto"/>
        <w:right w:val="none" w:sz="0" w:space="0" w:color="auto"/>
      </w:divBdr>
    </w:div>
    <w:div w:id="1285499040">
      <w:bodyDiv w:val="1"/>
      <w:marLeft w:val="0"/>
      <w:marRight w:val="0"/>
      <w:marTop w:val="0"/>
      <w:marBottom w:val="0"/>
      <w:divBdr>
        <w:top w:val="none" w:sz="0" w:space="0" w:color="auto"/>
        <w:left w:val="none" w:sz="0" w:space="0" w:color="auto"/>
        <w:bottom w:val="none" w:sz="0" w:space="0" w:color="auto"/>
        <w:right w:val="none" w:sz="0" w:space="0" w:color="auto"/>
      </w:divBdr>
    </w:div>
    <w:div w:id="1285505436">
      <w:bodyDiv w:val="1"/>
      <w:marLeft w:val="0"/>
      <w:marRight w:val="0"/>
      <w:marTop w:val="0"/>
      <w:marBottom w:val="0"/>
      <w:divBdr>
        <w:top w:val="none" w:sz="0" w:space="0" w:color="auto"/>
        <w:left w:val="none" w:sz="0" w:space="0" w:color="auto"/>
        <w:bottom w:val="none" w:sz="0" w:space="0" w:color="auto"/>
        <w:right w:val="none" w:sz="0" w:space="0" w:color="auto"/>
      </w:divBdr>
    </w:div>
    <w:div w:id="1285887766">
      <w:bodyDiv w:val="1"/>
      <w:marLeft w:val="0"/>
      <w:marRight w:val="0"/>
      <w:marTop w:val="0"/>
      <w:marBottom w:val="0"/>
      <w:divBdr>
        <w:top w:val="none" w:sz="0" w:space="0" w:color="auto"/>
        <w:left w:val="none" w:sz="0" w:space="0" w:color="auto"/>
        <w:bottom w:val="none" w:sz="0" w:space="0" w:color="auto"/>
        <w:right w:val="none" w:sz="0" w:space="0" w:color="auto"/>
      </w:divBdr>
    </w:div>
    <w:div w:id="1286036042">
      <w:bodyDiv w:val="1"/>
      <w:marLeft w:val="0"/>
      <w:marRight w:val="0"/>
      <w:marTop w:val="0"/>
      <w:marBottom w:val="0"/>
      <w:divBdr>
        <w:top w:val="none" w:sz="0" w:space="0" w:color="auto"/>
        <w:left w:val="none" w:sz="0" w:space="0" w:color="auto"/>
        <w:bottom w:val="none" w:sz="0" w:space="0" w:color="auto"/>
        <w:right w:val="none" w:sz="0" w:space="0" w:color="auto"/>
      </w:divBdr>
    </w:div>
    <w:div w:id="1286543360">
      <w:bodyDiv w:val="1"/>
      <w:marLeft w:val="0"/>
      <w:marRight w:val="0"/>
      <w:marTop w:val="0"/>
      <w:marBottom w:val="0"/>
      <w:divBdr>
        <w:top w:val="none" w:sz="0" w:space="0" w:color="auto"/>
        <w:left w:val="none" w:sz="0" w:space="0" w:color="auto"/>
        <w:bottom w:val="none" w:sz="0" w:space="0" w:color="auto"/>
        <w:right w:val="none" w:sz="0" w:space="0" w:color="auto"/>
      </w:divBdr>
    </w:div>
    <w:div w:id="1286816991">
      <w:bodyDiv w:val="1"/>
      <w:marLeft w:val="0"/>
      <w:marRight w:val="0"/>
      <w:marTop w:val="0"/>
      <w:marBottom w:val="0"/>
      <w:divBdr>
        <w:top w:val="none" w:sz="0" w:space="0" w:color="auto"/>
        <w:left w:val="none" w:sz="0" w:space="0" w:color="auto"/>
        <w:bottom w:val="none" w:sz="0" w:space="0" w:color="auto"/>
        <w:right w:val="none" w:sz="0" w:space="0" w:color="auto"/>
      </w:divBdr>
    </w:div>
    <w:div w:id="1286883259">
      <w:bodyDiv w:val="1"/>
      <w:marLeft w:val="0"/>
      <w:marRight w:val="0"/>
      <w:marTop w:val="0"/>
      <w:marBottom w:val="0"/>
      <w:divBdr>
        <w:top w:val="none" w:sz="0" w:space="0" w:color="auto"/>
        <w:left w:val="none" w:sz="0" w:space="0" w:color="auto"/>
        <w:bottom w:val="none" w:sz="0" w:space="0" w:color="auto"/>
        <w:right w:val="none" w:sz="0" w:space="0" w:color="auto"/>
      </w:divBdr>
    </w:div>
    <w:div w:id="1286887511">
      <w:bodyDiv w:val="1"/>
      <w:marLeft w:val="0"/>
      <w:marRight w:val="0"/>
      <w:marTop w:val="0"/>
      <w:marBottom w:val="0"/>
      <w:divBdr>
        <w:top w:val="none" w:sz="0" w:space="0" w:color="auto"/>
        <w:left w:val="none" w:sz="0" w:space="0" w:color="auto"/>
        <w:bottom w:val="none" w:sz="0" w:space="0" w:color="auto"/>
        <w:right w:val="none" w:sz="0" w:space="0" w:color="auto"/>
      </w:divBdr>
    </w:div>
    <w:div w:id="1287001713">
      <w:bodyDiv w:val="1"/>
      <w:marLeft w:val="0"/>
      <w:marRight w:val="0"/>
      <w:marTop w:val="0"/>
      <w:marBottom w:val="0"/>
      <w:divBdr>
        <w:top w:val="none" w:sz="0" w:space="0" w:color="auto"/>
        <w:left w:val="none" w:sz="0" w:space="0" w:color="auto"/>
        <w:bottom w:val="none" w:sz="0" w:space="0" w:color="auto"/>
        <w:right w:val="none" w:sz="0" w:space="0" w:color="auto"/>
      </w:divBdr>
    </w:div>
    <w:div w:id="1287080117">
      <w:bodyDiv w:val="1"/>
      <w:marLeft w:val="0"/>
      <w:marRight w:val="0"/>
      <w:marTop w:val="0"/>
      <w:marBottom w:val="0"/>
      <w:divBdr>
        <w:top w:val="none" w:sz="0" w:space="0" w:color="auto"/>
        <w:left w:val="none" w:sz="0" w:space="0" w:color="auto"/>
        <w:bottom w:val="none" w:sz="0" w:space="0" w:color="auto"/>
        <w:right w:val="none" w:sz="0" w:space="0" w:color="auto"/>
      </w:divBdr>
    </w:div>
    <w:div w:id="1287128434">
      <w:bodyDiv w:val="1"/>
      <w:marLeft w:val="0"/>
      <w:marRight w:val="0"/>
      <w:marTop w:val="0"/>
      <w:marBottom w:val="0"/>
      <w:divBdr>
        <w:top w:val="none" w:sz="0" w:space="0" w:color="auto"/>
        <w:left w:val="none" w:sz="0" w:space="0" w:color="auto"/>
        <w:bottom w:val="none" w:sz="0" w:space="0" w:color="auto"/>
        <w:right w:val="none" w:sz="0" w:space="0" w:color="auto"/>
      </w:divBdr>
    </w:div>
    <w:div w:id="1287153314">
      <w:bodyDiv w:val="1"/>
      <w:marLeft w:val="0"/>
      <w:marRight w:val="0"/>
      <w:marTop w:val="0"/>
      <w:marBottom w:val="0"/>
      <w:divBdr>
        <w:top w:val="none" w:sz="0" w:space="0" w:color="auto"/>
        <w:left w:val="none" w:sz="0" w:space="0" w:color="auto"/>
        <w:bottom w:val="none" w:sz="0" w:space="0" w:color="auto"/>
        <w:right w:val="none" w:sz="0" w:space="0" w:color="auto"/>
      </w:divBdr>
    </w:div>
    <w:div w:id="1287278101">
      <w:bodyDiv w:val="1"/>
      <w:marLeft w:val="0"/>
      <w:marRight w:val="0"/>
      <w:marTop w:val="0"/>
      <w:marBottom w:val="0"/>
      <w:divBdr>
        <w:top w:val="none" w:sz="0" w:space="0" w:color="auto"/>
        <w:left w:val="none" w:sz="0" w:space="0" w:color="auto"/>
        <w:bottom w:val="none" w:sz="0" w:space="0" w:color="auto"/>
        <w:right w:val="none" w:sz="0" w:space="0" w:color="auto"/>
      </w:divBdr>
    </w:div>
    <w:div w:id="1287345952">
      <w:bodyDiv w:val="1"/>
      <w:marLeft w:val="0"/>
      <w:marRight w:val="0"/>
      <w:marTop w:val="0"/>
      <w:marBottom w:val="0"/>
      <w:divBdr>
        <w:top w:val="none" w:sz="0" w:space="0" w:color="auto"/>
        <w:left w:val="none" w:sz="0" w:space="0" w:color="auto"/>
        <w:bottom w:val="none" w:sz="0" w:space="0" w:color="auto"/>
        <w:right w:val="none" w:sz="0" w:space="0" w:color="auto"/>
      </w:divBdr>
    </w:div>
    <w:div w:id="1287353667">
      <w:bodyDiv w:val="1"/>
      <w:marLeft w:val="0"/>
      <w:marRight w:val="0"/>
      <w:marTop w:val="0"/>
      <w:marBottom w:val="0"/>
      <w:divBdr>
        <w:top w:val="none" w:sz="0" w:space="0" w:color="auto"/>
        <w:left w:val="none" w:sz="0" w:space="0" w:color="auto"/>
        <w:bottom w:val="none" w:sz="0" w:space="0" w:color="auto"/>
        <w:right w:val="none" w:sz="0" w:space="0" w:color="auto"/>
      </w:divBdr>
    </w:div>
    <w:div w:id="1287539545">
      <w:bodyDiv w:val="1"/>
      <w:marLeft w:val="0"/>
      <w:marRight w:val="0"/>
      <w:marTop w:val="0"/>
      <w:marBottom w:val="0"/>
      <w:divBdr>
        <w:top w:val="none" w:sz="0" w:space="0" w:color="auto"/>
        <w:left w:val="none" w:sz="0" w:space="0" w:color="auto"/>
        <w:bottom w:val="none" w:sz="0" w:space="0" w:color="auto"/>
        <w:right w:val="none" w:sz="0" w:space="0" w:color="auto"/>
      </w:divBdr>
    </w:div>
    <w:div w:id="1287657137">
      <w:bodyDiv w:val="1"/>
      <w:marLeft w:val="0"/>
      <w:marRight w:val="0"/>
      <w:marTop w:val="0"/>
      <w:marBottom w:val="0"/>
      <w:divBdr>
        <w:top w:val="none" w:sz="0" w:space="0" w:color="auto"/>
        <w:left w:val="none" w:sz="0" w:space="0" w:color="auto"/>
        <w:bottom w:val="none" w:sz="0" w:space="0" w:color="auto"/>
        <w:right w:val="none" w:sz="0" w:space="0" w:color="auto"/>
      </w:divBdr>
    </w:div>
    <w:div w:id="1287812130">
      <w:bodyDiv w:val="1"/>
      <w:marLeft w:val="0"/>
      <w:marRight w:val="0"/>
      <w:marTop w:val="0"/>
      <w:marBottom w:val="0"/>
      <w:divBdr>
        <w:top w:val="none" w:sz="0" w:space="0" w:color="auto"/>
        <w:left w:val="none" w:sz="0" w:space="0" w:color="auto"/>
        <w:bottom w:val="none" w:sz="0" w:space="0" w:color="auto"/>
        <w:right w:val="none" w:sz="0" w:space="0" w:color="auto"/>
      </w:divBdr>
    </w:div>
    <w:div w:id="1287925693">
      <w:bodyDiv w:val="1"/>
      <w:marLeft w:val="0"/>
      <w:marRight w:val="0"/>
      <w:marTop w:val="0"/>
      <w:marBottom w:val="0"/>
      <w:divBdr>
        <w:top w:val="none" w:sz="0" w:space="0" w:color="auto"/>
        <w:left w:val="none" w:sz="0" w:space="0" w:color="auto"/>
        <w:bottom w:val="none" w:sz="0" w:space="0" w:color="auto"/>
        <w:right w:val="none" w:sz="0" w:space="0" w:color="auto"/>
      </w:divBdr>
    </w:div>
    <w:div w:id="1287927151">
      <w:bodyDiv w:val="1"/>
      <w:marLeft w:val="0"/>
      <w:marRight w:val="0"/>
      <w:marTop w:val="0"/>
      <w:marBottom w:val="0"/>
      <w:divBdr>
        <w:top w:val="none" w:sz="0" w:space="0" w:color="auto"/>
        <w:left w:val="none" w:sz="0" w:space="0" w:color="auto"/>
        <w:bottom w:val="none" w:sz="0" w:space="0" w:color="auto"/>
        <w:right w:val="none" w:sz="0" w:space="0" w:color="auto"/>
      </w:divBdr>
    </w:div>
    <w:div w:id="1288002570">
      <w:bodyDiv w:val="1"/>
      <w:marLeft w:val="0"/>
      <w:marRight w:val="0"/>
      <w:marTop w:val="0"/>
      <w:marBottom w:val="0"/>
      <w:divBdr>
        <w:top w:val="none" w:sz="0" w:space="0" w:color="auto"/>
        <w:left w:val="none" w:sz="0" w:space="0" w:color="auto"/>
        <w:bottom w:val="none" w:sz="0" w:space="0" w:color="auto"/>
        <w:right w:val="none" w:sz="0" w:space="0" w:color="auto"/>
      </w:divBdr>
    </w:div>
    <w:div w:id="1288077066">
      <w:bodyDiv w:val="1"/>
      <w:marLeft w:val="0"/>
      <w:marRight w:val="0"/>
      <w:marTop w:val="0"/>
      <w:marBottom w:val="0"/>
      <w:divBdr>
        <w:top w:val="none" w:sz="0" w:space="0" w:color="auto"/>
        <w:left w:val="none" w:sz="0" w:space="0" w:color="auto"/>
        <w:bottom w:val="none" w:sz="0" w:space="0" w:color="auto"/>
        <w:right w:val="none" w:sz="0" w:space="0" w:color="auto"/>
      </w:divBdr>
    </w:div>
    <w:div w:id="1288242670">
      <w:bodyDiv w:val="1"/>
      <w:marLeft w:val="0"/>
      <w:marRight w:val="0"/>
      <w:marTop w:val="0"/>
      <w:marBottom w:val="0"/>
      <w:divBdr>
        <w:top w:val="none" w:sz="0" w:space="0" w:color="auto"/>
        <w:left w:val="none" w:sz="0" w:space="0" w:color="auto"/>
        <w:bottom w:val="none" w:sz="0" w:space="0" w:color="auto"/>
        <w:right w:val="none" w:sz="0" w:space="0" w:color="auto"/>
      </w:divBdr>
    </w:div>
    <w:div w:id="1288312194">
      <w:bodyDiv w:val="1"/>
      <w:marLeft w:val="0"/>
      <w:marRight w:val="0"/>
      <w:marTop w:val="0"/>
      <w:marBottom w:val="0"/>
      <w:divBdr>
        <w:top w:val="none" w:sz="0" w:space="0" w:color="auto"/>
        <w:left w:val="none" w:sz="0" w:space="0" w:color="auto"/>
        <w:bottom w:val="none" w:sz="0" w:space="0" w:color="auto"/>
        <w:right w:val="none" w:sz="0" w:space="0" w:color="auto"/>
      </w:divBdr>
    </w:div>
    <w:div w:id="1288316356">
      <w:bodyDiv w:val="1"/>
      <w:marLeft w:val="0"/>
      <w:marRight w:val="0"/>
      <w:marTop w:val="0"/>
      <w:marBottom w:val="0"/>
      <w:divBdr>
        <w:top w:val="none" w:sz="0" w:space="0" w:color="auto"/>
        <w:left w:val="none" w:sz="0" w:space="0" w:color="auto"/>
        <w:bottom w:val="none" w:sz="0" w:space="0" w:color="auto"/>
        <w:right w:val="none" w:sz="0" w:space="0" w:color="auto"/>
      </w:divBdr>
    </w:div>
    <w:div w:id="1288706788">
      <w:bodyDiv w:val="1"/>
      <w:marLeft w:val="0"/>
      <w:marRight w:val="0"/>
      <w:marTop w:val="0"/>
      <w:marBottom w:val="0"/>
      <w:divBdr>
        <w:top w:val="none" w:sz="0" w:space="0" w:color="auto"/>
        <w:left w:val="none" w:sz="0" w:space="0" w:color="auto"/>
        <w:bottom w:val="none" w:sz="0" w:space="0" w:color="auto"/>
        <w:right w:val="none" w:sz="0" w:space="0" w:color="auto"/>
      </w:divBdr>
    </w:div>
    <w:div w:id="1288778971">
      <w:bodyDiv w:val="1"/>
      <w:marLeft w:val="0"/>
      <w:marRight w:val="0"/>
      <w:marTop w:val="0"/>
      <w:marBottom w:val="0"/>
      <w:divBdr>
        <w:top w:val="none" w:sz="0" w:space="0" w:color="auto"/>
        <w:left w:val="none" w:sz="0" w:space="0" w:color="auto"/>
        <w:bottom w:val="none" w:sz="0" w:space="0" w:color="auto"/>
        <w:right w:val="none" w:sz="0" w:space="0" w:color="auto"/>
      </w:divBdr>
    </w:div>
    <w:div w:id="1288782312">
      <w:bodyDiv w:val="1"/>
      <w:marLeft w:val="0"/>
      <w:marRight w:val="0"/>
      <w:marTop w:val="0"/>
      <w:marBottom w:val="0"/>
      <w:divBdr>
        <w:top w:val="none" w:sz="0" w:space="0" w:color="auto"/>
        <w:left w:val="none" w:sz="0" w:space="0" w:color="auto"/>
        <w:bottom w:val="none" w:sz="0" w:space="0" w:color="auto"/>
        <w:right w:val="none" w:sz="0" w:space="0" w:color="auto"/>
      </w:divBdr>
    </w:div>
    <w:div w:id="1289124544">
      <w:bodyDiv w:val="1"/>
      <w:marLeft w:val="0"/>
      <w:marRight w:val="0"/>
      <w:marTop w:val="0"/>
      <w:marBottom w:val="0"/>
      <w:divBdr>
        <w:top w:val="none" w:sz="0" w:space="0" w:color="auto"/>
        <w:left w:val="none" w:sz="0" w:space="0" w:color="auto"/>
        <w:bottom w:val="none" w:sz="0" w:space="0" w:color="auto"/>
        <w:right w:val="none" w:sz="0" w:space="0" w:color="auto"/>
      </w:divBdr>
    </w:div>
    <w:div w:id="1289430238">
      <w:bodyDiv w:val="1"/>
      <w:marLeft w:val="0"/>
      <w:marRight w:val="0"/>
      <w:marTop w:val="0"/>
      <w:marBottom w:val="0"/>
      <w:divBdr>
        <w:top w:val="none" w:sz="0" w:space="0" w:color="auto"/>
        <w:left w:val="none" w:sz="0" w:space="0" w:color="auto"/>
        <w:bottom w:val="none" w:sz="0" w:space="0" w:color="auto"/>
        <w:right w:val="none" w:sz="0" w:space="0" w:color="auto"/>
      </w:divBdr>
    </w:div>
    <w:div w:id="1289511295">
      <w:bodyDiv w:val="1"/>
      <w:marLeft w:val="0"/>
      <w:marRight w:val="0"/>
      <w:marTop w:val="0"/>
      <w:marBottom w:val="0"/>
      <w:divBdr>
        <w:top w:val="none" w:sz="0" w:space="0" w:color="auto"/>
        <w:left w:val="none" w:sz="0" w:space="0" w:color="auto"/>
        <w:bottom w:val="none" w:sz="0" w:space="0" w:color="auto"/>
        <w:right w:val="none" w:sz="0" w:space="0" w:color="auto"/>
      </w:divBdr>
    </w:div>
    <w:div w:id="1289581569">
      <w:bodyDiv w:val="1"/>
      <w:marLeft w:val="0"/>
      <w:marRight w:val="0"/>
      <w:marTop w:val="0"/>
      <w:marBottom w:val="0"/>
      <w:divBdr>
        <w:top w:val="none" w:sz="0" w:space="0" w:color="auto"/>
        <w:left w:val="none" w:sz="0" w:space="0" w:color="auto"/>
        <w:bottom w:val="none" w:sz="0" w:space="0" w:color="auto"/>
        <w:right w:val="none" w:sz="0" w:space="0" w:color="auto"/>
      </w:divBdr>
    </w:div>
    <w:div w:id="1289628460">
      <w:bodyDiv w:val="1"/>
      <w:marLeft w:val="0"/>
      <w:marRight w:val="0"/>
      <w:marTop w:val="0"/>
      <w:marBottom w:val="0"/>
      <w:divBdr>
        <w:top w:val="none" w:sz="0" w:space="0" w:color="auto"/>
        <w:left w:val="none" w:sz="0" w:space="0" w:color="auto"/>
        <w:bottom w:val="none" w:sz="0" w:space="0" w:color="auto"/>
        <w:right w:val="none" w:sz="0" w:space="0" w:color="auto"/>
      </w:divBdr>
    </w:div>
    <w:div w:id="1289701950">
      <w:bodyDiv w:val="1"/>
      <w:marLeft w:val="0"/>
      <w:marRight w:val="0"/>
      <w:marTop w:val="0"/>
      <w:marBottom w:val="0"/>
      <w:divBdr>
        <w:top w:val="none" w:sz="0" w:space="0" w:color="auto"/>
        <w:left w:val="none" w:sz="0" w:space="0" w:color="auto"/>
        <w:bottom w:val="none" w:sz="0" w:space="0" w:color="auto"/>
        <w:right w:val="none" w:sz="0" w:space="0" w:color="auto"/>
      </w:divBdr>
    </w:div>
    <w:div w:id="1289749353">
      <w:bodyDiv w:val="1"/>
      <w:marLeft w:val="0"/>
      <w:marRight w:val="0"/>
      <w:marTop w:val="0"/>
      <w:marBottom w:val="0"/>
      <w:divBdr>
        <w:top w:val="none" w:sz="0" w:space="0" w:color="auto"/>
        <w:left w:val="none" w:sz="0" w:space="0" w:color="auto"/>
        <w:bottom w:val="none" w:sz="0" w:space="0" w:color="auto"/>
        <w:right w:val="none" w:sz="0" w:space="0" w:color="auto"/>
      </w:divBdr>
    </w:div>
    <w:div w:id="1289779908">
      <w:bodyDiv w:val="1"/>
      <w:marLeft w:val="0"/>
      <w:marRight w:val="0"/>
      <w:marTop w:val="0"/>
      <w:marBottom w:val="0"/>
      <w:divBdr>
        <w:top w:val="none" w:sz="0" w:space="0" w:color="auto"/>
        <w:left w:val="none" w:sz="0" w:space="0" w:color="auto"/>
        <w:bottom w:val="none" w:sz="0" w:space="0" w:color="auto"/>
        <w:right w:val="none" w:sz="0" w:space="0" w:color="auto"/>
      </w:divBdr>
    </w:div>
    <w:div w:id="1289895131">
      <w:bodyDiv w:val="1"/>
      <w:marLeft w:val="0"/>
      <w:marRight w:val="0"/>
      <w:marTop w:val="0"/>
      <w:marBottom w:val="0"/>
      <w:divBdr>
        <w:top w:val="none" w:sz="0" w:space="0" w:color="auto"/>
        <w:left w:val="none" w:sz="0" w:space="0" w:color="auto"/>
        <w:bottom w:val="none" w:sz="0" w:space="0" w:color="auto"/>
        <w:right w:val="none" w:sz="0" w:space="0" w:color="auto"/>
      </w:divBdr>
    </w:div>
    <w:div w:id="1290084243">
      <w:bodyDiv w:val="1"/>
      <w:marLeft w:val="0"/>
      <w:marRight w:val="0"/>
      <w:marTop w:val="0"/>
      <w:marBottom w:val="0"/>
      <w:divBdr>
        <w:top w:val="none" w:sz="0" w:space="0" w:color="auto"/>
        <w:left w:val="none" w:sz="0" w:space="0" w:color="auto"/>
        <w:bottom w:val="none" w:sz="0" w:space="0" w:color="auto"/>
        <w:right w:val="none" w:sz="0" w:space="0" w:color="auto"/>
      </w:divBdr>
    </w:div>
    <w:div w:id="1290164569">
      <w:bodyDiv w:val="1"/>
      <w:marLeft w:val="0"/>
      <w:marRight w:val="0"/>
      <w:marTop w:val="0"/>
      <w:marBottom w:val="0"/>
      <w:divBdr>
        <w:top w:val="none" w:sz="0" w:space="0" w:color="auto"/>
        <w:left w:val="none" w:sz="0" w:space="0" w:color="auto"/>
        <w:bottom w:val="none" w:sz="0" w:space="0" w:color="auto"/>
        <w:right w:val="none" w:sz="0" w:space="0" w:color="auto"/>
      </w:divBdr>
    </w:div>
    <w:div w:id="1290430146">
      <w:bodyDiv w:val="1"/>
      <w:marLeft w:val="0"/>
      <w:marRight w:val="0"/>
      <w:marTop w:val="0"/>
      <w:marBottom w:val="0"/>
      <w:divBdr>
        <w:top w:val="none" w:sz="0" w:space="0" w:color="auto"/>
        <w:left w:val="none" w:sz="0" w:space="0" w:color="auto"/>
        <w:bottom w:val="none" w:sz="0" w:space="0" w:color="auto"/>
        <w:right w:val="none" w:sz="0" w:space="0" w:color="auto"/>
      </w:divBdr>
    </w:div>
    <w:div w:id="1290476842">
      <w:bodyDiv w:val="1"/>
      <w:marLeft w:val="0"/>
      <w:marRight w:val="0"/>
      <w:marTop w:val="0"/>
      <w:marBottom w:val="0"/>
      <w:divBdr>
        <w:top w:val="none" w:sz="0" w:space="0" w:color="auto"/>
        <w:left w:val="none" w:sz="0" w:space="0" w:color="auto"/>
        <w:bottom w:val="none" w:sz="0" w:space="0" w:color="auto"/>
        <w:right w:val="none" w:sz="0" w:space="0" w:color="auto"/>
      </w:divBdr>
    </w:div>
    <w:div w:id="1290478474">
      <w:bodyDiv w:val="1"/>
      <w:marLeft w:val="0"/>
      <w:marRight w:val="0"/>
      <w:marTop w:val="0"/>
      <w:marBottom w:val="0"/>
      <w:divBdr>
        <w:top w:val="none" w:sz="0" w:space="0" w:color="auto"/>
        <w:left w:val="none" w:sz="0" w:space="0" w:color="auto"/>
        <w:bottom w:val="none" w:sz="0" w:space="0" w:color="auto"/>
        <w:right w:val="none" w:sz="0" w:space="0" w:color="auto"/>
      </w:divBdr>
    </w:div>
    <w:div w:id="1290546150">
      <w:bodyDiv w:val="1"/>
      <w:marLeft w:val="0"/>
      <w:marRight w:val="0"/>
      <w:marTop w:val="0"/>
      <w:marBottom w:val="0"/>
      <w:divBdr>
        <w:top w:val="none" w:sz="0" w:space="0" w:color="auto"/>
        <w:left w:val="none" w:sz="0" w:space="0" w:color="auto"/>
        <w:bottom w:val="none" w:sz="0" w:space="0" w:color="auto"/>
        <w:right w:val="none" w:sz="0" w:space="0" w:color="auto"/>
      </w:divBdr>
    </w:div>
    <w:div w:id="1290627238">
      <w:bodyDiv w:val="1"/>
      <w:marLeft w:val="0"/>
      <w:marRight w:val="0"/>
      <w:marTop w:val="0"/>
      <w:marBottom w:val="0"/>
      <w:divBdr>
        <w:top w:val="none" w:sz="0" w:space="0" w:color="auto"/>
        <w:left w:val="none" w:sz="0" w:space="0" w:color="auto"/>
        <w:bottom w:val="none" w:sz="0" w:space="0" w:color="auto"/>
        <w:right w:val="none" w:sz="0" w:space="0" w:color="auto"/>
      </w:divBdr>
    </w:div>
    <w:div w:id="1290667816">
      <w:bodyDiv w:val="1"/>
      <w:marLeft w:val="0"/>
      <w:marRight w:val="0"/>
      <w:marTop w:val="0"/>
      <w:marBottom w:val="0"/>
      <w:divBdr>
        <w:top w:val="none" w:sz="0" w:space="0" w:color="auto"/>
        <w:left w:val="none" w:sz="0" w:space="0" w:color="auto"/>
        <w:bottom w:val="none" w:sz="0" w:space="0" w:color="auto"/>
        <w:right w:val="none" w:sz="0" w:space="0" w:color="auto"/>
      </w:divBdr>
    </w:div>
    <w:div w:id="1291010090">
      <w:bodyDiv w:val="1"/>
      <w:marLeft w:val="0"/>
      <w:marRight w:val="0"/>
      <w:marTop w:val="0"/>
      <w:marBottom w:val="0"/>
      <w:divBdr>
        <w:top w:val="none" w:sz="0" w:space="0" w:color="auto"/>
        <w:left w:val="none" w:sz="0" w:space="0" w:color="auto"/>
        <w:bottom w:val="none" w:sz="0" w:space="0" w:color="auto"/>
        <w:right w:val="none" w:sz="0" w:space="0" w:color="auto"/>
      </w:divBdr>
    </w:div>
    <w:div w:id="1291017036">
      <w:bodyDiv w:val="1"/>
      <w:marLeft w:val="0"/>
      <w:marRight w:val="0"/>
      <w:marTop w:val="0"/>
      <w:marBottom w:val="0"/>
      <w:divBdr>
        <w:top w:val="none" w:sz="0" w:space="0" w:color="auto"/>
        <w:left w:val="none" w:sz="0" w:space="0" w:color="auto"/>
        <w:bottom w:val="none" w:sz="0" w:space="0" w:color="auto"/>
        <w:right w:val="none" w:sz="0" w:space="0" w:color="auto"/>
      </w:divBdr>
    </w:div>
    <w:div w:id="1291017320">
      <w:bodyDiv w:val="1"/>
      <w:marLeft w:val="0"/>
      <w:marRight w:val="0"/>
      <w:marTop w:val="0"/>
      <w:marBottom w:val="0"/>
      <w:divBdr>
        <w:top w:val="none" w:sz="0" w:space="0" w:color="auto"/>
        <w:left w:val="none" w:sz="0" w:space="0" w:color="auto"/>
        <w:bottom w:val="none" w:sz="0" w:space="0" w:color="auto"/>
        <w:right w:val="none" w:sz="0" w:space="0" w:color="auto"/>
      </w:divBdr>
    </w:div>
    <w:div w:id="1291280342">
      <w:bodyDiv w:val="1"/>
      <w:marLeft w:val="0"/>
      <w:marRight w:val="0"/>
      <w:marTop w:val="0"/>
      <w:marBottom w:val="0"/>
      <w:divBdr>
        <w:top w:val="none" w:sz="0" w:space="0" w:color="auto"/>
        <w:left w:val="none" w:sz="0" w:space="0" w:color="auto"/>
        <w:bottom w:val="none" w:sz="0" w:space="0" w:color="auto"/>
        <w:right w:val="none" w:sz="0" w:space="0" w:color="auto"/>
      </w:divBdr>
    </w:div>
    <w:div w:id="1291324031">
      <w:bodyDiv w:val="1"/>
      <w:marLeft w:val="0"/>
      <w:marRight w:val="0"/>
      <w:marTop w:val="0"/>
      <w:marBottom w:val="0"/>
      <w:divBdr>
        <w:top w:val="none" w:sz="0" w:space="0" w:color="auto"/>
        <w:left w:val="none" w:sz="0" w:space="0" w:color="auto"/>
        <w:bottom w:val="none" w:sz="0" w:space="0" w:color="auto"/>
        <w:right w:val="none" w:sz="0" w:space="0" w:color="auto"/>
      </w:divBdr>
    </w:div>
    <w:div w:id="1291550357">
      <w:bodyDiv w:val="1"/>
      <w:marLeft w:val="0"/>
      <w:marRight w:val="0"/>
      <w:marTop w:val="0"/>
      <w:marBottom w:val="0"/>
      <w:divBdr>
        <w:top w:val="none" w:sz="0" w:space="0" w:color="auto"/>
        <w:left w:val="none" w:sz="0" w:space="0" w:color="auto"/>
        <w:bottom w:val="none" w:sz="0" w:space="0" w:color="auto"/>
        <w:right w:val="none" w:sz="0" w:space="0" w:color="auto"/>
      </w:divBdr>
    </w:div>
    <w:div w:id="1291670155">
      <w:bodyDiv w:val="1"/>
      <w:marLeft w:val="0"/>
      <w:marRight w:val="0"/>
      <w:marTop w:val="0"/>
      <w:marBottom w:val="0"/>
      <w:divBdr>
        <w:top w:val="none" w:sz="0" w:space="0" w:color="auto"/>
        <w:left w:val="none" w:sz="0" w:space="0" w:color="auto"/>
        <w:bottom w:val="none" w:sz="0" w:space="0" w:color="auto"/>
        <w:right w:val="none" w:sz="0" w:space="0" w:color="auto"/>
      </w:divBdr>
    </w:div>
    <w:div w:id="1291746032">
      <w:bodyDiv w:val="1"/>
      <w:marLeft w:val="0"/>
      <w:marRight w:val="0"/>
      <w:marTop w:val="0"/>
      <w:marBottom w:val="0"/>
      <w:divBdr>
        <w:top w:val="none" w:sz="0" w:space="0" w:color="auto"/>
        <w:left w:val="none" w:sz="0" w:space="0" w:color="auto"/>
        <w:bottom w:val="none" w:sz="0" w:space="0" w:color="auto"/>
        <w:right w:val="none" w:sz="0" w:space="0" w:color="auto"/>
      </w:divBdr>
    </w:div>
    <w:div w:id="1291938171">
      <w:bodyDiv w:val="1"/>
      <w:marLeft w:val="0"/>
      <w:marRight w:val="0"/>
      <w:marTop w:val="0"/>
      <w:marBottom w:val="0"/>
      <w:divBdr>
        <w:top w:val="none" w:sz="0" w:space="0" w:color="auto"/>
        <w:left w:val="none" w:sz="0" w:space="0" w:color="auto"/>
        <w:bottom w:val="none" w:sz="0" w:space="0" w:color="auto"/>
        <w:right w:val="none" w:sz="0" w:space="0" w:color="auto"/>
      </w:divBdr>
    </w:div>
    <w:div w:id="1291983021">
      <w:bodyDiv w:val="1"/>
      <w:marLeft w:val="0"/>
      <w:marRight w:val="0"/>
      <w:marTop w:val="0"/>
      <w:marBottom w:val="0"/>
      <w:divBdr>
        <w:top w:val="none" w:sz="0" w:space="0" w:color="auto"/>
        <w:left w:val="none" w:sz="0" w:space="0" w:color="auto"/>
        <w:bottom w:val="none" w:sz="0" w:space="0" w:color="auto"/>
        <w:right w:val="none" w:sz="0" w:space="0" w:color="auto"/>
      </w:divBdr>
    </w:div>
    <w:div w:id="1292326908">
      <w:bodyDiv w:val="1"/>
      <w:marLeft w:val="0"/>
      <w:marRight w:val="0"/>
      <w:marTop w:val="0"/>
      <w:marBottom w:val="0"/>
      <w:divBdr>
        <w:top w:val="none" w:sz="0" w:space="0" w:color="auto"/>
        <w:left w:val="none" w:sz="0" w:space="0" w:color="auto"/>
        <w:bottom w:val="none" w:sz="0" w:space="0" w:color="auto"/>
        <w:right w:val="none" w:sz="0" w:space="0" w:color="auto"/>
      </w:divBdr>
    </w:div>
    <w:div w:id="1292592730">
      <w:bodyDiv w:val="1"/>
      <w:marLeft w:val="0"/>
      <w:marRight w:val="0"/>
      <w:marTop w:val="0"/>
      <w:marBottom w:val="0"/>
      <w:divBdr>
        <w:top w:val="none" w:sz="0" w:space="0" w:color="auto"/>
        <w:left w:val="none" w:sz="0" w:space="0" w:color="auto"/>
        <w:bottom w:val="none" w:sz="0" w:space="0" w:color="auto"/>
        <w:right w:val="none" w:sz="0" w:space="0" w:color="auto"/>
      </w:divBdr>
    </w:div>
    <w:div w:id="1292594255">
      <w:bodyDiv w:val="1"/>
      <w:marLeft w:val="0"/>
      <w:marRight w:val="0"/>
      <w:marTop w:val="0"/>
      <w:marBottom w:val="0"/>
      <w:divBdr>
        <w:top w:val="none" w:sz="0" w:space="0" w:color="auto"/>
        <w:left w:val="none" w:sz="0" w:space="0" w:color="auto"/>
        <w:bottom w:val="none" w:sz="0" w:space="0" w:color="auto"/>
        <w:right w:val="none" w:sz="0" w:space="0" w:color="auto"/>
      </w:divBdr>
    </w:div>
    <w:div w:id="1292596208">
      <w:bodyDiv w:val="1"/>
      <w:marLeft w:val="0"/>
      <w:marRight w:val="0"/>
      <w:marTop w:val="0"/>
      <w:marBottom w:val="0"/>
      <w:divBdr>
        <w:top w:val="none" w:sz="0" w:space="0" w:color="auto"/>
        <w:left w:val="none" w:sz="0" w:space="0" w:color="auto"/>
        <w:bottom w:val="none" w:sz="0" w:space="0" w:color="auto"/>
        <w:right w:val="none" w:sz="0" w:space="0" w:color="auto"/>
      </w:divBdr>
    </w:div>
    <w:div w:id="1292706516">
      <w:bodyDiv w:val="1"/>
      <w:marLeft w:val="0"/>
      <w:marRight w:val="0"/>
      <w:marTop w:val="0"/>
      <w:marBottom w:val="0"/>
      <w:divBdr>
        <w:top w:val="none" w:sz="0" w:space="0" w:color="auto"/>
        <w:left w:val="none" w:sz="0" w:space="0" w:color="auto"/>
        <w:bottom w:val="none" w:sz="0" w:space="0" w:color="auto"/>
        <w:right w:val="none" w:sz="0" w:space="0" w:color="auto"/>
      </w:divBdr>
    </w:div>
    <w:div w:id="1292710615">
      <w:bodyDiv w:val="1"/>
      <w:marLeft w:val="0"/>
      <w:marRight w:val="0"/>
      <w:marTop w:val="0"/>
      <w:marBottom w:val="0"/>
      <w:divBdr>
        <w:top w:val="none" w:sz="0" w:space="0" w:color="auto"/>
        <w:left w:val="none" w:sz="0" w:space="0" w:color="auto"/>
        <w:bottom w:val="none" w:sz="0" w:space="0" w:color="auto"/>
        <w:right w:val="none" w:sz="0" w:space="0" w:color="auto"/>
      </w:divBdr>
    </w:div>
    <w:div w:id="1292713304">
      <w:bodyDiv w:val="1"/>
      <w:marLeft w:val="0"/>
      <w:marRight w:val="0"/>
      <w:marTop w:val="0"/>
      <w:marBottom w:val="0"/>
      <w:divBdr>
        <w:top w:val="none" w:sz="0" w:space="0" w:color="auto"/>
        <w:left w:val="none" w:sz="0" w:space="0" w:color="auto"/>
        <w:bottom w:val="none" w:sz="0" w:space="0" w:color="auto"/>
        <w:right w:val="none" w:sz="0" w:space="0" w:color="auto"/>
      </w:divBdr>
    </w:div>
    <w:div w:id="1292898831">
      <w:bodyDiv w:val="1"/>
      <w:marLeft w:val="0"/>
      <w:marRight w:val="0"/>
      <w:marTop w:val="0"/>
      <w:marBottom w:val="0"/>
      <w:divBdr>
        <w:top w:val="none" w:sz="0" w:space="0" w:color="auto"/>
        <w:left w:val="none" w:sz="0" w:space="0" w:color="auto"/>
        <w:bottom w:val="none" w:sz="0" w:space="0" w:color="auto"/>
        <w:right w:val="none" w:sz="0" w:space="0" w:color="auto"/>
      </w:divBdr>
    </w:div>
    <w:div w:id="1293176499">
      <w:bodyDiv w:val="1"/>
      <w:marLeft w:val="0"/>
      <w:marRight w:val="0"/>
      <w:marTop w:val="0"/>
      <w:marBottom w:val="0"/>
      <w:divBdr>
        <w:top w:val="none" w:sz="0" w:space="0" w:color="auto"/>
        <w:left w:val="none" w:sz="0" w:space="0" w:color="auto"/>
        <w:bottom w:val="none" w:sz="0" w:space="0" w:color="auto"/>
        <w:right w:val="none" w:sz="0" w:space="0" w:color="auto"/>
      </w:divBdr>
    </w:div>
    <w:div w:id="1293249181">
      <w:bodyDiv w:val="1"/>
      <w:marLeft w:val="0"/>
      <w:marRight w:val="0"/>
      <w:marTop w:val="0"/>
      <w:marBottom w:val="0"/>
      <w:divBdr>
        <w:top w:val="none" w:sz="0" w:space="0" w:color="auto"/>
        <w:left w:val="none" w:sz="0" w:space="0" w:color="auto"/>
        <w:bottom w:val="none" w:sz="0" w:space="0" w:color="auto"/>
        <w:right w:val="none" w:sz="0" w:space="0" w:color="auto"/>
      </w:divBdr>
    </w:div>
    <w:div w:id="1293294808">
      <w:bodyDiv w:val="1"/>
      <w:marLeft w:val="0"/>
      <w:marRight w:val="0"/>
      <w:marTop w:val="0"/>
      <w:marBottom w:val="0"/>
      <w:divBdr>
        <w:top w:val="none" w:sz="0" w:space="0" w:color="auto"/>
        <w:left w:val="none" w:sz="0" w:space="0" w:color="auto"/>
        <w:bottom w:val="none" w:sz="0" w:space="0" w:color="auto"/>
        <w:right w:val="none" w:sz="0" w:space="0" w:color="auto"/>
      </w:divBdr>
    </w:div>
    <w:div w:id="1293440174">
      <w:bodyDiv w:val="1"/>
      <w:marLeft w:val="0"/>
      <w:marRight w:val="0"/>
      <w:marTop w:val="0"/>
      <w:marBottom w:val="0"/>
      <w:divBdr>
        <w:top w:val="none" w:sz="0" w:space="0" w:color="auto"/>
        <w:left w:val="none" w:sz="0" w:space="0" w:color="auto"/>
        <w:bottom w:val="none" w:sz="0" w:space="0" w:color="auto"/>
        <w:right w:val="none" w:sz="0" w:space="0" w:color="auto"/>
      </w:divBdr>
    </w:div>
    <w:div w:id="1293512723">
      <w:bodyDiv w:val="1"/>
      <w:marLeft w:val="0"/>
      <w:marRight w:val="0"/>
      <w:marTop w:val="0"/>
      <w:marBottom w:val="0"/>
      <w:divBdr>
        <w:top w:val="none" w:sz="0" w:space="0" w:color="auto"/>
        <w:left w:val="none" w:sz="0" w:space="0" w:color="auto"/>
        <w:bottom w:val="none" w:sz="0" w:space="0" w:color="auto"/>
        <w:right w:val="none" w:sz="0" w:space="0" w:color="auto"/>
      </w:divBdr>
    </w:div>
    <w:div w:id="1293949905">
      <w:bodyDiv w:val="1"/>
      <w:marLeft w:val="0"/>
      <w:marRight w:val="0"/>
      <w:marTop w:val="0"/>
      <w:marBottom w:val="0"/>
      <w:divBdr>
        <w:top w:val="none" w:sz="0" w:space="0" w:color="auto"/>
        <w:left w:val="none" w:sz="0" w:space="0" w:color="auto"/>
        <w:bottom w:val="none" w:sz="0" w:space="0" w:color="auto"/>
        <w:right w:val="none" w:sz="0" w:space="0" w:color="auto"/>
      </w:divBdr>
    </w:div>
    <w:div w:id="1294020991">
      <w:bodyDiv w:val="1"/>
      <w:marLeft w:val="0"/>
      <w:marRight w:val="0"/>
      <w:marTop w:val="0"/>
      <w:marBottom w:val="0"/>
      <w:divBdr>
        <w:top w:val="none" w:sz="0" w:space="0" w:color="auto"/>
        <w:left w:val="none" w:sz="0" w:space="0" w:color="auto"/>
        <w:bottom w:val="none" w:sz="0" w:space="0" w:color="auto"/>
        <w:right w:val="none" w:sz="0" w:space="0" w:color="auto"/>
      </w:divBdr>
    </w:div>
    <w:div w:id="1294099677">
      <w:bodyDiv w:val="1"/>
      <w:marLeft w:val="0"/>
      <w:marRight w:val="0"/>
      <w:marTop w:val="0"/>
      <w:marBottom w:val="0"/>
      <w:divBdr>
        <w:top w:val="none" w:sz="0" w:space="0" w:color="auto"/>
        <w:left w:val="none" w:sz="0" w:space="0" w:color="auto"/>
        <w:bottom w:val="none" w:sz="0" w:space="0" w:color="auto"/>
        <w:right w:val="none" w:sz="0" w:space="0" w:color="auto"/>
      </w:divBdr>
    </w:div>
    <w:div w:id="1294210549">
      <w:bodyDiv w:val="1"/>
      <w:marLeft w:val="0"/>
      <w:marRight w:val="0"/>
      <w:marTop w:val="0"/>
      <w:marBottom w:val="0"/>
      <w:divBdr>
        <w:top w:val="none" w:sz="0" w:space="0" w:color="auto"/>
        <w:left w:val="none" w:sz="0" w:space="0" w:color="auto"/>
        <w:bottom w:val="none" w:sz="0" w:space="0" w:color="auto"/>
        <w:right w:val="none" w:sz="0" w:space="0" w:color="auto"/>
      </w:divBdr>
    </w:div>
    <w:div w:id="1294213510">
      <w:bodyDiv w:val="1"/>
      <w:marLeft w:val="0"/>
      <w:marRight w:val="0"/>
      <w:marTop w:val="0"/>
      <w:marBottom w:val="0"/>
      <w:divBdr>
        <w:top w:val="none" w:sz="0" w:space="0" w:color="auto"/>
        <w:left w:val="none" w:sz="0" w:space="0" w:color="auto"/>
        <w:bottom w:val="none" w:sz="0" w:space="0" w:color="auto"/>
        <w:right w:val="none" w:sz="0" w:space="0" w:color="auto"/>
      </w:divBdr>
    </w:div>
    <w:div w:id="1294290547">
      <w:bodyDiv w:val="1"/>
      <w:marLeft w:val="0"/>
      <w:marRight w:val="0"/>
      <w:marTop w:val="0"/>
      <w:marBottom w:val="0"/>
      <w:divBdr>
        <w:top w:val="none" w:sz="0" w:space="0" w:color="auto"/>
        <w:left w:val="none" w:sz="0" w:space="0" w:color="auto"/>
        <w:bottom w:val="none" w:sz="0" w:space="0" w:color="auto"/>
        <w:right w:val="none" w:sz="0" w:space="0" w:color="auto"/>
      </w:divBdr>
    </w:div>
    <w:div w:id="1294405014">
      <w:bodyDiv w:val="1"/>
      <w:marLeft w:val="0"/>
      <w:marRight w:val="0"/>
      <w:marTop w:val="0"/>
      <w:marBottom w:val="0"/>
      <w:divBdr>
        <w:top w:val="none" w:sz="0" w:space="0" w:color="auto"/>
        <w:left w:val="none" w:sz="0" w:space="0" w:color="auto"/>
        <w:bottom w:val="none" w:sz="0" w:space="0" w:color="auto"/>
        <w:right w:val="none" w:sz="0" w:space="0" w:color="auto"/>
      </w:divBdr>
    </w:div>
    <w:div w:id="1294554035">
      <w:bodyDiv w:val="1"/>
      <w:marLeft w:val="0"/>
      <w:marRight w:val="0"/>
      <w:marTop w:val="0"/>
      <w:marBottom w:val="0"/>
      <w:divBdr>
        <w:top w:val="none" w:sz="0" w:space="0" w:color="auto"/>
        <w:left w:val="none" w:sz="0" w:space="0" w:color="auto"/>
        <w:bottom w:val="none" w:sz="0" w:space="0" w:color="auto"/>
        <w:right w:val="none" w:sz="0" w:space="0" w:color="auto"/>
      </w:divBdr>
    </w:div>
    <w:div w:id="1294671686">
      <w:bodyDiv w:val="1"/>
      <w:marLeft w:val="0"/>
      <w:marRight w:val="0"/>
      <w:marTop w:val="0"/>
      <w:marBottom w:val="0"/>
      <w:divBdr>
        <w:top w:val="none" w:sz="0" w:space="0" w:color="auto"/>
        <w:left w:val="none" w:sz="0" w:space="0" w:color="auto"/>
        <w:bottom w:val="none" w:sz="0" w:space="0" w:color="auto"/>
        <w:right w:val="none" w:sz="0" w:space="0" w:color="auto"/>
      </w:divBdr>
    </w:div>
    <w:div w:id="1294751152">
      <w:bodyDiv w:val="1"/>
      <w:marLeft w:val="0"/>
      <w:marRight w:val="0"/>
      <w:marTop w:val="0"/>
      <w:marBottom w:val="0"/>
      <w:divBdr>
        <w:top w:val="none" w:sz="0" w:space="0" w:color="auto"/>
        <w:left w:val="none" w:sz="0" w:space="0" w:color="auto"/>
        <w:bottom w:val="none" w:sz="0" w:space="0" w:color="auto"/>
        <w:right w:val="none" w:sz="0" w:space="0" w:color="auto"/>
      </w:divBdr>
    </w:div>
    <w:div w:id="1294865785">
      <w:bodyDiv w:val="1"/>
      <w:marLeft w:val="0"/>
      <w:marRight w:val="0"/>
      <w:marTop w:val="0"/>
      <w:marBottom w:val="0"/>
      <w:divBdr>
        <w:top w:val="none" w:sz="0" w:space="0" w:color="auto"/>
        <w:left w:val="none" w:sz="0" w:space="0" w:color="auto"/>
        <w:bottom w:val="none" w:sz="0" w:space="0" w:color="auto"/>
        <w:right w:val="none" w:sz="0" w:space="0" w:color="auto"/>
      </w:divBdr>
    </w:div>
    <w:div w:id="1295141122">
      <w:bodyDiv w:val="1"/>
      <w:marLeft w:val="0"/>
      <w:marRight w:val="0"/>
      <w:marTop w:val="0"/>
      <w:marBottom w:val="0"/>
      <w:divBdr>
        <w:top w:val="none" w:sz="0" w:space="0" w:color="auto"/>
        <w:left w:val="none" w:sz="0" w:space="0" w:color="auto"/>
        <w:bottom w:val="none" w:sz="0" w:space="0" w:color="auto"/>
        <w:right w:val="none" w:sz="0" w:space="0" w:color="auto"/>
      </w:divBdr>
    </w:div>
    <w:div w:id="1295522881">
      <w:bodyDiv w:val="1"/>
      <w:marLeft w:val="0"/>
      <w:marRight w:val="0"/>
      <w:marTop w:val="0"/>
      <w:marBottom w:val="0"/>
      <w:divBdr>
        <w:top w:val="none" w:sz="0" w:space="0" w:color="auto"/>
        <w:left w:val="none" w:sz="0" w:space="0" w:color="auto"/>
        <w:bottom w:val="none" w:sz="0" w:space="0" w:color="auto"/>
        <w:right w:val="none" w:sz="0" w:space="0" w:color="auto"/>
      </w:divBdr>
    </w:div>
    <w:div w:id="1295719940">
      <w:bodyDiv w:val="1"/>
      <w:marLeft w:val="0"/>
      <w:marRight w:val="0"/>
      <w:marTop w:val="0"/>
      <w:marBottom w:val="0"/>
      <w:divBdr>
        <w:top w:val="none" w:sz="0" w:space="0" w:color="auto"/>
        <w:left w:val="none" w:sz="0" w:space="0" w:color="auto"/>
        <w:bottom w:val="none" w:sz="0" w:space="0" w:color="auto"/>
        <w:right w:val="none" w:sz="0" w:space="0" w:color="auto"/>
      </w:divBdr>
    </w:div>
    <w:div w:id="1295941568">
      <w:bodyDiv w:val="1"/>
      <w:marLeft w:val="0"/>
      <w:marRight w:val="0"/>
      <w:marTop w:val="0"/>
      <w:marBottom w:val="0"/>
      <w:divBdr>
        <w:top w:val="none" w:sz="0" w:space="0" w:color="auto"/>
        <w:left w:val="none" w:sz="0" w:space="0" w:color="auto"/>
        <w:bottom w:val="none" w:sz="0" w:space="0" w:color="auto"/>
        <w:right w:val="none" w:sz="0" w:space="0" w:color="auto"/>
      </w:divBdr>
    </w:div>
    <w:div w:id="1296179237">
      <w:bodyDiv w:val="1"/>
      <w:marLeft w:val="0"/>
      <w:marRight w:val="0"/>
      <w:marTop w:val="0"/>
      <w:marBottom w:val="0"/>
      <w:divBdr>
        <w:top w:val="none" w:sz="0" w:space="0" w:color="auto"/>
        <w:left w:val="none" w:sz="0" w:space="0" w:color="auto"/>
        <w:bottom w:val="none" w:sz="0" w:space="0" w:color="auto"/>
        <w:right w:val="none" w:sz="0" w:space="0" w:color="auto"/>
      </w:divBdr>
    </w:div>
    <w:div w:id="1296369833">
      <w:bodyDiv w:val="1"/>
      <w:marLeft w:val="0"/>
      <w:marRight w:val="0"/>
      <w:marTop w:val="0"/>
      <w:marBottom w:val="0"/>
      <w:divBdr>
        <w:top w:val="none" w:sz="0" w:space="0" w:color="auto"/>
        <w:left w:val="none" w:sz="0" w:space="0" w:color="auto"/>
        <w:bottom w:val="none" w:sz="0" w:space="0" w:color="auto"/>
        <w:right w:val="none" w:sz="0" w:space="0" w:color="auto"/>
      </w:divBdr>
    </w:div>
    <w:div w:id="1296453308">
      <w:bodyDiv w:val="1"/>
      <w:marLeft w:val="0"/>
      <w:marRight w:val="0"/>
      <w:marTop w:val="0"/>
      <w:marBottom w:val="0"/>
      <w:divBdr>
        <w:top w:val="none" w:sz="0" w:space="0" w:color="auto"/>
        <w:left w:val="none" w:sz="0" w:space="0" w:color="auto"/>
        <w:bottom w:val="none" w:sz="0" w:space="0" w:color="auto"/>
        <w:right w:val="none" w:sz="0" w:space="0" w:color="auto"/>
      </w:divBdr>
    </w:div>
    <w:div w:id="1296523420">
      <w:bodyDiv w:val="1"/>
      <w:marLeft w:val="0"/>
      <w:marRight w:val="0"/>
      <w:marTop w:val="0"/>
      <w:marBottom w:val="0"/>
      <w:divBdr>
        <w:top w:val="none" w:sz="0" w:space="0" w:color="auto"/>
        <w:left w:val="none" w:sz="0" w:space="0" w:color="auto"/>
        <w:bottom w:val="none" w:sz="0" w:space="0" w:color="auto"/>
        <w:right w:val="none" w:sz="0" w:space="0" w:color="auto"/>
      </w:divBdr>
    </w:div>
    <w:div w:id="1296596463">
      <w:bodyDiv w:val="1"/>
      <w:marLeft w:val="0"/>
      <w:marRight w:val="0"/>
      <w:marTop w:val="0"/>
      <w:marBottom w:val="0"/>
      <w:divBdr>
        <w:top w:val="none" w:sz="0" w:space="0" w:color="auto"/>
        <w:left w:val="none" w:sz="0" w:space="0" w:color="auto"/>
        <w:bottom w:val="none" w:sz="0" w:space="0" w:color="auto"/>
        <w:right w:val="none" w:sz="0" w:space="0" w:color="auto"/>
      </w:divBdr>
    </w:div>
    <w:div w:id="1296645135">
      <w:bodyDiv w:val="1"/>
      <w:marLeft w:val="0"/>
      <w:marRight w:val="0"/>
      <w:marTop w:val="0"/>
      <w:marBottom w:val="0"/>
      <w:divBdr>
        <w:top w:val="none" w:sz="0" w:space="0" w:color="auto"/>
        <w:left w:val="none" w:sz="0" w:space="0" w:color="auto"/>
        <w:bottom w:val="none" w:sz="0" w:space="0" w:color="auto"/>
        <w:right w:val="none" w:sz="0" w:space="0" w:color="auto"/>
      </w:divBdr>
    </w:div>
    <w:div w:id="1296716787">
      <w:bodyDiv w:val="1"/>
      <w:marLeft w:val="0"/>
      <w:marRight w:val="0"/>
      <w:marTop w:val="0"/>
      <w:marBottom w:val="0"/>
      <w:divBdr>
        <w:top w:val="none" w:sz="0" w:space="0" w:color="auto"/>
        <w:left w:val="none" w:sz="0" w:space="0" w:color="auto"/>
        <w:bottom w:val="none" w:sz="0" w:space="0" w:color="auto"/>
        <w:right w:val="none" w:sz="0" w:space="0" w:color="auto"/>
      </w:divBdr>
    </w:div>
    <w:div w:id="1296790635">
      <w:bodyDiv w:val="1"/>
      <w:marLeft w:val="0"/>
      <w:marRight w:val="0"/>
      <w:marTop w:val="0"/>
      <w:marBottom w:val="0"/>
      <w:divBdr>
        <w:top w:val="none" w:sz="0" w:space="0" w:color="auto"/>
        <w:left w:val="none" w:sz="0" w:space="0" w:color="auto"/>
        <w:bottom w:val="none" w:sz="0" w:space="0" w:color="auto"/>
        <w:right w:val="none" w:sz="0" w:space="0" w:color="auto"/>
      </w:divBdr>
    </w:div>
    <w:div w:id="1296981965">
      <w:bodyDiv w:val="1"/>
      <w:marLeft w:val="0"/>
      <w:marRight w:val="0"/>
      <w:marTop w:val="0"/>
      <w:marBottom w:val="0"/>
      <w:divBdr>
        <w:top w:val="none" w:sz="0" w:space="0" w:color="auto"/>
        <w:left w:val="none" w:sz="0" w:space="0" w:color="auto"/>
        <w:bottom w:val="none" w:sz="0" w:space="0" w:color="auto"/>
        <w:right w:val="none" w:sz="0" w:space="0" w:color="auto"/>
      </w:divBdr>
    </w:div>
    <w:div w:id="1296984463">
      <w:bodyDiv w:val="1"/>
      <w:marLeft w:val="0"/>
      <w:marRight w:val="0"/>
      <w:marTop w:val="0"/>
      <w:marBottom w:val="0"/>
      <w:divBdr>
        <w:top w:val="none" w:sz="0" w:space="0" w:color="auto"/>
        <w:left w:val="none" w:sz="0" w:space="0" w:color="auto"/>
        <w:bottom w:val="none" w:sz="0" w:space="0" w:color="auto"/>
        <w:right w:val="none" w:sz="0" w:space="0" w:color="auto"/>
      </w:divBdr>
    </w:div>
    <w:div w:id="1297025067">
      <w:bodyDiv w:val="1"/>
      <w:marLeft w:val="0"/>
      <w:marRight w:val="0"/>
      <w:marTop w:val="0"/>
      <w:marBottom w:val="0"/>
      <w:divBdr>
        <w:top w:val="none" w:sz="0" w:space="0" w:color="auto"/>
        <w:left w:val="none" w:sz="0" w:space="0" w:color="auto"/>
        <w:bottom w:val="none" w:sz="0" w:space="0" w:color="auto"/>
        <w:right w:val="none" w:sz="0" w:space="0" w:color="auto"/>
      </w:divBdr>
    </w:div>
    <w:div w:id="1297175796">
      <w:bodyDiv w:val="1"/>
      <w:marLeft w:val="0"/>
      <w:marRight w:val="0"/>
      <w:marTop w:val="0"/>
      <w:marBottom w:val="0"/>
      <w:divBdr>
        <w:top w:val="none" w:sz="0" w:space="0" w:color="auto"/>
        <w:left w:val="none" w:sz="0" w:space="0" w:color="auto"/>
        <w:bottom w:val="none" w:sz="0" w:space="0" w:color="auto"/>
        <w:right w:val="none" w:sz="0" w:space="0" w:color="auto"/>
      </w:divBdr>
    </w:div>
    <w:div w:id="1297182658">
      <w:bodyDiv w:val="1"/>
      <w:marLeft w:val="0"/>
      <w:marRight w:val="0"/>
      <w:marTop w:val="0"/>
      <w:marBottom w:val="0"/>
      <w:divBdr>
        <w:top w:val="none" w:sz="0" w:space="0" w:color="auto"/>
        <w:left w:val="none" w:sz="0" w:space="0" w:color="auto"/>
        <w:bottom w:val="none" w:sz="0" w:space="0" w:color="auto"/>
        <w:right w:val="none" w:sz="0" w:space="0" w:color="auto"/>
      </w:divBdr>
    </w:div>
    <w:div w:id="1297220654">
      <w:bodyDiv w:val="1"/>
      <w:marLeft w:val="0"/>
      <w:marRight w:val="0"/>
      <w:marTop w:val="0"/>
      <w:marBottom w:val="0"/>
      <w:divBdr>
        <w:top w:val="none" w:sz="0" w:space="0" w:color="auto"/>
        <w:left w:val="none" w:sz="0" w:space="0" w:color="auto"/>
        <w:bottom w:val="none" w:sz="0" w:space="0" w:color="auto"/>
        <w:right w:val="none" w:sz="0" w:space="0" w:color="auto"/>
      </w:divBdr>
    </w:div>
    <w:div w:id="1297494527">
      <w:bodyDiv w:val="1"/>
      <w:marLeft w:val="0"/>
      <w:marRight w:val="0"/>
      <w:marTop w:val="0"/>
      <w:marBottom w:val="0"/>
      <w:divBdr>
        <w:top w:val="none" w:sz="0" w:space="0" w:color="auto"/>
        <w:left w:val="none" w:sz="0" w:space="0" w:color="auto"/>
        <w:bottom w:val="none" w:sz="0" w:space="0" w:color="auto"/>
        <w:right w:val="none" w:sz="0" w:space="0" w:color="auto"/>
      </w:divBdr>
    </w:div>
    <w:div w:id="1297563500">
      <w:bodyDiv w:val="1"/>
      <w:marLeft w:val="0"/>
      <w:marRight w:val="0"/>
      <w:marTop w:val="0"/>
      <w:marBottom w:val="0"/>
      <w:divBdr>
        <w:top w:val="none" w:sz="0" w:space="0" w:color="auto"/>
        <w:left w:val="none" w:sz="0" w:space="0" w:color="auto"/>
        <w:bottom w:val="none" w:sz="0" w:space="0" w:color="auto"/>
        <w:right w:val="none" w:sz="0" w:space="0" w:color="auto"/>
      </w:divBdr>
    </w:div>
    <w:div w:id="1297688245">
      <w:bodyDiv w:val="1"/>
      <w:marLeft w:val="0"/>
      <w:marRight w:val="0"/>
      <w:marTop w:val="0"/>
      <w:marBottom w:val="0"/>
      <w:divBdr>
        <w:top w:val="none" w:sz="0" w:space="0" w:color="auto"/>
        <w:left w:val="none" w:sz="0" w:space="0" w:color="auto"/>
        <w:bottom w:val="none" w:sz="0" w:space="0" w:color="auto"/>
        <w:right w:val="none" w:sz="0" w:space="0" w:color="auto"/>
      </w:divBdr>
    </w:div>
    <w:div w:id="1298031710">
      <w:bodyDiv w:val="1"/>
      <w:marLeft w:val="0"/>
      <w:marRight w:val="0"/>
      <w:marTop w:val="0"/>
      <w:marBottom w:val="0"/>
      <w:divBdr>
        <w:top w:val="none" w:sz="0" w:space="0" w:color="auto"/>
        <w:left w:val="none" w:sz="0" w:space="0" w:color="auto"/>
        <w:bottom w:val="none" w:sz="0" w:space="0" w:color="auto"/>
        <w:right w:val="none" w:sz="0" w:space="0" w:color="auto"/>
      </w:divBdr>
    </w:div>
    <w:div w:id="1298104141">
      <w:bodyDiv w:val="1"/>
      <w:marLeft w:val="0"/>
      <w:marRight w:val="0"/>
      <w:marTop w:val="0"/>
      <w:marBottom w:val="0"/>
      <w:divBdr>
        <w:top w:val="none" w:sz="0" w:space="0" w:color="auto"/>
        <w:left w:val="none" w:sz="0" w:space="0" w:color="auto"/>
        <w:bottom w:val="none" w:sz="0" w:space="0" w:color="auto"/>
        <w:right w:val="none" w:sz="0" w:space="0" w:color="auto"/>
      </w:divBdr>
    </w:div>
    <w:div w:id="1298144445">
      <w:bodyDiv w:val="1"/>
      <w:marLeft w:val="0"/>
      <w:marRight w:val="0"/>
      <w:marTop w:val="0"/>
      <w:marBottom w:val="0"/>
      <w:divBdr>
        <w:top w:val="none" w:sz="0" w:space="0" w:color="auto"/>
        <w:left w:val="none" w:sz="0" w:space="0" w:color="auto"/>
        <w:bottom w:val="none" w:sz="0" w:space="0" w:color="auto"/>
        <w:right w:val="none" w:sz="0" w:space="0" w:color="auto"/>
      </w:divBdr>
    </w:div>
    <w:div w:id="1298148159">
      <w:bodyDiv w:val="1"/>
      <w:marLeft w:val="0"/>
      <w:marRight w:val="0"/>
      <w:marTop w:val="0"/>
      <w:marBottom w:val="0"/>
      <w:divBdr>
        <w:top w:val="none" w:sz="0" w:space="0" w:color="auto"/>
        <w:left w:val="none" w:sz="0" w:space="0" w:color="auto"/>
        <w:bottom w:val="none" w:sz="0" w:space="0" w:color="auto"/>
        <w:right w:val="none" w:sz="0" w:space="0" w:color="auto"/>
      </w:divBdr>
    </w:div>
    <w:div w:id="1298224737">
      <w:bodyDiv w:val="1"/>
      <w:marLeft w:val="0"/>
      <w:marRight w:val="0"/>
      <w:marTop w:val="0"/>
      <w:marBottom w:val="0"/>
      <w:divBdr>
        <w:top w:val="none" w:sz="0" w:space="0" w:color="auto"/>
        <w:left w:val="none" w:sz="0" w:space="0" w:color="auto"/>
        <w:bottom w:val="none" w:sz="0" w:space="0" w:color="auto"/>
        <w:right w:val="none" w:sz="0" w:space="0" w:color="auto"/>
      </w:divBdr>
    </w:div>
    <w:div w:id="1298489925">
      <w:bodyDiv w:val="1"/>
      <w:marLeft w:val="0"/>
      <w:marRight w:val="0"/>
      <w:marTop w:val="0"/>
      <w:marBottom w:val="0"/>
      <w:divBdr>
        <w:top w:val="none" w:sz="0" w:space="0" w:color="auto"/>
        <w:left w:val="none" w:sz="0" w:space="0" w:color="auto"/>
        <w:bottom w:val="none" w:sz="0" w:space="0" w:color="auto"/>
        <w:right w:val="none" w:sz="0" w:space="0" w:color="auto"/>
      </w:divBdr>
    </w:div>
    <w:div w:id="1298560936">
      <w:bodyDiv w:val="1"/>
      <w:marLeft w:val="0"/>
      <w:marRight w:val="0"/>
      <w:marTop w:val="0"/>
      <w:marBottom w:val="0"/>
      <w:divBdr>
        <w:top w:val="none" w:sz="0" w:space="0" w:color="auto"/>
        <w:left w:val="none" w:sz="0" w:space="0" w:color="auto"/>
        <w:bottom w:val="none" w:sz="0" w:space="0" w:color="auto"/>
        <w:right w:val="none" w:sz="0" w:space="0" w:color="auto"/>
      </w:divBdr>
    </w:div>
    <w:div w:id="1298682661">
      <w:bodyDiv w:val="1"/>
      <w:marLeft w:val="0"/>
      <w:marRight w:val="0"/>
      <w:marTop w:val="0"/>
      <w:marBottom w:val="0"/>
      <w:divBdr>
        <w:top w:val="none" w:sz="0" w:space="0" w:color="auto"/>
        <w:left w:val="none" w:sz="0" w:space="0" w:color="auto"/>
        <w:bottom w:val="none" w:sz="0" w:space="0" w:color="auto"/>
        <w:right w:val="none" w:sz="0" w:space="0" w:color="auto"/>
      </w:divBdr>
    </w:div>
    <w:div w:id="1298796577">
      <w:bodyDiv w:val="1"/>
      <w:marLeft w:val="0"/>
      <w:marRight w:val="0"/>
      <w:marTop w:val="0"/>
      <w:marBottom w:val="0"/>
      <w:divBdr>
        <w:top w:val="none" w:sz="0" w:space="0" w:color="auto"/>
        <w:left w:val="none" w:sz="0" w:space="0" w:color="auto"/>
        <w:bottom w:val="none" w:sz="0" w:space="0" w:color="auto"/>
        <w:right w:val="none" w:sz="0" w:space="0" w:color="auto"/>
      </w:divBdr>
    </w:div>
    <w:div w:id="1298879528">
      <w:bodyDiv w:val="1"/>
      <w:marLeft w:val="0"/>
      <w:marRight w:val="0"/>
      <w:marTop w:val="0"/>
      <w:marBottom w:val="0"/>
      <w:divBdr>
        <w:top w:val="none" w:sz="0" w:space="0" w:color="auto"/>
        <w:left w:val="none" w:sz="0" w:space="0" w:color="auto"/>
        <w:bottom w:val="none" w:sz="0" w:space="0" w:color="auto"/>
        <w:right w:val="none" w:sz="0" w:space="0" w:color="auto"/>
      </w:divBdr>
    </w:div>
    <w:div w:id="1298993057">
      <w:bodyDiv w:val="1"/>
      <w:marLeft w:val="0"/>
      <w:marRight w:val="0"/>
      <w:marTop w:val="0"/>
      <w:marBottom w:val="0"/>
      <w:divBdr>
        <w:top w:val="none" w:sz="0" w:space="0" w:color="auto"/>
        <w:left w:val="none" w:sz="0" w:space="0" w:color="auto"/>
        <w:bottom w:val="none" w:sz="0" w:space="0" w:color="auto"/>
        <w:right w:val="none" w:sz="0" w:space="0" w:color="auto"/>
      </w:divBdr>
    </w:div>
    <w:div w:id="1299073684">
      <w:bodyDiv w:val="1"/>
      <w:marLeft w:val="0"/>
      <w:marRight w:val="0"/>
      <w:marTop w:val="0"/>
      <w:marBottom w:val="0"/>
      <w:divBdr>
        <w:top w:val="none" w:sz="0" w:space="0" w:color="auto"/>
        <w:left w:val="none" w:sz="0" w:space="0" w:color="auto"/>
        <w:bottom w:val="none" w:sz="0" w:space="0" w:color="auto"/>
        <w:right w:val="none" w:sz="0" w:space="0" w:color="auto"/>
      </w:divBdr>
    </w:div>
    <w:div w:id="1299142104">
      <w:bodyDiv w:val="1"/>
      <w:marLeft w:val="0"/>
      <w:marRight w:val="0"/>
      <w:marTop w:val="0"/>
      <w:marBottom w:val="0"/>
      <w:divBdr>
        <w:top w:val="none" w:sz="0" w:space="0" w:color="auto"/>
        <w:left w:val="none" w:sz="0" w:space="0" w:color="auto"/>
        <w:bottom w:val="none" w:sz="0" w:space="0" w:color="auto"/>
        <w:right w:val="none" w:sz="0" w:space="0" w:color="auto"/>
      </w:divBdr>
    </w:div>
    <w:div w:id="1299262190">
      <w:bodyDiv w:val="1"/>
      <w:marLeft w:val="0"/>
      <w:marRight w:val="0"/>
      <w:marTop w:val="0"/>
      <w:marBottom w:val="0"/>
      <w:divBdr>
        <w:top w:val="none" w:sz="0" w:space="0" w:color="auto"/>
        <w:left w:val="none" w:sz="0" w:space="0" w:color="auto"/>
        <w:bottom w:val="none" w:sz="0" w:space="0" w:color="auto"/>
        <w:right w:val="none" w:sz="0" w:space="0" w:color="auto"/>
      </w:divBdr>
    </w:div>
    <w:div w:id="1299340024">
      <w:bodyDiv w:val="1"/>
      <w:marLeft w:val="0"/>
      <w:marRight w:val="0"/>
      <w:marTop w:val="0"/>
      <w:marBottom w:val="0"/>
      <w:divBdr>
        <w:top w:val="none" w:sz="0" w:space="0" w:color="auto"/>
        <w:left w:val="none" w:sz="0" w:space="0" w:color="auto"/>
        <w:bottom w:val="none" w:sz="0" w:space="0" w:color="auto"/>
        <w:right w:val="none" w:sz="0" w:space="0" w:color="auto"/>
      </w:divBdr>
    </w:div>
    <w:div w:id="1299451391">
      <w:bodyDiv w:val="1"/>
      <w:marLeft w:val="0"/>
      <w:marRight w:val="0"/>
      <w:marTop w:val="0"/>
      <w:marBottom w:val="0"/>
      <w:divBdr>
        <w:top w:val="none" w:sz="0" w:space="0" w:color="auto"/>
        <w:left w:val="none" w:sz="0" w:space="0" w:color="auto"/>
        <w:bottom w:val="none" w:sz="0" w:space="0" w:color="auto"/>
        <w:right w:val="none" w:sz="0" w:space="0" w:color="auto"/>
      </w:divBdr>
    </w:div>
    <w:div w:id="1299604739">
      <w:bodyDiv w:val="1"/>
      <w:marLeft w:val="0"/>
      <w:marRight w:val="0"/>
      <w:marTop w:val="0"/>
      <w:marBottom w:val="0"/>
      <w:divBdr>
        <w:top w:val="none" w:sz="0" w:space="0" w:color="auto"/>
        <w:left w:val="none" w:sz="0" w:space="0" w:color="auto"/>
        <w:bottom w:val="none" w:sz="0" w:space="0" w:color="auto"/>
        <w:right w:val="none" w:sz="0" w:space="0" w:color="auto"/>
      </w:divBdr>
    </w:div>
    <w:div w:id="1299608756">
      <w:bodyDiv w:val="1"/>
      <w:marLeft w:val="0"/>
      <w:marRight w:val="0"/>
      <w:marTop w:val="0"/>
      <w:marBottom w:val="0"/>
      <w:divBdr>
        <w:top w:val="none" w:sz="0" w:space="0" w:color="auto"/>
        <w:left w:val="none" w:sz="0" w:space="0" w:color="auto"/>
        <w:bottom w:val="none" w:sz="0" w:space="0" w:color="auto"/>
        <w:right w:val="none" w:sz="0" w:space="0" w:color="auto"/>
      </w:divBdr>
    </w:div>
    <w:div w:id="1299872675">
      <w:bodyDiv w:val="1"/>
      <w:marLeft w:val="0"/>
      <w:marRight w:val="0"/>
      <w:marTop w:val="0"/>
      <w:marBottom w:val="0"/>
      <w:divBdr>
        <w:top w:val="none" w:sz="0" w:space="0" w:color="auto"/>
        <w:left w:val="none" w:sz="0" w:space="0" w:color="auto"/>
        <w:bottom w:val="none" w:sz="0" w:space="0" w:color="auto"/>
        <w:right w:val="none" w:sz="0" w:space="0" w:color="auto"/>
      </w:divBdr>
    </w:div>
    <w:div w:id="1299916913">
      <w:bodyDiv w:val="1"/>
      <w:marLeft w:val="0"/>
      <w:marRight w:val="0"/>
      <w:marTop w:val="0"/>
      <w:marBottom w:val="0"/>
      <w:divBdr>
        <w:top w:val="none" w:sz="0" w:space="0" w:color="auto"/>
        <w:left w:val="none" w:sz="0" w:space="0" w:color="auto"/>
        <w:bottom w:val="none" w:sz="0" w:space="0" w:color="auto"/>
        <w:right w:val="none" w:sz="0" w:space="0" w:color="auto"/>
      </w:divBdr>
    </w:div>
    <w:div w:id="1299996430">
      <w:bodyDiv w:val="1"/>
      <w:marLeft w:val="0"/>
      <w:marRight w:val="0"/>
      <w:marTop w:val="0"/>
      <w:marBottom w:val="0"/>
      <w:divBdr>
        <w:top w:val="none" w:sz="0" w:space="0" w:color="auto"/>
        <w:left w:val="none" w:sz="0" w:space="0" w:color="auto"/>
        <w:bottom w:val="none" w:sz="0" w:space="0" w:color="auto"/>
        <w:right w:val="none" w:sz="0" w:space="0" w:color="auto"/>
      </w:divBdr>
    </w:div>
    <w:div w:id="1299998043">
      <w:bodyDiv w:val="1"/>
      <w:marLeft w:val="0"/>
      <w:marRight w:val="0"/>
      <w:marTop w:val="0"/>
      <w:marBottom w:val="0"/>
      <w:divBdr>
        <w:top w:val="none" w:sz="0" w:space="0" w:color="auto"/>
        <w:left w:val="none" w:sz="0" w:space="0" w:color="auto"/>
        <w:bottom w:val="none" w:sz="0" w:space="0" w:color="auto"/>
        <w:right w:val="none" w:sz="0" w:space="0" w:color="auto"/>
      </w:divBdr>
    </w:div>
    <w:div w:id="1300066688">
      <w:bodyDiv w:val="1"/>
      <w:marLeft w:val="0"/>
      <w:marRight w:val="0"/>
      <w:marTop w:val="0"/>
      <w:marBottom w:val="0"/>
      <w:divBdr>
        <w:top w:val="none" w:sz="0" w:space="0" w:color="auto"/>
        <w:left w:val="none" w:sz="0" w:space="0" w:color="auto"/>
        <w:bottom w:val="none" w:sz="0" w:space="0" w:color="auto"/>
        <w:right w:val="none" w:sz="0" w:space="0" w:color="auto"/>
      </w:divBdr>
    </w:div>
    <w:div w:id="1300112265">
      <w:bodyDiv w:val="1"/>
      <w:marLeft w:val="0"/>
      <w:marRight w:val="0"/>
      <w:marTop w:val="0"/>
      <w:marBottom w:val="0"/>
      <w:divBdr>
        <w:top w:val="none" w:sz="0" w:space="0" w:color="auto"/>
        <w:left w:val="none" w:sz="0" w:space="0" w:color="auto"/>
        <w:bottom w:val="none" w:sz="0" w:space="0" w:color="auto"/>
        <w:right w:val="none" w:sz="0" w:space="0" w:color="auto"/>
      </w:divBdr>
    </w:div>
    <w:div w:id="1300260837">
      <w:bodyDiv w:val="1"/>
      <w:marLeft w:val="0"/>
      <w:marRight w:val="0"/>
      <w:marTop w:val="0"/>
      <w:marBottom w:val="0"/>
      <w:divBdr>
        <w:top w:val="none" w:sz="0" w:space="0" w:color="auto"/>
        <w:left w:val="none" w:sz="0" w:space="0" w:color="auto"/>
        <w:bottom w:val="none" w:sz="0" w:space="0" w:color="auto"/>
        <w:right w:val="none" w:sz="0" w:space="0" w:color="auto"/>
      </w:divBdr>
    </w:div>
    <w:div w:id="1300648399">
      <w:bodyDiv w:val="1"/>
      <w:marLeft w:val="0"/>
      <w:marRight w:val="0"/>
      <w:marTop w:val="0"/>
      <w:marBottom w:val="0"/>
      <w:divBdr>
        <w:top w:val="none" w:sz="0" w:space="0" w:color="auto"/>
        <w:left w:val="none" w:sz="0" w:space="0" w:color="auto"/>
        <w:bottom w:val="none" w:sz="0" w:space="0" w:color="auto"/>
        <w:right w:val="none" w:sz="0" w:space="0" w:color="auto"/>
      </w:divBdr>
    </w:div>
    <w:div w:id="1300914202">
      <w:bodyDiv w:val="1"/>
      <w:marLeft w:val="0"/>
      <w:marRight w:val="0"/>
      <w:marTop w:val="0"/>
      <w:marBottom w:val="0"/>
      <w:divBdr>
        <w:top w:val="none" w:sz="0" w:space="0" w:color="auto"/>
        <w:left w:val="none" w:sz="0" w:space="0" w:color="auto"/>
        <w:bottom w:val="none" w:sz="0" w:space="0" w:color="auto"/>
        <w:right w:val="none" w:sz="0" w:space="0" w:color="auto"/>
      </w:divBdr>
    </w:div>
    <w:div w:id="1301036152">
      <w:bodyDiv w:val="1"/>
      <w:marLeft w:val="0"/>
      <w:marRight w:val="0"/>
      <w:marTop w:val="0"/>
      <w:marBottom w:val="0"/>
      <w:divBdr>
        <w:top w:val="none" w:sz="0" w:space="0" w:color="auto"/>
        <w:left w:val="none" w:sz="0" w:space="0" w:color="auto"/>
        <w:bottom w:val="none" w:sz="0" w:space="0" w:color="auto"/>
        <w:right w:val="none" w:sz="0" w:space="0" w:color="auto"/>
      </w:divBdr>
    </w:div>
    <w:div w:id="1301152822">
      <w:bodyDiv w:val="1"/>
      <w:marLeft w:val="0"/>
      <w:marRight w:val="0"/>
      <w:marTop w:val="0"/>
      <w:marBottom w:val="0"/>
      <w:divBdr>
        <w:top w:val="none" w:sz="0" w:space="0" w:color="auto"/>
        <w:left w:val="none" w:sz="0" w:space="0" w:color="auto"/>
        <w:bottom w:val="none" w:sz="0" w:space="0" w:color="auto"/>
        <w:right w:val="none" w:sz="0" w:space="0" w:color="auto"/>
      </w:divBdr>
    </w:div>
    <w:div w:id="1301158036">
      <w:bodyDiv w:val="1"/>
      <w:marLeft w:val="0"/>
      <w:marRight w:val="0"/>
      <w:marTop w:val="0"/>
      <w:marBottom w:val="0"/>
      <w:divBdr>
        <w:top w:val="none" w:sz="0" w:space="0" w:color="auto"/>
        <w:left w:val="none" w:sz="0" w:space="0" w:color="auto"/>
        <w:bottom w:val="none" w:sz="0" w:space="0" w:color="auto"/>
        <w:right w:val="none" w:sz="0" w:space="0" w:color="auto"/>
      </w:divBdr>
    </w:div>
    <w:div w:id="1301615888">
      <w:bodyDiv w:val="1"/>
      <w:marLeft w:val="0"/>
      <w:marRight w:val="0"/>
      <w:marTop w:val="0"/>
      <w:marBottom w:val="0"/>
      <w:divBdr>
        <w:top w:val="none" w:sz="0" w:space="0" w:color="auto"/>
        <w:left w:val="none" w:sz="0" w:space="0" w:color="auto"/>
        <w:bottom w:val="none" w:sz="0" w:space="0" w:color="auto"/>
        <w:right w:val="none" w:sz="0" w:space="0" w:color="auto"/>
      </w:divBdr>
    </w:div>
    <w:div w:id="1301811388">
      <w:bodyDiv w:val="1"/>
      <w:marLeft w:val="0"/>
      <w:marRight w:val="0"/>
      <w:marTop w:val="0"/>
      <w:marBottom w:val="0"/>
      <w:divBdr>
        <w:top w:val="none" w:sz="0" w:space="0" w:color="auto"/>
        <w:left w:val="none" w:sz="0" w:space="0" w:color="auto"/>
        <w:bottom w:val="none" w:sz="0" w:space="0" w:color="auto"/>
        <w:right w:val="none" w:sz="0" w:space="0" w:color="auto"/>
      </w:divBdr>
    </w:div>
    <w:div w:id="1301879247">
      <w:bodyDiv w:val="1"/>
      <w:marLeft w:val="0"/>
      <w:marRight w:val="0"/>
      <w:marTop w:val="0"/>
      <w:marBottom w:val="0"/>
      <w:divBdr>
        <w:top w:val="none" w:sz="0" w:space="0" w:color="auto"/>
        <w:left w:val="none" w:sz="0" w:space="0" w:color="auto"/>
        <w:bottom w:val="none" w:sz="0" w:space="0" w:color="auto"/>
        <w:right w:val="none" w:sz="0" w:space="0" w:color="auto"/>
      </w:divBdr>
    </w:div>
    <w:div w:id="1301954422">
      <w:bodyDiv w:val="1"/>
      <w:marLeft w:val="0"/>
      <w:marRight w:val="0"/>
      <w:marTop w:val="0"/>
      <w:marBottom w:val="0"/>
      <w:divBdr>
        <w:top w:val="none" w:sz="0" w:space="0" w:color="auto"/>
        <w:left w:val="none" w:sz="0" w:space="0" w:color="auto"/>
        <w:bottom w:val="none" w:sz="0" w:space="0" w:color="auto"/>
        <w:right w:val="none" w:sz="0" w:space="0" w:color="auto"/>
      </w:divBdr>
    </w:div>
    <w:div w:id="1302275232">
      <w:bodyDiv w:val="1"/>
      <w:marLeft w:val="0"/>
      <w:marRight w:val="0"/>
      <w:marTop w:val="0"/>
      <w:marBottom w:val="0"/>
      <w:divBdr>
        <w:top w:val="none" w:sz="0" w:space="0" w:color="auto"/>
        <w:left w:val="none" w:sz="0" w:space="0" w:color="auto"/>
        <w:bottom w:val="none" w:sz="0" w:space="0" w:color="auto"/>
        <w:right w:val="none" w:sz="0" w:space="0" w:color="auto"/>
      </w:divBdr>
    </w:div>
    <w:div w:id="1302542907">
      <w:bodyDiv w:val="1"/>
      <w:marLeft w:val="0"/>
      <w:marRight w:val="0"/>
      <w:marTop w:val="0"/>
      <w:marBottom w:val="0"/>
      <w:divBdr>
        <w:top w:val="none" w:sz="0" w:space="0" w:color="auto"/>
        <w:left w:val="none" w:sz="0" w:space="0" w:color="auto"/>
        <w:bottom w:val="none" w:sz="0" w:space="0" w:color="auto"/>
        <w:right w:val="none" w:sz="0" w:space="0" w:color="auto"/>
      </w:divBdr>
    </w:div>
    <w:div w:id="1302729916">
      <w:bodyDiv w:val="1"/>
      <w:marLeft w:val="0"/>
      <w:marRight w:val="0"/>
      <w:marTop w:val="0"/>
      <w:marBottom w:val="0"/>
      <w:divBdr>
        <w:top w:val="none" w:sz="0" w:space="0" w:color="auto"/>
        <w:left w:val="none" w:sz="0" w:space="0" w:color="auto"/>
        <w:bottom w:val="none" w:sz="0" w:space="0" w:color="auto"/>
        <w:right w:val="none" w:sz="0" w:space="0" w:color="auto"/>
      </w:divBdr>
    </w:div>
    <w:div w:id="1302731148">
      <w:bodyDiv w:val="1"/>
      <w:marLeft w:val="0"/>
      <w:marRight w:val="0"/>
      <w:marTop w:val="0"/>
      <w:marBottom w:val="0"/>
      <w:divBdr>
        <w:top w:val="none" w:sz="0" w:space="0" w:color="auto"/>
        <w:left w:val="none" w:sz="0" w:space="0" w:color="auto"/>
        <w:bottom w:val="none" w:sz="0" w:space="0" w:color="auto"/>
        <w:right w:val="none" w:sz="0" w:space="0" w:color="auto"/>
      </w:divBdr>
    </w:div>
    <w:div w:id="1302881233">
      <w:bodyDiv w:val="1"/>
      <w:marLeft w:val="0"/>
      <w:marRight w:val="0"/>
      <w:marTop w:val="0"/>
      <w:marBottom w:val="0"/>
      <w:divBdr>
        <w:top w:val="none" w:sz="0" w:space="0" w:color="auto"/>
        <w:left w:val="none" w:sz="0" w:space="0" w:color="auto"/>
        <w:bottom w:val="none" w:sz="0" w:space="0" w:color="auto"/>
        <w:right w:val="none" w:sz="0" w:space="0" w:color="auto"/>
      </w:divBdr>
    </w:div>
    <w:div w:id="1303197023">
      <w:bodyDiv w:val="1"/>
      <w:marLeft w:val="0"/>
      <w:marRight w:val="0"/>
      <w:marTop w:val="0"/>
      <w:marBottom w:val="0"/>
      <w:divBdr>
        <w:top w:val="none" w:sz="0" w:space="0" w:color="auto"/>
        <w:left w:val="none" w:sz="0" w:space="0" w:color="auto"/>
        <w:bottom w:val="none" w:sz="0" w:space="0" w:color="auto"/>
        <w:right w:val="none" w:sz="0" w:space="0" w:color="auto"/>
      </w:divBdr>
    </w:div>
    <w:div w:id="1303346119">
      <w:bodyDiv w:val="1"/>
      <w:marLeft w:val="0"/>
      <w:marRight w:val="0"/>
      <w:marTop w:val="0"/>
      <w:marBottom w:val="0"/>
      <w:divBdr>
        <w:top w:val="none" w:sz="0" w:space="0" w:color="auto"/>
        <w:left w:val="none" w:sz="0" w:space="0" w:color="auto"/>
        <w:bottom w:val="none" w:sz="0" w:space="0" w:color="auto"/>
        <w:right w:val="none" w:sz="0" w:space="0" w:color="auto"/>
      </w:divBdr>
    </w:div>
    <w:div w:id="1303389953">
      <w:bodyDiv w:val="1"/>
      <w:marLeft w:val="0"/>
      <w:marRight w:val="0"/>
      <w:marTop w:val="0"/>
      <w:marBottom w:val="0"/>
      <w:divBdr>
        <w:top w:val="none" w:sz="0" w:space="0" w:color="auto"/>
        <w:left w:val="none" w:sz="0" w:space="0" w:color="auto"/>
        <w:bottom w:val="none" w:sz="0" w:space="0" w:color="auto"/>
        <w:right w:val="none" w:sz="0" w:space="0" w:color="auto"/>
      </w:divBdr>
    </w:div>
    <w:div w:id="1303461658">
      <w:bodyDiv w:val="1"/>
      <w:marLeft w:val="0"/>
      <w:marRight w:val="0"/>
      <w:marTop w:val="0"/>
      <w:marBottom w:val="0"/>
      <w:divBdr>
        <w:top w:val="none" w:sz="0" w:space="0" w:color="auto"/>
        <w:left w:val="none" w:sz="0" w:space="0" w:color="auto"/>
        <w:bottom w:val="none" w:sz="0" w:space="0" w:color="auto"/>
        <w:right w:val="none" w:sz="0" w:space="0" w:color="auto"/>
      </w:divBdr>
    </w:div>
    <w:div w:id="1303731276">
      <w:bodyDiv w:val="1"/>
      <w:marLeft w:val="0"/>
      <w:marRight w:val="0"/>
      <w:marTop w:val="0"/>
      <w:marBottom w:val="0"/>
      <w:divBdr>
        <w:top w:val="none" w:sz="0" w:space="0" w:color="auto"/>
        <w:left w:val="none" w:sz="0" w:space="0" w:color="auto"/>
        <w:bottom w:val="none" w:sz="0" w:space="0" w:color="auto"/>
        <w:right w:val="none" w:sz="0" w:space="0" w:color="auto"/>
      </w:divBdr>
    </w:div>
    <w:div w:id="1303802277">
      <w:bodyDiv w:val="1"/>
      <w:marLeft w:val="0"/>
      <w:marRight w:val="0"/>
      <w:marTop w:val="0"/>
      <w:marBottom w:val="0"/>
      <w:divBdr>
        <w:top w:val="none" w:sz="0" w:space="0" w:color="auto"/>
        <w:left w:val="none" w:sz="0" w:space="0" w:color="auto"/>
        <w:bottom w:val="none" w:sz="0" w:space="0" w:color="auto"/>
        <w:right w:val="none" w:sz="0" w:space="0" w:color="auto"/>
      </w:divBdr>
    </w:div>
    <w:div w:id="1303971888">
      <w:bodyDiv w:val="1"/>
      <w:marLeft w:val="0"/>
      <w:marRight w:val="0"/>
      <w:marTop w:val="0"/>
      <w:marBottom w:val="0"/>
      <w:divBdr>
        <w:top w:val="none" w:sz="0" w:space="0" w:color="auto"/>
        <w:left w:val="none" w:sz="0" w:space="0" w:color="auto"/>
        <w:bottom w:val="none" w:sz="0" w:space="0" w:color="auto"/>
        <w:right w:val="none" w:sz="0" w:space="0" w:color="auto"/>
      </w:divBdr>
    </w:div>
    <w:div w:id="1304232468">
      <w:bodyDiv w:val="1"/>
      <w:marLeft w:val="0"/>
      <w:marRight w:val="0"/>
      <w:marTop w:val="0"/>
      <w:marBottom w:val="0"/>
      <w:divBdr>
        <w:top w:val="none" w:sz="0" w:space="0" w:color="auto"/>
        <w:left w:val="none" w:sz="0" w:space="0" w:color="auto"/>
        <w:bottom w:val="none" w:sz="0" w:space="0" w:color="auto"/>
        <w:right w:val="none" w:sz="0" w:space="0" w:color="auto"/>
      </w:divBdr>
    </w:div>
    <w:div w:id="1304233546">
      <w:bodyDiv w:val="1"/>
      <w:marLeft w:val="0"/>
      <w:marRight w:val="0"/>
      <w:marTop w:val="0"/>
      <w:marBottom w:val="0"/>
      <w:divBdr>
        <w:top w:val="none" w:sz="0" w:space="0" w:color="auto"/>
        <w:left w:val="none" w:sz="0" w:space="0" w:color="auto"/>
        <w:bottom w:val="none" w:sz="0" w:space="0" w:color="auto"/>
        <w:right w:val="none" w:sz="0" w:space="0" w:color="auto"/>
      </w:divBdr>
    </w:div>
    <w:div w:id="1304846985">
      <w:bodyDiv w:val="1"/>
      <w:marLeft w:val="0"/>
      <w:marRight w:val="0"/>
      <w:marTop w:val="0"/>
      <w:marBottom w:val="0"/>
      <w:divBdr>
        <w:top w:val="none" w:sz="0" w:space="0" w:color="auto"/>
        <w:left w:val="none" w:sz="0" w:space="0" w:color="auto"/>
        <w:bottom w:val="none" w:sz="0" w:space="0" w:color="auto"/>
        <w:right w:val="none" w:sz="0" w:space="0" w:color="auto"/>
      </w:divBdr>
    </w:div>
    <w:div w:id="1304970618">
      <w:bodyDiv w:val="1"/>
      <w:marLeft w:val="0"/>
      <w:marRight w:val="0"/>
      <w:marTop w:val="0"/>
      <w:marBottom w:val="0"/>
      <w:divBdr>
        <w:top w:val="none" w:sz="0" w:space="0" w:color="auto"/>
        <w:left w:val="none" w:sz="0" w:space="0" w:color="auto"/>
        <w:bottom w:val="none" w:sz="0" w:space="0" w:color="auto"/>
        <w:right w:val="none" w:sz="0" w:space="0" w:color="auto"/>
      </w:divBdr>
    </w:div>
    <w:div w:id="1305047089">
      <w:bodyDiv w:val="1"/>
      <w:marLeft w:val="0"/>
      <w:marRight w:val="0"/>
      <w:marTop w:val="0"/>
      <w:marBottom w:val="0"/>
      <w:divBdr>
        <w:top w:val="none" w:sz="0" w:space="0" w:color="auto"/>
        <w:left w:val="none" w:sz="0" w:space="0" w:color="auto"/>
        <w:bottom w:val="none" w:sz="0" w:space="0" w:color="auto"/>
        <w:right w:val="none" w:sz="0" w:space="0" w:color="auto"/>
      </w:divBdr>
    </w:div>
    <w:div w:id="1305086076">
      <w:bodyDiv w:val="1"/>
      <w:marLeft w:val="0"/>
      <w:marRight w:val="0"/>
      <w:marTop w:val="0"/>
      <w:marBottom w:val="0"/>
      <w:divBdr>
        <w:top w:val="none" w:sz="0" w:space="0" w:color="auto"/>
        <w:left w:val="none" w:sz="0" w:space="0" w:color="auto"/>
        <w:bottom w:val="none" w:sz="0" w:space="0" w:color="auto"/>
        <w:right w:val="none" w:sz="0" w:space="0" w:color="auto"/>
      </w:divBdr>
    </w:div>
    <w:div w:id="1305086935">
      <w:bodyDiv w:val="1"/>
      <w:marLeft w:val="0"/>
      <w:marRight w:val="0"/>
      <w:marTop w:val="0"/>
      <w:marBottom w:val="0"/>
      <w:divBdr>
        <w:top w:val="none" w:sz="0" w:space="0" w:color="auto"/>
        <w:left w:val="none" w:sz="0" w:space="0" w:color="auto"/>
        <w:bottom w:val="none" w:sz="0" w:space="0" w:color="auto"/>
        <w:right w:val="none" w:sz="0" w:space="0" w:color="auto"/>
      </w:divBdr>
    </w:div>
    <w:div w:id="1305112923">
      <w:bodyDiv w:val="1"/>
      <w:marLeft w:val="0"/>
      <w:marRight w:val="0"/>
      <w:marTop w:val="0"/>
      <w:marBottom w:val="0"/>
      <w:divBdr>
        <w:top w:val="none" w:sz="0" w:space="0" w:color="auto"/>
        <w:left w:val="none" w:sz="0" w:space="0" w:color="auto"/>
        <w:bottom w:val="none" w:sz="0" w:space="0" w:color="auto"/>
        <w:right w:val="none" w:sz="0" w:space="0" w:color="auto"/>
      </w:divBdr>
    </w:div>
    <w:div w:id="1305113877">
      <w:bodyDiv w:val="1"/>
      <w:marLeft w:val="0"/>
      <w:marRight w:val="0"/>
      <w:marTop w:val="0"/>
      <w:marBottom w:val="0"/>
      <w:divBdr>
        <w:top w:val="none" w:sz="0" w:space="0" w:color="auto"/>
        <w:left w:val="none" w:sz="0" w:space="0" w:color="auto"/>
        <w:bottom w:val="none" w:sz="0" w:space="0" w:color="auto"/>
        <w:right w:val="none" w:sz="0" w:space="0" w:color="auto"/>
      </w:divBdr>
    </w:div>
    <w:div w:id="1305310591">
      <w:bodyDiv w:val="1"/>
      <w:marLeft w:val="0"/>
      <w:marRight w:val="0"/>
      <w:marTop w:val="0"/>
      <w:marBottom w:val="0"/>
      <w:divBdr>
        <w:top w:val="none" w:sz="0" w:space="0" w:color="auto"/>
        <w:left w:val="none" w:sz="0" w:space="0" w:color="auto"/>
        <w:bottom w:val="none" w:sz="0" w:space="0" w:color="auto"/>
        <w:right w:val="none" w:sz="0" w:space="0" w:color="auto"/>
      </w:divBdr>
    </w:div>
    <w:div w:id="1305353652">
      <w:bodyDiv w:val="1"/>
      <w:marLeft w:val="0"/>
      <w:marRight w:val="0"/>
      <w:marTop w:val="0"/>
      <w:marBottom w:val="0"/>
      <w:divBdr>
        <w:top w:val="none" w:sz="0" w:space="0" w:color="auto"/>
        <w:left w:val="none" w:sz="0" w:space="0" w:color="auto"/>
        <w:bottom w:val="none" w:sz="0" w:space="0" w:color="auto"/>
        <w:right w:val="none" w:sz="0" w:space="0" w:color="auto"/>
      </w:divBdr>
    </w:div>
    <w:div w:id="1305506795">
      <w:bodyDiv w:val="1"/>
      <w:marLeft w:val="0"/>
      <w:marRight w:val="0"/>
      <w:marTop w:val="0"/>
      <w:marBottom w:val="0"/>
      <w:divBdr>
        <w:top w:val="none" w:sz="0" w:space="0" w:color="auto"/>
        <w:left w:val="none" w:sz="0" w:space="0" w:color="auto"/>
        <w:bottom w:val="none" w:sz="0" w:space="0" w:color="auto"/>
        <w:right w:val="none" w:sz="0" w:space="0" w:color="auto"/>
      </w:divBdr>
    </w:div>
    <w:div w:id="1305546243">
      <w:bodyDiv w:val="1"/>
      <w:marLeft w:val="0"/>
      <w:marRight w:val="0"/>
      <w:marTop w:val="0"/>
      <w:marBottom w:val="0"/>
      <w:divBdr>
        <w:top w:val="none" w:sz="0" w:space="0" w:color="auto"/>
        <w:left w:val="none" w:sz="0" w:space="0" w:color="auto"/>
        <w:bottom w:val="none" w:sz="0" w:space="0" w:color="auto"/>
        <w:right w:val="none" w:sz="0" w:space="0" w:color="auto"/>
      </w:divBdr>
    </w:div>
    <w:div w:id="1305698367">
      <w:bodyDiv w:val="1"/>
      <w:marLeft w:val="0"/>
      <w:marRight w:val="0"/>
      <w:marTop w:val="0"/>
      <w:marBottom w:val="0"/>
      <w:divBdr>
        <w:top w:val="none" w:sz="0" w:space="0" w:color="auto"/>
        <w:left w:val="none" w:sz="0" w:space="0" w:color="auto"/>
        <w:bottom w:val="none" w:sz="0" w:space="0" w:color="auto"/>
        <w:right w:val="none" w:sz="0" w:space="0" w:color="auto"/>
      </w:divBdr>
    </w:div>
    <w:div w:id="1305769823">
      <w:bodyDiv w:val="1"/>
      <w:marLeft w:val="0"/>
      <w:marRight w:val="0"/>
      <w:marTop w:val="0"/>
      <w:marBottom w:val="0"/>
      <w:divBdr>
        <w:top w:val="none" w:sz="0" w:space="0" w:color="auto"/>
        <w:left w:val="none" w:sz="0" w:space="0" w:color="auto"/>
        <w:bottom w:val="none" w:sz="0" w:space="0" w:color="auto"/>
        <w:right w:val="none" w:sz="0" w:space="0" w:color="auto"/>
      </w:divBdr>
    </w:div>
    <w:div w:id="1305815459">
      <w:bodyDiv w:val="1"/>
      <w:marLeft w:val="0"/>
      <w:marRight w:val="0"/>
      <w:marTop w:val="0"/>
      <w:marBottom w:val="0"/>
      <w:divBdr>
        <w:top w:val="none" w:sz="0" w:space="0" w:color="auto"/>
        <w:left w:val="none" w:sz="0" w:space="0" w:color="auto"/>
        <w:bottom w:val="none" w:sz="0" w:space="0" w:color="auto"/>
        <w:right w:val="none" w:sz="0" w:space="0" w:color="auto"/>
      </w:divBdr>
    </w:div>
    <w:div w:id="1306351787">
      <w:bodyDiv w:val="1"/>
      <w:marLeft w:val="0"/>
      <w:marRight w:val="0"/>
      <w:marTop w:val="0"/>
      <w:marBottom w:val="0"/>
      <w:divBdr>
        <w:top w:val="none" w:sz="0" w:space="0" w:color="auto"/>
        <w:left w:val="none" w:sz="0" w:space="0" w:color="auto"/>
        <w:bottom w:val="none" w:sz="0" w:space="0" w:color="auto"/>
        <w:right w:val="none" w:sz="0" w:space="0" w:color="auto"/>
      </w:divBdr>
    </w:div>
    <w:div w:id="1306468798">
      <w:bodyDiv w:val="1"/>
      <w:marLeft w:val="0"/>
      <w:marRight w:val="0"/>
      <w:marTop w:val="0"/>
      <w:marBottom w:val="0"/>
      <w:divBdr>
        <w:top w:val="none" w:sz="0" w:space="0" w:color="auto"/>
        <w:left w:val="none" w:sz="0" w:space="0" w:color="auto"/>
        <w:bottom w:val="none" w:sz="0" w:space="0" w:color="auto"/>
        <w:right w:val="none" w:sz="0" w:space="0" w:color="auto"/>
      </w:divBdr>
    </w:div>
    <w:div w:id="1306471809">
      <w:bodyDiv w:val="1"/>
      <w:marLeft w:val="0"/>
      <w:marRight w:val="0"/>
      <w:marTop w:val="0"/>
      <w:marBottom w:val="0"/>
      <w:divBdr>
        <w:top w:val="none" w:sz="0" w:space="0" w:color="auto"/>
        <w:left w:val="none" w:sz="0" w:space="0" w:color="auto"/>
        <w:bottom w:val="none" w:sz="0" w:space="0" w:color="auto"/>
        <w:right w:val="none" w:sz="0" w:space="0" w:color="auto"/>
      </w:divBdr>
    </w:div>
    <w:div w:id="1306742606">
      <w:bodyDiv w:val="1"/>
      <w:marLeft w:val="0"/>
      <w:marRight w:val="0"/>
      <w:marTop w:val="0"/>
      <w:marBottom w:val="0"/>
      <w:divBdr>
        <w:top w:val="none" w:sz="0" w:space="0" w:color="auto"/>
        <w:left w:val="none" w:sz="0" w:space="0" w:color="auto"/>
        <w:bottom w:val="none" w:sz="0" w:space="0" w:color="auto"/>
        <w:right w:val="none" w:sz="0" w:space="0" w:color="auto"/>
      </w:divBdr>
    </w:div>
    <w:div w:id="1306855925">
      <w:bodyDiv w:val="1"/>
      <w:marLeft w:val="0"/>
      <w:marRight w:val="0"/>
      <w:marTop w:val="0"/>
      <w:marBottom w:val="0"/>
      <w:divBdr>
        <w:top w:val="none" w:sz="0" w:space="0" w:color="auto"/>
        <w:left w:val="none" w:sz="0" w:space="0" w:color="auto"/>
        <w:bottom w:val="none" w:sz="0" w:space="0" w:color="auto"/>
        <w:right w:val="none" w:sz="0" w:space="0" w:color="auto"/>
      </w:divBdr>
    </w:div>
    <w:div w:id="1306929479">
      <w:bodyDiv w:val="1"/>
      <w:marLeft w:val="0"/>
      <w:marRight w:val="0"/>
      <w:marTop w:val="0"/>
      <w:marBottom w:val="0"/>
      <w:divBdr>
        <w:top w:val="none" w:sz="0" w:space="0" w:color="auto"/>
        <w:left w:val="none" w:sz="0" w:space="0" w:color="auto"/>
        <w:bottom w:val="none" w:sz="0" w:space="0" w:color="auto"/>
        <w:right w:val="none" w:sz="0" w:space="0" w:color="auto"/>
      </w:divBdr>
    </w:div>
    <w:div w:id="1307005255">
      <w:bodyDiv w:val="1"/>
      <w:marLeft w:val="0"/>
      <w:marRight w:val="0"/>
      <w:marTop w:val="0"/>
      <w:marBottom w:val="0"/>
      <w:divBdr>
        <w:top w:val="none" w:sz="0" w:space="0" w:color="auto"/>
        <w:left w:val="none" w:sz="0" w:space="0" w:color="auto"/>
        <w:bottom w:val="none" w:sz="0" w:space="0" w:color="auto"/>
        <w:right w:val="none" w:sz="0" w:space="0" w:color="auto"/>
      </w:divBdr>
    </w:div>
    <w:div w:id="1307079036">
      <w:bodyDiv w:val="1"/>
      <w:marLeft w:val="0"/>
      <w:marRight w:val="0"/>
      <w:marTop w:val="0"/>
      <w:marBottom w:val="0"/>
      <w:divBdr>
        <w:top w:val="none" w:sz="0" w:space="0" w:color="auto"/>
        <w:left w:val="none" w:sz="0" w:space="0" w:color="auto"/>
        <w:bottom w:val="none" w:sz="0" w:space="0" w:color="auto"/>
        <w:right w:val="none" w:sz="0" w:space="0" w:color="auto"/>
      </w:divBdr>
    </w:div>
    <w:div w:id="1307123178">
      <w:bodyDiv w:val="1"/>
      <w:marLeft w:val="0"/>
      <w:marRight w:val="0"/>
      <w:marTop w:val="0"/>
      <w:marBottom w:val="0"/>
      <w:divBdr>
        <w:top w:val="none" w:sz="0" w:space="0" w:color="auto"/>
        <w:left w:val="none" w:sz="0" w:space="0" w:color="auto"/>
        <w:bottom w:val="none" w:sz="0" w:space="0" w:color="auto"/>
        <w:right w:val="none" w:sz="0" w:space="0" w:color="auto"/>
      </w:divBdr>
    </w:div>
    <w:div w:id="1307394110">
      <w:bodyDiv w:val="1"/>
      <w:marLeft w:val="0"/>
      <w:marRight w:val="0"/>
      <w:marTop w:val="0"/>
      <w:marBottom w:val="0"/>
      <w:divBdr>
        <w:top w:val="none" w:sz="0" w:space="0" w:color="auto"/>
        <w:left w:val="none" w:sz="0" w:space="0" w:color="auto"/>
        <w:bottom w:val="none" w:sz="0" w:space="0" w:color="auto"/>
        <w:right w:val="none" w:sz="0" w:space="0" w:color="auto"/>
      </w:divBdr>
    </w:div>
    <w:div w:id="1307396242">
      <w:bodyDiv w:val="1"/>
      <w:marLeft w:val="0"/>
      <w:marRight w:val="0"/>
      <w:marTop w:val="0"/>
      <w:marBottom w:val="0"/>
      <w:divBdr>
        <w:top w:val="none" w:sz="0" w:space="0" w:color="auto"/>
        <w:left w:val="none" w:sz="0" w:space="0" w:color="auto"/>
        <w:bottom w:val="none" w:sz="0" w:space="0" w:color="auto"/>
        <w:right w:val="none" w:sz="0" w:space="0" w:color="auto"/>
      </w:divBdr>
    </w:div>
    <w:div w:id="1307474456">
      <w:bodyDiv w:val="1"/>
      <w:marLeft w:val="0"/>
      <w:marRight w:val="0"/>
      <w:marTop w:val="0"/>
      <w:marBottom w:val="0"/>
      <w:divBdr>
        <w:top w:val="none" w:sz="0" w:space="0" w:color="auto"/>
        <w:left w:val="none" w:sz="0" w:space="0" w:color="auto"/>
        <w:bottom w:val="none" w:sz="0" w:space="0" w:color="auto"/>
        <w:right w:val="none" w:sz="0" w:space="0" w:color="auto"/>
      </w:divBdr>
    </w:div>
    <w:div w:id="1307927415">
      <w:bodyDiv w:val="1"/>
      <w:marLeft w:val="0"/>
      <w:marRight w:val="0"/>
      <w:marTop w:val="0"/>
      <w:marBottom w:val="0"/>
      <w:divBdr>
        <w:top w:val="none" w:sz="0" w:space="0" w:color="auto"/>
        <w:left w:val="none" w:sz="0" w:space="0" w:color="auto"/>
        <w:bottom w:val="none" w:sz="0" w:space="0" w:color="auto"/>
        <w:right w:val="none" w:sz="0" w:space="0" w:color="auto"/>
      </w:divBdr>
    </w:div>
    <w:div w:id="1308121879">
      <w:bodyDiv w:val="1"/>
      <w:marLeft w:val="0"/>
      <w:marRight w:val="0"/>
      <w:marTop w:val="0"/>
      <w:marBottom w:val="0"/>
      <w:divBdr>
        <w:top w:val="none" w:sz="0" w:space="0" w:color="auto"/>
        <w:left w:val="none" w:sz="0" w:space="0" w:color="auto"/>
        <w:bottom w:val="none" w:sz="0" w:space="0" w:color="auto"/>
        <w:right w:val="none" w:sz="0" w:space="0" w:color="auto"/>
      </w:divBdr>
    </w:div>
    <w:div w:id="1308127311">
      <w:bodyDiv w:val="1"/>
      <w:marLeft w:val="0"/>
      <w:marRight w:val="0"/>
      <w:marTop w:val="0"/>
      <w:marBottom w:val="0"/>
      <w:divBdr>
        <w:top w:val="none" w:sz="0" w:space="0" w:color="auto"/>
        <w:left w:val="none" w:sz="0" w:space="0" w:color="auto"/>
        <w:bottom w:val="none" w:sz="0" w:space="0" w:color="auto"/>
        <w:right w:val="none" w:sz="0" w:space="0" w:color="auto"/>
      </w:divBdr>
    </w:div>
    <w:div w:id="1308318450">
      <w:bodyDiv w:val="1"/>
      <w:marLeft w:val="0"/>
      <w:marRight w:val="0"/>
      <w:marTop w:val="0"/>
      <w:marBottom w:val="0"/>
      <w:divBdr>
        <w:top w:val="none" w:sz="0" w:space="0" w:color="auto"/>
        <w:left w:val="none" w:sz="0" w:space="0" w:color="auto"/>
        <w:bottom w:val="none" w:sz="0" w:space="0" w:color="auto"/>
        <w:right w:val="none" w:sz="0" w:space="0" w:color="auto"/>
      </w:divBdr>
    </w:div>
    <w:div w:id="1308323161">
      <w:bodyDiv w:val="1"/>
      <w:marLeft w:val="0"/>
      <w:marRight w:val="0"/>
      <w:marTop w:val="0"/>
      <w:marBottom w:val="0"/>
      <w:divBdr>
        <w:top w:val="none" w:sz="0" w:space="0" w:color="auto"/>
        <w:left w:val="none" w:sz="0" w:space="0" w:color="auto"/>
        <w:bottom w:val="none" w:sz="0" w:space="0" w:color="auto"/>
        <w:right w:val="none" w:sz="0" w:space="0" w:color="auto"/>
      </w:divBdr>
    </w:div>
    <w:div w:id="1308902321">
      <w:bodyDiv w:val="1"/>
      <w:marLeft w:val="0"/>
      <w:marRight w:val="0"/>
      <w:marTop w:val="0"/>
      <w:marBottom w:val="0"/>
      <w:divBdr>
        <w:top w:val="none" w:sz="0" w:space="0" w:color="auto"/>
        <w:left w:val="none" w:sz="0" w:space="0" w:color="auto"/>
        <w:bottom w:val="none" w:sz="0" w:space="0" w:color="auto"/>
        <w:right w:val="none" w:sz="0" w:space="0" w:color="auto"/>
      </w:divBdr>
    </w:div>
    <w:div w:id="1309018286">
      <w:bodyDiv w:val="1"/>
      <w:marLeft w:val="0"/>
      <w:marRight w:val="0"/>
      <w:marTop w:val="0"/>
      <w:marBottom w:val="0"/>
      <w:divBdr>
        <w:top w:val="none" w:sz="0" w:space="0" w:color="auto"/>
        <w:left w:val="none" w:sz="0" w:space="0" w:color="auto"/>
        <w:bottom w:val="none" w:sz="0" w:space="0" w:color="auto"/>
        <w:right w:val="none" w:sz="0" w:space="0" w:color="auto"/>
      </w:divBdr>
    </w:div>
    <w:div w:id="1309088888">
      <w:bodyDiv w:val="1"/>
      <w:marLeft w:val="0"/>
      <w:marRight w:val="0"/>
      <w:marTop w:val="0"/>
      <w:marBottom w:val="0"/>
      <w:divBdr>
        <w:top w:val="none" w:sz="0" w:space="0" w:color="auto"/>
        <w:left w:val="none" w:sz="0" w:space="0" w:color="auto"/>
        <w:bottom w:val="none" w:sz="0" w:space="0" w:color="auto"/>
        <w:right w:val="none" w:sz="0" w:space="0" w:color="auto"/>
      </w:divBdr>
    </w:div>
    <w:div w:id="1309090962">
      <w:bodyDiv w:val="1"/>
      <w:marLeft w:val="0"/>
      <w:marRight w:val="0"/>
      <w:marTop w:val="0"/>
      <w:marBottom w:val="0"/>
      <w:divBdr>
        <w:top w:val="none" w:sz="0" w:space="0" w:color="auto"/>
        <w:left w:val="none" w:sz="0" w:space="0" w:color="auto"/>
        <w:bottom w:val="none" w:sz="0" w:space="0" w:color="auto"/>
        <w:right w:val="none" w:sz="0" w:space="0" w:color="auto"/>
      </w:divBdr>
    </w:div>
    <w:div w:id="1309166913">
      <w:bodyDiv w:val="1"/>
      <w:marLeft w:val="0"/>
      <w:marRight w:val="0"/>
      <w:marTop w:val="0"/>
      <w:marBottom w:val="0"/>
      <w:divBdr>
        <w:top w:val="none" w:sz="0" w:space="0" w:color="auto"/>
        <w:left w:val="none" w:sz="0" w:space="0" w:color="auto"/>
        <w:bottom w:val="none" w:sz="0" w:space="0" w:color="auto"/>
        <w:right w:val="none" w:sz="0" w:space="0" w:color="auto"/>
      </w:divBdr>
    </w:div>
    <w:div w:id="1309240579">
      <w:bodyDiv w:val="1"/>
      <w:marLeft w:val="0"/>
      <w:marRight w:val="0"/>
      <w:marTop w:val="0"/>
      <w:marBottom w:val="0"/>
      <w:divBdr>
        <w:top w:val="none" w:sz="0" w:space="0" w:color="auto"/>
        <w:left w:val="none" w:sz="0" w:space="0" w:color="auto"/>
        <w:bottom w:val="none" w:sz="0" w:space="0" w:color="auto"/>
        <w:right w:val="none" w:sz="0" w:space="0" w:color="auto"/>
      </w:divBdr>
    </w:div>
    <w:div w:id="1309280370">
      <w:bodyDiv w:val="1"/>
      <w:marLeft w:val="0"/>
      <w:marRight w:val="0"/>
      <w:marTop w:val="0"/>
      <w:marBottom w:val="0"/>
      <w:divBdr>
        <w:top w:val="none" w:sz="0" w:space="0" w:color="auto"/>
        <w:left w:val="none" w:sz="0" w:space="0" w:color="auto"/>
        <w:bottom w:val="none" w:sz="0" w:space="0" w:color="auto"/>
        <w:right w:val="none" w:sz="0" w:space="0" w:color="auto"/>
      </w:divBdr>
    </w:div>
    <w:div w:id="1309475628">
      <w:bodyDiv w:val="1"/>
      <w:marLeft w:val="0"/>
      <w:marRight w:val="0"/>
      <w:marTop w:val="0"/>
      <w:marBottom w:val="0"/>
      <w:divBdr>
        <w:top w:val="none" w:sz="0" w:space="0" w:color="auto"/>
        <w:left w:val="none" w:sz="0" w:space="0" w:color="auto"/>
        <w:bottom w:val="none" w:sz="0" w:space="0" w:color="auto"/>
        <w:right w:val="none" w:sz="0" w:space="0" w:color="auto"/>
      </w:divBdr>
    </w:div>
    <w:div w:id="1309481878">
      <w:bodyDiv w:val="1"/>
      <w:marLeft w:val="0"/>
      <w:marRight w:val="0"/>
      <w:marTop w:val="0"/>
      <w:marBottom w:val="0"/>
      <w:divBdr>
        <w:top w:val="none" w:sz="0" w:space="0" w:color="auto"/>
        <w:left w:val="none" w:sz="0" w:space="0" w:color="auto"/>
        <w:bottom w:val="none" w:sz="0" w:space="0" w:color="auto"/>
        <w:right w:val="none" w:sz="0" w:space="0" w:color="auto"/>
      </w:divBdr>
    </w:div>
    <w:div w:id="1309699751">
      <w:bodyDiv w:val="1"/>
      <w:marLeft w:val="0"/>
      <w:marRight w:val="0"/>
      <w:marTop w:val="0"/>
      <w:marBottom w:val="0"/>
      <w:divBdr>
        <w:top w:val="none" w:sz="0" w:space="0" w:color="auto"/>
        <w:left w:val="none" w:sz="0" w:space="0" w:color="auto"/>
        <w:bottom w:val="none" w:sz="0" w:space="0" w:color="auto"/>
        <w:right w:val="none" w:sz="0" w:space="0" w:color="auto"/>
      </w:divBdr>
    </w:div>
    <w:div w:id="1310012826">
      <w:bodyDiv w:val="1"/>
      <w:marLeft w:val="0"/>
      <w:marRight w:val="0"/>
      <w:marTop w:val="0"/>
      <w:marBottom w:val="0"/>
      <w:divBdr>
        <w:top w:val="none" w:sz="0" w:space="0" w:color="auto"/>
        <w:left w:val="none" w:sz="0" w:space="0" w:color="auto"/>
        <w:bottom w:val="none" w:sz="0" w:space="0" w:color="auto"/>
        <w:right w:val="none" w:sz="0" w:space="0" w:color="auto"/>
      </w:divBdr>
    </w:div>
    <w:div w:id="1310086379">
      <w:bodyDiv w:val="1"/>
      <w:marLeft w:val="0"/>
      <w:marRight w:val="0"/>
      <w:marTop w:val="0"/>
      <w:marBottom w:val="0"/>
      <w:divBdr>
        <w:top w:val="none" w:sz="0" w:space="0" w:color="auto"/>
        <w:left w:val="none" w:sz="0" w:space="0" w:color="auto"/>
        <w:bottom w:val="none" w:sz="0" w:space="0" w:color="auto"/>
        <w:right w:val="none" w:sz="0" w:space="0" w:color="auto"/>
      </w:divBdr>
    </w:div>
    <w:div w:id="1310285651">
      <w:bodyDiv w:val="1"/>
      <w:marLeft w:val="0"/>
      <w:marRight w:val="0"/>
      <w:marTop w:val="0"/>
      <w:marBottom w:val="0"/>
      <w:divBdr>
        <w:top w:val="none" w:sz="0" w:space="0" w:color="auto"/>
        <w:left w:val="none" w:sz="0" w:space="0" w:color="auto"/>
        <w:bottom w:val="none" w:sz="0" w:space="0" w:color="auto"/>
        <w:right w:val="none" w:sz="0" w:space="0" w:color="auto"/>
      </w:divBdr>
    </w:div>
    <w:div w:id="1310403467">
      <w:bodyDiv w:val="1"/>
      <w:marLeft w:val="0"/>
      <w:marRight w:val="0"/>
      <w:marTop w:val="0"/>
      <w:marBottom w:val="0"/>
      <w:divBdr>
        <w:top w:val="none" w:sz="0" w:space="0" w:color="auto"/>
        <w:left w:val="none" w:sz="0" w:space="0" w:color="auto"/>
        <w:bottom w:val="none" w:sz="0" w:space="0" w:color="auto"/>
        <w:right w:val="none" w:sz="0" w:space="0" w:color="auto"/>
      </w:divBdr>
    </w:div>
    <w:div w:id="1310482275">
      <w:bodyDiv w:val="1"/>
      <w:marLeft w:val="0"/>
      <w:marRight w:val="0"/>
      <w:marTop w:val="0"/>
      <w:marBottom w:val="0"/>
      <w:divBdr>
        <w:top w:val="none" w:sz="0" w:space="0" w:color="auto"/>
        <w:left w:val="none" w:sz="0" w:space="0" w:color="auto"/>
        <w:bottom w:val="none" w:sz="0" w:space="0" w:color="auto"/>
        <w:right w:val="none" w:sz="0" w:space="0" w:color="auto"/>
      </w:divBdr>
    </w:div>
    <w:div w:id="1310747769">
      <w:bodyDiv w:val="1"/>
      <w:marLeft w:val="0"/>
      <w:marRight w:val="0"/>
      <w:marTop w:val="0"/>
      <w:marBottom w:val="0"/>
      <w:divBdr>
        <w:top w:val="none" w:sz="0" w:space="0" w:color="auto"/>
        <w:left w:val="none" w:sz="0" w:space="0" w:color="auto"/>
        <w:bottom w:val="none" w:sz="0" w:space="0" w:color="auto"/>
        <w:right w:val="none" w:sz="0" w:space="0" w:color="auto"/>
      </w:divBdr>
    </w:div>
    <w:div w:id="1310865164">
      <w:bodyDiv w:val="1"/>
      <w:marLeft w:val="0"/>
      <w:marRight w:val="0"/>
      <w:marTop w:val="0"/>
      <w:marBottom w:val="0"/>
      <w:divBdr>
        <w:top w:val="none" w:sz="0" w:space="0" w:color="auto"/>
        <w:left w:val="none" w:sz="0" w:space="0" w:color="auto"/>
        <w:bottom w:val="none" w:sz="0" w:space="0" w:color="auto"/>
        <w:right w:val="none" w:sz="0" w:space="0" w:color="auto"/>
      </w:divBdr>
    </w:div>
    <w:div w:id="1311208208">
      <w:bodyDiv w:val="1"/>
      <w:marLeft w:val="0"/>
      <w:marRight w:val="0"/>
      <w:marTop w:val="0"/>
      <w:marBottom w:val="0"/>
      <w:divBdr>
        <w:top w:val="none" w:sz="0" w:space="0" w:color="auto"/>
        <w:left w:val="none" w:sz="0" w:space="0" w:color="auto"/>
        <w:bottom w:val="none" w:sz="0" w:space="0" w:color="auto"/>
        <w:right w:val="none" w:sz="0" w:space="0" w:color="auto"/>
      </w:divBdr>
    </w:div>
    <w:div w:id="1311209053">
      <w:bodyDiv w:val="1"/>
      <w:marLeft w:val="0"/>
      <w:marRight w:val="0"/>
      <w:marTop w:val="0"/>
      <w:marBottom w:val="0"/>
      <w:divBdr>
        <w:top w:val="none" w:sz="0" w:space="0" w:color="auto"/>
        <w:left w:val="none" w:sz="0" w:space="0" w:color="auto"/>
        <w:bottom w:val="none" w:sz="0" w:space="0" w:color="auto"/>
        <w:right w:val="none" w:sz="0" w:space="0" w:color="auto"/>
      </w:divBdr>
    </w:div>
    <w:div w:id="1311210331">
      <w:bodyDiv w:val="1"/>
      <w:marLeft w:val="0"/>
      <w:marRight w:val="0"/>
      <w:marTop w:val="0"/>
      <w:marBottom w:val="0"/>
      <w:divBdr>
        <w:top w:val="none" w:sz="0" w:space="0" w:color="auto"/>
        <w:left w:val="none" w:sz="0" w:space="0" w:color="auto"/>
        <w:bottom w:val="none" w:sz="0" w:space="0" w:color="auto"/>
        <w:right w:val="none" w:sz="0" w:space="0" w:color="auto"/>
      </w:divBdr>
    </w:div>
    <w:div w:id="1311248070">
      <w:bodyDiv w:val="1"/>
      <w:marLeft w:val="0"/>
      <w:marRight w:val="0"/>
      <w:marTop w:val="0"/>
      <w:marBottom w:val="0"/>
      <w:divBdr>
        <w:top w:val="none" w:sz="0" w:space="0" w:color="auto"/>
        <w:left w:val="none" w:sz="0" w:space="0" w:color="auto"/>
        <w:bottom w:val="none" w:sz="0" w:space="0" w:color="auto"/>
        <w:right w:val="none" w:sz="0" w:space="0" w:color="auto"/>
      </w:divBdr>
    </w:div>
    <w:div w:id="1311404375">
      <w:bodyDiv w:val="1"/>
      <w:marLeft w:val="0"/>
      <w:marRight w:val="0"/>
      <w:marTop w:val="0"/>
      <w:marBottom w:val="0"/>
      <w:divBdr>
        <w:top w:val="none" w:sz="0" w:space="0" w:color="auto"/>
        <w:left w:val="none" w:sz="0" w:space="0" w:color="auto"/>
        <w:bottom w:val="none" w:sz="0" w:space="0" w:color="auto"/>
        <w:right w:val="none" w:sz="0" w:space="0" w:color="auto"/>
      </w:divBdr>
    </w:div>
    <w:div w:id="1311517329">
      <w:bodyDiv w:val="1"/>
      <w:marLeft w:val="0"/>
      <w:marRight w:val="0"/>
      <w:marTop w:val="0"/>
      <w:marBottom w:val="0"/>
      <w:divBdr>
        <w:top w:val="none" w:sz="0" w:space="0" w:color="auto"/>
        <w:left w:val="none" w:sz="0" w:space="0" w:color="auto"/>
        <w:bottom w:val="none" w:sz="0" w:space="0" w:color="auto"/>
        <w:right w:val="none" w:sz="0" w:space="0" w:color="auto"/>
      </w:divBdr>
    </w:div>
    <w:div w:id="1311710000">
      <w:bodyDiv w:val="1"/>
      <w:marLeft w:val="0"/>
      <w:marRight w:val="0"/>
      <w:marTop w:val="0"/>
      <w:marBottom w:val="0"/>
      <w:divBdr>
        <w:top w:val="none" w:sz="0" w:space="0" w:color="auto"/>
        <w:left w:val="none" w:sz="0" w:space="0" w:color="auto"/>
        <w:bottom w:val="none" w:sz="0" w:space="0" w:color="auto"/>
        <w:right w:val="none" w:sz="0" w:space="0" w:color="auto"/>
      </w:divBdr>
    </w:div>
    <w:div w:id="1311711659">
      <w:bodyDiv w:val="1"/>
      <w:marLeft w:val="0"/>
      <w:marRight w:val="0"/>
      <w:marTop w:val="0"/>
      <w:marBottom w:val="0"/>
      <w:divBdr>
        <w:top w:val="none" w:sz="0" w:space="0" w:color="auto"/>
        <w:left w:val="none" w:sz="0" w:space="0" w:color="auto"/>
        <w:bottom w:val="none" w:sz="0" w:space="0" w:color="auto"/>
        <w:right w:val="none" w:sz="0" w:space="0" w:color="auto"/>
      </w:divBdr>
    </w:div>
    <w:div w:id="1311858892">
      <w:bodyDiv w:val="1"/>
      <w:marLeft w:val="0"/>
      <w:marRight w:val="0"/>
      <w:marTop w:val="0"/>
      <w:marBottom w:val="0"/>
      <w:divBdr>
        <w:top w:val="none" w:sz="0" w:space="0" w:color="auto"/>
        <w:left w:val="none" w:sz="0" w:space="0" w:color="auto"/>
        <w:bottom w:val="none" w:sz="0" w:space="0" w:color="auto"/>
        <w:right w:val="none" w:sz="0" w:space="0" w:color="auto"/>
      </w:divBdr>
    </w:div>
    <w:div w:id="1311904465">
      <w:bodyDiv w:val="1"/>
      <w:marLeft w:val="0"/>
      <w:marRight w:val="0"/>
      <w:marTop w:val="0"/>
      <w:marBottom w:val="0"/>
      <w:divBdr>
        <w:top w:val="none" w:sz="0" w:space="0" w:color="auto"/>
        <w:left w:val="none" w:sz="0" w:space="0" w:color="auto"/>
        <w:bottom w:val="none" w:sz="0" w:space="0" w:color="auto"/>
        <w:right w:val="none" w:sz="0" w:space="0" w:color="auto"/>
      </w:divBdr>
    </w:div>
    <w:div w:id="1311976864">
      <w:bodyDiv w:val="1"/>
      <w:marLeft w:val="0"/>
      <w:marRight w:val="0"/>
      <w:marTop w:val="0"/>
      <w:marBottom w:val="0"/>
      <w:divBdr>
        <w:top w:val="none" w:sz="0" w:space="0" w:color="auto"/>
        <w:left w:val="none" w:sz="0" w:space="0" w:color="auto"/>
        <w:bottom w:val="none" w:sz="0" w:space="0" w:color="auto"/>
        <w:right w:val="none" w:sz="0" w:space="0" w:color="auto"/>
      </w:divBdr>
    </w:div>
    <w:div w:id="1312252146">
      <w:bodyDiv w:val="1"/>
      <w:marLeft w:val="0"/>
      <w:marRight w:val="0"/>
      <w:marTop w:val="0"/>
      <w:marBottom w:val="0"/>
      <w:divBdr>
        <w:top w:val="none" w:sz="0" w:space="0" w:color="auto"/>
        <w:left w:val="none" w:sz="0" w:space="0" w:color="auto"/>
        <w:bottom w:val="none" w:sz="0" w:space="0" w:color="auto"/>
        <w:right w:val="none" w:sz="0" w:space="0" w:color="auto"/>
      </w:divBdr>
    </w:div>
    <w:div w:id="1312365593">
      <w:bodyDiv w:val="1"/>
      <w:marLeft w:val="0"/>
      <w:marRight w:val="0"/>
      <w:marTop w:val="0"/>
      <w:marBottom w:val="0"/>
      <w:divBdr>
        <w:top w:val="none" w:sz="0" w:space="0" w:color="auto"/>
        <w:left w:val="none" w:sz="0" w:space="0" w:color="auto"/>
        <w:bottom w:val="none" w:sz="0" w:space="0" w:color="auto"/>
        <w:right w:val="none" w:sz="0" w:space="0" w:color="auto"/>
      </w:divBdr>
    </w:div>
    <w:div w:id="1312445139">
      <w:bodyDiv w:val="1"/>
      <w:marLeft w:val="0"/>
      <w:marRight w:val="0"/>
      <w:marTop w:val="0"/>
      <w:marBottom w:val="0"/>
      <w:divBdr>
        <w:top w:val="none" w:sz="0" w:space="0" w:color="auto"/>
        <w:left w:val="none" w:sz="0" w:space="0" w:color="auto"/>
        <w:bottom w:val="none" w:sz="0" w:space="0" w:color="auto"/>
        <w:right w:val="none" w:sz="0" w:space="0" w:color="auto"/>
      </w:divBdr>
    </w:div>
    <w:div w:id="1312831781">
      <w:bodyDiv w:val="1"/>
      <w:marLeft w:val="0"/>
      <w:marRight w:val="0"/>
      <w:marTop w:val="0"/>
      <w:marBottom w:val="0"/>
      <w:divBdr>
        <w:top w:val="none" w:sz="0" w:space="0" w:color="auto"/>
        <w:left w:val="none" w:sz="0" w:space="0" w:color="auto"/>
        <w:bottom w:val="none" w:sz="0" w:space="0" w:color="auto"/>
        <w:right w:val="none" w:sz="0" w:space="0" w:color="auto"/>
      </w:divBdr>
    </w:div>
    <w:div w:id="1312906624">
      <w:bodyDiv w:val="1"/>
      <w:marLeft w:val="0"/>
      <w:marRight w:val="0"/>
      <w:marTop w:val="0"/>
      <w:marBottom w:val="0"/>
      <w:divBdr>
        <w:top w:val="none" w:sz="0" w:space="0" w:color="auto"/>
        <w:left w:val="none" w:sz="0" w:space="0" w:color="auto"/>
        <w:bottom w:val="none" w:sz="0" w:space="0" w:color="auto"/>
        <w:right w:val="none" w:sz="0" w:space="0" w:color="auto"/>
      </w:divBdr>
    </w:div>
    <w:div w:id="1313024259">
      <w:bodyDiv w:val="1"/>
      <w:marLeft w:val="0"/>
      <w:marRight w:val="0"/>
      <w:marTop w:val="0"/>
      <w:marBottom w:val="0"/>
      <w:divBdr>
        <w:top w:val="none" w:sz="0" w:space="0" w:color="auto"/>
        <w:left w:val="none" w:sz="0" w:space="0" w:color="auto"/>
        <w:bottom w:val="none" w:sz="0" w:space="0" w:color="auto"/>
        <w:right w:val="none" w:sz="0" w:space="0" w:color="auto"/>
      </w:divBdr>
    </w:div>
    <w:div w:id="1313145802">
      <w:bodyDiv w:val="1"/>
      <w:marLeft w:val="0"/>
      <w:marRight w:val="0"/>
      <w:marTop w:val="0"/>
      <w:marBottom w:val="0"/>
      <w:divBdr>
        <w:top w:val="none" w:sz="0" w:space="0" w:color="auto"/>
        <w:left w:val="none" w:sz="0" w:space="0" w:color="auto"/>
        <w:bottom w:val="none" w:sz="0" w:space="0" w:color="auto"/>
        <w:right w:val="none" w:sz="0" w:space="0" w:color="auto"/>
      </w:divBdr>
    </w:div>
    <w:div w:id="1313218473">
      <w:bodyDiv w:val="1"/>
      <w:marLeft w:val="0"/>
      <w:marRight w:val="0"/>
      <w:marTop w:val="0"/>
      <w:marBottom w:val="0"/>
      <w:divBdr>
        <w:top w:val="none" w:sz="0" w:space="0" w:color="auto"/>
        <w:left w:val="none" w:sz="0" w:space="0" w:color="auto"/>
        <w:bottom w:val="none" w:sz="0" w:space="0" w:color="auto"/>
        <w:right w:val="none" w:sz="0" w:space="0" w:color="auto"/>
      </w:divBdr>
    </w:div>
    <w:div w:id="1313607844">
      <w:bodyDiv w:val="1"/>
      <w:marLeft w:val="0"/>
      <w:marRight w:val="0"/>
      <w:marTop w:val="0"/>
      <w:marBottom w:val="0"/>
      <w:divBdr>
        <w:top w:val="none" w:sz="0" w:space="0" w:color="auto"/>
        <w:left w:val="none" w:sz="0" w:space="0" w:color="auto"/>
        <w:bottom w:val="none" w:sz="0" w:space="0" w:color="auto"/>
        <w:right w:val="none" w:sz="0" w:space="0" w:color="auto"/>
      </w:divBdr>
    </w:div>
    <w:div w:id="1313750076">
      <w:bodyDiv w:val="1"/>
      <w:marLeft w:val="0"/>
      <w:marRight w:val="0"/>
      <w:marTop w:val="0"/>
      <w:marBottom w:val="0"/>
      <w:divBdr>
        <w:top w:val="none" w:sz="0" w:space="0" w:color="auto"/>
        <w:left w:val="none" w:sz="0" w:space="0" w:color="auto"/>
        <w:bottom w:val="none" w:sz="0" w:space="0" w:color="auto"/>
        <w:right w:val="none" w:sz="0" w:space="0" w:color="auto"/>
      </w:divBdr>
    </w:div>
    <w:div w:id="1313753896">
      <w:bodyDiv w:val="1"/>
      <w:marLeft w:val="0"/>
      <w:marRight w:val="0"/>
      <w:marTop w:val="0"/>
      <w:marBottom w:val="0"/>
      <w:divBdr>
        <w:top w:val="none" w:sz="0" w:space="0" w:color="auto"/>
        <w:left w:val="none" w:sz="0" w:space="0" w:color="auto"/>
        <w:bottom w:val="none" w:sz="0" w:space="0" w:color="auto"/>
        <w:right w:val="none" w:sz="0" w:space="0" w:color="auto"/>
      </w:divBdr>
    </w:div>
    <w:div w:id="1313825091">
      <w:bodyDiv w:val="1"/>
      <w:marLeft w:val="0"/>
      <w:marRight w:val="0"/>
      <w:marTop w:val="0"/>
      <w:marBottom w:val="0"/>
      <w:divBdr>
        <w:top w:val="none" w:sz="0" w:space="0" w:color="auto"/>
        <w:left w:val="none" w:sz="0" w:space="0" w:color="auto"/>
        <w:bottom w:val="none" w:sz="0" w:space="0" w:color="auto"/>
        <w:right w:val="none" w:sz="0" w:space="0" w:color="auto"/>
      </w:divBdr>
    </w:div>
    <w:div w:id="1313831925">
      <w:bodyDiv w:val="1"/>
      <w:marLeft w:val="0"/>
      <w:marRight w:val="0"/>
      <w:marTop w:val="0"/>
      <w:marBottom w:val="0"/>
      <w:divBdr>
        <w:top w:val="none" w:sz="0" w:space="0" w:color="auto"/>
        <w:left w:val="none" w:sz="0" w:space="0" w:color="auto"/>
        <w:bottom w:val="none" w:sz="0" w:space="0" w:color="auto"/>
        <w:right w:val="none" w:sz="0" w:space="0" w:color="auto"/>
      </w:divBdr>
    </w:div>
    <w:div w:id="1313870427">
      <w:bodyDiv w:val="1"/>
      <w:marLeft w:val="0"/>
      <w:marRight w:val="0"/>
      <w:marTop w:val="0"/>
      <w:marBottom w:val="0"/>
      <w:divBdr>
        <w:top w:val="none" w:sz="0" w:space="0" w:color="auto"/>
        <w:left w:val="none" w:sz="0" w:space="0" w:color="auto"/>
        <w:bottom w:val="none" w:sz="0" w:space="0" w:color="auto"/>
        <w:right w:val="none" w:sz="0" w:space="0" w:color="auto"/>
      </w:divBdr>
    </w:div>
    <w:div w:id="1314218062">
      <w:bodyDiv w:val="1"/>
      <w:marLeft w:val="0"/>
      <w:marRight w:val="0"/>
      <w:marTop w:val="0"/>
      <w:marBottom w:val="0"/>
      <w:divBdr>
        <w:top w:val="none" w:sz="0" w:space="0" w:color="auto"/>
        <w:left w:val="none" w:sz="0" w:space="0" w:color="auto"/>
        <w:bottom w:val="none" w:sz="0" w:space="0" w:color="auto"/>
        <w:right w:val="none" w:sz="0" w:space="0" w:color="auto"/>
      </w:divBdr>
    </w:div>
    <w:div w:id="1314481856">
      <w:bodyDiv w:val="1"/>
      <w:marLeft w:val="0"/>
      <w:marRight w:val="0"/>
      <w:marTop w:val="0"/>
      <w:marBottom w:val="0"/>
      <w:divBdr>
        <w:top w:val="none" w:sz="0" w:space="0" w:color="auto"/>
        <w:left w:val="none" w:sz="0" w:space="0" w:color="auto"/>
        <w:bottom w:val="none" w:sz="0" w:space="0" w:color="auto"/>
        <w:right w:val="none" w:sz="0" w:space="0" w:color="auto"/>
      </w:divBdr>
    </w:div>
    <w:div w:id="1314485551">
      <w:bodyDiv w:val="1"/>
      <w:marLeft w:val="0"/>
      <w:marRight w:val="0"/>
      <w:marTop w:val="0"/>
      <w:marBottom w:val="0"/>
      <w:divBdr>
        <w:top w:val="none" w:sz="0" w:space="0" w:color="auto"/>
        <w:left w:val="none" w:sz="0" w:space="0" w:color="auto"/>
        <w:bottom w:val="none" w:sz="0" w:space="0" w:color="auto"/>
        <w:right w:val="none" w:sz="0" w:space="0" w:color="auto"/>
      </w:divBdr>
    </w:div>
    <w:div w:id="1314527260">
      <w:bodyDiv w:val="1"/>
      <w:marLeft w:val="0"/>
      <w:marRight w:val="0"/>
      <w:marTop w:val="0"/>
      <w:marBottom w:val="0"/>
      <w:divBdr>
        <w:top w:val="none" w:sz="0" w:space="0" w:color="auto"/>
        <w:left w:val="none" w:sz="0" w:space="0" w:color="auto"/>
        <w:bottom w:val="none" w:sz="0" w:space="0" w:color="auto"/>
        <w:right w:val="none" w:sz="0" w:space="0" w:color="auto"/>
      </w:divBdr>
    </w:div>
    <w:div w:id="1314724674">
      <w:bodyDiv w:val="1"/>
      <w:marLeft w:val="0"/>
      <w:marRight w:val="0"/>
      <w:marTop w:val="0"/>
      <w:marBottom w:val="0"/>
      <w:divBdr>
        <w:top w:val="none" w:sz="0" w:space="0" w:color="auto"/>
        <w:left w:val="none" w:sz="0" w:space="0" w:color="auto"/>
        <w:bottom w:val="none" w:sz="0" w:space="0" w:color="auto"/>
        <w:right w:val="none" w:sz="0" w:space="0" w:color="auto"/>
      </w:divBdr>
    </w:div>
    <w:div w:id="1314793127">
      <w:bodyDiv w:val="1"/>
      <w:marLeft w:val="0"/>
      <w:marRight w:val="0"/>
      <w:marTop w:val="0"/>
      <w:marBottom w:val="0"/>
      <w:divBdr>
        <w:top w:val="none" w:sz="0" w:space="0" w:color="auto"/>
        <w:left w:val="none" w:sz="0" w:space="0" w:color="auto"/>
        <w:bottom w:val="none" w:sz="0" w:space="0" w:color="auto"/>
        <w:right w:val="none" w:sz="0" w:space="0" w:color="auto"/>
      </w:divBdr>
    </w:div>
    <w:div w:id="1315063194">
      <w:bodyDiv w:val="1"/>
      <w:marLeft w:val="0"/>
      <w:marRight w:val="0"/>
      <w:marTop w:val="0"/>
      <w:marBottom w:val="0"/>
      <w:divBdr>
        <w:top w:val="none" w:sz="0" w:space="0" w:color="auto"/>
        <w:left w:val="none" w:sz="0" w:space="0" w:color="auto"/>
        <w:bottom w:val="none" w:sz="0" w:space="0" w:color="auto"/>
        <w:right w:val="none" w:sz="0" w:space="0" w:color="auto"/>
      </w:divBdr>
    </w:div>
    <w:div w:id="1315065352">
      <w:bodyDiv w:val="1"/>
      <w:marLeft w:val="0"/>
      <w:marRight w:val="0"/>
      <w:marTop w:val="0"/>
      <w:marBottom w:val="0"/>
      <w:divBdr>
        <w:top w:val="none" w:sz="0" w:space="0" w:color="auto"/>
        <w:left w:val="none" w:sz="0" w:space="0" w:color="auto"/>
        <w:bottom w:val="none" w:sz="0" w:space="0" w:color="auto"/>
        <w:right w:val="none" w:sz="0" w:space="0" w:color="auto"/>
      </w:divBdr>
    </w:div>
    <w:div w:id="1315331826">
      <w:bodyDiv w:val="1"/>
      <w:marLeft w:val="0"/>
      <w:marRight w:val="0"/>
      <w:marTop w:val="0"/>
      <w:marBottom w:val="0"/>
      <w:divBdr>
        <w:top w:val="none" w:sz="0" w:space="0" w:color="auto"/>
        <w:left w:val="none" w:sz="0" w:space="0" w:color="auto"/>
        <w:bottom w:val="none" w:sz="0" w:space="0" w:color="auto"/>
        <w:right w:val="none" w:sz="0" w:space="0" w:color="auto"/>
      </w:divBdr>
    </w:div>
    <w:div w:id="1315380031">
      <w:bodyDiv w:val="1"/>
      <w:marLeft w:val="0"/>
      <w:marRight w:val="0"/>
      <w:marTop w:val="0"/>
      <w:marBottom w:val="0"/>
      <w:divBdr>
        <w:top w:val="none" w:sz="0" w:space="0" w:color="auto"/>
        <w:left w:val="none" w:sz="0" w:space="0" w:color="auto"/>
        <w:bottom w:val="none" w:sz="0" w:space="0" w:color="auto"/>
        <w:right w:val="none" w:sz="0" w:space="0" w:color="auto"/>
      </w:divBdr>
    </w:div>
    <w:div w:id="1315598591">
      <w:bodyDiv w:val="1"/>
      <w:marLeft w:val="0"/>
      <w:marRight w:val="0"/>
      <w:marTop w:val="0"/>
      <w:marBottom w:val="0"/>
      <w:divBdr>
        <w:top w:val="none" w:sz="0" w:space="0" w:color="auto"/>
        <w:left w:val="none" w:sz="0" w:space="0" w:color="auto"/>
        <w:bottom w:val="none" w:sz="0" w:space="0" w:color="auto"/>
        <w:right w:val="none" w:sz="0" w:space="0" w:color="auto"/>
      </w:divBdr>
    </w:div>
    <w:div w:id="1315644064">
      <w:bodyDiv w:val="1"/>
      <w:marLeft w:val="0"/>
      <w:marRight w:val="0"/>
      <w:marTop w:val="0"/>
      <w:marBottom w:val="0"/>
      <w:divBdr>
        <w:top w:val="none" w:sz="0" w:space="0" w:color="auto"/>
        <w:left w:val="none" w:sz="0" w:space="0" w:color="auto"/>
        <w:bottom w:val="none" w:sz="0" w:space="0" w:color="auto"/>
        <w:right w:val="none" w:sz="0" w:space="0" w:color="auto"/>
      </w:divBdr>
    </w:div>
    <w:div w:id="1315909593">
      <w:bodyDiv w:val="1"/>
      <w:marLeft w:val="0"/>
      <w:marRight w:val="0"/>
      <w:marTop w:val="0"/>
      <w:marBottom w:val="0"/>
      <w:divBdr>
        <w:top w:val="none" w:sz="0" w:space="0" w:color="auto"/>
        <w:left w:val="none" w:sz="0" w:space="0" w:color="auto"/>
        <w:bottom w:val="none" w:sz="0" w:space="0" w:color="auto"/>
        <w:right w:val="none" w:sz="0" w:space="0" w:color="auto"/>
      </w:divBdr>
    </w:div>
    <w:div w:id="1315909902">
      <w:bodyDiv w:val="1"/>
      <w:marLeft w:val="0"/>
      <w:marRight w:val="0"/>
      <w:marTop w:val="0"/>
      <w:marBottom w:val="0"/>
      <w:divBdr>
        <w:top w:val="none" w:sz="0" w:space="0" w:color="auto"/>
        <w:left w:val="none" w:sz="0" w:space="0" w:color="auto"/>
        <w:bottom w:val="none" w:sz="0" w:space="0" w:color="auto"/>
        <w:right w:val="none" w:sz="0" w:space="0" w:color="auto"/>
      </w:divBdr>
    </w:div>
    <w:div w:id="1315911520">
      <w:bodyDiv w:val="1"/>
      <w:marLeft w:val="0"/>
      <w:marRight w:val="0"/>
      <w:marTop w:val="0"/>
      <w:marBottom w:val="0"/>
      <w:divBdr>
        <w:top w:val="none" w:sz="0" w:space="0" w:color="auto"/>
        <w:left w:val="none" w:sz="0" w:space="0" w:color="auto"/>
        <w:bottom w:val="none" w:sz="0" w:space="0" w:color="auto"/>
        <w:right w:val="none" w:sz="0" w:space="0" w:color="auto"/>
      </w:divBdr>
    </w:div>
    <w:div w:id="1315988179">
      <w:bodyDiv w:val="1"/>
      <w:marLeft w:val="0"/>
      <w:marRight w:val="0"/>
      <w:marTop w:val="0"/>
      <w:marBottom w:val="0"/>
      <w:divBdr>
        <w:top w:val="none" w:sz="0" w:space="0" w:color="auto"/>
        <w:left w:val="none" w:sz="0" w:space="0" w:color="auto"/>
        <w:bottom w:val="none" w:sz="0" w:space="0" w:color="auto"/>
        <w:right w:val="none" w:sz="0" w:space="0" w:color="auto"/>
      </w:divBdr>
    </w:div>
    <w:div w:id="1316180374">
      <w:bodyDiv w:val="1"/>
      <w:marLeft w:val="0"/>
      <w:marRight w:val="0"/>
      <w:marTop w:val="0"/>
      <w:marBottom w:val="0"/>
      <w:divBdr>
        <w:top w:val="none" w:sz="0" w:space="0" w:color="auto"/>
        <w:left w:val="none" w:sz="0" w:space="0" w:color="auto"/>
        <w:bottom w:val="none" w:sz="0" w:space="0" w:color="auto"/>
        <w:right w:val="none" w:sz="0" w:space="0" w:color="auto"/>
      </w:divBdr>
    </w:div>
    <w:div w:id="1316567002">
      <w:bodyDiv w:val="1"/>
      <w:marLeft w:val="0"/>
      <w:marRight w:val="0"/>
      <w:marTop w:val="0"/>
      <w:marBottom w:val="0"/>
      <w:divBdr>
        <w:top w:val="none" w:sz="0" w:space="0" w:color="auto"/>
        <w:left w:val="none" w:sz="0" w:space="0" w:color="auto"/>
        <w:bottom w:val="none" w:sz="0" w:space="0" w:color="auto"/>
        <w:right w:val="none" w:sz="0" w:space="0" w:color="auto"/>
      </w:divBdr>
    </w:div>
    <w:div w:id="1316908085">
      <w:bodyDiv w:val="1"/>
      <w:marLeft w:val="0"/>
      <w:marRight w:val="0"/>
      <w:marTop w:val="0"/>
      <w:marBottom w:val="0"/>
      <w:divBdr>
        <w:top w:val="none" w:sz="0" w:space="0" w:color="auto"/>
        <w:left w:val="none" w:sz="0" w:space="0" w:color="auto"/>
        <w:bottom w:val="none" w:sz="0" w:space="0" w:color="auto"/>
        <w:right w:val="none" w:sz="0" w:space="0" w:color="auto"/>
      </w:divBdr>
    </w:div>
    <w:div w:id="1317103493">
      <w:bodyDiv w:val="1"/>
      <w:marLeft w:val="0"/>
      <w:marRight w:val="0"/>
      <w:marTop w:val="0"/>
      <w:marBottom w:val="0"/>
      <w:divBdr>
        <w:top w:val="none" w:sz="0" w:space="0" w:color="auto"/>
        <w:left w:val="none" w:sz="0" w:space="0" w:color="auto"/>
        <w:bottom w:val="none" w:sz="0" w:space="0" w:color="auto"/>
        <w:right w:val="none" w:sz="0" w:space="0" w:color="auto"/>
      </w:divBdr>
    </w:div>
    <w:div w:id="1317414768">
      <w:bodyDiv w:val="1"/>
      <w:marLeft w:val="0"/>
      <w:marRight w:val="0"/>
      <w:marTop w:val="0"/>
      <w:marBottom w:val="0"/>
      <w:divBdr>
        <w:top w:val="none" w:sz="0" w:space="0" w:color="auto"/>
        <w:left w:val="none" w:sz="0" w:space="0" w:color="auto"/>
        <w:bottom w:val="none" w:sz="0" w:space="0" w:color="auto"/>
        <w:right w:val="none" w:sz="0" w:space="0" w:color="auto"/>
      </w:divBdr>
    </w:div>
    <w:div w:id="1317487610">
      <w:bodyDiv w:val="1"/>
      <w:marLeft w:val="0"/>
      <w:marRight w:val="0"/>
      <w:marTop w:val="0"/>
      <w:marBottom w:val="0"/>
      <w:divBdr>
        <w:top w:val="none" w:sz="0" w:space="0" w:color="auto"/>
        <w:left w:val="none" w:sz="0" w:space="0" w:color="auto"/>
        <w:bottom w:val="none" w:sz="0" w:space="0" w:color="auto"/>
        <w:right w:val="none" w:sz="0" w:space="0" w:color="auto"/>
      </w:divBdr>
    </w:div>
    <w:div w:id="1317539124">
      <w:bodyDiv w:val="1"/>
      <w:marLeft w:val="0"/>
      <w:marRight w:val="0"/>
      <w:marTop w:val="0"/>
      <w:marBottom w:val="0"/>
      <w:divBdr>
        <w:top w:val="none" w:sz="0" w:space="0" w:color="auto"/>
        <w:left w:val="none" w:sz="0" w:space="0" w:color="auto"/>
        <w:bottom w:val="none" w:sz="0" w:space="0" w:color="auto"/>
        <w:right w:val="none" w:sz="0" w:space="0" w:color="auto"/>
      </w:divBdr>
    </w:div>
    <w:div w:id="1317613148">
      <w:bodyDiv w:val="1"/>
      <w:marLeft w:val="0"/>
      <w:marRight w:val="0"/>
      <w:marTop w:val="0"/>
      <w:marBottom w:val="0"/>
      <w:divBdr>
        <w:top w:val="none" w:sz="0" w:space="0" w:color="auto"/>
        <w:left w:val="none" w:sz="0" w:space="0" w:color="auto"/>
        <w:bottom w:val="none" w:sz="0" w:space="0" w:color="auto"/>
        <w:right w:val="none" w:sz="0" w:space="0" w:color="auto"/>
      </w:divBdr>
    </w:div>
    <w:div w:id="1317682182">
      <w:bodyDiv w:val="1"/>
      <w:marLeft w:val="0"/>
      <w:marRight w:val="0"/>
      <w:marTop w:val="0"/>
      <w:marBottom w:val="0"/>
      <w:divBdr>
        <w:top w:val="none" w:sz="0" w:space="0" w:color="auto"/>
        <w:left w:val="none" w:sz="0" w:space="0" w:color="auto"/>
        <w:bottom w:val="none" w:sz="0" w:space="0" w:color="auto"/>
        <w:right w:val="none" w:sz="0" w:space="0" w:color="auto"/>
      </w:divBdr>
    </w:div>
    <w:div w:id="1317756854">
      <w:bodyDiv w:val="1"/>
      <w:marLeft w:val="0"/>
      <w:marRight w:val="0"/>
      <w:marTop w:val="0"/>
      <w:marBottom w:val="0"/>
      <w:divBdr>
        <w:top w:val="none" w:sz="0" w:space="0" w:color="auto"/>
        <w:left w:val="none" w:sz="0" w:space="0" w:color="auto"/>
        <w:bottom w:val="none" w:sz="0" w:space="0" w:color="auto"/>
        <w:right w:val="none" w:sz="0" w:space="0" w:color="auto"/>
      </w:divBdr>
    </w:div>
    <w:div w:id="1317882733">
      <w:bodyDiv w:val="1"/>
      <w:marLeft w:val="0"/>
      <w:marRight w:val="0"/>
      <w:marTop w:val="0"/>
      <w:marBottom w:val="0"/>
      <w:divBdr>
        <w:top w:val="none" w:sz="0" w:space="0" w:color="auto"/>
        <w:left w:val="none" w:sz="0" w:space="0" w:color="auto"/>
        <w:bottom w:val="none" w:sz="0" w:space="0" w:color="auto"/>
        <w:right w:val="none" w:sz="0" w:space="0" w:color="auto"/>
      </w:divBdr>
    </w:div>
    <w:div w:id="1317998172">
      <w:bodyDiv w:val="1"/>
      <w:marLeft w:val="0"/>
      <w:marRight w:val="0"/>
      <w:marTop w:val="0"/>
      <w:marBottom w:val="0"/>
      <w:divBdr>
        <w:top w:val="none" w:sz="0" w:space="0" w:color="auto"/>
        <w:left w:val="none" w:sz="0" w:space="0" w:color="auto"/>
        <w:bottom w:val="none" w:sz="0" w:space="0" w:color="auto"/>
        <w:right w:val="none" w:sz="0" w:space="0" w:color="auto"/>
      </w:divBdr>
    </w:div>
    <w:div w:id="1318267156">
      <w:bodyDiv w:val="1"/>
      <w:marLeft w:val="0"/>
      <w:marRight w:val="0"/>
      <w:marTop w:val="0"/>
      <w:marBottom w:val="0"/>
      <w:divBdr>
        <w:top w:val="none" w:sz="0" w:space="0" w:color="auto"/>
        <w:left w:val="none" w:sz="0" w:space="0" w:color="auto"/>
        <w:bottom w:val="none" w:sz="0" w:space="0" w:color="auto"/>
        <w:right w:val="none" w:sz="0" w:space="0" w:color="auto"/>
      </w:divBdr>
    </w:div>
    <w:div w:id="1318534558">
      <w:bodyDiv w:val="1"/>
      <w:marLeft w:val="0"/>
      <w:marRight w:val="0"/>
      <w:marTop w:val="0"/>
      <w:marBottom w:val="0"/>
      <w:divBdr>
        <w:top w:val="none" w:sz="0" w:space="0" w:color="auto"/>
        <w:left w:val="none" w:sz="0" w:space="0" w:color="auto"/>
        <w:bottom w:val="none" w:sz="0" w:space="0" w:color="auto"/>
        <w:right w:val="none" w:sz="0" w:space="0" w:color="auto"/>
      </w:divBdr>
    </w:div>
    <w:div w:id="1318680498">
      <w:bodyDiv w:val="1"/>
      <w:marLeft w:val="0"/>
      <w:marRight w:val="0"/>
      <w:marTop w:val="0"/>
      <w:marBottom w:val="0"/>
      <w:divBdr>
        <w:top w:val="none" w:sz="0" w:space="0" w:color="auto"/>
        <w:left w:val="none" w:sz="0" w:space="0" w:color="auto"/>
        <w:bottom w:val="none" w:sz="0" w:space="0" w:color="auto"/>
        <w:right w:val="none" w:sz="0" w:space="0" w:color="auto"/>
      </w:divBdr>
    </w:div>
    <w:div w:id="1318916826">
      <w:bodyDiv w:val="1"/>
      <w:marLeft w:val="0"/>
      <w:marRight w:val="0"/>
      <w:marTop w:val="0"/>
      <w:marBottom w:val="0"/>
      <w:divBdr>
        <w:top w:val="none" w:sz="0" w:space="0" w:color="auto"/>
        <w:left w:val="none" w:sz="0" w:space="0" w:color="auto"/>
        <w:bottom w:val="none" w:sz="0" w:space="0" w:color="auto"/>
        <w:right w:val="none" w:sz="0" w:space="0" w:color="auto"/>
      </w:divBdr>
    </w:div>
    <w:div w:id="1318919585">
      <w:bodyDiv w:val="1"/>
      <w:marLeft w:val="0"/>
      <w:marRight w:val="0"/>
      <w:marTop w:val="0"/>
      <w:marBottom w:val="0"/>
      <w:divBdr>
        <w:top w:val="none" w:sz="0" w:space="0" w:color="auto"/>
        <w:left w:val="none" w:sz="0" w:space="0" w:color="auto"/>
        <w:bottom w:val="none" w:sz="0" w:space="0" w:color="auto"/>
        <w:right w:val="none" w:sz="0" w:space="0" w:color="auto"/>
      </w:divBdr>
    </w:div>
    <w:div w:id="1319073876">
      <w:bodyDiv w:val="1"/>
      <w:marLeft w:val="0"/>
      <w:marRight w:val="0"/>
      <w:marTop w:val="0"/>
      <w:marBottom w:val="0"/>
      <w:divBdr>
        <w:top w:val="none" w:sz="0" w:space="0" w:color="auto"/>
        <w:left w:val="none" w:sz="0" w:space="0" w:color="auto"/>
        <w:bottom w:val="none" w:sz="0" w:space="0" w:color="auto"/>
        <w:right w:val="none" w:sz="0" w:space="0" w:color="auto"/>
      </w:divBdr>
    </w:div>
    <w:div w:id="1319114741">
      <w:bodyDiv w:val="1"/>
      <w:marLeft w:val="0"/>
      <w:marRight w:val="0"/>
      <w:marTop w:val="0"/>
      <w:marBottom w:val="0"/>
      <w:divBdr>
        <w:top w:val="none" w:sz="0" w:space="0" w:color="auto"/>
        <w:left w:val="none" w:sz="0" w:space="0" w:color="auto"/>
        <w:bottom w:val="none" w:sz="0" w:space="0" w:color="auto"/>
        <w:right w:val="none" w:sz="0" w:space="0" w:color="auto"/>
      </w:divBdr>
    </w:div>
    <w:div w:id="1319116499">
      <w:bodyDiv w:val="1"/>
      <w:marLeft w:val="0"/>
      <w:marRight w:val="0"/>
      <w:marTop w:val="0"/>
      <w:marBottom w:val="0"/>
      <w:divBdr>
        <w:top w:val="none" w:sz="0" w:space="0" w:color="auto"/>
        <w:left w:val="none" w:sz="0" w:space="0" w:color="auto"/>
        <w:bottom w:val="none" w:sz="0" w:space="0" w:color="auto"/>
        <w:right w:val="none" w:sz="0" w:space="0" w:color="auto"/>
      </w:divBdr>
    </w:div>
    <w:div w:id="1319117978">
      <w:bodyDiv w:val="1"/>
      <w:marLeft w:val="0"/>
      <w:marRight w:val="0"/>
      <w:marTop w:val="0"/>
      <w:marBottom w:val="0"/>
      <w:divBdr>
        <w:top w:val="none" w:sz="0" w:space="0" w:color="auto"/>
        <w:left w:val="none" w:sz="0" w:space="0" w:color="auto"/>
        <w:bottom w:val="none" w:sz="0" w:space="0" w:color="auto"/>
        <w:right w:val="none" w:sz="0" w:space="0" w:color="auto"/>
      </w:divBdr>
    </w:div>
    <w:div w:id="1319310430">
      <w:bodyDiv w:val="1"/>
      <w:marLeft w:val="0"/>
      <w:marRight w:val="0"/>
      <w:marTop w:val="0"/>
      <w:marBottom w:val="0"/>
      <w:divBdr>
        <w:top w:val="none" w:sz="0" w:space="0" w:color="auto"/>
        <w:left w:val="none" w:sz="0" w:space="0" w:color="auto"/>
        <w:bottom w:val="none" w:sz="0" w:space="0" w:color="auto"/>
        <w:right w:val="none" w:sz="0" w:space="0" w:color="auto"/>
      </w:divBdr>
    </w:div>
    <w:div w:id="1319336470">
      <w:bodyDiv w:val="1"/>
      <w:marLeft w:val="0"/>
      <w:marRight w:val="0"/>
      <w:marTop w:val="0"/>
      <w:marBottom w:val="0"/>
      <w:divBdr>
        <w:top w:val="none" w:sz="0" w:space="0" w:color="auto"/>
        <w:left w:val="none" w:sz="0" w:space="0" w:color="auto"/>
        <w:bottom w:val="none" w:sz="0" w:space="0" w:color="auto"/>
        <w:right w:val="none" w:sz="0" w:space="0" w:color="auto"/>
      </w:divBdr>
    </w:div>
    <w:div w:id="1319387697">
      <w:bodyDiv w:val="1"/>
      <w:marLeft w:val="0"/>
      <w:marRight w:val="0"/>
      <w:marTop w:val="0"/>
      <w:marBottom w:val="0"/>
      <w:divBdr>
        <w:top w:val="none" w:sz="0" w:space="0" w:color="auto"/>
        <w:left w:val="none" w:sz="0" w:space="0" w:color="auto"/>
        <w:bottom w:val="none" w:sz="0" w:space="0" w:color="auto"/>
        <w:right w:val="none" w:sz="0" w:space="0" w:color="auto"/>
      </w:divBdr>
    </w:div>
    <w:div w:id="1319502368">
      <w:bodyDiv w:val="1"/>
      <w:marLeft w:val="0"/>
      <w:marRight w:val="0"/>
      <w:marTop w:val="0"/>
      <w:marBottom w:val="0"/>
      <w:divBdr>
        <w:top w:val="none" w:sz="0" w:space="0" w:color="auto"/>
        <w:left w:val="none" w:sz="0" w:space="0" w:color="auto"/>
        <w:bottom w:val="none" w:sz="0" w:space="0" w:color="auto"/>
        <w:right w:val="none" w:sz="0" w:space="0" w:color="auto"/>
      </w:divBdr>
    </w:div>
    <w:div w:id="1319504791">
      <w:bodyDiv w:val="1"/>
      <w:marLeft w:val="0"/>
      <w:marRight w:val="0"/>
      <w:marTop w:val="0"/>
      <w:marBottom w:val="0"/>
      <w:divBdr>
        <w:top w:val="none" w:sz="0" w:space="0" w:color="auto"/>
        <w:left w:val="none" w:sz="0" w:space="0" w:color="auto"/>
        <w:bottom w:val="none" w:sz="0" w:space="0" w:color="auto"/>
        <w:right w:val="none" w:sz="0" w:space="0" w:color="auto"/>
      </w:divBdr>
    </w:div>
    <w:div w:id="1319578754">
      <w:bodyDiv w:val="1"/>
      <w:marLeft w:val="0"/>
      <w:marRight w:val="0"/>
      <w:marTop w:val="0"/>
      <w:marBottom w:val="0"/>
      <w:divBdr>
        <w:top w:val="none" w:sz="0" w:space="0" w:color="auto"/>
        <w:left w:val="none" w:sz="0" w:space="0" w:color="auto"/>
        <w:bottom w:val="none" w:sz="0" w:space="0" w:color="auto"/>
        <w:right w:val="none" w:sz="0" w:space="0" w:color="auto"/>
      </w:divBdr>
    </w:div>
    <w:div w:id="1319652483">
      <w:bodyDiv w:val="1"/>
      <w:marLeft w:val="0"/>
      <w:marRight w:val="0"/>
      <w:marTop w:val="0"/>
      <w:marBottom w:val="0"/>
      <w:divBdr>
        <w:top w:val="none" w:sz="0" w:space="0" w:color="auto"/>
        <w:left w:val="none" w:sz="0" w:space="0" w:color="auto"/>
        <w:bottom w:val="none" w:sz="0" w:space="0" w:color="auto"/>
        <w:right w:val="none" w:sz="0" w:space="0" w:color="auto"/>
      </w:divBdr>
    </w:div>
    <w:div w:id="1319724888">
      <w:bodyDiv w:val="1"/>
      <w:marLeft w:val="0"/>
      <w:marRight w:val="0"/>
      <w:marTop w:val="0"/>
      <w:marBottom w:val="0"/>
      <w:divBdr>
        <w:top w:val="none" w:sz="0" w:space="0" w:color="auto"/>
        <w:left w:val="none" w:sz="0" w:space="0" w:color="auto"/>
        <w:bottom w:val="none" w:sz="0" w:space="0" w:color="auto"/>
        <w:right w:val="none" w:sz="0" w:space="0" w:color="auto"/>
      </w:divBdr>
    </w:div>
    <w:div w:id="1319729026">
      <w:bodyDiv w:val="1"/>
      <w:marLeft w:val="0"/>
      <w:marRight w:val="0"/>
      <w:marTop w:val="0"/>
      <w:marBottom w:val="0"/>
      <w:divBdr>
        <w:top w:val="none" w:sz="0" w:space="0" w:color="auto"/>
        <w:left w:val="none" w:sz="0" w:space="0" w:color="auto"/>
        <w:bottom w:val="none" w:sz="0" w:space="0" w:color="auto"/>
        <w:right w:val="none" w:sz="0" w:space="0" w:color="auto"/>
      </w:divBdr>
    </w:div>
    <w:div w:id="1319770748">
      <w:bodyDiv w:val="1"/>
      <w:marLeft w:val="0"/>
      <w:marRight w:val="0"/>
      <w:marTop w:val="0"/>
      <w:marBottom w:val="0"/>
      <w:divBdr>
        <w:top w:val="none" w:sz="0" w:space="0" w:color="auto"/>
        <w:left w:val="none" w:sz="0" w:space="0" w:color="auto"/>
        <w:bottom w:val="none" w:sz="0" w:space="0" w:color="auto"/>
        <w:right w:val="none" w:sz="0" w:space="0" w:color="auto"/>
      </w:divBdr>
    </w:div>
    <w:div w:id="1320039004">
      <w:bodyDiv w:val="1"/>
      <w:marLeft w:val="0"/>
      <w:marRight w:val="0"/>
      <w:marTop w:val="0"/>
      <w:marBottom w:val="0"/>
      <w:divBdr>
        <w:top w:val="none" w:sz="0" w:space="0" w:color="auto"/>
        <w:left w:val="none" w:sz="0" w:space="0" w:color="auto"/>
        <w:bottom w:val="none" w:sz="0" w:space="0" w:color="auto"/>
        <w:right w:val="none" w:sz="0" w:space="0" w:color="auto"/>
      </w:divBdr>
    </w:div>
    <w:div w:id="1320231522">
      <w:bodyDiv w:val="1"/>
      <w:marLeft w:val="0"/>
      <w:marRight w:val="0"/>
      <w:marTop w:val="0"/>
      <w:marBottom w:val="0"/>
      <w:divBdr>
        <w:top w:val="none" w:sz="0" w:space="0" w:color="auto"/>
        <w:left w:val="none" w:sz="0" w:space="0" w:color="auto"/>
        <w:bottom w:val="none" w:sz="0" w:space="0" w:color="auto"/>
        <w:right w:val="none" w:sz="0" w:space="0" w:color="auto"/>
      </w:divBdr>
    </w:div>
    <w:div w:id="1320616497">
      <w:bodyDiv w:val="1"/>
      <w:marLeft w:val="0"/>
      <w:marRight w:val="0"/>
      <w:marTop w:val="0"/>
      <w:marBottom w:val="0"/>
      <w:divBdr>
        <w:top w:val="none" w:sz="0" w:space="0" w:color="auto"/>
        <w:left w:val="none" w:sz="0" w:space="0" w:color="auto"/>
        <w:bottom w:val="none" w:sz="0" w:space="0" w:color="auto"/>
        <w:right w:val="none" w:sz="0" w:space="0" w:color="auto"/>
      </w:divBdr>
    </w:div>
    <w:div w:id="1320619306">
      <w:bodyDiv w:val="1"/>
      <w:marLeft w:val="0"/>
      <w:marRight w:val="0"/>
      <w:marTop w:val="0"/>
      <w:marBottom w:val="0"/>
      <w:divBdr>
        <w:top w:val="none" w:sz="0" w:space="0" w:color="auto"/>
        <w:left w:val="none" w:sz="0" w:space="0" w:color="auto"/>
        <w:bottom w:val="none" w:sz="0" w:space="0" w:color="auto"/>
        <w:right w:val="none" w:sz="0" w:space="0" w:color="auto"/>
      </w:divBdr>
    </w:div>
    <w:div w:id="1320766383">
      <w:bodyDiv w:val="1"/>
      <w:marLeft w:val="0"/>
      <w:marRight w:val="0"/>
      <w:marTop w:val="0"/>
      <w:marBottom w:val="0"/>
      <w:divBdr>
        <w:top w:val="none" w:sz="0" w:space="0" w:color="auto"/>
        <w:left w:val="none" w:sz="0" w:space="0" w:color="auto"/>
        <w:bottom w:val="none" w:sz="0" w:space="0" w:color="auto"/>
        <w:right w:val="none" w:sz="0" w:space="0" w:color="auto"/>
      </w:divBdr>
    </w:div>
    <w:div w:id="1321076594">
      <w:bodyDiv w:val="1"/>
      <w:marLeft w:val="0"/>
      <w:marRight w:val="0"/>
      <w:marTop w:val="0"/>
      <w:marBottom w:val="0"/>
      <w:divBdr>
        <w:top w:val="none" w:sz="0" w:space="0" w:color="auto"/>
        <w:left w:val="none" w:sz="0" w:space="0" w:color="auto"/>
        <w:bottom w:val="none" w:sz="0" w:space="0" w:color="auto"/>
        <w:right w:val="none" w:sz="0" w:space="0" w:color="auto"/>
      </w:divBdr>
    </w:div>
    <w:div w:id="1321277883">
      <w:bodyDiv w:val="1"/>
      <w:marLeft w:val="0"/>
      <w:marRight w:val="0"/>
      <w:marTop w:val="0"/>
      <w:marBottom w:val="0"/>
      <w:divBdr>
        <w:top w:val="none" w:sz="0" w:space="0" w:color="auto"/>
        <w:left w:val="none" w:sz="0" w:space="0" w:color="auto"/>
        <w:bottom w:val="none" w:sz="0" w:space="0" w:color="auto"/>
        <w:right w:val="none" w:sz="0" w:space="0" w:color="auto"/>
      </w:divBdr>
    </w:div>
    <w:div w:id="1321885270">
      <w:bodyDiv w:val="1"/>
      <w:marLeft w:val="0"/>
      <w:marRight w:val="0"/>
      <w:marTop w:val="0"/>
      <w:marBottom w:val="0"/>
      <w:divBdr>
        <w:top w:val="none" w:sz="0" w:space="0" w:color="auto"/>
        <w:left w:val="none" w:sz="0" w:space="0" w:color="auto"/>
        <w:bottom w:val="none" w:sz="0" w:space="0" w:color="auto"/>
        <w:right w:val="none" w:sz="0" w:space="0" w:color="auto"/>
      </w:divBdr>
    </w:div>
    <w:div w:id="1321956761">
      <w:bodyDiv w:val="1"/>
      <w:marLeft w:val="0"/>
      <w:marRight w:val="0"/>
      <w:marTop w:val="0"/>
      <w:marBottom w:val="0"/>
      <w:divBdr>
        <w:top w:val="none" w:sz="0" w:space="0" w:color="auto"/>
        <w:left w:val="none" w:sz="0" w:space="0" w:color="auto"/>
        <w:bottom w:val="none" w:sz="0" w:space="0" w:color="auto"/>
        <w:right w:val="none" w:sz="0" w:space="0" w:color="auto"/>
      </w:divBdr>
    </w:div>
    <w:div w:id="1322268857">
      <w:bodyDiv w:val="1"/>
      <w:marLeft w:val="0"/>
      <w:marRight w:val="0"/>
      <w:marTop w:val="0"/>
      <w:marBottom w:val="0"/>
      <w:divBdr>
        <w:top w:val="none" w:sz="0" w:space="0" w:color="auto"/>
        <w:left w:val="none" w:sz="0" w:space="0" w:color="auto"/>
        <w:bottom w:val="none" w:sz="0" w:space="0" w:color="auto"/>
        <w:right w:val="none" w:sz="0" w:space="0" w:color="auto"/>
      </w:divBdr>
    </w:div>
    <w:div w:id="1322272840">
      <w:bodyDiv w:val="1"/>
      <w:marLeft w:val="0"/>
      <w:marRight w:val="0"/>
      <w:marTop w:val="0"/>
      <w:marBottom w:val="0"/>
      <w:divBdr>
        <w:top w:val="none" w:sz="0" w:space="0" w:color="auto"/>
        <w:left w:val="none" w:sz="0" w:space="0" w:color="auto"/>
        <w:bottom w:val="none" w:sz="0" w:space="0" w:color="auto"/>
        <w:right w:val="none" w:sz="0" w:space="0" w:color="auto"/>
      </w:divBdr>
    </w:div>
    <w:div w:id="1322392726">
      <w:bodyDiv w:val="1"/>
      <w:marLeft w:val="0"/>
      <w:marRight w:val="0"/>
      <w:marTop w:val="0"/>
      <w:marBottom w:val="0"/>
      <w:divBdr>
        <w:top w:val="none" w:sz="0" w:space="0" w:color="auto"/>
        <w:left w:val="none" w:sz="0" w:space="0" w:color="auto"/>
        <w:bottom w:val="none" w:sz="0" w:space="0" w:color="auto"/>
        <w:right w:val="none" w:sz="0" w:space="0" w:color="auto"/>
      </w:divBdr>
    </w:div>
    <w:div w:id="1322539902">
      <w:bodyDiv w:val="1"/>
      <w:marLeft w:val="0"/>
      <w:marRight w:val="0"/>
      <w:marTop w:val="0"/>
      <w:marBottom w:val="0"/>
      <w:divBdr>
        <w:top w:val="none" w:sz="0" w:space="0" w:color="auto"/>
        <w:left w:val="none" w:sz="0" w:space="0" w:color="auto"/>
        <w:bottom w:val="none" w:sz="0" w:space="0" w:color="auto"/>
        <w:right w:val="none" w:sz="0" w:space="0" w:color="auto"/>
      </w:divBdr>
    </w:div>
    <w:div w:id="1322657032">
      <w:bodyDiv w:val="1"/>
      <w:marLeft w:val="0"/>
      <w:marRight w:val="0"/>
      <w:marTop w:val="0"/>
      <w:marBottom w:val="0"/>
      <w:divBdr>
        <w:top w:val="none" w:sz="0" w:space="0" w:color="auto"/>
        <w:left w:val="none" w:sz="0" w:space="0" w:color="auto"/>
        <w:bottom w:val="none" w:sz="0" w:space="0" w:color="auto"/>
        <w:right w:val="none" w:sz="0" w:space="0" w:color="auto"/>
      </w:divBdr>
    </w:div>
    <w:div w:id="1322732319">
      <w:bodyDiv w:val="1"/>
      <w:marLeft w:val="0"/>
      <w:marRight w:val="0"/>
      <w:marTop w:val="0"/>
      <w:marBottom w:val="0"/>
      <w:divBdr>
        <w:top w:val="none" w:sz="0" w:space="0" w:color="auto"/>
        <w:left w:val="none" w:sz="0" w:space="0" w:color="auto"/>
        <w:bottom w:val="none" w:sz="0" w:space="0" w:color="auto"/>
        <w:right w:val="none" w:sz="0" w:space="0" w:color="auto"/>
      </w:divBdr>
    </w:div>
    <w:div w:id="1322734673">
      <w:bodyDiv w:val="1"/>
      <w:marLeft w:val="0"/>
      <w:marRight w:val="0"/>
      <w:marTop w:val="0"/>
      <w:marBottom w:val="0"/>
      <w:divBdr>
        <w:top w:val="none" w:sz="0" w:space="0" w:color="auto"/>
        <w:left w:val="none" w:sz="0" w:space="0" w:color="auto"/>
        <w:bottom w:val="none" w:sz="0" w:space="0" w:color="auto"/>
        <w:right w:val="none" w:sz="0" w:space="0" w:color="auto"/>
      </w:divBdr>
    </w:div>
    <w:div w:id="1322739116">
      <w:bodyDiv w:val="1"/>
      <w:marLeft w:val="0"/>
      <w:marRight w:val="0"/>
      <w:marTop w:val="0"/>
      <w:marBottom w:val="0"/>
      <w:divBdr>
        <w:top w:val="none" w:sz="0" w:space="0" w:color="auto"/>
        <w:left w:val="none" w:sz="0" w:space="0" w:color="auto"/>
        <w:bottom w:val="none" w:sz="0" w:space="0" w:color="auto"/>
        <w:right w:val="none" w:sz="0" w:space="0" w:color="auto"/>
      </w:divBdr>
    </w:div>
    <w:div w:id="1322928216">
      <w:bodyDiv w:val="1"/>
      <w:marLeft w:val="0"/>
      <w:marRight w:val="0"/>
      <w:marTop w:val="0"/>
      <w:marBottom w:val="0"/>
      <w:divBdr>
        <w:top w:val="none" w:sz="0" w:space="0" w:color="auto"/>
        <w:left w:val="none" w:sz="0" w:space="0" w:color="auto"/>
        <w:bottom w:val="none" w:sz="0" w:space="0" w:color="auto"/>
        <w:right w:val="none" w:sz="0" w:space="0" w:color="auto"/>
      </w:divBdr>
    </w:div>
    <w:div w:id="1323000737">
      <w:bodyDiv w:val="1"/>
      <w:marLeft w:val="0"/>
      <w:marRight w:val="0"/>
      <w:marTop w:val="0"/>
      <w:marBottom w:val="0"/>
      <w:divBdr>
        <w:top w:val="none" w:sz="0" w:space="0" w:color="auto"/>
        <w:left w:val="none" w:sz="0" w:space="0" w:color="auto"/>
        <w:bottom w:val="none" w:sz="0" w:space="0" w:color="auto"/>
        <w:right w:val="none" w:sz="0" w:space="0" w:color="auto"/>
      </w:divBdr>
    </w:div>
    <w:div w:id="1323241835">
      <w:bodyDiv w:val="1"/>
      <w:marLeft w:val="0"/>
      <w:marRight w:val="0"/>
      <w:marTop w:val="0"/>
      <w:marBottom w:val="0"/>
      <w:divBdr>
        <w:top w:val="none" w:sz="0" w:space="0" w:color="auto"/>
        <w:left w:val="none" w:sz="0" w:space="0" w:color="auto"/>
        <w:bottom w:val="none" w:sz="0" w:space="0" w:color="auto"/>
        <w:right w:val="none" w:sz="0" w:space="0" w:color="auto"/>
      </w:divBdr>
    </w:div>
    <w:div w:id="1323463188">
      <w:bodyDiv w:val="1"/>
      <w:marLeft w:val="0"/>
      <w:marRight w:val="0"/>
      <w:marTop w:val="0"/>
      <w:marBottom w:val="0"/>
      <w:divBdr>
        <w:top w:val="none" w:sz="0" w:space="0" w:color="auto"/>
        <w:left w:val="none" w:sz="0" w:space="0" w:color="auto"/>
        <w:bottom w:val="none" w:sz="0" w:space="0" w:color="auto"/>
        <w:right w:val="none" w:sz="0" w:space="0" w:color="auto"/>
      </w:divBdr>
    </w:div>
    <w:div w:id="1323661640">
      <w:bodyDiv w:val="1"/>
      <w:marLeft w:val="0"/>
      <w:marRight w:val="0"/>
      <w:marTop w:val="0"/>
      <w:marBottom w:val="0"/>
      <w:divBdr>
        <w:top w:val="none" w:sz="0" w:space="0" w:color="auto"/>
        <w:left w:val="none" w:sz="0" w:space="0" w:color="auto"/>
        <w:bottom w:val="none" w:sz="0" w:space="0" w:color="auto"/>
        <w:right w:val="none" w:sz="0" w:space="0" w:color="auto"/>
      </w:divBdr>
    </w:div>
    <w:div w:id="1323696919">
      <w:bodyDiv w:val="1"/>
      <w:marLeft w:val="0"/>
      <w:marRight w:val="0"/>
      <w:marTop w:val="0"/>
      <w:marBottom w:val="0"/>
      <w:divBdr>
        <w:top w:val="none" w:sz="0" w:space="0" w:color="auto"/>
        <w:left w:val="none" w:sz="0" w:space="0" w:color="auto"/>
        <w:bottom w:val="none" w:sz="0" w:space="0" w:color="auto"/>
        <w:right w:val="none" w:sz="0" w:space="0" w:color="auto"/>
      </w:divBdr>
    </w:div>
    <w:div w:id="1323698213">
      <w:bodyDiv w:val="1"/>
      <w:marLeft w:val="0"/>
      <w:marRight w:val="0"/>
      <w:marTop w:val="0"/>
      <w:marBottom w:val="0"/>
      <w:divBdr>
        <w:top w:val="none" w:sz="0" w:space="0" w:color="auto"/>
        <w:left w:val="none" w:sz="0" w:space="0" w:color="auto"/>
        <w:bottom w:val="none" w:sz="0" w:space="0" w:color="auto"/>
        <w:right w:val="none" w:sz="0" w:space="0" w:color="auto"/>
      </w:divBdr>
    </w:div>
    <w:div w:id="1324044877">
      <w:bodyDiv w:val="1"/>
      <w:marLeft w:val="0"/>
      <w:marRight w:val="0"/>
      <w:marTop w:val="0"/>
      <w:marBottom w:val="0"/>
      <w:divBdr>
        <w:top w:val="none" w:sz="0" w:space="0" w:color="auto"/>
        <w:left w:val="none" w:sz="0" w:space="0" w:color="auto"/>
        <w:bottom w:val="none" w:sz="0" w:space="0" w:color="auto"/>
        <w:right w:val="none" w:sz="0" w:space="0" w:color="auto"/>
      </w:divBdr>
    </w:div>
    <w:div w:id="1324309648">
      <w:bodyDiv w:val="1"/>
      <w:marLeft w:val="0"/>
      <w:marRight w:val="0"/>
      <w:marTop w:val="0"/>
      <w:marBottom w:val="0"/>
      <w:divBdr>
        <w:top w:val="none" w:sz="0" w:space="0" w:color="auto"/>
        <w:left w:val="none" w:sz="0" w:space="0" w:color="auto"/>
        <w:bottom w:val="none" w:sz="0" w:space="0" w:color="auto"/>
        <w:right w:val="none" w:sz="0" w:space="0" w:color="auto"/>
      </w:divBdr>
    </w:div>
    <w:div w:id="1324509612">
      <w:bodyDiv w:val="1"/>
      <w:marLeft w:val="0"/>
      <w:marRight w:val="0"/>
      <w:marTop w:val="0"/>
      <w:marBottom w:val="0"/>
      <w:divBdr>
        <w:top w:val="none" w:sz="0" w:space="0" w:color="auto"/>
        <w:left w:val="none" w:sz="0" w:space="0" w:color="auto"/>
        <w:bottom w:val="none" w:sz="0" w:space="0" w:color="auto"/>
        <w:right w:val="none" w:sz="0" w:space="0" w:color="auto"/>
      </w:divBdr>
    </w:div>
    <w:div w:id="1324510498">
      <w:bodyDiv w:val="1"/>
      <w:marLeft w:val="0"/>
      <w:marRight w:val="0"/>
      <w:marTop w:val="0"/>
      <w:marBottom w:val="0"/>
      <w:divBdr>
        <w:top w:val="none" w:sz="0" w:space="0" w:color="auto"/>
        <w:left w:val="none" w:sz="0" w:space="0" w:color="auto"/>
        <w:bottom w:val="none" w:sz="0" w:space="0" w:color="auto"/>
        <w:right w:val="none" w:sz="0" w:space="0" w:color="auto"/>
      </w:divBdr>
    </w:div>
    <w:div w:id="1324745406">
      <w:bodyDiv w:val="1"/>
      <w:marLeft w:val="0"/>
      <w:marRight w:val="0"/>
      <w:marTop w:val="0"/>
      <w:marBottom w:val="0"/>
      <w:divBdr>
        <w:top w:val="none" w:sz="0" w:space="0" w:color="auto"/>
        <w:left w:val="none" w:sz="0" w:space="0" w:color="auto"/>
        <w:bottom w:val="none" w:sz="0" w:space="0" w:color="auto"/>
        <w:right w:val="none" w:sz="0" w:space="0" w:color="auto"/>
      </w:divBdr>
    </w:div>
    <w:div w:id="1324820003">
      <w:bodyDiv w:val="1"/>
      <w:marLeft w:val="0"/>
      <w:marRight w:val="0"/>
      <w:marTop w:val="0"/>
      <w:marBottom w:val="0"/>
      <w:divBdr>
        <w:top w:val="none" w:sz="0" w:space="0" w:color="auto"/>
        <w:left w:val="none" w:sz="0" w:space="0" w:color="auto"/>
        <w:bottom w:val="none" w:sz="0" w:space="0" w:color="auto"/>
        <w:right w:val="none" w:sz="0" w:space="0" w:color="auto"/>
      </w:divBdr>
    </w:div>
    <w:div w:id="1324892701">
      <w:bodyDiv w:val="1"/>
      <w:marLeft w:val="0"/>
      <w:marRight w:val="0"/>
      <w:marTop w:val="0"/>
      <w:marBottom w:val="0"/>
      <w:divBdr>
        <w:top w:val="none" w:sz="0" w:space="0" w:color="auto"/>
        <w:left w:val="none" w:sz="0" w:space="0" w:color="auto"/>
        <w:bottom w:val="none" w:sz="0" w:space="0" w:color="auto"/>
        <w:right w:val="none" w:sz="0" w:space="0" w:color="auto"/>
      </w:divBdr>
    </w:div>
    <w:div w:id="1324894969">
      <w:bodyDiv w:val="1"/>
      <w:marLeft w:val="0"/>
      <w:marRight w:val="0"/>
      <w:marTop w:val="0"/>
      <w:marBottom w:val="0"/>
      <w:divBdr>
        <w:top w:val="none" w:sz="0" w:space="0" w:color="auto"/>
        <w:left w:val="none" w:sz="0" w:space="0" w:color="auto"/>
        <w:bottom w:val="none" w:sz="0" w:space="0" w:color="auto"/>
        <w:right w:val="none" w:sz="0" w:space="0" w:color="auto"/>
      </w:divBdr>
    </w:div>
    <w:div w:id="1324967119">
      <w:bodyDiv w:val="1"/>
      <w:marLeft w:val="0"/>
      <w:marRight w:val="0"/>
      <w:marTop w:val="0"/>
      <w:marBottom w:val="0"/>
      <w:divBdr>
        <w:top w:val="none" w:sz="0" w:space="0" w:color="auto"/>
        <w:left w:val="none" w:sz="0" w:space="0" w:color="auto"/>
        <w:bottom w:val="none" w:sz="0" w:space="0" w:color="auto"/>
        <w:right w:val="none" w:sz="0" w:space="0" w:color="auto"/>
      </w:divBdr>
    </w:div>
    <w:div w:id="1325282048">
      <w:bodyDiv w:val="1"/>
      <w:marLeft w:val="0"/>
      <w:marRight w:val="0"/>
      <w:marTop w:val="0"/>
      <w:marBottom w:val="0"/>
      <w:divBdr>
        <w:top w:val="none" w:sz="0" w:space="0" w:color="auto"/>
        <w:left w:val="none" w:sz="0" w:space="0" w:color="auto"/>
        <w:bottom w:val="none" w:sz="0" w:space="0" w:color="auto"/>
        <w:right w:val="none" w:sz="0" w:space="0" w:color="auto"/>
      </w:divBdr>
    </w:div>
    <w:div w:id="1325430421">
      <w:bodyDiv w:val="1"/>
      <w:marLeft w:val="0"/>
      <w:marRight w:val="0"/>
      <w:marTop w:val="0"/>
      <w:marBottom w:val="0"/>
      <w:divBdr>
        <w:top w:val="none" w:sz="0" w:space="0" w:color="auto"/>
        <w:left w:val="none" w:sz="0" w:space="0" w:color="auto"/>
        <w:bottom w:val="none" w:sz="0" w:space="0" w:color="auto"/>
        <w:right w:val="none" w:sz="0" w:space="0" w:color="auto"/>
      </w:divBdr>
    </w:div>
    <w:div w:id="1325667270">
      <w:bodyDiv w:val="1"/>
      <w:marLeft w:val="0"/>
      <w:marRight w:val="0"/>
      <w:marTop w:val="0"/>
      <w:marBottom w:val="0"/>
      <w:divBdr>
        <w:top w:val="none" w:sz="0" w:space="0" w:color="auto"/>
        <w:left w:val="none" w:sz="0" w:space="0" w:color="auto"/>
        <w:bottom w:val="none" w:sz="0" w:space="0" w:color="auto"/>
        <w:right w:val="none" w:sz="0" w:space="0" w:color="auto"/>
      </w:divBdr>
    </w:div>
    <w:div w:id="1325820868">
      <w:bodyDiv w:val="1"/>
      <w:marLeft w:val="0"/>
      <w:marRight w:val="0"/>
      <w:marTop w:val="0"/>
      <w:marBottom w:val="0"/>
      <w:divBdr>
        <w:top w:val="none" w:sz="0" w:space="0" w:color="auto"/>
        <w:left w:val="none" w:sz="0" w:space="0" w:color="auto"/>
        <w:bottom w:val="none" w:sz="0" w:space="0" w:color="auto"/>
        <w:right w:val="none" w:sz="0" w:space="0" w:color="auto"/>
      </w:divBdr>
    </w:div>
    <w:div w:id="1326084380">
      <w:bodyDiv w:val="1"/>
      <w:marLeft w:val="0"/>
      <w:marRight w:val="0"/>
      <w:marTop w:val="0"/>
      <w:marBottom w:val="0"/>
      <w:divBdr>
        <w:top w:val="none" w:sz="0" w:space="0" w:color="auto"/>
        <w:left w:val="none" w:sz="0" w:space="0" w:color="auto"/>
        <w:bottom w:val="none" w:sz="0" w:space="0" w:color="auto"/>
        <w:right w:val="none" w:sz="0" w:space="0" w:color="auto"/>
      </w:divBdr>
    </w:div>
    <w:div w:id="1326393609">
      <w:bodyDiv w:val="1"/>
      <w:marLeft w:val="0"/>
      <w:marRight w:val="0"/>
      <w:marTop w:val="0"/>
      <w:marBottom w:val="0"/>
      <w:divBdr>
        <w:top w:val="none" w:sz="0" w:space="0" w:color="auto"/>
        <w:left w:val="none" w:sz="0" w:space="0" w:color="auto"/>
        <w:bottom w:val="none" w:sz="0" w:space="0" w:color="auto"/>
        <w:right w:val="none" w:sz="0" w:space="0" w:color="auto"/>
      </w:divBdr>
    </w:div>
    <w:div w:id="1326398488">
      <w:bodyDiv w:val="1"/>
      <w:marLeft w:val="0"/>
      <w:marRight w:val="0"/>
      <w:marTop w:val="0"/>
      <w:marBottom w:val="0"/>
      <w:divBdr>
        <w:top w:val="none" w:sz="0" w:space="0" w:color="auto"/>
        <w:left w:val="none" w:sz="0" w:space="0" w:color="auto"/>
        <w:bottom w:val="none" w:sz="0" w:space="0" w:color="auto"/>
        <w:right w:val="none" w:sz="0" w:space="0" w:color="auto"/>
      </w:divBdr>
    </w:div>
    <w:div w:id="1326398626">
      <w:bodyDiv w:val="1"/>
      <w:marLeft w:val="0"/>
      <w:marRight w:val="0"/>
      <w:marTop w:val="0"/>
      <w:marBottom w:val="0"/>
      <w:divBdr>
        <w:top w:val="none" w:sz="0" w:space="0" w:color="auto"/>
        <w:left w:val="none" w:sz="0" w:space="0" w:color="auto"/>
        <w:bottom w:val="none" w:sz="0" w:space="0" w:color="auto"/>
        <w:right w:val="none" w:sz="0" w:space="0" w:color="auto"/>
      </w:divBdr>
    </w:div>
    <w:div w:id="1326474397">
      <w:bodyDiv w:val="1"/>
      <w:marLeft w:val="0"/>
      <w:marRight w:val="0"/>
      <w:marTop w:val="0"/>
      <w:marBottom w:val="0"/>
      <w:divBdr>
        <w:top w:val="none" w:sz="0" w:space="0" w:color="auto"/>
        <w:left w:val="none" w:sz="0" w:space="0" w:color="auto"/>
        <w:bottom w:val="none" w:sz="0" w:space="0" w:color="auto"/>
        <w:right w:val="none" w:sz="0" w:space="0" w:color="auto"/>
      </w:divBdr>
    </w:div>
    <w:div w:id="1326543753">
      <w:bodyDiv w:val="1"/>
      <w:marLeft w:val="0"/>
      <w:marRight w:val="0"/>
      <w:marTop w:val="0"/>
      <w:marBottom w:val="0"/>
      <w:divBdr>
        <w:top w:val="none" w:sz="0" w:space="0" w:color="auto"/>
        <w:left w:val="none" w:sz="0" w:space="0" w:color="auto"/>
        <w:bottom w:val="none" w:sz="0" w:space="0" w:color="auto"/>
        <w:right w:val="none" w:sz="0" w:space="0" w:color="auto"/>
      </w:divBdr>
    </w:div>
    <w:div w:id="1326546141">
      <w:bodyDiv w:val="1"/>
      <w:marLeft w:val="0"/>
      <w:marRight w:val="0"/>
      <w:marTop w:val="0"/>
      <w:marBottom w:val="0"/>
      <w:divBdr>
        <w:top w:val="none" w:sz="0" w:space="0" w:color="auto"/>
        <w:left w:val="none" w:sz="0" w:space="0" w:color="auto"/>
        <w:bottom w:val="none" w:sz="0" w:space="0" w:color="auto"/>
        <w:right w:val="none" w:sz="0" w:space="0" w:color="auto"/>
      </w:divBdr>
    </w:div>
    <w:div w:id="1326859435">
      <w:bodyDiv w:val="1"/>
      <w:marLeft w:val="0"/>
      <w:marRight w:val="0"/>
      <w:marTop w:val="0"/>
      <w:marBottom w:val="0"/>
      <w:divBdr>
        <w:top w:val="none" w:sz="0" w:space="0" w:color="auto"/>
        <w:left w:val="none" w:sz="0" w:space="0" w:color="auto"/>
        <w:bottom w:val="none" w:sz="0" w:space="0" w:color="auto"/>
        <w:right w:val="none" w:sz="0" w:space="0" w:color="auto"/>
      </w:divBdr>
    </w:div>
    <w:div w:id="1326936258">
      <w:bodyDiv w:val="1"/>
      <w:marLeft w:val="0"/>
      <w:marRight w:val="0"/>
      <w:marTop w:val="0"/>
      <w:marBottom w:val="0"/>
      <w:divBdr>
        <w:top w:val="none" w:sz="0" w:space="0" w:color="auto"/>
        <w:left w:val="none" w:sz="0" w:space="0" w:color="auto"/>
        <w:bottom w:val="none" w:sz="0" w:space="0" w:color="auto"/>
        <w:right w:val="none" w:sz="0" w:space="0" w:color="auto"/>
      </w:divBdr>
    </w:div>
    <w:div w:id="1326936966">
      <w:bodyDiv w:val="1"/>
      <w:marLeft w:val="0"/>
      <w:marRight w:val="0"/>
      <w:marTop w:val="0"/>
      <w:marBottom w:val="0"/>
      <w:divBdr>
        <w:top w:val="none" w:sz="0" w:space="0" w:color="auto"/>
        <w:left w:val="none" w:sz="0" w:space="0" w:color="auto"/>
        <w:bottom w:val="none" w:sz="0" w:space="0" w:color="auto"/>
        <w:right w:val="none" w:sz="0" w:space="0" w:color="auto"/>
      </w:divBdr>
    </w:div>
    <w:div w:id="1326974127">
      <w:bodyDiv w:val="1"/>
      <w:marLeft w:val="0"/>
      <w:marRight w:val="0"/>
      <w:marTop w:val="0"/>
      <w:marBottom w:val="0"/>
      <w:divBdr>
        <w:top w:val="none" w:sz="0" w:space="0" w:color="auto"/>
        <w:left w:val="none" w:sz="0" w:space="0" w:color="auto"/>
        <w:bottom w:val="none" w:sz="0" w:space="0" w:color="auto"/>
        <w:right w:val="none" w:sz="0" w:space="0" w:color="auto"/>
      </w:divBdr>
    </w:div>
    <w:div w:id="1327172140">
      <w:bodyDiv w:val="1"/>
      <w:marLeft w:val="0"/>
      <w:marRight w:val="0"/>
      <w:marTop w:val="0"/>
      <w:marBottom w:val="0"/>
      <w:divBdr>
        <w:top w:val="none" w:sz="0" w:space="0" w:color="auto"/>
        <w:left w:val="none" w:sz="0" w:space="0" w:color="auto"/>
        <w:bottom w:val="none" w:sz="0" w:space="0" w:color="auto"/>
        <w:right w:val="none" w:sz="0" w:space="0" w:color="auto"/>
      </w:divBdr>
    </w:div>
    <w:div w:id="1327591130">
      <w:bodyDiv w:val="1"/>
      <w:marLeft w:val="0"/>
      <w:marRight w:val="0"/>
      <w:marTop w:val="0"/>
      <w:marBottom w:val="0"/>
      <w:divBdr>
        <w:top w:val="none" w:sz="0" w:space="0" w:color="auto"/>
        <w:left w:val="none" w:sz="0" w:space="0" w:color="auto"/>
        <w:bottom w:val="none" w:sz="0" w:space="0" w:color="auto"/>
        <w:right w:val="none" w:sz="0" w:space="0" w:color="auto"/>
      </w:divBdr>
    </w:div>
    <w:div w:id="1327633601">
      <w:bodyDiv w:val="1"/>
      <w:marLeft w:val="0"/>
      <w:marRight w:val="0"/>
      <w:marTop w:val="0"/>
      <w:marBottom w:val="0"/>
      <w:divBdr>
        <w:top w:val="none" w:sz="0" w:space="0" w:color="auto"/>
        <w:left w:val="none" w:sz="0" w:space="0" w:color="auto"/>
        <w:bottom w:val="none" w:sz="0" w:space="0" w:color="auto"/>
        <w:right w:val="none" w:sz="0" w:space="0" w:color="auto"/>
      </w:divBdr>
    </w:div>
    <w:div w:id="1327707203">
      <w:bodyDiv w:val="1"/>
      <w:marLeft w:val="0"/>
      <w:marRight w:val="0"/>
      <w:marTop w:val="0"/>
      <w:marBottom w:val="0"/>
      <w:divBdr>
        <w:top w:val="none" w:sz="0" w:space="0" w:color="auto"/>
        <w:left w:val="none" w:sz="0" w:space="0" w:color="auto"/>
        <w:bottom w:val="none" w:sz="0" w:space="0" w:color="auto"/>
        <w:right w:val="none" w:sz="0" w:space="0" w:color="auto"/>
      </w:divBdr>
    </w:div>
    <w:div w:id="1327710843">
      <w:bodyDiv w:val="1"/>
      <w:marLeft w:val="0"/>
      <w:marRight w:val="0"/>
      <w:marTop w:val="0"/>
      <w:marBottom w:val="0"/>
      <w:divBdr>
        <w:top w:val="none" w:sz="0" w:space="0" w:color="auto"/>
        <w:left w:val="none" w:sz="0" w:space="0" w:color="auto"/>
        <w:bottom w:val="none" w:sz="0" w:space="0" w:color="auto"/>
        <w:right w:val="none" w:sz="0" w:space="0" w:color="auto"/>
      </w:divBdr>
    </w:div>
    <w:div w:id="1327780543">
      <w:bodyDiv w:val="1"/>
      <w:marLeft w:val="0"/>
      <w:marRight w:val="0"/>
      <w:marTop w:val="0"/>
      <w:marBottom w:val="0"/>
      <w:divBdr>
        <w:top w:val="none" w:sz="0" w:space="0" w:color="auto"/>
        <w:left w:val="none" w:sz="0" w:space="0" w:color="auto"/>
        <w:bottom w:val="none" w:sz="0" w:space="0" w:color="auto"/>
        <w:right w:val="none" w:sz="0" w:space="0" w:color="auto"/>
      </w:divBdr>
    </w:div>
    <w:div w:id="1328021547">
      <w:bodyDiv w:val="1"/>
      <w:marLeft w:val="0"/>
      <w:marRight w:val="0"/>
      <w:marTop w:val="0"/>
      <w:marBottom w:val="0"/>
      <w:divBdr>
        <w:top w:val="none" w:sz="0" w:space="0" w:color="auto"/>
        <w:left w:val="none" w:sz="0" w:space="0" w:color="auto"/>
        <w:bottom w:val="none" w:sz="0" w:space="0" w:color="auto"/>
        <w:right w:val="none" w:sz="0" w:space="0" w:color="auto"/>
      </w:divBdr>
    </w:div>
    <w:div w:id="1328169556">
      <w:bodyDiv w:val="1"/>
      <w:marLeft w:val="0"/>
      <w:marRight w:val="0"/>
      <w:marTop w:val="0"/>
      <w:marBottom w:val="0"/>
      <w:divBdr>
        <w:top w:val="none" w:sz="0" w:space="0" w:color="auto"/>
        <w:left w:val="none" w:sz="0" w:space="0" w:color="auto"/>
        <w:bottom w:val="none" w:sz="0" w:space="0" w:color="auto"/>
        <w:right w:val="none" w:sz="0" w:space="0" w:color="auto"/>
      </w:divBdr>
    </w:div>
    <w:div w:id="1328240931">
      <w:bodyDiv w:val="1"/>
      <w:marLeft w:val="0"/>
      <w:marRight w:val="0"/>
      <w:marTop w:val="0"/>
      <w:marBottom w:val="0"/>
      <w:divBdr>
        <w:top w:val="none" w:sz="0" w:space="0" w:color="auto"/>
        <w:left w:val="none" w:sz="0" w:space="0" w:color="auto"/>
        <w:bottom w:val="none" w:sz="0" w:space="0" w:color="auto"/>
        <w:right w:val="none" w:sz="0" w:space="0" w:color="auto"/>
      </w:divBdr>
    </w:div>
    <w:div w:id="1328627976">
      <w:bodyDiv w:val="1"/>
      <w:marLeft w:val="0"/>
      <w:marRight w:val="0"/>
      <w:marTop w:val="0"/>
      <w:marBottom w:val="0"/>
      <w:divBdr>
        <w:top w:val="none" w:sz="0" w:space="0" w:color="auto"/>
        <w:left w:val="none" w:sz="0" w:space="0" w:color="auto"/>
        <w:bottom w:val="none" w:sz="0" w:space="0" w:color="auto"/>
        <w:right w:val="none" w:sz="0" w:space="0" w:color="auto"/>
      </w:divBdr>
    </w:div>
    <w:div w:id="1328636406">
      <w:bodyDiv w:val="1"/>
      <w:marLeft w:val="0"/>
      <w:marRight w:val="0"/>
      <w:marTop w:val="0"/>
      <w:marBottom w:val="0"/>
      <w:divBdr>
        <w:top w:val="none" w:sz="0" w:space="0" w:color="auto"/>
        <w:left w:val="none" w:sz="0" w:space="0" w:color="auto"/>
        <w:bottom w:val="none" w:sz="0" w:space="0" w:color="auto"/>
        <w:right w:val="none" w:sz="0" w:space="0" w:color="auto"/>
      </w:divBdr>
    </w:div>
    <w:div w:id="1328706484">
      <w:bodyDiv w:val="1"/>
      <w:marLeft w:val="0"/>
      <w:marRight w:val="0"/>
      <w:marTop w:val="0"/>
      <w:marBottom w:val="0"/>
      <w:divBdr>
        <w:top w:val="none" w:sz="0" w:space="0" w:color="auto"/>
        <w:left w:val="none" w:sz="0" w:space="0" w:color="auto"/>
        <w:bottom w:val="none" w:sz="0" w:space="0" w:color="auto"/>
        <w:right w:val="none" w:sz="0" w:space="0" w:color="auto"/>
      </w:divBdr>
    </w:div>
    <w:div w:id="1328753234">
      <w:bodyDiv w:val="1"/>
      <w:marLeft w:val="0"/>
      <w:marRight w:val="0"/>
      <w:marTop w:val="0"/>
      <w:marBottom w:val="0"/>
      <w:divBdr>
        <w:top w:val="none" w:sz="0" w:space="0" w:color="auto"/>
        <w:left w:val="none" w:sz="0" w:space="0" w:color="auto"/>
        <w:bottom w:val="none" w:sz="0" w:space="0" w:color="auto"/>
        <w:right w:val="none" w:sz="0" w:space="0" w:color="auto"/>
      </w:divBdr>
    </w:div>
    <w:div w:id="1328898227">
      <w:bodyDiv w:val="1"/>
      <w:marLeft w:val="0"/>
      <w:marRight w:val="0"/>
      <w:marTop w:val="0"/>
      <w:marBottom w:val="0"/>
      <w:divBdr>
        <w:top w:val="none" w:sz="0" w:space="0" w:color="auto"/>
        <w:left w:val="none" w:sz="0" w:space="0" w:color="auto"/>
        <w:bottom w:val="none" w:sz="0" w:space="0" w:color="auto"/>
        <w:right w:val="none" w:sz="0" w:space="0" w:color="auto"/>
      </w:divBdr>
    </w:div>
    <w:div w:id="1328944754">
      <w:bodyDiv w:val="1"/>
      <w:marLeft w:val="0"/>
      <w:marRight w:val="0"/>
      <w:marTop w:val="0"/>
      <w:marBottom w:val="0"/>
      <w:divBdr>
        <w:top w:val="none" w:sz="0" w:space="0" w:color="auto"/>
        <w:left w:val="none" w:sz="0" w:space="0" w:color="auto"/>
        <w:bottom w:val="none" w:sz="0" w:space="0" w:color="auto"/>
        <w:right w:val="none" w:sz="0" w:space="0" w:color="auto"/>
      </w:divBdr>
    </w:div>
    <w:div w:id="1329136053">
      <w:bodyDiv w:val="1"/>
      <w:marLeft w:val="0"/>
      <w:marRight w:val="0"/>
      <w:marTop w:val="0"/>
      <w:marBottom w:val="0"/>
      <w:divBdr>
        <w:top w:val="none" w:sz="0" w:space="0" w:color="auto"/>
        <w:left w:val="none" w:sz="0" w:space="0" w:color="auto"/>
        <w:bottom w:val="none" w:sz="0" w:space="0" w:color="auto"/>
        <w:right w:val="none" w:sz="0" w:space="0" w:color="auto"/>
      </w:divBdr>
    </w:div>
    <w:div w:id="1329287172">
      <w:bodyDiv w:val="1"/>
      <w:marLeft w:val="0"/>
      <w:marRight w:val="0"/>
      <w:marTop w:val="0"/>
      <w:marBottom w:val="0"/>
      <w:divBdr>
        <w:top w:val="none" w:sz="0" w:space="0" w:color="auto"/>
        <w:left w:val="none" w:sz="0" w:space="0" w:color="auto"/>
        <w:bottom w:val="none" w:sz="0" w:space="0" w:color="auto"/>
        <w:right w:val="none" w:sz="0" w:space="0" w:color="auto"/>
      </w:divBdr>
    </w:div>
    <w:div w:id="1329556698">
      <w:bodyDiv w:val="1"/>
      <w:marLeft w:val="0"/>
      <w:marRight w:val="0"/>
      <w:marTop w:val="0"/>
      <w:marBottom w:val="0"/>
      <w:divBdr>
        <w:top w:val="none" w:sz="0" w:space="0" w:color="auto"/>
        <w:left w:val="none" w:sz="0" w:space="0" w:color="auto"/>
        <w:bottom w:val="none" w:sz="0" w:space="0" w:color="auto"/>
        <w:right w:val="none" w:sz="0" w:space="0" w:color="auto"/>
      </w:divBdr>
    </w:div>
    <w:div w:id="1329558505">
      <w:bodyDiv w:val="1"/>
      <w:marLeft w:val="0"/>
      <w:marRight w:val="0"/>
      <w:marTop w:val="0"/>
      <w:marBottom w:val="0"/>
      <w:divBdr>
        <w:top w:val="none" w:sz="0" w:space="0" w:color="auto"/>
        <w:left w:val="none" w:sz="0" w:space="0" w:color="auto"/>
        <w:bottom w:val="none" w:sz="0" w:space="0" w:color="auto"/>
        <w:right w:val="none" w:sz="0" w:space="0" w:color="auto"/>
      </w:divBdr>
    </w:div>
    <w:div w:id="1329674827">
      <w:bodyDiv w:val="1"/>
      <w:marLeft w:val="0"/>
      <w:marRight w:val="0"/>
      <w:marTop w:val="0"/>
      <w:marBottom w:val="0"/>
      <w:divBdr>
        <w:top w:val="none" w:sz="0" w:space="0" w:color="auto"/>
        <w:left w:val="none" w:sz="0" w:space="0" w:color="auto"/>
        <w:bottom w:val="none" w:sz="0" w:space="0" w:color="auto"/>
        <w:right w:val="none" w:sz="0" w:space="0" w:color="auto"/>
      </w:divBdr>
    </w:div>
    <w:div w:id="1329745051">
      <w:bodyDiv w:val="1"/>
      <w:marLeft w:val="0"/>
      <w:marRight w:val="0"/>
      <w:marTop w:val="0"/>
      <w:marBottom w:val="0"/>
      <w:divBdr>
        <w:top w:val="none" w:sz="0" w:space="0" w:color="auto"/>
        <w:left w:val="none" w:sz="0" w:space="0" w:color="auto"/>
        <w:bottom w:val="none" w:sz="0" w:space="0" w:color="auto"/>
        <w:right w:val="none" w:sz="0" w:space="0" w:color="auto"/>
      </w:divBdr>
    </w:div>
    <w:div w:id="1329870943">
      <w:bodyDiv w:val="1"/>
      <w:marLeft w:val="0"/>
      <w:marRight w:val="0"/>
      <w:marTop w:val="0"/>
      <w:marBottom w:val="0"/>
      <w:divBdr>
        <w:top w:val="none" w:sz="0" w:space="0" w:color="auto"/>
        <w:left w:val="none" w:sz="0" w:space="0" w:color="auto"/>
        <w:bottom w:val="none" w:sz="0" w:space="0" w:color="auto"/>
        <w:right w:val="none" w:sz="0" w:space="0" w:color="auto"/>
      </w:divBdr>
    </w:div>
    <w:div w:id="1330064124">
      <w:bodyDiv w:val="1"/>
      <w:marLeft w:val="0"/>
      <w:marRight w:val="0"/>
      <w:marTop w:val="0"/>
      <w:marBottom w:val="0"/>
      <w:divBdr>
        <w:top w:val="none" w:sz="0" w:space="0" w:color="auto"/>
        <w:left w:val="none" w:sz="0" w:space="0" w:color="auto"/>
        <w:bottom w:val="none" w:sz="0" w:space="0" w:color="auto"/>
        <w:right w:val="none" w:sz="0" w:space="0" w:color="auto"/>
      </w:divBdr>
    </w:div>
    <w:div w:id="1330790826">
      <w:bodyDiv w:val="1"/>
      <w:marLeft w:val="0"/>
      <w:marRight w:val="0"/>
      <w:marTop w:val="0"/>
      <w:marBottom w:val="0"/>
      <w:divBdr>
        <w:top w:val="none" w:sz="0" w:space="0" w:color="auto"/>
        <w:left w:val="none" w:sz="0" w:space="0" w:color="auto"/>
        <w:bottom w:val="none" w:sz="0" w:space="0" w:color="auto"/>
        <w:right w:val="none" w:sz="0" w:space="0" w:color="auto"/>
      </w:divBdr>
    </w:div>
    <w:div w:id="1330792631">
      <w:bodyDiv w:val="1"/>
      <w:marLeft w:val="0"/>
      <w:marRight w:val="0"/>
      <w:marTop w:val="0"/>
      <w:marBottom w:val="0"/>
      <w:divBdr>
        <w:top w:val="none" w:sz="0" w:space="0" w:color="auto"/>
        <w:left w:val="none" w:sz="0" w:space="0" w:color="auto"/>
        <w:bottom w:val="none" w:sz="0" w:space="0" w:color="auto"/>
        <w:right w:val="none" w:sz="0" w:space="0" w:color="auto"/>
      </w:divBdr>
    </w:div>
    <w:div w:id="1330795297">
      <w:bodyDiv w:val="1"/>
      <w:marLeft w:val="0"/>
      <w:marRight w:val="0"/>
      <w:marTop w:val="0"/>
      <w:marBottom w:val="0"/>
      <w:divBdr>
        <w:top w:val="none" w:sz="0" w:space="0" w:color="auto"/>
        <w:left w:val="none" w:sz="0" w:space="0" w:color="auto"/>
        <w:bottom w:val="none" w:sz="0" w:space="0" w:color="auto"/>
        <w:right w:val="none" w:sz="0" w:space="0" w:color="auto"/>
      </w:divBdr>
    </w:div>
    <w:div w:id="1330909571">
      <w:bodyDiv w:val="1"/>
      <w:marLeft w:val="0"/>
      <w:marRight w:val="0"/>
      <w:marTop w:val="0"/>
      <w:marBottom w:val="0"/>
      <w:divBdr>
        <w:top w:val="none" w:sz="0" w:space="0" w:color="auto"/>
        <w:left w:val="none" w:sz="0" w:space="0" w:color="auto"/>
        <w:bottom w:val="none" w:sz="0" w:space="0" w:color="auto"/>
        <w:right w:val="none" w:sz="0" w:space="0" w:color="auto"/>
      </w:divBdr>
    </w:div>
    <w:div w:id="1330981587">
      <w:bodyDiv w:val="1"/>
      <w:marLeft w:val="0"/>
      <w:marRight w:val="0"/>
      <w:marTop w:val="0"/>
      <w:marBottom w:val="0"/>
      <w:divBdr>
        <w:top w:val="none" w:sz="0" w:space="0" w:color="auto"/>
        <w:left w:val="none" w:sz="0" w:space="0" w:color="auto"/>
        <w:bottom w:val="none" w:sz="0" w:space="0" w:color="auto"/>
        <w:right w:val="none" w:sz="0" w:space="0" w:color="auto"/>
      </w:divBdr>
    </w:div>
    <w:div w:id="1331106470">
      <w:bodyDiv w:val="1"/>
      <w:marLeft w:val="0"/>
      <w:marRight w:val="0"/>
      <w:marTop w:val="0"/>
      <w:marBottom w:val="0"/>
      <w:divBdr>
        <w:top w:val="none" w:sz="0" w:space="0" w:color="auto"/>
        <w:left w:val="none" w:sz="0" w:space="0" w:color="auto"/>
        <w:bottom w:val="none" w:sz="0" w:space="0" w:color="auto"/>
        <w:right w:val="none" w:sz="0" w:space="0" w:color="auto"/>
      </w:divBdr>
    </w:div>
    <w:div w:id="1331251388">
      <w:bodyDiv w:val="1"/>
      <w:marLeft w:val="0"/>
      <w:marRight w:val="0"/>
      <w:marTop w:val="0"/>
      <w:marBottom w:val="0"/>
      <w:divBdr>
        <w:top w:val="none" w:sz="0" w:space="0" w:color="auto"/>
        <w:left w:val="none" w:sz="0" w:space="0" w:color="auto"/>
        <w:bottom w:val="none" w:sz="0" w:space="0" w:color="auto"/>
        <w:right w:val="none" w:sz="0" w:space="0" w:color="auto"/>
      </w:divBdr>
    </w:div>
    <w:div w:id="1331325325">
      <w:bodyDiv w:val="1"/>
      <w:marLeft w:val="0"/>
      <w:marRight w:val="0"/>
      <w:marTop w:val="0"/>
      <w:marBottom w:val="0"/>
      <w:divBdr>
        <w:top w:val="none" w:sz="0" w:space="0" w:color="auto"/>
        <w:left w:val="none" w:sz="0" w:space="0" w:color="auto"/>
        <w:bottom w:val="none" w:sz="0" w:space="0" w:color="auto"/>
        <w:right w:val="none" w:sz="0" w:space="0" w:color="auto"/>
      </w:divBdr>
    </w:div>
    <w:div w:id="1331330911">
      <w:bodyDiv w:val="1"/>
      <w:marLeft w:val="0"/>
      <w:marRight w:val="0"/>
      <w:marTop w:val="0"/>
      <w:marBottom w:val="0"/>
      <w:divBdr>
        <w:top w:val="none" w:sz="0" w:space="0" w:color="auto"/>
        <w:left w:val="none" w:sz="0" w:space="0" w:color="auto"/>
        <w:bottom w:val="none" w:sz="0" w:space="0" w:color="auto"/>
        <w:right w:val="none" w:sz="0" w:space="0" w:color="auto"/>
      </w:divBdr>
    </w:div>
    <w:div w:id="1331448071">
      <w:bodyDiv w:val="1"/>
      <w:marLeft w:val="0"/>
      <w:marRight w:val="0"/>
      <w:marTop w:val="0"/>
      <w:marBottom w:val="0"/>
      <w:divBdr>
        <w:top w:val="none" w:sz="0" w:space="0" w:color="auto"/>
        <w:left w:val="none" w:sz="0" w:space="0" w:color="auto"/>
        <w:bottom w:val="none" w:sz="0" w:space="0" w:color="auto"/>
        <w:right w:val="none" w:sz="0" w:space="0" w:color="auto"/>
      </w:divBdr>
    </w:div>
    <w:div w:id="1331450499">
      <w:bodyDiv w:val="1"/>
      <w:marLeft w:val="0"/>
      <w:marRight w:val="0"/>
      <w:marTop w:val="0"/>
      <w:marBottom w:val="0"/>
      <w:divBdr>
        <w:top w:val="none" w:sz="0" w:space="0" w:color="auto"/>
        <w:left w:val="none" w:sz="0" w:space="0" w:color="auto"/>
        <w:bottom w:val="none" w:sz="0" w:space="0" w:color="auto"/>
        <w:right w:val="none" w:sz="0" w:space="0" w:color="auto"/>
      </w:divBdr>
    </w:div>
    <w:div w:id="1331522817">
      <w:bodyDiv w:val="1"/>
      <w:marLeft w:val="0"/>
      <w:marRight w:val="0"/>
      <w:marTop w:val="0"/>
      <w:marBottom w:val="0"/>
      <w:divBdr>
        <w:top w:val="none" w:sz="0" w:space="0" w:color="auto"/>
        <w:left w:val="none" w:sz="0" w:space="0" w:color="auto"/>
        <w:bottom w:val="none" w:sz="0" w:space="0" w:color="auto"/>
        <w:right w:val="none" w:sz="0" w:space="0" w:color="auto"/>
      </w:divBdr>
    </w:div>
    <w:div w:id="1331789485">
      <w:bodyDiv w:val="1"/>
      <w:marLeft w:val="0"/>
      <w:marRight w:val="0"/>
      <w:marTop w:val="0"/>
      <w:marBottom w:val="0"/>
      <w:divBdr>
        <w:top w:val="none" w:sz="0" w:space="0" w:color="auto"/>
        <w:left w:val="none" w:sz="0" w:space="0" w:color="auto"/>
        <w:bottom w:val="none" w:sz="0" w:space="0" w:color="auto"/>
        <w:right w:val="none" w:sz="0" w:space="0" w:color="auto"/>
      </w:divBdr>
    </w:div>
    <w:div w:id="1331829888">
      <w:bodyDiv w:val="1"/>
      <w:marLeft w:val="0"/>
      <w:marRight w:val="0"/>
      <w:marTop w:val="0"/>
      <w:marBottom w:val="0"/>
      <w:divBdr>
        <w:top w:val="none" w:sz="0" w:space="0" w:color="auto"/>
        <w:left w:val="none" w:sz="0" w:space="0" w:color="auto"/>
        <w:bottom w:val="none" w:sz="0" w:space="0" w:color="auto"/>
        <w:right w:val="none" w:sz="0" w:space="0" w:color="auto"/>
      </w:divBdr>
    </w:div>
    <w:div w:id="1331834734">
      <w:bodyDiv w:val="1"/>
      <w:marLeft w:val="0"/>
      <w:marRight w:val="0"/>
      <w:marTop w:val="0"/>
      <w:marBottom w:val="0"/>
      <w:divBdr>
        <w:top w:val="none" w:sz="0" w:space="0" w:color="auto"/>
        <w:left w:val="none" w:sz="0" w:space="0" w:color="auto"/>
        <w:bottom w:val="none" w:sz="0" w:space="0" w:color="auto"/>
        <w:right w:val="none" w:sz="0" w:space="0" w:color="auto"/>
      </w:divBdr>
    </w:div>
    <w:div w:id="1332221850">
      <w:bodyDiv w:val="1"/>
      <w:marLeft w:val="0"/>
      <w:marRight w:val="0"/>
      <w:marTop w:val="0"/>
      <w:marBottom w:val="0"/>
      <w:divBdr>
        <w:top w:val="none" w:sz="0" w:space="0" w:color="auto"/>
        <w:left w:val="none" w:sz="0" w:space="0" w:color="auto"/>
        <w:bottom w:val="none" w:sz="0" w:space="0" w:color="auto"/>
        <w:right w:val="none" w:sz="0" w:space="0" w:color="auto"/>
      </w:divBdr>
    </w:div>
    <w:div w:id="1332441726">
      <w:bodyDiv w:val="1"/>
      <w:marLeft w:val="0"/>
      <w:marRight w:val="0"/>
      <w:marTop w:val="0"/>
      <w:marBottom w:val="0"/>
      <w:divBdr>
        <w:top w:val="none" w:sz="0" w:space="0" w:color="auto"/>
        <w:left w:val="none" w:sz="0" w:space="0" w:color="auto"/>
        <w:bottom w:val="none" w:sz="0" w:space="0" w:color="auto"/>
        <w:right w:val="none" w:sz="0" w:space="0" w:color="auto"/>
      </w:divBdr>
    </w:div>
    <w:div w:id="1332441892">
      <w:bodyDiv w:val="1"/>
      <w:marLeft w:val="0"/>
      <w:marRight w:val="0"/>
      <w:marTop w:val="0"/>
      <w:marBottom w:val="0"/>
      <w:divBdr>
        <w:top w:val="none" w:sz="0" w:space="0" w:color="auto"/>
        <w:left w:val="none" w:sz="0" w:space="0" w:color="auto"/>
        <w:bottom w:val="none" w:sz="0" w:space="0" w:color="auto"/>
        <w:right w:val="none" w:sz="0" w:space="0" w:color="auto"/>
      </w:divBdr>
    </w:div>
    <w:div w:id="1332445178">
      <w:bodyDiv w:val="1"/>
      <w:marLeft w:val="0"/>
      <w:marRight w:val="0"/>
      <w:marTop w:val="0"/>
      <w:marBottom w:val="0"/>
      <w:divBdr>
        <w:top w:val="none" w:sz="0" w:space="0" w:color="auto"/>
        <w:left w:val="none" w:sz="0" w:space="0" w:color="auto"/>
        <w:bottom w:val="none" w:sz="0" w:space="0" w:color="auto"/>
        <w:right w:val="none" w:sz="0" w:space="0" w:color="auto"/>
      </w:divBdr>
    </w:div>
    <w:div w:id="1332564025">
      <w:bodyDiv w:val="1"/>
      <w:marLeft w:val="0"/>
      <w:marRight w:val="0"/>
      <w:marTop w:val="0"/>
      <w:marBottom w:val="0"/>
      <w:divBdr>
        <w:top w:val="none" w:sz="0" w:space="0" w:color="auto"/>
        <w:left w:val="none" w:sz="0" w:space="0" w:color="auto"/>
        <w:bottom w:val="none" w:sz="0" w:space="0" w:color="auto"/>
        <w:right w:val="none" w:sz="0" w:space="0" w:color="auto"/>
      </w:divBdr>
    </w:div>
    <w:div w:id="1332678827">
      <w:bodyDiv w:val="1"/>
      <w:marLeft w:val="0"/>
      <w:marRight w:val="0"/>
      <w:marTop w:val="0"/>
      <w:marBottom w:val="0"/>
      <w:divBdr>
        <w:top w:val="none" w:sz="0" w:space="0" w:color="auto"/>
        <w:left w:val="none" w:sz="0" w:space="0" w:color="auto"/>
        <w:bottom w:val="none" w:sz="0" w:space="0" w:color="auto"/>
        <w:right w:val="none" w:sz="0" w:space="0" w:color="auto"/>
      </w:divBdr>
    </w:div>
    <w:div w:id="1332758627">
      <w:bodyDiv w:val="1"/>
      <w:marLeft w:val="0"/>
      <w:marRight w:val="0"/>
      <w:marTop w:val="0"/>
      <w:marBottom w:val="0"/>
      <w:divBdr>
        <w:top w:val="none" w:sz="0" w:space="0" w:color="auto"/>
        <w:left w:val="none" w:sz="0" w:space="0" w:color="auto"/>
        <w:bottom w:val="none" w:sz="0" w:space="0" w:color="auto"/>
        <w:right w:val="none" w:sz="0" w:space="0" w:color="auto"/>
      </w:divBdr>
    </w:div>
    <w:div w:id="1332758772">
      <w:bodyDiv w:val="1"/>
      <w:marLeft w:val="0"/>
      <w:marRight w:val="0"/>
      <w:marTop w:val="0"/>
      <w:marBottom w:val="0"/>
      <w:divBdr>
        <w:top w:val="none" w:sz="0" w:space="0" w:color="auto"/>
        <w:left w:val="none" w:sz="0" w:space="0" w:color="auto"/>
        <w:bottom w:val="none" w:sz="0" w:space="0" w:color="auto"/>
        <w:right w:val="none" w:sz="0" w:space="0" w:color="auto"/>
      </w:divBdr>
    </w:div>
    <w:div w:id="1333098207">
      <w:bodyDiv w:val="1"/>
      <w:marLeft w:val="0"/>
      <w:marRight w:val="0"/>
      <w:marTop w:val="0"/>
      <w:marBottom w:val="0"/>
      <w:divBdr>
        <w:top w:val="none" w:sz="0" w:space="0" w:color="auto"/>
        <w:left w:val="none" w:sz="0" w:space="0" w:color="auto"/>
        <w:bottom w:val="none" w:sz="0" w:space="0" w:color="auto"/>
        <w:right w:val="none" w:sz="0" w:space="0" w:color="auto"/>
      </w:divBdr>
    </w:div>
    <w:div w:id="1333332908">
      <w:bodyDiv w:val="1"/>
      <w:marLeft w:val="0"/>
      <w:marRight w:val="0"/>
      <w:marTop w:val="0"/>
      <w:marBottom w:val="0"/>
      <w:divBdr>
        <w:top w:val="none" w:sz="0" w:space="0" w:color="auto"/>
        <w:left w:val="none" w:sz="0" w:space="0" w:color="auto"/>
        <w:bottom w:val="none" w:sz="0" w:space="0" w:color="auto"/>
        <w:right w:val="none" w:sz="0" w:space="0" w:color="auto"/>
      </w:divBdr>
    </w:div>
    <w:div w:id="1333414593">
      <w:bodyDiv w:val="1"/>
      <w:marLeft w:val="0"/>
      <w:marRight w:val="0"/>
      <w:marTop w:val="0"/>
      <w:marBottom w:val="0"/>
      <w:divBdr>
        <w:top w:val="none" w:sz="0" w:space="0" w:color="auto"/>
        <w:left w:val="none" w:sz="0" w:space="0" w:color="auto"/>
        <w:bottom w:val="none" w:sz="0" w:space="0" w:color="auto"/>
        <w:right w:val="none" w:sz="0" w:space="0" w:color="auto"/>
      </w:divBdr>
    </w:div>
    <w:div w:id="1333491619">
      <w:bodyDiv w:val="1"/>
      <w:marLeft w:val="0"/>
      <w:marRight w:val="0"/>
      <w:marTop w:val="0"/>
      <w:marBottom w:val="0"/>
      <w:divBdr>
        <w:top w:val="none" w:sz="0" w:space="0" w:color="auto"/>
        <w:left w:val="none" w:sz="0" w:space="0" w:color="auto"/>
        <w:bottom w:val="none" w:sz="0" w:space="0" w:color="auto"/>
        <w:right w:val="none" w:sz="0" w:space="0" w:color="auto"/>
      </w:divBdr>
    </w:div>
    <w:div w:id="1333534965">
      <w:bodyDiv w:val="1"/>
      <w:marLeft w:val="0"/>
      <w:marRight w:val="0"/>
      <w:marTop w:val="0"/>
      <w:marBottom w:val="0"/>
      <w:divBdr>
        <w:top w:val="none" w:sz="0" w:space="0" w:color="auto"/>
        <w:left w:val="none" w:sz="0" w:space="0" w:color="auto"/>
        <w:bottom w:val="none" w:sz="0" w:space="0" w:color="auto"/>
        <w:right w:val="none" w:sz="0" w:space="0" w:color="auto"/>
      </w:divBdr>
    </w:div>
    <w:div w:id="1333753280">
      <w:bodyDiv w:val="1"/>
      <w:marLeft w:val="0"/>
      <w:marRight w:val="0"/>
      <w:marTop w:val="0"/>
      <w:marBottom w:val="0"/>
      <w:divBdr>
        <w:top w:val="none" w:sz="0" w:space="0" w:color="auto"/>
        <w:left w:val="none" w:sz="0" w:space="0" w:color="auto"/>
        <w:bottom w:val="none" w:sz="0" w:space="0" w:color="auto"/>
        <w:right w:val="none" w:sz="0" w:space="0" w:color="auto"/>
      </w:divBdr>
    </w:div>
    <w:div w:id="1333870519">
      <w:bodyDiv w:val="1"/>
      <w:marLeft w:val="0"/>
      <w:marRight w:val="0"/>
      <w:marTop w:val="0"/>
      <w:marBottom w:val="0"/>
      <w:divBdr>
        <w:top w:val="none" w:sz="0" w:space="0" w:color="auto"/>
        <w:left w:val="none" w:sz="0" w:space="0" w:color="auto"/>
        <w:bottom w:val="none" w:sz="0" w:space="0" w:color="auto"/>
        <w:right w:val="none" w:sz="0" w:space="0" w:color="auto"/>
      </w:divBdr>
    </w:div>
    <w:div w:id="1333920069">
      <w:bodyDiv w:val="1"/>
      <w:marLeft w:val="0"/>
      <w:marRight w:val="0"/>
      <w:marTop w:val="0"/>
      <w:marBottom w:val="0"/>
      <w:divBdr>
        <w:top w:val="none" w:sz="0" w:space="0" w:color="auto"/>
        <w:left w:val="none" w:sz="0" w:space="0" w:color="auto"/>
        <w:bottom w:val="none" w:sz="0" w:space="0" w:color="auto"/>
        <w:right w:val="none" w:sz="0" w:space="0" w:color="auto"/>
      </w:divBdr>
    </w:div>
    <w:div w:id="1333990533">
      <w:bodyDiv w:val="1"/>
      <w:marLeft w:val="0"/>
      <w:marRight w:val="0"/>
      <w:marTop w:val="0"/>
      <w:marBottom w:val="0"/>
      <w:divBdr>
        <w:top w:val="none" w:sz="0" w:space="0" w:color="auto"/>
        <w:left w:val="none" w:sz="0" w:space="0" w:color="auto"/>
        <w:bottom w:val="none" w:sz="0" w:space="0" w:color="auto"/>
        <w:right w:val="none" w:sz="0" w:space="0" w:color="auto"/>
      </w:divBdr>
    </w:div>
    <w:div w:id="1334452566">
      <w:bodyDiv w:val="1"/>
      <w:marLeft w:val="0"/>
      <w:marRight w:val="0"/>
      <w:marTop w:val="0"/>
      <w:marBottom w:val="0"/>
      <w:divBdr>
        <w:top w:val="none" w:sz="0" w:space="0" w:color="auto"/>
        <w:left w:val="none" w:sz="0" w:space="0" w:color="auto"/>
        <w:bottom w:val="none" w:sz="0" w:space="0" w:color="auto"/>
        <w:right w:val="none" w:sz="0" w:space="0" w:color="auto"/>
      </w:divBdr>
    </w:div>
    <w:div w:id="1334607795">
      <w:bodyDiv w:val="1"/>
      <w:marLeft w:val="0"/>
      <w:marRight w:val="0"/>
      <w:marTop w:val="0"/>
      <w:marBottom w:val="0"/>
      <w:divBdr>
        <w:top w:val="none" w:sz="0" w:space="0" w:color="auto"/>
        <w:left w:val="none" w:sz="0" w:space="0" w:color="auto"/>
        <w:bottom w:val="none" w:sz="0" w:space="0" w:color="auto"/>
        <w:right w:val="none" w:sz="0" w:space="0" w:color="auto"/>
      </w:divBdr>
    </w:div>
    <w:div w:id="1334652073">
      <w:bodyDiv w:val="1"/>
      <w:marLeft w:val="0"/>
      <w:marRight w:val="0"/>
      <w:marTop w:val="0"/>
      <w:marBottom w:val="0"/>
      <w:divBdr>
        <w:top w:val="none" w:sz="0" w:space="0" w:color="auto"/>
        <w:left w:val="none" w:sz="0" w:space="0" w:color="auto"/>
        <w:bottom w:val="none" w:sz="0" w:space="0" w:color="auto"/>
        <w:right w:val="none" w:sz="0" w:space="0" w:color="auto"/>
      </w:divBdr>
    </w:div>
    <w:div w:id="1334917552">
      <w:bodyDiv w:val="1"/>
      <w:marLeft w:val="0"/>
      <w:marRight w:val="0"/>
      <w:marTop w:val="0"/>
      <w:marBottom w:val="0"/>
      <w:divBdr>
        <w:top w:val="none" w:sz="0" w:space="0" w:color="auto"/>
        <w:left w:val="none" w:sz="0" w:space="0" w:color="auto"/>
        <w:bottom w:val="none" w:sz="0" w:space="0" w:color="auto"/>
        <w:right w:val="none" w:sz="0" w:space="0" w:color="auto"/>
      </w:divBdr>
    </w:div>
    <w:div w:id="1335034541">
      <w:bodyDiv w:val="1"/>
      <w:marLeft w:val="0"/>
      <w:marRight w:val="0"/>
      <w:marTop w:val="0"/>
      <w:marBottom w:val="0"/>
      <w:divBdr>
        <w:top w:val="none" w:sz="0" w:space="0" w:color="auto"/>
        <w:left w:val="none" w:sz="0" w:space="0" w:color="auto"/>
        <w:bottom w:val="none" w:sz="0" w:space="0" w:color="auto"/>
        <w:right w:val="none" w:sz="0" w:space="0" w:color="auto"/>
      </w:divBdr>
    </w:div>
    <w:div w:id="1335035525">
      <w:bodyDiv w:val="1"/>
      <w:marLeft w:val="0"/>
      <w:marRight w:val="0"/>
      <w:marTop w:val="0"/>
      <w:marBottom w:val="0"/>
      <w:divBdr>
        <w:top w:val="none" w:sz="0" w:space="0" w:color="auto"/>
        <w:left w:val="none" w:sz="0" w:space="0" w:color="auto"/>
        <w:bottom w:val="none" w:sz="0" w:space="0" w:color="auto"/>
        <w:right w:val="none" w:sz="0" w:space="0" w:color="auto"/>
      </w:divBdr>
    </w:div>
    <w:div w:id="1335107990">
      <w:bodyDiv w:val="1"/>
      <w:marLeft w:val="0"/>
      <w:marRight w:val="0"/>
      <w:marTop w:val="0"/>
      <w:marBottom w:val="0"/>
      <w:divBdr>
        <w:top w:val="none" w:sz="0" w:space="0" w:color="auto"/>
        <w:left w:val="none" w:sz="0" w:space="0" w:color="auto"/>
        <w:bottom w:val="none" w:sz="0" w:space="0" w:color="auto"/>
        <w:right w:val="none" w:sz="0" w:space="0" w:color="auto"/>
      </w:divBdr>
    </w:div>
    <w:div w:id="1335185476">
      <w:bodyDiv w:val="1"/>
      <w:marLeft w:val="0"/>
      <w:marRight w:val="0"/>
      <w:marTop w:val="0"/>
      <w:marBottom w:val="0"/>
      <w:divBdr>
        <w:top w:val="none" w:sz="0" w:space="0" w:color="auto"/>
        <w:left w:val="none" w:sz="0" w:space="0" w:color="auto"/>
        <w:bottom w:val="none" w:sz="0" w:space="0" w:color="auto"/>
        <w:right w:val="none" w:sz="0" w:space="0" w:color="auto"/>
      </w:divBdr>
    </w:div>
    <w:div w:id="1335303280">
      <w:bodyDiv w:val="1"/>
      <w:marLeft w:val="0"/>
      <w:marRight w:val="0"/>
      <w:marTop w:val="0"/>
      <w:marBottom w:val="0"/>
      <w:divBdr>
        <w:top w:val="none" w:sz="0" w:space="0" w:color="auto"/>
        <w:left w:val="none" w:sz="0" w:space="0" w:color="auto"/>
        <w:bottom w:val="none" w:sz="0" w:space="0" w:color="auto"/>
        <w:right w:val="none" w:sz="0" w:space="0" w:color="auto"/>
      </w:divBdr>
    </w:div>
    <w:div w:id="1335380798">
      <w:bodyDiv w:val="1"/>
      <w:marLeft w:val="0"/>
      <w:marRight w:val="0"/>
      <w:marTop w:val="0"/>
      <w:marBottom w:val="0"/>
      <w:divBdr>
        <w:top w:val="none" w:sz="0" w:space="0" w:color="auto"/>
        <w:left w:val="none" w:sz="0" w:space="0" w:color="auto"/>
        <w:bottom w:val="none" w:sz="0" w:space="0" w:color="auto"/>
        <w:right w:val="none" w:sz="0" w:space="0" w:color="auto"/>
      </w:divBdr>
    </w:div>
    <w:div w:id="1335567268">
      <w:bodyDiv w:val="1"/>
      <w:marLeft w:val="0"/>
      <w:marRight w:val="0"/>
      <w:marTop w:val="0"/>
      <w:marBottom w:val="0"/>
      <w:divBdr>
        <w:top w:val="none" w:sz="0" w:space="0" w:color="auto"/>
        <w:left w:val="none" w:sz="0" w:space="0" w:color="auto"/>
        <w:bottom w:val="none" w:sz="0" w:space="0" w:color="auto"/>
        <w:right w:val="none" w:sz="0" w:space="0" w:color="auto"/>
      </w:divBdr>
    </w:div>
    <w:div w:id="1335570013">
      <w:bodyDiv w:val="1"/>
      <w:marLeft w:val="0"/>
      <w:marRight w:val="0"/>
      <w:marTop w:val="0"/>
      <w:marBottom w:val="0"/>
      <w:divBdr>
        <w:top w:val="none" w:sz="0" w:space="0" w:color="auto"/>
        <w:left w:val="none" w:sz="0" w:space="0" w:color="auto"/>
        <w:bottom w:val="none" w:sz="0" w:space="0" w:color="auto"/>
        <w:right w:val="none" w:sz="0" w:space="0" w:color="auto"/>
      </w:divBdr>
    </w:div>
    <w:div w:id="1336148949">
      <w:bodyDiv w:val="1"/>
      <w:marLeft w:val="0"/>
      <w:marRight w:val="0"/>
      <w:marTop w:val="0"/>
      <w:marBottom w:val="0"/>
      <w:divBdr>
        <w:top w:val="none" w:sz="0" w:space="0" w:color="auto"/>
        <w:left w:val="none" w:sz="0" w:space="0" w:color="auto"/>
        <w:bottom w:val="none" w:sz="0" w:space="0" w:color="auto"/>
        <w:right w:val="none" w:sz="0" w:space="0" w:color="auto"/>
      </w:divBdr>
    </w:div>
    <w:div w:id="1336155564">
      <w:bodyDiv w:val="1"/>
      <w:marLeft w:val="0"/>
      <w:marRight w:val="0"/>
      <w:marTop w:val="0"/>
      <w:marBottom w:val="0"/>
      <w:divBdr>
        <w:top w:val="none" w:sz="0" w:space="0" w:color="auto"/>
        <w:left w:val="none" w:sz="0" w:space="0" w:color="auto"/>
        <w:bottom w:val="none" w:sz="0" w:space="0" w:color="auto"/>
        <w:right w:val="none" w:sz="0" w:space="0" w:color="auto"/>
      </w:divBdr>
    </w:div>
    <w:div w:id="1336223636">
      <w:bodyDiv w:val="1"/>
      <w:marLeft w:val="0"/>
      <w:marRight w:val="0"/>
      <w:marTop w:val="0"/>
      <w:marBottom w:val="0"/>
      <w:divBdr>
        <w:top w:val="none" w:sz="0" w:space="0" w:color="auto"/>
        <w:left w:val="none" w:sz="0" w:space="0" w:color="auto"/>
        <w:bottom w:val="none" w:sz="0" w:space="0" w:color="auto"/>
        <w:right w:val="none" w:sz="0" w:space="0" w:color="auto"/>
      </w:divBdr>
    </w:div>
    <w:div w:id="1336493212">
      <w:bodyDiv w:val="1"/>
      <w:marLeft w:val="0"/>
      <w:marRight w:val="0"/>
      <w:marTop w:val="0"/>
      <w:marBottom w:val="0"/>
      <w:divBdr>
        <w:top w:val="none" w:sz="0" w:space="0" w:color="auto"/>
        <w:left w:val="none" w:sz="0" w:space="0" w:color="auto"/>
        <w:bottom w:val="none" w:sz="0" w:space="0" w:color="auto"/>
        <w:right w:val="none" w:sz="0" w:space="0" w:color="auto"/>
      </w:divBdr>
    </w:div>
    <w:div w:id="1336499411">
      <w:bodyDiv w:val="1"/>
      <w:marLeft w:val="0"/>
      <w:marRight w:val="0"/>
      <w:marTop w:val="0"/>
      <w:marBottom w:val="0"/>
      <w:divBdr>
        <w:top w:val="none" w:sz="0" w:space="0" w:color="auto"/>
        <w:left w:val="none" w:sz="0" w:space="0" w:color="auto"/>
        <w:bottom w:val="none" w:sz="0" w:space="0" w:color="auto"/>
        <w:right w:val="none" w:sz="0" w:space="0" w:color="auto"/>
      </w:divBdr>
    </w:div>
    <w:div w:id="1336541250">
      <w:bodyDiv w:val="1"/>
      <w:marLeft w:val="0"/>
      <w:marRight w:val="0"/>
      <w:marTop w:val="0"/>
      <w:marBottom w:val="0"/>
      <w:divBdr>
        <w:top w:val="none" w:sz="0" w:space="0" w:color="auto"/>
        <w:left w:val="none" w:sz="0" w:space="0" w:color="auto"/>
        <w:bottom w:val="none" w:sz="0" w:space="0" w:color="auto"/>
        <w:right w:val="none" w:sz="0" w:space="0" w:color="auto"/>
      </w:divBdr>
    </w:div>
    <w:div w:id="1336609257">
      <w:bodyDiv w:val="1"/>
      <w:marLeft w:val="0"/>
      <w:marRight w:val="0"/>
      <w:marTop w:val="0"/>
      <w:marBottom w:val="0"/>
      <w:divBdr>
        <w:top w:val="none" w:sz="0" w:space="0" w:color="auto"/>
        <w:left w:val="none" w:sz="0" w:space="0" w:color="auto"/>
        <w:bottom w:val="none" w:sz="0" w:space="0" w:color="auto"/>
        <w:right w:val="none" w:sz="0" w:space="0" w:color="auto"/>
      </w:divBdr>
    </w:div>
    <w:div w:id="1336803957">
      <w:bodyDiv w:val="1"/>
      <w:marLeft w:val="0"/>
      <w:marRight w:val="0"/>
      <w:marTop w:val="0"/>
      <w:marBottom w:val="0"/>
      <w:divBdr>
        <w:top w:val="none" w:sz="0" w:space="0" w:color="auto"/>
        <w:left w:val="none" w:sz="0" w:space="0" w:color="auto"/>
        <w:bottom w:val="none" w:sz="0" w:space="0" w:color="auto"/>
        <w:right w:val="none" w:sz="0" w:space="0" w:color="auto"/>
      </w:divBdr>
    </w:div>
    <w:div w:id="1336882808">
      <w:bodyDiv w:val="1"/>
      <w:marLeft w:val="0"/>
      <w:marRight w:val="0"/>
      <w:marTop w:val="0"/>
      <w:marBottom w:val="0"/>
      <w:divBdr>
        <w:top w:val="none" w:sz="0" w:space="0" w:color="auto"/>
        <w:left w:val="none" w:sz="0" w:space="0" w:color="auto"/>
        <w:bottom w:val="none" w:sz="0" w:space="0" w:color="auto"/>
        <w:right w:val="none" w:sz="0" w:space="0" w:color="auto"/>
      </w:divBdr>
    </w:div>
    <w:div w:id="1336958155">
      <w:bodyDiv w:val="1"/>
      <w:marLeft w:val="0"/>
      <w:marRight w:val="0"/>
      <w:marTop w:val="0"/>
      <w:marBottom w:val="0"/>
      <w:divBdr>
        <w:top w:val="none" w:sz="0" w:space="0" w:color="auto"/>
        <w:left w:val="none" w:sz="0" w:space="0" w:color="auto"/>
        <w:bottom w:val="none" w:sz="0" w:space="0" w:color="auto"/>
        <w:right w:val="none" w:sz="0" w:space="0" w:color="auto"/>
      </w:divBdr>
    </w:div>
    <w:div w:id="1337077356">
      <w:bodyDiv w:val="1"/>
      <w:marLeft w:val="0"/>
      <w:marRight w:val="0"/>
      <w:marTop w:val="0"/>
      <w:marBottom w:val="0"/>
      <w:divBdr>
        <w:top w:val="none" w:sz="0" w:space="0" w:color="auto"/>
        <w:left w:val="none" w:sz="0" w:space="0" w:color="auto"/>
        <w:bottom w:val="none" w:sz="0" w:space="0" w:color="auto"/>
        <w:right w:val="none" w:sz="0" w:space="0" w:color="auto"/>
      </w:divBdr>
    </w:div>
    <w:div w:id="1337224859">
      <w:bodyDiv w:val="1"/>
      <w:marLeft w:val="0"/>
      <w:marRight w:val="0"/>
      <w:marTop w:val="0"/>
      <w:marBottom w:val="0"/>
      <w:divBdr>
        <w:top w:val="none" w:sz="0" w:space="0" w:color="auto"/>
        <w:left w:val="none" w:sz="0" w:space="0" w:color="auto"/>
        <w:bottom w:val="none" w:sz="0" w:space="0" w:color="auto"/>
        <w:right w:val="none" w:sz="0" w:space="0" w:color="auto"/>
      </w:divBdr>
    </w:div>
    <w:div w:id="1337266293">
      <w:bodyDiv w:val="1"/>
      <w:marLeft w:val="0"/>
      <w:marRight w:val="0"/>
      <w:marTop w:val="0"/>
      <w:marBottom w:val="0"/>
      <w:divBdr>
        <w:top w:val="none" w:sz="0" w:space="0" w:color="auto"/>
        <w:left w:val="none" w:sz="0" w:space="0" w:color="auto"/>
        <w:bottom w:val="none" w:sz="0" w:space="0" w:color="auto"/>
        <w:right w:val="none" w:sz="0" w:space="0" w:color="auto"/>
      </w:divBdr>
    </w:div>
    <w:div w:id="1337533540">
      <w:bodyDiv w:val="1"/>
      <w:marLeft w:val="0"/>
      <w:marRight w:val="0"/>
      <w:marTop w:val="0"/>
      <w:marBottom w:val="0"/>
      <w:divBdr>
        <w:top w:val="none" w:sz="0" w:space="0" w:color="auto"/>
        <w:left w:val="none" w:sz="0" w:space="0" w:color="auto"/>
        <w:bottom w:val="none" w:sz="0" w:space="0" w:color="auto"/>
        <w:right w:val="none" w:sz="0" w:space="0" w:color="auto"/>
      </w:divBdr>
    </w:div>
    <w:div w:id="1337611493">
      <w:bodyDiv w:val="1"/>
      <w:marLeft w:val="0"/>
      <w:marRight w:val="0"/>
      <w:marTop w:val="0"/>
      <w:marBottom w:val="0"/>
      <w:divBdr>
        <w:top w:val="none" w:sz="0" w:space="0" w:color="auto"/>
        <w:left w:val="none" w:sz="0" w:space="0" w:color="auto"/>
        <w:bottom w:val="none" w:sz="0" w:space="0" w:color="auto"/>
        <w:right w:val="none" w:sz="0" w:space="0" w:color="auto"/>
      </w:divBdr>
    </w:div>
    <w:div w:id="1337656466">
      <w:bodyDiv w:val="1"/>
      <w:marLeft w:val="0"/>
      <w:marRight w:val="0"/>
      <w:marTop w:val="0"/>
      <w:marBottom w:val="0"/>
      <w:divBdr>
        <w:top w:val="none" w:sz="0" w:space="0" w:color="auto"/>
        <w:left w:val="none" w:sz="0" w:space="0" w:color="auto"/>
        <w:bottom w:val="none" w:sz="0" w:space="0" w:color="auto"/>
        <w:right w:val="none" w:sz="0" w:space="0" w:color="auto"/>
      </w:divBdr>
    </w:div>
    <w:div w:id="1337806804">
      <w:bodyDiv w:val="1"/>
      <w:marLeft w:val="0"/>
      <w:marRight w:val="0"/>
      <w:marTop w:val="0"/>
      <w:marBottom w:val="0"/>
      <w:divBdr>
        <w:top w:val="none" w:sz="0" w:space="0" w:color="auto"/>
        <w:left w:val="none" w:sz="0" w:space="0" w:color="auto"/>
        <w:bottom w:val="none" w:sz="0" w:space="0" w:color="auto"/>
        <w:right w:val="none" w:sz="0" w:space="0" w:color="auto"/>
      </w:divBdr>
    </w:div>
    <w:div w:id="1337808943">
      <w:bodyDiv w:val="1"/>
      <w:marLeft w:val="0"/>
      <w:marRight w:val="0"/>
      <w:marTop w:val="0"/>
      <w:marBottom w:val="0"/>
      <w:divBdr>
        <w:top w:val="none" w:sz="0" w:space="0" w:color="auto"/>
        <w:left w:val="none" w:sz="0" w:space="0" w:color="auto"/>
        <w:bottom w:val="none" w:sz="0" w:space="0" w:color="auto"/>
        <w:right w:val="none" w:sz="0" w:space="0" w:color="auto"/>
      </w:divBdr>
    </w:div>
    <w:div w:id="1337877077">
      <w:bodyDiv w:val="1"/>
      <w:marLeft w:val="0"/>
      <w:marRight w:val="0"/>
      <w:marTop w:val="0"/>
      <w:marBottom w:val="0"/>
      <w:divBdr>
        <w:top w:val="none" w:sz="0" w:space="0" w:color="auto"/>
        <w:left w:val="none" w:sz="0" w:space="0" w:color="auto"/>
        <w:bottom w:val="none" w:sz="0" w:space="0" w:color="auto"/>
        <w:right w:val="none" w:sz="0" w:space="0" w:color="auto"/>
      </w:divBdr>
    </w:div>
    <w:div w:id="1337882651">
      <w:bodyDiv w:val="1"/>
      <w:marLeft w:val="0"/>
      <w:marRight w:val="0"/>
      <w:marTop w:val="0"/>
      <w:marBottom w:val="0"/>
      <w:divBdr>
        <w:top w:val="none" w:sz="0" w:space="0" w:color="auto"/>
        <w:left w:val="none" w:sz="0" w:space="0" w:color="auto"/>
        <w:bottom w:val="none" w:sz="0" w:space="0" w:color="auto"/>
        <w:right w:val="none" w:sz="0" w:space="0" w:color="auto"/>
      </w:divBdr>
    </w:div>
    <w:div w:id="1337884212">
      <w:bodyDiv w:val="1"/>
      <w:marLeft w:val="0"/>
      <w:marRight w:val="0"/>
      <w:marTop w:val="0"/>
      <w:marBottom w:val="0"/>
      <w:divBdr>
        <w:top w:val="none" w:sz="0" w:space="0" w:color="auto"/>
        <w:left w:val="none" w:sz="0" w:space="0" w:color="auto"/>
        <w:bottom w:val="none" w:sz="0" w:space="0" w:color="auto"/>
        <w:right w:val="none" w:sz="0" w:space="0" w:color="auto"/>
      </w:divBdr>
    </w:div>
    <w:div w:id="1337994725">
      <w:bodyDiv w:val="1"/>
      <w:marLeft w:val="0"/>
      <w:marRight w:val="0"/>
      <w:marTop w:val="0"/>
      <w:marBottom w:val="0"/>
      <w:divBdr>
        <w:top w:val="none" w:sz="0" w:space="0" w:color="auto"/>
        <w:left w:val="none" w:sz="0" w:space="0" w:color="auto"/>
        <w:bottom w:val="none" w:sz="0" w:space="0" w:color="auto"/>
        <w:right w:val="none" w:sz="0" w:space="0" w:color="auto"/>
      </w:divBdr>
    </w:div>
    <w:div w:id="1337997521">
      <w:bodyDiv w:val="1"/>
      <w:marLeft w:val="0"/>
      <w:marRight w:val="0"/>
      <w:marTop w:val="0"/>
      <w:marBottom w:val="0"/>
      <w:divBdr>
        <w:top w:val="none" w:sz="0" w:space="0" w:color="auto"/>
        <w:left w:val="none" w:sz="0" w:space="0" w:color="auto"/>
        <w:bottom w:val="none" w:sz="0" w:space="0" w:color="auto"/>
        <w:right w:val="none" w:sz="0" w:space="0" w:color="auto"/>
      </w:divBdr>
    </w:div>
    <w:div w:id="1338187983">
      <w:bodyDiv w:val="1"/>
      <w:marLeft w:val="0"/>
      <w:marRight w:val="0"/>
      <w:marTop w:val="0"/>
      <w:marBottom w:val="0"/>
      <w:divBdr>
        <w:top w:val="none" w:sz="0" w:space="0" w:color="auto"/>
        <w:left w:val="none" w:sz="0" w:space="0" w:color="auto"/>
        <w:bottom w:val="none" w:sz="0" w:space="0" w:color="auto"/>
        <w:right w:val="none" w:sz="0" w:space="0" w:color="auto"/>
      </w:divBdr>
    </w:div>
    <w:div w:id="1338194784">
      <w:bodyDiv w:val="1"/>
      <w:marLeft w:val="0"/>
      <w:marRight w:val="0"/>
      <w:marTop w:val="0"/>
      <w:marBottom w:val="0"/>
      <w:divBdr>
        <w:top w:val="none" w:sz="0" w:space="0" w:color="auto"/>
        <w:left w:val="none" w:sz="0" w:space="0" w:color="auto"/>
        <w:bottom w:val="none" w:sz="0" w:space="0" w:color="auto"/>
        <w:right w:val="none" w:sz="0" w:space="0" w:color="auto"/>
      </w:divBdr>
    </w:div>
    <w:div w:id="1338313517">
      <w:bodyDiv w:val="1"/>
      <w:marLeft w:val="0"/>
      <w:marRight w:val="0"/>
      <w:marTop w:val="0"/>
      <w:marBottom w:val="0"/>
      <w:divBdr>
        <w:top w:val="none" w:sz="0" w:space="0" w:color="auto"/>
        <w:left w:val="none" w:sz="0" w:space="0" w:color="auto"/>
        <w:bottom w:val="none" w:sz="0" w:space="0" w:color="auto"/>
        <w:right w:val="none" w:sz="0" w:space="0" w:color="auto"/>
      </w:divBdr>
    </w:div>
    <w:div w:id="1338382310">
      <w:bodyDiv w:val="1"/>
      <w:marLeft w:val="0"/>
      <w:marRight w:val="0"/>
      <w:marTop w:val="0"/>
      <w:marBottom w:val="0"/>
      <w:divBdr>
        <w:top w:val="none" w:sz="0" w:space="0" w:color="auto"/>
        <w:left w:val="none" w:sz="0" w:space="0" w:color="auto"/>
        <w:bottom w:val="none" w:sz="0" w:space="0" w:color="auto"/>
        <w:right w:val="none" w:sz="0" w:space="0" w:color="auto"/>
      </w:divBdr>
    </w:div>
    <w:div w:id="1338533324">
      <w:bodyDiv w:val="1"/>
      <w:marLeft w:val="0"/>
      <w:marRight w:val="0"/>
      <w:marTop w:val="0"/>
      <w:marBottom w:val="0"/>
      <w:divBdr>
        <w:top w:val="none" w:sz="0" w:space="0" w:color="auto"/>
        <w:left w:val="none" w:sz="0" w:space="0" w:color="auto"/>
        <w:bottom w:val="none" w:sz="0" w:space="0" w:color="auto"/>
        <w:right w:val="none" w:sz="0" w:space="0" w:color="auto"/>
      </w:divBdr>
    </w:div>
    <w:div w:id="1338775910">
      <w:bodyDiv w:val="1"/>
      <w:marLeft w:val="0"/>
      <w:marRight w:val="0"/>
      <w:marTop w:val="0"/>
      <w:marBottom w:val="0"/>
      <w:divBdr>
        <w:top w:val="none" w:sz="0" w:space="0" w:color="auto"/>
        <w:left w:val="none" w:sz="0" w:space="0" w:color="auto"/>
        <w:bottom w:val="none" w:sz="0" w:space="0" w:color="auto"/>
        <w:right w:val="none" w:sz="0" w:space="0" w:color="auto"/>
      </w:divBdr>
    </w:div>
    <w:div w:id="1339040582">
      <w:bodyDiv w:val="1"/>
      <w:marLeft w:val="0"/>
      <w:marRight w:val="0"/>
      <w:marTop w:val="0"/>
      <w:marBottom w:val="0"/>
      <w:divBdr>
        <w:top w:val="none" w:sz="0" w:space="0" w:color="auto"/>
        <w:left w:val="none" w:sz="0" w:space="0" w:color="auto"/>
        <w:bottom w:val="none" w:sz="0" w:space="0" w:color="auto"/>
        <w:right w:val="none" w:sz="0" w:space="0" w:color="auto"/>
      </w:divBdr>
    </w:div>
    <w:div w:id="1339120093">
      <w:bodyDiv w:val="1"/>
      <w:marLeft w:val="0"/>
      <w:marRight w:val="0"/>
      <w:marTop w:val="0"/>
      <w:marBottom w:val="0"/>
      <w:divBdr>
        <w:top w:val="none" w:sz="0" w:space="0" w:color="auto"/>
        <w:left w:val="none" w:sz="0" w:space="0" w:color="auto"/>
        <w:bottom w:val="none" w:sz="0" w:space="0" w:color="auto"/>
        <w:right w:val="none" w:sz="0" w:space="0" w:color="auto"/>
      </w:divBdr>
    </w:div>
    <w:div w:id="1339233978">
      <w:bodyDiv w:val="1"/>
      <w:marLeft w:val="0"/>
      <w:marRight w:val="0"/>
      <w:marTop w:val="0"/>
      <w:marBottom w:val="0"/>
      <w:divBdr>
        <w:top w:val="none" w:sz="0" w:space="0" w:color="auto"/>
        <w:left w:val="none" w:sz="0" w:space="0" w:color="auto"/>
        <w:bottom w:val="none" w:sz="0" w:space="0" w:color="auto"/>
        <w:right w:val="none" w:sz="0" w:space="0" w:color="auto"/>
      </w:divBdr>
    </w:div>
    <w:div w:id="1339382915">
      <w:bodyDiv w:val="1"/>
      <w:marLeft w:val="0"/>
      <w:marRight w:val="0"/>
      <w:marTop w:val="0"/>
      <w:marBottom w:val="0"/>
      <w:divBdr>
        <w:top w:val="none" w:sz="0" w:space="0" w:color="auto"/>
        <w:left w:val="none" w:sz="0" w:space="0" w:color="auto"/>
        <w:bottom w:val="none" w:sz="0" w:space="0" w:color="auto"/>
        <w:right w:val="none" w:sz="0" w:space="0" w:color="auto"/>
      </w:divBdr>
    </w:div>
    <w:div w:id="1339385747">
      <w:bodyDiv w:val="1"/>
      <w:marLeft w:val="0"/>
      <w:marRight w:val="0"/>
      <w:marTop w:val="0"/>
      <w:marBottom w:val="0"/>
      <w:divBdr>
        <w:top w:val="none" w:sz="0" w:space="0" w:color="auto"/>
        <w:left w:val="none" w:sz="0" w:space="0" w:color="auto"/>
        <w:bottom w:val="none" w:sz="0" w:space="0" w:color="auto"/>
        <w:right w:val="none" w:sz="0" w:space="0" w:color="auto"/>
      </w:divBdr>
    </w:div>
    <w:div w:id="1339427235">
      <w:bodyDiv w:val="1"/>
      <w:marLeft w:val="0"/>
      <w:marRight w:val="0"/>
      <w:marTop w:val="0"/>
      <w:marBottom w:val="0"/>
      <w:divBdr>
        <w:top w:val="none" w:sz="0" w:space="0" w:color="auto"/>
        <w:left w:val="none" w:sz="0" w:space="0" w:color="auto"/>
        <w:bottom w:val="none" w:sz="0" w:space="0" w:color="auto"/>
        <w:right w:val="none" w:sz="0" w:space="0" w:color="auto"/>
      </w:divBdr>
    </w:div>
    <w:div w:id="1339430269">
      <w:bodyDiv w:val="1"/>
      <w:marLeft w:val="0"/>
      <w:marRight w:val="0"/>
      <w:marTop w:val="0"/>
      <w:marBottom w:val="0"/>
      <w:divBdr>
        <w:top w:val="none" w:sz="0" w:space="0" w:color="auto"/>
        <w:left w:val="none" w:sz="0" w:space="0" w:color="auto"/>
        <w:bottom w:val="none" w:sz="0" w:space="0" w:color="auto"/>
        <w:right w:val="none" w:sz="0" w:space="0" w:color="auto"/>
      </w:divBdr>
    </w:div>
    <w:div w:id="1339455769">
      <w:bodyDiv w:val="1"/>
      <w:marLeft w:val="0"/>
      <w:marRight w:val="0"/>
      <w:marTop w:val="0"/>
      <w:marBottom w:val="0"/>
      <w:divBdr>
        <w:top w:val="none" w:sz="0" w:space="0" w:color="auto"/>
        <w:left w:val="none" w:sz="0" w:space="0" w:color="auto"/>
        <w:bottom w:val="none" w:sz="0" w:space="0" w:color="auto"/>
        <w:right w:val="none" w:sz="0" w:space="0" w:color="auto"/>
      </w:divBdr>
    </w:div>
    <w:div w:id="1339500294">
      <w:bodyDiv w:val="1"/>
      <w:marLeft w:val="0"/>
      <w:marRight w:val="0"/>
      <w:marTop w:val="0"/>
      <w:marBottom w:val="0"/>
      <w:divBdr>
        <w:top w:val="none" w:sz="0" w:space="0" w:color="auto"/>
        <w:left w:val="none" w:sz="0" w:space="0" w:color="auto"/>
        <w:bottom w:val="none" w:sz="0" w:space="0" w:color="auto"/>
        <w:right w:val="none" w:sz="0" w:space="0" w:color="auto"/>
      </w:divBdr>
    </w:div>
    <w:div w:id="1339581047">
      <w:bodyDiv w:val="1"/>
      <w:marLeft w:val="0"/>
      <w:marRight w:val="0"/>
      <w:marTop w:val="0"/>
      <w:marBottom w:val="0"/>
      <w:divBdr>
        <w:top w:val="none" w:sz="0" w:space="0" w:color="auto"/>
        <w:left w:val="none" w:sz="0" w:space="0" w:color="auto"/>
        <w:bottom w:val="none" w:sz="0" w:space="0" w:color="auto"/>
        <w:right w:val="none" w:sz="0" w:space="0" w:color="auto"/>
      </w:divBdr>
    </w:div>
    <w:div w:id="1339581971">
      <w:bodyDiv w:val="1"/>
      <w:marLeft w:val="0"/>
      <w:marRight w:val="0"/>
      <w:marTop w:val="0"/>
      <w:marBottom w:val="0"/>
      <w:divBdr>
        <w:top w:val="none" w:sz="0" w:space="0" w:color="auto"/>
        <w:left w:val="none" w:sz="0" w:space="0" w:color="auto"/>
        <w:bottom w:val="none" w:sz="0" w:space="0" w:color="auto"/>
        <w:right w:val="none" w:sz="0" w:space="0" w:color="auto"/>
      </w:divBdr>
    </w:div>
    <w:div w:id="1339625687">
      <w:bodyDiv w:val="1"/>
      <w:marLeft w:val="0"/>
      <w:marRight w:val="0"/>
      <w:marTop w:val="0"/>
      <w:marBottom w:val="0"/>
      <w:divBdr>
        <w:top w:val="none" w:sz="0" w:space="0" w:color="auto"/>
        <w:left w:val="none" w:sz="0" w:space="0" w:color="auto"/>
        <w:bottom w:val="none" w:sz="0" w:space="0" w:color="auto"/>
        <w:right w:val="none" w:sz="0" w:space="0" w:color="auto"/>
      </w:divBdr>
    </w:div>
    <w:div w:id="1339701088">
      <w:bodyDiv w:val="1"/>
      <w:marLeft w:val="0"/>
      <w:marRight w:val="0"/>
      <w:marTop w:val="0"/>
      <w:marBottom w:val="0"/>
      <w:divBdr>
        <w:top w:val="none" w:sz="0" w:space="0" w:color="auto"/>
        <w:left w:val="none" w:sz="0" w:space="0" w:color="auto"/>
        <w:bottom w:val="none" w:sz="0" w:space="0" w:color="auto"/>
        <w:right w:val="none" w:sz="0" w:space="0" w:color="auto"/>
      </w:divBdr>
    </w:div>
    <w:div w:id="1339845860">
      <w:bodyDiv w:val="1"/>
      <w:marLeft w:val="0"/>
      <w:marRight w:val="0"/>
      <w:marTop w:val="0"/>
      <w:marBottom w:val="0"/>
      <w:divBdr>
        <w:top w:val="none" w:sz="0" w:space="0" w:color="auto"/>
        <w:left w:val="none" w:sz="0" w:space="0" w:color="auto"/>
        <w:bottom w:val="none" w:sz="0" w:space="0" w:color="auto"/>
        <w:right w:val="none" w:sz="0" w:space="0" w:color="auto"/>
      </w:divBdr>
    </w:div>
    <w:div w:id="1340084919">
      <w:bodyDiv w:val="1"/>
      <w:marLeft w:val="0"/>
      <w:marRight w:val="0"/>
      <w:marTop w:val="0"/>
      <w:marBottom w:val="0"/>
      <w:divBdr>
        <w:top w:val="none" w:sz="0" w:space="0" w:color="auto"/>
        <w:left w:val="none" w:sz="0" w:space="0" w:color="auto"/>
        <w:bottom w:val="none" w:sz="0" w:space="0" w:color="auto"/>
        <w:right w:val="none" w:sz="0" w:space="0" w:color="auto"/>
      </w:divBdr>
    </w:div>
    <w:div w:id="1340309368">
      <w:bodyDiv w:val="1"/>
      <w:marLeft w:val="0"/>
      <w:marRight w:val="0"/>
      <w:marTop w:val="0"/>
      <w:marBottom w:val="0"/>
      <w:divBdr>
        <w:top w:val="none" w:sz="0" w:space="0" w:color="auto"/>
        <w:left w:val="none" w:sz="0" w:space="0" w:color="auto"/>
        <w:bottom w:val="none" w:sz="0" w:space="0" w:color="auto"/>
        <w:right w:val="none" w:sz="0" w:space="0" w:color="auto"/>
      </w:divBdr>
    </w:div>
    <w:div w:id="1340351859">
      <w:bodyDiv w:val="1"/>
      <w:marLeft w:val="0"/>
      <w:marRight w:val="0"/>
      <w:marTop w:val="0"/>
      <w:marBottom w:val="0"/>
      <w:divBdr>
        <w:top w:val="none" w:sz="0" w:space="0" w:color="auto"/>
        <w:left w:val="none" w:sz="0" w:space="0" w:color="auto"/>
        <w:bottom w:val="none" w:sz="0" w:space="0" w:color="auto"/>
        <w:right w:val="none" w:sz="0" w:space="0" w:color="auto"/>
      </w:divBdr>
    </w:div>
    <w:div w:id="1340691992">
      <w:bodyDiv w:val="1"/>
      <w:marLeft w:val="0"/>
      <w:marRight w:val="0"/>
      <w:marTop w:val="0"/>
      <w:marBottom w:val="0"/>
      <w:divBdr>
        <w:top w:val="none" w:sz="0" w:space="0" w:color="auto"/>
        <w:left w:val="none" w:sz="0" w:space="0" w:color="auto"/>
        <w:bottom w:val="none" w:sz="0" w:space="0" w:color="auto"/>
        <w:right w:val="none" w:sz="0" w:space="0" w:color="auto"/>
      </w:divBdr>
    </w:div>
    <w:div w:id="1340693987">
      <w:bodyDiv w:val="1"/>
      <w:marLeft w:val="0"/>
      <w:marRight w:val="0"/>
      <w:marTop w:val="0"/>
      <w:marBottom w:val="0"/>
      <w:divBdr>
        <w:top w:val="none" w:sz="0" w:space="0" w:color="auto"/>
        <w:left w:val="none" w:sz="0" w:space="0" w:color="auto"/>
        <w:bottom w:val="none" w:sz="0" w:space="0" w:color="auto"/>
        <w:right w:val="none" w:sz="0" w:space="0" w:color="auto"/>
      </w:divBdr>
    </w:div>
    <w:div w:id="1340809103">
      <w:bodyDiv w:val="1"/>
      <w:marLeft w:val="0"/>
      <w:marRight w:val="0"/>
      <w:marTop w:val="0"/>
      <w:marBottom w:val="0"/>
      <w:divBdr>
        <w:top w:val="none" w:sz="0" w:space="0" w:color="auto"/>
        <w:left w:val="none" w:sz="0" w:space="0" w:color="auto"/>
        <w:bottom w:val="none" w:sz="0" w:space="0" w:color="auto"/>
        <w:right w:val="none" w:sz="0" w:space="0" w:color="auto"/>
      </w:divBdr>
    </w:div>
    <w:div w:id="1340809344">
      <w:bodyDiv w:val="1"/>
      <w:marLeft w:val="0"/>
      <w:marRight w:val="0"/>
      <w:marTop w:val="0"/>
      <w:marBottom w:val="0"/>
      <w:divBdr>
        <w:top w:val="none" w:sz="0" w:space="0" w:color="auto"/>
        <w:left w:val="none" w:sz="0" w:space="0" w:color="auto"/>
        <w:bottom w:val="none" w:sz="0" w:space="0" w:color="auto"/>
        <w:right w:val="none" w:sz="0" w:space="0" w:color="auto"/>
      </w:divBdr>
    </w:div>
    <w:div w:id="1341007719">
      <w:bodyDiv w:val="1"/>
      <w:marLeft w:val="0"/>
      <w:marRight w:val="0"/>
      <w:marTop w:val="0"/>
      <w:marBottom w:val="0"/>
      <w:divBdr>
        <w:top w:val="none" w:sz="0" w:space="0" w:color="auto"/>
        <w:left w:val="none" w:sz="0" w:space="0" w:color="auto"/>
        <w:bottom w:val="none" w:sz="0" w:space="0" w:color="auto"/>
        <w:right w:val="none" w:sz="0" w:space="0" w:color="auto"/>
      </w:divBdr>
    </w:div>
    <w:div w:id="1341008384">
      <w:bodyDiv w:val="1"/>
      <w:marLeft w:val="0"/>
      <w:marRight w:val="0"/>
      <w:marTop w:val="0"/>
      <w:marBottom w:val="0"/>
      <w:divBdr>
        <w:top w:val="none" w:sz="0" w:space="0" w:color="auto"/>
        <w:left w:val="none" w:sz="0" w:space="0" w:color="auto"/>
        <w:bottom w:val="none" w:sz="0" w:space="0" w:color="auto"/>
        <w:right w:val="none" w:sz="0" w:space="0" w:color="auto"/>
      </w:divBdr>
    </w:div>
    <w:div w:id="1341080520">
      <w:bodyDiv w:val="1"/>
      <w:marLeft w:val="0"/>
      <w:marRight w:val="0"/>
      <w:marTop w:val="0"/>
      <w:marBottom w:val="0"/>
      <w:divBdr>
        <w:top w:val="none" w:sz="0" w:space="0" w:color="auto"/>
        <w:left w:val="none" w:sz="0" w:space="0" w:color="auto"/>
        <w:bottom w:val="none" w:sz="0" w:space="0" w:color="auto"/>
        <w:right w:val="none" w:sz="0" w:space="0" w:color="auto"/>
      </w:divBdr>
    </w:div>
    <w:div w:id="1341197757">
      <w:bodyDiv w:val="1"/>
      <w:marLeft w:val="0"/>
      <w:marRight w:val="0"/>
      <w:marTop w:val="0"/>
      <w:marBottom w:val="0"/>
      <w:divBdr>
        <w:top w:val="none" w:sz="0" w:space="0" w:color="auto"/>
        <w:left w:val="none" w:sz="0" w:space="0" w:color="auto"/>
        <w:bottom w:val="none" w:sz="0" w:space="0" w:color="auto"/>
        <w:right w:val="none" w:sz="0" w:space="0" w:color="auto"/>
      </w:divBdr>
    </w:div>
    <w:div w:id="1341203890">
      <w:bodyDiv w:val="1"/>
      <w:marLeft w:val="0"/>
      <w:marRight w:val="0"/>
      <w:marTop w:val="0"/>
      <w:marBottom w:val="0"/>
      <w:divBdr>
        <w:top w:val="none" w:sz="0" w:space="0" w:color="auto"/>
        <w:left w:val="none" w:sz="0" w:space="0" w:color="auto"/>
        <w:bottom w:val="none" w:sz="0" w:space="0" w:color="auto"/>
        <w:right w:val="none" w:sz="0" w:space="0" w:color="auto"/>
      </w:divBdr>
    </w:div>
    <w:div w:id="1341203931">
      <w:bodyDiv w:val="1"/>
      <w:marLeft w:val="0"/>
      <w:marRight w:val="0"/>
      <w:marTop w:val="0"/>
      <w:marBottom w:val="0"/>
      <w:divBdr>
        <w:top w:val="none" w:sz="0" w:space="0" w:color="auto"/>
        <w:left w:val="none" w:sz="0" w:space="0" w:color="auto"/>
        <w:bottom w:val="none" w:sz="0" w:space="0" w:color="auto"/>
        <w:right w:val="none" w:sz="0" w:space="0" w:color="auto"/>
      </w:divBdr>
    </w:div>
    <w:div w:id="1341270877">
      <w:bodyDiv w:val="1"/>
      <w:marLeft w:val="0"/>
      <w:marRight w:val="0"/>
      <w:marTop w:val="0"/>
      <w:marBottom w:val="0"/>
      <w:divBdr>
        <w:top w:val="none" w:sz="0" w:space="0" w:color="auto"/>
        <w:left w:val="none" w:sz="0" w:space="0" w:color="auto"/>
        <w:bottom w:val="none" w:sz="0" w:space="0" w:color="auto"/>
        <w:right w:val="none" w:sz="0" w:space="0" w:color="auto"/>
      </w:divBdr>
    </w:div>
    <w:div w:id="1341662122">
      <w:bodyDiv w:val="1"/>
      <w:marLeft w:val="0"/>
      <w:marRight w:val="0"/>
      <w:marTop w:val="0"/>
      <w:marBottom w:val="0"/>
      <w:divBdr>
        <w:top w:val="none" w:sz="0" w:space="0" w:color="auto"/>
        <w:left w:val="none" w:sz="0" w:space="0" w:color="auto"/>
        <w:bottom w:val="none" w:sz="0" w:space="0" w:color="auto"/>
        <w:right w:val="none" w:sz="0" w:space="0" w:color="auto"/>
      </w:divBdr>
    </w:div>
    <w:div w:id="1342050105">
      <w:bodyDiv w:val="1"/>
      <w:marLeft w:val="0"/>
      <w:marRight w:val="0"/>
      <w:marTop w:val="0"/>
      <w:marBottom w:val="0"/>
      <w:divBdr>
        <w:top w:val="none" w:sz="0" w:space="0" w:color="auto"/>
        <w:left w:val="none" w:sz="0" w:space="0" w:color="auto"/>
        <w:bottom w:val="none" w:sz="0" w:space="0" w:color="auto"/>
        <w:right w:val="none" w:sz="0" w:space="0" w:color="auto"/>
      </w:divBdr>
    </w:div>
    <w:div w:id="1342077706">
      <w:bodyDiv w:val="1"/>
      <w:marLeft w:val="0"/>
      <w:marRight w:val="0"/>
      <w:marTop w:val="0"/>
      <w:marBottom w:val="0"/>
      <w:divBdr>
        <w:top w:val="none" w:sz="0" w:space="0" w:color="auto"/>
        <w:left w:val="none" w:sz="0" w:space="0" w:color="auto"/>
        <w:bottom w:val="none" w:sz="0" w:space="0" w:color="auto"/>
        <w:right w:val="none" w:sz="0" w:space="0" w:color="auto"/>
      </w:divBdr>
    </w:div>
    <w:div w:id="1342077965">
      <w:bodyDiv w:val="1"/>
      <w:marLeft w:val="0"/>
      <w:marRight w:val="0"/>
      <w:marTop w:val="0"/>
      <w:marBottom w:val="0"/>
      <w:divBdr>
        <w:top w:val="none" w:sz="0" w:space="0" w:color="auto"/>
        <w:left w:val="none" w:sz="0" w:space="0" w:color="auto"/>
        <w:bottom w:val="none" w:sz="0" w:space="0" w:color="auto"/>
        <w:right w:val="none" w:sz="0" w:space="0" w:color="auto"/>
      </w:divBdr>
    </w:div>
    <w:div w:id="1342245565">
      <w:bodyDiv w:val="1"/>
      <w:marLeft w:val="0"/>
      <w:marRight w:val="0"/>
      <w:marTop w:val="0"/>
      <w:marBottom w:val="0"/>
      <w:divBdr>
        <w:top w:val="none" w:sz="0" w:space="0" w:color="auto"/>
        <w:left w:val="none" w:sz="0" w:space="0" w:color="auto"/>
        <w:bottom w:val="none" w:sz="0" w:space="0" w:color="auto"/>
        <w:right w:val="none" w:sz="0" w:space="0" w:color="auto"/>
      </w:divBdr>
    </w:div>
    <w:div w:id="1342391313">
      <w:bodyDiv w:val="1"/>
      <w:marLeft w:val="0"/>
      <w:marRight w:val="0"/>
      <w:marTop w:val="0"/>
      <w:marBottom w:val="0"/>
      <w:divBdr>
        <w:top w:val="none" w:sz="0" w:space="0" w:color="auto"/>
        <w:left w:val="none" w:sz="0" w:space="0" w:color="auto"/>
        <w:bottom w:val="none" w:sz="0" w:space="0" w:color="auto"/>
        <w:right w:val="none" w:sz="0" w:space="0" w:color="auto"/>
      </w:divBdr>
    </w:div>
    <w:div w:id="1342511442">
      <w:bodyDiv w:val="1"/>
      <w:marLeft w:val="0"/>
      <w:marRight w:val="0"/>
      <w:marTop w:val="0"/>
      <w:marBottom w:val="0"/>
      <w:divBdr>
        <w:top w:val="none" w:sz="0" w:space="0" w:color="auto"/>
        <w:left w:val="none" w:sz="0" w:space="0" w:color="auto"/>
        <w:bottom w:val="none" w:sz="0" w:space="0" w:color="auto"/>
        <w:right w:val="none" w:sz="0" w:space="0" w:color="auto"/>
      </w:divBdr>
    </w:div>
    <w:div w:id="1342659998">
      <w:bodyDiv w:val="1"/>
      <w:marLeft w:val="0"/>
      <w:marRight w:val="0"/>
      <w:marTop w:val="0"/>
      <w:marBottom w:val="0"/>
      <w:divBdr>
        <w:top w:val="none" w:sz="0" w:space="0" w:color="auto"/>
        <w:left w:val="none" w:sz="0" w:space="0" w:color="auto"/>
        <w:bottom w:val="none" w:sz="0" w:space="0" w:color="auto"/>
        <w:right w:val="none" w:sz="0" w:space="0" w:color="auto"/>
      </w:divBdr>
    </w:div>
    <w:div w:id="1342774705">
      <w:bodyDiv w:val="1"/>
      <w:marLeft w:val="0"/>
      <w:marRight w:val="0"/>
      <w:marTop w:val="0"/>
      <w:marBottom w:val="0"/>
      <w:divBdr>
        <w:top w:val="none" w:sz="0" w:space="0" w:color="auto"/>
        <w:left w:val="none" w:sz="0" w:space="0" w:color="auto"/>
        <w:bottom w:val="none" w:sz="0" w:space="0" w:color="auto"/>
        <w:right w:val="none" w:sz="0" w:space="0" w:color="auto"/>
      </w:divBdr>
    </w:div>
    <w:div w:id="1342780200">
      <w:bodyDiv w:val="1"/>
      <w:marLeft w:val="0"/>
      <w:marRight w:val="0"/>
      <w:marTop w:val="0"/>
      <w:marBottom w:val="0"/>
      <w:divBdr>
        <w:top w:val="none" w:sz="0" w:space="0" w:color="auto"/>
        <w:left w:val="none" w:sz="0" w:space="0" w:color="auto"/>
        <w:bottom w:val="none" w:sz="0" w:space="0" w:color="auto"/>
        <w:right w:val="none" w:sz="0" w:space="0" w:color="auto"/>
      </w:divBdr>
    </w:div>
    <w:div w:id="1342781134">
      <w:bodyDiv w:val="1"/>
      <w:marLeft w:val="0"/>
      <w:marRight w:val="0"/>
      <w:marTop w:val="0"/>
      <w:marBottom w:val="0"/>
      <w:divBdr>
        <w:top w:val="none" w:sz="0" w:space="0" w:color="auto"/>
        <w:left w:val="none" w:sz="0" w:space="0" w:color="auto"/>
        <w:bottom w:val="none" w:sz="0" w:space="0" w:color="auto"/>
        <w:right w:val="none" w:sz="0" w:space="0" w:color="auto"/>
      </w:divBdr>
    </w:div>
    <w:div w:id="1342854636">
      <w:bodyDiv w:val="1"/>
      <w:marLeft w:val="0"/>
      <w:marRight w:val="0"/>
      <w:marTop w:val="0"/>
      <w:marBottom w:val="0"/>
      <w:divBdr>
        <w:top w:val="none" w:sz="0" w:space="0" w:color="auto"/>
        <w:left w:val="none" w:sz="0" w:space="0" w:color="auto"/>
        <w:bottom w:val="none" w:sz="0" w:space="0" w:color="auto"/>
        <w:right w:val="none" w:sz="0" w:space="0" w:color="auto"/>
      </w:divBdr>
    </w:div>
    <w:div w:id="1342929950">
      <w:bodyDiv w:val="1"/>
      <w:marLeft w:val="0"/>
      <w:marRight w:val="0"/>
      <w:marTop w:val="0"/>
      <w:marBottom w:val="0"/>
      <w:divBdr>
        <w:top w:val="none" w:sz="0" w:space="0" w:color="auto"/>
        <w:left w:val="none" w:sz="0" w:space="0" w:color="auto"/>
        <w:bottom w:val="none" w:sz="0" w:space="0" w:color="auto"/>
        <w:right w:val="none" w:sz="0" w:space="0" w:color="auto"/>
      </w:divBdr>
    </w:div>
    <w:div w:id="1342972420">
      <w:bodyDiv w:val="1"/>
      <w:marLeft w:val="0"/>
      <w:marRight w:val="0"/>
      <w:marTop w:val="0"/>
      <w:marBottom w:val="0"/>
      <w:divBdr>
        <w:top w:val="none" w:sz="0" w:space="0" w:color="auto"/>
        <w:left w:val="none" w:sz="0" w:space="0" w:color="auto"/>
        <w:bottom w:val="none" w:sz="0" w:space="0" w:color="auto"/>
        <w:right w:val="none" w:sz="0" w:space="0" w:color="auto"/>
      </w:divBdr>
    </w:div>
    <w:div w:id="1342976939">
      <w:bodyDiv w:val="1"/>
      <w:marLeft w:val="0"/>
      <w:marRight w:val="0"/>
      <w:marTop w:val="0"/>
      <w:marBottom w:val="0"/>
      <w:divBdr>
        <w:top w:val="none" w:sz="0" w:space="0" w:color="auto"/>
        <w:left w:val="none" w:sz="0" w:space="0" w:color="auto"/>
        <w:bottom w:val="none" w:sz="0" w:space="0" w:color="auto"/>
        <w:right w:val="none" w:sz="0" w:space="0" w:color="auto"/>
      </w:divBdr>
    </w:div>
    <w:div w:id="1343052519">
      <w:bodyDiv w:val="1"/>
      <w:marLeft w:val="0"/>
      <w:marRight w:val="0"/>
      <w:marTop w:val="0"/>
      <w:marBottom w:val="0"/>
      <w:divBdr>
        <w:top w:val="none" w:sz="0" w:space="0" w:color="auto"/>
        <w:left w:val="none" w:sz="0" w:space="0" w:color="auto"/>
        <w:bottom w:val="none" w:sz="0" w:space="0" w:color="auto"/>
        <w:right w:val="none" w:sz="0" w:space="0" w:color="auto"/>
      </w:divBdr>
    </w:div>
    <w:div w:id="1343118927">
      <w:bodyDiv w:val="1"/>
      <w:marLeft w:val="0"/>
      <w:marRight w:val="0"/>
      <w:marTop w:val="0"/>
      <w:marBottom w:val="0"/>
      <w:divBdr>
        <w:top w:val="none" w:sz="0" w:space="0" w:color="auto"/>
        <w:left w:val="none" w:sz="0" w:space="0" w:color="auto"/>
        <w:bottom w:val="none" w:sz="0" w:space="0" w:color="auto"/>
        <w:right w:val="none" w:sz="0" w:space="0" w:color="auto"/>
      </w:divBdr>
    </w:div>
    <w:div w:id="1343239409">
      <w:bodyDiv w:val="1"/>
      <w:marLeft w:val="0"/>
      <w:marRight w:val="0"/>
      <w:marTop w:val="0"/>
      <w:marBottom w:val="0"/>
      <w:divBdr>
        <w:top w:val="none" w:sz="0" w:space="0" w:color="auto"/>
        <w:left w:val="none" w:sz="0" w:space="0" w:color="auto"/>
        <w:bottom w:val="none" w:sz="0" w:space="0" w:color="auto"/>
        <w:right w:val="none" w:sz="0" w:space="0" w:color="auto"/>
      </w:divBdr>
    </w:div>
    <w:div w:id="1343318884">
      <w:bodyDiv w:val="1"/>
      <w:marLeft w:val="0"/>
      <w:marRight w:val="0"/>
      <w:marTop w:val="0"/>
      <w:marBottom w:val="0"/>
      <w:divBdr>
        <w:top w:val="none" w:sz="0" w:space="0" w:color="auto"/>
        <w:left w:val="none" w:sz="0" w:space="0" w:color="auto"/>
        <w:bottom w:val="none" w:sz="0" w:space="0" w:color="auto"/>
        <w:right w:val="none" w:sz="0" w:space="0" w:color="auto"/>
      </w:divBdr>
    </w:div>
    <w:div w:id="1343388240">
      <w:bodyDiv w:val="1"/>
      <w:marLeft w:val="0"/>
      <w:marRight w:val="0"/>
      <w:marTop w:val="0"/>
      <w:marBottom w:val="0"/>
      <w:divBdr>
        <w:top w:val="none" w:sz="0" w:space="0" w:color="auto"/>
        <w:left w:val="none" w:sz="0" w:space="0" w:color="auto"/>
        <w:bottom w:val="none" w:sz="0" w:space="0" w:color="auto"/>
        <w:right w:val="none" w:sz="0" w:space="0" w:color="auto"/>
      </w:divBdr>
    </w:div>
    <w:div w:id="1343624973">
      <w:bodyDiv w:val="1"/>
      <w:marLeft w:val="0"/>
      <w:marRight w:val="0"/>
      <w:marTop w:val="0"/>
      <w:marBottom w:val="0"/>
      <w:divBdr>
        <w:top w:val="none" w:sz="0" w:space="0" w:color="auto"/>
        <w:left w:val="none" w:sz="0" w:space="0" w:color="auto"/>
        <w:bottom w:val="none" w:sz="0" w:space="0" w:color="auto"/>
        <w:right w:val="none" w:sz="0" w:space="0" w:color="auto"/>
      </w:divBdr>
    </w:div>
    <w:div w:id="1343774135">
      <w:bodyDiv w:val="1"/>
      <w:marLeft w:val="0"/>
      <w:marRight w:val="0"/>
      <w:marTop w:val="0"/>
      <w:marBottom w:val="0"/>
      <w:divBdr>
        <w:top w:val="none" w:sz="0" w:space="0" w:color="auto"/>
        <w:left w:val="none" w:sz="0" w:space="0" w:color="auto"/>
        <w:bottom w:val="none" w:sz="0" w:space="0" w:color="auto"/>
        <w:right w:val="none" w:sz="0" w:space="0" w:color="auto"/>
      </w:divBdr>
    </w:div>
    <w:div w:id="1343825613">
      <w:bodyDiv w:val="1"/>
      <w:marLeft w:val="0"/>
      <w:marRight w:val="0"/>
      <w:marTop w:val="0"/>
      <w:marBottom w:val="0"/>
      <w:divBdr>
        <w:top w:val="none" w:sz="0" w:space="0" w:color="auto"/>
        <w:left w:val="none" w:sz="0" w:space="0" w:color="auto"/>
        <w:bottom w:val="none" w:sz="0" w:space="0" w:color="auto"/>
        <w:right w:val="none" w:sz="0" w:space="0" w:color="auto"/>
      </w:divBdr>
    </w:div>
    <w:div w:id="1343891949">
      <w:bodyDiv w:val="1"/>
      <w:marLeft w:val="0"/>
      <w:marRight w:val="0"/>
      <w:marTop w:val="0"/>
      <w:marBottom w:val="0"/>
      <w:divBdr>
        <w:top w:val="none" w:sz="0" w:space="0" w:color="auto"/>
        <w:left w:val="none" w:sz="0" w:space="0" w:color="auto"/>
        <w:bottom w:val="none" w:sz="0" w:space="0" w:color="auto"/>
        <w:right w:val="none" w:sz="0" w:space="0" w:color="auto"/>
      </w:divBdr>
    </w:div>
    <w:div w:id="1344093128">
      <w:bodyDiv w:val="1"/>
      <w:marLeft w:val="0"/>
      <w:marRight w:val="0"/>
      <w:marTop w:val="0"/>
      <w:marBottom w:val="0"/>
      <w:divBdr>
        <w:top w:val="none" w:sz="0" w:space="0" w:color="auto"/>
        <w:left w:val="none" w:sz="0" w:space="0" w:color="auto"/>
        <w:bottom w:val="none" w:sz="0" w:space="0" w:color="auto"/>
        <w:right w:val="none" w:sz="0" w:space="0" w:color="auto"/>
      </w:divBdr>
    </w:div>
    <w:div w:id="1344279852">
      <w:bodyDiv w:val="1"/>
      <w:marLeft w:val="0"/>
      <w:marRight w:val="0"/>
      <w:marTop w:val="0"/>
      <w:marBottom w:val="0"/>
      <w:divBdr>
        <w:top w:val="none" w:sz="0" w:space="0" w:color="auto"/>
        <w:left w:val="none" w:sz="0" w:space="0" w:color="auto"/>
        <w:bottom w:val="none" w:sz="0" w:space="0" w:color="auto"/>
        <w:right w:val="none" w:sz="0" w:space="0" w:color="auto"/>
      </w:divBdr>
    </w:div>
    <w:div w:id="1344627682">
      <w:bodyDiv w:val="1"/>
      <w:marLeft w:val="0"/>
      <w:marRight w:val="0"/>
      <w:marTop w:val="0"/>
      <w:marBottom w:val="0"/>
      <w:divBdr>
        <w:top w:val="none" w:sz="0" w:space="0" w:color="auto"/>
        <w:left w:val="none" w:sz="0" w:space="0" w:color="auto"/>
        <w:bottom w:val="none" w:sz="0" w:space="0" w:color="auto"/>
        <w:right w:val="none" w:sz="0" w:space="0" w:color="auto"/>
      </w:divBdr>
    </w:div>
    <w:div w:id="1344817916">
      <w:bodyDiv w:val="1"/>
      <w:marLeft w:val="0"/>
      <w:marRight w:val="0"/>
      <w:marTop w:val="0"/>
      <w:marBottom w:val="0"/>
      <w:divBdr>
        <w:top w:val="none" w:sz="0" w:space="0" w:color="auto"/>
        <w:left w:val="none" w:sz="0" w:space="0" w:color="auto"/>
        <w:bottom w:val="none" w:sz="0" w:space="0" w:color="auto"/>
        <w:right w:val="none" w:sz="0" w:space="0" w:color="auto"/>
      </w:divBdr>
    </w:div>
    <w:div w:id="1345133964">
      <w:bodyDiv w:val="1"/>
      <w:marLeft w:val="0"/>
      <w:marRight w:val="0"/>
      <w:marTop w:val="0"/>
      <w:marBottom w:val="0"/>
      <w:divBdr>
        <w:top w:val="none" w:sz="0" w:space="0" w:color="auto"/>
        <w:left w:val="none" w:sz="0" w:space="0" w:color="auto"/>
        <w:bottom w:val="none" w:sz="0" w:space="0" w:color="auto"/>
        <w:right w:val="none" w:sz="0" w:space="0" w:color="auto"/>
      </w:divBdr>
    </w:div>
    <w:div w:id="1345284576">
      <w:bodyDiv w:val="1"/>
      <w:marLeft w:val="0"/>
      <w:marRight w:val="0"/>
      <w:marTop w:val="0"/>
      <w:marBottom w:val="0"/>
      <w:divBdr>
        <w:top w:val="none" w:sz="0" w:space="0" w:color="auto"/>
        <w:left w:val="none" w:sz="0" w:space="0" w:color="auto"/>
        <w:bottom w:val="none" w:sz="0" w:space="0" w:color="auto"/>
        <w:right w:val="none" w:sz="0" w:space="0" w:color="auto"/>
      </w:divBdr>
    </w:div>
    <w:div w:id="1345285664">
      <w:bodyDiv w:val="1"/>
      <w:marLeft w:val="0"/>
      <w:marRight w:val="0"/>
      <w:marTop w:val="0"/>
      <w:marBottom w:val="0"/>
      <w:divBdr>
        <w:top w:val="none" w:sz="0" w:space="0" w:color="auto"/>
        <w:left w:val="none" w:sz="0" w:space="0" w:color="auto"/>
        <w:bottom w:val="none" w:sz="0" w:space="0" w:color="auto"/>
        <w:right w:val="none" w:sz="0" w:space="0" w:color="auto"/>
      </w:divBdr>
    </w:div>
    <w:div w:id="1345324744">
      <w:bodyDiv w:val="1"/>
      <w:marLeft w:val="0"/>
      <w:marRight w:val="0"/>
      <w:marTop w:val="0"/>
      <w:marBottom w:val="0"/>
      <w:divBdr>
        <w:top w:val="none" w:sz="0" w:space="0" w:color="auto"/>
        <w:left w:val="none" w:sz="0" w:space="0" w:color="auto"/>
        <w:bottom w:val="none" w:sz="0" w:space="0" w:color="auto"/>
        <w:right w:val="none" w:sz="0" w:space="0" w:color="auto"/>
      </w:divBdr>
    </w:div>
    <w:div w:id="1345329513">
      <w:bodyDiv w:val="1"/>
      <w:marLeft w:val="0"/>
      <w:marRight w:val="0"/>
      <w:marTop w:val="0"/>
      <w:marBottom w:val="0"/>
      <w:divBdr>
        <w:top w:val="none" w:sz="0" w:space="0" w:color="auto"/>
        <w:left w:val="none" w:sz="0" w:space="0" w:color="auto"/>
        <w:bottom w:val="none" w:sz="0" w:space="0" w:color="auto"/>
        <w:right w:val="none" w:sz="0" w:space="0" w:color="auto"/>
      </w:divBdr>
    </w:div>
    <w:div w:id="1345352925">
      <w:bodyDiv w:val="1"/>
      <w:marLeft w:val="0"/>
      <w:marRight w:val="0"/>
      <w:marTop w:val="0"/>
      <w:marBottom w:val="0"/>
      <w:divBdr>
        <w:top w:val="none" w:sz="0" w:space="0" w:color="auto"/>
        <w:left w:val="none" w:sz="0" w:space="0" w:color="auto"/>
        <w:bottom w:val="none" w:sz="0" w:space="0" w:color="auto"/>
        <w:right w:val="none" w:sz="0" w:space="0" w:color="auto"/>
      </w:divBdr>
    </w:div>
    <w:div w:id="1345396164">
      <w:bodyDiv w:val="1"/>
      <w:marLeft w:val="0"/>
      <w:marRight w:val="0"/>
      <w:marTop w:val="0"/>
      <w:marBottom w:val="0"/>
      <w:divBdr>
        <w:top w:val="none" w:sz="0" w:space="0" w:color="auto"/>
        <w:left w:val="none" w:sz="0" w:space="0" w:color="auto"/>
        <w:bottom w:val="none" w:sz="0" w:space="0" w:color="auto"/>
        <w:right w:val="none" w:sz="0" w:space="0" w:color="auto"/>
      </w:divBdr>
    </w:div>
    <w:div w:id="1345473585">
      <w:bodyDiv w:val="1"/>
      <w:marLeft w:val="0"/>
      <w:marRight w:val="0"/>
      <w:marTop w:val="0"/>
      <w:marBottom w:val="0"/>
      <w:divBdr>
        <w:top w:val="none" w:sz="0" w:space="0" w:color="auto"/>
        <w:left w:val="none" w:sz="0" w:space="0" w:color="auto"/>
        <w:bottom w:val="none" w:sz="0" w:space="0" w:color="auto"/>
        <w:right w:val="none" w:sz="0" w:space="0" w:color="auto"/>
      </w:divBdr>
    </w:div>
    <w:div w:id="1345475117">
      <w:bodyDiv w:val="1"/>
      <w:marLeft w:val="0"/>
      <w:marRight w:val="0"/>
      <w:marTop w:val="0"/>
      <w:marBottom w:val="0"/>
      <w:divBdr>
        <w:top w:val="none" w:sz="0" w:space="0" w:color="auto"/>
        <w:left w:val="none" w:sz="0" w:space="0" w:color="auto"/>
        <w:bottom w:val="none" w:sz="0" w:space="0" w:color="auto"/>
        <w:right w:val="none" w:sz="0" w:space="0" w:color="auto"/>
      </w:divBdr>
    </w:div>
    <w:div w:id="1345521852">
      <w:bodyDiv w:val="1"/>
      <w:marLeft w:val="0"/>
      <w:marRight w:val="0"/>
      <w:marTop w:val="0"/>
      <w:marBottom w:val="0"/>
      <w:divBdr>
        <w:top w:val="none" w:sz="0" w:space="0" w:color="auto"/>
        <w:left w:val="none" w:sz="0" w:space="0" w:color="auto"/>
        <w:bottom w:val="none" w:sz="0" w:space="0" w:color="auto"/>
        <w:right w:val="none" w:sz="0" w:space="0" w:color="auto"/>
      </w:divBdr>
    </w:div>
    <w:div w:id="1345595582">
      <w:bodyDiv w:val="1"/>
      <w:marLeft w:val="0"/>
      <w:marRight w:val="0"/>
      <w:marTop w:val="0"/>
      <w:marBottom w:val="0"/>
      <w:divBdr>
        <w:top w:val="none" w:sz="0" w:space="0" w:color="auto"/>
        <w:left w:val="none" w:sz="0" w:space="0" w:color="auto"/>
        <w:bottom w:val="none" w:sz="0" w:space="0" w:color="auto"/>
        <w:right w:val="none" w:sz="0" w:space="0" w:color="auto"/>
      </w:divBdr>
    </w:div>
    <w:div w:id="1345595874">
      <w:bodyDiv w:val="1"/>
      <w:marLeft w:val="0"/>
      <w:marRight w:val="0"/>
      <w:marTop w:val="0"/>
      <w:marBottom w:val="0"/>
      <w:divBdr>
        <w:top w:val="none" w:sz="0" w:space="0" w:color="auto"/>
        <w:left w:val="none" w:sz="0" w:space="0" w:color="auto"/>
        <w:bottom w:val="none" w:sz="0" w:space="0" w:color="auto"/>
        <w:right w:val="none" w:sz="0" w:space="0" w:color="auto"/>
      </w:divBdr>
    </w:div>
    <w:div w:id="1345861173">
      <w:bodyDiv w:val="1"/>
      <w:marLeft w:val="0"/>
      <w:marRight w:val="0"/>
      <w:marTop w:val="0"/>
      <w:marBottom w:val="0"/>
      <w:divBdr>
        <w:top w:val="none" w:sz="0" w:space="0" w:color="auto"/>
        <w:left w:val="none" w:sz="0" w:space="0" w:color="auto"/>
        <w:bottom w:val="none" w:sz="0" w:space="0" w:color="auto"/>
        <w:right w:val="none" w:sz="0" w:space="0" w:color="auto"/>
      </w:divBdr>
    </w:div>
    <w:div w:id="1345937328">
      <w:bodyDiv w:val="1"/>
      <w:marLeft w:val="0"/>
      <w:marRight w:val="0"/>
      <w:marTop w:val="0"/>
      <w:marBottom w:val="0"/>
      <w:divBdr>
        <w:top w:val="none" w:sz="0" w:space="0" w:color="auto"/>
        <w:left w:val="none" w:sz="0" w:space="0" w:color="auto"/>
        <w:bottom w:val="none" w:sz="0" w:space="0" w:color="auto"/>
        <w:right w:val="none" w:sz="0" w:space="0" w:color="auto"/>
      </w:divBdr>
    </w:div>
    <w:div w:id="1345984467">
      <w:bodyDiv w:val="1"/>
      <w:marLeft w:val="0"/>
      <w:marRight w:val="0"/>
      <w:marTop w:val="0"/>
      <w:marBottom w:val="0"/>
      <w:divBdr>
        <w:top w:val="none" w:sz="0" w:space="0" w:color="auto"/>
        <w:left w:val="none" w:sz="0" w:space="0" w:color="auto"/>
        <w:bottom w:val="none" w:sz="0" w:space="0" w:color="auto"/>
        <w:right w:val="none" w:sz="0" w:space="0" w:color="auto"/>
      </w:divBdr>
    </w:div>
    <w:div w:id="1346133578">
      <w:bodyDiv w:val="1"/>
      <w:marLeft w:val="0"/>
      <w:marRight w:val="0"/>
      <w:marTop w:val="0"/>
      <w:marBottom w:val="0"/>
      <w:divBdr>
        <w:top w:val="none" w:sz="0" w:space="0" w:color="auto"/>
        <w:left w:val="none" w:sz="0" w:space="0" w:color="auto"/>
        <w:bottom w:val="none" w:sz="0" w:space="0" w:color="auto"/>
        <w:right w:val="none" w:sz="0" w:space="0" w:color="auto"/>
      </w:divBdr>
    </w:div>
    <w:div w:id="1346134355">
      <w:bodyDiv w:val="1"/>
      <w:marLeft w:val="0"/>
      <w:marRight w:val="0"/>
      <w:marTop w:val="0"/>
      <w:marBottom w:val="0"/>
      <w:divBdr>
        <w:top w:val="none" w:sz="0" w:space="0" w:color="auto"/>
        <w:left w:val="none" w:sz="0" w:space="0" w:color="auto"/>
        <w:bottom w:val="none" w:sz="0" w:space="0" w:color="auto"/>
        <w:right w:val="none" w:sz="0" w:space="0" w:color="auto"/>
      </w:divBdr>
    </w:div>
    <w:div w:id="1346201569">
      <w:bodyDiv w:val="1"/>
      <w:marLeft w:val="0"/>
      <w:marRight w:val="0"/>
      <w:marTop w:val="0"/>
      <w:marBottom w:val="0"/>
      <w:divBdr>
        <w:top w:val="none" w:sz="0" w:space="0" w:color="auto"/>
        <w:left w:val="none" w:sz="0" w:space="0" w:color="auto"/>
        <w:bottom w:val="none" w:sz="0" w:space="0" w:color="auto"/>
        <w:right w:val="none" w:sz="0" w:space="0" w:color="auto"/>
      </w:divBdr>
    </w:div>
    <w:div w:id="1346244584">
      <w:bodyDiv w:val="1"/>
      <w:marLeft w:val="0"/>
      <w:marRight w:val="0"/>
      <w:marTop w:val="0"/>
      <w:marBottom w:val="0"/>
      <w:divBdr>
        <w:top w:val="none" w:sz="0" w:space="0" w:color="auto"/>
        <w:left w:val="none" w:sz="0" w:space="0" w:color="auto"/>
        <w:bottom w:val="none" w:sz="0" w:space="0" w:color="auto"/>
        <w:right w:val="none" w:sz="0" w:space="0" w:color="auto"/>
      </w:divBdr>
    </w:div>
    <w:div w:id="1346249246">
      <w:bodyDiv w:val="1"/>
      <w:marLeft w:val="0"/>
      <w:marRight w:val="0"/>
      <w:marTop w:val="0"/>
      <w:marBottom w:val="0"/>
      <w:divBdr>
        <w:top w:val="none" w:sz="0" w:space="0" w:color="auto"/>
        <w:left w:val="none" w:sz="0" w:space="0" w:color="auto"/>
        <w:bottom w:val="none" w:sz="0" w:space="0" w:color="auto"/>
        <w:right w:val="none" w:sz="0" w:space="0" w:color="auto"/>
      </w:divBdr>
    </w:div>
    <w:div w:id="1346321129">
      <w:bodyDiv w:val="1"/>
      <w:marLeft w:val="0"/>
      <w:marRight w:val="0"/>
      <w:marTop w:val="0"/>
      <w:marBottom w:val="0"/>
      <w:divBdr>
        <w:top w:val="none" w:sz="0" w:space="0" w:color="auto"/>
        <w:left w:val="none" w:sz="0" w:space="0" w:color="auto"/>
        <w:bottom w:val="none" w:sz="0" w:space="0" w:color="auto"/>
        <w:right w:val="none" w:sz="0" w:space="0" w:color="auto"/>
      </w:divBdr>
    </w:div>
    <w:div w:id="1346439911">
      <w:bodyDiv w:val="1"/>
      <w:marLeft w:val="0"/>
      <w:marRight w:val="0"/>
      <w:marTop w:val="0"/>
      <w:marBottom w:val="0"/>
      <w:divBdr>
        <w:top w:val="none" w:sz="0" w:space="0" w:color="auto"/>
        <w:left w:val="none" w:sz="0" w:space="0" w:color="auto"/>
        <w:bottom w:val="none" w:sz="0" w:space="0" w:color="auto"/>
        <w:right w:val="none" w:sz="0" w:space="0" w:color="auto"/>
      </w:divBdr>
    </w:div>
    <w:div w:id="1346516764">
      <w:bodyDiv w:val="1"/>
      <w:marLeft w:val="0"/>
      <w:marRight w:val="0"/>
      <w:marTop w:val="0"/>
      <w:marBottom w:val="0"/>
      <w:divBdr>
        <w:top w:val="none" w:sz="0" w:space="0" w:color="auto"/>
        <w:left w:val="none" w:sz="0" w:space="0" w:color="auto"/>
        <w:bottom w:val="none" w:sz="0" w:space="0" w:color="auto"/>
        <w:right w:val="none" w:sz="0" w:space="0" w:color="auto"/>
      </w:divBdr>
    </w:div>
    <w:div w:id="1346588495">
      <w:bodyDiv w:val="1"/>
      <w:marLeft w:val="0"/>
      <w:marRight w:val="0"/>
      <w:marTop w:val="0"/>
      <w:marBottom w:val="0"/>
      <w:divBdr>
        <w:top w:val="none" w:sz="0" w:space="0" w:color="auto"/>
        <w:left w:val="none" w:sz="0" w:space="0" w:color="auto"/>
        <w:bottom w:val="none" w:sz="0" w:space="0" w:color="auto"/>
        <w:right w:val="none" w:sz="0" w:space="0" w:color="auto"/>
      </w:divBdr>
    </w:div>
    <w:div w:id="1346664024">
      <w:bodyDiv w:val="1"/>
      <w:marLeft w:val="0"/>
      <w:marRight w:val="0"/>
      <w:marTop w:val="0"/>
      <w:marBottom w:val="0"/>
      <w:divBdr>
        <w:top w:val="none" w:sz="0" w:space="0" w:color="auto"/>
        <w:left w:val="none" w:sz="0" w:space="0" w:color="auto"/>
        <w:bottom w:val="none" w:sz="0" w:space="0" w:color="auto"/>
        <w:right w:val="none" w:sz="0" w:space="0" w:color="auto"/>
      </w:divBdr>
    </w:div>
    <w:div w:id="1346710005">
      <w:bodyDiv w:val="1"/>
      <w:marLeft w:val="0"/>
      <w:marRight w:val="0"/>
      <w:marTop w:val="0"/>
      <w:marBottom w:val="0"/>
      <w:divBdr>
        <w:top w:val="none" w:sz="0" w:space="0" w:color="auto"/>
        <w:left w:val="none" w:sz="0" w:space="0" w:color="auto"/>
        <w:bottom w:val="none" w:sz="0" w:space="0" w:color="auto"/>
        <w:right w:val="none" w:sz="0" w:space="0" w:color="auto"/>
      </w:divBdr>
    </w:div>
    <w:div w:id="1346785999">
      <w:bodyDiv w:val="1"/>
      <w:marLeft w:val="0"/>
      <w:marRight w:val="0"/>
      <w:marTop w:val="0"/>
      <w:marBottom w:val="0"/>
      <w:divBdr>
        <w:top w:val="none" w:sz="0" w:space="0" w:color="auto"/>
        <w:left w:val="none" w:sz="0" w:space="0" w:color="auto"/>
        <w:bottom w:val="none" w:sz="0" w:space="0" w:color="auto"/>
        <w:right w:val="none" w:sz="0" w:space="0" w:color="auto"/>
      </w:divBdr>
    </w:div>
    <w:div w:id="1347094561">
      <w:bodyDiv w:val="1"/>
      <w:marLeft w:val="0"/>
      <w:marRight w:val="0"/>
      <w:marTop w:val="0"/>
      <w:marBottom w:val="0"/>
      <w:divBdr>
        <w:top w:val="none" w:sz="0" w:space="0" w:color="auto"/>
        <w:left w:val="none" w:sz="0" w:space="0" w:color="auto"/>
        <w:bottom w:val="none" w:sz="0" w:space="0" w:color="auto"/>
        <w:right w:val="none" w:sz="0" w:space="0" w:color="auto"/>
      </w:divBdr>
    </w:div>
    <w:div w:id="1347169773">
      <w:bodyDiv w:val="1"/>
      <w:marLeft w:val="0"/>
      <w:marRight w:val="0"/>
      <w:marTop w:val="0"/>
      <w:marBottom w:val="0"/>
      <w:divBdr>
        <w:top w:val="none" w:sz="0" w:space="0" w:color="auto"/>
        <w:left w:val="none" w:sz="0" w:space="0" w:color="auto"/>
        <w:bottom w:val="none" w:sz="0" w:space="0" w:color="auto"/>
        <w:right w:val="none" w:sz="0" w:space="0" w:color="auto"/>
      </w:divBdr>
    </w:div>
    <w:div w:id="1347171904">
      <w:bodyDiv w:val="1"/>
      <w:marLeft w:val="0"/>
      <w:marRight w:val="0"/>
      <w:marTop w:val="0"/>
      <w:marBottom w:val="0"/>
      <w:divBdr>
        <w:top w:val="none" w:sz="0" w:space="0" w:color="auto"/>
        <w:left w:val="none" w:sz="0" w:space="0" w:color="auto"/>
        <w:bottom w:val="none" w:sz="0" w:space="0" w:color="auto"/>
        <w:right w:val="none" w:sz="0" w:space="0" w:color="auto"/>
      </w:divBdr>
    </w:div>
    <w:div w:id="1347289797">
      <w:bodyDiv w:val="1"/>
      <w:marLeft w:val="0"/>
      <w:marRight w:val="0"/>
      <w:marTop w:val="0"/>
      <w:marBottom w:val="0"/>
      <w:divBdr>
        <w:top w:val="none" w:sz="0" w:space="0" w:color="auto"/>
        <w:left w:val="none" w:sz="0" w:space="0" w:color="auto"/>
        <w:bottom w:val="none" w:sz="0" w:space="0" w:color="auto"/>
        <w:right w:val="none" w:sz="0" w:space="0" w:color="auto"/>
      </w:divBdr>
    </w:div>
    <w:div w:id="1347514076">
      <w:bodyDiv w:val="1"/>
      <w:marLeft w:val="0"/>
      <w:marRight w:val="0"/>
      <w:marTop w:val="0"/>
      <w:marBottom w:val="0"/>
      <w:divBdr>
        <w:top w:val="none" w:sz="0" w:space="0" w:color="auto"/>
        <w:left w:val="none" w:sz="0" w:space="0" w:color="auto"/>
        <w:bottom w:val="none" w:sz="0" w:space="0" w:color="auto"/>
        <w:right w:val="none" w:sz="0" w:space="0" w:color="auto"/>
      </w:divBdr>
    </w:div>
    <w:div w:id="1347561993">
      <w:bodyDiv w:val="1"/>
      <w:marLeft w:val="0"/>
      <w:marRight w:val="0"/>
      <w:marTop w:val="0"/>
      <w:marBottom w:val="0"/>
      <w:divBdr>
        <w:top w:val="none" w:sz="0" w:space="0" w:color="auto"/>
        <w:left w:val="none" w:sz="0" w:space="0" w:color="auto"/>
        <w:bottom w:val="none" w:sz="0" w:space="0" w:color="auto"/>
        <w:right w:val="none" w:sz="0" w:space="0" w:color="auto"/>
      </w:divBdr>
    </w:div>
    <w:div w:id="1347635673">
      <w:bodyDiv w:val="1"/>
      <w:marLeft w:val="0"/>
      <w:marRight w:val="0"/>
      <w:marTop w:val="0"/>
      <w:marBottom w:val="0"/>
      <w:divBdr>
        <w:top w:val="none" w:sz="0" w:space="0" w:color="auto"/>
        <w:left w:val="none" w:sz="0" w:space="0" w:color="auto"/>
        <w:bottom w:val="none" w:sz="0" w:space="0" w:color="auto"/>
        <w:right w:val="none" w:sz="0" w:space="0" w:color="auto"/>
      </w:divBdr>
    </w:div>
    <w:div w:id="1347708953">
      <w:bodyDiv w:val="1"/>
      <w:marLeft w:val="0"/>
      <w:marRight w:val="0"/>
      <w:marTop w:val="0"/>
      <w:marBottom w:val="0"/>
      <w:divBdr>
        <w:top w:val="none" w:sz="0" w:space="0" w:color="auto"/>
        <w:left w:val="none" w:sz="0" w:space="0" w:color="auto"/>
        <w:bottom w:val="none" w:sz="0" w:space="0" w:color="auto"/>
        <w:right w:val="none" w:sz="0" w:space="0" w:color="auto"/>
      </w:divBdr>
    </w:div>
    <w:div w:id="1347712648">
      <w:bodyDiv w:val="1"/>
      <w:marLeft w:val="0"/>
      <w:marRight w:val="0"/>
      <w:marTop w:val="0"/>
      <w:marBottom w:val="0"/>
      <w:divBdr>
        <w:top w:val="none" w:sz="0" w:space="0" w:color="auto"/>
        <w:left w:val="none" w:sz="0" w:space="0" w:color="auto"/>
        <w:bottom w:val="none" w:sz="0" w:space="0" w:color="auto"/>
        <w:right w:val="none" w:sz="0" w:space="0" w:color="auto"/>
      </w:divBdr>
    </w:div>
    <w:div w:id="1347829998">
      <w:bodyDiv w:val="1"/>
      <w:marLeft w:val="0"/>
      <w:marRight w:val="0"/>
      <w:marTop w:val="0"/>
      <w:marBottom w:val="0"/>
      <w:divBdr>
        <w:top w:val="none" w:sz="0" w:space="0" w:color="auto"/>
        <w:left w:val="none" w:sz="0" w:space="0" w:color="auto"/>
        <w:bottom w:val="none" w:sz="0" w:space="0" w:color="auto"/>
        <w:right w:val="none" w:sz="0" w:space="0" w:color="auto"/>
      </w:divBdr>
    </w:div>
    <w:div w:id="1348093043">
      <w:bodyDiv w:val="1"/>
      <w:marLeft w:val="0"/>
      <w:marRight w:val="0"/>
      <w:marTop w:val="0"/>
      <w:marBottom w:val="0"/>
      <w:divBdr>
        <w:top w:val="none" w:sz="0" w:space="0" w:color="auto"/>
        <w:left w:val="none" w:sz="0" w:space="0" w:color="auto"/>
        <w:bottom w:val="none" w:sz="0" w:space="0" w:color="auto"/>
        <w:right w:val="none" w:sz="0" w:space="0" w:color="auto"/>
      </w:divBdr>
    </w:div>
    <w:div w:id="1348093188">
      <w:bodyDiv w:val="1"/>
      <w:marLeft w:val="0"/>
      <w:marRight w:val="0"/>
      <w:marTop w:val="0"/>
      <w:marBottom w:val="0"/>
      <w:divBdr>
        <w:top w:val="none" w:sz="0" w:space="0" w:color="auto"/>
        <w:left w:val="none" w:sz="0" w:space="0" w:color="auto"/>
        <w:bottom w:val="none" w:sz="0" w:space="0" w:color="auto"/>
        <w:right w:val="none" w:sz="0" w:space="0" w:color="auto"/>
      </w:divBdr>
    </w:div>
    <w:div w:id="1348481698">
      <w:bodyDiv w:val="1"/>
      <w:marLeft w:val="0"/>
      <w:marRight w:val="0"/>
      <w:marTop w:val="0"/>
      <w:marBottom w:val="0"/>
      <w:divBdr>
        <w:top w:val="none" w:sz="0" w:space="0" w:color="auto"/>
        <w:left w:val="none" w:sz="0" w:space="0" w:color="auto"/>
        <w:bottom w:val="none" w:sz="0" w:space="0" w:color="auto"/>
        <w:right w:val="none" w:sz="0" w:space="0" w:color="auto"/>
      </w:divBdr>
    </w:div>
    <w:div w:id="1348601907">
      <w:bodyDiv w:val="1"/>
      <w:marLeft w:val="0"/>
      <w:marRight w:val="0"/>
      <w:marTop w:val="0"/>
      <w:marBottom w:val="0"/>
      <w:divBdr>
        <w:top w:val="none" w:sz="0" w:space="0" w:color="auto"/>
        <w:left w:val="none" w:sz="0" w:space="0" w:color="auto"/>
        <w:bottom w:val="none" w:sz="0" w:space="0" w:color="auto"/>
        <w:right w:val="none" w:sz="0" w:space="0" w:color="auto"/>
      </w:divBdr>
    </w:div>
    <w:div w:id="1348675038">
      <w:bodyDiv w:val="1"/>
      <w:marLeft w:val="0"/>
      <w:marRight w:val="0"/>
      <w:marTop w:val="0"/>
      <w:marBottom w:val="0"/>
      <w:divBdr>
        <w:top w:val="none" w:sz="0" w:space="0" w:color="auto"/>
        <w:left w:val="none" w:sz="0" w:space="0" w:color="auto"/>
        <w:bottom w:val="none" w:sz="0" w:space="0" w:color="auto"/>
        <w:right w:val="none" w:sz="0" w:space="0" w:color="auto"/>
      </w:divBdr>
    </w:div>
    <w:div w:id="1348748234">
      <w:bodyDiv w:val="1"/>
      <w:marLeft w:val="0"/>
      <w:marRight w:val="0"/>
      <w:marTop w:val="0"/>
      <w:marBottom w:val="0"/>
      <w:divBdr>
        <w:top w:val="none" w:sz="0" w:space="0" w:color="auto"/>
        <w:left w:val="none" w:sz="0" w:space="0" w:color="auto"/>
        <w:bottom w:val="none" w:sz="0" w:space="0" w:color="auto"/>
        <w:right w:val="none" w:sz="0" w:space="0" w:color="auto"/>
      </w:divBdr>
    </w:div>
    <w:div w:id="1349136098">
      <w:bodyDiv w:val="1"/>
      <w:marLeft w:val="0"/>
      <w:marRight w:val="0"/>
      <w:marTop w:val="0"/>
      <w:marBottom w:val="0"/>
      <w:divBdr>
        <w:top w:val="none" w:sz="0" w:space="0" w:color="auto"/>
        <w:left w:val="none" w:sz="0" w:space="0" w:color="auto"/>
        <w:bottom w:val="none" w:sz="0" w:space="0" w:color="auto"/>
        <w:right w:val="none" w:sz="0" w:space="0" w:color="auto"/>
      </w:divBdr>
    </w:div>
    <w:div w:id="1349328227">
      <w:bodyDiv w:val="1"/>
      <w:marLeft w:val="0"/>
      <w:marRight w:val="0"/>
      <w:marTop w:val="0"/>
      <w:marBottom w:val="0"/>
      <w:divBdr>
        <w:top w:val="none" w:sz="0" w:space="0" w:color="auto"/>
        <w:left w:val="none" w:sz="0" w:space="0" w:color="auto"/>
        <w:bottom w:val="none" w:sz="0" w:space="0" w:color="auto"/>
        <w:right w:val="none" w:sz="0" w:space="0" w:color="auto"/>
      </w:divBdr>
    </w:div>
    <w:div w:id="1349408221">
      <w:bodyDiv w:val="1"/>
      <w:marLeft w:val="0"/>
      <w:marRight w:val="0"/>
      <w:marTop w:val="0"/>
      <w:marBottom w:val="0"/>
      <w:divBdr>
        <w:top w:val="none" w:sz="0" w:space="0" w:color="auto"/>
        <w:left w:val="none" w:sz="0" w:space="0" w:color="auto"/>
        <w:bottom w:val="none" w:sz="0" w:space="0" w:color="auto"/>
        <w:right w:val="none" w:sz="0" w:space="0" w:color="auto"/>
      </w:divBdr>
    </w:div>
    <w:div w:id="1349452522">
      <w:bodyDiv w:val="1"/>
      <w:marLeft w:val="0"/>
      <w:marRight w:val="0"/>
      <w:marTop w:val="0"/>
      <w:marBottom w:val="0"/>
      <w:divBdr>
        <w:top w:val="none" w:sz="0" w:space="0" w:color="auto"/>
        <w:left w:val="none" w:sz="0" w:space="0" w:color="auto"/>
        <w:bottom w:val="none" w:sz="0" w:space="0" w:color="auto"/>
        <w:right w:val="none" w:sz="0" w:space="0" w:color="auto"/>
      </w:divBdr>
    </w:div>
    <w:div w:id="1349482882">
      <w:bodyDiv w:val="1"/>
      <w:marLeft w:val="0"/>
      <w:marRight w:val="0"/>
      <w:marTop w:val="0"/>
      <w:marBottom w:val="0"/>
      <w:divBdr>
        <w:top w:val="none" w:sz="0" w:space="0" w:color="auto"/>
        <w:left w:val="none" w:sz="0" w:space="0" w:color="auto"/>
        <w:bottom w:val="none" w:sz="0" w:space="0" w:color="auto"/>
        <w:right w:val="none" w:sz="0" w:space="0" w:color="auto"/>
      </w:divBdr>
    </w:div>
    <w:div w:id="1349672316">
      <w:bodyDiv w:val="1"/>
      <w:marLeft w:val="0"/>
      <w:marRight w:val="0"/>
      <w:marTop w:val="0"/>
      <w:marBottom w:val="0"/>
      <w:divBdr>
        <w:top w:val="none" w:sz="0" w:space="0" w:color="auto"/>
        <w:left w:val="none" w:sz="0" w:space="0" w:color="auto"/>
        <w:bottom w:val="none" w:sz="0" w:space="0" w:color="auto"/>
        <w:right w:val="none" w:sz="0" w:space="0" w:color="auto"/>
      </w:divBdr>
    </w:div>
    <w:div w:id="1350063580">
      <w:bodyDiv w:val="1"/>
      <w:marLeft w:val="0"/>
      <w:marRight w:val="0"/>
      <w:marTop w:val="0"/>
      <w:marBottom w:val="0"/>
      <w:divBdr>
        <w:top w:val="none" w:sz="0" w:space="0" w:color="auto"/>
        <w:left w:val="none" w:sz="0" w:space="0" w:color="auto"/>
        <w:bottom w:val="none" w:sz="0" w:space="0" w:color="auto"/>
        <w:right w:val="none" w:sz="0" w:space="0" w:color="auto"/>
      </w:divBdr>
    </w:div>
    <w:div w:id="1350138346">
      <w:bodyDiv w:val="1"/>
      <w:marLeft w:val="0"/>
      <w:marRight w:val="0"/>
      <w:marTop w:val="0"/>
      <w:marBottom w:val="0"/>
      <w:divBdr>
        <w:top w:val="none" w:sz="0" w:space="0" w:color="auto"/>
        <w:left w:val="none" w:sz="0" w:space="0" w:color="auto"/>
        <w:bottom w:val="none" w:sz="0" w:space="0" w:color="auto"/>
        <w:right w:val="none" w:sz="0" w:space="0" w:color="auto"/>
      </w:divBdr>
    </w:div>
    <w:div w:id="1350256491">
      <w:bodyDiv w:val="1"/>
      <w:marLeft w:val="0"/>
      <w:marRight w:val="0"/>
      <w:marTop w:val="0"/>
      <w:marBottom w:val="0"/>
      <w:divBdr>
        <w:top w:val="none" w:sz="0" w:space="0" w:color="auto"/>
        <w:left w:val="none" w:sz="0" w:space="0" w:color="auto"/>
        <w:bottom w:val="none" w:sz="0" w:space="0" w:color="auto"/>
        <w:right w:val="none" w:sz="0" w:space="0" w:color="auto"/>
      </w:divBdr>
    </w:div>
    <w:div w:id="1350523293">
      <w:bodyDiv w:val="1"/>
      <w:marLeft w:val="0"/>
      <w:marRight w:val="0"/>
      <w:marTop w:val="0"/>
      <w:marBottom w:val="0"/>
      <w:divBdr>
        <w:top w:val="none" w:sz="0" w:space="0" w:color="auto"/>
        <w:left w:val="none" w:sz="0" w:space="0" w:color="auto"/>
        <w:bottom w:val="none" w:sz="0" w:space="0" w:color="auto"/>
        <w:right w:val="none" w:sz="0" w:space="0" w:color="auto"/>
      </w:divBdr>
    </w:div>
    <w:div w:id="1350641231">
      <w:bodyDiv w:val="1"/>
      <w:marLeft w:val="0"/>
      <w:marRight w:val="0"/>
      <w:marTop w:val="0"/>
      <w:marBottom w:val="0"/>
      <w:divBdr>
        <w:top w:val="none" w:sz="0" w:space="0" w:color="auto"/>
        <w:left w:val="none" w:sz="0" w:space="0" w:color="auto"/>
        <w:bottom w:val="none" w:sz="0" w:space="0" w:color="auto"/>
        <w:right w:val="none" w:sz="0" w:space="0" w:color="auto"/>
      </w:divBdr>
    </w:div>
    <w:div w:id="1351100616">
      <w:bodyDiv w:val="1"/>
      <w:marLeft w:val="0"/>
      <w:marRight w:val="0"/>
      <w:marTop w:val="0"/>
      <w:marBottom w:val="0"/>
      <w:divBdr>
        <w:top w:val="none" w:sz="0" w:space="0" w:color="auto"/>
        <w:left w:val="none" w:sz="0" w:space="0" w:color="auto"/>
        <w:bottom w:val="none" w:sz="0" w:space="0" w:color="auto"/>
        <w:right w:val="none" w:sz="0" w:space="0" w:color="auto"/>
      </w:divBdr>
    </w:div>
    <w:div w:id="1351179589">
      <w:bodyDiv w:val="1"/>
      <w:marLeft w:val="0"/>
      <w:marRight w:val="0"/>
      <w:marTop w:val="0"/>
      <w:marBottom w:val="0"/>
      <w:divBdr>
        <w:top w:val="none" w:sz="0" w:space="0" w:color="auto"/>
        <w:left w:val="none" w:sz="0" w:space="0" w:color="auto"/>
        <w:bottom w:val="none" w:sz="0" w:space="0" w:color="auto"/>
        <w:right w:val="none" w:sz="0" w:space="0" w:color="auto"/>
      </w:divBdr>
    </w:div>
    <w:div w:id="1351253553">
      <w:bodyDiv w:val="1"/>
      <w:marLeft w:val="0"/>
      <w:marRight w:val="0"/>
      <w:marTop w:val="0"/>
      <w:marBottom w:val="0"/>
      <w:divBdr>
        <w:top w:val="none" w:sz="0" w:space="0" w:color="auto"/>
        <w:left w:val="none" w:sz="0" w:space="0" w:color="auto"/>
        <w:bottom w:val="none" w:sz="0" w:space="0" w:color="auto"/>
        <w:right w:val="none" w:sz="0" w:space="0" w:color="auto"/>
      </w:divBdr>
    </w:div>
    <w:div w:id="1351444945">
      <w:bodyDiv w:val="1"/>
      <w:marLeft w:val="0"/>
      <w:marRight w:val="0"/>
      <w:marTop w:val="0"/>
      <w:marBottom w:val="0"/>
      <w:divBdr>
        <w:top w:val="none" w:sz="0" w:space="0" w:color="auto"/>
        <w:left w:val="none" w:sz="0" w:space="0" w:color="auto"/>
        <w:bottom w:val="none" w:sz="0" w:space="0" w:color="auto"/>
        <w:right w:val="none" w:sz="0" w:space="0" w:color="auto"/>
      </w:divBdr>
    </w:div>
    <w:div w:id="1351448646">
      <w:bodyDiv w:val="1"/>
      <w:marLeft w:val="0"/>
      <w:marRight w:val="0"/>
      <w:marTop w:val="0"/>
      <w:marBottom w:val="0"/>
      <w:divBdr>
        <w:top w:val="none" w:sz="0" w:space="0" w:color="auto"/>
        <w:left w:val="none" w:sz="0" w:space="0" w:color="auto"/>
        <w:bottom w:val="none" w:sz="0" w:space="0" w:color="auto"/>
        <w:right w:val="none" w:sz="0" w:space="0" w:color="auto"/>
      </w:divBdr>
    </w:div>
    <w:div w:id="1351449569">
      <w:bodyDiv w:val="1"/>
      <w:marLeft w:val="0"/>
      <w:marRight w:val="0"/>
      <w:marTop w:val="0"/>
      <w:marBottom w:val="0"/>
      <w:divBdr>
        <w:top w:val="none" w:sz="0" w:space="0" w:color="auto"/>
        <w:left w:val="none" w:sz="0" w:space="0" w:color="auto"/>
        <w:bottom w:val="none" w:sz="0" w:space="0" w:color="auto"/>
        <w:right w:val="none" w:sz="0" w:space="0" w:color="auto"/>
      </w:divBdr>
    </w:div>
    <w:div w:id="1351486368">
      <w:bodyDiv w:val="1"/>
      <w:marLeft w:val="0"/>
      <w:marRight w:val="0"/>
      <w:marTop w:val="0"/>
      <w:marBottom w:val="0"/>
      <w:divBdr>
        <w:top w:val="none" w:sz="0" w:space="0" w:color="auto"/>
        <w:left w:val="none" w:sz="0" w:space="0" w:color="auto"/>
        <w:bottom w:val="none" w:sz="0" w:space="0" w:color="auto"/>
        <w:right w:val="none" w:sz="0" w:space="0" w:color="auto"/>
      </w:divBdr>
    </w:div>
    <w:div w:id="1351492497">
      <w:bodyDiv w:val="1"/>
      <w:marLeft w:val="0"/>
      <w:marRight w:val="0"/>
      <w:marTop w:val="0"/>
      <w:marBottom w:val="0"/>
      <w:divBdr>
        <w:top w:val="none" w:sz="0" w:space="0" w:color="auto"/>
        <w:left w:val="none" w:sz="0" w:space="0" w:color="auto"/>
        <w:bottom w:val="none" w:sz="0" w:space="0" w:color="auto"/>
        <w:right w:val="none" w:sz="0" w:space="0" w:color="auto"/>
      </w:divBdr>
    </w:div>
    <w:div w:id="1351646425">
      <w:bodyDiv w:val="1"/>
      <w:marLeft w:val="0"/>
      <w:marRight w:val="0"/>
      <w:marTop w:val="0"/>
      <w:marBottom w:val="0"/>
      <w:divBdr>
        <w:top w:val="none" w:sz="0" w:space="0" w:color="auto"/>
        <w:left w:val="none" w:sz="0" w:space="0" w:color="auto"/>
        <w:bottom w:val="none" w:sz="0" w:space="0" w:color="auto"/>
        <w:right w:val="none" w:sz="0" w:space="0" w:color="auto"/>
      </w:divBdr>
    </w:div>
    <w:div w:id="1351682572">
      <w:bodyDiv w:val="1"/>
      <w:marLeft w:val="0"/>
      <w:marRight w:val="0"/>
      <w:marTop w:val="0"/>
      <w:marBottom w:val="0"/>
      <w:divBdr>
        <w:top w:val="none" w:sz="0" w:space="0" w:color="auto"/>
        <w:left w:val="none" w:sz="0" w:space="0" w:color="auto"/>
        <w:bottom w:val="none" w:sz="0" w:space="0" w:color="auto"/>
        <w:right w:val="none" w:sz="0" w:space="0" w:color="auto"/>
      </w:divBdr>
    </w:div>
    <w:div w:id="1351685072">
      <w:bodyDiv w:val="1"/>
      <w:marLeft w:val="0"/>
      <w:marRight w:val="0"/>
      <w:marTop w:val="0"/>
      <w:marBottom w:val="0"/>
      <w:divBdr>
        <w:top w:val="none" w:sz="0" w:space="0" w:color="auto"/>
        <w:left w:val="none" w:sz="0" w:space="0" w:color="auto"/>
        <w:bottom w:val="none" w:sz="0" w:space="0" w:color="auto"/>
        <w:right w:val="none" w:sz="0" w:space="0" w:color="auto"/>
      </w:divBdr>
    </w:div>
    <w:div w:id="1351833244">
      <w:bodyDiv w:val="1"/>
      <w:marLeft w:val="0"/>
      <w:marRight w:val="0"/>
      <w:marTop w:val="0"/>
      <w:marBottom w:val="0"/>
      <w:divBdr>
        <w:top w:val="none" w:sz="0" w:space="0" w:color="auto"/>
        <w:left w:val="none" w:sz="0" w:space="0" w:color="auto"/>
        <w:bottom w:val="none" w:sz="0" w:space="0" w:color="auto"/>
        <w:right w:val="none" w:sz="0" w:space="0" w:color="auto"/>
      </w:divBdr>
    </w:div>
    <w:div w:id="1351833490">
      <w:bodyDiv w:val="1"/>
      <w:marLeft w:val="0"/>
      <w:marRight w:val="0"/>
      <w:marTop w:val="0"/>
      <w:marBottom w:val="0"/>
      <w:divBdr>
        <w:top w:val="none" w:sz="0" w:space="0" w:color="auto"/>
        <w:left w:val="none" w:sz="0" w:space="0" w:color="auto"/>
        <w:bottom w:val="none" w:sz="0" w:space="0" w:color="auto"/>
        <w:right w:val="none" w:sz="0" w:space="0" w:color="auto"/>
      </w:divBdr>
    </w:div>
    <w:div w:id="1351833918">
      <w:bodyDiv w:val="1"/>
      <w:marLeft w:val="0"/>
      <w:marRight w:val="0"/>
      <w:marTop w:val="0"/>
      <w:marBottom w:val="0"/>
      <w:divBdr>
        <w:top w:val="none" w:sz="0" w:space="0" w:color="auto"/>
        <w:left w:val="none" w:sz="0" w:space="0" w:color="auto"/>
        <w:bottom w:val="none" w:sz="0" w:space="0" w:color="auto"/>
        <w:right w:val="none" w:sz="0" w:space="0" w:color="auto"/>
      </w:divBdr>
    </w:div>
    <w:div w:id="1351908017">
      <w:bodyDiv w:val="1"/>
      <w:marLeft w:val="0"/>
      <w:marRight w:val="0"/>
      <w:marTop w:val="0"/>
      <w:marBottom w:val="0"/>
      <w:divBdr>
        <w:top w:val="none" w:sz="0" w:space="0" w:color="auto"/>
        <w:left w:val="none" w:sz="0" w:space="0" w:color="auto"/>
        <w:bottom w:val="none" w:sz="0" w:space="0" w:color="auto"/>
        <w:right w:val="none" w:sz="0" w:space="0" w:color="auto"/>
      </w:divBdr>
    </w:div>
    <w:div w:id="1352028456">
      <w:bodyDiv w:val="1"/>
      <w:marLeft w:val="0"/>
      <w:marRight w:val="0"/>
      <w:marTop w:val="0"/>
      <w:marBottom w:val="0"/>
      <w:divBdr>
        <w:top w:val="none" w:sz="0" w:space="0" w:color="auto"/>
        <w:left w:val="none" w:sz="0" w:space="0" w:color="auto"/>
        <w:bottom w:val="none" w:sz="0" w:space="0" w:color="auto"/>
        <w:right w:val="none" w:sz="0" w:space="0" w:color="auto"/>
      </w:divBdr>
    </w:div>
    <w:div w:id="1352150886">
      <w:bodyDiv w:val="1"/>
      <w:marLeft w:val="0"/>
      <w:marRight w:val="0"/>
      <w:marTop w:val="0"/>
      <w:marBottom w:val="0"/>
      <w:divBdr>
        <w:top w:val="none" w:sz="0" w:space="0" w:color="auto"/>
        <w:left w:val="none" w:sz="0" w:space="0" w:color="auto"/>
        <w:bottom w:val="none" w:sz="0" w:space="0" w:color="auto"/>
        <w:right w:val="none" w:sz="0" w:space="0" w:color="auto"/>
      </w:divBdr>
    </w:div>
    <w:div w:id="1352216992">
      <w:bodyDiv w:val="1"/>
      <w:marLeft w:val="0"/>
      <w:marRight w:val="0"/>
      <w:marTop w:val="0"/>
      <w:marBottom w:val="0"/>
      <w:divBdr>
        <w:top w:val="none" w:sz="0" w:space="0" w:color="auto"/>
        <w:left w:val="none" w:sz="0" w:space="0" w:color="auto"/>
        <w:bottom w:val="none" w:sz="0" w:space="0" w:color="auto"/>
        <w:right w:val="none" w:sz="0" w:space="0" w:color="auto"/>
      </w:divBdr>
    </w:div>
    <w:div w:id="1352223894">
      <w:bodyDiv w:val="1"/>
      <w:marLeft w:val="0"/>
      <w:marRight w:val="0"/>
      <w:marTop w:val="0"/>
      <w:marBottom w:val="0"/>
      <w:divBdr>
        <w:top w:val="none" w:sz="0" w:space="0" w:color="auto"/>
        <w:left w:val="none" w:sz="0" w:space="0" w:color="auto"/>
        <w:bottom w:val="none" w:sz="0" w:space="0" w:color="auto"/>
        <w:right w:val="none" w:sz="0" w:space="0" w:color="auto"/>
      </w:divBdr>
    </w:div>
    <w:div w:id="1352293576">
      <w:bodyDiv w:val="1"/>
      <w:marLeft w:val="0"/>
      <w:marRight w:val="0"/>
      <w:marTop w:val="0"/>
      <w:marBottom w:val="0"/>
      <w:divBdr>
        <w:top w:val="none" w:sz="0" w:space="0" w:color="auto"/>
        <w:left w:val="none" w:sz="0" w:space="0" w:color="auto"/>
        <w:bottom w:val="none" w:sz="0" w:space="0" w:color="auto"/>
        <w:right w:val="none" w:sz="0" w:space="0" w:color="auto"/>
      </w:divBdr>
    </w:div>
    <w:div w:id="1352300124">
      <w:bodyDiv w:val="1"/>
      <w:marLeft w:val="0"/>
      <w:marRight w:val="0"/>
      <w:marTop w:val="0"/>
      <w:marBottom w:val="0"/>
      <w:divBdr>
        <w:top w:val="none" w:sz="0" w:space="0" w:color="auto"/>
        <w:left w:val="none" w:sz="0" w:space="0" w:color="auto"/>
        <w:bottom w:val="none" w:sz="0" w:space="0" w:color="auto"/>
        <w:right w:val="none" w:sz="0" w:space="0" w:color="auto"/>
      </w:divBdr>
    </w:div>
    <w:div w:id="1352487671">
      <w:bodyDiv w:val="1"/>
      <w:marLeft w:val="0"/>
      <w:marRight w:val="0"/>
      <w:marTop w:val="0"/>
      <w:marBottom w:val="0"/>
      <w:divBdr>
        <w:top w:val="none" w:sz="0" w:space="0" w:color="auto"/>
        <w:left w:val="none" w:sz="0" w:space="0" w:color="auto"/>
        <w:bottom w:val="none" w:sz="0" w:space="0" w:color="auto"/>
        <w:right w:val="none" w:sz="0" w:space="0" w:color="auto"/>
      </w:divBdr>
    </w:div>
    <w:div w:id="1352487927">
      <w:bodyDiv w:val="1"/>
      <w:marLeft w:val="0"/>
      <w:marRight w:val="0"/>
      <w:marTop w:val="0"/>
      <w:marBottom w:val="0"/>
      <w:divBdr>
        <w:top w:val="none" w:sz="0" w:space="0" w:color="auto"/>
        <w:left w:val="none" w:sz="0" w:space="0" w:color="auto"/>
        <w:bottom w:val="none" w:sz="0" w:space="0" w:color="auto"/>
        <w:right w:val="none" w:sz="0" w:space="0" w:color="auto"/>
      </w:divBdr>
    </w:div>
    <w:div w:id="1352609887">
      <w:bodyDiv w:val="1"/>
      <w:marLeft w:val="0"/>
      <w:marRight w:val="0"/>
      <w:marTop w:val="0"/>
      <w:marBottom w:val="0"/>
      <w:divBdr>
        <w:top w:val="none" w:sz="0" w:space="0" w:color="auto"/>
        <w:left w:val="none" w:sz="0" w:space="0" w:color="auto"/>
        <w:bottom w:val="none" w:sz="0" w:space="0" w:color="auto"/>
        <w:right w:val="none" w:sz="0" w:space="0" w:color="auto"/>
      </w:divBdr>
    </w:div>
    <w:div w:id="1352678966">
      <w:bodyDiv w:val="1"/>
      <w:marLeft w:val="0"/>
      <w:marRight w:val="0"/>
      <w:marTop w:val="0"/>
      <w:marBottom w:val="0"/>
      <w:divBdr>
        <w:top w:val="none" w:sz="0" w:space="0" w:color="auto"/>
        <w:left w:val="none" w:sz="0" w:space="0" w:color="auto"/>
        <w:bottom w:val="none" w:sz="0" w:space="0" w:color="auto"/>
        <w:right w:val="none" w:sz="0" w:space="0" w:color="auto"/>
      </w:divBdr>
    </w:div>
    <w:div w:id="1352683906">
      <w:bodyDiv w:val="1"/>
      <w:marLeft w:val="0"/>
      <w:marRight w:val="0"/>
      <w:marTop w:val="0"/>
      <w:marBottom w:val="0"/>
      <w:divBdr>
        <w:top w:val="none" w:sz="0" w:space="0" w:color="auto"/>
        <w:left w:val="none" w:sz="0" w:space="0" w:color="auto"/>
        <w:bottom w:val="none" w:sz="0" w:space="0" w:color="auto"/>
        <w:right w:val="none" w:sz="0" w:space="0" w:color="auto"/>
      </w:divBdr>
    </w:div>
    <w:div w:id="1352755298">
      <w:bodyDiv w:val="1"/>
      <w:marLeft w:val="0"/>
      <w:marRight w:val="0"/>
      <w:marTop w:val="0"/>
      <w:marBottom w:val="0"/>
      <w:divBdr>
        <w:top w:val="none" w:sz="0" w:space="0" w:color="auto"/>
        <w:left w:val="none" w:sz="0" w:space="0" w:color="auto"/>
        <w:bottom w:val="none" w:sz="0" w:space="0" w:color="auto"/>
        <w:right w:val="none" w:sz="0" w:space="0" w:color="auto"/>
      </w:divBdr>
    </w:div>
    <w:div w:id="1352999709">
      <w:bodyDiv w:val="1"/>
      <w:marLeft w:val="0"/>
      <w:marRight w:val="0"/>
      <w:marTop w:val="0"/>
      <w:marBottom w:val="0"/>
      <w:divBdr>
        <w:top w:val="none" w:sz="0" w:space="0" w:color="auto"/>
        <w:left w:val="none" w:sz="0" w:space="0" w:color="auto"/>
        <w:bottom w:val="none" w:sz="0" w:space="0" w:color="auto"/>
        <w:right w:val="none" w:sz="0" w:space="0" w:color="auto"/>
      </w:divBdr>
    </w:div>
    <w:div w:id="1353147292">
      <w:bodyDiv w:val="1"/>
      <w:marLeft w:val="0"/>
      <w:marRight w:val="0"/>
      <w:marTop w:val="0"/>
      <w:marBottom w:val="0"/>
      <w:divBdr>
        <w:top w:val="none" w:sz="0" w:space="0" w:color="auto"/>
        <w:left w:val="none" w:sz="0" w:space="0" w:color="auto"/>
        <w:bottom w:val="none" w:sz="0" w:space="0" w:color="auto"/>
        <w:right w:val="none" w:sz="0" w:space="0" w:color="auto"/>
      </w:divBdr>
    </w:div>
    <w:div w:id="1353150362">
      <w:bodyDiv w:val="1"/>
      <w:marLeft w:val="0"/>
      <w:marRight w:val="0"/>
      <w:marTop w:val="0"/>
      <w:marBottom w:val="0"/>
      <w:divBdr>
        <w:top w:val="none" w:sz="0" w:space="0" w:color="auto"/>
        <w:left w:val="none" w:sz="0" w:space="0" w:color="auto"/>
        <w:bottom w:val="none" w:sz="0" w:space="0" w:color="auto"/>
        <w:right w:val="none" w:sz="0" w:space="0" w:color="auto"/>
      </w:divBdr>
    </w:div>
    <w:div w:id="1353216232">
      <w:bodyDiv w:val="1"/>
      <w:marLeft w:val="0"/>
      <w:marRight w:val="0"/>
      <w:marTop w:val="0"/>
      <w:marBottom w:val="0"/>
      <w:divBdr>
        <w:top w:val="none" w:sz="0" w:space="0" w:color="auto"/>
        <w:left w:val="none" w:sz="0" w:space="0" w:color="auto"/>
        <w:bottom w:val="none" w:sz="0" w:space="0" w:color="auto"/>
        <w:right w:val="none" w:sz="0" w:space="0" w:color="auto"/>
      </w:divBdr>
    </w:div>
    <w:div w:id="1353455715">
      <w:bodyDiv w:val="1"/>
      <w:marLeft w:val="0"/>
      <w:marRight w:val="0"/>
      <w:marTop w:val="0"/>
      <w:marBottom w:val="0"/>
      <w:divBdr>
        <w:top w:val="none" w:sz="0" w:space="0" w:color="auto"/>
        <w:left w:val="none" w:sz="0" w:space="0" w:color="auto"/>
        <w:bottom w:val="none" w:sz="0" w:space="0" w:color="auto"/>
        <w:right w:val="none" w:sz="0" w:space="0" w:color="auto"/>
      </w:divBdr>
    </w:div>
    <w:div w:id="1353532310">
      <w:bodyDiv w:val="1"/>
      <w:marLeft w:val="0"/>
      <w:marRight w:val="0"/>
      <w:marTop w:val="0"/>
      <w:marBottom w:val="0"/>
      <w:divBdr>
        <w:top w:val="none" w:sz="0" w:space="0" w:color="auto"/>
        <w:left w:val="none" w:sz="0" w:space="0" w:color="auto"/>
        <w:bottom w:val="none" w:sz="0" w:space="0" w:color="auto"/>
        <w:right w:val="none" w:sz="0" w:space="0" w:color="auto"/>
      </w:divBdr>
    </w:div>
    <w:div w:id="1353678532">
      <w:bodyDiv w:val="1"/>
      <w:marLeft w:val="0"/>
      <w:marRight w:val="0"/>
      <w:marTop w:val="0"/>
      <w:marBottom w:val="0"/>
      <w:divBdr>
        <w:top w:val="none" w:sz="0" w:space="0" w:color="auto"/>
        <w:left w:val="none" w:sz="0" w:space="0" w:color="auto"/>
        <w:bottom w:val="none" w:sz="0" w:space="0" w:color="auto"/>
        <w:right w:val="none" w:sz="0" w:space="0" w:color="auto"/>
      </w:divBdr>
    </w:div>
    <w:div w:id="1353845728">
      <w:bodyDiv w:val="1"/>
      <w:marLeft w:val="0"/>
      <w:marRight w:val="0"/>
      <w:marTop w:val="0"/>
      <w:marBottom w:val="0"/>
      <w:divBdr>
        <w:top w:val="none" w:sz="0" w:space="0" w:color="auto"/>
        <w:left w:val="none" w:sz="0" w:space="0" w:color="auto"/>
        <w:bottom w:val="none" w:sz="0" w:space="0" w:color="auto"/>
        <w:right w:val="none" w:sz="0" w:space="0" w:color="auto"/>
      </w:divBdr>
    </w:div>
    <w:div w:id="1353993235">
      <w:bodyDiv w:val="1"/>
      <w:marLeft w:val="0"/>
      <w:marRight w:val="0"/>
      <w:marTop w:val="0"/>
      <w:marBottom w:val="0"/>
      <w:divBdr>
        <w:top w:val="none" w:sz="0" w:space="0" w:color="auto"/>
        <w:left w:val="none" w:sz="0" w:space="0" w:color="auto"/>
        <w:bottom w:val="none" w:sz="0" w:space="0" w:color="auto"/>
        <w:right w:val="none" w:sz="0" w:space="0" w:color="auto"/>
      </w:divBdr>
    </w:div>
    <w:div w:id="1354306800">
      <w:bodyDiv w:val="1"/>
      <w:marLeft w:val="0"/>
      <w:marRight w:val="0"/>
      <w:marTop w:val="0"/>
      <w:marBottom w:val="0"/>
      <w:divBdr>
        <w:top w:val="none" w:sz="0" w:space="0" w:color="auto"/>
        <w:left w:val="none" w:sz="0" w:space="0" w:color="auto"/>
        <w:bottom w:val="none" w:sz="0" w:space="0" w:color="auto"/>
        <w:right w:val="none" w:sz="0" w:space="0" w:color="auto"/>
      </w:divBdr>
    </w:div>
    <w:div w:id="1354382061">
      <w:bodyDiv w:val="1"/>
      <w:marLeft w:val="0"/>
      <w:marRight w:val="0"/>
      <w:marTop w:val="0"/>
      <w:marBottom w:val="0"/>
      <w:divBdr>
        <w:top w:val="none" w:sz="0" w:space="0" w:color="auto"/>
        <w:left w:val="none" w:sz="0" w:space="0" w:color="auto"/>
        <w:bottom w:val="none" w:sz="0" w:space="0" w:color="auto"/>
        <w:right w:val="none" w:sz="0" w:space="0" w:color="auto"/>
      </w:divBdr>
    </w:div>
    <w:div w:id="1354529589">
      <w:bodyDiv w:val="1"/>
      <w:marLeft w:val="0"/>
      <w:marRight w:val="0"/>
      <w:marTop w:val="0"/>
      <w:marBottom w:val="0"/>
      <w:divBdr>
        <w:top w:val="none" w:sz="0" w:space="0" w:color="auto"/>
        <w:left w:val="none" w:sz="0" w:space="0" w:color="auto"/>
        <w:bottom w:val="none" w:sz="0" w:space="0" w:color="auto"/>
        <w:right w:val="none" w:sz="0" w:space="0" w:color="auto"/>
      </w:divBdr>
    </w:div>
    <w:div w:id="1354575981">
      <w:bodyDiv w:val="1"/>
      <w:marLeft w:val="0"/>
      <w:marRight w:val="0"/>
      <w:marTop w:val="0"/>
      <w:marBottom w:val="0"/>
      <w:divBdr>
        <w:top w:val="none" w:sz="0" w:space="0" w:color="auto"/>
        <w:left w:val="none" w:sz="0" w:space="0" w:color="auto"/>
        <w:bottom w:val="none" w:sz="0" w:space="0" w:color="auto"/>
        <w:right w:val="none" w:sz="0" w:space="0" w:color="auto"/>
      </w:divBdr>
    </w:div>
    <w:div w:id="1354763856">
      <w:bodyDiv w:val="1"/>
      <w:marLeft w:val="0"/>
      <w:marRight w:val="0"/>
      <w:marTop w:val="0"/>
      <w:marBottom w:val="0"/>
      <w:divBdr>
        <w:top w:val="none" w:sz="0" w:space="0" w:color="auto"/>
        <w:left w:val="none" w:sz="0" w:space="0" w:color="auto"/>
        <w:bottom w:val="none" w:sz="0" w:space="0" w:color="auto"/>
        <w:right w:val="none" w:sz="0" w:space="0" w:color="auto"/>
      </w:divBdr>
    </w:div>
    <w:div w:id="1354768015">
      <w:bodyDiv w:val="1"/>
      <w:marLeft w:val="0"/>
      <w:marRight w:val="0"/>
      <w:marTop w:val="0"/>
      <w:marBottom w:val="0"/>
      <w:divBdr>
        <w:top w:val="none" w:sz="0" w:space="0" w:color="auto"/>
        <w:left w:val="none" w:sz="0" w:space="0" w:color="auto"/>
        <w:bottom w:val="none" w:sz="0" w:space="0" w:color="auto"/>
        <w:right w:val="none" w:sz="0" w:space="0" w:color="auto"/>
      </w:divBdr>
    </w:div>
    <w:div w:id="1354847616">
      <w:bodyDiv w:val="1"/>
      <w:marLeft w:val="0"/>
      <w:marRight w:val="0"/>
      <w:marTop w:val="0"/>
      <w:marBottom w:val="0"/>
      <w:divBdr>
        <w:top w:val="none" w:sz="0" w:space="0" w:color="auto"/>
        <w:left w:val="none" w:sz="0" w:space="0" w:color="auto"/>
        <w:bottom w:val="none" w:sz="0" w:space="0" w:color="auto"/>
        <w:right w:val="none" w:sz="0" w:space="0" w:color="auto"/>
      </w:divBdr>
    </w:div>
    <w:div w:id="1354920518">
      <w:bodyDiv w:val="1"/>
      <w:marLeft w:val="0"/>
      <w:marRight w:val="0"/>
      <w:marTop w:val="0"/>
      <w:marBottom w:val="0"/>
      <w:divBdr>
        <w:top w:val="none" w:sz="0" w:space="0" w:color="auto"/>
        <w:left w:val="none" w:sz="0" w:space="0" w:color="auto"/>
        <w:bottom w:val="none" w:sz="0" w:space="0" w:color="auto"/>
        <w:right w:val="none" w:sz="0" w:space="0" w:color="auto"/>
      </w:divBdr>
    </w:div>
    <w:div w:id="1354957065">
      <w:bodyDiv w:val="1"/>
      <w:marLeft w:val="0"/>
      <w:marRight w:val="0"/>
      <w:marTop w:val="0"/>
      <w:marBottom w:val="0"/>
      <w:divBdr>
        <w:top w:val="none" w:sz="0" w:space="0" w:color="auto"/>
        <w:left w:val="none" w:sz="0" w:space="0" w:color="auto"/>
        <w:bottom w:val="none" w:sz="0" w:space="0" w:color="auto"/>
        <w:right w:val="none" w:sz="0" w:space="0" w:color="auto"/>
      </w:divBdr>
    </w:div>
    <w:div w:id="1354964662">
      <w:bodyDiv w:val="1"/>
      <w:marLeft w:val="0"/>
      <w:marRight w:val="0"/>
      <w:marTop w:val="0"/>
      <w:marBottom w:val="0"/>
      <w:divBdr>
        <w:top w:val="none" w:sz="0" w:space="0" w:color="auto"/>
        <w:left w:val="none" w:sz="0" w:space="0" w:color="auto"/>
        <w:bottom w:val="none" w:sz="0" w:space="0" w:color="auto"/>
        <w:right w:val="none" w:sz="0" w:space="0" w:color="auto"/>
      </w:divBdr>
    </w:div>
    <w:div w:id="1355036381">
      <w:bodyDiv w:val="1"/>
      <w:marLeft w:val="0"/>
      <w:marRight w:val="0"/>
      <w:marTop w:val="0"/>
      <w:marBottom w:val="0"/>
      <w:divBdr>
        <w:top w:val="none" w:sz="0" w:space="0" w:color="auto"/>
        <w:left w:val="none" w:sz="0" w:space="0" w:color="auto"/>
        <w:bottom w:val="none" w:sz="0" w:space="0" w:color="auto"/>
        <w:right w:val="none" w:sz="0" w:space="0" w:color="auto"/>
      </w:divBdr>
    </w:div>
    <w:div w:id="1355111433">
      <w:bodyDiv w:val="1"/>
      <w:marLeft w:val="0"/>
      <w:marRight w:val="0"/>
      <w:marTop w:val="0"/>
      <w:marBottom w:val="0"/>
      <w:divBdr>
        <w:top w:val="none" w:sz="0" w:space="0" w:color="auto"/>
        <w:left w:val="none" w:sz="0" w:space="0" w:color="auto"/>
        <w:bottom w:val="none" w:sz="0" w:space="0" w:color="auto"/>
        <w:right w:val="none" w:sz="0" w:space="0" w:color="auto"/>
      </w:divBdr>
    </w:div>
    <w:div w:id="1355112779">
      <w:bodyDiv w:val="1"/>
      <w:marLeft w:val="0"/>
      <w:marRight w:val="0"/>
      <w:marTop w:val="0"/>
      <w:marBottom w:val="0"/>
      <w:divBdr>
        <w:top w:val="none" w:sz="0" w:space="0" w:color="auto"/>
        <w:left w:val="none" w:sz="0" w:space="0" w:color="auto"/>
        <w:bottom w:val="none" w:sz="0" w:space="0" w:color="auto"/>
        <w:right w:val="none" w:sz="0" w:space="0" w:color="auto"/>
      </w:divBdr>
    </w:div>
    <w:div w:id="1355113603">
      <w:bodyDiv w:val="1"/>
      <w:marLeft w:val="0"/>
      <w:marRight w:val="0"/>
      <w:marTop w:val="0"/>
      <w:marBottom w:val="0"/>
      <w:divBdr>
        <w:top w:val="none" w:sz="0" w:space="0" w:color="auto"/>
        <w:left w:val="none" w:sz="0" w:space="0" w:color="auto"/>
        <w:bottom w:val="none" w:sz="0" w:space="0" w:color="auto"/>
        <w:right w:val="none" w:sz="0" w:space="0" w:color="auto"/>
      </w:divBdr>
    </w:div>
    <w:div w:id="1355115145">
      <w:bodyDiv w:val="1"/>
      <w:marLeft w:val="0"/>
      <w:marRight w:val="0"/>
      <w:marTop w:val="0"/>
      <w:marBottom w:val="0"/>
      <w:divBdr>
        <w:top w:val="none" w:sz="0" w:space="0" w:color="auto"/>
        <w:left w:val="none" w:sz="0" w:space="0" w:color="auto"/>
        <w:bottom w:val="none" w:sz="0" w:space="0" w:color="auto"/>
        <w:right w:val="none" w:sz="0" w:space="0" w:color="auto"/>
      </w:divBdr>
    </w:div>
    <w:div w:id="1355153411">
      <w:bodyDiv w:val="1"/>
      <w:marLeft w:val="0"/>
      <w:marRight w:val="0"/>
      <w:marTop w:val="0"/>
      <w:marBottom w:val="0"/>
      <w:divBdr>
        <w:top w:val="none" w:sz="0" w:space="0" w:color="auto"/>
        <w:left w:val="none" w:sz="0" w:space="0" w:color="auto"/>
        <w:bottom w:val="none" w:sz="0" w:space="0" w:color="auto"/>
        <w:right w:val="none" w:sz="0" w:space="0" w:color="auto"/>
      </w:divBdr>
    </w:div>
    <w:div w:id="1355156194">
      <w:bodyDiv w:val="1"/>
      <w:marLeft w:val="0"/>
      <w:marRight w:val="0"/>
      <w:marTop w:val="0"/>
      <w:marBottom w:val="0"/>
      <w:divBdr>
        <w:top w:val="none" w:sz="0" w:space="0" w:color="auto"/>
        <w:left w:val="none" w:sz="0" w:space="0" w:color="auto"/>
        <w:bottom w:val="none" w:sz="0" w:space="0" w:color="auto"/>
        <w:right w:val="none" w:sz="0" w:space="0" w:color="auto"/>
      </w:divBdr>
    </w:div>
    <w:div w:id="1355183363">
      <w:bodyDiv w:val="1"/>
      <w:marLeft w:val="0"/>
      <w:marRight w:val="0"/>
      <w:marTop w:val="0"/>
      <w:marBottom w:val="0"/>
      <w:divBdr>
        <w:top w:val="none" w:sz="0" w:space="0" w:color="auto"/>
        <w:left w:val="none" w:sz="0" w:space="0" w:color="auto"/>
        <w:bottom w:val="none" w:sz="0" w:space="0" w:color="auto"/>
        <w:right w:val="none" w:sz="0" w:space="0" w:color="auto"/>
      </w:divBdr>
    </w:div>
    <w:div w:id="1355615326">
      <w:bodyDiv w:val="1"/>
      <w:marLeft w:val="0"/>
      <w:marRight w:val="0"/>
      <w:marTop w:val="0"/>
      <w:marBottom w:val="0"/>
      <w:divBdr>
        <w:top w:val="none" w:sz="0" w:space="0" w:color="auto"/>
        <w:left w:val="none" w:sz="0" w:space="0" w:color="auto"/>
        <w:bottom w:val="none" w:sz="0" w:space="0" w:color="auto"/>
        <w:right w:val="none" w:sz="0" w:space="0" w:color="auto"/>
      </w:divBdr>
    </w:div>
    <w:div w:id="1355615468">
      <w:bodyDiv w:val="1"/>
      <w:marLeft w:val="0"/>
      <w:marRight w:val="0"/>
      <w:marTop w:val="0"/>
      <w:marBottom w:val="0"/>
      <w:divBdr>
        <w:top w:val="none" w:sz="0" w:space="0" w:color="auto"/>
        <w:left w:val="none" w:sz="0" w:space="0" w:color="auto"/>
        <w:bottom w:val="none" w:sz="0" w:space="0" w:color="auto"/>
        <w:right w:val="none" w:sz="0" w:space="0" w:color="auto"/>
      </w:divBdr>
    </w:div>
    <w:div w:id="1355618555">
      <w:bodyDiv w:val="1"/>
      <w:marLeft w:val="0"/>
      <w:marRight w:val="0"/>
      <w:marTop w:val="0"/>
      <w:marBottom w:val="0"/>
      <w:divBdr>
        <w:top w:val="none" w:sz="0" w:space="0" w:color="auto"/>
        <w:left w:val="none" w:sz="0" w:space="0" w:color="auto"/>
        <w:bottom w:val="none" w:sz="0" w:space="0" w:color="auto"/>
        <w:right w:val="none" w:sz="0" w:space="0" w:color="auto"/>
      </w:divBdr>
    </w:div>
    <w:div w:id="1355808867">
      <w:bodyDiv w:val="1"/>
      <w:marLeft w:val="0"/>
      <w:marRight w:val="0"/>
      <w:marTop w:val="0"/>
      <w:marBottom w:val="0"/>
      <w:divBdr>
        <w:top w:val="none" w:sz="0" w:space="0" w:color="auto"/>
        <w:left w:val="none" w:sz="0" w:space="0" w:color="auto"/>
        <w:bottom w:val="none" w:sz="0" w:space="0" w:color="auto"/>
        <w:right w:val="none" w:sz="0" w:space="0" w:color="auto"/>
      </w:divBdr>
    </w:div>
    <w:div w:id="1355814109">
      <w:bodyDiv w:val="1"/>
      <w:marLeft w:val="0"/>
      <w:marRight w:val="0"/>
      <w:marTop w:val="0"/>
      <w:marBottom w:val="0"/>
      <w:divBdr>
        <w:top w:val="none" w:sz="0" w:space="0" w:color="auto"/>
        <w:left w:val="none" w:sz="0" w:space="0" w:color="auto"/>
        <w:bottom w:val="none" w:sz="0" w:space="0" w:color="auto"/>
        <w:right w:val="none" w:sz="0" w:space="0" w:color="auto"/>
      </w:divBdr>
    </w:div>
    <w:div w:id="1356154600">
      <w:bodyDiv w:val="1"/>
      <w:marLeft w:val="0"/>
      <w:marRight w:val="0"/>
      <w:marTop w:val="0"/>
      <w:marBottom w:val="0"/>
      <w:divBdr>
        <w:top w:val="none" w:sz="0" w:space="0" w:color="auto"/>
        <w:left w:val="none" w:sz="0" w:space="0" w:color="auto"/>
        <w:bottom w:val="none" w:sz="0" w:space="0" w:color="auto"/>
        <w:right w:val="none" w:sz="0" w:space="0" w:color="auto"/>
      </w:divBdr>
    </w:div>
    <w:div w:id="1356272553">
      <w:bodyDiv w:val="1"/>
      <w:marLeft w:val="0"/>
      <w:marRight w:val="0"/>
      <w:marTop w:val="0"/>
      <w:marBottom w:val="0"/>
      <w:divBdr>
        <w:top w:val="none" w:sz="0" w:space="0" w:color="auto"/>
        <w:left w:val="none" w:sz="0" w:space="0" w:color="auto"/>
        <w:bottom w:val="none" w:sz="0" w:space="0" w:color="auto"/>
        <w:right w:val="none" w:sz="0" w:space="0" w:color="auto"/>
      </w:divBdr>
    </w:div>
    <w:div w:id="1356495281">
      <w:bodyDiv w:val="1"/>
      <w:marLeft w:val="0"/>
      <w:marRight w:val="0"/>
      <w:marTop w:val="0"/>
      <w:marBottom w:val="0"/>
      <w:divBdr>
        <w:top w:val="none" w:sz="0" w:space="0" w:color="auto"/>
        <w:left w:val="none" w:sz="0" w:space="0" w:color="auto"/>
        <w:bottom w:val="none" w:sz="0" w:space="0" w:color="auto"/>
        <w:right w:val="none" w:sz="0" w:space="0" w:color="auto"/>
      </w:divBdr>
    </w:div>
    <w:div w:id="1356617075">
      <w:bodyDiv w:val="1"/>
      <w:marLeft w:val="0"/>
      <w:marRight w:val="0"/>
      <w:marTop w:val="0"/>
      <w:marBottom w:val="0"/>
      <w:divBdr>
        <w:top w:val="none" w:sz="0" w:space="0" w:color="auto"/>
        <w:left w:val="none" w:sz="0" w:space="0" w:color="auto"/>
        <w:bottom w:val="none" w:sz="0" w:space="0" w:color="auto"/>
        <w:right w:val="none" w:sz="0" w:space="0" w:color="auto"/>
      </w:divBdr>
    </w:div>
    <w:div w:id="1356693369">
      <w:bodyDiv w:val="1"/>
      <w:marLeft w:val="0"/>
      <w:marRight w:val="0"/>
      <w:marTop w:val="0"/>
      <w:marBottom w:val="0"/>
      <w:divBdr>
        <w:top w:val="none" w:sz="0" w:space="0" w:color="auto"/>
        <w:left w:val="none" w:sz="0" w:space="0" w:color="auto"/>
        <w:bottom w:val="none" w:sz="0" w:space="0" w:color="auto"/>
        <w:right w:val="none" w:sz="0" w:space="0" w:color="auto"/>
      </w:divBdr>
    </w:div>
    <w:div w:id="1356804799">
      <w:bodyDiv w:val="1"/>
      <w:marLeft w:val="0"/>
      <w:marRight w:val="0"/>
      <w:marTop w:val="0"/>
      <w:marBottom w:val="0"/>
      <w:divBdr>
        <w:top w:val="none" w:sz="0" w:space="0" w:color="auto"/>
        <w:left w:val="none" w:sz="0" w:space="0" w:color="auto"/>
        <w:bottom w:val="none" w:sz="0" w:space="0" w:color="auto"/>
        <w:right w:val="none" w:sz="0" w:space="0" w:color="auto"/>
      </w:divBdr>
    </w:div>
    <w:div w:id="1356806797">
      <w:bodyDiv w:val="1"/>
      <w:marLeft w:val="0"/>
      <w:marRight w:val="0"/>
      <w:marTop w:val="0"/>
      <w:marBottom w:val="0"/>
      <w:divBdr>
        <w:top w:val="none" w:sz="0" w:space="0" w:color="auto"/>
        <w:left w:val="none" w:sz="0" w:space="0" w:color="auto"/>
        <w:bottom w:val="none" w:sz="0" w:space="0" w:color="auto"/>
        <w:right w:val="none" w:sz="0" w:space="0" w:color="auto"/>
      </w:divBdr>
    </w:div>
    <w:div w:id="1356929023">
      <w:bodyDiv w:val="1"/>
      <w:marLeft w:val="0"/>
      <w:marRight w:val="0"/>
      <w:marTop w:val="0"/>
      <w:marBottom w:val="0"/>
      <w:divBdr>
        <w:top w:val="none" w:sz="0" w:space="0" w:color="auto"/>
        <w:left w:val="none" w:sz="0" w:space="0" w:color="auto"/>
        <w:bottom w:val="none" w:sz="0" w:space="0" w:color="auto"/>
        <w:right w:val="none" w:sz="0" w:space="0" w:color="auto"/>
      </w:divBdr>
    </w:div>
    <w:div w:id="1357076748">
      <w:bodyDiv w:val="1"/>
      <w:marLeft w:val="0"/>
      <w:marRight w:val="0"/>
      <w:marTop w:val="0"/>
      <w:marBottom w:val="0"/>
      <w:divBdr>
        <w:top w:val="none" w:sz="0" w:space="0" w:color="auto"/>
        <w:left w:val="none" w:sz="0" w:space="0" w:color="auto"/>
        <w:bottom w:val="none" w:sz="0" w:space="0" w:color="auto"/>
        <w:right w:val="none" w:sz="0" w:space="0" w:color="auto"/>
      </w:divBdr>
    </w:div>
    <w:div w:id="1357194388">
      <w:bodyDiv w:val="1"/>
      <w:marLeft w:val="0"/>
      <w:marRight w:val="0"/>
      <w:marTop w:val="0"/>
      <w:marBottom w:val="0"/>
      <w:divBdr>
        <w:top w:val="none" w:sz="0" w:space="0" w:color="auto"/>
        <w:left w:val="none" w:sz="0" w:space="0" w:color="auto"/>
        <w:bottom w:val="none" w:sz="0" w:space="0" w:color="auto"/>
        <w:right w:val="none" w:sz="0" w:space="0" w:color="auto"/>
      </w:divBdr>
    </w:div>
    <w:div w:id="1357195294">
      <w:bodyDiv w:val="1"/>
      <w:marLeft w:val="0"/>
      <w:marRight w:val="0"/>
      <w:marTop w:val="0"/>
      <w:marBottom w:val="0"/>
      <w:divBdr>
        <w:top w:val="none" w:sz="0" w:space="0" w:color="auto"/>
        <w:left w:val="none" w:sz="0" w:space="0" w:color="auto"/>
        <w:bottom w:val="none" w:sz="0" w:space="0" w:color="auto"/>
        <w:right w:val="none" w:sz="0" w:space="0" w:color="auto"/>
      </w:divBdr>
    </w:div>
    <w:div w:id="1357197629">
      <w:bodyDiv w:val="1"/>
      <w:marLeft w:val="0"/>
      <w:marRight w:val="0"/>
      <w:marTop w:val="0"/>
      <w:marBottom w:val="0"/>
      <w:divBdr>
        <w:top w:val="none" w:sz="0" w:space="0" w:color="auto"/>
        <w:left w:val="none" w:sz="0" w:space="0" w:color="auto"/>
        <w:bottom w:val="none" w:sz="0" w:space="0" w:color="auto"/>
        <w:right w:val="none" w:sz="0" w:space="0" w:color="auto"/>
      </w:divBdr>
    </w:div>
    <w:div w:id="1357199642">
      <w:bodyDiv w:val="1"/>
      <w:marLeft w:val="0"/>
      <w:marRight w:val="0"/>
      <w:marTop w:val="0"/>
      <w:marBottom w:val="0"/>
      <w:divBdr>
        <w:top w:val="none" w:sz="0" w:space="0" w:color="auto"/>
        <w:left w:val="none" w:sz="0" w:space="0" w:color="auto"/>
        <w:bottom w:val="none" w:sz="0" w:space="0" w:color="auto"/>
        <w:right w:val="none" w:sz="0" w:space="0" w:color="auto"/>
      </w:divBdr>
    </w:div>
    <w:div w:id="1357461062">
      <w:bodyDiv w:val="1"/>
      <w:marLeft w:val="0"/>
      <w:marRight w:val="0"/>
      <w:marTop w:val="0"/>
      <w:marBottom w:val="0"/>
      <w:divBdr>
        <w:top w:val="none" w:sz="0" w:space="0" w:color="auto"/>
        <w:left w:val="none" w:sz="0" w:space="0" w:color="auto"/>
        <w:bottom w:val="none" w:sz="0" w:space="0" w:color="auto"/>
        <w:right w:val="none" w:sz="0" w:space="0" w:color="auto"/>
      </w:divBdr>
    </w:div>
    <w:div w:id="1357581352">
      <w:bodyDiv w:val="1"/>
      <w:marLeft w:val="0"/>
      <w:marRight w:val="0"/>
      <w:marTop w:val="0"/>
      <w:marBottom w:val="0"/>
      <w:divBdr>
        <w:top w:val="none" w:sz="0" w:space="0" w:color="auto"/>
        <w:left w:val="none" w:sz="0" w:space="0" w:color="auto"/>
        <w:bottom w:val="none" w:sz="0" w:space="0" w:color="auto"/>
        <w:right w:val="none" w:sz="0" w:space="0" w:color="auto"/>
      </w:divBdr>
    </w:div>
    <w:div w:id="1357659904">
      <w:bodyDiv w:val="1"/>
      <w:marLeft w:val="0"/>
      <w:marRight w:val="0"/>
      <w:marTop w:val="0"/>
      <w:marBottom w:val="0"/>
      <w:divBdr>
        <w:top w:val="none" w:sz="0" w:space="0" w:color="auto"/>
        <w:left w:val="none" w:sz="0" w:space="0" w:color="auto"/>
        <w:bottom w:val="none" w:sz="0" w:space="0" w:color="auto"/>
        <w:right w:val="none" w:sz="0" w:space="0" w:color="auto"/>
      </w:divBdr>
    </w:div>
    <w:div w:id="1357850759">
      <w:bodyDiv w:val="1"/>
      <w:marLeft w:val="0"/>
      <w:marRight w:val="0"/>
      <w:marTop w:val="0"/>
      <w:marBottom w:val="0"/>
      <w:divBdr>
        <w:top w:val="none" w:sz="0" w:space="0" w:color="auto"/>
        <w:left w:val="none" w:sz="0" w:space="0" w:color="auto"/>
        <w:bottom w:val="none" w:sz="0" w:space="0" w:color="auto"/>
        <w:right w:val="none" w:sz="0" w:space="0" w:color="auto"/>
      </w:divBdr>
    </w:div>
    <w:div w:id="1357853635">
      <w:bodyDiv w:val="1"/>
      <w:marLeft w:val="0"/>
      <w:marRight w:val="0"/>
      <w:marTop w:val="0"/>
      <w:marBottom w:val="0"/>
      <w:divBdr>
        <w:top w:val="none" w:sz="0" w:space="0" w:color="auto"/>
        <w:left w:val="none" w:sz="0" w:space="0" w:color="auto"/>
        <w:bottom w:val="none" w:sz="0" w:space="0" w:color="auto"/>
        <w:right w:val="none" w:sz="0" w:space="0" w:color="auto"/>
      </w:divBdr>
    </w:div>
    <w:div w:id="1357997426">
      <w:bodyDiv w:val="1"/>
      <w:marLeft w:val="0"/>
      <w:marRight w:val="0"/>
      <w:marTop w:val="0"/>
      <w:marBottom w:val="0"/>
      <w:divBdr>
        <w:top w:val="none" w:sz="0" w:space="0" w:color="auto"/>
        <w:left w:val="none" w:sz="0" w:space="0" w:color="auto"/>
        <w:bottom w:val="none" w:sz="0" w:space="0" w:color="auto"/>
        <w:right w:val="none" w:sz="0" w:space="0" w:color="auto"/>
      </w:divBdr>
    </w:div>
    <w:div w:id="1358047396">
      <w:bodyDiv w:val="1"/>
      <w:marLeft w:val="0"/>
      <w:marRight w:val="0"/>
      <w:marTop w:val="0"/>
      <w:marBottom w:val="0"/>
      <w:divBdr>
        <w:top w:val="none" w:sz="0" w:space="0" w:color="auto"/>
        <w:left w:val="none" w:sz="0" w:space="0" w:color="auto"/>
        <w:bottom w:val="none" w:sz="0" w:space="0" w:color="auto"/>
        <w:right w:val="none" w:sz="0" w:space="0" w:color="auto"/>
      </w:divBdr>
    </w:div>
    <w:div w:id="1358191957">
      <w:bodyDiv w:val="1"/>
      <w:marLeft w:val="0"/>
      <w:marRight w:val="0"/>
      <w:marTop w:val="0"/>
      <w:marBottom w:val="0"/>
      <w:divBdr>
        <w:top w:val="none" w:sz="0" w:space="0" w:color="auto"/>
        <w:left w:val="none" w:sz="0" w:space="0" w:color="auto"/>
        <w:bottom w:val="none" w:sz="0" w:space="0" w:color="auto"/>
        <w:right w:val="none" w:sz="0" w:space="0" w:color="auto"/>
      </w:divBdr>
    </w:div>
    <w:div w:id="1358234895">
      <w:bodyDiv w:val="1"/>
      <w:marLeft w:val="0"/>
      <w:marRight w:val="0"/>
      <w:marTop w:val="0"/>
      <w:marBottom w:val="0"/>
      <w:divBdr>
        <w:top w:val="none" w:sz="0" w:space="0" w:color="auto"/>
        <w:left w:val="none" w:sz="0" w:space="0" w:color="auto"/>
        <w:bottom w:val="none" w:sz="0" w:space="0" w:color="auto"/>
        <w:right w:val="none" w:sz="0" w:space="0" w:color="auto"/>
      </w:divBdr>
    </w:div>
    <w:div w:id="1358238933">
      <w:bodyDiv w:val="1"/>
      <w:marLeft w:val="0"/>
      <w:marRight w:val="0"/>
      <w:marTop w:val="0"/>
      <w:marBottom w:val="0"/>
      <w:divBdr>
        <w:top w:val="none" w:sz="0" w:space="0" w:color="auto"/>
        <w:left w:val="none" w:sz="0" w:space="0" w:color="auto"/>
        <w:bottom w:val="none" w:sz="0" w:space="0" w:color="auto"/>
        <w:right w:val="none" w:sz="0" w:space="0" w:color="auto"/>
      </w:divBdr>
    </w:div>
    <w:div w:id="1358307728">
      <w:bodyDiv w:val="1"/>
      <w:marLeft w:val="0"/>
      <w:marRight w:val="0"/>
      <w:marTop w:val="0"/>
      <w:marBottom w:val="0"/>
      <w:divBdr>
        <w:top w:val="none" w:sz="0" w:space="0" w:color="auto"/>
        <w:left w:val="none" w:sz="0" w:space="0" w:color="auto"/>
        <w:bottom w:val="none" w:sz="0" w:space="0" w:color="auto"/>
        <w:right w:val="none" w:sz="0" w:space="0" w:color="auto"/>
      </w:divBdr>
    </w:div>
    <w:div w:id="1358576789">
      <w:bodyDiv w:val="1"/>
      <w:marLeft w:val="0"/>
      <w:marRight w:val="0"/>
      <w:marTop w:val="0"/>
      <w:marBottom w:val="0"/>
      <w:divBdr>
        <w:top w:val="none" w:sz="0" w:space="0" w:color="auto"/>
        <w:left w:val="none" w:sz="0" w:space="0" w:color="auto"/>
        <w:bottom w:val="none" w:sz="0" w:space="0" w:color="auto"/>
        <w:right w:val="none" w:sz="0" w:space="0" w:color="auto"/>
      </w:divBdr>
    </w:div>
    <w:div w:id="1358695848">
      <w:bodyDiv w:val="1"/>
      <w:marLeft w:val="0"/>
      <w:marRight w:val="0"/>
      <w:marTop w:val="0"/>
      <w:marBottom w:val="0"/>
      <w:divBdr>
        <w:top w:val="none" w:sz="0" w:space="0" w:color="auto"/>
        <w:left w:val="none" w:sz="0" w:space="0" w:color="auto"/>
        <w:bottom w:val="none" w:sz="0" w:space="0" w:color="auto"/>
        <w:right w:val="none" w:sz="0" w:space="0" w:color="auto"/>
      </w:divBdr>
    </w:div>
    <w:div w:id="1358696625">
      <w:bodyDiv w:val="1"/>
      <w:marLeft w:val="0"/>
      <w:marRight w:val="0"/>
      <w:marTop w:val="0"/>
      <w:marBottom w:val="0"/>
      <w:divBdr>
        <w:top w:val="none" w:sz="0" w:space="0" w:color="auto"/>
        <w:left w:val="none" w:sz="0" w:space="0" w:color="auto"/>
        <w:bottom w:val="none" w:sz="0" w:space="0" w:color="auto"/>
        <w:right w:val="none" w:sz="0" w:space="0" w:color="auto"/>
      </w:divBdr>
    </w:div>
    <w:div w:id="1358697617">
      <w:bodyDiv w:val="1"/>
      <w:marLeft w:val="0"/>
      <w:marRight w:val="0"/>
      <w:marTop w:val="0"/>
      <w:marBottom w:val="0"/>
      <w:divBdr>
        <w:top w:val="none" w:sz="0" w:space="0" w:color="auto"/>
        <w:left w:val="none" w:sz="0" w:space="0" w:color="auto"/>
        <w:bottom w:val="none" w:sz="0" w:space="0" w:color="auto"/>
        <w:right w:val="none" w:sz="0" w:space="0" w:color="auto"/>
      </w:divBdr>
    </w:div>
    <w:div w:id="1359044348">
      <w:bodyDiv w:val="1"/>
      <w:marLeft w:val="0"/>
      <w:marRight w:val="0"/>
      <w:marTop w:val="0"/>
      <w:marBottom w:val="0"/>
      <w:divBdr>
        <w:top w:val="none" w:sz="0" w:space="0" w:color="auto"/>
        <w:left w:val="none" w:sz="0" w:space="0" w:color="auto"/>
        <w:bottom w:val="none" w:sz="0" w:space="0" w:color="auto"/>
        <w:right w:val="none" w:sz="0" w:space="0" w:color="auto"/>
      </w:divBdr>
    </w:div>
    <w:div w:id="1359045418">
      <w:bodyDiv w:val="1"/>
      <w:marLeft w:val="0"/>
      <w:marRight w:val="0"/>
      <w:marTop w:val="0"/>
      <w:marBottom w:val="0"/>
      <w:divBdr>
        <w:top w:val="none" w:sz="0" w:space="0" w:color="auto"/>
        <w:left w:val="none" w:sz="0" w:space="0" w:color="auto"/>
        <w:bottom w:val="none" w:sz="0" w:space="0" w:color="auto"/>
        <w:right w:val="none" w:sz="0" w:space="0" w:color="auto"/>
      </w:divBdr>
    </w:div>
    <w:div w:id="1359240185">
      <w:bodyDiv w:val="1"/>
      <w:marLeft w:val="0"/>
      <w:marRight w:val="0"/>
      <w:marTop w:val="0"/>
      <w:marBottom w:val="0"/>
      <w:divBdr>
        <w:top w:val="none" w:sz="0" w:space="0" w:color="auto"/>
        <w:left w:val="none" w:sz="0" w:space="0" w:color="auto"/>
        <w:bottom w:val="none" w:sz="0" w:space="0" w:color="auto"/>
        <w:right w:val="none" w:sz="0" w:space="0" w:color="auto"/>
      </w:divBdr>
    </w:div>
    <w:div w:id="1359313751">
      <w:bodyDiv w:val="1"/>
      <w:marLeft w:val="0"/>
      <w:marRight w:val="0"/>
      <w:marTop w:val="0"/>
      <w:marBottom w:val="0"/>
      <w:divBdr>
        <w:top w:val="none" w:sz="0" w:space="0" w:color="auto"/>
        <w:left w:val="none" w:sz="0" w:space="0" w:color="auto"/>
        <w:bottom w:val="none" w:sz="0" w:space="0" w:color="auto"/>
        <w:right w:val="none" w:sz="0" w:space="0" w:color="auto"/>
      </w:divBdr>
    </w:div>
    <w:div w:id="1359352558">
      <w:bodyDiv w:val="1"/>
      <w:marLeft w:val="0"/>
      <w:marRight w:val="0"/>
      <w:marTop w:val="0"/>
      <w:marBottom w:val="0"/>
      <w:divBdr>
        <w:top w:val="none" w:sz="0" w:space="0" w:color="auto"/>
        <w:left w:val="none" w:sz="0" w:space="0" w:color="auto"/>
        <w:bottom w:val="none" w:sz="0" w:space="0" w:color="auto"/>
        <w:right w:val="none" w:sz="0" w:space="0" w:color="auto"/>
      </w:divBdr>
    </w:div>
    <w:div w:id="1359429545">
      <w:bodyDiv w:val="1"/>
      <w:marLeft w:val="0"/>
      <w:marRight w:val="0"/>
      <w:marTop w:val="0"/>
      <w:marBottom w:val="0"/>
      <w:divBdr>
        <w:top w:val="none" w:sz="0" w:space="0" w:color="auto"/>
        <w:left w:val="none" w:sz="0" w:space="0" w:color="auto"/>
        <w:bottom w:val="none" w:sz="0" w:space="0" w:color="auto"/>
        <w:right w:val="none" w:sz="0" w:space="0" w:color="auto"/>
      </w:divBdr>
    </w:div>
    <w:div w:id="1359694354">
      <w:bodyDiv w:val="1"/>
      <w:marLeft w:val="0"/>
      <w:marRight w:val="0"/>
      <w:marTop w:val="0"/>
      <w:marBottom w:val="0"/>
      <w:divBdr>
        <w:top w:val="none" w:sz="0" w:space="0" w:color="auto"/>
        <w:left w:val="none" w:sz="0" w:space="0" w:color="auto"/>
        <w:bottom w:val="none" w:sz="0" w:space="0" w:color="auto"/>
        <w:right w:val="none" w:sz="0" w:space="0" w:color="auto"/>
      </w:divBdr>
    </w:div>
    <w:div w:id="1359892259">
      <w:bodyDiv w:val="1"/>
      <w:marLeft w:val="0"/>
      <w:marRight w:val="0"/>
      <w:marTop w:val="0"/>
      <w:marBottom w:val="0"/>
      <w:divBdr>
        <w:top w:val="none" w:sz="0" w:space="0" w:color="auto"/>
        <w:left w:val="none" w:sz="0" w:space="0" w:color="auto"/>
        <w:bottom w:val="none" w:sz="0" w:space="0" w:color="auto"/>
        <w:right w:val="none" w:sz="0" w:space="0" w:color="auto"/>
      </w:divBdr>
    </w:div>
    <w:div w:id="1360157688">
      <w:bodyDiv w:val="1"/>
      <w:marLeft w:val="0"/>
      <w:marRight w:val="0"/>
      <w:marTop w:val="0"/>
      <w:marBottom w:val="0"/>
      <w:divBdr>
        <w:top w:val="none" w:sz="0" w:space="0" w:color="auto"/>
        <w:left w:val="none" w:sz="0" w:space="0" w:color="auto"/>
        <w:bottom w:val="none" w:sz="0" w:space="0" w:color="auto"/>
        <w:right w:val="none" w:sz="0" w:space="0" w:color="auto"/>
      </w:divBdr>
    </w:div>
    <w:div w:id="1360274767">
      <w:bodyDiv w:val="1"/>
      <w:marLeft w:val="0"/>
      <w:marRight w:val="0"/>
      <w:marTop w:val="0"/>
      <w:marBottom w:val="0"/>
      <w:divBdr>
        <w:top w:val="none" w:sz="0" w:space="0" w:color="auto"/>
        <w:left w:val="none" w:sz="0" w:space="0" w:color="auto"/>
        <w:bottom w:val="none" w:sz="0" w:space="0" w:color="auto"/>
        <w:right w:val="none" w:sz="0" w:space="0" w:color="auto"/>
      </w:divBdr>
    </w:div>
    <w:div w:id="1360279439">
      <w:bodyDiv w:val="1"/>
      <w:marLeft w:val="0"/>
      <w:marRight w:val="0"/>
      <w:marTop w:val="0"/>
      <w:marBottom w:val="0"/>
      <w:divBdr>
        <w:top w:val="none" w:sz="0" w:space="0" w:color="auto"/>
        <w:left w:val="none" w:sz="0" w:space="0" w:color="auto"/>
        <w:bottom w:val="none" w:sz="0" w:space="0" w:color="auto"/>
        <w:right w:val="none" w:sz="0" w:space="0" w:color="auto"/>
      </w:divBdr>
    </w:div>
    <w:div w:id="1360353406">
      <w:bodyDiv w:val="1"/>
      <w:marLeft w:val="0"/>
      <w:marRight w:val="0"/>
      <w:marTop w:val="0"/>
      <w:marBottom w:val="0"/>
      <w:divBdr>
        <w:top w:val="none" w:sz="0" w:space="0" w:color="auto"/>
        <w:left w:val="none" w:sz="0" w:space="0" w:color="auto"/>
        <w:bottom w:val="none" w:sz="0" w:space="0" w:color="auto"/>
        <w:right w:val="none" w:sz="0" w:space="0" w:color="auto"/>
      </w:divBdr>
    </w:div>
    <w:div w:id="1360469290">
      <w:bodyDiv w:val="1"/>
      <w:marLeft w:val="0"/>
      <w:marRight w:val="0"/>
      <w:marTop w:val="0"/>
      <w:marBottom w:val="0"/>
      <w:divBdr>
        <w:top w:val="none" w:sz="0" w:space="0" w:color="auto"/>
        <w:left w:val="none" w:sz="0" w:space="0" w:color="auto"/>
        <w:bottom w:val="none" w:sz="0" w:space="0" w:color="auto"/>
        <w:right w:val="none" w:sz="0" w:space="0" w:color="auto"/>
      </w:divBdr>
    </w:div>
    <w:div w:id="1360545633">
      <w:bodyDiv w:val="1"/>
      <w:marLeft w:val="0"/>
      <w:marRight w:val="0"/>
      <w:marTop w:val="0"/>
      <w:marBottom w:val="0"/>
      <w:divBdr>
        <w:top w:val="none" w:sz="0" w:space="0" w:color="auto"/>
        <w:left w:val="none" w:sz="0" w:space="0" w:color="auto"/>
        <w:bottom w:val="none" w:sz="0" w:space="0" w:color="auto"/>
        <w:right w:val="none" w:sz="0" w:space="0" w:color="auto"/>
      </w:divBdr>
    </w:div>
    <w:div w:id="1360739674">
      <w:bodyDiv w:val="1"/>
      <w:marLeft w:val="0"/>
      <w:marRight w:val="0"/>
      <w:marTop w:val="0"/>
      <w:marBottom w:val="0"/>
      <w:divBdr>
        <w:top w:val="none" w:sz="0" w:space="0" w:color="auto"/>
        <w:left w:val="none" w:sz="0" w:space="0" w:color="auto"/>
        <w:bottom w:val="none" w:sz="0" w:space="0" w:color="auto"/>
        <w:right w:val="none" w:sz="0" w:space="0" w:color="auto"/>
      </w:divBdr>
    </w:div>
    <w:div w:id="1360859641">
      <w:bodyDiv w:val="1"/>
      <w:marLeft w:val="0"/>
      <w:marRight w:val="0"/>
      <w:marTop w:val="0"/>
      <w:marBottom w:val="0"/>
      <w:divBdr>
        <w:top w:val="none" w:sz="0" w:space="0" w:color="auto"/>
        <w:left w:val="none" w:sz="0" w:space="0" w:color="auto"/>
        <w:bottom w:val="none" w:sz="0" w:space="0" w:color="auto"/>
        <w:right w:val="none" w:sz="0" w:space="0" w:color="auto"/>
      </w:divBdr>
    </w:div>
    <w:div w:id="1360861087">
      <w:bodyDiv w:val="1"/>
      <w:marLeft w:val="0"/>
      <w:marRight w:val="0"/>
      <w:marTop w:val="0"/>
      <w:marBottom w:val="0"/>
      <w:divBdr>
        <w:top w:val="none" w:sz="0" w:space="0" w:color="auto"/>
        <w:left w:val="none" w:sz="0" w:space="0" w:color="auto"/>
        <w:bottom w:val="none" w:sz="0" w:space="0" w:color="auto"/>
        <w:right w:val="none" w:sz="0" w:space="0" w:color="auto"/>
      </w:divBdr>
    </w:div>
    <w:div w:id="1360937264">
      <w:bodyDiv w:val="1"/>
      <w:marLeft w:val="0"/>
      <w:marRight w:val="0"/>
      <w:marTop w:val="0"/>
      <w:marBottom w:val="0"/>
      <w:divBdr>
        <w:top w:val="none" w:sz="0" w:space="0" w:color="auto"/>
        <w:left w:val="none" w:sz="0" w:space="0" w:color="auto"/>
        <w:bottom w:val="none" w:sz="0" w:space="0" w:color="auto"/>
        <w:right w:val="none" w:sz="0" w:space="0" w:color="auto"/>
      </w:divBdr>
    </w:div>
    <w:div w:id="1360937695">
      <w:bodyDiv w:val="1"/>
      <w:marLeft w:val="0"/>
      <w:marRight w:val="0"/>
      <w:marTop w:val="0"/>
      <w:marBottom w:val="0"/>
      <w:divBdr>
        <w:top w:val="none" w:sz="0" w:space="0" w:color="auto"/>
        <w:left w:val="none" w:sz="0" w:space="0" w:color="auto"/>
        <w:bottom w:val="none" w:sz="0" w:space="0" w:color="auto"/>
        <w:right w:val="none" w:sz="0" w:space="0" w:color="auto"/>
      </w:divBdr>
    </w:div>
    <w:div w:id="1361129101">
      <w:bodyDiv w:val="1"/>
      <w:marLeft w:val="0"/>
      <w:marRight w:val="0"/>
      <w:marTop w:val="0"/>
      <w:marBottom w:val="0"/>
      <w:divBdr>
        <w:top w:val="none" w:sz="0" w:space="0" w:color="auto"/>
        <w:left w:val="none" w:sz="0" w:space="0" w:color="auto"/>
        <w:bottom w:val="none" w:sz="0" w:space="0" w:color="auto"/>
        <w:right w:val="none" w:sz="0" w:space="0" w:color="auto"/>
      </w:divBdr>
    </w:div>
    <w:div w:id="1361200539">
      <w:bodyDiv w:val="1"/>
      <w:marLeft w:val="0"/>
      <w:marRight w:val="0"/>
      <w:marTop w:val="0"/>
      <w:marBottom w:val="0"/>
      <w:divBdr>
        <w:top w:val="none" w:sz="0" w:space="0" w:color="auto"/>
        <w:left w:val="none" w:sz="0" w:space="0" w:color="auto"/>
        <w:bottom w:val="none" w:sz="0" w:space="0" w:color="auto"/>
        <w:right w:val="none" w:sz="0" w:space="0" w:color="auto"/>
      </w:divBdr>
    </w:div>
    <w:div w:id="1361466367">
      <w:bodyDiv w:val="1"/>
      <w:marLeft w:val="0"/>
      <w:marRight w:val="0"/>
      <w:marTop w:val="0"/>
      <w:marBottom w:val="0"/>
      <w:divBdr>
        <w:top w:val="none" w:sz="0" w:space="0" w:color="auto"/>
        <w:left w:val="none" w:sz="0" w:space="0" w:color="auto"/>
        <w:bottom w:val="none" w:sz="0" w:space="0" w:color="auto"/>
        <w:right w:val="none" w:sz="0" w:space="0" w:color="auto"/>
      </w:divBdr>
    </w:div>
    <w:div w:id="1361466676">
      <w:bodyDiv w:val="1"/>
      <w:marLeft w:val="0"/>
      <w:marRight w:val="0"/>
      <w:marTop w:val="0"/>
      <w:marBottom w:val="0"/>
      <w:divBdr>
        <w:top w:val="none" w:sz="0" w:space="0" w:color="auto"/>
        <w:left w:val="none" w:sz="0" w:space="0" w:color="auto"/>
        <w:bottom w:val="none" w:sz="0" w:space="0" w:color="auto"/>
        <w:right w:val="none" w:sz="0" w:space="0" w:color="auto"/>
      </w:divBdr>
    </w:div>
    <w:div w:id="1361513487">
      <w:bodyDiv w:val="1"/>
      <w:marLeft w:val="0"/>
      <w:marRight w:val="0"/>
      <w:marTop w:val="0"/>
      <w:marBottom w:val="0"/>
      <w:divBdr>
        <w:top w:val="none" w:sz="0" w:space="0" w:color="auto"/>
        <w:left w:val="none" w:sz="0" w:space="0" w:color="auto"/>
        <w:bottom w:val="none" w:sz="0" w:space="0" w:color="auto"/>
        <w:right w:val="none" w:sz="0" w:space="0" w:color="auto"/>
      </w:divBdr>
    </w:div>
    <w:div w:id="1361589162">
      <w:bodyDiv w:val="1"/>
      <w:marLeft w:val="0"/>
      <w:marRight w:val="0"/>
      <w:marTop w:val="0"/>
      <w:marBottom w:val="0"/>
      <w:divBdr>
        <w:top w:val="none" w:sz="0" w:space="0" w:color="auto"/>
        <w:left w:val="none" w:sz="0" w:space="0" w:color="auto"/>
        <w:bottom w:val="none" w:sz="0" w:space="0" w:color="auto"/>
        <w:right w:val="none" w:sz="0" w:space="0" w:color="auto"/>
      </w:divBdr>
    </w:div>
    <w:div w:id="1361668570">
      <w:bodyDiv w:val="1"/>
      <w:marLeft w:val="0"/>
      <w:marRight w:val="0"/>
      <w:marTop w:val="0"/>
      <w:marBottom w:val="0"/>
      <w:divBdr>
        <w:top w:val="none" w:sz="0" w:space="0" w:color="auto"/>
        <w:left w:val="none" w:sz="0" w:space="0" w:color="auto"/>
        <w:bottom w:val="none" w:sz="0" w:space="0" w:color="auto"/>
        <w:right w:val="none" w:sz="0" w:space="0" w:color="auto"/>
      </w:divBdr>
    </w:div>
    <w:div w:id="1361707073">
      <w:bodyDiv w:val="1"/>
      <w:marLeft w:val="0"/>
      <w:marRight w:val="0"/>
      <w:marTop w:val="0"/>
      <w:marBottom w:val="0"/>
      <w:divBdr>
        <w:top w:val="none" w:sz="0" w:space="0" w:color="auto"/>
        <w:left w:val="none" w:sz="0" w:space="0" w:color="auto"/>
        <w:bottom w:val="none" w:sz="0" w:space="0" w:color="auto"/>
        <w:right w:val="none" w:sz="0" w:space="0" w:color="auto"/>
      </w:divBdr>
    </w:div>
    <w:div w:id="1361932461">
      <w:bodyDiv w:val="1"/>
      <w:marLeft w:val="0"/>
      <w:marRight w:val="0"/>
      <w:marTop w:val="0"/>
      <w:marBottom w:val="0"/>
      <w:divBdr>
        <w:top w:val="none" w:sz="0" w:space="0" w:color="auto"/>
        <w:left w:val="none" w:sz="0" w:space="0" w:color="auto"/>
        <w:bottom w:val="none" w:sz="0" w:space="0" w:color="auto"/>
        <w:right w:val="none" w:sz="0" w:space="0" w:color="auto"/>
      </w:divBdr>
    </w:div>
    <w:div w:id="1361935038">
      <w:bodyDiv w:val="1"/>
      <w:marLeft w:val="0"/>
      <w:marRight w:val="0"/>
      <w:marTop w:val="0"/>
      <w:marBottom w:val="0"/>
      <w:divBdr>
        <w:top w:val="none" w:sz="0" w:space="0" w:color="auto"/>
        <w:left w:val="none" w:sz="0" w:space="0" w:color="auto"/>
        <w:bottom w:val="none" w:sz="0" w:space="0" w:color="auto"/>
        <w:right w:val="none" w:sz="0" w:space="0" w:color="auto"/>
      </w:divBdr>
    </w:div>
    <w:div w:id="1361973251">
      <w:bodyDiv w:val="1"/>
      <w:marLeft w:val="0"/>
      <w:marRight w:val="0"/>
      <w:marTop w:val="0"/>
      <w:marBottom w:val="0"/>
      <w:divBdr>
        <w:top w:val="none" w:sz="0" w:space="0" w:color="auto"/>
        <w:left w:val="none" w:sz="0" w:space="0" w:color="auto"/>
        <w:bottom w:val="none" w:sz="0" w:space="0" w:color="auto"/>
        <w:right w:val="none" w:sz="0" w:space="0" w:color="auto"/>
      </w:divBdr>
    </w:div>
    <w:div w:id="1362051260">
      <w:bodyDiv w:val="1"/>
      <w:marLeft w:val="0"/>
      <w:marRight w:val="0"/>
      <w:marTop w:val="0"/>
      <w:marBottom w:val="0"/>
      <w:divBdr>
        <w:top w:val="none" w:sz="0" w:space="0" w:color="auto"/>
        <w:left w:val="none" w:sz="0" w:space="0" w:color="auto"/>
        <w:bottom w:val="none" w:sz="0" w:space="0" w:color="auto"/>
        <w:right w:val="none" w:sz="0" w:space="0" w:color="auto"/>
      </w:divBdr>
    </w:div>
    <w:div w:id="1362054758">
      <w:bodyDiv w:val="1"/>
      <w:marLeft w:val="0"/>
      <w:marRight w:val="0"/>
      <w:marTop w:val="0"/>
      <w:marBottom w:val="0"/>
      <w:divBdr>
        <w:top w:val="none" w:sz="0" w:space="0" w:color="auto"/>
        <w:left w:val="none" w:sz="0" w:space="0" w:color="auto"/>
        <w:bottom w:val="none" w:sz="0" w:space="0" w:color="auto"/>
        <w:right w:val="none" w:sz="0" w:space="0" w:color="auto"/>
      </w:divBdr>
    </w:div>
    <w:div w:id="1362167224">
      <w:bodyDiv w:val="1"/>
      <w:marLeft w:val="0"/>
      <w:marRight w:val="0"/>
      <w:marTop w:val="0"/>
      <w:marBottom w:val="0"/>
      <w:divBdr>
        <w:top w:val="none" w:sz="0" w:space="0" w:color="auto"/>
        <w:left w:val="none" w:sz="0" w:space="0" w:color="auto"/>
        <w:bottom w:val="none" w:sz="0" w:space="0" w:color="auto"/>
        <w:right w:val="none" w:sz="0" w:space="0" w:color="auto"/>
      </w:divBdr>
    </w:div>
    <w:div w:id="1362244612">
      <w:bodyDiv w:val="1"/>
      <w:marLeft w:val="0"/>
      <w:marRight w:val="0"/>
      <w:marTop w:val="0"/>
      <w:marBottom w:val="0"/>
      <w:divBdr>
        <w:top w:val="none" w:sz="0" w:space="0" w:color="auto"/>
        <w:left w:val="none" w:sz="0" w:space="0" w:color="auto"/>
        <w:bottom w:val="none" w:sz="0" w:space="0" w:color="auto"/>
        <w:right w:val="none" w:sz="0" w:space="0" w:color="auto"/>
      </w:divBdr>
    </w:div>
    <w:div w:id="1362315030">
      <w:bodyDiv w:val="1"/>
      <w:marLeft w:val="0"/>
      <w:marRight w:val="0"/>
      <w:marTop w:val="0"/>
      <w:marBottom w:val="0"/>
      <w:divBdr>
        <w:top w:val="none" w:sz="0" w:space="0" w:color="auto"/>
        <w:left w:val="none" w:sz="0" w:space="0" w:color="auto"/>
        <w:bottom w:val="none" w:sz="0" w:space="0" w:color="auto"/>
        <w:right w:val="none" w:sz="0" w:space="0" w:color="auto"/>
      </w:divBdr>
    </w:div>
    <w:div w:id="1362702680">
      <w:bodyDiv w:val="1"/>
      <w:marLeft w:val="0"/>
      <w:marRight w:val="0"/>
      <w:marTop w:val="0"/>
      <w:marBottom w:val="0"/>
      <w:divBdr>
        <w:top w:val="none" w:sz="0" w:space="0" w:color="auto"/>
        <w:left w:val="none" w:sz="0" w:space="0" w:color="auto"/>
        <w:bottom w:val="none" w:sz="0" w:space="0" w:color="auto"/>
        <w:right w:val="none" w:sz="0" w:space="0" w:color="auto"/>
      </w:divBdr>
    </w:div>
    <w:div w:id="1362704242">
      <w:bodyDiv w:val="1"/>
      <w:marLeft w:val="0"/>
      <w:marRight w:val="0"/>
      <w:marTop w:val="0"/>
      <w:marBottom w:val="0"/>
      <w:divBdr>
        <w:top w:val="none" w:sz="0" w:space="0" w:color="auto"/>
        <w:left w:val="none" w:sz="0" w:space="0" w:color="auto"/>
        <w:bottom w:val="none" w:sz="0" w:space="0" w:color="auto"/>
        <w:right w:val="none" w:sz="0" w:space="0" w:color="auto"/>
      </w:divBdr>
    </w:div>
    <w:div w:id="1362707022">
      <w:bodyDiv w:val="1"/>
      <w:marLeft w:val="0"/>
      <w:marRight w:val="0"/>
      <w:marTop w:val="0"/>
      <w:marBottom w:val="0"/>
      <w:divBdr>
        <w:top w:val="none" w:sz="0" w:space="0" w:color="auto"/>
        <w:left w:val="none" w:sz="0" w:space="0" w:color="auto"/>
        <w:bottom w:val="none" w:sz="0" w:space="0" w:color="auto"/>
        <w:right w:val="none" w:sz="0" w:space="0" w:color="auto"/>
      </w:divBdr>
    </w:div>
    <w:div w:id="1362784531">
      <w:bodyDiv w:val="1"/>
      <w:marLeft w:val="0"/>
      <w:marRight w:val="0"/>
      <w:marTop w:val="0"/>
      <w:marBottom w:val="0"/>
      <w:divBdr>
        <w:top w:val="none" w:sz="0" w:space="0" w:color="auto"/>
        <w:left w:val="none" w:sz="0" w:space="0" w:color="auto"/>
        <w:bottom w:val="none" w:sz="0" w:space="0" w:color="auto"/>
        <w:right w:val="none" w:sz="0" w:space="0" w:color="auto"/>
      </w:divBdr>
    </w:div>
    <w:div w:id="1362903590">
      <w:bodyDiv w:val="1"/>
      <w:marLeft w:val="0"/>
      <w:marRight w:val="0"/>
      <w:marTop w:val="0"/>
      <w:marBottom w:val="0"/>
      <w:divBdr>
        <w:top w:val="none" w:sz="0" w:space="0" w:color="auto"/>
        <w:left w:val="none" w:sz="0" w:space="0" w:color="auto"/>
        <w:bottom w:val="none" w:sz="0" w:space="0" w:color="auto"/>
        <w:right w:val="none" w:sz="0" w:space="0" w:color="auto"/>
      </w:divBdr>
    </w:div>
    <w:div w:id="1362972077">
      <w:bodyDiv w:val="1"/>
      <w:marLeft w:val="0"/>
      <w:marRight w:val="0"/>
      <w:marTop w:val="0"/>
      <w:marBottom w:val="0"/>
      <w:divBdr>
        <w:top w:val="none" w:sz="0" w:space="0" w:color="auto"/>
        <w:left w:val="none" w:sz="0" w:space="0" w:color="auto"/>
        <w:bottom w:val="none" w:sz="0" w:space="0" w:color="auto"/>
        <w:right w:val="none" w:sz="0" w:space="0" w:color="auto"/>
      </w:divBdr>
    </w:div>
    <w:div w:id="1363021788">
      <w:bodyDiv w:val="1"/>
      <w:marLeft w:val="0"/>
      <w:marRight w:val="0"/>
      <w:marTop w:val="0"/>
      <w:marBottom w:val="0"/>
      <w:divBdr>
        <w:top w:val="none" w:sz="0" w:space="0" w:color="auto"/>
        <w:left w:val="none" w:sz="0" w:space="0" w:color="auto"/>
        <w:bottom w:val="none" w:sz="0" w:space="0" w:color="auto"/>
        <w:right w:val="none" w:sz="0" w:space="0" w:color="auto"/>
      </w:divBdr>
    </w:div>
    <w:div w:id="1363045923">
      <w:bodyDiv w:val="1"/>
      <w:marLeft w:val="0"/>
      <w:marRight w:val="0"/>
      <w:marTop w:val="0"/>
      <w:marBottom w:val="0"/>
      <w:divBdr>
        <w:top w:val="none" w:sz="0" w:space="0" w:color="auto"/>
        <w:left w:val="none" w:sz="0" w:space="0" w:color="auto"/>
        <w:bottom w:val="none" w:sz="0" w:space="0" w:color="auto"/>
        <w:right w:val="none" w:sz="0" w:space="0" w:color="auto"/>
      </w:divBdr>
    </w:div>
    <w:div w:id="1363050377">
      <w:bodyDiv w:val="1"/>
      <w:marLeft w:val="0"/>
      <w:marRight w:val="0"/>
      <w:marTop w:val="0"/>
      <w:marBottom w:val="0"/>
      <w:divBdr>
        <w:top w:val="none" w:sz="0" w:space="0" w:color="auto"/>
        <w:left w:val="none" w:sz="0" w:space="0" w:color="auto"/>
        <w:bottom w:val="none" w:sz="0" w:space="0" w:color="auto"/>
        <w:right w:val="none" w:sz="0" w:space="0" w:color="auto"/>
      </w:divBdr>
    </w:div>
    <w:div w:id="1363165181">
      <w:bodyDiv w:val="1"/>
      <w:marLeft w:val="0"/>
      <w:marRight w:val="0"/>
      <w:marTop w:val="0"/>
      <w:marBottom w:val="0"/>
      <w:divBdr>
        <w:top w:val="none" w:sz="0" w:space="0" w:color="auto"/>
        <w:left w:val="none" w:sz="0" w:space="0" w:color="auto"/>
        <w:bottom w:val="none" w:sz="0" w:space="0" w:color="auto"/>
        <w:right w:val="none" w:sz="0" w:space="0" w:color="auto"/>
      </w:divBdr>
    </w:div>
    <w:div w:id="1363242476">
      <w:bodyDiv w:val="1"/>
      <w:marLeft w:val="0"/>
      <w:marRight w:val="0"/>
      <w:marTop w:val="0"/>
      <w:marBottom w:val="0"/>
      <w:divBdr>
        <w:top w:val="none" w:sz="0" w:space="0" w:color="auto"/>
        <w:left w:val="none" w:sz="0" w:space="0" w:color="auto"/>
        <w:bottom w:val="none" w:sz="0" w:space="0" w:color="auto"/>
        <w:right w:val="none" w:sz="0" w:space="0" w:color="auto"/>
      </w:divBdr>
    </w:div>
    <w:div w:id="1363364747">
      <w:bodyDiv w:val="1"/>
      <w:marLeft w:val="0"/>
      <w:marRight w:val="0"/>
      <w:marTop w:val="0"/>
      <w:marBottom w:val="0"/>
      <w:divBdr>
        <w:top w:val="none" w:sz="0" w:space="0" w:color="auto"/>
        <w:left w:val="none" w:sz="0" w:space="0" w:color="auto"/>
        <w:bottom w:val="none" w:sz="0" w:space="0" w:color="auto"/>
        <w:right w:val="none" w:sz="0" w:space="0" w:color="auto"/>
      </w:divBdr>
    </w:div>
    <w:div w:id="1363748438">
      <w:bodyDiv w:val="1"/>
      <w:marLeft w:val="0"/>
      <w:marRight w:val="0"/>
      <w:marTop w:val="0"/>
      <w:marBottom w:val="0"/>
      <w:divBdr>
        <w:top w:val="none" w:sz="0" w:space="0" w:color="auto"/>
        <w:left w:val="none" w:sz="0" w:space="0" w:color="auto"/>
        <w:bottom w:val="none" w:sz="0" w:space="0" w:color="auto"/>
        <w:right w:val="none" w:sz="0" w:space="0" w:color="auto"/>
      </w:divBdr>
    </w:div>
    <w:div w:id="1364020673">
      <w:bodyDiv w:val="1"/>
      <w:marLeft w:val="0"/>
      <w:marRight w:val="0"/>
      <w:marTop w:val="0"/>
      <w:marBottom w:val="0"/>
      <w:divBdr>
        <w:top w:val="none" w:sz="0" w:space="0" w:color="auto"/>
        <w:left w:val="none" w:sz="0" w:space="0" w:color="auto"/>
        <w:bottom w:val="none" w:sz="0" w:space="0" w:color="auto"/>
        <w:right w:val="none" w:sz="0" w:space="0" w:color="auto"/>
      </w:divBdr>
    </w:div>
    <w:div w:id="1364089991">
      <w:bodyDiv w:val="1"/>
      <w:marLeft w:val="0"/>
      <w:marRight w:val="0"/>
      <w:marTop w:val="0"/>
      <w:marBottom w:val="0"/>
      <w:divBdr>
        <w:top w:val="none" w:sz="0" w:space="0" w:color="auto"/>
        <w:left w:val="none" w:sz="0" w:space="0" w:color="auto"/>
        <w:bottom w:val="none" w:sz="0" w:space="0" w:color="auto"/>
        <w:right w:val="none" w:sz="0" w:space="0" w:color="auto"/>
      </w:divBdr>
    </w:div>
    <w:div w:id="1364205588">
      <w:bodyDiv w:val="1"/>
      <w:marLeft w:val="0"/>
      <w:marRight w:val="0"/>
      <w:marTop w:val="0"/>
      <w:marBottom w:val="0"/>
      <w:divBdr>
        <w:top w:val="none" w:sz="0" w:space="0" w:color="auto"/>
        <w:left w:val="none" w:sz="0" w:space="0" w:color="auto"/>
        <w:bottom w:val="none" w:sz="0" w:space="0" w:color="auto"/>
        <w:right w:val="none" w:sz="0" w:space="0" w:color="auto"/>
      </w:divBdr>
    </w:div>
    <w:div w:id="1364280944">
      <w:bodyDiv w:val="1"/>
      <w:marLeft w:val="0"/>
      <w:marRight w:val="0"/>
      <w:marTop w:val="0"/>
      <w:marBottom w:val="0"/>
      <w:divBdr>
        <w:top w:val="none" w:sz="0" w:space="0" w:color="auto"/>
        <w:left w:val="none" w:sz="0" w:space="0" w:color="auto"/>
        <w:bottom w:val="none" w:sz="0" w:space="0" w:color="auto"/>
        <w:right w:val="none" w:sz="0" w:space="0" w:color="auto"/>
      </w:divBdr>
    </w:div>
    <w:div w:id="1364356100">
      <w:bodyDiv w:val="1"/>
      <w:marLeft w:val="0"/>
      <w:marRight w:val="0"/>
      <w:marTop w:val="0"/>
      <w:marBottom w:val="0"/>
      <w:divBdr>
        <w:top w:val="none" w:sz="0" w:space="0" w:color="auto"/>
        <w:left w:val="none" w:sz="0" w:space="0" w:color="auto"/>
        <w:bottom w:val="none" w:sz="0" w:space="0" w:color="auto"/>
        <w:right w:val="none" w:sz="0" w:space="0" w:color="auto"/>
      </w:divBdr>
    </w:div>
    <w:div w:id="1364359203">
      <w:bodyDiv w:val="1"/>
      <w:marLeft w:val="0"/>
      <w:marRight w:val="0"/>
      <w:marTop w:val="0"/>
      <w:marBottom w:val="0"/>
      <w:divBdr>
        <w:top w:val="none" w:sz="0" w:space="0" w:color="auto"/>
        <w:left w:val="none" w:sz="0" w:space="0" w:color="auto"/>
        <w:bottom w:val="none" w:sz="0" w:space="0" w:color="auto"/>
        <w:right w:val="none" w:sz="0" w:space="0" w:color="auto"/>
      </w:divBdr>
    </w:div>
    <w:div w:id="1364407479">
      <w:bodyDiv w:val="1"/>
      <w:marLeft w:val="0"/>
      <w:marRight w:val="0"/>
      <w:marTop w:val="0"/>
      <w:marBottom w:val="0"/>
      <w:divBdr>
        <w:top w:val="none" w:sz="0" w:space="0" w:color="auto"/>
        <w:left w:val="none" w:sz="0" w:space="0" w:color="auto"/>
        <w:bottom w:val="none" w:sz="0" w:space="0" w:color="auto"/>
        <w:right w:val="none" w:sz="0" w:space="0" w:color="auto"/>
      </w:divBdr>
    </w:div>
    <w:div w:id="1364552922">
      <w:bodyDiv w:val="1"/>
      <w:marLeft w:val="0"/>
      <w:marRight w:val="0"/>
      <w:marTop w:val="0"/>
      <w:marBottom w:val="0"/>
      <w:divBdr>
        <w:top w:val="none" w:sz="0" w:space="0" w:color="auto"/>
        <w:left w:val="none" w:sz="0" w:space="0" w:color="auto"/>
        <w:bottom w:val="none" w:sz="0" w:space="0" w:color="auto"/>
        <w:right w:val="none" w:sz="0" w:space="0" w:color="auto"/>
      </w:divBdr>
    </w:div>
    <w:div w:id="1364555333">
      <w:bodyDiv w:val="1"/>
      <w:marLeft w:val="0"/>
      <w:marRight w:val="0"/>
      <w:marTop w:val="0"/>
      <w:marBottom w:val="0"/>
      <w:divBdr>
        <w:top w:val="none" w:sz="0" w:space="0" w:color="auto"/>
        <w:left w:val="none" w:sz="0" w:space="0" w:color="auto"/>
        <w:bottom w:val="none" w:sz="0" w:space="0" w:color="auto"/>
        <w:right w:val="none" w:sz="0" w:space="0" w:color="auto"/>
      </w:divBdr>
    </w:div>
    <w:div w:id="1364864468">
      <w:bodyDiv w:val="1"/>
      <w:marLeft w:val="0"/>
      <w:marRight w:val="0"/>
      <w:marTop w:val="0"/>
      <w:marBottom w:val="0"/>
      <w:divBdr>
        <w:top w:val="none" w:sz="0" w:space="0" w:color="auto"/>
        <w:left w:val="none" w:sz="0" w:space="0" w:color="auto"/>
        <w:bottom w:val="none" w:sz="0" w:space="0" w:color="auto"/>
        <w:right w:val="none" w:sz="0" w:space="0" w:color="auto"/>
      </w:divBdr>
    </w:div>
    <w:div w:id="1364941847">
      <w:bodyDiv w:val="1"/>
      <w:marLeft w:val="0"/>
      <w:marRight w:val="0"/>
      <w:marTop w:val="0"/>
      <w:marBottom w:val="0"/>
      <w:divBdr>
        <w:top w:val="none" w:sz="0" w:space="0" w:color="auto"/>
        <w:left w:val="none" w:sz="0" w:space="0" w:color="auto"/>
        <w:bottom w:val="none" w:sz="0" w:space="0" w:color="auto"/>
        <w:right w:val="none" w:sz="0" w:space="0" w:color="auto"/>
      </w:divBdr>
    </w:div>
    <w:div w:id="1365131333">
      <w:bodyDiv w:val="1"/>
      <w:marLeft w:val="0"/>
      <w:marRight w:val="0"/>
      <w:marTop w:val="0"/>
      <w:marBottom w:val="0"/>
      <w:divBdr>
        <w:top w:val="none" w:sz="0" w:space="0" w:color="auto"/>
        <w:left w:val="none" w:sz="0" w:space="0" w:color="auto"/>
        <w:bottom w:val="none" w:sz="0" w:space="0" w:color="auto"/>
        <w:right w:val="none" w:sz="0" w:space="0" w:color="auto"/>
      </w:divBdr>
    </w:div>
    <w:div w:id="1365253105">
      <w:bodyDiv w:val="1"/>
      <w:marLeft w:val="0"/>
      <w:marRight w:val="0"/>
      <w:marTop w:val="0"/>
      <w:marBottom w:val="0"/>
      <w:divBdr>
        <w:top w:val="none" w:sz="0" w:space="0" w:color="auto"/>
        <w:left w:val="none" w:sz="0" w:space="0" w:color="auto"/>
        <w:bottom w:val="none" w:sz="0" w:space="0" w:color="auto"/>
        <w:right w:val="none" w:sz="0" w:space="0" w:color="auto"/>
      </w:divBdr>
    </w:div>
    <w:div w:id="1365398090">
      <w:bodyDiv w:val="1"/>
      <w:marLeft w:val="0"/>
      <w:marRight w:val="0"/>
      <w:marTop w:val="0"/>
      <w:marBottom w:val="0"/>
      <w:divBdr>
        <w:top w:val="none" w:sz="0" w:space="0" w:color="auto"/>
        <w:left w:val="none" w:sz="0" w:space="0" w:color="auto"/>
        <w:bottom w:val="none" w:sz="0" w:space="0" w:color="auto"/>
        <w:right w:val="none" w:sz="0" w:space="0" w:color="auto"/>
      </w:divBdr>
    </w:div>
    <w:div w:id="1365442724">
      <w:bodyDiv w:val="1"/>
      <w:marLeft w:val="0"/>
      <w:marRight w:val="0"/>
      <w:marTop w:val="0"/>
      <w:marBottom w:val="0"/>
      <w:divBdr>
        <w:top w:val="none" w:sz="0" w:space="0" w:color="auto"/>
        <w:left w:val="none" w:sz="0" w:space="0" w:color="auto"/>
        <w:bottom w:val="none" w:sz="0" w:space="0" w:color="auto"/>
        <w:right w:val="none" w:sz="0" w:space="0" w:color="auto"/>
      </w:divBdr>
    </w:div>
    <w:div w:id="1365518978">
      <w:bodyDiv w:val="1"/>
      <w:marLeft w:val="0"/>
      <w:marRight w:val="0"/>
      <w:marTop w:val="0"/>
      <w:marBottom w:val="0"/>
      <w:divBdr>
        <w:top w:val="none" w:sz="0" w:space="0" w:color="auto"/>
        <w:left w:val="none" w:sz="0" w:space="0" w:color="auto"/>
        <w:bottom w:val="none" w:sz="0" w:space="0" w:color="auto"/>
        <w:right w:val="none" w:sz="0" w:space="0" w:color="auto"/>
      </w:divBdr>
    </w:div>
    <w:div w:id="1365716084">
      <w:bodyDiv w:val="1"/>
      <w:marLeft w:val="0"/>
      <w:marRight w:val="0"/>
      <w:marTop w:val="0"/>
      <w:marBottom w:val="0"/>
      <w:divBdr>
        <w:top w:val="none" w:sz="0" w:space="0" w:color="auto"/>
        <w:left w:val="none" w:sz="0" w:space="0" w:color="auto"/>
        <w:bottom w:val="none" w:sz="0" w:space="0" w:color="auto"/>
        <w:right w:val="none" w:sz="0" w:space="0" w:color="auto"/>
      </w:divBdr>
    </w:div>
    <w:div w:id="1365862239">
      <w:bodyDiv w:val="1"/>
      <w:marLeft w:val="0"/>
      <w:marRight w:val="0"/>
      <w:marTop w:val="0"/>
      <w:marBottom w:val="0"/>
      <w:divBdr>
        <w:top w:val="none" w:sz="0" w:space="0" w:color="auto"/>
        <w:left w:val="none" w:sz="0" w:space="0" w:color="auto"/>
        <w:bottom w:val="none" w:sz="0" w:space="0" w:color="auto"/>
        <w:right w:val="none" w:sz="0" w:space="0" w:color="auto"/>
      </w:divBdr>
    </w:div>
    <w:div w:id="1365910442">
      <w:bodyDiv w:val="1"/>
      <w:marLeft w:val="0"/>
      <w:marRight w:val="0"/>
      <w:marTop w:val="0"/>
      <w:marBottom w:val="0"/>
      <w:divBdr>
        <w:top w:val="none" w:sz="0" w:space="0" w:color="auto"/>
        <w:left w:val="none" w:sz="0" w:space="0" w:color="auto"/>
        <w:bottom w:val="none" w:sz="0" w:space="0" w:color="auto"/>
        <w:right w:val="none" w:sz="0" w:space="0" w:color="auto"/>
      </w:divBdr>
    </w:div>
    <w:div w:id="1366057876">
      <w:bodyDiv w:val="1"/>
      <w:marLeft w:val="0"/>
      <w:marRight w:val="0"/>
      <w:marTop w:val="0"/>
      <w:marBottom w:val="0"/>
      <w:divBdr>
        <w:top w:val="none" w:sz="0" w:space="0" w:color="auto"/>
        <w:left w:val="none" w:sz="0" w:space="0" w:color="auto"/>
        <w:bottom w:val="none" w:sz="0" w:space="0" w:color="auto"/>
        <w:right w:val="none" w:sz="0" w:space="0" w:color="auto"/>
      </w:divBdr>
    </w:div>
    <w:div w:id="1366128936">
      <w:bodyDiv w:val="1"/>
      <w:marLeft w:val="0"/>
      <w:marRight w:val="0"/>
      <w:marTop w:val="0"/>
      <w:marBottom w:val="0"/>
      <w:divBdr>
        <w:top w:val="none" w:sz="0" w:space="0" w:color="auto"/>
        <w:left w:val="none" w:sz="0" w:space="0" w:color="auto"/>
        <w:bottom w:val="none" w:sz="0" w:space="0" w:color="auto"/>
        <w:right w:val="none" w:sz="0" w:space="0" w:color="auto"/>
      </w:divBdr>
    </w:div>
    <w:div w:id="1366442383">
      <w:bodyDiv w:val="1"/>
      <w:marLeft w:val="0"/>
      <w:marRight w:val="0"/>
      <w:marTop w:val="0"/>
      <w:marBottom w:val="0"/>
      <w:divBdr>
        <w:top w:val="none" w:sz="0" w:space="0" w:color="auto"/>
        <w:left w:val="none" w:sz="0" w:space="0" w:color="auto"/>
        <w:bottom w:val="none" w:sz="0" w:space="0" w:color="auto"/>
        <w:right w:val="none" w:sz="0" w:space="0" w:color="auto"/>
      </w:divBdr>
    </w:div>
    <w:div w:id="1366442877">
      <w:bodyDiv w:val="1"/>
      <w:marLeft w:val="0"/>
      <w:marRight w:val="0"/>
      <w:marTop w:val="0"/>
      <w:marBottom w:val="0"/>
      <w:divBdr>
        <w:top w:val="none" w:sz="0" w:space="0" w:color="auto"/>
        <w:left w:val="none" w:sz="0" w:space="0" w:color="auto"/>
        <w:bottom w:val="none" w:sz="0" w:space="0" w:color="auto"/>
        <w:right w:val="none" w:sz="0" w:space="0" w:color="auto"/>
      </w:divBdr>
    </w:div>
    <w:div w:id="1366521593">
      <w:bodyDiv w:val="1"/>
      <w:marLeft w:val="0"/>
      <w:marRight w:val="0"/>
      <w:marTop w:val="0"/>
      <w:marBottom w:val="0"/>
      <w:divBdr>
        <w:top w:val="none" w:sz="0" w:space="0" w:color="auto"/>
        <w:left w:val="none" w:sz="0" w:space="0" w:color="auto"/>
        <w:bottom w:val="none" w:sz="0" w:space="0" w:color="auto"/>
        <w:right w:val="none" w:sz="0" w:space="0" w:color="auto"/>
      </w:divBdr>
    </w:div>
    <w:div w:id="1366639804">
      <w:bodyDiv w:val="1"/>
      <w:marLeft w:val="0"/>
      <w:marRight w:val="0"/>
      <w:marTop w:val="0"/>
      <w:marBottom w:val="0"/>
      <w:divBdr>
        <w:top w:val="none" w:sz="0" w:space="0" w:color="auto"/>
        <w:left w:val="none" w:sz="0" w:space="0" w:color="auto"/>
        <w:bottom w:val="none" w:sz="0" w:space="0" w:color="auto"/>
        <w:right w:val="none" w:sz="0" w:space="0" w:color="auto"/>
      </w:divBdr>
    </w:div>
    <w:div w:id="1366640382">
      <w:bodyDiv w:val="1"/>
      <w:marLeft w:val="0"/>
      <w:marRight w:val="0"/>
      <w:marTop w:val="0"/>
      <w:marBottom w:val="0"/>
      <w:divBdr>
        <w:top w:val="none" w:sz="0" w:space="0" w:color="auto"/>
        <w:left w:val="none" w:sz="0" w:space="0" w:color="auto"/>
        <w:bottom w:val="none" w:sz="0" w:space="0" w:color="auto"/>
        <w:right w:val="none" w:sz="0" w:space="0" w:color="auto"/>
      </w:divBdr>
    </w:div>
    <w:div w:id="1366708063">
      <w:bodyDiv w:val="1"/>
      <w:marLeft w:val="0"/>
      <w:marRight w:val="0"/>
      <w:marTop w:val="0"/>
      <w:marBottom w:val="0"/>
      <w:divBdr>
        <w:top w:val="none" w:sz="0" w:space="0" w:color="auto"/>
        <w:left w:val="none" w:sz="0" w:space="0" w:color="auto"/>
        <w:bottom w:val="none" w:sz="0" w:space="0" w:color="auto"/>
        <w:right w:val="none" w:sz="0" w:space="0" w:color="auto"/>
      </w:divBdr>
    </w:div>
    <w:div w:id="1366827550">
      <w:bodyDiv w:val="1"/>
      <w:marLeft w:val="0"/>
      <w:marRight w:val="0"/>
      <w:marTop w:val="0"/>
      <w:marBottom w:val="0"/>
      <w:divBdr>
        <w:top w:val="none" w:sz="0" w:space="0" w:color="auto"/>
        <w:left w:val="none" w:sz="0" w:space="0" w:color="auto"/>
        <w:bottom w:val="none" w:sz="0" w:space="0" w:color="auto"/>
        <w:right w:val="none" w:sz="0" w:space="0" w:color="auto"/>
      </w:divBdr>
    </w:div>
    <w:div w:id="1366911136">
      <w:bodyDiv w:val="1"/>
      <w:marLeft w:val="0"/>
      <w:marRight w:val="0"/>
      <w:marTop w:val="0"/>
      <w:marBottom w:val="0"/>
      <w:divBdr>
        <w:top w:val="none" w:sz="0" w:space="0" w:color="auto"/>
        <w:left w:val="none" w:sz="0" w:space="0" w:color="auto"/>
        <w:bottom w:val="none" w:sz="0" w:space="0" w:color="auto"/>
        <w:right w:val="none" w:sz="0" w:space="0" w:color="auto"/>
      </w:divBdr>
    </w:div>
    <w:div w:id="1367025722">
      <w:bodyDiv w:val="1"/>
      <w:marLeft w:val="0"/>
      <w:marRight w:val="0"/>
      <w:marTop w:val="0"/>
      <w:marBottom w:val="0"/>
      <w:divBdr>
        <w:top w:val="none" w:sz="0" w:space="0" w:color="auto"/>
        <w:left w:val="none" w:sz="0" w:space="0" w:color="auto"/>
        <w:bottom w:val="none" w:sz="0" w:space="0" w:color="auto"/>
        <w:right w:val="none" w:sz="0" w:space="0" w:color="auto"/>
      </w:divBdr>
    </w:div>
    <w:div w:id="1367026771">
      <w:bodyDiv w:val="1"/>
      <w:marLeft w:val="0"/>
      <w:marRight w:val="0"/>
      <w:marTop w:val="0"/>
      <w:marBottom w:val="0"/>
      <w:divBdr>
        <w:top w:val="none" w:sz="0" w:space="0" w:color="auto"/>
        <w:left w:val="none" w:sz="0" w:space="0" w:color="auto"/>
        <w:bottom w:val="none" w:sz="0" w:space="0" w:color="auto"/>
        <w:right w:val="none" w:sz="0" w:space="0" w:color="auto"/>
      </w:divBdr>
    </w:div>
    <w:div w:id="1367096769">
      <w:bodyDiv w:val="1"/>
      <w:marLeft w:val="0"/>
      <w:marRight w:val="0"/>
      <w:marTop w:val="0"/>
      <w:marBottom w:val="0"/>
      <w:divBdr>
        <w:top w:val="none" w:sz="0" w:space="0" w:color="auto"/>
        <w:left w:val="none" w:sz="0" w:space="0" w:color="auto"/>
        <w:bottom w:val="none" w:sz="0" w:space="0" w:color="auto"/>
        <w:right w:val="none" w:sz="0" w:space="0" w:color="auto"/>
      </w:divBdr>
    </w:div>
    <w:div w:id="1367175743">
      <w:bodyDiv w:val="1"/>
      <w:marLeft w:val="0"/>
      <w:marRight w:val="0"/>
      <w:marTop w:val="0"/>
      <w:marBottom w:val="0"/>
      <w:divBdr>
        <w:top w:val="none" w:sz="0" w:space="0" w:color="auto"/>
        <w:left w:val="none" w:sz="0" w:space="0" w:color="auto"/>
        <w:bottom w:val="none" w:sz="0" w:space="0" w:color="auto"/>
        <w:right w:val="none" w:sz="0" w:space="0" w:color="auto"/>
      </w:divBdr>
    </w:div>
    <w:div w:id="1367364731">
      <w:bodyDiv w:val="1"/>
      <w:marLeft w:val="0"/>
      <w:marRight w:val="0"/>
      <w:marTop w:val="0"/>
      <w:marBottom w:val="0"/>
      <w:divBdr>
        <w:top w:val="none" w:sz="0" w:space="0" w:color="auto"/>
        <w:left w:val="none" w:sz="0" w:space="0" w:color="auto"/>
        <w:bottom w:val="none" w:sz="0" w:space="0" w:color="auto"/>
        <w:right w:val="none" w:sz="0" w:space="0" w:color="auto"/>
      </w:divBdr>
    </w:div>
    <w:div w:id="1367365347">
      <w:bodyDiv w:val="1"/>
      <w:marLeft w:val="0"/>
      <w:marRight w:val="0"/>
      <w:marTop w:val="0"/>
      <w:marBottom w:val="0"/>
      <w:divBdr>
        <w:top w:val="none" w:sz="0" w:space="0" w:color="auto"/>
        <w:left w:val="none" w:sz="0" w:space="0" w:color="auto"/>
        <w:bottom w:val="none" w:sz="0" w:space="0" w:color="auto"/>
        <w:right w:val="none" w:sz="0" w:space="0" w:color="auto"/>
      </w:divBdr>
    </w:div>
    <w:div w:id="1367482946">
      <w:bodyDiv w:val="1"/>
      <w:marLeft w:val="0"/>
      <w:marRight w:val="0"/>
      <w:marTop w:val="0"/>
      <w:marBottom w:val="0"/>
      <w:divBdr>
        <w:top w:val="none" w:sz="0" w:space="0" w:color="auto"/>
        <w:left w:val="none" w:sz="0" w:space="0" w:color="auto"/>
        <w:bottom w:val="none" w:sz="0" w:space="0" w:color="auto"/>
        <w:right w:val="none" w:sz="0" w:space="0" w:color="auto"/>
      </w:divBdr>
    </w:div>
    <w:div w:id="1367558214">
      <w:bodyDiv w:val="1"/>
      <w:marLeft w:val="0"/>
      <w:marRight w:val="0"/>
      <w:marTop w:val="0"/>
      <w:marBottom w:val="0"/>
      <w:divBdr>
        <w:top w:val="none" w:sz="0" w:space="0" w:color="auto"/>
        <w:left w:val="none" w:sz="0" w:space="0" w:color="auto"/>
        <w:bottom w:val="none" w:sz="0" w:space="0" w:color="auto"/>
        <w:right w:val="none" w:sz="0" w:space="0" w:color="auto"/>
      </w:divBdr>
    </w:div>
    <w:div w:id="1367564264">
      <w:bodyDiv w:val="1"/>
      <w:marLeft w:val="0"/>
      <w:marRight w:val="0"/>
      <w:marTop w:val="0"/>
      <w:marBottom w:val="0"/>
      <w:divBdr>
        <w:top w:val="none" w:sz="0" w:space="0" w:color="auto"/>
        <w:left w:val="none" w:sz="0" w:space="0" w:color="auto"/>
        <w:bottom w:val="none" w:sz="0" w:space="0" w:color="auto"/>
        <w:right w:val="none" w:sz="0" w:space="0" w:color="auto"/>
      </w:divBdr>
    </w:div>
    <w:div w:id="1367565165">
      <w:bodyDiv w:val="1"/>
      <w:marLeft w:val="0"/>
      <w:marRight w:val="0"/>
      <w:marTop w:val="0"/>
      <w:marBottom w:val="0"/>
      <w:divBdr>
        <w:top w:val="none" w:sz="0" w:space="0" w:color="auto"/>
        <w:left w:val="none" w:sz="0" w:space="0" w:color="auto"/>
        <w:bottom w:val="none" w:sz="0" w:space="0" w:color="auto"/>
        <w:right w:val="none" w:sz="0" w:space="0" w:color="auto"/>
      </w:divBdr>
    </w:div>
    <w:div w:id="1367634080">
      <w:bodyDiv w:val="1"/>
      <w:marLeft w:val="0"/>
      <w:marRight w:val="0"/>
      <w:marTop w:val="0"/>
      <w:marBottom w:val="0"/>
      <w:divBdr>
        <w:top w:val="none" w:sz="0" w:space="0" w:color="auto"/>
        <w:left w:val="none" w:sz="0" w:space="0" w:color="auto"/>
        <w:bottom w:val="none" w:sz="0" w:space="0" w:color="auto"/>
        <w:right w:val="none" w:sz="0" w:space="0" w:color="auto"/>
      </w:divBdr>
    </w:div>
    <w:div w:id="1367677301">
      <w:bodyDiv w:val="1"/>
      <w:marLeft w:val="0"/>
      <w:marRight w:val="0"/>
      <w:marTop w:val="0"/>
      <w:marBottom w:val="0"/>
      <w:divBdr>
        <w:top w:val="none" w:sz="0" w:space="0" w:color="auto"/>
        <w:left w:val="none" w:sz="0" w:space="0" w:color="auto"/>
        <w:bottom w:val="none" w:sz="0" w:space="0" w:color="auto"/>
        <w:right w:val="none" w:sz="0" w:space="0" w:color="auto"/>
      </w:divBdr>
    </w:div>
    <w:div w:id="1367681386">
      <w:bodyDiv w:val="1"/>
      <w:marLeft w:val="0"/>
      <w:marRight w:val="0"/>
      <w:marTop w:val="0"/>
      <w:marBottom w:val="0"/>
      <w:divBdr>
        <w:top w:val="none" w:sz="0" w:space="0" w:color="auto"/>
        <w:left w:val="none" w:sz="0" w:space="0" w:color="auto"/>
        <w:bottom w:val="none" w:sz="0" w:space="0" w:color="auto"/>
        <w:right w:val="none" w:sz="0" w:space="0" w:color="auto"/>
      </w:divBdr>
    </w:div>
    <w:div w:id="1367757810">
      <w:bodyDiv w:val="1"/>
      <w:marLeft w:val="0"/>
      <w:marRight w:val="0"/>
      <w:marTop w:val="0"/>
      <w:marBottom w:val="0"/>
      <w:divBdr>
        <w:top w:val="none" w:sz="0" w:space="0" w:color="auto"/>
        <w:left w:val="none" w:sz="0" w:space="0" w:color="auto"/>
        <w:bottom w:val="none" w:sz="0" w:space="0" w:color="auto"/>
        <w:right w:val="none" w:sz="0" w:space="0" w:color="auto"/>
      </w:divBdr>
    </w:div>
    <w:div w:id="1367827814">
      <w:bodyDiv w:val="1"/>
      <w:marLeft w:val="0"/>
      <w:marRight w:val="0"/>
      <w:marTop w:val="0"/>
      <w:marBottom w:val="0"/>
      <w:divBdr>
        <w:top w:val="none" w:sz="0" w:space="0" w:color="auto"/>
        <w:left w:val="none" w:sz="0" w:space="0" w:color="auto"/>
        <w:bottom w:val="none" w:sz="0" w:space="0" w:color="auto"/>
        <w:right w:val="none" w:sz="0" w:space="0" w:color="auto"/>
      </w:divBdr>
    </w:div>
    <w:div w:id="1367872406">
      <w:bodyDiv w:val="1"/>
      <w:marLeft w:val="0"/>
      <w:marRight w:val="0"/>
      <w:marTop w:val="0"/>
      <w:marBottom w:val="0"/>
      <w:divBdr>
        <w:top w:val="none" w:sz="0" w:space="0" w:color="auto"/>
        <w:left w:val="none" w:sz="0" w:space="0" w:color="auto"/>
        <w:bottom w:val="none" w:sz="0" w:space="0" w:color="auto"/>
        <w:right w:val="none" w:sz="0" w:space="0" w:color="auto"/>
      </w:divBdr>
    </w:div>
    <w:div w:id="1367950235">
      <w:bodyDiv w:val="1"/>
      <w:marLeft w:val="0"/>
      <w:marRight w:val="0"/>
      <w:marTop w:val="0"/>
      <w:marBottom w:val="0"/>
      <w:divBdr>
        <w:top w:val="none" w:sz="0" w:space="0" w:color="auto"/>
        <w:left w:val="none" w:sz="0" w:space="0" w:color="auto"/>
        <w:bottom w:val="none" w:sz="0" w:space="0" w:color="auto"/>
        <w:right w:val="none" w:sz="0" w:space="0" w:color="auto"/>
      </w:divBdr>
    </w:div>
    <w:div w:id="1368145994">
      <w:bodyDiv w:val="1"/>
      <w:marLeft w:val="0"/>
      <w:marRight w:val="0"/>
      <w:marTop w:val="0"/>
      <w:marBottom w:val="0"/>
      <w:divBdr>
        <w:top w:val="none" w:sz="0" w:space="0" w:color="auto"/>
        <w:left w:val="none" w:sz="0" w:space="0" w:color="auto"/>
        <w:bottom w:val="none" w:sz="0" w:space="0" w:color="auto"/>
        <w:right w:val="none" w:sz="0" w:space="0" w:color="auto"/>
      </w:divBdr>
    </w:div>
    <w:div w:id="1368218104">
      <w:bodyDiv w:val="1"/>
      <w:marLeft w:val="0"/>
      <w:marRight w:val="0"/>
      <w:marTop w:val="0"/>
      <w:marBottom w:val="0"/>
      <w:divBdr>
        <w:top w:val="none" w:sz="0" w:space="0" w:color="auto"/>
        <w:left w:val="none" w:sz="0" w:space="0" w:color="auto"/>
        <w:bottom w:val="none" w:sz="0" w:space="0" w:color="auto"/>
        <w:right w:val="none" w:sz="0" w:space="0" w:color="auto"/>
      </w:divBdr>
    </w:div>
    <w:div w:id="1368290142">
      <w:bodyDiv w:val="1"/>
      <w:marLeft w:val="0"/>
      <w:marRight w:val="0"/>
      <w:marTop w:val="0"/>
      <w:marBottom w:val="0"/>
      <w:divBdr>
        <w:top w:val="none" w:sz="0" w:space="0" w:color="auto"/>
        <w:left w:val="none" w:sz="0" w:space="0" w:color="auto"/>
        <w:bottom w:val="none" w:sz="0" w:space="0" w:color="auto"/>
        <w:right w:val="none" w:sz="0" w:space="0" w:color="auto"/>
      </w:divBdr>
    </w:div>
    <w:div w:id="1368329856">
      <w:bodyDiv w:val="1"/>
      <w:marLeft w:val="0"/>
      <w:marRight w:val="0"/>
      <w:marTop w:val="0"/>
      <w:marBottom w:val="0"/>
      <w:divBdr>
        <w:top w:val="none" w:sz="0" w:space="0" w:color="auto"/>
        <w:left w:val="none" w:sz="0" w:space="0" w:color="auto"/>
        <w:bottom w:val="none" w:sz="0" w:space="0" w:color="auto"/>
        <w:right w:val="none" w:sz="0" w:space="0" w:color="auto"/>
      </w:divBdr>
    </w:div>
    <w:div w:id="1368413483">
      <w:bodyDiv w:val="1"/>
      <w:marLeft w:val="0"/>
      <w:marRight w:val="0"/>
      <w:marTop w:val="0"/>
      <w:marBottom w:val="0"/>
      <w:divBdr>
        <w:top w:val="none" w:sz="0" w:space="0" w:color="auto"/>
        <w:left w:val="none" w:sz="0" w:space="0" w:color="auto"/>
        <w:bottom w:val="none" w:sz="0" w:space="0" w:color="auto"/>
        <w:right w:val="none" w:sz="0" w:space="0" w:color="auto"/>
      </w:divBdr>
    </w:div>
    <w:div w:id="1368486305">
      <w:bodyDiv w:val="1"/>
      <w:marLeft w:val="0"/>
      <w:marRight w:val="0"/>
      <w:marTop w:val="0"/>
      <w:marBottom w:val="0"/>
      <w:divBdr>
        <w:top w:val="none" w:sz="0" w:space="0" w:color="auto"/>
        <w:left w:val="none" w:sz="0" w:space="0" w:color="auto"/>
        <w:bottom w:val="none" w:sz="0" w:space="0" w:color="auto"/>
        <w:right w:val="none" w:sz="0" w:space="0" w:color="auto"/>
      </w:divBdr>
    </w:div>
    <w:div w:id="1368675073">
      <w:bodyDiv w:val="1"/>
      <w:marLeft w:val="0"/>
      <w:marRight w:val="0"/>
      <w:marTop w:val="0"/>
      <w:marBottom w:val="0"/>
      <w:divBdr>
        <w:top w:val="none" w:sz="0" w:space="0" w:color="auto"/>
        <w:left w:val="none" w:sz="0" w:space="0" w:color="auto"/>
        <w:bottom w:val="none" w:sz="0" w:space="0" w:color="auto"/>
        <w:right w:val="none" w:sz="0" w:space="0" w:color="auto"/>
      </w:divBdr>
    </w:div>
    <w:div w:id="1368726038">
      <w:bodyDiv w:val="1"/>
      <w:marLeft w:val="0"/>
      <w:marRight w:val="0"/>
      <w:marTop w:val="0"/>
      <w:marBottom w:val="0"/>
      <w:divBdr>
        <w:top w:val="none" w:sz="0" w:space="0" w:color="auto"/>
        <w:left w:val="none" w:sz="0" w:space="0" w:color="auto"/>
        <w:bottom w:val="none" w:sz="0" w:space="0" w:color="auto"/>
        <w:right w:val="none" w:sz="0" w:space="0" w:color="auto"/>
      </w:divBdr>
    </w:div>
    <w:div w:id="1368800298">
      <w:bodyDiv w:val="1"/>
      <w:marLeft w:val="0"/>
      <w:marRight w:val="0"/>
      <w:marTop w:val="0"/>
      <w:marBottom w:val="0"/>
      <w:divBdr>
        <w:top w:val="none" w:sz="0" w:space="0" w:color="auto"/>
        <w:left w:val="none" w:sz="0" w:space="0" w:color="auto"/>
        <w:bottom w:val="none" w:sz="0" w:space="0" w:color="auto"/>
        <w:right w:val="none" w:sz="0" w:space="0" w:color="auto"/>
      </w:divBdr>
    </w:div>
    <w:div w:id="1368871592">
      <w:bodyDiv w:val="1"/>
      <w:marLeft w:val="0"/>
      <w:marRight w:val="0"/>
      <w:marTop w:val="0"/>
      <w:marBottom w:val="0"/>
      <w:divBdr>
        <w:top w:val="none" w:sz="0" w:space="0" w:color="auto"/>
        <w:left w:val="none" w:sz="0" w:space="0" w:color="auto"/>
        <w:bottom w:val="none" w:sz="0" w:space="0" w:color="auto"/>
        <w:right w:val="none" w:sz="0" w:space="0" w:color="auto"/>
      </w:divBdr>
    </w:div>
    <w:div w:id="1368919535">
      <w:bodyDiv w:val="1"/>
      <w:marLeft w:val="0"/>
      <w:marRight w:val="0"/>
      <w:marTop w:val="0"/>
      <w:marBottom w:val="0"/>
      <w:divBdr>
        <w:top w:val="none" w:sz="0" w:space="0" w:color="auto"/>
        <w:left w:val="none" w:sz="0" w:space="0" w:color="auto"/>
        <w:bottom w:val="none" w:sz="0" w:space="0" w:color="auto"/>
        <w:right w:val="none" w:sz="0" w:space="0" w:color="auto"/>
      </w:divBdr>
    </w:div>
    <w:div w:id="1368992420">
      <w:bodyDiv w:val="1"/>
      <w:marLeft w:val="0"/>
      <w:marRight w:val="0"/>
      <w:marTop w:val="0"/>
      <w:marBottom w:val="0"/>
      <w:divBdr>
        <w:top w:val="none" w:sz="0" w:space="0" w:color="auto"/>
        <w:left w:val="none" w:sz="0" w:space="0" w:color="auto"/>
        <w:bottom w:val="none" w:sz="0" w:space="0" w:color="auto"/>
        <w:right w:val="none" w:sz="0" w:space="0" w:color="auto"/>
      </w:divBdr>
    </w:div>
    <w:div w:id="1368994023">
      <w:bodyDiv w:val="1"/>
      <w:marLeft w:val="0"/>
      <w:marRight w:val="0"/>
      <w:marTop w:val="0"/>
      <w:marBottom w:val="0"/>
      <w:divBdr>
        <w:top w:val="none" w:sz="0" w:space="0" w:color="auto"/>
        <w:left w:val="none" w:sz="0" w:space="0" w:color="auto"/>
        <w:bottom w:val="none" w:sz="0" w:space="0" w:color="auto"/>
        <w:right w:val="none" w:sz="0" w:space="0" w:color="auto"/>
      </w:divBdr>
    </w:div>
    <w:div w:id="1369185441">
      <w:bodyDiv w:val="1"/>
      <w:marLeft w:val="0"/>
      <w:marRight w:val="0"/>
      <w:marTop w:val="0"/>
      <w:marBottom w:val="0"/>
      <w:divBdr>
        <w:top w:val="none" w:sz="0" w:space="0" w:color="auto"/>
        <w:left w:val="none" w:sz="0" w:space="0" w:color="auto"/>
        <w:bottom w:val="none" w:sz="0" w:space="0" w:color="auto"/>
        <w:right w:val="none" w:sz="0" w:space="0" w:color="auto"/>
      </w:divBdr>
    </w:div>
    <w:div w:id="1369258374">
      <w:bodyDiv w:val="1"/>
      <w:marLeft w:val="0"/>
      <w:marRight w:val="0"/>
      <w:marTop w:val="0"/>
      <w:marBottom w:val="0"/>
      <w:divBdr>
        <w:top w:val="none" w:sz="0" w:space="0" w:color="auto"/>
        <w:left w:val="none" w:sz="0" w:space="0" w:color="auto"/>
        <w:bottom w:val="none" w:sz="0" w:space="0" w:color="auto"/>
        <w:right w:val="none" w:sz="0" w:space="0" w:color="auto"/>
      </w:divBdr>
    </w:div>
    <w:div w:id="1369376459">
      <w:bodyDiv w:val="1"/>
      <w:marLeft w:val="0"/>
      <w:marRight w:val="0"/>
      <w:marTop w:val="0"/>
      <w:marBottom w:val="0"/>
      <w:divBdr>
        <w:top w:val="none" w:sz="0" w:space="0" w:color="auto"/>
        <w:left w:val="none" w:sz="0" w:space="0" w:color="auto"/>
        <w:bottom w:val="none" w:sz="0" w:space="0" w:color="auto"/>
        <w:right w:val="none" w:sz="0" w:space="0" w:color="auto"/>
      </w:divBdr>
    </w:div>
    <w:div w:id="1369451990">
      <w:bodyDiv w:val="1"/>
      <w:marLeft w:val="0"/>
      <w:marRight w:val="0"/>
      <w:marTop w:val="0"/>
      <w:marBottom w:val="0"/>
      <w:divBdr>
        <w:top w:val="none" w:sz="0" w:space="0" w:color="auto"/>
        <w:left w:val="none" w:sz="0" w:space="0" w:color="auto"/>
        <w:bottom w:val="none" w:sz="0" w:space="0" w:color="auto"/>
        <w:right w:val="none" w:sz="0" w:space="0" w:color="auto"/>
      </w:divBdr>
    </w:div>
    <w:div w:id="1369601891">
      <w:bodyDiv w:val="1"/>
      <w:marLeft w:val="0"/>
      <w:marRight w:val="0"/>
      <w:marTop w:val="0"/>
      <w:marBottom w:val="0"/>
      <w:divBdr>
        <w:top w:val="none" w:sz="0" w:space="0" w:color="auto"/>
        <w:left w:val="none" w:sz="0" w:space="0" w:color="auto"/>
        <w:bottom w:val="none" w:sz="0" w:space="0" w:color="auto"/>
        <w:right w:val="none" w:sz="0" w:space="0" w:color="auto"/>
      </w:divBdr>
    </w:div>
    <w:div w:id="1369797260">
      <w:bodyDiv w:val="1"/>
      <w:marLeft w:val="0"/>
      <w:marRight w:val="0"/>
      <w:marTop w:val="0"/>
      <w:marBottom w:val="0"/>
      <w:divBdr>
        <w:top w:val="none" w:sz="0" w:space="0" w:color="auto"/>
        <w:left w:val="none" w:sz="0" w:space="0" w:color="auto"/>
        <w:bottom w:val="none" w:sz="0" w:space="0" w:color="auto"/>
        <w:right w:val="none" w:sz="0" w:space="0" w:color="auto"/>
      </w:divBdr>
    </w:div>
    <w:div w:id="1369987637">
      <w:bodyDiv w:val="1"/>
      <w:marLeft w:val="0"/>
      <w:marRight w:val="0"/>
      <w:marTop w:val="0"/>
      <w:marBottom w:val="0"/>
      <w:divBdr>
        <w:top w:val="none" w:sz="0" w:space="0" w:color="auto"/>
        <w:left w:val="none" w:sz="0" w:space="0" w:color="auto"/>
        <w:bottom w:val="none" w:sz="0" w:space="0" w:color="auto"/>
        <w:right w:val="none" w:sz="0" w:space="0" w:color="auto"/>
      </w:divBdr>
    </w:div>
    <w:div w:id="1370105163">
      <w:bodyDiv w:val="1"/>
      <w:marLeft w:val="0"/>
      <w:marRight w:val="0"/>
      <w:marTop w:val="0"/>
      <w:marBottom w:val="0"/>
      <w:divBdr>
        <w:top w:val="none" w:sz="0" w:space="0" w:color="auto"/>
        <w:left w:val="none" w:sz="0" w:space="0" w:color="auto"/>
        <w:bottom w:val="none" w:sz="0" w:space="0" w:color="auto"/>
        <w:right w:val="none" w:sz="0" w:space="0" w:color="auto"/>
      </w:divBdr>
    </w:div>
    <w:div w:id="1370110358">
      <w:bodyDiv w:val="1"/>
      <w:marLeft w:val="0"/>
      <w:marRight w:val="0"/>
      <w:marTop w:val="0"/>
      <w:marBottom w:val="0"/>
      <w:divBdr>
        <w:top w:val="none" w:sz="0" w:space="0" w:color="auto"/>
        <w:left w:val="none" w:sz="0" w:space="0" w:color="auto"/>
        <w:bottom w:val="none" w:sz="0" w:space="0" w:color="auto"/>
        <w:right w:val="none" w:sz="0" w:space="0" w:color="auto"/>
      </w:divBdr>
    </w:div>
    <w:div w:id="1370304403">
      <w:bodyDiv w:val="1"/>
      <w:marLeft w:val="0"/>
      <w:marRight w:val="0"/>
      <w:marTop w:val="0"/>
      <w:marBottom w:val="0"/>
      <w:divBdr>
        <w:top w:val="none" w:sz="0" w:space="0" w:color="auto"/>
        <w:left w:val="none" w:sz="0" w:space="0" w:color="auto"/>
        <w:bottom w:val="none" w:sz="0" w:space="0" w:color="auto"/>
        <w:right w:val="none" w:sz="0" w:space="0" w:color="auto"/>
      </w:divBdr>
    </w:div>
    <w:div w:id="1370455286">
      <w:bodyDiv w:val="1"/>
      <w:marLeft w:val="0"/>
      <w:marRight w:val="0"/>
      <w:marTop w:val="0"/>
      <w:marBottom w:val="0"/>
      <w:divBdr>
        <w:top w:val="none" w:sz="0" w:space="0" w:color="auto"/>
        <w:left w:val="none" w:sz="0" w:space="0" w:color="auto"/>
        <w:bottom w:val="none" w:sz="0" w:space="0" w:color="auto"/>
        <w:right w:val="none" w:sz="0" w:space="0" w:color="auto"/>
      </w:divBdr>
    </w:div>
    <w:div w:id="1370641693">
      <w:bodyDiv w:val="1"/>
      <w:marLeft w:val="0"/>
      <w:marRight w:val="0"/>
      <w:marTop w:val="0"/>
      <w:marBottom w:val="0"/>
      <w:divBdr>
        <w:top w:val="none" w:sz="0" w:space="0" w:color="auto"/>
        <w:left w:val="none" w:sz="0" w:space="0" w:color="auto"/>
        <w:bottom w:val="none" w:sz="0" w:space="0" w:color="auto"/>
        <w:right w:val="none" w:sz="0" w:space="0" w:color="auto"/>
      </w:divBdr>
    </w:div>
    <w:div w:id="1370691167">
      <w:bodyDiv w:val="1"/>
      <w:marLeft w:val="0"/>
      <w:marRight w:val="0"/>
      <w:marTop w:val="0"/>
      <w:marBottom w:val="0"/>
      <w:divBdr>
        <w:top w:val="none" w:sz="0" w:space="0" w:color="auto"/>
        <w:left w:val="none" w:sz="0" w:space="0" w:color="auto"/>
        <w:bottom w:val="none" w:sz="0" w:space="0" w:color="auto"/>
        <w:right w:val="none" w:sz="0" w:space="0" w:color="auto"/>
      </w:divBdr>
    </w:div>
    <w:div w:id="1370953830">
      <w:bodyDiv w:val="1"/>
      <w:marLeft w:val="0"/>
      <w:marRight w:val="0"/>
      <w:marTop w:val="0"/>
      <w:marBottom w:val="0"/>
      <w:divBdr>
        <w:top w:val="none" w:sz="0" w:space="0" w:color="auto"/>
        <w:left w:val="none" w:sz="0" w:space="0" w:color="auto"/>
        <w:bottom w:val="none" w:sz="0" w:space="0" w:color="auto"/>
        <w:right w:val="none" w:sz="0" w:space="0" w:color="auto"/>
      </w:divBdr>
    </w:div>
    <w:div w:id="1371030602">
      <w:bodyDiv w:val="1"/>
      <w:marLeft w:val="0"/>
      <w:marRight w:val="0"/>
      <w:marTop w:val="0"/>
      <w:marBottom w:val="0"/>
      <w:divBdr>
        <w:top w:val="none" w:sz="0" w:space="0" w:color="auto"/>
        <w:left w:val="none" w:sz="0" w:space="0" w:color="auto"/>
        <w:bottom w:val="none" w:sz="0" w:space="0" w:color="auto"/>
        <w:right w:val="none" w:sz="0" w:space="0" w:color="auto"/>
      </w:divBdr>
    </w:div>
    <w:div w:id="1371034394">
      <w:bodyDiv w:val="1"/>
      <w:marLeft w:val="0"/>
      <w:marRight w:val="0"/>
      <w:marTop w:val="0"/>
      <w:marBottom w:val="0"/>
      <w:divBdr>
        <w:top w:val="none" w:sz="0" w:space="0" w:color="auto"/>
        <w:left w:val="none" w:sz="0" w:space="0" w:color="auto"/>
        <w:bottom w:val="none" w:sz="0" w:space="0" w:color="auto"/>
        <w:right w:val="none" w:sz="0" w:space="0" w:color="auto"/>
      </w:divBdr>
    </w:div>
    <w:div w:id="1371221366">
      <w:bodyDiv w:val="1"/>
      <w:marLeft w:val="0"/>
      <w:marRight w:val="0"/>
      <w:marTop w:val="0"/>
      <w:marBottom w:val="0"/>
      <w:divBdr>
        <w:top w:val="none" w:sz="0" w:space="0" w:color="auto"/>
        <w:left w:val="none" w:sz="0" w:space="0" w:color="auto"/>
        <w:bottom w:val="none" w:sz="0" w:space="0" w:color="auto"/>
        <w:right w:val="none" w:sz="0" w:space="0" w:color="auto"/>
      </w:divBdr>
    </w:div>
    <w:div w:id="1371492574">
      <w:bodyDiv w:val="1"/>
      <w:marLeft w:val="0"/>
      <w:marRight w:val="0"/>
      <w:marTop w:val="0"/>
      <w:marBottom w:val="0"/>
      <w:divBdr>
        <w:top w:val="none" w:sz="0" w:space="0" w:color="auto"/>
        <w:left w:val="none" w:sz="0" w:space="0" w:color="auto"/>
        <w:bottom w:val="none" w:sz="0" w:space="0" w:color="auto"/>
        <w:right w:val="none" w:sz="0" w:space="0" w:color="auto"/>
      </w:divBdr>
    </w:div>
    <w:div w:id="1371689731">
      <w:bodyDiv w:val="1"/>
      <w:marLeft w:val="0"/>
      <w:marRight w:val="0"/>
      <w:marTop w:val="0"/>
      <w:marBottom w:val="0"/>
      <w:divBdr>
        <w:top w:val="none" w:sz="0" w:space="0" w:color="auto"/>
        <w:left w:val="none" w:sz="0" w:space="0" w:color="auto"/>
        <w:bottom w:val="none" w:sz="0" w:space="0" w:color="auto"/>
        <w:right w:val="none" w:sz="0" w:space="0" w:color="auto"/>
      </w:divBdr>
    </w:div>
    <w:div w:id="1371764938">
      <w:bodyDiv w:val="1"/>
      <w:marLeft w:val="0"/>
      <w:marRight w:val="0"/>
      <w:marTop w:val="0"/>
      <w:marBottom w:val="0"/>
      <w:divBdr>
        <w:top w:val="none" w:sz="0" w:space="0" w:color="auto"/>
        <w:left w:val="none" w:sz="0" w:space="0" w:color="auto"/>
        <w:bottom w:val="none" w:sz="0" w:space="0" w:color="auto"/>
        <w:right w:val="none" w:sz="0" w:space="0" w:color="auto"/>
      </w:divBdr>
    </w:div>
    <w:div w:id="1371807933">
      <w:bodyDiv w:val="1"/>
      <w:marLeft w:val="0"/>
      <w:marRight w:val="0"/>
      <w:marTop w:val="0"/>
      <w:marBottom w:val="0"/>
      <w:divBdr>
        <w:top w:val="none" w:sz="0" w:space="0" w:color="auto"/>
        <w:left w:val="none" w:sz="0" w:space="0" w:color="auto"/>
        <w:bottom w:val="none" w:sz="0" w:space="0" w:color="auto"/>
        <w:right w:val="none" w:sz="0" w:space="0" w:color="auto"/>
      </w:divBdr>
    </w:div>
    <w:div w:id="1371874868">
      <w:bodyDiv w:val="1"/>
      <w:marLeft w:val="0"/>
      <w:marRight w:val="0"/>
      <w:marTop w:val="0"/>
      <w:marBottom w:val="0"/>
      <w:divBdr>
        <w:top w:val="none" w:sz="0" w:space="0" w:color="auto"/>
        <w:left w:val="none" w:sz="0" w:space="0" w:color="auto"/>
        <w:bottom w:val="none" w:sz="0" w:space="0" w:color="auto"/>
        <w:right w:val="none" w:sz="0" w:space="0" w:color="auto"/>
      </w:divBdr>
    </w:div>
    <w:div w:id="1372002163">
      <w:bodyDiv w:val="1"/>
      <w:marLeft w:val="0"/>
      <w:marRight w:val="0"/>
      <w:marTop w:val="0"/>
      <w:marBottom w:val="0"/>
      <w:divBdr>
        <w:top w:val="none" w:sz="0" w:space="0" w:color="auto"/>
        <w:left w:val="none" w:sz="0" w:space="0" w:color="auto"/>
        <w:bottom w:val="none" w:sz="0" w:space="0" w:color="auto"/>
        <w:right w:val="none" w:sz="0" w:space="0" w:color="auto"/>
      </w:divBdr>
    </w:div>
    <w:div w:id="1372147761">
      <w:bodyDiv w:val="1"/>
      <w:marLeft w:val="0"/>
      <w:marRight w:val="0"/>
      <w:marTop w:val="0"/>
      <w:marBottom w:val="0"/>
      <w:divBdr>
        <w:top w:val="none" w:sz="0" w:space="0" w:color="auto"/>
        <w:left w:val="none" w:sz="0" w:space="0" w:color="auto"/>
        <w:bottom w:val="none" w:sz="0" w:space="0" w:color="auto"/>
        <w:right w:val="none" w:sz="0" w:space="0" w:color="auto"/>
      </w:divBdr>
    </w:div>
    <w:div w:id="1372266841">
      <w:bodyDiv w:val="1"/>
      <w:marLeft w:val="0"/>
      <w:marRight w:val="0"/>
      <w:marTop w:val="0"/>
      <w:marBottom w:val="0"/>
      <w:divBdr>
        <w:top w:val="none" w:sz="0" w:space="0" w:color="auto"/>
        <w:left w:val="none" w:sz="0" w:space="0" w:color="auto"/>
        <w:bottom w:val="none" w:sz="0" w:space="0" w:color="auto"/>
        <w:right w:val="none" w:sz="0" w:space="0" w:color="auto"/>
      </w:divBdr>
    </w:div>
    <w:div w:id="1372420268">
      <w:bodyDiv w:val="1"/>
      <w:marLeft w:val="0"/>
      <w:marRight w:val="0"/>
      <w:marTop w:val="0"/>
      <w:marBottom w:val="0"/>
      <w:divBdr>
        <w:top w:val="none" w:sz="0" w:space="0" w:color="auto"/>
        <w:left w:val="none" w:sz="0" w:space="0" w:color="auto"/>
        <w:bottom w:val="none" w:sz="0" w:space="0" w:color="auto"/>
        <w:right w:val="none" w:sz="0" w:space="0" w:color="auto"/>
      </w:divBdr>
    </w:div>
    <w:div w:id="1372724836">
      <w:bodyDiv w:val="1"/>
      <w:marLeft w:val="0"/>
      <w:marRight w:val="0"/>
      <w:marTop w:val="0"/>
      <w:marBottom w:val="0"/>
      <w:divBdr>
        <w:top w:val="none" w:sz="0" w:space="0" w:color="auto"/>
        <w:left w:val="none" w:sz="0" w:space="0" w:color="auto"/>
        <w:bottom w:val="none" w:sz="0" w:space="0" w:color="auto"/>
        <w:right w:val="none" w:sz="0" w:space="0" w:color="auto"/>
      </w:divBdr>
    </w:div>
    <w:div w:id="1372799032">
      <w:bodyDiv w:val="1"/>
      <w:marLeft w:val="0"/>
      <w:marRight w:val="0"/>
      <w:marTop w:val="0"/>
      <w:marBottom w:val="0"/>
      <w:divBdr>
        <w:top w:val="none" w:sz="0" w:space="0" w:color="auto"/>
        <w:left w:val="none" w:sz="0" w:space="0" w:color="auto"/>
        <w:bottom w:val="none" w:sz="0" w:space="0" w:color="auto"/>
        <w:right w:val="none" w:sz="0" w:space="0" w:color="auto"/>
      </w:divBdr>
    </w:div>
    <w:div w:id="1372807779">
      <w:bodyDiv w:val="1"/>
      <w:marLeft w:val="0"/>
      <w:marRight w:val="0"/>
      <w:marTop w:val="0"/>
      <w:marBottom w:val="0"/>
      <w:divBdr>
        <w:top w:val="none" w:sz="0" w:space="0" w:color="auto"/>
        <w:left w:val="none" w:sz="0" w:space="0" w:color="auto"/>
        <w:bottom w:val="none" w:sz="0" w:space="0" w:color="auto"/>
        <w:right w:val="none" w:sz="0" w:space="0" w:color="auto"/>
      </w:divBdr>
    </w:div>
    <w:div w:id="1372849387">
      <w:bodyDiv w:val="1"/>
      <w:marLeft w:val="0"/>
      <w:marRight w:val="0"/>
      <w:marTop w:val="0"/>
      <w:marBottom w:val="0"/>
      <w:divBdr>
        <w:top w:val="none" w:sz="0" w:space="0" w:color="auto"/>
        <w:left w:val="none" w:sz="0" w:space="0" w:color="auto"/>
        <w:bottom w:val="none" w:sz="0" w:space="0" w:color="auto"/>
        <w:right w:val="none" w:sz="0" w:space="0" w:color="auto"/>
      </w:divBdr>
    </w:div>
    <w:div w:id="1372924112">
      <w:bodyDiv w:val="1"/>
      <w:marLeft w:val="0"/>
      <w:marRight w:val="0"/>
      <w:marTop w:val="0"/>
      <w:marBottom w:val="0"/>
      <w:divBdr>
        <w:top w:val="none" w:sz="0" w:space="0" w:color="auto"/>
        <w:left w:val="none" w:sz="0" w:space="0" w:color="auto"/>
        <w:bottom w:val="none" w:sz="0" w:space="0" w:color="auto"/>
        <w:right w:val="none" w:sz="0" w:space="0" w:color="auto"/>
      </w:divBdr>
    </w:div>
    <w:div w:id="1372926056">
      <w:bodyDiv w:val="1"/>
      <w:marLeft w:val="0"/>
      <w:marRight w:val="0"/>
      <w:marTop w:val="0"/>
      <w:marBottom w:val="0"/>
      <w:divBdr>
        <w:top w:val="none" w:sz="0" w:space="0" w:color="auto"/>
        <w:left w:val="none" w:sz="0" w:space="0" w:color="auto"/>
        <w:bottom w:val="none" w:sz="0" w:space="0" w:color="auto"/>
        <w:right w:val="none" w:sz="0" w:space="0" w:color="auto"/>
      </w:divBdr>
    </w:div>
    <w:div w:id="1373262957">
      <w:bodyDiv w:val="1"/>
      <w:marLeft w:val="0"/>
      <w:marRight w:val="0"/>
      <w:marTop w:val="0"/>
      <w:marBottom w:val="0"/>
      <w:divBdr>
        <w:top w:val="none" w:sz="0" w:space="0" w:color="auto"/>
        <w:left w:val="none" w:sz="0" w:space="0" w:color="auto"/>
        <w:bottom w:val="none" w:sz="0" w:space="0" w:color="auto"/>
        <w:right w:val="none" w:sz="0" w:space="0" w:color="auto"/>
      </w:divBdr>
    </w:div>
    <w:div w:id="1373269344">
      <w:bodyDiv w:val="1"/>
      <w:marLeft w:val="0"/>
      <w:marRight w:val="0"/>
      <w:marTop w:val="0"/>
      <w:marBottom w:val="0"/>
      <w:divBdr>
        <w:top w:val="none" w:sz="0" w:space="0" w:color="auto"/>
        <w:left w:val="none" w:sz="0" w:space="0" w:color="auto"/>
        <w:bottom w:val="none" w:sz="0" w:space="0" w:color="auto"/>
        <w:right w:val="none" w:sz="0" w:space="0" w:color="auto"/>
      </w:divBdr>
    </w:div>
    <w:div w:id="1373458378">
      <w:bodyDiv w:val="1"/>
      <w:marLeft w:val="0"/>
      <w:marRight w:val="0"/>
      <w:marTop w:val="0"/>
      <w:marBottom w:val="0"/>
      <w:divBdr>
        <w:top w:val="none" w:sz="0" w:space="0" w:color="auto"/>
        <w:left w:val="none" w:sz="0" w:space="0" w:color="auto"/>
        <w:bottom w:val="none" w:sz="0" w:space="0" w:color="auto"/>
        <w:right w:val="none" w:sz="0" w:space="0" w:color="auto"/>
      </w:divBdr>
    </w:div>
    <w:div w:id="1373572176">
      <w:bodyDiv w:val="1"/>
      <w:marLeft w:val="0"/>
      <w:marRight w:val="0"/>
      <w:marTop w:val="0"/>
      <w:marBottom w:val="0"/>
      <w:divBdr>
        <w:top w:val="none" w:sz="0" w:space="0" w:color="auto"/>
        <w:left w:val="none" w:sz="0" w:space="0" w:color="auto"/>
        <w:bottom w:val="none" w:sz="0" w:space="0" w:color="auto"/>
        <w:right w:val="none" w:sz="0" w:space="0" w:color="auto"/>
      </w:divBdr>
    </w:div>
    <w:div w:id="1373579851">
      <w:bodyDiv w:val="1"/>
      <w:marLeft w:val="0"/>
      <w:marRight w:val="0"/>
      <w:marTop w:val="0"/>
      <w:marBottom w:val="0"/>
      <w:divBdr>
        <w:top w:val="none" w:sz="0" w:space="0" w:color="auto"/>
        <w:left w:val="none" w:sz="0" w:space="0" w:color="auto"/>
        <w:bottom w:val="none" w:sz="0" w:space="0" w:color="auto"/>
        <w:right w:val="none" w:sz="0" w:space="0" w:color="auto"/>
      </w:divBdr>
    </w:div>
    <w:div w:id="1373770380">
      <w:bodyDiv w:val="1"/>
      <w:marLeft w:val="0"/>
      <w:marRight w:val="0"/>
      <w:marTop w:val="0"/>
      <w:marBottom w:val="0"/>
      <w:divBdr>
        <w:top w:val="none" w:sz="0" w:space="0" w:color="auto"/>
        <w:left w:val="none" w:sz="0" w:space="0" w:color="auto"/>
        <w:bottom w:val="none" w:sz="0" w:space="0" w:color="auto"/>
        <w:right w:val="none" w:sz="0" w:space="0" w:color="auto"/>
      </w:divBdr>
    </w:div>
    <w:div w:id="1373925779">
      <w:bodyDiv w:val="1"/>
      <w:marLeft w:val="0"/>
      <w:marRight w:val="0"/>
      <w:marTop w:val="0"/>
      <w:marBottom w:val="0"/>
      <w:divBdr>
        <w:top w:val="none" w:sz="0" w:space="0" w:color="auto"/>
        <w:left w:val="none" w:sz="0" w:space="0" w:color="auto"/>
        <w:bottom w:val="none" w:sz="0" w:space="0" w:color="auto"/>
        <w:right w:val="none" w:sz="0" w:space="0" w:color="auto"/>
      </w:divBdr>
    </w:div>
    <w:div w:id="1374112383">
      <w:bodyDiv w:val="1"/>
      <w:marLeft w:val="0"/>
      <w:marRight w:val="0"/>
      <w:marTop w:val="0"/>
      <w:marBottom w:val="0"/>
      <w:divBdr>
        <w:top w:val="none" w:sz="0" w:space="0" w:color="auto"/>
        <w:left w:val="none" w:sz="0" w:space="0" w:color="auto"/>
        <w:bottom w:val="none" w:sz="0" w:space="0" w:color="auto"/>
        <w:right w:val="none" w:sz="0" w:space="0" w:color="auto"/>
      </w:divBdr>
    </w:div>
    <w:div w:id="1374429332">
      <w:bodyDiv w:val="1"/>
      <w:marLeft w:val="0"/>
      <w:marRight w:val="0"/>
      <w:marTop w:val="0"/>
      <w:marBottom w:val="0"/>
      <w:divBdr>
        <w:top w:val="none" w:sz="0" w:space="0" w:color="auto"/>
        <w:left w:val="none" w:sz="0" w:space="0" w:color="auto"/>
        <w:bottom w:val="none" w:sz="0" w:space="0" w:color="auto"/>
        <w:right w:val="none" w:sz="0" w:space="0" w:color="auto"/>
      </w:divBdr>
    </w:div>
    <w:div w:id="1374573648">
      <w:bodyDiv w:val="1"/>
      <w:marLeft w:val="0"/>
      <w:marRight w:val="0"/>
      <w:marTop w:val="0"/>
      <w:marBottom w:val="0"/>
      <w:divBdr>
        <w:top w:val="none" w:sz="0" w:space="0" w:color="auto"/>
        <w:left w:val="none" w:sz="0" w:space="0" w:color="auto"/>
        <w:bottom w:val="none" w:sz="0" w:space="0" w:color="auto"/>
        <w:right w:val="none" w:sz="0" w:space="0" w:color="auto"/>
      </w:divBdr>
    </w:div>
    <w:div w:id="1374619612">
      <w:bodyDiv w:val="1"/>
      <w:marLeft w:val="0"/>
      <w:marRight w:val="0"/>
      <w:marTop w:val="0"/>
      <w:marBottom w:val="0"/>
      <w:divBdr>
        <w:top w:val="none" w:sz="0" w:space="0" w:color="auto"/>
        <w:left w:val="none" w:sz="0" w:space="0" w:color="auto"/>
        <w:bottom w:val="none" w:sz="0" w:space="0" w:color="auto"/>
        <w:right w:val="none" w:sz="0" w:space="0" w:color="auto"/>
      </w:divBdr>
    </w:div>
    <w:div w:id="1374621740">
      <w:bodyDiv w:val="1"/>
      <w:marLeft w:val="0"/>
      <w:marRight w:val="0"/>
      <w:marTop w:val="0"/>
      <w:marBottom w:val="0"/>
      <w:divBdr>
        <w:top w:val="none" w:sz="0" w:space="0" w:color="auto"/>
        <w:left w:val="none" w:sz="0" w:space="0" w:color="auto"/>
        <w:bottom w:val="none" w:sz="0" w:space="0" w:color="auto"/>
        <w:right w:val="none" w:sz="0" w:space="0" w:color="auto"/>
      </w:divBdr>
    </w:div>
    <w:div w:id="1374816421">
      <w:bodyDiv w:val="1"/>
      <w:marLeft w:val="0"/>
      <w:marRight w:val="0"/>
      <w:marTop w:val="0"/>
      <w:marBottom w:val="0"/>
      <w:divBdr>
        <w:top w:val="none" w:sz="0" w:space="0" w:color="auto"/>
        <w:left w:val="none" w:sz="0" w:space="0" w:color="auto"/>
        <w:bottom w:val="none" w:sz="0" w:space="0" w:color="auto"/>
        <w:right w:val="none" w:sz="0" w:space="0" w:color="auto"/>
      </w:divBdr>
    </w:div>
    <w:div w:id="1374964794">
      <w:bodyDiv w:val="1"/>
      <w:marLeft w:val="0"/>
      <w:marRight w:val="0"/>
      <w:marTop w:val="0"/>
      <w:marBottom w:val="0"/>
      <w:divBdr>
        <w:top w:val="none" w:sz="0" w:space="0" w:color="auto"/>
        <w:left w:val="none" w:sz="0" w:space="0" w:color="auto"/>
        <w:bottom w:val="none" w:sz="0" w:space="0" w:color="auto"/>
        <w:right w:val="none" w:sz="0" w:space="0" w:color="auto"/>
      </w:divBdr>
    </w:div>
    <w:div w:id="1375274736">
      <w:bodyDiv w:val="1"/>
      <w:marLeft w:val="0"/>
      <w:marRight w:val="0"/>
      <w:marTop w:val="0"/>
      <w:marBottom w:val="0"/>
      <w:divBdr>
        <w:top w:val="none" w:sz="0" w:space="0" w:color="auto"/>
        <w:left w:val="none" w:sz="0" w:space="0" w:color="auto"/>
        <w:bottom w:val="none" w:sz="0" w:space="0" w:color="auto"/>
        <w:right w:val="none" w:sz="0" w:space="0" w:color="auto"/>
      </w:divBdr>
    </w:div>
    <w:div w:id="1375348841">
      <w:bodyDiv w:val="1"/>
      <w:marLeft w:val="0"/>
      <w:marRight w:val="0"/>
      <w:marTop w:val="0"/>
      <w:marBottom w:val="0"/>
      <w:divBdr>
        <w:top w:val="none" w:sz="0" w:space="0" w:color="auto"/>
        <w:left w:val="none" w:sz="0" w:space="0" w:color="auto"/>
        <w:bottom w:val="none" w:sz="0" w:space="0" w:color="auto"/>
        <w:right w:val="none" w:sz="0" w:space="0" w:color="auto"/>
      </w:divBdr>
    </w:div>
    <w:div w:id="1375615926">
      <w:bodyDiv w:val="1"/>
      <w:marLeft w:val="0"/>
      <w:marRight w:val="0"/>
      <w:marTop w:val="0"/>
      <w:marBottom w:val="0"/>
      <w:divBdr>
        <w:top w:val="none" w:sz="0" w:space="0" w:color="auto"/>
        <w:left w:val="none" w:sz="0" w:space="0" w:color="auto"/>
        <w:bottom w:val="none" w:sz="0" w:space="0" w:color="auto"/>
        <w:right w:val="none" w:sz="0" w:space="0" w:color="auto"/>
      </w:divBdr>
    </w:div>
    <w:div w:id="1375618127">
      <w:bodyDiv w:val="1"/>
      <w:marLeft w:val="0"/>
      <w:marRight w:val="0"/>
      <w:marTop w:val="0"/>
      <w:marBottom w:val="0"/>
      <w:divBdr>
        <w:top w:val="none" w:sz="0" w:space="0" w:color="auto"/>
        <w:left w:val="none" w:sz="0" w:space="0" w:color="auto"/>
        <w:bottom w:val="none" w:sz="0" w:space="0" w:color="auto"/>
        <w:right w:val="none" w:sz="0" w:space="0" w:color="auto"/>
      </w:divBdr>
    </w:div>
    <w:div w:id="1375736735">
      <w:bodyDiv w:val="1"/>
      <w:marLeft w:val="0"/>
      <w:marRight w:val="0"/>
      <w:marTop w:val="0"/>
      <w:marBottom w:val="0"/>
      <w:divBdr>
        <w:top w:val="none" w:sz="0" w:space="0" w:color="auto"/>
        <w:left w:val="none" w:sz="0" w:space="0" w:color="auto"/>
        <w:bottom w:val="none" w:sz="0" w:space="0" w:color="auto"/>
        <w:right w:val="none" w:sz="0" w:space="0" w:color="auto"/>
      </w:divBdr>
    </w:div>
    <w:div w:id="1375883206">
      <w:bodyDiv w:val="1"/>
      <w:marLeft w:val="0"/>
      <w:marRight w:val="0"/>
      <w:marTop w:val="0"/>
      <w:marBottom w:val="0"/>
      <w:divBdr>
        <w:top w:val="none" w:sz="0" w:space="0" w:color="auto"/>
        <w:left w:val="none" w:sz="0" w:space="0" w:color="auto"/>
        <w:bottom w:val="none" w:sz="0" w:space="0" w:color="auto"/>
        <w:right w:val="none" w:sz="0" w:space="0" w:color="auto"/>
      </w:divBdr>
    </w:div>
    <w:div w:id="1375888069">
      <w:bodyDiv w:val="1"/>
      <w:marLeft w:val="0"/>
      <w:marRight w:val="0"/>
      <w:marTop w:val="0"/>
      <w:marBottom w:val="0"/>
      <w:divBdr>
        <w:top w:val="none" w:sz="0" w:space="0" w:color="auto"/>
        <w:left w:val="none" w:sz="0" w:space="0" w:color="auto"/>
        <w:bottom w:val="none" w:sz="0" w:space="0" w:color="auto"/>
        <w:right w:val="none" w:sz="0" w:space="0" w:color="auto"/>
      </w:divBdr>
    </w:div>
    <w:div w:id="1375928442">
      <w:bodyDiv w:val="1"/>
      <w:marLeft w:val="0"/>
      <w:marRight w:val="0"/>
      <w:marTop w:val="0"/>
      <w:marBottom w:val="0"/>
      <w:divBdr>
        <w:top w:val="none" w:sz="0" w:space="0" w:color="auto"/>
        <w:left w:val="none" w:sz="0" w:space="0" w:color="auto"/>
        <w:bottom w:val="none" w:sz="0" w:space="0" w:color="auto"/>
        <w:right w:val="none" w:sz="0" w:space="0" w:color="auto"/>
      </w:divBdr>
    </w:div>
    <w:div w:id="1376003152">
      <w:bodyDiv w:val="1"/>
      <w:marLeft w:val="0"/>
      <w:marRight w:val="0"/>
      <w:marTop w:val="0"/>
      <w:marBottom w:val="0"/>
      <w:divBdr>
        <w:top w:val="none" w:sz="0" w:space="0" w:color="auto"/>
        <w:left w:val="none" w:sz="0" w:space="0" w:color="auto"/>
        <w:bottom w:val="none" w:sz="0" w:space="0" w:color="auto"/>
        <w:right w:val="none" w:sz="0" w:space="0" w:color="auto"/>
      </w:divBdr>
    </w:div>
    <w:div w:id="1376077158">
      <w:bodyDiv w:val="1"/>
      <w:marLeft w:val="0"/>
      <w:marRight w:val="0"/>
      <w:marTop w:val="0"/>
      <w:marBottom w:val="0"/>
      <w:divBdr>
        <w:top w:val="none" w:sz="0" w:space="0" w:color="auto"/>
        <w:left w:val="none" w:sz="0" w:space="0" w:color="auto"/>
        <w:bottom w:val="none" w:sz="0" w:space="0" w:color="auto"/>
        <w:right w:val="none" w:sz="0" w:space="0" w:color="auto"/>
      </w:divBdr>
    </w:div>
    <w:div w:id="1376389784">
      <w:bodyDiv w:val="1"/>
      <w:marLeft w:val="0"/>
      <w:marRight w:val="0"/>
      <w:marTop w:val="0"/>
      <w:marBottom w:val="0"/>
      <w:divBdr>
        <w:top w:val="none" w:sz="0" w:space="0" w:color="auto"/>
        <w:left w:val="none" w:sz="0" w:space="0" w:color="auto"/>
        <w:bottom w:val="none" w:sz="0" w:space="0" w:color="auto"/>
        <w:right w:val="none" w:sz="0" w:space="0" w:color="auto"/>
      </w:divBdr>
    </w:div>
    <w:div w:id="1376538954">
      <w:bodyDiv w:val="1"/>
      <w:marLeft w:val="0"/>
      <w:marRight w:val="0"/>
      <w:marTop w:val="0"/>
      <w:marBottom w:val="0"/>
      <w:divBdr>
        <w:top w:val="none" w:sz="0" w:space="0" w:color="auto"/>
        <w:left w:val="none" w:sz="0" w:space="0" w:color="auto"/>
        <w:bottom w:val="none" w:sz="0" w:space="0" w:color="auto"/>
        <w:right w:val="none" w:sz="0" w:space="0" w:color="auto"/>
      </w:divBdr>
    </w:div>
    <w:div w:id="1376539398">
      <w:bodyDiv w:val="1"/>
      <w:marLeft w:val="0"/>
      <w:marRight w:val="0"/>
      <w:marTop w:val="0"/>
      <w:marBottom w:val="0"/>
      <w:divBdr>
        <w:top w:val="none" w:sz="0" w:space="0" w:color="auto"/>
        <w:left w:val="none" w:sz="0" w:space="0" w:color="auto"/>
        <w:bottom w:val="none" w:sz="0" w:space="0" w:color="auto"/>
        <w:right w:val="none" w:sz="0" w:space="0" w:color="auto"/>
      </w:divBdr>
    </w:div>
    <w:div w:id="1376660904">
      <w:bodyDiv w:val="1"/>
      <w:marLeft w:val="0"/>
      <w:marRight w:val="0"/>
      <w:marTop w:val="0"/>
      <w:marBottom w:val="0"/>
      <w:divBdr>
        <w:top w:val="none" w:sz="0" w:space="0" w:color="auto"/>
        <w:left w:val="none" w:sz="0" w:space="0" w:color="auto"/>
        <w:bottom w:val="none" w:sz="0" w:space="0" w:color="auto"/>
        <w:right w:val="none" w:sz="0" w:space="0" w:color="auto"/>
      </w:divBdr>
    </w:div>
    <w:div w:id="1377196047">
      <w:bodyDiv w:val="1"/>
      <w:marLeft w:val="0"/>
      <w:marRight w:val="0"/>
      <w:marTop w:val="0"/>
      <w:marBottom w:val="0"/>
      <w:divBdr>
        <w:top w:val="none" w:sz="0" w:space="0" w:color="auto"/>
        <w:left w:val="none" w:sz="0" w:space="0" w:color="auto"/>
        <w:bottom w:val="none" w:sz="0" w:space="0" w:color="auto"/>
        <w:right w:val="none" w:sz="0" w:space="0" w:color="auto"/>
      </w:divBdr>
    </w:div>
    <w:div w:id="1377512722">
      <w:bodyDiv w:val="1"/>
      <w:marLeft w:val="0"/>
      <w:marRight w:val="0"/>
      <w:marTop w:val="0"/>
      <w:marBottom w:val="0"/>
      <w:divBdr>
        <w:top w:val="none" w:sz="0" w:space="0" w:color="auto"/>
        <w:left w:val="none" w:sz="0" w:space="0" w:color="auto"/>
        <w:bottom w:val="none" w:sz="0" w:space="0" w:color="auto"/>
        <w:right w:val="none" w:sz="0" w:space="0" w:color="auto"/>
      </w:divBdr>
    </w:div>
    <w:div w:id="1377655190">
      <w:bodyDiv w:val="1"/>
      <w:marLeft w:val="0"/>
      <w:marRight w:val="0"/>
      <w:marTop w:val="0"/>
      <w:marBottom w:val="0"/>
      <w:divBdr>
        <w:top w:val="none" w:sz="0" w:space="0" w:color="auto"/>
        <w:left w:val="none" w:sz="0" w:space="0" w:color="auto"/>
        <w:bottom w:val="none" w:sz="0" w:space="0" w:color="auto"/>
        <w:right w:val="none" w:sz="0" w:space="0" w:color="auto"/>
      </w:divBdr>
    </w:div>
    <w:div w:id="1377899043">
      <w:bodyDiv w:val="1"/>
      <w:marLeft w:val="0"/>
      <w:marRight w:val="0"/>
      <w:marTop w:val="0"/>
      <w:marBottom w:val="0"/>
      <w:divBdr>
        <w:top w:val="none" w:sz="0" w:space="0" w:color="auto"/>
        <w:left w:val="none" w:sz="0" w:space="0" w:color="auto"/>
        <w:bottom w:val="none" w:sz="0" w:space="0" w:color="auto"/>
        <w:right w:val="none" w:sz="0" w:space="0" w:color="auto"/>
      </w:divBdr>
    </w:div>
    <w:div w:id="1378045124">
      <w:bodyDiv w:val="1"/>
      <w:marLeft w:val="0"/>
      <w:marRight w:val="0"/>
      <w:marTop w:val="0"/>
      <w:marBottom w:val="0"/>
      <w:divBdr>
        <w:top w:val="none" w:sz="0" w:space="0" w:color="auto"/>
        <w:left w:val="none" w:sz="0" w:space="0" w:color="auto"/>
        <w:bottom w:val="none" w:sz="0" w:space="0" w:color="auto"/>
        <w:right w:val="none" w:sz="0" w:space="0" w:color="auto"/>
      </w:divBdr>
    </w:div>
    <w:div w:id="1378817845">
      <w:bodyDiv w:val="1"/>
      <w:marLeft w:val="0"/>
      <w:marRight w:val="0"/>
      <w:marTop w:val="0"/>
      <w:marBottom w:val="0"/>
      <w:divBdr>
        <w:top w:val="none" w:sz="0" w:space="0" w:color="auto"/>
        <w:left w:val="none" w:sz="0" w:space="0" w:color="auto"/>
        <w:bottom w:val="none" w:sz="0" w:space="0" w:color="auto"/>
        <w:right w:val="none" w:sz="0" w:space="0" w:color="auto"/>
      </w:divBdr>
    </w:div>
    <w:div w:id="1378970324">
      <w:bodyDiv w:val="1"/>
      <w:marLeft w:val="0"/>
      <w:marRight w:val="0"/>
      <w:marTop w:val="0"/>
      <w:marBottom w:val="0"/>
      <w:divBdr>
        <w:top w:val="none" w:sz="0" w:space="0" w:color="auto"/>
        <w:left w:val="none" w:sz="0" w:space="0" w:color="auto"/>
        <w:bottom w:val="none" w:sz="0" w:space="0" w:color="auto"/>
        <w:right w:val="none" w:sz="0" w:space="0" w:color="auto"/>
      </w:divBdr>
    </w:div>
    <w:div w:id="1379083622">
      <w:bodyDiv w:val="1"/>
      <w:marLeft w:val="0"/>
      <w:marRight w:val="0"/>
      <w:marTop w:val="0"/>
      <w:marBottom w:val="0"/>
      <w:divBdr>
        <w:top w:val="none" w:sz="0" w:space="0" w:color="auto"/>
        <w:left w:val="none" w:sz="0" w:space="0" w:color="auto"/>
        <w:bottom w:val="none" w:sz="0" w:space="0" w:color="auto"/>
        <w:right w:val="none" w:sz="0" w:space="0" w:color="auto"/>
      </w:divBdr>
    </w:div>
    <w:div w:id="1379084859">
      <w:bodyDiv w:val="1"/>
      <w:marLeft w:val="0"/>
      <w:marRight w:val="0"/>
      <w:marTop w:val="0"/>
      <w:marBottom w:val="0"/>
      <w:divBdr>
        <w:top w:val="none" w:sz="0" w:space="0" w:color="auto"/>
        <w:left w:val="none" w:sz="0" w:space="0" w:color="auto"/>
        <w:bottom w:val="none" w:sz="0" w:space="0" w:color="auto"/>
        <w:right w:val="none" w:sz="0" w:space="0" w:color="auto"/>
      </w:divBdr>
    </w:div>
    <w:div w:id="1379087770">
      <w:bodyDiv w:val="1"/>
      <w:marLeft w:val="0"/>
      <w:marRight w:val="0"/>
      <w:marTop w:val="0"/>
      <w:marBottom w:val="0"/>
      <w:divBdr>
        <w:top w:val="none" w:sz="0" w:space="0" w:color="auto"/>
        <w:left w:val="none" w:sz="0" w:space="0" w:color="auto"/>
        <w:bottom w:val="none" w:sz="0" w:space="0" w:color="auto"/>
        <w:right w:val="none" w:sz="0" w:space="0" w:color="auto"/>
      </w:divBdr>
    </w:div>
    <w:div w:id="1379208699">
      <w:bodyDiv w:val="1"/>
      <w:marLeft w:val="0"/>
      <w:marRight w:val="0"/>
      <w:marTop w:val="0"/>
      <w:marBottom w:val="0"/>
      <w:divBdr>
        <w:top w:val="none" w:sz="0" w:space="0" w:color="auto"/>
        <w:left w:val="none" w:sz="0" w:space="0" w:color="auto"/>
        <w:bottom w:val="none" w:sz="0" w:space="0" w:color="auto"/>
        <w:right w:val="none" w:sz="0" w:space="0" w:color="auto"/>
      </w:divBdr>
    </w:div>
    <w:div w:id="1379235146">
      <w:bodyDiv w:val="1"/>
      <w:marLeft w:val="0"/>
      <w:marRight w:val="0"/>
      <w:marTop w:val="0"/>
      <w:marBottom w:val="0"/>
      <w:divBdr>
        <w:top w:val="none" w:sz="0" w:space="0" w:color="auto"/>
        <w:left w:val="none" w:sz="0" w:space="0" w:color="auto"/>
        <w:bottom w:val="none" w:sz="0" w:space="0" w:color="auto"/>
        <w:right w:val="none" w:sz="0" w:space="0" w:color="auto"/>
      </w:divBdr>
    </w:div>
    <w:div w:id="1379430587">
      <w:bodyDiv w:val="1"/>
      <w:marLeft w:val="0"/>
      <w:marRight w:val="0"/>
      <w:marTop w:val="0"/>
      <w:marBottom w:val="0"/>
      <w:divBdr>
        <w:top w:val="none" w:sz="0" w:space="0" w:color="auto"/>
        <w:left w:val="none" w:sz="0" w:space="0" w:color="auto"/>
        <w:bottom w:val="none" w:sz="0" w:space="0" w:color="auto"/>
        <w:right w:val="none" w:sz="0" w:space="0" w:color="auto"/>
      </w:divBdr>
    </w:div>
    <w:div w:id="1379551018">
      <w:bodyDiv w:val="1"/>
      <w:marLeft w:val="0"/>
      <w:marRight w:val="0"/>
      <w:marTop w:val="0"/>
      <w:marBottom w:val="0"/>
      <w:divBdr>
        <w:top w:val="none" w:sz="0" w:space="0" w:color="auto"/>
        <w:left w:val="none" w:sz="0" w:space="0" w:color="auto"/>
        <w:bottom w:val="none" w:sz="0" w:space="0" w:color="auto"/>
        <w:right w:val="none" w:sz="0" w:space="0" w:color="auto"/>
      </w:divBdr>
    </w:div>
    <w:div w:id="1379552013">
      <w:bodyDiv w:val="1"/>
      <w:marLeft w:val="0"/>
      <w:marRight w:val="0"/>
      <w:marTop w:val="0"/>
      <w:marBottom w:val="0"/>
      <w:divBdr>
        <w:top w:val="none" w:sz="0" w:space="0" w:color="auto"/>
        <w:left w:val="none" w:sz="0" w:space="0" w:color="auto"/>
        <w:bottom w:val="none" w:sz="0" w:space="0" w:color="auto"/>
        <w:right w:val="none" w:sz="0" w:space="0" w:color="auto"/>
      </w:divBdr>
    </w:div>
    <w:div w:id="1379667354">
      <w:bodyDiv w:val="1"/>
      <w:marLeft w:val="0"/>
      <w:marRight w:val="0"/>
      <w:marTop w:val="0"/>
      <w:marBottom w:val="0"/>
      <w:divBdr>
        <w:top w:val="none" w:sz="0" w:space="0" w:color="auto"/>
        <w:left w:val="none" w:sz="0" w:space="0" w:color="auto"/>
        <w:bottom w:val="none" w:sz="0" w:space="0" w:color="auto"/>
        <w:right w:val="none" w:sz="0" w:space="0" w:color="auto"/>
      </w:divBdr>
    </w:div>
    <w:div w:id="1379671649">
      <w:bodyDiv w:val="1"/>
      <w:marLeft w:val="0"/>
      <w:marRight w:val="0"/>
      <w:marTop w:val="0"/>
      <w:marBottom w:val="0"/>
      <w:divBdr>
        <w:top w:val="none" w:sz="0" w:space="0" w:color="auto"/>
        <w:left w:val="none" w:sz="0" w:space="0" w:color="auto"/>
        <w:bottom w:val="none" w:sz="0" w:space="0" w:color="auto"/>
        <w:right w:val="none" w:sz="0" w:space="0" w:color="auto"/>
      </w:divBdr>
    </w:div>
    <w:div w:id="1380058815">
      <w:bodyDiv w:val="1"/>
      <w:marLeft w:val="0"/>
      <w:marRight w:val="0"/>
      <w:marTop w:val="0"/>
      <w:marBottom w:val="0"/>
      <w:divBdr>
        <w:top w:val="none" w:sz="0" w:space="0" w:color="auto"/>
        <w:left w:val="none" w:sz="0" w:space="0" w:color="auto"/>
        <w:bottom w:val="none" w:sz="0" w:space="0" w:color="auto"/>
        <w:right w:val="none" w:sz="0" w:space="0" w:color="auto"/>
      </w:divBdr>
    </w:div>
    <w:div w:id="1380125165">
      <w:bodyDiv w:val="1"/>
      <w:marLeft w:val="0"/>
      <w:marRight w:val="0"/>
      <w:marTop w:val="0"/>
      <w:marBottom w:val="0"/>
      <w:divBdr>
        <w:top w:val="none" w:sz="0" w:space="0" w:color="auto"/>
        <w:left w:val="none" w:sz="0" w:space="0" w:color="auto"/>
        <w:bottom w:val="none" w:sz="0" w:space="0" w:color="auto"/>
        <w:right w:val="none" w:sz="0" w:space="0" w:color="auto"/>
      </w:divBdr>
    </w:div>
    <w:div w:id="1380208817">
      <w:bodyDiv w:val="1"/>
      <w:marLeft w:val="0"/>
      <w:marRight w:val="0"/>
      <w:marTop w:val="0"/>
      <w:marBottom w:val="0"/>
      <w:divBdr>
        <w:top w:val="none" w:sz="0" w:space="0" w:color="auto"/>
        <w:left w:val="none" w:sz="0" w:space="0" w:color="auto"/>
        <w:bottom w:val="none" w:sz="0" w:space="0" w:color="auto"/>
        <w:right w:val="none" w:sz="0" w:space="0" w:color="auto"/>
      </w:divBdr>
    </w:div>
    <w:div w:id="1380277949">
      <w:bodyDiv w:val="1"/>
      <w:marLeft w:val="0"/>
      <w:marRight w:val="0"/>
      <w:marTop w:val="0"/>
      <w:marBottom w:val="0"/>
      <w:divBdr>
        <w:top w:val="none" w:sz="0" w:space="0" w:color="auto"/>
        <w:left w:val="none" w:sz="0" w:space="0" w:color="auto"/>
        <w:bottom w:val="none" w:sz="0" w:space="0" w:color="auto"/>
        <w:right w:val="none" w:sz="0" w:space="0" w:color="auto"/>
      </w:divBdr>
    </w:div>
    <w:div w:id="1380285124">
      <w:bodyDiv w:val="1"/>
      <w:marLeft w:val="0"/>
      <w:marRight w:val="0"/>
      <w:marTop w:val="0"/>
      <w:marBottom w:val="0"/>
      <w:divBdr>
        <w:top w:val="none" w:sz="0" w:space="0" w:color="auto"/>
        <w:left w:val="none" w:sz="0" w:space="0" w:color="auto"/>
        <w:bottom w:val="none" w:sz="0" w:space="0" w:color="auto"/>
        <w:right w:val="none" w:sz="0" w:space="0" w:color="auto"/>
      </w:divBdr>
    </w:div>
    <w:div w:id="1380324321">
      <w:bodyDiv w:val="1"/>
      <w:marLeft w:val="0"/>
      <w:marRight w:val="0"/>
      <w:marTop w:val="0"/>
      <w:marBottom w:val="0"/>
      <w:divBdr>
        <w:top w:val="none" w:sz="0" w:space="0" w:color="auto"/>
        <w:left w:val="none" w:sz="0" w:space="0" w:color="auto"/>
        <w:bottom w:val="none" w:sz="0" w:space="0" w:color="auto"/>
        <w:right w:val="none" w:sz="0" w:space="0" w:color="auto"/>
      </w:divBdr>
    </w:div>
    <w:div w:id="1380324556">
      <w:bodyDiv w:val="1"/>
      <w:marLeft w:val="0"/>
      <w:marRight w:val="0"/>
      <w:marTop w:val="0"/>
      <w:marBottom w:val="0"/>
      <w:divBdr>
        <w:top w:val="none" w:sz="0" w:space="0" w:color="auto"/>
        <w:left w:val="none" w:sz="0" w:space="0" w:color="auto"/>
        <w:bottom w:val="none" w:sz="0" w:space="0" w:color="auto"/>
        <w:right w:val="none" w:sz="0" w:space="0" w:color="auto"/>
      </w:divBdr>
    </w:div>
    <w:div w:id="1380351721">
      <w:bodyDiv w:val="1"/>
      <w:marLeft w:val="0"/>
      <w:marRight w:val="0"/>
      <w:marTop w:val="0"/>
      <w:marBottom w:val="0"/>
      <w:divBdr>
        <w:top w:val="none" w:sz="0" w:space="0" w:color="auto"/>
        <w:left w:val="none" w:sz="0" w:space="0" w:color="auto"/>
        <w:bottom w:val="none" w:sz="0" w:space="0" w:color="auto"/>
        <w:right w:val="none" w:sz="0" w:space="0" w:color="auto"/>
      </w:divBdr>
    </w:div>
    <w:div w:id="1380586897">
      <w:bodyDiv w:val="1"/>
      <w:marLeft w:val="0"/>
      <w:marRight w:val="0"/>
      <w:marTop w:val="0"/>
      <w:marBottom w:val="0"/>
      <w:divBdr>
        <w:top w:val="none" w:sz="0" w:space="0" w:color="auto"/>
        <w:left w:val="none" w:sz="0" w:space="0" w:color="auto"/>
        <w:bottom w:val="none" w:sz="0" w:space="0" w:color="auto"/>
        <w:right w:val="none" w:sz="0" w:space="0" w:color="auto"/>
      </w:divBdr>
    </w:div>
    <w:div w:id="1380592491">
      <w:bodyDiv w:val="1"/>
      <w:marLeft w:val="0"/>
      <w:marRight w:val="0"/>
      <w:marTop w:val="0"/>
      <w:marBottom w:val="0"/>
      <w:divBdr>
        <w:top w:val="none" w:sz="0" w:space="0" w:color="auto"/>
        <w:left w:val="none" w:sz="0" w:space="0" w:color="auto"/>
        <w:bottom w:val="none" w:sz="0" w:space="0" w:color="auto"/>
        <w:right w:val="none" w:sz="0" w:space="0" w:color="auto"/>
      </w:divBdr>
    </w:div>
    <w:div w:id="1380744014">
      <w:bodyDiv w:val="1"/>
      <w:marLeft w:val="0"/>
      <w:marRight w:val="0"/>
      <w:marTop w:val="0"/>
      <w:marBottom w:val="0"/>
      <w:divBdr>
        <w:top w:val="none" w:sz="0" w:space="0" w:color="auto"/>
        <w:left w:val="none" w:sz="0" w:space="0" w:color="auto"/>
        <w:bottom w:val="none" w:sz="0" w:space="0" w:color="auto"/>
        <w:right w:val="none" w:sz="0" w:space="0" w:color="auto"/>
      </w:divBdr>
    </w:div>
    <w:div w:id="1380782175">
      <w:bodyDiv w:val="1"/>
      <w:marLeft w:val="0"/>
      <w:marRight w:val="0"/>
      <w:marTop w:val="0"/>
      <w:marBottom w:val="0"/>
      <w:divBdr>
        <w:top w:val="none" w:sz="0" w:space="0" w:color="auto"/>
        <w:left w:val="none" w:sz="0" w:space="0" w:color="auto"/>
        <w:bottom w:val="none" w:sz="0" w:space="0" w:color="auto"/>
        <w:right w:val="none" w:sz="0" w:space="0" w:color="auto"/>
      </w:divBdr>
    </w:div>
    <w:div w:id="1380856963">
      <w:bodyDiv w:val="1"/>
      <w:marLeft w:val="0"/>
      <w:marRight w:val="0"/>
      <w:marTop w:val="0"/>
      <w:marBottom w:val="0"/>
      <w:divBdr>
        <w:top w:val="none" w:sz="0" w:space="0" w:color="auto"/>
        <w:left w:val="none" w:sz="0" w:space="0" w:color="auto"/>
        <w:bottom w:val="none" w:sz="0" w:space="0" w:color="auto"/>
        <w:right w:val="none" w:sz="0" w:space="0" w:color="auto"/>
      </w:divBdr>
    </w:div>
    <w:div w:id="1380934219">
      <w:bodyDiv w:val="1"/>
      <w:marLeft w:val="0"/>
      <w:marRight w:val="0"/>
      <w:marTop w:val="0"/>
      <w:marBottom w:val="0"/>
      <w:divBdr>
        <w:top w:val="none" w:sz="0" w:space="0" w:color="auto"/>
        <w:left w:val="none" w:sz="0" w:space="0" w:color="auto"/>
        <w:bottom w:val="none" w:sz="0" w:space="0" w:color="auto"/>
        <w:right w:val="none" w:sz="0" w:space="0" w:color="auto"/>
      </w:divBdr>
    </w:div>
    <w:div w:id="1380938442">
      <w:bodyDiv w:val="1"/>
      <w:marLeft w:val="0"/>
      <w:marRight w:val="0"/>
      <w:marTop w:val="0"/>
      <w:marBottom w:val="0"/>
      <w:divBdr>
        <w:top w:val="none" w:sz="0" w:space="0" w:color="auto"/>
        <w:left w:val="none" w:sz="0" w:space="0" w:color="auto"/>
        <w:bottom w:val="none" w:sz="0" w:space="0" w:color="auto"/>
        <w:right w:val="none" w:sz="0" w:space="0" w:color="auto"/>
      </w:divBdr>
    </w:div>
    <w:div w:id="1380978487">
      <w:bodyDiv w:val="1"/>
      <w:marLeft w:val="0"/>
      <w:marRight w:val="0"/>
      <w:marTop w:val="0"/>
      <w:marBottom w:val="0"/>
      <w:divBdr>
        <w:top w:val="none" w:sz="0" w:space="0" w:color="auto"/>
        <w:left w:val="none" w:sz="0" w:space="0" w:color="auto"/>
        <w:bottom w:val="none" w:sz="0" w:space="0" w:color="auto"/>
        <w:right w:val="none" w:sz="0" w:space="0" w:color="auto"/>
      </w:divBdr>
    </w:div>
    <w:div w:id="1381048771">
      <w:bodyDiv w:val="1"/>
      <w:marLeft w:val="0"/>
      <w:marRight w:val="0"/>
      <w:marTop w:val="0"/>
      <w:marBottom w:val="0"/>
      <w:divBdr>
        <w:top w:val="none" w:sz="0" w:space="0" w:color="auto"/>
        <w:left w:val="none" w:sz="0" w:space="0" w:color="auto"/>
        <w:bottom w:val="none" w:sz="0" w:space="0" w:color="auto"/>
        <w:right w:val="none" w:sz="0" w:space="0" w:color="auto"/>
      </w:divBdr>
    </w:div>
    <w:div w:id="1381053925">
      <w:bodyDiv w:val="1"/>
      <w:marLeft w:val="0"/>
      <w:marRight w:val="0"/>
      <w:marTop w:val="0"/>
      <w:marBottom w:val="0"/>
      <w:divBdr>
        <w:top w:val="none" w:sz="0" w:space="0" w:color="auto"/>
        <w:left w:val="none" w:sz="0" w:space="0" w:color="auto"/>
        <w:bottom w:val="none" w:sz="0" w:space="0" w:color="auto"/>
        <w:right w:val="none" w:sz="0" w:space="0" w:color="auto"/>
      </w:divBdr>
    </w:div>
    <w:div w:id="1381126425">
      <w:bodyDiv w:val="1"/>
      <w:marLeft w:val="0"/>
      <w:marRight w:val="0"/>
      <w:marTop w:val="0"/>
      <w:marBottom w:val="0"/>
      <w:divBdr>
        <w:top w:val="none" w:sz="0" w:space="0" w:color="auto"/>
        <w:left w:val="none" w:sz="0" w:space="0" w:color="auto"/>
        <w:bottom w:val="none" w:sz="0" w:space="0" w:color="auto"/>
        <w:right w:val="none" w:sz="0" w:space="0" w:color="auto"/>
      </w:divBdr>
    </w:div>
    <w:div w:id="1381175601">
      <w:bodyDiv w:val="1"/>
      <w:marLeft w:val="0"/>
      <w:marRight w:val="0"/>
      <w:marTop w:val="0"/>
      <w:marBottom w:val="0"/>
      <w:divBdr>
        <w:top w:val="none" w:sz="0" w:space="0" w:color="auto"/>
        <w:left w:val="none" w:sz="0" w:space="0" w:color="auto"/>
        <w:bottom w:val="none" w:sz="0" w:space="0" w:color="auto"/>
        <w:right w:val="none" w:sz="0" w:space="0" w:color="auto"/>
      </w:divBdr>
    </w:div>
    <w:div w:id="1381242780">
      <w:bodyDiv w:val="1"/>
      <w:marLeft w:val="0"/>
      <w:marRight w:val="0"/>
      <w:marTop w:val="0"/>
      <w:marBottom w:val="0"/>
      <w:divBdr>
        <w:top w:val="none" w:sz="0" w:space="0" w:color="auto"/>
        <w:left w:val="none" w:sz="0" w:space="0" w:color="auto"/>
        <w:bottom w:val="none" w:sz="0" w:space="0" w:color="auto"/>
        <w:right w:val="none" w:sz="0" w:space="0" w:color="auto"/>
      </w:divBdr>
    </w:div>
    <w:div w:id="1381244755">
      <w:bodyDiv w:val="1"/>
      <w:marLeft w:val="0"/>
      <w:marRight w:val="0"/>
      <w:marTop w:val="0"/>
      <w:marBottom w:val="0"/>
      <w:divBdr>
        <w:top w:val="none" w:sz="0" w:space="0" w:color="auto"/>
        <w:left w:val="none" w:sz="0" w:space="0" w:color="auto"/>
        <w:bottom w:val="none" w:sz="0" w:space="0" w:color="auto"/>
        <w:right w:val="none" w:sz="0" w:space="0" w:color="auto"/>
      </w:divBdr>
    </w:div>
    <w:div w:id="1381323618">
      <w:bodyDiv w:val="1"/>
      <w:marLeft w:val="0"/>
      <w:marRight w:val="0"/>
      <w:marTop w:val="0"/>
      <w:marBottom w:val="0"/>
      <w:divBdr>
        <w:top w:val="none" w:sz="0" w:space="0" w:color="auto"/>
        <w:left w:val="none" w:sz="0" w:space="0" w:color="auto"/>
        <w:bottom w:val="none" w:sz="0" w:space="0" w:color="auto"/>
        <w:right w:val="none" w:sz="0" w:space="0" w:color="auto"/>
      </w:divBdr>
    </w:div>
    <w:div w:id="1381436432">
      <w:bodyDiv w:val="1"/>
      <w:marLeft w:val="0"/>
      <w:marRight w:val="0"/>
      <w:marTop w:val="0"/>
      <w:marBottom w:val="0"/>
      <w:divBdr>
        <w:top w:val="none" w:sz="0" w:space="0" w:color="auto"/>
        <w:left w:val="none" w:sz="0" w:space="0" w:color="auto"/>
        <w:bottom w:val="none" w:sz="0" w:space="0" w:color="auto"/>
        <w:right w:val="none" w:sz="0" w:space="0" w:color="auto"/>
      </w:divBdr>
    </w:div>
    <w:div w:id="1381442169">
      <w:bodyDiv w:val="1"/>
      <w:marLeft w:val="0"/>
      <w:marRight w:val="0"/>
      <w:marTop w:val="0"/>
      <w:marBottom w:val="0"/>
      <w:divBdr>
        <w:top w:val="none" w:sz="0" w:space="0" w:color="auto"/>
        <w:left w:val="none" w:sz="0" w:space="0" w:color="auto"/>
        <w:bottom w:val="none" w:sz="0" w:space="0" w:color="auto"/>
        <w:right w:val="none" w:sz="0" w:space="0" w:color="auto"/>
      </w:divBdr>
    </w:div>
    <w:div w:id="1381515662">
      <w:bodyDiv w:val="1"/>
      <w:marLeft w:val="0"/>
      <w:marRight w:val="0"/>
      <w:marTop w:val="0"/>
      <w:marBottom w:val="0"/>
      <w:divBdr>
        <w:top w:val="none" w:sz="0" w:space="0" w:color="auto"/>
        <w:left w:val="none" w:sz="0" w:space="0" w:color="auto"/>
        <w:bottom w:val="none" w:sz="0" w:space="0" w:color="auto"/>
        <w:right w:val="none" w:sz="0" w:space="0" w:color="auto"/>
      </w:divBdr>
    </w:div>
    <w:div w:id="1381633228">
      <w:bodyDiv w:val="1"/>
      <w:marLeft w:val="0"/>
      <w:marRight w:val="0"/>
      <w:marTop w:val="0"/>
      <w:marBottom w:val="0"/>
      <w:divBdr>
        <w:top w:val="none" w:sz="0" w:space="0" w:color="auto"/>
        <w:left w:val="none" w:sz="0" w:space="0" w:color="auto"/>
        <w:bottom w:val="none" w:sz="0" w:space="0" w:color="auto"/>
        <w:right w:val="none" w:sz="0" w:space="0" w:color="auto"/>
      </w:divBdr>
    </w:div>
    <w:div w:id="1381661395">
      <w:bodyDiv w:val="1"/>
      <w:marLeft w:val="0"/>
      <w:marRight w:val="0"/>
      <w:marTop w:val="0"/>
      <w:marBottom w:val="0"/>
      <w:divBdr>
        <w:top w:val="none" w:sz="0" w:space="0" w:color="auto"/>
        <w:left w:val="none" w:sz="0" w:space="0" w:color="auto"/>
        <w:bottom w:val="none" w:sz="0" w:space="0" w:color="auto"/>
        <w:right w:val="none" w:sz="0" w:space="0" w:color="auto"/>
      </w:divBdr>
    </w:div>
    <w:div w:id="1382024449">
      <w:bodyDiv w:val="1"/>
      <w:marLeft w:val="0"/>
      <w:marRight w:val="0"/>
      <w:marTop w:val="0"/>
      <w:marBottom w:val="0"/>
      <w:divBdr>
        <w:top w:val="none" w:sz="0" w:space="0" w:color="auto"/>
        <w:left w:val="none" w:sz="0" w:space="0" w:color="auto"/>
        <w:bottom w:val="none" w:sz="0" w:space="0" w:color="auto"/>
        <w:right w:val="none" w:sz="0" w:space="0" w:color="auto"/>
      </w:divBdr>
    </w:div>
    <w:div w:id="1382049774">
      <w:bodyDiv w:val="1"/>
      <w:marLeft w:val="0"/>
      <w:marRight w:val="0"/>
      <w:marTop w:val="0"/>
      <w:marBottom w:val="0"/>
      <w:divBdr>
        <w:top w:val="none" w:sz="0" w:space="0" w:color="auto"/>
        <w:left w:val="none" w:sz="0" w:space="0" w:color="auto"/>
        <w:bottom w:val="none" w:sz="0" w:space="0" w:color="auto"/>
        <w:right w:val="none" w:sz="0" w:space="0" w:color="auto"/>
      </w:divBdr>
    </w:div>
    <w:div w:id="1382241305">
      <w:bodyDiv w:val="1"/>
      <w:marLeft w:val="0"/>
      <w:marRight w:val="0"/>
      <w:marTop w:val="0"/>
      <w:marBottom w:val="0"/>
      <w:divBdr>
        <w:top w:val="none" w:sz="0" w:space="0" w:color="auto"/>
        <w:left w:val="none" w:sz="0" w:space="0" w:color="auto"/>
        <w:bottom w:val="none" w:sz="0" w:space="0" w:color="auto"/>
        <w:right w:val="none" w:sz="0" w:space="0" w:color="auto"/>
      </w:divBdr>
    </w:div>
    <w:div w:id="1382250609">
      <w:bodyDiv w:val="1"/>
      <w:marLeft w:val="0"/>
      <w:marRight w:val="0"/>
      <w:marTop w:val="0"/>
      <w:marBottom w:val="0"/>
      <w:divBdr>
        <w:top w:val="none" w:sz="0" w:space="0" w:color="auto"/>
        <w:left w:val="none" w:sz="0" w:space="0" w:color="auto"/>
        <w:bottom w:val="none" w:sz="0" w:space="0" w:color="auto"/>
        <w:right w:val="none" w:sz="0" w:space="0" w:color="auto"/>
      </w:divBdr>
    </w:div>
    <w:div w:id="1382630902">
      <w:bodyDiv w:val="1"/>
      <w:marLeft w:val="0"/>
      <w:marRight w:val="0"/>
      <w:marTop w:val="0"/>
      <w:marBottom w:val="0"/>
      <w:divBdr>
        <w:top w:val="none" w:sz="0" w:space="0" w:color="auto"/>
        <w:left w:val="none" w:sz="0" w:space="0" w:color="auto"/>
        <w:bottom w:val="none" w:sz="0" w:space="0" w:color="auto"/>
        <w:right w:val="none" w:sz="0" w:space="0" w:color="auto"/>
      </w:divBdr>
    </w:div>
    <w:div w:id="1382635730">
      <w:bodyDiv w:val="1"/>
      <w:marLeft w:val="0"/>
      <w:marRight w:val="0"/>
      <w:marTop w:val="0"/>
      <w:marBottom w:val="0"/>
      <w:divBdr>
        <w:top w:val="none" w:sz="0" w:space="0" w:color="auto"/>
        <w:left w:val="none" w:sz="0" w:space="0" w:color="auto"/>
        <w:bottom w:val="none" w:sz="0" w:space="0" w:color="auto"/>
        <w:right w:val="none" w:sz="0" w:space="0" w:color="auto"/>
      </w:divBdr>
    </w:div>
    <w:div w:id="1382898904">
      <w:bodyDiv w:val="1"/>
      <w:marLeft w:val="0"/>
      <w:marRight w:val="0"/>
      <w:marTop w:val="0"/>
      <w:marBottom w:val="0"/>
      <w:divBdr>
        <w:top w:val="none" w:sz="0" w:space="0" w:color="auto"/>
        <w:left w:val="none" w:sz="0" w:space="0" w:color="auto"/>
        <w:bottom w:val="none" w:sz="0" w:space="0" w:color="auto"/>
        <w:right w:val="none" w:sz="0" w:space="0" w:color="auto"/>
      </w:divBdr>
    </w:div>
    <w:div w:id="1382902752">
      <w:bodyDiv w:val="1"/>
      <w:marLeft w:val="0"/>
      <w:marRight w:val="0"/>
      <w:marTop w:val="0"/>
      <w:marBottom w:val="0"/>
      <w:divBdr>
        <w:top w:val="none" w:sz="0" w:space="0" w:color="auto"/>
        <w:left w:val="none" w:sz="0" w:space="0" w:color="auto"/>
        <w:bottom w:val="none" w:sz="0" w:space="0" w:color="auto"/>
        <w:right w:val="none" w:sz="0" w:space="0" w:color="auto"/>
      </w:divBdr>
    </w:div>
    <w:div w:id="1382947222">
      <w:bodyDiv w:val="1"/>
      <w:marLeft w:val="0"/>
      <w:marRight w:val="0"/>
      <w:marTop w:val="0"/>
      <w:marBottom w:val="0"/>
      <w:divBdr>
        <w:top w:val="none" w:sz="0" w:space="0" w:color="auto"/>
        <w:left w:val="none" w:sz="0" w:space="0" w:color="auto"/>
        <w:bottom w:val="none" w:sz="0" w:space="0" w:color="auto"/>
        <w:right w:val="none" w:sz="0" w:space="0" w:color="auto"/>
      </w:divBdr>
    </w:div>
    <w:div w:id="1383015180">
      <w:bodyDiv w:val="1"/>
      <w:marLeft w:val="0"/>
      <w:marRight w:val="0"/>
      <w:marTop w:val="0"/>
      <w:marBottom w:val="0"/>
      <w:divBdr>
        <w:top w:val="none" w:sz="0" w:space="0" w:color="auto"/>
        <w:left w:val="none" w:sz="0" w:space="0" w:color="auto"/>
        <w:bottom w:val="none" w:sz="0" w:space="0" w:color="auto"/>
        <w:right w:val="none" w:sz="0" w:space="0" w:color="auto"/>
      </w:divBdr>
    </w:div>
    <w:div w:id="1383098224">
      <w:bodyDiv w:val="1"/>
      <w:marLeft w:val="0"/>
      <w:marRight w:val="0"/>
      <w:marTop w:val="0"/>
      <w:marBottom w:val="0"/>
      <w:divBdr>
        <w:top w:val="none" w:sz="0" w:space="0" w:color="auto"/>
        <w:left w:val="none" w:sz="0" w:space="0" w:color="auto"/>
        <w:bottom w:val="none" w:sz="0" w:space="0" w:color="auto"/>
        <w:right w:val="none" w:sz="0" w:space="0" w:color="auto"/>
      </w:divBdr>
    </w:div>
    <w:div w:id="1383168006">
      <w:bodyDiv w:val="1"/>
      <w:marLeft w:val="0"/>
      <w:marRight w:val="0"/>
      <w:marTop w:val="0"/>
      <w:marBottom w:val="0"/>
      <w:divBdr>
        <w:top w:val="none" w:sz="0" w:space="0" w:color="auto"/>
        <w:left w:val="none" w:sz="0" w:space="0" w:color="auto"/>
        <w:bottom w:val="none" w:sz="0" w:space="0" w:color="auto"/>
        <w:right w:val="none" w:sz="0" w:space="0" w:color="auto"/>
      </w:divBdr>
    </w:div>
    <w:div w:id="1383168642">
      <w:bodyDiv w:val="1"/>
      <w:marLeft w:val="0"/>
      <w:marRight w:val="0"/>
      <w:marTop w:val="0"/>
      <w:marBottom w:val="0"/>
      <w:divBdr>
        <w:top w:val="none" w:sz="0" w:space="0" w:color="auto"/>
        <w:left w:val="none" w:sz="0" w:space="0" w:color="auto"/>
        <w:bottom w:val="none" w:sz="0" w:space="0" w:color="auto"/>
        <w:right w:val="none" w:sz="0" w:space="0" w:color="auto"/>
      </w:divBdr>
    </w:div>
    <w:div w:id="1383403804">
      <w:bodyDiv w:val="1"/>
      <w:marLeft w:val="0"/>
      <w:marRight w:val="0"/>
      <w:marTop w:val="0"/>
      <w:marBottom w:val="0"/>
      <w:divBdr>
        <w:top w:val="none" w:sz="0" w:space="0" w:color="auto"/>
        <w:left w:val="none" w:sz="0" w:space="0" w:color="auto"/>
        <w:bottom w:val="none" w:sz="0" w:space="0" w:color="auto"/>
        <w:right w:val="none" w:sz="0" w:space="0" w:color="auto"/>
      </w:divBdr>
    </w:div>
    <w:div w:id="1383561187">
      <w:bodyDiv w:val="1"/>
      <w:marLeft w:val="0"/>
      <w:marRight w:val="0"/>
      <w:marTop w:val="0"/>
      <w:marBottom w:val="0"/>
      <w:divBdr>
        <w:top w:val="none" w:sz="0" w:space="0" w:color="auto"/>
        <w:left w:val="none" w:sz="0" w:space="0" w:color="auto"/>
        <w:bottom w:val="none" w:sz="0" w:space="0" w:color="auto"/>
        <w:right w:val="none" w:sz="0" w:space="0" w:color="auto"/>
      </w:divBdr>
    </w:div>
    <w:div w:id="1383628110">
      <w:bodyDiv w:val="1"/>
      <w:marLeft w:val="0"/>
      <w:marRight w:val="0"/>
      <w:marTop w:val="0"/>
      <w:marBottom w:val="0"/>
      <w:divBdr>
        <w:top w:val="none" w:sz="0" w:space="0" w:color="auto"/>
        <w:left w:val="none" w:sz="0" w:space="0" w:color="auto"/>
        <w:bottom w:val="none" w:sz="0" w:space="0" w:color="auto"/>
        <w:right w:val="none" w:sz="0" w:space="0" w:color="auto"/>
      </w:divBdr>
    </w:div>
    <w:div w:id="1383674628">
      <w:bodyDiv w:val="1"/>
      <w:marLeft w:val="0"/>
      <w:marRight w:val="0"/>
      <w:marTop w:val="0"/>
      <w:marBottom w:val="0"/>
      <w:divBdr>
        <w:top w:val="none" w:sz="0" w:space="0" w:color="auto"/>
        <w:left w:val="none" w:sz="0" w:space="0" w:color="auto"/>
        <w:bottom w:val="none" w:sz="0" w:space="0" w:color="auto"/>
        <w:right w:val="none" w:sz="0" w:space="0" w:color="auto"/>
      </w:divBdr>
    </w:div>
    <w:div w:id="1383754448">
      <w:bodyDiv w:val="1"/>
      <w:marLeft w:val="0"/>
      <w:marRight w:val="0"/>
      <w:marTop w:val="0"/>
      <w:marBottom w:val="0"/>
      <w:divBdr>
        <w:top w:val="none" w:sz="0" w:space="0" w:color="auto"/>
        <w:left w:val="none" w:sz="0" w:space="0" w:color="auto"/>
        <w:bottom w:val="none" w:sz="0" w:space="0" w:color="auto"/>
        <w:right w:val="none" w:sz="0" w:space="0" w:color="auto"/>
      </w:divBdr>
    </w:div>
    <w:div w:id="1383793584">
      <w:bodyDiv w:val="1"/>
      <w:marLeft w:val="0"/>
      <w:marRight w:val="0"/>
      <w:marTop w:val="0"/>
      <w:marBottom w:val="0"/>
      <w:divBdr>
        <w:top w:val="none" w:sz="0" w:space="0" w:color="auto"/>
        <w:left w:val="none" w:sz="0" w:space="0" w:color="auto"/>
        <w:bottom w:val="none" w:sz="0" w:space="0" w:color="auto"/>
        <w:right w:val="none" w:sz="0" w:space="0" w:color="auto"/>
      </w:divBdr>
    </w:div>
    <w:div w:id="1383871639">
      <w:bodyDiv w:val="1"/>
      <w:marLeft w:val="0"/>
      <w:marRight w:val="0"/>
      <w:marTop w:val="0"/>
      <w:marBottom w:val="0"/>
      <w:divBdr>
        <w:top w:val="none" w:sz="0" w:space="0" w:color="auto"/>
        <w:left w:val="none" w:sz="0" w:space="0" w:color="auto"/>
        <w:bottom w:val="none" w:sz="0" w:space="0" w:color="auto"/>
        <w:right w:val="none" w:sz="0" w:space="0" w:color="auto"/>
      </w:divBdr>
    </w:div>
    <w:div w:id="1383945255">
      <w:bodyDiv w:val="1"/>
      <w:marLeft w:val="0"/>
      <w:marRight w:val="0"/>
      <w:marTop w:val="0"/>
      <w:marBottom w:val="0"/>
      <w:divBdr>
        <w:top w:val="none" w:sz="0" w:space="0" w:color="auto"/>
        <w:left w:val="none" w:sz="0" w:space="0" w:color="auto"/>
        <w:bottom w:val="none" w:sz="0" w:space="0" w:color="auto"/>
        <w:right w:val="none" w:sz="0" w:space="0" w:color="auto"/>
      </w:divBdr>
    </w:div>
    <w:div w:id="1383948154">
      <w:bodyDiv w:val="1"/>
      <w:marLeft w:val="0"/>
      <w:marRight w:val="0"/>
      <w:marTop w:val="0"/>
      <w:marBottom w:val="0"/>
      <w:divBdr>
        <w:top w:val="none" w:sz="0" w:space="0" w:color="auto"/>
        <w:left w:val="none" w:sz="0" w:space="0" w:color="auto"/>
        <w:bottom w:val="none" w:sz="0" w:space="0" w:color="auto"/>
        <w:right w:val="none" w:sz="0" w:space="0" w:color="auto"/>
      </w:divBdr>
    </w:div>
    <w:div w:id="1384059419">
      <w:bodyDiv w:val="1"/>
      <w:marLeft w:val="0"/>
      <w:marRight w:val="0"/>
      <w:marTop w:val="0"/>
      <w:marBottom w:val="0"/>
      <w:divBdr>
        <w:top w:val="none" w:sz="0" w:space="0" w:color="auto"/>
        <w:left w:val="none" w:sz="0" w:space="0" w:color="auto"/>
        <w:bottom w:val="none" w:sz="0" w:space="0" w:color="auto"/>
        <w:right w:val="none" w:sz="0" w:space="0" w:color="auto"/>
      </w:divBdr>
    </w:div>
    <w:div w:id="1384063142">
      <w:bodyDiv w:val="1"/>
      <w:marLeft w:val="0"/>
      <w:marRight w:val="0"/>
      <w:marTop w:val="0"/>
      <w:marBottom w:val="0"/>
      <w:divBdr>
        <w:top w:val="none" w:sz="0" w:space="0" w:color="auto"/>
        <w:left w:val="none" w:sz="0" w:space="0" w:color="auto"/>
        <w:bottom w:val="none" w:sz="0" w:space="0" w:color="auto"/>
        <w:right w:val="none" w:sz="0" w:space="0" w:color="auto"/>
      </w:divBdr>
    </w:div>
    <w:div w:id="1384330896">
      <w:bodyDiv w:val="1"/>
      <w:marLeft w:val="0"/>
      <w:marRight w:val="0"/>
      <w:marTop w:val="0"/>
      <w:marBottom w:val="0"/>
      <w:divBdr>
        <w:top w:val="none" w:sz="0" w:space="0" w:color="auto"/>
        <w:left w:val="none" w:sz="0" w:space="0" w:color="auto"/>
        <w:bottom w:val="none" w:sz="0" w:space="0" w:color="auto"/>
        <w:right w:val="none" w:sz="0" w:space="0" w:color="auto"/>
      </w:divBdr>
    </w:div>
    <w:div w:id="1384520436">
      <w:bodyDiv w:val="1"/>
      <w:marLeft w:val="0"/>
      <w:marRight w:val="0"/>
      <w:marTop w:val="0"/>
      <w:marBottom w:val="0"/>
      <w:divBdr>
        <w:top w:val="none" w:sz="0" w:space="0" w:color="auto"/>
        <w:left w:val="none" w:sz="0" w:space="0" w:color="auto"/>
        <w:bottom w:val="none" w:sz="0" w:space="0" w:color="auto"/>
        <w:right w:val="none" w:sz="0" w:space="0" w:color="auto"/>
      </w:divBdr>
    </w:div>
    <w:div w:id="1384670814">
      <w:bodyDiv w:val="1"/>
      <w:marLeft w:val="0"/>
      <w:marRight w:val="0"/>
      <w:marTop w:val="0"/>
      <w:marBottom w:val="0"/>
      <w:divBdr>
        <w:top w:val="none" w:sz="0" w:space="0" w:color="auto"/>
        <w:left w:val="none" w:sz="0" w:space="0" w:color="auto"/>
        <w:bottom w:val="none" w:sz="0" w:space="0" w:color="auto"/>
        <w:right w:val="none" w:sz="0" w:space="0" w:color="auto"/>
      </w:divBdr>
    </w:div>
    <w:div w:id="1384795862">
      <w:bodyDiv w:val="1"/>
      <w:marLeft w:val="0"/>
      <w:marRight w:val="0"/>
      <w:marTop w:val="0"/>
      <w:marBottom w:val="0"/>
      <w:divBdr>
        <w:top w:val="none" w:sz="0" w:space="0" w:color="auto"/>
        <w:left w:val="none" w:sz="0" w:space="0" w:color="auto"/>
        <w:bottom w:val="none" w:sz="0" w:space="0" w:color="auto"/>
        <w:right w:val="none" w:sz="0" w:space="0" w:color="auto"/>
      </w:divBdr>
    </w:div>
    <w:div w:id="1384914099">
      <w:bodyDiv w:val="1"/>
      <w:marLeft w:val="0"/>
      <w:marRight w:val="0"/>
      <w:marTop w:val="0"/>
      <w:marBottom w:val="0"/>
      <w:divBdr>
        <w:top w:val="none" w:sz="0" w:space="0" w:color="auto"/>
        <w:left w:val="none" w:sz="0" w:space="0" w:color="auto"/>
        <w:bottom w:val="none" w:sz="0" w:space="0" w:color="auto"/>
        <w:right w:val="none" w:sz="0" w:space="0" w:color="auto"/>
      </w:divBdr>
    </w:div>
    <w:div w:id="1384983395">
      <w:bodyDiv w:val="1"/>
      <w:marLeft w:val="0"/>
      <w:marRight w:val="0"/>
      <w:marTop w:val="0"/>
      <w:marBottom w:val="0"/>
      <w:divBdr>
        <w:top w:val="none" w:sz="0" w:space="0" w:color="auto"/>
        <w:left w:val="none" w:sz="0" w:space="0" w:color="auto"/>
        <w:bottom w:val="none" w:sz="0" w:space="0" w:color="auto"/>
        <w:right w:val="none" w:sz="0" w:space="0" w:color="auto"/>
      </w:divBdr>
    </w:div>
    <w:div w:id="1385064761">
      <w:bodyDiv w:val="1"/>
      <w:marLeft w:val="0"/>
      <w:marRight w:val="0"/>
      <w:marTop w:val="0"/>
      <w:marBottom w:val="0"/>
      <w:divBdr>
        <w:top w:val="none" w:sz="0" w:space="0" w:color="auto"/>
        <w:left w:val="none" w:sz="0" w:space="0" w:color="auto"/>
        <w:bottom w:val="none" w:sz="0" w:space="0" w:color="auto"/>
        <w:right w:val="none" w:sz="0" w:space="0" w:color="auto"/>
      </w:divBdr>
    </w:div>
    <w:div w:id="1385107196">
      <w:bodyDiv w:val="1"/>
      <w:marLeft w:val="0"/>
      <w:marRight w:val="0"/>
      <w:marTop w:val="0"/>
      <w:marBottom w:val="0"/>
      <w:divBdr>
        <w:top w:val="none" w:sz="0" w:space="0" w:color="auto"/>
        <w:left w:val="none" w:sz="0" w:space="0" w:color="auto"/>
        <w:bottom w:val="none" w:sz="0" w:space="0" w:color="auto"/>
        <w:right w:val="none" w:sz="0" w:space="0" w:color="auto"/>
      </w:divBdr>
    </w:div>
    <w:div w:id="1385444602">
      <w:bodyDiv w:val="1"/>
      <w:marLeft w:val="0"/>
      <w:marRight w:val="0"/>
      <w:marTop w:val="0"/>
      <w:marBottom w:val="0"/>
      <w:divBdr>
        <w:top w:val="none" w:sz="0" w:space="0" w:color="auto"/>
        <w:left w:val="none" w:sz="0" w:space="0" w:color="auto"/>
        <w:bottom w:val="none" w:sz="0" w:space="0" w:color="auto"/>
        <w:right w:val="none" w:sz="0" w:space="0" w:color="auto"/>
      </w:divBdr>
    </w:div>
    <w:div w:id="1385641108">
      <w:bodyDiv w:val="1"/>
      <w:marLeft w:val="0"/>
      <w:marRight w:val="0"/>
      <w:marTop w:val="0"/>
      <w:marBottom w:val="0"/>
      <w:divBdr>
        <w:top w:val="none" w:sz="0" w:space="0" w:color="auto"/>
        <w:left w:val="none" w:sz="0" w:space="0" w:color="auto"/>
        <w:bottom w:val="none" w:sz="0" w:space="0" w:color="auto"/>
        <w:right w:val="none" w:sz="0" w:space="0" w:color="auto"/>
      </w:divBdr>
    </w:div>
    <w:div w:id="1385715446">
      <w:bodyDiv w:val="1"/>
      <w:marLeft w:val="0"/>
      <w:marRight w:val="0"/>
      <w:marTop w:val="0"/>
      <w:marBottom w:val="0"/>
      <w:divBdr>
        <w:top w:val="none" w:sz="0" w:space="0" w:color="auto"/>
        <w:left w:val="none" w:sz="0" w:space="0" w:color="auto"/>
        <w:bottom w:val="none" w:sz="0" w:space="0" w:color="auto"/>
        <w:right w:val="none" w:sz="0" w:space="0" w:color="auto"/>
      </w:divBdr>
    </w:div>
    <w:div w:id="1385720082">
      <w:bodyDiv w:val="1"/>
      <w:marLeft w:val="0"/>
      <w:marRight w:val="0"/>
      <w:marTop w:val="0"/>
      <w:marBottom w:val="0"/>
      <w:divBdr>
        <w:top w:val="none" w:sz="0" w:space="0" w:color="auto"/>
        <w:left w:val="none" w:sz="0" w:space="0" w:color="auto"/>
        <w:bottom w:val="none" w:sz="0" w:space="0" w:color="auto"/>
        <w:right w:val="none" w:sz="0" w:space="0" w:color="auto"/>
      </w:divBdr>
    </w:div>
    <w:div w:id="1386249252">
      <w:bodyDiv w:val="1"/>
      <w:marLeft w:val="0"/>
      <w:marRight w:val="0"/>
      <w:marTop w:val="0"/>
      <w:marBottom w:val="0"/>
      <w:divBdr>
        <w:top w:val="none" w:sz="0" w:space="0" w:color="auto"/>
        <w:left w:val="none" w:sz="0" w:space="0" w:color="auto"/>
        <w:bottom w:val="none" w:sz="0" w:space="0" w:color="auto"/>
        <w:right w:val="none" w:sz="0" w:space="0" w:color="auto"/>
      </w:divBdr>
    </w:div>
    <w:div w:id="1386567143">
      <w:bodyDiv w:val="1"/>
      <w:marLeft w:val="0"/>
      <w:marRight w:val="0"/>
      <w:marTop w:val="0"/>
      <w:marBottom w:val="0"/>
      <w:divBdr>
        <w:top w:val="none" w:sz="0" w:space="0" w:color="auto"/>
        <w:left w:val="none" w:sz="0" w:space="0" w:color="auto"/>
        <w:bottom w:val="none" w:sz="0" w:space="0" w:color="auto"/>
        <w:right w:val="none" w:sz="0" w:space="0" w:color="auto"/>
      </w:divBdr>
    </w:div>
    <w:div w:id="1386567297">
      <w:bodyDiv w:val="1"/>
      <w:marLeft w:val="0"/>
      <w:marRight w:val="0"/>
      <w:marTop w:val="0"/>
      <w:marBottom w:val="0"/>
      <w:divBdr>
        <w:top w:val="none" w:sz="0" w:space="0" w:color="auto"/>
        <w:left w:val="none" w:sz="0" w:space="0" w:color="auto"/>
        <w:bottom w:val="none" w:sz="0" w:space="0" w:color="auto"/>
        <w:right w:val="none" w:sz="0" w:space="0" w:color="auto"/>
      </w:divBdr>
    </w:div>
    <w:div w:id="1386836480">
      <w:bodyDiv w:val="1"/>
      <w:marLeft w:val="0"/>
      <w:marRight w:val="0"/>
      <w:marTop w:val="0"/>
      <w:marBottom w:val="0"/>
      <w:divBdr>
        <w:top w:val="none" w:sz="0" w:space="0" w:color="auto"/>
        <w:left w:val="none" w:sz="0" w:space="0" w:color="auto"/>
        <w:bottom w:val="none" w:sz="0" w:space="0" w:color="auto"/>
        <w:right w:val="none" w:sz="0" w:space="0" w:color="auto"/>
      </w:divBdr>
    </w:div>
    <w:div w:id="1386873401">
      <w:bodyDiv w:val="1"/>
      <w:marLeft w:val="0"/>
      <w:marRight w:val="0"/>
      <w:marTop w:val="0"/>
      <w:marBottom w:val="0"/>
      <w:divBdr>
        <w:top w:val="none" w:sz="0" w:space="0" w:color="auto"/>
        <w:left w:val="none" w:sz="0" w:space="0" w:color="auto"/>
        <w:bottom w:val="none" w:sz="0" w:space="0" w:color="auto"/>
        <w:right w:val="none" w:sz="0" w:space="0" w:color="auto"/>
      </w:divBdr>
    </w:div>
    <w:div w:id="1386955272">
      <w:bodyDiv w:val="1"/>
      <w:marLeft w:val="0"/>
      <w:marRight w:val="0"/>
      <w:marTop w:val="0"/>
      <w:marBottom w:val="0"/>
      <w:divBdr>
        <w:top w:val="none" w:sz="0" w:space="0" w:color="auto"/>
        <w:left w:val="none" w:sz="0" w:space="0" w:color="auto"/>
        <w:bottom w:val="none" w:sz="0" w:space="0" w:color="auto"/>
        <w:right w:val="none" w:sz="0" w:space="0" w:color="auto"/>
      </w:divBdr>
    </w:div>
    <w:div w:id="1387025846">
      <w:bodyDiv w:val="1"/>
      <w:marLeft w:val="0"/>
      <w:marRight w:val="0"/>
      <w:marTop w:val="0"/>
      <w:marBottom w:val="0"/>
      <w:divBdr>
        <w:top w:val="none" w:sz="0" w:space="0" w:color="auto"/>
        <w:left w:val="none" w:sz="0" w:space="0" w:color="auto"/>
        <w:bottom w:val="none" w:sz="0" w:space="0" w:color="auto"/>
        <w:right w:val="none" w:sz="0" w:space="0" w:color="auto"/>
      </w:divBdr>
    </w:div>
    <w:div w:id="1387029629">
      <w:bodyDiv w:val="1"/>
      <w:marLeft w:val="0"/>
      <w:marRight w:val="0"/>
      <w:marTop w:val="0"/>
      <w:marBottom w:val="0"/>
      <w:divBdr>
        <w:top w:val="none" w:sz="0" w:space="0" w:color="auto"/>
        <w:left w:val="none" w:sz="0" w:space="0" w:color="auto"/>
        <w:bottom w:val="none" w:sz="0" w:space="0" w:color="auto"/>
        <w:right w:val="none" w:sz="0" w:space="0" w:color="auto"/>
      </w:divBdr>
    </w:div>
    <w:div w:id="1387030419">
      <w:bodyDiv w:val="1"/>
      <w:marLeft w:val="0"/>
      <w:marRight w:val="0"/>
      <w:marTop w:val="0"/>
      <w:marBottom w:val="0"/>
      <w:divBdr>
        <w:top w:val="none" w:sz="0" w:space="0" w:color="auto"/>
        <w:left w:val="none" w:sz="0" w:space="0" w:color="auto"/>
        <w:bottom w:val="none" w:sz="0" w:space="0" w:color="auto"/>
        <w:right w:val="none" w:sz="0" w:space="0" w:color="auto"/>
      </w:divBdr>
    </w:div>
    <w:div w:id="1387142247">
      <w:bodyDiv w:val="1"/>
      <w:marLeft w:val="0"/>
      <w:marRight w:val="0"/>
      <w:marTop w:val="0"/>
      <w:marBottom w:val="0"/>
      <w:divBdr>
        <w:top w:val="none" w:sz="0" w:space="0" w:color="auto"/>
        <w:left w:val="none" w:sz="0" w:space="0" w:color="auto"/>
        <w:bottom w:val="none" w:sz="0" w:space="0" w:color="auto"/>
        <w:right w:val="none" w:sz="0" w:space="0" w:color="auto"/>
      </w:divBdr>
    </w:div>
    <w:div w:id="1387223034">
      <w:bodyDiv w:val="1"/>
      <w:marLeft w:val="0"/>
      <w:marRight w:val="0"/>
      <w:marTop w:val="0"/>
      <w:marBottom w:val="0"/>
      <w:divBdr>
        <w:top w:val="none" w:sz="0" w:space="0" w:color="auto"/>
        <w:left w:val="none" w:sz="0" w:space="0" w:color="auto"/>
        <w:bottom w:val="none" w:sz="0" w:space="0" w:color="auto"/>
        <w:right w:val="none" w:sz="0" w:space="0" w:color="auto"/>
      </w:divBdr>
    </w:div>
    <w:div w:id="1387294707">
      <w:bodyDiv w:val="1"/>
      <w:marLeft w:val="0"/>
      <w:marRight w:val="0"/>
      <w:marTop w:val="0"/>
      <w:marBottom w:val="0"/>
      <w:divBdr>
        <w:top w:val="none" w:sz="0" w:space="0" w:color="auto"/>
        <w:left w:val="none" w:sz="0" w:space="0" w:color="auto"/>
        <w:bottom w:val="none" w:sz="0" w:space="0" w:color="auto"/>
        <w:right w:val="none" w:sz="0" w:space="0" w:color="auto"/>
      </w:divBdr>
    </w:div>
    <w:div w:id="1387297994">
      <w:bodyDiv w:val="1"/>
      <w:marLeft w:val="0"/>
      <w:marRight w:val="0"/>
      <w:marTop w:val="0"/>
      <w:marBottom w:val="0"/>
      <w:divBdr>
        <w:top w:val="none" w:sz="0" w:space="0" w:color="auto"/>
        <w:left w:val="none" w:sz="0" w:space="0" w:color="auto"/>
        <w:bottom w:val="none" w:sz="0" w:space="0" w:color="auto"/>
        <w:right w:val="none" w:sz="0" w:space="0" w:color="auto"/>
      </w:divBdr>
    </w:div>
    <w:div w:id="1387334710">
      <w:bodyDiv w:val="1"/>
      <w:marLeft w:val="0"/>
      <w:marRight w:val="0"/>
      <w:marTop w:val="0"/>
      <w:marBottom w:val="0"/>
      <w:divBdr>
        <w:top w:val="none" w:sz="0" w:space="0" w:color="auto"/>
        <w:left w:val="none" w:sz="0" w:space="0" w:color="auto"/>
        <w:bottom w:val="none" w:sz="0" w:space="0" w:color="auto"/>
        <w:right w:val="none" w:sz="0" w:space="0" w:color="auto"/>
      </w:divBdr>
    </w:div>
    <w:div w:id="1387604949">
      <w:bodyDiv w:val="1"/>
      <w:marLeft w:val="0"/>
      <w:marRight w:val="0"/>
      <w:marTop w:val="0"/>
      <w:marBottom w:val="0"/>
      <w:divBdr>
        <w:top w:val="none" w:sz="0" w:space="0" w:color="auto"/>
        <w:left w:val="none" w:sz="0" w:space="0" w:color="auto"/>
        <w:bottom w:val="none" w:sz="0" w:space="0" w:color="auto"/>
        <w:right w:val="none" w:sz="0" w:space="0" w:color="auto"/>
      </w:divBdr>
    </w:div>
    <w:div w:id="1387681928">
      <w:bodyDiv w:val="1"/>
      <w:marLeft w:val="0"/>
      <w:marRight w:val="0"/>
      <w:marTop w:val="0"/>
      <w:marBottom w:val="0"/>
      <w:divBdr>
        <w:top w:val="none" w:sz="0" w:space="0" w:color="auto"/>
        <w:left w:val="none" w:sz="0" w:space="0" w:color="auto"/>
        <w:bottom w:val="none" w:sz="0" w:space="0" w:color="auto"/>
        <w:right w:val="none" w:sz="0" w:space="0" w:color="auto"/>
      </w:divBdr>
    </w:div>
    <w:div w:id="1388190325">
      <w:bodyDiv w:val="1"/>
      <w:marLeft w:val="0"/>
      <w:marRight w:val="0"/>
      <w:marTop w:val="0"/>
      <w:marBottom w:val="0"/>
      <w:divBdr>
        <w:top w:val="none" w:sz="0" w:space="0" w:color="auto"/>
        <w:left w:val="none" w:sz="0" w:space="0" w:color="auto"/>
        <w:bottom w:val="none" w:sz="0" w:space="0" w:color="auto"/>
        <w:right w:val="none" w:sz="0" w:space="0" w:color="auto"/>
      </w:divBdr>
    </w:div>
    <w:div w:id="1388339861">
      <w:bodyDiv w:val="1"/>
      <w:marLeft w:val="0"/>
      <w:marRight w:val="0"/>
      <w:marTop w:val="0"/>
      <w:marBottom w:val="0"/>
      <w:divBdr>
        <w:top w:val="none" w:sz="0" w:space="0" w:color="auto"/>
        <w:left w:val="none" w:sz="0" w:space="0" w:color="auto"/>
        <w:bottom w:val="none" w:sz="0" w:space="0" w:color="auto"/>
        <w:right w:val="none" w:sz="0" w:space="0" w:color="auto"/>
      </w:divBdr>
    </w:div>
    <w:div w:id="1388412478">
      <w:bodyDiv w:val="1"/>
      <w:marLeft w:val="0"/>
      <w:marRight w:val="0"/>
      <w:marTop w:val="0"/>
      <w:marBottom w:val="0"/>
      <w:divBdr>
        <w:top w:val="none" w:sz="0" w:space="0" w:color="auto"/>
        <w:left w:val="none" w:sz="0" w:space="0" w:color="auto"/>
        <w:bottom w:val="none" w:sz="0" w:space="0" w:color="auto"/>
        <w:right w:val="none" w:sz="0" w:space="0" w:color="auto"/>
      </w:divBdr>
    </w:div>
    <w:div w:id="1388644587">
      <w:bodyDiv w:val="1"/>
      <w:marLeft w:val="0"/>
      <w:marRight w:val="0"/>
      <w:marTop w:val="0"/>
      <w:marBottom w:val="0"/>
      <w:divBdr>
        <w:top w:val="none" w:sz="0" w:space="0" w:color="auto"/>
        <w:left w:val="none" w:sz="0" w:space="0" w:color="auto"/>
        <w:bottom w:val="none" w:sz="0" w:space="0" w:color="auto"/>
        <w:right w:val="none" w:sz="0" w:space="0" w:color="auto"/>
      </w:divBdr>
    </w:div>
    <w:div w:id="1388798990">
      <w:bodyDiv w:val="1"/>
      <w:marLeft w:val="0"/>
      <w:marRight w:val="0"/>
      <w:marTop w:val="0"/>
      <w:marBottom w:val="0"/>
      <w:divBdr>
        <w:top w:val="none" w:sz="0" w:space="0" w:color="auto"/>
        <w:left w:val="none" w:sz="0" w:space="0" w:color="auto"/>
        <w:bottom w:val="none" w:sz="0" w:space="0" w:color="auto"/>
        <w:right w:val="none" w:sz="0" w:space="0" w:color="auto"/>
      </w:divBdr>
    </w:div>
    <w:div w:id="1389108028">
      <w:bodyDiv w:val="1"/>
      <w:marLeft w:val="0"/>
      <w:marRight w:val="0"/>
      <w:marTop w:val="0"/>
      <w:marBottom w:val="0"/>
      <w:divBdr>
        <w:top w:val="none" w:sz="0" w:space="0" w:color="auto"/>
        <w:left w:val="none" w:sz="0" w:space="0" w:color="auto"/>
        <w:bottom w:val="none" w:sz="0" w:space="0" w:color="auto"/>
        <w:right w:val="none" w:sz="0" w:space="0" w:color="auto"/>
      </w:divBdr>
    </w:div>
    <w:div w:id="1389108693">
      <w:bodyDiv w:val="1"/>
      <w:marLeft w:val="0"/>
      <w:marRight w:val="0"/>
      <w:marTop w:val="0"/>
      <w:marBottom w:val="0"/>
      <w:divBdr>
        <w:top w:val="none" w:sz="0" w:space="0" w:color="auto"/>
        <w:left w:val="none" w:sz="0" w:space="0" w:color="auto"/>
        <w:bottom w:val="none" w:sz="0" w:space="0" w:color="auto"/>
        <w:right w:val="none" w:sz="0" w:space="0" w:color="auto"/>
      </w:divBdr>
    </w:div>
    <w:div w:id="1389190283">
      <w:bodyDiv w:val="1"/>
      <w:marLeft w:val="0"/>
      <w:marRight w:val="0"/>
      <w:marTop w:val="0"/>
      <w:marBottom w:val="0"/>
      <w:divBdr>
        <w:top w:val="none" w:sz="0" w:space="0" w:color="auto"/>
        <w:left w:val="none" w:sz="0" w:space="0" w:color="auto"/>
        <w:bottom w:val="none" w:sz="0" w:space="0" w:color="auto"/>
        <w:right w:val="none" w:sz="0" w:space="0" w:color="auto"/>
      </w:divBdr>
    </w:div>
    <w:div w:id="1389263855">
      <w:bodyDiv w:val="1"/>
      <w:marLeft w:val="0"/>
      <w:marRight w:val="0"/>
      <w:marTop w:val="0"/>
      <w:marBottom w:val="0"/>
      <w:divBdr>
        <w:top w:val="none" w:sz="0" w:space="0" w:color="auto"/>
        <w:left w:val="none" w:sz="0" w:space="0" w:color="auto"/>
        <w:bottom w:val="none" w:sz="0" w:space="0" w:color="auto"/>
        <w:right w:val="none" w:sz="0" w:space="0" w:color="auto"/>
      </w:divBdr>
    </w:div>
    <w:div w:id="1389377971">
      <w:bodyDiv w:val="1"/>
      <w:marLeft w:val="0"/>
      <w:marRight w:val="0"/>
      <w:marTop w:val="0"/>
      <w:marBottom w:val="0"/>
      <w:divBdr>
        <w:top w:val="none" w:sz="0" w:space="0" w:color="auto"/>
        <w:left w:val="none" w:sz="0" w:space="0" w:color="auto"/>
        <w:bottom w:val="none" w:sz="0" w:space="0" w:color="auto"/>
        <w:right w:val="none" w:sz="0" w:space="0" w:color="auto"/>
      </w:divBdr>
    </w:div>
    <w:div w:id="1389453767">
      <w:bodyDiv w:val="1"/>
      <w:marLeft w:val="0"/>
      <w:marRight w:val="0"/>
      <w:marTop w:val="0"/>
      <w:marBottom w:val="0"/>
      <w:divBdr>
        <w:top w:val="none" w:sz="0" w:space="0" w:color="auto"/>
        <w:left w:val="none" w:sz="0" w:space="0" w:color="auto"/>
        <w:bottom w:val="none" w:sz="0" w:space="0" w:color="auto"/>
        <w:right w:val="none" w:sz="0" w:space="0" w:color="auto"/>
      </w:divBdr>
    </w:div>
    <w:div w:id="1389457689">
      <w:bodyDiv w:val="1"/>
      <w:marLeft w:val="0"/>
      <w:marRight w:val="0"/>
      <w:marTop w:val="0"/>
      <w:marBottom w:val="0"/>
      <w:divBdr>
        <w:top w:val="none" w:sz="0" w:space="0" w:color="auto"/>
        <w:left w:val="none" w:sz="0" w:space="0" w:color="auto"/>
        <w:bottom w:val="none" w:sz="0" w:space="0" w:color="auto"/>
        <w:right w:val="none" w:sz="0" w:space="0" w:color="auto"/>
      </w:divBdr>
    </w:div>
    <w:div w:id="1389525426">
      <w:bodyDiv w:val="1"/>
      <w:marLeft w:val="0"/>
      <w:marRight w:val="0"/>
      <w:marTop w:val="0"/>
      <w:marBottom w:val="0"/>
      <w:divBdr>
        <w:top w:val="none" w:sz="0" w:space="0" w:color="auto"/>
        <w:left w:val="none" w:sz="0" w:space="0" w:color="auto"/>
        <w:bottom w:val="none" w:sz="0" w:space="0" w:color="auto"/>
        <w:right w:val="none" w:sz="0" w:space="0" w:color="auto"/>
      </w:divBdr>
    </w:div>
    <w:div w:id="1389574093">
      <w:bodyDiv w:val="1"/>
      <w:marLeft w:val="0"/>
      <w:marRight w:val="0"/>
      <w:marTop w:val="0"/>
      <w:marBottom w:val="0"/>
      <w:divBdr>
        <w:top w:val="none" w:sz="0" w:space="0" w:color="auto"/>
        <w:left w:val="none" w:sz="0" w:space="0" w:color="auto"/>
        <w:bottom w:val="none" w:sz="0" w:space="0" w:color="auto"/>
        <w:right w:val="none" w:sz="0" w:space="0" w:color="auto"/>
      </w:divBdr>
    </w:div>
    <w:div w:id="1389650942">
      <w:bodyDiv w:val="1"/>
      <w:marLeft w:val="0"/>
      <w:marRight w:val="0"/>
      <w:marTop w:val="0"/>
      <w:marBottom w:val="0"/>
      <w:divBdr>
        <w:top w:val="none" w:sz="0" w:space="0" w:color="auto"/>
        <w:left w:val="none" w:sz="0" w:space="0" w:color="auto"/>
        <w:bottom w:val="none" w:sz="0" w:space="0" w:color="auto"/>
        <w:right w:val="none" w:sz="0" w:space="0" w:color="auto"/>
      </w:divBdr>
    </w:div>
    <w:div w:id="1389768578">
      <w:bodyDiv w:val="1"/>
      <w:marLeft w:val="0"/>
      <w:marRight w:val="0"/>
      <w:marTop w:val="0"/>
      <w:marBottom w:val="0"/>
      <w:divBdr>
        <w:top w:val="none" w:sz="0" w:space="0" w:color="auto"/>
        <w:left w:val="none" w:sz="0" w:space="0" w:color="auto"/>
        <w:bottom w:val="none" w:sz="0" w:space="0" w:color="auto"/>
        <w:right w:val="none" w:sz="0" w:space="0" w:color="auto"/>
      </w:divBdr>
    </w:div>
    <w:div w:id="1390229847">
      <w:bodyDiv w:val="1"/>
      <w:marLeft w:val="0"/>
      <w:marRight w:val="0"/>
      <w:marTop w:val="0"/>
      <w:marBottom w:val="0"/>
      <w:divBdr>
        <w:top w:val="none" w:sz="0" w:space="0" w:color="auto"/>
        <w:left w:val="none" w:sz="0" w:space="0" w:color="auto"/>
        <w:bottom w:val="none" w:sz="0" w:space="0" w:color="auto"/>
        <w:right w:val="none" w:sz="0" w:space="0" w:color="auto"/>
      </w:divBdr>
    </w:div>
    <w:div w:id="1390569803">
      <w:bodyDiv w:val="1"/>
      <w:marLeft w:val="0"/>
      <w:marRight w:val="0"/>
      <w:marTop w:val="0"/>
      <w:marBottom w:val="0"/>
      <w:divBdr>
        <w:top w:val="none" w:sz="0" w:space="0" w:color="auto"/>
        <w:left w:val="none" w:sz="0" w:space="0" w:color="auto"/>
        <w:bottom w:val="none" w:sz="0" w:space="0" w:color="auto"/>
        <w:right w:val="none" w:sz="0" w:space="0" w:color="auto"/>
      </w:divBdr>
    </w:div>
    <w:div w:id="1391345176">
      <w:bodyDiv w:val="1"/>
      <w:marLeft w:val="0"/>
      <w:marRight w:val="0"/>
      <w:marTop w:val="0"/>
      <w:marBottom w:val="0"/>
      <w:divBdr>
        <w:top w:val="none" w:sz="0" w:space="0" w:color="auto"/>
        <w:left w:val="none" w:sz="0" w:space="0" w:color="auto"/>
        <w:bottom w:val="none" w:sz="0" w:space="0" w:color="auto"/>
        <w:right w:val="none" w:sz="0" w:space="0" w:color="auto"/>
      </w:divBdr>
    </w:div>
    <w:div w:id="1391345640">
      <w:bodyDiv w:val="1"/>
      <w:marLeft w:val="0"/>
      <w:marRight w:val="0"/>
      <w:marTop w:val="0"/>
      <w:marBottom w:val="0"/>
      <w:divBdr>
        <w:top w:val="none" w:sz="0" w:space="0" w:color="auto"/>
        <w:left w:val="none" w:sz="0" w:space="0" w:color="auto"/>
        <w:bottom w:val="none" w:sz="0" w:space="0" w:color="auto"/>
        <w:right w:val="none" w:sz="0" w:space="0" w:color="auto"/>
      </w:divBdr>
    </w:div>
    <w:div w:id="1391416606">
      <w:bodyDiv w:val="1"/>
      <w:marLeft w:val="0"/>
      <w:marRight w:val="0"/>
      <w:marTop w:val="0"/>
      <w:marBottom w:val="0"/>
      <w:divBdr>
        <w:top w:val="none" w:sz="0" w:space="0" w:color="auto"/>
        <w:left w:val="none" w:sz="0" w:space="0" w:color="auto"/>
        <w:bottom w:val="none" w:sz="0" w:space="0" w:color="auto"/>
        <w:right w:val="none" w:sz="0" w:space="0" w:color="auto"/>
      </w:divBdr>
    </w:div>
    <w:div w:id="1391463285">
      <w:bodyDiv w:val="1"/>
      <w:marLeft w:val="0"/>
      <w:marRight w:val="0"/>
      <w:marTop w:val="0"/>
      <w:marBottom w:val="0"/>
      <w:divBdr>
        <w:top w:val="none" w:sz="0" w:space="0" w:color="auto"/>
        <w:left w:val="none" w:sz="0" w:space="0" w:color="auto"/>
        <w:bottom w:val="none" w:sz="0" w:space="0" w:color="auto"/>
        <w:right w:val="none" w:sz="0" w:space="0" w:color="auto"/>
      </w:divBdr>
    </w:div>
    <w:div w:id="1391609615">
      <w:bodyDiv w:val="1"/>
      <w:marLeft w:val="0"/>
      <w:marRight w:val="0"/>
      <w:marTop w:val="0"/>
      <w:marBottom w:val="0"/>
      <w:divBdr>
        <w:top w:val="none" w:sz="0" w:space="0" w:color="auto"/>
        <w:left w:val="none" w:sz="0" w:space="0" w:color="auto"/>
        <w:bottom w:val="none" w:sz="0" w:space="0" w:color="auto"/>
        <w:right w:val="none" w:sz="0" w:space="0" w:color="auto"/>
      </w:divBdr>
    </w:div>
    <w:div w:id="1391610535">
      <w:bodyDiv w:val="1"/>
      <w:marLeft w:val="0"/>
      <w:marRight w:val="0"/>
      <w:marTop w:val="0"/>
      <w:marBottom w:val="0"/>
      <w:divBdr>
        <w:top w:val="none" w:sz="0" w:space="0" w:color="auto"/>
        <w:left w:val="none" w:sz="0" w:space="0" w:color="auto"/>
        <w:bottom w:val="none" w:sz="0" w:space="0" w:color="auto"/>
        <w:right w:val="none" w:sz="0" w:space="0" w:color="auto"/>
      </w:divBdr>
    </w:div>
    <w:div w:id="1391616290">
      <w:bodyDiv w:val="1"/>
      <w:marLeft w:val="0"/>
      <w:marRight w:val="0"/>
      <w:marTop w:val="0"/>
      <w:marBottom w:val="0"/>
      <w:divBdr>
        <w:top w:val="none" w:sz="0" w:space="0" w:color="auto"/>
        <w:left w:val="none" w:sz="0" w:space="0" w:color="auto"/>
        <w:bottom w:val="none" w:sz="0" w:space="0" w:color="auto"/>
        <w:right w:val="none" w:sz="0" w:space="0" w:color="auto"/>
      </w:divBdr>
    </w:div>
    <w:div w:id="1391685939">
      <w:bodyDiv w:val="1"/>
      <w:marLeft w:val="0"/>
      <w:marRight w:val="0"/>
      <w:marTop w:val="0"/>
      <w:marBottom w:val="0"/>
      <w:divBdr>
        <w:top w:val="none" w:sz="0" w:space="0" w:color="auto"/>
        <w:left w:val="none" w:sz="0" w:space="0" w:color="auto"/>
        <w:bottom w:val="none" w:sz="0" w:space="0" w:color="auto"/>
        <w:right w:val="none" w:sz="0" w:space="0" w:color="auto"/>
      </w:divBdr>
    </w:div>
    <w:div w:id="1391686533">
      <w:bodyDiv w:val="1"/>
      <w:marLeft w:val="0"/>
      <w:marRight w:val="0"/>
      <w:marTop w:val="0"/>
      <w:marBottom w:val="0"/>
      <w:divBdr>
        <w:top w:val="none" w:sz="0" w:space="0" w:color="auto"/>
        <w:left w:val="none" w:sz="0" w:space="0" w:color="auto"/>
        <w:bottom w:val="none" w:sz="0" w:space="0" w:color="auto"/>
        <w:right w:val="none" w:sz="0" w:space="0" w:color="auto"/>
      </w:divBdr>
    </w:div>
    <w:div w:id="1391735843">
      <w:bodyDiv w:val="1"/>
      <w:marLeft w:val="0"/>
      <w:marRight w:val="0"/>
      <w:marTop w:val="0"/>
      <w:marBottom w:val="0"/>
      <w:divBdr>
        <w:top w:val="none" w:sz="0" w:space="0" w:color="auto"/>
        <w:left w:val="none" w:sz="0" w:space="0" w:color="auto"/>
        <w:bottom w:val="none" w:sz="0" w:space="0" w:color="auto"/>
        <w:right w:val="none" w:sz="0" w:space="0" w:color="auto"/>
      </w:divBdr>
    </w:div>
    <w:div w:id="1391802145">
      <w:bodyDiv w:val="1"/>
      <w:marLeft w:val="0"/>
      <w:marRight w:val="0"/>
      <w:marTop w:val="0"/>
      <w:marBottom w:val="0"/>
      <w:divBdr>
        <w:top w:val="none" w:sz="0" w:space="0" w:color="auto"/>
        <w:left w:val="none" w:sz="0" w:space="0" w:color="auto"/>
        <w:bottom w:val="none" w:sz="0" w:space="0" w:color="auto"/>
        <w:right w:val="none" w:sz="0" w:space="0" w:color="auto"/>
      </w:divBdr>
    </w:div>
    <w:div w:id="1391803384">
      <w:bodyDiv w:val="1"/>
      <w:marLeft w:val="0"/>
      <w:marRight w:val="0"/>
      <w:marTop w:val="0"/>
      <w:marBottom w:val="0"/>
      <w:divBdr>
        <w:top w:val="none" w:sz="0" w:space="0" w:color="auto"/>
        <w:left w:val="none" w:sz="0" w:space="0" w:color="auto"/>
        <w:bottom w:val="none" w:sz="0" w:space="0" w:color="auto"/>
        <w:right w:val="none" w:sz="0" w:space="0" w:color="auto"/>
      </w:divBdr>
    </w:div>
    <w:div w:id="1391995442">
      <w:bodyDiv w:val="1"/>
      <w:marLeft w:val="0"/>
      <w:marRight w:val="0"/>
      <w:marTop w:val="0"/>
      <w:marBottom w:val="0"/>
      <w:divBdr>
        <w:top w:val="none" w:sz="0" w:space="0" w:color="auto"/>
        <w:left w:val="none" w:sz="0" w:space="0" w:color="auto"/>
        <w:bottom w:val="none" w:sz="0" w:space="0" w:color="auto"/>
        <w:right w:val="none" w:sz="0" w:space="0" w:color="auto"/>
      </w:divBdr>
    </w:div>
    <w:div w:id="1392340094">
      <w:bodyDiv w:val="1"/>
      <w:marLeft w:val="0"/>
      <w:marRight w:val="0"/>
      <w:marTop w:val="0"/>
      <w:marBottom w:val="0"/>
      <w:divBdr>
        <w:top w:val="none" w:sz="0" w:space="0" w:color="auto"/>
        <w:left w:val="none" w:sz="0" w:space="0" w:color="auto"/>
        <w:bottom w:val="none" w:sz="0" w:space="0" w:color="auto"/>
        <w:right w:val="none" w:sz="0" w:space="0" w:color="auto"/>
      </w:divBdr>
    </w:div>
    <w:div w:id="1392385462">
      <w:bodyDiv w:val="1"/>
      <w:marLeft w:val="0"/>
      <w:marRight w:val="0"/>
      <w:marTop w:val="0"/>
      <w:marBottom w:val="0"/>
      <w:divBdr>
        <w:top w:val="none" w:sz="0" w:space="0" w:color="auto"/>
        <w:left w:val="none" w:sz="0" w:space="0" w:color="auto"/>
        <w:bottom w:val="none" w:sz="0" w:space="0" w:color="auto"/>
        <w:right w:val="none" w:sz="0" w:space="0" w:color="auto"/>
      </w:divBdr>
    </w:div>
    <w:div w:id="1392457028">
      <w:bodyDiv w:val="1"/>
      <w:marLeft w:val="0"/>
      <w:marRight w:val="0"/>
      <w:marTop w:val="0"/>
      <w:marBottom w:val="0"/>
      <w:divBdr>
        <w:top w:val="none" w:sz="0" w:space="0" w:color="auto"/>
        <w:left w:val="none" w:sz="0" w:space="0" w:color="auto"/>
        <w:bottom w:val="none" w:sz="0" w:space="0" w:color="auto"/>
        <w:right w:val="none" w:sz="0" w:space="0" w:color="auto"/>
      </w:divBdr>
    </w:div>
    <w:div w:id="1392539490">
      <w:bodyDiv w:val="1"/>
      <w:marLeft w:val="0"/>
      <w:marRight w:val="0"/>
      <w:marTop w:val="0"/>
      <w:marBottom w:val="0"/>
      <w:divBdr>
        <w:top w:val="none" w:sz="0" w:space="0" w:color="auto"/>
        <w:left w:val="none" w:sz="0" w:space="0" w:color="auto"/>
        <w:bottom w:val="none" w:sz="0" w:space="0" w:color="auto"/>
        <w:right w:val="none" w:sz="0" w:space="0" w:color="auto"/>
      </w:divBdr>
    </w:div>
    <w:div w:id="1392577733">
      <w:bodyDiv w:val="1"/>
      <w:marLeft w:val="0"/>
      <w:marRight w:val="0"/>
      <w:marTop w:val="0"/>
      <w:marBottom w:val="0"/>
      <w:divBdr>
        <w:top w:val="none" w:sz="0" w:space="0" w:color="auto"/>
        <w:left w:val="none" w:sz="0" w:space="0" w:color="auto"/>
        <w:bottom w:val="none" w:sz="0" w:space="0" w:color="auto"/>
        <w:right w:val="none" w:sz="0" w:space="0" w:color="auto"/>
      </w:divBdr>
    </w:div>
    <w:div w:id="1392777747">
      <w:bodyDiv w:val="1"/>
      <w:marLeft w:val="0"/>
      <w:marRight w:val="0"/>
      <w:marTop w:val="0"/>
      <w:marBottom w:val="0"/>
      <w:divBdr>
        <w:top w:val="none" w:sz="0" w:space="0" w:color="auto"/>
        <w:left w:val="none" w:sz="0" w:space="0" w:color="auto"/>
        <w:bottom w:val="none" w:sz="0" w:space="0" w:color="auto"/>
        <w:right w:val="none" w:sz="0" w:space="0" w:color="auto"/>
      </w:divBdr>
    </w:div>
    <w:div w:id="1392850367">
      <w:bodyDiv w:val="1"/>
      <w:marLeft w:val="0"/>
      <w:marRight w:val="0"/>
      <w:marTop w:val="0"/>
      <w:marBottom w:val="0"/>
      <w:divBdr>
        <w:top w:val="none" w:sz="0" w:space="0" w:color="auto"/>
        <w:left w:val="none" w:sz="0" w:space="0" w:color="auto"/>
        <w:bottom w:val="none" w:sz="0" w:space="0" w:color="auto"/>
        <w:right w:val="none" w:sz="0" w:space="0" w:color="auto"/>
      </w:divBdr>
    </w:div>
    <w:div w:id="1392919184">
      <w:bodyDiv w:val="1"/>
      <w:marLeft w:val="0"/>
      <w:marRight w:val="0"/>
      <w:marTop w:val="0"/>
      <w:marBottom w:val="0"/>
      <w:divBdr>
        <w:top w:val="none" w:sz="0" w:space="0" w:color="auto"/>
        <w:left w:val="none" w:sz="0" w:space="0" w:color="auto"/>
        <w:bottom w:val="none" w:sz="0" w:space="0" w:color="auto"/>
        <w:right w:val="none" w:sz="0" w:space="0" w:color="auto"/>
      </w:divBdr>
    </w:div>
    <w:div w:id="1393041705">
      <w:bodyDiv w:val="1"/>
      <w:marLeft w:val="0"/>
      <w:marRight w:val="0"/>
      <w:marTop w:val="0"/>
      <w:marBottom w:val="0"/>
      <w:divBdr>
        <w:top w:val="none" w:sz="0" w:space="0" w:color="auto"/>
        <w:left w:val="none" w:sz="0" w:space="0" w:color="auto"/>
        <w:bottom w:val="none" w:sz="0" w:space="0" w:color="auto"/>
        <w:right w:val="none" w:sz="0" w:space="0" w:color="auto"/>
      </w:divBdr>
    </w:div>
    <w:div w:id="1393121499">
      <w:bodyDiv w:val="1"/>
      <w:marLeft w:val="0"/>
      <w:marRight w:val="0"/>
      <w:marTop w:val="0"/>
      <w:marBottom w:val="0"/>
      <w:divBdr>
        <w:top w:val="none" w:sz="0" w:space="0" w:color="auto"/>
        <w:left w:val="none" w:sz="0" w:space="0" w:color="auto"/>
        <w:bottom w:val="none" w:sz="0" w:space="0" w:color="auto"/>
        <w:right w:val="none" w:sz="0" w:space="0" w:color="auto"/>
      </w:divBdr>
    </w:div>
    <w:div w:id="1393187835">
      <w:bodyDiv w:val="1"/>
      <w:marLeft w:val="0"/>
      <w:marRight w:val="0"/>
      <w:marTop w:val="0"/>
      <w:marBottom w:val="0"/>
      <w:divBdr>
        <w:top w:val="none" w:sz="0" w:space="0" w:color="auto"/>
        <w:left w:val="none" w:sz="0" w:space="0" w:color="auto"/>
        <w:bottom w:val="none" w:sz="0" w:space="0" w:color="auto"/>
        <w:right w:val="none" w:sz="0" w:space="0" w:color="auto"/>
      </w:divBdr>
    </w:div>
    <w:div w:id="1393383152">
      <w:bodyDiv w:val="1"/>
      <w:marLeft w:val="0"/>
      <w:marRight w:val="0"/>
      <w:marTop w:val="0"/>
      <w:marBottom w:val="0"/>
      <w:divBdr>
        <w:top w:val="none" w:sz="0" w:space="0" w:color="auto"/>
        <w:left w:val="none" w:sz="0" w:space="0" w:color="auto"/>
        <w:bottom w:val="none" w:sz="0" w:space="0" w:color="auto"/>
        <w:right w:val="none" w:sz="0" w:space="0" w:color="auto"/>
      </w:divBdr>
    </w:div>
    <w:div w:id="1393387799">
      <w:bodyDiv w:val="1"/>
      <w:marLeft w:val="0"/>
      <w:marRight w:val="0"/>
      <w:marTop w:val="0"/>
      <w:marBottom w:val="0"/>
      <w:divBdr>
        <w:top w:val="none" w:sz="0" w:space="0" w:color="auto"/>
        <w:left w:val="none" w:sz="0" w:space="0" w:color="auto"/>
        <w:bottom w:val="none" w:sz="0" w:space="0" w:color="auto"/>
        <w:right w:val="none" w:sz="0" w:space="0" w:color="auto"/>
      </w:divBdr>
    </w:div>
    <w:div w:id="1393504123">
      <w:bodyDiv w:val="1"/>
      <w:marLeft w:val="0"/>
      <w:marRight w:val="0"/>
      <w:marTop w:val="0"/>
      <w:marBottom w:val="0"/>
      <w:divBdr>
        <w:top w:val="none" w:sz="0" w:space="0" w:color="auto"/>
        <w:left w:val="none" w:sz="0" w:space="0" w:color="auto"/>
        <w:bottom w:val="none" w:sz="0" w:space="0" w:color="auto"/>
        <w:right w:val="none" w:sz="0" w:space="0" w:color="auto"/>
      </w:divBdr>
    </w:div>
    <w:div w:id="1393506727">
      <w:bodyDiv w:val="1"/>
      <w:marLeft w:val="0"/>
      <w:marRight w:val="0"/>
      <w:marTop w:val="0"/>
      <w:marBottom w:val="0"/>
      <w:divBdr>
        <w:top w:val="none" w:sz="0" w:space="0" w:color="auto"/>
        <w:left w:val="none" w:sz="0" w:space="0" w:color="auto"/>
        <w:bottom w:val="none" w:sz="0" w:space="0" w:color="auto"/>
        <w:right w:val="none" w:sz="0" w:space="0" w:color="auto"/>
      </w:divBdr>
    </w:div>
    <w:div w:id="1393623464">
      <w:bodyDiv w:val="1"/>
      <w:marLeft w:val="0"/>
      <w:marRight w:val="0"/>
      <w:marTop w:val="0"/>
      <w:marBottom w:val="0"/>
      <w:divBdr>
        <w:top w:val="none" w:sz="0" w:space="0" w:color="auto"/>
        <w:left w:val="none" w:sz="0" w:space="0" w:color="auto"/>
        <w:bottom w:val="none" w:sz="0" w:space="0" w:color="auto"/>
        <w:right w:val="none" w:sz="0" w:space="0" w:color="auto"/>
      </w:divBdr>
    </w:div>
    <w:div w:id="1393888702">
      <w:bodyDiv w:val="1"/>
      <w:marLeft w:val="0"/>
      <w:marRight w:val="0"/>
      <w:marTop w:val="0"/>
      <w:marBottom w:val="0"/>
      <w:divBdr>
        <w:top w:val="none" w:sz="0" w:space="0" w:color="auto"/>
        <w:left w:val="none" w:sz="0" w:space="0" w:color="auto"/>
        <w:bottom w:val="none" w:sz="0" w:space="0" w:color="auto"/>
        <w:right w:val="none" w:sz="0" w:space="0" w:color="auto"/>
      </w:divBdr>
    </w:div>
    <w:div w:id="1393889385">
      <w:bodyDiv w:val="1"/>
      <w:marLeft w:val="0"/>
      <w:marRight w:val="0"/>
      <w:marTop w:val="0"/>
      <w:marBottom w:val="0"/>
      <w:divBdr>
        <w:top w:val="none" w:sz="0" w:space="0" w:color="auto"/>
        <w:left w:val="none" w:sz="0" w:space="0" w:color="auto"/>
        <w:bottom w:val="none" w:sz="0" w:space="0" w:color="auto"/>
        <w:right w:val="none" w:sz="0" w:space="0" w:color="auto"/>
      </w:divBdr>
    </w:div>
    <w:div w:id="1394430254">
      <w:bodyDiv w:val="1"/>
      <w:marLeft w:val="0"/>
      <w:marRight w:val="0"/>
      <w:marTop w:val="0"/>
      <w:marBottom w:val="0"/>
      <w:divBdr>
        <w:top w:val="none" w:sz="0" w:space="0" w:color="auto"/>
        <w:left w:val="none" w:sz="0" w:space="0" w:color="auto"/>
        <w:bottom w:val="none" w:sz="0" w:space="0" w:color="auto"/>
        <w:right w:val="none" w:sz="0" w:space="0" w:color="auto"/>
      </w:divBdr>
    </w:div>
    <w:div w:id="1394542321">
      <w:bodyDiv w:val="1"/>
      <w:marLeft w:val="0"/>
      <w:marRight w:val="0"/>
      <w:marTop w:val="0"/>
      <w:marBottom w:val="0"/>
      <w:divBdr>
        <w:top w:val="none" w:sz="0" w:space="0" w:color="auto"/>
        <w:left w:val="none" w:sz="0" w:space="0" w:color="auto"/>
        <w:bottom w:val="none" w:sz="0" w:space="0" w:color="auto"/>
        <w:right w:val="none" w:sz="0" w:space="0" w:color="auto"/>
      </w:divBdr>
    </w:div>
    <w:div w:id="1394742503">
      <w:bodyDiv w:val="1"/>
      <w:marLeft w:val="0"/>
      <w:marRight w:val="0"/>
      <w:marTop w:val="0"/>
      <w:marBottom w:val="0"/>
      <w:divBdr>
        <w:top w:val="none" w:sz="0" w:space="0" w:color="auto"/>
        <w:left w:val="none" w:sz="0" w:space="0" w:color="auto"/>
        <w:bottom w:val="none" w:sz="0" w:space="0" w:color="auto"/>
        <w:right w:val="none" w:sz="0" w:space="0" w:color="auto"/>
      </w:divBdr>
    </w:div>
    <w:div w:id="1394810103">
      <w:bodyDiv w:val="1"/>
      <w:marLeft w:val="0"/>
      <w:marRight w:val="0"/>
      <w:marTop w:val="0"/>
      <w:marBottom w:val="0"/>
      <w:divBdr>
        <w:top w:val="none" w:sz="0" w:space="0" w:color="auto"/>
        <w:left w:val="none" w:sz="0" w:space="0" w:color="auto"/>
        <w:bottom w:val="none" w:sz="0" w:space="0" w:color="auto"/>
        <w:right w:val="none" w:sz="0" w:space="0" w:color="auto"/>
      </w:divBdr>
    </w:div>
    <w:div w:id="1395007652">
      <w:bodyDiv w:val="1"/>
      <w:marLeft w:val="0"/>
      <w:marRight w:val="0"/>
      <w:marTop w:val="0"/>
      <w:marBottom w:val="0"/>
      <w:divBdr>
        <w:top w:val="none" w:sz="0" w:space="0" w:color="auto"/>
        <w:left w:val="none" w:sz="0" w:space="0" w:color="auto"/>
        <w:bottom w:val="none" w:sz="0" w:space="0" w:color="auto"/>
        <w:right w:val="none" w:sz="0" w:space="0" w:color="auto"/>
      </w:divBdr>
    </w:div>
    <w:div w:id="1395081251">
      <w:bodyDiv w:val="1"/>
      <w:marLeft w:val="0"/>
      <w:marRight w:val="0"/>
      <w:marTop w:val="0"/>
      <w:marBottom w:val="0"/>
      <w:divBdr>
        <w:top w:val="none" w:sz="0" w:space="0" w:color="auto"/>
        <w:left w:val="none" w:sz="0" w:space="0" w:color="auto"/>
        <w:bottom w:val="none" w:sz="0" w:space="0" w:color="auto"/>
        <w:right w:val="none" w:sz="0" w:space="0" w:color="auto"/>
      </w:divBdr>
    </w:div>
    <w:div w:id="1395086516">
      <w:bodyDiv w:val="1"/>
      <w:marLeft w:val="0"/>
      <w:marRight w:val="0"/>
      <w:marTop w:val="0"/>
      <w:marBottom w:val="0"/>
      <w:divBdr>
        <w:top w:val="none" w:sz="0" w:space="0" w:color="auto"/>
        <w:left w:val="none" w:sz="0" w:space="0" w:color="auto"/>
        <w:bottom w:val="none" w:sz="0" w:space="0" w:color="auto"/>
        <w:right w:val="none" w:sz="0" w:space="0" w:color="auto"/>
      </w:divBdr>
    </w:div>
    <w:div w:id="1395196717">
      <w:bodyDiv w:val="1"/>
      <w:marLeft w:val="0"/>
      <w:marRight w:val="0"/>
      <w:marTop w:val="0"/>
      <w:marBottom w:val="0"/>
      <w:divBdr>
        <w:top w:val="none" w:sz="0" w:space="0" w:color="auto"/>
        <w:left w:val="none" w:sz="0" w:space="0" w:color="auto"/>
        <w:bottom w:val="none" w:sz="0" w:space="0" w:color="auto"/>
        <w:right w:val="none" w:sz="0" w:space="0" w:color="auto"/>
      </w:divBdr>
    </w:div>
    <w:div w:id="1395540394">
      <w:bodyDiv w:val="1"/>
      <w:marLeft w:val="0"/>
      <w:marRight w:val="0"/>
      <w:marTop w:val="0"/>
      <w:marBottom w:val="0"/>
      <w:divBdr>
        <w:top w:val="none" w:sz="0" w:space="0" w:color="auto"/>
        <w:left w:val="none" w:sz="0" w:space="0" w:color="auto"/>
        <w:bottom w:val="none" w:sz="0" w:space="0" w:color="auto"/>
        <w:right w:val="none" w:sz="0" w:space="0" w:color="auto"/>
      </w:divBdr>
    </w:div>
    <w:div w:id="1395541505">
      <w:bodyDiv w:val="1"/>
      <w:marLeft w:val="0"/>
      <w:marRight w:val="0"/>
      <w:marTop w:val="0"/>
      <w:marBottom w:val="0"/>
      <w:divBdr>
        <w:top w:val="none" w:sz="0" w:space="0" w:color="auto"/>
        <w:left w:val="none" w:sz="0" w:space="0" w:color="auto"/>
        <w:bottom w:val="none" w:sz="0" w:space="0" w:color="auto"/>
        <w:right w:val="none" w:sz="0" w:space="0" w:color="auto"/>
      </w:divBdr>
    </w:div>
    <w:div w:id="1395665730">
      <w:bodyDiv w:val="1"/>
      <w:marLeft w:val="0"/>
      <w:marRight w:val="0"/>
      <w:marTop w:val="0"/>
      <w:marBottom w:val="0"/>
      <w:divBdr>
        <w:top w:val="none" w:sz="0" w:space="0" w:color="auto"/>
        <w:left w:val="none" w:sz="0" w:space="0" w:color="auto"/>
        <w:bottom w:val="none" w:sz="0" w:space="0" w:color="auto"/>
        <w:right w:val="none" w:sz="0" w:space="0" w:color="auto"/>
      </w:divBdr>
    </w:div>
    <w:div w:id="1395935751">
      <w:bodyDiv w:val="1"/>
      <w:marLeft w:val="0"/>
      <w:marRight w:val="0"/>
      <w:marTop w:val="0"/>
      <w:marBottom w:val="0"/>
      <w:divBdr>
        <w:top w:val="none" w:sz="0" w:space="0" w:color="auto"/>
        <w:left w:val="none" w:sz="0" w:space="0" w:color="auto"/>
        <w:bottom w:val="none" w:sz="0" w:space="0" w:color="auto"/>
        <w:right w:val="none" w:sz="0" w:space="0" w:color="auto"/>
      </w:divBdr>
    </w:div>
    <w:div w:id="1396009757">
      <w:bodyDiv w:val="1"/>
      <w:marLeft w:val="0"/>
      <w:marRight w:val="0"/>
      <w:marTop w:val="0"/>
      <w:marBottom w:val="0"/>
      <w:divBdr>
        <w:top w:val="none" w:sz="0" w:space="0" w:color="auto"/>
        <w:left w:val="none" w:sz="0" w:space="0" w:color="auto"/>
        <w:bottom w:val="none" w:sz="0" w:space="0" w:color="auto"/>
        <w:right w:val="none" w:sz="0" w:space="0" w:color="auto"/>
      </w:divBdr>
    </w:div>
    <w:div w:id="1396200221">
      <w:bodyDiv w:val="1"/>
      <w:marLeft w:val="0"/>
      <w:marRight w:val="0"/>
      <w:marTop w:val="0"/>
      <w:marBottom w:val="0"/>
      <w:divBdr>
        <w:top w:val="none" w:sz="0" w:space="0" w:color="auto"/>
        <w:left w:val="none" w:sz="0" w:space="0" w:color="auto"/>
        <w:bottom w:val="none" w:sz="0" w:space="0" w:color="auto"/>
        <w:right w:val="none" w:sz="0" w:space="0" w:color="auto"/>
      </w:divBdr>
    </w:div>
    <w:div w:id="1396204089">
      <w:bodyDiv w:val="1"/>
      <w:marLeft w:val="0"/>
      <w:marRight w:val="0"/>
      <w:marTop w:val="0"/>
      <w:marBottom w:val="0"/>
      <w:divBdr>
        <w:top w:val="none" w:sz="0" w:space="0" w:color="auto"/>
        <w:left w:val="none" w:sz="0" w:space="0" w:color="auto"/>
        <w:bottom w:val="none" w:sz="0" w:space="0" w:color="auto"/>
        <w:right w:val="none" w:sz="0" w:space="0" w:color="auto"/>
      </w:divBdr>
    </w:div>
    <w:div w:id="1396244618">
      <w:bodyDiv w:val="1"/>
      <w:marLeft w:val="0"/>
      <w:marRight w:val="0"/>
      <w:marTop w:val="0"/>
      <w:marBottom w:val="0"/>
      <w:divBdr>
        <w:top w:val="none" w:sz="0" w:space="0" w:color="auto"/>
        <w:left w:val="none" w:sz="0" w:space="0" w:color="auto"/>
        <w:bottom w:val="none" w:sz="0" w:space="0" w:color="auto"/>
        <w:right w:val="none" w:sz="0" w:space="0" w:color="auto"/>
      </w:divBdr>
    </w:div>
    <w:div w:id="1396321313">
      <w:bodyDiv w:val="1"/>
      <w:marLeft w:val="0"/>
      <w:marRight w:val="0"/>
      <w:marTop w:val="0"/>
      <w:marBottom w:val="0"/>
      <w:divBdr>
        <w:top w:val="none" w:sz="0" w:space="0" w:color="auto"/>
        <w:left w:val="none" w:sz="0" w:space="0" w:color="auto"/>
        <w:bottom w:val="none" w:sz="0" w:space="0" w:color="auto"/>
        <w:right w:val="none" w:sz="0" w:space="0" w:color="auto"/>
      </w:divBdr>
    </w:div>
    <w:div w:id="1396584056">
      <w:bodyDiv w:val="1"/>
      <w:marLeft w:val="0"/>
      <w:marRight w:val="0"/>
      <w:marTop w:val="0"/>
      <w:marBottom w:val="0"/>
      <w:divBdr>
        <w:top w:val="none" w:sz="0" w:space="0" w:color="auto"/>
        <w:left w:val="none" w:sz="0" w:space="0" w:color="auto"/>
        <w:bottom w:val="none" w:sz="0" w:space="0" w:color="auto"/>
        <w:right w:val="none" w:sz="0" w:space="0" w:color="auto"/>
      </w:divBdr>
    </w:div>
    <w:div w:id="1396779929">
      <w:bodyDiv w:val="1"/>
      <w:marLeft w:val="0"/>
      <w:marRight w:val="0"/>
      <w:marTop w:val="0"/>
      <w:marBottom w:val="0"/>
      <w:divBdr>
        <w:top w:val="none" w:sz="0" w:space="0" w:color="auto"/>
        <w:left w:val="none" w:sz="0" w:space="0" w:color="auto"/>
        <w:bottom w:val="none" w:sz="0" w:space="0" w:color="auto"/>
        <w:right w:val="none" w:sz="0" w:space="0" w:color="auto"/>
      </w:divBdr>
    </w:div>
    <w:div w:id="1396859700">
      <w:bodyDiv w:val="1"/>
      <w:marLeft w:val="0"/>
      <w:marRight w:val="0"/>
      <w:marTop w:val="0"/>
      <w:marBottom w:val="0"/>
      <w:divBdr>
        <w:top w:val="none" w:sz="0" w:space="0" w:color="auto"/>
        <w:left w:val="none" w:sz="0" w:space="0" w:color="auto"/>
        <w:bottom w:val="none" w:sz="0" w:space="0" w:color="auto"/>
        <w:right w:val="none" w:sz="0" w:space="0" w:color="auto"/>
      </w:divBdr>
    </w:div>
    <w:div w:id="1397046528">
      <w:bodyDiv w:val="1"/>
      <w:marLeft w:val="0"/>
      <w:marRight w:val="0"/>
      <w:marTop w:val="0"/>
      <w:marBottom w:val="0"/>
      <w:divBdr>
        <w:top w:val="none" w:sz="0" w:space="0" w:color="auto"/>
        <w:left w:val="none" w:sz="0" w:space="0" w:color="auto"/>
        <w:bottom w:val="none" w:sz="0" w:space="0" w:color="auto"/>
        <w:right w:val="none" w:sz="0" w:space="0" w:color="auto"/>
      </w:divBdr>
    </w:div>
    <w:div w:id="1397047748">
      <w:bodyDiv w:val="1"/>
      <w:marLeft w:val="0"/>
      <w:marRight w:val="0"/>
      <w:marTop w:val="0"/>
      <w:marBottom w:val="0"/>
      <w:divBdr>
        <w:top w:val="none" w:sz="0" w:space="0" w:color="auto"/>
        <w:left w:val="none" w:sz="0" w:space="0" w:color="auto"/>
        <w:bottom w:val="none" w:sz="0" w:space="0" w:color="auto"/>
        <w:right w:val="none" w:sz="0" w:space="0" w:color="auto"/>
      </w:divBdr>
    </w:div>
    <w:div w:id="1397315666">
      <w:bodyDiv w:val="1"/>
      <w:marLeft w:val="0"/>
      <w:marRight w:val="0"/>
      <w:marTop w:val="0"/>
      <w:marBottom w:val="0"/>
      <w:divBdr>
        <w:top w:val="none" w:sz="0" w:space="0" w:color="auto"/>
        <w:left w:val="none" w:sz="0" w:space="0" w:color="auto"/>
        <w:bottom w:val="none" w:sz="0" w:space="0" w:color="auto"/>
        <w:right w:val="none" w:sz="0" w:space="0" w:color="auto"/>
      </w:divBdr>
    </w:div>
    <w:div w:id="1397437616">
      <w:bodyDiv w:val="1"/>
      <w:marLeft w:val="0"/>
      <w:marRight w:val="0"/>
      <w:marTop w:val="0"/>
      <w:marBottom w:val="0"/>
      <w:divBdr>
        <w:top w:val="none" w:sz="0" w:space="0" w:color="auto"/>
        <w:left w:val="none" w:sz="0" w:space="0" w:color="auto"/>
        <w:bottom w:val="none" w:sz="0" w:space="0" w:color="auto"/>
        <w:right w:val="none" w:sz="0" w:space="0" w:color="auto"/>
      </w:divBdr>
    </w:div>
    <w:div w:id="1397513254">
      <w:bodyDiv w:val="1"/>
      <w:marLeft w:val="0"/>
      <w:marRight w:val="0"/>
      <w:marTop w:val="0"/>
      <w:marBottom w:val="0"/>
      <w:divBdr>
        <w:top w:val="none" w:sz="0" w:space="0" w:color="auto"/>
        <w:left w:val="none" w:sz="0" w:space="0" w:color="auto"/>
        <w:bottom w:val="none" w:sz="0" w:space="0" w:color="auto"/>
        <w:right w:val="none" w:sz="0" w:space="0" w:color="auto"/>
      </w:divBdr>
    </w:div>
    <w:div w:id="1397626926">
      <w:bodyDiv w:val="1"/>
      <w:marLeft w:val="0"/>
      <w:marRight w:val="0"/>
      <w:marTop w:val="0"/>
      <w:marBottom w:val="0"/>
      <w:divBdr>
        <w:top w:val="none" w:sz="0" w:space="0" w:color="auto"/>
        <w:left w:val="none" w:sz="0" w:space="0" w:color="auto"/>
        <w:bottom w:val="none" w:sz="0" w:space="0" w:color="auto"/>
        <w:right w:val="none" w:sz="0" w:space="0" w:color="auto"/>
      </w:divBdr>
    </w:div>
    <w:div w:id="1397823404">
      <w:bodyDiv w:val="1"/>
      <w:marLeft w:val="0"/>
      <w:marRight w:val="0"/>
      <w:marTop w:val="0"/>
      <w:marBottom w:val="0"/>
      <w:divBdr>
        <w:top w:val="none" w:sz="0" w:space="0" w:color="auto"/>
        <w:left w:val="none" w:sz="0" w:space="0" w:color="auto"/>
        <w:bottom w:val="none" w:sz="0" w:space="0" w:color="auto"/>
        <w:right w:val="none" w:sz="0" w:space="0" w:color="auto"/>
      </w:divBdr>
    </w:div>
    <w:div w:id="1397973815">
      <w:bodyDiv w:val="1"/>
      <w:marLeft w:val="0"/>
      <w:marRight w:val="0"/>
      <w:marTop w:val="0"/>
      <w:marBottom w:val="0"/>
      <w:divBdr>
        <w:top w:val="none" w:sz="0" w:space="0" w:color="auto"/>
        <w:left w:val="none" w:sz="0" w:space="0" w:color="auto"/>
        <w:bottom w:val="none" w:sz="0" w:space="0" w:color="auto"/>
        <w:right w:val="none" w:sz="0" w:space="0" w:color="auto"/>
      </w:divBdr>
    </w:div>
    <w:div w:id="1398016018">
      <w:bodyDiv w:val="1"/>
      <w:marLeft w:val="0"/>
      <w:marRight w:val="0"/>
      <w:marTop w:val="0"/>
      <w:marBottom w:val="0"/>
      <w:divBdr>
        <w:top w:val="none" w:sz="0" w:space="0" w:color="auto"/>
        <w:left w:val="none" w:sz="0" w:space="0" w:color="auto"/>
        <w:bottom w:val="none" w:sz="0" w:space="0" w:color="auto"/>
        <w:right w:val="none" w:sz="0" w:space="0" w:color="auto"/>
      </w:divBdr>
    </w:div>
    <w:div w:id="1398160988">
      <w:bodyDiv w:val="1"/>
      <w:marLeft w:val="0"/>
      <w:marRight w:val="0"/>
      <w:marTop w:val="0"/>
      <w:marBottom w:val="0"/>
      <w:divBdr>
        <w:top w:val="none" w:sz="0" w:space="0" w:color="auto"/>
        <w:left w:val="none" w:sz="0" w:space="0" w:color="auto"/>
        <w:bottom w:val="none" w:sz="0" w:space="0" w:color="auto"/>
        <w:right w:val="none" w:sz="0" w:space="0" w:color="auto"/>
      </w:divBdr>
    </w:div>
    <w:div w:id="1398285789">
      <w:bodyDiv w:val="1"/>
      <w:marLeft w:val="0"/>
      <w:marRight w:val="0"/>
      <w:marTop w:val="0"/>
      <w:marBottom w:val="0"/>
      <w:divBdr>
        <w:top w:val="none" w:sz="0" w:space="0" w:color="auto"/>
        <w:left w:val="none" w:sz="0" w:space="0" w:color="auto"/>
        <w:bottom w:val="none" w:sz="0" w:space="0" w:color="auto"/>
        <w:right w:val="none" w:sz="0" w:space="0" w:color="auto"/>
      </w:divBdr>
    </w:div>
    <w:div w:id="1398355536">
      <w:bodyDiv w:val="1"/>
      <w:marLeft w:val="0"/>
      <w:marRight w:val="0"/>
      <w:marTop w:val="0"/>
      <w:marBottom w:val="0"/>
      <w:divBdr>
        <w:top w:val="none" w:sz="0" w:space="0" w:color="auto"/>
        <w:left w:val="none" w:sz="0" w:space="0" w:color="auto"/>
        <w:bottom w:val="none" w:sz="0" w:space="0" w:color="auto"/>
        <w:right w:val="none" w:sz="0" w:space="0" w:color="auto"/>
      </w:divBdr>
    </w:div>
    <w:div w:id="1398435833">
      <w:bodyDiv w:val="1"/>
      <w:marLeft w:val="0"/>
      <w:marRight w:val="0"/>
      <w:marTop w:val="0"/>
      <w:marBottom w:val="0"/>
      <w:divBdr>
        <w:top w:val="none" w:sz="0" w:space="0" w:color="auto"/>
        <w:left w:val="none" w:sz="0" w:space="0" w:color="auto"/>
        <w:bottom w:val="none" w:sz="0" w:space="0" w:color="auto"/>
        <w:right w:val="none" w:sz="0" w:space="0" w:color="auto"/>
      </w:divBdr>
    </w:div>
    <w:div w:id="1398865974">
      <w:bodyDiv w:val="1"/>
      <w:marLeft w:val="0"/>
      <w:marRight w:val="0"/>
      <w:marTop w:val="0"/>
      <w:marBottom w:val="0"/>
      <w:divBdr>
        <w:top w:val="none" w:sz="0" w:space="0" w:color="auto"/>
        <w:left w:val="none" w:sz="0" w:space="0" w:color="auto"/>
        <w:bottom w:val="none" w:sz="0" w:space="0" w:color="auto"/>
        <w:right w:val="none" w:sz="0" w:space="0" w:color="auto"/>
      </w:divBdr>
    </w:div>
    <w:div w:id="1398897099">
      <w:bodyDiv w:val="1"/>
      <w:marLeft w:val="0"/>
      <w:marRight w:val="0"/>
      <w:marTop w:val="0"/>
      <w:marBottom w:val="0"/>
      <w:divBdr>
        <w:top w:val="none" w:sz="0" w:space="0" w:color="auto"/>
        <w:left w:val="none" w:sz="0" w:space="0" w:color="auto"/>
        <w:bottom w:val="none" w:sz="0" w:space="0" w:color="auto"/>
        <w:right w:val="none" w:sz="0" w:space="0" w:color="auto"/>
      </w:divBdr>
    </w:div>
    <w:div w:id="1398942922">
      <w:bodyDiv w:val="1"/>
      <w:marLeft w:val="0"/>
      <w:marRight w:val="0"/>
      <w:marTop w:val="0"/>
      <w:marBottom w:val="0"/>
      <w:divBdr>
        <w:top w:val="none" w:sz="0" w:space="0" w:color="auto"/>
        <w:left w:val="none" w:sz="0" w:space="0" w:color="auto"/>
        <w:bottom w:val="none" w:sz="0" w:space="0" w:color="auto"/>
        <w:right w:val="none" w:sz="0" w:space="0" w:color="auto"/>
      </w:divBdr>
    </w:div>
    <w:div w:id="1399018836">
      <w:bodyDiv w:val="1"/>
      <w:marLeft w:val="0"/>
      <w:marRight w:val="0"/>
      <w:marTop w:val="0"/>
      <w:marBottom w:val="0"/>
      <w:divBdr>
        <w:top w:val="none" w:sz="0" w:space="0" w:color="auto"/>
        <w:left w:val="none" w:sz="0" w:space="0" w:color="auto"/>
        <w:bottom w:val="none" w:sz="0" w:space="0" w:color="auto"/>
        <w:right w:val="none" w:sz="0" w:space="0" w:color="auto"/>
      </w:divBdr>
    </w:div>
    <w:div w:id="1399397053">
      <w:bodyDiv w:val="1"/>
      <w:marLeft w:val="0"/>
      <w:marRight w:val="0"/>
      <w:marTop w:val="0"/>
      <w:marBottom w:val="0"/>
      <w:divBdr>
        <w:top w:val="none" w:sz="0" w:space="0" w:color="auto"/>
        <w:left w:val="none" w:sz="0" w:space="0" w:color="auto"/>
        <w:bottom w:val="none" w:sz="0" w:space="0" w:color="auto"/>
        <w:right w:val="none" w:sz="0" w:space="0" w:color="auto"/>
      </w:divBdr>
    </w:div>
    <w:div w:id="1399399346">
      <w:bodyDiv w:val="1"/>
      <w:marLeft w:val="0"/>
      <w:marRight w:val="0"/>
      <w:marTop w:val="0"/>
      <w:marBottom w:val="0"/>
      <w:divBdr>
        <w:top w:val="none" w:sz="0" w:space="0" w:color="auto"/>
        <w:left w:val="none" w:sz="0" w:space="0" w:color="auto"/>
        <w:bottom w:val="none" w:sz="0" w:space="0" w:color="auto"/>
        <w:right w:val="none" w:sz="0" w:space="0" w:color="auto"/>
      </w:divBdr>
    </w:div>
    <w:div w:id="1399399693">
      <w:bodyDiv w:val="1"/>
      <w:marLeft w:val="0"/>
      <w:marRight w:val="0"/>
      <w:marTop w:val="0"/>
      <w:marBottom w:val="0"/>
      <w:divBdr>
        <w:top w:val="none" w:sz="0" w:space="0" w:color="auto"/>
        <w:left w:val="none" w:sz="0" w:space="0" w:color="auto"/>
        <w:bottom w:val="none" w:sz="0" w:space="0" w:color="auto"/>
        <w:right w:val="none" w:sz="0" w:space="0" w:color="auto"/>
      </w:divBdr>
    </w:div>
    <w:div w:id="1399598101">
      <w:bodyDiv w:val="1"/>
      <w:marLeft w:val="0"/>
      <w:marRight w:val="0"/>
      <w:marTop w:val="0"/>
      <w:marBottom w:val="0"/>
      <w:divBdr>
        <w:top w:val="none" w:sz="0" w:space="0" w:color="auto"/>
        <w:left w:val="none" w:sz="0" w:space="0" w:color="auto"/>
        <w:bottom w:val="none" w:sz="0" w:space="0" w:color="auto"/>
        <w:right w:val="none" w:sz="0" w:space="0" w:color="auto"/>
      </w:divBdr>
    </w:div>
    <w:div w:id="1399670473">
      <w:bodyDiv w:val="1"/>
      <w:marLeft w:val="0"/>
      <w:marRight w:val="0"/>
      <w:marTop w:val="0"/>
      <w:marBottom w:val="0"/>
      <w:divBdr>
        <w:top w:val="none" w:sz="0" w:space="0" w:color="auto"/>
        <w:left w:val="none" w:sz="0" w:space="0" w:color="auto"/>
        <w:bottom w:val="none" w:sz="0" w:space="0" w:color="auto"/>
        <w:right w:val="none" w:sz="0" w:space="0" w:color="auto"/>
      </w:divBdr>
    </w:div>
    <w:div w:id="1399789859">
      <w:bodyDiv w:val="1"/>
      <w:marLeft w:val="0"/>
      <w:marRight w:val="0"/>
      <w:marTop w:val="0"/>
      <w:marBottom w:val="0"/>
      <w:divBdr>
        <w:top w:val="none" w:sz="0" w:space="0" w:color="auto"/>
        <w:left w:val="none" w:sz="0" w:space="0" w:color="auto"/>
        <w:bottom w:val="none" w:sz="0" w:space="0" w:color="auto"/>
        <w:right w:val="none" w:sz="0" w:space="0" w:color="auto"/>
      </w:divBdr>
    </w:div>
    <w:div w:id="1399980406">
      <w:bodyDiv w:val="1"/>
      <w:marLeft w:val="0"/>
      <w:marRight w:val="0"/>
      <w:marTop w:val="0"/>
      <w:marBottom w:val="0"/>
      <w:divBdr>
        <w:top w:val="none" w:sz="0" w:space="0" w:color="auto"/>
        <w:left w:val="none" w:sz="0" w:space="0" w:color="auto"/>
        <w:bottom w:val="none" w:sz="0" w:space="0" w:color="auto"/>
        <w:right w:val="none" w:sz="0" w:space="0" w:color="auto"/>
      </w:divBdr>
    </w:div>
    <w:div w:id="1400129311">
      <w:bodyDiv w:val="1"/>
      <w:marLeft w:val="0"/>
      <w:marRight w:val="0"/>
      <w:marTop w:val="0"/>
      <w:marBottom w:val="0"/>
      <w:divBdr>
        <w:top w:val="none" w:sz="0" w:space="0" w:color="auto"/>
        <w:left w:val="none" w:sz="0" w:space="0" w:color="auto"/>
        <w:bottom w:val="none" w:sz="0" w:space="0" w:color="auto"/>
        <w:right w:val="none" w:sz="0" w:space="0" w:color="auto"/>
      </w:divBdr>
    </w:div>
    <w:div w:id="1400320727">
      <w:bodyDiv w:val="1"/>
      <w:marLeft w:val="0"/>
      <w:marRight w:val="0"/>
      <w:marTop w:val="0"/>
      <w:marBottom w:val="0"/>
      <w:divBdr>
        <w:top w:val="none" w:sz="0" w:space="0" w:color="auto"/>
        <w:left w:val="none" w:sz="0" w:space="0" w:color="auto"/>
        <w:bottom w:val="none" w:sz="0" w:space="0" w:color="auto"/>
        <w:right w:val="none" w:sz="0" w:space="0" w:color="auto"/>
      </w:divBdr>
    </w:div>
    <w:div w:id="1400324199">
      <w:bodyDiv w:val="1"/>
      <w:marLeft w:val="0"/>
      <w:marRight w:val="0"/>
      <w:marTop w:val="0"/>
      <w:marBottom w:val="0"/>
      <w:divBdr>
        <w:top w:val="none" w:sz="0" w:space="0" w:color="auto"/>
        <w:left w:val="none" w:sz="0" w:space="0" w:color="auto"/>
        <w:bottom w:val="none" w:sz="0" w:space="0" w:color="auto"/>
        <w:right w:val="none" w:sz="0" w:space="0" w:color="auto"/>
      </w:divBdr>
    </w:div>
    <w:div w:id="1400665366">
      <w:bodyDiv w:val="1"/>
      <w:marLeft w:val="0"/>
      <w:marRight w:val="0"/>
      <w:marTop w:val="0"/>
      <w:marBottom w:val="0"/>
      <w:divBdr>
        <w:top w:val="none" w:sz="0" w:space="0" w:color="auto"/>
        <w:left w:val="none" w:sz="0" w:space="0" w:color="auto"/>
        <w:bottom w:val="none" w:sz="0" w:space="0" w:color="auto"/>
        <w:right w:val="none" w:sz="0" w:space="0" w:color="auto"/>
      </w:divBdr>
    </w:div>
    <w:div w:id="1400707943">
      <w:bodyDiv w:val="1"/>
      <w:marLeft w:val="0"/>
      <w:marRight w:val="0"/>
      <w:marTop w:val="0"/>
      <w:marBottom w:val="0"/>
      <w:divBdr>
        <w:top w:val="none" w:sz="0" w:space="0" w:color="auto"/>
        <w:left w:val="none" w:sz="0" w:space="0" w:color="auto"/>
        <w:bottom w:val="none" w:sz="0" w:space="0" w:color="auto"/>
        <w:right w:val="none" w:sz="0" w:space="0" w:color="auto"/>
      </w:divBdr>
    </w:div>
    <w:div w:id="1400712086">
      <w:bodyDiv w:val="1"/>
      <w:marLeft w:val="0"/>
      <w:marRight w:val="0"/>
      <w:marTop w:val="0"/>
      <w:marBottom w:val="0"/>
      <w:divBdr>
        <w:top w:val="none" w:sz="0" w:space="0" w:color="auto"/>
        <w:left w:val="none" w:sz="0" w:space="0" w:color="auto"/>
        <w:bottom w:val="none" w:sz="0" w:space="0" w:color="auto"/>
        <w:right w:val="none" w:sz="0" w:space="0" w:color="auto"/>
      </w:divBdr>
    </w:div>
    <w:div w:id="1400864444">
      <w:bodyDiv w:val="1"/>
      <w:marLeft w:val="0"/>
      <w:marRight w:val="0"/>
      <w:marTop w:val="0"/>
      <w:marBottom w:val="0"/>
      <w:divBdr>
        <w:top w:val="none" w:sz="0" w:space="0" w:color="auto"/>
        <w:left w:val="none" w:sz="0" w:space="0" w:color="auto"/>
        <w:bottom w:val="none" w:sz="0" w:space="0" w:color="auto"/>
        <w:right w:val="none" w:sz="0" w:space="0" w:color="auto"/>
      </w:divBdr>
    </w:div>
    <w:div w:id="1400905062">
      <w:bodyDiv w:val="1"/>
      <w:marLeft w:val="0"/>
      <w:marRight w:val="0"/>
      <w:marTop w:val="0"/>
      <w:marBottom w:val="0"/>
      <w:divBdr>
        <w:top w:val="none" w:sz="0" w:space="0" w:color="auto"/>
        <w:left w:val="none" w:sz="0" w:space="0" w:color="auto"/>
        <w:bottom w:val="none" w:sz="0" w:space="0" w:color="auto"/>
        <w:right w:val="none" w:sz="0" w:space="0" w:color="auto"/>
      </w:divBdr>
    </w:div>
    <w:div w:id="1400905212">
      <w:bodyDiv w:val="1"/>
      <w:marLeft w:val="0"/>
      <w:marRight w:val="0"/>
      <w:marTop w:val="0"/>
      <w:marBottom w:val="0"/>
      <w:divBdr>
        <w:top w:val="none" w:sz="0" w:space="0" w:color="auto"/>
        <w:left w:val="none" w:sz="0" w:space="0" w:color="auto"/>
        <w:bottom w:val="none" w:sz="0" w:space="0" w:color="auto"/>
        <w:right w:val="none" w:sz="0" w:space="0" w:color="auto"/>
      </w:divBdr>
    </w:div>
    <w:div w:id="1401244677">
      <w:bodyDiv w:val="1"/>
      <w:marLeft w:val="0"/>
      <w:marRight w:val="0"/>
      <w:marTop w:val="0"/>
      <w:marBottom w:val="0"/>
      <w:divBdr>
        <w:top w:val="none" w:sz="0" w:space="0" w:color="auto"/>
        <w:left w:val="none" w:sz="0" w:space="0" w:color="auto"/>
        <w:bottom w:val="none" w:sz="0" w:space="0" w:color="auto"/>
        <w:right w:val="none" w:sz="0" w:space="0" w:color="auto"/>
      </w:divBdr>
    </w:div>
    <w:div w:id="1401246252">
      <w:bodyDiv w:val="1"/>
      <w:marLeft w:val="0"/>
      <w:marRight w:val="0"/>
      <w:marTop w:val="0"/>
      <w:marBottom w:val="0"/>
      <w:divBdr>
        <w:top w:val="none" w:sz="0" w:space="0" w:color="auto"/>
        <w:left w:val="none" w:sz="0" w:space="0" w:color="auto"/>
        <w:bottom w:val="none" w:sz="0" w:space="0" w:color="auto"/>
        <w:right w:val="none" w:sz="0" w:space="0" w:color="auto"/>
      </w:divBdr>
    </w:div>
    <w:div w:id="1401246649">
      <w:bodyDiv w:val="1"/>
      <w:marLeft w:val="0"/>
      <w:marRight w:val="0"/>
      <w:marTop w:val="0"/>
      <w:marBottom w:val="0"/>
      <w:divBdr>
        <w:top w:val="none" w:sz="0" w:space="0" w:color="auto"/>
        <w:left w:val="none" w:sz="0" w:space="0" w:color="auto"/>
        <w:bottom w:val="none" w:sz="0" w:space="0" w:color="auto"/>
        <w:right w:val="none" w:sz="0" w:space="0" w:color="auto"/>
      </w:divBdr>
    </w:div>
    <w:div w:id="1401295549">
      <w:bodyDiv w:val="1"/>
      <w:marLeft w:val="0"/>
      <w:marRight w:val="0"/>
      <w:marTop w:val="0"/>
      <w:marBottom w:val="0"/>
      <w:divBdr>
        <w:top w:val="none" w:sz="0" w:space="0" w:color="auto"/>
        <w:left w:val="none" w:sz="0" w:space="0" w:color="auto"/>
        <w:bottom w:val="none" w:sz="0" w:space="0" w:color="auto"/>
        <w:right w:val="none" w:sz="0" w:space="0" w:color="auto"/>
      </w:divBdr>
    </w:div>
    <w:div w:id="1401321339">
      <w:bodyDiv w:val="1"/>
      <w:marLeft w:val="0"/>
      <w:marRight w:val="0"/>
      <w:marTop w:val="0"/>
      <w:marBottom w:val="0"/>
      <w:divBdr>
        <w:top w:val="none" w:sz="0" w:space="0" w:color="auto"/>
        <w:left w:val="none" w:sz="0" w:space="0" w:color="auto"/>
        <w:bottom w:val="none" w:sz="0" w:space="0" w:color="auto"/>
        <w:right w:val="none" w:sz="0" w:space="0" w:color="auto"/>
      </w:divBdr>
    </w:div>
    <w:div w:id="1401709919">
      <w:bodyDiv w:val="1"/>
      <w:marLeft w:val="0"/>
      <w:marRight w:val="0"/>
      <w:marTop w:val="0"/>
      <w:marBottom w:val="0"/>
      <w:divBdr>
        <w:top w:val="none" w:sz="0" w:space="0" w:color="auto"/>
        <w:left w:val="none" w:sz="0" w:space="0" w:color="auto"/>
        <w:bottom w:val="none" w:sz="0" w:space="0" w:color="auto"/>
        <w:right w:val="none" w:sz="0" w:space="0" w:color="auto"/>
      </w:divBdr>
    </w:div>
    <w:div w:id="1401753358">
      <w:bodyDiv w:val="1"/>
      <w:marLeft w:val="0"/>
      <w:marRight w:val="0"/>
      <w:marTop w:val="0"/>
      <w:marBottom w:val="0"/>
      <w:divBdr>
        <w:top w:val="none" w:sz="0" w:space="0" w:color="auto"/>
        <w:left w:val="none" w:sz="0" w:space="0" w:color="auto"/>
        <w:bottom w:val="none" w:sz="0" w:space="0" w:color="auto"/>
        <w:right w:val="none" w:sz="0" w:space="0" w:color="auto"/>
      </w:divBdr>
    </w:div>
    <w:div w:id="1401756850">
      <w:bodyDiv w:val="1"/>
      <w:marLeft w:val="0"/>
      <w:marRight w:val="0"/>
      <w:marTop w:val="0"/>
      <w:marBottom w:val="0"/>
      <w:divBdr>
        <w:top w:val="none" w:sz="0" w:space="0" w:color="auto"/>
        <w:left w:val="none" w:sz="0" w:space="0" w:color="auto"/>
        <w:bottom w:val="none" w:sz="0" w:space="0" w:color="auto"/>
        <w:right w:val="none" w:sz="0" w:space="0" w:color="auto"/>
      </w:divBdr>
    </w:div>
    <w:div w:id="1401901318">
      <w:bodyDiv w:val="1"/>
      <w:marLeft w:val="0"/>
      <w:marRight w:val="0"/>
      <w:marTop w:val="0"/>
      <w:marBottom w:val="0"/>
      <w:divBdr>
        <w:top w:val="none" w:sz="0" w:space="0" w:color="auto"/>
        <w:left w:val="none" w:sz="0" w:space="0" w:color="auto"/>
        <w:bottom w:val="none" w:sz="0" w:space="0" w:color="auto"/>
        <w:right w:val="none" w:sz="0" w:space="0" w:color="auto"/>
      </w:divBdr>
    </w:div>
    <w:div w:id="1401909080">
      <w:bodyDiv w:val="1"/>
      <w:marLeft w:val="0"/>
      <w:marRight w:val="0"/>
      <w:marTop w:val="0"/>
      <w:marBottom w:val="0"/>
      <w:divBdr>
        <w:top w:val="none" w:sz="0" w:space="0" w:color="auto"/>
        <w:left w:val="none" w:sz="0" w:space="0" w:color="auto"/>
        <w:bottom w:val="none" w:sz="0" w:space="0" w:color="auto"/>
        <w:right w:val="none" w:sz="0" w:space="0" w:color="auto"/>
      </w:divBdr>
    </w:div>
    <w:div w:id="1402017821">
      <w:bodyDiv w:val="1"/>
      <w:marLeft w:val="0"/>
      <w:marRight w:val="0"/>
      <w:marTop w:val="0"/>
      <w:marBottom w:val="0"/>
      <w:divBdr>
        <w:top w:val="none" w:sz="0" w:space="0" w:color="auto"/>
        <w:left w:val="none" w:sz="0" w:space="0" w:color="auto"/>
        <w:bottom w:val="none" w:sz="0" w:space="0" w:color="auto"/>
        <w:right w:val="none" w:sz="0" w:space="0" w:color="auto"/>
      </w:divBdr>
    </w:div>
    <w:div w:id="1402023706">
      <w:bodyDiv w:val="1"/>
      <w:marLeft w:val="0"/>
      <w:marRight w:val="0"/>
      <w:marTop w:val="0"/>
      <w:marBottom w:val="0"/>
      <w:divBdr>
        <w:top w:val="none" w:sz="0" w:space="0" w:color="auto"/>
        <w:left w:val="none" w:sz="0" w:space="0" w:color="auto"/>
        <w:bottom w:val="none" w:sz="0" w:space="0" w:color="auto"/>
        <w:right w:val="none" w:sz="0" w:space="0" w:color="auto"/>
      </w:divBdr>
    </w:div>
    <w:div w:id="1402293513">
      <w:bodyDiv w:val="1"/>
      <w:marLeft w:val="0"/>
      <w:marRight w:val="0"/>
      <w:marTop w:val="0"/>
      <w:marBottom w:val="0"/>
      <w:divBdr>
        <w:top w:val="none" w:sz="0" w:space="0" w:color="auto"/>
        <w:left w:val="none" w:sz="0" w:space="0" w:color="auto"/>
        <w:bottom w:val="none" w:sz="0" w:space="0" w:color="auto"/>
        <w:right w:val="none" w:sz="0" w:space="0" w:color="auto"/>
      </w:divBdr>
    </w:div>
    <w:div w:id="1402368765">
      <w:bodyDiv w:val="1"/>
      <w:marLeft w:val="0"/>
      <w:marRight w:val="0"/>
      <w:marTop w:val="0"/>
      <w:marBottom w:val="0"/>
      <w:divBdr>
        <w:top w:val="none" w:sz="0" w:space="0" w:color="auto"/>
        <w:left w:val="none" w:sz="0" w:space="0" w:color="auto"/>
        <w:bottom w:val="none" w:sz="0" w:space="0" w:color="auto"/>
        <w:right w:val="none" w:sz="0" w:space="0" w:color="auto"/>
      </w:divBdr>
    </w:div>
    <w:div w:id="1402603450">
      <w:bodyDiv w:val="1"/>
      <w:marLeft w:val="0"/>
      <w:marRight w:val="0"/>
      <w:marTop w:val="0"/>
      <w:marBottom w:val="0"/>
      <w:divBdr>
        <w:top w:val="none" w:sz="0" w:space="0" w:color="auto"/>
        <w:left w:val="none" w:sz="0" w:space="0" w:color="auto"/>
        <w:bottom w:val="none" w:sz="0" w:space="0" w:color="auto"/>
        <w:right w:val="none" w:sz="0" w:space="0" w:color="auto"/>
      </w:divBdr>
    </w:div>
    <w:div w:id="1402675897">
      <w:bodyDiv w:val="1"/>
      <w:marLeft w:val="0"/>
      <w:marRight w:val="0"/>
      <w:marTop w:val="0"/>
      <w:marBottom w:val="0"/>
      <w:divBdr>
        <w:top w:val="none" w:sz="0" w:space="0" w:color="auto"/>
        <w:left w:val="none" w:sz="0" w:space="0" w:color="auto"/>
        <w:bottom w:val="none" w:sz="0" w:space="0" w:color="auto"/>
        <w:right w:val="none" w:sz="0" w:space="0" w:color="auto"/>
      </w:divBdr>
    </w:div>
    <w:div w:id="1402830193">
      <w:bodyDiv w:val="1"/>
      <w:marLeft w:val="0"/>
      <w:marRight w:val="0"/>
      <w:marTop w:val="0"/>
      <w:marBottom w:val="0"/>
      <w:divBdr>
        <w:top w:val="none" w:sz="0" w:space="0" w:color="auto"/>
        <w:left w:val="none" w:sz="0" w:space="0" w:color="auto"/>
        <w:bottom w:val="none" w:sz="0" w:space="0" w:color="auto"/>
        <w:right w:val="none" w:sz="0" w:space="0" w:color="auto"/>
      </w:divBdr>
    </w:div>
    <w:div w:id="1403064071">
      <w:bodyDiv w:val="1"/>
      <w:marLeft w:val="0"/>
      <w:marRight w:val="0"/>
      <w:marTop w:val="0"/>
      <w:marBottom w:val="0"/>
      <w:divBdr>
        <w:top w:val="none" w:sz="0" w:space="0" w:color="auto"/>
        <w:left w:val="none" w:sz="0" w:space="0" w:color="auto"/>
        <w:bottom w:val="none" w:sz="0" w:space="0" w:color="auto"/>
        <w:right w:val="none" w:sz="0" w:space="0" w:color="auto"/>
      </w:divBdr>
    </w:div>
    <w:div w:id="1403092650">
      <w:bodyDiv w:val="1"/>
      <w:marLeft w:val="0"/>
      <w:marRight w:val="0"/>
      <w:marTop w:val="0"/>
      <w:marBottom w:val="0"/>
      <w:divBdr>
        <w:top w:val="none" w:sz="0" w:space="0" w:color="auto"/>
        <w:left w:val="none" w:sz="0" w:space="0" w:color="auto"/>
        <w:bottom w:val="none" w:sz="0" w:space="0" w:color="auto"/>
        <w:right w:val="none" w:sz="0" w:space="0" w:color="auto"/>
      </w:divBdr>
    </w:div>
    <w:div w:id="1403137190">
      <w:bodyDiv w:val="1"/>
      <w:marLeft w:val="0"/>
      <w:marRight w:val="0"/>
      <w:marTop w:val="0"/>
      <w:marBottom w:val="0"/>
      <w:divBdr>
        <w:top w:val="none" w:sz="0" w:space="0" w:color="auto"/>
        <w:left w:val="none" w:sz="0" w:space="0" w:color="auto"/>
        <w:bottom w:val="none" w:sz="0" w:space="0" w:color="auto"/>
        <w:right w:val="none" w:sz="0" w:space="0" w:color="auto"/>
      </w:divBdr>
    </w:div>
    <w:div w:id="1403328302">
      <w:bodyDiv w:val="1"/>
      <w:marLeft w:val="0"/>
      <w:marRight w:val="0"/>
      <w:marTop w:val="0"/>
      <w:marBottom w:val="0"/>
      <w:divBdr>
        <w:top w:val="none" w:sz="0" w:space="0" w:color="auto"/>
        <w:left w:val="none" w:sz="0" w:space="0" w:color="auto"/>
        <w:bottom w:val="none" w:sz="0" w:space="0" w:color="auto"/>
        <w:right w:val="none" w:sz="0" w:space="0" w:color="auto"/>
      </w:divBdr>
    </w:div>
    <w:div w:id="1403335420">
      <w:bodyDiv w:val="1"/>
      <w:marLeft w:val="0"/>
      <w:marRight w:val="0"/>
      <w:marTop w:val="0"/>
      <w:marBottom w:val="0"/>
      <w:divBdr>
        <w:top w:val="none" w:sz="0" w:space="0" w:color="auto"/>
        <w:left w:val="none" w:sz="0" w:space="0" w:color="auto"/>
        <w:bottom w:val="none" w:sz="0" w:space="0" w:color="auto"/>
        <w:right w:val="none" w:sz="0" w:space="0" w:color="auto"/>
      </w:divBdr>
    </w:div>
    <w:div w:id="1403336912">
      <w:bodyDiv w:val="1"/>
      <w:marLeft w:val="0"/>
      <w:marRight w:val="0"/>
      <w:marTop w:val="0"/>
      <w:marBottom w:val="0"/>
      <w:divBdr>
        <w:top w:val="none" w:sz="0" w:space="0" w:color="auto"/>
        <w:left w:val="none" w:sz="0" w:space="0" w:color="auto"/>
        <w:bottom w:val="none" w:sz="0" w:space="0" w:color="auto"/>
        <w:right w:val="none" w:sz="0" w:space="0" w:color="auto"/>
      </w:divBdr>
    </w:div>
    <w:div w:id="1403748003">
      <w:bodyDiv w:val="1"/>
      <w:marLeft w:val="0"/>
      <w:marRight w:val="0"/>
      <w:marTop w:val="0"/>
      <w:marBottom w:val="0"/>
      <w:divBdr>
        <w:top w:val="none" w:sz="0" w:space="0" w:color="auto"/>
        <w:left w:val="none" w:sz="0" w:space="0" w:color="auto"/>
        <w:bottom w:val="none" w:sz="0" w:space="0" w:color="auto"/>
        <w:right w:val="none" w:sz="0" w:space="0" w:color="auto"/>
      </w:divBdr>
    </w:div>
    <w:div w:id="1403872045">
      <w:bodyDiv w:val="1"/>
      <w:marLeft w:val="0"/>
      <w:marRight w:val="0"/>
      <w:marTop w:val="0"/>
      <w:marBottom w:val="0"/>
      <w:divBdr>
        <w:top w:val="none" w:sz="0" w:space="0" w:color="auto"/>
        <w:left w:val="none" w:sz="0" w:space="0" w:color="auto"/>
        <w:bottom w:val="none" w:sz="0" w:space="0" w:color="auto"/>
        <w:right w:val="none" w:sz="0" w:space="0" w:color="auto"/>
      </w:divBdr>
    </w:div>
    <w:div w:id="1403912883">
      <w:bodyDiv w:val="1"/>
      <w:marLeft w:val="0"/>
      <w:marRight w:val="0"/>
      <w:marTop w:val="0"/>
      <w:marBottom w:val="0"/>
      <w:divBdr>
        <w:top w:val="none" w:sz="0" w:space="0" w:color="auto"/>
        <w:left w:val="none" w:sz="0" w:space="0" w:color="auto"/>
        <w:bottom w:val="none" w:sz="0" w:space="0" w:color="auto"/>
        <w:right w:val="none" w:sz="0" w:space="0" w:color="auto"/>
      </w:divBdr>
    </w:div>
    <w:div w:id="1404109044">
      <w:bodyDiv w:val="1"/>
      <w:marLeft w:val="0"/>
      <w:marRight w:val="0"/>
      <w:marTop w:val="0"/>
      <w:marBottom w:val="0"/>
      <w:divBdr>
        <w:top w:val="none" w:sz="0" w:space="0" w:color="auto"/>
        <w:left w:val="none" w:sz="0" w:space="0" w:color="auto"/>
        <w:bottom w:val="none" w:sz="0" w:space="0" w:color="auto"/>
        <w:right w:val="none" w:sz="0" w:space="0" w:color="auto"/>
      </w:divBdr>
    </w:div>
    <w:div w:id="1404141370">
      <w:bodyDiv w:val="1"/>
      <w:marLeft w:val="0"/>
      <w:marRight w:val="0"/>
      <w:marTop w:val="0"/>
      <w:marBottom w:val="0"/>
      <w:divBdr>
        <w:top w:val="none" w:sz="0" w:space="0" w:color="auto"/>
        <w:left w:val="none" w:sz="0" w:space="0" w:color="auto"/>
        <w:bottom w:val="none" w:sz="0" w:space="0" w:color="auto"/>
        <w:right w:val="none" w:sz="0" w:space="0" w:color="auto"/>
      </w:divBdr>
    </w:div>
    <w:div w:id="1404328309">
      <w:bodyDiv w:val="1"/>
      <w:marLeft w:val="0"/>
      <w:marRight w:val="0"/>
      <w:marTop w:val="0"/>
      <w:marBottom w:val="0"/>
      <w:divBdr>
        <w:top w:val="none" w:sz="0" w:space="0" w:color="auto"/>
        <w:left w:val="none" w:sz="0" w:space="0" w:color="auto"/>
        <w:bottom w:val="none" w:sz="0" w:space="0" w:color="auto"/>
        <w:right w:val="none" w:sz="0" w:space="0" w:color="auto"/>
      </w:divBdr>
    </w:div>
    <w:div w:id="1404378651">
      <w:bodyDiv w:val="1"/>
      <w:marLeft w:val="0"/>
      <w:marRight w:val="0"/>
      <w:marTop w:val="0"/>
      <w:marBottom w:val="0"/>
      <w:divBdr>
        <w:top w:val="none" w:sz="0" w:space="0" w:color="auto"/>
        <w:left w:val="none" w:sz="0" w:space="0" w:color="auto"/>
        <w:bottom w:val="none" w:sz="0" w:space="0" w:color="auto"/>
        <w:right w:val="none" w:sz="0" w:space="0" w:color="auto"/>
      </w:divBdr>
    </w:div>
    <w:div w:id="1404520881">
      <w:bodyDiv w:val="1"/>
      <w:marLeft w:val="0"/>
      <w:marRight w:val="0"/>
      <w:marTop w:val="0"/>
      <w:marBottom w:val="0"/>
      <w:divBdr>
        <w:top w:val="none" w:sz="0" w:space="0" w:color="auto"/>
        <w:left w:val="none" w:sz="0" w:space="0" w:color="auto"/>
        <w:bottom w:val="none" w:sz="0" w:space="0" w:color="auto"/>
        <w:right w:val="none" w:sz="0" w:space="0" w:color="auto"/>
      </w:divBdr>
    </w:div>
    <w:div w:id="1404569670">
      <w:bodyDiv w:val="1"/>
      <w:marLeft w:val="0"/>
      <w:marRight w:val="0"/>
      <w:marTop w:val="0"/>
      <w:marBottom w:val="0"/>
      <w:divBdr>
        <w:top w:val="none" w:sz="0" w:space="0" w:color="auto"/>
        <w:left w:val="none" w:sz="0" w:space="0" w:color="auto"/>
        <w:bottom w:val="none" w:sz="0" w:space="0" w:color="auto"/>
        <w:right w:val="none" w:sz="0" w:space="0" w:color="auto"/>
      </w:divBdr>
    </w:div>
    <w:div w:id="1404571945">
      <w:bodyDiv w:val="1"/>
      <w:marLeft w:val="0"/>
      <w:marRight w:val="0"/>
      <w:marTop w:val="0"/>
      <w:marBottom w:val="0"/>
      <w:divBdr>
        <w:top w:val="none" w:sz="0" w:space="0" w:color="auto"/>
        <w:left w:val="none" w:sz="0" w:space="0" w:color="auto"/>
        <w:bottom w:val="none" w:sz="0" w:space="0" w:color="auto"/>
        <w:right w:val="none" w:sz="0" w:space="0" w:color="auto"/>
      </w:divBdr>
    </w:div>
    <w:div w:id="1404642308">
      <w:bodyDiv w:val="1"/>
      <w:marLeft w:val="0"/>
      <w:marRight w:val="0"/>
      <w:marTop w:val="0"/>
      <w:marBottom w:val="0"/>
      <w:divBdr>
        <w:top w:val="none" w:sz="0" w:space="0" w:color="auto"/>
        <w:left w:val="none" w:sz="0" w:space="0" w:color="auto"/>
        <w:bottom w:val="none" w:sz="0" w:space="0" w:color="auto"/>
        <w:right w:val="none" w:sz="0" w:space="0" w:color="auto"/>
      </w:divBdr>
    </w:div>
    <w:div w:id="1404646576">
      <w:bodyDiv w:val="1"/>
      <w:marLeft w:val="0"/>
      <w:marRight w:val="0"/>
      <w:marTop w:val="0"/>
      <w:marBottom w:val="0"/>
      <w:divBdr>
        <w:top w:val="none" w:sz="0" w:space="0" w:color="auto"/>
        <w:left w:val="none" w:sz="0" w:space="0" w:color="auto"/>
        <w:bottom w:val="none" w:sz="0" w:space="0" w:color="auto"/>
        <w:right w:val="none" w:sz="0" w:space="0" w:color="auto"/>
      </w:divBdr>
    </w:div>
    <w:div w:id="1404722882">
      <w:bodyDiv w:val="1"/>
      <w:marLeft w:val="0"/>
      <w:marRight w:val="0"/>
      <w:marTop w:val="0"/>
      <w:marBottom w:val="0"/>
      <w:divBdr>
        <w:top w:val="none" w:sz="0" w:space="0" w:color="auto"/>
        <w:left w:val="none" w:sz="0" w:space="0" w:color="auto"/>
        <w:bottom w:val="none" w:sz="0" w:space="0" w:color="auto"/>
        <w:right w:val="none" w:sz="0" w:space="0" w:color="auto"/>
      </w:divBdr>
    </w:div>
    <w:div w:id="1404834457">
      <w:bodyDiv w:val="1"/>
      <w:marLeft w:val="0"/>
      <w:marRight w:val="0"/>
      <w:marTop w:val="0"/>
      <w:marBottom w:val="0"/>
      <w:divBdr>
        <w:top w:val="none" w:sz="0" w:space="0" w:color="auto"/>
        <w:left w:val="none" w:sz="0" w:space="0" w:color="auto"/>
        <w:bottom w:val="none" w:sz="0" w:space="0" w:color="auto"/>
        <w:right w:val="none" w:sz="0" w:space="0" w:color="auto"/>
      </w:divBdr>
    </w:div>
    <w:div w:id="1404982883">
      <w:bodyDiv w:val="1"/>
      <w:marLeft w:val="0"/>
      <w:marRight w:val="0"/>
      <w:marTop w:val="0"/>
      <w:marBottom w:val="0"/>
      <w:divBdr>
        <w:top w:val="none" w:sz="0" w:space="0" w:color="auto"/>
        <w:left w:val="none" w:sz="0" w:space="0" w:color="auto"/>
        <w:bottom w:val="none" w:sz="0" w:space="0" w:color="auto"/>
        <w:right w:val="none" w:sz="0" w:space="0" w:color="auto"/>
      </w:divBdr>
    </w:div>
    <w:div w:id="1404984812">
      <w:bodyDiv w:val="1"/>
      <w:marLeft w:val="0"/>
      <w:marRight w:val="0"/>
      <w:marTop w:val="0"/>
      <w:marBottom w:val="0"/>
      <w:divBdr>
        <w:top w:val="none" w:sz="0" w:space="0" w:color="auto"/>
        <w:left w:val="none" w:sz="0" w:space="0" w:color="auto"/>
        <w:bottom w:val="none" w:sz="0" w:space="0" w:color="auto"/>
        <w:right w:val="none" w:sz="0" w:space="0" w:color="auto"/>
      </w:divBdr>
    </w:div>
    <w:div w:id="1404985363">
      <w:bodyDiv w:val="1"/>
      <w:marLeft w:val="0"/>
      <w:marRight w:val="0"/>
      <w:marTop w:val="0"/>
      <w:marBottom w:val="0"/>
      <w:divBdr>
        <w:top w:val="none" w:sz="0" w:space="0" w:color="auto"/>
        <w:left w:val="none" w:sz="0" w:space="0" w:color="auto"/>
        <w:bottom w:val="none" w:sz="0" w:space="0" w:color="auto"/>
        <w:right w:val="none" w:sz="0" w:space="0" w:color="auto"/>
      </w:divBdr>
    </w:div>
    <w:div w:id="1405106854">
      <w:bodyDiv w:val="1"/>
      <w:marLeft w:val="0"/>
      <w:marRight w:val="0"/>
      <w:marTop w:val="0"/>
      <w:marBottom w:val="0"/>
      <w:divBdr>
        <w:top w:val="none" w:sz="0" w:space="0" w:color="auto"/>
        <w:left w:val="none" w:sz="0" w:space="0" w:color="auto"/>
        <w:bottom w:val="none" w:sz="0" w:space="0" w:color="auto"/>
        <w:right w:val="none" w:sz="0" w:space="0" w:color="auto"/>
      </w:divBdr>
    </w:div>
    <w:div w:id="1405302815">
      <w:bodyDiv w:val="1"/>
      <w:marLeft w:val="0"/>
      <w:marRight w:val="0"/>
      <w:marTop w:val="0"/>
      <w:marBottom w:val="0"/>
      <w:divBdr>
        <w:top w:val="none" w:sz="0" w:space="0" w:color="auto"/>
        <w:left w:val="none" w:sz="0" w:space="0" w:color="auto"/>
        <w:bottom w:val="none" w:sz="0" w:space="0" w:color="auto"/>
        <w:right w:val="none" w:sz="0" w:space="0" w:color="auto"/>
      </w:divBdr>
    </w:div>
    <w:div w:id="1405373528">
      <w:bodyDiv w:val="1"/>
      <w:marLeft w:val="0"/>
      <w:marRight w:val="0"/>
      <w:marTop w:val="0"/>
      <w:marBottom w:val="0"/>
      <w:divBdr>
        <w:top w:val="none" w:sz="0" w:space="0" w:color="auto"/>
        <w:left w:val="none" w:sz="0" w:space="0" w:color="auto"/>
        <w:bottom w:val="none" w:sz="0" w:space="0" w:color="auto"/>
        <w:right w:val="none" w:sz="0" w:space="0" w:color="auto"/>
      </w:divBdr>
    </w:div>
    <w:div w:id="1405375167">
      <w:bodyDiv w:val="1"/>
      <w:marLeft w:val="0"/>
      <w:marRight w:val="0"/>
      <w:marTop w:val="0"/>
      <w:marBottom w:val="0"/>
      <w:divBdr>
        <w:top w:val="none" w:sz="0" w:space="0" w:color="auto"/>
        <w:left w:val="none" w:sz="0" w:space="0" w:color="auto"/>
        <w:bottom w:val="none" w:sz="0" w:space="0" w:color="auto"/>
        <w:right w:val="none" w:sz="0" w:space="0" w:color="auto"/>
      </w:divBdr>
    </w:div>
    <w:div w:id="1405488104">
      <w:bodyDiv w:val="1"/>
      <w:marLeft w:val="0"/>
      <w:marRight w:val="0"/>
      <w:marTop w:val="0"/>
      <w:marBottom w:val="0"/>
      <w:divBdr>
        <w:top w:val="none" w:sz="0" w:space="0" w:color="auto"/>
        <w:left w:val="none" w:sz="0" w:space="0" w:color="auto"/>
        <w:bottom w:val="none" w:sz="0" w:space="0" w:color="auto"/>
        <w:right w:val="none" w:sz="0" w:space="0" w:color="auto"/>
      </w:divBdr>
    </w:div>
    <w:div w:id="1405491432">
      <w:bodyDiv w:val="1"/>
      <w:marLeft w:val="0"/>
      <w:marRight w:val="0"/>
      <w:marTop w:val="0"/>
      <w:marBottom w:val="0"/>
      <w:divBdr>
        <w:top w:val="none" w:sz="0" w:space="0" w:color="auto"/>
        <w:left w:val="none" w:sz="0" w:space="0" w:color="auto"/>
        <w:bottom w:val="none" w:sz="0" w:space="0" w:color="auto"/>
        <w:right w:val="none" w:sz="0" w:space="0" w:color="auto"/>
      </w:divBdr>
    </w:div>
    <w:div w:id="1405568971">
      <w:bodyDiv w:val="1"/>
      <w:marLeft w:val="0"/>
      <w:marRight w:val="0"/>
      <w:marTop w:val="0"/>
      <w:marBottom w:val="0"/>
      <w:divBdr>
        <w:top w:val="none" w:sz="0" w:space="0" w:color="auto"/>
        <w:left w:val="none" w:sz="0" w:space="0" w:color="auto"/>
        <w:bottom w:val="none" w:sz="0" w:space="0" w:color="auto"/>
        <w:right w:val="none" w:sz="0" w:space="0" w:color="auto"/>
      </w:divBdr>
    </w:div>
    <w:div w:id="1405639228">
      <w:bodyDiv w:val="1"/>
      <w:marLeft w:val="0"/>
      <w:marRight w:val="0"/>
      <w:marTop w:val="0"/>
      <w:marBottom w:val="0"/>
      <w:divBdr>
        <w:top w:val="none" w:sz="0" w:space="0" w:color="auto"/>
        <w:left w:val="none" w:sz="0" w:space="0" w:color="auto"/>
        <w:bottom w:val="none" w:sz="0" w:space="0" w:color="auto"/>
        <w:right w:val="none" w:sz="0" w:space="0" w:color="auto"/>
      </w:divBdr>
    </w:div>
    <w:div w:id="1405758284">
      <w:bodyDiv w:val="1"/>
      <w:marLeft w:val="0"/>
      <w:marRight w:val="0"/>
      <w:marTop w:val="0"/>
      <w:marBottom w:val="0"/>
      <w:divBdr>
        <w:top w:val="none" w:sz="0" w:space="0" w:color="auto"/>
        <w:left w:val="none" w:sz="0" w:space="0" w:color="auto"/>
        <w:bottom w:val="none" w:sz="0" w:space="0" w:color="auto"/>
        <w:right w:val="none" w:sz="0" w:space="0" w:color="auto"/>
      </w:divBdr>
    </w:div>
    <w:div w:id="1405834986">
      <w:bodyDiv w:val="1"/>
      <w:marLeft w:val="0"/>
      <w:marRight w:val="0"/>
      <w:marTop w:val="0"/>
      <w:marBottom w:val="0"/>
      <w:divBdr>
        <w:top w:val="none" w:sz="0" w:space="0" w:color="auto"/>
        <w:left w:val="none" w:sz="0" w:space="0" w:color="auto"/>
        <w:bottom w:val="none" w:sz="0" w:space="0" w:color="auto"/>
        <w:right w:val="none" w:sz="0" w:space="0" w:color="auto"/>
      </w:divBdr>
    </w:div>
    <w:div w:id="1405878862">
      <w:bodyDiv w:val="1"/>
      <w:marLeft w:val="0"/>
      <w:marRight w:val="0"/>
      <w:marTop w:val="0"/>
      <w:marBottom w:val="0"/>
      <w:divBdr>
        <w:top w:val="none" w:sz="0" w:space="0" w:color="auto"/>
        <w:left w:val="none" w:sz="0" w:space="0" w:color="auto"/>
        <w:bottom w:val="none" w:sz="0" w:space="0" w:color="auto"/>
        <w:right w:val="none" w:sz="0" w:space="0" w:color="auto"/>
      </w:divBdr>
    </w:div>
    <w:div w:id="1406024687">
      <w:bodyDiv w:val="1"/>
      <w:marLeft w:val="0"/>
      <w:marRight w:val="0"/>
      <w:marTop w:val="0"/>
      <w:marBottom w:val="0"/>
      <w:divBdr>
        <w:top w:val="none" w:sz="0" w:space="0" w:color="auto"/>
        <w:left w:val="none" w:sz="0" w:space="0" w:color="auto"/>
        <w:bottom w:val="none" w:sz="0" w:space="0" w:color="auto"/>
        <w:right w:val="none" w:sz="0" w:space="0" w:color="auto"/>
      </w:divBdr>
    </w:div>
    <w:div w:id="1406147084">
      <w:bodyDiv w:val="1"/>
      <w:marLeft w:val="0"/>
      <w:marRight w:val="0"/>
      <w:marTop w:val="0"/>
      <w:marBottom w:val="0"/>
      <w:divBdr>
        <w:top w:val="none" w:sz="0" w:space="0" w:color="auto"/>
        <w:left w:val="none" w:sz="0" w:space="0" w:color="auto"/>
        <w:bottom w:val="none" w:sz="0" w:space="0" w:color="auto"/>
        <w:right w:val="none" w:sz="0" w:space="0" w:color="auto"/>
      </w:divBdr>
    </w:div>
    <w:div w:id="1406607561">
      <w:bodyDiv w:val="1"/>
      <w:marLeft w:val="0"/>
      <w:marRight w:val="0"/>
      <w:marTop w:val="0"/>
      <w:marBottom w:val="0"/>
      <w:divBdr>
        <w:top w:val="none" w:sz="0" w:space="0" w:color="auto"/>
        <w:left w:val="none" w:sz="0" w:space="0" w:color="auto"/>
        <w:bottom w:val="none" w:sz="0" w:space="0" w:color="auto"/>
        <w:right w:val="none" w:sz="0" w:space="0" w:color="auto"/>
      </w:divBdr>
    </w:div>
    <w:div w:id="1406608407">
      <w:bodyDiv w:val="1"/>
      <w:marLeft w:val="0"/>
      <w:marRight w:val="0"/>
      <w:marTop w:val="0"/>
      <w:marBottom w:val="0"/>
      <w:divBdr>
        <w:top w:val="none" w:sz="0" w:space="0" w:color="auto"/>
        <w:left w:val="none" w:sz="0" w:space="0" w:color="auto"/>
        <w:bottom w:val="none" w:sz="0" w:space="0" w:color="auto"/>
        <w:right w:val="none" w:sz="0" w:space="0" w:color="auto"/>
      </w:divBdr>
    </w:div>
    <w:div w:id="1406687823">
      <w:bodyDiv w:val="1"/>
      <w:marLeft w:val="0"/>
      <w:marRight w:val="0"/>
      <w:marTop w:val="0"/>
      <w:marBottom w:val="0"/>
      <w:divBdr>
        <w:top w:val="none" w:sz="0" w:space="0" w:color="auto"/>
        <w:left w:val="none" w:sz="0" w:space="0" w:color="auto"/>
        <w:bottom w:val="none" w:sz="0" w:space="0" w:color="auto"/>
        <w:right w:val="none" w:sz="0" w:space="0" w:color="auto"/>
      </w:divBdr>
    </w:div>
    <w:div w:id="1406801590">
      <w:bodyDiv w:val="1"/>
      <w:marLeft w:val="0"/>
      <w:marRight w:val="0"/>
      <w:marTop w:val="0"/>
      <w:marBottom w:val="0"/>
      <w:divBdr>
        <w:top w:val="none" w:sz="0" w:space="0" w:color="auto"/>
        <w:left w:val="none" w:sz="0" w:space="0" w:color="auto"/>
        <w:bottom w:val="none" w:sz="0" w:space="0" w:color="auto"/>
        <w:right w:val="none" w:sz="0" w:space="0" w:color="auto"/>
      </w:divBdr>
    </w:div>
    <w:div w:id="1406956669">
      <w:bodyDiv w:val="1"/>
      <w:marLeft w:val="0"/>
      <w:marRight w:val="0"/>
      <w:marTop w:val="0"/>
      <w:marBottom w:val="0"/>
      <w:divBdr>
        <w:top w:val="none" w:sz="0" w:space="0" w:color="auto"/>
        <w:left w:val="none" w:sz="0" w:space="0" w:color="auto"/>
        <w:bottom w:val="none" w:sz="0" w:space="0" w:color="auto"/>
        <w:right w:val="none" w:sz="0" w:space="0" w:color="auto"/>
      </w:divBdr>
    </w:div>
    <w:div w:id="1407190224">
      <w:bodyDiv w:val="1"/>
      <w:marLeft w:val="0"/>
      <w:marRight w:val="0"/>
      <w:marTop w:val="0"/>
      <w:marBottom w:val="0"/>
      <w:divBdr>
        <w:top w:val="none" w:sz="0" w:space="0" w:color="auto"/>
        <w:left w:val="none" w:sz="0" w:space="0" w:color="auto"/>
        <w:bottom w:val="none" w:sz="0" w:space="0" w:color="auto"/>
        <w:right w:val="none" w:sz="0" w:space="0" w:color="auto"/>
      </w:divBdr>
    </w:div>
    <w:div w:id="1407218675">
      <w:bodyDiv w:val="1"/>
      <w:marLeft w:val="0"/>
      <w:marRight w:val="0"/>
      <w:marTop w:val="0"/>
      <w:marBottom w:val="0"/>
      <w:divBdr>
        <w:top w:val="none" w:sz="0" w:space="0" w:color="auto"/>
        <w:left w:val="none" w:sz="0" w:space="0" w:color="auto"/>
        <w:bottom w:val="none" w:sz="0" w:space="0" w:color="auto"/>
        <w:right w:val="none" w:sz="0" w:space="0" w:color="auto"/>
      </w:divBdr>
    </w:div>
    <w:div w:id="1407336990">
      <w:bodyDiv w:val="1"/>
      <w:marLeft w:val="0"/>
      <w:marRight w:val="0"/>
      <w:marTop w:val="0"/>
      <w:marBottom w:val="0"/>
      <w:divBdr>
        <w:top w:val="none" w:sz="0" w:space="0" w:color="auto"/>
        <w:left w:val="none" w:sz="0" w:space="0" w:color="auto"/>
        <w:bottom w:val="none" w:sz="0" w:space="0" w:color="auto"/>
        <w:right w:val="none" w:sz="0" w:space="0" w:color="auto"/>
      </w:divBdr>
    </w:div>
    <w:div w:id="1407337923">
      <w:bodyDiv w:val="1"/>
      <w:marLeft w:val="0"/>
      <w:marRight w:val="0"/>
      <w:marTop w:val="0"/>
      <w:marBottom w:val="0"/>
      <w:divBdr>
        <w:top w:val="none" w:sz="0" w:space="0" w:color="auto"/>
        <w:left w:val="none" w:sz="0" w:space="0" w:color="auto"/>
        <w:bottom w:val="none" w:sz="0" w:space="0" w:color="auto"/>
        <w:right w:val="none" w:sz="0" w:space="0" w:color="auto"/>
      </w:divBdr>
    </w:div>
    <w:div w:id="1407723918">
      <w:bodyDiv w:val="1"/>
      <w:marLeft w:val="0"/>
      <w:marRight w:val="0"/>
      <w:marTop w:val="0"/>
      <w:marBottom w:val="0"/>
      <w:divBdr>
        <w:top w:val="none" w:sz="0" w:space="0" w:color="auto"/>
        <w:left w:val="none" w:sz="0" w:space="0" w:color="auto"/>
        <w:bottom w:val="none" w:sz="0" w:space="0" w:color="auto"/>
        <w:right w:val="none" w:sz="0" w:space="0" w:color="auto"/>
      </w:divBdr>
    </w:div>
    <w:div w:id="1407725048">
      <w:bodyDiv w:val="1"/>
      <w:marLeft w:val="0"/>
      <w:marRight w:val="0"/>
      <w:marTop w:val="0"/>
      <w:marBottom w:val="0"/>
      <w:divBdr>
        <w:top w:val="none" w:sz="0" w:space="0" w:color="auto"/>
        <w:left w:val="none" w:sz="0" w:space="0" w:color="auto"/>
        <w:bottom w:val="none" w:sz="0" w:space="0" w:color="auto"/>
        <w:right w:val="none" w:sz="0" w:space="0" w:color="auto"/>
      </w:divBdr>
    </w:div>
    <w:div w:id="1407725138">
      <w:bodyDiv w:val="1"/>
      <w:marLeft w:val="0"/>
      <w:marRight w:val="0"/>
      <w:marTop w:val="0"/>
      <w:marBottom w:val="0"/>
      <w:divBdr>
        <w:top w:val="none" w:sz="0" w:space="0" w:color="auto"/>
        <w:left w:val="none" w:sz="0" w:space="0" w:color="auto"/>
        <w:bottom w:val="none" w:sz="0" w:space="0" w:color="auto"/>
        <w:right w:val="none" w:sz="0" w:space="0" w:color="auto"/>
      </w:divBdr>
    </w:div>
    <w:div w:id="1407730477">
      <w:bodyDiv w:val="1"/>
      <w:marLeft w:val="0"/>
      <w:marRight w:val="0"/>
      <w:marTop w:val="0"/>
      <w:marBottom w:val="0"/>
      <w:divBdr>
        <w:top w:val="none" w:sz="0" w:space="0" w:color="auto"/>
        <w:left w:val="none" w:sz="0" w:space="0" w:color="auto"/>
        <w:bottom w:val="none" w:sz="0" w:space="0" w:color="auto"/>
        <w:right w:val="none" w:sz="0" w:space="0" w:color="auto"/>
      </w:divBdr>
    </w:div>
    <w:div w:id="1407873763">
      <w:bodyDiv w:val="1"/>
      <w:marLeft w:val="0"/>
      <w:marRight w:val="0"/>
      <w:marTop w:val="0"/>
      <w:marBottom w:val="0"/>
      <w:divBdr>
        <w:top w:val="none" w:sz="0" w:space="0" w:color="auto"/>
        <w:left w:val="none" w:sz="0" w:space="0" w:color="auto"/>
        <w:bottom w:val="none" w:sz="0" w:space="0" w:color="auto"/>
        <w:right w:val="none" w:sz="0" w:space="0" w:color="auto"/>
      </w:divBdr>
    </w:div>
    <w:div w:id="1407877110">
      <w:bodyDiv w:val="1"/>
      <w:marLeft w:val="0"/>
      <w:marRight w:val="0"/>
      <w:marTop w:val="0"/>
      <w:marBottom w:val="0"/>
      <w:divBdr>
        <w:top w:val="none" w:sz="0" w:space="0" w:color="auto"/>
        <w:left w:val="none" w:sz="0" w:space="0" w:color="auto"/>
        <w:bottom w:val="none" w:sz="0" w:space="0" w:color="auto"/>
        <w:right w:val="none" w:sz="0" w:space="0" w:color="auto"/>
      </w:divBdr>
    </w:div>
    <w:div w:id="1407920524">
      <w:bodyDiv w:val="1"/>
      <w:marLeft w:val="0"/>
      <w:marRight w:val="0"/>
      <w:marTop w:val="0"/>
      <w:marBottom w:val="0"/>
      <w:divBdr>
        <w:top w:val="none" w:sz="0" w:space="0" w:color="auto"/>
        <w:left w:val="none" w:sz="0" w:space="0" w:color="auto"/>
        <w:bottom w:val="none" w:sz="0" w:space="0" w:color="auto"/>
        <w:right w:val="none" w:sz="0" w:space="0" w:color="auto"/>
      </w:divBdr>
    </w:div>
    <w:div w:id="1408068101">
      <w:bodyDiv w:val="1"/>
      <w:marLeft w:val="0"/>
      <w:marRight w:val="0"/>
      <w:marTop w:val="0"/>
      <w:marBottom w:val="0"/>
      <w:divBdr>
        <w:top w:val="none" w:sz="0" w:space="0" w:color="auto"/>
        <w:left w:val="none" w:sz="0" w:space="0" w:color="auto"/>
        <w:bottom w:val="none" w:sz="0" w:space="0" w:color="auto"/>
        <w:right w:val="none" w:sz="0" w:space="0" w:color="auto"/>
      </w:divBdr>
    </w:div>
    <w:div w:id="1408261435">
      <w:bodyDiv w:val="1"/>
      <w:marLeft w:val="0"/>
      <w:marRight w:val="0"/>
      <w:marTop w:val="0"/>
      <w:marBottom w:val="0"/>
      <w:divBdr>
        <w:top w:val="none" w:sz="0" w:space="0" w:color="auto"/>
        <w:left w:val="none" w:sz="0" w:space="0" w:color="auto"/>
        <w:bottom w:val="none" w:sz="0" w:space="0" w:color="auto"/>
        <w:right w:val="none" w:sz="0" w:space="0" w:color="auto"/>
      </w:divBdr>
    </w:div>
    <w:div w:id="1408264383">
      <w:bodyDiv w:val="1"/>
      <w:marLeft w:val="0"/>
      <w:marRight w:val="0"/>
      <w:marTop w:val="0"/>
      <w:marBottom w:val="0"/>
      <w:divBdr>
        <w:top w:val="none" w:sz="0" w:space="0" w:color="auto"/>
        <w:left w:val="none" w:sz="0" w:space="0" w:color="auto"/>
        <w:bottom w:val="none" w:sz="0" w:space="0" w:color="auto"/>
        <w:right w:val="none" w:sz="0" w:space="0" w:color="auto"/>
      </w:divBdr>
    </w:div>
    <w:div w:id="1408306580">
      <w:bodyDiv w:val="1"/>
      <w:marLeft w:val="0"/>
      <w:marRight w:val="0"/>
      <w:marTop w:val="0"/>
      <w:marBottom w:val="0"/>
      <w:divBdr>
        <w:top w:val="none" w:sz="0" w:space="0" w:color="auto"/>
        <w:left w:val="none" w:sz="0" w:space="0" w:color="auto"/>
        <w:bottom w:val="none" w:sz="0" w:space="0" w:color="auto"/>
        <w:right w:val="none" w:sz="0" w:space="0" w:color="auto"/>
      </w:divBdr>
    </w:div>
    <w:div w:id="1408334314">
      <w:bodyDiv w:val="1"/>
      <w:marLeft w:val="0"/>
      <w:marRight w:val="0"/>
      <w:marTop w:val="0"/>
      <w:marBottom w:val="0"/>
      <w:divBdr>
        <w:top w:val="none" w:sz="0" w:space="0" w:color="auto"/>
        <w:left w:val="none" w:sz="0" w:space="0" w:color="auto"/>
        <w:bottom w:val="none" w:sz="0" w:space="0" w:color="auto"/>
        <w:right w:val="none" w:sz="0" w:space="0" w:color="auto"/>
      </w:divBdr>
    </w:div>
    <w:div w:id="1408646397">
      <w:bodyDiv w:val="1"/>
      <w:marLeft w:val="0"/>
      <w:marRight w:val="0"/>
      <w:marTop w:val="0"/>
      <w:marBottom w:val="0"/>
      <w:divBdr>
        <w:top w:val="none" w:sz="0" w:space="0" w:color="auto"/>
        <w:left w:val="none" w:sz="0" w:space="0" w:color="auto"/>
        <w:bottom w:val="none" w:sz="0" w:space="0" w:color="auto"/>
        <w:right w:val="none" w:sz="0" w:space="0" w:color="auto"/>
      </w:divBdr>
    </w:div>
    <w:div w:id="1408649436">
      <w:bodyDiv w:val="1"/>
      <w:marLeft w:val="0"/>
      <w:marRight w:val="0"/>
      <w:marTop w:val="0"/>
      <w:marBottom w:val="0"/>
      <w:divBdr>
        <w:top w:val="none" w:sz="0" w:space="0" w:color="auto"/>
        <w:left w:val="none" w:sz="0" w:space="0" w:color="auto"/>
        <w:bottom w:val="none" w:sz="0" w:space="0" w:color="auto"/>
        <w:right w:val="none" w:sz="0" w:space="0" w:color="auto"/>
      </w:divBdr>
    </w:div>
    <w:div w:id="1408651713">
      <w:bodyDiv w:val="1"/>
      <w:marLeft w:val="0"/>
      <w:marRight w:val="0"/>
      <w:marTop w:val="0"/>
      <w:marBottom w:val="0"/>
      <w:divBdr>
        <w:top w:val="none" w:sz="0" w:space="0" w:color="auto"/>
        <w:left w:val="none" w:sz="0" w:space="0" w:color="auto"/>
        <w:bottom w:val="none" w:sz="0" w:space="0" w:color="auto"/>
        <w:right w:val="none" w:sz="0" w:space="0" w:color="auto"/>
      </w:divBdr>
    </w:div>
    <w:div w:id="1408843181">
      <w:bodyDiv w:val="1"/>
      <w:marLeft w:val="0"/>
      <w:marRight w:val="0"/>
      <w:marTop w:val="0"/>
      <w:marBottom w:val="0"/>
      <w:divBdr>
        <w:top w:val="none" w:sz="0" w:space="0" w:color="auto"/>
        <w:left w:val="none" w:sz="0" w:space="0" w:color="auto"/>
        <w:bottom w:val="none" w:sz="0" w:space="0" w:color="auto"/>
        <w:right w:val="none" w:sz="0" w:space="0" w:color="auto"/>
      </w:divBdr>
    </w:div>
    <w:div w:id="1408848037">
      <w:bodyDiv w:val="1"/>
      <w:marLeft w:val="0"/>
      <w:marRight w:val="0"/>
      <w:marTop w:val="0"/>
      <w:marBottom w:val="0"/>
      <w:divBdr>
        <w:top w:val="none" w:sz="0" w:space="0" w:color="auto"/>
        <w:left w:val="none" w:sz="0" w:space="0" w:color="auto"/>
        <w:bottom w:val="none" w:sz="0" w:space="0" w:color="auto"/>
        <w:right w:val="none" w:sz="0" w:space="0" w:color="auto"/>
      </w:divBdr>
    </w:div>
    <w:div w:id="1408916782">
      <w:bodyDiv w:val="1"/>
      <w:marLeft w:val="0"/>
      <w:marRight w:val="0"/>
      <w:marTop w:val="0"/>
      <w:marBottom w:val="0"/>
      <w:divBdr>
        <w:top w:val="none" w:sz="0" w:space="0" w:color="auto"/>
        <w:left w:val="none" w:sz="0" w:space="0" w:color="auto"/>
        <w:bottom w:val="none" w:sz="0" w:space="0" w:color="auto"/>
        <w:right w:val="none" w:sz="0" w:space="0" w:color="auto"/>
      </w:divBdr>
    </w:div>
    <w:div w:id="1409111633">
      <w:bodyDiv w:val="1"/>
      <w:marLeft w:val="0"/>
      <w:marRight w:val="0"/>
      <w:marTop w:val="0"/>
      <w:marBottom w:val="0"/>
      <w:divBdr>
        <w:top w:val="none" w:sz="0" w:space="0" w:color="auto"/>
        <w:left w:val="none" w:sz="0" w:space="0" w:color="auto"/>
        <w:bottom w:val="none" w:sz="0" w:space="0" w:color="auto"/>
        <w:right w:val="none" w:sz="0" w:space="0" w:color="auto"/>
      </w:divBdr>
    </w:div>
    <w:div w:id="1409114365">
      <w:bodyDiv w:val="1"/>
      <w:marLeft w:val="0"/>
      <w:marRight w:val="0"/>
      <w:marTop w:val="0"/>
      <w:marBottom w:val="0"/>
      <w:divBdr>
        <w:top w:val="none" w:sz="0" w:space="0" w:color="auto"/>
        <w:left w:val="none" w:sz="0" w:space="0" w:color="auto"/>
        <w:bottom w:val="none" w:sz="0" w:space="0" w:color="auto"/>
        <w:right w:val="none" w:sz="0" w:space="0" w:color="auto"/>
      </w:divBdr>
    </w:div>
    <w:div w:id="1409114646">
      <w:bodyDiv w:val="1"/>
      <w:marLeft w:val="0"/>
      <w:marRight w:val="0"/>
      <w:marTop w:val="0"/>
      <w:marBottom w:val="0"/>
      <w:divBdr>
        <w:top w:val="none" w:sz="0" w:space="0" w:color="auto"/>
        <w:left w:val="none" w:sz="0" w:space="0" w:color="auto"/>
        <w:bottom w:val="none" w:sz="0" w:space="0" w:color="auto"/>
        <w:right w:val="none" w:sz="0" w:space="0" w:color="auto"/>
      </w:divBdr>
    </w:div>
    <w:div w:id="1409377008">
      <w:bodyDiv w:val="1"/>
      <w:marLeft w:val="0"/>
      <w:marRight w:val="0"/>
      <w:marTop w:val="0"/>
      <w:marBottom w:val="0"/>
      <w:divBdr>
        <w:top w:val="none" w:sz="0" w:space="0" w:color="auto"/>
        <w:left w:val="none" w:sz="0" w:space="0" w:color="auto"/>
        <w:bottom w:val="none" w:sz="0" w:space="0" w:color="auto"/>
        <w:right w:val="none" w:sz="0" w:space="0" w:color="auto"/>
      </w:divBdr>
    </w:div>
    <w:div w:id="1409424273">
      <w:bodyDiv w:val="1"/>
      <w:marLeft w:val="0"/>
      <w:marRight w:val="0"/>
      <w:marTop w:val="0"/>
      <w:marBottom w:val="0"/>
      <w:divBdr>
        <w:top w:val="none" w:sz="0" w:space="0" w:color="auto"/>
        <w:left w:val="none" w:sz="0" w:space="0" w:color="auto"/>
        <w:bottom w:val="none" w:sz="0" w:space="0" w:color="auto"/>
        <w:right w:val="none" w:sz="0" w:space="0" w:color="auto"/>
      </w:divBdr>
    </w:div>
    <w:div w:id="1409495141">
      <w:bodyDiv w:val="1"/>
      <w:marLeft w:val="0"/>
      <w:marRight w:val="0"/>
      <w:marTop w:val="0"/>
      <w:marBottom w:val="0"/>
      <w:divBdr>
        <w:top w:val="none" w:sz="0" w:space="0" w:color="auto"/>
        <w:left w:val="none" w:sz="0" w:space="0" w:color="auto"/>
        <w:bottom w:val="none" w:sz="0" w:space="0" w:color="auto"/>
        <w:right w:val="none" w:sz="0" w:space="0" w:color="auto"/>
      </w:divBdr>
    </w:div>
    <w:div w:id="1409501053">
      <w:bodyDiv w:val="1"/>
      <w:marLeft w:val="0"/>
      <w:marRight w:val="0"/>
      <w:marTop w:val="0"/>
      <w:marBottom w:val="0"/>
      <w:divBdr>
        <w:top w:val="none" w:sz="0" w:space="0" w:color="auto"/>
        <w:left w:val="none" w:sz="0" w:space="0" w:color="auto"/>
        <w:bottom w:val="none" w:sz="0" w:space="0" w:color="auto"/>
        <w:right w:val="none" w:sz="0" w:space="0" w:color="auto"/>
      </w:divBdr>
    </w:div>
    <w:div w:id="1409772186">
      <w:bodyDiv w:val="1"/>
      <w:marLeft w:val="0"/>
      <w:marRight w:val="0"/>
      <w:marTop w:val="0"/>
      <w:marBottom w:val="0"/>
      <w:divBdr>
        <w:top w:val="none" w:sz="0" w:space="0" w:color="auto"/>
        <w:left w:val="none" w:sz="0" w:space="0" w:color="auto"/>
        <w:bottom w:val="none" w:sz="0" w:space="0" w:color="auto"/>
        <w:right w:val="none" w:sz="0" w:space="0" w:color="auto"/>
      </w:divBdr>
    </w:div>
    <w:div w:id="1409888758">
      <w:bodyDiv w:val="1"/>
      <w:marLeft w:val="0"/>
      <w:marRight w:val="0"/>
      <w:marTop w:val="0"/>
      <w:marBottom w:val="0"/>
      <w:divBdr>
        <w:top w:val="none" w:sz="0" w:space="0" w:color="auto"/>
        <w:left w:val="none" w:sz="0" w:space="0" w:color="auto"/>
        <w:bottom w:val="none" w:sz="0" w:space="0" w:color="auto"/>
        <w:right w:val="none" w:sz="0" w:space="0" w:color="auto"/>
      </w:divBdr>
    </w:div>
    <w:div w:id="1410078839">
      <w:bodyDiv w:val="1"/>
      <w:marLeft w:val="0"/>
      <w:marRight w:val="0"/>
      <w:marTop w:val="0"/>
      <w:marBottom w:val="0"/>
      <w:divBdr>
        <w:top w:val="none" w:sz="0" w:space="0" w:color="auto"/>
        <w:left w:val="none" w:sz="0" w:space="0" w:color="auto"/>
        <w:bottom w:val="none" w:sz="0" w:space="0" w:color="auto"/>
        <w:right w:val="none" w:sz="0" w:space="0" w:color="auto"/>
      </w:divBdr>
    </w:div>
    <w:div w:id="1410153268">
      <w:bodyDiv w:val="1"/>
      <w:marLeft w:val="0"/>
      <w:marRight w:val="0"/>
      <w:marTop w:val="0"/>
      <w:marBottom w:val="0"/>
      <w:divBdr>
        <w:top w:val="none" w:sz="0" w:space="0" w:color="auto"/>
        <w:left w:val="none" w:sz="0" w:space="0" w:color="auto"/>
        <w:bottom w:val="none" w:sz="0" w:space="0" w:color="auto"/>
        <w:right w:val="none" w:sz="0" w:space="0" w:color="auto"/>
      </w:divBdr>
    </w:div>
    <w:div w:id="1410466116">
      <w:bodyDiv w:val="1"/>
      <w:marLeft w:val="0"/>
      <w:marRight w:val="0"/>
      <w:marTop w:val="0"/>
      <w:marBottom w:val="0"/>
      <w:divBdr>
        <w:top w:val="none" w:sz="0" w:space="0" w:color="auto"/>
        <w:left w:val="none" w:sz="0" w:space="0" w:color="auto"/>
        <w:bottom w:val="none" w:sz="0" w:space="0" w:color="auto"/>
        <w:right w:val="none" w:sz="0" w:space="0" w:color="auto"/>
      </w:divBdr>
    </w:div>
    <w:div w:id="1410466451">
      <w:bodyDiv w:val="1"/>
      <w:marLeft w:val="0"/>
      <w:marRight w:val="0"/>
      <w:marTop w:val="0"/>
      <w:marBottom w:val="0"/>
      <w:divBdr>
        <w:top w:val="none" w:sz="0" w:space="0" w:color="auto"/>
        <w:left w:val="none" w:sz="0" w:space="0" w:color="auto"/>
        <w:bottom w:val="none" w:sz="0" w:space="0" w:color="auto"/>
        <w:right w:val="none" w:sz="0" w:space="0" w:color="auto"/>
      </w:divBdr>
    </w:div>
    <w:div w:id="1410468074">
      <w:bodyDiv w:val="1"/>
      <w:marLeft w:val="0"/>
      <w:marRight w:val="0"/>
      <w:marTop w:val="0"/>
      <w:marBottom w:val="0"/>
      <w:divBdr>
        <w:top w:val="none" w:sz="0" w:space="0" w:color="auto"/>
        <w:left w:val="none" w:sz="0" w:space="0" w:color="auto"/>
        <w:bottom w:val="none" w:sz="0" w:space="0" w:color="auto"/>
        <w:right w:val="none" w:sz="0" w:space="0" w:color="auto"/>
      </w:divBdr>
    </w:div>
    <w:div w:id="1410808199">
      <w:bodyDiv w:val="1"/>
      <w:marLeft w:val="0"/>
      <w:marRight w:val="0"/>
      <w:marTop w:val="0"/>
      <w:marBottom w:val="0"/>
      <w:divBdr>
        <w:top w:val="none" w:sz="0" w:space="0" w:color="auto"/>
        <w:left w:val="none" w:sz="0" w:space="0" w:color="auto"/>
        <w:bottom w:val="none" w:sz="0" w:space="0" w:color="auto"/>
        <w:right w:val="none" w:sz="0" w:space="0" w:color="auto"/>
      </w:divBdr>
    </w:div>
    <w:div w:id="1410882241">
      <w:bodyDiv w:val="1"/>
      <w:marLeft w:val="0"/>
      <w:marRight w:val="0"/>
      <w:marTop w:val="0"/>
      <w:marBottom w:val="0"/>
      <w:divBdr>
        <w:top w:val="none" w:sz="0" w:space="0" w:color="auto"/>
        <w:left w:val="none" w:sz="0" w:space="0" w:color="auto"/>
        <w:bottom w:val="none" w:sz="0" w:space="0" w:color="auto"/>
        <w:right w:val="none" w:sz="0" w:space="0" w:color="auto"/>
      </w:divBdr>
    </w:div>
    <w:div w:id="1410997756">
      <w:bodyDiv w:val="1"/>
      <w:marLeft w:val="0"/>
      <w:marRight w:val="0"/>
      <w:marTop w:val="0"/>
      <w:marBottom w:val="0"/>
      <w:divBdr>
        <w:top w:val="none" w:sz="0" w:space="0" w:color="auto"/>
        <w:left w:val="none" w:sz="0" w:space="0" w:color="auto"/>
        <w:bottom w:val="none" w:sz="0" w:space="0" w:color="auto"/>
        <w:right w:val="none" w:sz="0" w:space="0" w:color="auto"/>
      </w:divBdr>
    </w:div>
    <w:div w:id="1411000087">
      <w:bodyDiv w:val="1"/>
      <w:marLeft w:val="0"/>
      <w:marRight w:val="0"/>
      <w:marTop w:val="0"/>
      <w:marBottom w:val="0"/>
      <w:divBdr>
        <w:top w:val="none" w:sz="0" w:space="0" w:color="auto"/>
        <w:left w:val="none" w:sz="0" w:space="0" w:color="auto"/>
        <w:bottom w:val="none" w:sz="0" w:space="0" w:color="auto"/>
        <w:right w:val="none" w:sz="0" w:space="0" w:color="auto"/>
      </w:divBdr>
    </w:div>
    <w:div w:id="1411005362">
      <w:bodyDiv w:val="1"/>
      <w:marLeft w:val="0"/>
      <w:marRight w:val="0"/>
      <w:marTop w:val="0"/>
      <w:marBottom w:val="0"/>
      <w:divBdr>
        <w:top w:val="none" w:sz="0" w:space="0" w:color="auto"/>
        <w:left w:val="none" w:sz="0" w:space="0" w:color="auto"/>
        <w:bottom w:val="none" w:sz="0" w:space="0" w:color="auto"/>
        <w:right w:val="none" w:sz="0" w:space="0" w:color="auto"/>
      </w:divBdr>
    </w:div>
    <w:div w:id="1411152570">
      <w:bodyDiv w:val="1"/>
      <w:marLeft w:val="0"/>
      <w:marRight w:val="0"/>
      <w:marTop w:val="0"/>
      <w:marBottom w:val="0"/>
      <w:divBdr>
        <w:top w:val="none" w:sz="0" w:space="0" w:color="auto"/>
        <w:left w:val="none" w:sz="0" w:space="0" w:color="auto"/>
        <w:bottom w:val="none" w:sz="0" w:space="0" w:color="auto"/>
        <w:right w:val="none" w:sz="0" w:space="0" w:color="auto"/>
      </w:divBdr>
    </w:div>
    <w:div w:id="1411194177">
      <w:bodyDiv w:val="1"/>
      <w:marLeft w:val="0"/>
      <w:marRight w:val="0"/>
      <w:marTop w:val="0"/>
      <w:marBottom w:val="0"/>
      <w:divBdr>
        <w:top w:val="none" w:sz="0" w:space="0" w:color="auto"/>
        <w:left w:val="none" w:sz="0" w:space="0" w:color="auto"/>
        <w:bottom w:val="none" w:sz="0" w:space="0" w:color="auto"/>
        <w:right w:val="none" w:sz="0" w:space="0" w:color="auto"/>
      </w:divBdr>
    </w:div>
    <w:div w:id="1411194936">
      <w:bodyDiv w:val="1"/>
      <w:marLeft w:val="0"/>
      <w:marRight w:val="0"/>
      <w:marTop w:val="0"/>
      <w:marBottom w:val="0"/>
      <w:divBdr>
        <w:top w:val="none" w:sz="0" w:space="0" w:color="auto"/>
        <w:left w:val="none" w:sz="0" w:space="0" w:color="auto"/>
        <w:bottom w:val="none" w:sz="0" w:space="0" w:color="auto"/>
        <w:right w:val="none" w:sz="0" w:space="0" w:color="auto"/>
      </w:divBdr>
    </w:div>
    <w:div w:id="1411391810">
      <w:bodyDiv w:val="1"/>
      <w:marLeft w:val="0"/>
      <w:marRight w:val="0"/>
      <w:marTop w:val="0"/>
      <w:marBottom w:val="0"/>
      <w:divBdr>
        <w:top w:val="none" w:sz="0" w:space="0" w:color="auto"/>
        <w:left w:val="none" w:sz="0" w:space="0" w:color="auto"/>
        <w:bottom w:val="none" w:sz="0" w:space="0" w:color="auto"/>
        <w:right w:val="none" w:sz="0" w:space="0" w:color="auto"/>
      </w:divBdr>
    </w:div>
    <w:div w:id="1411464598">
      <w:bodyDiv w:val="1"/>
      <w:marLeft w:val="0"/>
      <w:marRight w:val="0"/>
      <w:marTop w:val="0"/>
      <w:marBottom w:val="0"/>
      <w:divBdr>
        <w:top w:val="none" w:sz="0" w:space="0" w:color="auto"/>
        <w:left w:val="none" w:sz="0" w:space="0" w:color="auto"/>
        <w:bottom w:val="none" w:sz="0" w:space="0" w:color="auto"/>
        <w:right w:val="none" w:sz="0" w:space="0" w:color="auto"/>
      </w:divBdr>
    </w:div>
    <w:div w:id="1411729050">
      <w:bodyDiv w:val="1"/>
      <w:marLeft w:val="0"/>
      <w:marRight w:val="0"/>
      <w:marTop w:val="0"/>
      <w:marBottom w:val="0"/>
      <w:divBdr>
        <w:top w:val="none" w:sz="0" w:space="0" w:color="auto"/>
        <w:left w:val="none" w:sz="0" w:space="0" w:color="auto"/>
        <w:bottom w:val="none" w:sz="0" w:space="0" w:color="auto"/>
        <w:right w:val="none" w:sz="0" w:space="0" w:color="auto"/>
      </w:divBdr>
    </w:div>
    <w:div w:id="1412001366">
      <w:bodyDiv w:val="1"/>
      <w:marLeft w:val="0"/>
      <w:marRight w:val="0"/>
      <w:marTop w:val="0"/>
      <w:marBottom w:val="0"/>
      <w:divBdr>
        <w:top w:val="none" w:sz="0" w:space="0" w:color="auto"/>
        <w:left w:val="none" w:sz="0" w:space="0" w:color="auto"/>
        <w:bottom w:val="none" w:sz="0" w:space="0" w:color="auto"/>
        <w:right w:val="none" w:sz="0" w:space="0" w:color="auto"/>
      </w:divBdr>
    </w:div>
    <w:div w:id="1412003999">
      <w:bodyDiv w:val="1"/>
      <w:marLeft w:val="0"/>
      <w:marRight w:val="0"/>
      <w:marTop w:val="0"/>
      <w:marBottom w:val="0"/>
      <w:divBdr>
        <w:top w:val="none" w:sz="0" w:space="0" w:color="auto"/>
        <w:left w:val="none" w:sz="0" w:space="0" w:color="auto"/>
        <w:bottom w:val="none" w:sz="0" w:space="0" w:color="auto"/>
        <w:right w:val="none" w:sz="0" w:space="0" w:color="auto"/>
      </w:divBdr>
    </w:div>
    <w:div w:id="1412308702">
      <w:bodyDiv w:val="1"/>
      <w:marLeft w:val="0"/>
      <w:marRight w:val="0"/>
      <w:marTop w:val="0"/>
      <w:marBottom w:val="0"/>
      <w:divBdr>
        <w:top w:val="none" w:sz="0" w:space="0" w:color="auto"/>
        <w:left w:val="none" w:sz="0" w:space="0" w:color="auto"/>
        <w:bottom w:val="none" w:sz="0" w:space="0" w:color="auto"/>
        <w:right w:val="none" w:sz="0" w:space="0" w:color="auto"/>
      </w:divBdr>
    </w:div>
    <w:div w:id="1412311011">
      <w:bodyDiv w:val="1"/>
      <w:marLeft w:val="0"/>
      <w:marRight w:val="0"/>
      <w:marTop w:val="0"/>
      <w:marBottom w:val="0"/>
      <w:divBdr>
        <w:top w:val="none" w:sz="0" w:space="0" w:color="auto"/>
        <w:left w:val="none" w:sz="0" w:space="0" w:color="auto"/>
        <w:bottom w:val="none" w:sz="0" w:space="0" w:color="auto"/>
        <w:right w:val="none" w:sz="0" w:space="0" w:color="auto"/>
      </w:divBdr>
    </w:div>
    <w:div w:id="1412578307">
      <w:bodyDiv w:val="1"/>
      <w:marLeft w:val="0"/>
      <w:marRight w:val="0"/>
      <w:marTop w:val="0"/>
      <w:marBottom w:val="0"/>
      <w:divBdr>
        <w:top w:val="none" w:sz="0" w:space="0" w:color="auto"/>
        <w:left w:val="none" w:sz="0" w:space="0" w:color="auto"/>
        <w:bottom w:val="none" w:sz="0" w:space="0" w:color="auto"/>
        <w:right w:val="none" w:sz="0" w:space="0" w:color="auto"/>
      </w:divBdr>
    </w:div>
    <w:div w:id="1412579414">
      <w:bodyDiv w:val="1"/>
      <w:marLeft w:val="0"/>
      <w:marRight w:val="0"/>
      <w:marTop w:val="0"/>
      <w:marBottom w:val="0"/>
      <w:divBdr>
        <w:top w:val="none" w:sz="0" w:space="0" w:color="auto"/>
        <w:left w:val="none" w:sz="0" w:space="0" w:color="auto"/>
        <w:bottom w:val="none" w:sz="0" w:space="0" w:color="auto"/>
        <w:right w:val="none" w:sz="0" w:space="0" w:color="auto"/>
      </w:divBdr>
    </w:div>
    <w:div w:id="1412772288">
      <w:bodyDiv w:val="1"/>
      <w:marLeft w:val="0"/>
      <w:marRight w:val="0"/>
      <w:marTop w:val="0"/>
      <w:marBottom w:val="0"/>
      <w:divBdr>
        <w:top w:val="none" w:sz="0" w:space="0" w:color="auto"/>
        <w:left w:val="none" w:sz="0" w:space="0" w:color="auto"/>
        <w:bottom w:val="none" w:sz="0" w:space="0" w:color="auto"/>
        <w:right w:val="none" w:sz="0" w:space="0" w:color="auto"/>
      </w:divBdr>
    </w:div>
    <w:div w:id="1412970945">
      <w:bodyDiv w:val="1"/>
      <w:marLeft w:val="0"/>
      <w:marRight w:val="0"/>
      <w:marTop w:val="0"/>
      <w:marBottom w:val="0"/>
      <w:divBdr>
        <w:top w:val="none" w:sz="0" w:space="0" w:color="auto"/>
        <w:left w:val="none" w:sz="0" w:space="0" w:color="auto"/>
        <w:bottom w:val="none" w:sz="0" w:space="0" w:color="auto"/>
        <w:right w:val="none" w:sz="0" w:space="0" w:color="auto"/>
      </w:divBdr>
    </w:div>
    <w:div w:id="1413048616">
      <w:bodyDiv w:val="1"/>
      <w:marLeft w:val="0"/>
      <w:marRight w:val="0"/>
      <w:marTop w:val="0"/>
      <w:marBottom w:val="0"/>
      <w:divBdr>
        <w:top w:val="none" w:sz="0" w:space="0" w:color="auto"/>
        <w:left w:val="none" w:sz="0" w:space="0" w:color="auto"/>
        <w:bottom w:val="none" w:sz="0" w:space="0" w:color="auto"/>
        <w:right w:val="none" w:sz="0" w:space="0" w:color="auto"/>
      </w:divBdr>
    </w:div>
    <w:div w:id="1413157118">
      <w:bodyDiv w:val="1"/>
      <w:marLeft w:val="0"/>
      <w:marRight w:val="0"/>
      <w:marTop w:val="0"/>
      <w:marBottom w:val="0"/>
      <w:divBdr>
        <w:top w:val="none" w:sz="0" w:space="0" w:color="auto"/>
        <w:left w:val="none" w:sz="0" w:space="0" w:color="auto"/>
        <w:bottom w:val="none" w:sz="0" w:space="0" w:color="auto"/>
        <w:right w:val="none" w:sz="0" w:space="0" w:color="auto"/>
      </w:divBdr>
    </w:div>
    <w:div w:id="1413432950">
      <w:bodyDiv w:val="1"/>
      <w:marLeft w:val="0"/>
      <w:marRight w:val="0"/>
      <w:marTop w:val="0"/>
      <w:marBottom w:val="0"/>
      <w:divBdr>
        <w:top w:val="none" w:sz="0" w:space="0" w:color="auto"/>
        <w:left w:val="none" w:sz="0" w:space="0" w:color="auto"/>
        <w:bottom w:val="none" w:sz="0" w:space="0" w:color="auto"/>
        <w:right w:val="none" w:sz="0" w:space="0" w:color="auto"/>
      </w:divBdr>
    </w:div>
    <w:div w:id="1413771277">
      <w:bodyDiv w:val="1"/>
      <w:marLeft w:val="0"/>
      <w:marRight w:val="0"/>
      <w:marTop w:val="0"/>
      <w:marBottom w:val="0"/>
      <w:divBdr>
        <w:top w:val="none" w:sz="0" w:space="0" w:color="auto"/>
        <w:left w:val="none" w:sz="0" w:space="0" w:color="auto"/>
        <w:bottom w:val="none" w:sz="0" w:space="0" w:color="auto"/>
        <w:right w:val="none" w:sz="0" w:space="0" w:color="auto"/>
      </w:divBdr>
    </w:div>
    <w:div w:id="1413816613">
      <w:bodyDiv w:val="1"/>
      <w:marLeft w:val="0"/>
      <w:marRight w:val="0"/>
      <w:marTop w:val="0"/>
      <w:marBottom w:val="0"/>
      <w:divBdr>
        <w:top w:val="none" w:sz="0" w:space="0" w:color="auto"/>
        <w:left w:val="none" w:sz="0" w:space="0" w:color="auto"/>
        <w:bottom w:val="none" w:sz="0" w:space="0" w:color="auto"/>
        <w:right w:val="none" w:sz="0" w:space="0" w:color="auto"/>
      </w:divBdr>
    </w:div>
    <w:div w:id="1414156673">
      <w:bodyDiv w:val="1"/>
      <w:marLeft w:val="0"/>
      <w:marRight w:val="0"/>
      <w:marTop w:val="0"/>
      <w:marBottom w:val="0"/>
      <w:divBdr>
        <w:top w:val="none" w:sz="0" w:space="0" w:color="auto"/>
        <w:left w:val="none" w:sz="0" w:space="0" w:color="auto"/>
        <w:bottom w:val="none" w:sz="0" w:space="0" w:color="auto"/>
        <w:right w:val="none" w:sz="0" w:space="0" w:color="auto"/>
      </w:divBdr>
    </w:div>
    <w:div w:id="1414157776">
      <w:bodyDiv w:val="1"/>
      <w:marLeft w:val="0"/>
      <w:marRight w:val="0"/>
      <w:marTop w:val="0"/>
      <w:marBottom w:val="0"/>
      <w:divBdr>
        <w:top w:val="none" w:sz="0" w:space="0" w:color="auto"/>
        <w:left w:val="none" w:sz="0" w:space="0" w:color="auto"/>
        <w:bottom w:val="none" w:sz="0" w:space="0" w:color="auto"/>
        <w:right w:val="none" w:sz="0" w:space="0" w:color="auto"/>
      </w:divBdr>
    </w:div>
    <w:div w:id="1414206816">
      <w:bodyDiv w:val="1"/>
      <w:marLeft w:val="0"/>
      <w:marRight w:val="0"/>
      <w:marTop w:val="0"/>
      <w:marBottom w:val="0"/>
      <w:divBdr>
        <w:top w:val="none" w:sz="0" w:space="0" w:color="auto"/>
        <w:left w:val="none" w:sz="0" w:space="0" w:color="auto"/>
        <w:bottom w:val="none" w:sz="0" w:space="0" w:color="auto"/>
        <w:right w:val="none" w:sz="0" w:space="0" w:color="auto"/>
      </w:divBdr>
    </w:div>
    <w:div w:id="1414427647">
      <w:bodyDiv w:val="1"/>
      <w:marLeft w:val="0"/>
      <w:marRight w:val="0"/>
      <w:marTop w:val="0"/>
      <w:marBottom w:val="0"/>
      <w:divBdr>
        <w:top w:val="none" w:sz="0" w:space="0" w:color="auto"/>
        <w:left w:val="none" w:sz="0" w:space="0" w:color="auto"/>
        <w:bottom w:val="none" w:sz="0" w:space="0" w:color="auto"/>
        <w:right w:val="none" w:sz="0" w:space="0" w:color="auto"/>
      </w:divBdr>
    </w:div>
    <w:div w:id="1414471073">
      <w:bodyDiv w:val="1"/>
      <w:marLeft w:val="0"/>
      <w:marRight w:val="0"/>
      <w:marTop w:val="0"/>
      <w:marBottom w:val="0"/>
      <w:divBdr>
        <w:top w:val="none" w:sz="0" w:space="0" w:color="auto"/>
        <w:left w:val="none" w:sz="0" w:space="0" w:color="auto"/>
        <w:bottom w:val="none" w:sz="0" w:space="0" w:color="auto"/>
        <w:right w:val="none" w:sz="0" w:space="0" w:color="auto"/>
      </w:divBdr>
    </w:div>
    <w:div w:id="1414594590">
      <w:bodyDiv w:val="1"/>
      <w:marLeft w:val="0"/>
      <w:marRight w:val="0"/>
      <w:marTop w:val="0"/>
      <w:marBottom w:val="0"/>
      <w:divBdr>
        <w:top w:val="none" w:sz="0" w:space="0" w:color="auto"/>
        <w:left w:val="none" w:sz="0" w:space="0" w:color="auto"/>
        <w:bottom w:val="none" w:sz="0" w:space="0" w:color="auto"/>
        <w:right w:val="none" w:sz="0" w:space="0" w:color="auto"/>
      </w:divBdr>
    </w:div>
    <w:div w:id="1414742174">
      <w:bodyDiv w:val="1"/>
      <w:marLeft w:val="0"/>
      <w:marRight w:val="0"/>
      <w:marTop w:val="0"/>
      <w:marBottom w:val="0"/>
      <w:divBdr>
        <w:top w:val="none" w:sz="0" w:space="0" w:color="auto"/>
        <w:left w:val="none" w:sz="0" w:space="0" w:color="auto"/>
        <w:bottom w:val="none" w:sz="0" w:space="0" w:color="auto"/>
        <w:right w:val="none" w:sz="0" w:space="0" w:color="auto"/>
      </w:divBdr>
    </w:div>
    <w:div w:id="1414811938">
      <w:bodyDiv w:val="1"/>
      <w:marLeft w:val="0"/>
      <w:marRight w:val="0"/>
      <w:marTop w:val="0"/>
      <w:marBottom w:val="0"/>
      <w:divBdr>
        <w:top w:val="none" w:sz="0" w:space="0" w:color="auto"/>
        <w:left w:val="none" w:sz="0" w:space="0" w:color="auto"/>
        <w:bottom w:val="none" w:sz="0" w:space="0" w:color="auto"/>
        <w:right w:val="none" w:sz="0" w:space="0" w:color="auto"/>
      </w:divBdr>
    </w:div>
    <w:div w:id="1414813953">
      <w:bodyDiv w:val="1"/>
      <w:marLeft w:val="0"/>
      <w:marRight w:val="0"/>
      <w:marTop w:val="0"/>
      <w:marBottom w:val="0"/>
      <w:divBdr>
        <w:top w:val="none" w:sz="0" w:space="0" w:color="auto"/>
        <w:left w:val="none" w:sz="0" w:space="0" w:color="auto"/>
        <w:bottom w:val="none" w:sz="0" w:space="0" w:color="auto"/>
        <w:right w:val="none" w:sz="0" w:space="0" w:color="auto"/>
      </w:divBdr>
    </w:div>
    <w:div w:id="1414858507">
      <w:bodyDiv w:val="1"/>
      <w:marLeft w:val="0"/>
      <w:marRight w:val="0"/>
      <w:marTop w:val="0"/>
      <w:marBottom w:val="0"/>
      <w:divBdr>
        <w:top w:val="none" w:sz="0" w:space="0" w:color="auto"/>
        <w:left w:val="none" w:sz="0" w:space="0" w:color="auto"/>
        <w:bottom w:val="none" w:sz="0" w:space="0" w:color="auto"/>
        <w:right w:val="none" w:sz="0" w:space="0" w:color="auto"/>
      </w:divBdr>
    </w:div>
    <w:div w:id="1414936009">
      <w:bodyDiv w:val="1"/>
      <w:marLeft w:val="0"/>
      <w:marRight w:val="0"/>
      <w:marTop w:val="0"/>
      <w:marBottom w:val="0"/>
      <w:divBdr>
        <w:top w:val="none" w:sz="0" w:space="0" w:color="auto"/>
        <w:left w:val="none" w:sz="0" w:space="0" w:color="auto"/>
        <w:bottom w:val="none" w:sz="0" w:space="0" w:color="auto"/>
        <w:right w:val="none" w:sz="0" w:space="0" w:color="auto"/>
      </w:divBdr>
    </w:div>
    <w:div w:id="1414936896">
      <w:bodyDiv w:val="1"/>
      <w:marLeft w:val="0"/>
      <w:marRight w:val="0"/>
      <w:marTop w:val="0"/>
      <w:marBottom w:val="0"/>
      <w:divBdr>
        <w:top w:val="none" w:sz="0" w:space="0" w:color="auto"/>
        <w:left w:val="none" w:sz="0" w:space="0" w:color="auto"/>
        <w:bottom w:val="none" w:sz="0" w:space="0" w:color="auto"/>
        <w:right w:val="none" w:sz="0" w:space="0" w:color="auto"/>
      </w:divBdr>
    </w:div>
    <w:div w:id="1415054150">
      <w:bodyDiv w:val="1"/>
      <w:marLeft w:val="0"/>
      <w:marRight w:val="0"/>
      <w:marTop w:val="0"/>
      <w:marBottom w:val="0"/>
      <w:divBdr>
        <w:top w:val="none" w:sz="0" w:space="0" w:color="auto"/>
        <w:left w:val="none" w:sz="0" w:space="0" w:color="auto"/>
        <w:bottom w:val="none" w:sz="0" w:space="0" w:color="auto"/>
        <w:right w:val="none" w:sz="0" w:space="0" w:color="auto"/>
      </w:divBdr>
    </w:div>
    <w:div w:id="1415275942">
      <w:bodyDiv w:val="1"/>
      <w:marLeft w:val="0"/>
      <w:marRight w:val="0"/>
      <w:marTop w:val="0"/>
      <w:marBottom w:val="0"/>
      <w:divBdr>
        <w:top w:val="none" w:sz="0" w:space="0" w:color="auto"/>
        <w:left w:val="none" w:sz="0" w:space="0" w:color="auto"/>
        <w:bottom w:val="none" w:sz="0" w:space="0" w:color="auto"/>
        <w:right w:val="none" w:sz="0" w:space="0" w:color="auto"/>
      </w:divBdr>
    </w:div>
    <w:div w:id="1415397446">
      <w:bodyDiv w:val="1"/>
      <w:marLeft w:val="0"/>
      <w:marRight w:val="0"/>
      <w:marTop w:val="0"/>
      <w:marBottom w:val="0"/>
      <w:divBdr>
        <w:top w:val="none" w:sz="0" w:space="0" w:color="auto"/>
        <w:left w:val="none" w:sz="0" w:space="0" w:color="auto"/>
        <w:bottom w:val="none" w:sz="0" w:space="0" w:color="auto"/>
        <w:right w:val="none" w:sz="0" w:space="0" w:color="auto"/>
      </w:divBdr>
    </w:div>
    <w:div w:id="1415399740">
      <w:bodyDiv w:val="1"/>
      <w:marLeft w:val="0"/>
      <w:marRight w:val="0"/>
      <w:marTop w:val="0"/>
      <w:marBottom w:val="0"/>
      <w:divBdr>
        <w:top w:val="none" w:sz="0" w:space="0" w:color="auto"/>
        <w:left w:val="none" w:sz="0" w:space="0" w:color="auto"/>
        <w:bottom w:val="none" w:sz="0" w:space="0" w:color="auto"/>
        <w:right w:val="none" w:sz="0" w:space="0" w:color="auto"/>
      </w:divBdr>
    </w:div>
    <w:div w:id="1415469303">
      <w:bodyDiv w:val="1"/>
      <w:marLeft w:val="0"/>
      <w:marRight w:val="0"/>
      <w:marTop w:val="0"/>
      <w:marBottom w:val="0"/>
      <w:divBdr>
        <w:top w:val="none" w:sz="0" w:space="0" w:color="auto"/>
        <w:left w:val="none" w:sz="0" w:space="0" w:color="auto"/>
        <w:bottom w:val="none" w:sz="0" w:space="0" w:color="auto"/>
        <w:right w:val="none" w:sz="0" w:space="0" w:color="auto"/>
      </w:divBdr>
    </w:div>
    <w:div w:id="1415470250">
      <w:bodyDiv w:val="1"/>
      <w:marLeft w:val="0"/>
      <w:marRight w:val="0"/>
      <w:marTop w:val="0"/>
      <w:marBottom w:val="0"/>
      <w:divBdr>
        <w:top w:val="none" w:sz="0" w:space="0" w:color="auto"/>
        <w:left w:val="none" w:sz="0" w:space="0" w:color="auto"/>
        <w:bottom w:val="none" w:sz="0" w:space="0" w:color="auto"/>
        <w:right w:val="none" w:sz="0" w:space="0" w:color="auto"/>
      </w:divBdr>
    </w:div>
    <w:div w:id="1415588801">
      <w:bodyDiv w:val="1"/>
      <w:marLeft w:val="0"/>
      <w:marRight w:val="0"/>
      <w:marTop w:val="0"/>
      <w:marBottom w:val="0"/>
      <w:divBdr>
        <w:top w:val="none" w:sz="0" w:space="0" w:color="auto"/>
        <w:left w:val="none" w:sz="0" w:space="0" w:color="auto"/>
        <w:bottom w:val="none" w:sz="0" w:space="0" w:color="auto"/>
        <w:right w:val="none" w:sz="0" w:space="0" w:color="auto"/>
      </w:divBdr>
    </w:div>
    <w:div w:id="1415592499">
      <w:bodyDiv w:val="1"/>
      <w:marLeft w:val="0"/>
      <w:marRight w:val="0"/>
      <w:marTop w:val="0"/>
      <w:marBottom w:val="0"/>
      <w:divBdr>
        <w:top w:val="none" w:sz="0" w:space="0" w:color="auto"/>
        <w:left w:val="none" w:sz="0" w:space="0" w:color="auto"/>
        <w:bottom w:val="none" w:sz="0" w:space="0" w:color="auto"/>
        <w:right w:val="none" w:sz="0" w:space="0" w:color="auto"/>
      </w:divBdr>
    </w:div>
    <w:div w:id="1415777936">
      <w:bodyDiv w:val="1"/>
      <w:marLeft w:val="0"/>
      <w:marRight w:val="0"/>
      <w:marTop w:val="0"/>
      <w:marBottom w:val="0"/>
      <w:divBdr>
        <w:top w:val="none" w:sz="0" w:space="0" w:color="auto"/>
        <w:left w:val="none" w:sz="0" w:space="0" w:color="auto"/>
        <w:bottom w:val="none" w:sz="0" w:space="0" w:color="auto"/>
        <w:right w:val="none" w:sz="0" w:space="0" w:color="auto"/>
      </w:divBdr>
    </w:div>
    <w:div w:id="1415857039">
      <w:bodyDiv w:val="1"/>
      <w:marLeft w:val="0"/>
      <w:marRight w:val="0"/>
      <w:marTop w:val="0"/>
      <w:marBottom w:val="0"/>
      <w:divBdr>
        <w:top w:val="none" w:sz="0" w:space="0" w:color="auto"/>
        <w:left w:val="none" w:sz="0" w:space="0" w:color="auto"/>
        <w:bottom w:val="none" w:sz="0" w:space="0" w:color="auto"/>
        <w:right w:val="none" w:sz="0" w:space="0" w:color="auto"/>
      </w:divBdr>
    </w:div>
    <w:div w:id="1416047187">
      <w:bodyDiv w:val="1"/>
      <w:marLeft w:val="0"/>
      <w:marRight w:val="0"/>
      <w:marTop w:val="0"/>
      <w:marBottom w:val="0"/>
      <w:divBdr>
        <w:top w:val="none" w:sz="0" w:space="0" w:color="auto"/>
        <w:left w:val="none" w:sz="0" w:space="0" w:color="auto"/>
        <w:bottom w:val="none" w:sz="0" w:space="0" w:color="auto"/>
        <w:right w:val="none" w:sz="0" w:space="0" w:color="auto"/>
      </w:divBdr>
    </w:div>
    <w:div w:id="1416436878">
      <w:bodyDiv w:val="1"/>
      <w:marLeft w:val="0"/>
      <w:marRight w:val="0"/>
      <w:marTop w:val="0"/>
      <w:marBottom w:val="0"/>
      <w:divBdr>
        <w:top w:val="none" w:sz="0" w:space="0" w:color="auto"/>
        <w:left w:val="none" w:sz="0" w:space="0" w:color="auto"/>
        <w:bottom w:val="none" w:sz="0" w:space="0" w:color="auto"/>
        <w:right w:val="none" w:sz="0" w:space="0" w:color="auto"/>
      </w:divBdr>
    </w:div>
    <w:div w:id="1416441456">
      <w:bodyDiv w:val="1"/>
      <w:marLeft w:val="0"/>
      <w:marRight w:val="0"/>
      <w:marTop w:val="0"/>
      <w:marBottom w:val="0"/>
      <w:divBdr>
        <w:top w:val="none" w:sz="0" w:space="0" w:color="auto"/>
        <w:left w:val="none" w:sz="0" w:space="0" w:color="auto"/>
        <w:bottom w:val="none" w:sz="0" w:space="0" w:color="auto"/>
        <w:right w:val="none" w:sz="0" w:space="0" w:color="auto"/>
      </w:divBdr>
    </w:div>
    <w:div w:id="1416824068">
      <w:bodyDiv w:val="1"/>
      <w:marLeft w:val="0"/>
      <w:marRight w:val="0"/>
      <w:marTop w:val="0"/>
      <w:marBottom w:val="0"/>
      <w:divBdr>
        <w:top w:val="none" w:sz="0" w:space="0" w:color="auto"/>
        <w:left w:val="none" w:sz="0" w:space="0" w:color="auto"/>
        <w:bottom w:val="none" w:sz="0" w:space="0" w:color="auto"/>
        <w:right w:val="none" w:sz="0" w:space="0" w:color="auto"/>
      </w:divBdr>
    </w:div>
    <w:div w:id="1417094423">
      <w:bodyDiv w:val="1"/>
      <w:marLeft w:val="0"/>
      <w:marRight w:val="0"/>
      <w:marTop w:val="0"/>
      <w:marBottom w:val="0"/>
      <w:divBdr>
        <w:top w:val="none" w:sz="0" w:space="0" w:color="auto"/>
        <w:left w:val="none" w:sz="0" w:space="0" w:color="auto"/>
        <w:bottom w:val="none" w:sz="0" w:space="0" w:color="auto"/>
        <w:right w:val="none" w:sz="0" w:space="0" w:color="auto"/>
      </w:divBdr>
    </w:div>
    <w:div w:id="1417094797">
      <w:bodyDiv w:val="1"/>
      <w:marLeft w:val="0"/>
      <w:marRight w:val="0"/>
      <w:marTop w:val="0"/>
      <w:marBottom w:val="0"/>
      <w:divBdr>
        <w:top w:val="none" w:sz="0" w:space="0" w:color="auto"/>
        <w:left w:val="none" w:sz="0" w:space="0" w:color="auto"/>
        <w:bottom w:val="none" w:sz="0" w:space="0" w:color="auto"/>
        <w:right w:val="none" w:sz="0" w:space="0" w:color="auto"/>
      </w:divBdr>
    </w:div>
    <w:div w:id="1417285704">
      <w:bodyDiv w:val="1"/>
      <w:marLeft w:val="0"/>
      <w:marRight w:val="0"/>
      <w:marTop w:val="0"/>
      <w:marBottom w:val="0"/>
      <w:divBdr>
        <w:top w:val="none" w:sz="0" w:space="0" w:color="auto"/>
        <w:left w:val="none" w:sz="0" w:space="0" w:color="auto"/>
        <w:bottom w:val="none" w:sz="0" w:space="0" w:color="auto"/>
        <w:right w:val="none" w:sz="0" w:space="0" w:color="auto"/>
      </w:divBdr>
    </w:div>
    <w:div w:id="1417286885">
      <w:bodyDiv w:val="1"/>
      <w:marLeft w:val="0"/>
      <w:marRight w:val="0"/>
      <w:marTop w:val="0"/>
      <w:marBottom w:val="0"/>
      <w:divBdr>
        <w:top w:val="none" w:sz="0" w:space="0" w:color="auto"/>
        <w:left w:val="none" w:sz="0" w:space="0" w:color="auto"/>
        <w:bottom w:val="none" w:sz="0" w:space="0" w:color="auto"/>
        <w:right w:val="none" w:sz="0" w:space="0" w:color="auto"/>
      </w:divBdr>
    </w:div>
    <w:div w:id="1417361112">
      <w:bodyDiv w:val="1"/>
      <w:marLeft w:val="0"/>
      <w:marRight w:val="0"/>
      <w:marTop w:val="0"/>
      <w:marBottom w:val="0"/>
      <w:divBdr>
        <w:top w:val="none" w:sz="0" w:space="0" w:color="auto"/>
        <w:left w:val="none" w:sz="0" w:space="0" w:color="auto"/>
        <w:bottom w:val="none" w:sz="0" w:space="0" w:color="auto"/>
        <w:right w:val="none" w:sz="0" w:space="0" w:color="auto"/>
      </w:divBdr>
    </w:div>
    <w:div w:id="1417432560">
      <w:bodyDiv w:val="1"/>
      <w:marLeft w:val="0"/>
      <w:marRight w:val="0"/>
      <w:marTop w:val="0"/>
      <w:marBottom w:val="0"/>
      <w:divBdr>
        <w:top w:val="none" w:sz="0" w:space="0" w:color="auto"/>
        <w:left w:val="none" w:sz="0" w:space="0" w:color="auto"/>
        <w:bottom w:val="none" w:sz="0" w:space="0" w:color="auto"/>
        <w:right w:val="none" w:sz="0" w:space="0" w:color="auto"/>
      </w:divBdr>
    </w:div>
    <w:div w:id="1417436292">
      <w:bodyDiv w:val="1"/>
      <w:marLeft w:val="0"/>
      <w:marRight w:val="0"/>
      <w:marTop w:val="0"/>
      <w:marBottom w:val="0"/>
      <w:divBdr>
        <w:top w:val="none" w:sz="0" w:space="0" w:color="auto"/>
        <w:left w:val="none" w:sz="0" w:space="0" w:color="auto"/>
        <w:bottom w:val="none" w:sz="0" w:space="0" w:color="auto"/>
        <w:right w:val="none" w:sz="0" w:space="0" w:color="auto"/>
      </w:divBdr>
    </w:div>
    <w:div w:id="1417748160">
      <w:bodyDiv w:val="1"/>
      <w:marLeft w:val="0"/>
      <w:marRight w:val="0"/>
      <w:marTop w:val="0"/>
      <w:marBottom w:val="0"/>
      <w:divBdr>
        <w:top w:val="none" w:sz="0" w:space="0" w:color="auto"/>
        <w:left w:val="none" w:sz="0" w:space="0" w:color="auto"/>
        <w:bottom w:val="none" w:sz="0" w:space="0" w:color="auto"/>
        <w:right w:val="none" w:sz="0" w:space="0" w:color="auto"/>
      </w:divBdr>
    </w:div>
    <w:div w:id="1417751398">
      <w:bodyDiv w:val="1"/>
      <w:marLeft w:val="0"/>
      <w:marRight w:val="0"/>
      <w:marTop w:val="0"/>
      <w:marBottom w:val="0"/>
      <w:divBdr>
        <w:top w:val="none" w:sz="0" w:space="0" w:color="auto"/>
        <w:left w:val="none" w:sz="0" w:space="0" w:color="auto"/>
        <w:bottom w:val="none" w:sz="0" w:space="0" w:color="auto"/>
        <w:right w:val="none" w:sz="0" w:space="0" w:color="auto"/>
      </w:divBdr>
    </w:div>
    <w:div w:id="1417820237">
      <w:bodyDiv w:val="1"/>
      <w:marLeft w:val="0"/>
      <w:marRight w:val="0"/>
      <w:marTop w:val="0"/>
      <w:marBottom w:val="0"/>
      <w:divBdr>
        <w:top w:val="none" w:sz="0" w:space="0" w:color="auto"/>
        <w:left w:val="none" w:sz="0" w:space="0" w:color="auto"/>
        <w:bottom w:val="none" w:sz="0" w:space="0" w:color="auto"/>
        <w:right w:val="none" w:sz="0" w:space="0" w:color="auto"/>
      </w:divBdr>
    </w:div>
    <w:div w:id="1417896255">
      <w:bodyDiv w:val="1"/>
      <w:marLeft w:val="0"/>
      <w:marRight w:val="0"/>
      <w:marTop w:val="0"/>
      <w:marBottom w:val="0"/>
      <w:divBdr>
        <w:top w:val="none" w:sz="0" w:space="0" w:color="auto"/>
        <w:left w:val="none" w:sz="0" w:space="0" w:color="auto"/>
        <w:bottom w:val="none" w:sz="0" w:space="0" w:color="auto"/>
        <w:right w:val="none" w:sz="0" w:space="0" w:color="auto"/>
      </w:divBdr>
    </w:div>
    <w:div w:id="1417901396">
      <w:bodyDiv w:val="1"/>
      <w:marLeft w:val="0"/>
      <w:marRight w:val="0"/>
      <w:marTop w:val="0"/>
      <w:marBottom w:val="0"/>
      <w:divBdr>
        <w:top w:val="none" w:sz="0" w:space="0" w:color="auto"/>
        <w:left w:val="none" w:sz="0" w:space="0" w:color="auto"/>
        <w:bottom w:val="none" w:sz="0" w:space="0" w:color="auto"/>
        <w:right w:val="none" w:sz="0" w:space="0" w:color="auto"/>
      </w:divBdr>
    </w:div>
    <w:div w:id="1418361653">
      <w:bodyDiv w:val="1"/>
      <w:marLeft w:val="0"/>
      <w:marRight w:val="0"/>
      <w:marTop w:val="0"/>
      <w:marBottom w:val="0"/>
      <w:divBdr>
        <w:top w:val="none" w:sz="0" w:space="0" w:color="auto"/>
        <w:left w:val="none" w:sz="0" w:space="0" w:color="auto"/>
        <w:bottom w:val="none" w:sz="0" w:space="0" w:color="auto"/>
        <w:right w:val="none" w:sz="0" w:space="0" w:color="auto"/>
      </w:divBdr>
    </w:div>
    <w:div w:id="1418402127">
      <w:bodyDiv w:val="1"/>
      <w:marLeft w:val="0"/>
      <w:marRight w:val="0"/>
      <w:marTop w:val="0"/>
      <w:marBottom w:val="0"/>
      <w:divBdr>
        <w:top w:val="none" w:sz="0" w:space="0" w:color="auto"/>
        <w:left w:val="none" w:sz="0" w:space="0" w:color="auto"/>
        <w:bottom w:val="none" w:sz="0" w:space="0" w:color="auto"/>
        <w:right w:val="none" w:sz="0" w:space="0" w:color="auto"/>
      </w:divBdr>
    </w:div>
    <w:div w:id="1418599292">
      <w:bodyDiv w:val="1"/>
      <w:marLeft w:val="0"/>
      <w:marRight w:val="0"/>
      <w:marTop w:val="0"/>
      <w:marBottom w:val="0"/>
      <w:divBdr>
        <w:top w:val="none" w:sz="0" w:space="0" w:color="auto"/>
        <w:left w:val="none" w:sz="0" w:space="0" w:color="auto"/>
        <w:bottom w:val="none" w:sz="0" w:space="0" w:color="auto"/>
        <w:right w:val="none" w:sz="0" w:space="0" w:color="auto"/>
      </w:divBdr>
    </w:div>
    <w:div w:id="1418820338">
      <w:bodyDiv w:val="1"/>
      <w:marLeft w:val="0"/>
      <w:marRight w:val="0"/>
      <w:marTop w:val="0"/>
      <w:marBottom w:val="0"/>
      <w:divBdr>
        <w:top w:val="none" w:sz="0" w:space="0" w:color="auto"/>
        <w:left w:val="none" w:sz="0" w:space="0" w:color="auto"/>
        <w:bottom w:val="none" w:sz="0" w:space="0" w:color="auto"/>
        <w:right w:val="none" w:sz="0" w:space="0" w:color="auto"/>
      </w:divBdr>
    </w:div>
    <w:div w:id="1418863288">
      <w:bodyDiv w:val="1"/>
      <w:marLeft w:val="0"/>
      <w:marRight w:val="0"/>
      <w:marTop w:val="0"/>
      <w:marBottom w:val="0"/>
      <w:divBdr>
        <w:top w:val="none" w:sz="0" w:space="0" w:color="auto"/>
        <w:left w:val="none" w:sz="0" w:space="0" w:color="auto"/>
        <w:bottom w:val="none" w:sz="0" w:space="0" w:color="auto"/>
        <w:right w:val="none" w:sz="0" w:space="0" w:color="auto"/>
      </w:divBdr>
    </w:div>
    <w:div w:id="1419254499">
      <w:bodyDiv w:val="1"/>
      <w:marLeft w:val="0"/>
      <w:marRight w:val="0"/>
      <w:marTop w:val="0"/>
      <w:marBottom w:val="0"/>
      <w:divBdr>
        <w:top w:val="none" w:sz="0" w:space="0" w:color="auto"/>
        <w:left w:val="none" w:sz="0" w:space="0" w:color="auto"/>
        <w:bottom w:val="none" w:sz="0" w:space="0" w:color="auto"/>
        <w:right w:val="none" w:sz="0" w:space="0" w:color="auto"/>
      </w:divBdr>
    </w:div>
    <w:div w:id="1419325236">
      <w:bodyDiv w:val="1"/>
      <w:marLeft w:val="0"/>
      <w:marRight w:val="0"/>
      <w:marTop w:val="0"/>
      <w:marBottom w:val="0"/>
      <w:divBdr>
        <w:top w:val="none" w:sz="0" w:space="0" w:color="auto"/>
        <w:left w:val="none" w:sz="0" w:space="0" w:color="auto"/>
        <w:bottom w:val="none" w:sz="0" w:space="0" w:color="auto"/>
        <w:right w:val="none" w:sz="0" w:space="0" w:color="auto"/>
      </w:divBdr>
    </w:div>
    <w:div w:id="1419327019">
      <w:bodyDiv w:val="1"/>
      <w:marLeft w:val="0"/>
      <w:marRight w:val="0"/>
      <w:marTop w:val="0"/>
      <w:marBottom w:val="0"/>
      <w:divBdr>
        <w:top w:val="none" w:sz="0" w:space="0" w:color="auto"/>
        <w:left w:val="none" w:sz="0" w:space="0" w:color="auto"/>
        <w:bottom w:val="none" w:sz="0" w:space="0" w:color="auto"/>
        <w:right w:val="none" w:sz="0" w:space="0" w:color="auto"/>
      </w:divBdr>
    </w:div>
    <w:div w:id="1419516187">
      <w:bodyDiv w:val="1"/>
      <w:marLeft w:val="0"/>
      <w:marRight w:val="0"/>
      <w:marTop w:val="0"/>
      <w:marBottom w:val="0"/>
      <w:divBdr>
        <w:top w:val="none" w:sz="0" w:space="0" w:color="auto"/>
        <w:left w:val="none" w:sz="0" w:space="0" w:color="auto"/>
        <w:bottom w:val="none" w:sz="0" w:space="0" w:color="auto"/>
        <w:right w:val="none" w:sz="0" w:space="0" w:color="auto"/>
      </w:divBdr>
    </w:div>
    <w:div w:id="1419521101">
      <w:bodyDiv w:val="1"/>
      <w:marLeft w:val="0"/>
      <w:marRight w:val="0"/>
      <w:marTop w:val="0"/>
      <w:marBottom w:val="0"/>
      <w:divBdr>
        <w:top w:val="none" w:sz="0" w:space="0" w:color="auto"/>
        <w:left w:val="none" w:sz="0" w:space="0" w:color="auto"/>
        <w:bottom w:val="none" w:sz="0" w:space="0" w:color="auto"/>
        <w:right w:val="none" w:sz="0" w:space="0" w:color="auto"/>
      </w:divBdr>
    </w:div>
    <w:div w:id="1419861462">
      <w:bodyDiv w:val="1"/>
      <w:marLeft w:val="0"/>
      <w:marRight w:val="0"/>
      <w:marTop w:val="0"/>
      <w:marBottom w:val="0"/>
      <w:divBdr>
        <w:top w:val="none" w:sz="0" w:space="0" w:color="auto"/>
        <w:left w:val="none" w:sz="0" w:space="0" w:color="auto"/>
        <w:bottom w:val="none" w:sz="0" w:space="0" w:color="auto"/>
        <w:right w:val="none" w:sz="0" w:space="0" w:color="auto"/>
      </w:divBdr>
    </w:div>
    <w:div w:id="1419903973">
      <w:bodyDiv w:val="1"/>
      <w:marLeft w:val="0"/>
      <w:marRight w:val="0"/>
      <w:marTop w:val="0"/>
      <w:marBottom w:val="0"/>
      <w:divBdr>
        <w:top w:val="none" w:sz="0" w:space="0" w:color="auto"/>
        <w:left w:val="none" w:sz="0" w:space="0" w:color="auto"/>
        <w:bottom w:val="none" w:sz="0" w:space="0" w:color="auto"/>
        <w:right w:val="none" w:sz="0" w:space="0" w:color="auto"/>
      </w:divBdr>
    </w:div>
    <w:div w:id="1419912264">
      <w:bodyDiv w:val="1"/>
      <w:marLeft w:val="0"/>
      <w:marRight w:val="0"/>
      <w:marTop w:val="0"/>
      <w:marBottom w:val="0"/>
      <w:divBdr>
        <w:top w:val="none" w:sz="0" w:space="0" w:color="auto"/>
        <w:left w:val="none" w:sz="0" w:space="0" w:color="auto"/>
        <w:bottom w:val="none" w:sz="0" w:space="0" w:color="auto"/>
        <w:right w:val="none" w:sz="0" w:space="0" w:color="auto"/>
      </w:divBdr>
    </w:div>
    <w:div w:id="1420060032">
      <w:bodyDiv w:val="1"/>
      <w:marLeft w:val="0"/>
      <w:marRight w:val="0"/>
      <w:marTop w:val="0"/>
      <w:marBottom w:val="0"/>
      <w:divBdr>
        <w:top w:val="none" w:sz="0" w:space="0" w:color="auto"/>
        <w:left w:val="none" w:sz="0" w:space="0" w:color="auto"/>
        <w:bottom w:val="none" w:sz="0" w:space="0" w:color="auto"/>
        <w:right w:val="none" w:sz="0" w:space="0" w:color="auto"/>
      </w:divBdr>
    </w:div>
    <w:div w:id="1420173609">
      <w:bodyDiv w:val="1"/>
      <w:marLeft w:val="0"/>
      <w:marRight w:val="0"/>
      <w:marTop w:val="0"/>
      <w:marBottom w:val="0"/>
      <w:divBdr>
        <w:top w:val="none" w:sz="0" w:space="0" w:color="auto"/>
        <w:left w:val="none" w:sz="0" w:space="0" w:color="auto"/>
        <w:bottom w:val="none" w:sz="0" w:space="0" w:color="auto"/>
        <w:right w:val="none" w:sz="0" w:space="0" w:color="auto"/>
      </w:divBdr>
    </w:div>
    <w:div w:id="1420448628">
      <w:bodyDiv w:val="1"/>
      <w:marLeft w:val="0"/>
      <w:marRight w:val="0"/>
      <w:marTop w:val="0"/>
      <w:marBottom w:val="0"/>
      <w:divBdr>
        <w:top w:val="none" w:sz="0" w:space="0" w:color="auto"/>
        <w:left w:val="none" w:sz="0" w:space="0" w:color="auto"/>
        <w:bottom w:val="none" w:sz="0" w:space="0" w:color="auto"/>
        <w:right w:val="none" w:sz="0" w:space="0" w:color="auto"/>
      </w:divBdr>
    </w:div>
    <w:div w:id="1420449882">
      <w:bodyDiv w:val="1"/>
      <w:marLeft w:val="0"/>
      <w:marRight w:val="0"/>
      <w:marTop w:val="0"/>
      <w:marBottom w:val="0"/>
      <w:divBdr>
        <w:top w:val="none" w:sz="0" w:space="0" w:color="auto"/>
        <w:left w:val="none" w:sz="0" w:space="0" w:color="auto"/>
        <w:bottom w:val="none" w:sz="0" w:space="0" w:color="auto"/>
        <w:right w:val="none" w:sz="0" w:space="0" w:color="auto"/>
      </w:divBdr>
    </w:div>
    <w:div w:id="1420717251">
      <w:bodyDiv w:val="1"/>
      <w:marLeft w:val="0"/>
      <w:marRight w:val="0"/>
      <w:marTop w:val="0"/>
      <w:marBottom w:val="0"/>
      <w:divBdr>
        <w:top w:val="none" w:sz="0" w:space="0" w:color="auto"/>
        <w:left w:val="none" w:sz="0" w:space="0" w:color="auto"/>
        <w:bottom w:val="none" w:sz="0" w:space="0" w:color="auto"/>
        <w:right w:val="none" w:sz="0" w:space="0" w:color="auto"/>
      </w:divBdr>
    </w:div>
    <w:div w:id="1420757456">
      <w:bodyDiv w:val="1"/>
      <w:marLeft w:val="0"/>
      <w:marRight w:val="0"/>
      <w:marTop w:val="0"/>
      <w:marBottom w:val="0"/>
      <w:divBdr>
        <w:top w:val="none" w:sz="0" w:space="0" w:color="auto"/>
        <w:left w:val="none" w:sz="0" w:space="0" w:color="auto"/>
        <w:bottom w:val="none" w:sz="0" w:space="0" w:color="auto"/>
        <w:right w:val="none" w:sz="0" w:space="0" w:color="auto"/>
      </w:divBdr>
    </w:div>
    <w:div w:id="1420983523">
      <w:bodyDiv w:val="1"/>
      <w:marLeft w:val="0"/>
      <w:marRight w:val="0"/>
      <w:marTop w:val="0"/>
      <w:marBottom w:val="0"/>
      <w:divBdr>
        <w:top w:val="none" w:sz="0" w:space="0" w:color="auto"/>
        <w:left w:val="none" w:sz="0" w:space="0" w:color="auto"/>
        <w:bottom w:val="none" w:sz="0" w:space="0" w:color="auto"/>
        <w:right w:val="none" w:sz="0" w:space="0" w:color="auto"/>
      </w:divBdr>
    </w:div>
    <w:div w:id="1421097425">
      <w:bodyDiv w:val="1"/>
      <w:marLeft w:val="0"/>
      <w:marRight w:val="0"/>
      <w:marTop w:val="0"/>
      <w:marBottom w:val="0"/>
      <w:divBdr>
        <w:top w:val="none" w:sz="0" w:space="0" w:color="auto"/>
        <w:left w:val="none" w:sz="0" w:space="0" w:color="auto"/>
        <w:bottom w:val="none" w:sz="0" w:space="0" w:color="auto"/>
        <w:right w:val="none" w:sz="0" w:space="0" w:color="auto"/>
      </w:divBdr>
    </w:div>
    <w:div w:id="1421175835">
      <w:bodyDiv w:val="1"/>
      <w:marLeft w:val="0"/>
      <w:marRight w:val="0"/>
      <w:marTop w:val="0"/>
      <w:marBottom w:val="0"/>
      <w:divBdr>
        <w:top w:val="none" w:sz="0" w:space="0" w:color="auto"/>
        <w:left w:val="none" w:sz="0" w:space="0" w:color="auto"/>
        <w:bottom w:val="none" w:sz="0" w:space="0" w:color="auto"/>
        <w:right w:val="none" w:sz="0" w:space="0" w:color="auto"/>
      </w:divBdr>
    </w:div>
    <w:div w:id="1421177000">
      <w:bodyDiv w:val="1"/>
      <w:marLeft w:val="0"/>
      <w:marRight w:val="0"/>
      <w:marTop w:val="0"/>
      <w:marBottom w:val="0"/>
      <w:divBdr>
        <w:top w:val="none" w:sz="0" w:space="0" w:color="auto"/>
        <w:left w:val="none" w:sz="0" w:space="0" w:color="auto"/>
        <w:bottom w:val="none" w:sz="0" w:space="0" w:color="auto"/>
        <w:right w:val="none" w:sz="0" w:space="0" w:color="auto"/>
      </w:divBdr>
    </w:div>
    <w:div w:id="1421178417">
      <w:bodyDiv w:val="1"/>
      <w:marLeft w:val="0"/>
      <w:marRight w:val="0"/>
      <w:marTop w:val="0"/>
      <w:marBottom w:val="0"/>
      <w:divBdr>
        <w:top w:val="none" w:sz="0" w:space="0" w:color="auto"/>
        <w:left w:val="none" w:sz="0" w:space="0" w:color="auto"/>
        <w:bottom w:val="none" w:sz="0" w:space="0" w:color="auto"/>
        <w:right w:val="none" w:sz="0" w:space="0" w:color="auto"/>
      </w:divBdr>
    </w:div>
    <w:div w:id="1421221078">
      <w:bodyDiv w:val="1"/>
      <w:marLeft w:val="0"/>
      <w:marRight w:val="0"/>
      <w:marTop w:val="0"/>
      <w:marBottom w:val="0"/>
      <w:divBdr>
        <w:top w:val="none" w:sz="0" w:space="0" w:color="auto"/>
        <w:left w:val="none" w:sz="0" w:space="0" w:color="auto"/>
        <w:bottom w:val="none" w:sz="0" w:space="0" w:color="auto"/>
        <w:right w:val="none" w:sz="0" w:space="0" w:color="auto"/>
      </w:divBdr>
    </w:div>
    <w:div w:id="1421293343">
      <w:bodyDiv w:val="1"/>
      <w:marLeft w:val="0"/>
      <w:marRight w:val="0"/>
      <w:marTop w:val="0"/>
      <w:marBottom w:val="0"/>
      <w:divBdr>
        <w:top w:val="none" w:sz="0" w:space="0" w:color="auto"/>
        <w:left w:val="none" w:sz="0" w:space="0" w:color="auto"/>
        <w:bottom w:val="none" w:sz="0" w:space="0" w:color="auto"/>
        <w:right w:val="none" w:sz="0" w:space="0" w:color="auto"/>
      </w:divBdr>
    </w:div>
    <w:div w:id="1421364053">
      <w:bodyDiv w:val="1"/>
      <w:marLeft w:val="0"/>
      <w:marRight w:val="0"/>
      <w:marTop w:val="0"/>
      <w:marBottom w:val="0"/>
      <w:divBdr>
        <w:top w:val="none" w:sz="0" w:space="0" w:color="auto"/>
        <w:left w:val="none" w:sz="0" w:space="0" w:color="auto"/>
        <w:bottom w:val="none" w:sz="0" w:space="0" w:color="auto"/>
        <w:right w:val="none" w:sz="0" w:space="0" w:color="auto"/>
      </w:divBdr>
    </w:div>
    <w:div w:id="1421411069">
      <w:bodyDiv w:val="1"/>
      <w:marLeft w:val="0"/>
      <w:marRight w:val="0"/>
      <w:marTop w:val="0"/>
      <w:marBottom w:val="0"/>
      <w:divBdr>
        <w:top w:val="none" w:sz="0" w:space="0" w:color="auto"/>
        <w:left w:val="none" w:sz="0" w:space="0" w:color="auto"/>
        <w:bottom w:val="none" w:sz="0" w:space="0" w:color="auto"/>
        <w:right w:val="none" w:sz="0" w:space="0" w:color="auto"/>
      </w:divBdr>
    </w:div>
    <w:div w:id="1421489875">
      <w:bodyDiv w:val="1"/>
      <w:marLeft w:val="0"/>
      <w:marRight w:val="0"/>
      <w:marTop w:val="0"/>
      <w:marBottom w:val="0"/>
      <w:divBdr>
        <w:top w:val="none" w:sz="0" w:space="0" w:color="auto"/>
        <w:left w:val="none" w:sz="0" w:space="0" w:color="auto"/>
        <w:bottom w:val="none" w:sz="0" w:space="0" w:color="auto"/>
        <w:right w:val="none" w:sz="0" w:space="0" w:color="auto"/>
      </w:divBdr>
    </w:div>
    <w:div w:id="1421681732">
      <w:bodyDiv w:val="1"/>
      <w:marLeft w:val="0"/>
      <w:marRight w:val="0"/>
      <w:marTop w:val="0"/>
      <w:marBottom w:val="0"/>
      <w:divBdr>
        <w:top w:val="none" w:sz="0" w:space="0" w:color="auto"/>
        <w:left w:val="none" w:sz="0" w:space="0" w:color="auto"/>
        <w:bottom w:val="none" w:sz="0" w:space="0" w:color="auto"/>
        <w:right w:val="none" w:sz="0" w:space="0" w:color="auto"/>
      </w:divBdr>
    </w:div>
    <w:div w:id="1421683821">
      <w:bodyDiv w:val="1"/>
      <w:marLeft w:val="0"/>
      <w:marRight w:val="0"/>
      <w:marTop w:val="0"/>
      <w:marBottom w:val="0"/>
      <w:divBdr>
        <w:top w:val="none" w:sz="0" w:space="0" w:color="auto"/>
        <w:left w:val="none" w:sz="0" w:space="0" w:color="auto"/>
        <w:bottom w:val="none" w:sz="0" w:space="0" w:color="auto"/>
        <w:right w:val="none" w:sz="0" w:space="0" w:color="auto"/>
      </w:divBdr>
    </w:div>
    <w:div w:id="1421754622">
      <w:bodyDiv w:val="1"/>
      <w:marLeft w:val="0"/>
      <w:marRight w:val="0"/>
      <w:marTop w:val="0"/>
      <w:marBottom w:val="0"/>
      <w:divBdr>
        <w:top w:val="none" w:sz="0" w:space="0" w:color="auto"/>
        <w:left w:val="none" w:sz="0" w:space="0" w:color="auto"/>
        <w:bottom w:val="none" w:sz="0" w:space="0" w:color="auto"/>
        <w:right w:val="none" w:sz="0" w:space="0" w:color="auto"/>
      </w:divBdr>
    </w:div>
    <w:div w:id="1421827648">
      <w:bodyDiv w:val="1"/>
      <w:marLeft w:val="0"/>
      <w:marRight w:val="0"/>
      <w:marTop w:val="0"/>
      <w:marBottom w:val="0"/>
      <w:divBdr>
        <w:top w:val="none" w:sz="0" w:space="0" w:color="auto"/>
        <w:left w:val="none" w:sz="0" w:space="0" w:color="auto"/>
        <w:bottom w:val="none" w:sz="0" w:space="0" w:color="auto"/>
        <w:right w:val="none" w:sz="0" w:space="0" w:color="auto"/>
      </w:divBdr>
    </w:div>
    <w:div w:id="1421944555">
      <w:bodyDiv w:val="1"/>
      <w:marLeft w:val="0"/>
      <w:marRight w:val="0"/>
      <w:marTop w:val="0"/>
      <w:marBottom w:val="0"/>
      <w:divBdr>
        <w:top w:val="none" w:sz="0" w:space="0" w:color="auto"/>
        <w:left w:val="none" w:sz="0" w:space="0" w:color="auto"/>
        <w:bottom w:val="none" w:sz="0" w:space="0" w:color="auto"/>
        <w:right w:val="none" w:sz="0" w:space="0" w:color="auto"/>
      </w:divBdr>
    </w:div>
    <w:div w:id="1421946639">
      <w:bodyDiv w:val="1"/>
      <w:marLeft w:val="0"/>
      <w:marRight w:val="0"/>
      <w:marTop w:val="0"/>
      <w:marBottom w:val="0"/>
      <w:divBdr>
        <w:top w:val="none" w:sz="0" w:space="0" w:color="auto"/>
        <w:left w:val="none" w:sz="0" w:space="0" w:color="auto"/>
        <w:bottom w:val="none" w:sz="0" w:space="0" w:color="auto"/>
        <w:right w:val="none" w:sz="0" w:space="0" w:color="auto"/>
      </w:divBdr>
    </w:div>
    <w:div w:id="1422026420">
      <w:bodyDiv w:val="1"/>
      <w:marLeft w:val="0"/>
      <w:marRight w:val="0"/>
      <w:marTop w:val="0"/>
      <w:marBottom w:val="0"/>
      <w:divBdr>
        <w:top w:val="none" w:sz="0" w:space="0" w:color="auto"/>
        <w:left w:val="none" w:sz="0" w:space="0" w:color="auto"/>
        <w:bottom w:val="none" w:sz="0" w:space="0" w:color="auto"/>
        <w:right w:val="none" w:sz="0" w:space="0" w:color="auto"/>
      </w:divBdr>
    </w:div>
    <w:div w:id="1422028639">
      <w:bodyDiv w:val="1"/>
      <w:marLeft w:val="0"/>
      <w:marRight w:val="0"/>
      <w:marTop w:val="0"/>
      <w:marBottom w:val="0"/>
      <w:divBdr>
        <w:top w:val="none" w:sz="0" w:space="0" w:color="auto"/>
        <w:left w:val="none" w:sz="0" w:space="0" w:color="auto"/>
        <w:bottom w:val="none" w:sz="0" w:space="0" w:color="auto"/>
        <w:right w:val="none" w:sz="0" w:space="0" w:color="auto"/>
      </w:divBdr>
    </w:div>
    <w:div w:id="1422066068">
      <w:bodyDiv w:val="1"/>
      <w:marLeft w:val="0"/>
      <w:marRight w:val="0"/>
      <w:marTop w:val="0"/>
      <w:marBottom w:val="0"/>
      <w:divBdr>
        <w:top w:val="none" w:sz="0" w:space="0" w:color="auto"/>
        <w:left w:val="none" w:sz="0" w:space="0" w:color="auto"/>
        <w:bottom w:val="none" w:sz="0" w:space="0" w:color="auto"/>
        <w:right w:val="none" w:sz="0" w:space="0" w:color="auto"/>
      </w:divBdr>
    </w:div>
    <w:div w:id="1422143956">
      <w:bodyDiv w:val="1"/>
      <w:marLeft w:val="0"/>
      <w:marRight w:val="0"/>
      <w:marTop w:val="0"/>
      <w:marBottom w:val="0"/>
      <w:divBdr>
        <w:top w:val="none" w:sz="0" w:space="0" w:color="auto"/>
        <w:left w:val="none" w:sz="0" w:space="0" w:color="auto"/>
        <w:bottom w:val="none" w:sz="0" w:space="0" w:color="auto"/>
        <w:right w:val="none" w:sz="0" w:space="0" w:color="auto"/>
      </w:divBdr>
    </w:div>
    <w:div w:id="1422290229">
      <w:bodyDiv w:val="1"/>
      <w:marLeft w:val="0"/>
      <w:marRight w:val="0"/>
      <w:marTop w:val="0"/>
      <w:marBottom w:val="0"/>
      <w:divBdr>
        <w:top w:val="none" w:sz="0" w:space="0" w:color="auto"/>
        <w:left w:val="none" w:sz="0" w:space="0" w:color="auto"/>
        <w:bottom w:val="none" w:sz="0" w:space="0" w:color="auto"/>
        <w:right w:val="none" w:sz="0" w:space="0" w:color="auto"/>
      </w:divBdr>
    </w:div>
    <w:div w:id="1422406375">
      <w:bodyDiv w:val="1"/>
      <w:marLeft w:val="0"/>
      <w:marRight w:val="0"/>
      <w:marTop w:val="0"/>
      <w:marBottom w:val="0"/>
      <w:divBdr>
        <w:top w:val="none" w:sz="0" w:space="0" w:color="auto"/>
        <w:left w:val="none" w:sz="0" w:space="0" w:color="auto"/>
        <w:bottom w:val="none" w:sz="0" w:space="0" w:color="auto"/>
        <w:right w:val="none" w:sz="0" w:space="0" w:color="auto"/>
      </w:divBdr>
    </w:div>
    <w:div w:id="1422527242">
      <w:bodyDiv w:val="1"/>
      <w:marLeft w:val="0"/>
      <w:marRight w:val="0"/>
      <w:marTop w:val="0"/>
      <w:marBottom w:val="0"/>
      <w:divBdr>
        <w:top w:val="none" w:sz="0" w:space="0" w:color="auto"/>
        <w:left w:val="none" w:sz="0" w:space="0" w:color="auto"/>
        <w:bottom w:val="none" w:sz="0" w:space="0" w:color="auto"/>
        <w:right w:val="none" w:sz="0" w:space="0" w:color="auto"/>
      </w:divBdr>
    </w:div>
    <w:div w:id="1422721507">
      <w:bodyDiv w:val="1"/>
      <w:marLeft w:val="0"/>
      <w:marRight w:val="0"/>
      <w:marTop w:val="0"/>
      <w:marBottom w:val="0"/>
      <w:divBdr>
        <w:top w:val="none" w:sz="0" w:space="0" w:color="auto"/>
        <w:left w:val="none" w:sz="0" w:space="0" w:color="auto"/>
        <w:bottom w:val="none" w:sz="0" w:space="0" w:color="auto"/>
        <w:right w:val="none" w:sz="0" w:space="0" w:color="auto"/>
      </w:divBdr>
    </w:div>
    <w:div w:id="1422753446">
      <w:bodyDiv w:val="1"/>
      <w:marLeft w:val="0"/>
      <w:marRight w:val="0"/>
      <w:marTop w:val="0"/>
      <w:marBottom w:val="0"/>
      <w:divBdr>
        <w:top w:val="none" w:sz="0" w:space="0" w:color="auto"/>
        <w:left w:val="none" w:sz="0" w:space="0" w:color="auto"/>
        <w:bottom w:val="none" w:sz="0" w:space="0" w:color="auto"/>
        <w:right w:val="none" w:sz="0" w:space="0" w:color="auto"/>
      </w:divBdr>
    </w:div>
    <w:div w:id="1422800629">
      <w:bodyDiv w:val="1"/>
      <w:marLeft w:val="0"/>
      <w:marRight w:val="0"/>
      <w:marTop w:val="0"/>
      <w:marBottom w:val="0"/>
      <w:divBdr>
        <w:top w:val="none" w:sz="0" w:space="0" w:color="auto"/>
        <w:left w:val="none" w:sz="0" w:space="0" w:color="auto"/>
        <w:bottom w:val="none" w:sz="0" w:space="0" w:color="auto"/>
        <w:right w:val="none" w:sz="0" w:space="0" w:color="auto"/>
      </w:divBdr>
    </w:div>
    <w:div w:id="1422870633">
      <w:bodyDiv w:val="1"/>
      <w:marLeft w:val="0"/>
      <w:marRight w:val="0"/>
      <w:marTop w:val="0"/>
      <w:marBottom w:val="0"/>
      <w:divBdr>
        <w:top w:val="none" w:sz="0" w:space="0" w:color="auto"/>
        <w:left w:val="none" w:sz="0" w:space="0" w:color="auto"/>
        <w:bottom w:val="none" w:sz="0" w:space="0" w:color="auto"/>
        <w:right w:val="none" w:sz="0" w:space="0" w:color="auto"/>
      </w:divBdr>
    </w:div>
    <w:div w:id="1422872333">
      <w:bodyDiv w:val="1"/>
      <w:marLeft w:val="0"/>
      <w:marRight w:val="0"/>
      <w:marTop w:val="0"/>
      <w:marBottom w:val="0"/>
      <w:divBdr>
        <w:top w:val="none" w:sz="0" w:space="0" w:color="auto"/>
        <w:left w:val="none" w:sz="0" w:space="0" w:color="auto"/>
        <w:bottom w:val="none" w:sz="0" w:space="0" w:color="auto"/>
        <w:right w:val="none" w:sz="0" w:space="0" w:color="auto"/>
      </w:divBdr>
    </w:div>
    <w:div w:id="1422988081">
      <w:bodyDiv w:val="1"/>
      <w:marLeft w:val="0"/>
      <w:marRight w:val="0"/>
      <w:marTop w:val="0"/>
      <w:marBottom w:val="0"/>
      <w:divBdr>
        <w:top w:val="none" w:sz="0" w:space="0" w:color="auto"/>
        <w:left w:val="none" w:sz="0" w:space="0" w:color="auto"/>
        <w:bottom w:val="none" w:sz="0" w:space="0" w:color="auto"/>
        <w:right w:val="none" w:sz="0" w:space="0" w:color="auto"/>
      </w:divBdr>
    </w:div>
    <w:div w:id="1423067166">
      <w:bodyDiv w:val="1"/>
      <w:marLeft w:val="0"/>
      <w:marRight w:val="0"/>
      <w:marTop w:val="0"/>
      <w:marBottom w:val="0"/>
      <w:divBdr>
        <w:top w:val="none" w:sz="0" w:space="0" w:color="auto"/>
        <w:left w:val="none" w:sz="0" w:space="0" w:color="auto"/>
        <w:bottom w:val="none" w:sz="0" w:space="0" w:color="auto"/>
        <w:right w:val="none" w:sz="0" w:space="0" w:color="auto"/>
      </w:divBdr>
    </w:div>
    <w:div w:id="1423529491">
      <w:bodyDiv w:val="1"/>
      <w:marLeft w:val="0"/>
      <w:marRight w:val="0"/>
      <w:marTop w:val="0"/>
      <w:marBottom w:val="0"/>
      <w:divBdr>
        <w:top w:val="none" w:sz="0" w:space="0" w:color="auto"/>
        <w:left w:val="none" w:sz="0" w:space="0" w:color="auto"/>
        <w:bottom w:val="none" w:sz="0" w:space="0" w:color="auto"/>
        <w:right w:val="none" w:sz="0" w:space="0" w:color="auto"/>
      </w:divBdr>
    </w:div>
    <w:div w:id="1423602756">
      <w:bodyDiv w:val="1"/>
      <w:marLeft w:val="0"/>
      <w:marRight w:val="0"/>
      <w:marTop w:val="0"/>
      <w:marBottom w:val="0"/>
      <w:divBdr>
        <w:top w:val="none" w:sz="0" w:space="0" w:color="auto"/>
        <w:left w:val="none" w:sz="0" w:space="0" w:color="auto"/>
        <w:bottom w:val="none" w:sz="0" w:space="0" w:color="auto"/>
        <w:right w:val="none" w:sz="0" w:space="0" w:color="auto"/>
      </w:divBdr>
    </w:div>
    <w:div w:id="1423720474">
      <w:bodyDiv w:val="1"/>
      <w:marLeft w:val="0"/>
      <w:marRight w:val="0"/>
      <w:marTop w:val="0"/>
      <w:marBottom w:val="0"/>
      <w:divBdr>
        <w:top w:val="none" w:sz="0" w:space="0" w:color="auto"/>
        <w:left w:val="none" w:sz="0" w:space="0" w:color="auto"/>
        <w:bottom w:val="none" w:sz="0" w:space="0" w:color="auto"/>
        <w:right w:val="none" w:sz="0" w:space="0" w:color="auto"/>
      </w:divBdr>
    </w:div>
    <w:div w:id="1423799711">
      <w:bodyDiv w:val="1"/>
      <w:marLeft w:val="0"/>
      <w:marRight w:val="0"/>
      <w:marTop w:val="0"/>
      <w:marBottom w:val="0"/>
      <w:divBdr>
        <w:top w:val="none" w:sz="0" w:space="0" w:color="auto"/>
        <w:left w:val="none" w:sz="0" w:space="0" w:color="auto"/>
        <w:bottom w:val="none" w:sz="0" w:space="0" w:color="auto"/>
        <w:right w:val="none" w:sz="0" w:space="0" w:color="auto"/>
      </w:divBdr>
    </w:div>
    <w:div w:id="1423994368">
      <w:bodyDiv w:val="1"/>
      <w:marLeft w:val="0"/>
      <w:marRight w:val="0"/>
      <w:marTop w:val="0"/>
      <w:marBottom w:val="0"/>
      <w:divBdr>
        <w:top w:val="none" w:sz="0" w:space="0" w:color="auto"/>
        <w:left w:val="none" w:sz="0" w:space="0" w:color="auto"/>
        <w:bottom w:val="none" w:sz="0" w:space="0" w:color="auto"/>
        <w:right w:val="none" w:sz="0" w:space="0" w:color="auto"/>
      </w:divBdr>
    </w:div>
    <w:div w:id="1424180208">
      <w:bodyDiv w:val="1"/>
      <w:marLeft w:val="0"/>
      <w:marRight w:val="0"/>
      <w:marTop w:val="0"/>
      <w:marBottom w:val="0"/>
      <w:divBdr>
        <w:top w:val="none" w:sz="0" w:space="0" w:color="auto"/>
        <w:left w:val="none" w:sz="0" w:space="0" w:color="auto"/>
        <w:bottom w:val="none" w:sz="0" w:space="0" w:color="auto"/>
        <w:right w:val="none" w:sz="0" w:space="0" w:color="auto"/>
      </w:divBdr>
    </w:div>
    <w:div w:id="1424451580">
      <w:bodyDiv w:val="1"/>
      <w:marLeft w:val="0"/>
      <w:marRight w:val="0"/>
      <w:marTop w:val="0"/>
      <w:marBottom w:val="0"/>
      <w:divBdr>
        <w:top w:val="none" w:sz="0" w:space="0" w:color="auto"/>
        <w:left w:val="none" w:sz="0" w:space="0" w:color="auto"/>
        <w:bottom w:val="none" w:sz="0" w:space="0" w:color="auto"/>
        <w:right w:val="none" w:sz="0" w:space="0" w:color="auto"/>
      </w:divBdr>
    </w:div>
    <w:div w:id="1424453379">
      <w:bodyDiv w:val="1"/>
      <w:marLeft w:val="0"/>
      <w:marRight w:val="0"/>
      <w:marTop w:val="0"/>
      <w:marBottom w:val="0"/>
      <w:divBdr>
        <w:top w:val="none" w:sz="0" w:space="0" w:color="auto"/>
        <w:left w:val="none" w:sz="0" w:space="0" w:color="auto"/>
        <w:bottom w:val="none" w:sz="0" w:space="0" w:color="auto"/>
        <w:right w:val="none" w:sz="0" w:space="0" w:color="auto"/>
      </w:divBdr>
    </w:div>
    <w:div w:id="1424496775">
      <w:bodyDiv w:val="1"/>
      <w:marLeft w:val="0"/>
      <w:marRight w:val="0"/>
      <w:marTop w:val="0"/>
      <w:marBottom w:val="0"/>
      <w:divBdr>
        <w:top w:val="none" w:sz="0" w:space="0" w:color="auto"/>
        <w:left w:val="none" w:sz="0" w:space="0" w:color="auto"/>
        <w:bottom w:val="none" w:sz="0" w:space="0" w:color="auto"/>
        <w:right w:val="none" w:sz="0" w:space="0" w:color="auto"/>
      </w:divBdr>
    </w:div>
    <w:div w:id="1424640865">
      <w:bodyDiv w:val="1"/>
      <w:marLeft w:val="0"/>
      <w:marRight w:val="0"/>
      <w:marTop w:val="0"/>
      <w:marBottom w:val="0"/>
      <w:divBdr>
        <w:top w:val="none" w:sz="0" w:space="0" w:color="auto"/>
        <w:left w:val="none" w:sz="0" w:space="0" w:color="auto"/>
        <w:bottom w:val="none" w:sz="0" w:space="0" w:color="auto"/>
        <w:right w:val="none" w:sz="0" w:space="0" w:color="auto"/>
      </w:divBdr>
    </w:div>
    <w:div w:id="1424647877">
      <w:bodyDiv w:val="1"/>
      <w:marLeft w:val="0"/>
      <w:marRight w:val="0"/>
      <w:marTop w:val="0"/>
      <w:marBottom w:val="0"/>
      <w:divBdr>
        <w:top w:val="none" w:sz="0" w:space="0" w:color="auto"/>
        <w:left w:val="none" w:sz="0" w:space="0" w:color="auto"/>
        <w:bottom w:val="none" w:sz="0" w:space="0" w:color="auto"/>
        <w:right w:val="none" w:sz="0" w:space="0" w:color="auto"/>
      </w:divBdr>
    </w:div>
    <w:div w:id="1424687953">
      <w:bodyDiv w:val="1"/>
      <w:marLeft w:val="0"/>
      <w:marRight w:val="0"/>
      <w:marTop w:val="0"/>
      <w:marBottom w:val="0"/>
      <w:divBdr>
        <w:top w:val="none" w:sz="0" w:space="0" w:color="auto"/>
        <w:left w:val="none" w:sz="0" w:space="0" w:color="auto"/>
        <w:bottom w:val="none" w:sz="0" w:space="0" w:color="auto"/>
        <w:right w:val="none" w:sz="0" w:space="0" w:color="auto"/>
      </w:divBdr>
    </w:div>
    <w:div w:id="1424717880">
      <w:bodyDiv w:val="1"/>
      <w:marLeft w:val="0"/>
      <w:marRight w:val="0"/>
      <w:marTop w:val="0"/>
      <w:marBottom w:val="0"/>
      <w:divBdr>
        <w:top w:val="none" w:sz="0" w:space="0" w:color="auto"/>
        <w:left w:val="none" w:sz="0" w:space="0" w:color="auto"/>
        <w:bottom w:val="none" w:sz="0" w:space="0" w:color="auto"/>
        <w:right w:val="none" w:sz="0" w:space="0" w:color="auto"/>
      </w:divBdr>
    </w:div>
    <w:div w:id="1424841674">
      <w:bodyDiv w:val="1"/>
      <w:marLeft w:val="0"/>
      <w:marRight w:val="0"/>
      <w:marTop w:val="0"/>
      <w:marBottom w:val="0"/>
      <w:divBdr>
        <w:top w:val="none" w:sz="0" w:space="0" w:color="auto"/>
        <w:left w:val="none" w:sz="0" w:space="0" w:color="auto"/>
        <w:bottom w:val="none" w:sz="0" w:space="0" w:color="auto"/>
        <w:right w:val="none" w:sz="0" w:space="0" w:color="auto"/>
      </w:divBdr>
    </w:div>
    <w:div w:id="1425111294">
      <w:bodyDiv w:val="1"/>
      <w:marLeft w:val="0"/>
      <w:marRight w:val="0"/>
      <w:marTop w:val="0"/>
      <w:marBottom w:val="0"/>
      <w:divBdr>
        <w:top w:val="none" w:sz="0" w:space="0" w:color="auto"/>
        <w:left w:val="none" w:sz="0" w:space="0" w:color="auto"/>
        <w:bottom w:val="none" w:sz="0" w:space="0" w:color="auto"/>
        <w:right w:val="none" w:sz="0" w:space="0" w:color="auto"/>
      </w:divBdr>
    </w:div>
    <w:div w:id="1425151926">
      <w:bodyDiv w:val="1"/>
      <w:marLeft w:val="0"/>
      <w:marRight w:val="0"/>
      <w:marTop w:val="0"/>
      <w:marBottom w:val="0"/>
      <w:divBdr>
        <w:top w:val="none" w:sz="0" w:space="0" w:color="auto"/>
        <w:left w:val="none" w:sz="0" w:space="0" w:color="auto"/>
        <w:bottom w:val="none" w:sz="0" w:space="0" w:color="auto"/>
        <w:right w:val="none" w:sz="0" w:space="0" w:color="auto"/>
      </w:divBdr>
    </w:div>
    <w:div w:id="1425296837">
      <w:bodyDiv w:val="1"/>
      <w:marLeft w:val="0"/>
      <w:marRight w:val="0"/>
      <w:marTop w:val="0"/>
      <w:marBottom w:val="0"/>
      <w:divBdr>
        <w:top w:val="none" w:sz="0" w:space="0" w:color="auto"/>
        <w:left w:val="none" w:sz="0" w:space="0" w:color="auto"/>
        <w:bottom w:val="none" w:sz="0" w:space="0" w:color="auto"/>
        <w:right w:val="none" w:sz="0" w:space="0" w:color="auto"/>
      </w:divBdr>
    </w:div>
    <w:div w:id="1425305352">
      <w:bodyDiv w:val="1"/>
      <w:marLeft w:val="0"/>
      <w:marRight w:val="0"/>
      <w:marTop w:val="0"/>
      <w:marBottom w:val="0"/>
      <w:divBdr>
        <w:top w:val="none" w:sz="0" w:space="0" w:color="auto"/>
        <w:left w:val="none" w:sz="0" w:space="0" w:color="auto"/>
        <w:bottom w:val="none" w:sz="0" w:space="0" w:color="auto"/>
        <w:right w:val="none" w:sz="0" w:space="0" w:color="auto"/>
      </w:divBdr>
    </w:div>
    <w:div w:id="1425346957">
      <w:bodyDiv w:val="1"/>
      <w:marLeft w:val="0"/>
      <w:marRight w:val="0"/>
      <w:marTop w:val="0"/>
      <w:marBottom w:val="0"/>
      <w:divBdr>
        <w:top w:val="none" w:sz="0" w:space="0" w:color="auto"/>
        <w:left w:val="none" w:sz="0" w:space="0" w:color="auto"/>
        <w:bottom w:val="none" w:sz="0" w:space="0" w:color="auto"/>
        <w:right w:val="none" w:sz="0" w:space="0" w:color="auto"/>
      </w:divBdr>
    </w:div>
    <w:div w:id="1425567145">
      <w:bodyDiv w:val="1"/>
      <w:marLeft w:val="0"/>
      <w:marRight w:val="0"/>
      <w:marTop w:val="0"/>
      <w:marBottom w:val="0"/>
      <w:divBdr>
        <w:top w:val="none" w:sz="0" w:space="0" w:color="auto"/>
        <w:left w:val="none" w:sz="0" w:space="0" w:color="auto"/>
        <w:bottom w:val="none" w:sz="0" w:space="0" w:color="auto"/>
        <w:right w:val="none" w:sz="0" w:space="0" w:color="auto"/>
      </w:divBdr>
    </w:div>
    <w:div w:id="1425616408">
      <w:bodyDiv w:val="1"/>
      <w:marLeft w:val="0"/>
      <w:marRight w:val="0"/>
      <w:marTop w:val="0"/>
      <w:marBottom w:val="0"/>
      <w:divBdr>
        <w:top w:val="none" w:sz="0" w:space="0" w:color="auto"/>
        <w:left w:val="none" w:sz="0" w:space="0" w:color="auto"/>
        <w:bottom w:val="none" w:sz="0" w:space="0" w:color="auto"/>
        <w:right w:val="none" w:sz="0" w:space="0" w:color="auto"/>
      </w:divBdr>
    </w:div>
    <w:div w:id="1425802689">
      <w:bodyDiv w:val="1"/>
      <w:marLeft w:val="0"/>
      <w:marRight w:val="0"/>
      <w:marTop w:val="0"/>
      <w:marBottom w:val="0"/>
      <w:divBdr>
        <w:top w:val="none" w:sz="0" w:space="0" w:color="auto"/>
        <w:left w:val="none" w:sz="0" w:space="0" w:color="auto"/>
        <w:bottom w:val="none" w:sz="0" w:space="0" w:color="auto"/>
        <w:right w:val="none" w:sz="0" w:space="0" w:color="auto"/>
      </w:divBdr>
    </w:div>
    <w:div w:id="1425878583">
      <w:bodyDiv w:val="1"/>
      <w:marLeft w:val="0"/>
      <w:marRight w:val="0"/>
      <w:marTop w:val="0"/>
      <w:marBottom w:val="0"/>
      <w:divBdr>
        <w:top w:val="none" w:sz="0" w:space="0" w:color="auto"/>
        <w:left w:val="none" w:sz="0" w:space="0" w:color="auto"/>
        <w:bottom w:val="none" w:sz="0" w:space="0" w:color="auto"/>
        <w:right w:val="none" w:sz="0" w:space="0" w:color="auto"/>
      </w:divBdr>
    </w:div>
    <w:div w:id="1425883506">
      <w:bodyDiv w:val="1"/>
      <w:marLeft w:val="0"/>
      <w:marRight w:val="0"/>
      <w:marTop w:val="0"/>
      <w:marBottom w:val="0"/>
      <w:divBdr>
        <w:top w:val="none" w:sz="0" w:space="0" w:color="auto"/>
        <w:left w:val="none" w:sz="0" w:space="0" w:color="auto"/>
        <w:bottom w:val="none" w:sz="0" w:space="0" w:color="auto"/>
        <w:right w:val="none" w:sz="0" w:space="0" w:color="auto"/>
      </w:divBdr>
    </w:div>
    <w:div w:id="1425957469">
      <w:bodyDiv w:val="1"/>
      <w:marLeft w:val="0"/>
      <w:marRight w:val="0"/>
      <w:marTop w:val="0"/>
      <w:marBottom w:val="0"/>
      <w:divBdr>
        <w:top w:val="none" w:sz="0" w:space="0" w:color="auto"/>
        <w:left w:val="none" w:sz="0" w:space="0" w:color="auto"/>
        <w:bottom w:val="none" w:sz="0" w:space="0" w:color="auto"/>
        <w:right w:val="none" w:sz="0" w:space="0" w:color="auto"/>
      </w:divBdr>
    </w:div>
    <w:div w:id="1426226606">
      <w:bodyDiv w:val="1"/>
      <w:marLeft w:val="0"/>
      <w:marRight w:val="0"/>
      <w:marTop w:val="0"/>
      <w:marBottom w:val="0"/>
      <w:divBdr>
        <w:top w:val="none" w:sz="0" w:space="0" w:color="auto"/>
        <w:left w:val="none" w:sz="0" w:space="0" w:color="auto"/>
        <w:bottom w:val="none" w:sz="0" w:space="0" w:color="auto"/>
        <w:right w:val="none" w:sz="0" w:space="0" w:color="auto"/>
      </w:divBdr>
    </w:div>
    <w:div w:id="1426532474">
      <w:bodyDiv w:val="1"/>
      <w:marLeft w:val="0"/>
      <w:marRight w:val="0"/>
      <w:marTop w:val="0"/>
      <w:marBottom w:val="0"/>
      <w:divBdr>
        <w:top w:val="none" w:sz="0" w:space="0" w:color="auto"/>
        <w:left w:val="none" w:sz="0" w:space="0" w:color="auto"/>
        <w:bottom w:val="none" w:sz="0" w:space="0" w:color="auto"/>
        <w:right w:val="none" w:sz="0" w:space="0" w:color="auto"/>
      </w:divBdr>
    </w:div>
    <w:div w:id="1426537417">
      <w:bodyDiv w:val="1"/>
      <w:marLeft w:val="0"/>
      <w:marRight w:val="0"/>
      <w:marTop w:val="0"/>
      <w:marBottom w:val="0"/>
      <w:divBdr>
        <w:top w:val="none" w:sz="0" w:space="0" w:color="auto"/>
        <w:left w:val="none" w:sz="0" w:space="0" w:color="auto"/>
        <w:bottom w:val="none" w:sz="0" w:space="0" w:color="auto"/>
        <w:right w:val="none" w:sz="0" w:space="0" w:color="auto"/>
      </w:divBdr>
    </w:div>
    <w:div w:id="1426539623">
      <w:bodyDiv w:val="1"/>
      <w:marLeft w:val="0"/>
      <w:marRight w:val="0"/>
      <w:marTop w:val="0"/>
      <w:marBottom w:val="0"/>
      <w:divBdr>
        <w:top w:val="none" w:sz="0" w:space="0" w:color="auto"/>
        <w:left w:val="none" w:sz="0" w:space="0" w:color="auto"/>
        <w:bottom w:val="none" w:sz="0" w:space="0" w:color="auto"/>
        <w:right w:val="none" w:sz="0" w:space="0" w:color="auto"/>
      </w:divBdr>
    </w:div>
    <w:div w:id="1426608018">
      <w:bodyDiv w:val="1"/>
      <w:marLeft w:val="0"/>
      <w:marRight w:val="0"/>
      <w:marTop w:val="0"/>
      <w:marBottom w:val="0"/>
      <w:divBdr>
        <w:top w:val="none" w:sz="0" w:space="0" w:color="auto"/>
        <w:left w:val="none" w:sz="0" w:space="0" w:color="auto"/>
        <w:bottom w:val="none" w:sz="0" w:space="0" w:color="auto"/>
        <w:right w:val="none" w:sz="0" w:space="0" w:color="auto"/>
      </w:divBdr>
    </w:div>
    <w:div w:id="1426610460">
      <w:bodyDiv w:val="1"/>
      <w:marLeft w:val="0"/>
      <w:marRight w:val="0"/>
      <w:marTop w:val="0"/>
      <w:marBottom w:val="0"/>
      <w:divBdr>
        <w:top w:val="none" w:sz="0" w:space="0" w:color="auto"/>
        <w:left w:val="none" w:sz="0" w:space="0" w:color="auto"/>
        <w:bottom w:val="none" w:sz="0" w:space="0" w:color="auto"/>
        <w:right w:val="none" w:sz="0" w:space="0" w:color="auto"/>
      </w:divBdr>
    </w:div>
    <w:div w:id="1426726295">
      <w:bodyDiv w:val="1"/>
      <w:marLeft w:val="0"/>
      <w:marRight w:val="0"/>
      <w:marTop w:val="0"/>
      <w:marBottom w:val="0"/>
      <w:divBdr>
        <w:top w:val="none" w:sz="0" w:space="0" w:color="auto"/>
        <w:left w:val="none" w:sz="0" w:space="0" w:color="auto"/>
        <w:bottom w:val="none" w:sz="0" w:space="0" w:color="auto"/>
        <w:right w:val="none" w:sz="0" w:space="0" w:color="auto"/>
      </w:divBdr>
    </w:div>
    <w:div w:id="1426803884">
      <w:bodyDiv w:val="1"/>
      <w:marLeft w:val="0"/>
      <w:marRight w:val="0"/>
      <w:marTop w:val="0"/>
      <w:marBottom w:val="0"/>
      <w:divBdr>
        <w:top w:val="none" w:sz="0" w:space="0" w:color="auto"/>
        <w:left w:val="none" w:sz="0" w:space="0" w:color="auto"/>
        <w:bottom w:val="none" w:sz="0" w:space="0" w:color="auto"/>
        <w:right w:val="none" w:sz="0" w:space="0" w:color="auto"/>
      </w:divBdr>
    </w:div>
    <w:div w:id="1426804100">
      <w:bodyDiv w:val="1"/>
      <w:marLeft w:val="0"/>
      <w:marRight w:val="0"/>
      <w:marTop w:val="0"/>
      <w:marBottom w:val="0"/>
      <w:divBdr>
        <w:top w:val="none" w:sz="0" w:space="0" w:color="auto"/>
        <w:left w:val="none" w:sz="0" w:space="0" w:color="auto"/>
        <w:bottom w:val="none" w:sz="0" w:space="0" w:color="auto"/>
        <w:right w:val="none" w:sz="0" w:space="0" w:color="auto"/>
      </w:divBdr>
    </w:div>
    <w:div w:id="1426805446">
      <w:bodyDiv w:val="1"/>
      <w:marLeft w:val="0"/>
      <w:marRight w:val="0"/>
      <w:marTop w:val="0"/>
      <w:marBottom w:val="0"/>
      <w:divBdr>
        <w:top w:val="none" w:sz="0" w:space="0" w:color="auto"/>
        <w:left w:val="none" w:sz="0" w:space="0" w:color="auto"/>
        <w:bottom w:val="none" w:sz="0" w:space="0" w:color="auto"/>
        <w:right w:val="none" w:sz="0" w:space="0" w:color="auto"/>
      </w:divBdr>
    </w:div>
    <w:div w:id="1426926227">
      <w:bodyDiv w:val="1"/>
      <w:marLeft w:val="0"/>
      <w:marRight w:val="0"/>
      <w:marTop w:val="0"/>
      <w:marBottom w:val="0"/>
      <w:divBdr>
        <w:top w:val="none" w:sz="0" w:space="0" w:color="auto"/>
        <w:left w:val="none" w:sz="0" w:space="0" w:color="auto"/>
        <w:bottom w:val="none" w:sz="0" w:space="0" w:color="auto"/>
        <w:right w:val="none" w:sz="0" w:space="0" w:color="auto"/>
      </w:divBdr>
    </w:div>
    <w:div w:id="1426993115">
      <w:bodyDiv w:val="1"/>
      <w:marLeft w:val="0"/>
      <w:marRight w:val="0"/>
      <w:marTop w:val="0"/>
      <w:marBottom w:val="0"/>
      <w:divBdr>
        <w:top w:val="none" w:sz="0" w:space="0" w:color="auto"/>
        <w:left w:val="none" w:sz="0" w:space="0" w:color="auto"/>
        <w:bottom w:val="none" w:sz="0" w:space="0" w:color="auto"/>
        <w:right w:val="none" w:sz="0" w:space="0" w:color="auto"/>
      </w:divBdr>
    </w:div>
    <w:div w:id="1426994245">
      <w:bodyDiv w:val="1"/>
      <w:marLeft w:val="0"/>
      <w:marRight w:val="0"/>
      <w:marTop w:val="0"/>
      <w:marBottom w:val="0"/>
      <w:divBdr>
        <w:top w:val="none" w:sz="0" w:space="0" w:color="auto"/>
        <w:left w:val="none" w:sz="0" w:space="0" w:color="auto"/>
        <w:bottom w:val="none" w:sz="0" w:space="0" w:color="auto"/>
        <w:right w:val="none" w:sz="0" w:space="0" w:color="auto"/>
      </w:divBdr>
    </w:div>
    <w:div w:id="1427070124">
      <w:bodyDiv w:val="1"/>
      <w:marLeft w:val="0"/>
      <w:marRight w:val="0"/>
      <w:marTop w:val="0"/>
      <w:marBottom w:val="0"/>
      <w:divBdr>
        <w:top w:val="none" w:sz="0" w:space="0" w:color="auto"/>
        <w:left w:val="none" w:sz="0" w:space="0" w:color="auto"/>
        <w:bottom w:val="none" w:sz="0" w:space="0" w:color="auto"/>
        <w:right w:val="none" w:sz="0" w:space="0" w:color="auto"/>
      </w:divBdr>
    </w:div>
    <w:div w:id="1427143913">
      <w:bodyDiv w:val="1"/>
      <w:marLeft w:val="0"/>
      <w:marRight w:val="0"/>
      <w:marTop w:val="0"/>
      <w:marBottom w:val="0"/>
      <w:divBdr>
        <w:top w:val="none" w:sz="0" w:space="0" w:color="auto"/>
        <w:left w:val="none" w:sz="0" w:space="0" w:color="auto"/>
        <w:bottom w:val="none" w:sz="0" w:space="0" w:color="auto"/>
        <w:right w:val="none" w:sz="0" w:space="0" w:color="auto"/>
      </w:divBdr>
    </w:div>
    <w:div w:id="1427188737">
      <w:bodyDiv w:val="1"/>
      <w:marLeft w:val="0"/>
      <w:marRight w:val="0"/>
      <w:marTop w:val="0"/>
      <w:marBottom w:val="0"/>
      <w:divBdr>
        <w:top w:val="none" w:sz="0" w:space="0" w:color="auto"/>
        <w:left w:val="none" w:sz="0" w:space="0" w:color="auto"/>
        <w:bottom w:val="none" w:sz="0" w:space="0" w:color="auto"/>
        <w:right w:val="none" w:sz="0" w:space="0" w:color="auto"/>
      </w:divBdr>
    </w:div>
    <w:div w:id="1427262811">
      <w:bodyDiv w:val="1"/>
      <w:marLeft w:val="0"/>
      <w:marRight w:val="0"/>
      <w:marTop w:val="0"/>
      <w:marBottom w:val="0"/>
      <w:divBdr>
        <w:top w:val="none" w:sz="0" w:space="0" w:color="auto"/>
        <w:left w:val="none" w:sz="0" w:space="0" w:color="auto"/>
        <w:bottom w:val="none" w:sz="0" w:space="0" w:color="auto"/>
        <w:right w:val="none" w:sz="0" w:space="0" w:color="auto"/>
      </w:divBdr>
    </w:div>
    <w:div w:id="1427536743">
      <w:bodyDiv w:val="1"/>
      <w:marLeft w:val="0"/>
      <w:marRight w:val="0"/>
      <w:marTop w:val="0"/>
      <w:marBottom w:val="0"/>
      <w:divBdr>
        <w:top w:val="none" w:sz="0" w:space="0" w:color="auto"/>
        <w:left w:val="none" w:sz="0" w:space="0" w:color="auto"/>
        <w:bottom w:val="none" w:sz="0" w:space="0" w:color="auto"/>
        <w:right w:val="none" w:sz="0" w:space="0" w:color="auto"/>
      </w:divBdr>
    </w:div>
    <w:div w:id="1427724008">
      <w:bodyDiv w:val="1"/>
      <w:marLeft w:val="0"/>
      <w:marRight w:val="0"/>
      <w:marTop w:val="0"/>
      <w:marBottom w:val="0"/>
      <w:divBdr>
        <w:top w:val="none" w:sz="0" w:space="0" w:color="auto"/>
        <w:left w:val="none" w:sz="0" w:space="0" w:color="auto"/>
        <w:bottom w:val="none" w:sz="0" w:space="0" w:color="auto"/>
        <w:right w:val="none" w:sz="0" w:space="0" w:color="auto"/>
      </w:divBdr>
    </w:div>
    <w:div w:id="1427842560">
      <w:bodyDiv w:val="1"/>
      <w:marLeft w:val="0"/>
      <w:marRight w:val="0"/>
      <w:marTop w:val="0"/>
      <w:marBottom w:val="0"/>
      <w:divBdr>
        <w:top w:val="none" w:sz="0" w:space="0" w:color="auto"/>
        <w:left w:val="none" w:sz="0" w:space="0" w:color="auto"/>
        <w:bottom w:val="none" w:sz="0" w:space="0" w:color="auto"/>
        <w:right w:val="none" w:sz="0" w:space="0" w:color="auto"/>
      </w:divBdr>
    </w:div>
    <w:div w:id="1427992870">
      <w:bodyDiv w:val="1"/>
      <w:marLeft w:val="0"/>
      <w:marRight w:val="0"/>
      <w:marTop w:val="0"/>
      <w:marBottom w:val="0"/>
      <w:divBdr>
        <w:top w:val="none" w:sz="0" w:space="0" w:color="auto"/>
        <w:left w:val="none" w:sz="0" w:space="0" w:color="auto"/>
        <w:bottom w:val="none" w:sz="0" w:space="0" w:color="auto"/>
        <w:right w:val="none" w:sz="0" w:space="0" w:color="auto"/>
      </w:divBdr>
    </w:div>
    <w:div w:id="1428042376">
      <w:bodyDiv w:val="1"/>
      <w:marLeft w:val="0"/>
      <w:marRight w:val="0"/>
      <w:marTop w:val="0"/>
      <w:marBottom w:val="0"/>
      <w:divBdr>
        <w:top w:val="none" w:sz="0" w:space="0" w:color="auto"/>
        <w:left w:val="none" w:sz="0" w:space="0" w:color="auto"/>
        <w:bottom w:val="none" w:sz="0" w:space="0" w:color="auto"/>
        <w:right w:val="none" w:sz="0" w:space="0" w:color="auto"/>
      </w:divBdr>
    </w:div>
    <w:div w:id="1428043048">
      <w:bodyDiv w:val="1"/>
      <w:marLeft w:val="0"/>
      <w:marRight w:val="0"/>
      <w:marTop w:val="0"/>
      <w:marBottom w:val="0"/>
      <w:divBdr>
        <w:top w:val="none" w:sz="0" w:space="0" w:color="auto"/>
        <w:left w:val="none" w:sz="0" w:space="0" w:color="auto"/>
        <w:bottom w:val="none" w:sz="0" w:space="0" w:color="auto"/>
        <w:right w:val="none" w:sz="0" w:space="0" w:color="auto"/>
      </w:divBdr>
    </w:div>
    <w:div w:id="1428114895">
      <w:bodyDiv w:val="1"/>
      <w:marLeft w:val="0"/>
      <w:marRight w:val="0"/>
      <w:marTop w:val="0"/>
      <w:marBottom w:val="0"/>
      <w:divBdr>
        <w:top w:val="none" w:sz="0" w:space="0" w:color="auto"/>
        <w:left w:val="none" w:sz="0" w:space="0" w:color="auto"/>
        <w:bottom w:val="none" w:sz="0" w:space="0" w:color="auto"/>
        <w:right w:val="none" w:sz="0" w:space="0" w:color="auto"/>
      </w:divBdr>
    </w:div>
    <w:div w:id="1428118767">
      <w:bodyDiv w:val="1"/>
      <w:marLeft w:val="0"/>
      <w:marRight w:val="0"/>
      <w:marTop w:val="0"/>
      <w:marBottom w:val="0"/>
      <w:divBdr>
        <w:top w:val="none" w:sz="0" w:space="0" w:color="auto"/>
        <w:left w:val="none" w:sz="0" w:space="0" w:color="auto"/>
        <w:bottom w:val="none" w:sz="0" w:space="0" w:color="auto"/>
        <w:right w:val="none" w:sz="0" w:space="0" w:color="auto"/>
      </w:divBdr>
    </w:div>
    <w:div w:id="1428231390">
      <w:bodyDiv w:val="1"/>
      <w:marLeft w:val="0"/>
      <w:marRight w:val="0"/>
      <w:marTop w:val="0"/>
      <w:marBottom w:val="0"/>
      <w:divBdr>
        <w:top w:val="none" w:sz="0" w:space="0" w:color="auto"/>
        <w:left w:val="none" w:sz="0" w:space="0" w:color="auto"/>
        <w:bottom w:val="none" w:sz="0" w:space="0" w:color="auto"/>
        <w:right w:val="none" w:sz="0" w:space="0" w:color="auto"/>
      </w:divBdr>
    </w:div>
    <w:div w:id="1428235874">
      <w:bodyDiv w:val="1"/>
      <w:marLeft w:val="0"/>
      <w:marRight w:val="0"/>
      <w:marTop w:val="0"/>
      <w:marBottom w:val="0"/>
      <w:divBdr>
        <w:top w:val="none" w:sz="0" w:space="0" w:color="auto"/>
        <w:left w:val="none" w:sz="0" w:space="0" w:color="auto"/>
        <w:bottom w:val="none" w:sz="0" w:space="0" w:color="auto"/>
        <w:right w:val="none" w:sz="0" w:space="0" w:color="auto"/>
      </w:divBdr>
    </w:div>
    <w:div w:id="1428311945">
      <w:bodyDiv w:val="1"/>
      <w:marLeft w:val="0"/>
      <w:marRight w:val="0"/>
      <w:marTop w:val="0"/>
      <w:marBottom w:val="0"/>
      <w:divBdr>
        <w:top w:val="none" w:sz="0" w:space="0" w:color="auto"/>
        <w:left w:val="none" w:sz="0" w:space="0" w:color="auto"/>
        <w:bottom w:val="none" w:sz="0" w:space="0" w:color="auto"/>
        <w:right w:val="none" w:sz="0" w:space="0" w:color="auto"/>
      </w:divBdr>
    </w:div>
    <w:div w:id="1428424093">
      <w:bodyDiv w:val="1"/>
      <w:marLeft w:val="0"/>
      <w:marRight w:val="0"/>
      <w:marTop w:val="0"/>
      <w:marBottom w:val="0"/>
      <w:divBdr>
        <w:top w:val="none" w:sz="0" w:space="0" w:color="auto"/>
        <w:left w:val="none" w:sz="0" w:space="0" w:color="auto"/>
        <w:bottom w:val="none" w:sz="0" w:space="0" w:color="auto"/>
        <w:right w:val="none" w:sz="0" w:space="0" w:color="auto"/>
      </w:divBdr>
    </w:div>
    <w:div w:id="1428578019">
      <w:bodyDiv w:val="1"/>
      <w:marLeft w:val="0"/>
      <w:marRight w:val="0"/>
      <w:marTop w:val="0"/>
      <w:marBottom w:val="0"/>
      <w:divBdr>
        <w:top w:val="none" w:sz="0" w:space="0" w:color="auto"/>
        <w:left w:val="none" w:sz="0" w:space="0" w:color="auto"/>
        <w:bottom w:val="none" w:sz="0" w:space="0" w:color="auto"/>
        <w:right w:val="none" w:sz="0" w:space="0" w:color="auto"/>
      </w:divBdr>
    </w:div>
    <w:div w:id="1429079215">
      <w:bodyDiv w:val="1"/>
      <w:marLeft w:val="0"/>
      <w:marRight w:val="0"/>
      <w:marTop w:val="0"/>
      <w:marBottom w:val="0"/>
      <w:divBdr>
        <w:top w:val="none" w:sz="0" w:space="0" w:color="auto"/>
        <w:left w:val="none" w:sz="0" w:space="0" w:color="auto"/>
        <w:bottom w:val="none" w:sz="0" w:space="0" w:color="auto"/>
        <w:right w:val="none" w:sz="0" w:space="0" w:color="auto"/>
      </w:divBdr>
    </w:div>
    <w:div w:id="1429227740">
      <w:bodyDiv w:val="1"/>
      <w:marLeft w:val="0"/>
      <w:marRight w:val="0"/>
      <w:marTop w:val="0"/>
      <w:marBottom w:val="0"/>
      <w:divBdr>
        <w:top w:val="none" w:sz="0" w:space="0" w:color="auto"/>
        <w:left w:val="none" w:sz="0" w:space="0" w:color="auto"/>
        <w:bottom w:val="none" w:sz="0" w:space="0" w:color="auto"/>
        <w:right w:val="none" w:sz="0" w:space="0" w:color="auto"/>
      </w:divBdr>
    </w:div>
    <w:div w:id="1429234652">
      <w:bodyDiv w:val="1"/>
      <w:marLeft w:val="0"/>
      <w:marRight w:val="0"/>
      <w:marTop w:val="0"/>
      <w:marBottom w:val="0"/>
      <w:divBdr>
        <w:top w:val="none" w:sz="0" w:space="0" w:color="auto"/>
        <w:left w:val="none" w:sz="0" w:space="0" w:color="auto"/>
        <w:bottom w:val="none" w:sz="0" w:space="0" w:color="auto"/>
        <w:right w:val="none" w:sz="0" w:space="0" w:color="auto"/>
      </w:divBdr>
    </w:div>
    <w:div w:id="1429345951">
      <w:bodyDiv w:val="1"/>
      <w:marLeft w:val="0"/>
      <w:marRight w:val="0"/>
      <w:marTop w:val="0"/>
      <w:marBottom w:val="0"/>
      <w:divBdr>
        <w:top w:val="none" w:sz="0" w:space="0" w:color="auto"/>
        <w:left w:val="none" w:sz="0" w:space="0" w:color="auto"/>
        <w:bottom w:val="none" w:sz="0" w:space="0" w:color="auto"/>
        <w:right w:val="none" w:sz="0" w:space="0" w:color="auto"/>
      </w:divBdr>
    </w:div>
    <w:div w:id="1429472189">
      <w:bodyDiv w:val="1"/>
      <w:marLeft w:val="0"/>
      <w:marRight w:val="0"/>
      <w:marTop w:val="0"/>
      <w:marBottom w:val="0"/>
      <w:divBdr>
        <w:top w:val="none" w:sz="0" w:space="0" w:color="auto"/>
        <w:left w:val="none" w:sz="0" w:space="0" w:color="auto"/>
        <w:bottom w:val="none" w:sz="0" w:space="0" w:color="auto"/>
        <w:right w:val="none" w:sz="0" w:space="0" w:color="auto"/>
      </w:divBdr>
    </w:div>
    <w:div w:id="1429616601">
      <w:bodyDiv w:val="1"/>
      <w:marLeft w:val="0"/>
      <w:marRight w:val="0"/>
      <w:marTop w:val="0"/>
      <w:marBottom w:val="0"/>
      <w:divBdr>
        <w:top w:val="none" w:sz="0" w:space="0" w:color="auto"/>
        <w:left w:val="none" w:sz="0" w:space="0" w:color="auto"/>
        <w:bottom w:val="none" w:sz="0" w:space="0" w:color="auto"/>
        <w:right w:val="none" w:sz="0" w:space="0" w:color="auto"/>
      </w:divBdr>
    </w:div>
    <w:div w:id="1429690731">
      <w:bodyDiv w:val="1"/>
      <w:marLeft w:val="0"/>
      <w:marRight w:val="0"/>
      <w:marTop w:val="0"/>
      <w:marBottom w:val="0"/>
      <w:divBdr>
        <w:top w:val="none" w:sz="0" w:space="0" w:color="auto"/>
        <w:left w:val="none" w:sz="0" w:space="0" w:color="auto"/>
        <w:bottom w:val="none" w:sz="0" w:space="0" w:color="auto"/>
        <w:right w:val="none" w:sz="0" w:space="0" w:color="auto"/>
      </w:divBdr>
    </w:div>
    <w:div w:id="1429696821">
      <w:bodyDiv w:val="1"/>
      <w:marLeft w:val="0"/>
      <w:marRight w:val="0"/>
      <w:marTop w:val="0"/>
      <w:marBottom w:val="0"/>
      <w:divBdr>
        <w:top w:val="none" w:sz="0" w:space="0" w:color="auto"/>
        <w:left w:val="none" w:sz="0" w:space="0" w:color="auto"/>
        <w:bottom w:val="none" w:sz="0" w:space="0" w:color="auto"/>
        <w:right w:val="none" w:sz="0" w:space="0" w:color="auto"/>
      </w:divBdr>
    </w:div>
    <w:div w:id="1429930527">
      <w:bodyDiv w:val="1"/>
      <w:marLeft w:val="0"/>
      <w:marRight w:val="0"/>
      <w:marTop w:val="0"/>
      <w:marBottom w:val="0"/>
      <w:divBdr>
        <w:top w:val="none" w:sz="0" w:space="0" w:color="auto"/>
        <w:left w:val="none" w:sz="0" w:space="0" w:color="auto"/>
        <w:bottom w:val="none" w:sz="0" w:space="0" w:color="auto"/>
        <w:right w:val="none" w:sz="0" w:space="0" w:color="auto"/>
      </w:divBdr>
    </w:div>
    <w:div w:id="1430158301">
      <w:bodyDiv w:val="1"/>
      <w:marLeft w:val="0"/>
      <w:marRight w:val="0"/>
      <w:marTop w:val="0"/>
      <w:marBottom w:val="0"/>
      <w:divBdr>
        <w:top w:val="none" w:sz="0" w:space="0" w:color="auto"/>
        <w:left w:val="none" w:sz="0" w:space="0" w:color="auto"/>
        <w:bottom w:val="none" w:sz="0" w:space="0" w:color="auto"/>
        <w:right w:val="none" w:sz="0" w:space="0" w:color="auto"/>
      </w:divBdr>
    </w:div>
    <w:div w:id="1430347139">
      <w:bodyDiv w:val="1"/>
      <w:marLeft w:val="0"/>
      <w:marRight w:val="0"/>
      <w:marTop w:val="0"/>
      <w:marBottom w:val="0"/>
      <w:divBdr>
        <w:top w:val="none" w:sz="0" w:space="0" w:color="auto"/>
        <w:left w:val="none" w:sz="0" w:space="0" w:color="auto"/>
        <w:bottom w:val="none" w:sz="0" w:space="0" w:color="auto"/>
        <w:right w:val="none" w:sz="0" w:space="0" w:color="auto"/>
      </w:divBdr>
    </w:div>
    <w:div w:id="1430389950">
      <w:bodyDiv w:val="1"/>
      <w:marLeft w:val="0"/>
      <w:marRight w:val="0"/>
      <w:marTop w:val="0"/>
      <w:marBottom w:val="0"/>
      <w:divBdr>
        <w:top w:val="none" w:sz="0" w:space="0" w:color="auto"/>
        <w:left w:val="none" w:sz="0" w:space="0" w:color="auto"/>
        <w:bottom w:val="none" w:sz="0" w:space="0" w:color="auto"/>
        <w:right w:val="none" w:sz="0" w:space="0" w:color="auto"/>
      </w:divBdr>
    </w:div>
    <w:div w:id="1430462981">
      <w:bodyDiv w:val="1"/>
      <w:marLeft w:val="0"/>
      <w:marRight w:val="0"/>
      <w:marTop w:val="0"/>
      <w:marBottom w:val="0"/>
      <w:divBdr>
        <w:top w:val="none" w:sz="0" w:space="0" w:color="auto"/>
        <w:left w:val="none" w:sz="0" w:space="0" w:color="auto"/>
        <w:bottom w:val="none" w:sz="0" w:space="0" w:color="auto"/>
        <w:right w:val="none" w:sz="0" w:space="0" w:color="auto"/>
      </w:divBdr>
    </w:div>
    <w:div w:id="1430538764">
      <w:bodyDiv w:val="1"/>
      <w:marLeft w:val="0"/>
      <w:marRight w:val="0"/>
      <w:marTop w:val="0"/>
      <w:marBottom w:val="0"/>
      <w:divBdr>
        <w:top w:val="none" w:sz="0" w:space="0" w:color="auto"/>
        <w:left w:val="none" w:sz="0" w:space="0" w:color="auto"/>
        <w:bottom w:val="none" w:sz="0" w:space="0" w:color="auto"/>
        <w:right w:val="none" w:sz="0" w:space="0" w:color="auto"/>
      </w:divBdr>
    </w:div>
    <w:div w:id="1430614784">
      <w:bodyDiv w:val="1"/>
      <w:marLeft w:val="0"/>
      <w:marRight w:val="0"/>
      <w:marTop w:val="0"/>
      <w:marBottom w:val="0"/>
      <w:divBdr>
        <w:top w:val="none" w:sz="0" w:space="0" w:color="auto"/>
        <w:left w:val="none" w:sz="0" w:space="0" w:color="auto"/>
        <w:bottom w:val="none" w:sz="0" w:space="0" w:color="auto"/>
        <w:right w:val="none" w:sz="0" w:space="0" w:color="auto"/>
      </w:divBdr>
    </w:div>
    <w:div w:id="1430618101">
      <w:bodyDiv w:val="1"/>
      <w:marLeft w:val="0"/>
      <w:marRight w:val="0"/>
      <w:marTop w:val="0"/>
      <w:marBottom w:val="0"/>
      <w:divBdr>
        <w:top w:val="none" w:sz="0" w:space="0" w:color="auto"/>
        <w:left w:val="none" w:sz="0" w:space="0" w:color="auto"/>
        <w:bottom w:val="none" w:sz="0" w:space="0" w:color="auto"/>
        <w:right w:val="none" w:sz="0" w:space="0" w:color="auto"/>
      </w:divBdr>
    </w:div>
    <w:div w:id="1430656995">
      <w:bodyDiv w:val="1"/>
      <w:marLeft w:val="0"/>
      <w:marRight w:val="0"/>
      <w:marTop w:val="0"/>
      <w:marBottom w:val="0"/>
      <w:divBdr>
        <w:top w:val="none" w:sz="0" w:space="0" w:color="auto"/>
        <w:left w:val="none" w:sz="0" w:space="0" w:color="auto"/>
        <w:bottom w:val="none" w:sz="0" w:space="0" w:color="auto"/>
        <w:right w:val="none" w:sz="0" w:space="0" w:color="auto"/>
      </w:divBdr>
    </w:div>
    <w:div w:id="1430853112">
      <w:bodyDiv w:val="1"/>
      <w:marLeft w:val="0"/>
      <w:marRight w:val="0"/>
      <w:marTop w:val="0"/>
      <w:marBottom w:val="0"/>
      <w:divBdr>
        <w:top w:val="none" w:sz="0" w:space="0" w:color="auto"/>
        <w:left w:val="none" w:sz="0" w:space="0" w:color="auto"/>
        <w:bottom w:val="none" w:sz="0" w:space="0" w:color="auto"/>
        <w:right w:val="none" w:sz="0" w:space="0" w:color="auto"/>
      </w:divBdr>
    </w:div>
    <w:div w:id="1431193569">
      <w:bodyDiv w:val="1"/>
      <w:marLeft w:val="0"/>
      <w:marRight w:val="0"/>
      <w:marTop w:val="0"/>
      <w:marBottom w:val="0"/>
      <w:divBdr>
        <w:top w:val="none" w:sz="0" w:space="0" w:color="auto"/>
        <w:left w:val="none" w:sz="0" w:space="0" w:color="auto"/>
        <w:bottom w:val="none" w:sz="0" w:space="0" w:color="auto"/>
        <w:right w:val="none" w:sz="0" w:space="0" w:color="auto"/>
      </w:divBdr>
    </w:div>
    <w:div w:id="1431311940">
      <w:bodyDiv w:val="1"/>
      <w:marLeft w:val="0"/>
      <w:marRight w:val="0"/>
      <w:marTop w:val="0"/>
      <w:marBottom w:val="0"/>
      <w:divBdr>
        <w:top w:val="none" w:sz="0" w:space="0" w:color="auto"/>
        <w:left w:val="none" w:sz="0" w:space="0" w:color="auto"/>
        <w:bottom w:val="none" w:sz="0" w:space="0" w:color="auto"/>
        <w:right w:val="none" w:sz="0" w:space="0" w:color="auto"/>
      </w:divBdr>
    </w:div>
    <w:div w:id="1431462157">
      <w:bodyDiv w:val="1"/>
      <w:marLeft w:val="0"/>
      <w:marRight w:val="0"/>
      <w:marTop w:val="0"/>
      <w:marBottom w:val="0"/>
      <w:divBdr>
        <w:top w:val="none" w:sz="0" w:space="0" w:color="auto"/>
        <w:left w:val="none" w:sz="0" w:space="0" w:color="auto"/>
        <w:bottom w:val="none" w:sz="0" w:space="0" w:color="auto"/>
        <w:right w:val="none" w:sz="0" w:space="0" w:color="auto"/>
      </w:divBdr>
    </w:div>
    <w:div w:id="1431508592">
      <w:bodyDiv w:val="1"/>
      <w:marLeft w:val="0"/>
      <w:marRight w:val="0"/>
      <w:marTop w:val="0"/>
      <w:marBottom w:val="0"/>
      <w:divBdr>
        <w:top w:val="none" w:sz="0" w:space="0" w:color="auto"/>
        <w:left w:val="none" w:sz="0" w:space="0" w:color="auto"/>
        <w:bottom w:val="none" w:sz="0" w:space="0" w:color="auto"/>
        <w:right w:val="none" w:sz="0" w:space="0" w:color="auto"/>
      </w:divBdr>
    </w:div>
    <w:div w:id="1431588412">
      <w:bodyDiv w:val="1"/>
      <w:marLeft w:val="0"/>
      <w:marRight w:val="0"/>
      <w:marTop w:val="0"/>
      <w:marBottom w:val="0"/>
      <w:divBdr>
        <w:top w:val="none" w:sz="0" w:space="0" w:color="auto"/>
        <w:left w:val="none" w:sz="0" w:space="0" w:color="auto"/>
        <w:bottom w:val="none" w:sz="0" w:space="0" w:color="auto"/>
        <w:right w:val="none" w:sz="0" w:space="0" w:color="auto"/>
      </w:divBdr>
    </w:div>
    <w:div w:id="1431663359">
      <w:bodyDiv w:val="1"/>
      <w:marLeft w:val="0"/>
      <w:marRight w:val="0"/>
      <w:marTop w:val="0"/>
      <w:marBottom w:val="0"/>
      <w:divBdr>
        <w:top w:val="none" w:sz="0" w:space="0" w:color="auto"/>
        <w:left w:val="none" w:sz="0" w:space="0" w:color="auto"/>
        <w:bottom w:val="none" w:sz="0" w:space="0" w:color="auto"/>
        <w:right w:val="none" w:sz="0" w:space="0" w:color="auto"/>
      </w:divBdr>
    </w:div>
    <w:div w:id="1431706673">
      <w:bodyDiv w:val="1"/>
      <w:marLeft w:val="0"/>
      <w:marRight w:val="0"/>
      <w:marTop w:val="0"/>
      <w:marBottom w:val="0"/>
      <w:divBdr>
        <w:top w:val="none" w:sz="0" w:space="0" w:color="auto"/>
        <w:left w:val="none" w:sz="0" w:space="0" w:color="auto"/>
        <w:bottom w:val="none" w:sz="0" w:space="0" w:color="auto"/>
        <w:right w:val="none" w:sz="0" w:space="0" w:color="auto"/>
      </w:divBdr>
    </w:div>
    <w:div w:id="1431777253">
      <w:bodyDiv w:val="1"/>
      <w:marLeft w:val="0"/>
      <w:marRight w:val="0"/>
      <w:marTop w:val="0"/>
      <w:marBottom w:val="0"/>
      <w:divBdr>
        <w:top w:val="none" w:sz="0" w:space="0" w:color="auto"/>
        <w:left w:val="none" w:sz="0" w:space="0" w:color="auto"/>
        <w:bottom w:val="none" w:sz="0" w:space="0" w:color="auto"/>
        <w:right w:val="none" w:sz="0" w:space="0" w:color="auto"/>
      </w:divBdr>
    </w:div>
    <w:div w:id="1431968445">
      <w:bodyDiv w:val="1"/>
      <w:marLeft w:val="0"/>
      <w:marRight w:val="0"/>
      <w:marTop w:val="0"/>
      <w:marBottom w:val="0"/>
      <w:divBdr>
        <w:top w:val="none" w:sz="0" w:space="0" w:color="auto"/>
        <w:left w:val="none" w:sz="0" w:space="0" w:color="auto"/>
        <w:bottom w:val="none" w:sz="0" w:space="0" w:color="auto"/>
        <w:right w:val="none" w:sz="0" w:space="0" w:color="auto"/>
      </w:divBdr>
    </w:div>
    <w:div w:id="1432047981">
      <w:bodyDiv w:val="1"/>
      <w:marLeft w:val="0"/>
      <w:marRight w:val="0"/>
      <w:marTop w:val="0"/>
      <w:marBottom w:val="0"/>
      <w:divBdr>
        <w:top w:val="none" w:sz="0" w:space="0" w:color="auto"/>
        <w:left w:val="none" w:sz="0" w:space="0" w:color="auto"/>
        <w:bottom w:val="none" w:sz="0" w:space="0" w:color="auto"/>
        <w:right w:val="none" w:sz="0" w:space="0" w:color="auto"/>
      </w:divBdr>
    </w:div>
    <w:div w:id="1432237866">
      <w:bodyDiv w:val="1"/>
      <w:marLeft w:val="0"/>
      <w:marRight w:val="0"/>
      <w:marTop w:val="0"/>
      <w:marBottom w:val="0"/>
      <w:divBdr>
        <w:top w:val="none" w:sz="0" w:space="0" w:color="auto"/>
        <w:left w:val="none" w:sz="0" w:space="0" w:color="auto"/>
        <w:bottom w:val="none" w:sz="0" w:space="0" w:color="auto"/>
        <w:right w:val="none" w:sz="0" w:space="0" w:color="auto"/>
      </w:divBdr>
    </w:div>
    <w:div w:id="1432312509">
      <w:bodyDiv w:val="1"/>
      <w:marLeft w:val="0"/>
      <w:marRight w:val="0"/>
      <w:marTop w:val="0"/>
      <w:marBottom w:val="0"/>
      <w:divBdr>
        <w:top w:val="none" w:sz="0" w:space="0" w:color="auto"/>
        <w:left w:val="none" w:sz="0" w:space="0" w:color="auto"/>
        <w:bottom w:val="none" w:sz="0" w:space="0" w:color="auto"/>
        <w:right w:val="none" w:sz="0" w:space="0" w:color="auto"/>
      </w:divBdr>
    </w:div>
    <w:div w:id="1432356881">
      <w:bodyDiv w:val="1"/>
      <w:marLeft w:val="0"/>
      <w:marRight w:val="0"/>
      <w:marTop w:val="0"/>
      <w:marBottom w:val="0"/>
      <w:divBdr>
        <w:top w:val="none" w:sz="0" w:space="0" w:color="auto"/>
        <w:left w:val="none" w:sz="0" w:space="0" w:color="auto"/>
        <w:bottom w:val="none" w:sz="0" w:space="0" w:color="auto"/>
        <w:right w:val="none" w:sz="0" w:space="0" w:color="auto"/>
      </w:divBdr>
    </w:div>
    <w:div w:id="1432386731">
      <w:bodyDiv w:val="1"/>
      <w:marLeft w:val="0"/>
      <w:marRight w:val="0"/>
      <w:marTop w:val="0"/>
      <w:marBottom w:val="0"/>
      <w:divBdr>
        <w:top w:val="none" w:sz="0" w:space="0" w:color="auto"/>
        <w:left w:val="none" w:sz="0" w:space="0" w:color="auto"/>
        <w:bottom w:val="none" w:sz="0" w:space="0" w:color="auto"/>
        <w:right w:val="none" w:sz="0" w:space="0" w:color="auto"/>
      </w:divBdr>
    </w:div>
    <w:div w:id="1432432850">
      <w:bodyDiv w:val="1"/>
      <w:marLeft w:val="0"/>
      <w:marRight w:val="0"/>
      <w:marTop w:val="0"/>
      <w:marBottom w:val="0"/>
      <w:divBdr>
        <w:top w:val="none" w:sz="0" w:space="0" w:color="auto"/>
        <w:left w:val="none" w:sz="0" w:space="0" w:color="auto"/>
        <w:bottom w:val="none" w:sz="0" w:space="0" w:color="auto"/>
        <w:right w:val="none" w:sz="0" w:space="0" w:color="auto"/>
      </w:divBdr>
    </w:div>
    <w:div w:id="1432507025">
      <w:bodyDiv w:val="1"/>
      <w:marLeft w:val="0"/>
      <w:marRight w:val="0"/>
      <w:marTop w:val="0"/>
      <w:marBottom w:val="0"/>
      <w:divBdr>
        <w:top w:val="none" w:sz="0" w:space="0" w:color="auto"/>
        <w:left w:val="none" w:sz="0" w:space="0" w:color="auto"/>
        <w:bottom w:val="none" w:sz="0" w:space="0" w:color="auto"/>
        <w:right w:val="none" w:sz="0" w:space="0" w:color="auto"/>
      </w:divBdr>
    </w:div>
    <w:div w:id="1432629090">
      <w:bodyDiv w:val="1"/>
      <w:marLeft w:val="0"/>
      <w:marRight w:val="0"/>
      <w:marTop w:val="0"/>
      <w:marBottom w:val="0"/>
      <w:divBdr>
        <w:top w:val="none" w:sz="0" w:space="0" w:color="auto"/>
        <w:left w:val="none" w:sz="0" w:space="0" w:color="auto"/>
        <w:bottom w:val="none" w:sz="0" w:space="0" w:color="auto"/>
        <w:right w:val="none" w:sz="0" w:space="0" w:color="auto"/>
      </w:divBdr>
    </w:div>
    <w:div w:id="1432697212">
      <w:bodyDiv w:val="1"/>
      <w:marLeft w:val="0"/>
      <w:marRight w:val="0"/>
      <w:marTop w:val="0"/>
      <w:marBottom w:val="0"/>
      <w:divBdr>
        <w:top w:val="none" w:sz="0" w:space="0" w:color="auto"/>
        <w:left w:val="none" w:sz="0" w:space="0" w:color="auto"/>
        <w:bottom w:val="none" w:sz="0" w:space="0" w:color="auto"/>
        <w:right w:val="none" w:sz="0" w:space="0" w:color="auto"/>
      </w:divBdr>
    </w:div>
    <w:div w:id="1432704110">
      <w:bodyDiv w:val="1"/>
      <w:marLeft w:val="0"/>
      <w:marRight w:val="0"/>
      <w:marTop w:val="0"/>
      <w:marBottom w:val="0"/>
      <w:divBdr>
        <w:top w:val="none" w:sz="0" w:space="0" w:color="auto"/>
        <w:left w:val="none" w:sz="0" w:space="0" w:color="auto"/>
        <w:bottom w:val="none" w:sz="0" w:space="0" w:color="auto"/>
        <w:right w:val="none" w:sz="0" w:space="0" w:color="auto"/>
      </w:divBdr>
    </w:div>
    <w:div w:id="1432774551">
      <w:bodyDiv w:val="1"/>
      <w:marLeft w:val="0"/>
      <w:marRight w:val="0"/>
      <w:marTop w:val="0"/>
      <w:marBottom w:val="0"/>
      <w:divBdr>
        <w:top w:val="none" w:sz="0" w:space="0" w:color="auto"/>
        <w:left w:val="none" w:sz="0" w:space="0" w:color="auto"/>
        <w:bottom w:val="none" w:sz="0" w:space="0" w:color="auto"/>
        <w:right w:val="none" w:sz="0" w:space="0" w:color="auto"/>
      </w:divBdr>
    </w:div>
    <w:div w:id="1432894960">
      <w:bodyDiv w:val="1"/>
      <w:marLeft w:val="0"/>
      <w:marRight w:val="0"/>
      <w:marTop w:val="0"/>
      <w:marBottom w:val="0"/>
      <w:divBdr>
        <w:top w:val="none" w:sz="0" w:space="0" w:color="auto"/>
        <w:left w:val="none" w:sz="0" w:space="0" w:color="auto"/>
        <w:bottom w:val="none" w:sz="0" w:space="0" w:color="auto"/>
        <w:right w:val="none" w:sz="0" w:space="0" w:color="auto"/>
      </w:divBdr>
    </w:div>
    <w:div w:id="1432969583">
      <w:bodyDiv w:val="1"/>
      <w:marLeft w:val="0"/>
      <w:marRight w:val="0"/>
      <w:marTop w:val="0"/>
      <w:marBottom w:val="0"/>
      <w:divBdr>
        <w:top w:val="none" w:sz="0" w:space="0" w:color="auto"/>
        <w:left w:val="none" w:sz="0" w:space="0" w:color="auto"/>
        <w:bottom w:val="none" w:sz="0" w:space="0" w:color="auto"/>
        <w:right w:val="none" w:sz="0" w:space="0" w:color="auto"/>
      </w:divBdr>
    </w:div>
    <w:div w:id="1433010536">
      <w:bodyDiv w:val="1"/>
      <w:marLeft w:val="0"/>
      <w:marRight w:val="0"/>
      <w:marTop w:val="0"/>
      <w:marBottom w:val="0"/>
      <w:divBdr>
        <w:top w:val="none" w:sz="0" w:space="0" w:color="auto"/>
        <w:left w:val="none" w:sz="0" w:space="0" w:color="auto"/>
        <w:bottom w:val="none" w:sz="0" w:space="0" w:color="auto"/>
        <w:right w:val="none" w:sz="0" w:space="0" w:color="auto"/>
      </w:divBdr>
    </w:div>
    <w:div w:id="1433091673">
      <w:bodyDiv w:val="1"/>
      <w:marLeft w:val="0"/>
      <w:marRight w:val="0"/>
      <w:marTop w:val="0"/>
      <w:marBottom w:val="0"/>
      <w:divBdr>
        <w:top w:val="none" w:sz="0" w:space="0" w:color="auto"/>
        <w:left w:val="none" w:sz="0" w:space="0" w:color="auto"/>
        <w:bottom w:val="none" w:sz="0" w:space="0" w:color="auto"/>
        <w:right w:val="none" w:sz="0" w:space="0" w:color="auto"/>
      </w:divBdr>
    </w:div>
    <w:div w:id="1433353835">
      <w:bodyDiv w:val="1"/>
      <w:marLeft w:val="0"/>
      <w:marRight w:val="0"/>
      <w:marTop w:val="0"/>
      <w:marBottom w:val="0"/>
      <w:divBdr>
        <w:top w:val="none" w:sz="0" w:space="0" w:color="auto"/>
        <w:left w:val="none" w:sz="0" w:space="0" w:color="auto"/>
        <w:bottom w:val="none" w:sz="0" w:space="0" w:color="auto"/>
        <w:right w:val="none" w:sz="0" w:space="0" w:color="auto"/>
      </w:divBdr>
    </w:div>
    <w:div w:id="1433360406">
      <w:bodyDiv w:val="1"/>
      <w:marLeft w:val="0"/>
      <w:marRight w:val="0"/>
      <w:marTop w:val="0"/>
      <w:marBottom w:val="0"/>
      <w:divBdr>
        <w:top w:val="none" w:sz="0" w:space="0" w:color="auto"/>
        <w:left w:val="none" w:sz="0" w:space="0" w:color="auto"/>
        <w:bottom w:val="none" w:sz="0" w:space="0" w:color="auto"/>
        <w:right w:val="none" w:sz="0" w:space="0" w:color="auto"/>
      </w:divBdr>
    </w:div>
    <w:div w:id="1433474617">
      <w:bodyDiv w:val="1"/>
      <w:marLeft w:val="0"/>
      <w:marRight w:val="0"/>
      <w:marTop w:val="0"/>
      <w:marBottom w:val="0"/>
      <w:divBdr>
        <w:top w:val="none" w:sz="0" w:space="0" w:color="auto"/>
        <w:left w:val="none" w:sz="0" w:space="0" w:color="auto"/>
        <w:bottom w:val="none" w:sz="0" w:space="0" w:color="auto"/>
        <w:right w:val="none" w:sz="0" w:space="0" w:color="auto"/>
      </w:divBdr>
    </w:div>
    <w:div w:id="1433740714">
      <w:bodyDiv w:val="1"/>
      <w:marLeft w:val="0"/>
      <w:marRight w:val="0"/>
      <w:marTop w:val="0"/>
      <w:marBottom w:val="0"/>
      <w:divBdr>
        <w:top w:val="none" w:sz="0" w:space="0" w:color="auto"/>
        <w:left w:val="none" w:sz="0" w:space="0" w:color="auto"/>
        <w:bottom w:val="none" w:sz="0" w:space="0" w:color="auto"/>
        <w:right w:val="none" w:sz="0" w:space="0" w:color="auto"/>
      </w:divBdr>
    </w:div>
    <w:div w:id="1433819086">
      <w:bodyDiv w:val="1"/>
      <w:marLeft w:val="0"/>
      <w:marRight w:val="0"/>
      <w:marTop w:val="0"/>
      <w:marBottom w:val="0"/>
      <w:divBdr>
        <w:top w:val="none" w:sz="0" w:space="0" w:color="auto"/>
        <w:left w:val="none" w:sz="0" w:space="0" w:color="auto"/>
        <w:bottom w:val="none" w:sz="0" w:space="0" w:color="auto"/>
        <w:right w:val="none" w:sz="0" w:space="0" w:color="auto"/>
      </w:divBdr>
    </w:div>
    <w:div w:id="1434007731">
      <w:bodyDiv w:val="1"/>
      <w:marLeft w:val="0"/>
      <w:marRight w:val="0"/>
      <w:marTop w:val="0"/>
      <w:marBottom w:val="0"/>
      <w:divBdr>
        <w:top w:val="none" w:sz="0" w:space="0" w:color="auto"/>
        <w:left w:val="none" w:sz="0" w:space="0" w:color="auto"/>
        <w:bottom w:val="none" w:sz="0" w:space="0" w:color="auto"/>
        <w:right w:val="none" w:sz="0" w:space="0" w:color="auto"/>
      </w:divBdr>
    </w:div>
    <w:div w:id="1434010985">
      <w:bodyDiv w:val="1"/>
      <w:marLeft w:val="0"/>
      <w:marRight w:val="0"/>
      <w:marTop w:val="0"/>
      <w:marBottom w:val="0"/>
      <w:divBdr>
        <w:top w:val="none" w:sz="0" w:space="0" w:color="auto"/>
        <w:left w:val="none" w:sz="0" w:space="0" w:color="auto"/>
        <w:bottom w:val="none" w:sz="0" w:space="0" w:color="auto"/>
        <w:right w:val="none" w:sz="0" w:space="0" w:color="auto"/>
      </w:divBdr>
    </w:div>
    <w:div w:id="1434282578">
      <w:bodyDiv w:val="1"/>
      <w:marLeft w:val="0"/>
      <w:marRight w:val="0"/>
      <w:marTop w:val="0"/>
      <w:marBottom w:val="0"/>
      <w:divBdr>
        <w:top w:val="none" w:sz="0" w:space="0" w:color="auto"/>
        <w:left w:val="none" w:sz="0" w:space="0" w:color="auto"/>
        <w:bottom w:val="none" w:sz="0" w:space="0" w:color="auto"/>
        <w:right w:val="none" w:sz="0" w:space="0" w:color="auto"/>
      </w:divBdr>
    </w:div>
    <w:div w:id="1434396628">
      <w:bodyDiv w:val="1"/>
      <w:marLeft w:val="0"/>
      <w:marRight w:val="0"/>
      <w:marTop w:val="0"/>
      <w:marBottom w:val="0"/>
      <w:divBdr>
        <w:top w:val="none" w:sz="0" w:space="0" w:color="auto"/>
        <w:left w:val="none" w:sz="0" w:space="0" w:color="auto"/>
        <w:bottom w:val="none" w:sz="0" w:space="0" w:color="auto"/>
        <w:right w:val="none" w:sz="0" w:space="0" w:color="auto"/>
      </w:divBdr>
    </w:div>
    <w:div w:id="1434401784">
      <w:bodyDiv w:val="1"/>
      <w:marLeft w:val="0"/>
      <w:marRight w:val="0"/>
      <w:marTop w:val="0"/>
      <w:marBottom w:val="0"/>
      <w:divBdr>
        <w:top w:val="none" w:sz="0" w:space="0" w:color="auto"/>
        <w:left w:val="none" w:sz="0" w:space="0" w:color="auto"/>
        <w:bottom w:val="none" w:sz="0" w:space="0" w:color="auto"/>
        <w:right w:val="none" w:sz="0" w:space="0" w:color="auto"/>
      </w:divBdr>
    </w:div>
    <w:div w:id="1434545916">
      <w:bodyDiv w:val="1"/>
      <w:marLeft w:val="0"/>
      <w:marRight w:val="0"/>
      <w:marTop w:val="0"/>
      <w:marBottom w:val="0"/>
      <w:divBdr>
        <w:top w:val="none" w:sz="0" w:space="0" w:color="auto"/>
        <w:left w:val="none" w:sz="0" w:space="0" w:color="auto"/>
        <w:bottom w:val="none" w:sz="0" w:space="0" w:color="auto"/>
        <w:right w:val="none" w:sz="0" w:space="0" w:color="auto"/>
      </w:divBdr>
    </w:div>
    <w:div w:id="1434593888">
      <w:bodyDiv w:val="1"/>
      <w:marLeft w:val="0"/>
      <w:marRight w:val="0"/>
      <w:marTop w:val="0"/>
      <w:marBottom w:val="0"/>
      <w:divBdr>
        <w:top w:val="none" w:sz="0" w:space="0" w:color="auto"/>
        <w:left w:val="none" w:sz="0" w:space="0" w:color="auto"/>
        <w:bottom w:val="none" w:sz="0" w:space="0" w:color="auto"/>
        <w:right w:val="none" w:sz="0" w:space="0" w:color="auto"/>
      </w:divBdr>
    </w:div>
    <w:div w:id="1434666867">
      <w:bodyDiv w:val="1"/>
      <w:marLeft w:val="0"/>
      <w:marRight w:val="0"/>
      <w:marTop w:val="0"/>
      <w:marBottom w:val="0"/>
      <w:divBdr>
        <w:top w:val="none" w:sz="0" w:space="0" w:color="auto"/>
        <w:left w:val="none" w:sz="0" w:space="0" w:color="auto"/>
        <w:bottom w:val="none" w:sz="0" w:space="0" w:color="auto"/>
        <w:right w:val="none" w:sz="0" w:space="0" w:color="auto"/>
      </w:divBdr>
    </w:div>
    <w:div w:id="1434740331">
      <w:bodyDiv w:val="1"/>
      <w:marLeft w:val="0"/>
      <w:marRight w:val="0"/>
      <w:marTop w:val="0"/>
      <w:marBottom w:val="0"/>
      <w:divBdr>
        <w:top w:val="none" w:sz="0" w:space="0" w:color="auto"/>
        <w:left w:val="none" w:sz="0" w:space="0" w:color="auto"/>
        <w:bottom w:val="none" w:sz="0" w:space="0" w:color="auto"/>
        <w:right w:val="none" w:sz="0" w:space="0" w:color="auto"/>
      </w:divBdr>
    </w:div>
    <w:div w:id="1434856857">
      <w:bodyDiv w:val="1"/>
      <w:marLeft w:val="0"/>
      <w:marRight w:val="0"/>
      <w:marTop w:val="0"/>
      <w:marBottom w:val="0"/>
      <w:divBdr>
        <w:top w:val="none" w:sz="0" w:space="0" w:color="auto"/>
        <w:left w:val="none" w:sz="0" w:space="0" w:color="auto"/>
        <w:bottom w:val="none" w:sz="0" w:space="0" w:color="auto"/>
        <w:right w:val="none" w:sz="0" w:space="0" w:color="auto"/>
      </w:divBdr>
    </w:div>
    <w:div w:id="1434860752">
      <w:bodyDiv w:val="1"/>
      <w:marLeft w:val="0"/>
      <w:marRight w:val="0"/>
      <w:marTop w:val="0"/>
      <w:marBottom w:val="0"/>
      <w:divBdr>
        <w:top w:val="none" w:sz="0" w:space="0" w:color="auto"/>
        <w:left w:val="none" w:sz="0" w:space="0" w:color="auto"/>
        <w:bottom w:val="none" w:sz="0" w:space="0" w:color="auto"/>
        <w:right w:val="none" w:sz="0" w:space="0" w:color="auto"/>
      </w:divBdr>
    </w:div>
    <w:div w:id="1434864503">
      <w:bodyDiv w:val="1"/>
      <w:marLeft w:val="0"/>
      <w:marRight w:val="0"/>
      <w:marTop w:val="0"/>
      <w:marBottom w:val="0"/>
      <w:divBdr>
        <w:top w:val="none" w:sz="0" w:space="0" w:color="auto"/>
        <w:left w:val="none" w:sz="0" w:space="0" w:color="auto"/>
        <w:bottom w:val="none" w:sz="0" w:space="0" w:color="auto"/>
        <w:right w:val="none" w:sz="0" w:space="0" w:color="auto"/>
      </w:divBdr>
    </w:div>
    <w:div w:id="1434935938">
      <w:bodyDiv w:val="1"/>
      <w:marLeft w:val="0"/>
      <w:marRight w:val="0"/>
      <w:marTop w:val="0"/>
      <w:marBottom w:val="0"/>
      <w:divBdr>
        <w:top w:val="none" w:sz="0" w:space="0" w:color="auto"/>
        <w:left w:val="none" w:sz="0" w:space="0" w:color="auto"/>
        <w:bottom w:val="none" w:sz="0" w:space="0" w:color="auto"/>
        <w:right w:val="none" w:sz="0" w:space="0" w:color="auto"/>
      </w:divBdr>
    </w:div>
    <w:div w:id="1434938697">
      <w:bodyDiv w:val="1"/>
      <w:marLeft w:val="0"/>
      <w:marRight w:val="0"/>
      <w:marTop w:val="0"/>
      <w:marBottom w:val="0"/>
      <w:divBdr>
        <w:top w:val="none" w:sz="0" w:space="0" w:color="auto"/>
        <w:left w:val="none" w:sz="0" w:space="0" w:color="auto"/>
        <w:bottom w:val="none" w:sz="0" w:space="0" w:color="auto"/>
        <w:right w:val="none" w:sz="0" w:space="0" w:color="auto"/>
      </w:divBdr>
    </w:div>
    <w:div w:id="1435054368">
      <w:bodyDiv w:val="1"/>
      <w:marLeft w:val="0"/>
      <w:marRight w:val="0"/>
      <w:marTop w:val="0"/>
      <w:marBottom w:val="0"/>
      <w:divBdr>
        <w:top w:val="none" w:sz="0" w:space="0" w:color="auto"/>
        <w:left w:val="none" w:sz="0" w:space="0" w:color="auto"/>
        <w:bottom w:val="none" w:sz="0" w:space="0" w:color="auto"/>
        <w:right w:val="none" w:sz="0" w:space="0" w:color="auto"/>
      </w:divBdr>
    </w:div>
    <w:div w:id="1435126414">
      <w:bodyDiv w:val="1"/>
      <w:marLeft w:val="0"/>
      <w:marRight w:val="0"/>
      <w:marTop w:val="0"/>
      <w:marBottom w:val="0"/>
      <w:divBdr>
        <w:top w:val="none" w:sz="0" w:space="0" w:color="auto"/>
        <w:left w:val="none" w:sz="0" w:space="0" w:color="auto"/>
        <w:bottom w:val="none" w:sz="0" w:space="0" w:color="auto"/>
        <w:right w:val="none" w:sz="0" w:space="0" w:color="auto"/>
      </w:divBdr>
    </w:div>
    <w:div w:id="1435132442">
      <w:bodyDiv w:val="1"/>
      <w:marLeft w:val="0"/>
      <w:marRight w:val="0"/>
      <w:marTop w:val="0"/>
      <w:marBottom w:val="0"/>
      <w:divBdr>
        <w:top w:val="none" w:sz="0" w:space="0" w:color="auto"/>
        <w:left w:val="none" w:sz="0" w:space="0" w:color="auto"/>
        <w:bottom w:val="none" w:sz="0" w:space="0" w:color="auto"/>
        <w:right w:val="none" w:sz="0" w:space="0" w:color="auto"/>
      </w:divBdr>
    </w:div>
    <w:div w:id="1435174397">
      <w:bodyDiv w:val="1"/>
      <w:marLeft w:val="0"/>
      <w:marRight w:val="0"/>
      <w:marTop w:val="0"/>
      <w:marBottom w:val="0"/>
      <w:divBdr>
        <w:top w:val="none" w:sz="0" w:space="0" w:color="auto"/>
        <w:left w:val="none" w:sz="0" w:space="0" w:color="auto"/>
        <w:bottom w:val="none" w:sz="0" w:space="0" w:color="auto"/>
        <w:right w:val="none" w:sz="0" w:space="0" w:color="auto"/>
      </w:divBdr>
    </w:div>
    <w:div w:id="1435243279">
      <w:bodyDiv w:val="1"/>
      <w:marLeft w:val="0"/>
      <w:marRight w:val="0"/>
      <w:marTop w:val="0"/>
      <w:marBottom w:val="0"/>
      <w:divBdr>
        <w:top w:val="none" w:sz="0" w:space="0" w:color="auto"/>
        <w:left w:val="none" w:sz="0" w:space="0" w:color="auto"/>
        <w:bottom w:val="none" w:sz="0" w:space="0" w:color="auto"/>
        <w:right w:val="none" w:sz="0" w:space="0" w:color="auto"/>
      </w:divBdr>
    </w:div>
    <w:div w:id="1435400125">
      <w:bodyDiv w:val="1"/>
      <w:marLeft w:val="0"/>
      <w:marRight w:val="0"/>
      <w:marTop w:val="0"/>
      <w:marBottom w:val="0"/>
      <w:divBdr>
        <w:top w:val="none" w:sz="0" w:space="0" w:color="auto"/>
        <w:left w:val="none" w:sz="0" w:space="0" w:color="auto"/>
        <w:bottom w:val="none" w:sz="0" w:space="0" w:color="auto"/>
        <w:right w:val="none" w:sz="0" w:space="0" w:color="auto"/>
      </w:divBdr>
    </w:div>
    <w:div w:id="1435440746">
      <w:bodyDiv w:val="1"/>
      <w:marLeft w:val="0"/>
      <w:marRight w:val="0"/>
      <w:marTop w:val="0"/>
      <w:marBottom w:val="0"/>
      <w:divBdr>
        <w:top w:val="none" w:sz="0" w:space="0" w:color="auto"/>
        <w:left w:val="none" w:sz="0" w:space="0" w:color="auto"/>
        <w:bottom w:val="none" w:sz="0" w:space="0" w:color="auto"/>
        <w:right w:val="none" w:sz="0" w:space="0" w:color="auto"/>
      </w:divBdr>
    </w:div>
    <w:div w:id="1435706821">
      <w:bodyDiv w:val="1"/>
      <w:marLeft w:val="0"/>
      <w:marRight w:val="0"/>
      <w:marTop w:val="0"/>
      <w:marBottom w:val="0"/>
      <w:divBdr>
        <w:top w:val="none" w:sz="0" w:space="0" w:color="auto"/>
        <w:left w:val="none" w:sz="0" w:space="0" w:color="auto"/>
        <w:bottom w:val="none" w:sz="0" w:space="0" w:color="auto"/>
        <w:right w:val="none" w:sz="0" w:space="0" w:color="auto"/>
      </w:divBdr>
    </w:div>
    <w:div w:id="1435859239">
      <w:bodyDiv w:val="1"/>
      <w:marLeft w:val="0"/>
      <w:marRight w:val="0"/>
      <w:marTop w:val="0"/>
      <w:marBottom w:val="0"/>
      <w:divBdr>
        <w:top w:val="none" w:sz="0" w:space="0" w:color="auto"/>
        <w:left w:val="none" w:sz="0" w:space="0" w:color="auto"/>
        <w:bottom w:val="none" w:sz="0" w:space="0" w:color="auto"/>
        <w:right w:val="none" w:sz="0" w:space="0" w:color="auto"/>
      </w:divBdr>
    </w:div>
    <w:div w:id="1436092060">
      <w:bodyDiv w:val="1"/>
      <w:marLeft w:val="0"/>
      <w:marRight w:val="0"/>
      <w:marTop w:val="0"/>
      <w:marBottom w:val="0"/>
      <w:divBdr>
        <w:top w:val="none" w:sz="0" w:space="0" w:color="auto"/>
        <w:left w:val="none" w:sz="0" w:space="0" w:color="auto"/>
        <w:bottom w:val="none" w:sz="0" w:space="0" w:color="auto"/>
        <w:right w:val="none" w:sz="0" w:space="0" w:color="auto"/>
      </w:divBdr>
    </w:div>
    <w:div w:id="1436363715">
      <w:bodyDiv w:val="1"/>
      <w:marLeft w:val="0"/>
      <w:marRight w:val="0"/>
      <w:marTop w:val="0"/>
      <w:marBottom w:val="0"/>
      <w:divBdr>
        <w:top w:val="none" w:sz="0" w:space="0" w:color="auto"/>
        <w:left w:val="none" w:sz="0" w:space="0" w:color="auto"/>
        <w:bottom w:val="none" w:sz="0" w:space="0" w:color="auto"/>
        <w:right w:val="none" w:sz="0" w:space="0" w:color="auto"/>
      </w:divBdr>
    </w:div>
    <w:div w:id="1436443027">
      <w:bodyDiv w:val="1"/>
      <w:marLeft w:val="0"/>
      <w:marRight w:val="0"/>
      <w:marTop w:val="0"/>
      <w:marBottom w:val="0"/>
      <w:divBdr>
        <w:top w:val="none" w:sz="0" w:space="0" w:color="auto"/>
        <w:left w:val="none" w:sz="0" w:space="0" w:color="auto"/>
        <w:bottom w:val="none" w:sz="0" w:space="0" w:color="auto"/>
        <w:right w:val="none" w:sz="0" w:space="0" w:color="auto"/>
      </w:divBdr>
    </w:div>
    <w:div w:id="1436484671">
      <w:bodyDiv w:val="1"/>
      <w:marLeft w:val="0"/>
      <w:marRight w:val="0"/>
      <w:marTop w:val="0"/>
      <w:marBottom w:val="0"/>
      <w:divBdr>
        <w:top w:val="none" w:sz="0" w:space="0" w:color="auto"/>
        <w:left w:val="none" w:sz="0" w:space="0" w:color="auto"/>
        <w:bottom w:val="none" w:sz="0" w:space="0" w:color="auto"/>
        <w:right w:val="none" w:sz="0" w:space="0" w:color="auto"/>
      </w:divBdr>
    </w:div>
    <w:div w:id="1436514014">
      <w:bodyDiv w:val="1"/>
      <w:marLeft w:val="0"/>
      <w:marRight w:val="0"/>
      <w:marTop w:val="0"/>
      <w:marBottom w:val="0"/>
      <w:divBdr>
        <w:top w:val="none" w:sz="0" w:space="0" w:color="auto"/>
        <w:left w:val="none" w:sz="0" w:space="0" w:color="auto"/>
        <w:bottom w:val="none" w:sz="0" w:space="0" w:color="auto"/>
        <w:right w:val="none" w:sz="0" w:space="0" w:color="auto"/>
      </w:divBdr>
    </w:div>
    <w:div w:id="1436633871">
      <w:bodyDiv w:val="1"/>
      <w:marLeft w:val="0"/>
      <w:marRight w:val="0"/>
      <w:marTop w:val="0"/>
      <w:marBottom w:val="0"/>
      <w:divBdr>
        <w:top w:val="none" w:sz="0" w:space="0" w:color="auto"/>
        <w:left w:val="none" w:sz="0" w:space="0" w:color="auto"/>
        <w:bottom w:val="none" w:sz="0" w:space="0" w:color="auto"/>
        <w:right w:val="none" w:sz="0" w:space="0" w:color="auto"/>
      </w:divBdr>
    </w:div>
    <w:div w:id="1436748573">
      <w:bodyDiv w:val="1"/>
      <w:marLeft w:val="0"/>
      <w:marRight w:val="0"/>
      <w:marTop w:val="0"/>
      <w:marBottom w:val="0"/>
      <w:divBdr>
        <w:top w:val="none" w:sz="0" w:space="0" w:color="auto"/>
        <w:left w:val="none" w:sz="0" w:space="0" w:color="auto"/>
        <w:bottom w:val="none" w:sz="0" w:space="0" w:color="auto"/>
        <w:right w:val="none" w:sz="0" w:space="0" w:color="auto"/>
      </w:divBdr>
    </w:div>
    <w:div w:id="1436749057">
      <w:bodyDiv w:val="1"/>
      <w:marLeft w:val="0"/>
      <w:marRight w:val="0"/>
      <w:marTop w:val="0"/>
      <w:marBottom w:val="0"/>
      <w:divBdr>
        <w:top w:val="none" w:sz="0" w:space="0" w:color="auto"/>
        <w:left w:val="none" w:sz="0" w:space="0" w:color="auto"/>
        <w:bottom w:val="none" w:sz="0" w:space="0" w:color="auto"/>
        <w:right w:val="none" w:sz="0" w:space="0" w:color="auto"/>
      </w:divBdr>
    </w:div>
    <w:div w:id="1436943421">
      <w:bodyDiv w:val="1"/>
      <w:marLeft w:val="0"/>
      <w:marRight w:val="0"/>
      <w:marTop w:val="0"/>
      <w:marBottom w:val="0"/>
      <w:divBdr>
        <w:top w:val="none" w:sz="0" w:space="0" w:color="auto"/>
        <w:left w:val="none" w:sz="0" w:space="0" w:color="auto"/>
        <w:bottom w:val="none" w:sz="0" w:space="0" w:color="auto"/>
        <w:right w:val="none" w:sz="0" w:space="0" w:color="auto"/>
      </w:divBdr>
    </w:div>
    <w:div w:id="1437016023">
      <w:bodyDiv w:val="1"/>
      <w:marLeft w:val="0"/>
      <w:marRight w:val="0"/>
      <w:marTop w:val="0"/>
      <w:marBottom w:val="0"/>
      <w:divBdr>
        <w:top w:val="none" w:sz="0" w:space="0" w:color="auto"/>
        <w:left w:val="none" w:sz="0" w:space="0" w:color="auto"/>
        <w:bottom w:val="none" w:sz="0" w:space="0" w:color="auto"/>
        <w:right w:val="none" w:sz="0" w:space="0" w:color="auto"/>
      </w:divBdr>
    </w:div>
    <w:div w:id="1437212535">
      <w:bodyDiv w:val="1"/>
      <w:marLeft w:val="0"/>
      <w:marRight w:val="0"/>
      <w:marTop w:val="0"/>
      <w:marBottom w:val="0"/>
      <w:divBdr>
        <w:top w:val="none" w:sz="0" w:space="0" w:color="auto"/>
        <w:left w:val="none" w:sz="0" w:space="0" w:color="auto"/>
        <w:bottom w:val="none" w:sz="0" w:space="0" w:color="auto"/>
        <w:right w:val="none" w:sz="0" w:space="0" w:color="auto"/>
      </w:divBdr>
    </w:div>
    <w:div w:id="1437213574">
      <w:bodyDiv w:val="1"/>
      <w:marLeft w:val="0"/>
      <w:marRight w:val="0"/>
      <w:marTop w:val="0"/>
      <w:marBottom w:val="0"/>
      <w:divBdr>
        <w:top w:val="none" w:sz="0" w:space="0" w:color="auto"/>
        <w:left w:val="none" w:sz="0" w:space="0" w:color="auto"/>
        <w:bottom w:val="none" w:sz="0" w:space="0" w:color="auto"/>
        <w:right w:val="none" w:sz="0" w:space="0" w:color="auto"/>
      </w:divBdr>
    </w:div>
    <w:div w:id="1437213802">
      <w:bodyDiv w:val="1"/>
      <w:marLeft w:val="0"/>
      <w:marRight w:val="0"/>
      <w:marTop w:val="0"/>
      <w:marBottom w:val="0"/>
      <w:divBdr>
        <w:top w:val="none" w:sz="0" w:space="0" w:color="auto"/>
        <w:left w:val="none" w:sz="0" w:space="0" w:color="auto"/>
        <w:bottom w:val="none" w:sz="0" w:space="0" w:color="auto"/>
        <w:right w:val="none" w:sz="0" w:space="0" w:color="auto"/>
      </w:divBdr>
    </w:div>
    <w:div w:id="1437409763">
      <w:bodyDiv w:val="1"/>
      <w:marLeft w:val="0"/>
      <w:marRight w:val="0"/>
      <w:marTop w:val="0"/>
      <w:marBottom w:val="0"/>
      <w:divBdr>
        <w:top w:val="none" w:sz="0" w:space="0" w:color="auto"/>
        <w:left w:val="none" w:sz="0" w:space="0" w:color="auto"/>
        <w:bottom w:val="none" w:sz="0" w:space="0" w:color="auto"/>
        <w:right w:val="none" w:sz="0" w:space="0" w:color="auto"/>
      </w:divBdr>
    </w:div>
    <w:div w:id="1437678278">
      <w:bodyDiv w:val="1"/>
      <w:marLeft w:val="0"/>
      <w:marRight w:val="0"/>
      <w:marTop w:val="0"/>
      <w:marBottom w:val="0"/>
      <w:divBdr>
        <w:top w:val="none" w:sz="0" w:space="0" w:color="auto"/>
        <w:left w:val="none" w:sz="0" w:space="0" w:color="auto"/>
        <w:bottom w:val="none" w:sz="0" w:space="0" w:color="auto"/>
        <w:right w:val="none" w:sz="0" w:space="0" w:color="auto"/>
      </w:divBdr>
    </w:div>
    <w:div w:id="1437750873">
      <w:bodyDiv w:val="1"/>
      <w:marLeft w:val="0"/>
      <w:marRight w:val="0"/>
      <w:marTop w:val="0"/>
      <w:marBottom w:val="0"/>
      <w:divBdr>
        <w:top w:val="none" w:sz="0" w:space="0" w:color="auto"/>
        <w:left w:val="none" w:sz="0" w:space="0" w:color="auto"/>
        <w:bottom w:val="none" w:sz="0" w:space="0" w:color="auto"/>
        <w:right w:val="none" w:sz="0" w:space="0" w:color="auto"/>
      </w:divBdr>
    </w:div>
    <w:div w:id="1437754224">
      <w:bodyDiv w:val="1"/>
      <w:marLeft w:val="0"/>
      <w:marRight w:val="0"/>
      <w:marTop w:val="0"/>
      <w:marBottom w:val="0"/>
      <w:divBdr>
        <w:top w:val="none" w:sz="0" w:space="0" w:color="auto"/>
        <w:left w:val="none" w:sz="0" w:space="0" w:color="auto"/>
        <w:bottom w:val="none" w:sz="0" w:space="0" w:color="auto"/>
        <w:right w:val="none" w:sz="0" w:space="0" w:color="auto"/>
      </w:divBdr>
    </w:div>
    <w:div w:id="1437825379">
      <w:bodyDiv w:val="1"/>
      <w:marLeft w:val="0"/>
      <w:marRight w:val="0"/>
      <w:marTop w:val="0"/>
      <w:marBottom w:val="0"/>
      <w:divBdr>
        <w:top w:val="none" w:sz="0" w:space="0" w:color="auto"/>
        <w:left w:val="none" w:sz="0" w:space="0" w:color="auto"/>
        <w:bottom w:val="none" w:sz="0" w:space="0" w:color="auto"/>
        <w:right w:val="none" w:sz="0" w:space="0" w:color="auto"/>
      </w:divBdr>
    </w:div>
    <w:div w:id="1438210603">
      <w:bodyDiv w:val="1"/>
      <w:marLeft w:val="0"/>
      <w:marRight w:val="0"/>
      <w:marTop w:val="0"/>
      <w:marBottom w:val="0"/>
      <w:divBdr>
        <w:top w:val="none" w:sz="0" w:space="0" w:color="auto"/>
        <w:left w:val="none" w:sz="0" w:space="0" w:color="auto"/>
        <w:bottom w:val="none" w:sz="0" w:space="0" w:color="auto"/>
        <w:right w:val="none" w:sz="0" w:space="0" w:color="auto"/>
      </w:divBdr>
    </w:div>
    <w:div w:id="1438326190">
      <w:bodyDiv w:val="1"/>
      <w:marLeft w:val="0"/>
      <w:marRight w:val="0"/>
      <w:marTop w:val="0"/>
      <w:marBottom w:val="0"/>
      <w:divBdr>
        <w:top w:val="none" w:sz="0" w:space="0" w:color="auto"/>
        <w:left w:val="none" w:sz="0" w:space="0" w:color="auto"/>
        <w:bottom w:val="none" w:sz="0" w:space="0" w:color="auto"/>
        <w:right w:val="none" w:sz="0" w:space="0" w:color="auto"/>
      </w:divBdr>
    </w:div>
    <w:div w:id="1438330452">
      <w:bodyDiv w:val="1"/>
      <w:marLeft w:val="0"/>
      <w:marRight w:val="0"/>
      <w:marTop w:val="0"/>
      <w:marBottom w:val="0"/>
      <w:divBdr>
        <w:top w:val="none" w:sz="0" w:space="0" w:color="auto"/>
        <w:left w:val="none" w:sz="0" w:space="0" w:color="auto"/>
        <w:bottom w:val="none" w:sz="0" w:space="0" w:color="auto"/>
        <w:right w:val="none" w:sz="0" w:space="0" w:color="auto"/>
      </w:divBdr>
    </w:div>
    <w:div w:id="1438333679">
      <w:bodyDiv w:val="1"/>
      <w:marLeft w:val="0"/>
      <w:marRight w:val="0"/>
      <w:marTop w:val="0"/>
      <w:marBottom w:val="0"/>
      <w:divBdr>
        <w:top w:val="none" w:sz="0" w:space="0" w:color="auto"/>
        <w:left w:val="none" w:sz="0" w:space="0" w:color="auto"/>
        <w:bottom w:val="none" w:sz="0" w:space="0" w:color="auto"/>
        <w:right w:val="none" w:sz="0" w:space="0" w:color="auto"/>
      </w:divBdr>
    </w:div>
    <w:div w:id="1438408956">
      <w:bodyDiv w:val="1"/>
      <w:marLeft w:val="0"/>
      <w:marRight w:val="0"/>
      <w:marTop w:val="0"/>
      <w:marBottom w:val="0"/>
      <w:divBdr>
        <w:top w:val="none" w:sz="0" w:space="0" w:color="auto"/>
        <w:left w:val="none" w:sz="0" w:space="0" w:color="auto"/>
        <w:bottom w:val="none" w:sz="0" w:space="0" w:color="auto"/>
        <w:right w:val="none" w:sz="0" w:space="0" w:color="auto"/>
      </w:divBdr>
    </w:div>
    <w:div w:id="1438450356">
      <w:bodyDiv w:val="1"/>
      <w:marLeft w:val="0"/>
      <w:marRight w:val="0"/>
      <w:marTop w:val="0"/>
      <w:marBottom w:val="0"/>
      <w:divBdr>
        <w:top w:val="none" w:sz="0" w:space="0" w:color="auto"/>
        <w:left w:val="none" w:sz="0" w:space="0" w:color="auto"/>
        <w:bottom w:val="none" w:sz="0" w:space="0" w:color="auto"/>
        <w:right w:val="none" w:sz="0" w:space="0" w:color="auto"/>
      </w:divBdr>
    </w:div>
    <w:div w:id="1438940526">
      <w:bodyDiv w:val="1"/>
      <w:marLeft w:val="0"/>
      <w:marRight w:val="0"/>
      <w:marTop w:val="0"/>
      <w:marBottom w:val="0"/>
      <w:divBdr>
        <w:top w:val="none" w:sz="0" w:space="0" w:color="auto"/>
        <w:left w:val="none" w:sz="0" w:space="0" w:color="auto"/>
        <w:bottom w:val="none" w:sz="0" w:space="0" w:color="auto"/>
        <w:right w:val="none" w:sz="0" w:space="0" w:color="auto"/>
      </w:divBdr>
    </w:div>
    <w:div w:id="1438987140">
      <w:bodyDiv w:val="1"/>
      <w:marLeft w:val="0"/>
      <w:marRight w:val="0"/>
      <w:marTop w:val="0"/>
      <w:marBottom w:val="0"/>
      <w:divBdr>
        <w:top w:val="none" w:sz="0" w:space="0" w:color="auto"/>
        <w:left w:val="none" w:sz="0" w:space="0" w:color="auto"/>
        <w:bottom w:val="none" w:sz="0" w:space="0" w:color="auto"/>
        <w:right w:val="none" w:sz="0" w:space="0" w:color="auto"/>
      </w:divBdr>
    </w:div>
    <w:div w:id="1439132387">
      <w:bodyDiv w:val="1"/>
      <w:marLeft w:val="0"/>
      <w:marRight w:val="0"/>
      <w:marTop w:val="0"/>
      <w:marBottom w:val="0"/>
      <w:divBdr>
        <w:top w:val="none" w:sz="0" w:space="0" w:color="auto"/>
        <w:left w:val="none" w:sz="0" w:space="0" w:color="auto"/>
        <w:bottom w:val="none" w:sz="0" w:space="0" w:color="auto"/>
        <w:right w:val="none" w:sz="0" w:space="0" w:color="auto"/>
      </w:divBdr>
    </w:div>
    <w:div w:id="1439135699">
      <w:bodyDiv w:val="1"/>
      <w:marLeft w:val="0"/>
      <w:marRight w:val="0"/>
      <w:marTop w:val="0"/>
      <w:marBottom w:val="0"/>
      <w:divBdr>
        <w:top w:val="none" w:sz="0" w:space="0" w:color="auto"/>
        <w:left w:val="none" w:sz="0" w:space="0" w:color="auto"/>
        <w:bottom w:val="none" w:sz="0" w:space="0" w:color="auto"/>
        <w:right w:val="none" w:sz="0" w:space="0" w:color="auto"/>
      </w:divBdr>
    </w:div>
    <w:div w:id="1439252368">
      <w:bodyDiv w:val="1"/>
      <w:marLeft w:val="0"/>
      <w:marRight w:val="0"/>
      <w:marTop w:val="0"/>
      <w:marBottom w:val="0"/>
      <w:divBdr>
        <w:top w:val="none" w:sz="0" w:space="0" w:color="auto"/>
        <w:left w:val="none" w:sz="0" w:space="0" w:color="auto"/>
        <w:bottom w:val="none" w:sz="0" w:space="0" w:color="auto"/>
        <w:right w:val="none" w:sz="0" w:space="0" w:color="auto"/>
      </w:divBdr>
    </w:div>
    <w:div w:id="1439258338">
      <w:bodyDiv w:val="1"/>
      <w:marLeft w:val="0"/>
      <w:marRight w:val="0"/>
      <w:marTop w:val="0"/>
      <w:marBottom w:val="0"/>
      <w:divBdr>
        <w:top w:val="none" w:sz="0" w:space="0" w:color="auto"/>
        <w:left w:val="none" w:sz="0" w:space="0" w:color="auto"/>
        <w:bottom w:val="none" w:sz="0" w:space="0" w:color="auto"/>
        <w:right w:val="none" w:sz="0" w:space="0" w:color="auto"/>
      </w:divBdr>
    </w:div>
    <w:div w:id="1439520986">
      <w:bodyDiv w:val="1"/>
      <w:marLeft w:val="0"/>
      <w:marRight w:val="0"/>
      <w:marTop w:val="0"/>
      <w:marBottom w:val="0"/>
      <w:divBdr>
        <w:top w:val="none" w:sz="0" w:space="0" w:color="auto"/>
        <w:left w:val="none" w:sz="0" w:space="0" w:color="auto"/>
        <w:bottom w:val="none" w:sz="0" w:space="0" w:color="auto"/>
        <w:right w:val="none" w:sz="0" w:space="0" w:color="auto"/>
      </w:divBdr>
    </w:div>
    <w:div w:id="1439522080">
      <w:bodyDiv w:val="1"/>
      <w:marLeft w:val="0"/>
      <w:marRight w:val="0"/>
      <w:marTop w:val="0"/>
      <w:marBottom w:val="0"/>
      <w:divBdr>
        <w:top w:val="none" w:sz="0" w:space="0" w:color="auto"/>
        <w:left w:val="none" w:sz="0" w:space="0" w:color="auto"/>
        <w:bottom w:val="none" w:sz="0" w:space="0" w:color="auto"/>
        <w:right w:val="none" w:sz="0" w:space="0" w:color="auto"/>
      </w:divBdr>
    </w:div>
    <w:div w:id="1439595378">
      <w:bodyDiv w:val="1"/>
      <w:marLeft w:val="0"/>
      <w:marRight w:val="0"/>
      <w:marTop w:val="0"/>
      <w:marBottom w:val="0"/>
      <w:divBdr>
        <w:top w:val="none" w:sz="0" w:space="0" w:color="auto"/>
        <w:left w:val="none" w:sz="0" w:space="0" w:color="auto"/>
        <w:bottom w:val="none" w:sz="0" w:space="0" w:color="auto"/>
        <w:right w:val="none" w:sz="0" w:space="0" w:color="auto"/>
      </w:divBdr>
    </w:div>
    <w:div w:id="1439787484">
      <w:bodyDiv w:val="1"/>
      <w:marLeft w:val="0"/>
      <w:marRight w:val="0"/>
      <w:marTop w:val="0"/>
      <w:marBottom w:val="0"/>
      <w:divBdr>
        <w:top w:val="none" w:sz="0" w:space="0" w:color="auto"/>
        <w:left w:val="none" w:sz="0" w:space="0" w:color="auto"/>
        <w:bottom w:val="none" w:sz="0" w:space="0" w:color="auto"/>
        <w:right w:val="none" w:sz="0" w:space="0" w:color="auto"/>
      </w:divBdr>
    </w:div>
    <w:div w:id="1439837777">
      <w:bodyDiv w:val="1"/>
      <w:marLeft w:val="0"/>
      <w:marRight w:val="0"/>
      <w:marTop w:val="0"/>
      <w:marBottom w:val="0"/>
      <w:divBdr>
        <w:top w:val="none" w:sz="0" w:space="0" w:color="auto"/>
        <w:left w:val="none" w:sz="0" w:space="0" w:color="auto"/>
        <w:bottom w:val="none" w:sz="0" w:space="0" w:color="auto"/>
        <w:right w:val="none" w:sz="0" w:space="0" w:color="auto"/>
      </w:divBdr>
    </w:div>
    <w:div w:id="1439914588">
      <w:bodyDiv w:val="1"/>
      <w:marLeft w:val="0"/>
      <w:marRight w:val="0"/>
      <w:marTop w:val="0"/>
      <w:marBottom w:val="0"/>
      <w:divBdr>
        <w:top w:val="none" w:sz="0" w:space="0" w:color="auto"/>
        <w:left w:val="none" w:sz="0" w:space="0" w:color="auto"/>
        <w:bottom w:val="none" w:sz="0" w:space="0" w:color="auto"/>
        <w:right w:val="none" w:sz="0" w:space="0" w:color="auto"/>
      </w:divBdr>
    </w:div>
    <w:div w:id="1440028073">
      <w:bodyDiv w:val="1"/>
      <w:marLeft w:val="0"/>
      <w:marRight w:val="0"/>
      <w:marTop w:val="0"/>
      <w:marBottom w:val="0"/>
      <w:divBdr>
        <w:top w:val="none" w:sz="0" w:space="0" w:color="auto"/>
        <w:left w:val="none" w:sz="0" w:space="0" w:color="auto"/>
        <w:bottom w:val="none" w:sz="0" w:space="0" w:color="auto"/>
        <w:right w:val="none" w:sz="0" w:space="0" w:color="auto"/>
      </w:divBdr>
    </w:div>
    <w:div w:id="1440102988">
      <w:bodyDiv w:val="1"/>
      <w:marLeft w:val="0"/>
      <w:marRight w:val="0"/>
      <w:marTop w:val="0"/>
      <w:marBottom w:val="0"/>
      <w:divBdr>
        <w:top w:val="none" w:sz="0" w:space="0" w:color="auto"/>
        <w:left w:val="none" w:sz="0" w:space="0" w:color="auto"/>
        <w:bottom w:val="none" w:sz="0" w:space="0" w:color="auto"/>
        <w:right w:val="none" w:sz="0" w:space="0" w:color="auto"/>
      </w:divBdr>
    </w:div>
    <w:div w:id="1440295115">
      <w:bodyDiv w:val="1"/>
      <w:marLeft w:val="0"/>
      <w:marRight w:val="0"/>
      <w:marTop w:val="0"/>
      <w:marBottom w:val="0"/>
      <w:divBdr>
        <w:top w:val="none" w:sz="0" w:space="0" w:color="auto"/>
        <w:left w:val="none" w:sz="0" w:space="0" w:color="auto"/>
        <w:bottom w:val="none" w:sz="0" w:space="0" w:color="auto"/>
        <w:right w:val="none" w:sz="0" w:space="0" w:color="auto"/>
      </w:divBdr>
    </w:div>
    <w:div w:id="1440298613">
      <w:bodyDiv w:val="1"/>
      <w:marLeft w:val="0"/>
      <w:marRight w:val="0"/>
      <w:marTop w:val="0"/>
      <w:marBottom w:val="0"/>
      <w:divBdr>
        <w:top w:val="none" w:sz="0" w:space="0" w:color="auto"/>
        <w:left w:val="none" w:sz="0" w:space="0" w:color="auto"/>
        <w:bottom w:val="none" w:sz="0" w:space="0" w:color="auto"/>
        <w:right w:val="none" w:sz="0" w:space="0" w:color="auto"/>
      </w:divBdr>
    </w:div>
    <w:div w:id="1440492646">
      <w:bodyDiv w:val="1"/>
      <w:marLeft w:val="0"/>
      <w:marRight w:val="0"/>
      <w:marTop w:val="0"/>
      <w:marBottom w:val="0"/>
      <w:divBdr>
        <w:top w:val="none" w:sz="0" w:space="0" w:color="auto"/>
        <w:left w:val="none" w:sz="0" w:space="0" w:color="auto"/>
        <w:bottom w:val="none" w:sz="0" w:space="0" w:color="auto"/>
        <w:right w:val="none" w:sz="0" w:space="0" w:color="auto"/>
      </w:divBdr>
    </w:div>
    <w:div w:id="1440639867">
      <w:bodyDiv w:val="1"/>
      <w:marLeft w:val="0"/>
      <w:marRight w:val="0"/>
      <w:marTop w:val="0"/>
      <w:marBottom w:val="0"/>
      <w:divBdr>
        <w:top w:val="none" w:sz="0" w:space="0" w:color="auto"/>
        <w:left w:val="none" w:sz="0" w:space="0" w:color="auto"/>
        <w:bottom w:val="none" w:sz="0" w:space="0" w:color="auto"/>
        <w:right w:val="none" w:sz="0" w:space="0" w:color="auto"/>
      </w:divBdr>
    </w:div>
    <w:div w:id="1440679074">
      <w:bodyDiv w:val="1"/>
      <w:marLeft w:val="0"/>
      <w:marRight w:val="0"/>
      <w:marTop w:val="0"/>
      <w:marBottom w:val="0"/>
      <w:divBdr>
        <w:top w:val="none" w:sz="0" w:space="0" w:color="auto"/>
        <w:left w:val="none" w:sz="0" w:space="0" w:color="auto"/>
        <w:bottom w:val="none" w:sz="0" w:space="0" w:color="auto"/>
        <w:right w:val="none" w:sz="0" w:space="0" w:color="auto"/>
      </w:divBdr>
    </w:div>
    <w:div w:id="1440829437">
      <w:bodyDiv w:val="1"/>
      <w:marLeft w:val="0"/>
      <w:marRight w:val="0"/>
      <w:marTop w:val="0"/>
      <w:marBottom w:val="0"/>
      <w:divBdr>
        <w:top w:val="none" w:sz="0" w:space="0" w:color="auto"/>
        <w:left w:val="none" w:sz="0" w:space="0" w:color="auto"/>
        <w:bottom w:val="none" w:sz="0" w:space="0" w:color="auto"/>
        <w:right w:val="none" w:sz="0" w:space="0" w:color="auto"/>
      </w:divBdr>
    </w:div>
    <w:div w:id="1440876076">
      <w:bodyDiv w:val="1"/>
      <w:marLeft w:val="0"/>
      <w:marRight w:val="0"/>
      <w:marTop w:val="0"/>
      <w:marBottom w:val="0"/>
      <w:divBdr>
        <w:top w:val="none" w:sz="0" w:space="0" w:color="auto"/>
        <w:left w:val="none" w:sz="0" w:space="0" w:color="auto"/>
        <w:bottom w:val="none" w:sz="0" w:space="0" w:color="auto"/>
        <w:right w:val="none" w:sz="0" w:space="0" w:color="auto"/>
      </w:divBdr>
    </w:div>
    <w:div w:id="1441224297">
      <w:bodyDiv w:val="1"/>
      <w:marLeft w:val="0"/>
      <w:marRight w:val="0"/>
      <w:marTop w:val="0"/>
      <w:marBottom w:val="0"/>
      <w:divBdr>
        <w:top w:val="none" w:sz="0" w:space="0" w:color="auto"/>
        <w:left w:val="none" w:sz="0" w:space="0" w:color="auto"/>
        <w:bottom w:val="none" w:sz="0" w:space="0" w:color="auto"/>
        <w:right w:val="none" w:sz="0" w:space="0" w:color="auto"/>
      </w:divBdr>
    </w:div>
    <w:div w:id="1442188229">
      <w:bodyDiv w:val="1"/>
      <w:marLeft w:val="0"/>
      <w:marRight w:val="0"/>
      <w:marTop w:val="0"/>
      <w:marBottom w:val="0"/>
      <w:divBdr>
        <w:top w:val="none" w:sz="0" w:space="0" w:color="auto"/>
        <w:left w:val="none" w:sz="0" w:space="0" w:color="auto"/>
        <w:bottom w:val="none" w:sz="0" w:space="0" w:color="auto"/>
        <w:right w:val="none" w:sz="0" w:space="0" w:color="auto"/>
      </w:divBdr>
    </w:div>
    <w:div w:id="1442333140">
      <w:bodyDiv w:val="1"/>
      <w:marLeft w:val="0"/>
      <w:marRight w:val="0"/>
      <w:marTop w:val="0"/>
      <w:marBottom w:val="0"/>
      <w:divBdr>
        <w:top w:val="none" w:sz="0" w:space="0" w:color="auto"/>
        <w:left w:val="none" w:sz="0" w:space="0" w:color="auto"/>
        <w:bottom w:val="none" w:sz="0" w:space="0" w:color="auto"/>
        <w:right w:val="none" w:sz="0" w:space="0" w:color="auto"/>
      </w:divBdr>
    </w:div>
    <w:div w:id="1442413394">
      <w:bodyDiv w:val="1"/>
      <w:marLeft w:val="0"/>
      <w:marRight w:val="0"/>
      <w:marTop w:val="0"/>
      <w:marBottom w:val="0"/>
      <w:divBdr>
        <w:top w:val="none" w:sz="0" w:space="0" w:color="auto"/>
        <w:left w:val="none" w:sz="0" w:space="0" w:color="auto"/>
        <w:bottom w:val="none" w:sz="0" w:space="0" w:color="auto"/>
        <w:right w:val="none" w:sz="0" w:space="0" w:color="auto"/>
      </w:divBdr>
    </w:div>
    <w:div w:id="1442452125">
      <w:bodyDiv w:val="1"/>
      <w:marLeft w:val="0"/>
      <w:marRight w:val="0"/>
      <w:marTop w:val="0"/>
      <w:marBottom w:val="0"/>
      <w:divBdr>
        <w:top w:val="none" w:sz="0" w:space="0" w:color="auto"/>
        <w:left w:val="none" w:sz="0" w:space="0" w:color="auto"/>
        <w:bottom w:val="none" w:sz="0" w:space="0" w:color="auto"/>
        <w:right w:val="none" w:sz="0" w:space="0" w:color="auto"/>
      </w:divBdr>
    </w:div>
    <w:div w:id="1442996176">
      <w:bodyDiv w:val="1"/>
      <w:marLeft w:val="0"/>
      <w:marRight w:val="0"/>
      <w:marTop w:val="0"/>
      <w:marBottom w:val="0"/>
      <w:divBdr>
        <w:top w:val="none" w:sz="0" w:space="0" w:color="auto"/>
        <w:left w:val="none" w:sz="0" w:space="0" w:color="auto"/>
        <w:bottom w:val="none" w:sz="0" w:space="0" w:color="auto"/>
        <w:right w:val="none" w:sz="0" w:space="0" w:color="auto"/>
      </w:divBdr>
    </w:div>
    <w:div w:id="1443115376">
      <w:bodyDiv w:val="1"/>
      <w:marLeft w:val="0"/>
      <w:marRight w:val="0"/>
      <w:marTop w:val="0"/>
      <w:marBottom w:val="0"/>
      <w:divBdr>
        <w:top w:val="none" w:sz="0" w:space="0" w:color="auto"/>
        <w:left w:val="none" w:sz="0" w:space="0" w:color="auto"/>
        <w:bottom w:val="none" w:sz="0" w:space="0" w:color="auto"/>
        <w:right w:val="none" w:sz="0" w:space="0" w:color="auto"/>
      </w:divBdr>
    </w:div>
    <w:div w:id="1443184430">
      <w:bodyDiv w:val="1"/>
      <w:marLeft w:val="0"/>
      <w:marRight w:val="0"/>
      <w:marTop w:val="0"/>
      <w:marBottom w:val="0"/>
      <w:divBdr>
        <w:top w:val="none" w:sz="0" w:space="0" w:color="auto"/>
        <w:left w:val="none" w:sz="0" w:space="0" w:color="auto"/>
        <w:bottom w:val="none" w:sz="0" w:space="0" w:color="auto"/>
        <w:right w:val="none" w:sz="0" w:space="0" w:color="auto"/>
      </w:divBdr>
    </w:div>
    <w:div w:id="1443300476">
      <w:bodyDiv w:val="1"/>
      <w:marLeft w:val="0"/>
      <w:marRight w:val="0"/>
      <w:marTop w:val="0"/>
      <w:marBottom w:val="0"/>
      <w:divBdr>
        <w:top w:val="none" w:sz="0" w:space="0" w:color="auto"/>
        <w:left w:val="none" w:sz="0" w:space="0" w:color="auto"/>
        <w:bottom w:val="none" w:sz="0" w:space="0" w:color="auto"/>
        <w:right w:val="none" w:sz="0" w:space="0" w:color="auto"/>
      </w:divBdr>
    </w:div>
    <w:div w:id="1443300743">
      <w:bodyDiv w:val="1"/>
      <w:marLeft w:val="0"/>
      <w:marRight w:val="0"/>
      <w:marTop w:val="0"/>
      <w:marBottom w:val="0"/>
      <w:divBdr>
        <w:top w:val="none" w:sz="0" w:space="0" w:color="auto"/>
        <w:left w:val="none" w:sz="0" w:space="0" w:color="auto"/>
        <w:bottom w:val="none" w:sz="0" w:space="0" w:color="auto"/>
        <w:right w:val="none" w:sz="0" w:space="0" w:color="auto"/>
      </w:divBdr>
    </w:div>
    <w:div w:id="1443451295">
      <w:bodyDiv w:val="1"/>
      <w:marLeft w:val="0"/>
      <w:marRight w:val="0"/>
      <w:marTop w:val="0"/>
      <w:marBottom w:val="0"/>
      <w:divBdr>
        <w:top w:val="none" w:sz="0" w:space="0" w:color="auto"/>
        <w:left w:val="none" w:sz="0" w:space="0" w:color="auto"/>
        <w:bottom w:val="none" w:sz="0" w:space="0" w:color="auto"/>
        <w:right w:val="none" w:sz="0" w:space="0" w:color="auto"/>
      </w:divBdr>
    </w:div>
    <w:div w:id="1443576812">
      <w:bodyDiv w:val="1"/>
      <w:marLeft w:val="0"/>
      <w:marRight w:val="0"/>
      <w:marTop w:val="0"/>
      <w:marBottom w:val="0"/>
      <w:divBdr>
        <w:top w:val="none" w:sz="0" w:space="0" w:color="auto"/>
        <w:left w:val="none" w:sz="0" w:space="0" w:color="auto"/>
        <w:bottom w:val="none" w:sz="0" w:space="0" w:color="auto"/>
        <w:right w:val="none" w:sz="0" w:space="0" w:color="auto"/>
      </w:divBdr>
    </w:div>
    <w:div w:id="1443650260">
      <w:bodyDiv w:val="1"/>
      <w:marLeft w:val="0"/>
      <w:marRight w:val="0"/>
      <w:marTop w:val="0"/>
      <w:marBottom w:val="0"/>
      <w:divBdr>
        <w:top w:val="none" w:sz="0" w:space="0" w:color="auto"/>
        <w:left w:val="none" w:sz="0" w:space="0" w:color="auto"/>
        <w:bottom w:val="none" w:sz="0" w:space="0" w:color="auto"/>
        <w:right w:val="none" w:sz="0" w:space="0" w:color="auto"/>
      </w:divBdr>
    </w:div>
    <w:div w:id="1443720364">
      <w:bodyDiv w:val="1"/>
      <w:marLeft w:val="0"/>
      <w:marRight w:val="0"/>
      <w:marTop w:val="0"/>
      <w:marBottom w:val="0"/>
      <w:divBdr>
        <w:top w:val="none" w:sz="0" w:space="0" w:color="auto"/>
        <w:left w:val="none" w:sz="0" w:space="0" w:color="auto"/>
        <w:bottom w:val="none" w:sz="0" w:space="0" w:color="auto"/>
        <w:right w:val="none" w:sz="0" w:space="0" w:color="auto"/>
      </w:divBdr>
    </w:div>
    <w:div w:id="1443721145">
      <w:bodyDiv w:val="1"/>
      <w:marLeft w:val="0"/>
      <w:marRight w:val="0"/>
      <w:marTop w:val="0"/>
      <w:marBottom w:val="0"/>
      <w:divBdr>
        <w:top w:val="none" w:sz="0" w:space="0" w:color="auto"/>
        <w:left w:val="none" w:sz="0" w:space="0" w:color="auto"/>
        <w:bottom w:val="none" w:sz="0" w:space="0" w:color="auto"/>
        <w:right w:val="none" w:sz="0" w:space="0" w:color="auto"/>
      </w:divBdr>
    </w:div>
    <w:div w:id="1443920335">
      <w:bodyDiv w:val="1"/>
      <w:marLeft w:val="0"/>
      <w:marRight w:val="0"/>
      <w:marTop w:val="0"/>
      <w:marBottom w:val="0"/>
      <w:divBdr>
        <w:top w:val="none" w:sz="0" w:space="0" w:color="auto"/>
        <w:left w:val="none" w:sz="0" w:space="0" w:color="auto"/>
        <w:bottom w:val="none" w:sz="0" w:space="0" w:color="auto"/>
        <w:right w:val="none" w:sz="0" w:space="0" w:color="auto"/>
      </w:divBdr>
    </w:div>
    <w:div w:id="1444380048">
      <w:bodyDiv w:val="1"/>
      <w:marLeft w:val="0"/>
      <w:marRight w:val="0"/>
      <w:marTop w:val="0"/>
      <w:marBottom w:val="0"/>
      <w:divBdr>
        <w:top w:val="none" w:sz="0" w:space="0" w:color="auto"/>
        <w:left w:val="none" w:sz="0" w:space="0" w:color="auto"/>
        <w:bottom w:val="none" w:sz="0" w:space="0" w:color="auto"/>
        <w:right w:val="none" w:sz="0" w:space="0" w:color="auto"/>
      </w:divBdr>
    </w:div>
    <w:div w:id="1444612028">
      <w:bodyDiv w:val="1"/>
      <w:marLeft w:val="0"/>
      <w:marRight w:val="0"/>
      <w:marTop w:val="0"/>
      <w:marBottom w:val="0"/>
      <w:divBdr>
        <w:top w:val="none" w:sz="0" w:space="0" w:color="auto"/>
        <w:left w:val="none" w:sz="0" w:space="0" w:color="auto"/>
        <w:bottom w:val="none" w:sz="0" w:space="0" w:color="auto"/>
        <w:right w:val="none" w:sz="0" w:space="0" w:color="auto"/>
      </w:divBdr>
    </w:div>
    <w:div w:id="1444616019">
      <w:bodyDiv w:val="1"/>
      <w:marLeft w:val="0"/>
      <w:marRight w:val="0"/>
      <w:marTop w:val="0"/>
      <w:marBottom w:val="0"/>
      <w:divBdr>
        <w:top w:val="none" w:sz="0" w:space="0" w:color="auto"/>
        <w:left w:val="none" w:sz="0" w:space="0" w:color="auto"/>
        <w:bottom w:val="none" w:sz="0" w:space="0" w:color="auto"/>
        <w:right w:val="none" w:sz="0" w:space="0" w:color="auto"/>
      </w:divBdr>
    </w:div>
    <w:div w:id="1444767779">
      <w:bodyDiv w:val="1"/>
      <w:marLeft w:val="0"/>
      <w:marRight w:val="0"/>
      <w:marTop w:val="0"/>
      <w:marBottom w:val="0"/>
      <w:divBdr>
        <w:top w:val="none" w:sz="0" w:space="0" w:color="auto"/>
        <w:left w:val="none" w:sz="0" w:space="0" w:color="auto"/>
        <w:bottom w:val="none" w:sz="0" w:space="0" w:color="auto"/>
        <w:right w:val="none" w:sz="0" w:space="0" w:color="auto"/>
      </w:divBdr>
    </w:div>
    <w:div w:id="1444957333">
      <w:bodyDiv w:val="1"/>
      <w:marLeft w:val="0"/>
      <w:marRight w:val="0"/>
      <w:marTop w:val="0"/>
      <w:marBottom w:val="0"/>
      <w:divBdr>
        <w:top w:val="none" w:sz="0" w:space="0" w:color="auto"/>
        <w:left w:val="none" w:sz="0" w:space="0" w:color="auto"/>
        <w:bottom w:val="none" w:sz="0" w:space="0" w:color="auto"/>
        <w:right w:val="none" w:sz="0" w:space="0" w:color="auto"/>
      </w:divBdr>
    </w:div>
    <w:div w:id="1445075957">
      <w:bodyDiv w:val="1"/>
      <w:marLeft w:val="0"/>
      <w:marRight w:val="0"/>
      <w:marTop w:val="0"/>
      <w:marBottom w:val="0"/>
      <w:divBdr>
        <w:top w:val="none" w:sz="0" w:space="0" w:color="auto"/>
        <w:left w:val="none" w:sz="0" w:space="0" w:color="auto"/>
        <w:bottom w:val="none" w:sz="0" w:space="0" w:color="auto"/>
        <w:right w:val="none" w:sz="0" w:space="0" w:color="auto"/>
      </w:divBdr>
    </w:div>
    <w:div w:id="1445078419">
      <w:bodyDiv w:val="1"/>
      <w:marLeft w:val="0"/>
      <w:marRight w:val="0"/>
      <w:marTop w:val="0"/>
      <w:marBottom w:val="0"/>
      <w:divBdr>
        <w:top w:val="none" w:sz="0" w:space="0" w:color="auto"/>
        <w:left w:val="none" w:sz="0" w:space="0" w:color="auto"/>
        <w:bottom w:val="none" w:sz="0" w:space="0" w:color="auto"/>
        <w:right w:val="none" w:sz="0" w:space="0" w:color="auto"/>
      </w:divBdr>
    </w:div>
    <w:div w:id="1445610035">
      <w:bodyDiv w:val="1"/>
      <w:marLeft w:val="0"/>
      <w:marRight w:val="0"/>
      <w:marTop w:val="0"/>
      <w:marBottom w:val="0"/>
      <w:divBdr>
        <w:top w:val="none" w:sz="0" w:space="0" w:color="auto"/>
        <w:left w:val="none" w:sz="0" w:space="0" w:color="auto"/>
        <w:bottom w:val="none" w:sz="0" w:space="0" w:color="auto"/>
        <w:right w:val="none" w:sz="0" w:space="0" w:color="auto"/>
      </w:divBdr>
    </w:div>
    <w:div w:id="1445886426">
      <w:bodyDiv w:val="1"/>
      <w:marLeft w:val="0"/>
      <w:marRight w:val="0"/>
      <w:marTop w:val="0"/>
      <w:marBottom w:val="0"/>
      <w:divBdr>
        <w:top w:val="none" w:sz="0" w:space="0" w:color="auto"/>
        <w:left w:val="none" w:sz="0" w:space="0" w:color="auto"/>
        <w:bottom w:val="none" w:sz="0" w:space="0" w:color="auto"/>
        <w:right w:val="none" w:sz="0" w:space="0" w:color="auto"/>
      </w:divBdr>
    </w:div>
    <w:div w:id="1445924289">
      <w:bodyDiv w:val="1"/>
      <w:marLeft w:val="0"/>
      <w:marRight w:val="0"/>
      <w:marTop w:val="0"/>
      <w:marBottom w:val="0"/>
      <w:divBdr>
        <w:top w:val="none" w:sz="0" w:space="0" w:color="auto"/>
        <w:left w:val="none" w:sz="0" w:space="0" w:color="auto"/>
        <w:bottom w:val="none" w:sz="0" w:space="0" w:color="auto"/>
        <w:right w:val="none" w:sz="0" w:space="0" w:color="auto"/>
      </w:divBdr>
    </w:div>
    <w:div w:id="1446465420">
      <w:bodyDiv w:val="1"/>
      <w:marLeft w:val="0"/>
      <w:marRight w:val="0"/>
      <w:marTop w:val="0"/>
      <w:marBottom w:val="0"/>
      <w:divBdr>
        <w:top w:val="none" w:sz="0" w:space="0" w:color="auto"/>
        <w:left w:val="none" w:sz="0" w:space="0" w:color="auto"/>
        <w:bottom w:val="none" w:sz="0" w:space="0" w:color="auto"/>
        <w:right w:val="none" w:sz="0" w:space="0" w:color="auto"/>
      </w:divBdr>
    </w:div>
    <w:div w:id="1446579386">
      <w:bodyDiv w:val="1"/>
      <w:marLeft w:val="0"/>
      <w:marRight w:val="0"/>
      <w:marTop w:val="0"/>
      <w:marBottom w:val="0"/>
      <w:divBdr>
        <w:top w:val="none" w:sz="0" w:space="0" w:color="auto"/>
        <w:left w:val="none" w:sz="0" w:space="0" w:color="auto"/>
        <w:bottom w:val="none" w:sz="0" w:space="0" w:color="auto"/>
        <w:right w:val="none" w:sz="0" w:space="0" w:color="auto"/>
      </w:divBdr>
    </w:div>
    <w:div w:id="1446652675">
      <w:bodyDiv w:val="1"/>
      <w:marLeft w:val="0"/>
      <w:marRight w:val="0"/>
      <w:marTop w:val="0"/>
      <w:marBottom w:val="0"/>
      <w:divBdr>
        <w:top w:val="none" w:sz="0" w:space="0" w:color="auto"/>
        <w:left w:val="none" w:sz="0" w:space="0" w:color="auto"/>
        <w:bottom w:val="none" w:sz="0" w:space="0" w:color="auto"/>
        <w:right w:val="none" w:sz="0" w:space="0" w:color="auto"/>
      </w:divBdr>
    </w:div>
    <w:div w:id="1446655250">
      <w:bodyDiv w:val="1"/>
      <w:marLeft w:val="0"/>
      <w:marRight w:val="0"/>
      <w:marTop w:val="0"/>
      <w:marBottom w:val="0"/>
      <w:divBdr>
        <w:top w:val="none" w:sz="0" w:space="0" w:color="auto"/>
        <w:left w:val="none" w:sz="0" w:space="0" w:color="auto"/>
        <w:bottom w:val="none" w:sz="0" w:space="0" w:color="auto"/>
        <w:right w:val="none" w:sz="0" w:space="0" w:color="auto"/>
      </w:divBdr>
    </w:div>
    <w:div w:id="1446735126">
      <w:bodyDiv w:val="1"/>
      <w:marLeft w:val="0"/>
      <w:marRight w:val="0"/>
      <w:marTop w:val="0"/>
      <w:marBottom w:val="0"/>
      <w:divBdr>
        <w:top w:val="none" w:sz="0" w:space="0" w:color="auto"/>
        <w:left w:val="none" w:sz="0" w:space="0" w:color="auto"/>
        <w:bottom w:val="none" w:sz="0" w:space="0" w:color="auto"/>
        <w:right w:val="none" w:sz="0" w:space="0" w:color="auto"/>
      </w:divBdr>
    </w:div>
    <w:div w:id="1446850988">
      <w:bodyDiv w:val="1"/>
      <w:marLeft w:val="0"/>
      <w:marRight w:val="0"/>
      <w:marTop w:val="0"/>
      <w:marBottom w:val="0"/>
      <w:divBdr>
        <w:top w:val="none" w:sz="0" w:space="0" w:color="auto"/>
        <w:left w:val="none" w:sz="0" w:space="0" w:color="auto"/>
        <w:bottom w:val="none" w:sz="0" w:space="0" w:color="auto"/>
        <w:right w:val="none" w:sz="0" w:space="0" w:color="auto"/>
      </w:divBdr>
    </w:div>
    <w:div w:id="1446969450">
      <w:bodyDiv w:val="1"/>
      <w:marLeft w:val="0"/>
      <w:marRight w:val="0"/>
      <w:marTop w:val="0"/>
      <w:marBottom w:val="0"/>
      <w:divBdr>
        <w:top w:val="none" w:sz="0" w:space="0" w:color="auto"/>
        <w:left w:val="none" w:sz="0" w:space="0" w:color="auto"/>
        <w:bottom w:val="none" w:sz="0" w:space="0" w:color="auto"/>
        <w:right w:val="none" w:sz="0" w:space="0" w:color="auto"/>
      </w:divBdr>
    </w:div>
    <w:div w:id="1446970268">
      <w:bodyDiv w:val="1"/>
      <w:marLeft w:val="0"/>
      <w:marRight w:val="0"/>
      <w:marTop w:val="0"/>
      <w:marBottom w:val="0"/>
      <w:divBdr>
        <w:top w:val="none" w:sz="0" w:space="0" w:color="auto"/>
        <w:left w:val="none" w:sz="0" w:space="0" w:color="auto"/>
        <w:bottom w:val="none" w:sz="0" w:space="0" w:color="auto"/>
        <w:right w:val="none" w:sz="0" w:space="0" w:color="auto"/>
      </w:divBdr>
    </w:div>
    <w:div w:id="1447233810">
      <w:bodyDiv w:val="1"/>
      <w:marLeft w:val="0"/>
      <w:marRight w:val="0"/>
      <w:marTop w:val="0"/>
      <w:marBottom w:val="0"/>
      <w:divBdr>
        <w:top w:val="none" w:sz="0" w:space="0" w:color="auto"/>
        <w:left w:val="none" w:sz="0" w:space="0" w:color="auto"/>
        <w:bottom w:val="none" w:sz="0" w:space="0" w:color="auto"/>
        <w:right w:val="none" w:sz="0" w:space="0" w:color="auto"/>
      </w:divBdr>
    </w:div>
    <w:div w:id="1447238754">
      <w:bodyDiv w:val="1"/>
      <w:marLeft w:val="0"/>
      <w:marRight w:val="0"/>
      <w:marTop w:val="0"/>
      <w:marBottom w:val="0"/>
      <w:divBdr>
        <w:top w:val="none" w:sz="0" w:space="0" w:color="auto"/>
        <w:left w:val="none" w:sz="0" w:space="0" w:color="auto"/>
        <w:bottom w:val="none" w:sz="0" w:space="0" w:color="auto"/>
        <w:right w:val="none" w:sz="0" w:space="0" w:color="auto"/>
      </w:divBdr>
    </w:div>
    <w:div w:id="1447238835">
      <w:bodyDiv w:val="1"/>
      <w:marLeft w:val="0"/>
      <w:marRight w:val="0"/>
      <w:marTop w:val="0"/>
      <w:marBottom w:val="0"/>
      <w:divBdr>
        <w:top w:val="none" w:sz="0" w:space="0" w:color="auto"/>
        <w:left w:val="none" w:sz="0" w:space="0" w:color="auto"/>
        <w:bottom w:val="none" w:sz="0" w:space="0" w:color="auto"/>
        <w:right w:val="none" w:sz="0" w:space="0" w:color="auto"/>
      </w:divBdr>
    </w:div>
    <w:div w:id="1447428732">
      <w:bodyDiv w:val="1"/>
      <w:marLeft w:val="0"/>
      <w:marRight w:val="0"/>
      <w:marTop w:val="0"/>
      <w:marBottom w:val="0"/>
      <w:divBdr>
        <w:top w:val="none" w:sz="0" w:space="0" w:color="auto"/>
        <w:left w:val="none" w:sz="0" w:space="0" w:color="auto"/>
        <w:bottom w:val="none" w:sz="0" w:space="0" w:color="auto"/>
        <w:right w:val="none" w:sz="0" w:space="0" w:color="auto"/>
      </w:divBdr>
    </w:div>
    <w:div w:id="1447429182">
      <w:bodyDiv w:val="1"/>
      <w:marLeft w:val="0"/>
      <w:marRight w:val="0"/>
      <w:marTop w:val="0"/>
      <w:marBottom w:val="0"/>
      <w:divBdr>
        <w:top w:val="none" w:sz="0" w:space="0" w:color="auto"/>
        <w:left w:val="none" w:sz="0" w:space="0" w:color="auto"/>
        <w:bottom w:val="none" w:sz="0" w:space="0" w:color="auto"/>
        <w:right w:val="none" w:sz="0" w:space="0" w:color="auto"/>
      </w:divBdr>
    </w:div>
    <w:div w:id="1447771194">
      <w:bodyDiv w:val="1"/>
      <w:marLeft w:val="0"/>
      <w:marRight w:val="0"/>
      <w:marTop w:val="0"/>
      <w:marBottom w:val="0"/>
      <w:divBdr>
        <w:top w:val="none" w:sz="0" w:space="0" w:color="auto"/>
        <w:left w:val="none" w:sz="0" w:space="0" w:color="auto"/>
        <w:bottom w:val="none" w:sz="0" w:space="0" w:color="auto"/>
        <w:right w:val="none" w:sz="0" w:space="0" w:color="auto"/>
      </w:divBdr>
    </w:div>
    <w:div w:id="1447961920">
      <w:bodyDiv w:val="1"/>
      <w:marLeft w:val="0"/>
      <w:marRight w:val="0"/>
      <w:marTop w:val="0"/>
      <w:marBottom w:val="0"/>
      <w:divBdr>
        <w:top w:val="none" w:sz="0" w:space="0" w:color="auto"/>
        <w:left w:val="none" w:sz="0" w:space="0" w:color="auto"/>
        <w:bottom w:val="none" w:sz="0" w:space="0" w:color="auto"/>
        <w:right w:val="none" w:sz="0" w:space="0" w:color="auto"/>
      </w:divBdr>
    </w:div>
    <w:div w:id="1447964620">
      <w:bodyDiv w:val="1"/>
      <w:marLeft w:val="0"/>
      <w:marRight w:val="0"/>
      <w:marTop w:val="0"/>
      <w:marBottom w:val="0"/>
      <w:divBdr>
        <w:top w:val="none" w:sz="0" w:space="0" w:color="auto"/>
        <w:left w:val="none" w:sz="0" w:space="0" w:color="auto"/>
        <w:bottom w:val="none" w:sz="0" w:space="0" w:color="auto"/>
        <w:right w:val="none" w:sz="0" w:space="0" w:color="auto"/>
      </w:divBdr>
    </w:div>
    <w:div w:id="1448231386">
      <w:bodyDiv w:val="1"/>
      <w:marLeft w:val="0"/>
      <w:marRight w:val="0"/>
      <w:marTop w:val="0"/>
      <w:marBottom w:val="0"/>
      <w:divBdr>
        <w:top w:val="none" w:sz="0" w:space="0" w:color="auto"/>
        <w:left w:val="none" w:sz="0" w:space="0" w:color="auto"/>
        <w:bottom w:val="none" w:sz="0" w:space="0" w:color="auto"/>
        <w:right w:val="none" w:sz="0" w:space="0" w:color="auto"/>
      </w:divBdr>
    </w:div>
    <w:div w:id="1448233357">
      <w:bodyDiv w:val="1"/>
      <w:marLeft w:val="0"/>
      <w:marRight w:val="0"/>
      <w:marTop w:val="0"/>
      <w:marBottom w:val="0"/>
      <w:divBdr>
        <w:top w:val="none" w:sz="0" w:space="0" w:color="auto"/>
        <w:left w:val="none" w:sz="0" w:space="0" w:color="auto"/>
        <w:bottom w:val="none" w:sz="0" w:space="0" w:color="auto"/>
        <w:right w:val="none" w:sz="0" w:space="0" w:color="auto"/>
      </w:divBdr>
    </w:div>
    <w:div w:id="1448234725">
      <w:bodyDiv w:val="1"/>
      <w:marLeft w:val="0"/>
      <w:marRight w:val="0"/>
      <w:marTop w:val="0"/>
      <w:marBottom w:val="0"/>
      <w:divBdr>
        <w:top w:val="none" w:sz="0" w:space="0" w:color="auto"/>
        <w:left w:val="none" w:sz="0" w:space="0" w:color="auto"/>
        <w:bottom w:val="none" w:sz="0" w:space="0" w:color="auto"/>
        <w:right w:val="none" w:sz="0" w:space="0" w:color="auto"/>
      </w:divBdr>
    </w:div>
    <w:div w:id="1448281874">
      <w:bodyDiv w:val="1"/>
      <w:marLeft w:val="0"/>
      <w:marRight w:val="0"/>
      <w:marTop w:val="0"/>
      <w:marBottom w:val="0"/>
      <w:divBdr>
        <w:top w:val="none" w:sz="0" w:space="0" w:color="auto"/>
        <w:left w:val="none" w:sz="0" w:space="0" w:color="auto"/>
        <w:bottom w:val="none" w:sz="0" w:space="0" w:color="auto"/>
        <w:right w:val="none" w:sz="0" w:space="0" w:color="auto"/>
      </w:divBdr>
    </w:div>
    <w:div w:id="1448428339">
      <w:bodyDiv w:val="1"/>
      <w:marLeft w:val="0"/>
      <w:marRight w:val="0"/>
      <w:marTop w:val="0"/>
      <w:marBottom w:val="0"/>
      <w:divBdr>
        <w:top w:val="none" w:sz="0" w:space="0" w:color="auto"/>
        <w:left w:val="none" w:sz="0" w:space="0" w:color="auto"/>
        <w:bottom w:val="none" w:sz="0" w:space="0" w:color="auto"/>
        <w:right w:val="none" w:sz="0" w:space="0" w:color="auto"/>
      </w:divBdr>
    </w:div>
    <w:div w:id="1448550541">
      <w:bodyDiv w:val="1"/>
      <w:marLeft w:val="0"/>
      <w:marRight w:val="0"/>
      <w:marTop w:val="0"/>
      <w:marBottom w:val="0"/>
      <w:divBdr>
        <w:top w:val="none" w:sz="0" w:space="0" w:color="auto"/>
        <w:left w:val="none" w:sz="0" w:space="0" w:color="auto"/>
        <w:bottom w:val="none" w:sz="0" w:space="0" w:color="auto"/>
        <w:right w:val="none" w:sz="0" w:space="0" w:color="auto"/>
      </w:divBdr>
    </w:div>
    <w:div w:id="1448620207">
      <w:bodyDiv w:val="1"/>
      <w:marLeft w:val="0"/>
      <w:marRight w:val="0"/>
      <w:marTop w:val="0"/>
      <w:marBottom w:val="0"/>
      <w:divBdr>
        <w:top w:val="none" w:sz="0" w:space="0" w:color="auto"/>
        <w:left w:val="none" w:sz="0" w:space="0" w:color="auto"/>
        <w:bottom w:val="none" w:sz="0" w:space="0" w:color="auto"/>
        <w:right w:val="none" w:sz="0" w:space="0" w:color="auto"/>
      </w:divBdr>
    </w:div>
    <w:div w:id="1448769524">
      <w:bodyDiv w:val="1"/>
      <w:marLeft w:val="0"/>
      <w:marRight w:val="0"/>
      <w:marTop w:val="0"/>
      <w:marBottom w:val="0"/>
      <w:divBdr>
        <w:top w:val="none" w:sz="0" w:space="0" w:color="auto"/>
        <w:left w:val="none" w:sz="0" w:space="0" w:color="auto"/>
        <w:bottom w:val="none" w:sz="0" w:space="0" w:color="auto"/>
        <w:right w:val="none" w:sz="0" w:space="0" w:color="auto"/>
      </w:divBdr>
    </w:div>
    <w:div w:id="1448816789">
      <w:bodyDiv w:val="1"/>
      <w:marLeft w:val="0"/>
      <w:marRight w:val="0"/>
      <w:marTop w:val="0"/>
      <w:marBottom w:val="0"/>
      <w:divBdr>
        <w:top w:val="none" w:sz="0" w:space="0" w:color="auto"/>
        <w:left w:val="none" w:sz="0" w:space="0" w:color="auto"/>
        <w:bottom w:val="none" w:sz="0" w:space="0" w:color="auto"/>
        <w:right w:val="none" w:sz="0" w:space="0" w:color="auto"/>
      </w:divBdr>
    </w:div>
    <w:div w:id="1448885590">
      <w:bodyDiv w:val="1"/>
      <w:marLeft w:val="0"/>
      <w:marRight w:val="0"/>
      <w:marTop w:val="0"/>
      <w:marBottom w:val="0"/>
      <w:divBdr>
        <w:top w:val="none" w:sz="0" w:space="0" w:color="auto"/>
        <w:left w:val="none" w:sz="0" w:space="0" w:color="auto"/>
        <w:bottom w:val="none" w:sz="0" w:space="0" w:color="auto"/>
        <w:right w:val="none" w:sz="0" w:space="0" w:color="auto"/>
      </w:divBdr>
    </w:div>
    <w:div w:id="1449084047">
      <w:bodyDiv w:val="1"/>
      <w:marLeft w:val="0"/>
      <w:marRight w:val="0"/>
      <w:marTop w:val="0"/>
      <w:marBottom w:val="0"/>
      <w:divBdr>
        <w:top w:val="none" w:sz="0" w:space="0" w:color="auto"/>
        <w:left w:val="none" w:sz="0" w:space="0" w:color="auto"/>
        <w:bottom w:val="none" w:sz="0" w:space="0" w:color="auto"/>
        <w:right w:val="none" w:sz="0" w:space="0" w:color="auto"/>
      </w:divBdr>
    </w:div>
    <w:div w:id="1449272404">
      <w:bodyDiv w:val="1"/>
      <w:marLeft w:val="0"/>
      <w:marRight w:val="0"/>
      <w:marTop w:val="0"/>
      <w:marBottom w:val="0"/>
      <w:divBdr>
        <w:top w:val="none" w:sz="0" w:space="0" w:color="auto"/>
        <w:left w:val="none" w:sz="0" w:space="0" w:color="auto"/>
        <w:bottom w:val="none" w:sz="0" w:space="0" w:color="auto"/>
        <w:right w:val="none" w:sz="0" w:space="0" w:color="auto"/>
      </w:divBdr>
    </w:div>
    <w:div w:id="1449347455">
      <w:bodyDiv w:val="1"/>
      <w:marLeft w:val="0"/>
      <w:marRight w:val="0"/>
      <w:marTop w:val="0"/>
      <w:marBottom w:val="0"/>
      <w:divBdr>
        <w:top w:val="none" w:sz="0" w:space="0" w:color="auto"/>
        <w:left w:val="none" w:sz="0" w:space="0" w:color="auto"/>
        <w:bottom w:val="none" w:sz="0" w:space="0" w:color="auto"/>
        <w:right w:val="none" w:sz="0" w:space="0" w:color="auto"/>
      </w:divBdr>
    </w:div>
    <w:div w:id="1449859758">
      <w:bodyDiv w:val="1"/>
      <w:marLeft w:val="0"/>
      <w:marRight w:val="0"/>
      <w:marTop w:val="0"/>
      <w:marBottom w:val="0"/>
      <w:divBdr>
        <w:top w:val="none" w:sz="0" w:space="0" w:color="auto"/>
        <w:left w:val="none" w:sz="0" w:space="0" w:color="auto"/>
        <w:bottom w:val="none" w:sz="0" w:space="0" w:color="auto"/>
        <w:right w:val="none" w:sz="0" w:space="0" w:color="auto"/>
      </w:divBdr>
    </w:div>
    <w:div w:id="1450010978">
      <w:bodyDiv w:val="1"/>
      <w:marLeft w:val="0"/>
      <w:marRight w:val="0"/>
      <w:marTop w:val="0"/>
      <w:marBottom w:val="0"/>
      <w:divBdr>
        <w:top w:val="none" w:sz="0" w:space="0" w:color="auto"/>
        <w:left w:val="none" w:sz="0" w:space="0" w:color="auto"/>
        <w:bottom w:val="none" w:sz="0" w:space="0" w:color="auto"/>
        <w:right w:val="none" w:sz="0" w:space="0" w:color="auto"/>
      </w:divBdr>
    </w:div>
    <w:div w:id="1450081881">
      <w:bodyDiv w:val="1"/>
      <w:marLeft w:val="0"/>
      <w:marRight w:val="0"/>
      <w:marTop w:val="0"/>
      <w:marBottom w:val="0"/>
      <w:divBdr>
        <w:top w:val="none" w:sz="0" w:space="0" w:color="auto"/>
        <w:left w:val="none" w:sz="0" w:space="0" w:color="auto"/>
        <w:bottom w:val="none" w:sz="0" w:space="0" w:color="auto"/>
        <w:right w:val="none" w:sz="0" w:space="0" w:color="auto"/>
      </w:divBdr>
    </w:div>
    <w:div w:id="1450272587">
      <w:bodyDiv w:val="1"/>
      <w:marLeft w:val="0"/>
      <w:marRight w:val="0"/>
      <w:marTop w:val="0"/>
      <w:marBottom w:val="0"/>
      <w:divBdr>
        <w:top w:val="none" w:sz="0" w:space="0" w:color="auto"/>
        <w:left w:val="none" w:sz="0" w:space="0" w:color="auto"/>
        <w:bottom w:val="none" w:sz="0" w:space="0" w:color="auto"/>
        <w:right w:val="none" w:sz="0" w:space="0" w:color="auto"/>
      </w:divBdr>
    </w:div>
    <w:div w:id="1450316295">
      <w:bodyDiv w:val="1"/>
      <w:marLeft w:val="0"/>
      <w:marRight w:val="0"/>
      <w:marTop w:val="0"/>
      <w:marBottom w:val="0"/>
      <w:divBdr>
        <w:top w:val="none" w:sz="0" w:space="0" w:color="auto"/>
        <w:left w:val="none" w:sz="0" w:space="0" w:color="auto"/>
        <w:bottom w:val="none" w:sz="0" w:space="0" w:color="auto"/>
        <w:right w:val="none" w:sz="0" w:space="0" w:color="auto"/>
      </w:divBdr>
    </w:div>
    <w:div w:id="1450317646">
      <w:bodyDiv w:val="1"/>
      <w:marLeft w:val="0"/>
      <w:marRight w:val="0"/>
      <w:marTop w:val="0"/>
      <w:marBottom w:val="0"/>
      <w:divBdr>
        <w:top w:val="none" w:sz="0" w:space="0" w:color="auto"/>
        <w:left w:val="none" w:sz="0" w:space="0" w:color="auto"/>
        <w:bottom w:val="none" w:sz="0" w:space="0" w:color="auto"/>
        <w:right w:val="none" w:sz="0" w:space="0" w:color="auto"/>
      </w:divBdr>
    </w:div>
    <w:div w:id="1450395909">
      <w:bodyDiv w:val="1"/>
      <w:marLeft w:val="0"/>
      <w:marRight w:val="0"/>
      <w:marTop w:val="0"/>
      <w:marBottom w:val="0"/>
      <w:divBdr>
        <w:top w:val="none" w:sz="0" w:space="0" w:color="auto"/>
        <w:left w:val="none" w:sz="0" w:space="0" w:color="auto"/>
        <w:bottom w:val="none" w:sz="0" w:space="0" w:color="auto"/>
        <w:right w:val="none" w:sz="0" w:space="0" w:color="auto"/>
      </w:divBdr>
    </w:div>
    <w:div w:id="1450664898">
      <w:bodyDiv w:val="1"/>
      <w:marLeft w:val="0"/>
      <w:marRight w:val="0"/>
      <w:marTop w:val="0"/>
      <w:marBottom w:val="0"/>
      <w:divBdr>
        <w:top w:val="none" w:sz="0" w:space="0" w:color="auto"/>
        <w:left w:val="none" w:sz="0" w:space="0" w:color="auto"/>
        <w:bottom w:val="none" w:sz="0" w:space="0" w:color="auto"/>
        <w:right w:val="none" w:sz="0" w:space="0" w:color="auto"/>
      </w:divBdr>
    </w:div>
    <w:div w:id="1450776998">
      <w:bodyDiv w:val="1"/>
      <w:marLeft w:val="0"/>
      <w:marRight w:val="0"/>
      <w:marTop w:val="0"/>
      <w:marBottom w:val="0"/>
      <w:divBdr>
        <w:top w:val="none" w:sz="0" w:space="0" w:color="auto"/>
        <w:left w:val="none" w:sz="0" w:space="0" w:color="auto"/>
        <w:bottom w:val="none" w:sz="0" w:space="0" w:color="auto"/>
        <w:right w:val="none" w:sz="0" w:space="0" w:color="auto"/>
      </w:divBdr>
    </w:div>
    <w:div w:id="1450854895">
      <w:bodyDiv w:val="1"/>
      <w:marLeft w:val="0"/>
      <w:marRight w:val="0"/>
      <w:marTop w:val="0"/>
      <w:marBottom w:val="0"/>
      <w:divBdr>
        <w:top w:val="none" w:sz="0" w:space="0" w:color="auto"/>
        <w:left w:val="none" w:sz="0" w:space="0" w:color="auto"/>
        <w:bottom w:val="none" w:sz="0" w:space="0" w:color="auto"/>
        <w:right w:val="none" w:sz="0" w:space="0" w:color="auto"/>
      </w:divBdr>
    </w:div>
    <w:div w:id="1450855130">
      <w:bodyDiv w:val="1"/>
      <w:marLeft w:val="0"/>
      <w:marRight w:val="0"/>
      <w:marTop w:val="0"/>
      <w:marBottom w:val="0"/>
      <w:divBdr>
        <w:top w:val="none" w:sz="0" w:space="0" w:color="auto"/>
        <w:left w:val="none" w:sz="0" w:space="0" w:color="auto"/>
        <w:bottom w:val="none" w:sz="0" w:space="0" w:color="auto"/>
        <w:right w:val="none" w:sz="0" w:space="0" w:color="auto"/>
      </w:divBdr>
    </w:div>
    <w:div w:id="1451046259">
      <w:bodyDiv w:val="1"/>
      <w:marLeft w:val="0"/>
      <w:marRight w:val="0"/>
      <w:marTop w:val="0"/>
      <w:marBottom w:val="0"/>
      <w:divBdr>
        <w:top w:val="none" w:sz="0" w:space="0" w:color="auto"/>
        <w:left w:val="none" w:sz="0" w:space="0" w:color="auto"/>
        <w:bottom w:val="none" w:sz="0" w:space="0" w:color="auto"/>
        <w:right w:val="none" w:sz="0" w:space="0" w:color="auto"/>
      </w:divBdr>
    </w:div>
    <w:div w:id="1451046693">
      <w:bodyDiv w:val="1"/>
      <w:marLeft w:val="0"/>
      <w:marRight w:val="0"/>
      <w:marTop w:val="0"/>
      <w:marBottom w:val="0"/>
      <w:divBdr>
        <w:top w:val="none" w:sz="0" w:space="0" w:color="auto"/>
        <w:left w:val="none" w:sz="0" w:space="0" w:color="auto"/>
        <w:bottom w:val="none" w:sz="0" w:space="0" w:color="auto"/>
        <w:right w:val="none" w:sz="0" w:space="0" w:color="auto"/>
      </w:divBdr>
    </w:div>
    <w:div w:id="1451047551">
      <w:bodyDiv w:val="1"/>
      <w:marLeft w:val="0"/>
      <w:marRight w:val="0"/>
      <w:marTop w:val="0"/>
      <w:marBottom w:val="0"/>
      <w:divBdr>
        <w:top w:val="none" w:sz="0" w:space="0" w:color="auto"/>
        <w:left w:val="none" w:sz="0" w:space="0" w:color="auto"/>
        <w:bottom w:val="none" w:sz="0" w:space="0" w:color="auto"/>
        <w:right w:val="none" w:sz="0" w:space="0" w:color="auto"/>
      </w:divBdr>
    </w:div>
    <w:div w:id="1451123998">
      <w:bodyDiv w:val="1"/>
      <w:marLeft w:val="0"/>
      <w:marRight w:val="0"/>
      <w:marTop w:val="0"/>
      <w:marBottom w:val="0"/>
      <w:divBdr>
        <w:top w:val="none" w:sz="0" w:space="0" w:color="auto"/>
        <w:left w:val="none" w:sz="0" w:space="0" w:color="auto"/>
        <w:bottom w:val="none" w:sz="0" w:space="0" w:color="auto"/>
        <w:right w:val="none" w:sz="0" w:space="0" w:color="auto"/>
      </w:divBdr>
    </w:div>
    <w:div w:id="1451165371">
      <w:bodyDiv w:val="1"/>
      <w:marLeft w:val="0"/>
      <w:marRight w:val="0"/>
      <w:marTop w:val="0"/>
      <w:marBottom w:val="0"/>
      <w:divBdr>
        <w:top w:val="none" w:sz="0" w:space="0" w:color="auto"/>
        <w:left w:val="none" w:sz="0" w:space="0" w:color="auto"/>
        <w:bottom w:val="none" w:sz="0" w:space="0" w:color="auto"/>
        <w:right w:val="none" w:sz="0" w:space="0" w:color="auto"/>
      </w:divBdr>
    </w:div>
    <w:div w:id="1451237828">
      <w:bodyDiv w:val="1"/>
      <w:marLeft w:val="0"/>
      <w:marRight w:val="0"/>
      <w:marTop w:val="0"/>
      <w:marBottom w:val="0"/>
      <w:divBdr>
        <w:top w:val="none" w:sz="0" w:space="0" w:color="auto"/>
        <w:left w:val="none" w:sz="0" w:space="0" w:color="auto"/>
        <w:bottom w:val="none" w:sz="0" w:space="0" w:color="auto"/>
        <w:right w:val="none" w:sz="0" w:space="0" w:color="auto"/>
      </w:divBdr>
    </w:div>
    <w:div w:id="1451315662">
      <w:bodyDiv w:val="1"/>
      <w:marLeft w:val="0"/>
      <w:marRight w:val="0"/>
      <w:marTop w:val="0"/>
      <w:marBottom w:val="0"/>
      <w:divBdr>
        <w:top w:val="none" w:sz="0" w:space="0" w:color="auto"/>
        <w:left w:val="none" w:sz="0" w:space="0" w:color="auto"/>
        <w:bottom w:val="none" w:sz="0" w:space="0" w:color="auto"/>
        <w:right w:val="none" w:sz="0" w:space="0" w:color="auto"/>
      </w:divBdr>
    </w:div>
    <w:div w:id="1451434874">
      <w:bodyDiv w:val="1"/>
      <w:marLeft w:val="0"/>
      <w:marRight w:val="0"/>
      <w:marTop w:val="0"/>
      <w:marBottom w:val="0"/>
      <w:divBdr>
        <w:top w:val="none" w:sz="0" w:space="0" w:color="auto"/>
        <w:left w:val="none" w:sz="0" w:space="0" w:color="auto"/>
        <w:bottom w:val="none" w:sz="0" w:space="0" w:color="auto"/>
        <w:right w:val="none" w:sz="0" w:space="0" w:color="auto"/>
      </w:divBdr>
    </w:div>
    <w:div w:id="1451583453">
      <w:bodyDiv w:val="1"/>
      <w:marLeft w:val="0"/>
      <w:marRight w:val="0"/>
      <w:marTop w:val="0"/>
      <w:marBottom w:val="0"/>
      <w:divBdr>
        <w:top w:val="none" w:sz="0" w:space="0" w:color="auto"/>
        <w:left w:val="none" w:sz="0" w:space="0" w:color="auto"/>
        <w:bottom w:val="none" w:sz="0" w:space="0" w:color="auto"/>
        <w:right w:val="none" w:sz="0" w:space="0" w:color="auto"/>
      </w:divBdr>
    </w:div>
    <w:div w:id="1451584729">
      <w:bodyDiv w:val="1"/>
      <w:marLeft w:val="0"/>
      <w:marRight w:val="0"/>
      <w:marTop w:val="0"/>
      <w:marBottom w:val="0"/>
      <w:divBdr>
        <w:top w:val="none" w:sz="0" w:space="0" w:color="auto"/>
        <w:left w:val="none" w:sz="0" w:space="0" w:color="auto"/>
        <w:bottom w:val="none" w:sz="0" w:space="0" w:color="auto"/>
        <w:right w:val="none" w:sz="0" w:space="0" w:color="auto"/>
      </w:divBdr>
    </w:div>
    <w:div w:id="1451775871">
      <w:bodyDiv w:val="1"/>
      <w:marLeft w:val="0"/>
      <w:marRight w:val="0"/>
      <w:marTop w:val="0"/>
      <w:marBottom w:val="0"/>
      <w:divBdr>
        <w:top w:val="none" w:sz="0" w:space="0" w:color="auto"/>
        <w:left w:val="none" w:sz="0" w:space="0" w:color="auto"/>
        <w:bottom w:val="none" w:sz="0" w:space="0" w:color="auto"/>
        <w:right w:val="none" w:sz="0" w:space="0" w:color="auto"/>
      </w:divBdr>
    </w:div>
    <w:div w:id="1451781470">
      <w:bodyDiv w:val="1"/>
      <w:marLeft w:val="0"/>
      <w:marRight w:val="0"/>
      <w:marTop w:val="0"/>
      <w:marBottom w:val="0"/>
      <w:divBdr>
        <w:top w:val="none" w:sz="0" w:space="0" w:color="auto"/>
        <w:left w:val="none" w:sz="0" w:space="0" w:color="auto"/>
        <w:bottom w:val="none" w:sz="0" w:space="0" w:color="auto"/>
        <w:right w:val="none" w:sz="0" w:space="0" w:color="auto"/>
      </w:divBdr>
    </w:div>
    <w:div w:id="1451783604">
      <w:bodyDiv w:val="1"/>
      <w:marLeft w:val="0"/>
      <w:marRight w:val="0"/>
      <w:marTop w:val="0"/>
      <w:marBottom w:val="0"/>
      <w:divBdr>
        <w:top w:val="none" w:sz="0" w:space="0" w:color="auto"/>
        <w:left w:val="none" w:sz="0" w:space="0" w:color="auto"/>
        <w:bottom w:val="none" w:sz="0" w:space="0" w:color="auto"/>
        <w:right w:val="none" w:sz="0" w:space="0" w:color="auto"/>
      </w:divBdr>
    </w:div>
    <w:div w:id="1451821753">
      <w:bodyDiv w:val="1"/>
      <w:marLeft w:val="0"/>
      <w:marRight w:val="0"/>
      <w:marTop w:val="0"/>
      <w:marBottom w:val="0"/>
      <w:divBdr>
        <w:top w:val="none" w:sz="0" w:space="0" w:color="auto"/>
        <w:left w:val="none" w:sz="0" w:space="0" w:color="auto"/>
        <w:bottom w:val="none" w:sz="0" w:space="0" w:color="auto"/>
        <w:right w:val="none" w:sz="0" w:space="0" w:color="auto"/>
      </w:divBdr>
    </w:div>
    <w:div w:id="1452020250">
      <w:bodyDiv w:val="1"/>
      <w:marLeft w:val="0"/>
      <w:marRight w:val="0"/>
      <w:marTop w:val="0"/>
      <w:marBottom w:val="0"/>
      <w:divBdr>
        <w:top w:val="none" w:sz="0" w:space="0" w:color="auto"/>
        <w:left w:val="none" w:sz="0" w:space="0" w:color="auto"/>
        <w:bottom w:val="none" w:sz="0" w:space="0" w:color="auto"/>
        <w:right w:val="none" w:sz="0" w:space="0" w:color="auto"/>
      </w:divBdr>
    </w:div>
    <w:div w:id="1452239229">
      <w:bodyDiv w:val="1"/>
      <w:marLeft w:val="0"/>
      <w:marRight w:val="0"/>
      <w:marTop w:val="0"/>
      <w:marBottom w:val="0"/>
      <w:divBdr>
        <w:top w:val="none" w:sz="0" w:space="0" w:color="auto"/>
        <w:left w:val="none" w:sz="0" w:space="0" w:color="auto"/>
        <w:bottom w:val="none" w:sz="0" w:space="0" w:color="auto"/>
        <w:right w:val="none" w:sz="0" w:space="0" w:color="auto"/>
      </w:divBdr>
    </w:div>
    <w:div w:id="1452239231">
      <w:bodyDiv w:val="1"/>
      <w:marLeft w:val="0"/>
      <w:marRight w:val="0"/>
      <w:marTop w:val="0"/>
      <w:marBottom w:val="0"/>
      <w:divBdr>
        <w:top w:val="none" w:sz="0" w:space="0" w:color="auto"/>
        <w:left w:val="none" w:sz="0" w:space="0" w:color="auto"/>
        <w:bottom w:val="none" w:sz="0" w:space="0" w:color="auto"/>
        <w:right w:val="none" w:sz="0" w:space="0" w:color="auto"/>
      </w:divBdr>
    </w:div>
    <w:div w:id="1452285533">
      <w:bodyDiv w:val="1"/>
      <w:marLeft w:val="0"/>
      <w:marRight w:val="0"/>
      <w:marTop w:val="0"/>
      <w:marBottom w:val="0"/>
      <w:divBdr>
        <w:top w:val="none" w:sz="0" w:space="0" w:color="auto"/>
        <w:left w:val="none" w:sz="0" w:space="0" w:color="auto"/>
        <w:bottom w:val="none" w:sz="0" w:space="0" w:color="auto"/>
        <w:right w:val="none" w:sz="0" w:space="0" w:color="auto"/>
      </w:divBdr>
    </w:div>
    <w:div w:id="1452505720">
      <w:bodyDiv w:val="1"/>
      <w:marLeft w:val="0"/>
      <w:marRight w:val="0"/>
      <w:marTop w:val="0"/>
      <w:marBottom w:val="0"/>
      <w:divBdr>
        <w:top w:val="none" w:sz="0" w:space="0" w:color="auto"/>
        <w:left w:val="none" w:sz="0" w:space="0" w:color="auto"/>
        <w:bottom w:val="none" w:sz="0" w:space="0" w:color="auto"/>
        <w:right w:val="none" w:sz="0" w:space="0" w:color="auto"/>
      </w:divBdr>
    </w:div>
    <w:div w:id="1452671958">
      <w:bodyDiv w:val="1"/>
      <w:marLeft w:val="0"/>
      <w:marRight w:val="0"/>
      <w:marTop w:val="0"/>
      <w:marBottom w:val="0"/>
      <w:divBdr>
        <w:top w:val="none" w:sz="0" w:space="0" w:color="auto"/>
        <w:left w:val="none" w:sz="0" w:space="0" w:color="auto"/>
        <w:bottom w:val="none" w:sz="0" w:space="0" w:color="auto"/>
        <w:right w:val="none" w:sz="0" w:space="0" w:color="auto"/>
      </w:divBdr>
    </w:div>
    <w:div w:id="1453328132">
      <w:bodyDiv w:val="1"/>
      <w:marLeft w:val="0"/>
      <w:marRight w:val="0"/>
      <w:marTop w:val="0"/>
      <w:marBottom w:val="0"/>
      <w:divBdr>
        <w:top w:val="none" w:sz="0" w:space="0" w:color="auto"/>
        <w:left w:val="none" w:sz="0" w:space="0" w:color="auto"/>
        <w:bottom w:val="none" w:sz="0" w:space="0" w:color="auto"/>
        <w:right w:val="none" w:sz="0" w:space="0" w:color="auto"/>
      </w:divBdr>
    </w:div>
    <w:div w:id="1453548728">
      <w:bodyDiv w:val="1"/>
      <w:marLeft w:val="0"/>
      <w:marRight w:val="0"/>
      <w:marTop w:val="0"/>
      <w:marBottom w:val="0"/>
      <w:divBdr>
        <w:top w:val="none" w:sz="0" w:space="0" w:color="auto"/>
        <w:left w:val="none" w:sz="0" w:space="0" w:color="auto"/>
        <w:bottom w:val="none" w:sz="0" w:space="0" w:color="auto"/>
        <w:right w:val="none" w:sz="0" w:space="0" w:color="auto"/>
      </w:divBdr>
    </w:div>
    <w:div w:id="1453593104">
      <w:bodyDiv w:val="1"/>
      <w:marLeft w:val="0"/>
      <w:marRight w:val="0"/>
      <w:marTop w:val="0"/>
      <w:marBottom w:val="0"/>
      <w:divBdr>
        <w:top w:val="none" w:sz="0" w:space="0" w:color="auto"/>
        <w:left w:val="none" w:sz="0" w:space="0" w:color="auto"/>
        <w:bottom w:val="none" w:sz="0" w:space="0" w:color="auto"/>
        <w:right w:val="none" w:sz="0" w:space="0" w:color="auto"/>
      </w:divBdr>
    </w:div>
    <w:div w:id="1453792595">
      <w:bodyDiv w:val="1"/>
      <w:marLeft w:val="0"/>
      <w:marRight w:val="0"/>
      <w:marTop w:val="0"/>
      <w:marBottom w:val="0"/>
      <w:divBdr>
        <w:top w:val="none" w:sz="0" w:space="0" w:color="auto"/>
        <w:left w:val="none" w:sz="0" w:space="0" w:color="auto"/>
        <w:bottom w:val="none" w:sz="0" w:space="0" w:color="auto"/>
        <w:right w:val="none" w:sz="0" w:space="0" w:color="auto"/>
      </w:divBdr>
    </w:div>
    <w:div w:id="1453865733">
      <w:bodyDiv w:val="1"/>
      <w:marLeft w:val="0"/>
      <w:marRight w:val="0"/>
      <w:marTop w:val="0"/>
      <w:marBottom w:val="0"/>
      <w:divBdr>
        <w:top w:val="none" w:sz="0" w:space="0" w:color="auto"/>
        <w:left w:val="none" w:sz="0" w:space="0" w:color="auto"/>
        <w:bottom w:val="none" w:sz="0" w:space="0" w:color="auto"/>
        <w:right w:val="none" w:sz="0" w:space="0" w:color="auto"/>
      </w:divBdr>
    </w:div>
    <w:div w:id="1453982890">
      <w:bodyDiv w:val="1"/>
      <w:marLeft w:val="0"/>
      <w:marRight w:val="0"/>
      <w:marTop w:val="0"/>
      <w:marBottom w:val="0"/>
      <w:divBdr>
        <w:top w:val="none" w:sz="0" w:space="0" w:color="auto"/>
        <w:left w:val="none" w:sz="0" w:space="0" w:color="auto"/>
        <w:bottom w:val="none" w:sz="0" w:space="0" w:color="auto"/>
        <w:right w:val="none" w:sz="0" w:space="0" w:color="auto"/>
      </w:divBdr>
    </w:div>
    <w:div w:id="1453985250">
      <w:bodyDiv w:val="1"/>
      <w:marLeft w:val="0"/>
      <w:marRight w:val="0"/>
      <w:marTop w:val="0"/>
      <w:marBottom w:val="0"/>
      <w:divBdr>
        <w:top w:val="none" w:sz="0" w:space="0" w:color="auto"/>
        <w:left w:val="none" w:sz="0" w:space="0" w:color="auto"/>
        <w:bottom w:val="none" w:sz="0" w:space="0" w:color="auto"/>
        <w:right w:val="none" w:sz="0" w:space="0" w:color="auto"/>
      </w:divBdr>
    </w:div>
    <w:div w:id="1454252231">
      <w:bodyDiv w:val="1"/>
      <w:marLeft w:val="0"/>
      <w:marRight w:val="0"/>
      <w:marTop w:val="0"/>
      <w:marBottom w:val="0"/>
      <w:divBdr>
        <w:top w:val="none" w:sz="0" w:space="0" w:color="auto"/>
        <w:left w:val="none" w:sz="0" w:space="0" w:color="auto"/>
        <w:bottom w:val="none" w:sz="0" w:space="0" w:color="auto"/>
        <w:right w:val="none" w:sz="0" w:space="0" w:color="auto"/>
      </w:divBdr>
    </w:div>
    <w:div w:id="1454323507">
      <w:bodyDiv w:val="1"/>
      <w:marLeft w:val="0"/>
      <w:marRight w:val="0"/>
      <w:marTop w:val="0"/>
      <w:marBottom w:val="0"/>
      <w:divBdr>
        <w:top w:val="none" w:sz="0" w:space="0" w:color="auto"/>
        <w:left w:val="none" w:sz="0" w:space="0" w:color="auto"/>
        <w:bottom w:val="none" w:sz="0" w:space="0" w:color="auto"/>
        <w:right w:val="none" w:sz="0" w:space="0" w:color="auto"/>
      </w:divBdr>
    </w:div>
    <w:div w:id="1454324213">
      <w:bodyDiv w:val="1"/>
      <w:marLeft w:val="0"/>
      <w:marRight w:val="0"/>
      <w:marTop w:val="0"/>
      <w:marBottom w:val="0"/>
      <w:divBdr>
        <w:top w:val="none" w:sz="0" w:space="0" w:color="auto"/>
        <w:left w:val="none" w:sz="0" w:space="0" w:color="auto"/>
        <w:bottom w:val="none" w:sz="0" w:space="0" w:color="auto"/>
        <w:right w:val="none" w:sz="0" w:space="0" w:color="auto"/>
      </w:divBdr>
    </w:div>
    <w:div w:id="1454325003">
      <w:bodyDiv w:val="1"/>
      <w:marLeft w:val="0"/>
      <w:marRight w:val="0"/>
      <w:marTop w:val="0"/>
      <w:marBottom w:val="0"/>
      <w:divBdr>
        <w:top w:val="none" w:sz="0" w:space="0" w:color="auto"/>
        <w:left w:val="none" w:sz="0" w:space="0" w:color="auto"/>
        <w:bottom w:val="none" w:sz="0" w:space="0" w:color="auto"/>
        <w:right w:val="none" w:sz="0" w:space="0" w:color="auto"/>
      </w:divBdr>
    </w:div>
    <w:div w:id="1454326418">
      <w:bodyDiv w:val="1"/>
      <w:marLeft w:val="0"/>
      <w:marRight w:val="0"/>
      <w:marTop w:val="0"/>
      <w:marBottom w:val="0"/>
      <w:divBdr>
        <w:top w:val="none" w:sz="0" w:space="0" w:color="auto"/>
        <w:left w:val="none" w:sz="0" w:space="0" w:color="auto"/>
        <w:bottom w:val="none" w:sz="0" w:space="0" w:color="auto"/>
        <w:right w:val="none" w:sz="0" w:space="0" w:color="auto"/>
      </w:divBdr>
    </w:div>
    <w:div w:id="1454707491">
      <w:bodyDiv w:val="1"/>
      <w:marLeft w:val="0"/>
      <w:marRight w:val="0"/>
      <w:marTop w:val="0"/>
      <w:marBottom w:val="0"/>
      <w:divBdr>
        <w:top w:val="none" w:sz="0" w:space="0" w:color="auto"/>
        <w:left w:val="none" w:sz="0" w:space="0" w:color="auto"/>
        <w:bottom w:val="none" w:sz="0" w:space="0" w:color="auto"/>
        <w:right w:val="none" w:sz="0" w:space="0" w:color="auto"/>
      </w:divBdr>
    </w:div>
    <w:div w:id="1454713644">
      <w:bodyDiv w:val="1"/>
      <w:marLeft w:val="0"/>
      <w:marRight w:val="0"/>
      <w:marTop w:val="0"/>
      <w:marBottom w:val="0"/>
      <w:divBdr>
        <w:top w:val="none" w:sz="0" w:space="0" w:color="auto"/>
        <w:left w:val="none" w:sz="0" w:space="0" w:color="auto"/>
        <w:bottom w:val="none" w:sz="0" w:space="0" w:color="auto"/>
        <w:right w:val="none" w:sz="0" w:space="0" w:color="auto"/>
      </w:divBdr>
    </w:div>
    <w:div w:id="1454785177">
      <w:bodyDiv w:val="1"/>
      <w:marLeft w:val="0"/>
      <w:marRight w:val="0"/>
      <w:marTop w:val="0"/>
      <w:marBottom w:val="0"/>
      <w:divBdr>
        <w:top w:val="none" w:sz="0" w:space="0" w:color="auto"/>
        <w:left w:val="none" w:sz="0" w:space="0" w:color="auto"/>
        <w:bottom w:val="none" w:sz="0" w:space="0" w:color="auto"/>
        <w:right w:val="none" w:sz="0" w:space="0" w:color="auto"/>
      </w:divBdr>
    </w:div>
    <w:div w:id="1454865192">
      <w:bodyDiv w:val="1"/>
      <w:marLeft w:val="0"/>
      <w:marRight w:val="0"/>
      <w:marTop w:val="0"/>
      <w:marBottom w:val="0"/>
      <w:divBdr>
        <w:top w:val="none" w:sz="0" w:space="0" w:color="auto"/>
        <w:left w:val="none" w:sz="0" w:space="0" w:color="auto"/>
        <w:bottom w:val="none" w:sz="0" w:space="0" w:color="auto"/>
        <w:right w:val="none" w:sz="0" w:space="0" w:color="auto"/>
      </w:divBdr>
    </w:div>
    <w:div w:id="1454908082">
      <w:bodyDiv w:val="1"/>
      <w:marLeft w:val="0"/>
      <w:marRight w:val="0"/>
      <w:marTop w:val="0"/>
      <w:marBottom w:val="0"/>
      <w:divBdr>
        <w:top w:val="none" w:sz="0" w:space="0" w:color="auto"/>
        <w:left w:val="none" w:sz="0" w:space="0" w:color="auto"/>
        <w:bottom w:val="none" w:sz="0" w:space="0" w:color="auto"/>
        <w:right w:val="none" w:sz="0" w:space="0" w:color="auto"/>
      </w:divBdr>
    </w:div>
    <w:div w:id="1455447520">
      <w:bodyDiv w:val="1"/>
      <w:marLeft w:val="0"/>
      <w:marRight w:val="0"/>
      <w:marTop w:val="0"/>
      <w:marBottom w:val="0"/>
      <w:divBdr>
        <w:top w:val="none" w:sz="0" w:space="0" w:color="auto"/>
        <w:left w:val="none" w:sz="0" w:space="0" w:color="auto"/>
        <w:bottom w:val="none" w:sz="0" w:space="0" w:color="auto"/>
        <w:right w:val="none" w:sz="0" w:space="0" w:color="auto"/>
      </w:divBdr>
    </w:div>
    <w:div w:id="1455521657">
      <w:bodyDiv w:val="1"/>
      <w:marLeft w:val="0"/>
      <w:marRight w:val="0"/>
      <w:marTop w:val="0"/>
      <w:marBottom w:val="0"/>
      <w:divBdr>
        <w:top w:val="none" w:sz="0" w:space="0" w:color="auto"/>
        <w:left w:val="none" w:sz="0" w:space="0" w:color="auto"/>
        <w:bottom w:val="none" w:sz="0" w:space="0" w:color="auto"/>
        <w:right w:val="none" w:sz="0" w:space="0" w:color="auto"/>
      </w:divBdr>
    </w:div>
    <w:div w:id="1455706993">
      <w:bodyDiv w:val="1"/>
      <w:marLeft w:val="0"/>
      <w:marRight w:val="0"/>
      <w:marTop w:val="0"/>
      <w:marBottom w:val="0"/>
      <w:divBdr>
        <w:top w:val="none" w:sz="0" w:space="0" w:color="auto"/>
        <w:left w:val="none" w:sz="0" w:space="0" w:color="auto"/>
        <w:bottom w:val="none" w:sz="0" w:space="0" w:color="auto"/>
        <w:right w:val="none" w:sz="0" w:space="0" w:color="auto"/>
      </w:divBdr>
    </w:div>
    <w:div w:id="1455712592">
      <w:bodyDiv w:val="1"/>
      <w:marLeft w:val="0"/>
      <w:marRight w:val="0"/>
      <w:marTop w:val="0"/>
      <w:marBottom w:val="0"/>
      <w:divBdr>
        <w:top w:val="none" w:sz="0" w:space="0" w:color="auto"/>
        <w:left w:val="none" w:sz="0" w:space="0" w:color="auto"/>
        <w:bottom w:val="none" w:sz="0" w:space="0" w:color="auto"/>
        <w:right w:val="none" w:sz="0" w:space="0" w:color="auto"/>
      </w:divBdr>
    </w:div>
    <w:div w:id="1455754974">
      <w:bodyDiv w:val="1"/>
      <w:marLeft w:val="0"/>
      <w:marRight w:val="0"/>
      <w:marTop w:val="0"/>
      <w:marBottom w:val="0"/>
      <w:divBdr>
        <w:top w:val="none" w:sz="0" w:space="0" w:color="auto"/>
        <w:left w:val="none" w:sz="0" w:space="0" w:color="auto"/>
        <w:bottom w:val="none" w:sz="0" w:space="0" w:color="auto"/>
        <w:right w:val="none" w:sz="0" w:space="0" w:color="auto"/>
      </w:divBdr>
    </w:div>
    <w:div w:id="1455904328">
      <w:bodyDiv w:val="1"/>
      <w:marLeft w:val="0"/>
      <w:marRight w:val="0"/>
      <w:marTop w:val="0"/>
      <w:marBottom w:val="0"/>
      <w:divBdr>
        <w:top w:val="none" w:sz="0" w:space="0" w:color="auto"/>
        <w:left w:val="none" w:sz="0" w:space="0" w:color="auto"/>
        <w:bottom w:val="none" w:sz="0" w:space="0" w:color="auto"/>
        <w:right w:val="none" w:sz="0" w:space="0" w:color="auto"/>
      </w:divBdr>
    </w:div>
    <w:div w:id="1455978524">
      <w:bodyDiv w:val="1"/>
      <w:marLeft w:val="0"/>
      <w:marRight w:val="0"/>
      <w:marTop w:val="0"/>
      <w:marBottom w:val="0"/>
      <w:divBdr>
        <w:top w:val="none" w:sz="0" w:space="0" w:color="auto"/>
        <w:left w:val="none" w:sz="0" w:space="0" w:color="auto"/>
        <w:bottom w:val="none" w:sz="0" w:space="0" w:color="auto"/>
        <w:right w:val="none" w:sz="0" w:space="0" w:color="auto"/>
      </w:divBdr>
    </w:div>
    <w:div w:id="1456094947">
      <w:bodyDiv w:val="1"/>
      <w:marLeft w:val="0"/>
      <w:marRight w:val="0"/>
      <w:marTop w:val="0"/>
      <w:marBottom w:val="0"/>
      <w:divBdr>
        <w:top w:val="none" w:sz="0" w:space="0" w:color="auto"/>
        <w:left w:val="none" w:sz="0" w:space="0" w:color="auto"/>
        <w:bottom w:val="none" w:sz="0" w:space="0" w:color="auto"/>
        <w:right w:val="none" w:sz="0" w:space="0" w:color="auto"/>
      </w:divBdr>
    </w:div>
    <w:div w:id="1456171092">
      <w:bodyDiv w:val="1"/>
      <w:marLeft w:val="0"/>
      <w:marRight w:val="0"/>
      <w:marTop w:val="0"/>
      <w:marBottom w:val="0"/>
      <w:divBdr>
        <w:top w:val="none" w:sz="0" w:space="0" w:color="auto"/>
        <w:left w:val="none" w:sz="0" w:space="0" w:color="auto"/>
        <w:bottom w:val="none" w:sz="0" w:space="0" w:color="auto"/>
        <w:right w:val="none" w:sz="0" w:space="0" w:color="auto"/>
      </w:divBdr>
    </w:div>
    <w:div w:id="1456219939">
      <w:bodyDiv w:val="1"/>
      <w:marLeft w:val="0"/>
      <w:marRight w:val="0"/>
      <w:marTop w:val="0"/>
      <w:marBottom w:val="0"/>
      <w:divBdr>
        <w:top w:val="none" w:sz="0" w:space="0" w:color="auto"/>
        <w:left w:val="none" w:sz="0" w:space="0" w:color="auto"/>
        <w:bottom w:val="none" w:sz="0" w:space="0" w:color="auto"/>
        <w:right w:val="none" w:sz="0" w:space="0" w:color="auto"/>
      </w:divBdr>
    </w:div>
    <w:div w:id="1456295010">
      <w:bodyDiv w:val="1"/>
      <w:marLeft w:val="0"/>
      <w:marRight w:val="0"/>
      <w:marTop w:val="0"/>
      <w:marBottom w:val="0"/>
      <w:divBdr>
        <w:top w:val="none" w:sz="0" w:space="0" w:color="auto"/>
        <w:left w:val="none" w:sz="0" w:space="0" w:color="auto"/>
        <w:bottom w:val="none" w:sz="0" w:space="0" w:color="auto"/>
        <w:right w:val="none" w:sz="0" w:space="0" w:color="auto"/>
      </w:divBdr>
    </w:div>
    <w:div w:id="1456484554">
      <w:bodyDiv w:val="1"/>
      <w:marLeft w:val="0"/>
      <w:marRight w:val="0"/>
      <w:marTop w:val="0"/>
      <w:marBottom w:val="0"/>
      <w:divBdr>
        <w:top w:val="none" w:sz="0" w:space="0" w:color="auto"/>
        <w:left w:val="none" w:sz="0" w:space="0" w:color="auto"/>
        <w:bottom w:val="none" w:sz="0" w:space="0" w:color="auto"/>
        <w:right w:val="none" w:sz="0" w:space="0" w:color="auto"/>
      </w:divBdr>
    </w:div>
    <w:div w:id="1456487267">
      <w:bodyDiv w:val="1"/>
      <w:marLeft w:val="0"/>
      <w:marRight w:val="0"/>
      <w:marTop w:val="0"/>
      <w:marBottom w:val="0"/>
      <w:divBdr>
        <w:top w:val="none" w:sz="0" w:space="0" w:color="auto"/>
        <w:left w:val="none" w:sz="0" w:space="0" w:color="auto"/>
        <w:bottom w:val="none" w:sz="0" w:space="0" w:color="auto"/>
        <w:right w:val="none" w:sz="0" w:space="0" w:color="auto"/>
      </w:divBdr>
    </w:div>
    <w:div w:id="1456604145">
      <w:bodyDiv w:val="1"/>
      <w:marLeft w:val="0"/>
      <w:marRight w:val="0"/>
      <w:marTop w:val="0"/>
      <w:marBottom w:val="0"/>
      <w:divBdr>
        <w:top w:val="none" w:sz="0" w:space="0" w:color="auto"/>
        <w:left w:val="none" w:sz="0" w:space="0" w:color="auto"/>
        <w:bottom w:val="none" w:sz="0" w:space="0" w:color="auto"/>
        <w:right w:val="none" w:sz="0" w:space="0" w:color="auto"/>
      </w:divBdr>
    </w:div>
    <w:div w:id="1456678220">
      <w:bodyDiv w:val="1"/>
      <w:marLeft w:val="0"/>
      <w:marRight w:val="0"/>
      <w:marTop w:val="0"/>
      <w:marBottom w:val="0"/>
      <w:divBdr>
        <w:top w:val="none" w:sz="0" w:space="0" w:color="auto"/>
        <w:left w:val="none" w:sz="0" w:space="0" w:color="auto"/>
        <w:bottom w:val="none" w:sz="0" w:space="0" w:color="auto"/>
        <w:right w:val="none" w:sz="0" w:space="0" w:color="auto"/>
      </w:divBdr>
    </w:div>
    <w:div w:id="1456749066">
      <w:bodyDiv w:val="1"/>
      <w:marLeft w:val="0"/>
      <w:marRight w:val="0"/>
      <w:marTop w:val="0"/>
      <w:marBottom w:val="0"/>
      <w:divBdr>
        <w:top w:val="none" w:sz="0" w:space="0" w:color="auto"/>
        <w:left w:val="none" w:sz="0" w:space="0" w:color="auto"/>
        <w:bottom w:val="none" w:sz="0" w:space="0" w:color="auto"/>
        <w:right w:val="none" w:sz="0" w:space="0" w:color="auto"/>
      </w:divBdr>
    </w:div>
    <w:div w:id="1456753347">
      <w:bodyDiv w:val="1"/>
      <w:marLeft w:val="0"/>
      <w:marRight w:val="0"/>
      <w:marTop w:val="0"/>
      <w:marBottom w:val="0"/>
      <w:divBdr>
        <w:top w:val="none" w:sz="0" w:space="0" w:color="auto"/>
        <w:left w:val="none" w:sz="0" w:space="0" w:color="auto"/>
        <w:bottom w:val="none" w:sz="0" w:space="0" w:color="auto"/>
        <w:right w:val="none" w:sz="0" w:space="0" w:color="auto"/>
      </w:divBdr>
    </w:div>
    <w:div w:id="1456831322">
      <w:bodyDiv w:val="1"/>
      <w:marLeft w:val="0"/>
      <w:marRight w:val="0"/>
      <w:marTop w:val="0"/>
      <w:marBottom w:val="0"/>
      <w:divBdr>
        <w:top w:val="none" w:sz="0" w:space="0" w:color="auto"/>
        <w:left w:val="none" w:sz="0" w:space="0" w:color="auto"/>
        <w:bottom w:val="none" w:sz="0" w:space="0" w:color="auto"/>
        <w:right w:val="none" w:sz="0" w:space="0" w:color="auto"/>
      </w:divBdr>
    </w:div>
    <w:div w:id="1456873330">
      <w:bodyDiv w:val="1"/>
      <w:marLeft w:val="0"/>
      <w:marRight w:val="0"/>
      <w:marTop w:val="0"/>
      <w:marBottom w:val="0"/>
      <w:divBdr>
        <w:top w:val="none" w:sz="0" w:space="0" w:color="auto"/>
        <w:left w:val="none" w:sz="0" w:space="0" w:color="auto"/>
        <w:bottom w:val="none" w:sz="0" w:space="0" w:color="auto"/>
        <w:right w:val="none" w:sz="0" w:space="0" w:color="auto"/>
      </w:divBdr>
    </w:div>
    <w:div w:id="1456945993">
      <w:bodyDiv w:val="1"/>
      <w:marLeft w:val="0"/>
      <w:marRight w:val="0"/>
      <w:marTop w:val="0"/>
      <w:marBottom w:val="0"/>
      <w:divBdr>
        <w:top w:val="none" w:sz="0" w:space="0" w:color="auto"/>
        <w:left w:val="none" w:sz="0" w:space="0" w:color="auto"/>
        <w:bottom w:val="none" w:sz="0" w:space="0" w:color="auto"/>
        <w:right w:val="none" w:sz="0" w:space="0" w:color="auto"/>
      </w:divBdr>
    </w:div>
    <w:div w:id="1457290218">
      <w:bodyDiv w:val="1"/>
      <w:marLeft w:val="0"/>
      <w:marRight w:val="0"/>
      <w:marTop w:val="0"/>
      <w:marBottom w:val="0"/>
      <w:divBdr>
        <w:top w:val="none" w:sz="0" w:space="0" w:color="auto"/>
        <w:left w:val="none" w:sz="0" w:space="0" w:color="auto"/>
        <w:bottom w:val="none" w:sz="0" w:space="0" w:color="auto"/>
        <w:right w:val="none" w:sz="0" w:space="0" w:color="auto"/>
      </w:divBdr>
    </w:div>
    <w:div w:id="1457749181">
      <w:bodyDiv w:val="1"/>
      <w:marLeft w:val="0"/>
      <w:marRight w:val="0"/>
      <w:marTop w:val="0"/>
      <w:marBottom w:val="0"/>
      <w:divBdr>
        <w:top w:val="none" w:sz="0" w:space="0" w:color="auto"/>
        <w:left w:val="none" w:sz="0" w:space="0" w:color="auto"/>
        <w:bottom w:val="none" w:sz="0" w:space="0" w:color="auto"/>
        <w:right w:val="none" w:sz="0" w:space="0" w:color="auto"/>
      </w:divBdr>
    </w:div>
    <w:div w:id="1457749369">
      <w:bodyDiv w:val="1"/>
      <w:marLeft w:val="0"/>
      <w:marRight w:val="0"/>
      <w:marTop w:val="0"/>
      <w:marBottom w:val="0"/>
      <w:divBdr>
        <w:top w:val="none" w:sz="0" w:space="0" w:color="auto"/>
        <w:left w:val="none" w:sz="0" w:space="0" w:color="auto"/>
        <w:bottom w:val="none" w:sz="0" w:space="0" w:color="auto"/>
        <w:right w:val="none" w:sz="0" w:space="0" w:color="auto"/>
      </w:divBdr>
    </w:div>
    <w:div w:id="1457799837">
      <w:bodyDiv w:val="1"/>
      <w:marLeft w:val="0"/>
      <w:marRight w:val="0"/>
      <w:marTop w:val="0"/>
      <w:marBottom w:val="0"/>
      <w:divBdr>
        <w:top w:val="none" w:sz="0" w:space="0" w:color="auto"/>
        <w:left w:val="none" w:sz="0" w:space="0" w:color="auto"/>
        <w:bottom w:val="none" w:sz="0" w:space="0" w:color="auto"/>
        <w:right w:val="none" w:sz="0" w:space="0" w:color="auto"/>
      </w:divBdr>
    </w:div>
    <w:div w:id="1457874717">
      <w:bodyDiv w:val="1"/>
      <w:marLeft w:val="0"/>
      <w:marRight w:val="0"/>
      <w:marTop w:val="0"/>
      <w:marBottom w:val="0"/>
      <w:divBdr>
        <w:top w:val="none" w:sz="0" w:space="0" w:color="auto"/>
        <w:left w:val="none" w:sz="0" w:space="0" w:color="auto"/>
        <w:bottom w:val="none" w:sz="0" w:space="0" w:color="auto"/>
        <w:right w:val="none" w:sz="0" w:space="0" w:color="auto"/>
      </w:divBdr>
    </w:div>
    <w:div w:id="1457914449">
      <w:bodyDiv w:val="1"/>
      <w:marLeft w:val="0"/>
      <w:marRight w:val="0"/>
      <w:marTop w:val="0"/>
      <w:marBottom w:val="0"/>
      <w:divBdr>
        <w:top w:val="none" w:sz="0" w:space="0" w:color="auto"/>
        <w:left w:val="none" w:sz="0" w:space="0" w:color="auto"/>
        <w:bottom w:val="none" w:sz="0" w:space="0" w:color="auto"/>
        <w:right w:val="none" w:sz="0" w:space="0" w:color="auto"/>
      </w:divBdr>
    </w:div>
    <w:div w:id="1457992668">
      <w:bodyDiv w:val="1"/>
      <w:marLeft w:val="0"/>
      <w:marRight w:val="0"/>
      <w:marTop w:val="0"/>
      <w:marBottom w:val="0"/>
      <w:divBdr>
        <w:top w:val="none" w:sz="0" w:space="0" w:color="auto"/>
        <w:left w:val="none" w:sz="0" w:space="0" w:color="auto"/>
        <w:bottom w:val="none" w:sz="0" w:space="0" w:color="auto"/>
        <w:right w:val="none" w:sz="0" w:space="0" w:color="auto"/>
      </w:divBdr>
    </w:div>
    <w:div w:id="1458448779">
      <w:bodyDiv w:val="1"/>
      <w:marLeft w:val="0"/>
      <w:marRight w:val="0"/>
      <w:marTop w:val="0"/>
      <w:marBottom w:val="0"/>
      <w:divBdr>
        <w:top w:val="none" w:sz="0" w:space="0" w:color="auto"/>
        <w:left w:val="none" w:sz="0" w:space="0" w:color="auto"/>
        <w:bottom w:val="none" w:sz="0" w:space="0" w:color="auto"/>
        <w:right w:val="none" w:sz="0" w:space="0" w:color="auto"/>
      </w:divBdr>
    </w:div>
    <w:div w:id="1458451206">
      <w:bodyDiv w:val="1"/>
      <w:marLeft w:val="0"/>
      <w:marRight w:val="0"/>
      <w:marTop w:val="0"/>
      <w:marBottom w:val="0"/>
      <w:divBdr>
        <w:top w:val="none" w:sz="0" w:space="0" w:color="auto"/>
        <w:left w:val="none" w:sz="0" w:space="0" w:color="auto"/>
        <w:bottom w:val="none" w:sz="0" w:space="0" w:color="auto"/>
        <w:right w:val="none" w:sz="0" w:space="0" w:color="auto"/>
      </w:divBdr>
    </w:div>
    <w:div w:id="1458723302">
      <w:bodyDiv w:val="1"/>
      <w:marLeft w:val="0"/>
      <w:marRight w:val="0"/>
      <w:marTop w:val="0"/>
      <w:marBottom w:val="0"/>
      <w:divBdr>
        <w:top w:val="none" w:sz="0" w:space="0" w:color="auto"/>
        <w:left w:val="none" w:sz="0" w:space="0" w:color="auto"/>
        <w:bottom w:val="none" w:sz="0" w:space="0" w:color="auto"/>
        <w:right w:val="none" w:sz="0" w:space="0" w:color="auto"/>
      </w:divBdr>
    </w:div>
    <w:div w:id="1458723903">
      <w:bodyDiv w:val="1"/>
      <w:marLeft w:val="0"/>
      <w:marRight w:val="0"/>
      <w:marTop w:val="0"/>
      <w:marBottom w:val="0"/>
      <w:divBdr>
        <w:top w:val="none" w:sz="0" w:space="0" w:color="auto"/>
        <w:left w:val="none" w:sz="0" w:space="0" w:color="auto"/>
        <w:bottom w:val="none" w:sz="0" w:space="0" w:color="auto"/>
        <w:right w:val="none" w:sz="0" w:space="0" w:color="auto"/>
      </w:divBdr>
    </w:div>
    <w:div w:id="1458791296">
      <w:bodyDiv w:val="1"/>
      <w:marLeft w:val="0"/>
      <w:marRight w:val="0"/>
      <w:marTop w:val="0"/>
      <w:marBottom w:val="0"/>
      <w:divBdr>
        <w:top w:val="none" w:sz="0" w:space="0" w:color="auto"/>
        <w:left w:val="none" w:sz="0" w:space="0" w:color="auto"/>
        <w:bottom w:val="none" w:sz="0" w:space="0" w:color="auto"/>
        <w:right w:val="none" w:sz="0" w:space="0" w:color="auto"/>
      </w:divBdr>
    </w:div>
    <w:div w:id="1459033756">
      <w:bodyDiv w:val="1"/>
      <w:marLeft w:val="0"/>
      <w:marRight w:val="0"/>
      <w:marTop w:val="0"/>
      <w:marBottom w:val="0"/>
      <w:divBdr>
        <w:top w:val="none" w:sz="0" w:space="0" w:color="auto"/>
        <w:left w:val="none" w:sz="0" w:space="0" w:color="auto"/>
        <w:bottom w:val="none" w:sz="0" w:space="0" w:color="auto"/>
        <w:right w:val="none" w:sz="0" w:space="0" w:color="auto"/>
      </w:divBdr>
    </w:div>
    <w:div w:id="1459296678">
      <w:bodyDiv w:val="1"/>
      <w:marLeft w:val="0"/>
      <w:marRight w:val="0"/>
      <w:marTop w:val="0"/>
      <w:marBottom w:val="0"/>
      <w:divBdr>
        <w:top w:val="none" w:sz="0" w:space="0" w:color="auto"/>
        <w:left w:val="none" w:sz="0" w:space="0" w:color="auto"/>
        <w:bottom w:val="none" w:sz="0" w:space="0" w:color="auto"/>
        <w:right w:val="none" w:sz="0" w:space="0" w:color="auto"/>
      </w:divBdr>
    </w:div>
    <w:div w:id="1459297661">
      <w:bodyDiv w:val="1"/>
      <w:marLeft w:val="0"/>
      <w:marRight w:val="0"/>
      <w:marTop w:val="0"/>
      <w:marBottom w:val="0"/>
      <w:divBdr>
        <w:top w:val="none" w:sz="0" w:space="0" w:color="auto"/>
        <w:left w:val="none" w:sz="0" w:space="0" w:color="auto"/>
        <w:bottom w:val="none" w:sz="0" w:space="0" w:color="auto"/>
        <w:right w:val="none" w:sz="0" w:space="0" w:color="auto"/>
      </w:divBdr>
    </w:div>
    <w:div w:id="1459449797">
      <w:bodyDiv w:val="1"/>
      <w:marLeft w:val="0"/>
      <w:marRight w:val="0"/>
      <w:marTop w:val="0"/>
      <w:marBottom w:val="0"/>
      <w:divBdr>
        <w:top w:val="none" w:sz="0" w:space="0" w:color="auto"/>
        <w:left w:val="none" w:sz="0" w:space="0" w:color="auto"/>
        <w:bottom w:val="none" w:sz="0" w:space="0" w:color="auto"/>
        <w:right w:val="none" w:sz="0" w:space="0" w:color="auto"/>
      </w:divBdr>
    </w:div>
    <w:div w:id="1459491969">
      <w:bodyDiv w:val="1"/>
      <w:marLeft w:val="0"/>
      <w:marRight w:val="0"/>
      <w:marTop w:val="0"/>
      <w:marBottom w:val="0"/>
      <w:divBdr>
        <w:top w:val="none" w:sz="0" w:space="0" w:color="auto"/>
        <w:left w:val="none" w:sz="0" w:space="0" w:color="auto"/>
        <w:bottom w:val="none" w:sz="0" w:space="0" w:color="auto"/>
        <w:right w:val="none" w:sz="0" w:space="0" w:color="auto"/>
      </w:divBdr>
    </w:div>
    <w:div w:id="1459565715">
      <w:bodyDiv w:val="1"/>
      <w:marLeft w:val="0"/>
      <w:marRight w:val="0"/>
      <w:marTop w:val="0"/>
      <w:marBottom w:val="0"/>
      <w:divBdr>
        <w:top w:val="none" w:sz="0" w:space="0" w:color="auto"/>
        <w:left w:val="none" w:sz="0" w:space="0" w:color="auto"/>
        <w:bottom w:val="none" w:sz="0" w:space="0" w:color="auto"/>
        <w:right w:val="none" w:sz="0" w:space="0" w:color="auto"/>
      </w:divBdr>
    </w:div>
    <w:div w:id="1459569530">
      <w:bodyDiv w:val="1"/>
      <w:marLeft w:val="0"/>
      <w:marRight w:val="0"/>
      <w:marTop w:val="0"/>
      <w:marBottom w:val="0"/>
      <w:divBdr>
        <w:top w:val="none" w:sz="0" w:space="0" w:color="auto"/>
        <w:left w:val="none" w:sz="0" w:space="0" w:color="auto"/>
        <w:bottom w:val="none" w:sz="0" w:space="0" w:color="auto"/>
        <w:right w:val="none" w:sz="0" w:space="0" w:color="auto"/>
      </w:divBdr>
    </w:div>
    <w:div w:id="1459569575">
      <w:bodyDiv w:val="1"/>
      <w:marLeft w:val="0"/>
      <w:marRight w:val="0"/>
      <w:marTop w:val="0"/>
      <w:marBottom w:val="0"/>
      <w:divBdr>
        <w:top w:val="none" w:sz="0" w:space="0" w:color="auto"/>
        <w:left w:val="none" w:sz="0" w:space="0" w:color="auto"/>
        <w:bottom w:val="none" w:sz="0" w:space="0" w:color="auto"/>
        <w:right w:val="none" w:sz="0" w:space="0" w:color="auto"/>
      </w:divBdr>
    </w:div>
    <w:div w:id="1459638840">
      <w:bodyDiv w:val="1"/>
      <w:marLeft w:val="0"/>
      <w:marRight w:val="0"/>
      <w:marTop w:val="0"/>
      <w:marBottom w:val="0"/>
      <w:divBdr>
        <w:top w:val="none" w:sz="0" w:space="0" w:color="auto"/>
        <w:left w:val="none" w:sz="0" w:space="0" w:color="auto"/>
        <w:bottom w:val="none" w:sz="0" w:space="0" w:color="auto"/>
        <w:right w:val="none" w:sz="0" w:space="0" w:color="auto"/>
      </w:divBdr>
    </w:div>
    <w:div w:id="1459690476">
      <w:bodyDiv w:val="1"/>
      <w:marLeft w:val="0"/>
      <w:marRight w:val="0"/>
      <w:marTop w:val="0"/>
      <w:marBottom w:val="0"/>
      <w:divBdr>
        <w:top w:val="none" w:sz="0" w:space="0" w:color="auto"/>
        <w:left w:val="none" w:sz="0" w:space="0" w:color="auto"/>
        <w:bottom w:val="none" w:sz="0" w:space="0" w:color="auto"/>
        <w:right w:val="none" w:sz="0" w:space="0" w:color="auto"/>
      </w:divBdr>
    </w:div>
    <w:div w:id="1460024959">
      <w:bodyDiv w:val="1"/>
      <w:marLeft w:val="0"/>
      <w:marRight w:val="0"/>
      <w:marTop w:val="0"/>
      <w:marBottom w:val="0"/>
      <w:divBdr>
        <w:top w:val="none" w:sz="0" w:space="0" w:color="auto"/>
        <w:left w:val="none" w:sz="0" w:space="0" w:color="auto"/>
        <w:bottom w:val="none" w:sz="0" w:space="0" w:color="auto"/>
        <w:right w:val="none" w:sz="0" w:space="0" w:color="auto"/>
      </w:divBdr>
    </w:div>
    <w:div w:id="1460025921">
      <w:bodyDiv w:val="1"/>
      <w:marLeft w:val="0"/>
      <w:marRight w:val="0"/>
      <w:marTop w:val="0"/>
      <w:marBottom w:val="0"/>
      <w:divBdr>
        <w:top w:val="none" w:sz="0" w:space="0" w:color="auto"/>
        <w:left w:val="none" w:sz="0" w:space="0" w:color="auto"/>
        <w:bottom w:val="none" w:sz="0" w:space="0" w:color="auto"/>
        <w:right w:val="none" w:sz="0" w:space="0" w:color="auto"/>
      </w:divBdr>
    </w:div>
    <w:div w:id="1460227702">
      <w:bodyDiv w:val="1"/>
      <w:marLeft w:val="0"/>
      <w:marRight w:val="0"/>
      <w:marTop w:val="0"/>
      <w:marBottom w:val="0"/>
      <w:divBdr>
        <w:top w:val="none" w:sz="0" w:space="0" w:color="auto"/>
        <w:left w:val="none" w:sz="0" w:space="0" w:color="auto"/>
        <w:bottom w:val="none" w:sz="0" w:space="0" w:color="auto"/>
        <w:right w:val="none" w:sz="0" w:space="0" w:color="auto"/>
      </w:divBdr>
    </w:div>
    <w:div w:id="1460303332">
      <w:bodyDiv w:val="1"/>
      <w:marLeft w:val="0"/>
      <w:marRight w:val="0"/>
      <w:marTop w:val="0"/>
      <w:marBottom w:val="0"/>
      <w:divBdr>
        <w:top w:val="none" w:sz="0" w:space="0" w:color="auto"/>
        <w:left w:val="none" w:sz="0" w:space="0" w:color="auto"/>
        <w:bottom w:val="none" w:sz="0" w:space="0" w:color="auto"/>
        <w:right w:val="none" w:sz="0" w:space="0" w:color="auto"/>
      </w:divBdr>
    </w:div>
    <w:div w:id="1460411591">
      <w:bodyDiv w:val="1"/>
      <w:marLeft w:val="0"/>
      <w:marRight w:val="0"/>
      <w:marTop w:val="0"/>
      <w:marBottom w:val="0"/>
      <w:divBdr>
        <w:top w:val="none" w:sz="0" w:space="0" w:color="auto"/>
        <w:left w:val="none" w:sz="0" w:space="0" w:color="auto"/>
        <w:bottom w:val="none" w:sz="0" w:space="0" w:color="auto"/>
        <w:right w:val="none" w:sz="0" w:space="0" w:color="auto"/>
      </w:divBdr>
    </w:div>
    <w:div w:id="1460492959">
      <w:bodyDiv w:val="1"/>
      <w:marLeft w:val="0"/>
      <w:marRight w:val="0"/>
      <w:marTop w:val="0"/>
      <w:marBottom w:val="0"/>
      <w:divBdr>
        <w:top w:val="none" w:sz="0" w:space="0" w:color="auto"/>
        <w:left w:val="none" w:sz="0" w:space="0" w:color="auto"/>
        <w:bottom w:val="none" w:sz="0" w:space="0" w:color="auto"/>
        <w:right w:val="none" w:sz="0" w:space="0" w:color="auto"/>
      </w:divBdr>
    </w:div>
    <w:div w:id="1460684635">
      <w:bodyDiv w:val="1"/>
      <w:marLeft w:val="0"/>
      <w:marRight w:val="0"/>
      <w:marTop w:val="0"/>
      <w:marBottom w:val="0"/>
      <w:divBdr>
        <w:top w:val="none" w:sz="0" w:space="0" w:color="auto"/>
        <w:left w:val="none" w:sz="0" w:space="0" w:color="auto"/>
        <w:bottom w:val="none" w:sz="0" w:space="0" w:color="auto"/>
        <w:right w:val="none" w:sz="0" w:space="0" w:color="auto"/>
      </w:divBdr>
    </w:div>
    <w:div w:id="1460764327">
      <w:bodyDiv w:val="1"/>
      <w:marLeft w:val="0"/>
      <w:marRight w:val="0"/>
      <w:marTop w:val="0"/>
      <w:marBottom w:val="0"/>
      <w:divBdr>
        <w:top w:val="none" w:sz="0" w:space="0" w:color="auto"/>
        <w:left w:val="none" w:sz="0" w:space="0" w:color="auto"/>
        <w:bottom w:val="none" w:sz="0" w:space="0" w:color="auto"/>
        <w:right w:val="none" w:sz="0" w:space="0" w:color="auto"/>
      </w:divBdr>
    </w:div>
    <w:div w:id="1460879951">
      <w:bodyDiv w:val="1"/>
      <w:marLeft w:val="0"/>
      <w:marRight w:val="0"/>
      <w:marTop w:val="0"/>
      <w:marBottom w:val="0"/>
      <w:divBdr>
        <w:top w:val="none" w:sz="0" w:space="0" w:color="auto"/>
        <w:left w:val="none" w:sz="0" w:space="0" w:color="auto"/>
        <w:bottom w:val="none" w:sz="0" w:space="0" w:color="auto"/>
        <w:right w:val="none" w:sz="0" w:space="0" w:color="auto"/>
      </w:divBdr>
    </w:div>
    <w:div w:id="1460957933">
      <w:bodyDiv w:val="1"/>
      <w:marLeft w:val="0"/>
      <w:marRight w:val="0"/>
      <w:marTop w:val="0"/>
      <w:marBottom w:val="0"/>
      <w:divBdr>
        <w:top w:val="none" w:sz="0" w:space="0" w:color="auto"/>
        <w:left w:val="none" w:sz="0" w:space="0" w:color="auto"/>
        <w:bottom w:val="none" w:sz="0" w:space="0" w:color="auto"/>
        <w:right w:val="none" w:sz="0" w:space="0" w:color="auto"/>
      </w:divBdr>
    </w:div>
    <w:div w:id="1461145387">
      <w:bodyDiv w:val="1"/>
      <w:marLeft w:val="0"/>
      <w:marRight w:val="0"/>
      <w:marTop w:val="0"/>
      <w:marBottom w:val="0"/>
      <w:divBdr>
        <w:top w:val="none" w:sz="0" w:space="0" w:color="auto"/>
        <w:left w:val="none" w:sz="0" w:space="0" w:color="auto"/>
        <w:bottom w:val="none" w:sz="0" w:space="0" w:color="auto"/>
        <w:right w:val="none" w:sz="0" w:space="0" w:color="auto"/>
      </w:divBdr>
    </w:div>
    <w:div w:id="1461267616">
      <w:bodyDiv w:val="1"/>
      <w:marLeft w:val="0"/>
      <w:marRight w:val="0"/>
      <w:marTop w:val="0"/>
      <w:marBottom w:val="0"/>
      <w:divBdr>
        <w:top w:val="none" w:sz="0" w:space="0" w:color="auto"/>
        <w:left w:val="none" w:sz="0" w:space="0" w:color="auto"/>
        <w:bottom w:val="none" w:sz="0" w:space="0" w:color="auto"/>
        <w:right w:val="none" w:sz="0" w:space="0" w:color="auto"/>
      </w:divBdr>
    </w:div>
    <w:div w:id="1461455715">
      <w:bodyDiv w:val="1"/>
      <w:marLeft w:val="0"/>
      <w:marRight w:val="0"/>
      <w:marTop w:val="0"/>
      <w:marBottom w:val="0"/>
      <w:divBdr>
        <w:top w:val="none" w:sz="0" w:space="0" w:color="auto"/>
        <w:left w:val="none" w:sz="0" w:space="0" w:color="auto"/>
        <w:bottom w:val="none" w:sz="0" w:space="0" w:color="auto"/>
        <w:right w:val="none" w:sz="0" w:space="0" w:color="auto"/>
      </w:divBdr>
    </w:div>
    <w:div w:id="1461650786">
      <w:bodyDiv w:val="1"/>
      <w:marLeft w:val="0"/>
      <w:marRight w:val="0"/>
      <w:marTop w:val="0"/>
      <w:marBottom w:val="0"/>
      <w:divBdr>
        <w:top w:val="none" w:sz="0" w:space="0" w:color="auto"/>
        <w:left w:val="none" w:sz="0" w:space="0" w:color="auto"/>
        <w:bottom w:val="none" w:sz="0" w:space="0" w:color="auto"/>
        <w:right w:val="none" w:sz="0" w:space="0" w:color="auto"/>
      </w:divBdr>
    </w:div>
    <w:div w:id="1461729776">
      <w:bodyDiv w:val="1"/>
      <w:marLeft w:val="0"/>
      <w:marRight w:val="0"/>
      <w:marTop w:val="0"/>
      <w:marBottom w:val="0"/>
      <w:divBdr>
        <w:top w:val="none" w:sz="0" w:space="0" w:color="auto"/>
        <w:left w:val="none" w:sz="0" w:space="0" w:color="auto"/>
        <w:bottom w:val="none" w:sz="0" w:space="0" w:color="auto"/>
        <w:right w:val="none" w:sz="0" w:space="0" w:color="auto"/>
      </w:divBdr>
    </w:div>
    <w:div w:id="1461918982">
      <w:bodyDiv w:val="1"/>
      <w:marLeft w:val="0"/>
      <w:marRight w:val="0"/>
      <w:marTop w:val="0"/>
      <w:marBottom w:val="0"/>
      <w:divBdr>
        <w:top w:val="none" w:sz="0" w:space="0" w:color="auto"/>
        <w:left w:val="none" w:sz="0" w:space="0" w:color="auto"/>
        <w:bottom w:val="none" w:sz="0" w:space="0" w:color="auto"/>
        <w:right w:val="none" w:sz="0" w:space="0" w:color="auto"/>
      </w:divBdr>
    </w:div>
    <w:div w:id="1462188800">
      <w:bodyDiv w:val="1"/>
      <w:marLeft w:val="0"/>
      <w:marRight w:val="0"/>
      <w:marTop w:val="0"/>
      <w:marBottom w:val="0"/>
      <w:divBdr>
        <w:top w:val="none" w:sz="0" w:space="0" w:color="auto"/>
        <w:left w:val="none" w:sz="0" w:space="0" w:color="auto"/>
        <w:bottom w:val="none" w:sz="0" w:space="0" w:color="auto"/>
        <w:right w:val="none" w:sz="0" w:space="0" w:color="auto"/>
      </w:divBdr>
    </w:div>
    <w:div w:id="1462310695">
      <w:bodyDiv w:val="1"/>
      <w:marLeft w:val="0"/>
      <w:marRight w:val="0"/>
      <w:marTop w:val="0"/>
      <w:marBottom w:val="0"/>
      <w:divBdr>
        <w:top w:val="none" w:sz="0" w:space="0" w:color="auto"/>
        <w:left w:val="none" w:sz="0" w:space="0" w:color="auto"/>
        <w:bottom w:val="none" w:sz="0" w:space="0" w:color="auto"/>
        <w:right w:val="none" w:sz="0" w:space="0" w:color="auto"/>
      </w:divBdr>
    </w:div>
    <w:div w:id="1462335817">
      <w:bodyDiv w:val="1"/>
      <w:marLeft w:val="0"/>
      <w:marRight w:val="0"/>
      <w:marTop w:val="0"/>
      <w:marBottom w:val="0"/>
      <w:divBdr>
        <w:top w:val="none" w:sz="0" w:space="0" w:color="auto"/>
        <w:left w:val="none" w:sz="0" w:space="0" w:color="auto"/>
        <w:bottom w:val="none" w:sz="0" w:space="0" w:color="auto"/>
        <w:right w:val="none" w:sz="0" w:space="0" w:color="auto"/>
      </w:divBdr>
    </w:div>
    <w:div w:id="1462380542">
      <w:bodyDiv w:val="1"/>
      <w:marLeft w:val="0"/>
      <w:marRight w:val="0"/>
      <w:marTop w:val="0"/>
      <w:marBottom w:val="0"/>
      <w:divBdr>
        <w:top w:val="none" w:sz="0" w:space="0" w:color="auto"/>
        <w:left w:val="none" w:sz="0" w:space="0" w:color="auto"/>
        <w:bottom w:val="none" w:sz="0" w:space="0" w:color="auto"/>
        <w:right w:val="none" w:sz="0" w:space="0" w:color="auto"/>
      </w:divBdr>
    </w:div>
    <w:div w:id="1462382228">
      <w:bodyDiv w:val="1"/>
      <w:marLeft w:val="0"/>
      <w:marRight w:val="0"/>
      <w:marTop w:val="0"/>
      <w:marBottom w:val="0"/>
      <w:divBdr>
        <w:top w:val="none" w:sz="0" w:space="0" w:color="auto"/>
        <w:left w:val="none" w:sz="0" w:space="0" w:color="auto"/>
        <w:bottom w:val="none" w:sz="0" w:space="0" w:color="auto"/>
        <w:right w:val="none" w:sz="0" w:space="0" w:color="auto"/>
      </w:divBdr>
    </w:div>
    <w:div w:id="1462503424">
      <w:bodyDiv w:val="1"/>
      <w:marLeft w:val="0"/>
      <w:marRight w:val="0"/>
      <w:marTop w:val="0"/>
      <w:marBottom w:val="0"/>
      <w:divBdr>
        <w:top w:val="none" w:sz="0" w:space="0" w:color="auto"/>
        <w:left w:val="none" w:sz="0" w:space="0" w:color="auto"/>
        <w:bottom w:val="none" w:sz="0" w:space="0" w:color="auto"/>
        <w:right w:val="none" w:sz="0" w:space="0" w:color="auto"/>
      </w:divBdr>
    </w:div>
    <w:div w:id="1462571035">
      <w:bodyDiv w:val="1"/>
      <w:marLeft w:val="0"/>
      <w:marRight w:val="0"/>
      <w:marTop w:val="0"/>
      <w:marBottom w:val="0"/>
      <w:divBdr>
        <w:top w:val="none" w:sz="0" w:space="0" w:color="auto"/>
        <w:left w:val="none" w:sz="0" w:space="0" w:color="auto"/>
        <w:bottom w:val="none" w:sz="0" w:space="0" w:color="auto"/>
        <w:right w:val="none" w:sz="0" w:space="0" w:color="auto"/>
      </w:divBdr>
    </w:div>
    <w:div w:id="1462572230">
      <w:bodyDiv w:val="1"/>
      <w:marLeft w:val="0"/>
      <w:marRight w:val="0"/>
      <w:marTop w:val="0"/>
      <w:marBottom w:val="0"/>
      <w:divBdr>
        <w:top w:val="none" w:sz="0" w:space="0" w:color="auto"/>
        <w:left w:val="none" w:sz="0" w:space="0" w:color="auto"/>
        <w:bottom w:val="none" w:sz="0" w:space="0" w:color="auto"/>
        <w:right w:val="none" w:sz="0" w:space="0" w:color="auto"/>
      </w:divBdr>
    </w:div>
    <w:div w:id="1462654575">
      <w:bodyDiv w:val="1"/>
      <w:marLeft w:val="0"/>
      <w:marRight w:val="0"/>
      <w:marTop w:val="0"/>
      <w:marBottom w:val="0"/>
      <w:divBdr>
        <w:top w:val="none" w:sz="0" w:space="0" w:color="auto"/>
        <w:left w:val="none" w:sz="0" w:space="0" w:color="auto"/>
        <w:bottom w:val="none" w:sz="0" w:space="0" w:color="auto"/>
        <w:right w:val="none" w:sz="0" w:space="0" w:color="auto"/>
      </w:divBdr>
    </w:div>
    <w:div w:id="1462767311">
      <w:bodyDiv w:val="1"/>
      <w:marLeft w:val="0"/>
      <w:marRight w:val="0"/>
      <w:marTop w:val="0"/>
      <w:marBottom w:val="0"/>
      <w:divBdr>
        <w:top w:val="none" w:sz="0" w:space="0" w:color="auto"/>
        <w:left w:val="none" w:sz="0" w:space="0" w:color="auto"/>
        <w:bottom w:val="none" w:sz="0" w:space="0" w:color="auto"/>
        <w:right w:val="none" w:sz="0" w:space="0" w:color="auto"/>
      </w:divBdr>
    </w:div>
    <w:div w:id="1462771588">
      <w:bodyDiv w:val="1"/>
      <w:marLeft w:val="0"/>
      <w:marRight w:val="0"/>
      <w:marTop w:val="0"/>
      <w:marBottom w:val="0"/>
      <w:divBdr>
        <w:top w:val="none" w:sz="0" w:space="0" w:color="auto"/>
        <w:left w:val="none" w:sz="0" w:space="0" w:color="auto"/>
        <w:bottom w:val="none" w:sz="0" w:space="0" w:color="auto"/>
        <w:right w:val="none" w:sz="0" w:space="0" w:color="auto"/>
      </w:divBdr>
    </w:div>
    <w:div w:id="1462840964">
      <w:bodyDiv w:val="1"/>
      <w:marLeft w:val="0"/>
      <w:marRight w:val="0"/>
      <w:marTop w:val="0"/>
      <w:marBottom w:val="0"/>
      <w:divBdr>
        <w:top w:val="none" w:sz="0" w:space="0" w:color="auto"/>
        <w:left w:val="none" w:sz="0" w:space="0" w:color="auto"/>
        <w:bottom w:val="none" w:sz="0" w:space="0" w:color="auto"/>
        <w:right w:val="none" w:sz="0" w:space="0" w:color="auto"/>
      </w:divBdr>
    </w:div>
    <w:div w:id="1462965891">
      <w:bodyDiv w:val="1"/>
      <w:marLeft w:val="0"/>
      <w:marRight w:val="0"/>
      <w:marTop w:val="0"/>
      <w:marBottom w:val="0"/>
      <w:divBdr>
        <w:top w:val="none" w:sz="0" w:space="0" w:color="auto"/>
        <w:left w:val="none" w:sz="0" w:space="0" w:color="auto"/>
        <w:bottom w:val="none" w:sz="0" w:space="0" w:color="auto"/>
        <w:right w:val="none" w:sz="0" w:space="0" w:color="auto"/>
      </w:divBdr>
    </w:div>
    <w:div w:id="1463033240">
      <w:bodyDiv w:val="1"/>
      <w:marLeft w:val="0"/>
      <w:marRight w:val="0"/>
      <w:marTop w:val="0"/>
      <w:marBottom w:val="0"/>
      <w:divBdr>
        <w:top w:val="none" w:sz="0" w:space="0" w:color="auto"/>
        <w:left w:val="none" w:sz="0" w:space="0" w:color="auto"/>
        <w:bottom w:val="none" w:sz="0" w:space="0" w:color="auto"/>
        <w:right w:val="none" w:sz="0" w:space="0" w:color="auto"/>
      </w:divBdr>
    </w:div>
    <w:div w:id="1463108113">
      <w:bodyDiv w:val="1"/>
      <w:marLeft w:val="0"/>
      <w:marRight w:val="0"/>
      <w:marTop w:val="0"/>
      <w:marBottom w:val="0"/>
      <w:divBdr>
        <w:top w:val="none" w:sz="0" w:space="0" w:color="auto"/>
        <w:left w:val="none" w:sz="0" w:space="0" w:color="auto"/>
        <w:bottom w:val="none" w:sz="0" w:space="0" w:color="auto"/>
        <w:right w:val="none" w:sz="0" w:space="0" w:color="auto"/>
      </w:divBdr>
    </w:div>
    <w:div w:id="1463117650">
      <w:bodyDiv w:val="1"/>
      <w:marLeft w:val="0"/>
      <w:marRight w:val="0"/>
      <w:marTop w:val="0"/>
      <w:marBottom w:val="0"/>
      <w:divBdr>
        <w:top w:val="none" w:sz="0" w:space="0" w:color="auto"/>
        <w:left w:val="none" w:sz="0" w:space="0" w:color="auto"/>
        <w:bottom w:val="none" w:sz="0" w:space="0" w:color="auto"/>
        <w:right w:val="none" w:sz="0" w:space="0" w:color="auto"/>
      </w:divBdr>
    </w:div>
    <w:div w:id="1463227042">
      <w:bodyDiv w:val="1"/>
      <w:marLeft w:val="0"/>
      <w:marRight w:val="0"/>
      <w:marTop w:val="0"/>
      <w:marBottom w:val="0"/>
      <w:divBdr>
        <w:top w:val="none" w:sz="0" w:space="0" w:color="auto"/>
        <w:left w:val="none" w:sz="0" w:space="0" w:color="auto"/>
        <w:bottom w:val="none" w:sz="0" w:space="0" w:color="auto"/>
        <w:right w:val="none" w:sz="0" w:space="0" w:color="auto"/>
      </w:divBdr>
    </w:div>
    <w:div w:id="1463233372">
      <w:bodyDiv w:val="1"/>
      <w:marLeft w:val="0"/>
      <w:marRight w:val="0"/>
      <w:marTop w:val="0"/>
      <w:marBottom w:val="0"/>
      <w:divBdr>
        <w:top w:val="none" w:sz="0" w:space="0" w:color="auto"/>
        <w:left w:val="none" w:sz="0" w:space="0" w:color="auto"/>
        <w:bottom w:val="none" w:sz="0" w:space="0" w:color="auto"/>
        <w:right w:val="none" w:sz="0" w:space="0" w:color="auto"/>
      </w:divBdr>
    </w:div>
    <w:div w:id="1463309761">
      <w:bodyDiv w:val="1"/>
      <w:marLeft w:val="0"/>
      <w:marRight w:val="0"/>
      <w:marTop w:val="0"/>
      <w:marBottom w:val="0"/>
      <w:divBdr>
        <w:top w:val="none" w:sz="0" w:space="0" w:color="auto"/>
        <w:left w:val="none" w:sz="0" w:space="0" w:color="auto"/>
        <w:bottom w:val="none" w:sz="0" w:space="0" w:color="auto"/>
        <w:right w:val="none" w:sz="0" w:space="0" w:color="auto"/>
      </w:divBdr>
    </w:div>
    <w:div w:id="1463421383">
      <w:bodyDiv w:val="1"/>
      <w:marLeft w:val="0"/>
      <w:marRight w:val="0"/>
      <w:marTop w:val="0"/>
      <w:marBottom w:val="0"/>
      <w:divBdr>
        <w:top w:val="none" w:sz="0" w:space="0" w:color="auto"/>
        <w:left w:val="none" w:sz="0" w:space="0" w:color="auto"/>
        <w:bottom w:val="none" w:sz="0" w:space="0" w:color="auto"/>
        <w:right w:val="none" w:sz="0" w:space="0" w:color="auto"/>
      </w:divBdr>
    </w:div>
    <w:div w:id="1463421826">
      <w:bodyDiv w:val="1"/>
      <w:marLeft w:val="0"/>
      <w:marRight w:val="0"/>
      <w:marTop w:val="0"/>
      <w:marBottom w:val="0"/>
      <w:divBdr>
        <w:top w:val="none" w:sz="0" w:space="0" w:color="auto"/>
        <w:left w:val="none" w:sz="0" w:space="0" w:color="auto"/>
        <w:bottom w:val="none" w:sz="0" w:space="0" w:color="auto"/>
        <w:right w:val="none" w:sz="0" w:space="0" w:color="auto"/>
      </w:divBdr>
    </w:div>
    <w:div w:id="1463421885">
      <w:bodyDiv w:val="1"/>
      <w:marLeft w:val="0"/>
      <w:marRight w:val="0"/>
      <w:marTop w:val="0"/>
      <w:marBottom w:val="0"/>
      <w:divBdr>
        <w:top w:val="none" w:sz="0" w:space="0" w:color="auto"/>
        <w:left w:val="none" w:sz="0" w:space="0" w:color="auto"/>
        <w:bottom w:val="none" w:sz="0" w:space="0" w:color="auto"/>
        <w:right w:val="none" w:sz="0" w:space="0" w:color="auto"/>
      </w:divBdr>
    </w:div>
    <w:div w:id="1463620604">
      <w:bodyDiv w:val="1"/>
      <w:marLeft w:val="0"/>
      <w:marRight w:val="0"/>
      <w:marTop w:val="0"/>
      <w:marBottom w:val="0"/>
      <w:divBdr>
        <w:top w:val="none" w:sz="0" w:space="0" w:color="auto"/>
        <w:left w:val="none" w:sz="0" w:space="0" w:color="auto"/>
        <w:bottom w:val="none" w:sz="0" w:space="0" w:color="auto"/>
        <w:right w:val="none" w:sz="0" w:space="0" w:color="auto"/>
      </w:divBdr>
    </w:div>
    <w:div w:id="1463767457">
      <w:bodyDiv w:val="1"/>
      <w:marLeft w:val="0"/>
      <w:marRight w:val="0"/>
      <w:marTop w:val="0"/>
      <w:marBottom w:val="0"/>
      <w:divBdr>
        <w:top w:val="none" w:sz="0" w:space="0" w:color="auto"/>
        <w:left w:val="none" w:sz="0" w:space="0" w:color="auto"/>
        <w:bottom w:val="none" w:sz="0" w:space="0" w:color="auto"/>
        <w:right w:val="none" w:sz="0" w:space="0" w:color="auto"/>
      </w:divBdr>
    </w:div>
    <w:div w:id="1463884699">
      <w:bodyDiv w:val="1"/>
      <w:marLeft w:val="0"/>
      <w:marRight w:val="0"/>
      <w:marTop w:val="0"/>
      <w:marBottom w:val="0"/>
      <w:divBdr>
        <w:top w:val="none" w:sz="0" w:space="0" w:color="auto"/>
        <w:left w:val="none" w:sz="0" w:space="0" w:color="auto"/>
        <w:bottom w:val="none" w:sz="0" w:space="0" w:color="auto"/>
        <w:right w:val="none" w:sz="0" w:space="0" w:color="auto"/>
      </w:divBdr>
    </w:div>
    <w:div w:id="1463956879">
      <w:bodyDiv w:val="1"/>
      <w:marLeft w:val="0"/>
      <w:marRight w:val="0"/>
      <w:marTop w:val="0"/>
      <w:marBottom w:val="0"/>
      <w:divBdr>
        <w:top w:val="none" w:sz="0" w:space="0" w:color="auto"/>
        <w:left w:val="none" w:sz="0" w:space="0" w:color="auto"/>
        <w:bottom w:val="none" w:sz="0" w:space="0" w:color="auto"/>
        <w:right w:val="none" w:sz="0" w:space="0" w:color="auto"/>
      </w:divBdr>
    </w:div>
    <w:div w:id="1464033991">
      <w:bodyDiv w:val="1"/>
      <w:marLeft w:val="0"/>
      <w:marRight w:val="0"/>
      <w:marTop w:val="0"/>
      <w:marBottom w:val="0"/>
      <w:divBdr>
        <w:top w:val="none" w:sz="0" w:space="0" w:color="auto"/>
        <w:left w:val="none" w:sz="0" w:space="0" w:color="auto"/>
        <w:bottom w:val="none" w:sz="0" w:space="0" w:color="auto"/>
        <w:right w:val="none" w:sz="0" w:space="0" w:color="auto"/>
      </w:divBdr>
    </w:div>
    <w:div w:id="1464037214">
      <w:bodyDiv w:val="1"/>
      <w:marLeft w:val="0"/>
      <w:marRight w:val="0"/>
      <w:marTop w:val="0"/>
      <w:marBottom w:val="0"/>
      <w:divBdr>
        <w:top w:val="none" w:sz="0" w:space="0" w:color="auto"/>
        <w:left w:val="none" w:sz="0" w:space="0" w:color="auto"/>
        <w:bottom w:val="none" w:sz="0" w:space="0" w:color="auto"/>
        <w:right w:val="none" w:sz="0" w:space="0" w:color="auto"/>
      </w:divBdr>
    </w:div>
    <w:div w:id="1464079541">
      <w:bodyDiv w:val="1"/>
      <w:marLeft w:val="0"/>
      <w:marRight w:val="0"/>
      <w:marTop w:val="0"/>
      <w:marBottom w:val="0"/>
      <w:divBdr>
        <w:top w:val="none" w:sz="0" w:space="0" w:color="auto"/>
        <w:left w:val="none" w:sz="0" w:space="0" w:color="auto"/>
        <w:bottom w:val="none" w:sz="0" w:space="0" w:color="auto"/>
        <w:right w:val="none" w:sz="0" w:space="0" w:color="auto"/>
      </w:divBdr>
    </w:div>
    <w:div w:id="1464081452">
      <w:bodyDiv w:val="1"/>
      <w:marLeft w:val="0"/>
      <w:marRight w:val="0"/>
      <w:marTop w:val="0"/>
      <w:marBottom w:val="0"/>
      <w:divBdr>
        <w:top w:val="none" w:sz="0" w:space="0" w:color="auto"/>
        <w:left w:val="none" w:sz="0" w:space="0" w:color="auto"/>
        <w:bottom w:val="none" w:sz="0" w:space="0" w:color="auto"/>
        <w:right w:val="none" w:sz="0" w:space="0" w:color="auto"/>
      </w:divBdr>
    </w:div>
    <w:div w:id="1464152149">
      <w:bodyDiv w:val="1"/>
      <w:marLeft w:val="0"/>
      <w:marRight w:val="0"/>
      <w:marTop w:val="0"/>
      <w:marBottom w:val="0"/>
      <w:divBdr>
        <w:top w:val="none" w:sz="0" w:space="0" w:color="auto"/>
        <w:left w:val="none" w:sz="0" w:space="0" w:color="auto"/>
        <w:bottom w:val="none" w:sz="0" w:space="0" w:color="auto"/>
        <w:right w:val="none" w:sz="0" w:space="0" w:color="auto"/>
      </w:divBdr>
    </w:div>
    <w:div w:id="1464154419">
      <w:bodyDiv w:val="1"/>
      <w:marLeft w:val="0"/>
      <w:marRight w:val="0"/>
      <w:marTop w:val="0"/>
      <w:marBottom w:val="0"/>
      <w:divBdr>
        <w:top w:val="none" w:sz="0" w:space="0" w:color="auto"/>
        <w:left w:val="none" w:sz="0" w:space="0" w:color="auto"/>
        <w:bottom w:val="none" w:sz="0" w:space="0" w:color="auto"/>
        <w:right w:val="none" w:sz="0" w:space="0" w:color="auto"/>
      </w:divBdr>
    </w:div>
    <w:div w:id="1464159376">
      <w:bodyDiv w:val="1"/>
      <w:marLeft w:val="0"/>
      <w:marRight w:val="0"/>
      <w:marTop w:val="0"/>
      <w:marBottom w:val="0"/>
      <w:divBdr>
        <w:top w:val="none" w:sz="0" w:space="0" w:color="auto"/>
        <w:left w:val="none" w:sz="0" w:space="0" w:color="auto"/>
        <w:bottom w:val="none" w:sz="0" w:space="0" w:color="auto"/>
        <w:right w:val="none" w:sz="0" w:space="0" w:color="auto"/>
      </w:divBdr>
    </w:div>
    <w:div w:id="1464226215">
      <w:bodyDiv w:val="1"/>
      <w:marLeft w:val="0"/>
      <w:marRight w:val="0"/>
      <w:marTop w:val="0"/>
      <w:marBottom w:val="0"/>
      <w:divBdr>
        <w:top w:val="none" w:sz="0" w:space="0" w:color="auto"/>
        <w:left w:val="none" w:sz="0" w:space="0" w:color="auto"/>
        <w:bottom w:val="none" w:sz="0" w:space="0" w:color="auto"/>
        <w:right w:val="none" w:sz="0" w:space="0" w:color="auto"/>
      </w:divBdr>
    </w:div>
    <w:div w:id="1464233269">
      <w:bodyDiv w:val="1"/>
      <w:marLeft w:val="0"/>
      <w:marRight w:val="0"/>
      <w:marTop w:val="0"/>
      <w:marBottom w:val="0"/>
      <w:divBdr>
        <w:top w:val="none" w:sz="0" w:space="0" w:color="auto"/>
        <w:left w:val="none" w:sz="0" w:space="0" w:color="auto"/>
        <w:bottom w:val="none" w:sz="0" w:space="0" w:color="auto"/>
        <w:right w:val="none" w:sz="0" w:space="0" w:color="auto"/>
      </w:divBdr>
    </w:div>
    <w:div w:id="1464468029">
      <w:bodyDiv w:val="1"/>
      <w:marLeft w:val="0"/>
      <w:marRight w:val="0"/>
      <w:marTop w:val="0"/>
      <w:marBottom w:val="0"/>
      <w:divBdr>
        <w:top w:val="none" w:sz="0" w:space="0" w:color="auto"/>
        <w:left w:val="none" w:sz="0" w:space="0" w:color="auto"/>
        <w:bottom w:val="none" w:sz="0" w:space="0" w:color="auto"/>
        <w:right w:val="none" w:sz="0" w:space="0" w:color="auto"/>
      </w:divBdr>
    </w:div>
    <w:div w:id="1464614808">
      <w:bodyDiv w:val="1"/>
      <w:marLeft w:val="0"/>
      <w:marRight w:val="0"/>
      <w:marTop w:val="0"/>
      <w:marBottom w:val="0"/>
      <w:divBdr>
        <w:top w:val="none" w:sz="0" w:space="0" w:color="auto"/>
        <w:left w:val="none" w:sz="0" w:space="0" w:color="auto"/>
        <w:bottom w:val="none" w:sz="0" w:space="0" w:color="auto"/>
        <w:right w:val="none" w:sz="0" w:space="0" w:color="auto"/>
      </w:divBdr>
    </w:div>
    <w:div w:id="1464731027">
      <w:bodyDiv w:val="1"/>
      <w:marLeft w:val="0"/>
      <w:marRight w:val="0"/>
      <w:marTop w:val="0"/>
      <w:marBottom w:val="0"/>
      <w:divBdr>
        <w:top w:val="none" w:sz="0" w:space="0" w:color="auto"/>
        <w:left w:val="none" w:sz="0" w:space="0" w:color="auto"/>
        <w:bottom w:val="none" w:sz="0" w:space="0" w:color="auto"/>
        <w:right w:val="none" w:sz="0" w:space="0" w:color="auto"/>
      </w:divBdr>
    </w:div>
    <w:div w:id="1464731788">
      <w:bodyDiv w:val="1"/>
      <w:marLeft w:val="0"/>
      <w:marRight w:val="0"/>
      <w:marTop w:val="0"/>
      <w:marBottom w:val="0"/>
      <w:divBdr>
        <w:top w:val="none" w:sz="0" w:space="0" w:color="auto"/>
        <w:left w:val="none" w:sz="0" w:space="0" w:color="auto"/>
        <w:bottom w:val="none" w:sz="0" w:space="0" w:color="auto"/>
        <w:right w:val="none" w:sz="0" w:space="0" w:color="auto"/>
      </w:divBdr>
    </w:div>
    <w:div w:id="1464885823">
      <w:bodyDiv w:val="1"/>
      <w:marLeft w:val="0"/>
      <w:marRight w:val="0"/>
      <w:marTop w:val="0"/>
      <w:marBottom w:val="0"/>
      <w:divBdr>
        <w:top w:val="none" w:sz="0" w:space="0" w:color="auto"/>
        <w:left w:val="none" w:sz="0" w:space="0" w:color="auto"/>
        <w:bottom w:val="none" w:sz="0" w:space="0" w:color="auto"/>
        <w:right w:val="none" w:sz="0" w:space="0" w:color="auto"/>
      </w:divBdr>
    </w:div>
    <w:div w:id="1464932806">
      <w:bodyDiv w:val="1"/>
      <w:marLeft w:val="0"/>
      <w:marRight w:val="0"/>
      <w:marTop w:val="0"/>
      <w:marBottom w:val="0"/>
      <w:divBdr>
        <w:top w:val="none" w:sz="0" w:space="0" w:color="auto"/>
        <w:left w:val="none" w:sz="0" w:space="0" w:color="auto"/>
        <w:bottom w:val="none" w:sz="0" w:space="0" w:color="auto"/>
        <w:right w:val="none" w:sz="0" w:space="0" w:color="auto"/>
      </w:divBdr>
    </w:div>
    <w:div w:id="1465195711">
      <w:bodyDiv w:val="1"/>
      <w:marLeft w:val="0"/>
      <w:marRight w:val="0"/>
      <w:marTop w:val="0"/>
      <w:marBottom w:val="0"/>
      <w:divBdr>
        <w:top w:val="none" w:sz="0" w:space="0" w:color="auto"/>
        <w:left w:val="none" w:sz="0" w:space="0" w:color="auto"/>
        <w:bottom w:val="none" w:sz="0" w:space="0" w:color="auto"/>
        <w:right w:val="none" w:sz="0" w:space="0" w:color="auto"/>
      </w:divBdr>
    </w:div>
    <w:div w:id="1465585540">
      <w:bodyDiv w:val="1"/>
      <w:marLeft w:val="0"/>
      <w:marRight w:val="0"/>
      <w:marTop w:val="0"/>
      <w:marBottom w:val="0"/>
      <w:divBdr>
        <w:top w:val="none" w:sz="0" w:space="0" w:color="auto"/>
        <w:left w:val="none" w:sz="0" w:space="0" w:color="auto"/>
        <w:bottom w:val="none" w:sz="0" w:space="0" w:color="auto"/>
        <w:right w:val="none" w:sz="0" w:space="0" w:color="auto"/>
      </w:divBdr>
    </w:div>
    <w:div w:id="1465660020">
      <w:bodyDiv w:val="1"/>
      <w:marLeft w:val="0"/>
      <w:marRight w:val="0"/>
      <w:marTop w:val="0"/>
      <w:marBottom w:val="0"/>
      <w:divBdr>
        <w:top w:val="none" w:sz="0" w:space="0" w:color="auto"/>
        <w:left w:val="none" w:sz="0" w:space="0" w:color="auto"/>
        <w:bottom w:val="none" w:sz="0" w:space="0" w:color="auto"/>
        <w:right w:val="none" w:sz="0" w:space="0" w:color="auto"/>
      </w:divBdr>
    </w:div>
    <w:div w:id="1465929312">
      <w:bodyDiv w:val="1"/>
      <w:marLeft w:val="0"/>
      <w:marRight w:val="0"/>
      <w:marTop w:val="0"/>
      <w:marBottom w:val="0"/>
      <w:divBdr>
        <w:top w:val="none" w:sz="0" w:space="0" w:color="auto"/>
        <w:left w:val="none" w:sz="0" w:space="0" w:color="auto"/>
        <w:bottom w:val="none" w:sz="0" w:space="0" w:color="auto"/>
        <w:right w:val="none" w:sz="0" w:space="0" w:color="auto"/>
      </w:divBdr>
    </w:div>
    <w:div w:id="1466240669">
      <w:bodyDiv w:val="1"/>
      <w:marLeft w:val="0"/>
      <w:marRight w:val="0"/>
      <w:marTop w:val="0"/>
      <w:marBottom w:val="0"/>
      <w:divBdr>
        <w:top w:val="none" w:sz="0" w:space="0" w:color="auto"/>
        <w:left w:val="none" w:sz="0" w:space="0" w:color="auto"/>
        <w:bottom w:val="none" w:sz="0" w:space="0" w:color="auto"/>
        <w:right w:val="none" w:sz="0" w:space="0" w:color="auto"/>
      </w:divBdr>
    </w:div>
    <w:div w:id="1466242470">
      <w:bodyDiv w:val="1"/>
      <w:marLeft w:val="0"/>
      <w:marRight w:val="0"/>
      <w:marTop w:val="0"/>
      <w:marBottom w:val="0"/>
      <w:divBdr>
        <w:top w:val="none" w:sz="0" w:space="0" w:color="auto"/>
        <w:left w:val="none" w:sz="0" w:space="0" w:color="auto"/>
        <w:bottom w:val="none" w:sz="0" w:space="0" w:color="auto"/>
        <w:right w:val="none" w:sz="0" w:space="0" w:color="auto"/>
      </w:divBdr>
    </w:div>
    <w:div w:id="1466309173">
      <w:bodyDiv w:val="1"/>
      <w:marLeft w:val="0"/>
      <w:marRight w:val="0"/>
      <w:marTop w:val="0"/>
      <w:marBottom w:val="0"/>
      <w:divBdr>
        <w:top w:val="none" w:sz="0" w:space="0" w:color="auto"/>
        <w:left w:val="none" w:sz="0" w:space="0" w:color="auto"/>
        <w:bottom w:val="none" w:sz="0" w:space="0" w:color="auto"/>
        <w:right w:val="none" w:sz="0" w:space="0" w:color="auto"/>
      </w:divBdr>
    </w:div>
    <w:div w:id="1466314322">
      <w:bodyDiv w:val="1"/>
      <w:marLeft w:val="0"/>
      <w:marRight w:val="0"/>
      <w:marTop w:val="0"/>
      <w:marBottom w:val="0"/>
      <w:divBdr>
        <w:top w:val="none" w:sz="0" w:space="0" w:color="auto"/>
        <w:left w:val="none" w:sz="0" w:space="0" w:color="auto"/>
        <w:bottom w:val="none" w:sz="0" w:space="0" w:color="auto"/>
        <w:right w:val="none" w:sz="0" w:space="0" w:color="auto"/>
      </w:divBdr>
    </w:div>
    <w:div w:id="1466435578">
      <w:bodyDiv w:val="1"/>
      <w:marLeft w:val="0"/>
      <w:marRight w:val="0"/>
      <w:marTop w:val="0"/>
      <w:marBottom w:val="0"/>
      <w:divBdr>
        <w:top w:val="none" w:sz="0" w:space="0" w:color="auto"/>
        <w:left w:val="none" w:sz="0" w:space="0" w:color="auto"/>
        <w:bottom w:val="none" w:sz="0" w:space="0" w:color="auto"/>
        <w:right w:val="none" w:sz="0" w:space="0" w:color="auto"/>
      </w:divBdr>
    </w:div>
    <w:div w:id="1466510277">
      <w:bodyDiv w:val="1"/>
      <w:marLeft w:val="0"/>
      <w:marRight w:val="0"/>
      <w:marTop w:val="0"/>
      <w:marBottom w:val="0"/>
      <w:divBdr>
        <w:top w:val="none" w:sz="0" w:space="0" w:color="auto"/>
        <w:left w:val="none" w:sz="0" w:space="0" w:color="auto"/>
        <w:bottom w:val="none" w:sz="0" w:space="0" w:color="auto"/>
        <w:right w:val="none" w:sz="0" w:space="0" w:color="auto"/>
      </w:divBdr>
    </w:div>
    <w:div w:id="1466581082">
      <w:bodyDiv w:val="1"/>
      <w:marLeft w:val="0"/>
      <w:marRight w:val="0"/>
      <w:marTop w:val="0"/>
      <w:marBottom w:val="0"/>
      <w:divBdr>
        <w:top w:val="none" w:sz="0" w:space="0" w:color="auto"/>
        <w:left w:val="none" w:sz="0" w:space="0" w:color="auto"/>
        <w:bottom w:val="none" w:sz="0" w:space="0" w:color="auto"/>
        <w:right w:val="none" w:sz="0" w:space="0" w:color="auto"/>
      </w:divBdr>
    </w:div>
    <w:div w:id="1466771335">
      <w:bodyDiv w:val="1"/>
      <w:marLeft w:val="0"/>
      <w:marRight w:val="0"/>
      <w:marTop w:val="0"/>
      <w:marBottom w:val="0"/>
      <w:divBdr>
        <w:top w:val="none" w:sz="0" w:space="0" w:color="auto"/>
        <w:left w:val="none" w:sz="0" w:space="0" w:color="auto"/>
        <w:bottom w:val="none" w:sz="0" w:space="0" w:color="auto"/>
        <w:right w:val="none" w:sz="0" w:space="0" w:color="auto"/>
      </w:divBdr>
    </w:div>
    <w:div w:id="1466851514">
      <w:bodyDiv w:val="1"/>
      <w:marLeft w:val="0"/>
      <w:marRight w:val="0"/>
      <w:marTop w:val="0"/>
      <w:marBottom w:val="0"/>
      <w:divBdr>
        <w:top w:val="none" w:sz="0" w:space="0" w:color="auto"/>
        <w:left w:val="none" w:sz="0" w:space="0" w:color="auto"/>
        <w:bottom w:val="none" w:sz="0" w:space="0" w:color="auto"/>
        <w:right w:val="none" w:sz="0" w:space="0" w:color="auto"/>
      </w:divBdr>
    </w:div>
    <w:div w:id="1467043305">
      <w:bodyDiv w:val="1"/>
      <w:marLeft w:val="0"/>
      <w:marRight w:val="0"/>
      <w:marTop w:val="0"/>
      <w:marBottom w:val="0"/>
      <w:divBdr>
        <w:top w:val="none" w:sz="0" w:space="0" w:color="auto"/>
        <w:left w:val="none" w:sz="0" w:space="0" w:color="auto"/>
        <w:bottom w:val="none" w:sz="0" w:space="0" w:color="auto"/>
        <w:right w:val="none" w:sz="0" w:space="0" w:color="auto"/>
      </w:divBdr>
    </w:div>
    <w:div w:id="1467310747">
      <w:bodyDiv w:val="1"/>
      <w:marLeft w:val="0"/>
      <w:marRight w:val="0"/>
      <w:marTop w:val="0"/>
      <w:marBottom w:val="0"/>
      <w:divBdr>
        <w:top w:val="none" w:sz="0" w:space="0" w:color="auto"/>
        <w:left w:val="none" w:sz="0" w:space="0" w:color="auto"/>
        <w:bottom w:val="none" w:sz="0" w:space="0" w:color="auto"/>
        <w:right w:val="none" w:sz="0" w:space="0" w:color="auto"/>
      </w:divBdr>
    </w:div>
    <w:div w:id="1467311710">
      <w:bodyDiv w:val="1"/>
      <w:marLeft w:val="0"/>
      <w:marRight w:val="0"/>
      <w:marTop w:val="0"/>
      <w:marBottom w:val="0"/>
      <w:divBdr>
        <w:top w:val="none" w:sz="0" w:space="0" w:color="auto"/>
        <w:left w:val="none" w:sz="0" w:space="0" w:color="auto"/>
        <w:bottom w:val="none" w:sz="0" w:space="0" w:color="auto"/>
        <w:right w:val="none" w:sz="0" w:space="0" w:color="auto"/>
      </w:divBdr>
    </w:div>
    <w:div w:id="1467431724">
      <w:bodyDiv w:val="1"/>
      <w:marLeft w:val="0"/>
      <w:marRight w:val="0"/>
      <w:marTop w:val="0"/>
      <w:marBottom w:val="0"/>
      <w:divBdr>
        <w:top w:val="none" w:sz="0" w:space="0" w:color="auto"/>
        <w:left w:val="none" w:sz="0" w:space="0" w:color="auto"/>
        <w:bottom w:val="none" w:sz="0" w:space="0" w:color="auto"/>
        <w:right w:val="none" w:sz="0" w:space="0" w:color="auto"/>
      </w:divBdr>
    </w:div>
    <w:div w:id="1467509734">
      <w:bodyDiv w:val="1"/>
      <w:marLeft w:val="0"/>
      <w:marRight w:val="0"/>
      <w:marTop w:val="0"/>
      <w:marBottom w:val="0"/>
      <w:divBdr>
        <w:top w:val="none" w:sz="0" w:space="0" w:color="auto"/>
        <w:left w:val="none" w:sz="0" w:space="0" w:color="auto"/>
        <w:bottom w:val="none" w:sz="0" w:space="0" w:color="auto"/>
        <w:right w:val="none" w:sz="0" w:space="0" w:color="auto"/>
      </w:divBdr>
    </w:div>
    <w:div w:id="1467549204">
      <w:bodyDiv w:val="1"/>
      <w:marLeft w:val="0"/>
      <w:marRight w:val="0"/>
      <w:marTop w:val="0"/>
      <w:marBottom w:val="0"/>
      <w:divBdr>
        <w:top w:val="none" w:sz="0" w:space="0" w:color="auto"/>
        <w:left w:val="none" w:sz="0" w:space="0" w:color="auto"/>
        <w:bottom w:val="none" w:sz="0" w:space="0" w:color="auto"/>
        <w:right w:val="none" w:sz="0" w:space="0" w:color="auto"/>
      </w:divBdr>
    </w:div>
    <w:div w:id="1467695157">
      <w:bodyDiv w:val="1"/>
      <w:marLeft w:val="0"/>
      <w:marRight w:val="0"/>
      <w:marTop w:val="0"/>
      <w:marBottom w:val="0"/>
      <w:divBdr>
        <w:top w:val="none" w:sz="0" w:space="0" w:color="auto"/>
        <w:left w:val="none" w:sz="0" w:space="0" w:color="auto"/>
        <w:bottom w:val="none" w:sz="0" w:space="0" w:color="auto"/>
        <w:right w:val="none" w:sz="0" w:space="0" w:color="auto"/>
      </w:divBdr>
    </w:div>
    <w:div w:id="1467964145">
      <w:bodyDiv w:val="1"/>
      <w:marLeft w:val="0"/>
      <w:marRight w:val="0"/>
      <w:marTop w:val="0"/>
      <w:marBottom w:val="0"/>
      <w:divBdr>
        <w:top w:val="none" w:sz="0" w:space="0" w:color="auto"/>
        <w:left w:val="none" w:sz="0" w:space="0" w:color="auto"/>
        <w:bottom w:val="none" w:sz="0" w:space="0" w:color="auto"/>
        <w:right w:val="none" w:sz="0" w:space="0" w:color="auto"/>
      </w:divBdr>
    </w:div>
    <w:div w:id="1467966147">
      <w:bodyDiv w:val="1"/>
      <w:marLeft w:val="0"/>
      <w:marRight w:val="0"/>
      <w:marTop w:val="0"/>
      <w:marBottom w:val="0"/>
      <w:divBdr>
        <w:top w:val="none" w:sz="0" w:space="0" w:color="auto"/>
        <w:left w:val="none" w:sz="0" w:space="0" w:color="auto"/>
        <w:bottom w:val="none" w:sz="0" w:space="0" w:color="auto"/>
        <w:right w:val="none" w:sz="0" w:space="0" w:color="auto"/>
      </w:divBdr>
    </w:div>
    <w:div w:id="1467966182">
      <w:bodyDiv w:val="1"/>
      <w:marLeft w:val="0"/>
      <w:marRight w:val="0"/>
      <w:marTop w:val="0"/>
      <w:marBottom w:val="0"/>
      <w:divBdr>
        <w:top w:val="none" w:sz="0" w:space="0" w:color="auto"/>
        <w:left w:val="none" w:sz="0" w:space="0" w:color="auto"/>
        <w:bottom w:val="none" w:sz="0" w:space="0" w:color="auto"/>
        <w:right w:val="none" w:sz="0" w:space="0" w:color="auto"/>
      </w:divBdr>
    </w:div>
    <w:div w:id="1467972270">
      <w:bodyDiv w:val="1"/>
      <w:marLeft w:val="0"/>
      <w:marRight w:val="0"/>
      <w:marTop w:val="0"/>
      <w:marBottom w:val="0"/>
      <w:divBdr>
        <w:top w:val="none" w:sz="0" w:space="0" w:color="auto"/>
        <w:left w:val="none" w:sz="0" w:space="0" w:color="auto"/>
        <w:bottom w:val="none" w:sz="0" w:space="0" w:color="auto"/>
        <w:right w:val="none" w:sz="0" w:space="0" w:color="auto"/>
      </w:divBdr>
    </w:div>
    <w:div w:id="1468355737">
      <w:bodyDiv w:val="1"/>
      <w:marLeft w:val="0"/>
      <w:marRight w:val="0"/>
      <w:marTop w:val="0"/>
      <w:marBottom w:val="0"/>
      <w:divBdr>
        <w:top w:val="none" w:sz="0" w:space="0" w:color="auto"/>
        <w:left w:val="none" w:sz="0" w:space="0" w:color="auto"/>
        <w:bottom w:val="none" w:sz="0" w:space="0" w:color="auto"/>
        <w:right w:val="none" w:sz="0" w:space="0" w:color="auto"/>
      </w:divBdr>
    </w:div>
    <w:div w:id="1468468800">
      <w:bodyDiv w:val="1"/>
      <w:marLeft w:val="0"/>
      <w:marRight w:val="0"/>
      <w:marTop w:val="0"/>
      <w:marBottom w:val="0"/>
      <w:divBdr>
        <w:top w:val="none" w:sz="0" w:space="0" w:color="auto"/>
        <w:left w:val="none" w:sz="0" w:space="0" w:color="auto"/>
        <w:bottom w:val="none" w:sz="0" w:space="0" w:color="auto"/>
        <w:right w:val="none" w:sz="0" w:space="0" w:color="auto"/>
      </w:divBdr>
    </w:div>
    <w:div w:id="1468621447">
      <w:bodyDiv w:val="1"/>
      <w:marLeft w:val="0"/>
      <w:marRight w:val="0"/>
      <w:marTop w:val="0"/>
      <w:marBottom w:val="0"/>
      <w:divBdr>
        <w:top w:val="none" w:sz="0" w:space="0" w:color="auto"/>
        <w:left w:val="none" w:sz="0" w:space="0" w:color="auto"/>
        <w:bottom w:val="none" w:sz="0" w:space="0" w:color="auto"/>
        <w:right w:val="none" w:sz="0" w:space="0" w:color="auto"/>
      </w:divBdr>
    </w:div>
    <w:div w:id="1468628196">
      <w:bodyDiv w:val="1"/>
      <w:marLeft w:val="0"/>
      <w:marRight w:val="0"/>
      <w:marTop w:val="0"/>
      <w:marBottom w:val="0"/>
      <w:divBdr>
        <w:top w:val="none" w:sz="0" w:space="0" w:color="auto"/>
        <w:left w:val="none" w:sz="0" w:space="0" w:color="auto"/>
        <w:bottom w:val="none" w:sz="0" w:space="0" w:color="auto"/>
        <w:right w:val="none" w:sz="0" w:space="0" w:color="auto"/>
      </w:divBdr>
    </w:div>
    <w:div w:id="1468667829">
      <w:bodyDiv w:val="1"/>
      <w:marLeft w:val="0"/>
      <w:marRight w:val="0"/>
      <w:marTop w:val="0"/>
      <w:marBottom w:val="0"/>
      <w:divBdr>
        <w:top w:val="none" w:sz="0" w:space="0" w:color="auto"/>
        <w:left w:val="none" w:sz="0" w:space="0" w:color="auto"/>
        <w:bottom w:val="none" w:sz="0" w:space="0" w:color="auto"/>
        <w:right w:val="none" w:sz="0" w:space="0" w:color="auto"/>
      </w:divBdr>
    </w:div>
    <w:div w:id="1468741124">
      <w:bodyDiv w:val="1"/>
      <w:marLeft w:val="0"/>
      <w:marRight w:val="0"/>
      <w:marTop w:val="0"/>
      <w:marBottom w:val="0"/>
      <w:divBdr>
        <w:top w:val="none" w:sz="0" w:space="0" w:color="auto"/>
        <w:left w:val="none" w:sz="0" w:space="0" w:color="auto"/>
        <w:bottom w:val="none" w:sz="0" w:space="0" w:color="auto"/>
        <w:right w:val="none" w:sz="0" w:space="0" w:color="auto"/>
      </w:divBdr>
    </w:div>
    <w:div w:id="1468818160">
      <w:bodyDiv w:val="1"/>
      <w:marLeft w:val="0"/>
      <w:marRight w:val="0"/>
      <w:marTop w:val="0"/>
      <w:marBottom w:val="0"/>
      <w:divBdr>
        <w:top w:val="none" w:sz="0" w:space="0" w:color="auto"/>
        <w:left w:val="none" w:sz="0" w:space="0" w:color="auto"/>
        <w:bottom w:val="none" w:sz="0" w:space="0" w:color="auto"/>
        <w:right w:val="none" w:sz="0" w:space="0" w:color="auto"/>
      </w:divBdr>
    </w:div>
    <w:div w:id="1468933791">
      <w:bodyDiv w:val="1"/>
      <w:marLeft w:val="0"/>
      <w:marRight w:val="0"/>
      <w:marTop w:val="0"/>
      <w:marBottom w:val="0"/>
      <w:divBdr>
        <w:top w:val="none" w:sz="0" w:space="0" w:color="auto"/>
        <w:left w:val="none" w:sz="0" w:space="0" w:color="auto"/>
        <w:bottom w:val="none" w:sz="0" w:space="0" w:color="auto"/>
        <w:right w:val="none" w:sz="0" w:space="0" w:color="auto"/>
      </w:divBdr>
    </w:div>
    <w:div w:id="1469013439">
      <w:bodyDiv w:val="1"/>
      <w:marLeft w:val="0"/>
      <w:marRight w:val="0"/>
      <w:marTop w:val="0"/>
      <w:marBottom w:val="0"/>
      <w:divBdr>
        <w:top w:val="none" w:sz="0" w:space="0" w:color="auto"/>
        <w:left w:val="none" w:sz="0" w:space="0" w:color="auto"/>
        <w:bottom w:val="none" w:sz="0" w:space="0" w:color="auto"/>
        <w:right w:val="none" w:sz="0" w:space="0" w:color="auto"/>
      </w:divBdr>
    </w:div>
    <w:div w:id="1469320637">
      <w:bodyDiv w:val="1"/>
      <w:marLeft w:val="0"/>
      <w:marRight w:val="0"/>
      <w:marTop w:val="0"/>
      <w:marBottom w:val="0"/>
      <w:divBdr>
        <w:top w:val="none" w:sz="0" w:space="0" w:color="auto"/>
        <w:left w:val="none" w:sz="0" w:space="0" w:color="auto"/>
        <w:bottom w:val="none" w:sz="0" w:space="0" w:color="auto"/>
        <w:right w:val="none" w:sz="0" w:space="0" w:color="auto"/>
      </w:divBdr>
    </w:div>
    <w:div w:id="1469469012">
      <w:bodyDiv w:val="1"/>
      <w:marLeft w:val="0"/>
      <w:marRight w:val="0"/>
      <w:marTop w:val="0"/>
      <w:marBottom w:val="0"/>
      <w:divBdr>
        <w:top w:val="none" w:sz="0" w:space="0" w:color="auto"/>
        <w:left w:val="none" w:sz="0" w:space="0" w:color="auto"/>
        <w:bottom w:val="none" w:sz="0" w:space="0" w:color="auto"/>
        <w:right w:val="none" w:sz="0" w:space="0" w:color="auto"/>
      </w:divBdr>
    </w:div>
    <w:div w:id="1469666025">
      <w:bodyDiv w:val="1"/>
      <w:marLeft w:val="0"/>
      <w:marRight w:val="0"/>
      <w:marTop w:val="0"/>
      <w:marBottom w:val="0"/>
      <w:divBdr>
        <w:top w:val="none" w:sz="0" w:space="0" w:color="auto"/>
        <w:left w:val="none" w:sz="0" w:space="0" w:color="auto"/>
        <w:bottom w:val="none" w:sz="0" w:space="0" w:color="auto"/>
        <w:right w:val="none" w:sz="0" w:space="0" w:color="auto"/>
      </w:divBdr>
    </w:div>
    <w:div w:id="1469863627">
      <w:bodyDiv w:val="1"/>
      <w:marLeft w:val="0"/>
      <w:marRight w:val="0"/>
      <w:marTop w:val="0"/>
      <w:marBottom w:val="0"/>
      <w:divBdr>
        <w:top w:val="none" w:sz="0" w:space="0" w:color="auto"/>
        <w:left w:val="none" w:sz="0" w:space="0" w:color="auto"/>
        <w:bottom w:val="none" w:sz="0" w:space="0" w:color="auto"/>
        <w:right w:val="none" w:sz="0" w:space="0" w:color="auto"/>
      </w:divBdr>
    </w:div>
    <w:div w:id="1469974531">
      <w:bodyDiv w:val="1"/>
      <w:marLeft w:val="0"/>
      <w:marRight w:val="0"/>
      <w:marTop w:val="0"/>
      <w:marBottom w:val="0"/>
      <w:divBdr>
        <w:top w:val="none" w:sz="0" w:space="0" w:color="auto"/>
        <w:left w:val="none" w:sz="0" w:space="0" w:color="auto"/>
        <w:bottom w:val="none" w:sz="0" w:space="0" w:color="auto"/>
        <w:right w:val="none" w:sz="0" w:space="0" w:color="auto"/>
      </w:divBdr>
    </w:div>
    <w:div w:id="1470174170">
      <w:bodyDiv w:val="1"/>
      <w:marLeft w:val="0"/>
      <w:marRight w:val="0"/>
      <w:marTop w:val="0"/>
      <w:marBottom w:val="0"/>
      <w:divBdr>
        <w:top w:val="none" w:sz="0" w:space="0" w:color="auto"/>
        <w:left w:val="none" w:sz="0" w:space="0" w:color="auto"/>
        <w:bottom w:val="none" w:sz="0" w:space="0" w:color="auto"/>
        <w:right w:val="none" w:sz="0" w:space="0" w:color="auto"/>
      </w:divBdr>
    </w:div>
    <w:div w:id="1470244235">
      <w:bodyDiv w:val="1"/>
      <w:marLeft w:val="0"/>
      <w:marRight w:val="0"/>
      <w:marTop w:val="0"/>
      <w:marBottom w:val="0"/>
      <w:divBdr>
        <w:top w:val="none" w:sz="0" w:space="0" w:color="auto"/>
        <w:left w:val="none" w:sz="0" w:space="0" w:color="auto"/>
        <w:bottom w:val="none" w:sz="0" w:space="0" w:color="auto"/>
        <w:right w:val="none" w:sz="0" w:space="0" w:color="auto"/>
      </w:divBdr>
    </w:div>
    <w:div w:id="1470323108">
      <w:bodyDiv w:val="1"/>
      <w:marLeft w:val="0"/>
      <w:marRight w:val="0"/>
      <w:marTop w:val="0"/>
      <w:marBottom w:val="0"/>
      <w:divBdr>
        <w:top w:val="none" w:sz="0" w:space="0" w:color="auto"/>
        <w:left w:val="none" w:sz="0" w:space="0" w:color="auto"/>
        <w:bottom w:val="none" w:sz="0" w:space="0" w:color="auto"/>
        <w:right w:val="none" w:sz="0" w:space="0" w:color="auto"/>
      </w:divBdr>
    </w:div>
    <w:div w:id="1470392515">
      <w:bodyDiv w:val="1"/>
      <w:marLeft w:val="0"/>
      <w:marRight w:val="0"/>
      <w:marTop w:val="0"/>
      <w:marBottom w:val="0"/>
      <w:divBdr>
        <w:top w:val="none" w:sz="0" w:space="0" w:color="auto"/>
        <w:left w:val="none" w:sz="0" w:space="0" w:color="auto"/>
        <w:bottom w:val="none" w:sz="0" w:space="0" w:color="auto"/>
        <w:right w:val="none" w:sz="0" w:space="0" w:color="auto"/>
      </w:divBdr>
    </w:div>
    <w:div w:id="1470514619">
      <w:bodyDiv w:val="1"/>
      <w:marLeft w:val="0"/>
      <w:marRight w:val="0"/>
      <w:marTop w:val="0"/>
      <w:marBottom w:val="0"/>
      <w:divBdr>
        <w:top w:val="none" w:sz="0" w:space="0" w:color="auto"/>
        <w:left w:val="none" w:sz="0" w:space="0" w:color="auto"/>
        <w:bottom w:val="none" w:sz="0" w:space="0" w:color="auto"/>
        <w:right w:val="none" w:sz="0" w:space="0" w:color="auto"/>
      </w:divBdr>
    </w:div>
    <w:div w:id="1470703055">
      <w:bodyDiv w:val="1"/>
      <w:marLeft w:val="0"/>
      <w:marRight w:val="0"/>
      <w:marTop w:val="0"/>
      <w:marBottom w:val="0"/>
      <w:divBdr>
        <w:top w:val="none" w:sz="0" w:space="0" w:color="auto"/>
        <w:left w:val="none" w:sz="0" w:space="0" w:color="auto"/>
        <w:bottom w:val="none" w:sz="0" w:space="0" w:color="auto"/>
        <w:right w:val="none" w:sz="0" w:space="0" w:color="auto"/>
      </w:divBdr>
    </w:div>
    <w:div w:id="1470705992">
      <w:bodyDiv w:val="1"/>
      <w:marLeft w:val="0"/>
      <w:marRight w:val="0"/>
      <w:marTop w:val="0"/>
      <w:marBottom w:val="0"/>
      <w:divBdr>
        <w:top w:val="none" w:sz="0" w:space="0" w:color="auto"/>
        <w:left w:val="none" w:sz="0" w:space="0" w:color="auto"/>
        <w:bottom w:val="none" w:sz="0" w:space="0" w:color="auto"/>
        <w:right w:val="none" w:sz="0" w:space="0" w:color="auto"/>
      </w:divBdr>
    </w:div>
    <w:div w:id="1470829220">
      <w:bodyDiv w:val="1"/>
      <w:marLeft w:val="0"/>
      <w:marRight w:val="0"/>
      <w:marTop w:val="0"/>
      <w:marBottom w:val="0"/>
      <w:divBdr>
        <w:top w:val="none" w:sz="0" w:space="0" w:color="auto"/>
        <w:left w:val="none" w:sz="0" w:space="0" w:color="auto"/>
        <w:bottom w:val="none" w:sz="0" w:space="0" w:color="auto"/>
        <w:right w:val="none" w:sz="0" w:space="0" w:color="auto"/>
      </w:divBdr>
    </w:div>
    <w:div w:id="1471244066">
      <w:bodyDiv w:val="1"/>
      <w:marLeft w:val="0"/>
      <w:marRight w:val="0"/>
      <w:marTop w:val="0"/>
      <w:marBottom w:val="0"/>
      <w:divBdr>
        <w:top w:val="none" w:sz="0" w:space="0" w:color="auto"/>
        <w:left w:val="none" w:sz="0" w:space="0" w:color="auto"/>
        <w:bottom w:val="none" w:sz="0" w:space="0" w:color="auto"/>
        <w:right w:val="none" w:sz="0" w:space="0" w:color="auto"/>
      </w:divBdr>
    </w:div>
    <w:div w:id="1471482393">
      <w:bodyDiv w:val="1"/>
      <w:marLeft w:val="0"/>
      <w:marRight w:val="0"/>
      <w:marTop w:val="0"/>
      <w:marBottom w:val="0"/>
      <w:divBdr>
        <w:top w:val="none" w:sz="0" w:space="0" w:color="auto"/>
        <w:left w:val="none" w:sz="0" w:space="0" w:color="auto"/>
        <w:bottom w:val="none" w:sz="0" w:space="0" w:color="auto"/>
        <w:right w:val="none" w:sz="0" w:space="0" w:color="auto"/>
      </w:divBdr>
    </w:div>
    <w:div w:id="1471485413">
      <w:bodyDiv w:val="1"/>
      <w:marLeft w:val="0"/>
      <w:marRight w:val="0"/>
      <w:marTop w:val="0"/>
      <w:marBottom w:val="0"/>
      <w:divBdr>
        <w:top w:val="none" w:sz="0" w:space="0" w:color="auto"/>
        <w:left w:val="none" w:sz="0" w:space="0" w:color="auto"/>
        <w:bottom w:val="none" w:sz="0" w:space="0" w:color="auto"/>
        <w:right w:val="none" w:sz="0" w:space="0" w:color="auto"/>
      </w:divBdr>
    </w:div>
    <w:div w:id="1471558696">
      <w:bodyDiv w:val="1"/>
      <w:marLeft w:val="0"/>
      <w:marRight w:val="0"/>
      <w:marTop w:val="0"/>
      <w:marBottom w:val="0"/>
      <w:divBdr>
        <w:top w:val="none" w:sz="0" w:space="0" w:color="auto"/>
        <w:left w:val="none" w:sz="0" w:space="0" w:color="auto"/>
        <w:bottom w:val="none" w:sz="0" w:space="0" w:color="auto"/>
        <w:right w:val="none" w:sz="0" w:space="0" w:color="auto"/>
      </w:divBdr>
    </w:div>
    <w:div w:id="1471634234">
      <w:bodyDiv w:val="1"/>
      <w:marLeft w:val="0"/>
      <w:marRight w:val="0"/>
      <w:marTop w:val="0"/>
      <w:marBottom w:val="0"/>
      <w:divBdr>
        <w:top w:val="none" w:sz="0" w:space="0" w:color="auto"/>
        <w:left w:val="none" w:sz="0" w:space="0" w:color="auto"/>
        <w:bottom w:val="none" w:sz="0" w:space="0" w:color="auto"/>
        <w:right w:val="none" w:sz="0" w:space="0" w:color="auto"/>
      </w:divBdr>
    </w:div>
    <w:div w:id="1471751962">
      <w:bodyDiv w:val="1"/>
      <w:marLeft w:val="0"/>
      <w:marRight w:val="0"/>
      <w:marTop w:val="0"/>
      <w:marBottom w:val="0"/>
      <w:divBdr>
        <w:top w:val="none" w:sz="0" w:space="0" w:color="auto"/>
        <w:left w:val="none" w:sz="0" w:space="0" w:color="auto"/>
        <w:bottom w:val="none" w:sz="0" w:space="0" w:color="auto"/>
        <w:right w:val="none" w:sz="0" w:space="0" w:color="auto"/>
      </w:divBdr>
    </w:div>
    <w:div w:id="1471899152">
      <w:bodyDiv w:val="1"/>
      <w:marLeft w:val="0"/>
      <w:marRight w:val="0"/>
      <w:marTop w:val="0"/>
      <w:marBottom w:val="0"/>
      <w:divBdr>
        <w:top w:val="none" w:sz="0" w:space="0" w:color="auto"/>
        <w:left w:val="none" w:sz="0" w:space="0" w:color="auto"/>
        <w:bottom w:val="none" w:sz="0" w:space="0" w:color="auto"/>
        <w:right w:val="none" w:sz="0" w:space="0" w:color="auto"/>
      </w:divBdr>
    </w:div>
    <w:div w:id="1471899354">
      <w:bodyDiv w:val="1"/>
      <w:marLeft w:val="0"/>
      <w:marRight w:val="0"/>
      <w:marTop w:val="0"/>
      <w:marBottom w:val="0"/>
      <w:divBdr>
        <w:top w:val="none" w:sz="0" w:space="0" w:color="auto"/>
        <w:left w:val="none" w:sz="0" w:space="0" w:color="auto"/>
        <w:bottom w:val="none" w:sz="0" w:space="0" w:color="auto"/>
        <w:right w:val="none" w:sz="0" w:space="0" w:color="auto"/>
      </w:divBdr>
    </w:div>
    <w:div w:id="1471902555">
      <w:bodyDiv w:val="1"/>
      <w:marLeft w:val="0"/>
      <w:marRight w:val="0"/>
      <w:marTop w:val="0"/>
      <w:marBottom w:val="0"/>
      <w:divBdr>
        <w:top w:val="none" w:sz="0" w:space="0" w:color="auto"/>
        <w:left w:val="none" w:sz="0" w:space="0" w:color="auto"/>
        <w:bottom w:val="none" w:sz="0" w:space="0" w:color="auto"/>
        <w:right w:val="none" w:sz="0" w:space="0" w:color="auto"/>
      </w:divBdr>
    </w:div>
    <w:div w:id="1471939782">
      <w:bodyDiv w:val="1"/>
      <w:marLeft w:val="0"/>
      <w:marRight w:val="0"/>
      <w:marTop w:val="0"/>
      <w:marBottom w:val="0"/>
      <w:divBdr>
        <w:top w:val="none" w:sz="0" w:space="0" w:color="auto"/>
        <w:left w:val="none" w:sz="0" w:space="0" w:color="auto"/>
        <w:bottom w:val="none" w:sz="0" w:space="0" w:color="auto"/>
        <w:right w:val="none" w:sz="0" w:space="0" w:color="auto"/>
      </w:divBdr>
    </w:div>
    <w:div w:id="1472138763">
      <w:bodyDiv w:val="1"/>
      <w:marLeft w:val="0"/>
      <w:marRight w:val="0"/>
      <w:marTop w:val="0"/>
      <w:marBottom w:val="0"/>
      <w:divBdr>
        <w:top w:val="none" w:sz="0" w:space="0" w:color="auto"/>
        <w:left w:val="none" w:sz="0" w:space="0" w:color="auto"/>
        <w:bottom w:val="none" w:sz="0" w:space="0" w:color="auto"/>
        <w:right w:val="none" w:sz="0" w:space="0" w:color="auto"/>
      </w:divBdr>
    </w:div>
    <w:div w:id="1472165805">
      <w:bodyDiv w:val="1"/>
      <w:marLeft w:val="0"/>
      <w:marRight w:val="0"/>
      <w:marTop w:val="0"/>
      <w:marBottom w:val="0"/>
      <w:divBdr>
        <w:top w:val="none" w:sz="0" w:space="0" w:color="auto"/>
        <w:left w:val="none" w:sz="0" w:space="0" w:color="auto"/>
        <w:bottom w:val="none" w:sz="0" w:space="0" w:color="auto"/>
        <w:right w:val="none" w:sz="0" w:space="0" w:color="auto"/>
      </w:divBdr>
    </w:div>
    <w:div w:id="1472167823">
      <w:bodyDiv w:val="1"/>
      <w:marLeft w:val="0"/>
      <w:marRight w:val="0"/>
      <w:marTop w:val="0"/>
      <w:marBottom w:val="0"/>
      <w:divBdr>
        <w:top w:val="none" w:sz="0" w:space="0" w:color="auto"/>
        <w:left w:val="none" w:sz="0" w:space="0" w:color="auto"/>
        <w:bottom w:val="none" w:sz="0" w:space="0" w:color="auto"/>
        <w:right w:val="none" w:sz="0" w:space="0" w:color="auto"/>
      </w:divBdr>
    </w:div>
    <w:div w:id="1472406270">
      <w:bodyDiv w:val="1"/>
      <w:marLeft w:val="0"/>
      <w:marRight w:val="0"/>
      <w:marTop w:val="0"/>
      <w:marBottom w:val="0"/>
      <w:divBdr>
        <w:top w:val="none" w:sz="0" w:space="0" w:color="auto"/>
        <w:left w:val="none" w:sz="0" w:space="0" w:color="auto"/>
        <w:bottom w:val="none" w:sz="0" w:space="0" w:color="auto"/>
        <w:right w:val="none" w:sz="0" w:space="0" w:color="auto"/>
      </w:divBdr>
    </w:div>
    <w:div w:id="1472550553">
      <w:bodyDiv w:val="1"/>
      <w:marLeft w:val="0"/>
      <w:marRight w:val="0"/>
      <w:marTop w:val="0"/>
      <w:marBottom w:val="0"/>
      <w:divBdr>
        <w:top w:val="none" w:sz="0" w:space="0" w:color="auto"/>
        <w:left w:val="none" w:sz="0" w:space="0" w:color="auto"/>
        <w:bottom w:val="none" w:sz="0" w:space="0" w:color="auto"/>
        <w:right w:val="none" w:sz="0" w:space="0" w:color="auto"/>
      </w:divBdr>
    </w:div>
    <w:div w:id="1472556109">
      <w:bodyDiv w:val="1"/>
      <w:marLeft w:val="0"/>
      <w:marRight w:val="0"/>
      <w:marTop w:val="0"/>
      <w:marBottom w:val="0"/>
      <w:divBdr>
        <w:top w:val="none" w:sz="0" w:space="0" w:color="auto"/>
        <w:left w:val="none" w:sz="0" w:space="0" w:color="auto"/>
        <w:bottom w:val="none" w:sz="0" w:space="0" w:color="auto"/>
        <w:right w:val="none" w:sz="0" w:space="0" w:color="auto"/>
      </w:divBdr>
    </w:div>
    <w:div w:id="1472597232">
      <w:bodyDiv w:val="1"/>
      <w:marLeft w:val="0"/>
      <w:marRight w:val="0"/>
      <w:marTop w:val="0"/>
      <w:marBottom w:val="0"/>
      <w:divBdr>
        <w:top w:val="none" w:sz="0" w:space="0" w:color="auto"/>
        <w:left w:val="none" w:sz="0" w:space="0" w:color="auto"/>
        <w:bottom w:val="none" w:sz="0" w:space="0" w:color="auto"/>
        <w:right w:val="none" w:sz="0" w:space="0" w:color="auto"/>
      </w:divBdr>
    </w:div>
    <w:div w:id="1472669883">
      <w:bodyDiv w:val="1"/>
      <w:marLeft w:val="0"/>
      <w:marRight w:val="0"/>
      <w:marTop w:val="0"/>
      <w:marBottom w:val="0"/>
      <w:divBdr>
        <w:top w:val="none" w:sz="0" w:space="0" w:color="auto"/>
        <w:left w:val="none" w:sz="0" w:space="0" w:color="auto"/>
        <w:bottom w:val="none" w:sz="0" w:space="0" w:color="auto"/>
        <w:right w:val="none" w:sz="0" w:space="0" w:color="auto"/>
      </w:divBdr>
    </w:div>
    <w:div w:id="1472822149">
      <w:bodyDiv w:val="1"/>
      <w:marLeft w:val="0"/>
      <w:marRight w:val="0"/>
      <w:marTop w:val="0"/>
      <w:marBottom w:val="0"/>
      <w:divBdr>
        <w:top w:val="none" w:sz="0" w:space="0" w:color="auto"/>
        <w:left w:val="none" w:sz="0" w:space="0" w:color="auto"/>
        <w:bottom w:val="none" w:sz="0" w:space="0" w:color="auto"/>
        <w:right w:val="none" w:sz="0" w:space="0" w:color="auto"/>
      </w:divBdr>
    </w:div>
    <w:div w:id="1472865398">
      <w:bodyDiv w:val="1"/>
      <w:marLeft w:val="0"/>
      <w:marRight w:val="0"/>
      <w:marTop w:val="0"/>
      <w:marBottom w:val="0"/>
      <w:divBdr>
        <w:top w:val="none" w:sz="0" w:space="0" w:color="auto"/>
        <w:left w:val="none" w:sz="0" w:space="0" w:color="auto"/>
        <w:bottom w:val="none" w:sz="0" w:space="0" w:color="auto"/>
        <w:right w:val="none" w:sz="0" w:space="0" w:color="auto"/>
      </w:divBdr>
    </w:div>
    <w:div w:id="1472869363">
      <w:bodyDiv w:val="1"/>
      <w:marLeft w:val="0"/>
      <w:marRight w:val="0"/>
      <w:marTop w:val="0"/>
      <w:marBottom w:val="0"/>
      <w:divBdr>
        <w:top w:val="none" w:sz="0" w:space="0" w:color="auto"/>
        <w:left w:val="none" w:sz="0" w:space="0" w:color="auto"/>
        <w:bottom w:val="none" w:sz="0" w:space="0" w:color="auto"/>
        <w:right w:val="none" w:sz="0" w:space="0" w:color="auto"/>
      </w:divBdr>
    </w:div>
    <w:div w:id="1472943192">
      <w:bodyDiv w:val="1"/>
      <w:marLeft w:val="0"/>
      <w:marRight w:val="0"/>
      <w:marTop w:val="0"/>
      <w:marBottom w:val="0"/>
      <w:divBdr>
        <w:top w:val="none" w:sz="0" w:space="0" w:color="auto"/>
        <w:left w:val="none" w:sz="0" w:space="0" w:color="auto"/>
        <w:bottom w:val="none" w:sz="0" w:space="0" w:color="auto"/>
        <w:right w:val="none" w:sz="0" w:space="0" w:color="auto"/>
      </w:divBdr>
    </w:div>
    <w:div w:id="1472944986">
      <w:bodyDiv w:val="1"/>
      <w:marLeft w:val="0"/>
      <w:marRight w:val="0"/>
      <w:marTop w:val="0"/>
      <w:marBottom w:val="0"/>
      <w:divBdr>
        <w:top w:val="none" w:sz="0" w:space="0" w:color="auto"/>
        <w:left w:val="none" w:sz="0" w:space="0" w:color="auto"/>
        <w:bottom w:val="none" w:sz="0" w:space="0" w:color="auto"/>
        <w:right w:val="none" w:sz="0" w:space="0" w:color="auto"/>
      </w:divBdr>
    </w:div>
    <w:div w:id="1473018736">
      <w:bodyDiv w:val="1"/>
      <w:marLeft w:val="0"/>
      <w:marRight w:val="0"/>
      <w:marTop w:val="0"/>
      <w:marBottom w:val="0"/>
      <w:divBdr>
        <w:top w:val="none" w:sz="0" w:space="0" w:color="auto"/>
        <w:left w:val="none" w:sz="0" w:space="0" w:color="auto"/>
        <w:bottom w:val="none" w:sz="0" w:space="0" w:color="auto"/>
        <w:right w:val="none" w:sz="0" w:space="0" w:color="auto"/>
      </w:divBdr>
    </w:div>
    <w:div w:id="1473059494">
      <w:bodyDiv w:val="1"/>
      <w:marLeft w:val="0"/>
      <w:marRight w:val="0"/>
      <w:marTop w:val="0"/>
      <w:marBottom w:val="0"/>
      <w:divBdr>
        <w:top w:val="none" w:sz="0" w:space="0" w:color="auto"/>
        <w:left w:val="none" w:sz="0" w:space="0" w:color="auto"/>
        <w:bottom w:val="none" w:sz="0" w:space="0" w:color="auto"/>
        <w:right w:val="none" w:sz="0" w:space="0" w:color="auto"/>
      </w:divBdr>
    </w:div>
    <w:div w:id="1473326491">
      <w:bodyDiv w:val="1"/>
      <w:marLeft w:val="0"/>
      <w:marRight w:val="0"/>
      <w:marTop w:val="0"/>
      <w:marBottom w:val="0"/>
      <w:divBdr>
        <w:top w:val="none" w:sz="0" w:space="0" w:color="auto"/>
        <w:left w:val="none" w:sz="0" w:space="0" w:color="auto"/>
        <w:bottom w:val="none" w:sz="0" w:space="0" w:color="auto"/>
        <w:right w:val="none" w:sz="0" w:space="0" w:color="auto"/>
      </w:divBdr>
    </w:div>
    <w:div w:id="1473327236">
      <w:bodyDiv w:val="1"/>
      <w:marLeft w:val="0"/>
      <w:marRight w:val="0"/>
      <w:marTop w:val="0"/>
      <w:marBottom w:val="0"/>
      <w:divBdr>
        <w:top w:val="none" w:sz="0" w:space="0" w:color="auto"/>
        <w:left w:val="none" w:sz="0" w:space="0" w:color="auto"/>
        <w:bottom w:val="none" w:sz="0" w:space="0" w:color="auto"/>
        <w:right w:val="none" w:sz="0" w:space="0" w:color="auto"/>
      </w:divBdr>
    </w:div>
    <w:div w:id="1473524962">
      <w:bodyDiv w:val="1"/>
      <w:marLeft w:val="0"/>
      <w:marRight w:val="0"/>
      <w:marTop w:val="0"/>
      <w:marBottom w:val="0"/>
      <w:divBdr>
        <w:top w:val="none" w:sz="0" w:space="0" w:color="auto"/>
        <w:left w:val="none" w:sz="0" w:space="0" w:color="auto"/>
        <w:bottom w:val="none" w:sz="0" w:space="0" w:color="auto"/>
        <w:right w:val="none" w:sz="0" w:space="0" w:color="auto"/>
      </w:divBdr>
    </w:div>
    <w:div w:id="1473526355">
      <w:bodyDiv w:val="1"/>
      <w:marLeft w:val="0"/>
      <w:marRight w:val="0"/>
      <w:marTop w:val="0"/>
      <w:marBottom w:val="0"/>
      <w:divBdr>
        <w:top w:val="none" w:sz="0" w:space="0" w:color="auto"/>
        <w:left w:val="none" w:sz="0" w:space="0" w:color="auto"/>
        <w:bottom w:val="none" w:sz="0" w:space="0" w:color="auto"/>
        <w:right w:val="none" w:sz="0" w:space="0" w:color="auto"/>
      </w:divBdr>
    </w:div>
    <w:div w:id="1473670605">
      <w:bodyDiv w:val="1"/>
      <w:marLeft w:val="0"/>
      <w:marRight w:val="0"/>
      <w:marTop w:val="0"/>
      <w:marBottom w:val="0"/>
      <w:divBdr>
        <w:top w:val="none" w:sz="0" w:space="0" w:color="auto"/>
        <w:left w:val="none" w:sz="0" w:space="0" w:color="auto"/>
        <w:bottom w:val="none" w:sz="0" w:space="0" w:color="auto"/>
        <w:right w:val="none" w:sz="0" w:space="0" w:color="auto"/>
      </w:divBdr>
    </w:div>
    <w:div w:id="1473905034">
      <w:bodyDiv w:val="1"/>
      <w:marLeft w:val="0"/>
      <w:marRight w:val="0"/>
      <w:marTop w:val="0"/>
      <w:marBottom w:val="0"/>
      <w:divBdr>
        <w:top w:val="none" w:sz="0" w:space="0" w:color="auto"/>
        <w:left w:val="none" w:sz="0" w:space="0" w:color="auto"/>
        <w:bottom w:val="none" w:sz="0" w:space="0" w:color="auto"/>
        <w:right w:val="none" w:sz="0" w:space="0" w:color="auto"/>
      </w:divBdr>
    </w:div>
    <w:div w:id="1473988145">
      <w:bodyDiv w:val="1"/>
      <w:marLeft w:val="0"/>
      <w:marRight w:val="0"/>
      <w:marTop w:val="0"/>
      <w:marBottom w:val="0"/>
      <w:divBdr>
        <w:top w:val="none" w:sz="0" w:space="0" w:color="auto"/>
        <w:left w:val="none" w:sz="0" w:space="0" w:color="auto"/>
        <w:bottom w:val="none" w:sz="0" w:space="0" w:color="auto"/>
        <w:right w:val="none" w:sz="0" w:space="0" w:color="auto"/>
      </w:divBdr>
    </w:div>
    <w:div w:id="1474061606">
      <w:bodyDiv w:val="1"/>
      <w:marLeft w:val="0"/>
      <w:marRight w:val="0"/>
      <w:marTop w:val="0"/>
      <w:marBottom w:val="0"/>
      <w:divBdr>
        <w:top w:val="none" w:sz="0" w:space="0" w:color="auto"/>
        <w:left w:val="none" w:sz="0" w:space="0" w:color="auto"/>
        <w:bottom w:val="none" w:sz="0" w:space="0" w:color="auto"/>
        <w:right w:val="none" w:sz="0" w:space="0" w:color="auto"/>
      </w:divBdr>
    </w:div>
    <w:div w:id="1474102407">
      <w:bodyDiv w:val="1"/>
      <w:marLeft w:val="0"/>
      <w:marRight w:val="0"/>
      <w:marTop w:val="0"/>
      <w:marBottom w:val="0"/>
      <w:divBdr>
        <w:top w:val="none" w:sz="0" w:space="0" w:color="auto"/>
        <w:left w:val="none" w:sz="0" w:space="0" w:color="auto"/>
        <w:bottom w:val="none" w:sz="0" w:space="0" w:color="auto"/>
        <w:right w:val="none" w:sz="0" w:space="0" w:color="auto"/>
      </w:divBdr>
    </w:div>
    <w:div w:id="1474172593">
      <w:bodyDiv w:val="1"/>
      <w:marLeft w:val="0"/>
      <w:marRight w:val="0"/>
      <w:marTop w:val="0"/>
      <w:marBottom w:val="0"/>
      <w:divBdr>
        <w:top w:val="none" w:sz="0" w:space="0" w:color="auto"/>
        <w:left w:val="none" w:sz="0" w:space="0" w:color="auto"/>
        <w:bottom w:val="none" w:sz="0" w:space="0" w:color="auto"/>
        <w:right w:val="none" w:sz="0" w:space="0" w:color="auto"/>
      </w:divBdr>
    </w:div>
    <w:div w:id="1474181683">
      <w:bodyDiv w:val="1"/>
      <w:marLeft w:val="0"/>
      <w:marRight w:val="0"/>
      <w:marTop w:val="0"/>
      <w:marBottom w:val="0"/>
      <w:divBdr>
        <w:top w:val="none" w:sz="0" w:space="0" w:color="auto"/>
        <w:left w:val="none" w:sz="0" w:space="0" w:color="auto"/>
        <w:bottom w:val="none" w:sz="0" w:space="0" w:color="auto"/>
        <w:right w:val="none" w:sz="0" w:space="0" w:color="auto"/>
      </w:divBdr>
    </w:div>
    <w:div w:id="1474446240">
      <w:bodyDiv w:val="1"/>
      <w:marLeft w:val="0"/>
      <w:marRight w:val="0"/>
      <w:marTop w:val="0"/>
      <w:marBottom w:val="0"/>
      <w:divBdr>
        <w:top w:val="none" w:sz="0" w:space="0" w:color="auto"/>
        <w:left w:val="none" w:sz="0" w:space="0" w:color="auto"/>
        <w:bottom w:val="none" w:sz="0" w:space="0" w:color="auto"/>
        <w:right w:val="none" w:sz="0" w:space="0" w:color="auto"/>
      </w:divBdr>
    </w:div>
    <w:div w:id="1474568224">
      <w:bodyDiv w:val="1"/>
      <w:marLeft w:val="0"/>
      <w:marRight w:val="0"/>
      <w:marTop w:val="0"/>
      <w:marBottom w:val="0"/>
      <w:divBdr>
        <w:top w:val="none" w:sz="0" w:space="0" w:color="auto"/>
        <w:left w:val="none" w:sz="0" w:space="0" w:color="auto"/>
        <w:bottom w:val="none" w:sz="0" w:space="0" w:color="auto"/>
        <w:right w:val="none" w:sz="0" w:space="0" w:color="auto"/>
      </w:divBdr>
    </w:div>
    <w:div w:id="1474761710">
      <w:bodyDiv w:val="1"/>
      <w:marLeft w:val="0"/>
      <w:marRight w:val="0"/>
      <w:marTop w:val="0"/>
      <w:marBottom w:val="0"/>
      <w:divBdr>
        <w:top w:val="none" w:sz="0" w:space="0" w:color="auto"/>
        <w:left w:val="none" w:sz="0" w:space="0" w:color="auto"/>
        <w:bottom w:val="none" w:sz="0" w:space="0" w:color="auto"/>
        <w:right w:val="none" w:sz="0" w:space="0" w:color="auto"/>
      </w:divBdr>
    </w:div>
    <w:div w:id="1474829438">
      <w:bodyDiv w:val="1"/>
      <w:marLeft w:val="0"/>
      <w:marRight w:val="0"/>
      <w:marTop w:val="0"/>
      <w:marBottom w:val="0"/>
      <w:divBdr>
        <w:top w:val="none" w:sz="0" w:space="0" w:color="auto"/>
        <w:left w:val="none" w:sz="0" w:space="0" w:color="auto"/>
        <w:bottom w:val="none" w:sz="0" w:space="0" w:color="auto"/>
        <w:right w:val="none" w:sz="0" w:space="0" w:color="auto"/>
      </w:divBdr>
    </w:div>
    <w:div w:id="1474904449">
      <w:bodyDiv w:val="1"/>
      <w:marLeft w:val="0"/>
      <w:marRight w:val="0"/>
      <w:marTop w:val="0"/>
      <w:marBottom w:val="0"/>
      <w:divBdr>
        <w:top w:val="none" w:sz="0" w:space="0" w:color="auto"/>
        <w:left w:val="none" w:sz="0" w:space="0" w:color="auto"/>
        <w:bottom w:val="none" w:sz="0" w:space="0" w:color="auto"/>
        <w:right w:val="none" w:sz="0" w:space="0" w:color="auto"/>
      </w:divBdr>
    </w:div>
    <w:div w:id="1474983908">
      <w:bodyDiv w:val="1"/>
      <w:marLeft w:val="0"/>
      <w:marRight w:val="0"/>
      <w:marTop w:val="0"/>
      <w:marBottom w:val="0"/>
      <w:divBdr>
        <w:top w:val="none" w:sz="0" w:space="0" w:color="auto"/>
        <w:left w:val="none" w:sz="0" w:space="0" w:color="auto"/>
        <w:bottom w:val="none" w:sz="0" w:space="0" w:color="auto"/>
        <w:right w:val="none" w:sz="0" w:space="0" w:color="auto"/>
      </w:divBdr>
    </w:div>
    <w:div w:id="1475177509">
      <w:bodyDiv w:val="1"/>
      <w:marLeft w:val="0"/>
      <w:marRight w:val="0"/>
      <w:marTop w:val="0"/>
      <w:marBottom w:val="0"/>
      <w:divBdr>
        <w:top w:val="none" w:sz="0" w:space="0" w:color="auto"/>
        <w:left w:val="none" w:sz="0" w:space="0" w:color="auto"/>
        <w:bottom w:val="none" w:sz="0" w:space="0" w:color="auto"/>
        <w:right w:val="none" w:sz="0" w:space="0" w:color="auto"/>
      </w:divBdr>
    </w:div>
    <w:div w:id="1475368148">
      <w:bodyDiv w:val="1"/>
      <w:marLeft w:val="0"/>
      <w:marRight w:val="0"/>
      <w:marTop w:val="0"/>
      <w:marBottom w:val="0"/>
      <w:divBdr>
        <w:top w:val="none" w:sz="0" w:space="0" w:color="auto"/>
        <w:left w:val="none" w:sz="0" w:space="0" w:color="auto"/>
        <w:bottom w:val="none" w:sz="0" w:space="0" w:color="auto"/>
        <w:right w:val="none" w:sz="0" w:space="0" w:color="auto"/>
      </w:divBdr>
    </w:div>
    <w:div w:id="1475755623">
      <w:bodyDiv w:val="1"/>
      <w:marLeft w:val="0"/>
      <w:marRight w:val="0"/>
      <w:marTop w:val="0"/>
      <w:marBottom w:val="0"/>
      <w:divBdr>
        <w:top w:val="none" w:sz="0" w:space="0" w:color="auto"/>
        <w:left w:val="none" w:sz="0" w:space="0" w:color="auto"/>
        <w:bottom w:val="none" w:sz="0" w:space="0" w:color="auto"/>
        <w:right w:val="none" w:sz="0" w:space="0" w:color="auto"/>
      </w:divBdr>
    </w:div>
    <w:div w:id="1476027487">
      <w:bodyDiv w:val="1"/>
      <w:marLeft w:val="0"/>
      <w:marRight w:val="0"/>
      <w:marTop w:val="0"/>
      <w:marBottom w:val="0"/>
      <w:divBdr>
        <w:top w:val="none" w:sz="0" w:space="0" w:color="auto"/>
        <w:left w:val="none" w:sz="0" w:space="0" w:color="auto"/>
        <w:bottom w:val="none" w:sz="0" w:space="0" w:color="auto"/>
        <w:right w:val="none" w:sz="0" w:space="0" w:color="auto"/>
      </w:divBdr>
    </w:div>
    <w:div w:id="1476217949">
      <w:bodyDiv w:val="1"/>
      <w:marLeft w:val="0"/>
      <w:marRight w:val="0"/>
      <w:marTop w:val="0"/>
      <w:marBottom w:val="0"/>
      <w:divBdr>
        <w:top w:val="none" w:sz="0" w:space="0" w:color="auto"/>
        <w:left w:val="none" w:sz="0" w:space="0" w:color="auto"/>
        <w:bottom w:val="none" w:sz="0" w:space="0" w:color="auto"/>
        <w:right w:val="none" w:sz="0" w:space="0" w:color="auto"/>
      </w:divBdr>
    </w:div>
    <w:div w:id="1476293689">
      <w:bodyDiv w:val="1"/>
      <w:marLeft w:val="0"/>
      <w:marRight w:val="0"/>
      <w:marTop w:val="0"/>
      <w:marBottom w:val="0"/>
      <w:divBdr>
        <w:top w:val="none" w:sz="0" w:space="0" w:color="auto"/>
        <w:left w:val="none" w:sz="0" w:space="0" w:color="auto"/>
        <w:bottom w:val="none" w:sz="0" w:space="0" w:color="auto"/>
        <w:right w:val="none" w:sz="0" w:space="0" w:color="auto"/>
      </w:divBdr>
    </w:div>
    <w:div w:id="1476528543">
      <w:bodyDiv w:val="1"/>
      <w:marLeft w:val="0"/>
      <w:marRight w:val="0"/>
      <w:marTop w:val="0"/>
      <w:marBottom w:val="0"/>
      <w:divBdr>
        <w:top w:val="none" w:sz="0" w:space="0" w:color="auto"/>
        <w:left w:val="none" w:sz="0" w:space="0" w:color="auto"/>
        <w:bottom w:val="none" w:sz="0" w:space="0" w:color="auto"/>
        <w:right w:val="none" w:sz="0" w:space="0" w:color="auto"/>
      </w:divBdr>
    </w:div>
    <w:div w:id="1476605243">
      <w:bodyDiv w:val="1"/>
      <w:marLeft w:val="0"/>
      <w:marRight w:val="0"/>
      <w:marTop w:val="0"/>
      <w:marBottom w:val="0"/>
      <w:divBdr>
        <w:top w:val="none" w:sz="0" w:space="0" w:color="auto"/>
        <w:left w:val="none" w:sz="0" w:space="0" w:color="auto"/>
        <w:bottom w:val="none" w:sz="0" w:space="0" w:color="auto"/>
        <w:right w:val="none" w:sz="0" w:space="0" w:color="auto"/>
      </w:divBdr>
    </w:div>
    <w:div w:id="1476951518">
      <w:bodyDiv w:val="1"/>
      <w:marLeft w:val="0"/>
      <w:marRight w:val="0"/>
      <w:marTop w:val="0"/>
      <w:marBottom w:val="0"/>
      <w:divBdr>
        <w:top w:val="none" w:sz="0" w:space="0" w:color="auto"/>
        <w:left w:val="none" w:sz="0" w:space="0" w:color="auto"/>
        <w:bottom w:val="none" w:sz="0" w:space="0" w:color="auto"/>
        <w:right w:val="none" w:sz="0" w:space="0" w:color="auto"/>
      </w:divBdr>
    </w:div>
    <w:div w:id="1476993622">
      <w:bodyDiv w:val="1"/>
      <w:marLeft w:val="0"/>
      <w:marRight w:val="0"/>
      <w:marTop w:val="0"/>
      <w:marBottom w:val="0"/>
      <w:divBdr>
        <w:top w:val="none" w:sz="0" w:space="0" w:color="auto"/>
        <w:left w:val="none" w:sz="0" w:space="0" w:color="auto"/>
        <w:bottom w:val="none" w:sz="0" w:space="0" w:color="auto"/>
        <w:right w:val="none" w:sz="0" w:space="0" w:color="auto"/>
      </w:divBdr>
    </w:div>
    <w:div w:id="1477141357">
      <w:bodyDiv w:val="1"/>
      <w:marLeft w:val="0"/>
      <w:marRight w:val="0"/>
      <w:marTop w:val="0"/>
      <w:marBottom w:val="0"/>
      <w:divBdr>
        <w:top w:val="none" w:sz="0" w:space="0" w:color="auto"/>
        <w:left w:val="none" w:sz="0" w:space="0" w:color="auto"/>
        <w:bottom w:val="none" w:sz="0" w:space="0" w:color="auto"/>
        <w:right w:val="none" w:sz="0" w:space="0" w:color="auto"/>
      </w:divBdr>
    </w:div>
    <w:div w:id="1477144572">
      <w:bodyDiv w:val="1"/>
      <w:marLeft w:val="0"/>
      <w:marRight w:val="0"/>
      <w:marTop w:val="0"/>
      <w:marBottom w:val="0"/>
      <w:divBdr>
        <w:top w:val="none" w:sz="0" w:space="0" w:color="auto"/>
        <w:left w:val="none" w:sz="0" w:space="0" w:color="auto"/>
        <w:bottom w:val="none" w:sz="0" w:space="0" w:color="auto"/>
        <w:right w:val="none" w:sz="0" w:space="0" w:color="auto"/>
      </w:divBdr>
    </w:div>
    <w:div w:id="1477338217">
      <w:bodyDiv w:val="1"/>
      <w:marLeft w:val="0"/>
      <w:marRight w:val="0"/>
      <w:marTop w:val="0"/>
      <w:marBottom w:val="0"/>
      <w:divBdr>
        <w:top w:val="none" w:sz="0" w:space="0" w:color="auto"/>
        <w:left w:val="none" w:sz="0" w:space="0" w:color="auto"/>
        <w:bottom w:val="none" w:sz="0" w:space="0" w:color="auto"/>
        <w:right w:val="none" w:sz="0" w:space="0" w:color="auto"/>
      </w:divBdr>
    </w:div>
    <w:div w:id="1477406373">
      <w:bodyDiv w:val="1"/>
      <w:marLeft w:val="0"/>
      <w:marRight w:val="0"/>
      <w:marTop w:val="0"/>
      <w:marBottom w:val="0"/>
      <w:divBdr>
        <w:top w:val="none" w:sz="0" w:space="0" w:color="auto"/>
        <w:left w:val="none" w:sz="0" w:space="0" w:color="auto"/>
        <w:bottom w:val="none" w:sz="0" w:space="0" w:color="auto"/>
        <w:right w:val="none" w:sz="0" w:space="0" w:color="auto"/>
      </w:divBdr>
    </w:div>
    <w:div w:id="1477643147">
      <w:bodyDiv w:val="1"/>
      <w:marLeft w:val="0"/>
      <w:marRight w:val="0"/>
      <w:marTop w:val="0"/>
      <w:marBottom w:val="0"/>
      <w:divBdr>
        <w:top w:val="none" w:sz="0" w:space="0" w:color="auto"/>
        <w:left w:val="none" w:sz="0" w:space="0" w:color="auto"/>
        <w:bottom w:val="none" w:sz="0" w:space="0" w:color="auto"/>
        <w:right w:val="none" w:sz="0" w:space="0" w:color="auto"/>
      </w:divBdr>
    </w:div>
    <w:div w:id="1477721216">
      <w:bodyDiv w:val="1"/>
      <w:marLeft w:val="0"/>
      <w:marRight w:val="0"/>
      <w:marTop w:val="0"/>
      <w:marBottom w:val="0"/>
      <w:divBdr>
        <w:top w:val="none" w:sz="0" w:space="0" w:color="auto"/>
        <w:left w:val="none" w:sz="0" w:space="0" w:color="auto"/>
        <w:bottom w:val="none" w:sz="0" w:space="0" w:color="auto"/>
        <w:right w:val="none" w:sz="0" w:space="0" w:color="auto"/>
      </w:divBdr>
    </w:div>
    <w:div w:id="1477986107">
      <w:bodyDiv w:val="1"/>
      <w:marLeft w:val="0"/>
      <w:marRight w:val="0"/>
      <w:marTop w:val="0"/>
      <w:marBottom w:val="0"/>
      <w:divBdr>
        <w:top w:val="none" w:sz="0" w:space="0" w:color="auto"/>
        <w:left w:val="none" w:sz="0" w:space="0" w:color="auto"/>
        <w:bottom w:val="none" w:sz="0" w:space="0" w:color="auto"/>
        <w:right w:val="none" w:sz="0" w:space="0" w:color="auto"/>
      </w:divBdr>
    </w:div>
    <w:div w:id="1477994429">
      <w:bodyDiv w:val="1"/>
      <w:marLeft w:val="0"/>
      <w:marRight w:val="0"/>
      <w:marTop w:val="0"/>
      <w:marBottom w:val="0"/>
      <w:divBdr>
        <w:top w:val="none" w:sz="0" w:space="0" w:color="auto"/>
        <w:left w:val="none" w:sz="0" w:space="0" w:color="auto"/>
        <w:bottom w:val="none" w:sz="0" w:space="0" w:color="auto"/>
        <w:right w:val="none" w:sz="0" w:space="0" w:color="auto"/>
      </w:divBdr>
    </w:div>
    <w:div w:id="1477994889">
      <w:bodyDiv w:val="1"/>
      <w:marLeft w:val="0"/>
      <w:marRight w:val="0"/>
      <w:marTop w:val="0"/>
      <w:marBottom w:val="0"/>
      <w:divBdr>
        <w:top w:val="none" w:sz="0" w:space="0" w:color="auto"/>
        <w:left w:val="none" w:sz="0" w:space="0" w:color="auto"/>
        <w:bottom w:val="none" w:sz="0" w:space="0" w:color="auto"/>
        <w:right w:val="none" w:sz="0" w:space="0" w:color="auto"/>
      </w:divBdr>
    </w:div>
    <w:div w:id="1478184170">
      <w:bodyDiv w:val="1"/>
      <w:marLeft w:val="0"/>
      <w:marRight w:val="0"/>
      <w:marTop w:val="0"/>
      <w:marBottom w:val="0"/>
      <w:divBdr>
        <w:top w:val="none" w:sz="0" w:space="0" w:color="auto"/>
        <w:left w:val="none" w:sz="0" w:space="0" w:color="auto"/>
        <w:bottom w:val="none" w:sz="0" w:space="0" w:color="auto"/>
        <w:right w:val="none" w:sz="0" w:space="0" w:color="auto"/>
      </w:divBdr>
    </w:div>
    <w:div w:id="1478255424">
      <w:bodyDiv w:val="1"/>
      <w:marLeft w:val="0"/>
      <w:marRight w:val="0"/>
      <w:marTop w:val="0"/>
      <w:marBottom w:val="0"/>
      <w:divBdr>
        <w:top w:val="none" w:sz="0" w:space="0" w:color="auto"/>
        <w:left w:val="none" w:sz="0" w:space="0" w:color="auto"/>
        <w:bottom w:val="none" w:sz="0" w:space="0" w:color="auto"/>
        <w:right w:val="none" w:sz="0" w:space="0" w:color="auto"/>
      </w:divBdr>
    </w:div>
    <w:div w:id="1478524583">
      <w:bodyDiv w:val="1"/>
      <w:marLeft w:val="0"/>
      <w:marRight w:val="0"/>
      <w:marTop w:val="0"/>
      <w:marBottom w:val="0"/>
      <w:divBdr>
        <w:top w:val="none" w:sz="0" w:space="0" w:color="auto"/>
        <w:left w:val="none" w:sz="0" w:space="0" w:color="auto"/>
        <w:bottom w:val="none" w:sz="0" w:space="0" w:color="auto"/>
        <w:right w:val="none" w:sz="0" w:space="0" w:color="auto"/>
      </w:divBdr>
    </w:div>
    <w:div w:id="1478761522">
      <w:bodyDiv w:val="1"/>
      <w:marLeft w:val="0"/>
      <w:marRight w:val="0"/>
      <w:marTop w:val="0"/>
      <w:marBottom w:val="0"/>
      <w:divBdr>
        <w:top w:val="none" w:sz="0" w:space="0" w:color="auto"/>
        <w:left w:val="none" w:sz="0" w:space="0" w:color="auto"/>
        <w:bottom w:val="none" w:sz="0" w:space="0" w:color="auto"/>
        <w:right w:val="none" w:sz="0" w:space="0" w:color="auto"/>
      </w:divBdr>
    </w:div>
    <w:div w:id="1478916396">
      <w:bodyDiv w:val="1"/>
      <w:marLeft w:val="0"/>
      <w:marRight w:val="0"/>
      <w:marTop w:val="0"/>
      <w:marBottom w:val="0"/>
      <w:divBdr>
        <w:top w:val="none" w:sz="0" w:space="0" w:color="auto"/>
        <w:left w:val="none" w:sz="0" w:space="0" w:color="auto"/>
        <w:bottom w:val="none" w:sz="0" w:space="0" w:color="auto"/>
        <w:right w:val="none" w:sz="0" w:space="0" w:color="auto"/>
      </w:divBdr>
    </w:div>
    <w:div w:id="1479107551">
      <w:bodyDiv w:val="1"/>
      <w:marLeft w:val="0"/>
      <w:marRight w:val="0"/>
      <w:marTop w:val="0"/>
      <w:marBottom w:val="0"/>
      <w:divBdr>
        <w:top w:val="none" w:sz="0" w:space="0" w:color="auto"/>
        <w:left w:val="none" w:sz="0" w:space="0" w:color="auto"/>
        <w:bottom w:val="none" w:sz="0" w:space="0" w:color="auto"/>
        <w:right w:val="none" w:sz="0" w:space="0" w:color="auto"/>
      </w:divBdr>
    </w:div>
    <w:div w:id="1479111484">
      <w:bodyDiv w:val="1"/>
      <w:marLeft w:val="0"/>
      <w:marRight w:val="0"/>
      <w:marTop w:val="0"/>
      <w:marBottom w:val="0"/>
      <w:divBdr>
        <w:top w:val="none" w:sz="0" w:space="0" w:color="auto"/>
        <w:left w:val="none" w:sz="0" w:space="0" w:color="auto"/>
        <w:bottom w:val="none" w:sz="0" w:space="0" w:color="auto"/>
        <w:right w:val="none" w:sz="0" w:space="0" w:color="auto"/>
      </w:divBdr>
    </w:div>
    <w:div w:id="1479148200">
      <w:bodyDiv w:val="1"/>
      <w:marLeft w:val="0"/>
      <w:marRight w:val="0"/>
      <w:marTop w:val="0"/>
      <w:marBottom w:val="0"/>
      <w:divBdr>
        <w:top w:val="none" w:sz="0" w:space="0" w:color="auto"/>
        <w:left w:val="none" w:sz="0" w:space="0" w:color="auto"/>
        <w:bottom w:val="none" w:sz="0" w:space="0" w:color="auto"/>
        <w:right w:val="none" w:sz="0" w:space="0" w:color="auto"/>
      </w:divBdr>
    </w:div>
    <w:div w:id="1479495829">
      <w:bodyDiv w:val="1"/>
      <w:marLeft w:val="0"/>
      <w:marRight w:val="0"/>
      <w:marTop w:val="0"/>
      <w:marBottom w:val="0"/>
      <w:divBdr>
        <w:top w:val="none" w:sz="0" w:space="0" w:color="auto"/>
        <w:left w:val="none" w:sz="0" w:space="0" w:color="auto"/>
        <w:bottom w:val="none" w:sz="0" w:space="0" w:color="auto"/>
        <w:right w:val="none" w:sz="0" w:space="0" w:color="auto"/>
      </w:divBdr>
    </w:div>
    <w:div w:id="1479566294">
      <w:bodyDiv w:val="1"/>
      <w:marLeft w:val="0"/>
      <w:marRight w:val="0"/>
      <w:marTop w:val="0"/>
      <w:marBottom w:val="0"/>
      <w:divBdr>
        <w:top w:val="none" w:sz="0" w:space="0" w:color="auto"/>
        <w:left w:val="none" w:sz="0" w:space="0" w:color="auto"/>
        <w:bottom w:val="none" w:sz="0" w:space="0" w:color="auto"/>
        <w:right w:val="none" w:sz="0" w:space="0" w:color="auto"/>
      </w:divBdr>
    </w:div>
    <w:div w:id="1479610327">
      <w:bodyDiv w:val="1"/>
      <w:marLeft w:val="0"/>
      <w:marRight w:val="0"/>
      <w:marTop w:val="0"/>
      <w:marBottom w:val="0"/>
      <w:divBdr>
        <w:top w:val="none" w:sz="0" w:space="0" w:color="auto"/>
        <w:left w:val="none" w:sz="0" w:space="0" w:color="auto"/>
        <w:bottom w:val="none" w:sz="0" w:space="0" w:color="auto"/>
        <w:right w:val="none" w:sz="0" w:space="0" w:color="auto"/>
      </w:divBdr>
    </w:div>
    <w:div w:id="1479611068">
      <w:bodyDiv w:val="1"/>
      <w:marLeft w:val="0"/>
      <w:marRight w:val="0"/>
      <w:marTop w:val="0"/>
      <w:marBottom w:val="0"/>
      <w:divBdr>
        <w:top w:val="none" w:sz="0" w:space="0" w:color="auto"/>
        <w:left w:val="none" w:sz="0" w:space="0" w:color="auto"/>
        <w:bottom w:val="none" w:sz="0" w:space="0" w:color="auto"/>
        <w:right w:val="none" w:sz="0" w:space="0" w:color="auto"/>
      </w:divBdr>
    </w:div>
    <w:div w:id="1479689587">
      <w:bodyDiv w:val="1"/>
      <w:marLeft w:val="0"/>
      <w:marRight w:val="0"/>
      <w:marTop w:val="0"/>
      <w:marBottom w:val="0"/>
      <w:divBdr>
        <w:top w:val="none" w:sz="0" w:space="0" w:color="auto"/>
        <w:left w:val="none" w:sz="0" w:space="0" w:color="auto"/>
        <w:bottom w:val="none" w:sz="0" w:space="0" w:color="auto"/>
        <w:right w:val="none" w:sz="0" w:space="0" w:color="auto"/>
      </w:divBdr>
    </w:div>
    <w:div w:id="1479881418">
      <w:bodyDiv w:val="1"/>
      <w:marLeft w:val="0"/>
      <w:marRight w:val="0"/>
      <w:marTop w:val="0"/>
      <w:marBottom w:val="0"/>
      <w:divBdr>
        <w:top w:val="none" w:sz="0" w:space="0" w:color="auto"/>
        <w:left w:val="none" w:sz="0" w:space="0" w:color="auto"/>
        <w:bottom w:val="none" w:sz="0" w:space="0" w:color="auto"/>
        <w:right w:val="none" w:sz="0" w:space="0" w:color="auto"/>
      </w:divBdr>
    </w:div>
    <w:div w:id="1480070278">
      <w:bodyDiv w:val="1"/>
      <w:marLeft w:val="0"/>
      <w:marRight w:val="0"/>
      <w:marTop w:val="0"/>
      <w:marBottom w:val="0"/>
      <w:divBdr>
        <w:top w:val="none" w:sz="0" w:space="0" w:color="auto"/>
        <w:left w:val="none" w:sz="0" w:space="0" w:color="auto"/>
        <w:bottom w:val="none" w:sz="0" w:space="0" w:color="auto"/>
        <w:right w:val="none" w:sz="0" w:space="0" w:color="auto"/>
      </w:divBdr>
    </w:div>
    <w:div w:id="1480073372">
      <w:bodyDiv w:val="1"/>
      <w:marLeft w:val="0"/>
      <w:marRight w:val="0"/>
      <w:marTop w:val="0"/>
      <w:marBottom w:val="0"/>
      <w:divBdr>
        <w:top w:val="none" w:sz="0" w:space="0" w:color="auto"/>
        <w:left w:val="none" w:sz="0" w:space="0" w:color="auto"/>
        <w:bottom w:val="none" w:sz="0" w:space="0" w:color="auto"/>
        <w:right w:val="none" w:sz="0" w:space="0" w:color="auto"/>
      </w:divBdr>
    </w:div>
    <w:div w:id="1480146002">
      <w:bodyDiv w:val="1"/>
      <w:marLeft w:val="0"/>
      <w:marRight w:val="0"/>
      <w:marTop w:val="0"/>
      <w:marBottom w:val="0"/>
      <w:divBdr>
        <w:top w:val="none" w:sz="0" w:space="0" w:color="auto"/>
        <w:left w:val="none" w:sz="0" w:space="0" w:color="auto"/>
        <w:bottom w:val="none" w:sz="0" w:space="0" w:color="auto"/>
        <w:right w:val="none" w:sz="0" w:space="0" w:color="auto"/>
      </w:divBdr>
    </w:div>
    <w:div w:id="1480154170">
      <w:bodyDiv w:val="1"/>
      <w:marLeft w:val="0"/>
      <w:marRight w:val="0"/>
      <w:marTop w:val="0"/>
      <w:marBottom w:val="0"/>
      <w:divBdr>
        <w:top w:val="none" w:sz="0" w:space="0" w:color="auto"/>
        <w:left w:val="none" w:sz="0" w:space="0" w:color="auto"/>
        <w:bottom w:val="none" w:sz="0" w:space="0" w:color="auto"/>
        <w:right w:val="none" w:sz="0" w:space="0" w:color="auto"/>
      </w:divBdr>
    </w:div>
    <w:div w:id="1480223634">
      <w:bodyDiv w:val="1"/>
      <w:marLeft w:val="0"/>
      <w:marRight w:val="0"/>
      <w:marTop w:val="0"/>
      <w:marBottom w:val="0"/>
      <w:divBdr>
        <w:top w:val="none" w:sz="0" w:space="0" w:color="auto"/>
        <w:left w:val="none" w:sz="0" w:space="0" w:color="auto"/>
        <w:bottom w:val="none" w:sz="0" w:space="0" w:color="auto"/>
        <w:right w:val="none" w:sz="0" w:space="0" w:color="auto"/>
      </w:divBdr>
    </w:div>
    <w:div w:id="1480613449">
      <w:bodyDiv w:val="1"/>
      <w:marLeft w:val="0"/>
      <w:marRight w:val="0"/>
      <w:marTop w:val="0"/>
      <w:marBottom w:val="0"/>
      <w:divBdr>
        <w:top w:val="none" w:sz="0" w:space="0" w:color="auto"/>
        <w:left w:val="none" w:sz="0" w:space="0" w:color="auto"/>
        <w:bottom w:val="none" w:sz="0" w:space="0" w:color="auto"/>
        <w:right w:val="none" w:sz="0" w:space="0" w:color="auto"/>
      </w:divBdr>
    </w:div>
    <w:div w:id="1480880794">
      <w:bodyDiv w:val="1"/>
      <w:marLeft w:val="0"/>
      <w:marRight w:val="0"/>
      <w:marTop w:val="0"/>
      <w:marBottom w:val="0"/>
      <w:divBdr>
        <w:top w:val="none" w:sz="0" w:space="0" w:color="auto"/>
        <w:left w:val="none" w:sz="0" w:space="0" w:color="auto"/>
        <w:bottom w:val="none" w:sz="0" w:space="0" w:color="auto"/>
        <w:right w:val="none" w:sz="0" w:space="0" w:color="auto"/>
      </w:divBdr>
    </w:div>
    <w:div w:id="1480924260">
      <w:bodyDiv w:val="1"/>
      <w:marLeft w:val="0"/>
      <w:marRight w:val="0"/>
      <w:marTop w:val="0"/>
      <w:marBottom w:val="0"/>
      <w:divBdr>
        <w:top w:val="none" w:sz="0" w:space="0" w:color="auto"/>
        <w:left w:val="none" w:sz="0" w:space="0" w:color="auto"/>
        <w:bottom w:val="none" w:sz="0" w:space="0" w:color="auto"/>
        <w:right w:val="none" w:sz="0" w:space="0" w:color="auto"/>
      </w:divBdr>
    </w:div>
    <w:div w:id="1481076288">
      <w:bodyDiv w:val="1"/>
      <w:marLeft w:val="0"/>
      <w:marRight w:val="0"/>
      <w:marTop w:val="0"/>
      <w:marBottom w:val="0"/>
      <w:divBdr>
        <w:top w:val="none" w:sz="0" w:space="0" w:color="auto"/>
        <w:left w:val="none" w:sz="0" w:space="0" w:color="auto"/>
        <w:bottom w:val="none" w:sz="0" w:space="0" w:color="auto"/>
        <w:right w:val="none" w:sz="0" w:space="0" w:color="auto"/>
      </w:divBdr>
    </w:div>
    <w:div w:id="1481115366">
      <w:bodyDiv w:val="1"/>
      <w:marLeft w:val="0"/>
      <w:marRight w:val="0"/>
      <w:marTop w:val="0"/>
      <w:marBottom w:val="0"/>
      <w:divBdr>
        <w:top w:val="none" w:sz="0" w:space="0" w:color="auto"/>
        <w:left w:val="none" w:sz="0" w:space="0" w:color="auto"/>
        <w:bottom w:val="none" w:sz="0" w:space="0" w:color="auto"/>
        <w:right w:val="none" w:sz="0" w:space="0" w:color="auto"/>
      </w:divBdr>
    </w:div>
    <w:div w:id="1481263784">
      <w:bodyDiv w:val="1"/>
      <w:marLeft w:val="0"/>
      <w:marRight w:val="0"/>
      <w:marTop w:val="0"/>
      <w:marBottom w:val="0"/>
      <w:divBdr>
        <w:top w:val="none" w:sz="0" w:space="0" w:color="auto"/>
        <w:left w:val="none" w:sz="0" w:space="0" w:color="auto"/>
        <w:bottom w:val="none" w:sz="0" w:space="0" w:color="auto"/>
        <w:right w:val="none" w:sz="0" w:space="0" w:color="auto"/>
      </w:divBdr>
    </w:div>
    <w:div w:id="1481385162">
      <w:bodyDiv w:val="1"/>
      <w:marLeft w:val="0"/>
      <w:marRight w:val="0"/>
      <w:marTop w:val="0"/>
      <w:marBottom w:val="0"/>
      <w:divBdr>
        <w:top w:val="none" w:sz="0" w:space="0" w:color="auto"/>
        <w:left w:val="none" w:sz="0" w:space="0" w:color="auto"/>
        <w:bottom w:val="none" w:sz="0" w:space="0" w:color="auto"/>
        <w:right w:val="none" w:sz="0" w:space="0" w:color="auto"/>
      </w:divBdr>
    </w:div>
    <w:div w:id="1481456192">
      <w:bodyDiv w:val="1"/>
      <w:marLeft w:val="0"/>
      <w:marRight w:val="0"/>
      <w:marTop w:val="0"/>
      <w:marBottom w:val="0"/>
      <w:divBdr>
        <w:top w:val="none" w:sz="0" w:space="0" w:color="auto"/>
        <w:left w:val="none" w:sz="0" w:space="0" w:color="auto"/>
        <w:bottom w:val="none" w:sz="0" w:space="0" w:color="auto"/>
        <w:right w:val="none" w:sz="0" w:space="0" w:color="auto"/>
      </w:divBdr>
    </w:div>
    <w:div w:id="1481533768">
      <w:bodyDiv w:val="1"/>
      <w:marLeft w:val="0"/>
      <w:marRight w:val="0"/>
      <w:marTop w:val="0"/>
      <w:marBottom w:val="0"/>
      <w:divBdr>
        <w:top w:val="none" w:sz="0" w:space="0" w:color="auto"/>
        <w:left w:val="none" w:sz="0" w:space="0" w:color="auto"/>
        <w:bottom w:val="none" w:sz="0" w:space="0" w:color="auto"/>
        <w:right w:val="none" w:sz="0" w:space="0" w:color="auto"/>
      </w:divBdr>
    </w:div>
    <w:div w:id="1481536140">
      <w:bodyDiv w:val="1"/>
      <w:marLeft w:val="0"/>
      <w:marRight w:val="0"/>
      <w:marTop w:val="0"/>
      <w:marBottom w:val="0"/>
      <w:divBdr>
        <w:top w:val="none" w:sz="0" w:space="0" w:color="auto"/>
        <w:left w:val="none" w:sz="0" w:space="0" w:color="auto"/>
        <w:bottom w:val="none" w:sz="0" w:space="0" w:color="auto"/>
        <w:right w:val="none" w:sz="0" w:space="0" w:color="auto"/>
      </w:divBdr>
    </w:div>
    <w:div w:id="1481538742">
      <w:bodyDiv w:val="1"/>
      <w:marLeft w:val="0"/>
      <w:marRight w:val="0"/>
      <w:marTop w:val="0"/>
      <w:marBottom w:val="0"/>
      <w:divBdr>
        <w:top w:val="none" w:sz="0" w:space="0" w:color="auto"/>
        <w:left w:val="none" w:sz="0" w:space="0" w:color="auto"/>
        <w:bottom w:val="none" w:sz="0" w:space="0" w:color="auto"/>
        <w:right w:val="none" w:sz="0" w:space="0" w:color="auto"/>
      </w:divBdr>
    </w:div>
    <w:div w:id="1481578943">
      <w:bodyDiv w:val="1"/>
      <w:marLeft w:val="0"/>
      <w:marRight w:val="0"/>
      <w:marTop w:val="0"/>
      <w:marBottom w:val="0"/>
      <w:divBdr>
        <w:top w:val="none" w:sz="0" w:space="0" w:color="auto"/>
        <w:left w:val="none" w:sz="0" w:space="0" w:color="auto"/>
        <w:bottom w:val="none" w:sz="0" w:space="0" w:color="auto"/>
        <w:right w:val="none" w:sz="0" w:space="0" w:color="auto"/>
      </w:divBdr>
    </w:div>
    <w:div w:id="1481580143">
      <w:bodyDiv w:val="1"/>
      <w:marLeft w:val="0"/>
      <w:marRight w:val="0"/>
      <w:marTop w:val="0"/>
      <w:marBottom w:val="0"/>
      <w:divBdr>
        <w:top w:val="none" w:sz="0" w:space="0" w:color="auto"/>
        <w:left w:val="none" w:sz="0" w:space="0" w:color="auto"/>
        <w:bottom w:val="none" w:sz="0" w:space="0" w:color="auto"/>
        <w:right w:val="none" w:sz="0" w:space="0" w:color="auto"/>
      </w:divBdr>
    </w:div>
    <w:div w:id="1481649908">
      <w:bodyDiv w:val="1"/>
      <w:marLeft w:val="0"/>
      <w:marRight w:val="0"/>
      <w:marTop w:val="0"/>
      <w:marBottom w:val="0"/>
      <w:divBdr>
        <w:top w:val="none" w:sz="0" w:space="0" w:color="auto"/>
        <w:left w:val="none" w:sz="0" w:space="0" w:color="auto"/>
        <w:bottom w:val="none" w:sz="0" w:space="0" w:color="auto"/>
        <w:right w:val="none" w:sz="0" w:space="0" w:color="auto"/>
      </w:divBdr>
    </w:div>
    <w:div w:id="1481849957">
      <w:bodyDiv w:val="1"/>
      <w:marLeft w:val="0"/>
      <w:marRight w:val="0"/>
      <w:marTop w:val="0"/>
      <w:marBottom w:val="0"/>
      <w:divBdr>
        <w:top w:val="none" w:sz="0" w:space="0" w:color="auto"/>
        <w:left w:val="none" w:sz="0" w:space="0" w:color="auto"/>
        <w:bottom w:val="none" w:sz="0" w:space="0" w:color="auto"/>
        <w:right w:val="none" w:sz="0" w:space="0" w:color="auto"/>
      </w:divBdr>
    </w:div>
    <w:div w:id="1481851394">
      <w:bodyDiv w:val="1"/>
      <w:marLeft w:val="0"/>
      <w:marRight w:val="0"/>
      <w:marTop w:val="0"/>
      <w:marBottom w:val="0"/>
      <w:divBdr>
        <w:top w:val="none" w:sz="0" w:space="0" w:color="auto"/>
        <w:left w:val="none" w:sz="0" w:space="0" w:color="auto"/>
        <w:bottom w:val="none" w:sz="0" w:space="0" w:color="auto"/>
        <w:right w:val="none" w:sz="0" w:space="0" w:color="auto"/>
      </w:divBdr>
    </w:div>
    <w:div w:id="1481925729">
      <w:bodyDiv w:val="1"/>
      <w:marLeft w:val="0"/>
      <w:marRight w:val="0"/>
      <w:marTop w:val="0"/>
      <w:marBottom w:val="0"/>
      <w:divBdr>
        <w:top w:val="none" w:sz="0" w:space="0" w:color="auto"/>
        <w:left w:val="none" w:sz="0" w:space="0" w:color="auto"/>
        <w:bottom w:val="none" w:sz="0" w:space="0" w:color="auto"/>
        <w:right w:val="none" w:sz="0" w:space="0" w:color="auto"/>
      </w:divBdr>
    </w:div>
    <w:div w:id="1481997123">
      <w:bodyDiv w:val="1"/>
      <w:marLeft w:val="0"/>
      <w:marRight w:val="0"/>
      <w:marTop w:val="0"/>
      <w:marBottom w:val="0"/>
      <w:divBdr>
        <w:top w:val="none" w:sz="0" w:space="0" w:color="auto"/>
        <w:left w:val="none" w:sz="0" w:space="0" w:color="auto"/>
        <w:bottom w:val="none" w:sz="0" w:space="0" w:color="auto"/>
        <w:right w:val="none" w:sz="0" w:space="0" w:color="auto"/>
      </w:divBdr>
    </w:div>
    <w:div w:id="1482187876">
      <w:bodyDiv w:val="1"/>
      <w:marLeft w:val="0"/>
      <w:marRight w:val="0"/>
      <w:marTop w:val="0"/>
      <w:marBottom w:val="0"/>
      <w:divBdr>
        <w:top w:val="none" w:sz="0" w:space="0" w:color="auto"/>
        <w:left w:val="none" w:sz="0" w:space="0" w:color="auto"/>
        <w:bottom w:val="none" w:sz="0" w:space="0" w:color="auto"/>
        <w:right w:val="none" w:sz="0" w:space="0" w:color="auto"/>
      </w:divBdr>
    </w:div>
    <w:div w:id="1482456357">
      <w:bodyDiv w:val="1"/>
      <w:marLeft w:val="0"/>
      <w:marRight w:val="0"/>
      <w:marTop w:val="0"/>
      <w:marBottom w:val="0"/>
      <w:divBdr>
        <w:top w:val="none" w:sz="0" w:space="0" w:color="auto"/>
        <w:left w:val="none" w:sz="0" w:space="0" w:color="auto"/>
        <w:bottom w:val="none" w:sz="0" w:space="0" w:color="auto"/>
        <w:right w:val="none" w:sz="0" w:space="0" w:color="auto"/>
      </w:divBdr>
    </w:div>
    <w:div w:id="1482501194">
      <w:bodyDiv w:val="1"/>
      <w:marLeft w:val="0"/>
      <w:marRight w:val="0"/>
      <w:marTop w:val="0"/>
      <w:marBottom w:val="0"/>
      <w:divBdr>
        <w:top w:val="none" w:sz="0" w:space="0" w:color="auto"/>
        <w:left w:val="none" w:sz="0" w:space="0" w:color="auto"/>
        <w:bottom w:val="none" w:sz="0" w:space="0" w:color="auto"/>
        <w:right w:val="none" w:sz="0" w:space="0" w:color="auto"/>
      </w:divBdr>
    </w:div>
    <w:div w:id="1482695608">
      <w:bodyDiv w:val="1"/>
      <w:marLeft w:val="0"/>
      <w:marRight w:val="0"/>
      <w:marTop w:val="0"/>
      <w:marBottom w:val="0"/>
      <w:divBdr>
        <w:top w:val="none" w:sz="0" w:space="0" w:color="auto"/>
        <w:left w:val="none" w:sz="0" w:space="0" w:color="auto"/>
        <w:bottom w:val="none" w:sz="0" w:space="0" w:color="auto"/>
        <w:right w:val="none" w:sz="0" w:space="0" w:color="auto"/>
      </w:divBdr>
    </w:div>
    <w:div w:id="1482766804">
      <w:bodyDiv w:val="1"/>
      <w:marLeft w:val="0"/>
      <w:marRight w:val="0"/>
      <w:marTop w:val="0"/>
      <w:marBottom w:val="0"/>
      <w:divBdr>
        <w:top w:val="none" w:sz="0" w:space="0" w:color="auto"/>
        <w:left w:val="none" w:sz="0" w:space="0" w:color="auto"/>
        <w:bottom w:val="none" w:sz="0" w:space="0" w:color="auto"/>
        <w:right w:val="none" w:sz="0" w:space="0" w:color="auto"/>
      </w:divBdr>
    </w:div>
    <w:div w:id="1482845114">
      <w:bodyDiv w:val="1"/>
      <w:marLeft w:val="0"/>
      <w:marRight w:val="0"/>
      <w:marTop w:val="0"/>
      <w:marBottom w:val="0"/>
      <w:divBdr>
        <w:top w:val="none" w:sz="0" w:space="0" w:color="auto"/>
        <w:left w:val="none" w:sz="0" w:space="0" w:color="auto"/>
        <w:bottom w:val="none" w:sz="0" w:space="0" w:color="auto"/>
        <w:right w:val="none" w:sz="0" w:space="0" w:color="auto"/>
      </w:divBdr>
    </w:div>
    <w:div w:id="1482848016">
      <w:bodyDiv w:val="1"/>
      <w:marLeft w:val="0"/>
      <w:marRight w:val="0"/>
      <w:marTop w:val="0"/>
      <w:marBottom w:val="0"/>
      <w:divBdr>
        <w:top w:val="none" w:sz="0" w:space="0" w:color="auto"/>
        <w:left w:val="none" w:sz="0" w:space="0" w:color="auto"/>
        <w:bottom w:val="none" w:sz="0" w:space="0" w:color="auto"/>
        <w:right w:val="none" w:sz="0" w:space="0" w:color="auto"/>
      </w:divBdr>
    </w:div>
    <w:div w:id="1483110751">
      <w:bodyDiv w:val="1"/>
      <w:marLeft w:val="0"/>
      <w:marRight w:val="0"/>
      <w:marTop w:val="0"/>
      <w:marBottom w:val="0"/>
      <w:divBdr>
        <w:top w:val="none" w:sz="0" w:space="0" w:color="auto"/>
        <w:left w:val="none" w:sz="0" w:space="0" w:color="auto"/>
        <w:bottom w:val="none" w:sz="0" w:space="0" w:color="auto"/>
        <w:right w:val="none" w:sz="0" w:space="0" w:color="auto"/>
      </w:divBdr>
    </w:div>
    <w:div w:id="1483155871">
      <w:bodyDiv w:val="1"/>
      <w:marLeft w:val="0"/>
      <w:marRight w:val="0"/>
      <w:marTop w:val="0"/>
      <w:marBottom w:val="0"/>
      <w:divBdr>
        <w:top w:val="none" w:sz="0" w:space="0" w:color="auto"/>
        <w:left w:val="none" w:sz="0" w:space="0" w:color="auto"/>
        <w:bottom w:val="none" w:sz="0" w:space="0" w:color="auto"/>
        <w:right w:val="none" w:sz="0" w:space="0" w:color="auto"/>
      </w:divBdr>
    </w:div>
    <w:div w:id="1483156560">
      <w:bodyDiv w:val="1"/>
      <w:marLeft w:val="0"/>
      <w:marRight w:val="0"/>
      <w:marTop w:val="0"/>
      <w:marBottom w:val="0"/>
      <w:divBdr>
        <w:top w:val="none" w:sz="0" w:space="0" w:color="auto"/>
        <w:left w:val="none" w:sz="0" w:space="0" w:color="auto"/>
        <w:bottom w:val="none" w:sz="0" w:space="0" w:color="auto"/>
        <w:right w:val="none" w:sz="0" w:space="0" w:color="auto"/>
      </w:divBdr>
    </w:div>
    <w:div w:id="1483159332">
      <w:bodyDiv w:val="1"/>
      <w:marLeft w:val="0"/>
      <w:marRight w:val="0"/>
      <w:marTop w:val="0"/>
      <w:marBottom w:val="0"/>
      <w:divBdr>
        <w:top w:val="none" w:sz="0" w:space="0" w:color="auto"/>
        <w:left w:val="none" w:sz="0" w:space="0" w:color="auto"/>
        <w:bottom w:val="none" w:sz="0" w:space="0" w:color="auto"/>
        <w:right w:val="none" w:sz="0" w:space="0" w:color="auto"/>
      </w:divBdr>
    </w:div>
    <w:div w:id="1483229822">
      <w:bodyDiv w:val="1"/>
      <w:marLeft w:val="0"/>
      <w:marRight w:val="0"/>
      <w:marTop w:val="0"/>
      <w:marBottom w:val="0"/>
      <w:divBdr>
        <w:top w:val="none" w:sz="0" w:space="0" w:color="auto"/>
        <w:left w:val="none" w:sz="0" w:space="0" w:color="auto"/>
        <w:bottom w:val="none" w:sz="0" w:space="0" w:color="auto"/>
        <w:right w:val="none" w:sz="0" w:space="0" w:color="auto"/>
      </w:divBdr>
    </w:div>
    <w:div w:id="1483233022">
      <w:bodyDiv w:val="1"/>
      <w:marLeft w:val="0"/>
      <w:marRight w:val="0"/>
      <w:marTop w:val="0"/>
      <w:marBottom w:val="0"/>
      <w:divBdr>
        <w:top w:val="none" w:sz="0" w:space="0" w:color="auto"/>
        <w:left w:val="none" w:sz="0" w:space="0" w:color="auto"/>
        <w:bottom w:val="none" w:sz="0" w:space="0" w:color="auto"/>
        <w:right w:val="none" w:sz="0" w:space="0" w:color="auto"/>
      </w:divBdr>
    </w:div>
    <w:div w:id="1483307242">
      <w:bodyDiv w:val="1"/>
      <w:marLeft w:val="0"/>
      <w:marRight w:val="0"/>
      <w:marTop w:val="0"/>
      <w:marBottom w:val="0"/>
      <w:divBdr>
        <w:top w:val="none" w:sz="0" w:space="0" w:color="auto"/>
        <w:left w:val="none" w:sz="0" w:space="0" w:color="auto"/>
        <w:bottom w:val="none" w:sz="0" w:space="0" w:color="auto"/>
        <w:right w:val="none" w:sz="0" w:space="0" w:color="auto"/>
      </w:divBdr>
    </w:div>
    <w:div w:id="1483548337">
      <w:bodyDiv w:val="1"/>
      <w:marLeft w:val="0"/>
      <w:marRight w:val="0"/>
      <w:marTop w:val="0"/>
      <w:marBottom w:val="0"/>
      <w:divBdr>
        <w:top w:val="none" w:sz="0" w:space="0" w:color="auto"/>
        <w:left w:val="none" w:sz="0" w:space="0" w:color="auto"/>
        <w:bottom w:val="none" w:sz="0" w:space="0" w:color="auto"/>
        <w:right w:val="none" w:sz="0" w:space="0" w:color="auto"/>
      </w:divBdr>
    </w:div>
    <w:div w:id="1483548846">
      <w:bodyDiv w:val="1"/>
      <w:marLeft w:val="0"/>
      <w:marRight w:val="0"/>
      <w:marTop w:val="0"/>
      <w:marBottom w:val="0"/>
      <w:divBdr>
        <w:top w:val="none" w:sz="0" w:space="0" w:color="auto"/>
        <w:left w:val="none" w:sz="0" w:space="0" w:color="auto"/>
        <w:bottom w:val="none" w:sz="0" w:space="0" w:color="auto"/>
        <w:right w:val="none" w:sz="0" w:space="0" w:color="auto"/>
      </w:divBdr>
    </w:div>
    <w:div w:id="1483623163">
      <w:bodyDiv w:val="1"/>
      <w:marLeft w:val="0"/>
      <w:marRight w:val="0"/>
      <w:marTop w:val="0"/>
      <w:marBottom w:val="0"/>
      <w:divBdr>
        <w:top w:val="none" w:sz="0" w:space="0" w:color="auto"/>
        <w:left w:val="none" w:sz="0" w:space="0" w:color="auto"/>
        <w:bottom w:val="none" w:sz="0" w:space="0" w:color="auto"/>
        <w:right w:val="none" w:sz="0" w:space="0" w:color="auto"/>
      </w:divBdr>
    </w:div>
    <w:div w:id="1483884354">
      <w:bodyDiv w:val="1"/>
      <w:marLeft w:val="0"/>
      <w:marRight w:val="0"/>
      <w:marTop w:val="0"/>
      <w:marBottom w:val="0"/>
      <w:divBdr>
        <w:top w:val="none" w:sz="0" w:space="0" w:color="auto"/>
        <w:left w:val="none" w:sz="0" w:space="0" w:color="auto"/>
        <w:bottom w:val="none" w:sz="0" w:space="0" w:color="auto"/>
        <w:right w:val="none" w:sz="0" w:space="0" w:color="auto"/>
      </w:divBdr>
    </w:div>
    <w:div w:id="1483891394">
      <w:bodyDiv w:val="1"/>
      <w:marLeft w:val="0"/>
      <w:marRight w:val="0"/>
      <w:marTop w:val="0"/>
      <w:marBottom w:val="0"/>
      <w:divBdr>
        <w:top w:val="none" w:sz="0" w:space="0" w:color="auto"/>
        <w:left w:val="none" w:sz="0" w:space="0" w:color="auto"/>
        <w:bottom w:val="none" w:sz="0" w:space="0" w:color="auto"/>
        <w:right w:val="none" w:sz="0" w:space="0" w:color="auto"/>
      </w:divBdr>
    </w:div>
    <w:div w:id="1484082532">
      <w:bodyDiv w:val="1"/>
      <w:marLeft w:val="0"/>
      <w:marRight w:val="0"/>
      <w:marTop w:val="0"/>
      <w:marBottom w:val="0"/>
      <w:divBdr>
        <w:top w:val="none" w:sz="0" w:space="0" w:color="auto"/>
        <w:left w:val="none" w:sz="0" w:space="0" w:color="auto"/>
        <w:bottom w:val="none" w:sz="0" w:space="0" w:color="auto"/>
        <w:right w:val="none" w:sz="0" w:space="0" w:color="auto"/>
      </w:divBdr>
    </w:div>
    <w:div w:id="1484156009">
      <w:bodyDiv w:val="1"/>
      <w:marLeft w:val="0"/>
      <w:marRight w:val="0"/>
      <w:marTop w:val="0"/>
      <w:marBottom w:val="0"/>
      <w:divBdr>
        <w:top w:val="none" w:sz="0" w:space="0" w:color="auto"/>
        <w:left w:val="none" w:sz="0" w:space="0" w:color="auto"/>
        <w:bottom w:val="none" w:sz="0" w:space="0" w:color="auto"/>
        <w:right w:val="none" w:sz="0" w:space="0" w:color="auto"/>
      </w:divBdr>
    </w:div>
    <w:div w:id="1484198098">
      <w:bodyDiv w:val="1"/>
      <w:marLeft w:val="0"/>
      <w:marRight w:val="0"/>
      <w:marTop w:val="0"/>
      <w:marBottom w:val="0"/>
      <w:divBdr>
        <w:top w:val="none" w:sz="0" w:space="0" w:color="auto"/>
        <w:left w:val="none" w:sz="0" w:space="0" w:color="auto"/>
        <w:bottom w:val="none" w:sz="0" w:space="0" w:color="auto"/>
        <w:right w:val="none" w:sz="0" w:space="0" w:color="auto"/>
      </w:divBdr>
    </w:div>
    <w:div w:id="1484276561">
      <w:bodyDiv w:val="1"/>
      <w:marLeft w:val="0"/>
      <w:marRight w:val="0"/>
      <w:marTop w:val="0"/>
      <w:marBottom w:val="0"/>
      <w:divBdr>
        <w:top w:val="none" w:sz="0" w:space="0" w:color="auto"/>
        <w:left w:val="none" w:sz="0" w:space="0" w:color="auto"/>
        <w:bottom w:val="none" w:sz="0" w:space="0" w:color="auto"/>
        <w:right w:val="none" w:sz="0" w:space="0" w:color="auto"/>
      </w:divBdr>
    </w:div>
    <w:div w:id="1484615595">
      <w:bodyDiv w:val="1"/>
      <w:marLeft w:val="0"/>
      <w:marRight w:val="0"/>
      <w:marTop w:val="0"/>
      <w:marBottom w:val="0"/>
      <w:divBdr>
        <w:top w:val="none" w:sz="0" w:space="0" w:color="auto"/>
        <w:left w:val="none" w:sz="0" w:space="0" w:color="auto"/>
        <w:bottom w:val="none" w:sz="0" w:space="0" w:color="auto"/>
        <w:right w:val="none" w:sz="0" w:space="0" w:color="auto"/>
      </w:divBdr>
    </w:div>
    <w:div w:id="1484615787">
      <w:bodyDiv w:val="1"/>
      <w:marLeft w:val="0"/>
      <w:marRight w:val="0"/>
      <w:marTop w:val="0"/>
      <w:marBottom w:val="0"/>
      <w:divBdr>
        <w:top w:val="none" w:sz="0" w:space="0" w:color="auto"/>
        <w:left w:val="none" w:sz="0" w:space="0" w:color="auto"/>
        <w:bottom w:val="none" w:sz="0" w:space="0" w:color="auto"/>
        <w:right w:val="none" w:sz="0" w:space="0" w:color="auto"/>
      </w:divBdr>
    </w:div>
    <w:div w:id="1485009868">
      <w:bodyDiv w:val="1"/>
      <w:marLeft w:val="0"/>
      <w:marRight w:val="0"/>
      <w:marTop w:val="0"/>
      <w:marBottom w:val="0"/>
      <w:divBdr>
        <w:top w:val="none" w:sz="0" w:space="0" w:color="auto"/>
        <w:left w:val="none" w:sz="0" w:space="0" w:color="auto"/>
        <w:bottom w:val="none" w:sz="0" w:space="0" w:color="auto"/>
        <w:right w:val="none" w:sz="0" w:space="0" w:color="auto"/>
      </w:divBdr>
    </w:div>
    <w:div w:id="1485049070">
      <w:bodyDiv w:val="1"/>
      <w:marLeft w:val="0"/>
      <w:marRight w:val="0"/>
      <w:marTop w:val="0"/>
      <w:marBottom w:val="0"/>
      <w:divBdr>
        <w:top w:val="none" w:sz="0" w:space="0" w:color="auto"/>
        <w:left w:val="none" w:sz="0" w:space="0" w:color="auto"/>
        <w:bottom w:val="none" w:sz="0" w:space="0" w:color="auto"/>
        <w:right w:val="none" w:sz="0" w:space="0" w:color="auto"/>
      </w:divBdr>
    </w:div>
    <w:div w:id="1485126797">
      <w:bodyDiv w:val="1"/>
      <w:marLeft w:val="0"/>
      <w:marRight w:val="0"/>
      <w:marTop w:val="0"/>
      <w:marBottom w:val="0"/>
      <w:divBdr>
        <w:top w:val="none" w:sz="0" w:space="0" w:color="auto"/>
        <w:left w:val="none" w:sz="0" w:space="0" w:color="auto"/>
        <w:bottom w:val="none" w:sz="0" w:space="0" w:color="auto"/>
        <w:right w:val="none" w:sz="0" w:space="0" w:color="auto"/>
      </w:divBdr>
    </w:div>
    <w:div w:id="1485511783">
      <w:bodyDiv w:val="1"/>
      <w:marLeft w:val="0"/>
      <w:marRight w:val="0"/>
      <w:marTop w:val="0"/>
      <w:marBottom w:val="0"/>
      <w:divBdr>
        <w:top w:val="none" w:sz="0" w:space="0" w:color="auto"/>
        <w:left w:val="none" w:sz="0" w:space="0" w:color="auto"/>
        <w:bottom w:val="none" w:sz="0" w:space="0" w:color="auto"/>
        <w:right w:val="none" w:sz="0" w:space="0" w:color="auto"/>
      </w:divBdr>
    </w:div>
    <w:div w:id="1485584980">
      <w:bodyDiv w:val="1"/>
      <w:marLeft w:val="0"/>
      <w:marRight w:val="0"/>
      <w:marTop w:val="0"/>
      <w:marBottom w:val="0"/>
      <w:divBdr>
        <w:top w:val="none" w:sz="0" w:space="0" w:color="auto"/>
        <w:left w:val="none" w:sz="0" w:space="0" w:color="auto"/>
        <w:bottom w:val="none" w:sz="0" w:space="0" w:color="auto"/>
        <w:right w:val="none" w:sz="0" w:space="0" w:color="auto"/>
      </w:divBdr>
    </w:div>
    <w:div w:id="1485701657">
      <w:bodyDiv w:val="1"/>
      <w:marLeft w:val="0"/>
      <w:marRight w:val="0"/>
      <w:marTop w:val="0"/>
      <w:marBottom w:val="0"/>
      <w:divBdr>
        <w:top w:val="none" w:sz="0" w:space="0" w:color="auto"/>
        <w:left w:val="none" w:sz="0" w:space="0" w:color="auto"/>
        <w:bottom w:val="none" w:sz="0" w:space="0" w:color="auto"/>
        <w:right w:val="none" w:sz="0" w:space="0" w:color="auto"/>
      </w:divBdr>
    </w:div>
    <w:div w:id="1485773720">
      <w:bodyDiv w:val="1"/>
      <w:marLeft w:val="0"/>
      <w:marRight w:val="0"/>
      <w:marTop w:val="0"/>
      <w:marBottom w:val="0"/>
      <w:divBdr>
        <w:top w:val="none" w:sz="0" w:space="0" w:color="auto"/>
        <w:left w:val="none" w:sz="0" w:space="0" w:color="auto"/>
        <w:bottom w:val="none" w:sz="0" w:space="0" w:color="auto"/>
        <w:right w:val="none" w:sz="0" w:space="0" w:color="auto"/>
      </w:divBdr>
    </w:div>
    <w:div w:id="1486050274">
      <w:bodyDiv w:val="1"/>
      <w:marLeft w:val="0"/>
      <w:marRight w:val="0"/>
      <w:marTop w:val="0"/>
      <w:marBottom w:val="0"/>
      <w:divBdr>
        <w:top w:val="none" w:sz="0" w:space="0" w:color="auto"/>
        <w:left w:val="none" w:sz="0" w:space="0" w:color="auto"/>
        <w:bottom w:val="none" w:sz="0" w:space="0" w:color="auto"/>
        <w:right w:val="none" w:sz="0" w:space="0" w:color="auto"/>
      </w:divBdr>
    </w:div>
    <w:div w:id="1486051158">
      <w:bodyDiv w:val="1"/>
      <w:marLeft w:val="0"/>
      <w:marRight w:val="0"/>
      <w:marTop w:val="0"/>
      <w:marBottom w:val="0"/>
      <w:divBdr>
        <w:top w:val="none" w:sz="0" w:space="0" w:color="auto"/>
        <w:left w:val="none" w:sz="0" w:space="0" w:color="auto"/>
        <w:bottom w:val="none" w:sz="0" w:space="0" w:color="auto"/>
        <w:right w:val="none" w:sz="0" w:space="0" w:color="auto"/>
      </w:divBdr>
    </w:div>
    <w:div w:id="1486164395">
      <w:bodyDiv w:val="1"/>
      <w:marLeft w:val="0"/>
      <w:marRight w:val="0"/>
      <w:marTop w:val="0"/>
      <w:marBottom w:val="0"/>
      <w:divBdr>
        <w:top w:val="none" w:sz="0" w:space="0" w:color="auto"/>
        <w:left w:val="none" w:sz="0" w:space="0" w:color="auto"/>
        <w:bottom w:val="none" w:sz="0" w:space="0" w:color="auto"/>
        <w:right w:val="none" w:sz="0" w:space="0" w:color="auto"/>
      </w:divBdr>
    </w:div>
    <w:div w:id="1486165071">
      <w:bodyDiv w:val="1"/>
      <w:marLeft w:val="0"/>
      <w:marRight w:val="0"/>
      <w:marTop w:val="0"/>
      <w:marBottom w:val="0"/>
      <w:divBdr>
        <w:top w:val="none" w:sz="0" w:space="0" w:color="auto"/>
        <w:left w:val="none" w:sz="0" w:space="0" w:color="auto"/>
        <w:bottom w:val="none" w:sz="0" w:space="0" w:color="auto"/>
        <w:right w:val="none" w:sz="0" w:space="0" w:color="auto"/>
      </w:divBdr>
    </w:div>
    <w:div w:id="1486438314">
      <w:bodyDiv w:val="1"/>
      <w:marLeft w:val="0"/>
      <w:marRight w:val="0"/>
      <w:marTop w:val="0"/>
      <w:marBottom w:val="0"/>
      <w:divBdr>
        <w:top w:val="none" w:sz="0" w:space="0" w:color="auto"/>
        <w:left w:val="none" w:sz="0" w:space="0" w:color="auto"/>
        <w:bottom w:val="none" w:sz="0" w:space="0" w:color="auto"/>
        <w:right w:val="none" w:sz="0" w:space="0" w:color="auto"/>
      </w:divBdr>
    </w:div>
    <w:div w:id="1486504396">
      <w:bodyDiv w:val="1"/>
      <w:marLeft w:val="0"/>
      <w:marRight w:val="0"/>
      <w:marTop w:val="0"/>
      <w:marBottom w:val="0"/>
      <w:divBdr>
        <w:top w:val="none" w:sz="0" w:space="0" w:color="auto"/>
        <w:left w:val="none" w:sz="0" w:space="0" w:color="auto"/>
        <w:bottom w:val="none" w:sz="0" w:space="0" w:color="auto"/>
        <w:right w:val="none" w:sz="0" w:space="0" w:color="auto"/>
      </w:divBdr>
    </w:div>
    <w:div w:id="1486509497">
      <w:bodyDiv w:val="1"/>
      <w:marLeft w:val="0"/>
      <w:marRight w:val="0"/>
      <w:marTop w:val="0"/>
      <w:marBottom w:val="0"/>
      <w:divBdr>
        <w:top w:val="none" w:sz="0" w:space="0" w:color="auto"/>
        <w:left w:val="none" w:sz="0" w:space="0" w:color="auto"/>
        <w:bottom w:val="none" w:sz="0" w:space="0" w:color="auto"/>
        <w:right w:val="none" w:sz="0" w:space="0" w:color="auto"/>
      </w:divBdr>
    </w:div>
    <w:div w:id="1486631154">
      <w:bodyDiv w:val="1"/>
      <w:marLeft w:val="0"/>
      <w:marRight w:val="0"/>
      <w:marTop w:val="0"/>
      <w:marBottom w:val="0"/>
      <w:divBdr>
        <w:top w:val="none" w:sz="0" w:space="0" w:color="auto"/>
        <w:left w:val="none" w:sz="0" w:space="0" w:color="auto"/>
        <w:bottom w:val="none" w:sz="0" w:space="0" w:color="auto"/>
        <w:right w:val="none" w:sz="0" w:space="0" w:color="auto"/>
      </w:divBdr>
    </w:div>
    <w:div w:id="1486894209">
      <w:bodyDiv w:val="1"/>
      <w:marLeft w:val="0"/>
      <w:marRight w:val="0"/>
      <w:marTop w:val="0"/>
      <w:marBottom w:val="0"/>
      <w:divBdr>
        <w:top w:val="none" w:sz="0" w:space="0" w:color="auto"/>
        <w:left w:val="none" w:sz="0" w:space="0" w:color="auto"/>
        <w:bottom w:val="none" w:sz="0" w:space="0" w:color="auto"/>
        <w:right w:val="none" w:sz="0" w:space="0" w:color="auto"/>
      </w:divBdr>
    </w:div>
    <w:div w:id="1487160343">
      <w:bodyDiv w:val="1"/>
      <w:marLeft w:val="0"/>
      <w:marRight w:val="0"/>
      <w:marTop w:val="0"/>
      <w:marBottom w:val="0"/>
      <w:divBdr>
        <w:top w:val="none" w:sz="0" w:space="0" w:color="auto"/>
        <w:left w:val="none" w:sz="0" w:space="0" w:color="auto"/>
        <w:bottom w:val="none" w:sz="0" w:space="0" w:color="auto"/>
        <w:right w:val="none" w:sz="0" w:space="0" w:color="auto"/>
      </w:divBdr>
    </w:div>
    <w:div w:id="1487162406">
      <w:bodyDiv w:val="1"/>
      <w:marLeft w:val="0"/>
      <w:marRight w:val="0"/>
      <w:marTop w:val="0"/>
      <w:marBottom w:val="0"/>
      <w:divBdr>
        <w:top w:val="none" w:sz="0" w:space="0" w:color="auto"/>
        <w:left w:val="none" w:sz="0" w:space="0" w:color="auto"/>
        <w:bottom w:val="none" w:sz="0" w:space="0" w:color="auto"/>
        <w:right w:val="none" w:sz="0" w:space="0" w:color="auto"/>
      </w:divBdr>
    </w:div>
    <w:div w:id="1487240327">
      <w:bodyDiv w:val="1"/>
      <w:marLeft w:val="0"/>
      <w:marRight w:val="0"/>
      <w:marTop w:val="0"/>
      <w:marBottom w:val="0"/>
      <w:divBdr>
        <w:top w:val="none" w:sz="0" w:space="0" w:color="auto"/>
        <w:left w:val="none" w:sz="0" w:space="0" w:color="auto"/>
        <w:bottom w:val="none" w:sz="0" w:space="0" w:color="auto"/>
        <w:right w:val="none" w:sz="0" w:space="0" w:color="auto"/>
      </w:divBdr>
    </w:div>
    <w:div w:id="1487280446">
      <w:bodyDiv w:val="1"/>
      <w:marLeft w:val="0"/>
      <w:marRight w:val="0"/>
      <w:marTop w:val="0"/>
      <w:marBottom w:val="0"/>
      <w:divBdr>
        <w:top w:val="none" w:sz="0" w:space="0" w:color="auto"/>
        <w:left w:val="none" w:sz="0" w:space="0" w:color="auto"/>
        <w:bottom w:val="none" w:sz="0" w:space="0" w:color="auto"/>
        <w:right w:val="none" w:sz="0" w:space="0" w:color="auto"/>
      </w:divBdr>
    </w:div>
    <w:div w:id="1487282352">
      <w:bodyDiv w:val="1"/>
      <w:marLeft w:val="0"/>
      <w:marRight w:val="0"/>
      <w:marTop w:val="0"/>
      <w:marBottom w:val="0"/>
      <w:divBdr>
        <w:top w:val="none" w:sz="0" w:space="0" w:color="auto"/>
        <w:left w:val="none" w:sz="0" w:space="0" w:color="auto"/>
        <w:bottom w:val="none" w:sz="0" w:space="0" w:color="auto"/>
        <w:right w:val="none" w:sz="0" w:space="0" w:color="auto"/>
      </w:divBdr>
    </w:div>
    <w:div w:id="1487286309">
      <w:bodyDiv w:val="1"/>
      <w:marLeft w:val="0"/>
      <w:marRight w:val="0"/>
      <w:marTop w:val="0"/>
      <w:marBottom w:val="0"/>
      <w:divBdr>
        <w:top w:val="none" w:sz="0" w:space="0" w:color="auto"/>
        <w:left w:val="none" w:sz="0" w:space="0" w:color="auto"/>
        <w:bottom w:val="none" w:sz="0" w:space="0" w:color="auto"/>
        <w:right w:val="none" w:sz="0" w:space="0" w:color="auto"/>
      </w:divBdr>
    </w:div>
    <w:div w:id="1487359233">
      <w:bodyDiv w:val="1"/>
      <w:marLeft w:val="0"/>
      <w:marRight w:val="0"/>
      <w:marTop w:val="0"/>
      <w:marBottom w:val="0"/>
      <w:divBdr>
        <w:top w:val="none" w:sz="0" w:space="0" w:color="auto"/>
        <w:left w:val="none" w:sz="0" w:space="0" w:color="auto"/>
        <w:bottom w:val="none" w:sz="0" w:space="0" w:color="auto"/>
        <w:right w:val="none" w:sz="0" w:space="0" w:color="auto"/>
      </w:divBdr>
    </w:div>
    <w:div w:id="1487550377">
      <w:bodyDiv w:val="1"/>
      <w:marLeft w:val="0"/>
      <w:marRight w:val="0"/>
      <w:marTop w:val="0"/>
      <w:marBottom w:val="0"/>
      <w:divBdr>
        <w:top w:val="none" w:sz="0" w:space="0" w:color="auto"/>
        <w:left w:val="none" w:sz="0" w:space="0" w:color="auto"/>
        <w:bottom w:val="none" w:sz="0" w:space="0" w:color="auto"/>
        <w:right w:val="none" w:sz="0" w:space="0" w:color="auto"/>
      </w:divBdr>
    </w:div>
    <w:div w:id="1487624162">
      <w:bodyDiv w:val="1"/>
      <w:marLeft w:val="0"/>
      <w:marRight w:val="0"/>
      <w:marTop w:val="0"/>
      <w:marBottom w:val="0"/>
      <w:divBdr>
        <w:top w:val="none" w:sz="0" w:space="0" w:color="auto"/>
        <w:left w:val="none" w:sz="0" w:space="0" w:color="auto"/>
        <w:bottom w:val="none" w:sz="0" w:space="0" w:color="auto"/>
        <w:right w:val="none" w:sz="0" w:space="0" w:color="auto"/>
      </w:divBdr>
    </w:div>
    <w:div w:id="1487670702">
      <w:bodyDiv w:val="1"/>
      <w:marLeft w:val="0"/>
      <w:marRight w:val="0"/>
      <w:marTop w:val="0"/>
      <w:marBottom w:val="0"/>
      <w:divBdr>
        <w:top w:val="none" w:sz="0" w:space="0" w:color="auto"/>
        <w:left w:val="none" w:sz="0" w:space="0" w:color="auto"/>
        <w:bottom w:val="none" w:sz="0" w:space="0" w:color="auto"/>
        <w:right w:val="none" w:sz="0" w:space="0" w:color="auto"/>
      </w:divBdr>
    </w:div>
    <w:div w:id="1487933605">
      <w:bodyDiv w:val="1"/>
      <w:marLeft w:val="0"/>
      <w:marRight w:val="0"/>
      <w:marTop w:val="0"/>
      <w:marBottom w:val="0"/>
      <w:divBdr>
        <w:top w:val="none" w:sz="0" w:space="0" w:color="auto"/>
        <w:left w:val="none" w:sz="0" w:space="0" w:color="auto"/>
        <w:bottom w:val="none" w:sz="0" w:space="0" w:color="auto"/>
        <w:right w:val="none" w:sz="0" w:space="0" w:color="auto"/>
      </w:divBdr>
    </w:div>
    <w:div w:id="1488283760">
      <w:bodyDiv w:val="1"/>
      <w:marLeft w:val="0"/>
      <w:marRight w:val="0"/>
      <w:marTop w:val="0"/>
      <w:marBottom w:val="0"/>
      <w:divBdr>
        <w:top w:val="none" w:sz="0" w:space="0" w:color="auto"/>
        <w:left w:val="none" w:sz="0" w:space="0" w:color="auto"/>
        <w:bottom w:val="none" w:sz="0" w:space="0" w:color="auto"/>
        <w:right w:val="none" w:sz="0" w:space="0" w:color="auto"/>
      </w:divBdr>
    </w:div>
    <w:div w:id="1488395495">
      <w:bodyDiv w:val="1"/>
      <w:marLeft w:val="0"/>
      <w:marRight w:val="0"/>
      <w:marTop w:val="0"/>
      <w:marBottom w:val="0"/>
      <w:divBdr>
        <w:top w:val="none" w:sz="0" w:space="0" w:color="auto"/>
        <w:left w:val="none" w:sz="0" w:space="0" w:color="auto"/>
        <w:bottom w:val="none" w:sz="0" w:space="0" w:color="auto"/>
        <w:right w:val="none" w:sz="0" w:space="0" w:color="auto"/>
      </w:divBdr>
    </w:div>
    <w:div w:id="1488397975">
      <w:bodyDiv w:val="1"/>
      <w:marLeft w:val="0"/>
      <w:marRight w:val="0"/>
      <w:marTop w:val="0"/>
      <w:marBottom w:val="0"/>
      <w:divBdr>
        <w:top w:val="none" w:sz="0" w:space="0" w:color="auto"/>
        <w:left w:val="none" w:sz="0" w:space="0" w:color="auto"/>
        <w:bottom w:val="none" w:sz="0" w:space="0" w:color="auto"/>
        <w:right w:val="none" w:sz="0" w:space="0" w:color="auto"/>
      </w:divBdr>
    </w:div>
    <w:div w:id="1488403201">
      <w:bodyDiv w:val="1"/>
      <w:marLeft w:val="0"/>
      <w:marRight w:val="0"/>
      <w:marTop w:val="0"/>
      <w:marBottom w:val="0"/>
      <w:divBdr>
        <w:top w:val="none" w:sz="0" w:space="0" w:color="auto"/>
        <w:left w:val="none" w:sz="0" w:space="0" w:color="auto"/>
        <w:bottom w:val="none" w:sz="0" w:space="0" w:color="auto"/>
        <w:right w:val="none" w:sz="0" w:space="0" w:color="auto"/>
      </w:divBdr>
    </w:div>
    <w:div w:id="1488590054">
      <w:bodyDiv w:val="1"/>
      <w:marLeft w:val="0"/>
      <w:marRight w:val="0"/>
      <w:marTop w:val="0"/>
      <w:marBottom w:val="0"/>
      <w:divBdr>
        <w:top w:val="none" w:sz="0" w:space="0" w:color="auto"/>
        <w:left w:val="none" w:sz="0" w:space="0" w:color="auto"/>
        <w:bottom w:val="none" w:sz="0" w:space="0" w:color="auto"/>
        <w:right w:val="none" w:sz="0" w:space="0" w:color="auto"/>
      </w:divBdr>
    </w:div>
    <w:div w:id="1488594225">
      <w:bodyDiv w:val="1"/>
      <w:marLeft w:val="0"/>
      <w:marRight w:val="0"/>
      <w:marTop w:val="0"/>
      <w:marBottom w:val="0"/>
      <w:divBdr>
        <w:top w:val="none" w:sz="0" w:space="0" w:color="auto"/>
        <w:left w:val="none" w:sz="0" w:space="0" w:color="auto"/>
        <w:bottom w:val="none" w:sz="0" w:space="0" w:color="auto"/>
        <w:right w:val="none" w:sz="0" w:space="0" w:color="auto"/>
      </w:divBdr>
    </w:div>
    <w:div w:id="1488666582">
      <w:bodyDiv w:val="1"/>
      <w:marLeft w:val="0"/>
      <w:marRight w:val="0"/>
      <w:marTop w:val="0"/>
      <w:marBottom w:val="0"/>
      <w:divBdr>
        <w:top w:val="none" w:sz="0" w:space="0" w:color="auto"/>
        <w:left w:val="none" w:sz="0" w:space="0" w:color="auto"/>
        <w:bottom w:val="none" w:sz="0" w:space="0" w:color="auto"/>
        <w:right w:val="none" w:sz="0" w:space="0" w:color="auto"/>
      </w:divBdr>
    </w:div>
    <w:div w:id="1488669763">
      <w:bodyDiv w:val="1"/>
      <w:marLeft w:val="0"/>
      <w:marRight w:val="0"/>
      <w:marTop w:val="0"/>
      <w:marBottom w:val="0"/>
      <w:divBdr>
        <w:top w:val="none" w:sz="0" w:space="0" w:color="auto"/>
        <w:left w:val="none" w:sz="0" w:space="0" w:color="auto"/>
        <w:bottom w:val="none" w:sz="0" w:space="0" w:color="auto"/>
        <w:right w:val="none" w:sz="0" w:space="0" w:color="auto"/>
      </w:divBdr>
    </w:div>
    <w:div w:id="1488784155">
      <w:bodyDiv w:val="1"/>
      <w:marLeft w:val="0"/>
      <w:marRight w:val="0"/>
      <w:marTop w:val="0"/>
      <w:marBottom w:val="0"/>
      <w:divBdr>
        <w:top w:val="none" w:sz="0" w:space="0" w:color="auto"/>
        <w:left w:val="none" w:sz="0" w:space="0" w:color="auto"/>
        <w:bottom w:val="none" w:sz="0" w:space="0" w:color="auto"/>
        <w:right w:val="none" w:sz="0" w:space="0" w:color="auto"/>
      </w:divBdr>
    </w:div>
    <w:div w:id="1489438320">
      <w:bodyDiv w:val="1"/>
      <w:marLeft w:val="0"/>
      <w:marRight w:val="0"/>
      <w:marTop w:val="0"/>
      <w:marBottom w:val="0"/>
      <w:divBdr>
        <w:top w:val="none" w:sz="0" w:space="0" w:color="auto"/>
        <w:left w:val="none" w:sz="0" w:space="0" w:color="auto"/>
        <w:bottom w:val="none" w:sz="0" w:space="0" w:color="auto"/>
        <w:right w:val="none" w:sz="0" w:space="0" w:color="auto"/>
      </w:divBdr>
    </w:div>
    <w:div w:id="1489595055">
      <w:bodyDiv w:val="1"/>
      <w:marLeft w:val="0"/>
      <w:marRight w:val="0"/>
      <w:marTop w:val="0"/>
      <w:marBottom w:val="0"/>
      <w:divBdr>
        <w:top w:val="none" w:sz="0" w:space="0" w:color="auto"/>
        <w:left w:val="none" w:sz="0" w:space="0" w:color="auto"/>
        <w:bottom w:val="none" w:sz="0" w:space="0" w:color="auto"/>
        <w:right w:val="none" w:sz="0" w:space="0" w:color="auto"/>
      </w:divBdr>
    </w:div>
    <w:div w:id="1489639447">
      <w:bodyDiv w:val="1"/>
      <w:marLeft w:val="0"/>
      <w:marRight w:val="0"/>
      <w:marTop w:val="0"/>
      <w:marBottom w:val="0"/>
      <w:divBdr>
        <w:top w:val="none" w:sz="0" w:space="0" w:color="auto"/>
        <w:left w:val="none" w:sz="0" w:space="0" w:color="auto"/>
        <w:bottom w:val="none" w:sz="0" w:space="0" w:color="auto"/>
        <w:right w:val="none" w:sz="0" w:space="0" w:color="auto"/>
      </w:divBdr>
    </w:div>
    <w:div w:id="1489905649">
      <w:bodyDiv w:val="1"/>
      <w:marLeft w:val="0"/>
      <w:marRight w:val="0"/>
      <w:marTop w:val="0"/>
      <w:marBottom w:val="0"/>
      <w:divBdr>
        <w:top w:val="none" w:sz="0" w:space="0" w:color="auto"/>
        <w:left w:val="none" w:sz="0" w:space="0" w:color="auto"/>
        <w:bottom w:val="none" w:sz="0" w:space="0" w:color="auto"/>
        <w:right w:val="none" w:sz="0" w:space="0" w:color="auto"/>
      </w:divBdr>
    </w:div>
    <w:div w:id="1490057194">
      <w:bodyDiv w:val="1"/>
      <w:marLeft w:val="0"/>
      <w:marRight w:val="0"/>
      <w:marTop w:val="0"/>
      <w:marBottom w:val="0"/>
      <w:divBdr>
        <w:top w:val="none" w:sz="0" w:space="0" w:color="auto"/>
        <w:left w:val="none" w:sz="0" w:space="0" w:color="auto"/>
        <w:bottom w:val="none" w:sz="0" w:space="0" w:color="auto"/>
        <w:right w:val="none" w:sz="0" w:space="0" w:color="auto"/>
      </w:divBdr>
    </w:div>
    <w:div w:id="1490244991">
      <w:bodyDiv w:val="1"/>
      <w:marLeft w:val="0"/>
      <w:marRight w:val="0"/>
      <w:marTop w:val="0"/>
      <w:marBottom w:val="0"/>
      <w:divBdr>
        <w:top w:val="none" w:sz="0" w:space="0" w:color="auto"/>
        <w:left w:val="none" w:sz="0" w:space="0" w:color="auto"/>
        <w:bottom w:val="none" w:sz="0" w:space="0" w:color="auto"/>
        <w:right w:val="none" w:sz="0" w:space="0" w:color="auto"/>
      </w:divBdr>
    </w:div>
    <w:div w:id="1490367113">
      <w:bodyDiv w:val="1"/>
      <w:marLeft w:val="0"/>
      <w:marRight w:val="0"/>
      <w:marTop w:val="0"/>
      <w:marBottom w:val="0"/>
      <w:divBdr>
        <w:top w:val="none" w:sz="0" w:space="0" w:color="auto"/>
        <w:left w:val="none" w:sz="0" w:space="0" w:color="auto"/>
        <w:bottom w:val="none" w:sz="0" w:space="0" w:color="auto"/>
        <w:right w:val="none" w:sz="0" w:space="0" w:color="auto"/>
      </w:divBdr>
    </w:div>
    <w:div w:id="1490513596">
      <w:bodyDiv w:val="1"/>
      <w:marLeft w:val="0"/>
      <w:marRight w:val="0"/>
      <w:marTop w:val="0"/>
      <w:marBottom w:val="0"/>
      <w:divBdr>
        <w:top w:val="none" w:sz="0" w:space="0" w:color="auto"/>
        <w:left w:val="none" w:sz="0" w:space="0" w:color="auto"/>
        <w:bottom w:val="none" w:sz="0" w:space="0" w:color="auto"/>
        <w:right w:val="none" w:sz="0" w:space="0" w:color="auto"/>
      </w:divBdr>
    </w:div>
    <w:div w:id="1490517662">
      <w:bodyDiv w:val="1"/>
      <w:marLeft w:val="0"/>
      <w:marRight w:val="0"/>
      <w:marTop w:val="0"/>
      <w:marBottom w:val="0"/>
      <w:divBdr>
        <w:top w:val="none" w:sz="0" w:space="0" w:color="auto"/>
        <w:left w:val="none" w:sz="0" w:space="0" w:color="auto"/>
        <w:bottom w:val="none" w:sz="0" w:space="0" w:color="auto"/>
        <w:right w:val="none" w:sz="0" w:space="0" w:color="auto"/>
      </w:divBdr>
    </w:div>
    <w:div w:id="1490707646">
      <w:bodyDiv w:val="1"/>
      <w:marLeft w:val="0"/>
      <w:marRight w:val="0"/>
      <w:marTop w:val="0"/>
      <w:marBottom w:val="0"/>
      <w:divBdr>
        <w:top w:val="none" w:sz="0" w:space="0" w:color="auto"/>
        <w:left w:val="none" w:sz="0" w:space="0" w:color="auto"/>
        <w:bottom w:val="none" w:sz="0" w:space="0" w:color="auto"/>
        <w:right w:val="none" w:sz="0" w:space="0" w:color="auto"/>
      </w:divBdr>
    </w:div>
    <w:div w:id="1490709138">
      <w:bodyDiv w:val="1"/>
      <w:marLeft w:val="0"/>
      <w:marRight w:val="0"/>
      <w:marTop w:val="0"/>
      <w:marBottom w:val="0"/>
      <w:divBdr>
        <w:top w:val="none" w:sz="0" w:space="0" w:color="auto"/>
        <w:left w:val="none" w:sz="0" w:space="0" w:color="auto"/>
        <w:bottom w:val="none" w:sz="0" w:space="0" w:color="auto"/>
        <w:right w:val="none" w:sz="0" w:space="0" w:color="auto"/>
      </w:divBdr>
    </w:div>
    <w:div w:id="1490828765">
      <w:bodyDiv w:val="1"/>
      <w:marLeft w:val="0"/>
      <w:marRight w:val="0"/>
      <w:marTop w:val="0"/>
      <w:marBottom w:val="0"/>
      <w:divBdr>
        <w:top w:val="none" w:sz="0" w:space="0" w:color="auto"/>
        <w:left w:val="none" w:sz="0" w:space="0" w:color="auto"/>
        <w:bottom w:val="none" w:sz="0" w:space="0" w:color="auto"/>
        <w:right w:val="none" w:sz="0" w:space="0" w:color="auto"/>
      </w:divBdr>
    </w:div>
    <w:div w:id="1490830920">
      <w:bodyDiv w:val="1"/>
      <w:marLeft w:val="0"/>
      <w:marRight w:val="0"/>
      <w:marTop w:val="0"/>
      <w:marBottom w:val="0"/>
      <w:divBdr>
        <w:top w:val="none" w:sz="0" w:space="0" w:color="auto"/>
        <w:left w:val="none" w:sz="0" w:space="0" w:color="auto"/>
        <w:bottom w:val="none" w:sz="0" w:space="0" w:color="auto"/>
        <w:right w:val="none" w:sz="0" w:space="0" w:color="auto"/>
      </w:divBdr>
    </w:div>
    <w:div w:id="1490898967">
      <w:bodyDiv w:val="1"/>
      <w:marLeft w:val="0"/>
      <w:marRight w:val="0"/>
      <w:marTop w:val="0"/>
      <w:marBottom w:val="0"/>
      <w:divBdr>
        <w:top w:val="none" w:sz="0" w:space="0" w:color="auto"/>
        <w:left w:val="none" w:sz="0" w:space="0" w:color="auto"/>
        <w:bottom w:val="none" w:sz="0" w:space="0" w:color="auto"/>
        <w:right w:val="none" w:sz="0" w:space="0" w:color="auto"/>
      </w:divBdr>
    </w:div>
    <w:div w:id="1491096285">
      <w:bodyDiv w:val="1"/>
      <w:marLeft w:val="0"/>
      <w:marRight w:val="0"/>
      <w:marTop w:val="0"/>
      <w:marBottom w:val="0"/>
      <w:divBdr>
        <w:top w:val="none" w:sz="0" w:space="0" w:color="auto"/>
        <w:left w:val="none" w:sz="0" w:space="0" w:color="auto"/>
        <w:bottom w:val="none" w:sz="0" w:space="0" w:color="auto"/>
        <w:right w:val="none" w:sz="0" w:space="0" w:color="auto"/>
      </w:divBdr>
    </w:div>
    <w:div w:id="1491291758">
      <w:bodyDiv w:val="1"/>
      <w:marLeft w:val="0"/>
      <w:marRight w:val="0"/>
      <w:marTop w:val="0"/>
      <w:marBottom w:val="0"/>
      <w:divBdr>
        <w:top w:val="none" w:sz="0" w:space="0" w:color="auto"/>
        <w:left w:val="none" w:sz="0" w:space="0" w:color="auto"/>
        <w:bottom w:val="none" w:sz="0" w:space="0" w:color="auto"/>
        <w:right w:val="none" w:sz="0" w:space="0" w:color="auto"/>
      </w:divBdr>
    </w:div>
    <w:div w:id="1491366923">
      <w:bodyDiv w:val="1"/>
      <w:marLeft w:val="0"/>
      <w:marRight w:val="0"/>
      <w:marTop w:val="0"/>
      <w:marBottom w:val="0"/>
      <w:divBdr>
        <w:top w:val="none" w:sz="0" w:space="0" w:color="auto"/>
        <w:left w:val="none" w:sz="0" w:space="0" w:color="auto"/>
        <w:bottom w:val="none" w:sz="0" w:space="0" w:color="auto"/>
        <w:right w:val="none" w:sz="0" w:space="0" w:color="auto"/>
      </w:divBdr>
    </w:div>
    <w:div w:id="1491557005">
      <w:bodyDiv w:val="1"/>
      <w:marLeft w:val="0"/>
      <w:marRight w:val="0"/>
      <w:marTop w:val="0"/>
      <w:marBottom w:val="0"/>
      <w:divBdr>
        <w:top w:val="none" w:sz="0" w:space="0" w:color="auto"/>
        <w:left w:val="none" w:sz="0" w:space="0" w:color="auto"/>
        <w:bottom w:val="none" w:sz="0" w:space="0" w:color="auto"/>
        <w:right w:val="none" w:sz="0" w:space="0" w:color="auto"/>
      </w:divBdr>
    </w:div>
    <w:div w:id="1491558328">
      <w:bodyDiv w:val="1"/>
      <w:marLeft w:val="0"/>
      <w:marRight w:val="0"/>
      <w:marTop w:val="0"/>
      <w:marBottom w:val="0"/>
      <w:divBdr>
        <w:top w:val="none" w:sz="0" w:space="0" w:color="auto"/>
        <w:left w:val="none" w:sz="0" w:space="0" w:color="auto"/>
        <w:bottom w:val="none" w:sz="0" w:space="0" w:color="auto"/>
        <w:right w:val="none" w:sz="0" w:space="0" w:color="auto"/>
      </w:divBdr>
    </w:div>
    <w:div w:id="1491675276">
      <w:bodyDiv w:val="1"/>
      <w:marLeft w:val="0"/>
      <w:marRight w:val="0"/>
      <w:marTop w:val="0"/>
      <w:marBottom w:val="0"/>
      <w:divBdr>
        <w:top w:val="none" w:sz="0" w:space="0" w:color="auto"/>
        <w:left w:val="none" w:sz="0" w:space="0" w:color="auto"/>
        <w:bottom w:val="none" w:sz="0" w:space="0" w:color="auto"/>
        <w:right w:val="none" w:sz="0" w:space="0" w:color="auto"/>
      </w:divBdr>
    </w:div>
    <w:div w:id="1491678762">
      <w:bodyDiv w:val="1"/>
      <w:marLeft w:val="0"/>
      <w:marRight w:val="0"/>
      <w:marTop w:val="0"/>
      <w:marBottom w:val="0"/>
      <w:divBdr>
        <w:top w:val="none" w:sz="0" w:space="0" w:color="auto"/>
        <w:left w:val="none" w:sz="0" w:space="0" w:color="auto"/>
        <w:bottom w:val="none" w:sz="0" w:space="0" w:color="auto"/>
        <w:right w:val="none" w:sz="0" w:space="0" w:color="auto"/>
      </w:divBdr>
    </w:div>
    <w:div w:id="1491944015">
      <w:bodyDiv w:val="1"/>
      <w:marLeft w:val="0"/>
      <w:marRight w:val="0"/>
      <w:marTop w:val="0"/>
      <w:marBottom w:val="0"/>
      <w:divBdr>
        <w:top w:val="none" w:sz="0" w:space="0" w:color="auto"/>
        <w:left w:val="none" w:sz="0" w:space="0" w:color="auto"/>
        <w:bottom w:val="none" w:sz="0" w:space="0" w:color="auto"/>
        <w:right w:val="none" w:sz="0" w:space="0" w:color="auto"/>
      </w:divBdr>
    </w:div>
    <w:div w:id="1492015275">
      <w:bodyDiv w:val="1"/>
      <w:marLeft w:val="0"/>
      <w:marRight w:val="0"/>
      <w:marTop w:val="0"/>
      <w:marBottom w:val="0"/>
      <w:divBdr>
        <w:top w:val="none" w:sz="0" w:space="0" w:color="auto"/>
        <w:left w:val="none" w:sz="0" w:space="0" w:color="auto"/>
        <w:bottom w:val="none" w:sz="0" w:space="0" w:color="auto"/>
        <w:right w:val="none" w:sz="0" w:space="0" w:color="auto"/>
      </w:divBdr>
    </w:div>
    <w:div w:id="1492024955">
      <w:bodyDiv w:val="1"/>
      <w:marLeft w:val="0"/>
      <w:marRight w:val="0"/>
      <w:marTop w:val="0"/>
      <w:marBottom w:val="0"/>
      <w:divBdr>
        <w:top w:val="none" w:sz="0" w:space="0" w:color="auto"/>
        <w:left w:val="none" w:sz="0" w:space="0" w:color="auto"/>
        <w:bottom w:val="none" w:sz="0" w:space="0" w:color="auto"/>
        <w:right w:val="none" w:sz="0" w:space="0" w:color="auto"/>
      </w:divBdr>
    </w:div>
    <w:div w:id="1492208593">
      <w:bodyDiv w:val="1"/>
      <w:marLeft w:val="0"/>
      <w:marRight w:val="0"/>
      <w:marTop w:val="0"/>
      <w:marBottom w:val="0"/>
      <w:divBdr>
        <w:top w:val="none" w:sz="0" w:space="0" w:color="auto"/>
        <w:left w:val="none" w:sz="0" w:space="0" w:color="auto"/>
        <w:bottom w:val="none" w:sz="0" w:space="0" w:color="auto"/>
        <w:right w:val="none" w:sz="0" w:space="0" w:color="auto"/>
      </w:divBdr>
    </w:div>
    <w:div w:id="1492217304">
      <w:bodyDiv w:val="1"/>
      <w:marLeft w:val="0"/>
      <w:marRight w:val="0"/>
      <w:marTop w:val="0"/>
      <w:marBottom w:val="0"/>
      <w:divBdr>
        <w:top w:val="none" w:sz="0" w:space="0" w:color="auto"/>
        <w:left w:val="none" w:sz="0" w:space="0" w:color="auto"/>
        <w:bottom w:val="none" w:sz="0" w:space="0" w:color="auto"/>
        <w:right w:val="none" w:sz="0" w:space="0" w:color="auto"/>
      </w:divBdr>
    </w:div>
    <w:div w:id="1492258708">
      <w:bodyDiv w:val="1"/>
      <w:marLeft w:val="0"/>
      <w:marRight w:val="0"/>
      <w:marTop w:val="0"/>
      <w:marBottom w:val="0"/>
      <w:divBdr>
        <w:top w:val="none" w:sz="0" w:space="0" w:color="auto"/>
        <w:left w:val="none" w:sz="0" w:space="0" w:color="auto"/>
        <w:bottom w:val="none" w:sz="0" w:space="0" w:color="auto"/>
        <w:right w:val="none" w:sz="0" w:space="0" w:color="auto"/>
      </w:divBdr>
    </w:div>
    <w:div w:id="1492328343">
      <w:bodyDiv w:val="1"/>
      <w:marLeft w:val="0"/>
      <w:marRight w:val="0"/>
      <w:marTop w:val="0"/>
      <w:marBottom w:val="0"/>
      <w:divBdr>
        <w:top w:val="none" w:sz="0" w:space="0" w:color="auto"/>
        <w:left w:val="none" w:sz="0" w:space="0" w:color="auto"/>
        <w:bottom w:val="none" w:sz="0" w:space="0" w:color="auto"/>
        <w:right w:val="none" w:sz="0" w:space="0" w:color="auto"/>
      </w:divBdr>
    </w:div>
    <w:div w:id="1492525794">
      <w:bodyDiv w:val="1"/>
      <w:marLeft w:val="0"/>
      <w:marRight w:val="0"/>
      <w:marTop w:val="0"/>
      <w:marBottom w:val="0"/>
      <w:divBdr>
        <w:top w:val="none" w:sz="0" w:space="0" w:color="auto"/>
        <w:left w:val="none" w:sz="0" w:space="0" w:color="auto"/>
        <w:bottom w:val="none" w:sz="0" w:space="0" w:color="auto"/>
        <w:right w:val="none" w:sz="0" w:space="0" w:color="auto"/>
      </w:divBdr>
    </w:div>
    <w:div w:id="1492677238">
      <w:bodyDiv w:val="1"/>
      <w:marLeft w:val="0"/>
      <w:marRight w:val="0"/>
      <w:marTop w:val="0"/>
      <w:marBottom w:val="0"/>
      <w:divBdr>
        <w:top w:val="none" w:sz="0" w:space="0" w:color="auto"/>
        <w:left w:val="none" w:sz="0" w:space="0" w:color="auto"/>
        <w:bottom w:val="none" w:sz="0" w:space="0" w:color="auto"/>
        <w:right w:val="none" w:sz="0" w:space="0" w:color="auto"/>
      </w:divBdr>
    </w:div>
    <w:div w:id="1492910618">
      <w:bodyDiv w:val="1"/>
      <w:marLeft w:val="0"/>
      <w:marRight w:val="0"/>
      <w:marTop w:val="0"/>
      <w:marBottom w:val="0"/>
      <w:divBdr>
        <w:top w:val="none" w:sz="0" w:space="0" w:color="auto"/>
        <w:left w:val="none" w:sz="0" w:space="0" w:color="auto"/>
        <w:bottom w:val="none" w:sz="0" w:space="0" w:color="auto"/>
        <w:right w:val="none" w:sz="0" w:space="0" w:color="auto"/>
      </w:divBdr>
    </w:div>
    <w:div w:id="1492913653">
      <w:bodyDiv w:val="1"/>
      <w:marLeft w:val="0"/>
      <w:marRight w:val="0"/>
      <w:marTop w:val="0"/>
      <w:marBottom w:val="0"/>
      <w:divBdr>
        <w:top w:val="none" w:sz="0" w:space="0" w:color="auto"/>
        <w:left w:val="none" w:sz="0" w:space="0" w:color="auto"/>
        <w:bottom w:val="none" w:sz="0" w:space="0" w:color="auto"/>
        <w:right w:val="none" w:sz="0" w:space="0" w:color="auto"/>
      </w:divBdr>
    </w:div>
    <w:div w:id="1492914680">
      <w:bodyDiv w:val="1"/>
      <w:marLeft w:val="0"/>
      <w:marRight w:val="0"/>
      <w:marTop w:val="0"/>
      <w:marBottom w:val="0"/>
      <w:divBdr>
        <w:top w:val="none" w:sz="0" w:space="0" w:color="auto"/>
        <w:left w:val="none" w:sz="0" w:space="0" w:color="auto"/>
        <w:bottom w:val="none" w:sz="0" w:space="0" w:color="auto"/>
        <w:right w:val="none" w:sz="0" w:space="0" w:color="auto"/>
      </w:divBdr>
    </w:div>
    <w:div w:id="1492914739">
      <w:bodyDiv w:val="1"/>
      <w:marLeft w:val="0"/>
      <w:marRight w:val="0"/>
      <w:marTop w:val="0"/>
      <w:marBottom w:val="0"/>
      <w:divBdr>
        <w:top w:val="none" w:sz="0" w:space="0" w:color="auto"/>
        <w:left w:val="none" w:sz="0" w:space="0" w:color="auto"/>
        <w:bottom w:val="none" w:sz="0" w:space="0" w:color="auto"/>
        <w:right w:val="none" w:sz="0" w:space="0" w:color="auto"/>
      </w:divBdr>
    </w:div>
    <w:div w:id="1492915192">
      <w:bodyDiv w:val="1"/>
      <w:marLeft w:val="0"/>
      <w:marRight w:val="0"/>
      <w:marTop w:val="0"/>
      <w:marBottom w:val="0"/>
      <w:divBdr>
        <w:top w:val="none" w:sz="0" w:space="0" w:color="auto"/>
        <w:left w:val="none" w:sz="0" w:space="0" w:color="auto"/>
        <w:bottom w:val="none" w:sz="0" w:space="0" w:color="auto"/>
        <w:right w:val="none" w:sz="0" w:space="0" w:color="auto"/>
      </w:divBdr>
    </w:div>
    <w:div w:id="1492984297">
      <w:bodyDiv w:val="1"/>
      <w:marLeft w:val="0"/>
      <w:marRight w:val="0"/>
      <w:marTop w:val="0"/>
      <w:marBottom w:val="0"/>
      <w:divBdr>
        <w:top w:val="none" w:sz="0" w:space="0" w:color="auto"/>
        <w:left w:val="none" w:sz="0" w:space="0" w:color="auto"/>
        <w:bottom w:val="none" w:sz="0" w:space="0" w:color="auto"/>
        <w:right w:val="none" w:sz="0" w:space="0" w:color="auto"/>
      </w:divBdr>
    </w:div>
    <w:div w:id="1493256654">
      <w:bodyDiv w:val="1"/>
      <w:marLeft w:val="0"/>
      <w:marRight w:val="0"/>
      <w:marTop w:val="0"/>
      <w:marBottom w:val="0"/>
      <w:divBdr>
        <w:top w:val="none" w:sz="0" w:space="0" w:color="auto"/>
        <w:left w:val="none" w:sz="0" w:space="0" w:color="auto"/>
        <w:bottom w:val="none" w:sz="0" w:space="0" w:color="auto"/>
        <w:right w:val="none" w:sz="0" w:space="0" w:color="auto"/>
      </w:divBdr>
    </w:div>
    <w:div w:id="1493332230">
      <w:bodyDiv w:val="1"/>
      <w:marLeft w:val="0"/>
      <w:marRight w:val="0"/>
      <w:marTop w:val="0"/>
      <w:marBottom w:val="0"/>
      <w:divBdr>
        <w:top w:val="none" w:sz="0" w:space="0" w:color="auto"/>
        <w:left w:val="none" w:sz="0" w:space="0" w:color="auto"/>
        <w:bottom w:val="none" w:sz="0" w:space="0" w:color="auto"/>
        <w:right w:val="none" w:sz="0" w:space="0" w:color="auto"/>
      </w:divBdr>
    </w:div>
    <w:div w:id="1493334941">
      <w:bodyDiv w:val="1"/>
      <w:marLeft w:val="0"/>
      <w:marRight w:val="0"/>
      <w:marTop w:val="0"/>
      <w:marBottom w:val="0"/>
      <w:divBdr>
        <w:top w:val="none" w:sz="0" w:space="0" w:color="auto"/>
        <w:left w:val="none" w:sz="0" w:space="0" w:color="auto"/>
        <w:bottom w:val="none" w:sz="0" w:space="0" w:color="auto"/>
        <w:right w:val="none" w:sz="0" w:space="0" w:color="auto"/>
      </w:divBdr>
    </w:div>
    <w:div w:id="1493370691">
      <w:bodyDiv w:val="1"/>
      <w:marLeft w:val="0"/>
      <w:marRight w:val="0"/>
      <w:marTop w:val="0"/>
      <w:marBottom w:val="0"/>
      <w:divBdr>
        <w:top w:val="none" w:sz="0" w:space="0" w:color="auto"/>
        <w:left w:val="none" w:sz="0" w:space="0" w:color="auto"/>
        <w:bottom w:val="none" w:sz="0" w:space="0" w:color="auto"/>
        <w:right w:val="none" w:sz="0" w:space="0" w:color="auto"/>
      </w:divBdr>
    </w:div>
    <w:div w:id="1493447838">
      <w:bodyDiv w:val="1"/>
      <w:marLeft w:val="0"/>
      <w:marRight w:val="0"/>
      <w:marTop w:val="0"/>
      <w:marBottom w:val="0"/>
      <w:divBdr>
        <w:top w:val="none" w:sz="0" w:space="0" w:color="auto"/>
        <w:left w:val="none" w:sz="0" w:space="0" w:color="auto"/>
        <w:bottom w:val="none" w:sz="0" w:space="0" w:color="auto"/>
        <w:right w:val="none" w:sz="0" w:space="0" w:color="auto"/>
      </w:divBdr>
    </w:div>
    <w:div w:id="1493570476">
      <w:bodyDiv w:val="1"/>
      <w:marLeft w:val="0"/>
      <w:marRight w:val="0"/>
      <w:marTop w:val="0"/>
      <w:marBottom w:val="0"/>
      <w:divBdr>
        <w:top w:val="none" w:sz="0" w:space="0" w:color="auto"/>
        <w:left w:val="none" w:sz="0" w:space="0" w:color="auto"/>
        <w:bottom w:val="none" w:sz="0" w:space="0" w:color="auto"/>
        <w:right w:val="none" w:sz="0" w:space="0" w:color="auto"/>
      </w:divBdr>
    </w:div>
    <w:div w:id="1493764614">
      <w:bodyDiv w:val="1"/>
      <w:marLeft w:val="0"/>
      <w:marRight w:val="0"/>
      <w:marTop w:val="0"/>
      <w:marBottom w:val="0"/>
      <w:divBdr>
        <w:top w:val="none" w:sz="0" w:space="0" w:color="auto"/>
        <w:left w:val="none" w:sz="0" w:space="0" w:color="auto"/>
        <w:bottom w:val="none" w:sz="0" w:space="0" w:color="auto"/>
        <w:right w:val="none" w:sz="0" w:space="0" w:color="auto"/>
      </w:divBdr>
    </w:div>
    <w:div w:id="1493834930">
      <w:bodyDiv w:val="1"/>
      <w:marLeft w:val="0"/>
      <w:marRight w:val="0"/>
      <w:marTop w:val="0"/>
      <w:marBottom w:val="0"/>
      <w:divBdr>
        <w:top w:val="none" w:sz="0" w:space="0" w:color="auto"/>
        <w:left w:val="none" w:sz="0" w:space="0" w:color="auto"/>
        <w:bottom w:val="none" w:sz="0" w:space="0" w:color="auto"/>
        <w:right w:val="none" w:sz="0" w:space="0" w:color="auto"/>
      </w:divBdr>
    </w:div>
    <w:div w:id="1494025086">
      <w:bodyDiv w:val="1"/>
      <w:marLeft w:val="0"/>
      <w:marRight w:val="0"/>
      <w:marTop w:val="0"/>
      <w:marBottom w:val="0"/>
      <w:divBdr>
        <w:top w:val="none" w:sz="0" w:space="0" w:color="auto"/>
        <w:left w:val="none" w:sz="0" w:space="0" w:color="auto"/>
        <w:bottom w:val="none" w:sz="0" w:space="0" w:color="auto"/>
        <w:right w:val="none" w:sz="0" w:space="0" w:color="auto"/>
      </w:divBdr>
    </w:div>
    <w:div w:id="1494027927">
      <w:bodyDiv w:val="1"/>
      <w:marLeft w:val="0"/>
      <w:marRight w:val="0"/>
      <w:marTop w:val="0"/>
      <w:marBottom w:val="0"/>
      <w:divBdr>
        <w:top w:val="none" w:sz="0" w:space="0" w:color="auto"/>
        <w:left w:val="none" w:sz="0" w:space="0" w:color="auto"/>
        <w:bottom w:val="none" w:sz="0" w:space="0" w:color="auto"/>
        <w:right w:val="none" w:sz="0" w:space="0" w:color="auto"/>
      </w:divBdr>
    </w:div>
    <w:div w:id="1494107071">
      <w:bodyDiv w:val="1"/>
      <w:marLeft w:val="0"/>
      <w:marRight w:val="0"/>
      <w:marTop w:val="0"/>
      <w:marBottom w:val="0"/>
      <w:divBdr>
        <w:top w:val="none" w:sz="0" w:space="0" w:color="auto"/>
        <w:left w:val="none" w:sz="0" w:space="0" w:color="auto"/>
        <w:bottom w:val="none" w:sz="0" w:space="0" w:color="auto"/>
        <w:right w:val="none" w:sz="0" w:space="0" w:color="auto"/>
      </w:divBdr>
    </w:div>
    <w:div w:id="1494176002">
      <w:bodyDiv w:val="1"/>
      <w:marLeft w:val="0"/>
      <w:marRight w:val="0"/>
      <w:marTop w:val="0"/>
      <w:marBottom w:val="0"/>
      <w:divBdr>
        <w:top w:val="none" w:sz="0" w:space="0" w:color="auto"/>
        <w:left w:val="none" w:sz="0" w:space="0" w:color="auto"/>
        <w:bottom w:val="none" w:sz="0" w:space="0" w:color="auto"/>
        <w:right w:val="none" w:sz="0" w:space="0" w:color="auto"/>
      </w:divBdr>
    </w:div>
    <w:div w:id="1494368120">
      <w:bodyDiv w:val="1"/>
      <w:marLeft w:val="0"/>
      <w:marRight w:val="0"/>
      <w:marTop w:val="0"/>
      <w:marBottom w:val="0"/>
      <w:divBdr>
        <w:top w:val="none" w:sz="0" w:space="0" w:color="auto"/>
        <w:left w:val="none" w:sz="0" w:space="0" w:color="auto"/>
        <w:bottom w:val="none" w:sz="0" w:space="0" w:color="auto"/>
        <w:right w:val="none" w:sz="0" w:space="0" w:color="auto"/>
      </w:divBdr>
    </w:div>
    <w:div w:id="1494487405">
      <w:bodyDiv w:val="1"/>
      <w:marLeft w:val="0"/>
      <w:marRight w:val="0"/>
      <w:marTop w:val="0"/>
      <w:marBottom w:val="0"/>
      <w:divBdr>
        <w:top w:val="none" w:sz="0" w:space="0" w:color="auto"/>
        <w:left w:val="none" w:sz="0" w:space="0" w:color="auto"/>
        <w:bottom w:val="none" w:sz="0" w:space="0" w:color="auto"/>
        <w:right w:val="none" w:sz="0" w:space="0" w:color="auto"/>
      </w:divBdr>
    </w:div>
    <w:div w:id="1494491709">
      <w:bodyDiv w:val="1"/>
      <w:marLeft w:val="0"/>
      <w:marRight w:val="0"/>
      <w:marTop w:val="0"/>
      <w:marBottom w:val="0"/>
      <w:divBdr>
        <w:top w:val="none" w:sz="0" w:space="0" w:color="auto"/>
        <w:left w:val="none" w:sz="0" w:space="0" w:color="auto"/>
        <w:bottom w:val="none" w:sz="0" w:space="0" w:color="auto"/>
        <w:right w:val="none" w:sz="0" w:space="0" w:color="auto"/>
      </w:divBdr>
    </w:div>
    <w:div w:id="1494637398">
      <w:bodyDiv w:val="1"/>
      <w:marLeft w:val="0"/>
      <w:marRight w:val="0"/>
      <w:marTop w:val="0"/>
      <w:marBottom w:val="0"/>
      <w:divBdr>
        <w:top w:val="none" w:sz="0" w:space="0" w:color="auto"/>
        <w:left w:val="none" w:sz="0" w:space="0" w:color="auto"/>
        <w:bottom w:val="none" w:sz="0" w:space="0" w:color="auto"/>
        <w:right w:val="none" w:sz="0" w:space="0" w:color="auto"/>
      </w:divBdr>
    </w:div>
    <w:div w:id="1494688111">
      <w:bodyDiv w:val="1"/>
      <w:marLeft w:val="0"/>
      <w:marRight w:val="0"/>
      <w:marTop w:val="0"/>
      <w:marBottom w:val="0"/>
      <w:divBdr>
        <w:top w:val="none" w:sz="0" w:space="0" w:color="auto"/>
        <w:left w:val="none" w:sz="0" w:space="0" w:color="auto"/>
        <w:bottom w:val="none" w:sz="0" w:space="0" w:color="auto"/>
        <w:right w:val="none" w:sz="0" w:space="0" w:color="auto"/>
      </w:divBdr>
    </w:div>
    <w:div w:id="1495149056">
      <w:bodyDiv w:val="1"/>
      <w:marLeft w:val="0"/>
      <w:marRight w:val="0"/>
      <w:marTop w:val="0"/>
      <w:marBottom w:val="0"/>
      <w:divBdr>
        <w:top w:val="none" w:sz="0" w:space="0" w:color="auto"/>
        <w:left w:val="none" w:sz="0" w:space="0" w:color="auto"/>
        <w:bottom w:val="none" w:sz="0" w:space="0" w:color="auto"/>
        <w:right w:val="none" w:sz="0" w:space="0" w:color="auto"/>
      </w:divBdr>
    </w:div>
    <w:div w:id="1495296443">
      <w:bodyDiv w:val="1"/>
      <w:marLeft w:val="0"/>
      <w:marRight w:val="0"/>
      <w:marTop w:val="0"/>
      <w:marBottom w:val="0"/>
      <w:divBdr>
        <w:top w:val="none" w:sz="0" w:space="0" w:color="auto"/>
        <w:left w:val="none" w:sz="0" w:space="0" w:color="auto"/>
        <w:bottom w:val="none" w:sz="0" w:space="0" w:color="auto"/>
        <w:right w:val="none" w:sz="0" w:space="0" w:color="auto"/>
      </w:divBdr>
    </w:div>
    <w:div w:id="1495301158">
      <w:bodyDiv w:val="1"/>
      <w:marLeft w:val="0"/>
      <w:marRight w:val="0"/>
      <w:marTop w:val="0"/>
      <w:marBottom w:val="0"/>
      <w:divBdr>
        <w:top w:val="none" w:sz="0" w:space="0" w:color="auto"/>
        <w:left w:val="none" w:sz="0" w:space="0" w:color="auto"/>
        <w:bottom w:val="none" w:sz="0" w:space="0" w:color="auto"/>
        <w:right w:val="none" w:sz="0" w:space="0" w:color="auto"/>
      </w:divBdr>
    </w:div>
    <w:div w:id="1495342123">
      <w:bodyDiv w:val="1"/>
      <w:marLeft w:val="0"/>
      <w:marRight w:val="0"/>
      <w:marTop w:val="0"/>
      <w:marBottom w:val="0"/>
      <w:divBdr>
        <w:top w:val="none" w:sz="0" w:space="0" w:color="auto"/>
        <w:left w:val="none" w:sz="0" w:space="0" w:color="auto"/>
        <w:bottom w:val="none" w:sz="0" w:space="0" w:color="auto"/>
        <w:right w:val="none" w:sz="0" w:space="0" w:color="auto"/>
      </w:divBdr>
    </w:div>
    <w:div w:id="1495796836">
      <w:bodyDiv w:val="1"/>
      <w:marLeft w:val="0"/>
      <w:marRight w:val="0"/>
      <w:marTop w:val="0"/>
      <w:marBottom w:val="0"/>
      <w:divBdr>
        <w:top w:val="none" w:sz="0" w:space="0" w:color="auto"/>
        <w:left w:val="none" w:sz="0" w:space="0" w:color="auto"/>
        <w:bottom w:val="none" w:sz="0" w:space="0" w:color="auto"/>
        <w:right w:val="none" w:sz="0" w:space="0" w:color="auto"/>
      </w:divBdr>
    </w:div>
    <w:div w:id="1495871953">
      <w:bodyDiv w:val="1"/>
      <w:marLeft w:val="0"/>
      <w:marRight w:val="0"/>
      <w:marTop w:val="0"/>
      <w:marBottom w:val="0"/>
      <w:divBdr>
        <w:top w:val="none" w:sz="0" w:space="0" w:color="auto"/>
        <w:left w:val="none" w:sz="0" w:space="0" w:color="auto"/>
        <w:bottom w:val="none" w:sz="0" w:space="0" w:color="auto"/>
        <w:right w:val="none" w:sz="0" w:space="0" w:color="auto"/>
      </w:divBdr>
    </w:div>
    <w:div w:id="1495952441">
      <w:bodyDiv w:val="1"/>
      <w:marLeft w:val="0"/>
      <w:marRight w:val="0"/>
      <w:marTop w:val="0"/>
      <w:marBottom w:val="0"/>
      <w:divBdr>
        <w:top w:val="none" w:sz="0" w:space="0" w:color="auto"/>
        <w:left w:val="none" w:sz="0" w:space="0" w:color="auto"/>
        <w:bottom w:val="none" w:sz="0" w:space="0" w:color="auto"/>
        <w:right w:val="none" w:sz="0" w:space="0" w:color="auto"/>
      </w:divBdr>
    </w:div>
    <w:div w:id="1495998830">
      <w:bodyDiv w:val="1"/>
      <w:marLeft w:val="0"/>
      <w:marRight w:val="0"/>
      <w:marTop w:val="0"/>
      <w:marBottom w:val="0"/>
      <w:divBdr>
        <w:top w:val="none" w:sz="0" w:space="0" w:color="auto"/>
        <w:left w:val="none" w:sz="0" w:space="0" w:color="auto"/>
        <w:bottom w:val="none" w:sz="0" w:space="0" w:color="auto"/>
        <w:right w:val="none" w:sz="0" w:space="0" w:color="auto"/>
      </w:divBdr>
    </w:div>
    <w:div w:id="1496068130">
      <w:bodyDiv w:val="1"/>
      <w:marLeft w:val="0"/>
      <w:marRight w:val="0"/>
      <w:marTop w:val="0"/>
      <w:marBottom w:val="0"/>
      <w:divBdr>
        <w:top w:val="none" w:sz="0" w:space="0" w:color="auto"/>
        <w:left w:val="none" w:sz="0" w:space="0" w:color="auto"/>
        <w:bottom w:val="none" w:sz="0" w:space="0" w:color="auto"/>
        <w:right w:val="none" w:sz="0" w:space="0" w:color="auto"/>
      </w:divBdr>
    </w:div>
    <w:div w:id="1496334856">
      <w:bodyDiv w:val="1"/>
      <w:marLeft w:val="0"/>
      <w:marRight w:val="0"/>
      <w:marTop w:val="0"/>
      <w:marBottom w:val="0"/>
      <w:divBdr>
        <w:top w:val="none" w:sz="0" w:space="0" w:color="auto"/>
        <w:left w:val="none" w:sz="0" w:space="0" w:color="auto"/>
        <w:bottom w:val="none" w:sz="0" w:space="0" w:color="auto"/>
        <w:right w:val="none" w:sz="0" w:space="0" w:color="auto"/>
      </w:divBdr>
    </w:div>
    <w:div w:id="1496341527">
      <w:bodyDiv w:val="1"/>
      <w:marLeft w:val="0"/>
      <w:marRight w:val="0"/>
      <w:marTop w:val="0"/>
      <w:marBottom w:val="0"/>
      <w:divBdr>
        <w:top w:val="none" w:sz="0" w:space="0" w:color="auto"/>
        <w:left w:val="none" w:sz="0" w:space="0" w:color="auto"/>
        <w:bottom w:val="none" w:sz="0" w:space="0" w:color="auto"/>
        <w:right w:val="none" w:sz="0" w:space="0" w:color="auto"/>
      </w:divBdr>
    </w:div>
    <w:div w:id="1496535963">
      <w:bodyDiv w:val="1"/>
      <w:marLeft w:val="0"/>
      <w:marRight w:val="0"/>
      <w:marTop w:val="0"/>
      <w:marBottom w:val="0"/>
      <w:divBdr>
        <w:top w:val="none" w:sz="0" w:space="0" w:color="auto"/>
        <w:left w:val="none" w:sz="0" w:space="0" w:color="auto"/>
        <w:bottom w:val="none" w:sz="0" w:space="0" w:color="auto"/>
        <w:right w:val="none" w:sz="0" w:space="0" w:color="auto"/>
      </w:divBdr>
    </w:div>
    <w:div w:id="1496645993">
      <w:bodyDiv w:val="1"/>
      <w:marLeft w:val="0"/>
      <w:marRight w:val="0"/>
      <w:marTop w:val="0"/>
      <w:marBottom w:val="0"/>
      <w:divBdr>
        <w:top w:val="none" w:sz="0" w:space="0" w:color="auto"/>
        <w:left w:val="none" w:sz="0" w:space="0" w:color="auto"/>
        <w:bottom w:val="none" w:sz="0" w:space="0" w:color="auto"/>
        <w:right w:val="none" w:sz="0" w:space="0" w:color="auto"/>
      </w:divBdr>
    </w:div>
    <w:div w:id="1496722082">
      <w:bodyDiv w:val="1"/>
      <w:marLeft w:val="0"/>
      <w:marRight w:val="0"/>
      <w:marTop w:val="0"/>
      <w:marBottom w:val="0"/>
      <w:divBdr>
        <w:top w:val="none" w:sz="0" w:space="0" w:color="auto"/>
        <w:left w:val="none" w:sz="0" w:space="0" w:color="auto"/>
        <w:bottom w:val="none" w:sz="0" w:space="0" w:color="auto"/>
        <w:right w:val="none" w:sz="0" w:space="0" w:color="auto"/>
      </w:divBdr>
    </w:div>
    <w:div w:id="1496914680">
      <w:bodyDiv w:val="1"/>
      <w:marLeft w:val="0"/>
      <w:marRight w:val="0"/>
      <w:marTop w:val="0"/>
      <w:marBottom w:val="0"/>
      <w:divBdr>
        <w:top w:val="none" w:sz="0" w:space="0" w:color="auto"/>
        <w:left w:val="none" w:sz="0" w:space="0" w:color="auto"/>
        <w:bottom w:val="none" w:sz="0" w:space="0" w:color="auto"/>
        <w:right w:val="none" w:sz="0" w:space="0" w:color="auto"/>
      </w:divBdr>
    </w:div>
    <w:div w:id="1496993965">
      <w:bodyDiv w:val="1"/>
      <w:marLeft w:val="0"/>
      <w:marRight w:val="0"/>
      <w:marTop w:val="0"/>
      <w:marBottom w:val="0"/>
      <w:divBdr>
        <w:top w:val="none" w:sz="0" w:space="0" w:color="auto"/>
        <w:left w:val="none" w:sz="0" w:space="0" w:color="auto"/>
        <w:bottom w:val="none" w:sz="0" w:space="0" w:color="auto"/>
        <w:right w:val="none" w:sz="0" w:space="0" w:color="auto"/>
      </w:divBdr>
    </w:div>
    <w:div w:id="1497070955">
      <w:bodyDiv w:val="1"/>
      <w:marLeft w:val="0"/>
      <w:marRight w:val="0"/>
      <w:marTop w:val="0"/>
      <w:marBottom w:val="0"/>
      <w:divBdr>
        <w:top w:val="none" w:sz="0" w:space="0" w:color="auto"/>
        <w:left w:val="none" w:sz="0" w:space="0" w:color="auto"/>
        <w:bottom w:val="none" w:sz="0" w:space="0" w:color="auto"/>
        <w:right w:val="none" w:sz="0" w:space="0" w:color="auto"/>
      </w:divBdr>
    </w:div>
    <w:div w:id="1497190800">
      <w:bodyDiv w:val="1"/>
      <w:marLeft w:val="0"/>
      <w:marRight w:val="0"/>
      <w:marTop w:val="0"/>
      <w:marBottom w:val="0"/>
      <w:divBdr>
        <w:top w:val="none" w:sz="0" w:space="0" w:color="auto"/>
        <w:left w:val="none" w:sz="0" w:space="0" w:color="auto"/>
        <w:bottom w:val="none" w:sz="0" w:space="0" w:color="auto"/>
        <w:right w:val="none" w:sz="0" w:space="0" w:color="auto"/>
      </w:divBdr>
    </w:div>
    <w:div w:id="1497264835">
      <w:bodyDiv w:val="1"/>
      <w:marLeft w:val="0"/>
      <w:marRight w:val="0"/>
      <w:marTop w:val="0"/>
      <w:marBottom w:val="0"/>
      <w:divBdr>
        <w:top w:val="none" w:sz="0" w:space="0" w:color="auto"/>
        <w:left w:val="none" w:sz="0" w:space="0" w:color="auto"/>
        <w:bottom w:val="none" w:sz="0" w:space="0" w:color="auto"/>
        <w:right w:val="none" w:sz="0" w:space="0" w:color="auto"/>
      </w:divBdr>
    </w:div>
    <w:div w:id="1497456708">
      <w:bodyDiv w:val="1"/>
      <w:marLeft w:val="0"/>
      <w:marRight w:val="0"/>
      <w:marTop w:val="0"/>
      <w:marBottom w:val="0"/>
      <w:divBdr>
        <w:top w:val="none" w:sz="0" w:space="0" w:color="auto"/>
        <w:left w:val="none" w:sz="0" w:space="0" w:color="auto"/>
        <w:bottom w:val="none" w:sz="0" w:space="0" w:color="auto"/>
        <w:right w:val="none" w:sz="0" w:space="0" w:color="auto"/>
      </w:divBdr>
    </w:div>
    <w:div w:id="1497498971">
      <w:bodyDiv w:val="1"/>
      <w:marLeft w:val="0"/>
      <w:marRight w:val="0"/>
      <w:marTop w:val="0"/>
      <w:marBottom w:val="0"/>
      <w:divBdr>
        <w:top w:val="none" w:sz="0" w:space="0" w:color="auto"/>
        <w:left w:val="none" w:sz="0" w:space="0" w:color="auto"/>
        <w:bottom w:val="none" w:sz="0" w:space="0" w:color="auto"/>
        <w:right w:val="none" w:sz="0" w:space="0" w:color="auto"/>
      </w:divBdr>
    </w:div>
    <w:div w:id="1497645965">
      <w:bodyDiv w:val="1"/>
      <w:marLeft w:val="0"/>
      <w:marRight w:val="0"/>
      <w:marTop w:val="0"/>
      <w:marBottom w:val="0"/>
      <w:divBdr>
        <w:top w:val="none" w:sz="0" w:space="0" w:color="auto"/>
        <w:left w:val="none" w:sz="0" w:space="0" w:color="auto"/>
        <w:bottom w:val="none" w:sz="0" w:space="0" w:color="auto"/>
        <w:right w:val="none" w:sz="0" w:space="0" w:color="auto"/>
      </w:divBdr>
    </w:div>
    <w:div w:id="1497958592">
      <w:bodyDiv w:val="1"/>
      <w:marLeft w:val="0"/>
      <w:marRight w:val="0"/>
      <w:marTop w:val="0"/>
      <w:marBottom w:val="0"/>
      <w:divBdr>
        <w:top w:val="none" w:sz="0" w:space="0" w:color="auto"/>
        <w:left w:val="none" w:sz="0" w:space="0" w:color="auto"/>
        <w:bottom w:val="none" w:sz="0" w:space="0" w:color="auto"/>
        <w:right w:val="none" w:sz="0" w:space="0" w:color="auto"/>
      </w:divBdr>
    </w:div>
    <w:div w:id="1497961540">
      <w:bodyDiv w:val="1"/>
      <w:marLeft w:val="0"/>
      <w:marRight w:val="0"/>
      <w:marTop w:val="0"/>
      <w:marBottom w:val="0"/>
      <w:divBdr>
        <w:top w:val="none" w:sz="0" w:space="0" w:color="auto"/>
        <w:left w:val="none" w:sz="0" w:space="0" w:color="auto"/>
        <w:bottom w:val="none" w:sz="0" w:space="0" w:color="auto"/>
        <w:right w:val="none" w:sz="0" w:space="0" w:color="auto"/>
      </w:divBdr>
    </w:div>
    <w:div w:id="1497961627">
      <w:bodyDiv w:val="1"/>
      <w:marLeft w:val="0"/>
      <w:marRight w:val="0"/>
      <w:marTop w:val="0"/>
      <w:marBottom w:val="0"/>
      <w:divBdr>
        <w:top w:val="none" w:sz="0" w:space="0" w:color="auto"/>
        <w:left w:val="none" w:sz="0" w:space="0" w:color="auto"/>
        <w:bottom w:val="none" w:sz="0" w:space="0" w:color="auto"/>
        <w:right w:val="none" w:sz="0" w:space="0" w:color="auto"/>
      </w:divBdr>
    </w:div>
    <w:div w:id="1498308206">
      <w:bodyDiv w:val="1"/>
      <w:marLeft w:val="0"/>
      <w:marRight w:val="0"/>
      <w:marTop w:val="0"/>
      <w:marBottom w:val="0"/>
      <w:divBdr>
        <w:top w:val="none" w:sz="0" w:space="0" w:color="auto"/>
        <w:left w:val="none" w:sz="0" w:space="0" w:color="auto"/>
        <w:bottom w:val="none" w:sz="0" w:space="0" w:color="auto"/>
        <w:right w:val="none" w:sz="0" w:space="0" w:color="auto"/>
      </w:divBdr>
    </w:div>
    <w:div w:id="1498419847">
      <w:bodyDiv w:val="1"/>
      <w:marLeft w:val="0"/>
      <w:marRight w:val="0"/>
      <w:marTop w:val="0"/>
      <w:marBottom w:val="0"/>
      <w:divBdr>
        <w:top w:val="none" w:sz="0" w:space="0" w:color="auto"/>
        <w:left w:val="none" w:sz="0" w:space="0" w:color="auto"/>
        <w:bottom w:val="none" w:sz="0" w:space="0" w:color="auto"/>
        <w:right w:val="none" w:sz="0" w:space="0" w:color="auto"/>
      </w:divBdr>
    </w:div>
    <w:div w:id="1498690266">
      <w:bodyDiv w:val="1"/>
      <w:marLeft w:val="0"/>
      <w:marRight w:val="0"/>
      <w:marTop w:val="0"/>
      <w:marBottom w:val="0"/>
      <w:divBdr>
        <w:top w:val="none" w:sz="0" w:space="0" w:color="auto"/>
        <w:left w:val="none" w:sz="0" w:space="0" w:color="auto"/>
        <w:bottom w:val="none" w:sz="0" w:space="0" w:color="auto"/>
        <w:right w:val="none" w:sz="0" w:space="0" w:color="auto"/>
      </w:divBdr>
    </w:div>
    <w:div w:id="1498886338">
      <w:bodyDiv w:val="1"/>
      <w:marLeft w:val="0"/>
      <w:marRight w:val="0"/>
      <w:marTop w:val="0"/>
      <w:marBottom w:val="0"/>
      <w:divBdr>
        <w:top w:val="none" w:sz="0" w:space="0" w:color="auto"/>
        <w:left w:val="none" w:sz="0" w:space="0" w:color="auto"/>
        <w:bottom w:val="none" w:sz="0" w:space="0" w:color="auto"/>
        <w:right w:val="none" w:sz="0" w:space="0" w:color="auto"/>
      </w:divBdr>
    </w:div>
    <w:div w:id="1499035824">
      <w:bodyDiv w:val="1"/>
      <w:marLeft w:val="0"/>
      <w:marRight w:val="0"/>
      <w:marTop w:val="0"/>
      <w:marBottom w:val="0"/>
      <w:divBdr>
        <w:top w:val="none" w:sz="0" w:space="0" w:color="auto"/>
        <w:left w:val="none" w:sz="0" w:space="0" w:color="auto"/>
        <w:bottom w:val="none" w:sz="0" w:space="0" w:color="auto"/>
        <w:right w:val="none" w:sz="0" w:space="0" w:color="auto"/>
      </w:divBdr>
    </w:div>
    <w:div w:id="1499228550">
      <w:bodyDiv w:val="1"/>
      <w:marLeft w:val="0"/>
      <w:marRight w:val="0"/>
      <w:marTop w:val="0"/>
      <w:marBottom w:val="0"/>
      <w:divBdr>
        <w:top w:val="none" w:sz="0" w:space="0" w:color="auto"/>
        <w:left w:val="none" w:sz="0" w:space="0" w:color="auto"/>
        <w:bottom w:val="none" w:sz="0" w:space="0" w:color="auto"/>
        <w:right w:val="none" w:sz="0" w:space="0" w:color="auto"/>
      </w:divBdr>
    </w:div>
    <w:div w:id="1499270315">
      <w:bodyDiv w:val="1"/>
      <w:marLeft w:val="0"/>
      <w:marRight w:val="0"/>
      <w:marTop w:val="0"/>
      <w:marBottom w:val="0"/>
      <w:divBdr>
        <w:top w:val="none" w:sz="0" w:space="0" w:color="auto"/>
        <w:left w:val="none" w:sz="0" w:space="0" w:color="auto"/>
        <w:bottom w:val="none" w:sz="0" w:space="0" w:color="auto"/>
        <w:right w:val="none" w:sz="0" w:space="0" w:color="auto"/>
      </w:divBdr>
    </w:div>
    <w:div w:id="1499272915">
      <w:bodyDiv w:val="1"/>
      <w:marLeft w:val="0"/>
      <w:marRight w:val="0"/>
      <w:marTop w:val="0"/>
      <w:marBottom w:val="0"/>
      <w:divBdr>
        <w:top w:val="none" w:sz="0" w:space="0" w:color="auto"/>
        <w:left w:val="none" w:sz="0" w:space="0" w:color="auto"/>
        <w:bottom w:val="none" w:sz="0" w:space="0" w:color="auto"/>
        <w:right w:val="none" w:sz="0" w:space="0" w:color="auto"/>
      </w:divBdr>
    </w:div>
    <w:div w:id="1499464803">
      <w:bodyDiv w:val="1"/>
      <w:marLeft w:val="0"/>
      <w:marRight w:val="0"/>
      <w:marTop w:val="0"/>
      <w:marBottom w:val="0"/>
      <w:divBdr>
        <w:top w:val="none" w:sz="0" w:space="0" w:color="auto"/>
        <w:left w:val="none" w:sz="0" w:space="0" w:color="auto"/>
        <w:bottom w:val="none" w:sz="0" w:space="0" w:color="auto"/>
        <w:right w:val="none" w:sz="0" w:space="0" w:color="auto"/>
      </w:divBdr>
    </w:div>
    <w:div w:id="1499537658">
      <w:bodyDiv w:val="1"/>
      <w:marLeft w:val="0"/>
      <w:marRight w:val="0"/>
      <w:marTop w:val="0"/>
      <w:marBottom w:val="0"/>
      <w:divBdr>
        <w:top w:val="none" w:sz="0" w:space="0" w:color="auto"/>
        <w:left w:val="none" w:sz="0" w:space="0" w:color="auto"/>
        <w:bottom w:val="none" w:sz="0" w:space="0" w:color="auto"/>
        <w:right w:val="none" w:sz="0" w:space="0" w:color="auto"/>
      </w:divBdr>
    </w:div>
    <w:div w:id="1499538679">
      <w:bodyDiv w:val="1"/>
      <w:marLeft w:val="0"/>
      <w:marRight w:val="0"/>
      <w:marTop w:val="0"/>
      <w:marBottom w:val="0"/>
      <w:divBdr>
        <w:top w:val="none" w:sz="0" w:space="0" w:color="auto"/>
        <w:left w:val="none" w:sz="0" w:space="0" w:color="auto"/>
        <w:bottom w:val="none" w:sz="0" w:space="0" w:color="auto"/>
        <w:right w:val="none" w:sz="0" w:space="0" w:color="auto"/>
      </w:divBdr>
    </w:div>
    <w:div w:id="1499618099">
      <w:bodyDiv w:val="1"/>
      <w:marLeft w:val="0"/>
      <w:marRight w:val="0"/>
      <w:marTop w:val="0"/>
      <w:marBottom w:val="0"/>
      <w:divBdr>
        <w:top w:val="none" w:sz="0" w:space="0" w:color="auto"/>
        <w:left w:val="none" w:sz="0" w:space="0" w:color="auto"/>
        <w:bottom w:val="none" w:sz="0" w:space="0" w:color="auto"/>
        <w:right w:val="none" w:sz="0" w:space="0" w:color="auto"/>
      </w:divBdr>
    </w:div>
    <w:div w:id="1499729282">
      <w:bodyDiv w:val="1"/>
      <w:marLeft w:val="0"/>
      <w:marRight w:val="0"/>
      <w:marTop w:val="0"/>
      <w:marBottom w:val="0"/>
      <w:divBdr>
        <w:top w:val="none" w:sz="0" w:space="0" w:color="auto"/>
        <w:left w:val="none" w:sz="0" w:space="0" w:color="auto"/>
        <w:bottom w:val="none" w:sz="0" w:space="0" w:color="auto"/>
        <w:right w:val="none" w:sz="0" w:space="0" w:color="auto"/>
      </w:divBdr>
    </w:div>
    <w:div w:id="1499736006">
      <w:bodyDiv w:val="1"/>
      <w:marLeft w:val="0"/>
      <w:marRight w:val="0"/>
      <w:marTop w:val="0"/>
      <w:marBottom w:val="0"/>
      <w:divBdr>
        <w:top w:val="none" w:sz="0" w:space="0" w:color="auto"/>
        <w:left w:val="none" w:sz="0" w:space="0" w:color="auto"/>
        <w:bottom w:val="none" w:sz="0" w:space="0" w:color="auto"/>
        <w:right w:val="none" w:sz="0" w:space="0" w:color="auto"/>
      </w:divBdr>
    </w:div>
    <w:div w:id="1499884482">
      <w:bodyDiv w:val="1"/>
      <w:marLeft w:val="0"/>
      <w:marRight w:val="0"/>
      <w:marTop w:val="0"/>
      <w:marBottom w:val="0"/>
      <w:divBdr>
        <w:top w:val="none" w:sz="0" w:space="0" w:color="auto"/>
        <w:left w:val="none" w:sz="0" w:space="0" w:color="auto"/>
        <w:bottom w:val="none" w:sz="0" w:space="0" w:color="auto"/>
        <w:right w:val="none" w:sz="0" w:space="0" w:color="auto"/>
      </w:divBdr>
    </w:div>
    <w:div w:id="1500006011">
      <w:bodyDiv w:val="1"/>
      <w:marLeft w:val="0"/>
      <w:marRight w:val="0"/>
      <w:marTop w:val="0"/>
      <w:marBottom w:val="0"/>
      <w:divBdr>
        <w:top w:val="none" w:sz="0" w:space="0" w:color="auto"/>
        <w:left w:val="none" w:sz="0" w:space="0" w:color="auto"/>
        <w:bottom w:val="none" w:sz="0" w:space="0" w:color="auto"/>
        <w:right w:val="none" w:sz="0" w:space="0" w:color="auto"/>
      </w:divBdr>
    </w:div>
    <w:div w:id="1500191183">
      <w:bodyDiv w:val="1"/>
      <w:marLeft w:val="0"/>
      <w:marRight w:val="0"/>
      <w:marTop w:val="0"/>
      <w:marBottom w:val="0"/>
      <w:divBdr>
        <w:top w:val="none" w:sz="0" w:space="0" w:color="auto"/>
        <w:left w:val="none" w:sz="0" w:space="0" w:color="auto"/>
        <w:bottom w:val="none" w:sz="0" w:space="0" w:color="auto"/>
        <w:right w:val="none" w:sz="0" w:space="0" w:color="auto"/>
      </w:divBdr>
    </w:div>
    <w:div w:id="1500194406">
      <w:bodyDiv w:val="1"/>
      <w:marLeft w:val="0"/>
      <w:marRight w:val="0"/>
      <w:marTop w:val="0"/>
      <w:marBottom w:val="0"/>
      <w:divBdr>
        <w:top w:val="none" w:sz="0" w:space="0" w:color="auto"/>
        <w:left w:val="none" w:sz="0" w:space="0" w:color="auto"/>
        <w:bottom w:val="none" w:sz="0" w:space="0" w:color="auto"/>
        <w:right w:val="none" w:sz="0" w:space="0" w:color="auto"/>
      </w:divBdr>
    </w:div>
    <w:div w:id="1500195370">
      <w:bodyDiv w:val="1"/>
      <w:marLeft w:val="0"/>
      <w:marRight w:val="0"/>
      <w:marTop w:val="0"/>
      <w:marBottom w:val="0"/>
      <w:divBdr>
        <w:top w:val="none" w:sz="0" w:space="0" w:color="auto"/>
        <w:left w:val="none" w:sz="0" w:space="0" w:color="auto"/>
        <w:bottom w:val="none" w:sz="0" w:space="0" w:color="auto"/>
        <w:right w:val="none" w:sz="0" w:space="0" w:color="auto"/>
      </w:divBdr>
    </w:div>
    <w:div w:id="1500197562">
      <w:bodyDiv w:val="1"/>
      <w:marLeft w:val="0"/>
      <w:marRight w:val="0"/>
      <w:marTop w:val="0"/>
      <w:marBottom w:val="0"/>
      <w:divBdr>
        <w:top w:val="none" w:sz="0" w:space="0" w:color="auto"/>
        <w:left w:val="none" w:sz="0" w:space="0" w:color="auto"/>
        <w:bottom w:val="none" w:sz="0" w:space="0" w:color="auto"/>
        <w:right w:val="none" w:sz="0" w:space="0" w:color="auto"/>
      </w:divBdr>
    </w:div>
    <w:div w:id="1500343465">
      <w:bodyDiv w:val="1"/>
      <w:marLeft w:val="0"/>
      <w:marRight w:val="0"/>
      <w:marTop w:val="0"/>
      <w:marBottom w:val="0"/>
      <w:divBdr>
        <w:top w:val="none" w:sz="0" w:space="0" w:color="auto"/>
        <w:left w:val="none" w:sz="0" w:space="0" w:color="auto"/>
        <w:bottom w:val="none" w:sz="0" w:space="0" w:color="auto"/>
        <w:right w:val="none" w:sz="0" w:space="0" w:color="auto"/>
      </w:divBdr>
    </w:div>
    <w:div w:id="1500584702">
      <w:bodyDiv w:val="1"/>
      <w:marLeft w:val="0"/>
      <w:marRight w:val="0"/>
      <w:marTop w:val="0"/>
      <w:marBottom w:val="0"/>
      <w:divBdr>
        <w:top w:val="none" w:sz="0" w:space="0" w:color="auto"/>
        <w:left w:val="none" w:sz="0" w:space="0" w:color="auto"/>
        <w:bottom w:val="none" w:sz="0" w:space="0" w:color="auto"/>
        <w:right w:val="none" w:sz="0" w:space="0" w:color="auto"/>
      </w:divBdr>
    </w:div>
    <w:div w:id="1500804813">
      <w:bodyDiv w:val="1"/>
      <w:marLeft w:val="0"/>
      <w:marRight w:val="0"/>
      <w:marTop w:val="0"/>
      <w:marBottom w:val="0"/>
      <w:divBdr>
        <w:top w:val="none" w:sz="0" w:space="0" w:color="auto"/>
        <w:left w:val="none" w:sz="0" w:space="0" w:color="auto"/>
        <w:bottom w:val="none" w:sz="0" w:space="0" w:color="auto"/>
        <w:right w:val="none" w:sz="0" w:space="0" w:color="auto"/>
      </w:divBdr>
    </w:div>
    <w:div w:id="1500805941">
      <w:bodyDiv w:val="1"/>
      <w:marLeft w:val="0"/>
      <w:marRight w:val="0"/>
      <w:marTop w:val="0"/>
      <w:marBottom w:val="0"/>
      <w:divBdr>
        <w:top w:val="none" w:sz="0" w:space="0" w:color="auto"/>
        <w:left w:val="none" w:sz="0" w:space="0" w:color="auto"/>
        <w:bottom w:val="none" w:sz="0" w:space="0" w:color="auto"/>
        <w:right w:val="none" w:sz="0" w:space="0" w:color="auto"/>
      </w:divBdr>
    </w:div>
    <w:div w:id="1500806882">
      <w:bodyDiv w:val="1"/>
      <w:marLeft w:val="0"/>
      <w:marRight w:val="0"/>
      <w:marTop w:val="0"/>
      <w:marBottom w:val="0"/>
      <w:divBdr>
        <w:top w:val="none" w:sz="0" w:space="0" w:color="auto"/>
        <w:left w:val="none" w:sz="0" w:space="0" w:color="auto"/>
        <w:bottom w:val="none" w:sz="0" w:space="0" w:color="auto"/>
        <w:right w:val="none" w:sz="0" w:space="0" w:color="auto"/>
      </w:divBdr>
    </w:div>
    <w:div w:id="1501042853">
      <w:bodyDiv w:val="1"/>
      <w:marLeft w:val="0"/>
      <w:marRight w:val="0"/>
      <w:marTop w:val="0"/>
      <w:marBottom w:val="0"/>
      <w:divBdr>
        <w:top w:val="none" w:sz="0" w:space="0" w:color="auto"/>
        <w:left w:val="none" w:sz="0" w:space="0" w:color="auto"/>
        <w:bottom w:val="none" w:sz="0" w:space="0" w:color="auto"/>
        <w:right w:val="none" w:sz="0" w:space="0" w:color="auto"/>
      </w:divBdr>
    </w:div>
    <w:div w:id="1501265001">
      <w:bodyDiv w:val="1"/>
      <w:marLeft w:val="0"/>
      <w:marRight w:val="0"/>
      <w:marTop w:val="0"/>
      <w:marBottom w:val="0"/>
      <w:divBdr>
        <w:top w:val="none" w:sz="0" w:space="0" w:color="auto"/>
        <w:left w:val="none" w:sz="0" w:space="0" w:color="auto"/>
        <w:bottom w:val="none" w:sz="0" w:space="0" w:color="auto"/>
        <w:right w:val="none" w:sz="0" w:space="0" w:color="auto"/>
      </w:divBdr>
    </w:div>
    <w:div w:id="1501316546">
      <w:bodyDiv w:val="1"/>
      <w:marLeft w:val="0"/>
      <w:marRight w:val="0"/>
      <w:marTop w:val="0"/>
      <w:marBottom w:val="0"/>
      <w:divBdr>
        <w:top w:val="none" w:sz="0" w:space="0" w:color="auto"/>
        <w:left w:val="none" w:sz="0" w:space="0" w:color="auto"/>
        <w:bottom w:val="none" w:sz="0" w:space="0" w:color="auto"/>
        <w:right w:val="none" w:sz="0" w:space="0" w:color="auto"/>
      </w:divBdr>
    </w:div>
    <w:div w:id="1501580409">
      <w:bodyDiv w:val="1"/>
      <w:marLeft w:val="0"/>
      <w:marRight w:val="0"/>
      <w:marTop w:val="0"/>
      <w:marBottom w:val="0"/>
      <w:divBdr>
        <w:top w:val="none" w:sz="0" w:space="0" w:color="auto"/>
        <w:left w:val="none" w:sz="0" w:space="0" w:color="auto"/>
        <w:bottom w:val="none" w:sz="0" w:space="0" w:color="auto"/>
        <w:right w:val="none" w:sz="0" w:space="0" w:color="auto"/>
      </w:divBdr>
    </w:div>
    <w:div w:id="1501772674">
      <w:bodyDiv w:val="1"/>
      <w:marLeft w:val="0"/>
      <w:marRight w:val="0"/>
      <w:marTop w:val="0"/>
      <w:marBottom w:val="0"/>
      <w:divBdr>
        <w:top w:val="none" w:sz="0" w:space="0" w:color="auto"/>
        <w:left w:val="none" w:sz="0" w:space="0" w:color="auto"/>
        <w:bottom w:val="none" w:sz="0" w:space="0" w:color="auto"/>
        <w:right w:val="none" w:sz="0" w:space="0" w:color="auto"/>
      </w:divBdr>
    </w:div>
    <w:div w:id="1501849648">
      <w:bodyDiv w:val="1"/>
      <w:marLeft w:val="0"/>
      <w:marRight w:val="0"/>
      <w:marTop w:val="0"/>
      <w:marBottom w:val="0"/>
      <w:divBdr>
        <w:top w:val="none" w:sz="0" w:space="0" w:color="auto"/>
        <w:left w:val="none" w:sz="0" w:space="0" w:color="auto"/>
        <w:bottom w:val="none" w:sz="0" w:space="0" w:color="auto"/>
        <w:right w:val="none" w:sz="0" w:space="0" w:color="auto"/>
      </w:divBdr>
    </w:div>
    <w:div w:id="1501895063">
      <w:bodyDiv w:val="1"/>
      <w:marLeft w:val="0"/>
      <w:marRight w:val="0"/>
      <w:marTop w:val="0"/>
      <w:marBottom w:val="0"/>
      <w:divBdr>
        <w:top w:val="none" w:sz="0" w:space="0" w:color="auto"/>
        <w:left w:val="none" w:sz="0" w:space="0" w:color="auto"/>
        <w:bottom w:val="none" w:sz="0" w:space="0" w:color="auto"/>
        <w:right w:val="none" w:sz="0" w:space="0" w:color="auto"/>
      </w:divBdr>
    </w:div>
    <w:div w:id="1502501346">
      <w:bodyDiv w:val="1"/>
      <w:marLeft w:val="0"/>
      <w:marRight w:val="0"/>
      <w:marTop w:val="0"/>
      <w:marBottom w:val="0"/>
      <w:divBdr>
        <w:top w:val="none" w:sz="0" w:space="0" w:color="auto"/>
        <w:left w:val="none" w:sz="0" w:space="0" w:color="auto"/>
        <w:bottom w:val="none" w:sz="0" w:space="0" w:color="auto"/>
        <w:right w:val="none" w:sz="0" w:space="0" w:color="auto"/>
      </w:divBdr>
    </w:div>
    <w:div w:id="1502576194">
      <w:bodyDiv w:val="1"/>
      <w:marLeft w:val="0"/>
      <w:marRight w:val="0"/>
      <w:marTop w:val="0"/>
      <w:marBottom w:val="0"/>
      <w:divBdr>
        <w:top w:val="none" w:sz="0" w:space="0" w:color="auto"/>
        <w:left w:val="none" w:sz="0" w:space="0" w:color="auto"/>
        <w:bottom w:val="none" w:sz="0" w:space="0" w:color="auto"/>
        <w:right w:val="none" w:sz="0" w:space="0" w:color="auto"/>
      </w:divBdr>
    </w:div>
    <w:div w:id="1502623138">
      <w:bodyDiv w:val="1"/>
      <w:marLeft w:val="0"/>
      <w:marRight w:val="0"/>
      <w:marTop w:val="0"/>
      <w:marBottom w:val="0"/>
      <w:divBdr>
        <w:top w:val="none" w:sz="0" w:space="0" w:color="auto"/>
        <w:left w:val="none" w:sz="0" w:space="0" w:color="auto"/>
        <w:bottom w:val="none" w:sz="0" w:space="0" w:color="auto"/>
        <w:right w:val="none" w:sz="0" w:space="0" w:color="auto"/>
      </w:divBdr>
    </w:div>
    <w:div w:id="1502769640">
      <w:bodyDiv w:val="1"/>
      <w:marLeft w:val="0"/>
      <w:marRight w:val="0"/>
      <w:marTop w:val="0"/>
      <w:marBottom w:val="0"/>
      <w:divBdr>
        <w:top w:val="none" w:sz="0" w:space="0" w:color="auto"/>
        <w:left w:val="none" w:sz="0" w:space="0" w:color="auto"/>
        <w:bottom w:val="none" w:sz="0" w:space="0" w:color="auto"/>
        <w:right w:val="none" w:sz="0" w:space="0" w:color="auto"/>
      </w:divBdr>
    </w:div>
    <w:div w:id="1502814887">
      <w:bodyDiv w:val="1"/>
      <w:marLeft w:val="0"/>
      <w:marRight w:val="0"/>
      <w:marTop w:val="0"/>
      <w:marBottom w:val="0"/>
      <w:divBdr>
        <w:top w:val="none" w:sz="0" w:space="0" w:color="auto"/>
        <w:left w:val="none" w:sz="0" w:space="0" w:color="auto"/>
        <w:bottom w:val="none" w:sz="0" w:space="0" w:color="auto"/>
        <w:right w:val="none" w:sz="0" w:space="0" w:color="auto"/>
      </w:divBdr>
    </w:div>
    <w:div w:id="1502938258">
      <w:bodyDiv w:val="1"/>
      <w:marLeft w:val="0"/>
      <w:marRight w:val="0"/>
      <w:marTop w:val="0"/>
      <w:marBottom w:val="0"/>
      <w:divBdr>
        <w:top w:val="none" w:sz="0" w:space="0" w:color="auto"/>
        <w:left w:val="none" w:sz="0" w:space="0" w:color="auto"/>
        <w:bottom w:val="none" w:sz="0" w:space="0" w:color="auto"/>
        <w:right w:val="none" w:sz="0" w:space="0" w:color="auto"/>
      </w:divBdr>
    </w:div>
    <w:div w:id="1503161593">
      <w:bodyDiv w:val="1"/>
      <w:marLeft w:val="0"/>
      <w:marRight w:val="0"/>
      <w:marTop w:val="0"/>
      <w:marBottom w:val="0"/>
      <w:divBdr>
        <w:top w:val="none" w:sz="0" w:space="0" w:color="auto"/>
        <w:left w:val="none" w:sz="0" w:space="0" w:color="auto"/>
        <w:bottom w:val="none" w:sz="0" w:space="0" w:color="auto"/>
        <w:right w:val="none" w:sz="0" w:space="0" w:color="auto"/>
      </w:divBdr>
    </w:div>
    <w:div w:id="1503199278">
      <w:bodyDiv w:val="1"/>
      <w:marLeft w:val="0"/>
      <w:marRight w:val="0"/>
      <w:marTop w:val="0"/>
      <w:marBottom w:val="0"/>
      <w:divBdr>
        <w:top w:val="none" w:sz="0" w:space="0" w:color="auto"/>
        <w:left w:val="none" w:sz="0" w:space="0" w:color="auto"/>
        <w:bottom w:val="none" w:sz="0" w:space="0" w:color="auto"/>
        <w:right w:val="none" w:sz="0" w:space="0" w:color="auto"/>
      </w:divBdr>
    </w:div>
    <w:div w:id="1503278067">
      <w:bodyDiv w:val="1"/>
      <w:marLeft w:val="0"/>
      <w:marRight w:val="0"/>
      <w:marTop w:val="0"/>
      <w:marBottom w:val="0"/>
      <w:divBdr>
        <w:top w:val="none" w:sz="0" w:space="0" w:color="auto"/>
        <w:left w:val="none" w:sz="0" w:space="0" w:color="auto"/>
        <w:bottom w:val="none" w:sz="0" w:space="0" w:color="auto"/>
        <w:right w:val="none" w:sz="0" w:space="0" w:color="auto"/>
      </w:divBdr>
    </w:div>
    <w:div w:id="1503427534">
      <w:bodyDiv w:val="1"/>
      <w:marLeft w:val="0"/>
      <w:marRight w:val="0"/>
      <w:marTop w:val="0"/>
      <w:marBottom w:val="0"/>
      <w:divBdr>
        <w:top w:val="none" w:sz="0" w:space="0" w:color="auto"/>
        <w:left w:val="none" w:sz="0" w:space="0" w:color="auto"/>
        <w:bottom w:val="none" w:sz="0" w:space="0" w:color="auto"/>
        <w:right w:val="none" w:sz="0" w:space="0" w:color="auto"/>
      </w:divBdr>
    </w:div>
    <w:div w:id="1503663459">
      <w:bodyDiv w:val="1"/>
      <w:marLeft w:val="0"/>
      <w:marRight w:val="0"/>
      <w:marTop w:val="0"/>
      <w:marBottom w:val="0"/>
      <w:divBdr>
        <w:top w:val="none" w:sz="0" w:space="0" w:color="auto"/>
        <w:left w:val="none" w:sz="0" w:space="0" w:color="auto"/>
        <w:bottom w:val="none" w:sz="0" w:space="0" w:color="auto"/>
        <w:right w:val="none" w:sz="0" w:space="0" w:color="auto"/>
      </w:divBdr>
    </w:div>
    <w:div w:id="1503665616">
      <w:bodyDiv w:val="1"/>
      <w:marLeft w:val="0"/>
      <w:marRight w:val="0"/>
      <w:marTop w:val="0"/>
      <w:marBottom w:val="0"/>
      <w:divBdr>
        <w:top w:val="none" w:sz="0" w:space="0" w:color="auto"/>
        <w:left w:val="none" w:sz="0" w:space="0" w:color="auto"/>
        <w:bottom w:val="none" w:sz="0" w:space="0" w:color="auto"/>
        <w:right w:val="none" w:sz="0" w:space="0" w:color="auto"/>
      </w:divBdr>
    </w:div>
    <w:div w:id="1504004702">
      <w:bodyDiv w:val="1"/>
      <w:marLeft w:val="0"/>
      <w:marRight w:val="0"/>
      <w:marTop w:val="0"/>
      <w:marBottom w:val="0"/>
      <w:divBdr>
        <w:top w:val="none" w:sz="0" w:space="0" w:color="auto"/>
        <w:left w:val="none" w:sz="0" w:space="0" w:color="auto"/>
        <w:bottom w:val="none" w:sz="0" w:space="0" w:color="auto"/>
        <w:right w:val="none" w:sz="0" w:space="0" w:color="auto"/>
      </w:divBdr>
    </w:div>
    <w:div w:id="1504126750">
      <w:bodyDiv w:val="1"/>
      <w:marLeft w:val="0"/>
      <w:marRight w:val="0"/>
      <w:marTop w:val="0"/>
      <w:marBottom w:val="0"/>
      <w:divBdr>
        <w:top w:val="none" w:sz="0" w:space="0" w:color="auto"/>
        <w:left w:val="none" w:sz="0" w:space="0" w:color="auto"/>
        <w:bottom w:val="none" w:sz="0" w:space="0" w:color="auto"/>
        <w:right w:val="none" w:sz="0" w:space="0" w:color="auto"/>
      </w:divBdr>
    </w:div>
    <w:div w:id="1504200696">
      <w:bodyDiv w:val="1"/>
      <w:marLeft w:val="0"/>
      <w:marRight w:val="0"/>
      <w:marTop w:val="0"/>
      <w:marBottom w:val="0"/>
      <w:divBdr>
        <w:top w:val="none" w:sz="0" w:space="0" w:color="auto"/>
        <w:left w:val="none" w:sz="0" w:space="0" w:color="auto"/>
        <w:bottom w:val="none" w:sz="0" w:space="0" w:color="auto"/>
        <w:right w:val="none" w:sz="0" w:space="0" w:color="auto"/>
      </w:divBdr>
    </w:div>
    <w:div w:id="1504275341">
      <w:bodyDiv w:val="1"/>
      <w:marLeft w:val="0"/>
      <w:marRight w:val="0"/>
      <w:marTop w:val="0"/>
      <w:marBottom w:val="0"/>
      <w:divBdr>
        <w:top w:val="none" w:sz="0" w:space="0" w:color="auto"/>
        <w:left w:val="none" w:sz="0" w:space="0" w:color="auto"/>
        <w:bottom w:val="none" w:sz="0" w:space="0" w:color="auto"/>
        <w:right w:val="none" w:sz="0" w:space="0" w:color="auto"/>
      </w:divBdr>
    </w:div>
    <w:div w:id="1504275532">
      <w:bodyDiv w:val="1"/>
      <w:marLeft w:val="0"/>
      <w:marRight w:val="0"/>
      <w:marTop w:val="0"/>
      <w:marBottom w:val="0"/>
      <w:divBdr>
        <w:top w:val="none" w:sz="0" w:space="0" w:color="auto"/>
        <w:left w:val="none" w:sz="0" w:space="0" w:color="auto"/>
        <w:bottom w:val="none" w:sz="0" w:space="0" w:color="auto"/>
        <w:right w:val="none" w:sz="0" w:space="0" w:color="auto"/>
      </w:divBdr>
    </w:div>
    <w:div w:id="1504321173">
      <w:bodyDiv w:val="1"/>
      <w:marLeft w:val="0"/>
      <w:marRight w:val="0"/>
      <w:marTop w:val="0"/>
      <w:marBottom w:val="0"/>
      <w:divBdr>
        <w:top w:val="none" w:sz="0" w:space="0" w:color="auto"/>
        <w:left w:val="none" w:sz="0" w:space="0" w:color="auto"/>
        <w:bottom w:val="none" w:sz="0" w:space="0" w:color="auto"/>
        <w:right w:val="none" w:sz="0" w:space="0" w:color="auto"/>
      </w:divBdr>
    </w:div>
    <w:div w:id="1504473454">
      <w:bodyDiv w:val="1"/>
      <w:marLeft w:val="0"/>
      <w:marRight w:val="0"/>
      <w:marTop w:val="0"/>
      <w:marBottom w:val="0"/>
      <w:divBdr>
        <w:top w:val="none" w:sz="0" w:space="0" w:color="auto"/>
        <w:left w:val="none" w:sz="0" w:space="0" w:color="auto"/>
        <w:bottom w:val="none" w:sz="0" w:space="0" w:color="auto"/>
        <w:right w:val="none" w:sz="0" w:space="0" w:color="auto"/>
      </w:divBdr>
    </w:div>
    <w:div w:id="1504583815">
      <w:bodyDiv w:val="1"/>
      <w:marLeft w:val="0"/>
      <w:marRight w:val="0"/>
      <w:marTop w:val="0"/>
      <w:marBottom w:val="0"/>
      <w:divBdr>
        <w:top w:val="none" w:sz="0" w:space="0" w:color="auto"/>
        <w:left w:val="none" w:sz="0" w:space="0" w:color="auto"/>
        <w:bottom w:val="none" w:sz="0" w:space="0" w:color="auto"/>
        <w:right w:val="none" w:sz="0" w:space="0" w:color="auto"/>
      </w:divBdr>
    </w:div>
    <w:div w:id="1504659118">
      <w:bodyDiv w:val="1"/>
      <w:marLeft w:val="0"/>
      <w:marRight w:val="0"/>
      <w:marTop w:val="0"/>
      <w:marBottom w:val="0"/>
      <w:divBdr>
        <w:top w:val="none" w:sz="0" w:space="0" w:color="auto"/>
        <w:left w:val="none" w:sz="0" w:space="0" w:color="auto"/>
        <w:bottom w:val="none" w:sz="0" w:space="0" w:color="auto"/>
        <w:right w:val="none" w:sz="0" w:space="0" w:color="auto"/>
      </w:divBdr>
    </w:div>
    <w:div w:id="1504659497">
      <w:bodyDiv w:val="1"/>
      <w:marLeft w:val="0"/>
      <w:marRight w:val="0"/>
      <w:marTop w:val="0"/>
      <w:marBottom w:val="0"/>
      <w:divBdr>
        <w:top w:val="none" w:sz="0" w:space="0" w:color="auto"/>
        <w:left w:val="none" w:sz="0" w:space="0" w:color="auto"/>
        <w:bottom w:val="none" w:sz="0" w:space="0" w:color="auto"/>
        <w:right w:val="none" w:sz="0" w:space="0" w:color="auto"/>
      </w:divBdr>
    </w:div>
    <w:div w:id="1504852632">
      <w:bodyDiv w:val="1"/>
      <w:marLeft w:val="0"/>
      <w:marRight w:val="0"/>
      <w:marTop w:val="0"/>
      <w:marBottom w:val="0"/>
      <w:divBdr>
        <w:top w:val="none" w:sz="0" w:space="0" w:color="auto"/>
        <w:left w:val="none" w:sz="0" w:space="0" w:color="auto"/>
        <w:bottom w:val="none" w:sz="0" w:space="0" w:color="auto"/>
        <w:right w:val="none" w:sz="0" w:space="0" w:color="auto"/>
      </w:divBdr>
    </w:div>
    <w:div w:id="1504856412">
      <w:bodyDiv w:val="1"/>
      <w:marLeft w:val="0"/>
      <w:marRight w:val="0"/>
      <w:marTop w:val="0"/>
      <w:marBottom w:val="0"/>
      <w:divBdr>
        <w:top w:val="none" w:sz="0" w:space="0" w:color="auto"/>
        <w:left w:val="none" w:sz="0" w:space="0" w:color="auto"/>
        <w:bottom w:val="none" w:sz="0" w:space="0" w:color="auto"/>
        <w:right w:val="none" w:sz="0" w:space="0" w:color="auto"/>
      </w:divBdr>
    </w:div>
    <w:div w:id="1505126121">
      <w:bodyDiv w:val="1"/>
      <w:marLeft w:val="0"/>
      <w:marRight w:val="0"/>
      <w:marTop w:val="0"/>
      <w:marBottom w:val="0"/>
      <w:divBdr>
        <w:top w:val="none" w:sz="0" w:space="0" w:color="auto"/>
        <w:left w:val="none" w:sz="0" w:space="0" w:color="auto"/>
        <w:bottom w:val="none" w:sz="0" w:space="0" w:color="auto"/>
        <w:right w:val="none" w:sz="0" w:space="0" w:color="auto"/>
      </w:divBdr>
    </w:div>
    <w:div w:id="1505316685">
      <w:bodyDiv w:val="1"/>
      <w:marLeft w:val="0"/>
      <w:marRight w:val="0"/>
      <w:marTop w:val="0"/>
      <w:marBottom w:val="0"/>
      <w:divBdr>
        <w:top w:val="none" w:sz="0" w:space="0" w:color="auto"/>
        <w:left w:val="none" w:sz="0" w:space="0" w:color="auto"/>
        <w:bottom w:val="none" w:sz="0" w:space="0" w:color="auto"/>
        <w:right w:val="none" w:sz="0" w:space="0" w:color="auto"/>
      </w:divBdr>
    </w:div>
    <w:div w:id="1505365468">
      <w:bodyDiv w:val="1"/>
      <w:marLeft w:val="0"/>
      <w:marRight w:val="0"/>
      <w:marTop w:val="0"/>
      <w:marBottom w:val="0"/>
      <w:divBdr>
        <w:top w:val="none" w:sz="0" w:space="0" w:color="auto"/>
        <w:left w:val="none" w:sz="0" w:space="0" w:color="auto"/>
        <w:bottom w:val="none" w:sz="0" w:space="0" w:color="auto"/>
        <w:right w:val="none" w:sz="0" w:space="0" w:color="auto"/>
      </w:divBdr>
    </w:div>
    <w:div w:id="1505434291">
      <w:bodyDiv w:val="1"/>
      <w:marLeft w:val="0"/>
      <w:marRight w:val="0"/>
      <w:marTop w:val="0"/>
      <w:marBottom w:val="0"/>
      <w:divBdr>
        <w:top w:val="none" w:sz="0" w:space="0" w:color="auto"/>
        <w:left w:val="none" w:sz="0" w:space="0" w:color="auto"/>
        <w:bottom w:val="none" w:sz="0" w:space="0" w:color="auto"/>
        <w:right w:val="none" w:sz="0" w:space="0" w:color="auto"/>
      </w:divBdr>
    </w:div>
    <w:div w:id="1505511677">
      <w:bodyDiv w:val="1"/>
      <w:marLeft w:val="0"/>
      <w:marRight w:val="0"/>
      <w:marTop w:val="0"/>
      <w:marBottom w:val="0"/>
      <w:divBdr>
        <w:top w:val="none" w:sz="0" w:space="0" w:color="auto"/>
        <w:left w:val="none" w:sz="0" w:space="0" w:color="auto"/>
        <w:bottom w:val="none" w:sz="0" w:space="0" w:color="auto"/>
        <w:right w:val="none" w:sz="0" w:space="0" w:color="auto"/>
      </w:divBdr>
    </w:div>
    <w:div w:id="1505516027">
      <w:bodyDiv w:val="1"/>
      <w:marLeft w:val="0"/>
      <w:marRight w:val="0"/>
      <w:marTop w:val="0"/>
      <w:marBottom w:val="0"/>
      <w:divBdr>
        <w:top w:val="none" w:sz="0" w:space="0" w:color="auto"/>
        <w:left w:val="none" w:sz="0" w:space="0" w:color="auto"/>
        <w:bottom w:val="none" w:sz="0" w:space="0" w:color="auto"/>
        <w:right w:val="none" w:sz="0" w:space="0" w:color="auto"/>
      </w:divBdr>
    </w:div>
    <w:div w:id="1505587922">
      <w:bodyDiv w:val="1"/>
      <w:marLeft w:val="0"/>
      <w:marRight w:val="0"/>
      <w:marTop w:val="0"/>
      <w:marBottom w:val="0"/>
      <w:divBdr>
        <w:top w:val="none" w:sz="0" w:space="0" w:color="auto"/>
        <w:left w:val="none" w:sz="0" w:space="0" w:color="auto"/>
        <w:bottom w:val="none" w:sz="0" w:space="0" w:color="auto"/>
        <w:right w:val="none" w:sz="0" w:space="0" w:color="auto"/>
      </w:divBdr>
    </w:div>
    <w:div w:id="1505631378">
      <w:bodyDiv w:val="1"/>
      <w:marLeft w:val="0"/>
      <w:marRight w:val="0"/>
      <w:marTop w:val="0"/>
      <w:marBottom w:val="0"/>
      <w:divBdr>
        <w:top w:val="none" w:sz="0" w:space="0" w:color="auto"/>
        <w:left w:val="none" w:sz="0" w:space="0" w:color="auto"/>
        <w:bottom w:val="none" w:sz="0" w:space="0" w:color="auto"/>
        <w:right w:val="none" w:sz="0" w:space="0" w:color="auto"/>
      </w:divBdr>
    </w:div>
    <w:div w:id="1506018268">
      <w:bodyDiv w:val="1"/>
      <w:marLeft w:val="0"/>
      <w:marRight w:val="0"/>
      <w:marTop w:val="0"/>
      <w:marBottom w:val="0"/>
      <w:divBdr>
        <w:top w:val="none" w:sz="0" w:space="0" w:color="auto"/>
        <w:left w:val="none" w:sz="0" w:space="0" w:color="auto"/>
        <w:bottom w:val="none" w:sz="0" w:space="0" w:color="auto"/>
        <w:right w:val="none" w:sz="0" w:space="0" w:color="auto"/>
      </w:divBdr>
    </w:div>
    <w:div w:id="1506095373">
      <w:bodyDiv w:val="1"/>
      <w:marLeft w:val="0"/>
      <w:marRight w:val="0"/>
      <w:marTop w:val="0"/>
      <w:marBottom w:val="0"/>
      <w:divBdr>
        <w:top w:val="none" w:sz="0" w:space="0" w:color="auto"/>
        <w:left w:val="none" w:sz="0" w:space="0" w:color="auto"/>
        <w:bottom w:val="none" w:sz="0" w:space="0" w:color="auto"/>
        <w:right w:val="none" w:sz="0" w:space="0" w:color="auto"/>
      </w:divBdr>
    </w:div>
    <w:div w:id="1506239002">
      <w:bodyDiv w:val="1"/>
      <w:marLeft w:val="0"/>
      <w:marRight w:val="0"/>
      <w:marTop w:val="0"/>
      <w:marBottom w:val="0"/>
      <w:divBdr>
        <w:top w:val="none" w:sz="0" w:space="0" w:color="auto"/>
        <w:left w:val="none" w:sz="0" w:space="0" w:color="auto"/>
        <w:bottom w:val="none" w:sz="0" w:space="0" w:color="auto"/>
        <w:right w:val="none" w:sz="0" w:space="0" w:color="auto"/>
      </w:divBdr>
    </w:div>
    <w:div w:id="1506287323">
      <w:bodyDiv w:val="1"/>
      <w:marLeft w:val="0"/>
      <w:marRight w:val="0"/>
      <w:marTop w:val="0"/>
      <w:marBottom w:val="0"/>
      <w:divBdr>
        <w:top w:val="none" w:sz="0" w:space="0" w:color="auto"/>
        <w:left w:val="none" w:sz="0" w:space="0" w:color="auto"/>
        <w:bottom w:val="none" w:sz="0" w:space="0" w:color="auto"/>
        <w:right w:val="none" w:sz="0" w:space="0" w:color="auto"/>
      </w:divBdr>
    </w:div>
    <w:div w:id="1506436939">
      <w:bodyDiv w:val="1"/>
      <w:marLeft w:val="0"/>
      <w:marRight w:val="0"/>
      <w:marTop w:val="0"/>
      <w:marBottom w:val="0"/>
      <w:divBdr>
        <w:top w:val="none" w:sz="0" w:space="0" w:color="auto"/>
        <w:left w:val="none" w:sz="0" w:space="0" w:color="auto"/>
        <w:bottom w:val="none" w:sz="0" w:space="0" w:color="auto"/>
        <w:right w:val="none" w:sz="0" w:space="0" w:color="auto"/>
      </w:divBdr>
    </w:div>
    <w:div w:id="1506478808">
      <w:bodyDiv w:val="1"/>
      <w:marLeft w:val="0"/>
      <w:marRight w:val="0"/>
      <w:marTop w:val="0"/>
      <w:marBottom w:val="0"/>
      <w:divBdr>
        <w:top w:val="none" w:sz="0" w:space="0" w:color="auto"/>
        <w:left w:val="none" w:sz="0" w:space="0" w:color="auto"/>
        <w:bottom w:val="none" w:sz="0" w:space="0" w:color="auto"/>
        <w:right w:val="none" w:sz="0" w:space="0" w:color="auto"/>
      </w:divBdr>
    </w:div>
    <w:div w:id="1506676284">
      <w:bodyDiv w:val="1"/>
      <w:marLeft w:val="0"/>
      <w:marRight w:val="0"/>
      <w:marTop w:val="0"/>
      <w:marBottom w:val="0"/>
      <w:divBdr>
        <w:top w:val="none" w:sz="0" w:space="0" w:color="auto"/>
        <w:left w:val="none" w:sz="0" w:space="0" w:color="auto"/>
        <w:bottom w:val="none" w:sz="0" w:space="0" w:color="auto"/>
        <w:right w:val="none" w:sz="0" w:space="0" w:color="auto"/>
      </w:divBdr>
    </w:div>
    <w:div w:id="1506749869">
      <w:bodyDiv w:val="1"/>
      <w:marLeft w:val="0"/>
      <w:marRight w:val="0"/>
      <w:marTop w:val="0"/>
      <w:marBottom w:val="0"/>
      <w:divBdr>
        <w:top w:val="none" w:sz="0" w:space="0" w:color="auto"/>
        <w:left w:val="none" w:sz="0" w:space="0" w:color="auto"/>
        <w:bottom w:val="none" w:sz="0" w:space="0" w:color="auto"/>
        <w:right w:val="none" w:sz="0" w:space="0" w:color="auto"/>
      </w:divBdr>
    </w:div>
    <w:div w:id="1506824317">
      <w:bodyDiv w:val="1"/>
      <w:marLeft w:val="0"/>
      <w:marRight w:val="0"/>
      <w:marTop w:val="0"/>
      <w:marBottom w:val="0"/>
      <w:divBdr>
        <w:top w:val="none" w:sz="0" w:space="0" w:color="auto"/>
        <w:left w:val="none" w:sz="0" w:space="0" w:color="auto"/>
        <w:bottom w:val="none" w:sz="0" w:space="0" w:color="auto"/>
        <w:right w:val="none" w:sz="0" w:space="0" w:color="auto"/>
      </w:divBdr>
    </w:div>
    <w:div w:id="1507211635">
      <w:bodyDiv w:val="1"/>
      <w:marLeft w:val="0"/>
      <w:marRight w:val="0"/>
      <w:marTop w:val="0"/>
      <w:marBottom w:val="0"/>
      <w:divBdr>
        <w:top w:val="none" w:sz="0" w:space="0" w:color="auto"/>
        <w:left w:val="none" w:sz="0" w:space="0" w:color="auto"/>
        <w:bottom w:val="none" w:sz="0" w:space="0" w:color="auto"/>
        <w:right w:val="none" w:sz="0" w:space="0" w:color="auto"/>
      </w:divBdr>
    </w:div>
    <w:div w:id="1507282090">
      <w:bodyDiv w:val="1"/>
      <w:marLeft w:val="0"/>
      <w:marRight w:val="0"/>
      <w:marTop w:val="0"/>
      <w:marBottom w:val="0"/>
      <w:divBdr>
        <w:top w:val="none" w:sz="0" w:space="0" w:color="auto"/>
        <w:left w:val="none" w:sz="0" w:space="0" w:color="auto"/>
        <w:bottom w:val="none" w:sz="0" w:space="0" w:color="auto"/>
        <w:right w:val="none" w:sz="0" w:space="0" w:color="auto"/>
      </w:divBdr>
    </w:div>
    <w:div w:id="1507282568">
      <w:bodyDiv w:val="1"/>
      <w:marLeft w:val="0"/>
      <w:marRight w:val="0"/>
      <w:marTop w:val="0"/>
      <w:marBottom w:val="0"/>
      <w:divBdr>
        <w:top w:val="none" w:sz="0" w:space="0" w:color="auto"/>
        <w:left w:val="none" w:sz="0" w:space="0" w:color="auto"/>
        <w:bottom w:val="none" w:sz="0" w:space="0" w:color="auto"/>
        <w:right w:val="none" w:sz="0" w:space="0" w:color="auto"/>
      </w:divBdr>
    </w:div>
    <w:div w:id="1507288862">
      <w:bodyDiv w:val="1"/>
      <w:marLeft w:val="0"/>
      <w:marRight w:val="0"/>
      <w:marTop w:val="0"/>
      <w:marBottom w:val="0"/>
      <w:divBdr>
        <w:top w:val="none" w:sz="0" w:space="0" w:color="auto"/>
        <w:left w:val="none" w:sz="0" w:space="0" w:color="auto"/>
        <w:bottom w:val="none" w:sz="0" w:space="0" w:color="auto"/>
        <w:right w:val="none" w:sz="0" w:space="0" w:color="auto"/>
      </w:divBdr>
    </w:div>
    <w:div w:id="1507548319">
      <w:bodyDiv w:val="1"/>
      <w:marLeft w:val="0"/>
      <w:marRight w:val="0"/>
      <w:marTop w:val="0"/>
      <w:marBottom w:val="0"/>
      <w:divBdr>
        <w:top w:val="none" w:sz="0" w:space="0" w:color="auto"/>
        <w:left w:val="none" w:sz="0" w:space="0" w:color="auto"/>
        <w:bottom w:val="none" w:sz="0" w:space="0" w:color="auto"/>
        <w:right w:val="none" w:sz="0" w:space="0" w:color="auto"/>
      </w:divBdr>
    </w:div>
    <w:div w:id="1507743407">
      <w:bodyDiv w:val="1"/>
      <w:marLeft w:val="0"/>
      <w:marRight w:val="0"/>
      <w:marTop w:val="0"/>
      <w:marBottom w:val="0"/>
      <w:divBdr>
        <w:top w:val="none" w:sz="0" w:space="0" w:color="auto"/>
        <w:left w:val="none" w:sz="0" w:space="0" w:color="auto"/>
        <w:bottom w:val="none" w:sz="0" w:space="0" w:color="auto"/>
        <w:right w:val="none" w:sz="0" w:space="0" w:color="auto"/>
      </w:divBdr>
    </w:div>
    <w:div w:id="1507817131">
      <w:bodyDiv w:val="1"/>
      <w:marLeft w:val="0"/>
      <w:marRight w:val="0"/>
      <w:marTop w:val="0"/>
      <w:marBottom w:val="0"/>
      <w:divBdr>
        <w:top w:val="none" w:sz="0" w:space="0" w:color="auto"/>
        <w:left w:val="none" w:sz="0" w:space="0" w:color="auto"/>
        <w:bottom w:val="none" w:sz="0" w:space="0" w:color="auto"/>
        <w:right w:val="none" w:sz="0" w:space="0" w:color="auto"/>
      </w:divBdr>
    </w:div>
    <w:div w:id="1507940489">
      <w:bodyDiv w:val="1"/>
      <w:marLeft w:val="0"/>
      <w:marRight w:val="0"/>
      <w:marTop w:val="0"/>
      <w:marBottom w:val="0"/>
      <w:divBdr>
        <w:top w:val="none" w:sz="0" w:space="0" w:color="auto"/>
        <w:left w:val="none" w:sz="0" w:space="0" w:color="auto"/>
        <w:bottom w:val="none" w:sz="0" w:space="0" w:color="auto"/>
        <w:right w:val="none" w:sz="0" w:space="0" w:color="auto"/>
      </w:divBdr>
    </w:div>
    <w:div w:id="1508136900">
      <w:bodyDiv w:val="1"/>
      <w:marLeft w:val="0"/>
      <w:marRight w:val="0"/>
      <w:marTop w:val="0"/>
      <w:marBottom w:val="0"/>
      <w:divBdr>
        <w:top w:val="none" w:sz="0" w:space="0" w:color="auto"/>
        <w:left w:val="none" w:sz="0" w:space="0" w:color="auto"/>
        <w:bottom w:val="none" w:sz="0" w:space="0" w:color="auto"/>
        <w:right w:val="none" w:sz="0" w:space="0" w:color="auto"/>
      </w:divBdr>
    </w:div>
    <w:div w:id="1508402785">
      <w:bodyDiv w:val="1"/>
      <w:marLeft w:val="0"/>
      <w:marRight w:val="0"/>
      <w:marTop w:val="0"/>
      <w:marBottom w:val="0"/>
      <w:divBdr>
        <w:top w:val="none" w:sz="0" w:space="0" w:color="auto"/>
        <w:left w:val="none" w:sz="0" w:space="0" w:color="auto"/>
        <w:bottom w:val="none" w:sz="0" w:space="0" w:color="auto"/>
        <w:right w:val="none" w:sz="0" w:space="0" w:color="auto"/>
      </w:divBdr>
    </w:div>
    <w:div w:id="1508518203">
      <w:bodyDiv w:val="1"/>
      <w:marLeft w:val="0"/>
      <w:marRight w:val="0"/>
      <w:marTop w:val="0"/>
      <w:marBottom w:val="0"/>
      <w:divBdr>
        <w:top w:val="none" w:sz="0" w:space="0" w:color="auto"/>
        <w:left w:val="none" w:sz="0" w:space="0" w:color="auto"/>
        <w:bottom w:val="none" w:sz="0" w:space="0" w:color="auto"/>
        <w:right w:val="none" w:sz="0" w:space="0" w:color="auto"/>
      </w:divBdr>
    </w:div>
    <w:div w:id="1508910270">
      <w:bodyDiv w:val="1"/>
      <w:marLeft w:val="0"/>
      <w:marRight w:val="0"/>
      <w:marTop w:val="0"/>
      <w:marBottom w:val="0"/>
      <w:divBdr>
        <w:top w:val="none" w:sz="0" w:space="0" w:color="auto"/>
        <w:left w:val="none" w:sz="0" w:space="0" w:color="auto"/>
        <w:bottom w:val="none" w:sz="0" w:space="0" w:color="auto"/>
        <w:right w:val="none" w:sz="0" w:space="0" w:color="auto"/>
      </w:divBdr>
    </w:div>
    <w:div w:id="1509101010">
      <w:bodyDiv w:val="1"/>
      <w:marLeft w:val="0"/>
      <w:marRight w:val="0"/>
      <w:marTop w:val="0"/>
      <w:marBottom w:val="0"/>
      <w:divBdr>
        <w:top w:val="none" w:sz="0" w:space="0" w:color="auto"/>
        <w:left w:val="none" w:sz="0" w:space="0" w:color="auto"/>
        <w:bottom w:val="none" w:sz="0" w:space="0" w:color="auto"/>
        <w:right w:val="none" w:sz="0" w:space="0" w:color="auto"/>
      </w:divBdr>
    </w:div>
    <w:div w:id="1509372104">
      <w:bodyDiv w:val="1"/>
      <w:marLeft w:val="0"/>
      <w:marRight w:val="0"/>
      <w:marTop w:val="0"/>
      <w:marBottom w:val="0"/>
      <w:divBdr>
        <w:top w:val="none" w:sz="0" w:space="0" w:color="auto"/>
        <w:left w:val="none" w:sz="0" w:space="0" w:color="auto"/>
        <w:bottom w:val="none" w:sz="0" w:space="0" w:color="auto"/>
        <w:right w:val="none" w:sz="0" w:space="0" w:color="auto"/>
      </w:divBdr>
    </w:div>
    <w:div w:id="1509446226">
      <w:bodyDiv w:val="1"/>
      <w:marLeft w:val="0"/>
      <w:marRight w:val="0"/>
      <w:marTop w:val="0"/>
      <w:marBottom w:val="0"/>
      <w:divBdr>
        <w:top w:val="none" w:sz="0" w:space="0" w:color="auto"/>
        <w:left w:val="none" w:sz="0" w:space="0" w:color="auto"/>
        <w:bottom w:val="none" w:sz="0" w:space="0" w:color="auto"/>
        <w:right w:val="none" w:sz="0" w:space="0" w:color="auto"/>
      </w:divBdr>
    </w:div>
    <w:div w:id="1509566471">
      <w:bodyDiv w:val="1"/>
      <w:marLeft w:val="0"/>
      <w:marRight w:val="0"/>
      <w:marTop w:val="0"/>
      <w:marBottom w:val="0"/>
      <w:divBdr>
        <w:top w:val="none" w:sz="0" w:space="0" w:color="auto"/>
        <w:left w:val="none" w:sz="0" w:space="0" w:color="auto"/>
        <w:bottom w:val="none" w:sz="0" w:space="0" w:color="auto"/>
        <w:right w:val="none" w:sz="0" w:space="0" w:color="auto"/>
      </w:divBdr>
    </w:div>
    <w:div w:id="1509632586">
      <w:bodyDiv w:val="1"/>
      <w:marLeft w:val="0"/>
      <w:marRight w:val="0"/>
      <w:marTop w:val="0"/>
      <w:marBottom w:val="0"/>
      <w:divBdr>
        <w:top w:val="none" w:sz="0" w:space="0" w:color="auto"/>
        <w:left w:val="none" w:sz="0" w:space="0" w:color="auto"/>
        <w:bottom w:val="none" w:sz="0" w:space="0" w:color="auto"/>
        <w:right w:val="none" w:sz="0" w:space="0" w:color="auto"/>
      </w:divBdr>
    </w:div>
    <w:div w:id="1509757958">
      <w:bodyDiv w:val="1"/>
      <w:marLeft w:val="0"/>
      <w:marRight w:val="0"/>
      <w:marTop w:val="0"/>
      <w:marBottom w:val="0"/>
      <w:divBdr>
        <w:top w:val="none" w:sz="0" w:space="0" w:color="auto"/>
        <w:left w:val="none" w:sz="0" w:space="0" w:color="auto"/>
        <w:bottom w:val="none" w:sz="0" w:space="0" w:color="auto"/>
        <w:right w:val="none" w:sz="0" w:space="0" w:color="auto"/>
      </w:divBdr>
    </w:div>
    <w:div w:id="1509909534">
      <w:bodyDiv w:val="1"/>
      <w:marLeft w:val="0"/>
      <w:marRight w:val="0"/>
      <w:marTop w:val="0"/>
      <w:marBottom w:val="0"/>
      <w:divBdr>
        <w:top w:val="none" w:sz="0" w:space="0" w:color="auto"/>
        <w:left w:val="none" w:sz="0" w:space="0" w:color="auto"/>
        <w:bottom w:val="none" w:sz="0" w:space="0" w:color="auto"/>
        <w:right w:val="none" w:sz="0" w:space="0" w:color="auto"/>
      </w:divBdr>
    </w:div>
    <w:div w:id="1510020040">
      <w:bodyDiv w:val="1"/>
      <w:marLeft w:val="0"/>
      <w:marRight w:val="0"/>
      <w:marTop w:val="0"/>
      <w:marBottom w:val="0"/>
      <w:divBdr>
        <w:top w:val="none" w:sz="0" w:space="0" w:color="auto"/>
        <w:left w:val="none" w:sz="0" w:space="0" w:color="auto"/>
        <w:bottom w:val="none" w:sz="0" w:space="0" w:color="auto"/>
        <w:right w:val="none" w:sz="0" w:space="0" w:color="auto"/>
      </w:divBdr>
    </w:div>
    <w:div w:id="1510171119">
      <w:bodyDiv w:val="1"/>
      <w:marLeft w:val="0"/>
      <w:marRight w:val="0"/>
      <w:marTop w:val="0"/>
      <w:marBottom w:val="0"/>
      <w:divBdr>
        <w:top w:val="none" w:sz="0" w:space="0" w:color="auto"/>
        <w:left w:val="none" w:sz="0" w:space="0" w:color="auto"/>
        <w:bottom w:val="none" w:sz="0" w:space="0" w:color="auto"/>
        <w:right w:val="none" w:sz="0" w:space="0" w:color="auto"/>
      </w:divBdr>
    </w:div>
    <w:div w:id="1510172838">
      <w:bodyDiv w:val="1"/>
      <w:marLeft w:val="0"/>
      <w:marRight w:val="0"/>
      <w:marTop w:val="0"/>
      <w:marBottom w:val="0"/>
      <w:divBdr>
        <w:top w:val="none" w:sz="0" w:space="0" w:color="auto"/>
        <w:left w:val="none" w:sz="0" w:space="0" w:color="auto"/>
        <w:bottom w:val="none" w:sz="0" w:space="0" w:color="auto"/>
        <w:right w:val="none" w:sz="0" w:space="0" w:color="auto"/>
      </w:divBdr>
    </w:div>
    <w:div w:id="1510175299">
      <w:bodyDiv w:val="1"/>
      <w:marLeft w:val="0"/>
      <w:marRight w:val="0"/>
      <w:marTop w:val="0"/>
      <w:marBottom w:val="0"/>
      <w:divBdr>
        <w:top w:val="none" w:sz="0" w:space="0" w:color="auto"/>
        <w:left w:val="none" w:sz="0" w:space="0" w:color="auto"/>
        <w:bottom w:val="none" w:sz="0" w:space="0" w:color="auto"/>
        <w:right w:val="none" w:sz="0" w:space="0" w:color="auto"/>
      </w:divBdr>
    </w:div>
    <w:div w:id="1510371364">
      <w:bodyDiv w:val="1"/>
      <w:marLeft w:val="0"/>
      <w:marRight w:val="0"/>
      <w:marTop w:val="0"/>
      <w:marBottom w:val="0"/>
      <w:divBdr>
        <w:top w:val="none" w:sz="0" w:space="0" w:color="auto"/>
        <w:left w:val="none" w:sz="0" w:space="0" w:color="auto"/>
        <w:bottom w:val="none" w:sz="0" w:space="0" w:color="auto"/>
        <w:right w:val="none" w:sz="0" w:space="0" w:color="auto"/>
      </w:divBdr>
    </w:div>
    <w:div w:id="1510438213">
      <w:bodyDiv w:val="1"/>
      <w:marLeft w:val="0"/>
      <w:marRight w:val="0"/>
      <w:marTop w:val="0"/>
      <w:marBottom w:val="0"/>
      <w:divBdr>
        <w:top w:val="none" w:sz="0" w:space="0" w:color="auto"/>
        <w:left w:val="none" w:sz="0" w:space="0" w:color="auto"/>
        <w:bottom w:val="none" w:sz="0" w:space="0" w:color="auto"/>
        <w:right w:val="none" w:sz="0" w:space="0" w:color="auto"/>
      </w:divBdr>
    </w:div>
    <w:div w:id="1510481578">
      <w:bodyDiv w:val="1"/>
      <w:marLeft w:val="0"/>
      <w:marRight w:val="0"/>
      <w:marTop w:val="0"/>
      <w:marBottom w:val="0"/>
      <w:divBdr>
        <w:top w:val="none" w:sz="0" w:space="0" w:color="auto"/>
        <w:left w:val="none" w:sz="0" w:space="0" w:color="auto"/>
        <w:bottom w:val="none" w:sz="0" w:space="0" w:color="auto"/>
        <w:right w:val="none" w:sz="0" w:space="0" w:color="auto"/>
      </w:divBdr>
    </w:div>
    <w:div w:id="1510605164">
      <w:bodyDiv w:val="1"/>
      <w:marLeft w:val="0"/>
      <w:marRight w:val="0"/>
      <w:marTop w:val="0"/>
      <w:marBottom w:val="0"/>
      <w:divBdr>
        <w:top w:val="none" w:sz="0" w:space="0" w:color="auto"/>
        <w:left w:val="none" w:sz="0" w:space="0" w:color="auto"/>
        <w:bottom w:val="none" w:sz="0" w:space="0" w:color="auto"/>
        <w:right w:val="none" w:sz="0" w:space="0" w:color="auto"/>
      </w:divBdr>
    </w:div>
    <w:div w:id="1510631670">
      <w:bodyDiv w:val="1"/>
      <w:marLeft w:val="0"/>
      <w:marRight w:val="0"/>
      <w:marTop w:val="0"/>
      <w:marBottom w:val="0"/>
      <w:divBdr>
        <w:top w:val="none" w:sz="0" w:space="0" w:color="auto"/>
        <w:left w:val="none" w:sz="0" w:space="0" w:color="auto"/>
        <w:bottom w:val="none" w:sz="0" w:space="0" w:color="auto"/>
        <w:right w:val="none" w:sz="0" w:space="0" w:color="auto"/>
      </w:divBdr>
    </w:div>
    <w:div w:id="1510825906">
      <w:bodyDiv w:val="1"/>
      <w:marLeft w:val="0"/>
      <w:marRight w:val="0"/>
      <w:marTop w:val="0"/>
      <w:marBottom w:val="0"/>
      <w:divBdr>
        <w:top w:val="none" w:sz="0" w:space="0" w:color="auto"/>
        <w:left w:val="none" w:sz="0" w:space="0" w:color="auto"/>
        <w:bottom w:val="none" w:sz="0" w:space="0" w:color="auto"/>
        <w:right w:val="none" w:sz="0" w:space="0" w:color="auto"/>
      </w:divBdr>
    </w:div>
    <w:div w:id="1510873216">
      <w:bodyDiv w:val="1"/>
      <w:marLeft w:val="0"/>
      <w:marRight w:val="0"/>
      <w:marTop w:val="0"/>
      <w:marBottom w:val="0"/>
      <w:divBdr>
        <w:top w:val="none" w:sz="0" w:space="0" w:color="auto"/>
        <w:left w:val="none" w:sz="0" w:space="0" w:color="auto"/>
        <w:bottom w:val="none" w:sz="0" w:space="0" w:color="auto"/>
        <w:right w:val="none" w:sz="0" w:space="0" w:color="auto"/>
      </w:divBdr>
    </w:div>
    <w:div w:id="1511021373">
      <w:bodyDiv w:val="1"/>
      <w:marLeft w:val="0"/>
      <w:marRight w:val="0"/>
      <w:marTop w:val="0"/>
      <w:marBottom w:val="0"/>
      <w:divBdr>
        <w:top w:val="none" w:sz="0" w:space="0" w:color="auto"/>
        <w:left w:val="none" w:sz="0" w:space="0" w:color="auto"/>
        <w:bottom w:val="none" w:sz="0" w:space="0" w:color="auto"/>
        <w:right w:val="none" w:sz="0" w:space="0" w:color="auto"/>
      </w:divBdr>
    </w:div>
    <w:div w:id="1511063763">
      <w:bodyDiv w:val="1"/>
      <w:marLeft w:val="0"/>
      <w:marRight w:val="0"/>
      <w:marTop w:val="0"/>
      <w:marBottom w:val="0"/>
      <w:divBdr>
        <w:top w:val="none" w:sz="0" w:space="0" w:color="auto"/>
        <w:left w:val="none" w:sz="0" w:space="0" w:color="auto"/>
        <w:bottom w:val="none" w:sz="0" w:space="0" w:color="auto"/>
        <w:right w:val="none" w:sz="0" w:space="0" w:color="auto"/>
      </w:divBdr>
    </w:div>
    <w:div w:id="1511143884">
      <w:bodyDiv w:val="1"/>
      <w:marLeft w:val="0"/>
      <w:marRight w:val="0"/>
      <w:marTop w:val="0"/>
      <w:marBottom w:val="0"/>
      <w:divBdr>
        <w:top w:val="none" w:sz="0" w:space="0" w:color="auto"/>
        <w:left w:val="none" w:sz="0" w:space="0" w:color="auto"/>
        <w:bottom w:val="none" w:sz="0" w:space="0" w:color="auto"/>
        <w:right w:val="none" w:sz="0" w:space="0" w:color="auto"/>
      </w:divBdr>
    </w:div>
    <w:div w:id="1511263602">
      <w:bodyDiv w:val="1"/>
      <w:marLeft w:val="0"/>
      <w:marRight w:val="0"/>
      <w:marTop w:val="0"/>
      <w:marBottom w:val="0"/>
      <w:divBdr>
        <w:top w:val="none" w:sz="0" w:space="0" w:color="auto"/>
        <w:left w:val="none" w:sz="0" w:space="0" w:color="auto"/>
        <w:bottom w:val="none" w:sz="0" w:space="0" w:color="auto"/>
        <w:right w:val="none" w:sz="0" w:space="0" w:color="auto"/>
      </w:divBdr>
    </w:div>
    <w:div w:id="1511290985">
      <w:bodyDiv w:val="1"/>
      <w:marLeft w:val="0"/>
      <w:marRight w:val="0"/>
      <w:marTop w:val="0"/>
      <w:marBottom w:val="0"/>
      <w:divBdr>
        <w:top w:val="none" w:sz="0" w:space="0" w:color="auto"/>
        <w:left w:val="none" w:sz="0" w:space="0" w:color="auto"/>
        <w:bottom w:val="none" w:sz="0" w:space="0" w:color="auto"/>
        <w:right w:val="none" w:sz="0" w:space="0" w:color="auto"/>
      </w:divBdr>
    </w:div>
    <w:div w:id="1511682248">
      <w:bodyDiv w:val="1"/>
      <w:marLeft w:val="0"/>
      <w:marRight w:val="0"/>
      <w:marTop w:val="0"/>
      <w:marBottom w:val="0"/>
      <w:divBdr>
        <w:top w:val="none" w:sz="0" w:space="0" w:color="auto"/>
        <w:left w:val="none" w:sz="0" w:space="0" w:color="auto"/>
        <w:bottom w:val="none" w:sz="0" w:space="0" w:color="auto"/>
        <w:right w:val="none" w:sz="0" w:space="0" w:color="auto"/>
      </w:divBdr>
    </w:div>
    <w:div w:id="1511986941">
      <w:bodyDiv w:val="1"/>
      <w:marLeft w:val="0"/>
      <w:marRight w:val="0"/>
      <w:marTop w:val="0"/>
      <w:marBottom w:val="0"/>
      <w:divBdr>
        <w:top w:val="none" w:sz="0" w:space="0" w:color="auto"/>
        <w:left w:val="none" w:sz="0" w:space="0" w:color="auto"/>
        <w:bottom w:val="none" w:sz="0" w:space="0" w:color="auto"/>
        <w:right w:val="none" w:sz="0" w:space="0" w:color="auto"/>
      </w:divBdr>
    </w:div>
    <w:div w:id="1512068460">
      <w:bodyDiv w:val="1"/>
      <w:marLeft w:val="0"/>
      <w:marRight w:val="0"/>
      <w:marTop w:val="0"/>
      <w:marBottom w:val="0"/>
      <w:divBdr>
        <w:top w:val="none" w:sz="0" w:space="0" w:color="auto"/>
        <w:left w:val="none" w:sz="0" w:space="0" w:color="auto"/>
        <w:bottom w:val="none" w:sz="0" w:space="0" w:color="auto"/>
        <w:right w:val="none" w:sz="0" w:space="0" w:color="auto"/>
      </w:divBdr>
    </w:div>
    <w:div w:id="1512139994">
      <w:bodyDiv w:val="1"/>
      <w:marLeft w:val="0"/>
      <w:marRight w:val="0"/>
      <w:marTop w:val="0"/>
      <w:marBottom w:val="0"/>
      <w:divBdr>
        <w:top w:val="none" w:sz="0" w:space="0" w:color="auto"/>
        <w:left w:val="none" w:sz="0" w:space="0" w:color="auto"/>
        <w:bottom w:val="none" w:sz="0" w:space="0" w:color="auto"/>
        <w:right w:val="none" w:sz="0" w:space="0" w:color="auto"/>
      </w:divBdr>
    </w:div>
    <w:div w:id="1512179205">
      <w:bodyDiv w:val="1"/>
      <w:marLeft w:val="0"/>
      <w:marRight w:val="0"/>
      <w:marTop w:val="0"/>
      <w:marBottom w:val="0"/>
      <w:divBdr>
        <w:top w:val="none" w:sz="0" w:space="0" w:color="auto"/>
        <w:left w:val="none" w:sz="0" w:space="0" w:color="auto"/>
        <w:bottom w:val="none" w:sz="0" w:space="0" w:color="auto"/>
        <w:right w:val="none" w:sz="0" w:space="0" w:color="auto"/>
      </w:divBdr>
    </w:div>
    <w:div w:id="1512379114">
      <w:bodyDiv w:val="1"/>
      <w:marLeft w:val="0"/>
      <w:marRight w:val="0"/>
      <w:marTop w:val="0"/>
      <w:marBottom w:val="0"/>
      <w:divBdr>
        <w:top w:val="none" w:sz="0" w:space="0" w:color="auto"/>
        <w:left w:val="none" w:sz="0" w:space="0" w:color="auto"/>
        <w:bottom w:val="none" w:sz="0" w:space="0" w:color="auto"/>
        <w:right w:val="none" w:sz="0" w:space="0" w:color="auto"/>
      </w:divBdr>
    </w:div>
    <w:div w:id="1512522242">
      <w:bodyDiv w:val="1"/>
      <w:marLeft w:val="0"/>
      <w:marRight w:val="0"/>
      <w:marTop w:val="0"/>
      <w:marBottom w:val="0"/>
      <w:divBdr>
        <w:top w:val="none" w:sz="0" w:space="0" w:color="auto"/>
        <w:left w:val="none" w:sz="0" w:space="0" w:color="auto"/>
        <w:bottom w:val="none" w:sz="0" w:space="0" w:color="auto"/>
        <w:right w:val="none" w:sz="0" w:space="0" w:color="auto"/>
      </w:divBdr>
    </w:div>
    <w:div w:id="1512602819">
      <w:bodyDiv w:val="1"/>
      <w:marLeft w:val="0"/>
      <w:marRight w:val="0"/>
      <w:marTop w:val="0"/>
      <w:marBottom w:val="0"/>
      <w:divBdr>
        <w:top w:val="none" w:sz="0" w:space="0" w:color="auto"/>
        <w:left w:val="none" w:sz="0" w:space="0" w:color="auto"/>
        <w:bottom w:val="none" w:sz="0" w:space="0" w:color="auto"/>
        <w:right w:val="none" w:sz="0" w:space="0" w:color="auto"/>
      </w:divBdr>
    </w:div>
    <w:div w:id="1512718024">
      <w:bodyDiv w:val="1"/>
      <w:marLeft w:val="0"/>
      <w:marRight w:val="0"/>
      <w:marTop w:val="0"/>
      <w:marBottom w:val="0"/>
      <w:divBdr>
        <w:top w:val="none" w:sz="0" w:space="0" w:color="auto"/>
        <w:left w:val="none" w:sz="0" w:space="0" w:color="auto"/>
        <w:bottom w:val="none" w:sz="0" w:space="0" w:color="auto"/>
        <w:right w:val="none" w:sz="0" w:space="0" w:color="auto"/>
      </w:divBdr>
    </w:div>
    <w:div w:id="1512910920">
      <w:bodyDiv w:val="1"/>
      <w:marLeft w:val="0"/>
      <w:marRight w:val="0"/>
      <w:marTop w:val="0"/>
      <w:marBottom w:val="0"/>
      <w:divBdr>
        <w:top w:val="none" w:sz="0" w:space="0" w:color="auto"/>
        <w:left w:val="none" w:sz="0" w:space="0" w:color="auto"/>
        <w:bottom w:val="none" w:sz="0" w:space="0" w:color="auto"/>
        <w:right w:val="none" w:sz="0" w:space="0" w:color="auto"/>
      </w:divBdr>
    </w:div>
    <w:div w:id="1512916008">
      <w:bodyDiv w:val="1"/>
      <w:marLeft w:val="0"/>
      <w:marRight w:val="0"/>
      <w:marTop w:val="0"/>
      <w:marBottom w:val="0"/>
      <w:divBdr>
        <w:top w:val="none" w:sz="0" w:space="0" w:color="auto"/>
        <w:left w:val="none" w:sz="0" w:space="0" w:color="auto"/>
        <w:bottom w:val="none" w:sz="0" w:space="0" w:color="auto"/>
        <w:right w:val="none" w:sz="0" w:space="0" w:color="auto"/>
      </w:divBdr>
    </w:div>
    <w:div w:id="1512991020">
      <w:bodyDiv w:val="1"/>
      <w:marLeft w:val="0"/>
      <w:marRight w:val="0"/>
      <w:marTop w:val="0"/>
      <w:marBottom w:val="0"/>
      <w:divBdr>
        <w:top w:val="none" w:sz="0" w:space="0" w:color="auto"/>
        <w:left w:val="none" w:sz="0" w:space="0" w:color="auto"/>
        <w:bottom w:val="none" w:sz="0" w:space="0" w:color="auto"/>
        <w:right w:val="none" w:sz="0" w:space="0" w:color="auto"/>
      </w:divBdr>
    </w:div>
    <w:div w:id="1513034430">
      <w:bodyDiv w:val="1"/>
      <w:marLeft w:val="0"/>
      <w:marRight w:val="0"/>
      <w:marTop w:val="0"/>
      <w:marBottom w:val="0"/>
      <w:divBdr>
        <w:top w:val="none" w:sz="0" w:space="0" w:color="auto"/>
        <w:left w:val="none" w:sz="0" w:space="0" w:color="auto"/>
        <w:bottom w:val="none" w:sz="0" w:space="0" w:color="auto"/>
        <w:right w:val="none" w:sz="0" w:space="0" w:color="auto"/>
      </w:divBdr>
    </w:div>
    <w:div w:id="1513104391">
      <w:bodyDiv w:val="1"/>
      <w:marLeft w:val="0"/>
      <w:marRight w:val="0"/>
      <w:marTop w:val="0"/>
      <w:marBottom w:val="0"/>
      <w:divBdr>
        <w:top w:val="none" w:sz="0" w:space="0" w:color="auto"/>
        <w:left w:val="none" w:sz="0" w:space="0" w:color="auto"/>
        <w:bottom w:val="none" w:sz="0" w:space="0" w:color="auto"/>
        <w:right w:val="none" w:sz="0" w:space="0" w:color="auto"/>
      </w:divBdr>
    </w:div>
    <w:div w:id="1513104834">
      <w:bodyDiv w:val="1"/>
      <w:marLeft w:val="0"/>
      <w:marRight w:val="0"/>
      <w:marTop w:val="0"/>
      <w:marBottom w:val="0"/>
      <w:divBdr>
        <w:top w:val="none" w:sz="0" w:space="0" w:color="auto"/>
        <w:left w:val="none" w:sz="0" w:space="0" w:color="auto"/>
        <w:bottom w:val="none" w:sz="0" w:space="0" w:color="auto"/>
        <w:right w:val="none" w:sz="0" w:space="0" w:color="auto"/>
      </w:divBdr>
    </w:div>
    <w:div w:id="1513177274">
      <w:bodyDiv w:val="1"/>
      <w:marLeft w:val="0"/>
      <w:marRight w:val="0"/>
      <w:marTop w:val="0"/>
      <w:marBottom w:val="0"/>
      <w:divBdr>
        <w:top w:val="none" w:sz="0" w:space="0" w:color="auto"/>
        <w:left w:val="none" w:sz="0" w:space="0" w:color="auto"/>
        <w:bottom w:val="none" w:sz="0" w:space="0" w:color="auto"/>
        <w:right w:val="none" w:sz="0" w:space="0" w:color="auto"/>
      </w:divBdr>
    </w:div>
    <w:div w:id="1513255572">
      <w:bodyDiv w:val="1"/>
      <w:marLeft w:val="0"/>
      <w:marRight w:val="0"/>
      <w:marTop w:val="0"/>
      <w:marBottom w:val="0"/>
      <w:divBdr>
        <w:top w:val="none" w:sz="0" w:space="0" w:color="auto"/>
        <w:left w:val="none" w:sz="0" w:space="0" w:color="auto"/>
        <w:bottom w:val="none" w:sz="0" w:space="0" w:color="auto"/>
        <w:right w:val="none" w:sz="0" w:space="0" w:color="auto"/>
      </w:divBdr>
    </w:div>
    <w:div w:id="1513302394">
      <w:bodyDiv w:val="1"/>
      <w:marLeft w:val="0"/>
      <w:marRight w:val="0"/>
      <w:marTop w:val="0"/>
      <w:marBottom w:val="0"/>
      <w:divBdr>
        <w:top w:val="none" w:sz="0" w:space="0" w:color="auto"/>
        <w:left w:val="none" w:sz="0" w:space="0" w:color="auto"/>
        <w:bottom w:val="none" w:sz="0" w:space="0" w:color="auto"/>
        <w:right w:val="none" w:sz="0" w:space="0" w:color="auto"/>
      </w:divBdr>
    </w:div>
    <w:div w:id="1513302747">
      <w:bodyDiv w:val="1"/>
      <w:marLeft w:val="0"/>
      <w:marRight w:val="0"/>
      <w:marTop w:val="0"/>
      <w:marBottom w:val="0"/>
      <w:divBdr>
        <w:top w:val="none" w:sz="0" w:space="0" w:color="auto"/>
        <w:left w:val="none" w:sz="0" w:space="0" w:color="auto"/>
        <w:bottom w:val="none" w:sz="0" w:space="0" w:color="auto"/>
        <w:right w:val="none" w:sz="0" w:space="0" w:color="auto"/>
      </w:divBdr>
    </w:div>
    <w:div w:id="1513376400">
      <w:bodyDiv w:val="1"/>
      <w:marLeft w:val="0"/>
      <w:marRight w:val="0"/>
      <w:marTop w:val="0"/>
      <w:marBottom w:val="0"/>
      <w:divBdr>
        <w:top w:val="none" w:sz="0" w:space="0" w:color="auto"/>
        <w:left w:val="none" w:sz="0" w:space="0" w:color="auto"/>
        <w:bottom w:val="none" w:sz="0" w:space="0" w:color="auto"/>
        <w:right w:val="none" w:sz="0" w:space="0" w:color="auto"/>
      </w:divBdr>
    </w:div>
    <w:div w:id="1513648677">
      <w:bodyDiv w:val="1"/>
      <w:marLeft w:val="0"/>
      <w:marRight w:val="0"/>
      <w:marTop w:val="0"/>
      <w:marBottom w:val="0"/>
      <w:divBdr>
        <w:top w:val="none" w:sz="0" w:space="0" w:color="auto"/>
        <w:left w:val="none" w:sz="0" w:space="0" w:color="auto"/>
        <w:bottom w:val="none" w:sz="0" w:space="0" w:color="auto"/>
        <w:right w:val="none" w:sz="0" w:space="0" w:color="auto"/>
      </w:divBdr>
    </w:div>
    <w:div w:id="1513764456">
      <w:bodyDiv w:val="1"/>
      <w:marLeft w:val="0"/>
      <w:marRight w:val="0"/>
      <w:marTop w:val="0"/>
      <w:marBottom w:val="0"/>
      <w:divBdr>
        <w:top w:val="none" w:sz="0" w:space="0" w:color="auto"/>
        <w:left w:val="none" w:sz="0" w:space="0" w:color="auto"/>
        <w:bottom w:val="none" w:sz="0" w:space="0" w:color="auto"/>
        <w:right w:val="none" w:sz="0" w:space="0" w:color="auto"/>
      </w:divBdr>
    </w:div>
    <w:div w:id="1513836527">
      <w:bodyDiv w:val="1"/>
      <w:marLeft w:val="0"/>
      <w:marRight w:val="0"/>
      <w:marTop w:val="0"/>
      <w:marBottom w:val="0"/>
      <w:divBdr>
        <w:top w:val="none" w:sz="0" w:space="0" w:color="auto"/>
        <w:left w:val="none" w:sz="0" w:space="0" w:color="auto"/>
        <w:bottom w:val="none" w:sz="0" w:space="0" w:color="auto"/>
        <w:right w:val="none" w:sz="0" w:space="0" w:color="auto"/>
      </w:divBdr>
    </w:div>
    <w:div w:id="1513908745">
      <w:bodyDiv w:val="1"/>
      <w:marLeft w:val="0"/>
      <w:marRight w:val="0"/>
      <w:marTop w:val="0"/>
      <w:marBottom w:val="0"/>
      <w:divBdr>
        <w:top w:val="none" w:sz="0" w:space="0" w:color="auto"/>
        <w:left w:val="none" w:sz="0" w:space="0" w:color="auto"/>
        <w:bottom w:val="none" w:sz="0" w:space="0" w:color="auto"/>
        <w:right w:val="none" w:sz="0" w:space="0" w:color="auto"/>
      </w:divBdr>
    </w:div>
    <w:div w:id="1513912149">
      <w:bodyDiv w:val="1"/>
      <w:marLeft w:val="0"/>
      <w:marRight w:val="0"/>
      <w:marTop w:val="0"/>
      <w:marBottom w:val="0"/>
      <w:divBdr>
        <w:top w:val="none" w:sz="0" w:space="0" w:color="auto"/>
        <w:left w:val="none" w:sz="0" w:space="0" w:color="auto"/>
        <w:bottom w:val="none" w:sz="0" w:space="0" w:color="auto"/>
        <w:right w:val="none" w:sz="0" w:space="0" w:color="auto"/>
      </w:divBdr>
    </w:div>
    <w:div w:id="1514110318">
      <w:bodyDiv w:val="1"/>
      <w:marLeft w:val="0"/>
      <w:marRight w:val="0"/>
      <w:marTop w:val="0"/>
      <w:marBottom w:val="0"/>
      <w:divBdr>
        <w:top w:val="none" w:sz="0" w:space="0" w:color="auto"/>
        <w:left w:val="none" w:sz="0" w:space="0" w:color="auto"/>
        <w:bottom w:val="none" w:sz="0" w:space="0" w:color="auto"/>
        <w:right w:val="none" w:sz="0" w:space="0" w:color="auto"/>
      </w:divBdr>
    </w:div>
    <w:div w:id="1514372608">
      <w:bodyDiv w:val="1"/>
      <w:marLeft w:val="0"/>
      <w:marRight w:val="0"/>
      <w:marTop w:val="0"/>
      <w:marBottom w:val="0"/>
      <w:divBdr>
        <w:top w:val="none" w:sz="0" w:space="0" w:color="auto"/>
        <w:left w:val="none" w:sz="0" w:space="0" w:color="auto"/>
        <w:bottom w:val="none" w:sz="0" w:space="0" w:color="auto"/>
        <w:right w:val="none" w:sz="0" w:space="0" w:color="auto"/>
      </w:divBdr>
    </w:div>
    <w:div w:id="1514495591">
      <w:bodyDiv w:val="1"/>
      <w:marLeft w:val="0"/>
      <w:marRight w:val="0"/>
      <w:marTop w:val="0"/>
      <w:marBottom w:val="0"/>
      <w:divBdr>
        <w:top w:val="none" w:sz="0" w:space="0" w:color="auto"/>
        <w:left w:val="none" w:sz="0" w:space="0" w:color="auto"/>
        <w:bottom w:val="none" w:sz="0" w:space="0" w:color="auto"/>
        <w:right w:val="none" w:sz="0" w:space="0" w:color="auto"/>
      </w:divBdr>
    </w:div>
    <w:div w:id="1515147958">
      <w:bodyDiv w:val="1"/>
      <w:marLeft w:val="0"/>
      <w:marRight w:val="0"/>
      <w:marTop w:val="0"/>
      <w:marBottom w:val="0"/>
      <w:divBdr>
        <w:top w:val="none" w:sz="0" w:space="0" w:color="auto"/>
        <w:left w:val="none" w:sz="0" w:space="0" w:color="auto"/>
        <w:bottom w:val="none" w:sz="0" w:space="0" w:color="auto"/>
        <w:right w:val="none" w:sz="0" w:space="0" w:color="auto"/>
      </w:divBdr>
    </w:div>
    <w:div w:id="1515224283">
      <w:bodyDiv w:val="1"/>
      <w:marLeft w:val="0"/>
      <w:marRight w:val="0"/>
      <w:marTop w:val="0"/>
      <w:marBottom w:val="0"/>
      <w:divBdr>
        <w:top w:val="none" w:sz="0" w:space="0" w:color="auto"/>
        <w:left w:val="none" w:sz="0" w:space="0" w:color="auto"/>
        <w:bottom w:val="none" w:sz="0" w:space="0" w:color="auto"/>
        <w:right w:val="none" w:sz="0" w:space="0" w:color="auto"/>
      </w:divBdr>
    </w:div>
    <w:div w:id="1515266353">
      <w:bodyDiv w:val="1"/>
      <w:marLeft w:val="0"/>
      <w:marRight w:val="0"/>
      <w:marTop w:val="0"/>
      <w:marBottom w:val="0"/>
      <w:divBdr>
        <w:top w:val="none" w:sz="0" w:space="0" w:color="auto"/>
        <w:left w:val="none" w:sz="0" w:space="0" w:color="auto"/>
        <w:bottom w:val="none" w:sz="0" w:space="0" w:color="auto"/>
        <w:right w:val="none" w:sz="0" w:space="0" w:color="auto"/>
      </w:divBdr>
    </w:div>
    <w:div w:id="1515338049">
      <w:bodyDiv w:val="1"/>
      <w:marLeft w:val="0"/>
      <w:marRight w:val="0"/>
      <w:marTop w:val="0"/>
      <w:marBottom w:val="0"/>
      <w:divBdr>
        <w:top w:val="none" w:sz="0" w:space="0" w:color="auto"/>
        <w:left w:val="none" w:sz="0" w:space="0" w:color="auto"/>
        <w:bottom w:val="none" w:sz="0" w:space="0" w:color="auto"/>
        <w:right w:val="none" w:sz="0" w:space="0" w:color="auto"/>
      </w:divBdr>
    </w:div>
    <w:div w:id="1515345060">
      <w:bodyDiv w:val="1"/>
      <w:marLeft w:val="0"/>
      <w:marRight w:val="0"/>
      <w:marTop w:val="0"/>
      <w:marBottom w:val="0"/>
      <w:divBdr>
        <w:top w:val="none" w:sz="0" w:space="0" w:color="auto"/>
        <w:left w:val="none" w:sz="0" w:space="0" w:color="auto"/>
        <w:bottom w:val="none" w:sz="0" w:space="0" w:color="auto"/>
        <w:right w:val="none" w:sz="0" w:space="0" w:color="auto"/>
      </w:divBdr>
    </w:div>
    <w:div w:id="1515654584">
      <w:bodyDiv w:val="1"/>
      <w:marLeft w:val="0"/>
      <w:marRight w:val="0"/>
      <w:marTop w:val="0"/>
      <w:marBottom w:val="0"/>
      <w:divBdr>
        <w:top w:val="none" w:sz="0" w:space="0" w:color="auto"/>
        <w:left w:val="none" w:sz="0" w:space="0" w:color="auto"/>
        <w:bottom w:val="none" w:sz="0" w:space="0" w:color="auto"/>
        <w:right w:val="none" w:sz="0" w:space="0" w:color="auto"/>
      </w:divBdr>
    </w:div>
    <w:div w:id="1515725065">
      <w:bodyDiv w:val="1"/>
      <w:marLeft w:val="0"/>
      <w:marRight w:val="0"/>
      <w:marTop w:val="0"/>
      <w:marBottom w:val="0"/>
      <w:divBdr>
        <w:top w:val="none" w:sz="0" w:space="0" w:color="auto"/>
        <w:left w:val="none" w:sz="0" w:space="0" w:color="auto"/>
        <w:bottom w:val="none" w:sz="0" w:space="0" w:color="auto"/>
        <w:right w:val="none" w:sz="0" w:space="0" w:color="auto"/>
      </w:divBdr>
    </w:div>
    <w:div w:id="1515848263">
      <w:bodyDiv w:val="1"/>
      <w:marLeft w:val="0"/>
      <w:marRight w:val="0"/>
      <w:marTop w:val="0"/>
      <w:marBottom w:val="0"/>
      <w:divBdr>
        <w:top w:val="none" w:sz="0" w:space="0" w:color="auto"/>
        <w:left w:val="none" w:sz="0" w:space="0" w:color="auto"/>
        <w:bottom w:val="none" w:sz="0" w:space="0" w:color="auto"/>
        <w:right w:val="none" w:sz="0" w:space="0" w:color="auto"/>
      </w:divBdr>
    </w:div>
    <w:div w:id="1515849451">
      <w:bodyDiv w:val="1"/>
      <w:marLeft w:val="0"/>
      <w:marRight w:val="0"/>
      <w:marTop w:val="0"/>
      <w:marBottom w:val="0"/>
      <w:divBdr>
        <w:top w:val="none" w:sz="0" w:space="0" w:color="auto"/>
        <w:left w:val="none" w:sz="0" w:space="0" w:color="auto"/>
        <w:bottom w:val="none" w:sz="0" w:space="0" w:color="auto"/>
        <w:right w:val="none" w:sz="0" w:space="0" w:color="auto"/>
      </w:divBdr>
    </w:div>
    <w:div w:id="1516068001">
      <w:bodyDiv w:val="1"/>
      <w:marLeft w:val="0"/>
      <w:marRight w:val="0"/>
      <w:marTop w:val="0"/>
      <w:marBottom w:val="0"/>
      <w:divBdr>
        <w:top w:val="none" w:sz="0" w:space="0" w:color="auto"/>
        <w:left w:val="none" w:sz="0" w:space="0" w:color="auto"/>
        <w:bottom w:val="none" w:sz="0" w:space="0" w:color="auto"/>
        <w:right w:val="none" w:sz="0" w:space="0" w:color="auto"/>
      </w:divBdr>
    </w:div>
    <w:div w:id="1516117904">
      <w:bodyDiv w:val="1"/>
      <w:marLeft w:val="0"/>
      <w:marRight w:val="0"/>
      <w:marTop w:val="0"/>
      <w:marBottom w:val="0"/>
      <w:divBdr>
        <w:top w:val="none" w:sz="0" w:space="0" w:color="auto"/>
        <w:left w:val="none" w:sz="0" w:space="0" w:color="auto"/>
        <w:bottom w:val="none" w:sz="0" w:space="0" w:color="auto"/>
        <w:right w:val="none" w:sz="0" w:space="0" w:color="auto"/>
      </w:divBdr>
    </w:div>
    <w:div w:id="1516455385">
      <w:bodyDiv w:val="1"/>
      <w:marLeft w:val="0"/>
      <w:marRight w:val="0"/>
      <w:marTop w:val="0"/>
      <w:marBottom w:val="0"/>
      <w:divBdr>
        <w:top w:val="none" w:sz="0" w:space="0" w:color="auto"/>
        <w:left w:val="none" w:sz="0" w:space="0" w:color="auto"/>
        <w:bottom w:val="none" w:sz="0" w:space="0" w:color="auto"/>
        <w:right w:val="none" w:sz="0" w:space="0" w:color="auto"/>
      </w:divBdr>
    </w:div>
    <w:div w:id="1516462378">
      <w:bodyDiv w:val="1"/>
      <w:marLeft w:val="0"/>
      <w:marRight w:val="0"/>
      <w:marTop w:val="0"/>
      <w:marBottom w:val="0"/>
      <w:divBdr>
        <w:top w:val="none" w:sz="0" w:space="0" w:color="auto"/>
        <w:left w:val="none" w:sz="0" w:space="0" w:color="auto"/>
        <w:bottom w:val="none" w:sz="0" w:space="0" w:color="auto"/>
        <w:right w:val="none" w:sz="0" w:space="0" w:color="auto"/>
      </w:divBdr>
    </w:div>
    <w:div w:id="1516648696">
      <w:bodyDiv w:val="1"/>
      <w:marLeft w:val="0"/>
      <w:marRight w:val="0"/>
      <w:marTop w:val="0"/>
      <w:marBottom w:val="0"/>
      <w:divBdr>
        <w:top w:val="none" w:sz="0" w:space="0" w:color="auto"/>
        <w:left w:val="none" w:sz="0" w:space="0" w:color="auto"/>
        <w:bottom w:val="none" w:sz="0" w:space="0" w:color="auto"/>
        <w:right w:val="none" w:sz="0" w:space="0" w:color="auto"/>
      </w:divBdr>
    </w:div>
    <w:div w:id="1516654733">
      <w:bodyDiv w:val="1"/>
      <w:marLeft w:val="0"/>
      <w:marRight w:val="0"/>
      <w:marTop w:val="0"/>
      <w:marBottom w:val="0"/>
      <w:divBdr>
        <w:top w:val="none" w:sz="0" w:space="0" w:color="auto"/>
        <w:left w:val="none" w:sz="0" w:space="0" w:color="auto"/>
        <w:bottom w:val="none" w:sz="0" w:space="0" w:color="auto"/>
        <w:right w:val="none" w:sz="0" w:space="0" w:color="auto"/>
      </w:divBdr>
    </w:div>
    <w:div w:id="1516722824">
      <w:bodyDiv w:val="1"/>
      <w:marLeft w:val="0"/>
      <w:marRight w:val="0"/>
      <w:marTop w:val="0"/>
      <w:marBottom w:val="0"/>
      <w:divBdr>
        <w:top w:val="none" w:sz="0" w:space="0" w:color="auto"/>
        <w:left w:val="none" w:sz="0" w:space="0" w:color="auto"/>
        <w:bottom w:val="none" w:sz="0" w:space="0" w:color="auto"/>
        <w:right w:val="none" w:sz="0" w:space="0" w:color="auto"/>
      </w:divBdr>
    </w:div>
    <w:div w:id="1517040245">
      <w:bodyDiv w:val="1"/>
      <w:marLeft w:val="0"/>
      <w:marRight w:val="0"/>
      <w:marTop w:val="0"/>
      <w:marBottom w:val="0"/>
      <w:divBdr>
        <w:top w:val="none" w:sz="0" w:space="0" w:color="auto"/>
        <w:left w:val="none" w:sz="0" w:space="0" w:color="auto"/>
        <w:bottom w:val="none" w:sz="0" w:space="0" w:color="auto"/>
        <w:right w:val="none" w:sz="0" w:space="0" w:color="auto"/>
      </w:divBdr>
    </w:div>
    <w:div w:id="1517227578">
      <w:bodyDiv w:val="1"/>
      <w:marLeft w:val="0"/>
      <w:marRight w:val="0"/>
      <w:marTop w:val="0"/>
      <w:marBottom w:val="0"/>
      <w:divBdr>
        <w:top w:val="none" w:sz="0" w:space="0" w:color="auto"/>
        <w:left w:val="none" w:sz="0" w:space="0" w:color="auto"/>
        <w:bottom w:val="none" w:sz="0" w:space="0" w:color="auto"/>
        <w:right w:val="none" w:sz="0" w:space="0" w:color="auto"/>
      </w:divBdr>
    </w:div>
    <w:div w:id="1517382163">
      <w:bodyDiv w:val="1"/>
      <w:marLeft w:val="0"/>
      <w:marRight w:val="0"/>
      <w:marTop w:val="0"/>
      <w:marBottom w:val="0"/>
      <w:divBdr>
        <w:top w:val="none" w:sz="0" w:space="0" w:color="auto"/>
        <w:left w:val="none" w:sz="0" w:space="0" w:color="auto"/>
        <w:bottom w:val="none" w:sz="0" w:space="0" w:color="auto"/>
        <w:right w:val="none" w:sz="0" w:space="0" w:color="auto"/>
      </w:divBdr>
    </w:div>
    <w:div w:id="1517422958">
      <w:bodyDiv w:val="1"/>
      <w:marLeft w:val="0"/>
      <w:marRight w:val="0"/>
      <w:marTop w:val="0"/>
      <w:marBottom w:val="0"/>
      <w:divBdr>
        <w:top w:val="none" w:sz="0" w:space="0" w:color="auto"/>
        <w:left w:val="none" w:sz="0" w:space="0" w:color="auto"/>
        <w:bottom w:val="none" w:sz="0" w:space="0" w:color="auto"/>
        <w:right w:val="none" w:sz="0" w:space="0" w:color="auto"/>
      </w:divBdr>
    </w:div>
    <w:div w:id="1517697775">
      <w:bodyDiv w:val="1"/>
      <w:marLeft w:val="0"/>
      <w:marRight w:val="0"/>
      <w:marTop w:val="0"/>
      <w:marBottom w:val="0"/>
      <w:divBdr>
        <w:top w:val="none" w:sz="0" w:space="0" w:color="auto"/>
        <w:left w:val="none" w:sz="0" w:space="0" w:color="auto"/>
        <w:bottom w:val="none" w:sz="0" w:space="0" w:color="auto"/>
        <w:right w:val="none" w:sz="0" w:space="0" w:color="auto"/>
      </w:divBdr>
    </w:div>
    <w:div w:id="1517698046">
      <w:bodyDiv w:val="1"/>
      <w:marLeft w:val="0"/>
      <w:marRight w:val="0"/>
      <w:marTop w:val="0"/>
      <w:marBottom w:val="0"/>
      <w:divBdr>
        <w:top w:val="none" w:sz="0" w:space="0" w:color="auto"/>
        <w:left w:val="none" w:sz="0" w:space="0" w:color="auto"/>
        <w:bottom w:val="none" w:sz="0" w:space="0" w:color="auto"/>
        <w:right w:val="none" w:sz="0" w:space="0" w:color="auto"/>
      </w:divBdr>
    </w:div>
    <w:div w:id="1517814383">
      <w:bodyDiv w:val="1"/>
      <w:marLeft w:val="0"/>
      <w:marRight w:val="0"/>
      <w:marTop w:val="0"/>
      <w:marBottom w:val="0"/>
      <w:divBdr>
        <w:top w:val="none" w:sz="0" w:space="0" w:color="auto"/>
        <w:left w:val="none" w:sz="0" w:space="0" w:color="auto"/>
        <w:bottom w:val="none" w:sz="0" w:space="0" w:color="auto"/>
        <w:right w:val="none" w:sz="0" w:space="0" w:color="auto"/>
      </w:divBdr>
    </w:div>
    <w:div w:id="1517842293">
      <w:bodyDiv w:val="1"/>
      <w:marLeft w:val="0"/>
      <w:marRight w:val="0"/>
      <w:marTop w:val="0"/>
      <w:marBottom w:val="0"/>
      <w:divBdr>
        <w:top w:val="none" w:sz="0" w:space="0" w:color="auto"/>
        <w:left w:val="none" w:sz="0" w:space="0" w:color="auto"/>
        <w:bottom w:val="none" w:sz="0" w:space="0" w:color="auto"/>
        <w:right w:val="none" w:sz="0" w:space="0" w:color="auto"/>
      </w:divBdr>
    </w:div>
    <w:div w:id="1518042142">
      <w:bodyDiv w:val="1"/>
      <w:marLeft w:val="0"/>
      <w:marRight w:val="0"/>
      <w:marTop w:val="0"/>
      <w:marBottom w:val="0"/>
      <w:divBdr>
        <w:top w:val="none" w:sz="0" w:space="0" w:color="auto"/>
        <w:left w:val="none" w:sz="0" w:space="0" w:color="auto"/>
        <w:bottom w:val="none" w:sz="0" w:space="0" w:color="auto"/>
        <w:right w:val="none" w:sz="0" w:space="0" w:color="auto"/>
      </w:divBdr>
    </w:div>
    <w:div w:id="1518081580">
      <w:bodyDiv w:val="1"/>
      <w:marLeft w:val="0"/>
      <w:marRight w:val="0"/>
      <w:marTop w:val="0"/>
      <w:marBottom w:val="0"/>
      <w:divBdr>
        <w:top w:val="none" w:sz="0" w:space="0" w:color="auto"/>
        <w:left w:val="none" w:sz="0" w:space="0" w:color="auto"/>
        <w:bottom w:val="none" w:sz="0" w:space="0" w:color="auto"/>
        <w:right w:val="none" w:sz="0" w:space="0" w:color="auto"/>
      </w:divBdr>
    </w:div>
    <w:div w:id="1518083019">
      <w:bodyDiv w:val="1"/>
      <w:marLeft w:val="0"/>
      <w:marRight w:val="0"/>
      <w:marTop w:val="0"/>
      <w:marBottom w:val="0"/>
      <w:divBdr>
        <w:top w:val="none" w:sz="0" w:space="0" w:color="auto"/>
        <w:left w:val="none" w:sz="0" w:space="0" w:color="auto"/>
        <w:bottom w:val="none" w:sz="0" w:space="0" w:color="auto"/>
        <w:right w:val="none" w:sz="0" w:space="0" w:color="auto"/>
      </w:divBdr>
    </w:div>
    <w:div w:id="1518158657">
      <w:bodyDiv w:val="1"/>
      <w:marLeft w:val="0"/>
      <w:marRight w:val="0"/>
      <w:marTop w:val="0"/>
      <w:marBottom w:val="0"/>
      <w:divBdr>
        <w:top w:val="none" w:sz="0" w:space="0" w:color="auto"/>
        <w:left w:val="none" w:sz="0" w:space="0" w:color="auto"/>
        <w:bottom w:val="none" w:sz="0" w:space="0" w:color="auto"/>
        <w:right w:val="none" w:sz="0" w:space="0" w:color="auto"/>
      </w:divBdr>
    </w:div>
    <w:div w:id="1518302299">
      <w:bodyDiv w:val="1"/>
      <w:marLeft w:val="0"/>
      <w:marRight w:val="0"/>
      <w:marTop w:val="0"/>
      <w:marBottom w:val="0"/>
      <w:divBdr>
        <w:top w:val="none" w:sz="0" w:space="0" w:color="auto"/>
        <w:left w:val="none" w:sz="0" w:space="0" w:color="auto"/>
        <w:bottom w:val="none" w:sz="0" w:space="0" w:color="auto"/>
        <w:right w:val="none" w:sz="0" w:space="0" w:color="auto"/>
      </w:divBdr>
    </w:div>
    <w:div w:id="1518695634">
      <w:bodyDiv w:val="1"/>
      <w:marLeft w:val="0"/>
      <w:marRight w:val="0"/>
      <w:marTop w:val="0"/>
      <w:marBottom w:val="0"/>
      <w:divBdr>
        <w:top w:val="none" w:sz="0" w:space="0" w:color="auto"/>
        <w:left w:val="none" w:sz="0" w:space="0" w:color="auto"/>
        <w:bottom w:val="none" w:sz="0" w:space="0" w:color="auto"/>
        <w:right w:val="none" w:sz="0" w:space="0" w:color="auto"/>
      </w:divBdr>
    </w:div>
    <w:div w:id="1518815458">
      <w:bodyDiv w:val="1"/>
      <w:marLeft w:val="0"/>
      <w:marRight w:val="0"/>
      <w:marTop w:val="0"/>
      <w:marBottom w:val="0"/>
      <w:divBdr>
        <w:top w:val="none" w:sz="0" w:space="0" w:color="auto"/>
        <w:left w:val="none" w:sz="0" w:space="0" w:color="auto"/>
        <w:bottom w:val="none" w:sz="0" w:space="0" w:color="auto"/>
        <w:right w:val="none" w:sz="0" w:space="0" w:color="auto"/>
      </w:divBdr>
    </w:div>
    <w:div w:id="1518883751">
      <w:bodyDiv w:val="1"/>
      <w:marLeft w:val="0"/>
      <w:marRight w:val="0"/>
      <w:marTop w:val="0"/>
      <w:marBottom w:val="0"/>
      <w:divBdr>
        <w:top w:val="none" w:sz="0" w:space="0" w:color="auto"/>
        <w:left w:val="none" w:sz="0" w:space="0" w:color="auto"/>
        <w:bottom w:val="none" w:sz="0" w:space="0" w:color="auto"/>
        <w:right w:val="none" w:sz="0" w:space="0" w:color="auto"/>
      </w:divBdr>
    </w:div>
    <w:div w:id="1518887238">
      <w:bodyDiv w:val="1"/>
      <w:marLeft w:val="0"/>
      <w:marRight w:val="0"/>
      <w:marTop w:val="0"/>
      <w:marBottom w:val="0"/>
      <w:divBdr>
        <w:top w:val="none" w:sz="0" w:space="0" w:color="auto"/>
        <w:left w:val="none" w:sz="0" w:space="0" w:color="auto"/>
        <w:bottom w:val="none" w:sz="0" w:space="0" w:color="auto"/>
        <w:right w:val="none" w:sz="0" w:space="0" w:color="auto"/>
      </w:divBdr>
    </w:div>
    <w:div w:id="1518958338">
      <w:bodyDiv w:val="1"/>
      <w:marLeft w:val="0"/>
      <w:marRight w:val="0"/>
      <w:marTop w:val="0"/>
      <w:marBottom w:val="0"/>
      <w:divBdr>
        <w:top w:val="none" w:sz="0" w:space="0" w:color="auto"/>
        <w:left w:val="none" w:sz="0" w:space="0" w:color="auto"/>
        <w:bottom w:val="none" w:sz="0" w:space="0" w:color="auto"/>
        <w:right w:val="none" w:sz="0" w:space="0" w:color="auto"/>
      </w:divBdr>
    </w:div>
    <w:div w:id="1519077738">
      <w:bodyDiv w:val="1"/>
      <w:marLeft w:val="0"/>
      <w:marRight w:val="0"/>
      <w:marTop w:val="0"/>
      <w:marBottom w:val="0"/>
      <w:divBdr>
        <w:top w:val="none" w:sz="0" w:space="0" w:color="auto"/>
        <w:left w:val="none" w:sz="0" w:space="0" w:color="auto"/>
        <w:bottom w:val="none" w:sz="0" w:space="0" w:color="auto"/>
        <w:right w:val="none" w:sz="0" w:space="0" w:color="auto"/>
      </w:divBdr>
    </w:div>
    <w:div w:id="1519124905">
      <w:bodyDiv w:val="1"/>
      <w:marLeft w:val="0"/>
      <w:marRight w:val="0"/>
      <w:marTop w:val="0"/>
      <w:marBottom w:val="0"/>
      <w:divBdr>
        <w:top w:val="none" w:sz="0" w:space="0" w:color="auto"/>
        <w:left w:val="none" w:sz="0" w:space="0" w:color="auto"/>
        <w:bottom w:val="none" w:sz="0" w:space="0" w:color="auto"/>
        <w:right w:val="none" w:sz="0" w:space="0" w:color="auto"/>
      </w:divBdr>
    </w:div>
    <w:div w:id="1519199337">
      <w:bodyDiv w:val="1"/>
      <w:marLeft w:val="0"/>
      <w:marRight w:val="0"/>
      <w:marTop w:val="0"/>
      <w:marBottom w:val="0"/>
      <w:divBdr>
        <w:top w:val="none" w:sz="0" w:space="0" w:color="auto"/>
        <w:left w:val="none" w:sz="0" w:space="0" w:color="auto"/>
        <w:bottom w:val="none" w:sz="0" w:space="0" w:color="auto"/>
        <w:right w:val="none" w:sz="0" w:space="0" w:color="auto"/>
      </w:divBdr>
    </w:div>
    <w:div w:id="1519464504">
      <w:bodyDiv w:val="1"/>
      <w:marLeft w:val="0"/>
      <w:marRight w:val="0"/>
      <w:marTop w:val="0"/>
      <w:marBottom w:val="0"/>
      <w:divBdr>
        <w:top w:val="none" w:sz="0" w:space="0" w:color="auto"/>
        <w:left w:val="none" w:sz="0" w:space="0" w:color="auto"/>
        <w:bottom w:val="none" w:sz="0" w:space="0" w:color="auto"/>
        <w:right w:val="none" w:sz="0" w:space="0" w:color="auto"/>
      </w:divBdr>
    </w:div>
    <w:div w:id="1519660836">
      <w:bodyDiv w:val="1"/>
      <w:marLeft w:val="0"/>
      <w:marRight w:val="0"/>
      <w:marTop w:val="0"/>
      <w:marBottom w:val="0"/>
      <w:divBdr>
        <w:top w:val="none" w:sz="0" w:space="0" w:color="auto"/>
        <w:left w:val="none" w:sz="0" w:space="0" w:color="auto"/>
        <w:bottom w:val="none" w:sz="0" w:space="0" w:color="auto"/>
        <w:right w:val="none" w:sz="0" w:space="0" w:color="auto"/>
      </w:divBdr>
    </w:div>
    <w:div w:id="1519732480">
      <w:bodyDiv w:val="1"/>
      <w:marLeft w:val="0"/>
      <w:marRight w:val="0"/>
      <w:marTop w:val="0"/>
      <w:marBottom w:val="0"/>
      <w:divBdr>
        <w:top w:val="none" w:sz="0" w:space="0" w:color="auto"/>
        <w:left w:val="none" w:sz="0" w:space="0" w:color="auto"/>
        <w:bottom w:val="none" w:sz="0" w:space="0" w:color="auto"/>
        <w:right w:val="none" w:sz="0" w:space="0" w:color="auto"/>
      </w:divBdr>
    </w:div>
    <w:div w:id="1519780499">
      <w:bodyDiv w:val="1"/>
      <w:marLeft w:val="0"/>
      <w:marRight w:val="0"/>
      <w:marTop w:val="0"/>
      <w:marBottom w:val="0"/>
      <w:divBdr>
        <w:top w:val="none" w:sz="0" w:space="0" w:color="auto"/>
        <w:left w:val="none" w:sz="0" w:space="0" w:color="auto"/>
        <w:bottom w:val="none" w:sz="0" w:space="0" w:color="auto"/>
        <w:right w:val="none" w:sz="0" w:space="0" w:color="auto"/>
      </w:divBdr>
    </w:div>
    <w:div w:id="1519780766">
      <w:bodyDiv w:val="1"/>
      <w:marLeft w:val="0"/>
      <w:marRight w:val="0"/>
      <w:marTop w:val="0"/>
      <w:marBottom w:val="0"/>
      <w:divBdr>
        <w:top w:val="none" w:sz="0" w:space="0" w:color="auto"/>
        <w:left w:val="none" w:sz="0" w:space="0" w:color="auto"/>
        <w:bottom w:val="none" w:sz="0" w:space="0" w:color="auto"/>
        <w:right w:val="none" w:sz="0" w:space="0" w:color="auto"/>
      </w:divBdr>
    </w:div>
    <w:div w:id="1519807481">
      <w:bodyDiv w:val="1"/>
      <w:marLeft w:val="0"/>
      <w:marRight w:val="0"/>
      <w:marTop w:val="0"/>
      <w:marBottom w:val="0"/>
      <w:divBdr>
        <w:top w:val="none" w:sz="0" w:space="0" w:color="auto"/>
        <w:left w:val="none" w:sz="0" w:space="0" w:color="auto"/>
        <w:bottom w:val="none" w:sz="0" w:space="0" w:color="auto"/>
        <w:right w:val="none" w:sz="0" w:space="0" w:color="auto"/>
      </w:divBdr>
    </w:div>
    <w:div w:id="1519812197">
      <w:bodyDiv w:val="1"/>
      <w:marLeft w:val="0"/>
      <w:marRight w:val="0"/>
      <w:marTop w:val="0"/>
      <w:marBottom w:val="0"/>
      <w:divBdr>
        <w:top w:val="none" w:sz="0" w:space="0" w:color="auto"/>
        <w:left w:val="none" w:sz="0" w:space="0" w:color="auto"/>
        <w:bottom w:val="none" w:sz="0" w:space="0" w:color="auto"/>
        <w:right w:val="none" w:sz="0" w:space="0" w:color="auto"/>
      </w:divBdr>
    </w:div>
    <w:div w:id="1520120475">
      <w:bodyDiv w:val="1"/>
      <w:marLeft w:val="0"/>
      <w:marRight w:val="0"/>
      <w:marTop w:val="0"/>
      <w:marBottom w:val="0"/>
      <w:divBdr>
        <w:top w:val="none" w:sz="0" w:space="0" w:color="auto"/>
        <w:left w:val="none" w:sz="0" w:space="0" w:color="auto"/>
        <w:bottom w:val="none" w:sz="0" w:space="0" w:color="auto"/>
        <w:right w:val="none" w:sz="0" w:space="0" w:color="auto"/>
      </w:divBdr>
    </w:div>
    <w:div w:id="1520310224">
      <w:bodyDiv w:val="1"/>
      <w:marLeft w:val="0"/>
      <w:marRight w:val="0"/>
      <w:marTop w:val="0"/>
      <w:marBottom w:val="0"/>
      <w:divBdr>
        <w:top w:val="none" w:sz="0" w:space="0" w:color="auto"/>
        <w:left w:val="none" w:sz="0" w:space="0" w:color="auto"/>
        <w:bottom w:val="none" w:sz="0" w:space="0" w:color="auto"/>
        <w:right w:val="none" w:sz="0" w:space="0" w:color="auto"/>
      </w:divBdr>
    </w:div>
    <w:div w:id="1520312466">
      <w:bodyDiv w:val="1"/>
      <w:marLeft w:val="0"/>
      <w:marRight w:val="0"/>
      <w:marTop w:val="0"/>
      <w:marBottom w:val="0"/>
      <w:divBdr>
        <w:top w:val="none" w:sz="0" w:space="0" w:color="auto"/>
        <w:left w:val="none" w:sz="0" w:space="0" w:color="auto"/>
        <w:bottom w:val="none" w:sz="0" w:space="0" w:color="auto"/>
        <w:right w:val="none" w:sz="0" w:space="0" w:color="auto"/>
      </w:divBdr>
    </w:div>
    <w:div w:id="1520387093">
      <w:bodyDiv w:val="1"/>
      <w:marLeft w:val="0"/>
      <w:marRight w:val="0"/>
      <w:marTop w:val="0"/>
      <w:marBottom w:val="0"/>
      <w:divBdr>
        <w:top w:val="none" w:sz="0" w:space="0" w:color="auto"/>
        <w:left w:val="none" w:sz="0" w:space="0" w:color="auto"/>
        <w:bottom w:val="none" w:sz="0" w:space="0" w:color="auto"/>
        <w:right w:val="none" w:sz="0" w:space="0" w:color="auto"/>
      </w:divBdr>
    </w:div>
    <w:div w:id="1520503972">
      <w:bodyDiv w:val="1"/>
      <w:marLeft w:val="0"/>
      <w:marRight w:val="0"/>
      <w:marTop w:val="0"/>
      <w:marBottom w:val="0"/>
      <w:divBdr>
        <w:top w:val="none" w:sz="0" w:space="0" w:color="auto"/>
        <w:left w:val="none" w:sz="0" w:space="0" w:color="auto"/>
        <w:bottom w:val="none" w:sz="0" w:space="0" w:color="auto"/>
        <w:right w:val="none" w:sz="0" w:space="0" w:color="auto"/>
      </w:divBdr>
    </w:div>
    <w:div w:id="1520924174">
      <w:bodyDiv w:val="1"/>
      <w:marLeft w:val="0"/>
      <w:marRight w:val="0"/>
      <w:marTop w:val="0"/>
      <w:marBottom w:val="0"/>
      <w:divBdr>
        <w:top w:val="none" w:sz="0" w:space="0" w:color="auto"/>
        <w:left w:val="none" w:sz="0" w:space="0" w:color="auto"/>
        <w:bottom w:val="none" w:sz="0" w:space="0" w:color="auto"/>
        <w:right w:val="none" w:sz="0" w:space="0" w:color="auto"/>
      </w:divBdr>
    </w:div>
    <w:div w:id="1521045633">
      <w:bodyDiv w:val="1"/>
      <w:marLeft w:val="0"/>
      <w:marRight w:val="0"/>
      <w:marTop w:val="0"/>
      <w:marBottom w:val="0"/>
      <w:divBdr>
        <w:top w:val="none" w:sz="0" w:space="0" w:color="auto"/>
        <w:left w:val="none" w:sz="0" w:space="0" w:color="auto"/>
        <w:bottom w:val="none" w:sz="0" w:space="0" w:color="auto"/>
        <w:right w:val="none" w:sz="0" w:space="0" w:color="auto"/>
      </w:divBdr>
    </w:div>
    <w:div w:id="1521090961">
      <w:bodyDiv w:val="1"/>
      <w:marLeft w:val="0"/>
      <w:marRight w:val="0"/>
      <w:marTop w:val="0"/>
      <w:marBottom w:val="0"/>
      <w:divBdr>
        <w:top w:val="none" w:sz="0" w:space="0" w:color="auto"/>
        <w:left w:val="none" w:sz="0" w:space="0" w:color="auto"/>
        <w:bottom w:val="none" w:sz="0" w:space="0" w:color="auto"/>
        <w:right w:val="none" w:sz="0" w:space="0" w:color="auto"/>
      </w:divBdr>
    </w:div>
    <w:div w:id="1521121422">
      <w:bodyDiv w:val="1"/>
      <w:marLeft w:val="0"/>
      <w:marRight w:val="0"/>
      <w:marTop w:val="0"/>
      <w:marBottom w:val="0"/>
      <w:divBdr>
        <w:top w:val="none" w:sz="0" w:space="0" w:color="auto"/>
        <w:left w:val="none" w:sz="0" w:space="0" w:color="auto"/>
        <w:bottom w:val="none" w:sz="0" w:space="0" w:color="auto"/>
        <w:right w:val="none" w:sz="0" w:space="0" w:color="auto"/>
      </w:divBdr>
    </w:div>
    <w:div w:id="1521239668">
      <w:bodyDiv w:val="1"/>
      <w:marLeft w:val="0"/>
      <w:marRight w:val="0"/>
      <w:marTop w:val="0"/>
      <w:marBottom w:val="0"/>
      <w:divBdr>
        <w:top w:val="none" w:sz="0" w:space="0" w:color="auto"/>
        <w:left w:val="none" w:sz="0" w:space="0" w:color="auto"/>
        <w:bottom w:val="none" w:sz="0" w:space="0" w:color="auto"/>
        <w:right w:val="none" w:sz="0" w:space="0" w:color="auto"/>
      </w:divBdr>
    </w:div>
    <w:div w:id="1521436074">
      <w:bodyDiv w:val="1"/>
      <w:marLeft w:val="0"/>
      <w:marRight w:val="0"/>
      <w:marTop w:val="0"/>
      <w:marBottom w:val="0"/>
      <w:divBdr>
        <w:top w:val="none" w:sz="0" w:space="0" w:color="auto"/>
        <w:left w:val="none" w:sz="0" w:space="0" w:color="auto"/>
        <w:bottom w:val="none" w:sz="0" w:space="0" w:color="auto"/>
        <w:right w:val="none" w:sz="0" w:space="0" w:color="auto"/>
      </w:divBdr>
    </w:div>
    <w:div w:id="1521503729">
      <w:bodyDiv w:val="1"/>
      <w:marLeft w:val="0"/>
      <w:marRight w:val="0"/>
      <w:marTop w:val="0"/>
      <w:marBottom w:val="0"/>
      <w:divBdr>
        <w:top w:val="none" w:sz="0" w:space="0" w:color="auto"/>
        <w:left w:val="none" w:sz="0" w:space="0" w:color="auto"/>
        <w:bottom w:val="none" w:sz="0" w:space="0" w:color="auto"/>
        <w:right w:val="none" w:sz="0" w:space="0" w:color="auto"/>
      </w:divBdr>
    </w:div>
    <w:div w:id="1521628561">
      <w:bodyDiv w:val="1"/>
      <w:marLeft w:val="0"/>
      <w:marRight w:val="0"/>
      <w:marTop w:val="0"/>
      <w:marBottom w:val="0"/>
      <w:divBdr>
        <w:top w:val="none" w:sz="0" w:space="0" w:color="auto"/>
        <w:left w:val="none" w:sz="0" w:space="0" w:color="auto"/>
        <w:bottom w:val="none" w:sz="0" w:space="0" w:color="auto"/>
        <w:right w:val="none" w:sz="0" w:space="0" w:color="auto"/>
      </w:divBdr>
    </w:div>
    <w:div w:id="1521747760">
      <w:bodyDiv w:val="1"/>
      <w:marLeft w:val="0"/>
      <w:marRight w:val="0"/>
      <w:marTop w:val="0"/>
      <w:marBottom w:val="0"/>
      <w:divBdr>
        <w:top w:val="none" w:sz="0" w:space="0" w:color="auto"/>
        <w:left w:val="none" w:sz="0" w:space="0" w:color="auto"/>
        <w:bottom w:val="none" w:sz="0" w:space="0" w:color="auto"/>
        <w:right w:val="none" w:sz="0" w:space="0" w:color="auto"/>
      </w:divBdr>
    </w:div>
    <w:div w:id="1521968955">
      <w:bodyDiv w:val="1"/>
      <w:marLeft w:val="0"/>
      <w:marRight w:val="0"/>
      <w:marTop w:val="0"/>
      <w:marBottom w:val="0"/>
      <w:divBdr>
        <w:top w:val="none" w:sz="0" w:space="0" w:color="auto"/>
        <w:left w:val="none" w:sz="0" w:space="0" w:color="auto"/>
        <w:bottom w:val="none" w:sz="0" w:space="0" w:color="auto"/>
        <w:right w:val="none" w:sz="0" w:space="0" w:color="auto"/>
      </w:divBdr>
    </w:div>
    <w:div w:id="1521970078">
      <w:bodyDiv w:val="1"/>
      <w:marLeft w:val="0"/>
      <w:marRight w:val="0"/>
      <w:marTop w:val="0"/>
      <w:marBottom w:val="0"/>
      <w:divBdr>
        <w:top w:val="none" w:sz="0" w:space="0" w:color="auto"/>
        <w:left w:val="none" w:sz="0" w:space="0" w:color="auto"/>
        <w:bottom w:val="none" w:sz="0" w:space="0" w:color="auto"/>
        <w:right w:val="none" w:sz="0" w:space="0" w:color="auto"/>
      </w:divBdr>
    </w:div>
    <w:div w:id="1521973676">
      <w:bodyDiv w:val="1"/>
      <w:marLeft w:val="0"/>
      <w:marRight w:val="0"/>
      <w:marTop w:val="0"/>
      <w:marBottom w:val="0"/>
      <w:divBdr>
        <w:top w:val="none" w:sz="0" w:space="0" w:color="auto"/>
        <w:left w:val="none" w:sz="0" w:space="0" w:color="auto"/>
        <w:bottom w:val="none" w:sz="0" w:space="0" w:color="auto"/>
        <w:right w:val="none" w:sz="0" w:space="0" w:color="auto"/>
      </w:divBdr>
    </w:div>
    <w:div w:id="1522011277">
      <w:bodyDiv w:val="1"/>
      <w:marLeft w:val="0"/>
      <w:marRight w:val="0"/>
      <w:marTop w:val="0"/>
      <w:marBottom w:val="0"/>
      <w:divBdr>
        <w:top w:val="none" w:sz="0" w:space="0" w:color="auto"/>
        <w:left w:val="none" w:sz="0" w:space="0" w:color="auto"/>
        <w:bottom w:val="none" w:sz="0" w:space="0" w:color="auto"/>
        <w:right w:val="none" w:sz="0" w:space="0" w:color="auto"/>
      </w:divBdr>
    </w:div>
    <w:div w:id="1522088568">
      <w:bodyDiv w:val="1"/>
      <w:marLeft w:val="0"/>
      <w:marRight w:val="0"/>
      <w:marTop w:val="0"/>
      <w:marBottom w:val="0"/>
      <w:divBdr>
        <w:top w:val="none" w:sz="0" w:space="0" w:color="auto"/>
        <w:left w:val="none" w:sz="0" w:space="0" w:color="auto"/>
        <w:bottom w:val="none" w:sz="0" w:space="0" w:color="auto"/>
        <w:right w:val="none" w:sz="0" w:space="0" w:color="auto"/>
      </w:divBdr>
    </w:div>
    <w:div w:id="1522208816">
      <w:bodyDiv w:val="1"/>
      <w:marLeft w:val="0"/>
      <w:marRight w:val="0"/>
      <w:marTop w:val="0"/>
      <w:marBottom w:val="0"/>
      <w:divBdr>
        <w:top w:val="none" w:sz="0" w:space="0" w:color="auto"/>
        <w:left w:val="none" w:sz="0" w:space="0" w:color="auto"/>
        <w:bottom w:val="none" w:sz="0" w:space="0" w:color="auto"/>
        <w:right w:val="none" w:sz="0" w:space="0" w:color="auto"/>
      </w:divBdr>
    </w:div>
    <w:div w:id="1522235104">
      <w:bodyDiv w:val="1"/>
      <w:marLeft w:val="0"/>
      <w:marRight w:val="0"/>
      <w:marTop w:val="0"/>
      <w:marBottom w:val="0"/>
      <w:divBdr>
        <w:top w:val="none" w:sz="0" w:space="0" w:color="auto"/>
        <w:left w:val="none" w:sz="0" w:space="0" w:color="auto"/>
        <w:bottom w:val="none" w:sz="0" w:space="0" w:color="auto"/>
        <w:right w:val="none" w:sz="0" w:space="0" w:color="auto"/>
      </w:divBdr>
    </w:div>
    <w:div w:id="1522665549">
      <w:bodyDiv w:val="1"/>
      <w:marLeft w:val="0"/>
      <w:marRight w:val="0"/>
      <w:marTop w:val="0"/>
      <w:marBottom w:val="0"/>
      <w:divBdr>
        <w:top w:val="none" w:sz="0" w:space="0" w:color="auto"/>
        <w:left w:val="none" w:sz="0" w:space="0" w:color="auto"/>
        <w:bottom w:val="none" w:sz="0" w:space="0" w:color="auto"/>
        <w:right w:val="none" w:sz="0" w:space="0" w:color="auto"/>
      </w:divBdr>
    </w:div>
    <w:div w:id="1522739960">
      <w:bodyDiv w:val="1"/>
      <w:marLeft w:val="0"/>
      <w:marRight w:val="0"/>
      <w:marTop w:val="0"/>
      <w:marBottom w:val="0"/>
      <w:divBdr>
        <w:top w:val="none" w:sz="0" w:space="0" w:color="auto"/>
        <w:left w:val="none" w:sz="0" w:space="0" w:color="auto"/>
        <w:bottom w:val="none" w:sz="0" w:space="0" w:color="auto"/>
        <w:right w:val="none" w:sz="0" w:space="0" w:color="auto"/>
      </w:divBdr>
    </w:div>
    <w:div w:id="1522743154">
      <w:bodyDiv w:val="1"/>
      <w:marLeft w:val="0"/>
      <w:marRight w:val="0"/>
      <w:marTop w:val="0"/>
      <w:marBottom w:val="0"/>
      <w:divBdr>
        <w:top w:val="none" w:sz="0" w:space="0" w:color="auto"/>
        <w:left w:val="none" w:sz="0" w:space="0" w:color="auto"/>
        <w:bottom w:val="none" w:sz="0" w:space="0" w:color="auto"/>
        <w:right w:val="none" w:sz="0" w:space="0" w:color="auto"/>
      </w:divBdr>
    </w:div>
    <w:div w:id="1522864594">
      <w:bodyDiv w:val="1"/>
      <w:marLeft w:val="0"/>
      <w:marRight w:val="0"/>
      <w:marTop w:val="0"/>
      <w:marBottom w:val="0"/>
      <w:divBdr>
        <w:top w:val="none" w:sz="0" w:space="0" w:color="auto"/>
        <w:left w:val="none" w:sz="0" w:space="0" w:color="auto"/>
        <w:bottom w:val="none" w:sz="0" w:space="0" w:color="auto"/>
        <w:right w:val="none" w:sz="0" w:space="0" w:color="auto"/>
      </w:divBdr>
    </w:div>
    <w:div w:id="1523010040">
      <w:bodyDiv w:val="1"/>
      <w:marLeft w:val="0"/>
      <w:marRight w:val="0"/>
      <w:marTop w:val="0"/>
      <w:marBottom w:val="0"/>
      <w:divBdr>
        <w:top w:val="none" w:sz="0" w:space="0" w:color="auto"/>
        <w:left w:val="none" w:sz="0" w:space="0" w:color="auto"/>
        <w:bottom w:val="none" w:sz="0" w:space="0" w:color="auto"/>
        <w:right w:val="none" w:sz="0" w:space="0" w:color="auto"/>
      </w:divBdr>
    </w:div>
    <w:div w:id="1523012332">
      <w:bodyDiv w:val="1"/>
      <w:marLeft w:val="0"/>
      <w:marRight w:val="0"/>
      <w:marTop w:val="0"/>
      <w:marBottom w:val="0"/>
      <w:divBdr>
        <w:top w:val="none" w:sz="0" w:space="0" w:color="auto"/>
        <w:left w:val="none" w:sz="0" w:space="0" w:color="auto"/>
        <w:bottom w:val="none" w:sz="0" w:space="0" w:color="auto"/>
        <w:right w:val="none" w:sz="0" w:space="0" w:color="auto"/>
      </w:divBdr>
    </w:div>
    <w:div w:id="1523133400">
      <w:bodyDiv w:val="1"/>
      <w:marLeft w:val="0"/>
      <w:marRight w:val="0"/>
      <w:marTop w:val="0"/>
      <w:marBottom w:val="0"/>
      <w:divBdr>
        <w:top w:val="none" w:sz="0" w:space="0" w:color="auto"/>
        <w:left w:val="none" w:sz="0" w:space="0" w:color="auto"/>
        <w:bottom w:val="none" w:sz="0" w:space="0" w:color="auto"/>
        <w:right w:val="none" w:sz="0" w:space="0" w:color="auto"/>
      </w:divBdr>
    </w:div>
    <w:div w:id="1523203179">
      <w:bodyDiv w:val="1"/>
      <w:marLeft w:val="0"/>
      <w:marRight w:val="0"/>
      <w:marTop w:val="0"/>
      <w:marBottom w:val="0"/>
      <w:divBdr>
        <w:top w:val="none" w:sz="0" w:space="0" w:color="auto"/>
        <w:left w:val="none" w:sz="0" w:space="0" w:color="auto"/>
        <w:bottom w:val="none" w:sz="0" w:space="0" w:color="auto"/>
        <w:right w:val="none" w:sz="0" w:space="0" w:color="auto"/>
      </w:divBdr>
    </w:div>
    <w:div w:id="1523279658">
      <w:bodyDiv w:val="1"/>
      <w:marLeft w:val="0"/>
      <w:marRight w:val="0"/>
      <w:marTop w:val="0"/>
      <w:marBottom w:val="0"/>
      <w:divBdr>
        <w:top w:val="none" w:sz="0" w:space="0" w:color="auto"/>
        <w:left w:val="none" w:sz="0" w:space="0" w:color="auto"/>
        <w:bottom w:val="none" w:sz="0" w:space="0" w:color="auto"/>
        <w:right w:val="none" w:sz="0" w:space="0" w:color="auto"/>
      </w:divBdr>
    </w:div>
    <w:div w:id="1523737240">
      <w:bodyDiv w:val="1"/>
      <w:marLeft w:val="0"/>
      <w:marRight w:val="0"/>
      <w:marTop w:val="0"/>
      <w:marBottom w:val="0"/>
      <w:divBdr>
        <w:top w:val="none" w:sz="0" w:space="0" w:color="auto"/>
        <w:left w:val="none" w:sz="0" w:space="0" w:color="auto"/>
        <w:bottom w:val="none" w:sz="0" w:space="0" w:color="auto"/>
        <w:right w:val="none" w:sz="0" w:space="0" w:color="auto"/>
      </w:divBdr>
    </w:div>
    <w:div w:id="1523787486">
      <w:bodyDiv w:val="1"/>
      <w:marLeft w:val="0"/>
      <w:marRight w:val="0"/>
      <w:marTop w:val="0"/>
      <w:marBottom w:val="0"/>
      <w:divBdr>
        <w:top w:val="none" w:sz="0" w:space="0" w:color="auto"/>
        <w:left w:val="none" w:sz="0" w:space="0" w:color="auto"/>
        <w:bottom w:val="none" w:sz="0" w:space="0" w:color="auto"/>
        <w:right w:val="none" w:sz="0" w:space="0" w:color="auto"/>
      </w:divBdr>
    </w:div>
    <w:div w:id="1523861296">
      <w:bodyDiv w:val="1"/>
      <w:marLeft w:val="0"/>
      <w:marRight w:val="0"/>
      <w:marTop w:val="0"/>
      <w:marBottom w:val="0"/>
      <w:divBdr>
        <w:top w:val="none" w:sz="0" w:space="0" w:color="auto"/>
        <w:left w:val="none" w:sz="0" w:space="0" w:color="auto"/>
        <w:bottom w:val="none" w:sz="0" w:space="0" w:color="auto"/>
        <w:right w:val="none" w:sz="0" w:space="0" w:color="auto"/>
      </w:divBdr>
    </w:div>
    <w:div w:id="1523934575">
      <w:bodyDiv w:val="1"/>
      <w:marLeft w:val="0"/>
      <w:marRight w:val="0"/>
      <w:marTop w:val="0"/>
      <w:marBottom w:val="0"/>
      <w:divBdr>
        <w:top w:val="none" w:sz="0" w:space="0" w:color="auto"/>
        <w:left w:val="none" w:sz="0" w:space="0" w:color="auto"/>
        <w:bottom w:val="none" w:sz="0" w:space="0" w:color="auto"/>
        <w:right w:val="none" w:sz="0" w:space="0" w:color="auto"/>
      </w:divBdr>
    </w:div>
    <w:div w:id="1524005619">
      <w:bodyDiv w:val="1"/>
      <w:marLeft w:val="0"/>
      <w:marRight w:val="0"/>
      <w:marTop w:val="0"/>
      <w:marBottom w:val="0"/>
      <w:divBdr>
        <w:top w:val="none" w:sz="0" w:space="0" w:color="auto"/>
        <w:left w:val="none" w:sz="0" w:space="0" w:color="auto"/>
        <w:bottom w:val="none" w:sz="0" w:space="0" w:color="auto"/>
        <w:right w:val="none" w:sz="0" w:space="0" w:color="auto"/>
      </w:divBdr>
    </w:div>
    <w:div w:id="1524200082">
      <w:bodyDiv w:val="1"/>
      <w:marLeft w:val="0"/>
      <w:marRight w:val="0"/>
      <w:marTop w:val="0"/>
      <w:marBottom w:val="0"/>
      <w:divBdr>
        <w:top w:val="none" w:sz="0" w:space="0" w:color="auto"/>
        <w:left w:val="none" w:sz="0" w:space="0" w:color="auto"/>
        <w:bottom w:val="none" w:sz="0" w:space="0" w:color="auto"/>
        <w:right w:val="none" w:sz="0" w:space="0" w:color="auto"/>
      </w:divBdr>
    </w:div>
    <w:div w:id="1524249704">
      <w:bodyDiv w:val="1"/>
      <w:marLeft w:val="0"/>
      <w:marRight w:val="0"/>
      <w:marTop w:val="0"/>
      <w:marBottom w:val="0"/>
      <w:divBdr>
        <w:top w:val="none" w:sz="0" w:space="0" w:color="auto"/>
        <w:left w:val="none" w:sz="0" w:space="0" w:color="auto"/>
        <w:bottom w:val="none" w:sz="0" w:space="0" w:color="auto"/>
        <w:right w:val="none" w:sz="0" w:space="0" w:color="auto"/>
      </w:divBdr>
    </w:div>
    <w:div w:id="1525292820">
      <w:bodyDiv w:val="1"/>
      <w:marLeft w:val="0"/>
      <w:marRight w:val="0"/>
      <w:marTop w:val="0"/>
      <w:marBottom w:val="0"/>
      <w:divBdr>
        <w:top w:val="none" w:sz="0" w:space="0" w:color="auto"/>
        <w:left w:val="none" w:sz="0" w:space="0" w:color="auto"/>
        <w:bottom w:val="none" w:sz="0" w:space="0" w:color="auto"/>
        <w:right w:val="none" w:sz="0" w:space="0" w:color="auto"/>
      </w:divBdr>
    </w:div>
    <w:div w:id="1525362756">
      <w:bodyDiv w:val="1"/>
      <w:marLeft w:val="0"/>
      <w:marRight w:val="0"/>
      <w:marTop w:val="0"/>
      <w:marBottom w:val="0"/>
      <w:divBdr>
        <w:top w:val="none" w:sz="0" w:space="0" w:color="auto"/>
        <w:left w:val="none" w:sz="0" w:space="0" w:color="auto"/>
        <w:bottom w:val="none" w:sz="0" w:space="0" w:color="auto"/>
        <w:right w:val="none" w:sz="0" w:space="0" w:color="auto"/>
      </w:divBdr>
    </w:div>
    <w:div w:id="1525482609">
      <w:bodyDiv w:val="1"/>
      <w:marLeft w:val="0"/>
      <w:marRight w:val="0"/>
      <w:marTop w:val="0"/>
      <w:marBottom w:val="0"/>
      <w:divBdr>
        <w:top w:val="none" w:sz="0" w:space="0" w:color="auto"/>
        <w:left w:val="none" w:sz="0" w:space="0" w:color="auto"/>
        <w:bottom w:val="none" w:sz="0" w:space="0" w:color="auto"/>
        <w:right w:val="none" w:sz="0" w:space="0" w:color="auto"/>
      </w:divBdr>
    </w:div>
    <w:div w:id="1525483693">
      <w:bodyDiv w:val="1"/>
      <w:marLeft w:val="0"/>
      <w:marRight w:val="0"/>
      <w:marTop w:val="0"/>
      <w:marBottom w:val="0"/>
      <w:divBdr>
        <w:top w:val="none" w:sz="0" w:space="0" w:color="auto"/>
        <w:left w:val="none" w:sz="0" w:space="0" w:color="auto"/>
        <w:bottom w:val="none" w:sz="0" w:space="0" w:color="auto"/>
        <w:right w:val="none" w:sz="0" w:space="0" w:color="auto"/>
      </w:divBdr>
    </w:div>
    <w:div w:id="1525556893">
      <w:bodyDiv w:val="1"/>
      <w:marLeft w:val="0"/>
      <w:marRight w:val="0"/>
      <w:marTop w:val="0"/>
      <w:marBottom w:val="0"/>
      <w:divBdr>
        <w:top w:val="none" w:sz="0" w:space="0" w:color="auto"/>
        <w:left w:val="none" w:sz="0" w:space="0" w:color="auto"/>
        <w:bottom w:val="none" w:sz="0" w:space="0" w:color="auto"/>
        <w:right w:val="none" w:sz="0" w:space="0" w:color="auto"/>
      </w:divBdr>
    </w:div>
    <w:div w:id="1525627927">
      <w:bodyDiv w:val="1"/>
      <w:marLeft w:val="0"/>
      <w:marRight w:val="0"/>
      <w:marTop w:val="0"/>
      <w:marBottom w:val="0"/>
      <w:divBdr>
        <w:top w:val="none" w:sz="0" w:space="0" w:color="auto"/>
        <w:left w:val="none" w:sz="0" w:space="0" w:color="auto"/>
        <w:bottom w:val="none" w:sz="0" w:space="0" w:color="auto"/>
        <w:right w:val="none" w:sz="0" w:space="0" w:color="auto"/>
      </w:divBdr>
    </w:div>
    <w:div w:id="1525751940">
      <w:bodyDiv w:val="1"/>
      <w:marLeft w:val="0"/>
      <w:marRight w:val="0"/>
      <w:marTop w:val="0"/>
      <w:marBottom w:val="0"/>
      <w:divBdr>
        <w:top w:val="none" w:sz="0" w:space="0" w:color="auto"/>
        <w:left w:val="none" w:sz="0" w:space="0" w:color="auto"/>
        <w:bottom w:val="none" w:sz="0" w:space="0" w:color="auto"/>
        <w:right w:val="none" w:sz="0" w:space="0" w:color="auto"/>
      </w:divBdr>
    </w:div>
    <w:div w:id="1525827686">
      <w:bodyDiv w:val="1"/>
      <w:marLeft w:val="0"/>
      <w:marRight w:val="0"/>
      <w:marTop w:val="0"/>
      <w:marBottom w:val="0"/>
      <w:divBdr>
        <w:top w:val="none" w:sz="0" w:space="0" w:color="auto"/>
        <w:left w:val="none" w:sz="0" w:space="0" w:color="auto"/>
        <w:bottom w:val="none" w:sz="0" w:space="0" w:color="auto"/>
        <w:right w:val="none" w:sz="0" w:space="0" w:color="auto"/>
      </w:divBdr>
    </w:div>
    <w:div w:id="1525940377">
      <w:bodyDiv w:val="1"/>
      <w:marLeft w:val="0"/>
      <w:marRight w:val="0"/>
      <w:marTop w:val="0"/>
      <w:marBottom w:val="0"/>
      <w:divBdr>
        <w:top w:val="none" w:sz="0" w:space="0" w:color="auto"/>
        <w:left w:val="none" w:sz="0" w:space="0" w:color="auto"/>
        <w:bottom w:val="none" w:sz="0" w:space="0" w:color="auto"/>
        <w:right w:val="none" w:sz="0" w:space="0" w:color="auto"/>
      </w:divBdr>
    </w:div>
    <w:div w:id="1526015690">
      <w:bodyDiv w:val="1"/>
      <w:marLeft w:val="0"/>
      <w:marRight w:val="0"/>
      <w:marTop w:val="0"/>
      <w:marBottom w:val="0"/>
      <w:divBdr>
        <w:top w:val="none" w:sz="0" w:space="0" w:color="auto"/>
        <w:left w:val="none" w:sz="0" w:space="0" w:color="auto"/>
        <w:bottom w:val="none" w:sz="0" w:space="0" w:color="auto"/>
        <w:right w:val="none" w:sz="0" w:space="0" w:color="auto"/>
      </w:divBdr>
    </w:div>
    <w:div w:id="1526092419">
      <w:bodyDiv w:val="1"/>
      <w:marLeft w:val="0"/>
      <w:marRight w:val="0"/>
      <w:marTop w:val="0"/>
      <w:marBottom w:val="0"/>
      <w:divBdr>
        <w:top w:val="none" w:sz="0" w:space="0" w:color="auto"/>
        <w:left w:val="none" w:sz="0" w:space="0" w:color="auto"/>
        <w:bottom w:val="none" w:sz="0" w:space="0" w:color="auto"/>
        <w:right w:val="none" w:sz="0" w:space="0" w:color="auto"/>
      </w:divBdr>
    </w:div>
    <w:div w:id="1526167081">
      <w:bodyDiv w:val="1"/>
      <w:marLeft w:val="0"/>
      <w:marRight w:val="0"/>
      <w:marTop w:val="0"/>
      <w:marBottom w:val="0"/>
      <w:divBdr>
        <w:top w:val="none" w:sz="0" w:space="0" w:color="auto"/>
        <w:left w:val="none" w:sz="0" w:space="0" w:color="auto"/>
        <w:bottom w:val="none" w:sz="0" w:space="0" w:color="auto"/>
        <w:right w:val="none" w:sz="0" w:space="0" w:color="auto"/>
      </w:divBdr>
    </w:div>
    <w:div w:id="1526400622">
      <w:bodyDiv w:val="1"/>
      <w:marLeft w:val="0"/>
      <w:marRight w:val="0"/>
      <w:marTop w:val="0"/>
      <w:marBottom w:val="0"/>
      <w:divBdr>
        <w:top w:val="none" w:sz="0" w:space="0" w:color="auto"/>
        <w:left w:val="none" w:sz="0" w:space="0" w:color="auto"/>
        <w:bottom w:val="none" w:sz="0" w:space="0" w:color="auto"/>
        <w:right w:val="none" w:sz="0" w:space="0" w:color="auto"/>
      </w:divBdr>
    </w:div>
    <w:div w:id="1526601663">
      <w:bodyDiv w:val="1"/>
      <w:marLeft w:val="0"/>
      <w:marRight w:val="0"/>
      <w:marTop w:val="0"/>
      <w:marBottom w:val="0"/>
      <w:divBdr>
        <w:top w:val="none" w:sz="0" w:space="0" w:color="auto"/>
        <w:left w:val="none" w:sz="0" w:space="0" w:color="auto"/>
        <w:bottom w:val="none" w:sz="0" w:space="0" w:color="auto"/>
        <w:right w:val="none" w:sz="0" w:space="0" w:color="auto"/>
      </w:divBdr>
    </w:div>
    <w:div w:id="1526678792">
      <w:bodyDiv w:val="1"/>
      <w:marLeft w:val="0"/>
      <w:marRight w:val="0"/>
      <w:marTop w:val="0"/>
      <w:marBottom w:val="0"/>
      <w:divBdr>
        <w:top w:val="none" w:sz="0" w:space="0" w:color="auto"/>
        <w:left w:val="none" w:sz="0" w:space="0" w:color="auto"/>
        <w:bottom w:val="none" w:sz="0" w:space="0" w:color="auto"/>
        <w:right w:val="none" w:sz="0" w:space="0" w:color="auto"/>
      </w:divBdr>
    </w:div>
    <w:div w:id="1526865717">
      <w:bodyDiv w:val="1"/>
      <w:marLeft w:val="0"/>
      <w:marRight w:val="0"/>
      <w:marTop w:val="0"/>
      <w:marBottom w:val="0"/>
      <w:divBdr>
        <w:top w:val="none" w:sz="0" w:space="0" w:color="auto"/>
        <w:left w:val="none" w:sz="0" w:space="0" w:color="auto"/>
        <w:bottom w:val="none" w:sz="0" w:space="0" w:color="auto"/>
        <w:right w:val="none" w:sz="0" w:space="0" w:color="auto"/>
      </w:divBdr>
    </w:div>
    <w:div w:id="1526867231">
      <w:bodyDiv w:val="1"/>
      <w:marLeft w:val="0"/>
      <w:marRight w:val="0"/>
      <w:marTop w:val="0"/>
      <w:marBottom w:val="0"/>
      <w:divBdr>
        <w:top w:val="none" w:sz="0" w:space="0" w:color="auto"/>
        <w:left w:val="none" w:sz="0" w:space="0" w:color="auto"/>
        <w:bottom w:val="none" w:sz="0" w:space="0" w:color="auto"/>
        <w:right w:val="none" w:sz="0" w:space="0" w:color="auto"/>
      </w:divBdr>
    </w:div>
    <w:div w:id="1527015366">
      <w:bodyDiv w:val="1"/>
      <w:marLeft w:val="0"/>
      <w:marRight w:val="0"/>
      <w:marTop w:val="0"/>
      <w:marBottom w:val="0"/>
      <w:divBdr>
        <w:top w:val="none" w:sz="0" w:space="0" w:color="auto"/>
        <w:left w:val="none" w:sz="0" w:space="0" w:color="auto"/>
        <w:bottom w:val="none" w:sz="0" w:space="0" w:color="auto"/>
        <w:right w:val="none" w:sz="0" w:space="0" w:color="auto"/>
      </w:divBdr>
    </w:div>
    <w:div w:id="1527064662">
      <w:bodyDiv w:val="1"/>
      <w:marLeft w:val="0"/>
      <w:marRight w:val="0"/>
      <w:marTop w:val="0"/>
      <w:marBottom w:val="0"/>
      <w:divBdr>
        <w:top w:val="none" w:sz="0" w:space="0" w:color="auto"/>
        <w:left w:val="none" w:sz="0" w:space="0" w:color="auto"/>
        <w:bottom w:val="none" w:sz="0" w:space="0" w:color="auto"/>
        <w:right w:val="none" w:sz="0" w:space="0" w:color="auto"/>
      </w:divBdr>
    </w:div>
    <w:div w:id="1527251927">
      <w:bodyDiv w:val="1"/>
      <w:marLeft w:val="0"/>
      <w:marRight w:val="0"/>
      <w:marTop w:val="0"/>
      <w:marBottom w:val="0"/>
      <w:divBdr>
        <w:top w:val="none" w:sz="0" w:space="0" w:color="auto"/>
        <w:left w:val="none" w:sz="0" w:space="0" w:color="auto"/>
        <w:bottom w:val="none" w:sz="0" w:space="0" w:color="auto"/>
        <w:right w:val="none" w:sz="0" w:space="0" w:color="auto"/>
      </w:divBdr>
    </w:div>
    <w:div w:id="1527329402">
      <w:bodyDiv w:val="1"/>
      <w:marLeft w:val="0"/>
      <w:marRight w:val="0"/>
      <w:marTop w:val="0"/>
      <w:marBottom w:val="0"/>
      <w:divBdr>
        <w:top w:val="none" w:sz="0" w:space="0" w:color="auto"/>
        <w:left w:val="none" w:sz="0" w:space="0" w:color="auto"/>
        <w:bottom w:val="none" w:sz="0" w:space="0" w:color="auto"/>
        <w:right w:val="none" w:sz="0" w:space="0" w:color="auto"/>
      </w:divBdr>
    </w:div>
    <w:div w:id="1527526136">
      <w:bodyDiv w:val="1"/>
      <w:marLeft w:val="0"/>
      <w:marRight w:val="0"/>
      <w:marTop w:val="0"/>
      <w:marBottom w:val="0"/>
      <w:divBdr>
        <w:top w:val="none" w:sz="0" w:space="0" w:color="auto"/>
        <w:left w:val="none" w:sz="0" w:space="0" w:color="auto"/>
        <w:bottom w:val="none" w:sz="0" w:space="0" w:color="auto"/>
        <w:right w:val="none" w:sz="0" w:space="0" w:color="auto"/>
      </w:divBdr>
    </w:div>
    <w:div w:id="1527714059">
      <w:bodyDiv w:val="1"/>
      <w:marLeft w:val="0"/>
      <w:marRight w:val="0"/>
      <w:marTop w:val="0"/>
      <w:marBottom w:val="0"/>
      <w:divBdr>
        <w:top w:val="none" w:sz="0" w:space="0" w:color="auto"/>
        <w:left w:val="none" w:sz="0" w:space="0" w:color="auto"/>
        <w:bottom w:val="none" w:sz="0" w:space="0" w:color="auto"/>
        <w:right w:val="none" w:sz="0" w:space="0" w:color="auto"/>
      </w:divBdr>
    </w:div>
    <w:div w:id="1527716012">
      <w:bodyDiv w:val="1"/>
      <w:marLeft w:val="0"/>
      <w:marRight w:val="0"/>
      <w:marTop w:val="0"/>
      <w:marBottom w:val="0"/>
      <w:divBdr>
        <w:top w:val="none" w:sz="0" w:space="0" w:color="auto"/>
        <w:left w:val="none" w:sz="0" w:space="0" w:color="auto"/>
        <w:bottom w:val="none" w:sz="0" w:space="0" w:color="auto"/>
        <w:right w:val="none" w:sz="0" w:space="0" w:color="auto"/>
      </w:divBdr>
    </w:div>
    <w:div w:id="1528325383">
      <w:bodyDiv w:val="1"/>
      <w:marLeft w:val="0"/>
      <w:marRight w:val="0"/>
      <w:marTop w:val="0"/>
      <w:marBottom w:val="0"/>
      <w:divBdr>
        <w:top w:val="none" w:sz="0" w:space="0" w:color="auto"/>
        <w:left w:val="none" w:sz="0" w:space="0" w:color="auto"/>
        <w:bottom w:val="none" w:sz="0" w:space="0" w:color="auto"/>
        <w:right w:val="none" w:sz="0" w:space="0" w:color="auto"/>
      </w:divBdr>
    </w:div>
    <w:div w:id="1528368670">
      <w:bodyDiv w:val="1"/>
      <w:marLeft w:val="0"/>
      <w:marRight w:val="0"/>
      <w:marTop w:val="0"/>
      <w:marBottom w:val="0"/>
      <w:divBdr>
        <w:top w:val="none" w:sz="0" w:space="0" w:color="auto"/>
        <w:left w:val="none" w:sz="0" w:space="0" w:color="auto"/>
        <w:bottom w:val="none" w:sz="0" w:space="0" w:color="auto"/>
        <w:right w:val="none" w:sz="0" w:space="0" w:color="auto"/>
      </w:divBdr>
    </w:div>
    <w:div w:id="1528561669">
      <w:bodyDiv w:val="1"/>
      <w:marLeft w:val="0"/>
      <w:marRight w:val="0"/>
      <w:marTop w:val="0"/>
      <w:marBottom w:val="0"/>
      <w:divBdr>
        <w:top w:val="none" w:sz="0" w:space="0" w:color="auto"/>
        <w:left w:val="none" w:sz="0" w:space="0" w:color="auto"/>
        <w:bottom w:val="none" w:sz="0" w:space="0" w:color="auto"/>
        <w:right w:val="none" w:sz="0" w:space="0" w:color="auto"/>
      </w:divBdr>
    </w:div>
    <w:div w:id="1528567433">
      <w:bodyDiv w:val="1"/>
      <w:marLeft w:val="0"/>
      <w:marRight w:val="0"/>
      <w:marTop w:val="0"/>
      <w:marBottom w:val="0"/>
      <w:divBdr>
        <w:top w:val="none" w:sz="0" w:space="0" w:color="auto"/>
        <w:left w:val="none" w:sz="0" w:space="0" w:color="auto"/>
        <w:bottom w:val="none" w:sz="0" w:space="0" w:color="auto"/>
        <w:right w:val="none" w:sz="0" w:space="0" w:color="auto"/>
      </w:divBdr>
    </w:div>
    <w:div w:id="1528567892">
      <w:bodyDiv w:val="1"/>
      <w:marLeft w:val="0"/>
      <w:marRight w:val="0"/>
      <w:marTop w:val="0"/>
      <w:marBottom w:val="0"/>
      <w:divBdr>
        <w:top w:val="none" w:sz="0" w:space="0" w:color="auto"/>
        <w:left w:val="none" w:sz="0" w:space="0" w:color="auto"/>
        <w:bottom w:val="none" w:sz="0" w:space="0" w:color="auto"/>
        <w:right w:val="none" w:sz="0" w:space="0" w:color="auto"/>
      </w:divBdr>
    </w:div>
    <w:div w:id="1528644231">
      <w:bodyDiv w:val="1"/>
      <w:marLeft w:val="0"/>
      <w:marRight w:val="0"/>
      <w:marTop w:val="0"/>
      <w:marBottom w:val="0"/>
      <w:divBdr>
        <w:top w:val="none" w:sz="0" w:space="0" w:color="auto"/>
        <w:left w:val="none" w:sz="0" w:space="0" w:color="auto"/>
        <w:bottom w:val="none" w:sz="0" w:space="0" w:color="auto"/>
        <w:right w:val="none" w:sz="0" w:space="0" w:color="auto"/>
      </w:divBdr>
    </w:div>
    <w:div w:id="1528717999">
      <w:bodyDiv w:val="1"/>
      <w:marLeft w:val="0"/>
      <w:marRight w:val="0"/>
      <w:marTop w:val="0"/>
      <w:marBottom w:val="0"/>
      <w:divBdr>
        <w:top w:val="none" w:sz="0" w:space="0" w:color="auto"/>
        <w:left w:val="none" w:sz="0" w:space="0" w:color="auto"/>
        <w:bottom w:val="none" w:sz="0" w:space="0" w:color="auto"/>
        <w:right w:val="none" w:sz="0" w:space="0" w:color="auto"/>
      </w:divBdr>
    </w:div>
    <w:div w:id="1528786589">
      <w:bodyDiv w:val="1"/>
      <w:marLeft w:val="0"/>
      <w:marRight w:val="0"/>
      <w:marTop w:val="0"/>
      <w:marBottom w:val="0"/>
      <w:divBdr>
        <w:top w:val="none" w:sz="0" w:space="0" w:color="auto"/>
        <w:left w:val="none" w:sz="0" w:space="0" w:color="auto"/>
        <w:bottom w:val="none" w:sz="0" w:space="0" w:color="auto"/>
        <w:right w:val="none" w:sz="0" w:space="0" w:color="auto"/>
      </w:divBdr>
    </w:div>
    <w:div w:id="1528837521">
      <w:bodyDiv w:val="1"/>
      <w:marLeft w:val="0"/>
      <w:marRight w:val="0"/>
      <w:marTop w:val="0"/>
      <w:marBottom w:val="0"/>
      <w:divBdr>
        <w:top w:val="none" w:sz="0" w:space="0" w:color="auto"/>
        <w:left w:val="none" w:sz="0" w:space="0" w:color="auto"/>
        <w:bottom w:val="none" w:sz="0" w:space="0" w:color="auto"/>
        <w:right w:val="none" w:sz="0" w:space="0" w:color="auto"/>
      </w:divBdr>
    </w:div>
    <w:div w:id="1528913219">
      <w:bodyDiv w:val="1"/>
      <w:marLeft w:val="0"/>
      <w:marRight w:val="0"/>
      <w:marTop w:val="0"/>
      <w:marBottom w:val="0"/>
      <w:divBdr>
        <w:top w:val="none" w:sz="0" w:space="0" w:color="auto"/>
        <w:left w:val="none" w:sz="0" w:space="0" w:color="auto"/>
        <w:bottom w:val="none" w:sz="0" w:space="0" w:color="auto"/>
        <w:right w:val="none" w:sz="0" w:space="0" w:color="auto"/>
      </w:divBdr>
    </w:div>
    <w:div w:id="1529755733">
      <w:bodyDiv w:val="1"/>
      <w:marLeft w:val="0"/>
      <w:marRight w:val="0"/>
      <w:marTop w:val="0"/>
      <w:marBottom w:val="0"/>
      <w:divBdr>
        <w:top w:val="none" w:sz="0" w:space="0" w:color="auto"/>
        <w:left w:val="none" w:sz="0" w:space="0" w:color="auto"/>
        <w:bottom w:val="none" w:sz="0" w:space="0" w:color="auto"/>
        <w:right w:val="none" w:sz="0" w:space="0" w:color="auto"/>
      </w:divBdr>
    </w:div>
    <w:div w:id="1529836263">
      <w:bodyDiv w:val="1"/>
      <w:marLeft w:val="0"/>
      <w:marRight w:val="0"/>
      <w:marTop w:val="0"/>
      <w:marBottom w:val="0"/>
      <w:divBdr>
        <w:top w:val="none" w:sz="0" w:space="0" w:color="auto"/>
        <w:left w:val="none" w:sz="0" w:space="0" w:color="auto"/>
        <w:bottom w:val="none" w:sz="0" w:space="0" w:color="auto"/>
        <w:right w:val="none" w:sz="0" w:space="0" w:color="auto"/>
      </w:divBdr>
    </w:div>
    <w:div w:id="1530214693">
      <w:bodyDiv w:val="1"/>
      <w:marLeft w:val="0"/>
      <w:marRight w:val="0"/>
      <w:marTop w:val="0"/>
      <w:marBottom w:val="0"/>
      <w:divBdr>
        <w:top w:val="none" w:sz="0" w:space="0" w:color="auto"/>
        <w:left w:val="none" w:sz="0" w:space="0" w:color="auto"/>
        <w:bottom w:val="none" w:sz="0" w:space="0" w:color="auto"/>
        <w:right w:val="none" w:sz="0" w:space="0" w:color="auto"/>
      </w:divBdr>
    </w:div>
    <w:div w:id="1530293683">
      <w:bodyDiv w:val="1"/>
      <w:marLeft w:val="0"/>
      <w:marRight w:val="0"/>
      <w:marTop w:val="0"/>
      <w:marBottom w:val="0"/>
      <w:divBdr>
        <w:top w:val="none" w:sz="0" w:space="0" w:color="auto"/>
        <w:left w:val="none" w:sz="0" w:space="0" w:color="auto"/>
        <w:bottom w:val="none" w:sz="0" w:space="0" w:color="auto"/>
        <w:right w:val="none" w:sz="0" w:space="0" w:color="auto"/>
      </w:divBdr>
    </w:div>
    <w:div w:id="1530336240">
      <w:bodyDiv w:val="1"/>
      <w:marLeft w:val="0"/>
      <w:marRight w:val="0"/>
      <w:marTop w:val="0"/>
      <w:marBottom w:val="0"/>
      <w:divBdr>
        <w:top w:val="none" w:sz="0" w:space="0" w:color="auto"/>
        <w:left w:val="none" w:sz="0" w:space="0" w:color="auto"/>
        <w:bottom w:val="none" w:sz="0" w:space="0" w:color="auto"/>
        <w:right w:val="none" w:sz="0" w:space="0" w:color="auto"/>
      </w:divBdr>
    </w:div>
    <w:div w:id="1530338599">
      <w:bodyDiv w:val="1"/>
      <w:marLeft w:val="0"/>
      <w:marRight w:val="0"/>
      <w:marTop w:val="0"/>
      <w:marBottom w:val="0"/>
      <w:divBdr>
        <w:top w:val="none" w:sz="0" w:space="0" w:color="auto"/>
        <w:left w:val="none" w:sz="0" w:space="0" w:color="auto"/>
        <w:bottom w:val="none" w:sz="0" w:space="0" w:color="auto"/>
        <w:right w:val="none" w:sz="0" w:space="0" w:color="auto"/>
      </w:divBdr>
    </w:div>
    <w:div w:id="1530489342">
      <w:bodyDiv w:val="1"/>
      <w:marLeft w:val="0"/>
      <w:marRight w:val="0"/>
      <w:marTop w:val="0"/>
      <w:marBottom w:val="0"/>
      <w:divBdr>
        <w:top w:val="none" w:sz="0" w:space="0" w:color="auto"/>
        <w:left w:val="none" w:sz="0" w:space="0" w:color="auto"/>
        <w:bottom w:val="none" w:sz="0" w:space="0" w:color="auto"/>
        <w:right w:val="none" w:sz="0" w:space="0" w:color="auto"/>
      </w:divBdr>
    </w:div>
    <w:div w:id="1530528491">
      <w:bodyDiv w:val="1"/>
      <w:marLeft w:val="0"/>
      <w:marRight w:val="0"/>
      <w:marTop w:val="0"/>
      <w:marBottom w:val="0"/>
      <w:divBdr>
        <w:top w:val="none" w:sz="0" w:space="0" w:color="auto"/>
        <w:left w:val="none" w:sz="0" w:space="0" w:color="auto"/>
        <w:bottom w:val="none" w:sz="0" w:space="0" w:color="auto"/>
        <w:right w:val="none" w:sz="0" w:space="0" w:color="auto"/>
      </w:divBdr>
    </w:div>
    <w:div w:id="1530603015">
      <w:bodyDiv w:val="1"/>
      <w:marLeft w:val="0"/>
      <w:marRight w:val="0"/>
      <w:marTop w:val="0"/>
      <w:marBottom w:val="0"/>
      <w:divBdr>
        <w:top w:val="none" w:sz="0" w:space="0" w:color="auto"/>
        <w:left w:val="none" w:sz="0" w:space="0" w:color="auto"/>
        <w:bottom w:val="none" w:sz="0" w:space="0" w:color="auto"/>
        <w:right w:val="none" w:sz="0" w:space="0" w:color="auto"/>
      </w:divBdr>
    </w:div>
    <w:div w:id="1530606231">
      <w:bodyDiv w:val="1"/>
      <w:marLeft w:val="0"/>
      <w:marRight w:val="0"/>
      <w:marTop w:val="0"/>
      <w:marBottom w:val="0"/>
      <w:divBdr>
        <w:top w:val="none" w:sz="0" w:space="0" w:color="auto"/>
        <w:left w:val="none" w:sz="0" w:space="0" w:color="auto"/>
        <w:bottom w:val="none" w:sz="0" w:space="0" w:color="auto"/>
        <w:right w:val="none" w:sz="0" w:space="0" w:color="auto"/>
      </w:divBdr>
    </w:div>
    <w:div w:id="1530676111">
      <w:bodyDiv w:val="1"/>
      <w:marLeft w:val="0"/>
      <w:marRight w:val="0"/>
      <w:marTop w:val="0"/>
      <w:marBottom w:val="0"/>
      <w:divBdr>
        <w:top w:val="none" w:sz="0" w:space="0" w:color="auto"/>
        <w:left w:val="none" w:sz="0" w:space="0" w:color="auto"/>
        <w:bottom w:val="none" w:sz="0" w:space="0" w:color="auto"/>
        <w:right w:val="none" w:sz="0" w:space="0" w:color="auto"/>
      </w:divBdr>
    </w:div>
    <w:div w:id="1530753864">
      <w:bodyDiv w:val="1"/>
      <w:marLeft w:val="0"/>
      <w:marRight w:val="0"/>
      <w:marTop w:val="0"/>
      <w:marBottom w:val="0"/>
      <w:divBdr>
        <w:top w:val="none" w:sz="0" w:space="0" w:color="auto"/>
        <w:left w:val="none" w:sz="0" w:space="0" w:color="auto"/>
        <w:bottom w:val="none" w:sz="0" w:space="0" w:color="auto"/>
        <w:right w:val="none" w:sz="0" w:space="0" w:color="auto"/>
      </w:divBdr>
    </w:div>
    <w:div w:id="1530801390">
      <w:bodyDiv w:val="1"/>
      <w:marLeft w:val="0"/>
      <w:marRight w:val="0"/>
      <w:marTop w:val="0"/>
      <w:marBottom w:val="0"/>
      <w:divBdr>
        <w:top w:val="none" w:sz="0" w:space="0" w:color="auto"/>
        <w:left w:val="none" w:sz="0" w:space="0" w:color="auto"/>
        <w:bottom w:val="none" w:sz="0" w:space="0" w:color="auto"/>
        <w:right w:val="none" w:sz="0" w:space="0" w:color="auto"/>
      </w:divBdr>
    </w:div>
    <w:div w:id="1530953445">
      <w:bodyDiv w:val="1"/>
      <w:marLeft w:val="0"/>
      <w:marRight w:val="0"/>
      <w:marTop w:val="0"/>
      <w:marBottom w:val="0"/>
      <w:divBdr>
        <w:top w:val="none" w:sz="0" w:space="0" w:color="auto"/>
        <w:left w:val="none" w:sz="0" w:space="0" w:color="auto"/>
        <w:bottom w:val="none" w:sz="0" w:space="0" w:color="auto"/>
        <w:right w:val="none" w:sz="0" w:space="0" w:color="auto"/>
      </w:divBdr>
    </w:div>
    <w:div w:id="1530990634">
      <w:bodyDiv w:val="1"/>
      <w:marLeft w:val="0"/>
      <w:marRight w:val="0"/>
      <w:marTop w:val="0"/>
      <w:marBottom w:val="0"/>
      <w:divBdr>
        <w:top w:val="none" w:sz="0" w:space="0" w:color="auto"/>
        <w:left w:val="none" w:sz="0" w:space="0" w:color="auto"/>
        <w:bottom w:val="none" w:sz="0" w:space="0" w:color="auto"/>
        <w:right w:val="none" w:sz="0" w:space="0" w:color="auto"/>
      </w:divBdr>
    </w:div>
    <w:div w:id="1531141359">
      <w:bodyDiv w:val="1"/>
      <w:marLeft w:val="0"/>
      <w:marRight w:val="0"/>
      <w:marTop w:val="0"/>
      <w:marBottom w:val="0"/>
      <w:divBdr>
        <w:top w:val="none" w:sz="0" w:space="0" w:color="auto"/>
        <w:left w:val="none" w:sz="0" w:space="0" w:color="auto"/>
        <w:bottom w:val="none" w:sz="0" w:space="0" w:color="auto"/>
        <w:right w:val="none" w:sz="0" w:space="0" w:color="auto"/>
      </w:divBdr>
    </w:div>
    <w:div w:id="1531411283">
      <w:bodyDiv w:val="1"/>
      <w:marLeft w:val="0"/>
      <w:marRight w:val="0"/>
      <w:marTop w:val="0"/>
      <w:marBottom w:val="0"/>
      <w:divBdr>
        <w:top w:val="none" w:sz="0" w:space="0" w:color="auto"/>
        <w:left w:val="none" w:sz="0" w:space="0" w:color="auto"/>
        <w:bottom w:val="none" w:sz="0" w:space="0" w:color="auto"/>
        <w:right w:val="none" w:sz="0" w:space="0" w:color="auto"/>
      </w:divBdr>
    </w:div>
    <w:div w:id="1531412101">
      <w:bodyDiv w:val="1"/>
      <w:marLeft w:val="0"/>
      <w:marRight w:val="0"/>
      <w:marTop w:val="0"/>
      <w:marBottom w:val="0"/>
      <w:divBdr>
        <w:top w:val="none" w:sz="0" w:space="0" w:color="auto"/>
        <w:left w:val="none" w:sz="0" w:space="0" w:color="auto"/>
        <w:bottom w:val="none" w:sz="0" w:space="0" w:color="auto"/>
        <w:right w:val="none" w:sz="0" w:space="0" w:color="auto"/>
      </w:divBdr>
    </w:div>
    <w:div w:id="1531451545">
      <w:bodyDiv w:val="1"/>
      <w:marLeft w:val="0"/>
      <w:marRight w:val="0"/>
      <w:marTop w:val="0"/>
      <w:marBottom w:val="0"/>
      <w:divBdr>
        <w:top w:val="none" w:sz="0" w:space="0" w:color="auto"/>
        <w:left w:val="none" w:sz="0" w:space="0" w:color="auto"/>
        <w:bottom w:val="none" w:sz="0" w:space="0" w:color="auto"/>
        <w:right w:val="none" w:sz="0" w:space="0" w:color="auto"/>
      </w:divBdr>
    </w:div>
    <w:div w:id="1531454398">
      <w:bodyDiv w:val="1"/>
      <w:marLeft w:val="0"/>
      <w:marRight w:val="0"/>
      <w:marTop w:val="0"/>
      <w:marBottom w:val="0"/>
      <w:divBdr>
        <w:top w:val="none" w:sz="0" w:space="0" w:color="auto"/>
        <w:left w:val="none" w:sz="0" w:space="0" w:color="auto"/>
        <w:bottom w:val="none" w:sz="0" w:space="0" w:color="auto"/>
        <w:right w:val="none" w:sz="0" w:space="0" w:color="auto"/>
      </w:divBdr>
    </w:div>
    <w:div w:id="1531607298">
      <w:bodyDiv w:val="1"/>
      <w:marLeft w:val="0"/>
      <w:marRight w:val="0"/>
      <w:marTop w:val="0"/>
      <w:marBottom w:val="0"/>
      <w:divBdr>
        <w:top w:val="none" w:sz="0" w:space="0" w:color="auto"/>
        <w:left w:val="none" w:sz="0" w:space="0" w:color="auto"/>
        <w:bottom w:val="none" w:sz="0" w:space="0" w:color="auto"/>
        <w:right w:val="none" w:sz="0" w:space="0" w:color="auto"/>
      </w:divBdr>
    </w:div>
    <w:div w:id="1531608139">
      <w:bodyDiv w:val="1"/>
      <w:marLeft w:val="0"/>
      <w:marRight w:val="0"/>
      <w:marTop w:val="0"/>
      <w:marBottom w:val="0"/>
      <w:divBdr>
        <w:top w:val="none" w:sz="0" w:space="0" w:color="auto"/>
        <w:left w:val="none" w:sz="0" w:space="0" w:color="auto"/>
        <w:bottom w:val="none" w:sz="0" w:space="0" w:color="auto"/>
        <w:right w:val="none" w:sz="0" w:space="0" w:color="auto"/>
      </w:divBdr>
    </w:div>
    <w:div w:id="1531838990">
      <w:bodyDiv w:val="1"/>
      <w:marLeft w:val="0"/>
      <w:marRight w:val="0"/>
      <w:marTop w:val="0"/>
      <w:marBottom w:val="0"/>
      <w:divBdr>
        <w:top w:val="none" w:sz="0" w:space="0" w:color="auto"/>
        <w:left w:val="none" w:sz="0" w:space="0" w:color="auto"/>
        <w:bottom w:val="none" w:sz="0" w:space="0" w:color="auto"/>
        <w:right w:val="none" w:sz="0" w:space="0" w:color="auto"/>
      </w:divBdr>
    </w:div>
    <w:div w:id="1531868807">
      <w:bodyDiv w:val="1"/>
      <w:marLeft w:val="0"/>
      <w:marRight w:val="0"/>
      <w:marTop w:val="0"/>
      <w:marBottom w:val="0"/>
      <w:divBdr>
        <w:top w:val="none" w:sz="0" w:space="0" w:color="auto"/>
        <w:left w:val="none" w:sz="0" w:space="0" w:color="auto"/>
        <w:bottom w:val="none" w:sz="0" w:space="0" w:color="auto"/>
        <w:right w:val="none" w:sz="0" w:space="0" w:color="auto"/>
      </w:divBdr>
    </w:div>
    <w:div w:id="1531870608">
      <w:bodyDiv w:val="1"/>
      <w:marLeft w:val="0"/>
      <w:marRight w:val="0"/>
      <w:marTop w:val="0"/>
      <w:marBottom w:val="0"/>
      <w:divBdr>
        <w:top w:val="none" w:sz="0" w:space="0" w:color="auto"/>
        <w:left w:val="none" w:sz="0" w:space="0" w:color="auto"/>
        <w:bottom w:val="none" w:sz="0" w:space="0" w:color="auto"/>
        <w:right w:val="none" w:sz="0" w:space="0" w:color="auto"/>
      </w:divBdr>
    </w:div>
    <w:div w:id="1532038521">
      <w:bodyDiv w:val="1"/>
      <w:marLeft w:val="0"/>
      <w:marRight w:val="0"/>
      <w:marTop w:val="0"/>
      <w:marBottom w:val="0"/>
      <w:divBdr>
        <w:top w:val="none" w:sz="0" w:space="0" w:color="auto"/>
        <w:left w:val="none" w:sz="0" w:space="0" w:color="auto"/>
        <w:bottom w:val="none" w:sz="0" w:space="0" w:color="auto"/>
        <w:right w:val="none" w:sz="0" w:space="0" w:color="auto"/>
      </w:divBdr>
    </w:div>
    <w:div w:id="1532456093">
      <w:bodyDiv w:val="1"/>
      <w:marLeft w:val="0"/>
      <w:marRight w:val="0"/>
      <w:marTop w:val="0"/>
      <w:marBottom w:val="0"/>
      <w:divBdr>
        <w:top w:val="none" w:sz="0" w:space="0" w:color="auto"/>
        <w:left w:val="none" w:sz="0" w:space="0" w:color="auto"/>
        <w:bottom w:val="none" w:sz="0" w:space="0" w:color="auto"/>
        <w:right w:val="none" w:sz="0" w:space="0" w:color="auto"/>
      </w:divBdr>
    </w:div>
    <w:div w:id="1532525196">
      <w:bodyDiv w:val="1"/>
      <w:marLeft w:val="0"/>
      <w:marRight w:val="0"/>
      <w:marTop w:val="0"/>
      <w:marBottom w:val="0"/>
      <w:divBdr>
        <w:top w:val="none" w:sz="0" w:space="0" w:color="auto"/>
        <w:left w:val="none" w:sz="0" w:space="0" w:color="auto"/>
        <w:bottom w:val="none" w:sz="0" w:space="0" w:color="auto"/>
        <w:right w:val="none" w:sz="0" w:space="0" w:color="auto"/>
      </w:divBdr>
    </w:div>
    <w:div w:id="1532573496">
      <w:bodyDiv w:val="1"/>
      <w:marLeft w:val="0"/>
      <w:marRight w:val="0"/>
      <w:marTop w:val="0"/>
      <w:marBottom w:val="0"/>
      <w:divBdr>
        <w:top w:val="none" w:sz="0" w:space="0" w:color="auto"/>
        <w:left w:val="none" w:sz="0" w:space="0" w:color="auto"/>
        <w:bottom w:val="none" w:sz="0" w:space="0" w:color="auto"/>
        <w:right w:val="none" w:sz="0" w:space="0" w:color="auto"/>
      </w:divBdr>
    </w:div>
    <w:div w:id="1532690660">
      <w:bodyDiv w:val="1"/>
      <w:marLeft w:val="0"/>
      <w:marRight w:val="0"/>
      <w:marTop w:val="0"/>
      <w:marBottom w:val="0"/>
      <w:divBdr>
        <w:top w:val="none" w:sz="0" w:space="0" w:color="auto"/>
        <w:left w:val="none" w:sz="0" w:space="0" w:color="auto"/>
        <w:bottom w:val="none" w:sz="0" w:space="0" w:color="auto"/>
        <w:right w:val="none" w:sz="0" w:space="0" w:color="auto"/>
      </w:divBdr>
    </w:div>
    <w:div w:id="1532693581">
      <w:bodyDiv w:val="1"/>
      <w:marLeft w:val="0"/>
      <w:marRight w:val="0"/>
      <w:marTop w:val="0"/>
      <w:marBottom w:val="0"/>
      <w:divBdr>
        <w:top w:val="none" w:sz="0" w:space="0" w:color="auto"/>
        <w:left w:val="none" w:sz="0" w:space="0" w:color="auto"/>
        <w:bottom w:val="none" w:sz="0" w:space="0" w:color="auto"/>
        <w:right w:val="none" w:sz="0" w:space="0" w:color="auto"/>
      </w:divBdr>
    </w:div>
    <w:div w:id="1532957722">
      <w:bodyDiv w:val="1"/>
      <w:marLeft w:val="0"/>
      <w:marRight w:val="0"/>
      <w:marTop w:val="0"/>
      <w:marBottom w:val="0"/>
      <w:divBdr>
        <w:top w:val="none" w:sz="0" w:space="0" w:color="auto"/>
        <w:left w:val="none" w:sz="0" w:space="0" w:color="auto"/>
        <w:bottom w:val="none" w:sz="0" w:space="0" w:color="auto"/>
        <w:right w:val="none" w:sz="0" w:space="0" w:color="auto"/>
      </w:divBdr>
    </w:div>
    <w:div w:id="1533033254">
      <w:bodyDiv w:val="1"/>
      <w:marLeft w:val="0"/>
      <w:marRight w:val="0"/>
      <w:marTop w:val="0"/>
      <w:marBottom w:val="0"/>
      <w:divBdr>
        <w:top w:val="none" w:sz="0" w:space="0" w:color="auto"/>
        <w:left w:val="none" w:sz="0" w:space="0" w:color="auto"/>
        <w:bottom w:val="none" w:sz="0" w:space="0" w:color="auto"/>
        <w:right w:val="none" w:sz="0" w:space="0" w:color="auto"/>
      </w:divBdr>
    </w:div>
    <w:div w:id="1533034995">
      <w:bodyDiv w:val="1"/>
      <w:marLeft w:val="0"/>
      <w:marRight w:val="0"/>
      <w:marTop w:val="0"/>
      <w:marBottom w:val="0"/>
      <w:divBdr>
        <w:top w:val="none" w:sz="0" w:space="0" w:color="auto"/>
        <w:left w:val="none" w:sz="0" w:space="0" w:color="auto"/>
        <w:bottom w:val="none" w:sz="0" w:space="0" w:color="auto"/>
        <w:right w:val="none" w:sz="0" w:space="0" w:color="auto"/>
      </w:divBdr>
    </w:div>
    <w:div w:id="1533037386">
      <w:bodyDiv w:val="1"/>
      <w:marLeft w:val="0"/>
      <w:marRight w:val="0"/>
      <w:marTop w:val="0"/>
      <w:marBottom w:val="0"/>
      <w:divBdr>
        <w:top w:val="none" w:sz="0" w:space="0" w:color="auto"/>
        <w:left w:val="none" w:sz="0" w:space="0" w:color="auto"/>
        <w:bottom w:val="none" w:sz="0" w:space="0" w:color="auto"/>
        <w:right w:val="none" w:sz="0" w:space="0" w:color="auto"/>
      </w:divBdr>
    </w:div>
    <w:div w:id="1533495807">
      <w:bodyDiv w:val="1"/>
      <w:marLeft w:val="0"/>
      <w:marRight w:val="0"/>
      <w:marTop w:val="0"/>
      <w:marBottom w:val="0"/>
      <w:divBdr>
        <w:top w:val="none" w:sz="0" w:space="0" w:color="auto"/>
        <w:left w:val="none" w:sz="0" w:space="0" w:color="auto"/>
        <w:bottom w:val="none" w:sz="0" w:space="0" w:color="auto"/>
        <w:right w:val="none" w:sz="0" w:space="0" w:color="auto"/>
      </w:divBdr>
    </w:div>
    <w:div w:id="1533569081">
      <w:bodyDiv w:val="1"/>
      <w:marLeft w:val="0"/>
      <w:marRight w:val="0"/>
      <w:marTop w:val="0"/>
      <w:marBottom w:val="0"/>
      <w:divBdr>
        <w:top w:val="none" w:sz="0" w:space="0" w:color="auto"/>
        <w:left w:val="none" w:sz="0" w:space="0" w:color="auto"/>
        <w:bottom w:val="none" w:sz="0" w:space="0" w:color="auto"/>
        <w:right w:val="none" w:sz="0" w:space="0" w:color="auto"/>
      </w:divBdr>
    </w:div>
    <w:div w:id="1533612923">
      <w:bodyDiv w:val="1"/>
      <w:marLeft w:val="0"/>
      <w:marRight w:val="0"/>
      <w:marTop w:val="0"/>
      <w:marBottom w:val="0"/>
      <w:divBdr>
        <w:top w:val="none" w:sz="0" w:space="0" w:color="auto"/>
        <w:left w:val="none" w:sz="0" w:space="0" w:color="auto"/>
        <w:bottom w:val="none" w:sz="0" w:space="0" w:color="auto"/>
        <w:right w:val="none" w:sz="0" w:space="0" w:color="auto"/>
      </w:divBdr>
    </w:div>
    <w:div w:id="1533614996">
      <w:bodyDiv w:val="1"/>
      <w:marLeft w:val="0"/>
      <w:marRight w:val="0"/>
      <w:marTop w:val="0"/>
      <w:marBottom w:val="0"/>
      <w:divBdr>
        <w:top w:val="none" w:sz="0" w:space="0" w:color="auto"/>
        <w:left w:val="none" w:sz="0" w:space="0" w:color="auto"/>
        <w:bottom w:val="none" w:sz="0" w:space="0" w:color="auto"/>
        <w:right w:val="none" w:sz="0" w:space="0" w:color="auto"/>
      </w:divBdr>
    </w:div>
    <w:div w:id="1533686942">
      <w:bodyDiv w:val="1"/>
      <w:marLeft w:val="0"/>
      <w:marRight w:val="0"/>
      <w:marTop w:val="0"/>
      <w:marBottom w:val="0"/>
      <w:divBdr>
        <w:top w:val="none" w:sz="0" w:space="0" w:color="auto"/>
        <w:left w:val="none" w:sz="0" w:space="0" w:color="auto"/>
        <w:bottom w:val="none" w:sz="0" w:space="0" w:color="auto"/>
        <w:right w:val="none" w:sz="0" w:space="0" w:color="auto"/>
      </w:divBdr>
    </w:div>
    <w:div w:id="1533807712">
      <w:bodyDiv w:val="1"/>
      <w:marLeft w:val="0"/>
      <w:marRight w:val="0"/>
      <w:marTop w:val="0"/>
      <w:marBottom w:val="0"/>
      <w:divBdr>
        <w:top w:val="none" w:sz="0" w:space="0" w:color="auto"/>
        <w:left w:val="none" w:sz="0" w:space="0" w:color="auto"/>
        <w:bottom w:val="none" w:sz="0" w:space="0" w:color="auto"/>
        <w:right w:val="none" w:sz="0" w:space="0" w:color="auto"/>
      </w:divBdr>
    </w:div>
    <w:div w:id="1533960672">
      <w:bodyDiv w:val="1"/>
      <w:marLeft w:val="0"/>
      <w:marRight w:val="0"/>
      <w:marTop w:val="0"/>
      <w:marBottom w:val="0"/>
      <w:divBdr>
        <w:top w:val="none" w:sz="0" w:space="0" w:color="auto"/>
        <w:left w:val="none" w:sz="0" w:space="0" w:color="auto"/>
        <w:bottom w:val="none" w:sz="0" w:space="0" w:color="auto"/>
        <w:right w:val="none" w:sz="0" w:space="0" w:color="auto"/>
      </w:divBdr>
    </w:div>
    <w:div w:id="1534152720">
      <w:bodyDiv w:val="1"/>
      <w:marLeft w:val="0"/>
      <w:marRight w:val="0"/>
      <w:marTop w:val="0"/>
      <w:marBottom w:val="0"/>
      <w:divBdr>
        <w:top w:val="none" w:sz="0" w:space="0" w:color="auto"/>
        <w:left w:val="none" w:sz="0" w:space="0" w:color="auto"/>
        <w:bottom w:val="none" w:sz="0" w:space="0" w:color="auto"/>
        <w:right w:val="none" w:sz="0" w:space="0" w:color="auto"/>
      </w:divBdr>
    </w:div>
    <w:div w:id="1534224478">
      <w:bodyDiv w:val="1"/>
      <w:marLeft w:val="0"/>
      <w:marRight w:val="0"/>
      <w:marTop w:val="0"/>
      <w:marBottom w:val="0"/>
      <w:divBdr>
        <w:top w:val="none" w:sz="0" w:space="0" w:color="auto"/>
        <w:left w:val="none" w:sz="0" w:space="0" w:color="auto"/>
        <w:bottom w:val="none" w:sz="0" w:space="0" w:color="auto"/>
        <w:right w:val="none" w:sz="0" w:space="0" w:color="auto"/>
      </w:divBdr>
    </w:div>
    <w:div w:id="1534264447">
      <w:bodyDiv w:val="1"/>
      <w:marLeft w:val="0"/>
      <w:marRight w:val="0"/>
      <w:marTop w:val="0"/>
      <w:marBottom w:val="0"/>
      <w:divBdr>
        <w:top w:val="none" w:sz="0" w:space="0" w:color="auto"/>
        <w:left w:val="none" w:sz="0" w:space="0" w:color="auto"/>
        <w:bottom w:val="none" w:sz="0" w:space="0" w:color="auto"/>
        <w:right w:val="none" w:sz="0" w:space="0" w:color="auto"/>
      </w:divBdr>
    </w:div>
    <w:div w:id="1534540677">
      <w:bodyDiv w:val="1"/>
      <w:marLeft w:val="0"/>
      <w:marRight w:val="0"/>
      <w:marTop w:val="0"/>
      <w:marBottom w:val="0"/>
      <w:divBdr>
        <w:top w:val="none" w:sz="0" w:space="0" w:color="auto"/>
        <w:left w:val="none" w:sz="0" w:space="0" w:color="auto"/>
        <w:bottom w:val="none" w:sz="0" w:space="0" w:color="auto"/>
        <w:right w:val="none" w:sz="0" w:space="0" w:color="auto"/>
      </w:divBdr>
    </w:div>
    <w:div w:id="1534687388">
      <w:bodyDiv w:val="1"/>
      <w:marLeft w:val="0"/>
      <w:marRight w:val="0"/>
      <w:marTop w:val="0"/>
      <w:marBottom w:val="0"/>
      <w:divBdr>
        <w:top w:val="none" w:sz="0" w:space="0" w:color="auto"/>
        <w:left w:val="none" w:sz="0" w:space="0" w:color="auto"/>
        <w:bottom w:val="none" w:sz="0" w:space="0" w:color="auto"/>
        <w:right w:val="none" w:sz="0" w:space="0" w:color="auto"/>
      </w:divBdr>
    </w:div>
    <w:div w:id="1534731193">
      <w:bodyDiv w:val="1"/>
      <w:marLeft w:val="0"/>
      <w:marRight w:val="0"/>
      <w:marTop w:val="0"/>
      <w:marBottom w:val="0"/>
      <w:divBdr>
        <w:top w:val="none" w:sz="0" w:space="0" w:color="auto"/>
        <w:left w:val="none" w:sz="0" w:space="0" w:color="auto"/>
        <w:bottom w:val="none" w:sz="0" w:space="0" w:color="auto"/>
        <w:right w:val="none" w:sz="0" w:space="0" w:color="auto"/>
      </w:divBdr>
    </w:div>
    <w:div w:id="1534881340">
      <w:bodyDiv w:val="1"/>
      <w:marLeft w:val="0"/>
      <w:marRight w:val="0"/>
      <w:marTop w:val="0"/>
      <w:marBottom w:val="0"/>
      <w:divBdr>
        <w:top w:val="none" w:sz="0" w:space="0" w:color="auto"/>
        <w:left w:val="none" w:sz="0" w:space="0" w:color="auto"/>
        <w:bottom w:val="none" w:sz="0" w:space="0" w:color="auto"/>
        <w:right w:val="none" w:sz="0" w:space="0" w:color="auto"/>
      </w:divBdr>
    </w:div>
    <w:div w:id="1534928473">
      <w:bodyDiv w:val="1"/>
      <w:marLeft w:val="0"/>
      <w:marRight w:val="0"/>
      <w:marTop w:val="0"/>
      <w:marBottom w:val="0"/>
      <w:divBdr>
        <w:top w:val="none" w:sz="0" w:space="0" w:color="auto"/>
        <w:left w:val="none" w:sz="0" w:space="0" w:color="auto"/>
        <w:bottom w:val="none" w:sz="0" w:space="0" w:color="auto"/>
        <w:right w:val="none" w:sz="0" w:space="0" w:color="auto"/>
      </w:divBdr>
    </w:div>
    <w:div w:id="1535341301">
      <w:bodyDiv w:val="1"/>
      <w:marLeft w:val="0"/>
      <w:marRight w:val="0"/>
      <w:marTop w:val="0"/>
      <w:marBottom w:val="0"/>
      <w:divBdr>
        <w:top w:val="none" w:sz="0" w:space="0" w:color="auto"/>
        <w:left w:val="none" w:sz="0" w:space="0" w:color="auto"/>
        <w:bottom w:val="none" w:sz="0" w:space="0" w:color="auto"/>
        <w:right w:val="none" w:sz="0" w:space="0" w:color="auto"/>
      </w:divBdr>
    </w:div>
    <w:div w:id="1535381156">
      <w:bodyDiv w:val="1"/>
      <w:marLeft w:val="0"/>
      <w:marRight w:val="0"/>
      <w:marTop w:val="0"/>
      <w:marBottom w:val="0"/>
      <w:divBdr>
        <w:top w:val="none" w:sz="0" w:space="0" w:color="auto"/>
        <w:left w:val="none" w:sz="0" w:space="0" w:color="auto"/>
        <w:bottom w:val="none" w:sz="0" w:space="0" w:color="auto"/>
        <w:right w:val="none" w:sz="0" w:space="0" w:color="auto"/>
      </w:divBdr>
    </w:div>
    <w:div w:id="1535457709">
      <w:bodyDiv w:val="1"/>
      <w:marLeft w:val="0"/>
      <w:marRight w:val="0"/>
      <w:marTop w:val="0"/>
      <w:marBottom w:val="0"/>
      <w:divBdr>
        <w:top w:val="none" w:sz="0" w:space="0" w:color="auto"/>
        <w:left w:val="none" w:sz="0" w:space="0" w:color="auto"/>
        <w:bottom w:val="none" w:sz="0" w:space="0" w:color="auto"/>
        <w:right w:val="none" w:sz="0" w:space="0" w:color="auto"/>
      </w:divBdr>
    </w:div>
    <w:div w:id="1535458998">
      <w:bodyDiv w:val="1"/>
      <w:marLeft w:val="0"/>
      <w:marRight w:val="0"/>
      <w:marTop w:val="0"/>
      <w:marBottom w:val="0"/>
      <w:divBdr>
        <w:top w:val="none" w:sz="0" w:space="0" w:color="auto"/>
        <w:left w:val="none" w:sz="0" w:space="0" w:color="auto"/>
        <w:bottom w:val="none" w:sz="0" w:space="0" w:color="auto"/>
        <w:right w:val="none" w:sz="0" w:space="0" w:color="auto"/>
      </w:divBdr>
    </w:div>
    <w:div w:id="1535579983">
      <w:bodyDiv w:val="1"/>
      <w:marLeft w:val="0"/>
      <w:marRight w:val="0"/>
      <w:marTop w:val="0"/>
      <w:marBottom w:val="0"/>
      <w:divBdr>
        <w:top w:val="none" w:sz="0" w:space="0" w:color="auto"/>
        <w:left w:val="none" w:sz="0" w:space="0" w:color="auto"/>
        <w:bottom w:val="none" w:sz="0" w:space="0" w:color="auto"/>
        <w:right w:val="none" w:sz="0" w:space="0" w:color="auto"/>
      </w:divBdr>
    </w:div>
    <w:div w:id="1535770737">
      <w:bodyDiv w:val="1"/>
      <w:marLeft w:val="0"/>
      <w:marRight w:val="0"/>
      <w:marTop w:val="0"/>
      <w:marBottom w:val="0"/>
      <w:divBdr>
        <w:top w:val="none" w:sz="0" w:space="0" w:color="auto"/>
        <w:left w:val="none" w:sz="0" w:space="0" w:color="auto"/>
        <w:bottom w:val="none" w:sz="0" w:space="0" w:color="auto"/>
        <w:right w:val="none" w:sz="0" w:space="0" w:color="auto"/>
      </w:divBdr>
    </w:div>
    <w:div w:id="1536112482">
      <w:bodyDiv w:val="1"/>
      <w:marLeft w:val="0"/>
      <w:marRight w:val="0"/>
      <w:marTop w:val="0"/>
      <w:marBottom w:val="0"/>
      <w:divBdr>
        <w:top w:val="none" w:sz="0" w:space="0" w:color="auto"/>
        <w:left w:val="none" w:sz="0" w:space="0" w:color="auto"/>
        <w:bottom w:val="none" w:sz="0" w:space="0" w:color="auto"/>
        <w:right w:val="none" w:sz="0" w:space="0" w:color="auto"/>
      </w:divBdr>
    </w:div>
    <w:div w:id="1536187456">
      <w:bodyDiv w:val="1"/>
      <w:marLeft w:val="0"/>
      <w:marRight w:val="0"/>
      <w:marTop w:val="0"/>
      <w:marBottom w:val="0"/>
      <w:divBdr>
        <w:top w:val="none" w:sz="0" w:space="0" w:color="auto"/>
        <w:left w:val="none" w:sz="0" w:space="0" w:color="auto"/>
        <w:bottom w:val="none" w:sz="0" w:space="0" w:color="auto"/>
        <w:right w:val="none" w:sz="0" w:space="0" w:color="auto"/>
      </w:divBdr>
    </w:div>
    <w:div w:id="1536233921">
      <w:bodyDiv w:val="1"/>
      <w:marLeft w:val="0"/>
      <w:marRight w:val="0"/>
      <w:marTop w:val="0"/>
      <w:marBottom w:val="0"/>
      <w:divBdr>
        <w:top w:val="none" w:sz="0" w:space="0" w:color="auto"/>
        <w:left w:val="none" w:sz="0" w:space="0" w:color="auto"/>
        <w:bottom w:val="none" w:sz="0" w:space="0" w:color="auto"/>
        <w:right w:val="none" w:sz="0" w:space="0" w:color="auto"/>
      </w:divBdr>
    </w:div>
    <w:div w:id="1536381133">
      <w:bodyDiv w:val="1"/>
      <w:marLeft w:val="0"/>
      <w:marRight w:val="0"/>
      <w:marTop w:val="0"/>
      <w:marBottom w:val="0"/>
      <w:divBdr>
        <w:top w:val="none" w:sz="0" w:space="0" w:color="auto"/>
        <w:left w:val="none" w:sz="0" w:space="0" w:color="auto"/>
        <w:bottom w:val="none" w:sz="0" w:space="0" w:color="auto"/>
        <w:right w:val="none" w:sz="0" w:space="0" w:color="auto"/>
      </w:divBdr>
    </w:div>
    <w:div w:id="1536388988">
      <w:bodyDiv w:val="1"/>
      <w:marLeft w:val="0"/>
      <w:marRight w:val="0"/>
      <w:marTop w:val="0"/>
      <w:marBottom w:val="0"/>
      <w:divBdr>
        <w:top w:val="none" w:sz="0" w:space="0" w:color="auto"/>
        <w:left w:val="none" w:sz="0" w:space="0" w:color="auto"/>
        <w:bottom w:val="none" w:sz="0" w:space="0" w:color="auto"/>
        <w:right w:val="none" w:sz="0" w:space="0" w:color="auto"/>
      </w:divBdr>
    </w:div>
    <w:div w:id="1536651982">
      <w:bodyDiv w:val="1"/>
      <w:marLeft w:val="0"/>
      <w:marRight w:val="0"/>
      <w:marTop w:val="0"/>
      <w:marBottom w:val="0"/>
      <w:divBdr>
        <w:top w:val="none" w:sz="0" w:space="0" w:color="auto"/>
        <w:left w:val="none" w:sz="0" w:space="0" w:color="auto"/>
        <w:bottom w:val="none" w:sz="0" w:space="0" w:color="auto"/>
        <w:right w:val="none" w:sz="0" w:space="0" w:color="auto"/>
      </w:divBdr>
    </w:div>
    <w:div w:id="1536653212">
      <w:bodyDiv w:val="1"/>
      <w:marLeft w:val="0"/>
      <w:marRight w:val="0"/>
      <w:marTop w:val="0"/>
      <w:marBottom w:val="0"/>
      <w:divBdr>
        <w:top w:val="none" w:sz="0" w:space="0" w:color="auto"/>
        <w:left w:val="none" w:sz="0" w:space="0" w:color="auto"/>
        <w:bottom w:val="none" w:sz="0" w:space="0" w:color="auto"/>
        <w:right w:val="none" w:sz="0" w:space="0" w:color="auto"/>
      </w:divBdr>
    </w:div>
    <w:div w:id="1536692929">
      <w:bodyDiv w:val="1"/>
      <w:marLeft w:val="0"/>
      <w:marRight w:val="0"/>
      <w:marTop w:val="0"/>
      <w:marBottom w:val="0"/>
      <w:divBdr>
        <w:top w:val="none" w:sz="0" w:space="0" w:color="auto"/>
        <w:left w:val="none" w:sz="0" w:space="0" w:color="auto"/>
        <w:bottom w:val="none" w:sz="0" w:space="0" w:color="auto"/>
        <w:right w:val="none" w:sz="0" w:space="0" w:color="auto"/>
      </w:divBdr>
    </w:div>
    <w:div w:id="1536697878">
      <w:bodyDiv w:val="1"/>
      <w:marLeft w:val="0"/>
      <w:marRight w:val="0"/>
      <w:marTop w:val="0"/>
      <w:marBottom w:val="0"/>
      <w:divBdr>
        <w:top w:val="none" w:sz="0" w:space="0" w:color="auto"/>
        <w:left w:val="none" w:sz="0" w:space="0" w:color="auto"/>
        <w:bottom w:val="none" w:sz="0" w:space="0" w:color="auto"/>
        <w:right w:val="none" w:sz="0" w:space="0" w:color="auto"/>
      </w:divBdr>
    </w:div>
    <w:div w:id="1536698921">
      <w:bodyDiv w:val="1"/>
      <w:marLeft w:val="0"/>
      <w:marRight w:val="0"/>
      <w:marTop w:val="0"/>
      <w:marBottom w:val="0"/>
      <w:divBdr>
        <w:top w:val="none" w:sz="0" w:space="0" w:color="auto"/>
        <w:left w:val="none" w:sz="0" w:space="0" w:color="auto"/>
        <w:bottom w:val="none" w:sz="0" w:space="0" w:color="auto"/>
        <w:right w:val="none" w:sz="0" w:space="0" w:color="auto"/>
      </w:divBdr>
    </w:div>
    <w:div w:id="1536771683">
      <w:bodyDiv w:val="1"/>
      <w:marLeft w:val="0"/>
      <w:marRight w:val="0"/>
      <w:marTop w:val="0"/>
      <w:marBottom w:val="0"/>
      <w:divBdr>
        <w:top w:val="none" w:sz="0" w:space="0" w:color="auto"/>
        <w:left w:val="none" w:sz="0" w:space="0" w:color="auto"/>
        <w:bottom w:val="none" w:sz="0" w:space="0" w:color="auto"/>
        <w:right w:val="none" w:sz="0" w:space="0" w:color="auto"/>
      </w:divBdr>
    </w:div>
    <w:div w:id="1536845142">
      <w:bodyDiv w:val="1"/>
      <w:marLeft w:val="0"/>
      <w:marRight w:val="0"/>
      <w:marTop w:val="0"/>
      <w:marBottom w:val="0"/>
      <w:divBdr>
        <w:top w:val="none" w:sz="0" w:space="0" w:color="auto"/>
        <w:left w:val="none" w:sz="0" w:space="0" w:color="auto"/>
        <w:bottom w:val="none" w:sz="0" w:space="0" w:color="auto"/>
        <w:right w:val="none" w:sz="0" w:space="0" w:color="auto"/>
      </w:divBdr>
    </w:div>
    <w:div w:id="1536850923">
      <w:bodyDiv w:val="1"/>
      <w:marLeft w:val="0"/>
      <w:marRight w:val="0"/>
      <w:marTop w:val="0"/>
      <w:marBottom w:val="0"/>
      <w:divBdr>
        <w:top w:val="none" w:sz="0" w:space="0" w:color="auto"/>
        <w:left w:val="none" w:sz="0" w:space="0" w:color="auto"/>
        <w:bottom w:val="none" w:sz="0" w:space="0" w:color="auto"/>
        <w:right w:val="none" w:sz="0" w:space="0" w:color="auto"/>
      </w:divBdr>
    </w:div>
    <w:div w:id="1537040909">
      <w:bodyDiv w:val="1"/>
      <w:marLeft w:val="0"/>
      <w:marRight w:val="0"/>
      <w:marTop w:val="0"/>
      <w:marBottom w:val="0"/>
      <w:divBdr>
        <w:top w:val="none" w:sz="0" w:space="0" w:color="auto"/>
        <w:left w:val="none" w:sz="0" w:space="0" w:color="auto"/>
        <w:bottom w:val="none" w:sz="0" w:space="0" w:color="auto"/>
        <w:right w:val="none" w:sz="0" w:space="0" w:color="auto"/>
      </w:divBdr>
    </w:div>
    <w:div w:id="1537230637">
      <w:bodyDiv w:val="1"/>
      <w:marLeft w:val="0"/>
      <w:marRight w:val="0"/>
      <w:marTop w:val="0"/>
      <w:marBottom w:val="0"/>
      <w:divBdr>
        <w:top w:val="none" w:sz="0" w:space="0" w:color="auto"/>
        <w:left w:val="none" w:sz="0" w:space="0" w:color="auto"/>
        <w:bottom w:val="none" w:sz="0" w:space="0" w:color="auto"/>
        <w:right w:val="none" w:sz="0" w:space="0" w:color="auto"/>
      </w:divBdr>
    </w:div>
    <w:div w:id="1537306800">
      <w:bodyDiv w:val="1"/>
      <w:marLeft w:val="0"/>
      <w:marRight w:val="0"/>
      <w:marTop w:val="0"/>
      <w:marBottom w:val="0"/>
      <w:divBdr>
        <w:top w:val="none" w:sz="0" w:space="0" w:color="auto"/>
        <w:left w:val="none" w:sz="0" w:space="0" w:color="auto"/>
        <w:bottom w:val="none" w:sz="0" w:space="0" w:color="auto"/>
        <w:right w:val="none" w:sz="0" w:space="0" w:color="auto"/>
      </w:divBdr>
    </w:div>
    <w:div w:id="1537427576">
      <w:bodyDiv w:val="1"/>
      <w:marLeft w:val="0"/>
      <w:marRight w:val="0"/>
      <w:marTop w:val="0"/>
      <w:marBottom w:val="0"/>
      <w:divBdr>
        <w:top w:val="none" w:sz="0" w:space="0" w:color="auto"/>
        <w:left w:val="none" w:sz="0" w:space="0" w:color="auto"/>
        <w:bottom w:val="none" w:sz="0" w:space="0" w:color="auto"/>
        <w:right w:val="none" w:sz="0" w:space="0" w:color="auto"/>
      </w:divBdr>
    </w:div>
    <w:div w:id="1537503635">
      <w:bodyDiv w:val="1"/>
      <w:marLeft w:val="0"/>
      <w:marRight w:val="0"/>
      <w:marTop w:val="0"/>
      <w:marBottom w:val="0"/>
      <w:divBdr>
        <w:top w:val="none" w:sz="0" w:space="0" w:color="auto"/>
        <w:left w:val="none" w:sz="0" w:space="0" w:color="auto"/>
        <w:bottom w:val="none" w:sz="0" w:space="0" w:color="auto"/>
        <w:right w:val="none" w:sz="0" w:space="0" w:color="auto"/>
      </w:divBdr>
    </w:div>
    <w:div w:id="1537547667">
      <w:bodyDiv w:val="1"/>
      <w:marLeft w:val="0"/>
      <w:marRight w:val="0"/>
      <w:marTop w:val="0"/>
      <w:marBottom w:val="0"/>
      <w:divBdr>
        <w:top w:val="none" w:sz="0" w:space="0" w:color="auto"/>
        <w:left w:val="none" w:sz="0" w:space="0" w:color="auto"/>
        <w:bottom w:val="none" w:sz="0" w:space="0" w:color="auto"/>
        <w:right w:val="none" w:sz="0" w:space="0" w:color="auto"/>
      </w:divBdr>
    </w:div>
    <w:div w:id="1537618552">
      <w:bodyDiv w:val="1"/>
      <w:marLeft w:val="0"/>
      <w:marRight w:val="0"/>
      <w:marTop w:val="0"/>
      <w:marBottom w:val="0"/>
      <w:divBdr>
        <w:top w:val="none" w:sz="0" w:space="0" w:color="auto"/>
        <w:left w:val="none" w:sz="0" w:space="0" w:color="auto"/>
        <w:bottom w:val="none" w:sz="0" w:space="0" w:color="auto"/>
        <w:right w:val="none" w:sz="0" w:space="0" w:color="auto"/>
      </w:divBdr>
    </w:div>
    <w:div w:id="1537692170">
      <w:bodyDiv w:val="1"/>
      <w:marLeft w:val="0"/>
      <w:marRight w:val="0"/>
      <w:marTop w:val="0"/>
      <w:marBottom w:val="0"/>
      <w:divBdr>
        <w:top w:val="none" w:sz="0" w:space="0" w:color="auto"/>
        <w:left w:val="none" w:sz="0" w:space="0" w:color="auto"/>
        <w:bottom w:val="none" w:sz="0" w:space="0" w:color="auto"/>
        <w:right w:val="none" w:sz="0" w:space="0" w:color="auto"/>
      </w:divBdr>
    </w:div>
    <w:div w:id="1537739704">
      <w:bodyDiv w:val="1"/>
      <w:marLeft w:val="0"/>
      <w:marRight w:val="0"/>
      <w:marTop w:val="0"/>
      <w:marBottom w:val="0"/>
      <w:divBdr>
        <w:top w:val="none" w:sz="0" w:space="0" w:color="auto"/>
        <w:left w:val="none" w:sz="0" w:space="0" w:color="auto"/>
        <w:bottom w:val="none" w:sz="0" w:space="0" w:color="auto"/>
        <w:right w:val="none" w:sz="0" w:space="0" w:color="auto"/>
      </w:divBdr>
    </w:div>
    <w:div w:id="1537813262">
      <w:bodyDiv w:val="1"/>
      <w:marLeft w:val="0"/>
      <w:marRight w:val="0"/>
      <w:marTop w:val="0"/>
      <w:marBottom w:val="0"/>
      <w:divBdr>
        <w:top w:val="none" w:sz="0" w:space="0" w:color="auto"/>
        <w:left w:val="none" w:sz="0" w:space="0" w:color="auto"/>
        <w:bottom w:val="none" w:sz="0" w:space="0" w:color="auto"/>
        <w:right w:val="none" w:sz="0" w:space="0" w:color="auto"/>
      </w:divBdr>
    </w:div>
    <w:div w:id="1538078747">
      <w:bodyDiv w:val="1"/>
      <w:marLeft w:val="0"/>
      <w:marRight w:val="0"/>
      <w:marTop w:val="0"/>
      <w:marBottom w:val="0"/>
      <w:divBdr>
        <w:top w:val="none" w:sz="0" w:space="0" w:color="auto"/>
        <w:left w:val="none" w:sz="0" w:space="0" w:color="auto"/>
        <w:bottom w:val="none" w:sz="0" w:space="0" w:color="auto"/>
        <w:right w:val="none" w:sz="0" w:space="0" w:color="auto"/>
      </w:divBdr>
    </w:div>
    <w:div w:id="1538157080">
      <w:bodyDiv w:val="1"/>
      <w:marLeft w:val="0"/>
      <w:marRight w:val="0"/>
      <w:marTop w:val="0"/>
      <w:marBottom w:val="0"/>
      <w:divBdr>
        <w:top w:val="none" w:sz="0" w:space="0" w:color="auto"/>
        <w:left w:val="none" w:sz="0" w:space="0" w:color="auto"/>
        <w:bottom w:val="none" w:sz="0" w:space="0" w:color="auto"/>
        <w:right w:val="none" w:sz="0" w:space="0" w:color="auto"/>
      </w:divBdr>
    </w:div>
    <w:div w:id="1538195981">
      <w:bodyDiv w:val="1"/>
      <w:marLeft w:val="0"/>
      <w:marRight w:val="0"/>
      <w:marTop w:val="0"/>
      <w:marBottom w:val="0"/>
      <w:divBdr>
        <w:top w:val="none" w:sz="0" w:space="0" w:color="auto"/>
        <w:left w:val="none" w:sz="0" w:space="0" w:color="auto"/>
        <w:bottom w:val="none" w:sz="0" w:space="0" w:color="auto"/>
        <w:right w:val="none" w:sz="0" w:space="0" w:color="auto"/>
      </w:divBdr>
    </w:div>
    <w:div w:id="1538351833">
      <w:bodyDiv w:val="1"/>
      <w:marLeft w:val="0"/>
      <w:marRight w:val="0"/>
      <w:marTop w:val="0"/>
      <w:marBottom w:val="0"/>
      <w:divBdr>
        <w:top w:val="none" w:sz="0" w:space="0" w:color="auto"/>
        <w:left w:val="none" w:sz="0" w:space="0" w:color="auto"/>
        <w:bottom w:val="none" w:sz="0" w:space="0" w:color="auto"/>
        <w:right w:val="none" w:sz="0" w:space="0" w:color="auto"/>
      </w:divBdr>
    </w:div>
    <w:div w:id="1538467896">
      <w:bodyDiv w:val="1"/>
      <w:marLeft w:val="0"/>
      <w:marRight w:val="0"/>
      <w:marTop w:val="0"/>
      <w:marBottom w:val="0"/>
      <w:divBdr>
        <w:top w:val="none" w:sz="0" w:space="0" w:color="auto"/>
        <w:left w:val="none" w:sz="0" w:space="0" w:color="auto"/>
        <w:bottom w:val="none" w:sz="0" w:space="0" w:color="auto"/>
        <w:right w:val="none" w:sz="0" w:space="0" w:color="auto"/>
      </w:divBdr>
    </w:div>
    <w:div w:id="1538618640">
      <w:bodyDiv w:val="1"/>
      <w:marLeft w:val="0"/>
      <w:marRight w:val="0"/>
      <w:marTop w:val="0"/>
      <w:marBottom w:val="0"/>
      <w:divBdr>
        <w:top w:val="none" w:sz="0" w:space="0" w:color="auto"/>
        <w:left w:val="none" w:sz="0" w:space="0" w:color="auto"/>
        <w:bottom w:val="none" w:sz="0" w:space="0" w:color="auto"/>
        <w:right w:val="none" w:sz="0" w:space="0" w:color="auto"/>
      </w:divBdr>
    </w:div>
    <w:div w:id="1538664006">
      <w:bodyDiv w:val="1"/>
      <w:marLeft w:val="0"/>
      <w:marRight w:val="0"/>
      <w:marTop w:val="0"/>
      <w:marBottom w:val="0"/>
      <w:divBdr>
        <w:top w:val="none" w:sz="0" w:space="0" w:color="auto"/>
        <w:left w:val="none" w:sz="0" w:space="0" w:color="auto"/>
        <w:bottom w:val="none" w:sz="0" w:space="0" w:color="auto"/>
        <w:right w:val="none" w:sz="0" w:space="0" w:color="auto"/>
      </w:divBdr>
    </w:div>
    <w:div w:id="1539051444">
      <w:bodyDiv w:val="1"/>
      <w:marLeft w:val="0"/>
      <w:marRight w:val="0"/>
      <w:marTop w:val="0"/>
      <w:marBottom w:val="0"/>
      <w:divBdr>
        <w:top w:val="none" w:sz="0" w:space="0" w:color="auto"/>
        <w:left w:val="none" w:sz="0" w:space="0" w:color="auto"/>
        <w:bottom w:val="none" w:sz="0" w:space="0" w:color="auto"/>
        <w:right w:val="none" w:sz="0" w:space="0" w:color="auto"/>
      </w:divBdr>
    </w:div>
    <w:div w:id="1539204135">
      <w:bodyDiv w:val="1"/>
      <w:marLeft w:val="0"/>
      <w:marRight w:val="0"/>
      <w:marTop w:val="0"/>
      <w:marBottom w:val="0"/>
      <w:divBdr>
        <w:top w:val="none" w:sz="0" w:space="0" w:color="auto"/>
        <w:left w:val="none" w:sz="0" w:space="0" w:color="auto"/>
        <w:bottom w:val="none" w:sz="0" w:space="0" w:color="auto"/>
        <w:right w:val="none" w:sz="0" w:space="0" w:color="auto"/>
      </w:divBdr>
    </w:div>
    <w:div w:id="1539274568">
      <w:bodyDiv w:val="1"/>
      <w:marLeft w:val="0"/>
      <w:marRight w:val="0"/>
      <w:marTop w:val="0"/>
      <w:marBottom w:val="0"/>
      <w:divBdr>
        <w:top w:val="none" w:sz="0" w:space="0" w:color="auto"/>
        <w:left w:val="none" w:sz="0" w:space="0" w:color="auto"/>
        <w:bottom w:val="none" w:sz="0" w:space="0" w:color="auto"/>
        <w:right w:val="none" w:sz="0" w:space="0" w:color="auto"/>
      </w:divBdr>
    </w:div>
    <w:div w:id="1539316985">
      <w:bodyDiv w:val="1"/>
      <w:marLeft w:val="0"/>
      <w:marRight w:val="0"/>
      <w:marTop w:val="0"/>
      <w:marBottom w:val="0"/>
      <w:divBdr>
        <w:top w:val="none" w:sz="0" w:space="0" w:color="auto"/>
        <w:left w:val="none" w:sz="0" w:space="0" w:color="auto"/>
        <w:bottom w:val="none" w:sz="0" w:space="0" w:color="auto"/>
        <w:right w:val="none" w:sz="0" w:space="0" w:color="auto"/>
      </w:divBdr>
    </w:div>
    <w:div w:id="1539320136">
      <w:bodyDiv w:val="1"/>
      <w:marLeft w:val="0"/>
      <w:marRight w:val="0"/>
      <w:marTop w:val="0"/>
      <w:marBottom w:val="0"/>
      <w:divBdr>
        <w:top w:val="none" w:sz="0" w:space="0" w:color="auto"/>
        <w:left w:val="none" w:sz="0" w:space="0" w:color="auto"/>
        <w:bottom w:val="none" w:sz="0" w:space="0" w:color="auto"/>
        <w:right w:val="none" w:sz="0" w:space="0" w:color="auto"/>
      </w:divBdr>
    </w:div>
    <w:div w:id="1539468740">
      <w:bodyDiv w:val="1"/>
      <w:marLeft w:val="0"/>
      <w:marRight w:val="0"/>
      <w:marTop w:val="0"/>
      <w:marBottom w:val="0"/>
      <w:divBdr>
        <w:top w:val="none" w:sz="0" w:space="0" w:color="auto"/>
        <w:left w:val="none" w:sz="0" w:space="0" w:color="auto"/>
        <w:bottom w:val="none" w:sz="0" w:space="0" w:color="auto"/>
        <w:right w:val="none" w:sz="0" w:space="0" w:color="auto"/>
      </w:divBdr>
    </w:div>
    <w:div w:id="1539584969">
      <w:bodyDiv w:val="1"/>
      <w:marLeft w:val="0"/>
      <w:marRight w:val="0"/>
      <w:marTop w:val="0"/>
      <w:marBottom w:val="0"/>
      <w:divBdr>
        <w:top w:val="none" w:sz="0" w:space="0" w:color="auto"/>
        <w:left w:val="none" w:sz="0" w:space="0" w:color="auto"/>
        <w:bottom w:val="none" w:sz="0" w:space="0" w:color="auto"/>
        <w:right w:val="none" w:sz="0" w:space="0" w:color="auto"/>
      </w:divBdr>
    </w:div>
    <w:div w:id="1539588675">
      <w:bodyDiv w:val="1"/>
      <w:marLeft w:val="0"/>
      <w:marRight w:val="0"/>
      <w:marTop w:val="0"/>
      <w:marBottom w:val="0"/>
      <w:divBdr>
        <w:top w:val="none" w:sz="0" w:space="0" w:color="auto"/>
        <w:left w:val="none" w:sz="0" w:space="0" w:color="auto"/>
        <w:bottom w:val="none" w:sz="0" w:space="0" w:color="auto"/>
        <w:right w:val="none" w:sz="0" w:space="0" w:color="auto"/>
      </w:divBdr>
    </w:div>
    <w:div w:id="1539706094">
      <w:bodyDiv w:val="1"/>
      <w:marLeft w:val="0"/>
      <w:marRight w:val="0"/>
      <w:marTop w:val="0"/>
      <w:marBottom w:val="0"/>
      <w:divBdr>
        <w:top w:val="none" w:sz="0" w:space="0" w:color="auto"/>
        <w:left w:val="none" w:sz="0" w:space="0" w:color="auto"/>
        <w:bottom w:val="none" w:sz="0" w:space="0" w:color="auto"/>
        <w:right w:val="none" w:sz="0" w:space="0" w:color="auto"/>
      </w:divBdr>
    </w:div>
    <w:div w:id="1539732178">
      <w:bodyDiv w:val="1"/>
      <w:marLeft w:val="0"/>
      <w:marRight w:val="0"/>
      <w:marTop w:val="0"/>
      <w:marBottom w:val="0"/>
      <w:divBdr>
        <w:top w:val="none" w:sz="0" w:space="0" w:color="auto"/>
        <w:left w:val="none" w:sz="0" w:space="0" w:color="auto"/>
        <w:bottom w:val="none" w:sz="0" w:space="0" w:color="auto"/>
        <w:right w:val="none" w:sz="0" w:space="0" w:color="auto"/>
      </w:divBdr>
    </w:div>
    <w:div w:id="1539969090">
      <w:bodyDiv w:val="1"/>
      <w:marLeft w:val="0"/>
      <w:marRight w:val="0"/>
      <w:marTop w:val="0"/>
      <w:marBottom w:val="0"/>
      <w:divBdr>
        <w:top w:val="none" w:sz="0" w:space="0" w:color="auto"/>
        <w:left w:val="none" w:sz="0" w:space="0" w:color="auto"/>
        <w:bottom w:val="none" w:sz="0" w:space="0" w:color="auto"/>
        <w:right w:val="none" w:sz="0" w:space="0" w:color="auto"/>
      </w:divBdr>
    </w:div>
    <w:div w:id="1539975668">
      <w:bodyDiv w:val="1"/>
      <w:marLeft w:val="0"/>
      <w:marRight w:val="0"/>
      <w:marTop w:val="0"/>
      <w:marBottom w:val="0"/>
      <w:divBdr>
        <w:top w:val="none" w:sz="0" w:space="0" w:color="auto"/>
        <w:left w:val="none" w:sz="0" w:space="0" w:color="auto"/>
        <w:bottom w:val="none" w:sz="0" w:space="0" w:color="auto"/>
        <w:right w:val="none" w:sz="0" w:space="0" w:color="auto"/>
      </w:divBdr>
    </w:div>
    <w:div w:id="1539975813">
      <w:bodyDiv w:val="1"/>
      <w:marLeft w:val="0"/>
      <w:marRight w:val="0"/>
      <w:marTop w:val="0"/>
      <w:marBottom w:val="0"/>
      <w:divBdr>
        <w:top w:val="none" w:sz="0" w:space="0" w:color="auto"/>
        <w:left w:val="none" w:sz="0" w:space="0" w:color="auto"/>
        <w:bottom w:val="none" w:sz="0" w:space="0" w:color="auto"/>
        <w:right w:val="none" w:sz="0" w:space="0" w:color="auto"/>
      </w:divBdr>
    </w:div>
    <w:div w:id="1540316354">
      <w:bodyDiv w:val="1"/>
      <w:marLeft w:val="0"/>
      <w:marRight w:val="0"/>
      <w:marTop w:val="0"/>
      <w:marBottom w:val="0"/>
      <w:divBdr>
        <w:top w:val="none" w:sz="0" w:space="0" w:color="auto"/>
        <w:left w:val="none" w:sz="0" w:space="0" w:color="auto"/>
        <w:bottom w:val="none" w:sz="0" w:space="0" w:color="auto"/>
        <w:right w:val="none" w:sz="0" w:space="0" w:color="auto"/>
      </w:divBdr>
    </w:div>
    <w:div w:id="1540437848">
      <w:bodyDiv w:val="1"/>
      <w:marLeft w:val="0"/>
      <w:marRight w:val="0"/>
      <w:marTop w:val="0"/>
      <w:marBottom w:val="0"/>
      <w:divBdr>
        <w:top w:val="none" w:sz="0" w:space="0" w:color="auto"/>
        <w:left w:val="none" w:sz="0" w:space="0" w:color="auto"/>
        <w:bottom w:val="none" w:sz="0" w:space="0" w:color="auto"/>
        <w:right w:val="none" w:sz="0" w:space="0" w:color="auto"/>
      </w:divBdr>
    </w:div>
    <w:div w:id="1540581187">
      <w:bodyDiv w:val="1"/>
      <w:marLeft w:val="0"/>
      <w:marRight w:val="0"/>
      <w:marTop w:val="0"/>
      <w:marBottom w:val="0"/>
      <w:divBdr>
        <w:top w:val="none" w:sz="0" w:space="0" w:color="auto"/>
        <w:left w:val="none" w:sz="0" w:space="0" w:color="auto"/>
        <w:bottom w:val="none" w:sz="0" w:space="0" w:color="auto"/>
        <w:right w:val="none" w:sz="0" w:space="0" w:color="auto"/>
      </w:divBdr>
    </w:div>
    <w:div w:id="1540581395">
      <w:bodyDiv w:val="1"/>
      <w:marLeft w:val="0"/>
      <w:marRight w:val="0"/>
      <w:marTop w:val="0"/>
      <w:marBottom w:val="0"/>
      <w:divBdr>
        <w:top w:val="none" w:sz="0" w:space="0" w:color="auto"/>
        <w:left w:val="none" w:sz="0" w:space="0" w:color="auto"/>
        <w:bottom w:val="none" w:sz="0" w:space="0" w:color="auto"/>
        <w:right w:val="none" w:sz="0" w:space="0" w:color="auto"/>
      </w:divBdr>
    </w:div>
    <w:div w:id="1540630770">
      <w:bodyDiv w:val="1"/>
      <w:marLeft w:val="0"/>
      <w:marRight w:val="0"/>
      <w:marTop w:val="0"/>
      <w:marBottom w:val="0"/>
      <w:divBdr>
        <w:top w:val="none" w:sz="0" w:space="0" w:color="auto"/>
        <w:left w:val="none" w:sz="0" w:space="0" w:color="auto"/>
        <w:bottom w:val="none" w:sz="0" w:space="0" w:color="auto"/>
        <w:right w:val="none" w:sz="0" w:space="0" w:color="auto"/>
      </w:divBdr>
    </w:div>
    <w:div w:id="1540703722">
      <w:bodyDiv w:val="1"/>
      <w:marLeft w:val="0"/>
      <w:marRight w:val="0"/>
      <w:marTop w:val="0"/>
      <w:marBottom w:val="0"/>
      <w:divBdr>
        <w:top w:val="none" w:sz="0" w:space="0" w:color="auto"/>
        <w:left w:val="none" w:sz="0" w:space="0" w:color="auto"/>
        <w:bottom w:val="none" w:sz="0" w:space="0" w:color="auto"/>
        <w:right w:val="none" w:sz="0" w:space="0" w:color="auto"/>
      </w:divBdr>
    </w:div>
    <w:div w:id="1540825627">
      <w:bodyDiv w:val="1"/>
      <w:marLeft w:val="0"/>
      <w:marRight w:val="0"/>
      <w:marTop w:val="0"/>
      <w:marBottom w:val="0"/>
      <w:divBdr>
        <w:top w:val="none" w:sz="0" w:space="0" w:color="auto"/>
        <w:left w:val="none" w:sz="0" w:space="0" w:color="auto"/>
        <w:bottom w:val="none" w:sz="0" w:space="0" w:color="auto"/>
        <w:right w:val="none" w:sz="0" w:space="0" w:color="auto"/>
      </w:divBdr>
    </w:div>
    <w:div w:id="1540967625">
      <w:bodyDiv w:val="1"/>
      <w:marLeft w:val="0"/>
      <w:marRight w:val="0"/>
      <w:marTop w:val="0"/>
      <w:marBottom w:val="0"/>
      <w:divBdr>
        <w:top w:val="none" w:sz="0" w:space="0" w:color="auto"/>
        <w:left w:val="none" w:sz="0" w:space="0" w:color="auto"/>
        <w:bottom w:val="none" w:sz="0" w:space="0" w:color="auto"/>
        <w:right w:val="none" w:sz="0" w:space="0" w:color="auto"/>
      </w:divBdr>
    </w:div>
    <w:div w:id="1541016395">
      <w:bodyDiv w:val="1"/>
      <w:marLeft w:val="0"/>
      <w:marRight w:val="0"/>
      <w:marTop w:val="0"/>
      <w:marBottom w:val="0"/>
      <w:divBdr>
        <w:top w:val="none" w:sz="0" w:space="0" w:color="auto"/>
        <w:left w:val="none" w:sz="0" w:space="0" w:color="auto"/>
        <w:bottom w:val="none" w:sz="0" w:space="0" w:color="auto"/>
        <w:right w:val="none" w:sz="0" w:space="0" w:color="auto"/>
      </w:divBdr>
    </w:div>
    <w:div w:id="1541169358">
      <w:bodyDiv w:val="1"/>
      <w:marLeft w:val="0"/>
      <w:marRight w:val="0"/>
      <w:marTop w:val="0"/>
      <w:marBottom w:val="0"/>
      <w:divBdr>
        <w:top w:val="none" w:sz="0" w:space="0" w:color="auto"/>
        <w:left w:val="none" w:sz="0" w:space="0" w:color="auto"/>
        <w:bottom w:val="none" w:sz="0" w:space="0" w:color="auto"/>
        <w:right w:val="none" w:sz="0" w:space="0" w:color="auto"/>
      </w:divBdr>
    </w:div>
    <w:div w:id="1541280846">
      <w:bodyDiv w:val="1"/>
      <w:marLeft w:val="0"/>
      <w:marRight w:val="0"/>
      <w:marTop w:val="0"/>
      <w:marBottom w:val="0"/>
      <w:divBdr>
        <w:top w:val="none" w:sz="0" w:space="0" w:color="auto"/>
        <w:left w:val="none" w:sz="0" w:space="0" w:color="auto"/>
        <w:bottom w:val="none" w:sz="0" w:space="0" w:color="auto"/>
        <w:right w:val="none" w:sz="0" w:space="0" w:color="auto"/>
      </w:divBdr>
    </w:div>
    <w:div w:id="1541362380">
      <w:bodyDiv w:val="1"/>
      <w:marLeft w:val="0"/>
      <w:marRight w:val="0"/>
      <w:marTop w:val="0"/>
      <w:marBottom w:val="0"/>
      <w:divBdr>
        <w:top w:val="none" w:sz="0" w:space="0" w:color="auto"/>
        <w:left w:val="none" w:sz="0" w:space="0" w:color="auto"/>
        <w:bottom w:val="none" w:sz="0" w:space="0" w:color="auto"/>
        <w:right w:val="none" w:sz="0" w:space="0" w:color="auto"/>
      </w:divBdr>
    </w:div>
    <w:div w:id="1541548968">
      <w:bodyDiv w:val="1"/>
      <w:marLeft w:val="0"/>
      <w:marRight w:val="0"/>
      <w:marTop w:val="0"/>
      <w:marBottom w:val="0"/>
      <w:divBdr>
        <w:top w:val="none" w:sz="0" w:space="0" w:color="auto"/>
        <w:left w:val="none" w:sz="0" w:space="0" w:color="auto"/>
        <w:bottom w:val="none" w:sz="0" w:space="0" w:color="auto"/>
        <w:right w:val="none" w:sz="0" w:space="0" w:color="auto"/>
      </w:divBdr>
    </w:div>
    <w:div w:id="1541627055">
      <w:bodyDiv w:val="1"/>
      <w:marLeft w:val="0"/>
      <w:marRight w:val="0"/>
      <w:marTop w:val="0"/>
      <w:marBottom w:val="0"/>
      <w:divBdr>
        <w:top w:val="none" w:sz="0" w:space="0" w:color="auto"/>
        <w:left w:val="none" w:sz="0" w:space="0" w:color="auto"/>
        <w:bottom w:val="none" w:sz="0" w:space="0" w:color="auto"/>
        <w:right w:val="none" w:sz="0" w:space="0" w:color="auto"/>
      </w:divBdr>
    </w:div>
    <w:div w:id="1542010772">
      <w:bodyDiv w:val="1"/>
      <w:marLeft w:val="0"/>
      <w:marRight w:val="0"/>
      <w:marTop w:val="0"/>
      <w:marBottom w:val="0"/>
      <w:divBdr>
        <w:top w:val="none" w:sz="0" w:space="0" w:color="auto"/>
        <w:left w:val="none" w:sz="0" w:space="0" w:color="auto"/>
        <w:bottom w:val="none" w:sz="0" w:space="0" w:color="auto"/>
        <w:right w:val="none" w:sz="0" w:space="0" w:color="auto"/>
      </w:divBdr>
    </w:div>
    <w:div w:id="1542278077">
      <w:bodyDiv w:val="1"/>
      <w:marLeft w:val="0"/>
      <w:marRight w:val="0"/>
      <w:marTop w:val="0"/>
      <w:marBottom w:val="0"/>
      <w:divBdr>
        <w:top w:val="none" w:sz="0" w:space="0" w:color="auto"/>
        <w:left w:val="none" w:sz="0" w:space="0" w:color="auto"/>
        <w:bottom w:val="none" w:sz="0" w:space="0" w:color="auto"/>
        <w:right w:val="none" w:sz="0" w:space="0" w:color="auto"/>
      </w:divBdr>
    </w:div>
    <w:div w:id="1542326884">
      <w:bodyDiv w:val="1"/>
      <w:marLeft w:val="0"/>
      <w:marRight w:val="0"/>
      <w:marTop w:val="0"/>
      <w:marBottom w:val="0"/>
      <w:divBdr>
        <w:top w:val="none" w:sz="0" w:space="0" w:color="auto"/>
        <w:left w:val="none" w:sz="0" w:space="0" w:color="auto"/>
        <w:bottom w:val="none" w:sz="0" w:space="0" w:color="auto"/>
        <w:right w:val="none" w:sz="0" w:space="0" w:color="auto"/>
      </w:divBdr>
    </w:div>
    <w:div w:id="1542328224">
      <w:bodyDiv w:val="1"/>
      <w:marLeft w:val="0"/>
      <w:marRight w:val="0"/>
      <w:marTop w:val="0"/>
      <w:marBottom w:val="0"/>
      <w:divBdr>
        <w:top w:val="none" w:sz="0" w:space="0" w:color="auto"/>
        <w:left w:val="none" w:sz="0" w:space="0" w:color="auto"/>
        <w:bottom w:val="none" w:sz="0" w:space="0" w:color="auto"/>
        <w:right w:val="none" w:sz="0" w:space="0" w:color="auto"/>
      </w:divBdr>
    </w:div>
    <w:div w:id="1542480189">
      <w:bodyDiv w:val="1"/>
      <w:marLeft w:val="0"/>
      <w:marRight w:val="0"/>
      <w:marTop w:val="0"/>
      <w:marBottom w:val="0"/>
      <w:divBdr>
        <w:top w:val="none" w:sz="0" w:space="0" w:color="auto"/>
        <w:left w:val="none" w:sz="0" w:space="0" w:color="auto"/>
        <w:bottom w:val="none" w:sz="0" w:space="0" w:color="auto"/>
        <w:right w:val="none" w:sz="0" w:space="0" w:color="auto"/>
      </w:divBdr>
    </w:div>
    <w:div w:id="1542670128">
      <w:bodyDiv w:val="1"/>
      <w:marLeft w:val="0"/>
      <w:marRight w:val="0"/>
      <w:marTop w:val="0"/>
      <w:marBottom w:val="0"/>
      <w:divBdr>
        <w:top w:val="none" w:sz="0" w:space="0" w:color="auto"/>
        <w:left w:val="none" w:sz="0" w:space="0" w:color="auto"/>
        <w:bottom w:val="none" w:sz="0" w:space="0" w:color="auto"/>
        <w:right w:val="none" w:sz="0" w:space="0" w:color="auto"/>
      </w:divBdr>
    </w:div>
    <w:div w:id="1543008562">
      <w:bodyDiv w:val="1"/>
      <w:marLeft w:val="0"/>
      <w:marRight w:val="0"/>
      <w:marTop w:val="0"/>
      <w:marBottom w:val="0"/>
      <w:divBdr>
        <w:top w:val="none" w:sz="0" w:space="0" w:color="auto"/>
        <w:left w:val="none" w:sz="0" w:space="0" w:color="auto"/>
        <w:bottom w:val="none" w:sz="0" w:space="0" w:color="auto"/>
        <w:right w:val="none" w:sz="0" w:space="0" w:color="auto"/>
      </w:divBdr>
    </w:div>
    <w:div w:id="1543012277">
      <w:bodyDiv w:val="1"/>
      <w:marLeft w:val="0"/>
      <w:marRight w:val="0"/>
      <w:marTop w:val="0"/>
      <w:marBottom w:val="0"/>
      <w:divBdr>
        <w:top w:val="none" w:sz="0" w:space="0" w:color="auto"/>
        <w:left w:val="none" w:sz="0" w:space="0" w:color="auto"/>
        <w:bottom w:val="none" w:sz="0" w:space="0" w:color="auto"/>
        <w:right w:val="none" w:sz="0" w:space="0" w:color="auto"/>
      </w:divBdr>
    </w:div>
    <w:div w:id="1543132475">
      <w:bodyDiv w:val="1"/>
      <w:marLeft w:val="0"/>
      <w:marRight w:val="0"/>
      <w:marTop w:val="0"/>
      <w:marBottom w:val="0"/>
      <w:divBdr>
        <w:top w:val="none" w:sz="0" w:space="0" w:color="auto"/>
        <w:left w:val="none" w:sz="0" w:space="0" w:color="auto"/>
        <w:bottom w:val="none" w:sz="0" w:space="0" w:color="auto"/>
        <w:right w:val="none" w:sz="0" w:space="0" w:color="auto"/>
      </w:divBdr>
    </w:div>
    <w:div w:id="1543244926">
      <w:bodyDiv w:val="1"/>
      <w:marLeft w:val="0"/>
      <w:marRight w:val="0"/>
      <w:marTop w:val="0"/>
      <w:marBottom w:val="0"/>
      <w:divBdr>
        <w:top w:val="none" w:sz="0" w:space="0" w:color="auto"/>
        <w:left w:val="none" w:sz="0" w:space="0" w:color="auto"/>
        <w:bottom w:val="none" w:sz="0" w:space="0" w:color="auto"/>
        <w:right w:val="none" w:sz="0" w:space="0" w:color="auto"/>
      </w:divBdr>
    </w:div>
    <w:div w:id="1543252337">
      <w:bodyDiv w:val="1"/>
      <w:marLeft w:val="0"/>
      <w:marRight w:val="0"/>
      <w:marTop w:val="0"/>
      <w:marBottom w:val="0"/>
      <w:divBdr>
        <w:top w:val="none" w:sz="0" w:space="0" w:color="auto"/>
        <w:left w:val="none" w:sz="0" w:space="0" w:color="auto"/>
        <w:bottom w:val="none" w:sz="0" w:space="0" w:color="auto"/>
        <w:right w:val="none" w:sz="0" w:space="0" w:color="auto"/>
      </w:divBdr>
    </w:div>
    <w:div w:id="1543440670">
      <w:bodyDiv w:val="1"/>
      <w:marLeft w:val="0"/>
      <w:marRight w:val="0"/>
      <w:marTop w:val="0"/>
      <w:marBottom w:val="0"/>
      <w:divBdr>
        <w:top w:val="none" w:sz="0" w:space="0" w:color="auto"/>
        <w:left w:val="none" w:sz="0" w:space="0" w:color="auto"/>
        <w:bottom w:val="none" w:sz="0" w:space="0" w:color="auto"/>
        <w:right w:val="none" w:sz="0" w:space="0" w:color="auto"/>
      </w:divBdr>
    </w:div>
    <w:div w:id="1543596516">
      <w:bodyDiv w:val="1"/>
      <w:marLeft w:val="0"/>
      <w:marRight w:val="0"/>
      <w:marTop w:val="0"/>
      <w:marBottom w:val="0"/>
      <w:divBdr>
        <w:top w:val="none" w:sz="0" w:space="0" w:color="auto"/>
        <w:left w:val="none" w:sz="0" w:space="0" w:color="auto"/>
        <w:bottom w:val="none" w:sz="0" w:space="0" w:color="auto"/>
        <w:right w:val="none" w:sz="0" w:space="0" w:color="auto"/>
      </w:divBdr>
    </w:div>
    <w:div w:id="1543783397">
      <w:bodyDiv w:val="1"/>
      <w:marLeft w:val="0"/>
      <w:marRight w:val="0"/>
      <w:marTop w:val="0"/>
      <w:marBottom w:val="0"/>
      <w:divBdr>
        <w:top w:val="none" w:sz="0" w:space="0" w:color="auto"/>
        <w:left w:val="none" w:sz="0" w:space="0" w:color="auto"/>
        <w:bottom w:val="none" w:sz="0" w:space="0" w:color="auto"/>
        <w:right w:val="none" w:sz="0" w:space="0" w:color="auto"/>
      </w:divBdr>
    </w:div>
    <w:div w:id="1543784199">
      <w:bodyDiv w:val="1"/>
      <w:marLeft w:val="0"/>
      <w:marRight w:val="0"/>
      <w:marTop w:val="0"/>
      <w:marBottom w:val="0"/>
      <w:divBdr>
        <w:top w:val="none" w:sz="0" w:space="0" w:color="auto"/>
        <w:left w:val="none" w:sz="0" w:space="0" w:color="auto"/>
        <w:bottom w:val="none" w:sz="0" w:space="0" w:color="auto"/>
        <w:right w:val="none" w:sz="0" w:space="0" w:color="auto"/>
      </w:divBdr>
    </w:div>
    <w:div w:id="1543862813">
      <w:bodyDiv w:val="1"/>
      <w:marLeft w:val="0"/>
      <w:marRight w:val="0"/>
      <w:marTop w:val="0"/>
      <w:marBottom w:val="0"/>
      <w:divBdr>
        <w:top w:val="none" w:sz="0" w:space="0" w:color="auto"/>
        <w:left w:val="none" w:sz="0" w:space="0" w:color="auto"/>
        <w:bottom w:val="none" w:sz="0" w:space="0" w:color="auto"/>
        <w:right w:val="none" w:sz="0" w:space="0" w:color="auto"/>
      </w:divBdr>
    </w:div>
    <w:div w:id="1543901731">
      <w:bodyDiv w:val="1"/>
      <w:marLeft w:val="0"/>
      <w:marRight w:val="0"/>
      <w:marTop w:val="0"/>
      <w:marBottom w:val="0"/>
      <w:divBdr>
        <w:top w:val="none" w:sz="0" w:space="0" w:color="auto"/>
        <w:left w:val="none" w:sz="0" w:space="0" w:color="auto"/>
        <w:bottom w:val="none" w:sz="0" w:space="0" w:color="auto"/>
        <w:right w:val="none" w:sz="0" w:space="0" w:color="auto"/>
      </w:divBdr>
    </w:div>
    <w:div w:id="1544101021">
      <w:bodyDiv w:val="1"/>
      <w:marLeft w:val="0"/>
      <w:marRight w:val="0"/>
      <w:marTop w:val="0"/>
      <w:marBottom w:val="0"/>
      <w:divBdr>
        <w:top w:val="none" w:sz="0" w:space="0" w:color="auto"/>
        <w:left w:val="none" w:sz="0" w:space="0" w:color="auto"/>
        <w:bottom w:val="none" w:sz="0" w:space="0" w:color="auto"/>
        <w:right w:val="none" w:sz="0" w:space="0" w:color="auto"/>
      </w:divBdr>
    </w:div>
    <w:div w:id="1544174642">
      <w:bodyDiv w:val="1"/>
      <w:marLeft w:val="0"/>
      <w:marRight w:val="0"/>
      <w:marTop w:val="0"/>
      <w:marBottom w:val="0"/>
      <w:divBdr>
        <w:top w:val="none" w:sz="0" w:space="0" w:color="auto"/>
        <w:left w:val="none" w:sz="0" w:space="0" w:color="auto"/>
        <w:bottom w:val="none" w:sz="0" w:space="0" w:color="auto"/>
        <w:right w:val="none" w:sz="0" w:space="0" w:color="auto"/>
      </w:divBdr>
    </w:div>
    <w:div w:id="1544749068">
      <w:bodyDiv w:val="1"/>
      <w:marLeft w:val="0"/>
      <w:marRight w:val="0"/>
      <w:marTop w:val="0"/>
      <w:marBottom w:val="0"/>
      <w:divBdr>
        <w:top w:val="none" w:sz="0" w:space="0" w:color="auto"/>
        <w:left w:val="none" w:sz="0" w:space="0" w:color="auto"/>
        <w:bottom w:val="none" w:sz="0" w:space="0" w:color="auto"/>
        <w:right w:val="none" w:sz="0" w:space="0" w:color="auto"/>
      </w:divBdr>
    </w:div>
    <w:div w:id="1544828253">
      <w:bodyDiv w:val="1"/>
      <w:marLeft w:val="0"/>
      <w:marRight w:val="0"/>
      <w:marTop w:val="0"/>
      <w:marBottom w:val="0"/>
      <w:divBdr>
        <w:top w:val="none" w:sz="0" w:space="0" w:color="auto"/>
        <w:left w:val="none" w:sz="0" w:space="0" w:color="auto"/>
        <w:bottom w:val="none" w:sz="0" w:space="0" w:color="auto"/>
        <w:right w:val="none" w:sz="0" w:space="0" w:color="auto"/>
      </w:divBdr>
    </w:div>
    <w:div w:id="1545092780">
      <w:bodyDiv w:val="1"/>
      <w:marLeft w:val="0"/>
      <w:marRight w:val="0"/>
      <w:marTop w:val="0"/>
      <w:marBottom w:val="0"/>
      <w:divBdr>
        <w:top w:val="none" w:sz="0" w:space="0" w:color="auto"/>
        <w:left w:val="none" w:sz="0" w:space="0" w:color="auto"/>
        <w:bottom w:val="none" w:sz="0" w:space="0" w:color="auto"/>
        <w:right w:val="none" w:sz="0" w:space="0" w:color="auto"/>
      </w:divBdr>
    </w:div>
    <w:div w:id="1545097035">
      <w:bodyDiv w:val="1"/>
      <w:marLeft w:val="0"/>
      <w:marRight w:val="0"/>
      <w:marTop w:val="0"/>
      <w:marBottom w:val="0"/>
      <w:divBdr>
        <w:top w:val="none" w:sz="0" w:space="0" w:color="auto"/>
        <w:left w:val="none" w:sz="0" w:space="0" w:color="auto"/>
        <w:bottom w:val="none" w:sz="0" w:space="0" w:color="auto"/>
        <w:right w:val="none" w:sz="0" w:space="0" w:color="auto"/>
      </w:divBdr>
    </w:div>
    <w:div w:id="1545485585">
      <w:bodyDiv w:val="1"/>
      <w:marLeft w:val="0"/>
      <w:marRight w:val="0"/>
      <w:marTop w:val="0"/>
      <w:marBottom w:val="0"/>
      <w:divBdr>
        <w:top w:val="none" w:sz="0" w:space="0" w:color="auto"/>
        <w:left w:val="none" w:sz="0" w:space="0" w:color="auto"/>
        <w:bottom w:val="none" w:sz="0" w:space="0" w:color="auto"/>
        <w:right w:val="none" w:sz="0" w:space="0" w:color="auto"/>
      </w:divBdr>
    </w:div>
    <w:div w:id="1545823205">
      <w:bodyDiv w:val="1"/>
      <w:marLeft w:val="0"/>
      <w:marRight w:val="0"/>
      <w:marTop w:val="0"/>
      <w:marBottom w:val="0"/>
      <w:divBdr>
        <w:top w:val="none" w:sz="0" w:space="0" w:color="auto"/>
        <w:left w:val="none" w:sz="0" w:space="0" w:color="auto"/>
        <w:bottom w:val="none" w:sz="0" w:space="0" w:color="auto"/>
        <w:right w:val="none" w:sz="0" w:space="0" w:color="auto"/>
      </w:divBdr>
    </w:div>
    <w:div w:id="1545867914">
      <w:bodyDiv w:val="1"/>
      <w:marLeft w:val="0"/>
      <w:marRight w:val="0"/>
      <w:marTop w:val="0"/>
      <w:marBottom w:val="0"/>
      <w:divBdr>
        <w:top w:val="none" w:sz="0" w:space="0" w:color="auto"/>
        <w:left w:val="none" w:sz="0" w:space="0" w:color="auto"/>
        <w:bottom w:val="none" w:sz="0" w:space="0" w:color="auto"/>
        <w:right w:val="none" w:sz="0" w:space="0" w:color="auto"/>
      </w:divBdr>
    </w:div>
    <w:div w:id="1545869486">
      <w:bodyDiv w:val="1"/>
      <w:marLeft w:val="0"/>
      <w:marRight w:val="0"/>
      <w:marTop w:val="0"/>
      <w:marBottom w:val="0"/>
      <w:divBdr>
        <w:top w:val="none" w:sz="0" w:space="0" w:color="auto"/>
        <w:left w:val="none" w:sz="0" w:space="0" w:color="auto"/>
        <w:bottom w:val="none" w:sz="0" w:space="0" w:color="auto"/>
        <w:right w:val="none" w:sz="0" w:space="0" w:color="auto"/>
      </w:divBdr>
    </w:div>
    <w:div w:id="1545940708">
      <w:bodyDiv w:val="1"/>
      <w:marLeft w:val="0"/>
      <w:marRight w:val="0"/>
      <w:marTop w:val="0"/>
      <w:marBottom w:val="0"/>
      <w:divBdr>
        <w:top w:val="none" w:sz="0" w:space="0" w:color="auto"/>
        <w:left w:val="none" w:sz="0" w:space="0" w:color="auto"/>
        <w:bottom w:val="none" w:sz="0" w:space="0" w:color="auto"/>
        <w:right w:val="none" w:sz="0" w:space="0" w:color="auto"/>
      </w:divBdr>
    </w:div>
    <w:div w:id="1546134631">
      <w:bodyDiv w:val="1"/>
      <w:marLeft w:val="0"/>
      <w:marRight w:val="0"/>
      <w:marTop w:val="0"/>
      <w:marBottom w:val="0"/>
      <w:divBdr>
        <w:top w:val="none" w:sz="0" w:space="0" w:color="auto"/>
        <w:left w:val="none" w:sz="0" w:space="0" w:color="auto"/>
        <w:bottom w:val="none" w:sz="0" w:space="0" w:color="auto"/>
        <w:right w:val="none" w:sz="0" w:space="0" w:color="auto"/>
      </w:divBdr>
    </w:div>
    <w:div w:id="1546403806">
      <w:bodyDiv w:val="1"/>
      <w:marLeft w:val="0"/>
      <w:marRight w:val="0"/>
      <w:marTop w:val="0"/>
      <w:marBottom w:val="0"/>
      <w:divBdr>
        <w:top w:val="none" w:sz="0" w:space="0" w:color="auto"/>
        <w:left w:val="none" w:sz="0" w:space="0" w:color="auto"/>
        <w:bottom w:val="none" w:sz="0" w:space="0" w:color="auto"/>
        <w:right w:val="none" w:sz="0" w:space="0" w:color="auto"/>
      </w:divBdr>
    </w:div>
    <w:div w:id="1546600369">
      <w:bodyDiv w:val="1"/>
      <w:marLeft w:val="0"/>
      <w:marRight w:val="0"/>
      <w:marTop w:val="0"/>
      <w:marBottom w:val="0"/>
      <w:divBdr>
        <w:top w:val="none" w:sz="0" w:space="0" w:color="auto"/>
        <w:left w:val="none" w:sz="0" w:space="0" w:color="auto"/>
        <w:bottom w:val="none" w:sz="0" w:space="0" w:color="auto"/>
        <w:right w:val="none" w:sz="0" w:space="0" w:color="auto"/>
      </w:divBdr>
    </w:div>
    <w:div w:id="1546793118">
      <w:bodyDiv w:val="1"/>
      <w:marLeft w:val="0"/>
      <w:marRight w:val="0"/>
      <w:marTop w:val="0"/>
      <w:marBottom w:val="0"/>
      <w:divBdr>
        <w:top w:val="none" w:sz="0" w:space="0" w:color="auto"/>
        <w:left w:val="none" w:sz="0" w:space="0" w:color="auto"/>
        <w:bottom w:val="none" w:sz="0" w:space="0" w:color="auto"/>
        <w:right w:val="none" w:sz="0" w:space="0" w:color="auto"/>
      </w:divBdr>
    </w:div>
    <w:div w:id="1546795349">
      <w:bodyDiv w:val="1"/>
      <w:marLeft w:val="0"/>
      <w:marRight w:val="0"/>
      <w:marTop w:val="0"/>
      <w:marBottom w:val="0"/>
      <w:divBdr>
        <w:top w:val="none" w:sz="0" w:space="0" w:color="auto"/>
        <w:left w:val="none" w:sz="0" w:space="0" w:color="auto"/>
        <w:bottom w:val="none" w:sz="0" w:space="0" w:color="auto"/>
        <w:right w:val="none" w:sz="0" w:space="0" w:color="auto"/>
      </w:divBdr>
    </w:div>
    <w:div w:id="1546798447">
      <w:bodyDiv w:val="1"/>
      <w:marLeft w:val="0"/>
      <w:marRight w:val="0"/>
      <w:marTop w:val="0"/>
      <w:marBottom w:val="0"/>
      <w:divBdr>
        <w:top w:val="none" w:sz="0" w:space="0" w:color="auto"/>
        <w:left w:val="none" w:sz="0" w:space="0" w:color="auto"/>
        <w:bottom w:val="none" w:sz="0" w:space="0" w:color="auto"/>
        <w:right w:val="none" w:sz="0" w:space="0" w:color="auto"/>
      </w:divBdr>
    </w:div>
    <w:div w:id="1546867852">
      <w:bodyDiv w:val="1"/>
      <w:marLeft w:val="0"/>
      <w:marRight w:val="0"/>
      <w:marTop w:val="0"/>
      <w:marBottom w:val="0"/>
      <w:divBdr>
        <w:top w:val="none" w:sz="0" w:space="0" w:color="auto"/>
        <w:left w:val="none" w:sz="0" w:space="0" w:color="auto"/>
        <w:bottom w:val="none" w:sz="0" w:space="0" w:color="auto"/>
        <w:right w:val="none" w:sz="0" w:space="0" w:color="auto"/>
      </w:divBdr>
    </w:div>
    <w:div w:id="1546941509">
      <w:bodyDiv w:val="1"/>
      <w:marLeft w:val="0"/>
      <w:marRight w:val="0"/>
      <w:marTop w:val="0"/>
      <w:marBottom w:val="0"/>
      <w:divBdr>
        <w:top w:val="none" w:sz="0" w:space="0" w:color="auto"/>
        <w:left w:val="none" w:sz="0" w:space="0" w:color="auto"/>
        <w:bottom w:val="none" w:sz="0" w:space="0" w:color="auto"/>
        <w:right w:val="none" w:sz="0" w:space="0" w:color="auto"/>
      </w:divBdr>
    </w:div>
    <w:div w:id="1547184315">
      <w:bodyDiv w:val="1"/>
      <w:marLeft w:val="0"/>
      <w:marRight w:val="0"/>
      <w:marTop w:val="0"/>
      <w:marBottom w:val="0"/>
      <w:divBdr>
        <w:top w:val="none" w:sz="0" w:space="0" w:color="auto"/>
        <w:left w:val="none" w:sz="0" w:space="0" w:color="auto"/>
        <w:bottom w:val="none" w:sz="0" w:space="0" w:color="auto"/>
        <w:right w:val="none" w:sz="0" w:space="0" w:color="auto"/>
      </w:divBdr>
    </w:div>
    <w:div w:id="1547335471">
      <w:bodyDiv w:val="1"/>
      <w:marLeft w:val="0"/>
      <w:marRight w:val="0"/>
      <w:marTop w:val="0"/>
      <w:marBottom w:val="0"/>
      <w:divBdr>
        <w:top w:val="none" w:sz="0" w:space="0" w:color="auto"/>
        <w:left w:val="none" w:sz="0" w:space="0" w:color="auto"/>
        <w:bottom w:val="none" w:sz="0" w:space="0" w:color="auto"/>
        <w:right w:val="none" w:sz="0" w:space="0" w:color="auto"/>
      </w:divBdr>
    </w:div>
    <w:div w:id="1547376198">
      <w:bodyDiv w:val="1"/>
      <w:marLeft w:val="0"/>
      <w:marRight w:val="0"/>
      <w:marTop w:val="0"/>
      <w:marBottom w:val="0"/>
      <w:divBdr>
        <w:top w:val="none" w:sz="0" w:space="0" w:color="auto"/>
        <w:left w:val="none" w:sz="0" w:space="0" w:color="auto"/>
        <w:bottom w:val="none" w:sz="0" w:space="0" w:color="auto"/>
        <w:right w:val="none" w:sz="0" w:space="0" w:color="auto"/>
      </w:divBdr>
    </w:div>
    <w:div w:id="1547451189">
      <w:bodyDiv w:val="1"/>
      <w:marLeft w:val="0"/>
      <w:marRight w:val="0"/>
      <w:marTop w:val="0"/>
      <w:marBottom w:val="0"/>
      <w:divBdr>
        <w:top w:val="none" w:sz="0" w:space="0" w:color="auto"/>
        <w:left w:val="none" w:sz="0" w:space="0" w:color="auto"/>
        <w:bottom w:val="none" w:sz="0" w:space="0" w:color="auto"/>
        <w:right w:val="none" w:sz="0" w:space="0" w:color="auto"/>
      </w:divBdr>
    </w:div>
    <w:div w:id="1547451884">
      <w:bodyDiv w:val="1"/>
      <w:marLeft w:val="0"/>
      <w:marRight w:val="0"/>
      <w:marTop w:val="0"/>
      <w:marBottom w:val="0"/>
      <w:divBdr>
        <w:top w:val="none" w:sz="0" w:space="0" w:color="auto"/>
        <w:left w:val="none" w:sz="0" w:space="0" w:color="auto"/>
        <w:bottom w:val="none" w:sz="0" w:space="0" w:color="auto"/>
        <w:right w:val="none" w:sz="0" w:space="0" w:color="auto"/>
      </w:divBdr>
    </w:div>
    <w:div w:id="1547453108">
      <w:bodyDiv w:val="1"/>
      <w:marLeft w:val="0"/>
      <w:marRight w:val="0"/>
      <w:marTop w:val="0"/>
      <w:marBottom w:val="0"/>
      <w:divBdr>
        <w:top w:val="none" w:sz="0" w:space="0" w:color="auto"/>
        <w:left w:val="none" w:sz="0" w:space="0" w:color="auto"/>
        <w:bottom w:val="none" w:sz="0" w:space="0" w:color="auto"/>
        <w:right w:val="none" w:sz="0" w:space="0" w:color="auto"/>
      </w:divBdr>
    </w:div>
    <w:div w:id="1547638308">
      <w:bodyDiv w:val="1"/>
      <w:marLeft w:val="0"/>
      <w:marRight w:val="0"/>
      <w:marTop w:val="0"/>
      <w:marBottom w:val="0"/>
      <w:divBdr>
        <w:top w:val="none" w:sz="0" w:space="0" w:color="auto"/>
        <w:left w:val="none" w:sz="0" w:space="0" w:color="auto"/>
        <w:bottom w:val="none" w:sz="0" w:space="0" w:color="auto"/>
        <w:right w:val="none" w:sz="0" w:space="0" w:color="auto"/>
      </w:divBdr>
    </w:div>
    <w:div w:id="1547640641">
      <w:bodyDiv w:val="1"/>
      <w:marLeft w:val="0"/>
      <w:marRight w:val="0"/>
      <w:marTop w:val="0"/>
      <w:marBottom w:val="0"/>
      <w:divBdr>
        <w:top w:val="none" w:sz="0" w:space="0" w:color="auto"/>
        <w:left w:val="none" w:sz="0" w:space="0" w:color="auto"/>
        <w:bottom w:val="none" w:sz="0" w:space="0" w:color="auto"/>
        <w:right w:val="none" w:sz="0" w:space="0" w:color="auto"/>
      </w:divBdr>
    </w:div>
    <w:div w:id="1547713697">
      <w:bodyDiv w:val="1"/>
      <w:marLeft w:val="0"/>
      <w:marRight w:val="0"/>
      <w:marTop w:val="0"/>
      <w:marBottom w:val="0"/>
      <w:divBdr>
        <w:top w:val="none" w:sz="0" w:space="0" w:color="auto"/>
        <w:left w:val="none" w:sz="0" w:space="0" w:color="auto"/>
        <w:bottom w:val="none" w:sz="0" w:space="0" w:color="auto"/>
        <w:right w:val="none" w:sz="0" w:space="0" w:color="auto"/>
      </w:divBdr>
    </w:div>
    <w:div w:id="1547831993">
      <w:bodyDiv w:val="1"/>
      <w:marLeft w:val="0"/>
      <w:marRight w:val="0"/>
      <w:marTop w:val="0"/>
      <w:marBottom w:val="0"/>
      <w:divBdr>
        <w:top w:val="none" w:sz="0" w:space="0" w:color="auto"/>
        <w:left w:val="none" w:sz="0" w:space="0" w:color="auto"/>
        <w:bottom w:val="none" w:sz="0" w:space="0" w:color="auto"/>
        <w:right w:val="none" w:sz="0" w:space="0" w:color="auto"/>
      </w:divBdr>
    </w:div>
    <w:div w:id="1547840371">
      <w:bodyDiv w:val="1"/>
      <w:marLeft w:val="0"/>
      <w:marRight w:val="0"/>
      <w:marTop w:val="0"/>
      <w:marBottom w:val="0"/>
      <w:divBdr>
        <w:top w:val="none" w:sz="0" w:space="0" w:color="auto"/>
        <w:left w:val="none" w:sz="0" w:space="0" w:color="auto"/>
        <w:bottom w:val="none" w:sz="0" w:space="0" w:color="auto"/>
        <w:right w:val="none" w:sz="0" w:space="0" w:color="auto"/>
      </w:divBdr>
    </w:div>
    <w:div w:id="1548101528">
      <w:bodyDiv w:val="1"/>
      <w:marLeft w:val="0"/>
      <w:marRight w:val="0"/>
      <w:marTop w:val="0"/>
      <w:marBottom w:val="0"/>
      <w:divBdr>
        <w:top w:val="none" w:sz="0" w:space="0" w:color="auto"/>
        <w:left w:val="none" w:sz="0" w:space="0" w:color="auto"/>
        <w:bottom w:val="none" w:sz="0" w:space="0" w:color="auto"/>
        <w:right w:val="none" w:sz="0" w:space="0" w:color="auto"/>
      </w:divBdr>
    </w:div>
    <w:div w:id="1548443890">
      <w:bodyDiv w:val="1"/>
      <w:marLeft w:val="0"/>
      <w:marRight w:val="0"/>
      <w:marTop w:val="0"/>
      <w:marBottom w:val="0"/>
      <w:divBdr>
        <w:top w:val="none" w:sz="0" w:space="0" w:color="auto"/>
        <w:left w:val="none" w:sz="0" w:space="0" w:color="auto"/>
        <w:bottom w:val="none" w:sz="0" w:space="0" w:color="auto"/>
        <w:right w:val="none" w:sz="0" w:space="0" w:color="auto"/>
      </w:divBdr>
    </w:div>
    <w:div w:id="1548444699">
      <w:bodyDiv w:val="1"/>
      <w:marLeft w:val="0"/>
      <w:marRight w:val="0"/>
      <w:marTop w:val="0"/>
      <w:marBottom w:val="0"/>
      <w:divBdr>
        <w:top w:val="none" w:sz="0" w:space="0" w:color="auto"/>
        <w:left w:val="none" w:sz="0" w:space="0" w:color="auto"/>
        <w:bottom w:val="none" w:sz="0" w:space="0" w:color="auto"/>
        <w:right w:val="none" w:sz="0" w:space="0" w:color="auto"/>
      </w:divBdr>
    </w:div>
    <w:div w:id="1548637180">
      <w:bodyDiv w:val="1"/>
      <w:marLeft w:val="0"/>
      <w:marRight w:val="0"/>
      <w:marTop w:val="0"/>
      <w:marBottom w:val="0"/>
      <w:divBdr>
        <w:top w:val="none" w:sz="0" w:space="0" w:color="auto"/>
        <w:left w:val="none" w:sz="0" w:space="0" w:color="auto"/>
        <w:bottom w:val="none" w:sz="0" w:space="0" w:color="auto"/>
        <w:right w:val="none" w:sz="0" w:space="0" w:color="auto"/>
      </w:divBdr>
    </w:div>
    <w:div w:id="1548640618">
      <w:bodyDiv w:val="1"/>
      <w:marLeft w:val="0"/>
      <w:marRight w:val="0"/>
      <w:marTop w:val="0"/>
      <w:marBottom w:val="0"/>
      <w:divBdr>
        <w:top w:val="none" w:sz="0" w:space="0" w:color="auto"/>
        <w:left w:val="none" w:sz="0" w:space="0" w:color="auto"/>
        <w:bottom w:val="none" w:sz="0" w:space="0" w:color="auto"/>
        <w:right w:val="none" w:sz="0" w:space="0" w:color="auto"/>
      </w:divBdr>
    </w:div>
    <w:div w:id="1548683531">
      <w:bodyDiv w:val="1"/>
      <w:marLeft w:val="0"/>
      <w:marRight w:val="0"/>
      <w:marTop w:val="0"/>
      <w:marBottom w:val="0"/>
      <w:divBdr>
        <w:top w:val="none" w:sz="0" w:space="0" w:color="auto"/>
        <w:left w:val="none" w:sz="0" w:space="0" w:color="auto"/>
        <w:bottom w:val="none" w:sz="0" w:space="0" w:color="auto"/>
        <w:right w:val="none" w:sz="0" w:space="0" w:color="auto"/>
      </w:divBdr>
    </w:div>
    <w:div w:id="1548762703">
      <w:bodyDiv w:val="1"/>
      <w:marLeft w:val="0"/>
      <w:marRight w:val="0"/>
      <w:marTop w:val="0"/>
      <w:marBottom w:val="0"/>
      <w:divBdr>
        <w:top w:val="none" w:sz="0" w:space="0" w:color="auto"/>
        <w:left w:val="none" w:sz="0" w:space="0" w:color="auto"/>
        <w:bottom w:val="none" w:sz="0" w:space="0" w:color="auto"/>
        <w:right w:val="none" w:sz="0" w:space="0" w:color="auto"/>
      </w:divBdr>
    </w:div>
    <w:div w:id="1548906576">
      <w:bodyDiv w:val="1"/>
      <w:marLeft w:val="0"/>
      <w:marRight w:val="0"/>
      <w:marTop w:val="0"/>
      <w:marBottom w:val="0"/>
      <w:divBdr>
        <w:top w:val="none" w:sz="0" w:space="0" w:color="auto"/>
        <w:left w:val="none" w:sz="0" w:space="0" w:color="auto"/>
        <w:bottom w:val="none" w:sz="0" w:space="0" w:color="auto"/>
        <w:right w:val="none" w:sz="0" w:space="0" w:color="auto"/>
      </w:divBdr>
    </w:div>
    <w:div w:id="1549300051">
      <w:bodyDiv w:val="1"/>
      <w:marLeft w:val="0"/>
      <w:marRight w:val="0"/>
      <w:marTop w:val="0"/>
      <w:marBottom w:val="0"/>
      <w:divBdr>
        <w:top w:val="none" w:sz="0" w:space="0" w:color="auto"/>
        <w:left w:val="none" w:sz="0" w:space="0" w:color="auto"/>
        <w:bottom w:val="none" w:sz="0" w:space="0" w:color="auto"/>
        <w:right w:val="none" w:sz="0" w:space="0" w:color="auto"/>
      </w:divBdr>
    </w:div>
    <w:div w:id="1549368040">
      <w:bodyDiv w:val="1"/>
      <w:marLeft w:val="0"/>
      <w:marRight w:val="0"/>
      <w:marTop w:val="0"/>
      <w:marBottom w:val="0"/>
      <w:divBdr>
        <w:top w:val="none" w:sz="0" w:space="0" w:color="auto"/>
        <w:left w:val="none" w:sz="0" w:space="0" w:color="auto"/>
        <w:bottom w:val="none" w:sz="0" w:space="0" w:color="auto"/>
        <w:right w:val="none" w:sz="0" w:space="0" w:color="auto"/>
      </w:divBdr>
    </w:div>
    <w:div w:id="1549536621">
      <w:bodyDiv w:val="1"/>
      <w:marLeft w:val="0"/>
      <w:marRight w:val="0"/>
      <w:marTop w:val="0"/>
      <w:marBottom w:val="0"/>
      <w:divBdr>
        <w:top w:val="none" w:sz="0" w:space="0" w:color="auto"/>
        <w:left w:val="none" w:sz="0" w:space="0" w:color="auto"/>
        <w:bottom w:val="none" w:sz="0" w:space="0" w:color="auto"/>
        <w:right w:val="none" w:sz="0" w:space="0" w:color="auto"/>
      </w:divBdr>
    </w:div>
    <w:div w:id="1549608217">
      <w:bodyDiv w:val="1"/>
      <w:marLeft w:val="0"/>
      <w:marRight w:val="0"/>
      <w:marTop w:val="0"/>
      <w:marBottom w:val="0"/>
      <w:divBdr>
        <w:top w:val="none" w:sz="0" w:space="0" w:color="auto"/>
        <w:left w:val="none" w:sz="0" w:space="0" w:color="auto"/>
        <w:bottom w:val="none" w:sz="0" w:space="0" w:color="auto"/>
        <w:right w:val="none" w:sz="0" w:space="0" w:color="auto"/>
      </w:divBdr>
    </w:div>
    <w:div w:id="1549800416">
      <w:bodyDiv w:val="1"/>
      <w:marLeft w:val="0"/>
      <w:marRight w:val="0"/>
      <w:marTop w:val="0"/>
      <w:marBottom w:val="0"/>
      <w:divBdr>
        <w:top w:val="none" w:sz="0" w:space="0" w:color="auto"/>
        <w:left w:val="none" w:sz="0" w:space="0" w:color="auto"/>
        <w:bottom w:val="none" w:sz="0" w:space="0" w:color="auto"/>
        <w:right w:val="none" w:sz="0" w:space="0" w:color="auto"/>
      </w:divBdr>
    </w:div>
    <w:div w:id="1549801939">
      <w:bodyDiv w:val="1"/>
      <w:marLeft w:val="0"/>
      <w:marRight w:val="0"/>
      <w:marTop w:val="0"/>
      <w:marBottom w:val="0"/>
      <w:divBdr>
        <w:top w:val="none" w:sz="0" w:space="0" w:color="auto"/>
        <w:left w:val="none" w:sz="0" w:space="0" w:color="auto"/>
        <w:bottom w:val="none" w:sz="0" w:space="0" w:color="auto"/>
        <w:right w:val="none" w:sz="0" w:space="0" w:color="auto"/>
      </w:divBdr>
    </w:div>
    <w:div w:id="1549803456">
      <w:bodyDiv w:val="1"/>
      <w:marLeft w:val="0"/>
      <w:marRight w:val="0"/>
      <w:marTop w:val="0"/>
      <w:marBottom w:val="0"/>
      <w:divBdr>
        <w:top w:val="none" w:sz="0" w:space="0" w:color="auto"/>
        <w:left w:val="none" w:sz="0" w:space="0" w:color="auto"/>
        <w:bottom w:val="none" w:sz="0" w:space="0" w:color="auto"/>
        <w:right w:val="none" w:sz="0" w:space="0" w:color="auto"/>
      </w:divBdr>
    </w:div>
    <w:div w:id="1549996755">
      <w:bodyDiv w:val="1"/>
      <w:marLeft w:val="0"/>
      <w:marRight w:val="0"/>
      <w:marTop w:val="0"/>
      <w:marBottom w:val="0"/>
      <w:divBdr>
        <w:top w:val="none" w:sz="0" w:space="0" w:color="auto"/>
        <w:left w:val="none" w:sz="0" w:space="0" w:color="auto"/>
        <w:bottom w:val="none" w:sz="0" w:space="0" w:color="auto"/>
        <w:right w:val="none" w:sz="0" w:space="0" w:color="auto"/>
      </w:divBdr>
    </w:div>
    <w:div w:id="1550219231">
      <w:bodyDiv w:val="1"/>
      <w:marLeft w:val="0"/>
      <w:marRight w:val="0"/>
      <w:marTop w:val="0"/>
      <w:marBottom w:val="0"/>
      <w:divBdr>
        <w:top w:val="none" w:sz="0" w:space="0" w:color="auto"/>
        <w:left w:val="none" w:sz="0" w:space="0" w:color="auto"/>
        <w:bottom w:val="none" w:sz="0" w:space="0" w:color="auto"/>
        <w:right w:val="none" w:sz="0" w:space="0" w:color="auto"/>
      </w:divBdr>
    </w:div>
    <w:div w:id="1550415688">
      <w:bodyDiv w:val="1"/>
      <w:marLeft w:val="0"/>
      <w:marRight w:val="0"/>
      <w:marTop w:val="0"/>
      <w:marBottom w:val="0"/>
      <w:divBdr>
        <w:top w:val="none" w:sz="0" w:space="0" w:color="auto"/>
        <w:left w:val="none" w:sz="0" w:space="0" w:color="auto"/>
        <w:bottom w:val="none" w:sz="0" w:space="0" w:color="auto"/>
        <w:right w:val="none" w:sz="0" w:space="0" w:color="auto"/>
      </w:divBdr>
    </w:div>
    <w:div w:id="1550530587">
      <w:bodyDiv w:val="1"/>
      <w:marLeft w:val="0"/>
      <w:marRight w:val="0"/>
      <w:marTop w:val="0"/>
      <w:marBottom w:val="0"/>
      <w:divBdr>
        <w:top w:val="none" w:sz="0" w:space="0" w:color="auto"/>
        <w:left w:val="none" w:sz="0" w:space="0" w:color="auto"/>
        <w:bottom w:val="none" w:sz="0" w:space="0" w:color="auto"/>
        <w:right w:val="none" w:sz="0" w:space="0" w:color="auto"/>
      </w:divBdr>
    </w:div>
    <w:div w:id="1550650243">
      <w:bodyDiv w:val="1"/>
      <w:marLeft w:val="0"/>
      <w:marRight w:val="0"/>
      <w:marTop w:val="0"/>
      <w:marBottom w:val="0"/>
      <w:divBdr>
        <w:top w:val="none" w:sz="0" w:space="0" w:color="auto"/>
        <w:left w:val="none" w:sz="0" w:space="0" w:color="auto"/>
        <w:bottom w:val="none" w:sz="0" w:space="0" w:color="auto"/>
        <w:right w:val="none" w:sz="0" w:space="0" w:color="auto"/>
      </w:divBdr>
    </w:div>
    <w:div w:id="1550654349">
      <w:bodyDiv w:val="1"/>
      <w:marLeft w:val="0"/>
      <w:marRight w:val="0"/>
      <w:marTop w:val="0"/>
      <w:marBottom w:val="0"/>
      <w:divBdr>
        <w:top w:val="none" w:sz="0" w:space="0" w:color="auto"/>
        <w:left w:val="none" w:sz="0" w:space="0" w:color="auto"/>
        <w:bottom w:val="none" w:sz="0" w:space="0" w:color="auto"/>
        <w:right w:val="none" w:sz="0" w:space="0" w:color="auto"/>
      </w:divBdr>
    </w:div>
    <w:div w:id="1550721795">
      <w:bodyDiv w:val="1"/>
      <w:marLeft w:val="0"/>
      <w:marRight w:val="0"/>
      <w:marTop w:val="0"/>
      <w:marBottom w:val="0"/>
      <w:divBdr>
        <w:top w:val="none" w:sz="0" w:space="0" w:color="auto"/>
        <w:left w:val="none" w:sz="0" w:space="0" w:color="auto"/>
        <w:bottom w:val="none" w:sz="0" w:space="0" w:color="auto"/>
        <w:right w:val="none" w:sz="0" w:space="0" w:color="auto"/>
      </w:divBdr>
    </w:div>
    <w:div w:id="1550876592">
      <w:bodyDiv w:val="1"/>
      <w:marLeft w:val="0"/>
      <w:marRight w:val="0"/>
      <w:marTop w:val="0"/>
      <w:marBottom w:val="0"/>
      <w:divBdr>
        <w:top w:val="none" w:sz="0" w:space="0" w:color="auto"/>
        <w:left w:val="none" w:sz="0" w:space="0" w:color="auto"/>
        <w:bottom w:val="none" w:sz="0" w:space="0" w:color="auto"/>
        <w:right w:val="none" w:sz="0" w:space="0" w:color="auto"/>
      </w:divBdr>
    </w:div>
    <w:div w:id="1550993514">
      <w:bodyDiv w:val="1"/>
      <w:marLeft w:val="0"/>
      <w:marRight w:val="0"/>
      <w:marTop w:val="0"/>
      <w:marBottom w:val="0"/>
      <w:divBdr>
        <w:top w:val="none" w:sz="0" w:space="0" w:color="auto"/>
        <w:left w:val="none" w:sz="0" w:space="0" w:color="auto"/>
        <w:bottom w:val="none" w:sz="0" w:space="0" w:color="auto"/>
        <w:right w:val="none" w:sz="0" w:space="0" w:color="auto"/>
      </w:divBdr>
    </w:div>
    <w:div w:id="1551109304">
      <w:bodyDiv w:val="1"/>
      <w:marLeft w:val="0"/>
      <w:marRight w:val="0"/>
      <w:marTop w:val="0"/>
      <w:marBottom w:val="0"/>
      <w:divBdr>
        <w:top w:val="none" w:sz="0" w:space="0" w:color="auto"/>
        <w:left w:val="none" w:sz="0" w:space="0" w:color="auto"/>
        <w:bottom w:val="none" w:sz="0" w:space="0" w:color="auto"/>
        <w:right w:val="none" w:sz="0" w:space="0" w:color="auto"/>
      </w:divBdr>
    </w:div>
    <w:div w:id="1551187664">
      <w:bodyDiv w:val="1"/>
      <w:marLeft w:val="0"/>
      <w:marRight w:val="0"/>
      <w:marTop w:val="0"/>
      <w:marBottom w:val="0"/>
      <w:divBdr>
        <w:top w:val="none" w:sz="0" w:space="0" w:color="auto"/>
        <w:left w:val="none" w:sz="0" w:space="0" w:color="auto"/>
        <w:bottom w:val="none" w:sz="0" w:space="0" w:color="auto"/>
        <w:right w:val="none" w:sz="0" w:space="0" w:color="auto"/>
      </w:divBdr>
    </w:div>
    <w:div w:id="1551189706">
      <w:bodyDiv w:val="1"/>
      <w:marLeft w:val="0"/>
      <w:marRight w:val="0"/>
      <w:marTop w:val="0"/>
      <w:marBottom w:val="0"/>
      <w:divBdr>
        <w:top w:val="none" w:sz="0" w:space="0" w:color="auto"/>
        <w:left w:val="none" w:sz="0" w:space="0" w:color="auto"/>
        <w:bottom w:val="none" w:sz="0" w:space="0" w:color="auto"/>
        <w:right w:val="none" w:sz="0" w:space="0" w:color="auto"/>
      </w:divBdr>
    </w:div>
    <w:div w:id="1551266842">
      <w:bodyDiv w:val="1"/>
      <w:marLeft w:val="0"/>
      <w:marRight w:val="0"/>
      <w:marTop w:val="0"/>
      <w:marBottom w:val="0"/>
      <w:divBdr>
        <w:top w:val="none" w:sz="0" w:space="0" w:color="auto"/>
        <w:left w:val="none" w:sz="0" w:space="0" w:color="auto"/>
        <w:bottom w:val="none" w:sz="0" w:space="0" w:color="auto"/>
        <w:right w:val="none" w:sz="0" w:space="0" w:color="auto"/>
      </w:divBdr>
    </w:div>
    <w:div w:id="1551381925">
      <w:bodyDiv w:val="1"/>
      <w:marLeft w:val="0"/>
      <w:marRight w:val="0"/>
      <w:marTop w:val="0"/>
      <w:marBottom w:val="0"/>
      <w:divBdr>
        <w:top w:val="none" w:sz="0" w:space="0" w:color="auto"/>
        <w:left w:val="none" w:sz="0" w:space="0" w:color="auto"/>
        <w:bottom w:val="none" w:sz="0" w:space="0" w:color="auto"/>
        <w:right w:val="none" w:sz="0" w:space="0" w:color="auto"/>
      </w:divBdr>
    </w:div>
    <w:div w:id="1551459090">
      <w:bodyDiv w:val="1"/>
      <w:marLeft w:val="0"/>
      <w:marRight w:val="0"/>
      <w:marTop w:val="0"/>
      <w:marBottom w:val="0"/>
      <w:divBdr>
        <w:top w:val="none" w:sz="0" w:space="0" w:color="auto"/>
        <w:left w:val="none" w:sz="0" w:space="0" w:color="auto"/>
        <w:bottom w:val="none" w:sz="0" w:space="0" w:color="auto"/>
        <w:right w:val="none" w:sz="0" w:space="0" w:color="auto"/>
      </w:divBdr>
    </w:div>
    <w:div w:id="1551727485">
      <w:bodyDiv w:val="1"/>
      <w:marLeft w:val="0"/>
      <w:marRight w:val="0"/>
      <w:marTop w:val="0"/>
      <w:marBottom w:val="0"/>
      <w:divBdr>
        <w:top w:val="none" w:sz="0" w:space="0" w:color="auto"/>
        <w:left w:val="none" w:sz="0" w:space="0" w:color="auto"/>
        <w:bottom w:val="none" w:sz="0" w:space="0" w:color="auto"/>
        <w:right w:val="none" w:sz="0" w:space="0" w:color="auto"/>
      </w:divBdr>
    </w:div>
    <w:div w:id="1551770963">
      <w:bodyDiv w:val="1"/>
      <w:marLeft w:val="0"/>
      <w:marRight w:val="0"/>
      <w:marTop w:val="0"/>
      <w:marBottom w:val="0"/>
      <w:divBdr>
        <w:top w:val="none" w:sz="0" w:space="0" w:color="auto"/>
        <w:left w:val="none" w:sz="0" w:space="0" w:color="auto"/>
        <w:bottom w:val="none" w:sz="0" w:space="0" w:color="auto"/>
        <w:right w:val="none" w:sz="0" w:space="0" w:color="auto"/>
      </w:divBdr>
    </w:div>
    <w:div w:id="1551771240">
      <w:bodyDiv w:val="1"/>
      <w:marLeft w:val="0"/>
      <w:marRight w:val="0"/>
      <w:marTop w:val="0"/>
      <w:marBottom w:val="0"/>
      <w:divBdr>
        <w:top w:val="none" w:sz="0" w:space="0" w:color="auto"/>
        <w:left w:val="none" w:sz="0" w:space="0" w:color="auto"/>
        <w:bottom w:val="none" w:sz="0" w:space="0" w:color="auto"/>
        <w:right w:val="none" w:sz="0" w:space="0" w:color="auto"/>
      </w:divBdr>
    </w:div>
    <w:div w:id="1551960986">
      <w:bodyDiv w:val="1"/>
      <w:marLeft w:val="0"/>
      <w:marRight w:val="0"/>
      <w:marTop w:val="0"/>
      <w:marBottom w:val="0"/>
      <w:divBdr>
        <w:top w:val="none" w:sz="0" w:space="0" w:color="auto"/>
        <w:left w:val="none" w:sz="0" w:space="0" w:color="auto"/>
        <w:bottom w:val="none" w:sz="0" w:space="0" w:color="auto"/>
        <w:right w:val="none" w:sz="0" w:space="0" w:color="auto"/>
      </w:divBdr>
    </w:div>
    <w:div w:id="1552157808">
      <w:bodyDiv w:val="1"/>
      <w:marLeft w:val="0"/>
      <w:marRight w:val="0"/>
      <w:marTop w:val="0"/>
      <w:marBottom w:val="0"/>
      <w:divBdr>
        <w:top w:val="none" w:sz="0" w:space="0" w:color="auto"/>
        <w:left w:val="none" w:sz="0" w:space="0" w:color="auto"/>
        <w:bottom w:val="none" w:sz="0" w:space="0" w:color="auto"/>
        <w:right w:val="none" w:sz="0" w:space="0" w:color="auto"/>
      </w:divBdr>
    </w:div>
    <w:div w:id="1552885529">
      <w:bodyDiv w:val="1"/>
      <w:marLeft w:val="0"/>
      <w:marRight w:val="0"/>
      <w:marTop w:val="0"/>
      <w:marBottom w:val="0"/>
      <w:divBdr>
        <w:top w:val="none" w:sz="0" w:space="0" w:color="auto"/>
        <w:left w:val="none" w:sz="0" w:space="0" w:color="auto"/>
        <w:bottom w:val="none" w:sz="0" w:space="0" w:color="auto"/>
        <w:right w:val="none" w:sz="0" w:space="0" w:color="auto"/>
      </w:divBdr>
    </w:div>
    <w:div w:id="1553075730">
      <w:bodyDiv w:val="1"/>
      <w:marLeft w:val="0"/>
      <w:marRight w:val="0"/>
      <w:marTop w:val="0"/>
      <w:marBottom w:val="0"/>
      <w:divBdr>
        <w:top w:val="none" w:sz="0" w:space="0" w:color="auto"/>
        <w:left w:val="none" w:sz="0" w:space="0" w:color="auto"/>
        <w:bottom w:val="none" w:sz="0" w:space="0" w:color="auto"/>
        <w:right w:val="none" w:sz="0" w:space="0" w:color="auto"/>
      </w:divBdr>
    </w:div>
    <w:div w:id="1553076334">
      <w:bodyDiv w:val="1"/>
      <w:marLeft w:val="0"/>
      <w:marRight w:val="0"/>
      <w:marTop w:val="0"/>
      <w:marBottom w:val="0"/>
      <w:divBdr>
        <w:top w:val="none" w:sz="0" w:space="0" w:color="auto"/>
        <w:left w:val="none" w:sz="0" w:space="0" w:color="auto"/>
        <w:bottom w:val="none" w:sz="0" w:space="0" w:color="auto"/>
        <w:right w:val="none" w:sz="0" w:space="0" w:color="auto"/>
      </w:divBdr>
    </w:div>
    <w:div w:id="1553148615">
      <w:bodyDiv w:val="1"/>
      <w:marLeft w:val="0"/>
      <w:marRight w:val="0"/>
      <w:marTop w:val="0"/>
      <w:marBottom w:val="0"/>
      <w:divBdr>
        <w:top w:val="none" w:sz="0" w:space="0" w:color="auto"/>
        <w:left w:val="none" w:sz="0" w:space="0" w:color="auto"/>
        <w:bottom w:val="none" w:sz="0" w:space="0" w:color="auto"/>
        <w:right w:val="none" w:sz="0" w:space="0" w:color="auto"/>
      </w:divBdr>
    </w:div>
    <w:div w:id="1553231656">
      <w:bodyDiv w:val="1"/>
      <w:marLeft w:val="0"/>
      <w:marRight w:val="0"/>
      <w:marTop w:val="0"/>
      <w:marBottom w:val="0"/>
      <w:divBdr>
        <w:top w:val="none" w:sz="0" w:space="0" w:color="auto"/>
        <w:left w:val="none" w:sz="0" w:space="0" w:color="auto"/>
        <w:bottom w:val="none" w:sz="0" w:space="0" w:color="auto"/>
        <w:right w:val="none" w:sz="0" w:space="0" w:color="auto"/>
      </w:divBdr>
    </w:div>
    <w:div w:id="1553270587">
      <w:bodyDiv w:val="1"/>
      <w:marLeft w:val="0"/>
      <w:marRight w:val="0"/>
      <w:marTop w:val="0"/>
      <w:marBottom w:val="0"/>
      <w:divBdr>
        <w:top w:val="none" w:sz="0" w:space="0" w:color="auto"/>
        <w:left w:val="none" w:sz="0" w:space="0" w:color="auto"/>
        <w:bottom w:val="none" w:sz="0" w:space="0" w:color="auto"/>
        <w:right w:val="none" w:sz="0" w:space="0" w:color="auto"/>
      </w:divBdr>
    </w:div>
    <w:div w:id="1553274561">
      <w:bodyDiv w:val="1"/>
      <w:marLeft w:val="0"/>
      <w:marRight w:val="0"/>
      <w:marTop w:val="0"/>
      <w:marBottom w:val="0"/>
      <w:divBdr>
        <w:top w:val="none" w:sz="0" w:space="0" w:color="auto"/>
        <w:left w:val="none" w:sz="0" w:space="0" w:color="auto"/>
        <w:bottom w:val="none" w:sz="0" w:space="0" w:color="auto"/>
        <w:right w:val="none" w:sz="0" w:space="0" w:color="auto"/>
      </w:divBdr>
    </w:div>
    <w:div w:id="1553426437">
      <w:bodyDiv w:val="1"/>
      <w:marLeft w:val="0"/>
      <w:marRight w:val="0"/>
      <w:marTop w:val="0"/>
      <w:marBottom w:val="0"/>
      <w:divBdr>
        <w:top w:val="none" w:sz="0" w:space="0" w:color="auto"/>
        <w:left w:val="none" w:sz="0" w:space="0" w:color="auto"/>
        <w:bottom w:val="none" w:sz="0" w:space="0" w:color="auto"/>
        <w:right w:val="none" w:sz="0" w:space="0" w:color="auto"/>
      </w:divBdr>
    </w:div>
    <w:div w:id="1553537696">
      <w:bodyDiv w:val="1"/>
      <w:marLeft w:val="0"/>
      <w:marRight w:val="0"/>
      <w:marTop w:val="0"/>
      <w:marBottom w:val="0"/>
      <w:divBdr>
        <w:top w:val="none" w:sz="0" w:space="0" w:color="auto"/>
        <w:left w:val="none" w:sz="0" w:space="0" w:color="auto"/>
        <w:bottom w:val="none" w:sz="0" w:space="0" w:color="auto"/>
        <w:right w:val="none" w:sz="0" w:space="0" w:color="auto"/>
      </w:divBdr>
    </w:div>
    <w:div w:id="1553543677">
      <w:bodyDiv w:val="1"/>
      <w:marLeft w:val="0"/>
      <w:marRight w:val="0"/>
      <w:marTop w:val="0"/>
      <w:marBottom w:val="0"/>
      <w:divBdr>
        <w:top w:val="none" w:sz="0" w:space="0" w:color="auto"/>
        <w:left w:val="none" w:sz="0" w:space="0" w:color="auto"/>
        <w:bottom w:val="none" w:sz="0" w:space="0" w:color="auto"/>
        <w:right w:val="none" w:sz="0" w:space="0" w:color="auto"/>
      </w:divBdr>
    </w:div>
    <w:div w:id="1553618257">
      <w:bodyDiv w:val="1"/>
      <w:marLeft w:val="0"/>
      <w:marRight w:val="0"/>
      <w:marTop w:val="0"/>
      <w:marBottom w:val="0"/>
      <w:divBdr>
        <w:top w:val="none" w:sz="0" w:space="0" w:color="auto"/>
        <w:left w:val="none" w:sz="0" w:space="0" w:color="auto"/>
        <w:bottom w:val="none" w:sz="0" w:space="0" w:color="auto"/>
        <w:right w:val="none" w:sz="0" w:space="0" w:color="auto"/>
      </w:divBdr>
    </w:div>
    <w:div w:id="1553619908">
      <w:bodyDiv w:val="1"/>
      <w:marLeft w:val="0"/>
      <w:marRight w:val="0"/>
      <w:marTop w:val="0"/>
      <w:marBottom w:val="0"/>
      <w:divBdr>
        <w:top w:val="none" w:sz="0" w:space="0" w:color="auto"/>
        <w:left w:val="none" w:sz="0" w:space="0" w:color="auto"/>
        <w:bottom w:val="none" w:sz="0" w:space="0" w:color="auto"/>
        <w:right w:val="none" w:sz="0" w:space="0" w:color="auto"/>
      </w:divBdr>
    </w:div>
    <w:div w:id="1553691713">
      <w:bodyDiv w:val="1"/>
      <w:marLeft w:val="0"/>
      <w:marRight w:val="0"/>
      <w:marTop w:val="0"/>
      <w:marBottom w:val="0"/>
      <w:divBdr>
        <w:top w:val="none" w:sz="0" w:space="0" w:color="auto"/>
        <w:left w:val="none" w:sz="0" w:space="0" w:color="auto"/>
        <w:bottom w:val="none" w:sz="0" w:space="0" w:color="auto"/>
        <w:right w:val="none" w:sz="0" w:space="0" w:color="auto"/>
      </w:divBdr>
    </w:div>
    <w:div w:id="1553729155">
      <w:bodyDiv w:val="1"/>
      <w:marLeft w:val="0"/>
      <w:marRight w:val="0"/>
      <w:marTop w:val="0"/>
      <w:marBottom w:val="0"/>
      <w:divBdr>
        <w:top w:val="none" w:sz="0" w:space="0" w:color="auto"/>
        <w:left w:val="none" w:sz="0" w:space="0" w:color="auto"/>
        <w:bottom w:val="none" w:sz="0" w:space="0" w:color="auto"/>
        <w:right w:val="none" w:sz="0" w:space="0" w:color="auto"/>
      </w:divBdr>
    </w:div>
    <w:div w:id="1553733764">
      <w:bodyDiv w:val="1"/>
      <w:marLeft w:val="0"/>
      <w:marRight w:val="0"/>
      <w:marTop w:val="0"/>
      <w:marBottom w:val="0"/>
      <w:divBdr>
        <w:top w:val="none" w:sz="0" w:space="0" w:color="auto"/>
        <w:left w:val="none" w:sz="0" w:space="0" w:color="auto"/>
        <w:bottom w:val="none" w:sz="0" w:space="0" w:color="auto"/>
        <w:right w:val="none" w:sz="0" w:space="0" w:color="auto"/>
      </w:divBdr>
    </w:div>
    <w:div w:id="1553804325">
      <w:bodyDiv w:val="1"/>
      <w:marLeft w:val="0"/>
      <w:marRight w:val="0"/>
      <w:marTop w:val="0"/>
      <w:marBottom w:val="0"/>
      <w:divBdr>
        <w:top w:val="none" w:sz="0" w:space="0" w:color="auto"/>
        <w:left w:val="none" w:sz="0" w:space="0" w:color="auto"/>
        <w:bottom w:val="none" w:sz="0" w:space="0" w:color="auto"/>
        <w:right w:val="none" w:sz="0" w:space="0" w:color="auto"/>
      </w:divBdr>
    </w:div>
    <w:div w:id="1553927104">
      <w:bodyDiv w:val="1"/>
      <w:marLeft w:val="0"/>
      <w:marRight w:val="0"/>
      <w:marTop w:val="0"/>
      <w:marBottom w:val="0"/>
      <w:divBdr>
        <w:top w:val="none" w:sz="0" w:space="0" w:color="auto"/>
        <w:left w:val="none" w:sz="0" w:space="0" w:color="auto"/>
        <w:bottom w:val="none" w:sz="0" w:space="0" w:color="auto"/>
        <w:right w:val="none" w:sz="0" w:space="0" w:color="auto"/>
      </w:divBdr>
    </w:div>
    <w:div w:id="1554002084">
      <w:bodyDiv w:val="1"/>
      <w:marLeft w:val="0"/>
      <w:marRight w:val="0"/>
      <w:marTop w:val="0"/>
      <w:marBottom w:val="0"/>
      <w:divBdr>
        <w:top w:val="none" w:sz="0" w:space="0" w:color="auto"/>
        <w:left w:val="none" w:sz="0" w:space="0" w:color="auto"/>
        <w:bottom w:val="none" w:sz="0" w:space="0" w:color="auto"/>
        <w:right w:val="none" w:sz="0" w:space="0" w:color="auto"/>
      </w:divBdr>
    </w:div>
    <w:div w:id="1554121329">
      <w:bodyDiv w:val="1"/>
      <w:marLeft w:val="0"/>
      <w:marRight w:val="0"/>
      <w:marTop w:val="0"/>
      <w:marBottom w:val="0"/>
      <w:divBdr>
        <w:top w:val="none" w:sz="0" w:space="0" w:color="auto"/>
        <w:left w:val="none" w:sz="0" w:space="0" w:color="auto"/>
        <w:bottom w:val="none" w:sz="0" w:space="0" w:color="auto"/>
        <w:right w:val="none" w:sz="0" w:space="0" w:color="auto"/>
      </w:divBdr>
    </w:div>
    <w:div w:id="1554393439">
      <w:bodyDiv w:val="1"/>
      <w:marLeft w:val="0"/>
      <w:marRight w:val="0"/>
      <w:marTop w:val="0"/>
      <w:marBottom w:val="0"/>
      <w:divBdr>
        <w:top w:val="none" w:sz="0" w:space="0" w:color="auto"/>
        <w:left w:val="none" w:sz="0" w:space="0" w:color="auto"/>
        <w:bottom w:val="none" w:sz="0" w:space="0" w:color="auto"/>
        <w:right w:val="none" w:sz="0" w:space="0" w:color="auto"/>
      </w:divBdr>
    </w:div>
    <w:div w:id="1554463133">
      <w:bodyDiv w:val="1"/>
      <w:marLeft w:val="0"/>
      <w:marRight w:val="0"/>
      <w:marTop w:val="0"/>
      <w:marBottom w:val="0"/>
      <w:divBdr>
        <w:top w:val="none" w:sz="0" w:space="0" w:color="auto"/>
        <w:left w:val="none" w:sz="0" w:space="0" w:color="auto"/>
        <w:bottom w:val="none" w:sz="0" w:space="0" w:color="auto"/>
        <w:right w:val="none" w:sz="0" w:space="0" w:color="auto"/>
      </w:divBdr>
    </w:div>
    <w:div w:id="1554468100">
      <w:bodyDiv w:val="1"/>
      <w:marLeft w:val="0"/>
      <w:marRight w:val="0"/>
      <w:marTop w:val="0"/>
      <w:marBottom w:val="0"/>
      <w:divBdr>
        <w:top w:val="none" w:sz="0" w:space="0" w:color="auto"/>
        <w:left w:val="none" w:sz="0" w:space="0" w:color="auto"/>
        <w:bottom w:val="none" w:sz="0" w:space="0" w:color="auto"/>
        <w:right w:val="none" w:sz="0" w:space="0" w:color="auto"/>
      </w:divBdr>
    </w:div>
    <w:div w:id="1554611613">
      <w:bodyDiv w:val="1"/>
      <w:marLeft w:val="0"/>
      <w:marRight w:val="0"/>
      <w:marTop w:val="0"/>
      <w:marBottom w:val="0"/>
      <w:divBdr>
        <w:top w:val="none" w:sz="0" w:space="0" w:color="auto"/>
        <w:left w:val="none" w:sz="0" w:space="0" w:color="auto"/>
        <w:bottom w:val="none" w:sz="0" w:space="0" w:color="auto"/>
        <w:right w:val="none" w:sz="0" w:space="0" w:color="auto"/>
      </w:divBdr>
    </w:div>
    <w:div w:id="1554728946">
      <w:bodyDiv w:val="1"/>
      <w:marLeft w:val="0"/>
      <w:marRight w:val="0"/>
      <w:marTop w:val="0"/>
      <w:marBottom w:val="0"/>
      <w:divBdr>
        <w:top w:val="none" w:sz="0" w:space="0" w:color="auto"/>
        <w:left w:val="none" w:sz="0" w:space="0" w:color="auto"/>
        <w:bottom w:val="none" w:sz="0" w:space="0" w:color="auto"/>
        <w:right w:val="none" w:sz="0" w:space="0" w:color="auto"/>
      </w:divBdr>
    </w:div>
    <w:div w:id="1554733538">
      <w:bodyDiv w:val="1"/>
      <w:marLeft w:val="0"/>
      <w:marRight w:val="0"/>
      <w:marTop w:val="0"/>
      <w:marBottom w:val="0"/>
      <w:divBdr>
        <w:top w:val="none" w:sz="0" w:space="0" w:color="auto"/>
        <w:left w:val="none" w:sz="0" w:space="0" w:color="auto"/>
        <w:bottom w:val="none" w:sz="0" w:space="0" w:color="auto"/>
        <w:right w:val="none" w:sz="0" w:space="0" w:color="auto"/>
      </w:divBdr>
    </w:div>
    <w:div w:id="1554804846">
      <w:bodyDiv w:val="1"/>
      <w:marLeft w:val="0"/>
      <w:marRight w:val="0"/>
      <w:marTop w:val="0"/>
      <w:marBottom w:val="0"/>
      <w:divBdr>
        <w:top w:val="none" w:sz="0" w:space="0" w:color="auto"/>
        <w:left w:val="none" w:sz="0" w:space="0" w:color="auto"/>
        <w:bottom w:val="none" w:sz="0" w:space="0" w:color="auto"/>
        <w:right w:val="none" w:sz="0" w:space="0" w:color="auto"/>
      </w:divBdr>
    </w:div>
    <w:div w:id="1554849377">
      <w:bodyDiv w:val="1"/>
      <w:marLeft w:val="0"/>
      <w:marRight w:val="0"/>
      <w:marTop w:val="0"/>
      <w:marBottom w:val="0"/>
      <w:divBdr>
        <w:top w:val="none" w:sz="0" w:space="0" w:color="auto"/>
        <w:left w:val="none" w:sz="0" w:space="0" w:color="auto"/>
        <w:bottom w:val="none" w:sz="0" w:space="0" w:color="auto"/>
        <w:right w:val="none" w:sz="0" w:space="0" w:color="auto"/>
      </w:divBdr>
    </w:div>
    <w:div w:id="1554928558">
      <w:bodyDiv w:val="1"/>
      <w:marLeft w:val="0"/>
      <w:marRight w:val="0"/>
      <w:marTop w:val="0"/>
      <w:marBottom w:val="0"/>
      <w:divBdr>
        <w:top w:val="none" w:sz="0" w:space="0" w:color="auto"/>
        <w:left w:val="none" w:sz="0" w:space="0" w:color="auto"/>
        <w:bottom w:val="none" w:sz="0" w:space="0" w:color="auto"/>
        <w:right w:val="none" w:sz="0" w:space="0" w:color="auto"/>
      </w:divBdr>
    </w:div>
    <w:div w:id="1555238791">
      <w:bodyDiv w:val="1"/>
      <w:marLeft w:val="0"/>
      <w:marRight w:val="0"/>
      <w:marTop w:val="0"/>
      <w:marBottom w:val="0"/>
      <w:divBdr>
        <w:top w:val="none" w:sz="0" w:space="0" w:color="auto"/>
        <w:left w:val="none" w:sz="0" w:space="0" w:color="auto"/>
        <w:bottom w:val="none" w:sz="0" w:space="0" w:color="auto"/>
        <w:right w:val="none" w:sz="0" w:space="0" w:color="auto"/>
      </w:divBdr>
    </w:div>
    <w:div w:id="1555267330">
      <w:bodyDiv w:val="1"/>
      <w:marLeft w:val="0"/>
      <w:marRight w:val="0"/>
      <w:marTop w:val="0"/>
      <w:marBottom w:val="0"/>
      <w:divBdr>
        <w:top w:val="none" w:sz="0" w:space="0" w:color="auto"/>
        <w:left w:val="none" w:sz="0" w:space="0" w:color="auto"/>
        <w:bottom w:val="none" w:sz="0" w:space="0" w:color="auto"/>
        <w:right w:val="none" w:sz="0" w:space="0" w:color="auto"/>
      </w:divBdr>
    </w:div>
    <w:div w:id="1555459070">
      <w:bodyDiv w:val="1"/>
      <w:marLeft w:val="0"/>
      <w:marRight w:val="0"/>
      <w:marTop w:val="0"/>
      <w:marBottom w:val="0"/>
      <w:divBdr>
        <w:top w:val="none" w:sz="0" w:space="0" w:color="auto"/>
        <w:left w:val="none" w:sz="0" w:space="0" w:color="auto"/>
        <w:bottom w:val="none" w:sz="0" w:space="0" w:color="auto"/>
        <w:right w:val="none" w:sz="0" w:space="0" w:color="auto"/>
      </w:divBdr>
    </w:div>
    <w:div w:id="1555508823">
      <w:bodyDiv w:val="1"/>
      <w:marLeft w:val="0"/>
      <w:marRight w:val="0"/>
      <w:marTop w:val="0"/>
      <w:marBottom w:val="0"/>
      <w:divBdr>
        <w:top w:val="none" w:sz="0" w:space="0" w:color="auto"/>
        <w:left w:val="none" w:sz="0" w:space="0" w:color="auto"/>
        <w:bottom w:val="none" w:sz="0" w:space="0" w:color="auto"/>
        <w:right w:val="none" w:sz="0" w:space="0" w:color="auto"/>
      </w:divBdr>
    </w:div>
    <w:div w:id="1555778640">
      <w:bodyDiv w:val="1"/>
      <w:marLeft w:val="0"/>
      <w:marRight w:val="0"/>
      <w:marTop w:val="0"/>
      <w:marBottom w:val="0"/>
      <w:divBdr>
        <w:top w:val="none" w:sz="0" w:space="0" w:color="auto"/>
        <w:left w:val="none" w:sz="0" w:space="0" w:color="auto"/>
        <w:bottom w:val="none" w:sz="0" w:space="0" w:color="auto"/>
        <w:right w:val="none" w:sz="0" w:space="0" w:color="auto"/>
      </w:divBdr>
    </w:div>
    <w:div w:id="1555847393">
      <w:bodyDiv w:val="1"/>
      <w:marLeft w:val="0"/>
      <w:marRight w:val="0"/>
      <w:marTop w:val="0"/>
      <w:marBottom w:val="0"/>
      <w:divBdr>
        <w:top w:val="none" w:sz="0" w:space="0" w:color="auto"/>
        <w:left w:val="none" w:sz="0" w:space="0" w:color="auto"/>
        <w:bottom w:val="none" w:sz="0" w:space="0" w:color="auto"/>
        <w:right w:val="none" w:sz="0" w:space="0" w:color="auto"/>
      </w:divBdr>
    </w:div>
    <w:div w:id="1556426562">
      <w:bodyDiv w:val="1"/>
      <w:marLeft w:val="0"/>
      <w:marRight w:val="0"/>
      <w:marTop w:val="0"/>
      <w:marBottom w:val="0"/>
      <w:divBdr>
        <w:top w:val="none" w:sz="0" w:space="0" w:color="auto"/>
        <w:left w:val="none" w:sz="0" w:space="0" w:color="auto"/>
        <w:bottom w:val="none" w:sz="0" w:space="0" w:color="auto"/>
        <w:right w:val="none" w:sz="0" w:space="0" w:color="auto"/>
      </w:divBdr>
    </w:div>
    <w:div w:id="1556503865">
      <w:bodyDiv w:val="1"/>
      <w:marLeft w:val="0"/>
      <w:marRight w:val="0"/>
      <w:marTop w:val="0"/>
      <w:marBottom w:val="0"/>
      <w:divBdr>
        <w:top w:val="none" w:sz="0" w:space="0" w:color="auto"/>
        <w:left w:val="none" w:sz="0" w:space="0" w:color="auto"/>
        <w:bottom w:val="none" w:sz="0" w:space="0" w:color="auto"/>
        <w:right w:val="none" w:sz="0" w:space="0" w:color="auto"/>
      </w:divBdr>
    </w:div>
    <w:div w:id="1556700229">
      <w:bodyDiv w:val="1"/>
      <w:marLeft w:val="0"/>
      <w:marRight w:val="0"/>
      <w:marTop w:val="0"/>
      <w:marBottom w:val="0"/>
      <w:divBdr>
        <w:top w:val="none" w:sz="0" w:space="0" w:color="auto"/>
        <w:left w:val="none" w:sz="0" w:space="0" w:color="auto"/>
        <w:bottom w:val="none" w:sz="0" w:space="0" w:color="auto"/>
        <w:right w:val="none" w:sz="0" w:space="0" w:color="auto"/>
      </w:divBdr>
    </w:div>
    <w:div w:id="1556743348">
      <w:bodyDiv w:val="1"/>
      <w:marLeft w:val="0"/>
      <w:marRight w:val="0"/>
      <w:marTop w:val="0"/>
      <w:marBottom w:val="0"/>
      <w:divBdr>
        <w:top w:val="none" w:sz="0" w:space="0" w:color="auto"/>
        <w:left w:val="none" w:sz="0" w:space="0" w:color="auto"/>
        <w:bottom w:val="none" w:sz="0" w:space="0" w:color="auto"/>
        <w:right w:val="none" w:sz="0" w:space="0" w:color="auto"/>
      </w:divBdr>
    </w:div>
    <w:div w:id="1556816962">
      <w:bodyDiv w:val="1"/>
      <w:marLeft w:val="0"/>
      <w:marRight w:val="0"/>
      <w:marTop w:val="0"/>
      <w:marBottom w:val="0"/>
      <w:divBdr>
        <w:top w:val="none" w:sz="0" w:space="0" w:color="auto"/>
        <w:left w:val="none" w:sz="0" w:space="0" w:color="auto"/>
        <w:bottom w:val="none" w:sz="0" w:space="0" w:color="auto"/>
        <w:right w:val="none" w:sz="0" w:space="0" w:color="auto"/>
      </w:divBdr>
    </w:div>
    <w:div w:id="1556889258">
      <w:bodyDiv w:val="1"/>
      <w:marLeft w:val="0"/>
      <w:marRight w:val="0"/>
      <w:marTop w:val="0"/>
      <w:marBottom w:val="0"/>
      <w:divBdr>
        <w:top w:val="none" w:sz="0" w:space="0" w:color="auto"/>
        <w:left w:val="none" w:sz="0" w:space="0" w:color="auto"/>
        <w:bottom w:val="none" w:sz="0" w:space="0" w:color="auto"/>
        <w:right w:val="none" w:sz="0" w:space="0" w:color="auto"/>
      </w:divBdr>
    </w:div>
    <w:div w:id="1556968161">
      <w:bodyDiv w:val="1"/>
      <w:marLeft w:val="0"/>
      <w:marRight w:val="0"/>
      <w:marTop w:val="0"/>
      <w:marBottom w:val="0"/>
      <w:divBdr>
        <w:top w:val="none" w:sz="0" w:space="0" w:color="auto"/>
        <w:left w:val="none" w:sz="0" w:space="0" w:color="auto"/>
        <w:bottom w:val="none" w:sz="0" w:space="0" w:color="auto"/>
        <w:right w:val="none" w:sz="0" w:space="0" w:color="auto"/>
      </w:divBdr>
    </w:div>
    <w:div w:id="1556969215">
      <w:bodyDiv w:val="1"/>
      <w:marLeft w:val="0"/>
      <w:marRight w:val="0"/>
      <w:marTop w:val="0"/>
      <w:marBottom w:val="0"/>
      <w:divBdr>
        <w:top w:val="none" w:sz="0" w:space="0" w:color="auto"/>
        <w:left w:val="none" w:sz="0" w:space="0" w:color="auto"/>
        <w:bottom w:val="none" w:sz="0" w:space="0" w:color="auto"/>
        <w:right w:val="none" w:sz="0" w:space="0" w:color="auto"/>
      </w:divBdr>
    </w:div>
    <w:div w:id="1557007635">
      <w:bodyDiv w:val="1"/>
      <w:marLeft w:val="0"/>
      <w:marRight w:val="0"/>
      <w:marTop w:val="0"/>
      <w:marBottom w:val="0"/>
      <w:divBdr>
        <w:top w:val="none" w:sz="0" w:space="0" w:color="auto"/>
        <w:left w:val="none" w:sz="0" w:space="0" w:color="auto"/>
        <w:bottom w:val="none" w:sz="0" w:space="0" w:color="auto"/>
        <w:right w:val="none" w:sz="0" w:space="0" w:color="auto"/>
      </w:divBdr>
    </w:div>
    <w:div w:id="1557009195">
      <w:bodyDiv w:val="1"/>
      <w:marLeft w:val="0"/>
      <w:marRight w:val="0"/>
      <w:marTop w:val="0"/>
      <w:marBottom w:val="0"/>
      <w:divBdr>
        <w:top w:val="none" w:sz="0" w:space="0" w:color="auto"/>
        <w:left w:val="none" w:sz="0" w:space="0" w:color="auto"/>
        <w:bottom w:val="none" w:sz="0" w:space="0" w:color="auto"/>
        <w:right w:val="none" w:sz="0" w:space="0" w:color="auto"/>
      </w:divBdr>
    </w:div>
    <w:div w:id="1557010358">
      <w:bodyDiv w:val="1"/>
      <w:marLeft w:val="0"/>
      <w:marRight w:val="0"/>
      <w:marTop w:val="0"/>
      <w:marBottom w:val="0"/>
      <w:divBdr>
        <w:top w:val="none" w:sz="0" w:space="0" w:color="auto"/>
        <w:left w:val="none" w:sz="0" w:space="0" w:color="auto"/>
        <w:bottom w:val="none" w:sz="0" w:space="0" w:color="auto"/>
        <w:right w:val="none" w:sz="0" w:space="0" w:color="auto"/>
      </w:divBdr>
    </w:div>
    <w:div w:id="1557014378">
      <w:bodyDiv w:val="1"/>
      <w:marLeft w:val="0"/>
      <w:marRight w:val="0"/>
      <w:marTop w:val="0"/>
      <w:marBottom w:val="0"/>
      <w:divBdr>
        <w:top w:val="none" w:sz="0" w:space="0" w:color="auto"/>
        <w:left w:val="none" w:sz="0" w:space="0" w:color="auto"/>
        <w:bottom w:val="none" w:sz="0" w:space="0" w:color="auto"/>
        <w:right w:val="none" w:sz="0" w:space="0" w:color="auto"/>
      </w:divBdr>
    </w:div>
    <w:div w:id="1557157118">
      <w:bodyDiv w:val="1"/>
      <w:marLeft w:val="0"/>
      <w:marRight w:val="0"/>
      <w:marTop w:val="0"/>
      <w:marBottom w:val="0"/>
      <w:divBdr>
        <w:top w:val="none" w:sz="0" w:space="0" w:color="auto"/>
        <w:left w:val="none" w:sz="0" w:space="0" w:color="auto"/>
        <w:bottom w:val="none" w:sz="0" w:space="0" w:color="auto"/>
        <w:right w:val="none" w:sz="0" w:space="0" w:color="auto"/>
      </w:divBdr>
    </w:div>
    <w:div w:id="1557281727">
      <w:bodyDiv w:val="1"/>
      <w:marLeft w:val="0"/>
      <w:marRight w:val="0"/>
      <w:marTop w:val="0"/>
      <w:marBottom w:val="0"/>
      <w:divBdr>
        <w:top w:val="none" w:sz="0" w:space="0" w:color="auto"/>
        <w:left w:val="none" w:sz="0" w:space="0" w:color="auto"/>
        <w:bottom w:val="none" w:sz="0" w:space="0" w:color="auto"/>
        <w:right w:val="none" w:sz="0" w:space="0" w:color="auto"/>
      </w:divBdr>
    </w:div>
    <w:div w:id="1557283023">
      <w:bodyDiv w:val="1"/>
      <w:marLeft w:val="0"/>
      <w:marRight w:val="0"/>
      <w:marTop w:val="0"/>
      <w:marBottom w:val="0"/>
      <w:divBdr>
        <w:top w:val="none" w:sz="0" w:space="0" w:color="auto"/>
        <w:left w:val="none" w:sz="0" w:space="0" w:color="auto"/>
        <w:bottom w:val="none" w:sz="0" w:space="0" w:color="auto"/>
        <w:right w:val="none" w:sz="0" w:space="0" w:color="auto"/>
      </w:divBdr>
    </w:div>
    <w:div w:id="1557349658">
      <w:bodyDiv w:val="1"/>
      <w:marLeft w:val="0"/>
      <w:marRight w:val="0"/>
      <w:marTop w:val="0"/>
      <w:marBottom w:val="0"/>
      <w:divBdr>
        <w:top w:val="none" w:sz="0" w:space="0" w:color="auto"/>
        <w:left w:val="none" w:sz="0" w:space="0" w:color="auto"/>
        <w:bottom w:val="none" w:sz="0" w:space="0" w:color="auto"/>
        <w:right w:val="none" w:sz="0" w:space="0" w:color="auto"/>
      </w:divBdr>
    </w:div>
    <w:div w:id="1557473994">
      <w:bodyDiv w:val="1"/>
      <w:marLeft w:val="0"/>
      <w:marRight w:val="0"/>
      <w:marTop w:val="0"/>
      <w:marBottom w:val="0"/>
      <w:divBdr>
        <w:top w:val="none" w:sz="0" w:space="0" w:color="auto"/>
        <w:left w:val="none" w:sz="0" w:space="0" w:color="auto"/>
        <w:bottom w:val="none" w:sz="0" w:space="0" w:color="auto"/>
        <w:right w:val="none" w:sz="0" w:space="0" w:color="auto"/>
      </w:divBdr>
    </w:div>
    <w:div w:id="1557475025">
      <w:bodyDiv w:val="1"/>
      <w:marLeft w:val="0"/>
      <w:marRight w:val="0"/>
      <w:marTop w:val="0"/>
      <w:marBottom w:val="0"/>
      <w:divBdr>
        <w:top w:val="none" w:sz="0" w:space="0" w:color="auto"/>
        <w:left w:val="none" w:sz="0" w:space="0" w:color="auto"/>
        <w:bottom w:val="none" w:sz="0" w:space="0" w:color="auto"/>
        <w:right w:val="none" w:sz="0" w:space="0" w:color="auto"/>
      </w:divBdr>
    </w:div>
    <w:div w:id="1557475494">
      <w:bodyDiv w:val="1"/>
      <w:marLeft w:val="0"/>
      <w:marRight w:val="0"/>
      <w:marTop w:val="0"/>
      <w:marBottom w:val="0"/>
      <w:divBdr>
        <w:top w:val="none" w:sz="0" w:space="0" w:color="auto"/>
        <w:left w:val="none" w:sz="0" w:space="0" w:color="auto"/>
        <w:bottom w:val="none" w:sz="0" w:space="0" w:color="auto"/>
        <w:right w:val="none" w:sz="0" w:space="0" w:color="auto"/>
      </w:divBdr>
    </w:div>
    <w:div w:id="1557618382">
      <w:bodyDiv w:val="1"/>
      <w:marLeft w:val="0"/>
      <w:marRight w:val="0"/>
      <w:marTop w:val="0"/>
      <w:marBottom w:val="0"/>
      <w:divBdr>
        <w:top w:val="none" w:sz="0" w:space="0" w:color="auto"/>
        <w:left w:val="none" w:sz="0" w:space="0" w:color="auto"/>
        <w:bottom w:val="none" w:sz="0" w:space="0" w:color="auto"/>
        <w:right w:val="none" w:sz="0" w:space="0" w:color="auto"/>
      </w:divBdr>
    </w:div>
    <w:div w:id="1557626290">
      <w:bodyDiv w:val="1"/>
      <w:marLeft w:val="0"/>
      <w:marRight w:val="0"/>
      <w:marTop w:val="0"/>
      <w:marBottom w:val="0"/>
      <w:divBdr>
        <w:top w:val="none" w:sz="0" w:space="0" w:color="auto"/>
        <w:left w:val="none" w:sz="0" w:space="0" w:color="auto"/>
        <w:bottom w:val="none" w:sz="0" w:space="0" w:color="auto"/>
        <w:right w:val="none" w:sz="0" w:space="0" w:color="auto"/>
      </w:divBdr>
    </w:div>
    <w:div w:id="1557735477">
      <w:bodyDiv w:val="1"/>
      <w:marLeft w:val="0"/>
      <w:marRight w:val="0"/>
      <w:marTop w:val="0"/>
      <w:marBottom w:val="0"/>
      <w:divBdr>
        <w:top w:val="none" w:sz="0" w:space="0" w:color="auto"/>
        <w:left w:val="none" w:sz="0" w:space="0" w:color="auto"/>
        <w:bottom w:val="none" w:sz="0" w:space="0" w:color="auto"/>
        <w:right w:val="none" w:sz="0" w:space="0" w:color="auto"/>
      </w:divBdr>
    </w:div>
    <w:div w:id="1557860126">
      <w:bodyDiv w:val="1"/>
      <w:marLeft w:val="0"/>
      <w:marRight w:val="0"/>
      <w:marTop w:val="0"/>
      <w:marBottom w:val="0"/>
      <w:divBdr>
        <w:top w:val="none" w:sz="0" w:space="0" w:color="auto"/>
        <w:left w:val="none" w:sz="0" w:space="0" w:color="auto"/>
        <w:bottom w:val="none" w:sz="0" w:space="0" w:color="auto"/>
        <w:right w:val="none" w:sz="0" w:space="0" w:color="auto"/>
      </w:divBdr>
    </w:div>
    <w:div w:id="1558004069">
      <w:bodyDiv w:val="1"/>
      <w:marLeft w:val="0"/>
      <w:marRight w:val="0"/>
      <w:marTop w:val="0"/>
      <w:marBottom w:val="0"/>
      <w:divBdr>
        <w:top w:val="none" w:sz="0" w:space="0" w:color="auto"/>
        <w:left w:val="none" w:sz="0" w:space="0" w:color="auto"/>
        <w:bottom w:val="none" w:sz="0" w:space="0" w:color="auto"/>
        <w:right w:val="none" w:sz="0" w:space="0" w:color="auto"/>
      </w:divBdr>
    </w:div>
    <w:div w:id="1558129911">
      <w:bodyDiv w:val="1"/>
      <w:marLeft w:val="0"/>
      <w:marRight w:val="0"/>
      <w:marTop w:val="0"/>
      <w:marBottom w:val="0"/>
      <w:divBdr>
        <w:top w:val="none" w:sz="0" w:space="0" w:color="auto"/>
        <w:left w:val="none" w:sz="0" w:space="0" w:color="auto"/>
        <w:bottom w:val="none" w:sz="0" w:space="0" w:color="auto"/>
        <w:right w:val="none" w:sz="0" w:space="0" w:color="auto"/>
      </w:divBdr>
    </w:div>
    <w:div w:id="1558277697">
      <w:bodyDiv w:val="1"/>
      <w:marLeft w:val="0"/>
      <w:marRight w:val="0"/>
      <w:marTop w:val="0"/>
      <w:marBottom w:val="0"/>
      <w:divBdr>
        <w:top w:val="none" w:sz="0" w:space="0" w:color="auto"/>
        <w:left w:val="none" w:sz="0" w:space="0" w:color="auto"/>
        <w:bottom w:val="none" w:sz="0" w:space="0" w:color="auto"/>
        <w:right w:val="none" w:sz="0" w:space="0" w:color="auto"/>
      </w:divBdr>
    </w:div>
    <w:div w:id="1558468346">
      <w:bodyDiv w:val="1"/>
      <w:marLeft w:val="0"/>
      <w:marRight w:val="0"/>
      <w:marTop w:val="0"/>
      <w:marBottom w:val="0"/>
      <w:divBdr>
        <w:top w:val="none" w:sz="0" w:space="0" w:color="auto"/>
        <w:left w:val="none" w:sz="0" w:space="0" w:color="auto"/>
        <w:bottom w:val="none" w:sz="0" w:space="0" w:color="auto"/>
        <w:right w:val="none" w:sz="0" w:space="0" w:color="auto"/>
      </w:divBdr>
    </w:div>
    <w:div w:id="1558469782">
      <w:bodyDiv w:val="1"/>
      <w:marLeft w:val="0"/>
      <w:marRight w:val="0"/>
      <w:marTop w:val="0"/>
      <w:marBottom w:val="0"/>
      <w:divBdr>
        <w:top w:val="none" w:sz="0" w:space="0" w:color="auto"/>
        <w:left w:val="none" w:sz="0" w:space="0" w:color="auto"/>
        <w:bottom w:val="none" w:sz="0" w:space="0" w:color="auto"/>
        <w:right w:val="none" w:sz="0" w:space="0" w:color="auto"/>
      </w:divBdr>
    </w:div>
    <w:div w:id="1558777335">
      <w:bodyDiv w:val="1"/>
      <w:marLeft w:val="0"/>
      <w:marRight w:val="0"/>
      <w:marTop w:val="0"/>
      <w:marBottom w:val="0"/>
      <w:divBdr>
        <w:top w:val="none" w:sz="0" w:space="0" w:color="auto"/>
        <w:left w:val="none" w:sz="0" w:space="0" w:color="auto"/>
        <w:bottom w:val="none" w:sz="0" w:space="0" w:color="auto"/>
        <w:right w:val="none" w:sz="0" w:space="0" w:color="auto"/>
      </w:divBdr>
    </w:div>
    <w:div w:id="1559172468">
      <w:bodyDiv w:val="1"/>
      <w:marLeft w:val="0"/>
      <w:marRight w:val="0"/>
      <w:marTop w:val="0"/>
      <w:marBottom w:val="0"/>
      <w:divBdr>
        <w:top w:val="none" w:sz="0" w:space="0" w:color="auto"/>
        <w:left w:val="none" w:sz="0" w:space="0" w:color="auto"/>
        <w:bottom w:val="none" w:sz="0" w:space="0" w:color="auto"/>
        <w:right w:val="none" w:sz="0" w:space="0" w:color="auto"/>
      </w:divBdr>
    </w:div>
    <w:div w:id="1559198701">
      <w:bodyDiv w:val="1"/>
      <w:marLeft w:val="0"/>
      <w:marRight w:val="0"/>
      <w:marTop w:val="0"/>
      <w:marBottom w:val="0"/>
      <w:divBdr>
        <w:top w:val="none" w:sz="0" w:space="0" w:color="auto"/>
        <w:left w:val="none" w:sz="0" w:space="0" w:color="auto"/>
        <w:bottom w:val="none" w:sz="0" w:space="0" w:color="auto"/>
        <w:right w:val="none" w:sz="0" w:space="0" w:color="auto"/>
      </w:divBdr>
    </w:div>
    <w:div w:id="1559199063">
      <w:bodyDiv w:val="1"/>
      <w:marLeft w:val="0"/>
      <w:marRight w:val="0"/>
      <w:marTop w:val="0"/>
      <w:marBottom w:val="0"/>
      <w:divBdr>
        <w:top w:val="none" w:sz="0" w:space="0" w:color="auto"/>
        <w:left w:val="none" w:sz="0" w:space="0" w:color="auto"/>
        <w:bottom w:val="none" w:sz="0" w:space="0" w:color="auto"/>
        <w:right w:val="none" w:sz="0" w:space="0" w:color="auto"/>
      </w:divBdr>
    </w:div>
    <w:div w:id="1559391399">
      <w:bodyDiv w:val="1"/>
      <w:marLeft w:val="0"/>
      <w:marRight w:val="0"/>
      <w:marTop w:val="0"/>
      <w:marBottom w:val="0"/>
      <w:divBdr>
        <w:top w:val="none" w:sz="0" w:space="0" w:color="auto"/>
        <w:left w:val="none" w:sz="0" w:space="0" w:color="auto"/>
        <w:bottom w:val="none" w:sz="0" w:space="0" w:color="auto"/>
        <w:right w:val="none" w:sz="0" w:space="0" w:color="auto"/>
      </w:divBdr>
    </w:div>
    <w:div w:id="1559435434">
      <w:bodyDiv w:val="1"/>
      <w:marLeft w:val="0"/>
      <w:marRight w:val="0"/>
      <w:marTop w:val="0"/>
      <w:marBottom w:val="0"/>
      <w:divBdr>
        <w:top w:val="none" w:sz="0" w:space="0" w:color="auto"/>
        <w:left w:val="none" w:sz="0" w:space="0" w:color="auto"/>
        <w:bottom w:val="none" w:sz="0" w:space="0" w:color="auto"/>
        <w:right w:val="none" w:sz="0" w:space="0" w:color="auto"/>
      </w:divBdr>
    </w:div>
    <w:div w:id="1559516676">
      <w:bodyDiv w:val="1"/>
      <w:marLeft w:val="0"/>
      <w:marRight w:val="0"/>
      <w:marTop w:val="0"/>
      <w:marBottom w:val="0"/>
      <w:divBdr>
        <w:top w:val="none" w:sz="0" w:space="0" w:color="auto"/>
        <w:left w:val="none" w:sz="0" w:space="0" w:color="auto"/>
        <w:bottom w:val="none" w:sz="0" w:space="0" w:color="auto"/>
        <w:right w:val="none" w:sz="0" w:space="0" w:color="auto"/>
      </w:divBdr>
    </w:div>
    <w:div w:id="1559826224">
      <w:bodyDiv w:val="1"/>
      <w:marLeft w:val="0"/>
      <w:marRight w:val="0"/>
      <w:marTop w:val="0"/>
      <w:marBottom w:val="0"/>
      <w:divBdr>
        <w:top w:val="none" w:sz="0" w:space="0" w:color="auto"/>
        <w:left w:val="none" w:sz="0" w:space="0" w:color="auto"/>
        <w:bottom w:val="none" w:sz="0" w:space="0" w:color="auto"/>
        <w:right w:val="none" w:sz="0" w:space="0" w:color="auto"/>
      </w:divBdr>
    </w:div>
    <w:div w:id="1559895118">
      <w:bodyDiv w:val="1"/>
      <w:marLeft w:val="0"/>
      <w:marRight w:val="0"/>
      <w:marTop w:val="0"/>
      <w:marBottom w:val="0"/>
      <w:divBdr>
        <w:top w:val="none" w:sz="0" w:space="0" w:color="auto"/>
        <w:left w:val="none" w:sz="0" w:space="0" w:color="auto"/>
        <w:bottom w:val="none" w:sz="0" w:space="0" w:color="auto"/>
        <w:right w:val="none" w:sz="0" w:space="0" w:color="auto"/>
      </w:divBdr>
    </w:div>
    <w:div w:id="1559978011">
      <w:bodyDiv w:val="1"/>
      <w:marLeft w:val="0"/>
      <w:marRight w:val="0"/>
      <w:marTop w:val="0"/>
      <w:marBottom w:val="0"/>
      <w:divBdr>
        <w:top w:val="none" w:sz="0" w:space="0" w:color="auto"/>
        <w:left w:val="none" w:sz="0" w:space="0" w:color="auto"/>
        <w:bottom w:val="none" w:sz="0" w:space="0" w:color="auto"/>
        <w:right w:val="none" w:sz="0" w:space="0" w:color="auto"/>
      </w:divBdr>
    </w:div>
    <w:div w:id="1560246004">
      <w:bodyDiv w:val="1"/>
      <w:marLeft w:val="0"/>
      <w:marRight w:val="0"/>
      <w:marTop w:val="0"/>
      <w:marBottom w:val="0"/>
      <w:divBdr>
        <w:top w:val="none" w:sz="0" w:space="0" w:color="auto"/>
        <w:left w:val="none" w:sz="0" w:space="0" w:color="auto"/>
        <w:bottom w:val="none" w:sz="0" w:space="0" w:color="auto"/>
        <w:right w:val="none" w:sz="0" w:space="0" w:color="auto"/>
      </w:divBdr>
    </w:div>
    <w:div w:id="1560290879">
      <w:bodyDiv w:val="1"/>
      <w:marLeft w:val="0"/>
      <w:marRight w:val="0"/>
      <w:marTop w:val="0"/>
      <w:marBottom w:val="0"/>
      <w:divBdr>
        <w:top w:val="none" w:sz="0" w:space="0" w:color="auto"/>
        <w:left w:val="none" w:sz="0" w:space="0" w:color="auto"/>
        <w:bottom w:val="none" w:sz="0" w:space="0" w:color="auto"/>
        <w:right w:val="none" w:sz="0" w:space="0" w:color="auto"/>
      </w:divBdr>
    </w:div>
    <w:div w:id="1560479135">
      <w:bodyDiv w:val="1"/>
      <w:marLeft w:val="0"/>
      <w:marRight w:val="0"/>
      <w:marTop w:val="0"/>
      <w:marBottom w:val="0"/>
      <w:divBdr>
        <w:top w:val="none" w:sz="0" w:space="0" w:color="auto"/>
        <w:left w:val="none" w:sz="0" w:space="0" w:color="auto"/>
        <w:bottom w:val="none" w:sz="0" w:space="0" w:color="auto"/>
        <w:right w:val="none" w:sz="0" w:space="0" w:color="auto"/>
      </w:divBdr>
    </w:div>
    <w:div w:id="1560555179">
      <w:bodyDiv w:val="1"/>
      <w:marLeft w:val="0"/>
      <w:marRight w:val="0"/>
      <w:marTop w:val="0"/>
      <w:marBottom w:val="0"/>
      <w:divBdr>
        <w:top w:val="none" w:sz="0" w:space="0" w:color="auto"/>
        <w:left w:val="none" w:sz="0" w:space="0" w:color="auto"/>
        <w:bottom w:val="none" w:sz="0" w:space="0" w:color="auto"/>
        <w:right w:val="none" w:sz="0" w:space="0" w:color="auto"/>
      </w:divBdr>
    </w:div>
    <w:div w:id="1560626047">
      <w:bodyDiv w:val="1"/>
      <w:marLeft w:val="0"/>
      <w:marRight w:val="0"/>
      <w:marTop w:val="0"/>
      <w:marBottom w:val="0"/>
      <w:divBdr>
        <w:top w:val="none" w:sz="0" w:space="0" w:color="auto"/>
        <w:left w:val="none" w:sz="0" w:space="0" w:color="auto"/>
        <w:bottom w:val="none" w:sz="0" w:space="0" w:color="auto"/>
        <w:right w:val="none" w:sz="0" w:space="0" w:color="auto"/>
      </w:divBdr>
    </w:div>
    <w:div w:id="1560752570">
      <w:bodyDiv w:val="1"/>
      <w:marLeft w:val="0"/>
      <w:marRight w:val="0"/>
      <w:marTop w:val="0"/>
      <w:marBottom w:val="0"/>
      <w:divBdr>
        <w:top w:val="none" w:sz="0" w:space="0" w:color="auto"/>
        <w:left w:val="none" w:sz="0" w:space="0" w:color="auto"/>
        <w:bottom w:val="none" w:sz="0" w:space="0" w:color="auto"/>
        <w:right w:val="none" w:sz="0" w:space="0" w:color="auto"/>
      </w:divBdr>
    </w:div>
    <w:div w:id="1561090372">
      <w:bodyDiv w:val="1"/>
      <w:marLeft w:val="0"/>
      <w:marRight w:val="0"/>
      <w:marTop w:val="0"/>
      <w:marBottom w:val="0"/>
      <w:divBdr>
        <w:top w:val="none" w:sz="0" w:space="0" w:color="auto"/>
        <w:left w:val="none" w:sz="0" w:space="0" w:color="auto"/>
        <w:bottom w:val="none" w:sz="0" w:space="0" w:color="auto"/>
        <w:right w:val="none" w:sz="0" w:space="0" w:color="auto"/>
      </w:divBdr>
    </w:div>
    <w:div w:id="1561093672">
      <w:bodyDiv w:val="1"/>
      <w:marLeft w:val="0"/>
      <w:marRight w:val="0"/>
      <w:marTop w:val="0"/>
      <w:marBottom w:val="0"/>
      <w:divBdr>
        <w:top w:val="none" w:sz="0" w:space="0" w:color="auto"/>
        <w:left w:val="none" w:sz="0" w:space="0" w:color="auto"/>
        <w:bottom w:val="none" w:sz="0" w:space="0" w:color="auto"/>
        <w:right w:val="none" w:sz="0" w:space="0" w:color="auto"/>
      </w:divBdr>
    </w:div>
    <w:div w:id="1561207272">
      <w:bodyDiv w:val="1"/>
      <w:marLeft w:val="0"/>
      <w:marRight w:val="0"/>
      <w:marTop w:val="0"/>
      <w:marBottom w:val="0"/>
      <w:divBdr>
        <w:top w:val="none" w:sz="0" w:space="0" w:color="auto"/>
        <w:left w:val="none" w:sz="0" w:space="0" w:color="auto"/>
        <w:bottom w:val="none" w:sz="0" w:space="0" w:color="auto"/>
        <w:right w:val="none" w:sz="0" w:space="0" w:color="auto"/>
      </w:divBdr>
    </w:div>
    <w:div w:id="1561360122">
      <w:bodyDiv w:val="1"/>
      <w:marLeft w:val="0"/>
      <w:marRight w:val="0"/>
      <w:marTop w:val="0"/>
      <w:marBottom w:val="0"/>
      <w:divBdr>
        <w:top w:val="none" w:sz="0" w:space="0" w:color="auto"/>
        <w:left w:val="none" w:sz="0" w:space="0" w:color="auto"/>
        <w:bottom w:val="none" w:sz="0" w:space="0" w:color="auto"/>
        <w:right w:val="none" w:sz="0" w:space="0" w:color="auto"/>
      </w:divBdr>
    </w:div>
    <w:div w:id="1561675353">
      <w:bodyDiv w:val="1"/>
      <w:marLeft w:val="0"/>
      <w:marRight w:val="0"/>
      <w:marTop w:val="0"/>
      <w:marBottom w:val="0"/>
      <w:divBdr>
        <w:top w:val="none" w:sz="0" w:space="0" w:color="auto"/>
        <w:left w:val="none" w:sz="0" w:space="0" w:color="auto"/>
        <w:bottom w:val="none" w:sz="0" w:space="0" w:color="auto"/>
        <w:right w:val="none" w:sz="0" w:space="0" w:color="auto"/>
      </w:divBdr>
    </w:div>
    <w:div w:id="1561864496">
      <w:bodyDiv w:val="1"/>
      <w:marLeft w:val="0"/>
      <w:marRight w:val="0"/>
      <w:marTop w:val="0"/>
      <w:marBottom w:val="0"/>
      <w:divBdr>
        <w:top w:val="none" w:sz="0" w:space="0" w:color="auto"/>
        <w:left w:val="none" w:sz="0" w:space="0" w:color="auto"/>
        <w:bottom w:val="none" w:sz="0" w:space="0" w:color="auto"/>
        <w:right w:val="none" w:sz="0" w:space="0" w:color="auto"/>
      </w:divBdr>
    </w:div>
    <w:div w:id="1562056841">
      <w:bodyDiv w:val="1"/>
      <w:marLeft w:val="0"/>
      <w:marRight w:val="0"/>
      <w:marTop w:val="0"/>
      <w:marBottom w:val="0"/>
      <w:divBdr>
        <w:top w:val="none" w:sz="0" w:space="0" w:color="auto"/>
        <w:left w:val="none" w:sz="0" w:space="0" w:color="auto"/>
        <w:bottom w:val="none" w:sz="0" w:space="0" w:color="auto"/>
        <w:right w:val="none" w:sz="0" w:space="0" w:color="auto"/>
      </w:divBdr>
    </w:div>
    <w:div w:id="1562138090">
      <w:bodyDiv w:val="1"/>
      <w:marLeft w:val="0"/>
      <w:marRight w:val="0"/>
      <w:marTop w:val="0"/>
      <w:marBottom w:val="0"/>
      <w:divBdr>
        <w:top w:val="none" w:sz="0" w:space="0" w:color="auto"/>
        <w:left w:val="none" w:sz="0" w:space="0" w:color="auto"/>
        <w:bottom w:val="none" w:sz="0" w:space="0" w:color="auto"/>
        <w:right w:val="none" w:sz="0" w:space="0" w:color="auto"/>
      </w:divBdr>
    </w:div>
    <w:div w:id="1562331508">
      <w:bodyDiv w:val="1"/>
      <w:marLeft w:val="0"/>
      <w:marRight w:val="0"/>
      <w:marTop w:val="0"/>
      <w:marBottom w:val="0"/>
      <w:divBdr>
        <w:top w:val="none" w:sz="0" w:space="0" w:color="auto"/>
        <w:left w:val="none" w:sz="0" w:space="0" w:color="auto"/>
        <w:bottom w:val="none" w:sz="0" w:space="0" w:color="auto"/>
        <w:right w:val="none" w:sz="0" w:space="0" w:color="auto"/>
      </w:divBdr>
    </w:div>
    <w:div w:id="1562402646">
      <w:bodyDiv w:val="1"/>
      <w:marLeft w:val="0"/>
      <w:marRight w:val="0"/>
      <w:marTop w:val="0"/>
      <w:marBottom w:val="0"/>
      <w:divBdr>
        <w:top w:val="none" w:sz="0" w:space="0" w:color="auto"/>
        <w:left w:val="none" w:sz="0" w:space="0" w:color="auto"/>
        <w:bottom w:val="none" w:sz="0" w:space="0" w:color="auto"/>
        <w:right w:val="none" w:sz="0" w:space="0" w:color="auto"/>
      </w:divBdr>
    </w:div>
    <w:div w:id="1562406713">
      <w:bodyDiv w:val="1"/>
      <w:marLeft w:val="0"/>
      <w:marRight w:val="0"/>
      <w:marTop w:val="0"/>
      <w:marBottom w:val="0"/>
      <w:divBdr>
        <w:top w:val="none" w:sz="0" w:space="0" w:color="auto"/>
        <w:left w:val="none" w:sz="0" w:space="0" w:color="auto"/>
        <w:bottom w:val="none" w:sz="0" w:space="0" w:color="auto"/>
        <w:right w:val="none" w:sz="0" w:space="0" w:color="auto"/>
      </w:divBdr>
    </w:div>
    <w:div w:id="1562515983">
      <w:bodyDiv w:val="1"/>
      <w:marLeft w:val="0"/>
      <w:marRight w:val="0"/>
      <w:marTop w:val="0"/>
      <w:marBottom w:val="0"/>
      <w:divBdr>
        <w:top w:val="none" w:sz="0" w:space="0" w:color="auto"/>
        <w:left w:val="none" w:sz="0" w:space="0" w:color="auto"/>
        <w:bottom w:val="none" w:sz="0" w:space="0" w:color="auto"/>
        <w:right w:val="none" w:sz="0" w:space="0" w:color="auto"/>
      </w:divBdr>
    </w:div>
    <w:div w:id="1562591002">
      <w:bodyDiv w:val="1"/>
      <w:marLeft w:val="0"/>
      <w:marRight w:val="0"/>
      <w:marTop w:val="0"/>
      <w:marBottom w:val="0"/>
      <w:divBdr>
        <w:top w:val="none" w:sz="0" w:space="0" w:color="auto"/>
        <w:left w:val="none" w:sz="0" w:space="0" w:color="auto"/>
        <w:bottom w:val="none" w:sz="0" w:space="0" w:color="auto"/>
        <w:right w:val="none" w:sz="0" w:space="0" w:color="auto"/>
      </w:divBdr>
    </w:div>
    <w:div w:id="1562640412">
      <w:bodyDiv w:val="1"/>
      <w:marLeft w:val="0"/>
      <w:marRight w:val="0"/>
      <w:marTop w:val="0"/>
      <w:marBottom w:val="0"/>
      <w:divBdr>
        <w:top w:val="none" w:sz="0" w:space="0" w:color="auto"/>
        <w:left w:val="none" w:sz="0" w:space="0" w:color="auto"/>
        <w:bottom w:val="none" w:sz="0" w:space="0" w:color="auto"/>
        <w:right w:val="none" w:sz="0" w:space="0" w:color="auto"/>
      </w:divBdr>
    </w:div>
    <w:div w:id="1562716794">
      <w:bodyDiv w:val="1"/>
      <w:marLeft w:val="0"/>
      <w:marRight w:val="0"/>
      <w:marTop w:val="0"/>
      <w:marBottom w:val="0"/>
      <w:divBdr>
        <w:top w:val="none" w:sz="0" w:space="0" w:color="auto"/>
        <w:left w:val="none" w:sz="0" w:space="0" w:color="auto"/>
        <w:bottom w:val="none" w:sz="0" w:space="0" w:color="auto"/>
        <w:right w:val="none" w:sz="0" w:space="0" w:color="auto"/>
      </w:divBdr>
    </w:div>
    <w:div w:id="1562867344">
      <w:bodyDiv w:val="1"/>
      <w:marLeft w:val="0"/>
      <w:marRight w:val="0"/>
      <w:marTop w:val="0"/>
      <w:marBottom w:val="0"/>
      <w:divBdr>
        <w:top w:val="none" w:sz="0" w:space="0" w:color="auto"/>
        <w:left w:val="none" w:sz="0" w:space="0" w:color="auto"/>
        <w:bottom w:val="none" w:sz="0" w:space="0" w:color="auto"/>
        <w:right w:val="none" w:sz="0" w:space="0" w:color="auto"/>
      </w:divBdr>
    </w:div>
    <w:div w:id="1562903383">
      <w:bodyDiv w:val="1"/>
      <w:marLeft w:val="0"/>
      <w:marRight w:val="0"/>
      <w:marTop w:val="0"/>
      <w:marBottom w:val="0"/>
      <w:divBdr>
        <w:top w:val="none" w:sz="0" w:space="0" w:color="auto"/>
        <w:left w:val="none" w:sz="0" w:space="0" w:color="auto"/>
        <w:bottom w:val="none" w:sz="0" w:space="0" w:color="auto"/>
        <w:right w:val="none" w:sz="0" w:space="0" w:color="auto"/>
      </w:divBdr>
    </w:div>
    <w:div w:id="1563179424">
      <w:bodyDiv w:val="1"/>
      <w:marLeft w:val="0"/>
      <w:marRight w:val="0"/>
      <w:marTop w:val="0"/>
      <w:marBottom w:val="0"/>
      <w:divBdr>
        <w:top w:val="none" w:sz="0" w:space="0" w:color="auto"/>
        <w:left w:val="none" w:sz="0" w:space="0" w:color="auto"/>
        <w:bottom w:val="none" w:sz="0" w:space="0" w:color="auto"/>
        <w:right w:val="none" w:sz="0" w:space="0" w:color="auto"/>
      </w:divBdr>
    </w:div>
    <w:div w:id="1563370498">
      <w:bodyDiv w:val="1"/>
      <w:marLeft w:val="0"/>
      <w:marRight w:val="0"/>
      <w:marTop w:val="0"/>
      <w:marBottom w:val="0"/>
      <w:divBdr>
        <w:top w:val="none" w:sz="0" w:space="0" w:color="auto"/>
        <w:left w:val="none" w:sz="0" w:space="0" w:color="auto"/>
        <w:bottom w:val="none" w:sz="0" w:space="0" w:color="auto"/>
        <w:right w:val="none" w:sz="0" w:space="0" w:color="auto"/>
      </w:divBdr>
    </w:div>
    <w:div w:id="1563521782">
      <w:bodyDiv w:val="1"/>
      <w:marLeft w:val="0"/>
      <w:marRight w:val="0"/>
      <w:marTop w:val="0"/>
      <w:marBottom w:val="0"/>
      <w:divBdr>
        <w:top w:val="none" w:sz="0" w:space="0" w:color="auto"/>
        <w:left w:val="none" w:sz="0" w:space="0" w:color="auto"/>
        <w:bottom w:val="none" w:sz="0" w:space="0" w:color="auto"/>
        <w:right w:val="none" w:sz="0" w:space="0" w:color="auto"/>
      </w:divBdr>
    </w:div>
    <w:div w:id="1563639301">
      <w:bodyDiv w:val="1"/>
      <w:marLeft w:val="0"/>
      <w:marRight w:val="0"/>
      <w:marTop w:val="0"/>
      <w:marBottom w:val="0"/>
      <w:divBdr>
        <w:top w:val="none" w:sz="0" w:space="0" w:color="auto"/>
        <w:left w:val="none" w:sz="0" w:space="0" w:color="auto"/>
        <w:bottom w:val="none" w:sz="0" w:space="0" w:color="auto"/>
        <w:right w:val="none" w:sz="0" w:space="0" w:color="auto"/>
      </w:divBdr>
    </w:div>
    <w:div w:id="1563784526">
      <w:bodyDiv w:val="1"/>
      <w:marLeft w:val="0"/>
      <w:marRight w:val="0"/>
      <w:marTop w:val="0"/>
      <w:marBottom w:val="0"/>
      <w:divBdr>
        <w:top w:val="none" w:sz="0" w:space="0" w:color="auto"/>
        <w:left w:val="none" w:sz="0" w:space="0" w:color="auto"/>
        <w:bottom w:val="none" w:sz="0" w:space="0" w:color="auto"/>
        <w:right w:val="none" w:sz="0" w:space="0" w:color="auto"/>
      </w:divBdr>
    </w:div>
    <w:div w:id="1563978985">
      <w:bodyDiv w:val="1"/>
      <w:marLeft w:val="0"/>
      <w:marRight w:val="0"/>
      <w:marTop w:val="0"/>
      <w:marBottom w:val="0"/>
      <w:divBdr>
        <w:top w:val="none" w:sz="0" w:space="0" w:color="auto"/>
        <w:left w:val="none" w:sz="0" w:space="0" w:color="auto"/>
        <w:bottom w:val="none" w:sz="0" w:space="0" w:color="auto"/>
        <w:right w:val="none" w:sz="0" w:space="0" w:color="auto"/>
      </w:divBdr>
    </w:div>
    <w:div w:id="1563982363">
      <w:bodyDiv w:val="1"/>
      <w:marLeft w:val="0"/>
      <w:marRight w:val="0"/>
      <w:marTop w:val="0"/>
      <w:marBottom w:val="0"/>
      <w:divBdr>
        <w:top w:val="none" w:sz="0" w:space="0" w:color="auto"/>
        <w:left w:val="none" w:sz="0" w:space="0" w:color="auto"/>
        <w:bottom w:val="none" w:sz="0" w:space="0" w:color="auto"/>
        <w:right w:val="none" w:sz="0" w:space="0" w:color="auto"/>
      </w:divBdr>
    </w:div>
    <w:div w:id="1564100481">
      <w:bodyDiv w:val="1"/>
      <w:marLeft w:val="0"/>
      <w:marRight w:val="0"/>
      <w:marTop w:val="0"/>
      <w:marBottom w:val="0"/>
      <w:divBdr>
        <w:top w:val="none" w:sz="0" w:space="0" w:color="auto"/>
        <w:left w:val="none" w:sz="0" w:space="0" w:color="auto"/>
        <w:bottom w:val="none" w:sz="0" w:space="0" w:color="auto"/>
        <w:right w:val="none" w:sz="0" w:space="0" w:color="auto"/>
      </w:divBdr>
    </w:div>
    <w:div w:id="1564489176">
      <w:bodyDiv w:val="1"/>
      <w:marLeft w:val="0"/>
      <w:marRight w:val="0"/>
      <w:marTop w:val="0"/>
      <w:marBottom w:val="0"/>
      <w:divBdr>
        <w:top w:val="none" w:sz="0" w:space="0" w:color="auto"/>
        <w:left w:val="none" w:sz="0" w:space="0" w:color="auto"/>
        <w:bottom w:val="none" w:sz="0" w:space="0" w:color="auto"/>
        <w:right w:val="none" w:sz="0" w:space="0" w:color="auto"/>
      </w:divBdr>
    </w:div>
    <w:div w:id="1564565712">
      <w:bodyDiv w:val="1"/>
      <w:marLeft w:val="0"/>
      <w:marRight w:val="0"/>
      <w:marTop w:val="0"/>
      <w:marBottom w:val="0"/>
      <w:divBdr>
        <w:top w:val="none" w:sz="0" w:space="0" w:color="auto"/>
        <w:left w:val="none" w:sz="0" w:space="0" w:color="auto"/>
        <w:bottom w:val="none" w:sz="0" w:space="0" w:color="auto"/>
        <w:right w:val="none" w:sz="0" w:space="0" w:color="auto"/>
      </w:divBdr>
    </w:div>
    <w:div w:id="1564608508">
      <w:bodyDiv w:val="1"/>
      <w:marLeft w:val="0"/>
      <w:marRight w:val="0"/>
      <w:marTop w:val="0"/>
      <w:marBottom w:val="0"/>
      <w:divBdr>
        <w:top w:val="none" w:sz="0" w:space="0" w:color="auto"/>
        <w:left w:val="none" w:sz="0" w:space="0" w:color="auto"/>
        <w:bottom w:val="none" w:sz="0" w:space="0" w:color="auto"/>
        <w:right w:val="none" w:sz="0" w:space="0" w:color="auto"/>
      </w:divBdr>
    </w:div>
    <w:div w:id="1564675187">
      <w:bodyDiv w:val="1"/>
      <w:marLeft w:val="0"/>
      <w:marRight w:val="0"/>
      <w:marTop w:val="0"/>
      <w:marBottom w:val="0"/>
      <w:divBdr>
        <w:top w:val="none" w:sz="0" w:space="0" w:color="auto"/>
        <w:left w:val="none" w:sz="0" w:space="0" w:color="auto"/>
        <w:bottom w:val="none" w:sz="0" w:space="0" w:color="auto"/>
        <w:right w:val="none" w:sz="0" w:space="0" w:color="auto"/>
      </w:divBdr>
    </w:div>
    <w:div w:id="1564870821">
      <w:bodyDiv w:val="1"/>
      <w:marLeft w:val="0"/>
      <w:marRight w:val="0"/>
      <w:marTop w:val="0"/>
      <w:marBottom w:val="0"/>
      <w:divBdr>
        <w:top w:val="none" w:sz="0" w:space="0" w:color="auto"/>
        <w:left w:val="none" w:sz="0" w:space="0" w:color="auto"/>
        <w:bottom w:val="none" w:sz="0" w:space="0" w:color="auto"/>
        <w:right w:val="none" w:sz="0" w:space="0" w:color="auto"/>
      </w:divBdr>
    </w:div>
    <w:div w:id="1565144639">
      <w:bodyDiv w:val="1"/>
      <w:marLeft w:val="0"/>
      <w:marRight w:val="0"/>
      <w:marTop w:val="0"/>
      <w:marBottom w:val="0"/>
      <w:divBdr>
        <w:top w:val="none" w:sz="0" w:space="0" w:color="auto"/>
        <w:left w:val="none" w:sz="0" w:space="0" w:color="auto"/>
        <w:bottom w:val="none" w:sz="0" w:space="0" w:color="auto"/>
        <w:right w:val="none" w:sz="0" w:space="0" w:color="auto"/>
      </w:divBdr>
    </w:div>
    <w:div w:id="1565220594">
      <w:bodyDiv w:val="1"/>
      <w:marLeft w:val="0"/>
      <w:marRight w:val="0"/>
      <w:marTop w:val="0"/>
      <w:marBottom w:val="0"/>
      <w:divBdr>
        <w:top w:val="none" w:sz="0" w:space="0" w:color="auto"/>
        <w:left w:val="none" w:sz="0" w:space="0" w:color="auto"/>
        <w:bottom w:val="none" w:sz="0" w:space="0" w:color="auto"/>
        <w:right w:val="none" w:sz="0" w:space="0" w:color="auto"/>
      </w:divBdr>
    </w:div>
    <w:div w:id="1565291836">
      <w:bodyDiv w:val="1"/>
      <w:marLeft w:val="0"/>
      <w:marRight w:val="0"/>
      <w:marTop w:val="0"/>
      <w:marBottom w:val="0"/>
      <w:divBdr>
        <w:top w:val="none" w:sz="0" w:space="0" w:color="auto"/>
        <w:left w:val="none" w:sz="0" w:space="0" w:color="auto"/>
        <w:bottom w:val="none" w:sz="0" w:space="0" w:color="auto"/>
        <w:right w:val="none" w:sz="0" w:space="0" w:color="auto"/>
      </w:divBdr>
    </w:div>
    <w:div w:id="1565415075">
      <w:bodyDiv w:val="1"/>
      <w:marLeft w:val="0"/>
      <w:marRight w:val="0"/>
      <w:marTop w:val="0"/>
      <w:marBottom w:val="0"/>
      <w:divBdr>
        <w:top w:val="none" w:sz="0" w:space="0" w:color="auto"/>
        <w:left w:val="none" w:sz="0" w:space="0" w:color="auto"/>
        <w:bottom w:val="none" w:sz="0" w:space="0" w:color="auto"/>
        <w:right w:val="none" w:sz="0" w:space="0" w:color="auto"/>
      </w:divBdr>
    </w:div>
    <w:div w:id="1565486860">
      <w:bodyDiv w:val="1"/>
      <w:marLeft w:val="0"/>
      <w:marRight w:val="0"/>
      <w:marTop w:val="0"/>
      <w:marBottom w:val="0"/>
      <w:divBdr>
        <w:top w:val="none" w:sz="0" w:space="0" w:color="auto"/>
        <w:left w:val="none" w:sz="0" w:space="0" w:color="auto"/>
        <w:bottom w:val="none" w:sz="0" w:space="0" w:color="auto"/>
        <w:right w:val="none" w:sz="0" w:space="0" w:color="auto"/>
      </w:divBdr>
    </w:div>
    <w:div w:id="1565606007">
      <w:bodyDiv w:val="1"/>
      <w:marLeft w:val="0"/>
      <w:marRight w:val="0"/>
      <w:marTop w:val="0"/>
      <w:marBottom w:val="0"/>
      <w:divBdr>
        <w:top w:val="none" w:sz="0" w:space="0" w:color="auto"/>
        <w:left w:val="none" w:sz="0" w:space="0" w:color="auto"/>
        <w:bottom w:val="none" w:sz="0" w:space="0" w:color="auto"/>
        <w:right w:val="none" w:sz="0" w:space="0" w:color="auto"/>
      </w:divBdr>
    </w:div>
    <w:div w:id="1565724661">
      <w:bodyDiv w:val="1"/>
      <w:marLeft w:val="0"/>
      <w:marRight w:val="0"/>
      <w:marTop w:val="0"/>
      <w:marBottom w:val="0"/>
      <w:divBdr>
        <w:top w:val="none" w:sz="0" w:space="0" w:color="auto"/>
        <w:left w:val="none" w:sz="0" w:space="0" w:color="auto"/>
        <w:bottom w:val="none" w:sz="0" w:space="0" w:color="auto"/>
        <w:right w:val="none" w:sz="0" w:space="0" w:color="auto"/>
      </w:divBdr>
    </w:div>
    <w:div w:id="1565794191">
      <w:bodyDiv w:val="1"/>
      <w:marLeft w:val="0"/>
      <w:marRight w:val="0"/>
      <w:marTop w:val="0"/>
      <w:marBottom w:val="0"/>
      <w:divBdr>
        <w:top w:val="none" w:sz="0" w:space="0" w:color="auto"/>
        <w:left w:val="none" w:sz="0" w:space="0" w:color="auto"/>
        <w:bottom w:val="none" w:sz="0" w:space="0" w:color="auto"/>
        <w:right w:val="none" w:sz="0" w:space="0" w:color="auto"/>
      </w:divBdr>
    </w:div>
    <w:div w:id="1565872476">
      <w:bodyDiv w:val="1"/>
      <w:marLeft w:val="0"/>
      <w:marRight w:val="0"/>
      <w:marTop w:val="0"/>
      <w:marBottom w:val="0"/>
      <w:divBdr>
        <w:top w:val="none" w:sz="0" w:space="0" w:color="auto"/>
        <w:left w:val="none" w:sz="0" w:space="0" w:color="auto"/>
        <w:bottom w:val="none" w:sz="0" w:space="0" w:color="auto"/>
        <w:right w:val="none" w:sz="0" w:space="0" w:color="auto"/>
      </w:divBdr>
    </w:div>
    <w:div w:id="1566136649">
      <w:bodyDiv w:val="1"/>
      <w:marLeft w:val="0"/>
      <w:marRight w:val="0"/>
      <w:marTop w:val="0"/>
      <w:marBottom w:val="0"/>
      <w:divBdr>
        <w:top w:val="none" w:sz="0" w:space="0" w:color="auto"/>
        <w:left w:val="none" w:sz="0" w:space="0" w:color="auto"/>
        <w:bottom w:val="none" w:sz="0" w:space="0" w:color="auto"/>
        <w:right w:val="none" w:sz="0" w:space="0" w:color="auto"/>
      </w:divBdr>
    </w:div>
    <w:div w:id="1566137662">
      <w:bodyDiv w:val="1"/>
      <w:marLeft w:val="0"/>
      <w:marRight w:val="0"/>
      <w:marTop w:val="0"/>
      <w:marBottom w:val="0"/>
      <w:divBdr>
        <w:top w:val="none" w:sz="0" w:space="0" w:color="auto"/>
        <w:left w:val="none" w:sz="0" w:space="0" w:color="auto"/>
        <w:bottom w:val="none" w:sz="0" w:space="0" w:color="auto"/>
        <w:right w:val="none" w:sz="0" w:space="0" w:color="auto"/>
      </w:divBdr>
    </w:div>
    <w:div w:id="1566257236">
      <w:bodyDiv w:val="1"/>
      <w:marLeft w:val="0"/>
      <w:marRight w:val="0"/>
      <w:marTop w:val="0"/>
      <w:marBottom w:val="0"/>
      <w:divBdr>
        <w:top w:val="none" w:sz="0" w:space="0" w:color="auto"/>
        <w:left w:val="none" w:sz="0" w:space="0" w:color="auto"/>
        <w:bottom w:val="none" w:sz="0" w:space="0" w:color="auto"/>
        <w:right w:val="none" w:sz="0" w:space="0" w:color="auto"/>
      </w:divBdr>
    </w:div>
    <w:div w:id="1566331808">
      <w:bodyDiv w:val="1"/>
      <w:marLeft w:val="0"/>
      <w:marRight w:val="0"/>
      <w:marTop w:val="0"/>
      <w:marBottom w:val="0"/>
      <w:divBdr>
        <w:top w:val="none" w:sz="0" w:space="0" w:color="auto"/>
        <w:left w:val="none" w:sz="0" w:space="0" w:color="auto"/>
        <w:bottom w:val="none" w:sz="0" w:space="0" w:color="auto"/>
        <w:right w:val="none" w:sz="0" w:space="0" w:color="auto"/>
      </w:divBdr>
    </w:div>
    <w:div w:id="1566379454">
      <w:bodyDiv w:val="1"/>
      <w:marLeft w:val="0"/>
      <w:marRight w:val="0"/>
      <w:marTop w:val="0"/>
      <w:marBottom w:val="0"/>
      <w:divBdr>
        <w:top w:val="none" w:sz="0" w:space="0" w:color="auto"/>
        <w:left w:val="none" w:sz="0" w:space="0" w:color="auto"/>
        <w:bottom w:val="none" w:sz="0" w:space="0" w:color="auto"/>
        <w:right w:val="none" w:sz="0" w:space="0" w:color="auto"/>
      </w:divBdr>
    </w:div>
    <w:div w:id="1566447314">
      <w:bodyDiv w:val="1"/>
      <w:marLeft w:val="0"/>
      <w:marRight w:val="0"/>
      <w:marTop w:val="0"/>
      <w:marBottom w:val="0"/>
      <w:divBdr>
        <w:top w:val="none" w:sz="0" w:space="0" w:color="auto"/>
        <w:left w:val="none" w:sz="0" w:space="0" w:color="auto"/>
        <w:bottom w:val="none" w:sz="0" w:space="0" w:color="auto"/>
        <w:right w:val="none" w:sz="0" w:space="0" w:color="auto"/>
      </w:divBdr>
    </w:div>
    <w:div w:id="1567059920">
      <w:bodyDiv w:val="1"/>
      <w:marLeft w:val="0"/>
      <w:marRight w:val="0"/>
      <w:marTop w:val="0"/>
      <w:marBottom w:val="0"/>
      <w:divBdr>
        <w:top w:val="none" w:sz="0" w:space="0" w:color="auto"/>
        <w:left w:val="none" w:sz="0" w:space="0" w:color="auto"/>
        <w:bottom w:val="none" w:sz="0" w:space="0" w:color="auto"/>
        <w:right w:val="none" w:sz="0" w:space="0" w:color="auto"/>
      </w:divBdr>
    </w:div>
    <w:div w:id="1567106121">
      <w:bodyDiv w:val="1"/>
      <w:marLeft w:val="0"/>
      <w:marRight w:val="0"/>
      <w:marTop w:val="0"/>
      <w:marBottom w:val="0"/>
      <w:divBdr>
        <w:top w:val="none" w:sz="0" w:space="0" w:color="auto"/>
        <w:left w:val="none" w:sz="0" w:space="0" w:color="auto"/>
        <w:bottom w:val="none" w:sz="0" w:space="0" w:color="auto"/>
        <w:right w:val="none" w:sz="0" w:space="0" w:color="auto"/>
      </w:divBdr>
    </w:div>
    <w:div w:id="1567259835">
      <w:bodyDiv w:val="1"/>
      <w:marLeft w:val="0"/>
      <w:marRight w:val="0"/>
      <w:marTop w:val="0"/>
      <w:marBottom w:val="0"/>
      <w:divBdr>
        <w:top w:val="none" w:sz="0" w:space="0" w:color="auto"/>
        <w:left w:val="none" w:sz="0" w:space="0" w:color="auto"/>
        <w:bottom w:val="none" w:sz="0" w:space="0" w:color="auto"/>
        <w:right w:val="none" w:sz="0" w:space="0" w:color="auto"/>
      </w:divBdr>
    </w:div>
    <w:div w:id="1567376415">
      <w:bodyDiv w:val="1"/>
      <w:marLeft w:val="0"/>
      <w:marRight w:val="0"/>
      <w:marTop w:val="0"/>
      <w:marBottom w:val="0"/>
      <w:divBdr>
        <w:top w:val="none" w:sz="0" w:space="0" w:color="auto"/>
        <w:left w:val="none" w:sz="0" w:space="0" w:color="auto"/>
        <w:bottom w:val="none" w:sz="0" w:space="0" w:color="auto"/>
        <w:right w:val="none" w:sz="0" w:space="0" w:color="auto"/>
      </w:divBdr>
    </w:div>
    <w:div w:id="1567377973">
      <w:bodyDiv w:val="1"/>
      <w:marLeft w:val="0"/>
      <w:marRight w:val="0"/>
      <w:marTop w:val="0"/>
      <w:marBottom w:val="0"/>
      <w:divBdr>
        <w:top w:val="none" w:sz="0" w:space="0" w:color="auto"/>
        <w:left w:val="none" w:sz="0" w:space="0" w:color="auto"/>
        <w:bottom w:val="none" w:sz="0" w:space="0" w:color="auto"/>
        <w:right w:val="none" w:sz="0" w:space="0" w:color="auto"/>
      </w:divBdr>
    </w:div>
    <w:div w:id="1567378026">
      <w:bodyDiv w:val="1"/>
      <w:marLeft w:val="0"/>
      <w:marRight w:val="0"/>
      <w:marTop w:val="0"/>
      <w:marBottom w:val="0"/>
      <w:divBdr>
        <w:top w:val="none" w:sz="0" w:space="0" w:color="auto"/>
        <w:left w:val="none" w:sz="0" w:space="0" w:color="auto"/>
        <w:bottom w:val="none" w:sz="0" w:space="0" w:color="auto"/>
        <w:right w:val="none" w:sz="0" w:space="0" w:color="auto"/>
      </w:divBdr>
    </w:div>
    <w:div w:id="1567493632">
      <w:bodyDiv w:val="1"/>
      <w:marLeft w:val="0"/>
      <w:marRight w:val="0"/>
      <w:marTop w:val="0"/>
      <w:marBottom w:val="0"/>
      <w:divBdr>
        <w:top w:val="none" w:sz="0" w:space="0" w:color="auto"/>
        <w:left w:val="none" w:sz="0" w:space="0" w:color="auto"/>
        <w:bottom w:val="none" w:sz="0" w:space="0" w:color="auto"/>
        <w:right w:val="none" w:sz="0" w:space="0" w:color="auto"/>
      </w:divBdr>
    </w:div>
    <w:div w:id="1567522114">
      <w:bodyDiv w:val="1"/>
      <w:marLeft w:val="0"/>
      <w:marRight w:val="0"/>
      <w:marTop w:val="0"/>
      <w:marBottom w:val="0"/>
      <w:divBdr>
        <w:top w:val="none" w:sz="0" w:space="0" w:color="auto"/>
        <w:left w:val="none" w:sz="0" w:space="0" w:color="auto"/>
        <w:bottom w:val="none" w:sz="0" w:space="0" w:color="auto"/>
        <w:right w:val="none" w:sz="0" w:space="0" w:color="auto"/>
      </w:divBdr>
    </w:div>
    <w:div w:id="1567715894">
      <w:bodyDiv w:val="1"/>
      <w:marLeft w:val="0"/>
      <w:marRight w:val="0"/>
      <w:marTop w:val="0"/>
      <w:marBottom w:val="0"/>
      <w:divBdr>
        <w:top w:val="none" w:sz="0" w:space="0" w:color="auto"/>
        <w:left w:val="none" w:sz="0" w:space="0" w:color="auto"/>
        <w:bottom w:val="none" w:sz="0" w:space="0" w:color="auto"/>
        <w:right w:val="none" w:sz="0" w:space="0" w:color="auto"/>
      </w:divBdr>
    </w:div>
    <w:div w:id="1567884892">
      <w:bodyDiv w:val="1"/>
      <w:marLeft w:val="0"/>
      <w:marRight w:val="0"/>
      <w:marTop w:val="0"/>
      <w:marBottom w:val="0"/>
      <w:divBdr>
        <w:top w:val="none" w:sz="0" w:space="0" w:color="auto"/>
        <w:left w:val="none" w:sz="0" w:space="0" w:color="auto"/>
        <w:bottom w:val="none" w:sz="0" w:space="0" w:color="auto"/>
        <w:right w:val="none" w:sz="0" w:space="0" w:color="auto"/>
      </w:divBdr>
    </w:div>
    <w:div w:id="1567959518">
      <w:bodyDiv w:val="1"/>
      <w:marLeft w:val="0"/>
      <w:marRight w:val="0"/>
      <w:marTop w:val="0"/>
      <w:marBottom w:val="0"/>
      <w:divBdr>
        <w:top w:val="none" w:sz="0" w:space="0" w:color="auto"/>
        <w:left w:val="none" w:sz="0" w:space="0" w:color="auto"/>
        <w:bottom w:val="none" w:sz="0" w:space="0" w:color="auto"/>
        <w:right w:val="none" w:sz="0" w:space="0" w:color="auto"/>
      </w:divBdr>
    </w:div>
    <w:div w:id="1568107791">
      <w:bodyDiv w:val="1"/>
      <w:marLeft w:val="0"/>
      <w:marRight w:val="0"/>
      <w:marTop w:val="0"/>
      <w:marBottom w:val="0"/>
      <w:divBdr>
        <w:top w:val="none" w:sz="0" w:space="0" w:color="auto"/>
        <w:left w:val="none" w:sz="0" w:space="0" w:color="auto"/>
        <w:bottom w:val="none" w:sz="0" w:space="0" w:color="auto"/>
        <w:right w:val="none" w:sz="0" w:space="0" w:color="auto"/>
      </w:divBdr>
    </w:div>
    <w:div w:id="1568109173">
      <w:bodyDiv w:val="1"/>
      <w:marLeft w:val="0"/>
      <w:marRight w:val="0"/>
      <w:marTop w:val="0"/>
      <w:marBottom w:val="0"/>
      <w:divBdr>
        <w:top w:val="none" w:sz="0" w:space="0" w:color="auto"/>
        <w:left w:val="none" w:sz="0" w:space="0" w:color="auto"/>
        <w:bottom w:val="none" w:sz="0" w:space="0" w:color="auto"/>
        <w:right w:val="none" w:sz="0" w:space="0" w:color="auto"/>
      </w:divBdr>
    </w:div>
    <w:div w:id="1568417005">
      <w:bodyDiv w:val="1"/>
      <w:marLeft w:val="0"/>
      <w:marRight w:val="0"/>
      <w:marTop w:val="0"/>
      <w:marBottom w:val="0"/>
      <w:divBdr>
        <w:top w:val="none" w:sz="0" w:space="0" w:color="auto"/>
        <w:left w:val="none" w:sz="0" w:space="0" w:color="auto"/>
        <w:bottom w:val="none" w:sz="0" w:space="0" w:color="auto"/>
        <w:right w:val="none" w:sz="0" w:space="0" w:color="auto"/>
      </w:divBdr>
    </w:div>
    <w:div w:id="1568419005">
      <w:bodyDiv w:val="1"/>
      <w:marLeft w:val="0"/>
      <w:marRight w:val="0"/>
      <w:marTop w:val="0"/>
      <w:marBottom w:val="0"/>
      <w:divBdr>
        <w:top w:val="none" w:sz="0" w:space="0" w:color="auto"/>
        <w:left w:val="none" w:sz="0" w:space="0" w:color="auto"/>
        <w:bottom w:val="none" w:sz="0" w:space="0" w:color="auto"/>
        <w:right w:val="none" w:sz="0" w:space="0" w:color="auto"/>
      </w:divBdr>
    </w:div>
    <w:div w:id="1568489042">
      <w:bodyDiv w:val="1"/>
      <w:marLeft w:val="0"/>
      <w:marRight w:val="0"/>
      <w:marTop w:val="0"/>
      <w:marBottom w:val="0"/>
      <w:divBdr>
        <w:top w:val="none" w:sz="0" w:space="0" w:color="auto"/>
        <w:left w:val="none" w:sz="0" w:space="0" w:color="auto"/>
        <w:bottom w:val="none" w:sz="0" w:space="0" w:color="auto"/>
        <w:right w:val="none" w:sz="0" w:space="0" w:color="auto"/>
      </w:divBdr>
    </w:div>
    <w:div w:id="1568493101">
      <w:bodyDiv w:val="1"/>
      <w:marLeft w:val="0"/>
      <w:marRight w:val="0"/>
      <w:marTop w:val="0"/>
      <w:marBottom w:val="0"/>
      <w:divBdr>
        <w:top w:val="none" w:sz="0" w:space="0" w:color="auto"/>
        <w:left w:val="none" w:sz="0" w:space="0" w:color="auto"/>
        <w:bottom w:val="none" w:sz="0" w:space="0" w:color="auto"/>
        <w:right w:val="none" w:sz="0" w:space="0" w:color="auto"/>
      </w:divBdr>
    </w:div>
    <w:div w:id="1568762605">
      <w:bodyDiv w:val="1"/>
      <w:marLeft w:val="0"/>
      <w:marRight w:val="0"/>
      <w:marTop w:val="0"/>
      <w:marBottom w:val="0"/>
      <w:divBdr>
        <w:top w:val="none" w:sz="0" w:space="0" w:color="auto"/>
        <w:left w:val="none" w:sz="0" w:space="0" w:color="auto"/>
        <w:bottom w:val="none" w:sz="0" w:space="0" w:color="auto"/>
        <w:right w:val="none" w:sz="0" w:space="0" w:color="auto"/>
      </w:divBdr>
    </w:div>
    <w:div w:id="1568802766">
      <w:bodyDiv w:val="1"/>
      <w:marLeft w:val="0"/>
      <w:marRight w:val="0"/>
      <w:marTop w:val="0"/>
      <w:marBottom w:val="0"/>
      <w:divBdr>
        <w:top w:val="none" w:sz="0" w:space="0" w:color="auto"/>
        <w:left w:val="none" w:sz="0" w:space="0" w:color="auto"/>
        <w:bottom w:val="none" w:sz="0" w:space="0" w:color="auto"/>
        <w:right w:val="none" w:sz="0" w:space="0" w:color="auto"/>
      </w:divBdr>
    </w:div>
    <w:div w:id="1568883079">
      <w:bodyDiv w:val="1"/>
      <w:marLeft w:val="0"/>
      <w:marRight w:val="0"/>
      <w:marTop w:val="0"/>
      <w:marBottom w:val="0"/>
      <w:divBdr>
        <w:top w:val="none" w:sz="0" w:space="0" w:color="auto"/>
        <w:left w:val="none" w:sz="0" w:space="0" w:color="auto"/>
        <w:bottom w:val="none" w:sz="0" w:space="0" w:color="auto"/>
        <w:right w:val="none" w:sz="0" w:space="0" w:color="auto"/>
      </w:divBdr>
    </w:div>
    <w:div w:id="1568954751">
      <w:bodyDiv w:val="1"/>
      <w:marLeft w:val="0"/>
      <w:marRight w:val="0"/>
      <w:marTop w:val="0"/>
      <w:marBottom w:val="0"/>
      <w:divBdr>
        <w:top w:val="none" w:sz="0" w:space="0" w:color="auto"/>
        <w:left w:val="none" w:sz="0" w:space="0" w:color="auto"/>
        <w:bottom w:val="none" w:sz="0" w:space="0" w:color="auto"/>
        <w:right w:val="none" w:sz="0" w:space="0" w:color="auto"/>
      </w:divBdr>
    </w:div>
    <w:div w:id="1569026035">
      <w:bodyDiv w:val="1"/>
      <w:marLeft w:val="0"/>
      <w:marRight w:val="0"/>
      <w:marTop w:val="0"/>
      <w:marBottom w:val="0"/>
      <w:divBdr>
        <w:top w:val="none" w:sz="0" w:space="0" w:color="auto"/>
        <w:left w:val="none" w:sz="0" w:space="0" w:color="auto"/>
        <w:bottom w:val="none" w:sz="0" w:space="0" w:color="auto"/>
        <w:right w:val="none" w:sz="0" w:space="0" w:color="auto"/>
      </w:divBdr>
    </w:div>
    <w:div w:id="1569145752">
      <w:bodyDiv w:val="1"/>
      <w:marLeft w:val="0"/>
      <w:marRight w:val="0"/>
      <w:marTop w:val="0"/>
      <w:marBottom w:val="0"/>
      <w:divBdr>
        <w:top w:val="none" w:sz="0" w:space="0" w:color="auto"/>
        <w:left w:val="none" w:sz="0" w:space="0" w:color="auto"/>
        <w:bottom w:val="none" w:sz="0" w:space="0" w:color="auto"/>
        <w:right w:val="none" w:sz="0" w:space="0" w:color="auto"/>
      </w:divBdr>
    </w:div>
    <w:div w:id="1569338994">
      <w:bodyDiv w:val="1"/>
      <w:marLeft w:val="0"/>
      <w:marRight w:val="0"/>
      <w:marTop w:val="0"/>
      <w:marBottom w:val="0"/>
      <w:divBdr>
        <w:top w:val="none" w:sz="0" w:space="0" w:color="auto"/>
        <w:left w:val="none" w:sz="0" w:space="0" w:color="auto"/>
        <w:bottom w:val="none" w:sz="0" w:space="0" w:color="auto"/>
        <w:right w:val="none" w:sz="0" w:space="0" w:color="auto"/>
      </w:divBdr>
    </w:div>
    <w:div w:id="1569339805">
      <w:bodyDiv w:val="1"/>
      <w:marLeft w:val="0"/>
      <w:marRight w:val="0"/>
      <w:marTop w:val="0"/>
      <w:marBottom w:val="0"/>
      <w:divBdr>
        <w:top w:val="none" w:sz="0" w:space="0" w:color="auto"/>
        <w:left w:val="none" w:sz="0" w:space="0" w:color="auto"/>
        <w:bottom w:val="none" w:sz="0" w:space="0" w:color="auto"/>
        <w:right w:val="none" w:sz="0" w:space="0" w:color="auto"/>
      </w:divBdr>
    </w:div>
    <w:div w:id="1569457758">
      <w:bodyDiv w:val="1"/>
      <w:marLeft w:val="0"/>
      <w:marRight w:val="0"/>
      <w:marTop w:val="0"/>
      <w:marBottom w:val="0"/>
      <w:divBdr>
        <w:top w:val="none" w:sz="0" w:space="0" w:color="auto"/>
        <w:left w:val="none" w:sz="0" w:space="0" w:color="auto"/>
        <w:bottom w:val="none" w:sz="0" w:space="0" w:color="auto"/>
        <w:right w:val="none" w:sz="0" w:space="0" w:color="auto"/>
      </w:divBdr>
    </w:div>
    <w:div w:id="1569458924">
      <w:bodyDiv w:val="1"/>
      <w:marLeft w:val="0"/>
      <w:marRight w:val="0"/>
      <w:marTop w:val="0"/>
      <w:marBottom w:val="0"/>
      <w:divBdr>
        <w:top w:val="none" w:sz="0" w:space="0" w:color="auto"/>
        <w:left w:val="none" w:sz="0" w:space="0" w:color="auto"/>
        <w:bottom w:val="none" w:sz="0" w:space="0" w:color="auto"/>
        <w:right w:val="none" w:sz="0" w:space="0" w:color="auto"/>
      </w:divBdr>
    </w:div>
    <w:div w:id="1569464373">
      <w:bodyDiv w:val="1"/>
      <w:marLeft w:val="0"/>
      <w:marRight w:val="0"/>
      <w:marTop w:val="0"/>
      <w:marBottom w:val="0"/>
      <w:divBdr>
        <w:top w:val="none" w:sz="0" w:space="0" w:color="auto"/>
        <w:left w:val="none" w:sz="0" w:space="0" w:color="auto"/>
        <w:bottom w:val="none" w:sz="0" w:space="0" w:color="auto"/>
        <w:right w:val="none" w:sz="0" w:space="0" w:color="auto"/>
      </w:divBdr>
    </w:div>
    <w:div w:id="1569488312">
      <w:bodyDiv w:val="1"/>
      <w:marLeft w:val="0"/>
      <w:marRight w:val="0"/>
      <w:marTop w:val="0"/>
      <w:marBottom w:val="0"/>
      <w:divBdr>
        <w:top w:val="none" w:sz="0" w:space="0" w:color="auto"/>
        <w:left w:val="none" w:sz="0" w:space="0" w:color="auto"/>
        <w:bottom w:val="none" w:sz="0" w:space="0" w:color="auto"/>
        <w:right w:val="none" w:sz="0" w:space="0" w:color="auto"/>
      </w:divBdr>
    </w:div>
    <w:div w:id="1569878474">
      <w:bodyDiv w:val="1"/>
      <w:marLeft w:val="0"/>
      <w:marRight w:val="0"/>
      <w:marTop w:val="0"/>
      <w:marBottom w:val="0"/>
      <w:divBdr>
        <w:top w:val="none" w:sz="0" w:space="0" w:color="auto"/>
        <w:left w:val="none" w:sz="0" w:space="0" w:color="auto"/>
        <w:bottom w:val="none" w:sz="0" w:space="0" w:color="auto"/>
        <w:right w:val="none" w:sz="0" w:space="0" w:color="auto"/>
      </w:divBdr>
    </w:div>
    <w:div w:id="1570261475">
      <w:bodyDiv w:val="1"/>
      <w:marLeft w:val="0"/>
      <w:marRight w:val="0"/>
      <w:marTop w:val="0"/>
      <w:marBottom w:val="0"/>
      <w:divBdr>
        <w:top w:val="none" w:sz="0" w:space="0" w:color="auto"/>
        <w:left w:val="none" w:sz="0" w:space="0" w:color="auto"/>
        <w:bottom w:val="none" w:sz="0" w:space="0" w:color="auto"/>
        <w:right w:val="none" w:sz="0" w:space="0" w:color="auto"/>
      </w:divBdr>
    </w:div>
    <w:div w:id="1570313110">
      <w:bodyDiv w:val="1"/>
      <w:marLeft w:val="0"/>
      <w:marRight w:val="0"/>
      <w:marTop w:val="0"/>
      <w:marBottom w:val="0"/>
      <w:divBdr>
        <w:top w:val="none" w:sz="0" w:space="0" w:color="auto"/>
        <w:left w:val="none" w:sz="0" w:space="0" w:color="auto"/>
        <w:bottom w:val="none" w:sz="0" w:space="0" w:color="auto"/>
        <w:right w:val="none" w:sz="0" w:space="0" w:color="auto"/>
      </w:divBdr>
    </w:div>
    <w:div w:id="1570381271">
      <w:bodyDiv w:val="1"/>
      <w:marLeft w:val="0"/>
      <w:marRight w:val="0"/>
      <w:marTop w:val="0"/>
      <w:marBottom w:val="0"/>
      <w:divBdr>
        <w:top w:val="none" w:sz="0" w:space="0" w:color="auto"/>
        <w:left w:val="none" w:sz="0" w:space="0" w:color="auto"/>
        <w:bottom w:val="none" w:sz="0" w:space="0" w:color="auto"/>
        <w:right w:val="none" w:sz="0" w:space="0" w:color="auto"/>
      </w:divBdr>
    </w:div>
    <w:div w:id="1570455792">
      <w:bodyDiv w:val="1"/>
      <w:marLeft w:val="0"/>
      <w:marRight w:val="0"/>
      <w:marTop w:val="0"/>
      <w:marBottom w:val="0"/>
      <w:divBdr>
        <w:top w:val="none" w:sz="0" w:space="0" w:color="auto"/>
        <w:left w:val="none" w:sz="0" w:space="0" w:color="auto"/>
        <w:bottom w:val="none" w:sz="0" w:space="0" w:color="auto"/>
        <w:right w:val="none" w:sz="0" w:space="0" w:color="auto"/>
      </w:divBdr>
    </w:div>
    <w:div w:id="1570574292">
      <w:bodyDiv w:val="1"/>
      <w:marLeft w:val="0"/>
      <w:marRight w:val="0"/>
      <w:marTop w:val="0"/>
      <w:marBottom w:val="0"/>
      <w:divBdr>
        <w:top w:val="none" w:sz="0" w:space="0" w:color="auto"/>
        <w:left w:val="none" w:sz="0" w:space="0" w:color="auto"/>
        <w:bottom w:val="none" w:sz="0" w:space="0" w:color="auto"/>
        <w:right w:val="none" w:sz="0" w:space="0" w:color="auto"/>
      </w:divBdr>
    </w:div>
    <w:div w:id="1570581321">
      <w:bodyDiv w:val="1"/>
      <w:marLeft w:val="0"/>
      <w:marRight w:val="0"/>
      <w:marTop w:val="0"/>
      <w:marBottom w:val="0"/>
      <w:divBdr>
        <w:top w:val="none" w:sz="0" w:space="0" w:color="auto"/>
        <w:left w:val="none" w:sz="0" w:space="0" w:color="auto"/>
        <w:bottom w:val="none" w:sz="0" w:space="0" w:color="auto"/>
        <w:right w:val="none" w:sz="0" w:space="0" w:color="auto"/>
      </w:divBdr>
    </w:div>
    <w:div w:id="1570653713">
      <w:bodyDiv w:val="1"/>
      <w:marLeft w:val="0"/>
      <w:marRight w:val="0"/>
      <w:marTop w:val="0"/>
      <w:marBottom w:val="0"/>
      <w:divBdr>
        <w:top w:val="none" w:sz="0" w:space="0" w:color="auto"/>
        <w:left w:val="none" w:sz="0" w:space="0" w:color="auto"/>
        <w:bottom w:val="none" w:sz="0" w:space="0" w:color="auto"/>
        <w:right w:val="none" w:sz="0" w:space="0" w:color="auto"/>
      </w:divBdr>
    </w:div>
    <w:div w:id="1570724540">
      <w:bodyDiv w:val="1"/>
      <w:marLeft w:val="0"/>
      <w:marRight w:val="0"/>
      <w:marTop w:val="0"/>
      <w:marBottom w:val="0"/>
      <w:divBdr>
        <w:top w:val="none" w:sz="0" w:space="0" w:color="auto"/>
        <w:left w:val="none" w:sz="0" w:space="0" w:color="auto"/>
        <w:bottom w:val="none" w:sz="0" w:space="0" w:color="auto"/>
        <w:right w:val="none" w:sz="0" w:space="0" w:color="auto"/>
      </w:divBdr>
    </w:div>
    <w:div w:id="1570729614">
      <w:bodyDiv w:val="1"/>
      <w:marLeft w:val="0"/>
      <w:marRight w:val="0"/>
      <w:marTop w:val="0"/>
      <w:marBottom w:val="0"/>
      <w:divBdr>
        <w:top w:val="none" w:sz="0" w:space="0" w:color="auto"/>
        <w:left w:val="none" w:sz="0" w:space="0" w:color="auto"/>
        <w:bottom w:val="none" w:sz="0" w:space="0" w:color="auto"/>
        <w:right w:val="none" w:sz="0" w:space="0" w:color="auto"/>
      </w:divBdr>
    </w:div>
    <w:div w:id="1570771693">
      <w:bodyDiv w:val="1"/>
      <w:marLeft w:val="0"/>
      <w:marRight w:val="0"/>
      <w:marTop w:val="0"/>
      <w:marBottom w:val="0"/>
      <w:divBdr>
        <w:top w:val="none" w:sz="0" w:space="0" w:color="auto"/>
        <w:left w:val="none" w:sz="0" w:space="0" w:color="auto"/>
        <w:bottom w:val="none" w:sz="0" w:space="0" w:color="auto"/>
        <w:right w:val="none" w:sz="0" w:space="0" w:color="auto"/>
      </w:divBdr>
    </w:div>
    <w:div w:id="1570773685">
      <w:bodyDiv w:val="1"/>
      <w:marLeft w:val="0"/>
      <w:marRight w:val="0"/>
      <w:marTop w:val="0"/>
      <w:marBottom w:val="0"/>
      <w:divBdr>
        <w:top w:val="none" w:sz="0" w:space="0" w:color="auto"/>
        <w:left w:val="none" w:sz="0" w:space="0" w:color="auto"/>
        <w:bottom w:val="none" w:sz="0" w:space="0" w:color="auto"/>
        <w:right w:val="none" w:sz="0" w:space="0" w:color="auto"/>
      </w:divBdr>
    </w:div>
    <w:div w:id="1570842769">
      <w:bodyDiv w:val="1"/>
      <w:marLeft w:val="0"/>
      <w:marRight w:val="0"/>
      <w:marTop w:val="0"/>
      <w:marBottom w:val="0"/>
      <w:divBdr>
        <w:top w:val="none" w:sz="0" w:space="0" w:color="auto"/>
        <w:left w:val="none" w:sz="0" w:space="0" w:color="auto"/>
        <w:bottom w:val="none" w:sz="0" w:space="0" w:color="auto"/>
        <w:right w:val="none" w:sz="0" w:space="0" w:color="auto"/>
      </w:divBdr>
    </w:div>
    <w:div w:id="1570919294">
      <w:bodyDiv w:val="1"/>
      <w:marLeft w:val="0"/>
      <w:marRight w:val="0"/>
      <w:marTop w:val="0"/>
      <w:marBottom w:val="0"/>
      <w:divBdr>
        <w:top w:val="none" w:sz="0" w:space="0" w:color="auto"/>
        <w:left w:val="none" w:sz="0" w:space="0" w:color="auto"/>
        <w:bottom w:val="none" w:sz="0" w:space="0" w:color="auto"/>
        <w:right w:val="none" w:sz="0" w:space="0" w:color="auto"/>
      </w:divBdr>
    </w:div>
    <w:div w:id="1570965522">
      <w:bodyDiv w:val="1"/>
      <w:marLeft w:val="0"/>
      <w:marRight w:val="0"/>
      <w:marTop w:val="0"/>
      <w:marBottom w:val="0"/>
      <w:divBdr>
        <w:top w:val="none" w:sz="0" w:space="0" w:color="auto"/>
        <w:left w:val="none" w:sz="0" w:space="0" w:color="auto"/>
        <w:bottom w:val="none" w:sz="0" w:space="0" w:color="auto"/>
        <w:right w:val="none" w:sz="0" w:space="0" w:color="auto"/>
      </w:divBdr>
    </w:div>
    <w:div w:id="1571113913">
      <w:bodyDiv w:val="1"/>
      <w:marLeft w:val="0"/>
      <w:marRight w:val="0"/>
      <w:marTop w:val="0"/>
      <w:marBottom w:val="0"/>
      <w:divBdr>
        <w:top w:val="none" w:sz="0" w:space="0" w:color="auto"/>
        <w:left w:val="none" w:sz="0" w:space="0" w:color="auto"/>
        <w:bottom w:val="none" w:sz="0" w:space="0" w:color="auto"/>
        <w:right w:val="none" w:sz="0" w:space="0" w:color="auto"/>
      </w:divBdr>
    </w:div>
    <w:div w:id="1571227734">
      <w:bodyDiv w:val="1"/>
      <w:marLeft w:val="0"/>
      <w:marRight w:val="0"/>
      <w:marTop w:val="0"/>
      <w:marBottom w:val="0"/>
      <w:divBdr>
        <w:top w:val="none" w:sz="0" w:space="0" w:color="auto"/>
        <w:left w:val="none" w:sz="0" w:space="0" w:color="auto"/>
        <w:bottom w:val="none" w:sz="0" w:space="0" w:color="auto"/>
        <w:right w:val="none" w:sz="0" w:space="0" w:color="auto"/>
      </w:divBdr>
    </w:div>
    <w:div w:id="1571229157">
      <w:bodyDiv w:val="1"/>
      <w:marLeft w:val="0"/>
      <w:marRight w:val="0"/>
      <w:marTop w:val="0"/>
      <w:marBottom w:val="0"/>
      <w:divBdr>
        <w:top w:val="none" w:sz="0" w:space="0" w:color="auto"/>
        <w:left w:val="none" w:sz="0" w:space="0" w:color="auto"/>
        <w:bottom w:val="none" w:sz="0" w:space="0" w:color="auto"/>
        <w:right w:val="none" w:sz="0" w:space="0" w:color="auto"/>
      </w:divBdr>
    </w:div>
    <w:div w:id="1571305305">
      <w:bodyDiv w:val="1"/>
      <w:marLeft w:val="0"/>
      <w:marRight w:val="0"/>
      <w:marTop w:val="0"/>
      <w:marBottom w:val="0"/>
      <w:divBdr>
        <w:top w:val="none" w:sz="0" w:space="0" w:color="auto"/>
        <w:left w:val="none" w:sz="0" w:space="0" w:color="auto"/>
        <w:bottom w:val="none" w:sz="0" w:space="0" w:color="auto"/>
        <w:right w:val="none" w:sz="0" w:space="0" w:color="auto"/>
      </w:divBdr>
    </w:div>
    <w:div w:id="1571311059">
      <w:bodyDiv w:val="1"/>
      <w:marLeft w:val="0"/>
      <w:marRight w:val="0"/>
      <w:marTop w:val="0"/>
      <w:marBottom w:val="0"/>
      <w:divBdr>
        <w:top w:val="none" w:sz="0" w:space="0" w:color="auto"/>
        <w:left w:val="none" w:sz="0" w:space="0" w:color="auto"/>
        <w:bottom w:val="none" w:sz="0" w:space="0" w:color="auto"/>
        <w:right w:val="none" w:sz="0" w:space="0" w:color="auto"/>
      </w:divBdr>
    </w:div>
    <w:div w:id="1571380570">
      <w:bodyDiv w:val="1"/>
      <w:marLeft w:val="0"/>
      <w:marRight w:val="0"/>
      <w:marTop w:val="0"/>
      <w:marBottom w:val="0"/>
      <w:divBdr>
        <w:top w:val="none" w:sz="0" w:space="0" w:color="auto"/>
        <w:left w:val="none" w:sz="0" w:space="0" w:color="auto"/>
        <w:bottom w:val="none" w:sz="0" w:space="0" w:color="auto"/>
        <w:right w:val="none" w:sz="0" w:space="0" w:color="auto"/>
      </w:divBdr>
    </w:div>
    <w:div w:id="1571381104">
      <w:bodyDiv w:val="1"/>
      <w:marLeft w:val="0"/>
      <w:marRight w:val="0"/>
      <w:marTop w:val="0"/>
      <w:marBottom w:val="0"/>
      <w:divBdr>
        <w:top w:val="none" w:sz="0" w:space="0" w:color="auto"/>
        <w:left w:val="none" w:sz="0" w:space="0" w:color="auto"/>
        <w:bottom w:val="none" w:sz="0" w:space="0" w:color="auto"/>
        <w:right w:val="none" w:sz="0" w:space="0" w:color="auto"/>
      </w:divBdr>
    </w:div>
    <w:div w:id="1571426523">
      <w:bodyDiv w:val="1"/>
      <w:marLeft w:val="0"/>
      <w:marRight w:val="0"/>
      <w:marTop w:val="0"/>
      <w:marBottom w:val="0"/>
      <w:divBdr>
        <w:top w:val="none" w:sz="0" w:space="0" w:color="auto"/>
        <w:left w:val="none" w:sz="0" w:space="0" w:color="auto"/>
        <w:bottom w:val="none" w:sz="0" w:space="0" w:color="auto"/>
        <w:right w:val="none" w:sz="0" w:space="0" w:color="auto"/>
      </w:divBdr>
    </w:div>
    <w:div w:id="1571499155">
      <w:bodyDiv w:val="1"/>
      <w:marLeft w:val="0"/>
      <w:marRight w:val="0"/>
      <w:marTop w:val="0"/>
      <w:marBottom w:val="0"/>
      <w:divBdr>
        <w:top w:val="none" w:sz="0" w:space="0" w:color="auto"/>
        <w:left w:val="none" w:sz="0" w:space="0" w:color="auto"/>
        <w:bottom w:val="none" w:sz="0" w:space="0" w:color="auto"/>
        <w:right w:val="none" w:sz="0" w:space="0" w:color="auto"/>
      </w:divBdr>
    </w:div>
    <w:div w:id="1571692238">
      <w:bodyDiv w:val="1"/>
      <w:marLeft w:val="0"/>
      <w:marRight w:val="0"/>
      <w:marTop w:val="0"/>
      <w:marBottom w:val="0"/>
      <w:divBdr>
        <w:top w:val="none" w:sz="0" w:space="0" w:color="auto"/>
        <w:left w:val="none" w:sz="0" w:space="0" w:color="auto"/>
        <w:bottom w:val="none" w:sz="0" w:space="0" w:color="auto"/>
        <w:right w:val="none" w:sz="0" w:space="0" w:color="auto"/>
      </w:divBdr>
    </w:div>
    <w:div w:id="1571842122">
      <w:bodyDiv w:val="1"/>
      <w:marLeft w:val="0"/>
      <w:marRight w:val="0"/>
      <w:marTop w:val="0"/>
      <w:marBottom w:val="0"/>
      <w:divBdr>
        <w:top w:val="none" w:sz="0" w:space="0" w:color="auto"/>
        <w:left w:val="none" w:sz="0" w:space="0" w:color="auto"/>
        <w:bottom w:val="none" w:sz="0" w:space="0" w:color="auto"/>
        <w:right w:val="none" w:sz="0" w:space="0" w:color="auto"/>
      </w:divBdr>
    </w:div>
    <w:div w:id="1572425822">
      <w:bodyDiv w:val="1"/>
      <w:marLeft w:val="0"/>
      <w:marRight w:val="0"/>
      <w:marTop w:val="0"/>
      <w:marBottom w:val="0"/>
      <w:divBdr>
        <w:top w:val="none" w:sz="0" w:space="0" w:color="auto"/>
        <w:left w:val="none" w:sz="0" w:space="0" w:color="auto"/>
        <w:bottom w:val="none" w:sz="0" w:space="0" w:color="auto"/>
        <w:right w:val="none" w:sz="0" w:space="0" w:color="auto"/>
      </w:divBdr>
    </w:div>
    <w:div w:id="1572426345">
      <w:bodyDiv w:val="1"/>
      <w:marLeft w:val="0"/>
      <w:marRight w:val="0"/>
      <w:marTop w:val="0"/>
      <w:marBottom w:val="0"/>
      <w:divBdr>
        <w:top w:val="none" w:sz="0" w:space="0" w:color="auto"/>
        <w:left w:val="none" w:sz="0" w:space="0" w:color="auto"/>
        <w:bottom w:val="none" w:sz="0" w:space="0" w:color="auto"/>
        <w:right w:val="none" w:sz="0" w:space="0" w:color="auto"/>
      </w:divBdr>
    </w:div>
    <w:div w:id="1572472090">
      <w:bodyDiv w:val="1"/>
      <w:marLeft w:val="0"/>
      <w:marRight w:val="0"/>
      <w:marTop w:val="0"/>
      <w:marBottom w:val="0"/>
      <w:divBdr>
        <w:top w:val="none" w:sz="0" w:space="0" w:color="auto"/>
        <w:left w:val="none" w:sz="0" w:space="0" w:color="auto"/>
        <w:bottom w:val="none" w:sz="0" w:space="0" w:color="auto"/>
        <w:right w:val="none" w:sz="0" w:space="0" w:color="auto"/>
      </w:divBdr>
    </w:div>
    <w:div w:id="1572496095">
      <w:bodyDiv w:val="1"/>
      <w:marLeft w:val="0"/>
      <w:marRight w:val="0"/>
      <w:marTop w:val="0"/>
      <w:marBottom w:val="0"/>
      <w:divBdr>
        <w:top w:val="none" w:sz="0" w:space="0" w:color="auto"/>
        <w:left w:val="none" w:sz="0" w:space="0" w:color="auto"/>
        <w:bottom w:val="none" w:sz="0" w:space="0" w:color="auto"/>
        <w:right w:val="none" w:sz="0" w:space="0" w:color="auto"/>
      </w:divBdr>
    </w:div>
    <w:div w:id="1572500241">
      <w:bodyDiv w:val="1"/>
      <w:marLeft w:val="0"/>
      <w:marRight w:val="0"/>
      <w:marTop w:val="0"/>
      <w:marBottom w:val="0"/>
      <w:divBdr>
        <w:top w:val="none" w:sz="0" w:space="0" w:color="auto"/>
        <w:left w:val="none" w:sz="0" w:space="0" w:color="auto"/>
        <w:bottom w:val="none" w:sz="0" w:space="0" w:color="auto"/>
        <w:right w:val="none" w:sz="0" w:space="0" w:color="auto"/>
      </w:divBdr>
    </w:div>
    <w:div w:id="1572614391">
      <w:bodyDiv w:val="1"/>
      <w:marLeft w:val="0"/>
      <w:marRight w:val="0"/>
      <w:marTop w:val="0"/>
      <w:marBottom w:val="0"/>
      <w:divBdr>
        <w:top w:val="none" w:sz="0" w:space="0" w:color="auto"/>
        <w:left w:val="none" w:sz="0" w:space="0" w:color="auto"/>
        <w:bottom w:val="none" w:sz="0" w:space="0" w:color="auto"/>
        <w:right w:val="none" w:sz="0" w:space="0" w:color="auto"/>
      </w:divBdr>
    </w:div>
    <w:div w:id="1572738996">
      <w:bodyDiv w:val="1"/>
      <w:marLeft w:val="0"/>
      <w:marRight w:val="0"/>
      <w:marTop w:val="0"/>
      <w:marBottom w:val="0"/>
      <w:divBdr>
        <w:top w:val="none" w:sz="0" w:space="0" w:color="auto"/>
        <w:left w:val="none" w:sz="0" w:space="0" w:color="auto"/>
        <w:bottom w:val="none" w:sz="0" w:space="0" w:color="auto"/>
        <w:right w:val="none" w:sz="0" w:space="0" w:color="auto"/>
      </w:divBdr>
    </w:div>
    <w:div w:id="1572810301">
      <w:bodyDiv w:val="1"/>
      <w:marLeft w:val="0"/>
      <w:marRight w:val="0"/>
      <w:marTop w:val="0"/>
      <w:marBottom w:val="0"/>
      <w:divBdr>
        <w:top w:val="none" w:sz="0" w:space="0" w:color="auto"/>
        <w:left w:val="none" w:sz="0" w:space="0" w:color="auto"/>
        <w:bottom w:val="none" w:sz="0" w:space="0" w:color="auto"/>
        <w:right w:val="none" w:sz="0" w:space="0" w:color="auto"/>
      </w:divBdr>
    </w:div>
    <w:div w:id="1572958683">
      <w:bodyDiv w:val="1"/>
      <w:marLeft w:val="0"/>
      <w:marRight w:val="0"/>
      <w:marTop w:val="0"/>
      <w:marBottom w:val="0"/>
      <w:divBdr>
        <w:top w:val="none" w:sz="0" w:space="0" w:color="auto"/>
        <w:left w:val="none" w:sz="0" w:space="0" w:color="auto"/>
        <w:bottom w:val="none" w:sz="0" w:space="0" w:color="auto"/>
        <w:right w:val="none" w:sz="0" w:space="0" w:color="auto"/>
      </w:divBdr>
    </w:div>
    <w:div w:id="1573001391">
      <w:bodyDiv w:val="1"/>
      <w:marLeft w:val="0"/>
      <w:marRight w:val="0"/>
      <w:marTop w:val="0"/>
      <w:marBottom w:val="0"/>
      <w:divBdr>
        <w:top w:val="none" w:sz="0" w:space="0" w:color="auto"/>
        <w:left w:val="none" w:sz="0" w:space="0" w:color="auto"/>
        <w:bottom w:val="none" w:sz="0" w:space="0" w:color="auto"/>
        <w:right w:val="none" w:sz="0" w:space="0" w:color="auto"/>
      </w:divBdr>
    </w:div>
    <w:div w:id="1573006406">
      <w:bodyDiv w:val="1"/>
      <w:marLeft w:val="0"/>
      <w:marRight w:val="0"/>
      <w:marTop w:val="0"/>
      <w:marBottom w:val="0"/>
      <w:divBdr>
        <w:top w:val="none" w:sz="0" w:space="0" w:color="auto"/>
        <w:left w:val="none" w:sz="0" w:space="0" w:color="auto"/>
        <w:bottom w:val="none" w:sz="0" w:space="0" w:color="auto"/>
        <w:right w:val="none" w:sz="0" w:space="0" w:color="auto"/>
      </w:divBdr>
    </w:div>
    <w:div w:id="1573077866">
      <w:bodyDiv w:val="1"/>
      <w:marLeft w:val="0"/>
      <w:marRight w:val="0"/>
      <w:marTop w:val="0"/>
      <w:marBottom w:val="0"/>
      <w:divBdr>
        <w:top w:val="none" w:sz="0" w:space="0" w:color="auto"/>
        <w:left w:val="none" w:sz="0" w:space="0" w:color="auto"/>
        <w:bottom w:val="none" w:sz="0" w:space="0" w:color="auto"/>
        <w:right w:val="none" w:sz="0" w:space="0" w:color="auto"/>
      </w:divBdr>
    </w:div>
    <w:div w:id="1573155210">
      <w:bodyDiv w:val="1"/>
      <w:marLeft w:val="0"/>
      <w:marRight w:val="0"/>
      <w:marTop w:val="0"/>
      <w:marBottom w:val="0"/>
      <w:divBdr>
        <w:top w:val="none" w:sz="0" w:space="0" w:color="auto"/>
        <w:left w:val="none" w:sz="0" w:space="0" w:color="auto"/>
        <w:bottom w:val="none" w:sz="0" w:space="0" w:color="auto"/>
        <w:right w:val="none" w:sz="0" w:space="0" w:color="auto"/>
      </w:divBdr>
    </w:div>
    <w:div w:id="1573271784">
      <w:bodyDiv w:val="1"/>
      <w:marLeft w:val="0"/>
      <w:marRight w:val="0"/>
      <w:marTop w:val="0"/>
      <w:marBottom w:val="0"/>
      <w:divBdr>
        <w:top w:val="none" w:sz="0" w:space="0" w:color="auto"/>
        <w:left w:val="none" w:sz="0" w:space="0" w:color="auto"/>
        <w:bottom w:val="none" w:sz="0" w:space="0" w:color="auto"/>
        <w:right w:val="none" w:sz="0" w:space="0" w:color="auto"/>
      </w:divBdr>
    </w:div>
    <w:div w:id="1573271993">
      <w:bodyDiv w:val="1"/>
      <w:marLeft w:val="0"/>
      <w:marRight w:val="0"/>
      <w:marTop w:val="0"/>
      <w:marBottom w:val="0"/>
      <w:divBdr>
        <w:top w:val="none" w:sz="0" w:space="0" w:color="auto"/>
        <w:left w:val="none" w:sz="0" w:space="0" w:color="auto"/>
        <w:bottom w:val="none" w:sz="0" w:space="0" w:color="auto"/>
        <w:right w:val="none" w:sz="0" w:space="0" w:color="auto"/>
      </w:divBdr>
    </w:div>
    <w:div w:id="1573392974">
      <w:bodyDiv w:val="1"/>
      <w:marLeft w:val="0"/>
      <w:marRight w:val="0"/>
      <w:marTop w:val="0"/>
      <w:marBottom w:val="0"/>
      <w:divBdr>
        <w:top w:val="none" w:sz="0" w:space="0" w:color="auto"/>
        <w:left w:val="none" w:sz="0" w:space="0" w:color="auto"/>
        <w:bottom w:val="none" w:sz="0" w:space="0" w:color="auto"/>
        <w:right w:val="none" w:sz="0" w:space="0" w:color="auto"/>
      </w:divBdr>
    </w:div>
    <w:div w:id="1573544412">
      <w:bodyDiv w:val="1"/>
      <w:marLeft w:val="0"/>
      <w:marRight w:val="0"/>
      <w:marTop w:val="0"/>
      <w:marBottom w:val="0"/>
      <w:divBdr>
        <w:top w:val="none" w:sz="0" w:space="0" w:color="auto"/>
        <w:left w:val="none" w:sz="0" w:space="0" w:color="auto"/>
        <w:bottom w:val="none" w:sz="0" w:space="0" w:color="auto"/>
        <w:right w:val="none" w:sz="0" w:space="0" w:color="auto"/>
      </w:divBdr>
    </w:div>
    <w:div w:id="1573589259">
      <w:bodyDiv w:val="1"/>
      <w:marLeft w:val="0"/>
      <w:marRight w:val="0"/>
      <w:marTop w:val="0"/>
      <w:marBottom w:val="0"/>
      <w:divBdr>
        <w:top w:val="none" w:sz="0" w:space="0" w:color="auto"/>
        <w:left w:val="none" w:sz="0" w:space="0" w:color="auto"/>
        <w:bottom w:val="none" w:sz="0" w:space="0" w:color="auto"/>
        <w:right w:val="none" w:sz="0" w:space="0" w:color="auto"/>
      </w:divBdr>
    </w:div>
    <w:div w:id="1573656438">
      <w:bodyDiv w:val="1"/>
      <w:marLeft w:val="0"/>
      <w:marRight w:val="0"/>
      <w:marTop w:val="0"/>
      <w:marBottom w:val="0"/>
      <w:divBdr>
        <w:top w:val="none" w:sz="0" w:space="0" w:color="auto"/>
        <w:left w:val="none" w:sz="0" w:space="0" w:color="auto"/>
        <w:bottom w:val="none" w:sz="0" w:space="0" w:color="auto"/>
        <w:right w:val="none" w:sz="0" w:space="0" w:color="auto"/>
      </w:divBdr>
    </w:div>
    <w:div w:id="1573852022">
      <w:bodyDiv w:val="1"/>
      <w:marLeft w:val="0"/>
      <w:marRight w:val="0"/>
      <w:marTop w:val="0"/>
      <w:marBottom w:val="0"/>
      <w:divBdr>
        <w:top w:val="none" w:sz="0" w:space="0" w:color="auto"/>
        <w:left w:val="none" w:sz="0" w:space="0" w:color="auto"/>
        <w:bottom w:val="none" w:sz="0" w:space="0" w:color="auto"/>
        <w:right w:val="none" w:sz="0" w:space="0" w:color="auto"/>
      </w:divBdr>
    </w:div>
    <w:div w:id="1574005578">
      <w:bodyDiv w:val="1"/>
      <w:marLeft w:val="0"/>
      <w:marRight w:val="0"/>
      <w:marTop w:val="0"/>
      <w:marBottom w:val="0"/>
      <w:divBdr>
        <w:top w:val="none" w:sz="0" w:space="0" w:color="auto"/>
        <w:left w:val="none" w:sz="0" w:space="0" w:color="auto"/>
        <w:bottom w:val="none" w:sz="0" w:space="0" w:color="auto"/>
        <w:right w:val="none" w:sz="0" w:space="0" w:color="auto"/>
      </w:divBdr>
    </w:div>
    <w:div w:id="1574118935">
      <w:bodyDiv w:val="1"/>
      <w:marLeft w:val="0"/>
      <w:marRight w:val="0"/>
      <w:marTop w:val="0"/>
      <w:marBottom w:val="0"/>
      <w:divBdr>
        <w:top w:val="none" w:sz="0" w:space="0" w:color="auto"/>
        <w:left w:val="none" w:sz="0" w:space="0" w:color="auto"/>
        <w:bottom w:val="none" w:sz="0" w:space="0" w:color="auto"/>
        <w:right w:val="none" w:sz="0" w:space="0" w:color="auto"/>
      </w:divBdr>
    </w:div>
    <w:div w:id="1574119002">
      <w:bodyDiv w:val="1"/>
      <w:marLeft w:val="0"/>
      <w:marRight w:val="0"/>
      <w:marTop w:val="0"/>
      <w:marBottom w:val="0"/>
      <w:divBdr>
        <w:top w:val="none" w:sz="0" w:space="0" w:color="auto"/>
        <w:left w:val="none" w:sz="0" w:space="0" w:color="auto"/>
        <w:bottom w:val="none" w:sz="0" w:space="0" w:color="auto"/>
        <w:right w:val="none" w:sz="0" w:space="0" w:color="auto"/>
      </w:divBdr>
    </w:div>
    <w:div w:id="1574314709">
      <w:bodyDiv w:val="1"/>
      <w:marLeft w:val="0"/>
      <w:marRight w:val="0"/>
      <w:marTop w:val="0"/>
      <w:marBottom w:val="0"/>
      <w:divBdr>
        <w:top w:val="none" w:sz="0" w:space="0" w:color="auto"/>
        <w:left w:val="none" w:sz="0" w:space="0" w:color="auto"/>
        <w:bottom w:val="none" w:sz="0" w:space="0" w:color="auto"/>
        <w:right w:val="none" w:sz="0" w:space="0" w:color="auto"/>
      </w:divBdr>
    </w:div>
    <w:div w:id="1575044437">
      <w:bodyDiv w:val="1"/>
      <w:marLeft w:val="0"/>
      <w:marRight w:val="0"/>
      <w:marTop w:val="0"/>
      <w:marBottom w:val="0"/>
      <w:divBdr>
        <w:top w:val="none" w:sz="0" w:space="0" w:color="auto"/>
        <w:left w:val="none" w:sz="0" w:space="0" w:color="auto"/>
        <w:bottom w:val="none" w:sz="0" w:space="0" w:color="auto"/>
        <w:right w:val="none" w:sz="0" w:space="0" w:color="auto"/>
      </w:divBdr>
    </w:div>
    <w:div w:id="1575049373">
      <w:bodyDiv w:val="1"/>
      <w:marLeft w:val="0"/>
      <w:marRight w:val="0"/>
      <w:marTop w:val="0"/>
      <w:marBottom w:val="0"/>
      <w:divBdr>
        <w:top w:val="none" w:sz="0" w:space="0" w:color="auto"/>
        <w:left w:val="none" w:sz="0" w:space="0" w:color="auto"/>
        <w:bottom w:val="none" w:sz="0" w:space="0" w:color="auto"/>
        <w:right w:val="none" w:sz="0" w:space="0" w:color="auto"/>
      </w:divBdr>
    </w:div>
    <w:div w:id="1575359876">
      <w:bodyDiv w:val="1"/>
      <w:marLeft w:val="0"/>
      <w:marRight w:val="0"/>
      <w:marTop w:val="0"/>
      <w:marBottom w:val="0"/>
      <w:divBdr>
        <w:top w:val="none" w:sz="0" w:space="0" w:color="auto"/>
        <w:left w:val="none" w:sz="0" w:space="0" w:color="auto"/>
        <w:bottom w:val="none" w:sz="0" w:space="0" w:color="auto"/>
        <w:right w:val="none" w:sz="0" w:space="0" w:color="auto"/>
      </w:divBdr>
    </w:div>
    <w:div w:id="1575433440">
      <w:bodyDiv w:val="1"/>
      <w:marLeft w:val="0"/>
      <w:marRight w:val="0"/>
      <w:marTop w:val="0"/>
      <w:marBottom w:val="0"/>
      <w:divBdr>
        <w:top w:val="none" w:sz="0" w:space="0" w:color="auto"/>
        <w:left w:val="none" w:sz="0" w:space="0" w:color="auto"/>
        <w:bottom w:val="none" w:sz="0" w:space="0" w:color="auto"/>
        <w:right w:val="none" w:sz="0" w:space="0" w:color="auto"/>
      </w:divBdr>
    </w:div>
    <w:div w:id="1575625669">
      <w:bodyDiv w:val="1"/>
      <w:marLeft w:val="0"/>
      <w:marRight w:val="0"/>
      <w:marTop w:val="0"/>
      <w:marBottom w:val="0"/>
      <w:divBdr>
        <w:top w:val="none" w:sz="0" w:space="0" w:color="auto"/>
        <w:left w:val="none" w:sz="0" w:space="0" w:color="auto"/>
        <w:bottom w:val="none" w:sz="0" w:space="0" w:color="auto"/>
        <w:right w:val="none" w:sz="0" w:space="0" w:color="auto"/>
      </w:divBdr>
    </w:div>
    <w:div w:id="1575705533">
      <w:bodyDiv w:val="1"/>
      <w:marLeft w:val="0"/>
      <w:marRight w:val="0"/>
      <w:marTop w:val="0"/>
      <w:marBottom w:val="0"/>
      <w:divBdr>
        <w:top w:val="none" w:sz="0" w:space="0" w:color="auto"/>
        <w:left w:val="none" w:sz="0" w:space="0" w:color="auto"/>
        <w:bottom w:val="none" w:sz="0" w:space="0" w:color="auto"/>
        <w:right w:val="none" w:sz="0" w:space="0" w:color="auto"/>
      </w:divBdr>
    </w:div>
    <w:div w:id="1575775631">
      <w:bodyDiv w:val="1"/>
      <w:marLeft w:val="0"/>
      <w:marRight w:val="0"/>
      <w:marTop w:val="0"/>
      <w:marBottom w:val="0"/>
      <w:divBdr>
        <w:top w:val="none" w:sz="0" w:space="0" w:color="auto"/>
        <w:left w:val="none" w:sz="0" w:space="0" w:color="auto"/>
        <w:bottom w:val="none" w:sz="0" w:space="0" w:color="auto"/>
        <w:right w:val="none" w:sz="0" w:space="0" w:color="auto"/>
      </w:divBdr>
    </w:div>
    <w:div w:id="1575819644">
      <w:bodyDiv w:val="1"/>
      <w:marLeft w:val="0"/>
      <w:marRight w:val="0"/>
      <w:marTop w:val="0"/>
      <w:marBottom w:val="0"/>
      <w:divBdr>
        <w:top w:val="none" w:sz="0" w:space="0" w:color="auto"/>
        <w:left w:val="none" w:sz="0" w:space="0" w:color="auto"/>
        <w:bottom w:val="none" w:sz="0" w:space="0" w:color="auto"/>
        <w:right w:val="none" w:sz="0" w:space="0" w:color="auto"/>
      </w:divBdr>
    </w:div>
    <w:div w:id="1576041094">
      <w:bodyDiv w:val="1"/>
      <w:marLeft w:val="0"/>
      <w:marRight w:val="0"/>
      <w:marTop w:val="0"/>
      <w:marBottom w:val="0"/>
      <w:divBdr>
        <w:top w:val="none" w:sz="0" w:space="0" w:color="auto"/>
        <w:left w:val="none" w:sz="0" w:space="0" w:color="auto"/>
        <w:bottom w:val="none" w:sz="0" w:space="0" w:color="auto"/>
        <w:right w:val="none" w:sz="0" w:space="0" w:color="auto"/>
      </w:divBdr>
    </w:div>
    <w:div w:id="1576087745">
      <w:bodyDiv w:val="1"/>
      <w:marLeft w:val="0"/>
      <w:marRight w:val="0"/>
      <w:marTop w:val="0"/>
      <w:marBottom w:val="0"/>
      <w:divBdr>
        <w:top w:val="none" w:sz="0" w:space="0" w:color="auto"/>
        <w:left w:val="none" w:sz="0" w:space="0" w:color="auto"/>
        <w:bottom w:val="none" w:sz="0" w:space="0" w:color="auto"/>
        <w:right w:val="none" w:sz="0" w:space="0" w:color="auto"/>
      </w:divBdr>
    </w:div>
    <w:div w:id="1576207631">
      <w:bodyDiv w:val="1"/>
      <w:marLeft w:val="0"/>
      <w:marRight w:val="0"/>
      <w:marTop w:val="0"/>
      <w:marBottom w:val="0"/>
      <w:divBdr>
        <w:top w:val="none" w:sz="0" w:space="0" w:color="auto"/>
        <w:left w:val="none" w:sz="0" w:space="0" w:color="auto"/>
        <w:bottom w:val="none" w:sz="0" w:space="0" w:color="auto"/>
        <w:right w:val="none" w:sz="0" w:space="0" w:color="auto"/>
      </w:divBdr>
    </w:div>
    <w:div w:id="1576208727">
      <w:bodyDiv w:val="1"/>
      <w:marLeft w:val="0"/>
      <w:marRight w:val="0"/>
      <w:marTop w:val="0"/>
      <w:marBottom w:val="0"/>
      <w:divBdr>
        <w:top w:val="none" w:sz="0" w:space="0" w:color="auto"/>
        <w:left w:val="none" w:sz="0" w:space="0" w:color="auto"/>
        <w:bottom w:val="none" w:sz="0" w:space="0" w:color="auto"/>
        <w:right w:val="none" w:sz="0" w:space="0" w:color="auto"/>
      </w:divBdr>
    </w:div>
    <w:div w:id="1576353435">
      <w:bodyDiv w:val="1"/>
      <w:marLeft w:val="0"/>
      <w:marRight w:val="0"/>
      <w:marTop w:val="0"/>
      <w:marBottom w:val="0"/>
      <w:divBdr>
        <w:top w:val="none" w:sz="0" w:space="0" w:color="auto"/>
        <w:left w:val="none" w:sz="0" w:space="0" w:color="auto"/>
        <w:bottom w:val="none" w:sz="0" w:space="0" w:color="auto"/>
        <w:right w:val="none" w:sz="0" w:space="0" w:color="auto"/>
      </w:divBdr>
    </w:div>
    <w:div w:id="1576472548">
      <w:bodyDiv w:val="1"/>
      <w:marLeft w:val="0"/>
      <w:marRight w:val="0"/>
      <w:marTop w:val="0"/>
      <w:marBottom w:val="0"/>
      <w:divBdr>
        <w:top w:val="none" w:sz="0" w:space="0" w:color="auto"/>
        <w:left w:val="none" w:sz="0" w:space="0" w:color="auto"/>
        <w:bottom w:val="none" w:sz="0" w:space="0" w:color="auto"/>
        <w:right w:val="none" w:sz="0" w:space="0" w:color="auto"/>
      </w:divBdr>
    </w:div>
    <w:div w:id="1576475488">
      <w:bodyDiv w:val="1"/>
      <w:marLeft w:val="0"/>
      <w:marRight w:val="0"/>
      <w:marTop w:val="0"/>
      <w:marBottom w:val="0"/>
      <w:divBdr>
        <w:top w:val="none" w:sz="0" w:space="0" w:color="auto"/>
        <w:left w:val="none" w:sz="0" w:space="0" w:color="auto"/>
        <w:bottom w:val="none" w:sz="0" w:space="0" w:color="auto"/>
        <w:right w:val="none" w:sz="0" w:space="0" w:color="auto"/>
      </w:divBdr>
    </w:div>
    <w:div w:id="1576623825">
      <w:bodyDiv w:val="1"/>
      <w:marLeft w:val="0"/>
      <w:marRight w:val="0"/>
      <w:marTop w:val="0"/>
      <w:marBottom w:val="0"/>
      <w:divBdr>
        <w:top w:val="none" w:sz="0" w:space="0" w:color="auto"/>
        <w:left w:val="none" w:sz="0" w:space="0" w:color="auto"/>
        <w:bottom w:val="none" w:sz="0" w:space="0" w:color="auto"/>
        <w:right w:val="none" w:sz="0" w:space="0" w:color="auto"/>
      </w:divBdr>
    </w:div>
    <w:div w:id="1576672454">
      <w:bodyDiv w:val="1"/>
      <w:marLeft w:val="0"/>
      <w:marRight w:val="0"/>
      <w:marTop w:val="0"/>
      <w:marBottom w:val="0"/>
      <w:divBdr>
        <w:top w:val="none" w:sz="0" w:space="0" w:color="auto"/>
        <w:left w:val="none" w:sz="0" w:space="0" w:color="auto"/>
        <w:bottom w:val="none" w:sz="0" w:space="0" w:color="auto"/>
        <w:right w:val="none" w:sz="0" w:space="0" w:color="auto"/>
      </w:divBdr>
    </w:div>
    <w:div w:id="1576744160">
      <w:bodyDiv w:val="1"/>
      <w:marLeft w:val="0"/>
      <w:marRight w:val="0"/>
      <w:marTop w:val="0"/>
      <w:marBottom w:val="0"/>
      <w:divBdr>
        <w:top w:val="none" w:sz="0" w:space="0" w:color="auto"/>
        <w:left w:val="none" w:sz="0" w:space="0" w:color="auto"/>
        <w:bottom w:val="none" w:sz="0" w:space="0" w:color="auto"/>
        <w:right w:val="none" w:sz="0" w:space="0" w:color="auto"/>
      </w:divBdr>
    </w:div>
    <w:div w:id="1576935646">
      <w:bodyDiv w:val="1"/>
      <w:marLeft w:val="0"/>
      <w:marRight w:val="0"/>
      <w:marTop w:val="0"/>
      <w:marBottom w:val="0"/>
      <w:divBdr>
        <w:top w:val="none" w:sz="0" w:space="0" w:color="auto"/>
        <w:left w:val="none" w:sz="0" w:space="0" w:color="auto"/>
        <w:bottom w:val="none" w:sz="0" w:space="0" w:color="auto"/>
        <w:right w:val="none" w:sz="0" w:space="0" w:color="auto"/>
      </w:divBdr>
    </w:div>
    <w:div w:id="1576936308">
      <w:bodyDiv w:val="1"/>
      <w:marLeft w:val="0"/>
      <w:marRight w:val="0"/>
      <w:marTop w:val="0"/>
      <w:marBottom w:val="0"/>
      <w:divBdr>
        <w:top w:val="none" w:sz="0" w:space="0" w:color="auto"/>
        <w:left w:val="none" w:sz="0" w:space="0" w:color="auto"/>
        <w:bottom w:val="none" w:sz="0" w:space="0" w:color="auto"/>
        <w:right w:val="none" w:sz="0" w:space="0" w:color="auto"/>
      </w:divBdr>
    </w:div>
    <w:div w:id="1577082223">
      <w:bodyDiv w:val="1"/>
      <w:marLeft w:val="0"/>
      <w:marRight w:val="0"/>
      <w:marTop w:val="0"/>
      <w:marBottom w:val="0"/>
      <w:divBdr>
        <w:top w:val="none" w:sz="0" w:space="0" w:color="auto"/>
        <w:left w:val="none" w:sz="0" w:space="0" w:color="auto"/>
        <w:bottom w:val="none" w:sz="0" w:space="0" w:color="auto"/>
        <w:right w:val="none" w:sz="0" w:space="0" w:color="auto"/>
      </w:divBdr>
    </w:div>
    <w:div w:id="1577519388">
      <w:bodyDiv w:val="1"/>
      <w:marLeft w:val="0"/>
      <w:marRight w:val="0"/>
      <w:marTop w:val="0"/>
      <w:marBottom w:val="0"/>
      <w:divBdr>
        <w:top w:val="none" w:sz="0" w:space="0" w:color="auto"/>
        <w:left w:val="none" w:sz="0" w:space="0" w:color="auto"/>
        <w:bottom w:val="none" w:sz="0" w:space="0" w:color="auto"/>
        <w:right w:val="none" w:sz="0" w:space="0" w:color="auto"/>
      </w:divBdr>
    </w:div>
    <w:div w:id="1577589452">
      <w:bodyDiv w:val="1"/>
      <w:marLeft w:val="0"/>
      <w:marRight w:val="0"/>
      <w:marTop w:val="0"/>
      <w:marBottom w:val="0"/>
      <w:divBdr>
        <w:top w:val="none" w:sz="0" w:space="0" w:color="auto"/>
        <w:left w:val="none" w:sz="0" w:space="0" w:color="auto"/>
        <w:bottom w:val="none" w:sz="0" w:space="0" w:color="auto"/>
        <w:right w:val="none" w:sz="0" w:space="0" w:color="auto"/>
      </w:divBdr>
    </w:div>
    <w:div w:id="1577592286">
      <w:bodyDiv w:val="1"/>
      <w:marLeft w:val="0"/>
      <w:marRight w:val="0"/>
      <w:marTop w:val="0"/>
      <w:marBottom w:val="0"/>
      <w:divBdr>
        <w:top w:val="none" w:sz="0" w:space="0" w:color="auto"/>
        <w:left w:val="none" w:sz="0" w:space="0" w:color="auto"/>
        <w:bottom w:val="none" w:sz="0" w:space="0" w:color="auto"/>
        <w:right w:val="none" w:sz="0" w:space="0" w:color="auto"/>
      </w:divBdr>
    </w:div>
    <w:div w:id="1577671102">
      <w:bodyDiv w:val="1"/>
      <w:marLeft w:val="0"/>
      <w:marRight w:val="0"/>
      <w:marTop w:val="0"/>
      <w:marBottom w:val="0"/>
      <w:divBdr>
        <w:top w:val="none" w:sz="0" w:space="0" w:color="auto"/>
        <w:left w:val="none" w:sz="0" w:space="0" w:color="auto"/>
        <w:bottom w:val="none" w:sz="0" w:space="0" w:color="auto"/>
        <w:right w:val="none" w:sz="0" w:space="0" w:color="auto"/>
      </w:divBdr>
    </w:div>
    <w:div w:id="1577740585">
      <w:bodyDiv w:val="1"/>
      <w:marLeft w:val="0"/>
      <w:marRight w:val="0"/>
      <w:marTop w:val="0"/>
      <w:marBottom w:val="0"/>
      <w:divBdr>
        <w:top w:val="none" w:sz="0" w:space="0" w:color="auto"/>
        <w:left w:val="none" w:sz="0" w:space="0" w:color="auto"/>
        <w:bottom w:val="none" w:sz="0" w:space="0" w:color="auto"/>
        <w:right w:val="none" w:sz="0" w:space="0" w:color="auto"/>
      </w:divBdr>
    </w:div>
    <w:div w:id="1577788818">
      <w:bodyDiv w:val="1"/>
      <w:marLeft w:val="0"/>
      <w:marRight w:val="0"/>
      <w:marTop w:val="0"/>
      <w:marBottom w:val="0"/>
      <w:divBdr>
        <w:top w:val="none" w:sz="0" w:space="0" w:color="auto"/>
        <w:left w:val="none" w:sz="0" w:space="0" w:color="auto"/>
        <w:bottom w:val="none" w:sz="0" w:space="0" w:color="auto"/>
        <w:right w:val="none" w:sz="0" w:space="0" w:color="auto"/>
      </w:divBdr>
    </w:div>
    <w:div w:id="1577862392">
      <w:bodyDiv w:val="1"/>
      <w:marLeft w:val="0"/>
      <w:marRight w:val="0"/>
      <w:marTop w:val="0"/>
      <w:marBottom w:val="0"/>
      <w:divBdr>
        <w:top w:val="none" w:sz="0" w:space="0" w:color="auto"/>
        <w:left w:val="none" w:sz="0" w:space="0" w:color="auto"/>
        <w:bottom w:val="none" w:sz="0" w:space="0" w:color="auto"/>
        <w:right w:val="none" w:sz="0" w:space="0" w:color="auto"/>
      </w:divBdr>
    </w:div>
    <w:div w:id="1577934832">
      <w:bodyDiv w:val="1"/>
      <w:marLeft w:val="0"/>
      <w:marRight w:val="0"/>
      <w:marTop w:val="0"/>
      <w:marBottom w:val="0"/>
      <w:divBdr>
        <w:top w:val="none" w:sz="0" w:space="0" w:color="auto"/>
        <w:left w:val="none" w:sz="0" w:space="0" w:color="auto"/>
        <w:bottom w:val="none" w:sz="0" w:space="0" w:color="auto"/>
        <w:right w:val="none" w:sz="0" w:space="0" w:color="auto"/>
      </w:divBdr>
    </w:div>
    <w:div w:id="1577979120">
      <w:bodyDiv w:val="1"/>
      <w:marLeft w:val="0"/>
      <w:marRight w:val="0"/>
      <w:marTop w:val="0"/>
      <w:marBottom w:val="0"/>
      <w:divBdr>
        <w:top w:val="none" w:sz="0" w:space="0" w:color="auto"/>
        <w:left w:val="none" w:sz="0" w:space="0" w:color="auto"/>
        <w:bottom w:val="none" w:sz="0" w:space="0" w:color="auto"/>
        <w:right w:val="none" w:sz="0" w:space="0" w:color="auto"/>
      </w:divBdr>
    </w:div>
    <w:div w:id="1577981763">
      <w:bodyDiv w:val="1"/>
      <w:marLeft w:val="0"/>
      <w:marRight w:val="0"/>
      <w:marTop w:val="0"/>
      <w:marBottom w:val="0"/>
      <w:divBdr>
        <w:top w:val="none" w:sz="0" w:space="0" w:color="auto"/>
        <w:left w:val="none" w:sz="0" w:space="0" w:color="auto"/>
        <w:bottom w:val="none" w:sz="0" w:space="0" w:color="auto"/>
        <w:right w:val="none" w:sz="0" w:space="0" w:color="auto"/>
      </w:divBdr>
    </w:div>
    <w:div w:id="1578129852">
      <w:bodyDiv w:val="1"/>
      <w:marLeft w:val="0"/>
      <w:marRight w:val="0"/>
      <w:marTop w:val="0"/>
      <w:marBottom w:val="0"/>
      <w:divBdr>
        <w:top w:val="none" w:sz="0" w:space="0" w:color="auto"/>
        <w:left w:val="none" w:sz="0" w:space="0" w:color="auto"/>
        <w:bottom w:val="none" w:sz="0" w:space="0" w:color="auto"/>
        <w:right w:val="none" w:sz="0" w:space="0" w:color="auto"/>
      </w:divBdr>
    </w:div>
    <w:div w:id="1578172439">
      <w:bodyDiv w:val="1"/>
      <w:marLeft w:val="0"/>
      <w:marRight w:val="0"/>
      <w:marTop w:val="0"/>
      <w:marBottom w:val="0"/>
      <w:divBdr>
        <w:top w:val="none" w:sz="0" w:space="0" w:color="auto"/>
        <w:left w:val="none" w:sz="0" w:space="0" w:color="auto"/>
        <w:bottom w:val="none" w:sz="0" w:space="0" w:color="auto"/>
        <w:right w:val="none" w:sz="0" w:space="0" w:color="auto"/>
      </w:divBdr>
    </w:div>
    <w:div w:id="1578200209">
      <w:bodyDiv w:val="1"/>
      <w:marLeft w:val="0"/>
      <w:marRight w:val="0"/>
      <w:marTop w:val="0"/>
      <w:marBottom w:val="0"/>
      <w:divBdr>
        <w:top w:val="none" w:sz="0" w:space="0" w:color="auto"/>
        <w:left w:val="none" w:sz="0" w:space="0" w:color="auto"/>
        <w:bottom w:val="none" w:sz="0" w:space="0" w:color="auto"/>
        <w:right w:val="none" w:sz="0" w:space="0" w:color="auto"/>
      </w:divBdr>
    </w:div>
    <w:div w:id="1578511510">
      <w:bodyDiv w:val="1"/>
      <w:marLeft w:val="0"/>
      <w:marRight w:val="0"/>
      <w:marTop w:val="0"/>
      <w:marBottom w:val="0"/>
      <w:divBdr>
        <w:top w:val="none" w:sz="0" w:space="0" w:color="auto"/>
        <w:left w:val="none" w:sz="0" w:space="0" w:color="auto"/>
        <w:bottom w:val="none" w:sz="0" w:space="0" w:color="auto"/>
        <w:right w:val="none" w:sz="0" w:space="0" w:color="auto"/>
      </w:divBdr>
    </w:div>
    <w:div w:id="1578632309">
      <w:bodyDiv w:val="1"/>
      <w:marLeft w:val="0"/>
      <w:marRight w:val="0"/>
      <w:marTop w:val="0"/>
      <w:marBottom w:val="0"/>
      <w:divBdr>
        <w:top w:val="none" w:sz="0" w:space="0" w:color="auto"/>
        <w:left w:val="none" w:sz="0" w:space="0" w:color="auto"/>
        <w:bottom w:val="none" w:sz="0" w:space="0" w:color="auto"/>
        <w:right w:val="none" w:sz="0" w:space="0" w:color="auto"/>
      </w:divBdr>
    </w:div>
    <w:div w:id="1578636552">
      <w:bodyDiv w:val="1"/>
      <w:marLeft w:val="0"/>
      <w:marRight w:val="0"/>
      <w:marTop w:val="0"/>
      <w:marBottom w:val="0"/>
      <w:divBdr>
        <w:top w:val="none" w:sz="0" w:space="0" w:color="auto"/>
        <w:left w:val="none" w:sz="0" w:space="0" w:color="auto"/>
        <w:bottom w:val="none" w:sz="0" w:space="0" w:color="auto"/>
        <w:right w:val="none" w:sz="0" w:space="0" w:color="auto"/>
      </w:divBdr>
    </w:div>
    <w:div w:id="1578636690">
      <w:bodyDiv w:val="1"/>
      <w:marLeft w:val="0"/>
      <w:marRight w:val="0"/>
      <w:marTop w:val="0"/>
      <w:marBottom w:val="0"/>
      <w:divBdr>
        <w:top w:val="none" w:sz="0" w:space="0" w:color="auto"/>
        <w:left w:val="none" w:sz="0" w:space="0" w:color="auto"/>
        <w:bottom w:val="none" w:sz="0" w:space="0" w:color="auto"/>
        <w:right w:val="none" w:sz="0" w:space="0" w:color="auto"/>
      </w:divBdr>
    </w:div>
    <w:div w:id="1578828906">
      <w:bodyDiv w:val="1"/>
      <w:marLeft w:val="0"/>
      <w:marRight w:val="0"/>
      <w:marTop w:val="0"/>
      <w:marBottom w:val="0"/>
      <w:divBdr>
        <w:top w:val="none" w:sz="0" w:space="0" w:color="auto"/>
        <w:left w:val="none" w:sz="0" w:space="0" w:color="auto"/>
        <w:bottom w:val="none" w:sz="0" w:space="0" w:color="auto"/>
        <w:right w:val="none" w:sz="0" w:space="0" w:color="auto"/>
      </w:divBdr>
    </w:div>
    <w:div w:id="1578980486">
      <w:bodyDiv w:val="1"/>
      <w:marLeft w:val="0"/>
      <w:marRight w:val="0"/>
      <w:marTop w:val="0"/>
      <w:marBottom w:val="0"/>
      <w:divBdr>
        <w:top w:val="none" w:sz="0" w:space="0" w:color="auto"/>
        <w:left w:val="none" w:sz="0" w:space="0" w:color="auto"/>
        <w:bottom w:val="none" w:sz="0" w:space="0" w:color="auto"/>
        <w:right w:val="none" w:sz="0" w:space="0" w:color="auto"/>
      </w:divBdr>
    </w:div>
    <w:div w:id="1579093688">
      <w:bodyDiv w:val="1"/>
      <w:marLeft w:val="0"/>
      <w:marRight w:val="0"/>
      <w:marTop w:val="0"/>
      <w:marBottom w:val="0"/>
      <w:divBdr>
        <w:top w:val="none" w:sz="0" w:space="0" w:color="auto"/>
        <w:left w:val="none" w:sz="0" w:space="0" w:color="auto"/>
        <w:bottom w:val="none" w:sz="0" w:space="0" w:color="auto"/>
        <w:right w:val="none" w:sz="0" w:space="0" w:color="auto"/>
      </w:divBdr>
    </w:div>
    <w:div w:id="1579436022">
      <w:bodyDiv w:val="1"/>
      <w:marLeft w:val="0"/>
      <w:marRight w:val="0"/>
      <w:marTop w:val="0"/>
      <w:marBottom w:val="0"/>
      <w:divBdr>
        <w:top w:val="none" w:sz="0" w:space="0" w:color="auto"/>
        <w:left w:val="none" w:sz="0" w:space="0" w:color="auto"/>
        <w:bottom w:val="none" w:sz="0" w:space="0" w:color="auto"/>
        <w:right w:val="none" w:sz="0" w:space="0" w:color="auto"/>
      </w:divBdr>
    </w:div>
    <w:div w:id="1579552655">
      <w:bodyDiv w:val="1"/>
      <w:marLeft w:val="0"/>
      <w:marRight w:val="0"/>
      <w:marTop w:val="0"/>
      <w:marBottom w:val="0"/>
      <w:divBdr>
        <w:top w:val="none" w:sz="0" w:space="0" w:color="auto"/>
        <w:left w:val="none" w:sz="0" w:space="0" w:color="auto"/>
        <w:bottom w:val="none" w:sz="0" w:space="0" w:color="auto"/>
        <w:right w:val="none" w:sz="0" w:space="0" w:color="auto"/>
      </w:divBdr>
    </w:div>
    <w:div w:id="1579554444">
      <w:bodyDiv w:val="1"/>
      <w:marLeft w:val="0"/>
      <w:marRight w:val="0"/>
      <w:marTop w:val="0"/>
      <w:marBottom w:val="0"/>
      <w:divBdr>
        <w:top w:val="none" w:sz="0" w:space="0" w:color="auto"/>
        <w:left w:val="none" w:sz="0" w:space="0" w:color="auto"/>
        <w:bottom w:val="none" w:sz="0" w:space="0" w:color="auto"/>
        <w:right w:val="none" w:sz="0" w:space="0" w:color="auto"/>
      </w:divBdr>
    </w:div>
    <w:div w:id="1579749628">
      <w:bodyDiv w:val="1"/>
      <w:marLeft w:val="0"/>
      <w:marRight w:val="0"/>
      <w:marTop w:val="0"/>
      <w:marBottom w:val="0"/>
      <w:divBdr>
        <w:top w:val="none" w:sz="0" w:space="0" w:color="auto"/>
        <w:left w:val="none" w:sz="0" w:space="0" w:color="auto"/>
        <w:bottom w:val="none" w:sz="0" w:space="0" w:color="auto"/>
        <w:right w:val="none" w:sz="0" w:space="0" w:color="auto"/>
      </w:divBdr>
    </w:div>
    <w:div w:id="1579754121">
      <w:bodyDiv w:val="1"/>
      <w:marLeft w:val="0"/>
      <w:marRight w:val="0"/>
      <w:marTop w:val="0"/>
      <w:marBottom w:val="0"/>
      <w:divBdr>
        <w:top w:val="none" w:sz="0" w:space="0" w:color="auto"/>
        <w:left w:val="none" w:sz="0" w:space="0" w:color="auto"/>
        <w:bottom w:val="none" w:sz="0" w:space="0" w:color="auto"/>
        <w:right w:val="none" w:sz="0" w:space="0" w:color="auto"/>
      </w:divBdr>
    </w:div>
    <w:div w:id="1579830653">
      <w:bodyDiv w:val="1"/>
      <w:marLeft w:val="0"/>
      <w:marRight w:val="0"/>
      <w:marTop w:val="0"/>
      <w:marBottom w:val="0"/>
      <w:divBdr>
        <w:top w:val="none" w:sz="0" w:space="0" w:color="auto"/>
        <w:left w:val="none" w:sz="0" w:space="0" w:color="auto"/>
        <w:bottom w:val="none" w:sz="0" w:space="0" w:color="auto"/>
        <w:right w:val="none" w:sz="0" w:space="0" w:color="auto"/>
      </w:divBdr>
    </w:div>
    <w:div w:id="1579944045">
      <w:bodyDiv w:val="1"/>
      <w:marLeft w:val="0"/>
      <w:marRight w:val="0"/>
      <w:marTop w:val="0"/>
      <w:marBottom w:val="0"/>
      <w:divBdr>
        <w:top w:val="none" w:sz="0" w:space="0" w:color="auto"/>
        <w:left w:val="none" w:sz="0" w:space="0" w:color="auto"/>
        <w:bottom w:val="none" w:sz="0" w:space="0" w:color="auto"/>
        <w:right w:val="none" w:sz="0" w:space="0" w:color="auto"/>
      </w:divBdr>
    </w:div>
    <w:div w:id="1580098543">
      <w:bodyDiv w:val="1"/>
      <w:marLeft w:val="0"/>
      <w:marRight w:val="0"/>
      <w:marTop w:val="0"/>
      <w:marBottom w:val="0"/>
      <w:divBdr>
        <w:top w:val="none" w:sz="0" w:space="0" w:color="auto"/>
        <w:left w:val="none" w:sz="0" w:space="0" w:color="auto"/>
        <w:bottom w:val="none" w:sz="0" w:space="0" w:color="auto"/>
        <w:right w:val="none" w:sz="0" w:space="0" w:color="auto"/>
      </w:divBdr>
    </w:div>
    <w:div w:id="1580335442">
      <w:bodyDiv w:val="1"/>
      <w:marLeft w:val="0"/>
      <w:marRight w:val="0"/>
      <w:marTop w:val="0"/>
      <w:marBottom w:val="0"/>
      <w:divBdr>
        <w:top w:val="none" w:sz="0" w:space="0" w:color="auto"/>
        <w:left w:val="none" w:sz="0" w:space="0" w:color="auto"/>
        <w:bottom w:val="none" w:sz="0" w:space="0" w:color="auto"/>
        <w:right w:val="none" w:sz="0" w:space="0" w:color="auto"/>
      </w:divBdr>
    </w:div>
    <w:div w:id="1580556722">
      <w:bodyDiv w:val="1"/>
      <w:marLeft w:val="0"/>
      <w:marRight w:val="0"/>
      <w:marTop w:val="0"/>
      <w:marBottom w:val="0"/>
      <w:divBdr>
        <w:top w:val="none" w:sz="0" w:space="0" w:color="auto"/>
        <w:left w:val="none" w:sz="0" w:space="0" w:color="auto"/>
        <w:bottom w:val="none" w:sz="0" w:space="0" w:color="auto"/>
        <w:right w:val="none" w:sz="0" w:space="0" w:color="auto"/>
      </w:divBdr>
    </w:div>
    <w:div w:id="1580627624">
      <w:bodyDiv w:val="1"/>
      <w:marLeft w:val="0"/>
      <w:marRight w:val="0"/>
      <w:marTop w:val="0"/>
      <w:marBottom w:val="0"/>
      <w:divBdr>
        <w:top w:val="none" w:sz="0" w:space="0" w:color="auto"/>
        <w:left w:val="none" w:sz="0" w:space="0" w:color="auto"/>
        <w:bottom w:val="none" w:sz="0" w:space="0" w:color="auto"/>
        <w:right w:val="none" w:sz="0" w:space="0" w:color="auto"/>
      </w:divBdr>
    </w:div>
    <w:div w:id="1580864895">
      <w:bodyDiv w:val="1"/>
      <w:marLeft w:val="0"/>
      <w:marRight w:val="0"/>
      <w:marTop w:val="0"/>
      <w:marBottom w:val="0"/>
      <w:divBdr>
        <w:top w:val="none" w:sz="0" w:space="0" w:color="auto"/>
        <w:left w:val="none" w:sz="0" w:space="0" w:color="auto"/>
        <w:bottom w:val="none" w:sz="0" w:space="0" w:color="auto"/>
        <w:right w:val="none" w:sz="0" w:space="0" w:color="auto"/>
      </w:divBdr>
    </w:div>
    <w:div w:id="1580869979">
      <w:bodyDiv w:val="1"/>
      <w:marLeft w:val="0"/>
      <w:marRight w:val="0"/>
      <w:marTop w:val="0"/>
      <w:marBottom w:val="0"/>
      <w:divBdr>
        <w:top w:val="none" w:sz="0" w:space="0" w:color="auto"/>
        <w:left w:val="none" w:sz="0" w:space="0" w:color="auto"/>
        <w:bottom w:val="none" w:sz="0" w:space="0" w:color="auto"/>
        <w:right w:val="none" w:sz="0" w:space="0" w:color="auto"/>
      </w:divBdr>
    </w:div>
    <w:div w:id="1580944092">
      <w:bodyDiv w:val="1"/>
      <w:marLeft w:val="0"/>
      <w:marRight w:val="0"/>
      <w:marTop w:val="0"/>
      <w:marBottom w:val="0"/>
      <w:divBdr>
        <w:top w:val="none" w:sz="0" w:space="0" w:color="auto"/>
        <w:left w:val="none" w:sz="0" w:space="0" w:color="auto"/>
        <w:bottom w:val="none" w:sz="0" w:space="0" w:color="auto"/>
        <w:right w:val="none" w:sz="0" w:space="0" w:color="auto"/>
      </w:divBdr>
    </w:div>
    <w:div w:id="1581209398">
      <w:bodyDiv w:val="1"/>
      <w:marLeft w:val="0"/>
      <w:marRight w:val="0"/>
      <w:marTop w:val="0"/>
      <w:marBottom w:val="0"/>
      <w:divBdr>
        <w:top w:val="none" w:sz="0" w:space="0" w:color="auto"/>
        <w:left w:val="none" w:sz="0" w:space="0" w:color="auto"/>
        <w:bottom w:val="none" w:sz="0" w:space="0" w:color="auto"/>
        <w:right w:val="none" w:sz="0" w:space="0" w:color="auto"/>
      </w:divBdr>
    </w:div>
    <w:div w:id="1581252740">
      <w:bodyDiv w:val="1"/>
      <w:marLeft w:val="0"/>
      <w:marRight w:val="0"/>
      <w:marTop w:val="0"/>
      <w:marBottom w:val="0"/>
      <w:divBdr>
        <w:top w:val="none" w:sz="0" w:space="0" w:color="auto"/>
        <w:left w:val="none" w:sz="0" w:space="0" w:color="auto"/>
        <w:bottom w:val="none" w:sz="0" w:space="0" w:color="auto"/>
        <w:right w:val="none" w:sz="0" w:space="0" w:color="auto"/>
      </w:divBdr>
    </w:div>
    <w:div w:id="1581675029">
      <w:bodyDiv w:val="1"/>
      <w:marLeft w:val="0"/>
      <w:marRight w:val="0"/>
      <w:marTop w:val="0"/>
      <w:marBottom w:val="0"/>
      <w:divBdr>
        <w:top w:val="none" w:sz="0" w:space="0" w:color="auto"/>
        <w:left w:val="none" w:sz="0" w:space="0" w:color="auto"/>
        <w:bottom w:val="none" w:sz="0" w:space="0" w:color="auto"/>
        <w:right w:val="none" w:sz="0" w:space="0" w:color="auto"/>
      </w:divBdr>
    </w:div>
    <w:div w:id="1581716679">
      <w:bodyDiv w:val="1"/>
      <w:marLeft w:val="0"/>
      <w:marRight w:val="0"/>
      <w:marTop w:val="0"/>
      <w:marBottom w:val="0"/>
      <w:divBdr>
        <w:top w:val="none" w:sz="0" w:space="0" w:color="auto"/>
        <w:left w:val="none" w:sz="0" w:space="0" w:color="auto"/>
        <w:bottom w:val="none" w:sz="0" w:space="0" w:color="auto"/>
        <w:right w:val="none" w:sz="0" w:space="0" w:color="auto"/>
      </w:divBdr>
    </w:div>
    <w:div w:id="1581718929">
      <w:bodyDiv w:val="1"/>
      <w:marLeft w:val="0"/>
      <w:marRight w:val="0"/>
      <w:marTop w:val="0"/>
      <w:marBottom w:val="0"/>
      <w:divBdr>
        <w:top w:val="none" w:sz="0" w:space="0" w:color="auto"/>
        <w:left w:val="none" w:sz="0" w:space="0" w:color="auto"/>
        <w:bottom w:val="none" w:sz="0" w:space="0" w:color="auto"/>
        <w:right w:val="none" w:sz="0" w:space="0" w:color="auto"/>
      </w:divBdr>
    </w:div>
    <w:div w:id="1581867001">
      <w:bodyDiv w:val="1"/>
      <w:marLeft w:val="0"/>
      <w:marRight w:val="0"/>
      <w:marTop w:val="0"/>
      <w:marBottom w:val="0"/>
      <w:divBdr>
        <w:top w:val="none" w:sz="0" w:space="0" w:color="auto"/>
        <w:left w:val="none" w:sz="0" w:space="0" w:color="auto"/>
        <w:bottom w:val="none" w:sz="0" w:space="0" w:color="auto"/>
        <w:right w:val="none" w:sz="0" w:space="0" w:color="auto"/>
      </w:divBdr>
    </w:div>
    <w:div w:id="1581868802">
      <w:bodyDiv w:val="1"/>
      <w:marLeft w:val="0"/>
      <w:marRight w:val="0"/>
      <w:marTop w:val="0"/>
      <w:marBottom w:val="0"/>
      <w:divBdr>
        <w:top w:val="none" w:sz="0" w:space="0" w:color="auto"/>
        <w:left w:val="none" w:sz="0" w:space="0" w:color="auto"/>
        <w:bottom w:val="none" w:sz="0" w:space="0" w:color="auto"/>
        <w:right w:val="none" w:sz="0" w:space="0" w:color="auto"/>
      </w:divBdr>
    </w:div>
    <w:div w:id="1581912510">
      <w:bodyDiv w:val="1"/>
      <w:marLeft w:val="0"/>
      <w:marRight w:val="0"/>
      <w:marTop w:val="0"/>
      <w:marBottom w:val="0"/>
      <w:divBdr>
        <w:top w:val="none" w:sz="0" w:space="0" w:color="auto"/>
        <w:left w:val="none" w:sz="0" w:space="0" w:color="auto"/>
        <w:bottom w:val="none" w:sz="0" w:space="0" w:color="auto"/>
        <w:right w:val="none" w:sz="0" w:space="0" w:color="auto"/>
      </w:divBdr>
    </w:div>
    <w:div w:id="1582175376">
      <w:bodyDiv w:val="1"/>
      <w:marLeft w:val="0"/>
      <w:marRight w:val="0"/>
      <w:marTop w:val="0"/>
      <w:marBottom w:val="0"/>
      <w:divBdr>
        <w:top w:val="none" w:sz="0" w:space="0" w:color="auto"/>
        <w:left w:val="none" w:sz="0" w:space="0" w:color="auto"/>
        <w:bottom w:val="none" w:sz="0" w:space="0" w:color="auto"/>
        <w:right w:val="none" w:sz="0" w:space="0" w:color="auto"/>
      </w:divBdr>
    </w:div>
    <w:div w:id="1582256114">
      <w:bodyDiv w:val="1"/>
      <w:marLeft w:val="0"/>
      <w:marRight w:val="0"/>
      <w:marTop w:val="0"/>
      <w:marBottom w:val="0"/>
      <w:divBdr>
        <w:top w:val="none" w:sz="0" w:space="0" w:color="auto"/>
        <w:left w:val="none" w:sz="0" w:space="0" w:color="auto"/>
        <w:bottom w:val="none" w:sz="0" w:space="0" w:color="auto"/>
        <w:right w:val="none" w:sz="0" w:space="0" w:color="auto"/>
      </w:divBdr>
    </w:div>
    <w:div w:id="1582370138">
      <w:bodyDiv w:val="1"/>
      <w:marLeft w:val="0"/>
      <w:marRight w:val="0"/>
      <w:marTop w:val="0"/>
      <w:marBottom w:val="0"/>
      <w:divBdr>
        <w:top w:val="none" w:sz="0" w:space="0" w:color="auto"/>
        <w:left w:val="none" w:sz="0" w:space="0" w:color="auto"/>
        <w:bottom w:val="none" w:sz="0" w:space="0" w:color="auto"/>
        <w:right w:val="none" w:sz="0" w:space="0" w:color="auto"/>
      </w:divBdr>
    </w:div>
    <w:div w:id="1582374575">
      <w:bodyDiv w:val="1"/>
      <w:marLeft w:val="0"/>
      <w:marRight w:val="0"/>
      <w:marTop w:val="0"/>
      <w:marBottom w:val="0"/>
      <w:divBdr>
        <w:top w:val="none" w:sz="0" w:space="0" w:color="auto"/>
        <w:left w:val="none" w:sz="0" w:space="0" w:color="auto"/>
        <w:bottom w:val="none" w:sz="0" w:space="0" w:color="auto"/>
        <w:right w:val="none" w:sz="0" w:space="0" w:color="auto"/>
      </w:divBdr>
    </w:div>
    <w:div w:id="1582443836">
      <w:bodyDiv w:val="1"/>
      <w:marLeft w:val="0"/>
      <w:marRight w:val="0"/>
      <w:marTop w:val="0"/>
      <w:marBottom w:val="0"/>
      <w:divBdr>
        <w:top w:val="none" w:sz="0" w:space="0" w:color="auto"/>
        <w:left w:val="none" w:sz="0" w:space="0" w:color="auto"/>
        <w:bottom w:val="none" w:sz="0" w:space="0" w:color="auto"/>
        <w:right w:val="none" w:sz="0" w:space="0" w:color="auto"/>
      </w:divBdr>
    </w:div>
    <w:div w:id="1582448407">
      <w:bodyDiv w:val="1"/>
      <w:marLeft w:val="0"/>
      <w:marRight w:val="0"/>
      <w:marTop w:val="0"/>
      <w:marBottom w:val="0"/>
      <w:divBdr>
        <w:top w:val="none" w:sz="0" w:space="0" w:color="auto"/>
        <w:left w:val="none" w:sz="0" w:space="0" w:color="auto"/>
        <w:bottom w:val="none" w:sz="0" w:space="0" w:color="auto"/>
        <w:right w:val="none" w:sz="0" w:space="0" w:color="auto"/>
      </w:divBdr>
    </w:div>
    <w:div w:id="1582644865">
      <w:bodyDiv w:val="1"/>
      <w:marLeft w:val="0"/>
      <w:marRight w:val="0"/>
      <w:marTop w:val="0"/>
      <w:marBottom w:val="0"/>
      <w:divBdr>
        <w:top w:val="none" w:sz="0" w:space="0" w:color="auto"/>
        <w:left w:val="none" w:sz="0" w:space="0" w:color="auto"/>
        <w:bottom w:val="none" w:sz="0" w:space="0" w:color="auto"/>
        <w:right w:val="none" w:sz="0" w:space="0" w:color="auto"/>
      </w:divBdr>
    </w:div>
    <w:div w:id="1582713297">
      <w:bodyDiv w:val="1"/>
      <w:marLeft w:val="0"/>
      <w:marRight w:val="0"/>
      <w:marTop w:val="0"/>
      <w:marBottom w:val="0"/>
      <w:divBdr>
        <w:top w:val="none" w:sz="0" w:space="0" w:color="auto"/>
        <w:left w:val="none" w:sz="0" w:space="0" w:color="auto"/>
        <w:bottom w:val="none" w:sz="0" w:space="0" w:color="auto"/>
        <w:right w:val="none" w:sz="0" w:space="0" w:color="auto"/>
      </w:divBdr>
    </w:div>
    <w:div w:id="1582719217">
      <w:bodyDiv w:val="1"/>
      <w:marLeft w:val="0"/>
      <w:marRight w:val="0"/>
      <w:marTop w:val="0"/>
      <w:marBottom w:val="0"/>
      <w:divBdr>
        <w:top w:val="none" w:sz="0" w:space="0" w:color="auto"/>
        <w:left w:val="none" w:sz="0" w:space="0" w:color="auto"/>
        <w:bottom w:val="none" w:sz="0" w:space="0" w:color="auto"/>
        <w:right w:val="none" w:sz="0" w:space="0" w:color="auto"/>
      </w:divBdr>
    </w:div>
    <w:div w:id="1582830804">
      <w:bodyDiv w:val="1"/>
      <w:marLeft w:val="0"/>
      <w:marRight w:val="0"/>
      <w:marTop w:val="0"/>
      <w:marBottom w:val="0"/>
      <w:divBdr>
        <w:top w:val="none" w:sz="0" w:space="0" w:color="auto"/>
        <w:left w:val="none" w:sz="0" w:space="0" w:color="auto"/>
        <w:bottom w:val="none" w:sz="0" w:space="0" w:color="auto"/>
        <w:right w:val="none" w:sz="0" w:space="0" w:color="auto"/>
      </w:divBdr>
    </w:div>
    <w:div w:id="1583025498">
      <w:bodyDiv w:val="1"/>
      <w:marLeft w:val="0"/>
      <w:marRight w:val="0"/>
      <w:marTop w:val="0"/>
      <w:marBottom w:val="0"/>
      <w:divBdr>
        <w:top w:val="none" w:sz="0" w:space="0" w:color="auto"/>
        <w:left w:val="none" w:sz="0" w:space="0" w:color="auto"/>
        <w:bottom w:val="none" w:sz="0" w:space="0" w:color="auto"/>
        <w:right w:val="none" w:sz="0" w:space="0" w:color="auto"/>
      </w:divBdr>
    </w:div>
    <w:div w:id="1583031571">
      <w:bodyDiv w:val="1"/>
      <w:marLeft w:val="0"/>
      <w:marRight w:val="0"/>
      <w:marTop w:val="0"/>
      <w:marBottom w:val="0"/>
      <w:divBdr>
        <w:top w:val="none" w:sz="0" w:space="0" w:color="auto"/>
        <w:left w:val="none" w:sz="0" w:space="0" w:color="auto"/>
        <w:bottom w:val="none" w:sz="0" w:space="0" w:color="auto"/>
        <w:right w:val="none" w:sz="0" w:space="0" w:color="auto"/>
      </w:divBdr>
    </w:div>
    <w:div w:id="1583178980">
      <w:bodyDiv w:val="1"/>
      <w:marLeft w:val="0"/>
      <w:marRight w:val="0"/>
      <w:marTop w:val="0"/>
      <w:marBottom w:val="0"/>
      <w:divBdr>
        <w:top w:val="none" w:sz="0" w:space="0" w:color="auto"/>
        <w:left w:val="none" w:sz="0" w:space="0" w:color="auto"/>
        <w:bottom w:val="none" w:sz="0" w:space="0" w:color="auto"/>
        <w:right w:val="none" w:sz="0" w:space="0" w:color="auto"/>
      </w:divBdr>
    </w:div>
    <w:div w:id="1583224945">
      <w:bodyDiv w:val="1"/>
      <w:marLeft w:val="0"/>
      <w:marRight w:val="0"/>
      <w:marTop w:val="0"/>
      <w:marBottom w:val="0"/>
      <w:divBdr>
        <w:top w:val="none" w:sz="0" w:space="0" w:color="auto"/>
        <w:left w:val="none" w:sz="0" w:space="0" w:color="auto"/>
        <w:bottom w:val="none" w:sz="0" w:space="0" w:color="auto"/>
        <w:right w:val="none" w:sz="0" w:space="0" w:color="auto"/>
      </w:divBdr>
    </w:div>
    <w:div w:id="1583563498">
      <w:bodyDiv w:val="1"/>
      <w:marLeft w:val="0"/>
      <w:marRight w:val="0"/>
      <w:marTop w:val="0"/>
      <w:marBottom w:val="0"/>
      <w:divBdr>
        <w:top w:val="none" w:sz="0" w:space="0" w:color="auto"/>
        <w:left w:val="none" w:sz="0" w:space="0" w:color="auto"/>
        <w:bottom w:val="none" w:sz="0" w:space="0" w:color="auto"/>
        <w:right w:val="none" w:sz="0" w:space="0" w:color="auto"/>
      </w:divBdr>
    </w:div>
    <w:div w:id="1583568504">
      <w:bodyDiv w:val="1"/>
      <w:marLeft w:val="0"/>
      <w:marRight w:val="0"/>
      <w:marTop w:val="0"/>
      <w:marBottom w:val="0"/>
      <w:divBdr>
        <w:top w:val="none" w:sz="0" w:space="0" w:color="auto"/>
        <w:left w:val="none" w:sz="0" w:space="0" w:color="auto"/>
        <w:bottom w:val="none" w:sz="0" w:space="0" w:color="auto"/>
        <w:right w:val="none" w:sz="0" w:space="0" w:color="auto"/>
      </w:divBdr>
    </w:div>
    <w:div w:id="1583678123">
      <w:bodyDiv w:val="1"/>
      <w:marLeft w:val="0"/>
      <w:marRight w:val="0"/>
      <w:marTop w:val="0"/>
      <w:marBottom w:val="0"/>
      <w:divBdr>
        <w:top w:val="none" w:sz="0" w:space="0" w:color="auto"/>
        <w:left w:val="none" w:sz="0" w:space="0" w:color="auto"/>
        <w:bottom w:val="none" w:sz="0" w:space="0" w:color="auto"/>
        <w:right w:val="none" w:sz="0" w:space="0" w:color="auto"/>
      </w:divBdr>
    </w:div>
    <w:div w:id="1583875657">
      <w:bodyDiv w:val="1"/>
      <w:marLeft w:val="0"/>
      <w:marRight w:val="0"/>
      <w:marTop w:val="0"/>
      <w:marBottom w:val="0"/>
      <w:divBdr>
        <w:top w:val="none" w:sz="0" w:space="0" w:color="auto"/>
        <w:left w:val="none" w:sz="0" w:space="0" w:color="auto"/>
        <w:bottom w:val="none" w:sz="0" w:space="0" w:color="auto"/>
        <w:right w:val="none" w:sz="0" w:space="0" w:color="auto"/>
      </w:divBdr>
    </w:div>
    <w:div w:id="1584030054">
      <w:bodyDiv w:val="1"/>
      <w:marLeft w:val="0"/>
      <w:marRight w:val="0"/>
      <w:marTop w:val="0"/>
      <w:marBottom w:val="0"/>
      <w:divBdr>
        <w:top w:val="none" w:sz="0" w:space="0" w:color="auto"/>
        <w:left w:val="none" w:sz="0" w:space="0" w:color="auto"/>
        <w:bottom w:val="none" w:sz="0" w:space="0" w:color="auto"/>
        <w:right w:val="none" w:sz="0" w:space="0" w:color="auto"/>
      </w:divBdr>
    </w:div>
    <w:div w:id="1584072587">
      <w:bodyDiv w:val="1"/>
      <w:marLeft w:val="0"/>
      <w:marRight w:val="0"/>
      <w:marTop w:val="0"/>
      <w:marBottom w:val="0"/>
      <w:divBdr>
        <w:top w:val="none" w:sz="0" w:space="0" w:color="auto"/>
        <w:left w:val="none" w:sz="0" w:space="0" w:color="auto"/>
        <w:bottom w:val="none" w:sz="0" w:space="0" w:color="auto"/>
        <w:right w:val="none" w:sz="0" w:space="0" w:color="auto"/>
      </w:divBdr>
    </w:div>
    <w:div w:id="1584098028">
      <w:bodyDiv w:val="1"/>
      <w:marLeft w:val="0"/>
      <w:marRight w:val="0"/>
      <w:marTop w:val="0"/>
      <w:marBottom w:val="0"/>
      <w:divBdr>
        <w:top w:val="none" w:sz="0" w:space="0" w:color="auto"/>
        <w:left w:val="none" w:sz="0" w:space="0" w:color="auto"/>
        <w:bottom w:val="none" w:sz="0" w:space="0" w:color="auto"/>
        <w:right w:val="none" w:sz="0" w:space="0" w:color="auto"/>
      </w:divBdr>
    </w:div>
    <w:div w:id="1584224199">
      <w:bodyDiv w:val="1"/>
      <w:marLeft w:val="0"/>
      <w:marRight w:val="0"/>
      <w:marTop w:val="0"/>
      <w:marBottom w:val="0"/>
      <w:divBdr>
        <w:top w:val="none" w:sz="0" w:space="0" w:color="auto"/>
        <w:left w:val="none" w:sz="0" w:space="0" w:color="auto"/>
        <w:bottom w:val="none" w:sz="0" w:space="0" w:color="auto"/>
        <w:right w:val="none" w:sz="0" w:space="0" w:color="auto"/>
      </w:divBdr>
    </w:div>
    <w:div w:id="1584291423">
      <w:bodyDiv w:val="1"/>
      <w:marLeft w:val="0"/>
      <w:marRight w:val="0"/>
      <w:marTop w:val="0"/>
      <w:marBottom w:val="0"/>
      <w:divBdr>
        <w:top w:val="none" w:sz="0" w:space="0" w:color="auto"/>
        <w:left w:val="none" w:sz="0" w:space="0" w:color="auto"/>
        <w:bottom w:val="none" w:sz="0" w:space="0" w:color="auto"/>
        <w:right w:val="none" w:sz="0" w:space="0" w:color="auto"/>
      </w:divBdr>
    </w:div>
    <w:div w:id="1584335482">
      <w:bodyDiv w:val="1"/>
      <w:marLeft w:val="0"/>
      <w:marRight w:val="0"/>
      <w:marTop w:val="0"/>
      <w:marBottom w:val="0"/>
      <w:divBdr>
        <w:top w:val="none" w:sz="0" w:space="0" w:color="auto"/>
        <w:left w:val="none" w:sz="0" w:space="0" w:color="auto"/>
        <w:bottom w:val="none" w:sz="0" w:space="0" w:color="auto"/>
        <w:right w:val="none" w:sz="0" w:space="0" w:color="auto"/>
      </w:divBdr>
    </w:div>
    <w:div w:id="1584797553">
      <w:bodyDiv w:val="1"/>
      <w:marLeft w:val="0"/>
      <w:marRight w:val="0"/>
      <w:marTop w:val="0"/>
      <w:marBottom w:val="0"/>
      <w:divBdr>
        <w:top w:val="none" w:sz="0" w:space="0" w:color="auto"/>
        <w:left w:val="none" w:sz="0" w:space="0" w:color="auto"/>
        <w:bottom w:val="none" w:sz="0" w:space="0" w:color="auto"/>
        <w:right w:val="none" w:sz="0" w:space="0" w:color="auto"/>
      </w:divBdr>
    </w:div>
    <w:div w:id="1584870471">
      <w:bodyDiv w:val="1"/>
      <w:marLeft w:val="0"/>
      <w:marRight w:val="0"/>
      <w:marTop w:val="0"/>
      <w:marBottom w:val="0"/>
      <w:divBdr>
        <w:top w:val="none" w:sz="0" w:space="0" w:color="auto"/>
        <w:left w:val="none" w:sz="0" w:space="0" w:color="auto"/>
        <w:bottom w:val="none" w:sz="0" w:space="0" w:color="auto"/>
        <w:right w:val="none" w:sz="0" w:space="0" w:color="auto"/>
      </w:divBdr>
    </w:div>
    <w:div w:id="1584990454">
      <w:bodyDiv w:val="1"/>
      <w:marLeft w:val="0"/>
      <w:marRight w:val="0"/>
      <w:marTop w:val="0"/>
      <w:marBottom w:val="0"/>
      <w:divBdr>
        <w:top w:val="none" w:sz="0" w:space="0" w:color="auto"/>
        <w:left w:val="none" w:sz="0" w:space="0" w:color="auto"/>
        <w:bottom w:val="none" w:sz="0" w:space="0" w:color="auto"/>
        <w:right w:val="none" w:sz="0" w:space="0" w:color="auto"/>
      </w:divBdr>
    </w:div>
    <w:div w:id="1585070818">
      <w:bodyDiv w:val="1"/>
      <w:marLeft w:val="0"/>
      <w:marRight w:val="0"/>
      <w:marTop w:val="0"/>
      <w:marBottom w:val="0"/>
      <w:divBdr>
        <w:top w:val="none" w:sz="0" w:space="0" w:color="auto"/>
        <w:left w:val="none" w:sz="0" w:space="0" w:color="auto"/>
        <w:bottom w:val="none" w:sz="0" w:space="0" w:color="auto"/>
        <w:right w:val="none" w:sz="0" w:space="0" w:color="auto"/>
      </w:divBdr>
    </w:div>
    <w:div w:id="1585186714">
      <w:bodyDiv w:val="1"/>
      <w:marLeft w:val="0"/>
      <w:marRight w:val="0"/>
      <w:marTop w:val="0"/>
      <w:marBottom w:val="0"/>
      <w:divBdr>
        <w:top w:val="none" w:sz="0" w:space="0" w:color="auto"/>
        <w:left w:val="none" w:sz="0" w:space="0" w:color="auto"/>
        <w:bottom w:val="none" w:sz="0" w:space="0" w:color="auto"/>
        <w:right w:val="none" w:sz="0" w:space="0" w:color="auto"/>
      </w:divBdr>
    </w:div>
    <w:div w:id="1585188543">
      <w:bodyDiv w:val="1"/>
      <w:marLeft w:val="0"/>
      <w:marRight w:val="0"/>
      <w:marTop w:val="0"/>
      <w:marBottom w:val="0"/>
      <w:divBdr>
        <w:top w:val="none" w:sz="0" w:space="0" w:color="auto"/>
        <w:left w:val="none" w:sz="0" w:space="0" w:color="auto"/>
        <w:bottom w:val="none" w:sz="0" w:space="0" w:color="auto"/>
        <w:right w:val="none" w:sz="0" w:space="0" w:color="auto"/>
      </w:divBdr>
    </w:div>
    <w:div w:id="1585452978">
      <w:bodyDiv w:val="1"/>
      <w:marLeft w:val="0"/>
      <w:marRight w:val="0"/>
      <w:marTop w:val="0"/>
      <w:marBottom w:val="0"/>
      <w:divBdr>
        <w:top w:val="none" w:sz="0" w:space="0" w:color="auto"/>
        <w:left w:val="none" w:sz="0" w:space="0" w:color="auto"/>
        <w:bottom w:val="none" w:sz="0" w:space="0" w:color="auto"/>
        <w:right w:val="none" w:sz="0" w:space="0" w:color="auto"/>
      </w:divBdr>
    </w:div>
    <w:div w:id="1585648629">
      <w:bodyDiv w:val="1"/>
      <w:marLeft w:val="0"/>
      <w:marRight w:val="0"/>
      <w:marTop w:val="0"/>
      <w:marBottom w:val="0"/>
      <w:divBdr>
        <w:top w:val="none" w:sz="0" w:space="0" w:color="auto"/>
        <w:left w:val="none" w:sz="0" w:space="0" w:color="auto"/>
        <w:bottom w:val="none" w:sz="0" w:space="0" w:color="auto"/>
        <w:right w:val="none" w:sz="0" w:space="0" w:color="auto"/>
      </w:divBdr>
    </w:div>
    <w:div w:id="1585803711">
      <w:bodyDiv w:val="1"/>
      <w:marLeft w:val="0"/>
      <w:marRight w:val="0"/>
      <w:marTop w:val="0"/>
      <w:marBottom w:val="0"/>
      <w:divBdr>
        <w:top w:val="none" w:sz="0" w:space="0" w:color="auto"/>
        <w:left w:val="none" w:sz="0" w:space="0" w:color="auto"/>
        <w:bottom w:val="none" w:sz="0" w:space="0" w:color="auto"/>
        <w:right w:val="none" w:sz="0" w:space="0" w:color="auto"/>
      </w:divBdr>
    </w:div>
    <w:div w:id="1585844232">
      <w:bodyDiv w:val="1"/>
      <w:marLeft w:val="0"/>
      <w:marRight w:val="0"/>
      <w:marTop w:val="0"/>
      <w:marBottom w:val="0"/>
      <w:divBdr>
        <w:top w:val="none" w:sz="0" w:space="0" w:color="auto"/>
        <w:left w:val="none" w:sz="0" w:space="0" w:color="auto"/>
        <w:bottom w:val="none" w:sz="0" w:space="0" w:color="auto"/>
        <w:right w:val="none" w:sz="0" w:space="0" w:color="auto"/>
      </w:divBdr>
    </w:div>
    <w:div w:id="1586066257">
      <w:bodyDiv w:val="1"/>
      <w:marLeft w:val="0"/>
      <w:marRight w:val="0"/>
      <w:marTop w:val="0"/>
      <w:marBottom w:val="0"/>
      <w:divBdr>
        <w:top w:val="none" w:sz="0" w:space="0" w:color="auto"/>
        <w:left w:val="none" w:sz="0" w:space="0" w:color="auto"/>
        <w:bottom w:val="none" w:sz="0" w:space="0" w:color="auto"/>
        <w:right w:val="none" w:sz="0" w:space="0" w:color="auto"/>
      </w:divBdr>
    </w:div>
    <w:div w:id="1586303646">
      <w:bodyDiv w:val="1"/>
      <w:marLeft w:val="0"/>
      <w:marRight w:val="0"/>
      <w:marTop w:val="0"/>
      <w:marBottom w:val="0"/>
      <w:divBdr>
        <w:top w:val="none" w:sz="0" w:space="0" w:color="auto"/>
        <w:left w:val="none" w:sz="0" w:space="0" w:color="auto"/>
        <w:bottom w:val="none" w:sz="0" w:space="0" w:color="auto"/>
        <w:right w:val="none" w:sz="0" w:space="0" w:color="auto"/>
      </w:divBdr>
    </w:div>
    <w:div w:id="1586306241">
      <w:bodyDiv w:val="1"/>
      <w:marLeft w:val="0"/>
      <w:marRight w:val="0"/>
      <w:marTop w:val="0"/>
      <w:marBottom w:val="0"/>
      <w:divBdr>
        <w:top w:val="none" w:sz="0" w:space="0" w:color="auto"/>
        <w:left w:val="none" w:sz="0" w:space="0" w:color="auto"/>
        <w:bottom w:val="none" w:sz="0" w:space="0" w:color="auto"/>
        <w:right w:val="none" w:sz="0" w:space="0" w:color="auto"/>
      </w:divBdr>
    </w:div>
    <w:div w:id="1586307533">
      <w:bodyDiv w:val="1"/>
      <w:marLeft w:val="0"/>
      <w:marRight w:val="0"/>
      <w:marTop w:val="0"/>
      <w:marBottom w:val="0"/>
      <w:divBdr>
        <w:top w:val="none" w:sz="0" w:space="0" w:color="auto"/>
        <w:left w:val="none" w:sz="0" w:space="0" w:color="auto"/>
        <w:bottom w:val="none" w:sz="0" w:space="0" w:color="auto"/>
        <w:right w:val="none" w:sz="0" w:space="0" w:color="auto"/>
      </w:divBdr>
    </w:div>
    <w:div w:id="1586451444">
      <w:bodyDiv w:val="1"/>
      <w:marLeft w:val="0"/>
      <w:marRight w:val="0"/>
      <w:marTop w:val="0"/>
      <w:marBottom w:val="0"/>
      <w:divBdr>
        <w:top w:val="none" w:sz="0" w:space="0" w:color="auto"/>
        <w:left w:val="none" w:sz="0" w:space="0" w:color="auto"/>
        <w:bottom w:val="none" w:sz="0" w:space="0" w:color="auto"/>
        <w:right w:val="none" w:sz="0" w:space="0" w:color="auto"/>
      </w:divBdr>
    </w:div>
    <w:div w:id="1586499963">
      <w:bodyDiv w:val="1"/>
      <w:marLeft w:val="0"/>
      <w:marRight w:val="0"/>
      <w:marTop w:val="0"/>
      <w:marBottom w:val="0"/>
      <w:divBdr>
        <w:top w:val="none" w:sz="0" w:space="0" w:color="auto"/>
        <w:left w:val="none" w:sz="0" w:space="0" w:color="auto"/>
        <w:bottom w:val="none" w:sz="0" w:space="0" w:color="auto"/>
        <w:right w:val="none" w:sz="0" w:space="0" w:color="auto"/>
      </w:divBdr>
    </w:div>
    <w:div w:id="1586569967">
      <w:bodyDiv w:val="1"/>
      <w:marLeft w:val="0"/>
      <w:marRight w:val="0"/>
      <w:marTop w:val="0"/>
      <w:marBottom w:val="0"/>
      <w:divBdr>
        <w:top w:val="none" w:sz="0" w:space="0" w:color="auto"/>
        <w:left w:val="none" w:sz="0" w:space="0" w:color="auto"/>
        <w:bottom w:val="none" w:sz="0" w:space="0" w:color="auto"/>
        <w:right w:val="none" w:sz="0" w:space="0" w:color="auto"/>
      </w:divBdr>
    </w:div>
    <w:div w:id="1586574065">
      <w:bodyDiv w:val="1"/>
      <w:marLeft w:val="0"/>
      <w:marRight w:val="0"/>
      <w:marTop w:val="0"/>
      <w:marBottom w:val="0"/>
      <w:divBdr>
        <w:top w:val="none" w:sz="0" w:space="0" w:color="auto"/>
        <w:left w:val="none" w:sz="0" w:space="0" w:color="auto"/>
        <w:bottom w:val="none" w:sz="0" w:space="0" w:color="auto"/>
        <w:right w:val="none" w:sz="0" w:space="0" w:color="auto"/>
      </w:divBdr>
    </w:div>
    <w:div w:id="1586645586">
      <w:bodyDiv w:val="1"/>
      <w:marLeft w:val="0"/>
      <w:marRight w:val="0"/>
      <w:marTop w:val="0"/>
      <w:marBottom w:val="0"/>
      <w:divBdr>
        <w:top w:val="none" w:sz="0" w:space="0" w:color="auto"/>
        <w:left w:val="none" w:sz="0" w:space="0" w:color="auto"/>
        <w:bottom w:val="none" w:sz="0" w:space="0" w:color="auto"/>
        <w:right w:val="none" w:sz="0" w:space="0" w:color="auto"/>
      </w:divBdr>
    </w:div>
    <w:div w:id="1586647869">
      <w:bodyDiv w:val="1"/>
      <w:marLeft w:val="0"/>
      <w:marRight w:val="0"/>
      <w:marTop w:val="0"/>
      <w:marBottom w:val="0"/>
      <w:divBdr>
        <w:top w:val="none" w:sz="0" w:space="0" w:color="auto"/>
        <w:left w:val="none" w:sz="0" w:space="0" w:color="auto"/>
        <w:bottom w:val="none" w:sz="0" w:space="0" w:color="auto"/>
        <w:right w:val="none" w:sz="0" w:space="0" w:color="auto"/>
      </w:divBdr>
    </w:div>
    <w:div w:id="1586954382">
      <w:bodyDiv w:val="1"/>
      <w:marLeft w:val="0"/>
      <w:marRight w:val="0"/>
      <w:marTop w:val="0"/>
      <w:marBottom w:val="0"/>
      <w:divBdr>
        <w:top w:val="none" w:sz="0" w:space="0" w:color="auto"/>
        <w:left w:val="none" w:sz="0" w:space="0" w:color="auto"/>
        <w:bottom w:val="none" w:sz="0" w:space="0" w:color="auto"/>
        <w:right w:val="none" w:sz="0" w:space="0" w:color="auto"/>
      </w:divBdr>
    </w:div>
    <w:div w:id="1586959636">
      <w:bodyDiv w:val="1"/>
      <w:marLeft w:val="0"/>
      <w:marRight w:val="0"/>
      <w:marTop w:val="0"/>
      <w:marBottom w:val="0"/>
      <w:divBdr>
        <w:top w:val="none" w:sz="0" w:space="0" w:color="auto"/>
        <w:left w:val="none" w:sz="0" w:space="0" w:color="auto"/>
        <w:bottom w:val="none" w:sz="0" w:space="0" w:color="auto"/>
        <w:right w:val="none" w:sz="0" w:space="0" w:color="auto"/>
      </w:divBdr>
    </w:div>
    <w:div w:id="1586962854">
      <w:bodyDiv w:val="1"/>
      <w:marLeft w:val="0"/>
      <w:marRight w:val="0"/>
      <w:marTop w:val="0"/>
      <w:marBottom w:val="0"/>
      <w:divBdr>
        <w:top w:val="none" w:sz="0" w:space="0" w:color="auto"/>
        <w:left w:val="none" w:sz="0" w:space="0" w:color="auto"/>
        <w:bottom w:val="none" w:sz="0" w:space="0" w:color="auto"/>
        <w:right w:val="none" w:sz="0" w:space="0" w:color="auto"/>
      </w:divBdr>
    </w:div>
    <w:div w:id="1587032183">
      <w:bodyDiv w:val="1"/>
      <w:marLeft w:val="0"/>
      <w:marRight w:val="0"/>
      <w:marTop w:val="0"/>
      <w:marBottom w:val="0"/>
      <w:divBdr>
        <w:top w:val="none" w:sz="0" w:space="0" w:color="auto"/>
        <w:left w:val="none" w:sz="0" w:space="0" w:color="auto"/>
        <w:bottom w:val="none" w:sz="0" w:space="0" w:color="auto"/>
        <w:right w:val="none" w:sz="0" w:space="0" w:color="auto"/>
      </w:divBdr>
    </w:div>
    <w:div w:id="1587225853">
      <w:bodyDiv w:val="1"/>
      <w:marLeft w:val="0"/>
      <w:marRight w:val="0"/>
      <w:marTop w:val="0"/>
      <w:marBottom w:val="0"/>
      <w:divBdr>
        <w:top w:val="none" w:sz="0" w:space="0" w:color="auto"/>
        <w:left w:val="none" w:sz="0" w:space="0" w:color="auto"/>
        <w:bottom w:val="none" w:sz="0" w:space="0" w:color="auto"/>
        <w:right w:val="none" w:sz="0" w:space="0" w:color="auto"/>
      </w:divBdr>
    </w:div>
    <w:div w:id="1587379025">
      <w:bodyDiv w:val="1"/>
      <w:marLeft w:val="0"/>
      <w:marRight w:val="0"/>
      <w:marTop w:val="0"/>
      <w:marBottom w:val="0"/>
      <w:divBdr>
        <w:top w:val="none" w:sz="0" w:space="0" w:color="auto"/>
        <w:left w:val="none" w:sz="0" w:space="0" w:color="auto"/>
        <w:bottom w:val="none" w:sz="0" w:space="0" w:color="auto"/>
        <w:right w:val="none" w:sz="0" w:space="0" w:color="auto"/>
      </w:divBdr>
    </w:div>
    <w:div w:id="1587491140">
      <w:bodyDiv w:val="1"/>
      <w:marLeft w:val="0"/>
      <w:marRight w:val="0"/>
      <w:marTop w:val="0"/>
      <w:marBottom w:val="0"/>
      <w:divBdr>
        <w:top w:val="none" w:sz="0" w:space="0" w:color="auto"/>
        <w:left w:val="none" w:sz="0" w:space="0" w:color="auto"/>
        <w:bottom w:val="none" w:sz="0" w:space="0" w:color="auto"/>
        <w:right w:val="none" w:sz="0" w:space="0" w:color="auto"/>
      </w:divBdr>
    </w:div>
    <w:div w:id="1587495548">
      <w:bodyDiv w:val="1"/>
      <w:marLeft w:val="0"/>
      <w:marRight w:val="0"/>
      <w:marTop w:val="0"/>
      <w:marBottom w:val="0"/>
      <w:divBdr>
        <w:top w:val="none" w:sz="0" w:space="0" w:color="auto"/>
        <w:left w:val="none" w:sz="0" w:space="0" w:color="auto"/>
        <w:bottom w:val="none" w:sz="0" w:space="0" w:color="auto"/>
        <w:right w:val="none" w:sz="0" w:space="0" w:color="auto"/>
      </w:divBdr>
    </w:div>
    <w:div w:id="1587569985">
      <w:bodyDiv w:val="1"/>
      <w:marLeft w:val="0"/>
      <w:marRight w:val="0"/>
      <w:marTop w:val="0"/>
      <w:marBottom w:val="0"/>
      <w:divBdr>
        <w:top w:val="none" w:sz="0" w:space="0" w:color="auto"/>
        <w:left w:val="none" w:sz="0" w:space="0" w:color="auto"/>
        <w:bottom w:val="none" w:sz="0" w:space="0" w:color="auto"/>
        <w:right w:val="none" w:sz="0" w:space="0" w:color="auto"/>
      </w:divBdr>
    </w:div>
    <w:div w:id="1587691890">
      <w:bodyDiv w:val="1"/>
      <w:marLeft w:val="0"/>
      <w:marRight w:val="0"/>
      <w:marTop w:val="0"/>
      <w:marBottom w:val="0"/>
      <w:divBdr>
        <w:top w:val="none" w:sz="0" w:space="0" w:color="auto"/>
        <w:left w:val="none" w:sz="0" w:space="0" w:color="auto"/>
        <w:bottom w:val="none" w:sz="0" w:space="0" w:color="auto"/>
        <w:right w:val="none" w:sz="0" w:space="0" w:color="auto"/>
      </w:divBdr>
    </w:div>
    <w:div w:id="1587765937">
      <w:bodyDiv w:val="1"/>
      <w:marLeft w:val="0"/>
      <w:marRight w:val="0"/>
      <w:marTop w:val="0"/>
      <w:marBottom w:val="0"/>
      <w:divBdr>
        <w:top w:val="none" w:sz="0" w:space="0" w:color="auto"/>
        <w:left w:val="none" w:sz="0" w:space="0" w:color="auto"/>
        <w:bottom w:val="none" w:sz="0" w:space="0" w:color="auto"/>
        <w:right w:val="none" w:sz="0" w:space="0" w:color="auto"/>
      </w:divBdr>
    </w:div>
    <w:div w:id="1587959972">
      <w:bodyDiv w:val="1"/>
      <w:marLeft w:val="0"/>
      <w:marRight w:val="0"/>
      <w:marTop w:val="0"/>
      <w:marBottom w:val="0"/>
      <w:divBdr>
        <w:top w:val="none" w:sz="0" w:space="0" w:color="auto"/>
        <w:left w:val="none" w:sz="0" w:space="0" w:color="auto"/>
        <w:bottom w:val="none" w:sz="0" w:space="0" w:color="auto"/>
        <w:right w:val="none" w:sz="0" w:space="0" w:color="auto"/>
      </w:divBdr>
    </w:div>
    <w:div w:id="1588034119">
      <w:bodyDiv w:val="1"/>
      <w:marLeft w:val="0"/>
      <w:marRight w:val="0"/>
      <w:marTop w:val="0"/>
      <w:marBottom w:val="0"/>
      <w:divBdr>
        <w:top w:val="none" w:sz="0" w:space="0" w:color="auto"/>
        <w:left w:val="none" w:sz="0" w:space="0" w:color="auto"/>
        <w:bottom w:val="none" w:sz="0" w:space="0" w:color="auto"/>
        <w:right w:val="none" w:sz="0" w:space="0" w:color="auto"/>
      </w:divBdr>
    </w:div>
    <w:div w:id="1588075063">
      <w:bodyDiv w:val="1"/>
      <w:marLeft w:val="0"/>
      <w:marRight w:val="0"/>
      <w:marTop w:val="0"/>
      <w:marBottom w:val="0"/>
      <w:divBdr>
        <w:top w:val="none" w:sz="0" w:space="0" w:color="auto"/>
        <w:left w:val="none" w:sz="0" w:space="0" w:color="auto"/>
        <w:bottom w:val="none" w:sz="0" w:space="0" w:color="auto"/>
        <w:right w:val="none" w:sz="0" w:space="0" w:color="auto"/>
      </w:divBdr>
    </w:div>
    <w:div w:id="1588151621">
      <w:bodyDiv w:val="1"/>
      <w:marLeft w:val="0"/>
      <w:marRight w:val="0"/>
      <w:marTop w:val="0"/>
      <w:marBottom w:val="0"/>
      <w:divBdr>
        <w:top w:val="none" w:sz="0" w:space="0" w:color="auto"/>
        <w:left w:val="none" w:sz="0" w:space="0" w:color="auto"/>
        <w:bottom w:val="none" w:sz="0" w:space="0" w:color="auto"/>
        <w:right w:val="none" w:sz="0" w:space="0" w:color="auto"/>
      </w:divBdr>
    </w:div>
    <w:div w:id="1588729537">
      <w:bodyDiv w:val="1"/>
      <w:marLeft w:val="0"/>
      <w:marRight w:val="0"/>
      <w:marTop w:val="0"/>
      <w:marBottom w:val="0"/>
      <w:divBdr>
        <w:top w:val="none" w:sz="0" w:space="0" w:color="auto"/>
        <w:left w:val="none" w:sz="0" w:space="0" w:color="auto"/>
        <w:bottom w:val="none" w:sz="0" w:space="0" w:color="auto"/>
        <w:right w:val="none" w:sz="0" w:space="0" w:color="auto"/>
      </w:divBdr>
    </w:div>
    <w:div w:id="1588803019">
      <w:bodyDiv w:val="1"/>
      <w:marLeft w:val="0"/>
      <w:marRight w:val="0"/>
      <w:marTop w:val="0"/>
      <w:marBottom w:val="0"/>
      <w:divBdr>
        <w:top w:val="none" w:sz="0" w:space="0" w:color="auto"/>
        <w:left w:val="none" w:sz="0" w:space="0" w:color="auto"/>
        <w:bottom w:val="none" w:sz="0" w:space="0" w:color="auto"/>
        <w:right w:val="none" w:sz="0" w:space="0" w:color="auto"/>
      </w:divBdr>
    </w:div>
    <w:div w:id="1588804860">
      <w:bodyDiv w:val="1"/>
      <w:marLeft w:val="0"/>
      <w:marRight w:val="0"/>
      <w:marTop w:val="0"/>
      <w:marBottom w:val="0"/>
      <w:divBdr>
        <w:top w:val="none" w:sz="0" w:space="0" w:color="auto"/>
        <w:left w:val="none" w:sz="0" w:space="0" w:color="auto"/>
        <w:bottom w:val="none" w:sz="0" w:space="0" w:color="auto"/>
        <w:right w:val="none" w:sz="0" w:space="0" w:color="auto"/>
      </w:divBdr>
    </w:div>
    <w:div w:id="1589077411">
      <w:bodyDiv w:val="1"/>
      <w:marLeft w:val="0"/>
      <w:marRight w:val="0"/>
      <w:marTop w:val="0"/>
      <w:marBottom w:val="0"/>
      <w:divBdr>
        <w:top w:val="none" w:sz="0" w:space="0" w:color="auto"/>
        <w:left w:val="none" w:sz="0" w:space="0" w:color="auto"/>
        <w:bottom w:val="none" w:sz="0" w:space="0" w:color="auto"/>
        <w:right w:val="none" w:sz="0" w:space="0" w:color="auto"/>
      </w:divBdr>
    </w:div>
    <w:div w:id="1589269359">
      <w:bodyDiv w:val="1"/>
      <w:marLeft w:val="0"/>
      <w:marRight w:val="0"/>
      <w:marTop w:val="0"/>
      <w:marBottom w:val="0"/>
      <w:divBdr>
        <w:top w:val="none" w:sz="0" w:space="0" w:color="auto"/>
        <w:left w:val="none" w:sz="0" w:space="0" w:color="auto"/>
        <w:bottom w:val="none" w:sz="0" w:space="0" w:color="auto"/>
        <w:right w:val="none" w:sz="0" w:space="0" w:color="auto"/>
      </w:divBdr>
    </w:div>
    <w:div w:id="1589272222">
      <w:bodyDiv w:val="1"/>
      <w:marLeft w:val="0"/>
      <w:marRight w:val="0"/>
      <w:marTop w:val="0"/>
      <w:marBottom w:val="0"/>
      <w:divBdr>
        <w:top w:val="none" w:sz="0" w:space="0" w:color="auto"/>
        <w:left w:val="none" w:sz="0" w:space="0" w:color="auto"/>
        <w:bottom w:val="none" w:sz="0" w:space="0" w:color="auto"/>
        <w:right w:val="none" w:sz="0" w:space="0" w:color="auto"/>
      </w:divBdr>
    </w:div>
    <w:div w:id="1589345172">
      <w:bodyDiv w:val="1"/>
      <w:marLeft w:val="0"/>
      <w:marRight w:val="0"/>
      <w:marTop w:val="0"/>
      <w:marBottom w:val="0"/>
      <w:divBdr>
        <w:top w:val="none" w:sz="0" w:space="0" w:color="auto"/>
        <w:left w:val="none" w:sz="0" w:space="0" w:color="auto"/>
        <w:bottom w:val="none" w:sz="0" w:space="0" w:color="auto"/>
        <w:right w:val="none" w:sz="0" w:space="0" w:color="auto"/>
      </w:divBdr>
    </w:div>
    <w:div w:id="1589387032">
      <w:bodyDiv w:val="1"/>
      <w:marLeft w:val="0"/>
      <w:marRight w:val="0"/>
      <w:marTop w:val="0"/>
      <w:marBottom w:val="0"/>
      <w:divBdr>
        <w:top w:val="none" w:sz="0" w:space="0" w:color="auto"/>
        <w:left w:val="none" w:sz="0" w:space="0" w:color="auto"/>
        <w:bottom w:val="none" w:sz="0" w:space="0" w:color="auto"/>
        <w:right w:val="none" w:sz="0" w:space="0" w:color="auto"/>
      </w:divBdr>
    </w:div>
    <w:div w:id="1589581874">
      <w:bodyDiv w:val="1"/>
      <w:marLeft w:val="0"/>
      <w:marRight w:val="0"/>
      <w:marTop w:val="0"/>
      <w:marBottom w:val="0"/>
      <w:divBdr>
        <w:top w:val="none" w:sz="0" w:space="0" w:color="auto"/>
        <w:left w:val="none" w:sz="0" w:space="0" w:color="auto"/>
        <w:bottom w:val="none" w:sz="0" w:space="0" w:color="auto"/>
        <w:right w:val="none" w:sz="0" w:space="0" w:color="auto"/>
      </w:divBdr>
    </w:div>
    <w:div w:id="1589582467">
      <w:bodyDiv w:val="1"/>
      <w:marLeft w:val="0"/>
      <w:marRight w:val="0"/>
      <w:marTop w:val="0"/>
      <w:marBottom w:val="0"/>
      <w:divBdr>
        <w:top w:val="none" w:sz="0" w:space="0" w:color="auto"/>
        <w:left w:val="none" w:sz="0" w:space="0" w:color="auto"/>
        <w:bottom w:val="none" w:sz="0" w:space="0" w:color="auto"/>
        <w:right w:val="none" w:sz="0" w:space="0" w:color="auto"/>
      </w:divBdr>
    </w:div>
    <w:div w:id="1589733977">
      <w:bodyDiv w:val="1"/>
      <w:marLeft w:val="0"/>
      <w:marRight w:val="0"/>
      <w:marTop w:val="0"/>
      <w:marBottom w:val="0"/>
      <w:divBdr>
        <w:top w:val="none" w:sz="0" w:space="0" w:color="auto"/>
        <w:left w:val="none" w:sz="0" w:space="0" w:color="auto"/>
        <w:bottom w:val="none" w:sz="0" w:space="0" w:color="auto"/>
        <w:right w:val="none" w:sz="0" w:space="0" w:color="auto"/>
      </w:divBdr>
    </w:div>
    <w:div w:id="1590194296">
      <w:bodyDiv w:val="1"/>
      <w:marLeft w:val="0"/>
      <w:marRight w:val="0"/>
      <w:marTop w:val="0"/>
      <w:marBottom w:val="0"/>
      <w:divBdr>
        <w:top w:val="none" w:sz="0" w:space="0" w:color="auto"/>
        <w:left w:val="none" w:sz="0" w:space="0" w:color="auto"/>
        <w:bottom w:val="none" w:sz="0" w:space="0" w:color="auto"/>
        <w:right w:val="none" w:sz="0" w:space="0" w:color="auto"/>
      </w:divBdr>
    </w:div>
    <w:div w:id="1590389767">
      <w:bodyDiv w:val="1"/>
      <w:marLeft w:val="0"/>
      <w:marRight w:val="0"/>
      <w:marTop w:val="0"/>
      <w:marBottom w:val="0"/>
      <w:divBdr>
        <w:top w:val="none" w:sz="0" w:space="0" w:color="auto"/>
        <w:left w:val="none" w:sz="0" w:space="0" w:color="auto"/>
        <w:bottom w:val="none" w:sz="0" w:space="0" w:color="auto"/>
        <w:right w:val="none" w:sz="0" w:space="0" w:color="auto"/>
      </w:divBdr>
    </w:div>
    <w:div w:id="1590432176">
      <w:bodyDiv w:val="1"/>
      <w:marLeft w:val="0"/>
      <w:marRight w:val="0"/>
      <w:marTop w:val="0"/>
      <w:marBottom w:val="0"/>
      <w:divBdr>
        <w:top w:val="none" w:sz="0" w:space="0" w:color="auto"/>
        <w:left w:val="none" w:sz="0" w:space="0" w:color="auto"/>
        <w:bottom w:val="none" w:sz="0" w:space="0" w:color="auto"/>
        <w:right w:val="none" w:sz="0" w:space="0" w:color="auto"/>
      </w:divBdr>
    </w:div>
    <w:div w:id="1590505017">
      <w:bodyDiv w:val="1"/>
      <w:marLeft w:val="0"/>
      <w:marRight w:val="0"/>
      <w:marTop w:val="0"/>
      <w:marBottom w:val="0"/>
      <w:divBdr>
        <w:top w:val="none" w:sz="0" w:space="0" w:color="auto"/>
        <w:left w:val="none" w:sz="0" w:space="0" w:color="auto"/>
        <w:bottom w:val="none" w:sz="0" w:space="0" w:color="auto"/>
        <w:right w:val="none" w:sz="0" w:space="0" w:color="auto"/>
      </w:divBdr>
    </w:div>
    <w:div w:id="1590656327">
      <w:bodyDiv w:val="1"/>
      <w:marLeft w:val="0"/>
      <w:marRight w:val="0"/>
      <w:marTop w:val="0"/>
      <w:marBottom w:val="0"/>
      <w:divBdr>
        <w:top w:val="none" w:sz="0" w:space="0" w:color="auto"/>
        <w:left w:val="none" w:sz="0" w:space="0" w:color="auto"/>
        <w:bottom w:val="none" w:sz="0" w:space="0" w:color="auto"/>
        <w:right w:val="none" w:sz="0" w:space="0" w:color="auto"/>
      </w:divBdr>
    </w:div>
    <w:div w:id="1590845800">
      <w:bodyDiv w:val="1"/>
      <w:marLeft w:val="0"/>
      <w:marRight w:val="0"/>
      <w:marTop w:val="0"/>
      <w:marBottom w:val="0"/>
      <w:divBdr>
        <w:top w:val="none" w:sz="0" w:space="0" w:color="auto"/>
        <w:left w:val="none" w:sz="0" w:space="0" w:color="auto"/>
        <w:bottom w:val="none" w:sz="0" w:space="0" w:color="auto"/>
        <w:right w:val="none" w:sz="0" w:space="0" w:color="auto"/>
      </w:divBdr>
    </w:div>
    <w:div w:id="1590888703">
      <w:bodyDiv w:val="1"/>
      <w:marLeft w:val="0"/>
      <w:marRight w:val="0"/>
      <w:marTop w:val="0"/>
      <w:marBottom w:val="0"/>
      <w:divBdr>
        <w:top w:val="none" w:sz="0" w:space="0" w:color="auto"/>
        <w:left w:val="none" w:sz="0" w:space="0" w:color="auto"/>
        <w:bottom w:val="none" w:sz="0" w:space="0" w:color="auto"/>
        <w:right w:val="none" w:sz="0" w:space="0" w:color="auto"/>
      </w:divBdr>
    </w:div>
    <w:div w:id="1591085396">
      <w:bodyDiv w:val="1"/>
      <w:marLeft w:val="0"/>
      <w:marRight w:val="0"/>
      <w:marTop w:val="0"/>
      <w:marBottom w:val="0"/>
      <w:divBdr>
        <w:top w:val="none" w:sz="0" w:space="0" w:color="auto"/>
        <w:left w:val="none" w:sz="0" w:space="0" w:color="auto"/>
        <w:bottom w:val="none" w:sz="0" w:space="0" w:color="auto"/>
        <w:right w:val="none" w:sz="0" w:space="0" w:color="auto"/>
      </w:divBdr>
    </w:div>
    <w:div w:id="1591304857">
      <w:bodyDiv w:val="1"/>
      <w:marLeft w:val="0"/>
      <w:marRight w:val="0"/>
      <w:marTop w:val="0"/>
      <w:marBottom w:val="0"/>
      <w:divBdr>
        <w:top w:val="none" w:sz="0" w:space="0" w:color="auto"/>
        <w:left w:val="none" w:sz="0" w:space="0" w:color="auto"/>
        <w:bottom w:val="none" w:sz="0" w:space="0" w:color="auto"/>
        <w:right w:val="none" w:sz="0" w:space="0" w:color="auto"/>
      </w:divBdr>
    </w:div>
    <w:div w:id="1591311797">
      <w:bodyDiv w:val="1"/>
      <w:marLeft w:val="0"/>
      <w:marRight w:val="0"/>
      <w:marTop w:val="0"/>
      <w:marBottom w:val="0"/>
      <w:divBdr>
        <w:top w:val="none" w:sz="0" w:space="0" w:color="auto"/>
        <w:left w:val="none" w:sz="0" w:space="0" w:color="auto"/>
        <w:bottom w:val="none" w:sz="0" w:space="0" w:color="auto"/>
        <w:right w:val="none" w:sz="0" w:space="0" w:color="auto"/>
      </w:divBdr>
    </w:div>
    <w:div w:id="1591431560">
      <w:bodyDiv w:val="1"/>
      <w:marLeft w:val="0"/>
      <w:marRight w:val="0"/>
      <w:marTop w:val="0"/>
      <w:marBottom w:val="0"/>
      <w:divBdr>
        <w:top w:val="none" w:sz="0" w:space="0" w:color="auto"/>
        <w:left w:val="none" w:sz="0" w:space="0" w:color="auto"/>
        <w:bottom w:val="none" w:sz="0" w:space="0" w:color="auto"/>
        <w:right w:val="none" w:sz="0" w:space="0" w:color="auto"/>
      </w:divBdr>
    </w:div>
    <w:div w:id="1591498793">
      <w:bodyDiv w:val="1"/>
      <w:marLeft w:val="0"/>
      <w:marRight w:val="0"/>
      <w:marTop w:val="0"/>
      <w:marBottom w:val="0"/>
      <w:divBdr>
        <w:top w:val="none" w:sz="0" w:space="0" w:color="auto"/>
        <w:left w:val="none" w:sz="0" w:space="0" w:color="auto"/>
        <w:bottom w:val="none" w:sz="0" w:space="0" w:color="auto"/>
        <w:right w:val="none" w:sz="0" w:space="0" w:color="auto"/>
      </w:divBdr>
    </w:div>
    <w:div w:id="1591620626">
      <w:bodyDiv w:val="1"/>
      <w:marLeft w:val="0"/>
      <w:marRight w:val="0"/>
      <w:marTop w:val="0"/>
      <w:marBottom w:val="0"/>
      <w:divBdr>
        <w:top w:val="none" w:sz="0" w:space="0" w:color="auto"/>
        <w:left w:val="none" w:sz="0" w:space="0" w:color="auto"/>
        <w:bottom w:val="none" w:sz="0" w:space="0" w:color="auto"/>
        <w:right w:val="none" w:sz="0" w:space="0" w:color="auto"/>
      </w:divBdr>
    </w:div>
    <w:div w:id="1591738839">
      <w:bodyDiv w:val="1"/>
      <w:marLeft w:val="0"/>
      <w:marRight w:val="0"/>
      <w:marTop w:val="0"/>
      <w:marBottom w:val="0"/>
      <w:divBdr>
        <w:top w:val="none" w:sz="0" w:space="0" w:color="auto"/>
        <w:left w:val="none" w:sz="0" w:space="0" w:color="auto"/>
        <w:bottom w:val="none" w:sz="0" w:space="0" w:color="auto"/>
        <w:right w:val="none" w:sz="0" w:space="0" w:color="auto"/>
      </w:divBdr>
    </w:div>
    <w:div w:id="1592200457">
      <w:bodyDiv w:val="1"/>
      <w:marLeft w:val="0"/>
      <w:marRight w:val="0"/>
      <w:marTop w:val="0"/>
      <w:marBottom w:val="0"/>
      <w:divBdr>
        <w:top w:val="none" w:sz="0" w:space="0" w:color="auto"/>
        <w:left w:val="none" w:sz="0" w:space="0" w:color="auto"/>
        <w:bottom w:val="none" w:sz="0" w:space="0" w:color="auto"/>
        <w:right w:val="none" w:sz="0" w:space="0" w:color="auto"/>
      </w:divBdr>
    </w:div>
    <w:div w:id="1592229798">
      <w:bodyDiv w:val="1"/>
      <w:marLeft w:val="0"/>
      <w:marRight w:val="0"/>
      <w:marTop w:val="0"/>
      <w:marBottom w:val="0"/>
      <w:divBdr>
        <w:top w:val="none" w:sz="0" w:space="0" w:color="auto"/>
        <w:left w:val="none" w:sz="0" w:space="0" w:color="auto"/>
        <w:bottom w:val="none" w:sz="0" w:space="0" w:color="auto"/>
        <w:right w:val="none" w:sz="0" w:space="0" w:color="auto"/>
      </w:divBdr>
    </w:div>
    <w:div w:id="1592278507">
      <w:bodyDiv w:val="1"/>
      <w:marLeft w:val="0"/>
      <w:marRight w:val="0"/>
      <w:marTop w:val="0"/>
      <w:marBottom w:val="0"/>
      <w:divBdr>
        <w:top w:val="none" w:sz="0" w:space="0" w:color="auto"/>
        <w:left w:val="none" w:sz="0" w:space="0" w:color="auto"/>
        <w:bottom w:val="none" w:sz="0" w:space="0" w:color="auto"/>
        <w:right w:val="none" w:sz="0" w:space="0" w:color="auto"/>
      </w:divBdr>
    </w:div>
    <w:div w:id="1592347025">
      <w:bodyDiv w:val="1"/>
      <w:marLeft w:val="0"/>
      <w:marRight w:val="0"/>
      <w:marTop w:val="0"/>
      <w:marBottom w:val="0"/>
      <w:divBdr>
        <w:top w:val="none" w:sz="0" w:space="0" w:color="auto"/>
        <w:left w:val="none" w:sz="0" w:space="0" w:color="auto"/>
        <w:bottom w:val="none" w:sz="0" w:space="0" w:color="auto"/>
        <w:right w:val="none" w:sz="0" w:space="0" w:color="auto"/>
      </w:divBdr>
    </w:div>
    <w:div w:id="1592351416">
      <w:bodyDiv w:val="1"/>
      <w:marLeft w:val="0"/>
      <w:marRight w:val="0"/>
      <w:marTop w:val="0"/>
      <w:marBottom w:val="0"/>
      <w:divBdr>
        <w:top w:val="none" w:sz="0" w:space="0" w:color="auto"/>
        <w:left w:val="none" w:sz="0" w:space="0" w:color="auto"/>
        <w:bottom w:val="none" w:sz="0" w:space="0" w:color="auto"/>
        <w:right w:val="none" w:sz="0" w:space="0" w:color="auto"/>
      </w:divBdr>
    </w:div>
    <w:div w:id="1592422612">
      <w:bodyDiv w:val="1"/>
      <w:marLeft w:val="0"/>
      <w:marRight w:val="0"/>
      <w:marTop w:val="0"/>
      <w:marBottom w:val="0"/>
      <w:divBdr>
        <w:top w:val="none" w:sz="0" w:space="0" w:color="auto"/>
        <w:left w:val="none" w:sz="0" w:space="0" w:color="auto"/>
        <w:bottom w:val="none" w:sz="0" w:space="0" w:color="auto"/>
        <w:right w:val="none" w:sz="0" w:space="0" w:color="auto"/>
      </w:divBdr>
    </w:div>
    <w:div w:id="1592426311">
      <w:bodyDiv w:val="1"/>
      <w:marLeft w:val="0"/>
      <w:marRight w:val="0"/>
      <w:marTop w:val="0"/>
      <w:marBottom w:val="0"/>
      <w:divBdr>
        <w:top w:val="none" w:sz="0" w:space="0" w:color="auto"/>
        <w:left w:val="none" w:sz="0" w:space="0" w:color="auto"/>
        <w:bottom w:val="none" w:sz="0" w:space="0" w:color="auto"/>
        <w:right w:val="none" w:sz="0" w:space="0" w:color="auto"/>
      </w:divBdr>
    </w:div>
    <w:div w:id="1592465838">
      <w:bodyDiv w:val="1"/>
      <w:marLeft w:val="0"/>
      <w:marRight w:val="0"/>
      <w:marTop w:val="0"/>
      <w:marBottom w:val="0"/>
      <w:divBdr>
        <w:top w:val="none" w:sz="0" w:space="0" w:color="auto"/>
        <w:left w:val="none" w:sz="0" w:space="0" w:color="auto"/>
        <w:bottom w:val="none" w:sz="0" w:space="0" w:color="auto"/>
        <w:right w:val="none" w:sz="0" w:space="0" w:color="auto"/>
      </w:divBdr>
    </w:div>
    <w:div w:id="1592615458">
      <w:bodyDiv w:val="1"/>
      <w:marLeft w:val="0"/>
      <w:marRight w:val="0"/>
      <w:marTop w:val="0"/>
      <w:marBottom w:val="0"/>
      <w:divBdr>
        <w:top w:val="none" w:sz="0" w:space="0" w:color="auto"/>
        <w:left w:val="none" w:sz="0" w:space="0" w:color="auto"/>
        <w:bottom w:val="none" w:sz="0" w:space="0" w:color="auto"/>
        <w:right w:val="none" w:sz="0" w:space="0" w:color="auto"/>
      </w:divBdr>
    </w:div>
    <w:div w:id="1592659091">
      <w:bodyDiv w:val="1"/>
      <w:marLeft w:val="0"/>
      <w:marRight w:val="0"/>
      <w:marTop w:val="0"/>
      <w:marBottom w:val="0"/>
      <w:divBdr>
        <w:top w:val="none" w:sz="0" w:space="0" w:color="auto"/>
        <w:left w:val="none" w:sz="0" w:space="0" w:color="auto"/>
        <w:bottom w:val="none" w:sz="0" w:space="0" w:color="auto"/>
        <w:right w:val="none" w:sz="0" w:space="0" w:color="auto"/>
      </w:divBdr>
    </w:div>
    <w:div w:id="1592665605">
      <w:bodyDiv w:val="1"/>
      <w:marLeft w:val="0"/>
      <w:marRight w:val="0"/>
      <w:marTop w:val="0"/>
      <w:marBottom w:val="0"/>
      <w:divBdr>
        <w:top w:val="none" w:sz="0" w:space="0" w:color="auto"/>
        <w:left w:val="none" w:sz="0" w:space="0" w:color="auto"/>
        <w:bottom w:val="none" w:sz="0" w:space="0" w:color="auto"/>
        <w:right w:val="none" w:sz="0" w:space="0" w:color="auto"/>
      </w:divBdr>
    </w:div>
    <w:div w:id="1592860545">
      <w:bodyDiv w:val="1"/>
      <w:marLeft w:val="0"/>
      <w:marRight w:val="0"/>
      <w:marTop w:val="0"/>
      <w:marBottom w:val="0"/>
      <w:divBdr>
        <w:top w:val="none" w:sz="0" w:space="0" w:color="auto"/>
        <w:left w:val="none" w:sz="0" w:space="0" w:color="auto"/>
        <w:bottom w:val="none" w:sz="0" w:space="0" w:color="auto"/>
        <w:right w:val="none" w:sz="0" w:space="0" w:color="auto"/>
      </w:divBdr>
    </w:div>
    <w:div w:id="1592933831">
      <w:bodyDiv w:val="1"/>
      <w:marLeft w:val="0"/>
      <w:marRight w:val="0"/>
      <w:marTop w:val="0"/>
      <w:marBottom w:val="0"/>
      <w:divBdr>
        <w:top w:val="none" w:sz="0" w:space="0" w:color="auto"/>
        <w:left w:val="none" w:sz="0" w:space="0" w:color="auto"/>
        <w:bottom w:val="none" w:sz="0" w:space="0" w:color="auto"/>
        <w:right w:val="none" w:sz="0" w:space="0" w:color="auto"/>
      </w:divBdr>
    </w:div>
    <w:div w:id="1593054246">
      <w:bodyDiv w:val="1"/>
      <w:marLeft w:val="0"/>
      <w:marRight w:val="0"/>
      <w:marTop w:val="0"/>
      <w:marBottom w:val="0"/>
      <w:divBdr>
        <w:top w:val="none" w:sz="0" w:space="0" w:color="auto"/>
        <w:left w:val="none" w:sz="0" w:space="0" w:color="auto"/>
        <w:bottom w:val="none" w:sz="0" w:space="0" w:color="auto"/>
        <w:right w:val="none" w:sz="0" w:space="0" w:color="auto"/>
      </w:divBdr>
    </w:div>
    <w:div w:id="1593129534">
      <w:bodyDiv w:val="1"/>
      <w:marLeft w:val="0"/>
      <w:marRight w:val="0"/>
      <w:marTop w:val="0"/>
      <w:marBottom w:val="0"/>
      <w:divBdr>
        <w:top w:val="none" w:sz="0" w:space="0" w:color="auto"/>
        <w:left w:val="none" w:sz="0" w:space="0" w:color="auto"/>
        <w:bottom w:val="none" w:sz="0" w:space="0" w:color="auto"/>
        <w:right w:val="none" w:sz="0" w:space="0" w:color="auto"/>
      </w:divBdr>
    </w:div>
    <w:div w:id="1593204164">
      <w:bodyDiv w:val="1"/>
      <w:marLeft w:val="0"/>
      <w:marRight w:val="0"/>
      <w:marTop w:val="0"/>
      <w:marBottom w:val="0"/>
      <w:divBdr>
        <w:top w:val="none" w:sz="0" w:space="0" w:color="auto"/>
        <w:left w:val="none" w:sz="0" w:space="0" w:color="auto"/>
        <w:bottom w:val="none" w:sz="0" w:space="0" w:color="auto"/>
        <w:right w:val="none" w:sz="0" w:space="0" w:color="auto"/>
      </w:divBdr>
    </w:div>
    <w:div w:id="1593321381">
      <w:bodyDiv w:val="1"/>
      <w:marLeft w:val="0"/>
      <w:marRight w:val="0"/>
      <w:marTop w:val="0"/>
      <w:marBottom w:val="0"/>
      <w:divBdr>
        <w:top w:val="none" w:sz="0" w:space="0" w:color="auto"/>
        <w:left w:val="none" w:sz="0" w:space="0" w:color="auto"/>
        <w:bottom w:val="none" w:sz="0" w:space="0" w:color="auto"/>
        <w:right w:val="none" w:sz="0" w:space="0" w:color="auto"/>
      </w:divBdr>
    </w:div>
    <w:div w:id="1593321744">
      <w:bodyDiv w:val="1"/>
      <w:marLeft w:val="0"/>
      <w:marRight w:val="0"/>
      <w:marTop w:val="0"/>
      <w:marBottom w:val="0"/>
      <w:divBdr>
        <w:top w:val="none" w:sz="0" w:space="0" w:color="auto"/>
        <w:left w:val="none" w:sz="0" w:space="0" w:color="auto"/>
        <w:bottom w:val="none" w:sz="0" w:space="0" w:color="auto"/>
        <w:right w:val="none" w:sz="0" w:space="0" w:color="auto"/>
      </w:divBdr>
    </w:div>
    <w:div w:id="1593659661">
      <w:bodyDiv w:val="1"/>
      <w:marLeft w:val="0"/>
      <w:marRight w:val="0"/>
      <w:marTop w:val="0"/>
      <w:marBottom w:val="0"/>
      <w:divBdr>
        <w:top w:val="none" w:sz="0" w:space="0" w:color="auto"/>
        <w:left w:val="none" w:sz="0" w:space="0" w:color="auto"/>
        <w:bottom w:val="none" w:sz="0" w:space="0" w:color="auto"/>
        <w:right w:val="none" w:sz="0" w:space="0" w:color="auto"/>
      </w:divBdr>
    </w:div>
    <w:div w:id="1593704546">
      <w:bodyDiv w:val="1"/>
      <w:marLeft w:val="0"/>
      <w:marRight w:val="0"/>
      <w:marTop w:val="0"/>
      <w:marBottom w:val="0"/>
      <w:divBdr>
        <w:top w:val="none" w:sz="0" w:space="0" w:color="auto"/>
        <w:left w:val="none" w:sz="0" w:space="0" w:color="auto"/>
        <w:bottom w:val="none" w:sz="0" w:space="0" w:color="auto"/>
        <w:right w:val="none" w:sz="0" w:space="0" w:color="auto"/>
      </w:divBdr>
    </w:div>
    <w:div w:id="1593708335">
      <w:bodyDiv w:val="1"/>
      <w:marLeft w:val="0"/>
      <w:marRight w:val="0"/>
      <w:marTop w:val="0"/>
      <w:marBottom w:val="0"/>
      <w:divBdr>
        <w:top w:val="none" w:sz="0" w:space="0" w:color="auto"/>
        <w:left w:val="none" w:sz="0" w:space="0" w:color="auto"/>
        <w:bottom w:val="none" w:sz="0" w:space="0" w:color="auto"/>
        <w:right w:val="none" w:sz="0" w:space="0" w:color="auto"/>
      </w:divBdr>
    </w:div>
    <w:div w:id="1593850920">
      <w:bodyDiv w:val="1"/>
      <w:marLeft w:val="0"/>
      <w:marRight w:val="0"/>
      <w:marTop w:val="0"/>
      <w:marBottom w:val="0"/>
      <w:divBdr>
        <w:top w:val="none" w:sz="0" w:space="0" w:color="auto"/>
        <w:left w:val="none" w:sz="0" w:space="0" w:color="auto"/>
        <w:bottom w:val="none" w:sz="0" w:space="0" w:color="auto"/>
        <w:right w:val="none" w:sz="0" w:space="0" w:color="auto"/>
      </w:divBdr>
    </w:div>
    <w:div w:id="1593902597">
      <w:bodyDiv w:val="1"/>
      <w:marLeft w:val="0"/>
      <w:marRight w:val="0"/>
      <w:marTop w:val="0"/>
      <w:marBottom w:val="0"/>
      <w:divBdr>
        <w:top w:val="none" w:sz="0" w:space="0" w:color="auto"/>
        <w:left w:val="none" w:sz="0" w:space="0" w:color="auto"/>
        <w:bottom w:val="none" w:sz="0" w:space="0" w:color="auto"/>
        <w:right w:val="none" w:sz="0" w:space="0" w:color="auto"/>
      </w:divBdr>
    </w:div>
    <w:div w:id="1593926661">
      <w:bodyDiv w:val="1"/>
      <w:marLeft w:val="0"/>
      <w:marRight w:val="0"/>
      <w:marTop w:val="0"/>
      <w:marBottom w:val="0"/>
      <w:divBdr>
        <w:top w:val="none" w:sz="0" w:space="0" w:color="auto"/>
        <w:left w:val="none" w:sz="0" w:space="0" w:color="auto"/>
        <w:bottom w:val="none" w:sz="0" w:space="0" w:color="auto"/>
        <w:right w:val="none" w:sz="0" w:space="0" w:color="auto"/>
      </w:divBdr>
    </w:div>
    <w:div w:id="1593929784">
      <w:bodyDiv w:val="1"/>
      <w:marLeft w:val="0"/>
      <w:marRight w:val="0"/>
      <w:marTop w:val="0"/>
      <w:marBottom w:val="0"/>
      <w:divBdr>
        <w:top w:val="none" w:sz="0" w:space="0" w:color="auto"/>
        <w:left w:val="none" w:sz="0" w:space="0" w:color="auto"/>
        <w:bottom w:val="none" w:sz="0" w:space="0" w:color="auto"/>
        <w:right w:val="none" w:sz="0" w:space="0" w:color="auto"/>
      </w:divBdr>
    </w:div>
    <w:div w:id="1593931017">
      <w:bodyDiv w:val="1"/>
      <w:marLeft w:val="0"/>
      <w:marRight w:val="0"/>
      <w:marTop w:val="0"/>
      <w:marBottom w:val="0"/>
      <w:divBdr>
        <w:top w:val="none" w:sz="0" w:space="0" w:color="auto"/>
        <w:left w:val="none" w:sz="0" w:space="0" w:color="auto"/>
        <w:bottom w:val="none" w:sz="0" w:space="0" w:color="auto"/>
        <w:right w:val="none" w:sz="0" w:space="0" w:color="auto"/>
      </w:divBdr>
    </w:div>
    <w:div w:id="1593968703">
      <w:bodyDiv w:val="1"/>
      <w:marLeft w:val="0"/>
      <w:marRight w:val="0"/>
      <w:marTop w:val="0"/>
      <w:marBottom w:val="0"/>
      <w:divBdr>
        <w:top w:val="none" w:sz="0" w:space="0" w:color="auto"/>
        <w:left w:val="none" w:sz="0" w:space="0" w:color="auto"/>
        <w:bottom w:val="none" w:sz="0" w:space="0" w:color="auto"/>
        <w:right w:val="none" w:sz="0" w:space="0" w:color="auto"/>
      </w:divBdr>
    </w:div>
    <w:div w:id="1594050512">
      <w:bodyDiv w:val="1"/>
      <w:marLeft w:val="0"/>
      <w:marRight w:val="0"/>
      <w:marTop w:val="0"/>
      <w:marBottom w:val="0"/>
      <w:divBdr>
        <w:top w:val="none" w:sz="0" w:space="0" w:color="auto"/>
        <w:left w:val="none" w:sz="0" w:space="0" w:color="auto"/>
        <w:bottom w:val="none" w:sz="0" w:space="0" w:color="auto"/>
        <w:right w:val="none" w:sz="0" w:space="0" w:color="auto"/>
      </w:divBdr>
    </w:div>
    <w:div w:id="1594244479">
      <w:bodyDiv w:val="1"/>
      <w:marLeft w:val="0"/>
      <w:marRight w:val="0"/>
      <w:marTop w:val="0"/>
      <w:marBottom w:val="0"/>
      <w:divBdr>
        <w:top w:val="none" w:sz="0" w:space="0" w:color="auto"/>
        <w:left w:val="none" w:sz="0" w:space="0" w:color="auto"/>
        <w:bottom w:val="none" w:sz="0" w:space="0" w:color="auto"/>
        <w:right w:val="none" w:sz="0" w:space="0" w:color="auto"/>
      </w:divBdr>
    </w:div>
    <w:div w:id="1594362138">
      <w:bodyDiv w:val="1"/>
      <w:marLeft w:val="0"/>
      <w:marRight w:val="0"/>
      <w:marTop w:val="0"/>
      <w:marBottom w:val="0"/>
      <w:divBdr>
        <w:top w:val="none" w:sz="0" w:space="0" w:color="auto"/>
        <w:left w:val="none" w:sz="0" w:space="0" w:color="auto"/>
        <w:bottom w:val="none" w:sz="0" w:space="0" w:color="auto"/>
        <w:right w:val="none" w:sz="0" w:space="0" w:color="auto"/>
      </w:divBdr>
    </w:div>
    <w:div w:id="1594431077">
      <w:bodyDiv w:val="1"/>
      <w:marLeft w:val="0"/>
      <w:marRight w:val="0"/>
      <w:marTop w:val="0"/>
      <w:marBottom w:val="0"/>
      <w:divBdr>
        <w:top w:val="none" w:sz="0" w:space="0" w:color="auto"/>
        <w:left w:val="none" w:sz="0" w:space="0" w:color="auto"/>
        <w:bottom w:val="none" w:sz="0" w:space="0" w:color="auto"/>
        <w:right w:val="none" w:sz="0" w:space="0" w:color="auto"/>
      </w:divBdr>
    </w:div>
    <w:div w:id="1594511110">
      <w:bodyDiv w:val="1"/>
      <w:marLeft w:val="0"/>
      <w:marRight w:val="0"/>
      <w:marTop w:val="0"/>
      <w:marBottom w:val="0"/>
      <w:divBdr>
        <w:top w:val="none" w:sz="0" w:space="0" w:color="auto"/>
        <w:left w:val="none" w:sz="0" w:space="0" w:color="auto"/>
        <w:bottom w:val="none" w:sz="0" w:space="0" w:color="auto"/>
        <w:right w:val="none" w:sz="0" w:space="0" w:color="auto"/>
      </w:divBdr>
    </w:div>
    <w:div w:id="1594586498">
      <w:bodyDiv w:val="1"/>
      <w:marLeft w:val="0"/>
      <w:marRight w:val="0"/>
      <w:marTop w:val="0"/>
      <w:marBottom w:val="0"/>
      <w:divBdr>
        <w:top w:val="none" w:sz="0" w:space="0" w:color="auto"/>
        <w:left w:val="none" w:sz="0" w:space="0" w:color="auto"/>
        <w:bottom w:val="none" w:sz="0" w:space="0" w:color="auto"/>
        <w:right w:val="none" w:sz="0" w:space="0" w:color="auto"/>
      </w:divBdr>
    </w:div>
    <w:div w:id="1594701216">
      <w:bodyDiv w:val="1"/>
      <w:marLeft w:val="0"/>
      <w:marRight w:val="0"/>
      <w:marTop w:val="0"/>
      <w:marBottom w:val="0"/>
      <w:divBdr>
        <w:top w:val="none" w:sz="0" w:space="0" w:color="auto"/>
        <w:left w:val="none" w:sz="0" w:space="0" w:color="auto"/>
        <w:bottom w:val="none" w:sz="0" w:space="0" w:color="auto"/>
        <w:right w:val="none" w:sz="0" w:space="0" w:color="auto"/>
      </w:divBdr>
    </w:div>
    <w:div w:id="1594704602">
      <w:bodyDiv w:val="1"/>
      <w:marLeft w:val="0"/>
      <w:marRight w:val="0"/>
      <w:marTop w:val="0"/>
      <w:marBottom w:val="0"/>
      <w:divBdr>
        <w:top w:val="none" w:sz="0" w:space="0" w:color="auto"/>
        <w:left w:val="none" w:sz="0" w:space="0" w:color="auto"/>
        <w:bottom w:val="none" w:sz="0" w:space="0" w:color="auto"/>
        <w:right w:val="none" w:sz="0" w:space="0" w:color="auto"/>
      </w:divBdr>
    </w:div>
    <w:div w:id="1594706268">
      <w:bodyDiv w:val="1"/>
      <w:marLeft w:val="0"/>
      <w:marRight w:val="0"/>
      <w:marTop w:val="0"/>
      <w:marBottom w:val="0"/>
      <w:divBdr>
        <w:top w:val="none" w:sz="0" w:space="0" w:color="auto"/>
        <w:left w:val="none" w:sz="0" w:space="0" w:color="auto"/>
        <w:bottom w:val="none" w:sz="0" w:space="0" w:color="auto"/>
        <w:right w:val="none" w:sz="0" w:space="0" w:color="auto"/>
      </w:divBdr>
    </w:div>
    <w:div w:id="1594782520">
      <w:bodyDiv w:val="1"/>
      <w:marLeft w:val="0"/>
      <w:marRight w:val="0"/>
      <w:marTop w:val="0"/>
      <w:marBottom w:val="0"/>
      <w:divBdr>
        <w:top w:val="none" w:sz="0" w:space="0" w:color="auto"/>
        <w:left w:val="none" w:sz="0" w:space="0" w:color="auto"/>
        <w:bottom w:val="none" w:sz="0" w:space="0" w:color="auto"/>
        <w:right w:val="none" w:sz="0" w:space="0" w:color="auto"/>
      </w:divBdr>
    </w:div>
    <w:div w:id="1594783683">
      <w:bodyDiv w:val="1"/>
      <w:marLeft w:val="0"/>
      <w:marRight w:val="0"/>
      <w:marTop w:val="0"/>
      <w:marBottom w:val="0"/>
      <w:divBdr>
        <w:top w:val="none" w:sz="0" w:space="0" w:color="auto"/>
        <w:left w:val="none" w:sz="0" w:space="0" w:color="auto"/>
        <w:bottom w:val="none" w:sz="0" w:space="0" w:color="auto"/>
        <w:right w:val="none" w:sz="0" w:space="0" w:color="auto"/>
      </w:divBdr>
    </w:div>
    <w:div w:id="1594895426">
      <w:bodyDiv w:val="1"/>
      <w:marLeft w:val="0"/>
      <w:marRight w:val="0"/>
      <w:marTop w:val="0"/>
      <w:marBottom w:val="0"/>
      <w:divBdr>
        <w:top w:val="none" w:sz="0" w:space="0" w:color="auto"/>
        <w:left w:val="none" w:sz="0" w:space="0" w:color="auto"/>
        <w:bottom w:val="none" w:sz="0" w:space="0" w:color="auto"/>
        <w:right w:val="none" w:sz="0" w:space="0" w:color="auto"/>
      </w:divBdr>
    </w:div>
    <w:div w:id="1595086989">
      <w:bodyDiv w:val="1"/>
      <w:marLeft w:val="0"/>
      <w:marRight w:val="0"/>
      <w:marTop w:val="0"/>
      <w:marBottom w:val="0"/>
      <w:divBdr>
        <w:top w:val="none" w:sz="0" w:space="0" w:color="auto"/>
        <w:left w:val="none" w:sz="0" w:space="0" w:color="auto"/>
        <w:bottom w:val="none" w:sz="0" w:space="0" w:color="auto"/>
        <w:right w:val="none" w:sz="0" w:space="0" w:color="auto"/>
      </w:divBdr>
    </w:div>
    <w:div w:id="1595430495">
      <w:bodyDiv w:val="1"/>
      <w:marLeft w:val="0"/>
      <w:marRight w:val="0"/>
      <w:marTop w:val="0"/>
      <w:marBottom w:val="0"/>
      <w:divBdr>
        <w:top w:val="none" w:sz="0" w:space="0" w:color="auto"/>
        <w:left w:val="none" w:sz="0" w:space="0" w:color="auto"/>
        <w:bottom w:val="none" w:sz="0" w:space="0" w:color="auto"/>
        <w:right w:val="none" w:sz="0" w:space="0" w:color="auto"/>
      </w:divBdr>
    </w:div>
    <w:div w:id="1595552682">
      <w:bodyDiv w:val="1"/>
      <w:marLeft w:val="0"/>
      <w:marRight w:val="0"/>
      <w:marTop w:val="0"/>
      <w:marBottom w:val="0"/>
      <w:divBdr>
        <w:top w:val="none" w:sz="0" w:space="0" w:color="auto"/>
        <w:left w:val="none" w:sz="0" w:space="0" w:color="auto"/>
        <w:bottom w:val="none" w:sz="0" w:space="0" w:color="auto"/>
        <w:right w:val="none" w:sz="0" w:space="0" w:color="auto"/>
      </w:divBdr>
    </w:div>
    <w:div w:id="1595632214">
      <w:bodyDiv w:val="1"/>
      <w:marLeft w:val="0"/>
      <w:marRight w:val="0"/>
      <w:marTop w:val="0"/>
      <w:marBottom w:val="0"/>
      <w:divBdr>
        <w:top w:val="none" w:sz="0" w:space="0" w:color="auto"/>
        <w:left w:val="none" w:sz="0" w:space="0" w:color="auto"/>
        <w:bottom w:val="none" w:sz="0" w:space="0" w:color="auto"/>
        <w:right w:val="none" w:sz="0" w:space="0" w:color="auto"/>
      </w:divBdr>
    </w:div>
    <w:div w:id="1595745693">
      <w:bodyDiv w:val="1"/>
      <w:marLeft w:val="0"/>
      <w:marRight w:val="0"/>
      <w:marTop w:val="0"/>
      <w:marBottom w:val="0"/>
      <w:divBdr>
        <w:top w:val="none" w:sz="0" w:space="0" w:color="auto"/>
        <w:left w:val="none" w:sz="0" w:space="0" w:color="auto"/>
        <w:bottom w:val="none" w:sz="0" w:space="0" w:color="auto"/>
        <w:right w:val="none" w:sz="0" w:space="0" w:color="auto"/>
      </w:divBdr>
    </w:div>
    <w:div w:id="1595824165">
      <w:bodyDiv w:val="1"/>
      <w:marLeft w:val="0"/>
      <w:marRight w:val="0"/>
      <w:marTop w:val="0"/>
      <w:marBottom w:val="0"/>
      <w:divBdr>
        <w:top w:val="none" w:sz="0" w:space="0" w:color="auto"/>
        <w:left w:val="none" w:sz="0" w:space="0" w:color="auto"/>
        <w:bottom w:val="none" w:sz="0" w:space="0" w:color="auto"/>
        <w:right w:val="none" w:sz="0" w:space="0" w:color="auto"/>
      </w:divBdr>
    </w:div>
    <w:div w:id="1596136900">
      <w:bodyDiv w:val="1"/>
      <w:marLeft w:val="0"/>
      <w:marRight w:val="0"/>
      <w:marTop w:val="0"/>
      <w:marBottom w:val="0"/>
      <w:divBdr>
        <w:top w:val="none" w:sz="0" w:space="0" w:color="auto"/>
        <w:left w:val="none" w:sz="0" w:space="0" w:color="auto"/>
        <w:bottom w:val="none" w:sz="0" w:space="0" w:color="auto"/>
        <w:right w:val="none" w:sz="0" w:space="0" w:color="auto"/>
      </w:divBdr>
    </w:div>
    <w:div w:id="1596357982">
      <w:bodyDiv w:val="1"/>
      <w:marLeft w:val="0"/>
      <w:marRight w:val="0"/>
      <w:marTop w:val="0"/>
      <w:marBottom w:val="0"/>
      <w:divBdr>
        <w:top w:val="none" w:sz="0" w:space="0" w:color="auto"/>
        <w:left w:val="none" w:sz="0" w:space="0" w:color="auto"/>
        <w:bottom w:val="none" w:sz="0" w:space="0" w:color="auto"/>
        <w:right w:val="none" w:sz="0" w:space="0" w:color="auto"/>
      </w:divBdr>
    </w:div>
    <w:div w:id="1596397507">
      <w:bodyDiv w:val="1"/>
      <w:marLeft w:val="0"/>
      <w:marRight w:val="0"/>
      <w:marTop w:val="0"/>
      <w:marBottom w:val="0"/>
      <w:divBdr>
        <w:top w:val="none" w:sz="0" w:space="0" w:color="auto"/>
        <w:left w:val="none" w:sz="0" w:space="0" w:color="auto"/>
        <w:bottom w:val="none" w:sz="0" w:space="0" w:color="auto"/>
        <w:right w:val="none" w:sz="0" w:space="0" w:color="auto"/>
      </w:divBdr>
    </w:div>
    <w:div w:id="1596817297">
      <w:bodyDiv w:val="1"/>
      <w:marLeft w:val="0"/>
      <w:marRight w:val="0"/>
      <w:marTop w:val="0"/>
      <w:marBottom w:val="0"/>
      <w:divBdr>
        <w:top w:val="none" w:sz="0" w:space="0" w:color="auto"/>
        <w:left w:val="none" w:sz="0" w:space="0" w:color="auto"/>
        <w:bottom w:val="none" w:sz="0" w:space="0" w:color="auto"/>
        <w:right w:val="none" w:sz="0" w:space="0" w:color="auto"/>
      </w:divBdr>
    </w:div>
    <w:div w:id="1596933854">
      <w:bodyDiv w:val="1"/>
      <w:marLeft w:val="0"/>
      <w:marRight w:val="0"/>
      <w:marTop w:val="0"/>
      <w:marBottom w:val="0"/>
      <w:divBdr>
        <w:top w:val="none" w:sz="0" w:space="0" w:color="auto"/>
        <w:left w:val="none" w:sz="0" w:space="0" w:color="auto"/>
        <w:bottom w:val="none" w:sz="0" w:space="0" w:color="auto"/>
        <w:right w:val="none" w:sz="0" w:space="0" w:color="auto"/>
      </w:divBdr>
    </w:div>
    <w:div w:id="1597051529">
      <w:bodyDiv w:val="1"/>
      <w:marLeft w:val="0"/>
      <w:marRight w:val="0"/>
      <w:marTop w:val="0"/>
      <w:marBottom w:val="0"/>
      <w:divBdr>
        <w:top w:val="none" w:sz="0" w:space="0" w:color="auto"/>
        <w:left w:val="none" w:sz="0" w:space="0" w:color="auto"/>
        <w:bottom w:val="none" w:sz="0" w:space="0" w:color="auto"/>
        <w:right w:val="none" w:sz="0" w:space="0" w:color="auto"/>
      </w:divBdr>
    </w:div>
    <w:div w:id="1597056022">
      <w:bodyDiv w:val="1"/>
      <w:marLeft w:val="0"/>
      <w:marRight w:val="0"/>
      <w:marTop w:val="0"/>
      <w:marBottom w:val="0"/>
      <w:divBdr>
        <w:top w:val="none" w:sz="0" w:space="0" w:color="auto"/>
        <w:left w:val="none" w:sz="0" w:space="0" w:color="auto"/>
        <w:bottom w:val="none" w:sz="0" w:space="0" w:color="auto"/>
        <w:right w:val="none" w:sz="0" w:space="0" w:color="auto"/>
      </w:divBdr>
    </w:div>
    <w:div w:id="1597056473">
      <w:bodyDiv w:val="1"/>
      <w:marLeft w:val="0"/>
      <w:marRight w:val="0"/>
      <w:marTop w:val="0"/>
      <w:marBottom w:val="0"/>
      <w:divBdr>
        <w:top w:val="none" w:sz="0" w:space="0" w:color="auto"/>
        <w:left w:val="none" w:sz="0" w:space="0" w:color="auto"/>
        <w:bottom w:val="none" w:sz="0" w:space="0" w:color="auto"/>
        <w:right w:val="none" w:sz="0" w:space="0" w:color="auto"/>
      </w:divBdr>
    </w:div>
    <w:div w:id="1597059787">
      <w:bodyDiv w:val="1"/>
      <w:marLeft w:val="0"/>
      <w:marRight w:val="0"/>
      <w:marTop w:val="0"/>
      <w:marBottom w:val="0"/>
      <w:divBdr>
        <w:top w:val="none" w:sz="0" w:space="0" w:color="auto"/>
        <w:left w:val="none" w:sz="0" w:space="0" w:color="auto"/>
        <w:bottom w:val="none" w:sz="0" w:space="0" w:color="auto"/>
        <w:right w:val="none" w:sz="0" w:space="0" w:color="auto"/>
      </w:divBdr>
    </w:div>
    <w:div w:id="1597442691">
      <w:bodyDiv w:val="1"/>
      <w:marLeft w:val="0"/>
      <w:marRight w:val="0"/>
      <w:marTop w:val="0"/>
      <w:marBottom w:val="0"/>
      <w:divBdr>
        <w:top w:val="none" w:sz="0" w:space="0" w:color="auto"/>
        <w:left w:val="none" w:sz="0" w:space="0" w:color="auto"/>
        <w:bottom w:val="none" w:sz="0" w:space="0" w:color="auto"/>
        <w:right w:val="none" w:sz="0" w:space="0" w:color="auto"/>
      </w:divBdr>
    </w:div>
    <w:div w:id="1597443300">
      <w:bodyDiv w:val="1"/>
      <w:marLeft w:val="0"/>
      <w:marRight w:val="0"/>
      <w:marTop w:val="0"/>
      <w:marBottom w:val="0"/>
      <w:divBdr>
        <w:top w:val="none" w:sz="0" w:space="0" w:color="auto"/>
        <w:left w:val="none" w:sz="0" w:space="0" w:color="auto"/>
        <w:bottom w:val="none" w:sz="0" w:space="0" w:color="auto"/>
        <w:right w:val="none" w:sz="0" w:space="0" w:color="auto"/>
      </w:divBdr>
    </w:div>
    <w:div w:id="1597590500">
      <w:bodyDiv w:val="1"/>
      <w:marLeft w:val="0"/>
      <w:marRight w:val="0"/>
      <w:marTop w:val="0"/>
      <w:marBottom w:val="0"/>
      <w:divBdr>
        <w:top w:val="none" w:sz="0" w:space="0" w:color="auto"/>
        <w:left w:val="none" w:sz="0" w:space="0" w:color="auto"/>
        <w:bottom w:val="none" w:sz="0" w:space="0" w:color="auto"/>
        <w:right w:val="none" w:sz="0" w:space="0" w:color="auto"/>
      </w:divBdr>
    </w:div>
    <w:div w:id="1597666092">
      <w:bodyDiv w:val="1"/>
      <w:marLeft w:val="0"/>
      <w:marRight w:val="0"/>
      <w:marTop w:val="0"/>
      <w:marBottom w:val="0"/>
      <w:divBdr>
        <w:top w:val="none" w:sz="0" w:space="0" w:color="auto"/>
        <w:left w:val="none" w:sz="0" w:space="0" w:color="auto"/>
        <w:bottom w:val="none" w:sz="0" w:space="0" w:color="auto"/>
        <w:right w:val="none" w:sz="0" w:space="0" w:color="auto"/>
      </w:divBdr>
    </w:div>
    <w:div w:id="1597666614">
      <w:bodyDiv w:val="1"/>
      <w:marLeft w:val="0"/>
      <w:marRight w:val="0"/>
      <w:marTop w:val="0"/>
      <w:marBottom w:val="0"/>
      <w:divBdr>
        <w:top w:val="none" w:sz="0" w:space="0" w:color="auto"/>
        <w:left w:val="none" w:sz="0" w:space="0" w:color="auto"/>
        <w:bottom w:val="none" w:sz="0" w:space="0" w:color="auto"/>
        <w:right w:val="none" w:sz="0" w:space="0" w:color="auto"/>
      </w:divBdr>
    </w:div>
    <w:div w:id="1597976544">
      <w:bodyDiv w:val="1"/>
      <w:marLeft w:val="0"/>
      <w:marRight w:val="0"/>
      <w:marTop w:val="0"/>
      <w:marBottom w:val="0"/>
      <w:divBdr>
        <w:top w:val="none" w:sz="0" w:space="0" w:color="auto"/>
        <w:left w:val="none" w:sz="0" w:space="0" w:color="auto"/>
        <w:bottom w:val="none" w:sz="0" w:space="0" w:color="auto"/>
        <w:right w:val="none" w:sz="0" w:space="0" w:color="auto"/>
      </w:divBdr>
    </w:div>
    <w:div w:id="1598365859">
      <w:bodyDiv w:val="1"/>
      <w:marLeft w:val="0"/>
      <w:marRight w:val="0"/>
      <w:marTop w:val="0"/>
      <w:marBottom w:val="0"/>
      <w:divBdr>
        <w:top w:val="none" w:sz="0" w:space="0" w:color="auto"/>
        <w:left w:val="none" w:sz="0" w:space="0" w:color="auto"/>
        <w:bottom w:val="none" w:sz="0" w:space="0" w:color="auto"/>
        <w:right w:val="none" w:sz="0" w:space="0" w:color="auto"/>
      </w:divBdr>
    </w:div>
    <w:div w:id="1598367172">
      <w:bodyDiv w:val="1"/>
      <w:marLeft w:val="0"/>
      <w:marRight w:val="0"/>
      <w:marTop w:val="0"/>
      <w:marBottom w:val="0"/>
      <w:divBdr>
        <w:top w:val="none" w:sz="0" w:space="0" w:color="auto"/>
        <w:left w:val="none" w:sz="0" w:space="0" w:color="auto"/>
        <w:bottom w:val="none" w:sz="0" w:space="0" w:color="auto"/>
        <w:right w:val="none" w:sz="0" w:space="0" w:color="auto"/>
      </w:divBdr>
    </w:div>
    <w:div w:id="1598564246">
      <w:bodyDiv w:val="1"/>
      <w:marLeft w:val="0"/>
      <w:marRight w:val="0"/>
      <w:marTop w:val="0"/>
      <w:marBottom w:val="0"/>
      <w:divBdr>
        <w:top w:val="none" w:sz="0" w:space="0" w:color="auto"/>
        <w:left w:val="none" w:sz="0" w:space="0" w:color="auto"/>
        <w:bottom w:val="none" w:sz="0" w:space="0" w:color="auto"/>
        <w:right w:val="none" w:sz="0" w:space="0" w:color="auto"/>
      </w:divBdr>
    </w:div>
    <w:div w:id="1598756634">
      <w:bodyDiv w:val="1"/>
      <w:marLeft w:val="0"/>
      <w:marRight w:val="0"/>
      <w:marTop w:val="0"/>
      <w:marBottom w:val="0"/>
      <w:divBdr>
        <w:top w:val="none" w:sz="0" w:space="0" w:color="auto"/>
        <w:left w:val="none" w:sz="0" w:space="0" w:color="auto"/>
        <w:bottom w:val="none" w:sz="0" w:space="0" w:color="auto"/>
        <w:right w:val="none" w:sz="0" w:space="0" w:color="auto"/>
      </w:divBdr>
    </w:div>
    <w:div w:id="1598782531">
      <w:bodyDiv w:val="1"/>
      <w:marLeft w:val="0"/>
      <w:marRight w:val="0"/>
      <w:marTop w:val="0"/>
      <w:marBottom w:val="0"/>
      <w:divBdr>
        <w:top w:val="none" w:sz="0" w:space="0" w:color="auto"/>
        <w:left w:val="none" w:sz="0" w:space="0" w:color="auto"/>
        <w:bottom w:val="none" w:sz="0" w:space="0" w:color="auto"/>
        <w:right w:val="none" w:sz="0" w:space="0" w:color="auto"/>
      </w:divBdr>
    </w:div>
    <w:div w:id="1598827737">
      <w:bodyDiv w:val="1"/>
      <w:marLeft w:val="0"/>
      <w:marRight w:val="0"/>
      <w:marTop w:val="0"/>
      <w:marBottom w:val="0"/>
      <w:divBdr>
        <w:top w:val="none" w:sz="0" w:space="0" w:color="auto"/>
        <w:left w:val="none" w:sz="0" w:space="0" w:color="auto"/>
        <w:bottom w:val="none" w:sz="0" w:space="0" w:color="auto"/>
        <w:right w:val="none" w:sz="0" w:space="0" w:color="auto"/>
      </w:divBdr>
    </w:div>
    <w:div w:id="1599363344">
      <w:bodyDiv w:val="1"/>
      <w:marLeft w:val="0"/>
      <w:marRight w:val="0"/>
      <w:marTop w:val="0"/>
      <w:marBottom w:val="0"/>
      <w:divBdr>
        <w:top w:val="none" w:sz="0" w:space="0" w:color="auto"/>
        <w:left w:val="none" w:sz="0" w:space="0" w:color="auto"/>
        <w:bottom w:val="none" w:sz="0" w:space="0" w:color="auto"/>
        <w:right w:val="none" w:sz="0" w:space="0" w:color="auto"/>
      </w:divBdr>
    </w:div>
    <w:div w:id="1599367160">
      <w:bodyDiv w:val="1"/>
      <w:marLeft w:val="0"/>
      <w:marRight w:val="0"/>
      <w:marTop w:val="0"/>
      <w:marBottom w:val="0"/>
      <w:divBdr>
        <w:top w:val="none" w:sz="0" w:space="0" w:color="auto"/>
        <w:left w:val="none" w:sz="0" w:space="0" w:color="auto"/>
        <w:bottom w:val="none" w:sz="0" w:space="0" w:color="auto"/>
        <w:right w:val="none" w:sz="0" w:space="0" w:color="auto"/>
      </w:divBdr>
    </w:div>
    <w:div w:id="1599481823">
      <w:bodyDiv w:val="1"/>
      <w:marLeft w:val="0"/>
      <w:marRight w:val="0"/>
      <w:marTop w:val="0"/>
      <w:marBottom w:val="0"/>
      <w:divBdr>
        <w:top w:val="none" w:sz="0" w:space="0" w:color="auto"/>
        <w:left w:val="none" w:sz="0" w:space="0" w:color="auto"/>
        <w:bottom w:val="none" w:sz="0" w:space="0" w:color="auto"/>
        <w:right w:val="none" w:sz="0" w:space="0" w:color="auto"/>
      </w:divBdr>
    </w:div>
    <w:div w:id="1599556452">
      <w:bodyDiv w:val="1"/>
      <w:marLeft w:val="0"/>
      <w:marRight w:val="0"/>
      <w:marTop w:val="0"/>
      <w:marBottom w:val="0"/>
      <w:divBdr>
        <w:top w:val="none" w:sz="0" w:space="0" w:color="auto"/>
        <w:left w:val="none" w:sz="0" w:space="0" w:color="auto"/>
        <w:bottom w:val="none" w:sz="0" w:space="0" w:color="auto"/>
        <w:right w:val="none" w:sz="0" w:space="0" w:color="auto"/>
      </w:divBdr>
    </w:div>
    <w:div w:id="1599561982">
      <w:bodyDiv w:val="1"/>
      <w:marLeft w:val="0"/>
      <w:marRight w:val="0"/>
      <w:marTop w:val="0"/>
      <w:marBottom w:val="0"/>
      <w:divBdr>
        <w:top w:val="none" w:sz="0" w:space="0" w:color="auto"/>
        <w:left w:val="none" w:sz="0" w:space="0" w:color="auto"/>
        <w:bottom w:val="none" w:sz="0" w:space="0" w:color="auto"/>
        <w:right w:val="none" w:sz="0" w:space="0" w:color="auto"/>
      </w:divBdr>
    </w:div>
    <w:div w:id="1599604498">
      <w:bodyDiv w:val="1"/>
      <w:marLeft w:val="0"/>
      <w:marRight w:val="0"/>
      <w:marTop w:val="0"/>
      <w:marBottom w:val="0"/>
      <w:divBdr>
        <w:top w:val="none" w:sz="0" w:space="0" w:color="auto"/>
        <w:left w:val="none" w:sz="0" w:space="0" w:color="auto"/>
        <w:bottom w:val="none" w:sz="0" w:space="0" w:color="auto"/>
        <w:right w:val="none" w:sz="0" w:space="0" w:color="auto"/>
      </w:divBdr>
    </w:div>
    <w:div w:id="1599750310">
      <w:bodyDiv w:val="1"/>
      <w:marLeft w:val="0"/>
      <w:marRight w:val="0"/>
      <w:marTop w:val="0"/>
      <w:marBottom w:val="0"/>
      <w:divBdr>
        <w:top w:val="none" w:sz="0" w:space="0" w:color="auto"/>
        <w:left w:val="none" w:sz="0" w:space="0" w:color="auto"/>
        <w:bottom w:val="none" w:sz="0" w:space="0" w:color="auto"/>
        <w:right w:val="none" w:sz="0" w:space="0" w:color="auto"/>
      </w:divBdr>
    </w:div>
    <w:div w:id="1599799696">
      <w:bodyDiv w:val="1"/>
      <w:marLeft w:val="0"/>
      <w:marRight w:val="0"/>
      <w:marTop w:val="0"/>
      <w:marBottom w:val="0"/>
      <w:divBdr>
        <w:top w:val="none" w:sz="0" w:space="0" w:color="auto"/>
        <w:left w:val="none" w:sz="0" w:space="0" w:color="auto"/>
        <w:bottom w:val="none" w:sz="0" w:space="0" w:color="auto"/>
        <w:right w:val="none" w:sz="0" w:space="0" w:color="auto"/>
      </w:divBdr>
    </w:div>
    <w:div w:id="1599867121">
      <w:bodyDiv w:val="1"/>
      <w:marLeft w:val="0"/>
      <w:marRight w:val="0"/>
      <w:marTop w:val="0"/>
      <w:marBottom w:val="0"/>
      <w:divBdr>
        <w:top w:val="none" w:sz="0" w:space="0" w:color="auto"/>
        <w:left w:val="none" w:sz="0" w:space="0" w:color="auto"/>
        <w:bottom w:val="none" w:sz="0" w:space="0" w:color="auto"/>
        <w:right w:val="none" w:sz="0" w:space="0" w:color="auto"/>
      </w:divBdr>
    </w:div>
    <w:div w:id="1599873278">
      <w:bodyDiv w:val="1"/>
      <w:marLeft w:val="0"/>
      <w:marRight w:val="0"/>
      <w:marTop w:val="0"/>
      <w:marBottom w:val="0"/>
      <w:divBdr>
        <w:top w:val="none" w:sz="0" w:space="0" w:color="auto"/>
        <w:left w:val="none" w:sz="0" w:space="0" w:color="auto"/>
        <w:bottom w:val="none" w:sz="0" w:space="0" w:color="auto"/>
        <w:right w:val="none" w:sz="0" w:space="0" w:color="auto"/>
      </w:divBdr>
    </w:div>
    <w:div w:id="1600017664">
      <w:bodyDiv w:val="1"/>
      <w:marLeft w:val="0"/>
      <w:marRight w:val="0"/>
      <w:marTop w:val="0"/>
      <w:marBottom w:val="0"/>
      <w:divBdr>
        <w:top w:val="none" w:sz="0" w:space="0" w:color="auto"/>
        <w:left w:val="none" w:sz="0" w:space="0" w:color="auto"/>
        <w:bottom w:val="none" w:sz="0" w:space="0" w:color="auto"/>
        <w:right w:val="none" w:sz="0" w:space="0" w:color="auto"/>
      </w:divBdr>
    </w:div>
    <w:div w:id="1600019237">
      <w:bodyDiv w:val="1"/>
      <w:marLeft w:val="0"/>
      <w:marRight w:val="0"/>
      <w:marTop w:val="0"/>
      <w:marBottom w:val="0"/>
      <w:divBdr>
        <w:top w:val="none" w:sz="0" w:space="0" w:color="auto"/>
        <w:left w:val="none" w:sz="0" w:space="0" w:color="auto"/>
        <w:bottom w:val="none" w:sz="0" w:space="0" w:color="auto"/>
        <w:right w:val="none" w:sz="0" w:space="0" w:color="auto"/>
      </w:divBdr>
    </w:div>
    <w:div w:id="1600022705">
      <w:bodyDiv w:val="1"/>
      <w:marLeft w:val="0"/>
      <w:marRight w:val="0"/>
      <w:marTop w:val="0"/>
      <w:marBottom w:val="0"/>
      <w:divBdr>
        <w:top w:val="none" w:sz="0" w:space="0" w:color="auto"/>
        <w:left w:val="none" w:sz="0" w:space="0" w:color="auto"/>
        <w:bottom w:val="none" w:sz="0" w:space="0" w:color="auto"/>
        <w:right w:val="none" w:sz="0" w:space="0" w:color="auto"/>
      </w:divBdr>
    </w:div>
    <w:div w:id="1600139191">
      <w:bodyDiv w:val="1"/>
      <w:marLeft w:val="0"/>
      <w:marRight w:val="0"/>
      <w:marTop w:val="0"/>
      <w:marBottom w:val="0"/>
      <w:divBdr>
        <w:top w:val="none" w:sz="0" w:space="0" w:color="auto"/>
        <w:left w:val="none" w:sz="0" w:space="0" w:color="auto"/>
        <w:bottom w:val="none" w:sz="0" w:space="0" w:color="auto"/>
        <w:right w:val="none" w:sz="0" w:space="0" w:color="auto"/>
      </w:divBdr>
    </w:div>
    <w:div w:id="1600215362">
      <w:bodyDiv w:val="1"/>
      <w:marLeft w:val="0"/>
      <w:marRight w:val="0"/>
      <w:marTop w:val="0"/>
      <w:marBottom w:val="0"/>
      <w:divBdr>
        <w:top w:val="none" w:sz="0" w:space="0" w:color="auto"/>
        <w:left w:val="none" w:sz="0" w:space="0" w:color="auto"/>
        <w:bottom w:val="none" w:sz="0" w:space="0" w:color="auto"/>
        <w:right w:val="none" w:sz="0" w:space="0" w:color="auto"/>
      </w:divBdr>
    </w:div>
    <w:div w:id="1600259295">
      <w:bodyDiv w:val="1"/>
      <w:marLeft w:val="0"/>
      <w:marRight w:val="0"/>
      <w:marTop w:val="0"/>
      <w:marBottom w:val="0"/>
      <w:divBdr>
        <w:top w:val="none" w:sz="0" w:space="0" w:color="auto"/>
        <w:left w:val="none" w:sz="0" w:space="0" w:color="auto"/>
        <w:bottom w:val="none" w:sz="0" w:space="0" w:color="auto"/>
        <w:right w:val="none" w:sz="0" w:space="0" w:color="auto"/>
      </w:divBdr>
    </w:div>
    <w:div w:id="1600285867">
      <w:bodyDiv w:val="1"/>
      <w:marLeft w:val="0"/>
      <w:marRight w:val="0"/>
      <w:marTop w:val="0"/>
      <w:marBottom w:val="0"/>
      <w:divBdr>
        <w:top w:val="none" w:sz="0" w:space="0" w:color="auto"/>
        <w:left w:val="none" w:sz="0" w:space="0" w:color="auto"/>
        <w:bottom w:val="none" w:sz="0" w:space="0" w:color="auto"/>
        <w:right w:val="none" w:sz="0" w:space="0" w:color="auto"/>
      </w:divBdr>
    </w:div>
    <w:div w:id="1600332698">
      <w:bodyDiv w:val="1"/>
      <w:marLeft w:val="0"/>
      <w:marRight w:val="0"/>
      <w:marTop w:val="0"/>
      <w:marBottom w:val="0"/>
      <w:divBdr>
        <w:top w:val="none" w:sz="0" w:space="0" w:color="auto"/>
        <w:left w:val="none" w:sz="0" w:space="0" w:color="auto"/>
        <w:bottom w:val="none" w:sz="0" w:space="0" w:color="auto"/>
        <w:right w:val="none" w:sz="0" w:space="0" w:color="auto"/>
      </w:divBdr>
    </w:div>
    <w:div w:id="1600405011">
      <w:bodyDiv w:val="1"/>
      <w:marLeft w:val="0"/>
      <w:marRight w:val="0"/>
      <w:marTop w:val="0"/>
      <w:marBottom w:val="0"/>
      <w:divBdr>
        <w:top w:val="none" w:sz="0" w:space="0" w:color="auto"/>
        <w:left w:val="none" w:sz="0" w:space="0" w:color="auto"/>
        <w:bottom w:val="none" w:sz="0" w:space="0" w:color="auto"/>
        <w:right w:val="none" w:sz="0" w:space="0" w:color="auto"/>
      </w:divBdr>
    </w:div>
    <w:div w:id="1600486333">
      <w:bodyDiv w:val="1"/>
      <w:marLeft w:val="0"/>
      <w:marRight w:val="0"/>
      <w:marTop w:val="0"/>
      <w:marBottom w:val="0"/>
      <w:divBdr>
        <w:top w:val="none" w:sz="0" w:space="0" w:color="auto"/>
        <w:left w:val="none" w:sz="0" w:space="0" w:color="auto"/>
        <w:bottom w:val="none" w:sz="0" w:space="0" w:color="auto"/>
        <w:right w:val="none" w:sz="0" w:space="0" w:color="auto"/>
      </w:divBdr>
    </w:div>
    <w:div w:id="1600599328">
      <w:bodyDiv w:val="1"/>
      <w:marLeft w:val="0"/>
      <w:marRight w:val="0"/>
      <w:marTop w:val="0"/>
      <w:marBottom w:val="0"/>
      <w:divBdr>
        <w:top w:val="none" w:sz="0" w:space="0" w:color="auto"/>
        <w:left w:val="none" w:sz="0" w:space="0" w:color="auto"/>
        <w:bottom w:val="none" w:sz="0" w:space="0" w:color="auto"/>
        <w:right w:val="none" w:sz="0" w:space="0" w:color="auto"/>
      </w:divBdr>
    </w:div>
    <w:div w:id="1600749431">
      <w:bodyDiv w:val="1"/>
      <w:marLeft w:val="0"/>
      <w:marRight w:val="0"/>
      <w:marTop w:val="0"/>
      <w:marBottom w:val="0"/>
      <w:divBdr>
        <w:top w:val="none" w:sz="0" w:space="0" w:color="auto"/>
        <w:left w:val="none" w:sz="0" w:space="0" w:color="auto"/>
        <w:bottom w:val="none" w:sz="0" w:space="0" w:color="auto"/>
        <w:right w:val="none" w:sz="0" w:space="0" w:color="auto"/>
      </w:divBdr>
    </w:div>
    <w:div w:id="1600793023">
      <w:bodyDiv w:val="1"/>
      <w:marLeft w:val="0"/>
      <w:marRight w:val="0"/>
      <w:marTop w:val="0"/>
      <w:marBottom w:val="0"/>
      <w:divBdr>
        <w:top w:val="none" w:sz="0" w:space="0" w:color="auto"/>
        <w:left w:val="none" w:sz="0" w:space="0" w:color="auto"/>
        <w:bottom w:val="none" w:sz="0" w:space="0" w:color="auto"/>
        <w:right w:val="none" w:sz="0" w:space="0" w:color="auto"/>
      </w:divBdr>
    </w:div>
    <w:div w:id="1600869932">
      <w:bodyDiv w:val="1"/>
      <w:marLeft w:val="0"/>
      <w:marRight w:val="0"/>
      <w:marTop w:val="0"/>
      <w:marBottom w:val="0"/>
      <w:divBdr>
        <w:top w:val="none" w:sz="0" w:space="0" w:color="auto"/>
        <w:left w:val="none" w:sz="0" w:space="0" w:color="auto"/>
        <w:bottom w:val="none" w:sz="0" w:space="0" w:color="auto"/>
        <w:right w:val="none" w:sz="0" w:space="0" w:color="auto"/>
      </w:divBdr>
    </w:div>
    <w:div w:id="1600871150">
      <w:bodyDiv w:val="1"/>
      <w:marLeft w:val="0"/>
      <w:marRight w:val="0"/>
      <w:marTop w:val="0"/>
      <w:marBottom w:val="0"/>
      <w:divBdr>
        <w:top w:val="none" w:sz="0" w:space="0" w:color="auto"/>
        <w:left w:val="none" w:sz="0" w:space="0" w:color="auto"/>
        <w:bottom w:val="none" w:sz="0" w:space="0" w:color="auto"/>
        <w:right w:val="none" w:sz="0" w:space="0" w:color="auto"/>
      </w:divBdr>
    </w:div>
    <w:div w:id="1601182144">
      <w:bodyDiv w:val="1"/>
      <w:marLeft w:val="0"/>
      <w:marRight w:val="0"/>
      <w:marTop w:val="0"/>
      <w:marBottom w:val="0"/>
      <w:divBdr>
        <w:top w:val="none" w:sz="0" w:space="0" w:color="auto"/>
        <w:left w:val="none" w:sz="0" w:space="0" w:color="auto"/>
        <w:bottom w:val="none" w:sz="0" w:space="0" w:color="auto"/>
        <w:right w:val="none" w:sz="0" w:space="0" w:color="auto"/>
      </w:divBdr>
    </w:div>
    <w:div w:id="1601184324">
      <w:bodyDiv w:val="1"/>
      <w:marLeft w:val="0"/>
      <w:marRight w:val="0"/>
      <w:marTop w:val="0"/>
      <w:marBottom w:val="0"/>
      <w:divBdr>
        <w:top w:val="none" w:sz="0" w:space="0" w:color="auto"/>
        <w:left w:val="none" w:sz="0" w:space="0" w:color="auto"/>
        <w:bottom w:val="none" w:sz="0" w:space="0" w:color="auto"/>
        <w:right w:val="none" w:sz="0" w:space="0" w:color="auto"/>
      </w:divBdr>
    </w:div>
    <w:div w:id="1601255140">
      <w:bodyDiv w:val="1"/>
      <w:marLeft w:val="0"/>
      <w:marRight w:val="0"/>
      <w:marTop w:val="0"/>
      <w:marBottom w:val="0"/>
      <w:divBdr>
        <w:top w:val="none" w:sz="0" w:space="0" w:color="auto"/>
        <w:left w:val="none" w:sz="0" w:space="0" w:color="auto"/>
        <w:bottom w:val="none" w:sz="0" w:space="0" w:color="auto"/>
        <w:right w:val="none" w:sz="0" w:space="0" w:color="auto"/>
      </w:divBdr>
    </w:div>
    <w:div w:id="1601259313">
      <w:bodyDiv w:val="1"/>
      <w:marLeft w:val="0"/>
      <w:marRight w:val="0"/>
      <w:marTop w:val="0"/>
      <w:marBottom w:val="0"/>
      <w:divBdr>
        <w:top w:val="none" w:sz="0" w:space="0" w:color="auto"/>
        <w:left w:val="none" w:sz="0" w:space="0" w:color="auto"/>
        <w:bottom w:val="none" w:sz="0" w:space="0" w:color="auto"/>
        <w:right w:val="none" w:sz="0" w:space="0" w:color="auto"/>
      </w:divBdr>
    </w:div>
    <w:div w:id="1601374743">
      <w:bodyDiv w:val="1"/>
      <w:marLeft w:val="0"/>
      <w:marRight w:val="0"/>
      <w:marTop w:val="0"/>
      <w:marBottom w:val="0"/>
      <w:divBdr>
        <w:top w:val="none" w:sz="0" w:space="0" w:color="auto"/>
        <w:left w:val="none" w:sz="0" w:space="0" w:color="auto"/>
        <w:bottom w:val="none" w:sz="0" w:space="0" w:color="auto"/>
        <w:right w:val="none" w:sz="0" w:space="0" w:color="auto"/>
      </w:divBdr>
    </w:div>
    <w:div w:id="1601521271">
      <w:bodyDiv w:val="1"/>
      <w:marLeft w:val="0"/>
      <w:marRight w:val="0"/>
      <w:marTop w:val="0"/>
      <w:marBottom w:val="0"/>
      <w:divBdr>
        <w:top w:val="none" w:sz="0" w:space="0" w:color="auto"/>
        <w:left w:val="none" w:sz="0" w:space="0" w:color="auto"/>
        <w:bottom w:val="none" w:sz="0" w:space="0" w:color="auto"/>
        <w:right w:val="none" w:sz="0" w:space="0" w:color="auto"/>
      </w:divBdr>
    </w:div>
    <w:div w:id="1601794495">
      <w:bodyDiv w:val="1"/>
      <w:marLeft w:val="0"/>
      <w:marRight w:val="0"/>
      <w:marTop w:val="0"/>
      <w:marBottom w:val="0"/>
      <w:divBdr>
        <w:top w:val="none" w:sz="0" w:space="0" w:color="auto"/>
        <w:left w:val="none" w:sz="0" w:space="0" w:color="auto"/>
        <w:bottom w:val="none" w:sz="0" w:space="0" w:color="auto"/>
        <w:right w:val="none" w:sz="0" w:space="0" w:color="auto"/>
      </w:divBdr>
    </w:div>
    <w:div w:id="1601834299">
      <w:bodyDiv w:val="1"/>
      <w:marLeft w:val="0"/>
      <w:marRight w:val="0"/>
      <w:marTop w:val="0"/>
      <w:marBottom w:val="0"/>
      <w:divBdr>
        <w:top w:val="none" w:sz="0" w:space="0" w:color="auto"/>
        <w:left w:val="none" w:sz="0" w:space="0" w:color="auto"/>
        <w:bottom w:val="none" w:sz="0" w:space="0" w:color="auto"/>
        <w:right w:val="none" w:sz="0" w:space="0" w:color="auto"/>
      </w:divBdr>
    </w:div>
    <w:div w:id="1601913911">
      <w:bodyDiv w:val="1"/>
      <w:marLeft w:val="0"/>
      <w:marRight w:val="0"/>
      <w:marTop w:val="0"/>
      <w:marBottom w:val="0"/>
      <w:divBdr>
        <w:top w:val="none" w:sz="0" w:space="0" w:color="auto"/>
        <w:left w:val="none" w:sz="0" w:space="0" w:color="auto"/>
        <w:bottom w:val="none" w:sz="0" w:space="0" w:color="auto"/>
        <w:right w:val="none" w:sz="0" w:space="0" w:color="auto"/>
      </w:divBdr>
    </w:div>
    <w:div w:id="1602029604">
      <w:bodyDiv w:val="1"/>
      <w:marLeft w:val="0"/>
      <w:marRight w:val="0"/>
      <w:marTop w:val="0"/>
      <w:marBottom w:val="0"/>
      <w:divBdr>
        <w:top w:val="none" w:sz="0" w:space="0" w:color="auto"/>
        <w:left w:val="none" w:sz="0" w:space="0" w:color="auto"/>
        <w:bottom w:val="none" w:sz="0" w:space="0" w:color="auto"/>
        <w:right w:val="none" w:sz="0" w:space="0" w:color="auto"/>
      </w:divBdr>
    </w:div>
    <w:div w:id="1602182097">
      <w:bodyDiv w:val="1"/>
      <w:marLeft w:val="0"/>
      <w:marRight w:val="0"/>
      <w:marTop w:val="0"/>
      <w:marBottom w:val="0"/>
      <w:divBdr>
        <w:top w:val="none" w:sz="0" w:space="0" w:color="auto"/>
        <w:left w:val="none" w:sz="0" w:space="0" w:color="auto"/>
        <w:bottom w:val="none" w:sz="0" w:space="0" w:color="auto"/>
        <w:right w:val="none" w:sz="0" w:space="0" w:color="auto"/>
      </w:divBdr>
    </w:div>
    <w:div w:id="1602299859">
      <w:bodyDiv w:val="1"/>
      <w:marLeft w:val="0"/>
      <w:marRight w:val="0"/>
      <w:marTop w:val="0"/>
      <w:marBottom w:val="0"/>
      <w:divBdr>
        <w:top w:val="none" w:sz="0" w:space="0" w:color="auto"/>
        <w:left w:val="none" w:sz="0" w:space="0" w:color="auto"/>
        <w:bottom w:val="none" w:sz="0" w:space="0" w:color="auto"/>
        <w:right w:val="none" w:sz="0" w:space="0" w:color="auto"/>
      </w:divBdr>
    </w:div>
    <w:div w:id="1602421319">
      <w:bodyDiv w:val="1"/>
      <w:marLeft w:val="0"/>
      <w:marRight w:val="0"/>
      <w:marTop w:val="0"/>
      <w:marBottom w:val="0"/>
      <w:divBdr>
        <w:top w:val="none" w:sz="0" w:space="0" w:color="auto"/>
        <w:left w:val="none" w:sz="0" w:space="0" w:color="auto"/>
        <w:bottom w:val="none" w:sz="0" w:space="0" w:color="auto"/>
        <w:right w:val="none" w:sz="0" w:space="0" w:color="auto"/>
      </w:divBdr>
    </w:div>
    <w:div w:id="1602451175">
      <w:bodyDiv w:val="1"/>
      <w:marLeft w:val="0"/>
      <w:marRight w:val="0"/>
      <w:marTop w:val="0"/>
      <w:marBottom w:val="0"/>
      <w:divBdr>
        <w:top w:val="none" w:sz="0" w:space="0" w:color="auto"/>
        <w:left w:val="none" w:sz="0" w:space="0" w:color="auto"/>
        <w:bottom w:val="none" w:sz="0" w:space="0" w:color="auto"/>
        <w:right w:val="none" w:sz="0" w:space="0" w:color="auto"/>
      </w:divBdr>
    </w:div>
    <w:div w:id="1602491841">
      <w:bodyDiv w:val="1"/>
      <w:marLeft w:val="0"/>
      <w:marRight w:val="0"/>
      <w:marTop w:val="0"/>
      <w:marBottom w:val="0"/>
      <w:divBdr>
        <w:top w:val="none" w:sz="0" w:space="0" w:color="auto"/>
        <w:left w:val="none" w:sz="0" w:space="0" w:color="auto"/>
        <w:bottom w:val="none" w:sz="0" w:space="0" w:color="auto"/>
        <w:right w:val="none" w:sz="0" w:space="0" w:color="auto"/>
      </w:divBdr>
    </w:div>
    <w:div w:id="1602645520">
      <w:bodyDiv w:val="1"/>
      <w:marLeft w:val="0"/>
      <w:marRight w:val="0"/>
      <w:marTop w:val="0"/>
      <w:marBottom w:val="0"/>
      <w:divBdr>
        <w:top w:val="none" w:sz="0" w:space="0" w:color="auto"/>
        <w:left w:val="none" w:sz="0" w:space="0" w:color="auto"/>
        <w:bottom w:val="none" w:sz="0" w:space="0" w:color="auto"/>
        <w:right w:val="none" w:sz="0" w:space="0" w:color="auto"/>
      </w:divBdr>
    </w:div>
    <w:div w:id="1602683208">
      <w:bodyDiv w:val="1"/>
      <w:marLeft w:val="0"/>
      <w:marRight w:val="0"/>
      <w:marTop w:val="0"/>
      <w:marBottom w:val="0"/>
      <w:divBdr>
        <w:top w:val="none" w:sz="0" w:space="0" w:color="auto"/>
        <w:left w:val="none" w:sz="0" w:space="0" w:color="auto"/>
        <w:bottom w:val="none" w:sz="0" w:space="0" w:color="auto"/>
        <w:right w:val="none" w:sz="0" w:space="0" w:color="auto"/>
      </w:divBdr>
    </w:div>
    <w:div w:id="1602758149">
      <w:bodyDiv w:val="1"/>
      <w:marLeft w:val="0"/>
      <w:marRight w:val="0"/>
      <w:marTop w:val="0"/>
      <w:marBottom w:val="0"/>
      <w:divBdr>
        <w:top w:val="none" w:sz="0" w:space="0" w:color="auto"/>
        <w:left w:val="none" w:sz="0" w:space="0" w:color="auto"/>
        <w:bottom w:val="none" w:sz="0" w:space="0" w:color="auto"/>
        <w:right w:val="none" w:sz="0" w:space="0" w:color="auto"/>
      </w:divBdr>
    </w:div>
    <w:div w:id="1603105409">
      <w:bodyDiv w:val="1"/>
      <w:marLeft w:val="0"/>
      <w:marRight w:val="0"/>
      <w:marTop w:val="0"/>
      <w:marBottom w:val="0"/>
      <w:divBdr>
        <w:top w:val="none" w:sz="0" w:space="0" w:color="auto"/>
        <w:left w:val="none" w:sz="0" w:space="0" w:color="auto"/>
        <w:bottom w:val="none" w:sz="0" w:space="0" w:color="auto"/>
        <w:right w:val="none" w:sz="0" w:space="0" w:color="auto"/>
      </w:divBdr>
    </w:div>
    <w:div w:id="1603294133">
      <w:bodyDiv w:val="1"/>
      <w:marLeft w:val="0"/>
      <w:marRight w:val="0"/>
      <w:marTop w:val="0"/>
      <w:marBottom w:val="0"/>
      <w:divBdr>
        <w:top w:val="none" w:sz="0" w:space="0" w:color="auto"/>
        <w:left w:val="none" w:sz="0" w:space="0" w:color="auto"/>
        <w:bottom w:val="none" w:sz="0" w:space="0" w:color="auto"/>
        <w:right w:val="none" w:sz="0" w:space="0" w:color="auto"/>
      </w:divBdr>
    </w:div>
    <w:div w:id="1603338535">
      <w:bodyDiv w:val="1"/>
      <w:marLeft w:val="0"/>
      <w:marRight w:val="0"/>
      <w:marTop w:val="0"/>
      <w:marBottom w:val="0"/>
      <w:divBdr>
        <w:top w:val="none" w:sz="0" w:space="0" w:color="auto"/>
        <w:left w:val="none" w:sz="0" w:space="0" w:color="auto"/>
        <w:bottom w:val="none" w:sz="0" w:space="0" w:color="auto"/>
        <w:right w:val="none" w:sz="0" w:space="0" w:color="auto"/>
      </w:divBdr>
    </w:div>
    <w:div w:id="1603420085">
      <w:bodyDiv w:val="1"/>
      <w:marLeft w:val="0"/>
      <w:marRight w:val="0"/>
      <w:marTop w:val="0"/>
      <w:marBottom w:val="0"/>
      <w:divBdr>
        <w:top w:val="none" w:sz="0" w:space="0" w:color="auto"/>
        <w:left w:val="none" w:sz="0" w:space="0" w:color="auto"/>
        <w:bottom w:val="none" w:sz="0" w:space="0" w:color="auto"/>
        <w:right w:val="none" w:sz="0" w:space="0" w:color="auto"/>
      </w:divBdr>
    </w:div>
    <w:div w:id="1603537596">
      <w:bodyDiv w:val="1"/>
      <w:marLeft w:val="0"/>
      <w:marRight w:val="0"/>
      <w:marTop w:val="0"/>
      <w:marBottom w:val="0"/>
      <w:divBdr>
        <w:top w:val="none" w:sz="0" w:space="0" w:color="auto"/>
        <w:left w:val="none" w:sz="0" w:space="0" w:color="auto"/>
        <w:bottom w:val="none" w:sz="0" w:space="0" w:color="auto"/>
        <w:right w:val="none" w:sz="0" w:space="0" w:color="auto"/>
      </w:divBdr>
    </w:div>
    <w:div w:id="1603612858">
      <w:bodyDiv w:val="1"/>
      <w:marLeft w:val="0"/>
      <w:marRight w:val="0"/>
      <w:marTop w:val="0"/>
      <w:marBottom w:val="0"/>
      <w:divBdr>
        <w:top w:val="none" w:sz="0" w:space="0" w:color="auto"/>
        <w:left w:val="none" w:sz="0" w:space="0" w:color="auto"/>
        <w:bottom w:val="none" w:sz="0" w:space="0" w:color="auto"/>
        <w:right w:val="none" w:sz="0" w:space="0" w:color="auto"/>
      </w:divBdr>
    </w:div>
    <w:div w:id="1603802056">
      <w:bodyDiv w:val="1"/>
      <w:marLeft w:val="0"/>
      <w:marRight w:val="0"/>
      <w:marTop w:val="0"/>
      <w:marBottom w:val="0"/>
      <w:divBdr>
        <w:top w:val="none" w:sz="0" w:space="0" w:color="auto"/>
        <w:left w:val="none" w:sz="0" w:space="0" w:color="auto"/>
        <w:bottom w:val="none" w:sz="0" w:space="0" w:color="auto"/>
        <w:right w:val="none" w:sz="0" w:space="0" w:color="auto"/>
      </w:divBdr>
    </w:div>
    <w:div w:id="1603881468">
      <w:bodyDiv w:val="1"/>
      <w:marLeft w:val="0"/>
      <w:marRight w:val="0"/>
      <w:marTop w:val="0"/>
      <w:marBottom w:val="0"/>
      <w:divBdr>
        <w:top w:val="none" w:sz="0" w:space="0" w:color="auto"/>
        <w:left w:val="none" w:sz="0" w:space="0" w:color="auto"/>
        <w:bottom w:val="none" w:sz="0" w:space="0" w:color="auto"/>
        <w:right w:val="none" w:sz="0" w:space="0" w:color="auto"/>
      </w:divBdr>
    </w:div>
    <w:div w:id="1603999330">
      <w:bodyDiv w:val="1"/>
      <w:marLeft w:val="0"/>
      <w:marRight w:val="0"/>
      <w:marTop w:val="0"/>
      <w:marBottom w:val="0"/>
      <w:divBdr>
        <w:top w:val="none" w:sz="0" w:space="0" w:color="auto"/>
        <w:left w:val="none" w:sz="0" w:space="0" w:color="auto"/>
        <w:bottom w:val="none" w:sz="0" w:space="0" w:color="auto"/>
        <w:right w:val="none" w:sz="0" w:space="0" w:color="auto"/>
      </w:divBdr>
    </w:div>
    <w:div w:id="1604025308">
      <w:bodyDiv w:val="1"/>
      <w:marLeft w:val="0"/>
      <w:marRight w:val="0"/>
      <w:marTop w:val="0"/>
      <w:marBottom w:val="0"/>
      <w:divBdr>
        <w:top w:val="none" w:sz="0" w:space="0" w:color="auto"/>
        <w:left w:val="none" w:sz="0" w:space="0" w:color="auto"/>
        <w:bottom w:val="none" w:sz="0" w:space="0" w:color="auto"/>
        <w:right w:val="none" w:sz="0" w:space="0" w:color="auto"/>
      </w:divBdr>
    </w:div>
    <w:div w:id="1604260320">
      <w:bodyDiv w:val="1"/>
      <w:marLeft w:val="0"/>
      <w:marRight w:val="0"/>
      <w:marTop w:val="0"/>
      <w:marBottom w:val="0"/>
      <w:divBdr>
        <w:top w:val="none" w:sz="0" w:space="0" w:color="auto"/>
        <w:left w:val="none" w:sz="0" w:space="0" w:color="auto"/>
        <w:bottom w:val="none" w:sz="0" w:space="0" w:color="auto"/>
        <w:right w:val="none" w:sz="0" w:space="0" w:color="auto"/>
      </w:divBdr>
    </w:div>
    <w:div w:id="1604260989">
      <w:bodyDiv w:val="1"/>
      <w:marLeft w:val="0"/>
      <w:marRight w:val="0"/>
      <w:marTop w:val="0"/>
      <w:marBottom w:val="0"/>
      <w:divBdr>
        <w:top w:val="none" w:sz="0" w:space="0" w:color="auto"/>
        <w:left w:val="none" w:sz="0" w:space="0" w:color="auto"/>
        <w:bottom w:val="none" w:sz="0" w:space="0" w:color="auto"/>
        <w:right w:val="none" w:sz="0" w:space="0" w:color="auto"/>
      </w:divBdr>
    </w:div>
    <w:div w:id="1604410960">
      <w:bodyDiv w:val="1"/>
      <w:marLeft w:val="0"/>
      <w:marRight w:val="0"/>
      <w:marTop w:val="0"/>
      <w:marBottom w:val="0"/>
      <w:divBdr>
        <w:top w:val="none" w:sz="0" w:space="0" w:color="auto"/>
        <w:left w:val="none" w:sz="0" w:space="0" w:color="auto"/>
        <w:bottom w:val="none" w:sz="0" w:space="0" w:color="auto"/>
        <w:right w:val="none" w:sz="0" w:space="0" w:color="auto"/>
      </w:divBdr>
    </w:div>
    <w:div w:id="1604458756">
      <w:bodyDiv w:val="1"/>
      <w:marLeft w:val="0"/>
      <w:marRight w:val="0"/>
      <w:marTop w:val="0"/>
      <w:marBottom w:val="0"/>
      <w:divBdr>
        <w:top w:val="none" w:sz="0" w:space="0" w:color="auto"/>
        <w:left w:val="none" w:sz="0" w:space="0" w:color="auto"/>
        <w:bottom w:val="none" w:sz="0" w:space="0" w:color="auto"/>
        <w:right w:val="none" w:sz="0" w:space="0" w:color="auto"/>
      </w:divBdr>
    </w:div>
    <w:div w:id="1604848947">
      <w:bodyDiv w:val="1"/>
      <w:marLeft w:val="0"/>
      <w:marRight w:val="0"/>
      <w:marTop w:val="0"/>
      <w:marBottom w:val="0"/>
      <w:divBdr>
        <w:top w:val="none" w:sz="0" w:space="0" w:color="auto"/>
        <w:left w:val="none" w:sz="0" w:space="0" w:color="auto"/>
        <w:bottom w:val="none" w:sz="0" w:space="0" w:color="auto"/>
        <w:right w:val="none" w:sz="0" w:space="0" w:color="auto"/>
      </w:divBdr>
    </w:div>
    <w:div w:id="1604875590">
      <w:bodyDiv w:val="1"/>
      <w:marLeft w:val="0"/>
      <w:marRight w:val="0"/>
      <w:marTop w:val="0"/>
      <w:marBottom w:val="0"/>
      <w:divBdr>
        <w:top w:val="none" w:sz="0" w:space="0" w:color="auto"/>
        <w:left w:val="none" w:sz="0" w:space="0" w:color="auto"/>
        <w:bottom w:val="none" w:sz="0" w:space="0" w:color="auto"/>
        <w:right w:val="none" w:sz="0" w:space="0" w:color="auto"/>
      </w:divBdr>
    </w:div>
    <w:div w:id="1604876855">
      <w:bodyDiv w:val="1"/>
      <w:marLeft w:val="0"/>
      <w:marRight w:val="0"/>
      <w:marTop w:val="0"/>
      <w:marBottom w:val="0"/>
      <w:divBdr>
        <w:top w:val="none" w:sz="0" w:space="0" w:color="auto"/>
        <w:left w:val="none" w:sz="0" w:space="0" w:color="auto"/>
        <w:bottom w:val="none" w:sz="0" w:space="0" w:color="auto"/>
        <w:right w:val="none" w:sz="0" w:space="0" w:color="auto"/>
      </w:divBdr>
    </w:div>
    <w:div w:id="1604917956">
      <w:bodyDiv w:val="1"/>
      <w:marLeft w:val="0"/>
      <w:marRight w:val="0"/>
      <w:marTop w:val="0"/>
      <w:marBottom w:val="0"/>
      <w:divBdr>
        <w:top w:val="none" w:sz="0" w:space="0" w:color="auto"/>
        <w:left w:val="none" w:sz="0" w:space="0" w:color="auto"/>
        <w:bottom w:val="none" w:sz="0" w:space="0" w:color="auto"/>
        <w:right w:val="none" w:sz="0" w:space="0" w:color="auto"/>
      </w:divBdr>
    </w:div>
    <w:div w:id="1605187341">
      <w:bodyDiv w:val="1"/>
      <w:marLeft w:val="0"/>
      <w:marRight w:val="0"/>
      <w:marTop w:val="0"/>
      <w:marBottom w:val="0"/>
      <w:divBdr>
        <w:top w:val="none" w:sz="0" w:space="0" w:color="auto"/>
        <w:left w:val="none" w:sz="0" w:space="0" w:color="auto"/>
        <w:bottom w:val="none" w:sz="0" w:space="0" w:color="auto"/>
        <w:right w:val="none" w:sz="0" w:space="0" w:color="auto"/>
      </w:divBdr>
    </w:div>
    <w:div w:id="1605305071">
      <w:bodyDiv w:val="1"/>
      <w:marLeft w:val="0"/>
      <w:marRight w:val="0"/>
      <w:marTop w:val="0"/>
      <w:marBottom w:val="0"/>
      <w:divBdr>
        <w:top w:val="none" w:sz="0" w:space="0" w:color="auto"/>
        <w:left w:val="none" w:sz="0" w:space="0" w:color="auto"/>
        <w:bottom w:val="none" w:sz="0" w:space="0" w:color="auto"/>
        <w:right w:val="none" w:sz="0" w:space="0" w:color="auto"/>
      </w:divBdr>
    </w:div>
    <w:div w:id="1605335187">
      <w:bodyDiv w:val="1"/>
      <w:marLeft w:val="0"/>
      <w:marRight w:val="0"/>
      <w:marTop w:val="0"/>
      <w:marBottom w:val="0"/>
      <w:divBdr>
        <w:top w:val="none" w:sz="0" w:space="0" w:color="auto"/>
        <w:left w:val="none" w:sz="0" w:space="0" w:color="auto"/>
        <w:bottom w:val="none" w:sz="0" w:space="0" w:color="auto"/>
        <w:right w:val="none" w:sz="0" w:space="0" w:color="auto"/>
      </w:divBdr>
    </w:div>
    <w:div w:id="1605336312">
      <w:bodyDiv w:val="1"/>
      <w:marLeft w:val="0"/>
      <w:marRight w:val="0"/>
      <w:marTop w:val="0"/>
      <w:marBottom w:val="0"/>
      <w:divBdr>
        <w:top w:val="none" w:sz="0" w:space="0" w:color="auto"/>
        <w:left w:val="none" w:sz="0" w:space="0" w:color="auto"/>
        <w:bottom w:val="none" w:sz="0" w:space="0" w:color="auto"/>
        <w:right w:val="none" w:sz="0" w:space="0" w:color="auto"/>
      </w:divBdr>
    </w:div>
    <w:div w:id="1605527491">
      <w:bodyDiv w:val="1"/>
      <w:marLeft w:val="0"/>
      <w:marRight w:val="0"/>
      <w:marTop w:val="0"/>
      <w:marBottom w:val="0"/>
      <w:divBdr>
        <w:top w:val="none" w:sz="0" w:space="0" w:color="auto"/>
        <w:left w:val="none" w:sz="0" w:space="0" w:color="auto"/>
        <w:bottom w:val="none" w:sz="0" w:space="0" w:color="auto"/>
        <w:right w:val="none" w:sz="0" w:space="0" w:color="auto"/>
      </w:divBdr>
    </w:div>
    <w:div w:id="1605578109">
      <w:bodyDiv w:val="1"/>
      <w:marLeft w:val="0"/>
      <w:marRight w:val="0"/>
      <w:marTop w:val="0"/>
      <w:marBottom w:val="0"/>
      <w:divBdr>
        <w:top w:val="none" w:sz="0" w:space="0" w:color="auto"/>
        <w:left w:val="none" w:sz="0" w:space="0" w:color="auto"/>
        <w:bottom w:val="none" w:sz="0" w:space="0" w:color="auto"/>
        <w:right w:val="none" w:sz="0" w:space="0" w:color="auto"/>
      </w:divBdr>
    </w:div>
    <w:div w:id="1605651716">
      <w:bodyDiv w:val="1"/>
      <w:marLeft w:val="0"/>
      <w:marRight w:val="0"/>
      <w:marTop w:val="0"/>
      <w:marBottom w:val="0"/>
      <w:divBdr>
        <w:top w:val="none" w:sz="0" w:space="0" w:color="auto"/>
        <w:left w:val="none" w:sz="0" w:space="0" w:color="auto"/>
        <w:bottom w:val="none" w:sz="0" w:space="0" w:color="auto"/>
        <w:right w:val="none" w:sz="0" w:space="0" w:color="auto"/>
      </w:divBdr>
    </w:div>
    <w:div w:id="1605653799">
      <w:bodyDiv w:val="1"/>
      <w:marLeft w:val="0"/>
      <w:marRight w:val="0"/>
      <w:marTop w:val="0"/>
      <w:marBottom w:val="0"/>
      <w:divBdr>
        <w:top w:val="none" w:sz="0" w:space="0" w:color="auto"/>
        <w:left w:val="none" w:sz="0" w:space="0" w:color="auto"/>
        <w:bottom w:val="none" w:sz="0" w:space="0" w:color="auto"/>
        <w:right w:val="none" w:sz="0" w:space="0" w:color="auto"/>
      </w:divBdr>
    </w:div>
    <w:div w:id="1605724179">
      <w:bodyDiv w:val="1"/>
      <w:marLeft w:val="0"/>
      <w:marRight w:val="0"/>
      <w:marTop w:val="0"/>
      <w:marBottom w:val="0"/>
      <w:divBdr>
        <w:top w:val="none" w:sz="0" w:space="0" w:color="auto"/>
        <w:left w:val="none" w:sz="0" w:space="0" w:color="auto"/>
        <w:bottom w:val="none" w:sz="0" w:space="0" w:color="auto"/>
        <w:right w:val="none" w:sz="0" w:space="0" w:color="auto"/>
      </w:divBdr>
    </w:div>
    <w:div w:id="1605770001">
      <w:bodyDiv w:val="1"/>
      <w:marLeft w:val="0"/>
      <w:marRight w:val="0"/>
      <w:marTop w:val="0"/>
      <w:marBottom w:val="0"/>
      <w:divBdr>
        <w:top w:val="none" w:sz="0" w:space="0" w:color="auto"/>
        <w:left w:val="none" w:sz="0" w:space="0" w:color="auto"/>
        <w:bottom w:val="none" w:sz="0" w:space="0" w:color="auto"/>
        <w:right w:val="none" w:sz="0" w:space="0" w:color="auto"/>
      </w:divBdr>
    </w:div>
    <w:div w:id="1606036408">
      <w:bodyDiv w:val="1"/>
      <w:marLeft w:val="0"/>
      <w:marRight w:val="0"/>
      <w:marTop w:val="0"/>
      <w:marBottom w:val="0"/>
      <w:divBdr>
        <w:top w:val="none" w:sz="0" w:space="0" w:color="auto"/>
        <w:left w:val="none" w:sz="0" w:space="0" w:color="auto"/>
        <w:bottom w:val="none" w:sz="0" w:space="0" w:color="auto"/>
        <w:right w:val="none" w:sz="0" w:space="0" w:color="auto"/>
      </w:divBdr>
    </w:div>
    <w:div w:id="1606110426">
      <w:bodyDiv w:val="1"/>
      <w:marLeft w:val="0"/>
      <w:marRight w:val="0"/>
      <w:marTop w:val="0"/>
      <w:marBottom w:val="0"/>
      <w:divBdr>
        <w:top w:val="none" w:sz="0" w:space="0" w:color="auto"/>
        <w:left w:val="none" w:sz="0" w:space="0" w:color="auto"/>
        <w:bottom w:val="none" w:sz="0" w:space="0" w:color="auto"/>
        <w:right w:val="none" w:sz="0" w:space="0" w:color="auto"/>
      </w:divBdr>
    </w:div>
    <w:div w:id="1606113899">
      <w:bodyDiv w:val="1"/>
      <w:marLeft w:val="0"/>
      <w:marRight w:val="0"/>
      <w:marTop w:val="0"/>
      <w:marBottom w:val="0"/>
      <w:divBdr>
        <w:top w:val="none" w:sz="0" w:space="0" w:color="auto"/>
        <w:left w:val="none" w:sz="0" w:space="0" w:color="auto"/>
        <w:bottom w:val="none" w:sz="0" w:space="0" w:color="auto"/>
        <w:right w:val="none" w:sz="0" w:space="0" w:color="auto"/>
      </w:divBdr>
    </w:div>
    <w:div w:id="1606421783">
      <w:bodyDiv w:val="1"/>
      <w:marLeft w:val="0"/>
      <w:marRight w:val="0"/>
      <w:marTop w:val="0"/>
      <w:marBottom w:val="0"/>
      <w:divBdr>
        <w:top w:val="none" w:sz="0" w:space="0" w:color="auto"/>
        <w:left w:val="none" w:sz="0" w:space="0" w:color="auto"/>
        <w:bottom w:val="none" w:sz="0" w:space="0" w:color="auto"/>
        <w:right w:val="none" w:sz="0" w:space="0" w:color="auto"/>
      </w:divBdr>
    </w:div>
    <w:div w:id="1606422683">
      <w:bodyDiv w:val="1"/>
      <w:marLeft w:val="0"/>
      <w:marRight w:val="0"/>
      <w:marTop w:val="0"/>
      <w:marBottom w:val="0"/>
      <w:divBdr>
        <w:top w:val="none" w:sz="0" w:space="0" w:color="auto"/>
        <w:left w:val="none" w:sz="0" w:space="0" w:color="auto"/>
        <w:bottom w:val="none" w:sz="0" w:space="0" w:color="auto"/>
        <w:right w:val="none" w:sz="0" w:space="0" w:color="auto"/>
      </w:divBdr>
    </w:div>
    <w:div w:id="1606766384">
      <w:bodyDiv w:val="1"/>
      <w:marLeft w:val="0"/>
      <w:marRight w:val="0"/>
      <w:marTop w:val="0"/>
      <w:marBottom w:val="0"/>
      <w:divBdr>
        <w:top w:val="none" w:sz="0" w:space="0" w:color="auto"/>
        <w:left w:val="none" w:sz="0" w:space="0" w:color="auto"/>
        <w:bottom w:val="none" w:sz="0" w:space="0" w:color="auto"/>
        <w:right w:val="none" w:sz="0" w:space="0" w:color="auto"/>
      </w:divBdr>
    </w:div>
    <w:div w:id="1606813830">
      <w:bodyDiv w:val="1"/>
      <w:marLeft w:val="0"/>
      <w:marRight w:val="0"/>
      <w:marTop w:val="0"/>
      <w:marBottom w:val="0"/>
      <w:divBdr>
        <w:top w:val="none" w:sz="0" w:space="0" w:color="auto"/>
        <w:left w:val="none" w:sz="0" w:space="0" w:color="auto"/>
        <w:bottom w:val="none" w:sz="0" w:space="0" w:color="auto"/>
        <w:right w:val="none" w:sz="0" w:space="0" w:color="auto"/>
      </w:divBdr>
    </w:div>
    <w:div w:id="1607079911">
      <w:bodyDiv w:val="1"/>
      <w:marLeft w:val="0"/>
      <w:marRight w:val="0"/>
      <w:marTop w:val="0"/>
      <w:marBottom w:val="0"/>
      <w:divBdr>
        <w:top w:val="none" w:sz="0" w:space="0" w:color="auto"/>
        <w:left w:val="none" w:sz="0" w:space="0" w:color="auto"/>
        <w:bottom w:val="none" w:sz="0" w:space="0" w:color="auto"/>
        <w:right w:val="none" w:sz="0" w:space="0" w:color="auto"/>
      </w:divBdr>
    </w:div>
    <w:div w:id="1607082916">
      <w:bodyDiv w:val="1"/>
      <w:marLeft w:val="0"/>
      <w:marRight w:val="0"/>
      <w:marTop w:val="0"/>
      <w:marBottom w:val="0"/>
      <w:divBdr>
        <w:top w:val="none" w:sz="0" w:space="0" w:color="auto"/>
        <w:left w:val="none" w:sz="0" w:space="0" w:color="auto"/>
        <w:bottom w:val="none" w:sz="0" w:space="0" w:color="auto"/>
        <w:right w:val="none" w:sz="0" w:space="0" w:color="auto"/>
      </w:divBdr>
    </w:div>
    <w:div w:id="1607227116">
      <w:bodyDiv w:val="1"/>
      <w:marLeft w:val="0"/>
      <w:marRight w:val="0"/>
      <w:marTop w:val="0"/>
      <w:marBottom w:val="0"/>
      <w:divBdr>
        <w:top w:val="none" w:sz="0" w:space="0" w:color="auto"/>
        <w:left w:val="none" w:sz="0" w:space="0" w:color="auto"/>
        <w:bottom w:val="none" w:sz="0" w:space="0" w:color="auto"/>
        <w:right w:val="none" w:sz="0" w:space="0" w:color="auto"/>
      </w:divBdr>
    </w:div>
    <w:div w:id="1607348077">
      <w:bodyDiv w:val="1"/>
      <w:marLeft w:val="0"/>
      <w:marRight w:val="0"/>
      <w:marTop w:val="0"/>
      <w:marBottom w:val="0"/>
      <w:divBdr>
        <w:top w:val="none" w:sz="0" w:space="0" w:color="auto"/>
        <w:left w:val="none" w:sz="0" w:space="0" w:color="auto"/>
        <w:bottom w:val="none" w:sz="0" w:space="0" w:color="auto"/>
        <w:right w:val="none" w:sz="0" w:space="0" w:color="auto"/>
      </w:divBdr>
    </w:div>
    <w:div w:id="1607737548">
      <w:bodyDiv w:val="1"/>
      <w:marLeft w:val="0"/>
      <w:marRight w:val="0"/>
      <w:marTop w:val="0"/>
      <w:marBottom w:val="0"/>
      <w:divBdr>
        <w:top w:val="none" w:sz="0" w:space="0" w:color="auto"/>
        <w:left w:val="none" w:sz="0" w:space="0" w:color="auto"/>
        <w:bottom w:val="none" w:sz="0" w:space="0" w:color="auto"/>
        <w:right w:val="none" w:sz="0" w:space="0" w:color="auto"/>
      </w:divBdr>
    </w:div>
    <w:div w:id="1607806574">
      <w:bodyDiv w:val="1"/>
      <w:marLeft w:val="0"/>
      <w:marRight w:val="0"/>
      <w:marTop w:val="0"/>
      <w:marBottom w:val="0"/>
      <w:divBdr>
        <w:top w:val="none" w:sz="0" w:space="0" w:color="auto"/>
        <w:left w:val="none" w:sz="0" w:space="0" w:color="auto"/>
        <w:bottom w:val="none" w:sz="0" w:space="0" w:color="auto"/>
        <w:right w:val="none" w:sz="0" w:space="0" w:color="auto"/>
      </w:divBdr>
    </w:div>
    <w:div w:id="1607883892">
      <w:bodyDiv w:val="1"/>
      <w:marLeft w:val="0"/>
      <w:marRight w:val="0"/>
      <w:marTop w:val="0"/>
      <w:marBottom w:val="0"/>
      <w:divBdr>
        <w:top w:val="none" w:sz="0" w:space="0" w:color="auto"/>
        <w:left w:val="none" w:sz="0" w:space="0" w:color="auto"/>
        <w:bottom w:val="none" w:sz="0" w:space="0" w:color="auto"/>
        <w:right w:val="none" w:sz="0" w:space="0" w:color="auto"/>
      </w:divBdr>
    </w:div>
    <w:div w:id="1607889093">
      <w:bodyDiv w:val="1"/>
      <w:marLeft w:val="0"/>
      <w:marRight w:val="0"/>
      <w:marTop w:val="0"/>
      <w:marBottom w:val="0"/>
      <w:divBdr>
        <w:top w:val="none" w:sz="0" w:space="0" w:color="auto"/>
        <w:left w:val="none" w:sz="0" w:space="0" w:color="auto"/>
        <w:bottom w:val="none" w:sz="0" w:space="0" w:color="auto"/>
        <w:right w:val="none" w:sz="0" w:space="0" w:color="auto"/>
      </w:divBdr>
    </w:div>
    <w:div w:id="1607998770">
      <w:bodyDiv w:val="1"/>
      <w:marLeft w:val="0"/>
      <w:marRight w:val="0"/>
      <w:marTop w:val="0"/>
      <w:marBottom w:val="0"/>
      <w:divBdr>
        <w:top w:val="none" w:sz="0" w:space="0" w:color="auto"/>
        <w:left w:val="none" w:sz="0" w:space="0" w:color="auto"/>
        <w:bottom w:val="none" w:sz="0" w:space="0" w:color="auto"/>
        <w:right w:val="none" w:sz="0" w:space="0" w:color="auto"/>
      </w:divBdr>
    </w:div>
    <w:div w:id="1608004834">
      <w:bodyDiv w:val="1"/>
      <w:marLeft w:val="0"/>
      <w:marRight w:val="0"/>
      <w:marTop w:val="0"/>
      <w:marBottom w:val="0"/>
      <w:divBdr>
        <w:top w:val="none" w:sz="0" w:space="0" w:color="auto"/>
        <w:left w:val="none" w:sz="0" w:space="0" w:color="auto"/>
        <w:bottom w:val="none" w:sz="0" w:space="0" w:color="auto"/>
        <w:right w:val="none" w:sz="0" w:space="0" w:color="auto"/>
      </w:divBdr>
    </w:div>
    <w:div w:id="1608075068">
      <w:bodyDiv w:val="1"/>
      <w:marLeft w:val="0"/>
      <w:marRight w:val="0"/>
      <w:marTop w:val="0"/>
      <w:marBottom w:val="0"/>
      <w:divBdr>
        <w:top w:val="none" w:sz="0" w:space="0" w:color="auto"/>
        <w:left w:val="none" w:sz="0" w:space="0" w:color="auto"/>
        <w:bottom w:val="none" w:sz="0" w:space="0" w:color="auto"/>
        <w:right w:val="none" w:sz="0" w:space="0" w:color="auto"/>
      </w:divBdr>
    </w:div>
    <w:div w:id="1608077246">
      <w:bodyDiv w:val="1"/>
      <w:marLeft w:val="0"/>
      <w:marRight w:val="0"/>
      <w:marTop w:val="0"/>
      <w:marBottom w:val="0"/>
      <w:divBdr>
        <w:top w:val="none" w:sz="0" w:space="0" w:color="auto"/>
        <w:left w:val="none" w:sz="0" w:space="0" w:color="auto"/>
        <w:bottom w:val="none" w:sz="0" w:space="0" w:color="auto"/>
        <w:right w:val="none" w:sz="0" w:space="0" w:color="auto"/>
      </w:divBdr>
    </w:div>
    <w:div w:id="1608271641">
      <w:bodyDiv w:val="1"/>
      <w:marLeft w:val="0"/>
      <w:marRight w:val="0"/>
      <w:marTop w:val="0"/>
      <w:marBottom w:val="0"/>
      <w:divBdr>
        <w:top w:val="none" w:sz="0" w:space="0" w:color="auto"/>
        <w:left w:val="none" w:sz="0" w:space="0" w:color="auto"/>
        <w:bottom w:val="none" w:sz="0" w:space="0" w:color="auto"/>
        <w:right w:val="none" w:sz="0" w:space="0" w:color="auto"/>
      </w:divBdr>
    </w:div>
    <w:div w:id="1608345823">
      <w:bodyDiv w:val="1"/>
      <w:marLeft w:val="0"/>
      <w:marRight w:val="0"/>
      <w:marTop w:val="0"/>
      <w:marBottom w:val="0"/>
      <w:divBdr>
        <w:top w:val="none" w:sz="0" w:space="0" w:color="auto"/>
        <w:left w:val="none" w:sz="0" w:space="0" w:color="auto"/>
        <w:bottom w:val="none" w:sz="0" w:space="0" w:color="auto"/>
        <w:right w:val="none" w:sz="0" w:space="0" w:color="auto"/>
      </w:divBdr>
    </w:div>
    <w:div w:id="1608543737">
      <w:bodyDiv w:val="1"/>
      <w:marLeft w:val="0"/>
      <w:marRight w:val="0"/>
      <w:marTop w:val="0"/>
      <w:marBottom w:val="0"/>
      <w:divBdr>
        <w:top w:val="none" w:sz="0" w:space="0" w:color="auto"/>
        <w:left w:val="none" w:sz="0" w:space="0" w:color="auto"/>
        <w:bottom w:val="none" w:sz="0" w:space="0" w:color="auto"/>
        <w:right w:val="none" w:sz="0" w:space="0" w:color="auto"/>
      </w:divBdr>
    </w:div>
    <w:div w:id="1608610804">
      <w:bodyDiv w:val="1"/>
      <w:marLeft w:val="0"/>
      <w:marRight w:val="0"/>
      <w:marTop w:val="0"/>
      <w:marBottom w:val="0"/>
      <w:divBdr>
        <w:top w:val="none" w:sz="0" w:space="0" w:color="auto"/>
        <w:left w:val="none" w:sz="0" w:space="0" w:color="auto"/>
        <w:bottom w:val="none" w:sz="0" w:space="0" w:color="auto"/>
        <w:right w:val="none" w:sz="0" w:space="0" w:color="auto"/>
      </w:divBdr>
    </w:div>
    <w:div w:id="1608611098">
      <w:bodyDiv w:val="1"/>
      <w:marLeft w:val="0"/>
      <w:marRight w:val="0"/>
      <w:marTop w:val="0"/>
      <w:marBottom w:val="0"/>
      <w:divBdr>
        <w:top w:val="none" w:sz="0" w:space="0" w:color="auto"/>
        <w:left w:val="none" w:sz="0" w:space="0" w:color="auto"/>
        <w:bottom w:val="none" w:sz="0" w:space="0" w:color="auto"/>
        <w:right w:val="none" w:sz="0" w:space="0" w:color="auto"/>
      </w:divBdr>
    </w:div>
    <w:div w:id="1608658227">
      <w:bodyDiv w:val="1"/>
      <w:marLeft w:val="0"/>
      <w:marRight w:val="0"/>
      <w:marTop w:val="0"/>
      <w:marBottom w:val="0"/>
      <w:divBdr>
        <w:top w:val="none" w:sz="0" w:space="0" w:color="auto"/>
        <w:left w:val="none" w:sz="0" w:space="0" w:color="auto"/>
        <w:bottom w:val="none" w:sz="0" w:space="0" w:color="auto"/>
        <w:right w:val="none" w:sz="0" w:space="0" w:color="auto"/>
      </w:divBdr>
    </w:div>
    <w:div w:id="1608810407">
      <w:bodyDiv w:val="1"/>
      <w:marLeft w:val="0"/>
      <w:marRight w:val="0"/>
      <w:marTop w:val="0"/>
      <w:marBottom w:val="0"/>
      <w:divBdr>
        <w:top w:val="none" w:sz="0" w:space="0" w:color="auto"/>
        <w:left w:val="none" w:sz="0" w:space="0" w:color="auto"/>
        <w:bottom w:val="none" w:sz="0" w:space="0" w:color="auto"/>
        <w:right w:val="none" w:sz="0" w:space="0" w:color="auto"/>
      </w:divBdr>
    </w:div>
    <w:div w:id="1608851792">
      <w:bodyDiv w:val="1"/>
      <w:marLeft w:val="0"/>
      <w:marRight w:val="0"/>
      <w:marTop w:val="0"/>
      <w:marBottom w:val="0"/>
      <w:divBdr>
        <w:top w:val="none" w:sz="0" w:space="0" w:color="auto"/>
        <w:left w:val="none" w:sz="0" w:space="0" w:color="auto"/>
        <w:bottom w:val="none" w:sz="0" w:space="0" w:color="auto"/>
        <w:right w:val="none" w:sz="0" w:space="0" w:color="auto"/>
      </w:divBdr>
    </w:div>
    <w:div w:id="1609045126">
      <w:bodyDiv w:val="1"/>
      <w:marLeft w:val="0"/>
      <w:marRight w:val="0"/>
      <w:marTop w:val="0"/>
      <w:marBottom w:val="0"/>
      <w:divBdr>
        <w:top w:val="none" w:sz="0" w:space="0" w:color="auto"/>
        <w:left w:val="none" w:sz="0" w:space="0" w:color="auto"/>
        <w:bottom w:val="none" w:sz="0" w:space="0" w:color="auto"/>
        <w:right w:val="none" w:sz="0" w:space="0" w:color="auto"/>
      </w:divBdr>
    </w:div>
    <w:div w:id="1609237389">
      <w:bodyDiv w:val="1"/>
      <w:marLeft w:val="0"/>
      <w:marRight w:val="0"/>
      <w:marTop w:val="0"/>
      <w:marBottom w:val="0"/>
      <w:divBdr>
        <w:top w:val="none" w:sz="0" w:space="0" w:color="auto"/>
        <w:left w:val="none" w:sz="0" w:space="0" w:color="auto"/>
        <w:bottom w:val="none" w:sz="0" w:space="0" w:color="auto"/>
        <w:right w:val="none" w:sz="0" w:space="0" w:color="auto"/>
      </w:divBdr>
    </w:div>
    <w:div w:id="1609242148">
      <w:bodyDiv w:val="1"/>
      <w:marLeft w:val="0"/>
      <w:marRight w:val="0"/>
      <w:marTop w:val="0"/>
      <w:marBottom w:val="0"/>
      <w:divBdr>
        <w:top w:val="none" w:sz="0" w:space="0" w:color="auto"/>
        <w:left w:val="none" w:sz="0" w:space="0" w:color="auto"/>
        <w:bottom w:val="none" w:sz="0" w:space="0" w:color="auto"/>
        <w:right w:val="none" w:sz="0" w:space="0" w:color="auto"/>
      </w:divBdr>
    </w:div>
    <w:div w:id="1609267033">
      <w:bodyDiv w:val="1"/>
      <w:marLeft w:val="0"/>
      <w:marRight w:val="0"/>
      <w:marTop w:val="0"/>
      <w:marBottom w:val="0"/>
      <w:divBdr>
        <w:top w:val="none" w:sz="0" w:space="0" w:color="auto"/>
        <w:left w:val="none" w:sz="0" w:space="0" w:color="auto"/>
        <w:bottom w:val="none" w:sz="0" w:space="0" w:color="auto"/>
        <w:right w:val="none" w:sz="0" w:space="0" w:color="auto"/>
      </w:divBdr>
    </w:div>
    <w:div w:id="1609464981">
      <w:bodyDiv w:val="1"/>
      <w:marLeft w:val="0"/>
      <w:marRight w:val="0"/>
      <w:marTop w:val="0"/>
      <w:marBottom w:val="0"/>
      <w:divBdr>
        <w:top w:val="none" w:sz="0" w:space="0" w:color="auto"/>
        <w:left w:val="none" w:sz="0" w:space="0" w:color="auto"/>
        <w:bottom w:val="none" w:sz="0" w:space="0" w:color="auto"/>
        <w:right w:val="none" w:sz="0" w:space="0" w:color="auto"/>
      </w:divBdr>
    </w:div>
    <w:div w:id="1609697468">
      <w:bodyDiv w:val="1"/>
      <w:marLeft w:val="0"/>
      <w:marRight w:val="0"/>
      <w:marTop w:val="0"/>
      <w:marBottom w:val="0"/>
      <w:divBdr>
        <w:top w:val="none" w:sz="0" w:space="0" w:color="auto"/>
        <w:left w:val="none" w:sz="0" w:space="0" w:color="auto"/>
        <w:bottom w:val="none" w:sz="0" w:space="0" w:color="auto"/>
        <w:right w:val="none" w:sz="0" w:space="0" w:color="auto"/>
      </w:divBdr>
    </w:div>
    <w:div w:id="1609700596">
      <w:bodyDiv w:val="1"/>
      <w:marLeft w:val="0"/>
      <w:marRight w:val="0"/>
      <w:marTop w:val="0"/>
      <w:marBottom w:val="0"/>
      <w:divBdr>
        <w:top w:val="none" w:sz="0" w:space="0" w:color="auto"/>
        <w:left w:val="none" w:sz="0" w:space="0" w:color="auto"/>
        <w:bottom w:val="none" w:sz="0" w:space="0" w:color="auto"/>
        <w:right w:val="none" w:sz="0" w:space="0" w:color="auto"/>
      </w:divBdr>
    </w:div>
    <w:div w:id="1609772296">
      <w:bodyDiv w:val="1"/>
      <w:marLeft w:val="0"/>
      <w:marRight w:val="0"/>
      <w:marTop w:val="0"/>
      <w:marBottom w:val="0"/>
      <w:divBdr>
        <w:top w:val="none" w:sz="0" w:space="0" w:color="auto"/>
        <w:left w:val="none" w:sz="0" w:space="0" w:color="auto"/>
        <w:bottom w:val="none" w:sz="0" w:space="0" w:color="auto"/>
        <w:right w:val="none" w:sz="0" w:space="0" w:color="auto"/>
      </w:divBdr>
    </w:div>
    <w:div w:id="1609848191">
      <w:bodyDiv w:val="1"/>
      <w:marLeft w:val="0"/>
      <w:marRight w:val="0"/>
      <w:marTop w:val="0"/>
      <w:marBottom w:val="0"/>
      <w:divBdr>
        <w:top w:val="none" w:sz="0" w:space="0" w:color="auto"/>
        <w:left w:val="none" w:sz="0" w:space="0" w:color="auto"/>
        <w:bottom w:val="none" w:sz="0" w:space="0" w:color="auto"/>
        <w:right w:val="none" w:sz="0" w:space="0" w:color="auto"/>
      </w:divBdr>
    </w:div>
    <w:div w:id="1609964654">
      <w:bodyDiv w:val="1"/>
      <w:marLeft w:val="0"/>
      <w:marRight w:val="0"/>
      <w:marTop w:val="0"/>
      <w:marBottom w:val="0"/>
      <w:divBdr>
        <w:top w:val="none" w:sz="0" w:space="0" w:color="auto"/>
        <w:left w:val="none" w:sz="0" w:space="0" w:color="auto"/>
        <w:bottom w:val="none" w:sz="0" w:space="0" w:color="auto"/>
        <w:right w:val="none" w:sz="0" w:space="0" w:color="auto"/>
      </w:divBdr>
    </w:div>
    <w:div w:id="1610426934">
      <w:bodyDiv w:val="1"/>
      <w:marLeft w:val="0"/>
      <w:marRight w:val="0"/>
      <w:marTop w:val="0"/>
      <w:marBottom w:val="0"/>
      <w:divBdr>
        <w:top w:val="none" w:sz="0" w:space="0" w:color="auto"/>
        <w:left w:val="none" w:sz="0" w:space="0" w:color="auto"/>
        <w:bottom w:val="none" w:sz="0" w:space="0" w:color="auto"/>
        <w:right w:val="none" w:sz="0" w:space="0" w:color="auto"/>
      </w:divBdr>
    </w:div>
    <w:div w:id="1610701673">
      <w:bodyDiv w:val="1"/>
      <w:marLeft w:val="0"/>
      <w:marRight w:val="0"/>
      <w:marTop w:val="0"/>
      <w:marBottom w:val="0"/>
      <w:divBdr>
        <w:top w:val="none" w:sz="0" w:space="0" w:color="auto"/>
        <w:left w:val="none" w:sz="0" w:space="0" w:color="auto"/>
        <w:bottom w:val="none" w:sz="0" w:space="0" w:color="auto"/>
        <w:right w:val="none" w:sz="0" w:space="0" w:color="auto"/>
      </w:divBdr>
    </w:div>
    <w:div w:id="1610818082">
      <w:bodyDiv w:val="1"/>
      <w:marLeft w:val="0"/>
      <w:marRight w:val="0"/>
      <w:marTop w:val="0"/>
      <w:marBottom w:val="0"/>
      <w:divBdr>
        <w:top w:val="none" w:sz="0" w:space="0" w:color="auto"/>
        <w:left w:val="none" w:sz="0" w:space="0" w:color="auto"/>
        <w:bottom w:val="none" w:sz="0" w:space="0" w:color="auto"/>
        <w:right w:val="none" w:sz="0" w:space="0" w:color="auto"/>
      </w:divBdr>
    </w:div>
    <w:div w:id="1610820608">
      <w:bodyDiv w:val="1"/>
      <w:marLeft w:val="0"/>
      <w:marRight w:val="0"/>
      <w:marTop w:val="0"/>
      <w:marBottom w:val="0"/>
      <w:divBdr>
        <w:top w:val="none" w:sz="0" w:space="0" w:color="auto"/>
        <w:left w:val="none" w:sz="0" w:space="0" w:color="auto"/>
        <w:bottom w:val="none" w:sz="0" w:space="0" w:color="auto"/>
        <w:right w:val="none" w:sz="0" w:space="0" w:color="auto"/>
      </w:divBdr>
    </w:div>
    <w:div w:id="1611011655">
      <w:bodyDiv w:val="1"/>
      <w:marLeft w:val="0"/>
      <w:marRight w:val="0"/>
      <w:marTop w:val="0"/>
      <w:marBottom w:val="0"/>
      <w:divBdr>
        <w:top w:val="none" w:sz="0" w:space="0" w:color="auto"/>
        <w:left w:val="none" w:sz="0" w:space="0" w:color="auto"/>
        <w:bottom w:val="none" w:sz="0" w:space="0" w:color="auto"/>
        <w:right w:val="none" w:sz="0" w:space="0" w:color="auto"/>
      </w:divBdr>
    </w:div>
    <w:div w:id="1611082670">
      <w:bodyDiv w:val="1"/>
      <w:marLeft w:val="0"/>
      <w:marRight w:val="0"/>
      <w:marTop w:val="0"/>
      <w:marBottom w:val="0"/>
      <w:divBdr>
        <w:top w:val="none" w:sz="0" w:space="0" w:color="auto"/>
        <w:left w:val="none" w:sz="0" w:space="0" w:color="auto"/>
        <w:bottom w:val="none" w:sz="0" w:space="0" w:color="auto"/>
        <w:right w:val="none" w:sz="0" w:space="0" w:color="auto"/>
      </w:divBdr>
    </w:div>
    <w:div w:id="1611353759">
      <w:bodyDiv w:val="1"/>
      <w:marLeft w:val="0"/>
      <w:marRight w:val="0"/>
      <w:marTop w:val="0"/>
      <w:marBottom w:val="0"/>
      <w:divBdr>
        <w:top w:val="none" w:sz="0" w:space="0" w:color="auto"/>
        <w:left w:val="none" w:sz="0" w:space="0" w:color="auto"/>
        <w:bottom w:val="none" w:sz="0" w:space="0" w:color="auto"/>
        <w:right w:val="none" w:sz="0" w:space="0" w:color="auto"/>
      </w:divBdr>
    </w:div>
    <w:div w:id="1611427327">
      <w:bodyDiv w:val="1"/>
      <w:marLeft w:val="0"/>
      <w:marRight w:val="0"/>
      <w:marTop w:val="0"/>
      <w:marBottom w:val="0"/>
      <w:divBdr>
        <w:top w:val="none" w:sz="0" w:space="0" w:color="auto"/>
        <w:left w:val="none" w:sz="0" w:space="0" w:color="auto"/>
        <w:bottom w:val="none" w:sz="0" w:space="0" w:color="auto"/>
        <w:right w:val="none" w:sz="0" w:space="0" w:color="auto"/>
      </w:divBdr>
    </w:div>
    <w:div w:id="1611427515">
      <w:bodyDiv w:val="1"/>
      <w:marLeft w:val="0"/>
      <w:marRight w:val="0"/>
      <w:marTop w:val="0"/>
      <w:marBottom w:val="0"/>
      <w:divBdr>
        <w:top w:val="none" w:sz="0" w:space="0" w:color="auto"/>
        <w:left w:val="none" w:sz="0" w:space="0" w:color="auto"/>
        <w:bottom w:val="none" w:sz="0" w:space="0" w:color="auto"/>
        <w:right w:val="none" w:sz="0" w:space="0" w:color="auto"/>
      </w:divBdr>
    </w:div>
    <w:div w:id="1611662322">
      <w:bodyDiv w:val="1"/>
      <w:marLeft w:val="0"/>
      <w:marRight w:val="0"/>
      <w:marTop w:val="0"/>
      <w:marBottom w:val="0"/>
      <w:divBdr>
        <w:top w:val="none" w:sz="0" w:space="0" w:color="auto"/>
        <w:left w:val="none" w:sz="0" w:space="0" w:color="auto"/>
        <w:bottom w:val="none" w:sz="0" w:space="0" w:color="auto"/>
        <w:right w:val="none" w:sz="0" w:space="0" w:color="auto"/>
      </w:divBdr>
    </w:div>
    <w:div w:id="1611938810">
      <w:bodyDiv w:val="1"/>
      <w:marLeft w:val="0"/>
      <w:marRight w:val="0"/>
      <w:marTop w:val="0"/>
      <w:marBottom w:val="0"/>
      <w:divBdr>
        <w:top w:val="none" w:sz="0" w:space="0" w:color="auto"/>
        <w:left w:val="none" w:sz="0" w:space="0" w:color="auto"/>
        <w:bottom w:val="none" w:sz="0" w:space="0" w:color="auto"/>
        <w:right w:val="none" w:sz="0" w:space="0" w:color="auto"/>
      </w:divBdr>
    </w:div>
    <w:div w:id="1612011236">
      <w:bodyDiv w:val="1"/>
      <w:marLeft w:val="0"/>
      <w:marRight w:val="0"/>
      <w:marTop w:val="0"/>
      <w:marBottom w:val="0"/>
      <w:divBdr>
        <w:top w:val="none" w:sz="0" w:space="0" w:color="auto"/>
        <w:left w:val="none" w:sz="0" w:space="0" w:color="auto"/>
        <w:bottom w:val="none" w:sz="0" w:space="0" w:color="auto"/>
        <w:right w:val="none" w:sz="0" w:space="0" w:color="auto"/>
      </w:divBdr>
    </w:div>
    <w:div w:id="1612124254">
      <w:bodyDiv w:val="1"/>
      <w:marLeft w:val="0"/>
      <w:marRight w:val="0"/>
      <w:marTop w:val="0"/>
      <w:marBottom w:val="0"/>
      <w:divBdr>
        <w:top w:val="none" w:sz="0" w:space="0" w:color="auto"/>
        <w:left w:val="none" w:sz="0" w:space="0" w:color="auto"/>
        <w:bottom w:val="none" w:sz="0" w:space="0" w:color="auto"/>
        <w:right w:val="none" w:sz="0" w:space="0" w:color="auto"/>
      </w:divBdr>
    </w:div>
    <w:div w:id="1612129923">
      <w:bodyDiv w:val="1"/>
      <w:marLeft w:val="0"/>
      <w:marRight w:val="0"/>
      <w:marTop w:val="0"/>
      <w:marBottom w:val="0"/>
      <w:divBdr>
        <w:top w:val="none" w:sz="0" w:space="0" w:color="auto"/>
        <w:left w:val="none" w:sz="0" w:space="0" w:color="auto"/>
        <w:bottom w:val="none" w:sz="0" w:space="0" w:color="auto"/>
        <w:right w:val="none" w:sz="0" w:space="0" w:color="auto"/>
      </w:divBdr>
    </w:div>
    <w:div w:id="1612202825">
      <w:bodyDiv w:val="1"/>
      <w:marLeft w:val="0"/>
      <w:marRight w:val="0"/>
      <w:marTop w:val="0"/>
      <w:marBottom w:val="0"/>
      <w:divBdr>
        <w:top w:val="none" w:sz="0" w:space="0" w:color="auto"/>
        <w:left w:val="none" w:sz="0" w:space="0" w:color="auto"/>
        <w:bottom w:val="none" w:sz="0" w:space="0" w:color="auto"/>
        <w:right w:val="none" w:sz="0" w:space="0" w:color="auto"/>
      </w:divBdr>
    </w:div>
    <w:div w:id="1612518932">
      <w:bodyDiv w:val="1"/>
      <w:marLeft w:val="0"/>
      <w:marRight w:val="0"/>
      <w:marTop w:val="0"/>
      <w:marBottom w:val="0"/>
      <w:divBdr>
        <w:top w:val="none" w:sz="0" w:space="0" w:color="auto"/>
        <w:left w:val="none" w:sz="0" w:space="0" w:color="auto"/>
        <w:bottom w:val="none" w:sz="0" w:space="0" w:color="auto"/>
        <w:right w:val="none" w:sz="0" w:space="0" w:color="auto"/>
      </w:divBdr>
    </w:div>
    <w:div w:id="1612545216">
      <w:bodyDiv w:val="1"/>
      <w:marLeft w:val="0"/>
      <w:marRight w:val="0"/>
      <w:marTop w:val="0"/>
      <w:marBottom w:val="0"/>
      <w:divBdr>
        <w:top w:val="none" w:sz="0" w:space="0" w:color="auto"/>
        <w:left w:val="none" w:sz="0" w:space="0" w:color="auto"/>
        <w:bottom w:val="none" w:sz="0" w:space="0" w:color="auto"/>
        <w:right w:val="none" w:sz="0" w:space="0" w:color="auto"/>
      </w:divBdr>
    </w:div>
    <w:div w:id="1612667377">
      <w:bodyDiv w:val="1"/>
      <w:marLeft w:val="0"/>
      <w:marRight w:val="0"/>
      <w:marTop w:val="0"/>
      <w:marBottom w:val="0"/>
      <w:divBdr>
        <w:top w:val="none" w:sz="0" w:space="0" w:color="auto"/>
        <w:left w:val="none" w:sz="0" w:space="0" w:color="auto"/>
        <w:bottom w:val="none" w:sz="0" w:space="0" w:color="auto"/>
        <w:right w:val="none" w:sz="0" w:space="0" w:color="auto"/>
      </w:divBdr>
    </w:div>
    <w:div w:id="1612859007">
      <w:bodyDiv w:val="1"/>
      <w:marLeft w:val="0"/>
      <w:marRight w:val="0"/>
      <w:marTop w:val="0"/>
      <w:marBottom w:val="0"/>
      <w:divBdr>
        <w:top w:val="none" w:sz="0" w:space="0" w:color="auto"/>
        <w:left w:val="none" w:sz="0" w:space="0" w:color="auto"/>
        <w:bottom w:val="none" w:sz="0" w:space="0" w:color="auto"/>
        <w:right w:val="none" w:sz="0" w:space="0" w:color="auto"/>
      </w:divBdr>
    </w:div>
    <w:div w:id="1612930913">
      <w:bodyDiv w:val="1"/>
      <w:marLeft w:val="0"/>
      <w:marRight w:val="0"/>
      <w:marTop w:val="0"/>
      <w:marBottom w:val="0"/>
      <w:divBdr>
        <w:top w:val="none" w:sz="0" w:space="0" w:color="auto"/>
        <w:left w:val="none" w:sz="0" w:space="0" w:color="auto"/>
        <w:bottom w:val="none" w:sz="0" w:space="0" w:color="auto"/>
        <w:right w:val="none" w:sz="0" w:space="0" w:color="auto"/>
      </w:divBdr>
    </w:div>
    <w:div w:id="1612975362">
      <w:bodyDiv w:val="1"/>
      <w:marLeft w:val="0"/>
      <w:marRight w:val="0"/>
      <w:marTop w:val="0"/>
      <w:marBottom w:val="0"/>
      <w:divBdr>
        <w:top w:val="none" w:sz="0" w:space="0" w:color="auto"/>
        <w:left w:val="none" w:sz="0" w:space="0" w:color="auto"/>
        <w:bottom w:val="none" w:sz="0" w:space="0" w:color="auto"/>
        <w:right w:val="none" w:sz="0" w:space="0" w:color="auto"/>
      </w:divBdr>
    </w:div>
    <w:div w:id="1613123911">
      <w:bodyDiv w:val="1"/>
      <w:marLeft w:val="0"/>
      <w:marRight w:val="0"/>
      <w:marTop w:val="0"/>
      <w:marBottom w:val="0"/>
      <w:divBdr>
        <w:top w:val="none" w:sz="0" w:space="0" w:color="auto"/>
        <w:left w:val="none" w:sz="0" w:space="0" w:color="auto"/>
        <w:bottom w:val="none" w:sz="0" w:space="0" w:color="auto"/>
        <w:right w:val="none" w:sz="0" w:space="0" w:color="auto"/>
      </w:divBdr>
    </w:div>
    <w:div w:id="1613128528">
      <w:bodyDiv w:val="1"/>
      <w:marLeft w:val="0"/>
      <w:marRight w:val="0"/>
      <w:marTop w:val="0"/>
      <w:marBottom w:val="0"/>
      <w:divBdr>
        <w:top w:val="none" w:sz="0" w:space="0" w:color="auto"/>
        <w:left w:val="none" w:sz="0" w:space="0" w:color="auto"/>
        <w:bottom w:val="none" w:sz="0" w:space="0" w:color="auto"/>
        <w:right w:val="none" w:sz="0" w:space="0" w:color="auto"/>
      </w:divBdr>
    </w:div>
    <w:div w:id="1613199338">
      <w:bodyDiv w:val="1"/>
      <w:marLeft w:val="0"/>
      <w:marRight w:val="0"/>
      <w:marTop w:val="0"/>
      <w:marBottom w:val="0"/>
      <w:divBdr>
        <w:top w:val="none" w:sz="0" w:space="0" w:color="auto"/>
        <w:left w:val="none" w:sz="0" w:space="0" w:color="auto"/>
        <w:bottom w:val="none" w:sz="0" w:space="0" w:color="auto"/>
        <w:right w:val="none" w:sz="0" w:space="0" w:color="auto"/>
      </w:divBdr>
    </w:div>
    <w:div w:id="1613436610">
      <w:bodyDiv w:val="1"/>
      <w:marLeft w:val="0"/>
      <w:marRight w:val="0"/>
      <w:marTop w:val="0"/>
      <w:marBottom w:val="0"/>
      <w:divBdr>
        <w:top w:val="none" w:sz="0" w:space="0" w:color="auto"/>
        <w:left w:val="none" w:sz="0" w:space="0" w:color="auto"/>
        <w:bottom w:val="none" w:sz="0" w:space="0" w:color="auto"/>
        <w:right w:val="none" w:sz="0" w:space="0" w:color="auto"/>
      </w:divBdr>
    </w:div>
    <w:div w:id="1613510689">
      <w:bodyDiv w:val="1"/>
      <w:marLeft w:val="0"/>
      <w:marRight w:val="0"/>
      <w:marTop w:val="0"/>
      <w:marBottom w:val="0"/>
      <w:divBdr>
        <w:top w:val="none" w:sz="0" w:space="0" w:color="auto"/>
        <w:left w:val="none" w:sz="0" w:space="0" w:color="auto"/>
        <w:bottom w:val="none" w:sz="0" w:space="0" w:color="auto"/>
        <w:right w:val="none" w:sz="0" w:space="0" w:color="auto"/>
      </w:divBdr>
    </w:div>
    <w:div w:id="1613632307">
      <w:bodyDiv w:val="1"/>
      <w:marLeft w:val="0"/>
      <w:marRight w:val="0"/>
      <w:marTop w:val="0"/>
      <w:marBottom w:val="0"/>
      <w:divBdr>
        <w:top w:val="none" w:sz="0" w:space="0" w:color="auto"/>
        <w:left w:val="none" w:sz="0" w:space="0" w:color="auto"/>
        <w:bottom w:val="none" w:sz="0" w:space="0" w:color="auto"/>
        <w:right w:val="none" w:sz="0" w:space="0" w:color="auto"/>
      </w:divBdr>
    </w:div>
    <w:div w:id="1613635499">
      <w:bodyDiv w:val="1"/>
      <w:marLeft w:val="0"/>
      <w:marRight w:val="0"/>
      <w:marTop w:val="0"/>
      <w:marBottom w:val="0"/>
      <w:divBdr>
        <w:top w:val="none" w:sz="0" w:space="0" w:color="auto"/>
        <w:left w:val="none" w:sz="0" w:space="0" w:color="auto"/>
        <w:bottom w:val="none" w:sz="0" w:space="0" w:color="auto"/>
        <w:right w:val="none" w:sz="0" w:space="0" w:color="auto"/>
      </w:divBdr>
    </w:div>
    <w:div w:id="1613853811">
      <w:bodyDiv w:val="1"/>
      <w:marLeft w:val="0"/>
      <w:marRight w:val="0"/>
      <w:marTop w:val="0"/>
      <w:marBottom w:val="0"/>
      <w:divBdr>
        <w:top w:val="none" w:sz="0" w:space="0" w:color="auto"/>
        <w:left w:val="none" w:sz="0" w:space="0" w:color="auto"/>
        <w:bottom w:val="none" w:sz="0" w:space="0" w:color="auto"/>
        <w:right w:val="none" w:sz="0" w:space="0" w:color="auto"/>
      </w:divBdr>
    </w:div>
    <w:div w:id="1613897782">
      <w:bodyDiv w:val="1"/>
      <w:marLeft w:val="0"/>
      <w:marRight w:val="0"/>
      <w:marTop w:val="0"/>
      <w:marBottom w:val="0"/>
      <w:divBdr>
        <w:top w:val="none" w:sz="0" w:space="0" w:color="auto"/>
        <w:left w:val="none" w:sz="0" w:space="0" w:color="auto"/>
        <w:bottom w:val="none" w:sz="0" w:space="0" w:color="auto"/>
        <w:right w:val="none" w:sz="0" w:space="0" w:color="auto"/>
      </w:divBdr>
    </w:div>
    <w:div w:id="1613899471">
      <w:bodyDiv w:val="1"/>
      <w:marLeft w:val="0"/>
      <w:marRight w:val="0"/>
      <w:marTop w:val="0"/>
      <w:marBottom w:val="0"/>
      <w:divBdr>
        <w:top w:val="none" w:sz="0" w:space="0" w:color="auto"/>
        <w:left w:val="none" w:sz="0" w:space="0" w:color="auto"/>
        <w:bottom w:val="none" w:sz="0" w:space="0" w:color="auto"/>
        <w:right w:val="none" w:sz="0" w:space="0" w:color="auto"/>
      </w:divBdr>
    </w:div>
    <w:div w:id="1613903269">
      <w:bodyDiv w:val="1"/>
      <w:marLeft w:val="0"/>
      <w:marRight w:val="0"/>
      <w:marTop w:val="0"/>
      <w:marBottom w:val="0"/>
      <w:divBdr>
        <w:top w:val="none" w:sz="0" w:space="0" w:color="auto"/>
        <w:left w:val="none" w:sz="0" w:space="0" w:color="auto"/>
        <w:bottom w:val="none" w:sz="0" w:space="0" w:color="auto"/>
        <w:right w:val="none" w:sz="0" w:space="0" w:color="auto"/>
      </w:divBdr>
    </w:div>
    <w:div w:id="1614052244">
      <w:bodyDiv w:val="1"/>
      <w:marLeft w:val="0"/>
      <w:marRight w:val="0"/>
      <w:marTop w:val="0"/>
      <w:marBottom w:val="0"/>
      <w:divBdr>
        <w:top w:val="none" w:sz="0" w:space="0" w:color="auto"/>
        <w:left w:val="none" w:sz="0" w:space="0" w:color="auto"/>
        <w:bottom w:val="none" w:sz="0" w:space="0" w:color="auto"/>
        <w:right w:val="none" w:sz="0" w:space="0" w:color="auto"/>
      </w:divBdr>
    </w:div>
    <w:div w:id="1614167976">
      <w:bodyDiv w:val="1"/>
      <w:marLeft w:val="0"/>
      <w:marRight w:val="0"/>
      <w:marTop w:val="0"/>
      <w:marBottom w:val="0"/>
      <w:divBdr>
        <w:top w:val="none" w:sz="0" w:space="0" w:color="auto"/>
        <w:left w:val="none" w:sz="0" w:space="0" w:color="auto"/>
        <w:bottom w:val="none" w:sz="0" w:space="0" w:color="auto"/>
        <w:right w:val="none" w:sz="0" w:space="0" w:color="auto"/>
      </w:divBdr>
    </w:div>
    <w:div w:id="1614480808">
      <w:bodyDiv w:val="1"/>
      <w:marLeft w:val="0"/>
      <w:marRight w:val="0"/>
      <w:marTop w:val="0"/>
      <w:marBottom w:val="0"/>
      <w:divBdr>
        <w:top w:val="none" w:sz="0" w:space="0" w:color="auto"/>
        <w:left w:val="none" w:sz="0" w:space="0" w:color="auto"/>
        <w:bottom w:val="none" w:sz="0" w:space="0" w:color="auto"/>
        <w:right w:val="none" w:sz="0" w:space="0" w:color="auto"/>
      </w:divBdr>
    </w:div>
    <w:div w:id="1614635222">
      <w:bodyDiv w:val="1"/>
      <w:marLeft w:val="0"/>
      <w:marRight w:val="0"/>
      <w:marTop w:val="0"/>
      <w:marBottom w:val="0"/>
      <w:divBdr>
        <w:top w:val="none" w:sz="0" w:space="0" w:color="auto"/>
        <w:left w:val="none" w:sz="0" w:space="0" w:color="auto"/>
        <w:bottom w:val="none" w:sz="0" w:space="0" w:color="auto"/>
        <w:right w:val="none" w:sz="0" w:space="0" w:color="auto"/>
      </w:divBdr>
    </w:div>
    <w:div w:id="1614707049">
      <w:bodyDiv w:val="1"/>
      <w:marLeft w:val="0"/>
      <w:marRight w:val="0"/>
      <w:marTop w:val="0"/>
      <w:marBottom w:val="0"/>
      <w:divBdr>
        <w:top w:val="none" w:sz="0" w:space="0" w:color="auto"/>
        <w:left w:val="none" w:sz="0" w:space="0" w:color="auto"/>
        <w:bottom w:val="none" w:sz="0" w:space="0" w:color="auto"/>
        <w:right w:val="none" w:sz="0" w:space="0" w:color="auto"/>
      </w:divBdr>
    </w:div>
    <w:div w:id="1614707230">
      <w:bodyDiv w:val="1"/>
      <w:marLeft w:val="0"/>
      <w:marRight w:val="0"/>
      <w:marTop w:val="0"/>
      <w:marBottom w:val="0"/>
      <w:divBdr>
        <w:top w:val="none" w:sz="0" w:space="0" w:color="auto"/>
        <w:left w:val="none" w:sz="0" w:space="0" w:color="auto"/>
        <w:bottom w:val="none" w:sz="0" w:space="0" w:color="auto"/>
        <w:right w:val="none" w:sz="0" w:space="0" w:color="auto"/>
      </w:divBdr>
    </w:div>
    <w:div w:id="1614746828">
      <w:bodyDiv w:val="1"/>
      <w:marLeft w:val="0"/>
      <w:marRight w:val="0"/>
      <w:marTop w:val="0"/>
      <w:marBottom w:val="0"/>
      <w:divBdr>
        <w:top w:val="none" w:sz="0" w:space="0" w:color="auto"/>
        <w:left w:val="none" w:sz="0" w:space="0" w:color="auto"/>
        <w:bottom w:val="none" w:sz="0" w:space="0" w:color="auto"/>
        <w:right w:val="none" w:sz="0" w:space="0" w:color="auto"/>
      </w:divBdr>
    </w:div>
    <w:div w:id="1614827001">
      <w:bodyDiv w:val="1"/>
      <w:marLeft w:val="0"/>
      <w:marRight w:val="0"/>
      <w:marTop w:val="0"/>
      <w:marBottom w:val="0"/>
      <w:divBdr>
        <w:top w:val="none" w:sz="0" w:space="0" w:color="auto"/>
        <w:left w:val="none" w:sz="0" w:space="0" w:color="auto"/>
        <w:bottom w:val="none" w:sz="0" w:space="0" w:color="auto"/>
        <w:right w:val="none" w:sz="0" w:space="0" w:color="auto"/>
      </w:divBdr>
    </w:div>
    <w:div w:id="1615165231">
      <w:bodyDiv w:val="1"/>
      <w:marLeft w:val="0"/>
      <w:marRight w:val="0"/>
      <w:marTop w:val="0"/>
      <w:marBottom w:val="0"/>
      <w:divBdr>
        <w:top w:val="none" w:sz="0" w:space="0" w:color="auto"/>
        <w:left w:val="none" w:sz="0" w:space="0" w:color="auto"/>
        <w:bottom w:val="none" w:sz="0" w:space="0" w:color="auto"/>
        <w:right w:val="none" w:sz="0" w:space="0" w:color="auto"/>
      </w:divBdr>
    </w:div>
    <w:div w:id="1615209479">
      <w:bodyDiv w:val="1"/>
      <w:marLeft w:val="0"/>
      <w:marRight w:val="0"/>
      <w:marTop w:val="0"/>
      <w:marBottom w:val="0"/>
      <w:divBdr>
        <w:top w:val="none" w:sz="0" w:space="0" w:color="auto"/>
        <w:left w:val="none" w:sz="0" w:space="0" w:color="auto"/>
        <w:bottom w:val="none" w:sz="0" w:space="0" w:color="auto"/>
        <w:right w:val="none" w:sz="0" w:space="0" w:color="auto"/>
      </w:divBdr>
    </w:div>
    <w:div w:id="1615215048">
      <w:bodyDiv w:val="1"/>
      <w:marLeft w:val="0"/>
      <w:marRight w:val="0"/>
      <w:marTop w:val="0"/>
      <w:marBottom w:val="0"/>
      <w:divBdr>
        <w:top w:val="none" w:sz="0" w:space="0" w:color="auto"/>
        <w:left w:val="none" w:sz="0" w:space="0" w:color="auto"/>
        <w:bottom w:val="none" w:sz="0" w:space="0" w:color="auto"/>
        <w:right w:val="none" w:sz="0" w:space="0" w:color="auto"/>
      </w:divBdr>
    </w:div>
    <w:div w:id="1615402758">
      <w:bodyDiv w:val="1"/>
      <w:marLeft w:val="0"/>
      <w:marRight w:val="0"/>
      <w:marTop w:val="0"/>
      <w:marBottom w:val="0"/>
      <w:divBdr>
        <w:top w:val="none" w:sz="0" w:space="0" w:color="auto"/>
        <w:left w:val="none" w:sz="0" w:space="0" w:color="auto"/>
        <w:bottom w:val="none" w:sz="0" w:space="0" w:color="auto"/>
        <w:right w:val="none" w:sz="0" w:space="0" w:color="auto"/>
      </w:divBdr>
    </w:div>
    <w:div w:id="1615480842">
      <w:bodyDiv w:val="1"/>
      <w:marLeft w:val="0"/>
      <w:marRight w:val="0"/>
      <w:marTop w:val="0"/>
      <w:marBottom w:val="0"/>
      <w:divBdr>
        <w:top w:val="none" w:sz="0" w:space="0" w:color="auto"/>
        <w:left w:val="none" w:sz="0" w:space="0" w:color="auto"/>
        <w:bottom w:val="none" w:sz="0" w:space="0" w:color="auto"/>
        <w:right w:val="none" w:sz="0" w:space="0" w:color="auto"/>
      </w:divBdr>
    </w:div>
    <w:div w:id="1615480904">
      <w:bodyDiv w:val="1"/>
      <w:marLeft w:val="0"/>
      <w:marRight w:val="0"/>
      <w:marTop w:val="0"/>
      <w:marBottom w:val="0"/>
      <w:divBdr>
        <w:top w:val="none" w:sz="0" w:space="0" w:color="auto"/>
        <w:left w:val="none" w:sz="0" w:space="0" w:color="auto"/>
        <w:bottom w:val="none" w:sz="0" w:space="0" w:color="auto"/>
        <w:right w:val="none" w:sz="0" w:space="0" w:color="auto"/>
      </w:divBdr>
    </w:div>
    <w:div w:id="1615595106">
      <w:bodyDiv w:val="1"/>
      <w:marLeft w:val="0"/>
      <w:marRight w:val="0"/>
      <w:marTop w:val="0"/>
      <w:marBottom w:val="0"/>
      <w:divBdr>
        <w:top w:val="none" w:sz="0" w:space="0" w:color="auto"/>
        <w:left w:val="none" w:sz="0" w:space="0" w:color="auto"/>
        <w:bottom w:val="none" w:sz="0" w:space="0" w:color="auto"/>
        <w:right w:val="none" w:sz="0" w:space="0" w:color="auto"/>
      </w:divBdr>
    </w:div>
    <w:div w:id="1615596420">
      <w:bodyDiv w:val="1"/>
      <w:marLeft w:val="0"/>
      <w:marRight w:val="0"/>
      <w:marTop w:val="0"/>
      <w:marBottom w:val="0"/>
      <w:divBdr>
        <w:top w:val="none" w:sz="0" w:space="0" w:color="auto"/>
        <w:left w:val="none" w:sz="0" w:space="0" w:color="auto"/>
        <w:bottom w:val="none" w:sz="0" w:space="0" w:color="auto"/>
        <w:right w:val="none" w:sz="0" w:space="0" w:color="auto"/>
      </w:divBdr>
    </w:div>
    <w:div w:id="1615677128">
      <w:bodyDiv w:val="1"/>
      <w:marLeft w:val="0"/>
      <w:marRight w:val="0"/>
      <w:marTop w:val="0"/>
      <w:marBottom w:val="0"/>
      <w:divBdr>
        <w:top w:val="none" w:sz="0" w:space="0" w:color="auto"/>
        <w:left w:val="none" w:sz="0" w:space="0" w:color="auto"/>
        <w:bottom w:val="none" w:sz="0" w:space="0" w:color="auto"/>
        <w:right w:val="none" w:sz="0" w:space="0" w:color="auto"/>
      </w:divBdr>
    </w:div>
    <w:div w:id="1615790194">
      <w:bodyDiv w:val="1"/>
      <w:marLeft w:val="0"/>
      <w:marRight w:val="0"/>
      <w:marTop w:val="0"/>
      <w:marBottom w:val="0"/>
      <w:divBdr>
        <w:top w:val="none" w:sz="0" w:space="0" w:color="auto"/>
        <w:left w:val="none" w:sz="0" w:space="0" w:color="auto"/>
        <w:bottom w:val="none" w:sz="0" w:space="0" w:color="auto"/>
        <w:right w:val="none" w:sz="0" w:space="0" w:color="auto"/>
      </w:divBdr>
    </w:div>
    <w:div w:id="1615821895">
      <w:bodyDiv w:val="1"/>
      <w:marLeft w:val="0"/>
      <w:marRight w:val="0"/>
      <w:marTop w:val="0"/>
      <w:marBottom w:val="0"/>
      <w:divBdr>
        <w:top w:val="none" w:sz="0" w:space="0" w:color="auto"/>
        <w:left w:val="none" w:sz="0" w:space="0" w:color="auto"/>
        <w:bottom w:val="none" w:sz="0" w:space="0" w:color="auto"/>
        <w:right w:val="none" w:sz="0" w:space="0" w:color="auto"/>
      </w:divBdr>
    </w:div>
    <w:div w:id="1615866293">
      <w:bodyDiv w:val="1"/>
      <w:marLeft w:val="0"/>
      <w:marRight w:val="0"/>
      <w:marTop w:val="0"/>
      <w:marBottom w:val="0"/>
      <w:divBdr>
        <w:top w:val="none" w:sz="0" w:space="0" w:color="auto"/>
        <w:left w:val="none" w:sz="0" w:space="0" w:color="auto"/>
        <w:bottom w:val="none" w:sz="0" w:space="0" w:color="auto"/>
        <w:right w:val="none" w:sz="0" w:space="0" w:color="auto"/>
      </w:divBdr>
    </w:div>
    <w:div w:id="1615937128">
      <w:bodyDiv w:val="1"/>
      <w:marLeft w:val="0"/>
      <w:marRight w:val="0"/>
      <w:marTop w:val="0"/>
      <w:marBottom w:val="0"/>
      <w:divBdr>
        <w:top w:val="none" w:sz="0" w:space="0" w:color="auto"/>
        <w:left w:val="none" w:sz="0" w:space="0" w:color="auto"/>
        <w:bottom w:val="none" w:sz="0" w:space="0" w:color="auto"/>
        <w:right w:val="none" w:sz="0" w:space="0" w:color="auto"/>
      </w:divBdr>
    </w:div>
    <w:div w:id="1616137931">
      <w:bodyDiv w:val="1"/>
      <w:marLeft w:val="0"/>
      <w:marRight w:val="0"/>
      <w:marTop w:val="0"/>
      <w:marBottom w:val="0"/>
      <w:divBdr>
        <w:top w:val="none" w:sz="0" w:space="0" w:color="auto"/>
        <w:left w:val="none" w:sz="0" w:space="0" w:color="auto"/>
        <w:bottom w:val="none" w:sz="0" w:space="0" w:color="auto"/>
        <w:right w:val="none" w:sz="0" w:space="0" w:color="auto"/>
      </w:divBdr>
    </w:div>
    <w:div w:id="1616205348">
      <w:bodyDiv w:val="1"/>
      <w:marLeft w:val="0"/>
      <w:marRight w:val="0"/>
      <w:marTop w:val="0"/>
      <w:marBottom w:val="0"/>
      <w:divBdr>
        <w:top w:val="none" w:sz="0" w:space="0" w:color="auto"/>
        <w:left w:val="none" w:sz="0" w:space="0" w:color="auto"/>
        <w:bottom w:val="none" w:sz="0" w:space="0" w:color="auto"/>
        <w:right w:val="none" w:sz="0" w:space="0" w:color="auto"/>
      </w:divBdr>
    </w:div>
    <w:div w:id="1616251142">
      <w:bodyDiv w:val="1"/>
      <w:marLeft w:val="0"/>
      <w:marRight w:val="0"/>
      <w:marTop w:val="0"/>
      <w:marBottom w:val="0"/>
      <w:divBdr>
        <w:top w:val="none" w:sz="0" w:space="0" w:color="auto"/>
        <w:left w:val="none" w:sz="0" w:space="0" w:color="auto"/>
        <w:bottom w:val="none" w:sz="0" w:space="0" w:color="auto"/>
        <w:right w:val="none" w:sz="0" w:space="0" w:color="auto"/>
      </w:divBdr>
    </w:div>
    <w:div w:id="1616251167">
      <w:bodyDiv w:val="1"/>
      <w:marLeft w:val="0"/>
      <w:marRight w:val="0"/>
      <w:marTop w:val="0"/>
      <w:marBottom w:val="0"/>
      <w:divBdr>
        <w:top w:val="none" w:sz="0" w:space="0" w:color="auto"/>
        <w:left w:val="none" w:sz="0" w:space="0" w:color="auto"/>
        <w:bottom w:val="none" w:sz="0" w:space="0" w:color="auto"/>
        <w:right w:val="none" w:sz="0" w:space="0" w:color="auto"/>
      </w:divBdr>
    </w:div>
    <w:div w:id="1616402705">
      <w:bodyDiv w:val="1"/>
      <w:marLeft w:val="0"/>
      <w:marRight w:val="0"/>
      <w:marTop w:val="0"/>
      <w:marBottom w:val="0"/>
      <w:divBdr>
        <w:top w:val="none" w:sz="0" w:space="0" w:color="auto"/>
        <w:left w:val="none" w:sz="0" w:space="0" w:color="auto"/>
        <w:bottom w:val="none" w:sz="0" w:space="0" w:color="auto"/>
        <w:right w:val="none" w:sz="0" w:space="0" w:color="auto"/>
      </w:divBdr>
    </w:div>
    <w:div w:id="1616406015">
      <w:bodyDiv w:val="1"/>
      <w:marLeft w:val="0"/>
      <w:marRight w:val="0"/>
      <w:marTop w:val="0"/>
      <w:marBottom w:val="0"/>
      <w:divBdr>
        <w:top w:val="none" w:sz="0" w:space="0" w:color="auto"/>
        <w:left w:val="none" w:sz="0" w:space="0" w:color="auto"/>
        <w:bottom w:val="none" w:sz="0" w:space="0" w:color="auto"/>
        <w:right w:val="none" w:sz="0" w:space="0" w:color="auto"/>
      </w:divBdr>
    </w:div>
    <w:div w:id="1616517148">
      <w:bodyDiv w:val="1"/>
      <w:marLeft w:val="0"/>
      <w:marRight w:val="0"/>
      <w:marTop w:val="0"/>
      <w:marBottom w:val="0"/>
      <w:divBdr>
        <w:top w:val="none" w:sz="0" w:space="0" w:color="auto"/>
        <w:left w:val="none" w:sz="0" w:space="0" w:color="auto"/>
        <w:bottom w:val="none" w:sz="0" w:space="0" w:color="auto"/>
        <w:right w:val="none" w:sz="0" w:space="0" w:color="auto"/>
      </w:divBdr>
    </w:div>
    <w:div w:id="1616671215">
      <w:bodyDiv w:val="1"/>
      <w:marLeft w:val="0"/>
      <w:marRight w:val="0"/>
      <w:marTop w:val="0"/>
      <w:marBottom w:val="0"/>
      <w:divBdr>
        <w:top w:val="none" w:sz="0" w:space="0" w:color="auto"/>
        <w:left w:val="none" w:sz="0" w:space="0" w:color="auto"/>
        <w:bottom w:val="none" w:sz="0" w:space="0" w:color="auto"/>
        <w:right w:val="none" w:sz="0" w:space="0" w:color="auto"/>
      </w:divBdr>
    </w:div>
    <w:div w:id="1616865232">
      <w:bodyDiv w:val="1"/>
      <w:marLeft w:val="0"/>
      <w:marRight w:val="0"/>
      <w:marTop w:val="0"/>
      <w:marBottom w:val="0"/>
      <w:divBdr>
        <w:top w:val="none" w:sz="0" w:space="0" w:color="auto"/>
        <w:left w:val="none" w:sz="0" w:space="0" w:color="auto"/>
        <w:bottom w:val="none" w:sz="0" w:space="0" w:color="auto"/>
        <w:right w:val="none" w:sz="0" w:space="0" w:color="auto"/>
      </w:divBdr>
    </w:div>
    <w:div w:id="1616905481">
      <w:bodyDiv w:val="1"/>
      <w:marLeft w:val="0"/>
      <w:marRight w:val="0"/>
      <w:marTop w:val="0"/>
      <w:marBottom w:val="0"/>
      <w:divBdr>
        <w:top w:val="none" w:sz="0" w:space="0" w:color="auto"/>
        <w:left w:val="none" w:sz="0" w:space="0" w:color="auto"/>
        <w:bottom w:val="none" w:sz="0" w:space="0" w:color="auto"/>
        <w:right w:val="none" w:sz="0" w:space="0" w:color="auto"/>
      </w:divBdr>
    </w:div>
    <w:div w:id="1617103755">
      <w:bodyDiv w:val="1"/>
      <w:marLeft w:val="0"/>
      <w:marRight w:val="0"/>
      <w:marTop w:val="0"/>
      <w:marBottom w:val="0"/>
      <w:divBdr>
        <w:top w:val="none" w:sz="0" w:space="0" w:color="auto"/>
        <w:left w:val="none" w:sz="0" w:space="0" w:color="auto"/>
        <w:bottom w:val="none" w:sz="0" w:space="0" w:color="auto"/>
        <w:right w:val="none" w:sz="0" w:space="0" w:color="auto"/>
      </w:divBdr>
    </w:div>
    <w:div w:id="1617175263">
      <w:bodyDiv w:val="1"/>
      <w:marLeft w:val="0"/>
      <w:marRight w:val="0"/>
      <w:marTop w:val="0"/>
      <w:marBottom w:val="0"/>
      <w:divBdr>
        <w:top w:val="none" w:sz="0" w:space="0" w:color="auto"/>
        <w:left w:val="none" w:sz="0" w:space="0" w:color="auto"/>
        <w:bottom w:val="none" w:sz="0" w:space="0" w:color="auto"/>
        <w:right w:val="none" w:sz="0" w:space="0" w:color="auto"/>
      </w:divBdr>
    </w:div>
    <w:div w:id="1617178750">
      <w:bodyDiv w:val="1"/>
      <w:marLeft w:val="0"/>
      <w:marRight w:val="0"/>
      <w:marTop w:val="0"/>
      <w:marBottom w:val="0"/>
      <w:divBdr>
        <w:top w:val="none" w:sz="0" w:space="0" w:color="auto"/>
        <w:left w:val="none" w:sz="0" w:space="0" w:color="auto"/>
        <w:bottom w:val="none" w:sz="0" w:space="0" w:color="auto"/>
        <w:right w:val="none" w:sz="0" w:space="0" w:color="auto"/>
      </w:divBdr>
    </w:div>
    <w:div w:id="1617905178">
      <w:bodyDiv w:val="1"/>
      <w:marLeft w:val="0"/>
      <w:marRight w:val="0"/>
      <w:marTop w:val="0"/>
      <w:marBottom w:val="0"/>
      <w:divBdr>
        <w:top w:val="none" w:sz="0" w:space="0" w:color="auto"/>
        <w:left w:val="none" w:sz="0" w:space="0" w:color="auto"/>
        <w:bottom w:val="none" w:sz="0" w:space="0" w:color="auto"/>
        <w:right w:val="none" w:sz="0" w:space="0" w:color="auto"/>
      </w:divBdr>
    </w:div>
    <w:div w:id="1617910294">
      <w:bodyDiv w:val="1"/>
      <w:marLeft w:val="0"/>
      <w:marRight w:val="0"/>
      <w:marTop w:val="0"/>
      <w:marBottom w:val="0"/>
      <w:divBdr>
        <w:top w:val="none" w:sz="0" w:space="0" w:color="auto"/>
        <w:left w:val="none" w:sz="0" w:space="0" w:color="auto"/>
        <w:bottom w:val="none" w:sz="0" w:space="0" w:color="auto"/>
        <w:right w:val="none" w:sz="0" w:space="0" w:color="auto"/>
      </w:divBdr>
    </w:div>
    <w:div w:id="1618023669">
      <w:bodyDiv w:val="1"/>
      <w:marLeft w:val="0"/>
      <w:marRight w:val="0"/>
      <w:marTop w:val="0"/>
      <w:marBottom w:val="0"/>
      <w:divBdr>
        <w:top w:val="none" w:sz="0" w:space="0" w:color="auto"/>
        <w:left w:val="none" w:sz="0" w:space="0" w:color="auto"/>
        <w:bottom w:val="none" w:sz="0" w:space="0" w:color="auto"/>
        <w:right w:val="none" w:sz="0" w:space="0" w:color="auto"/>
      </w:divBdr>
    </w:div>
    <w:div w:id="1618024272">
      <w:bodyDiv w:val="1"/>
      <w:marLeft w:val="0"/>
      <w:marRight w:val="0"/>
      <w:marTop w:val="0"/>
      <w:marBottom w:val="0"/>
      <w:divBdr>
        <w:top w:val="none" w:sz="0" w:space="0" w:color="auto"/>
        <w:left w:val="none" w:sz="0" w:space="0" w:color="auto"/>
        <w:bottom w:val="none" w:sz="0" w:space="0" w:color="auto"/>
        <w:right w:val="none" w:sz="0" w:space="0" w:color="auto"/>
      </w:divBdr>
    </w:div>
    <w:div w:id="1618218968">
      <w:bodyDiv w:val="1"/>
      <w:marLeft w:val="0"/>
      <w:marRight w:val="0"/>
      <w:marTop w:val="0"/>
      <w:marBottom w:val="0"/>
      <w:divBdr>
        <w:top w:val="none" w:sz="0" w:space="0" w:color="auto"/>
        <w:left w:val="none" w:sz="0" w:space="0" w:color="auto"/>
        <w:bottom w:val="none" w:sz="0" w:space="0" w:color="auto"/>
        <w:right w:val="none" w:sz="0" w:space="0" w:color="auto"/>
      </w:divBdr>
    </w:div>
    <w:div w:id="1619023597">
      <w:bodyDiv w:val="1"/>
      <w:marLeft w:val="0"/>
      <w:marRight w:val="0"/>
      <w:marTop w:val="0"/>
      <w:marBottom w:val="0"/>
      <w:divBdr>
        <w:top w:val="none" w:sz="0" w:space="0" w:color="auto"/>
        <w:left w:val="none" w:sz="0" w:space="0" w:color="auto"/>
        <w:bottom w:val="none" w:sz="0" w:space="0" w:color="auto"/>
        <w:right w:val="none" w:sz="0" w:space="0" w:color="auto"/>
      </w:divBdr>
    </w:div>
    <w:div w:id="1619028518">
      <w:bodyDiv w:val="1"/>
      <w:marLeft w:val="0"/>
      <w:marRight w:val="0"/>
      <w:marTop w:val="0"/>
      <w:marBottom w:val="0"/>
      <w:divBdr>
        <w:top w:val="none" w:sz="0" w:space="0" w:color="auto"/>
        <w:left w:val="none" w:sz="0" w:space="0" w:color="auto"/>
        <w:bottom w:val="none" w:sz="0" w:space="0" w:color="auto"/>
        <w:right w:val="none" w:sz="0" w:space="0" w:color="auto"/>
      </w:divBdr>
    </w:div>
    <w:div w:id="1619097620">
      <w:bodyDiv w:val="1"/>
      <w:marLeft w:val="0"/>
      <w:marRight w:val="0"/>
      <w:marTop w:val="0"/>
      <w:marBottom w:val="0"/>
      <w:divBdr>
        <w:top w:val="none" w:sz="0" w:space="0" w:color="auto"/>
        <w:left w:val="none" w:sz="0" w:space="0" w:color="auto"/>
        <w:bottom w:val="none" w:sz="0" w:space="0" w:color="auto"/>
        <w:right w:val="none" w:sz="0" w:space="0" w:color="auto"/>
      </w:divBdr>
    </w:div>
    <w:div w:id="1619601300">
      <w:bodyDiv w:val="1"/>
      <w:marLeft w:val="0"/>
      <w:marRight w:val="0"/>
      <w:marTop w:val="0"/>
      <w:marBottom w:val="0"/>
      <w:divBdr>
        <w:top w:val="none" w:sz="0" w:space="0" w:color="auto"/>
        <w:left w:val="none" w:sz="0" w:space="0" w:color="auto"/>
        <w:bottom w:val="none" w:sz="0" w:space="0" w:color="auto"/>
        <w:right w:val="none" w:sz="0" w:space="0" w:color="auto"/>
      </w:divBdr>
    </w:div>
    <w:div w:id="1619674767">
      <w:bodyDiv w:val="1"/>
      <w:marLeft w:val="0"/>
      <w:marRight w:val="0"/>
      <w:marTop w:val="0"/>
      <w:marBottom w:val="0"/>
      <w:divBdr>
        <w:top w:val="none" w:sz="0" w:space="0" w:color="auto"/>
        <w:left w:val="none" w:sz="0" w:space="0" w:color="auto"/>
        <w:bottom w:val="none" w:sz="0" w:space="0" w:color="auto"/>
        <w:right w:val="none" w:sz="0" w:space="0" w:color="auto"/>
      </w:divBdr>
    </w:div>
    <w:div w:id="1619681559">
      <w:bodyDiv w:val="1"/>
      <w:marLeft w:val="0"/>
      <w:marRight w:val="0"/>
      <w:marTop w:val="0"/>
      <w:marBottom w:val="0"/>
      <w:divBdr>
        <w:top w:val="none" w:sz="0" w:space="0" w:color="auto"/>
        <w:left w:val="none" w:sz="0" w:space="0" w:color="auto"/>
        <w:bottom w:val="none" w:sz="0" w:space="0" w:color="auto"/>
        <w:right w:val="none" w:sz="0" w:space="0" w:color="auto"/>
      </w:divBdr>
    </w:div>
    <w:div w:id="1619753232">
      <w:bodyDiv w:val="1"/>
      <w:marLeft w:val="0"/>
      <w:marRight w:val="0"/>
      <w:marTop w:val="0"/>
      <w:marBottom w:val="0"/>
      <w:divBdr>
        <w:top w:val="none" w:sz="0" w:space="0" w:color="auto"/>
        <w:left w:val="none" w:sz="0" w:space="0" w:color="auto"/>
        <w:bottom w:val="none" w:sz="0" w:space="0" w:color="auto"/>
        <w:right w:val="none" w:sz="0" w:space="0" w:color="auto"/>
      </w:divBdr>
    </w:div>
    <w:div w:id="1619797381">
      <w:bodyDiv w:val="1"/>
      <w:marLeft w:val="0"/>
      <w:marRight w:val="0"/>
      <w:marTop w:val="0"/>
      <w:marBottom w:val="0"/>
      <w:divBdr>
        <w:top w:val="none" w:sz="0" w:space="0" w:color="auto"/>
        <w:left w:val="none" w:sz="0" w:space="0" w:color="auto"/>
        <w:bottom w:val="none" w:sz="0" w:space="0" w:color="auto"/>
        <w:right w:val="none" w:sz="0" w:space="0" w:color="auto"/>
      </w:divBdr>
    </w:div>
    <w:div w:id="1619869913">
      <w:bodyDiv w:val="1"/>
      <w:marLeft w:val="0"/>
      <w:marRight w:val="0"/>
      <w:marTop w:val="0"/>
      <w:marBottom w:val="0"/>
      <w:divBdr>
        <w:top w:val="none" w:sz="0" w:space="0" w:color="auto"/>
        <w:left w:val="none" w:sz="0" w:space="0" w:color="auto"/>
        <w:bottom w:val="none" w:sz="0" w:space="0" w:color="auto"/>
        <w:right w:val="none" w:sz="0" w:space="0" w:color="auto"/>
      </w:divBdr>
    </w:div>
    <w:div w:id="1619990218">
      <w:bodyDiv w:val="1"/>
      <w:marLeft w:val="0"/>
      <w:marRight w:val="0"/>
      <w:marTop w:val="0"/>
      <w:marBottom w:val="0"/>
      <w:divBdr>
        <w:top w:val="none" w:sz="0" w:space="0" w:color="auto"/>
        <w:left w:val="none" w:sz="0" w:space="0" w:color="auto"/>
        <w:bottom w:val="none" w:sz="0" w:space="0" w:color="auto"/>
        <w:right w:val="none" w:sz="0" w:space="0" w:color="auto"/>
      </w:divBdr>
    </w:div>
    <w:div w:id="1619993037">
      <w:bodyDiv w:val="1"/>
      <w:marLeft w:val="0"/>
      <w:marRight w:val="0"/>
      <w:marTop w:val="0"/>
      <w:marBottom w:val="0"/>
      <w:divBdr>
        <w:top w:val="none" w:sz="0" w:space="0" w:color="auto"/>
        <w:left w:val="none" w:sz="0" w:space="0" w:color="auto"/>
        <w:bottom w:val="none" w:sz="0" w:space="0" w:color="auto"/>
        <w:right w:val="none" w:sz="0" w:space="0" w:color="auto"/>
      </w:divBdr>
    </w:div>
    <w:div w:id="1620181330">
      <w:bodyDiv w:val="1"/>
      <w:marLeft w:val="0"/>
      <w:marRight w:val="0"/>
      <w:marTop w:val="0"/>
      <w:marBottom w:val="0"/>
      <w:divBdr>
        <w:top w:val="none" w:sz="0" w:space="0" w:color="auto"/>
        <w:left w:val="none" w:sz="0" w:space="0" w:color="auto"/>
        <w:bottom w:val="none" w:sz="0" w:space="0" w:color="auto"/>
        <w:right w:val="none" w:sz="0" w:space="0" w:color="auto"/>
      </w:divBdr>
    </w:div>
    <w:div w:id="1620182335">
      <w:bodyDiv w:val="1"/>
      <w:marLeft w:val="0"/>
      <w:marRight w:val="0"/>
      <w:marTop w:val="0"/>
      <w:marBottom w:val="0"/>
      <w:divBdr>
        <w:top w:val="none" w:sz="0" w:space="0" w:color="auto"/>
        <w:left w:val="none" w:sz="0" w:space="0" w:color="auto"/>
        <w:bottom w:val="none" w:sz="0" w:space="0" w:color="auto"/>
        <w:right w:val="none" w:sz="0" w:space="0" w:color="auto"/>
      </w:divBdr>
    </w:div>
    <w:div w:id="1620184838">
      <w:bodyDiv w:val="1"/>
      <w:marLeft w:val="0"/>
      <w:marRight w:val="0"/>
      <w:marTop w:val="0"/>
      <w:marBottom w:val="0"/>
      <w:divBdr>
        <w:top w:val="none" w:sz="0" w:space="0" w:color="auto"/>
        <w:left w:val="none" w:sz="0" w:space="0" w:color="auto"/>
        <w:bottom w:val="none" w:sz="0" w:space="0" w:color="auto"/>
        <w:right w:val="none" w:sz="0" w:space="0" w:color="auto"/>
      </w:divBdr>
    </w:div>
    <w:div w:id="1620256999">
      <w:bodyDiv w:val="1"/>
      <w:marLeft w:val="0"/>
      <w:marRight w:val="0"/>
      <w:marTop w:val="0"/>
      <w:marBottom w:val="0"/>
      <w:divBdr>
        <w:top w:val="none" w:sz="0" w:space="0" w:color="auto"/>
        <w:left w:val="none" w:sz="0" w:space="0" w:color="auto"/>
        <w:bottom w:val="none" w:sz="0" w:space="0" w:color="auto"/>
        <w:right w:val="none" w:sz="0" w:space="0" w:color="auto"/>
      </w:divBdr>
    </w:div>
    <w:div w:id="1620257099">
      <w:bodyDiv w:val="1"/>
      <w:marLeft w:val="0"/>
      <w:marRight w:val="0"/>
      <w:marTop w:val="0"/>
      <w:marBottom w:val="0"/>
      <w:divBdr>
        <w:top w:val="none" w:sz="0" w:space="0" w:color="auto"/>
        <w:left w:val="none" w:sz="0" w:space="0" w:color="auto"/>
        <w:bottom w:val="none" w:sz="0" w:space="0" w:color="auto"/>
        <w:right w:val="none" w:sz="0" w:space="0" w:color="auto"/>
      </w:divBdr>
    </w:div>
    <w:div w:id="1620642301">
      <w:bodyDiv w:val="1"/>
      <w:marLeft w:val="0"/>
      <w:marRight w:val="0"/>
      <w:marTop w:val="0"/>
      <w:marBottom w:val="0"/>
      <w:divBdr>
        <w:top w:val="none" w:sz="0" w:space="0" w:color="auto"/>
        <w:left w:val="none" w:sz="0" w:space="0" w:color="auto"/>
        <w:bottom w:val="none" w:sz="0" w:space="0" w:color="auto"/>
        <w:right w:val="none" w:sz="0" w:space="0" w:color="auto"/>
      </w:divBdr>
    </w:div>
    <w:div w:id="1620718984">
      <w:bodyDiv w:val="1"/>
      <w:marLeft w:val="0"/>
      <w:marRight w:val="0"/>
      <w:marTop w:val="0"/>
      <w:marBottom w:val="0"/>
      <w:divBdr>
        <w:top w:val="none" w:sz="0" w:space="0" w:color="auto"/>
        <w:left w:val="none" w:sz="0" w:space="0" w:color="auto"/>
        <w:bottom w:val="none" w:sz="0" w:space="0" w:color="auto"/>
        <w:right w:val="none" w:sz="0" w:space="0" w:color="auto"/>
      </w:divBdr>
    </w:div>
    <w:div w:id="1620722916">
      <w:bodyDiv w:val="1"/>
      <w:marLeft w:val="0"/>
      <w:marRight w:val="0"/>
      <w:marTop w:val="0"/>
      <w:marBottom w:val="0"/>
      <w:divBdr>
        <w:top w:val="none" w:sz="0" w:space="0" w:color="auto"/>
        <w:left w:val="none" w:sz="0" w:space="0" w:color="auto"/>
        <w:bottom w:val="none" w:sz="0" w:space="0" w:color="auto"/>
        <w:right w:val="none" w:sz="0" w:space="0" w:color="auto"/>
      </w:divBdr>
    </w:div>
    <w:div w:id="1621033089">
      <w:bodyDiv w:val="1"/>
      <w:marLeft w:val="0"/>
      <w:marRight w:val="0"/>
      <w:marTop w:val="0"/>
      <w:marBottom w:val="0"/>
      <w:divBdr>
        <w:top w:val="none" w:sz="0" w:space="0" w:color="auto"/>
        <w:left w:val="none" w:sz="0" w:space="0" w:color="auto"/>
        <w:bottom w:val="none" w:sz="0" w:space="0" w:color="auto"/>
        <w:right w:val="none" w:sz="0" w:space="0" w:color="auto"/>
      </w:divBdr>
    </w:div>
    <w:div w:id="1621104161">
      <w:bodyDiv w:val="1"/>
      <w:marLeft w:val="0"/>
      <w:marRight w:val="0"/>
      <w:marTop w:val="0"/>
      <w:marBottom w:val="0"/>
      <w:divBdr>
        <w:top w:val="none" w:sz="0" w:space="0" w:color="auto"/>
        <w:left w:val="none" w:sz="0" w:space="0" w:color="auto"/>
        <w:bottom w:val="none" w:sz="0" w:space="0" w:color="auto"/>
        <w:right w:val="none" w:sz="0" w:space="0" w:color="auto"/>
      </w:divBdr>
    </w:div>
    <w:div w:id="1621261980">
      <w:bodyDiv w:val="1"/>
      <w:marLeft w:val="0"/>
      <w:marRight w:val="0"/>
      <w:marTop w:val="0"/>
      <w:marBottom w:val="0"/>
      <w:divBdr>
        <w:top w:val="none" w:sz="0" w:space="0" w:color="auto"/>
        <w:left w:val="none" w:sz="0" w:space="0" w:color="auto"/>
        <w:bottom w:val="none" w:sz="0" w:space="0" w:color="auto"/>
        <w:right w:val="none" w:sz="0" w:space="0" w:color="auto"/>
      </w:divBdr>
    </w:div>
    <w:div w:id="1621492784">
      <w:bodyDiv w:val="1"/>
      <w:marLeft w:val="0"/>
      <w:marRight w:val="0"/>
      <w:marTop w:val="0"/>
      <w:marBottom w:val="0"/>
      <w:divBdr>
        <w:top w:val="none" w:sz="0" w:space="0" w:color="auto"/>
        <w:left w:val="none" w:sz="0" w:space="0" w:color="auto"/>
        <w:bottom w:val="none" w:sz="0" w:space="0" w:color="auto"/>
        <w:right w:val="none" w:sz="0" w:space="0" w:color="auto"/>
      </w:divBdr>
    </w:div>
    <w:div w:id="1621842159">
      <w:bodyDiv w:val="1"/>
      <w:marLeft w:val="0"/>
      <w:marRight w:val="0"/>
      <w:marTop w:val="0"/>
      <w:marBottom w:val="0"/>
      <w:divBdr>
        <w:top w:val="none" w:sz="0" w:space="0" w:color="auto"/>
        <w:left w:val="none" w:sz="0" w:space="0" w:color="auto"/>
        <w:bottom w:val="none" w:sz="0" w:space="0" w:color="auto"/>
        <w:right w:val="none" w:sz="0" w:space="0" w:color="auto"/>
      </w:divBdr>
    </w:div>
    <w:div w:id="1621914278">
      <w:bodyDiv w:val="1"/>
      <w:marLeft w:val="0"/>
      <w:marRight w:val="0"/>
      <w:marTop w:val="0"/>
      <w:marBottom w:val="0"/>
      <w:divBdr>
        <w:top w:val="none" w:sz="0" w:space="0" w:color="auto"/>
        <w:left w:val="none" w:sz="0" w:space="0" w:color="auto"/>
        <w:bottom w:val="none" w:sz="0" w:space="0" w:color="auto"/>
        <w:right w:val="none" w:sz="0" w:space="0" w:color="auto"/>
      </w:divBdr>
    </w:div>
    <w:div w:id="1621915609">
      <w:bodyDiv w:val="1"/>
      <w:marLeft w:val="0"/>
      <w:marRight w:val="0"/>
      <w:marTop w:val="0"/>
      <w:marBottom w:val="0"/>
      <w:divBdr>
        <w:top w:val="none" w:sz="0" w:space="0" w:color="auto"/>
        <w:left w:val="none" w:sz="0" w:space="0" w:color="auto"/>
        <w:bottom w:val="none" w:sz="0" w:space="0" w:color="auto"/>
        <w:right w:val="none" w:sz="0" w:space="0" w:color="auto"/>
      </w:divBdr>
    </w:div>
    <w:div w:id="1621960675">
      <w:bodyDiv w:val="1"/>
      <w:marLeft w:val="0"/>
      <w:marRight w:val="0"/>
      <w:marTop w:val="0"/>
      <w:marBottom w:val="0"/>
      <w:divBdr>
        <w:top w:val="none" w:sz="0" w:space="0" w:color="auto"/>
        <w:left w:val="none" w:sz="0" w:space="0" w:color="auto"/>
        <w:bottom w:val="none" w:sz="0" w:space="0" w:color="auto"/>
        <w:right w:val="none" w:sz="0" w:space="0" w:color="auto"/>
      </w:divBdr>
    </w:div>
    <w:div w:id="1622108781">
      <w:bodyDiv w:val="1"/>
      <w:marLeft w:val="0"/>
      <w:marRight w:val="0"/>
      <w:marTop w:val="0"/>
      <w:marBottom w:val="0"/>
      <w:divBdr>
        <w:top w:val="none" w:sz="0" w:space="0" w:color="auto"/>
        <w:left w:val="none" w:sz="0" w:space="0" w:color="auto"/>
        <w:bottom w:val="none" w:sz="0" w:space="0" w:color="auto"/>
        <w:right w:val="none" w:sz="0" w:space="0" w:color="auto"/>
      </w:divBdr>
    </w:div>
    <w:div w:id="1622178343">
      <w:bodyDiv w:val="1"/>
      <w:marLeft w:val="0"/>
      <w:marRight w:val="0"/>
      <w:marTop w:val="0"/>
      <w:marBottom w:val="0"/>
      <w:divBdr>
        <w:top w:val="none" w:sz="0" w:space="0" w:color="auto"/>
        <w:left w:val="none" w:sz="0" w:space="0" w:color="auto"/>
        <w:bottom w:val="none" w:sz="0" w:space="0" w:color="auto"/>
        <w:right w:val="none" w:sz="0" w:space="0" w:color="auto"/>
      </w:divBdr>
    </w:div>
    <w:div w:id="1622220822">
      <w:bodyDiv w:val="1"/>
      <w:marLeft w:val="0"/>
      <w:marRight w:val="0"/>
      <w:marTop w:val="0"/>
      <w:marBottom w:val="0"/>
      <w:divBdr>
        <w:top w:val="none" w:sz="0" w:space="0" w:color="auto"/>
        <w:left w:val="none" w:sz="0" w:space="0" w:color="auto"/>
        <w:bottom w:val="none" w:sz="0" w:space="0" w:color="auto"/>
        <w:right w:val="none" w:sz="0" w:space="0" w:color="auto"/>
      </w:divBdr>
    </w:div>
    <w:div w:id="1622494503">
      <w:bodyDiv w:val="1"/>
      <w:marLeft w:val="0"/>
      <w:marRight w:val="0"/>
      <w:marTop w:val="0"/>
      <w:marBottom w:val="0"/>
      <w:divBdr>
        <w:top w:val="none" w:sz="0" w:space="0" w:color="auto"/>
        <w:left w:val="none" w:sz="0" w:space="0" w:color="auto"/>
        <w:bottom w:val="none" w:sz="0" w:space="0" w:color="auto"/>
        <w:right w:val="none" w:sz="0" w:space="0" w:color="auto"/>
      </w:divBdr>
    </w:div>
    <w:div w:id="1622540932">
      <w:bodyDiv w:val="1"/>
      <w:marLeft w:val="0"/>
      <w:marRight w:val="0"/>
      <w:marTop w:val="0"/>
      <w:marBottom w:val="0"/>
      <w:divBdr>
        <w:top w:val="none" w:sz="0" w:space="0" w:color="auto"/>
        <w:left w:val="none" w:sz="0" w:space="0" w:color="auto"/>
        <w:bottom w:val="none" w:sz="0" w:space="0" w:color="auto"/>
        <w:right w:val="none" w:sz="0" w:space="0" w:color="auto"/>
      </w:divBdr>
    </w:div>
    <w:div w:id="1622802868">
      <w:bodyDiv w:val="1"/>
      <w:marLeft w:val="0"/>
      <w:marRight w:val="0"/>
      <w:marTop w:val="0"/>
      <w:marBottom w:val="0"/>
      <w:divBdr>
        <w:top w:val="none" w:sz="0" w:space="0" w:color="auto"/>
        <w:left w:val="none" w:sz="0" w:space="0" w:color="auto"/>
        <w:bottom w:val="none" w:sz="0" w:space="0" w:color="auto"/>
        <w:right w:val="none" w:sz="0" w:space="0" w:color="auto"/>
      </w:divBdr>
    </w:div>
    <w:div w:id="1622877056">
      <w:bodyDiv w:val="1"/>
      <w:marLeft w:val="0"/>
      <w:marRight w:val="0"/>
      <w:marTop w:val="0"/>
      <w:marBottom w:val="0"/>
      <w:divBdr>
        <w:top w:val="none" w:sz="0" w:space="0" w:color="auto"/>
        <w:left w:val="none" w:sz="0" w:space="0" w:color="auto"/>
        <w:bottom w:val="none" w:sz="0" w:space="0" w:color="auto"/>
        <w:right w:val="none" w:sz="0" w:space="0" w:color="auto"/>
      </w:divBdr>
    </w:div>
    <w:div w:id="1622954937">
      <w:bodyDiv w:val="1"/>
      <w:marLeft w:val="0"/>
      <w:marRight w:val="0"/>
      <w:marTop w:val="0"/>
      <w:marBottom w:val="0"/>
      <w:divBdr>
        <w:top w:val="none" w:sz="0" w:space="0" w:color="auto"/>
        <w:left w:val="none" w:sz="0" w:space="0" w:color="auto"/>
        <w:bottom w:val="none" w:sz="0" w:space="0" w:color="auto"/>
        <w:right w:val="none" w:sz="0" w:space="0" w:color="auto"/>
      </w:divBdr>
    </w:div>
    <w:div w:id="1622958681">
      <w:bodyDiv w:val="1"/>
      <w:marLeft w:val="0"/>
      <w:marRight w:val="0"/>
      <w:marTop w:val="0"/>
      <w:marBottom w:val="0"/>
      <w:divBdr>
        <w:top w:val="none" w:sz="0" w:space="0" w:color="auto"/>
        <w:left w:val="none" w:sz="0" w:space="0" w:color="auto"/>
        <w:bottom w:val="none" w:sz="0" w:space="0" w:color="auto"/>
        <w:right w:val="none" w:sz="0" w:space="0" w:color="auto"/>
      </w:divBdr>
    </w:div>
    <w:div w:id="1623026639">
      <w:bodyDiv w:val="1"/>
      <w:marLeft w:val="0"/>
      <w:marRight w:val="0"/>
      <w:marTop w:val="0"/>
      <w:marBottom w:val="0"/>
      <w:divBdr>
        <w:top w:val="none" w:sz="0" w:space="0" w:color="auto"/>
        <w:left w:val="none" w:sz="0" w:space="0" w:color="auto"/>
        <w:bottom w:val="none" w:sz="0" w:space="0" w:color="auto"/>
        <w:right w:val="none" w:sz="0" w:space="0" w:color="auto"/>
      </w:divBdr>
    </w:div>
    <w:div w:id="1623069460">
      <w:bodyDiv w:val="1"/>
      <w:marLeft w:val="0"/>
      <w:marRight w:val="0"/>
      <w:marTop w:val="0"/>
      <w:marBottom w:val="0"/>
      <w:divBdr>
        <w:top w:val="none" w:sz="0" w:space="0" w:color="auto"/>
        <w:left w:val="none" w:sz="0" w:space="0" w:color="auto"/>
        <w:bottom w:val="none" w:sz="0" w:space="0" w:color="auto"/>
        <w:right w:val="none" w:sz="0" w:space="0" w:color="auto"/>
      </w:divBdr>
    </w:div>
    <w:div w:id="1623223106">
      <w:bodyDiv w:val="1"/>
      <w:marLeft w:val="0"/>
      <w:marRight w:val="0"/>
      <w:marTop w:val="0"/>
      <w:marBottom w:val="0"/>
      <w:divBdr>
        <w:top w:val="none" w:sz="0" w:space="0" w:color="auto"/>
        <w:left w:val="none" w:sz="0" w:space="0" w:color="auto"/>
        <w:bottom w:val="none" w:sz="0" w:space="0" w:color="auto"/>
        <w:right w:val="none" w:sz="0" w:space="0" w:color="auto"/>
      </w:divBdr>
    </w:div>
    <w:div w:id="1623459895">
      <w:bodyDiv w:val="1"/>
      <w:marLeft w:val="0"/>
      <w:marRight w:val="0"/>
      <w:marTop w:val="0"/>
      <w:marBottom w:val="0"/>
      <w:divBdr>
        <w:top w:val="none" w:sz="0" w:space="0" w:color="auto"/>
        <w:left w:val="none" w:sz="0" w:space="0" w:color="auto"/>
        <w:bottom w:val="none" w:sz="0" w:space="0" w:color="auto"/>
        <w:right w:val="none" w:sz="0" w:space="0" w:color="auto"/>
      </w:divBdr>
    </w:div>
    <w:div w:id="1623609704">
      <w:bodyDiv w:val="1"/>
      <w:marLeft w:val="0"/>
      <w:marRight w:val="0"/>
      <w:marTop w:val="0"/>
      <w:marBottom w:val="0"/>
      <w:divBdr>
        <w:top w:val="none" w:sz="0" w:space="0" w:color="auto"/>
        <w:left w:val="none" w:sz="0" w:space="0" w:color="auto"/>
        <w:bottom w:val="none" w:sz="0" w:space="0" w:color="auto"/>
        <w:right w:val="none" w:sz="0" w:space="0" w:color="auto"/>
      </w:divBdr>
    </w:div>
    <w:div w:id="1623614875">
      <w:bodyDiv w:val="1"/>
      <w:marLeft w:val="0"/>
      <w:marRight w:val="0"/>
      <w:marTop w:val="0"/>
      <w:marBottom w:val="0"/>
      <w:divBdr>
        <w:top w:val="none" w:sz="0" w:space="0" w:color="auto"/>
        <w:left w:val="none" w:sz="0" w:space="0" w:color="auto"/>
        <w:bottom w:val="none" w:sz="0" w:space="0" w:color="auto"/>
        <w:right w:val="none" w:sz="0" w:space="0" w:color="auto"/>
      </w:divBdr>
    </w:div>
    <w:div w:id="1623615989">
      <w:bodyDiv w:val="1"/>
      <w:marLeft w:val="0"/>
      <w:marRight w:val="0"/>
      <w:marTop w:val="0"/>
      <w:marBottom w:val="0"/>
      <w:divBdr>
        <w:top w:val="none" w:sz="0" w:space="0" w:color="auto"/>
        <w:left w:val="none" w:sz="0" w:space="0" w:color="auto"/>
        <w:bottom w:val="none" w:sz="0" w:space="0" w:color="auto"/>
        <w:right w:val="none" w:sz="0" w:space="0" w:color="auto"/>
      </w:divBdr>
    </w:div>
    <w:div w:id="1623732232">
      <w:bodyDiv w:val="1"/>
      <w:marLeft w:val="0"/>
      <w:marRight w:val="0"/>
      <w:marTop w:val="0"/>
      <w:marBottom w:val="0"/>
      <w:divBdr>
        <w:top w:val="none" w:sz="0" w:space="0" w:color="auto"/>
        <w:left w:val="none" w:sz="0" w:space="0" w:color="auto"/>
        <w:bottom w:val="none" w:sz="0" w:space="0" w:color="auto"/>
        <w:right w:val="none" w:sz="0" w:space="0" w:color="auto"/>
      </w:divBdr>
    </w:div>
    <w:div w:id="1623876705">
      <w:bodyDiv w:val="1"/>
      <w:marLeft w:val="0"/>
      <w:marRight w:val="0"/>
      <w:marTop w:val="0"/>
      <w:marBottom w:val="0"/>
      <w:divBdr>
        <w:top w:val="none" w:sz="0" w:space="0" w:color="auto"/>
        <w:left w:val="none" w:sz="0" w:space="0" w:color="auto"/>
        <w:bottom w:val="none" w:sz="0" w:space="0" w:color="auto"/>
        <w:right w:val="none" w:sz="0" w:space="0" w:color="auto"/>
      </w:divBdr>
    </w:div>
    <w:div w:id="1624001614">
      <w:bodyDiv w:val="1"/>
      <w:marLeft w:val="0"/>
      <w:marRight w:val="0"/>
      <w:marTop w:val="0"/>
      <w:marBottom w:val="0"/>
      <w:divBdr>
        <w:top w:val="none" w:sz="0" w:space="0" w:color="auto"/>
        <w:left w:val="none" w:sz="0" w:space="0" w:color="auto"/>
        <w:bottom w:val="none" w:sz="0" w:space="0" w:color="auto"/>
        <w:right w:val="none" w:sz="0" w:space="0" w:color="auto"/>
      </w:divBdr>
    </w:div>
    <w:div w:id="1624145011">
      <w:bodyDiv w:val="1"/>
      <w:marLeft w:val="0"/>
      <w:marRight w:val="0"/>
      <w:marTop w:val="0"/>
      <w:marBottom w:val="0"/>
      <w:divBdr>
        <w:top w:val="none" w:sz="0" w:space="0" w:color="auto"/>
        <w:left w:val="none" w:sz="0" w:space="0" w:color="auto"/>
        <w:bottom w:val="none" w:sz="0" w:space="0" w:color="auto"/>
        <w:right w:val="none" w:sz="0" w:space="0" w:color="auto"/>
      </w:divBdr>
    </w:div>
    <w:div w:id="1624187683">
      <w:bodyDiv w:val="1"/>
      <w:marLeft w:val="0"/>
      <w:marRight w:val="0"/>
      <w:marTop w:val="0"/>
      <w:marBottom w:val="0"/>
      <w:divBdr>
        <w:top w:val="none" w:sz="0" w:space="0" w:color="auto"/>
        <w:left w:val="none" w:sz="0" w:space="0" w:color="auto"/>
        <w:bottom w:val="none" w:sz="0" w:space="0" w:color="auto"/>
        <w:right w:val="none" w:sz="0" w:space="0" w:color="auto"/>
      </w:divBdr>
    </w:div>
    <w:div w:id="1624264984">
      <w:bodyDiv w:val="1"/>
      <w:marLeft w:val="0"/>
      <w:marRight w:val="0"/>
      <w:marTop w:val="0"/>
      <w:marBottom w:val="0"/>
      <w:divBdr>
        <w:top w:val="none" w:sz="0" w:space="0" w:color="auto"/>
        <w:left w:val="none" w:sz="0" w:space="0" w:color="auto"/>
        <w:bottom w:val="none" w:sz="0" w:space="0" w:color="auto"/>
        <w:right w:val="none" w:sz="0" w:space="0" w:color="auto"/>
      </w:divBdr>
    </w:div>
    <w:div w:id="1624265377">
      <w:bodyDiv w:val="1"/>
      <w:marLeft w:val="0"/>
      <w:marRight w:val="0"/>
      <w:marTop w:val="0"/>
      <w:marBottom w:val="0"/>
      <w:divBdr>
        <w:top w:val="none" w:sz="0" w:space="0" w:color="auto"/>
        <w:left w:val="none" w:sz="0" w:space="0" w:color="auto"/>
        <w:bottom w:val="none" w:sz="0" w:space="0" w:color="auto"/>
        <w:right w:val="none" w:sz="0" w:space="0" w:color="auto"/>
      </w:divBdr>
    </w:div>
    <w:div w:id="1624381663">
      <w:bodyDiv w:val="1"/>
      <w:marLeft w:val="0"/>
      <w:marRight w:val="0"/>
      <w:marTop w:val="0"/>
      <w:marBottom w:val="0"/>
      <w:divBdr>
        <w:top w:val="none" w:sz="0" w:space="0" w:color="auto"/>
        <w:left w:val="none" w:sz="0" w:space="0" w:color="auto"/>
        <w:bottom w:val="none" w:sz="0" w:space="0" w:color="auto"/>
        <w:right w:val="none" w:sz="0" w:space="0" w:color="auto"/>
      </w:divBdr>
    </w:div>
    <w:div w:id="1624506728">
      <w:bodyDiv w:val="1"/>
      <w:marLeft w:val="0"/>
      <w:marRight w:val="0"/>
      <w:marTop w:val="0"/>
      <w:marBottom w:val="0"/>
      <w:divBdr>
        <w:top w:val="none" w:sz="0" w:space="0" w:color="auto"/>
        <w:left w:val="none" w:sz="0" w:space="0" w:color="auto"/>
        <w:bottom w:val="none" w:sz="0" w:space="0" w:color="auto"/>
        <w:right w:val="none" w:sz="0" w:space="0" w:color="auto"/>
      </w:divBdr>
    </w:div>
    <w:div w:id="1624649730">
      <w:bodyDiv w:val="1"/>
      <w:marLeft w:val="0"/>
      <w:marRight w:val="0"/>
      <w:marTop w:val="0"/>
      <w:marBottom w:val="0"/>
      <w:divBdr>
        <w:top w:val="none" w:sz="0" w:space="0" w:color="auto"/>
        <w:left w:val="none" w:sz="0" w:space="0" w:color="auto"/>
        <w:bottom w:val="none" w:sz="0" w:space="0" w:color="auto"/>
        <w:right w:val="none" w:sz="0" w:space="0" w:color="auto"/>
      </w:divBdr>
    </w:div>
    <w:div w:id="1624727881">
      <w:bodyDiv w:val="1"/>
      <w:marLeft w:val="0"/>
      <w:marRight w:val="0"/>
      <w:marTop w:val="0"/>
      <w:marBottom w:val="0"/>
      <w:divBdr>
        <w:top w:val="none" w:sz="0" w:space="0" w:color="auto"/>
        <w:left w:val="none" w:sz="0" w:space="0" w:color="auto"/>
        <w:bottom w:val="none" w:sz="0" w:space="0" w:color="auto"/>
        <w:right w:val="none" w:sz="0" w:space="0" w:color="auto"/>
      </w:divBdr>
    </w:div>
    <w:div w:id="1624727985">
      <w:bodyDiv w:val="1"/>
      <w:marLeft w:val="0"/>
      <w:marRight w:val="0"/>
      <w:marTop w:val="0"/>
      <w:marBottom w:val="0"/>
      <w:divBdr>
        <w:top w:val="none" w:sz="0" w:space="0" w:color="auto"/>
        <w:left w:val="none" w:sz="0" w:space="0" w:color="auto"/>
        <w:bottom w:val="none" w:sz="0" w:space="0" w:color="auto"/>
        <w:right w:val="none" w:sz="0" w:space="0" w:color="auto"/>
      </w:divBdr>
    </w:div>
    <w:div w:id="1624775047">
      <w:bodyDiv w:val="1"/>
      <w:marLeft w:val="0"/>
      <w:marRight w:val="0"/>
      <w:marTop w:val="0"/>
      <w:marBottom w:val="0"/>
      <w:divBdr>
        <w:top w:val="none" w:sz="0" w:space="0" w:color="auto"/>
        <w:left w:val="none" w:sz="0" w:space="0" w:color="auto"/>
        <w:bottom w:val="none" w:sz="0" w:space="0" w:color="auto"/>
        <w:right w:val="none" w:sz="0" w:space="0" w:color="auto"/>
      </w:divBdr>
    </w:div>
    <w:div w:id="1624965144">
      <w:bodyDiv w:val="1"/>
      <w:marLeft w:val="0"/>
      <w:marRight w:val="0"/>
      <w:marTop w:val="0"/>
      <w:marBottom w:val="0"/>
      <w:divBdr>
        <w:top w:val="none" w:sz="0" w:space="0" w:color="auto"/>
        <w:left w:val="none" w:sz="0" w:space="0" w:color="auto"/>
        <w:bottom w:val="none" w:sz="0" w:space="0" w:color="auto"/>
        <w:right w:val="none" w:sz="0" w:space="0" w:color="auto"/>
      </w:divBdr>
    </w:div>
    <w:div w:id="1625035862">
      <w:bodyDiv w:val="1"/>
      <w:marLeft w:val="0"/>
      <w:marRight w:val="0"/>
      <w:marTop w:val="0"/>
      <w:marBottom w:val="0"/>
      <w:divBdr>
        <w:top w:val="none" w:sz="0" w:space="0" w:color="auto"/>
        <w:left w:val="none" w:sz="0" w:space="0" w:color="auto"/>
        <w:bottom w:val="none" w:sz="0" w:space="0" w:color="auto"/>
        <w:right w:val="none" w:sz="0" w:space="0" w:color="auto"/>
      </w:divBdr>
    </w:div>
    <w:div w:id="1625236285">
      <w:bodyDiv w:val="1"/>
      <w:marLeft w:val="0"/>
      <w:marRight w:val="0"/>
      <w:marTop w:val="0"/>
      <w:marBottom w:val="0"/>
      <w:divBdr>
        <w:top w:val="none" w:sz="0" w:space="0" w:color="auto"/>
        <w:left w:val="none" w:sz="0" w:space="0" w:color="auto"/>
        <w:bottom w:val="none" w:sz="0" w:space="0" w:color="auto"/>
        <w:right w:val="none" w:sz="0" w:space="0" w:color="auto"/>
      </w:divBdr>
    </w:div>
    <w:div w:id="1625237834">
      <w:bodyDiv w:val="1"/>
      <w:marLeft w:val="0"/>
      <w:marRight w:val="0"/>
      <w:marTop w:val="0"/>
      <w:marBottom w:val="0"/>
      <w:divBdr>
        <w:top w:val="none" w:sz="0" w:space="0" w:color="auto"/>
        <w:left w:val="none" w:sz="0" w:space="0" w:color="auto"/>
        <w:bottom w:val="none" w:sz="0" w:space="0" w:color="auto"/>
        <w:right w:val="none" w:sz="0" w:space="0" w:color="auto"/>
      </w:divBdr>
    </w:div>
    <w:div w:id="1625310414">
      <w:bodyDiv w:val="1"/>
      <w:marLeft w:val="0"/>
      <w:marRight w:val="0"/>
      <w:marTop w:val="0"/>
      <w:marBottom w:val="0"/>
      <w:divBdr>
        <w:top w:val="none" w:sz="0" w:space="0" w:color="auto"/>
        <w:left w:val="none" w:sz="0" w:space="0" w:color="auto"/>
        <w:bottom w:val="none" w:sz="0" w:space="0" w:color="auto"/>
        <w:right w:val="none" w:sz="0" w:space="0" w:color="auto"/>
      </w:divBdr>
    </w:div>
    <w:div w:id="1625312873">
      <w:bodyDiv w:val="1"/>
      <w:marLeft w:val="0"/>
      <w:marRight w:val="0"/>
      <w:marTop w:val="0"/>
      <w:marBottom w:val="0"/>
      <w:divBdr>
        <w:top w:val="none" w:sz="0" w:space="0" w:color="auto"/>
        <w:left w:val="none" w:sz="0" w:space="0" w:color="auto"/>
        <w:bottom w:val="none" w:sz="0" w:space="0" w:color="auto"/>
        <w:right w:val="none" w:sz="0" w:space="0" w:color="auto"/>
      </w:divBdr>
    </w:div>
    <w:div w:id="1625379423">
      <w:bodyDiv w:val="1"/>
      <w:marLeft w:val="0"/>
      <w:marRight w:val="0"/>
      <w:marTop w:val="0"/>
      <w:marBottom w:val="0"/>
      <w:divBdr>
        <w:top w:val="none" w:sz="0" w:space="0" w:color="auto"/>
        <w:left w:val="none" w:sz="0" w:space="0" w:color="auto"/>
        <w:bottom w:val="none" w:sz="0" w:space="0" w:color="auto"/>
        <w:right w:val="none" w:sz="0" w:space="0" w:color="auto"/>
      </w:divBdr>
    </w:div>
    <w:div w:id="1625425097">
      <w:bodyDiv w:val="1"/>
      <w:marLeft w:val="0"/>
      <w:marRight w:val="0"/>
      <w:marTop w:val="0"/>
      <w:marBottom w:val="0"/>
      <w:divBdr>
        <w:top w:val="none" w:sz="0" w:space="0" w:color="auto"/>
        <w:left w:val="none" w:sz="0" w:space="0" w:color="auto"/>
        <w:bottom w:val="none" w:sz="0" w:space="0" w:color="auto"/>
        <w:right w:val="none" w:sz="0" w:space="0" w:color="auto"/>
      </w:divBdr>
    </w:div>
    <w:div w:id="1625429826">
      <w:bodyDiv w:val="1"/>
      <w:marLeft w:val="0"/>
      <w:marRight w:val="0"/>
      <w:marTop w:val="0"/>
      <w:marBottom w:val="0"/>
      <w:divBdr>
        <w:top w:val="none" w:sz="0" w:space="0" w:color="auto"/>
        <w:left w:val="none" w:sz="0" w:space="0" w:color="auto"/>
        <w:bottom w:val="none" w:sz="0" w:space="0" w:color="auto"/>
        <w:right w:val="none" w:sz="0" w:space="0" w:color="auto"/>
      </w:divBdr>
    </w:div>
    <w:div w:id="1625498023">
      <w:bodyDiv w:val="1"/>
      <w:marLeft w:val="0"/>
      <w:marRight w:val="0"/>
      <w:marTop w:val="0"/>
      <w:marBottom w:val="0"/>
      <w:divBdr>
        <w:top w:val="none" w:sz="0" w:space="0" w:color="auto"/>
        <w:left w:val="none" w:sz="0" w:space="0" w:color="auto"/>
        <w:bottom w:val="none" w:sz="0" w:space="0" w:color="auto"/>
        <w:right w:val="none" w:sz="0" w:space="0" w:color="auto"/>
      </w:divBdr>
    </w:div>
    <w:div w:id="1625579375">
      <w:bodyDiv w:val="1"/>
      <w:marLeft w:val="0"/>
      <w:marRight w:val="0"/>
      <w:marTop w:val="0"/>
      <w:marBottom w:val="0"/>
      <w:divBdr>
        <w:top w:val="none" w:sz="0" w:space="0" w:color="auto"/>
        <w:left w:val="none" w:sz="0" w:space="0" w:color="auto"/>
        <w:bottom w:val="none" w:sz="0" w:space="0" w:color="auto"/>
        <w:right w:val="none" w:sz="0" w:space="0" w:color="auto"/>
      </w:divBdr>
    </w:div>
    <w:div w:id="1625581161">
      <w:bodyDiv w:val="1"/>
      <w:marLeft w:val="0"/>
      <w:marRight w:val="0"/>
      <w:marTop w:val="0"/>
      <w:marBottom w:val="0"/>
      <w:divBdr>
        <w:top w:val="none" w:sz="0" w:space="0" w:color="auto"/>
        <w:left w:val="none" w:sz="0" w:space="0" w:color="auto"/>
        <w:bottom w:val="none" w:sz="0" w:space="0" w:color="auto"/>
        <w:right w:val="none" w:sz="0" w:space="0" w:color="auto"/>
      </w:divBdr>
    </w:div>
    <w:div w:id="1625652979">
      <w:bodyDiv w:val="1"/>
      <w:marLeft w:val="0"/>
      <w:marRight w:val="0"/>
      <w:marTop w:val="0"/>
      <w:marBottom w:val="0"/>
      <w:divBdr>
        <w:top w:val="none" w:sz="0" w:space="0" w:color="auto"/>
        <w:left w:val="none" w:sz="0" w:space="0" w:color="auto"/>
        <w:bottom w:val="none" w:sz="0" w:space="0" w:color="auto"/>
        <w:right w:val="none" w:sz="0" w:space="0" w:color="auto"/>
      </w:divBdr>
    </w:div>
    <w:div w:id="1625766875">
      <w:bodyDiv w:val="1"/>
      <w:marLeft w:val="0"/>
      <w:marRight w:val="0"/>
      <w:marTop w:val="0"/>
      <w:marBottom w:val="0"/>
      <w:divBdr>
        <w:top w:val="none" w:sz="0" w:space="0" w:color="auto"/>
        <w:left w:val="none" w:sz="0" w:space="0" w:color="auto"/>
        <w:bottom w:val="none" w:sz="0" w:space="0" w:color="auto"/>
        <w:right w:val="none" w:sz="0" w:space="0" w:color="auto"/>
      </w:divBdr>
    </w:div>
    <w:div w:id="1625962549">
      <w:bodyDiv w:val="1"/>
      <w:marLeft w:val="0"/>
      <w:marRight w:val="0"/>
      <w:marTop w:val="0"/>
      <w:marBottom w:val="0"/>
      <w:divBdr>
        <w:top w:val="none" w:sz="0" w:space="0" w:color="auto"/>
        <w:left w:val="none" w:sz="0" w:space="0" w:color="auto"/>
        <w:bottom w:val="none" w:sz="0" w:space="0" w:color="auto"/>
        <w:right w:val="none" w:sz="0" w:space="0" w:color="auto"/>
      </w:divBdr>
    </w:div>
    <w:div w:id="1626539208">
      <w:bodyDiv w:val="1"/>
      <w:marLeft w:val="0"/>
      <w:marRight w:val="0"/>
      <w:marTop w:val="0"/>
      <w:marBottom w:val="0"/>
      <w:divBdr>
        <w:top w:val="none" w:sz="0" w:space="0" w:color="auto"/>
        <w:left w:val="none" w:sz="0" w:space="0" w:color="auto"/>
        <w:bottom w:val="none" w:sz="0" w:space="0" w:color="auto"/>
        <w:right w:val="none" w:sz="0" w:space="0" w:color="auto"/>
      </w:divBdr>
    </w:div>
    <w:div w:id="1626547876">
      <w:bodyDiv w:val="1"/>
      <w:marLeft w:val="0"/>
      <w:marRight w:val="0"/>
      <w:marTop w:val="0"/>
      <w:marBottom w:val="0"/>
      <w:divBdr>
        <w:top w:val="none" w:sz="0" w:space="0" w:color="auto"/>
        <w:left w:val="none" w:sz="0" w:space="0" w:color="auto"/>
        <w:bottom w:val="none" w:sz="0" w:space="0" w:color="auto"/>
        <w:right w:val="none" w:sz="0" w:space="0" w:color="auto"/>
      </w:divBdr>
    </w:div>
    <w:div w:id="1626623689">
      <w:bodyDiv w:val="1"/>
      <w:marLeft w:val="0"/>
      <w:marRight w:val="0"/>
      <w:marTop w:val="0"/>
      <w:marBottom w:val="0"/>
      <w:divBdr>
        <w:top w:val="none" w:sz="0" w:space="0" w:color="auto"/>
        <w:left w:val="none" w:sz="0" w:space="0" w:color="auto"/>
        <w:bottom w:val="none" w:sz="0" w:space="0" w:color="auto"/>
        <w:right w:val="none" w:sz="0" w:space="0" w:color="auto"/>
      </w:divBdr>
    </w:div>
    <w:div w:id="1626735124">
      <w:bodyDiv w:val="1"/>
      <w:marLeft w:val="0"/>
      <w:marRight w:val="0"/>
      <w:marTop w:val="0"/>
      <w:marBottom w:val="0"/>
      <w:divBdr>
        <w:top w:val="none" w:sz="0" w:space="0" w:color="auto"/>
        <w:left w:val="none" w:sz="0" w:space="0" w:color="auto"/>
        <w:bottom w:val="none" w:sz="0" w:space="0" w:color="auto"/>
        <w:right w:val="none" w:sz="0" w:space="0" w:color="auto"/>
      </w:divBdr>
    </w:div>
    <w:div w:id="1626738711">
      <w:bodyDiv w:val="1"/>
      <w:marLeft w:val="0"/>
      <w:marRight w:val="0"/>
      <w:marTop w:val="0"/>
      <w:marBottom w:val="0"/>
      <w:divBdr>
        <w:top w:val="none" w:sz="0" w:space="0" w:color="auto"/>
        <w:left w:val="none" w:sz="0" w:space="0" w:color="auto"/>
        <w:bottom w:val="none" w:sz="0" w:space="0" w:color="auto"/>
        <w:right w:val="none" w:sz="0" w:space="0" w:color="auto"/>
      </w:divBdr>
    </w:div>
    <w:div w:id="1626740299">
      <w:bodyDiv w:val="1"/>
      <w:marLeft w:val="0"/>
      <w:marRight w:val="0"/>
      <w:marTop w:val="0"/>
      <w:marBottom w:val="0"/>
      <w:divBdr>
        <w:top w:val="none" w:sz="0" w:space="0" w:color="auto"/>
        <w:left w:val="none" w:sz="0" w:space="0" w:color="auto"/>
        <w:bottom w:val="none" w:sz="0" w:space="0" w:color="auto"/>
        <w:right w:val="none" w:sz="0" w:space="0" w:color="auto"/>
      </w:divBdr>
    </w:div>
    <w:div w:id="1626887199">
      <w:bodyDiv w:val="1"/>
      <w:marLeft w:val="0"/>
      <w:marRight w:val="0"/>
      <w:marTop w:val="0"/>
      <w:marBottom w:val="0"/>
      <w:divBdr>
        <w:top w:val="none" w:sz="0" w:space="0" w:color="auto"/>
        <w:left w:val="none" w:sz="0" w:space="0" w:color="auto"/>
        <w:bottom w:val="none" w:sz="0" w:space="0" w:color="auto"/>
        <w:right w:val="none" w:sz="0" w:space="0" w:color="auto"/>
      </w:divBdr>
    </w:div>
    <w:div w:id="1626890135">
      <w:bodyDiv w:val="1"/>
      <w:marLeft w:val="0"/>
      <w:marRight w:val="0"/>
      <w:marTop w:val="0"/>
      <w:marBottom w:val="0"/>
      <w:divBdr>
        <w:top w:val="none" w:sz="0" w:space="0" w:color="auto"/>
        <w:left w:val="none" w:sz="0" w:space="0" w:color="auto"/>
        <w:bottom w:val="none" w:sz="0" w:space="0" w:color="auto"/>
        <w:right w:val="none" w:sz="0" w:space="0" w:color="auto"/>
      </w:divBdr>
    </w:div>
    <w:div w:id="1626961884">
      <w:bodyDiv w:val="1"/>
      <w:marLeft w:val="0"/>
      <w:marRight w:val="0"/>
      <w:marTop w:val="0"/>
      <w:marBottom w:val="0"/>
      <w:divBdr>
        <w:top w:val="none" w:sz="0" w:space="0" w:color="auto"/>
        <w:left w:val="none" w:sz="0" w:space="0" w:color="auto"/>
        <w:bottom w:val="none" w:sz="0" w:space="0" w:color="auto"/>
        <w:right w:val="none" w:sz="0" w:space="0" w:color="auto"/>
      </w:divBdr>
    </w:div>
    <w:div w:id="1627078012">
      <w:bodyDiv w:val="1"/>
      <w:marLeft w:val="0"/>
      <w:marRight w:val="0"/>
      <w:marTop w:val="0"/>
      <w:marBottom w:val="0"/>
      <w:divBdr>
        <w:top w:val="none" w:sz="0" w:space="0" w:color="auto"/>
        <w:left w:val="none" w:sz="0" w:space="0" w:color="auto"/>
        <w:bottom w:val="none" w:sz="0" w:space="0" w:color="auto"/>
        <w:right w:val="none" w:sz="0" w:space="0" w:color="auto"/>
      </w:divBdr>
    </w:div>
    <w:div w:id="1627154389">
      <w:bodyDiv w:val="1"/>
      <w:marLeft w:val="0"/>
      <w:marRight w:val="0"/>
      <w:marTop w:val="0"/>
      <w:marBottom w:val="0"/>
      <w:divBdr>
        <w:top w:val="none" w:sz="0" w:space="0" w:color="auto"/>
        <w:left w:val="none" w:sz="0" w:space="0" w:color="auto"/>
        <w:bottom w:val="none" w:sz="0" w:space="0" w:color="auto"/>
        <w:right w:val="none" w:sz="0" w:space="0" w:color="auto"/>
      </w:divBdr>
    </w:div>
    <w:div w:id="1627269460">
      <w:bodyDiv w:val="1"/>
      <w:marLeft w:val="0"/>
      <w:marRight w:val="0"/>
      <w:marTop w:val="0"/>
      <w:marBottom w:val="0"/>
      <w:divBdr>
        <w:top w:val="none" w:sz="0" w:space="0" w:color="auto"/>
        <w:left w:val="none" w:sz="0" w:space="0" w:color="auto"/>
        <w:bottom w:val="none" w:sz="0" w:space="0" w:color="auto"/>
        <w:right w:val="none" w:sz="0" w:space="0" w:color="auto"/>
      </w:divBdr>
    </w:div>
    <w:div w:id="1627588994">
      <w:bodyDiv w:val="1"/>
      <w:marLeft w:val="0"/>
      <w:marRight w:val="0"/>
      <w:marTop w:val="0"/>
      <w:marBottom w:val="0"/>
      <w:divBdr>
        <w:top w:val="none" w:sz="0" w:space="0" w:color="auto"/>
        <w:left w:val="none" w:sz="0" w:space="0" w:color="auto"/>
        <w:bottom w:val="none" w:sz="0" w:space="0" w:color="auto"/>
        <w:right w:val="none" w:sz="0" w:space="0" w:color="auto"/>
      </w:divBdr>
    </w:div>
    <w:div w:id="1627618999">
      <w:bodyDiv w:val="1"/>
      <w:marLeft w:val="0"/>
      <w:marRight w:val="0"/>
      <w:marTop w:val="0"/>
      <w:marBottom w:val="0"/>
      <w:divBdr>
        <w:top w:val="none" w:sz="0" w:space="0" w:color="auto"/>
        <w:left w:val="none" w:sz="0" w:space="0" w:color="auto"/>
        <w:bottom w:val="none" w:sz="0" w:space="0" w:color="auto"/>
        <w:right w:val="none" w:sz="0" w:space="0" w:color="auto"/>
      </w:divBdr>
    </w:div>
    <w:div w:id="1627661401">
      <w:bodyDiv w:val="1"/>
      <w:marLeft w:val="0"/>
      <w:marRight w:val="0"/>
      <w:marTop w:val="0"/>
      <w:marBottom w:val="0"/>
      <w:divBdr>
        <w:top w:val="none" w:sz="0" w:space="0" w:color="auto"/>
        <w:left w:val="none" w:sz="0" w:space="0" w:color="auto"/>
        <w:bottom w:val="none" w:sz="0" w:space="0" w:color="auto"/>
        <w:right w:val="none" w:sz="0" w:space="0" w:color="auto"/>
      </w:divBdr>
    </w:div>
    <w:div w:id="1627663360">
      <w:bodyDiv w:val="1"/>
      <w:marLeft w:val="0"/>
      <w:marRight w:val="0"/>
      <w:marTop w:val="0"/>
      <w:marBottom w:val="0"/>
      <w:divBdr>
        <w:top w:val="none" w:sz="0" w:space="0" w:color="auto"/>
        <w:left w:val="none" w:sz="0" w:space="0" w:color="auto"/>
        <w:bottom w:val="none" w:sz="0" w:space="0" w:color="auto"/>
        <w:right w:val="none" w:sz="0" w:space="0" w:color="auto"/>
      </w:divBdr>
    </w:div>
    <w:div w:id="1627808975">
      <w:bodyDiv w:val="1"/>
      <w:marLeft w:val="0"/>
      <w:marRight w:val="0"/>
      <w:marTop w:val="0"/>
      <w:marBottom w:val="0"/>
      <w:divBdr>
        <w:top w:val="none" w:sz="0" w:space="0" w:color="auto"/>
        <w:left w:val="none" w:sz="0" w:space="0" w:color="auto"/>
        <w:bottom w:val="none" w:sz="0" w:space="0" w:color="auto"/>
        <w:right w:val="none" w:sz="0" w:space="0" w:color="auto"/>
      </w:divBdr>
    </w:div>
    <w:div w:id="1628126407">
      <w:bodyDiv w:val="1"/>
      <w:marLeft w:val="0"/>
      <w:marRight w:val="0"/>
      <w:marTop w:val="0"/>
      <w:marBottom w:val="0"/>
      <w:divBdr>
        <w:top w:val="none" w:sz="0" w:space="0" w:color="auto"/>
        <w:left w:val="none" w:sz="0" w:space="0" w:color="auto"/>
        <w:bottom w:val="none" w:sz="0" w:space="0" w:color="auto"/>
        <w:right w:val="none" w:sz="0" w:space="0" w:color="auto"/>
      </w:divBdr>
    </w:div>
    <w:div w:id="1628311100">
      <w:bodyDiv w:val="1"/>
      <w:marLeft w:val="0"/>
      <w:marRight w:val="0"/>
      <w:marTop w:val="0"/>
      <w:marBottom w:val="0"/>
      <w:divBdr>
        <w:top w:val="none" w:sz="0" w:space="0" w:color="auto"/>
        <w:left w:val="none" w:sz="0" w:space="0" w:color="auto"/>
        <w:bottom w:val="none" w:sz="0" w:space="0" w:color="auto"/>
        <w:right w:val="none" w:sz="0" w:space="0" w:color="auto"/>
      </w:divBdr>
    </w:div>
    <w:div w:id="1628392624">
      <w:bodyDiv w:val="1"/>
      <w:marLeft w:val="0"/>
      <w:marRight w:val="0"/>
      <w:marTop w:val="0"/>
      <w:marBottom w:val="0"/>
      <w:divBdr>
        <w:top w:val="none" w:sz="0" w:space="0" w:color="auto"/>
        <w:left w:val="none" w:sz="0" w:space="0" w:color="auto"/>
        <w:bottom w:val="none" w:sz="0" w:space="0" w:color="auto"/>
        <w:right w:val="none" w:sz="0" w:space="0" w:color="auto"/>
      </w:divBdr>
    </w:div>
    <w:div w:id="1628469028">
      <w:bodyDiv w:val="1"/>
      <w:marLeft w:val="0"/>
      <w:marRight w:val="0"/>
      <w:marTop w:val="0"/>
      <w:marBottom w:val="0"/>
      <w:divBdr>
        <w:top w:val="none" w:sz="0" w:space="0" w:color="auto"/>
        <w:left w:val="none" w:sz="0" w:space="0" w:color="auto"/>
        <w:bottom w:val="none" w:sz="0" w:space="0" w:color="auto"/>
        <w:right w:val="none" w:sz="0" w:space="0" w:color="auto"/>
      </w:divBdr>
    </w:div>
    <w:div w:id="1628924276">
      <w:bodyDiv w:val="1"/>
      <w:marLeft w:val="0"/>
      <w:marRight w:val="0"/>
      <w:marTop w:val="0"/>
      <w:marBottom w:val="0"/>
      <w:divBdr>
        <w:top w:val="none" w:sz="0" w:space="0" w:color="auto"/>
        <w:left w:val="none" w:sz="0" w:space="0" w:color="auto"/>
        <w:bottom w:val="none" w:sz="0" w:space="0" w:color="auto"/>
        <w:right w:val="none" w:sz="0" w:space="0" w:color="auto"/>
      </w:divBdr>
    </w:div>
    <w:div w:id="1628968986">
      <w:bodyDiv w:val="1"/>
      <w:marLeft w:val="0"/>
      <w:marRight w:val="0"/>
      <w:marTop w:val="0"/>
      <w:marBottom w:val="0"/>
      <w:divBdr>
        <w:top w:val="none" w:sz="0" w:space="0" w:color="auto"/>
        <w:left w:val="none" w:sz="0" w:space="0" w:color="auto"/>
        <w:bottom w:val="none" w:sz="0" w:space="0" w:color="auto"/>
        <w:right w:val="none" w:sz="0" w:space="0" w:color="auto"/>
      </w:divBdr>
    </w:div>
    <w:div w:id="1628972333">
      <w:bodyDiv w:val="1"/>
      <w:marLeft w:val="0"/>
      <w:marRight w:val="0"/>
      <w:marTop w:val="0"/>
      <w:marBottom w:val="0"/>
      <w:divBdr>
        <w:top w:val="none" w:sz="0" w:space="0" w:color="auto"/>
        <w:left w:val="none" w:sz="0" w:space="0" w:color="auto"/>
        <w:bottom w:val="none" w:sz="0" w:space="0" w:color="auto"/>
        <w:right w:val="none" w:sz="0" w:space="0" w:color="auto"/>
      </w:divBdr>
    </w:div>
    <w:div w:id="1629044286">
      <w:bodyDiv w:val="1"/>
      <w:marLeft w:val="0"/>
      <w:marRight w:val="0"/>
      <w:marTop w:val="0"/>
      <w:marBottom w:val="0"/>
      <w:divBdr>
        <w:top w:val="none" w:sz="0" w:space="0" w:color="auto"/>
        <w:left w:val="none" w:sz="0" w:space="0" w:color="auto"/>
        <w:bottom w:val="none" w:sz="0" w:space="0" w:color="auto"/>
        <w:right w:val="none" w:sz="0" w:space="0" w:color="auto"/>
      </w:divBdr>
    </w:div>
    <w:div w:id="1629046886">
      <w:bodyDiv w:val="1"/>
      <w:marLeft w:val="0"/>
      <w:marRight w:val="0"/>
      <w:marTop w:val="0"/>
      <w:marBottom w:val="0"/>
      <w:divBdr>
        <w:top w:val="none" w:sz="0" w:space="0" w:color="auto"/>
        <w:left w:val="none" w:sz="0" w:space="0" w:color="auto"/>
        <w:bottom w:val="none" w:sz="0" w:space="0" w:color="auto"/>
        <w:right w:val="none" w:sz="0" w:space="0" w:color="auto"/>
      </w:divBdr>
    </w:div>
    <w:div w:id="1629168960">
      <w:bodyDiv w:val="1"/>
      <w:marLeft w:val="0"/>
      <w:marRight w:val="0"/>
      <w:marTop w:val="0"/>
      <w:marBottom w:val="0"/>
      <w:divBdr>
        <w:top w:val="none" w:sz="0" w:space="0" w:color="auto"/>
        <w:left w:val="none" w:sz="0" w:space="0" w:color="auto"/>
        <w:bottom w:val="none" w:sz="0" w:space="0" w:color="auto"/>
        <w:right w:val="none" w:sz="0" w:space="0" w:color="auto"/>
      </w:divBdr>
    </w:div>
    <w:div w:id="1629318339">
      <w:bodyDiv w:val="1"/>
      <w:marLeft w:val="0"/>
      <w:marRight w:val="0"/>
      <w:marTop w:val="0"/>
      <w:marBottom w:val="0"/>
      <w:divBdr>
        <w:top w:val="none" w:sz="0" w:space="0" w:color="auto"/>
        <w:left w:val="none" w:sz="0" w:space="0" w:color="auto"/>
        <w:bottom w:val="none" w:sz="0" w:space="0" w:color="auto"/>
        <w:right w:val="none" w:sz="0" w:space="0" w:color="auto"/>
      </w:divBdr>
    </w:div>
    <w:div w:id="1629359719">
      <w:bodyDiv w:val="1"/>
      <w:marLeft w:val="0"/>
      <w:marRight w:val="0"/>
      <w:marTop w:val="0"/>
      <w:marBottom w:val="0"/>
      <w:divBdr>
        <w:top w:val="none" w:sz="0" w:space="0" w:color="auto"/>
        <w:left w:val="none" w:sz="0" w:space="0" w:color="auto"/>
        <w:bottom w:val="none" w:sz="0" w:space="0" w:color="auto"/>
        <w:right w:val="none" w:sz="0" w:space="0" w:color="auto"/>
      </w:divBdr>
    </w:div>
    <w:div w:id="1629388267">
      <w:bodyDiv w:val="1"/>
      <w:marLeft w:val="0"/>
      <w:marRight w:val="0"/>
      <w:marTop w:val="0"/>
      <w:marBottom w:val="0"/>
      <w:divBdr>
        <w:top w:val="none" w:sz="0" w:space="0" w:color="auto"/>
        <w:left w:val="none" w:sz="0" w:space="0" w:color="auto"/>
        <w:bottom w:val="none" w:sz="0" w:space="0" w:color="auto"/>
        <w:right w:val="none" w:sz="0" w:space="0" w:color="auto"/>
      </w:divBdr>
    </w:div>
    <w:div w:id="1629431638">
      <w:bodyDiv w:val="1"/>
      <w:marLeft w:val="0"/>
      <w:marRight w:val="0"/>
      <w:marTop w:val="0"/>
      <w:marBottom w:val="0"/>
      <w:divBdr>
        <w:top w:val="none" w:sz="0" w:space="0" w:color="auto"/>
        <w:left w:val="none" w:sz="0" w:space="0" w:color="auto"/>
        <w:bottom w:val="none" w:sz="0" w:space="0" w:color="auto"/>
        <w:right w:val="none" w:sz="0" w:space="0" w:color="auto"/>
      </w:divBdr>
    </w:div>
    <w:div w:id="1629508195">
      <w:bodyDiv w:val="1"/>
      <w:marLeft w:val="0"/>
      <w:marRight w:val="0"/>
      <w:marTop w:val="0"/>
      <w:marBottom w:val="0"/>
      <w:divBdr>
        <w:top w:val="none" w:sz="0" w:space="0" w:color="auto"/>
        <w:left w:val="none" w:sz="0" w:space="0" w:color="auto"/>
        <w:bottom w:val="none" w:sz="0" w:space="0" w:color="auto"/>
        <w:right w:val="none" w:sz="0" w:space="0" w:color="auto"/>
      </w:divBdr>
    </w:div>
    <w:div w:id="1629553541">
      <w:bodyDiv w:val="1"/>
      <w:marLeft w:val="0"/>
      <w:marRight w:val="0"/>
      <w:marTop w:val="0"/>
      <w:marBottom w:val="0"/>
      <w:divBdr>
        <w:top w:val="none" w:sz="0" w:space="0" w:color="auto"/>
        <w:left w:val="none" w:sz="0" w:space="0" w:color="auto"/>
        <w:bottom w:val="none" w:sz="0" w:space="0" w:color="auto"/>
        <w:right w:val="none" w:sz="0" w:space="0" w:color="auto"/>
      </w:divBdr>
    </w:div>
    <w:div w:id="1629626896">
      <w:bodyDiv w:val="1"/>
      <w:marLeft w:val="0"/>
      <w:marRight w:val="0"/>
      <w:marTop w:val="0"/>
      <w:marBottom w:val="0"/>
      <w:divBdr>
        <w:top w:val="none" w:sz="0" w:space="0" w:color="auto"/>
        <w:left w:val="none" w:sz="0" w:space="0" w:color="auto"/>
        <w:bottom w:val="none" w:sz="0" w:space="0" w:color="auto"/>
        <w:right w:val="none" w:sz="0" w:space="0" w:color="auto"/>
      </w:divBdr>
    </w:div>
    <w:div w:id="1629702750">
      <w:bodyDiv w:val="1"/>
      <w:marLeft w:val="0"/>
      <w:marRight w:val="0"/>
      <w:marTop w:val="0"/>
      <w:marBottom w:val="0"/>
      <w:divBdr>
        <w:top w:val="none" w:sz="0" w:space="0" w:color="auto"/>
        <w:left w:val="none" w:sz="0" w:space="0" w:color="auto"/>
        <w:bottom w:val="none" w:sz="0" w:space="0" w:color="auto"/>
        <w:right w:val="none" w:sz="0" w:space="0" w:color="auto"/>
      </w:divBdr>
    </w:div>
    <w:div w:id="1629816894">
      <w:bodyDiv w:val="1"/>
      <w:marLeft w:val="0"/>
      <w:marRight w:val="0"/>
      <w:marTop w:val="0"/>
      <w:marBottom w:val="0"/>
      <w:divBdr>
        <w:top w:val="none" w:sz="0" w:space="0" w:color="auto"/>
        <w:left w:val="none" w:sz="0" w:space="0" w:color="auto"/>
        <w:bottom w:val="none" w:sz="0" w:space="0" w:color="auto"/>
        <w:right w:val="none" w:sz="0" w:space="0" w:color="auto"/>
      </w:divBdr>
    </w:div>
    <w:div w:id="1630011603">
      <w:bodyDiv w:val="1"/>
      <w:marLeft w:val="0"/>
      <w:marRight w:val="0"/>
      <w:marTop w:val="0"/>
      <w:marBottom w:val="0"/>
      <w:divBdr>
        <w:top w:val="none" w:sz="0" w:space="0" w:color="auto"/>
        <w:left w:val="none" w:sz="0" w:space="0" w:color="auto"/>
        <w:bottom w:val="none" w:sz="0" w:space="0" w:color="auto"/>
        <w:right w:val="none" w:sz="0" w:space="0" w:color="auto"/>
      </w:divBdr>
    </w:div>
    <w:div w:id="1630014140">
      <w:bodyDiv w:val="1"/>
      <w:marLeft w:val="0"/>
      <w:marRight w:val="0"/>
      <w:marTop w:val="0"/>
      <w:marBottom w:val="0"/>
      <w:divBdr>
        <w:top w:val="none" w:sz="0" w:space="0" w:color="auto"/>
        <w:left w:val="none" w:sz="0" w:space="0" w:color="auto"/>
        <w:bottom w:val="none" w:sz="0" w:space="0" w:color="auto"/>
        <w:right w:val="none" w:sz="0" w:space="0" w:color="auto"/>
      </w:divBdr>
    </w:div>
    <w:div w:id="1630160801">
      <w:bodyDiv w:val="1"/>
      <w:marLeft w:val="0"/>
      <w:marRight w:val="0"/>
      <w:marTop w:val="0"/>
      <w:marBottom w:val="0"/>
      <w:divBdr>
        <w:top w:val="none" w:sz="0" w:space="0" w:color="auto"/>
        <w:left w:val="none" w:sz="0" w:space="0" w:color="auto"/>
        <w:bottom w:val="none" w:sz="0" w:space="0" w:color="auto"/>
        <w:right w:val="none" w:sz="0" w:space="0" w:color="auto"/>
      </w:divBdr>
    </w:div>
    <w:div w:id="1630168044">
      <w:bodyDiv w:val="1"/>
      <w:marLeft w:val="0"/>
      <w:marRight w:val="0"/>
      <w:marTop w:val="0"/>
      <w:marBottom w:val="0"/>
      <w:divBdr>
        <w:top w:val="none" w:sz="0" w:space="0" w:color="auto"/>
        <w:left w:val="none" w:sz="0" w:space="0" w:color="auto"/>
        <w:bottom w:val="none" w:sz="0" w:space="0" w:color="auto"/>
        <w:right w:val="none" w:sz="0" w:space="0" w:color="auto"/>
      </w:divBdr>
    </w:div>
    <w:div w:id="1630238117">
      <w:bodyDiv w:val="1"/>
      <w:marLeft w:val="0"/>
      <w:marRight w:val="0"/>
      <w:marTop w:val="0"/>
      <w:marBottom w:val="0"/>
      <w:divBdr>
        <w:top w:val="none" w:sz="0" w:space="0" w:color="auto"/>
        <w:left w:val="none" w:sz="0" w:space="0" w:color="auto"/>
        <w:bottom w:val="none" w:sz="0" w:space="0" w:color="auto"/>
        <w:right w:val="none" w:sz="0" w:space="0" w:color="auto"/>
      </w:divBdr>
    </w:div>
    <w:div w:id="1630284317">
      <w:bodyDiv w:val="1"/>
      <w:marLeft w:val="0"/>
      <w:marRight w:val="0"/>
      <w:marTop w:val="0"/>
      <w:marBottom w:val="0"/>
      <w:divBdr>
        <w:top w:val="none" w:sz="0" w:space="0" w:color="auto"/>
        <w:left w:val="none" w:sz="0" w:space="0" w:color="auto"/>
        <w:bottom w:val="none" w:sz="0" w:space="0" w:color="auto"/>
        <w:right w:val="none" w:sz="0" w:space="0" w:color="auto"/>
      </w:divBdr>
    </w:div>
    <w:div w:id="1630620933">
      <w:bodyDiv w:val="1"/>
      <w:marLeft w:val="0"/>
      <w:marRight w:val="0"/>
      <w:marTop w:val="0"/>
      <w:marBottom w:val="0"/>
      <w:divBdr>
        <w:top w:val="none" w:sz="0" w:space="0" w:color="auto"/>
        <w:left w:val="none" w:sz="0" w:space="0" w:color="auto"/>
        <w:bottom w:val="none" w:sz="0" w:space="0" w:color="auto"/>
        <w:right w:val="none" w:sz="0" w:space="0" w:color="auto"/>
      </w:divBdr>
    </w:div>
    <w:div w:id="1630748682">
      <w:bodyDiv w:val="1"/>
      <w:marLeft w:val="0"/>
      <w:marRight w:val="0"/>
      <w:marTop w:val="0"/>
      <w:marBottom w:val="0"/>
      <w:divBdr>
        <w:top w:val="none" w:sz="0" w:space="0" w:color="auto"/>
        <w:left w:val="none" w:sz="0" w:space="0" w:color="auto"/>
        <w:bottom w:val="none" w:sz="0" w:space="0" w:color="auto"/>
        <w:right w:val="none" w:sz="0" w:space="0" w:color="auto"/>
      </w:divBdr>
    </w:div>
    <w:div w:id="1630814833">
      <w:bodyDiv w:val="1"/>
      <w:marLeft w:val="0"/>
      <w:marRight w:val="0"/>
      <w:marTop w:val="0"/>
      <w:marBottom w:val="0"/>
      <w:divBdr>
        <w:top w:val="none" w:sz="0" w:space="0" w:color="auto"/>
        <w:left w:val="none" w:sz="0" w:space="0" w:color="auto"/>
        <w:bottom w:val="none" w:sz="0" w:space="0" w:color="auto"/>
        <w:right w:val="none" w:sz="0" w:space="0" w:color="auto"/>
      </w:divBdr>
    </w:div>
    <w:div w:id="1630936517">
      <w:bodyDiv w:val="1"/>
      <w:marLeft w:val="0"/>
      <w:marRight w:val="0"/>
      <w:marTop w:val="0"/>
      <w:marBottom w:val="0"/>
      <w:divBdr>
        <w:top w:val="none" w:sz="0" w:space="0" w:color="auto"/>
        <w:left w:val="none" w:sz="0" w:space="0" w:color="auto"/>
        <w:bottom w:val="none" w:sz="0" w:space="0" w:color="auto"/>
        <w:right w:val="none" w:sz="0" w:space="0" w:color="auto"/>
      </w:divBdr>
    </w:div>
    <w:div w:id="1630941276">
      <w:bodyDiv w:val="1"/>
      <w:marLeft w:val="0"/>
      <w:marRight w:val="0"/>
      <w:marTop w:val="0"/>
      <w:marBottom w:val="0"/>
      <w:divBdr>
        <w:top w:val="none" w:sz="0" w:space="0" w:color="auto"/>
        <w:left w:val="none" w:sz="0" w:space="0" w:color="auto"/>
        <w:bottom w:val="none" w:sz="0" w:space="0" w:color="auto"/>
        <w:right w:val="none" w:sz="0" w:space="0" w:color="auto"/>
      </w:divBdr>
    </w:div>
    <w:div w:id="1631010891">
      <w:bodyDiv w:val="1"/>
      <w:marLeft w:val="0"/>
      <w:marRight w:val="0"/>
      <w:marTop w:val="0"/>
      <w:marBottom w:val="0"/>
      <w:divBdr>
        <w:top w:val="none" w:sz="0" w:space="0" w:color="auto"/>
        <w:left w:val="none" w:sz="0" w:space="0" w:color="auto"/>
        <w:bottom w:val="none" w:sz="0" w:space="0" w:color="auto"/>
        <w:right w:val="none" w:sz="0" w:space="0" w:color="auto"/>
      </w:divBdr>
    </w:div>
    <w:div w:id="1631016849">
      <w:bodyDiv w:val="1"/>
      <w:marLeft w:val="0"/>
      <w:marRight w:val="0"/>
      <w:marTop w:val="0"/>
      <w:marBottom w:val="0"/>
      <w:divBdr>
        <w:top w:val="none" w:sz="0" w:space="0" w:color="auto"/>
        <w:left w:val="none" w:sz="0" w:space="0" w:color="auto"/>
        <w:bottom w:val="none" w:sz="0" w:space="0" w:color="auto"/>
        <w:right w:val="none" w:sz="0" w:space="0" w:color="auto"/>
      </w:divBdr>
    </w:div>
    <w:div w:id="1631127239">
      <w:bodyDiv w:val="1"/>
      <w:marLeft w:val="0"/>
      <w:marRight w:val="0"/>
      <w:marTop w:val="0"/>
      <w:marBottom w:val="0"/>
      <w:divBdr>
        <w:top w:val="none" w:sz="0" w:space="0" w:color="auto"/>
        <w:left w:val="none" w:sz="0" w:space="0" w:color="auto"/>
        <w:bottom w:val="none" w:sz="0" w:space="0" w:color="auto"/>
        <w:right w:val="none" w:sz="0" w:space="0" w:color="auto"/>
      </w:divBdr>
    </w:div>
    <w:div w:id="1631276624">
      <w:bodyDiv w:val="1"/>
      <w:marLeft w:val="0"/>
      <w:marRight w:val="0"/>
      <w:marTop w:val="0"/>
      <w:marBottom w:val="0"/>
      <w:divBdr>
        <w:top w:val="none" w:sz="0" w:space="0" w:color="auto"/>
        <w:left w:val="none" w:sz="0" w:space="0" w:color="auto"/>
        <w:bottom w:val="none" w:sz="0" w:space="0" w:color="auto"/>
        <w:right w:val="none" w:sz="0" w:space="0" w:color="auto"/>
      </w:divBdr>
    </w:div>
    <w:div w:id="1631280383">
      <w:bodyDiv w:val="1"/>
      <w:marLeft w:val="0"/>
      <w:marRight w:val="0"/>
      <w:marTop w:val="0"/>
      <w:marBottom w:val="0"/>
      <w:divBdr>
        <w:top w:val="none" w:sz="0" w:space="0" w:color="auto"/>
        <w:left w:val="none" w:sz="0" w:space="0" w:color="auto"/>
        <w:bottom w:val="none" w:sz="0" w:space="0" w:color="auto"/>
        <w:right w:val="none" w:sz="0" w:space="0" w:color="auto"/>
      </w:divBdr>
    </w:div>
    <w:div w:id="1631394906">
      <w:bodyDiv w:val="1"/>
      <w:marLeft w:val="0"/>
      <w:marRight w:val="0"/>
      <w:marTop w:val="0"/>
      <w:marBottom w:val="0"/>
      <w:divBdr>
        <w:top w:val="none" w:sz="0" w:space="0" w:color="auto"/>
        <w:left w:val="none" w:sz="0" w:space="0" w:color="auto"/>
        <w:bottom w:val="none" w:sz="0" w:space="0" w:color="auto"/>
        <w:right w:val="none" w:sz="0" w:space="0" w:color="auto"/>
      </w:divBdr>
    </w:div>
    <w:div w:id="1631472670">
      <w:bodyDiv w:val="1"/>
      <w:marLeft w:val="0"/>
      <w:marRight w:val="0"/>
      <w:marTop w:val="0"/>
      <w:marBottom w:val="0"/>
      <w:divBdr>
        <w:top w:val="none" w:sz="0" w:space="0" w:color="auto"/>
        <w:left w:val="none" w:sz="0" w:space="0" w:color="auto"/>
        <w:bottom w:val="none" w:sz="0" w:space="0" w:color="auto"/>
        <w:right w:val="none" w:sz="0" w:space="0" w:color="auto"/>
      </w:divBdr>
    </w:div>
    <w:div w:id="1631549159">
      <w:bodyDiv w:val="1"/>
      <w:marLeft w:val="0"/>
      <w:marRight w:val="0"/>
      <w:marTop w:val="0"/>
      <w:marBottom w:val="0"/>
      <w:divBdr>
        <w:top w:val="none" w:sz="0" w:space="0" w:color="auto"/>
        <w:left w:val="none" w:sz="0" w:space="0" w:color="auto"/>
        <w:bottom w:val="none" w:sz="0" w:space="0" w:color="auto"/>
        <w:right w:val="none" w:sz="0" w:space="0" w:color="auto"/>
      </w:divBdr>
    </w:div>
    <w:div w:id="1631745241">
      <w:bodyDiv w:val="1"/>
      <w:marLeft w:val="0"/>
      <w:marRight w:val="0"/>
      <w:marTop w:val="0"/>
      <w:marBottom w:val="0"/>
      <w:divBdr>
        <w:top w:val="none" w:sz="0" w:space="0" w:color="auto"/>
        <w:left w:val="none" w:sz="0" w:space="0" w:color="auto"/>
        <w:bottom w:val="none" w:sz="0" w:space="0" w:color="auto"/>
        <w:right w:val="none" w:sz="0" w:space="0" w:color="auto"/>
      </w:divBdr>
    </w:div>
    <w:div w:id="1631934438">
      <w:bodyDiv w:val="1"/>
      <w:marLeft w:val="0"/>
      <w:marRight w:val="0"/>
      <w:marTop w:val="0"/>
      <w:marBottom w:val="0"/>
      <w:divBdr>
        <w:top w:val="none" w:sz="0" w:space="0" w:color="auto"/>
        <w:left w:val="none" w:sz="0" w:space="0" w:color="auto"/>
        <w:bottom w:val="none" w:sz="0" w:space="0" w:color="auto"/>
        <w:right w:val="none" w:sz="0" w:space="0" w:color="auto"/>
      </w:divBdr>
    </w:div>
    <w:div w:id="1631934827">
      <w:bodyDiv w:val="1"/>
      <w:marLeft w:val="0"/>
      <w:marRight w:val="0"/>
      <w:marTop w:val="0"/>
      <w:marBottom w:val="0"/>
      <w:divBdr>
        <w:top w:val="none" w:sz="0" w:space="0" w:color="auto"/>
        <w:left w:val="none" w:sz="0" w:space="0" w:color="auto"/>
        <w:bottom w:val="none" w:sz="0" w:space="0" w:color="auto"/>
        <w:right w:val="none" w:sz="0" w:space="0" w:color="auto"/>
      </w:divBdr>
    </w:div>
    <w:div w:id="1632057635">
      <w:bodyDiv w:val="1"/>
      <w:marLeft w:val="0"/>
      <w:marRight w:val="0"/>
      <w:marTop w:val="0"/>
      <w:marBottom w:val="0"/>
      <w:divBdr>
        <w:top w:val="none" w:sz="0" w:space="0" w:color="auto"/>
        <w:left w:val="none" w:sz="0" w:space="0" w:color="auto"/>
        <w:bottom w:val="none" w:sz="0" w:space="0" w:color="auto"/>
        <w:right w:val="none" w:sz="0" w:space="0" w:color="auto"/>
      </w:divBdr>
    </w:div>
    <w:div w:id="1632399953">
      <w:bodyDiv w:val="1"/>
      <w:marLeft w:val="0"/>
      <w:marRight w:val="0"/>
      <w:marTop w:val="0"/>
      <w:marBottom w:val="0"/>
      <w:divBdr>
        <w:top w:val="none" w:sz="0" w:space="0" w:color="auto"/>
        <w:left w:val="none" w:sz="0" w:space="0" w:color="auto"/>
        <w:bottom w:val="none" w:sz="0" w:space="0" w:color="auto"/>
        <w:right w:val="none" w:sz="0" w:space="0" w:color="auto"/>
      </w:divBdr>
    </w:div>
    <w:div w:id="1632829473">
      <w:bodyDiv w:val="1"/>
      <w:marLeft w:val="0"/>
      <w:marRight w:val="0"/>
      <w:marTop w:val="0"/>
      <w:marBottom w:val="0"/>
      <w:divBdr>
        <w:top w:val="none" w:sz="0" w:space="0" w:color="auto"/>
        <w:left w:val="none" w:sz="0" w:space="0" w:color="auto"/>
        <w:bottom w:val="none" w:sz="0" w:space="0" w:color="auto"/>
        <w:right w:val="none" w:sz="0" w:space="0" w:color="auto"/>
      </w:divBdr>
    </w:div>
    <w:div w:id="1632904680">
      <w:bodyDiv w:val="1"/>
      <w:marLeft w:val="0"/>
      <w:marRight w:val="0"/>
      <w:marTop w:val="0"/>
      <w:marBottom w:val="0"/>
      <w:divBdr>
        <w:top w:val="none" w:sz="0" w:space="0" w:color="auto"/>
        <w:left w:val="none" w:sz="0" w:space="0" w:color="auto"/>
        <w:bottom w:val="none" w:sz="0" w:space="0" w:color="auto"/>
        <w:right w:val="none" w:sz="0" w:space="0" w:color="auto"/>
      </w:divBdr>
    </w:div>
    <w:div w:id="1632979803">
      <w:bodyDiv w:val="1"/>
      <w:marLeft w:val="0"/>
      <w:marRight w:val="0"/>
      <w:marTop w:val="0"/>
      <w:marBottom w:val="0"/>
      <w:divBdr>
        <w:top w:val="none" w:sz="0" w:space="0" w:color="auto"/>
        <w:left w:val="none" w:sz="0" w:space="0" w:color="auto"/>
        <w:bottom w:val="none" w:sz="0" w:space="0" w:color="auto"/>
        <w:right w:val="none" w:sz="0" w:space="0" w:color="auto"/>
      </w:divBdr>
    </w:div>
    <w:div w:id="1633051526">
      <w:bodyDiv w:val="1"/>
      <w:marLeft w:val="0"/>
      <w:marRight w:val="0"/>
      <w:marTop w:val="0"/>
      <w:marBottom w:val="0"/>
      <w:divBdr>
        <w:top w:val="none" w:sz="0" w:space="0" w:color="auto"/>
        <w:left w:val="none" w:sz="0" w:space="0" w:color="auto"/>
        <w:bottom w:val="none" w:sz="0" w:space="0" w:color="auto"/>
        <w:right w:val="none" w:sz="0" w:space="0" w:color="auto"/>
      </w:divBdr>
    </w:div>
    <w:div w:id="1633094155">
      <w:bodyDiv w:val="1"/>
      <w:marLeft w:val="0"/>
      <w:marRight w:val="0"/>
      <w:marTop w:val="0"/>
      <w:marBottom w:val="0"/>
      <w:divBdr>
        <w:top w:val="none" w:sz="0" w:space="0" w:color="auto"/>
        <w:left w:val="none" w:sz="0" w:space="0" w:color="auto"/>
        <w:bottom w:val="none" w:sz="0" w:space="0" w:color="auto"/>
        <w:right w:val="none" w:sz="0" w:space="0" w:color="auto"/>
      </w:divBdr>
    </w:div>
    <w:div w:id="1633096565">
      <w:bodyDiv w:val="1"/>
      <w:marLeft w:val="0"/>
      <w:marRight w:val="0"/>
      <w:marTop w:val="0"/>
      <w:marBottom w:val="0"/>
      <w:divBdr>
        <w:top w:val="none" w:sz="0" w:space="0" w:color="auto"/>
        <w:left w:val="none" w:sz="0" w:space="0" w:color="auto"/>
        <w:bottom w:val="none" w:sz="0" w:space="0" w:color="auto"/>
        <w:right w:val="none" w:sz="0" w:space="0" w:color="auto"/>
      </w:divBdr>
    </w:div>
    <w:div w:id="1633173021">
      <w:bodyDiv w:val="1"/>
      <w:marLeft w:val="0"/>
      <w:marRight w:val="0"/>
      <w:marTop w:val="0"/>
      <w:marBottom w:val="0"/>
      <w:divBdr>
        <w:top w:val="none" w:sz="0" w:space="0" w:color="auto"/>
        <w:left w:val="none" w:sz="0" w:space="0" w:color="auto"/>
        <w:bottom w:val="none" w:sz="0" w:space="0" w:color="auto"/>
        <w:right w:val="none" w:sz="0" w:space="0" w:color="auto"/>
      </w:divBdr>
    </w:div>
    <w:div w:id="1633245820">
      <w:bodyDiv w:val="1"/>
      <w:marLeft w:val="0"/>
      <w:marRight w:val="0"/>
      <w:marTop w:val="0"/>
      <w:marBottom w:val="0"/>
      <w:divBdr>
        <w:top w:val="none" w:sz="0" w:space="0" w:color="auto"/>
        <w:left w:val="none" w:sz="0" w:space="0" w:color="auto"/>
        <w:bottom w:val="none" w:sz="0" w:space="0" w:color="auto"/>
        <w:right w:val="none" w:sz="0" w:space="0" w:color="auto"/>
      </w:divBdr>
    </w:div>
    <w:div w:id="1633319529">
      <w:bodyDiv w:val="1"/>
      <w:marLeft w:val="0"/>
      <w:marRight w:val="0"/>
      <w:marTop w:val="0"/>
      <w:marBottom w:val="0"/>
      <w:divBdr>
        <w:top w:val="none" w:sz="0" w:space="0" w:color="auto"/>
        <w:left w:val="none" w:sz="0" w:space="0" w:color="auto"/>
        <w:bottom w:val="none" w:sz="0" w:space="0" w:color="auto"/>
        <w:right w:val="none" w:sz="0" w:space="0" w:color="auto"/>
      </w:divBdr>
    </w:div>
    <w:div w:id="1633361971">
      <w:bodyDiv w:val="1"/>
      <w:marLeft w:val="0"/>
      <w:marRight w:val="0"/>
      <w:marTop w:val="0"/>
      <w:marBottom w:val="0"/>
      <w:divBdr>
        <w:top w:val="none" w:sz="0" w:space="0" w:color="auto"/>
        <w:left w:val="none" w:sz="0" w:space="0" w:color="auto"/>
        <w:bottom w:val="none" w:sz="0" w:space="0" w:color="auto"/>
        <w:right w:val="none" w:sz="0" w:space="0" w:color="auto"/>
      </w:divBdr>
    </w:div>
    <w:div w:id="1633438613">
      <w:bodyDiv w:val="1"/>
      <w:marLeft w:val="0"/>
      <w:marRight w:val="0"/>
      <w:marTop w:val="0"/>
      <w:marBottom w:val="0"/>
      <w:divBdr>
        <w:top w:val="none" w:sz="0" w:space="0" w:color="auto"/>
        <w:left w:val="none" w:sz="0" w:space="0" w:color="auto"/>
        <w:bottom w:val="none" w:sz="0" w:space="0" w:color="auto"/>
        <w:right w:val="none" w:sz="0" w:space="0" w:color="auto"/>
      </w:divBdr>
    </w:div>
    <w:div w:id="1633444883">
      <w:bodyDiv w:val="1"/>
      <w:marLeft w:val="0"/>
      <w:marRight w:val="0"/>
      <w:marTop w:val="0"/>
      <w:marBottom w:val="0"/>
      <w:divBdr>
        <w:top w:val="none" w:sz="0" w:space="0" w:color="auto"/>
        <w:left w:val="none" w:sz="0" w:space="0" w:color="auto"/>
        <w:bottom w:val="none" w:sz="0" w:space="0" w:color="auto"/>
        <w:right w:val="none" w:sz="0" w:space="0" w:color="auto"/>
      </w:divBdr>
    </w:div>
    <w:div w:id="1633515113">
      <w:bodyDiv w:val="1"/>
      <w:marLeft w:val="0"/>
      <w:marRight w:val="0"/>
      <w:marTop w:val="0"/>
      <w:marBottom w:val="0"/>
      <w:divBdr>
        <w:top w:val="none" w:sz="0" w:space="0" w:color="auto"/>
        <w:left w:val="none" w:sz="0" w:space="0" w:color="auto"/>
        <w:bottom w:val="none" w:sz="0" w:space="0" w:color="auto"/>
        <w:right w:val="none" w:sz="0" w:space="0" w:color="auto"/>
      </w:divBdr>
    </w:div>
    <w:div w:id="1633561981">
      <w:bodyDiv w:val="1"/>
      <w:marLeft w:val="0"/>
      <w:marRight w:val="0"/>
      <w:marTop w:val="0"/>
      <w:marBottom w:val="0"/>
      <w:divBdr>
        <w:top w:val="none" w:sz="0" w:space="0" w:color="auto"/>
        <w:left w:val="none" w:sz="0" w:space="0" w:color="auto"/>
        <w:bottom w:val="none" w:sz="0" w:space="0" w:color="auto"/>
        <w:right w:val="none" w:sz="0" w:space="0" w:color="auto"/>
      </w:divBdr>
    </w:div>
    <w:div w:id="1633750272">
      <w:bodyDiv w:val="1"/>
      <w:marLeft w:val="0"/>
      <w:marRight w:val="0"/>
      <w:marTop w:val="0"/>
      <w:marBottom w:val="0"/>
      <w:divBdr>
        <w:top w:val="none" w:sz="0" w:space="0" w:color="auto"/>
        <w:left w:val="none" w:sz="0" w:space="0" w:color="auto"/>
        <w:bottom w:val="none" w:sz="0" w:space="0" w:color="auto"/>
        <w:right w:val="none" w:sz="0" w:space="0" w:color="auto"/>
      </w:divBdr>
    </w:div>
    <w:div w:id="1633751627">
      <w:bodyDiv w:val="1"/>
      <w:marLeft w:val="0"/>
      <w:marRight w:val="0"/>
      <w:marTop w:val="0"/>
      <w:marBottom w:val="0"/>
      <w:divBdr>
        <w:top w:val="none" w:sz="0" w:space="0" w:color="auto"/>
        <w:left w:val="none" w:sz="0" w:space="0" w:color="auto"/>
        <w:bottom w:val="none" w:sz="0" w:space="0" w:color="auto"/>
        <w:right w:val="none" w:sz="0" w:space="0" w:color="auto"/>
      </w:divBdr>
    </w:div>
    <w:div w:id="1633903444">
      <w:bodyDiv w:val="1"/>
      <w:marLeft w:val="0"/>
      <w:marRight w:val="0"/>
      <w:marTop w:val="0"/>
      <w:marBottom w:val="0"/>
      <w:divBdr>
        <w:top w:val="none" w:sz="0" w:space="0" w:color="auto"/>
        <w:left w:val="none" w:sz="0" w:space="0" w:color="auto"/>
        <w:bottom w:val="none" w:sz="0" w:space="0" w:color="auto"/>
        <w:right w:val="none" w:sz="0" w:space="0" w:color="auto"/>
      </w:divBdr>
    </w:div>
    <w:div w:id="1634024150">
      <w:bodyDiv w:val="1"/>
      <w:marLeft w:val="0"/>
      <w:marRight w:val="0"/>
      <w:marTop w:val="0"/>
      <w:marBottom w:val="0"/>
      <w:divBdr>
        <w:top w:val="none" w:sz="0" w:space="0" w:color="auto"/>
        <w:left w:val="none" w:sz="0" w:space="0" w:color="auto"/>
        <w:bottom w:val="none" w:sz="0" w:space="0" w:color="auto"/>
        <w:right w:val="none" w:sz="0" w:space="0" w:color="auto"/>
      </w:divBdr>
    </w:div>
    <w:div w:id="1634095264">
      <w:bodyDiv w:val="1"/>
      <w:marLeft w:val="0"/>
      <w:marRight w:val="0"/>
      <w:marTop w:val="0"/>
      <w:marBottom w:val="0"/>
      <w:divBdr>
        <w:top w:val="none" w:sz="0" w:space="0" w:color="auto"/>
        <w:left w:val="none" w:sz="0" w:space="0" w:color="auto"/>
        <w:bottom w:val="none" w:sz="0" w:space="0" w:color="auto"/>
        <w:right w:val="none" w:sz="0" w:space="0" w:color="auto"/>
      </w:divBdr>
    </w:div>
    <w:div w:id="1634208604">
      <w:bodyDiv w:val="1"/>
      <w:marLeft w:val="0"/>
      <w:marRight w:val="0"/>
      <w:marTop w:val="0"/>
      <w:marBottom w:val="0"/>
      <w:divBdr>
        <w:top w:val="none" w:sz="0" w:space="0" w:color="auto"/>
        <w:left w:val="none" w:sz="0" w:space="0" w:color="auto"/>
        <w:bottom w:val="none" w:sz="0" w:space="0" w:color="auto"/>
        <w:right w:val="none" w:sz="0" w:space="0" w:color="auto"/>
      </w:divBdr>
    </w:div>
    <w:div w:id="1634865851">
      <w:bodyDiv w:val="1"/>
      <w:marLeft w:val="0"/>
      <w:marRight w:val="0"/>
      <w:marTop w:val="0"/>
      <w:marBottom w:val="0"/>
      <w:divBdr>
        <w:top w:val="none" w:sz="0" w:space="0" w:color="auto"/>
        <w:left w:val="none" w:sz="0" w:space="0" w:color="auto"/>
        <w:bottom w:val="none" w:sz="0" w:space="0" w:color="auto"/>
        <w:right w:val="none" w:sz="0" w:space="0" w:color="auto"/>
      </w:divBdr>
    </w:div>
    <w:div w:id="1634946800">
      <w:bodyDiv w:val="1"/>
      <w:marLeft w:val="0"/>
      <w:marRight w:val="0"/>
      <w:marTop w:val="0"/>
      <w:marBottom w:val="0"/>
      <w:divBdr>
        <w:top w:val="none" w:sz="0" w:space="0" w:color="auto"/>
        <w:left w:val="none" w:sz="0" w:space="0" w:color="auto"/>
        <w:bottom w:val="none" w:sz="0" w:space="0" w:color="auto"/>
        <w:right w:val="none" w:sz="0" w:space="0" w:color="auto"/>
      </w:divBdr>
    </w:div>
    <w:div w:id="1635060165">
      <w:bodyDiv w:val="1"/>
      <w:marLeft w:val="0"/>
      <w:marRight w:val="0"/>
      <w:marTop w:val="0"/>
      <w:marBottom w:val="0"/>
      <w:divBdr>
        <w:top w:val="none" w:sz="0" w:space="0" w:color="auto"/>
        <w:left w:val="none" w:sz="0" w:space="0" w:color="auto"/>
        <w:bottom w:val="none" w:sz="0" w:space="0" w:color="auto"/>
        <w:right w:val="none" w:sz="0" w:space="0" w:color="auto"/>
      </w:divBdr>
    </w:div>
    <w:div w:id="1635063670">
      <w:bodyDiv w:val="1"/>
      <w:marLeft w:val="0"/>
      <w:marRight w:val="0"/>
      <w:marTop w:val="0"/>
      <w:marBottom w:val="0"/>
      <w:divBdr>
        <w:top w:val="none" w:sz="0" w:space="0" w:color="auto"/>
        <w:left w:val="none" w:sz="0" w:space="0" w:color="auto"/>
        <w:bottom w:val="none" w:sz="0" w:space="0" w:color="auto"/>
        <w:right w:val="none" w:sz="0" w:space="0" w:color="auto"/>
      </w:divBdr>
    </w:div>
    <w:div w:id="1635215527">
      <w:bodyDiv w:val="1"/>
      <w:marLeft w:val="0"/>
      <w:marRight w:val="0"/>
      <w:marTop w:val="0"/>
      <w:marBottom w:val="0"/>
      <w:divBdr>
        <w:top w:val="none" w:sz="0" w:space="0" w:color="auto"/>
        <w:left w:val="none" w:sz="0" w:space="0" w:color="auto"/>
        <w:bottom w:val="none" w:sz="0" w:space="0" w:color="auto"/>
        <w:right w:val="none" w:sz="0" w:space="0" w:color="auto"/>
      </w:divBdr>
    </w:div>
    <w:div w:id="1635329991">
      <w:bodyDiv w:val="1"/>
      <w:marLeft w:val="0"/>
      <w:marRight w:val="0"/>
      <w:marTop w:val="0"/>
      <w:marBottom w:val="0"/>
      <w:divBdr>
        <w:top w:val="none" w:sz="0" w:space="0" w:color="auto"/>
        <w:left w:val="none" w:sz="0" w:space="0" w:color="auto"/>
        <w:bottom w:val="none" w:sz="0" w:space="0" w:color="auto"/>
        <w:right w:val="none" w:sz="0" w:space="0" w:color="auto"/>
      </w:divBdr>
    </w:div>
    <w:div w:id="1635401427">
      <w:bodyDiv w:val="1"/>
      <w:marLeft w:val="0"/>
      <w:marRight w:val="0"/>
      <w:marTop w:val="0"/>
      <w:marBottom w:val="0"/>
      <w:divBdr>
        <w:top w:val="none" w:sz="0" w:space="0" w:color="auto"/>
        <w:left w:val="none" w:sz="0" w:space="0" w:color="auto"/>
        <w:bottom w:val="none" w:sz="0" w:space="0" w:color="auto"/>
        <w:right w:val="none" w:sz="0" w:space="0" w:color="auto"/>
      </w:divBdr>
    </w:div>
    <w:div w:id="1635796758">
      <w:bodyDiv w:val="1"/>
      <w:marLeft w:val="0"/>
      <w:marRight w:val="0"/>
      <w:marTop w:val="0"/>
      <w:marBottom w:val="0"/>
      <w:divBdr>
        <w:top w:val="none" w:sz="0" w:space="0" w:color="auto"/>
        <w:left w:val="none" w:sz="0" w:space="0" w:color="auto"/>
        <w:bottom w:val="none" w:sz="0" w:space="0" w:color="auto"/>
        <w:right w:val="none" w:sz="0" w:space="0" w:color="auto"/>
      </w:divBdr>
    </w:div>
    <w:div w:id="1635868408">
      <w:bodyDiv w:val="1"/>
      <w:marLeft w:val="0"/>
      <w:marRight w:val="0"/>
      <w:marTop w:val="0"/>
      <w:marBottom w:val="0"/>
      <w:divBdr>
        <w:top w:val="none" w:sz="0" w:space="0" w:color="auto"/>
        <w:left w:val="none" w:sz="0" w:space="0" w:color="auto"/>
        <w:bottom w:val="none" w:sz="0" w:space="0" w:color="auto"/>
        <w:right w:val="none" w:sz="0" w:space="0" w:color="auto"/>
      </w:divBdr>
    </w:div>
    <w:div w:id="1635913253">
      <w:bodyDiv w:val="1"/>
      <w:marLeft w:val="0"/>
      <w:marRight w:val="0"/>
      <w:marTop w:val="0"/>
      <w:marBottom w:val="0"/>
      <w:divBdr>
        <w:top w:val="none" w:sz="0" w:space="0" w:color="auto"/>
        <w:left w:val="none" w:sz="0" w:space="0" w:color="auto"/>
        <w:bottom w:val="none" w:sz="0" w:space="0" w:color="auto"/>
        <w:right w:val="none" w:sz="0" w:space="0" w:color="auto"/>
      </w:divBdr>
    </w:div>
    <w:div w:id="1636176031">
      <w:bodyDiv w:val="1"/>
      <w:marLeft w:val="0"/>
      <w:marRight w:val="0"/>
      <w:marTop w:val="0"/>
      <w:marBottom w:val="0"/>
      <w:divBdr>
        <w:top w:val="none" w:sz="0" w:space="0" w:color="auto"/>
        <w:left w:val="none" w:sz="0" w:space="0" w:color="auto"/>
        <w:bottom w:val="none" w:sz="0" w:space="0" w:color="auto"/>
        <w:right w:val="none" w:sz="0" w:space="0" w:color="auto"/>
      </w:divBdr>
    </w:div>
    <w:div w:id="1636180234">
      <w:bodyDiv w:val="1"/>
      <w:marLeft w:val="0"/>
      <w:marRight w:val="0"/>
      <w:marTop w:val="0"/>
      <w:marBottom w:val="0"/>
      <w:divBdr>
        <w:top w:val="none" w:sz="0" w:space="0" w:color="auto"/>
        <w:left w:val="none" w:sz="0" w:space="0" w:color="auto"/>
        <w:bottom w:val="none" w:sz="0" w:space="0" w:color="auto"/>
        <w:right w:val="none" w:sz="0" w:space="0" w:color="auto"/>
      </w:divBdr>
    </w:div>
    <w:div w:id="1636255179">
      <w:bodyDiv w:val="1"/>
      <w:marLeft w:val="0"/>
      <w:marRight w:val="0"/>
      <w:marTop w:val="0"/>
      <w:marBottom w:val="0"/>
      <w:divBdr>
        <w:top w:val="none" w:sz="0" w:space="0" w:color="auto"/>
        <w:left w:val="none" w:sz="0" w:space="0" w:color="auto"/>
        <w:bottom w:val="none" w:sz="0" w:space="0" w:color="auto"/>
        <w:right w:val="none" w:sz="0" w:space="0" w:color="auto"/>
      </w:divBdr>
    </w:div>
    <w:div w:id="1636377265">
      <w:bodyDiv w:val="1"/>
      <w:marLeft w:val="0"/>
      <w:marRight w:val="0"/>
      <w:marTop w:val="0"/>
      <w:marBottom w:val="0"/>
      <w:divBdr>
        <w:top w:val="none" w:sz="0" w:space="0" w:color="auto"/>
        <w:left w:val="none" w:sz="0" w:space="0" w:color="auto"/>
        <w:bottom w:val="none" w:sz="0" w:space="0" w:color="auto"/>
        <w:right w:val="none" w:sz="0" w:space="0" w:color="auto"/>
      </w:divBdr>
    </w:div>
    <w:div w:id="1636443734">
      <w:bodyDiv w:val="1"/>
      <w:marLeft w:val="0"/>
      <w:marRight w:val="0"/>
      <w:marTop w:val="0"/>
      <w:marBottom w:val="0"/>
      <w:divBdr>
        <w:top w:val="none" w:sz="0" w:space="0" w:color="auto"/>
        <w:left w:val="none" w:sz="0" w:space="0" w:color="auto"/>
        <w:bottom w:val="none" w:sz="0" w:space="0" w:color="auto"/>
        <w:right w:val="none" w:sz="0" w:space="0" w:color="auto"/>
      </w:divBdr>
    </w:div>
    <w:div w:id="1636715160">
      <w:bodyDiv w:val="1"/>
      <w:marLeft w:val="0"/>
      <w:marRight w:val="0"/>
      <w:marTop w:val="0"/>
      <w:marBottom w:val="0"/>
      <w:divBdr>
        <w:top w:val="none" w:sz="0" w:space="0" w:color="auto"/>
        <w:left w:val="none" w:sz="0" w:space="0" w:color="auto"/>
        <w:bottom w:val="none" w:sz="0" w:space="0" w:color="auto"/>
        <w:right w:val="none" w:sz="0" w:space="0" w:color="auto"/>
      </w:divBdr>
    </w:div>
    <w:div w:id="1636716580">
      <w:bodyDiv w:val="1"/>
      <w:marLeft w:val="0"/>
      <w:marRight w:val="0"/>
      <w:marTop w:val="0"/>
      <w:marBottom w:val="0"/>
      <w:divBdr>
        <w:top w:val="none" w:sz="0" w:space="0" w:color="auto"/>
        <w:left w:val="none" w:sz="0" w:space="0" w:color="auto"/>
        <w:bottom w:val="none" w:sz="0" w:space="0" w:color="auto"/>
        <w:right w:val="none" w:sz="0" w:space="0" w:color="auto"/>
      </w:divBdr>
    </w:div>
    <w:div w:id="1636907959">
      <w:bodyDiv w:val="1"/>
      <w:marLeft w:val="0"/>
      <w:marRight w:val="0"/>
      <w:marTop w:val="0"/>
      <w:marBottom w:val="0"/>
      <w:divBdr>
        <w:top w:val="none" w:sz="0" w:space="0" w:color="auto"/>
        <w:left w:val="none" w:sz="0" w:space="0" w:color="auto"/>
        <w:bottom w:val="none" w:sz="0" w:space="0" w:color="auto"/>
        <w:right w:val="none" w:sz="0" w:space="0" w:color="auto"/>
      </w:divBdr>
    </w:div>
    <w:div w:id="1636913660">
      <w:bodyDiv w:val="1"/>
      <w:marLeft w:val="0"/>
      <w:marRight w:val="0"/>
      <w:marTop w:val="0"/>
      <w:marBottom w:val="0"/>
      <w:divBdr>
        <w:top w:val="none" w:sz="0" w:space="0" w:color="auto"/>
        <w:left w:val="none" w:sz="0" w:space="0" w:color="auto"/>
        <w:bottom w:val="none" w:sz="0" w:space="0" w:color="auto"/>
        <w:right w:val="none" w:sz="0" w:space="0" w:color="auto"/>
      </w:divBdr>
    </w:div>
    <w:div w:id="1636983767">
      <w:bodyDiv w:val="1"/>
      <w:marLeft w:val="0"/>
      <w:marRight w:val="0"/>
      <w:marTop w:val="0"/>
      <w:marBottom w:val="0"/>
      <w:divBdr>
        <w:top w:val="none" w:sz="0" w:space="0" w:color="auto"/>
        <w:left w:val="none" w:sz="0" w:space="0" w:color="auto"/>
        <w:bottom w:val="none" w:sz="0" w:space="0" w:color="auto"/>
        <w:right w:val="none" w:sz="0" w:space="0" w:color="auto"/>
      </w:divBdr>
    </w:div>
    <w:div w:id="1636989834">
      <w:bodyDiv w:val="1"/>
      <w:marLeft w:val="0"/>
      <w:marRight w:val="0"/>
      <w:marTop w:val="0"/>
      <w:marBottom w:val="0"/>
      <w:divBdr>
        <w:top w:val="none" w:sz="0" w:space="0" w:color="auto"/>
        <w:left w:val="none" w:sz="0" w:space="0" w:color="auto"/>
        <w:bottom w:val="none" w:sz="0" w:space="0" w:color="auto"/>
        <w:right w:val="none" w:sz="0" w:space="0" w:color="auto"/>
      </w:divBdr>
    </w:div>
    <w:div w:id="1637031451">
      <w:bodyDiv w:val="1"/>
      <w:marLeft w:val="0"/>
      <w:marRight w:val="0"/>
      <w:marTop w:val="0"/>
      <w:marBottom w:val="0"/>
      <w:divBdr>
        <w:top w:val="none" w:sz="0" w:space="0" w:color="auto"/>
        <w:left w:val="none" w:sz="0" w:space="0" w:color="auto"/>
        <w:bottom w:val="none" w:sz="0" w:space="0" w:color="auto"/>
        <w:right w:val="none" w:sz="0" w:space="0" w:color="auto"/>
      </w:divBdr>
    </w:div>
    <w:div w:id="1637175694">
      <w:bodyDiv w:val="1"/>
      <w:marLeft w:val="0"/>
      <w:marRight w:val="0"/>
      <w:marTop w:val="0"/>
      <w:marBottom w:val="0"/>
      <w:divBdr>
        <w:top w:val="none" w:sz="0" w:space="0" w:color="auto"/>
        <w:left w:val="none" w:sz="0" w:space="0" w:color="auto"/>
        <w:bottom w:val="none" w:sz="0" w:space="0" w:color="auto"/>
        <w:right w:val="none" w:sz="0" w:space="0" w:color="auto"/>
      </w:divBdr>
    </w:div>
    <w:div w:id="1637292846">
      <w:bodyDiv w:val="1"/>
      <w:marLeft w:val="0"/>
      <w:marRight w:val="0"/>
      <w:marTop w:val="0"/>
      <w:marBottom w:val="0"/>
      <w:divBdr>
        <w:top w:val="none" w:sz="0" w:space="0" w:color="auto"/>
        <w:left w:val="none" w:sz="0" w:space="0" w:color="auto"/>
        <w:bottom w:val="none" w:sz="0" w:space="0" w:color="auto"/>
        <w:right w:val="none" w:sz="0" w:space="0" w:color="auto"/>
      </w:divBdr>
    </w:div>
    <w:div w:id="1637295176">
      <w:bodyDiv w:val="1"/>
      <w:marLeft w:val="0"/>
      <w:marRight w:val="0"/>
      <w:marTop w:val="0"/>
      <w:marBottom w:val="0"/>
      <w:divBdr>
        <w:top w:val="none" w:sz="0" w:space="0" w:color="auto"/>
        <w:left w:val="none" w:sz="0" w:space="0" w:color="auto"/>
        <w:bottom w:val="none" w:sz="0" w:space="0" w:color="auto"/>
        <w:right w:val="none" w:sz="0" w:space="0" w:color="auto"/>
      </w:divBdr>
    </w:div>
    <w:div w:id="1637297918">
      <w:bodyDiv w:val="1"/>
      <w:marLeft w:val="0"/>
      <w:marRight w:val="0"/>
      <w:marTop w:val="0"/>
      <w:marBottom w:val="0"/>
      <w:divBdr>
        <w:top w:val="none" w:sz="0" w:space="0" w:color="auto"/>
        <w:left w:val="none" w:sz="0" w:space="0" w:color="auto"/>
        <w:bottom w:val="none" w:sz="0" w:space="0" w:color="auto"/>
        <w:right w:val="none" w:sz="0" w:space="0" w:color="auto"/>
      </w:divBdr>
    </w:div>
    <w:div w:id="1637566412">
      <w:bodyDiv w:val="1"/>
      <w:marLeft w:val="0"/>
      <w:marRight w:val="0"/>
      <w:marTop w:val="0"/>
      <w:marBottom w:val="0"/>
      <w:divBdr>
        <w:top w:val="none" w:sz="0" w:space="0" w:color="auto"/>
        <w:left w:val="none" w:sz="0" w:space="0" w:color="auto"/>
        <w:bottom w:val="none" w:sz="0" w:space="0" w:color="auto"/>
        <w:right w:val="none" w:sz="0" w:space="0" w:color="auto"/>
      </w:divBdr>
    </w:div>
    <w:div w:id="1637568127">
      <w:bodyDiv w:val="1"/>
      <w:marLeft w:val="0"/>
      <w:marRight w:val="0"/>
      <w:marTop w:val="0"/>
      <w:marBottom w:val="0"/>
      <w:divBdr>
        <w:top w:val="none" w:sz="0" w:space="0" w:color="auto"/>
        <w:left w:val="none" w:sz="0" w:space="0" w:color="auto"/>
        <w:bottom w:val="none" w:sz="0" w:space="0" w:color="auto"/>
        <w:right w:val="none" w:sz="0" w:space="0" w:color="auto"/>
      </w:divBdr>
    </w:div>
    <w:div w:id="1637644567">
      <w:bodyDiv w:val="1"/>
      <w:marLeft w:val="0"/>
      <w:marRight w:val="0"/>
      <w:marTop w:val="0"/>
      <w:marBottom w:val="0"/>
      <w:divBdr>
        <w:top w:val="none" w:sz="0" w:space="0" w:color="auto"/>
        <w:left w:val="none" w:sz="0" w:space="0" w:color="auto"/>
        <w:bottom w:val="none" w:sz="0" w:space="0" w:color="auto"/>
        <w:right w:val="none" w:sz="0" w:space="0" w:color="auto"/>
      </w:divBdr>
    </w:div>
    <w:div w:id="1637687665">
      <w:bodyDiv w:val="1"/>
      <w:marLeft w:val="0"/>
      <w:marRight w:val="0"/>
      <w:marTop w:val="0"/>
      <w:marBottom w:val="0"/>
      <w:divBdr>
        <w:top w:val="none" w:sz="0" w:space="0" w:color="auto"/>
        <w:left w:val="none" w:sz="0" w:space="0" w:color="auto"/>
        <w:bottom w:val="none" w:sz="0" w:space="0" w:color="auto"/>
        <w:right w:val="none" w:sz="0" w:space="0" w:color="auto"/>
      </w:divBdr>
    </w:div>
    <w:div w:id="1637876167">
      <w:bodyDiv w:val="1"/>
      <w:marLeft w:val="0"/>
      <w:marRight w:val="0"/>
      <w:marTop w:val="0"/>
      <w:marBottom w:val="0"/>
      <w:divBdr>
        <w:top w:val="none" w:sz="0" w:space="0" w:color="auto"/>
        <w:left w:val="none" w:sz="0" w:space="0" w:color="auto"/>
        <w:bottom w:val="none" w:sz="0" w:space="0" w:color="auto"/>
        <w:right w:val="none" w:sz="0" w:space="0" w:color="auto"/>
      </w:divBdr>
    </w:div>
    <w:div w:id="1638023689">
      <w:bodyDiv w:val="1"/>
      <w:marLeft w:val="0"/>
      <w:marRight w:val="0"/>
      <w:marTop w:val="0"/>
      <w:marBottom w:val="0"/>
      <w:divBdr>
        <w:top w:val="none" w:sz="0" w:space="0" w:color="auto"/>
        <w:left w:val="none" w:sz="0" w:space="0" w:color="auto"/>
        <w:bottom w:val="none" w:sz="0" w:space="0" w:color="auto"/>
        <w:right w:val="none" w:sz="0" w:space="0" w:color="auto"/>
      </w:divBdr>
    </w:div>
    <w:div w:id="1638216543">
      <w:bodyDiv w:val="1"/>
      <w:marLeft w:val="0"/>
      <w:marRight w:val="0"/>
      <w:marTop w:val="0"/>
      <w:marBottom w:val="0"/>
      <w:divBdr>
        <w:top w:val="none" w:sz="0" w:space="0" w:color="auto"/>
        <w:left w:val="none" w:sz="0" w:space="0" w:color="auto"/>
        <w:bottom w:val="none" w:sz="0" w:space="0" w:color="auto"/>
        <w:right w:val="none" w:sz="0" w:space="0" w:color="auto"/>
      </w:divBdr>
    </w:div>
    <w:div w:id="1638223147">
      <w:bodyDiv w:val="1"/>
      <w:marLeft w:val="0"/>
      <w:marRight w:val="0"/>
      <w:marTop w:val="0"/>
      <w:marBottom w:val="0"/>
      <w:divBdr>
        <w:top w:val="none" w:sz="0" w:space="0" w:color="auto"/>
        <w:left w:val="none" w:sz="0" w:space="0" w:color="auto"/>
        <w:bottom w:val="none" w:sz="0" w:space="0" w:color="auto"/>
        <w:right w:val="none" w:sz="0" w:space="0" w:color="auto"/>
      </w:divBdr>
    </w:div>
    <w:div w:id="1638291429">
      <w:bodyDiv w:val="1"/>
      <w:marLeft w:val="0"/>
      <w:marRight w:val="0"/>
      <w:marTop w:val="0"/>
      <w:marBottom w:val="0"/>
      <w:divBdr>
        <w:top w:val="none" w:sz="0" w:space="0" w:color="auto"/>
        <w:left w:val="none" w:sz="0" w:space="0" w:color="auto"/>
        <w:bottom w:val="none" w:sz="0" w:space="0" w:color="auto"/>
        <w:right w:val="none" w:sz="0" w:space="0" w:color="auto"/>
      </w:divBdr>
    </w:div>
    <w:div w:id="1638415139">
      <w:bodyDiv w:val="1"/>
      <w:marLeft w:val="0"/>
      <w:marRight w:val="0"/>
      <w:marTop w:val="0"/>
      <w:marBottom w:val="0"/>
      <w:divBdr>
        <w:top w:val="none" w:sz="0" w:space="0" w:color="auto"/>
        <w:left w:val="none" w:sz="0" w:space="0" w:color="auto"/>
        <w:bottom w:val="none" w:sz="0" w:space="0" w:color="auto"/>
        <w:right w:val="none" w:sz="0" w:space="0" w:color="auto"/>
      </w:divBdr>
    </w:div>
    <w:div w:id="1638418235">
      <w:bodyDiv w:val="1"/>
      <w:marLeft w:val="0"/>
      <w:marRight w:val="0"/>
      <w:marTop w:val="0"/>
      <w:marBottom w:val="0"/>
      <w:divBdr>
        <w:top w:val="none" w:sz="0" w:space="0" w:color="auto"/>
        <w:left w:val="none" w:sz="0" w:space="0" w:color="auto"/>
        <w:bottom w:val="none" w:sz="0" w:space="0" w:color="auto"/>
        <w:right w:val="none" w:sz="0" w:space="0" w:color="auto"/>
      </w:divBdr>
    </w:div>
    <w:div w:id="1638492970">
      <w:bodyDiv w:val="1"/>
      <w:marLeft w:val="0"/>
      <w:marRight w:val="0"/>
      <w:marTop w:val="0"/>
      <w:marBottom w:val="0"/>
      <w:divBdr>
        <w:top w:val="none" w:sz="0" w:space="0" w:color="auto"/>
        <w:left w:val="none" w:sz="0" w:space="0" w:color="auto"/>
        <w:bottom w:val="none" w:sz="0" w:space="0" w:color="auto"/>
        <w:right w:val="none" w:sz="0" w:space="0" w:color="auto"/>
      </w:divBdr>
    </w:div>
    <w:div w:id="1638800224">
      <w:bodyDiv w:val="1"/>
      <w:marLeft w:val="0"/>
      <w:marRight w:val="0"/>
      <w:marTop w:val="0"/>
      <w:marBottom w:val="0"/>
      <w:divBdr>
        <w:top w:val="none" w:sz="0" w:space="0" w:color="auto"/>
        <w:left w:val="none" w:sz="0" w:space="0" w:color="auto"/>
        <w:bottom w:val="none" w:sz="0" w:space="0" w:color="auto"/>
        <w:right w:val="none" w:sz="0" w:space="0" w:color="auto"/>
      </w:divBdr>
    </w:div>
    <w:div w:id="1638949934">
      <w:bodyDiv w:val="1"/>
      <w:marLeft w:val="0"/>
      <w:marRight w:val="0"/>
      <w:marTop w:val="0"/>
      <w:marBottom w:val="0"/>
      <w:divBdr>
        <w:top w:val="none" w:sz="0" w:space="0" w:color="auto"/>
        <w:left w:val="none" w:sz="0" w:space="0" w:color="auto"/>
        <w:bottom w:val="none" w:sz="0" w:space="0" w:color="auto"/>
        <w:right w:val="none" w:sz="0" w:space="0" w:color="auto"/>
      </w:divBdr>
    </w:div>
    <w:div w:id="1639066581">
      <w:bodyDiv w:val="1"/>
      <w:marLeft w:val="0"/>
      <w:marRight w:val="0"/>
      <w:marTop w:val="0"/>
      <w:marBottom w:val="0"/>
      <w:divBdr>
        <w:top w:val="none" w:sz="0" w:space="0" w:color="auto"/>
        <w:left w:val="none" w:sz="0" w:space="0" w:color="auto"/>
        <w:bottom w:val="none" w:sz="0" w:space="0" w:color="auto"/>
        <w:right w:val="none" w:sz="0" w:space="0" w:color="auto"/>
      </w:divBdr>
    </w:div>
    <w:div w:id="1639143738">
      <w:bodyDiv w:val="1"/>
      <w:marLeft w:val="0"/>
      <w:marRight w:val="0"/>
      <w:marTop w:val="0"/>
      <w:marBottom w:val="0"/>
      <w:divBdr>
        <w:top w:val="none" w:sz="0" w:space="0" w:color="auto"/>
        <w:left w:val="none" w:sz="0" w:space="0" w:color="auto"/>
        <w:bottom w:val="none" w:sz="0" w:space="0" w:color="auto"/>
        <w:right w:val="none" w:sz="0" w:space="0" w:color="auto"/>
      </w:divBdr>
    </w:div>
    <w:div w:id="1639410944">
      <w:bodyDiv w:val="1"/>
      <w:marLeft w:val="0"/>
      <w:marRight w:val="0"/>
      <w:marTop w:val="0"/>
      <w:marBottom w:val="0"/>
      <w:divBdr>
        <w:top w:val="none" w:sz="0" w:space="0" w:color="auto"/>
        <w:left w:val="none" w:sz="0" w:space="0" w:color="auto"/>
        <w:bottom w:val="none" w:sz="0" w:space="0" w:color="auto"/>
        <w:right w:val="none" w:sz="0" w:space="0" w:color="auto"/>
      </w:divBdr>
    </w:div>
    <w:div w:id="1639415008">
      <w:bodyDiv w:val="1"/>
      <w:marLeft w:val="0"/>
      <w:marRight w:val="0"/>
      <w:marTop w:val="0"/>
      <w:marBottom w:val="0"/>
      <w:divBdr>
        <w:top w:val="none" w:sz="0" w:space="0" w:color="auto"/>
        <w:left w:val="none" w:sz="0" w:space="0" w:color="auto"/>
        <w:bottom w:val="none" w:sz="0" w:space="0" w:color="auto"/>
        <w:right w:val="none" w:sz="0" w:space="0" w:color="auto"/>
      </w:divBdr>
    </w:div>
    <w:div w:id="1639601936">
      <w:bodyDiv w:val="1"/>
      <w:marLeft w:val="0"/>
      <w:marRight w:val="0"/>
      <w:marTop w:val="0"/>
      <w:marBottom w:val="0"/>
      <w:divBdr>
        <w:top w:val="none" w:sz="0" w:space="0" w:color="auto"/>
        <w:left w:val="none" w:sz="0" w:space="0" w:color="auto"/>
        <w:bottom w:val="none" w:sz="0" w:space="0" w:color="auto"/>
        <w:right w:val="none" w:sz="0" w:space="0" w:color="auto"/>
      </w:divBdr>
    </w:div>
    <w:div w:id="1639609425">
      <w:bodyDiv w:val="1"/>
      <w:marLeft w:val="0"/>
      <w:marRight w:val="0"/>
      <w:marTop w:val="0"/>
      <w:marBottom w:val="0"/>
      <w:divBdr>
        <w:top w:val="none" w:sz="0" w:space="0" w:color="auto"/>
        <w:left w:val="none" w:sz="0" w:space="0" w:color="auto"/>
        <w:bottom w:val="none" w:sz="0" w:space="0" w:color="auto"/>
        <w:right w:val="none" w:sz="0" w:space="0" w:color="auto"/>
      </w:divBdr>
    </w:div>
    <w:div w:id="1639648712">
      <w:bodyDiv w:val="1"/>
      <w:marLeft w:val="0"/>
      <w:marRight w:val="0"/>
      <w:marTop w:val="0"/>
      <w:marBottom w:val="0"/>
      <w:divBdr>
        <w:top w:val="none" w:sz="0" w:space="0" w:color="auto"/>
        <w:left w:val="none" w:sz="0" w:space="0" w:color="auto"/>
        <w:bottom w:val="none" w:sz="0" w:space="0" w:color="auto"/>
        <w:right w:val="none" w:sz="0" w:space="0" w:color="auto"/>
      </w:divBdr>
    </w:div>
    <w:div w:id="1639796645">
      <w:bodyDiv w:val="1"/>
      <w:marLeft w:val="0"/>
      <w:marRight w:val="0"/>
      <w:marTop w:val="0"/>
      <w:marBottom w:val="0"/>
      <w:divBdr>
        <w:top w:val="none" w:sz="0" w:space="0" w:color="auto"/>
        <w:left w:val="none" w:sz="0" w:space="0" w:color="auto"/>
        <w:bottom w:val="none" w:sz="0" w:space="0" w:color="auto"/>
        <w:right w:val="none" w:sz="0" w:space="0" w:color="auto"/>
      </w:divBdr>
    </w:div>
    <w:div w:id="1639801954">
      <w:bodyDiv w:val="1"/>
      <w:marLeft w:val="0"/>
      <w:marRight w:val="0"/>
      <w:marTop w:val="0"/>
      <w:marBottom w:val="0"/>
      <w:divBdr>
        <w:top w:val="none" w:sz="0" w:space="0" w:color="auto"/>
        <w:left w:val="none" w:sz="0" w:space="0" w:color="auto"/>
        <w:bottom w:val="none" w:sz="0" w:space="0" w:color="auto"/>
        <w:right w:val="none" w:sz="0" w:space="0" w:color="auto"/>
      </w:divBdr>
    </w:div>
    <w:div w:id="1639802289">
      <w:bodyDiv w:val="1"/>
      <w:marLeft w:val="0"/>
      <w:marRight w:val="0"/>
      <w:marTop w:val="0"/>
      <w:marBottom w:val="0"/>
      <w:divBdr>
        <w:top w:val="none" w:sz="0" w:space="0" w:color="auto"/>
        <w:left w:val="none" w:sz="0" w:space="0" w:color="auto"/>
        <w:bottom w:val="none" w:sz="0" w:space="0" w:color="auto"/>
        <w:right w:val="none" w:sz="0" w:space="0" w:color="auto"/>
      </w:divBdr>
    </w:div>
    <w:div w:id="1639989707">
      <w:bodyDiv w:val="1"/>
      <w:marLeft w:val="0"/>
      <w:marRight w:val="0"/>
      <w:marTop w:val="0"/>
      <w:marBottom w:val="0"/>
      <w:divBdr>
        <w:top w:val="none" w:sz="0" w:space="0" w:color="auto"/>
        <w:left w:val="none" w:sz="0" w:space="0" w:color="auto"/>
        <w:bottom w:val="none" w:sz="0" w:space="0" w:color="auto"/>
        <w:right w:val="none" w:sz="0" w:space="0" w:color="auto"/>
      </w:divBdr>
    </w:div>
    <w:div w:id="1640110071">
      <w:bodyDiv w:val="1"/>
      <w:marLeft w:val="0"/>
      <w:marRight w:val="0"/>
      <w:marTop w:val="0"/>
      <w:marBottom w:val="0"/>
      <w:divBdr>
        <w:top w:val="none" w:sz="0" w:space="0" w:color="auto"/>
        <w:left w:val="none" w:sz="0" w:space="0" w:color="auto"/>
        <w:bottom w:val="none" w:sz="0" w:space="0" w:color="auto"/>
        <w:right w:val="none" w:sz="0" w:space="0" w:color="auto"/>
      </w:divBdr>
    </w:div>
    <w:div w:id="1640258375">
      <w:bodyDiv w:val="1"/>
      <w:marLeft w:val="0"/>
      <w:marRight w:val="0"/>
      <w:marTop w:val="0"/>
      <w:marBottom w:val="0"/>
      <w:divBdr>
        <w:top w:val="none" w:sz="0" w:space="0" w:color="auto"/>
        <w:left w:val="none" w:sz="0" w:space="0" w:color="auto"/>
        <w:bottom w:val="none" w:sz="0" w:space="0" w:color="auto"/>
        <w:right w:val="none" w:sz="0" w:space="0" w:color="auto"/>
      </w:divBdr>
    </w:div>
    <w:div w:id="1640259464">
      <w:bodyDiv w:val="1"/>
      <w:marLeft w:val="0"/>
      <w:marRight w:val="0"/>
      <w:marTop w:val="0"/>
      <w:marBottom w:val="0"/>
      <w:divBdr>
        <w:top w:val="none" w:sz="0" w:space="0" w:color="auto"/>
        <w:left w:val="none" w:sz="0" w:space="0" w:color="auto"/>
        <w:bottom w:val="none" w:sz="0" w:space="0" w:color="auto"/>
        <w:right w:val="none" w:sz="0" w:space="0" w:color="auto"/>
      </w:divBdr>
    </w:div>
    <w:div w:id="1640308611">
      <w:bodyDiv w:val="1"/>
      <w:marLeft w:val="0"/>
      <w:marRight w:val="0"/>
      <w:marTop w:val="0"/>
      <w:marBottom w:val="0"/>
      <w:divBdr>
        <w:top w:val="none" w:sz="0" w:space="0" w:color="auto"/>
        <w:left w:val="none" w:sz="0" w:space="0" w:color="auto"/>
        <w:bottom w:val="none" w:sz="0" w:space="0" w:color="auto"/>
        <w:right w:val="none" w:sz="0" w:space="0" w:color="auto"/>
      </w:divBdr>
    </w:div>
    <w:div w:id="1640915625">
      <w:bodyDiv w:val="1"/>
      <w:marLeft w:val="0"/>
      <w:marRight w:val="0"/>
      <w:marTop w:val="0"/>
      <w:marBottom w:val="0"/>
      <w:divBdr>
        <w:top w:val="none" w:sz="0" w:space="0" w:color="auto"/>
        <w:left w:val="none" w:sz="0" w:space="0" w:color="auto"/>
        <w:bottom w:val="none" w:sz="0" w:space="0" w:color="auto"/>
        <w:right w:val="none" w:sz="0" w:space="0" w:color="auto"/>
      </w:divBdr>
    </w:div>
    <w:div w:id="1640917685">
      <w:bodyDiv w:val="1"/>
      <w:marLeft w:val="0"/>
      <w:marRight w:val="0"/>
      <w:marTop w:val="0"/>
      <w:marBottom w:val="0"/>
      <w:divBdr>
        <w:top w:val="none" w:sz="0" w:space="0" w:color="auto"/>
        <w:left w:val="none" w:sz="0" w:space="0" w:color="auto"/>
        <w:bottom w:val="none" w:sz="0" w:space="0" w:color="auto"/>
        <w:right w:val="none" w:sz="0" w:space="0" w:color="auto"/>
      </w:divBdr>
    </w:div>
    <w:div w:id="1641038168">
      <w:bodyDiv w:val="1"/>
      <w:marLeft w:val="0"/>
      <w:marRight w:val="0"/>
      <w:marTop w:val="0"/>
      <w:marBottom w:val="0"/>
      <w:divBdr>
        <w:top w:val="none" w:sz="0" w:space="0" w:color="auto"/>
        <w:left w:val="none" w:sz="0" w:space="0" w:color="auto"/>
        <w:bottom w:val="none" w:sz="0" w:space="0" w:color="auto"/>
        <w:right w:val="none" w:sz="0" w:space="0" w:color="auto"/>
      </w:divBdr>
    </w:div>
    <w:div w:id="1641303638">
      <w:bodyDiv w:val="1"/>
      <w:marLeft w:val="0"/>
      <w:marRight w:val="0"/>
      <w:marTop w:val="0"/>
      <w:marBottom w:val="0"/>
      <w:divBdr>
        <w:top w:val="none" w:sz="0" w:space="0" w:color="auto"/>
        <w:left w:val="none" w:sz="0" w:space="0" w:color="auto"/>
        <w:bottom w:val="none" w:sz="0" w:space="0" w:color="auto"/>
        <w:right w:val="none" w:sz="0" w:space="0" w:color="auto"/>
      </w:divBdr>
    </w:div>
    <w:div w:id="1641419099">
      <w:bodyDiv w:val="1"/>
      <w:marLeft w:val="0"/>
      <w:marRight w:val="0"/>
      <w:marTop w:val="0"/>
      <w:marBottom w:val="0"/>
      <w:divBdr>
        <w:top w:val="none" w:sz="0" w:space="0" w:color="auto"/>
        <w:left w:val="none" w:sz="0" w:space="0" w:color="auto"/>
        <w:bottom w:val="none" w:sz="0" w:space="0" w:color="auto"/>
        <w:right w:val="none" w:sz="0" w:space="0" w:color="auto"/>
      </w:divBdr>
    </w:div>
    <w:div w:id="1641425071">
      <w:bodyDiv w:val="1"/>
      <w:marLeft w:val="0"/>
      <w:marRight w:val="0"/>
      <w:marTop w:val="0"/>
      <w:marBottom w:val="0"/>
      <w:divBdr>
        <w:top w:val="none" w:sz="0" w:space="0" w:color="auto"/>
        <w:left w:val="none" w:sz="0" w:space="0" w:color="auto"/>
        <w:bottom w:val="none" w:sz="0" w:space="0" w:color="auto"/>
        <w:right w:val="none" w:sz="0" w:space="0" w:color="auto"/>
      </w:divBdr>
    </w:div>
    <w:div w:id="1641491885">
      <w:bodyDiv w:val="1"/>
      <w:marLeft w:val="0"/>
      <w:marRight w:val="0"/>
      <w:marTop w:val="0"/>
      <w:marBottom w:val="0"/>
      <w:divBdr>
        <w:top w:val="none" w:sz="0" w:space="0" w:color="auto"/>
        <w:left w:val="none" w:sz="0" w:space="0" w:color="auto"/>
        <w:bottom w:val="none" w:sz="0" w:space="0" w:color="auto"/>
        <w:right w:val="none" w:sz="0" w:space="0" w:color="auto"/>
      </w:divBdr>
    </w:div>
    <w:div w:id="1641497289">
      <w:bodyDiv w:val="1"/>
      <w:marLeft w:val="0"/>
      <w:marRight w:val="0"/>
      <w:marTop w:val="0"/>
      <w:marBottom w:val="0"/>
      <w:divBdr>
        <w:top w:val="none" w:sz="0" w:space="0" w:color="auto"/>
        <w:left w:val="none" w:sz="0" w:space="0" w:color="auto"/>
        <w:bottom w:val="none" w:sz="0" w:space="0" w:color="auto"/>
        <w:right w:val="none" w:sz="0" w:space="0" w:color="auto"/>
      </w:divBdr>
    </w:div>
    <w:div w:id="1641612449">
      <w:bodyDiv w:val="1"/>
      <w:marLeft w:val="0"/>
      <w:marRight w:val="0"/>
      <w:marTop w:val="0"/>
      <w:marBottom w:val="0"/>
      <w:divBdr>
        <w:top w:val="none" w:sz="0" w:space="0" w:color="auto"/>
        <w:left w:val="none" w:sz="0" w:space="0" w:color="auto"/>
        <w:bottom w:val="none" w:sz="0" w:space="0" w:color="auto"/>
        <w:right w:val="none" w:sz="0" w:space="0" w:color="auto"/>
      </w:divBdr>
    </w:div>
    <w:div w:id="1641615454">
      <w:bodyDiv w:val="1"/>
      <w:marLeft w:val="0"/>
      <w:marRight w:val="0"/>
      <w:marTop w:val="0"/>
      <w:marBottom w:val="0"/>
      <w:divBdr>
        <w:top w:val="none" w:sz="0" w:space="0" w:color="auto"/>
        <w:left w:val="none" w:sz="0" w:space="0" w:color="auto"/>
        <w:bottom w:val="none" w:sz="0" w:space="0" w:color="auto"/>
        <w:right w:val="none" w:sz="0" w:space="0" w:color="auto"/>
      </w:divBdr>
    </w:div>
    <w:div w:id="1641879810">
      <w:bodyDiv w:val="1"/>
      <w:marLeft w:val="0"/>
      <w:marRight w:val="0"/>
      <w:marTop w:val="0"/>
      <w:marBottom w:val="0"/>
      <w:divBdr>
        <w:top w:val="none" w:sz="0" w:space="0" w:color="auto"/>
        <w:left w:val="none" w:sz="0" w:space="0" w:color="auto"/>
        <w:bottom w:val="none" w:sz="0" w:space="0" w:color="auto"/>
        <w:right w:val="none" w:sz="0" w:space="0" w:color="auto"/>
      </w:divBdr>
    </w:div>
    <w:div w:id="1641884927">
      <w:bodyDiv w:val="1"/>
      <w:marLeft w:val="0"/>
      <w:marRight w:val="0"/>
      <w:marTop w:val="0"/>
      <w:marBottom w:val="0"/>
      <w:divBdr>
        <w:top w:val="none" w:sz="0" w:space="0" w:color="auto"/>
        <w:left w:val="none" w:sz="0" w:space="0" w:color="auto"/>
        <w:bottom w:val="none" w:sz="0" w:space="0" w:color="auto"/>
        <w:right w:val="none" w:sz="0" w:space="0" w:color="auto"/>
      </w:divBdr>
    </w:div>
    <w:div w:id="1641961039">
      <w:bodyDiv w:val="1"/>
      <w:marLeft w:val="0"/>
      <w:marRight w:val="0"/>
      <w:marTop w:val="0"/>
      <w:marBottom w:val="0"/>
      <w:divBdr>
        <w:top w:val="none" w:sz="0" w:space="0" w:color="auto"/>
        <w:left w:val="none" w:sz="0" w:space="0" w:color="auto"/>
        <w:bottom w:val="none" w:sz="0" w:space="0" w:color="auto"/>
        <w:right w:val="none" w:sz="0" w:space="0" w:color="auto"/>
      </w:divBdr>
    </w:div>
    <w:div w:id="1642074595">
      <w:bodyDiv w:val="1"/>
      <w:marLeft w:val="0"/>
      <w:marRight w:val="0"/>
      <w:marTop w:val="0"/>
      <w:marBottom w:val="0"/>
      <w:divBdr>
        <w:top w:val="none" w:sz="0" w:space="0" w:color="auto"/>
        <w:left w:val="none" w:sz="0" w:space="0" w:color="auto"/>
        <w:bottom w:val="none" w:sz="0" w:space="0" w:color="auto"/>
        <w:right w:val="none" w:sz="0" w:space="0" w:color="auto"/>
      </w:divBdr>
    </w:div>
    <w:div w:id="1642080795">
      <w:bodyDiv w:val="1"/>
      <w:marLeft w:val="0"/>
      <w:marRight w:val="0"/>
      <w:marTop w:val="0"/>
      <w:marBottom w:val="0"/>
      <w:divBdr>
        <w:top w:val="none" w:sz="0" w:space="0" w:color="auto"/>
        <w:left w:val="none" w:sz="0" w:space="0" w:color="auto"/>
        <w:bottom w:val="none" w:sz="0" w:space="0" w:color="auto"/>
        <w:right w:val="none" w:sz="0" w:space="0" w:color="auto"/>
      </w:divBdr>
    </w:div>
    <w:div w:id="1642148277">
      <w:bodyDiv w:val="1"/>
      <w:marLeft w:val="0"/>
      <w:marRight w:val="0"/>
      <w:marTop w:val="0"/>
      <w:marBottom w:val="0"/>
      <w:divBdr>
        <w:top w:val="none" w:sz="0" w:space="0" w:color="auto"/>
        <w:left w:val="none" w:sz="0" w:space="0" w:color="auto"/>
        <w:bottom w:val="none" w:sz="0" w:space="0" w:color="auto"/>
        <w:right w:val="none" w:sz="0" w:space="0" w:color="auto"/>
      </w:divBdr>
    </w:div>
    <w:div w:id="1642149349">
      <w:bodyDiv w:val="1"/>
      <w:marLeft w:val="0"/>
      <w:marRight w:val="0"/>
      <w:marTop w:val="0"/>
      <w:marBottom w:val="0"/>
      <w:divBdr>
        <w:top w:val="none" w:sz="0" w:space="0" w:color="auto"/>
        <w:left w:val="none" w:sz="0" w:space="0" w:color="auto"/>
        <w:bottom w:val="none" w:sz="0" w:space="0" w:color="auto"/>
        <w:right w:val="none" w:sz="0" w:space="0" w:color="auto"/>
      </w:divBdr>
    </w:div>
    <w:div w:id="1642156021">
      <w:bodyDiv w:val="1"/>
      <w:marLeft w:val="0"/>
      <w:marRight w:val="0"/>
      <w:marTop w:val="0"/>
      <w:marBottom w:val="0"/>
      <w:divBdr>
        <w:top w:val="none" w:sz="0" w:space="0" w:color="auto"/>
        <w:left w:val="none" w:sz="0" w:space="0" w:color="auto"/>
        <w:bottom w:val="none" w:sz="0" w:space="0" w:color="auto"/>
        <w:right w:val="none" w:sz="0" w:space="0" w:color="auto"/>
      </w:divBdr>
    </w:div>
    <w:div w:id="1642340808">
      <w:bodyDiv w:val="1"/>
      <w:marLeft w:val="0"/>
      <w:marRight w:val="0"/>
      <w:marTop w:val="0"/>
      <w:marBottom w:val="0"/>
      <w:divBdr>
        <w:top w:val="none" w:sz="0" w:space="0" w:color="auto"/>
        <w:left w:val="none" w:sz="0" w:space="0" w:color="auto"/>
        <w:bottom w:val="none" w:sz="0" w:space="0" w:color="auto"/>
        <w:right w:val="none" w:sz="0" w:space="0" w:color="auto"/>
      </w:divBdr>
    </w:div>
    <w:div w:id="1642802442">
      <w:bodyDiv w:val="1"/>
      <w:marLeft w:val="0"/>
      <w:marRight w:val="0"/>
      <w:marTop w:val="0"/>
      <w:marBottom w:val="0"/>
      <w:divBdr>
        <w:top w:val="none" w:sz="0" w:space="0" w:color="auto"/>
        <w:left w:val="none" w:sz="0" w:space="0" w:color="auto"/>
        <w:bottom w:val="none" w:sz="0" w:space="0" w:color="auto"/>
        <w:right w:val="none" w:sz="0" w:space="0" w:color="auto"/>
      </w:divBdr>
    </w:div>
    <w:div w:id="1642811880">
      <w:bodyDiv w:val="1"/>
      <w:marLeft w:val="0"/>
      <w:marRight w:val="0"/>
      <w:marTop w:val="0"/>
      <w:marBottom w:val="0"/>
      <w:divBdr>
        <w:top w:val="none" w:sz="0" w:space="0" w:color="auto"/>
        <w:left w:val="none" w:sz="0" w:space="0" w:color="auto"/>
        <w:bottom w:val="none" w:sz="0" w:space="0" w:color="auto"/>
        <w:right w:val="none" w:sz="0" w:space="0" w:color="auto"/>
      </w:divBdr>
    </w:div>
    <w:div w:id="1643001647">
      <w:bodyDiv w:val="1"/>
      <w:marLeft w:val="0"/>
      <w:marRight w:val="0"/>
      <w:marTop w:val="0"/>
      <w:marBottom w:val="0"/>
      <w:divBdr>
        <w:top w:val="none" w:sz="0" w:space="0" w:color="auto"/>
        <w:left w:val="none" w:sz="0" w:space="0" w:color="auto"/>
        <w:bottom w:val="none" w:sz="0" w:space="0" w:color="auto"/>
        <w:right w:val="none" w:sz="0" w:space="0" w:color="auto"/>
      </w:divBdr>
    </w:div>
    <w:div w:id="1643005167">
      <w:bodyDiv w:val="1"/>
      <w:marLeft w:val="0"/>
      <w:marRight w:val="0"/>
      <w:marTop w:val="0"/>
      <w:marBottom w:val="0"/>
      <w:divBdr>
        <w:top w:val="none" w:sz="0" w:space="0" w:color="auto"/>
        <w:left w:val="none" w:sz="0" w:space="0" w:color="auto"/>
        <w:bottom w:val="none" w:sz="0" w:space="0" w:color="auto"/>
        <w:right w:val="none" w:sz="0" w:space="0" w:color="auto"/>
      </w:divBdr>
    </w:div>
    <w:div w:id="1643072549">
      <w:bodyDiv w:val="1"/>
      <w:marLeft w:val="0"/>
      <w:marRight w:val="0"/>
      <w:marTop w:val="0"/>
      <w:marBottom w:val="0"/>
      <w:divBdr>
        <w:top w:val="none" w:sz="0" w:space="0" w:color="auto"/>
        <w:left w:val="none" w:sz="0" w:space="0" w:color="auto"/>
        <w:bottom w:val="none" w:sz="0" w:space="0" w:color="auto"/>
        <w:right w:val="none" w:sz="0" w:space="0" w:color="auto"/>
      </w:divBdr>
    </w:div>
    <w:div w:id="1643343579">
      <w:bodyDiv w:val="1"/>
      <w:marLeft w:val="0"/>
      <w:marRight w:val="0"/>
      <w:marTop w:val="0"/>
      <w:marBottom w:val="0"/>
      <w:divBdr>
        <w:top w:val="none" w:sz="0" w:space="0" w:color="auto"/>
        <w:left w:val="none" w:sz="0" w:space="0" w:color="auto"/>
        <w:bottom w:val="none" w:sz="0" w:space="0" w:color="auto"/>
        <w:right w:val="none" w:sz="0" w:space="0" w:color="auto"/>
      </w:divBdr>
    </w:div>
    <w:div w:id="1643384595">
      <w:bodyDiv w:val="1"/>
      <w:marLeft w:val="0"/>
      <w:marRight w:val="0"/>
      <w:marTop w:val="0"/>
      <w:marBottom w:val="0"/>
      <w:divBdr>
        <w:top w:val="none" w:sz="0" w:space="0" w:color="auto"/>
        <w:left w:val="none" w:sz="0" w:space="0" w:color="auto"/>
        <w:bottom w:val="none" w:sz="0" w:space="0" w:color="auto"/>
        <w:right w:val="none" w:sz="0" w:space="0" w:color="auto"/>
      </w:divBdr>
    </w:div>
    <w:div w:id="1643391182">
      <w:bodyDiv w:val="1"/>
      <w:marLeft w:val="0"/>
      <w:marRight w:val="0"/>
      <w:marTop w:val="0"/>
      <w:marBottom w:val="0"/>
      <w:divBdr>
        <w:top w:val="none" w:sz="0" w:space="0" w:color="auto"/>
        <w:left w:val="none" w:sz="0" w:space="0" w:color="auto"/>
        <w:bottom w:val="none" w:sz="0" w:space="0" w:color="auto"/>
        <w:right w:val="none" w:sz="0" w:space="0" w:color="auto"/>
      </w:divBdr>
    </w:div>
    <w:div w:id="1643533460">
      <w:bodyDiv w:val="1"/>
      <w:marLeft w:val="0"/>
      <w:marRight w:val="0"/>
      <w:marTop w:val="0"/>
      <w:marBottom w:val="0"/>
      <w:divBdr>
        <w:top w:val="none" w:sz="0" w:space="0" w:color="auto"/>
        <w:left w:val="none" w:sz="0" w:space="0" w:color="auto"/>
        <w:bottom w:val="none" w:sz="0" w:space="0" w:color="auto"/>
        <w:right w:val="none" w:sz="0" w:space="0" w:color="auto"/>
      </w:divBdr>
    </w:div>
    <w:div w:id="1643538499">
      <w:bodyDiv w:val="1"/>
      <w:marLeft w:val="0"/>
      <w:marRight w:val="0"/>
      <w:marTop w:val="0"/>
      <w:marBottom w:val="0"/>
      <w:divBdr>
        <w:top w:val="none" w:sz="0" w:space="0" w:color="auto"/>
        <w:left w:val="none" w:sz="0" w:space="0" w:color="auto"/>
        <w:bottom w:val="none" w:sz="0" w:space="0" w:color="auto"/>
        <w:right w:val="none" w:sz="0" w:space="0" w:color="auto"/>
      </w:divBdr>
    </w:div>
    <w:div w:id="1643541245">
      <w:bodyDiv w:val="1"/>
      <w:marLeft w:val="0"/>
      <w:marRight w:val="0"/>
      <w:marTop w:val="0"/>
      <w:marBottom w:val="0"/>
      <w:divBdr>
        <w:top w:val="none" w:sz="0" w:space="0" w:color="auto"/>
        <w:left w:val="none" w:sz="0" w:space="0" w:color="auto"/>
        <w:bottom w:val="none" w:sz="0" w:space="0" w:color="auto"/>
        <w:right w:val="none" w:sz="0" w:space="0" w:color="auto"/>
      </w:divBdr>
    </w:div>
    <w:div w:id="1643654145">
      <w:bodyDiv w:val="1"/>
      <w:marLeft w:val="0"/>
      <w:marRight w:val="0"/>
      <w:marTop w:val="0"/>
      <w:marBottom w:val="0"/>
      <w:divBdr>
        <w:top w:val="none" w:sz="0" w:space="0" w:color="auto"/>
        <w:left w:val="none" w:sz="0" w:space="0" w:color="auto"/>
        <w:bottom w:val="none" w:sz="0" w:space="0" w:color="auto"/>
        <w:right w:val="none" w:sz="0" w:space="0" w:color="auto"/>
      </w:divBdr>
    </w:div>
    <w:div w:id="1643776640">
      <w:bodyDiv w:val="1"/>
      <w:marLeft w:val="0"/>
      <w:marRight w:val="0"/>
      <w:marTop w:val="0"/>
      <w:marBottom w:val="0"/>
      <w:divBdr>
        <w:top w:val="none" w:sz="0" w:space="0" w:color="auto"/>
        <w:left w:val="none" w:sz="0" w:space="0" w:color="auto"/>
        <w:bottom w:val="none" w:sz="0" w:space="0" w:color="auto"/>
        <w:right w:val="none" w:sz="0" w:space="0" w:color="auto"/>
      </w:divBdr>
    </w:div>
    <w:div w:id="1643920050">
      <w:bodyDiv w:val="1"/>
      <w:marLeft w:val="0"/>
      <w:marRight w:val="0"/>
      <w:marTop w:val="0"/>
      <w:marBottom w:val="0"/>
      <w:divBdr>
        <w:top w:val="none" w:sz="0" w:space="0" w:color="auto"/>
        <w:left w:val="none" w:sz="0" w:space="0" w:color="auto"/>
        <w:bottom w:val="none" w:sz="0" w:space="0" w:color="auto"/>
        <w:right w:val="none" w:sz="0" w:space="0" w:color="auto"/>
      </w:divBdr>
    </w:div>
    <w:div w:id="1643920554">
      <w:bodyDiv w:val="1"/>
      <w:marLeft w:val="0"/>
      <w:marRight w:val="0"/>
      <w:marTop w:val="0"/>
      <w:marBottom w:val="0"/>
      <w:divBdr>
        <w:top w:val="none" w:sz="0" w:space="0" w:color="auto"/>
        <w:left w:val="none" w:sz="0" w:space="0" w:color="auto"/>
        <w:bottom w:val="none" w:sz="0" w:space="0" w:color="auto"/>
        <w:right w:val="none" w:sz="0" w:space="0" w:color="auto"/>
      </w:divBdr>
    </w:div>
    <w:div w:id="1643923781">
      <w:bodyDiv w:val="1"/>
      <w:marLeft w:val="0"/>
      <w:marRight w:val="0"/>
      <w:marTop w:val="0"/>
      <w:marBottom w:val="0"/>
      <w:divBdr>
        <w:top w:val="none" w:sz="0" w:space="0" w:color="auto"/>
        <w:left w:val="none" w:sz="0" w:space="0" w:color="auto"/>
        <w:bottom w:val="none" w:sz="0" w:space="0" w:color="auto"/>
        <w:right w:val="none" w:sz="0" w:space="0" w:color="auto"/>
      </w:divBdr>
    </w:div>
    <w:div w:id="1643925016">
      <w:bodyDiv w:val="1"/>
      <w:marLeft w:val="0"/>
      <w:marRight w:val="0"/>
      <w:marTop w:val="0"/>
      <w:marBottom w:val="0"/>
      <w:divBdr>
        <w:top w:val="none" w:sz="0" w:space="0" w:color="auto"/>
        <w:left w:val="none" w:sz="0" w:space="0" w:color="auto"/>
        <w:bottom w:val="none" w:sz="0" w:space="0" w:color="auto"/>
        <w:right w:val="none" w:sz="0" w:space="0" w:color="auto"/>
      </w:divBdr>
    </w:div>
    <w:div w:id="1644117787">
      <w:bodyDiv w:val="1"/>
      <w:marLeft w:val="0"/>
      <w:marRight w:val="0"/>
      <w:marTop w:val="0"/>
      <w:marBottom w:val="0"/>
      <w:divBdr>
        <w:top w:val="none" w:sz="0" w:space="0" w:color="auto"/>
        <w:left w:val="none" w:sz="0" w:space="0" w:color="auto"/>
        <w:bottom w:val="none" w:sz="0" w:space="0" w:color="auto"/>
        <w:right w:val="none" w:sz="0" w:space="0" w:color="auto"/>
      </w:divBdr>
    </w:div>
    <w:div w:id="1644313775">
      <w:bodyDiv w:val="1"/>
      <w:marLeft w:val="0"/>
      <w:marRight w:val="0"/>
      <w:marTop w:val="0"/>
      <w:marBottom w:val="0"/>
      <w:divBdr>
        <w:top w:val="none" w:sz="0" w:space="0" w:color="auto"/>
        <w:left w:val="none" w:sz="0" w:space="0" w:color="auto"/>
        <w:bottom w:val="none" w:sz="0" w:space="0" w:color="auto"/>
        <w:right w:val="none" w:sz="0" w:space="0" w:color="auto"/>
      </w:divBdr>
    </w:div>
    <w:div w:id="1644314479">
      <w:bodyDiv w:val="1"/>
      <w:marLeft w:val="0"/>
      <w:marRight w:val="0"/>
      <w:marTop w:val="0"/>
      <w:marBottom w:val="0"/>
      <w:divBdr>
        <w:top w:val="none" w:sz="0" w:space="0" w:color="auto"/>
        <w:left w:val="none" w:sz="0" w:space="0" w:color="auto"/>
        <w:bottom w:val="none" w:sz="0" w:space="0" w:color="auto"/>
        <w:right w:val="none" w:sz="0" w:space="0" w:color="auto"/>
      </w:divBdr>
    </w:div>
    <w:div w:id="1644381645">
      <w:bodyDiv w:val="1"/>
      <w:marLeft w:val="0"/>
      <w:marRight w:val="0"/>
      <w:marTop w:val="0"/>
      <w:marBottom w:val="0"/>
      <w:divBdr>
        <w:top w:val="none" w:sz="0" w:space="0" w:color="auto"/>
        <w:left w:val="none" w:sz="0" w:space="0" w:color="auto"/>
        <w:bottom w:val="none" w:sz="0" w:space="0" w:color="auto"/>
        <w:right w:val="none" w:sz="0" w:space="0" w:color="auto"/>
      </w:divBdr>
    </w:div>
    <w:div w:id="1644458653">
      <w:bodyDiv w:val="1"/>
      <w:marLeft w:val="0"/>
      <w:marRight w:val="0"/>
      <w:marTop w:val="0"/>
      <w:marBottom w:val="0"/>
      <w:divBdr>
        <w:top w:val="none" w:sz="0" w:space="0" w:color="auto"/>
        <w:left w:val="none" w:sz="0" w:space="0" w:color="auto"/>
        <w:bottom w:val="none" w:sz="0" w:space="0" w:color="auto"/>
        <w:right w:val="none" w:sz="0" w:space="0" w:color="auto"/>
      </w:divBdr>
    </w:div>
    <w:div w:id="1644965581">
      <w:bodyDiv w:val="1"/>
      <w:marLeft w:val="0"/>
      <w:marRight w:val="0"/>
      <w:marTop w:val="0"/>
      <w:marBottom w:val="0"/>
      <w:divBdr>
        <w:top w:val="none" w:sz="0" w:space="0" w:color="auto"/>
        <w:left w:val="none" w:sz="0" w:space="0" w:color="auto"/>
        <w:bottom w:val="none" w:sz="0" w:space="0" w:color="auto"/>
        <w:right w:val="none" w:sz="0" w:space="0" w:color="auto"/>
      </w:divBdr>
    </w:div>
    <w:div w:id="1644968236">
      <w:bodyDiv w:val="1"/>
      <w:marLeft w:val="0"/>
      <w:marRight w:val="0"/>
      <w:marTop w:val="0"/>
      <w:marBottom w:val="0"/>
      <w:divBdr>
        <w:top w:val="none" w:sz="0" w:space="0" w:color="auto"/>
        <w:left w:val="none" w:sz="0" w:space="0" w:color="auto"/>
        <w:bottom w:val="none" w:sz="0" w:space="0" w:color="auto"/>
        <w:right w:val="none" w:sz="0" w:space="0" w:color="auto"/>
      </w:divBdr>
    </w:div>
    <w:div w:id="1645037678">
      <w:bodyDiv w:val="1"/>
      <w:marLeft w:val="0"/>
      <w:marRight w:val="0"/>
      <w:marTop w:val="0"/>
      <w:marBottom w:val="0"/>
      <w:divBdr>
        <w:top w:val="none" w:sz="0" w:space="0" w:color="auto"/>
        <w:left w:val="none" w:sz="0" w:space="0" w:color="auto"/>
        <w:bottom w:val="none" w:sz="0" w:space="0" w:color="auto"/>
        <w:right w:val="none" w:sz="0" w:space="0" w:color="auto"/>
      </w:divBdr>
    </w:div>
    <w:div w:id="1645038785">
      <w:bodyDiv w:val="1"/>
      <w:marLeft w:val="0"/>
      <w:marRight w:val="0"/>
      <w:marTop w:val="0"/>
      <w:marBottom w:val="0"/>
      <w:divBdr>
        <w:top w:val="none" w:sz="0" w:space="0" w:color="auto"/>
        <w:left w:val="none" w:sz="0" w:space="0" w:color="auto"/>
        <w:bottom w:val="none" w:sz="0" w:space="0" w:color="auto"/>
        <w:right w:val="none" w:sz="0" w:space="0" w:color="auto"/>
      </w:divBdr>
    </w:div>
    <w:div w:id="1645043255">
      <w:bodyDiv w:val="1"/>
      <w:marLeft w:val="0"/>
      <w:marRight w:val="0"/>
      <w:marTop w:val="0"/>
      <w:marBottom w:val="0"/>
      <w:divBdr>
        <w:top w:val="none" w:sz="0" w:space="0" w:color="auto"/>
        <w:left w:val="none" w:sz="0" w:space="0" w:color="auto"/>
        <w:bottom w:val="none" w:sz="0" w:space="0" w:color="auto"/>
        <w:right w:val="none" w:sz="0" w:space="0" w:color="auto"/>
      </w:divBdr>
    </w:div>
    <w:div w:id="1645114221">
      <w:bodyDiv w:val="1"/>
      <w:marLeft w:val="0"/>
      <w:marRight w:val="0"/>
      <w:marTop w:val="0"/>
      <w:marBottom w:val="0"/>
      <w:divBdr>
        <w:top w:val="none" w:sz="0" w:space="0" w:color="auto"/>
        <w:left w:val="none" w:sz="0" w:space="0" w:color="auto"/>
        <w:bottom w:val="none" w:sz="0" w:space="0" w:color="auto"/>
        <w:right w:val="none" w:sz="0" w:space="0" w:color="auto"/>
      </w:divBdr>
    </w:div>
    <w:div w:id="1645425624">
      <w:bodyDiv w:val="1"/>
      <w:marLeft w:val="0"/>
      <w:marRight w:val="0"/>
      <w:marTop w:val="0"/>
      <w:marBottom w:val="0"/>
      <w:divBdr>
        <w:top w:val="none" w:sz="0" w:space="0" w:color="auto"/>
        <w:left w:val="none" w:sz="0" w:space="0" w:color="auto"/>
        <w:bottom w:val="none" w:sz="0" w:space="0" w:color="auto"/>
        <w:right w:val="none" w:sz="0" w:space="0" w:color="auto"/>
      </w:divBdr>
    </w:div>
    <w:div w:id="1645625254">
      <w:bodyDiv w:val="1"/>
      <w:marLeft w:val="0"/>
      <w:marRight w:val="0"/>
      <w:marTop w:val="0"/>
      <w:marBottom w:val="0"/>
      <w:divBdr>
        <w:top w:val="none" w:sz="0" w:space="0" w:color="auto"/>
        <w:left w:val="none" w:sz="0" w:space="0" w:color="auto"/>
        <w:bottom w:val="none" w:sz="0" w:space="0" w:color="auto"/>
        <w:right w:val="none" w:sz="0" w:space="0" w:color="auto"/>
      </w:divBdr>
    </w:div>
    <w:div w:id="1645769677">
      <w:bodyDiv w:val="1"/>
      <w:marLeft w:val="0"/>
      <w:marRight w:val="0"/>
      <w:marTop w:val="0"/>
      <w:marBottom w:val="0"/>
      <w:divBdr>
        <w:top w:val="none" w:sz="0" w:space="0" w:color="auto"/>
        <w:left w:val="none" w:sz="0" w:space="0" w:color="auto"/>
        <w:bottom w:val="none" w:sz="0" w:space="0" w:color="auto"/>
        <w:right w:val="none" w:sz="0" w:space="0" w:color="auto"/>
      </w:divBdr>
    </w:div>
    <w:div w:id="1645771724">
      <w:bodyDiv w:val="1"/>
      <w:marLeft w:val="0"/>
      <w:marRight w:val="0"/>
      <w:marTop w:val="0"/>
      <w:marBottom w:val="0"/>
      <w:divBdr>
        <w:top w:val="none" w:sz="0" w:space="0" w:color="auto"/>
        <w:left w:val="none" w:sz="0" w:space="0" w:color="auto"/>
        <w:bottom w:val="none" w:sz="0" w:space="0" w:color="auto"/>
        <w:right w:val="none" w:sz="0" w:space="0" w:color="auto"/>
      </w:divBdr>
    </w:div>
    <w:div w:id="1646005515">
      <w:bodyDiv w:val="1"/>
      <w:marLeft w:val="0"/>
      <w:marRight w:val="0"/>
      <w:marTop w:val="0"/>
      <w:marBottom w:val="0"/>
      <w:divBdr>
        <w:top w:val="none" w:sz="0" w:space="0" w:color="auto"/>
        <w:left w:val="none" w:sz="0" w:space="0" w:color="auto"/>
        <w:bottom w:val="none" w:sz="0" w:space="0" w:color="auto"/>
        <w:right w:val="none" w:sz="0" w:space="0" w:color="auto"/>
      </w:divBdr>
    </w:div>
    <w:div w:id="1646230300">
      <w:bodyDiv w:val="1"/>
      <w:marLeft w:val="0"/>
      <w:marRight w:val="0"/>
      <w:marTop w:val="0"/>
      <w:marBottom w:val="0"/>
      <w:divBdr>
        <w:top w:val="none" w:sz="0" w:space="0" w:color="auto"/>
        <w:left w:val="none" w:sz="0" w:space="0" w:color="auto"/>
        <w:bottom w:val="none" w:sz="0" w:space="0" w:color="auto"/>
        <w:right w:val="none" w:sz="0" w:space="0" w:color="auto"/>
      </w:divBdr>
    </w:div>
    <w:div w:id="1646426816">
      <w:bodyDiv w:val="1"/>
      <w:marLeft w:val="0"/>
      <w:marRight w:val="0"/>
      <w:marTop w:val="0"/>
      <w:marBottom w:val="0"/>
      <w:divBdr>
        <w:top w:val="none" w:sz="0" w:space="0" w:color="auto"/>
        <w:left w:val="none" w:sz="0" w:space="0" w:color="auto"/>
        <w:bottom w:val="none" w:sz="0" w:space="0" w:color="auto"/>
        <w:right w:val="none" w:sz="0" w:space="0" w:color="auto"/>
      </w:divBdr>
    </w:div>
    <w:div w:id="1646470834">
      <w:bodyDiv w:val="1"/>
      <w:marLeft w:val="0"/>
      <w:marRight w:val="0"/>
      <w:marTop w:val="0"/>
      <w:marBottom w:val="0"/>
      <w:divBdr>
        <w:top w:val="none" w:sz="0" w:space="0" w:color="auto"/>
        <w:left w:val="none" w:sz="0" w:space="0" w:color="auto"/>
        <w:bottom w:val="none" w:sz="0" w:space="0" w:color="auto"/>
        <w:right w:val="none" w:sz="0" w:space="0" w:color="auto"/>
      </w:divBdr>
    </w:div>
    <w:div w:id="1646620474">
      <w:bodyDiv w:val="1"/>
      <w:marLeft w:val="0"/>
      <w:marRight w:val="0"/>
      <w:marTop w:val="0"/>
      <w:marBottom w:val="0"/>
      <w:divBdr>
        <w:top w:val="none" w:sz="0" w:space="0" w:color="auto"/>
        <w:left w:val="none" w:sz="0" w:space="0" w:color="auto"/>
        <w:bottom w:val="none" w:sz="0" w:space="0" w:color="auto"/>
        <w:right w:val="none" w:sz="0" w:space="0" w:color="auto"/>
      </w:divBdr>
    </w:div>
    <w:div w:id="1646861510">
      <w:bodyDiv w:val="1"/>
      <w:marLeft w:val="0"/>
      <w:marRight w:val="0"/>
      <w:marTop w:val="0"/>
      <w:marBottom w:val="0"/>
      <w:divBdr>
        <w:top w:val="none" w:sz="0" w:space="0" w:color="auto"/>
        <w:left w:val="none" w:sz="0" w:space="0" w:color="auto"/>
        <w:bottom w:val="none" w:sz="0" w:space="0" w:color="auto"/>
        <w:right w:val="none" w:sz="0" w:space="0" w:color="auto"/>
      </w:divBdr>
    </w:div>
    <w:div w:id="1647203665">
      <w:bodyDiv w:val="1"/>
      <w:marLeft w:val="0"/>
      <w:marRight w:val="0"/>
      <w:marTop w:val="0"/>
      <w:marBottom w:val="0"/>
      <w:divBdr>
        <w:top w:val="none" w:sz="0" w:space="0" w:color="auto"/>
        <w:left w:val="none" w:sz="0" w:space="0" w:color="auto"/>
        <w:bottom w:val="none" w:sz="0" w:space="0" w:color="auto"/>
        <w:right w:val="none" w:sz="0" w:space="0" w:color="auto"/>
      </w:divBdr>
    </w:div>
    <w:div w:id="1647321748">
      <w:bodyDiv w:val="1"/>
      <w:marLeft w:val="0"/>
      <w:marRight w:val="0"/>
      <w:marTop w:val="0"/>
      <w:marBottom w:val="0"/>
      <w:divBdr>
        <w:top w:val="none" w:sz="0" w:space="0" w:color="auto"/>
        <w:left w:val="none" w:sz="0" w:space="0" w:color="auto"/>
        <w:bottom w:val="none" w:sz="0" w:space="0" w:color="auto"/>
        <w:right w:val="none" w:sz="0" w:space="0" w:color="auto"/>
      </w:divBdr>
    </w:div>
    <w:div w:id="1647389485">
      <w:bodyDiv w:val="1"/>
      <w:marLeft w:val="0"/>
      <w:marRight w:val="0"/>
      <w:marTop w:val="0"/>
      <w:marBottom w:val="0"/>
      <w:divBdr>
        <w:top w:val="none" w:sz="0" w:space="0" w:color="auto"/>
        <w:left w:val="none" w:sz="0" w:space="0" w:color="auto"/>
        <w:bottom w:val="none" w:sz="0" w:space="0" w:color="auto"/>
        <w:right w:val="none" w:sz="0" w:space="0" w:color="auto"/>
      </w:divBdr>
    </w:div>
    <w:div w:id="1647588945">
      <w:bodyDiv w:val="1"/>
      <w:marLeft w:val="0"/>
      <w:marRight w:val="0"/>
      <w:marTop w:val="0"/>
      <w:marBottom w:val="0"/>
      <w:divBdr>
        <w:top w:val="none" w:sz="0" w:space="0" w:color="auto"/>
        <w:left w:val="none" w:sz="0" w:space="0" w:color="auto"/>
        <w:bottom w:val="none" w:sz="0" w:space="0" w:color="auto"/>
        <w:right w:val="none" w:sz="0" w:space="0" w:color="auto"/>
      </w:divBdr>
    </w:div>
    <w:div w:id="1647658831">
      <w:bodyDiv w:val="1"/>
      <w:marLeft w:val="0"/>
      <w:marRight w:val="0"/>
      <w:marTop w:val="0"/>
      <w:marBottom w:val="0"/>
      <w:divBdr>
        <w:top w:val="none" w:sz="0" w:space="0" w:color="auto"/>
        <w:left w:val="none" w:sz="0" w:space="0" w:color="auto"/>
        <w:bottom w:val="none" w:sz="0" w:space="0" w:color="auto"/>
        <w:right w:val="none" w:sz="0" w:space="0" w:color="auto"/>
      </w:divBdr>
    </w:div>
    <w:div w:id="1647851480">
      <w:bodyDiv w:val="1"/>
      <w:marLeft w:val="0"/>
      <w:marRight w:val="0"/>
      <w:marTop w:val="0"/>
      <w:marBottom w:val="0"/>
      <w:divBdr>
        <w:top w:val="none" w:sz="0" w:space="0" w:color="auto"/>
        <w:left w:val="none" w:sz="0" w:space="0" w:color="auto"/>
        <w:bottom w:val="none" w:sz="0" w:space="0" w:color="auto"/>
        <w:right w:val="none" w:sz="0" w:space="0" w:color="auto"/>
      </w:divBdr>
    </w:div>
    <w:div w:id="1647854688">
      <w:bodyDiv w:val="1"/>
      <w:marLeft w:val="0"/>
      <w:marRight w:val="0"/>
      <w:marTop w:val="0"/>
      <w:marBottom w:val="0"/>
      <w:divBdr>
        <w:top w:val="none" w:sz="0" w:space="0" w:color="auto"/>
        <w:left w:val="none" w:sz="0" w:space="0" w:color="auto"/>
        <w:bottom w:val="none" w:sz="0" w:space="0" w:color="auto"/>
        <w:right w:val="none" w:sz="0" w:space="0" w:color="auto"/>
      </w:divBdr>
    </w:div>
    <w:div w:id="1647971668">
      <w:bodyDiv w:val="1"/>
      <w:marLeft w:val="0"/>
      <w:marRight w:val="0"/>
      <w:marTop w:val="0"/>
      <w:marBottom w:val="0"/>
      <w:divBdr>
        <w:top w:val="none" w:sz="0" w:space="0" w:color="auto"/>
        <w:left w:val="none" w:sz="0" w:space="0" w:color="auto"/>
        <w:bottom w:val="none" w:sz="0" w:space="0" w:color="auto"/>
        <w:right w:val="none" w:sz="0" w:space="0" w:color="auto"/>
      </w:divBdr>
    </w:div>
    <w:div w:id="1648050742">
      <w:bodyDiv w:val="1"/>
      <w:marLeft w:val="0"/>
      <w:marRight w:val="0"/>
      <w:marTop w:val="0"/>
      <w:marBottom w:val="0"/>
      <w:divBdr>
        <w:top w:val="none" w:sz="0" w:space="0" w:color="auto"/>
        <w:left w:val="none" w:sz="0" w:space="0" w:color="auto"/>
        <w:bottom w:val="none" w:sz="0" w:space="0" w:color="auto"/>
        <w:right w:val="none" w:sz="0" w:space="0" w:color="auto"/>
      </w:divBdr>
    </w:div>
    <w:div w:id="1648127152">
      <w:bodyDiv w:val="1"/>
      <w:marLeft w:val="0"/>
      <w:marRight w:val="0"/>
      <w:marTop w:val="0"/>
      <w:marBottom w:val="0"/>
      <w:divBdr>
        <w:top w:val="none" w:sz="0" w:space="0" w:color="auto"/>
        <w:left w:val="none" w:sz="0" w:space="0" w:color="auto"/>
        <w:bottom w:val="none" w:sz="0" w:space="0" w:color="auto"/>
        <w:right w:val="none" w:sz="0" w:space="0" w:color="auto"/>
      </w:divBdr>
    </w:div>
    <w:div w:id="1648168593">
      <w:bodyDiv w:val="1"/>
      <w:marLeft w:val="0"/>
      <w:marRight w:val="0"/>
      <w:marTop w:val="0"/>
      <w:marBottom w:val="0"/>
      <w:divBdr>
        <w:top w:val="none" w:sz="0" w:space="0" w:color="auto"/>
        <w:left w:val="none" w:sz="0" w:space="0" w:color="auto"/>
        <w:bottom w:val="none" w:sz="0" w:space="0" w:color="auto"/>
        <w:right w:val="none" w:sz="0" w:space="0" w:color="auto"/>
      </w:divBdr>
    </w:div>
    <w:div w:id="1648170231">
      <w:bodyDiv w:val="1"/>
      <w:marLeft w:val="0"/>
      <w:marRight w:val="0"/>
      <w:marTop w:val="0"/>
      <w:marBottom w:val="0"/>
      <w:divBdr>
        <w:top w:val="none" w:sz="0" w:space="0" w:color="auto"/>
        <w:left w:val="none" w:sz="0" w:space="0" w:color="auto"/>
        <w:bottom w:val="none" w:sz="0" w:space="0" w:color="auto"/>
        <w:right w:val="none" w:sz="0" w:space="0" w:color="auto"/>
      </w:divBdr>
    </w:div>
    <w:div w:id="1648317425">
      <w:bodyDiv w:val="1"/>
      <w:marLeft w:val="0"/>
      <w:marRight w:val="0"/>
      <w:marTop w:val="0"/>
      <w:marBottom w:val="0"/>
      <w:divBdr>
        <w:top w:val="none" w:sz="0" w:space="0" w:color="auto"/>
        <w:left w:val="none" w:sz="0" w:space="0" w:color="auto"/>
        <w:bottom w:val="none" w:sz="0" w:space="0" w:color="auto"/>
        <w:right w:val="none" w:sz="0" w:space="0" w:color="auto"/>
      </w:divBdr>
    </w:div>
    <w:div w:id="1648362300">
      <w:bodyDiv w:val="1"/>
      <w:marLeft w:val="0"/>
      <w:marRight w:val="0"/>
      <w:marTop w:val="0"/>
      <w:marBottom w:val="0"/>
      <w:divBdr>
        <w:top w:val="none" w:sz="0" w:space="0" w:color="auto"/>
        <w:left w:val="none" w:sz="0" w:space="0" w:color="auto"/>
        <w:bottom w:val="none" w:sz="0" w:space="0" w:color="auto"/>
        <w:right w:val="none" w:sz="0" w:space="0" w:color="auto"/>
      </w:divBdr>
    </w:div>
    <w:div w:id="1648392676">
      <w:bodyDiv w:val="1"/>
      <w:marLeft w:val="0"/>
      <w:marRight w:val="0"/>
      <w:marTop w:val="0"/>
      <w:marBottom w:val="0"/>
      <w:divBdr>
        <w:top w:val="none" w:sz="0" w:space="0" w:color="auto"/>
        <w:left w:val="none" w:sz="0" w:space="0" w:color="auto"/>
        <w:bottom w:val="none" w:sz="0" w:space="0" w:color="auto"/>
        <w:right w:val="none" w:sz="0" w:space="0" w:color="auto"/>
      </w:divBdr>
    </w:div>
    <w:div w:id="1648508651">
      <w:bodyDiv w:val="1"/>
      <w:marLeft w:val="0"/>
      <w:marRight w:val="0"/>
      <w:marTop w:val="0"/>
      <w:marBottom w:val="0"/>
      <w:divBdr>
        <w:top w:val="none" w:sz="0" w:space="0" w:color="auto"/>
        <w:left w:val="none" w:sz="0" w:space="0" w:color="auto"/>
        <w:bottom w:val="none" w:sz="0" w:space="0" w:color="auto"/>
        <w:right w:val="none" w:sz="0" w:space="0" w:color="auto"/>
      </w:divBdr>
    </w:div>
    <w:div w:id="1648779833">
      <w:bodyDiv w:val="1"/>
      <w:marLeft w:val="0"/>
      <w:marRight w:val="0"/>
      <w:marTop w:val="0"/>
      <w:marBottom w:val="0"/>
      <w:divBdr>
        <w:top w:val="none" w:sz="0" w:space="0" w:color="auto"/>
        <w:left w:val="none" w:sz="0" w:space="0" w:color="auto"/>
        <w:bottom w:val="none" w:sz="0" w:space="0" w:color="auto"/>
        <w:right w:val="none" w:sz="0" w:space="0" w:color="auto"/>
      </w:divBdr>
    </w:div>
    <w:div w:id="1648780053">
      <w:bodyDiv w:val="1"/>
      <w:marLeft w:val="0"/>
      <w:marRight w:val="0"/>
      <w:marTop w:val="0"/>
      <w:marBottom w:val="0"/>
      <w:divBdr>
        <w:top w:val="none" w:sz="0" w:space="0" w:color="auto"/>
        <w:left w:val="none" w:sz="0" w:space="0" w:color="auto"/>
        <w:bottom w:val="none" w:sz="0" w:space="0" w:color="auto"/>
        <w:right w:val="none" w:sz="0" w:space="0" w:color="auto"/>
      </w:divBdr>
    </w:div>
    <w:div w:id="1648820456">
      <w:bodyDiv w:val="1"/>
      <w:marLeft w:val="0"/>
      <w:marRight w:val="0"/>
      <w:marTop w:val="0"/>
      <w:marBottom w:val="0"/>
      <w:divBdr>
        <w:top w:val="none" w:sz="0" w:space="0" w:color="auto"/>
        <w:left w:val="none" w:sz="0" w:space="0" w:color="auto"/>
        <w:bottom w:val="none" w:sz="0" w:space="0" w:color="auto"/>
        <w:right w:val="none" w:sz="0" w:space="0" w:color="auto"/>
      </w:divBdr>
    </w:div>
    <w:div w:id="1648825870">
      <w:bodyDiv w:val="1"/>
      <w:marLeft w:val="0"/>
      <w:marRight w:val="0"/>
      <w:marTop w:val="0"/>
      <w:marBottom w:val="0"/>
      <w:divBdr>
        <w:top w:val="none" w:sz="0" w:space="0" w:color="auto"/>
        <w:left w:val="none" w:sz="0" w:space="0" w:color="auto"/>
        <w:bottom w:val="none" w:sz="0" w:space="0" w:color="auto"/>
        <w:right w:val="none" w:sz="0" w:space="0" w:color="auto"/>
      </w:divBdr>
    </w:div>
    <w:div w:id="1648826234">
      <w:bodyDiv w:val="1"/>
      <w:marLeft w:val="0"/>
      <w:marRight w:val="0"/>
      <w:marTop w:val="0"/>
      <w:marBottom w:val="0"/>
      <w:divBdr>
        <w:top w:val="none" w:sz="0" w:space="0" w:color="auto"/>
        <w:left w:val="none" w:sz="0" w:space="0" w:color="auto"/>
        <w:bottom w:val="none" w:sz="0" w:space="0" w:color="auto"/>
        <w:right w:val="none" w:sz="0" w:space="0" w:color="auto"/>
      </w:divBdr>
    </w:div>
    <w:div w:id="1649088206">
      <w:bodyDiv w:val="1"/>
      <w:marLeft w:val="0"/>
      <w:marRight w:val="0"/>
      <w:marTop w:val="0"/>
      <w:marBottom w:val="0"/>
      <w:divBdr>
        <w:top w:val="none" w:sz="0" w:space="0" w:color="auto"/>
        <w:left w:val="none" w:sz="0" w:space="0" w:color="auto"/>
        <w:bottom w:val="none" w:sz="0" w:space="0" w:color="auto"/>
        <w:right w:val="none" w:sz="0" w:space="0" w:color="auto"/>
      </w:divBdr>
    </w:div>
    <w:div w:id="1649243945">
      <w:bodyDiv w:val="1"/>
      <w:marLeft w:val="0"/>
      <w:marRight w:val="0"/>
      <w:marTop w:val="0"/>
      <w:marBottom w:val="0"/>
      <w:divBdr>
        <w:top w:val="none" w:sz="0" w:space="0" w:color="auto"/>
        <w:left w:val="none" w:sz="0" w:space="0" w:color="auto"/>
        <w:bottom w:val="none" w:sz="0" w:space="0" w:color="auto"/>
        <w:right w:val="none" w:sz="0" w:space="0" w:color="auto"/>
      </w:divBdr>
    </w:div>
    <w:div w:id="1649362076">
      <w:bodyDiv w:val="1"/>
      <w:marLeft w:val="0"/>
      <w:marRight w:val="0"/>
      <w:marTop w:val="0"/>
      <w:marBottom w:val="0"/>
      <w:divBdr>
        <w:top w:val="none" w:sz="0" w:space="0" w:color="auto"/>
        <w:left w:val="none" w:sz="0" w:space="0" w:color="auto"/>
        <w:bottom w:val="none" w:sz="0" w:space="0" w:color="auto"/>
        <w:right w:val="none" w:sz="0" w:space="0" w:color="auto"/>
      </w:divBdr>
    </w:div>
    <w:div w:id="1649479165">
      <w:bodyDiv w:val="1"/>
      <w:marLeft w:val="0"/>
      <w:marRight w:val="0"/>
      <w:marTop w:val="0"/>
      <w:marBottom w:val="0"/>
      <w:divBdr>
        <w:top w:val="none" w:sz="0" w:space="0" w:color="auto"/>
        <w:left w:val="none" w:sz="0" w:space="0" w:color="auto"/>
        <w:bottom w:val="none" w:sz="0" w:space="0" w:color="auto"/>
        <w:right w:val="none" w:sz="0" w:space="0" w:color="auto"/>
      </w:divBdr>
    </w:div>
    <w:div w:id="1649631467">
      <w:bodyDiv w:val="1"/>
      <w:marLeft w:val="0"/>
      <w:marRight w:val="0"/>
      <w:marTop w:val="0"/>
      <w:marBottom w:val="0"/>
      <w:divBdr>
        <w:top w:val="none" w:sz="0" w:space="0" w:color="auto"/>
        <w:left w:val="none" w:sz="0" w:space="0" w:color="auto"/>
        <w:bottom w:val="none" w:sz="0" w:space="0" w:color="auto"/>
        <w:right w:val="none" w:sz="0" w:space="0" w:color="auto"/>
      </w:divBdr>
    </w:div>
    <w:div w:id="1649673317">
      <w:bodyDiv w:val="1"/>
      <w:marLeft w:val="0"/>
      <w:marRight w:val="0"/>
      <w:marTop w:val="0"/>
      <w:marBottom w:val="0"/>
      <w:divBdr>
        <w:top w:val="none" w:sz="0" w:space="0" w:color="auto"/>
        <w:left w:val="none" w:sz="0" w:space="0" w:color="auto"/>
        <w:bottom w:val="none" w:sz="0" w:space="0" w:color="auto"/>
        <w:right w:val="none" w:sz="0" w:space="0" w:color="auto"/>
      </w:divBdr>
    </w:div>
    <w:div w:id="1649704674">
      <w:bodyDiv w:val="1"/>
      <w:marLeft w:val="0"/>
      <w:marRight w:val="0"/>
      <w:marTop w:val="0"/>
      <w:marBottom w:val="0"/>
      <w:divBdr>
        <w:top w:val="none" w:sz="0" w:space="0" w:color="auto"/>
        <w:left w:val="none" w:sz="0" w:space="0" w:color="auto"/>
        <w:bottom w:val="none" w:sz="0" w:space="0" w:color="auto"/>
        <w:right w:val="none" w:sz="0" w:space="0" w:color="auto"/>
      </w:divBdr>
    </w:div>
    <w:div w:id="1649743774">
      <w:bodyDiv w:val="1"/>
      <w:marLeft w:val="0"/>
      <w:marRight w:val="0"/>
      <w:marTop w:val="0"/>
      <w:marBottom w:val="0"/>
      <w:divBdr>
        <w:top w:val="none" w:sz="0" w:space="0" w:color="auto"/>
        <w:left w:val="none" w:sz="0" w:space="0" w:color="auto"/>
        <w:bottom w:val="none" w:sz="0" w:space="0" w:color="auto"/>
        <w:right w:val="none" w:sz="0" w:space="0" w:color="auto"/>
      </w:divBdr>
    </w:div>
    <w:div w:id="1649818514">
      <w:bodyDiv w:val="1"/>
      <w:marLeft w:val="0"/>
      <w:marRight w:val="0"/>
      <w:marTop w:val="0"/>
      <w:marBottom w:val="0"/>
      <w:divBdr>
        <w:top w:val="none" w:sz="0" w:space="0" w:color="auto"/>
        <w:left w:val="none" w:sz="0" w:space="0" w:color="auto"/>
        <w:bottom w:val="none" w:sz="0" w:space="0" w:color="auto"/>
        <w:right w:val="none" w:sz="0" w:space="0" w:color="auto"/>
      </w:divBdr>
    </w:div>
    <w:div w:id="1650161702">
      <w:bodyDiv w:val="1"/>
      <w:marLeft w:val="0"/>
      <w:marRight w:val="0"/>
      <w:marTop w:val="0"/>
      <w:marBottom w:val="0"/>
      <w:divBdr>
        <w:top w:val="none" w:sz="0" w:space="0" w:color="auto"/>
        <w:left w:val="none" w:sz="0" w:space="0" w:color="auto"/>
        <w:bottom w:val="none" w:sz="0" w:space="0" w:color="auto"/>
        <w:right w:val="none" w:sz="0" w:space="0" w:color="auto"/>
      </w:divBdr>
    </w:div>
    <w:div w:id="1650211532">
      <w:bodyDiv w:val="1"/>
      <w:marLeft w:val="0"/>
      <w:marRight w:val="0"/>
      <w:marTop w:val="0"/>
      <w:marBottom w:val="0"/>
      <w:divBdr>
        <w:top w:val="none" w:sz="0" w:space="0" w:color="auto"/>
        <w:left w:val="none" w:sz="0" w:space="0" w:color="auto"/>
        <w:bottom w:val="none" w:sz="0" w:space="0" w:color="auto"/>
        <w:right w:val="none" w:sz="0" w:space="0" w:color="auto"/>
      </w:divBdr>
    </w:div>
    <w:div w:id="1650282144">
      <w:bodyDiv w:val="1"/>
      <w:marLeft w:val="0"/>
      <w:marRight w:val="0"/>
      <w:marTop w:val="0"/>
      <w:marBottom w:val="0"/>
      <w:divBdr>
        <w:top w:val="none" w:sz="0" w:space="0" w:color="auto"/>
        <w:left w:val="none" w:sz="0" w:space="0" w:color="auto"/>
        <w:bottom w:val="none" w:sz="0" w:space="0" w:color="auto"/>
        <w:right w:val="none" w:sz="0" w:space="0" w:color="auto"/>
      </w:divBdr>
    </w:div>
    <w:div w:id="1650402620">
      <w:bodyDiv w:val="1"/>
      <w:marLeft w:val="0"/>
      <w:marRight w:val="0"/>
      <w:marTop w:val="0"/>
      <w:marBottom w:val="0"/>
      <w:divBdr>
        <w:top w:val="none" w:sz="0" w:space="0" w:color="auto"/>
        <w:left w:val="none" w:sz="0" w:space="0" w:color="auto"/>
        <w:bottom w:val="none" w:sz="0" w:space="0" w:color="auto"/>
        <w:right w:val="none" w:sz="0" w:space="0" w:color="auto"/>
      </w:divBdr>
    </w:div>
    <w:div w:id="1650548122">
      <w:bodyDiv w:val="1"/>
      <w:marLeft w:val="0"/>
      <w:marRight w:val="0"/>
      <w:marTop w:val="0"/>
      <w:marBottom w:val="0"/>
      <w:divBdr>
        <w:top w:val="none" w:sz="0" w:space="0" w:color="auto"/>
        <w:left w:val="none" w:sz="0" w:space="0" w:color="auto"/>
        <w:bottom w:val="none" w:sz="0" w:space="0" w:color="auto"/>
        <w:right w:val="none" w:sz="0" w:space="0" w:color="auto"/>
      </w:divBdr>
    </w:div>
    <w:div w:id="1650553437">
      <w:bodyDiv w:val="1"/>
      <w:marLeft w:val="0"/>
      <w:marRight w:val="0"/>
      <w:marTop w:val="0"/>
      <w:marBottom w:val="0"/>
      <w:divBdr>
        <w:top w:val="none" w:sz="0" w:space="0" w:color="auto"/>
        <w:left w:val="none" w:sz="0" w:space="0" w:color="auto"/>
        <w:bottom w:val="none" w:sz="0" w:space="0" w:color="auto"/>
        <w:right w:val="none" w:sz="0" w:space="0" w:color="auto"/>
      </w:divBdr>
    </w:div>
    <w:div w:id="1650591926">
      <w:bodyDiv w:val="1"/>
      <w:marLeft w:val="0"/>
      <w:marRight w:val="0"/>
      <w:marTop w:val="0"/>
      <w:marBottom w:val="0"/>
      <w:divBdr>
        <w:top w:val="none" w:sz="0" w:space="0" w:color="auto"/>
        <w:left w:val="none" w:sz="0" w:space="0" w:color="auto"/>
        <w:bottom w:val="none" w:sz="0" w:space="0" w:color="auto"/>
        <w:right w:val="none" w:sz="0" w:space="0" w:color="auto"/>
      </w:divBdr>
    </w:div>
    <w:div w:id="1650592337">
      <w:bodyDiv w:val="1"/>
      <w:marLeft w:val="0"/>
      <w:marRight w:val="0"/>
      <w:marTop w:val="0"/>
      <w:marBottom w:val="0"/>
      <w:divBdr>
        <w:top w:val="none" w:sz="0" w:space="0" w:color="auto"/>
        <w:left w:val="none" w:sz="0" w:space="0" w:color="auto"/>
        <w:bottom w:val="none" w:sz="0" w:space="0" w:color="auto"/>
        <w:right w:val="none" w:sz="0" w:space="0" w:color="auto"/>
      </w:divBdr>
    </w:div>
    <w:div w:id="1650597084">
      <w:bodyDiv w:val="1"/>
      <w:marLeft w:val="0"/>
      <w:marRight w:val="0"/>
      <w:marTop w:val="0"/>
      <w:marBottom w:val="0"/>
      <w:divBdr>
        <w:top w:val="none" w:sz="0" w:space="0" w:color="auto"/>
        <w:left w:val="none" w:sz="0" w:space="0" w:color="auto"/>
        <w:bottom w:val="none" w:sz="0" w:space="0" w:color="auto"/>
        <w:right w:val="none" w:sz="0" w:space="0" w:color="auto"/>
      </w:divBdr>
    </w:div>
    <w:div w:id="1650598592">
      <w:bodyDiv w:val="1"/>
      <w:marLeft w:val="0"/>
      <w:marRight w:val="0"/>
      <w:marTop w:val="0"/>
      <w:marBottom w:val="0"/>
      <w:divBdr>
        <w:top w:val="none" w:sz="0" w:space="0" w:color="auto"/>
        <w:left w:val="none" w:sz="0" w:space="0" w:color="auto"/>
        <w:bottom w:val="none" w:sz="0" w:space="0" w:color="auto"/>
        <w:right w:val="none" w:sz="0" w:space="0" w:color="auto"/>
      </w:divBdr>
    </w:div>
    <w:div w:id="1650672255">
      <w:bodyDiv w:val="1"/>
      <w:marLeft w:val="0"/>
      <w:marRight w:val="0"/>
      <w:marTop w:val="0"/>
      <w:marBottom w:val="0"/>
      <w:divBdr>
        <w:top w:val="none" w:sz="0" w:space="0" w:color="auto"/>
        <w:left w:val="none" w:sz="0" w:space="0" w:color="auto"/>
        <w:bottom w:val="none" w:sz="0" w:space="0" w:color="auto"/>
        <w:right w:val="none" w:sz="0" w:space="0" w:color="auto"/>
      </w:divBdr>
    </w:div>
    <w:div w:id="1650818082">
      <w:bodyDiv w:val="1"/>
      <w:marLeft w:val="0"/>
      <w:marRight w:val="0"/>
      <w:marTop w:val="0"/>
      <w:marBottom w:val="0"/>
      <w:divBdr>
        <w:top w:val="none" w:sz="0" w:space="0" w:color="auto"/>
        <w:left w:val="none" w:sz="0" w:space="0" w:color="auto"/>
        <w:bottom w:val="none" w:sz="0" w:space="0" w:color="auto"/>
        <w:right w:val="none" w:sz="0" w:space="0" w:color="auto"/>
      </w:divBdr>
    </w:div>
    <w:div w:id="1650867061">
      <w:bodyDiv w:val="1"/>
      <w:marLeft w:val="0"/>
      <w:marRight w:val="0"/>
      <w:marTop w:val="0"/>
      <w:marBottom w:val="0"/>
      <w:divBdr>
        <w:top w:val="none" w:sz="0" w:space="0" w:color="auto"/>
        <w:left w:val="none" w:sz="0" w:space="0" w:color="auto"/>
        <w:bottom w:val="none" w:sz="0" w:space="0" w:color="auto"/>
        <w:right w:val="none" w:sz="0" w:space="0" w:color="auto"/>
      </w:divBdr>
    </w:div>
    <w:div w:id="1650868635">
      <w:bodyDiv w:val="1"/>
      <w:marLeft w:val="0"/>
      <w:marRight w:val="0"/>
      <w:marTop w:val="0"/>
      <w:marBottom w:val="0"/>
      <w:divBdr>
        <w:top w:val="none" w:sz="0" w:space="0" w:color="auto"/>
        <w:left w:val="none" w:sz="0" w:space="0" w:color="auto"/>
        <w:bottom w:val="none" w:sz="0" w:space="0" w:color="auto"/>
        <w:right w:val="none" w:sz="0" w:space="0" w:color="auto"/>
      </w:divBdr>
    </w:div>
    <w:div w:id="1650983943">
      <w:bodyDiv w:val="1"/>
      <w:marLeft w:val="0"/>
      <w:marRight w:val="0"/>
      <w:marTop w:val="0"/>
      <w:marBottom w:val="0"/>
      <w:divBdr>
        <w:top w:val="none" w:sz="0" w:space="0" w:color="auto"/>
        <w:left w:val="none" w:sz="0" w:space="0" w:color="auto"/>
        <w:bottom w:val="none" w:sz="0" w:space="0" w:color="auto"/>
        <w:right w:val="none" w:sz="0" w:space="0" w:color="auto"/>
      </w:divBdr>
    </w:div>
    <w:div w:id="1651013958">
      <w:bodyDiv w:val="1"/>
      <w:marLeft w:val="0"/>
      <w:marRight w:val="0"/>
      <w:marTop w:val="0"/>
      <w:marBottom w:val="0"/>
      <w:divBdr>
        <w:top w:val="none" w:sz="0" w:space="0" w:color="auto"/>
        <w:left w:val="none" w:sz="0" w:space="0" w:color="auto"/>
        <w:bottom w:val="none" w:sz="0" w:space="0" w:color="auto"/>
        <w:right w:val="none" w:sz="0" w:space="0" w:color="auto"/>
      </w:divBdr>
    </w:div>
    <w:div w:id="1651132510">
      <w:bodyDiv w:val="1"/>
      <w:marLeft w:val="0"/>
      <w:marRight w:val="0"/>
      <w:marTop w:val="0"/>
      <w:marBottom w:val="0"/>
      <w:divBdr>
        <w:top w:val="none" w:sz="0" w:space="0" w:color="auto"/>
        <w:left w:val="none" w:sz="0" w:space="0" w:color="auto"/>
        <w:bottom w:val="none" w:sz="0" w:space="0" w:color="auto"/>
        <w:right w:val="none" w:sz="0" w:space="0" w:color="auto"/>
      </w:divBdr>
    </w:div>
    <w:div w:id="1651322266">
      <w:bodyDiv w:val="1"/>
      <w:marLeft w:val="0"/>
      <w:marRight w:val="0"/>
      <w:marTop w:val="0"/>
      <w:marBottom w:val="0"/>
      <w:divBdr>
        <w:top w:val="none" w:sz="0" w:space="0" w:color="auto"/>
        <w:left w:val="none" w:sz="0" w:space="0" w:color="auto"/>
        <w:bottom w:val="none" w:sz="0" w:space="0" w:color="auto"/>
        <w:right w:val="none" w:sz="0" w:space="0" w:color="auto"/>
      </w:divBdr>
    </w:div>
    <w:div w:id="1651329346">
      <w:bodyDiv w:val="1"/>
      <w:marLeft w:val="0"/>
      <w:marRight w:val="0"/>
      <w:marTop w:val="0"/>
      <w:marBottom w:val="0"/>
      <w:divBdr>
        <w:top w:val="none" w:sz="0" w:space="0" w:color="auto"/>
        <w:left w:val="none" w:sz="0" w:space="0" w:color="auto"/>
        <w:bottom w:val="none" w:sz="0" w:space="0" w:color="auto"/>
        <w:right w:val="none" w:sz="0" w:space="0" w:color="auto"/>
      </w:divBdr>
    </w:div>
    <w:div w:id="1651976381">
      <w:bodyDiv w:val="1"/>
      <w:marLeft w:val="0"/>
      <w:marRight w:val="0"/>
      <w:marTop w:val="0"/>
      <w:marBottom w:val="0"/>
      <w:divBdr>
        <w:top w:val="none" w:sz="0" w:space="0" w:color="auto"/>
        <w:left w:val="none" w:sz="0" w:space="0" w:color="auto"/>
        <w:bottom w:val="none" w:sz="0" w:space="0" w:color="auto"/>
        <w:right w:val="none" w:sz="0" w:space="0" w:color="auto"/>
      </w:divBdr>
    </w:div>
    <w:div w:id="1652248330">
      <w:bodyDiv w:val="1"/>
      <w:marLeft w:val="0"/>
      <w:marRight w:val="0"/>
      <w:marTop w:val="0"/>
      <w:marBottom w:val="0"/>
      <w:divBdr>
        <w:top w:val="none" w:sz="0" w:space="0" w:color="auto"/>
        <w:left w:val="none" w:sz="0" w:space="0" w:color="auto"/>
        <w:bottom w:val="none" w:sz="0" w:space="0" w:color="auto"/>
        <w:right w:val="none" w:sz="0" w:space="0" w:color="auto"/>
      </w:divBdr>
    </w:div>
    <w:div w:id="1652371336">
      <w:bodyDiv w:val="1"/>
      <w:marLeft w:val="0"/>
      <w:marRight w:val="0"/>
      <w:marTop w:val="0"/>
      <w:marBottom w:val="0"/>
      <w:divBdr>
        <w:top w:val="none" w:sz="0" w:space="0" w:color="auto"/>
        <w:left w:val="none" w:sz="0" w:space="0" w:color="auto"/>
        <w:bottom w:val="none" w:sz="0" w:space="0" w:color="auto"/>
        <w:right w:val="none" w:sz="0" w:space="0" w:color="auto"/>
      </w:divBdr>
    </w:div>
    <w:div w:id="1652517258">
      <w:bodyDiv w:val="1"/>
      <w:marLeft w:val="0"/>
      <w:marRight w:val="0"/>
      <w:marTop w:val="0"/>
      <w:marBottom w:val="0"/>
      <w:divBdr>
        <w:top w:val="none" w:sz="0" w:space="0" w:color="auto"/>
        <w:left w:val="none" w:sz="0" w:space="0" w:color="auto"/>
        <w:bottom w:val="none" w:sz="0" w:space="0" w:color="auto"/>
        <w:right w:val="none" w:sz="0" w:space="0" w:color="auto"/>
      </w:divBdr>
    </w:div>
    <w:div w:id="1652635336">
      <w:bodyDiv w:val="1"/>
      <w:marLeft w:val="0"/>
      <w:marRight w:val="0"/>
      <w:marTop w:val="0"/>
      <w:marBottom w:val="0"/>
      <w:divBdr>
        <w:top w:val="none" w:sz="0" w:space="0" w:color="auto"/>
        <w:left w:val="none" w:sz="0" w:space="0" w:color="auto"/>
        <w:bottom w:val="none" w:sz="0" w:space="0" w:color="auto"/>
        <w:right w:val="none" w:sz="0" w:space="0" w:color="auto"/>
      </w:divBdr>
    </w:div>
    <w:div w:id="1652637485">
      <w:bodyDiv w:val="1"/>
      <w:marLeft w:val="0"/>
      <w:marRight w:val="0"/>
      <w:marTop w:val="0"/>
      <w:marBottom w:val="0"/>
      <w:divBdr>
        <w:top w:val="none" w:sz="0" w:space="0" w:color="auto"/>
        <w:left w:val="none" w:sz="0" w:space="0" w:color="auto"/>
        <w:bottom w:val="none" w:sz="0" w:space="0" w:color="auto"/>
        <w:right w:val="none" w:sz="0" w:space="0" w:color="auto"/>
      </w:divBdr>
    </w:div>
    <w:div w:id="1652641188">
      <w:bodyDiv w:val="1"/>
      <w:marLeft w:val="0"/>
      <w:marRight w:val="0"/>
      <w:marTop w:val="0"/>
      <w:marBottom w:val="0"/>
      <w:divBdr>
        <w:top w:val="none" w:sz="0" w:space="0" w:color="auto"/>
        <w:left w:val="none" w:sz="0" w:space="0" w:color="auto"/>
        <w:bottom w:val="none" w:sz="0" w:space="0" w:color="auto"/>
        <w:right w:val="none" w:sz="0" w:space="0" w:color="auto"/>
      </w:divBdr>
    </w:div>
    <w:div w:id="1652712390">
      <w:bodyDiv w:val="1"/>
      <w:marLeft w:val="0"/>
      <w:marRight w:val="0"/>
      <w:marTop w:val="0"/>
      <w:marBottom w:val="0"/>
      <w:divBdr>
        <w:top w:val="none" w:sz="0" w:space="0" w:color="auto"/>
        <w:left w:val="none" w:sz="0" w:space="0" w:color="auto"/>
        <w:bottom w:val="none" w:sz="0" w:space="0" w:color="auto"/>
        <w:right w:val="none" w:sz="0" w:space="0" w:color="auto"/>
      </w:divBdr>
    </w:div>
    <w:div w:id="1652716083">
      <w:bodyDiv w:val="1"/>
      <w:marLeft w:val="0"/>
      <w:marRight w:val="0"/>
      <w:marTop w:val="0"/>
      <w:marBottom w:val="0"/>
      <w:divBdr>
        <w:top w:val="none" w:sz="0" w:space="0" w:color="auto"/>
        <w:left w:val="none" w:sz="0" w:space="0" w:color="auto"/>
        <w:bottom w:val="none" w:sz="0" w:space="0" w:color="auto"/>
        <w:right w:val="none" w:sz="0" w:space="0" w:color="auto"/>
      </w:divBdr>
    </w:div>
    <w:div w:id="1652902247">
      <w:bodyDiv w:val="1"/>
      <w:marLeft w:val="0"/>
      <w:marRight w:val="0"/>
      <w:marTop w:val="0"/>
      <w:marBottom w:val="0"/>
      <w:divBdr>
        <w:top w:val="none" w:sz="0" w:space="0" w:color="auto"/>
        <w:left w:val="none" w:sz="0" w:space="0" w:color="auto"/>
        <w:bottom w:val="none" w:sz="0" w:space="0" w:color="auto"/>
        <w:right w:val="none" w:sz="0" w:space="0" w:color="auto"/>
      </w:divBdr>
    </w:div>
    <w:div w:id="1652975539">
      <w:bodyDiv w:val="1"/>
      <w:marLeft w:val="0"/>
      <w:marRight w:val="0"/>
      <w:marTop w:val="0"/>
      <w:marBottom w:val="0"/>
      <w:divBdr>
        <w:top w:val="none" w:sz="0" w:space="0" w:color="auto"/>
        <w:left w:val="none" w:sz="0" w:space="0" w:color="auto"/>
        <w:bottom w:val="none" w:sz="0" w:space="0" w:color="auto"/>
        <w:right w:val="none" w:sz="0" w:space="0" w:color="auto"/>
      </w:divBdr>
    </w:div>
    <w:div w:id="1653027731">
      <w:bodyDiv w:val="1"/>
      <w:marLeft w:val="0"/>
      <w:marRight w:val="0"/>
      <w:marTop w:val="0"/>
      <w:marBottom w:val="0"/>
      <w:divBdr>
        <w:top w:val="none" w:sz="0" w:space="0" w:color="auto"/>
        <w:left w:val="none" w:sz="0" w:space="0" w:color="auto"/>
        <w:bottom w:val="none" w:sz="0" w:space="0" w:color="auto"/>
        <w:right w:val="none" w:sz="0" w:space="0" w:color="auto"/>
      </w:divBdr>
    </w:div>
    <w:div w:id="1653294921">
      <w:bodyDiv w:val="1"/>
      <w:marLeft w:val="0"/>
      <w:marRight w:val="0"/>
      <w:marTop w:val="0"/>
      <w:marBottom w:val="0"/>
      <w:divBdr>
        <w:top w:val="none" w:sz="0" w:space="0" w:color="auto"/>
        <w:left w:val="none" w:sz="0" w:space="0" w:color="auto"/>
        <w:bottom w:val="none" w:sz="0" w:space="0" w:color="auto"/>
        <w:right w:val="none" w:sz="0" w:space="0" w:color="auto"/>
      </w:divBdr>
    </w:div>
    <w:div w:id="1654024127">
      <w:bodyDiv w:val="1"/>
      <w:marLeft w:val="0"/>
      <w:marRight w:val="0"/>
      <w:marTop w:val="0"/>
      <w:marBottom w:val="0"/>
      <w:divBdr>
        <w:top w:val="none" w:sz="0" w:space="0" w:color="auto"/>
        <w:left w:val="none" w:sz="0" w:space="0" w:color="auto"/>
        <w:bottom w:val="none" w:sz="0" w:space="0" w:color="auto"/>
        <w:right w:val="none" w:sz="0" w:space="0" w:color="auto"/>
      </w:divBdr>
    </w:div>
    <w:div w:id="1654065260">
      <w:bodyDiv w:val="1"/>
      <w:marLeft w:val="0"/>
      <w:marRight w:val="0"/>
      <w:marTop w:val="0"/>
      <w:marBottom w:val="0"/>
      <w:divBdr>
        <w:top w:val="none" w:sz="0" w:space="0" w:color="auto"/>
        <w:left w:val="none" w:sz="0" w:space="0" w:color="auto"/>
        <w:bottom w:val="none" w:sz="0" w:space="0" w:color="auto"/>
        <w:right w:val="none" w:sz="0" w:space="0" w:color="auto"/>
      </w:divBdr>
    </w:div>
    <w:div w:id="1654135273">
      <w:bodyDiv w:val="1"/>
      <w:marLeft w:val="0"/>
      <w:marRight w:val="0"/>
      <w:marTop w:val="0"/>
      <w:marBottom w:val="0"/>
      <w:divBdr>
        <w:top w:val="none" w:sz="0" w:space="0" w:color="auto"/>
        <w:left w:val="none" w:sz="0" w:space="0" w:color="auto"/>
        <w:bottom w:val="none" w:sz="0" w:space="0" w:color="auto"/>
        <w:right w:val="none" w:sz="0" w:space="0" w:color="auto"/>
      </w:divBdr>
    </w:div>
    <w:div w:id="1654218106">
      <w:bodyDiv w:val="1"/>
      <w:marLeft w:val="0"/>
      <w:marRight w:val="0"/>
      <w:marTop w:val="0"/>
      <w:marBottom w:val="0"/>
      <w:divBdr>
        <w:top w:val="none" w:sz="0" w:space="0" w:color="auto"/>
        <w:left w:val="none" w:sz="0" w:space="0" w:color="auto"/>
        <w:bottom w:val="none" w:sz="0" w:space="0" w:color="auto"/>
        <w:right w:val="none" w:sz="0" w:space="0" w:color="auto"/>
      </w:divBdr>
    </w:div>
    <w:div w:id="1654406673">
      <w:bodyDiv w:val="1"/>
      <w:marLeft w:val="0"/>
      <w:marRight w:val="0"/>
      <w:marTop w:val="0"/>
      <w:marBottom w:val="0"/>
      <w:divBdr>
        <w:top w:val="none" w:sz="0" w:space="0" w:color="auto"/>
        <w:left w:val="none" w:sz="0" w:space="0" w:color="auto"/>
        <w:bottom w:val="none" w:sz="0" w:space="0" w:color="auto"/>
        <w:right w:val="none" w:sz="0" w:space="0" w:color="auto"/>
      </w:divBdr>
    </w:div>
    <w:div w:id="1654411928">
      <w:bodyDiv w:val="1"/>
      <w:marLeft w:val="0"/>
      <w:marRight w:val="0"/>
      <w:marTop w:val="0"/>
      <w:marBottom w:val="0"/>
      <w:divBdr>
        <w:top w:val="none" w:sz="0" w:space="0" w:color="auto"/>
        <w:left w:val="none" w:sz="0" w:space="0" w:color="auto"/>
        <w:bottom w:val="none" w:sz="0" w:space="0" w:color="auto"/>
        <w:right w:val="none" w:sz="0" w:space="0" w:color="auto"/>
      </w:divBdr>
    </w:div>
    <w:div w:id="1654487388">
      <w:bodyDiv w:val="1"/>
      <w:marLeft w:val="0"/>
      <w:marRight w:val="0"/>
      <w:marTop w:val="0"/>
      <w:marBottom w:val="0"/>
      <w:divBdr>
        <w:top w:val="none" w:sz="0" w:space="0" w:color="auto"/>
        <w:left w:val="none" w:sz="0" w:space="0" w:color="auto"/>
        <w:bottom w:val="none" w:sz="0" w:space="0" w:color="auto"/>
        <w:right w:val="none" w:sz="0" w:space="0" w:color="auto"/>
      </w:divBdr>
    </w:div>
    <w:div w:id="1654750100">
      <w:bodyDiv w:val="1"/>
      <w:marLeft w:val="0"/>
      <w:marRight w:val="0"/>
      <w:marTop w:val="0"/>
      <w:marBottom w:val="0"/>
      <w:divBdr>
        <w:top w:val="none" w:sz="0" w:space="0" w:color="auto"/>
        <w:left w:val="none" w:sz="0" w:space="0" w:color="auto"/>
        <w:bottom w:val="none" w:sz="0" w:space="0" w:color="auto"/>
        <w:right w:val="none" w:sz="0" w:space="0" w:color="auto"/>
      </w:divBdr>
    </w:div>
    <w:div w:id="1654871423">
      <w:bodyDiv w:val="1"/>
      <w:marLeft w:val="0"/>
      <w:marRight w:val="0"/>
      <w:marTop w:val="0"/>
      <w:marBottom w:val="0"/>
      <w:divBdr>
        <w:top w:val="none" w:sz="0" w:space="0" w:color="auto"/>
        <w:left w:val="none" w:sz="0" w:space="0" w:color="auto"/>
        <w:bottom w:val="none" w:sz="0" w:space="0" w:color="auto"/>
        <w:right w:val="none" w:sz="0" w:space="0" w:color="auto"/>
      </w:divBdr>
    </w:div>
    <w:div w:id="1654917555">
      <w:bodyDiv w:val="1"/>
      <w:marLeft w:val="0"/>
      <w:marRight w:val="0"/>
      <w:marTop w:val="0"/>
      <w:marBottom w:val="0"/>
      <w:divBdr>
        <w:top w:val="none" w:sz="0" w:space="0" w:color="auto"/>
        <w:left w:val="none" w:sz="0" w:space="0" w:color="auto"/>
        <w:bottom w:val="none" w:sz="0" w:space="0" w:color="auto"/>
        <w:right w:val="none" w:sz="0" w:space="0" w:color="auto"/>
      </w:divBdr>
    </w:div>
    <w:div w:id="1654946309">
      <w:bodyDiv w:val="1"/>
      <w:marLeft w:val="0"/>
      <w:marRight w:val="0"/>
      <w:marTop w:val="0"/>
      <w:marBottom w:val="0"/>
      <w:divBdr>
        <w:top w:val="none" w:sz="0" w:space="0" w:color="auto"/>
        <w:left w:val="none" w:sz="0" w:space="0" w:color="auto"/>
        <w:bottom w:val="none" w:sz="0" w:space="0" w:color="auto"/>
        <w:right w:val="none" w:sz="0" w:space="0" w:color="auto"/>
      </w:divBdr>
    </w:div>
    <w:div w:id="1654985325">
      <w:bodyDiv w:val="1"/>
      <w:marLeft w:val="0"/>
      <w:marRight w:val="0"/>
      <w:marTop w:val="0"/>
      <w:marBottom w:val="0"/>
      <w:divBdr>
        <w:top w:val="none" w:sz="0" w:space="0" w:color="auto"/>
        <w:left w:val="none" w:sz="0" w:space="0" w:color="auto"/>
        <w:bottom w:val="none" w:sz="0" w:space="0" w:color="auto"/>
        <w:right w:val="none" w:sz="0" w:space="0" w:color="auto"/>
      </w:divBdr>
    </w:div>
    <w:div w:id="1654989409">
      <w:bodyDiv w:val="1"/>
      <w:marLeft w:val="0"/>
      <w:marRight w:val="0"/>
      <w:marTop w:val="0"/>
      <w:marBottom w:val="0"/>
      <w:divBdr>
        <w:top w:val="none" w:sz="0" w:space="0" w:color="auto"/>
        <w:left w:val="none" w:sz="0" w:space="0" w:color="auto"/>
        <w:bottom w:val="none" w:sz="0" w:space="0" w:color="auto"/>
        <w:right w:val="none" w:sz="0" w:space="0" w:color="auto"/>
      </w:divBdr>
    </w:div>
    <w:div w:id="1655060037">
      <w:bodyDiv w:val="1"/>
      <w:marLeft w:val="0"/>
      <w:marRight w:val="0"/>
      <w:marTop w:val="0"/>
      <w:marBottom w:val="0"/>
      <w:divBdr>
        <w:top w:val="none" w:sz="0" w:space="0" w:color="auto"/>
        <w:left w:val="none" w:sz="0" w:space="0" w:color="auto"/>
        <w:bottom w:val="none" w:sz="0" w:space="0" w:color="auto"/>
        <w:right w:val="none" w:sz="0" w:space="0" w:color="auto"/>
      </w:divBdr>
    </w:div>
    <w:div w:id="1655134928">
      <w:bodyDiv w:val="1"/>
      <w:marLeft w:val="0"/>
      <w:marRight w:val="0"/>
      <w:marTop w:val="0"/>
      <w:marBottom w:val="0"/>
      <w:divBdr>
        <w:top w:val="none" w:sz="0" w:space="0" w:color="auto"/>
        <w:left w:val="none" w:sz="0" w:space="0" w:color="auto"/>
        <w:bottom w:val="none" w:sz="0" w:space="0" w:color="auto"/>
        <w:right w:val="none" w:sz="0" w:space="0" w:color="auto"/>
      </w:divBdr>
    </w:div>
    <w:div w:id="1655135601">
      <w:bodyDiv w:val="1"/>
      <w:marLeft w:val="0"/>
      <w:marRight w:val="0"/>
      <w:marTop w:val="0"/>
      <w:marBottom w:val="0"/>
      <w:divBdr>
        <w:top w:val="none" w:sz="0" w:space="0" w:color="auto"/>
        <w:left w:val="none" w:sz="0" w:space="0" w:color="auto"/>
        <w:bottom w:val="none" w:sz="0" w:space="0" w:color="auto"/>
        <w:right w:val="none" w:sz="0" w:space="0" w:color="auto"/>
      </w:divBdr>
    </w:div>
    <w:div w:id="1655336929">
      <w:bodyDiv w:val="1"/>
      <w:marLeft w:val="0"/>
      <w:marRight w:val="0"/>
      <w:marTop w:val="0"/>
      <w:marBottom w:val="0"/>
      <w:divBdr>
        <w:top w:val="none" w:sz="0" w:space="0" w:color="auto"/>
        <w:left w:val="none" w:sz="0" w:space="0" w:color="auto"/>
        <w:bottom w:val="none" w:sz="0" w:space="0" w:color="auto"/>
        <w:right w:val="none" w:sz="0" w:space="0" w:color="auto"/>
      </w:divBdr>
    </w:div>
    <w:div w:id="1655448695">
      <w:bodyDiv w:val="1"/>
      <w:marLeft w:val="0"/>
      <w:marRight w:val="0"/>
      <w:marTop w:val="0"/>
      <w:marBottom w:val="0"/>
      <w:divBdr>
        <w:top w:val="none" w:sz="0" w:space="0" w:color="auto"/>
        <w:left w:val="none" w:sz="0" w:space="0" w:color="auto"/>
        <w:bottom w:val="none" w:sz="0" w:space="0" w:color="auto"/>
        <w:right w:val="none" w:sz="0" w:space="0" w:color="auto"/>
      </w:divBdr>
    </w:div>
    <w:div w:id="1655525689">
      <w:bodyDiv w:val="1"/>
      <w:marLeft w:val="0"/>
      <w:marRight w:val="0"/>
      <w:marTop w:val="0"/>
      <w:marBottom w:val="0"/>
      <w:divBdr>
        <w:top w:val="none" w:sz="0" w:space="0" w:color="auto"/>
        <w:left w:val="none" w:sz="0" w:space="0" w:color="auto"/>
        <w:bottom w:val="none" w:sz="0" w:space="0" w:color="auto"/>
        <w:right w:val="none" w:sz="0" w:space="0" w:color="auto"/>
      </w:divBdr>
    </w:div>
    <w:div w:id="1655529375">
      <w:bodyDiv w:val="1"/>
      <w:marLeft w:val="0"/>
      <w:marRight w:val="0"/>
      <w:marTop w:val="0"/>
      <w:marBottom w:val="0"/>
      <w:divBdr>
        <w:top w:val="none" w:sz="0" w:space="0" w:color="auto"/>
        <w:left w:val="none" w:sz="0" w:space="0" w:color="auto"/>
        <w:bottom w:val="none" w:sz="0" w:space="0" w:color="auto"/>
        <w:right w:val="none" w:sz="0" w:space="0" w:color="auto"/>
      </w:divBdr>
    </w:div>
    <w:div w:id="1655573219">
      <w:bodyDiv w:val="1"/>
      <w:marLeft w:val="0"/>
      <w:marRight w:val="0"/>
      <w:marTop w:val="0"/>
      <w:marBottom w:val="0"/>
      <w:divBdr>
        <w:top w:val="none" w:sz="0" w:space="0" w:color="auto"/>
        <w:left w:val="none" w:sz="0" w:space="0" w:color="auto"/>
        <w:bottom w:val="none" w:sz="0" w:space="0" w:color="auto"/>
        <w:right w:val="none" w:sz="0" w:space="0" w:color="auto"/>
      </w:divBdr>
    </w:div>
    <w:div w:id="1655641346">
      <w:bodyDiv w:val="1"/>
      <w:marLeft w:val="0"/>
      <w:marRight w:val="0"/>
      <w:marTop w:val="0"/>
      <w:marBottom w:val="0"/>
      <w:divBdr>
        <w:top w:val="none" w:sz="0" w:space="0" w:color="auto"/>
        <w:left w:val="none" w:sz="0" w:space="0" w:color="auto"/>
        <w:bottom w:val="none" w:sz="0" w:space="0" w:color="auto"/>
        <w:right w:val="none" w:sz="0" w:space="0" w:color="auto"/>
      </w:divBdr>
    </w:div>
    <w:div w:id="1655838394">
      <w:bodyDiv w:val="1"/>
      <w:marLeft w:val="0"/>
      <w:marRight w:val="0"/>
      <w:marTop w:val="0"/>
      <w:marBottom w:val="0"/>
      <w:divBdr>
        <w:top w:val="none" w:sz="0" w:space="0" w:color="auto"/>
        <w:left w:val="none" w:sz="0" w:space="0" w:color="auto"/>
        <w:bottom w:val="none" w:sz="0" w:space="0" w:color="auto"/>
        <w:right w:val="none" w:sz="0" w:space="0" w:color="auto"/>
      </w:divBdr>
    </w:div>
    <w:div w:id="1655838521">
      <w:bodyDiv w:val="1"/>
      <w:marLeft w:val="0"/>
      <w:marRight w:val="0"/>
      <w:marTop w:val="0"/>
      <w:marBottom w:val="0"/>
      <w:divBdr>
        <w:top w:val="none" w:sz="0" w:space="0" w:color="auto"/>
        <w:left w:val="none" w:sz="0" w:space="0" w:color="auto"/>
        <w:bottom w:val="none" w:sz="0" w:space="0" w:color="auto"/>
        <w:right w:val="none" w:sz="0" w:space="0" w:color="auto"/>
      </w:divBdr>
    </w:div>
    <w:div w:id="1655840684">
      <w:bodyDiv w:val="1"/>
      <w:marLeft w:val="0"/>
      <w:marRight w:val="0"/>
      <w:marTop w:val="0"/>
      <w:marBottom w:val="0"/>
      <w:divBdr>
        <w:top w:val="none" w:sz="0" w:space="0" w:color="auto"/>
        <w:left w:val="none" w:sz="0" w:space="0" w:color="auto"/>
        <w:bottom w:val="none" w:sz="0" w:space="0" w:color="auto"/>
        <w:right w:val="none" w:sz="0" w:space="0" w:color="auto"/>
      </w:divBdr>
    </w:div>
    <w:div w:id="1656104973">
      <w:bodyDiv w:val="1"/>
      <w:marLeft w:val="0"/>
      <w:marRight w:val="0"/>
      <w:marTop w:val="0"/>
      <w:marBottom w:val="0"/>
      <w:divBdr>
        <w:top w:val="none" w:sz="0" w:space="0" w:color="auto"/>
        <w:left w:val="none" w:sz="0" w:space="0" w:color="auto"/>
        <w:bottom w:val="none" w:sz="0" w:space="0" w:color="auto"/>
        <w:right w:val="none" w:sz="0" w:space="0" w:color="auto"/>
      </w:divBdr>
    </w:div>
    <w:div w:id="1656106337">
      <w:bodyDiv w:val="1"/>
      <w:marLeft w:val="0"/>
      <w:marRight w:val="0"/>
      <w:marTop w:val="0"/>
      <w:marBottom w:val="0"/>
      <w:divBdr>
        <w:top w:val="none" w:sz="0" w:space="0" w:color="auto"/>
        <w:left w:val="none" w:sz="0" w:space="0" w:color="auto"/>
        <w:bottom w:val="none" w:sz="0" w:space="0" w:color="auto"/>
        <w:right w:val="none" w:sz="0" w:space="0" w:color="auto"/>
      </w:divBdr>
    </w:div>
    <w:div w:id="1656181075">
      <w:bodyDiv w:val="1"/>
      <w:marLeft w:val="0"/>
      <w:marRight w:val="0"/>
      <w:marTop w:val="0"/>
      <w:marBottom w:val="0"/>
      <w:divBdr>
        <w:top w:val="none" w:sz="0" w:space="0" w:color="auto"/>
        <w:left w:val="none" w:sz="0" w:space="0" w:color="auto"/>
        <w:bottom w:val="none" w:sz="0" w:space="0" w:color="auto"/>
        <w:right w:val="none" w:sz="0" w:space="0" w:color="auto"/>
      </w:divBdr>
    </w:div>
    <w:div w:id="1656257096">
      <w:bodyDiv w:val="1"/>
      <w:marLeft w:val="0"/>
      <w:marRight w:val="0"/>
      <w:marTop w:val="0"/>
      <w:marBottom w:val="0"/>
      <w:divBdr>
        <w:top w:val="none" w:sz="0" w:space="0" w:color="auto"/>
        <w:left w:val="none" w:sz="0" w:space="0" w:color="auto"/>
        <w:bottom w:val="none" w:sz="0" w:space="0" w:color="auto"/>
        <w:right w:val="none" w:sz="0" w:space="0" w:color="auto"/>
      </w:divBdr>
    </w:div>
    <w:div w:id="1656450389">
      <w:bodyDiv w:val="1"/>
      <w:marLeft w:val="0"/>
      <w:marRight w:val="0"/>
      <w:marTop w:val="0"/>
      <w:marBottom w:val="0"/>
      <w:divBdr>
        <w:top w:val="none" w:sz="0" w:space="0" w:color="auto"/>
        <w:left w:val="none" w:sz="0" w:space="0" w:color="auto"/>
        <w:bottom w:val="none" w:sz="0" w:space="0" w:color="auto"/>
        <w:right w:val="none" w:sz="0" w:space="0" w:color="auto"/>
      </w:divBdr>
    </w:div>
    <w:div w:id="1656492778">
      <w:bodyDiv w:val="1"/>
      <w:marLeft w:val="0"/>
      <w:marRight w:val="0"/>
      <w:marTop w:val="0"/>
      <w:marBottom w:val="0"/>
      <w:divBdr>
        <w:top w:val="none" w:sz="0" w:space="0" w:color="auto"/>
        <w:left w:val="none" w:sz="0" w:space="0" w:color="auto"/>
        <w:bottom w:val="none" w:sz="0" w:space="0" w:color="auto"/>
        <w:right w:val="none" w:sz="0" w:space="0" w:color="auto"/>
      </w:divBdr>
    </w:div>
    <w:div w:id="1656520504">
      <w:bodyDiv w:val="1"/>
      <w:marLeft w:val="0"/>
      <w:marRight w:val="0"/>
      <w:marTop w:val="0"/>
      <w:marBottom w:val="0"/>
      <w:divBdr>
        <w:top w:val="none" w:sz="0" w:space="0" w:color="auto"/>
        <w:left w:val="none" w:sz="0" w:space="0" w:color="auto"/>
        <w:bottom w:val="none" w:sz="0" w:space="0" w:color="auto"/>
        <w:right w:val="none" w:sz="0" w:space="0" w:color="auto"/>
      </w:divBdr>
    </w:div>
    <w:div w:id="1656833956">
      <w:bodyDiv w:val="1"/>
      <w:marLeft w:val="0"/>
      <w:marRight w:val="0"/>
      <w:marTop w:val="0"/>
      <w:marBottom w:val="0"/>
      <w:divBdr>
        <w:top w:val="none" w:sz="0" w:space="0" w:color="auto"/>
        <w:left w:val="none" w:sz="0" w:space="0" w:color="auto"/>
        <w:bottom w:val="none" w:sz="0" w:space="0" w:color="auto"/>
        <w:right w:val="none" w:sz="0" w:space="0" w:color="auto"/>
      </w:divBdr>
    </w:div>
    <w:div w:id="1657147319">
      <w:bodyDiv w:val="1"/>
      <w:marLeft w:val="0"/>
      <w:marRight w:val="0"/>
      <w:marTop w:val="0"/>
      <w:marBottom w:val="0"/>
      <w:divBdr>
        <w:top w:val="none" w:sz="0" w:space="0" w:color="auto"/>
        <w:left w:val="none" w:sz="0" w:space="0" w:color="auto"/>
        <w:bottom w:val="none" w:sz="0" w:space="0" w:color="auto"/>
        <w:right w:val="none" w:sz="0" w:space="0" w:color="auto"/>
      </w:divBdr>
    </w:div>
    <w:div w:id="1657222531">
      <w:bodyDiv w:val="1"/>
      <w:marLeft w:val="0"/>
      <w:marRight w:val="0"/>
      <w:marTop w:val="0"/>
      <w:marBottom w:val="0"/>
      <w:divBdr>
        <w:top w:val="none" w:sz="0" w:space="0" w:color="auto"/>
        <w:left w:val="none" w:sz="0" w:space="0" w:color="auto"/>
        <w:bottom w:val="none" w:sz="0" w:space="0" w:color="auto"/>
        <w:right w:val="none" w:sz="0" w:space="0" w:color="auto"/>
      </w:divBdr>
    </w:div>
    <w:div w:id="1657370420">
      <w:bodyDiv w:val="1"/>
      <w:marLeft w:val="0"/>
      <w:marRight w:val="0"/>
      <w:marTop w:val="0"/>
      <w:marBottom w:val="0"/>
      <w:divBdr>
        <w:top w:val="none" w:sz="0" w:space="0" w:color="auto"/>
        <w:left w:val="none" w:sz="0" w:space="0" w:color="auto"/>
        <w:bottom w:val="none" w:sz="0" w:space="0" w:color="auto"/>
        <w:right w:val="none" w:sz="0" w:space="0" w:color="auto"/>
      </w:divBdr>
    </w:div>
    <w:div w:id="1657496004">
      <w:bodyDiv w:val="1"/>
      <w:marLeft w:val="0"/>
      <w:marRight w:val="0"/>
      <w:marTop w:val="0"/>
      <w:marBottom w:val="0"/>
      <w:divBdr>
        <w:top w:val="none" w:sz="0" w:space="0" w:color="auto"/>
        <w:left w:val="none" w:sz="0" w:space="0" w:color="auto"/>
        <w:bottom w:val="none" w:sz="0" w:space="0" w:color="auto"/>
        <w:right w:val="none" w:sz="0" w:space="0" w:color="auto"/>
      </w:divBdr>
    </w:div>
    <w:div w:id="1657685943">
      <w:bodyDiv w:val="1"/>
      <w:marLeft w:val="0"/>
      <w:marRight w:val="0"/>
      <w:marTop w:val="0"/>
      <w:marBottom w:val="0"/>
      <w:divBdr>
        <w:top w:val="none" w:sz="0" w:space="0" w:color="auto"/>
        <w:left w:val="none" w:sz="0" w:space="0" w:color="auto"/>
        <w:bottom w:val="none" w:sz="0" w:space="0" w:color="auto"/>
        <w:right w:val="none" w:sz="0" w:space="0" w:color="auto"/>
      </w:divBdr>
    </w:div>
    <w:div w:id="1657878298">
      <w:bodyDiv w:val="1"/>
      <w:marLeft w:val="0"/>
      <w:marRight w:val="0"/>
      <w:marTop w:val="0"/>
      <w:marBottom w:val="0"/>
      <w:divBdr>
        <w:top w:val="none" w:sz="0" w:space="0" w:color="auto"/>
        <w:left w:val="none" w:sz="0" w:space="0" w:color="auto"/>
        <w:bottom w:val="none" w:sz="0" w:space="0" w:color="auto"/>
        <w:right w:val="none" w:sz="0" w:space="0" w:color="auto"/>
      </w:divBdr>
    </w:div>
    <w:div w:id="1657956166">
      <w:bodyDiv w:val="1"/>
      <w:marLeft w:val="0"/>
      <w:marRight w:val="0"/>
      <w:marTop w:val="0"/>
      <w:marBottom w:val="0"/>
      <w:divBdr>
        <w:top w:val="none" w:sz="0" w:space="0" w:color="auto"/>
        <w:left w:val="none" w:sz="0" w:space="0" w:color="auto"/>
        <w:bottom w:val="none" w:sz="0" w:space="0" w:color="auto"/>
        <w:right w:val="none" w:sz="0" w:space="0" w:color="auto"/>
      </w:divBdr>
    </w:div>
    <w:div w:id="1657999817">
      <w:bodyDiv w:val="1"/>
      <w:marLeft w:val="0"/>
      <w:marRight w:val="0"/>
      <w:marTop w:val="0"/>
      <w:marBottom w:val="0"/>
      <w:divBdr>
        <w:top w:val="none" w:sz="0" w:space="0" w:color="auto"/>
        <w:left w:val="none" w:sz="0" w:space="0" w:color="auto"/>
        <w:bottom w:val="none" w:sz="0" w:space="0" w:color="auto"/>
        <w:right w:val="none" w:sz="0" w:space="0" w:color="auto"/>
      </w:divBdr>
    </w:div>
    <w:div w:id="1658260567">
      <w:bodyDiv w:val="1"/>
      <w:marLeft w:val="0"/>
      <w:marRight w:val="0"/>
      <w:marTop w:val="0"/>
      <w:marBottom w:val="0"/>
      <w:divBdr>
        <w:top w:val="none" w:sz="0" w:space="0" w:color="auto"/>
        <w:left w:val="none" w:sz="0" w:space="0" w:color="auto"/>
        <w:bottom w:val="none" w:sz="0" w:space="0" w:color="auto"/>
        <w:right w:val="none" w:sz="0" w:space="0" w:color="auto"/>
      </w:divBdr>
    </w:div>
    <w:div w:id="1658456971">
      <w:bodyDiv w:val="1"/>
      <w:marLeft w:val="0"/>
      <w:marRight w:val="0"/>
      <w:marTop w:val="0"/>
      <w:marBottom w:val="0"/>
      <w:divBdr>
        <w:top w:val="none" w:sz="0" w:space="0" w:color="auto"/>
        <w:left w:val="none" w:sz="0" w:space="0" w:color="auto"/>
        <w:bottom w:val="none" w:sz="0" w:space="0" w:color="auto"/>
        <w:right w:val="none" w:sz="0" w:space="0" w:color="auto"/>
      </w:divBdr>
    </w:div>
    <w:div w:id="1658608957">
      <w:bodyDiv w:val="1"/>
      <w:marLeft w:val="0"/>
      <w:marRight w:val="0"/>
      <w:marTop w:val="0"/>
      <w:marBottom w:val="0"/>
      <w:divBdr>
        <w:top w:val="none" w:sz="0" w:space="0" w:color="auto"/>
        <w:left w:val="none" w:sz="0" w:space="0" w:color="auto"/>
        <w:bottom w:val="none" w:sz="0" w:space="0" w:color="auto"/>
        <w:right w:val="none" w:sz="0" w:space="0" w:color="auto"/>
      </w:divBdr>
    </w:div>
    <w:div w:id="1658613805">
      <w:bodyDiv w:val="1"/>
      <w:marLeft w:val="0"/>
      <w:marRight w:val="0"/>
      <w:marTop w:val="0"/>
      <w:marBottom w:val="0"/>
      <w:divBdr>
        <w:top w:val="none" w:sz="0" w:space="0" w:color="auto"/>
        <w:left w:val="none" w:sz="0" w:space="0" w:color="auto"/>
        <w:bottom w:val="none" w:sz="0" w:space="0" w:color="auto"/>
        <w:right w:val="none" w:sz="0" w:space="0" w:color="auto"/>
      </w:divBdr>
    </w:div>
    <w:div w:id="1658652836">
      <w:bodyDiv w:val="1"/>
      <w:marLeft w:val="0"/>
      <w:marRight w:val="0"/>
      <w:marTop w:val="0"/>
      <w:marBottom w:val="0"/>
      <w:divBdr>
        <w:top w:val="none" w:sz="0" w:space="0" w:color="auto"/>
        <w:left w:val="none" w:sz="0" w:space="0" w:color="auto"/>
        <w:bottom w:val="none" w:sz="0" w:space="0" w:color="auto"/>
        <w:right w:val="none" w:sz="0" w:space="0" w:color="auto"/>
      </w:divBdr>
    </w:div>
    <w:div w:id="1658873888">
      <w:bodyDiv w:val="1"/>
      <w:marLeft w:val="0"/>
      <w:marRight w:val="0"/>
      <w:marTop w:val="0"/>
      <w:marBottom w:val="0"/>
      <w:divBdr>
        <w:top w:val="none" w:sz="0" w:space="0" w:color="auto"/>
        <w:left w:val="none" w:sz="0" w:space="0" w:color="auto"/>
        <w:bottom w:val="none" w:sz="0" w:space="0" w:color="auto"/>
        <w:right w:val="none" w:sz="0" w:space="0" w:color="auto"/>
      </w:divBdr>
    </w:div>
    <w:div w:id="1659071711">
      <w:bodyDiv w:val="1"/>
      <w:marLeft w:val="0"/>
      <w:marRight w:val="0"/>
      <w:marTop w:val="0"/>
      <w:marBottom w:val="0"/>
      <w:divBdr>
        <w:top w:val="none" w:sz="0" w:space="0" w:color="auto"/>
        <w:left w:val="none" w:sz="0" w:space="0" w:color="auto"/>
        <w:bottom w:val="none" w:sz="0" w:space="0" w:color="auto"/>
        <w:right w:val="none" w:sz="0" w:space="0" w:color="auto"/>
      </w:divBdr>
    </w:div>
    <w:div w:id="1659189383">
      <w:bodyDiv w:val="1"/>
      <w:marLeft w:val="0"/>
      <w:marRight w:val="0"/>
      <w:marTop w:val="0"/>
      <w:marBottom w:val="0"/>
      <w:divBdr>
        <w:top w:val="none" w:sz="0" w:space="0" w:color="auto"/>
        <w:left w:val="none" w:sz="0" w:space="0" w:color="auto"/>
        <w:bottom w:val="none" w:sz="0" w:space="0" w:color="auto"/>
        <w:right w:val="none" w:sz="0" w:space="0" w:color="auto"/>
      </w:divBdr>
    </w:div>
    <w:div w:id="1659190354">
      <w:bodyDiv w:val="1"/>
      <w:marLeft w:val="0"/>
      <w:marRight w:val="0"/>
      <w:marTop w:val="0"/>
      <w:marBottom w:val="0"/>
      <w:divBdr>
        <w:top w:val="none" w:sz="0" w:space="0" w:color="auto"/>
        <w:left w:val="none" w:sz="0" w:space="0" w:color="auto"/>
        <w:bottom w:val="none" w:sz="0" w:space="0" w:color="auto"/>
        <w:right w:val="none" w:sz="0" w:space="0" w:color="auto"/>
      </w:divBdr>
    </w:div>
    <w:div w:id="1659385045">
      <w:bodyDiv w:val="1"/>
      <w:marLeft w:val="0"/>
      <w:marRight w:val="0"/>
      <w:marTop w:val="0"/>
      <w:marBottom w:val="0"/>
      <w:divBdr>
        <w:top w:val="none" w:sz="0" w:space="0" w:color="auto"/>
        <w:left w:val="none" w:sz="0" w:space="0" w:color="auto"/>
        <w:bottom w:val="none" w:sz="0" w:space="0" w:color="auto"/>
        <w:right w:val="none" w:sz="0" w:space="0" w:color="auto"/>
      </w:divBdr>
    </w:div>
    <w:div w:id="1659767585">
      <w:bodyDiv w:val="1"/>
      <w:marLeft w:val="0"/>
      <w:marRight w:val="0"/>
      <w:marTop w:val="0"/>
      <w:marBottom w:val="0"/>
      <w:divBdr>
        <w:top w:val="none" w:sz="0" w:space="0" w:color="auto"/>
        <w:left w:val="none" w:sz="0" w:space="0" w:color="auto"/>
        <w:bottom w:val="none" w:sz="0" w:space="0" w:color="auto"/>
        <w:right w:val="none" w:sz="0" w:space="0" w:color="auto"/>
      </w:divBdr>
    </w:div>
    <w:div w:id="1659915592">
      <w:bodyDiv w:val="1"/>
      <w:marLeft w:val="0"/>
      <w:marRight w:val="0"/>
      <w:marTop w:val="0"/>
      <w:marBottom w:val="0"/>
      <w:divBdr>
        <w:top w:val="none" w:sz="0" w:space="0" w:color="auto"/>
        <w:left w:val="none" w:sz="0" w:space="0" w:color="auto"/>
        <w:bottom w:val="none" w:sz="0" w:space="0" w:color="auto"/>
        <w:right w:val="none" w:sz="0" w:space="0" w:color="auto"/>
      </w:divBdr>
    </w:div>
    <w:div w:id="1659961938">
      <w:bodyDiv w:val="1"/>
      <w:marLeft w:val="0"/>
      <w:marRight w:val="0"/>
      <w:marTop w:val="0"/>
      <w:marBottom w:val="0"/>
      <w:divBdr>
        <w:top w:val="none" w:sz="0" w:space="0" w:color="auto"/>
        <w:left w:val="none" w:sz="0" w:space="0" w:color="auto"/>
        <w:bottom w:val="none" w:sz="0" w:space="0" w:color="auto"/>
        <w:right w:val="none" w:sz="0" w:space="0" w:color="auto"/>
      </w:divBdr>
    </w:div>
    <w:div w:id="1660383844">
      <w:bodyDiv w:val="1"/>
      <w:marLeft w:val="0"/>
      <w:marRight w:val="0"/>
      <w:marTop w:val="0"/>
      <w:marBottom w:val="0"/>
      <w:divBdr>
        <w:top w:val="none" w:sz="0" w:space="0" w:color="auto"/>
        <w:left w:val="none" w:sz="0" w:space="0" w:color="auto"/>
        <w:bottom w:val="none" w:sz="0" w:space="0" w:color="auto"/>
        <w:right w:val="none" w:sz="0" w:space="0" w:color="auto"/>
      </w:divBdr>
    </w:div>
    <w:div w:id="1660421049">
      <w:bodyDiv w:val="1"/>
      <w:marLeft w:val="0"/>
      <w:marRight w:val="0"/>
      <w:marTop w:val="0"/>
      <w:marBottom w:val="0"/>
      <w:divBdr>
        <w:top w:val="none" w:sz="0" w:space="0" w:color="auto"/>
        <w:left w:val="none" w:sz="0" w:space="0" w:color="auto"/>
        <w:bottom w:val="none" w:sz="0" w:space="0" w:color="auto"/>
        <w:right w:val="none" w:sz="0" w:space="0" w:color="auto"/>
      </w:divBdr>
    </w:div>
    <w:div w:id="1660427144">
      <w:bodyDiv w:val="1"/>
      <w:marLeft w:val="0"/>
      <w:marRight w:val="0"/>
      <w:marTop w:val="0"/>
      <w:marBottom w:val="0"/>
      <w:divBdr>
        <w:top w:val="none" w:sz="0" w:space="0" w:color="auto"/>
        <w:left w:val="none" w:sz="0" w:space="0" w:color="auto"/>
        <w:bottom w:val="none" w:sz="0" w:space="0" w:color="auto"/>
        <w:right w:val="none" w:sz="0" w:space="0" w:color="auto"/>
      </w:divBdr>
    </w:div>
    <w:div w:id="1660573515">
      <w:bodyDiv w:val="1"/>
      <w:marLeft w:val="0"/>
      <w:marRight w:val="0"/>
      <w:marTop w:val="0"/>
      <w:marBottom w:val="0"/>
      <w:divBdr>
        <w:top w:val="none" w:sz="0" w:space="0" w:color="auto"/>
        <w:left w:val="none" w:sz="0" w:space="0" w:color="auto"/>
        <w:bottom w:val="none" w:sz="0" w:space="0" w:color="auto"/>
        <w:right w:val="none" w:sz="0" w:space="0" w:color="auto"/>
      </w:divBdr>
    </w:div>
    <w:div w:id="1660648724">
      <w:bodyDiv w:val="1"/>
      <w:marLeft w:val="0"/>
      <w:marRight w:val="0"/>
      <w:marTop w:val="0"/>
      <w:marBottom w:val="0"/>
      <w:divBdr>
        <w:top w:val="none" w:sz="0" w:space="0" w:color="auto"/>
        <w:left w:val="none" w:sz="0" w:space="0" w:color="auto"/>
        <w:bottom w:val="none" w:sz="0" w:space="0" w:color="auto"/>
        <w:right w:val="none" w:sz="0" w:space="0" w:color="auto"/>
      </w:divBdr>
    </w:div>
    <w:div w:id="1660767776">
      <w:bodyDiv w:val="1"/>
      <w:marLeft w:val="0"/>
      <w:marRight w:val="0"/>
      <w:marTop w:val="0"/>
      <w:marBottom w:val="0"/>
      <w:divBdr>
        <w:top w:val="none" w:sz="0" w:space="0" w:color="auto"/>
        <w:left w:val="none" w:sz="0" w:space="0" w:color="auto"/>
        <w:bottom w:val="none" w:sz="0" w:space="0" w:color="auto"/>
        <w:right w:val="none" w:sz="0" w:space="0" w:color="auto"/>
      </w:divBdr>
    </w:div>
    <w:div w:id="1660838699">
      <w:bodyDiv w:val="1"/>
      <w:marLeft w:val="0"/>
      <w:marRight w:val="0"/>
      <w:marTop w:val="0"/>
      <w:marBottom w:val="0"/>
      <w:divBdr>
        <w:top w:val="none" w:sz="0" w:space="0" w:color="auto"/>
        <w:left w:val="none" w:sz="0" w:space="0" w:color="auto"/>
        <w:bottom w:val="none" w:sz="0" w:space="0" w:color="auto"/>
        <w:right w:val="none" w:sz="0" w:space="0" w:color="auto"/>
      </w:divBdr>
    </w:div>
    <w:div w:id="1660889639">
      <w:bodyDiv w:val="1"/>
      <w:marLeft w:val="0"/>
      <w:marRight w:val="0"/>
      <w:marTop w:val="0"/>
      <w:marBottom w:val="0"/>
      <w:divBdr>
        <w:top w:val="none" w:sz="0" w:space="0" w:color="auto"/>
        <w:left w:val="none" w:sz="0" w:space="0" w:color="auto"/>
        <w:bottom w:val="none" w:sz="0" w:space="0" w:color="auto"/>
        <w:right w:val="none" w:sz="0" w:space="0" w:color="auto"/>
      </w:divBdr>
    </w:div>
    <w:div w:id="1661079348">
      <w:bodyDiv w:val="1"/>
      <w:marLeft w:val="0"/>
      <w:marRight w:val="0"/>
      <w:marTop w:val="0"/>
      <w:marBottom w:val="0"/>
      <w:divBdr>
        <w:top w:val="none" w:sz="0" w:space="0" w:color="auto"/>
        <w:left w:val="none" w:sz="0" w:space="0" w:color="auto"/>
        <w:bottom w:val="none" w:sz="0" w:space="0" w:color="auto"/>
        <w:right w:val="none" w:sz="0" w:space="0" w:color="auto"/>
      </w:divBdr>
    </w:div>
    <w:div w:id="1661151946">
      <w:bodyDiv w:val="1"/>
      <w:marLeft w:val="0"/>
      <w:marRight w:val="0"/>
      <w:marTop w:val="0"/>
      <w:marBottom w:val="0"/>
      <w:divBdr>
        <w:top w:val="none" w:sz="0" w:space="0" w:color="auto"/>
        <w:left w:val="none" w:sz="0" w:space="0" w:color="auto"/>
        <w:bottom w:val="none" w:sz="0" w:space="0" w:color="auto"/>
        <w:right w:val="none" w:sz="0" w:space="0" w:color="auto"/>
      </w:divBdr>
    </w:div>
    <w:div w:id="1661228592">
      <w:bodyDiv w:val="1"/>
      <w:marLeft w:val="0"/>
      <w:marRight w:val="0"/>
      <w:marTop w:val="0"/>
      <w:marBottom w:val="0"/>
      <w:divBdr>
        <w:top w:val="none" w:sz="0" w:space="0" w:color="auto"/>
        <w:left w:val="none" w:sz="0" w:space="0" w:color="auto"/>
        <w:bottom w:val="none" w:sz="0" w:space="0" w:color="auto"/>
        <w:right w:val="none" w:sz="0" w:space="0" w:color="auto"/>
      </w:divBdr>
    </w:div>
    <w:div w:id="1661275553">
      <w:bodyDiv w:val="1"/>
      <w:marLeft w:val="0"/>
      <w:marRight w:val="0"/>
      <w:marTop w:val="0"/>
      <w:marBottom w:val="0"/>
      <w:divBdr>
        <w:top w:val="none" w:sz="0" w:space="0" w:color="auto"/>
        <w:left w:val="none" w:sz="0" w:space="0" w:color="auto"/>
        <w:bottom w:val="none" w:sz="0" w:space="0" w:color="auto"/>
        <w:right w:val="none" w:sz="0" w:space="0" w:color="auto"/>
      </w:divBdr>
    </w:div>
    <w:div w:id="1661420250">
      <w:bodyDiv w:val="1"/>
      <w:marLeft w:val="0"/>
      <w:marRight w:val="0"/>
      <w:marTop w:val="0"/>
      <w:marBottom w:val="0"/>
      <w:divBdr>
        <w:top w:val="none" w:sz="0" w:space="0" w:color="auto"/>
        <w:left w:val="none" w:sz="0" w:space="0" w:color="auto"/>
        <w:bottom w:val="none" w:sz="0" w:space="0" w:color="auto"/>
        <w:right w:val="none" w:sz="0" w:space="0" w:color="auto"/>
      </w:divBdr>
    </w:div>
    <w:div w:id="1661469658">
      <w:bodyDiv w:val="1"/>
      <w:marLeft w:val="0"/>
      <w:marRight w:val="0"/>
      <w:marTop w:val="0"/>
      <w:marBottom w:val="0"/>
      <w:divBdr>
        <w:top w:val="none" w:sz="0" w:space="0" w:color="auto"/>
        <w:left w:val="none" w:sz="0" w:space="0" w:color="auto"/>
        <w:bottom w:val="none" w:sz="0" w:space="0" w:color="auto"/>
        <w:right w:val="none" w:sz="0" w:space="0" w:color="auto"/>
      </w:divBdr>
    </w:div>
    <w:div w:id="1661621116">
      <w:bodyDiv w:val="1"/>
      <w:marLeft w:val="0"/>
      <w:marRight w:val="0"/>
      <w:marTop w:val="0"/>
      <w:marBottom w:val="0"/>
      <w:divBdr>
        <w:top w:val="none" w:sz="0" w:space="0" w:color="auto"/>
        <w:left w:val="none" w:sz="0" w:space="0" w:color="auto"/>
        <w:bottom w:val="none" w:sz="0" w:space="0" w:color="auto"/>
        <w:right w:val="none" w:sz="0" w:space="0" w:color="auto"/>
      </w:divBdr>
    </w:div>
    <w:div w:id="1661884260">
      <w:bodyDiv w:val="1"/>
      <w:marLeft w:val="0"/>
      <w:marRight w:val="0"/>
      <w:marTop w:val="0"/>
      <w:marBottom w:val="0"/>
      <w:divBdr>
        <w:top w:val="none" w:sz="0" w:space="0" w:color="auto"/>
        <w:left w:val="none" w:sz="0" w:space="0" w:color="auto"/>
        <w:bottom w:val="none" w:sz="0" w:space="0" w:color="auto"/>
        <w:right w:val="none" w:sz="0" w:space="0" w:color="auto"/>
      </w:divBdr>
    </w:div>
    <w:div w:id="1661889000">
      <w:bodyDiv w:val="1"/>
      <w:marLeft w:val="0"/>
      <w:marRight w:val="0"/>
      <w:marTop w:val="0"/>
      <w:marBottom w:val="0"/>
      <w:divBdr>
        <w:top w:val="none" w:sz="0" w:space="0" w:color="auto"/>
        <w:left w:val="none" w:sz="0" w:space="0" w:color="auto"/>
        <w:bottom w:val="none" w:sz="0" w:space="0" w:color="auto"/>
        <w:right w:val="none" w:sz="0" w:space="0" w:color="auto"/>
      </w:divBdr>
    </w:div>
    <w:div w:id="1661999373">
      <w:bodyDiv w:val="1"/>
      <w:marLeft w:val="0"/>
      <w:marRight w:val="0"/>
      <w:marTop w:val="0"/>
      <w:marBottom w:val="0"/>
      <w:divBdr>
        <w:top w:val="none" w:sz="0" w:space="0" w:color="auto"/>
        <w:left w:val="none" w:sz="0" w:space="0" w:color="auto"/>
        <w:bottom w:val="none" w:sz="0" w:space="0" w:color="auto"/>
        <w:right w:val="none" w:sz="0" w:space="0" w:color="auto"/>
      </w:divBdr>
    </w:div>
    <w:div w:id="1662075223">
      <w:bodyDiv w:val="1"/>
      <w:marLeft w:val="0"/>
      <w:marRight w:val="0"/>
      <w:marTop w:val="0"/>
      <w:marBottom w:val="0"/>
      <w:divBdr>
        <w:top w:val="none" w:sz="0" w:space="0" w:color="auto"/>
        <w:left w:val="none" w:sz="0" w:space="0" w:color="auto"/>
        <w:bottom w:val="none" w:sz="0" w:space="0" w:color="auto"/>
        <w:right w:val="none" w:sz="0" w:space="0" w:color="auto"/>
      </w:divBdr>
    </w:div>
    <w:div w:id="1662077813">
      <w:bodyDiv w:val="1"/>
      <w:marLeft w:val="0"/>
      <w:marRight w:val="0"/>
      <w:marTop w:val="0"/>
      <w:marBottom w:val="0"/>
      <w:divBdr>
        <w:top w:val="none" w:sz="0" w:space="0" w:color="auto"/>
        <w:left w:val="none" w:sz="0" w:space="0" w:color="auto"/>
        <w:bottom w:val="none" w:sz="0" w:space="0" w:color="auto"/>
        <w:right w:val="none" w:sz="0" w:space="0" w:color="auto"/>
      </w:divBdr>
    </w:div>
    <w:div w:id="1662153513">
      <w:bodyDiv w:val="1"/>
      <w:marLeft w:val="0"/>
      <w:marRight w:val="0"/>
      <w:marTop w:val="0"/>
      <w:marBottom w:val="0"/>
      <w:divBdr>
        <w:top w:val="none" w:sz="0" w:space="0" w:color="auto"/>
        <w:left w:val="none" w:sz="0" w:space="0" w:color="auto"/>
        <w:bottom w:val="none" w:sz="0" w:space="0" w:color="auto"/>
        <w:right w:val="none" w:sz="0" w:space="0" w:color="auto"/>
      </w:divBdr>
    </w:div>
    <w:div w:id="1662269297">
      <w:bodyDiv w:val="1"/>
      <w:marLeft w:val="0"/>
      <w:marRight w:val="0"/>
      <w:marTop w:val="0"/>
      <w:marBottom w:val="0"/>
      <w:divBdr>
        <w:top w:val="none" w:sz="0" w:space="0" w:color="auto"/>
        <w:left w:val="none" w:sz="0" w:space="0" w:color="auto"/>
        <w:bottom w:val="none" w:sz="0" w:space="0" w:color="auto"/>
        <w:right w:val="none" w:sz="0" w:space="0" w:color="auto"/>
      </w:divBdr>
    </w:div>
    <w:div w:id="1662392345">
      <w:bodyDiv w:val="1"/>
      <w:marLeft w:val="0"/>
      <w:marRight w:val="0"/>
      <w:marTop w:val="0"/>
      <w:marBottom w:val="0"/>
      <w:divBdr>
        <w:top w:val="none" w:sz="0" w:space="0" w:color="auto"/>
        <w:left w:val="none" w:sz="0" w:space="0" w:color="auto"/>
        <w:bottom w:val="none" w:sz="0" w:space="0" w:color="auto"/>
        <w:right w:val="none" w:sz="0" w:space="0" w:color="auto"/>
      </w:divBdr>
    </w:div>
    <w:div w:id="1662461201">
      <w:bodyDiv w:val="1"/>
      <w:marLeft w:val="0"/>
      <w:marRight w:val="0"/>
      <w:marTop w:val="0"/>
      <w:marBottom w:val="0"/>
      <w:divBdr>
        <w:top w:val="none" w:sz="0" w:space="0" w:color="auto"/>
        <w:left w:val="none" w:sz="0" w:space="0" w:color="auto"/>
        <w:bottom w:val="none" w:sz="0" w:space="0" w:color="auto"/>
        <w:right w:val="none" w:sz="0" w:space="0" w:color="auto"/>
      </w:divBdr>
    </w:div>
    <w:div w:id="1662466619">
      <w:bodyDiv w:val="1"/>
      <w:marLeft w:val="0"/>
      <w:marRight w:val="0"/>
      <w:marTop w:val="0"/>
      <w:marBottom w:val="0"/>
      <w:divBdr>
        <w:top w:val="none" w:sz="0" w:space="0" w:color="auto"/>
        <w:left w:val="none" w:sz="0" w:space="0" w:color="auto"/>
        <w:bottom w:val="none" w:sz="0" w:space="0" w:color="auto"/>
        <w:right w:val="none" w:sz="0" w:space="0" w:color="auto"/>
      </w:divBdr>
    </w:div>
    <w:div w:id="1662735090">
      <w:bodyDiv w:val="1"/>
      <w:marLeft w:val="0"/>
      <w:marRight w:val="0"/>
      <w:marTop w:val="0"/>
      <w:marBottom w:val="0"/>
      <w:divBdr>
        <w:top w:val="none" w:sz="0" w:space="0" w:color="auto"/>
        <w:left w:val="none" w:sz="0" w:space="0" w:color="auto"/>
        <w:bottom w:val="none" w:sz="0" w:space="0" w:color="auto"/>
        <w:right w:val="none" w:sz="0" w:space="0" w:color="auto"/>
      </w:divBdr>
    </w:div>
    <w:div w:id="1662737527">
      <w:bodyDiv w:val="1"/>
      <w:marLeft w:val="0"/>
      <w:marRight w:val="0"/>
      <w:marTop w:val="0"/>
      <w:marBottom w:val="0"/>
      <w:divBdr>
        <w:top w:val="none" w:sz="0" w:space="0" w:color="auto"/>
        <w:left w:val="none" w:sz="0" w:space="0" w:color="auto"/>
        <w:bottom w:val="none" w:sz="0" w:space="0" w:color="auto"/>
        <w:right w:val="none" w:sz="0" w:space="0" w:color="auto"/>
      </w:divBdr>
    </w:div>
    <w:div w:id="1662806268">
      <w:bodyDiv w:val="1"/>
      <w:marLeft w:val="0"/>
      <w:marRight w:val="0"/>
      <w:marTop w:val="0"/>
      <w:marBottom w:val="0"/>
      <w:divBdr>
        <w:top w:val="none" w:sz="0" w:space="0" w:color="auto"/>
        <w:left w:val="none" w:sz="0" w:space="0" w:color="auto"/>
        <w:bottom w:val="none" w:sz="0" w:space="0" w:color="auto"/>
        <w:right w:val="none" w:sz="0" w:space="0" w:color="auto"/>
      </w:divBdr>
    </w:div>
    <w:div w:id="1662925124">
      <w:bodyDiv w:val="1"/>
      <w:marLeft w:val="0"/>
      <w:marRight w:val="0"/>
      <w:marTop w:val="0"/>
      <w:marBottom w:val="0"/>
      <w:divBdr>
        <w:top w:val="none" w:sz="0" w:space="0" w:color="auto"/>
        <w:left w:val="none" w:sz="0" w:space="0" w:color="auto"/>
        <w:bottom w:val="none" w:sz="0" w:space="0" w:color="auto"/>
        <w:right w:val="none" w:sz="0" w:space="0" w:color="auto"/>
      </w:divBdr>
    </w:div>
    <w:div w:id="1663045047">
      <w:bodyDiv w:val="1"/>
      <w:marLeft w:val="0"/>
      <w:marRight w:val="0"/>
      <w:marTop w:val="0"/>
      <w:marBottom w:val="0"/>
      <w:divBdr>
        <w:top w:val="none" w:sz="0" w:space="0" w:color="auto"/>
        <w:left w:val="none" w:sz="0" w:space="0" w:color="auto"/>
        <w:bottom w:val="none" w:sz="0" w:space="0" w:color="auto"/>
        <w:right w:val="none" w:sz="0" w:space="0" w:color="auto"/>
      </w:divBdr>
    </w:div>
    <w:div w:id="1663123245">
      <w:bodyDiv w:val="1"/>
      <w:marLeft w:val="0"/>
      <w:marRight w:val="0"/>
      <w:marTop w:val="0"/>
      <w:marBottom w:val="0"/>
      <w:divBdr>
        <w:top w:val="none" w:sz="0" w:space="0" w:color="auto"/>
        <w:left w:val="none" w:sz="0" w:space="0" w:color="auto"/>
        <w:bottom w:val="none" w:sz="0" w:space="0" w:color="auto"/>
        <w:right w:val="none" w:sz="0" w:space="0" w:color="auto"/>
      </w:divBdr>
    </w:div>
    <w:div w:id="1663191350">
      <w:bodyDiv w:val="1"/>
      <w:marLeft w:val="0"/>
      <w:marRight w:val="0"/>
      <w:marTop w:val="0"/>
      <w:marBottom w:val="0"/>
      <w:divBdr>
        <w:top w:val="none" w:sz="0" w:space="0" w:color="auto"/>
        <w:left w:val="none" w:sz="0" w:space="0" w:color="auto"/>
        <w:bottom w:val="none" w:sz="0" w:space="0" w:color="auto"/>
        <w:right w:val="none" w:sz="0" w:space="0" w:color="auto"/>
      </w:divBdr>
    </w:div>
    <w:div w:id="1663198513">
      <w:bodyDiv w:val="1"/>
      <w:marLeft w:val="0"/>
      <w:marRight w:val="0"/>
      <w:marTop w:val="0"/>
      <w:marBottom w:val="0"/>
      <w:divBdr>
        <w:top w:val="none" w:sz="0" w:space="0" w:color="auto"/>
        <w:left w:val="none" w:sz="0" w:space="0" w:color="auto"/>
        <w:bottom w:val="none" w:sz="0" w:space="0" w:color="auto"/>
        <w:right w:val="none" w:sz="0" w:space="0" w:color="auto"/>
      </w:divBdr>
    </w:div>
    <w:div w:id="1663243314">
      <w:bodyDiv w:val="1"/>
      <w:marLeft w:val="0"/>
      <w:marRight w:val="0"/>
      <w:marTop w:val="0"/>
      <w:marBottom w:val="0"/>
      <w:divBdr>
        <w:top w:val="none" w:sz="0" w:space="0" w:color="auto"/>
        <w:left w:val="none" w:sz="0" w:space="0" w:color="auto"/>
        <w:bottom w:val="none" w:sz="0" w:space="0" w:color="auto"/>
        <w:right w:val="none" w:sz="0" w:space="0" w:color="auto"/>
      </w:divBdr>
    </w:div>
    <w:div w:id="1663314010">
      <w:bodyDiv w:val="1"/>
      <w:marLeft w:val="0"/>
      <w:marRight w:val="0"/>
      <w:marTop w:val="0"/>
      <w:marBottom w:val="0"/>
      <w:divBdr>
        <w:top w:val="none" w:sz="0" w:space="0" w:color="auto"/>
        <w:left w:val="none" w:sz="0" w:space="0" w:color="auto"/>
        <w:bottom w:val="none" w:sz="0" w:space="0" w:color="auto"/>
        <w:right w:val="none" w:sz="0" w:space="0" w:color="auto"/>
      </w:divBdr>
    </w:div>
    <w:div w:id="1663507634">
      <w:bodyDiv w:val="1"/>
      <w:marLeft w:val="0"/>
      <w:marRight w:val="0"/>
      <w:marTop w:val="0"/>
      <w:marBottom w:val="0"/>
      <w:divBdr>
        <w:top w:val="none" w:sz="0" w:space="0" w:color="auto"/>
        <w:left w:val="none" w:sz="0" w:space="0" w:color="auto"/>
        <w:bottom w:val="none" w:sz="0" w:space="0" w:color="auto"/>
        <w:right w:val="none" w:sz="0" w:space="0" w:color="auto"/>
      </w:divBdr>
    </w:div>
    <w:div w:id="1663779896">
      <w:bodyDiv w:val="1"/>
      <w:marLeft w:val="0"/>
      <w:marRight w:val="0"/>
      <w:marTop w:val="0"/>
      <w:marBottom w:val="0"/>
      <w:divBdr>
        <w:top w:val="none" w:sz="0" w:space="0" w:color="auto"/>
        <w:left w:val="none" w:sz="0" w:space="0" w:color="auto"/>
        <w:bottom w:val="none" w:sz="0" w:space="0" w:color="auto"/>
        <w:right w:val="none" w:sz="0" w:space="0" w:color="auto"/>
      </w:divBdr>
    </w:div>
    <w:div w:id="1663855968">
      <w:bodyDiv w:val="1"/>
      <w:marLeft w:val="0"/>
      <w:marRight w:val="0"/>
      <w:marTop w:val="0"/>
      <w:marBottom w:val="0"/>
      <w:divBdr>
        <w:top w:val="none" w:sz="0" w:space="0" w:color="auto"/>
        <w:left w:val="none" w:sz="0" w:space="0" w:color="auto"/>
        <w:bottom w:val="none" w:sz="0" w:space="0" w:color="auto"/>
        <w:right w:val="none" w:sz="0" w:space="0" w:color="auto"/>
      </w:divBdr>
    </w:div>
    <w:div w:id="1663898150">
      <w:bodyDiv w:val="1"/>
      <w:marLeft w:val="0"/>
      <w:marRight w:val="0"/>
      <w:marTop w:val="0"/>
      <w:marBottom w:val="0"/>
      <w:divBdr>
        <w:top w:val="none" w:sz="0" w:space="0" w:color="auto"/>
        <w:left w:val="none" w:sz="0" w:space="0" w:color="auto"/>
        <w:bottom w:val="none" w:sz="0" w:space="0" w:color="auto"/>
        <w:right w:val="none" w:sz="0" w:space="0" w:color="auto"/>
      </w:divBdr>
    </w:div>
    <w:div w:id="1663967595">
      <w:bodyDiv w:val="1"/>
      <w:marLeft w:val="0"/>
      <w:marRight w:val="0"/>
      <w:marTop w:val="0"/>
      <w:marBottom w:val="0"/>
      <w:divBdr>
        <w:top w:val="none" w:sz="0" w:space="0" w:color="auto"/>
        <w:left w:val="none" w:sz="0" w:space="0" w:color="auto"/>
        <w:bottom w:val="none" w:sz="0" w:space="0" w:color="auto"/>
        <w:right w:val="none" w:sz="0" w:space="0" w:color="auto"/>
      </w:divBdr>
    </w:div>
    <w:div w:id="1663972344">
      <w:bodyDiv w:val="1"/>
      <w:marLeft w:val="0"/>
      <w:marRight w:val="0"/>
      <w:marTop w:val="0"/>
      <w:marBottom w:val="0"/>
      <w:divBdr>
        <w:top w:val="none" w:sz="0" w:space="0" w:color="auto"/>
        <w:left w:val="none" w:sz="0" w:space="0" w:color="auto"/>
        <w:bottom w:val="none" w:sz="0" w:space="0" w:color="auto"/>
        <w:right w:val="none" w:sz="0" w:space="0" w:color="auto"/>
      </w:divBdr>
    </w:div>
    <w:div w:id="1664122519">
      <w:bodyDiv w:val="1"/>
      <w:marLeft w:val="0"/>
      <w:marRight w:val="0"/>
      <w:marTop w:val="0"/>
      <w:marBottom w:val="0"/>
      <w:divBdr>
        <w:top w:val="none" w:sz="0" w:space="0" w:color="auto"/>
        <w:left w:val="none" w:sz="0" w:space="0" w:color="auto"/>
        <w:bottom w:val="none" w:sz="0" w:space="0" w:color="auto"/>
        <w:right w:val="none" w:sz="0" w:space="0" w:color="auto"/>
      </w:divBdr>
    </w:div>
    <w:div w:id="1664308426">
      <w:bodyDiv w:val="1"/>
      <w:marLeft w:val="0"/>
      <w:marRight w:val="0"/>
      <w:marTop w:val="0"/>
      <w:marBottom w:val="0"/>
      <w:divBdr>
        <w:top w:val="none" w:sz="0" w:space="0" w:color="auto"/>
        <w:left w:val="none" w:sz="0" w:space="0" w:color="auto"/>
        <w:bottom w:val="none" w:sz="0" w:space="0" w:color="auto"/>
        <w:right w:val="none" w:sz="0" w:space="0" w:color="auto"/>
      </w:divBdr>
    </w:div>
    <w:div w:id="1664510997">
      <w:bodyDiv w:val="1"/>
      <w:marLeft w:val="0"/>
      <w:marRight w:val="0"/>
      <w:marTop w:val="0"/>
      <w:marBottom w:val="0"/>
      <w:divBdr>
        <w:top w:val="none" w:sz="0" w:space="0" w:color="auto"/>
        <w:left w:val="none" w:sz="0" w:space="0" w:color="auto"/>
        <w:bottom w:val="none" w:sz="0" w:space="0" w:color="auto"/>
        <w:right w:val="none" w:sz="0" w:space="0" w:color="auto"/>
      </w:divBdr>
    </w:div>
    <w:div w:id="1664551888">
      <w:bodyDiv w:val="1"/>
      <w:marLeft w:val="0"/>
      <w:marRight w:val="0"/>
      <w:marTop w:val="0"/>
      <w:marBottom w:val="0"/>
      <w:divBdr>
        <w:top w:val="none" w:sz="0" w:space="0" w:color="auto"/>
        <w:left w:val="none" w:sz="0" w:space="0" w:color="auto"/>
        <w:bottom w:val="none" w:sz="0" w:space="0" w:color="auto"/>
        <w:right w:val="none" w:sz="0" w:space="0" w:color="auto"/>
      </w:divBdr>
    </w:div>
    <w:div w:id="1664622902">
      <w:bodyDiv w:val="1"/>
      <w:marLeft w:val="0"/>
      <w:marRight w:val="0"/>
      <w:marTop w:val="0"/>
      <w:marBottom w:val="0"/>
      <w:divBdr>
        <w:top w:val="none" w:sz="0" w:space="0" w:color="auto"/>
        <w:left w:val="none" w:sz="0" w:space="0" w:color="auto"/>
        <w:bottom w:val="none" w:sz="0" w:space="0" w:color="auto"/>
        <w:right w:val="none" w:sz="0" w:space="0" w:color="auto"/>
      </w:divBdr>
    </w:div>
    <w:div w:id="1664772576">
      <w:bodyDiv w:val="1"/>
      <w:marLeft w:val="0"/>
      <w:marRight w:val="0"/>
      <w:marTop w:val="0"/>
      <w:marBottom w:val="0"/>
      <w:divBdr>
        <w:top w:val="none" w:sz="0" w:space="0" w:color="auto"/>
        <w:left w:val="none" w:sz="0" w:space="0" w:color="auto"/>
        <w:bottom w:val="none" w:sz="0" w:space="0" w:color="auto"/>
        <w:right w:val="none" w:sz="0" w:space="0" w:color="auto"/>
      </w:divBdr>
    </w:div>
    <w:div w:id="1664772701">
      <w:bodyDiv w:val="1"/>
      <w:marLeft w:val="0"/>
      <w:marRight w:val="0"/>
      <w:marTop w:val="0"/>
      <w:marBottom w:val="0"/>
      <w:divBdr>
        <w:top w:val="none" w:sz="0" w:space="0" w:color="auto"/>
        <w:left w:val="none" w:sz="0" w:space="0" w:color="auto"/>
        <w:bottom w:val="none" w:sz="0" w:space="0" w:color="auto"/>
        <w:right w:val="none" w:sz="0" w:space="0" w:color="auto"/>
      </w:divBdr>
    </w:div>
    <w:div w:id="1664819012">
      <w:bodyDiv w:val="1"/>
      <w:marLeft w:val="0"/>
      <w:marRight w:val="0"/>
      <w:marTop w:val="0"/>
      <w:marBottom w:val="0"/>
      <w:divBdr>
        <w:top w:val="none" w:sz="0" w:space="0" w:color="auto"/>
        <w:left w:val="none" w:sz="0" w:space="0" w:color="auto"/>
        <w:bottom w:val="none" w:sz="0" w:space="0" w:color="auto"/>
        <w:right w:val="none" w:sz="0" w:space="0" w:color="auto"/>
      </w:divBdr>
    </w:div>
    <w:div w:id="1664896714">
      <w:bodyDiv w:val="1"/>
      <w:marLeft w:val="0"/>
      <w:marRight w:val="0"/>
      <w:marTop w:val="0"/>
      <w:marBottom w:val="0"/>
      <w:divBdr>
        <w:top w:val="none" w:sz="0" w:space="0" w:color="auto"/>
        <w:left w:val="none" w:sz="0" w:space="0" w:color="auto"/>
        <w:bottom w:val="none" w:sz="0" w:space="0" w:color="auto"/>
        <w:right w:val="none" w:sz="0" w:space="0" w:color="auto"/>
      </w:divBdr>
    </w:div>
    <w:div w:id="1664967307">
      <w:bodyDiv w:val="1"/>
      <w:marLeft w:val="0"/>
      <w:marRight w:val="0"/>
      <w:marTop w:val="0"/>
      <w:marBottom w:val="0"/>
      <w:divBdr>
        <w:top w:val="none" w:sz="0" w:space="0" w:color="auto"/>
        <w:left w:val="none" w:sz="0" w:space="0" w:color="auto"/>
        <w:bottom w:val="none" w:sz="0" w:space="0" w:color="auto"/>
        <w:right w:val="none" w:sz="0" w:space="0" w:color="auto"/>
      </w:divBdr>
    </w:div>
    <w:div w:id="1665010966">
      <w:bodyDiv w:val="1"/>
      <w:marLeft w:val="0"/>
      <w:marRight w:val="0"/>
      <w:marTop w:val="0"/>
      <w:marBottom w:val="0"/>
      <w:divBdr>
        <w:top w:val="none" w:sz="0" w:space="0" w:color="auto"/>
        <w:left w:val="none" w:sz="0" w:space="0" w:color="auto"/>
        <w:bottom w:val="none" w:sz="0" w:space="0" w:color="auto"/>
        <w:right w:val="none" w:sz="0" w:space="0" w:color="auto"/>
      </w:divBdr>
    </w:div>
    <w:div w:id="1665086170">
      <w:bodyDiv w:val="1"/>
      <w:marLeft w:val="0"/>
      <w:marRight w:val="0"/>
      <w:marTop w:val="0"/>
      <w:marBottom w:val="0"/>
      <w:divBdr>
        <w:top w:val="none" w:sz="0" w:space="0" w:color="auto"/>
        <w:left w:val="none" w:sz="0" w:space="0" w:color="auto"/>
        <w:bottom w:val="none" w:sz="0" w:space="0" w:color="auto"/>
        <w:right w:val="none" w:sz="0" w:space="0" w:color="auto"/>
      </w:divBdr>
    </w:div>
    <w:div w:id="1665090714">
      <w:bodyDiv w:val="1"/>
      <w:marLeft w:val="0"/>
      <w:marRight w:val="0"/>
      <w:marTop w:val="0"/>
      <w:marBottom w:val="0"/>
      <w:divBdr>
        <w:top w:val="none" w:sz="0" w:space="0" w:color="auto"/>
        <w:left w:val="none" w:sz="0" w:space="0" w:color="auto"/>
        <w:bottom w:val="none" w:sz="0" w:space="0" w:color="auto"/>
        <w:right w:val="none" w:sz="0" w:space="0" w:color="auto"/>
      </w:divBdr>
    </w:div>
    <w:div w:id="1665470651">
      <w:bodyDiv w:val="1"/>
      <w:marLeft w:val="0"/>
      <w:marRight w:val="0"/>
      <w:marTop w:val="0"/>
      <w:marBottom w:val="0"/>
      <w:divBdr>
        <w:top w:val="none" w:sz="0" w:space="0" w:color="auto"/>
        <w:left w:val="none" w:sz="0" w:space="0" w:color="auto"/>
        <w:bottom w:val="none" w:sz="0" w:space="0" w:color="auto"/>
        <w:right w:val="none" w:sz="0" w:space="0" w:color="auto"/>
      </w:divBdr>
    </w:div>
    <w:div w:id="1665471623">
      <w:bodyDiv w:val="1"/>
      <w:marLeft w:val="0"/>
      <w:marRight w:val="0"/>
      <w:marTop w:val="0"/>
      <w:marBottom w:val="0"/>
      <w:divBdr>
        <w:top w:val="none" w:sz="0" w:space="0" w:color="auto"/>
        <w:left w:val="none" w:sz="0" w:space="0" w:color="auto"/>
        <w:bottom w:val="none" w:sz="0" w:space="0" w:color="auto"/>
        <w:right w:val="none" w:sz="0" w:space="0" w:color="auto"/>
      </w:divBdr>
    </w:div>
    <w:div w:id="1665544742">
      <w:bodyDiv w:val="1"/>
      <w:marLeft w:val="0"/>
      <w:marRight w:val="0"/>
      <w:marTop w:val="0"/>
      <w:marBottom w:val="0"/>
      <w:divBdr>
        <w:top w:val="none" w:sz="0" w:space="0" w:color="auto"/>
        <w:left w:val="none" w:sz="0" w:space="0" w:color="auto"/>
        <w:bottom w:val="none" w:sz="0" w:space="0" w:color="auto"/>
        <w:right w:val="none" w:sz="0" w:space="0" w:color="auto"/>
      </w:divBdr>
    </w:div>
    <w:div w:id="1665628078">
      <w:bodyDiv w:val="1"/>
      <w:marLeft w:val="0"/>
      <w:marRight w:val="0"/>
      <w:marTop w:val="0"/>
      <w:marBottom w:val="0"/>
      <w:divBdr>
        <w:top w:val="none" w:sz="0" w:space="0" w:color="auto"/>
        <w:left w:val="none" w:sz="0" w:space="0" w:color="auto"/>
        <w:bottom w:val="none" w:sz="0" w:space="0" w:color="auto"/>
        <w:right w:val="none" w:sz="0" w:space="0" w:color="auto"/>
      </w:divBdr>
    </w:div>
    <w:div w:id="1665743542">
      <w:bodyDiv w:val="1"/>
      <w:marLeft w:val="0"/>
      <w:marRight w:val="0"/>
      <w:marTop w:val="0"/>
      <w:marBottom w:val="0"/>
      <w:divBdr>
        <w:top w:val="none" w:sz="0" w:space="0" w:color="auto"/>
        <w:left w:val="none" w:sz="0" w:space="0" w:color="auto"/>
        <w:bottom w:val="none" w:sz="0" w:space="0" w:color="auto"/>
        <w:right w:val="none" w:sz="0" w:space="0" w:color="auto"/>
      </w:divBdr>
    </w:div>
    <w:div w:id="1665815336">
      <w:bodyDiv w:val="1"/>
      <w:marLeft w:val="0"/>
      <w:marRight w:val="0"/>
      <w:marTop w:val="0"/>
      <w:marBottom w:val="0"/>
      <w:divBdr>
        <w:top w:val="none" w:sz="0" w:space="0" w:color="auto"/>
        <w:left w:val="none" w:sz="0" w:space="0" w:color="auto"/>
        <w:bottom w:val="none" w:sz="0" w:space="0" w:color="auto"/>
        <w:right w:val="none" w:sz="0" w:space="0" w:color="auto"/>
      </w:divBdr>
    </w:div>
    <w:div w:id="1665864395">
      <w:bodyDiv w:val="1"/>
      <w:marLeft w:val="0"/>
      <w:marRight w:val="0"/>
      <w:marTop w:val="0"/>
      <w:marBottom w:val="0"/>
      <w:divBdr>
        <w:top w:val="none" w:sz="0" w:space="0" w:color="auto"/>
        <w:left w:val="none" w:sz="0" w:space="0" w:color="auto"/>
        <w:bottom w:val="none" w:sz="0" w:space="0" w:color="auto"/>
        <w:right w:val="none" w:sz="0" w:space="0" w:color="auto"/>
      </w:divBdr>
    </w:div>
    <w:div w:id="1665933203">
      <w:bodyDiv w:val="1"/>
      <w:marLeft w:val="0"/>
      <w:marRight w:val="0"/>
      <w:marTop w:val="0"/>
      <w:marBottom w:val="0"/>
      <w:divBdr>
        <w:top w:val="none" w:sz="0" w:space="0" w:color="auto"/>
        <w:left w:val="none" w:sz="0" w:space="0" w:color="auto"/>
        <w:bottom w:val="none" w:sz="0" w:space="0" w:color="auto"/>
        <w:right w:val="none" w:sz="0" w:space="0" w:color="auto"/>
      </w:divBdr>
    </w:div>
    <w:div w:id="1666008007">
      <w:bodyDiv w:val="1"/>
      <w:marLeft w:val="0"/>
      <w:marRight w:val="0"/>
      <w:marTop w:val="0"/>
      <w:marBottom w:val="0"/>
      <w:divBdr>
        <w:top w:val="none" w:sz="0" w:space="0" w:color="auto"/>
        <w:left w:val="none" w:sz="0" w:space="0" w:color="auto"/>
        <w:bottom w:val="none" w:sz="0" w:space="0" w:color="auto"/>
        <w:right w:val="none" w:sz="0" w:space="0" w:color="auto"/>
      </w:divBdr>
    </w:div>
    <w:div w:id="1666012543">
      <w:bodyDiv w:val="1"/>
      <w:marLeft w:val="0"/>
      <w:marRight w:val="0"/>
      <w:marTop w:val="0"/>
      <w:marBottom w:val="0"/>
      <w:divBdr>
        <w:top w:val="none" w:sz="0" w:space="0" w:color="auto"/>
        <w:left w:val="none" w:sz="0" w:space="0" w:color="auto"/>
        <w:bottom w:val="none" w:sz="0" w:space="0" w:color="auto"/>
        <w:right w:val="none" w:sz="0" w:space="0" w:color="auto"/>
      </w:divBdr>
    </w:div>
    <w:div w:id="1666469959">
      <w:bodyDiv w:val="1"/>
      <w:marLeft w:val="0"/>
      <w:marRight w:val="0"/>
      <w:marTop w:val="0"/>
      <w:marBottom w:val="0"/>
      <w:divBdr>
        <w:top w:val="none" w:sz="0" w:space="0" w:color="auto"/>
        <w:left w:val="none" w:sz="0" w:space="0" w:color="auto"/>
        <w:bottom w:val="none" w:sz="0" w:space="0" w:color="auto"/>
        <w:right w:val="none" w:sz="0" w:space="0" w:color="auto"/>
      </w:divBdr>
    </w:div>
    <w:div w:id="1666586127">
      <w:bodyDiv w:val="1"/>
      <w:marLeft w:val="0"/>
      <w:marRight w:val="0"/>
      <w:marTop w:val="0"/>
      <w:marBottom w:val="0"/>
      <w:divBdr>
        <w:top w:val="none" w:sz="0" w:space="0" w:color="auto"/>
        <w:left w:val="none" w:sz="0" w:space="0" w:color="auto"/>
        <w:bottom w:val="none" w:sz="0" w:space="0" w:color="auto"/>
        <w:right w:val="none" w:sz="0" w:space="0" w:color="auto"/>
      </w:divBdr>
    </w:div>
    <w:div w:id="1666781354">
      <w:bodyDiv w:val="1"/>
      <w:marLeft w:val="0"/>
      <w:marRight w:val="0"/>
      <w:marTop w:val="0"/>
      <w:marBottom w:val="0"/>
      <w:divBdr>
        <w:top w:val="none" w:sz="0" w:space="0" w:color="auto"/>
        <w:left w:val="none" w:sz="0" w:space="0" w:color="auto"/>
        <w:bottom w:val="none" w:sz="0" w:space="0" w:color="auto"/>
        <w:right w:val="none" w:sz="0" w:space="0" w:color="auto"/>
      </w:divBdr>
    </w:div>
    <w:div w:id="1666862518">
      <w:bodyDiv w:val="1"/>
      <w:marLeft w:val="0"/>
      <w:marRight w:val="0"/>
      <w:marTop w:val="0"/>
      <w:marBottom w:val="0"/>
      <w:divBdr>
        <w:top w:val="none" w:sz="0" w:space="0" w:color="auto"/>
        <w:left w:val="none" w:sz="0" w:space="0" w:color="auto"/>
        <w:bottom w:val="none" w:sz="0" w:space="0" w:color="auto"/>
        <w:right w:val="none" w:sz="0" w:space="0" w:color="auto"/>
      </w:divBdr>
    </w:div>
    <w:div w:id="1666936185">
      <w:bodyDiv w:val="1"/>
      <w:marLeft w:val="0"/>
      <w:marRight w:val="0"/>
      <w:marTop w:val="0"/>
      <w:marBottom w:val="0"/>
      <w:divBdr>
        <w:top w:val="none" w:sz="0" w:space="0" w:color="auto"/>
        <w:left w:val="none" w:sz="0" w:space="0" w:color="auto"/>
        <w:bottom w:val="none" w:sz="0" w:space="0" w:color="auto"/>
        <w:right w:val="none" w:sz="0" w:space="0" w:color="auto"/>
      </w:divBdr>
    </w:div>
    <w:div w:id="1666977303">
      <w:bodyDiv w:val="1"/>
      <w:marLeft w:val="0"/>
      <w:marRight w:val="0"/>
      <w:marTop w:val="0"/>
      <w:marBottom w:val="0"/>
      <w:divBdr>
        <w:top w:val="none" w:sz="0" w:space="0" w:color="auto"/>
        <w:left w:val="none" w:sz="0" w:space="0" w:color="auto"/>
        <w:bottom w:val="none" w:sz="0" w:space="0" w:color="auto"/>
        <w:right w:val="none" w:sz="0" w:space="0" w:color="auto"/>
      </w:divBdr>
    </w:div>
    <w:div w:id="1667048327">
      <w:bodyDiv w:val="1"/>
      <w:marLeft w:val="0"/>
      <w:marRight w:val="0"/>
      <w:marTop w:val="0"/>
      <w:marBottom w:val="0"/>
      <w:divBdr>
        <w:top w:val="none" w:sz="0" w:space="0" w:color="auto"/>
        <w:left w:val="none" w:sz="0" w:space="0" w:color="auto"/>
        <w:bottom w:val="none" w:sz="0" w:space="0" w:color="auto"/>
        <w:right w:val="none" w:sz="0" w:space="0" w:color="auto"/>
      </w:divBdr>
    </w:div>
    <w:div w:id="1667053693">
      <w:bodyDiv w:val="1"/>
      <w:marLeft w:val="0"/>
      <w:marRight w:val="0"/>
      <w:marTop w:val="0"/>
      <w:marBottom w:val="0"/>
      <w:divBdr>
        <w:top w:val="none" w:sz="0" w:space="0" w:color="auto"/>
        <w:left w:val="none" w:sz="0" w:space="0" w:color="auto"/>
        <w:bottom w:val="none" w:sz="0" w:space="0" w:color="auto"/>
        <w:right w:val="none" w:sz="0" w:space="0" w:color="auto"/>
      </w:divBdr>
    </w:div>
    <w:div w:id="1667173660">
      <w:bodyDiv w:val="1"/>
      <w:marLeft w:val="0"/>
      <w:marRight w:val="0"/>
      <w:marTop w:val="0"/>
      <w:marBottom w:val="0"/>
      <w:divBdr>
        <w:top w:val="none" w:sz="0" w:space="0" w:color="auto"/>
        <w:left w:val="none" w:sz="0" w:space="0" w:color="auto"/>
        <w:bottom w:val="none" w:sz="0" w:space="0" w:color="auto"/>
        <w:right w:val="none" w:sz="0" w:space="0" w:color="auto"/>
      </w:divBdr>
    </w:div>
    <w:div w:id="1667244927">
      <w:bodyDiv w:val="1"/>
      <w:marLeft w:val="0"/>
      <w:marRight w:val="0"/>
      <w:marTop w:val="0"/>
      <w:marBottom w:val="0"/>
      <w:divBdr>
        <w:top w:val="none" w:sz="0" w:space="0" w:color="auto"/>
        <w:left w:val="none" w:sz="0" w:space="0" w:color="auto"/>
        <w:bottom w:val="none" w:sz="0" w:space="0" w:color="auto"/>
        <w:right w:val="none" w:sz="0" w:space="0" w:color="auto"/>
      </w:divBdr>
    </w:div>
    <w:div w:id="1667247565">
      <w:bodyDiv w:val="1"/>
      <w:marLeft w:val="0"/>
      <w:marRight w:val="0"/>
      <w:marTop w:val="0"/>
      <w:marBottom w:val="0"/>
      <w:divBdr>
        <w:top w:val="none" w:sz="0" w:space="0" w:color="auto"/>
        <w:left w:val="none" w:sz="0" w:space="0" w:color="auto"/>
        <w:bottom w:val="none" w:sz="0" w:space="0" w:color="auto"/>
        <w:right w:val="none" w:sz="0" w:space="0" w:color="auto"/>
      </w:divBdr>
    </w:div>
    <w:div w:id="1667586660">
      <w:bodyDiv w:val="1"/>
      <w:marLeft w:val="0"/>
      <w:marRight w:val="0"/>
      <w:marTop w:val="0"/>
      <w:marBottom w:val="0"/>
      <w:divBdr>
        <w:top w:val="none" w:sz="0" w:space="0" w:color="auto"/>
        <w:left w:val="none" w:sz="0" w:space="0" w:color="auto"/>
        <w:bottom w:val="none" w:sz="0" w:space="0" w:color="auto"/>
        <w:right w:val="none" w:sz="0" w:space="0" w:color="auto"/>
      </w:divBdr>
    </w:div>
    <w:div w:id="1667708472">
      <w:bodyDiv w:val="1"/>
      <w:marLeft w:val="0"/>
      <w:marRight w:val="0"/>
      <w:marTop w:val="0"/>
      <w:marBottom w:val="0"/>
      <w:divBdr>
        <w:top w:val="none" w:sz="0" w:space="0" w:color="auto"/>
        <w:left w:val="none" w:sz="0" w:space="0" w:color="auto"/>
        <w:bottom w:val="none" w:sz="0" w:space="0" w:color="auto"/>
        <w:right w:val="none" w:sz="0" w:space="0" w:color="auto"/>
      </w:divBdr>
    </w:div>
    <w:div w:id="1667828515">
      <w:bodyDiv w:val="1"/>
      <w:marLeft w:val="0"/>
      <w:marRight w:val="0"/>
      <w:marTop w:val="0"/>
      <w:marBottom w:val="0"/>
      <w:divBdr>
        <w:top w:val="none" w:sz="0" w:space="0" w:color="auto"/>
        <w:left w:val="none" w:sz="0" w:space="0" w:color="auto"/>
        <w:bottom w:val="none" w:sz="0" w:space="0" w:color="auto"/>
        <w:right w:val="none" w:sz="0" w:space="0" w:color="auto"/>
      </w:divBdr>
    </w:div>
    <w:div w:id="1667902457">
      <w:bodyDiv w:val="1"/>
      <w:marLeft w:val="0"/>
      <w:marRight w:val="0"/>
      <w:marTop w:val="0"/>
      <w:marBottom w:val="0"/>
      <w:divBdr>
        <w:top w:val="none" w:sz="0" w:space="0" w:color="auto"/>
        <w:left w:val="none" w:sz="0" w:space="0" w:color="auto"/>
        <w:bottom w:val="none" w:sz="0" w:space="0" w:color="auto"/>
        <w:right w:val="none" w:sz="0" w:space="0" w:color="auto"/>
      </w:divBdr>
    </w:div>
    <w:div w:id="1668053926">
      <w:bodyDiv w:val="1"/>
      <w:marLeft w:val="0"/>
      <w:marRight w:val="0"/>
      <w:marTop w:val="0"/>
      <w:marBottom w:val="0"/>
      <w:divBdr>
        <w:top w:val="none" w:sz="0" w:space="0" w:color="auto"/>
        <w:left w:val="none" w:sz="0" w:space="0" w:color="auto"/>
        <w:bottom w:val="none" w:sz="0" w:space="0" w:color="auto"/>
        <w:right w:val="none" w:sz="0" w:space="0" w:color="auto"/>
      </w:divBdr>
    </w:div>
    <w:div w:id="1668241157">
      <w:bodyDiv w:val="1"/>
      <w:marLeft w:val="0"/>
      <w:marRight w:val="0"/>
      <w:marTop w:val="0"/>
      <w:marBottom w:val="0"/>
      <w:divBdr>
        <w:top w:val="none" w:sz="0" w:space="0" w:color="auto"/>
        <w:left w:val="none" w:sz="0" w:space="0" w:color="auto"/>
        <w:bottom w:val="none" w:sz="0" w:space="0" w:color="auto"/>
        <w:right w:val="none" w:sz="0" w:space="0" w:color="auto"/>
      </w:divBdr>
    </w:div>
    <w:div w:id="1668291486">
      <w:bodyDiv w:val="1"/>
      <w:marLeft w:val="0"/>
      <w:marRight w:val="0"/>
      <w:marTop w:val="0"/>
      <w:marBottom w:val="0"/>
      <w:divBdr>
        <w:top w:val="none" w:sz="0" w:space="0" w:color="auto"/>
        <w:left w:val="none" w:sz="0" w:space="0" w:color="auto"/>
        <w:bottom w:val="none" w:sz="0" w:space="0" w:color="auto"/>
        <w:right w:val="none" w:sz="0" w:space="0" w:color="auto"/>
      </w:divBdr>
    </w:div>
    <w:div w:id="1668701920">
      <w:bodyDiv w:val="1"/>
      <w:marLeft w:val="0"/>
      <w:marRight w:val="0"/>
      <w:marTop w:val="0"/>
      <w:marBottom w:val="0"/>
      <w:divBdr>
        <w:top w:val="none" w:sz="0" w:space="0" w:color="auto"/>
        <w:left w:val="none" w:sz="0" w:space="0" w:color="auto"/>
        <w:bottom w:val="none" w:sz="0" w:space="0" w:color="auto"/>
        <w:right w:val="none" w:sz="0" w:space="0" w:color="auto"/>
      </w:divBdr>
    </w:div>
    <w:div w:id="1669095114">
      <w:bodyDiv w:val="1"/>
      <w:marLeft w:val="0"/>
      <w:marRight w:val="0"/>
      <w:marTop w:val="0"/>
      <w:marBottom w:val="0"/>
      <w:divBdr>
        <w:top w:val="none" w:sz="0" w:space="0" w:color="auto"/>
        <w:left w:val="none" w:sz="0" w:space="0" w:color="auto"/>
        <w:bottom w:val="none" w:sz="0" w:space="0" w:color="auto"/>
        <w:right w:val="none" w:sz="0" w:space="0" w:color="auto"/>
      </w:divBdr>
    </w:div>
    <w:div w:id="1669211820">
      <w:bodyDiv w:val="1"/>
      <w:marLeft w:val="0"/>
      <w:marRight w:val="0"/>
      <w:marTop w:val="0"/>
      <w:marBottom w:val="0"/>
      <w:divBdr>
        <w:top w:val="none" w:sz="0" w:space="0" w:color="auto"/>
        <w:left w:val="none" w:sz="0" w:space="0" w:color="auto"/>
        <w:bottom w:val="none" w:sz="0" w:space="0" w:color="auto"/>
        <w:right w:val="none" w:sz="0" w:space="0" w:color="auto"/>
      </w:divBdr>
    </w:div>
    <w:div w:id="1669285530">
      <w:bodyDiv w:val="1"/>
      <w:marLeft w:val="0"/>
      <w:marRight w:val="0"/>
      <w:marTop w:val="0"/>
      <w:marBottom w:val="0"/>
      <w:divBdr>
        <w:top w:val="none" w:sz="0" w:space="0" w:color="auto"/>
        <w:left w:val="none" w:sz="0" w:space="0" w:color="auto"/>
        <w:bottom w:val="none" w:sz="0" w:space="0" w:color="auto"/>
        <w:right w:val="none" w:sz="0" w:space="0" w:color="auto"/>
      </w:divBdr>
    </w:div>
    <w:div w:id="1669290160">
      <w:bodyDiv w:val="1"/>
      <w:marLeft w:val="0"/>
      <w:marRight w:val="0"/>
      <w:marTop w:val="0"/>
      <w:marBottom w:val="0"/>
      <w:divBdr>
        <w:top w:val="none" w:sz="0" w:space="0" w:color="auto"/>
        <w:left w:val="none" w:sz="0" w:space="0" w:color="auto"/>
        <w:bottom w:val="none" w:sz="0" w:space="0" w:color="auto"/>
        <w:right w:val="none" w:sz="0" w:space="0" w:color="auto"/>
      </w:divBdr>
    </w:div>
    <w:div w:id="1669333911">
      <w:bodyDiv w:val="1"/>
      <w:marLeft w:val="0"/>
      <w:marRight w:val="0"/>
      <w:marTop w:val="0"/>
      <w:marBottom w:val="0"/>
      <w:divBdr>
        <w:top w:val="none" w:sz="0" w:space="0" w:color="auto"/>
        <w:left w:val="none" w:sz="0" w:space="0" w:color="auto"/>
        <w:bottom w:val="none" w:sz="0" w:space="0" w:color="auto"/>
        <w:right w:val="none" w:sz="0" w:space="0" w:color="auto"/>
      </w:divBdr>
    </w:div>
    <w:div w:id="1669596894">
      <w:bodyDiv w:val="1"/>
      <w:marLeft w:val="0"/>
      <w:marRight w:val="0"/>
      <w:marTop w:val="0"/>
      <w:marBottom w:val="0"/>
      <w:divBdr>
        <w:top w:val="none" w:sz="0" w:space="0" w:color="auto"/>
        <w:left w:val="none" w:sz="0" w:space="0" w:color="auto"/>
        <w:bottom w:val="none" w:sz="0" w:space="0" w:color="auto"/>
        <w:right w:val="none" w:sz="0" w:space="0" w:color="auto"/>
      </w:divBdr>
    </w:div>
    <w:div w:id="1669675993">
      <w:bodyDiv w:val="1"/>
      <w:marLeft w:val="0"/>
      <w:marRight w:val="0"/>
      <w:marTop w:val="0"/>
      <w:marBottom w:val="0"/>
      <w:divBdr>
        <w:top w:val="none" w:sz="0" w:space="0" w:color="auto"/>
        <w:left w:val="none" w:sz="0" w:space="0" w:color="auto"/>
        <w:bottom w:val="none" w:sz="0" w:space="0" w:color="auto"/>
        <w:right w:val="none" w:sz="0" w:space="0" w:color="auto"/>
      </w:divBdr>
    </w:div>
    <w:div w:id="1669794788">
      <w:bodyDiv w:val="1"/>
      <w:marLeft w:val="0"/>
      <w:marRight w:val="0"/>
      <w:marTop w:val="0"/>
      <w:marBottom w:val="0"/>
      <w:divBdr>
        <w:top w:val="none" w:sz="0" w:space="0" w:color="auto"/>
        <w:left w:val="none" w:sz="0" w:space="0" w:color="auto"/>
        <w:bottom w:val="none" w:sz="0" w:space="0" w:color="auto"/>
        <w:right w:val="none" w:sz="0" w:space="0" w:color="auto"/>
      </w:divBdr>
    </w:div>
    <w:div w:id="1669795932">
      <w:bodyDiv w:val="1"/>
      <w:marLeft w:val="0"/>
      <w:marRight w:val="0"/>
      <w:marTop w:val="0"/>
      <w:marBottom w:val="0"/>
      <w:divBdr>
        <w:top w:val="none" w:sz="0" w:space="0" w:color="auto"/>
        <w:left w:val="none" w:sz="0" w:space="0" w:color="auto"/>
        <w:bottom w:val="none" w:sz="0" w:space="0" w:color="auto"/>
        <w:right w:val="none" w:sz="0" w:space="0" w:color="auto"/>
      </w:divBdr>
    </w:div>
    <w:div w:id="1669946831">
      <w:bodyDiv w:val="1"/>
      <w:marLeft w:val="0"/>
      <w:marRight w:val="0"/>
      <w:marTop w:val="0"/>
      <w:marBottom w:val="0"/>
      <w:divBdr>
        <w:top w:val="none" w:sz="0" w:space="0" w:color="auto"/>
        <w:left w:val="none" w:sz="0" w:space="0" w:color="auto"/>
        <w:bottom w:val="none" w:sz="0" w:space="0" w:color="auto"/>
        <w:right w:val="none" w:sz="0" w:space="0" w:color="auto"/>
      </w:divBdr>
    </w:div>
    <w:div w:id="1670012797">
      <w:bodyDiv w:val="1"/>
      <w:marLeft w:val="0"/>
      <w:marRight w:val="0"/>
      <w:marTop w:val="0"/>
      <w:marBottom w:val="0"/>
      <w:divBdr>
        <w:top w:val="none" w:sz="0" w:space="0" w:color="auto"/>
        <w:left w:val="none" w:sz="0" w:space="0" w:color="auto"/>
        <w:bottom w:val="none" w:sz="0" w:space="0" w:color="auto"/>
        <w:right w:val="none" w:sz="0" w:space="0" w:color="auto"/>
      </w:divBdr>
    </w:div>
    <w:div w:id="1670015989">
      <w:bodyDiv w:val="1"/>
      <w:marLeft w:val="0"/>
      <w:marRight w:val="0"/>
      <w:marTop w:val="0"/>
      <w:marBottom w:val="0"/>
      <w:divBdr>
        <w:top w:val="none" w:sz="0" w:space="0" w:color="auto"/>
        <w:left w:val="none" w:sz="0" w:space="0" w:color="auto"/>
        <w:bottom w:val="none" w:sz="0" w:space="0" w:color="auto"/>
        <w:right w:val="none" w:sz="0" w:space="0" w:color="auto"/>
      </w:divBdr>
    </w:div>
    <w:div w:id="1670016063">
      <w:bodyDiv w:val="1"/>
      <w:marLeft w:val="0"/>
      <w:marRight w:val="0"/>
      <w:marTop w:val="0"/>
      <w:marBottom w:val="0"/>
      <w:divBdr>
        <w:top w:val="none" w:sz="0" w:space="0" w:color="auto"/>
        <w:left w:val="none" w:sz="0" w:space="0" w:color="auto"/>
        <w:bottom w:val="none" w:sz="0" w:space="0" w:color="auto"/>
        <w:right w:val="none" w:sz="0" w:space="0" w:color="auto"/>
      </w:divBdr>
    </w:div>
    <w:div w:id="1670057175">
      <w:bodyDiv w:val="1"/>
      <w:marLeft w:val="0"/>
      <w:marRight w:val="0"/>
      <w:marTop w:val="0"/>
      <w:marBottom w:val="0"/>
      <w:divBdr>
        <w:top w:val="none" w:sz="0" w:space="0" w:color="auto"/>
        <w:left w:val="none" w:sz="0" w:space="0" w:color="auto"/>
        <w:bottom w:val="none" w:sz="0" w:space="0" w:color="auto"/>
        <w:right w:val="none" w:sz="0" w:space="0" w:color="auto"/>
      </w:divBdr>
    </w:div>
    <w:div w:id="1670131316">
      <w:bodyDiv w:val="1"/>
      <w:marLeft w:val="0"/>
      <w:marRight w:val="0"/>
      <w:marTop w:val="0"/>
      <w:marBottom w:val="0"/>
      <w:divBdr>
        <w:top w:val="none" w:sz="0" w:space="0" w:color="auto"/>
        <w:left w:val="none" w:sz="0" w:space="0" w:color="auto"/>
        <w:bottom w:val="none" w:sz="0" w:space="0" w:color="auto"/>
        <w:right w:val="none" w:sz="0" w:space="0" w:color="auto"/>
      </w:divBdr>
    </w:div>
    <w:div w:id="1670400853">
      <w:bodyDiv w:val="1"/>
      <w:marLeft w:val="0"/>
      <w:marRight w:val="0"/>
      <w:marTop w:val="0"/>
      <w:marBottom w:val="0"/>
      <w:divBdr>
        <w:top w:val="none" w:sz="0" w:space="0" w:color="auto"/>
        <w:left w:val="none" w:sz="0" w:space="0" w:color="auto"/>
        <w:bottom w:val="none" w:sz="0" w:space="0" w:color="auto"/>
        <w:right w:val="none" w:sz="0" w:space="0" w:color="auto"/>
      </w:divBdr>
    </w:div>
    <w:div w:id="1670401207">
      <w:bodyDiv w:val="1"/>
      <w:marLeft w:val="0"/>
      <w:marRight w:val="0"/>
      <w:marTop w:val="0"/>
      <w:marBottom w:val="0"/>
      <w:divBdr>
        <w:top w:val="none" w:sz="0" w:space="0" w:color="auto"/>
        <w:left w:val="none" w:sz="0" w:space="0" w:color="auto"/>
        <w:bottom w:val="none" w:sz="0" w:space="0" w:color="auto"/>
        <w:right w:val="none" w:sz="0" w:space="0" w:color="auto"/>
      </w:divBdr>
    </w:div>
    <w:div w:id="1670450287">
      <w:bodyDiv w:val="1"/>
      <w:marLeft w:val="0"/>
      <w:marRight w:val="0"/>
      <w:marTop w:val="0"/>
      <w:marBottom w:val="0"/>
      <w:divBdr>
        <w:top w:val="none" w:sz="0" w:space="0" w:color="auto"/>
        <w:left w:val="none" w:sz="0" w:space="0" w:color="auto"/>
        <w:bottom w:val="none" w:sz="0" w:space="0" w:color="auto"/>
        <w:right w:val="none" w:sz="0" w:space="0" w:color="auto"/>
      </w:divBdr>
    </w:div>
    <w:div w:id="1670479745">
      <w:bodyDiv w:val="1"/>
      <w:marLeft w:val="0"/>
      <w:marRight w:val="0"/>
      <w:marTop w:val="0"/>
      <w:marBottom w:val="0"/>
      <w:divBdr>
        <w:top w:val="none" w:sz="0" w:space="0" w:color="auto"/>
        <w:left w:val="none" w:sz="0" w:space="0" w:color="auto"/>
        <w:bottom w:val="none" w:sz="0" w:space="0" w:color="auto"/>
        <w:right w:val="none" w:sz="0" w:space="0" w:color="auto"/>
      </w:divBdr>
    </w:div>
    <w:div w:id="1670713243">
      <w:bodyDiv w:val="1"/>
      <w:marLeft w:val="0"/>
      <w:marRight w:val="0"/>
      <w:marTop w:val="0"/>
      <w:marBottom w:val="0"/>
      <w:divBdr>
        <w:top w:val="none" w:sz="0" w:space="0" w:color="auto"/>
        <w:left w:val="none" w:sz="0" w:space="0" w:color="auto"/>
        <w:bottom w:val="none" w:sz="0" w:space="0" w:color="auto"/>
        <w:right w:val="none" w:sz="0" w:space="0" w:color="auto"/>
      </w:divBdr>
    </w:div>
    <w:div w:id="1670908940">
      <w:bodyDiv w:val="1"/>
      <w:marLeft w:val="0"/>
      <w:marRight w:val="0"/>
      <w:marTop w:val="0"/>
      <w:marBottom w:val="0"/>
      <w:divBdr>
        <w:top w:val="none" w:sz="0" w:space="0" w:color="auto"/>
        <w:left w:val="none" w:sz="0" w:space="0" w:color="auto"/>
        <w:bottom w:val="none" w:sz="0" w:space="0" w:color="auto"/>
        <w:right w:val="none" w:sz="0" w:space="0" w:color="auto"/>
      </w:divBdr>
    </w:div>
    <w:div w:id="1670985715">
      <w:bodyDiv w:val="1"/>
      <w:marLeft w:val="0"/>
      <w:marRight w:val="0"/>
      <w:marTop w:val="0"/>
      <w:marBottom w:val="0"/>
      <w:divBdr>
        <w:top w:val="none" w:sz="0" w:space="0" w:color="auto"/>
        <w:left w:val="none" w:sz="0" w:space="0" w:color="auto"/>
        <w:bottom w:val="none" w:sz="0" w:space="0" w:color="auto"/>
        <w:right w:val="none" w:sz="0" w:space="0" w:color="auto"/>
      </w:divBdr>
    </w:div>
    <w:div w:id="1671130125">
      <w:bodyDiv w:val="1"/>
      <w:marLeft w:val="0"/>
      <w:marRight w:val="0"/>
      <w:marTop w:val="0"/>
      <w:marBottom w:val="0"/>
      <w:divBdr>
        <w:top w:val="none" w:sz="0" w:space="0" w:color="auto"/>
        <w:left w:val="none" w:sz="0" w:space="0" w:color="auto"/>
        <w:bottom w:val="none" w:sz="0" w:space="0" w:color="auto"/>
        <w:right w:val="none" w:sz="0" w:space="0" w:color="auto"/>
      </w:divBdr>
    </w:div>
    <w:div w:id="1671323025">
      <w:bodyDiv w:val="1"/>
      <w:marLeft w:val="0"/>
      <w:marRight w:val="0"/>
      <w:marTop w:val="0"/>
      <w:marBottom w:val="0"/>
      <w:divBdr>
        <w:top w:val="none" w:sz="0" w:space="0" w:color="auto"/>
        <w:left w:val="none" w:sz="0" w:space="0" w:color="auto"/>
        <w:bottom w:val="none" w:sz="0" w:space="0" w:color="auto"/>
        <w:right w:val="none" w:sz="0" w:space="0" w:color="auto"/>
      </w:divBdr>
    </w:div>
    <w:div w:id="1671329329">
      <w:bodyDiv w:val="1"/>
      <w:marLeft w:val="0"/>
      <w:marRight w:val="0"/>
      <w:marTop w:val="0"/>
      <w:marBottom w:val="0"/>
      <w:divBdr>
        <w:top w:val="none" w:sz="0" w:space="0" w:color="auto"/>
        <w:left w:val="none" w:sz="0" w:space="0" w:color="auto"/>
        <w:bottom w:val="none" w:sz="0" w:space="0" w:color="auto"/>
        <w:right w:val="none" w:sz="0" w:space="0" w:color="auto"/>
      </w:divBdr>
    </w:div>
    <w:div w:id="1671330179">
      <w:bodyDiv w:val="1"/>
      <w:marLeft w:val="0"/>
      <w:marRight w:val="0"/>
      <w:marTop w:val="0"/>
      <w:marBottom w:val="0"/>
      <w:divBdr>
        <w:top w:val="none" w:sz="0" w:space="0" w:color="auto"/>
        <w:left w:val="none" w:sz="0" w:space="0" w:color="auto"/>
        <w:bottom w:val="none" w:sz="0" w:space="0" w:color="auto"/>
        <w:right w:val="none" w:sz="0" w:space="0" w:color="auto"/>
      </w:divBdr>
    </w:div>
    <w:div w:id="1671373287">
      <w:bodyDiv w:val="1"/>
      <w:marLeft w:val="0"/>
      <w:marRight w:val="0"/>
      <w:marTop w:val="0"/>
      <w:marBottom w:val="0"/>
      <w:divBdr>
        <w:top w:val="none" w:sz="0" w:space="0" w:color="auto"/>
        <w:left w:val="none" w:sz="0" w:space="0" w:color="auto"/>
        <w:bottom w:val="none" w:sz="0" w:space="0" w:color="auto"/>
        <w:right w:val="none" w:sz="0" w:space="0" w:color="auto"/>
      </w:divBdr>
    </w:div>
    <w:div w:id="1671517391">
      <w:bodyDiv w:val="1"/>
      <w:marLeft w:val="0"/>
      <w:marRight w:val="0"/>
      <w:marTop w:val="0"/>
      <w:marBottom w:val="0"/>
      <w:divBdr>
        <w:top w:val="none" w:sz="0" w:space="0" w:color="auto"/>
        <w:left w:val="none" w:sz="0" w:space="0" w:color="auto"/>
        <w:bottom w:val="none" w:sz="0" w:space="0" w:color="auto"/>
        <w:right w:val="none" w:sz="0" w:space="0" w:color="auto"/>
      </w:divBdr>
    </w:div>
    <w:div w:id="1671517625">
      <w:bodyDiv w:val="1"/>
      <w:marLeft w:val="0"/>
      <w:marRight w:val="0"/>
      <w:marTop w:val="0"/>
      <w:marBottom w:val="0"/>
      <w:divBdr>
        <w:top w:val="none" w:sz="0" w:space="0" w:color="auto"/>
        <w:left w:val="none" w:sz="0" w:space="0" w:color="auto"/>
        <w:bottom w:val="none" w:sz="0" w:space="0" w:color="auto"/>
        <w:right w:val="none" w:sz="0" w:space="0" w:color="auto"/>
      </w:divBdr>
    </w:div>
    <w:div w:id="1671564016">
      <w:bodyDiv w:val="1"/>
      <w:marLeft w:val="0"/>
      <w:marRight w:val="0"/>
      <w:marTop w:val="0"/>
      <w:marBottom w:val="0"/>
      <w:divBdr>
        <w:top w:val="none" w:sz="0" w:space="0" w:color="auto"/>
        <w:left w:val="none" w:sz="0" w:space="0" w:color="auto"/>
        <w:bottom w:val="none" w:sz="0" w:space="0" w:color="auto"/>
        <w:right w:val="none" w:sz="0" w:space="0" w:color="auto"/>
      </w:divBdr>
    </w:div>
    <w:div w:id="1671714268">
      <w:bodyDiv w:val="1"/>
      <w:marLeft w:val="0"/>
      <w:marRight w:val="0"/>
      <w:marTop w:val="0"/>
      <w:marBottom w:val="0"/>
      <w:divBdr>
        <w:top w:val="none" w:sz="0" w:space="0" w:color="auto"/>
        <w:left w:val="none" w:sz="0" w:space="0" w:color="auto"/>
        <w:bottom w:val="none" w:sz="0" w:space="0" w:color="auto"/>
        <w:right w:val="none" w:sz="0" w:space="0" w:color="auto"/>
      </w:divBdr>
    </w:div>
    <w:div w:id="1671829605">
      <w:bodyDiv w:val="1"/>
      <w:marLeft w:val="0"/>
      <w:marRight w:val="0"/>
      <w:marTop w:val="0"/>
      <w:marBottom w:val="0"/>
      <w:divBdr>
        <w:top w:val="none" w:sz="0" w:space="0" w:color="auto"/>
        <w:left w:val="none" w:sz="0" w:space="0" w:color="auto"/>
        <w:bottom w:val="none" w:sz="0" w:space="0" w:color="auto"/>
        <w:right w:val="none" w:sz="0" w:space="0" w:color="auto"/>
      </w:divBdr>
    </w:div>
    <w:div w:id="1671978699">
      <w:bodyDiv w:val="1"/>
      <w:marLeft w:val="0"/>
      <w:marRight w:val="0"/>
      <w:marTop w:val="0"/>
      <w:marBottom w:val="0"/>
      <w:divBdr>
        <w:top w:val="none" w:sz="0" w:space="0" w:color="auto"/>
        <w:left w:val="none" w:sz="0" w:space="0" w:color="auto"/>
        <w:bottom w:val="none" w:sz="0" w:space="0" w:color="auto"/>
        <w:right w:val="none" w:sz="0" w:space="0" w:color="auto"/>
      </w:divBdr>
    </w:div>
    <w:div w:id="1671984718">
      <w:bodyDiv w:val="1"/>
      <w:marLeft w:val="0"/>
      <w:marRight w:val="0"/>
      <w:marTop w:val="0"/>
      <w:marBottom w:val="0"/>
      <w:divBdr>
        <w:top w:val="none" w:sz="0" w:space="0" w:color="auto"/>
        <w:left w:val="none" w:sz="0" w:space="0" w:color="auto"/>
        <w:bottom w:val="none" w:sz="0" w:space="0" w:color="auto"/>
        <w:right w:val="none" w:sz="0" w:space="0" w:color="auto"/>
      </w:divBdr>
    </w:div>
    <w:div w:id="1672294697">
      <w:bodyDiv w:val="1"/>
      <w:marLeft w:val="0"/>
      <w:marRight w:val="0"/>
      <w:marTop w:val="0"/>
      <w:marBottom w:val="0"/>
      <w:divBdr>
        <w:top w:val="none" w:sz="0" w:space="0" w:color="auto"/>
        <w:left w:val="none" w:sz="0" w:space="0" w:color="auto"/>
        <w:bottom w:val="none" w:sz="0" w:space="0" w:color="auto"/>
        <w:right w:val="none" w:sz="0" w:space="0" w:color="auto"/>
      </w:divBdr>
    </w:div>
    <w:div w:id="1672415224">
      <w:bodyDiv w:val="1"/>
      <w:marLeft w:val="0"/>
      <w:marRight w:val="0"/>
      <w:marTop w:val="0"/>
      <w:marBottom w:val="0"/>
      <w:divBdr>
        <w:top w:val="none" w:sz="0" w:space="0" w:color="auto"/>
        <w:left w:val="none" w:sz="0" w:space="0" w:color="auto"/>
        <w:bottom w:val="none" w:sz="0" w:space="0" w:color="auto"/>
        <w:right w:val="none" w:sz="0" w:space="0" w:color="auto"/>
      </w:divBdr>
    </w:div>
    <w:div w:id="1672754549">
      <w:bodyDiv w:val="1"/>
      <w:marLeft w:val="0"/>
      <w:marRight w:val="0"/>
      <w:marTop w:val="0"/>
      <w:marBottom w:val="0"/>
      <w:divBdr>
        <w:top w:val="none" w:sz="0" w:space="0" w:color="auto"/>
        <w:left w:val="none" w:sz="0" w:space="0" w:color="auto"/>
        <w:bottom w:val="none" w:sz="0" w:space="0" w:color="auto"/>
        <w:right w:val="none" w:sz="0" w:space="0" w:color="auto"/>
      </w:divBdr>
    </w:div>
    <w:div w:id="1672876669">
      <w:bodyDiv w:val="1"/>
      <w:marLeft w:val="0"/>
      <w:marRight w:val="0"/>
      <w:marTop w:val="0"/>
      <w:marBottom w:val="0"/>
      <w:divBdr>
        <w:top w:val="none" w:sz="0" w:space="0" w:color="auto"/>
        <w:left w:val="none" w:sz="0" w:space="0" w:color="auto"/>
        <w:bottom w:val="none" w:sz="0" w:space="0" w:color="auto"/>
        <w:right w:val="none" w:sz="0" w:space="0" w:color="auto"/>
      </w:divBdr>
    </w:div>
    <w:div w:id="1672902278">
      <w:bodyDiv w:val="1"/>
      <w:marLeft w:val="0"/>
      <w:marRight w:val="0"/>
      <w:marTop w:val="0"/>
      <w:marBottom w:val="0"/>
      <w:divBdr>
        <w:top w:val="none" w:sz="0" w:space="0" w:color="auto"/>
        <w:left w:val="none" w:sz="0" w:space="0" w:color="auto"/>
        <w:bottom w:val="none" w:sz="0" w:space="0" w:color="auto"/>
        <w:right w:val="none" w:sz="0" w:space="0" w:color="auto"/>
      </w:divBdr>
    </w:div>
    <w:div w:id="1672952938">
      <w:bodyDiv w:val="1"/>
      <w:marLeft w:val="0"/>
      <w:marRight w:val="0"/>
      <w:marTop w:val="0"/>
      <w:marBottom w:val="0"/>
      <w:divBdr>
        <w:top w:val="none" w:sz="0" w:space="0" w:color="auto"/>
        <w:left w:val="none" w:sz="0" w:space="0" w:color="auto"/>
        <w:bottom w:val="none" w:sz="0" w:space="0" w:color="auto"/>
        <w:right w:val="none" w:sz="0" w:space="0" w:color="auto"/>
      </w:divBdr>
    </w:div>
    <w:div w:id="1673604429">
      <w:bodyDiv w:val="1"/>
      <w:marLeft w:val="0"/>
      <w:marRight w:val="0"/>
      <w:marTop w:val="0"/>
      <w:marBottom w:val="0"/>
      <w:divBdr>
        <w:top w:val="none" w:sz="0" w:space="0" w:color="auto"/>
        <w:left w:val="none" w:sz="0" w:space="0" w:color="auto"/>
        <w:bottom w:val="none" w:sz="0" w:space="0" w:color="auto"/>
        <w:right w:val="none" w:sz="0" w:space="0" w:color="auto"/>
      </w:divBdr>
    </w:div>
    <w:div w:id="1673677913">
      <w:bodyDiv w:val="1"/>
      <w:marLeft w:val="0"/>
      <w:marRight w:val="0"/>
      <w:marTop w:val="0"/>
      <w:marBottom w:val="0"/>
      <w:divBdr>
        <w:top w:val="none" w:sz="0" w:space="0" w:color="auto"/>
        <w:left w:val="none" w:sz="0" w:space="0" w:color="auto"/>
        <w:bottom w:val="none" w:sz="0" w:space="0" w:color="auto"/>
        <w:right w:val="none" w:sz="0" w:space="0" w:color="auto"/>
      </w:divBdr>
    </w:div>
    <w:div w:id="1673680978">
      <w:bodyDiv w:val="1"/>
      <w:marLeft w:val="0"/>
      <w:marRight w:val="0"/>
      <w:marTop w:val="0"/>
      <w:marBottom w:val="0"/>
      <w:divBdr>
        <w:top w:val="none" w:sz="0" w:space="0" w:color="auto"/>
        <w:left w:val="none" w:sz="0" w:space="0" w:color="auto"/>
        <w:bottom w:val="none" w:sz="0" w:space="0" w:color="auto"/>
        <w:right w:val="none" w:sz="0" w:space="0" w:color="auto"/>
      </w:divBdr>
    </w:div>
    <w:div w:id="1673989420">
      <w:bodyDiv w:val="1"/>
      <w:marLeft w:val="0"/>
      <w:marRight w:val="0"/>
      <w:marTop w:val="0"/>
      <w:marBottom w:val="0"/>
      <w:divBdr>
        <w:top w:val="none" w:sz="0" w:space="0" w:color="auto"/>
        <w:left w:val="none" w:sz="0" w:space="0" w:color="auto"/>
        <w:bottom w:val="none" w:sz="0" w:space="0" w:color="auto"/>
        <w:right w:val="none" w:sz="0" w:space="0" w:color="auto"/>
      </w:divBdr>
    </w:div>
    <w:div w:id="1674067221">
      <w:bodyDiv w:val="1"/>
      <w:marLeft w:val="0"/>
      <w:marRight w:val="0"/>
      <w:marTop w:val="0"/>
      <w:marBottom w:val="0"/>
      <w:divBdr>
        <w:top w:val="none" w:sz="0" w:space="0" w:color="auto"/>
        <w:left w:val="none" w:sz="0" w:space="0" w:color="auto"/>
        <w:bottom w:val="none" w:sz="0" w:space="0" w:color="auto"/>
        <w:right w:val="none" w:sz="0" w:space="0" w:color="auto"/>
      </w:divBdr>
    </w:div>
    <w:div w:id="1674262775">
      <w:bodyDiv w:val="1"/>
      <w:marLeft w:val="0"/>
      <w:marRight w:val="0"/>
      <w:marTop w:val="0"/>
      <w:marBottom w:val="0"/>
      <w:divBdr>
        <w:top w:val="none" w:sz="0" w:space="0" w:color="auto"/>
        <w:left w:val="none" w:sz="0" w:space="0" w:color="auto"/>
        <w:bottom w:val="none" w:sz="0" w:space="0" w:color="auto"/>
        <w:right w:val="none" w:sz="0" w:space="0" w:color="auto"/>
      </w:divBdr>
    </w:div>
    <w:div w:id="1674331696">
      <w:bodyDiv w:val="1"/>
      <w:marLeft w:val="0"/>
      <w:marRight w:val="0"/>
      <w:marTop w:val="0"/>
      <w:marBottom w:val="0"/>
      <w:divBdr>
        <w:top w:val="none" w:sz="0" w:space="0" w:color="auto"/>
        <w:left w:val="none" w:sz="0" w:space="0" w:color="auto"/>
        <w:bottom w:val="none" w:sz="0" w:space="0" w:color="auto"/>
        <w:right w:val="none" w:sz="0" w:space="0" w:color="auto"/>
      </w:divBdr>
    </w:div>
    <w:div w:id="1674530434">
      <w:bodyDiv w:val="1"/>
      <w:marLeft w:val="0"/>
      <w:marRight w:val="0"/>
      <w:marTop w:val="0"/>
      <w:marBottom w:val="0"/>
      <w:divBdr>
        <w:top w:val="none" w:sz="0" w:space="0" w:color="auto"/>
        <w:left w:val="none" w:sz="0" w:space="0" w:color="auto"/>
        <w:bottom w:val="none" w:sz="0" w:space="0" w:color="auto"/>
        <w:right w:val="none" w:sz="0" w:space="0" w:color="auto"/>
      </w:divBdr>
    </w:div>
    <w:div w:id="1674531182">
      <w:bodyDiv w:val="1"/>
      <w:marLeft w:val="0"/>
      <w:marRight w:val="0"/>
      <w:marTop w:val="0"/>
      <w:marBottom w:val="0"/>
      <w:divBdr>
        <w:top w:val="none" w:sz="0" w:space="0" w:color="auto"/>
        <w:left w:val="none" w:sz="0" w:space="0" w:color="auto"/>
        <w:bottom w:val="none" w:sz="0" w:space="0" w:color="auto"/>
        <w:right w:val="none" w:sz="0" w:space="0" w:color="auto"/>
      </w:divBdr>
    </w:div>
    <w:div w:id="1674910918">
      <w:bodyDiv w:val="1"/>
      <w:marLeft w:val="0"/>
      <w:marRight w:val="0"/>
      <w:marTop w:val="0"/>
      <w:marBottom w:val="0"/>
      <w:divBdr>
        <w:top w:val="none" w:sz="0" w:space="0" w:color="auto"/>
        <w:left w:val="none" w:sz="0" w:space="0" w:color="auto"/>
        <w:bottom w:val="none" w:sz="0" w:space="0" w:color="auto"/>
        <w:right w:val="none" w:sz="0" w:space="0" w:color="auto"/>
      </w:divBdr>
    </w:div>
    <w:div w:id="1674919669">
      <w:bodyDiv w:val="1"/>
      <w:marLeft w:val="0"/>
      <w:marRight w:val="0"/>
      <w:marTop w:val="0"/>
      <w:marBottom w:val="0"/>
      <w:divBdr>
        <w:top w:val="none" w:sz="0" w:space="0" w:color="auto"/>
        <w:left w:val="none" w:sz="0" w:space="0" w:color="auto"/>
        <w:bottom w:val="none" w:sz="0" w:space="0" w:color="auto"/>
        <w:right w:val="none" w:sz="0" w:space="0" w:color="auto"/>
      </w:divBdr>
    </w:div>
    <w:div w:id="1674987211">
      <w:bodyDiv w:val="1"/>
      <w:marLeft w:val="0"/>
      <w:marRight w:val="0"/>
      <w:marTop w:val="0"/>
      <w:marBottom w:val="0"/>
      <w:divBdr>
        <w:top w:val="none" w:sz="0" w:space="0" w:color="auto"/>
        <w:left w:val="none" w:sz="0" w:space="0" w:color="auto"/>
        <w:bottom w:val="none" w:sz="0" w:space="0" w:color="auto"/>
        <w:right w:val="none" w:sz="0" w:space="0" w:color="auto"/>
      </w:divBdr>
    </w:div>
    <w:div w:id="1674994589">
      <w:bodyDiv w:val="1"/>
      <w:marLeft w:val="0"/>
      <w:marRight w:val="0"/>
      <w:marTop w:val="0"/>
      <w:marBottom w:val="0"/>
      <w:divBdr>
        <w:top w:val="none" w:sz="0" w:space="0" w:color="auto"/>
        <w:left w:val="none" w:sz="0" w:space="0" w:color="auto"/>
        <w:bottom w:val="none" w:sz="0" w:space="0" w:color="auto"/>
        <w:right w:val="none" w:sz="0" w:space="0" w:color="auto"/>
      </w:divBdr>
    </w:div>
    <w:div w:id="1675065257">
      <w:bodyDiv w:val="1"/>
      <w:marLeft w:val="0"/>
      <w:marRight w:val="0"/>
      <w:marTop w:val="0"/>
      <w:marBottom w:val="0"/>
      <w:divBdr>
        <w:top w:val="none" w:sz="0" w:space="0" w:color="auto"/>
        <w:left w:val="none" w:sz="0" w:space="0" w:color="auto"/>
        <w:bottom w:val="none" w:sz="0" w:space="0" w:color="auto"/>
        <w:right w:val="none" w:sz="0" w:space="0" w:color="auto"/>
      </w:divBdr>
    </w:div>
    <w:div w:id="1675109900">
      <w:bodyDiv w:val="1"/>
      <w:marLeft w:val="0"/>
      <w:marRight w:val="0"/>
      <w:marTop w:val="0"/>
      <w:marBottom w:val="0"/>
      <w:divBdr>
        <w:top w:val="none" w:sz="0" w:space="0" w:color="auto"/>
        <w:left w:val="none" w:sz="0" w:space="0" w:color="auto"/>
        <w:bottom w:val="none" w:sz="0" w:space="0" w:color="auto"/>
        <w:right w:val="none" w:sz="0" w:space="0" w:color="auto"/>
      </w:divBdr>
    </w:div>
    <w:div w:id="1675179912">
      <w:bodyDiv w:val="1"/>
      <w:marLeft w:val="0"/>
      <w:marRight w:val="0"/>
      <w:marTop w:val="0"/>
      <w:marBottom w:val="0"/>
      <w:divBdr>
        <w:top w:val="none" w:sz="0" w:space="0" w:color="auto"/>
        <w:left w:val="none" w:sz="0" w:space="0" w:color="auto"/>
        <w:bottom w:val="none" w:sz="0" w:space="0" w:color="auto"/>
        <w:right w:val="none" w:sz="0" w:space="0" w:color="auto"/>
      </w:divBdr>
    </w:div>
    <w:div w:id="1675375440">
      <w:bodyDiv w:val="1"/>
      <w:marLeft w:val="0"/>
      <w:marRight w:val="0"/>
      <w:marTop w:val="0"/>
      <w:marBottom w:val="0"/>
      <w:divBdr>
        <w:top w:val="none" w:sz="0" w:space="0" w:color="auto"/>
        <w:left w:val="none" w:sz="0" w:space="0" w:color="auto"/>
        <w:bottom w:val="none" w:sz="0" w:space="0" w:color="auto"/>
        <w:right w:val="none" w:sz="0" w:space="0" w:color="auto"/>
      </w:divBdr>
    </w:div>
    <w:div w:id="1675567664">
      <w:bodyDiv w:val="1"/>
      <w:marLeft w:val="0"/>
      <w:marRight w:val="0"/>
      <w:marTop w:val="0"/>
      <w:marBottom w:val="0"/>
      <w:divBdr>
        <w:top w:val="none" w:sz="0" w:space="0" w:color="auto"/>
        <w:left w:val="none" w:sz="0" w:space="0" w:color="auto"/>
        <w:bottom w:val="none" w:sz="0" w:space="0" w:color="auto"/>
        <w:right w:val="none" w:sz="0" w:space="0" w:color="auto"/>
      </w:divBdr>
    </w:div>
    <w:div w:id="1675572672">
      <w:bodyDiv w:val="1"/>
      <w:marLeft w:val="0"/>
      <w:marRight w:val="0"/>
      <w:marTop w:val="0"/>
      <w:marBottom w:val="0"/>
      <w:divBdr>
        <w:top w:val="none" w:sz="0" w:space="0" w:color="auto"/>
        <w:left w:val="none" w:sz="0" w:space="0" w:color="auto"/>
        <w:bottom w:val="none" w:sz="0" w:space="0" w:color="auto"/>
        <w:right w:val="none" w:sz="0" w:space="0" w:color="auto"/>
      </w:divBdr>
    </w:div>
    <w:div w:id="1675690441">
      <w:bodyDiv w:val="1"/>
      <w:marLeft w:val="0"/>
      <w:marRight w:val="0"/>
      <w:marTop w:val="0"/>
      <w:marBottom w:val="0"/>
      <w:divBdr>
        <w:top w:val="none" w:sz="0" w:space="0" w:color="auto"/>
        <w:left w:val="none" w:sz="0" w:space="0" w:color="auto"/>
        <w:bottom w:val="none" w:sz="0" w:space="0" w:color="auto"/>
        <w:right w:val="none" w:sz="0" w:space="0" w:color="auto"/>
      </w:divBdr>
    </w:div>
    <w:div w:id="1675692513">
      <w:bodyDiv w:val="1"/>
      <w:marLeft w:val="0"/>
      <w:marRight w:val="0"/>
      <w:marTop w:val="0"/>
      <w:marBottom w:val="0"/>
      <w:divBdr>
        <w:top w:val="none" w:sz="0" w:space="0" w:color="auto"/>
        <w:left w:val="none" w:sz="0" w:space="0" w:color="auto"/>
        <w:bottom w:val="none" w:sz="0" w:space="0" w:color="auto"/>
        <w:right w:val="none" w:sz="0" w:space="0" w:color="auto"/>
      </w:divBdr>
    </w:div>
    <w:div w:id="1675914051">
      <w:bodyDiv w:val="1"/>
      <w:marLeft w:val="0"/>
      <w:marRight w:val="0"/>
      <w:marTop w:val="0"/>
      <w:marBottom w:val="0"/>
      <w:divBdr>
        <w:top w:val="none" w:sz="0" w:space="0" w:color="auto"/>
        <w:left w:val="none" w:sz="0" w:space="0" w:color="auto"/>
        <w:bottom w:val="none" w:sz="0" w:space="0" w:color="auto"/>
        <w:right w:val="none" w:sz="0" w:space="0" w:color="auto"/>
      </w:divBdr>
    </w:div>
    <w:div w:id="1676029474">
      <w:bodyDiv w:val="1"/>
      <w:marLeft w:val="0"/>
      <w:marRight w:val="0"/>
      <w:marTop w:val="0"/>
      <w:marBottom w:val="0"/>
      <w:divBdr>
        <w:top w:val="none" w:sz="0" w:space="0" w:color="auto"/>
        <w:left w:val="none" w:sz="0" w:space="0" w:color="auto"/>
        <w:bottom w:val="none" w:sz="0" w:space="0" w:color="auto"/>
        <w:right w:val="none" w:sz="0" w:space="0" w:color="auto"/>
      </w:divBdr>
    </w:div>
    <w:div w:id="1676031440">
      <w:bodyDiv w:val="1"/>
      <w:marLeft w:val="0"/>
      <w:marRight w:val="0"/>
      <w:marTop w:val="0"/>
      <w:marBottom w:val="0"/>
      <w:divBdr>
        <w:top w:val="none" w:sz="0" w:space="0" w:color="auto"/>
        <w:left w:val="none" w:sz="0" w:space="0" w:color="auto"/>
        <w:bottom w:val="none" w:sz="0" w:space="0" w:color="auto"/>
        <w:right w:val="none" w:sz="0" w:space="0" w:color="auto"/>
      </w:divBdr>
    </w:div>
    <w:div w:id="1676034263">
      <w:bodyDiv w:val="1"/>
      <w:marLeft w:val="0"/>
      <w:marRight w:val="0"/>
      <w:marTop w:val="0"/>
      <w:marBottom w:val="0"/>
      <w:divBdr>
        <w:top w:val="none" w:sz="0" w:space="0" w:color="auto"/>
        <w:left w:val="none" w:sz="0" w:space="0" w:color="auto"/>
        <w:bottom w:val="none" w:sz="0" w:space="0" w:color="auto"/>
        <w:right w:val="none" w:sz="0" w:space="0" w:color="auto"/>
      </w:divBdr>
    </w:div>
    <w:div w:id="1676109942">
      <w:bodyDiv w:val="1"/>
      <w:marLeft w:val="0"/>
      <w:marRight w:val="0"/>
      <w:marTop w:val="0"/>
      <w:marBottom w:val="0"/>
      <w:divBdr>
        <w:top w:val="none" w:sz="0" w:space="0" w:color="auto"/>
        <w:left w:val="none" w:sz="0" w:space="0" w:color="auto"/>
        <w:bottom w:val="none" w:sz="0" w:space="0" w:color="auto"/>
        <w:right w:val="none" w:sz="0" w:space="0" w:color="auto"/>
      </w:divBdr>
    </w:div>
    <w:div w:id="1676152088">
      <w:bodyDiv w:val="1"/>
      <w:marLeft w:val="0"/>
      <w:marRight w:val="0"/>
      <w:marTop w:val="0"/>
      <w:marBottom w:val="0"/>
      <w:divBdr>
        <w:top w:val="none" w:sz="0" w:space="0" w:color="auto"/>
        <w:left w:val="none" w:sz="0" w:space="0" w:color="auto"/>
        <w:bottom w:val="none" w:sz="0" w:space="0" w:color="auto"/>
        <w:right w:val="none" w:sz="0" w:space="0" w:color="auto"/>
      </w:divBdr>
    </w:div>
    <w:div w:id="1676372710">
      <w:bodyDiv w:val="1"/>
      <w:marLeft w:val="0"/>
      <w:marRight w:val="0"/>
      <w:marTop w:val="0"/>
      <w:marBottom w:val="0"/>
      <w:divBdr>
        <w:top w:val="none" w:sz="0" w:space="0" w:color="auto"/>
        <w:left w:val="none" w:sz="0" w:space="0" w:color="auto"/>
        <w:bottom w:val="none" w:sz="0" w:space="0" w:color="auto"/>
        <w:right w:val="none" w:sz="0" w:space="0" w:color="auto"/>
      </w:divBdr>
    </w:div>
    <w:div w:id="1676493506">
      <w:bodyDiv w:val="1"/>
      <w:marLeft w:val="0"/>
      <w:marRight w:val="0"/>
      <w:marTop w:val="0"/>
      <w:marBottom w:val="0"/>
      <w:divBdr>
        <w:top w:val="none" w:sz="0" w:space="0" w:color="auto"/>
        <w:left w:val="none" w:sz="0" w:space="0" w:color="auto"/>
        <w:bottom w:val="none" w:sz="0" w:space="0" w:color="auto"/>
        <w:right w:val="none" w:sz="0" w:space="0" w:color="auto"/>
      </w:divBdr>
    </w:div>
    <w:div w:id="1676569696">
      <w:bodyDiv w:val="1"/>
      <w:marLeft w:val="0"/>
      <w:marRight w:val="0"/>
      <w:marTop w:val="0"/>
      <w:marBottom w:val="0"/>
      <w:divBdr>
        <w:top w:val="none" w:sz="0" w:space="0" w:color="auto"/>
        <w:left w:val="none" w:sz="0" w:space="0" w:color="auto"/>
        <w:bottom w:val="none" w:sz="0" w:space="0" w:color="auto"/>
        <w:right w:val="none" w:sz="0" w:space="0" w:color="auto"/>
      </w:divBdr>
    </w:div>
    <w:div w:id="1676686639">
      <w:bodyDiv w:val="1"/>
      <w:marLeft w:val="0"/>
      <w:marRight w:val="0"/>
      <w:marTop w:val="0"/>
      <w:marBottom w:val="0"/>
      <w:divBdr>
        <w:top w:val="none" w:sz="0" w:space="0" w:color="auto"/>
        <w:left w:val="none" w:sz="0" w:space="0" w:color="auto"/>
        <w:bottom w:val="none" w:sz="0" w:space="0" w:color="auto"/>
        <w:right w:val="none" w:sz="0" w:space="0" w:color="auto"/>
      </w:divBdr>
    </w:div>
    <w:div w:id="1676767789">
      <w:bodyDiv w:val="1"/>
      <w:marLeft w:val="0"/>
      <w:marRight w:val="0"/>
      <w:marTop w:val="0"/>
      <w:marBottom w:val="0"/>
      <w:divBdr>
        <w:top w:val="none" w:sz="0" w:space="0" w:color="auto"/>
        <w:left w:val="none" w:sz="0" w:space="0" w:color="auto"/>
        <w:bottom w:val="none" w:sz="0" w:space="0" w:color="auto"/>
        <w:right w:val="none" w:sz="0" w:space="0" w:color="auto"/>
      </w:divBdr>
    </w:div>
    <w:div w:id="1676835133">
      <w:bodyDiv w:val="1"/>
      <w:marLeft w:val="0"/>
      <w:marRight w:val="0"/>
      <w:marTop w:val="0"/>
      <w:marBottom w:val="0"/>
      <w:divBdr>
        <w:top w:val="none" w:sz="0" w:space="0" w:color="auto"/>
        <w:left w:val="none" w:sz="0" w:space="0" w:color="auto"/>
        <w:bottom w:val="none" w:sz="0" w:space="0" w:color="auto"/>
        <w:right w:val="none" w:sz="0" w:space="0" w:color="auto"/>
      </w:divBdr>
    </w:div>
    <w:div w:id="1676961342">
      <w:bodyDiv w:val="1"/>
      <w:marLeft w:val="0"/>
      <w:marRight w:val="0"/>
      <w:marTop w:val="0"/>
      <w:marBottom w:val="0"/>
      <w:divBdr>
        <w:top w:val="none" w:sz="0" w:space="0" w:color="auto"/>
        <w:left w:val="none" w:sz="0" w:space="0" w:color="auto"/>
        <w:bottom w:val="none" w:sz="0" w:space="0" w:color="auto"/>
        <w:right w:val="none" w:sz="0" w:space="0" w:color="auto"/>
      </w:divBdr>
    </w:div>
    <w:div w:id="1677221174">
      <w:bodyDiv w:val="1"/>
      <w:marLeft w:val="0"/>
      <w:marRight w:val="0"/>
      <w:marTop w:val="0"/>
      <w:marBottom w:val="0"/>
      <w:divBdr>
        <w:top w:val="none" w:sz="0" w:space="0" w:color="auto"/>
        <w:left w:val="none" w:sz="0" w:space="0" w:color="auto"/>
        <w:bottom w:val="none" w:sz="0" w:space="0" w:color="auto"/>
        <w:right w:val="none" w:sz="0" w:space="0" w:color="auto"/>
      </w:divBdr>
    </w:div>
    <w:div w:id="1677340114">
      <w:bodyDiv w:val="1"/>
      <w:marLeft w:val="0"/>
      <w:marRight w:val="0"/>
      <w:marTop w:val="0"/>
      <w:marBottom w:val="0"/>
      <w:divBdr>
        <w:top w:val="none" w:sz="0" w:space="0" w:color="auto"/>
        <w:left w:val="none" w:sz="0" w:space="0" w:color="auto"/>
        <w:bottom w:val="none" w:sz="0" w:space="0" w:color="auto"/>
        <w:right w:val="none" w:sz="0" w:space="0" w:color="auto"/>
      </w:divBdr>
    </w:div>
    <w:div w:id="1677541149">
      <w:bodyDiv w:val="1"/>
      <w:marLeft w:val="0"/>
      <w:marRight w:val="0"/>
      <w:marTop w:val="0"/>
      <w:marBottom w:val="0"/>
      <w:divBdr>
        <w:top w:val="none" w:sz="0" w:space="0" w:color="auto"/>
        <w:left w:val="none" w:sz="0" w:space="0" w:color="auto"/>
        <w:bottom w:val="none" w:sz="0" w:space="0" w:color="auto"/>
        <w:right w:val="none" w:sz="0" w:space="0" w:color="auto"/>
      </w:divBdr>
    </w:div>
    <w:div w:id="1677682779">
      <w:bodyDiv w:val="1"/>
      <w:marLeft w:val="0"/>
      <w:marRight w:val="0"/>
      <w:marTop w:val="0"/>
      <w:marBottom w:val="0"/>
      <w:divBdr>
        <w:top w:val="none" w:sz="0" w:space="0" w:color="auto"/>
        <w:left w:val="none" w:sz="0" w:space="0" w:color="auto"/>
        <w:bottom w:val="none" w:sz="0" w:space="0" w:color="auto"/>
        <w:right w:val="none" w:sz="0" w:space="0" w:color="auto"/>
      </w:divBdr>
    </w:div>
    <w:div w:id="1677806375">
      <w:bodyDiv w:val="1"/>
      <w:marLeft w:val="0"/>
      <w:marRight w:val="0"/>
      <w:marTop w:val="0"/>
      <w:marBottom w:val="0"/>
      <w:divBdr>
        <w:top w:val="none" w:sz="0" w:space="0" w:color="auto"/>
        <w:left w:val="none" w:sz="0" w:space="0" w:color="auto"/>
        <w:bottom w:val="none" w:sz="0" w:space="0" w:color="auto"/>
        <w:right w:val="none" w:sz="0" w:space="0" w:color="auto"/>
      </w:divBdr>
    </w:div>
    <w:div w:id="1677883543">
      <w:bodyDiv w:val="1"/>
      <w:marLeft w:val="0"/>
      <w:marRight w:val="0"/>
      <w:marTop w:val="0"/>
      <w:marBottom w:val="0"/>
      <w:divBdr>
        <w:top w:val="none" w:sz="0" w:space="0" w:color="auto"/>
        <w:left w:val="none" w:sz="0" w:space="0" w:color="auto"/>
        <w:bottom w:val="none" w:sz="0" w:space="0" w:color="auto"/>
        <w:right w:val="none" w:sz="0" w:space="0" w:color="auto"/>
      </w:divBdr>
    </w:div>
    <w:div w:id="1677920535">
      <w:bodyDiv w:val="1"/>
      <w:marLeft w:val="0"/>
      <w:marRight w:val="0"/>
      <w:marTop w:val="0"/>
      <w:marBottom w:val="0"/>
      <w:divBdr>
        <w:top w:val="none" w:sz="0" w:space="0" w:color="auto"/>
        <w:left w:val="none" w:sz="0" w:space="0" w:color="auto"/>
        <w:bottom w:val="none" w:sz="0" w:space="0" w:color="auto"/>
        <w:right w:val="none" w:sz="0" w:space="0" w:color="auto"/>
      </w:divBdr>
    </w:div>
    <w:div w:id="1678144738">
      <w:bodyDiv w:val="1"/>
      <w:marLeft w:val="0"/>
      <w:marRight w:val="0"/>
      <w:marTop w:val="0"/>
      <w:marBottom w:val="0"/>
      <w:divBdr>
        <w:top w:val="none" w:sz="0" w:space="0" w:color="auto"/>
        <w:left w:val="none" w:sz="0" w:space="0" w:color="auto"/>
        <w:bottom w:val="none" w:sz="0" w:space="0" w:color="auto"/>
        <w:right w:val="none" w:sz="0" w:space="0" w:color="auto"/>
      </w:divBdr>
    </w:div>
    <w:div w:id="1678189631">
      <w:bodyDiv w:val="1"/>
      <w:marLeft w:val="0"/>
      <w:marRight w:val="0"/>
      <w:marTop w:val="0"/>
      <w:marBottom w:val="0"/>
      <w:divBdr>
        <w:top w:val="none" w:sz="0" w:space="0" w:color="auto"/>
        <w:left w:val="none" w:sz="0" w:space="0" w:color="auto"/>
        <w:bottom w:val="none" w:sz="0" w:space="0" w:color="auto"/>
        <w:right w:val="none" w:sz="0" w:space="0" w:color="auto"/>
      </w:divBdr>
    </w:div>
    <w:div w:id="1678271197">
      <w:bodyDiv w:val="1"/>
      <w:marLeft w:val="0"/>
      <w:marRight w:val="0"/>
      <w:marTop w:val="0"/>
      <w:marBottom w:val="0"/>
      <w:divBdr>
        <w:top w:val="none" w:sz="0" w:space="0" w:color="auto"/>
        <w:left w:val="none" w:sz="0" w:space="0" w:color="auto"/>
        <w:bottom w:val="none" w:sz="0" w:space="0" w:color="auto"/>
        <w:right w:val="none" w:sz="0" w:space="0" w:color="auto"/>
      </w:divBdr>
    </w:div>
    <w:div w:id="1678382948">
      <w:bodyDiv w:val="1"/>
      <w:marLeft w:val="0"/>
      <w:marRight w:val="0"/>
      <w:marTop w:val="0"/>
      <w:marBottom w:val="0"/>
      <w:divBdr>
        <w:top w:val="none" w:sz="0" w:space="0" w:color="auto"/>
        <w:left w:val="none" w:sz="0" w:space="0" w:color="auto"/>
        <w:bottom w:val="none" w:sz="0" w:space="0" w:color="auto"/>
        <w:right w:val="none" w:sz="0" w:space="0" w:color="auto"/>
      </w:divBdr>
    </w:div>
    <w:div w:id="1678464344">
      <w:bodyDiv w:val="1"/>
      <w:marLeft w:val="0"/>
      <w:marRight w:val="0"/>
      <w:marTop w:val="0"/>
      <w:marBottom w:val="0"/>
      <w:divBdr>
        <w:top w:val="none" w:sz="0" w:space="0" w:color="auto"/>
        <w:left w:val="none" w:sz="0" w:space="0" w:color="auto"/>
        <w:bottom w:val="none" w:sz="0" w:space="0" w:color="auto"/>
        <w:right w:val="none" w:sz="0" w:space="0" w:color="auto"/>
      </w:divBdr>
    </w:div>
    <w:div w:id="1678534781">
      <w:bodyDiv w:val="1"/>
      <w:marLeft w:val="0"/>
      <w:marRight w:val="0"/>
      <w:marTop w:val="0"/>
      <w:marBottom w:val="0"/>
      <w:divBdr>
        <w:top w:val="none" w:sz="0" w:space="0" w:color="auto"/>
        <w:left w:val="none" w:sz="0" w:space="0" w:color="auto"/>
        <w:bottom w:val="none" w:sz="0" w:space="0" w:color="auto"/>
        <w:right w:val="none" w:sz="0" w:space="0" w:color="auto"/>
      </w:divBdr>
    </w:div>
    <w:div w:id="1678968114">
      <w:bodyDiv w:val="1"/>
      <w:marLeft w:val="0"/>
      <w:marRight w:val="0"/>
      <w:marTop w:val="0"/>
      <w:marBottom w:val="0"/>
      <w:divBdr>
        <w:top w:val="none" w:sz="0" w:space="0" w:color="auto"/>
        <w:left w:val="none" w:sz="0" w:space="0" w:color="auto"/>
        <w:bottom w:val="none" w:sz="0" w:space="0" w:color="auto"/>
        <w:right w:val="none" w:sz="0" w:space="0" w:color="auto"/>
      </w:divBdr>
    </w:div>
    <w:div w:id="1678995079">
      <w:bodyDiv w:val="1"/>
      <w:marLeft w:val="0"/>
      <w:marRight w:val="0"/>
      <w:marTop w:val="0"/>
      <w:marBottom w:val="0"/>
      <w:divBdr>
        <w:top w:val="none" w:sz="0" w:space="0" w:color="auto"/>
        <w:left w:val="none" w:sz="0" w:space="0" w:color="auto"/>
        <w:bottom w:val="none" w:sz="0" w:space="0" w:color="auto"/>
        <w:right w:val="none" w:sz="0" w:space="0" w:color="auto"/>
      </w:divBdr>
    </w:div>
    <w:div w:id="1679042330">
      <w:bodyDiv w:val="1"/>
      <w:marLeft w:val="0"/>
      <w:marRight w:val="0"/>
      <w:marTop w:val="0"/>
      <w:marBottom w:val="0"/>
      <w:divBdr>
        <w:top w:val="none" w:sz="0" w:space="0" w:color="auto"/>
        <w:left w:val="none" w:sz="0" w:space="0" w:color="auto"/>
        <w:bottom w:val="none" w:sz="0" w:space="0" w:color="auto"/>
        <w:right w:val="none" w:sz="0" w:space="0" w:color="auto"/>
      </w:divBdr>
    </w:div>
    <w:div w:id="1679189524">
      <w:bodyDiv w:val="1"/>
      <w:marLeft w:val="0"/>
      <w:marRight w:val="0"/>
      <w:marTop w:val="0"/>
      <w:marBottom w:val="0"/>
      <w:divBdr>
        <w:top w:val="none" w:sz="0" w:space="0" w:color="auto"/>
        <w:left w:val="none" w:sz="0" w:space="0" w:color="auto"/>
        <w:bottom w:val="none" w:sz="0" w:space="0" w:color="auto"/>
        <w:right w:val="none" w:sz="0" w:space="0" w:color="auto"/>
      </w:divBdr>
    </w:div>
    <w:div w:id="1679233045">
      <w:bodyDiv w:val="1"/>
      <w:marLeft w:val="0"/>
      <w:marRight w:val="0"/>
      <w:marTop w:val="0"/>
      <w:marBottom w:val="0"/>
      <w:divBdr>
        <w:top w:val="none" w:sz="0" w:space="0" w:color="auto"/>
        <w:left w:val="none" w:sz="0" w:space="0" w:color="auto"/>
        <w:bottom w:val="none" w:sz="0" w:space="0" w:color="auto"/>
        <w:right w:val="none" w:sz="0" w:space="0" w:color="auto"/>
      </w:divBdr>
    </w:div>
    <w:div w:id="1679236315">
      <w:bodyDiv w:val="1"/>
      <w:marLeft w:val="0"/>
      <w:marRight w:val="0"/>
      <w:marTop w:val="0"/>
      <w:marBottom w:val="0"/>
      <w:divBdr>
        <w:top w:val="none" w:sz="0" w:space="0" w:color="auto"/>
        <w:left w:val="none" w:sz="0" w:space="0" w:color="auto"/>
        <w:bottom w:val="none" w:sz="0" w:space="0" w:color="auto"/>
        <w:right w:val="none" w:sz="0" w:space="0" w:color="auto"/>
      </w:divBdr>
    </w:div>
    <w:div w:id="1679386867">
      <w:bodyDiv w:val="1"/>
      <w:marLeft w:val="0"/>
      <w:marRight w:val="0"/>
      <w:marTop w:val="0"/>
      <w:marBottom w:val="0"/>
      <w:divBdr>
        <w:top w:val="none" w:sz="0" w:space="0" w:color="auto"/>
        <w:left w:val="none" w:sz="0" w:space="0" w:color="auto"/>
        <w:bottom w:val="none" w:sz="0" w:space="0" w:color="auto"/>
        <w:right w:val="none" w:sz="0" w:space="0" w:color="auto"/>
      </w:divBdr>
    </w:div>
    <w:div w:id="1679506824">
      <w:bodyDiv w:val="1"/>
      <w:marLeft w:val="0"/>
      <w:marRight w:val="0"/>
      <w:marTop w:val="0"/>
      <w:marBottom w:val="0"/>
      <w:divBdr>
        <w:top w:val="none" w:sz="0" w:space="0" w:color="auto"/>
        <w:left w:val="none" w:sz="0" w:space="0" w:color="auto"/>
        <w:bottom w:val="none" w:sz="0" w:space="0" w:color="auto"/>
        <w:right w:val="none" w:sz="0" w:space="0" w:color="auto"/>
      </w:divBdr>
    </w:div>
    <w:div w:id="1679846194">
      <w:bodyDiv w:val="1"/>
      <w:marLeft w:val="0"/>
      <w:marRight w:val="0"/>
      <w:marTop w:val="0"/>
      <w:marBottom w:val="0"/>
      <w:divBdr>
        <w:top w:val="none" w:sz="0" w:space="0" w:color="auto"/>
        <w:left w:val="none" w:sz="0" w:space="0" w:color="auto"/>
        <w:bottom w:val="none" w:sz="0" w:space="0" w:color="auto"/>
        <w:right w:val="none" w:sz="0" w:space="0" w:color="auto"/>
      </w:divBdr>
    </w:div>
    <w:div w:id="1679850005">
      <w:bodyDiv w:val="1"/>
      <w:marLeft w:val="0"/>
      <w:marRight w:val="0"/>
      <w:marTop w:val="0"/>
      <w:marBottom w:val="0"/>
      <w:divBdr>
        <w:top w:val="none" w:sz="0" w:space="0" w:color="auto"/>
        <w:left w:val="none" w:sz="0" w:space="0" w:color="auto"/>
        <w:bottom w:val="none" w:sz="0" w:space="0" w:color="auto"/>
        <w:right w:val="none" w:sz="0" w:space="0" w:color="auto"/>
      </w:divBdr>
    </w:div>
    <w:div w:id="1680229577">
      <w:bodyDiv w:val="1"/>
      <w:marLeft w:val="0"/>
      <w:marRight w:val="0"/>
      <w:marTop w:val="0"/>
      <w:marBottom w:val="0"/>
      <w:divBdr>
        <w:top w:val="none" w:sz="0" w:space="0" w:color="auto"/>
        <w:left w:val="none" w:sz="0" w:space="0" w:color="auto"/>
        <w:bottom w:val="none" w:sz="0" w:space="0" w:color="auto"/>
        <w:right w:val="none" w:sz="0" w:space="0" w:color="auto"/>
      </w:divBdr>
    </w:div>
    <w:div w:id="1680499728">
      <w:bodyDiv w:val="1"/>
      <w:marLeft w:val="0"/>
      <w:marRight w:val="0"/>
      <w:marTop w:val="0"/>
      <w:marBottom w:val="0"/>
      <w:divBdr>
        <w:top w:val="none" w:sz="0" w:space="0" w:color="auto"/>
        <w:left w:val="none" w:sz="0" w:space="0" w:color="auto"/>
        <w:bottom w:val="none" w:sz="0" w:space="0" w:color="auto"/>
        <w:right w:val="none" w:sz="0" w:space="0" w:color="auto"/>
      </w:divBdr>
    </w:div>
    <w:div w:id="1680620768">
      <w:bodyDiv w:val="1"/>
      <w:marLeft w:val="0"/>
      <w:marRight w:val="0"/>
      <w:marTop w:val="0"/>
      <w:marBottom w:val="0"/>
      <w:divBdr>
        <w:top w:val="none" w:sz="0" w:space="0" w:color="auto"/>
        <w:left w:val="none" w:sz="0" w:space="0" w:color="auto"/>
        <w:bottom w:val="none" w:sz="0" w:space="0" w:color="auto"/>
        <w:right w:val="none" w:sz="0" w:space="0" w:color="auto"/>
      </w:divBdr>
    </w:div>
    <w:div w:id="1680740267">
      <w:bodyDiv w:val="1"/>
      <w:marLeft w:val="0"/>
      <w:marRight w:val="0"/>
      <w:marTop w:val="0"/>
      <w:marBottom w:val="0"/>
      <w:divBdr>
        <w:top w:val="none" w:sz="0" w:space="0" w:color="auto"/>
        <w:left w:val="none" w:sz="0" w:space="0" w:color="auto"/>
        <w:bottom w:val="none" w:sz="0" w:space="0" w:color="auto"/>
        <w:right w:val="none" w:sz="0" w:space="0" w:color="auto"/>
      </w:divBdr>
    </w:div>
    <w:div w:id="1681078758">
      <w:bodyDiv w:val="1"/>
      <w:marLeft w:val="0"/>
      <w:marRight w:val="0"/>
      <w:marTop w:val="0"/>
      <w:marBottom w:val="0"/>
      <w:divBdr>
        <w:top w:val="none" w:sz="0" w:space="0" w:color="auto"/>
        <w:left w:val="none" w:sz="0" w:space="0" w:color="auto"/>
        <w:bottom w:val="none" w:sz="0" w:space="0" w:color="auto"/>
        <w:right w:val="none" w:sz="0" w:space="0" w:color="auto"/>
      </w:divBdr>
    </w:div>
    <w:div w:id="1681080396">
      <w:bodyDiv w:val="1"/>
      <w:marLeft w:val="0"/>
      <w:marRight w:val="0"/>
      <w:marTop w:val="0"/>
      <w:marBottom w:val="0"/>
      <w:divBdr>
        <w:top w:val="none" w:sz="0" w:space="0" w:color="auto"/>
        <w:left w:val="none" w:sz="0" w:space="0" w:color="auto"/>
        <w:bottom w:val="none" w:sz="0" w:space="0" w:color="auto"/>
        <w:right w:val="none" w:sz="0" w:space="0" w:color="auto"/>
      </w:divBdr>
    </w:div>
    <w:div w:id="1681421192">
      <w:bodyDiv w:val="1"/>
      <w:marLeft w:val="0"/>
      <w:marRight w:val="0"/>
      <w:marTop w:val="0"/>
      <w:marBottom w:val="0"/>
      <w:divBdr>
        <w:top w:val="none" w:sz="0" w:space="0" w:color="auto"/>
        <w:left w:val="none" w:sz="0" w:space="0" w:color="auto"/>
        <w:bottom w:val="none" w:sz="0" w:space="0" w:color="auto"/>
        <w:right w:val="none" w:sz="0" w:space="0" w:color="auto"/>
      </w:divBdr>
    </w:div>
    <w:div w:id="1681466001">
      <w:bodyDiv w:val="1"/>
      <w:marLeft w:val="0"/>
      <w:marRight w:val="0"/>
      <w:marTop w:val="0"/>
      <w:marBottom w:val="0"/>
      <w:divBdr>
        <w:top w:val="none" w:sz="0" w:space="0" w:color="auto"/>
        <w:left w:val="none" w:sz="0" w:space="0" w:color="auto"/>
        <w:bottom w:val="none" w:sz="0" w:space="0" w:color="auto"/>
        <w:right w:val="none" w:sz="0" w:space="0" w:color="auto"/>
      </w:divBdr>
    </w:div>
    <w:div w:id="1681467183">
      <w:bodyDiv w:val="1"/>
      <w:marLeft w:val="0"/>
      <w:marRight w:val="0"/>
      <w:marTop w:val="0"/>
      <w:marBottom w:val="0"/>
      <w:divBdr>
        <w:top w:val="none" w:sz="0" w:space="0" w:color="auto"/>
        <w:left w:val="none" w:sz="0" w:space="0" w:color="auto"/>
        <w:bottom w:val="none" w:sz="0" w:space="0" w:color="auto"/>
        <w:right w:val="none" w:sz="0" w:space="0" w:color="auto"/>
      </w:divBdr>
    </w:div>
    <w:div w:id="1681856665">
      <w:bodyDiv w:val="1"/>
      <w:marLeft w:val="0"/>
      <w:marRight w:val="0"/>
      <w:marTop w:val="0"/>
      <w:marBottom w:val="0"/>
      <w:divBdr>
        <w:top w:val="none" w:sz="0" w:space="0" w:color="auto"/>
        <w:left w:val="none" w:sz="0" w:space="0" w:color="auto"/>
        <w:bottom w:val="none" w:sz="0" w:space="0" w:color="auto"/>
        <w:right w:val="none" w:sz="0" w:space="0" w:color="auto"/>
      </w:divBdr>
    </w:div>
    <w:div w:id="1682049686">
      <w:bodyDiv w:val="1"/>
      <w:marLeft w:val="0"/>
      <w:marRight w:val="0"/>
      <w:marTop w:val="0"/>
      <w:marBottom w:val="0"/>
      <w:divBdr>
        <w:top w:val="none" w:sz="0" w:space="0" w:color="auto"/>
        <w:left w:val="none" w:sz="0" w:space="0" w:color="auto"/>
        <w:bottom w:val="none" w:sz="0" w:space="0" w:color="auto"/>
        <w:right w:val="none" w:sz="0" w:space="0" w:color="auto"/>
      </w:divBdr>
    </w:div>
    <w:div w:id="1682076270">
      <w:bodyDiv w:val="1"/>
      <w:marLeft w:val="0"/>
      <w:marRight w:val="0"/>
      <w:marTop w:val="0"/>
      <w:marBottom w:val="0"/>
      <w:divBdr>
        <w:top w:val="none" w:sz="0" w:space="0" w:color="auto"/>
        <w:left w:val="none" w:sz="0" w:space="0" w:color="auto"/>
        <w:bottom w:val="none" w:sz="0" w:space="0" w:color="auto"/>
        <w:right w:val="none" w:sz="0" w:space="0" w:color="auto"/>
      </w:divBdr>
    </w:div>
    <w:div w:id="1682122339">
      <w:bodyDiv w:val="1"/>
      <w:marLeft w:val="0"/>
      <w:marRight w:val="0"/>
      <w:marTop w:val="0"/>
      <w:marBottom w:val="0"/>
      <w:divBdr>
        <w:top w:val="none" w:sz="0" w:space="0" w:color="auto"/>
        <w:left w:val="none" w:sz="0" w:space="0" w:color="auto"/>
        <w:bottom w:val="none" w:sz="0" w:space="0" w:color="auto"/>
        <w:right w:val="none" w:sz="0" w:space="0" w:color="auto"/>
      </w:divBdr>
    </w:div>
    <w:div w:id="1682124213">
      <w:bodyDiv w:val="1"/>
      <w:marLeft w:val="0"/>
      <w:marRight w:val="0"/>
      <w:marTop w:val="0"/>
      <w:marBottom w:val="0"/>
      <w:divBdr>
        <w:top w:val="none" w:sz="0" w:space="0" w:color="auto"/>
        <w:left w:val="none" w:sz="0" w:space="0" w:color="auto"/>
        <w:bottom w:val="none" w:sz="0" w:space="0" w:color="auto"/>
        <w:right w:val="none" w:sz="0" w:space="0" w:color="auto"/>
      </w:divBdr>
    </w:div>
    <w:div w:id="1682202856">
      <w:bodyDiv w:val="1"/>
      <w:marLeft w:val="0"/>
      <w:marRight w:val="0"/>
      <w:marTop w:val="0"/>
      <w:marBottom w:val="0"/>
      <w:divBdr>
        <w:top w:val="none" w:sz="0" w:space="0" w:color="auto"/>
        <w:left w:val="none" w:sz="0" w:space="0" w:color="auto"/>
        <w:bottom w:val="none" w:sz="0" w:space="0" w:color="auto"/>
        <w:right w:val="none" w:sz="0" w:space="0" w:color="auto"/>
      </w:divBdr>
    </w:div>
    <w:div w:id="1682244592">
      <w:bodyDiv w:val="1"/>
      <w:marLeft w:val="0"/>
      <w:marRight w:val="0"/>
      <w:marTop w:val="0"/>
      <w:marBottom w:val="0"/>
      <w:divBdr>
        <w:top w:val="none" w:sz="0" w:space="0" w:color="auto"/>
        <w:left w:val="none" w:sz="0" w:space="0" w:color="auto"/>
        <w:bottom w:val="none" w:sz="0" w:space="0" w:color="auto"/>
        <w:right w:val="none" w:sz="0" w:space="0" w:color="auto"/>
      </w:divBdr>
    </w:div>
    <w:div w:id="1682389069">
      <w:bodyDiv w:val="1"/>
      <w:marLeft w:val="0"/>
      <w:marRight w:val="0"/>
      <w:marTop w:val="0"/>
      <w:marBottom w:val="0"/>
      <w:divBdr>
        <w:top w:val="none" w:sz="0" w:space="0" w:color="auto"/>
        <w:left w:val="none" w:sz="0" w:space="0" w:color="auto"/>
        <w:bottom w:val="none" w:sz="0" w:space="0" w:color="auto"/>
        <w:right w:val="none" w:sz="0" w:space="0" w:color="auto"/>
      </w:divBdr>
    </w:div>
    <w:div w:id="1682396058">
      <w:bodyDiv w:val="1"/>
      <w:marLeft w:val="0"/>
      <w:marRight w:val="0"/>
      <w:marTop w:val="0"/>
      <w:marBottom w:val="0"/>
      <w:divBdr>
        <w:top w:val="none" w:sz="0" w:space="0" w:color="auto"/>
        <w:left w:val="none" w:sz="0" w:space="0" w:color="auto"/>
        <w:bottom w:val="none" w:sz="0" w:space="0" w:color="auto"/>
        <w:right w:val="none" w:sz="0" w:space="0" w:color="auto"/>
      </w:divBdr>
    </w:div>
    <w:div w:id="1682514483">
      <w:bodyDiv w:val="1"/>
      <w:marLeft w:val="0"/>
      <w:marRight w:val="0"/>
      <w:marTop w:val="0"/>
      <w:marBottom w:val="0"/>
      <w:divBdr>
        <w:top w:val="none" w:sz="0" w:space="0" w:color="auto"/>
        <w:left w:val="none" w:sz="0" w:space="0" w:color="auto"/>
        <w:bottom w:val="none" w:sz="0" w:space="0" w:color="auto"/>
        <w:right w:val="none" w:sz="0" w:space="0" w:color="auto"/>
      </w:divBdr>
    </w:div>
    <w:div w:id="1682665420">
      <w:bodyDiv w:val="1"/>
      <w:marLeft w:val="0"/>
      <w:marRight w:val="0"/>
      <w:marTop w:val="0"/>
      <w:marBottom w:val="0"/>
      <w:divBdr>
        <w:top w:val="none" w:sz="0" w:space="0" w:color="auto"/>
        <w:left w:val="none" w:sz="0" w:space="0" w:color="auto"/>
        <w:bottom w:val="none" w:sz="0" w:space="0" w:color="auto"/>
        <w:right w:val="none" w:sz="0" w:space="0" w:color="auto"/>
      </w:divBdr>
    </w:div>
    <w:div w:id="1682702471">
      <w:bodyDiv w:val="1"/>
      <w:marLeft w:val="0"/>
      <w:marRight w:val="0"/>
      <w:marTop w:val="0"/>
      <w:marBottom w:val="0"/>
      <w:divBdr>
        <w:top w:val="none" w:sz="0" w:space="0" w:color="auto"/>
        <w:left w:val="none" w:sz="0" w:space="0" w:color="auto"/>
        <w:bottom w:val="none" w:sz="0" w:space="0" w:color="auto"/>
        <w:right w:val="none" w:sz="0" w:space="0" w:color="auto"/>
      </w:divBdr>
    </w:div>
    <w:div w:id="1682930741">
      <w:bodyDiv w:val="1"/>
      <w:marLeft w:val="0"/>
      <w:marRight w:val="0"/>
      <w:marTop w:val="0"/>
      <w:marBottom w:val="0"/>
      <w:divBdr>
        <w:top w:val="none" w:sz="0" w:space="0" w:color="auto"/>
        <w:left w:val="none" w:sz="0" w:space="0" w:color="auto"/>
        <w:bottom w:val="none" w:sz="0" w:space="0" w:color="auto"/>
        <w:right w:val="none" w:sz="0" w:space="0" w:color="auto"/>
      </w:divBdr>
    </w:div>
    <w:div w:id="1683050897">
      <w:bodyDiv w:val="1"/>
      <w:marLeft w:val="0"/>
      <w:marRight w:val="0"/>
      <w:marTop w:val="0"/>
      <w:marBottom w:val="0"/>
      <w:divBdr>
        <w:top w:val="none" w:sz="0" w:space="0" w:color="auto"/>
        <w:left w:val="none" w:sz="0" w:space="0" w:color="auto"/>
        <w:bottom w:val="none" w:sz="0" w:space="0" w:color="auto"/>
        <w:right w:val="none" w:sz="0" w:space="0" w:color="auto"/>
      </w:divBdr>
    </w:div>
    <w:div w:id="1683119383">
      <w:bodyDiv w:val="1"/>
      <w:marLeft w:val="0"/>
      <w:marRight w:val="0"/>
      <w:marTop w:val="0"/>
      <w:marBottom w:val="0"/>
      <w:divBdr>
        <w:top w:val="none" w:sz="0" w:space="0" w:color="auto"/>
        <w:left w:val="none" w:sz="0" w:space="0" w:color="auto"/>
        <w:bottom w:val="none" w:sz="0" w:space="0" w:color="auto"/>
        <w:right w:val="none" w:sz="0" w:space="0" w:color="auto"/>
      </w:divBdr>
    </w:div>
    <w:div w:id="1683510691">
      <w:bodyDiv w:val="1"/>
      <w:marLeft w:val="0"/>
      <w:marRight w:val="0"/>
      <w:marTop w:val="0"/>
      <w:marBottom w:val="0"/>
      <w:divBdr>
        <w:top w:val="none" w:sz="0" w:space="0" w:color="auto"/>
        <w:left w:val="none" w:sz="0" w:space="0" w:color="auto"/>
        <w:bottom w:val="none" w:sz="0" w:space="0" w:color="auto"/>
        <w:right w:val="none" w:sz="0" w:space="0" w:color="auto"/>
      </w:divBdr>
    </w:div>
    <w:div w:id="1683513963">
      <w:bodyDiv w:val="1"/>
      <w:marLeft w:val="0"/>
      <w:marRight w:val="0"/>
      <w:marTop w:val="0"/>
      <w:marBottom w:val="0"/>
      <w:divBdr>
        <w:top w:val="none" w:sz="0" w:space="0" w:color="auto"/>
        <w:left w:val="none" w:sz="0" w:space="0" w:color="auto"/>
        <w:bottom w:val="none" w:sz="0" w:space="0" w:color="auto"/>
        <w:right w:val="none" w:sz="0" w:space="0" w:color="auto"/>
      </w:divBdr>
    </w:div>
    <w:div w:id="1683781337">
      <w:bodyDiv w:val="1"/>
      <w:marLeft w:val="0"/>
      <w:marRight w:val="0"/>
      <w:marTop w:val="0"/>
      <w:marBottom w:val="0"/>
      <w:divBdr>
        <w:top w:val="none" w:sz="0" w:space="0" w:color="auto"/>
        <w:left w:val="none" w:sz="0" w:space="0" w:color="auto"/>
        <w:bottom w:val="none" w:sz="0" w:space="0" w:color="auto"/>
        <w:right w:val="none" w:sz="0" w:space="0" w:color="auto"/>
      </w:divBdr>
    </w:div>
    <w:div w:id="1683820629">
      <w:bodyDiv w:val="1"/>
      <w:marLeft w:val="0"/>
      <w:marRight w:val="0"/>
      <w:marTop w:val="0"/>
      <w:marBottom w:val="0"/>
      <w:divBdr>
        <w:top w:val="none" w:sz="0" w:space="0" w:color="auto"/>
        <w:left w:val="none" w:sz="0" w:space="0" w:color="auto"/>
        <w:bottom w:val="none" w:sz="0" w:space="0" w:color="auto"/>
        <w:right w:val="none" w:sz="0" w:space="0" w:color="auto"/>
      </w:divBdr>
    </w:div>
    <w:div w:id="1684091530">
      <w:bodyDiv w:val="1"/>
      <w:marLeft w:val="0"/>
      <w:marRight w:val="0"/>
      <w:marTop w:val="0"/>
      <w:marBottom w:val="0"/>
      <w:divBdr>
        <w:top w:val="none" w:sz="0" w:space="0" w:color="auto"/>
        <w:left w:val="none" w:sz="0" w:space="0" w:color="auto"/>
        <w:bottom w:val="none" w:sz="0" w:space="0" w:color="auto"/>
        <w:right w:val="none" w:sz="0" w:space="0" w:color="auto"/>
      </w:divBdr>
    </w:div>
    <w:div w:id="1684162418">
      <w:bodyDiv w:val="1"/>
      <w:marLeft w:val="0"/>
      <w:marRight w:val="0"/>
      <w:marTop w:val="0"/>
      <w:marBottom w:val="0"/>
      <w:divBdr>
        <w:top w:val="none" w:sz="0" w:space="0" w:color="auto"/>
        <w:left w:val="none" w:sz="0" w:space="0" w:color="auto"/>
        <w:bottom w:val="none" w:sz="0" w:space="0" w:color="auto"/>
        <w:right w:val="none" w:sz="0" w:space="0" w:color="auto"/>
      </w:divBdr>
    </w:div>
    <w:div w:id="1684281462">
      <w:bodyDiv w:val="1"/>
      <w:marLeft w:val="0"/>
      <w:marRight w:val="0"/>
      <w:marTop w:val="0"/>
      <w:marBottom w:val="0"/>
      <w:divBdr>
        <w:top w:val="none" w:sz="0" w:space="0" w:color="auto"/>
        <w:left w:val="none" w:sz="0" w:space="0" w:color="auto"/>
        <w:bottom w:val="none" w:sz="0" w:space="0" w:color="auto"/>
        <w:right w:val="none" w:sz="0" w:space="0" w:color="auto"/>
      </w:divBdr>
    </w:div>
    <w:div w:id="1684359436">
      <w:bodyDiv w:val="1"/>
      <w:marLeft w:val="0"/>
      <w:marRight w:val="0"/>
      <w:marTop w:val="0"/>
      <w:marBottom w:val="0"/>
      <w:divBdr>
        <w:top w:val="none" w:sz="0" w:space="0" w:color="auto"/>
        <w:left w:val="none" w:sz="0" w:space="0" w:color="auto"/>
        <w:bottom w:val="none" w:sz="0" w:space="0" w:color="auto"/>
        <w:right w:val="none" w:sz="0" w:space="0" w:color="auto"/>
      </w:divBdr>
    </w:div>
    <w:div w:id="1684435375">
      <w:bodyDiv w:val="1"/>
      <w:marLeft w:val="0"/>
      <w:marRight w:val="0"/>
      <w:marTop w:val="0"/>
      <w:marBottom w:val="0"/>
      <w:divBdr>
        <w:top w:val="none" w:sz="0" w:space="0" w:color="auto"/>
        <w:left w:val="none" w:sz="0" w:space="0" w:color="auto"/>
        <w:bottom w:val="none" w:sz="0" w:space="0" w:color="auto"/>
        <w:right w:val="none" w:sz="0" w:space="0" w:color="auto"/>
      </w:divBdr>
    </w:div>
    <w:div w:id="1684475078">
      <w:bodyDiv w:val="1"/>
      <w:marLeft w:val="0"/>
      <w:marRight w:val="0"/>
      <w:marTop w:val="0"/>
      <w:marBottom w:val="0"/>
      <w:divBdr>
        <w:top w:val="none" w:sz="0" w:space="0" w:color="auto"/>
        <w:left w:val="none" w:sz="0" w:space="0" w:color="auto"/>
        <w:bottom w:val="none" w:sz="0" w:space="0" w:color="auto"/>
        <w:right w:val="none" w:sz="0" w:space="0" w:color="auto"/>
      </w:divBdr>
    </w:div>
    <w:div w:id="1684629095">
      <w:bodyDiv w:val="1"/>
      <w:marLeft w:val="0"/>
      <w:marRight w:val="0"/>
      <w:marTop w:val="0"/>
      <w:marBottom w:val="0"/>
      <w:divBdr>
        <w:top w:val="none" w:sz="0" w:space="0" w:color="auto"/>
        <w:left w:val="none" w:sz="0" w:space="0" w:color="auto"/>
        <w:bottom w:val="none" w:sz="0" w:space="0" w:color="auto"/>
        <w:right w:val="none" w:sz="0" w:space="0" w:color="auto"/>
      </w:divBdr>
    </w:div>
    <w:div w:id="1684747616">
      <w:bodyDiv w:val="1"/>
      <w:marLeft w:val="0"/>
      <w:marRight w:val="0"/>
      <w:marTop w:val="0"/>
      <w:marBottom w:val="0"/>
      <w:divBdr>
        <w:top w:val="none" w:sz="0" w:space="0" w:color="auto"/>
        <w:left w:val="none" w:sz="0" w:space="0" w:color="auto"/>
        <w:bottom w:val="none" w:sz="0" w:space="0" w:color="auto"/>
        <w:right w:val="none" w:sz="0" w:space="0" w:color="auto"/>
      </w:divBdr>
    </w:div>
    <w:div w:id="1684939648">
      <w:bodyDiv w:val="1"/>
      <w:marLeft w:val="0"/>
      <w:marRight w:val="0"/>
      <w:marTop w:val="0"/>
      <w:marBottom w:val="0"/>
      <w:divBdr>
        <w:top w:val="none" w:sz="0" w:space="0" w:color="auto"/>
        <w:left w:val="none" w:sz="0" w:space="0" w:color="auto"/>
        <w:bottom w:val="none" w:sz="0" w:space="0" w:color="auto"/>
        <w:right w:val="none" w:sz="0" w:space="0" w:color="auto"/>
      </w:divBdr>
    </w:div>
    <w:div w:id="1685552832">
      <w:bodyDiv w:val="1"/>
      <w:marLeft w:val="0"/>
      <w:marRight w:val="0"/>
      <w:marTop w:val="0"/>
      <w:marBottom w:val="0"/>
      <w:divBdr>
        <w:top w:val="none" w:sz="0" w:space="0" w:color="auto"/>
        <w:left w:val="none" w:sz="0" w:space="0" w:color="auto"/>
        <w:bottom w:val="none" w:sz="0" w:space="0" w:color="auto"/>
        <w:right w:val="none" w:sz="0" w:space="0" w:color="auto"/>
      </w:divBdr>
    </w:div>
    <w:div w:id="1685669269">
      <w:bodyDiv w:val="1"/>
      <w:marLeft w:val="0"/>
      <w:marRight w:val="0"/>
      <w:marTop w:val="0"/>
      <w:marBottom w:val="0"/>
      <w:divBdr>
        <w:top w:val="none" w:sz="0" w:space="0" w:color="auto"/>
        <w:left w:val="none" w:sz="0" w:space="0" w:color="auto"/>
        <w:bottom w:val="none" w:sz="0" w:space="0" w:color="auto"/>
        <w:right w:val="none" w:sz="0" w:space="0" w:color="auto"/>
      </w:divBdr>
    </w:div>
    <w:div w:id="1685740131">
      <w:bodyDiv w:val="1"/>
      <w:marLeft w:val="0"/>
      <w:marRight w:val="0"/>
      <w:marTop w:val="0"/>
      <w:marBottom w:val="0"/>
      <w:divBdr>
        <w:top w:val="none" w:sz="0" w:space="0" w:color="auto"/>
        <w:left w:val="none" w:sz="0" w:space="0" w:color="auto"/>
        <w:bottom w:val="none" w:sz="0" w:space="0" w:color="auto"/>
        <w:right w:val="none" w:sz="0" w:space="0" w:color="auto"/>
      </w:divBdr>
    </w:div>
    <w:div w:id="1685860551">
      <w:bodyDiv w:val="1"/>
      <w:marLeft w:val="0"/>
      <w:marRight w:val="0"/>
      <w:marTop w:val="0"/>
      <w:marBottom w:val="0"/>
      <w:divBdr>
        <w:top w:val="none" w:sz="0" w:space="0" w:color="auto"/>
        <w:left w:val="none" w:sz="0" w:space="0" w:color="auto"/>
        <w:bottom w:val="none" w:sz="0" w:space="0" w:color="auto"/>
        <w:right w:val="none" w:sz="0" w:space="0" w:color="auto"/>
      </w:divBdr>
    </w:div>
    <w:div w:id="1686131725">
      <w:bodyDiv w:val="1"/>
      <w:marLeft w:val="0"/>
      <w:marRight w:val="0"/>
      <w:marTop w:val="0"/>
      <w:marBottom w:val="0"/>
      <w:divBdr>
        <w:top w:val="none" w:sz="0" w:space="0" w:color="auto"/>
        <w:left w:val="none" w:sz="0" w:space="0" w:color="auto"/>
        <w:bottom w:val="none" w:sz="0" w:space="0" w:color="auto"/>
        <w:right w:val="none" w:sz="0" w:space="0" w:color="auto"/>
      </w:divBdr>
    </w:div>
    <w:div w:id="1686590100">
      <w:bodyDiv w:val="1"/>
      <w:marLeft w:val="0"/>
      <w:marRight w:val="0"/>
      <w:marTop w:val="0"/>
      <w:marBottom w:val="0"/>
      <w:divBdr>
        <w:top w:val="none" w:sz="0" w:space="0" w:color="auto"/>
        <w:left w:val="none" w:sz="0" w:space="0" w:color="auto"/>
        <w:bottom w:val="none" w:sz="0" w:space="0" w:color="auto"/>
        <w:right w:val="none" w:sz="0" w:space="0" w:color="auto"/>
      </w:divBdr>
    </w:div>
    <w:div w:id="1686592143">
      <w:bodyDiv w:val="1"/>
      <w:marLeft w:val="0"/>
      <w:marRight w:val="0"/>
      <w:marTop w:val="0"/>
      <w:marBottom w:val="0"/>
      <w:divBdr>
        <w:top w:val="none" w:sz="0" w:space="0" w:color="auto"/>
        <w:left w:val="none" w:sz="0" w:space="0" w:color="auto"/>
        <w:bottom w:val="none" w:sz="0" w:space="0" w:color="auto"/>
        <w:right w:val="none" w:sz="0" w:space="0" w:color="auto"/>
      </w:divBdr>
    </w:div>
    <w:div w:id="1686593599">
      <w:bodyDiv w:val="1"/>
      <w:marLeft w:val="0"/>
      <w:marRight w:val="0"/>
      <w:marTop w:val="0"/>
      <w:marBottom w:val="0"/>
      <w:divBdr>
        <w:top w:val="none" w:sz="0" w:space="0" w:color="auto"/>
        <w:left w:val="none" w:sz="0" w:space="0" w:color="auto"/>
        <w:bottom w:val="none" w:sz="0" w:space="0" w:color="auto"/>
        <w:right w:val="none" w:sz="0" w:space="0" w:color="auto"/>
      </w:divBdr>
    </w:div>
    <w:div w:id="1686636832">
      <w:bodyDiv w:val="1"/>
      <w:marLeft w:val="0"/>
      <w:marRight w:val="0"/>
      <w:marTop w:val="0"/>
      <w:marBottom w:val="0"/>
      <w:divBdr>
        <w:top w:val="none" w:sz="0" w:space="0" w:color="auto"/>
        <w:left w:val="none" w:sz="0" w:space="0" w:color="auto"/>
        <w:bottom w:val="none" w:sz="0" w:space="0" w:color="auto"/>
        <w:right w:val="none" w:sz="0" w:space="0" w:color="auto"/>
      </w:divBdr>
    </w:div>
    <w:div w:id="1686709805">
      <w:bodyDiv w:val="1"/>
      <w:marLeft w:val="0"/>
      <w:marRight w:val="0"/>
      <w:marTop w:val="0"/>
      <w:marBottom w:val="0"/>
      <w:divBdr>
        <w:top w:val="none" w:sz="0" w:space="0" w:color="auto"/>
        <w:left w:val="none" w:sz="0" w:space="0" w:color="auto"/>
        <w:bottom w:val="none" w:sz="0" w:space="0" w:color="auto"/>
        <w:right w:val="none" w:sz="0" w:space="0" w:color="auto"/>
      </w:divBdr>
    </w:div>
    <w:div w:id="1686713904">
      <w:bodyDiv w:val="1"/>
      <w:marLeft w:val="0"/>
      <w:marRight w:val="0"/>
      <w:marTop w:val="0"/>
      <w:marBottom w:val="0"/>
      <w:divBdr>
        <w:top w:val="none" w:sz="0" w:space="0" w:color="auto"/>
        <w:left w:val="none" w:sz="0" w:space="0" w:color="auto"/>
        <w:bottom w:val="none" w:sz="0" w:space="0" w:color="auto"/>
        <w:right w:val="none" w:sz="0" w:space="0" w:color="auto"/>
      </w:divBdr>
    </w:div>
    <w:div w:id="1686862025">
      <w:bodyDiv w:val="1"/>
      <w:marLeft w:val="0"/>
      <w:marRight w:val="0"/>
      <w:marTop w:val="0"/>
      <w:marBottom w:val="0"/>
      <w:divBdr>
        <w:top w:val="none" w:sz="0" w:space="0" w:color="auto"/>
        <w:left w:val="none" w:sz="0" w:space="0" w:color="auto"/>
        <w:bottom w:val="none" w:sz="0" w:space="0" w:color="auto"/>
        <w:right w:val="none" w:sz="0" w:space="0" w:color="auto"/>
      </w:divBdr>
    </w:div>
    <w:div w:id="1686863569">
      <w:bodyDiv w:val="1"/>
      <w:marLeft w:val="0"/>
      <w:marRight w:val="0"/>
      <w:marTop w:val="0"/>
      <w:marBottom w:val="0"/>
      <w:divBdr>
        <w:top w:val="none" w:sz="0" w:space="0" w:color="auto"/>
        <w:left w:val="none" w:sz="0" w:space="0" w:color="auto"/>
        <w:bottom w:val="none" w:sz="0" w:space="0" w:color="auto"/>
        <w:right w:val="none" w:sz="0" w:space="0" w:color="auto"/>
      </w:divBdr>
    </w:div>
    <w:div w:id="1686974076">
      <w:bodyDiv w:val="1"/>
      <w:marLeft w:val="0"/>
      <w:marRight w:val="0"/>
      <w:marTop w:val="0"/>
      <w:marBottom w:val="0"/>
      <w:divBdr>
        <w:top w:val="none" w:sz="0" w:space="0" w:color="auto"/>
        <w:left w:val="none" w:sz="0" w:space="0" w:color="auto"/>
        <w:bottom w:val="none" w:sz="0" w:space="0" w:color="auto"/>
        <w:right w:val="none" w:sz="0" w:space="0" w:color="auto"/>
      </w:divBdr>
    </w:div>
    <w:div w:id="1687167959">
      <w:bodyDiv w:val="1"/>
      <w:marLeft w:val="0"/>
      <w:marRight w:val="0"/>
      <w:marTop w:val="0"/>
      <w:marBottom w:val="0"/>
      <w:divBdr>
        <w:top w:val="none" w:sz="0" w:space="0" w:color="auto"/>
        <w:left w:val="none" w:sz="0" w:space="0" w:color="auto"/>
        <w:bottom w:val="none" w:sz="0" w:space="0" w:color="auto"/>
        <w:right w:val="none" w:sz="0" w:space="0" w:color="auto"/>
      </w:divBdr>
    </w:div>
    <w:div w:id="1687292789">
      <w:bodyDiv w:val="1"/>
      <w:marLeft w:val="0"/>
      <w:marRight w:val="0"/>
      <w:marTop w:val="0"/>
      <w:marBottom w:val="0"/>
      <w:divBdr>
        <w:top w:val="none" w:sz="0" w:space="0" w:color="auto"/>
        <w:left w:val="none" w:sz="0" w:space="0" w:color="auto"/>
        <w:bottom w:val="none" w:sz="0" w:space="0" w:color="auto"/>
        <w:right w:val="none" w:sz="0" w:space="0" w:color="auto"/>
      </w:divBdr>
    </w:div>
    <w:div w:id="1687559520">
      <w:bodyDiv w:val="1"/>
      <w:marLeft w:val="0"/>
      <w:marRight w:val="0"/>
      <w:marTop w:val="0"/>
      <w:marBottom w:val="0"/>
      <w:divBdr>
        <w:top w:val="none" w:sz="0" w:space="0" w:color="auto"/>
        <w:left w:val="none" w:sz="0" w:space="0" w:color="auto"/>
        <w:bottom w:val="none" w:sz="0" w:space="0" w:color="auto"/>
        <w:right w:val="none" w:sz="0" w:space="0" w:color="auto"/>
      </w:divBdr>
    </w:div>
    <w:div w:id="1687753976">
      <w:bodyDiv w:val="1"/>
      <w:marLeft w:val="0"/>
      <w:marRight w:val="0"/>
      <w:marTop w:val="0"/>
      <w:marBottom w:val="0"/>
      <w:divBdr>
        <w:top w:val="none" w:sz="0" w:space="0" w:color="auto"/>
        <w:left w:val="none" w:sz="0" w:space="0" w:color="auto"/>
        <w:bottom w:val="none" w:sz="0" w:space="0" w:color="auto"/>
        <w:right w:val="none" w:sz="0" w:space="0" w:color="auto"/>
      </w:divBdr>
    </w:div>
    <w:div w:id="1687780120">
      <w:bodyDiv w:val="1"/>
      <w:marLeft w:val="0"/>
      <w:marRight w:val="0"/>
      <w:marTop w:val="0"/>
      <w:marBottom w:val="0"/>
      <w:divBdr>
        <w:top w:val="none" w:sz="0" w:space="0" w:color="auto"/>
        <w:left w:val="none" w:sz="0" w:space="0" w:color="auto"/>
        <w:bottom w:val="none" w:sz="0" w:space="0" w:color="auto"/>
        <w:right w:val="none" w:sz="0" w:space="0" w:color="auto"/>
      </w:divBdr>
    </w:div>
    <w:div w:id="1687950320">
      <w:bodyDiv w:val="1"/>
      <w:marLeft w:val="0"/>
      <w:marRight w:val="0"/>
      <w:marTop w:val="0"/>
      <w:marBottom w:val="0"/>
      <w:divBdr>
        <w:top w:val="none" w:sz="0" w:space="0" w:color="auto"/>
        <w:left w:val="none" w:sz="0" w:space="0" w:color="auto"/>
        <w:bottom w:val="none" w:sz="0" w:space="0" w:color="auto"/>
        <w:right w:val="none" w:sz="0" w:space="0" w:color="auto"/>
      </w:divBdr>
    </w:div>
    <w:div w:id="1687975022">
      <w:bodyDiv w:val="1"/>
      <w:marLeft w:val="0"/>
      <w:marRight w:val="0"/>
      <w:marTop w:val="0"/>
      <w:marBottom w:val="0"/>
      <w:divBdr>
        <w:top w:val="none" w:sz="0" w:space="0" w:color="auto"/>
        <w:left w:val="none" w:sz="0" w:space="0" w:color="auto"/>
        <w:bottom w:val="none" w:sz="0" w:space="0" w:color="auto"/>
        <w:right w:val="none" w:sz="0" w:space="0" w:color="auto"/>
      </w:divBdr>
    </w:div>
    <w:div w:id="1688092984">
      <w:bodyDiv w:val="1"/>
      <w:marLeft w:val="0"/>
      <w:marRight w:val="0"/>
      <w:marTop w:val="0"/>
      <w:marBottom w:val="0"/>
      <w:divBdr>
        <w:top w:val="none" w:sz="0" w:space="0" w:color="auto"/>
        <w:left w:val="none" w:sz="0" w:space="0" w:color="auto"/>
        <w:bottom w:val="none" w:sz="0" w:space="0" w:color="auto"/>
        <w:right w:val="none" w:sz="0" w:space="0" w:color="auto"/>
      </w:divBdr>
    </w:div>
    <w:div w:id="1688169030">
      <w:bodyDiv w:val="1"/>
      <w:marLeft w:val="0"/>
      <w:marRight w:val="0"/>
      <w:marTop w:val="0"/>
      <w:marBottom w:val="0"/>
      <w:divBdr>
        <w:top w:val="none" w:sz="0" w:space="0" w:color="auto"/>
        <w:left w:val="none" w:sz="0" w:space="0" w:color="auto"/>
        <w:bottom w:val="none" w:sz="0" w:space="0" w:color="auto"/>
        <w:right w:val="none" w:sz="0" w:space="0" w:color="auto"/>
      </w:divBdr>
    </w:div>
    <w:div w:id="1688405256">
      <w:bodyDiv w:val="1"/>
      <w:marLeft w:val="0"/>
      <w:marRight w:val="0"/>
      <w:marTop w:val="0"/>
      <w:marBottom w:val="0"/>
      <w:divBdr>
        <w:top w:val="none" w:sz="0" w:space="0" w:color="auto"/>
        <w:left w:val="none" w:sz="0" w:space="0" w:color="auto"/>
        <w:bottom w:val="none" w:sz="0" w:space="0" w:color="auto"/>
        <w:right w:val="none" w:sz="0" w:space="0" w:color="auto"/>
      </w:divBdr>
    </w:div>
    <w:div w:id="1688405870">
      <w:bodyDiv w:val="1"/>
      <w:marLeft w:val="0"/>
      <w:marRight w:val="0"/>
      <w:marTop w:val="0"/>
      <w:marBottom w:val="0"/>
      <w:divBdr>
        <w:top w:val="none" w:sz="0" w:space="0" w:color="auto"/>
        <w:left w:val="none" w:sz="0" w:space="0" w:color="auto"/>
        <w:bottom w:val="none" w:sz="0" w:space="0" w:color="auto"/>
        <w:right w:val="none" w:sz="0" w:space="0" w:color="auto"/>
      </w:divBdr>
    </w:div>
    <w:div w:id="1688562194">
      <w:bodyDiv w:val="1"/>
      <w:marLeft w:val="0"/>
      <w:marRight w:val="0"/>
      <w:marTop w:val="0"/>
      <w:marBottom w:val="0"/>
      <w:divBdr>
        <w:top w:val="none" w:sz="0" w:space="0" w:color="auto"/>
        <w:left w:val="none" w:sz="0" w:space="0" w:color="auto"/>
        <w:bottom w:val="none" w:sz="0" w:space="0" w:color="auto"/>
        <w:right w:val="none" w:sz="0" w:space="0" w:color="auto"/>
      </w:divBdr>
    </w:div>
    <w:div w:id="1688604846">
      <w:bodyDiv w:val="1"/>
      <w:marLeft w:val="0"/>
      <w:marRight w:val="0"/>
      <w:marTop w:val="0"/>
      <w:marBottom w:val="0"/>
      <w:divBdr>
        <w:top w:val="none" w:sz="0" w:space="0" w:color="auto"/>
        <w:left w:val="none" w:sz="0" w:space="0" w:color="auto"/>
        <w:bottom w:val="none" w:sz="0" w:space="0" w:color="auto"/>
        <w:right w:val="none" w:sz="0" w:space="0" w:color="auto"/>
      </w:divBdr>
    </w:div>
    <w:div w:id="1688671851">
      <w:bodyDiv w:val="1"/>
      <w:marLeft w:val="0"/>
      <w:marRight w:val="0"/>
      <w:marTop w:val="0"/>
      <w:marBottom w:val="0"/>
      <w:divBdr>
        <w:top w:val="none" w:sz="0" w:space="0" w:color="auto"/>
        <w:left w:val="none" w:sz="0" w:space="0" w:color="auto"/>
        <w:bottom w:val="none" w:sz="0" w:space="0" w:color="auto"/>
        <w:right w:val="none" w:sz="0" w:space="0" w:color="auto"/>
      </w:divBdr>
    </w:div>
    <w:div w:id="1688673831">
      <w:bodyDiv w:val="1"/>
      <w:marLeft w:val="0"/>
      <w:marRight w:val="0"/>
      <w:marTop w:val="0"/>
      <w:marBottom w:val="0"/>
      <w:divBdr>
        <w:top w:val="none" w:sz="0" w:space="0" w:color="auto"/>
        <w:left w:val="none" w:sz="0" w:space="0" w:color="auto"/>
        <w:bottom w:val="none" w:sz="0" w:space="0" w:color="auto"/>
        <w:right w:val="none" w:sz="0" w:space="0" w:color="auto"/>
      </w:divBdr>
    </w:div>
    <w:div w:id="1688680577">
      <w:bodyDiv w:val="1"/>
      <w:marLeft w:val="0"/>
      <w:marRight w:val="0"/>
      <w:marTop w:val="0"/>
      <w:marBottom w:val="0"/>
      <w:divBdr>
        <w:top w:val="none" w:sz="0" w:space="0" w:color="auto"/>
        <w:left w:val="none" w:sz="0" w:space="0" w:color="auto"/>
        <w:bottom w:val="none" w:sz="0" w:space="0" w:color="auto"/>
        <w:right w:val="none" w:sz="0" w:space="0" w:color="auto"/>
      </w:divBdr>
    </w:div>
    <w:div w:id="1688746889">
      <w:bodyDiv w:val="1"/>
      <w:marLeft w:val="0"/>
      <w:marRight w:val="0"/>
      <w:marTop w:val="0"/>
      <w:marBottom w:val="0"/>
      <w:divBdr>
        <w:top w:val="none" w:sz="0" w:space="0" w:color="auto"/>
        <w:left w:val="none" w:sz="0" w:space="0" w:color="auto"/>
        <w:bottom w:val="none" w:sz="0" w:space="0" w:color="auto"/>
        <w:right w:val="none" w:sz="0" w:space="0" w:color="auto"/>
      </w:divBdr>
    </w:div>
    <w:div w:id="1688869881">
      <w:bodyDiv w:val="1"/>
      <w:marLeft w:val="0"/>
      <w:marRight w:val="0"/>
      <w:marTop w:val="0"/>
      <w:marBottom w:val="0"/>
      <w:divBdr>
        <w:top w:val="none" w:sz="0" w:space="0" w:color="auto"/>
        <w:left w:val="none" w:sz="0" w:space="0" w:color="auto"/>
        <w:bottom w:val="none" w:sz="0" w:space="0" w:color="auto"/>
        <w:right w:val="none" w:sz="0" w:space="0" w:color="auto"/>
      </w:divBdr>
    </w:div>
    <w:div w:id="1689021697">
      <w:bodyDiv w:val="1"/>
      <w:marLeft w:val="0"/>
      <w:marRight w:val="0"/>
      <w:marTop w:val="0"/>
      <w:marBottom w:val="0"/>
      <w:divBdr>
        <w:top w:val="none" w:sz="0" w:space="0" w:color="auto"/>
        <w:left w:val="none" w:sz="0" w:space="0" w:color="auto"/>
        <w:bottom w:val="none" w:sz="0" w:space="0" w:color="auto"/>
        <w:right w:val="none" w:sz="0" w:space="0" w:color="auto"/>
      </w:divBdr>
    </w:div>
    <w:div w:id="1689022720">
      <w:bodyDiv w:val="1"/>
      <w:marLeft w:val="0"/>
      <w:marRight w:val="0"/>
      <w:marTop w:val="0"/>
      <w:marBottom w:val="0"/>
      <w:divBdr>
        <w:top w:val="none" w:sz="0" w:space="0" w:color="auto"/>
        <w:left w:val="none" w:sz="0" w:space="0" w:color="auto"/>
        <w:bottom w:val="none" w:sz="0" w:space="0" w:color="auto"/>
        <w:right w:val="none" w:sz="0" w:space="0" w:color="auto"/>
      </w:divBdr>
    </w:div>
    <w:div w:id="1689256977">
      <w:bodyDiv w:val="1"/>
      <w:marLeft w:val="0"/>
      <w:marRight w:val="0"/>
      <w:marTop w:val="0"/>
      <w:marBottom w:val="0"/>
      <w:divBdr>
        <w:top w:val="none" w:sz="0" w:space="0" w:color="auto"/>
        <w:left w:val="none" w:sz="0" w:space="0" w:color="auto"/>
        <w:bottom w:val="none" w:sz="0" w:space="0" w:color="auto"/>
        <w:right w:val="none" w:sz="0" w:space="0" w:color="auto"/>
      </w:divBdr>
    </w:div>
    <w:div w:id="1689260173">
      <w:bodyDiv w:val="1"/>
      <w:marLeft w:val="0"/>
      <w:marRight w:val="0"/>
      <w:marTop w:val="0"/>
      <w:marBottom w:val="0"/>
      <w:divBdr>
        <w:top w:val="none" w:sz="0" w:space="0" w:color="auto"/>
        <w:left w:val="none" w:sz="0" w:space="0" w:color="auto"/>
        <w:bottom w:val="none" w:sz="0" w:space="0" w:color="auto"/>
        <w:right w:val="none" w:sz="0" w:space="0" w:color="auto"/>
      </w:divBdr>
    </w:div>
    <w:div w:id="1689528547">
      <w:bodyDiv w:val="1"/>
      <w:marLeft w:val="0"/>
      <w:marRight w:val="0"/>
      <w:marTop w:val="0"/>
      <w:marBottom w:val="0"/>
      <w:divBdr>
        <w:top w:val="none" w:sz="0" w:space="0" w:color="auto"/>
        <w:left w:val="none" w:sz="0" w:space="0" w:color="auto"/>
        <w:bottom w:val="none" w:sz="0" w:space="0" w:color="auto"/>
        <w:right w:val="none" w:sz="0" w:space="0" w:color="auto"/>
      </w:divBdr>
    </w:div>
    <w:div w:id="1689596698">
      <w:bodyDiv w:val="1"/>
      <w:marLeft w:val="0"/>
      <w:marRight w:val="0"/>
      <w:marTop w:val="0"/>
      <w:marBottom w:val="0"/>
      <w:divBdr>
        <w:top w:val="none" w:sz="0" w:space="0" w:color="auto"/>
        <w:left w:val="none" w:sz="0" w:space="0" w:color="auto"/>
        <w:bottom w:val="none" w:sz="0" w:space="0" w:color="auto"/>
        <w:right w:val="none" w:sz="0" w:space="0" w:color="auto"/>
      </w:divBdr>
    </w:div>
    <w:div w:id="1689795210">
      <w:bodyDiv w:val="1"/>
      <w:marLeft w:val="0"/>
      <w:marRight w:val="0"/>
      <w:marTop w:val="0"/>
      <w:marBottom w:val="0"/>
      <w:divBdr>
        <w:top w:val="none" w:sz="0" w:space="0" w:color="auto"/>
        <w:left w:val="none" w:sz="0" w:space="0" w:color="auto"/>
        <w:bottom w:val="none" w:sz="0" w:space="0" w:color="auto"/>
        <w:right w:val="none" w:sz="0" w:space="0" w:color="auto"/>
      </w:divBdr>
    </w:div>
    <w:div w:id="1689915471">
      <w:bodyDiv w:val="1"/>
      <w:marLeft w:val="0"/>
      <w:marRight w:val="0"/>
      <w:marTop w:val="0"/>
      <w:marBottom w:val="0"/>
      <w:divBdr>
        <w:top w:val="none" w:sz="0" w:space="0" w:color="auto"/>
        <w:left w:val="none" w:sz="0" w:space="0" w:color="auto"/>
        <w:bottom w:val="none" w:sz="0" w:space="0" w:color="auto"/>
        <w:right w:val="none" w:sz="0" w:space="0" w:color="auto"/>
      </w:divBdr>
    </w:div>
    <w:div w:id="1689915648">
      <w:bodyDiv w:val="1"/>
      <w:marLeft w:val="0"/>
      <w:marRight w:val="0"/>
      <w:marTop w:val="0"/>
      <w:marBottom w:val="0"/>
      <w:divBdr>
        <w:top w:val="none" w:sz="0" w:space="0" w:color="auto"/>
        <w:left w:val="none" w:sz="0" w:space="0" w:color="auto"/>
        <w:bottom w:val="none" w:sz="0" w:space="0" w:color="auto"/>
        <w:right w:val="none" w:sz="0" w:space="0" w:color="auto"/>
      </w:divBdr>
    </w:div>
    <w:div w:id="1689986530">
      <w:bodyDiv w:val="1"/>
      <w:marLeft w:val="0"/>
      <w:marRight w:val="0"/>
      <w:marTop w:val="0"/>
      <w:marBottom w:val="0"/>
      <w:divBdr>
        <w:top w:val="none" w:sz="0" w:space="0" w:color="auto"/>
        <w:left w:val="none" w:sz="0" w:space="0" w:color="auto"/>
        <w:bottom w:val="none" w:sz="0" w:space="0" w:color="auto"/>
        <w:right w:val="none" w:sz="0" w:space="0" w:color="auto"/>
      </w:divBdr>
    </w:div>
    <w:div w:id="1690062297">
      <w:bodyDiv w:val="1"/>
      <w:marLeft w:val="0"/>
      <w:marRight w:val="0"/>
      <w:marTop w:val="0"/>
      <w:marBottom w:val="0"/>
      <w:divBdr>
        <w:top w:val="none" w:sz="0" w:space="0" w:color="auto"/>
        <w:left w:val="none" w:sz="0" w:space="0" w:color="auto"/>
        <w:bottom w:val="none" w:sz="0" w:space="0" w:color="auto"/>
        <w:right w:val="none" w:sz="0" w:space="0" w:color="auto"/>
      </w:divBdr>
    </w:div>
    <w:div w:id="1690108623">
      <w:bodyDiv w:val="1"/>
      <w:marLeft w:val="0"/>
      <w:marRight w:val="0"/>
      <w:marTop w:val="0"/>
      <w:marBottom w:val="0"/>
      <w:divBdr>
        <w:top w:val="none" w:sz="0" w:space="0" w:color="auto"/>
        <w:left w:val="none" w:sz="0" w:space="0" w:color="auto"/>
        <w:bottom w:val="none" w:sz="0" w:space="0" w:color="auto"/>
        <w:right w:val="none" w:sz="0" w:space="0" w:color="auto"/>
      </w:divBdr>
    </w:div>
    <w:div w:id="1690134168">
      <w:bodyDiv w:val="1"/>
      <w:marLeft w:val="0"/>
      <w:marRight w:val="0"/>
      <w:marTop w:val="0"/>
      <w:marBottom w:val="0"/>
      <w:divBdr>
        <w:top w:val="none" w:sz="0" w:space="0" w:color="auto"/>
        <w:left w:val="none" w:sz="0" w:space="0" w:color="auto"/>
        <w:bottom w:val="none" w:sz="0" w:space="0" w:color="auto"/>
        <w:right w:val="none" w:sz="0" w:space="0" w:color="auto"/>
      </w:divBdr>
    </w:div>
    <w:div w:id="1690184834">
      <w:bodyDiv w:val="1"/>
      <w:marLeft w:val="0"/>
      <w:marRight w:val="0"/>
      <w:marTop w:val="0"/>
      <w:marBottom w:val="0"/>
      <w:divBdr>
        <w:top w:val="none" w:sz="0" w:space="0" w:color="auto"/>
        <w:left w:val="none" w:sz="0" w:space="0" w:color="auto"/>
        <w:bottom w:val="none" w:sz="0" w:space="0" w:color="auto"/>
        <w:right w:val="none" w:sz="0" w:space="0" w:color="auto"/>
      </w:divBdr>
    </w:div>
    <w:div w:id="1690453307">
      <w:bodyDiv w:val="1"/>
      <w:marLeft w:val="0"/>
      <w:marRight w:val="0"/>
      <w:marTop w:val="0"/>
      <w:marBottom w:val="0"/>
      <w:divBdr>
        <w:top w:val="none" w:sz="0" w:space="0" w:color="auto"/>
        <w:left w:val="none" w:sz="0" w:space="0" w:color="auto"/>
        <w:bottom w:val="none" w:sz="0" w:space="0" w:color="auto"/>
        <w:right w:val="none" w:sz="0" w:space="0" w:color="auto"/>
      </w:divBdr>
    </w:div>
    <w:div w:id="1690833947">
      <w:bodyDiv w:val="1"/>
      <w:marLeft w:val="0"/>
      <w:marRight w:val="0"/>
      <w:marTop w:val="0"/>
      <w:marBottom w:val="0"/>
      <w:divBdr>
        <w:top w:val="none" w:sz="0" w:space="0" w:color="auto"/>
        <w:left w:val="none" w:sz="0" w:space="0" w:color="auto"/>
        <w:bottom w:val="none" w:sz="0" w:space="0" w:color="auto"/>
        <w:right w:val="none" w:sz="0" w:space="0" w:color="auto"/>
      </w:divBdr>
    </w:div>
    <w:div w:id="1690985298">
      <w:bodyDiv w:val="1"/>
      <w:marLeft w:val="0"/>
      <w:marRight w:val="0"/>
      <w:marTop w:val="0"/>
      <w:marBottom w:val="0"/>
      <w:divBdr>
        <w:top w:val="none" w:sz="0" w:space="0" w:color="auto"/>
        <w:left w:val="none" w:sz="0" w:space="0" w:color="auto"/>
        <w:bottom w:val="none" w:sz="0" w:space="0" w:color="auto"/>
        <w:right w:val="none" w:sz="0" w:space="0" w:color="auto"/>
      </w:divBdr>
    </w:div>
    <w:div w:id="1691493984">
      <w:bodyDiv w:val="1"/>
      <w:marLeft w:val="0"/>
      <w:marRight w:val="0"/>
      <w:marTop w:val="0"/>
      <w:marBottom w:val="0"/>
      <w:divBdr>
        <w:top w:val="none" w:sz="0" w:space="0" w:color="auto"/>
        <w:left w:val="none" w:sz="0" w:space="0" w:color="auto"/>
        <w:bottom w:val="none" w:sz="0" w:space="0" w:color="auto"/>
        <w:right w:val="none" w:sz="0" w:space="0" w:color="auto"/>
      </w:divBdr>
    </w:div>
    <w:div w:id="1691563444">
      <w:bodyDiv w:val="1"/>
      <w:marLeft w:val="0"/>
      <w:marRight w:val="0"/>
      <w:marTop w:val="0"/>
      <w:marBottom w:val="0"/>
      <w:divBdr>
        <w:top w:val="none" w:sz="0" w:space="0" w:color="auto"/>
        <w:left w:val="none" w:sz="0" w:space="0" w:color="auto"/>
        <w:bottom w:val="none" w:sz="0" w:space="0" w:color="auto"/>
        <w:right w:val="none" w:sz="0" w:space="0" w:color="auto"/>
      </w:divBdr>
    </w:div>
    <w:div w:id="1691638770">
      <w:bodyDiv w:val="1"/>
      <w:marLeft w:val="0"/>
      <w:marRight w:val="0"/>
      <w:marTop w:val="0"/>
      <w:marBottom w:val="0"/>
      <w:divBdr>
        <w:top w:val="none" w:sz="0" w:space="0" w:color="auto"/>
        <w:left w:val="none" w:sz="0" w:space="0" w:color="auto"/>
        <w:bottom w:val="none" w:sz="0" w:space="0" w:color="auto"/>
        <w:right w:val="none" w:sz="0" w:space="0" w:color="auto"/>
      </w:divBdr>
    </w:div>
    <w:div w:id="1691684783">
      <w:bodyDiv w:val="1"/>
      <w:marLeft w:val="0"/>
      <w:marRight w:val="0"/>
      <w:marTop w:val="0"/>
      <w:marBottom w:val="0"/>
      <w:divBdr>
        <w:top w:val="none" w:sz="0" w:space="0" w:color="auto"/>
        <w:left w:val="none" w:sz="0" w:space="0" w:color="auto"/>
        <w:bottom w:val="none" w:sz="0" w:space="0" w:color="auto"/>
        <w:right w:val="none" w:sz="0" w:space="0" w:color="auto"/>
      </w:divBdr>
    </w:div>
    <w:div w:id="1692025080">
      <w:bodyDiv w:val="1"/>
      <w:marLeft w:val="0"/>
      <w:marRight w:val="0"/>
      <w:marTop w:val="0"/>
      <w:marBottom w:val="0"/>
      <w:divBdr>
        <w:top w:val="none" w:sz="0" w:space="0" w:color="auto"/>
        <w:left w:val="none" w:sz="0" w:space="0" w:color="auto"/>
        <w:bottom w:val="none" w:sz="0" w:space="0" w:color="auto"/>
        <w:right w:val="none" w:sz="0" w:space="0" w:color="auto"/>
      </w:divBdr>
    </w:div>
    <w:div w:id="1692146362">
      <w:bodyDiv w:val="1"/>
      <w:marLeft w:val="0"/>
      <w:marRight w:val="0"/>
      <w:marTop w:val="0"/>
      <w:marBottom w:val="0"/>
      <w:divBdr>
        <w:top w:val="none" w:sz="0" w:space="0" w:color="auto"/>
        <w:left w:val="none" w:sz="0" w:space="0" w:color="auto"/>
        <w:bottom w:val="none" w:sz="0" w:space="0" w:color="auto"/>
        <w:right w:val="none" w:sz="0" w:space="0" w:color="auto"/>
      </w:divBdr>
    </w:div>
    <w:div w:id="1692411467">
      <w:bodyDiv w:val="1"/>
      <w:marLeft w:val="0"/>
      <w:marRight w:val="0"/>
      <w:marTop w:val="0"/>
      <w:marBottom w:val="0"/>
      <w:divBdr>
        <w:top w:val="none" w:sz="0" w:space="0" w:color="auto"/>
        <w:left w:val="none" w:sz="0" w:space="0" w:color="auto"/>
        <w:bottom w:val="none" w:sz="0" w:space="0" w:color="auto"/>
        <w:right w:val="none" w:sz="0" w:space="0" w:color="auto"/>
      </w:divBdr>
    </w:div>
    <w:div w:id="1692486754">
      <w:bodyDiv w:val="1"/>
      <w:marLeft w:val="0"/>
      <w:marRight w:val="0"/>
      <w:marTop w:val="0"/>
      <w:marBottom w:val="0"/>
      <w:divBdr>
        <w:top w:val="none" w:sz="0" w:space="0" w:color="auto"/>
        <w:left w:val="none" w:sz="0" w:space="0" w:color="auto"/>
        <w:bottom w:val="none" w:sz="0" w:space="0" w:color="auto"/>
        <w:right w:val="none" w:sz="0" w:space="0" w:color="auto"/>
      </w:divBdr>
    </w:div>
    <w:div w:id="1692537056">
      <w:bodyDiv w:val="1"/>
      <w:marLeft w:val="0"/>
      <w:marRight w:val="0"/>
      <w:marTop w:val="0"/>
      <w:marBottom w:val="0"/>
      <w:divBdr>
        <w:top w:val="none" w:sz="0" w:space="0" w:color="auto"/>
        <w:left w:val="none" w:sz="0" w:space="0" w:color="auto"/>
        <w:bottom w:val="none" w:sz="0" w:space="0" w:color="auto"/>
        <w:right w:val="none" w:sz="0" w:space="0" w:color="auto"/>
      </w:divBdr>
    </w:div>
    <w:div w:id="1692994802">
      <w:bodyDiv w:val="1"/>
      <w:marLeft w:val="0"/>
      <w:marRight w:val="0"/>
      <w:marTop w:val="0"/>
      <w:marBottom w:val="0"/>
      <w:divBdr>
        <w:top w:val="none" w:sz="0" w:space="0" w:color="auto"/>
        <w:left w:val="none" w:sz="0" w:space="0" w:color="auto"/>
        <w:bottom w:val="none" w:sz="0" w:space="0" w:color="auto"/>
        <w:right w:val="none" w:sz="0" w:space="0" w:color="auto"/>
      </w:divBdr>
    </w:div>
    <w:div w:id="1693024174">
      <w:bodyDiv w:val="1"/>
      <w:marLeft w:val="0"/>
      <w:marRight w:val="0"/>
      <w:marTop w:val="0"/>
      <w:marBottom w:val="0"/>
      <w:divBdr>
        <w:top w:val="none" w:sz="0" w:space="0" w:color="auto"/>
        <w:left w:val="none" w:sz="0" w:space="0" w:color="auto"/>
        <w:bottom w:val="none" w:sz="0" w:space="0" w:color="auto"/>
        <w:right w:val="none" w:sz="0" w:space="0" w:color="auto"/>
      </w:divBdr>
    </w:div>
    <w:div w:id="1693067188">
      <w:bodyDiv w:val="1"/>
      <w:marLeft w:val="0"/>
      <w:marRight w:val="0"/>
      <w:marTop w:val="0"/>
      <w:marBottom w:val="0"/>
      <w:divBdr>
        <w:top w:val="none" w:sz="0" w:space="0" w:color="auto"/>
        <w:left w:val="none" w:sz="0" w:space="0" w:color="auto"/>
        <w:bottom w:val="none" w:sz="0" w:space="0" w:color="auto"/>
        <w:right w:val="none" w:sz="0" w:space="0" w:color="auto"/>
      </w:divBdr>
    </w:div>
    <w:div w:id="1693190365">
      <w:bodyDiv w:val="1"/>
      <w:marLeft w:val="0"/>
      <w:marRight w:val="0"/>
      <w:marTop w:val="0"/>
      <w:marBottom w:val="0"/>
      <w:divBdr>
        <w:top w:val="none" w:sz="0" w:space="0" w:color="auto"/>
        <w:left w:val="none" w:sz="0" w:space="0" w:color="auto"/>
        <w:bottom w:val="none" w:sz="0" w:space="0" w:color="auto"/>
        <w:right w:val="none" w:sz="0" w:space="0" w:color="auto"/>
      </w:divBdr>
    </w:div>
    <w:div w:id="1693218729">
      <w:bodyDiv w:val="1"/>
      <w:marLeft w:val="0"/>
      <w:marRight w:val="0"/>
      <w:marTop w:val="0"/>
      <w:marBottom w:val="0"/>
      <w:divBdr>
        <w:top w:val="none" w:sz="0" w:space="0" w:color="auto"/>
        <w:left w:val="none" w:sz="0" w:space="0" w:color="auto"/>
        <w:bottom w:val="none" w:sz="0" w:space="0" w:color="auto"/>
        <w:right w:val="none" w:sz="0" w:space="0" w:color="auto"/>
      </w:divBdr>
    </w:div>
    <w:div w:id="1693262411">
      <w:bodyDiv w:val="1"/>
      <w:marLeft w:val="0"/>
      <w:marRight w:val="0"/>
      <w:marTop w:val="0"/>
      <w:marBottom w:val="0"/>
      <w:divBdr>
        <w:top w:val="none" w:sz="0" w:space="0" w:color="auto"/>
        <w:left w:val="none" w:sz="0" w:space="0" w:color="auto"/>
        <w:bottom w:val="none" w:sz="0" w:space="0" w:color="auto"/>
        <w:right w:val="none" w:sz="0" w:space="0" w:color="auto"/>
      </w:divBdr>
    </w:div>
    <w:div w:id="1693333493">
      <w:bodyDiv w:val="1"/>
      <w:marLeft w:val="0"/>
      <w:marRight w:val="0"/>
      <w:marTop w:val="0"/>
      <w:marBottom w:val="0"/>
      <w:divBdr>
        <w:top w:val="none" w:sz="0" w:space="0" w:color="auto"/>
        <w:left w:val="none" w:sz="0" w:space="0" w:color="auto"/>
        <w:bottom w:val="none" w:sz="0" w:space="0" w:color="auto"/>
        <w:right w:val="none" w:sz="0" w:space="0" w:color="auto"/>
      </w:divBdr>
    </w:div>
    <w:div w:id="1693457350">
      <w:bodyDiv w:val="1"/>
      <w:marLeft w:val="0"/>
      <w:marRight w:val="0"/>
      <w:marTop w:val="0"/>
      <w:marBottom w:val="0"/>
      <w:divBdr>
        <w:top w:val="none" w:sz="0" w:space="0" w:color="auto"/>
        <w:left w:val="none" w:sz="0" w:space="0" w:color="auto"/>
        <w:bottom w:val="none" w:sz="0" w:space="0" w:color="auto"/>
        <w:right w:val="none" w:sz="0" w:space="0" w:color="auto"/>
      </w:divBdr>
    </w:div>
    <w:div w:id="1693530070">
      <w:bodyDiv w:val="1"/>
      <w:marLeft w:val="0"/>
      <w:marRight w:val="0"/>
      <w:marTop w:val="0"/>
      <w:marBottom w:val="0"/>
      <w:divBdr>
        <w:top w:val="none" w:sz="0" w:space="0" w:color="auto"/>
        <w:left w:val="none" w:sz="0" w:space="0" w:color="auto"/>
        <w:bottom w:val="none" w:sz="0" w:space="0" w:color="auto"/>
        <w:right w:val="none" w:sz="0" w:space="0" w:color="auto"/>
      </w:divBdr>
    </w:div>
    <w:div w:id="1693728566">
      <w:bodyDiv w:val="1"/>
      <w:marLeft w:val="0"/>
      <w:marRight w:val="0"/>
      <w:marTop w:val="0"/>
      <w:marBottom w:val="0"/>
      <w:divBdr>
        <w:top w:val="none" w:sz="0" w:space="0" w:color="auto"/>
        <w:left w:val="none" w:sz="0" w:space="0" w:color="auto"/>
        <w:bottom w:val="none" w:sz="0" w:space="0" w:color="auto"/>
        <w:right w:val="none" w:sz="0" w:space="0" w:color="auto"/>
      </w:divBdr>
    </w:div>
    <w:div w:id="1693804552">
      <w:bodyDiv w:val="1"/>
      <w:marLeft w:val="0"/>
      <w:marRight w:val="0"/>
      <w:marTop w:val="0"/>
      <w:marBottom w:val="0"/>
      <w:divBdr>
        <w:top w:val="none" w:sz="0" w:space="0" w:color="auto"/>
        <w:left w:val="none" w:sz="0" w:space="0" w:color="auto"/>
        <w:bottom w:val="none" w:sz="0" w:space="0" w:color="auto"/>
        <w:right w:val="none" w:sz="0" w:space="0" w:color="auto"/>
      </w:divBdr>
    </w:div>
    <w:div w:id="1694265951">
      <w:bodyDiv w:val="1"/>
      <w:marLeft w:val="0"/>
      <w:marRight w:val="0"/>
      <w:marTop w:val="0"/>
      <w:marBottom w:val="0"/>
      <w:divBdr>
        <w:top w:val="none" w:sz="0" w:space="0" w:color="auto"/>
        <w:left w:val="none" w:sz="0" w:space="0" w:color="auto"/>
        <w:bottom w:val="none" w:sz="0" w:space="0" w:color="auto"/>
        <w:right w:val="none" w:sz="0" w:space="0" w:color="auto"/>
      </w:divBdr>
    </w:div>
    <w:div w:id="1694266166">
      <w:bodyDiv w:val="1"/>
      <w:marLeft w:val="0"/>
      <w:marRight w:val="0"/>
      <w:marTop w:val="0"/>
      <w:marBottom w:val="0"/>
      <w:divBdr>
        <w:top w:val="none" w:sz="0" w:space="0" w:color="auto"/>
        <w:left w:val="none" w:sz="0" w:space="0" w:color="auto"/>
        <w:bottom w:val="none" w:sz="0" w:space="0" w:color="auto"/>
        <w:right w:val="none" w:sz="0" w:space="0" w:color="auto"/>
      </w:divBdr>
    </w:div>
    <w:div w:id="1694303298">
      <w:bodyDiv w:val="1"/>
      <w:marLeft w:val="0"/>
      <w:marRight w:val="0"/>
      <w:marTop w:val="0"/>
      <w:marBottom w:val="0"/>
      <w:divBdr>
        <w:top w:val="none" w:sz="0" w:space="0" w:color="auto"/>
        <w:left w:val="none" w:sz="0" w:space="0" w:color="auto"/>
        <w:bottom w:val="none" w:sz="0" w:space="0" w:color="auto"/>
        <w:right w:val="none" w:sz="0" w:space="0" w:color="auto"/>
      </w:divBdr>
    </w:div>
    <w:div w:id="1694452394">
      <w:bodyDiv w:val="1"/>
      <w:marLeft w:val="0"/>
      <w:marRight w:val="0"/>
      <w:marTop w:val="0"/>
      <w:marBottom w:val="0"/>
      <w:divBdr>
        <w:top w:val="none" w:sz="0" w:space="0" w:color="auto"/>
        <w:left w:val="none" w:sz="0" w:space="0" w:color="auto"/>
        <w:bottom w:val="none" w:sz="0" w:space="0" w:color="auto"/>
        <w:right w:val="none" w:sz="0" w:space="0" w:color="auto"/>
      </w:divBdr>
    </w:div>
    <w:div w:id="1694526871">
      <w:bodyDiv w:val="1"/>
      <w:marLeft w:val="0"/>
      <w:marRight w:val="0"/>
      <w:marTop w:val="0"/>
      <w:marBottom w:val="0"/>
      <w:divBdr>
        <w:top w:val="none" w:sz="0" w:space="0" w:color="auto"/>
        <w:left w:val="none" w:sz="0" w:space="0" w:color="auto"/>
        <w:bottom w:val="none" w:sz="0" w:space="0" w:color="auto"/>
        <w:right w:val="none" w:sz="0" w:space="0" w:color="auto"/>
      </w:divBdr>
    </w:div>
    <w:div w:id="1694653457">
      <w:bodyDiv w:val="1"/>
      <w:marLeft w:val="0"/>
      <w:marRight w:val="0"/>
      <w:marTop w:val="0"/>
      <w:marBottom w:val="0"/>
      <w:divBdr>
        <w:top w:val="none" w:sz="0" w:space="0" w:color="auto"/>
        <w:left w:val="none" w:sz="0" w:space="0" w:color="auto"/>
        <w:bottom w:val="none" w:sz="0" w:space="0" w:color="auto"/>
        <w:right w:val="none" w:sz="0" w:space="0" w:color="auto"/>
      </w:divBdr>
    </w:div>
    <w:div w:id="1694767400">
      <w:bodyDiv w:val="1"/>
      <w:marLeft w:val="0"/>
      <w:marRight w:val="0"/>
      <w:marTop w:val="0"/>
      <w:marBottom w:val="0"/>
      <w:divBdr>
        <w:top w:val="none" w:sz="0" w:space="0" w:color="auto"/>
        <w:left w:val="none" w:sz="0" w:space="0" w:color="auto"/>
        <w:bottom w:val="none" w:sz="0" w:space="0" w:color="auto"/>
        <w:right w:val="none" w:sz="0" w:space="0" w:color="auto"/>
      </w:divBdr>
    </w:div>
    <w:div w:id="1695351617">
      <w:bodyDiv w:val="1"/>
      <w:marLeft w:val="0"/>
      <w:marRight w:val="0"/>
      <w:marTop w:val="0"/>
      <w:marBottom w:val="0"/>
      <w:divBdr>
        <w:top w:val="none" w:sz="0" w:space="0" w:color="auto"/>
        <w:left w:val="none" w:sz="0" w:space="0" w:color="auto"/>
        <w:bottom w:val="none" w:sz="0" w:space="0" w:color="auto"/>
        <w:right w:val="none" w:sz="0" w:space="0" w:color="auto"/>
      </w:divBdr>
    </w:div>
    <w:div w:id="1695423592">
      <w:bodyDiv w:val="1"/>
      <w:marLeft w:val="0"/>
      <w:marRight w:val="0"/>
      <w:marTop w:val="0"/>
      <w:marBottom w:val="0"/>
      <w:divBdr>
        <w:top w:val="none" w:sz="0" w:space="0" w:color="auto"/>
        <w:left w:val="none" w:sz="0" w:space="0" w:color="auto"/>
        <w:bottom w:val="none" w:sz="0" w:space="0" w:color="auto"/>
        <w:right w:val="none" w:sz="0" w:space="0" w:color="auto"/>
      </w:divBdr>
    </w:div>
    <w:div w:id="1695493789">
      <w:bodyDiv w:val="1"/>
      <w:marLeft w:val="0"/>
      <w:marRight w:val="0"/>
      <w:marTop w:val="0"/>
      <w:marBottom w:val="0"/>
      <w:divBdr>
        <w:top w:val="none" w:sz="0" w:space="0" w:color="auto"/>
        <w:left w:val="none" w:sz="0" w:space="0" w:color="auto"/>
        <w:bottom w:val="none" w:sz="0" w:space="0" w:color="auto"/>
        <w:right w:val="none" w:sz="0" w:space="0" w:color="auto"/>
      </w:divBdr>
    </w:div>
    <w:div w:id="1695496828">
      <w:bodyDiv w:val="1"/>
      <w:marLeft w:val="0"/>
      <w:marRight w:val="0"/>
      <w:marTop w:val="0"/>
      <w:marBottom w:val="0"/>
      <w:divBdr>
        <w:top w:val="none" w:sz="0" w:space="0" w:color="auto"/>
        <w:left w:val="none" w:sz="0" w:space="0" w:color="auto"/>
        <w:bottom w:val="none" w:sz="0" w:space="0" w:color="auto"/>
        <w:right w:val="none" w:sz="0" w:space="0" w:color="auto"/>
      </w:divBdr>
    </w:div>
    <w:div w:id="1695497903">
      <w:bodyDiv w:val="1"/>
      <w:marLeft w:val="0"/>
      <w:marRight w:val="0"/>
      <w:marTop w:val="0"/>
      <w:marBottom w:val="0"/>
      <w:divBdr>
        <w:top w:val="none" w:sz="0" w:space="0" w:color="auto"/>
        <w:left w:val="none" w:sz="0" w:space="0" w:color="auto"/>
        <w:bottom w:val="none" w:sz="0" w:space="0" w:color="auto"/>
        <w:right w:val="none" w:sz="0" w:space="0" w:color="auto"/>
      </w:divBdr>
    </w:div>
    <w:div w:id="1695613940">
      <w:bodyDiv w:val="1"/>
      <w:marLeft w:val="0"/>
      <w:marRight w:val="0"/>
      <w:marTop w:val="0"/>
      <w:marBottom w:val="0"/>
      <w:divBdr>
        <w:top w:val="none" w:sz="0" w:space="0" w:color="auto"/>
        <w:left w:val="none" w:sz="0" w:space="0" w:color="auto"/>
        <w:bottom w:val="none" w:sz="0" w:space="0" w:color="auto"/>
        <w:right w:val="none" w:sz="0" w:space="0" w:color="auto"/>
      </w:divBdr>
    </w:div>
    <w:div w:id="1695809636">
      <w:bodyDiv w:val="1"/>
      <w:marLeft w:val="0"/>
      <w:marRight w:val="0"/>
      <w:marTop w:val="0"/>
      <w:marBottom w:val="0"/>
      <w:divBdr>
        <w:top w:val="none" w:sz="0" w:space="0" w:color="auto"/>
        <w:left w:val="none" w:sz="0" w:space="0" w:color="auto"/>
        <w:bottom w:val="none" w:sz="0" w:space="0" w:color="auto"/>
        <w:right w:val="none" w:sz="0" w:space="0" w:color="auto"/>
      </w:divBdr>
    </w:div>
    <w:div w:id="1695884435">
      <w:bodyDiv w:val="1"/>
      <w:marLeft w:val="0"/>
      <w:marRight w:val="0"/>
      <w:marTop w:val="0"/>
      <w:marBottom w:val="0"/>
      <w:divBdr>
        <w:top w:val="none" w:sz="0" w:space="0" w:color="auto"/>
        <w:left w:val="none" w:sz="0" w:space="0" w:color="auto"/>
        <w:bottom w:val="none" w:sz="0" w:space="0" w:color="auto"/>
        <w:right w:val="none" w:sz="0" w:space="0" w:color="auto"/>
      </w:divBdr>
    </w:div>
    <w:div w:id="1696154386">
      <w:bodyDiv w:val="1"/>
      <w:marLeft w:val="0"/>
      <w:marRight w:val="0"/>
      <w:marTop w:val="0"/>
      <w:marBottom w:val="0"/>
      <w:divBdr>
        <w:top w:val="none" w:sz="0" w:space="0" w:color="auto"/>
        <w:left w:val="none" w:sz="0" w:space="0" w:color="auto"/>
        <w:bottom w:val="none" w:sz="0" w:space="0" w:color="auto"/>
        <w:right w:val="none" w:sz="0" w:space="0" w:color="auto"/>
      </w:divBdr>
    </w:div>
    <w:div w:id="1696228762">
      <w:bodyDiv w:val="1"/>
      <w:marLeft w:val="0"/>
      <w:marRight w:val="0"/>
      <w:marTop w:val="0"/>
      <w:marBottom w:val="0"/>
      <w:divBdr>
        <w:top w:val="none" w:sz="0" w:space="0" w:color="auto"/>
        <w:left w:val="none" w:sz="0" w:space="0" w:color="auto"/>
        <w:bottom w:val="none" w:sz="0" w:space="0" w:color="auto"/>
        <w:right w:val="none" w:sz="0" w:space="0" w:color="auto"/>
      </w:divBdr>
    </w:div>
    <w:div w:id="1696229033">
      <w:bodyDiv w:val="1"/>
      <w:marLeft w:val="0"/>
      <w:marRight w:val="0"/>
      <w:marTop w:val="0"/>
      <w:marBottom w:val="0"/>
      <w:divBdr>
        <w:top w:val="none" w:sz="0" w:space="0" w:color="auto"/>
        <w:left w:val="none" w:sz="0" w:space="0" w:color="auto"/>
        <w:bottom w:val="none" w:sz="0" w:space="0" w:color="auto"/>
        <w:right w:val="none" w:sz="0" w:space="0" w:color="auto"/>
      </w:divBdr>
    </w:div>
    <w:div w:id="1696273561">
      <w:bodyDiv w:val="1"/>
      <w:marLeft w:val="0"/>
      <w:marRight w:val="0"/>
      <w:marTop w:val="0"/>
      <w:marBottom w:val="0"/>
      <w:divBdr>
        <w:top w:val="none" w:sz="0" w:space="0" w:color="auto"/>
        <w:left w:val="none" w:sz="0" w:space="0" w:color="auto"/>
        <w:bottom w:val="none" w:sz="0" w:space="0" w:color="auto"/>
        <w:right w:val="none" w:sz="0" w:space="0" w:color="auto"/>
      </w:divBdr>
    </w:div>
    <w:div w:id="1696300161">
      <w:bodyDiv w:val="1"/>
      <w:marLeft w:val="0"/>
      <w:marRight w:val="0"/>
      <w:marTop w:val="0"/>
      <w:marBottom w:val="0"/>
      <w:divBdr>
        <w:top w:val="none" w:sz="0" w:space="0" w:color="auto"/>
        <w:left w:val="none" w:sz="0" w:space="0" w:color="auto"/>
        <w:bottom w:val="none" w:sz="0" w:space="0" w:color="auto"/>
        <w:right w:val="none" w:sz="0" w:space="0" w:color="auto"/>
      </w:divBdr>
    </w:div>
    <w:div w:id="1696300181">
      <w:bodyDiv w:val="1"/>
      <w:marLeft w:val="0"/>
      <w:marRight w:val="0"/>
      <w:marTop w:val="0"/>
      <w:marBottom w:val="0"/>
      <w:divBdr>
        <w:top w:val="none" w:sz="0" w:space="0" w:color="auto"/>
        <w:left w:val="none" w:sz="0" w:space="0" w:color="auto"/>
        <w:bottom w:val="none" w:sz="0" w:space="0" w:color="auto"/>
        <w:right w:val="none" w:sz="0" w:space="0" w:color="auto"/>
      </w:divBdr>
    </w:div>
    <w:div w:id="1696421504">
      <w:bodyDiv w:val="1"/>
      <w:marLeft w:val="0"/>
      <w:marRight w:val="0"/>
      <w:marTop w:val="0"/>
      <w:marBottom w:val="0"/>
      <w:divBdr>
        <w:top w:val="none" w:sz="0" w:space="0" w:color="auto"/>
        <w:left w:val="none" w:sz="0" w:space="0" w:color="auto"/>
        <w:bottom w:val="none" w:sz="0" w:space="0" w:color="auto"/>
        <w:right w:val="none" w:sz="0" w:space="0" w:color="auto"/>
      </w:divBdr>
    </w:div>
    <w:div w:id="1696421839">
      <w:bodyDiv w:val="1"/>
      <w:marLeft w:val="0"/>
      <w:marRight w:val="0"/>
      <w:marTop w:val="0"/>
      <w:marBottom w:val="0"/>
      <w:divBdr>
        <w:top w:val="none" w:sz="0" w:space="0" w:color="auto"/>
        <w:left w:val="none" w:sz="0" w:space="0" w:color="auto"/>
        <w:bottom w:val="none" w:sz="0" w:space="0" w:color="auto"/>
        <w:right w:val="none" w:sz="0" w:space="0" w:color="auto"/>
      </w:divBdr>
    </w:div>
    <w:div w:id="1696689607">
      <w:bodyDiv w:val="1"/>
      <w:marLeft w:val="0"/>
      <w:marRight w:val="0"/>
      <w:marTop w:val="0"/>
      <w:marBottom w:val="0"/>
      <w:divBdr>
        <w:top w:val="none" w:sz="0" w:space="0" w:color="auto"/>
        <w:left w:val="none" w:sz="0" w:space="0" w:color="auto"/>
        <w:bottom w:val="none" w:sz="0" w:space="0" w:color="auto"/>
        <w:right w:val="none" w:sz="0" w:space="0" w:color="auto"/>
      </w:divBdr>
    </w:div>
    <w:div w:id="1696809003">
      <w:bodyDiv w:val="1"/>
      <w:marLeft w:val="0"/>
      <w:marRight w:val="0"/>
      <w:marTop w:val="0"/>
      <w:marBottom w:val="0"/>
      <w:divBdr>
        <w:top w:val="none" w:sz="0" w:space="0" w:color="auto"/>
        <w:left w:val="none" w:sz="0" w:space="0" w:color="auto"/>
        <w:bottom w:val="none" w:sz="0" w:space="0" w:color="auto"/>
        <w:right w:val="none" w:sz="0" w:space="0" w:color="auto"/>
      </w:divBdr>
    </w:div>
    <w:div w:id="1697005496">
      <w:bodyDiv w:val="1"/>
      <w:marLeft w:val="0"/>
      <w:marRight w:val="0"/>
      <w:marTop w:val="0"/>
      <w:marBottom w:val="0"/>
      <w:divBdr>
        <w:top w:val="none" w:sz="0" w:space="0" w:color="auto"/>
        <w:left w:val="none" w:sz="0" w:space="0" w:color="auto"/>
        <w:bottom w:val="none" w:sz="0" w:space="0" w:color="auto"/>
        <w:right w:val="none" w:sz="0" w:space="0" w:color="auto"/>
      </w:divBdr>
    </w:div>
    <w:div w:id="1697120547">
      <w:bodyDiv w:val="1"/>
      <w:marLeft w:val="0"/>
      <w:marRight w:val="0"/>
      <w:marTop w:val="0"/>
      <w:marBottom w:val="0"/>
      <w:divBdr>
        <w:top w:val="none" w:sz="0" w:space="0" w:color="auto"/>
        <w:left w:val="none" w:sz="0" w:space="0" w:color="auto"/>
        <w:bottom w:val="none" w:sz="0" w:space="0" w:color="auto"/>
        <w:right w:val="none" w:sz="0" w:space="0" w:color="auto"/>
      </w:divBdr>
    </w:div>
    <w:div w:id="1697265272">
      <w:bodyDiv w:val="1"/>
      <w:marLeft w:val="0"/>
      <w:marRight w:val="0"/>
      <w:marTop w:val="0"/>
      <w:marBottom w:val="0"/>
      <w:divBdr>
        <w:top w:val="none" w:sz="0" w:space="0" w:color="auto"/>
        <w:left w:val="none" w:sz="0" w:space="0" w:color="auto"/>
        <w:bottom w:val="none" w:sz="0" w:space="0" w:color="auto"/>
        <w:right w:val="none" w:sz="0" w:space="0" w:color="auto"/>
      </w:divBdr>
    </w:div>
    <w:div w:id="1697344690">
      <w:bodyDiv w:val="1"/>
      <w:marLeft w:val="0"/>
      <w:marRight w:val="0"/>
      <w:marTop w:val="0"/>
      <w:marBottom w:val="0"/>
      <w:divBdr>
        <w:top w:val="none" w:sz="0" w:space="0" w:color="auto"/>
        <w:left w:val="none" w:sz="0" w:space="0" w:color="auto"/>
        <w:bottom w:val="none" w:sz="0" w:space="0" w:color="auto"/>
        <w:right w:val="none" w:sz="0" w:space="0" w:color="auto"/>
      </w:divBdr>
    </w:div>
    <w:div w:id="1697538119">
      <w:bodyDiv w:val="1"/>
      <w:marLeft w:val="0"/>
      <w:marRight w:val="0"/>
      <w:marTop w:val="0"/>
      <w:marBottom w:val="0"/>
      <w:divBdr>
        <w:top w:val="none" w:sz="0" w:space="0" w:color="auto"/>
        <w:left w:val="none" w:sz="0" w:space="0" w:color="auto"/>
        <w:bottom w:val="none" w:sz="0" w:space="0" w:color="auto"/>
        <w:right w:val="none" w:sz="0" w:space="0" w:color="auto"/>
      </w:divBdr>
    </w:div>
    <w:div w:id="1697653681">
      <w:bodyDiv w:val="1"/>
      <w:marLeft w:val="0"/>
      <w:marRight w:val="0"/>
      <w:marTop w:val="0"/>
      <w:marBottom w:val="0"/>
      <w:divBdr>
        <w:top w:val="none" w:sz="0" w:space="0" w:color="auto"/>
        <w:left w:val="none" w:sz="0" w:space="0" w:color="auto"/>
        <w:bottom w:val="none" w:sz="0" w:space="0" w:color="auto"/>
        <w:right w:val="none" w:sz="0" w:space="0" w:color="auto"/>
      </w:divBdr>
    </w:div>
    <w:div w:id="1697730982">
      <w:bodyDiv w:val="1"/>
      <w:marLeft w:val="0"/>
      <w:marRight w:val="0"/>
      <w:marTop w:val="0"/>
      <w:marBottom w:val="0"/>
      <w:divBdr>
        <w:top w:val="none" w:sz="0" w:space="0" w:color="auto"/>
        <w:left w:val="none" w:sz="0" w:space="0" w:color="auto"/>
        <w:bottom w:val="none" w:sz="0" w:space="0" w:color="auto"/>
        <w:right w:val="none" w:sz="0" w:space="0" w:color="auto"/>
      </w:divBdr>
    </w:div>
    <w:div w:id="1697776489">
      <w:bodyDiv w:val="1"/>
      <w:marLeft w:val="0"/>
      <w:marRight w:val="0"/>
      <w:marTop w:val="0"/>
      <w:marBottom w:val="0"/>
      <w:divBdr>
        <w:top w:val="none" w:sz="0" w:space="0" w:color="auto"/>
        <w:left w:val="none" w:sz="0" w:space="0" w:color="auto"/>
        <w:bottom w:val="none" w:sz="0" w:space="0" w:color="auto"/>
        <w:right w:val="none" w:sz="0" w:space="0" w:color="auto"/>
      </w:divBdr>
    </w:div>
    <w:div w:id="1697920550">
      <w:bodyDiv w:val="1"/>
      <w:marLeft w:val="0"/>
      <w:marRight w:val="0"/>
      <w:marTop w:val="0"/>
      <w:marBottom w:val="0"/>
      <w:divBdr>
        <w:top w:val="none" w:sz="0" w:space="0" w:color="auto"/>
        <w:left w:val="none" w:sz="0" w:space="0" w:color="auto"/>
        <w:bottom w:val="none" w:sz="0" w:space="0" w:color="auto"/>
        <w:right w:val="none" w:sz="0" w:space="0" w:color="auto"/>
      </w:divBdr>
    </w:div>
    <w:div w:id="1698004105">
      <w:bodyDiv w:val="1"/>
      <w:marLeft w:val="0"/>
      <w:marRight w:val="0"/>
      <w:marTop w:val="0"/>
      <w:marBottom w:val="0"/>
      <w:divBdr>
        <w:top w:val="none" w:sz="0" w:space="0" w:color="auto"/>
        <w:left w:val="none" w:sz="0" w:space="0" w:color="auto"/>
        <w:bottom w:val="none" w:sz="0" w:space="0" w:color="auto"/>
        <w:right w:val="none" w:sz="0" w:space="0" w:color="auto"/>
      </w:divBdr>
    </w:div>
    <w:div w:id="1698045252">
      <w:bodyDiv w:val="1"/>
      <w:marLeft w:val="0"/>
      <w:marRight w:val="0"/>
      <w:marTop w:val="0"/>
      <w:marBottom w:val="0"/>
      <w:divBdr>
        <w:top w:val="none" w:sz="0" w:space="0" w:color="auto"/>
        <w:left w:val="none" w:sz="0" w:space="0" w:color="auto"/>
        <w:bottom w:val="none" w:sz="0" w:space="0" w:color="auto"/>
        <w:right w:val="none" w:sz="0" w:space="0" w:color="auto"/>
      </w:divBdr>
    </w:div>
    <w:div w:id="1698192829">
      <w:bodyDiv w:val="1"/>
      <w:marLeft w:val="0"/>
      <w:marRight w:val="0"/>
      <w:marTop w:val="0"/>
      <w:marBottom w:val="0"/>
      <w:divBdr>
        <w:top w:val="none" w:sz="0" w:space="0" w:color="auto"/>
        <w:left w:val="none" w:sz="0" w:space="0" w:color="auto"/>
        <w:bottom w:val="none" w:sz="0" w:space="0" w:color="auto"/>
        <w:right w:val="none" w:sz="0" w:space="0" w:color="auto"/>
      </w:divBdr>
    </w:div>
    <w:div w:id="1698460407">
      <w:bodyDiv w:val="1"/>
      <w:marLeft w:val="0"/>
      <w:marRight w:val="0"/>
      <w:marTop w:val="0"/>
      <w:marBottom w:val="0"/>
      <w:divBdr>
        <w:top w:val="none" w:sz="0" w:space="0" w:color="auto"/>
        <w:left w:val="none" w:sz="0" w:space="0" w:color="auto"/>
        <w:bottom w:val="none" w:sz="0" w:space="0" w:color="auto"/>
        <w:right w:val="none" w:sz="0" w:space="0" w:color="auto"/>
      </w:divBdr>
    </w:div>
    <w:div w:id="1698507677">
      <w:bodyDiv w:val="1"/>
      <w:marLeft w:val="0"/>
      <w:marRight w:val="0"/>
      <w:marTop w:val="0"/>
      <w:marBottom w:val="0"/>
      <w:divBdr>
        <w:top w:val="none" w:sz="0" w:space="0" w:color="auto"/>
        <w:left w:val="none" w:sz="0" w:space="0" w:color="auto"/>
        <w:bottom w:val="none" w:sz="0" w:space="0" w:color="auto"/>
        <w:right w:val="none" w:sz="0" w:space="0" w:color="auto"/>
      </w:divBdr>
    </w:div>
    <w:div w:id="1698652502">
      <w:bodyDiv w:val="1"/>
      <w:marLeft w:val="0"/>
      <w:marRight w:val="0"/>
      <w:marTop w:val="0"/>
      <w:marBottom w:val="0"/>
      <w:divBdr>
        <w:top w:val="none" w:sz="0" w:space="0" w:color="auto"/>
        <w:left w:val="none" w:sz="0" w:space="0" w:color="auto"/>
        <w:bottom w:val="none" w:sz="0" w:space="0" w:color="auto"/>
        <w:right w:val="none" w:sz="0" w:space="0" w:color="auto"/>
      </w:divBdr>
    </w:div>
    <w:div w:id="1698653864">
      <w:bodyDiv w:val="1"/>
      <w:marLeft w:val="0"/>
      <w:marRight w:val="0"/>
      <w:marTop w:val="0"/>
      <w:marBottom w:val="0"/>
      <w:divBdr>
        <w:top w:val="none" w:sz="0" w:space="0" w:color="auto"/>
        <w:left w:val="none" w:sz="0" w:space="0" w:color="auto"/>
        <w:bottom w:val="none" w:sz="0" w:space="0" w:color="auto"/>
        <w:right w:val="none" w:sz="0" w:space="0" w:color="auto"/>
      </w:divBdr>
    </w:div>
    <w:div w:id="1698655691">
      <w:bodyDiv w:val="1"/>
      <w:marLeft w:val="0"/>
      <w:marRight w:val="0"/>
      <w:marTop w:val="0"/>
      <w:marBottom w:val="0"/>
      <w:divBdr>
        <w:top w:val="none" w:sz="0" w:space="0" w:color="auto"/>
        <w:left w:val="none" w:sz="0" w:space="0" w:color="auto"/>
        <w:bottom w:val="none" w:sz="0" w:space="0" w:color="auto"/>
        <w:right w:val="none" w:sz="0" w:space="0" w:color="auto"/>
      </w:divBdr>
    </w:div>
    <w:div w:id="1698774029">
      <w:bodyDiv w:val="1"/>
      <w:marLeft w:val="0"/>
      <w:marRight w:val="0"/>
      <w:marTop w:val="0"/>
      <w:marBottom w:val="0"/>
      <w:divBdr>
        <w:top w:val="none" w:sz="0" w:space="0" w:color="auto"/>
        <w:left w:val="none" w:sz="0" w:space="0" w:color="auto"/>
        <w:bottom w:val="none" w:sz="0" w:space="0" w:color="auto"/>
        <w:right w:val="none" w:sz="0" w:space="0" w:color="auto"/>
      </w:divBdr>
    </w:div>
    <w:div w:id="1698846485">
      <w:bodyDiv w:val="1"/>
      <w:marLeft w:val="0"/>
      <w:marRight w:val="0"/>
      <w:marTop w:val="0"/>
      <w:marBottom w:val="0"/>
      <w:divBdr>
        <w:top w:val="none" w:sz="0" w:space="0" w:color="auto"/>
        <w:left w:val="none" w:sz="0" w:space="0" w:color="auto"/>
        <w:bottom w:val="none" w:sz="0" w:space="0" w:color="auto"/>
        <w:right w:val="none" w:sz="0" w:space="0" w:color="auto"/>
      </w:divBdr>
    </w:div>
    <w:div w:id="1699089335">
      <w:bodyDiv w:val="1"/>
      <w:marLeft w:val="0"/>
      <w:marRight w:val="0"/>
      <w:marTop w:val="0"/>
      <w:marBottom w:val="0"/>
      <w:divBdr>
        <w:top w:val="none" w:sz="0" w:space="0" w:color="auto"/>
        <w:left w:val="none" w:sz="0" w:space="0" w:color="auto"/>
        <w:bottom w:val="none" w:sz="0" w:space="0" w:color="auto"/>
        <w:right w:val="none" w:sz="0" w:space="0" w:color="auto"/>
      </w:divBdr>
    </w:div>
    <w:div w:id="1699355582">
      <w:bodyDiv w:val="1"/>
      <w:marLeft w:val="0"/>
      <w:marRight w:val="0"/>
      <w:marTop w:val="0"/>
      <w:marBottom w:val="0"/>
      <w:divBdr>
        <w:top w:val="none" w:sz="0" w:space="0" w:color="auto"/>
        <w:left w:val="none" w:sz="0" w:space="0" w:color="auto"/>
        <w:bottom w:val="none" w:sz="0" w:space="0" w:color="auto"/>
        <w:right w:val="none" w:sz="0" w:space="0" w:color="auto"/>
      </w:divBdr>
    </w:div>
    <w:div w:id="1699577698">
      <w:bodyDiv w:val="1"/>
      <w:marLeft w:val="0"/>
      <w:marRight w:val="0"/>
      <w:marTop w:val="0"/>
      <w:marBottom w:val="0"/>
      <w:divBdr>
        <w:top w:val="none" w:sz="0" w:space="0" w:color="auto"/>
        <w:left w:val="none" w:sz="0" w:space="0" w:color="auto"/>
        <w:bottom w:val="none" w:sz="0" w:space="0" w:color="auto"/>
        <w:right w:val="none" w:sz="0" w:space="0" w:color="auto"/>
      </w:divBdr>
    </w:div>
    <w:div w:id="1700005546">
      <w:bodyDiv w:val="1"/>
      <w:marLeft w:val="0"/>
      <w:marRight w:val="0"/>
      <w:marTop w:val="0"/>
      <w:marBottom w:val="0"/>
      <w:divBdr>
        <w:top w:val="none" w:sz="0" w:space="0" w:color="auto"/>
        <w:left w:val="none" w:sz="0" w:space="0" w:color="auto"/>
        <w:bottom w:val="none" w:sz="0" w:space="0" w:color="auto"/>
        <w:right w:val="none" w:sz="0" w:space="0" w:color="auto"/>
      </w:divBdr>
    </w:div>
    <w:div w:id="1700350465">
      <w:bodyDiv w:val="1"/>
      <w:marLeft w:val="0"/>
      <w:marRight w:val="0"/>
      <w:marTop w:val="0"/>
      <w:marBottom w:val="0"/>
      <w:divBdr>
        <w:top w:val="none" w:sz="0" w:space="0" w:color="auto"/>
        <w:left w:val="none" w:sz="0" w:space="0" w:color="auto"/>
        <w:bottom w:val="none" w:sz="0" w:space="0" w:color="auto"/>
        <w:right w:val="none" w:sz="0" w:space="0" w:color="auto"/>
      </w:divBdr>
    </w:div>
    <w:div w:id="1700352625">
      <w:bodyDiv w:val="1"/>
      <w:marLeft w:val="0"/>
      <w:marRight w:val="0"/>
      <w:marTop w:val="0"/>
      <w:marBottom w:val="0"/>
      <w:divBdr>
        <w:top w:val="none" w:sz="0" w:space="0" w:color="auto"/>
        <w:left w:val="none" w:sz="0" w:space="0" w:color="auto"/>
        <w:bottom w:val="none" w:sz="0" w:space="0" w:color="auto"/>
        <w:right w:val="none" w:sz="0" w:space="0" w:color="auto"/>
      </w:divBdr>
    </w:div>
    <w:div w:id="1700354924">
      <w:bodyDiv w:val="1"/>
      <w:marLeft w:val="0"/>
      <w:marRight w:val="0"/>
      <w:marTop w:val="0"/>
      <w:marBottom w:val="0"/>
      <w:divBdr>
        <w:top w:val="none" w:sz="0" w:space="0" w:color="auto"/>
        <w:left w:val="none" w:sz="0" w:space="0" w:color="auto"/>
        <w:bottom w:val="none" w:sz="0" w:space="0" w:color="auto"/>
        <w:right w:val="none" w:sz="0" w:space="0" w:color="auto"/>
      </w:divBdr>
    </w:div>
    <w:div w:id="1701390470">
      <w:bodyDiv w:val="1"/>
      <w:marLeft w:val="0"/>
      <w:marRight w:val="0"/>
      <w:marTop w:val="0"/>
      <w:marBottom w:val="0"/>
      <w:divBdr>
        <w:top w:val="none" w:sz="0" w:space="0" w:color="auto"/>
        <w:left w:val="none" w:sz="0" w:space="0" w:color="auto"/>
        <w:bottom w:val="none" w:sz="0" w:space="0" w:color="auto"/>
        <w:right w:val="none" w:sz="0" w:space="0" w:color="auto"/>
      </w:divBdr>
    </w:div>
    <w:div w:id="1701469106">
      <w:bodyDiv w:val="1"/>
      <w:marLeft w:val="0"/>
      <w:marRight w:val="0"/>
      <w:marTop w:val="0"/>
      <w:marBottom w:val="0"/>
      <w:divBdr>
        <w:top w:val="none" w:sz="0" w:space="0" w:color="auto"/>
        <w:left w:val="none" w:sz="0" w:space="0" w:color="auto"/>
        <w:bottom w:val="none" w:sz="0" w:space="0" w:color="auto"/>
        <w:right w:val="none" w:sz="0" w:space="0" w:color="auto"/>
      </w:divBdr>
    </w:div>
    <w:div w:id="1701590897">
      <w:bodyDiv w:val="1"/>
      <w:marLeft w:val="0"/>
      <w:marRight w:val="0"/>
      <w:marTop w:val="0"/>
      <w:marBottom w:val="0"/>
      <w:divBdr>
        <w:top w:val="none" w:sz="0" w:space="0" w:color="auto"/>
        <w:left w:val="none" w:sz="0" w:space="0" w:color="auto"/>
        <w:bottom w:val="none" w:sz="0" w:space="0" w:color="auto"/>
        <w:right w:val="none" w:sz="0" w:space="0" w:color="auto"/>
      </w:divBdr>
    </w:div>
    <w:div w:id="1701661974">
      <w:bodyDiv w:val="1"/>
      <w:marLeft w:val="0"/>
      <w:marRight w:val="0"/>
      <w:marTop w:val="0"/>
      <w:marBottom w:val="0"/>
      <w:divBdr>
        <w:top w:val="none" w:sz="0" w:space="0" w:color="auto"/>
        <w:left w:val="none" w:sz="0" w:space="0" w:color="auto"/>
        <w:bottom w:val="none" w:sz="0" w:space="0" w:color="auto"/>
        <w:right w:val="none" w:sz="0" w:space="0" w:color="auto"/>
      </w:divBdr>
    </w:div>
    <w:div w:id="1701666337">
      <w:bodyDiv w:val="1"/>
      <w:marLeft w:val="0"/>
      <w:marRight w:val="0"/>
      <w:marTop w:val="0"/>
      <w:marBottom w:val="0"/>
      <w:divBdr>
        <w:top w:val="none" w:sz="0" w:space="0" w:color="auto"/>
        <w:left w:val="none" w:sz="0" w:space="0" w:color="auto"/>
        <w:bottom w:val="none" w:sz="0" w:space="0" w:color="auto"/>
        <w:right w:val="none" w:sz="0" w:space="0" w:color="auto"/>
      </w:divBdr>
    </w:div>
    <w:div w:id="1701707840">
      <w:bodyDiv w:val="1"/>
      <w:marLeft w:val="0"/>
      <w:marRight w:val="0"/>
      <w:marTop w:val="0"/>
      <w:marBottom w:val="0"/>
      <w:divBdr>
        <w:top w:val="none" w:sz="0" w:space="0" w:color="auto"/>
        <w:left w:val="none" w:sz="0" w:space="0" w:color="auto"/>
        <w:bottom w:val="none" w:sz="0" w:space="0" w:color="auto"/>
        <w:right w:val="none" w:sz="0" w:space="0" w:color="auto"/>
      </w:divBdr>
    </w:div>
    <w:div w:id="1701930333">
      <w:bodyDiv w:val="1"/>
      <w:marLeft w:val="0"/>
      <w:marRight w:val="0"/>
      <w:marTop w:val="0"/>
      <w:marBottom w:val="0"/>
      <w:divBdr>
        <w:top w:val="none" w:sz="0" w:space="0" w:color="auto"/>
        <w:left w:val="none" w:sz="0" w:space="0" w:color="auto"/>
        <w:bottom w:val="none" w:sz="0" w:space="0" w:color="auto"/>
        <w:right w:val="none" w:sz="0" w:space="0" w:color="auto"/>
      </w:divBdr>
    </w:div>
    <w:div w:id="1701972023">
      <w:bodyDiv w:val="1"/>
      <w:marLeft w:val="0"/>
      <w:marRight w:val="0"/>
      <w:marTop w:val="0"/>
      <w:marBottom w:val="0"/>
      <w:divBdr>
        <w:top w:val="none" w:sz="0" w:space="0" w:color="auto"/>
        <w:left w:val="none" w:sz="0" w:space="0" w:color="auto"/>
        <w:bottom w:val="none" w:sz="0" w:space="0" w:color="auto"/>
        <w:right w:val="none" w:sz="0" w:space="0" w:color="auto"/>
      </w:divBdr>
    </w:div>
    <w:div w:id="1702045469">
      <w:bodyDiv w:val="1"/>
      <w:marLeft w:val="0"/>
      <w:marRight w:val="0"/>
      <w:marTop w:val="0"/>
      <w:marBottom w:val="0"/>
      <w:divBdr>
        <w:top w:val="none" w:sz="0" w:space="0" w:color="auto"/>
        <w:left w:val="none" w:sz="0" w:space="0" w:color="auto"/>
        <w:bottom w:val="none" w:sz="0" w:space="0" w:color="auto"/>
        <w:right w:val="none" w:sz="0" w:space="0" w:color="auto"/>
      </w:divBdr>
    </w:div>
    <w:div w:id="1702244474">
      <w:bodyDiv w:val="1"/>
      <w:marLeft w:val="0"/>
      <w:marRight w:val="0"/>
      <w:marTop w:val="0"/>
      <w:marBottom w:val="0"/>
      <w:divBdr>
        <w:top w:val="none" w:sz="0" w:space="0" w:color="auto"/>
        <w:left w:val="none" w:sz="0" w:space="0" w:color="auto"/>
        <w:bottom w:val="none" w:sz="0" w:space="0" w:color="auto"/>
        <w:right w:val="none" w:sz="0" w:space="0" w:color="auto"/>
      </w:divBdr>
    </w:div>
    <w:div w:id="1702437832">
      <w:bodyDiv w:val="1"/>
      <w:marLeft w:val="0"/>
      <w:marRight w:val="0"/>
      <w:marTop w:val="0"/>
      <w:marBottom w:val="0"/>
      <w:divBdr>
        <w:top w:val="none" w:sz="0" w:space="0" w:color="auto"/>
        <w:left w:val="none" w:sz="0" w:space="0" w:color="auto"/>
        <w:bottom w:val="none" w:sz="0" w:space="0" w:color="auto"/>
        <w:right w:val="none" w:sz="0" w:space="0" w:color="auto"/>
      </w:divBdr>
    </w:div>
    <w:div w:id="1703087830">
      <w:bodyDiv w:val="1"/>
      <w:marLeft w:val="0"/>
      <w:marRight w:val="0"/>
      <w:marTop w:val="0"/>
      <w:marBottom w:val="0"/>
      <w:divBdr>
        <w:top w:val="none" w:sz="0" w:space="0" w:color="auto"/>
        <w:left w:val="none" w:sz="0" w:space="0" w:color="auto"/>
        <w:bottom w:val="none" w:sz="0" w:space="0" w:color="auto"/>
        <w:right w:val="none" w:sz="0" w:space="0" w:color="auto"/>
      </w:divBdr>
    </w:div>
    <w:div w:id="1703088489">
      <w:bodyDiv w:val="1"/>
      <w:marLeft w:val="0"/>
      <w:marRight w:val="0"/>
      <w:marTop w:val="0"/>
      <w:marBottom w:val="0"/>
      <w:divBdr>
        <w:top w:val="none" w:sz="0" w:space="0" w:color="auto"/>
        <w:left w:val="none" w:sz="0" w:space="0" w:color="auto"/>
        <w:bottom w:val="none" w:sz="0" w:space="0" w:color="auto"/>
        <w:right w:val="none" w:sz="0" w:space="0" w:color="auto"/>
      </w:divBdr>
    </w:div>
    <w:div w:id="1703092755">
      <w:bodyDiv w:val="1"/>
      <w:marLeft w:val="0"/>
      <w:marRight w:val="0"/>
      <w:marTop w:val="0"/>
      <w:marBottom w:val="0"/>
      <w:divBdr>
        <w:top w:val="none" w:sz="0" w:space="0" w:color="auto"/>
        <w:left w:val="none" w:sz="0" w:space="0" w:color="auto"/>
        <w:bottom w:val="none" w:sz="0" w:space="0" w:color="auto"/>
        <w:right w:val="none" w:sz="0" w:space="0" w:color="auto"/>
      </w:divBdr>
    </w:div>
    <w:div w:id="1703093240">
      <w:bodyDiv w:val="1"/>
      <w:marLeft w:val="0"/>
      <w:marRight w:val="0"/>
      <w:marTop w:val="0"/>
      <w:marBottom w:val="0"/>
      <w:divBdr>
        <w:top w:val="none" w:sz="0" w:space="0" w:color="auto"/>
        <w:left w:val="none" w:sz="0" w:space="0" w:color="auto"/>
        <w:bottom w:val="none" w:sz="0" w:space="0" w:color="auto"/>
        <w:right w:val="none" w:sz="0" w:space="0" w:color="auto"/>
      </w:divBdr>
    </w:div>
    <w:div w:id="1703162807">
      <w:bodyDiv w:val="1"/>
      <w:marLeft w:val="0"/>
      <w:marRight w:val="0"/>
      <w:marTop w:val="0"/>
      <w:marBottom w:val="0"/>
      <w:divBdr>
        <w:top w:val="none" w:sz="0" w:space="0" w:color="auto"/>
        <w:left w:val="none" w:sz="0" w:space="0" w:color="auto"/>
        <w:bottom w:val="none" w:sz="0" w:space="0" w:color="auto"/>
        <w:right w:val="none" w:sz="0" w:space="0" w:color="auto"/>
      </w:divBdr>
    </w:div>
    <w:div w:id="1703163621">
      <w:bodyDiv w:val="1"/>
      <w:marLeft w:val="0"/>
      <w:marRight w:val="0"/>
      <w:marTop w:val="0"/>
      <w:marBottom w:val="0"/>
      <w:divBdr>
        <w:top w:val="none" w:sz="0" w:space="0" w:color="auto"/>
        <w:left w:val="none" w:sz="0" w:space="0" w:color="auto"/>
        <w:bottom w:val="none" w:sz="0" w:space="0" w:color="auto"/>
        <w:right w:val="none" w:sz="0" w:space="0" w:color="auto"/>
      </w:divBdr>
    </w:div>
    <w:div w:id="1703282405">
      <w:bodyDiv w:val="1"/>
      <w:marLeft w:val="0"/>
      <w:marRight w:val="0"/>
      <w:marTop w:val="0"/>
      <w:marBottom w:val="0"/>
      <w:divBdr>
        <w:top w:val="none" w:sz="0" w:space="0" w:color="auto"/>
        <w:left w:val="none" w:sz="0" w:space="0" w:color="auto"/>
        <w:bottom w:val="none" w:sz="0" w:space="0" w:color="auto"/>
        <w:right w:val="none" w:sz="0" w:space="0" w:color="auto"/>
      </w:divBdr>
    </w:div>
    <w:div w:id="1703284787">
      <w:bodyDiv w:val="1"/>
      <w:marLeft w:val="0"/>
      <w:marRight w:val="0"/>
      <w:marTop w:val="0"/>
      <w:marBottom w:val="0"/>
      <w:divBdr>
        <w:top w:val="none" w:sz="0" w:space="0" w:color="auto"/>
        <w:left w:val="none" w:sz="0" w:space="0" w:color="auto"/>
        <w:bottom w:val="none" w:sz="0" w:space="0" w:color="auto"/>
        <w:right w:val="none" w:sz="0" w:space="0" w:color="auto"/>
      </w:divBdr>
    </w:div>
    <w:div w:id="1703356504">
      <w:bodyDiv w:val="1"/>
      <w:marLeft w:val="0"/>
      <w:marRight w:val="0"/>
      <w:marTop w:val="0"/>
      <w:marBottom w:val="0"/>
      <w:divBdr>
        <w:top w:val="none" w:sz="0" w:space="0" w:color="auto"/>
        <w:left w:val="none" w:sz="0" w:space="0" w:color="auto"/>
        <w:bottom w:val="none" w:sz="0" w:space="0" w:color="auto"/>
        <w:right w:val="none" w:sz="0" w:space="0" w:color="auto"/>
      </w:divBdr>
    </w:div>
    <w:div w:id="1703552899">
      <w:bodyDiv w:val="1"/>
      <w:marLeft w:val="0"/>
      <w:marRight w:val="0"/>
      <w:marTop w:val="0"/>
      <w:marBottom w:val="0"/>
      <w:divBdr>
        <w:top w:val="none" w:sz="0" w:space="0" w:color="auto"/>
        <w:left w:val="none" w:sz="0" w:space="0" w:color="auto"/>
        <w:bottom w:val="none" w:sz="0" w:space="0" w:color="auto"/>
        <w:right w:val="none" w:sz="0" w:space="0" w:color="auto"/>
      </w:divBdr>
    </w:div>
    <w:div w:id="1703554991">
      <w:bodyDiv w:val="1"/>
      <w:marLeft w:val="0"/>
      <w:marRight w:val="0"/>
      <w:marTop w:val="0"/>
      <w:marBottom w:val="0"/>
      <w:divBdr>
        <w:top w:val="none" w:sz="0" w:space="0" w:color="auto"/>
        <w:left w:val="none" w:sz="0" w:space="0" w:color="auto"/>
        <w:bottom w:val="none" w:sz="0" w:space="0" w:color="auto"/>
        <w:right w:val="none" w:sz="0" w:space="0" w:color="auto"/>
      </w:divBdr>
    </w:div>
    <w:div w:id="1703557652">
      <w:bodyDiv w:val="1"/>
      <w:marLeft w:val="0"/>
      <w:marRight w:val="0"/>
      <w:marTop w:val="0"/>
      <w:marBottom w:val="0"/>
      <w:divBdr>
        <w:top w:val="none" w:sz="0" w:space="0" w:color="auto"/>
        <w:left w:val="none" w:sz="0" w:space="0" w:color="auto"/>
        <w:bottom w:val="none" w:sz="0" w:space="0" w:color="auto"/>
        <w:right w:val="none" w:sz="0" w:space="0" w:color="auto"/>
      </w:divBdr>
    </w:div>
    <w:div w:id="1703625210">
      <w:bodyDiv w:val="1"/>
      <w:marLeft w:val="0"/>
      <w:marRight w:val="0"/>
      <w:marTop w:val="0"/>
      <w:marBottom w:val="0"/>
      <w:divBdr>
        <w:top w:val="none" w:sz="0" w:space="0" w:color="auto"/>
        <w:left w:val="none" w:sz="0" w:space="0" w:color="auto"/>
        <w:bottom w:val="none" w:sz="0" w:space="0" w:color="auto"/>
        <w:right w:val="none" w:sz="0" w:space="0" w:color="auto"/>
      </w:divBdr>
    </w:div>
    <w:div w:id="1703820768">
      <w:bodyDiv w:val="1"/>
      <w:marLeft w:val="0"/>
      <w:marRight w:val="0"/>
      <w:marTop w:val="0"/>
      <w:marBottom w:val="0"/>
      <w:divBdr>
        <w:top w:val="none" w:sz="0" w:space="0" w:color="auto"/>
        <w:left w:val="none" w:sz="0" w:space="0" w:color="auto"/>
        <w:bottom w:val="none" w:sz="0" w:space="0" w:color="auto"/>
        <w:right w:val="none" w:sz="0" w:space="0" w:color="auto"/>
      </w:divBdr>
    </w:div>
    <w:div w:id="1703901129">
      <w:bodyDiv w:val="1"/>
      <w:marLeft w:val="0"/>
      <w:marRight w:val="0"/>
      <w:marTop w:val="0"/>
      <w:marBottom w:val="0"/>
      <w:divBdr>
        <w:top w:val="none" w:sz="0" w:space="0" w:color="auto"/>
        <w:left w:val="none" w:sz="0" w:space="0" w:color="auto"/>
        <w:bottom w:val="none" w:sz="0" w:space="0" w:color="auto"/>
        <w:right w:val="none" w:sz="0" w:space="0" w:color="auto"/>
      </w:divBdr>
    </w:div>
    <w:div w:id="1703901986">
      <w:bodyDiv w:val="1"/>
      <w:marLeft w:val="0"/>
      <w:marRight w:val="0"/>
      <w:marTop w:val="0"/>
      <w:marBottom w:val="0"/>
      <w:divBdr>
        <w:top w:val="none" w:sz="0" w:space="0" w:color="auto"/>
        <w:left w:val="none" w:sz="0" w:space="0" w:color="auto"/>
        <w:bottom w:val="none" w:sz="0" w:space="0" w:color="auto"/>
        <w:right w:val="none" w:sz="0" w:space="0" w:color="auto"/>
      </w:divBdr>
    </w:div>
    <w:div w:id="1704093819">
      <w:bodyDiv w:val="1"/>
      <w:marLeft w:val="0"/>
      <w:marRight w:val="0"/>
      <w:marTop w:val="0"/>
      <w:marBottom w:val="0"/>
      <w:divBdr>
        <w:top w:val="none" w:sz="0" w:space="0" w:color="auto"/>
        <w:left w:val="none" w:sz="0" w:space="0" w:color="auto"/>
        <w:bottom w:val="none" w:sz="0" w:space="0" w:color="auto"/>
        <w:right w:val="none" w:sz="0" w:space="0" w:color="auto"/>
      </w:divBdr>
    </w:div>
    <w:div w:id="1704095001">
      <w:bodyDiv w:val="1"/>
      <w:marLeft w:val="0"/>
      <w:marRight w:val="0"/>
      <w:marTop w:val="0"/>
      <w:marBottom w:val="0"/>
      <w:divBdr>
        <w:top w:val="none" w:sz="0" w:space="0" w:color="auto"/>
        <w:left w:val="none" w:sz="0" w:space="0" w:color="auto"/>
        <w:bottom w:val="none" w:sz="0" w:space="0" w:color="auto"/>
        <w:right w:val="none" w:sz="0" w:space="0" w:color="auto"/>
      </w:divBdr>
    </w:div>
    <w:div w:id="1704138003">
      <w:bodyDiv w:val="1"/>
      <w:marLeft w:val="0"/>
      <w:marRight w:val="0"/>
      <w:marTop w:val="0"/>
      <w:marBottom w:val="0"/>
      <w:divBdr>
        <w:top w:val="none" w:sz="0" w:space="0" w:color="auto"/>
        <w:left w:val="none" w:sz="0" w:space="0" w:color="auto"/>
        <w:bottom w:val="none" w:sz="0" w:space="0" w:color="auto"/>
        <w:right w:val="none" w:sz="0" w:space="0" w:color="auto"/>
      </w:divBdr>
    </w:div>
    <w:div w:id="1704209413">
      <w:bodyDiv w:val="1"/>
      <w:marLeft w:val="0"/>
      <w:marRight w:val="0"/>
      <w:marTop w:val="0"/>
      <w:marBottom w:val="0"/>
      <w:divBdr>
        <w:top w:val="none" w:sz="0" w:space="0" w:color="auto"/>
        <w:left w:val="none" w:sz="0" w:space="0" w:color="auto"/>
        <w:bottom w:val="none" w:sz="0" w:space="0" w:color="auto"/>
        <w:right w:val="none" w:sz="0" w:space="0" w:color="auto"/>
      </w:divBdr>
    </w:div>
    <w:div w:id="1704213117">
      <w:bodyDiv w:val="1"/>
      <w:marLeft w:val="0"/>
      <w:marRight w:val="0"/>
      <w:marTop w:val="0"/>
      <w:marBottom w:val="0"/>
      <w:divBdr>
        <w:top w:val="none" w:sz="0" w:space="0" w:color="auto"/>
        <w:left w:val="none" w:sz="0" w:space="0" w:color="auto"/>
        <w:bottom w:val="none" w:sz="0" w:space="0" w:color="auto"/>
        <w:right w:val="none" w:sz="0" w:space="0" w:color="auto"/>
      </w:divBdr>
    </w:div>
    <w:div w:id="1704282523">
      <w:bodyDiv w:val="1"/>
      <w:marLeft w:val="0"/>
      <w:marRight w:val="0"/>
      <w:marTop w:val="0"/>
      <w:marBottom w:val="0"/>
      <w:divBdr>
        <w:top w:val="none" w:sz="0" w:space="0" w:color="auto"/>
        <w:left w:val="none" w:sz="0" w:space="0" w:color="auto"/>
        <w:bottom w:val="none" w:sz="0" w:space="0" w:color="auto"/>
        <w:right w:val="none" w:sz="0" w:space="0" w:color="auto"/>
      </w:divBdr>
    </w:div>
    <w:div w:id="1704286532">
      <w:bodyDiv w:val="1"/>
      <w:marLeft w:val="0"/>
      <w:marRight w:val="0"/>
      <w:marTop w:val="0"/>
      <w:marBottom w:val="0"/>
      <w:divBdr>
        <w:top w:val="none" w:sz="0" w:space="0" w:color="auto"/>
        <w:left w:val="none" w:sz="0" w:space="0" w:color="auto"/>
        <w:bottom w:val="none" w:sz="0" w:space="0" w:color="auto"/>
        <w:right w:val="none" w:sz="0" w:space="0" w:color="auto"/>
      </w:divBdr>
    </w:div>
    <w:div w:id="1704355507">
      <w:bodyDiv w:val="1"/>
      <w:marLeft w:val="0"/>
      <w:marRight w:val="0"/>
      <w:marTop w:val="0"/>
      <w:marBottom w:val="0"/>
      <w:divBdr>
        <w:top w:val="none" w:sz="0" w:space="0" w:color="auto"/>
        <w:left w:val="none" w:sz="0" w:space="0" w:color="auto"/>
        <w:bottom w:val="none" w:sz="0" w:space="0" w:color="auto"/>
        <w:right w:val="none" w:sz="0" w:space="0" w:color="auto"/>
      </w:divBdr>
    </w:div>
    <w:div w:id="1704403321">
      <w:bodyDiv w:val="1"/>
      <w:marLeft w:val="0"/>
      <w:marRight w:val="0"/>
      <w:marTop w:val="0"/>
      <w:marBottom w:val="0"/>
      <w:divBdr>
        <w:top w:val="none" w:sz="0" w:space="0" w:color="auto"/>
        <w:left w:val="none" w:sz="0" w:space="0" w:color="auto"/>
        <w:bottom w:val="none" w:sz="0" w:space="0" w:color="auto"/>
        <w:right w:val="none" w:sz="0" w:space="0" w:color="auto"/>
      </w:divBdr>
    </w:div>
    <w:div w:id="1704555015">
      <w:bodyDiv w:val="1"/>
      <w:marLeft w:val="0"/>
      <w:marRight w:val="0"/>
      <w:marTop w:val="0"/>
      <w:marBottom w:val="0"/>
      <w:divBdr>
        <w:top w:val="none" w:sz="0" w:space="0" w:color="auto"/>
        <w:left w:val="none" w:sz="0" w:space="0" w:color="auto"/>
        <w:bottom w:val="none" w:sz="0" w:space="0" w:color="auto"/>
        <w:right w:val="none" w:sz="0" w:space="0" w:color="auto"/>
      </w:divBdr>
    </w:div>
    <w:div w:id="1704666610">
      <w:bodyDiv w:val="1"/>
      <w:marLeft w:val="0"/>
      <w:marRight w:val="0"/>
      <w:marTop w:val="0"/>
      <w:marBottom w:val="0"/>
      <w:divBdr>
        <w:top w:val="none" w:sz="0" w:space="0" w:color="auto"/>
        <w:left w:val="none" w:sz="0" w:space="0" w:color="auto"/>
        <w:bottom w:val="none" w:sz="0" w:space="0" w:color="auto"/>
        <w:right w:val="none" w:sz="0" w:space="0" w:color="auto"/>
      </w:divBdr>
    </w:div>
    <w:div w:id="1704674784">
      <w:bodyDiv w:val="1"/>
      <w:marLeft w:val="0"/>
      <w:marRight w:val="0"/>
      <w:marTop w:val="0"/>
      <w:marBottom w:val="0"/>
      <w:divBdr>
        <w:top w:val="none" w:sz="0" w:space="0" w:color="auto"/>
        <w:left w:val="none" w:sz="0" w:space="0" w:color="auto"/>
        <w:bottom w:val="none" w:sz="0" w:space="0" w:color="auto"/>
        <w:right w:val="none" w:sz="0" w:space="0" w:color="auto"/>
      </w:divBdr>
    </w:div>
    <w:div w:id="1704748874">
      <w:bodyDiv w:val="1"/>
      <w:marLeft w:val="0"/>
      <w:marRight w:val="0"/>
      <w:marTop w:val="0"/>
      <w:marBottom w:val="0"/>
      <w:divBdr>
        <w:top w:val="none" w:sz="0" w:space="0" w:color="auto"/>
        <w:left w:val="none" w:sz="0" w:space="0" w:color="auto"/>
        <w:bottom w:val="none" w:sz="0" w:space="0" w:color="auto"/>
        <w:right w:val="none" w:sz="0" w:space="0" w:color="auto"/>
      </w:divBdr>
    </w:div>
    <w:div w:id="1704788440">
      <w:bodyDiv w:val="1"/>
      <w:marLeft w:val="0"/>
      <w:marRight w:val="0"/>
      <w:marTop w:val="0"/>
      <w:marBottom w:val="0"/>
      <w:divBdr>
        <w:top w:val="none" w:sz="0" w:space="0" w:color="auto"/>
        <w:left w:val="none" w:sz="0" w:space="0" w:color="auto"/>
        <w:bottom w:val="none" w:sz="0" w:space="0" w:color="auto"/>
        <w:right w:val="none" w:sz="0" w:space="0" w:color="auto"/>
      </w:divBdr>
    </w:div>
    <w:div w:id="1705323208">
      <w:bodyDiv w:val="1"/>
      <w:marLeft w:val="0"/>
      <w:marRight w:val="0"/>
      <w:marTop w:val="0"/>
      <w:marBottom w:val="0"/>
      <w:divBdr>
        <w:top w:val="none" w:sz="0" w:space="0" w:color="auto"/>
        <w:left w:val="none" w:sz="0" w:space="0" w:color="auto"/>
        <w:bottom w:val="none" w:sz="0" w:space="0" w:color="auto"/>
        <w:right w:val="none" w:sz="0" w:space="0" w:color="auto"/>
      </w:divBdr>
    </w:div>
    <w:div w:id="1705324114">
      <w:bodyDiv w:val="1"/>
      <w:marLeft w:val="0"/>
      <w:marRight w:val="0"/>
      <w:marTop w:val="0"/>
      <w:marBottom w:val="0"/>
      <w:divBdr>
        <w:top w:val="none" w:sz="0" w:space="0" w:color="auto"/>
        <w:left w:val="none" w:sz="0" w:space="0" w:color="auto"/>
        <w:bottom w:val="none" w:sz="0" w:space="0" w:color="auto"/>
        <w:right w:val="none" w:sz="0" w:space="0" w:color="auto"/>
      </w:divBdr>
    </w:div>
    <w:div w:id="1705599379">
      <w:bodyDiv w:val="1"/>
      <w:marLeft w:val="0"/>
      <w:marRight w:val="0"/>
      <w:marTop w:val="0"/>
      <w:marBottom w:val="0"/>
      <w:divBdr>
        <w:top w:val="none" w:sz="0" w:space="0" w:color="auto"/>
        <w:left w:val="none" w:sz="0" w:space="0" w:color="auto"/>
        <w:bottom w:val="none" w:sz="0" w:space="0" w:color="auto"/>
        <w:right w:val="none" w:sz="0" w:space="0" w:color="auto"/>
      </w:divBdr>
    </w:div>
    <w:div w:id="1705865762">
      <w:bodyDiv w:val="1"/>
      <w:marLeft w:val="0"/>
      <w:marRight w:val="0"/>
      <w:marTop w:val="0"/>
      <w:marBottom w:val="0"/>
      <w:divBdr>
        <w:top w:val="none" w:sz="0" w:space="0" w:color="auto"/>
        <w:left w:val="none" w:sz="0" w:space="0" w:color="auto"/>
        <w:bottom w:val="none" w:sz="0" w:space="0" w:color="auto"/>
        <w:right w:val="none" w:sz="0" w:space="0" w:color="auto"/>
      </w:divBdr>
    </w:div>
    <w:div w:id="1705981011">
      <w:bodyDiv w:val="1"/>
      <w:marLeft w:val="0"/>
      <w:marRight w:val="0"/>
      <w:marTop w:val="0"/>
      <w:marBottom w:val="0"/>
      <w:divBdr>
        <w:top w:val="none" w:sz="0" w:space="0" w:color="auto"/>
        <w:left w:val="none" w:sz="0" w:space="0" w:color="auto"/>
        <w:bottom w:val="none" w:sz="0" w:space="0" w:color="auto"/>
        <w:right w:val="none" w:sz="0" w:space="0" w:color="auto"/>
      </w:divBdr>
    </w:div>
    <w:div w:id="1706099948">
      <w:bodyDiv w:val="1"/>
      <w:marLeft w:val="0"/>
      <w:marRight w:val="0"/>
      <w:marTop w:val="0"/>
      <w:marBottom w:val="0"/>
      <w:divBdr>
        <w:top w:val="none" w:sz="0" w:space="0" w:color="auto"/>
        <w:left w:val="none" w:sz="0" w:space="0" w:color="auto"/>
        <w:bottom w:val="none" w:sz="0" w:space="0" w:color="auto"/>
        <w:right w:val="none" w:sz="0" w:space="0" w:color="auto"/>
      </w:divBdr>
    </w:div>
    <w:div w:id="1706173320">
      <w:bodyDiv w:val="1"/>
      <w:marLeft w:val="0"/>
      <w:marRight w:val="0"/>
      <w:marTop w:val="0"/>
      <w:marBottom w:val="0"/>
      <w:divBdr>
        <w:top w:val="none" w:sz="0" w:space="0" w:color="auto"/>
        <w:left w:val="none" w:sz="0" w:space="0" w:color="auto"/>
        <w:bottom w:val="none" w:sz="0" w:space="0" w:color="auto"/>
        <w:right w:val="none" w:sz="0" w:space="0" w:color="auto"/>
      </w:divBdr>
    </w:div>
    <w:div w:id="1706324691">
      <w:bodyDiv w:val="1"/>
      <w:marLeft w:val="0"/>
      <w:marRight w:val="0"/>
      <w:marTop w:val="0"/>
      <w:marBottom w:val="0"/>
      <w:divBdr>
        <w:top w:val="none" w:sz="0" w:space="0" w:color="auto"/>
        <w:left w:val="none" w:sz="0" w:space="0" w:color="auto"/>
        <w:bottom w:val="none" w:sz="0" w:space="0" w:color="auto"/>
        <w:right w:val="none" w:sz="0" w:space="0" w:color="auto"/>
      </w:divBdr>
    </w:div>
    <w:div w:id="1706366377">
      <w:bodyDiv w:val="1"/>
      <w:marLeft w:val="0"/>
      <w:marRight w:val="0"/>
      <w:marTop w:val="0"/>
      <w:marBottom w:val="0"/>
      <w:divBdr>
        <w:top w:val="none" w:sz="0" w:space="0" w:color="auto"/>
        <w:left w:val="none" w:sz="0" w:space="0" w:color="auto"/>
        <w:bottom w:val="none" w:sz="0" w:space="0" w:color="auto"/>
        <w:right w:val="none" w:sz="0" w:space="0" w:color="auto"/>
      </w:divBdr>
    </w:div>
    <w:div w:id="1706445617">
      <w:bodyDiv w:val="1"/>
      <w:marLeft w:val="0"/>
      <w:marRight w:val="0"/>
      <w:marTop w:val="0"/>
      <w:marBottom w:val="0"/>
      <w:divBdr>
        <w:top w:val="none" w:sz="0" w:space="0" w:color="auto"/>
        <w:left w:val="none" w:sz="0" w:space="0" w:color="auto"/>
        <w:bottom w:val="none" w:sz="0" w:space="0" w:color="auto"/>
        <w:right w:val="none" w:sz="0" w:space="0" w:color="auto"/>
      </w:divBdr>
    </w:div>
    <w:div w:id="1706518216">
      <w:bodyDiv w:val="1"/>
      <w:marLeft w:val="0"/>
      <w:marRight w:val="0"/>
      <w:marTop w:val="0"/>
      <w:marBottom w:val="0"/>
      <w:divBdr>
        <w:top w:val="none" w:sz="0" w:space="0" w:color="auto"/>
        <w:left w:val="none" w:sz="0" w:space="0" w:color="auto"/>
        <w:bottom w:val="none" w:sz="0" w:space="0" w:color="auto"/>
        <w:right w:val="none" w:sz="0" w:space="0" w:color="auto"/>
      </w:divBdr>
    </w:div>
    <w:div w:id="1706708603">
      <w:bodyDiv w:val="1"/>
      <w:marLeft w:val="0"/>
      <w:marRight w:val="0"/>
      <w:marTop w:val="0"/>
      <w:marBottom w:val="0"/>
      <w:divBdr>
        <w:top w:val="none" w:sz="0" w:space="0" w:color="auto"/>
        <w:left w:val="none" w:sz="0" w:space="0" w:color="auto"/>
        <w:bottom w:val="none" w:sz="0" w:space="0" w:color="auto"/>
        <w:right w:val="none" w:sz="0" w:space="0" w:color="auto"/>
      </w:divBdr>
    </w:div>
    <w:div w:id="1706830549">
      <w:bodyDiv w:val="1"/>
      <w:marLeft w:val="0"/>
      <w:marRight w:val="0"/>
      <w:marTop w:val="0"/>
      <w:marBottom w:val="0"/>
      <w:divBdr>
        <w:top w:val="none" w:sz="0" w:space="0" w:color="auto"/>
        <w:left w:val="none" w:sz="0" w:space="0" w:color="auto"/>
        <w:bottom w:val="none" w:sz="0" w:space="0" w:color="auto"/>
        <w:right w:val="none" w:sz="0" w:space="0" w:color="auto"/>
      </w:divBdr>
    </w:div>
    <w:div w:id="1707027285">
      <w:bodyDiv w:val="1"/>
      <w:marLeft w:val="0"/>
      <w:marRight w:val="0"/>
      <w:marTop w:val="0"/>
      <w:marBottom w:val="0"/>
      <w:divBdr>
        <w:top w:val="none" w:sz="0" w:space="0" w:color="auto"/>
        <w:left w:val="none" w:sz="0" w:space="0" w:color="auto"/>
        <w:bottom w:val="none" w:sz="0" w:space="0" w:color="auto"/>
        <w:right w:val="none" w:sz="0" w:space="0" w:color="auto"/>
      </w:divBdr>
    </w:div>
    <w:div w:id="1707098205">
      <w:bodyDiv w:val="1"/>
      <w:marLeft w:val="0"/>
      <w:marRight w:val="0"/>
      <w:marTop w:val="0"/>
      <w:marBottom w:val="0"/>
      <w:divBdr>
        <w:top w:val="none" w:sz="0" w:space="0" w:color="auto"/>
        <w:left w:val="none" w:sz="0" w:space="0" w:color="auto"/>
        <w:bottom w:val="none" w:sz="0" w:space="0" w:color="auto"/>
        <w:right w:val="none" w:sz="0" w:space="0" w:color="auto"/>
      </w:divBdr>
    </w:div>
    <w:div w:id="1707295292">
      <w:bodyDiv w:val="1"/>
      <w:marLeft w:val="0"/>
      <w:marRight w:val="0"/>
      <w:marTop w:val="0"/>
      <w:marBottom w:val="0"/>
      <w:divBdr>
        <w:top w:val="none" w:sz="0" w:space="0" w:color="auto"/>
        <w:left w:val="none" w:sz="0" w:space="0" w:color="auto"/>
        <w:bottom w:val="none" w:sz="0" w:space="0" w:color="auto"/>
        <w:right w:val="none" w:sz="0" w:space="0" w:color="auto"/>
      </w:divBdr>
    </w:div>
    <w:div w:id="1707371080">
      <w:bodyDiv w:val="1"/>
      <w:marLeft w:val="0"/>
      <w:marRight w:val="0"/>
      <w:marTop w:val="0"/>
      <w:marBottom w:val="0"/>
      <w:divBdr>
        <w:top w:val="none" w:sz="0" w:space="0" w:color="auto"/>
        <w:left w:val="none" w:sz="0" w:space="0" w:color="auto"/>
        <w:bottom w:val="none" w:sz="0" w:space="0" w:color="auto"/>
        <w:right w:val="none" w:sz="0" w:space="0" w:color="auto"/>
      </w:divBdr>
    </w:div>
    <w:div w:id="1707752314">
      <w:bodyDiv w:val="1"/>
      <w:marLeft w:val="0"/>
      <w:marRight w:val="0"/>
      <w:marTop w:val="0"/>
      <w:marBottom w:val="0"/>
      <w:divBdr>
        <w:top w:val="none" w:sz="0" w:space="0" w:color="auto"/>
        <w:left w:val="none" w:sz="0" w:space="0" w:color="auto"/>
        <w:bottom w:val="none" w:sz="0" w:space="0" w:color="auto"/>
        <w:right w:val="none" w:sz="0" w:space="0" w:color="auto"/>
      </w:divBdr>
    </w:div>
    <w:div w:id="1707825286">
      <w:bodyDiv w:val="1"/>
      <w:marLeft w:val="0"/>
      <w:marRight w:val="0"/>
      <w:marTop w:val="0"/>
      <w:marBottom w:val="0"/>
      <w:divBdr>
        <w:top w:val="none" w:sz="0" w:space="0" w:color="auto"/>
        <w:left w:val="none" w:sz="0" w:space="0" w:color="auto"/>
        <w:bottom w:val="none" w:sz="0" w:space="0" w:color="auto"/>
        <w:right w:val="none" w:sz="0" w:space="0" w:color="auto"/>
      </w:divBdr>
    </w:div>
    <w:div w:id="1707874509">
      <w:bodyDiv w:val="1"/>
      <w:marLeft w:val="0"/>
      <w:marRight w:val="0"/>
      <w:marTop w:val="0"/>
      <w:marBottom w:val="0"/>
      <w:divBdr>
        <w:top w:val="none" w:sz="0" w:space="0" w:color="auto"/>
        <w:left w:val="none" w:sz="0" w:space="0" w:color="auto"/>
        <w:bottom w:val="none" w:sz="0" w:space="0" w:color="auto"/>
        <w:right w:val="none" w:sz="0" w:space="0" w:color="auto"/>
      </w:divBdr>
    </w:div>
    <w:div w:id="1707876357">
      <w:bodyDiv w:val="1"/>
      <w:marLeft w:val="0"/>
      <w:marRight w:val="0"/>
      <w:marTop w:val="0"/>
      <w:marBottom w:val="0"/>
      <w:divBdr>
        <w:top w:val="none" w:sz="0" w:space="0" w:color="auto"/>
        <w:left w:val="none" w:sz="0" w:space="0" w:color="auto"/>
        <w:bottom w:val="none" w:sz="0" w:space="0" w:color="auto"/>
        <w:right w:val="none" w:sz="0" w:space="0" w:color="auto"/>
      </w:divBdr>
    </w:div>
    <w:div w:id="1707944049">
      <w:bodyDiv w:val="1"/>
      <w:marLeft w:val="0"/>
      <w:marRight w:val="0"/>
      <w:marTop w:val="0"/>
      <w:marBottom w:val="0"/>
      <w:divBdr>
        <w:top w:val="none" w:sz="0" w:space="0" w:color="auto"/>
        <w:left w:val="none" w:sz="0" w:space="0" w:color="auto"/>
        <w:bottom w:val="none" w:sz="0" w:space="0" w:color="auto"/>
        <w:right w:val="none" w:sz="0" w:space="0" w:color="auto"/>
      </w:divBdr>
    </w:div>
    <w:div w:id="1708065574">
      <w:bodyDiv w:val="1"/>
      <w:marLeft w:val="0"/>
      <w:marRight w:val="0"/>
      <w:marTop w:val="0"/>
      <w:marBottom w:val="0"/>
      <w:divBdr>
        <w:top w:val="none" w:sz="0" w:space="0" w:color="auto"/>
        <w:left w:val="none" w:sz="0" w:space="0" w:color="auto"/>
        <w:bottom w:val="none" w:sz="0" w:space="0" w:color="auto"/>
        <w:right w:val="none" w:sz="0" w:space="0" w:color="auto"/>
      </w:divBdr>
    </w:div>
    <w:div w:id="1708212614">
      <w:bodyDiv w:val="1"/>
      <w:marLeft w:val="0"/>
      <w:marRight w:val="0"/>
      <w:marTop w:val="0"/>
      <w:marBottom w:val="0"/>
      <w:divBdr>
        <w:top w:val="none" w:sz="0" w:space="0" w:color="auto"/>
        <w:left w:val="none" w:sz="0" w:space="0" w:color="auto"/>
        <w:bottom w:val="none" w:sz="0" w:space="0" w:color="auto"/>
        <w:right w:val="none" w:sz="0" w:space="0" w:color="auto"/>
      </w:divBdr>
    </w:div>
    <w:div w:id="1708216722">
      <w:bodyDiv w:val="1"/>
      <w:marLeft w:val="0"/>
      <w:marRight w:val="0"/>
      <w:marTop w:val="0"/>
      <w:marBottom w:val="0"/>
      <w:divBdr>
        <w:top w:val="none" w:sz="0" w:space="0" w:color="auto"/>
        <w:left w:val="none" w:sz="0" w:space="0" w:color="auto"/>
        <w:bottom w:val="none" w:sz="0" w:space="0" w:color="auto"/>
        <w:right w:val="none" w:sz="0" w:space="0" w:color="auto"/>
      </w:divBdr>
    </w:div>
    <w:div w:id="1708262370">
      <w:bodyDiv w:val="1"/>
      <w:marLeft w:val="0"/>
      <w:marRight w:val="0"/>
      <w:marTop w:val="0"/>
      <w:marBottom w:val="0"/>
      <w:divBdr>
        <w:top w:val="none" w:sz="0" w:space="0" w:color="auto"/>
        <w:left w:val="none" w:sz="0" w:space="0" w:color="auto"/>
        <w:bottom w:val="none" w:sz="0" w:space="0" w:color="auto"/>
        <w:right w:val="none" w:sz="0" w:space="0" w:color="auto"/>
      </w:divBdr>
    </w:div>
    <w:div w:id="1708290708">
      <w:bodyDiv w:val="1"/>
      <w:marLeft w:val="0"/>
      <w:marRight w:val="0"/>
      <w:marTop w:val="0"/>
      <w:marBottom w:val="0"/>
      <w:divBdr>
        <w:top w:val="none" w:sz="0" w:space="0" w:color="auto"/>
        <w:left w:val="none" w:sz="0" w:space="0" w:color="auto"/>
        <w:bottom w:val="none" w:sz="0" w:space="0" w:color="auto"/>
        <w:right w:val="none" w:sz="0" w:space="0" w:color="auto"/>
      </w:divBdr>
    </w:div>
    <w:div w:id="1708600075">
      <w:bodyDiv w:val="1"/>
      <w:marLeft w:val="0"/>
      <w:marRight w:val="0"/>
      <w:marTop w:val="0"/>
      <w:marBottom w:val="0"/>
      <w:divBdr>
        <w:top w:val="none" w:sz="0" w:space="0" w:color="auto"/>
        <w:left w:val="none" w:sz="0" w:space="0" w:color="auto"/>
        <w:bottom w:val="none" w:sz="0" w:space="0" w:color="auto"/>
        <w:right w:val="none" w:sz="0" w:space="0" w:color="auto"/>
      </w:divBdr>
    </w:div>
    <w:div w:id="1708607406">
      <w:bodyDiv w:val="1"/>
      <w:marLeft w:val="0"/>
      <w:marRight w:val="0"/>
      <w:marTop w:val="0"/>
      <w:marBottom w:val="0"/>
      <w:divBdr>
        <w:top w:val="none" w:sz="0" w:space="0" w:color="auto"/>
        <w:left w:val="none" w:sz="0" w:space="0" w:color="auto"/>
        <w:bottom w:val="none" w:sz="0" w:space="0" w:color="auto"/>
        <w:right w:val="none" w:sz="0" w:space="0" w:color="auto"/>
      </w:divBdr>
    </w:div>
    <w:div w:id="1708796106">
      <w:bodyDiv w:val="1"/>
      <w:marLeft w:val="0"/>
      <w:marRight w:val="0"/>
      <w:marTop w:val="0"/>
      <w:marBottom w:val="0"/>
      <w:divBdr>
        <w:top w:val="none" w:sz="0" w:space="0" w:color="auto"/>
        <w:left w:val="none" w:sz="0" w:space="0" w:color="auto"/>
        <w:bottom w:val="none" w:sz="0" w:space="0" w:color="auto"/>
        <w:right w:val="none" w:sz="0" w:space="0" w:color="auto"/>
      </w:divBdr>
    </w:div>
    <w:div w:id="1708866845">
      <w:bodyDiv w:val="1"/>
      <w:marLeft w:val="0"/>
      <w:marRight w:val="0"/>
      <w:marTop w:val="0"/>
      <w:marBottom w:val="0"/>
      <w:divBdr>
        <w:top w:val="none" w:sz="0" w:space="0" w:color="auto"/>
        <w:left w:val="none" w:sz="0" w:space="0" w:color="auto"/>
        <w:bottom w:val="none" w:sz="0" w:space="0" w:color="auto"/>
        <w:right w:val="none" w:sz="0" w:space="0" w:color="auto"/>
      </w:divBdr>
    </w:div>
    <w:div w:id="1708943681">
      <w:bodyDiv w:val="1"/>
      <w:marLeft w:val="0"/>
      <w:marRight w:val="0"/>
      <w:marTop w:val="0"/>
      <w:marBottom w:val="0"/>
      <w:divBdr>
        <w:top w:val="none" w:sz="0" w:space="0" w:color="auto"/>
        <w:left w:val="none" w:sz="0" w:space="0" w:color="auto"/>
        <w:bottom w:val="none" w:sz="0" w:space="0" w:color="auto"/>
        <w:right w:val="none" w:sz="0" w:space="0" w:color="auto"/>
      </w:divBdr>
    </w:div>
    <w:div w:id="1708985981">
      <w:bodyDiv w:val="1"/>
      <w:marLeft w:val="0"/>
      <w:marRight w:val="0"/>
      <w:marTop w:val="0"/>
      <w:marBottom w:val="0"/>
      <w:divBdr>
        <w:top w:val="none" w:sz="0" w:space="0" w:color="auto"/>
        <w:left w:val="none" w:sz="0" w:space="0" w:color="auto"/>
        <w:bottom w:val="none" w:sz="0" w:space="0" w:color="auto"/>
        <w:right w:val="none" w:sz="0" w:space="0" w:color="auto"/>
      </w:divBdr>
    </w:div>
    <w:div w:id="1709062864">
      <w:bodyDiv w:val="1"/>
      <w:marLeft w:val="0"/>
      <w:marRight w:val="0"/>
      <w:marTop w:val="0"/>
      <w:marBottom w:val="0"/>
      <w:divBdr>
        <w:top w:val="none" w:sz="0" w:space="0" w:color="auto"/>
        <w:left w:val="none" w:sz="0" w:space="0" w:color="auto"/>
        <w:bottom w:val="none" w:sz="0" w:space="0" w:color="auto"/>
        <w:right w:val="none" w:sz="0" w:space="0" w:color="auto"/>
      </w:divBdr>
    </w:div>
    <w:div w:id="1709179497">
      <w:bodyDiv w:val="1"/>
      <w:marLeft w:val="0"/>
      <w:marRight w:val="0"/>
      <w:marTop w:val="0"/>
      <w:marBottom w:val="0"/>
      <w:divBdr>
        <w:top w:val="none" w:sz="0" w:space="0" w:color="auto"/>
        <w:left w:val="none" w:sz="0" w:space="0" w:color="auto"/>
        <w:bottom w:val="none" w:sz="0" w:space="0" w:color="auto"/>
        <w:right w:val="none" w:sz="0" w:space="0" w:color="auto"/>
      </w:divBdr>
    </w:div>
    <w:div w:id="1709185308">
      <w:bodyDiv w:val="1"/>
      <w:marLeft w:val="0"/>
      <w:marRight w:val="0"/>
      <w:marTop w:val="0"/>
      <w:marBottom w:val="0"/>
      <w:divBdr>
        <w:top w:val="none" w:sz="0" w:space="0" w:color="auto"/>
        <w:left w:val="none" w:sz="0" w:space="0" w:color="auto"/>
        <w:bottom w:val="none" w:sz="0" w:space="0" w:color="auto"/>
        <w:right w:val="none" w:sz="0" w:space="0" w:color="auto"/>
      </w:divBdr>
    </w:div>
    <w:div w:id="1709333451">
      <w:bodyDiv w:val="1"/>
      <w:marLeft w:val="0"/>
      <w:marRight w:val="0"/>
      <w:marTop w:val="0"/>
      <w:marBottom w:val="0"/>
      <w:divBdr>
        <w:top w:val="none" w:sz="0" w:space="0" w:color="auto"/>
        <w:left w:val="none" w:sz="0" w:space="0" w:color="auto"/>
        <w:bottom w:val="none" w:sz="0" w:space="0" w:color="auto"/>
        <w:right w:val="none" w:sz="0" w:space="0" w:color="auto"/>
      </w:divBdr>
    </w:div>
    <w:div w:id="1709337276">
      <w:bodyDiv w:val="1"/>
      <w:marLeft w:val="0"/>
      <w:marRight w:val="0"/>
      <w:marTop w:val="0"/>
      <w:marBottom w:val="0"/>
      <w:divBdr>
        <w:top w:val="none" w:sz="0" w:space="0" w:color="auto"/>
        <w:left w:val="none" w:sz="0" w:space="0" w:color="auto"/>
        <w:bottom w:val="none" w:sz="0" w:space="0" w:color="auto"/>
        <w:right w:val="none" w:sz="0" w:space="0" w:color="auto"/>
      </w:divBdr>
    </w:div>
    <w:div w:id="1709529052">
      <w:bodyDiv w:val="1"/>
      <w:marLeft w:val="0"/>
      <w:marRight w:val="0"/>
      <w:marTop w:val="0"/>
      <w:marBottom w:val="0"/>
      <w:divBdr>
        <w:top w:val="none" w:sz="0" w:space="0" w:color="auto"/>
        <w:left w:val="none" w:sz="0" w:space="0" w:color="auto"/>
        <w:bottom w:val="none" w:sz="0" w:space="0" w:color="auto"/>
        <w:right w:val="none" w:sz="0" w:space="0" w:color="auto"/>
      </w:divBdr>
    </w:div>
    <w:div w:id="1709573565">
      <w:bodyDiv w:val="1"/>
      <w:marLeft w:val="0"/>
      <w:marRight w:val="0"/>
      <w:marTop w:val="0"/>
      <w:marBottom w:val="0"/>
      <w:divBdr>
        <w:top w:val="none" w:sz="0" w:space="0" w:color="auto"/>
        <w:left w:val="none" w:sz="0" w:space="0" w:color="auto"/>
        <w:bottom w:val="none" w:sz="0" w:space="0" w:color="auto"/>
        <w:right w:val="none" w:sz="0" w:space="0" w:color="auto"/>
      </w:divBdr>
    </w:div>
    <w:div w:id="1709645777">
      <w:bodyDiv w:val="1"/>
      <w:marLeft w:val="0"/>
      <w:marRight w:val="0"/>
      <w:marTop w:val="0"/>
      <w:marBottom w:val="0"/>
      <w:divBdr>
        <w:top w:val="none" w:sz="0" w:space="0" w:color="auto"/>
        <w:left w:val="none" w:sz="0" w:space="0" w:color="auto"/>
        <w:bottom w:val="none" w:sz="0" w:space="0" w:color="auto"/>
        <w:right w:val="none" w:sz="0" w:space="0" w:color="auto"/>
      </w:divBdr>
    </w:div>
    <w:div w:id="1709721124">
      <w:bodyDiv w:val="1"/>
      <w:marLeft w:val="0"/>
      <w:marRight w:val="0"/>
      <w:marTop w:val="0"/>
      <w:marBottom w:val="0"/>
      <w:divBdr>
        <w:top w:val="none" w:sz="0" w:space="0" w:color="auto"/>
        <w:left w:val="none" w:sz="0" w:space="0" w:color="auto"/>
        <w:bottom w:val="none" w:sz="0" w:space="0" w:color="auto"/>
        <w:right w:val="none" w:sz="0" w:space="0" w:color="auto"/>
      </w:divBdr>
    </w:div>
    <w:div w:id="1709839497">
      <w:bodyDiv w:val="1"/>
      <w:marLeft w:val="0"/>
      <w:marRight w:val="0"/>
      <w:marTop w:val="0"/>
      <w:marBottom w:val="0"/>
      <w:divBdr>
        <w:top w:val="none" w:sz="0" w:space="0" w:color="auto"/>
        <w:left w:val="none" w:sz="0" w:space="0" w:color="auto"/>
        <w:bottom w:val="none" w:sz="0" w:space="0" w:color="auto"/>
        <w:right w:val="none" w:sz="0" w:space="0" w:color="auto"/>
      </w:divBdr>
    </w:div>
    <w:div w:id="1709908933">
      <w:bodyDiv w:val="1"/>
      <w:marLeft w:val="0"/>
      <w:marRight w:val="0"/>
      <w:marTop w:val="0"/>
      <w:marBottom w:val="0"/>
      <w:divBdr>
        <w:top w:val="none" w:sz="0" w:space="0" w:color="auto"/>
        <w:left w:val="none" w:sz="0" w:space="0" w:color="auto"/>
        <w:bottom w:val="none" w:sz="0" w:space="0" w:color="auto"/>
        <w:right w:val="none" w:sz="0" w:space="0" w:color="auto"/>
      </w:divBdr>
    </w:div>
    <w:div w:id="1709914323">
      <w:bodyDiv w:val="1"/>
      <w:marLeft w:val="0"/>
      <w:marRight w:val="0"/>
      <w:marTop w:val="0"/>
      <w:marBottom w:val="0"/>
      <w:divBdr>
        <w:top w:val="none" w:sz="0" w:space="0" w:color="auto"/>
        <w:left w:val="none" w:sz="0" w:space="0" w:color="auto"/>
        <w:bottom w:val="none" w:sz="0" w:space="0" w:color="auto"/>
        <w:right w:val="none" w:sz="0" w:space="0" w:color="auto"/>
      </w:divBdr>
    </w:div>
    <w:div w:id="1709986921">
      <w:bodyDiv w:val="1"/>
      <w:marLeft w:val="0"/>
      <w:marRight w:val="0"/>
      <w:marTop w:val="0"/>
      <w:marBottom w:val="0"/>
      <w:divBdr>
        <w:top w:val="none" w:sz="0" w:space="0" w:color="auto"/>
        <w:left w:val="none" w:sz="0" w:space="0" w:color="auto"/>
        <w:bottom w:val="none" w:sz="0" w:space="0" w:color="auto"/>
        <w:right w:val="none" w:sz="0" w:space="0" w:color="auto"/>
      </w:divBdr>
    </w:div>
    <w:div w:id="1710179011">
      <w:bodyDiv w:val="1"/>
      <w:marLeft w:val="0"/>
      <w:marRight w:val="0"/>
      <w:marTop w:val="0"/>
      <w:marBottom w:val="0"/>
      <w:divBdr>
        <w:top w:val="none" w:sz="0" w:space="0" w:color="auto"/>
        <w:left w:val="none" w:sz="0" w:space="0" w:color="auto"/>
        <w:bottom w:val="none" w:sz="0" w:space="0" w:color="auto"/>
        <w:right w:val="none" w:sz="0" w:space="0" w:color="auto"/>
      </w:divBdr>
    </w:div>
    <w:div w:id="1710255167">
      <w:bodyDiv w:val="1"/>
      <w:marLeft w:val="0"/>
      <w:marRight w:val="0"/>
      <w:marTop w:val="0"/>
      <w:marBottom w:val="0"/>
      <w:divBdr>
        <w:top w:val="none" w:sz="0" w:space="0" w:color="auto"/>
        <w:left w:val="none" w:sz="0" w:space="0" w:color="auto"/>
        <w:bottom w:val="none" w:sz="0" w:space="0" w:color="auto"/>
        <w:right w:val="none" w:sz="0" w:space="0" w:color="auto"/>
      </w:divBdr>
    </w:div>
    <w:div w:id="1710259904">
      <w:bodyDiv w:val="1"/>
      <w:marLeft w:val="0"/>
      <w:marRight w:val="0"/>
      <w:marTop w:val="0"/>
      <w:marBottom w:val="0"/>
      <w:divBdr>
        <w:top w:val="none" w:sz="0" w:space="0" w:color="auto"/>
        <w:left w:val="none" w:sz="0" w:space="0" w:color="auto"/>
        <w:bottom w:val="none" w:sz="0" w:space="0" w:color="auto"/>
        <w:right w:val="none" w:sz="0" w:space="0" w:color="auto"/>
      </w:divBdr>
    </w:div>
    <w:div w:id="1710299585">
      <w:bodyDiv w:val="1"/>
      <w:marLeft w:val="0"/>
      <w:marRight w:val="0"/>
      <w:marTop w:val="0"/>
      <w:marBottom w:val="0"/>
      <w:divBdr>
        <w:top w:val="none" w:sz="0" w:space="0" w:color="auto"/>
        <w:left w:val="none" w:sz="0" w:space="0" w:color="auto"/>
        <w:bottom w:val="none" w:sz="0" w:space="0" w:color="auto"/>
        <w:right w:val="none" w:sz="0" w:space="0" w:color="auto"/>
      </w:divBdr>
    </w:div>
    <w:div w:id="1710492743">
      <w:bodyDiv w:val="1"/>
      <w:marLeft w:val="0"/>
      <w:marRight w:val="0"/>
      <w:marTop w:val="0"/>
      <w:marBottom w:val="0"/>
      <w:divBdr>
        <w:top w:val="none" w:sz="0" w:space="0" w:color="auto"/>
        <w:left w:val="none" w:sz="0" w:space="0" w:color="auto"/>
        <w:bottom w:val="none" w:sz="0" w:space="0" w:color="auto"/>
        <w:right w:val="none" w:sz="0" w:space="0" w:color="auto"/>
      </w:divBdr>
    </w:div>
    <w:div w:id="1710521942">
      <w:bodyDiv w:val="1"/>
      <w:marLeft w:val="0"/>
      <w:marRight w:val="0"/>
      <w:marTop w:val="0"/>
      <w:marBottom w:val="0"/>
      <w:divBdr>
        <w:top w:val="none" w:sz="0" w:space="0" w:color="auto"/>
        <w:left w:val="none" w:sz="0" w:space="0" w:color="auto"/>
        <w:bottom w:val="none" w:sz="0" w:space="0" w:color="auto"/>
        <w:right w:val="none" w:sz="0" w:space="0" w:color="auto"/>
      </w:divBdr>
    </w:div>
    <w:div w:id="1710565637">
      <w:bodyDiv w:val="1"/>
      <w:marLeft w:val="0"/>
      <w:marRight w:val="0"/>
      <w:marTop w:val="0"/>
      <w:marBottom w:val="0"/>
      <w:divBdr>
        <w:top w:val="none" w:sz="0" w:space="0" w:color="auto"/>
        <w:left w:val="none" w:sz="0" w:space="0" w:color="auto"/>
        <w:bottom w:val="none" w:sz="0" w:space="0" w:color="auto"/>
        <w:right w:val="none" w:sz="0" w:space="0" w:color="auto"/>
      </w:divBdr>
    </w:div>
    <w:div w:id="1710572614">
      <w:bodyDiv w:val="1"/>
      <w:marLeft w:val="0"/>
      <w:marRight w:val="0"/>
      <w:marTop w:val="0"/>
      <w:marBottom w:val="0"/>
      <w:divBdr>
        <w:top w:val="none" w:sz="0" w:space="0" w:color="auto"/>
        <w:left w:val="none" w:sz="0" w:space="0" w:color="auto"/>
        <w:bottom w:val="none" w:sz="0" w:space="0" w:color="auto"/>
        <w:right w:val="none" w:sz="0" w:space="0" w:color="auto"/>
      </w:divBdr>
    </w:div>
    <w:div w:id="1710757092">
      <w:bodyDiv w:val="1"/>
      <w:marLeft w:val="0"/>
      <w:marRight w:val="0"/>
      <w:marTop w:val="0"/>
      <w:marBottom w:val="0"/>
      <w:divBdr>
        <w:top w:val="none" w:sz="0" w:space="0" w:color="auto"/>
        <w:left w:val="none" w:sz="0" w:space="0" w:color="auto"/>
        <w:bottom w:val="none" w:sz="0" w:space="0" w:color="auto"/>
        <w:right w:val="none" w:sz="0" w:space="0" w:color="auto"/>
      </w:divBdr>
    </w:div>
    <w:div w:id="1710836493">
      <w:bodyDiv w:val="1"/>
      <w:marLeft w:val="0"/>
      <w:marRight w:val="0"/>
      <w:marTop w:val="0"/>
      <w:marBottom w:val="0"/>
      <w:divBdr>
        <w:top w:val="none" w:sz="0" w:space="0" w:color="auto"/>
        <w:left w:val="none" w:sz="0" w:space="0" w:color="auto"/>
        <w:bottom w:val="none" w:sz="0" w:space="0" w:color="auto"/>
        <w:right w:val="none" w:sz="0" w:space="0" w:color="auto"/>
      </w:divBdr>
    </w:div>
    <w:div w:id="1710958593">
      <w:bodyDiv w:val="1"/>
      <w:marLeft w:val="0"/>
      <w:marRight w:val="0"/>
      <w:marTop w:val="0"/>
      <w:marBottom w:val="0"/>
      <w:divBdr>
        <w:top w:val="none" w:sz="0" w:space="0" w:color="auto"/>
        <w:left w:val="none" w:sz="0" w:space="0" w:color="auto"/>
        <w:bottom w:val="none" w:sz="0" w:space="0" w:color="auto"/>
        <w:right w:val="none" w:sz="0" w:space="0" w:color="auto"/>
      </w:divBdr>
    </w:div>
    <w:div w:id="1711101121">
      <w:bodyDiv w:val="1"/>
      <w:marLeft w:val="0"/>
      <w:marRight w:val="0"/>
      <w:marTop w:val="0"/>
      <w:marBottom w:val="0"/>
      <w:divBdr>
        <w:top w:val="none" w:sz="0" w:space="0" w:color="auto"/>
        <w:left w:val="none" w:sz="0" w:space="0" w:color="auto"/>
        <w:bottom w:val="none" w:sz="0" w:space="0" w:color="auto"/>
        <w:right w:val="none" w:sz="0" w:space="0" w:color="auto"/>
      </w:divBdr>
    </w:div>
    <w:div w:id="1711224326">
      <w:bodyDiv w:val="1"/>
      <w:marLeft w:val="0"/>
      <w:marRight w:val="0"/>
      <w:marTop w:val="0"/>
      <w:marBottom w:val="0"/>
      <w:divBdr>
        <w:top w:val="none" w:sz="0" w:space="0" w:color="auto"/>
        <w:left w:val="none" w:sz="0" w:space="0" w:color="auto"/>
        <w:bottom w:val="none" w:sz="0" w:space="0" w:color="auto"/>
        <w:right w:val="none" w:sz="0" w:space="0" w:color="auto"/>
      </w:divBdr>
    </w:div>
    <w:div w:id="1711610028">
      <w:bodyDiv w:val="1"/>
      <w:marLeft w:val="0"/>
      <w:marRight w:val="0"/>
      <w:marTop w:val="0"/>
      <w:marBottom w:val="0"/>
      <w:divBdr>
        <w:top w:val="none" w:sz="0" w:space="0" w:color="auto"/>
        <w:left w:val="none" w:sz="0" w:space="0" w:color="auto"/>
        <w:bottom w:val="none" w:sz="0" w:space="0" w:color="auto"/>
        <w:right w:val="none" w:sz="0" w:space="0" w:color="auto"/>
      </w:divBdr>
    </w:div>
    <w:div w:id="1711758090">
      <w:bodyDiv w:val="1"/>
      <w:marLeft w:val="0"/>
      <w:marRight w:val="0"/>
      <w:marTop w:val="0"/>
      <w:marBottom w:val="0"/>
      <w:divBdr>
        <w:top w:val="none" w:sz="0" w:space="0" w:color="auto"/>
        <w:left w:val="none" w:sz="0" w:space="0" w:color="auto"/>
        <w:bottom w:val="none" w:sz="0" w:space="0" w:color="auto"/>
        <w:right w:val="none" w:sz="0" w:space="0" w:color="auto"/>
      </w:divBdr>
    </w:div>
    <w:div w:id="1711763311">
      <w:bodyDiv w:val="1"/>
      <w:marLeft w:val="0"/>
      <w:marRight w:val="0"/>
      <w:marTop w:val="0"/>
      <w:marBottom w:val="0"/>
      <w:divBdr>
        <w:top w:val="none" w:sz="0" w:space="0" w:color="auto"/>
        <w:left w:val="none" w:sz="0" w:space="0" w:color="auto"/>
        <w:bottom w:val="none" w:sz="0" w:space="0" w:color="auto"/>
        <w:right w:val="none" w:sz="0" w:space="0" w:color="auto"/>
      </w:divBdr>
    </w:div>
    <w:div w:id="1712027658">
      <w:bodyDiv w:val="1"/>
      <w:marLeft w:val="0"/>
      <w:marRight w:val="0"/>
      <w:marTop w:val="0"/>
      <w:marBottom w:val="0"/>
      <w:divBdr>
        <w:top w:val="none" w:sz="0" w:space="0" w:color="auto"/>
        <w:left w:val="none" w:sz="0" w:space="0" w:color="auto"/>
        <w:bottom w:val="none" w:sz="0" w:space="0" w:color="auto"/>
        <w:right w:val="none" w:sz="0" w:space="0" w:color="auto"/>
      </w:divBdr>
    </w:div>
    <w:div w:id="1712224657">
      <w:bodyDiv w:val="1"/>
      <w:marLeft w:val="0"/>
      <w:marRight w:val="0"/>
      <w:marTop w:val="0"/>
      <w:marBottom w:val="0"/>
      <w:divBdr>
        <w:top w:val="none" w:sz="0" w:space="0" w:color="auto"/>
        <w:left w:val="none" w:sz="0" w:space="0" w:color="auto"/>
        <w:bottom w:val="none" w:sz="0" w:space="0" w:color="auto"/>
        <w:right w:val="none" w:sz="0" w:space="0" w:color="auto"/>
      </w:divBdr>
    </w:div>
    <w:div w:id="1712267033">
      <w:bodyDiv w:val="1"/>
      <w:marLeft w:val="0"/>
      <w:marRight w:val="0"/>
      <w:marTop w:val="0"/>
      <w:marBottom w:val="0"/>
      <w:divBdr>
        <w:top w:val="none" w:sz="0" w:space="0" w:color="auto"/>
        <w:left w:val="none" w:sz="0" w:space="0" w:color="auto"/>
        <w:bottom w:val="none" w:sz="0" w:space="0" w:color="auto"/>
        <w:right w:val="none" w:sz="0" w:space="0" w:color="auto"/>
      </w:divBdr>
    </w:div>
    <w:div w:id="1712614613">
      <w:bodyDiv w:val="1"/>
      <w:marLeft w:val="0"/>
      <w:marRight w:val="0"/>
      <w:marTop w:val="0"/>
      <w:marBottom w:val="0"/>
      <w:divBdr>
        <w:top w:val="none" w:sz="0" w:space="0" w:color="auto"/>
        <w:left w:val="none" w:sz="0" w:space="0" w:color="auto"/>
        <w:bottom w:val="none" w:sz="0" w:space="0" w:color="auto"/>
        <w:right w:val="none" w:sz="0" w:space="0" w:color="auto"/>
      </w:divBdr>
    </w:div>
    <w:div w:id="1713072339">
      <w:bodyDiv w:val="1"/>
      <w:marLeft w:val="0"/>
      <w:marRight w:val="0"/>
      <w:marTop w:val="0"/>
      <w:marBottom w:val="0"/>
      <w:divBdr>
        <w:top w:val="none" w:sz="0" w:space="0" w:color="auto"/>
        <w:left w:val="none" w:sz="0" w:space="0" w:color="auto"/>
        <w:bottom w:val="none" w:sz="0" w:space="0" w:color="auto"/>
        <w:right w:val="none" w:sz="0" w:space="0" w:color="auto"/>
      </w:divBdr>
    </w:div>
    <w:div w:id="1713531280">
      <w:bodyDiv w:val="1"/>
      <w:marLeft w:val="0"/>
      <w:marRight w:val="0"/>
      <w:marTop w:val="0"/>
      <w:marBottom w:val="0"/>
      <w:divBdr>
        <w:top w:val="none" w:sz="0" w:space="0" w:color="auto"/>
        <w:left w:val="none" w:sz="0" w:space="0" w:color="auto"/>
        <w:bottom w:val="none" w:sz="0" w:space="0" w:color="auto"/>
        <w:right w:val="none" w:sz="0" w:space="0" w:color="auto"/>
      </w:divBdr>
    </w:div>
    <w:div w:id="1713531405">
      <w:bodyDiv w:val="1"/>
      <w:marLeft w:val="0"/>
      <w:marRight w:val="0"/>
      <w:marTop w:val="0"/>
      <w:marBottom w:val="0"/>
      <w:divBdr>
        <w:top w:val="none" w:sz="0" w:space="0" w:color="auto"/>
        <w:left w:val="none" w:sz="0" w:space="0" w:color="auto"/>
        <w:bottom w:val="none" w:sz="0" w:space="0" w:color="auto"/>
        <w:right w:val="none" w:sz="0" w:space="0" w:color="auto"/>
      </w:divBdr>
    </w:div>
    <w:div w:id="1713722945">
      <w:bodyDiv w:val="1"/>
      <w:marLeft w:val="0"/>
      <w:marRight w:val="0"/>
      <w:marTop w:val="0"/>
      <w:marBottom w:val="0"/>
      <w:divBdr>
        <w:top w:val="none" w:sz="0" w:space="0" w:color="auto"/>
        <w:left w:val="none" w:sz="0" w:space="0" w:color="auto"/>
        <w:bottom w:val="none" w:sz="0" w:space="0" w:color="auto"/>
        <w:right w:val="none" w:sz="0" w:space="0" w:color="auto"/>
      </w:divBdr>
    </w:div>
    <w:div w:id="1713797567">
      <w:bodyDiv w:val="1"/>
      <w:marLeft w:val="0"/>
      <w:marRight w:val="0"/>
      <w:marTop w:val="0"/>
      <w:marBottom w:val="0"/>
      <w:divBdr>
        <w:top w:val="none" w:sz="0" w:space="0" w:color="auto"/>
        <w:left w:val="none" w:sz="0" w:space="0" w:color="auto"/>
        <w:bottom w:val="none" w:sz="0" w:space="0" w:color="auto"/>
        <w:right w:val="none" w:sz="0" w:space="0" w:color="auto"/>
      </w:divBdr>
    </w:div>
    <w:div w:id="1714111106">
      <w:bodyDiv w:val="1"/>
      <w:marLeft w:val="0"/>
      <w:marRight w:val="0"/>
      <w:marTop w:val="0"/>
      <w:marBottom w:val="0"/>
      <w:divBdr>
        <w:top w:val="none" w:sz="0" w:space="0" w:color="auto"/>
        <w:left w:val="none" w:sz="0" w:space="0" w:color="auto"/>
        <w:bottom w:val="none" w:sz="0" w:space="0" w:color="auto"/>
        <w:right w:val="none" w:sz="0" w:space="0" w:color="auto"/>
      </w:divBdr>
    </w:div>
    <w:div w:id="1714115921">
      <w:bodyDiv w:val="1"/>
      <w:marLeft w:val="0"/>
      <w:marRight w:val="0"/>
      <w:marTop w:val="0"/>
      <w:marBottom w:val="0"/>
      <w:divBdr>
        <w:top w:val="none" w:sz="0" w:space="0" w:color="auto"/>
        <w:left w:val="none" w:sz="0" w:space="0" w:color="auto"/>
        <w:bottom w:val="none" w:sz="0" w:space="0" w:color="auto"/>
        <w:right w:val="none" w:sz="0" w:space="0" w:color="auto"/>
      </w:divBdr>
    </w:div>
    <w:div w:id="1714305704">
      <w:bodyDiv w:val="1"/>
      <w:marLeft w:val="0"/>
      <w:marRight w:val="0"/>
      <w:marTop w:val="0"/>
      <w:marBottom w:val="0"/>
      <w:divBdr>
        <w:top w:val="none" w:sz="0" w:space="0" w:color="auto"/>
        <w:left w:val="none" w:sz="0" w:space="0" w:color="auto"/>
        <w:bottom w:val="none" w:sz="0" w:space="0" w:color="auto"/>
        <w:right w:val="none" w:sz="0" w:space="0" w:color="auto"/>
      </w:divBdr>
    </w:div>
    <w:div w:id="1714381897">
      <w:bodyDiv w:val="1"/>
      <w:marLeft w:val="0"/>
      <w:marRight w:val="0"/>
      <w:marTop w:val="0"/>
      <w:marBottom w:val="0"/>
      <w:divBdr>
        <w:top w:val="none" w:sz="0" w:space="0" w:color="auto"/>
        <w:left w:val="none" w:sz="0" w:space="0" w:color="auto"/>
        <w:bottom w:val="none" w:sz="0" w:space="0" w:color="auto"/>
        <w:right w:val="none" w:sz="0" w:space="0" w:color="auto"/>
      </w:divBdr>
    </w:div>
    <w:div w:id="1714697862">
      <w:bodyDiv w:val="1"/>
      <w:marLeft w:val="0"/>
      <w:marRight w:val="0"/>
      <w:marTop w:val="0"/>
      <w:marBottom w:val="0"/>
      <w:divBdr>
        <w:top w:val="none" w:sz="0" w:space="0" w:color="auto"/>
        <w:left w:val="none" w:sz="0" w:space="0" w:color="auto"/>
        <w:bottom w:val="none" w:sz="0" w:space="0" w:color="auto"/>
        <w:right w:val="none" w:sz="0" w:space="0" w:color="auto"/>
      </w:divBdr>
    </w:div>
    <w:div w:id="1714966149">
      <w:bodyDiv w:val="1"/>
      <w:marLeft w:val="0"/>
      <w:marRight w:val="0"/>
      <w:marTop w:val="0"/>
      <w:marBottom w:val="0"/>
      <w:divBdr>
        <w:top w:val="none" w:sz="0" w:space="0" w:color="auto"/>
        <w:left w:val="none" w:sz="0" w:space="0" w:color="auto"/>
        <w:bottom w:val="none" w:sz="0" w:space="0" w:color="auto"/>
        <w:right w:val="none" w:sz="0" w:space="0" w:color="auto"/>
      </w:divBdr>
    </w:div>
    <w:div w:id="1715032847">
      <w:bodyDiv w:val="1"/>
      <w:marLeft w:val="0"/>
      <w:marRight w:val="0"/>
      <w:marTop w:val="0"/>
      <w:marBottom w:val="0"/>
      <w:divBdr>
        <w:top w:val="none" w:sz="0" w:space="0" w:color="auto"/>
        <w:left w:val="none" w:sz="0" w:space="0" w:color="auto"/>
        <w:bottom w:val="none" w:sz="0" w:space="0" w:color="auto"/>
        <w:right w:val="none" w:sz="0" w:space="0" w:color="auto"/>
      </w:divBdr>
    </w:div>
    <w:div w:id="1715275029">
      <w:bodyDiv w:val="1"/>
      <w:marLeft w:val="0"/>
      <w:marRight w:val="0"/>
      <w:marTop w:val="0"/>
      <w:marBottom w:val="0"/>
      <w:divBdr>
        <w:top w:val="none" w:sz="0" w:space="0" w:color="auto"/>
        <w:left w:val="none" w:sz="0" w:space="0" w:color="auto"/>
        <w:bottom w:val="none" w:sz="0" w:space="0" w:color="auto"/>
        <w:right w:val="none" w:sz="0" w:space="0" w:color="auto"/>
      </w:divBdr>
    </w:div>
    <w:div w:id="1715349845">
      <w:bodyDiv w:val="1"/>
      <w:marLeft w:val="0"/>
      <w:marRight w:val="0"/>
      <w:marTop w:val="0"/>
      <w:marBottom w:val="0"/>
      <w:divBdr>
        <w:top w:val="none" w:sz="0" w:space="0" w:color="auto"/>
        <w:left w:val="none" w:sz="0" w:space="0" w:color="auto"/>
        <w:bottom w:val="none" w:sz="0" w:space="0" w:color="auto"/>
        <w:right w:val="none" w:sz="0" w:space="0" w:color="auto"/>
      </w:divBdr>
    </w:div>
    <w:div w:id="1715425823">
      <w:bodyDiv w:val="1"/>
      <w:marLeft w:val="0"/>
      <w:marRight w:val="0"/>
      <w:marTop w:val="0"/>
      <w:marBottom w:val="0"/>
      <w:divBdr>
        <w:top w:val="none" w:sz="0" w:space="0" w:color="auto"/>
        <w:left w:val="none" w:sz="0" w:space="0" w:color="auto"/>
        <w:bottom w:val="none" w:sz="0" w:space="0" w:color="auto"/>
        <w:right w:val="none" w:sz="0" w:space="0" w:color="auto"/>
      </w:divBdr>
    </w:div>
    <w:div w:id="1715616856">
      <w:bodyDiv w:val="1"/>
      <w:marLeft w:val="0"/>
      <w:marRight w:val="0"/>
      <w:marTop w:val="0"/>
      <w:marBottom w:val="0"/>
      <w:divBdr>
        <w:top w:val="none" w:sz="0" w:space="0" w:color="auto"/>
        <w:left w:val="none" w:sz="0" w:space="0" w:color="auto"/>
        <w:bottom w:val="none" w:sz="0" w:space="0" w:color="auto"/>
        <w:right w:val="none" w:sz="0" w:space="0" w:color="auto"/>
      </w:divBdr>
    </w:div>
    <w:div w:id="1715889561">
      <w:bodyDiv w:val="1"/>
      <w:marLeft w:val="0"/>
      <w:marRight w:val="0"/>
      <w:marTop w:val="0"/>
      <w:marBottom w:val="0"/>
      <w:divBdr>
        <w:top w:val="none" w:sz="0" w:space="0" w:color="auto"/>
        <w:left w:val="none" w:sz="0" w:space="0" w:color="auto"/>
        <w:bottom w:val="none" w:sz="0" w:space="0" w:color="auto"/>
        <w:right w:val="none" w:sz="0" w:space="0" w:color="auto"/>
      </w:divBdr>
    </w:div>
    <w:div w:id="1716006422">
      <w:bodyDiv w:val="1"/>
      <w:marLeft w:val="0"/>
      <w:marRight w:val="0"/>
      <w:marTop w:val="0"/>
      <w:marBottom w:val="0"/>
      <w:divBdr>
        <w:top w:val="none" w:sz="0" w:space="0" w:color="auto"/>
        <w:left w:val="none" w:sz="0" w:space="0" w:color="auto"/>
        <w:bottom w:val="none" w:sz="0" w:space="0" w:color="auto"/>
        <w:right w:val="none" w:sz="0" w:space="0" w:color="auto"/>
      </w:divBdr>
    </w:div>
    <w:div w:id="1716150964">
      <w:bodyDiv w:val="1"/>
      <w:marLeft w:val="0"/>
      <w:marRight w:val="0"/>
      <w:marTop w:val="0"/>
      <w:marBottom w:val="0"/>
      <w:divBdr>
        <w:top w:val="none" w:sz="0" w:space="0" w:color="auto"/>
        <w:left w:val="none" w:sz="0" w:space="0" w:color="auto"/>
        <w:bottom w:val="none" w:sz="0" w:space="0" w:color="auto"/>
        <w:right w:val="none" w:sz="0" w:space="0" w:color="auto"/>
      </w:divBdr>
    </w:div>
    <w:div w:id="1716196279">
      <w:bodyDiv w:val="1"/>
      <w:marLeft w:val="0"/>
      <w:marRight w:val="0"/>
      <w:marTop w:val="0"/>
      <w:marBottom w:val="0"/>
      <w:divBdr>
        <w:top w:val="none" w:sz="0" w:space="0" w:color="auto"/>
        <w:left w:val="none" w:sz="0" w:space="0" w:color="auto"/>
        <w:bottom w:val="none" w:sz="0" w:space="0" w:color="auto"/>
        <w:right w:val="none" w:sz="0" w:space="0" w:color="auto"/>
      </w:divBdr>
    </w:div>
    <w:div w:id="1716276296">
      <w:bodyDiv w:val="1"/>
      <w:marLeft w:val="0"/>
      <w:marRight w:val="0"/>
      <w:marTop w:val="0"/>
      <w:marBottom w:val="0"/>
      <w:divBdr>
        <w:top w:val="none" w:sz="0" w:space="0" w:color="auto"/>
        <w:left w:val="none" w:sz="0" w:space="0" w:color="auto"/>
        <w:bottom w:val="none" w:sz="0" w:space="0" w:color="auto"/>
        <w:right w:val="none" w:sz="0" w:space="0" w:color="auto"/>
      </w:divBdr>
    </w:div>
    <w:div w:id="1716344051">
      <w:bodyDiv w:val="1"/>
      <w:marLeft w:val="0"/>
      <w:marRight w:val="0"/>
      <w:marTop w:val="0"/>
      <w:marBottom w:val="0"/>
      <w:divBdr>
        <w:top w:val="none" w:sz="0" w:space="0" w:color="auto"/>
        <w:left w:val="none" w:sz="0" w:space="0" w:color="auto"/>
        <w:bottom w:val="none" w:sz="0" w:space="0" w:color="auto"/>
        <w:right w:val="none" w:sz="0" w:space="0" w:color="auto"/>
      </w:divBdr>
    </w:div>
    <w:div w:id="1716660171">
      <w:bodyDiv w:val="1"/>
      <w:marLeft w:val="0"/>
      <w:marRight w:val="0"/>
      <w:marTop w:val="0"/>
      <w:marBottom w:val="0"/>
      <w:divBdr>
        <w:top w:val="none" w:sz="0" w:space="0" w:color="auto"/>
        <w:left w:val="none" w:sz="0" w:space="0" w:color="auto"/>
        <w:bottom w:val="none" w:sz="0" w:space="0" w:color="auto"/>
        <w:right w:val="none" w:sz="0" w:space="0" w:color="auto"/>
      </w:divBdr>
    </w:div>
    <w:div w:id="1717195486">
      <w:bodyDiv w:val="1"/>
      <w:marLeft w:val="0"/>
      <w:marRight w:val="0"/>
      <w:marTop w:val="0"/>
      <w:marBottom w:val="0"/>
      <w:divBdr>
        <w:top w:val="none" w:sz="0" w:space="0" w:color="auto"/>
        <w:left w:val="none" w:sz="0" w:space="0" w:color="auto"/>
        <w:bottom w:val="none" w:sz="0" w:space="0" w:color="auto"/>
        <w:right w:val="none" w:sz="0" w:space="0" w:color="auto"/>
      </w:divBdr>
    </w:div>
    <w:div w:id="1717663036">
      <w:bodyDiv w:val="1"/>
      <w:marLeft w:val="0"/>
      <w:marRight w:val="0"/>
      <w:marTop w:val="0"/>
      <w:marBottom w:val="0"/>
      <w:divBdr>
        <w:top w:val="none" w:sz="0" w:space="0" w:color="auto"/>
        <w:left w:val="none" w:sz="0" w:space="0" w:color="auto"/>
        <w:bottom w:val="none" w:sz="0" w:space="0" w:color="auto"/>
        <w:right w:val="none" w:sz="0" w:space="0" w:color="auto"/>
      </w:divBdr>
    </w:div>
    <w:div w:id="1717850635">
      <w:bodyDiv w:val="1"/>
      <w:marLeft w:val="0"/>
      <w:marRight w:val="0"/>
      <w:marTop w:val="0"/>
      <w:marBottom w:val="0"/>
      <w:divBdr>
        <w:top w:val="none" w:sz="0" w:space="0" w:color="auto"/>
        <w:left w:val="none" w:sz="0" w:space="0" w:color="auto"/>
        <w:bottom w:val="none" w:sz="0" w:space="0" w:color="auto"/>
        <w:right w:val="none" w:sz="0" w:space="0" w:color="auto"/>
      </w:divBdr>
    </w:div>
    <w:div w:id="1717856851">
      <w:bodyDiv w:val="1"/>
      <w:marLeft w:val="0"/>
      <w:marRight w:val="0"/>
      <w:marTop w:val="0"/>
      <w:marBottom w:val="0"/>
      <w:divBdr>
        <w:top w:val="none" w:sz="0" w:space="0" w:color="auto"/>
        <w:left w:val="none" w:sz="0" w:space="0" w:color="auto"/>
        <w:bottom w:val="none" w:sz="0" w:space="0" w:color="auto"/>
        <w:right w:val="none" w:sz="0" w:space="0" w:color="auto"/>
      </w:divBdr>
    </w:div>
    <w:div w:id="1717926019">
      <w:bodyDiv w:val="1"/>
      <w:marLeft w:val="0"/>
      <w:marRight w:val="0"/>
      <w:marTop w:val="0"/>
      <w:marBottom w:val="0"/>
      <w:divBdr>
        <w:top w:val="none" w:sz="0" w:space="0" w:color="auto"/>
        <w:left w:val="none" w:sz="0" w:space="0" w:color="auto"/>
        <w:bottom w:val="none" w:sz="0" w:space="0" w:color="auto"/>
        <w:right w:val="none" w:sz="0" w:space="0" w:color="auto"/>
      </w:divBdr>
    </w:div>
    <w:div w:id="1717926714">
      <w:bodyDiv w:val="1"/>
      <w:marLeft w:val="0"/>
      <w:marRight w:val="0"/>
      <w:marTop w:val="0"/>
      <w:marBottom w:val="0"/>
      <w:divBdr>
        <w:top w:val="none" w:sz="0" w:space="0" w:color="auto"/>
        <w:left w:val="none" w:sz="0" w:space="0" w:color="auto"/>
        <w:bottom w:val="none" w:sz="0" w:space="0" w:color="auto"/>
        <w:right w:val="none" w:sz="0" w:space="0" w:color="auto"/>
      </w:divBdr>
    </w:div>
    <w:div w:id="1718116411">
      <w:bodyDiv w:val="1"/>
      <w:marLeft w:val="0"/>
      <w:marRight w:val="0"/>
      <w:marTop w:val="0"/>
      <w:marBottom w:val="0"/>
      <w:divBdr>
        <w:top w:val="none" w:sz="0" w:space="0" w:color="auto"/>
        <w:left w:val="none" w:sz="0" w:space="0" w:color="auto"/>
        <w:bottom w:val="none" w:sz="0" w:space="0" w:color="auto"/>
        <w:right w:val="none" w:sz="0" w:space="0" w:color="auto"/>
      </w:divBdr>
    </w:div>
    <w:div w:id="1718159208">
      <w:bodyDiv w:val="1"/>
      <w:marLeft w:val="0"/>
      <w:marRight w:val="0"/>
      <w:marTop w:val="0"/>
      <w:marBottom w:val="0"/>
      <w:divBdr>
        <w:top w:val="none" w:sz="0" w:space="0" w:color="auto"/>
        <w:left w:val="none" w:sz="0" w:space="0" w:color="auto"/>
        <w:bottom w:val="none" w:sz="0" w:space="0" w:color="auto"/>
        <w:right w:val="none" w:sz="0" w:space="0" w:color="auto"/>
      </w:divBdr>
    </w:div>
    <w:div w:id="1718433786">
      <w:bodyDiv w:val="1"/>
      <w:marLeft w:val="0"/>
      <w:marRight w:val="0"/>
      <w:marTop w:val="0"/>
      <w:marBottom w:val="0"/>
      <w:divBdr>
        <w:top w:val="none" w:sz="0" w:space="0" w:color="auto"/>
        <w:left w:val="none" w:sz="0" w:space="0" w:color="auto"/>
        <w:bottom w:val="none" w:sz="0" w:space="0" w:color="auto"/>
        <w:right w:val="none" w:sz="0" w:space="0" w:color="auto"/>
      </w:divBdr>
    </w:div>
    <w:div w:id="1718510169">
      <w:bodyDiv w:val="1"/>
      <w:marLeft w:val="0"/>
      <w:marRight w:val="0"/>
      <w:marTop w:val="0"/>
      <w:marBottom w:val="0"/>
      <w:divBdr>
        <w:top w:val="none" w:sz="0" w:space="0" w:color="auto"/>
        <w:left w:val="none" w:sz="0" w:space="0" w:color="auto"/>
        <w:bottom w:val="none" w:sz="0" w:space="0" w:color="auto"/>
        <w:right w:val="none" w:sz="0" w:space="0" w:color="auto"/>
      </w:divBdr>
    </w:div>
    <w:div w:id="1718512123">
      <w:bodyDiv w:val="1"/>
      <w:marLeft w:val="0"/>
      <w:marRight w:val="0"/>
      <w:marTop w:val="0"/>
      <w:marBottom w:val="0"/>
      <w:divBdr>
        <w:top w:val="none" w:sz="0" w:space="0" w:color="auto"/>
        <w:left w:val="none" w:sz="0" w:space="0" w:color="auto"/>
        <w:bottom w:val="none" w:sz="0" w:space="0" w:color="auto"/>
        <w:right w:val="none" w:sz="0" w:space="0" w:color="auto"/>
      </w:divBdr>
    </w:div>
    <w:div w:id="1718771914">
      <w:bodyDiv w:val="1"/>
      <w:marLeft w:val="0"/>
      <w:marRight w:val="0"/>
      <w:marTop w:val="0"/>
      <w:marBottom w:val="0"/>
      <w:divBdr>
        <w:top w:val="none" w:sz="0" w:space="0" w:color="auto"/>
        <w:left w:val="none" w:sz="0" w:space="0" w:color="auto"/>
        <w:bottom w:val="none" w:sz="0" w:space="0" w:color="auto"/>
        <w:right w:val="none" w:sz="0" w:space="0" w:color="auto"/>
      </w:divBdr>
    </w:div>
    <w:div w:id="1719431258">
      <w:bodyDiv w:val="1"/>
      <w:marLeft w:val="0"/>
      <w:marRight w:val="0"/>
      <w:marTop w:val="0"/>
      <w:marBottom w:val="0"/>
      <w:divBdr>
        <w:top w:val="none" w:sz="0" w:space="0" w:color="auto"/>
        <w:left w:val="none" w:sz="0" w:space="0" w:color="auto"/>
        <w:bottom w:val="none" w:sz="0" w:space="0" w:color="auto"/>
        <w:right w:val="none" w:sz="0" w:space="0" w:color="auto"/>
      </w:divBdr>
    </w:div>
    <w:div w:id="1719623021">
      <w:bodyDiv w:val="1"/>
      <w:marLeft w:val="0"/>
      <w:marRight w:val="0"/>
      <w:marTop w:val="0"/>
      <w:marBottom w:val="0"/>
      <w:divBdr>
        <w:top w:val="none" w:sz="0" w:space="0" w:color="auto"/>
        <w:left w:val="none" w:sz="0" w:space="0" w:color="auto"/>
        <w:bottom w:val="none" w:sz="0" w:space="0" w:color="auto"/>
        <w:right w:val="none" w:sz="0" w:space="0" w:color="auto"/>
      </w:divBdr>
    </w:div>
    <w:div w:id="1719623307">
      <w:bodyDiv w:val="1"/>
      <w:marLeft w:val="0"/>
      <w:marRight w:val="0"/>
      <w:marTop w:val="0"/>
      <w:marBottom w:val="0"/>
      <w:divBdr>
        <w:top w:val="none" w:sz="0" w:space="0" w:color="auto"/>
        <w:left w:val="none" w:sz="0" w:space="0" w:color="auto"/>
        <w:bottom w:val="none" w:sz="0" w:space="0" w:color="auto"/>
        <w:right w:val="none" w:sz="0" w:space="0" w:color="auto"/>
      </w:divBdr>
    </w:div>
    <w:div w:id="1719623691">
      <w:bodyDiv w:val="1"/>
      <w:marLeft w:val="0"/>
      <w:marRight w:val="0"/>
      <w:marTop w:val="0"/>
      <w:marBottom w:val="0"/>
      <w:divBdr>
        <w:top w:val="none" w:sz="0" w:space="0" w:color="auto"/>
        <w:left w:val="none" w:sz="0" w:space="0" w:color="auto"/>
        <w:bottom w:val="none" w:sz="0" w:space="0" w:color="auto"/>
        <w:right w:val="none" w:sz="0" w:space="0" w:color="auto"/>
      </w:divBdr>
    </w:div>
    <w:div w:id="1719625378">
      <w:bodyDiv w:val="1"/>
      <w:marLeft w:val="0"/>
      <w:marRight w:val="0"/>
      <w:marTop w:val="0"/>
      <w:marBottom w:val="0"/>
      <w:divBdr>
        <w:top w:val="none" w:sz="0" w:space="0" w:color="auto"/>
        <w:left w:val="none" w:sz="0" w:space="0" w:color="auto"/>
        <w:bottom w:val="none" w:sz="0" w:space="0" w:color="auto"/>
        <w:right w:val="none" w:sz="0" w:space="0" w:color="auto"/>
      </w:divBdr>
    </w:div>
    <w:div w:id="1719666264">
      <w:bodyDiv w:val="1"/>
      <w:marLeft w:val="0"/>
      <w:marRight w:val="0"/>
      <w:marTop w:val="0"/>
      <w:marBottom w:val="0"/>
      <w:divBdr>
        <w:top w:val="none" w:sz="0" w:space="0" w:color="auto"/>
        <w:left w:val="none" w:sz="0" w:space="0" w:color="auto"/>
        <w:bottom w:val="none" w:sz="0" w:space="0" w:color="auto"/>
        <w:right w:val="none" w:sz="0" w:space="0" w:color="auto"/>
      </w:divBdr>
    </w:div>
    <w:div w:id="1719892426">
      <w:bodyDiv w:val="1"/>
      <w:marLeft w:val="0"/>
      <w:marRight w:val="0"/>
      <w:marTop w:val="0"/>
      <w:marBottom w:val="0"/>
      <w:divBdr>
        <w:top w:val="none" w:sz="0" w:space="0" w:color="auto"/>
        <w:left w:val="none" w:sz="0" w:space="0" w:color="auto"/>
        <w:bottom w:val="none" w:sz="0" w:space="0" w:color="auto"/>
        <w:right w:val="none" w:sz="0" w:space="0" w:color="auto"/>
      </w:divBdr>
    </w:div>
    <w:div w:id="1720130113">
      <w:bodyDiv w:val="1"/>
      <w:marLeft w:val="0"/>
      <w:marRight w:val="0"/>
      <w:marTop w:val="0"/>
      <w:marBottom w:val="0"/>
      <w:divBdr>
        <w:top w:val="none" w:sz="0" w:space="0" w:color="auto"/>
        <w:left w:val="none" w:sz="0" w:space="0" w:color="auto"/>
        <w:bottom w:val="none" w:sz="0" w:space="0" w:color="auto"/>
        <w:right w:val="none" w:sz="0" w:space="0" w:color="auto"/>
      </w:divBdr>
    </w:div>
    <w:div w:id="1720275487">
      <w:bodyDiv w:val="1"/>
      <w:marLeft w:val="0"/>
      <w:marRight w:val="0"/>
      <w:marTop w:val="0"/>
      <w:marBottom w:val="0"/>
      <w:divBdr>
        <w:top w:val="none" w:sz="0" w:space="0" w:color="auto"/>
        <w:left w:val="none" w:sz="0" w:space="0" w:color="auto"/>
        <w:bottom w:val="none" w:sz="0" w:space="0" w:color="auto"/>
        <w:right w:val="none" w:sz="0" w:space="0" w:color="auto"/>
      </w:divBdr>
    </w:div>
    <w:div w:id="1720281414">
      <w:bodyDiv w:val="1"/>
      <w:marLeft w:val="0"/>
      <w:marRight w:val="0"/>
      <w:marTop w:val="0"/>
      <w:marBottom w:val="0"/>
      <w:divBdr>
        <w:top w:val="none" w:sz="0" w:space="0" w:color="auto"/>
        <w:left w:val="none" w:sz="0" w:space="0" w:color="auto"/>
        <w:bottom w:val="none" w:sz="0" w:space="0" w:color="auto"/>
        <w:right w:val="none" w:sz="0" w:space="0" w:color="auto"/>
      </w:divBdr>
    </w:div>
    <w:div w:id="1720667256">
      <w:bodyDiv w:val="1"/>
      <w:marLeft w:val="0"/>
      <w:marRight w:val="0"/>
      <w:marTop w:val="0"/>
      <w:marBottom w:val="0"/>
      <w:divBdr>
        <w:top w:val="none" w:sz="0" w:space="0" w:color="auto"/>
        <w:left w:val="none" w:sz="0" w:space="0" w:color="auto"/>
        <w:bottom w:val="none" w:sz="0" w:space="0" w:color="auto"/>
        <w:right w:val="none" w:sz="0" w:space="0" w:color="auto"/>
      </w:divBdr>
    </w:div>
    <w:div w:id="1720668244">
      <w:bodyDiv w:val="1"/>
      <w:marLeft w:val="0"/>
      <w:marRight w:val="0"/>
      <w:marTop w:val="0"/>
      <w:marBottom w:val="0"/>
      <w:divBdr>
        <w:top w:val="none" w:sz="0" w:space="0" w:color="auto"/>
        <w:left w:val="none" w:sz="0" w:space="0" w:color="auto"/>
        <w:bottom w:val="none" w:sz="0" w:space="0" w:color="auto"/>
        <w:right w:val="none" w:sz="0" w:space="0" w:color="auto"/>
      </w:divBdr>
    </w:div>
    <w:div w:id="1720855521">
      <w:bodyDiv w:val="1"/>
      <w:marLeft w:val="0"/>
      <w:marRight w:val="0"/>
      <w:marTop w:val="0"/>
      <w:marBottom w:val="0"/>
      <w:divBdr>
        <w:top w:val="none" w:sz="0" w:space="0" w:color="auto"/>
        <w:left w:val="none" w:sz="0" w:space="0" w:color="auto"/>
        <w:bottom w:val="none" w:sz="0" w:space="0" w:color="auto"/>
        <w:right w:val="none" w:sz="0" w:space="0" w:color="auto"/>
      </w:divBdr>
    </w:div>
    <w:div w:id="1720935169">
      <w:bodyDiv w:val="1"/>
      <w:marLeft w:val="0"/>
      <w:marRight w:val="0"/>
      <w:marTop w:val="0"/>
      <w:marBottom w:val="0"/>
      <w:divBdr>
        <w:top w:val="none" w:sz="0" w:space="0" w:color="auto"/>
        <w:left w:val="none" w:sz="0" w:space="0" w:color="auto"/>
        <w:bottom w:val="none" w:sz="0" w:space="0" w:color="auto"/>
        <w:right w:val="none" w:sz="0" w:space="0" w:color="auto"/>
      </w:divBdr>
    </w:div>
    <w:div w:id="1721242041">
      <w:bodyDiv w:val="1"/>
      <w:marLeft w:val="0"/>
      <w:marRight w:val="0"/>
      <w:marTop w:val="0"/>
      <w:marBottom w:val="0"/>
      <w:divBdr>
        <w:top w:val="none" w:sz="0" w:space="0" w:color="auto"/>
        <w:left w:val="none" w:sz="0" w:space="0" w:color="auto"/>
        <w:bottom w:val="none" w:sz="0" w:space="0" w:color="auto"/>
        <w:right w:val="none" w:sz="0" w:space="0" w:color="auto"/>
      </w:divBdr>
    </w:div>
    <w:div w:id="1721246437">
      <w:bodyDiv w:val="1"/>
      <w:marLeft w:val="0"/>
      <w:marRight w:val="0"/>
      <w:marTop w:val="0"/>
      <w:marBottom w:val="0"/>
      <w:divBdr>
        <w:top w:val="none" w:sz="0" w:space="0" w:color="auto"/>
        <w:left w:val="none" w:sz="0" w:space="0" w:color="auto"/>
        <w:bottom w:val="none" w:sz="0" w:space="0" w:color="auto"/>
        <w:right w:val="none" w:sz="0" w:space="0" w:color="auto"/>
      </w:divBdr>
    </w:div>
    <w:div w:id="1721396282">
      <w:bodyDiv w:val="1"/>
      <w:marLeft w:val="0"/>
      <w:marRight w:val="0"/>
      <w:marTop w:val="0"/>
      <w:marBottom w:val="0"/>
      <w:divBdr>
        <w:top w:val="none" w:sz="0" w:space="0" w:color="auto"/>
        <w:left w:val="none" w:sz="0" w:space="0" w:color="auto"/>
        <w:bottom w:val="none" w:sz="0" w:space="0" w:color="auto"/>
        <w:right w:val="none" w:sz="0" w:space="0" w:color="auto"/>
      </w:divBdr>
    </w:div>
    <w:div w:id="1721443974">
      <w:bodyDiv w:val="1"/>
      <w:marLeft w:val="0"/>
      <w:marRight w:val="0"/>
      <w:marTop w:val="0"/>
      <w:marBottom w:val="0"/>
      <w:divBdr>
        <w:top w:val="none" w:sz="0" w:space="0" w:color="auto"/>
        <w:left w:val="none" w:sz="0" w:space="0" w:color="auto"/>
        <w:bottom w:val="none" w:sz="0" w:space="0" w:color="auto"/>
        <w:right w:val="none" w:sz="0" w:space="0" w:color="auto"/>
      </w:divBdr>
    </w:div>
    <w:div w:id="1721517057">
      <w:bodyDiv w:val="1"/>
      <w:marLeft w:val="0"/>
      <w:marRight w:val="0"/>
      <w:marTop w:val="0"/>
      <w:marBottom w:val="0"/>
      <w:divBdr>
        <w:top w:val="none" w:sz="0" w:space="0" w:color="auto"/>
        <w:left w:val="none" w:sz="0" w:space="0" w:color="auto"/>
        <w:bottom w:val="none" w:sz="0" w:space="0" w:color="auto"/>
        <w:right w:val="none" w:sz="0" w:space="0" w:color="auto"/>
      </w:divBdr>
    </w:div>
    <w:div w:id="1721709044">
      <w:bodyDiv w:val="1"/>
      <w:marLeft w:val="0"/>
      <w:marRight w:val="0"/>
      <w:marTop w:val="0"/>
      <w:marBottom w:val="0"/>
      <w:divBdr>
        <w:top w:val="none" w:sz="0" w:space="0" w:color="auto"/>
        <w:left w:val="none" w:sz="0" w:space="0" w:color="auto"/>
        <w:bottom w:val="none" w:sz="0" w:space="0" w:color="auto"/>
        <w:right w:val="none" w:sz="0" w:space="0" w:color="auto"/>
      </w:divBdr>
    </w:div>
    <w:div w:id="1721974589">
      <w:bodyDiv w:val="1"/>
      <w:marLeft w:val="0"/>
      <w:marRight w:val="0"/>
      <w:marTop w:val="0"/>
      <w:marBottom w:val="0"/>
      <w:divBdr>
        <w:top w:val="none" w:sz="0" w:space="0" w:color="auto"/>
        <w:left w:val="none" w:sz="0" w:space="0" w:color="auto"/>
        <w:bottom w:val="none" w:sz="0" w:space="0" w:color="auto"/>
        <w:right w:val="none" w:sz="0" w:space="0" w:color="auto"/>
      </w:divBdr>
    </w:div>
    <w:div w:id="1722096383">
      <w:bodyDiv w:val="1"/>
      <w:marLeft w:val="0"/>
      <w:marRight w:val="0"/>
      <w:marTop w:val="0"/>
      <w:marBottom w:val="0"/>
      <w:divBdr>
        <w:top w:val="none" w:sz="0" w:space="0" w:color="auto"/>
        <w:left w:val="none" w:sz="0" w:space="0" w:color="auto"/>
        <w:bottom w:val="none" w:sz="0" w:space="0" w:color="auto"/>
        <w:right w:val="none" w:sz="0" w:space="0" w:color="auto"/>
      </w:divBdr>
    </w:div>
    <w:div w:id="1722169529">
      <w:bodyDiv w:val="1"/>
      <w:marLeft w:val="0"/>
      <w:marRight w:val="0"/>
      <w:marTop w:val="0"/>
      <w:marBottom w:val="0"/>
      <w:divBdr>
        <w:top w:val="none" w:sz="0" w:space="0" w:color="auto"/>
        <w:left w:val="none" w:sz="0" w:space="0" w:color="auto"/>
        <w:bottom w:val="none" w:sz="0" w:space="0" w:color="auto"/>
        <w:right w:val="none" w:sz="0" w:space="0" w:color="auto"/>
      </w:divBdr>
    </w:div>
    <w:div w:id="1722241137">
      <w:bodyDiv w:val="1"/>
      <w:marLeft w:val="0"/>
      <w:marRight w:val="0"/>
      <w:marTop w:val="0"/>
      <w:marBottom w:val="0"/>
      <w:divBdr>
        <w:top w:val="none" w:sz="0" w:space="0" w:color="auto"/>
        <w:left w:val="none" w:sz="0" w:space="0" w:color="auto"/>
        <w:bottom w:val="none" w:sz="0" w:space="0" w:color="auto"/>
        <w:right w:val="none" w:sz="0" w:space="0" w:color="auto"/>
      </w:divBdr>
    </w:div>
    <w:div w:id="1722248248">
      <w:bodyDiv w:val="1"/>
      <w:marLeft w:val="0"/>
      <w:marRight w:val="0"/>
      <w:marTop w:val="0"/>
      <w:marBottom w:val="0"/>
      <w:divBdr>
        <w:top w:val="none" w:sz="0" w:space="0" w:color="auto"/>
        <w:left w:val="none" w:sz="0" w:space="0" w:color="auto"/>
        <w:bottom w:val="none" w:sz="0" w:space="0" w:color="auto"/>
        <w:right w:val="none" w:sz="0" w:space="0" w:color="auto"/>
      </w:divBdr>
    </w:div>
    <w:div w:id="1722632594">
      <w:bodyDiv w:val="1"/>
      <w:marLeft w:val="0"/>
      <w:marRight w:val="0"/>
      <w:marTop w:val="0"/>
      <w:marBottom w:val="0"/>
      <w:divBdr>
        <w:top w:val="none" w:sz="0" w:space="0" w:color="auto"/>
        <w:left w:val="none" w:sz="0" w:space="0" w:color="auto"/>
        <w:bottom w:val="none" w:sz="0" w:space="0" w:color="auto"/>
        <w:right w:val="none" w:sz="0" w:space="0" w:color="auto"/>
      </w:divBdr>
    </w:div>
    <w:div w:id="1722945931">
      <w:bodyDiv w:val="1"/>
      <w:marLeft w:val="0"/>
      <w:marRight w:val="0"/>
      <w:marTop w:val="0"/>
      <w:marBottom w:val="0"/>
      <w:divBdr>
        <w:top w:val="none" w:sz="0" w:space="0" w:color="auto"/>
        <w:left w:val="none" w:sz="0" w:space="0" w:color="auto"/>
        <w:bottom w:val="none" w:sz="0" w:space="0" w:color="auto"/>
        <w:right w:val="none" w:sz="0" w:space="0" w:color="auto"/>
      </w:divBdr>
    </w:div>
    <w:div w:id="1723018842">
      <w:bodyDiv w:val="1"/>
      <w:marLeft w:val="0"/>
      <w:marRight w:val="0"/>
      <w:marTop w:val="0"/>
      <w:marBottom w:val="0"/>
      <w:divBdr>
        <w:top w:val="none" w:sz="0" w:space="0" w:color="auto"/>
        <w:left w:val="none" w:sz="0" w:space="0" w:color="auto"/>
        <w:bottom w:val="none" w:sz="0" w:space="0" w:color="auto"/>
        <w:right w:val="none" w:sz="0" w:space="0" w:color="auto"/>
      </w:divBdr>
    </w:div>
    <w:div w:id="1723169463">
      <w:bodyDiv w:val="1"/>
      <w:marLeft w:val="0"/>
      <w:marRight w:val="0"/>
      <w:marTop w:val="0"/>
      <w:marBottom w:val="0"/>
      <w:divBdr>
        <w:top w:val="none" w:sz="0" w:space="0" w:color="auto"/>
        <w:left w:val="none" w:sz="0" w:space="0" w:color="auto"/>
        <w:bottom w:val="none" w:sz="0" w:space="0" w:color="auto"/>
        <w:right w:val="none" w:sz="0" w:space="0" w:color="auto"/>
      </w:divBdr>
    </w:div>
    <w:div w:id="1723208378">
      <w:bodyDiv w:val="1"/>
      <w:marLeft w:val="0"/>
      <w:marRight w:val="0"/>
      <w:marTop w:val="0"/>
      <w:marBottom w:val="0"/>
      <w:divBdr>
        <w:top w:val="none" w:sz="0" w:space="0" w:color="auto"/>
        <w:left w:val="none" w:sz="0" w:space="0" w:color="auto"/>
        <w:bottom w:val="none" w:sz="0" w:space="0" w:color="auto"/>
        <w:right w:val="none" w:sz="0" w:space="0" w:color="auto"/>
      </w:divBdr>
    </w:div>
    <w:div w:id="1723290852">
      <w:bodyDiv w:val="1"/>
      <w:marLeft w:val="0"/>
      <w:marRight w:val="0"/>
      <w:marTop w:val="0"/>
      <w:marBottom w:val="0"/>
      <w:divBdr>
        <w:top w:val="none" w:sz="0" w:space="0" w:color="auto"/>
        <w:left w:val="none" w:sz="0" w:space="0" w:color="auto"/>
        <w:bottom w:val="none" w:sz="0" w:space="0" w:color="auto"/>
        <w:right w:val="none" w:sz="0" w:space="0" w:color="auto"/>
      </w:divBdr>
    </w:div>
    <w:div w:id="1723362389">
      <w:bodyDiv w:val="1"/>
      <w:marLeft w:val="0"/>
      <w:marRight w:val="0"/>
      <w:marTop w:val="0"/>
      <w:marBottom w:val="0"/>
      <w:divBdr>
        <w:top w:val="none" w:sz="0" w:space="0" w:color="auto"/>
        <w:left w:val="none" w:sz="0" w:space="0" w:color="auto"/>
        <w:bottom w:val="none" w:sz="0" w:space="0" w:color="auto"/>
        <w:right w:val="none" w:sz="0" w:space="0" w:color="auto"/>
      </w:divBdr>
    </w:div>
    <w:div w:id="1723366052">
      <w:bodyDiv w:val="1"/>
      <w:marLeft w:val="0"/>
      <w:marRight w:val="0"/>
      <w:marTop w:val="0"/>
      <w:marBottom w:val="0"/>
      <w:divBdr>
        <w:top w:val="none" w:sz="0" w:space="0" w:color="auto"/>
        <w:left w:val="none" w:sz="0" w:space="0" w:color="auto"/>
        <w:bottom w:val="none" w:sz="0" w:space="0" w:color="auto"/>
        <w:right w:val="none" w:sz="0" w:space="0" w:color="auto"/>
      </w:divBdr>
    </w:div>
    <w:div w:id="1723552499">
      <w:bodyDiv w:val="1"/>
      <w:marLeft w:val="0"/>
      <w:marRight w:val="0"/>
      <w:marTop w:val="0"/>
      <w:marBottom w:val="0"/>
      <w:divBdr>
        <w:top w:val="none" w:sz="0" w:space="0" w:color="auto"/>
        <w:left w:val="none" w:sz="0" w:space="0" w:color="auto"/>
        <w:bottom w:val="none" w:sz="0" w:space="0" w:color="auto"/>
        <w:right w:val="none" w:sz="0" w:space="0" w:color="auto"/>
      </w:divBdr>
    </w:div>
    <w:div w:id="1723554202">
      <w:bodyDiv w:val="1"/>
      <w:marLeft w:val="0"/>
      <w:marRight w:val="0"/>
      <w:marTop w:val="0"/>
      <w:marBottom w:val="0"/>
      <w:divBdr>
        <w:top w:val="none" w:sz="0" w:space="0" w:color="auto"/>
        <w:left w:val="none" w:sz="0" w:space="0" w:color="auto"/>
        <w:bottom w:val="none" w:sz="0" w:space="0" w:color="auto"/>
        <w:right w:val="none" w:sz="0" w:space="0" w:color="auto"/>
      </w:divBdr>
    </w:div>
    <w:div w:id="1723602578">
      <w:bodyDiv w:val="1"/>
      <w:marLeft w:val="0"/>
      <w:marRight w:val="0"/>
      <w:marTop w:val="0"/>
      <w:marBottom w:val="0"/>
      <w:divBdr>
        <w:top w:val="none" w:sz="0" w:space="0" w:color="auto"/>
        <w:left w:val="none" w:sz="0" w:space="0" w:color="auto"/>
        <w:bottom w:val="none" w:sz="0" w:space="0" w:color="auto"/>
        <w:right w:val="none" w:sz="0" w:space="0" w:color="auto"/>
      </w:divBdr>
    </w:div>
    <w:div w:id="1723626886">
      <w:bodyDiv w:val="1"/>
      <w:marLeft w:val="0"/>
      <w:marRight w:val="0"/>
      <w:marTop w:val="0"/>
      <w:marBottom w:val="0"/>
      <w:divBdr>
        <w:top w:val="none" w:sz="0" w:space="0" w:color="auto"/>
        <w:left w:val="none" w:sz="0" w:space="0" w:color="auto"/>
        <w:bottom w:val="none" w:sz="0" w:space="0" w:color="auto"/>
        <w:right w:val="none" w:sz="0" w:space="0" w:color="auto"/>
      </w:divBdr>
    </w:div>
    <w:div w:id="1723944206">
      <w:bodyDiv w:val="1"/>
      <w:marLeft w:val="0"/>
      <w:marRight w:val="0"/>
      <w:marTop w:val="0"/>
      <w:marBottom w:val="0"/>
      <w:divBdr>
        <w:top w:val="none" w:sz="0" w:space="0" w:color="auto"/>
        <w:left w:val="none" w:sz="0" w:space="0" w:color="auto"/>
        <w:bottom w:val="none" w:sz="0" w:space="0" w:color="auto"/>
        <w:right w:val="none" w:sz="0" w:space="0" w:color="auto"/>
      </w:divBdr>
    </w:div>
    <w:div w:id="1724132606">
      <w:bodyDiv w:val="1"/>
      <w:marLeft w:val="0"/>
      <w:marRight w:val="0"/>
      <w:marTop w:val="0"/>
      <w:marBottom w:val="0"/>
      <w:divBdr>
        <w:top w:val="none" w:sz="0" w:space="0" w:color="auto"/>
        <w:left w:val="none" w:sz="0" w:space="0" w:color="auto"/>
        <w:bottom w:val="none" w:sz="0" w:space="0" w:color="auto"/>
        <w:right w:val="none" w:sz="0" w:space="0" w:color="auto"/>
      </w:divBdr>
    </w:div>
    <w:div w:id="1724213303">
      <w:bodyDiv w:val="1"/>
      <w:marLeft w:val="0"/>
      <w:marRight w:val="0"/>
      <w:marTop w:val="0"/>
      <w:marBottom w:val="0"/>
      <w:divBdr>
        <w:top w:val="none" w:sz="0" w:space="0" w:color="auto"/>
        <w:left w:val="none" w:sz="0" w:space="0" w:color="auto"/>
        <w:bottom w:val="none" w:sz="0" w:space="0" w:color="auto"/>
        <w:right w:val="none" w:sz="0" w:space="0" w:color="auto"/>
      </w:divBdr>
    </w:div>
    <w:div w:id="1724518215">
      <w:bodyDiv w:val="1"/>
      <w:marLeft w:val="0"/>
      <w:marRight w:val="0"/>
      <w:marTop w:val="0"/>
      <w:marBottom w:val="0"/>
      <w:divBdr>
        <w:top w:val="none" w:sz="0" w:space="0" w:color="auto"/>
        <w:left w:val="none" w:sz="0" w:space="0" w:color="auto"/>
        <w:bottom w:val="none" w:sz="0" w:space="0" w:color="auto"/>
        <w:right w:val="none" w:sz="0" w:space="0" w:color="auto"/>
      </w:divBdr>
    </w:div>
    <w:div w:id="1724518498">
      <w:bodyDiv w:val="1"/>
      <w:marLeft w:val="0"/>
      <w:marRight w:val="0"/>
      <w:marTop w:val="0"/>
      <w:marBottom w:val="0"/>
      <w:divBdr>
        <w:top w:val="none" w:sz="0" w:space="0" w:color="auto"/>
        <w:left w:val="none" w:sz="0" w:space="0" w:color="auto"/>
        <w:bottom w:val="none" w:sz="0" w:space="0" w:color="auto"/>
        <w:right w:val="none" w:sz="0" w:space="0" w:color="auto"/>
      </w:divBdr>
    </w:div>
    <w:div w:id="1724520581">
      <w:bodyDiv w:val="1"/>
      <w:marLeft w:val="0"/>
      <w:marRight w:val="0"/>
      <w:marTop w:val="0"/>
      <w:marBottom w:val="0"/>
      <w:divBdr>
        <w:top w:val="none" w:sz="0" w:space="0" w:color="auto"/>
        <w:left w:val="none" w:sz="0" w:space="0" w:color="auto"/>
        <w:bottom w:val="none" w:sz="0" w:space="0" w:color="auto"/>
        <w:right w:val="none" w:sz="0" w:space="0" w:color="auto"/>
      </w:divBdr>
    </w:div>
    <w:div w:id="1724677311">
      <w:bodyDiv w:val="1"/>
      <w:marLeft w:val="0"/>
      <w:marRight w:val="0"/>
      <w:marTop w:val="0"/>
      <w:marBottom w:val="0"/>
      <w:divBdr>
        <w:top w:val="none" w:sz="0" w:space="0" w:color="auto"/>
        <w:left w:val="none" w:sz="0" w:space="0" w:color="auto"/>
        <w:bottom w:val="none" w:sz="0" w:space="0" w:color="auto"/>
        <w:right w:val="none" w:sz="0" w:space="0" w:color="auto"/>
      </w:divBdr>
    </w:div>
    <w:div w:id="1724869228">
      <w:bodyDiv w:val="1"/>
      <w:marLeft w:val="0"/>
      <w:marRight w:val="0"/>
      <w:marTop w:val="0"/>
      <w:marBottom w:val="0"/>
      <w:divBdr>
        <w:top w:val="none" w:sz="0" w:space="0" w:color="auto"/>
        <w:left w:val="none" w:sz="0" w:space="0" w:color="auto"/>
        <w:bottom w:val="none" w:sz="0" w:space="0" w:color="auto"/>
        <w:right w:val="none" w:sz="0" w:space="0" w:color="auto"/>
      </w:divBdr>
    </w:div>
    <w:div w:id="1725057067">
      <w:bodyDiv w:val="1"/>
      <w:marLeft w:val="0"/>
      <w:marRight w:val="0"/>
      <w:marTop w:val="0"/>
      <w:marBottom w:val="0"/>
      <w:divBdr>
        <w:top w:val="none" w:sz="0" w:space="0" w:color="auto"/>
        <w:left w:val="none" w:sz="0" w:space="0" w:color="auto"/>
        <w:bottom w:val="none" w:sz="0" w:space="0" w:color="auto"/>
        <w:right w:val="none" w:sz="0" w:space="0" w:color="auto"/>
      </w:divBdr>
    </w:div>
    <w:div w:id="1725062951">
      <w:bodyDiv w:val="1"/>
      <w:marLeft w:val="0"/>
      <w:marRight w:val="0"/>
      <w:marTop w:val="0"/>
      <w:marBottom w:val="0"/>
      <w:divBdr>
        <w:top w:val="none" w:sz="0" w:space="0" w:color="auto"/>
        <w:left w:val="none" w:sz="0" w:space="0" w:color="auto"/>
        <w:bottom w:val="none" w:sz="0" w:space="0" w:color="auto"/>
        <w:right w:val="none" w:sz="0" w:space="0" w:color="auto"/>
      </w:divBdr>
    </w:div>
    <w:div w:id="1725181409">
      <w:bodyDiv w:val="1"/>
      <w:marLeft w:val="0"/>
      <w:marRight w:val="0"/>
      <w:marTop w:val="0"/>
      <w:marBottom w:val="0"/>
      <w:divBdr>
        <w:top w:val="none" w:sz="0" w:space="0" w:color="auto"/>
        <w:left w:val="none" w:sz="0" w:space="0" w:color="auto"/>
        <w:bottom w:val="none" w:sz="0" w:space="0" w:color="auto"/>
        <w:right w:val="none" w:sz="0" w:space="0" w:color="auto"/>
      </w:divBdr>
    </w:div>
    <w:div w:id="1725442781">
      <w:bodyDiv w:val="1"/>
      <w:marLeft w:val="0"/>
      <w:marRight w:val="0"/>
      <w:marTop w:val="0"/>
      <w:marBottom w:val="0"/>
      <w:divBdr>
        <w:top w:val="none" w:sz="0" w:space="0" w:color="auto"/>
        <w:left w:val="none" w:sz="0" w:space="0" w:color="auto"/>
        <w:bottom w:val="none" w:sz="0" w:space="0" w:color="auto"/>
        <w:right w:val="none" w:sz="0" w:space="0" w:color="auto"/>
      </w:divBdr>
    </w:div>
    <w:div w:id="1725567462">
      <w:bodyDiv w:val="1"/>
      <w:marLeft w:val="0"/>
      <w:marRight w:val="0"/>
      <w:marTop w:val="0"/>
      <w:marBottom w:val="0"/>
      <w:divBdr>
        <w:top w:val="none" w:sz="0" w:space="0" w:color="auto"/>
        <w:left w:val="none" w:sz="0" w:space="0" w:color="auto"/>
        <w:bottom w:val="none" w:sz="0" w:space="0" w:color="auto"/>
        <w:right w:val="none" w:sz="0" w:space="0" w:color="auto"/>
      </w:divBdr>
    </w:div>
    <w:div w:id="1725761742">
      <w:bodyDiv w:val="1"/>
      <w:marLeft w:val="0"/>
      <w:marRight w:val="0"/>
      <w:marTop w:val="0"/>
      <w:marBottom w:val="0"/>
      <w:divBdr>
        <w:top w:val="none" w:sz="0" w:space="0" w:color="auto"/>
        <w:left w:val="none" w:sz="0" w:space="0" w:color="auto"/>
        <w:bottom w:val="none" w:sz="0" w:space="0" w:color="auto"/>
        <w:right w:val="none" w:sz="0" w:space="0" w:color="auto"/>
      </w:divBdr>
    </w:div>
    <w:div w:id="1725906711">
      <w:bodyDiv w:val="1"/>
      <w:marLeft w:val="0"/>
      <w:marRight w:val="0"/>
      <w:marTop w:val="0"/>
      <w:marBottom w:val="0"/>
      <w:divBdr>
        <w:top w:val="none" w:sz="0" w:space="0" w:color="auto"/>
        <w:left w:val="none" w:sz="0" w:space="0" w:color="auto"/>
        <w:bottom w:val="none" w:sz="0" w:space="0" w:color="auto"/>
        <w:right w:val="none" w:sz="0" w:space="0" w:color="auto"/>
      </w:divBdr>
    </w:div>
    <w:div w:id="1726027668">
      <w:bodyDiv w:val="1"/>
      <w:marLeft w:val="0"/>
      <w:marRight w:val="0"/>
      <w:marTop w:val="0"/>
      <w:marBottom w:val="0"/>
      <w:divBdr>
        <w:top w:val="none" w:sz="0" w:space="0" w:color="auto"/>
        <w:left w:val="none" w:sz="0" w:space="0" w:color="auto"/>
        <w:bottom w:val="none" w:sz="0" w:space="0" w:color="auto"/>
        <w:right w:val="none" w:sz="0" w:space="0" w:color="auto"/>
      </w:divBdr>
    </w:div>
    <w:div w:id="1726221133">
      <w:bodyDiv w:val="1"/>
      <w:marLeft w:val="0"/>
      <w:marRight w:val="0"/>
      <w:marTop w:val="0"/>
      <w:marBottom w:val="0"/>
      <w:divBdr>
        <w:top w:val="none" w:sz="0" w:space="0" w:color="auto"/>
        <w:left w:val="none" w:sz="0" w:space="0" w:color="auto"/>
        <w:bottom w:val="none" w:sz="0" w:space="0" w:color="auto"/>
        <w:right w:val="none" w:sz="0" w:space="0" w:color="auto"/>
      </w:divBdr>
    </w:div>
    <w:div w:id="1726635069">
      <w:bodyDiv w:val="1"/>
      <w:marLeft w:val="0"/>
      <w:marRight w:val="0"/>
      <w:marTop w:val="0"/>
      <w:marBottom w:val="0"/>
      <w:divBdr>
        <w:top w:val="none" w:sz="0" w:space="0" w:color="auto"/>
        <w:left w:val="none" w:sz="0" w:space="0" w:color="auto"/>
        <w:bottom w:val="none" w:sz="0" w:space="0" w:color="auto"/>
        <w:right w:val="none" w:sz="0" w:space="0" w:color="auto"/>
      </w:divBdr>
    </w:div>
    <w:div w:id="1726831577">
      <w:bodyDiv w:val="1"/>
      <w:marLeft w:val="0"/>
      <w:marRight w:val="0"/>
      <w:marTop w:val="0"/>
      <w:marBottom w:val="0"/>
      <w:divBdr>
        <w:top w:val="none" w:sz="0" w:space="0" w:color="auto"/>
        <w:left w:val="none" w:sz="0" w:space="0" w:color="auto"/>
        <w:bottom w:val="none" w:sz="0" w:space="0" w:color="auto"/>
        <w:right w:val="none" w:sz="0" w:space="0" w:color="auto"/>
      </w:divBdr>
    </w:div>
    <w:div w:id="1726903798">
      <w:bodyDiv w:val="1"/>
      <w:marLeft w:val="0"/>
      <w:marRight w:val="0"/>
      <w:marTop w:val="0"/>
      <w:marBottom w:val="0"/>
      <w:divBdr>
        <w:top w:val="none" w:sz="0" w:space="0" w:color="auto"/>
        <w:left w:val="none" w:sz="0" w:space="0" w:color="auto"/>
        <w:bottom w:val="none" w:sz="0" w:space="0" w:color="auto"/>
        <w:right w:val="none" w:sz="0" w:space="0" w:color="auto"/>
      </w:divBdr>
    </w:div>
    <w:div w:id="1727024850">
      <w:bodyDiv w:val="1"/>
      <w:marLeft w:val="0"/>
      <w:marRight w:val="0"/>
      <w:marTop w:val="0"/>
      <w:marBottom w:val="0"/>
      <w:divBdr>
        <w:top w:val="none" w:sz="0" w:space="0" w:color="auto"/>
        <w:left w:val="none" w:sz="0" w:space="0" w:color="auto"/>
        <w:bottom w:val="none" w:sz="0" w:space="0" w:color="auto"/>
        <w:right w:val="none" w:sz="0" w:space="0" w:color="auto"/>
      </w:divBdr>
    </w:div>
    <w:div w:id="1727144352">
      <w:bodyDiv w:val="1"/>
      <w:marLeft w:val="0"/>
      <w:marRight w:val="0"/>
      <w:marTop w:val="0"/>
      <w:marBottom w:val="0"/>
      <w:divBdr>
        <w:top w:val="none" w:sz="0" w:space="0" w:color="auto"/>
        <w:left w:val="none" w:sz="0" w:space="0" w:color="auto"/>
        <w:bottom w:val="none" w:sz="0" w:space="0" w:color="auto"/>
        <w:right w:val="none" w:sz="0" w:space="0" w:color="auto"/>
      </w:divBdr>
    </w:div>
    <w:div w:id="1727215985">
      <w:bodyDiv w:val="1"/>
      <w:marLeft w:val="0"/>
      <w:marRight w:val="0"/>
      <w:marTop w:val="0"/>
      <w:marBottom w:val="0"/>
      <w:divBdr>
        <w:top w:val="none" w:sz="0" w:space="0" w:color="auto"/>
        <w:left w:val="none" w:sz="0" w:space="0" w:color="auto"/>
        <w:bottom w:val="none" w:sz="0" w:space="0" w:color="auto"/>
        <w:right w:val="none" w:sz="0" w:space="0" w:color="auto"/>
      </w:divBdr>
    </w:div>
    <w:div w:id="1727534485">
      <w:bodyDiv w:val="1"/>
      <w:marLeft w:val="0"/>
      <w:marRight w:val="0"/>
      <w:marTop w:val="0"/>
      <w:marBottom w:val="0"/>
      <w:divBdr>
        <w:top w:val="none" w:sz="0" w:space="0" w:color="auto"/>
        <w:left w:val="none" w:sz="0" w:space="0" w:color="auto"/>
        <w:bottom w:val="none" w:sz="0" w:space="0" w:color="auto"/>
        <w:right w:val="none" w:sz="0" w:space="0" w:color="auto"/>
      </w:divBdr>
    </w:div>
    <w:div w:id="1727534755">
      <w:bodyDiv w:val="1"/>
      <w:marLeft w:val="0"/>
      <w:marRight w:val="0"/>
      <w:marTop w:val="0"/>
      <w:marBottom w:val="0"/>
      <w:divBdr>
        <w:top w:val="none" w:sz="0" w:space="0" w:color="auto"/>
        <w:left w:val="none" w:sz="0" w:space="0" w:color="auto"/>
        <w:bottom w:val="none" w:sz="0" w:space="0" w:color="auto"/>
        <w:right w:val="none" w:sz="0" w:space="0" w:color="auto"/>
      </w:divBdr>
    </w:div>
    <w:div w:id="1727602374">
      <w:bodyDiv w:val="1"/>
      <w:marLeft w:val="0"/>
      <w:marRight w:val="0"/>
      <w:marTop w:val="0"/>
      <w:marBottom w:val="0"/>
      <w:divBdr>
        <w:top w:val="none" w:sz="0" w:space="0" w:color="auto"/>
        <w:left w:val="none" w:sz="0" w:space="0" w:color="auto"/>
        <w:bottom w:val="none" w:sz="0" w:space="0" w:color="auto"/>
        <w:right w:val="none" w:sz="0" w:space="0" w:color="auto"/>
      </w:divBdr>
    </w:div>
    <w:div w:id="1727680668">
      <w:bodyDiv w:val="1"/>
      <w:marLeft w:val="0"/>
      <w:marRight w:val="0"/>
      <w:marTop w:val="0"/>
      <w:marBottom w:val="0"/>
      <w:divBdr>
        <w:top w:val="none" w:sz="0" w:space="0" w:color="auto"/>
        <w:left w:val="none" w:sz="0" w:space="0" w:color="auto"/>
        <w:bottom w:val="none" w:sz="0" w:space="0" w:color="auto"/>
        <w:right w:val="none" w:sz="0" w:space="0" w:color="auto"/>
      </w:divBdr>
    </w:div>
    <w:div w:id="1727727243">
      <w:bodyDiv w:val="1"/>
      <w:marLeft w:val="0"/>
      <w:marRight w:val="0"/>
      <w:marTop w:val="0"/>
      <w:marBottom w:val="0"/>
      <w:divBdr>
        <w:top w:val="none" w:sz="0" w:space="0" w:color="auto"/>
        <w:left w:val="none" w:sz="0" w:space="0" w:color="auto"/>
        <w:bottom w:val="none" w:sz="0" w:space="0" w:color="auto"/>
        <w:right w:val="none" w:sz="0" w:space="0" w:color="auto"/>
      </w:divBdr>
    </w:div>
    <w:div w:id="1727795708">
      <w:bodyDiv w:val="1"/>
      <w:marLeft w:val="0"/>
      <w:marRight w:val="0"/>
      <w:marTop w:val="0"/>
      <w:marBottom w:val="0"/>
      <w:divBdr>
        <w:top w:val="none" w:sz="0" w:space="0" w:color="auto"/>
        <w:left w:val="none" w:sz="0" w:space="0" w:color="auto"/>
        <w:bottom w:val="none" w:sz="0" w:space="0" w:color="auto"/>
        <w:right w:val="none" w:sz="0" w:space="0" w:color="auto"/>
      </w:divBdr>
    </w:div>
    <w:div w:id="1728069140">
      <w:bodyDiv w:val="1"/>
      <w:marLeft w:val="0"/>
      <w:marRight w:val="0"/>
      <w:marTop w:val="0"/>
      <w:marBottom w:val="0"/>
      <w:divBdr>
        <w:top w:val="none" w:sz="0" w:space="0" w:color="auto"/>
        <w:left w:val="none" w:sz="0" w:space="0" w:color="auto"/>
        <w:bottom w:val="none" w:sz="0" w:space="0" w:color="auto"/>
        <w:right w:val="none" w:sz="0" w:space="0" w:color="auto"/>
      </w:divBdr>
    </w:div>
    <w:div w:id="1728184402">
      <w:bodyDiv w:val="1"/>
      <w:marLeft w:val="0"/>
      <w:marRight w:val="0"/>
      <w:marTop w:val="0"/>
      <w:marBottom w:val="0"/>
      <w:divBdr>
        <w:top w:val="none" w:sz="0" w:space="0" w:color="auto"/>
        <w:left w:val="none" w:sz="0" w:space="0" w:color="auto"/>
        <w:bottom w:val="none" w:sz="0" w:space="0" w:color="auto"/>
        <w:right w:val="none" w:sz="0" w:space="0" w:color="auto"/>
      </w:divBdr>
    </w:div>
    <w:div w:id="1728214430">
      <w:bodyDiv w:val="1"/>
      <w:marLeft w:val="0"/>
      <w:marRight w:val="0"/>
      <w:marTop w:val="0"/>
      <w:marBottom w:val="0"/>
      <w:divBdr>
        <w:top w:val="none" w:sz="0" w:space="0" w:color="auto"/>
        <w:left w:val="none" w:sz="0" w:space="0" w:color="auto"/>
        <w:bottom w:val="none" w:sz="0" w:space="0" w:color="auto"/>
        <w:right w:val="none" w:sz="0" w:space="0" w:color="auto"/>
      </w:divBdr>
    </w:div>
    <w:div w:id="1728263959">
      <w:bodyDiv w:val="1"/>
      <w:marLeft w:val="0"/>
      <w:marRight w:val="0"/>
      <w:marTop w:val="0"/>
      <w:marBottom w:val="0"/>
      <w:divBdr>
        <w:top w:val="none" w:sz="0" w:space="0" w:color="auto"/>
        <w:left w:val="none" w:sz="0" w:space="0" w:color="auto"/>
        <w:bottom w:val="none" w:sz="0" w:space="0" w:color="auto"/>
        <w:right w:val="none" w:sz="0" w:space="0" w:color="auto"/>
      </w:divBdr>
    </w:div>
    <w:div w:id="1728332172">
      <w:bodyDiv w:val="1"/>
      <w:marLeft w:val="0"/>
      <w:marRight w:val="0"/>
      <w:marTop w:val="0"/>
      <w:marBottom w:val="0"/>
      <w:divBdr>
        <w:top w:val="none" w:sz="0" w:space="0" w:color="auto"/>
        <w:left w:val="none" w:sz="0" w:space="0" w:color="auto"/>
        <w:bottom w:val="none" w:sz="0" w:space="0" w:color="auto"/>
        <w:right w:val="none" w:sz="0" w:space="0" w:color="auto"/>
      </w:divBdr>
    </w:div>
    <w:div w:id="1728534149">
      <w:bodyDiv w:val="1"/>
      <w:marLeft w:val="0"/>
      <w:marRight w:val="0"/>
      <w:marTop w:val="0"/>
      <w:marBottom w:val="0"/>
      <w:divBdr>
        <w:top w:val="none" w:sz="0" w:space="0" w:color="auto"/>
        <w:left w:val="none" w:sz="0" w:space="0" w:color="auto"/>
        <w:bottom w:val="none" w:sz="0" w:space="0" w:color="auto"/>
        <w:right w:val="none" w:sz="0" w:space="0" w:color="auto"/>
      </w:divBdr>
    </w:div>
    <w:div w:id="1728608745">
      <w:bodyDiv w:val="1"/>
      <w:marLeft w:val="0"/>
      <w:marRight w:val="0"/>
      <w:marTop w:val="0"/>
      <w:marBottom w:val="0"/>
      <w:divBdr>
        <w:top w:val="none" w:sz="0" w:space="0" w:color="auto"/>
        <w:left w:val="none" w:sz="0" w:space="0" w:color="auto"/>
        <w:bottom w:val="none" w:sz="0" w:space="0" w:color="auto"/>
        <w:right w:val="none" w:sz="0" w:space="0" w:color="auto"/>
      </w:divBdr>
    </w:div>
    <w:div w:id="1728644610">
      <w:bodyDiv w:val="1"/>
      <w:marLeft w:val="0"/>
      <w:marRight w:val="0"/>
      <w:marTop w:val="0"/>
      <w:marBottom w:val="0"/>
      <w:divBdr>
        <w:top w:val="none" w:sz="0" w:space="0" w:color="auto"/>
        <w:left w:val="none" w:sz="0" w:space="0" w:color="auto"/>
        <w:bottom w:val="none" w:sz="0" w:space="0" w:color="auto"/>
        <w:right w:val="none" w:sz="0" w:space="0" w:color="auto"/>
      </w:divBdr>
    </w:div>
    <w:div w:id="1728793915">
      <w:bodyDiv w:val="1"/>
      <w:marLeft w:val="0"/>
      <w:marRight w:val="0"/>
      <w:marTop w:val="0"/>
      <w:marBottom w:val="0"/>
      <w:divBdr>
        <w:top w:val="none" w:sz="0" w:space="0" w:color="auto"/>
        <w:left w:val="none" w:sz="0" w:space="0" w:color="auto"/>
        <w:bottom w:val="none" w:sz="0" w:space="0" w:color="auto"/>
        <w:right w:val="none" w:sz="0" w:space="0" w:color="auto"/>
      </w:divBdr>
    </w:div>
    <w:div w:id="1728801791">
      <w:bodyDiv w:val="1"/>
      <w:marLeft w:val="0"/>
      <w:marRight w:val="0"/>
      <w:marTop w:val="0"/>
      <w:marBottom w:val="0"/>
      <w:divBdr>
        <w:top w:val="none" w:sz="0" w:space="0" w:color="auto"/>
        <w:left w:val="none" w:sz="0" w:space="0" w:color="auto"/>
        <w:bottom w:val="none" w:sz="0" w:space="0" w:color="auto"/>
        <w:right w:val="none" w:sz="0" w:space="0" w:color="auto"/>
      </w:divBdr>
    </w:div>
    <w:div w:id="1728991416">
      <w:bodyDiv w:val="1"/>
      <w:marLeft w:val="0"/>
      <w:marRight w:val="0"/>
      <w:marTop w:val="0"/>
      <w:marBottom w:val="0"/>
      <w:divBdr>
        <w:top w:val="none" w:sz="0" w:space="0" w:color="auto"/>
        <w:left w:val="none" w:sz="0" w:space="0" w:color="auto"/>
        <w:bottom w:val="none" w:sz="0" w:space="0" w:color="auto"/>
        <w:right w:val="none" w:sz="0" w:space="0" w:color="auto"/>
      </w:divBdr>
    </w:div>
    <w:div w:id="1729181165">
      <w:bodyDiv w:val="1"/>
      <w:marLeft w:val="0"/>
      <w:marRight w:val="0"/>
      <w:marTop w:val="0"/>
      <w:marBottom w:val="0"/>
      <w:divBdr>
        <w:top w:val="none" w:sz="0" w:space="0" w:color="auto"/>
        <w:left w:val="none" w:sz="0" w:space="0" w:color="auto"/>
        <w:bottom w:val="none" w:sz="0" w:space="0" w:color="auto"/>
        <w:right w:val="none" w:sz="0" w:space="0" w:color="auto"/>
      </w:divBdr>
    </w:div>
    <w:div w:id="1729187151">
      <w:bodyDiv w:val="1"/>
      <w:marLeft w:val="0"/>
      <w:marRight w:val="0"/>
      <w:marTop w:val="0"/>
      <w:marBottom w:val="0"/>
      <w:divBdr>
        <w:top w:val="none" w:sz="0" w:space="0" w:color="auto"/>
        <w:left w:val="none" w:sz="0" w:space="0" w:color="auto"/>
        <w:bottom w:val="none" w:sz="0" w:space="0" w:color="auto"/>
        <w:right w:val="none" w:sz="0" w:space="0" w:color="auto"/>
      </w:divBdr>
    </w:div>
    <w:div w:id="1729263762">
      <w:bodyDiv w:val="1"/>
      <w:marLeft w:val="0"/>
      <w:marRight w:val="0"/>
      <w:marTop w:val="0"/>
      <w:marBottom w:val="0"/>
      <w:divBdr>
        <w:top w:val="none" w:sz="0" w:space="0" w:color="auto"/>
        <w:left w:val="none" w:sz="0" w:space="0" w:color="auto"/>
        <w:bottom w:val="none" w:sz="0" w:space="0" w:color="auto"/>
        <w:right w:val="none" w:sz="0" w:space="0" w:color="auto"/>
      </w:divBdr>
    </w:div>
    <w:div w:id="1729306439">
      <w:bodyDiv w:val="1"/>
      <w:marLeft w:val="0"/>
      <w:marRight w:val="0"/>
      <w:marTop w:val="0"/>
      <w:marBottom w:val="0"/>
      <w:divBdr>
        <w:top w:val="none" w:sz="0" w:space="0" w:color="auto"/>
        <w:left w:val="none" w:sz="0" w:space="0" w:color="auto"/>
        <w:bottom w:val="none" w:sz="0" w:space="0" w:color="auto"/>
        <w:right w:val="none" w:sz="0" w:space="0" w:color="auto"/>
      </w:divBdr>
    </w:div>
    <w:div w:id="1729451311">
      <w:bodyDiv w:val="1"/>
      <w:marLeft w:val="0"/>
      <w:marRight w:val="0"/>
      <w:marTop w:val="0"/>
      <w:marBottom w:val="0"/>
      <w:divBdr>
        <w:top w:val="none" w:sz="0" w:space="0" w:color="auto"/>
        <w:left w:val="none" w:sz="0" w:space="0" w:color="auto"/>
        <w:bottom w:val="none" w:sz="0" w:space="0" w:color="auto"/>
        <w:right w:val="none" w:sz="0" w:space="0" w:color="auto"/>
      </w:divBdr>
    </w:div>
    <w:div w:id="1729836459">
      <w:bodyDiv w:val="1"/>
      <w:marLeft w:val="0"/>
      <w:marRight w:val="0"/>
      <w:marTop w:val="0"/>
      <w:marBottom w:val="0"/>
      <w:divBdr>
        <w:top w:val="none" w:sz="0" w:space="0" w:color="auto"/>
        <w:left w:val="none" w:sz="0" w:space="0" w:color="auto"/>
        <w:bottom w:val="none" w:sz="0" w:space="0" w:color="auto"/>
        <w:right w:val="none" w:sz="0" w:space="0" w:color="auto"/>
      </w:divBdr>
    </w:div>
    <w:div w:id="1729837120">
      <w:bodyDiv w:val="1"/>
      <w:marLeft w:val="0"/>
      <w:marRight w:val="0"/>
      <w:marTop w:val="0"/>
      <w:marBottom w:val="0"/>
      <w:divBdr>
        <w:top w:val="none" w:sz="0" w:space="0" w:color="auto"/>
        <w:left w:val="none" w:sz="0" w:space="0" w:color="auto"/>
        <w:bottom w:val="none" w:sz="0" w:space="0" w:color="auto"/>
        <w:right w:val="none" w:sz="0" w:space="0" w:color="auto"/>
      </w:divBdr>
    </w:div>
    <w:div w:id="1729839714">
      <w:bodyDiv w:val="1"/>
      <w:marLeft w:val="0"/>
      <w:marRight w:val="0"/>
      <w:marTop w:val="0"/>
      <w:marBottom w:val="0"/>
      <w:divBdr>
        <w:top w:val="none" w:sz="0" w:space="0" w:color="auto"/>
        <w:left w:val="none" w:sz="0" w:space="0" w:color="auto"/>
        <w:bottom w:val="none" w:sz="0" w:space="0" w:color="auto"/>
        <w:right w:val="none" w:sz="0" w:space="0" w:color="auto"/>
      </w:divBdr>
    </w:div>
    <w:div w:id="1729911395">
      <w:bodyDiv w:val="1"/>
      <w:marLeft w:val="0"/>
      <w:marRight w:val="0"/>
      <w:marTop w:val="0"/>
      <w:marBottom w:val="0"/>
      <w:divBdr>
        <w:top w:val="none" w:sz="0" w:space="0" w:color="auto"/>
        <w:left w:val="none" w:sz="0" w:space="0" w:color="auto"/>
        <w:bottom w:val="none" w:sz="0" w:space="0" w:color="auto"/>
        <w:right w:val="none" w:sz="0" w:space="0" w:color="auto"/>
      </w:divBdr>
    </w:div>
    <w:div w:id="1730029513">
      <w:bodyDiv w:val="1"/>
      <w:marLeft w:val="0"/>
      <w:marRight w:val="0"/>
      <w:marTop w:val="0"/>
      <w:marBottom w:val="0"/>
      <w:divBdr>
        <w:top w:val="none" w:sz="0" w:space="0" w:color="auto"/>
        <w:left w:val="none" w:sz="0" w:space="0" w:color="auto"/>
        <w:bottom w:val="none" w:sz="0" w:space="0" w:color="auto"/>
        <w:right w:val="none" w:sz="0" w:space="0" w:color="auto"/>
      </w:divBdr>
    </w:div>
    <w:div w:id="1730305298">
      <w:bodyDiv w:val="1"/>
      <w:marLeft w:val="0"/>
      <w:marRight w:val="0"/>
      <w:marTop w:val="0"/>
      <w:marBottom w:val="0"/>
      <w:divBdr>
        <w:top w:val="none" w:sz="0" w:space="0" w:color="auto"/>
        <w:left w:val="none" w:sz="0" w:space="0" w:color="auto"/>
        <w:bottom w:val="none" w:sz="0" w:space="0" w:color="auto"/>
        <w:right w:val="none" w:sz="0" w:space="0" w:color="auto"/>
      </w:divBdr>
    </w:div>
    <w:div w:id="1730490766">
      <w:bodyDiv w:val="1"/>
      <w:marLeft w:val="0"/>
      <w:marRight w:val="0"/>
      <w:marTop w:val="0"/>
      <w:marBottom w:val="0"/>
      <w:divBdr>
        <w:top w:val="none" w:sz="0" w:space="0" w:color="auto"/>
        <w:left w:val="none" w:sz="0" w:space="0" w:color="auto"/>
        <w:bottom w:val="none" w:sz="0" w:space="0" w:color="auto"/>
        <w:right w:val="none" w:sz="0" w:space="0" w:color="auto"/>
      </w:divBdr>
    </w:div>
    <w:div w:id="1730491469">
      <w:bodyDiv w:val="1"/>
      <w:marLeft w:val="0"/>
      <w:marRight w:val="0"/>
      <w:marTop w:val="0"/>
      <w:marBottom w:val="0"/>
      <w:divBdr>
        <w:top w:val="none" w:sz="0" w:space="0" w:color="auto"/>
        <w:left w:val="none" w:sz="0" w:space="0" w:color="auto"/>
        <w:bottom w:val="none" w:sz="0" w:space="0" w:color="auto"/>
        <w:right w:val="none" w:sz="0" w:space="0" w:color="auto"/>
      </w:divBdr>
    </w:div>
    <w:div w:id="1730495370">
      <w:bodyDiv w:val="1"/>
      <w:marLeft w:val="0"/>
      <w:marRight w:val="0"/>
      <w:marTop w:val="0"/>
      <w:marBottom w:val="0"/>
      <w:divBdr>
        <w:top w:val="none" w:sz="0" w:space="0" w:color="auto"/>
        <w:left w:val="none" w:sz="0" w:space="0" w:color="auto"/>
        <w:bottom w:val="none" w:sz="0" w:space="0" w:color="auto"/>
        <w:right w:val="none" w:sz="0" w:space="0" w:color="auto"/>
      </w:divBdr>
    </w:div>
    <w:div w:id="1730496171">
      <w:bodyDiv w:val="1"/>
      <w:marLeft w:val="0"/>
      <w:marRight w:val="0"/>
      <w:marTop w:val="0"/>
      <w:marBottom w:val="0"/>
      <w:divBdr>
        <w:top w:val="none" w:sz="0" w:space="0" w:color="auto"/>
        <w:left w:val="none" w:sz="0" w:space="0" w:color="auto"/>
        <w:bottom w:val="none" w:sz="0" w:space="0" w:color="auto"/>
        <w:right w:val="none" w:sz="0" w:space="0" w:color="auto"/>
      </w:divBdr>
    </w:div>
    <w:div w:id="1730610101">
      <w:bodyDiv w:val="1"/>
      <w:marLeft w:val="0"/>
      <w:marRight w:val="0"/>
      <w:marTop w:val="0"/>
      <w:marBottom w:val="0"/>
      <w:divBdr>
        <w:top w:val="none" w:sz="0" w:space="0" w:color="auto"/>
        <w:left w:val="none" w:sz="0" w:space="0" w:color="auto"/>
        <w:bottom w:val="none" w:sz="0" w:space="0" w:color="auto"/>
        <w:right w:val="none" w:sz="0" w:space="0" w:color="auto"/>
      </w:divBdr>
    </w:div>
    <w:div w:id="1731152780">
      <w:bodyDiv w:val="1"/>
      <w:marLeft w:val="0"/>
      <w:marRight w:val="0"/>
      <w:marTop w:val="0"/>
      <w:marBottom w:val="0"/>
      <w:divBdr>
        <w:top w:val="none" w:sz="0" w:space="0" w:color="auto"/>
        <w:left w:val="none" w:sz="0" w:space="0" w:color="auto"/>
        <w:bottom w:val="none" w:sz="0" w:space="0" w:color="auto"/>
        <w:right w:val="none" w:sz="0" w:space="0" w:color="auto"/>
      </w:divBdr>
    </w:div>
    <w:div w:id="1731420502">
      <w:bodyDiv w:val="1"/>
      <w:marLeft w:val="0"/>
      <w:marRight w:val="0"/>
      <w:marTop w:val="0"/>
      <w:marBottom w:val="0"/>
      <w:divBdr>
        <w:top w:val="none" w:sz="0" w:space="0" w:color="auto"/>
        <w:left w:val="none" w:sz="0" w:space="0" w:color="auto"/>
        <w:bottom w:val="none" w:sz="0" w:space="0" w:color="auto"/>
        <w:right w:val="none" w:sz="0" w:space="0" w:color="auto"/>
      </w:divBdr>
    </w:div>
    <w:div w:id="1731609238">
      <w:bodyDiv w:val="1"/>
      <w:marLeft w:val="0"/>
      <w:marRight w:val="0"/>
      <w:marTop w:val="0"/>
      <w:marBottom w:val="0"/>
      <w:divBdr>
        <w:top w:val="none" w:sz="0" w:space="0" w:color="auto"/>
        <w:left w:val="none" w:sz="0" w:space="0" w:color="auto"/>
        <w:bottom w:val="none" w:sz="0" w:space="0" w:color="auto"/>
        <w:right w:val="none" w:sz="0" w:space="0" w:color="auto"/>
      </w:divBdr>
    </w:div>
    <w:div w:id="1731616285">
      <w:bodyDiv w:val="1"/>
      <w:marLeft w:val="0"/>
      <w:marRight w:val="0"/>
      <w:marTop w:val="0"/>
      <w:marBottom w:val="0"/>
      <w:divBdr>
        <w:top w:val="none" w:sz="0" w:space="0" w:color="auto"/>
        <w:left w:val="none" w:sz="0" w:space="0" w:color="auto"/>
        <w:bottom w:val="none" w:sz="0" w:space="0" w:color="auto"/>
        <w:right w:val="none" w:sz="0" w:space="0" w:color="auto"/>
      </w:divBdr>
    </w:div>
    <w:div w:id="1731925036">
      <w:bodyDiv w:val="1"/>
      <w:marLeft w:val="0"/>
      <w:marRight w:val="0"/>
      <w:marTop w:val="0"/>
      <w:marBottom w:val="0"/>
      <w:divBdr>
        <w:top w:val="none" w:sz="0" w:space="0" w:color="auto"/>
        <w:left w:val="none" w:sz="0" w:space="0" w:color="auto"/>
        <w:bottom w:val="none" w:sz="0" w:space="0" w:color="auto"/>
        <w:right w:val="none" w:sz="0" w:space="0" w:color="auto"/>
      </w:divBdr>
    </w:div>
    <w:div w:id="1731952129">
      <w:bodyDiv w:val="1"/>
      <w:marLeft w:val="0"/>
      <w:marRight w:val="0"/>
      <w:marTop w:val="0"/>
      <w:marBottom w:val="0"/>
      <w:divBdr>
        <w:top w:val="none" w:sz="0" w:space="0" w:color="auto"/>
        <w:left w:val="none" w:sz="0" w:space="0" w:color="auto"/>
        <w:bottom w:val="none" w:sz="0" w:space="0" w:color="auto"/>
        <w:right w:val="none" w:sz="0" w:space="0" w:color="auto"/>
      </w:divBdr>
    </w:div>
    <w:div w:id="1731997111">
      <w:bodyDiv w:val="1"/>
      <w:marLeft w:val="0"/>
      <w:marRight w:val="0"/>
      <w:marTop w:val="0"/>
      <w:marBottom w:val="0"/>
      <w:divBdr>
        <w:top w:val="none" w:sz="0" w:space="0" w:color="auto"/>
        <w:left w:val="none" w:sz="0" w:space="0" w:color="auto"/>
        <w:bottom w:val="none" w:sz="0" w:space="0" w:color="auto"/>
        <w:right w:val="none" w:sz="0" w:space="0" w:color="auto"/>
      </w:divBdr>
    </w:div>
    <w:div w:id="1731997334">
      <w:bodyDiv w:val="1"/>
      <w:marLeft w:val="0"/>
      <w:marRight w:val="0"/>
      <w:marTop w:val="0"/>
      <w:marBottom w:val="0"/>
      <w:divBdr>
        <w:top w:val="none" w:sz="0" w:space="0" w:color="auto"/>
        <w:left w:val="none" w:sz="0" w:space="0" w:color="auto"/>
        <w:bottom w:val="none" w:sz="0" w:space="0" w:color="auto"/>
        <w:right w:val="none" w:sz="0" w:space="0" w:color="auto"/>
      </w:divBdr>
    </w:div>
    <w:div w:id="1732078106">
      <w:bodyDiv w:val="1"/>
      <w:marLeft w:val="0"/>
      <w:marRight w:val="0"/>
      <w:marTop w:val="0"/>
      <w:marBottom w:val="0"/>
      <w:divBdr>
        <w:top w:val="none" w:sz="0" w:space="0" w:color="auto"/>
        <w:left w:val="none" w:sz="0" w:space="0" w:color="auto"/>
        <w:bottom w:val="none" w:sz="0" w:space="0" w:color="auto"/>
        <w:right w:val="none" w:sz="0" w:space="0" w:color="auto"/>
      </w:divBdr>
    </w:div>
    <w:div w:id="1732119570">
      <w:bodyDiv w:val="1"/>
      <w:marLeft w:val="0"/>
      <w:marRight w:val="0"/>
      <w:marTop w:val="0"/>
      <w:marBottom w:val="0"/>
      <w:divBdr>
        <w:top w:val="none" w:sz="0" w:space="0" w:color="auto"/>
        <w:left w:val="none" w:sz="0" w:space="0" w:color="auto"/>
        <w:bottom w:val="none" w:sz="0" w:space="0" w:color="auto"/>
        <w:right w:val="none" w:sz="0" w:space="0" w:color="auto"/>
      </w:divBdr>
    </w:div>
    <w:div w:id="1732464400">
      <w:bodyDiv w:val="1"/>
      <w:marLeft w:val="0"/>
      <w:marRight w:val="0"/>
      <w:marTop w:val="0"/>
      <w:marBottom w:val="0"/>
      <w:divBdr>
        <w:top w:val="none" w:sz="0" w:space="0" w:color="auto"/>
        <w:left w:val="none" w:sz="0" w:space="0" w:color="auto"/>
        <w:bottom w:val="none" w:sz="0" w:space="0" w:color="auto"/>
        <w:right w:val="none" w:sz="0" w:space="0" w:color="auto"/>
      </w:divBdr>
    </w:div>
    <w:div w:id="1732576402">
      <w:bodyDiv w:val="1"/>
      <w:marLeft w:val="0"/>
      <w:marRight w:val="0"/>
      <w:marTop w:val="0"/>
      <w:marBottom w:val="0"/>
      <w:divBdr>
        <w:top w:val="none" w:sz="0" w:space="0" w:color="auto"/>
        <w:left w:val="none" w:sz="0" w:space="0" w:color="auto"/>
        <w:bottom w:val="none" w:sz="0" w:space="0" w:color="auto"/>
        <w:right w:val="none" w:sz="0" w:space="0" w:color="auto"/>
      </w:divBdr>
    </w:div>
    <w:div w:id="1732775245">
      <w:bodyDiv w:val="1"/>
      <w:marLeft w:val="0"/>
      <w:marRight w:val="0"/>
      <w:marTop w:val="0"/>
      <w:marBottom w:val="0"/>
      <w:divBdr>
        <w:top w:val="none" w:sz="0" w:space="0" w:color="auto"/>
        <w:left w:val="none" w:sz="0" w:space="0" w:color="auto"/>
        <w:bottom w:val="none" w:sz="0" w:space="0" w:color="auto"/>
        <w:right w:val="none" w:sz="0" w:space="0" w:color="auto"/>
      </w:divBdr>
    </w:div>
    <w:div w:id="1732802036">
      <w:bodyDiv w:val="1"/>
      <w:marLeft w:val="0"/>
      <w:marRight w:val="0"/>
      <w:marTop w:val="0"/>
      <w:marBottom w:val="0"/>
      <w:divBdr>
        <w:top w:val="none" w:sz="0" w:space="0" w:color="auto"/>
        <w:left w:val="none" w:sz="0" w:space="0" w:color="auto"/>
        <w:bottom w:val="none" w:sz="0" w:space="0" w:color="auto"/>
        <w:right w:val="none" w:sz="0" w:space="0" w:color="auto"/>
      </w:divBdr>
    </w:div>
    <w:div w:id="1732802640">
      <w:bodyDiv w:val="1"/>
      <w:marLeft w:val="0"/>
      <w:marRight w:val="0"/>
      <w:marTop w:val="0"/>
      <w:marBottom w:val="0"/>
      <w:divBdr>
        <w:top w:val="none" w:sz="0" w:space="0" w:color="auto"/>
        <w:left w:val="none" w:sz="0" w:space="0" w:color="auto"/>
        <w:bottom w:val="none" w:sz="0" w:space="0" w:color="auto"/>
        <w:right w:val="none" w:sz="0" w:space="0" w:color="auto"/>
      </w:divBdr>
    </w:div>
    <w:div w:id="1733039459">
      <w:bodyDiv w:val="1"/>
      <w:marLeft w:val="0"/>
      <w:marRight w:val="0"/>
      <w:marTop w:val="0"/>
      <w:marBottom w:val="0"/>
      <w:divBdr>
        <w:top w:val="none" w:sz="0" w:space="0" w:color="auto"/>
        <w:left w:val="none" w:sz="0" w:space="0" w:color="auto"/>
        <w:bottom w:val="none" w:sz="0" w:space="0" w:color="auto"/>
        <w:right w:val="none" w:sz="0" w:space="0" w:color="auto"/>
      </w:divBdr>
    </w:div>
    <w:div w:id="1733113673">
      <w:bodyDiv w:val="1"/>
      <w:marLeft w:val="0"/>
      <w:marRight w:val="0"/>
      <w:marTop w:val="0"/>
      <w:marBottom w:val="0"/>
      <w:divBdr>
        <w:top w:val="none" w:sz="0" w:space="0" w:color="auto"/>
        <w:left w:val="none" w:sz="0" w:space="0" w:color="auto"/>
        <w:bottom w:val="none" w:sz="0" w:space="0" w:color="auto"/>
        <w:right w:val="none" w:sz="0" w:space="0" w:color="auto"/>
      </w:divBdr>
    </w:div>
    <w:div w:id="1733231423">
      <w:bodyDiv w:val="1"/>
      <w:marLeft w:val="0"/>
      <w:marRight w:val="0"/>
      <w:marTop w:val="0"/>
      <w:marBottom w:val="0"/>
      <w:divBdr>
        <w:top w:val="none" w:sz="0" w:space="0" w:color="auto"/>
        <w:left w:val="none" w:sz="0" w:space="0" w:color="auto"/>
        <w:bottom w:val="none" w:sz="0" w:space="0" w:color="auto"/>
        <w:right w:val="none" w:sz="0" w:space="0" w:color="auto"/>
      </w:divBdr>
    </w:div>
    <w:div w:id="1733309026">
      <w:bodyDiv w:val="1"/>
      <w:marLeft w:val="0"/>
      <w:marRight w:val="0"/>
      <w:marTop w:val="0"/>
      <w:marBottom w:val="0"/>
      <w:divBdr>
        <w:top w:val="none" w:sz="0" w:space="0" w:color="auto"/>
        <w:left w:val="none" w:sz="0" w:space="0" w:color="auto"/>
        <w:bottom w:val="none" w:sz="0" w:space="0" w:color="auto"/>
        <w:right w:val="none" w:sz="0" w:space="0" w:color="auto"/>
      </w:divBdr>
    </w:div>
    <w:div w:id="1733383700">
      <w:bodyDiv w:val="1"/>
      <w:marLeft w:val="0"/>
      <w:marRight w:val="0"/>
      <w:marTop w:val="0"/>
      <w:marBottom w:val="0"/>
      <w:divBdr>
        <w:top w:val="none" w:sz="0" w:space="0" w:color="auto"/>
        <w:left w:val="none" w:sz="0" w:space="0" w:color="auto"/>
        <w:bottom w:val="none" w:sz="0" w:space="0" w:color="auto"/>
        <w:right w:val="none" w:sz="0" w:space="0" w:color="auto"/>
      </w:divBdr>
    </w:div>
    <w:div w:id="1733384786">
      <w:bodyDiv w:val="1"/>
      <w:marLeft w:val="0"/>
      <w:marRight w:val="0"/>
      <w:marTop w:val="0"/>
      <w:marBottom w:val="0"/>
      <w:divBdr>
        <w:top w:val="none" w:sz="0" w:space="0" w:color="auto"/>
        <w:left w:val="none" w:sz="0" w:space="0" w:color="auto"/>
        <w:bottom w:val="none" w:sz="0" w:space="0" w:color="auto"/>
        <w:right w:val="none" w:sz="0" w:space="0" w:color="auto"/>
      </w:divBdr>
    </w:div>
    <w:div w:id="1733385322">
      <w:bodyDiv w:val="1"/>
      <w:marLeft w:val="0"/>
      <w:marRight w:val="0"/>
      <w:marTop w:val="0"/>
      <w:marBottom w:val="0"/>
      <w:divBdr>
        <w:top w:val="none" w:sz="0" w:space="0" w:color="auto"/>
        <w:left w:val="none" w:sz="0" w:space="0" w:color="auto"/>
        <w:bottom w:val="none" w:sz="0" w:space="0" w:color="auto"/>
        <w:right w:val="none" w:sz="0" w:space="0" w:color="auto"/>
      </w:divBdr>
    </w:div>
    <w:div w:id="1733386945">
      <w:bodyDiv w:val="1"/>
      <w:marLeft w:val="0"/>
      <w:marRight w:val="0"/>
      <w:marTop w:val="0"/>
      <w:marBottom w:val="0"/>
      <w:divBdr>
        <w:top w:val="none" w:sz="0" w:space="0" w:color="auto"/>
        <w:left w:val="none" w:sz="0" w:space="0" w:color="auto"/>
        <w:bottom w:val="none" w:sz="0" w:space="0" w:color="auto"/>
        <w:right w:val="none" w:sz="0" w:space="0" w:color="auto"/>
      </w:divBdr>
    </w:div>
    <w:div w:id="1733387579">
      <w:bodyDiv w:val="1"/>
      <w:marLeft w:val="0"/>
      <w:marRight w:val="0"/>
      <w:marTop w:val="0"/>
      <w:marBottom w:val="0"/>
      <w:divBdr>
        <w:top w:val="none" w:sz="0" w:space="0" w:color="auto"/>
        <w:left w:val="none" w:sz="0" w:space="0" w:color="auto"/>
        <w:bottom w:val="none" w:sz="0" w:space="0" w:color="auto"/>
        <w:right w:val="none" w:sz="0" w:space="0" w:color="auto"/>
      </w:divBdr>
    </w:div>
    <w:div w:id="1733389106">
      <w:bodyDiv w:val="1"/>
      <w:marLeft w:val="0"/>
      <w:marRight w:val="0"/>
      <w:marTop w:val="0"/>
      <w:marBottom w:val="0"/>
      <w:divBdr>
        <w:top w:val="none" w:sz="0" w:space="0" w:color="auto"/>
        <w:left w:val="none" w:sz="0" w:space="0" w:color="auto"/>
        <w:bottom w:val="none" w:sz="0" w:space="0" w:color="auto"/>
        <w:right w:val="none" w:sz="0" w:space="0" w:color="auto"/>
      </w:divBdr>
    </w:div>
    <w:div w:id="1733459376">
      <w:bodyDiv w:val="1"/>
      <w:marLeft w:val="0"/>
      <w:marRight w:val="0"/>
      <w:marTop w:val="0"/>
      <w:marBottom w:val="0"/>
      <w:divBdr>
        <w:top w:val="none" w:sz="0" w:space="0" w:color="auto"/>
        <w:left w:val="none" w:sz="0" w:space="0" w:color="auto"/>
        <w:bottom w:val="none" w:sz="0" w:space="0" w:color="auto"/>
        <w:right w:val="none" w:sz="0" w:space="0" w:color="auto"/>
      </w:divBdr>
    </w:div>
    <w:div w:id="1733698022">
      <w:bodyDiv w:val="1"/>
      <w:marLeft w:val="0"/>
      <w:marRight w:val="0"/>
      <w:marTop w:val="0"/>
      <w:marBottom w:val="0"/>
      <w:divBdr>
        <w:top w:val="none" w:sz="0" w:space="0" w:color="auto"/>
        <w:left w:val="none" w:sz="0" w:space="0" w:color="auto"/>
        <w:bottom w:val="none" w:sz="0" w:space="0" w:color="auto"/>
        <w:right w:val="none" w:sz="0" w:space="0" w:color="auto"/>
      </w:divBdr>
    </w:div>
    <w:div w:id="1733965669">
      <w:bodyDiv w:val="1"/>
      <w:marLeft w:val="0"/>
      <w:marRight w:val="0"/>
      <w:marTop w:val="0"/>
      <w:marBottom w:val="0"/>
      <w:divBdr>
        <w:top w:val="none" w:sz="0" w:space="0" w:color="auto"/>
        <w:left w:val="none" w:sz="0" w:space="0" w:color="auto"/>
        <w:bottom w:val="none" w:sz="0" w:space="0" w:color="auto"/>
        <w:right w:val="none" w:sz="0" w:space="0" w:color="auto"/>
      </w:divBdr>
    </w:div>
    <w:div w:id="1733968957">
      <w:bodyDiv w:val="1"/>
      <w:marLeft w:val="0"/>
      <w:marRight w:val="0"/>
      <w:marTop w:val="0"/>
      <w:marBottom w:val="0"/>
      <w:divBdr>
        <w:top w:val="none" w:sz="0" w:space="0" w:color="auto"/>
        <w:left w:val="none" w:sz="0" w:space="0" w:color="auto"/>
        <w:bottom w:val="none" w:sz="0" w:space="0" w:color="auto"/>
        <w:right w:val="none" w:sz="0" w:space="0" w:color="auto"/>
      </w:divBdr>
    </w:div>
    <w:div w:id="1734037650">
      <w:bodyDiv w:val="1"/>
      <w:marLeft w:val="0"/>
      <w:marRight w:val="0"/>
      <w:marTop w:val="0"/>
      <w:marBottom w:val="0"/>
      <w:divBdr>
        <w:top w:val="none" w:sz="0" w:space="0" w:color="auto"/>
        <w:left w:val="none" w:sz="0" w:space="0" w:color="auto"/>
        <w:bottom w:val="none" w:sz="0" w:space="0" w:color="auto"/>
        <w:right w:val="none" w:sz="0" w:space="0" w:color="auto"/>
      </w:divBdr>
    </w:div>
    <w:div w:id="1734038522">
      <w:bodyDiv w:val="1"/>
      <w:marLeft w:val="0"/>
      <w:marRight w:val="0"/>
      <w:marTop w:val="0"/>
      <w:marBottom w:val="0"/>
      <w:divBdr>
        <w:top w:val="none" w:sz="0" w:space="0" w:color="auto"/>
        <w:left w:val="none" w:sz="0" w:space="0" w:color="auto"/>
        <w:bottom w:val="none" w:sz="0" w:space="0" w:color="auto"/>
        <w:right w:val="none" w:sz="0" w:space="0" w:color="auto"/>
      </w:divBdr>
    </w:div>
    <w:div w:id="1734086246">
      <w:bodyDiv w:val="1"/>
      <w:marLeft w:val="0"/>
      <w:marRight w:val="0"/>
      <w:marTop w:val="0"/>
      <w:marBottom w:val="0"/>
      <w:divBdr>
        <w:top w:val="none" w:sz="0" w:space="0" w:color="auto"/>
        <w:left w:val="none" w:sz="0" w:space="0" w:color="auto"/>
        <w:bottom w:val="none" w:sz="0" w:space="0" w:color="auto"/>
        <w:right w:val="none" w:sz="0" w:space="0" w:color="auto"/>
      </w:divBdr>
    </w:div>
    <w:div w:id="1734114407">
      <w:bodyDiv w:val="1"/>
      <w:marLeft w:val="0"/>
      <w:marRight w:val="0"/>
      <w:marTop w:val="0"/>
      <w:marBottom w:val="0"/>
      <w:divBdr>
        <w:top w:val="none" w:sz="0" w:space="0" w:color="auto"/>
        <w:left w:val="none" w:sz="0" w:space="0" w:color="auto"/>
        <w:bottom w:val="none" w:sz="0" w:space="0" w:color="auto"/>
        <w:right w:val="none" w:sz="0" w:space="0" w:color="auto"/>
      </w:divBdr>
    </w:div>
    <w:div w:id="1734159465">
      <w:bodyDiv w:val="1"/>
      <w:marLeft w:val="0"/>
      <w:marRight w:val="0"/>
      <w:marTop w:val="0"/>
      <w:marBottom w:val="0"/>
      <w:divBdr>
        <w:top w:val="none" w:sz="0" w:space="0" w:color="auto"/>
        <w:left w:val="none" w:sz="0" w:space="0" w:color="auto"/>
        <w:bottom w:val="none" w:sz="0" w:space="0" w:color="auto"/>
        <w:right w:val="none" w:sz="0" w:space="0" w:color="auto"/>
      </w:divBdr>
    </w:div>
    <w:div w:id="1734234651">
      <w:bodyDiv w:val="1"/>
      <w:marLeft w:val="0"/>
      <w:marRight w:val="0"/>
      <w:marTop w:val="0"/>
      <w:marBottom w:val="0"/>
      <w:divBdr>
        <w:top w:val="none" w:sz="0" w:space="0" w:color="auto"/>
        <w:left w:val="none" w:sz="0" w:space="0" w:color="auto"/>
        <w:bottom w:val="none" w:sz="0" w:space="0" w:color="auto"/>
        <w:right w:val="none" w:sz="0" w:space="0" w:color="auto"/>
      </w:divBdr>
    </w:div>
    <w:div w:id="1734304279">
      <w:bodyDiv w:val="1"/>
      <w:marLeft w:val="0"/>
      <w:marRight w:val="0"/>
      <w:marTop w:val="0"/>
      <w:marBottom w:val="0"/>
      <w:divBdr>
        <w:top w:val="none" w:sz="0" w:space="0" w:color="auto"/>
        <w:left w:val="none" w:sz="0" w:space="0" w:color="auto"/>
        <w:bottom w:val="none" w:sz="0" w:space="0" w:color="auto"/>
        <w:right w:val="none" w:sz="0" w:space="0" w:color="auto"/>
      </w:divBdr>
    </w:div>
    <w:div w:id="1734352530">
      <w:bodyDiv w:val="1"/>
      <w:marLeft w:val="0"/>
      <w:marRight w:val="0"/>
      <w:marTop w:val="0"/>
      <w:marBottom w:val="0"/>
      <w:divBdr>
        <w:top w:val="none" w:sz="0" w:space="0" w:color="auto"/>
        <w:left w:val="none" w:sz="0" w:space="0" w:color="auto"/>
        <w:bottom w:val="none" w:sz="0" w:space="0" w:color="auto"/>
        <w:right w:val="none" w:sz="0" w:space="0" w:color="auto"/>
      </w:divBdr>
    </w:div>
    <w:div w:id="1734544013">
      <w:bodyDiv w:val="1"/>
      <w:marLeft w:val="0"/>
      <w:marRight w:val="0"/>
      <w:marTop w:val="0"/>
      <w:marBottom w:val="0"/>
      <w:divBdr>
        <w:top w:val="none" w:sz="0" w:space="0" w:color="auto"/>
        <w:left w:val="none" w:sz="0" w:space="0" w:color="auto"/>
        <w:bottom w:val="none" w:sz="0" w:space="0" w:color="auto"/>
        <w:right w:val="none" w:sz="0" w:space="0" w:color="auto"/>
      </w:divBdr>
    </w:div>
    <w:div w:id="1734545874">
      <w:bodyDiv w:val="1"/>
      <w:marLeft w:val="0"/>
      <w:marRight w:val="0"/>
      <w:marTop w:val="0"/>
      <w:marBottom w:val="0"/>
      <w:divBdr>
        <w:top w:val="none" w:sz="0" w:space="0" w:color="auto"/>
        <w:left w:val="none" w:sz="0" w:space="0" w:color="auto"/>
        <w:bottom w:val="none" w:sz="0" w:space="0" w:color="auto"/>
        <w:right w:val="none" w:sz="0" w:space="0" w:color="auto"/>
      </w:divBdr>
    </w:div>
    <w:div w:id="1734742791">
      <w:bodyDiv w:val="1"/>
      <w:marLeft w:val="0"/>
      <w:marRight w:val="0"/>
      <w:marTop w:val="0"/>
      <w:marBottom w:val="0"/>
      <w:divBdr>
        <w:top w:val="none" w:sz="0" w:space="0" w:color="auto"/>
        <w:left w:val="none" w:sz="0" w:space="0" w:color="auto"/>
        <w:bottom w:val="none" w:sz="0" w:space="0" w:color="auto"/>
        <w:right w:val="none" w:sz="0" w:space="0" w:color="auto"/>
      </w:divBdr>
    </w:div>
    <w:div w:id="1734813038">
      <w:bodyDiv w:val="1"/>
      <w:marLeft w:val="0"/>
      <w:marRight w:val="0"/>
      <w:marTop w:val="0"/>
      <w:marBottom w:val="0"/>
      <w:divBdr>
        <w:top w:val="none" w:sz="0" w:space="0" w:color="auto"/>
        <w:left w:val="none" w:sz="0" w:space="0" w:color="auto"/>
        <w:bottom w:val="none" w:sz="0" w:space="0" w:color="auto"/>
        <w:right w:val="none" w:sz="0" w:space="0" w:color="auto"/>
      </w:divBdr>
    </w:div>
    <w:div w:id="1734889050">
      <w:bodyDiv w:val="1"/>
      <w:marLeft w:val="0"/>
      <w:marRight w:val="0"/>
      <w:marTop w:val="0"/>
      <w:marBottom w:val="0"/>
      <w:divBdr>
        <w:top w:val="none" w:sz="0" w:space="0" w:color="auto"/>
        <w:left w:val="none" w:sz="0" w:space="0" w:color="auto"/>
        <w:bottom w:val="none" w:sz="0" w:space="0" w:color="auto"/>
        <w:right w:val="none" w:sz="0" w:space="0" w:color="auto"/>
      </w:divBdr>
    </w:div>
    <w:div w:id="1735155100">
      <w:bodyDiv w:val="1"/>
      <w:marLeft w:val="0"/>
      <w:marRight w:val="0"/>
      <w:marTop w:val="0"/>
      <w:marBottom w:val="0"/>
      <w:divBdr>
        <w:top w:val="none" w:sz="0" w:space="0" w:color="auto"/>
        <w:left w:val="none" w:sz="0" w:space="0" w:color="auto"/>
        <w:bottom w:val="none" w:sz="0" w:space="0" w:color="auto"/>
        <w:right w:val="none" w:sz="0" w:space="0" w:color="auto"/>
      </w:divBdr>
    </w:div>
    <w:div w:id="1735159250">
      <w:bodyDiv w:val="1"/>
      <w:marLeft w:val="0"/>
      <w:marRight w:val="0"/>
      <w:marTop w:val="0"/>
      <w:marBottom w:val="0"/>
      <w:divBdr>
        <w:top w:val="none" w:sz="0" w:space="0" w:color="auto"/>
        <w:left w:val="none" w:sz="0" w:space="0" w:color="auto"/>
        <w:bottom w:val="none" w:sz="0" w:space="0" w:color="auto"/>
        <w:right w:val="none" w:sz="0" w:space="0" w:color="auto"/>
      </w:divBdr>
    </w:div>
    <w:div w:id="1735393421">
      <w:bodyDiv w:val="1"/>
      <w:marLeft w:val="0"/>
      <w:marRight w:val="0"/>
      <w:marTop w:val="0"/>
      <w:marBottom w:val="0"/>
      <w:divBdr>
        <w:top w:val="none" w:sz="0" w:space="0" w:color="auto"/>
        <w:left w:val="none" w:sz="0" w:space="0" w:color="auto"/>
        <w:bottom w:val="none" w:sz="0" w:space="0" w:color="auto"/>
        <w:right w:val="none" w:sz="0" w:space="0" w:color="auto"/>
      </w:divBdr>
    </w:div>
    <w:div w:id="1735397654">
      <w:bodyDiv w:val="1"/>
      <w:marLeft w:val="0"/>
      <w:marRight w:val="0"/>
      <w:marTop w:val="0"/>
      <w:marBottom w:val="0"/>
      <w:divBdr>
        <w:top w:val="none" w:sz="0" w:space="0" w:color="auto"/>
        <w:left w:val="none" w:sz="0" w:space="0" w:color="auto"/>
        <w:bottom w:val="none" w:sz="0" w:space="0" w:color="auto"/>
        <w:right w:val="none" w:sz="0" w:space="0" w:color="auto"/>
      </w:divBdr>
    </w:div>
    <w:div w:id="1735931546">
      <w:bodyDiv w:val="1"/>
      <w:marLeft w:val="0"/>
      <w:marRight w:val="0"/>
      <w:marTop w:val="0"/>
      <w:marBottom w:val="0"/>
      <w:divBdr>
        <w:top w:val="none" w:sz="0" w:space="0" w:color="auto"/>
        <w:left w:val="none" w:sz="0" w:space="0" w:color="auto"/>
        <w:bottom w:val="none" w:sz="0" w:space="0" w:color="auto"/>
        <w:right w:val="none" w:sz="0" w:space="0" w:color="auto"/>
      </w:divBdr>
    </w:div>
    <w:div w:id="1736317766">
      <w:bodyDiv w:val="1"/>
      <w:marLeft w:val="0"/>
      <w:marRight w:val="0"/>
      <w:marTop w:val="0"/>
      <w:marBottom w:val="0"/>
      <w:divBdr>
        <w:top w:val="none" w:sz="0" w:space="0" w:color="auto"/>
        <w:left w:val="none" w:sz="0" w:space="0" w:color="auto"/>
        <w:bottom w:val="none" w:sz="0" w:space="0" w:color="auto"/>
        <w:right w:val="none" w:sz="0" w:space="0" w:color="auto"/>
      </w:divBdr>
    </w:div>
    <w:div w:id="1736510697">
      <w:bodyDiv w:val="1"/>
      <w:marLeft w:val="0"/>
      <w:marRight w:val="0"/>
      <w:marTop w:val="0"/>
      <w:marBottom w:val="0"/>
      <w:divBdr>
        <w:top w:val="none" w:sz="0" w:space="0" w:color="auto"/>
        <w:left w:val="none" w:sz="0" w:space="0" w:color="auto"/>
        <w:bottom w:val="none" w:sz="0" w:space="0" w:color="auto"/>
        <w:right w:val="none" w:sz="0" w:space="0" w:color="auto"/>
      </w:divBdr>
    </w:div>
    <w:div w:id="1736970460">
      <w:bodyDiv w:val="1"/>
      <w:marLeft w:val="0"/>
      <w:marRight w:val="0"/>
      <w:marTop w:val="0"/>
      <w:marBottom w:val="0"/>
      <w:divBdr>
        <w:top w:val="none" w:sz="0" w:space="0" w:color="auto"/>
        <w:left w:val="none" w:sz="0" w:space="0" w:color="auto"/>
        <w:bottom w:val="none" w:sz="0" w:space="0" w:color="auto"/>
        <w:right w:val="none" w:sz="0" w:space="0" w:color="auto"/>
      </w:divBdr>
    </w:div>
    <w:div w:id="1737126144">
      <w:bodyDiv w:val="1"/>
      <w:marLeft w:val="0"/>
      <w:marRight w:val="0"/>
      <w:marTop w:val="0"/>
      <w:marBottom w:val="0"/>
      <w:divBdr>
        <w:top w:val="none" w:sz="0" w:space="0" w:color="auto"/>
        <w:left w:val="none" w:sz="0" w:space="0" w:color="auto"/>
        <w:bottom w:val="none" w:sz="0" w:space="0" w:color="auto"/>
        <w:right w:val="none" w:sz="0" w:space="0" w:color="auto"/>
      </w:divBdr>
    </w:div>
    <w:div w:id="1737164735">
      <w:bodyDiv w:val="1"/>
      <w:marLeft w:val="0"/>
      <w:marRight w:val="0"/>
      <w:marTop w:val="0"/>
      <w:marBottom w:val="0"/>
      <w:divBdr>
        <w:top w:val="none" w:sz="0" w:space="0" w:color="auto"/>
        <w:left w:val="none" w:sz="0" w:space="0" w:color="auto"/>
        <w:bottom w:val="none" w:sz="0" w:space="0" w:color="auto"/>
        <w:right w:val="none" w:sz="0" w:space="0" w:color="auto"/>
      </w:divBdr>
    </w:div>
    <w:div w:id="1737238722">
      <w:bodyDiv w:val="1"/>
      <w:marLeft w:val="0"/>
      <w:marRight w:val="0"/>
      <w:marTop w:val="0"/>
      <w:marBottom w:val="0"/>
      <w:divBdr>
        <w:top w:val="none" w:sz="0" w:space="0" w:color="auto"/>
        <w:left w:val="none" w:sz="0" w:space="0" w:color="auto"/>
        <w:bottom w:val="none" w:sz="0" w:space="0" w:color="auto"/>
        <w:right w:val="none" w:sz="0" w:space="0" w:color="auto"/>
      </w:divBdr>
    </w:div>
    <w:div w:id="1737318430">
      <w:bodyDiv w:val="1"/>
      <w:marLeft w:val="0"/>
      <w:marRight w:val="0"/>
      <w:marTop w:val="0"/>
      <w:marBottom w:val="0"/>
      <w:divBdr>
        <w:top w:val="none" w:sz="0" w:space="0" w:color="auto"/>
        <w:left w:val="none" w:sz="0" w:space="0" w:color="auto"/>
        <w:bottom w:val="none" w:sz="0" w:space="0" w:color="auto"/>
        <w:right w:val="none" w:sz="0" w:space="0" w:color="auto"/>
      </w:divBdr>
    </w:div>
    <w:div w:id="1737438483">
      <w:bodyDiv w:val="1"/>
      <w:marLeft w:val="0"/>
      <w:marRight w:val="0"/>
      <w:marTop w:val="0"/>
      <w:marBottom w:val="0"/>
      <w:divBdr>
        <w:top w:val="none" w:sz="0" w:space="0" w:color="auto"/>
        <w:left w:val="none" w:sz="0" w:space="0" w:color="auto"/>
        <w:bottom w:val="none" w:sz="0" w:space="0" w:color="auto"/>
        <w:right w:val="none" w:sz="0" w:space="0" w:color="auto"/>
      </w:divBdr>
    </w:div>
    <w:div w:id="1738235816">
      <w:bodyDiv w:val="1"/>
      <w:marLeft w:val="0"/>
      <w:marRight w:val="0"/>
      <w:marTop w:val="0"/>
      <w:marBottom w:val="0"/>
      <w:divBdr>
        <w:top w:val="none" w:sz="0" w:space="0" w:color="auto"/>
        <w:left w:val="none" w:sz="0" w:space="0" w:color="auto"/>
        <w:bottom w:val="none" w:sz="0" w:space="0" w:color="auto"/>
        <w:right w:val="none" w:sz="0" w:space="0" w:color="auto"/>
      </w:divBdr>
    </w:div>
    <w:div w:id="1738281914">
      <w:bodyDiv w:val="1"/>
      <w:marLeft w:val="0"/>
      <w:marRight w:val="0"/>
      <w:marTop w:val="0"/>
      <w:marBottom w:val="0"/>
      <w:divBdr>
        <w:top w:val="none" w:sz="0" w:space="0" w:color="auto"/>
        <w:left w:val="none" w:sz="0" w:space="0" w:color="auto"/>
        <w:bottom w:val="none" w:sz="0" w:space="0" w:color="auto"/>
        <w:right w:val="none" w:sz="0" w:space="0" w:color="auto"/>
      </w:divBdr>
    </w:div>
    <w:div w:id="1738357330">
      <w:bodyDiv w:val="1"/>
      <w:marLeft w:val="0"/>
      <w:marRight w:val="0"/>
      <w:marTop w:val="0"/>
      <w:marBottom w:val="0"/>
      <w:divBdr>
        <w:top w:val="none" w:sz="0" w:space="0" w:color="auto"/>
        <w:left w:val="none" w:sz="0" w:space="0" w:color="auto"/>
        <w:bottom w:val="none" w:sz="0" w:space="0" w:color="auto"/>
        <w:right w:val="none" w:sz="0" w:space="0" w:color="auto"/>
      </w:divBdr>
    </w:div>
    <w:div w:id="1738436083">
      <w:bodyDiv w:val="1"/>
      <w:marLeft w:val="0"/>
      <w:marRight w:val="0"/>
      <w:marTop w:val="0"/>
      <w:marBottom w:val="0"/>
      <w:divBdr>
        <w:top w:val="none" w:sz="0" w:space="0" w:color="auto"/>
        <w:left w:val="none" w:sz="0" w:space="0" w:color="auto"/>
        <w:bottom w:val="none" w:sz="0" w:space="0" w:color="auto"/>
        <w:right w:val="none" w:sz="0" w:space="0" w:color="auto"/>
      </w:divBdr>
    </w:div>
    <w:div w:id="1738550502">
      <w:bodyDiv w:val="1"/>
      <w:marLeft w:val="0"/>
      <w:marRight w:val="0"/>
      <w:marTop w:val="0"/>
      <w:marBottom w:val="0"/>
      <w:divBdr>
        <w:top w:val="none" w:sz="0" w:space="0" w:color="auto"/>
        <w:left w:val="none" w:sz="0" w:space="0" w:color="auto"/>
        <w:bottom w:val="none" w:sz="0" w:space="0" w:color="auto"/>
        <w:right w:val="none" w:sz="0" w:space="0" w:color="auto"/>
      </w:divBdr>
    </w:div>
    <w:div w:id="1738555619">
      <w:bodyDiv w:val="1"/>
      <w:marLeft w:val="0"/>
      <w:marRight w:val="0"/>
      <w:marTop w:val="0"/>
      <w:marBottom w:val="0"/>
      <w:divBdr>
        <w:top w:val="none" w:sz="0" w:space="0" w:color="auto"/>
        <w:left w:val="none" w:sz="0" w:space="0" w:color="auto"/>
        <w:bottom w:val="none" w:sz="0" w:space="0" w:color="auto"/>
        <w:right w:val="none" w:sz="0" w:space="0" w:color="auto"/>
      </w:divBdr>
    </w:div>
    <w:div w:id="1738623076">
      <w:bodyDiv w:val="1"/>
      <w:marLeft w:val="0"/>
      <w:marRight w:val="0"/>
      <w:marTop w:val="0"/>
      <w:marBottom w:val="0"/>
      <w:divBdr>
        <w:top w:val="none" w:sz="0" w:space="0" w:color="auto"/>
        <w:left w:val="none" w:sz="0" w:space="0" w:color="auto"/>
        <w:bottom w:val="none" w:sz="0" w:space="0" w:color="auto"/>
        <w:right w:val="none" w:sz="0" w:space="0" w:color="auto"/>
      </w:divBdr>
    </w:div>
    <w:div w:id="1738698934">
      <w:bodyDiv w:val="1"/>
      <w:marLeft w:val="0"/>
      <w:marRight w:val="0"/>
      <w:marTop w:val="0"/>
      <w:marBottom w:val="0"/>
      <w:divBdr>
        <w:top w:val="none" w:sz="0" w:space="0" w:color="auto"/>
        <w:left w:val="none" w:sz="0" w:space="0" w:color="auto"/>
        <w:bottom w:val="none" w:sz="0" w:space="0" w:color="auto"/>
        <w:right w:val="none" w:sz="0" w:space="0" w:color="auto"/>
      </w:divBdr>
    </w:div>
    <w:div w:id="1738699587">
      <w:bodyDiv w:val="1"/>
      <w:marLeft w:val="0"/>
      <w:marRight w:val="0"/>
      <w:marTop w:val="0"/>
      <w:marBottom w:val="0"/>
      <w:divBdr>
        <w:top w:val="none" w:sz="0" w:space="0" w:color="auto"/>
        <w:left w:val="none" w:sz="0" w:space="0" w:color="auto"/>
        <w:bottom w:val="none" w:sz="0" w:space="0" w:color="auto"/>
        <w:right w:val="none" w:sz="0" w:space="0" w:color="auto"/>
      </w:divBdr>
    </w:div>
    <w:div w:id="1738819887">
      <w:bodyDiv w:val="1"/>
      <w:marLeft w:val="0"/>
      <w:marRight w:val="0"/>
      <w:marTop w:val="0"/>
      <w:marBottom w:val="0"/>
      <w:divBdr>
        <w:top w:val="none" w:sz="0" w:space="0" w:color="auto"/>
        <w:left w:val="none" w:sz="0" w:space="0" w:color="auto"/>
        <w:bottom w:val="none" w:sz="0" w:space="0" w:color="auto"/>
        <w:right w:val="none" w:sz="0" w:space="0" w:color="auto"/>
      </w:divBdr>
    </w:div>
    <w:div w:id="1738894936">
      <w:bodyDiv w:val="1"/>
      <w:marLeft w:val="0"/>
      <w:marRight w:val="0"/>
      <w:marTop w:val="0"/>
      <w:marBottom w:val="0"/>
      <w:divBdr>
        <w:top w:val="none" w:sz="0" w:space="0" w:color="auto"/>
        <w:left w:val="none" w:sz="0" w:space="0" w:color="auto"/>
        <w:bottom w:val="none" w:sz="0" w:space="0" w:color="auto"/>
        <w:right w:val="none" w:sz="0" w:space="0" w:color="auto"/>
      </w:divBdr>
    </w:div>
    <w:div w:id="1738941938">
      <w:bodyDiv w:val="1"/>
      <w:marLeft w:val="0"/>
      <w:marRight w:val="0"/>
      <w:marTop w:val="0"/>
      <w:marBottom w:val="0"/>
      <w:divBdr>
        <w:top w:val="none" w:sz="0" w:space="0" w:color="auto"/>
        <w:left w:val="none" w:sz="0" w:space="0" w:color="auto"/>
        <w:bottom w:val="none" w:sz="0" w:space="0" w:color="auto"/>
        <w:right w:val="none" w:sz="0" w:space="0" w:color="auto"/>
      </w:divBdr>
    </w:div>
    <w:div w:id="1739093950">
      <w:bodyDiv w:val="1"/>
      <w:marLeft w:val="0"/>
      <w:marRight w:val="0"/>
      <w:marTop w:val="0"/>
      <w:marBottom w:val="0"/>
      <w:divBdr>
        <w:top w:val="none" w:sz="0" w:space="0" w:color="auto"/>
        <w:left w:val="none" w:sz="0" w:space="0" w:color="auto"/>
        <w:bottom w:val="none" w:sz="0" w:space="0" w:color="auto"/>
        <w:right w:val="none" w:sz="0" w:space="0" w:color="auto"/>
      </w:divBdr>
    </w:div>
    <w:div w:id="1739405315">
      <w:bodyDiv w:val="1"/>
      <w:marLeft w:val="0"/>
      <w:marRight w:val="0"/>
      <w:marTop w:val="0"/>
      <w:marBottom w:val="0"/>
      <w:divBdr>
        <w:top w:val="none" w:sz="0" w:space="0" w:color="auto"/>
        <w:left w:val="none" w:sz="0" w:space="0" w:color="auto"/>
        <w:bottom w:val="none" w:sz="0" w:space="0" w:color="auto"/>
        <w:right w:val="none" w:sz="0" w:space="0" w:color="auto"/>
      </w:divBdr>
    </w:div>
    <w:div w:id="1739472461">
      <w:bodyDiv w:val="1"/>
      <w:marLeft w:val="0"/>
      <w:marRight w:val="0"/>
      <w:marTop w:val="0"/>
      <w:marBottom w:val="0"/>
      <w:divBdr>
        <w:top w:val="none" w:sz="0" w:space="0" w:color="auto"/>
        <w:left w:val="none" w:sz="0" w:space="0" w:color="auto"/>
        <w:bottom w:val="none" w:sz="0" w:space="0" w:color="auto"/>
        <w:right w:val="none" w:sz="0" w:space="0" w:color="auto"/>
      </w:divBdr>
    </w:div>
    <w:div w:id="1739743891">
      <w:bodyDiv w:val="1"/>
      <w:marLeft w:val="0"/>
      <w:marRight w:val="0"/>
      <w:marTop w:val="0"/>
      <w:marBottom w:val="0"/>
      <w:divBdr>
        <w:top w:val="none" w:sz="0" w:space="0" w:color="auto"/>
        <w:left w:val="none" w:sz="0" w:space="0" w:color="auto"/>
        <w:bottom w:val="none" w:sz="0" w:space="0" w:color="auto"/>
        <w:right w:val="none" w:sz="0" w:space="0" w:color="auto"/>
      </w:divBdr>
    </w:div>
    <w:div w:id="1739785725">
      <w:bodyDiv w:val="1"/>
      <w:marLeft w:val="0"/>
      <w:marRight w:val="0"/>
      <w:marTop w:val="0"/>
      <w:marBottom w:val="0"/>
      <w:divBdr>
        <w:top w:val="none" w:sz="0" w:space="0" w:color="auto"/>
        <w:left w:val="none" w:sz="0" w:space="0" w:color="auto"/>
        <w:bottom w:val="none" w:sz="0" w:space="0" w:color="auto"/>
        <w:right w:val="none" w:sz="0" w:space="0" w:color="auto"/>
      </w:divBdr>
    </w:div>
    <w:div w:id="1739791092">
      <w:bodyDiv w:val="1"/>
      <w:marLeft w:val="0"/>
      <w:marRight w:val="0"/>
      <w:marTop w:val="0"/>
      <w:marBottom w:val="0"/>
      <w:divBdr>
        <w:top w:val="none" w:sz="0" w:space="0" w:color="auto"/>
        <w:left w:val="none" w:sz="0" w:space="0" w:color="auto"/>
        <w:bottom w:val="none" w:sz="0" w:space="0" w:color="auto"/>
        <w:right w:val="none" w:sz="0" w:space="0" w:color="auto"/>
      </w:divBdr>
    </w:div>
    <w:div w:id="1739861511">
      <w:bodyDiv w:val="1"/>
      <w:marLeft w:val="0"/>
      <w:marRight w:val="0"/>
      <w:marTop w:val="0"/>
      <w:marBottom w:val="0"/>
      <w:divBdr>
        <w:top w:val="none" w:sz="0" w:space="0" w:color="auto"/>
        <w:left w:val="none" w:sz="0" w:space="0" w:color="auto"/>
        <w:bottom w:val="none" w:sz="0" w:space="0" w:color="auto"/>
        <w:right w:val="none" w:sz="0" w:space="0" w:color="auto"/>
      </w:divBdr>
    </w:div>
    <w:div w:id="1739983936">
      <w:bodyDiv w:val="1"/>
      <w:marLeft w:val="0"/>
      <w:marRight w:val="0"/>
      <w:marTop w:val="0"/>
      <w:marBottom w:val="0"/>
      <w:divBdr>
        <w:top w:val="none" w:sz="0" w:space="0" w:color="auto"/>
        <w:left w:val="none" w:sz="0" w:space="0" w:color="auto"/>
        <w:bottom w:val="none" w:sz="0" w:space="0" w:color="auto"/>
        <w:right w:val="none" w:sz="0" w:space="0" w:color="auto"/>
      </w:divBdr>
    </w:div>
    <w:div w:id="1740058497">
      <w:bodyDiv w:val="1"/>
      <w:marLeft w:val="0"/>
      <w:marRight w:val="0"/>
      <w:marTop w:val="0"/>
      <w:marBottom w:val="0"/>
      <w:divBdr>
        <w:top w:val="none" w:sz="0" w:space="0" w:color="auto"/>
        <w:left w:val="none" w:sz="0" w:space="0" w:color="auto"/>
        <w:bottom w:val="none" w:sz="0" w:space="0" w:color="auto"/>
        <w:right w:val="none" w:sz="0" w:space="0" w:color="auto"/>
      </w:divBdr>
    </w:div>
    <w:div w:id="1740059312">
      <w:bodyDiv w:val="1"/>
      <w:marLeft w:val="0"/>
      <w:marRight w:val="0"/>
      <w:marTop w:val="0"/>
      <w:marBottom w:val="0"/>
      <w:divBdr>
        <w:top w:val="none" w:sz="0" w:space="0" w:color="auto"/>
        <w:left w:val="none" w:sz="0" w:space="0" w:color="auto"/>
        <w:bottom w:val="none" w:sz="0" w:space="0" w:color="auto"/>
        <w:right w:val="none" w:sz="0" w:space="0" w:color="auto"/>
      </w:divBdr>
    </w:div>
    <w:div w:id="1740131687">
      <w:bodyDiv w:val="1"/>
      <w:marLeft w:val="0"/>
      <w:marRight w:val="0"/>
      <w:marTop w:val="0"/>
      <w:marBottom w:val="0"/>
      <w:divBdr>
        <w:top w:val="none" w:sz="0" w:space="0" w:color="auto"/>
        <w:left w:val="none" w:sz="0" w:space="0" w:color="auto"/>
        <w:bottom w:val="none" w:sz="0" w:space="0" w:color="auto"/>
        <w:right w:val="none" w:sz="0" w:space="0" w:color="auto"/>
      </w:divBdr>
    </w:div>
    <w:div w:id="1740250914">
      <w:bodyDiv w:val="1"/>
      <w:marLeft w:val="0"/>
      <w:marRight w:val="0"/>
      <w:marTop w:val="0"/>
      <w:marBottom w:val="0"/>
      <w:divBdr>
        <w:top w:val="none" w:sz="0" w:space="0" w:color="auto"/>
        <w:left w:val="none" w:sz="0" w:space="0" w:color="auto"/>
        <w:bottom w:val="none" w:sz="0" w:space="0" w:color="auto"/>
        <w:right w:val="none" w:sz="0" w:space="0" w:color="auto"/>
      </w:divBdr>
    </w:div>
    <w:div w:id="1740328880">
      <w:bodyDiv w:val="1"/>
      <w:marLeft w:val="0"/>
      <w:marRight w:val="0"/>
      <w:marTop w:val="0"/>
      <w:marBottom w:val="0"/>
      <w:divBdr>
        <w:top w:val="none" w:sz="0" w:space="0" w:color="auto"/>
        <w:left w:val="none" w:sz="0" w:space="0" w:color="auto"/>
        <w:bottom w:val="none" w:sz="0" w:space="0" w:color="auto"/>
        <w:right w:val="none" w:sz="0" w:space="0" w:color="auto"/>
      </w:divBdr>
    </w:div>
    <w:div w:id="1740439890">
      <w:bodyDiv w:val="1"/>
      <w:marLeft w:val="0"/>
      <w:marRight w:val="0"/>
      <w:marTop w:val="0"/>
      <w:marBottom w:val="0"/>
      <w:divBdr>
        <w:top w:val="none" w:sz="0" w:space="0" w:color="auto"/>
        <w:left w:val="none" w:sz="0" w:space="0" w:color="auto"/>
        <w:bottom w:val="none" w:sz="0" w:space="0" w:color="auto"/>
        <w:right w:val="none" w:sz="0" w:space="0" w:color="auto"/>
      </w:divBdr>
    </w:div>
    <w:div w:id="1740514036">
      <w:bodyDiv w:val="1"/>
      <w:marLeft w:val="0"/>
      <w:marRight w:val="0"/>
      <w:marTop w:val="0"/>
      <w:marBottom w:val="0"/>
      <w:divBdr>
        <w:top w:val="none" w:sz="0" w:space="0" w:color="auto"/>
        <w:left w:val="none" w:sz="0" w:space="0" w:color="auto"/>
        <w:bottom w:val="none" w:sz="0" w:space="0" w:color="auto"/>
        <w:right w:val="none" w:sz="0" w:space="0" w:color="auto"/>
      </w:divBdr>
    </w:div>
    <w:div w:id="1740786267">
      <w:bodyDiv w:val="1"/>
      <w:marLeft w:val="0"/>
      <w:marRight w:val="0"/>
      <w:marTop w:val="0"/>
      <w:marBottom w:val="0"/>
      <w:divBdr>
        <w:top w:val="none" w:sz="0" w:space="0" w:color="auto"/>
        <w:left w:val="none" w:sz="0" w:space="0" w:color="auto"/>
        <w:bottom w:val="none" w:sz="0" w:space="0" w:color="auto"/>
        <w:right w:val="none" w:sz="0" w:space="0" w:color="auto"/>
      </w:divBdr>
    </w:div>
    <w:div w:id="1740859070">
      <w:bodyDiv w:val="1"/>
      <w:marLeft w:val="0"/>
      <w:marRight w:val="0"/>
      <w:marTop w:val="0"/>
      <w:marBottom w:val="0"/>
      <w:divBdr>
        <w:top w:val="none" w:sz="0" w:space="0" w:color="auto"/>
        <w:left w:val="none" w:sz="0" w:space="0" w:color="auto"/>
        <w:bottom w:val="none" w:sz="0" w:space="0" w:color="auto"/>
        <w:right w:val="none" w:sz="0" w:space="0" w:color="auto"/>
      </w:divBdr>
    </w:div>
    <w:div w:id="1740860271">
      <w:bodyDiv w:val="1"/>
      <w:marLeft w:val="0"/>
      <w:marRight w:val="0"/>
      <w:marTop w:val="0"/>
      <w:marBottom w:val="0"/>
      <w:divBdr>
        <w:top w:val="none" w:sz="0" w:space="0" w:color="auto"/>
        <w:left w:val="none" w:sz="0" w:space="0" w:color="auto"/>
        <w:bottom w:val="none" w:sz="0" w:space="0" w:color="auto"/>
        <w:right w:val="none" w:sz="0" w:space="0" w:color="auto"/>
      </w:divBdr>
    </w:div>
    <w:div w:id="1740903839">
      <w:bodyDiv w:val="1"/>
      <w:marLeft w:val="0"/>
      <w:marRight w:val="0"/>
      <w:marTop w:val="0"/>
      <w:marBottom w:val="0"/>
      <w:divBdr>
        <w:top w:val="none" w:sz="0" w:space="0" w:color="auto"/>
        <w:left w:val="none" w:sz="0" w:space="0" w:color="auto"/>
        <w:bottom w:val="none" w:sz="0" w:space="0" w:color="auto"/>
        <w:right w:val="none" w:sz="0" w:space="0" w:color="auto"/>
      </w:divBdr>
    </w:div>
    <w:div w:id="1741055676">
      <w:bodyDiv w:val="1"/>
      <w:marLeft w:val="0"/>
      <w:marRight w:val="0"/>
      <w:marTop w:val="0"/>
      <w:marBottom w:val="0"/>
      <w:divBdr>
        <w:top w:val="none" w:sz="0" w:space="0" w:color="auto"/>
        <w:left w:val="none" w:sz="0" w:space="0" w:color="auto"/>
        <w:bottom w:val="none" w:sz="0" w:space="0" w:color="auto"/>
        <w:right w:val="none" w:sz="0" w:space="0" w:color="auto"/>
      </w:divBdr>
    </w:div>
    <w:div w:id="1741056236">
      <w:bodyDiv w:val="1"/>
      <w:marLeft w:val="0"/>
      <w:marRight w:val="0"/>
      <w:marTop w:val="0"/>
      <w:marBottom w:val="0"/>
      <w:divBdr>
        <w:top w:val="none" w:sz="0" w:space="0" w:color="auto"/>
        <w:left w:val="none" w:sz="0" w:space="0" w:color="auto"/>
        <w:bottom w:val="none" w:sz="0" w:space="0" w:color="auto"/>
        <w:right w:val="none" w:sz="0" w:space="0" w:color="auto"/>
      </w:divBdr>
    </w:div>
    <w:div w:id="1741169697">
      <w:bodyDiv w:val="1"/>
      <w:marLeft w:val="0"/>
      <w:marRight w:val="0"/>
      <w:marTop w:val="0"/>
      <w:marBottom w:val="0"/>
      <w:divBdr>
        <w:top w:val="none" w:sz="0" w:space="0" w:color="auto"/>
        <w:left w:val="none" w:sz="0" w:space="0" w:color="auto"/>
        <w:bottom w:val="none" w:sz="0" w:space="0" w:color="auto"/>
        <w:right w:val="none" w:sz="0" w:space="0" w:color="auto"/>
      </w:divBdr>
    </w:div>
    <w:div w:id="1741176339">
      <w:bodyDiv w:val="1"/>
      <w:marLeft w:val="0"/>
      <w:marRight w:val="0"/>
      <w:marTop w:val="0"/>
      <w:marBottom w:val="0"/>
      <w:divBdr>
        <w:top w:val="none" w:sz="0" w:space="0" w:color="auto"/>
        <w:left w:val="none" w:sz="0" w:space="0" w:color="auto"/>
        <w:bottom w:val="none" w:sz="0" w:space="0" w:color="auto"/>
        <w:right w:val="none" w:sz="0" w:space="0" w:color="auto"/>
      </w:divBdr>
    </w:div>
    <w:div w:id="1741516193">
      <w:bodyDiv w:val="1"/>
      <w:marLeft w:val="0"/>
      <w:marRight w:val="0"/>
      <w:marTop w:val="0"/>
      <w:marBottom w:val="0"/>
      <w:divBdr>
        <w:top w:val="none" w:sz="0" w:space="0" w:color="auto"/>
        <w:left w:val="none" w:sz="0" w:space="0" w:color="auto"/>
        <w:bottom w:val="none" w:sz="0" w:space="0" w:color="auto"/>
        <w:right w:val="none" w:sz="0" w:space="0" w:color="auto"/>
      </w:divBdr>
    </w:div>
    <w:div w:id="1741560584">
      <w:bodyDiv w:val="1"/>
      <w:marLeft w:val="0"/>
      <w:marRight w:val="0"/>
      <w:marTop w:val="0"/>
      <w:marBottom w:val="0"/>
      <w:divBdr>
        <w:top w:val="none" w:sz="0" w:space="0" w:color="auto"/>
        <w:left w:val="none" w:sz="0" w:space="0" w:color="auto"/>
        <w:bottom w:val="none" w:sz="0" w:space="0" w:color="auto"/>
        <w:right w:val="none" w:sz="0" w:space="0" w:color="auto"/>
      </w:divBdr>
    </w:div>
    <w:div w:id="1741560766">
      <w:bodyDiv w:val="1"/>
      <w:marLeft w:val="0"/>
      <w:marRight w:val="0"/>
      <w:marTop w:val="0"/>
      <w:marBottom w:val="0"/>
      <w:divBdr>
        <w:top w:val="none" w:sz="0" w:space="0" w:color="auto"/>
        <w:left w:val="none" w:sz="0" w:space="0" w:color="auto"/>
        <w:bottom w:val="none" w:sz="0" w:space="0" w:color="auto"/>
        <w:right w:val="none" w:sz="0" w:space="0" w:color="auto"/>
      </w:divBdr>
    </w:div>
    <w:div w:id="1741713543">
      <w:bodyDiv w:val="1"/>
      <w:marLeft w:val="0"/>
      <w:marRight w:val="0"/>
      <w:marTop w:val="0"/>
      <w:marBottom w:val="0"/>
      <w:divBdr>
        <w:top w:val="none" w:sz="0" w:space="0" w:color="auto"/>
        <w:left w:val="none" w:sz="0" w:space="0" w:color="auto"/>
        <w:bottom w:val="none" w:sz="0" w:space="0" w:color="auto"/>
        <w:right w:val="none" w:sz="0" w:space="0" w:color="auto"/>
      </w:divBdr>
    </w:div>
    <w:div w:id="1741754260">
      <w:bodyDiv w:val="1"/>
      <w:marLeft w:val="0"/>
      <w:marRight w:val="0"/>
      <w:marTop w:val="0"/>
      <w:marBottom w:val="0"/>
      <w:divBdr>
        <w:top w:val="none" w:sz="0" w:space="0" w:color="auto"/>
        <w:left w:val="none" w:sz="0" w:space="0" w:color="auto"/>
        <w:bottom w:val="none" w:sz="0" w:space="0" w:color="auto"/>
        <w:right w:val="none" w:sz="0" w:space="0" w:color="auto"/>
      </w:divBdr>
    </w:div>
    <w:div w:id="1741832451">
      <w:bodyDiv w:val="1"/>
      <w:marLeft w:val="0"/>
      <w:marRight w:val="0"/>
      <w:marTop w:val="0"/>
      <w:marBottom w:val="0"/>
      <w:divBdr>
        <w:top w:val="none" w:sz="0" w:space="0" w:color="auto"/>
        <w:left w:val="none" w:sz="0" w:space="0" w:color="auto"/>
        <w:bottom w:val="none" w:sz="0" w:space="0" w:color="auto"/>
        <w:right w:val="none" w:sz="0" w:space="0" w:color="auto"/>
      </w:divBdr>
    </w:div>
    <w:div w:id="1742212645">
      <w:bodyDiv w:val="1"/>
      <w:marLeft w:val="0"/>
      <w:marRight w:val="0"/>
      <w:marTop w:val="0"/>
      <w:marBottom w:val="0"/>
      <w:divBdr>
        <w:top w:val="none" w:sz="0" w:space="0" w:color="auto"/>
        <w:left w:val="none" w:sz="0" w:space="0" w:color="auto"/>
        <w:bottom w:val="none" w:sz="0" w:space="0" w:color="auto"/>
        <w:right w:val="none" w:sz="0" w:space="0" w:color="auto"/>
      </w:divBdr>
    </w:div>
    <w:div w:id="1742556550">
      <w:bodyDiv w:val="1"/>
      <w:marLeft w:val="0"/>
      <w:marRight w:val="0"/>
      <w:marTop w:val="0"/>
      <w:marBottom w:val="0"/>
      <w:divBdr>
        <w:top w:val="none" w:sz="0" w:space="0" w:color="auto"/>
        <w:left w:val="none" w:sz="0" w:space="0" w:color="auto"/>
        <w:bottom w:val="none" w:sz="0" w:space="0" w:color="auto"/>
        <w:right w:val="none" w:sz="0" w:space="0" w:color="auto"/>
      </w:divBdr>
    </w:div>
    <w:div w:id="1742604938">
      <w:bodyDiv w:val="1"/>
      <w:marLeft w:val="0"/>
      <w:marRight w:val="0"/>
      <w:marTop w:val="0"/>
      <w:marBottom w:val="0"/>
      <w:divBdr>
        <w:top w:val="none" w:sz="0" w:space="0" w:color="auto"/>
        <w:left w:val="none" w:sz="0" w:space="0" w:color="auto"/>
        <w:bottom w:val="none" w:sz="0" w:space="0" w:color="auto"/>
        <w:right w:val="none" w:sz="0" w:space="0" w:color="auto"/>
      </w:divBdr>
    </w:div>
    <w:div w:id="1742633735">
      <w:bodyDiv w:val="1"/>
      <w:marLeft w:val="0"/>
      <w:marRight w:val="0"/>
      <w:marTop w:val="0"/>
      <w:marBottom w:val="0"/>
      <w:divBdr>
        <w:top w:val="none" w:sz="0" w:space="0" w:color="auto"/>
        <w:left w:val="none" w:sz="0" w:space="0" w:color="auto"/>
        <w:bottom w:val="none" w:sz="0" w:space="0" w:color="auto"/>
        <w:right w:val="none" w:sz="0" w:space="0" w:color="auto"/>
      </w:divBdr>
    </w:div>
    <w:div w:id="1742681119">
      <w:bodyDiv w:val="1"/>
      <w:marLeft w:val="0"/>
      <w:marRight w:val="0"/>
      <w:marTop w:val="0"/>
      <w:marBottom w:val="0"/>
      <w:divBdr>
        <w:top w:val="none" w:sz="0" w:space="0" w:color="auto"/>
        <w:left w:val="none" w:sz="0" w:space="0" w:color="auto"/>
        <w:bottom w:val="none" w:sz="0" w:space="0" w:color="auto"/>
        <w:right w:val="none" w:sz="0" w:space="0" w:color="auto"/>
      </w:divBdr>
    </w:div>
    <w:div w:id="1742799506">
      <w:bodyDiv w:val="1"/>
      <w:marLeft w:val="0"/>
      <w:marRight w:val="0"/>
      <w:marTop w:val="0"/>
      <w:marBottom w:val="0"/>
      <w:divBdr>
        <w:top w:val="none" w:sz="0" w:space="0" w:color="auto"/>
        <w:left w:val="none" w:sz="0" w:space="0" w:color="auto"/>
        <w:bottom w:val="none" w:sz="0" w:space="0" w:color="auto"/>
        <w:right w:val="none" w:sz="0" w:space="0" w:color="auto"/>
      </w:divBdr>
    </w:div>
    <w:div w:id="1742827617">
      <w:bodyDiv w:val="1"/>
      <w:marLeft w:val="0"/>
      <w:marRight w:val="0"/>
      <w:marTop w:val="0"/>
      <w:marBottom w:val="0"/>
      <w:divBdr>
        <w:top w:val="none" w:sz="0" w:space="0" w:color="auto"/>
        <w:left w:val="none" w:sz="0" w:space="0" w:color="auto"/>
        <w:bottom w:val="none" w:sz="0" w:space="0" w:color="auto"/>
        <w:right w:val="none" w:sz="0" w:space="0" w:color="auto"/>
      </w:divBdr>
    </w:div>
    <w:div w:id="1743061762">
      <w:bodyDiv w:val="1"/>
      <w:marLeft w:val="0"/>
      <w:marRight w:val="0"/>
      <w:marTop w:val="0"/>
      <w:marBottom w:val="0"/>
      <w:divBdr>
        <w:top w:val="none" w:sz="0" w:space="0" w:color="auto"/>
        <w:left w:val="none" w:sz="0" w:space="0" w:color="auto"/>
        <w:bottom w:val="none" w:sz="0" w:space="0" w:color="auto"/>
        <w:right w:val="none" w:sz="0" w:space="0" w:color="auto"/>
      </w:divBdr>
    </w:div>
    <w:div w:id="1743066842">
      <w:bodyDiv w:val="1"/>
      <w:marLeft w:val="0"/>
      <w:marRight w:val="0"/>
      <w:marTop w:val="0"/>
      <w:marBottom w:val="0"/>
      <w:divBdr>
        <w:top w:val="none" w:sz="0" w:space="0" w:color="auto"/>
        <w:left w:val="none" w:sz="0" w:space="0" w:color="auto"/>
        <w:bottom w:val="none" w:sz="0" w:space="0" w:color="auto"/>
        <w:right w:val="none" w:sz="0" w:space="0" w:color="auto"/>
      </w:divBdr>
    </w:div>
    <w:div w:id="1743218916">
      <w:bodyDiv w:val="1"/>
      <w:marLeft w:val="0"/>
      <w:marRight w:val="0"/>
      <w:marTop w:val="0"/>
      <w:marBottom w:val="0"/>
      <w:divBdr>
        <w:top w:val="none" w:sz="0" w:space="0" w:color="auto"/>
        <w:left w:val="none" w:sz="0" w:space="0" w:color="auto"/>
        <w:bottom w:val="none" w:sz="0" w:space="0" w:color="auto"/>
        <w:right w:val="none" w:sz="0" w:space="0" w:color="auto"/>
      </w:divBdr>
    </w:div>
    <w:div w:id="1743286724">
      <w:bodyDiv w:val="1"/>
      <w:marLeft w:val="0"/>
      <w:marRight w:val="0"/>
      <w:marTop w:val="0"/>
      <w:marBottom w:val="0"/>
      <w:divBdr>
        <w:top w:val="none" w:sz="0" w:space="0" w:color="auto"/>
        <w:left w:val="none" w:sz="0" w:space="0" w:color="auto"/>
        <w:bottom w:val="none" w:sz="0" w:space="0" w:color="auto"/>
        <w:right w:val="none" w:sz="0" w:space="0" w:color="auto"/>
      </w:divBdr>
    </w:div>
    <w:div w:id="1743598067">
      <w:bodyDiv w:val="1"/>
      <w:marLeft w:val="0"/>
      <w:marRight w:val="0"/>
      <w:marTop w:val="0"/>
      <w:marBottom w:val="0"/>
      <w:divBdr>
        <w:top w:val="none" w:sz="0" w:space="0" w:color="auto"/>
        <w:left w:val="none" w:sz="0" w:space="0" w:color="auto"/>
        <w:bottom w:val="none" w:sz="0" w:space="0" w:color="auto"/>
        <w:right w:val="none" w:sz="0" w:space="0" w:color="auto"/>
      </w:divBdr>
    </w:div>
    <w:div w:id="1743719178">
      <w:bodyDiv w:val="1"/>
      <w:marLeft w:val="0"/>
      <w:marRight w:val="0"/>
      <w:marTop w:val="0"/>
      <w:marBottom w:val="0"/>
      <w:divBdr>
        <w:top w:val="none" w:sz="0" w:space="0" w:color="auto"/>
        <w:left w:val="none" w:sz="0" w:space="0" w:color="auto"/>
        <w:bottom w:val="none" w:sz="0" w:space="0" w:color="auto"/>
        <w:right w:val="none" w:sz="0" w:space="0" w:color="auto"/>
      </w:divBdr>
    </w:div>
    <w:div w:id="1743722269">
      <w:bodyDiv w:val="1"/>
      <w:marLeft w:val="0"/>
      <w:marRight w:val="0"/>
      <w:marTop w:val="0"/>
      <w:marBottom w:val="0"/>
      <w:divBdr>
        <w:top w:val="none" w:sz="0" w:space="0" w:color="auto"/>
        <w:left w:val="none" w:sz="0" w:space="0" w:color="auto"/>
        <w:bottom w:val="none" w:sz="0" w:space="0" w:color="auto"/>
        <w:right w:val="none" w:sz="0" w:space="0" w:color="auto"/>
      </w:divBdr>
    </w:div>
    <w:div w:id="1743864841">
      <w:bodyDiv w:val="1"/>
      <w:marLeft w:val="0"/>
      <w:marRight w:val="0"/>
      <w:marTop w:val="0"/>
      <w:marBottom w:val="0"/>
      <w:divBdr>
        <w:top w:val="none" w:sz="0" w:space="0" w:color="auto"/>
        <w:left w:val="none" w:sz="0" w:space="0" w:color="auto"/>
        <w:bottom w:val="none" w:sz="0" w:space="0" w:color="auto"/>
        <w:right w:val="none" w:sz="0" w:space="0" w:color="auto"/>
      </w:divBdr>
    </w:div>
    <w:div w:id="1743939917">
      <w:bodyDiv w:val="1"/>
      <w:marLeft w:val="0"/>
      <w:marRight w:val="0"/>
      <w:marTop w:val="0"/>
      <w:marBottom w:val="0"/>
      <w:divBdr>
        <w:top w:val="none" w:sz="0" w:space="0" w:color="auto"/>
        <w:left w:val="none" w:sz="0" w:space="0" w:color="auto"/>
        <w:bottom w:val="none" w:sz="0" w:space="0" w:color="auto"/>
        <w:right w:val="none" w:sz="0" w:space="0" w:color="auto"/>
      </w:divBdr>
    </w:div>
    <w:div w:id="1743983458">
      <w:bodyDiv w:val="1"/>
      <w:marLeft w:val="0"/>
      <w:marRight w:val="0"/>
      <w:marTop w:val="0"/>
      <w:marBottom w:val="0"/>
      <w:divBdr>
        <w:top w:val="none" w:sz="0" w:space="0" w:color="auto"/>
        <w:left w:val="none" w:sz="0" w:space="0" w:color="auto"/>
        <w:bottom w:val="none" w:sz="0" w:space="0" w:color="auto"/>
        <w:right w:val="none" w:sz="0" w:space="0" w:color="auto"/>
      </w:divBdr>
    </w:div>
    <w:div w:id="1743985060">
      <w:bodyDiv w:val="1"/>
      <w:marLeft w:val="0"/>
      <w:marRight w:val="0"/>
      <w:marTop w:val="0"/>
      <w:marBottom w:val="0"/>
      <w:divBdr>
        <w:top w:val="none" w:sz="0" w:space="0" w:color="auto"/>
        <w:left w:val="none" w:sz="0" w:space="0" w:color="auto"/>
        <w:bottom w:val="none" w:sz="0" w:space="0" w:color="auto"/>
        <w:right w:val="none" w:sz="0" w:space="0" w:color="auto"/>
      </w:divBdr>
    </w:div>
    <w:div w:id="1743987409">
      <w:bodyDiv w:val="1"/>
      <w:marLeft w:val="0"/>
      <w:marRight w:val="0"/>
      <w:marTop w:val="0"/>
      <w:marBottom w:val="0"/>
      <w:divBdr>
        <w:top w:val="none" w:sz="0" w:space="0" w:color="auto"/>
        <w:left w:val="none" w:sz="0" w:space="0" w:color="auto"/>
        <w:bottom w:val="none" w:sz="0" w:space="0" w:color="auto"/>
        <w:right w:val="none" w:sz="0" w:space="0" w:color="auto"/>
      </w:divBdr>
    </w:div>
    <w:div w:id="1744061220">
      <w:bodyDiv w:val="1"/>
      <w:marLeft w:val="0"/>
      <w:marRight w:val="0"/>
      <w:marTop w:val="0"/>
      <w:marBottom w:val="0"/>
      <w:divBdr>
        <w:top w:val="none" w:sz="0" w:space="0" w:color="auto"/>
        <w:left w:val="none" w:sz="0" w:space="0" w:color="auto"/>
        <w:bottom w:val="none" w:sz="0" w:space="0" w:color="auto"/>
        <w:right w:val="none" w:sz="0" w:space="0" w:color="auto"/>
      </w:divBdr>
    </w:div>
    <w:div w:id="1744568560">
      <w:bodyDiv w:val="1"/>
      <w:marLeft w:val="0"/>
      <w:marRight w:val="0"/>
      <w:marTop w:val="0"/>
      <w:marBottom w:val="0"/>
      <w:divBdr>
        <w:top w:val="none" w:sz="0" w:space="0" w:color="auto"/>
        <w:left w:val="none" w:sz="0" w:space="0" w:color="auto"/>
        <w:bottom w:val="none" w:sz="0" w:space="0" w:color="auto"/>
        <w:right w:val="none" w:sz="0" w:space="0" w:color="auto"/>
      </w:divBdr>
    </w:div>
    <w:div w:id="1744988897">
      <w:bodyDiv w:val="1"/>
      <w:marLeft w:val="0"/>
      <w:marRight w:val="0"/>
      <w:marTop w:val="0"/>
      <w:marBottom w:val="0"/>
      <w:divBdr>
        <w:top w:val="none" w:sz="0" w:space="0" w:color="auto"/>
        <w:left w:val="none" w:sz="0" w:space="0" w:color="auto"/>
        <w:bottom w:val="none" w:sz="0" w:space="0" w:color="auto"/>
        <w:right w:val="none" w:sz="0" w:space="0" w:color="auto"/>
      </w:divBdr>
    </w:div>
    <w:div w:id="1745294962">
      <w:bodyDiv w:val="1"/>
      <w:marLeft w:val="0"/>
      <w:marRight w:val="0"/>
      <w:marTop w:val="0"/>
      <w:marBottom w:val="0"/>
      <w:divBdr>
        <w:top w:val="none" w:sz="0" w:space="0" w:color="auto"/>
        <w:left w:val="none" w:sz="0" w:space="0" w:color="auto"/>
        <w:bottom w:val="none" w:sz="0" w:space="0" w:color="auto"/>
        <w:right w:val="none" w:sz="0" w:space="0" w:color="auto"/>
      </w:divBdr>
    </w:div>
    <w:div w:id="1745371618">
      <w:bodyDiv w:val="1"/>
      <w:marLeft w:val="0"/>
      <w:marRight w:val="0"/>
      <w:marTop w:val="0"/>
      <w:marBottom w:val="0"/>
      <w:divBdr>
        <w:top w:val="none" w:sz="0" w:space="0" w:color="auto"/>
        <w:left w:val="none" w:sz="0" w:space="0" w:color="auto"/>
        <w:bottom w:val="none" w:sz="0" w:space="0" w:color="auto"/>
        <w:right w:val="none" w:sz="0" w:space="0" w:color="auto"/>
      </w:divBdr>
    </w:div>
    <w:div w:id="1745374039">
      <w:bodyDiv w:val="1"/>
      <w:marLeft w:val="0"/>
      <w:marRight w:val="0"/>
      <w:marTop w:val="0"/>
      <w:marBottom w:val="0"/>
      <w:divBdr>
        <w:top w:val="none" w:sz="0" w:space="0" w:color="auto"/>
        <w:left w:val="none" w:sz="0" w:space="0" w:color="auto"/>
        <w:bottom w:val="none" w:sz="0" w:space="0" w:color="auto"/>
        <w:right w:val="none" w:sz="0" w:space="0" w:color="auto"/>
      </w:divBdr>
    </w:div>
    <w:div w:id="1745451573">
      <w:bodyDiv w:val="1"/>
      <w:marLeft w:val="0"/>
      <w:marRight w:val="0"/>
      <w:marTop w:val="0"/>
      <w:marBottom w:val="0"/>
      <w:divBdr>
        <w:top w:val="none" w:sz="0" w:space="0" w:color="auto"/>
        <w:left w:val="none" w:sz="0" w:space="0" w:color="auto"/>
        <w:bottom w:val="none" w:sz="0" w:space="0" w:color="auto"/>
        <w:right w:val="none" w:sz="0" w:space="0" w:color="auto"/>
      </w:divBdr>
    </w:div>
    <w:div w:id="1745564643">
      <w:bodyDiv w:val="1"/>
      <w:marLeft w:val="0"/>
      <w:marRight w:val="0"/>
      <w:marTop w:val="0"/>
      <w:marBottom w:val="0"/>
      <w:divBdr>
        <w:top w:val="none" w:sz="0" w:space="0" w:color="auto"/>
        <w:left w:val="none" w:sz="0" w:space="0" w:color="auto"/>
        <w:bottom w:val="none" w:sz="0" w:space="0" w:color="auto"/>
        <w:right w:val="none" w:sz="0" w:space="0" w:color="auto"/>
      </w:divBdr>
    </w:div>
    <w:div w:id="1745568271">
      <w:bodyDiv w:val="1"/>
      <w:marLeft w:val="0"/>
      <w:marRight w:val="0"/>
      <w:marTop w:val="0"/>
      <w:marBottom w:val="0"/>
      <w:divBdr>
        <w:top w:val="none" w:sz="0" w:space="0" w:color="auto"/>
        <w:left w:val="none" w:sz="0" w:space="0" w:color="auto"/>
        <w:bottom w:val="none" w:sz="0" w:space="0" w:color="auto"/>
        <w:right w:val="none" w:sz="0" w:space="0" w:color="auto"/>
      </w:divBdr>
    </w:div>
    <w:div w:id="1745637348">
      <w:bodyDiv w:val="1"/>
      <w:marLeft w:val="0"/>
      <w:marRight w:val="0"/>
      <w:marTop w:val="0"/>
      <w:marBottom w:val="0"/>
      <w:divBdr>
        <w:top w:val="none" w:sz="0" w:space="0" w:color="auto"/>
        <w:left w:val="none" w:sz="0" w:space="0" w:color="auto"/>
        <w:bottom w:val="none" w:sz="0" w:space="0" w:color="auto"/>
        <w:right w:val="none" w:sz="0" w:space="0" w:color="auto"/>
      </w:divBdr>
    </w:div>
    <w:div w:id="1746030203">
      <w:bodyDiv w:val="1"/>
      <w:marLeft w:val="0"/>
      <w:marRight w:val="0"/>
      <w:marTop w:val="0"/>
      <w:marBottom w:val="0"/>
      <w:divBdr>
        <w:top w:val="none" w:sz="0" w:space="0" w:color="auto"/>
        <w:left w:val="none" w:sz="0" w:space="0" w:color="auto"/>
        <w:bottom w:val="none" w:sz="0" w:space="0" w:color="auto"/>
        <w:right w:val="none" w:sz="0" w:space="0" w:color="auto"/>
      </w:divBdr>
    </w:div>
    <w:div w:id="1746106050">
      <w:bodyDiv w:val="1"/>
      <w:marLeft w:val="0"/>
      <w:marRight w:val="0"/>
      <w:marTop w:val="0"/>
      <w:marBottom w:val="0"/>
      <w:divBdr>
        <w:top w:val="none" w:sz="0" w:space="0" w:color="auto"/>
        <w:left w:val="none" w:sz="0" w:space="0" w:color="auto"/>
        <w:bottom w:val="none" w:sz="0" w:space="0" w:color="auto"/>
        <w:right w:val="none" w:sz="0" w:space="0" w:color="auto"/>
      </w:divBdr>
    </w:div>
    <w:div w:id="1746148201">
      <w:bodyDiv w:val="1"/>
      <w:marLeft w:val="0"/>
      <w:marRight w:val="0"/>
      <w:marTop w:val="0"/>
      <w:marBottom w:val="0"/>
      <w:divBdr>
        <w:top w:val="none" w:sz="0" w:space="0" w:color="auto"/>
        <w:left w:val="none" w:sz="0" w:space="0" w:color="auto"/>
        <w:bottom w:val="none" w:sz="0" w:space="0" w:color="auto"/>
        <w:right w:val="none" w:sz="0" w:space="0" w:color="auto"/>
      </w:divBdr>
    </w:div>
    <w:div w:id="1746292703">
      <w:bodyDiv w:val="1"/>
      <w:marLeft w:val="0"/>
      <w:marRight w:val="0"/>
      <w:marTop w:val="0"/>
      <w:marBottom w:val="0"/>
      <w:divBdr>
        <w:top w:val="none" w:sz="0" w:space="0" w:color="auto"/>
        <w:left w:val="none" w:sz="0" w:space="0" w:color="auto"/>
        <w:bottom w:val="none" w:sz="0" w:space="0" w:color="auto"/>
        <w:right w:val="none" w:sz="0" w:space="0" w:color="auto"/>
      </w:divBdr>
    </w:div>
    <w:div w:id="1746612224">
      <w:bodyDiv w:val="1"/>
      <w:marLeft w:val="0"/>
      <w:marRight w:val="0"/>
      <w:marTop w:val="0"/>
      <w:marBottom w:val="0"/>
      <w:divBdr>
        <w:top w:val="none" w:sz="0" w:space="0" w:color="auto"/>
        <w:left w:val="none" w:sz="0" w:space="0" w:color="auto"/>
        <w:bottom w:val="none" w:sz="0" w:space="0" w:color="auto"/>
        <w:right w:val="none" w:sz="0" w:space="0" w:color="auto"/>
      </w:divBdr>
    </w:div>
    <w:div w:id="1746758771">
      <w:bodyDiv w:val="1"/>
      <w:marLeft w:val="0"/>
      <w:marRight w:val="0"/>
      <w:marTop w:val="0"/>
      <w:marBottom w:val="0"/>
      <w:divBdr>
        <w:top w:val="none" w:sz="0" w:space="0" w:color="auto"/>
        <w:left w:val="none" w:sz="0" w:space="0" w:color="auto"/>
        <w:bottom w:val="none" w:sz="0" w:space="0" w:color="auto"/>
        <w:right w:val="none" w:sz="0" w:space="0" w:color="auto"/>
      </w:divBdr>
    </w:div>
    <w:div w:id="1746880479">
      <w:bodyDiv w:val="1"/>
      <w:marLeft w:val="0"/>
      <w:marRight w:val="0"/>
      <w:marTop w:val="0"/>
      <w:marBottom w:val="0"/>
      <w:divBdr>
        <w:top w:val="none" w:sz="0" w:space="0" w:color="auto"/>
        <w:left w:val="none" w:sz="0" w:space="0" w:color="auto"/>
        <w:bottom w:val="none" w:sz="0" w:space="0" w:color="auto"/>
        <w:right w:val="none" w:sz="0" w:space="0" w:color="auto"/>
      </w:divBdr>
    </w:div>
    <w:div w:id="1747067767">
      <w:bodyDiv w:val="1"/>
      <w:marLeft w:val="0"/>
      <w:marRight w:val="0"/>
      <w:marTop w:val="0"/>
      <w:marBottom w:val="0"/>
      <w:divBdr>
        <w:top w:val="none" w:sz="0" w:space="0" w:color="auto"/>
        <w:left w:val="none" w:sz="0" w:space="0" w:color="auto"/>
        <w:bottom w:val="none" w:sz="0" w:space="0" w:color="auto"/>
        <w:right w:val="none" w:sz="0" w:space="0" w:color="auto"/>
      </w:divBdr>
    </w:div>
    <w:div w:id="1747074781">
      <w:bodyDiv w:val="1"/>
      <w:marLeft w:val="0"/>
      <w:marRight w:val="0"/>
      <w:marTop w:val="0"/>
      <w:marBottom w:val="0"/>
      <w:divBdr>
        <w:top w:val="none" w:sz="0" w:space="0" w:color="auto"/>
        <w:left w:val="none" w:sz="0" w:space="0" w:color="auto"/>
        <w:bottom w:val="none" w:sz="0" w:space="0" w:color="auto"/>
        <w:right w:val="none" w:sz="0" w:space="0" w:color="auto"/>
      </w:divBdr>
    </w:div>
    <w:div w:id="1747192039">
      <w:bodyDiv w:val="1"/>
      <w:marLeft w:val="0"/>
      <w:marRight w:val="0"/>
      <w:marTop w:val="0"/>
      <w:marBottom w:val="0"/>
      <w:divBdr>
        <w:top w:val="none" w:sz="0" w:space="0" w:color="auto"/>
        <w:left w:val="none" w:sz="0" w:space="0" w:color="auto"/>
        <w:bottom w:val="none" w:sz="0" w:space="0" w:color="auto"/>
        <w:right w:val="none" w:sz="0" w:space="0" w:color="auto"/>
      </w:divBdr>
    </w:div>
    <w:div w:id="1747260386">
      <w:bodyDiv w:val="1"/>
      <w:marLeft w:val="0"/>
      <w:marRight w:val="0"/>
      <w:marTop w:val="0"/>
      <w:marBottom w:val="0"/>
      <w:divBdr>
        <w:top w:val="none" w:sz="0" w:space="0" w:color="auto"/>
        <w:left w:val="none" w:sz="0" w:space="0" w:color="auto"/>
        <w:bottom w:val="none" w:sz="0" w:space="0" w:color="auto"/>
        <w:right w:val="none" w:sz="0" w:space="0" w:color="auto"/>
      </w:divBdr>
    </w:div>
    <w:div w:id="1747410891">
      <w:bodyDiv w:val="1"/>
      <w:marLeft w:val="0"/>
      <w:marRight w:val="0"/>
      <w:marTop w:val="0"/>
      <w:marBottom w:val="0"/>
      <w:divBdr>
        <w:top w:val="none" w:sz="0" w:space="0" w:color="auto"/>
        <w:left w:val="none" w:sz="0" w:space="0" w:color="auto"/>
        <w:bottom w:val="none" w:sz="0" w:space="0" w:color="auto"/>
        <w:right w:val="none" w:sz="0" w:space="0" w:color="auto"/>
      </w:divBdr>
    </w:div>
    <w:div w:id="1747414396">
      <w:bodyDiv w:val="1"/>
      <w:marLeft w:val="0"/>
      <w:marRight w:val="0"/>
      <w:marTop w:val="0"/>
      <w:marBottom w:val="0"/>
      <w:divBdr>
        <w:top w:val="none" w:sz="0" w:space="0" w:color="auto"/>
        <w:left w:val="none" w:sz="0" w:space="0" w:color="auto"/>
        <w:bottom w:val="none" w:sz="0" w:space="0" w:color="auto"/>
        <w:right w:val="none" w:sz="0" w:space="0" w:color="auto"/>
      </w:divBdr>
    </w:div>
    <w:div w:id="1747456125">
      <w:bodyDiv w:val="1"/>
      <w:marLeft w:val="0"/>
      <w:marRight w:val="0"/>
      <w:marTop w:val="0"/>
      <w:marBottom w:val="0"/>
      <w:divBdr>
        <w:top w:val="none" w:sz="0" w:space="0" w:color="auto"/>
        <w:left w:val="none" w:sz="0" w:space="0" w:color="auto"/>
        <w:bottom w:val="none" w:sz="0" w:space="0" w:color="auto"/>
        <w:right w:val="none" w:sz="0" w:space="0" w:color="auto"/>
      </w:divBdr>
    </w:div>
    <w:div w:id="1747681023">
      <w:bodyDiv w:val="1"/>
      <w:marLeft w:val="0"/>
      <w:marRight w:val="0"/>
      <w:marTop w:val="0"/>
      <w:marBottom w:val="0"/>
      <w:divBdr>
        <w:top w:val="none" w:sz="0" w:space="0" w:color="auto"/>
        <w:left w:val="none" w:sz="0" w:space="0" w:color="auto"/>
        <w:bottom w:val="none" w:sz="0" w:space="0" w:color="auto"/>
        <w:right w:val="none" w:sz="0" w:space="0" w:color="auto"/>
      </w:divBdr>
    </w:div>
    <w:div w:id="1747919973">
      <w:bodyDiv w:val="1"/>
      <w:marLeft w:val="0"/>
      <w:marRight w:val="0"/>
      <w:marTop w:val="0"/>
      <w:marBottom w:val="0"/>
      <w:divBdr>
        <w:top w:val="none" w:sz="0" w:space="0" w:color="auto"/>
        <w:left w:val="none" w:sz="0" w:space="0" w:color="auto"/>
        <w:bottom w:val="none" w:sz="0" w:space="0" w:color="auto"/>
        <w:right w:val="none" w:sz="0" w:space="0" w:color="auto"/>
      </w:divBdr>
    </w:div>
    <w:div w:id="1748073022">
      <w:bodyDiv w:val="1"/>
      <w:marLeft w:val="0"/>
      <w:marRight w:val="0"/>
      <w:marTop w:val="0"/>
      <w:marBottom w:val="0"/>
      <w:divBdr>
        <w:top w:val="none" w:sz="0" w:space="0" w:color="auto"/>
        <w:left w:val="none" w:sz="0" w:space="0" w:color="auto"/>
        <w:bottom w:val="none" w:sz="0" w:space="0" w:color="auto"/>
        <w:right w:val="none" w:sz="0" w:space="0" w:color="auto"/>
      </w:divBdr>
    </w:div>
    <w:div w:id="1748185394">
      <w:bodyDiv w:val="1"/>
      <w:marLeft w:val="0"/>
      <w:marRight w:val="0"/>
      <w:marTop w:val="0"/>
      <w:marBottom w:val="0"/>
      <w:divBdr>
        <w:top w:val="none" w:sz="0" w:space="0" w:color="auto"/>
        <w:left w:val="none" w:sz="0" w:space="0" w:color="auto"/>
        <w:bottom w:val="none" w:sz="0" w:space="0" w:color="auto"/>
        <w:right w:val="none" w:sz="0" w:space="0" w:color="auto"/>
      </w:divBdr>
    </w:div>
    <w:div w:id="1748308698">
      <w:bodyDiv w:val="1"/>
      <w:marLeft w:val="0"/>
      <w:marRight w:val="0"/>
      <w:marTop w:val="0"/>
      <w:marBottom w:val="0"/>
      <w:divBdr>
        <w:top w:val="none" w:sz="0" w:space="0" w:color="auto"/>
        <w:left w:val="none" w:sz="0" w:space="0" w:color="auto"/>
        <w:bottom w:val="none" w:sz="0" w:space="0" w:color="auto"/>
        <w:right w:val="none" w:sz="0" w:space="0" w:color="auto"/>
      </w:divBdr>
    </w:div>
    <w:div w:id="1748838042">
      <w:bodyDiv w:val="1"/>
      <w:marLeft w:val="0"/>
      <w:marRight w:val="0"/>
      <w:marTop w:val="0"/>
      <w:marBottom w:val="0"/>
      <w:divBdr>
        <w:top w:val="none" w:sz="0" w:space="0" w:color="auto"/>
        <w:left w:val="none" w:sz="0" w:space="0" w:color="auto"/>
        <w:bottom w:val="none" w:sz="0" w:space="0" w:color="auto"/>
        <w:right w:val="none" w:sz="0" w:space="0" w:color="auto"/>
      </w:divBdr>
    </w:div>
    <w:div w:id="1748839700">
      <w:bodyDiv w:val="1"/>
      <w:marLeft w:val="0"/>
      <w:marRight w:val="0"/>
      <w:marTop w:val="0"/>
      <w:marBottom w:val="0"/>
      <w:divBdr>
        <w:top w:val="none" w:sz="0" w:space="0" w:color="auto"/>
        <w:left w:val="none" w:sz="0" w:space="0" w:color="auto"/>
        <w:bottom w:val="none" w:sz="0" w:space="0" w:color="auto"/>
        <w:right w:val="none" w:sz="0" w:space="0" w:color="auto"/>
      </w:divBdr>
    </w:div>
    <w:div w:id="1748922891">
      <w:bodyDiv w:val="1"/>
      <w:marLeft w:val="0"/>
      <w:marRight w:val="0"/>
      <w:marTop w:val="0"/>
      <w:marBottom w:val="0"/>
      <w:divBdr>
        <w:top w:val="none" w:sz="0" w:space="0" w:color="auto"/>
        <w:left w:val="none" w:sz="0" w:space="0" w:color="auto"/>
        <w:bottom w:val="none" w:sz="0" w:space="0" w:color="auto"/>
        <w:right w:val="none" w:sz="0" w:space="0" w:color="auto"/>
      </w:divBdr>
    </w:div>
    <w:div w:id="1748961517">
      <w:bodyDiv w:val="1"/>
      <w:marLeft w:val="0"/>
      <w:marRight w:val="0"/>
      <w:marTop w:val="0"/>
      <w:marBottom w:val="0"/>
      <w:divBdr>
        <w:top w:val="none" w:sz="0" w:space="0" w:color="auto"/>
        <w:left w:val="none" w:sz="0" w:space="0" w:color="auto"/>
        <w:bottom w:val="none" w:sz="0" w:space="0" w:color="auto"/>
        <w:right w:val="none" w:sz="0" w:space="0" w:color="auto"/>
      </w:divBdr>
    </w:div>
    <w:div w:id="1749112508">
      <w:bodyDiv w:val="1"/>
      <w:marLeft w:val="0"/>
      <w:marRight w:val="0"/>
      <w:marTop w:val="0"/>
      <w:marBottom w:val="0"/>
      <w:divBdr>
        <w:top w:val="none" w:sz="0" w:space="0" w:color="auto"/>
        <w:left w:val="none" w:sz="0" w:space="0" w:color="auto"/>
        <w:bottom w:val="none" w:sz="0" w:space="0" w:color="auto"/>
        <w:right w:val="none" w:sz="0" w:space="0" w:color="auto"/>
      </w:divBdr>
    </w:div>
    <w:div w:id="1749227858">
      <w:bodyDiv w:val="1"/>
      <w:marLeft w:val="0"/>
      <w:marRight w:val="0"/>
      <w:marTop w:val="0"/>
      <w:marBottom w:val="0"/>
      <w:divBdr>
        <w:top w:val="none" w:sz="0" w:space="0" w:color="auto"/>
        <w:left w:val="none" w:sz="0" w:space="0" w:color="auto"/>
        <w:bottom w:val="none" w:sz="0" w:space="0" w:color="auto"/>
        <w:right w:val="none" w:sz="0" w:space="0" w:color="auto"/>
      </w:divBdr>
    </w:div>
    <w:div w:id="1749304469">
      <w:bodyDiv w:val="1"/>
      <w:marLeft w:val="0"/>
      <w:marRight w:val="0"/>
      <w:marTop w:val="0"/>
      <w:marBottom w:val="0"/>
      <w:divBdr>
        <w:top w:val="none" w:sz="0" w:space="0" w:color="auto"/>
        <w:left w:val="none" w:sz="0" w:space="0" w:color="auto"/>
        <w:bottom w:val="none" w:sz="0" w:space="0" w:color="auto"/>
        <w:right w:val="none" w:sz="0" w:space="0" w:color="auto"/>
      </w:divBdr>
    </w:div>
    <w:div w:id="1749382736">
      <w:bodyDiv w:val="1"/>
      <w:marLeft w:val="0"/>
      <w:marRight w:val="0"/>
      <w:marTop w:val="0"/>
      <w:marBottom w:val="0"/>
      <w:divBdr>
        <w:top w:val="none" w:sz="0" w:space="0" w:color="auto"/>
        <w:left w:val="none" w:sz="0" w:space="0" w:color="auto"/>
        <w:bottom w:val="none" w:sz="0" w:space="0" w:color="auto"/>
        <w:right w:val="none" w:sz="0" w:space="0" w:color="auto"/>
      </w:divBdr>
    </w:div>
    <w:div w:id="1749384571">
      <w:bodyDiv w:val="1"/>
      <w:marLeft w:val="0"/>
      <w:marRight w:val="0"/>
      <w:marTop w:val="0"/>
      <w:marBottom w:val="0"/>
      <w:divBdr>
        <w:top w:val="none" w:sz="0" w:space="0" w:color="auto"/>
        <w:left w:val="none" w:sz="0" w:space="0" w:color="auto"/>
        <w:bottom w:val="none" w:sz="0" w:space="0" w:color="auto"/>
        <w:right w:val="none" w:sz="0" w:space="0" w:color="auto"/>
      </w:divBdr>
    </w:div>
    <w:div w:id="1749577649">
      <w:bodyDiv w:val="1"/>
      <w:marLeft w:val="0"/>
      <w:marRight w:val="0"/>
      <w:marTop w:val="0"/>
      <w:marBottom w:val="0"/>
      <w:divBdr>
        <w:top w:val="none" w:sz="0" w:space="0" w:color="auto"/>
        <w:left w:val="none" w:sz="0" w:space="0" w:color="auto"/>
        <w:bottom w:val="none" w:sz="0" w:space="0" w:color="auto"/>
        <w:right w:val="none" w:sz="0" w:space="0" w:color="auto"/>
      </w:divBdr>
    </w:div>
    <w:div w:id="1749617449">
      <w:bodyDiv w:val="1"/>
      <w:marLeft w:val="0"/>
      <w:marRight w:val="0"/>
      <w:marTop w:val="0"/>
      <w:marBottom w:val="0"/>
      <w:divBdr>
        <w:top w:val="none" w:sz="0" w:space="0" w:color="auto"/>
        <w:left w:val="none" w:sz="0" w:space="0" w:color="auto"/>
        <w:bottom w:val="none" w:sz="0" w:space="0" w:color="auto"/>
        <w:right w:val="none" w:sz="0" w:space="0" w:color="auto"/>
      </w:divBdr>
    </w:div>
    <w:div w:id="1749762049">
      <w:bodyDiv w:val="1"/>
      <w:marLeft w:val="0"/>
      <w:marRight w:val="0"/>
      <w:marTop w:val="0"/>
      <w:marBottom w:val="0"/>
      <w:divBdr>
        <w:top w:val="none" w:sz="0" w:space="0" w:color="auto"/>
        <w:left w:val="none" w:sz="0" w:space="0" w:color="auto"/>
        <w:bottom w:val="none" w:sz="0" w:space="0" w:color="auto"/>
        <w:right w:val="none" w:sz="0" w:space="0" w:color="auto"/>
      </w:divBdr>
    </w:div>
    <w:div w:id="1749959223">
      <w:bodyDiv w:val="1"/>
      <w:marLeft w:val="0"/>
      <w:marRight w:val="0"/>
      <w:marTop w:val="0"/>
      <w:marBottom w:val="0"/>
      <w:divBdr>
        <w:top w:val="none" w:sz="0" w:space="0" w:color="auto"/>
        <w:left w:val="none" w:sz="0" w:space="0" w:color="auto"/>
        <w:bottom w:val="none" w:sz="0" w:space="0" w:color="auto"/>
        <w:right w:val="none" w:sz="0" w:space="0" w:color="auto"/>
      </w:divBdr>
    </w:div>
    <w:div w:id="1750153383">
      <w:bodyDiv w:val="1"/>
      <w:marLeft w:val="0"/>
      <w:marRight w:val="0"/>
      <w:marTop w:val="0"/>
      <w:marBottom w:val="0"/>
      <w:divBdr>
        <w:top w:val="none" w:sz="0" w:space="0" w:color="auto"/>
        <w:left w:val="none" w:sz="0" w:space="0" w:color="auto"/>
        <w:bottom w:val="none" w:sz="0" w:space="0" w:color="auto"/>
        <w:right w:val="none" w:sz="0" w:space="0" w:color="auto"/>
      </w:divBdr>
    </w:div>
    <w:div w:id="1750226046">
      <w:bodyDiv w:val="1"/>
      <w:marLeft w:val="0"/>
      <w:marRight w:val="0"/>
      <w:marTop w:val="0"/>
      <w:marBottom w:val="0"/>
      <w:divBdr>
        <w:top w:val="none" w:sz="0" w:space="0" w:color="auto"/>
        <w:left w:val="none" w:sz="0" w:space="0" w:color="auto"/>
        <w:bottom w:val="none" w:sz="0" w:space="0" w:color="auto"/>
        <w:right w:val="none" w:sz="0" w:space="0" w:color="auto"/>
      </w:divBdr>
    </w:div>
    <w:div w:id="1750229793">
      <w:bodyDiv w:val="1"/>
      <w:marLeft w:val="0"/>
      <w:marRight w:val="0"/>
      <w:marTop w:val="0"/>
      <w:marBottom w:val="0"/>
      <w:divBdr>
        <w:top w:val="none" w:sz="0" w:space="0" w:color="auto"/>
        <w:left w:val="none" w:sz="0" w:space="0" w:color="auto"/>
        <w:bottom w:val="none" w:sz="0" w:space="0" w:color="auto"/>
        <w:right w:val="none" w:sz="0" w:space="0" w:color="auto"/>
      </w:divBdr>
    </w:div>
    <w:div w:id="1750497920">
      <w:bodyDiv w:val="1"/>
      <w:marLeft w:val="0"/>
      <w:marRight w:val="0"/>
      <w:marTop w:val="0"/>
      <w:marBottom w:val="0"/>
      <w:divBdr>
        <w:top w:val="none" w:sz="0" w:space="0" w:color="auto"/>
        <w:left w:val="none" w:sz="0" w:space="0" w:color="auto"/>
        <w:bottom w:val="none" w:sz="0" w:space="0" w:color="auto"/>
        <w:right w:val="none" w:sz="0" w:space="0" w:color="auto"/>
      </w:divBdr>
    </w:div>
    <w:div w:id="1750616243">
      <w:bodyDiv w:val="1"/>
      <w:marLeft w:val="0"/>
      <w:marRight w:val="0"/>
      <w:marTop w:val="0"/>
      <w:marBottom w:val="0"/>
      <w:divBdr>
        <w:top w:val="none" w:sz="0" w:space="0" w:color="auto"/>
        <w:left w:val="none" w:sz="0" w:space="0" w:color="auto"/>
        <w:bottom w:val="none" w:sz="0" w:space="0" w:color="auto"/>
        <w:right w:val="none" w:sz="0" w:space="0" w:color="auto"/>
      </w:divBdr>
    </w:div>
    <w:div w:id="1750617868">
      <w:bodyDiv w:val="1"/>
      <w:marLeft w:val="0"/>
      <w:marRight w:val="0"/>
      <w:marTop w:val="0"/>
      <w:marBottom w:val="0"/>
      <w:divBdr>
        <w:top w:val="none" w:sz="0" w:space="0" w:color="auto"/>
        <w:left w:val="none" w:sz="0" w:space="0" w:color="auto"/>
        <w:bottom w:val="none" w:sz="0" w:space="0" w:color="auto"/>
        <w:right w:val="none" w:sz="0" w:space="0" w:color="auto"/>
      </w:divBdr>
    </w:div>
    <w:div w:id="1750736624">
      <w:bodyDiv w:val="1"/>
      <w:marLeft w:val="0"/>
      <w:marRight w:val="0"/>
      <w:marTop w:val="0"/>
      <w:marBottom w:val="0"/>
      <w:divBdr>
        <w:top w:val="none" w:sz="0" w:space="0" w:color="auto"/>
        <w:left w:val="none" w:sz="0" w:space="0" w:color="auto"/>
        <w:bottom w:val="none" w:sz="0" w:space="0" w:color="auto"/>
        <w:right w:val="none" w:sz="0" w:space="0" w:color="auto"/>
      </w:divBdr>
    </w:div>
    <w:div w:id="1750737121">
      <w:bodyDiv w:val="1"/>
      <w:marLeft w:val="0"/>
      <w:marRight w:val="0"/>
      <w:marTop w:val="0"/>
      <w:marBottom w:val="0"/>
      <w:divBdr>
        <w:top w:val="none" w:sz="0" w:space="0" w:color="auto"/>
        <w:left w:val="none" w:sz="0" w:space="0" w:color="auto"/>
        <w:bottom w:val="none" w:sz="0" w:space="0" w:color="auto"/>
        <w:right w:val="none" w:sz="0" w:space="0" w:color="auto"/>
      </w:divBdr>
    </w:div>
    <w:div w:id="1750883884">
      <w:bodyDiv w:val="1"/>
      <w:marLeft w:val="0"/>
      <w:marRight w:val="0"/>
      <w:marTop w:val="0"/>
      <w:marBottom w:val="0"/>
      <w:divBdr>
        <w:top w:val="none" w:sz="0" w:space="0" w:color="auto"/>
        <w:left w:val="none" w:sz="0" w:space="0" w:color="auto"/>
        <w:bottom w:val="none" w:sz="0" w:space="0" w:color="auto"/>
        <w:right w:val="none" w:sz="0" w:space="0" w:color="auto"/>
      </w:divBdr>
    </w:div>
    <w:div w:id="1750888245">
      <w:bodyDiv w:val="1"/>
      <w:marLeft w:val="0"/>
      <w:marRight w:val="0"/>
      <w:marTop w:val="0"/>
      <w:marBottom w:val="0"/>
      <w:divBdr>
        <w:top w:val="none" w:sz="0" w:space="0" w:color="auto"/>
        <w:left w:val="none" w:sz="0" w:space="0" w:color="auto"/>
        <w:bottom w:val="none" w:sz="0" w:space="0" w:color="auto"/>
        <w:right w:val="none" w:sz="0" w:space="0" w:color="auto"/>
      </w:divBdr>
    </w:div>
    <w:div w:id="1750926179">
      <w:bodyDiv w:val="1"/>
      <w:marLeft w:val="0"/>
      <w:marRight w:val="0"/>
      <w:marTop w:val="0"/>
      <w:marBottom w:val="0"/>
      <w:divBdr>
        <w:top w:val="none" w:sz="0" w:space="0" w:color="auto"/>
        <w:left w:val="none" w:sz="0" w:space="0" w:color="auto"/>
        <w:bottom w:val="none" w:sz="0" w:space="0" w:color="auto"/>
        <w:right w:val="none" w:sz="0" w:space="0" w:color="auto"/>
      </w:divBdr>
    </w:div>
    <w:div w:id="1751349656">
      <w:bodyDiv w:val="1"/>
      <w:marLeft w:val="0"/>
      <w:marRight w:val="0"/>
      <w:marTop w:val="0"/>
      <w:marBottom w:val="0"/>
      <w:divBdr>
        <w:top w:val="none" w:sz="0" w:space="0" w:color="auto"/>
        <w:left w:val="none" w:sz="0" w:space="0" w:color="auto"/>
        <w:bottom w:val="none" w:sz="0" w:space="0" w:color="auto"/>
        <w:right w:val="none" w:sz="0" w:space="0" w:color="auto"/>
      </w:divBdr>
    </w:div>
    <w:div w:id="1751391670">
      <w:bodyDiv w:val="1"/>
      <w:marLeft w:val="0"/>
      <w:marRight w:val="0"/>
      <w:marTop w:val="0"/>
      <w:marBottom w:val="0"/>
      <w:divBdr>
        <w:top w:val="none" w:sz="0" w:space="0" w:color="auto"/>
        <w:left w:val="none" w:sz="0" w:space="0" w:color="auto"/>
        <w:bottom w:val="none" w:sz="0" w:space="0" w:color="auto"/>
        <w:right w:val="none" w:sz="0" w:space="0" w:color="auto"/>
      </w:divBdr>
    </w:div>
    <w:div w:id="1751464032">
      <w:bodyDiv w:val="1"/>
      <w:marLeft w:val="0"/>
      <w:marRight w:val="0"/>
      <w:marTop w:val="0"/>
      <w:marBottom w:val="0"/>
      <w:divBdr>
        <w:top w:val="none" w:sz="0" w:space="0" w:color="auto"/>
        <w:left w:val="none" w:sz="0" w:space="0" w:color="auto"/>
        <w:bottom w:val="none" w:sz="0" w:space="0" w:color="auto"/>
        <w:right w:val="none" w:sz="0" w:space="0" w:color="auto"/>
      </w:divBdr>
    </w:div>
    <w:div w:id="1751535792">
      <w:bodyDiv w:val="1"/>
      <w:marLeft w:val="0"/>
      <w:marRight w:val="0"/>
      <w:marTop w:val="0"/>
      <w:marBottom w:val="0"/>
      <w:divBdr>
        <w:top w:val="none" w:sz="0" w:space="0" w:color="auto"/>
        <w:left w:val="none" w:sz="0" w:space="0" w:color="auto"/>
        <w:bottom w:val="none" w:sz="0" w:space="0" w:color="auto"/>
        <w:right w:val="none" w:sz="0" w:space="0" w:color="auto"/>
      </w:divBdr>
    </w:div>
    <w:div w:id="1752386457">
      <w:bodyDiv w:val="1"/>
      <w:marLeft w:val="0"/>
      <w:marRight w:val="0"/>
      <w:marTop w:val="0"/>
      <w:marBottom w:val="0"/>
      <w:divBdr>
        <w:top w:val="none" w:sz="0" w:space="0" w:color="auto"/>
        <w:left w:val="none" w:sz="0" w:space="0" w:color="auto"/>
        <w:bottom w:val="none" w:sz="0" w:space="0" w:color="auto"/>
        <w:right w:val="none" w:sz="0" w:space="0" w:color="auto"/>
      </w:divBdr>
    </w:div>
    <w:div w:id="1752509925">
      <w:bodyDiv w:val="1"/>
      <w:marLeft w:val="0"/>
      <w:marRight w:val="0"/>
      <w:marTop w:val="0"/>
      <w:marBottom w:val="0"/>
      <w:divBdr>
        <w:top w:val="none" w:sz="0" w:space="0" w:color="auto"/>
        <w:left w:val="none" w:sz="0" w:space="0" w:color="auto"/>
        <w:bottom w:val="none" w:sz="0" w:space="0" w:color="auto"/>
        <w:right w:val="none" w:sz="0" w:space="0" w:color="auto"/>
      </w:divBdr>
    </w:div>
    <w:div w:id="1752578373">
      <w:bodyDiv w:val="1"/>
      <w:marLeft w:val="0"/>
      <w:marRight w:val="0"/>
      <w:marTop w:val="0"/>
      <w:marBottom w:val="0"/>
      <w:divBdr>
        <w:top w:val="none" w:sz="0" w:space="0" w:color="auto"/>
        <w:left w:val="none" w:sz="0" w:space="0" w:color="auto"/>
        <w:bottom w:val="none" w:sz="0" w:space="0" w:color="auto"/>
        <w:right w:val="none" w:sz="0" w:space="0" w:color="auto"/>
      </w:divBdr>
    </w:div>
    <w:div w:id="1752578427">
      <w:bodyDiv w:val="1"/>
      <w:marLeft w:val="0"/>
      <w:marRight w:val="0"/>
      <w:marTop w:val="0"/>
      <w:marBottom w:val="0"/>
      <w:divBdr>
        <w:top w:val="none" w:sz="0" w:space="0" w:color="auto"/>
        <w:left w:val="none" w:sz="0" w:space="0" w:color="auto"/>
        <w:bottom w:val="none" w:sz="0" w:space="0" w:color="auto"/>
        <w:right w:val="none" w:sz="0" w:space="0" w:color="auto"/>
      </w:divBdr>
    </w:div>
    <w:div w:id="1752695667">
      <w:bodyDiv w:val="1"/>
      <w:marLeft w:val="0"/>
      <w:marRight w:val="0"/>
      <w:marTop w:val="0"/>
      <w:marBottom w:val="0"/>
      <w:divBdr>
        <w:top w:val="none" w:sz="0" w:space="0" w:color="auto"/>
        <w:left w:val="none" w:sz="0" w:space="0" w:color="auto"/>
        <w:bottom w:val="none" w:sz="0" w:space="0" w:color="auto"/>
        <w:right w:val="none" w:sz="0" w:space="0" w:color="auto"/>
      </w:divBdr>
    </w:div>
    <w:div w:id="1752965590">
      <w:bodyDiv w:val="1"/>
      <w:marLeft w:val="0"/>
      <w:marRight w:val="0"/>
      <w:marTop w:val="0"/>
      <w:marBottom w:val="0"/>
      <w:divBdr>
        <w:top w:val="none" w:sz="0" w:space="0" w:color="auto"/>
        <w:left w:val="none" w:sz="0" w:space="0" w:color="auto"/>
        <w:bottom w:val="none" w:sz="0" w:space="0" w:color="auto"/>
        <w:right w:val="none" w:sz="0" w:space="0" w:color="auto"/>
      </w:divBdr>
    </w:div>
    <w:div w:id="1752966200">
      <w:bodyDiv w:val="1"/>
      <w:marLeft w:val="0"/>
      <w:marRight w:val="0"/>
      <w:marTop w:val="0"/>
      <w:marBottom w:val="0"/>
      <w:divBdr>
        <w:top w:val="none" w:sz="0" w:space="0" w:color="auto"/>
        <w:left w:val="none" w:sz="0" w:space="0" w:color="auto"/>
        <w:bottom w:val="none" w:sz="0" w:space="0" w:color="auto"/>
        <w:right w:val="none" w:sz="0" w:space="0" w:color="auto"/>
      </w:divBdr>
    </w:div>
    <w:div w:id="1753046396">
      <w:bodyDiv w:val="1"/>
      <w:marLeft w:val="0"/>
      <w:marRight w:val="0"/>
      <w:marTop w:val="0"/>
      <w:marBottom w:val="0"/>
      <w:divBdr>
        <w:top w:val="none" w:sz="0" w:space="0" w:color="auto"/>
        <w:left w:val="none" w:sz="0" w:space="0" w:color="auto"/>
        <w:bottom w:val="none" w:sz="0" w:space="0" w:color="auto"/>
        <w:right w:val="none" w:sz="0" w:space="0" w:color="auto"/>
      </w:divBdr>
    </w:div>
    <w:div w:id="1753156265">
      <w:bodyDiv w:val="1"/>
      <w:marLeft w:val="0"/>
      <w:marRight w:val="0"/>
      <w:marTop w:val="0"/>
      <w:marBottom w:val="0"/>
      <w:divBdr>
        <w:top w:val="none" w:sz="0" w:space="0" w:color="auto"/>
        <w:left w:val="none" w:sz="0" w:space="0" w:color="auto"/>
        <w:bottom w:val="none" w:sz="0" w:space="0" w:color="auto"/>
        <w:right w:val="none" w:sz="0" w:space="0" w:color="auto"/>
      </w:divBdr>
    </w:div>
    <w:div w:id="1753237304">
      <w:bodyDiv w:val="1"/>
      <w:marLeft w:val="0"/>
      <w:marRight w:val="0"/>
      <w:marTop w:val="0"/>
      <w:marBottom w:val="0"/>
      <w:divBdr>
        <w:top w:val="none" w:sz="0" w:space="0" w:color="auto"/>
        <w:left w:val="none" w:sz="0" w:space="0" w:color="auto"/>
        <w:bottom w:val="none" w:sz="0" w:space="0" w:color="auto"/>
        <w:right w:val="none" w:sz="0" w:space="0" w:color="auto"/>
      </w:divBdr>
    </w:div>
    <w:div w:id="1753358805">
      <w:bodyDiv w:val="1"/>
      <w:marLeft w:val="0"/>
      <w:marRight w:val="0"/>
      <w:marTop w:val="0"/>
      <w:marBottom w:val="0"/>
      <w:divBdr>
        <w:top w:val="none" w:sz="0" w:space="0" w:color="auto"/>
        <w:left w:val="none" w:sz="0" w:space="0" w:color="auto"/>
        <w:bottom w:val="none" w:sz="0" w:space="0" w:color="auto"/>
        <w:right w:val="none" w:sz="0" w:space="0" w:color="auto"/>
      </w:divBdr>
    </w:div>
    <w:div w:id="1753507557">
      <w:bodyDiv w:val="1"/>
      <w:marLeft w:val="0"/>
      <w:marRight w:val="0"/>
      <w:marTop w:val="0"/>
      <w:marBottom w:val="0"/>
      <w:divBdr>
        <w:top w:val="none" w:sz="0" w:space="0" w:color="auto"/>
        <w:left w:val="none" w:sz="0" w:space="0" w:color="auto"/>
        <w:bottom w:val="none" w:sz="0" w:space="0" w:color="auto"/>
        <w:right w:val="none" w:sz="0" w:space="0" w:color="auto"/>
      </w:divBdr>
    </w:div>
    <w:div w:id="1753578279">
      <w:bodyDiv w:val="1"/>
      <w:marLeft w:val="0"/>
      <w:marRight w:val="0"/>
      <w:marTop w:val="0"/>
      <w:marBottom w:val="0"/>
      <w:divBdr>
        <w:top w:val="none" w:sz="0" w:space="0" w:color="auto"/>
        <w:left w:val="none" w:sz="0" w:space="0" w:color="auto"/>
        <w:bottom w:val="none" w:sz="0" w:space="0" w:color="auto"/>
        <w:right w:val="none" w:sz="0" w:space="0" w:color="auto"/>
      </w:divBdr>
    </w:div>
    <w:div w:id="1753770391">
      <w:bodyDiv w:val="1"/>
      <w:marLeft w:val="0"/>
      <w:marRight w:val="0"/>
      <w:marTop w:val="0"/>
      <w:marBottom w:val="0"/>
      <w:divBdr>
        <w:top w:val="none" w:sz="0" w:space="0" w:color="auto"/>
        <w:left w:val="none" w:sz="0" w:space="0" w:color="auto"/>
        <w:bottom w:val="none" w:sz="0" w:space="0" w:color="auto"/>
        <w:right w:val="none" w:sz="0" w:space="0" w:color="auto"/>
      </w:divBdr>
    </w:div>
    <w:div w:id="1753890636">
      <w:bodyDiv w:val="1"/>
      <w:marLeft w:val="0"/>
      <w:marRight w:val="0"/>
      <w:marTop w:val="0"/>
      <w:marBottom w:val="0"/>
      <w:divBdr>
        <w:top w:val="none" w:sz="0" w:space="0" w:color="auto"/>
        <w:left w:val="none" w:sz="0" w:space="0" w:color="auto"/>
        <w:bottom w:val="none" w:sz="0" w:space="0" w:color="auto"/>
        <w:right w:val="none" w:sz="0" w:space="0" w:color="auto"/>
      </w:divBdr>
    </w:div>
    <w:div w:id="1753963959">
      <w:bodyDiv w:val="1"/>
      <w:marLeft w:val="0"/>
      <w:marRight w:val="0"/>
      <w:marTop w:val="0"/>
      <w:marBottom w:val="0"/>
      <w:divBdr>
        <w:top w:val="none" w:sz="0" w:space="0" w:color="auto"/>
        <w:left w:val="none" w:sz="0" w:space="0" w:color="auto"/>
        <w:bottom w:val="none" w:sz="0" w:space="0" w:color="auto"/>
        <w:right w:val="none" w:sz="0" w:space="0" w:color="auto"/>
      </w:divBdr>
    </w:div>
    <w:div w:id="1753971421">
      <w:bodyDiv w:val="1"/>
      <w:marLeft w:val="0"/>
      <w:marRight w:val="0"/>
      <w:marTop w:val="0"/>
      <w:marBottom w:val="0"/>
      <w:divBdr>
        <w:top w:val="none" w:sz="0" w:space="0" w:color="auto"/>
        <w:left w:val="none" w:sz="0" w:space="0" w:color="auto"/>
        <w:bottom w:val="none" w:sz="0" w:space="0" w:color="auto"/>
        <w:right w:val="none" w:sz="0" w:space="0" w:color="auto"/>
      </w:divBdr>
    </w:div>
    <w:div w:id="1754163878">
      <w:bodyDiv w:val="1"/>
      <w:marLeft w:val="0"/>
      <w:marRight w:val="0"/>
      <w:marTop w:val="0"/>
      <w:marBottom w:val="0"/>
      <w:divBdr>
        <w:top w:val="none" w:sz="0" w:space="0" w:color="auto"/>
        <w:left w:val="none" w:sz="0" w:space="0" w:color="auto"/>
        <w:bottom w:val="none" w:sz="0" w:space="0" w:color="auto"/>
        <w:right w:val="none" w:sz="0" w:space="0" w:color="auto"/>
      </w:divBdr>
    </w:div>
    <w:div w:id="1754622388">
      <w:bodyDiv w:val="1"/>
      <w:marLeft w:val="0"/>
      <w:marRight w:val="0"/>
      <w:marTop w:val="0"/>
      <w:marBottom w:val="0"/>
      <w:divBdr>
        <w:top w:val="none" w:sz="0" w:space="0" w:color="auto"/>
        <w:left w:val="none" w:sz="0" w:space="0" w:color="auto"/>
        <w:bottom w:val="none" w:sz="0" w:space="0" w:color="auto"/>
        <w:right w:val="none" w:sz="0" w:space="0" w:color="auto"/>
      </w:divBdr>
    </w:div>
    <w:div w:id="1754737565">
      <w:bodyDiv w:val="1"/>
      <w:marLeft w:val="0"/>
      <w:marRight w:val="0"/>
      <w:marTop w:val="0"/>
      <w:marBottom w:val="0"/>
      <w:divBdr>
        <w:top w:val="none" w:sz="0" w:space="0" w:color="auto"/>
        <w:left w:val="none" w:sz="0" w:space="0" w:color="auto"/>
        <w:bottom w:val="none" w:sz="0" w:space="0" w:color="auto"/>
        <w:right w:val="none" w:sz="0" w:space="0" w:color="auto"/>
      </w:divBdr>
    </w:div>
    <w:div w:id="1754937515">
      <w:bodyDiv w:val="1"/>
      <w:marLeft w:val="0"/>
      <w:marRight w:val="0"/>
      <w:marTop w:val="0"/>
      <w:marBottom w:val="0"/>
      <w:divBdr>
        <w:top w:val="none" w:sz="0" w:space="0" w:color="auto"/>
        <w:left w:val="none" w:sz="0" w:space="0" w:color="auto"/>
        <w:bottom w:val="none" w:sz="0" w:space="0" w:color="auto"/>
        <w:right w:val="none" w:sz="0" w:space="0" w:color="auto"/>
      </w:divBdr>
    </w:div>
    <w:div w:id="1755080967">
      <w:bodyDiv w:val="1"/>
      <w:marLeft w:val="0"/>
      <w:marRight w:val="0"/>
      <w:marTop w:val="0"/>
      <w:marBottom w:val="0"/>
      <w:divBdr>
        <w:top w:val="none" w:sz="0" w:space="0" w:color="auto"/>
        <w:left w:val="none" w:sz="0" w:space="0" w:color="auto"/>
        <w:bottom w:val="none" w:sz="0" w:space="0" w:color="auto"/>
        <w:right w:val="none" w:sz="0" w:space="0" w:color="auto"/>
      </w:divBdr>
    </w:div>
    <w:div w:id="1755198918">
      <w:bodyDiv w:val="1"/>
      <w:marLeft w:val="0"/>
      <w:marRight w:val="0"/>
      <w:marTop w:val="0"/>
      <w:marBottom w:val="0"/>
      <w:divBdr>
        <w:top w:val="none" w:sz="0" w:space="0" w:color="auto"/>
        <w:left w:val="none" w:sz="0" w:space="0" w:color="auto"/>
        <w:bottom w:val="none" w:sz="0" w:space="0" w:color="auto"/>
        <w:right w:val="none" w:sz="0" w:space="0" w:color="auto"/>
      </w:divBdr>
    </w:div>
    <w:div w:id="1755280167">
      <w:bodyDiv w:val="1"/>
      <w:marLeft w:val="0"/>
      <w:marRight w:val="0"/>
      <w:marTop w:val="0"/>
      <w:marBottom w:val="0"/>
      <w:divBdr>
        <w:top w:val="none" w:sz="0" w:space="0" w:color="auto"/>
        <w:left w:val="none" w:sz="0" w:space="0" w:color="auto"/>
        <w:bottom w:val="none" w:sz="0" w:space="0" w:color="auto"/>
        <w:right w:val="none" w:sz="0" w:space="0" w:color="auto"/>
      </w:divBdr>
    </w:div>
    <w:div w:id="1755475221">
      <w:bodyDiv w:val="1"/>
      <w:marLeft w:val="0"/>
      <w:marRight w:val="0"/>
      <w:marTop w:val="0"/>
      <w:marBottom w:val="0"/>
      <w:divBdr>
        <w:top w:val="none" w:sz="0" w:space="0" w:color="auto"/>
        <w:left w:val="none" w:sz="0" w:space="0" w:color="auto"/>
        <w:bottom w:val="none" w:sz="0" w:space="0" w:color="auto"/>
        <w:right w:val="none" w:sz="0" w:space="0" w:color="auto"/>
      </w:divBdr>
    </w:div>
    <w:div w:id="1755778769">
      <w:bodyDiv w:val="1"/>
      <w:marLeft w:val="0"/>
      <w:marRight w:val="0"/>
      <w:marTop w:val="0"/>
      <w:marBottom w:val="0"/>
      <w:divBdr>
        <w:top w:val="none" w:sz="0" w:space="0" w:color="auto"/>
        <w:left w:val="none" w:sz="0" w:space="0" w:color="auto"/>
        <w:bottom w:val="none" w:sz="0" w:space="0" w:color="auto"/>
        <w:right w:val="none" w:sz="0" w:space="0" w:color="auto"/>
      </w:divBdr>
    </w:div>
    <w:div w:id="1755932182">
      <w:bodyDiv w:val="1"/>
      <w:marLeft w:val="0"/>
      <w:marRight w:val="0"/>
      <w:marTop w:val="0"/>
      <w:marBottom w:val="0"/>
      <w:divBdr>
        <w:top w:val="none" w:sz="0" w:space="0" w:color="auto"/>
        <w:left w:val="none" w:sz="0" w:space="0" w:color="auto"/>
        <w:bottom w:val="none" w:sz="0" w:space="0" w:color="auto"/>
        <w:right w:val="none" w:sz="0" w:space="0" w:color="auto"/>
      </w:divBdr>
    </w:div>
    <w:div w:id="1756003528">
      <w:bodyDiv w:val="1"/>
      <w:marLeft w:val="0"/>
      <w:marRight w:val="0"/>
      <w:marTop w:val="0"/>
      <w:marBottom w:val="0"/>
      <w:divBdr>
        <w:top w:val="none" w:sz="0" w:space="0" w:color="auto"/>
        <w:left w:val="none" w:sz="0" w:space="0" w:color="auto"/>
        <w:bottom w:val="none" w:sz="0" w:space="0" w:color="auto"/>
        <w:right w:val="none" w:sz="0" w:space="0" w:color="auto"/>
      </w:divBdr>
    </w:div>
    <w:div w:id="1756054143">
      <w:bodyDiv w:val="1"/>
      <w:marLeft w:val="0"/>
      <w:marRight w:val="0"/>
      <w:marTop w:val="0"/>
      <w:marBottom w:val="0"/>
      <w:divBdr>
        <w:top w:val="none" w:sz="0" w:space="0" w:color="auto"/>
        <w:left w:val="none" w:sz="0" w:space="0" w:color="auto"/>
        <w:bottom w:val="none" w:sz="0" w:space="0" w:color="auto"/>
        <w:right w:val="none" w:sz="0" w:space="0" w:color="auto"/>
      </w:divBdr>
    </w:div>
    <w:div w:id="1756323706">
      <w:bodyDiv w:val="1"/>
      <w:marLeft w:val="0"/>
      <w:marRight w:val="0"/>
      <w:marTop w:val="0"/>
      <w:marBottom w:val="0"/>
      <w:divBdr>
        <w:top w:val="none" w:sz="0" w:space="0" w:color="auto"/>
        <w:left w:val="none" w:sz="0" w:space="0" w:color="auto"/>
        <w:bottom w:val="none" w:sz="0" w:space="0" w:color="auto"/>
        <w:right w:val="none" w:sz="0" w:space="0" w:color="auto"/>
      </w:divBdr>
    </w:div>
    <w:div w:id="1756437620">
      <w:bodyDiv w:val="1"/>
      <w:marLeft w:val="0"/>
      <w:marRight w:val="0"/>
      <w:marTop w:val="0"/>
      <w:marBottom w:val="0"/>
      <w:divBdr>
        <w:top w:val="none" w:sz="0" w:space="0" w:color="auto"/>
        <w:left w:val="none" w:sz="0" w:space="0" w:color="auto"/>
        <w:bottom w:val="none" w:sz="0" w:space="0" w:color="auto"/>
        <w:right w:val="none" w:sz="0" w:space="0" w:color="auto"/>
      </w:divBdr>
    </w:div>
    <w:div w:id="1756514559">
      <w:bodyDiv w:val="1"/>
      <w:marLeft w:val="0"/>
      <w:marRight w:val="0"/>
      <w:marTop w:val="0"/>
      <w:marBottom w:val="0"/>
      <w:divBdr>
        <w:top w:val="none" w:sz="0" w:space="0" w:color="auto"/>
        <w:left w:val="none" w:sz="0" w:space="0" w:color="auto"/>
        <w:bottom w:val="none" w:sz="0" w:space="0" w:color="auto"/>
        <w:right w:val="none" w:sz="0" w:space="0" w:color="auto"/>
      </w:divBdr>
    </w:div>
    <w:div w:id="1756710866">
      <w:bodyDiv w:val="1"/>
      <w:marLeft w:val="0"/>
      <w:marRight w:val="0"/>
      <w:marTop w:val="0"/>
      <w:marBottom w:val="0"/>
      <w:divBdr>
        <w:top w:val="none" w:sz="0" w:space="0" w:color="auto"/>
        <w:left w:val="none" w:sz="0" w:space="0" w:color="auto"/>
        <w:bottom w:val="none" w:sz="0" w:space="0" w:color="auto"/>
        <w:right w:val="none" w:sz="0" w:space="0" w:color="auto"/>
      </w:divBdr>
    </w:div>
    <w:div w:id="1756824982">
      <w:bodyDiv w:val="1"/>
      <w:marLeft w:val="0"/>
      <w:marRight w:val="0"/>
      <w:marTop w:val="0"/>
      <w:marBottom w:val="0"/>
      <w:divBdr>
        <w:top w:val="none" w:sz="0" w:space="0" w:color="auto"/>
        <w:left w:val="none" w:sz="0" w:space="0" w:color="auto"/>
        <w:bottom w:val="none" w:sz="0" w:space="0" w:color="auto"/>
        <w:right w:val="none" w:sz="0" w:space="0" w:color="auto"/>
      </w:divBdr>
    </w:div>
    <w:div w:id="1756827354">
      <w:bodyDiv w:val="1"/>
      <w:marLeft w:val="0"/>
      <w:marRight w:val="0"/>
      <w:marTop w:val="0"/>
      <w:marBottom w:val="0"/>
      <w:divBdr>
        <w:top w:val="none" w:sz="0" w:space="0" w:color="auto"/>
        <w:left w:val="none" w:sz="0" w:space="0" w:color="auto"/>
        <w:bottom w:val="none" w:sz="0" w:space="0" w:color="auto"/>
        <w:right w:val="none" w:sz="0" w:space="0" w:color="auto"/>
      </w:divBdr>
    </w:div>
    <w:div w:id="1756898795">
      <w:bodyDiv w:val="1"/>
      <w:marLeft w:val="0"/>
      <w:marRight w:val="0"/>
      <w:marTop w:val="0"/>
      <w:marBottom w:val="0"/>
      <w:divBdr>
        <w:top w:val="none" w:sz="0" w:space="0" w:color="auto"/>
        <w:left w:val="none" w:sz="0" w:space="0" w:color="auto"/>
        <w:bottom w:val="none" w:sz="0" w:space="0" w:color="auto"/>
        <w:right w:val="none" w:sz="0" w:space="0" w:color="auto"/>
      </w:divBdr>
    </w:div>
    <w:div w:id="1756902832">
      <w:bodyDiv w:val="1"/>
      <w:marLeft w:val="0"/>
      <w:marRight w:val="0"/>
      <w:marTop w:val="0"/>
      <w:marBottom w:val="0"/>
      <w:divBdr>
        <w:top w:val="none" w:sz="0" w:space="0" w:color="auto"/>
        <w:left w:val="none" w:sz="0" w:space="0" w:color="auto"/>
        <w:bottom w:val="none" w:sz="0" w:space="0" w:color="auto"/>
        <w:right w:val="none" w:sz="0" w:space="0" w:color="auto"/>
      </w:divBdr>
    </w:div>
    <w:div w:id="1756970217">
      <w:bodyDiv w:val="1"/>
      <w:marLeft w:val="0"/>
      <w:marRight w:val="0"/>
      <w:marTop w:val="0"/>
      <w:marBottom w:val="0"/>
      <w:divBdr>
        <w:top w:val="none" w:sz="0" w:space="0" w:color="auto"/>
        <w:left w:val="none" w:sz="0" w:space="0" w:color="auto"/>
        <w:bottom w:val="none" w:sz="0" w:space="0" w:color="auto"/>
        <w:right w:val="none" w:sz="0" w:space="0" w:color="auto"/>
      </w:divBdr>
    </w:div>
    <w:div w:id="1757088175">
      <w:bodyDiv w:val="1"/>
      <w:marLeft w:val="0"/>
      <w:marRight w:val="0"/>
      <w:marTop w:val="0"/>
      <w:marBottom w:val="0"/>
      <w:divBdr>
        <w:top w:val="none" w:sz="0" w:space="0" w:color="auto"/>
        <w:left w:val="none" w:sz="0" w:space="0" w:color="auto"/>
        <w:bottom w:val="none" w:sz="0" w:space="0" w:color="auto"/>
        <w:right w:val="none" w:sz="0" w:space="0" w:color="auto"/>
      </w:divBdr>
    </w:div>
    <w:div w:id="1757095768">
      <w:bodyDiv w:val="1"/>
      <w:marLeft w:val="0"/>
      <w:marRight w:val="0"/>
      <w:marTop w:val="0"/>
      <w:marBottom w:val="0"/>
      <w:divBdr>
        <w:top w:val="none" w:sz="0" w:space="0" w:color="auto"/>
        <w:left w:val="none" w:sz="0" w:space="0" w:color="auto"/>
        <w:bottom w:val="none" w:sz="0" w:space="0" w:color="auto"/>
        <w:right w:val="none" w:sz="0" w:space="0" w:color="auto"/>
      </w:divBdr>
    </w:div>
    <w:div w:id="1757170452">
      <w:bodyDiv w:val="1"/>
      <w:marLeft w:val="0"/>
      <w:marRight w:val="0"/>
      <w:marTop w:val="0"/>
      <w:marBottom w:val="0"/>
      <w:divBdr>
        <w:top w:val="none" w:sz="0" w:space="0" w:color="auto"/>
        <w:left w:val="none" w:sz="0" w:space="0" w:color="auto"/>
        <w:bottom w:val="none" w:sz="0" w:space="0" w:color="auto"/>
        <w:right w:val="none" w:sz="0" w:space="0" w:color="auto"/>
      </w:divBdr>
    </w:div>
    <w:div w:id="1757173010">
      <w:bodyDiv w:val="1"/>
      <w:marLeft w:val="0"/>
      <w:marRight w:val="0"/>
      <w:marTop w:val="0"/>
      <w:marBottom w:val="0"/>
      <w:divBdr>
        <w:top w:val="none" w:sz="0" w:space="0" w:color="auto"/>
        <w:left w:val="none" w:sz="0" w:space="0" w:color="auto"/>
        <w:bottom w:val="none" w:sz="0" w:space="0" w:color="auto"/>
        <w:right w:val="none" w:sz="0" w:space="0" w:color="auto"/>
      </w:divBdr>
    </w:div>
    <w:div w:id="1757242071">
      <w:bodyDiv w:val="1"/>
      <w:marLeft w:val="0"/>
      <w:marRight w:val="0"/>
      <w:marTop w:val="0"/>
      <w:marBottom w:val="0"/>
      <w:divBdr>
        <w:top w:val="none" w:sz="0" w:space="0" w:color="auto"/>
        <w:left w:val="none" w:sz="0" w:space="0" w:color="auto"/>
        <w:bottom w:val="none" w:sz="0" w:space="0" w:color="auto"/>
        <w:right w:val="none" w:sz="0" w:space="0" w:color="auto"/>
      </w:divBdr>
    </w:div>
    <w:div w:id="1757482537">
      <w:bodyDiv w:val="1"/>
      <w:marLeft w:val="0"/>
      <w:marRight w:val="0"/>
      <w:marTop w:val="0"/>
      <w:marBottom w:val="0"/>
      <w:divBdr>
        <w:top w:val="none" w:sz="0" w:space="0" w:color="auto"/>
        <w:left w:val="none" w:sz="0" w:space="0" w:color="auto"/>
        <w:bottom w:val="none" w:sz="0" w:space="0" w:color="auto"/>
        <w:right w:val="none" w:sz="0" w:space="0" w:color="auto"/>
      </w:divBdr>
    </w:div>
    <w:div w:id="1757556014">
      <w:bodyDiv w:val="1"/>
      <w:marLeft w:val="0"/>
      <w:marRight w:val="0"/>
      <w:marTop w:val="0"/>
      <w:marBottom w:val="0"/>
      <w:divBdr>
        <w:top w:val="none" w:sz="0" w:space="0" w:color="auto"/>
        <w:left w:val="none" w:sz="0" w:space="0" w:color="auto"/>
        <w:bottom w:val="none" w:sz="0" w:space="0" w:color="auto"/>
        <w:right w:val="none" w:sz="0" w:space="0" w:color="auto"/>
      </w:divBdr>
    </w:div>
    <w:div w:id="1758162733">
      <w:bodyDiv w:val="1"/>
      <w:marLeft w:val="0"/>
      <w:marRight w:val="0"/>
      <w:marTop w:val="0"/>
      <w:marBottom w:val="0"/>
      <w:divBdr>
        <w:top w:val="none" w:sz="0" w:space="0" w:color="auto"/>
        <w:left w:val="none" w:sz="0" w:space="0" w:color="auto"/>
        <w:bottom w:val="none" w:sz="0" w:space="0" w:color="auto"/>
        <w:right w:val="none" w:sz="0" w:space="0" w:color="auto"/>
      </w:divBdr>
    </w:div>
    <w:div w:id="1758208137">
      <w:bodyDiv w:val="1"/>
      <w:marLeft w:val="0"/>
      <w:marRight w:val="0"/>
      <w:marTop w:val="0"/>
      <w:marBottom w:val="0"/>
      <w:divBdr>
        <w:top w:val="none" w:sz="0" w:space="0" w:color="auto"/>
        <w:left w:val="none" w:sz="0" w:space="0" w:color="auto"/>
        <w:bottom w:val="none" w:sz="0" w:space="0" w:color="auto"/>
        <w:right w:val="none" w:sz="0" w:space="0" w:color="auto"/>
      </w:divBdr>
    </w:div>
    <w:div w:id="1758331386">
      <w:bodyDiv w:val="1"/>
      <w:marLeft w:val="0"/>
      <w:marRight w:val="0"/>
      <w:marTop w:val="0"/>
      <w:marBottom w:val="0"/>
      <w:divBdr>
        <w:top w:val="none" w:sz="0" w:space="0" w:color="auto"/>
        <w:left w:val="none" w:sz="0" w:space="0" w:color="auto"/>
        <w:bottom w:val="none" w:sz="0" w:space="0" w:color="auto"/>
        <w:right w:val="none" w:sz="0" w:space="0" w:color="auto"/>
      </w:divBdr>
    </w:div>
    <w:div w:id="1758362807">
      <w:bodyDiv w:val="1"/>
      <w:marLeft w:val="0"/>
      <w:marRight w:val="0"/>
      <w:marTop w:val="0"/>
      <w:marBottom w:val="0"/>
      <w:divBdr>
        <w:top w:val="none" w:sz="0" w:space="0" w:color="auto"/>
        <w:left w:val="none" w:sz="0" w:space="0" w:color="auto"/>
        <w:bottom w:val="none" w:sz="0" w:space="0" w:color="auto"/>
        <w:right w:val="none" w:sz="0" w:space="0" w:color="auto"/>
      </w:divBdr>
    </w:div>
    <w:div w:id="1758555896">
      <w:bodyDiv w:val="1"/>
      <w:marLeft w:val="0"/>
      <w:marRight w:val="0"/>
      <w:marTop w:val="0"/>
      <w:marBottom w:val="0"/>
      <w:divBdr>
        <w:top w:val="none" w:sz="0" w:space="0" w:color="auto"/>
        <w:left w:val="none" w:sz="0" w:space="0" w:color="auto"/>
        <w:bottom w:val="none" w:sz="0" w:space="0" w:color="auto"/>
        <w:right w:val="none" w:sz="0" w:space="0" w:color="auto"/>
      </w:divBdr>
    </w:div>
    <w:div w:id="1758557130">
      <w:bodyDiv w:val="1"/>
      <w:marLeft w:val="0"/>
      <w:marRight w:val="0"/>
      <w:marTop w:val="0"/>
      <w:marBottom w:val="0"/>
      <w:divBdr>
        <w:top w:val="none" w:sz="0" w:space="0" w:color="auto"/>
        <w:left w:val="none" w:sz="0" w:space="0" w:color="auto"/>
        <w:bottom w:val="none" w:sz="0" w:space="0" w:color="auto"/>
        <w:right w:val="none" w:sz="0" w:space="0" w:color="auto"/>
      </w:divBdr>
    </w:div>
    <w:div w:id="1758675179">
      <w:bodyDiv w:val="1"/>
      <w:marLeft w:val="0"/>
      <w:marRight w:val="0"/>
      <w:marTop w:val="0"/>
      <w:marBottom w:val="0"/>
      <w:divBdr>
        <w:top w:val="none" w:sz="0" w:space="0" w:color="auto"/>
        <w:left w:val="none" w:sz="0" w:space="0" w:color="auto"/>
        <w:bottom w:val="none" w:sz="0" w:space="0" w:color="auto"/>
        <w:right w:val="none" w:sz="0" w:space="0" w:color="auto"/>
      </w:divBdr>
    </w:div>
    <w:div w:id="1758821125">
      <w:bodyDiv w:val="1"/>
      <w:marLeft w:val="0"/>
      <w:marRight w:val="0"/>
      <w:marTop w:val="0"/>
      <w:marBottom w:val="0"/>
      <w:divBdr>
        <w:top w:val="none" w:sz="0" w:space="0" w:color="auto"/>
        <w:left w:val="none" w:sz="0" w:space="0" w:color="auto"/>
        <w:bottom w:val="none" w:sz="0" w:space="0" w:color="auto"/>
        <w:right w:val="none" w:sz="0" w:space="0" w:color="auto"/>
      </w:divBdr>
    </w:div>
    <w:div w:id="1759053700">
      <w:bodyDiv w:val="1"/>
      <w:marLeft w:val="0"/>
      <w:marRight w:val="0"/>
      <w:marTop w:val="0"/>
      <w:marBottom w:val="0"/>
      <w:divBdr>
        <w:top w:val="none" w:sz="0" w:space="0" w:color="auto"/>
        <w:left w:val="none" w:sz="0" w:space="0" w:color="auto"/>
        <w:bottom w:val="none" w:sz="0" w:space="0" w:color="auto"/>
        <w:right w:val="none" w:sz="0" w:space="0" w:color="auto"/>
      </w:divBdr>
    </w:div>
    <w:div w:id="1759249450">
      <w:bodyDiv w:val="1"/>
      <w:marLeft w:val="0"/>
      <w:marRight w:val="0"/>
      <w:marTop w:val="0"/>
      <w:marBottom w:val="0"/>
      <w:divBdr>
        <w:top w:val="none" w:sz="0" w:space="0" w:color="auto"/>
        <w:left w:val="none" w:sz="0" w:space="0" w:color="auto"/>
        <w:bottom w:val="none" w:sz="0" w:space="0" w:color="auto"/>
        <w:right w:val="none" w:sz="0" w:space="0" w:color="auto"/>
      </w:divBdr>
    </w:div>
    <w:div w:id="1759279837">
      <w:bodyDiv w:val="1"/>
      <w:marLeft w:val="0"/>
      <w:marRight w:val="0"/>
      <w:marTop w:val="0"/>
      <w:marBottom w:val="0"/>
      <w:divBdr>
        <w:top w:val="none" w:sz="0" w:space="0" w:color="auto"/>
        <w:left w:val="none" w:sz="0" w:space="0" w:color="auto"/>
        <w:bottom w:val="none" w:sz="0" w:space="0" w:color="auto"/>
        <w:right w:val="none" w:sz="0" w:space="0" w:color="auto"/>
      </w:divBdr>
    </w:div>
    <w:div w:id="1760058270">
      <w:bodyDiv w:val="1"/>
      <w:marLeft w:val="0"/>
      <w:marRight w:val="0"/>
      <w:marTop w:val="0"/>
      <w:marBottom w:val="0"/>
      <w:divBdr>
        <w:top w:val="none" w:sz="0" w:space="0" w:color="auto"/>
        <w:left w:val="none" w:sz="0" w:space="0" w:color="auto"/>
        <w:bottom w:val="none" w:sz="0" w:space="0" w:color="auto"/>
        <w:right w:val="none" w:sz="0" w:space="0" w:color="auto"/>
      </w:divBdr>
    </w:div>
    <w:div w:id="1760103893">
      <w:bodyDiv w:val="1"/>
      <w:marLeft w:val="0"/>
      <w:marRight w:val="0"/>
      <w:marTop w:val="0"/>
      <w:marBottom w:val="0"/>
      <w:divBdr>
        <w:top w:val="none" w:sz="0" w:space="0" w:color="auto"/>
        <w:left w:val="none" w:sz="0" w:space="0" w:color="auto"/>
        <w:bottom w:val="none" w:sz="0" w:space="0" w:color="auto"/>
        <w:right w:val="none" w:sz="0" w:space="0" w:color="auto"/>
      </w:divBdr>
    </w:div>
    <w:div w:id="1760366347">
      <w:bodyDiv w:val="1"/>
      <w:marLeft w:val="0"/>
      <w:marRight w:val="0"/>
      <w:marTop w:val="0"/>
      <w:marBottom w:val="0"/>
      <w:divBdr>
        <w:top w:val="none" w:sz="0" w:space="0" w:color="auto"/>
        <w:left w:val="none" w:sz="0" w:space="0" w:color="auto"/>
        <w:bottom w:val="none" w:sz="0" w:space="0" w:color="auto"/>
        <w:right w:val="none" w:sz="0" w:space="0" w:color="auto"/>
      </w:divBdr>
    </w:div>
    <w:div w:id="1760441306">
      <w:bodyDiv w:val="1"/>
      <w:marLeft w:val="0"/>
      <w:marRight w:val="0"/>
      <w:marTop w:val="0"/>
      <w:marBottom w:val="0"/>
      <w:divBdr>
        <w:top w:val="none" w:sz="0" w:space="0" w:color="auto"/>
        <w:left w:val="none" w:sz="0" w:space="0" w:color="auto"/>
        <w:bottom w:val="none" w:sz="0" w:space="0" w:color="auto"/>
        <w:right w:val="none" w:sz="0" w:space="0" w:color="auto"/>
      </w:divBdr>
    </w:div>
    <w:div w:id="1760446294">
      <w:bodyDiv w:val="1"/>
      <w:marLeft w:val="0"/>
      <w:marRight w:val="0"/>
      <w:marTop w:val="0"/>
      <w:marBottom w:val="0"/>
      <w:divBdr>
        <w:top w:val="none" w:sz="0" w:space="0" w:color="auto"/>
        <w:left w:val="none" w:sz="0" w:space="0" w:color="auto"/>
        <w:bottom w:val="none" w:sz="0" w:space="0" w:color="auto"/>
        <w:right w:val="none" w:sz="0" w:space="0" w:color="auto"/>
      </w:divBdr>
    </w:div>
    <w:div w:id="1760448347">
      <w:bodyDiv w:val="1"/>
      <w:marLeft w:val="0"/>
      <w:marRight w:val="0"/>
      <w:marTop w:val="0"/>
      <w:marBottom w:val="0"/>
      <w:divBdr>
        <w:top w:val="none" w:sz="0" w:space="0" w:color="auto"/>
        <w:left w:val="none" w:sz="0" w:space="0" w:color="auto"/>
        <w:bottom w:val="none" w:sz="0" w:space="0" w:color="auto"/>
        <w:right w:val="none" w:sz="0" w:space="0" w:color="auto"/>
      </w:divBdr>
    </w:div>
    <w:div w:id="1760522524">
      <w:bodyDiv w:val="1"/>
      <w:marLeft w:val="0"/>
      <w:marRight w:val="0"/>
      <w:marTop w:val="0"/>
      <w:marBottom w:val="0"/>
      <w:divBdr>
        <w:top w:val="none" w:sz="0" w:space="0" w:color="auto"/>
        <w:left w:val="none" w:sz="0" w:space="0" w:color="auto"/>
        <w:bottom w:val="none" w:sz="0" w:space="0" w:color="auto"/>
        <w:right w:val="none" w:sz="0" w:space="0" w:color="auto"/>
      </w:divBdr>
    </w:div>
    <w:div w:id="1760562536">
      <w:bodyDiv w:val="1"/>
      <w:marLeft w:val="0"/>
      <w:marRight w:val="0"/>
      <w:marTop w:val="0"/>
      <w:marBottom w:val="0"/>
      <w:divBdr>
        <w:top w:val="none" w:sz="0" w:space="0" w:color="auto"/>
        <w:left w:val="none" w:sz="0" w:space="0" w:color="auto"/>
        <w:bottom w:val="none" w:sz="0" w:space="0" w:color="auto"/>
        <w:right w:val="none" w:sz="0" w:space="0" w:color="auto"/>
      </w:divBdr>
    </w:div>
    <w:div w:id="1760565588">
      <w:bodyDiv w:val="1"/>
      <w:marLeft w:val="0"/>
      <w:marRight w:val="0"/>
      <w:marTop w:val="0"/>
      <w:marBottom w:val="0"/>
      <w:divBdr>
        <w:top w:val="none" w:sz="0" w:space="0" w:color="auto"/>
        <w:left w:val="none" w:sz="0" w:space="0" w:color="auto"/>
        <w:bottom w:val="none" w:sz="0" w:space="0" w:color="auto"/>
        <w:right w:val="none" w:sz="0" w:space="0" w:color="auto"/>
      </w:divBdr>
    </w:div>
    <w:div w:id="1760634624">
      <w:bodyDiv w:val="1"/>
      <w:marLeft w:val="0"/>
      <w:marRight w:val="0"/>
      <w:marTop w:val="0"/>
      <w:marBottom w:val="0"/>
      <w:divBdr>
        <w:top w:val="none" w:sz="0" w:space="0" w:color="auto"/>
        <w:left w:val="none" w:sz="0" w:space="0" w:color="auto"/>
        <w:bottom w:val="none" w:sz="0" w:space="0" w:color="auto"/>
        <w:right w:val="none" w:sz="0" w:space="0" w:color="auto"/>
      </w:divBdr>
    </w:div>
    <w:div w:id="1760708434">
      <w:bodyDiv w:val="1"/>
      <w:marLeft w:val="0"/>
      <w:marRight w:val="0"/>
      <w:marTop w:val="0"/>
      <w:marBottom w:val="0"/>
      <w:divBdr>
        <w:top w:val="none" w:sz="0" w:space="0" w:color="auto"/>
        <w:left w:val="none" w:sz="0" w:space="0" w:color="auto"/>
        <w:bottom w:val="none" w:sz="0" w:space="0" w:color="auto"/>
        <w:right w:val="none" w:sz="0" w:space="0" w:color="auto"/>
      </w:divBdr>
    </w:div>
    <w:div w:id="1760829251">
      <w:bodyDiv w:val="1"/>
      <w:marLeft w:val="0"/>
      <w:marRight w:val="0"/>
      <w:marTop w:val="0"/>
      <w:marBottom w:val="0"/>
      <w:divBdr>
        <w:top w:val="none" w:sz="0" w:space="0" w:color="auto"/>
        <w:left w:val="none" w:sz="0" w:space="0" w:color="auto"/>
        <w:bottom w:val="none" w:sz="0" w:space="0" w:color="auto"/>
        <w:right w:val="none" w:sz="0" w:space="0" w:color="auto"/>
      </w:divBdr>
    </w:div>
    <w:div w:id="1760835739">
      <w:bodyDiv w:val="1"/>
      <w:marLeft w:val="0"/>
      <w:marRight w:val="0"/>
      <w:marTop w:val="0"/>
      <w:marBottom w:val="0"/>
      <w:divBdr>
        <w:top w:val="none" w:sz="0" w:space="0" w:color="auto"/>
        <w:left w:val="none" w:sz="0" w:space="0" w:color="auto"/>
        <w:bottom w:val="none" w:sz="0" w:space="0" w:color="auto"/>
        <w:right w:val="none" w:sz="0" w:space="0" w:color="auto"/>
      </w:divBdr>
    </w:div>
    <w:div w:id="1760907425">
      <w:bodyDiv w:val="1"/>
      <w:marLeft w:val="0"/>
      <w:marRight w:val="0"/>
      <w:marTop w:val="0"/>
      <w:marBottom w:val="0"/>
      <w:divBdr>
        <w:top w:val="none" w:sz="0" w:space="0" w:color="auto"/>
        <w:left w:val="none" w:sz="0" w:space="0" w:color="auto"/>
        <w:bottom w:val="none" w:sz="0" w:space="0" w:color="auto"/>
        <w:right w:val="none" w:sz="0" w:space="0" w:color="auto"/>
      </w:divBdr>
    </w:div>
    <w:div w:id="1760909224">
      <w:bodyDiv w:val="1"/>
      <w:marLeft w:val="0"/>
      <w:marRight w:val="0"/>
      <w:marTop w:val="0"/>
      <w:marBottom w:val="0"/>
      <w:divBdr>
        <w:top w:val="none" w:sz="0" w:space="0" w:color="auto"/>
        <w:left w:val="none" w:sz="0" w:space="0" w:color="auto"/>
        <w:bottom w:val="none" w:sz="0" w:space="0" w:color="auto"/>
        <w:right w:val="none" w:sz="0" w:space="0" w:color="auto"/>
      </w:divBdr>
    </w:div>
    <w:div w:id="1761365223">
      <w:bodyDiv w:val="1"/>
      <w:marLeft w:val="0"/>
      <w:marRight w:val="0"/>
      <w:marTop w:val="0"/>
      <w:marBottom w:val="0"/>
      <w:divBdr>
        <w:top w:val="none" w:sz="0" w:space="0" w:color="auto"/>
        <w:left w:val="none" w:sz="0" w:space="0" w:color="auto"/>
        <w:bottom w:val="none" w:sz="0" w:space="0" w:color="auto"/>
        <w:right w:val="none" w:sz="0" w:space="0" w:color="auto"/>
      </w:divBdr>
    </w:div>
    <w:div w:id="1761565014">
      <w:bodyDiv w:val="1"/>
      <w:marLeft w:val="0"/>
      <w:marRight w:val="0"/>
      <w:marTop w:val="0"/>
      <w:marBottom w:val="0"/>
      <w:divBdr>
        <w:top w:val="none" w:sz="0" w:space="0" w:color="auto"/>
        <w:left w:val="none" w:sz="0" w:space="0" w:color="auto"/>
        <w:bottom w:val="none" w:sz="0" w:space="0" w:color="auto"/>
        <w:right w:val="none" w:sz="0" w:space="0" w:color="auto"/>
      </w:divBdr>
    </w:div>
    <w:div w:id="1761637803">
      <w:bodyDiv w:val="1"/>
      <w:marLeft w:val="0"/>
      <w:marRight w:val="0"/>
      <w:marTop w:val="0"/>
      <w:marBottom w:val="0"/>
      <w:divBdr>
        <w:top w:val="none" w:sz="0" w:space="0" w:color="auto"/>
        <w:left w:val="none" w:sz="0" w:space="0" w:color="auto"/>
        <w:bottom w:val="none" w:sz="0" w:space="0" w:color="auto"/>
        <w:right w:val="none" w:sz="0" w:space="0" w:color="auto"/>
      </w:divBdr>
    </w:div>
    <w:div w:id="1761677242">
      <w:bodyDiv w:val="1"/>
      <w:marLeft w:val="0"/>
      <w:marRight w:val="0"/>
      <w:marTop w:val="0"/>
      <w:marBottom w:val="0"/>
      <w:divBdr>
        <w:top w:val="none" w:sz="0" w:space="0" w:color="auto"/>
        <w:left w:val="none" w:sz="0" w:space="0" w:color="auto"/>
        <w:bottom w:val="none" w:sz="0" w:space="0" w:color="auto"/>
        <w:right w:val="none" w:sz="0" w:space="0" w:color="auto"/>
      </w:divBdr>
    </w:div>
    <w:div w:id="1761753333">
      <w:bodyDiv w:val="1"/>
      <w:marLeft w:val="0"/>
      <w:marRight w:val="0"/>
      <w:marTop w:val="0"/>
      <w:marBottom w:val="0"/>
      <w:divBdr>
        <w:top w:val="none" w:sz="0" w:space="0" w:color="auto"/>
        <w:left w:val="none" w:sz="0" w:space="0" w:color="auto"/>
        <w:bottom w:val="none" w:sz="0" w:space="0" w:color="auto"/>
        <w:right w:val="none" w:sz="0" w:space="0" w:color="auto"/>
      </w:divBdr>
    </w:div>
    <w:div w:id="1761755931">
      <w:bodyDiv w:val="1"/>
      <w:marLeft w:val="0"/>
      <w:marRight w:val="0"/>
      <w:marTop w:val="0"/>
      <w:marBottom w:val="0"/>
      <w:divBdr>
        <w:top w:val="none" w:sz="0" w:space="0" w:color="auto"/>
        <w:left w:val="none" w:sz="0" w:space="0" w:color="auto"/>
        <w:bottom w:val="none" w:sz="0" w:space="0" w:color="auto"/>
        <w:right w:val="none" w:sz="0" w:space="0" w:color="auto"/>
      </w:divBdr>
    </w:div>
    <w:div w:id="1761951337">
      <w:bodyDiv w:val="1"/>
      <w:marLeft w:val="0"/>
      <w:marRight w:val="0"/>
      <w:marTop w:val="0"/>
      <w:marBottom w:val="0"/>
      <w:divBdr>
        <w:top w:val="none" w:sz="0" w:space="0" w:color="auto"/>
        <w:left w:val="none" w:sz="0" w:space="0" w:color="auto"/>
        <w:bottom w:val="none" w:sz="0" w:space="0" w:color="auto"/>
        <w:right w:val="none" w:sz="0" w:space="0" w:color="auto"/>
      </w:divBdr>
    </w:div>
    <w:div w:id="1761953047">
      <w:bodyDiv w:val="1"/>
      <w:marLeft w:val="0"/>
      <w:marRight w:val="0"/>
      <w:marTop w:val="0"/>
      <w:marBottom w:val="0"/>
      <w:divBdr>
        <w:top w:val="none" w:sz="0" w:space="0" w:color="auto"/>
        <w:left w:val="none" w:sz="0" w:space="0" w:color="auto"/>
        <w:bottom w:val="none" w:sz="0" w:space="0" w:color="auto"/>
        <w:right w:val="none" w:sz="0" w:space="0" w:color="auto"/>
      </w:divBdr>
    </w:div>
    <w:div w:id="1762140520">
      <w:bodyDiv w:val="1"/>
      <w:marLeft w:val="0"/>
      <w:marRight w:val="0"/>
      <w:marTop w:val="0"/>
      <w:marBottom w:val="0"/>
      <w:divBdr>
        <w:top w:val="none" w:sz="0" w:space="0" w:color="auto"/>
        <w:left w:val="none" w:sz="0" w:space="0" w:color="auto"/>
        <w:bottom w:val="none" w:sz="0" w:space="0" w:color="auto"/>
        <w:right w:val="none" w:sz="0" w:space="0" w:color="auto"/>
      </w:divBdr>
    </w:div>
    <w:div w:id="1762219446">
      <w:bodyDiv w:val="1"/>
      <w:marLeft w:val="0"/>
      <w:marRight w:val="0"/>
      <w:marTop w:val="0"/>
      <w:marBottom w:val="0"/>
      <w:divBdr>
        <w:top w:val="none" w:sz="0" w:space="0" w:color="auto"/>
        <w:left w:val="none" w:sz="0" w:space="0" w:color="auto"/>
        <w:bottom w:val="none" w:sz="0" w:space="0" w:color="auto"/>
        <w:right w:val="none" w:sz="0" w:space="0" w:color="auto"/>
      </w:divBdr>
    </w:div>
    <w:div w:id="1762290632">
      <w:bodyDiv w:val="1"/>
      <w:marLeft w:val="0"/>
      <w:marRight w:val="0"/>
      <w:marTop w:val="0"/>
      <w:marBottom w:val="0"/>
      <w:divBdr>
        <w:top w:val="none" w:sz="0" w:space="0" w:color="auto"/>
        <w:left w:val="none" w:sz="0" w:space="0" w:color="auto"/>
        <w:bottom w:val="none" w:sz="0" w:space="0" w:color="auto"/>
        <w:right w:val="none" w:sz="0" w:space="0" w:color="auto"/>
      </w:divBdr>
    </w:div>
    <w:div w:id="1762793533">
      <w:bodyDiv w:val="1"/>
      <w:marLeft w:val="0"/>
      <w:marRight w:val="0"/>
      <w:marTop w:val="0"/>
      <w:marBottom w:val="0"/>
      <w:divBdr>
        <w:top w:val="none" w:sz="0" w:space="0" w:color="auto"/>
        <w:left w:val="none" w:sz="0" w:space="0" w:color="auto"/>
        <w:bottom w:val="none" w:sz="0" w:space="0" w:color="auto"/>
        <w:right w:val="none" w:sz="0" w:space="0" w:color="auto"/>
      </w:divBdr>
    </w:div>
    <w:div w:id="1762948920">
      <w:bodyDiv w:val="1"/>
      <w:marLeft w:val="0"/>
      <w:marRight w:val="0"/>
      <w:marTop w:val="0"/>
      <w:marBottom w:val="0"/>
      <w:divBdr>
        <w:top w:val="none" w:sz="0" w:space="0" w:color="auto"/>
        <w:left w:val="none" w:sz="0" w:space="0" w:color="auto"/>
        <w:bottom w:val="none" w:sz="0" w:space="0" w:color="auto"/>
        <w:right w:val="none" w:sz="0" w:space="0" w:color="auto"/>
      </w:divBdr>
    </w:div>
    <w:div w:id="1762989248">
      <w:bodyDiv w:val="1"/>
      <w:marLeft w:val="0"/>
      <w:marRight w:val="0"/>
      <w:marTop w:val="0"/>
      <w:marBottom w:val="0"/>
      <w:divBdr>
        <w:top w:val="none" w:sz="0" w:space="0" w:color="auto"/>
        <w:left w:val="none" w:sz="0" w:space="0" w:color="auto"/>
        <w:bottom w:val="none" w:sz="0" w:space="0" w:color="auto"/>
        <w:right w:val="none" w:sz="0" w:space="0" w:color="auto"/>
      </w:divBdr>
    </w:div>
    <w:div w:id="1763063946">
      <w:bodyDiv w:val="1"/>
      <w:marLeft w:val="0"/>
      <w:marRight w:val="0"/>
      <w:marTop w:val="0"/>
      <w:marBottom w:val="0"/>
      <w:divBdr>
        <w:top w:val="none" w:sz="0" w:space="0" w:color="auto"/>
        <w:left w:val="none" w:sz="0" w:space="0" w:color="auto"/>
        <w:bottom w:val="none" w:sz="0" w:space="0" w:color="auto"/>
        <w:right w:val="none" w:sz="0" w:space="0" w:color="auto"/>
      </w:divBdr>
    </w:div>
    <w:div w:id="1763337507">
      <w:bodyDiv w:val="1"/>
      <w:marLeft w:val="0"/>
      <w:marRight w:val="0"/>
      <w:marTop w:val="0"/>
      <w:marBottom w:val="0"/>
      <w:divBdr>
        <w:top w:val="none" w:sz="0" w:space="0" w:color="auto"/>
        <w:left w:val="none" w:sz="0" w:space="0" w:color="auto"/>
        <w:bottom w:val="none" w:sz="0" w:space="0" w:color="auto"/>
        <w:right w:val="none" w:sz="0" w:space="0" w:color="auto"/>
      </w:divBdr>
    </w:div>
    <w:div w:id="1763337909">
      <w:bodyDiv w:val="1"/>
      <w:marLeft w:val="0"/>
      <w:marRight w:val="0"/>
      <w:marTop w:val="0"/>
      <w:marBottom w:val="0"/>
      <w:divBdr>
        <w:top w:val="none" w:sz="0" w:space="0" w:color="auto"/>
        <w:left w:val="none" w:sz="0" w:space="0" w:color="auto"/>
        <w:bottom w:val="none" w:sz="0" w:space="0" w:color="auto"/>
        <w:right w:val="none" w:sz="0" w:space="0" w:color="auto"/>
      </w:divBdr>
    </w:div>
    <w:div w:id="1763523088">
      <w:bodyDiv w:val="1"/>
      <w:marLeft w:val="0"/>
      <w:marRight w:val="0"/>
      <w:marTop w:val="0"/>
      <w:marBottom w:val="0"/>
      <w:divBdr>
        <w:top w:val="none" w:sz="0" w:space="0" w:color="auto"/>
        <w:left w:val="none" w:sz="0" w:space="0" w:color="auto"/>
        <w:bottom w:val="none" w:sz="0" w:space="0" w:color="auto"/>
        <w:right w:val="none" w:sz="0" w:space="0" w:color="auto"/>
      </w:divBdr>
    </w:div>
    <w:div w:id="1763792878">
      <w:bodyDiv w:val="1"/>
      <w:marLeft w:val="0"/>
      <w:marRight w:val="0"/>
      <w:marTop w:val="0"/>
      <w:marBottom w:val="0"/>
      <w:divBdr>
        <w:top w:val="none" w:sz="0" w:space="0" w:color="auto"/>
        <w:left w:val="none" w:sz="0" w:space="0" w:color="auto"/>
        <w:bottom w:val="none" w:sz="0" w:space="0" w:color="auto"/>
        <w:right w:val="none" w:sz="0" w:space="0" w:color="auto"/>
      </w:divBdr>
    </w:div>
    <w:div w:id="1763796442">
      <w:bodyDiv w:val="1"/>
      <w:marLeft w:val="0"/>
      <w:marRight w:val="0"/>
      <w:marTop w:val="0"/>
      <w:marBottom w:val="0"/>
      <w:divBdr>
        <w:top w:val="none" w:sz="0" w:space="0" w:color="auto"/>
        <w:left w:val="none" w:sz="0" w:space="0" w:color="auto"/>
        <w:bottom w:val="none" w:sz="0" w:space="0" w:color="auto"/>
        <w:right w:val="none" w:sz="0" w:space="0" w:color="auto"/>
      </w:divBdr>
    </w:div>
    <w:div w:id="1763838747">
      <w:bodyDiv w:val="1"/>
      <w:marLeft w:val="0"/>
      <w:marRight w:val="0"/>
      <w:marTop w:val="0"/>
      <w:marBottom w:val="0"/>
      <w:divBdr>
        <w:top w:val="none" w:sz="0" w:space="0" w:color="auto"/>
        <w:left w:val="none" w:sz="0" w:space="0" w:color="auto"/>
        <w:bottom w:val="none" w:sz="0" w:space="0" w:color="auto"/>
        <w:right w:val="none" w:sz="0" w:space="0" w:color="auto"/>
      </w:divBdr>
    </w:div>
    <w:div w:id="1763915985">
      <w:bodyDiv w:val="1"/>
      <w:marLeft w:val="0"/>
      <w:marRight w:val="0"/>
      <w:marTop w:val="0"/>
      <w:marBottom w:val="0"/>
      <w:divBdr>
        <w:top w:val="none" w:sz="0" w:space="0" w:color="auto"/>
        <w:left w:val="none" w:sz="0" w:space="0" w:color="auto"/>
        <w:bottom w:val="none" w:sz="0" w:space="0" w:color="auto"/>
        <w:right w:val="none" w:sz="0" w:space="0" w:color="auto"/>
      </w:divBdr>
    </w:div>
    <w:div w:id="1763917341">
      <w:bodyDiv w:val="1"/>
      <w:marLeft w:val="0"/>
      <w:marRight w:val="0"/>
      <w:marTop w:val="0"/>
      <w:marBottom w:val="0"/>
      <w:divBdr>
        <w:top w:val="none" w:sz="0" w:space="0" w:color="auto"/>
        <w:left w:val="none" w:sz="0" w:space="0" w:color="auto"/>
        <w:bottom w:val="none" w:sz="0" w:space="0" w:color="auto"/>
        <w:right w:val="none" w:sz="0" w:space="0" w:color="auto"/>
      </w:divBdr>
    </w:div>
    <w:div w:id="1763984699">
      <w:bodyDiv w:val="1"/>
      <w:marLeft w:val="0"/>
      <w:marRight w:val="0"/>
      <w:marTop w:val="0"/>
      <w:marBottom w:val="0"/>
      <w:divBdr>
        <w:top w:val="none" w:sz="0" w:space="0" w:color="auto"/>
        <w:left w:val="none" w:sz="0" w:space="0" w:color="auto"/>
        <w:bottom w:val="none" w:sz="0" w:space="0" w:color="auto"/>
        <w:right w:val="none" w:sz="0" w:space="0" w:color="auto"/>
      </w:divBdr>
    </w:div>
    <w:div w:id="1763985403">
      <w:bodyDiv w:val="1"/>
      <w:marLeft w:val="0"/>
      <w:marRight w:val="0"/>
      <w:marTop w:val="0"/>
      <w:marBottom w:val="0"/>
      <w:divBdr>
        <w:top w:val="none" w:sz="0" w:space="0" w:color="auto"/>
        <w:left w:val="none" w:sz="0" w:space="0" w:color="auto"/>
        <w:bottom w:val="none" w:sz="0" w:space="0" w:color="auto"/>
        <w:right w:val="none" w:sz="0" w:space="0" w:color="auto"/>
      </w:divBdr>
    </w:div>
    <w:div w:id="1764063798">
      <w:bodyDiv w:val="1"/>
      <w:marLeft w:val="0"/>
      <w:marRight w:val="0"/>
      <w:marTop w:val="0"/>
      <w:marBottom w:val="0"/>
      <w:divBdr>
        <w:top w:val="none" w:sz="0" w:space="0" w:color="auto"/>
        <w:left w:val="none" w:sz="0" w:space="0" w:color="auto"/>
        <w:bottom w:val="none" w:sz="0" w:space="0" w:color="auto"/>
        <w:right w:val="none" w:sz="0" w:space="0" w:color="auto"/>
      </w:divBdr>
    </w:div>
    <w:div w:id="1764102783">
      <w:bodyDiv w:val="1"/>
      <w:marLeft w:val="0"/>
      <w:marRight w:val="0"/>
      <w:marTop w:val="0"/>
      <w:marBottom w:val="0"/>
      <w:divBdr>
        <w:top w:val="none" w:sz="0" w:space="0" w:color="auto"/>
        <w:left w:val="none" w:sz="0" w:space="0" w:color="auto"/>
        <w:bottom w:val="none" w:sz="0" w:space="0" w:color="auto"/>
        <w:right w:val="none" w:sz="0" w:space="0" w:color="auto"/>
      </w:divBdr>
    </w:div>
    <w:div w:id="1764255172">
      <w:bodyDiv w:val="1"/>
      <w:marLeft w:val="0"/>
      <w:marRight w:val="0"/>
      <w:marTop w:val="0"/>
      <w:marBottom w:val="0"/>
      <w:divBdr>
        <w:top w:val="none" w:sz="0" w:space="0" w:color="auto"/>
        <w:left w:val="none" w:sz="0" w:space="0" w:color="auto"/>
        <w:bottom w:val="none" w:sz="0" w:space="0" w:color="auto"/>
        <w:right w:val="none" w:sz="0" w:space="0" w:color="auto"/>
      </w:divBdr>
    </w:div>
    <w:div w:id="1764299687">
      <w:bodyDiv w:val="1"/>
      <w:marLeft w:val="0"/>
      <w:marRight w:val="0"/>
      <w:marTop w:val="0"/>
      <w:marBottom w:val="0"/>
      <w:divBdr>
        <w:top w:val="none" w:sz="0" w:space="0" w:color="auto"/>
        <w:left w:val="none" w:sz="0" w:space="0" w:color="auto"/>
        <w:bottom w:val="none" w:sz="0" w:space="0" w:color="auto"/>
        <w:right w:val="none" w:sz="0" w:space="0" w:color="auto"/>
      </w:divBdr>
    </w:div>
    <w:div w:id="1764759611">
      <w:bodyDiv w:val="1"/>
      <w:marLeft w:val="0"/>
      <w:marRight w:val="0"/>
      <w:marTop w:val="0"/>
      <w:marBottom w:val="0"/>
      <w:divBdr>
        <w:top w:val="none" w:sz="0" w:space="0" w:color="auto"/>
        <w:left w:val="none" w:sz="0" w:space="0" w:color="auto"/>
        <w:bottom w:val="none" w:sz="0" w:space="0" w:color="auto"/>
        <w:right w:val="none" w:sz="0" w:space="0" w:color="auto"/>
      </w:divBdr>
    </w:div>
    <w:div w:id="1765110704">
      <w:bodyDiv w:val="1"/>
      <w:marLeft w:val="0"/>
      <w:marRight w:val="0"/>
      <w:marTop w:val="0"/>
      <w:marBottom w:val="0"/>
      <w:divBdr>
        <w:top w:val="none" w:sz="0" w:space="0" w:color="auto"/>
        <w:left w:val="none" w:sz="0" w:space="0" w:color="auto"/>
        <w:bottom w:val="none" w:sz="0" w:space="0" w:color="auto"/>
        <w:right w:val="none" w:sz="0" w:space="0" w:color="auto"/>
      </w:divBdr>
    </w:div>
    <w:div w:id="1765151037">
      <w:bodyDiv w:val="1"/>
      <w:marLeft w:val="0"/>
      <w:marRight w:val="0"/>
      <w:marTop w:val="0"/>
      <w:marBottom w:val="0"/>
      <w:divBdr>
        <w:top w:val="none" w:sz="0" w:space="0" w:color="auto"/>
        <w:left w:val="none" w:sz="0" w:space="0" w:color="auto"/>
        <w:bottom w:val="none" w:sz="0" w:space="0" w:color="auto"/>
        <w:right w:val="none" w:sz="0" w:space="0" w:color="auto"/>
      </w:divBdr>
    </w:div>
    <w:div w:id="1765154113">
      <w:bodyDiv w:val="1"/>
      <w:marLeft w:val="0"/>
      <w:marRight w:val="0"/>
      <w:marTop w:val="0"/>
      <w:marBottom w:val="0"/>
      <w:divBdr>
        <w:top w:val="none" w:sz="0" w:space="0" w:color="auto"/>
        <w:left w:val="none" w:sz="0" w:space="0" w:color="auto"/>
        <w:bottom w:val="none" w:sz="0" w:space="0" w:color="auto"/>
        <w:right w:val="none" w:sz="0" w:space="0" w:color="auto"/>
      </w:divBdr>
    </w:div>
    <w:div w:id="1765223863">
      <w:bodyDiv w:val="1"/>
      <w:marLeft w:val="0"/>
      <w:marRight w:val="0"/>
      <w:marTop w:val="0"/>
      <w:marBottom w:val="0"/>
      <w:divBdr>
        <w:top w:val="none" w:sz="0" w:space="0" w:color="auto"/>
        <w:left w:val="none" w:sz="0" w:space="0" w:color="auto"/>
        <w:bottom w:val="none" w:sz="0" w:space="0" w:color="auto"/>
        <w:right w:val="none" w:sz="0" w:space="0" w:color="auto"/>
      </w:divBdr>
    </w:div>
    <w:div w:id="1765228919">
      <w:bodyDiv w:val="1"/>
      <w:marLeft w:val="0"/>
      <w:marRight w:val="0"/>
      <w:marTop w:val="0"/>
      <w:marBottom w:val="0"/>
      <w:divBdr>
        <w:top w:val="none" w:sz="0" w:space="0" w:color="auto"/>
        <w:left w:val="none" w:sz="0" w:space="0" w:color="auto"/>
        <w:bottom w:val="none" w:sz="0" w:space="0" w:color="auto"/>
        <w:right w:val="none" w:sz="0" w:space="0" w:color="auto"/>
      </w:divBdr>
    </w:div>
    <w:div w:id="1765295288">
      <w:bodyDiv w:val="1"/>
      <w:marLeft w:val="0"/>
      <w:marRight w:val="0"/>
      <w:marTop w:val="0"/>
      <w:marBottom w:val="0"/>
      <w:divBdr>
        <w:top w:val="none" w:sz="0" w:space="0" w:color="auto"/>
        <w:left w:val="none" w:sz="0" w:space="0" w:color="auto"/>
        <w:bottom w:val="none" w:sz="0" w:space="0" w:color="auto"/>
        <w:right w:val="none" w:sz="0" w:space="0" w:color="auto"/>
      </w:divBdr>
    </w:div>
    <w:div w:id="1765489660">
      <w:bodyDiv w:val="1"/>
      <w:marLeft w:val="0"/>
      <w:marRight w:val="0"/>
      <w:marTop w:val="0"/>
      <w:marBottom w:val="0"/>
      <w:divBdr>
        <w:top w:val="none" w:sz="0" w:space="0" w:color="auto"/>
        <w:left w:val="none" w:sz="0" w:space="0" w:color="auto"/>
        <w:bottom w:val="none" w:sz="0" w:space="0" w:color="auto"/>
        <w:right w:val="none" w:sz="0" w:space="0" w:color="auto"/>
      </w:divBdr>
    </w:div>
    <w:div w:id="1765570124">
      <w:bodyDiv w:val="1"/>
      <w:marLeft w:val="0"/>
      <w:marRight w:val="0"/>
      <w:marTop w:val="0"/>
      <w:marBottom w:val="0"/>
      <w:divBdr>
        <w:top w:val="none" w:sz="0" w:space="0" w:color="auto"/>
        <w:left w:val="none" w:sz="0" w:space="0" w:color="auto"/>
        <w:bottom w:val="none" w:sz="0" w:space="0" w:color="auto"/>
        <w:right w:val="none" w:sz="0" w:space="0" w:color="auto"/>
      </w:divBdr>
    </w:div>
    <w:div w:id="1765683358">
      <w:bodyDiv w:val="1"/>
      <w:marLeft w:val="0"/>
      <w:marRight w:val="0"/>
      <w:marTop w:val="0"/>
      <w:marBottom w:val="0"/>
      <w:divBdr>
        <w:top w:val="none" w:sz="0" w:space="0" w:color="auto"/>
        <w:left w:val="none" w:sz="0" w:space="0" w:color="auto"/>
        <w:bottom w:val="none" w:sz="0" w:space="0" w:color="auto"/>
        <w:right w:val="none" w:sz="0" w:space="0" w:color="auto"/>
      </w:divBdr>
    </w:div>
    <w:div w:id="1765765556">
      <w:bodyDiv w:val="1"/>
      <w:marLeft w:val="0"/>
      <w:marRight w:val="0"/>
      <w:marTop w:val="0"/>
      <w:marBottom w:val="0"/>
      <w:divBdr>
        <w:top w:val="none" w:sz="0" w:space="0" w:color="auto"/>
        <w:left w:val="none" w:sz="0" w:space="0" w:color="auto"/>
        <w:bottom w:val="none" w:sz="0" w:space="0" w:color="auto"/>
        <w:right w:val="none" w:sz="0" w:space="0" w:color="auto"/>
      </w:divBdr>
    </w:div>
    <w:div w:id="1765833883">
      <w:bodyDiv w:val="1"/>
      <w:marLeft w:val="0"/>
      <w:marRight w:val="0"/>
      <w:marTop w:val="0"/>
      <w:marBottom w:val="0"/>
      <w:divBdr>
        <w:top w:val="none" w:sz="0" w:space="0" w:color="auto"/>
        <w:left w:val="none" w:sz="0" w:space="0" w:color="auto"/>
        <w:bottom w:val="none" w:sz="0" w:space="0" w:color="auto"/>
        <w:right w:val="none" w:sz="0" w:space="0" w:color="auto"/>
      </w:divBdr>
    </w:div>
    <w:div w:id="1765878740">
      <w:bodyDiv w:val="1"/>
      <w:marLeft w:val="0"/>
      <w:marRight w:val="0"/>
      <w:marTop w:val="0"/>
      <w:marBottom w:val="0"/>
      <w:divBdr>
        <w:top w:val="none" w:sz="0" w:space="0" w:color="auto"/>
        <w:left w:val="none" w:sz="0" w:space="0" w:color="auto"/>
        <w:bottom w:val="none" w:sz="0" w:space="0" w:color="auto"/>
        <w:right w:val="none" w:sz="0" w:space="0" w:color="auto"/>
      </w:divBdr>
    </w:div>
    <w:div w:id="1766224214">
      <w:bodyDiv w:val="1"/>
      <w:marLeft w:val="0"/>
      <w:marRight w:val="0"/>
      <w:marTop w:val="0"/>
      <w:marBottom w:val="0"/>
      <w:divBdr>
        <w:top w:val="none" w:sz="0" w:space="0" w:color="auto"/>
        <w:left w:val="none" w:sz="0" w:space="0" w:color="auto"/>
        <w:bottom w:val="none" w:sz="0" w:space="0" w:color="auto"/>
        <w:right w:val="none" w:sz="0" w:space="0" w:color="auto"/>
      </w:divBdr>
    </w:div>
    <w:div w:id="1766262281">
      <w:bodyDiv w:val="1"/>
      <w:marLeft w:val="0"/>
      <w:marRight w:val="0"/>
      <w:marTop w:val="0"/>
      <w:marBottom w:val="0"/>
      <w:divBdr>
        <w:top w:val="none" w:sz="0" w:space="0" w:color="auto"/>
        <w:left w:val="none" w:sz="0" w:space="0" w:color="auto"/>
        <w:bottom w:val="none" w:sz="0" w:space="0" w:color="auto"/>
        <w:right w:val="none" w:sz="0" w:space="0" w:color="auto"/>
      </w:divBdr>
    </w:div>
    <w:div w:id="1766270174">
      <w:bodyDiv w:val="1"/>
      <w:marLeft w:val="0"/>
      <w:marRight w:val="0"/>
      <w:marTop w:val="0"/>
      <w:marBottom w:val="0"/>
      <w:divBdr>
        <w:top w:val="none" w:sz="0" w:space="0" w:color="auto"/>
        <w:left w:val="none" w:sz="0" w:space="0" w:color="auto"/>
        <w:bottom w:val="none" w:sz="0" w:space="0" w:color="auto"/>
        <w:right w:val="none" w:sz="0" w:space="0" w:color="auto"/>
      </w:divBdr>
    </w:div>
    <w:div w:id="1766416070">
      <w:bodyDiv w:val="1"/>
      <w:marLeft w:val="0"/>
      <w:marRight w:val="0"/>
      <w:marTop w:val="0"/>
      <w:marBottom w:val="0"/>
      <w:divBdr>
        <w:top w:val="none" w:sz="0" w:space="0" w:color="auto"/>
        <w:left w:val="none" w:sz="0" w:space="0" w:color="auto"/>
        <w:bottom w:val="none" w:sz="0" w:space="0" w:color="auto"/>
        <w:right w:val="none" w:sz="0" w:space="0" w:color="auto"/>
      </w:divBdr>
    </w:div>
    <w:div w:id="1766417392">
      <w:bodyDiv w:val="1"/>
      <w:marLeft w:val="0"/>
      <w:marRight w:val="0"/>
      <w:marTop w:val="0"/>
      <w:marBottom w:val="0"/>
      <w:divBdr>
        <w:top w:val="none" w:sz="0" w:space="0" w:color="auto"/>
        <w:left w:val="none" w:sz="0" w:space="0" w:color="auto"/>
        <w:bottom w:val="none" w:sz="0" w:space="0" w:color="auto"/>
        <w:right w:val="none" w:sz="0" w:space="0" w:color="auto"/>
      </w:divBdr>
    </w:div>
    <w:div w:id="1766615433">
      <w:bodyDiv w:val="1"/>
      <w:marLeft w:val="0"/>
      <w:marRight w:val="0"/>
      <w:marTop w:val="0"/>
      <w:marBottom w:val="0"/>
      <w:divBdr>
        <w:top w:val="none" w:sz="0" w:space="0" w:color="auto"/>
        <w:left w:val="none" w:sz="0" w:space="0" w:color="auto"/>
        <w:bottom w:val="none" w:sz="0" w:space="0" w:color="auto"/>
        <w:right w:val="none" w:sz="0" w:space="0" w:color="auto"/>
      </w:divBdr>
    </w:div>
    <w:div w:id="1766729882">
      <w:bodyDiv w:val="1"/>
      <w:marLeft w:val="0"/>
      <w:marRight w:val="0"/>
      <w:marTop w:val="0"/>
      <w:marBottom w:val="0"/>
      <w:divBdr>
        <w:top w:val="none" w:sz="0" w:space="0" w:color="auto"/>
        <w:left w:val="none" w:sz="0" w:space="0" w:color="auto"/>
        <w:bottom w:val="none" w:sz="0" w:space="0" w:color="auto"/>
        <w:right w:val="none" w:sz="0" w:space="0" w:color="auto"/>
      </w:divBdr>
    </w:div>
    <w:div w:id="1766800641">
      <w:bodyDiv w:val="1"/>
      <w:marLeft w:val="0"/>
      <w:marRight w:val="0"/>
      <w:marTop w:val="0"/>
      <w:marBottom w:val="0"/>
      <w:divBdr>
        <w:top w:val="none" w:sz="0" w:space="0" w:color="auto"/>
        <w:left w:val="none" w:sz="0" w:space="0" w:color="auto"/>
        <w:bottom w:val="none" w:sz="0" w:space="0" w:color="auto"/>
        <w:right w:val="none" w:sz="0" w:space="0" w:color="auto"/>
      </w:divBdr>
    </w:div>
    <w:div w:id="1766802142">
      <w:bodyDiv w:val="1"/>
      <w:marLeft w:val="0"/>
      <w:marRight w:val="0"/>
      <w:marTop w:val="0"/>
      <w:marBottom w:val="0"/>
      <w:divBdr>
        <w:top w:val="none" w:sz="0" w:space="0" w:color="auto"/>
        <w:left w:val="none" w:sz="0" w:space="0" w:color="auto"/>
        <w:bottom w:val="none" w:sz="0" w:space="0" w:color="auto"/>
        <w:right w:val="none" w:sz="0" w:space="0" w:color="auto"/>
      </w:divBdr>
    </w:div>
    <w:div w:id="1766992833">
      <w:bodyDiv w:val="1"/>
      <w:marLeft w:val="0"/>
      <w:marRight w:val="0"/>
      <w:marTop w:val="0"/>
      <w:marBottom w:val="0"/>
      <w:divBdr>
        <w:top w:val="none" w:sz="0" w:space="0" w:color="auto"/>
        <w:left w:val="none" w:sz="0" w:space="0" w:color="auto"/>
        <w:bottom w:val="none" w:sz="0" w:space="0" w:color="auto"/>
        <w:right w:val="none" w:sz="0" w:space="0" w:color="auto"/>
      </w:divBdr>
    </w:div>
    <w:div w:id="1766997645">
      <w:bodyDiv w:val="1"/>
      <w:marLeft w:val="0"/>
      <w:marRight w:val="0"/>
      <w:marTop w:val="0"/>
      <w:marBottom w:val="0"/>
      <w:divBdr>
        <w:top w:val="none" w:sz="0" w:space="0" w:color="auto"/>
        <w:left w:val="none" w:sz="0" w:space="0" w:color="auto"/>
        <w:bottom w:val="none" w:sz="0" w:space="0" w:color="auto"/>
        <w:right w:val="none" w:sz="0" w:space="0" w:color="auto"/>
      </w:divBdr>
    </w:div>
    <w:div w:id="1767188731">
      <w:bodyDiv w:val="1"/>
      <w:marLeft w:val="0"/>
      <w:marRight w:val="0"/>
      <w:marTop w:val="0"/>
      <w:marBottom w:val="0"/>
      <w:divBdr>
        <w:top w:val="none" w:sz="0" w:space="0" w:color="auto"/>
        <w:left w:val="none" w:sz="0" w:space="0" w:color="auto"/>
        <w:bottom w:val="none" w:sz="0" w:space="0" w:color="auto"/>
        <w:right w:val="none" w:sz="0" w:space="0" w:color="auto"/>
      </w:divBdr>
    </w:div>
    <w:div w:id="1767194396">
      <w:bodyDiv w:val="1"/>
      <w:marLeft w:val="0"/>
      <w:marRight w:val="0"/>
      <w:marTop w:val="0"/>
      <w:marBottom w:val="0"/>
      <w:divBdr>
        <w:top w:val="none" w:sz="0" w:space="0" w:color="auto"/>
        <w:left w:val="none" w:sz="0" w:space="0" w:color="auto"/>
        <w:bottom w:val="none" w:sz="0" w:space="0" w:color="auto"/>
        <w:right w:val="none" w:sz="0" w:space="0" w:color="auto"/>
      </w:divBdr>
    </w:div>
    <w:div w:id="1767269660">
      <w:bodyDiv w:val="1"/>
      <w:marLeft w:val="0"/>
      <w:marRight w:val="0"/>
      <w:marTop w:val="0"/>
      <w:marBottom w:val="0"/>
      <w:divBdr>
        <w:top w:val="none" w:sz="0" w:space="0" w:color="auto"/>
        <w:left w:val="none" w:sz="0" w:space="0" w:color="auto"/>
        <w:bottom w:val="none" w:sz="0" w:space="0" w:color="auto"/>
        <w:right w:val="none" w:sz="0" w:space="0" w:color="auto"/>
      </w:divBdr>
    </w:div>
    <w:div w:id="1767309965">
      <w:bodyDiv w:val="1"/>
      <w:marLeft w:val="0"/>
      <w:marRight w:val="0"/>
      <w:marTop w:val="0"/>
      <w:marBottom w:val="0"/>
      <w:divBdr>
        <w:top w:val="none" w:sz="0" w:space="0" w:color="auto"/>
        <w:left w:val="none" w:sz="0" w:space="0" w:color="auto"/>
        <w:bottom w:val="none" w:sz="0" w:space="0" w:color="auto"/>
        <w:right w:val="none" w:sz="0" w:space="0" w:color="auto"/>
      </w:divBdr>
    </w:div>
    <w:div w:id="1767454993">
      <w:bodyDiv w:val="1"/>
      <w:marLeft w:val="0"/>
      <w:marRight w:val="0"/>
      <w:marTop w:val="0"/>
      <w:marBottom w:val="0"/>
      <w:divBdr>
        <w:top w:val="none" w:sz="0" w:space="0" w:color="auto"/>
        <w:left w:val="none" w:sz="0" w:space="0" w:color="auto"/>
        <w:bottom w:val="none" w:sz="0" w:space="0" w:color="auto"/>
        <w:right w:val="none" w:sz="0" w:space="0" w:color="auto"/>
      </w:divBdr>
    </w:div>
    <w:div w:id="1767573020">
      <w:bodyDiv w:val="1"/>
      <w:marLeft w:val="0"/>
      <w:marRight w:val="0"/>
      <w:marTop w:val="0"/>
      <w:marBottom w:val="0"/>
      <w:divBdr>
        <w:top w:val="none" w:sz="0" w:space="0" w:color="auto"/>
        <w:left w:val="none" w:sz="0" w:space="0" w:color="auto"/>
        <w:bottom w:val="none" w:sz="0" w:space="0" w:color="auto"/>
        <w:right w:val="none" w:sz="0" w:space="0" w:color="auto"/>
      </w:divBdr>
    </w:div>
    <w:div w:id="1767575074">
      <w:bodyDiv w:val="1"/>
      <w:marLeft w:val="0"/>
      <w:marRight w:val="0"/>
      <w:marTop w:val="0"/>
      <w:marBottom w:val="0"/>
      <w:divBdr>
        <w:top w:val="none" w:sz="0" w:space="0" w:color="auto"/>
        <w:left w:val="none" w:sz="0" w:space="0" w:color="auto"/>
        <w:bottom w:val="none" w:sz="0" w:space="0" w:color="auto"/>
        <w:right w:val="none" w:sz="0" w:space="0" w:color="auto"/>
      </w:divBdr>
    </w:div>
    <w:div w:id="1767575825">
      <w:bodyDiv w:val="1"/>
      <w:marLeft w:val="0"/>
      <w:marRight w:val="0"/>
      <w:marTop w:val="0"/>
      <w:marBottom w:val="0"/>
      <w:divBdr>
        <w:top w:val="none" w:sz="0" w:space="0" w:color="auto"/>
        <w:left w:val="none" w:sz="0" w:space="0" w:color="auto"/>
        <w:bottom w:val="none" w:sz="0" w:space="0" w:color="auto"/>
        <w:right w:val="none" w:sz="0" w:space="0" w:color="auto"/>
      </w:divBdr>
    </w:div>
    <w:div w:id="1767650667">
      <w:bodyDiv w:val="1"/>
      <w:marLeft w:val="0"/>
      <w:marRight w:val="0"/>
      <w:marTop w:val="0"/>
      <w:marBottom w:val="0"/>
      <w:divBdr>
        <w:top w:val="none" w:sz="0" w:space="0" w:color="auto"/>
        <w:left w:val="none" w:sz="0" w:space="0" w:color="auto"/>
        <w:bottom w:val="none" w:sz="0" w:space="0" w:color="auto"/>
        <w:right w:val="none" w:sz="0" w:space="0" w:color="auto"/>
      </w:divBdr>
    </w:div>
    <w:div w:id="1767723184">
      <w:bodyDiv w:val="1"/>
      <w:marLeft w:val="0"/>
      <w:marRight w:val="0"/>
      <w:marTop w:val="0"/>
      <w:marBottom w:val="0"/>
      <w:divBdr>
        <w:top w:val="none" w:sz="0" w:space="0" w:color="auto"/>
        <w:left w:val="none" w:sz="0" w:space="0" w:color="auto"/>
        <w:bottom w:val="none" w:sz="0" w:space="0" w:color="auto"/>
        <w:right w:val="none" w:sz="0" w:space="0" w:color="auto"/>
      </w:divBdr>
    </w:div>
    <w:div w:id="1768311180">
      <w:bodyDiv w:val="1"/>
      <w:marLeft w:val="0"/>
      <w:marRight w:val="0"/>
      <w:marTop w:val="0"/>
      <w:marBottom w:val="0"/>
      <w:divBdr>
        <w:top w:val="none" w:sz="0" w:space="0" w:color="auto"/>
        <w:left w:val="none" w:sz="0" w:space="0" w:color="auto"/>
        <w:bottom w:val="none" w:sz="0" w:space="0" w:color="auto"/>
        <w:right w:val="none" w:sz="0" w:space="0" w:color="auto"/>
      </w:divBdr>
    </w:div>
    <w:div w:id="1768311460">
      <w:bodyDiv w:val="1"/>
      <w:marLeft w:val="0"/>
      <w:marRight w:val="0"/>
      <w:marTop w:val="0"/>
      <w:marBottom w:val="0"/>
      <w:divBdr>
        <w:top w:val="none" w:sz="0" w:space="0" w:color="auto"/>
        <w:left w:val="none" w:sz="0" w:space="0" w:color="auto"/>
        <w:bottom w:val="none" w:sz="0" w:space="0" w:color="auto"/>
        <w:right w:val="none" w:sz="0" w:space="0" w:color="auto"/>
      </w:divBdr>
    </w:div>
    <w:div w:id="1768427530">
      <w:bodyDiv w:val="1"/>
      <w:marLeft w:val="0"/>
      <w:marRight w:val="0"/>
      <w:marTop w:val="0"/>
      <w:marBottom w:val="0"/>
      <w:divBdr>
        <w:top w:val="none" w:sz="0" w:space="0" w:color="auto"/>
        <w:left w:val="none" w:sz="0" w:space="0" w:color="auto"/>
        <w:bottom w:val="none" w:sz="0" w:space="0" w:color="auto"/>
        <w:right w:val="none" w:sz="0" w:space="0" w:color="auto"/>
      </w:divBdr>
    </w:div>
    <w:div w:id="1768843717">
      <w:bodyDiv w:val="1"/>
      <w:marLeft w:val="0"/>
      <w:marRight w:val="0"/>
      <w:marTop w:val="0"/>
      <w:marBottom w:val="0"/>
      <w:divBdr>
        <w:top w:val="none" w:sz="0" w:space="0" w:color="auto"/>
        <w:left w:val="none" w:sz="0" w:space="0" w:color="auto"/>
        <w:bottom w:val="none" w:sz="0" w:space="0" w:color="auto"/>
        <w:right w:val="none" w:sz="0" w:space="0" w:color="auto"/>
      </w:divBdr>
    </w:div>
    <w:div w:id="1768967487">
      <w:bodyDiv w:val="1"/>
      <w:marLeft w:val="0"/>
      <w:marRight w:val="0"/>
      <w:marTop w:val="0"/>
      <w:marBottom w:val="0"/>
      <w:divBdr>
        <w:top w:val="none" w:sz="0" w:space="0" w:color="auto"/>
        <w:left w:val="none" w:sz="0" w:space="0" w:color="auto"/>
        <w:bottom w:val="none" w:sz="0" w:space="0" w:color="auto"/>
        <w:right w:val="none" w:sz="0" w:space="0" w:color="auto"/>
      </w:divBdr>
    </w:div>
    <w:div w:id="1769546482">
      <w:bodyDiv w:val="1"/>
      <w:marLeft w:val="0"/>
      <w:marRight w:val="0"/>
      <w:marTop w:val="0"/>
      <w:marBottom w:val="0"/>
      <w:divBdr>
        <w:top w:val="none" w:sz="0" w:space="0" w:color="auto"/>
        <w:left w:val="none" w:sz="0" w:space="0" w:color="auto"/>
        <w:bottom w:val="none" w:sz="0" w:space="0" w:color="auto"/>
        <w:right w:val="none" w:sz="0" w:space="0" w:color="auto"/>
      </w:divBdr>
    </w:div>
    <w:div w:id="1769814147">
      <w:bodyDiv w:val="1"/>
      <w:marLeft w:val="0"/>
      <w:marRight w:val="0"/>
      <w:marTop w:val="0"/>
      <w:marBottom w:val="0"/>
      <w:divBdr>
        <w:top w:val="none" w:sz="0" w:space="0" w:color="auto"/>
        <w:left w:val="none" w:sz="0" w:space="0" w:color="auto"/>
        <w:bottom w:val="none" w:sz="0" w:space="0" w:color="auto"/>
        <w:right w:val="none" w:sz="0" w:space="0" w:color="auto"/>
      </w:divBdr>
    </w:div>
    <w:div w:id="1770004564">
      <w:bodyDiv w:val="1"/>
      <w:marLeft w:val="0"/>
      <w:marRight w:val="0"/>
      <w:marTop w:val="0"/>
      <w:marBottom w:val="0"/>
      <w:divBdr>
        <w:top w:val="none" w:sz="0" w:space="0" w:color="auto"/>
        <w:left w:val="none" w:sz="0" w:space="0" w:color="auto"/>
        <w:bottom w:val="none" w:sz="0" w:space="0" w:color="auto"/>
        <w:right w:val="none" w:sz="0" w:space="0" w:color="auto"/>
      </w:divBdr>
    </w:div>
    <w:div w:id="1770082192">
      <w:bodyDiv w:val="1"/>
      <w:marLeft w:val="0"/>
      <w:marRight w:val="0"/>
      <w:marTop w:val="0"/>
      <w:marBottom w:val="0"/>
      <w:divBdr>
        <w:top w:val="none" w:sz="0" w:space="0" w:color="auto"/>
        <w:left w:val="none" w:sz="0" w:space="0" w:color="auto"/>
        <w:bottom w:val="none" w:sz="0" w:space="0" w:color="auto"/>
        <w:right w:val="none" w:sz="0" w:space="0" w:color="auto"/>
      </w:divBdr>
    </w:div>
    <w:div w:id="1770151358">
      <w:bodyDiv w:val="1"/>
      <w:marLeft w:val="0"/>
      <w:marRight w:val="0"/>
      <w:marTop w:val="0"/>
      <w:marBottom w:val="0"/>
      <w:divBdr>
        <w:top w:val="none" w:sz="0" w:space="0" w:color="auto"/>
        <w:left w:val="none" w:sz="0" w:space="0" w:color="auto"/>
        <w:bottom w:val="none" w:sz="0" w:space="0" w:color="auto"/>
        <w:right w:val="none" w:sz="0" w:space="0" w:color="auto"/>
      </w:divBdr>
    </w:div>
    <w:div w:id="1770543059">
      <w:bodyDiv w:val="1"/>
      <w:marLeft w:val="0"/>
      <w:marRight w:val="0"/>
      <w:marTop w:val="0"/>
      <w:marBottom w:val="0"/>
      <w:divBdr>
        <w:top w:val="none" w:sz="0" w:space="0" w:color="auto"/>
        <w:left w:val="none" w:sz="0" w:space="0" w:color="auto"/>
        <w:bottom w:val="none" w:sz="0" w:space="0" w:color="auto"/>
        <w:right w:val="none" w:sz="0" w:space="0" w:color="auto"/>
      </w:divBdr>
    </w:div>
    <w:div w:id="1770546293">
      <w:bodyDiv w:val="1"/>
      <w:marLeft w:val="0"/>
      <w:marRight w:val="0"/>
      <w:marTop w:val="0"/>
      <w:marBottom w:val="0"/>
      <w:divBdr>
        <w:top w:val="none" w:sz="0" w:space="0" w:color="auto"/>
        <w:left w:val="none" w:sz="0" w:space="0" w:color="auto"/>
        <w:bottom w:val="none" w:sz="0" w:space="0" w:color="auto"/>
        <w:right w:val="none" w:sz="0" w:space="0" w:color="auto"/>
      </w:divBdr>
    </w:div>
    <w:div w:id="1771007320">
      <w:bodyDiv w:val="1"/>
      <w:marLeft w:val="0"/>
      <w:marRight w:val="0"/>
      <w:marTop w:val="0"/>
      <w:marBottom w:val="0"/>
      <w:divBdr>
        <w:top w:val="none" w:sz="0" w:space="0" w:color="auto"/>
        <w:left w:val="none" w:sz="0" w:space="0" w:color="auto"/>
        <w:bottom w:val="none" w:sz="0" w:space="0" w:color="auto"/>
        <w:right w:val="none" w:sz="0" w:space="0" w:color="auto"/>
      </w:divBdr>
    </w:div>
    <w:div w:id="1771196477">
      <w:bodyDiv w:val="1"/>
      <w:marLeft w:val="0"/>
      <w:marRight w:val="0"/>
      <w:marTop w:val="0"/>
      <w:marBottom w:val="0"/>
      <w:divBdr>
        <w:top w:val="none" w:sz="0" w:space="0" w:color="auto"/>
        <w:left w:val="none" w:sz="0" w:space="0" w:color="auto"/>
        <w:bottom w:val="none" w:sz="0" w:space="0" w:color="auto"/>
        <w:right w:val="none" w:sz="0" w:space="0" w:color="auto"/>
      </w:divBdr>
    </w:div>
    <w:div w:id="1771242000">
      <w:bodyDiv w:val="1"/>
      <w:marLeft w:val="0"/>
      <w:marRight w:val="0"/>
      <w:marTop w:val="0"/>
      <w:marBottom w:val="0"/>
      <w:divBdr>
        <w:top w:val="none" w:sz="0" w:space="0" w:color="auto"/>
        <w:left w:val="none" w:sz="0" w:space="0" w:color="auto"/>
        <w:bottom w:val="none" w:sz="0" w:space="0" w:color="auto"/>
        <w:right w:val="none" w:sz="0" w:space="0" w:color="auto"/>
      </w:divBdr>
    </w:div>
    <w:div w:id="1771582415">
      <w:bodyDiv w:val="1"/>
      <w:marLeft w:val="0"/>
      <w:marRight w:val="0"/>
      <w:marTop w:val="0"/>
      <w:marBottom w:val="0"/>
      <w:divBdr>
        <w:top w:val="none" w:sz="0" w:space="0" w:color="auto"/>
        <w:left w:val="none" w:sz="0" w:space="0" w:color="auto"/>
        <w:bottom w:val="none" w:sz="0" w:space="0" w:color="auto"/>
        <w:right w:val="none" w:sz="0" w:space="0" w:color="auto"/>
      </w:divBdr>
    </w:div>
    <w:div w:id="1771656882">
      <w:bodyDiv w:val="1"/>
      <w:marLeft w:val="0"/>
      <w:marRight w:val="0"/>
      <w:marTop w:val="0"/>
      <w:marBottom w:val="0"/>
      <w:divBdr>
        <w:top w:val="none" w:sz="0" w:space="0" w:color="auto"/>
        <w:left w:val="none" w:sz="0" w:space="0" w:color="auto"/>
        <w:bottom w:val="none" w:sz="0" w:space="0" w:color="auto"/>
        <w:right w:val="none" w:sz="0" w:space="0" w:color="auto"/>
      </w:divBdr>
    </w:div>
    <w:div w:id="1771660987">
      <w:bodyDiv w:val="1"/>
      <w:marLeft w:val="0"/>
      <w:marRight w:val="0"/>
      <w:marTop w:val="0"/>
      <w:marBottom w:val="0"/>
      <w:divBdr>
        <w:top w:val="none" w:sz="0" w:space="0" w:color="auto"/>
        <w:left w:val="none" w:sz="0" w:space="0" w:color="auto"/>
        <w:bottom w:val="none" w:sz="0" w:space="0" w:color="auto"/>
        <w:right w:val="none" w:sz="0" w:space="0" w:color="auto"/>
      </w:divBdr>
    </w:div>
    <w:div w:id="1771778185">
      <w:bodyDiv w:val="1"/>
      <w:marLeft w:val="0"/>
      <w:marRight w:val="0"/>
      <w:marTop w:val="0"/>
      <w:marBottom w:val="0"/>
      <w:divBdr>
        <w:top w:val="none" w:sz="0" w:space="0" w:color="auto"/>
        <w:left w:val="none" w:sz="0" w:space="0" w:color="auto"/>
        <w:bottom w:val="none" w:sz="0" w:space="0" w:color="auto"/>
        <w:right w:val="none" w:sz="0" w:space="0" w:color="auto"/>
      </w:divBdr>
    </w:div>
    <w:div w:id="1771781247">
      <w:bodyDiv w:val="1"/>
      <w:marLeft w:val="0"/>
      <w:marRight w:val="0"/>
      <w:marTop w:val="0"/>
      <w:marBottom w:val="0"/>
      <w:divBdr>
        <w:top w:val="none" w:sz="0" w:space="0" w:color="auto"/>
        <w:left w:val="none" w:sz="0" w:space="0" w:color="auto"/>
        <w:bottom w:val="none" w:sz="0" w:space="0" w:color="auto"/>
        <w:right w:val="none" w:sz="0" w:space="0" w:color="auto"/>
      </w:divBdr>
    </w:div>
    <w:div w:id="1771925776">
      <w:bodyDiv w:val="1"/>
      <w:marLeft w:val="0"/>
      <w:marRight w:val="0"/>
      <w:marTop w:val="0"/>
      <w:marBottom w:val="0"/>
      <w:divBdr>
        <w:top w:val="none" w:sz="0" w:space="0" w:color="auto"/>
        <w:left w:val="none" w:sz="0" w:space="0" w:color="auto"/>
        <w:bottom w:val="none" w:sz="0" w:space="0" w:color="auto"/>
        <w:right w:val="none" w:sz="0" w:space="0" w:color="auto"/>
      </w:divBdr>
    </w:div>
    <w:div w:id="1771969220">
      <w:bodyDiv w:val="1"/>
      <w:marLeft w:val="0"/>
      <w:marRight w:val="0"/>
      <w:marTop w:val="0"/>
      <w:marBottom w:val="0"/>
      <w:divBdr>
        <w:top w:val="none" w:sz="0" w:space="0" w:color="auto"/>
        <w:left w:val="none" w:sz="0" w:space="0" w:color="auto"/>
        <w:bottom w:val="none" w:sz="0" w:space="0" w:color="auto"/>
        <w:right w:val="none" w:sz="0" w:space="0" w:color="auto"/>
      </w:divBdr>
    </w:div>
    <w:div w:id="1772045953">
      <w:bodyDiv w:val="1"/>
      <w:marLeft w:val="0"/>
      <w:marRight w:val="0"/>
      <w:marTop w:val="0"/>
      <w:marBottom w:val="0"/>
      <w:divBdr>
        <w:top w:val="none" w:sz="0" w:space="0" w:color="auto"/>
        <w:left w:val="none" w:sz="0" w:space="0" w:color="auto"/>
        <w:bottom w:val="none" w:sz="0" w:space="0" w:color="auto"/>
        <w:right w:val="none" w:sz="0" w:space="0" w:color="auto"/>
      </w:divBdr>
    </w:div>
    <w:div w:id="1772357007">
      <w:bodyDiv w:val="1"/>
      <w:marLeft w:val="0"/>
      <w:marRight w:val="0"/>
      <w:marTop w:val="0"/>
      <w:marBottom w:val="0"/>
      <w:divBdr>
        <w:top w:val="none" w:sz="0" w:space="0" w:color="auto"/>
        <w:left w:val="none" w:sz="0" w:space="0" w:color="auto"/>
        <w:bottom w:val="none" w:sz="0" w:space="0" w:color="auto"/>
        <w:right w:val="none" w:sz="0" w:space="0" w:color="auto"/>
      </w:divBdr>
    </w:div>
    <w:div w:id="1772429284">
      <w:bodyDiv w:val="1"/>
      <w:marLeft w:val="0"/>
      <w:marRight w:val="0"/>
      <w:marTop w:val="0"/>
      <w:marBottom w:val="0"/>
      <w:divBdr>
        <w:top w:val="none" w:sz="0" w:space="0" w:color="auto"/>
        <w:left w:val="none" w:sz="0" w:space="0" w:color="auto"/>
        <w:bottom w:val="none" w:sz="0" w:space="0" w:color="auto"/>
        <w:right w:val="none" w:sz="0" w:space="0" w:color="auto"/>
      </w:divBdr>
    </w:div>
    <w:div w:id="1772703401">
      <w:bodyDiv w:val="1"/>
      <w:marLeft w:val="0"/>
      <w:marRight w:val="0"/>
      <w:marTop w:val="0"/>
      <w:marBottom w:val="0"/>
      <w:divBdr>
        <w:top w:val="none" w:sz="0" w:space="0" w:color="auto"/>
        <w:left w:val="none" w:sz="0" w:space="0" w:color="auto"/>
        <w:bottom w:val="none" w:sz="0" w:space="0" w:color="auto"/>
        <w:right w:val="none" w:sz="0" w:space="0" w:color="auto"/>
      </w:divBdr>
    </w:div>
    <w:div w:id="1772775119">
      <w:bodyDiv w:val="1"/>
      <w:marLeft w:val="0"/>
      <w:marRight w:val="0"/>
      <w:marTop w:val="0"/>
      <w:marBottom w:val="0"/>
      <w:divBdr>
        <w:top w:val="none" w:sz="0" w:space="0" w:color="auto"/>
        <w:left w:val="none" w:sz="0" w:space="0" w:color="auto"/>
        <w:bottom w:val="none" w:sz="0" w:space="0" w:color="auto"/>
        <w:right w:val="none" w:sz="0" w:space="0" w:color="auto"/>
      </w:divBdr>
    </w:div>
    <w:div w:id="1773236423">
      <w:bodyDiv w:val="1"/>
      <w:marLeft w:val="0"/>
      <w:marRight w:val="0"/>
      <w:marTop w:val="0"/>
      <w:marBottom w:val="0"/>
      <w:divBdr>
        <w:top w:val="none" w:sz="0" w:space="0" w:color="auto"/>
        <w:left w:val="none" w:sz="0" w:space="0" w:color="auto"/>
        <w:bottom w:val="none" w:sz="0" w:space="0" w:color="auto"/>
        <w:right w:val="none" w:sz="0" w:space="0" w:color="auto"/>
      </w:divBdr>
    </w:div>
    <w:div w:id="1773354432">
      <w:bodyDiv w:val="1"/>
      <w:marLeft w:val="0"/>
      <w:marRight w:val="0"/>
      <w:marTop w:val="0"/>
      <w:marBottom w:val="0"/>
      <w:divBdr>
        <w:top w:val="none" w:sz="0" w:space="0" w:color="auto"/>
        <w:left w:val="none" w:sz="0" w:space="0" w:color="auto"/>
        <w:bottom w:val="none" w:sz="0" w:space="0" w:color="auto"/>
        <w:right w:val="none" w:sz="0" w:space="0" w:color="auto"/>
      </w:divBdr>
    </w:div>
    <w:div w:id="1773554648">
      <w:bodyDiv w:val="1"/>
      <w:marLeft w:val="0"/>
      <w:marRight w:val="0"/>
      <w:marTop w:val="0"/>
      <w:marBottom w:val="0"/>
      <w:divBdr>
        <w:top w:val="none" w:sz="0" w:space="0" w:color="auto"/>
        <w:left w:val="none" w:sz="0" w:space="0" w:color="auto"/>
        <w:bottom w:val="none" w:sz="0" w:space="0" w:color="auto"/>
        <w:right w:val="none" w:sz="0" w:space="0" w:color="auto"/>
      </w:divBdr>
    </w:div>
    <w:div w:id="1773668094">
      <w:bodyDiv w:val="1"/>
      <w:marLeft w:val="0"/>
      <w:marRight w:val="0"/>
      <w:marTop w:val="0"/>
      <w:marBottom w:val="0"/>
      <w:divBdr>
        <w:top w:val="none" w:sz="0" w:space="0" w:color="auto"/>
        <w:left w:val="none" w:sz="0" w:space="0" w:color="auto"/>
        <w:bottom w:val="none" w:sz="0" w:space="0" w:color="auto"/>
        <w:right w:val="none" w:sz="0" w:space="0" w:color="auto"/>
      </w:divBdr>
    </w:div>
    <w:div w:id="1773814421">
      <w:bodyDiv w:val="1"/>
      <w:marLeft w:val="0"/>
      <w:marRight w:val="0"/>
      <w:marTop w:val="0"/>
      <w:marBottom w:val="0"/>
      <w:divBdr>
        <w:top w:val="none" w:sz="0" w:space="0" w:color="auto"/>
        <w:left w:val="none" w:sz="0" w:space="0" w:color="auto"/>
        <w:bottom w:val="none" w:sz="0" w:space="0" w:color="auto"/>
        <w:right w:val="none" w:sz="0" w:space="0" w:color="auto"/>
      </w:divBdr>
    </w:div>
    <w:div w:id="1773894938">
      <w:bodyDiv w:val="1"/>
      <w:marLeft w:val="0"/>
      <w:marRight w:val="0"/>
      <w:marTop w:val="0"/>
      <w:marBottom w:val="0"/>
      <w:divBdr>
        <w:top w:val="none" w:sz="0" w:space="0" w:color="auto"/>
        <w:left w:val="none" w:sz="0" w:space="0" w:color="auto"/>
        <w:bottom w:val="none" w:sz="0" w:space="0" w:color="auto"/>
        <w:right w:val="none" w:sz="0" w:space="0" w:color="auto"/>
      </w:divBdr>
    </w:div>
    <w:div w:id="1773936425">
      <w:bodyDiv w:val="1"/>
      <w:marLeft w:val="0"/>
      <w:marRight w:val="0"/>
      <w:marTop w:val="0"/>
      <w:marBottom w:val="0"/>
      <w:divBdr>
        <w:top w:val="none" w:sz="0" w:space="0" w:color="auto"/>
        <w:left w:val="none" w:sz="0" w:space="0" w:color="auto"/>
        <w:bottom w:val="none" w:sz="0" w:space="0" w:color="auto"/>
        <w:right w:val="none" w:sz="0" w:space="0" w:color="auto"/>
      </w:divBdr>
    </w:div>
    <w:div w:id="1773941265">
      <w:bodyDiv w:val="1"/>
      <w:marLeft w:val="0"/>
      <w:marRight w:val="0"/>
      <w:marTop w:val="0"/>
      <w:marBottom w:val="0"/>
      <w:divBdr>
        <w:top w:val="none" w:sz="0" w:space="0" w:color="auto"/>
        <w:left w:val="none" w:sz="0" w:space="0" w:color="auto"/>
        <w:bottom w:val="none" w:sz="0" w:space="0" w:color="auto"/>
        <w:right w:val="none" w:sz="0" w:space="0" w:color="auto"/>
      </w:divBdr>
    </w:div>
    <w:div w:id="1774090651">
      <w:bodyDiv w:val="1"/>
      <w:marLeft w:val="0"/>
      <w:marRight w:val="0"/>
      <w:marTop w:val="0"/>
      <w:marBottom w:val="0"/>
      <w:divBdr>
        <w:top w:val="none" w:sz="0" w:space="0" w:color="auto"/>
        <w:left w:val="none" w:sz="0" w:space="0" w:color="auto"/>
        <w:bottom w:val="none" w:sz="0" w:space="0" w:color="auto"/>
        <w:right w:val="none" w:sz="0" w:space="0" w:color="auto"/>
      </w:divBdr>
    </w:div>
    <w:div w:id="1774204064">
      <w:bodyDiv w:val="1"/>
      <w:marLeft w:val="0"/>
      <w:marRight w:val="0"/>
      <w:marTop w:val="0"/>
      <w:marBottom w:val="0"/>
      <w:divBdr>
        <w:top w:val="none" w:sz="0" w:space="0" w:color="auto"/>
        <w:left w:val="none" w:sz="0" w:space="0" w:color="auto"/>
        <w:bottom w:val="none" w:sz="0" w:space="0" w:color="auto"/>
        <w:right w:val="none" w:sz="0" w:space="0" w:color="auto"/>
      </w:divBdr>
    </w:div>
    <w:div w:id="1774282585">
      <w:bodyDiv w:val="1"/>
      <w:marLeft w:val="0"/>
      <w:marRight w:val="0"/>
      <w:marTop w:val="0"/>
      <w:marBottom w:val="0"/>
      <w:divBdr>
        <w:top w:val="none" w:sz="0" w:space="0" w:color="auto"/>
        <w:left w:val="none" w:sz="0" w:space="0" w:color="auto"/>
        <w:bottom w:val="none" w:sz="0" w:space="0" w:color="auto"/>
        <w:right w:val="none" w:sz="0" w:space="0" w:color="auto"/>
      </w:divBdr>
    </w:div>
    <w:div w:id="1774475895">
      <w:bodyDiv w:val="1"/>
      <w:marLeft w:val="0"/>
      <w:marRight w:val="0"/>
      <w:marTop w:val="0"/>
      <w:marBottom w:val="0"/>
      <w:divBdr>
        <w:top w:val="none" w:sz="0" w:space="0" w:color="auto"/>
        <w:left w:val="none" w:sz="0" w:space="0" w:color="auto"/>
        <w:bottom w:val="none" w:sz="0" w:space="0" w:color="auto"/>
        <w:right w:val="none" w:sz="0" w:space="0" w:color="auto"/>
      </w:divBdr>
    </w:div>
    <w:div w:id="1774587195">
      <w:bodyDiv w:val="1"/>
      <w:marLeft w:val="0"/>
      <w:marRight w:val="0"/>
      <w:marTop w:val="0"/>
      <w:marBottom w:val="0"/>
      <w:divBdr>
        <w:top w:val="none" w:sz="0" w:space="0" w:color="auto"/>
        <w:left w:val="none" w:sz="0" w:space="0" w:color="auto"/>
        <w:bottom w:val="none" w:sz="0" w:space="0" w:color="auto"/>
        <w:right w:val="none" w:sz="0" w:space="0" w:color="auto"/>
      </w:divBdr>
    </w:div>
    <w:div w:id="1774780495">
      <w:bodyDiv w:val="1"/>
      <w:marLeft w:val="0"/>
      <w:marRight w:val="0"/>
      <w:marTop w:val="0"/>
      <w:marBottom w:val="0"/>
      <w:divBdr>
        <w:top w:val="none" w:sz="0" w:space="0" w:color="auto"/>
        <w:left w:val="none" w:sz="0" w:space="0" w:color="auto"/>
        <w:bottom w:val="none" w:sz="0" w:space="0" w:color="auto"/>
        <w:right w:val="none" w:sz="0" w:space="0" w:color="auto"/>
      </w:divBdr>
    </w:div>
    <w:div w:id="1774860619">
      <w:bodyDiv w:val="1"/>
      <w:marLeft w:val="0"/>
      <w:marRight w:val="0"/>
      <w:marTop w:val="0"/>
      <w:marBottom w:val="0"/>
      <w:divBdr>
        <w:top w:val="none" w:sz="0" w:space="0" w:color="auto"/>
        <w:left w:val="none" w:sz="0" w:space="0" w:color="auto"/>
        <w:bottom w:val="none" w:sz="0" w:space="0" w:color="auto"/>
        <w:right w:val="none" w:sz="0" w:space="0" w:color="auto"/>
      </w:divBdr>
    </w:div>
    <w:div w:id="1774980323">
      <w:bodyDiv w:val="1"/>
      <w:marLeft w:val="0"/>
      <w:marRight w:val="0"/>
      <w:marTop w:val="0"/>
      <w:marBottom w:val="0"/>
      <w:divBdr>
        <w:top w:val="none" w:sz="0" w:space="0" w:color="auto"/>
        <w:left w:val="none" w:sz="0" w:space="0" w:color="auto"/>
        <w:bottom w:val="none" w:sz="0" w:space="0" w:color="auto"/>
        <w:right w:val="none" w:sz="0" w:space="0" w:color="auto"/>
      </w:divBdr>
    </w:div>
    <w:div w:id="1775128936">
      <w:bodyDiv w:val="1"/>
      <w:marLeft w:val="0"/>
      <w:marRight w:val="0"/>
      <w:marTop w:val="0"/>
      <w:marBottom w:val="0"/>
      <w:divBdr>
        <w:top w:val="none" w:sz="0" w:space="0" w:color="auto"/>
        <w:left w:val="none" w:sz="0" w:space="0" w:color="auto"/>
        <w:bottom w:val="none" w:sz="0" w:space="0" w:color="auto"/>
        <w:right w:val="none" w:sz="0" w:space="0" w:color="auto"/>
      </w:divBdr>
    </w:div>
    <w:div w:id="1775133932">
      <w:bodyDiv w:val="1"/>
      <w:marLeft w:val="0"/>
      <w:marRight w:val="0"/>
      <w:marTop w:val="0"/>
      <w:marBottom w:val="0"/>
      <w:divBdr>
        <w:top w:val="none" w:sz="0" w:space="0" w:color="auto"/>
        <w:left w:val="none" w:sz="0" w:space="0" w:color="auto"/>
        <w:bottom w:val="none" w:sz="0" w:space="0" w:color="auto"/>
        <w:right w:val="none" w:sz="0" w:space="0" w:color="auto"/>
      </w:divBdr>
    </w:div>
    <w:div w:id="1775175871">
      <w:bodyDiv w:val="1"/>
      <w:marLeft w:val="0"/>
      <w:marRight w:val="0"/>
      <w:marTop w:val="0"/>
      <w:marBottom w:val="0"/>
      <w:divBdr>
        <w:top w:val="none" w:sz="0" w:space="0" w:color="auto"/>
        <w:left w:val="none" w:sz="0" w:space="0" w:color="auto"/>
        <w:bottom w:val="none" w:sz="0" w:space="0" w:color="auto"/>
        <w:right w:val="none" w:sz="0" w:space="0" w:color="auto"/>
      </w:divBdr>
    </w:div>
    <w:div w:id="1775707070">
      <w:bodyDiv w:val="1"/>
      <w:marLeft w:val="0"/>
      <w:marRight w:val="0"/>
      <w:marTop w:val="0"/>
      <w:marBottom w:val="0"/>
      <w:divBdr>
        <w:top w:val="none" w:sz="0" w:space="0" w:color="auto"/>
        <w:left w:val="none" w:sz="0" w:space="0" w:color="auto"/>
        <w:bottom w:val="none" w:sz="0" w:space="0" w:color="auto"/>
        <w:right w:val="none" w:sz="0" w:space="0" w:color="auto"/>
      </w:divBdr>
    </w:div>
    <w:div w:id="1775781414">
      <w:bodyDiv w:val="1"/>
      <w:marLeft w:val="0"/>
      <w:marRight w:val="0"/>
      <w:marTop w:val="0"/>
      <w:marBottom w:val="0"/>
      <w:divBdr>
        <w:top w:val="none" w:sz="0" w:space="0" w:color="auto"/>
        <w:left w:val="none" w:sz="0" w:space="0" w:color="auto"/>
        <w:bottom w:val="none" w:sz="0" w:space="0" w:color="auto"/>
        <w:right w:val="none" w:sz="0" w:space="0" w:color="auto"/>
      </w:divBdr>
    </w:div>
    <w:div w:id="1775904535">
      <w:bodyDiv w:val="1"/>
      <w:marLeft w:val="0"/>
      <w:marRight w:val="0"/>
      <w:marTop w:val="0"/>
      <w:marBottom w:val="0"/>
      <w:divBdr>
        <w:top w:val="none" w:sz="0" w:space="0" w:color="auto"/>
        <w:left w:val="none" w:sz="0" w:space="0" w:color="auto"/>
        <w:bottom w:val="none" w:sz="0" w:space="0" w:color="auto"/>
        <w:right w:val="none" w:sz="0" w:space="0" w:color="auto"/>
      </w:divBdr>
    </w:div>
    <w:div w:id="1776248388">
      <w:bodyDiv w:val="1"/>
      <w:marLeft w:val="0"/>
      <w:marRight w:val="0"/>
      <w:marTop w:val="0"/>
      <w:marBottom w:val="0"/>
      <w:divBdr>
        <w:top w:val="none" w:sz="0" w:space="0" w:color="auto"/>
        <w:left w:val="none" w:sz="0" w:space="0" w:color="auto"/>
        <w:bottom w:val="none" w:sz="0" w:space="0" w:color="auto"/>
        <w:right w:val="none" w:sz="0" w:space="0" w:color="auto"/>
      </w:divBdr>
    </w:div>
    <w:div w:id="1776435127">
      <w:bodyDiv w:val="1"/>
      <w:marLeft w:val="0"/>
      <w:marRight w:val="0"/>
      <w:marTop w:val="0"/>
      <w:marBottom w:val="0"/>
      <w:divBdr>
        <w:top w:val="none" w:sz="0" w:space="0" w:color="auto"/>
        <w:left w:val="none" w:sz="0" w:space="0" w:color="auto"/>
        <w:bottom w:val="none" w:sz="0" w:space="0" w:color="auto"/>
        <w:right w:val="none" w:sz="0" w:space="0" w:color="auto"/>
      </w:divBdr>
    </w:div>
    <w:div w:id="1776826429">
      <w:bodyDiv w:val="1"/>
      <w:marLeft w:val="0"/>
      <w:marRight w:val="0"/>
      <w:marTop w:val="0"/>
      <w:marBottom w:val="0"/>
      <w:divBdr>
        <w:top w:val="none" w:sz="0" w:space="0" w:color="auto"/>
        <w:left w:val="none" w:sz="0" w:space="0" w:color="auto"/>
        <w:bottom w:val="none" w:sz="0" w:space="0" w:color="auto"/>
        <w:right w:val="none" w:sz="0" w:space="0" w:color="auto"/>
      </w:divBdr>
    </w:div>
    <w:div w:id="1777015170">
      <w:bodyDiv w:val="1"/>
      <w:marLeft w:val="0"/>
      <w:marRight w:val="0"/>
      <w:marTop w:val="0"/>
      <w:marBottom w:val="0"/>
      <w:divBdr>
        <w:top w:val="none" w:sz="0" w:space="0" w:color="auto"/>
        <w:left w:val="none" w:sz="0" w:space="0" w:color="auto"/>
        <w:bottom w:val="none" w:sz="0" w:space="0" w:color="auto"/>
        <w:right w:val="none" w:sz="0" w:space="0" w:color="auto"/>
      </w:divBdr>
    </w:div>
    <w:div w:id="1777021170">
      <w:bodyDiv w:val="1"/>
      <w:marLeft w:val="0"/>
      <w:marRight w:val="0"/>
      <w:marTop w:val="0"/>
      <w:marBottom w:val="0"/>
      <w:divBdr>
        <w:top w:val="none" w:sz="0" w:space="0" w:color="auto"/>
        <w:left w:val="none" w:sz="0" w:space="0" w:color="auto"/>
        <w:bottom w:val="none" w:sz="0" w:space="0" w:color="auto"/>
        <w:right w:val="none" w:sz="0" w:space="0" w:color="auto"/>
      </w:divBdr>
    </w:div>
    <w:div w:id="1777021809">
      <w:bodyDiv w:val="1"/>
      <w:marLeft w:val="0"/>
      <w:marRight w:val="0"/>
      <w:marTop w:val="0"/>
      <w:marBottom w:val="0"/>
      <w:divBdr>
        <w:top w:val="none" w:sz="0" w:space="0" w:color="auto"/>
        <w:left w:val="none" w:sz="0" w:space="0" w:color="auto"/>
        <w:bottom w:val="none" w:sz="0" w:space="0" w:color="auto"/>
        <w:right w:val="none" w:sz="0" w:space="0" w:color="auto"/>
      </w:divBdr>
    </w:div>
    <w:div w:id="1777139932">
      <w:bodyDiv w:val="1"/>
      <w:marLeft w:val="0"/>
      <w:marRight w:val="0"/>
      <w:marTop w:val="0"/>
      <w:marBottom w:val="0"/>
      <w:divBdr>
        <w:top w:val="none" w:sz="0" w:space="0" w:color="auto"/>
        <w:left w:val="none" w:sz="0" w:space="0" w:color="auto"/>
        <w:bottom w:val="none" w:sz="0" w:space="0" w:color="auto"/>
        <w:right w:val="none" w:sz="0" w:space="0" w:color="auto"/>
      </w:divBdr>
    </w:div>
    <w:div w:id="1777166108">
      <w:bodyDiv w:val="1"/>
      <w:marLeft w:val="0"/>
      <w:marRight w:val="0"/>
      <w:marTop w:val="0"/>
      <w:marBottom w:val="0"/>
      <w:divBdr>
        <w:top w:val="none" w:sz="0" w:space="0" w:color="auto"/>
        <w:left w:val="none" w:sz="0" w:space="0" w:color="auto"/>
        <w:bottom w:val="none" w:sz="0" w:space="0" w:color="auto"/>
        <w:right w:val="none" w:sz="0" w:space="0" w:color="auto"/>
      </w:divBdr>
    </w:div>
    <w:div w:id="1777214119">
      <w:bodyDiv w:val="1"/>
      <w:marLeft w:val="0"/>
      <w:marRight w:val="0"/>
      <w:marTop w:val="0"/>
      <w:marBottom w:val="0"/>
      <w:divBdr>
        <w:top w:val="none" w:sz="0" w:space="0" w:color="auto"/>
        <w:left w:val="none" w:sz="0" w:space="0" w:color="auto"/>
        <w:bottom w:val="none" w:sz="0" w:space="0" w:color="auto"/>
        <w:right w:val="none" w:sz="0" w:space="0" w:color="auto"/>
      </w:divBdr>
    </w:div>
    <w:div w:id="1777553630">
      <w:bodyDiv w:val="1"/>
      <w:marLeft w:val="0"/>
      <w:marRight w:val="0"/>
      <w:marTop w:val="0"/>
      <w:marBottom w:val="0"/>
      <w:divBdr>
        <w:top w:val="none" w:sz="0" w:space="0" w:color="auto"/>
        <w:left w:val="none" w:sz="0" w:space="0" w:color="auto"/>
        <w:bottom w:val="none" w:sz="0" w:space="0" w:color="auto"/>
        <w:right w:val="none" w:sz="0" w:space="0" w:color="auto"/>
      </w:divBdr>
    </w:div>
    <w:div w:id="1777679236">
      <w:bodyDiv w:val="1"/>
      <w:marLeft w:val="0"/>
      <w:marRight w:val="0"/>
      <w:marTop w:val="0"/>
      <w:marBottom w:val="0"/>
      <w:divBdr>
        <w:top w:val="none" w:sz="0" w:space="0" w:color="auto"/>
        <w:left w:val="none" w:sz="0" w:space="0" w:color="auto"/>
        <w:bottom w:val="none" w:sz="0" w:space="0" w:color="auto"/>
        <w:right w:val="none" w:sz="0" w:space="0" w:color="auto"/>
      </w:divBdr>
    </w:div>
    <w:div w:id="1777795420">
      <w:bodyDiv w:val="1"/>
      <w:marLeft w:val="0"/>
      <w:marRight w:val="0"/>
      <w:marTop w:val="0"/>
      <w:marBottom w:val="0"/>
      <w:divBdr>
        <w:top w:val="none" w:sz="0" w:space="0" w:color="auto"/>
        <w:left w:val="none" w:sz="0" w:space="0" w:color="auto"/>
        <w:bottom w:val="none" w:sz="0" w:space="0" w:color="auto"/>
        <w:right w:val="none" w:sz="0" w:space="0" w:color="auto"/>
      </w:divBdr>
    </w:div>
    <w:div w:id="1777821773">
      <w:bodyDiv w:val="1"/>
      <w:marLeft w:val="0"/>
      <w:marRight w:val="0"/>
      <w:marTop w:val="0"/>
      <w:marBottom w:val="0"/>
      <w:divBdr>
        <w:top w:val="none" w:sz="0" w:space="0" w:color="auto"/>
        <w:left w:val="none" w:sz="0" w:space="0" w:color="auto"/>
        <w:bottom w:val="none" w:sz="0" w:space="0" w:color="auto"/>
        <w:right w:val="none" w:sz="0" w:space="0" w:color="auto"/>
      </w:divBdr>
    </w:div>
    <w:div w:id="1777827404">
      <w:bodyDiv w:val="1"/>
      <w:marLeft w:val="0"/>
      <w:marRight w:val="0"/>
      <w:marTop w:val="0"/>
      <w:marBottom w:val="0"/>
      <w:divBdr>
        <w:top w:val="none" w:sz="0" w:space="0" w:color="auto"/>
        <w:left w:val="none" w:sz="0" w:space="0" w:color="auto"/>
        <w:bottom w:val="none" w:sz="0" w:space="0" w:color="auto"/>
        <w:right w:val="none" w:sz="0" w:space="0" w:color="auto"/>
      </w:divBdr>
    </w:div>
    <w:div w:id="1777938581">
      <w:bodyDiv w:val="1"/>
      <w:marLeft w:val="0"/>
      <w:marRight w:val="0"/>
      <w:marTop w:val="0"/>
      <w:marBottom w:val="0"/>
      <w:divBdr>
        <w:top w:val="none" w:sz="0" w:space="0" w:color="auto"/>
        <w:left w:val="none" w:sz="0" w:space="0" w:color="auto"/>
        <w:bottom w:val="none" w:sz="0" w:space="0" w:color="auto"/>
        <w:right w:val="none" w:sz="0" w:space="0" w:color="auto"/>
      </w:divBdr>
    </w:div>
    <w:div w:id="1777939567">
      <w:bodyDiv w:val="1"/>
      <w:marLeft w:val="0"/>
      <w:marRight w:val="0"/>
      <w:marTop w:val="0"/>
      <w:marBottom w:val="0"/>
      <w:divBdr>
        <w:top w:val="none" w:sz="0" w:space="0" w:color="auto"/>
        <w:left w:val="none" w:sz="0" w:space="0" w:color="auto"/>
        <w:bottom w:val="none" w:sz="0" w:space="0" w:color="auto"/>
        <w:right w:val="none" w:sz="0" w:space="0" w:color="auto"/>
      </w:divBdr>
    </w:div>
    <w:div w:id="1778065752">
      <w:bodyDiv w:val="1"/>
      <w:marLeft w:val="0"/>
      <w:marRight w:val="0"/>
      <w:marTop w:val="0"/>
      <w:marBottom w:val="0"/>
      <w:divBdr>
        <w:top w:val="none" w:sz="0" w:space="0" w:color="auto"/>
        <w:left w:val="none" w:sz="0" w:space="0" w:color="auto"/>
        <w:bottom w:val="none" w:sz="0" w:space="0" w:color="auto"/>
        <w:right w:val="none" w:sz="0" w:space="0" w:color="auto"/>
      </w:divBdr>
    </w:div>
    <w:div w:id="1778326029">
      <w:bodyDiv w:val="1"/>
      <w:marLeft w:val="0"/>
      <w:marRight w:val="0"/>
      <w:marTop w:val="0"/>
      <w:marBottom w:val="0"/>
      <w:divBdr>
        <w:top w:val="none" w:sz="0" w:space="0" w:color="auto"/>
        <w:left w:val="none" w:sz="0" w:space="0" w:color="auto"/>
        <w:bottom w:val="none" w:sz="0" w:space="0" w:color="auto"/>
        <w:right w:val="none" w:sz="0" w:space="0" w:color="auto"/>
      </w:divBdr>
    </w:div>
    <w:div w:id="1778450701">
      <w:bodyDiv w:val="1"/>
      <w:marLeft w:val="0"/>
      <w:marRight w:val="0"/>
      <w:marTop w:val="0"/>
      <w:marBottom w:val="0"/>
      <w:divBdr>
        <w:top w:val="none" w:sz="0" w:space="0" w:color="auto"/>
        <w:left w:val="none" w:sz="0" w:space="0" w:color="auto"/>
        <w:bottom w:val="none" w:sz="0" w:space="0" w:color="auto"/>
        <w:right w:val="none" w:sz="0" w:space="0" w:color="auto"/>
      </w:divBdr>
    </w:div>
    <w:div w:id="1778713884">
      <w:bodyDiv w:val="1"/>
      <w:marLeft w:val="0"/>
      <w:marRight w:val="0"/>
      <w:marTop w:val="0"/>
      <w:marBottom w:val="0"/>
      <w:divBdr>
        <w:top w:val="none" w:sz="0" w:space="0" w:color="auto"/>
        <w:left w:val="none" w:sz="0" w:space="0" w:color="auto"/>
        <w:bottom w:val="none" w:sz="0" w:space="0" w:color="auto"/>
        <w:right w:val="none" w:sz="0" w:space="0" w:color="auto"/>
      </w:divBdr>
    </w:div>
    <w:div w:id="1778714267">
      <w:bodyDiv w:val="1"/>
      <w:marLeft w:val="0"/>
      <w:marRight w:val="0"/>
      <w:marTop w:val="0"/>
      <w:marBottom w:val="0"/>
      <w:divBdr>
        <w:top w:val="none" w:sz="0" w:space="0" w:color="auto"/>
        <w:left w:val="none" w:sz="0" w:space="0" w:color="auto"/>
        <w:bottom w:val="none" w:sz="0" w:space="0" w:color="auto"/>
        <w:right w:val="none" w:sz="0" w:space="0" w:color="auto"/>
      </w:divBdr>
    </w:div>
    <w:div w:id="1778720146">
      <w:bodyDiv w:val="1"/>
      <w:marLeft w:val="0"/>
      <w:marRight w:val="0"/>
      <w:marTop w:val="0"/>
      <w:marBottom w:val="0"/>
      <w:divBdr>
        <w:top w:val="none" w:sz="0" w:space="0" w:color="auto"/>
        <w:left w:val="none" w:sz="0" w:space="0" w:color="auto"/>
        <w:bottom w:val="none" w:sz="0" w:space="0" w:color="auto"/>
        <w:right w:val="none" w:sz="0" w:space="0" w:color="auto"/>
      </w:divBdr>
    </w:div>
    <w:div w:id="1779133635">
      <w:bodyDiv w:val="1"/>
      <w:marLeft w:val="0"/>
      <w:marRight w:val="0"/>
      <w:marTop w:val="0"/>
      <w:marBottom w:val="0"/>
      <w:divBdr>
        <w:top w:val="none" w:sz="0" w:space="0" w:color="auto"/>
        <w:left w:val="none" w:sz="0" w:space="0" w:color="auto"/>
        <w:bottom w:val="none" w:sz="0" w:space="0" w:color="auto"/>
        <w:right w:val="none" w:sz="0" w:space="0" w:color="auto"/>
      </w:divBdr>
    </w:div>
    <w:div w:id="1779136736">
      <w:bodyDiv w:val="1"/>
      <w:marLeft w:val="0"/>
      <w:marRight w:val="0"/>
      <w:marTop w:val="0"/>
      <w:marBottom w:val="0"/>
      <w:divBdr>
        <w:top w:val="none" w:sz="0" w:space="0" w:color="auto"/>
        <w:left w:val="none" w:sz="0" w:space="0" w:color="auto"/>
        <w:bottom w:val="none" w:sz="0" w:space="0" w:color="auto"/>
        <w:right w:val="none" w:sz="0" w:space="0" w:color="auto"/>
      </w:divBdr>
    </w:div>
    <w:div w:id="1779253598">
      <w:bodyDiv w:val="1"/>
      <w:marLeft w:val="0"/>
      <w:marRight w:val="0"/>
      <w:marTop w:val="0"/>
      <w:marBottom w:val="0"/>
      <w:divBdr>
        <w:top w:val="none" w:sz="0" w:space="0" w:color="auto"/>
        <w:left w:val="none" w:sz="0" w:space="0" w:color="auto"/>
        <w:bottom w:val="none" w:sz="0" w:space="0" w:color="auto"/>
        <w:right w:val="none" w:sz="0" w:space="0" w:color="auto"/>
      </w:divBdr>
    </w:div>
    <w:div w:id="1779370769">
      <w:bodyDiv w:val="1"/>
      <w:marLeft w:val="0"/>
      <w:marRight w:val="0"/>
      <w:marTop w:val="0"/>
      <w:marBottom w:val="0"/>
      <w:divBdr>
        <w:top w:val="none" w:sz="0" w:space="0" w:color="auto"/>
        <w:left w:val="none" w:sz="0" w:space="0" w:color="auto"/>
        <w:bottom w:val="none" w:sz="0" w:space="0" w:color="auto"/>
        <w:right w:val="none" w:sz="0" w:space="0" w:color="auto"/>
      </w:divBdr>
    </w:div>
    <w:div w:id="1779713621">
      <w:bodyDiv w:val="1"/>
      <w:marLeft w:val="0"/>
      <w:marRight w:val="0"/>
      <w:marTop w:val="0"/>
      <w:marBottom w:val="0"/>
      <w:divBdr>
        <w:top w:val="none" w:sz="0" w:space="0" w:color="auto"/>
        <w:left w:val="none" w:sz="0" w:space="0" w:color="auto"/>
        <w:bottom w:val="none" w:sz="0" w:space="0" w:color="auto"/>
        <w:right w:val="none" w:sz="0" w:space="0" w:color="auto"/>
      </w:divBdr>
    </w:div>
    <w:div w:id="1779720209">
      <w:bodyDiv w:val="1"/>
      <w:marLeft w:val="0"/>
      <w:marRight w:val="0"/>
      <w:marTop w:val="0"/>
      <w:marBottom w:val="0"/>
      <w:divBdr>
        <w:top w:val="none" w:sz="0" w:space="0" w:color="auto"/>
        <w:left w:val="none" w:sz="0" w:space="0" w:color="auto"/>
        <w:bottom w:val="none" w:sz="0" w:space="0" w:color="auto"/>
        <w:right w:val="none" w:sz="0" w:space="0" w:color="auto"/>
      </w:divBdr>
    </w:div>
    <w:div w:id="1779984277">
      <w:bodyDiv w:val="1"/>
      <w:marLeft w:val="0"/>
      <w:marRight w:val="0"/>
      <w:marTop w:val="0"/>
      <w:marBottom w:val="0"/>
      <w:divBdr>
        <w:top w:val="none" w:sz="0" w:space="0" w:color="auto"/>
        <w:left w:val="none" w:sz="0" w:space="0" w:color="auto"/>
        <w:bottom w:val="none" w:sz="0" w:space="0" w:color="auto"/>
        <w:right w:val="none" w:sz="0" w:space="0" w:color="auto"/>
      </w:divBdr>
    </w:div>
    <w:div w:id="1779989023">
      <w:bodyDiv w:val="1"/>
      <w:marLeft w:val="0"/>
      <w:marRight w:val="0"/>
      <w:marTop w:val="0"/>
      <w:marBottom w:val="0"/>
      <w:divBdr>
        <w:top w:val="none" w:sz="0" w:space="0" w:color="auto"/>
        <w:left w:val="none" w:sz="0" w:space="0" w:color="auto"/>
        <w:bottom w:val="none" w:sz="0" w:space="0" w:color="auto"/>
        <w:right w:val="none" w:sz="0" w:space="0" w:color="auto"/>
      </w:divBdr>
    </w:div>
    <w:div w:id="1780293989">
      <w:bodyDiv w:val="1"/>
      <w:marLeft w:val="0"/>
      <w:marRight w:val="0"/>
      <w:marTop w:val="0"/>
      <w:marBottom w:val="0"/>
      <w:divBdr>
        <w:top w:val="none" w:sz="0" w:space="0" w:color="auto"/>
        <w:left w:val="none" w:sz="0" w:space="0" w:color="auto"/>
        <w:bottom w:val="none" w:sz="0" w:space="0" w:color="auto"/>
        <w:right w:val="none" w:sz="0" w:space="0" w:color="auto"/>
      </w:divBdr>
    </w:div>
    <w:div w:id="1780755225">
      <w:bodyDiv w:val="1"/>
      <w:marLeft w:val="0"/>
      <w:marRight w:val="0"/>
      <w:marTop w:val="0"/>
      <w:marBottom w:val="0"/>
      <w:divBdr>
        <w:top w:val="none" w:sz="0" w:space="0" w:color="auto"/>
        <w:left w:val="none" w:sz="0" w:space="0" w:color="auto"/>
        <w:bottom w:val="none" w:sz="0" w:space="0" w:color="auto"/>
        <w:right w:val="none" w:sz="0" w:space="0" w:color="auto"/>
      </w:divBdr>
    </w:div>
    <w:div w:id="1780837561">
      <w:bodyDiv w:val="1"/>
      <w:marLeft w:val="0"/>
      <w:marRight w:val="0"/>
      <w:marTop w:val="0"/>
      <w:marBottom w:val="0"/>
      <w:divBdr>
        <w:top w:val="none" w:sz="0" w:space="0" w:color="auto"/>
        <w:left w:val="none" w:sz="0" w:space="0" w:color="auto"/>
        <w:bottom w:val="none" w:sz="0" w:space="0" w:color="auto"/>
        <w:right w:val="none" w:sz="0" w:space="0" w:color="auto"/>
      </w:divBdr>
    </w:div>
    <w:div w:id="1780903631">
      <w:bodyDiv w:val="1"/>
      <w:marLeft w:val="0"/>
      <w:marRight w:val="0"/>
      <w:marTop w:val="0"/>
      <w:marBottom w:val="0"/>
      <w:divBdr>
        <w:top w:val="none" w:sz="0" w:space="0" w:color="auto"/>
        <w:left w:val="none" w:sz="0" w:space="0" w:color="auto"/>
        <w:bottom w:val="none" w:sz="0" w:space="0" w:color="auto"/>
        <w:right w:val="none" w:sz="0" w:space="0" w:color="auto"/>
      </w:divBdr>
    </w:div>
    <w:div w:id="1780949179">
      <w:bodyDiv w:val="1"/>
      <w:marLeft w:val="0"/>
      <w:marRight w:val="0"/>
      <w:marTop w:val="0"/>
      <w:marBottom w:val="0"/>
      <w:divBdr>
        <w:top w:val="none" w:sz="0" w:space="0" w:color="auto"/>
        <w:left w:val="none" w:sz="0" w:space="0" w:color="auto"/>
        <w:bottom w:val="none" w:sz="0" w:space="0" w:color="auto"/>
        <w:right w:val="none" w:sz="0" w:space="0" w:color="auto"/>
      </w:divBdr>
    </w:div>
    <w:div w:id="1781102617">
      <w:bodyDiv w:val="1"/>
      <w:marLeft w:val="0"/>
      <w:marRight w:val="0"/>
      <w:marTop w:val="0"/>
      <w:marBottom w:val="0"/>
      <w:divBdr>
        <w:top w:val="none" w:sz="0" w:space="0" w:color="auto"/>
        <w:left w:val="none" w:sz="0" w:space="0" w:color="auto"/>
        <w:bottom w:val="none" w:sz="0" w:space="0" w:color="auto"/>
        <w:right w:val="none" w:sz="0" w:space="0" w:color="auto"/>
      </w:divBdr>
    </w:div>
    <w:div w:id="1781142453">
      <w:bodyDiv w:val="1"/>
      <w:marLeft w:val="0"/>
      <w:marRight w:val="0"/>
      <w:marTop w:val="0"/>
      <w:marBottom w:val="0"/>
      <w:divBdr>
        <w:top w:val="none" w:sz="0" w:space="0" w:color="auto"/>
        <w:left w:val="none" w:sz="0" w:space="0" w:color="auto"/>
        <w:bottom w:val="none" w:sz="0" w:space="0" w:color="auto"/>
        <w:right w:val="none" w:sz="0" w:space="0" w:color="auto"/>
      </w:divBdr>
    </w:div>
    <w:div w:id="1781142543">
      <w:bodyDiv w:val="1"/>
      <w:marLeft w:val="0"/>
      <w:marRight w:val="0"/>
      <w:marTop w:val="0"/>
      <w:marBottom w:val="0"/>
      <w:divBdr>
        <w:top w:val="none" w:sz="0" w:space="0" w:color="auto"/>
        <w:left w:val="none" w:sz="0" w:space="0" w:color="auto"/>
        <w:bottom w:val="none" w:sz="0" w:space="0" w:color="auto"/>
        <w:right w:val="none" w:sz="0" w:space="0" w:color="auto"/>
      </w:divBdr>
    </w:div>
    <w:div w:id="1781298431">
      <w:bodyDiv w:val="1"/>
      <w:marLeft w:val="0"/>
      <w:marRight w:val="0"/>
      <w:marTop w:val="0"/>
      <w:marBottom w:val="0"/>
      <w:divBdr>
        <w:top w:val="none" w:sz="0" w:space="0" w:color="auto"/>
        <w:left w:val="none" w:sz="0" w:space="0" w:color="auto"/>
        <w:bottom w:val="none" w:sz="0" w:space="0" w:color="auto"/>
        <w:right w:val="none" w:sz="0" w:space="0" w:color="auto"/>
      </w:divBdr>
    </w:div>
    <w:div w:id="1781411683">
      <w:bodyDiv w:val="1"/>
      <w:marLeft w:val="0"/>
      <w:marRight w:val="0"/>
      <w:marTop w:val="0"/>
      <w:marBottom w:val="0"/>
      <w:divBdr>
        <w:top w:val="none" w:sz="0" w:space="0" w:color="auto"/>
        <w:left w:val="none" w:sz="0" w:space="0" w:color="auto"/>
        <w:bottom w:val="none" w:sz="0" w:space="0" w:color="auto"/>
        <w:right w:val="none" w:sz="0" w:space="0" w:color="auto"/>
      </w:divBdr>
    </w:div>
    <w:div w:id="1781416904">
      <w:bodyDiv w:val="1"/>
      <w:marLeft w:val="0"/>
      <w:marRight w:val="0"/>
      <w:marTop w:val="0"/>
      <w:marBottom w:val="0"/>
      <w:divBdr>
        <w:top w:val="none" w:sz="0" w:space="0" w:color="auto"/>
        <w:left w:val="none" w:sz="0" w:space="0" w:color="auto"/>
        <w:bottom w:val="none" w:sz="0" w:space="0" w:color="auto"/>
        <w:right w:val="none" w:sz="0" w:space="0" w:color="auto"/>
      </w:divBdr>
    </w:div>
    <w:div w:id="1781685464">
      <w:bodyDiv w:val="1"/>
      <w:marLeft w:val="0"/>
      <w:marRight w:val="0"/>
      <w:marTop w:val="0"/>
      <w:marBottom w:val="0"/>
      <w:divBdr>
        <w:top w:val="none" w:sz="0" w:space="0" w:color="auto"/>
        <w:left w:val="none" w:sz="0" w:space="0" w:color="auto"/>
        <w:bottom w:val="none" w:sz="0" w:space="0" w:color="auto"/>
        <w:right w:val="none" w:sz="0" w:space="0" w:color="auto"/>
      </w:divBdr>
    </w:div>
    <w:div w:id="1781753023">
      <w:bodyDiv w:val="1"/>
      <w:marLeft w:val="0"/>
      <w:marRight w:val="0"/>
      <w:marTop w:val="0"/>
      <w:marBottom w:val="0"/>
      <w:divBdr>
        <w:top w:val="none" w:sz="0" w:space="0" w:color="auto"/>
        <w:left w:val="none" w:sz="0" w:space="0" w:color="auto"/>
        <w:bottom w:val="none" w:sz="0" w:space="0" w:color="auto"/>
        <w:right w:val="none" w:sz="0" w:space="0" w:color="auto"/>
      </w:divBdr>
    </w:div>
    <w:div w:id="1781753511">
      <w:bodyDiv w:val="1"/>
      <w:marLeft w:val="0"/>
      <w:marRight w:val="0"/>
      <w:marTop w:val="0"/>
      <w:marBottom w:val="0"/>
      <w:divBdr>
        <w:top w:val="none" w:sz="0" w:space="0" w:color="auto"/>
        <w:left w:val="none" w:sz="0" w:space="0" w:color="auto"/>
        <w:bottom w:val="none" w:sz="0" w:space="0" w:color="auto"/>
        <w:right w:val="none" w:sz="0" w:space="0" w:color="auto"/>
      </w:divBdr>
    </w:div>
    <w:div w:id="1781757745">
      <w:bodyDiv w:val="1"/>
      <w:marLeft w:val="0"/>
      <w:marRight w:val="0"/>
      <w:marTop w:val="0"/>
      <w:marBottom w:val="0"/>
      <w:divBdr>
        <w:top w:val="none" w:sz="0" w:space="0" w:color="auto"/>
        <w:left w:val="none" w:sz="0" w:space="0" w:color="auto"/>
        <w:bottom w:val="none" w:sz="0" w:space="0" w:color="auto"/>
        <w:right w:val="none" w:sz="0" w:space="0" w:color="auto"/>
      </w:divBdr>
    </w:div>
    <w:div w:id="1782065677">
      <w:bodyDiv w:val="1"/>
      <w:marLeft w:val="0"/>
      <w:marRight w:val="0"/>
      <w:marTop w:val="0"/>
      <w:marBottom w:val="0"/>
      <w:divBdr>
        <w:top w:val="none" w:sz="0" w:space="0" w:color="auto"/>
        <w:left w:val="none" w:sz="0" w:space="0" w:color="auto"/>
        <w:bottom w:val="none" w:sz="0" w:space="0" w:color="auto"/>
        <w:right w:val="none" w:sz="0" w:space="0" w:color="auto"/>
      </w:divBdr>
    </w:div>
    <w:div w:id="1782068932">
      <w:bodyDiv w:val="1"/>
      <w:marLeft w:val="0"/>
      <w:marRight w:val="0"/>
      <w:marTop w:val="0"/>
      <w:marBottom w:val="0"/>
      <w:divBdr>
        <w:top w:val="none" w:sz="0" w:space="0" w:color="auto"/>
        <w:left w:val="none" w:sz="0" w:space="0" w:color="auto"/>
        <w:bottom w:val="none" w:sz="0" w:space="0" w:color="auto"/>
        <w:right w:val="none" w:sz="0" w:space="0" w:color="auto"/>
      </w:divBdr>
    </w:div>
    <w:div w:id="1782144850">
      <w:bodyDiv w:val="1"/>
      <w:marLeft w:val="0"/>
      <w:marRight w:val="0"/>
      <w:marTop w:val="0"/>
      <w:marBottom w:val="0"/>
      <w:divBdr>
        <w:top w:val="none" w:sz="0" w:space="0" w:color="auto"/>
        <w:left w:val="none" w:sz="0" w:space="0" w:color="auto"/>
        <w:bottom w:val="none" w:sz="0" w:space="0" w:color="auto"/>
        <w:right w:val="none" w:sz="0" w:space="0" w:color="auto"/>
      </w:divBdr>
    </w:div>
    <w:div w:id="1782189598">
      <w:bodyDiv w:val="1"/>
      <w:marLeft w:val="0"/>
      <w:marRight w:val="0"/>
      <w:marTop w:val="0"/>
      <w:marBottom w:val="0"/>
      <w:divBdr>
        <w:top w:val="none" w:sz="0" w:space="0" w:color="auto"/>
        <w:left w:val="none" w:sz="0" w:space="0" w:color="auto"/>
        <w:bottom w:val="none" w:sz="0" w:space="0" w:color="auto"/>
        <w:right w:val="none" w:sz="0" w:space="0" w:color="auto"/>
      </w:divBdr>
    </w:div>
    <w:div w:id="1782264167">
      <w:bodyDiv w:val="1"/>
      <w:marLeft w:val="0"/>
      <w:marRight w:val="0"/>
      <w:marTop w:val="0"/>
      <w:marBottom w:val="0"/>
      <w:divBdr>
        <w:top w:val="none" w:sz="0" w:space="0" w:color="auto"/>
        <w:left w:val="none" w:sz="0" w:space="0" w:color="auto"/>
        <w:bottom w:val="none" w:sz="0" w:space="0" w:color="auto"/>
        <w:right w:val="none" w:sz="0" w:space="0" w:color="auto"/>
      </w:divBdr>
    </w:div>
    <w:div w:id="1782410181">
      <w:bodyDiv w:val="1"/>
      <w:marLeft w:val="0"/>
      <w:marRight w:val="0"/>
      <w:marTop w:val="0"/>
      <w:marBottom w:val="0"/>
      <w:divBdr>
        <w:top w:val="none" w:sz="0" w:space="0" w:color="auto"/>
        <w:left w:val="none" w:sz="0" w:space="0" w:color="auto"/>
        <w:bottom w:val="none" w:sz="0" w:space="0" w:color="auto"/>
        <w:right w:val="none" w:sz="0" w:space="0" w:color="auto"/>
      </w:divBdr>
    </w:div>
    <w:div w:id="1782646455">
      <w:bodyDiv w:val="1"/>
      <w:marLeft w:val="0"/>
      <w:marRight w:val="0"/>
      <w:marTop w:val="0"/>
      <w:marBottom w:val="0"/>
      <w:divBdr>
        <w:top w:val="none" w:sz="0" w:space="0" w:color="auto"/>
        <w:left w:val="none" w:sz="0" w:space="0" w:color="auto"/>
        <w:bottom w:val="none" w:sz="0" w:space="0" w:color="auto"/>
        <w:right w:val="none" w:sz="0" w:space="0" w:color="auto"/>
      </w:divBdr>
    </w:div>
    <w:div w:id="1782725625">
      <w:bodyDiv w:val="1"/>
      <w:marLeft w:val="0"/>
      <w:marRight w:val="0"/>
      <w:marTop w:val="0"/>
      <w:marBottom w:val="0"/>
      <w:divBdr>
        <w:top w:val="none" w:sz="0" w:space="0" w:color="auto"/>
        <w:left w:val="none" w:sz="0" w:space="0" w:color="auto"/>
        <w:bottom w:val="none" w:sz="0" w:space="0" w:color="auto"/>
        <w:right w:val="none" w:sz="0" w:space="0" w:color="auto"/>
      </w:divBdr>
    </w:div>
    <w:div w:id="1782990168">
      <w:bodyDiv w:val="1"/>
      <w:marLeft w:val="0"/>
      <w:marRight w:val="0"/>
      <w:marTop w:val="0"/>
      <w:marBottom w:val="0"/>
      <w:divBdr>
        <w:top w:val="none" w:sz="0" w:space="0" w:color="auto"/>
        <w:left w:val="none" w:sz="0" w:space="0" w:color="auto"/>
        <w:bottom w:val="none" w:sz="0" w:space="0" w:color="auto"/>
        <w:right w:val="none" w:sz="0" w:space="0" w:color="auto"/>
      </w:divBdr>
    </w:div>
    <w:div w:id="1783070610">
      <w:bodyDiv w:val="1"/>
      <w:marLeft w:val="0"/>
      <w:marRight w:val="0"/>
      <w:marTop w:val="0"/>
      <w:marBottom w:val="0"/>
      <w:divBdr>
        <w:top w:val="none" w:sz="0" w:space="0" w:color="auto"/>
        <w:left w:val="none" w:sz="0" w:space="0" w:color="auto"/>
        <w:bottom w:val="none" w:sz="0" w:space="0" w:color="auto"/>
        <w:right w:val="none" w:sz="0" w:space="0" w:color="auto"/>
      </w:divBdr>
    </w:div>
    <w:div w:id="1783184409">
      <w:bodyDiv w:val="1"/>
      <w:marLeft w:val="0"/>
      <w:marRight w:val="0"/>
      <w:marTop w:val="0"/>
      <w:marBottom w:val="0"/>
      <w:divBdr>
        <w:top w:val="none" w:sz="0" w:space="0" w:color="auto"/>
        <w:left w:val="none" w:sz="0" w:space="0" w:color="auto"/>
        <w:bottom w:val="none" w:sz="0" w:space="0" w:color="auto"/>
        <w:right w:val="none" w:sz="0" w:space="0" w:color="auto"/>
      </w:divBdr>
    </w:div>
    <w:div w:id="1783375787">
      <w:bodyDiv w:val="1"/>
      <w:marLeft w:val="0"/>
      <w:marRight w:val="0"/>
      <w:marTop w:val="0"/>
      <w:marBottom w:val="0"/>
      <w:divBdr>
        <w:top w:val="none" w:sz="0" w:space="0" w:color="auto"/>
        <w:left w:val="none" w:sz="0" w:space="0" w:color="auto"/>
        <w:bottom w:val="none" w:sz="0" w:space="0" w:color="auto"/>
        <w:right w:val="none" w:sz="0" w:space="0" w:color="auto"/>
      </w:divBdr>
    </w:div>
    <w:div w:id="1783378387">
      <w:bodyDiv w:val="1"/>
      <w:marLeft w:val="0"/>
      <w:marRight w:val="0"/>
      <w:marTop w:val="0"/>
      <w:marBottom w:val="0"/>
      <w:divBdr>
        <w:top w:val="none" w:sz="0" w:space="0" w:color="auto"/>
        <w:left w:val="none" w:sz="0" w:space="0" w:color="auto"/>
        <w:bottom w:val="none" w:sz="0" w:space="0" w:color="auto"/>
        <w:right w:val="none" w:sz="0" w:space="0" w:color="auto"/>
      </w:divBdr>
    </w:div>
    <w:div w:id="1783526553">
      <w:bodyDiv w:val="1"/>
      <w:marLeft w:val="0"/>
      <w:marRight w:val="0"/>
      <w:marTop w:val="0"/>
      <w:marBottom w:val="0"/>
      <w:divBdr>
        <w:top w:val="none" w:sz="0" w:space="0" w:color="auto"/>
        <w:left w:val="none" w:sz="0" w:space="0" w:color="auto"/>
        <w:bottom w:val="none" w:sz="0" w:space="0" w:color="auto"/>
        <w:right w:val="none" w:sz="0" w:space="0" w:color="auto"/>
      </w:divBdr>
    </w:div>
    <w:div w:id="1783722730">
      <w:bodyDiv w:val="1"/>
      <w:marLeft w:val="0"/>
      <w:marRight w:val="0"/>
      <w:marTop w:val="0"/>
      <w:marBottom w:val="0"/>
      <w:divBdr>
        <w:top w:val="none" w:sz="0" w:space="0" w:color="auto"/>
        <w:left w:val="none" w:sz="0" w:space="0" w:color="auto"/>
        <w:bottom w:val="none" w:sz="0" w:space="0" w:color="auto"/>
        <w:right w:val="none" w:sz="0" w:space="0" w:color="auto"/>
      </w:divBdr>
    </w:div>
    <w:div w:id="1783770382">
      <w:bodyDiv w:val="1"/>
      <w:marLeft w:val="0"/>
      <w:marRight w:val="0"/>
      <w:marTop w:val="0"/>
      <w:marBottom w:val="0"/>
      <w:divBdr>
        <w:top w:val="none" w:sz="0" w:space="0" w:color="auto"/>
        <w:left w:val="none" w:sz="0" w:space="0" w:color="auto"/>
        <w:bottom w:val="none" w:sz="0" w:space="0" w:color="auto"/>
        <w:right w:val="none" w:sz="0" w:space="0" w:color="auto"/>
      </w:divBdr>
    </w:div>
    <w:div w:id="1783839462">
      <w:bodyDiv w:val="1"/>
      <w:marLeft w:val="0"/>
      <w:marRight w:val="0"/>
      <w:marTop w:val="0"/>
      <w:marBottom w:val="0"/>
      <w:divBdr>
        <w:top w:val="none" w:sz="0" w:space="0" w:color="auto"/>
        <w:left w:val="none" w:sz="0" w:space="0" w:color="auto"/>
        <w:bottom w:val="none" w:sz="0" w:space="0" w:color="auto"/>
        <w:right w:val="none" w:sz="0" w:space="0" w:color="auto"/>
      </w:divBdr>
    </w:div>
    <w:div w:id="1783843574">
      <w:bodyDiv w:val="1"/>
      <w:marLeft w:val="0"/>
      <w:marRight w:val="0"/>
      <w:marTop w:val="0"/>
      <w:marBottom w:val="0"/>
      <w:divBdr>
        <w:top w:val="none" w:sz="0" w:space="0" w:color="auto"/>
        <w:left w:val="none" w:sz="0" w:space="0" w:color="auto"/>
        <w:bottom w:val="none" w:sz="0" w:space="0" w:color="auto"/>
        <w:right w:val="none" w:sz="0" w:space="0" w:color="auto"/>
      </w:divBdr>
    </w:div>
    <w:div w:id="1783962835">
      <w:bodyDiv w:val="1"/>
      <w:marLeft w:val="0"/>
      <w:marRight w:val="0"/>
      <w:marTop w:val="0"/>
      <w:marBottom w:val="0"/>
      <w:divBdr>
        <w:top w:val="none" w:sz="0" w:space="0" w:color="auto"/>
        <w:left w:val="none" w:sz="0" w:space="0" w:color="auto"/>
        <w:bottom w:val="none" w:sz="0" w:space="0" w:color="auto"/>
        <w:right w:val="none" w:sz="0" w:space="0" w:color="auto"/>
      </w:divBdr>
    </w:div>
    <w:div w:id="1784108224">
      <w:bodyDiv w:val="1"/>
      <w:marLeft w:val="0"/>
      <w:marRight w:val="0"/>
      <w:marTop w:val="0"/>
      <w:marBottom w:val="0"/>
      <w:divBdr>
        <w:top w:val="none" w:sz="0" w:space="0" w:color="auto"/>
        <w:left w:val="none" w:sz="0" w:space="0" w:color="auto"/>
        <w:bottom w:val="none" w:sz="0" w:space="0" w:color="auto"/>
        <w:right w:val="none" w:sz="0" w:space="0" w:color="auto"/>
      </w:divBdr>
    </w:div>
    <w:div w:id="1784155654">
      <w:bodyDiv w:val="1"/>
      <w:marLeft w:val="0"/>
      <w:marRight w:val="0"/>
      <w:marTop w:val="0"/>
      <w:marBottom w:val="0"/>
      <w:divBdr>
        <w:top w:val="none" w:sz="0" w:space="0" w:color="auto"/>
        <w:left w:val="none" w:sz="0" w:space="0" w:color="auto"/>
        <w:bottom w:val="none" w:sz="0" w:space="0" w:color="auto"/>
        <w:right w:val="none" w:sz="0" w:space="0" w:color="auto"/>
      </w:divBdr>
    </w:div>
    <w:div w:id="1784223218">
      <w:bodyDiv w:val="1"/>
      <w:marLeft w:val="0"/>
      <w:marRight w:val="0"/>
      <w:marTop w:val="0"/>
      <w:marBottom w:val="0"/>
      <w:divBdr>
        <w:top w:val="none" w:sz="0" w:space="0" w:color="auto"/>
        <w:left w:val="none" w:sz="0" w:space="0" w:color="auto"/>
        <w:bottom w:val="none" w:sz="0" w:space="0" w:color="auto"/>
        <w:right w:val="none" w:sz="0" w:space="0" w:color="auto"/>
      </w:divBdr>
    </w:div>
    <w:div w:id="1784374651">
      <w:bodyDiv w:val="1"/>
      <w:marLeft w:val="0"/>
      <w:marRight w:val="0"/>
      <w:marTop w:val="0"/>
      <w:marBottom w:val="0"/>
      <w:divBdr>
        <w:top w:val="none" w:sz="0" w:space="0" w:color="auto"/>
        <w:left w:val="none" w:sz="0" w:space="0" w:color="auto"/>
        <w:bottom w:val="none" w:sz="0" w:space="0" w:color="auto"/>
        <w:right w:val="none" w:sz="0" w:space="0" w:color="auto"/>
      </w:divBdr>
    </w:div>
    <w:div w:id="1784379811">
      <w:bodyDiv w:val="1"/>
      <w:marLeft w:val="0"/>
      <w:marRight w:val="0"/>
      <w:marTop w:val="0"/>
      <w:marBottom w:val="0"/>
      <w:divBdr>
        <w:top w:val="none" w:sz="0" w:space="0" w:color="auto"/>
        <w:left w:val="none" w:sz="0" w:space="0" w:color="auto"/>
        <w:bottom w:val="none" w:sz="0" w:space="0" w:color="auto"/>
        <w:right w:val="none" w:sz="0" w:space="0" w:color="auto"/>
      </w:divBdr>
    </w:div>
    <w:div w:id="1784572105">
      <w:bodyDiv w:val="1"/>
      <w:marLeft w:val="0"/>
      <w:marRight w:val="0"/>
      <w:marTop w:val="0"/>
      <w:marBottom w:val="0"/>
      <w:divBdr>
        <w:top w:val="none" w:sz="0" w:space="0" w:color="auto"/>
        <w:left w:val="none" w:sz="0" w:space="0" w:color="auto"/>
        <w:bottom w:val="none" w:sz="0" w:space="0" w:color="auto"/>
        <w:right w:val="none" w:sz="0" w:space="0" w:color="auto"/>
      </w:divBdr>
    </w:div>
    <w:div w:id="1784576191">
      <w:bodyDiv w:val="1"/>
      <w:marLeft w:val="0"/>
      <w:marRight w:val="0"/>
      <w:marTop w:val="0"/>
      <w:marBottom w:val="0"/>
      <w:divBdr>
        <w:top w:val="none" w:sz="0" w:space="0" w:color="auto"/>
        <w:left w:val="none" w:sz="0" w:space="0" w:color="auto"/>
        <w:bottom w:val="none" w:sz="0" w:space="0" w:color="auto"/>
        <w:right w:val="none" w:sz="0" w:space="0" w:color="auto"/>
      </w:divBdr>
    </w:div>
    <w:div w:id="1784693399">
      <w:bodyDiv w:val="1"/>
      <w:marLeft w:val="0"/>
      <w:marRight w:val="0"/>
      <w:marTop w:val="0"/>
      <w:marBottom w:val="0"/>
      <w:divBdr>
        <w:top w:val="none" w:sz="0" w:space="0" w:color="auto"/>
        <w:left w:val="none" w:sz="0" w:space="0" w:color="auto"/>
        <w:bottom w:val="none" w:sz="0" w:space="0" w:color="auto"/>
        <w:right w:val="none" w:sz="0" w:space="0" w:color="auto"/>
      </w:divBdr>
    </w:div>
    <w:div w:id="1784761945">
      <w:bodyDiv w:val="1"/>
      <w:marLeft w:val="0"/>
      <w:marRight w:val="0"/>
      <w:marTop w:val="0"/>
      <w:marBottom w:val="0"/>
      <w:divBdr>
        <w:top w:val="none" w:sz="0" w:space="0" w:color="auto"/>
        <w:left w:val="none" w:sz="0" w:space="0" w:color="auto"/>
        <w:bottom w:val="none" w:sz="0" w:space="0" w:color="auto"/>
        <w:right w:val="none" w:sz="0" w:space="0" w:color="auto"/>
      </w:divBdr>
    </w:div>
    <w:div w:id="1784764186">
      <w:bodyDiv w:val="1"/>
      <w:marLeft w:val="0"/>
      <w:marRight w:val="0"/>
      <w:marTop w:val="0"/>
      <w:marBottom w:val="0"/>
      <w:divBdr>
        <w:top w:val="none" w:sz="0" w:space="0" w:color="auto"/>
        <w:left w:val="none" w:sz="0" w:space="0" w:color="auto"/>
        <w:bottom w:val="none" w:sz="0" w:space="0" w:color="auto"/>
        <w:right w:val="none" w:sz="0" w:space="0" w:color="auto"/>
      </w:divBdr>
    </w:div>
    <w:div w:id="1784766388">
      <w:bodyDiv w:val="1"/>
      <w:marLeft w:val="0"/>
      <w:marRight w:val="0"/>
      <w:marTop w:val="0"/>
      <w:marBottom w:val="0"/>
      <w:divBdr>
        <w:top w:val="none" w:sz="0" w:space="0" w:color="auto"/>
        <w:left w:val="none" w:sz="0" w:space="0" w:color="auto"/>
        <w:bottom w:val="none" w:sz="0" w:space="0" w:color="auto"/>
        <w:right w:val="none" w:sz="0" w:space="0" w:color="auto"/>
      </w:divBdr>
    </w:div>
    <w:div w:id="1784960328">
      <w:bodyDiv w:val="1"/>
      <w:marLeft w:val="0"/>
      <w:marRight w:val="0"/>
      <w:marTop w:val="0"/>
      <w:marBottom w:val="0"/>
      <w:divBdr>
        <w:top w:val="none" w:sz="0" w:space="0" w:color="auto"/>
        <w:left w:val="none" w:sz="0" w:space="0" w:color="auto"/>
        <w:bottom w:val="none" w:sz="0" w:space="0" w:color="auto"/>
        <w:right w:val="none" w:sz="0" w:space="0" w:color="auto"/>
      </w:divBdr>
    </w:div>
    <w:div w:id="1785227072">
      <w:bodyDiv w:val="1"/>
      <w:marLeft w:val="0"/>
      <w:marRight w:val="0"/>
      <w:marTop w:val="0"/>
      <w:marBottom w:val="0"/>
      <w:divBdr>
        <w:top w:val="none" w:sz="0" w:space="0" w:color="auto"/>
        <w:left w:val="none" w:sz="0" w:space="0" w:color="auto"/>
        <w:bottom w:val="none" w:sz="0" w:space="0" w:color="auto"/>
        <w:right w:val="none" w:sz="0" w:space="0" w:color="auto"/>
      </w:divBdr>
    </w:div>
    <w:div w:id="1785730830">
      <w:bodyDiv w:val="1"/>
      <w:marLeft w:val="0"/>
      <w:marRight w:val="0"/>
      <w:marTop w:val="0"/>
      <w:marBottom w:val="0"/>
      <w:divBdr>
        <w:top w:val="none" w:sz="0" w:space="0" w:color="auto"/>
        <w:left w:val="none" w:sz="0" w:space="0" w:color="auto"/>
        <w:bottom w:val="none" w:sz="0" w:space="0" w:color="auto"/>
        <w:right w:val="none" w:sz="0" w:space="0" w:color="auto"/>
      </w:divBdr>
    </w:div>
    <w:div w:id="1785734725">
      <w:bodyDiv w:val="1"/>
      <w:marLeft w:val="0"/>
      <w:marRight w:val="0"/>
      <w:marTop w:val="0"/>
      <w:marBottom w:val="0"/>
      <w:divBdr>
        <w:top w:val="none" w:sz="0" w:space="0" w:color="auto"/>
        <w:left w:val="none" w:sz="0" w:space="0" w:color="auto"/>
        <w:bottom w:val="none" w:sz="0" w:space="0" w:color="auto"/>
        <w:right w:val="none" w:sz="0" w:space="0" w:color="auto"/>
      </w:divBdr>
    </w:div>
    <w:div w:id="1785928680">
      <w:bodyDiv w:val="1"/>
      <w:marLeft w:val="0"/>
      <w:marRight w:val="0"/>
      <w:marTop w:val="0"/>
      <w:marBottom w:val="0"/>
      <w:divBdr>
        <w:top w:val="none" w:sz="0" w:space="0" w:color="auto"/>
        <w:left w:val="none" w:sz="0" w:space="0" w:color="auto"/>
        <w:bottom w:val="none" w:sz="0" w:space="0" w:color="auto"/>
        <w:right w:val="none" w:sz="0" w:space="0" w:color="auto"/>
      </w:divBdr>
    </w:div>
    <w:div w:id="1785998067">
      <w:bodyDiv w:val="1"/>
      <w:marLeft w:val="0"/>
      <w:marRight w:val="0"/>
      <w:marTop w:val="0"/>
      <w:marBottom w:val="0"/>
      <w:divBdr>
        <w:top w:val="none" w:sz="0" w:space="0" w:color="auto"/>
        <w:left w:val="none" w:sz="0" w:space="0" w:color="auto"/>
        <w:bottom w:val="none" w:sz="0" w:space="0" w:color="auto"/>
        <w:right w:val="none" w:sz="0" w:space="0" w:color="auto"/>
      </w:divBdr>
    </w:div>
    <w:div w:id="1786073880">
      <w:bodyDiv w:val="1"/>
      <w:marLeft w:val="0"/>
      <w:marRight w:val="0"/>
      <w:marTop w:val="0"/>
      <w:marBottom w:val="0"/>
      <w:divBdr>
        <w:top w:val="none" w:sz="0" w:space="0" w:color="auto"/>
        <w:left w:val="none" w:sz="0" w:space="0" w:color="auto"/>
        <w:bottom w:val="none" w:sz="0" w:space="0" w:color="auto"/>
        <w:right w:val="none" w:sz="0" w:space="0" w:color="auto"/>
      </w:divBdr>
    </w:div>
    <w:div w:id="1786538711">
      <w:bodyDiv w:val="1"/>
      <w:marLeft w:val="0"/>
      <w:marRight w:val="0"/>
      <w:marTop w:val="0"/>
      <w:marBottom w:val="0"/>
      <w:divBdr>
        <w:top w:val="none" w:sz="0" w:space="0" w:color="auto"/>
        <w:left w:val="none" w:sz="0" w:space="0" w:color="auto"/>
        <w:bottom w:val="none" w:sz="0" w:space="0" w:color="auto"/>
        <w:right w:val="none" w:sz="0" w:space="0" w:color="auto"/>
      </w:divBdr>
    </w:div>
    <w:div w:id="1786578898">
      <w:bodyDiv w:val="1"/>
      <w:marLeft w:val="0"/>
      <w:marRight w:val="0"/>
      <w:marTop w:val="0"/>
      <w:marBottom w:val="0"/>
      <w:divBdr>
        <w:top w:val="none" w:sz="0" w:space="0" w:color="auto"/>
        <w:left w:val="none" w:sz="0" w:space="0" w:color="auto"/>
        <w:bottom w:val="none" w:sz="0" w:space="0" w:color="auto"/>
        <w:right w:val="none" w:sz="0" w:space="0" w:color="auto"/>
      </w:divBdr>
    </w:div>
    <w:div w:id="1786581055">
      <w:bodyDiv w:val="1"/>
      <w:marLeft w:val="0"/>
      <w:marRight w:val="0"/>
      <w:marTop w:val="0"/>
      <w:marBottom w:val="0"/>
      <w:divBdr>
        <w:top w:val="none" w:sz="0" w:space="0" w:color="auto"/>
        <w:left w:val="none" w:sz="0" w:space="0" w:color="auto"/>
        <w:bottom w:val="none" w:sz="0" w:space="0" w:color="auto"/>
        <w:right w:val="none" w:sz="0" w:space="0" w:color="auto"/>
      </w:divBdr>
    </w:div>
    <w:div w:id="1786581713">
      <w:bodyDiv w:val="1"/>
      <w:marLeft w:val="0"/>
      <w:marRight w:val="0"/>
      <w:marTop w:val="0"/>
      <w:marBottom w:val="0"/>
      <w:divBdr>
        <w:top w:val="none" w:sz="0" w:space="0" w:color="auto"/>
        <w:left w:val="none" w:sz="0" w:space="0" w:color="auto"/>
        <w:bottom w:val="none" w:sz="0" w:space="0" w:color="auto"/>
        <w:right w:val="none" w:sz="0" w:space="0" w:color="auto"/>
      </w:divBdr>
    </w:div>
    <w:div w:id="1786656611">
      <w:bodyDiv w:val="1"/>
      <w:marLeft w:val="0"/>
      <w:marRight w:val="0"/>
      <w:marTop w:val="0"/>
      <w:marBottom w:val="0"/>
      <w:divBdr>
        <w:top w:val="none" w:sz="0" w:space="0" w:color="auto"/>
        <w:left w:val="none" w:sz="0" w:space="0" w:color="auto"/>
        <w:bottom w:val="none" w:sz="0" w:space="0" w:color="auto"/>
        <w:right w:val="none" w:sz="0" w:space="0" w:color="auto"/>
      </w:divBdr>
    </w:div>
    <w:div w:id="1786728811">
      <w:bodyDiv w:val="1"/>
      <w:marLeft w:val="0"/>
      <w:marRight w:val="0"/>
      <w:marTop w:val="0"/>
      <w:marBottom w:val="0"/>
      <w:divBdr>
        <w:top w:val="none" w:sz="0" w:space="0" w:color="auto"/>
        <w:left w:val="none" w:sz="0" w:space="0" w:color="auto"/>
        <w:bottom w:val="none" w:sz="0" w:space="0" w:color="auto"/>
        <w:right w:val="none" w:sz="0" w:space="0" w:color="auto"/>
      </w:divBdr>
    </w:div>
    <w:div w:id="1786732010">
      <w:bodyDiv w:val="1"/>
      <w:marLeft w:val="0"/>
      <w:marRight w:val="0"/>
      <w:marTop w:val="0"/>
      <w:marBottom w:val="0"/>
      <w:divBdr>
        <w:top w:val="none" w:sz="0" w:space="0" w:color="auto"/>
        <w:left w:val="none" w:sz="0" w:space="0" w:color="auto"/>
        <w:bottom w:val="none" w:sz="0" w:space="0" w:color="auto"/>
        <w:right w:val="none" w:sz="0" w:space="0" w:color="auto"/>
      </w:divBdr>
    </w:div>
    <w:div w:id="1786734155">
      <w:bodyDiv w:val="1"/>
      <w:marLeft w:val="0"/>
      <w:marRight w:val="0"/>
      <w:marTop w:val="0"/>
      <w:marBottom w:val="0"/>
      <w:divBdr>
        <w:top w:val="none" w:sz="0" w:space="0" w:color="auto"/>
        <w:left w:val="none" w:sz="0" w:space="0" w:color="auto"/>
        <w:bottom w:val="none" w:sz="0" w:space="0" w:color="auto"/>
        <w:right w:val="none" w:sz="0" w:space="0" w:color="auto"/>
      </w:divBdr>
    </w:div>
    <w:div w:id="1786777448">
      <w:bodyDiv w:val="1"/>
      <w:marLeft w:val="0"/>
      <w:marRight w:val="0"/>
      <w:marTop w:val="0"/>
      <w:marBottom w:val="0"/>
      <w:divBdr>
        <w:top w:val="none" w:sz="0" w:space="0" w:color="auto"/>
        <w:left w:val="none" w:sz="0" w:space="0" w:color="auto"/>
        <w:bottom w:val="none" w:sz="0" w:space="0" w:color="auto"/>
        <w:right w:val="none" w:sz="0" w:space="0" w:color="auto"/>
      </w:divBdr>
    </w:div>
    <w:div w:id="1786923981">
      <w:bodyDiv w:val="1"/>
      <w:marLeft w:val="0"/>
      <w:marRight w:val="0"/>
      <w:marTop w:val="0"/>
      <w:marBottom w:val="0"/>
      <w:divBdr>
        <w:top w:val="none" w:sz="0" w:space="0" w:color="auto"/>
        <w:left w:val="none" w:sz="0" w:space="0" w:color="auto"/>
        <w:bottom w:val="none" w:sz="0" w:space="0" w:color="auto"/>
        <w:right w:val="none" w:sz="0" w:space="0" w:color="auto"/>
      </w:divBdr>
    </w:div>
    <w:div w:id="1786996147">
      <w:bodyDiv w:val="1"/>
      <w:marLeft w:val="0"/>
      <w:marRight w:val="0"/>
      <w:marTop w:val="0"/>
      <w:marBottom w:val="0"/>
      <w:divBdr>
        <w:top w:val="none" w:sz="0" w:space="0" w:color="auto"/>
        <w:left w:val="none" w:sz="0" w:space="0" w:color="auto"/>
        <w:bottom w:val="none" w:sz="0" w:space="0" w:color="auto"/>
        <w:right w:val="none" w:sz="0" w:space="0" w:color="auto"/>
      </w:divBdr>
    </w:div>
    <w:div w:id="1787189323">
      <w:bodyDiv w:val="1"/>
      <w:marLeft w:val="0"/>
      <w:marRight w:val="0"/>
      <w:marTop w:val="0"/>
      <w:marBottom w:val="0"/>
      <w:divBdr>
        <w:top w:val="none" w:sz="0" w:space="0" w:color="auto"/>
        <w:left w:val="none" w:sz="0" w:space="0" w:color="auto"/>
        <w:bottom w:val="none" w:sz="0" w:space="0" w:color="auto"/>
        <w:right w:val="none" w:sz="0" w:space="0" w:color="auto"/>
      </w:divBdr>
    </w:div>
    <w:div w:id="1787193673">
      <w:bodyDiv w:val="1"/>
      <w:marLeft w:val="0"/>
      <w:marRight w:val="0"/>
      <w:marTop w:val="0"/>
      <w:marBottom w:val="0"/>
      <w:divBdr>
        <w:top w:val="none" w:sz="0" w:space="0" w:color="auto"/>
        <w:left w:val="none" w:sz="0" w:space="0" w:color="auto"/>
        <w:bottom w:val="none" w:sz="0" w:space="0" w:color="auto"/>
        <w:right w:val="none" w:sz="0" w:space="0" w:color="auto"/>
      </w:divBdr>
    </w:div>
    <w:div w:id="1787232540">
      <w:bodyDiv w:val="1"/>
      <w:marLeft w:val="0"/>
      <w:marRight w:val="0"/>
      <w:marTop w:val="0"/>
      <w:marBottom w:val="0"/>
      <w:divBdr>
        <w:top w:val="none" w:sz="0" w:space="0" w:color="auto"/>
        <w:left w:val="none" w:sz="0" w:space="0" w:color="auto"/>
        <w:bottom w:val="none" w:sz="0" w:space="0" w:color="auto"/>
        <w:right w:val="none" w:sz="0" w:space="0" w:color="auto"/>
      </w:divBdr>
    </w:div>
    <w:div w:id="1787311766">
      <w:bodyDiv w:val="1"/>
      <w:marLeft w:val="0"/>
      <w:marRight w:val="0"/>
      <w:marTop w:val="0"/>
      <w:marBottom w:val="0"/>
      <w:divBdr>
        <w:top w:val="none" w:sz="0" w:space="0" w:color="auto"/>
        <w:left w:val="none" w:sz="0" w:space="0" w:color="auto"/>
        <w:bottom w:val="none" w:sz="0" w:space="0" w:color="auto"/>
        <w:right w:val="none" w:sz="0" w:space="0" w:color="auto"/>
      </w:divBdr>
    </w:div>
    <w:div w:id="1787506275">
      <w:bodyDiv w:val="1"/>
      <w:marLeft w:val="0"/>
      <w:marRight w:val="0"/>
      <w:marTop w:val="0"/>
      <w:marBottom w:val="0"/>
      <w:divBdr>
        <w:top w:val="none" w:sz="0" w:space="0" w:color="auto"/>
        <w:left w:val="none" w:sz="0" w:space="0" w:color="auto"/>
        <w:bottom w:val="none" w:sz="0" w:space="0" w:color="auto"/>
        <w:right w:val="none" w:sz="0" w:space="0" w:color="auto"/>
      </w:divBdr>
    </w:div>
    <w:div w:id="1787574308">
      <w:bodyDiv w:val="1"/>
      <w:marLeft w:val="0"/>
      <w:marRight w:val="0"/>
      <w:marTop w:val="0"/>
      <w:marBottom w:val="0"/>
      <w:divBdr>
        <w:top w:val="none" w:sz="0" w:space="0" w:color="auto"/>
        <w:left w:val="none" w:sz="0" w:space="0" w:color="auto"/>
        <w:bottom w:val="none" w:sz="0" w:space="0" w:color="auto"/>
        <w:right w:val="none" w:sz="0" w:space="0" w:color="auto"/>
      </w:divBdr>
    </w:div>
    <w:div w:id="1787652989">
      <w:bodyDiv w:val="1"/>
      <w:marLeft w:val="0"/>
      <w:marRight w:val="0"/>
      <w:marTop w:val="0"/>
      <w:marBottom w:val="0"/>
      <w:divBdr>
        <w:top w:val="none" w:sz="0" w:space="0" w:color="auto"/>
        <w:left w:val="none" w:sz="0" w:space="0" w:color="auto"/>
        <w:bottom w:val="none" w:sz="0" w:space="0" w:color="auto"/>
        <w:right w:val="none" w:sz="0" w:space="0" w:color="auto"/>
      </w:divBdr>
    </w:div>
    <w:div w:id="1787655721">
      <w:bodyDiv w:val="1"/>
      <w:marLeft w:val="0"/>
      <w:marRight w:val="0"/>
      <w:marTop w:val="0"/>
      <w:marBottom w:val="0"/>
      <w:divBdr>
        <w:top w:val="none" w:sz="0" w:space="0" w:color="auto"/>
        <w:left w:val="none" w:sz="0" w:space="0" w:color="auto"/>
        <w:bottom w:val="none" w:sz="0" w:space="0" w:color="auto"/>
        <w:right w:val="none" w:sz="0" w:space="0" w:color="auto"/>
      </w:divBdr>
    </w:div>
    <w:div w:id="1787692258">
      <w:bodyDiv w:val="1"/>
      <w:marLeft w:val="0"/>
      <w:marRight w:val="0"/>
      <w:marTop w:val="0"/>
      <w:marBottom w:val="0"/>
      <w:divBdr>
        <w:top w:val="none" w:sz="0" w:space="0" w:color="auto"/>
        <w:left w:val="none" w:sz="0" w:space="0" w:color="auto"/>
        <w:bottom w:val="none" w:sz="0" w:space="0" w:color="auto"/>
        <w:right w:val="none" w:sz="0" w:space="0" w:color="auto"/>
      </w:divBdr>
    </w:div>
    <w:div w:id="1787701642">
      <w:bodyDiv w:val="1"/>
      <w:marLeft w:val="0"/>
      <w:marRight w:val="0"/>
      <w:marTop w:val="0"/>
      <w:marBottom w:val="0"/>
      <w:divBdr>
        <w:top w:val="none" w:sz="0" w:space="0" w:color="auto"/>
        <w:left w:val="none" w:sz="0" w:space="0" w:color="auto"/>
        <w:bottom w:val="none" w:sz="0" w:space="0" w:color="auto"/>
        <w:right w:val="none" w:sz="0" w:space="0" w:color="auto"/>
      </w:divBdr>
    </w:div>
    <w:div w:id="1787770173">
      <w:bodyDiv w:val="1"/>
      <w:marLeft w:val="0"/>
      <w:marRight w:val="0"/>
      <w:marTop w:val="0"/>
      <w:marBottom w:val="0"/>
      <w:divBdr>
        <w:top w:val="none" w:sz="0" w:space="0" w:color="auto"/>
        <w:left w:val="none" w:sz="0" w:space="0" w:color="auto"/>
        <w:bottom w:val="none" w:sz="0" w:space="0" w:color="auto"/>
        <w:right w:val="none" w:sz="0" w:space="0" w:color="auto"/>
      </w:divBdr>
    </w:div>
    <w:div w:id="1787892888">
      <w:bodyDiv w:val="1"/>
      <w:marLeft w:val="0"/>
      <w:marRight w:val="0"/>
      <w:marTop w:val="0"/>
      <w:marBottom w:val="0"/>
      <w:divBdr>
        <w:top w:val="none" w:sz="0" w:space="0" w:color="auto"/>
        <w:left w:val="none" w:sz="0" w:space="0" w:color="auto"/>
        <w:bottom w:val="none" w:sz="0" w:space="0" w:color="auto"/>
        <w:right w:val="none" w:sz="0" w:space="0" w:color="auto"/>
      </w:divBdr>
    </w:div>
    <w:div w:id="1788155868">
      <w:bodyDiv w:val="1"/>
      <w:marLeft w:val="0"/>
      <w:marRight w:val="0"/>
      <w:marTop w:val="0"/>
      <w:marBottom w:val="0"/>
      <w:divBdr>
        <w:top w:val="none" w:sz="0" w:space="0" w:color="auto"/>
        <w:left w:val="none" w:sz="0" w:space="0" w:color="auto"/>
        <w:bottom w:val="none" w:sz="0" w:space="0" w:color="auto"/>
        <w:right w:val="none" w:sz="0" w:space="0" w:color="auto"/>
      </w:divBdr>
    </w:div>
    <w:div w:id="1788305425">
      <w:bodyDiv w:val="1"/>
      <w:marLeft w:val="0"/>
      <w:marRight w:val="0"/>
      <w:marTop w:val="0"/>
      <w:marBottom w:val="0"/>
      <w:divBdr>
        <w:top w:val="none" w:sz="0" w:space="0" w:color="auto"/>
        <w:left w:val="none" w:sz="0" w:space="0" w:color="auto"/>
        <w:bottom w:val="none" w:sz="0" w:space="0" w:color="auto"/>
        <w:right w:val="none" w:sz="0" w:space="0" w:color="auto"/>
      </w:divBdr>
    </w:div>
    <w:div w:id="1788426499">
      <w:bodyDiv w:val="1"/>
      <w:marLeft w:val="0"/>
      <w:marRight w:val="0"/>
      <w:marTop w:val="0"/>
      <w:marBottom w:val="0"/>
      <w:divBdr>
        <w:top w:val="none" w:sz="0" w:space="0" w:color="auto"/>
        <w:left w:val="none" w:sz="0" w:space="0" w:color="auto"/>
        <w:bottom w:val="none" w:sz="0" w:space="0" w:color="auto"/>
        <w:right w:val="none" w:sz="0" w:space="0" w:color="auto"/>
      </w:divBdr>
    </w:div>
    <w:div w:id="1788692888">
      <w:bodyDiv w:val="1"/>
      <w:marLeft w:val="0"/>
      <w:marRight w:val="0"/>
      <w:marTop w:val="0"/>
      <w:marBottom w:val="0"/>
      <w:divBdr>
        <w:top w:val="none" w:sz="0" w:space="0" w:color="auto"/>
        <w:left w:val="none" w:sz="0" w:space="0" w:color="auto"/>
        <w:bottom w:val="none" w:sz="0" w:space="0" w:color="auto"/>
        <w:right w:val="none" w:sz="0" w:space="0" w:color="auto"/>
      </w:divBdr>
    </w:div>
    <w:div w:id="1788742054">
      <w:bodyDiv w:val="1"/>
      <w:marLeft w:val="0"/>
      <w:marRight w:val="0"/>
      <w:marTop w:val="0"/>
      <w:marBottom w:val="0"/>
      <w:divBdr>
        <w:top w:val="none" w:sz="0" w:space="0" w:color="auto"/>
        <w:left w:val="none" w:sz="0" w:space="0" w:color="auto"/>
        <w:bottom w:val="none" w:sz="0" w:space="0" w:color="auto"/>
        <w:right w:val="none" w:sz="0" w:space="0" w:color="auto"/>
      </w:divBdr>
    </w:div>
    <w:div w:id="1788962083">
      <w:bodyDiv w:val="1"/>
      <w:marLeft w:val="0"/>
      <w:marRight w:val="0"/>
      <w:marTop w:val="0"/>
      <w:marBottom w:val="0"/>
      <w:divBdr>
        <w:top w:val="none" w:sz="0" w:space="0" w:color="auto"/>
        <w:left w:val="none" w:sz="0" w:space="0" w:color="auto"/>
        <w:bottom w:val="none" w:sz="0" w:space="0" w:color="auto"/>
        <w:right w:val="none" w:sz="0" w:space="0" w:color="auto"/>
      </w:divBdr>
    </w:div>
    <w:div w:id="1788964299">
      <w:bodyDiv w:val="1"/>
      <w:marLeft w:val="0"/>
      <w:marRight w:val="0"/>
      <w:marTop w:val="0"/>
      <w:marBottom w:val="0"/>
      <w:divBdr>
        <w:top w:val="none" w:sz="0" w:space="0" w:color="auto"/>
        <w:left w:val="none" w:sz="0" w:space="0" w:color="auto"/>
        <w:bottom w:val="none" w:sz="0" w:space="0" w:color="auto"/>
        <w:right w:val="none" w:sz="0" w:space="0" w:color="auto"/>
      </w:divBdr>
    </w:div>
    <w:div w:id="1789079879">
      <w:bodyDiv w:val="1"/>
      <w:marLeft w:val="0"/>
      <w:marRight w:val="0"/>
      <w:marTop w:val="0"/>
      <w:marBottom w:val="0"/>
      <w:divBdr>
        <w:top w:val="none" w:sz="0" w:space="0" w:color="auto"/>
        <w:left w:val="none" w:sz="0" w:space="0" w:color="auto"/>
        <w:bottom w:val="none" w:sz="0" w:space="0" w:color="auto"/>
        <w:right w:val="none" w:sz="0" w:space="0" w:color="auto"/>
      </w:divBdr>
    </w:div>
    <w:div w:id="1789086947">
      <w:bodyDiv w:val="1"/>
      <w:marLeft w:val="0"/>
      <w:marRight w:val="0"/>
      <w:marTop w:val="0"/>
      <w:marBottom w:val="0"/>
      <w:divBdr>
        <w:top w:val="none" w:sz="0" w:space="0" w:color="auto"/>
        <w:left w:val="none" w:sz="0" w:space="0" w:color="auto"/>
        <w:bottom w:val="none" w:sz="0" w:space="0" w:color="auto"/>
        <w:right w:val="none" w:sz="0" w:space="0" w:color="auto"/>
      </w:divBdr>
    </w:div>
    <w:div w:id="1789277459">
      <w:bodyDiv w:val="1"/>
      <w:marLeft w:val="0"/>
      <w:marRight w:val="0"/>
      <w:marTop w:val="0"/>
      <w:marBottom w:val="0"/>
      <w:divBdr>
        <w:top w:val="none" w:sz="0" w:space="0" w:color="auto"/>
        <w:left w:val="none" w:sz="0" w:space="0" w:color="auto"/>
        <w:bottom w:val="none" w:sz="0" w:space="0" w:color="auto"/>
        <w:right w:val="none" w:sz="0" w:space="0" w:color="auto"/>
      </w:divBdr>
    </w:div>
    <w:div w:id="1789354303">
      <w:bodyDiv w:val="1"/>
      <w:marLeft w:val="0"/>
      <w:marRight w:val="0"/>
      <w:marTop w:val="0"/>
      <w:marBottom w:val="0"/>
      <w:divBdr>
        <w:top w:val="none" w:sz="0" w:space="0" w:color="auto"/>
        <w:left w:val="none" w:sz="0" w:space="0" w:color="auto"/>
        <w:bottom w:val="none" w:sz="0" w:space="0" w:color="auto"/>
        <w:right w:val="none" w:sz="0" w:space="0" w:color="auto"/>
      </w:divBdr>
    </w:div>
    <w:div w:id="1789467589">
      <w:bodyDiv w:val="1"/>
      <w:marLeft w:val="0"/>
      <w:marRight w:val="0"/>
      <w:marTop w:val="0"/>
      <w:marBottom w:val="0"/>
      <w:divBdr>
        <w:top w:val="none" w:sz="0" w:space="0" w:color="auto"/>
        <w:left w:val="none" w:sz="0" w:space="0" w:color="auto"/>
        <w:bottom w:val="none" w:sz="0" w:space="0" w:color="auto"/>
        <w:right w:val="none" w:sz="0" w:space="0" w:color="auto"/>
      </w:divBdr>
    </w:div>
    <w:div w:id="1789739917">
      <w:bodyDiv w:val="1"/>
      <w:marLeft w:val="0"/>
      <w:marRight w:val="0"/>
      <w:marTop w:val="0"/>
      <w:marBottom w:val="0"/>
      <w:divBdr>
        <w:top w:val="none" w:sz="0" w:space="0" w:color="auto"/>
        <w:left w:val="none" w:sz="0" w:space="0" w:color="auto"/>
        <w:bottom w:val="none" w:sz="0" w:space="0" w:color="auto"/>
        <w:right w:val="none" w:sz="0" w:space="0" w:color="auto"/>
      </w:divBdr>
    </w:div>
    <w:div w:id="1789859063">
      <w:bodyDiv w:val="1"/>
      <w:marLeft w:val="0"/>
      <w:marRight w:val="0"/>
      <w:marTop w:val="0"/>
      <w:marBottom w:val="0"/>
      <w:divBdr>
        <w:top w:val="none" w:sz="0" w:space="0" w:color="auto"/>
        <w:left w:val="none" w:sz="0" w:space="0" w:color="auto"/>
        <w:bottom w:val="none" w:sz="0" w:space="0" w:color="auto"/>
        <w:right w:val="none" w:sz="0" w:space="0" w:color="auto"/>
      </w:divBdr>
    </w:div>
    <w:div w:id="1789860559">
      <w:bodyDiv w:val="1"/>
      <w:marLeft w:val="0"/>
      <w:marRight w:val="0"/>
      <w:marTop w:val="0"/>
      <w:marBottom w:val="0"/>
      <w:divBdr>
        <w:top w:val="none" w:sz="0" w:space="0" w:color="auto"/>
        <w:left w:val="none" w:sz="0" w:space="0" w:color="auto"/>
        <w:bottom w:val="none" w:sz="0" w:space="0" w:color="auto"/>
        <w:right w:val="none" w:sz="0" w:space="0" w:color="auto"/>
      </w:divBdr>
    </w:div>
    <w:div w:id="1790050633">
      <w:bodyDiv w:val="1"/>
      <w:marLeft w:val="0"/>
      <w:marRight w:val="0"/>
      <w:marTop w:val="0"/>
      <w:marBottom w:val="0"/>
      <w:divBdr>
        <w:top w:val="none" w:sz="0" w:space="0" w:color="auto"/>
        <w:left w:val="none" w:sz="0" w:space="0" w:color="auto"/>
        <w:bottom w:val="none" w:sz="0" w:space="0" w:color="auto"/>
        <w:right w:val="none" w:sz="0" w:space="0" w:color="auto"/>
      </w:divBdr>
    </w:div>
    <w:div w:id="1790277569">
      <w:bodyDiv w:val="1"/>
      <w:marLeft w:val="0"/>
      <w:marRight w:val="0"/>
      <w:marTop w:val="0"/>
      <w:marBottom w:val="0"/>
      <w:divBdr>
        <w:top w:val="none" w:sz="0" w:space="0" w:color="auto"/>
        <w:left w:val="none" w:sz="0" w:space="0" w:color="auto"/>
        <w:bottom w:val="none" w:sz="0" w:space="0" w:color="auto"/>
        <w:right w:val="none" w:sz="0" w:space="0" w:color="auto"/>
      </w:divBdr>
    </w:div>
    <w:div w:id="1790663287">
      <w:bodyDiv w:val="1"/>
      <w:marLeft w:val="0"/>
      <w:marRight w:val="0"/>
      <w:marTop w:val="0"/>
      <w:marBottom w:val="0"/>
      <w:divBdr>
        <w:top w:val="none" w:sz="0" w:space="0" w:color="auto"/>
        <w:left w:val="none" w:sz="0" w:space="0" w:color="auto"/>
        <w:bottom w:val="none" w:sz="0" w:space="0" w:color="auto"/>
        <w:right w:val="none" w:sz="0" w:space="0" w:color="auto"/>
      </w:divBdr>
    </w:div>
    <w:div w:id="1791121293">
      <w:bodyDiv w:val="1"/>
      <w:marLeft w:val="0"/>
      <w:marRight w:val="0"/>
      <w:marTop w:val="0"/>
      <w:marBottom w:val="0"/>
      <w:divBdr>
        <w:top w:val="none" w:sz="0" w:space="0" w:color="auto"/>
        <w:left w:val="none" w:sz="0" w:space="0" w:color="auto"/>
        <w:bottom w:val="none" w:sz="0" w:space="0" w:color="auto"/>
        <w:right w:val="none" w:sz="0" w:space="0" w:color="auto"/>
      </w:divBdr>
    </w:div>
    <w:div w:id="1791126520">
      <w:bodyDiv w:val="1"/>
      <w:marLeft w:val="0"/>
      <w:marRight w:val="0"/>
      <w:marTop w:val="0"/>
      <w:marBottom w:val="0"/>
      <w:divBdr>
        <w:top w:val="none" w:sz="0" w:space="0" w:color="auto"/>
        <w:left w:val="none" w:sz="0" w:space="0" w:color="auto"/>
        <w:bottom w:val="none" w:sz="0" w:space="0" w:color="auto"/>
        <w:right w:val="none" w:sz="0" w:space="0" w:color="auto"/>
      </w:divBdr>
    </w:div>
    <w:div w:id="1791127685">
      <w:bodyDiv w:val="1"/>
      <w:marLeft w:val="0"/>
      <w:marRight w:val="0"/>
      <w:marTop w:val="0"/>
      <w:marBottom w:val="0"/>
      <w:divBdr>
        <w:top w:val="none" w:sz="0" w:space="0" w:color="auto"/>
        <w:left w:val="none" w:sz="0" w:space="0" w:color="auto"/>
        <w:bottom w:val="none" w:sz="0" w:space="0" w:color="auto"/>
        <w:right w:val="none" w:sz="0" w:space="0" w:color="auto"/>
      </w:divBdr>
    </w:div>
    <w:div w:id="1791166295">
      <w:bodyDiv w:val="1"/>
      <w:marLeft w:val="0"/>
      <w:marRight w:val="0"/>
      <w:marTop w:val="0"/>
      <w:marBottom w:val="0"/>
      <w:divBdr>
        <w:top w:val="none" w:sz="0" w:space="0" w:color="auto"/>
        <w:left w:val="none" w:sz="0" w:space="0" w:color="auto"/>
        <w:bottom w:val="none" w:sz="0" w:space="0" w:color="auto"/>
        <w:right w:val="none" w:sz="0" w:space="0" w:color="auto"/>
      </w:divBdr>
    </w:div>
    <w:div w:id="1791166901">
      <w:bodyDiv w:val="1"/>
      <w:marLeft w:val="0"/>
      <w:marRight w:val="0"/>
      <w:marTop w:val="0"/>
      <w:marBottom w:val="0"/>
      <w:divBdr>
        <w:top w:val="none" w:sz="0" w:space="0" w:color="auto"/>
        <w:left w:val="none" w:sz="0" w:space="0" w:color="auto"/>
        <w:bottom w:val="none" w:sz="0" w:space="0" w:color="auto"/>
        <w:right w:val="none" w:sz="0" w:space="0" w:color="auto"/>
      </w:divBdr>
    </w:div>
    <w:div w:id="1791587771">
      <w:bodyDiv w:val="1"/>
      <w:marLeft w:val="0"/>
      <w:marRight w:val="0"/>
      <w:marTop w:val="0"/>
      <w:marBottom w:val="0"/>
      <w:divBdr>
        <w:top w:val="none" w:sz="0" w:space="0" w:color="auto"/>
        <w:left w:val="none" w:sz="0" w:space="0" w:color="auto"/>
        <w:bottom w:val="none" w:sz="0" w:space="0" w:color="auto"/>
        <w:right w:val="none" w:sz="0" w:space="0" w:color="auto"/>
      </w:divBdr>
    </w:div>
    <w:div w:id="1791700016">
      <w:bodyDiv w:val="1"/>
      <w:marLeft w:val="0"/>
      <w:marRight w:val="0"/>
      <w:marTop w:val="0"/>
      <w:marBottom w:val="0"/>
      <w:divBdr>
        <w:top w:val="none" w:sz="0" w:space="0" w:color="auto"/>
        <w:left w:val="none" w:sz="0" w:space="0" w:color="auto"/>
        <w:bottom w:val="none" w:sz="0" w:space="0" w:color="auto"/>
        <w:right w:val="none" w:sz="0" w:space="0" w:color="auto"/>
      </w:divBdr>
    </w:div>
    <w:div w:id="1792240191">
      <w:bodyDiv w:val="1"/>
      <w:marLeft w:val="0"/>
      <w:marRight w:val="0"/>
      <w:marTop w:val="0"/>
      <w:marBottom w:val="0"/>
      <w:divBdr>
        <w:top w:val="none" w:sz="0" w:space="0" w:color="auto"/>
        <w:left w:val="none" w:sz="0" w:space="0" w:color="auto"/>
        <w:bottom w:val="none" w:sz="0" w:space="0" w:color="auto"/>
        <w:right w:val="none" w:sz="0" w:space="0" w:color="auto"/>
      </w:divBdr>
    </w:div>
    <w:div w:id="1792245456">
      <w:bodyDiv w:val="1"/>
      <w:marLeft w:val="0"/>
      <w:marRight w:val="0"/>
      <w:marTop w:val="0"/>
      <w:marBottom w:val="0"/>
      <w:divBdr>
        <w:top w:val="none" w:sz="0" w:space="0" w:color="auto"/>
        <w:left w:val="none" w:sz="0" w:space="0" w:color="auto"/>
        <w:bottom w:val="none" w:sz="0" w:space="0" w:color="auto"/>
        <w:right w:val="none" w:sz="0" w:space="0" w:color="auto"/>
      </w:divBdr>
    </w:div>
    <w:div w:id="1792280507">
      <w:bodyDiv w:val="1"/>
      <w:marLeft w:val="0"/>
      <w:marRight w:val="0"/>
      <w:marTop w:val="0"/>
      <w:marBottom w:val="0"/>
      <w:divBdr>
        <w:top w:val="none" w:sz="0" w:space="0" w:color="auto"/>
        <w:left w:val="none" w:sz="0" w:space="0" w:color="auto"/>
        <w:bottom w:val="none" w:sz="0" w:space="0" w:color="auto"/>
        <w:right w:val="none" w:sz="0" w:space="0" w:color="auto"/>
      </w:divBdr>
    </w:div>
    <w:div w:id="1792437267">
      <w:bodyDiv w:val="1"/>
      <w:marLeft w:val="0"/>
      <w:marRight w:val="0"/>
      <w:marTop w:val="0"/>
      <w:marBottom w:val="0"/>
      <w:divBdr>
        <w:top w:val="none" w:sz="0" w:space="0" w:color="auto"/>
        <w:left w:val="none" w:sz="0" w:space="0" w:color="auto"/>
        <w:bottom w:val="none" w:sz="0" w:space="0" w:color="auto"/>
        <w:right w:val="none" w:sz="0" w:space="0" w:color="auto"/>
      </w:divBdr>
    </w:div>
    <w:div w:id="1792627904">
      <w:bodyDiv w:val="1"/>
      <w:marLeft w:val="0"/>
      <w:marRight w:val="0"/>
      <w:marTop w:val="0"/>
      <w:marBottom w:val="0"/>
      <w:divBdr>
        <w:top w:val="none" w:sz="0" w:space="0" w:color="auto"/>
        <w:left w:val="none" w:sz="0" w:space="0" w:color="auto"/>
        <w:bottom w:val="none" w:sz="0" w:space="0" w:color="auto"/>
        <w:right w:val="none" w:sz="0" w:space="0" w:color="auto"/>
      </w:divBdr>
    </w:div>
    <w:div w:id="1792746676">
      <w:bodyDiv w:val="1"/>
      <w:marLeft w:val="0"/>
      <w:marRight w:val="0"/>
      <w:marTop w:val="0"/>
      <w:marBottom w:val="0"/>
      <w:divBdr>
        <w:top w:val="none" w:sz="0" w:space="0" w:color="auto"/>
        <w:left w:val="none" w:sz="0" w:space="0" w:color="auto"/>
        <w:bottom w:val="none" w:sz="0" w:space="0" w:color="auto"/>
        <w:right w:val="none" w:sz="0" w:space="0" w:color="auto"/>
      </w:divBdr>
    </w:div>
    <w:div w:id="1792821676">
      <w:bodyDiv w:val="1"/>
      <w:marLeft w:val="0"/>
      <w:marRight w:val="0"/>
      <w:marTop w:val="0"/>
      <w:marBottom w:val="0"/>
      <w:divBdr>
        <w:top w:val="none" w:sz="0" w:space="0" w:color="auto"/>
        <w:left w:val="none" w:sz="0" w:space="0" w:color="auto"/>
        <w:bottom w:val="none" w:sz="0" w:space="0" w:color="auto"/>
        <w:right w:val="none" w:sz="0" w:space="0" w:color="auto"/>
      </w:divBdr>
    </w:div>
    <w:div w:id="1792824152">
      <w:bodyDiv w:val="1"/>
      <w:marLeft w:val="0"/>
      <w:marRight w:val="0"/>
      <w:marTop w:val="0"/>
      <w:marBottom w:val="0"/>
      <w:divBdr>
        <w:top w:val="none" w:sz="0" w:space="0" w:color="auto"/>
        <w:left w:val="none" w:sz="0" w:space="0" w:color="auto"/>
        <w:bottom w:val="none" w:sz="0" w:space="0" w:color="auto"/>
        <w:right w:val="none" w:sz="0" w:space="0" w:color="auto"/>
      </w:divBdr>
    </w:div>
    <w:div w:id="1793132940">
      <w:bodyDiv w:val="1"/>
      <w:marLeft w:val="0"/>
      <w:marRight w:val="0"/>
      <w:marTop w:val="0"/>
      <w:marBottom w:val="0"/>
      <w:divBdr>
        <w:top w:val="none" w:sz="0" w:space="0" w:color="auto"/>
        <w:left w:val="none" w:sz="0" w:space="0" w:color="auto"/>
        <w:bottom w:val="none" w:sz="0" w:space="0" w:color="auto"/>
        <w:right w:val="none" w:sz="0" w:space="0" w:color="auto"/>
      </w:divBdr>
    </w:div>
    <w:div w:id="1793206479">
      <w:bodyDiv w:val="1"/>
      <w:marLeft w:val="0"/>
      <w:marRight w:val="0"/>
      <w:marTop w:val="0"/>
      <w:marBottom w:val="0"/>
      <w:divBdr>
        <w:top w:val="none" w:sz="0" w:space="0" w:color="auto"/>
        <w:left w:val="none" w:sz="0" w:space="0" w:color="auto"/>
        <w:bottom w:val="none" w:sz="0" w:space="0" w:color="auto"/>
        <w:right w:val="none" w:sz="0" w:space="0" w:color="auto"/>
      </w:divBdr>
    </w:div>
    <w:div w:id="1793284824">
      <w:bodyDiv w:val="1"/>
      <w:marLeft w:val="0"/>
      <w:marRight w:val="0"/>
      <w:marTop w:val="0"/>
      <w:marBottom w:val="0"/>
      <w:divBdr>
        <w:top w:val="none" w:sz="0" w:space="0" w:color="auto"/>
        <w:left w:val="none" w:sz="0" w:space="0" w:color="auto"/>
        <w:bottom w:val="none" w:sz="0" w:space="0" w:color="auto"/>
        <w:right w:val="none" w:sz="0" w:space="0" w:color="auto"/>
      </w:divBdr>
    </w:div>
    <w:div w:id="1793330230">
      <w:bodyDiv w:val="1"/>
      <w:marLeft w:val="0"/>
      <w:marRight w:val="0"/>
      <w:marTop w:val="0"/>
      <w:marBottom w:val="0"/>
      <w:divBdr>
        <w:top w:val="none" w:sz="0" w:space="0" w:color="auto"/>
        <w:left w:val="none" w:sz="0" w:space="0" w:color="auto"/>
        <w:bottom w:val="none" w:sz="0" w:space="0" w:color="auto"/>
        <w:right w:val="none" w:sz="0" w:space="0" w:color="auto"/>
      </w:divBdr>
    </w:div>
    <w:div w:id="1793398121">
      <w:bodyDiv w:val="1"/>
      <w:marLeft w:val="0"/>
      <w:marRight w:val="0"/>
      <w:marTop w:val="0"/>
      <w:marBottom w:val="0"/>
      <w:divBdr>
        <w:top w:val="none" w:sz="0" w:space="0" w:color="auto"/>
        <w:left w:val="none" w:sz="0" w:space="0" w:color="auto"/>
        <w:bottom w:val="none" w:sz="0" w:space="0" w:color="auto"/>
        <w:right w:val="none" w:sz="0" w:space="0" w:color="auto"/>
      </w:divBdr>
    </w:div>
    <w:div w:id="1793791242">
      <w:bodyDiv w:val="1"/>
      <w:marLeft w:val="0"/>
      <w:marRight w:val="0"/>
      <w:marTop w:val="0"/>
      <w:marBottom w:val="0"/>
      <w:divBdr>
        <w:top w:val="none" w:sz="0" w:space="0" w:color="auto"/>
        <w:left w:val="none" w:sz="0" w:space="0" w:color="auto"/>
        <w:bottom w:val="none" w:sz="0" w:space="0" w:color="auto"/>
        <w:right w:val="none" w:sz="0" w:space="0" w:color="auto"/>
      </w:divBdr>
    </w:div>
    <w:div w:id="1793791587">
      <w:bodyDiv w:val="1"/>
      <w:marLeft w:val="0"/>
      <w:marRight w:val="0"/>
      <w:marTop w:val="0"/>
      <w:marBottom w:val="0"/>
      <w:divBdr>
        <w:top w:val="none" w:sz="0" w:space="0" w:color="auto"/>
        <w:left w:val="none" w:sz="0" w:space="0" w:color="auto"/>
        <w:bottom w:val="none" w:sz="0" w:space="0" w:color="auto"/>
        <w:right w:val="none" w:sz="0" w:space="0" w:color="auto"/>
      </w:divBdr>
    </w:div>
    <w:div w:id="1793939758">
      <w:bodyDiv w:val="1"/>
      <w:marLeft w:val="0"/>
      <w:marRight w:val="0"/>
      <w:marTop w:val="0"/>
      <w:marBottom w:val="0"/>
      <w:divBdr>
        <w:top w:val="none" w:sz="0" w:space="0" w:color="auto"/>
        <w:left w:val="none" w:sz="0" w:space="0" w:color="auto"/>
        <w:bottom w:val="none" w:sz="0" w:space="0" w:color="auto"/>
        <w:right w:val="none" w:sz="0" w:space="0" w:color="auto"/>
      </w:divBdr>
    </w:div>
    <w:div w:id="1793940156">
      <w:bodyDiv w:val="1"/>
      <w:marLeft w:val="0"/>
      <w:marRight w:val="0"/>
      <w:marTop w:val="0"/>
      <w:marBottom w:val="0"/>
      <w:divBdr>
        <w:top w:val="none" w:sz="0" w:space="0" w:color="auto"/>
        <w:left w:val="none" w:sz="0" w:space="0" w:color="auto"/>
        <w:bottom w:val="none" w:sz="0" w:space="0" w:color="auto"/>
        <w:right w:val="none" w:sz="0" w:space="0" w:color="auto"/>
      </w:divBdr>
    </w:div>
    <w:div w:id="1793942550">
      <w:bodyDiv w:val="1"/>
      <w:marLeft w:val="0"/>
      <w:marRight w:val="0"/>
      <w:marTop w:val="0"/>
      <w:marBottom w:val="0"/>
      <w:divBdr>
        <w:top w:val="none" w:sz="0" w:space="0" w:color="auto"/>
        <w:left w:val="none" w:sz="0" w:space="0" w:color="auto"/>
        <w:bottom w:val="none" w:sz="0" w:space="0" w:color="auto"/>
        <w:right w:val="none" w:sz="0" w:space="0" w:color="auto"/>
      </w:divBdr>
    </w:div>
    <w:div w:id="1794010246">
      <w:bodyDiv w:val="1"/>
      <w:marLeft w:val="0"/>
      <w:marRight w:val="0"/>
      <w:marTop w:val="0"/>
      <w:marBottom w:val="0"/>
      <w:divBdr>
        <w:top w:val="none" w:sz="0" w:space="0" w:color="auto"/>
        <w:left w:val="none" w:sz="0" w:space="0" w:color="auto"/>
        <w:bottom w:val="none" w:sz="0" w:space="0" w:color="auto"/>
        <w:right w:val="none" w:sz="0" w:space="0" w:color="auto"/>
      </w:divBdr>
    </w:div>
    <w:div w:id="1794056516">
      <w:bodyDiv w:val="1"/>
      <w:marLeft w:val="0"/>
      <w:marRight w:val="0"/>
      <w:marTop w:val="0"/>
      <w:marBottom w:val="0"/>
      <w:divBdr>
        <w:top w:val="none" w:sz="0" w:space="0" w:color="auto"/>
        <w:left w:val="none" w:sz="0" w:space="0" w:color="auto"/>
        <w:bottom w:val="none" w:sz="0" w:space="0" w:color="auto"/>
        <w:right w:val="none" w:sz="0" w:space="0" w:color="auto"/>
      </w:divBdr>
    </w:div>
    <w:div w:id="1794444268">
      <w:bodyDiv w:val="1"/>
      <w:marLeft w:val="0"/>
      <w:marRight w:val="0"/>
      <w:marTop w:val="0"/>
      <w:marBottom w:val="0"/>
      <w:divBdr>
        <w:top w:val="none" w:sz="0" w:space="0" w:color="auto"/>
        <w:left w:val="none" w:sz="0" w:space="0" w:color="auto"/>
        <w:bottom w:val="none" w:sz="0" w:space="0" w:color="auto"/>
        <w:right w:val="none" w:sz="0" w:space="0" w:color="auto"/>
      </w:divBdr>
    </w:div>
    <w:div w:id="1794516083">
      <w:bodyDiv w:val="1"/>
      <w:marLeft w:val="0"/>
      <w:marRight w:val="0"/>
      <w:marTop w:val="0"/>
      <w:marBottom w:val="0"/>
      <w:divBdr>
        <w:top w:val="none" w:sz="0" w:space="0" w:color="auto"/>
        <w:left w:val="none" w:sz="0" w:space="0" w:color="auto"/>
        <w:bottom w:val="none" w:sz="0" w:space="0" w:color="auto"/>
        <w:right w:val="none" w:sz="0" w:space="0" w:color="auto"/>
      </w:divBdr>
    </w:div>
    <w:div w:id="1794518925">
      <w:bodyDiv w:val="1"/>
      <w:marLeft w:val="0"/>
      <w:marRight w:val="0"/>
      <w:marTop w:val="0"/>
      <w:marBottom w:val="0"/>
      <w:divBdr>
        <w:top w:val="none" w:sz="0" w:space="0" w:color="auto"/>
        <w:left w:val="none" w:sz="0" w:space="0" w:color="auto"/>
        <w:bottom w:val="none" w:sz="0" w:space="0" w:color="auto"/>
        <w:right w:val="none" w:sz="0" w:space="0" w:color="auto"/>
      </w:divBdr>
    </w:div>
    <w:div w:id="1794712038">
      <w:bodyDiv w:val="1"/>
      <w:marLeft w:val="0"/>
      <w:marRight w:val="0"/>
      <w:marTop w:val="0"/>
      <w:marBottom w:val="0"/>
      <w:divBdr>
        <w:top w:val="none" w:sz="0" w:space="0" w:color="auto"/>
        <w:left w:val="none" w:sz="0" w:space="0" w:color="auto"/>
        <w:bottom w:val="none" w:sz="0" w:space="0" w:color="auto"/>
        <w:right w:val="none" w:sz="0" w:space="0" w:color="auto"/>
      </w:divBdr>
    </w:div>
    <w:div w:id="1794786656">
      <w:bodyDiv w:val="1"/>
      <w:marLeft w:val="0"/>
      <w:marRight w:val="0"/>
      <w:marTop w:val="0"/>
      <w:marBottom w:val="0"/>
      <w:divBdr>
        <w:top w:val="none" w:sz="0" w:space="0" w:color="auto"/>
        <w:left w:val="none" w:sz="0" w:space="0" w:color="auto"/>
        <w:bottom w:val="none" w:sz="0" w:space="0" w:color="auto"/>
        <w:right w:val="none" w:sz="0" w:space="0" w:color="auto"/>
      </w:divBdr>
    </w:div>
    <w:div w:id="1794788995">
      <w:bodyDiv w:val="1"/>
      <w:marLeft w:val="0"/>
      <w:marRight w:val="0"/>
      <w:marTop w:val="0"/>
      <w:marBottom w:val="0"/>
      <w:divBdr>
        <w:top w:val="none" w:sz="0" w:space="0" w:color="auto"/>
        <w:left w:val="none" w:sz="0" w:space="0" w:color="auto"/>
        <w:bottom w:val="none" w:sz="0" w:space="0" w:color="auto"/>
        <w:right w:val="none" w:sz="0" w:space="0" w:color="auto"/>
      </w:divBdr>
    </w:div>
    <w:div w:id="1794789375">
      <w:bodyDiv w:val="1"/>
      <w:marLeft w:val="0"/>
      <w:marRight w:val="0"/>
      <w:marTop w:val="0"/>
      <w:marBottom w:val="0"/>
      <w:divBdr>
        <w:top w:val="none" w:sz="0" w:space="0" w:color="auto"/>
        <w:left w:val="none" w:sz="0" w:space="0" w:color="auto"/>
        <w:bottom w:val="none" w:sz="0" w:space="0" w:color="auto"/>
        <w:right w:val="none" w:sz="0" w:space="0" w:color="auto"/>
      </w:divBdr>
    </w:div>
    <w:div w:id="1794981077">
      <w:bodyDiv w:val="1"/>
      <w:marLeft w:val="0"/>
      <w:marRight w:val="0"/>
      <w:marTop w:val="0"/>
      <w:marBottom w:val="0"/>
      <w:divBdr>
        <w:top w:val="none" w:sz="0" w:space="0" w:color="auto"/>
        <w:left w:val="none" w:sz="0" w:space="0" w:color="auto"/>
        <w:bottom w:val="none" w:sz="0" w:space="0" w:color="auto"/>
        <w:right w:val="none" w:sz="0" w:space="0" w:color="auto"/>
      </w:divBdr>
    </w:div>
    <w:div w:id="1795173971">
      <w:bodyDiv w:val="1"/>
      <w:marLeft w:val="0"/>
      <w:marRight w:val="0"/>
      <w:marTop w:val="0"/>
      <w:marBottom w:val="0"/>
      <w:divBdr>
        <w:top w:val="none" w:sz="0" w:space="0" w:color="auto"/>
        <w:left w:val="none" w:sz="0" w:space="0" w:color="auto"/>
        <w:bottom w:val="none" w:sz="0" w:space="0" w:color="auto"/>
        <w:right w:val="none" w:sz="0" w:space="0" w:color="auto"/>
      </w:divBdr>
    </w:div>
    <w:div w:id="1795320289">
      <w:bodyDiv w:val="1"/>
      <w:marLeft w:val="0"/>
      <w:marRight w:val="0"/>
      <w:marTop w:val="0"/>
      <w:marBottom w:val="0"/>
      <w:divBdr>
        <w:top w:val="none" w:sz="0" w:space="0" w:color="auto"/>
        <w:left w:val="none" w:sz="0" w:space="0" w:color="auto"/>
        <w:bottom w:val="none" w:sz="0" w:space="0" w:color="auto"/>
        <w:right w:val="none" w:sz="0" w:space="0" w:color="auto"/>
      </w:divBdr>
    </w:div>
    <w:div w:id="1795320419">
      <w:bodyDiv w:val="1"/>
      <w:marLeft w:val="0"/>
      <w:marRight w:val="0"/>
      <w:marTop w:val="0"/>
      <w:marBottom w:val="0"/>
      <w:divBdr>
        <w:top w:val="none" w:sz="0" w:space="0" w:color="auto"/>
        <w:left w:val="none" w:sz="0" w:space="0" w:color="auto"/>
        <w:bottom w:val="none" w:sz="0" w:space="0" w:color="auto"/>
        <w:right w:val="none" w:sz="0" w:space="0" w:color="auto"/>
      </w:divBdr>
    </w:div>
    <w:div w:id="1795636532">
      <w:bodyDiv w:val="1"/>
      <w:marLeft w:val="0"/>
      <w:marRight w:val="0"/>
      <w:marTop w:val="0"/>
      <w:marBottom w:val="0"/>
      <w:divBdr>
        <w:top w:val="none" w:sz="0" w:space="0" w:color="auto"/>
        <w:left w:val="none" w:sz="0" w:space="0" w:color="auto"/>
        <w:bottom w:val="none" w:sz="0" w:space="0" w:color="auto"/>
        <w:right w:val="none" w:sz="0" w:space="0" w:color="auto"/>
      </w:divBdr>
    </w:div>
    <w:div w:id="1795827962">
      <w:bodyDiv w:val="1"/>
      <w:marLeft w:val="0"/>
      <w:marRight w:val="0"/>
      <w:marTop w:val="0"/>
      <w:marBottom w:val="0"/>
      <w:divBdr>
        <w:top w:val="none" w:sz="0" w:space="0" w:color="auto"/>
        <w:left w:val="none" w:sz="0" w:space="0" w:color="auto"/>
        <w:bottom w:val="none" w:sz="0" w:space="0" w:color="auto"/>
        <w:right w:val="none" w:sz="0" w:space="0" w:color="auto"/>
      </w:divBdr>
    </w:div>
    <w:div w:id="1796096470">
      <w:bodyDiv w:val="1"/>
      <w:marLeft w:val="0"/>
      <w:marRight w:val="0"/>
      <w:marTop w:val="0"/>
      <w:marBottom w:val="0"/>
      <w:divBdr>
        <w:top w:val="none" w:sz="0" w:space="0" w:color="auto"/>
        <w:left w:val="none" w:sz="0" w:space="0" w:color="auto"/>
        <w:bottom w:val="none" w:sz="0" w:space="0" w:color="auto"/>
        <w:right w:val="none" w:sz="0" w:space="0" w:color="auto"/>
      </w:divBdr>
    </w:div>
    <w:div w:id="1796214685">
      <w:bodyDiv w:val="1"/>
      <w:marLeft w:val="0"/>
      <w:marRight w:val="0"/>
      <w:marTop w:val="0"/>
      <w:marBottom w:val="0"/>
      <w:divBdr>
        <w:top w:val="none" w:sz="0" w:space="0" w:color="auto"/>
        <w:left w:val="none" w:sz="0" w:space="0" w:color="auto"/>
        <w:bottom w:val="none" w:sz="0" w:space="0" w:color="auto"/>
        <w:right w:val="none" w:sz="0" w:space="0" w:color="auto"/>
      </w:divBdr>
    </w:div>
    <w:div w:id="1796216558">
      <w:bodyDiv w:val="1"/>
      <w:marLeft w:val="0"/>
      <w:marRight w:val="0"/>
      <w:marTop w:val="0"/>
      <w:marBottom w:val="0"/>
      <w:divBdr>
        <w:top w:val="none" w:sz="0" w:space="0" w:color="auto"/>
        <w:left w:val="none" w:sz="0" w:space="0" w:color="auto"/>
        <w:bottom w:val="none" w:sz="0" w:space="0" w:color="auto"/>
        <w:right w:val="none" w:sz="0" w:space="0" w:color="auto"/>
      </w:divBdr>
    </w:div>
    <w:div w:id="1796287637">
      <w:bodyDiv w:val="1"/>
      <w:marLeft w:val="0"/>
      <w:marRight w:val="0"/>
      <w:marTop w:val="0"/>
      <w:marBottom w:val="0"/>
      <w:divBdr>
        <w:top w:val="none" w:sz="0" w:space="0" w:color="auto"/>
        <w:left w:val="none" w:sz="0" w:space="0" w:color="auto"/>
        <w:bottom w:val="none" w:sz="0" w:space="0" w:color="auto"/>
        <w:right w:val="none" w:sz="0" w:space="0" w:color="auto"/>
      </w:divBdr>
    </w:div>
    <w:div w:id="1796634276">
      <w:bodyDiv w:val="1"/>
      <w:marLeft w:val="0"/>
      <w:marRight w:val="0"/>
      <w:marTop w:val="0"/>
      <w:marBottom w:val="0"/>
      <w:divBdr>
        <w:top w:val="none" w:sz="0" w:space="0" w:color="auto"/>
        <w:left w:val="none" w:sz="0" w:space="0" w:color="auto"/>
        <w:bottom w:val="none" w:sz="0" w:space="0" w:color="auto"/>
        <w:right w:val="none" w:sz="0" w:space="0" w:color="auto"/>
      </w:divBdr>
    </w:div>
    <w:div w:id="1796679109">
      <w:bodyDiv w:val="1"/>
      <w:marLeft w:val="0"/>
      <w:marRight w:val="0"/>
      <w:marTop w:val="0"/>
      <w:marBottom w:val="0"/>
      <w:divBdr>
        <w:top w:val="none" w:sz="0" w:space="0" w:color="auto"/>
        <w:left w:val="none" w:sz="0" w:space="0" w:color="auto"/>
        <w:bottom w:val="none" w:sz="0" w:space="0" w:color="auto"/>
        <w:right w:val="none" w:sz="0" w:space="0" w:color="auto"/>
      </w:divBdr>
    </w:div>
    <w:div w:id="1796831365">
      <w:bodyDiv w:val="1"/>
      <w:marLeft w:val="0"/>
      <w:marRight w:val="0"/>
      <w:marTop w:val="0"/>
      <w:marBottom w:val="0"/>
      <w:divBdr>
        <w:top w:val="none" w:sz="0" w:space="0" w:color="auto"/>
        <w:left w:val="none" w:sz="0" w:space="0" w:color="auto"/>
        <w:bottom w:val="none" w:sz="0" w:space="0" w:color="auto"/>
        <w:right w:val="none" w:sz="0" w:space="0" w:color="auto"/>
      </w:divBdr>
    </w:div>
    <w:div w:id="1796869545">
      <w:bodyDiv w:val="1"/>
      <w:marLeft w:val="0"/>
      <w:marRight w:val="0"/>
      <w:marTop w:val="0"/>
      <w:marBottom w:val="0"/>
      <w:divBdr>
        <w:top w:val="none" w:sz="0" w:space="0" w:color="auto"/>
        <w:left w:val="none" w:sz="0" w:space="0" w:color="auto"/>
        <w:bottom w:val="none" w:sz="0" w:space="0" w:color="auto"/>
        <w:right w:val="none" w:sz="0" w:space="0" w:color="auto"/>
      </w:divBdr>
    </w:div>
    <w:div w:id="1797018243">
      <w:bodyDiv w:val="1"/>
      <w:marLeft w:val="0"/>
      <w:marRight w:val="0"/>
      <w:marTop w:val="0"/>
      <w:marBottom w:val="0"/>
      <w:divBdr>
        <w:top w:val="none" w:sz="0" w:space="0" w:color="auto"/>
        <w:left w:val="none" w:sz="0" w:space="0" w:color="auto"/>
        <w:bottom w:val="none" w:sz="0" w:space="0" w:color="auto"/>
        <w:right w:val="none" w:sz="0" w:space="0" w:color="auto"/>
      </w:divBdr>
    </w:div>
    <w:div w:id="1797024583">
      <w:bodyDiv w:val="1"/>
      <w:marLeft w:val="0"/>
      <w:marRight w:val="0"/>
      <w:marTop w:val="0"/>
      <w:marBottom w:val="0"/>
      <w:divBdr>
        <w:top w:val="none" w:sz="0" w:space="0" w:color="auto"/>
        <w:left w:val="none" w:sz="0" w:space="0" w:color="auto"/>
        <w:bottom w:val="none" w:sz="0" w:space="0" w:color="auto"/>
        <w:right w:val="none" w:sz="0" w:space="0" w:color="auto"/>
      </w:divBdr>
    </w:div>
    <w:div w:id="1797026201">
      <w:bodyDiv w:val="1"/>
      <w:marLeft w:val="0"/>
      <w:marRight w:val="0"/>
      <w:marTop w:val="0"/>
      <w:marBottom w:val="0"/>
      <w:divBdr>
        <w:top w:val="none" w:sz="0" w:space="0" w:color="auto"/>
        <w:left w:val="none" w:sz="0" w:space="0" w:color="auto"/>
        <w:bottom w:val="none" w:sz="0" w:space="0" w:color="auto"/>
        <w:right w:val="none" w:sz="0" w:space="0" w:color="auto"/>
      </w:divBdr>
    </w:div>
    <w:div w:id="1797289632">
      <w:bodyDiv w:val="1"/>
      <w:marLeft w:val="0"/>
      <w:marRight w:val="0"/>
      <w:marTop w:val="0"/>
      <w:marBottom w:val="0"/>
      <w:divBdr>
        <w:top w:val="none" w:sz="0" w:space="0" w:color="auto"/>
        <w:left w:val="none" w:sz="0" w:space="0" w:color="auto"/>
        <w:bottom w:val="none" w:sz="0" w:space="0" w:color="auto"/>
        <w:right w:val="none" w:sz="0" w:space="0" w:color="auto"/>
      </w:divBdr>
    </w:div>
    <w:div w:id="1797409529">
      <w:bodyDiv w:val="1"/>
      <w:marLeft w:val="0"/>
      <w:marRight w:val="0"/>
      <w:marTop w:val="0"/>
      <w:marBottom w:val="0"/>
      <w:divBdr>
        <w:top w:val="none" w:sz="0" w:space="0" w:color="auto"/>
        <w:left w:val="none" w:sz="0" w:space="0" w:color="auto"/>
        <w:bottom w:val="none" w:sz="0" w:space="0" w:color="auto"/>
        <w:right w:val="none" w:sz="0" w:space="0" w:color="auto"/>
      </w:divBdr>
    </w:div>
    <w:div w:id="1797528463">
      <w:bodyDiv w:val="1"/>
      <w:marLeft w:val="0"/>
      <w:marRight w:val="0"/>
      <w:marTop w:val="0"/>
      <w:marBottom w:val="0"/>
      <w:divBdr>
        <w:top w:val="none" w:sz="0" w:space="0" w:color="auto"/>
        <w:left w:val="none" w:sz="0" w:space="0" w:color="auto"/>
        <w:bottom w:val="none" w:sz="0" w:space="0" w:color="auto"/>
        <w:right w:val="none" w:sz="0" w:space="0" w:color="auto"/>
      </w:divBdr>
    </w:div>
    <w:div w:id="1797598780">
      <w:bodyDiv w:val="1"/>
      <w:marLeft w:val="0"/>
      <w:marRight w:val="0"/>
      <w:marTop w:val="0"/>
      <w:marBottom w:val="0"/>
      <w:divBdr>
        <w:top w:val="none" w:sz="0" w:space="0" w:color="auto"/>
        <w:left w:val="none" w:sz="0" w:space="0" w:color="auto"/>
        <w:bottom w:val="none" w:sz="0" w:space="0" w:color="auto"/>
        <w:right w:val="none" w:sz="0" w:space="0" w:color="auto"/>
      </w:divBdr>
    </w:div>
    <w:div w:id="1797606040">
      <w:bodyDiv w:val="1"/>
      <w:marLeft w:val="0"/>
      <w:marRight w:val="0"/>
      <w:marTop w:val="0"/>
      <w:marBottom w:val="0"/>
      <w:divBdr>
        <w:top w:val="none" w:sz="0" w:space="0" w:color="auto"/>
        <w:left w:val="none" w:sz="0" w:space="0" w:color="auto"/>
        <w:bottom w:val="none" w:sz="0" w:space="0" w:color="auto"/>
        <w:right w:val="none" w:sz="0" w:space="0" w:color="auto"/>
      </w:divBdr>
    </w:div>
    <w:div w:id="1797747632">
      <w:bodyDiv w:val="1"/>
      <w:marLeft w:val="0"/>
      <w:marRight w:val="0"/>
      <w:marTop w:val="0"/>
      <w:marBottom w:val="0"/>
      <w:divBdr>
        <w:top w:val="none" w:sz="0" w:space="0" w:color="auto"/>
        <w:left w:val="none" w:sz="0" w:space="0" w:color="auto"/>
        <w:bottom w:val="none" w:sz="0" w:space="0" w:color="auto"/>
        <w:right w:val="none" w:sz="0" w:space="0" w:color="auto"/>
      </w:divBdr>
    </w:div>
    <w:div w:id="1797792225">
      <w:bodyDiv w:val="1"/>
      <w:marLeft w:val="0"/>
      <w:marRight w:val="0"/>
      <w:marTop w:val="0"/>
      <w:marBottom w:val="0"/>
      <w:divBdr>
        <w:top w:val="none" w:sz="0" w:space="0" w:color="auto"/>
        <w:left w:val="none" w:sz="0" w:space="0" w:color="auto"/>
        <w:bottom w:val="none" w:sz="0" w:space="0" w:color="auto"/>
        <w:right w:val="none" w:sz="0" w:space="0" w:color="auto"/>
      </w:divBdr>
    </w:div>
    <w:div w:id="1797865983">
      <w:bodyDiv w:val="1"/>
      <w:marLeft w:val="0"/>
      <w:marRight w:val="0"/>
      <w:marTop w:val="0"/>
      <w:marBottom w:val="0"/>
      <w:divBdr>
        <w:top w:val="none" w:sz="0" w:space="0" w:color="auto"/>
        <w:left w:val="none" w:sz="0" w:space="0" w:color="auto"/>
        <w:bottom w:val="none" w:sz="0" w:space="0" w:color="auto"/>
        <w:right w:val="none" w:sz="0" w:space="0" w:color="auto"/>
      </w:divBdr>
    </w:div>
    <w:div w:id="1797945735">
      <w:bodyDiv w:val="1"/>
      <w:marLeft w:val="0"/>
      <w:marRight w:val="0"/>
      <w:marTop w:val="0"/>
      <w:marBottom w:val="0"/>
      <w:divBdr>
        <w:top w:val="none" w:sz="0" w:space="0" w:color="auto"/>
        <w:left w:val="none" w:sz="0" w:space="0" w:color="auto"/>
        <w:bottom w:val="none" w:sz="0" w:space="0" w:color="auto"/>
        <w:right w:val="none" w:sz="0" w:space="0" w:color="auto"/>
      </w:divBdr>
    </w:div>
    <w:div w:id="1798067685">
      <w:bodyDiv w:val="1"/>
      <w:marLeft w:val="0"/>
      <w:marRight w:val="0"/>
      <w:marTop w:val="0"/>
      <w:marBottom w:val="0"/>
      <w:divBdr>
        <w:top w:val="none" w:sz="0" w:space="0" w:color="auto"/>
        <w:left w:val="none" w:sz="0" w:space="0" w:color="auto"/>
        <w:bottom w:val="none" w:sz="0" w:space="0" w:color="auto"/>
        <w:right w:val="none" w:sz="0" w:space="0" w:color="auto"/>
      </w:divBdr>
    </w:div>
    <w:div w:id="1798181479">
      <w:bodyDiv w:val="1"/>
      <w:marLeft w:val="0"/>
      <w:marRight w:val="0"/>
      <w:marTop w:val="0"/>
      <w:marBottom w:val="0"/>
      <w:divBdr>
        <w:top w:val="none" w:sz="0" w:space="0" w:color="auto"/>
        <w:left w:val="none" w:sz="0" w:space="0" w:color="auto"/>
        <w:bottom w:val="none" w:sz="0" w:space="0" w:color="auto"/>
        <w:right w:val="none" w:sz="0" w:space="0" w:color="auto"/>
      </w:divBdr>
    </w:div>
    <w:div w:id="1798182245">
      <w:bodyDiv w:val="1"/>
      <w:marLeft w:val="0"/>
      <w:marRight w:val="0"/>
      <w:marTop w:val="0"/>
      <w:marBottom w:val="0"/>
      <w:divBdr>
        <w:top w:val="none" w:sz="0" w:space="0" w:color="auto"/>
        <w:left w:val="none" w:sz="0" w:space="0" w:color="auto"/>
        <w:bottom w:val="none" w:sz="0" w:space="0" w:color="auto"/>
        <w:right w:val="none" w:sz="0" w:space="0" w:color="auto"/>
      </w:divBdr>
    </w:div>
    <w:div w:id="1798185247">
      <w:bodyDiv w:val="1"/>
      <w:marLeft w:val="0"/>
      <w:marRight w:val="0"/>
      <w:marTop w:val="0"/>
      <w:marBottom w:val="0"/>
      <w:divBdr>
        <w:top w:val="none" w:sz="0" w:space="0" w:color="auto"/>
        <w:left w:val="none" w:sz="0" w:space="0" w:color="auto"/>
        <w:bottom w:val="none" w:sz="0" w:space="0" w:color="auto"/>
        <w:right w:val="none" w:sz="0" w:space="0" w:color="auto"/>
      </w:divBdr>
    </w:div>
    <w:div w:id="1798258227">
      <w:bodyDiv w:val="1"/>
      <w:marLeft w:val="0"/>
      <w:marRight w:val="0"/>
      <w:marTop w:val="0"/>
      <w:marBottom w:val="0"/>
      <w:divBdr>
        <w:top w:val="none" w:sz="0" w:space="0" w:color="auto"/>
        <w:left w:val="none" w:sz="0" w:space="0" w:color="auto"/>
        <w:bottom w:val="none" w:sz="0" w:space="0" w:color="auto"/>
        <w:right w:val="none" w:sz="0" w:space="0" w:color="auto"/>
      </w:divBdr>
    </w:div>
    <w:div w:id="1798260234">
      <w:bodyDiv w:val="1"/>
      <w:marLeft w:val="0"/>
      <w:marRight w:val="0"/>
      <w:marTop w:val="0"/>
      <w:marBottom w:val="0"/>
      <w:divBdr>
        <w:top w:val="none" w:sz="0" w:space="0" w:color="auto"/>
        <w:left w:val="none" w:sz="0" w:space="0" w:color="auto"/>
        <w:bottom w:val="none" w:sz="0" w:space="0" w:color="auto"/>
        <w:right w:val="none" w:sz="0" w:space="0" w:color="auto"/>
      </w:divBdr>
    </w:div>
    <w:div w:id="1798451975">
      <w:bodyDiv w:val="1"/>
      <w:marLeft w:val="0"/>
      <w:marRight w:val="0"/>
      <w:marTop w:val="0"/>
      <w:marBottom w:val="0"/>
      <w:divBdr>
        <w:top w:val="none" w:sz="0" w:space="0" w:color="auto"/>
        <w:left w:val="none" w:sz="0" w:space="0" w:color="auto"/>
        <w:bottom w:val="none" w:sz="0" w:space="0" w:color="auto"/>
        <w:right w:val="none" w:sz="0" w:space="0" w:color="auto"/>
      </w:divBdr>
    </w:div>
    <w:div w:id="1798596512">
      <w:bodyDiv w:val="1"/>
      <w:marLeft w:val="0"/>
      <w:marRight w:val="0"/>
      <w:marTop w:val="0"/>
      <w:marBottom w:val="0"/>
      <w:divBdr>
        <w:top w:val="none" w:sz="0" w:space="0" w:color="auto"/>
        <w:left w:val="none" w:sz="0" w:space="0" w:color="auto"/>
        <w:bottom w:val="none" w:sz="0" w:space="0" w:color="auto"/>
        <w:right w:val="none" w:sz="0" w:space="0" w:color="auto"/>
      </w:divBdr>
    </w:div>
    <w:div w:id="1798639919">
      <w:bodyDiv w:val="1"/>
      <w:marLeft w:val="0"/>
      <w:marRight w:val="0"/>
      <w:marTop w:val="0"/>
      <w:marBottom w:val="0"/>
      <w:divBdr>
        <w:top w:val="none" w:sz="0" w:space="0" w:color="auto"/>
        <w:left w:val="none" w:sz="0" w:space="0" w:color="auto"/>
        <w:bottom w:val="none" w:sz="0" w:space="0" w:color="auto"/>
        <w:right w:val="none" w:sz="0" w:space="0" w:color="auto"/>
      </w:divBdr>
    </w:div>
    <w:div w:id="1798721020">
      <w:bodyDiv w:val="1"/>
      <w:marLeft w:val="0"/>
      <w:marRight w:val="0"/>
      <w:marTop w:val="0"/>
      <w:marBottom w:val="0"/>
      <w:divBdr>
        <w:top w:val="none" w:sz="0" w:space="0" w:color="auto"/>
        <w:left w:val="none" w:sz="0" w:space="0" w:color="auto"/>
        <w:bottom w:val="none" w:sz="0" w:space="0" w:color="auto"/>
        <w:right w:val="none" w:sz="0" w:space="0" w:color="auto"/>
      </w:divBdr>
    </w:div>
    <w:div w:id="1798986549">
      <w:bodyDiv w:val="1"/>
      <w:marLeft w:val="0"/>
      <w:marRight w:val="0"/>
      <w:marTop w:val="0"/>
      <w:marBottom w:val="0"/>
      <w:divBdr>
        <w:top w:val="none" w:sz="0" w:space="0" w:color="auto"/>
        <w:left w:val="none" w:sz="0" w:space="0" w:color="auto"/>
        <w:bottom w:val="none" w:sz="0" w:space="0" w:color="auto"/>
        <w:right w:val="none" w:sz="0" w:space="0" w:color="auto"/>
      </w:divBdr>
    </w:div>
    <w:div w:id="1799100648">
      <w:bodyDiv w:val="1"/>
      <w:marLeft w:val="0"/>
      <w:marRight w:val="0"/>
      <w:marTop w:val="0"/>
      <w:marBottom w:val="0"/>
      <w:divBdr>
        <w:top w:val="none" w:sz="0" w:space="0" w:color="auto"/>
        <w:left w:val="none" w:sz="0" w:space="0" w:color="auto"/>
        <w:bottom w:val="none" w:sz="0" w:space="0" w:color="auto"/>
        <w:right w:val="none" w:sz="0" w:space="0" w:color="auto"/>
      </w:divBdr>
    </w:div>
    <w:div w:id="1799104614">
      <w:bodyDiv w:val="1"/>
      <w:marLeft w:val="0"/>
      <w:marRight w:val="0"/>
      <w:marTop w:val="0"/>
      <w:marBottom w:val="0"/>
      <w:divBdr>
        <w:top w:val="none" w:sz="0" w:space="0" w:color="auto"/>
        <w:left w:val="none" w:sz="0" w:space="0" w:color="auto"/>
        <w:bottom w:val="none" w:sz="0" w:space="0" w:color="auto"/>
        <w:right w:val="none" w:sz="0" w:space="0" w:color="auto"/>
      </w:divBdr>
    </w:div>
    <w:div w:id="1799105922">
      <w:bodyDiv w:val="1"/>
      <w:marLeft w:val="0"/>
      <w:marRight w:val="0"/>
      <w:marTop w:val="0"/>
      <w:marBottom w:val="0"/>
      <w:divBdr>
        <w:top w:val="none" w:sz="0" w:space="0" w:color="auto"/>
        <w:left w:val="none" w:sz="0" w:space="0" w:color="auto"/>
        <w:bottom w:val="none" w:sz="0" w:space="0" w:color="auto"/>
        <w:right w:val="none" w:sz="0" w:space="0" w:color="auto"/>
      </w:divBdr>
    </w:div>
    <w:div w:id="1799108162">
      <w:bodyDiv w:val="1"/>
      <w:marLeft w:val="0"/>
      <w:marRight w:val="0"/>
      <w:marTop w:val="0"/>
      <w:marBottom w:val="0"/>
      <w:divBdr>
        <w:top w:val="none" w:sz="0" w:space="0" w:color="auto"/>
        <w:left w:val="none" w:sz="0" w:space="0" w:color="auto"/>
        <w:bottom w:val="none" w:sz="0" w:space="0" w:color="auto"/>
        <w:right w:val="none" w:sz="0" w:space="0" w:color="auto"/>
      </w:divBdr>
    </w:div>
    <w:div w:id="1799184897">
      <w:bodyDiv w:val="1"/>
      <w:marLeft w:val="0"/>
      <w:marRight w:val="0"/>
      <w:marTop w:val="0"/>
      <w:marBottom w:val="0"/>
      <w:divBdr>
        <w:top w:val="none" w:sz="0" w:space="0" w:color="auto"/>
        <w:left w:val="none" w:sz="0" w:space="0" w:color="auto"/>
        <w:bottom w:val="none" w:sz="0" w:space="0" w:color="auto"/>
        <w:right w:val="none" w:sz="0" w:space="0" w:color="auto"/>
      </w:divBdr>
    </w:div>
    <w:div w:id="1799370016">
      <w:bodyDiv w:val="1"/>
      <w:marLeft w:val="0"/>
      <w:marRight w:val="0"/>
      <w:marTop w:val="0"/>
      <w:marBottom w:val="0"/>
      <w:divBdr>
        <w:top w:val="none" w:sz="0" w:space="0" w:color="auto"/>
        <w:left w:val="none" w:sz="0" w:space="0" w:color="auto"/>
        <w:bottom w:val="none" w:sz="0" w:space="0" w:color="auto"/>
        <w:right w:val="none" w:sz="0" w:space="0" w:color="auto"/>
      </w:divBdr>
    </w:div>
    <w:div w:id="1799685628">
      <w:bodyDiv w:val="1"/>
      <w:marLeft w:val="0"/>
      <w:marRight w:val="0"/>
      <w:marTop w:val="0"/>
      <w:marBottom w:val="0"/>
      <w:divBdr>
        <w:top w:val="none" w:sz="0" w:space="0" w:color="auto"/>
        <w:left w:val="none" w:sz="0" w:space="0" w:color="auto"/>
        <w:bottom w:val="none" w:sz="0" w:space="0" w:color="auto"/>
        <w:right w:val="none" w:sz="0" w:space="0" w:color="auto"/>
      </w:divBdr>
    </w:div>
    <w:div w:id="1799763114">
      <w:bodyDiv w:val="1"/>
      <w:marLeft w:val="0"/>
      <w:marRight w:val="0"/>
      <w:marTop w:val="0"/>
      <w:marBottom w:val="0"/>
      <w:divBdr>
        <w:top w:val="none" w:sz="0" w:space="0" w:color="auto"/>
        <w:left w:val="none" w:sz="0" w:space="0" w:color="auto"/>
        <w:bottom w:val="none" w:sz="0" w:space="0" w:color="auto"/>
        <w:right w:val="none" w:sz="0" w:space="0" w:color="auto"/>
      </w:divBdr>
    </w:div>
    <w:div w:id="1799949519">
      <w:bodyDiv w:val="1"/>
      <w:marLeft w:val="0"/>
      <w:marRight w:val="0"/>
      <w:marTop w:val="0"/>
      <w:marBottom w:val="0"/>
      <w:divBdr>
        <w:top w:val="none" w:sz="0" w:space="0" w:color="auto"/>
        <w:left w:val="none" w:sz="0" w:space="0" w:color="auto"/>
        <w:bottom w:val="none" w:sz="0" w:space="0" w:color="auto"/>
        <w:right w:val="none" w:sz="0" w:space="0" w:color="auto"/>
      </w:divBdr>
    </w:div>
    <w:div w:id="1799949589">
      <w:bodyDiv w:val="1"/>
      <w:marLeft w:val="0"/>
      <w:marRight w:val="0"/>
      <w:marTop w:val="0"/>
      <w:marBottom w:val="0"/>
      <w:divBdr>
        <w:top w:val="none" w:sz="0" w:space="0" w:color="auto"/>
        <w:left w:val="none" w:sz="0" w:space="0" w:color="auto"/>
        <w:bottom w:val="none" w:sz="0" w:space="0" w:color="auto"/>
        <w:right w:val="none" w:sz="0" w:space="0" w:color="auto"/>
      </w:divBdr>
    </w:div>
    <w:div w:id="1800025384">
      <w:bodyDiv w:val="1"/>
      <w:marLeft w:val="0"/>
      <w:marRight w:val="0"/>
      <w:marTop w:val="0"/>
      <w:marBottom w:val="0"/>
      <w:divBdr>
        <w:top w:val="none" w:sz="0" w:space="0" w:color="auto"/>
        <w:left w:val="none" w:sz="0" w:space="0" w:color="auto"/>
        <w:bottom w:val="none" w:sz="0" w:space="0" w:color="auto"/>
        <w:right w:val="none" w:sz="0" w:space="0" w:color="auto"/>
      </w:divBdr>
    </w:div>
    <w:div w:id="1800105154">
      <w:bodyDiv w:val="1"/>
      <w:marLeft w:val="0"/>
      <w:marRight w:val="0"/>
      <w:marTop w:val="0"/>
      <w:marBottom w:val="0"/>
      <w:divBdr>
        <w:top w:val="none" w:sz="0" w:space="0" w:color="auto"/>
        <w:left w:val="none" w:sz="0" w:space="0" w:color="auto"/>
        <w:bottom w:val="none" w:sz="0" w:space="0" w:color="auto"/>
        <w:right w:val="none" w:sz="0" w:space="0" w:color="auto"/>
      </w:divBdr>
    </w:div>
    <w:div w:id="1800151980">
      <w:bodyDiv w:val="1"/>
      <w:marLeft w:val="0"/>
      <w:marRight w:val="0"/>
      <w:marTop w:val="0"/>
      <w:marBottom w:val="0"/>
      <w:divBdr>
        <w:top w:val="none" w:sz="0" w:space="0" w:color="auto"/>
        <w:left w:val="none" w:sz="0" w:space="0" w:color="auto"/>
        <w:bottom w:val="none" w:sz="0" w:space="0" w:color="auto"/>
        <w:right w:val="none" w:sz="0" w:space="0" w:color="auto"/>
      </w:divBdr>
    </w:div>
    <w:div w:id="1800341977">
      <w:bodyDiv w:val="1"/>
      <w:marLeft w:val="0"/>
      <w:marRight w:val="0"/>
      <w:marTop w:val="0"/>
      <w:marBottom w:val="0"/>
      <w:divBdr>
        <w:top w:val="none" w:sz="0" w:space="0" w:color="auto"/>
        <w:left w:val="none" w:sz="0" w:space="0" w:color="auto"/>
        <w:bottom w:val="none" w:sz="0" w:space="0" w:color="auto"/>
        <w:right w:val="none" w:sz="0" w:space="0" w:color="auto"/>
      </w:divBdr>
    </w:div>
    <w:div w:id="1800564679">
      <w:bodyDiv w:val="1"/>
      <w:marLeft w:val="0"/>
      <w:marRight w:val="0"/>
      <w:marTop w:val="0"/>
      <w:marBottom w:val="0"/>
      <w:divBdr>
        <w:top w:val="none" w:sz="0" w:space="0" w:color="auto"/>
        <w:left w:val="none" w:sz="0" w:space="0" w:color="auto"/>
        <w:bottom w:val="none" w:sz="0" w:space="0" w:color="auto"/>
        <w:right w:val="none" w:sz="0" w:space="0" w:color="auto"/>
      </w:divBdr>
    </w:div>
    <w:div w:id="1800757278">
      <w:bodyDiv w:val="1"/>
      <w:marLeft w:val="0"/>
      <w:marRight w:val="0"/>
      <w:marTop w:val="0"/>
      <w:marBottom w:val="0"/>
      <w:divBdr>
        <w:top w:val="none" w:sz="0" w:space="0" w:color="auto"/>
        <w:left w:val="none" w:sz="0" w:space="0" w:color="auto"/>
        <w:bottom w:val="none" w:sz="0" w:space="0" w:color="auto"/>
        <w:right w:val="none" w:sz="0" w:space="0" w:color="auto"/>
      </w:divBdr>
    </w:div>
    <w:div w:id="1800764569">
      <w:bodyDiv w:val="1"/>
      <w:marLeft w:val="0"/>
      <w:marRight w:val="0"/>
      <w:marTop w:val="0"/>
      <w:marBottom w:val="0"/>
      <w:divBdr>
        <w:top w:val="none" w:sz="0" w:space="0" w:color="auto"/>
        <w:left w:val="none" w:sz="0" w:space="0" w:color="auto"/>
        <w:bottom w:val="none" w:sz="0" w:space="0" w:color="auto"/>
        <w:right w:val="none" w:sz="0" w:space="0" w:color="auto"/>
      </w:divBdr>
    </w:div>
    <w:div w:id="1801024833">
      <w:bodyDiv w:val="1"/>
      <w:marLeft w:val="0"/>
      <w:marRight w:val="0"/>
      <w:marTop w:val="0"/>
      <w:marBottom w:val="0"/>
      <w:divBdr>
        <w:top w:val="none" w:sz="0" w:space="0" w:color="auto"/>
        <w:left w:val="none" w:sz="0" w:space="0" w:color="auto"/>
        <w:bottom w:val="none" w:sz="0" w:space="0" w:color="auto"/>
        <w:right w:val="none" w:sz="0" w:space="0" w:color="auto"/>
      </w:divBdr>
    </w:div>
    <w:div w:id="1801025981">
      <w:bodyDiv w:val="1"/>
      <w:marLeft w:val="0"/>
      <w:marRight w:val="0"/>
      <w:marTop w:val="0"/>
      <w:marBottom w:val="0"/>
      <w:divBdr>
        <w:top w:val="none" w:sz="0" w:space="0" w:color="auto"/>
        <w:left w:val="none" w:sz="0" w:space="0" w:color="auto"/>
        <w:bottom w:val="none" w:sz="0" w:space="0" w:color="auto"/>
        <w:right w:val="none" w:sz="0" w:space="0" w:color="auto"/>
      </w:divBdr>
    </w:div>
    <w:div w:id="1801147500">
      <w:bodyDiv w:val="1"/>
      <w:marLeft w:val="0"/>
      <w:marRight w:val="0"/>
      <w:marTop w:val="0"/>
      <w:marBottom w:val="0"/>
      <w:divBdr>
        <w:top w:val="none" w:sz="0" w:space="0" w:color="auto"/>
        <w:left w:val="none" w:sz="0" w:space="0" w:color="auto"/>
        <w:bottom w:val="none" w:sz="0" w:space="0" w:color="auto"/>
        <w:right w:val="none" w:sz="0" w:space="0" w:color="auto"/>
      </w:divBdr>
    </w:div>
    <w:div w:id="1801262904">
      <w:bodyDiv w:val="1"/>
      <w:marLeft w:val="0"/>
      <w:marRight w:val="0"/>
      <w:marTop w:val="0"/>
      <w:marBottom w:val="0"/>
      <w:divBdr>
        <w:top w:val="none" w:sz="0" w:space="0" w:color="auto"/>
        <w:left w:val="none" w:sz="0" w:space="0" w:color="auto"/>
        <w:bottom w:val="none" w:sz="0" w:space="0" w:color="auto"/>
        <w:right w:val="none" w:sz="0" w:space="0" w:color="auto"/>
      </w:divBdr>
    </w:div>
    <w:div w:id="1801337810">
      <w:bodyDiv w:val="1"/>
      <w:marLeft w:val="0"/>
      <w:marRight w:val="0"/>
      <w:marTop w:val="0"/>
      <w:marBottom w:val="0"/>
      <w:divBdr>
        <w:top w:val="none" w:sz="0" w:space="0" w:color="auto"/>
        <w:left w:val="none" w:sz="0" w:space="0" w:color="auto"/>
        <w:bottom w:val="none" w:sz="0" w:space="0" w:color="auto"/>
        <w:right w:val="none" w:sz="0" w:space="0" w:color="auto"/>
      </w:divBdr>
    </w:div>
    <w:div w:id="1801339326">
      <w:bodyDiv w:val="1"/>
      <w:marLeft w:val="0"/>
      <w:marRight w:val="0"/>
      <w:marTop w:val="0"/>
      <w:marBottom w:val="0"/>
      <w:divBdr>
        <w:top w:val="none" w:sz="0" w:space="0" w:color="auto"/>
        <w:left w:val="none" w:sz="0" w:space="0" w:color="auto"/>
        <w:bottom w:val="none" w:sz="0" w:space="0" w:color="auto"/>
        <w:right w:val="none" w:sz="0" w:space="0" w:color="auto"/>
      </w:divBdr>
    </w:div>
    <w:div w:id="1801604702">
      <w:bodyDiv w:val="1"/>
      <w:marLeft w:val="0"/>
      <w:marRight w:val="0"/>
      <w:marTop w:val="0"/>
      <w:marBottom w:val="0"/>
      <w:divBdr>
        <w:top w:val="none" w:sz="0" w:space="0" w:color="auto"/>
        <w:left w:val="none" w:sz="0" w:space="0" w:color="auto"/>
        <w:bottom w:val="none" w:sz="0" w:space="0" w:color="auto"/>
        <w:right w:val="none" w:sz="0" w:space="0" w:color="auto"/>
      </w:divBdr>
    </w:div>
    <w:div w:id="1801654139">
      <w:bodyDiv w:val="1"/>
      <w:marLeft w:val="0"/>
      <w:marRight w:val="0"/>
      <w:marTop w:val="0"/>
      <w:marBottom w:val="0"/>
      <w:divBdr>
        <w:top w:val="none" w:sz="0" w:space="0" w:color="auto"/>
        <w:left w:val="none" w:sz="0" w:space="0" w:color="auto"/>
        <w:bottom w:val="none" w:sz="0" w:space="0" w:color="auto"/>
        <w:right w:val="none" w:sz="0" w:space="0" w:color="auto"/>
      </w:divBdr>
    </w:div>
    <w:div w:id="1801722643">
      <w:bodyDiv w:val="1"/>
      <w:marLeft w:val="0"/>
      <w:marRight w:val="0"/>
      <w:marTop w:val="0"/>
      <w:marBottom w:val="0"/>
      <w:divBdr>
        <w:top w:val="none" w:sz="0" w:space="0" w:color="auto"/>
        <w:left w:val="none" w:sz="0" w:space="0" w:color="auto"/>
        <w:bottom w:val="none" w:sz="0" w:space="0" w:color="auto"/>
        <w:right w:val="none" w:sz="0" w:space="0" w:color="auto"/>
      </w:divBdr>
    </w:div>
    <w:div w:id="1801724261">
      <w:bodyDiv w:val="1"/>
      <w:marLeft w:val="0"/>
      <w:marRight w:val="0"/>
      <w:marTop w:val="0"/>
      <w:marBottom w:val="0"/>
      <w:divBdr>
        <w:top w:val="none" w:sz="0" w:space="0" w:color="auto"/>
        <w:left w:val="none" w:sz="0" w:space="0" w:color="auto"/>
        <w:bottom w:val="none" w:sz="0" w:space="0" w:color="auto"/>
        <w:right w:val="none" w:sz="0" w:space="0" w:color="auto"/>
      </w:divBdr>
    </w:div>
    <w:div w:id="1801730798">
      <w:bodyDiv w:val="1"/>
      <w:marLeft w:val="0"/>
      <w:marRight w:val="0"/>
      <w:marTop w:val="0"/>
      <w:marBottom w:val="0"/>
      <w:divBdr>
        <w:top w:val="none" w:sz="0" w:space="0" w:color="auto"/>
        <w:left w:val="none" w:sz="0" w:space="0" w:color="auto"/>
        <w:bottom w:val="none" w:sz="0" w:space="0" w:color="auto"/>
        <w:right w:val="none" w:sz="0" w:space="0" w:color="auto"/>
      </w:divBdr>
    </w:div>
    <w:div w:id="1801846887">
      <w:bodyDiv w:val="1"/>
      <w:marLeft w:val="0"/>
      <w:marRight w:val="0"/>
      <w:marTop w:val="0"/>
      <w:marBottom w:val="0"/>
      <w:divBdr>
        <w:top w:val="none" w:sz="0" w:space="0" w:color="auto"/>
        <w:left w:val="none" w:sz="0" w:space="0" w:color="auto"/>
        <w:bottom w:val="none" w:sz="0" w:space="0" w:color="auto"/>
        <w:right w:val="none" w:sz="0" w:space="0" w:color="auto"/>
      </w:divBdr>
    </w:div>
    <w:div w:id="1801993591">
      <w:bodyDiv w:val="1"/>
      <w:marLeft w:val="0"/>
      <w:marRight w:val="0"/>
      <w:marTop w:val="0"/>
      <w:marBottom w:val="0"/>
      <w:divBdr>
        <w:top w:val="none" w:sz="0" w:space="0" w:color="auto"/>
        <w:left w:val="none" w:sz="0" w:space="0" w:color="auto"/>
        <w:bottom w:val="none" w:sz="0" w:space="0" w:color="auto"/>
        <w:right w:val="none" w:sz="0" w:space="0" w:color="auto"/>
      </w:divBdr>
    </w:div>
    <w:div w:id="1801998089">
      <w:bodyDiv w:val="1"/>
      <w:marLeft w:val="0"/>
      <w:marRight w:val="0"/>
      <w:marTop w:val="0"/>
      <w:marBottom w:val="0"/>
      <w:divBdr>
        <w:top w:val="none" w:sz="0" w:space="0" w:color="auto"/>
        <w:left w:val="none" w:sz="0" w:space="0" w:color="auto"/>
        <w:bottom w:val="none" w:sz="0" w:space="0" w:color="auto"/>
        <w:right w:val="none" w:sz="0" w:space="0" w:color="auto"/>
      </w:divBdr>
    </w:div>
    <w:div w:id="1801998352">
      <w:bodyDiv w:val="1"/>
      <w:marLeft w:val="0"/>
      <w:marRight w:val="0"/>
      <w:marTop w:val="0"/>
      <w:marBottom w:val="0"/>
      <w:divBdr>
        <w:top w:val="none" w:sz="0" w:space="0" w:color="auto"/>
        <w:left w:val="none" w:sz="0" w:space="0" w:color="auto"/>
        <w:bottom w:val="none" w:sz="0" w:space="0" w:color="auto"/>
        <w:right w:val="none" w:sz="0" w:space="0" w:color="auto"/>
      </w:divBdr>
    </w:div>
    <w:div w:id="1802065987">
      <w:bodyDiv w:val="1"/>
      <w:marLeft w:val="0"/>
      <w:marRight w:val="0"/>
      <w:marTop w:val="0"/>
      <w:marBottom w:val="0"/>
      <w:divBdr>
        <w:top w:val="none" w:sz="0" w:space="0" w:color="auto"/>
        <w:left w:val="none" w:sz="0" w:space="0" w:color="auto"/>
        <w:bottom w:val="none" w:sz="0" w:space="0" w:color="auto"/>
        <w:right w:val="none" w:sz="0" w:space="0" w:color="auto"/>
      </w:divBdr>
    </w:div>
    <w:div w:id="1802380218">
      <w:bodyDiv w:val="1"/>
      <w:marLeft w:val="0"/>
      <w:marRight w:val="0"/>
      <w:marTop w:val="0"/>
      <w:marBottom w:val="0"/>
      <w:divBdr>
        <w:top w:val="none" w:sz="0" w:space="0" w:color="auto"/>
        <w:left w:val="none" w:sz="0" w:space="0" w:color="auto"/>
        <w:bottom w:val="none" w:sz="0" w:space="0" w:color="auto"/>
        <w:right w:val="none" w:sz="0" w:space="0" w:color="auto"/>
      </w:divBdr>
    </w:div>
    <w:div w:id="1802573292">
      <w:bodyDiv w:val="1"/>
      <w:marLeft w:val="0"/>
      <w:marRight w:val="0"/>
      <w:marTop w:val="0"/>
      <w:marBottom w:val="0"/>
      <w:divBdr>
        <w:top w:val="none" w:sz="0" w:space="0" w:color="auto"/>
        <w:left w:val="none" w:sz="0" w:space="0" w:color="auto"/>
        <w:bottom w:val="none" w:sz="0" w:space="0" w:color="auto"/>
        <w:right w:val="none" w:sz="0" w:space="0" w:color="auto"/>
      </w:divBdr>
    </w:div>
    <w:div w:id="1802726043">
      <w:bodyDiv w:val="1"/>
      <w:marLeft w:val="0"/>
      <w:marRight w:val="0"/>
      <w:marTop w:val="0"/>
      <w:marBottom w:val="0"/>
      <w:divBdr>
        <w:top w:val="none" w:sz="0" w:space="0" w:color="auto"/>
        <w:left w:val="none" w:sz="0" w:space="0" w:color="auto"/>
        <w:bottom w:val="none" w:sz="0" w:space="0" w:color="auto"/>
        <w:right w:val="none" w:sz="0" w:space="0" w:color="auto"/>
      </w:divBdr>
    </w:div>
    <w:div w:id="1802771295">
      <w:bodyDiv w:val="1"/>
      <w:marLeft w:val="0"/>
      <w:marRight w:val="0"/>
      <w:marTop w:val="0"/>
      <w:marBottom w:val="0"/>
      <w:divBdr>
        <w:top w:val="none" w:sz="0" w:space="0" w:color="auto"/>
        <w:left w:val="none" w:sz="0" w:space="0" w:color="auto"/>
        <w:bottom w:val="none" w:sz="0" w:space="0" w:color="auto"/>
        <w:right w:val="none" w:sz="0" w:space="0" w:color="auto"/>
      </w:divBdr>
    </w:div>
    <w:div w:id="1803189298">
      <w:bodyDiv w:val="1"/>
      <w:marLeft w:val="0"/>
      <w:marRight w:val="0"/>
      <w:marTop w:val="0"/>
      <w:marBottom w:val="0"/>
      <w:divBdr>
        <w:top w:val="none" w:sz="0" w:space="0" w:color="auto"/>
        <w:left w:val="none" w:sz="0" w:space="0" w:color="auto"/>
        <w:bottom w:val="none" w:sz="0" w:space="0" w:color="auto"/>
        <w:right w:val="none" w:sz="0" w:space="0" w:color="auto"/>
      </w:divBdr>
    </w:div>
    <w:div w:id="1803301373">
      <w:bodyDiv w:val="1"/>
      <w:marLeft w:val="0"/>
      <w:marRight w:val="0"/>
      <w:marTop w:val="0"/>
      <w:marBottom w:val="0"/>
      <w:divBdr>
        <w:top w:val="none" w:sz="0" w:space="0" w:color="auto"/>
        <w:left w:val="none" w:sz="0" w:space="0" w:color="auto"/>
        <w:bottom w:val="none" w:sz="0" w:space="0" w:color="auto"/>
        <w:right w:val="none" w:sz="0" w:space="0" w:color="auto"/>
      </w:divBdr>
    </w:div>
    <w:div w:id="1803621617">
      <w:bodyDiv w:val="1"/>
      <w:marLeft w:val="0"/>
      <w:marRight w:val="0"/>
      <w:marTop w:val="0"/>
      <w:marBottom w:val="0"/>
      <w:divBdr>
        <w:top w:val="none" w:sz="0" w:space="0" w:color="auto"/>
        <w:left w:val="none" w:sz="0" w:space="0" w:color="auto"/>
        <w:bottom w:val="none" w:sz="0" w:space="0" w:color="auto"/>
        <w:right w:val="none" w:sz="0" w:space="0" w:color="auto"/>
      </w:divBdr>
    </w:div>
    <w:div w:id="1803844798">
      <w:bodyDiv w:val="1"/>
      <w:marLeft w:val="0"/>
      <w:marRight w:val="0"/>
      <w:marTop w:val="0"/>
      <w:marBottom w:val="0"/>
      <w:divBdr>
        <w:top w:val="none" w:sz="0" w:space="0" w:color="auto"/>
        <w:left w:val="none" w:sz="0" w:space="0" w:color="auto"/>
        <w:bottom w:val="none" w:sz="0" w:space="0" w:color="auto"/>
        <w:right w:val="none" w:sz="0" w:space="0" w:color="auto"/>
      </w:divBdr>
    </w:div>
    <w:div w:id="1803880616">
      <w:bodyDiv w:val="1"/>
      <w:marLeft w:val="0"/>
      <w:marRight w:val="0"/>
      <w:marTop w:val="0"/>
      <w:marBottom w:val="0"/>
      <w:divBdr>
        <w:top w:val="none" w:sz="0" w:space="0" w:color="auto"/>
        <w:left w:val="none" w:sz="0" w:space="0" w:color="auto"/>
        <w:bottom w:val="none" w:sz="0" w:space="0" w:color="auto"/>
        <w:right w:val="none" w:sz="0" w:space="0" w:color="auto"/>
      </w:divBdr>
    </w:div>
    <w:div w:id="1804077555">
      <w:bodyDiv w:val="1"/>
      <w:marLeft w:val="0"/>
      <w:marRight w:val="0"/>
      <w:marTop w:val="0"/>
      <w:marBottom w:val="0"/>
      <w:divBdr>
        <w:top w:val="none" w:sz="0" w:space="0" w:color="auto"/>
        <w:left w:val="none" w:sz="0" w:space="0" w:color="auto"/>
        <w:bottom w:val="none" w:sz="0" w:space="0" w:color="auto"/>
        <w:right w:val="none" w:sz="0" w:space="0" w:color="auto"/>
      </w:divBdr>
    </w:div>
    <w:div w:id="1804156894">
      <w:bodyDiv w:val="1"/>
      <w:marLeft w:val="0"/>
      <w:marRight w:val="0"/>
      <w:marTop w:val="0"/>
      <w:marBottom w:val="0"/>
      <w:divBdr>
        <w:top w:val="none" w:sz="0" w:space="0" w:color="auto"/>
        <w:left w:val="none" w:sz="0" w:space="0" w:color="auto"/>
        <w:bottom w:val="none" w:sz="0" w:space="0" w:color="auto"/>
        <w:right w:val="none" w:sz="0" w:space="0" w:color="auto"/>
      </w:divBdr>
    </w:div>
    <w:div w:id="1804234366">
      <w:bodyDiv w:val="1"/>
      <w:marLeft w:val="0"/>
      <w:marRight w:val="0"/>
      <w:marTop w:val="0"/>
      <w:marBottom w:val="0"/>
      <w:divBdr>
        <w:top w:val="none" w:sz="0" w:space="0" w:color="auto"/>
        <w:left w:val="none" w:sz="0" w:space="0" w:color="auto"/>
        <w:bottom w:val="none" w:sz="0" w:space="0" w:color="auto"/>
        <w:right w:val="none" w:sz="0" w:space="0" w:color="auto"/>
      </w:divBdr>
    </w:div>
    <w:div w:id="1804301892">
      <w:bodyDiv w:val="1"/>
      <w:marLeft w:val="0"/>
      <w:marRight w:val="0"/>
      <w:marTop w:val="0"/>
      <w:marBottom w:val="0"/>
      <w:divBdr>
        <w:top w:val="none" w:sz="0" w:space="0" w:color="auto"/>
        <w:left w:val="none" w:sz="0" w:space="0" w:color="auto"/>
        <w:bottom w:val="none" w:sz="0" w:space="0" w:color="auto"/>
        <w:right w:val="none" w:sz="0" w:space="0" w:color="auto"/>
      </w:divBdr>
    </w:div>
    <w:div w:id="1804302961">
      <w:bodyDiv w:val="1"/>
      <w:marLeft w:val="0"/>
      <w:marRight w:val="0"/>
      <w:marTop w:val="0"/>
      <w:marBottom w:val="0"/>
      <w:divBdr>
        <w:top w:val="none" w:sz="0" w:space="0" w:color="auto"/>
        <w:left w:val="none" w:sz="0" w:space="0" w:color="auto"/>
        <w:bottom w:val="none" w:sz="0" w:space="0" w:color="auto"/>
        <w:right w:val="none" w:sz="0" w:space="0" w:color="auto"/>
      </w:divBdr>
    </w:div>
    <w:div w:id="1804344144">
      <w:bodyDiv w:val="1"/>
      <w:marLeft w:val="0"/>
      <w:marRight w:val="0"/>
      <w:marTop w:val="0"/>
      <w:marBottom w:val="0"/>
      <w:divBdr>
        <w:top w:val="none" w:sz="0" w:space="0" w:color="auto"/>
        <w:left w:val="none" w:sz="0" w:space="0" w:color="auto"/>
        <w:bottom w:val="none" w:sz="0" w:space="0" w:color="auto"/>
        <w:right w:val="none" w:sz="0" w:space="0" w:color="auto"/>
      </w:divBdr>
    </w:div>
    <w:div w:id="1804345959">
      <w:bodyDiv w:val="1"/>
      <w:marLeft w:val="0"/>
      <w:marRight w:val="0"/>
      <w:marTop w:val="0"/>
      <w:marBottom w:val="0"/>
      <w:divBdr>
        <w:top w:val="none" w:sz="0" w:space="0" w:color="auto"/>
        <w:left w:val="none" w:sz="0" w:space="0" w:color="auto"/>
        <w:bottom w:val="none" w:sz="0" w:space="0" w:color="auto"/>
        <w:right w:val="none" w:sz="0" w:space="0" w:color="auto"/>
      </w:divBdr>
    </w:div>
    <w:div w:id="1804427438">
      <w:bodyDiv w:val="1"/>
      <w:marLeft w:val="0"/>
      <w:marRight w:val="0"/>
      <w:marTop w:val="0"/>
      <w:marBottom w:val="0"/>
      <w:divBdr>
        <w:top w:val="none" w:sz="0" w:space="0" w:color="auto"/>
        <w:left w:val="none" w:sz="0" w:space="0" w:color="auto"/>
        <w:bottom w:val="none" w:sz="0" w:space="0" w:color="auto"/>
        <w:right w:val="none" w:sz="0" w:space="0" w:color="auto"/>
      </w:divBdr>
    </w:div>
    <w:div w:id="1804499859">
      <w:bodyDiv w:val="1"/>
      <w:marLeft w:val="0"/>
      <w:marRight w:val="0"/>
      <w:marTop w:val="0"/>
      <w:marBottom w:val="0"/>
      <w:divBdr>
        <w:top w:val="none" w:sz="0" w:space="0" w:color="auto"/>
        <w:left w:val="none" w:sz="0" w:space="0" w:color="auto"/>
        <w:bottom w:val="none" w:sz="0" w:space="0" w:color="auto"/>
        <w:right w:val="none" w:sz="0" w:space="0" w:color="auto"/>
      </w:divBdr>
    </w:div>
    <w:div w:id="1804694472">
      <w:bodyDiv w:val="1"/>
      <w:marLeft w:val="0"/>
      <w:marRight w:val="0"/>
      <w:marTop w:val="0"/>
      <w:marBottom w:val="0"/>
      <w:divBdr>
        <w:top w:val="none" w:sz="0" w:space="0" w:color="auto"/>
        <w:left w:val="none" w:sz="0" w:space="0" w:color="auto"/>
        <w:bottom w:val="none" w:sz="0" w:space="0" w:color="auto"/>
        <w:right w:val="none" w:sz="0" w:space="0" w:color="auto"/>
      </w:divBdr>
    </w:div>
    <w:div w:id="1804927940">
      <w:bodyDiv w:val="1"/>
      <w:marLeft w:val="0"/>
      <w:marRight w:val="0"/>
      <w:marTop w:val="0"/>
      <w:marBottom w:val="0"/>
      <w:divBdr>
        <w:top w:val="none" w:sz="0" w:space="0" w:color="auto"/>
        <w:left w:val="none" w:sz="0" w:space="0" w:color="auto"/>
        <w:bottom w:val="none" w:sz="0" w:space="0" w:color="auto"/>
        <w:right w:val="none" w:sz="0" w:space="0" w:color="auto"/>
      </w:divBdr>
    </w:div>
    <w:div w:id="1805076740">
      <w:bodyDiv w:val="1"/>
      <w:marLeft w:val="0"/>
      <w:marRight w:val="0"/>
      <w:marTop w:val="0"/>
      <w:marBottom w:val="0"/>
      <w:divBdr>
        <w:top w:val="none" w:sz="0" w:space="0" w:color="auto"/>
        <w:left w:val="none" w:sz="0" w:space="0" w:color="auto"/>
        <w:bottom w:val="none" w:sz="0" w:space="0" w:color="auto"/>
        <w:right w:val="none" w:sz="0" w:space="0" w:color="auto"/>
      </w:divBdr>
    </w:div>
    <w:div w:id="1805585754">
      <w:bodyDiv w:val="1"/>
      <w:marLeft w:val="0"/>
      <w:marRight w:val="0"/>
      <w:marTop w:val="0"/>
      <w:marBottom w:val="0"/>
      <w:divBdr>
        <w:top w:val="none" w:sz="0" w:space="0" w:color="auto"/>
        <w:left w:val="none" w:sz="0" w:space="0" w:color="auto"/>
        <w:bottom w:val="none" w:sz="0" w:space="0" w:color="auto"/>
        <w:right w:val="none" w:sz="0" w:space="0" w:color="auto"/>
      </w:divBdr>
    </w:div>
    <w:div w:id="1805654451">
      <w:bodyDiv w:val="1"/>
      <w:marLeft w:val="0"/>
      <w:marRight w:val="0"/>
      <w:marTop w:val="0"/>
      <w:marBottom w:val="0"/>
      <w:divBdr>
        <w:top w:val="none" w:sz="0" w:space="0" w:color="auto"/>
        <w:left w:val="none" w:sz="0" w:space="0" w:color="auto"/>
        <w:bottom w:val="none" w:sz="0" w:space="0" w:color="auto"/>
        <w:right w:val="none" w:sz="0" w:space="0" w:color="auto"/>
      </w:divBdr>
    </w:div>
    <w:div w:id="1805654830">
      <w:bodyDiv w:val="1"/>
      <w:marLeft w:val="0"/>
      <w:marRight w:val="0"/>
      <w:marTop w:val="0"/>
      <w:marBottom w:val="0"/>
      <w:divBdr>
        <w:top w:val="none" w:sz="0" w:space="0" w:color="auto"/>
        <w:left w:val="none" w:sz="0" w:space="0" w:color="auto"/>
        <w:bottom w:val="none" w:sz="0" w:space="0" w:color="auto"/>
        <w:right w:val="none" w:sz="0" w:space="0" w:color="auto"/>
      </w:divBdr>
    </w:div>
    <w:div w:id="1805656346">
      <w:bodyDiv w:val="1"/>
      <w:marLeft w:val="0"/>
      <w:marRight w:val="0"/>
      <w:marTop w:val="0"/>
      <w:marBottom w:val="0"/>
      <w:divBdr>
        <w:top w:val="none" w:sz="0" w:space="0" w:color="auto"/>
        <w:left w:val="none" w:sz="0" w:space="0" w:color="auto"/>
        <w:bottom w:val="none" w:sz="0" w:space="0" w:color="auto"/>
        <w:right w:val="none" w:sz="0" w:space="0" w:color="auto"/>
      </w:divBdr>
    </w:div>
    <w:div w:id="1805660713">
      <w:bodyDiv w:val="1"/>
      <w:marLeft w:val="0"/>
      <w:marRight w:val="0"/>
      <w:marTop w:val="0"/>
      <w:marBottom w:val="0"/>
      <w:divBdr>
        <w:top w:val="none" w:sz="0" w:space="0" w:color="auto"/>
        <w:left w:val="none" w:sz="0" w:space="0" w:color="auto"/>
        <w:bottom w:val="none" w:sz="0" w:space="0" w:color="auto"/>
        <w:right w:val="none" w:sz="0" w:space="0" w:color="auto"/>
      </w:divBdr>
    </w:div>
    <w:div w:id="1805850623">
      <w:bodyDiv w:val="1"/>
      <w:marLeft w:val="0"/>
      <w:marRight w:val="0"/>
      <w:marTop w:val="0"/>
      <w:marBottom w:val="0"/>
      <w:divBdr>
        <w:top w:val="none" w:sz="0" w:space="0" w:color="auto"/>
        <w:left w:val="none" w:sz="0" w:space="0" w:color="auto"/>
        <w:bottom w:val="none" w:sz="0" w:space="0" w:color="auto"/>
        <w:right w:val="none" w:sz="0" w:space="0" w:color="auto"/>
      </w:divBdr>
    </w:div>
    <w:div w:id="1805922582">
      <w:bodyDiv w:val="1"/>
      <w:marLeft w:val="0"/>
      <w:marRight w:val="0"/>
      <w:marTop w:val="0"/>
      <w:marBottom w:val="0"/>
      <w:divBdr>
        <w:top w:val="none" w:sz="0" w:space="0" w:color="auto"/>
        <w:left w:val="none" w:sz="0" w:space="0" w:color="auto"/>
        <w:bottom w:val="none" w:sz="0" w:space="0" w:color="auto"/>
        <w:right w:val="none" w:sz="0" w:space="0" w:color="auto"/>
      </w:divBdr>
    </w:div>
    <w:div w:id="1805922879">
      <w:bodyDiv w:val="1"/>
      <w:marLeft w:val="0"/>
      <w:marRight w:val="0"/>
      <w:marTop w:val="0"/>
      <w:marBottom w:val="0"/>
      <w:divBdr>
        <w:top w:val="none" w:sz="0" w:space="0" w:color="auto"/>
        <w:left w:val="none" w:sz="0" w:space="0" w:color="auto"/>
        <w:bottom w:val="none" w:sz="0" w:space="0" w:color="auto"/>
        <w:right w:val="none" w:sz="0" w:space="0" w:color="auto"/>
      </w:divBdr>
    </w:div>
    <w:div w:id="1805925980">
      <w:bodyDiv w:val="1"/>
      <w:marLeft w:val="0"/>
      <w:marRight w:val="0"/>
      <w:marTop w:val="0"/>
      <w:marBottom w:val="0"/>
      <w:divBdr>
        <w:top w:val="none" w:sz="0" w:space="0" w:color="auto"/>
        <w:left w:val="none" w:sz="0" w:space="0" w:color="auto"/>
        <w:bottom w:val="none" w:sz="0" w:space="0" w:color="auto"/>
        <w:right w:val="none" w:sz="0" w:space="0" w:color="auto"/>
      </w:divBdr>
    </w:div>
    <w:div w:id="1805999508">
      <w:bodyDiv w:val="1"/>
      <w:marLeft w:val="0"/>
      <w:marRight w:val="0"/>
      <w:marTop w:val="0"/>
      <w:marBottom w:val="0"/>
      <w:divBdr>
        <w:top w:val="none" w:sz="0" w:space="0" w:color="auto"/>
        <w:left w:val="none" w:sz="0" w:space="0" w:color="auto"/>
        <w:bottom w:val="none" w:sz="0" w:space="0" w:color="auto"/>
        <w:right w:val="none" w:sz="0" w:space="0" w:color="auto"/>
      </w:divBdr>
    </w:div>
    <w:div w:id="1806387565">
      <w:bodyDiv w:val="1"/>
      <w:marLeft w:val="0"/>
      <w:marRight w:val="0"/>
      <w:marTop w:val="0"/>
      <w:marBottom w:val="0"/>
      <w:divBdr>
        <w:top w:val="none" w:sz="0" w:space="0" w:color="auto"/>
        <w:left w:val="none" w:sz="0" w:space="0" w:color="auto"/>
        <w:bottom w:val="none" w:sz="0" w:space="0" w:color="auto"/>
        <w:right w:val="none" w:sz="0" w:space="0" w:color="auto"/>
      </w:divBdr>
    </w:div>
    <w:div w:id="1806435213">
      <w:bodyDiv w:val="1"/>
      <w:marLeft w:val="0"/>
      <w:marRight w:val="0"/>
      <w:marTop w:val="0"/>
      <w:marBottom w:val="0"/>
      <w:divBdr>
        <w:top w:val="none" w:sz="0" w:space="0" w:color="auto"/>
        <w:left w:val="none" w:sz="0" w:space="0" w:color="auto"/>
        <w:bottom w:val="none" w:sz="0" w:space="0" w:color="auto"/>
        <w:right w:val="none" w:sz="0" w:space="0" w:color="auto"/>
      </w:divBdr>
    </w:div>
    <w:div w:id="1806464320">
      <w:bodyDiv w:val="1"/>
      <w:marLeft w:val="0"/>
      <w:marRight w:val="0"/>
      <w:marTop w:val="0"/>
      <w:marBottom w:val="0"/>
      <w:divBdr>
        <w:top w:val="none" w:sz="0" w:space="0" w:color="auto"/>
        <w:left w:val="none" w:sz="0" w:space="0" w:color="auto"/>
        <w:bottom w:val="none" w:sz="0" w:space="0" w:color="auto"/>
        <w:right w:val="none" w:sz="0" w:space="0" w:color="auto"/>
      </w:divBdr>
    </w:div>
    <w:div w:id="1806504057">
      <w:bodyDiv w:val="1"/>
      <w:marLeft w:val="0"/>
      <w:marRight w:val="0"/>
      <w:marTop w:val="0"/>
      <w:marBottom w:val="0"/>
      <w:divBdr>
        <w:top w:val="none" w:sz="0" w:space="0" w:color="auto"/>
        <w:left w:val="none" w:sz="0" w:space="0" w:color="auto"/>
        <w:bottom w:val="none" w:sz="0" w:space="0" w:color="auto"/>
        <w:right w:val="none" w:sz="0" w:space="0" w:color="auto"/>
      </w:divBdr>
    </w:div>
    <w:div w:id="1806659587">
      <w:bodyDiv w:val="1"/>
      <w:marLeft w:val="0"/>
      <w:marRight w:val="0"/>
      <w:marTop w:val="0"/>
      <w:marBottom w:val="0"/>
      <w:divBdr>
        <w:top w:val="none" w:sz="0" w:space="0" w:color="auto"/>
        <w:left w:val="none" w:sz="0" w:space="0" w:color="auto"/>
        <w:bottom w:val="none" w:sz="0" w:space="0" w:color="auto"/>
        <w:right w:val="none" w:sz="0" w:space="0" w:color="auto"/>
      </w:divBdr>
    </w:div>
    <w:div w:id="1806773550">
      <w:bodyDiv w:val="1"/>
      <w:marLeft w:val="0"/>
      <w:marRight w:val="0"/>
      <w:marTop w:val="0"/>
      <w:marBottom w:val="0"/>
      <w:divBdr>
        <w:top w:val="none" w:sz="0" w:space="0" w:color="auto"/>
        <w:left w:val="none" w:sz="0" w:space="0" w:color="auto"/>
        <w:bottom w:val="none" w:sz="0" w:space="0" w:color="auto"/>
        <w:right w:val="none" w:sz="0" w:space="0" w:color="auto"/>
      </w:divBdr>
    </w:div>
    <w:div w:id="1807160860">
      <w:bodyDiv w:val="1"/>
      <w:marLeft w:val="0"/>
      <w:marRight w:val="0"/>
      <w:marTop w:val="0"/>
      <w:marBottom w:val="0"/>
      <w:divBdr>
        <w:top w:val="none" w:sz="0" w:space="0" w:color="auto"/>
        <w:left w:val="none" w:sz="0" w:space="0" w:color="auto"/>
        <w:bottom w:val="none" w:sz="0" w:space="0" w:color="auto"/>
        <w:right w:val="none" w:sz="0" w:space="0" w:color="auto"/>
      </w:divBdr>
    </w:div>
    <w:div w:id="1807433551">
      <w:bodyDiv w:val="1"/>
      <w:marLeft w:val="0"/>
      <w:marRight w:val="0"/>
      <w:marTop w:val="0"/>
      <w:marBottom w:val="0"/>
      <w:divBdr>
        <w:top w:val="none" w:sz="0" w:space="0" w:color="auto"/>
        <w:left w:val="none" w:sz="0" w:space="0" w:color="auto"/>
        <w:bottom w:val="none" w:sz="0" w:space="0" w:color="auto"/>
        <w:right w:val="none" w:sz="0" w:space="0" w:color="auto"/>
      </w:divBdr>
    </w:div>
    <w:div w:id="1807501607">
      <w:bodyDiv w:val="1"/>
      <w:marLeft w:val="0"/>
      <w:marRight w:val="0"/>
      <w:marTop w:val="0"/>
      <w:marBottom w:val="0"/>
      <w:divBdr>
        <w:top w:val="none" w:sz="0" w:space="0" w:color="auto"/>
        <w:left w:val="none" w:sz="0" w:space="0" w:color="auto"/>
        <w:bottom w:val="none" w:sz="0" w:space="0" w:color="auto"/>
        <w:right w:val="none" w:sz="0" w:space="0" w:color="auto"/>
      </w:divBdr>
    </w:div>
    <w:div w:id="1807502211">
      <w:bodyDiv w:val="1"/>
      <w:marLeft w:val="0"/>
      <w:marRight w:val="0"/>
      <w:marTop w:val="0"/>
      <w:marBottom w:val="0"/>
      <w:divBdr>
        <w:top w:val="none" w:sz="0" w:space="0" w:color="auto"/>
        <w:left w:val="none" w:sz="0" w:space="0" w:color="auto"/>
        <w:bottom w:val="none" w:sz="0" w:space="0" w:color="auto"/>
        <w:right w:val="none" w:sz="0" w:space="0" w:color="auto"/>
      </w:divBdr>
    </w:div>
    <w:div w:id="1807506344">
      <w:bodyDiv w:val="1"/>
      <w:marLeft w:val="0"/>
      <w:marRight w:val="0"/>
      <w:marTop w:val="0"/>
      <w:marBottom w:val="0"/>
      <w:divBdr>
        <w:top w:val="none" w:sz="0" w:space="0" w:color="auto"/>
        <w:left w:val="none" w:sz="0" w:space="0" w:color="auto"/>
        <w:bottom w:val="none" w:sz="0" w:space="0" w:color="auto"/>
        <w:right w:val="none" w:sz="0" w:space="0" w:color="auto"/>
      </w:divBdr>
    </w:div>
    <w:div w:id="1807698787">
      <w:bodyDiv w:val="1"/>
      <w:marLeft w:val="0"/>
      <w:marRight w:val="0"/>
      <w:marTop w:val="0"/>
      <w:marBottom w:val="0"/>
      <w:divBdr>
        <w:top w:val="none" w:sz="0" w:space="0" w:color="auto"/>
        <w:left w:val="none" w:sz="0" w:space="0" w:color="auto"/>
        <w:bottom w:val="none" w:sz="0" w:space="0" w:color="auto"/>
        <w:right w:val="none" w:sz="0" w:space="0" w:color="auto"/>
      </w:divBdr>
    </w:div>
    <w:div w:id="1808083948">
      <w:bodyDiv w:val="1"/>
      <w:marLeft w:val="0"/>
      <w:marRight w:val="0"/>
      <w:marTop w:val="0"/>
      <w:marBottom w:val="0"/>
      <w:divBdr>
        <w:top w:val="none" w:sz="0" w:space="0" w:color="auto"/>
        <w:left w:val="none" w:sz="0" w:space="0" w:color="auto"/>
        <w:bottom w:val="none" w:sz="0" w:space="0" w:color="auto"/>
        <w:right w:val="none" w:sz="0" w:space="0" w:color="auto"/>
      </w:divBdr>
    </w:div>
    <w:div w:id="1808233368">
      <w:bodyDiv w:val="1"/>
      <w:marLeft w:val="0"/>
      <w:marRight w:val="0"/>
      <w:marTop w:val="0"/>
      <w:marBottom w:val="0"/>
      <w:divBdr>
        <w:top w:val="none" w:sz="0" w:space="0" w:color="auto"/>
        <w:left w:val="none" w:sz="0" w:space="0" w:color="auto"/>
        <w:bottom w:val="none" w:sz="0" w:space="0" w:color="auto"/>
        <w:right w:val="none" w:sz="0" w:space="0" w:color="auto"/>
      </w:divBdr>
    </w:div>
    <w:div w:id="1808283429">
      <w:bodyDiv w:val="1"/>
      <w:marLeft w:val="0"/>
      <w:marRight w:val="0"/>
      <w:marTop w:val="0"/>
      <w:marBottom w:val="0"/>
      <w:divBdr>
        <w:top w:val="none" w:sz="0" w:space="0" w:color="auto"/>
        <w:left w:val="none" w:sz="0" w:space="0" w:color="auto"/>
        <w:bottom w:val="none" w:sz="0" w:space="0" w:color="auto"/>
        <w:right w:val="none" w:sz="0" w:space="0" w:color="auto"/>
      </w:divBdr>
    </w:div>
    <w:div w:id="1808426292">
      <w:bodyDiv w:val="1"/>
      <w:marLeft w:val="0"/>
      <w:marRight w:val="0"/>
      <w:marTop w:val="0"/>
      <w:marBottom w:val="0"/>
      <w:divBdr>
        <w:top w:val="none" w:sz="0" w:space="0" w:color="auto"/>
        <w:left w:val="none" w:sz="0" w:space="0" w:color="auto"/>
        <w:bottom w:val="none" w:sz="0" w:space="0" w:color="auto"/>
        <w:right w:val="none" w:sz="0" w:space="0" w:color="auto"/>
      </w:divBdr>
    </w:div>
    <w:div w:id="1808859944">
      <w:bodyDiv w:val="1"/>
      <w:marLeft w:val="0"/>
      <w:marRight w:val="0"/>
      <w:marTop w:val="0"/>
      <w:marBottom w:val="0"/>
      <w:divBdr>
        <w:top w:val="none" w:sz="0" w:space="0" w:color="auto"/>
        <w:left w:val="none" w:sz="0" w:space="0" w:color="auto"/>
        <w:bottom w:val="none" w:sz="0" w:space="0" w:color="auto"/>
        <w:right w:val="none" w:sz="0" w:space="0" w:color="auto"/>
      </w:divBdr>
    </w:div>
    <w:div w:id="1808937257">
      <w:bodyDiv w:val="1"/>
      <w:marLeft w:val="0"/>
      <w:marRight w:val="0"/>
      <w:marTop w:val="0"/>
      <w:marBottom w:val="0"/>
      <w:divBdr>
        <w:top w:val="none" w:sz="0" w:space="0" w:color="auto"/>
        <w:left w:val="none" w:sz="0" w:space="0" w:color="auto"/>
        <w:bottom w:val="none" w:sz="0" w:space="0" w:color="auto"/>
        <w:right w:val="none" w:sz="0" w:space="0" w:color="auto"/>
      </w:divBdr>
    </w:div>
    <w:div w:id="1809202083">
      <w:bodyDiv w:val="1"/>
      <w:marLeft w:val="0"/>
      <w:marRight w:val="0"/>
      <w:marTop w:val="0"/>
      <w:marBottom w:val="0"/>
      <w:divBdr>
        <w:top w:val="none" w:sz="0" w:space="0" w:color="auto"/>
        <w:left w:val="none" w:sz="0" w:space="0" w:color="auto"/>
        <w:bottom w:val="none" w:sz="0" w:space="0" w:color="auto"/>
        <w:right w:val="none" w:sz="0" w:space="0" w:color="auto"/>
      </w:divBdr>
    </w:div>
    <w:div w:id="1809394604">
      <w:bodyDiv w:val="1"/>
      <w:marLeft w:val="0"/>
      <w:marRight w:val="0"/>
      <w:marTop w:val="0"/>
      <w:marBottom w:val="0"/>
      <w:divBdr>
        <w:top w:val="none" w:sz="0" w:space="0" w:color="auto"/>
        <w:left w:val="none" w:sz="0" w:space="0" w:color="auto"/>
        <w:bottom w:val="none" w:sz="0" w:space="0" w:color="auto"/>
        <w:right w:val="none" w:sz="0" w:space="0" w:color="auto"/>
      </w:divBdr>
    </w:div>
    <w:div w:id="1809542155">
      <w:bodyDiv w:val="1"/>
      <w:marLeft w:val="0"/>
      <w:marRight w:val="0"/>
      <w:marTop w:val="0"/>
      <w:marBottom w:val="0"/>
      <w:divBdr>
        <w:top w:val="none" w:sz="0" w:space="0" w:color="auto"/>
        <w:left w:val="none" w:sz="0" w:space="0" w:color="auto"/>
        <w:bottom w:val="none" w:sz="0" w:space="0" w:color="auto"/>
        <w:right w:val="none" w:sz="0" w:space="0" w:color="auto"/>
      </w:divBdr>
    </w:div>
    <w:div w:id="1809545901">
      <w:bodyDiv w:val="1"/>
      <w:marLeft w:val="0"/>
      <w:marRight w:val="0"/>
      <w:marTop w:val="0"/>
      <w:marBottom w:val="0"/>
      <w:divBdr>
        <w:top w:val="none" w:sz="0" w:space="0" w:color="auto"/>
        <w:left w:val="none" w:sz="0" w:space="0" w:color="auto"/>
        <w:bottom w:val="none" w:sz="0" w:space="0" w:color="auto"/>
        <w:right w:val="none" w:sz="0" w:space="0" w:color="auto"/>
      </w:divBdr>
    </w:div>
    <w:div w:id="1809669717">
      <w:bodyDiv w:val="1"/>
      <w:marLeft w:val="0"/>
      <w:marRight w:val="0"/>
      <w:marTop w:val="0"/>
      <w:marBottom w:val="0"/>
      <w:divBdr>
        <w:top w:val="none" w:sz="0" w:space="0" w:color="auto"/>
        <w:left w:val="none" w:sz="0" w:space="0" w:color="auto"/>
        <w:bottom w:val="none" w:sz="0" w:space="0" w:color="auto"/>
        <w:right w:val="none" w:sz="0" w:space="0" w:color="auto"/>
      </w:divBdr>
    </w:div>
    <w:div w:id="1809741532">
      <w:bodyDiv w:val="1"/>
      <w:marLeft w:val="0"/>
      <w:marRight w:val="0"/>
      <w:marTop w:val="0"/>
      <w:marBottom w:val="0"/>
      <w:divBdr>
        <w:top w:val="none" w:sz="0" w:space="0" w:color="auto"/>
        <w:left w:val="none" w:sz="0" w:space="0" w:color="auto"/>
        <w:bottom w:val="none" w:sz="0" w:space="0" w:color="auto"/>
        <w:right w:val="none" w:sz="0" w:space="0" w:color="auto"/>
      </w:divBdr>
    </w:div>
    <w:div w:id="1810124253">
      <w:bodyDiv w:val="1"/>
      <w:marLeft w:val="0"/>
      <w:marRight w:val="0"/>
      <w:marTop w:val="0"/>
      <w:marBottom w:val="0"/>
      <w:divBdr>
        <w:top w:val="none" w:sz="0" w:space="0" w:color="auto"/>
        <w:left w:val="none" w:sz="0" w:space="0" w:color="auto"/>
        <w:bottom w:val="none" w:sz="0" w:space="0" w:color="auto"/>
        <w:right w:val="none" w:sz="0" w:space="0" w:color="auto"/>
      </w:divBdr>
    </w:div>
    <w:div w:id="1810240487">
      <w:bodyDiv w:val="1"/>
      <w:marLeft w:val="0"/>
      <w:marRight w:val="0"/>
      <w:marTop w:val="0"/>
      <w:marBottom w:val="0"/>
      <w:divBdr>
        <w:top w:val="none" w:sz="0" w:space="0" w:color="auto"/>
        <w:left w:val="none" w:sz="0" w:space="0" w:color="auto"/>
        <w:bottom w:val="none" w:sz="0" w:space="0" w:color="auto"/>
        <w:right w:val="none" w:sz="0" w:space="0" w:color="auto"/>
      </w:divBdr>
    </w:div>
    <w:div w:id="1810434258">
      <w:bodyDiv w:val="1"/>
      <w:marLeft w:val="0"/>
      <w:marRight w:val="0"/>
      <w:marTop w:val="0"/>
      <w:marBottom w:val="0"/>
      <w:divBdr>
        <w:top w:val="none" w:sz="0" w:space="0" w:color="auto"/>
        <w:left w:val="none" w:sz="0" w:space="0" w:color="auto"/>
        <w:bottom w:val="none" w:sz="0" w:space="0" w:color="auto"/>
        <w:right w:val="none" w:sz="0" w:space="0" w:color="auto"/>
      </w:divBdr>
    </w:div>
    <w:div w:id="1810634915">
      <w:bodyDiv w:val="1"/>
      <w:marLeft w:val="0"/>
      <w:marRight w:val="0"/>
      <w:marTop w:val="0"/>
      <w:marBottom w:val="0"/>
      <w:divBdr>
        <w:top w:val="none" w:sz="0" w:space="0" w:color="auto"/>
        <w:left w:val="none" w:sz="0" w:space="0" w:color="auto"/>
        <w:bottom w:val="none" w:sz="0" w:space="0" w:color="auto"/>
        <w:right w:val="none" w:sz="0" w:space="0" w:color="auto"/>
      </w:divBdr>
    </w:div>
    <w:div w:id="1810661219">
      <w:bodyDiv w:val="1"/>
      <w:marLeft w:val="0"/>
      <w:marRight w:val="0"/>
      <w:marTop w:val="0"/>
      <w:marBottom w:val="0"/>
      <w:divBdr>
        <w:top w:val="none" w:sz="0" w:space="0" w:color="auto"/>
        <w:left w:val="none" w:sz="0" w:space="0" w:color="auto"/>
        <w:bottom w:val="none" w:sz="0" w:space="0" w:color="auto"/>
        <w:right w:val="none" w:sz="0" w:space="0" w:color="auto"/>
      </w:divBdr>
    </w:div>
    <w:div w:id="1810781105">
      <w:bodyDiv w:val="1"/>
      <w:marLeft w:val="0"/>
      <w:marRight w:val="0"/>
      <w:marTop w:val="0"/>
      <w:marBottom w:val="0"/>
      <w:divBdr>
        <w:top w:val="none" w:sz="0" w:space="0" w:color="auto"/>
        <w:left w:val="none" w:sz="0" w:space="0" w:color="auto"/>
        <w:bottom w:val="none" w:sz="0" w:space="0" w:color="auto"/>
        <w:right w:val="none" w:sz="0" w:space="0" w:color="auto"/>
      </w:divBdr>
    </w:div>
    <w:div w:id="1810853307">
      <w:bodyDiv w:val="1"/>
      <w:marLeft w:val="0"/>
      <w:marRight w:val="0"/>
      <w:marTop w:val="0"/>
      <w:marBottom w:val="0"/>
      <w:divBdr>
        <w:top w:val="none" w:sz="0" w:space="0" w:color="auto"/>
        <w:left w:val="none" w:sz="0" w:space="0" w:color="auto"/>
        <w:bottom w:val="none" w:sz="0" w:space="0" w:color="auto"/>
        <w:right w:val="none" w:sz="0" w:space="0" w:color="auto"/>
      </w:divBdr>
    </w:div>
    <w:div w:id="1810973899">
      <w:bodyDiv w:val="1"/>
      <w:marLeft w:val="0"/>
      <w:marRight w:val="0"/>
      <w:marTop w:val="0"/>
      <w:marBottom w:val="0"/>
      <w:divBdr>
        <w:top w:val="none" w:sz="0" w:space="0" w:color="auto"/>
        <w:left w:val="none" w:sz="0" w:space="0" w:color="auto"/>
        <w:bottom w:val="none" w:sz="0" w:space="0" w:color="auto"/>
        <w:right w:val="none" w:sz="0" w:space="0" w:color="auto"/>
      </w:divBdr>
    </w:div>
    <w:div w:id="1811047132">
      <w:bodyDiv w:val="1"/>
      <w:marLeft w:val="0"/>
      <w:marRight w:val="0"/>
      <w:marTop w:val="0"/>
      <w:marBottom w:val="0"/>
      <w:divBdr>
        <w:top w:val="none" w:sz="0" w:space="0" w:color="auto"/>
        <w:left w:val="none" w:sz="0" w:space="0" w:color="auto"/>
        <w:bottom w:val="none" w:sz="0" w:space="0" w:color="auto"/>
        <w:right w:val="none" w:sz="0" w:space="0" w:color="auto"/>
      </w:divBdr>
    </w:div>
    <w:div w:id="1811097802">
      <w:bodyDiv w:val="1"/>
      <w:marLeft w:val="0"/>
      <w:marRight w:val="0"/>
      <w:marTop w:val="0"/>
      <w:marBottom w:val="0"/>
      <w:divBdr>
        <w:top w:val="none" w:sz="0" w:space="0" w:color="auto"/>
        <w:left w:val="none" w:sz="0" w:space="0" w:color="auto"/>
        <w:bottom w:val="none" w:sz="0" w:space="0" w:color="auto"/>
        <w:right w:val="none" w:sz="0" w:space="0" w:color="auto"/>
      </w:divBdr>
    </w:div>
    <w:div w:id="1811286646">
      <w:bodyDiv w:val="1"/>
      <w:marLeft w:val="0"/>
      <w:marRight w:val="0"/>
      <w:marTop w:val="0"/>
      <w:marBottom w:val="0"/>
      <w:divBdr>
        <w:top w:val="none" w:sz="0" w:space="0" w:color="auto"/>
        <w:left w:val="none" w:sz="0" w:space="0" w:color="auto"/>
        <w:bottom w:val="none" w:sz="0" w:space="0" w:color="auto"/>
        <w:right w:val="none" w:sz="0" w:space="0" w:color="auto"/>
      </w:divBdr>
    </w:div>
    <w:div w:id="1811358294">
      <w:bodyDiv w:val="1"/>
      <w:marLeft w:val="0"/>
      <w:marRight w:val="0"/>
      <w:marTop w:val="0"/>
      <w:marBottom w:val="0"/>
      <w:divBdr>
        <w:top w:val="none" w:sz="0" w:space="0" w:color="auto"/>
        <w:left w:val="none" w:sz="0" w:space="0" w:color="auto"/>
        <w:bottom w:val="none" w:sz="0" w:space="0" w:color="auto"/>
        <w:right w:val="none" w:sz="0" w:space="0" w:color="auto"/>
      </w:divBdr>
    </w:div>
    <w:div w:id="1811627371">
      <w:bodyDiv w:val="1"/>
      <w:marLeft w:val="0"/>
      <w:marRight w:val="0"/>
      <w:marTop w:val="0"/>
      <w:marBottom w:val="0"/>
      <w:divBdr>
        <w:top w:val="none" w:sz="0" w:space="0" w:color="auto"/>
        <w:left w:val="none" w:sz="0" w:space="0" w:color="auto"/>
        <w:bottom w:val="none" w:sz="0" w:space="0" w:color="auto"/>
        <w:right w:val="none" w:sz="0" w:space="0" w:color="auto"/>
      </w:divBdr>
    </w:div>
    <w:div w:id="1811708578">
      <w:bodyDiv w:val="1"/>
      <w:marLeft w:val="0"/>
      <w:marRight w:val="0"/>
      <w:marTop w:val="0"/>
      <w:marBottom w:val="0"/>
      <w:divBdr>
        <w:top w:val="none" w:sz="0" w:space="0" w:color="auto"/>
        <w:left w:val="none" w:sz="0" w:space="0" w:color="auto"/>
        <w:bottom w:val="none" w:sz="0" w:space="0" w:color="auto"/>
        <w:right w:val="none" w:sz="0" w:space="0" w:color="auto"/>
      </w:divBdr>
    </w:div>
    <w:div w:id="1811824144">
      <w:bodyDiv w:val="1"/>
      <w:marLeft w:val="0"/>
      <w:marRight w:val="0"/>
      <w:marTop w:val="0"/>
      <w:marBottom w:val="0"/>
      <w:divBdr>
        <w:top w:val="none" w:sz="0" w:space="0" w:color="auto"/>
        <w:left w:val="none" w:sz="0" w:space="0" w:color="auto"/>
        <w:bottom w:val="none" w:sz="0" w:space="0" w:color="auto"/>
        <w:right w:val="none" w:sz="0" w:space="0" w:color="auto"/>
      </w:divBdr>
    </w:div>
    <w:div w:id="1812091622">
      <w:bodyDiv w:val="1"/>
      <w:marLeft w:val="0"/>
      <w:marRight w:val="0"/>
      <w:marTop w:val="0"/>
      <w:marBottom w:val="0"/>
      <w:divBdr>
        <w:top w:val="none" w:sz="0" w:space="0" w:color="auto"/>
        <w:left w:val="none" w:sz="0" w:space="0" w:color="auto"/>
        <w:bottom w:val="none" w:sz="0" w:space="0" w:color="auto"/>
        <w:right w:val="none" w:sz="0" w:space="0" w:color="auto"/>
      </w:divBdr>
    </w:div>
    <w:div w:id="1812166336">
      <w:bodyDiv w:val="1"/>
      <w:marLeft w:val="0"/>
      <w:marRight w:val="0"/>
      <w:marTop w:val="0"/>
      <w:marBottom w:val="0"/>
      <w:divBdr>
        <w:top w:val="none" w:sz="0" w:space="0" w:color="auto"/>
        <w:left w:val="none" w:sz="0" w:space="0" w:color="auto"/>
        <w:bottom w:val="none" w:sz="0" w:space="0" w:color="auto"/>
        <w:right w:val="none" w:sz="0" w:space="0" w:color="auto"/>
      </w:divBdr>
    </w:div>
    <w:div w:id="1812214861">
      <w:bodyDiv w:val="1"/>
      <w:marLeft w:val="0"/>
      <w:marRight w:val="0"/>
      <w:marTop w:val="0"/>
      <w:marBottom w:val="0"/>
      <w:divBdr>
        <w:top w:val="none" w:sz="0" w:space="0" w:color="auto"/>
        <w:left w:val="none" w:sz="0" w:space="0" w:color="auto"/>
        <w:bottom w:val="none" w:sz="0" w:space="0" w:color="auto"/>
        <w:right w:val="none" w:sz="0" w:space="0" w:color="auto"/>
      </w:divBdr>
    </w:div>
    <w:div w:id="1812358738">
      <w:bodyDiv w:val="1"/>
      <w:marLeft w:val="0"/>
      <w:marRight w:val="0"/>
      <w:marTop w:val="0"/>
      <w:marBottom w:val="0"/>
      <w:divBdr>
        <w:top w:val="none" w:sz="0" w:space="0" w:color="auto"/>
        <w:left w:val="none" w:sz="0" w:space="0" w:color="auto"/>
        <w:bottom w:val="none" w:sz="0" w:space="0" w:color="auto"/>
        <w:right w:val="none" w:sz="0" w:space="0" w:color="auto"/>
      </w:divBdr>
    </w:div>
    <w:div w:id="1812672437">
      <w:bodyDiv w:val="1"/>
      <w:marLeft w:val="0"/>
      <w:marRight w:val="0"/>
      <w:marTop w:val="0"/>
      <w:marBottom w:val="0"/>
      <w:divBdr>
        <w:top w:val="none" w:sz="0" w:space="0" w:color="auto"/>
        <w:left w:val="none" w:sz="0" w:space="0" w:color="auto"/>
        <w:bottom w:val="none" w:sz="0" w:space="0" w:color="auto"/>
        <w:right w:val="none" w:sz="0" w:space="0" w:color="auto"/>
      </w:divBdr>
    </w:div>
    <w:div w:id="1812677257">
      <w:bodyDiv w:val="1"/>
      <w:marLeft w:val="0"/>
      <w:marRight w:val="0"/>
      <w:marTop w:val="0"/>
      <w:marBottom w:val="0"/>
      <w:divBdr>
        <w:top w:val="none" w:sz="0" w:space="0" w:color="auto"/>
        <w:left w:val="none" w:sz="0" w:space="0" w:color="auto"/>
        <w:bottom w:val="none" w:sz="0" w:space="0" w:color="auto"/>
        <w:right w:val="none" w:sz="0" w:space="0" w:color="auto"/>
      </w:divBdr>
    </w:div>
    <w:div w:id="1812749179">
      <w:bodyDiv w:val="1"/>
      <w:marLeft w:val="0"/>
      <w:marRight w:val="0"/>
      <w:marTop w:val="0"/>
      <w:marBottom w:val="0"/>
      <w:divBdr>
        <w:top w:val="none" w:sz="0" w:space="0" w:color="auto"/>
        <w:left w:val="none" w:sz="0" w:space="0" w:color="auto"/>
        <w:bottom w:val="none" w:sz="0" w:space="0" w:color="auto"/>
        <w:right w:val="none" w:sz="0" w:space="0" w:color="auto"/>
      </w:divBdr>
    </w:div>
    <w:div w:id="1812792163">
      <w:bodyDiv w:val="1"/>
      <w:marLeft w:val="0"/>
      <w:marRight w:val="0"/>
      <w:marTop w:val="0"/>
      <w:marBottom w:val="0"/>
      <w:divBdr>
        <w:top w:val="none" w:sz="0" w:space="0" w:color="auto"/>
        <w:left w:val="none" w:sz="0" w:space="0" w:color="auto"/>
        <w:bottom w:val="none" w:sz="0" w:space="0" w:color="auto"/>
        <w:right w:val="none" w:sz="0" w:space="0" w:color="auto"/>
      </w:divBdr>
    </w:div>
    <w:div w:id="1812794694">
      <w:bodyDiv w:val="1"/>
      <w:marLeft w:val="0"/>
      <w:marRight w:val="0"/>
      <w:marTop w:val="0"/>
      <w:marBottom w:val="0"/>
      <w:divBdr>
        <w:top w:val="none" w:sz="0" w:space="0" w:color="auto"/>
        <w:left w:val="none" w:sz="0" w:space="0" w:color="auto"/>
        <w:bottom w:val="none" w:sz="0" w:space="0" w:color="auto"/>
        <w:right w:val="none" w:sz="0" w:space="0" w:color="auto"/>
      </w:divBdr>
    </w:div>
    <w:div w:id="1812941293">
      <w:bodyDiv w:val="1"/>
      <w:marLeft w:val="0"/>
      <w:marRight w:val="0"/>
      <w:marTop w:val="0"/>
      <w:marBottom w:val="0"/>
      <w:divBdr>
        <w:top w:val="none" w:sz="0" w:space="0" w:color="auto"/>
        <w:left w:val="none" w:sz="0" w:space="0" w:color="auto"/>
        <w:bottom w:val="none" w:sz="0" w:space="0" w:color="auto"/>
        <w:right w:val="none" w:sz="0" w:space="0" w:color="auto"/>
      </w:divBdr>
    </w:div>
    <w:div w:id="1812945115">
      <w:bodyDiv w:val="1"/>
      <w:marLeft w:val="0"/>
      <w:marRight w:val="0"/>
      <w:marTop w:val="0"/>
      <w:marBottom w:val="0"/>
      <w:divBdr>
        <w:top w:val="none" w:sz="0" w:space="0" w:color="auto"/>
        <w:left w:val="none" w:sz="0" w:space="0" w:color="auto"/>
        <w:bottom w:val="none" w:sz="0" w:space="0" w:color="auto"/>
        <w:right w:val="none" w:sz="0" w:space="0" w:color="auto"/>
      </w:divBdr>
    </w:div>
    <w:div w:id="1813058109">
      <w:bodyDiv w:val="1"/>
      <w:marLeft w:val="0"/>
      <w:marRight w:val="0"/>
      <w:marTop w:val="0"/>
      <w:marBottom w:val="0"/>
      <w:divBdr>
        <w:top w:val="none" w:sz="0" w:space="0" w:color="auto"/>
        <w:left w:val="none" w:sz="0" w:space="0" w:color="auto"/>
        <w:bottom w:val="none" w:sz="0" w:space="0" w:color="auto"/>
        <w:right w:val="none" w:sz="0" w:space="0" w:color="auto"/>
      </w:divBdr>
    </w:div>
    <w:div w:id="1813213653">
      <w:bodyDiv w:val="1"/>
      <w:marLeft w:val="0"/>
      <w:marRight w:val="0"/>
      <w:marTop w:val="0"/>
      <w:marBottom w:val="0"/>
      <w:divBdr>
        <w:top w:val="none" w:sz="0" w:space="0" w:color="auto"/>
        <w:left w:val="none" w:sz="0" w:space="0" w:color="auto"/>
        <w:bottom w:val="none" w:sz="0" w:space="0" w:color="auto"/>
        <w:right w:val="none" w:sz="0" w:space="0" w:color="auto"/>
      </w:divBdr>
    </w:div>
    <w:div w:id="1813256528">
      <w:bodyDiv w:val="1"/>
      <w:marLeft w:val="0"/>
      <w:marRight w:val="0"/>
      <w:marTop w:val="0"/>
      <w:marBottom w:val="0"/>
      <w:divBdr>
        <w:top w:val="none" w:sz="0" w:space="0" w:color="auto"/>
        <w:left w:val="none" w:sz="0" w:space="0" w:color="auto"/>
        <w:bottom w:val="none" w:sz="0" w:space="0" w:color="auto"/>
        <w:right w:val="none" w:sz="0" w:space="0" w:color="auto"/>
      </w:divBdr>
    </w:div>
    <w:div w:id="1813475586">
      <w:bodyDiv w:val="1"/>
      <w:marLeft w:val="0"/>
      <w:marRight w:val="0"/>
      <w:marTop w:val="0"/>
      <w:marBottom w:val="0"/>
      <w:divBdr>
        <w:top w:val="none" w:sz="0" w:space="0" w:color="auto"/>
        <w:left w:val="none" w:sz="0" w:space="0" w:color="auto"/>
        <w:bottom w:val="none" w:sz="0" w:space="0" w:color="auto"/>
        <w:right w:val="none" w:sz="0" w:space="0" w:color="auto"/>
      </w:divBdr>
    </w:div>
    <w:div w:id="1813669944">
      <w:bodyDiv w:val="1"/>
      <w:marLeft w:val="0"/>
      <w:marRight w:val="0"/>
      <w:marTop w:val="0"/>
      <w:marBottom w:val="0"/>
      <w:divBdr>
        <w:top w:val="none" w:sz="0" w:space="0" w:color="auto"/>
        <w:left w:val="none" w:sz="0" w:space="0" w:color="auto"/>
        <w:bottom w:val="none" w:sz="0" w:space="0" w:color="auto"/>
        <w:right w:val="none" w:sz="0" w:space="0" w:color="auto"/>
      </w:divBdr>
    </w:div>
    <w:div w:id="1813792122">
      <w:bodyDiv w:val="1"/>
      <w:marLeft w:val="0"/>
      <w:marRight w:val="0"/>
      <w:marTop w:val="0"/>
      <w:marBottom w:val="0"/>
      <w:divBdr>
        <w:top w:val="none" w:sz="0" w:space="0" w:color="auto"/>
        <w:left w:val="none" w:sz="0" w:space="0" w:color="auto"/>
        <w:bottom w:val="none" w:sz="0" w:space="0" w:color="auto"/>
        <w:right w:val="none" w:sz="0" w:space="0" w:color="auto"/>
      </w:divBdr>
    </w:div>
    <w:div w:id="1814063231">
      <w:bodyDiv w:val="1"/>
      <w:marLeft w:val="0"/>
      <w:marRight w:val="0"/>
      <w:marTop w:val="0"/>
      <w:marBottom w:val="0"/>
      <w:divBdr>
        <w:top w:val="none" w:sz="0" w:space="0" w:color="auto"/>
        <w:left w:val="none" w:sz="0" w:space="0" w:color="auto"/>
        <w:bottom w:val="none" w:sz="0" w:space="0" w:color="auto"/>
        <w:right w:val="none" w:sz="0" w:space="0" w:color="auto"/>
      </w:divBdr>
    </w:div>
    <w:div w:id="1814178818">
      <w:bodyDiv w:val="1"/>
      <w:marLeft w:val="0"/>
      <w:marRight w:val="0"/>
      <w:marTop w:val="0"/>
      <w:marBottom w:val="0"/>
      <w:divBdr>
        <w:top w:val="none" w:sz="0" w:space="0" w:color="auto"/>
        <w:left w:val="none" w:sz="0" w:space="0" w:color="auto"/>
        <w:bottom w:val="none" w:sz="0" w:space="0" w:color="auto"/>
        <w:right w:val="none" w:sz="0" w:space="0" w:color="auto"/>
      </w:divBdr>
    </w:div>
    <w:div w:id="1814299280">
      <w:bodyDiv w:val="1"/>
      <w:marLeft w:val="0"/>
      <w:marRight w:val="0"/>
      <w:marTop w:val="0"/>
      <w:marBottom w:val="0"/>
      <w:divBdr>
        <w:top w:val="none" w:sz="0" w:space="0" w:color="auto"/>
        <w:left w:val="none" w:sz="0" w:space="0" w:color="auto"/>
        <w:bottom w:val="none" w:sz="0" w:space="0" w:color="auto"/>
        <w:right w:val="none" w:sz="0" w:space="0" w:color="auto"/>
      </w:divBdr>
    </w:div>
    <w:div w:id="1814325320">
      <w:bodyDiv w:val="1"/>
      <w:marLeft w:val="0"/>
      <w:marRight w:val="0"/>
      <w:marTop w:val="0"/>
      <w:marBottom w:val="0"/>
      <w:divBdr>
        <w:top w:val="none" w:sz="0" w:space="0" w:color="auto"/>
        <w:left w:val="none" w:sz="0" w:space="0" w:color="auto"/>
        <w:bottom w:val="none" w:sz="0" w:space="0" w:color="auto"/>
        <w:right w:val="none" w:sz="0" w:space="0" w:color="auto"/>
      </w:divBdr>
    </w:div>
    <w:div w:id="1814446120">
      <w:bodyDiv w:val="1"/>
      <w:marLeft w:val="0"/>
      <w:marRight w:val="0"/>
      <w:marTop w:val="0"/>
      <w:marBottom w:val="0"/>
      <w:divBdr>
        <w:top w:val="none" w:sz="0" w:space="0" w:color="auto"/>
        <w:left w:val="none" w:sz="0" w:space="0" w:color="auto"/>
        <w:bottom w:val="none" w:sz="0" w:space="0" w:color="auto"/>
        <w:right w:val="none" w:sz="0" w:space="0" w:color="auto"/>
      </w:divBdr>
    </w:div>
    <w:div w:id="1814449472">
      <w:bodyDiv w:val="1"/>
      <w:marLeft w:val="0"/>
      <w:marRight w:val="0"/>
      <w:marTop w:val="0"/>
      <w:marBottom w:val="0"/>
      <w:divBdr>
        <w:top w:val="none" w:sz="0" w:space="0" w:color="auto"/>
        <w:left w:val="none" w:sz="0" w:space="0" w:color="auto"/>
        <w:bottom w:val="none" w:sz="0" w:space="0" w:color="auto"/>
        <w:right w:val="none" w:sz="0" w:space="0" w:color="auto"/>
      </w:divBdr>
    </w:div>
    <w:div w:id="1814635880">
      <w:bodyDiv w:val="1"/>
      <w:marLeft w:val="0"/>
      <w:marRight w:val="0"/>
      <w:marTop w:val="0"/>
      <w:marBottom w:val="0"/>
      <w:divBdr>
        <w:top w:val="none" w:sz="0" w:space="0" w:color="auto"/>
        <w:left w:val="none" w:sz="0" w:space="0" w:color="auto"/>
        <w:bottom w:val="none" w:sz="0" w:space="0" w:color="auto"/>
        <w:right w:val="none" w:sz="0" w:space="0" w:color="auto"/>
      </w:divBdr>
    </w:div>
    <w:div w:id="1815180349">
      <w:bodyDiv w:val="1"/>
      <w:marLeft w:val="0"/>
      <w:marRight w:val="0"/>
      <w:marTop w:val="0"/>
      <w:marBottom w:val="0"/>
      <w:divBdr>
        <w:top w:val="none" w:sz="0" w:space="0" w:color="auto"/>
        <w:left w:val="none" w:sz="0" w:space="0" w:color="auto"/>
        <w:bottom w:val="none" w:sz="0" w:space="0" w:color="auto"/>
        <w:right w:val="none" w:sz="0" w:space="0" w:color="auto"/>
      </w:divBdr>
    </w:div>
    <w:div w:id="1815483914">
      <w:bodyDiv w:val="1"/>
      <w:marLeft w:val="0"/>
      <w:marRight w:val="0"/>
      <w:marTop w:val="0"/>
      <w:marBottom w:val="0"/>
      <w:divBdr>
        <w:top w:val="none" w:sz="0" w:space="0" w:color="auto"/>
        <w:left w:val="none" w:sz="0" w:space="0" w:color="auto"/>
        <w:bottom w:val="none" w:sz="0" w:space="0" w:color="auto"/>
        <w:right w:val="none" w:sz="0" w:space="0" w:color="auto"/>
      </w:divBdr>
    </w:div>
    <w:div w:id="1815565112">
      <w:bodyDiv w:val="1"/>
      <w:marLeft w:val="0"/>
      <w:marRight w:val="0"/>
      <w:marTop w:val="0"/>
      <w:marBottom w:val="0"/>
      <w:divBdr>
        <w:top w:val="none" w:sz="0" w:space="0" w:color="auto"/>
        <w:left w:val="none" w:sz="0" w:space="0" w:color="auto"/>
        <w:bottom w:val="none" w:sz="0" w:space="0" w:color="auto"/>
        <w:right w:val="none" w:sz="0" w:space="0" w:color="auto"/>
      </w:divBdr>
    </w:div>
    <w:div w:id="1815675910">
      <w:bodyDiv w:val="1"/>
      <w:marLeft w:val="0"/>
      <w:marRight w:val="0"/>
      <w:marTop w:val="0"/>
      <w:marBottom w:val="0"/>
      <w:divBdr>
        <w:top w:val="none" w:sz="0" w:space="0" w:color="auto"/>
        <w:left w:val="none" w:sz="0" w:space="0" w:color="auto"/>
        <w:bottom w:val="none" w:sz="0" w:space="0" w:color="auto"/>
        <w:right w:val="none" w:sz="0" w:space="0" w:color="auto"/>
      </w:divBdr>
    </w:div>
    <w:div w:id="1815753814">
      <w:bodyDiv w:val="1"/>
      <w:marLeft w:val="0"/>
      <w:marRight w:val="0"/>
      <w:marTop w:val="0"/>
      <w:marBottom w:val="0"/>
      <w:divBdr>
        <w:top w:val="none" w:sz="0" w:space="0" w:color="auto"/>
        <w:left w:val="none" w:sz="0" w:space="0" w:color="auto"/>
        <w:bottom w:val="none" w:sz="0" w:space="0" w:color="auto"/>
        <w:right w:val="none" w:sz="0" w:space="0" w:color="auto"/>
      </w:divBdr>
    </w:div>
    <w:div w:id="1815755129">
      <w:bodyDiv w:val="1"/>
      <w:marLeft w:val="0"/>
      <w:marRight w:val="0"/>
      <w:marTop w:val="0"/>
      <w:marBottom w:val="0"/>
      <w:divBdr>
        <w:top w:val="none" w:sz="0" w:space="0" w:color="auto"/>
        <w:left w:val="none" w:sz="0" w:space="0" w:color="auto"/>
        <w:bottom w:val="none" w:sz="0" w:space="0" w:color="auto"/>
        <w:right w:val="none" w:sz="0" w:space="0" w:color="auto"/>
      </w:divBdr>
    </w:div>
    <w:div w:id="1815759463">
      <w:bodyDiv w:val="1"/>
      <w:marLeft w:val="0"/>
      <w:marRight w:val="0"/>
      <w:marTop w:val="0"/>
      <w:marBottom w:val="0"/>
      <w:divBdr>
        <w:top w:val="none" w:sz="0" w:space="0" w:color="auto"/>
        <w:left w:val="none" w:sz="0" w:space="0" w:color="auto"/>
        <w:bottom w:val="none" w:sz="0" w:space="0" w:color="auto"/>
        <w:right w:val="none" w:sz="0" w:space="0" w:color="auto"/>
      </w:divBdr>
    </w:div>
    <w:div w:id="1815877523">
      <w:bodyDiv w:val="1"/>
      <w:marLeft w:val="0"/>
      <w:marRight w:val="0"/>
      <w:marTop w:val="0"/>
      <w:marBottom w:val="0"/>
      <w:divBdr>
        <w:top w:val="none" w:sz="0" w:space="0" w:color="auto"/>
        <w:left w:val="none" w:sz="0" w:space="0" w:color="auto"/>
        <w:bottom w:val="none" w:sz="0" w:space="0" w:color="auto"/>
        <w:right w:val="none" w:sz="0" w:space="0" w:color="auto"/>
      </w:divBdr>
    </w:div>
    <w:div w:id="1815949661">
      <w:bodyDiv w:val="1"/>
      <w:marLeft w:val="0"/>
      <w:marRight w:val="0"/>
      <w:marTop w:val="0"/>
      <w:marBottom w:val="0"/>
      <w:divBdr>
        <w:top w:val="none" w:sz="0" w:space="0" w:color="auto"/>
        <w:left w:val="none" w:sz="0" w:space="0" w:color="auto"/>
        <w:bottom w:val="none" w:sz="0" w:space="0" w:color="auto"/>
        <w:right w:val="none" w:sz="0" w:space="0" w:color="auto"/>
      </w:divBdr>
    </w:div>
    <w:div w:id="1816097294">
      <w:bodyDiv w:val="1"/>
      <w:marLeft w:val="0"/>
      <w:marRight w:val="0"/>
      <w:marTop w:val="0"/>
      <w:marBottom w:val="0"/>
      <w:divBdr>
        <w:top w:val="none" w:sz="0" w:space="0" w:color="auto"/>
        <w:left w:val="none" w:sz="0" w:space="0" w:color="auto"/>
        <w:bottom w:val="none" w:sz="0" w:space="0" w:color="auto"/>
        <w:right w:val="none" w:sz="0" w:space="0" w:color="auto"/>
      </w:divBdr>
    </w:div>
    <w:div w:id="1816557471">
      <w:bodyDiv w:val="1"/>
      <w:marLeft w:val="0"/>
      <w:marRight w:val="0"/>
      <w:marTop w:val="0"/>
      <w:marBottom w:val="0"/>
      <w:divBdr>
        <w:top w:val="none" w:sz="0" w:space="0" w:color="auto"/>
        <w:left w:val="none" w:sz="0" w:space="0" w:color="auto"/>
        <w:bottom w:val="none" w:sz="0" w:space="0" w:color="auto"/>
        <w:right w:val="none" w:sz="0" w:space="0" w:color="auto"/>
      </w:divBdr>
    </w:div>
    <w:div w:id="1816558484">
      <w:bodyDiv w:val="1"/>
      <w:marLeft w:val="0"/>
      <w:marRight w:val="0"/>
      <w:marTop w:val="0"/>
      <w:marBottom w:val="0"/>
      <w:divBdr>
        <w:top w:val="none" w:sz="0" w:space="0" w:color="auto"/>
        <w:left w:val="none" w:sz="0" w:space="0" w:color="auto"/>
        <w:bottom w:val="none" w:sz="0" w:space="0" w:color="auto"/>
        <w:right w:val="none" w:sz="0" w:space="0" w:color="auto"/>
      </w:divBdr>
    </w:div>
    <w:div w:id="1816604109">
      <w:bodyDiv w:val="1"/>
      <w:marLeft w:val="0"/>
      <w:marRight w:val="0"/>
      <w:marTop w:val="0"/>
      <w:marBottom w:val="0"/>
      <w:divBdr>
        <w:top w:val="none" w:sz="0" w:space="0" w:color="auto"/>
        <w:left w:val="none" w:sz="0" w:space="0" w:color="auto"/>
        <w:bottom w:val="none" w:sz="0" w:space="0" w:color="auto"/>
        <w:right w:val="none" w:sz="0" w:space="0" w:color="auto"/>
      </w:divBdr>
    </w:div>
    <w:div w:id="1816986198">
      <w:bodyDiv w:val="1"/>
      <w:marLeft w:val="0"/>
      <w:marRight w:val="0"/>
      <w:marTop w:val="0"/>
      <w:marBottom w:val="0"/>
      <w:divBdr>
        <w:top w:val="none" w:sz="0" w:space="0" w:color="auto"/>
        <w:left w:val="none" w:sz="0" w:space="0" w:color="auto"/>
        <w:bottom w:val="none" w:sz="0" w:space="0" w:color="auto"/>
        <w:right w:val="none" w:sz="0" w:space="0" w:color="auto"/>
      </w:divBdr>
    </w:div>
    <w:div w:id="1816992022">
      <w:bodyDiv w:val="1"/>
      <w:marLeft w:val="0"/>
      <w:marRight w:val="0"/>
      <w:marTop w:val="0"/>
      <w:marBottom w:val="0"/>
      <w:divBdr>
        <w:top w:val="none" w:sz="0" w:space="0" w:color="auto"/>
        <w:left w:val="none" w:sz="0" w:space="0" w:color="auto"/>
        <w:bottom w:val="none" w:sz="0" w:space="0" w:color="auto"/>
        <w:right w:val="none" w:sz="0" w:space="0" w:color="auto"/>
      </w:divBdr>
    </w:div>
    <w:div w:id="1816995312">
      <w:bodyDiv w:val="1"/>
      <w:marLeft w:val="0"/>
      <w:marRight w:val="0"/>
      <w:marTop w:val="0"/>
      <w:marBottom w:val="0"/>
      <w:divBdr>
        <w:top w:val="none" w:sz="0" w:space="0" w:color="auto"/>
        <w:left w:val="none" w:sz="0" w:space="0" w:color="auto"/>
        <w:bottom w:val="none" w:sz="0" w:space="0" w:color="auto"/>
        <w:right w:val="none" w:sz="0" w:space="0" w:color="auto"/>
      </w:divBdr>
    </w:div>
    <w:div w:id="1817069215">
      <w:bodyDiv w:val="1"/>
      <w:marLeft w:val="0"/>
      <w:marRight w:val="0"/>
      <w:marTop w:val="0"/>
      <w:marBottom w:val="0"/>
      <w:divBdr>
        <w:top w:val="none" w:sz="0" w:space="0" w:color="auto"/>
        <w:left w:val="none" w:sz="0" w:space="0" w:color="auto"/>
        <w:bottom w:val="none" w:sz="0" w:space="0" w:color="auto"/>
        <w:right w:val="none" w:sz="0" w:space="0" w:color="auto"/>
      </w:divBdr>
    </w:div>
    <w:div w:id="1817137604">
      <w:bodyDiv w:val="1"/>
      <w:marLeft w:val="0"/>
      <w:marRight w:val="0"/>
      <w:marTop w:val="0"/>
      <w:marBottom w:val="0"/>
      <w:divBdr>
        <w:top w:val="none" w:sz="0" w:space="0" w:color="auto"/>
        <w:left w:val="none" w:sz="0" w:space="0" w:color="auto"/>
        <w:bottom w:val="none" w:sz="0" w:space="0" w:color="auto"/>
        <w:right w:val="none" w:sz="0" w:space="0" w:color="auto"/>
      </w:divBdr>
    </w:div>
    <w:div w:id="1817182500">
      <w:bodyDiv w:val="1"/>
      <w:marLeft w:val="0"/>
      <w:marRight w:val="0"/>
      <w:marTop w:val="0"/>
      <w:marBottom w:val="0"/>
      <w:divBdr>
        <w:top w:val="none" w:sz="0" w:space="0" w:color="auto"/>
        <w:left w:val="none" w:sz="0" w:space="0" w:color="auto"/>
        <w:bottom w:val="none" w:sz="0" w:space="0" w:color="auto"/>
        <w:right w:val="none" w:sz="0" w:space="0" w:color="auto"/>
      </w:divBdr>
    </w:div>
    <w:div w:id="1817717780">
      <w:bodyDiv w:val="1"/>
      <w:marLeft w:val="0"/>
      <w:marRight w:val="0"/>
      <w:marTop w:val="0"/>
      <w:marBottom w:val="0"/>
      <w:divBdr>
        <w:top w:val="none" w:sz="0" w:space="0" w:color="auto"/>
        <w:left w:val="none" w:sz="0" w:space="0" w:color="auto"/>
        <w:bottom w:val="none" w:sz="0" w:space="0" w:color="auto"/>
        <w:right w:val="none" w:sz="0" w:space="0" w:color="auto"/>
      </w:divBdr>
    </w:div>
    <w:div w:id="1817794507">
      <w:bodyDiv w:val="1"/>
      <w:marLeft w:val="0"/>
      <w:marRight w:val="0"/>
      <w:marTop w:val="0"/>
      <w:marBottom w:val="0"/>
      <w:divBdr>
        <w:top w:val="none" w:sz="0" w:space="0" w:color="auto"/>
        <w:left w:val="none" w:sz="0" w:space="0" w:color="auto"/>
        <w:bottom w:val="none" w:sz="0" w:space="0" w:color="auto"/>
        <w:right w:val="none" w:sz="0" w:space="0" w:color="auto"/>
      </w:divBdr>
    </w:div>
    <w:div w:id="1817988306">
      <w:bodyDiv w:val="1"/>
      <w:marLeft w:val="0"/>
      <w:marRight w:val="0"/>
      <w:marTop w:val="0"/>
      <w:marBottom w:val="0"/>
      <w:divBdr>
        <w:top w:val="none" w:sz="0" w:space="0" w:color="auto"/>
        <w:left w:val="none" w:sz="0" w:space="0" w:color="auto"/>
        <w:bottom w:val="none" w:sz="0" w:space="0" w:color="auto"/>
        <w:right w:val="none" w:sz="0" w:space="0" w:color="auto"/>
      </w:divBdr>
    </w:div>
    <w:div w:id="1818103373">
      <w:bodyDiv w:val="1"/>
      <w:marLeft w:val="0"/>
      <w:marRight w:val="0"/>
      <w:marTop w:val="0"/>
      <w:marBottom w:val="0"/>
      <w:divBdr>
        <w:top w:val="none" w:sz="0" w:space="0" w:color="auto"/>
        <w:left w:val="none" w:sz="0" w:space="0" w:color="auto"/>
        <w:bottom w:val="none" w:sz="0" w:space="0" w:color="auto"/>
        <w:right w:val="none" w:sz="0" w:space="0" w:color="auto"/>
      </w:divBdr>
    </w:div>
    <w:div w:id="1818105838">
      <w:bodyDiv w:val="1"/>
      <w:marLeft w:val="0"/>
      <w:marRight w:val="0"/>
      <w:marTop w:val="0"/>
      <w:marBottom w:val="0"/>
      <w:divBdr>
        <w:top w:val="none" w:sz="0" w:space="0" w:color="auto"/>
        <w:left w:val="none" w:sz="0" w:space="0" w:color="auto"/>
        <w:bottom w:val="none" w:sz="0" w:space="0" w:color="auto"/>
        <w:right w:val="none" w:sz="0" w:space="0" w:color="auto"/>
      </w:divBdr>
    </w:div>
    <w:div w:id="1818179295">
      <w:bodyDiv w:val="1"/>
      <w:marLeft w:val="0"/>
      <w:marRight w:val="0"/>
      <w:marTop w:val="0"/>
      <w:marBottom w:val="0"/>
      <w:divBdr>
        <w:top w:val="none" w:sz="0" w:space="0" w:color="auto"/>
        <w:left w:val="none" w:sz="0" w:space="0" w:color="auto"/>
        <w:bottom w:val="none" w:sz="0" w:space="0" w:color="auto"/>
        <w:right w:val="none" w:sz="0" w:space="0" w:color="auto"/>
      </w:divBdr>
    </w:div>
    <w:div w:id="1818838363">
      <w:bodyDiv w:val="1"/>
      <w:marLeft w:val="0"/>
      <w:marRight w:val="0"/>
      <w:marTop w:val="0"/>
      <w:marBottom w:val="0"/>
      <w:divBdr>
        <w:top w:val="none" w:sz="0" w:space="0" w:color="auto"/>
        <w:left w:val="none" w:sz="0" w:space="0" w:color="auto"/>
        <w:bottom w:val="none" w:sz="0" w:space="0" w:color="auto"/>
        <w:right w:val="none" w:sz="0" w:space="0" w:color="auto"/>
      </w:divBdr>
    </w:div>
    <w:div w:id="1818838367">
      <w:bodyDiv w:val="1"/>
      <w:marLeft w:val="0"/>
      <w:marRight w:val="0"/>
      <w:marTop w:val="0"/>
      <w:marBottom w:val="0"/>
      <w:divBdr>
        <w:top w:val="none" w:sz="0" w:space="0" w:color="auto"/>
        <w:left w:val="none" w:sz="0" w:space="0" w:color="auto"/>
        <w:bottom w:val="none" w:sz="0" w:space="0" w:color="auto"/>
        <w:right w:val="none" w:sz="0" w:space="0" w:color="auto"/>
      </w:divBdr>
    </w:div>
    <w:div w:id="1818909603">
      <w:bodyDiv w:val="1"/>
      <w:marLeft w:val="0"/>
      <w:marRight w:val="0"/>
      <w:marTop w:val="0"/>
      <w:marBottom w:val="0"/>
      <w:divBdr>
        <w:top w:val="none" w:sz="0" w:space="0" w:color="auto"/>
        <w:left w:val="none" w:sz="0" w:space="0" w:color="auto"/>
        <w:bottom w:val="none" w:sz="0" w:space="0" w:color="auto"/>
        <w:right w:val="none" w:sz="0" w:space="0" w:color="auto"/>
      </w:divBdr>
    </w:div>
    <w:div w:id="1818916221">
      <w:bodyDiv w:val="1"/>
      <w:marLeft w:val="0"/>
      <w:marRight w:val="0"/>
      <w:marTop w:val="0"/>
      <w:marBottom w:val="0"/>
      <w:divBdr>
        <w:top w:val="none" w:sz="0" w:space="0" w:color="auto"/>
        <w:left w:val="none" w:sz="0" w:space="0" w:color="auto"/>
        <w:bottom w:val="none" w:sz="0" w:space="0" w:color="auto"/>
        <w:right w:val="none" w:sz="0" w:space="0" w:color="auto"/>
      </w:divBdr>
    </w:div>
    <w:div w:id="1818956610">
      <w:bodyDiv w:val="1"/>
      <w:marLeft w:val="0"/>
      <w:marRight w:val="0"/>
      <w:marTop w:val="0"/>
      <w:marBottom w:val="0"/>
      <w:divBdr>
        <w:top w:val="none" w:sz="0" w:space="0" w:color="auto"/>
        <w:left w:val="none" w:sz="0" w:space="0" w:color="auto"/>
        <w:bottom w:val="none" w:sz="0" w:space="0" w:color="auto"/>
        <w:right w:val="none" w:sz="0" w:space="0" w:color="auto"/>
      </w:divBdr>
    </w:div>
    <w:div w:id="1819031711">
      <w:bodyDiv w:val="1"/>
      <w:marLeft w:val="0"/>
      <w:marRight w:val="0"/>
      <w:marTop w:val="0"/>
      <w:marBottom w:val="0"/>
      <w:divBdr>
        <w:top w:val="none" w:sz="0" w:space="0" w:color="auto"/>
        <w:left w:val="none" w:sz="0" w:space="0" w:color="auto"/>
        <w:bottom w:val="none" w:sz="0" w:space="0" w:color="auto"/>
        <w:right w:val="none" w:sz="0" w:space="0" w:color="auto"/>
      </w:divBdr>
    </w:div>
    <w:div w:id="1819107531">
      <w:bodyDiv w:val="1"/>
      <w:marLeft w:val="0"/>
      <w:marRight w:val="0"/>
      <w:marTop w:val="0"/>
      <w:marBottom w:val="0"/>
      <w:divBdr>
        <w:top w:val="none" w:sz="0" w:space="0" w:color="auto"/>
        <w:left w:val="none" w:sz="0" w:space="0" w:color="auto"/>
        <w:bottom w:val="none" w:sz="0" w:space="0" w:color="auto"/>
        <w:right w:val="none" w:sz="0" w:space="0" w:color="auto"/>
      </w:divBdr>
    </w:div>
    <w:div w:id="1819179914">
      <w:bodyDiv w:val="1"/>
      <w:marLeft w:val="0"/>
      <w:marRight w:val="0"/>
      <w:marTop w:val="0"/>
      <w:marBottom w:val="0"/>
      <w:divBdr>
        <w:top w:val="none" w:sz="0" w:space="0" w:color="auto"/>
        <w:left w:val="none" w:sz="0" w:space="0" w:color="auto"/>
        <w:bottom w:val="none" w:sz="0" w:space="0" w:color="auto"/>
        <w:right w:val="none" w:sz="0" w:space="0" w:color="auto"/>
      </w:divBdr>
    </w:div>
    <w:div w:id="1819180518">
      <w:bodyDiv w:val="1"/>
      <w:marLeft w:val="0"/>
      <w:marRight w:val="0"/>
      <w:marTop w:val="0"/>
      <w:marBottom w:val="0"/>
      <w:divBdr>
        <w:top w:val="none" w:sz="0" w:space="0" w:color="auto"/>
        <w:left w:val="none" w:sz="0" w:space="0" w:color="auto"/>
        <w:bottom w:val="none" w:sz="0" w:space="0" w:color="auto"/>
        <w:right w:val="none" w:sz="0" w:space="0" w:color="auto"/>
      </w:divBdr>
    </w:div>
    <w:div w:id="1819221795">
      <w:bodyDiv w:val="1"/>
      <w:marLeft w:val="0"/>
      <w:marRight w:val="0"/>
      <w:marTop w:val="0"/>
      <w:marBottom w:val="0"/>
      <w:divBdr>
        <w:top w:val="none" w:sz="0" w:space="0" w:color="auto"/>
        <w:left w:val="none" w:sz="0" w:space="0" w:color="auto"/>
        <w:bottom w:val="none" w:sz="0" w:space="0" w:color="auto"/>
        <w:right w:val="none" w:sz="0" w:space="0" w:color="auto"/>
      </w:divBdr>
    </w:div>
    <w:div w:id="1819301345">
      <w:bodyDiv w:val="1"/>
      <w:marLeft w:val="0"/>
      <w:marRight w:val="0"/>
      <w:marTop w:val="0"/>
      <w:marBottom w:val="0"/>
      <w:divBdr>
        <w:top w:val="none" w:sz="0" w:space="0" w:color="auto"/>
        <w:left w:val="none" w:sz="0" w:space="0" w:color="auto"/>
        <w:bottom w:val="none" w:sz="0" w:space="0" w:color="auto"/>
        <w:right w:val="none" w:sz="0" w:space="0" w:color="auto"/>
      </w:divBdr>
    </w:div>
    <w:div w:id="1819303811">
      <w:bodyDiv w:val="1"/>
      <w:marLeft w:val="0"/>
      <w:marRight w:val="0"/>
      <w:marTop w:val="0"/>
      <w:marBottom w:val="0"/>
      <w:divBdr>
        <w:top w:val="none" w:sz="0" w:space="0" w:color="auto"/>
        <w:left w:val="none" w:sz="0" w:space="0" w:color="auto"/>
        <w:bottom w:val="none" w:sz="0" w:space="0" w:color="auto"/>
        <w:right w:val="none" w:sz="0" w:space="0" w:color="auto"/>
      </w:divBdr>
    </w:div>
    <w:div w:id="1819417962">
      <w:bodyDiv w:val="1"/>
      <w:marLeft w:val="0"/>
      <w:marRight w:val="0"/>
      <w:marTop w:val="0"/>
      <w:marBottom w:val="0"/>
      <w:divBdr>
        <w:top w:val="none" w:sz="0" w:space="0" w:color="auto"/>
        <w:left w:val="none" w:sz="0" w:space="0" w:color="auto"/>
        <w:bottom w:val="none" w:sz="0" w:space="0" w:color="auto"/>
        <w:right w:val="none" w:sz="0" w:space="0" w:color="auto"/>
      </w:divBdr>
    </w:div>
    <w:div w:id="1819423499">
      <w:bodyDiv w:val="1"/>
      <w:marLeft w:val="0"/>
      <w:marRight w:val="0"/>
      <w:marTop w:val="0"/>
      <w:marBottom w:val="0"/>
      <w:divBdr>
        <w:top w:val="none" w:sz="0" w:space="0" w:color="auto"/>
        <w:left w:val="none" w:sz="0" w:space="0" w:color="auto"/>
        <w:bottom w:val="none" w:sz="0" w:space="0" w:color="auto"/>
        <w:right w:val="none" w:sz="0" w:space="0" w:color="auto"/>
      </w:divBdr>
    </w:div>
    <w:div w:id="1819572889">
      <w:bodyDiv w:val="1"/>
      <w:marLeft w:val="0"/>
      <w:marRight w:val="0"/>
      <w:marTop w:val="0"/>
      <w:marBottom w:val="0"/>
      <w:divBdr>
        <w:top w:val="none" w:sz="0" w:space="0" w:color="auto"/>
        <w:left w:val="none" w:sz="0" w:space="0" w:color="auto"/>
        <w:bottom w:val="none" w:sz="0" w:space="0" w:color="auto"/>
        <w:right w:val="none" w:sz="0" w:space="0" w:color="auto"/>
      </w:divBdr>
    </w:div>
    <w:div w:id="1819688088">
      <w:bodyDiv w:val="1"/>
      <w:marLeft w:val="0"/>
      <w:marRight w:val="0"/>
      <w:marTop w:val="0"/>
      <w:marBottom w:val="0"/>
      <w:divBdr>
        <w:top w:val="none" w:sz="0" w:space="0" w:color="auto"/>
        <w:left w:val="none" w:sz="0" w:space="0" w:color="auto"/>
        <w:bottom w:val="none" w:sz="0" w:space="0" w:color="auto"/>
        <w:right w:val="none" w:sz="0" w:space="0" w:color="auto"/>
      </w:divBdr>
    </w:div>
    <w:div w:id="1819758785">
      <w:bodyDiv w:val="1"/>
      <w:marLeft w:val="0"/>
      <w:marRight w:val="0"/>
      <w:marTop w:val="0"/>
      <w:marBottom w:val="0"/>
      <w:divBdr>
        <w:top w:val="none" w:sz="0" w:space="0" w:color="auto"/>
        <w:left w:val="none" w:sz="0" w:space="0" w:color="auto"/>
        <w:bottom w:val="none" w:sz="0" w:space="0" w:color="auto"/>
        <w:right w:val="none" w:sz="0" w:space="0" w:color="auto"/>
      </w:divBdr>
    </w:div>
    <w:div w:id="1819759088">
      <w:bodyDiv w:val="1"/>
      <w:marLeft w:val="0"/>
      <w:marRight w:val="0"/>
      <w:marTop w:val="0"/>
      <w:marBottom w:val="0"/>
      <w:divBdr>
        <w:top w:val="none" w:sz="0" w:space="0" w:color="auto"/>
        <w:left w:val="none" w:sz="0" w:space="0" w:color="auto"/>
        <w:bottom w:val="none" w:sz="0" w:space="0" w:color="auto"/>
        <w:right w:val="none" w:sz="0" w:space="0" w:color="auto"/>
      </w:divBdr>
    </w:div>
    <w:div w:id="1819767546">
      <w:bodyDiv w:val="1"/>
      <w:marLeft w:val="0"/>
      <w:marRight w:val="0"/>
      <w:marTop w:val="0"/>
      <w:marBottom w:val="0"/>
      <w:divBdr>
        <w:top w:val="none" w:sz="0" w:space="0" w:color="auto"/>
        <w:left w:val="none" w:sz="0" w:space="0" w:color="auto"/>
        <w:bottom w:val="none" w:sz="0" w:space="0" w:color="auto"/>
        <w:right w:val="none" w:sz="0" w:space="0" w:color="auto"/>
      </w:divBdr>
    </w:div>
    <w:div w:id="1820077316">
      <w:bodyDiv w:val="1"/>
      <w:marLeft w:val="0"/>
      <w:marRight w:val="0"/>
      <w:marTop w:val="0"/>
      <w:marBottom w:val="0"/>
      <w:divBdr>
        <w:top w:val="none" w:sz="0" w:space="0" w:color="auto"/>
        <w:left w:val="none" w:sz="0" w:space="0" w:color="auto"/>
        <w:bottom w:val="none" w:sz="0" w:space="0" w:color="auto"/>
        <w:right w:val="none" w:sz="0" w:space="0" w:color="auto"/>
      </w:divBdr>
    </w:div>
    <w:div w:id="1820344633">
      <w:bodyDiv w:val="1"/>
      <w:marLeft w:val="0"/>
      <w:marRight w:val="0"/>
      <w:marTop w:val="0"/>
      <w:marBottom w:val="0"/>
      <w:divBdr>
        <w:top w:val="none" w:sz="0" w:space="0" w:color="auto"/>
        <w:left w:val="none" w:sz="0" w:space="0" w:color="auto"/>
        <w:bottom w:val="none" w:sz="0" w:space="0" w:color="auto"/>
        <w:right w:val="none" w:sz="0" w:space="0" w:color="auto"/>
      </w:divBdr>
    </w:div>
    <w:div w:id="1820419812">
      <w:bodyDiv w:val="1"/>
      <w:marLeft w:val="0"/>
      <w:marRight w:val="0"/>
      <w:marTop w:val="0"/>
      <w:marBottom w:val="0"/>
      <w:divBdr>
        <w:top w:val="none" w:sz="0" w:space="0" w:color="auto"/>
        <w:left w:val="none" w:sz="0" w:space="0" w:color="auto"/>
        <w:bottom w:val="none" w:sz="0" w:space="0" w:color="auto"/>
        <w:right w:val="none" w:sz="0" w:space="0" w:color="auto"/>
      </w:divBdr>
    </w:div>
    <w:div w:id="1820533014">
      <w:bodyDiv w:val="1"/>
      <w:marLeft w:val="0"/>
      <w:marRight w:val="0"/>
      <w:marTop w:val="0"/>
      <w:marBottom w:val="0"/>
      <w:divBdr>
        <w:top w:val="none" w:sz="0" w:space="0" w:color="auto"/>
        <w:left w:val="none" w:sz="0" w:space="0" w:color="auto"/>
        <w:bottom w:val="none" w:sz="0" w:space="0" w:color="auto"/>
        <w:right w:val="none" w:sz="0" w:space="0" w:color="auto"/>
      </w:divBdr>
    </w:div>
    <w:div w:id="1820540382">
      <w:bodyDiv w:val="1"/>
      <w:marLeft w:val="0"/>
      <w:marRight w:val="0"/>
      <w:marTop w:val="0"/>
      <w:marBottom w:val="0"/>
      <w:divBdr>
        <w:top w:val="none" w:sz="0" w:space="0" w:color="auto"/>
        <w:left w:val="none" w:sz="0" w:space="0" w:color="auto"/>
        <w:bottom w:val="none" w:sz="0" w:space="0" w:color="auto"/>
        <w:right w:val="none" w:sz="0" w:space="0" w:color="auto"/>
      </w:divBdr>
    </w:div>
    <w:div w:id="1820615166">
      <w:bodyDiv w:val="1"/>
      <w:marLeft w:val="0"/>
      <w:marRight w:val="0"/>
      <w:marTop w:val="0"/>
      <w:marBottom w:val="0"/>
      <w:divBdr>
        <w:top w:val="none" w:sz="0" w:space="0" w:color="auto"/>
        <w:left w:val="none" w:sz="0" w:space="0" w:color="auto"/>
        <w:bottom w:val="none" w:sz="0" w:space="0" w:color="auto"/>
        <w:right w:val="none" w:sz="0" w:space="0" w:color="auto"/>
      </w:divBdr>
    </w:div>
    <w:div w:id="1820730416">
      <w:bodyDiv w:val="1"/>
      <w:marLeft w:val="0"/>
      <w:marRight w:val="0"/>
      <w:marTop w:val="0"/>
      <w:marBottom w:val="0"/>
      <w:divBdr>
        <w:top w:val="none" w:sz="0" w:space="0" w:color="auto"/>
        <w:left w:val="none" w:sz="0" w:space="0" w:color="auto"/>
        <w:bottom w:val="none" w:sz="0" w:space="0" w:color="auto"/>
        <w:right w:val="none" w:sz="0" w:space="0" w:color="auto"/>
      </w:divBdr>
    </w:div>
    <w:div w:id="1820999868">
      <w:bodyDiv w:val="1"/>
      <w:marLeft w:val="0"/>
      <w:marRight w:val="0"/>
      <w:marTop w:val="0"/>
      <w:marBottom w:val="0"/>
      <w:divBdr>
        <w:top w:val="none" w:sz="0" w:space="0" w:color="auto"/>
        <w:left w:val="none" w:sz="0" w:space="0" w:color="auto"/>
        <w:bottom w:val="none" w:sz="0" w:space="0" w:color="auto"/>
        <w:right w:val="none" w:sz="0" w:space="0" w:color="auto"/>
      </w:divBdr>
    </w:div>
    <w:div w:id="1821382351">
      <w:bodyDiv w:val="1"/>
      <w:marLeft w:val="0"/>
      <w:marRight w:val="0"/>
      <w:marTop w:val="0"/>
      <w:marBottom w:val="0"/>
      <w:divBdr>
        <w:top w:val="none" w:sz="0" w:space="0" w:color="auto"/>
        <w:left w:val="none" w:sz="0" w:space="0" w:color="auto"/>
        <w:bottom w:val="none" w:sz="0" w:space="0" w:color="auto"/>
        <w:right w:val="none" w:sz="0" w:space="0" w:color="auto"/>
      </w:divBdr>
    </w:div>
    <w:div w:id="1821387747">
      <w:bodyDiv w:val="1"/>
      <w:marLeft w:val="0"/>
      <w:marRight w:val="0"/>
      <w:marTop w:val="0"/>
      <w:marBottom w:val="0"/>
      <w:divBdr>
        <w:top w:val="none" w:sz="0" w:space="0" w:color="auto"/>
        <w:left w:val="none" w:sz="0" w:space="0" w:color="auto"/>
        <w:bottom w:val="none" w:sz="0" w:space="0" w:color="auto"/>
        <w:right w:val="none" w:sz="0" w:space="0" w:color="auto"/>
      </w:divBdr>
    </w:div>
    <w:div w:id="1821532945">
      <w:bodyDiv w:val="1"/>
      <w:marLeft w:val="0"/>
      <w:marRight w:val="0"/>
      <w:marTop w:val="0"/>
      <w:marBottom w:val="0"/>
      <w:divBdr>
        <w:top w:val="none" w:sz="0" w:space="0" w:color="auto"/>
        <w:left w:val="none" w:sz="0" w:space="0" w:color="auto"/>
        <w:bottom w:val="none" w:sz="0" w:space="0" w:color="auto"/>
        <w:right w:val="none" w:sz="0" w:space="0" w:color="auto"/>
      </w:divBdr>
    </w:div>
    <w:div w:id="1821651670">
      <w:bodyDiv w:val="1"/>
      <w:marLeft w:val="0"/>
      <w:marRight w:val="0"/>
      <w:marTop w:val="0"/>
      <w:marBottom w:val="0"/>
      <w:divBdr>
        <w:top w:val="none" w:sz="0" w:space="0" w:color="auto"/>
        <w:left w:val="none" w:sz="0" w:space="0" w:color="auto"/>
        <w:bottom w:val="none" w:sz="0" w:space="0" w:color="auto"/>
        <w:right w:val="none" w:sz="0" w:space="0" w:color="auto"/>
      </w:divBdr>
    </w:div>
    <w:div w:id="1821657867">
      <w:bodyDiv w:val="1"/>
      <w:marLeft w:val="0"/>
      <w:marRight w:val="0"/>
      <w:marTop w:val="0"/>
      <w:marBottom w:val="0"/>
      <w:divBdr>
        <w:top w:val="none" w:sz="0" w:space="0" w:color="auto"/>
        <w:left w:val="none" w:sz="0" w:space="0" w:color="auto"/>
        <w:bottom w:val="none" w:sz="0" w:space="0" w:color="auto"/>
        <w:right w:val="none" w:sz="0" w:space="0" w:color="auto"/>
      </w:divBdr>
    </w:div>
    <w:div w:id="1821800387">
      <w:bodyDiv w:val="1"/>
      <w:marLeft w:val="0"/>
      <w:marRight w:val="0"/>
      <w:marTop w:val="0"/>
      <w:marBottom w:val="0"/>
      <w:divBdr>
        <w:top w:val="none" w:sz="0" w:space="0" w:color="auto"/>
        <w:left w:val="none" w:sz="0" w:space="0" w:color="auto"/>
        <w:bottom w:val="none" w:sz="0" w:space="0" w:color="auto"/>
        <w:right w:val="none" w:sz="0" w:space="0" w:color="auto"/>
      </w:divBdr>
    </w:div>
    <w:div w:id="1821850490">
      <w:bodyDiv w:val="1"/>
      <w:marLeft w:val="0"/>
      <w:marRight w:val="0"/>
      <w:marTop w:val="0"/>
      <w:marBottom w:val="0"/>
      <w:divBdr>
        <w:top w:val="none" w:sz="0" w:space="0" w:color="auto"/>
        <w:left w:val="none" w:sz="0" w:space="0" w:color="auto"/>
        <w:bottom w:val="none" w:sz="0" w:space="0" w:color="auto"/>
        <w:right w:val="none" w:sz="0" w:space="0" w:color="auto"/>
      </w:divBdr>
    </w:div>
    <w:div w:id="1821918186">
      <w:bodyDiv w:val="1"/>
      <w:marLeft w:val="0"/>
      <w:marRight w:val="0"/>
      <w:marTop w:val="0"/>
      <w:marBottom w:val="0"/>
      <w:divBdr>
        <w:top w:val="none" w:sz="0" w:space="0" w:color="auto"/>
        <w:left w:val="none" w:sz="0" w:space="0" w:color="auto"/>
        <w:bottom w:val="none" w:sz="0" w:space="0" w:color="auto"/>
        <w:right w:val="none" w:sz="0" w:space="0" w:color="auto"/>
      </w:divBdr>
    </w:div>
    <w:div w:id="1822034863">
      <w:bodyDiv w:val="1"/>
      <w:marLeft w:val="0"/>
      <w:marRight w:val="0"/>
      <w:marTop w:val="0"/>
      <w:marBottom w:val="0"/>
      <w:divBdr>
        <w:top w:val="none" w:sz="0" w:space="0" w:color="auto"/>
        <w:left w:val="none" w:sz="0" w:space="0" w:color="auto"/>
        <w:bottom w:val="none" w:sz="0" w:space="0" w:color="auto"/>
        <w:right w:val="none" w:sz="0" w:space="0" w:color="auto"/>
      </w:divBdr>
    </w:div>
    <w:div w:id="1822118034">
      <w:bodyDiv w:val="1"/>
      <w:marLeft w:val="0"/>
      <w:marRight w:val="0"/>
      <w:marTop w:val="0"/>
      <w:marBottom w:val="0"/>
      <w:divBdr>
        <w:top w:val="none" w:sz="0" w:space="0" w:color="auto"/>
        <w:left w:val="none" w:sz="0" w:space="0" w:color="auto"/>
        <w:bottom w:val="none" w:sz="0" w:space="0" w:color="auto"/>
        <w:right w:val="none" w:sz="0" w:space="0" w:color="auto"/>
      </w:divBdr>
    </w:div>
    <w:div w:id="1822428002">
      <w:bodyDiv w:val="1"/>
      <w:marLeft w:val="0"/>
      <w:marRight w:val="0"/>
      <w:marTop w:val="0"/>
      <w:marBottom w:val="0"/>
      <w:divBdr>
        <w:top w:val="none" w:sz="0" w:space="0" w:color="auto"/>
        <w:left w:val="none" w:sz="0" w:space="0" w:color="auto"/>
        <w:bottom w:val="none" w:sz="0" w:space="0" w:color="auto"/>
        <w:right w:val="none" w:sz="0" w:space="0" w:color="auto"/>
      </w:divBdr>
    </w:div>
    <w:div w:id="1822773352">
      <w:bodyDiv w:val="1"/>
      <w:marLeft w:val="0"/>
      <w:marRight w:val="0"/>
      <w:marTop w:val="0"/>
      <w:marBottom w:val="0"/>
      <w:divBdr>
        <w:top w:val="none" w:sz="0" w:space="0" w:color="auto"/>
        <w:left w:val="none" w:sz="0" w:space="0" w:color="auto"/>
        <w:bottom w:val="none" w:sz="0" w:space="0" w:color="auto"/>
        <w:right w:val="none" w:sz="0" w:space="0" w:color="auto"/>
      </w:divBdr>
    </w:div>
    <w:div w:id="1822885854">
      <w:bodyDiv w:val="1"/>
      <w:marLeft w:val="0"/>
      <w:marRight w:val="0"/>
      <w:marTop w:val="0"/>
      <w:marBottom w:val="0"/>
      <w:divBdr>
        <w:top w:val="none" w:sz="0" w:space="0" w:color="auto"/>
        <w:left w:val="none" w:sz="0" w:space="0" w:color="auto"/>
        <w:bottom w:val="none" w:sz="0" w:space="0" w:color="auto"/>
        <w:right w:val="none" w:sz="0" w:space="0" w:color="auto"/>
      </w:divBdr>
    </w:div>
    <w:div w:id="1822959085">
      <w:bodyDiv w:val="1"/>
      <w:marLeft w:val="0"/>
      <w:marRight w:val="0"/>
      <w:marTop w:val="0"/>
      <w:marBottom w:val="0"/>
      <w:divBdr>
        <w:top w:val="none" w:sz="0" w:space="0" w:color="auto"/>
        <w:left w:val="none" w:sz="0" w:space="0" w:color="auto"/>
        <w:bottom w:val="none" w:sz="0" w:space="0" w:color="auto"/>
        <w:right w:val="none" w:sz="0" w:space="0" w:color="auto"/>
      </w:divBdr>
    </w:div>
    <w:div w:id="1822960480">
      <w:bodyDiv w:val="1"/>
      <w:marLeft w:val="0"/>
      <w:marRight w:val="0"/>
      <w:marTop w:val="0"/>
      <w:marBottom w:val="0"/>
      <w:divBdr>
        <w:top w:val="none" w:sz="0" w:space="0" w:color="auto"/>
        <w:left w:val="none" w:sz="0" w:space="0" w:color="auto"/>
        <w:bottom w:val="none" w:sz="0" w:space="0" w:color="auto"/>
        <w:right w:val="none" w:sz="0" w:space="0" w:color="auto"/>
      </w:divBdr>
    </w:div>
    <w:div w:id="1823083639">
      <w:bodyDiv w:val="1"/>
      <w:marLeft w:val="0"/>
      <w:marRight w:val="0"/>
      <w:marTop w:val="0"/>
      <w:marBottom w:val="0"/>
      <w:divBdr>
        <w:top w:val="none" w:sz="0" w:space="0" w:color="auto"/>
        <w:left w:val="none" w:sz="0" w:space="0" w:color="auto"/>
        <w:bottom w:val="none" w:sz="0" w:space="0" w:color="auto"/>
        <w:right w:val="none" w:sz="0" w:space="0" w:color="auto"/>
      </w:divBdr>
    </w:div>
    <w:div w:id="1823109995">
      <w:bodyDiv w:val="1"/>
      <w:marLeft w:val="0"/>
      <w:marRight w:val="0"/>
      <w:marTop w:val="0"/>
      <w:marBottom w:val="0"/>
      <w:divBdr>
        <w:top w:val="none" w:sz="0" w:space="0" w:color="auto"/>
        <w:left w:val="none" w:sz="0" w:space="0" w:color="auto"/>
        <w:bottom w:val="none" w:sz="0" w:space="0" w:color="auto"/>
        <w:right w:val="none" w:sz="0" w:space="0" w:color="auto"/>
      </w:divBdr>
    </w:div>
    <w:div w:id="1823227431">
      <w:bodyDiv w:val="1"/>
      <w:marLeft w:val="0"/>
      <w:marRight w:val="0"/>
      <w:marTop w:val="0"/>
      <w:marBottom w:val="0"/>
      <w:divBdr>
        <w:top w:val="none" w:sz="0" w:space="0" w:color="auto"/>
        <w:left w:val="none" w:sz="0" w:space="0" w:color="auto"/>
        <w:bottom w:val="none" w:sz="0" w:space="0" w:color="auto"/>
        <w:right w:val="none" w:sz="0" w:space="0" w:color="auto"/>
      </w:divBdr>
    </w:div>
    <w:div w:id="1823350452">
      <w:bodyDiv w:val="1"/>
      <w:marLeft w:val="0"/>
      <w:marRight w:val="0"/>
      <w:marTop w:val="0"/>
      <w:marBottom w:val="0"/>
      <w:divBdr>
        <w:top w:val="none" w:sz="0" w:space="0" w:color="auto"/>
        <w:left w:val="none" w:sz="0" w:space="0" w:color="auto"/>
        <w:bottom w:val="none" w:sz="0" w:space="0" w:color="auto"/>
        <w:right w:val="none" w:sz="0" w:space="0" w:color="auto"/>
      </w:divBdr>
    </w:div>
    <w:div w:id="1823497825">
      <w:bodyDiv w:val="1"/>
      <w:marLeft w:val="0"/>
      <w:marRight w:val="0"/>
      <w:marTop w:val="0"/>
      <w:marBottom w:val="0"/>
      <w:divBdr>
        <w:top w:val="none" w:sz="0" w:space="0" w:color="auto"/>
        <w:left w:val="none" w:sz="0" w:space="0" w:color="auto"/>
        <w:bottom w:val="none" w:sz="0" w:space="0" w:color="auto"/>
        <w:right w:val="none" w:sz="0" w:space="0" w:color="auto"/>
      </w:divBdr>
    </w:div>
    <w:div w:id="1823765823">
      <w:bodyDiv w:val="1"/>
      <w:marLeft w:val="0"/>
      <w:marRight w:val="0"/>
      <w:marTop w:val="0"/>
      <w:marBottom w:val="0"/>
      <w:divBdr>
        <w:top w:val="none" w:sz="0" w:space="0" w:color="auto"/>
        <w:left w:val="none" w:sz="0" w:space="0" w:color="auto"/>
        <w:bottom w:val="none" w:sz="0" w:space="0" w:color="auto"/>
        <w:right w:val="none" w:sz="0" w:space="0" w:color="auto"/>
      </w:divBdr>
    </w:div>
    <w:div w:id="1823883080">
      <w:bodyDiv w:val="1"/>
      <w:marLeft w:val="0"/>
      <w:marRight w:val="0"/>
      <w:marTop w:val="0"/>
      <w:marBottom w:val="0"/>
      <w:divBdr>
        <w:top w:val="none" w:sz="0" w:space="0" w:color="auto"/>
        <w:left w:val="none" w:sz="0" w:space="0" w:color="auto"/>
        <w:bottom w:val="none" w:sz="0" w:space="0" w:color="auto"/>
        <w:right w:val="none" w:sz="0" w:space="0" w:color="auto"/>
      </w:divBdr>
    </w:div>
    <w:div w:id="1823889133">
      <w:bodyDiv w:val="1"/>
      <w:marLeft w:val="0"/>
      <w:marRight w:val="0"/>
      <w:marTop w:val="0"/>
      <w:marBottom w:val="0"/>
      <w:divBdr>
        <w:top w:val="none" w:sz="0" w:space="0" w:color="auto"/>
        <w:left w:val="none" w:sz="0" w:space="0" w:color="auto"/>
        <w:bottom w:val="none" w:sz="0" w:space="0" w:color="auto"/>
        <w:right w:val="none" w:sz="0" w:space="0" w:color="auto"/>
      </w:divBdr>
    </w:div>
    <w:div w:id="1823963887">
      <w:bodyDiv w:val="1"/>
      <w:marLeft w:val="0"/>
      <w:marRight w:val="0"/>
      <w:marTop w:val="0"/>
      <w:marBottom w:val="0"/>
      <w:divBdr>
        <w:top w:val="none" w:sz="0" w:space="0" w:color="auto"/>
        <w:left w:val="none" w:sz="0" w:space="0" w:color="auto"/>
        <w:bottom w:val="none" w:sz="0" w:space="0" w:color="auto"/>
        <w:right w:val="none" w:sz="0" w:space="0" w:color="auto"/>
      </w:divBdr>
    </w:div>
    <w:div w:id="1824005871">
      <w:bodyDiv w:val="1"/>
      <w:marLeft w:val="0"/>
      <w:marRight w:val="0"/>
      <w:marTop w:val="0"/>
      <w:marBottom w:val="0"/>
      <w:divBdr>
        <w:top w:val="none" w:sz="0" w:space="0" w:color="auto"/>
        <w:left w:val="none" w:sz="0" w:space="0" w:color="auto"/>
        <w:bottom w:val="none" w:sz="0" w:space="0" w:color="auto"/>
        <w:right w:val="none" w:sz="0" w:space="0" w:color="auto"/>
      </w:divBdr>
    </w:div>
    <w:div w:id="1824194666">
      <w:bodyDiv w:val="1"/>
      <w:marLeft w:val="0"/>
      <w:marRight w:val="0"/>
      <w:marTop w:val="0"/>
      <w:marBottom w:val="0"/>
      <w:divBdr>
        <w:top w:val="none" w:sz="0" w:space="0" w:color="auto"/>
        <w:left w:val="none" w:sz="0" w:space="0" w:color="auto"/>
        <w:bottom w:val="none" w:sz="0" w:space="0" w:color="auto"/>
        <w:right w:val="none" w:sz="0" w:space="0" w:color="auto"/>
      </w:divBdr>
    </w:div>
    <w:div w:id="1824347253">
      <w:bodyDiv w:val="1"/>
      <w:marLeft w:val="0"/>
      <w:marRight w:val="0"/>
      <w:marTop w:val="0"/>
      <w:marBottom w:val="0"/>
      <w:divBdr>
        <w:top w:val="none" w:sz="0" w:space="0" w:color="auto"/>
        <w:left w:val="none" w:sz="0" w:space="0" w:color="auto"/>
        <w:bottom w:val="none" w:sz="0" w:space="0" w:color="auto"/>
        <w:right w:val="none" w:sz="0" w:space="0" w:color="auto"/>
      </w:divBdr>
    </w:div>
    <w:div w:id="1824351933">
      <w:bodyDiv w:val="1"/>
      <w:marLeft w:val="0"/>
      <w:marRight w:val="0"/>
      <w:marTop w:val="0"/>
      <w:marBottom w:val="0"/>
      <w:divBdr>
        <w:top w:val="none" w:sz="0" w:space="0" w:color="auto"/>
        <w:left w:val="none" w:sz="0" w:space="0" w:color="auto"/>
        <w:bottom w:val="none" w:sz="0" w:space="0" w:color="auto"/>
        <w:right w:val="none" w:sz="0" w:space="0" w:color="auto"/>
      </w:divBdr>
    </w:div>
    <w:div w:id="1824469527">
      <w:bodyDiv w:val="1"/>
      <w:marLeft w:val="0"/>
      <w:marRight w:val="0"/>
      <w:marTop w:val="0"/>
      <w:marBottom w:val="0"/>
      <w:divBdr>
        <w:top w:val="none" w:sz="0" w:space="0" w:color="auto"/>
        <w:left w:val="none" w:sz="0" w:space="0" w:color="auto"/>
        <w:bottom w:val="none" w:sz="0" w:space="0" w:color="auto"/>
        <w:right w:val="none" w:sz="0" w:space="0" w:color="auto"/>
      </w:divBdr>
    </w:div>
    <w:div w:id="1824662505">
      <w:bodyDiv w:val="1"/>
      <w:marLeft w:val="0"/>
      <w:marRight w:val="0"/>
      <w:marTop w:val="0"/>
      <w:marBottom w:val="0"/>
      <w:divBdr>
        <w:top w:val="none" w:sz="0" w:space="0" w:color="auto"/>
        <w:left w:val="none" w:sz="0" w:space="0" w:color="auto"/>
        <w:bottom w:val="none" w:sz="0" w:space="0" w:color="auto"/>
        <w:right w:val="none" w:sz="0" w:space="0" w:color="auto"/>
      </w:divBdr>
    </w:div>
    <w:div w:id="1824740070">
      <w:bodyDiv w:val="1"/>
      <w:marLeft w:val="0"/>
      <w:marRight w:val="0"/>
      <w:marTop w:val="0"/>
      <w:marBottom w:val="0"/>
      <w:divBdr>
        <w:top w:val="none" w:sz="0" w:space="0" w:color="auto"/>
        <w:left w:val="none" w:sz="0" w:space="0" w:color="auto"/>
        <w:bottom w:val="none" w:sz="0" w:space="0" w:color="auto"/>
        <w:right w:val="none" w:sz="0" w:space="0" w:color="auto"/>
      </w:divBdr>
    </w:div>
    <w:div w:id="1825002185">
      <w:bodyDiv w:val="1"/>
      <w:marLeft w:val="0"/>
      <w:marRight w:val="0"/>
      <w:marTop w:val="0"/>
      <w:marBottom w:val="0"/>
      <w:divBdr>
        <w:top w:val="none" w:sz="0" w:space="0" w:color="auto"/>
        <w:left w:val="none" w:sz="0" w:space="0" w:color="auto"/>
        <w:bottom w:val="none" w:sz="0" w:space="0" w:color="auto"/>
        <w:right w:val="none" w:sz="0" w:space="0" w:color="auto"/>
      </w:divBdr>
    </w:div>
    <w:div w:id="1825119996">
      <w:bodyDiv w:val="1"/>
      <w:marLeft w:val="0"/>
      <w:marRight w:val="0"/>
      <w:marTop w:val="0"/>
      <w:marBottom w:val="0"/>
      <w:divBdr>
        <w:top w:val="none" w:sz="0" w:space="0" w:color="auto"/>
        <w:left w:val="none" w:sz="0" w:space="0" w:color="auto"/>
        <w:bottom w:val="none" w:sz="0" w:space="0" w:color="auto"/>
        <w:right w:val="none" w:sz="0" w:space="0" w:color="auto"/>
      </w:divBdr>
    </w:div>
    <w:div w:id="1825394877">
      <w:bodyDiv w:val="1"/>
      <w:marLeft w:val="0"/>
      <w:marRight w:val="0"/>
      <w:marTop w:val="0"/>
      <w:marBottom w:val="0"/>
      <w:divBdr>
        <w:top w:val="none" w:sz="0" w:space="0" w:color="auto"/>
        <w:left w:val="none" w:sz="0" w:space="0" w:color="auto"/>
        <w:bottom w:val="none" w:sz="0" w:space="0" w:color="auto"/>
        <w:right w:val="none" w:sz="0" w:space="0" w:color="auto"/>
      </w:divBdr>
    </w:div>
    <w:div w:id="1825663026">
      <w:bodyDiv w:val="1"/>
      <w:marLeft w:val="0"/>
      <w:marRight w:val="0"/>
      <w:marTop w:val="0"/>
      <w:marBottom w:val="0"/>
      <w:divBdr>
        <w:top w:val="none" w:sz="0" w:space="0" w:color="auto"/>
        <w:left w:val="none" w:sz="0" w:space="0" w:color="auto"/>
        <w:bottom w:val="none" w:sz="0" w:space="0" w:color="auto"/>
        <w:right w:val="none" w:sz="0" w:space="0" w:color="auto"/>
      </w:divBdr>
    </w:div>
    <w:div w:id="1826120751">
      <w:bodyDiv w:val="1"/>
      <w:marLeft w:val="0"/>
      <w:marRight w:val="0"/>
      <w:marTop w:val="0"/>
      <w:marBottom w:val="0"/>
      <w:divBdr>
        <w:top w:val="none" w:sz="0" w:space="0" w:color="auto"/>
        <w:left w:val="none" w:sz="0" w:space="0" w:color="auto"/>
        <w:bottom w:val="none" w:sz="0" w:space="0" w:color="auto"/>
        <w:right w:val="none" w:sz="0" w:space="0" w:color="auto"/>
      </w:divBdr>
    </w:div>
    <w:div w:id="1826387601">
      <w:bodyDiv w:val="1"/>
      <w:marLeft w:val="0"/>
      <w:marRight w:val="0"/>
      <w:marTop w:val="0"/>
      <w:marBottom w:val="0"/>
      <w:divBdr>
        <w:top w:val="none" w:sz="0" w:space="0" w:color="auto"/>
        <w:left w:val="none" w:sz="0" w:space="0" w:color="auto"/>
        <w:bottom w:val="none" w:sz="0" w:space="0" w:color="auto"/>
        <w:right w:val="none" w:sz="0" w:space="0" w:color="auto"/>
      </w:divBdr>
    </w:div>
    <w:div w:id="1826507519">
      <w:bodyDiv w:val="1"/>
      <w:marLeft w:val="0"/>
      <w:marRight w:val="0"/>
      <w:marTop w:val="0"/>
      <w:marBottom w:val="0"/>
      <w:divBdr>
        <w:top w:val="none" w:sz="0" w:space="0" w:color="auto"/>
        <w:left w:val="none" w:sz="0" w:space="0" w:color="auto"/>
        <w:bottom w:val="none" w:sz="0" w:space="0" w:color="auto"/>
        <w:right w:val="none" w:sz="0" w:space="0" w:color="auto"/>
      </w:divBdr>
    </w:div>
    <w:div w:id="1826630468">
      <w:bodyDiv w:val="1"/>
      <w:marLeft w:val="0"/>
      <w:marRight w:val="0"/>
      <w:marTop w:val="0"/>
      <w:marBottom w:val="0"/>
      <w:divBdr>
        <w:top w:val="none" w:sz="0" w:space="0" w:color="auto"/>
        <w:left w:val="none" w:sz="0" w:space="0" w:color="auto"/>
        <w:bottom w:val="none" w:sz="0" w:space="0" w:color="auto"/>
        <w:right w:val="none" w:sz="0" w:space="0" w:color="auto"/>
      </w:divBdr>
    </w:div>
    <w:div w:id="1826822573">
      <w:bodyDiv w:val="1"/>
      <w:marLeft w:val="0"/>
      <w:marRight w:val="0"/>
      <w:marTop w:val="0"/>
      <w:marBottom w:val="0"/>
      <w:divBdr>
        <w:top w:val="none" w:sz="0" w:space="0" w:color="auto"/>
        <w:left w:val="none" w:sz="0" w:space="0" w:color="auto"/>
        <w:bottom w:val="none" w:sz="0" w:space="0" w:color="auto"/>
        <w:right w:val="none" w:sz="0" w:space="0" w:color="auto"/>
      </w:divBdr>
    </w:div>
    <w:div w:id="1826822907">
      <w:bodyDiv w:val="1"/>
      <w:marLeft w:val="0"/>
      <w:marRight w:val="0"/>
      <w:marTop w:val="0"/>
      <w:marBottom w:val="0"/>
      <w:divBdr>
        <w:top w:val="none" w:sz="0" w:space="0" w:color="auto"/>
        <w:left w:val="none" w:sz="0" w:space="0" w:color="auto"/>
        <w:bottom w:val="none" w:sz="0" w:space="0" w:color="auto"/>
        <w:right w:val="none" w:sz="0" w:space="0" w:color="auto"/>
      </w:divBdr>
    </w:div>
    <w:div w:id="1827084452">
      <w:bodyDiv w:val="1"/>
      <w:marLeft w:val="0"/>
      <w:marRight w:val="0"/>
      <w:marTop w:val="0"/>
      <w:marBottom w:val="0"/>
      <w:divBdr>
        <w:top w:val="none" w:sz="0" w:space="0" w:color="auto"/>
        <w:left w:val="none" w:sz="0" w:space="0" w:color="auto"/>
        <w:bottom w:val="none" w:sz="0" w:space="0" w:color="auto"/>
        <w:right w:val="none" w:sz="0" w:space="0" w:color="auto"/>
      </w:divBdr>
    </w:div>
    <w:div w:id="1827161432">
      <w:bodyDiv w:val="1"/>
      <w:marLeft w:val="0"/>
      <w:marRight w:val="0"/>
      <w:marTop w:val="0"/>
      <w:marBottom w:val="0"/>
      <w:divBdr>
        <w:top w:val="none" w:sz="0" w:space="0" w:color="auto"/>
        <w:left w:val="none" w:sz="0" w:space="0" w:color="auto"/>
        <w:bottom w:val="none" w:sz="0" w:space="0" w:color="auto"/>
        <w:right w:val="none" w:sz="0" w:space="0" w:color="auto"/>
      </w:divBdr>
    </w:div>
    <w:div w:id="1827163758">
      <w:bodyDiv w:val="1"/>
      <w:marLeft w:val="0"/>
      <w:marRight w:val="0"/>
      <w:marTop w:val="0"/>
      <w:marBottom w:val="0"/>
      <w:divBdr>
        <w:top w:val="none" w:sz="0" w:space="0" w:color="auto"/>
        <w:left w:val="none" w:sz="0" w:space="0" w:color="auto"/>
        <w:bottom w:val="none" w:sz="0" w:space="0" w:color="auto"/>
        <w:right w:val="none" w:sz="0" w:space="0" w:color="auto"/>
      </w:divBdr>
    </w:div>
    <w:div w:id="1827626066">
      <w:bodyDiv w:val="1"/>
      <w:marLeft w:val="0"/>
      <w:marRight w:val="0"/>
      <w:marTop w:val="0"/>
      <w:marBottom w:val="0"/>
      <w:divBdr>
        <w:top w:val="none" w:sz="0" w:space="0" w:color="auto"/>
        <w:left w:val="none" w:sz="0" w:space="0" w:color="auto"/>
        <w:bottom w:val="none" w:sz="0" w:space="0" w:color="auto"/>
        <w:right w:val="none" w:sz="0" w:space="0" w:color="auto"/>
      </w:divBdr>
    </w:div>
    <w:div w:id="1827823415">
      <w:bodyDiv w:val="1"/>
      <w:marLeft w:val="0"/>
      <w:marRight w:val="0"/>
      <w:marTop w:val="0"/>
      <w:marBottom w:val="0"/>
      <w:divBdr>
        <w:top w:val="none" w:sz="0" w:space="0" w:color="auto"/>
        <w:left w:val="none" w:sz="0" w:space="0" w:color="auto"/>
        <w:bottom w:val="none" w:sz="0" w:space="0" w:color="auto"/>
        <w:right w:val="none" w:sz="0" w:space="0" w:color="auto"/>
      </w:divBdr>
    </w:div>
    <w:div w:id="1828089339">
      <w:bodyDiv w:val="1"/>
      <w:marLeft w:val="0"/>
      <w:marRight w:val="0"/>
      <w:marTop w:val="0"/>
      <w:marBottom w:val="0"/>
      <w:divBdr>
        <w:top w:val="none" w:sz="0" w:space="0" w:color="auto"/>
        <w:left w:val="none" w:sz="0" w:space="0" w:color="auto"/>
        <w:bottom w:val="none" w:sz="0" w:space="0" w:color="auto"/>
        <w:right w:val="none" w:sz="0" w:space="0" w:color="auto"/>
      </w:divBdr>
    </w:div>
    <w:div w:id="1828133204">
      <w:bodyDiv w:val="1"/>
      <w:marLeft w:val="0"/>
      <w:marRight w:val="0"/>
      <w:marTop w:val="0"/>
      <w:marBottom w:val="0"/>
      <w:divBdr>
        <w:top w:val="none" w:sz="0" w:space="0" w:color="auto"/>
        <w:left w:val="none" w:sz="0" w:space="0" w:color="auto"/>
        <w:bottom w:val="none" w:sz="0" w:space="0" w:color="auto"/>
        <w:right w:val="none" w:sz="0" w:space="0" w:color="auto"/>
      </w:divBdr>
    </w:div>
    <w:div w:id="1828207703">
      <w:bodyDiv w:val="1"/>
      <w:marLeft w:val="0"/>
      <w:marRight w:val="0"/>
      <w:marTop w:val="0"/>
      <w:marBottom w:val="0"/>
      <w:divBdr>
        <w:top w:val="none" w:sz="0" w:space="0" w:color="auto"/>
        <w:left w:val="none" w:sz="0" w:space="0" w:color="auto"/>
        <w:bottom w:val="none" w:sz="0" w:space="0" w:color="auto"/>
        <w:right w:val="none" w:sz="0" w:space="0" w:color="auto"/>
      </w:divBdr>
    </w:div>
    <w:div w:id="1828209209">
      <w:bodyDiv w:val="1"/>
      <w:marLeft w:val="0"/>
      <w:marRight w:val="0"/>
      <w:marTop w:val="0"/>
      <w:marBottom w:val="0"/>
      <w:divBdr>
        <w:top w:val="none" w:sz="0" w:space="0" w:color="auto"/>
        <w:left w:val="none" w:sz="0" w:space="0" w:color="auto"/>
        <w:bottom w:val="none" w:sz="0" w:space="0" w:color="auto"/>
        <w:right w:val="none" w:sz="0" w:space="0" w:color="auto"/>
      </w:divBdr>
    </w:div>
    <w:div w:id="1828209748">
      <w:bodyDiv w:val="1"/>
      <w:marLeft w:val="0"/>
      <w:marRight w:val="0"/>
      <w:marTop w:val="0"/>
      <w:marBottom w:val="0"/>
      <w:divBdr>
        <w:top w:val="none" w:sz="0" w:space="0" w:color="auto"/>
        <w:left w:val="none" w:sz="0" w:space="0" w:color="auto"/>
        <w:bottom w:val="none" w:sz="0" w:space="0" w:color="auto"/>
        <w:right w:val="none" w:sz="0" w:space="0" w:color="auto"/>
      </w:divBdr>
    </w:div>
    <w:div w:id="1828741153">
      <w:bodyDiv w:val="1"/>
      <w:marLeft w:val="0"/>
      <w:marRight w:val="0"/>
      <w:marTop w:val="0"/>
      <w:marBottom w:val="0"/>
      <w:divBdr>
        <w:top w:val="none" w:sz="0" w:space="0" w:color="auto"/>
        <w:left w:val="none" w:sz="0" w:space="0" w:color="auto"/>
        <w:bottom w:val="none" w:sz="0" w:space="0" w:color="auto"/>
        <w:right w:val="none" w:sz="0" w:space="0" w:color="auto"/>
      </w:divBdr>
    </w:div>
    <w:div w:id="1828745296">
      <w:bodyDiv w:val="1"/>
      <w:marLeft w:val="0"/>
      <w:marRight w:val="0"/>
      <w:marTop w:val="0"/>
      <w:marBottom w:val="0"/>
      <w:divBdr>
        <w:top w:val="none" w:sz="0" w:space="0" w:color="auto"/>
        <w:left w:val="none" w:sz="0" w:space="0" w:color="auto"/>
        <w:bottom w:val="none" w:sz="0" w:space="0" w:color="auto"/>
        <w:right w:val="none" w:sz="0" w:space="0" w:color="auto"/>
      </w:divBdr>
    </w:div>
    <w:div w:id="1828746353">
      <w:bodyDiv w:val="1"/>
      <w:marLeft w:val="0"/>
      <w:marRight w:val="0"/>
      <w:marTop w:val="0"/>
      <w:marBottom w:val="0"/>
      <w:divBdr>
        <w:top w:val="none" w:sz="0" w:space="0" w:color="auto"/>
        <w:left w:val="none" w:sz="0" w:space="0" w:color="auto"/>
        <w:bottom w:val="none" w:sz="0" w:space="0" w:color="auto"/>
        <w:right w:val="none" w:sz="0" w:space="0" w:color="auto"/>
      </w:divBdr>
    </w:div>
    <w:div w:id="1829128480">
      <w:bodyDiv w:val="1"/>
      <w:marLeft w:val="0"/>
      <w:marRight w:val="0"/>
      <w:marTop w:val="0"/>
      <w:marBottom w:val="0"/>
      <w:divBdr>
        <w:top w:val="none" w:sz="0" w:space="0" w:color="auto"/>
        <w:left w:val="none" w:sz="0" w:space="0" w:color="auto"/>
        <w:bottom w:val="none" w:sz="0" w:space="0" w:color="auto"/>
        <w:right w:val="none" w:sz="0" w:space="0" w:color="auto"/>
      </w:divBdr>
    </w:div>
    <w:div w:id="1829175794">
      <w:bodyDiv w:val="1"/>
      <w:marLeft w:val="0"/>
      <w:marRight w:val="0"/>
      <w:marTop w:val="0"/>
      <w:marBottom w:val="0"/>
      <w:divBdr>
        <w:top w:val="none" w:sz="0" w:space="0" w:color="auto"/>
        <w:left w:val="none" w:sz="0" w:space="0" w:color="auto"/>
        <w:bottom w:val="none" w:sz="0" w:space="0" w:color="auto"/>
        <w:right w:val="none" w:sz="0" w:space="0" w:color="auto"/>
      </w:divBdr>
    </w:div>
    <w:div w:id="1829326725">
      <w:bodyDiv w:val="1"/>
      <w:marLeft w:val="0"/>
      <w:marRight w:val="0"/>
      <w:marTop w:val="0"/>
      <w:marBottom w:val="0"/>
      <w:divBdr>
        <w:top w:val="none" w:sz="0" w:space="0" w:color="auto"/>
        <w:left w:val="none" w:sz="0" w:space="0" w:color="auto"/>
        <w:bottom w:val="none" w:sz="0" w:space="0" w:color="auto"/>
        <w:right w:val="none" w:sz="0" w:space="0" w:color="auto"/>
      </w:divBdr>
    </w:div>
    <w:div w:id="1829395482">
      <w:bodyDiv w:val="1"/>
      <w:marLeft w:val="0"/>
      <w:marRight w:val="0"/>
      <w:marTop w:val="0"/>
      <w:marBottom w:val="0"/>
      <w:divBdr>
        <w:top w:val="none" w:sz="0" w:space="0" w:color="auto"/>
        <w:left w:val="none" w:sz="0" w:space="0" w:color="auto"/>
        <w:bottom w:val="none" w:sz="0" w:space="0" w:color="auto"/>
        <w:right w:val="none" w:sz="0" w:space="0" w:color="auto"/>
      </w:divBdr>
    </w:div>
    <w:div w:id="1829514235">
      <w:bodyDiv w:val="1"/>
      <w:marLeft w:val="0"/>
      <w:marRight w:val="0"/>
      <w:marTop w:val="0"/>
      <w:marBottom w:val="0"/>
      <w:divBdr>
        <w:top w:val="none" w:sz="0" w:space="0" w:color="auto"/>
        <w:left w:val="none" w:sz="0" w:space="0" w:color="auto"/>
        <w:bottom w:val="none" w:sz="0" w:space="0" w:color="auto"/>
        <w:right w:val="none" w:sz="0" w:space="0" w:color="auto"/>
      </w:divBdr>
    </w:div>
    <w:div w:id="1829709177">
      <w:bodyDiv w:val="1"/>
      <w:marLeft w:val="0"/>
      <w:marRight w:val="0"/>
      <w:marTop w:val="0"/>
      <w:marBottom w:val="0"/>
      <w:divBdr>
        <w:top w:val="none" w:sz="0" w:space="0" w:color="auto"/>
        <w:left w:val="none" w:sz="0" w:space="0" w:color="auto"/>
        <w:bottom w:val="none" w:sz="0" w:space="0" w:color="auto"/>
        <w:right w:val="none" w:sz="0" w:space="0" w:color="auto"/>
      </w:divBdr>
    </w:div>
    <w:div w:id="1829856157">
      <w:bodyDiv w:val="1"/>
      <w:marLeft w:val="0"/>
      <w:marRight w:val="0"/>
      <w:marTop w:val="0"/>
      <w:marBottom w:val="0"/>
      <w:divBdr>
        <w:top w:val="none" w:sz="0" w:space="0" w:color="auto"/>
        <w:left w:val="none" w:sz="0" w:space="0" w:color="auto"/>
        <w:bottom w:val="none" w:sz="0" w:space="0" w:color="auto"/>
        <w:right w:val="none" w:sz="0" w:space="0" w:color="auto"/>
      </w:divBdr>
    </w:div>
    <w:div w:id="1829863418">
      <w:bodyDiv w:val="1"/>
      <w:marLeft w:val="0"/>
      <w:marRight w:val="0"/>
      <w:marTop w:val="0"/>
      <w:marBottom w:val="0"/>
      <w:divBdr>
        <w:top w:val="none" w:sz="0" w:space="0" w:color="auto"/>
        <w:left w:val="none" w:sz="0" w:space="0" w:color="auto"/>
        <w:bottom w:val="none" w:sz="0" w:space="0" w:color="auto"/>
        <w:right w:val="none" w:sz="0" w:space="0" w:color="auto"/>
      </w:divBdr>
    </w:div>
    <w:div w:id="1829979549">
      <w:bodyDiv w:val="1"/>
      <w:marLeft w:val="0"/>
      <w:marRight w:val="0"/>
      <w:marTop w:val="0"/>
      <w:marBottom w:val="0"/>
      <w:divBdr>
        <w:top w:val="none" w:sz="0" w:space="0" w:color="auto"/>
        <w:left w:val="none" w:sz="0" w:space="0" w:color="auto"/>
        <w:bottom w:val="none" w:sz="0" w:space="0" w:color="auto"/>
        <w:right w:val="none" w:sz="0" w:space="0" w:color="auto"/>
      </w:divBdr>
    </w:div>
    <w:div w:id="1830094424">
      <w:bodyDiv w:val="1"/>
      <w:marLeft w:val="0"/>
      <w:marRight w:val="0"/>
      <w:marTop w:val="0"/>
      <w:marBottom w:val="0"/>
      <w:divBdr>
        <w:top w:val="none" w:sz="0" w:space="0" w:color="auto"/>
        <w:left w:val="none" w:sz="0" w:space="0" w:color="auto"/>
        <w:bottom w:val="none" w:sz="0" w:space="0" w:color="auto"/>
        <w:right w:val="none" w:sz="0" w:space="0" w:color="auto"/>
      </w:divBdr>
    </w:div>
    <w:div w:id="1830167549">
      <w:bodyDiv w:val="1"/>
      <w:marLeft w:val="0"/>
      <w:marRight w:val="0"/>
      <w:marTop w:val="0"/>
      <w:marBottom w:val="0"/>
      <w:divBdr>
        <w:top w:val="none" w:sz="0" w:space="0" w:color="auto"/>
        <w:left w:val="none" w:sz="0" w:space="0" w:color="auto"/>
        <w:bottom w:val="none" w:sz="0" w:space="0" w:color="auto"/>
        <w:right w:val="none" w:sz="0" w:space="0" w:color="auto"/>
      </w:divBdr>
    </w:div>
    <w:div w:id="1830172161">
      <w:bodyDiv w:val="1"/>
      <w:marLeft w:val="0"/>
      <w:marRight w:val="0"/>
      <w:marTop w:val="0"/>
      <w:marBottom w:val="0"/>
      <w:divBdr>
        <w:top w:val="none" w:sz="0" w:space="0" w:color="auto"/>
        <w:left w:val="none" w:sz="0" w:space="0" w:color="auto"/>
        <w:bottom w:val="none" w:sz="0" w:space="0" w:color="auto"/>
        <w:right w:val="none" w:sz="0" w:space="0" w:color="auto"/>
      </w:divBdr>
    </w:div>
    <w:div w:id="1830366743">
      <w:bodyDiv w:val="1"/>
      <w:marLeft w:val="0"/>
      <w:marRight w:val="0"/>
      <w:marTop w:val="0"/>
      <w:marBottom w:val="0"/>
      <w:divBdr>
        <w:top w:val="none" w:sz="0" w:space="0" w:color="auto"/>
        <w:left w:val="none" w:sz="0" w:space="0" w:color="auto"/>
        <w:bottom w:val="none" w:sz="0" w:space="0" w:color="auto"/>
        <w:right w:val="none" w:sz="0" w:space="0" w:color="auto"/>
      </w:divBdr>
    </w:div>
    <w:div w:id="1830555532">
      <w:bodyDiv w:val="1"/>
      <w:marLeft w:val="0"/>
      <w:marRight w:val="0"/>
      <w:marTop w:val="0"/>
      <w:marBottom w:val="0"/>
      <w:divBdr>
        <w:top w:val="none" w:sz="0" w:space="0" w:color="auto"/>
        <w:left w:val="none" w:sz="0" w:space="0" w:color="auto"/>
        <w:bottom w:val="none" w:sz="0" w:space="0" w:color="auto"/>
        <w:right w:val="none" w:sz="0" w:space="0" w:color="auto"/>
      </w:divBdr>
    </w:div>
    <w:div w:id="1830637659">
      <w:bodyDiv w:val="1"/>
      <w:marLeft w:val="0"/>
      <w:marRight w:val="0"/>
      <w:marTop w:val="0"/>
      <w:marBottom w:val="0"/>
      <w:divBdr>
        <w:top w:val="none" w:sz="0" w:space="0" w:color="auto"/>
        <w:left w:val="none" w:sz="0" w:space="0" w:color="auto"/>
        <w:bottom w:val="none" w:sz="0" w:space="0" w:color="auto"/>
        <w:right w:val="none" w:sz="0" w:space="0" w:color="auto"/>
      </w:divBdr>
    </w:div>
    <w:div w:id="1830712057">
      <w:bodyDiv w:val="1"/>
      <w:marLeft w:val="0"/>
      <w:marRight w:val="0"/>
      <w:marTop w:val="0"/>
      <w:marBottom w:val="0"/>
      <w:divBdr>
        <w:top w:val="none" w:sz="0" w:space="0" w:color="auto"/>
        <w:left w:val="none" w:sz="0" w:space="0" w:color="auto"/>
        <w:bottom w:val="none" w:sz="0" w:space="0" w:color="auto"/>
        <w:right w:val="none" w:sz="0" w:space="0" w:color="auto"/>
      </w:divBdr>
    </w:div>
    <w:div w:id="1830903813">
      <w:bodyDiv w:val="1"/>
      <w:marLeft w:val="0"/>
      <w:marRight w:val="0"/>
      <w:marTop w:val="0"/>
      <w:marBottom w:val="0"/>
      <w:divBdr>
        <w:top w:val="none" w:sz="0" w:space="0" w:color="auto"/>
        <w:left w:val="none" w:sz="0" w:space="0" w:color="auto"/>
        <w:bottom w:val="none" w:sz="0" w:space="0" w:color="auto"/>
        <w:right w:val="none" w:sz="0" w:space="0" w:color="auto"/>
      </w:divBdr>
    </w:div>
    <w:div w:id="1831289720">
      <w:bodyDiv w:val="1"/>
      <w:marLeft w:val="0"/>
      <w:marRight w:val="0"/>
      <w:marTop w:val="0"/>
      <w:marBottom w:val="0"/>
      <w:divBdr>
        <w:top w:val="none" w:sz="0" w:space="0" w:color="auto"/>
        <w:left w:val="none" w:sz="0" w:space="0" w:color="auto"/>
        <w:bottom w:val="none" w:sz="0" w:space="0" w:color="auto"/>
        <w:right w:val="none" w:sz="0" w:space="0" w:color="auto"/>
      </w:divBdr>
    </w:div>
    <w:div w:id="1831411026">
      <w:bodyDiv w:val="1"/>
      <w:marLeft w:val="0"/>
      <w:marRight w:val="0"/>
      <w:marTop w:val="0"/>
      <w:marBottom w:val="0"/>
      <w:divBdr>
        <w:top w:val="none" w:sz="0" w:space="0" w:color="auto"/>
        <w:left w:val="none" w:sz="0" w:space="0" w:color="auto"/>
        <w:bottom w:val="none" w:sz="0" w:space="0" w:color="auto"/>
        <w:right w:val="none" w:sz="0" w:space="0" w:color="auto"/>
      </w:divBdr>
    </w:div>
    <w:div w:id="1831484075">
      <w:bodyDiv w:val="1"/>
      <w:marLeft w:val="0"/>
      <w:marRight w:val="0"/>
      <w:marTop w:val="0"/>
      <w:marBottom w:val="0"/>
      <w:divBdr>
        <w:top w:val="none" w:sz="0" w:space="0" w:color="auto"/>
        <w:left w:val="none" w:sz="0" w:space="0" w:color="auto"/>
        <w:bottom w:val="none" w:sz="0" w:space="0" w:color="auto"/>
        <w:right w:val="none" w:sz="0" w:space="0" w:color="auto"/>
      </w:divBdr>
    </w:div>
    <w:div w:id="1831486343">
      <w:bodyDiv w:val="1"/>
      <w:marLeft w:val="0"/>
      <w:marRight w:val="0"/>
      <w:marTop w:val="0"/>
      <w:marBottom w:val="0"/>
      <w:divBdr>
        <w:top w:val="none" w:sz="0" w:space="0" w:color="auto"/>
        <w:left w:val="none" w:sz="0" w:space="0" w:color="auto"/>
        <w:bottom w:val="none" w:sz="0" w:space="0" w:color="auto"/>
        <w:right w:val="none" w:sz="0" w:space="0" w:color="auto"/>
      </w:divBdr>
    </w:div>
    <w:div w:id="1831556941">
      <w:bodyDiv w:val="1"/>
      <w:marLeft w:val="0"/>
      <w:marRight w:val="0"/>
      <w:marTop w:val="0"/>
      <w:marBottom w:val="0"/>
      <w:divBdr>
        <w:top w:val="none" w:sz="0" w:space="0" w:color="auto"/>
        <w:left w:val="none" w:sz="0" w:space="0" w:color="auto"/>
        <w:bottom w:val="none" w:sz="0" w:space="0" w:color="auto"/>
        <w:right w:val="none" w:sz="0" w:space="0" w:color="auto"/>
      </w:divBdr>
    </w:div>
    <w:div w:id="1831753637">
      <w:bodyDiv w:val="1"/>
      <w:marLeft w:val="0"/>
      <w:marRight w:val="0"/>
      <w:marTop w:val="0"/>
      <w:marBottom w:val="0"/>
      <w:divBdr>
        <w:top w:val="none" w:sz="0" w:space="0" w:color="auto"/>
        <w:left w:val="none" w:sz="0" w:space="0" w:color="auto"/>
        <w:bottom w:val="none" w:sz="0" w:space="0" w:color="auto"/>
        <w:right w:val="none" w:sz="0" w:space="0" w:color="auto"/>
      </w:divBdr>
    </w:div>
    <w:div w:id="1831870584">
      <w:bodyDiv w:val="1"/>
      <w:marLeft w:val="0"/>
      <w:marRight w:val="0"/>
      <w:marTop w:val="0"/>
      <w:marBottom w:val="0"/>
      <w:divBdr>
        <w:top w:val="none" w:sz="0" w:space="0" w:color="auto"/>
        <w:left w:val="none" w:sz="0" w:space="0" w:color="auto"/>
        <w:bottom w:val="none" w:sz="0" w:space="0" w:color="auto"/>
        <w:right w:val="none" w:sz="0" w:space="0" w:color="auto"/>
      </w:divBdr>
    </w:div>
    <w:div w:id="1831872531">
      <w:bodyDiv w:val="1"/>
      <w:marLeft w:val="0"/>
      <w:marRight w:val="0"/>
      <w:marTop w:val="0"/>
      <w:marBottom w:val="0"/>
      <w:divBdr>
        <w:top w:val="none" w:sz="0" w:space="0" w:color="auto"/>
        <w:left w:val="none" w:sz="0" w:space="0" w:color="auto"/>
        <w:bottom w:val="none" w:sz="0" w:space="0" w:color="auto"/>
        <w:right w:val="none" w:sz="0" w:space="0" w:color="auto"/>
      </w:divBdr>
    </w:div>
    <w:div w:id="1831942289">
      <w:bodyDiv w:val="1"/>
      <w:marLeft w:val="0"/>
      <w:marRight w:val="0"/>
      <w:marTop w:val="0"/>
      <w:marBottom w:val="0"/>
      <w:divBdr>
        <w:top w:val="none" w:sz="0" w:space="0" w:color="auto"/>
        <w:left w:val="none" w:sz="0" w:space="0" w:color="auto"/>
        <w:bottom w:val="none" w:sz="0" w:space="0" w:color="auto"/>
        <w:right w:val="none" w:sz="0" w:space="0" w:color="auto"/>
      </w:divBdr>
    </w:div>
    <w:div w:id="1832133662">
      <w:bodyDiv w:val="1"/>
      <w:marLeft w:val="0"/>
      <w:marRight w:val="0"/>
      <w:marTop w:val="0"/>
      <w:marBottom w:val="0"/>
      <w:divBdr>
        <w:top w:val="none" w:sz="0" w:space="0" w:color="auto"/>
        <w:left w:val="none" w:sz="0" w:space="0" w:color="auto"/>
        <w:bottom w:val="none" w:sz="0" w:space="0" w:color="auto"/>
        <w:right w:val="none" w:sz="0" w:space="0" w:color="auto"/>
      </w:divBdr>
    </w:div>
    <w:div w:id="1832258099">
      <w:bodyDiv w:val="1"/>
      <w:marLeft w:val="0"/>
      <w:marRight w:val="0"/>
      <w:marTop w:val="0"/>
      <w:marBottom w:val="0"/>
      <w:divBdr>
        <w:top w:val="none" w:sz="0" w:space="0" w:color="auto"/>
        <w:left w:val="none" w:sz="0" w:space="0" w:color="auto"/>
        <w:bottom w:val="none" w:sz="0" w:space="0" w:color="auto"/>
        <w:right w:val="none" w:sz="0" w:space="0" w:color="auto"/>
      </w:divBdr>
    </w:div>
    <w:div w:id="1832285104">
      <w:bodyDiv w:val="1"/>
      <w:marLeft w:val="0"/>
      <w:marRight w:val="0"/>
      <w:marTop w:val="0"/>
      <w:marBottom w:val="0"/>
      <w:divBdr>
        <w:top w:val="none" w:sz="0" w:space="0" w:color="auto"/>
        <w:left w:val="none" w:sz="0" w:space="0" w:color="auto"/>
        <w:bottom w:val="none" w:sz="0" w:space="0" w:color="auto"/>
        <w:right w:val="none" w:sz="0" w:space="0" w:color="auto"/>
      </w:divBdr>
    </w:div>
    <w:div w:id="1832286613">
      <w:bodyDiv w:val="1"/>
      <w:marLeft w:val="0"/>
      <w:marRight w:val="0"/>
      <w:marTop w:val="0"/>
      <w:marBottom w:val="0"/>
      <w:divBdr>
        <w:top w:val="none" w:sz="0" w:space="0" w:color="auto"/>
        <w:left w:val="none" w:sz="0" w:space="0" w:color="auto"/>
        <w:bottom w:val="none" w:sz="0" w:space="0" w:color="auto"/>
        <w:right w:val="none" w:sz="0" w:space="0" w:color="auto"/>
      </w:divBdr>
    </w:div>
    <w:div w:id="1832409457">
      <w:bodyDiv w:val="1"/>
      <w:marLeft w:val="0"/>
      <w:marRight w:val="0"/>
      <w:marTop w:val="0"/>
      <w:marBottom w:val="0"/>
      <w:divBdr>
        <w:top w:val="none" w:sz="0" w:space="0" w:color="auto"/>
        <w:left w:val="none" w:sz="0" w:space="0" w:color="auto"/>
        <w:bottom w:val="none" w:sz="0" w:space="0" w:color="auto"/>
        <w:right w:val="none" w:sz="0" w:space="0" w:color="auto"/>
      </w:divBdr>
    </w:div>
    <w:div w:id="1832476847">
      <w:bodyDiv w:val="1"/>
      <w:marLeft w:val="0"/>
      <w:marRight w:val="0"/>
      <w:marTop w:val="0"/>
      <w:marBottom w:val="0"/>
      <w:divBdr>
        <w:top w:val="none" w:sz="0" w:space="0" w:color="auto"/>
        <w:left w:val="none" w:sz="0" w:space="0" w:color="auto"/>
        <w:bottom w:val="none" w:sz="0" w:space="0" w:color="auto"/>
        <w:right w:val="none" w:sz="0" w:space="0" w:color="auto"/>
      </w:divBdr>
    </w:div>
    <w:div w:id="1832598310">
      <w:bodyDiv w:val="1"/>
      <w:marLeft w:val="0"/>
      <w:marRight w:val="0"/>
      <w:marTop w:val="0"/>
      <w:marBottom w:val="0"/>
      <w:divBdr>
        <w:top w:val="none" w:sz="0" w:space="0" w:color="auto"/>
        <w:left w:val="none" w:sz="0" w:space="0" w:color="auto"/>
        <w:bottom w:val="none" w:sz="0" w:space="0" w:color="auto"/>
        <w:right w:val="none" w:sz="0" w:space="0" w:color="auto"/>
      </w:divBdr>
    </w:div>
    <w:div w:id="1832721651">
      <w:bodyDiv w:val="1"/>
      <w:marLeft w:val="0"/>
      <w:marRight w:val="0"/>
      <w:marTop w:val="0"/>
      <w:marBottom w:val="0"/>
      <w:divBdr>
        <w:top w:val="none" w:sz="0" w:space="0" w:color="auto"/>
        <w:left w:val="none" w:sz="0" w:space="0" w:color="auto"/>
        <w:bottom w:val="none" w:sz="0" w:space="0" w:color="auto"/>
        <w:right w:val="none" w:sz="0" w:space="0" w:color="auto"/>
      </w:divBdr>
    </w:div>
    <w:div w:id="1832746047">
      <w:bodyDiv w:val="1"/>
      <w:marLeft w:val="0"/>
      <w:marRight w:val="0"/>
      <w:marTop w:val="0"/>
      <w:marBottom w:val="0"/>
      <w:divBdr>
        <w:top w:val="none" w:sz="0" w:space="0" w:color="auto"/>
        <w:left w:val="none" w:sz="0" w:space="0" w:color="auto"/>
        <w:bottom w:val="none" w:sz="0" w:space="0" w:color="auto"/>
        <w:right w:val="none" w:sz="0" w:space="0" w:color="auto"/>
      </w:divBdr>
    </w:div>
    <w:div w:id="1832789863">
      <w:bodyDiv w:val="1"/>
      <w:marLeft w:val="0"/>
      <w:marRight w:val="0"/>
      <w:marTop w:val="0"/>
      <w:marBottom w:val="0"/>
      <w:divBdr>
        <w:top w:val="none" w:sz="0" w:space="0" w:color="auto"/>
        <w:left w:val="none" w:sz="0" w:space="0" w:color="auto"/>
        <w:bottom w:val="none" w:sz="0" w:space="0" w:color="auto"/>
        <w:right w:val="none" w:sz="0" w:space="0" w:color="auto"/>
      </w:divBdr>
    </w:div>
    <w:div w:id="1832790679">
      <w:bodyDiv w:val="1"/>
      <w:marLeft w:val="0"/>
      <w:marRight w:val="0"/>
      <w:marTop w:val="0"/>
      <w:marBottom w:val="0"/>
      <w:divBdr>
        <w:top w:val="none" w:sz="0" w:space="0" w:color="auto"/>
        <w:left w:val="none" w:sz="0" w:space="0" w:color="auto"/>
        <w:bottom w:val="none" w:sz="0" w:space="0" w:color="auto"/>
        <w:right w:val="none" w:sz="0" w:space="0" w:color="auto"/>
      </w:divBdr>
    </w:div>
    <w:div w:id="1832793620">
      <w:bodyDiv w:val="1"/>
      <w:marLeft w:val="0"/>
      <w:marRight w:val="0"/>
      <w:marTop w:val="0"/>
      <w:marBottom w:val="0"/>
      <w:divBdr>
        <w:top w:val="none" w:sz="0" w:space="0" w:color="auto"/>
        <w:left w:val="none" w:sz="0" w:space="0" w:color="auto"/>
        <w:bottom w:val="none" w:sz="0" w:space="0" w:color="auto"/>
        <w:right w:val="none" w:sz="0" w:space="0" w:color="auto"/>
      </w:divBdr>
    </w:div>
    <w:div w:id="1833450786">
      <w:bodyDiv w:val="1"/>
      <w:marLeft w:val="0"/>
      <w:marRight w:val="0"/>
      <w:marTop w:val="0"/>
      <w:marBottom w:val="0"/>
      <w:divBdr>
        <w:top w:val="none" w:sz="0" w:space="0" w:color="auto"/>
        <w:left w:val="none" w:sz="0" w:space="0" w:color="auto"/>
        <w:bottom w:val="none" w:sz="0" w:space="0" w:color="auto"/>
        <w:right w:val="none" w:sz="0" w:space="0" w:color="auto"/>
      </w:divBdr>
    </w:div>
    <w:div w:id="1833520439">
      <w:bodyDiv w:val="1"/>
      <w:marLeft w:val="0"/>
      <w:marRight w:val="0"/>
      <w:marTop w:val="0"/>
      <w:marBottom w:val="0"/>
      <w:divBdr>
        <w:top w:val="none" w:sz="0" w:space="0" w:color="auto"/>
        <w:left w:val="none" w:sz="0" w:space="0" w:color="auto"/>
        <w:bottom w:val="none" w:sz="0" w:space="0" w:color="auto"/>
        <w:right w:val="none" w:sz="0" w:space="0" w:color="auto"/>
      </w:divBdr>
    </w:div>
    <w:div w:id="1833982212">
      <w:bodyDiv w:val="1"/>
      <w:marLeft w:val="0"/>
      <w:marRight w:val="0"/>
      <w:marTop w:val="0"/>
      <w:marBottom w:val="0"/>
      <w:divBdr>
        <w:top w:val="none" w:sz="0" w:space="0" w:color="auto"/>
        <w:left w:val="none" w:sz="0" w:space="0" w:color="auto"/>
        <w:bottom w:val="none" w:sz="0" w:space="0" w:color="auto"/>
        <w:right w:val="none" w:sz="0" w:space="0" w:color="auto"/>
      </w:divBdr>
    </w:div>
    <w:div w:id="1834026997">
      <w:bodyDiv w:val="1"/>
      <w:marLeft w:val="0"/>
      <w:marRight w:val="0"/>
      <w:marTop w:val="0"/>
      <w:marBottom w:val="0"/>
      <w:divBdr>
        <w:top w:val="none" w:sz="0" w:space="0" w:color="auto"/>
        <w:left w:val="none" w:sz="0" w:space="0" w:color="auto"/>
        <w:bottom w:val="none" w:sz="0" w:space="0" w:color="auto"/>
        <w:right w:val="none" w:sz="0" w:space="0" w:color="auto"/>
      </w:divBdr>
    </w:div>
    <w:div w:id="1834101955">
      <w:bodyDiv w:val="1"/>
      <w:marLeft w:val="0"/>
      <w:marRight w:val="0"/>
      <w:marTop w:val="0"/>
      <w:marBottom w:val="0"/>
      <w:divBdr>
        <w:top w:val="none" w:sz="0" w:space="0" w:color="auto"/>
        <w:left w:val="none" w:sz="0" w:space="0" w:color="auto"/>
        <w:bottom w:val="none" w:sz="0" w:space="0" w:color="auto"/>
        <w:right w:val="none" w:sz="0" w:space="0" w:color="auto"/>
      </w:divBdr>
    </w:div>
    <w:div w:id="1834174906">
      <w:bodyDiv w:val="1"/>
      <w:marLeft w:val="0"/>
      <w:marRight w:val="0"/>
      <w:marTop w:val="0"/>
      <w:marBottom w:val="0"/>
      <w:divBdr>
        <w:top w:val="none" w:sz="0" w:space="0" w:color="auto"/>
        <w:left w:val="none" w:sz="0" w:space="0" w:color="auto"/>
        <w:bottom w:val="none" w:sz="0" w:space="0" w:color="auto"/>
        <w:right w:val="none" w:sz="0" w:space="0" w:color="auto"/>
      </w:divBdr>
    </w:div>
    <w:div w:id="1834253369">
      <w:bodyDiv w:val="1"/>
      <w:marLeft w:val="0"/>
      <w:marRight w:val="0"/>
      <w:marTop w:val="0"/>
      <w:marBottom w:val="0"/>
      <w:divBdr>
        <w:top w:val="none" w:sz="0" w:space="0" w:color="auto"/>
        <w:left w:val="none" w:sz="0" w:space="0" w:color="auto"/>
        <w:bottom w:val="none" w:sz="0" w:space="0" w:color="auto"/>
        <w:right w:val="none" w:sz="0" w:space="0" w:color="auto"/>
      </w:divBdr>
    </w:div>
    <w:div w:id="1834418306">
      <w:bodyDiv w:val="1"/>
      <w:marLeft w:val="0"/>
      <w:marRight w:val="0"/>
      <w:marTop w:val="0"/>
      <w:marBottom w:val="0"/>
      <w:divBdr>
        <w:top w:val="none" w:sz="0" w:space="0" w:color="auto"/>
        <w:left w:val="none" w:sz="0" w:space="0" w:color="auto"/>
        <w:bottom w:val="none" w:sz="0" w:space="0" w:color="auto"/>
        <w:right w:val="none" w:sz="0" w:space="0" w:color="auto"/>
      </w:divBdr>
    </w:div>
    <w:div w:id="1834487109">
      <w:bodyDiv w:val="1"/>
      <w:marLeft w:val="0"/>
      <w:marRight w:val="0"/>
      <w:marTop w:val="0"/>
      <w:marBottom w:val="0"/>
      <w:divBdr>
        <w:top w:val="none" w:sz="0" w:space="0" w:color="auto"/>
        <w:left w:val="none" w:sz="0" w:space="0" w:color="auto"/>
        <w:bottom w:val="none" w:sz="0" w:space="0" w:color="auto"/>
        <w:right w:val="none" w:sz="0" w:space="0" w:color="auto"/>
      </w:divBdr>
    </w:div>
    <w:div w:id="1834489524">
      <w:bodyDiv w:val="1"/>
      <w:marLeft w:val="0"/>
      <w:marRight w:val="0"/>
      <w:marTop w:val="0"/>
      <w:marBottom w:val="0"/>
      <w:divBdr>
        <w:top w:val="none" w:sz="0" w:space="0" w:color="auto"/>
        <w:left w:val="none" w:sz="0" w:space="0" w:color="auto"/>
        <w:bottom w:val="none" w:sz="0" w:space="0" w:color="auto"/>
        <w:right w:val="none" w:sz="0" w:space="0" w:color="auto"/>
      </w:divBdr>
    </w:div>
    <w:div w:id="1834834957">
      <w:bodyDiv w:val="1"/>
      <w:marLeft w:val="0"/>
      <w:marRight w:val="0"/>
      <w:marTop w:val="0"/>
      <w:marBottom w:val="0"/>
      <w:divBdr>
        <w:top w:val="none" w:sz="0" w:space="0" w:color="auto"/>
        <w:left w:val="none" w:sz="0" w:space="0" w:color="auto"/>
        <w:bottom w:val="none" w:sz="0" w:space="0" w:color="auto"/>
        <w:right w:val="none" w:sz="0" w:space="0" w:color="auto"/>
      </w:divBdr>
    </w:div>
    <w:div w:id="1834951194">
      <w:bodyDiv w:val="1"/>
      <w:marLeft w:val="0"/>
      <w:marRight w:val="0"/>
      <w:marTop w:val="0"/>
      <w:marBottom w:val="0"/>
      <w:divBdr>
        <w:top w:val="none" w:sz="0" w:space="0" w:color="auto"/>
        <w:left w:val="none" w:sz="0" w:space="0" w:color="auto"/>
        <w:bottom w:val="none" w:sz="0" w:space="0" w:color="auto"/>
        <w:right w:val="none" w:sz="0" w:space="0" w:color="auto"/>
      </w:divBdr>
    </w:div>
    <w:div w:id="1835026535">
      <w:bodyDiv w:val="1"/>
      <w:marLeft w:val="0"/>
      <w:marRight w:val="0"/>
      <w:marTop w:val="0"/>
      <w:marBottom w:val="0"/>
      <w:divBdr>
        <w:top w:val="none" w:sz="0" w:space="0" w:color="auto"/>
        <w:left w:val="none" w:sz="0" w:space="0" w:color="auto"/>
        <w:bottom w:val="none" w:sz="0" w:space="0" w:color="auto"/>
        <w:right w:val="none" w:sz="0" w:space="0" w:color="auto"/>
      </w:divBdr>
    </w:div>
    <w:div w:id="1835100652">
      <w:bodyDiv w:val="1"/>
      <w:marLeft w:val="0"/>
      <w:marRight w:val="0"/>
      <w:marTop w:val="0"/>
      <w:marBottom w:val="0"/>
      <w:divBdr>
        <w:top w:val="none" w:sz="0" w:space="0" w:color="auto"/>
        <w:left w:val="none" w:sz="0" w:space="0" w:color="auto"/>
        <w:bottom w:val="none" w:sz="0" w:space="0" w:color="auto"/>
        <w:right w:val="none" w:sz="0" w:space="0" w:color="auto"/>
      </w:divBdr>
    </w:div>
    <w:div w:id="1835490137">
      <w:bodyDiv w:val="1"/>
      <w:marLeft w:val="0"/>
      <w:marRight w:val="0"/>
      <w:marTop w:val="0"/>
      <w:marBottom w:val="0"/>
      <w:divBdr>
        <w:top w:val="none" w:sz="0" w:space="0" w:color="auto"/>
        <w:left w:val="none" w:sz="0" w:space="0" w:color="auto"/>
        <w:bottom w:val="none" w:sz="0" w:space="0" w:color="auto"/>
        <w:right w:val="none" w:sz="0" w:space="0" w:color="auto"/>
      </w:divBdr>
    </w:div>
    <w:div w:id="1835560413">
      <w:bodyDiv w:val="1"/>
      <w:marLeft w:val="0"/>
      <w:marRight w:val="0"/>
      <w:marTop w:val="0"/>
      <w:marBottom w:val="0"/>
      <w:divBdr>
        <w:top w:val="none" w:sz="0" w:space="0" w:color="auto"/>
        <w:left w:val="none" w:sz="0" w:space="0" w:color="auto"/>
        <w:bottom w:val="none" w:sz="0" w:space="0" w:color="auto"/>
        <w:right w:val="none" w:sz="0" w:space="0" w:color="auto"/>
      </w:divBdr>
    </w:div>
    <w:div w:id="1835876149">
      <w:bodyDiv w:val="1"/>
      <w:marLeft w:val="0"/>
      <w:marRight w:val="0"/>
      <w:marTop w:val="0"/>
      <w:marBottom w:val="0"/>
      <w:divBdr>
        <w:top w:val="none" w:sz="0" w:space="0" w:color="auto"/>
        <w:left w:val="none" w:sz="0" w:space="0" w:color="auto"/>
        <w:bottom w:val="none" w:sz="0" w:space="0" w:color="auto"/>
        <w:right w:val="none" w:sz="0" w:space="0" w:color="auto"/>
      </w:divBdr>
    </w:div>
    <w:div w:id="1835880444">
      <w:bodyDiv w:val="1"/>
      <w:marLeft w:val="0"/>
      <w:marRight w:val="0"/>
      <w:marTop w:val="0"/>
      <w:marBottom w:val="0"/>
      <w:divBdr>
        <w:top w:val="none" w:sz="0" w:space="0" w:color="auto"/>
        <w:left w:val="none" w:sz="0" w:space="0" w:color="auto"/>
        <w:bottom w:val="none" w:sz="0" w:space="0" w:color="auto"/>
        <w:right w:val="none" w:sz="0" w:space="0" w:color="auto"/>
      </w:divBdr>
    </w:div>
    <w:div w:id="1836146639">
      <w:bodyDiv w:val="1"/>
      <w:marLeft w:val="0"/>
      <w:marRight w:val="0"/>
      <w:marTop w:val="0"/>
      <w:marBottom w:val="0"/>
      <w:divBdr>
        <w:top w:val="none" w:sz="0" w:space="0" w:color="auto"/>
        <w:left w:val="none" w:sz="0" w:space="0" w:color="auto"/>
        <w:bottom w:val="none" w:sz="0" w:space="0" w:color="auto"/>
        <w:right w:val="none" w:sz="0" w:space="0" w:color="auto"/>
      </w:divBdr>
    </w:div>
    <w:div w:id="1836261381">
      <w:bodyDiv w:val="1"/>
      <w:marLeft w:val="0"/>
      <w:marRight w:val="0"/>
      <w:marTop w:val="0"/>
      <w:marBottom w:val="0"/>
      <w:divBdr>
        <w:top w:val="none" w:sz="0" w:space="0" w:color="auto"/>
        <w:left w:val="none" w:sz="0" w:space="0" w:color="auto"/>
        <w:bottom w:val="none" w:sz="0" w:space="0" w:color="auto"/>
        <w:right w:val="none" w:sz="0" w:space="0" w:color="auto"/>
      </w:divBdr>
    </w:div>
    <w:div w:id="1836457778">
      <w:bodyDiv w:val="1"/>
      <w:marLeft w:val="0"/>
      <w:marRight w:val="0"/>
      <w:marTop w:val="0"/>
      <w:marBottom w:val="0"/>
      <w:divBdr>
        <w:top w:val="none" w:sz="0" w:space="0" w:color="auto"/>
        <w:left w:val="none" w:sz="0" w:space="0" w:color="auto"/>
        <w:bottom w:val="none" w:sz="0" w:space="0" w:color="auto"/>
        <w:right w:val="none" w:sz="0" w:space="0" w:color="auto"/>
      </w:divBdr>
    </w:div>
    <w:div w:id="1836605633">
      <w:bodyDiv w:val="1"/>
      <w:marLeft w:val="0"/>
      <w:marRight w:val="0"/>
      <w:marTop w:val="0"/>
      <w:marBottom w:val="0"/>
      <w:divBdr>
        <w:top w:val="none" w:sz="0" w:space="0" w:color="auto"/>
        <w:left w:val="none" w:sz="0" w:space="0" w:color="auto"/>
        <w:bottom w:val="none" w:sz="0" w:space="0" w:color="auto"/>
        <w:right w:val="none" w:sz="0" w:space="0" w:color="auto"/>
      </w:divBdr>
    </w:div>
    <w:div w:id="1836723715">
      <w:bodyDiv w:val="1"/>
      <w:marLeft w:val="0"/>
      <w:marRight w:val="0"/>
      <w:marTop w:val="0"/>
      <w:marBottom w:val="0"/>
      <w:divBdr>
        <w:top w:val="none" w:sz="0" w:space="0" w:color="auto"/>
        <w:left w:val="none" w:sz="0" w:space="0" w:color="auto"/>
        <w:bottom w:val="none" w:sz="0" w:space="0" w:color="auto"/>
        <w:right w:val="none" w:sz="0" w:space="0" w:color="auto"/>
      </w:divBdr>
    </w:div>
    <w:div w:id="1836803190">
      <w:bodyDiv w:val="1"/>
      <w:marLeft w:val="0"/>
      <w:marRight w:val="0"/>
      <w:marTop w:val="0"/>
      <w:marBottom w:val="0"/>
      <w:divBdr>
        <w:top w:val="none" w:sz="0" w:space="0" w:color="auto"/>
        <w:left w:val="none" w:sz="0" w:space="0" w:color="auto"/>
        <w:bottom w:val="none" w:sz="0" w:space="0" w:color="auto"/>
        <w:right w:val="none" w:sz="0" w:space="0" w:color="auto"/>
      </w:divBdr>
    </w:div>
    <w:div w:id="1836920925">
      <w:bodyDiv w:val="1"/>
      <w:marLeft w:val="0"/>
      <w:marRight w:val="0"/>
      <w:marTop w:val="0"/>
      <w:marBottom w:val="0"/>
      <w:divBdr>
        <w:top w:val="none" w:sz="0" w:space="0" w:color="auto"/>
        <w:left w:val="none" w:sz="0" w:space="0" w:color="auto"/>
        <w:bottom w:val="none" w:sz="0" w:space="0" w:color="auto"/>
        <w:right w:val="none" w:sz="0" w:space="0" w:color="auto"/>
      </w:divBdr>
    </w:div>
    <w:div w:id="1837066414">
      <w:bodyDiv w:val="1"/>
      <w:marLeft w:val="0"/>
      <w:marRight w:val="0"/>
      <w:marTop w:val="0"/>
      <w:marBottom w:val="0"/>
      <w:divBdr>
        <w:top w:val="none" w:sz="0" w:space="0" w:color="auto"/>
        <w:left w:val="none" w:sz="0" w:space="0" w:color="auto"/>
        <w:bottom w:val="none" w:sz="0" w:space="0" w:color="auto"/>
        <w:right w:val="none" w:sz="0" w:space="0" w:color="auto"/>
      </w:divBdr>
    </w:div>
    <w:div w:id="1837113393">
      <w:bodyDiv w:val="1"/>
      <w:marLeft w:val="0"/>
      <w:marRight w:val="0"/>
      <w:marTop w:val="0"/>
      <w:marBottom w:val="0"/>
      <w:divBdr>
        <w:top w:val="none" w:sz="0" w:space="0" w:color="auto"/>
        <w:left w:val="none" w:sz="0" w:space="0" w:color="auto"/>
        <w:bottom w:val="none" w:sz="0" w:space="0" w:color="auto"/>
        <w:right w:val="none" w:sz="0" w:space="0" w:color="auto"/>
      </w:divBdr>
    </w:div>
    <w:div w:id="1837190173">
      <w:bodyDiv w:val="1"/>
      <w:marLeft w:val="0"/>
      <w:marRight w:val="0"/>
      <w:marTop w:val="0"/>
      <w:marBottom w:val="0"/>
      <w:divBdr>
        <w:top w:val="none" w:sz="0" w:space="0" w:color="auto"/>
        <w:left w:val="none" w:sz="0" w:space="0" w:color="auto"/>
        <w:bottom w:val="none" w:sz="0" w:space="0" w:color="auto"/>
        <w:right w:val="none" w:sz="0" w:space="0" w:color="auto"/>
      </w:divBdr>
    </w:div>
    <w:div w:id="1837453909">
      <w:bodyDiv w:val="1"/>
      <w:marLeft w:val="0"/>
      <w:marRight w:val="0"/>
      <w:marTop w:val="0"/>
      <w:marBottom w:val="0"/>
      <w:divBdr>
        <w:top w:val="none" w:sz="0" w:space="0" w:color="auto"/>
        <w:left w:val="none" w:sz="0" w:space="0" w:color="auto"/>
        <w:bottom w:val="none" w:sz="0" w:space="0" w:color="auto"/>
        <w:right w:val="none" w:sz="0" w:space="0" w:color="auto"/>
      </w:divBdr>
    </w:div>
    <w:div w:id="1837458488">
      <w:bodyDiv w:val="1"/>
      <w:marLeft w:val="0"/>
      <w:marRight w:val="0"/>
      <w:marTop w:val="0"/>
      <w:marBottom w:val="0"/>
      <w:divBdr>
        <w:top w:val="none" w:sz="0" w:space="0" w:color="auto"/>
        <w:left w:val="none" w:sz="0" w:space="0" w:color="auto"/>
        <w:bottom w:val="none" w:sz="0" w:space="0" w:color="auto"/>
        <w:right w:val="none" w:sz="0" w:space="0" w:color="auto"/>
      </w:divBdr>
    </w:div>
    <w:div w:id="1837643616">
      <w:bodyDiv w:val="1"/>
      <w:marLeft w:val="0"/>
      <w:marRight w:val="0"/>
      <w:marTop w:val="0"/>
      <w:marBottom w:val="0"/>
      <w:divBdr>
        <w:top w:val="none" w:sz="0" w:space="0" w:color="auto"/>
        <w:left w:val="none" w:sz="0" w:space="0" w:color="auto"/>
        <w:bottom w:val="none" w:sz="0" w:space="0" w:color="auto"/>
        <w:right w:val="none" w:sz="0" w:space="0" w:color="auto"/>
      </w:divBdr>
    </w:div>
    <w:div w:id="1837643903">
      <w:bodyDiv w:val="1"/>
      <w:marLeft w:val="0"/>
      <w:marRight w:val="0"/>
      <w:marTop w:val="0"/>
      <w:marBottom w:val="0"/>
      <w:divBdr>
        <w:top w:val="none" w:sz="0" w:space="0" w:color="auto"/>
        <w:left w:val="none" w:sz="0" w:space="0" w:color="auto"/>
        <w:bottom w:val="none" w:sz="0" w:space="0" w:color="auto"/>
        <w:right w:val="none" w:sz="0" w:space="0" w:color="auto"/>
      </w:divBdr>
    </w:div>
    <w:div w:id="1837719563">
      <w:bodyDiv w:val="1"/>
      <w:marLeft w:val="0"/>
      <w:marRight w:val="0"/>
      <w:marTop w:val="0"/>
      <w:marBottom w:val="0"/>
      <w:divBdr>
        <w:top w:val="none" w:sz="0" w:space="0" w:color="auto"/>
        <w:left w:val="none" w:sz="0" w:space="0" w:color="auto"/>
        <w:bottom w:val="none" w:sz="0" w:space="0" w:color="auto"/>
        <w:right w:val="none" w:sz="0" w:space="0" w:color="auto"/>
      </w:divBdr>
    </w:div>
    <w:div w:id="1837767818">
      <w:bodyDiv w:val="1"/>
      <w:marLeft w:val="0"/>
      <w:marRight w:val="0"/>
      <w:marTop w:val="0"/>
      <w:marBottom w:val="0"/>
      <w:divBdr>
        <w:top w:val="none" w:sz="0" w:space="0" w:color="auto"/>
        <w:left w:val="none" w:sz="0" w:space="0" w:color="auto"/>
        <w:bottom w:val="none" w:sz="0" w:space="0" w:color="auto"/>
        <w:right w:val="none" w:sz="0" w:space="0" w:color="auto"/>
      </w:divBdr>
    </w:div>
    <w:div w:id="1837838484">
      <w:bodyDiv w:val="1"/>
      <w:marLeft w:val="0"/>
      <w:marRight w:val="0"/>
      <w:marTop w:val="0"/>
      <w:marBottom w:val="0"/>
      <w:divBdr>
        <w:top w:val="none" w:sz="0" w:space="0" w:color="auto"/>
        <w:left w:val="none" w:sz="0" w:space="0" w:color="auto"/>
        <w:bottom w:val="none" w:sz="0" w:space="0" w:color="auto"/>
        <w:right w:val="none" w:sz="0" w:space="0" w:color="auto"/>
      </w:divBdr>
    </w:div>
    <w:div w:id="1837919051">
      <w:bodyDiv w:val="1"/>
      <w:marLeft w:val="0"/>
      <w:marRight w:val="0"/>
      <w:marTop w:val="0"/>
      <w:marBottom w:val="0"/>
      <w:divBdr>
        <w:top w:val="none" w:sz="0" w:space="0" w:color="auto"/>
        <w:left w:val="none" w:sz="0" w:space="0" w:color="auto"/>
        <w:bottom w:val="none" w:sz="0" w:space="0" w:color="auto"/>
        <w:right w:val="none" w:sz="0" w:space="0" w:color="auto"/>
      </w:divBdr>
    </w:div>
    <w:div w:id="1838036327">
      <w:bodyDiv w:val="1"/>
      <w:marLeft w:val="0"/>
      <w:marRight w:val="0"/>
      <w:marTop w:val="0"/>
      <w:marBottom w:val="0"/>
      <w:divBdr>
        <w:top w:val="none" w:sz="0" w:space="0" w:color="auto"/>
        <w:left w:val="none" w:sz="0" w:space="0" w:color="auto"/>
        <w:bottom w:val="none" w:sz="0" w:space="0" w:color="auto"/>
        <w:right w:val="none" w:sz="0" w:space="0" w:color="auto"/>
      </w:divBdr>
    </w:div>
    <w:div w:id="1838039419">
      <w:bodyDiv w:val="1"/>
      <w:marLeft w:val="0"/>
      <w:marRight w:val="0"/>
      <w:marTop w:val="0"/>
      <w:marBottom w:val="0"/>
      <w:divBdr>
        <w:top w:val="none" w:sz="0" w:space="0" w:color="auto"/>
        <w:left w:val="none" w:sz="0" w:space="0" w:color="auto"/>
        <w:bottom w:val="none" w:sz="0" w:space="0" w:color="auto"/>
        <w:right w:val="none" w:sz="0" w:space="0" w:color="auto"/>
      </w:divBdr>
    </w:div>
    <w:div w:id="1838155735">
      <w:bodyDiv w:val="1"/>
      <w:marLeft w:val="0"/>
      <w:marRight w:val="0"/>
      <w:marTop w:val="0"/>
      <w:marBottom w:val="0"/>
      <w:divBdr>
        <w:top w:val="none" w:sz="0" w:space="0" w:color="auto"/>
        <w:left w:val="none" w:sz="0" w:space="0" w:color="auto"/>
        <w:bottom w:val="none" w:sz="0" w:space="0" w:color="auto"/>
        <w:right w:val="none" w:sz="0" w:space="0" w:color="auto"/>
      </w:divBdr>
    </w:div>
    <w:div w:id="1838227019">
      <w:bodyDiv w:val="1"/>
      <w:marLeft w:val="0"/>
      <w:marRight w:val="0"/>
      <w:marTop w:val="0"/>
      <w:marBottom w:val="0"/>
      <w:divBdr>
        <w:top w:val="none" w:sz="0" w:space="0" w:color="auto"/>
        <w:left w:val="none" w:sz="0" w:space="0" w:color="auto"/>
        <w:bottom w:val="none" w:sz="0" w:space="0" w:color="auto"/>
        <w:right w:val="none" w:sz="0" w:space="0" w:color="auto"/>
      </w:divBdr>
    </w:div>
    <w:div w:id="1838378303">
      <w:bodyDiv w:val="1"/>
      <w:marLeft w:val="0"/>
      <w:marRight w:val="0"/>
      <w:marTop w:val="0"/>
      <w:marBottom w:val="0"/>
      <w:divBdr>
        <w:top w:val="none" w:sz="0" w:space="0" w:color="auto"/>
        <w:left w:val="none" w:sz="0" w:space="0" w:color="auto"/>
        <w:bottom w:val="none" w:sz="0" w:space="0" w:color="auto"/>
        <w:right w:val="none" w:sz="0" w:space="0" w:color="auto"/>
      </w:divBdr>
    </w:div>
    <w:div w:id="1838496327">
      <w:bodyDiv w:val="1"/>
      <w:marLeft w:val="0"/>
      <w:marRight w:val="0"/>
      <w:marTop w:val="0"/>
      <w:marBottom w:val="0"/>
      <w:divBdr>
        <w:top w:val="none" w:sz="0" w:space="0" w:color="auto"/>
        <w:left w:val="none" w:sz="0" w:space="0" w:color="auto"/>
        <w:bottom w:val="none" w:sz="0" w:space="0" w:color="auto"/>
        <w:right w:val="none" w:sz="0" w:space="0" w:color="auto"/>
      </w:divBdr>
    </w:div>
    <w:div w:id="1838573098">
      <w:bodyDiv w:val="1"/>
      <w:marLeft w:val="0"/>
      <w:marRight w:val="0"/>
      <w:marTop w:val="0"/>
      <w:marBottom w:val="0"/>
      <w:divBdr>
        <w:top w:val="none" w:sz="0" w:space="0" w:color="auto"/>
        <w:left w:val="none" w:sz="0" w:space="0" w:color="auto"/>
        <w:bottom w:val="none" w:sz="0" w:space="0" w:color="auto"/>
        <w:right w:val="none" w:sz="0" w:space="0" w:color="auto"/>
      </w:divBdr>
    </w:div>
    <w:div w:id="1838811286">
      <w:bodyDiv w:val="1"/>
      <w:marLeft w:val="0"/>
      <w:marRight w:val="0"/>
      <w:marTop w:val="0"/>
      <w:marBottom w:val="0"/>
      <w:divBdr>
        <w:top w:val="none" w:sz="0" w:space="0" w:color="auto"/>
        <w:left w:val="none" w:sz="0" w:space="0" w:color="auto"/>
        <w:bottom w:val="none" w:sz="0" w:space="0" w:color="auto"/>
        <w:right w:val="none" w:sz="0" w:space="0" w:color="auto"/>
      </w:divBdr>
    </w:div>
    <w:div w:id="1838959461">
      <w:bodyDiv w:val="1"/>
      <w:marLeft w:val="0"/>
      <w:marRight w:val="0"/>
      <w:marTop w:val="0"/>
      <w:marBottom w:val="0"/>
      <w:divBdr>
        <w:top w:val="none" w:sz="0" w:space="0" w:color="auto"/>
        <w:left w:val="none" w:sz="0" w:space="0" w:color="auto"/>
        <w:bottom w:val="none" w:sz="0" w:space="0" w:color="auto"/>
        <w:right w:val="none" w:sz="0" w:space="0" w:color="auto"/>
      </w:divBdr>
    </w:div>
    <w:div w:id="1839032881">
      <w:bodyDiv w:val="1"/>
      <w:marLeft w:val="0"/>
      <w:marRight w:val="0"/>
      <w:marTop w:val="0"/>
      <w:marBottom w:val="0"/>
      <w:divBdr>
        <w:top w:val="none" w:sz="0" w:space="0" w:color="auto"/>
        <w:left w:val="none" w:sz="0" w:space="0" w:color="auto"/>
        <w:bottom w:val="none" w:sz="0" w:space="0" w:color="auto"/>
        <w:right w:val="none" w:sz="0" w:space="0" w:color="auto"/>
      </w:divBdr>
    </w:div>
    <w:div w:id="1839075145">
      <w:bodyDiv w:val="1"/>
      <w:marLeft w:val="0"/>
      <w:marRight w:val="0"/>
      <w:marTop w:val="0"/>
      <w:marBottom w:val="0"/>
      <w:divBdr>
        <w:top w:val="none" w:sz="0" w:space="0" w:color="auto"/>
        <w:left w:val="none" w:sz="0" w:space="0" w:color="auto"/>
        <w:bottom w:val="none" w:sz="0" w:space="0" w:color="auto"/>
        <w:right w:val="none" w:sz="0" w:space="0" w:color="auto"/>
      </w:divBdr>
    </w:div>
    <w:div w:id="1839078116">
      <w:bodyDiv w:val="1"/>
      <w:marLeft w:val="0"/>
      <w:marRight w:val="0"/>
      <w:marTop w:val="0"/>
      <w:marBottom w:val="0"/>
      <w:divBdr>
        <w:top w:val="none" w:sz="0" w:space="0" w:color="auto"/>
        <w:left w:val="none" w:sz="0" w:space="0" w:color="auto"/>
        <w:bottom w:val="none" w:sz="0" w:space="0" w:color="auto"/>
        <w:right w:val="none" w:sz="0" w:space="0" w:color="auto"/>
      </w:divBdr>
    </w:div>
    <w:div w:id="1839231393">
      <w:bodyDiv w:val="1"/>
      <w:marLeft w:val="0"/>
      <w:marRight w:val="0"/>
      <w:marTop w:val="0"/>
      <w:marBottom w:val="0"/>
      <w:divBdr>
        <w:top w:val="none" w:sz="0" w:space="0" w:color="auto"/>
        <w:left w:val="none" w:sz="0" w:space="0" w:color="auto"/>
        <w:bottom w:val="none" w:sz="0" w:space="0" w:color="auto"/>
        <w:right w:val="none" w:sz="0" w:space="0" w:color="auto"/>
      </w:divBdr>
    </w:div>
    <w:div w:id="1839269365">
      <w:bodyDiv w:val="1"/>
      <w:marLeft w:val="0"/>
      <w:marRight w:val="0"/>
      <w:marTop w:val="0"/>
      <w:marBottom w:val="0"/>
      <w:divBdr>
        <w:top w:val="none" w:sz="0" w:space="0" w:color="auto"/>
        <w:left w:val="none" w:sz="0" w:space="0" w:color="auto"/>
        <w:bottom w:val="none" w:sz="0" w:space="0" w:color="auto"/>
        <w:right w:val="none" w:sz="0" w:space="0" w:color="auto"/>
      </w:divBdr>
    </w:div>
    <w:div w:id="1839416350">
      <w:bodyDiv w:val="1"/>
      <w:marLeft w:val="0"/>
      <w:marRight w:val="0"/>
      <w:marTop w:val="0"/>
      <w:marBottom w:val="0"/>
      <w:divBdr>
        <w:top w:val="none" w:sz="0" w:space="0" w:color="auto"/>
        <w:left w:val="none" w:sz="0" w:space="0" w:color="auto"/>
        <w:bottom w:val="none" w:sz="0" w:space="0" w:color="auto"/>
        <w:right w:val="none" w:sz="0" w:space="0" w:color="auto"/>
      </w:divBdr>
    </w:div>
    <w:div w:id="1839465982">
      <w:bodyDiv w:val="1"/>
      <w:marLeft w:val="0"/>
      <w:marRight w:val="0"/>
      <w:marTop w:val="0"/>
      <w:marBottom w:val="0"/>
      <w:divBdr>
        <w:top w:val="none" w:sz="0" w:space="0" w:color="auto"/>
        <w:left w:val="none" w:sz="0" w:space="0" w:color="auto"/>
        <w:bottom w:val="none" w:sz="0" w:space="0" w:color="auto"/>
        <w:right w:val="none" w:sz="0" w:space="0" w:color="auto"/>
      </w:divBdr>
    </w:div>
    <w:div w:id="1839539244">
      <w:bodyDiv w:val="1"/>
      <w:marLeft w:val="0"/>
      <w:marRight w:val="0"/>
      <w:marTop w:val="0"/>
      <w:marBottom w:val="0"/>
      <w:divBdr>
        <w:top w:val="none" w:sz="0" w:space="0" w:color="auto"/>
        <w:left w:val="none" w:sz="0" w:space="0" w:color="auto"/>
        <w:bottom w:val="none" w:sz="0" w:space="0" w:color="auto"/>
        <w:right w:val="none" w:sz="0" w:space="0" w:color="auto"/>
      </w:divBdr>
    </w:div>
    <w:div w:id="1839728487">
      <w:bodyDiv w:val="1"/>
      <w:marLeft w:val="0"/>
      <w:marRight w:val="0"/>
      <w:marTop w:val="0"/>
      <w:marBottom w:val="0"/>
      <w:divBdr>
        <w:top w:val="none" w:sz="0" w:space="0" w:color="auto"/>
        <w:left w:val="none" w:sz="0" w:space="0" w:color="auto"/>
        <w:bottom w:val="none" w:sz="0" w:space="0" w:color="auto"/>
        <w:right w:val="none" w:sz="0" w:space="0" w:color="auto"/>
      </w:divBdr>
    </w:div>
    <w:div w:id="1839811425">
      <w:bodyDiv w:val="1"/>
      <w:marLeft w:val="0"/>
      <w:marRight w:val="0"/>
      <w:marTop w:val="0"/>
      <w:marBottom w:val="0"/>
      <w:divBdr>
        <w:top w:val="none" w:sz="0" w:space="0" w:color="auto"/>
        <w:left w:val="none" w:sz="0" w:space="0" w:color="auto"/>
        <w:bottom w:val="none" w:sz="0" w:space="0" w:color="auto"/>
        <w:right w:val="none" w:sz="0" w:space="0" w:color="auto"/>
      </w:divBdr>
    </w:div>
    <w:div w:id="1839884198">
      <w:bodyDiv w:val="1"/>
      <w:marLeft w:val="0"/>
      <w:marRight w:val="0"/>
      <w:marTop w:val="0"/>
      <w:marBottom w:val="0"/>
      <w:divBdr>
        <w:top w:val="none" w:sz="0" w:space="0" w:color="auto"/>
        <w:left w:val="none" w:sz="0" w:space="0" w:color="auto"/>
        <w:bottom w:val="none" w:sz="0" w:space="0" w:color="auto"/>
        <w:right w:val="none" w:sz="0" w:space="0" w:color="auto"/>
      </w:divBdr>
    </w:div>
    <w:div w:id="1839884308">
      <w:bodyDiv w:val="1"/>
      <w:marLeft w:val="0"/>
      <w:marRight w:val="0"/>
      <w:marTop w:val="0"/>
      <w:marBottom w:val="0"/>
      <w:divBdr>
        <w:top w:val="none" w:sz="0" w:space="0" w:color="auto"/>
        <w:left w:val="none" w:sz="0" w:space="0" w:color="auto"/>
        <w:bottom w:val="none" w:sz="0" w:space="0" w:color="auto"/>
        <w:right w:val="none" w:sz="0" w:space="0" w:color="auto"/>
      </w:divBdr>
    </w:div>
    <w:div w:id="1840193894">
      <w:bodyDiv w:val="1"/>
      <w:marLeft w:val="0"/>
      <w:marRight w:val="0"/>
      <w:marTop w:val="0"/>
      <w:marBottom w:val="0"/>
      <w:divBdr>
        <w:top w:val="none" w:sz="0" w:space="0" w:color="auto"/>
        <w:left w:val="none" w:sz="0" w:space="0" w:color="auto"/>
        <w:bottom w:val="none" w:sz="0" w:space="0" w:color="auto"/>
        <w:right w:val="none" w:sz="0" w:space="0" w:color="auto"/>
      </w:divBdr>
    </w:div>
    <w:div w:id="1840466713">
      <w:bodyDiv w:val="1"/>
      <w:marLeft w:val="0"/>
      <w:marRight w:val="0"/>
      <w:marTop w:val="0"/>
      <w:marBottom w:val="0"/>
      <w:divBdr>
        <w:top w:val="none" w:sz="0" w:space="0" w:color="auto"/>
        <w:left w:val="none" w:sz="0" w:space="0" w:color="auto"/>
        <w:bottom w:val="none" w:sz="0" w:space="0" w:color="auto"/>
        <w:right w:val="none" w:sz="0" w:space="0" w:color="auto"/>
      </w:divBdr>
    </w:div>
    <w:div w:id="1840539996">
      <w:bodyDiv w:val="1"/>
      <w:marLeft w:val="0"/>
      <w:marRight w:val="0"/>
      <w:marTop w:val="0"/>
      <w:marBottom w:val="0"/>
      <w:divBdr>
        <w:top w:val="none" w:sz="0" w:space="0" w:color="auto"/>
        <w:left w:val="none" w:sz="0" w:space="0" w:color="auto"/>
        <w:bottom w:val="none" w:sz="0" w:space="0" w:color="auto"/>
        <w:right w:val="none" w:sz="0" w:space="0" w:color="auto"/>
      </w:divBdr>
    </w:div>
    <w:div w:id="1840654917">
      <w:bodyDiv w:val="1"/>
      <w:marLeft w:val="0"/>
      <w:marRight w:val="0"/>
      <w:marTop w:val="0"/>
      <w:marBottom w:val="0"/>
      <w:divBdr>
        <w:top w:val="none" w:sz="0" w:space="0" w:color="auto"/>
        <w:left w:val="none" w:sz="0" w:space="0" w:color="auto"/>
        <w:bottom w:val="none" w:sz="0" w:space="0" w:color="auto"/>
        <w:right w:val="none" w:sz="0" w:space="0" w:color="auto"/>
      </w:divBdr>
    </w:div>
    <w:div w:id="1840728389">
      <w:bodyDiv w:val="1"/>
      <w:marLeft w:val="0"/>
      <w:marRight w:val="0"/>
      <w:marTop w:val="0"/>
      <w:marBottom w:val="0"/>
      <w:divBdr>
        <w:top w:val="none" w:sz="0" w:space="0" w:color="auto"/>
        <w:left w:val="none" w:sz="0" w:space="0" w:color="auto"/>
        <w:bottom w:val="none" w:sz="0" w:space="0" w:color="auto"/>
        <w:right w:val="none" w:sz="0" w:space="0" w:color="auto"/>
      </w:divBdr>
    </w:div>
    <w:div w:id="1841001720">
      <w:bodyDiv w:val="1"/>
      <w:marLeft w:val="0"/>
      <w:marRight w:val="0"/>
      <w:marTop w:val="0"/>
      <w:marBottom w:val="0"/>
      <w:divBdr>
        <w:top w:val="none" w:sz="0" w:space="0" w:color="auto"/>
        <w:left w:val="none" w:sz="0" w:space="0" w:color="auto"/>
        <w:bottom w:val="none" w:sz="0" w:space="0" w:color="auto"/>
        <w:right w:val="none" w:sz="0" w:space="0" w:color="auto"/>
      </w:divBdr>
    </w:div>
    <w:div w:id="1841001988">
      <w:bodyDiv w:val="1"/>
      <w:marLeft w:val="0"/>
      <w:marRight w:val="0"/>
      <w:marTop w:val="0"/>
      <w:marBottom w:val="0"/>
      <w:divBdr>
        <w:top w:val="none" w:sz="0" w:space="0" w:color="auto"/>
        <w:left w:val="none" w:sz="0" w:space="0" w:color="auto"/>
        <w:bottom w:val="none" w:sz="0" w:space="0" w:color="auto"/>
        <w:right w:val="none" w:sz="0" w:space="0" w:color="auto"/>
      </w:divBdr>
    </w:div>
    <w:div w:id="1841197918">
      <w:bodyDiv w:val="1"/>
      <w:marLeft w:val="0"/>
      <w:marRight w:val="0"/>
      <w:marTop w:val="0"/>
      <w:marBottom w:val="0"/>
      <w:divBdr>
        <w:top w:val="none" w:sz="0" w:space="0" w:color="auto"/>
        <w:left w:val="none" w:sz="0" w:space="0" w:color="auto"/>
        <w:bottom w:val="none" w:sz="0" w:space="0" w:color="auto"/>
        <w:right w:val="none" w:sz="0" w:space="0" w:color="auto"/>
      </w:divBdr>
    </w:div>
    <w:div w:id="1841235102">
      <w:bodyDiv w:val="1"/>
      <w:marLeft w:val="0"/>
      <w:marRight w:val="0"/>
      <w:marTop w:val="0"/>
      <w:marBottom w:val="0"/>
      <w:divBdr>
        <w:top w:val="none" w:sz="0" w:space="0" w:color="auto"/>
        <w:left w:val="none" w:sz="0" w:space="0" w:color="auto"/>
        <w:bottom w:val="none" w:sz="0" w:space="0" w:color="auto"/>
        <w:right w:val="none" w:sz="0" w:space="0" w:color="auto"/>
      </w:divBdr>
    </w:div>
    <w:div w:id="1841581033">
      <w:bodyDiv w:val="1"/>
      <w:marLeft w:val="0"/>
      <w:marRight w:val="0"/>
      <w:marTop w:val="0"/>
      <w:marBottom w:val="0"/>
      <w:divBdr>
        <w:top w:val="none" w:sz="0" w:space="0" w:color="auto"/>
        <w:left w:val="none" w:sz="0" w:space="0" w:color="auto"/>
        <w:bottom w:val="none" w:sz="0" w:space="0" w:color="auto"/>
        <w:right w:val="none" w:sz="0" w:space="0" w:color="auto"/>
      </w:divBdr>
    </w:div>
    <w:div w:id="1841701191">
      <w:bodyDiv w:val="1"/>
      <w:marLeft w:val="0"/>
      <w:marRight w:val="0"/>
      <w:marTop w:val="0"/>
      <w:marBottom w:val="0"/>
      <w:divBdr>
        <w:top w:val="none" w:sz="0" w:space="0" w:color="auto"/>
        <w:left w:val="none" w:sz="0" w:space="0" w:color="auto"/>
        <w:bottom w:val="none" w:sz="0" w:space="0" w:color="auto"/>
        <w:right w:val="none" w:sz="0" w:space="0" w:color="auto"/>
      </w:divBdr>
    </w:div>
    <w:div w:id="1842156217">
      <w:bodyDiv w:val="1"/>
      <w:marLeft w:val="0"/>
      <w:marRight w:val="0"/>
      <w:marTop w:val="0"/>
      <w:marBottom w:val="0"/>
      <w:divBdr>
        <w:top w:val="none" w:sz="0" w:space="0" w:color="auto"/>
        <w:left w:val="none" w:sz="0" w:space="0" w:color="auto"/>
        <w:bottom w:val="none" w:sz="0" w:space="0" w:color="auto"/>
        <w:right w:val="none" w:sz="0" w:space="0" w:color="auto"/>
      </w:divBdr>
    </w:div>
    <w:div w:id="1842158773">
      <w:bodyDiv w:val="1"/>
      <w:marLeft w:val="0"/>
      <w:marRight w:val="0"/>
      <w:marTop w:val="0"/>
      <w:marBottom w:val="0"/>
      <w:divBdr>
        <w:top w:val="none" w:sz="0" w:space="0" w:color="auto"/>
        <w:left w:val="none" w:sz="0" w:space="0" w:color="auto"/>
        <w:bottom w:val="none" w:sz="0" w:space="0" w:color="auto"/>
        <w:right w:val="none" w:sz="0" w:space="0" w:color="auto"/>
      </w:divBdr>
    </w:div>
    <w:div w:id="1842232034">
      <w:bodyDiv w:val="1"/>
      <w:marLeft w:val="0"/>
      <w:marRight w:val="0"/>
      <w:marTop w:val="0"/>
      <w:marBottom w:val="0"/>
      <w:divBdr>
        <w:top w:val="none" w:sz="0" w:space="0" w:color="auto"/>
        <w:left w:val="none" w:sz="0" w:space="0" w:color="auto"/>
        <w:bottom w:val="none" w:sz="0" w:space="0" w:color="auto"/>
        <w:right w:val="none" w:sz="0" w:space="0" w:color="auto"/>
      </w:divBdr>
    </w:div>
    <w:div w:id="1842239024">
      <w:bodyDiv w:val="1"/>
      <w:marLeft w:val="0"/>
      <w:marRight w:val="0"/>
      <w:marTop w:val="0"/>
      <w:marBottom w:val="0"/>
      <w:divBdr>
        <w:top w:val="none" w:sz="0" w:space="0" w:color="auto"/>
        <w:left w:val="none" w:sz="0" w:space="0" w:color="auto"/>
        <w:bottom w:val="none" w:sz="0" w:space="0" w:color="auto"/>
        <w:right w:val="none" w:sz="0" w:space="0" w:color="auto"/>
      </w:divBdr>
    </w:div>
    <w:div w:id="1842309641">
      <w:bodyDiv w:val="1"/>
      <w:marLeft w:val="0"/>
      <w:marRight w:val="0"/>
      <w:marTop w:val="0"/>
      <w:marBottom w:val="0"/>
      <w:divBdr>
        <w:top w:val="none" w:sz="0" w:space="0" w:color="auto"/>
        <w:left w:val="none" w:sz="0" w:space="0" w:color="auto"/>
        <w:bottom w:val="none" w:sz="0" w:space="0" w:color="auto"/>
        <w:right w:val="none" w:sz="0" w:space="0" w:color="auto"/>
      </w:divBdr>
    </w:div>
    <w:div w:id="1842314565">
      <w:bodyDiv w:val="1"/>
      <w:marLeft w:val="0"/>
      <w:marRight w:val="0"/>
      <w:marTop w:val="0"/>
      <w:marBottom w:val="0"/>
      <w:divBdr>
        <w:top w:val="none" w:sz="0" w:space="0" w:color="auto"/>
        <w:left w:val="none" w:sz="0" w:space="0" w:color="auto"/>
        <w:bottom w:val="none" w:sz="0" w:space="0" w:color="auto"/>
        <w:right w:val="none" w:sz="0" w:space="0" w:color="auto"/>
      </w:divBdr>
    </w:div>
    <w:div w:id="1842426216">
      <w:bodyDiv w:val="1"/>
      <w:marLeft w:val="0"/>
      <w:marRight w:val="0"/>
      <w:marTop w:val="0"/>
      <w:marBottom w:val="0"/>
      <w:divBdr>
        <w:top w:val="none" w:sz="0" w:space="0" w:color="auto"/>
        <w:left w:val="none" w:sz="0" w:space="0" w:color="auto"/>
        <w:bottom w:val="none" w:sz="0" w:space="0" w:color="auto"/>
        <w:right w:val="none" w:sz="0" w:space="0" w:color="auto"/>
      </w:divBdr>
    </w:div>
    <w:div w:id="1842500475">
      <w:bodyDiv w:val="1"/>
      <w:marLeft w:val="0"/>
      <w:marRight w:val="0"/>
      <w:marTop w:val="0"/>
      <w:marBottom w:val="0"/>
      <w:divBdr>
        <w:top w:val="none" w:sz="0" w:space="0" w:color="auto"/>
        <w:left w:val="none" w:sz="0" w:space="0" w:color="auto"/>
        <w:bottom w:val="none" w:sz="0" w:space="0" w:color="auto"/>
        <w:right w:val="none" w:sz="0" w:space="0" w:color="auto"/>
      </w:divBdr>
    </w:div>
    <w:div w:id="1842504933">
      <w:bodyDiv w:val="1"/>
      <w:marLeft w:val="0"/>
      <w:marRight w:val="0"/>
      <w:marTop w:val="0"/>
      <w:marBottom w:val="0"/>
      <w:divBdr>
        <w:top w:val="none" w:sz="0" w:space="0" w:color="auto"/>
        <w:left w:val="none" w:sz="0" w:space="0" w:color="auto"/>
        <w:bottom w:val="none" w:sz="0" w:space="0" w:color="auto"/>
        <w:right w:val="none" w:sz="0" w:space="0" w:color="auto"/>
      </w:divBdr>
    </w:div>
    <w:div w:id="1842699119">
      <w:bodyDiv w:val="1"/>
      <w:marLeft w:val="0"/>
      <w:marRight w:val="0"/>
      <w:marTop w:val="0"/>
      <w:marBottom w:val="0"/>
      <w:divBdr>
        <w:top w:val="none" w:sz="0" w:space="0" w:color="auto"/>
        <w:left w:val="none" w:sz="0" w:space="0" w:color="auto"/>
        <w:bottom w:val="none" w:sz="0" w:space="0" w:color="auto"/>
        <w:right w:val="none" w:sz="0" w:space="0" w:color="auto"/>
      </w:divBdr>
    </w:div>
    <w:div w:id="1842700820">
      <w:bodyDiv w:val="1"/>
      <w:marLeft w:val="0"/>
      <w:marRight w:val="0"/>
      <w:marTop w:val="0"/>
      <w:marBottom w:val="0"/>
      <w:divBdr>
        <w:top w:val="none" w:sz="0" w:space="0" w:color="auto"/>
        <w:left w:val="none" w:sz="0" w:space="0" w:color="auto"/>
        <w:bottom w:val="none" w:sz="0" w:space="0" w:color="auto"/>
        <w:right w:val="none" w:sz="0" w:space="0" w:color="auto"/>
      </w:divBdr>
    </w:div>
    <w:div w:id="1842769122">
      <w:bodyDiv w:val="1"/>
      <w:marLeft w:val="0"/>
      <w:marRight w:val="0"/>
      <w:marTop w:val="0"/>
      <w:marBottom w:val="0"/>
      <w:divBdr>
        <w:top w:val="none" w:sz="0" w:space="0" w:color="auto"/>
        <w:left w:val="none" w:sz="0" w:space="0" w:color="auto"/>
        <w:bottom w:val="none" w:sz="0" w:space="0" w:color="auto"/>
        <w:right w:val="none" w:sz="0" w:space="0" w:color="auto"/>
      </w:divBdr>
    </w:div>
    <w:div w:id="1842771056">
      <w:bodyDiv w:val="1"/>
      <w:marLeft w:val="0"/>
      <w:marRight w:val="0"/>
      <w:marTop w:val="0"/>
      <w:marBottom w:val="0"/>
      <w:divBdr>
        <w:top w:val="none" w:sz="0" w:space="0" w:color="auto"/>
        <w:left w:val="none" w:sz="0" w:space="0" w:color="auto"/>
        <w:bottom w:val="none" w:sz="0" w:space="0" w:color="auto"/>
        <w:right w:val="none" w:sz="0" w:space="0" w:color="auto"/>
      </w:divBdr>
    </w:div>
    <w:div w:id="1842886358">
      <w:bodyDiv w:val="1"/>
      <w:marLeft w:val="0"/>
      <w:marRight w:val="0"/>
      <w:marTop w:val="0"/>
      <w:marBottom w:val="0"/>
      <w:divBdr>
        <w:top w:val="none" w:sz="0" w:space="0" w:color="auto"/>
        <w:left w:val="none" w:sz="0" w:space="0" w:color="auto"/>
        <w:bottom w:val="none" w:sz="0" w:space="0" w:color="auto"/>
        <w:right w:val="none" w:sz="0" w:space="0" w:color="auto"/>
      </w:divBdr>
    </w:div>
    <w:div w:id="1842962645">
      <w:bodyDiv w:val="1"/>
      <w:marLeft w:val="0"/>
      <w:marRight w:val="0"/>
      <w:marTop w:val="0"/>
      <w:marBottom w:val="0"/>
      <w:divBdr>
        <w:top w:val="none" w:sz="0" w:space="0" w:color="auto"/>
        <w:left w:val="none" w:sz="0" w:space="0" w:color="auto"/>
        <w:bottom w:val="none" w:sz="0" w:space="0" w:color="auto"/>
        <w:right w:val="none" w:sz="0" w:space="0" w:color="auto"/>
      </w:divBdr>
    </w:div>
    <w:div w:id="1842964640">
      <w:bodyDiv w:val="1"/>
      <w:marLeft w:val="0"/>
      <w:marRight w:val="0"/>
      <w:marTop w:val="0"/>
      <w:marBottom w:val="0"/>
      <w:divBdr>
        <w:top w:val="none" w:sz="0" w:space="0" w:color="auto"/>
        <w:left w:val="none" w:sz="0" w:space="0" w:color="auto"/>
        <w:bottom w:val="none" w:sz="0" w:space="0" w:color="auto"/>
        <w:right w:val="none" w:sz="0" w:space="0" w:color="auto"/>
      </w:divBdr>
    </w:div>
    <w:div w:id="1842966338">
      <w:bodyDiv w:val="1"/>
      <w:marLeft w:val="0"/>
      <w:marRight w:val="0"/>
      <w:marTop w:val="0"/>
      <w:marBottom w:val="0"/>
      <w:divBdr>
        <w:top w:val="none" w:sz="0" w:space="0" w:color="auto"/>
        <w:left w:val="none" w:sz="0" w:space="0" w:color="auto"/>
        <w:bottom w:val="none" w:sz="0" w:space="0" w:color="auto"/>
        <w:right w:val="none" w:sz="0" w:space="0" w:color="auto"/>
      </w:divBdr>
    </w:div>
    <w:div w:id="1842966693">
      <w:bodyDiv w:val="1"/>
      <w:marLeft w:val="0"/>
      <w:marRight w:val="0"/>
      <w:marTop w:val="0"/>
      <w:marBottom w:val="0"/>
      <w:divBdr>
        <w:top w:val="none" w:sz="0" w:space="0" w:color="auto"/>
        <w:left w:val="none" w:sz="0" w:space="0" w:color="auto"/>
        <w:bottom w:val="none" w:sz="0" w:space="0" w:color="auto"/>
        <w:right w:val="none" w:sz="0" w:space="0" w:color="auto"/>
      </w:divBdr>
    </w:div>
    <w:div w:id="1842968536">
      <w:bodyDiv w:val="1"/>
      <w:marLeft w:val="0"/>
      <w:marRight w:val="0"/>
      <w:marTop w:val="0"/>
      <w:marBottom w:val="0"/>
      <w:divBdr>
        <w:top w:val="none" w:sz="0" w:space="0" w:color="auto"/>
        <w:left w:val="none" w:sz="0" w:space="0" w:color="auto"/>
        <w:bottom w:val="none" w:sz="0" w:space="0" w:color="auto"/>
        <w:right w:val="none" w:sz="0" w:space="0" w:color="auto"/>
      </w:divBdr>
    </w:div>
    <w:div w:id="1842969729">
      <w:bodyDiv w:val="1"/>
      <w:marLeft w:val="0"/>
      <w:marRight w:val="0"/>
      <w:marTop w:val="0"/>
      <w:marBottom w:val="0"/>
      <w:divBdr>
        <w:top w:val="none" w:sz="0" w:space="0" w:color="auto"/>
        <w:left w:val="none" w:sz="0" w:space="0" w:color="auto"/>
        <w:bottom w:val="none" w:sz="0" w:space="0" w:color="auto"/>
        <w:right w:val="none" w:sz="0" w:space="0" w:color="auto"/>
      </w:divBdr>
    </w:div>
    <w:div w:id="1843011926">
      <w:bodyDiv w:val="1"/>
      <w:marLeft w:val="0"/>
      <w:marRight w:val="0"/>
      <w:marTop w:val="0"/>
      <w:marBottom w:val="0"/>
      <w:divBdr>
        <w:top w:val="none" w:sz="0" w:space="0" w:color="auto"/>
        <w:left w:val="none" w:sz="0" w:space="0" w:color="auto"/>
        <w:bottom w:val="none" w:sz="0" w:space="0" w:color="auto"/>
        <w:right w:val="none" w:sz="0" w:space="0" w:color="auto"/>
      </w:divBdr>
    </w:div>
    <w:div w:id="1843204621">
      <w:bodyDiv w:val="1"/>
      <w:marLeft w:val="0"/>
      <w:marRight w:val="0"/>
      <w:marTop w:val="0"/>
      <w:marBottom w:val="0"/>
      <w:divBdr>
        <w:top w:val="none" w:sz="0" w:space="0" w:color="auto"/>
        <w:left w:val="none" w:sz="0" w:space="0" w:color="auto"/>
        <w:bottom w:val="none" w:sz="0" w:space="0" w:color="auto"/>
        <w:right w:val="none" w:sz="0" w:space="0" w:color="auto"/>
      </w:divBdr>
    </w:div>
    <w:div w:id="1843356650">
      <w:bodyDiv w:val="1"/>
      <w:marLeft w:val="0"/>
      <w:marRight w:val="0"/>
      <w:marTop w:val="0"/>
      <w:marBottom w:val="0"/>
      <w:divBdr>
        <w:top w:val="none" w:sz="0" w:space="0" w:color="auto"/>
        <w:left w:val="none" w:sz="0" w:space="0" w:color="auto"/>
        <w:bottom w:val="none" w:sz="0" w:space="0" w:color="auto"/>
        <w:right w:val="none" w:sz="0" w:space="0" w:color="auto"/>
      </w:divBdr>
    </w:div>
    <w:div w:id="1843424635">
      <w:bodyDiv w:val="1"/>
      <w:marLeft w:val="0"/>
      <w:marRight w:val="0"/>
      <w:marTop w:val="0"/>
      <w:marBottom w:val="0"/>
      <w:divBdr>
        <w:top w:val="none" w:sz="0" w:space="0" w:color="auto"/>
        <w:left w:val="none" w:sz="0" w:space="0" w:color="auto"/>
        <w:bottom w:val="none" w:sz="0" w:space="0" w:color="auto"/>
        <w:right w:val="none" w:sz="0" w:space="0" w:color="auto"/>
      </w:divBdr>
    </w:div>
    <w:div w:id="1843470166">
      <w:bodyDiv w:val="1"/>
      <w:marLeft w:val="0"/>
      <w:marRight w:val="0"/>
      <w:marTop w:val="0"/>
      <w:marBottom w:val="0"/>
      <w:divBdr>
        <w:top w:val="none" w:sz="0" w:space="0" w:color="auto"/>
        <w:left w:val="none" w:sz="0" w:space="0" w:color="auto"/>
        <w:bottom w:val="none" w:sz="0" w:space="0" w:color="auto"/>
        <w:right w:val="none" w:sz="0" w:space="0" w:color="auto"/>
      </w:divBdr>
    </w:div>
    <w:div w:id="1843616131">
      <w:bodyDiv w:val="1"/>
      <w:marLeft w:val="0"/>
      <w:marRight w:val="0"/>
      <w:marTop w:val="0"/>
      <w:marBottom w:val="0"/>
      <w:divBdr>
        <w:top w:val="none" w:sz="0" w:space="0" w:color="auto"/>
        <w:left w:val="none" w:sz="0" w:space="0" w:color="auto"/>
        <w:bottom w:val="none" w:sz="0" w:space="0" w:color="auto"/>
        <w:right w:val="none" w:sz="0" w:space="0" w:color="auto"/>
      </w:divBdr>
    </w:div>
    <w:div w:id="1843664569">
      <w:bodyDiv w:val="1"/>
      <w:marLeft w:val="0"/>
      <w:marRight w:val="0"/>
      <w:marTop w:val="0"/>
      <w:marBottom w:val="0"/>
      <w:divBdr>
        <w:top w:val="none" w:sz="0" w:space="0" w:color="auto"/>
        <w:left w:val="none" w:sz="0" w:space="0" w:color="auto"/>
        <w:bottom w:val="none" w:sz="0" w:space="0" w:color="auto"/>
        <w:right w:val="none" w:sz="0" w:space="0" w:color="auto"/>
      </w:divBdr>
    </w:div>
    <w:div w:id="1843856077">
      <w:bodyDiv w:val="1"/>
      <w:marLeft w:val="0"/>
      <w:marRight w:val="0"/>
      <w:marTop w:val="0"/>
      <w:marBottom w:val="0"/>
      <w:divBdr>
        <w:top w:val="none" w:sz="0" w:space="0" w:color="auto"/>
        <w:left w:val="none" w:sz="0" w:space="0" w:color="auto"/>
        <w:bottom w:val="none" w:sz="0" w:space="0" w:color="auto"/>
        <w:right w:val="none" w:sz="0" w:space="0" w:color="auto"/>
      </w:divBdr>
    </w:div>
    <w:div w:id="1843887647">
      <w:bodyDiv w:val="1"/>
      <w:marLeft w:val="0"/>
      <w:marRight w:val="0"/>
      <w:marTop w:val="0"/>
      <w:marBottom w:val="0"/>
      <w:divBdr>
        <w:top w:val="none" w:sz="0" w:space="0" w:color="auto"/>
        <w:left w:val="none" w:sz="0" w:space="0" w:color="auto"/>
        <w:bottom w:val="none" w:sz="0" w:space="0" w:color="auto"/>
        <w:right w:val="none" w:sz="0" w:space="0" w:color="auto"/>
      </w:divBdr>
    </w:div>
    <w:div w:id="1843930417">
      <w:bodyDiv w:val="1"/>
      <w:marLeft w:val="0"/>
      <w:marRight w:val="0"/>
      <w:marTop w:val="0"/>
      <w:marBottom w:val="0"/>
      <w:divBdr>
        <w:top w:val="none" w:sz="0" w:space="0" w:color="auto"/>
        <w:left w:val="none" w:sz="0" w:space="0" w:color="auto"/>
        <w:bottom w:val="none" w:sz="0" w:space="0" w:color="auto"/>
        <w:right w:val="none" w:sz="0" w:space="0" w:color="auto"/>
      </w:divBdr>
    </w:div>
    <w:div w:id="1844006707">
      <w:bodyDiv w:val="1"/>
      <w:marLeft w:val="0"/>
      <w:marRight w:val="0"/>
      <w:marTop w:val="0"/>
      <w:marBottom w:val="0"/>
      <w:divBdr>
        <w:top w:val="none" w:sz="0" w:space="0" w:color="auto"/>
        <w:left w:val="none" w:sz="0" w:space="0" w:color="auto"/>
        <w:bottom w:val="none" w:sz="0" w:space="0" w:color="auto"/>
        <w:right w:val="none" w:sz="0" w:space="0" w:color="auto"/>
      </w:divBdr>
    </w:div>
    <w:div w:id="1844007542">
      <w:bodyDiv w:val="1"/>
      <w:marLeft w:val="0"/>
      <w:marRight w:val="0"/>
      <w:marTop w:val="0"/>
      <w:marBottom w:val="0"/>
      <w:divBdr>
        <w:top w:val="none" w:sz="0" w:space="0" w:color="auto"/>
        <w:left w:val="none" w:sz="0" w:space="0" w:color="auto"/>
        <w:bottom w:val="none" w:sz="0" w:space="0" w:color="auto"/>
        <w:right w:val="none" w:sz="0" w:space="0" w:color="auto"/>
      </w:divBdr>
    </w:div>
    <w:div w:id="1844120837">
      <w:bodyDiv w:val="1"/>
      <w:marLeft w:val="0"/>
      <w:marRight w:val="0"/>
      <w:marTop w:val="0"/>
      <w:marBottom w:val="0"/>
      <w:divBdr>
        <w:top w:val="none" w:sz="0" w:space="0" w:color="auto"/>
        <w:left w:val="none" w:sz="0" w:space="0" w:color="auto"/>
        <w:bottom w:val="none" w:sz="0" w:space="0" w:color="auto"/>
        <w:right w:val="none" w:sz="0" w:space="0" w:color="auto"/>
      </w:divBdr>
    </w:div>
    <w:div w:id="1844201333">
      <w:bodyDiv w:val="1"/>
      <w:marLeft w:val="0"/>
      <w:marRight w:val="0"/>
      <w:marTop w:val="0"/>
      <w:marBottom w:val="0"/>
      <w:divBdr>
        <w:top w:val="none" w:sz="0" w:space="0" w:color="auto"/>
        <w:left w:val="none" w:sz="0" w:space="0" w:color="auto"/>
        <w:bottom w:val="none" w:sz="0" w:space="0" w:color="auto"/>
        <w:right w:val="none" w:sz="0" w:space="0" w:color="auto"/>
      </w:divBdr>
    </w:div>
    <w:div w:id="1844201428">
      <w:bodyDiv w:val="1"/>
      <w:marLeft w:val="0"/>
      <w:marRight w:val="0"/>
      <w:marTop w:val="0"/>
      <w:marBottom w:val="0"/>
      <w:divBdr>
        <w:top w:val="none" w:sz="0" w:space="0" w:color="auto"/>
        <w:left w:val="none" w:sz="0" w:space="0" w:color="auto"/>
        <w:bottom w:val="none" w:sz="0" w:space="0" w:color="auto"/>
        <w:right w:val="none" w:sz="0" w:space="0" w:color="auto"/>
      </w:divBdr>
    </w:div>
    <w:div w:id="1844932228">
      <w:bodyDiv w:val="1"/>
      <w:marLeft w:val="0"/>
      <w:marRight w:val="0"/>
      <w:marTop w:val="0"/>
      <w:marBottom w:val="0"/>
      <w:divBdr>
        <w:top w:val="none" w:sz="0" w:space="0" w:color="auto"/>
        <w:left w:val="none" w:sz="0" w:space="0" w:color="auto"/>
        <w:bottom w:val="none" w:sz="0" w:space="0" w:color="auto"/>
        <w:right w:val="none" w:sz="0" w:space="0" w:color="auto"/>
      </w:divBdr>
    </w:div>
    <w:div w:id="1845051069">
      <w:bodyDiv w:val="1"/>
      <w:marLeft w:val="0"/>
      <w:marRight w:val="0"/>
      <w:marTop w:val="0"/>
      <w:marBottom w:val="0"/>
      <w:divBdr>
        <w:top w:val="none" w:sz="0" w:space="0" w:color="auto"/>
        <w:left w:val="none" w:sz="0" w:space="0" w:color="auto"/>
        <w:bottom w:val="none" w:sz="0" w:space="0" w:color="auto"/>
        <w:right w:val="none" w:sz="0" w:space="0" w:color="auto"/>
      </w:divBdr>
    </w:div>
    <w:div w:id="1845242845">
      <w:bodyDiv w:val="1"/>
      <w:marLeft w:val="0"/>
      <w:marRight w:val="0"/>
      <w:marTop w:val="0"/>
      <w:marBottom w:val="0"/>
      <w:divBdr>
        <w:top w:val="none" w:sz="0" w:space="0" w:color="auto"/>
        <w:left w:val="none" w:sz="0" w:space="0" w:color="auto"/>
        <w:bottom w:val="none" w:sz="0" w:space="0" w:color="auto"/>
        <w:right w:val="none" w:sz="0" w:space="0" w:color="auto"/>
      </w:divBdr>
    </w:div>
    <w:div w:id="1845313822">
      <w:bodyDiv w:val="1"/>
      <w:marLeft w:val="0"/>
      <w:marRight w:val="0"/>
      <w:marTop w:val="0"/>
      <w:marBottom w:val="0"/>
      <w:divBdr>
        <w:top w:val="none" w:sz="0" w:space="0" w:color="auto"/>
        <w:left w:val="none" w:sz="0" w:space="0" w:color="auto"/>
        <w:bottom w:val="none" w:sz="0" w:space="0" w:color="auto"/>
        <w:right w:val="none" w:sz="0" w:space="0" w:color="auto"/>
      </w:divBdr>
    </w:div>
    <w:div w:id="1845320674">
      <w:bodyDiv w:val="1"/>
      <w:marLeft w:val="0"/>
      <w:marRight w:val="0"/>
      <w:marTop w:val="0"/>
      <w:marBottom w:val="0"/>
      <w:divBdr>
        <w:top w:val="none" w:sz="0" w:space="0" w:color="auto"/>
        <w:left w:val="none" w:sz="0" w:space="0" w:color="auto"/>
        <w:bottom w:val="none" w:sz="0" w:space="0" w:color="auto"/>
        <w:right w:val="none" w:sz="0" w:space="0" w:color="auto"/>
      </w:divBdr>
    </w:div>
    <w:div w:id="1845513097">
      <w:bodyDiv w:val="1"/>
      <w:marLeft w:val="0"/>
      <w:marRight w:val="0"/>
      <w:marTop w:val="0"/>
      <w:marBottom w:val="0"/>
      <w:divBdr>
        <w:top w:val="none" w:sz="0" w:space="0" w:color="auto"/>
        <w:left w:val="none" w:sz="0" w:space="0" w:color="auto"/>
        <w:bottom w:val="none" w:sz="0" w:space="0" w:color="auto"/>
        <w:right w:val="none" w:sz="0" w:space="0" w:color="auto"/>
      </w:divBdr>
    </w:div>
    <w:div w:id="1845625701">
      <w:bodyDiv w:val="1"/>
      <w:marLeft w:val="0"/>
      <w:marRight w:val="0"/>
      <w:marTop w:val="0"/>
      <w:marBottom w:val="0"/>
      <w:divBdr>
        <w:top w:val="none" w:sz="0" w:space="0" w:color="auto"/>
        <w:left w:val="none" w:sz="0" w:space="0" w:color="auto"/>
        <w:bottom w:val="none" w:sz="0" w:space="0" w:color="auto"/>
        <w:right w:val="none" w:sz="0" w:space="0" w:color="auto"/>
      </w:divBdr>
    </w:div>
    <w:div w:id="1845776106">
      <w:bodyDiv w:val="1"/>
      <w:marLeft w:val="0"/>
      <w:marRight w:val="0"/>
      <w:marTop w:val="0"/>
      <w:marBottom w:val="0"/>
      <w:divBdr>
        <w:top w:val="none" w:sz="0" w:space="0" w:color="auto"/>
        <w:left w:val="none" w:sz="0" w:space="0" w:color="auto"/>
        <w:bottom w:val="none" w:sz="0" w:space="0" w:color="auto"/>
        <w:right w:val="none" w:sz="0" w:space="0" w:color="auto"/>
      </w:divBdr>
    </w:div>
    <w:div w:id="1845780144">
      <w:bodyDiv w:val="1"/>
      <w:marLeft w:val="0"/>
      <w:marRight w:val="0"/>
      <w:marTop w:val="0"/>
      <w:marBottom w:val="0"/>
      <w:divBdr>
        <w:top w:val="none" w:sz="0" w:space="0" w:color="auto"/>
        <w:left w:val="none" w:sz="0" w:space="0" w:color="auto"/>
        <w:bottom w:val="none" w:sz="0" w:space="0" w:color="auto"/>
        <w:right w:val="none" w:sz="0" w:space="0" w:color="auto"/>
      </w:divBdr>
    </w:div>
    <w:div w:id="1845974421">
      <w:bodyDiv w:val="1"/>
      <w:marLeft w:val="0"/>
      <w:marRight w:val="0"/>
      <w:marTop w:val="0"/>
      <w:marBottom w:val="0"/>
      <w:divBdr>
        <w:top w:val="none" w:sz="0" w:space="0" w:color="auto"/>
        <w:left w:val="none" w:sz="0" w:space="0" w:color="auto"/>
        <w:bottom w:val="none" w:sz="0" w:space="0" w:color="auto"/>
        <w:right w:val="none" w:sz="0" w:space="0" w:color="auto"/>
      </w:divBdr>
    </w:div>
    <w:div w:id="1845978106">
      <w:bodyDiv w:val="1"/>
      <w:marLeft w:val="0"/>
      <w:marRight w:val="0"/>
      <w:marTop w:val="0"/>
      <w:marBottom w:val="0"/>
      <w:divBdr>
        <w:top w:val="none" w:sz="0" w:space="0" w:color="auto"/>
        <w:left w:val="none" w:sz="0" w:space="0" w:color="auto"/>
        <w:bottom w:val="none" w:sz="0" w:space="0" w:color="auto"/>
        <w:right w:val="none" w:sz="0" w:space="0" w:color="auto"/>
      </w:divBdr>
    </w:div>
    <w:div w:id="1846019208">
      <w:bodyDiv w:val="1"/>
      <w:marLeft w:val="0"/>
      <w:marRight w:val="0"/>
      <w:marTop w:val="0"/>
      <w:marBottom w:val="0"/>
      <w:divBdr>
        <w:top w:val="none" w:sz="0" w:space="0" w:color="auto"/>
        <w:left w:val="none" w:sz="0" w:space="0" w:color="auto"/>
        <w:bottom w:val="none" w:sz="0" w:space="0" w:color="auto"/>
        <w:right w:val="none" w:sz="0" w:space="0" w:color="auto"/>
      </w:divBdr>
    </w:div>
    <w:div w:id="1846168759">
      <w:bodyDiv w:val="1"/>
      <w:marLeft w:val="0"/>
      <w:marRight w:val="0"/>
      <w:marTop w:val="0"/>
      <w:marBottom w:val="0"/>
      <w:divBdr>
        <w:top w:val="none" w:sz="0" w:space="0" w:color="auto"/>
        <w:left w:val="none" w:sz="0" w:space="0" w:color="auto"/>
        <w:bottom w:val="none" w:sz="0" w:space="0" w:color="auto"/>
        <w:right w:val="none" w:sz="0" w:space="0" w:color="auto"/>
      </w:divBdr>
    </w:div>
    <w:div w:id="1846629431">
      <w:bodyDiv w:val="1"/>
      <w:marLeft w:val="0"/>
      <w:marRight w:val="0"/>
      <w:marTop w:val="0"/>
      <w:marBottom w:val="0"/>
      <w:divBdr>
        <w:top w:val="none" w:sz="0" w:space="0" w:color="auto"/>
        <w:left w:val="none" w:sz="0" w:space="0" w:color="auto"/>
        <w:bottom w:val="none" w:sz="0" w:space="0" w:color="auto"/>
        <w:right w:val="none" w:sz="0" w:space="0" w:color="auto"/>
      </w:divBdr>
    </w:div>
    <w:div w:id="1846632844">
      <w:bodyDiv w:val="1"/>
      <w:marLeft w:val="0"/>
      <w:marRight w:val="0"/>
      <w:marTop w:val="0"/>
      <w:marBottom w:val="0"/>
      <w:divBdr>
        <w:top w:val="none" w:sz="0" w:space="0" w:color="auto"/>
        <w:left w:val="none" w:sz="0" w:space="0" w:color="auto"/>
        <w:bottom w:val="none" w:sz="0" w:space="0" w:color="auto"/>
        <w:right w:val="none" w:sz="0" w:space="0" w:color="auto"/>
      </w:divBdr>
    </w:div>
    <w:div w:id="1847208603">
      <w:bodyDiv w:val="1"/>
      <w:marLeft w:val="0"/>
      <w:marRight w:val="0"/>
      <w:marTop w:val="0"/>
      <w:marBottom w:val="0"/>
      <w:divBdr>
        <w:top w:val="none" w:sz="0" w:space="0" w:color="auto"/>
        <w:left w:val="none" w:sz="0" w:space="0" w:color="auto"/>
        <w:bottom w:val="none" w:sz="0" w:space="0" w:color="auto"/>
        <w:right w:val="none" w:sz="0" w:space="0" w:color="auto"/>
      </w:divBdr>
    </w:div>
    <w:div w:id="1847210739">
      <w:bodyDiv w:val="1"/>
      <w:marLeft w:val="0"/>
      <w:marRight w:val="0"/>
      <w:marTop w:val="0"/>
      <w:marBottom w:val="0"/>
      <w:divBdr>
        <w:top w:val="none" w:sz="0" w:space="0" w:color="auto"/>
        <w:left w:val="none" w:sz="0" w:space="0" w:color="auto"/>
        <w:bottom w:val="none" w:sz="0" w:space="0" w:color="auto"/>
        <w:right w:val="none" w:sz="0" w:space="0" w:color="auto"/>
      </w:divBdr>
    </w:div>
    <w:div w:id="1847400076">
      <w:bodyDiv w:val="1"/>
      <w:marLeft w:val="0"/>
      <w:marRight w:val="0"/>
      <w:marTop w:val="0"/>
      <w:marBottom w:val="0"/>
      <w:divBdr>
        <w:top w:val="none" w:sz="0" w:space="0" w:color="auto"/>
        <w:left w:val="none" w:sz="0" w:space="0" w:color="auto"/>
        <w:bottom w:val="none" w:sz="0" w:space="0" w:color="auto"/>
        <w:right w:val="none" w:sz="0" w:space="0" w:color="auto"/>
      </w:divBdr>
    </w:div>
    <w:div w:id="1847599881">
      <w:bodyDiv w:val="1"/>
      <w:marLeft w:val="0"/>
      <w:marRight w:val="0"/>
      <w:marTop w:val="0"/>
      <w:marBottom w:val="0"/>
      <w:divBdr>
        <w:top w:val="none" w:sz="0" w:space="0" w:color="auto"/>
        <w:left w:val="none" w:sz="0" w:space="0" w:color="auto"/>
        <w:bottom w:val="none" w:sz="0" w:space="0" w:color="auto"/>
        <w:right w:val="none" w:sz="0" w:space="0" w:color="auto"/>
      </w:divBdr>
    </w:div>
    <w:div w:id="1847741295">
      <w:bodyDiv w:val="1"/>
      <w:marLeft w:val="0"/>
      <w:marRight w:val="0"/>
      <w:marTop w:val="0"/>
      <w:marBottom w:val="0"/>
      <w:divBdr>
        <w:top w:val="none" w:sz="0" w:space="0" w:color="auto"/>
        <w:left w:val="none" w:sz="0" w:space="0" w:color="auto"/>
        <w:bottom w:val="none" w:sz="0" w:space="0" w:color="auto"/>
        <w:right w:val="none" w:sz="0" w:space="0" w:color="auto"/>
      </w:divBdr>
    </w:div>
    <w:div w:id="1848058986">
      <w:bodyDiv w:val="1"/>
      <w:marLeft w:val="0"/>
      <w:marRight w:val="0"/>
      <w:marTop w:val="0"/>
      <w:marBottom w:val="0"/>
      <w:divBdr>
        <w:top w:val="none" w:sz="0" w:space="0" w:color="auto"/>
        <w:left w:val="none" w:sz="0" w:space="0" w:color="auto"/>
        <w:bottom w:val="none" w:sz="0" w:space="0" w:color="auto"/>
        <w:right w:val="none" w:sz="0" w:space="0" w:color="auto"/>
      </w:divBdr>
    </w:div>
    <w:div w:id="1848203533">
      <w:bodyDiv w:val="1"/>
      <w:marLeft w:val="0"/>
      <w:marRight w:val="0"/>
      <w:marTop w:val="0"/>
      <w:marBottom w:val="0"/>
      <w:divBdr>
        <w:top w:val="none" w:sz="0" w:space="0" w:color="auto"/>
        <w:left w:val="none" w:sz="0" w:space="0" w:color="auto"/>
        <w:bottom w:val="none" w:sz="0" w:space="0" w:color="auto"/>
        <w:right w:val="none" w:sz="0" w:space="0" w:color="auto"/>
      </w:divBdr>
    </w:div>
    <w:div w:id="1848400903">
      <w:bodyDiv w:val="1"/>
      <w:marLeft w:val="0"/>
      <w:marRight w:val="0"/>
      <w:marTop w:val="0"/>
      <w:marBottom w:val="0"/>
      <w:divBdr>
        <w:top w:val="none" w:sz="0" w:space="0" w:color="auto"/>
        <w:left w:val="none" w:sz="0" w:space="0" w:color="auto"/>
        <w:bottom w:val="none" w:sz="0" w:space="0" w:color="auto"/>
        <w:right w:val="none" w:sz="0" w:space="0" w:color="auto"/>
      </w:divBdr>
    </w:div>
    <w:div w:id="1848402140">
      <w:bodyDiv w:val="1"/>
      <w:marLeft w:val="0"/>
      <w:marRight w:val="0"/>
      <w:marTop w:val="0"/>
      <w:marBottom w:val="0"/>
      <w:divBdr>
        <w:top w:val="none" w:sz="0" w:space="0" w:color="auto"/>
        <w:left w:val="none" w:sz="0" w:space="0" w:color="auto"/>
        <w:bottom w:val="none" w:sz="0" w:space="0" w:color="auto"/>
        <w:right w:val="none" w:sz="0" w:space="0" w:color="auto"/>
      </w:divBdr>
    </w:div>
    <w:div w:id="1848711152">
      <w:bodyDiv w:val="1"/>
      <w:marLeft w:val="0"/>
      <w:marRight w:val="0"/>
      <w:marTop w:val="0"/>
      <w:marBottom w:val="0"/>
      <w:divBdr>
        <w:top w:val="none" w:sz="0" w:space="0" w:color="auto"/>
        <w:left w:val="none" w:sz="0" w:space="0" w:color="auto"/>
        <w:bottom w:val="none" w:sz="0" w:space="0" w:color="auto"/>
        <w:right w:val="none" w:sz="0" w:space="0" w:color="auto"/>
      </w:divBdr>
    </w:div>
    <w:div w:id="1848716738">
      <w:bodyDiv w:val="1"/>
      <w:marLeft w:val="0"/>
      <w:marRight w:val="0"/>
      <w:marTop w:val="0"/>
      <w:marBottom w:val="0"/>
      <w:divBdr>
        <w:top w:val="none" w:sz="0" w:space="0" w:color="auto"/>
        <w:left w:val="none" w:sz="0" w:space="0" w:color="auto"/>
        <w:bottom w:val="none" w:sz="0" w:space="0" w:color="auto"/>
        <w:right w:val="none" w:sz="0" w:space="0" w:color="auto"/>
      </w:divBdr>
    </w:div>
    <w:div w:id="1848789767">
      <w:bodyDiv w:val="1"/>
      <w:marLeft w:val="0"/>
      <w:marRight w:val="0"/>
      <w:marTop w:val="0"/>
      <w:marBottom w:val="0"/>
      <w:divBdr>
        <w:top w:val="none" w:sz="0" w:space="0" w:color="auto"/>
        <w:left w:val="none" w:sz="0" w:space="0" w:color="auto"/>
        <w:bottom w:val="none" w:sz="0" w:space="0" w:color="auto"/>
        <w:right w:val="none" w:sz="0" w:space="0" w:color="auto"/>
      </w:divBdr>
    </w:div>
    <w:div w:id="1848909885">
      <w:bodyDiv w:val="1"/>
      <w:marLeft w:val="0"/>
      <w:marRight w:val="0"/>
      <w:marTop w:val="0"/>
      <w:marBottom w:val="0"/>
      <w:divBdr>
        <w:top w:val="none" w:sz="0" w:space="0" w:color="auto"/>
        <w:left w:val="none" w:sz="0" w:space="0" w:color="auto"/>
        <w:bottom w:val="none" w:sz="0" w:space="0" w:color="auto"/>
        <w:right w:val="none" w:sz="0" w:space="0" w:color="auto"/>
      </w:divBdr>
    </w:div>
    <w:div w:id="1849174208">
      <w:bodyDiv w:val="1"/>
      <w:marLeft w:val="0"/>
      <w:marRight w:val="0"/>
      <w:marTop w:val="0"/>
      <w:marBottom w:val="0"/>
      <w:divBdr>
        <w:top w:val="none" w:sz="0" w:space="0" w:color="auto"/>
        <w:left w:val="none" w:sz="0" w:space="0" w:color="auto"/>
        <w:bottom w:val="none" w:sz="0" w:space="0" w:color="auto"/>
        <w:right w:val="none" w:sz="0" w:space="0" w:color="auto"/>
      </w:divBdr>
    </w:div>
    <w:div w:id="1849251689">
      <w:bodyDiv w:val="1"/>
      <w:marLeft w:val="0"/>
      <w:marRight w:val="0"/>
      <w:marTop w:val="0"/>
      <w:marBottom w:val="0"/>
      <w:divBdr>
        <w:top w:val="none" w:sz="0" w:space="0" w:color="auto"/>
        <w:left w:val="none" w:sz="0" w:space="0" w:color="auto"/>
        <w:bottom w:val="none" w:sz="0" w:space="0" w:color="auto"/>
        <w:right w:val="none" w:sz="0" w:space="0" w:color="auto"/>
      </w:divBdr>
    </w:div>
    <w:div w:id="1849368049">
      <w:bodyDiv w:val="1"/>
      <w:marLeft w:val="0"/>
      <w:marRight w:val="0"/>
      <w:marTop w:val="0"/>
      <w:marBottom w:val="0"/>
      <w:divBdr>
        <w:top w:val="none" w:sz="0" w:space="0" w:color="auto"/>
        <w:left w:val="none" w:sz="0" w:space="0" w:color="auto"/>
        <w:bottom w:val="none" w:sz="0" w:space="0" w:color="auto"/>
        <w:right w:val="none" w:sz="0" w:space="0" w:color="auto"/>
      </w:divBdr>
    </w:div>
    <w:div w:id="1849368694">
      <w:bodyDiv w:val="1"/>
      <w:marLeft w:val="0"/>
      <w:marRight w:val="0"/>
      <w:marTop w:val="0"/>
      <w:marBottom w:val="0"/>
      <w:divBdr>
        <w:top w:val="none" w:sz="0" w:space="0" w:color="auto"/>
        <w:left w:val="none" w:sz="0" w:space="0" w:color="auto"/>
        <w:bottom w:val="none" w:sz="0" w:space="0" w:color="auto"/>
        <w:right w:val="none" w:sz="0" w:space="0" w:color="auto"/>
      </w:divBdr>
    </w:div>
    <w:div w:id="1849559458">
      <w:bodyDiv w:val="1"/>
      <w:marLeft w:val="0"/>
      <w:marRight w:val="0"/>
      <w:marTop w:val="0"/>
      <w:marBottom w:val="0"/>
      <w:divBdr>
        <w:top w:val="none" w:sz="0" w:space="0" w:color="auto"/>
        <w:left w:val="none" w:sz="0" w:space="0" w:color="auto"/>
        <w:bottom w:val="none" w:sz="0" w:space="0" w:color="auto"/>
        <w:right w:val="none" w:sz="0" w:space="0" w:color="auto"/>
      </w:divBdr>
    </w:div>
    <w:div w:id="1849641146">
      <w:bodyDiv w:val="1"/>
      <w:marLeft w:val="0"/>
      <w:marRight w:val="0"/>
      <w:marTop w:val="0"/>
      <w:marBottom w:val="0"/>
      <w:divBdr>
        <w:top w:val="none" w:sz="0" w:space="0" w:color="auto"/>
        <w:left w:val="none" w:sz="0" w:space="0" w:color="auto"/>
        <w:bottom w:val="none" w:sz="0" w:space="0" w:color="auto"/>
        <w:right w:val="none" w:sz="0" w:space="0" w:color="auto"/>
      </w:divBdr>
    </w:div>
    <w:div w:id="1849709633">
      <w:bodyDiv w:val="1"/>
      <w:marLeft w:val="0"/>
      <w:marRight w:val="0"/>
      <w:marTop w:val="0"/>
      <w:marBottom w:val="0"/>
      <w:divBdr>
        <w:top w:val="none" w:sz="0" w:space="0" w:color="auto"/>
        <w:left w:val="none" w:sz="0" w:space="0" w:color="auto"/>
        <w:bottom w:val="none" w:sz="0" w:space="0" w:color="auto"/>
        <w:right w:val="none" w:sz="0" w:space="0" w:color="auto"/>
      </w:divBdr>
    </w:div>
    <w:div w:id="1849756603">
      <w:bodyDiv w:val="1"/>
      <w:marLeft w:val="0"/>
      <w:marRight w:val="0"/>
      <w:marTop w:val="0"/>
      <w:marBottom w:val="0"/>
      <w:divBdr>
        <w:top w:val="none" w:sz="0" w:space="0" w:color="auto"/>
        <w:left w:val="none" w:sz="0" w:space="0" w:color="auto"/>
        <w:bottom w:val="none" w:sz="0" w:space="0" w:color="auto"/>
        <w:right w:val="none" w:sz="0" w:space="0" w:color="auto"/>
      </w:divBdr>
    </w:div>
    <w:div w:id="1849785549">
      <w:bodyDiv w:val="1"/>
      <w:marLeft w:val="0"/>
      <w:marRight w:val="0"/>
      <w:marTop w:val="0"/>
      <w:marBottom w:val="0"/>
      <w:divBdr>
        <w:top w:val="none" w:sz="0" w:space="0" w:color="auto"/>
        <w:left w:val="none" w:sz="0" w:space="0" w:color="auto"/>
        <w:bottom w:val="none" w:sz="0" w:space="0" w:color="auto"/>
        <w:right w:val="none" w:sz="0" w:space="0" w:color="auto"/>
      </w:divBdr>
    </w:div>
    <w:div w:id="1850216366">
      <w:bodyDiv w:val="1"/>
      <w:marLeft w:val="0"/>
      <w:marRight w:val="0"/>
      <w:marTop w:val="0"/>
      <w:marBottom w:val="0"/>
      <w:divBdr>
        <w:top w:val="none" w:sz="0" w:space="0" w:color="auto"/>
        <w:left w:val="none" w:sz="0" w:space="0" w:color="auto"/>
        <w:bottom w:val="none" w:sz="0" w:space="0" w:color="auto"/>
        <w:right w:val="none" w:sz="0" w:space="0" w:color="auto"/>
      </w:divBdr>
    </w:div>
    <w:div w:id="1850292119">
      <w:bodyDiv w:val="1"/>
      <w:marLeft w:val="0"/>
      <w:marRight w:val="0"/>
      <w:marTop w:val="0"/>
      <w:marBottom w:val="0"/>
      <w:divBdr>
        <w:top w:val="none" w:sz="0" w:space="0" w:color="auto"/>
        <w:left w:val="none" w:sz="0" w:space="0" w:color="auto"/>
        <w:bottom w:val="none" w:sz="0" w:space="0" w:color="auto"/>
        <w:right w:val="none" w:sz="0" w:space="0" w:color="auto"/>
      </w:divBdr>
    </w:div>
    <w:div w:id="1850409882">
      <w:bodyDiv w:val="1"/>
      <w:marLeft w:val="0"/>
      <w:marRight w:val="0"/>
      <w:marTop w:val="0"/>
      <w:marBottom w:val="0"/>
      <w:divBdr>
        <w:top w:val="none" w:sz="0" w:space="0" w:color="auto"/>
        <w:left w:val="none" w:sz="0" w:space="0" w:color="auto"/>
        <w:bottom w:val="none" w:sz="0" w:space="0" w:color="auto"/>
        <w:right w:val="none" w:sz="0" w:space="0" w:color="auto"/>
      </w:divBdr>
    </w:div>
    <w:div w:id="1850482219">
      <w:bodyDiv w:val="1"/>
      <w:marLeft w:val="0"/>
      <w:marRight w:val="0"/>
      <w:marTop w:val="0"/>
      <w:marBottom w:val="0"/>
      <w:divBdr>
        <w:top w:val="none" w:sz="0" w:space="0" w:color="auto"/>
        <w:left w:val="none" w:sz="0" w:space="0" w:color="auto"/>
        <w:bottom w:val="none" w:sz="0" w:space="0" w:color="auto"/>
        <w:right w:val="none" w:sz="0" w:space="0" w:color="auto"/>
      </w:divBdr>
    </w:div>
    <w:div w:id="1850489716">
      <w:bodyDiv w:val="1"/>
      <w:marLeft w:val="0"/>
      <w:marRight w:val="0"/>
      <w:marTop w:val="0"/>
      <w:marBottom w:val="0"/>
      <w:divBdr>
        <w:top w:val="none" w:sz="0" w:space="0" w:color="auto"/>
        <w:left w:val="none" w:sz="0" w:space="0" w:color="auto"/>
        <w:bottom w:val="none" w:sz="0" w:space="0" w:color="auto"/>
        <w:right w:val="none" w:sz="0" w:space="0" w:color="auto"/>
      </w:divBdr>
    </w:div>
    <w:div w:id="1850563125">
      <w:bodyDiv w:val="1"/>
      <w:marLeft w:val="0"/>
      <w:marRight w:val="0"/>
      <w:marTop w:val="0"/>
      <w:marBottom w:val="0"/>
      <w:divBdr>
        <w:top w:val="none" w:sz="0" w:space="0" w:color="auto"/>
        <w:left w:val="none" w:sz="0" w:space="0" w:color="auto"/>
        <w:bottom w:val="none" w:sz="0" w:space="0" w:color="auto"/>
        <w:right w:val="none" w:sz="0" w:space="0" w:color="auto"/>
      </w:divBdr>
    </w:div>
    <w:div w:id="1850607753">
      <w:bodyDiv w:val="1"/>
      <w:marLeft w:val="0"/>
      <w:marRight w:val="0"/>
      <w:marTop w:val="0"/>
      <w:marBottom w:val="0"/>
      <w:divBdr>
        <w:top w:val="none" w:sz="0" w:space="0" w:color="auto"/>
        <w:left w:val="none" w:sz="0" w:space="0" w:color="auto"/>
        <w:bottom w:val="none" w:sz="0" w:space="0" w:color="auto"/>
        <w:right w:val="none" w:sz="0" w:space="0" w:color="auto"/>
      </w:divBdr>
    </w:div>
    <w:div w:id="1850635746">
      <w:bodyDiv w:val="1"/>
      <w:marLeft w:val="0"/>
      <w:marRight w:val="0"/>
      <w:marTop w:val="0"/>
      <w:marBottom w:val="0"/>
      <w:divBdr>
        <w:top w:val="none" w:sz="0" w:space="0" w:color="auto"/>
        <w:left w:val="none" w:sz="0" w:space="0" w:color="auto"/>
        <w:bottom w:val="none" w:sz="0" w:space="0" w:color="auto"/>
        <w:right w:val="none" w:sz="0" w:space="0" w:color="auto"/>
      </w:divBdr>
    </w:div>
    <w:div w:id="1850673919">
      <w:bodyDiv w:val="1"/>
      <w:marLeft w:val="0"/>
      <w:marRight w:val="0"/>
      <w:marTop w:val="0"/>
      <w:marBottom w:val="0"/>
      <w:divBdr>
        <w:top w:val="none" w:sz="0" w:space="0" w:color="auto"/>
        <w:left w:val="none" w:sz="0" w:space="0" w:color="auto"/>
        <w:bottom w:val="none" w:sz="0" w:space="0" w:color="auto"/>
        <w:right w:val="none" w:sz="0" w:space="0" w:color="auto"/>
      </w:divBdr>
    </w:div>
    <w:div w:id="1850750828">
      <w:bodyDiv w:val="1"/>
      <w:marLeft w:val="0"/>
      <w:marRight w:val="0"/>
      <w:marTop w:val="0"/>
      <w:marBottom w:val="0"/>
      <w:divBdr>
        <w:top w:val="none" w:sz="0" w:space="0" w:color="auto"/>
        <w:left w:val="none" w:sz="0" w:space="0" w:color="auto"/>
        <w:bottom w:val="none" w:sz="0" w:space="0" w:color="auto"/>
        <w:right w:val="none" w:sz="0" w:space="0" w:color="auto"/>
      </w:divBdr>
    </w:div>
    <w:div w:id="1850753098">
      <w:bodyDiv w:val="1"/>
      <w:marLeft w:val="0"/>
      <w:marRight w:val="0"/>
      <w:marTop w:val="0"/>
      <w:marBottom w:val="0"/>
      <w:divBdr>
        <w:top w:val="none" w:sz="0" w:space="0" w:color="auto"/>
        <w:left w:val="none" w:sz="0" w:space="0" w:color="auto"/>
        <w:bottom w:val="none" w:sz="0" w:space="0" w:color="auto"/>
        <w:right w:val="none" w:sz="0" w:space="0" w:color="auto"/>
      </w:divBdr>
    </w:div>
    <w:div w:id="1850754928">
      <w:bodyDiv w:val="1"/>
      <w:marLeft w:val="0"/>
      <w:marRight w:val="0"/>
      <w:marTop w:val="0"/>
      <w:marBottom w:val="0"/>
      <w:divBdr>
        <w:top w:val="none" w:sz="0" w:space="0" w:color="auto"/>
        <w:left w:val="none" w:sz="0" w:space="0" w:color="auto"/>
        <w:bottom w:val="none" w:sz="0" w:space="0" w:color="auto"/>
        <w:right w:val="none" w:sz="0" w:space="0" w:color="auto"/>
      </w:divBdr>
    </w:div>
    <w:div w:id="1850757998">
      <w:bodyDiv w:val="1"/>
      <w:marLeft w:val="0"/>
      <w:marRight w:val="0"/>
      <w:marTop w:val="0"/>
      <w:marBottom w:val="0"/>
      <w:divBdr>
        <w:top w:val="none" w:sz="0" w:space="0" w:color="auto"/>
        <w:left w:val="none" w:sz="0" w:space="0" w:color="auto"/>
        <w:bottom w:val="none" w:sz="0" w:space="0" w:color="auto"/>
        <w:right w:val="none" w:sz="0" w:space="0" w:color="auto"/>
      </w:divBdr>
    </w:div>
    <w:div w:id="1850867867">
      <w:bodyDiv w:val="1"/>
      <w:marLeft w:val="0"/>
      <w:marRight w:val="0"/>
      <w:marTop w:val="0"/>
      <w:marBottom w:val="0"/>
      <w:divBdr>
        <w:top w:val="none" w:sz="0" w:space="0" w:color="auto"/>
        <w:left w:val="none" w:sz="0" w:space="0" w:color="auto"/>
        <w:bottom w:val="none" w:sz="0" w:space="0" w:color="auto"/>
        <w:right w:val="none" w:sz="0" w:space="0" w:color="auto"/>
      </w:divBdr>
    </w:div>
    <w:div w:id="1851022112">
      <w:bodyDiv w:val="1"/>
      <w:marLeft w:val="0"/>
      <w:marRight w:val="0"/>
      <w:marTop w:val="0"/>
      <w:marBottom w:val="0"/>
      <w:divBdr>
        <w:top w:val="none" w:sz="0" w:space="0" w:color="auto"/>
        <w:left w:val="none" w:sz="0" w:space="0" w:color="auto"/>
        <w:bottom w:val="none" w:sz="0" w:space="0" w:color="auto"/>
        <w:right w:val="none" w:sz="0" w:space="0" w:color="auto"/>
      </w:divBdr>
    </w:div>
    <w:div w:id="1851140134">
      <w:bodyDiv w:val="1"/>
      <w:marLeft w:val="0"/>
      <w:marRight w:val="0"/>
      <w:marTop w:val="0"/>
      <w:marBottom w:val="0"/>
      <w:divBdr>
        <w:top w:val="none" w:sz="0" w:space="0" w:color="auto"/>
        <w:left w:val="none" w:sz="0" w:space="0" w:color="auto"/>
        <w:bottom w:val="none" w:sz="0" w:space="0" w:color="auto"/>
        <w:right w:val="none" w:sz="0" w:space="0" w:color="auto"/>
      </w:divBdr>
    </w:div>
    <w:div w:id="1851216918">
      <w:bodyDiv w:val="1"/>
      <w:marLeft w:val="0"/>
      <w:marRight w:val="0"/>
      <w:marTop w:val="0"/>
      <w:marBottom w:val="0"/>
      <w:divBdr>
        <w:top w:val="none" w:sz="0" w:space="0" w:color="auto"/>
        <w:left w:val="none" w:sz="0" w:space="0" w:color="auto"/>
        <w:bottom w:val="none" w:sz="0" w:space="0" w:color="auto"/>
        <w:right w:val="none" w:sz="0" w:space="0" w:color="auto"/>
      </w:divBdr>
    </w:div>
    <w:div w:id="1851218732">
      <w:bodyDiv w:val="1"/>
      <w:marLeft w:val="0"/>
      <w:marRight w:val="0"/>
      <w:marTop w:val="0"/>
      <w:marBottom w:val="0"/>
      <w:divBdr>
        <w:top w:val="none" w:sz="0" w:space="0" w:color="auto"/>
        <w:left w:val="none" w:sz="0" w:space="0" w:color="auto"/>
        <w:bottom w:val="none" w:sz="0" w:space="0" w:color="auto"/>
        <w:right w:val="none" w:sz="0" w:space="0" w:color="auto"/>
      </w:divBdr>
    </w:div>
    <w:div w:id="1851599459">
      <w:bodyDiv w:val="1"/>
      <w:marLeft w:val="0"/>
      <w:marRight w:val="0"/>
      <w:marTop w:val="0"/>
      <w:marBottom w:val="0"/>
      <w:divBdr>
        <w:top w:val="none" w:sz="0" w:space="0" w:color="auto"/>
        <w:left w:val="none" w:sz="0" w:space="0" w:color="auto"/>
        <w:bottom w:val="none" w:sz="0" w:space="0" w:color="auto"/>
        <w:right w:val="none" w:sz="0" w:space="0" w:color="auto"/>
      </w:divBdr>
    </w:div>
    <w:div w:id="1851724969">
      <w:bodyDiv w:val="1"/>
      <w:marLeft w:val="0"/>
      <w:marRight w:val="0"/>
      <w:marTop w:val="0"/>
      <w:marBottom w:val="0"/>
      <w:divBdr>
        <w:top w:val="none" w:sz="0" w:space="0" w:color="auto"/>
        <w:left w:val="none" w:sz="0" w:space="0" w:color="auto"/>
        <w:bottom w:val="none" w:sz="0" w:space="0" w:color="auto"/>
        <w:right w:val="none" w:sz="0" w:space="0" w:color="auto"/>
      </w:divBdr>
    </w:div>
    <w:div w:id="1851798455">
      <w:bodyDiv w:val="1"/>
      <w:marLeft w:val="0"/>
      <w:marRight w:val="0"/>
      <w:marTop w:val="0"/>
      <w:marBottom w:val="0"/>
      <w:divBdr>
        <w:top w:val="none" w:sz="0" w:space="0" w:color="auto"/>
        <w:left w:val="none" w:sz="0" w:space="0" w:color="auto"/>
        <w:bottom w:val="none" w:sz="0" w:space="0" w:color="auto"/>
        <w:right w:val="none" w:sz="0" w:space="0" w:color="auto"/>
      </w:divBdr>
    </w:div>
    <w:div w:id="1851986206">
      <w:bodyDiv w:val="1"/>
      <w:marLeft w:val="0"/>
      <w:marRight w:val="0"/>
      <w:marTop w:val="0"/>
      <w:marBottom w:val="0"/>
      <w:divBdr>
        <w:top w:val="none" w:sz="0" w:space="0" w:color="auto"/>
        <w:left w:val="none" w:sz="0" w:space="0" w:color="auto"/>
        <w:bottom w:val="none" w:sz="0" w:space="0" w:color="auto"/>
        <w:right w:val="none" w:sz="0" w:space="0" w:color="auto"/>
      </w:divBdr>
    </w:div>
    <w:div w:id="1851989298">
      <w:bodyDiv w:val="1"/>
      <w:marLeft w:val="0"/>
      <w:marRight w:val="0"/>
      <w:marTop w:val="0"/>
      <w:marBottom w:val="0"/>
      <w:divBdr>
        <w:top w:val="none" w:sz="0" w:space="0" w:color="auto"/>
        <w:left w:val="none" w:sz="0" w:space="0" w:color="auto"/>
        <w:bottom w:val="none" w:sz="0" w:space="0" w:color="auto"/>
        <w:right w:val="none" w:sz="0" w:space="0" w:color="auto"/>
      </w:divBdr>
    </w:div>
    <w:div w:id="1851990599">
      <w:bodyDiv w:val="1"/>
      <w:marLeft w:val="0"/>
      <w:marRight w:val="0"/>
      <w:marTop w:val="0"/>
      <w:marBottom w:val="0"/>
      <w:divBdr>
        <w:top w:val="none" w:sz="0" w:space="0" w:color="auto"/>
        <w:left w:val="none" w:sz="0" w:space="0" w:color="auto"/>
        <w:bottom w:val="none" w:sz="0" w:space="0" w:color="auto"/>
        <w:right w:val="none" w:sz="0" w:space="0" w:color="auto"/>
      </w:divBdr>
    </w:div>
    <w:div w:id="1852060222">
      <w:bodyDiv w:val="1"/>
      <w:marLeft w:val="0"/>
      <w:marRight w:val="0"/>
      <w:marTop w:val="0"/>
      <w:marBottom w:val="0"/>
      <w:divBdr>
        <w:top w:val="none" w:sz="0" w:space="0" w:color="auto"/>
        <w:left w:val="none" w:sz="0" w:space="0" w:color="auto"/>
        <w:bottom w:val="none" w:sz="0" w:space="0" w:color="auto"/>
        <w:right w:val="none" w:sz="0" w:space="0" w:color="auto"/>
      </w:divBdr>
    </w:div>
    <w:div w:id="1852061685">
      <w:bodyDiv w:val="1"/>
      <w:marLeft w:val="0"/>
      <w:marRight w:val="0"/>
      <w:marTop w:val="0"/>
      <w:marBottom w:val="0"/>
      <w:divBdr>
        <w:top w:val="none" w:sz="0" w:space="0" w:color="auto"/>
        <w:left w:val="none" w:sz="0" w:space="0" w:color="auto"/>
        <w:bottom w:val="none" w:sz="0" w:space="0" w:color="auto"/>
        <w:right w:val="none" w:sz="0" w:space="0" w:color="auto"/>
      </w:divBdr>
    </w:div>
    <w:div w:id="1852134979">
      <w:bodyDiv w:val="1"/>
      <w:marLeft w:val="0"/>
      <w:marRight w:val="0"/>
      <w:marTop w:val="0"/>
      <w:marBottom w:val="0"/>
      <w:divBdr>
        <w:top w:val="none" w:sz="0" w:space="0" w:color="auto"/>
        <w:left w:val="none" w:sz="0" w:space="0" w:color="auto"/>
        <w:bottom w:val="none" w:sz="0" w:space="0" w:color="auto"/>
        <w:right w:val="none" w:sz="0" w:space="0" w:color="auto"/>
      </w:divBdr>
    </w:div>
    <w:div w:id="1852184138">
      <w:bodyDiv w:val="1"/>
      <w:marLeft w:val="0"/>
      <w:marRight w:val="0"/>
      <w:marTop w:val="0"/>
      <w:marBottom w:val="0"/>
      <w:divBdr>
        <w:top w:val="none" w:sz="0" w:space="0" w:color="auto"/>
        <w:left w:val="none" w:sz="0" w:space="0" w:color="auto"/>
        <w:bottom w:val="none" w:sz="0" w:space="0" w:color="auto"/>
        <w:right w:val="none" w:sz="0" w:space="0" w:color="auto"/>
      </w:divBdr>
    </w:div>
    <w:div w:id="1852336329">
      <w:bodyDiv w:val="1"/>
      <w:marLeft w:val="0"/>
      <w:marRight w:val="0"/>
      <w:marTop w:val="0"/>
      <w:marBottom w:val="0"/>
      <w:divBdr>
        <w:top w:val="none" w:sz="0" w:space="0" w:color="auto"/>
        <w:left w:val="none" w:sz="0" w:space="0" w:color="auto"/>
        <w:bottom w:val="none" w:sz="0" w:space="0" w:color="auto"/>
        <w:right w:val="none" w:sz="0" w:space="0" w:color="auto"/>
      </w:divBdr>
    </w:div>
    <w:div w:id="1852337674">
      <w:bodyDiv w:val="1"/>
      <w:marLeft w:val="0"/>
      <w:marRight w:val="0"/>
      <w:marTop w:val="0"/>
      <w:marBottom w:val="0"/>
      <w:divBdr>
        <w:top w:val="none" w:sz="0" w:space="0" w:color="auto"/>
        <w:left w:val="none" w:sz="0" w:space="0" w:color="auto"/>
        <w:bottom w:val="none" w:sz="0" w:space="0" w:color="auto"/>
        <w:right w:val="none" w:sz="0" w:space="0" w:color="auto"/>
      </w:divBdr>
    </w:div>
    <w:div w:id="1852406057">
      <w:bodyDiv w:val="1"/>
      <w:marLeft w:val="0"/>
      <w:marRight w:val="0"/>
      <w:marTop w:val="0"/>
      <w:marBottom w:val="0"/>
      <w:divBdr>
        <w:top w:val="none" w:sz="0" w:space="0" w:color="auto"/>
        <w:left w:val="none" w:sz="0" w:space="0" w:color="auto"/>
        <w:bottom w:val="none" w:sz="0" w:space="0" w:color="auto"/>
        <w:right w:val="none" w:sz="0" w:space="0" w:color="auto"/>
      </w:divBdr>
    </w:div>
    <w:div w:id="1852450746">
      <w:bodyDiv w:val="1"/>
      <w:marLeft w:val="0"/>
      <w:marRight w:val="0"/>
      <w:marTop w:val="0"/>
      <w:marBottom w:val="0"/>
      <w:divBdr>
        <w:top w:val="none" w:sz="0" w:space="0" w:color="auto"/>
        <w:left w:val="none" w:sz="0" w:space="0" w:color="auto"/>
        <w:bottom w:val="none" w:sz="0" w:space="0" w:color="auto"/>
        <w:right w:val="none" w:sz="0" w:space="0" w:color="auto"/>
      </w:divBdr>
    </w:div>
    <w:div w:id="1852597790">
      <w:bodyDiv w:val="1"/>
      <w:marLeft w:val="0"/>
      <w:marRight w:val="0"/>
      <w:marTop w:val="0"/>
      <w:marBottom w:val="0"/>
      <w:divBdr>
        <w:top w:val="none" w:sz="0" w:space="0" w:color="auto"/>
        <w:left w:val="none" w:sz="0" w:space="0" w:color="auto"/>
        <w:bottom w:val="none" w:sz="0" w:space="0" w:color="auto"/>
        <w:right w:val="none" w:sz="0" w:space="0" w:color="auto"/>
      </w:divBdr>
    </w:div>
    <w:div w:id="1852604383">
      <w:bodyDiv w:val="1"/>
      <w:marLeft w:val="0"/>
      <w:marRight w:val="0"/>
      <w:marTop w:val="0"/>
      <w:marBottom w:val="0"/>
      <w:divBdr>
        <w:top w:val="none" w:sz="0" w:space="0" w:color="auto"/>
        <w:left w:val="none" w:sz="0" w:space="0" w:color="auto"/>
        <w:bottom w:val="none" w:sz="0" w:space="0" w:color="auto"/>
        <w:right w:val="none" w:sz="0" w:space="0" w:color="auto"/>
      </w:divBdr>
    </w:div>
    <w:div w:id="1852911841">
      <w:bodyDiv w:val="1"/>
      <w:marLeft w:val="0"/>
      <w:marRight w:val="0"/>
      <w:marTop w:val="0"/>
      <w:marBottom w:val="0"/>
      <w:divBdr>
        <w:top w:val="none" w:sz="0" w:space="0" w:color="auto"/>
        <w:left w:val="none" w:sz="0" w:space="0" w:color="auto"/>
        <w:bottom w:val="none" w:sz="0" w:space="0" w:color="auto"/>
        <w:right w:val="none" w:sz="0" w:space="0" w:color="auto"/>
      </w:divBdr>
    </w:div>
    <w:div w:id="1853030961">
      <w:bodyDiv w:val="1"/>
      <w:marLeft w:val="0"/>
      <w:marRight w:val="0"/>
      <w:marTop w:val="0"/>
      <w:marBottom w:val="0"/>
      <w:divBdr>
        <w:top w:val="none" w:sz="0" w:space="0" w:color="auto"/>
        <w:left w:val="none" w:sz="0" w:space="0" w:color="auto"/>
        <w:bottom w:val="none" w:sz="0" w:space="0" w:color="auto"/>
        <w:right w:val="none" w:sz="0" w:space="0" w:color="auto"/>
      </w:divBdr>
    </w:div>
    <w:div w:id="1853109136">
      <w:bodyDiv w:val="1"/>
      <w:marLeft w:val="0"/>
      <w:marRight w:val="0"/>
      <w:marTop w:val="0"/>
      <w:marBottom w:val="0"/>
      <w:divBdr>
        <w:top w:val="none" w:sz="0" w:space="0" w:color="auto"/>
        <w:left w:val="none" w:sz="0" w:space="0" w:color="auto"/>
        <w:bottom w:val="none" w:sz="0" w:space="0" w:color="auto"/>
        <w:right w:val="none" w:sz="0" w:space="0" w:color="auto"/>
      </w:divBdr>
    </w:div>
    <w:div w:id="1853109993">
      <w:bodyDiv w:val="1"/>
      <w:marLeft w:val="0"/>
      <w:marRight w:val="0"/>
      <w:marTop w:val="0"/>
      <w:marBottom w:val="0"/>
      <w:divBdr>
        <w:top w:val="none" w:sz="0" w:space="0" w:color="auto"/>
        <w:left w:val="none" w:sz="0" w:space="0" w:color="auto"/>
        <w:bottom w:val="none" w:sz="0" w:space="0" w:color="auto"/>
        <w:right w:val="none" w:sz="0" w:space="0" w:color="auto"/>
      </w:divBdr>
    </w:div>
    <w:div w:id="1853110778">
      <w:bodyDiv w:val="1"/>
      <w:marLeft w:val="0"/>
      <w:marRight w:val="0"/>
      <w:marTop w:val="0"/>
      <w:marBottom w:val="0"/>
      <w:divBdr>
        <w:top w:val="none" w:sz="0" w:space="0" w:color="auto"/>
        <w:left w:val="none" w:sz="0" w:space="0" w:color="auto"/>
        <w:bottom w:val="none" w:sz="0" w:space="0" w:color="auto"/>
        <w:right w:val="none" w:sz="0" w:space="0" w:color="auto"/>
      </w:divBdr>
    </w:div>
    <w:div w:id="1853257141">
      <w:bodyDiv w:val="1"/>
      <w:marLeft w:val="0"/>
      <w:marRight w:val="0"/>
      <w:marTop w:val="0"/>
      <w:marBottom w:val="0"/>
      <w:divBdr>
        <w:top w:val="none" w:sz="0" w:space="0" w:color="auto"/>
        <w:left w:val="none" w:sz="0" w:space="0" w:color="auto"/>
        <w:bottom w:val="none" w:sz="0" w:space="0" w:color="auto"/>
        <w:right w:val="none" w:sz="0" w:space="0" w:color="auto"/>
      </w:divBdr>
    </w:div>
    <w:div w:id="1853379607">
      <w:bodyDiv w:val="1"/>
      <w:marLeft w:val="0"/>
      <w:marRight w:val="0"/>
      <w:marTop w:val="0"/>
      <w:marBottom w:val="0"/>
      <w:divBdr>
        <w:top w:val="none" w:sz="0" w:space="0" w:color="auto"/>
        <w:left w:val="none" w:sz="0" w:space="0" w:color="auto"/>
        <w:bottom w:val="none" w:sz="0" w:space="0" w:color="auto"/>
        <w:right w:val="none" w:sz="0" w:space="0" w:color="auto"/>
      </w:divBdr>
    </w:div>
    <w:div w:id="1853520808">
      <w:bodyDiv w:val="1"/>
      <w:marLeft w:val="0"/>
      <w:marRight w:val="0"/>
      <w:marTop w:val="0"/>
      <w:marBottom w:val="0"/>
      <w:divBdr>
        <w:top w:val="none" w:sz="0" w:space="0" w:color="auto"/>
        <w:left w:val="none" w:sz="0" w:space="0" w:color="auto"/>
        <w:bottom w:val="none" w:sz="0" w:space="0" w:color="auto"/>
        <w:right w:val="none" w:sz="0" w:space="0" w:color="auto"/>
      </w:divBdr>
    </w:div>
    <w:div w:id="1853646656">
      <w:bodyDiv w:val="1"/>
      <w:marLeft w:val="0"/>
      <w:marRight w:val="0"/>
      <w:marTop w:val="0"/>
      <w:marBottom w:val="0"/>
      <w:divBdr>
        <w:top w:val="none" w:sz="0" w:space="0" w:color="auto"/>
        <w:left w:val="none" w:sz="0" w:space="0" w:color="auto"/>
        <w:bottom w:val="none" w:sz="0" w:space="0" w:color="auto"/>
        <w:right w:val="none" w:sz="0" w:space="0" w:color="auto"/>
      </w:divBdr>
    </w:div>
    <w:div w:id="1853836695">
      <w:bodyDiv w:val="1"/>
      <w:marLeft w:val="0"/>
      <w:marRight w:val="0"/>
      <w:marTop w:val="0"/>
      <w:marBottom w:val="0"/>
      <w:divBdr>
        <w:top w:val="none" w:sz="0" w:space="0" w:color="auto"/>
        <w:left w:val="none" w:sz="0" w:space="0" w:color="auto"/>
        <w:bottom w:val="none" w:sz="0" w:space="0" w:color="auto"/>
        <w:right w:val="none" w:sz="0" w:space="0" w:color="auto"/>
      </w:divBdr>
    </w:div>
    <w:div w:id="1854106712">
      <w:bodyDiv w:val="1"/>
      <w:marLeft w:val="0"/>
      <w:marRight w:val="0"/>
      <w:marTop w:val="0"/>
      <w:marBottom w:val="0"/>
      <w:divBdr>
        <w:top w:val="none" w:sz="0" w:space="0" w:color="auto"/>
        <w:left w:val="none" w:sz="0" w:space="0" w:color="auto"/>
        <w:bottom w:val="none" w:sz="0" w:space="0" w:color="auto"/>
        <w:right w:val="none" w:sz="0" w:space="0" w:color="auto"/>
      </w:divBdr>
    </w:div>
    <w:div w:id="1854109734">
      <w:bodyDiv w:val="1"/>
      <w:marLeft w:val="0"/>
      <w:marRight w:val="0"/>
      <w:marTop w:val="0"/>
      <w:marBottom w:val="0"/>
      <w:divBdr>
        <w:top w:val="none" w:sz="0" w:space="0" w:color="auto"/>
        <w:left w:val="none" w:sz="0" w:space="0" w:color="auto"/>
        <w:bottom w:val="none" w:sz="0" w:space="0" w:color="auto"/>
        <w:right w:val="none" w:sz="0" w:space="0" w:color="auto"/>
      </w:divBdr>
    </w:div>
    <w:div w:id="1854149099">
      <w:bodyDiv w:val="1"/>
      <w:marLeft w:val="0"/>
      <w:marRight w:val="0"/>
      <w:marTop w:val="0"/>
      <w:marBottom w:val="0"/>
      <w:divBdr>
        <w:top w:val="none" w:sz="0" w:space="0" w:color="auto"/>
        <w:left w:val="none" w:sz="0" w:space="0" w:color="auto"/>
        <w:bottom w:val="none" w:sz="0" w:space="0" w:color="auto"/>
        <w:right w:val="none" w:sz="0" w:space="0" w:color="auto"/>
      </w:divBdr>
    </w:div>
    <w:div w:id="1854149160">
      <w:bodyDiv w:val="1"/>
      <w:marLeft w:val="0"/>
      <w:marRight w:val="0"/>
      <w:marTop w:val="0"/>
      <w:marBottom w:val="0"/>
      <w:divBdr>
        <w:top w:val="none" w:sz="0" w:space="0" w:color="auto"/>
        <w:left w:val="none" w:sz="0" w:space="0" w:color="auto"/>
        <w:bottom w:val="none" w:sz="0" w:space="0" w:color="auto"/>
        <w:right w:val="none" w:sz="0" w:space="0" w:color="auto"/>
      </w:divBdr>
    </w:div>
    <w:div w:id="1854343970">
      <w:bodyDiv w:val="1"/>
      <w:marLeft w:val="0"/>
      <w:marRight w:val="0"/>
      <w:marTop w:val="0"/>
      <w:marBottom w:val="0"/>
      <w:divBdr>
        <w:top w:val="none" w:sz="0" w:space="0" w:color="auto"/>
        <w:left w:val="none" w:sz="0" w:space="0" w:color="auto"/>
        <w:bottom w:val="none" w:sz="0" w:space="0" w:color="auto"/>
        <w:right w:val="none" w:sz="0" w:space="0" w:color="auto"/>
      </w:divBdr>
    </w:div>
    <w:div w:id="1854346055">
      <w:bodyDiv w:val="1"/>
      <w:marLeft w:val="0"/>
      <w:marRight w:val="0"/>
      <w:marTop w:val="0"/>
      <w:marBottom w:val="0"/>
      <w:divBdr>
        <w:top w:val="none" w:sz="0" w:space="0" w:color="auto"/>
        <w:left w:val="none" w:sz="0" w:space="0" w:color="auto"/>
        <w:bottom w:val="none" w:sz="0" w:space="0" w:color="auto"/>
        <w:right w:val="none" w:sz="0" w:space="0" w:color="auto"/>
      </w:divBdr>
    </w:div>
    <w:div w:id="1854492106">
      <w:bodyDiv w:val="1"/>
      <w:marLeft w:val="0"/>
      <w:marRight w:val="0"/>
      <w:marTop w:val="0"/>
      <w:marBottom w:val="0"/>
      <w:divBdr>
        <w:top w:val="none" w:sz="0" w:space="0" w:color="auto"/>
        <w:left w:val="none" w:sz="0" w:space="0" w:color="auto"/>
        <w:bottom w:val="none" w:sz="0" w:space="0" w:color="auto"/>
        <w:right w:val="none" w:sz="0" w:space="0" w:color="auto"/>
      </w:divBdr>
    </w:div>
    <w:div w:id="1854757907">
      <w:bodyDiv w:val="1"/>
      <w:marLeft w:val="0"/>
      <w:marRight w:val="0"/>
      <w:marTop w:val="0"/>
      <w:marBottom w:val="0"/>
      <w:divBdr>
        <w:top w:val="none" w:sz="0" w:space="0" w:color="auto"/>
        <w:left w:val="none" w:sz="0" w:space="0" w:color="auto"/>
        <w:bottom w:val="none" w:sz="0" w:space="0" w:color="auto"/>
        <w:right w:val="none" w:sz="0" w:space="0" w:color="auto"/>
      </w:divBdr>
    </w:div>
    <w:div w:id="1855070858">
      <w:bodyDiv w:val="1"/>
      <w:marLeft w:val="0"/>
      <w:marRight w:val="0"/>
      <w:marTop w:val="0"/>
      <w:marBottom w:val="0"/>
      <w:divBdr>
        <w:top w:val="none" w:sz="0" w:space="0" w:color="auto"/>
        <w:left w:val="none" w:sz="0" w:space="0" w:color="auto"/>
        <w:bottom w:val="none" w:sz="0" w:space="0" w:color="auto"/>
        <w:right w:val="none" w:sz="0" w:space="0" w:color="auto"/>
      </w:divBdr>
    </w:div>
    <w:div w:id="1855148162">
      <w:bodyDiv w:val="1"/>
      <w:marLeft w:val="0"/>
      <w:marRight w:val="0"/>
      <w:marTop w:val="0"/>
      <w:marBottom w:val="0"/>
      <w:divBdr>
        <w:top w:val="none" w:sz="0" w:space="0" w:color="auto"/>
        <w:left w:val="none" w:sz="0" w:space="0" w:color="auto"/>
        <w:bottom w:val="none" w:sz="0" w:space="0" w:color="auto"/>
        <w:right w:val="none" w:sz="0" w:space="0" w:color="auto"/>
      </w:divBdr>
    </w:div>
    <w:div w:id="1855342720">
      <w:bodyDiv w:val="1"/>
      <w:marLeft w:val="0"/>
      <w:marRight w:val="0"/>
      <w:marTop w:val="0"/>
      <w:marBottom w:val="0"/>
      <w:divBdr>
        <w:top w:val="none" w:sz="0" w:space="0" w:color="auto"/>
        <w:left w:val="none" w:sz="0" w:space="0" w:color="auto"/>
        <w:bottom w:val="none" w:sz="0" w:space="0" w:color="auto"/>
        <w:right w:val="none" w:sz="0" w:space="0" w:color="auto"/>
      </w:divBdr>
    </w:div>
    <w:div w:id="1855418067">
      <w:bodyDiv w:val="1"/>
      <w:marLeft w:val="0"/>
      <w:marRight w:val="0"/>
      <w:marTop w:val="0"/>
      <w:marBottom w:val="0"/>
      <w:divBdr>
        <w:top w:val="none" w:sz="0" w:space="0" w:color="auto"/>
        <w:left w:val="none" w:sz="0" w:space="0" w:color="auto"/>
        <w:bottom w:val="none" w:sz="0" w:space="0" w:color="auto"/>
        <w:right w:val="none" w:sz="0" w:space="0" w:color="auto"/>
      </w:divBdr>
    </w:div>
    <w:div w:id="1855457285">
      <w:bodyDiv w:val="1"/>
      <w:marLeft w:val="0"/>
      <w:marRight w:val="0"/>
      <w:marTop w:val="0"/>
      <w:marBottom w:val="0"/>
      <w:divBdr>
        <w:top w:val="none" w:sz="0" w:space="0" w:color="auto"/>
        <w:left w:val="none" w:sz="0" w:space="0" w:color="auto"/>
        <w:bottom w:val="none" w:sz="0" w:space="0" w:color="auto"/>
        <w:right w:val="none" w:sz="0" w:space="0" w:color="auto"/>
      </w:divBdr>
    </w:div>
    <w:div w:id="1855917906">
      <w:bodyDiv w:val="1"/>
      <w:marLeft w:val="0"/>
      <w:marRight w:val="0"/>
      <w:marTop w:val="0"/>
      <w:marBottom w:val="0"/>
      <w:divBdr>
        <w:top w:val="none" w:sz="0" w:space="0" w:color="auto"/>
        <w:left w:val="none" w:sz="0" w:space="0" w:color="auto"/>
        <w:bottom w:val="none" w:sz="0" w:space="0" w:color="auto"/>
        <w:right w:val="none" w:sz="0" w:space="0" w:color="auto"/>
      </w:divBdr>
    </w:div>
    <w:div w:id="1855924838">
      <w:bodyDiv w:val="1"/>
      <w:marLeft w:val="0"/>
      <w:marRight w:val="0"/>
      <w:marTop w:val="0"/>
      <w:marBottom w:val="0"/>
      <w:divBdr>
        <w:top w:val="none" w:sz="0" w:space="0" w:color="auto"/>
        <w:left w:val="none" w:sz="0" w:space="0" w:color="auto"/>
        <w:bottom w:val="none" w:sz="0" w:space="0" w:color="auto"/>
        <w:right w:val="none" w:sz="0" w:space="0" w:color="auto"/>
      </w:divBdr>
    </w:div>
    <w:div w:id="1855995126">
      <w:bodyDiv w:val="1"/>
      <w:marLeft w:val="0"/>
      <w:marRight w:val="0"/>
      <w:marTop w:val="0"/>
      <w:marBottom w:val="0"/>
      <w:divBdr>
        <w:top w:val="none" w:sz="0" w:space="0" w:color="auto"/>
        <w:left w:val="none" w:sz="0" w:space="0" w:color="auto"/>
        <w:bottom w:val="none" w:sz="0" w:space="0" w:color="auto"/>
        <w:right w:val="none" w:sz="0" w:space="0" w:color="auto"/>
      </w:divBdr>
    </w:div>
    <w:div w:id="1856190178">
      <w:bodyDiv w:val="1"/>
      <w:marLeft w:val="0"/>
      <w:marRight w:val="0"/>
      <w:marTop w:val="0"/>
      <w:marBottom w:val="0"/>
      <w:divBdr>
        <w:top w:val="none" w:sz="0" w:space="0" w:color="auto"/>
        <w:left w:val="none" w:sz="0" w:space="0" w:color="auto"/>
        <w:bottom w:val="none" w:sz="0" w:space="0" w:color="auto"/>
        <w:right w:val="none" w:sz="0" w:space="0" w:color="auto"/>
      </w:divBdr>
    </w:div>
    <w:div w:id="1856728449">
      <w:bodyDiv w:val="1"/>
      <w:marLeft w:val="0"/>
      <w:marRight w:val="0"/>
      <w:marTop w:val="0"/>
      <w:marBottom w:val="0"/>
      <w:divBdr>
        <w:top w:val="none" w:sz="0" w:space="0" w:color="auto"/>
        <w:left w:val="none" w:sz="0" w:space="0" w:color="auto"/>
        <w:bottom w:val="none" w:sz="0" w:space="0" w:color="auto"/>
        <w:right w:val="none" w:sz="0" w:space="0" w:color="auto"/>
      </w:divBdr>
    </w:div>
    <w:div w:id="1856771679">
      <w:bodyDiv w:val="1"/>
      <w:marLeft w:val="0"/>
      <w:marRight w:val="0"/>
      <w:marTop w:val="0"/>
      <w:marBottom w:val="0"/>
      <w:divBdr>
        <w:top w:val="none" w:sz="0" w:space="0" w:color="auto"/>
        <w:left w:val="none" w:sz="0" w:space="0" w:color="auto"/>
        <w:bottom w:val="none" w:sz="0" w:space="0" w:color="auto"/>
        <w:right w:val="none" w:sz="0" w:space="0" w:color="auto"/>
      </w:divBdr>
    </w:div>
    <w:div w:id="1856923040">
      <w:bodyDiv w:val="1"/>
      <w:marLeft w:val="0"/>
      <w:marRight w:val="0"/>
      <w:marTop w:val="0"/>
      <w:marBottom w:val="0"/>
      <w:divBdr>
        <w:top w:val="none" w:sz="0" w:space="0" w:color="auto"/>
        <w:left w:val="none" w:sz="0" w:space="0" w:color="auto"/>
        <w:bottom w:val="none" w:sz="0" w:space="0" w:color="auto"/>
        <w:right w:val="none" w:sz="0" w:space="0" w:color="auto"/>
      </w:divBdr>
    </w:div>
    <w:div w:id="1857033912">
      <w:bodyDiv w:val="1"/>
      <w:marLeft w:val="0"/>
      <w:marRight w:val="0"/>
      <w:marTop w:val="0"/>
      <w:marBottom w:val="0"/>
      <w:divBdr>
        <w:top w:val="none" w:sz="0" w:space="0" w:color="auto"/>
        <w:left w:val="none" w:sz="0" w:space="0" w:color="auto"/>
        <w:bottom w:val="none" w:sz="0" w:space="0" w:color="auto"/>
        <w:right w:val="none" w:sz="0" w:space="0" w:color="auto"/>
      </w:divBdr>
    </w:div>
    <w:div w:id="1857037160">
      <w:bodyDiv w:val="1"/>
      <w:marLeft w:val="0"/>
      <w:marRight w:val="0"/>
      <w:marTop w:val="0"/>
      <w:marBottom w:val="0"/>
      <w:divBdr>
        <w:top w:val="none" w:sz="0" w:space="0" w:color="auto"/>
        <w:left w:val="none" w:sz="0" w:space="0" w:color="auto"/>
        <w:bottom w:val="none" w:sz="0" w:space="0" w:color="auto"/>
        <w:right w:val="none" w:sz="0" w:space="0" w:color="auto"/>
      </w:divBdr>
    </w:div>
    <w:div w:id="1857646132">
      <w:bodyDiv w:val="1"/>
      <w:marLeft w:val="0"/>
      <w:marRight w:val="0"/>
      <w:marTop w:val="0"/>
      <w:marBottom w:val="0"/>
      <w:divBdr>
        <w:top w:val="none" w:sz="0" w:space="0" w:color="auto"/>
        <w:left w:val="none" w:sz="0" w:space="0" w:color="auto"/>
        <w:bottom w:val="none" w:sz="0" w:space="0" w:color="auto"/>
        <w:right w:val="none" w:sz="0" w:space="0" w:color="auto"/>
      </w:divBdr>
    </w:div>
    <w:div w:id="1857844498">
      <w:bodyDiv w:val="1"/>
      <w:marLeft w:val="0"/>
      <w:marRight w:val="0"/>
      <w:marTop w:val="0"/>
      <w:marBottom w:val="0"/>
      <w:divBdr>
        <w:top w:val="none" w:sz="0" w:space="0" w:color="auto"/>
        <w:left w:val="none" w:sz="0" w:space="0" w:color="auto"/>
        <w:bottom w:val="none" w:sz="0" w:space="0" w:color="auto"/>
        <w:right w:val="none" w:sz="0" w:space="0" w:color="auto"/>
      </w:divBdr>
    </w:div>
    <w:div w:id="1857883573">
      <w:bodyDiv w:val="1"/>
      <w:marLeft w:val="0"/>
      <w:marRight w:val="0"/>
      <w:marTop w:val="0"/>
      <w:marBottom w:val="0"/>
      <w:divBdr>
        <w:top w:val="none" w:sz="0" w:space="0" w:color="auto"/>
        <w:left w:val="none" w:sz="0" w:space="0" w:color="auto"/>
        <w:bottom w:val="none" w:sz="0" w:space="0" w:color="auto"/>
        <w:right w:val="none" w:sz="0" w:space="0" w:color="auto"/>
      </w:divBdr>
    </w:div>
    <w:div w:id="1858228138">
      <w:bodyDiv w:val="1"/>
      <w:marLeft w:val="0"/>
      <w:marRight w:val="0"/>
      <w:marTop w:val="0"/>
      <w:marBottom w:val="0"/>
      <w:divBdr>
        <w:top w:val="none" w:sz="0" w:space="0" w:color="auto"/>
        <w:left w:val="none" w:sz="0" w:space="0" w:color="auto"/>
        <w:bottom w:val="none" w:sz="0" w:space="0" w:color="auto"/>
        <w:right w:val="none" w:sz="0" w:space="0" w:color="auto"/>
      </w:divBdr>
    </w:div>
    <w:div w:id="1858420365">
      <w:bodyDiv w:val="1"/>
      <w:marLeft w:val="0"/>
      <w:marRight w:val="0"/>
      <w:marTop w:val="0"/>
      <w:marBottom w:val="0"/>
      <w:divBdr>
        <w:top w:val="none" w:sz="0" w:space="0" w:color="auto"/>
        <w:left w:val="none" w:sz="0" w:space="0" w:color="auto"/>
        <w:bottom w:val="none" w:sz="0" w:space="0" w:color="auto"/>
        <w:right w:val="none" w:sz="0" w:space="0" w:color="auto"/>
      </w:divBdr>
    </w:div>
    <w:div w:id="1858421263">
      <w:bodyDiv w:val="1"/>
      <w:marLeft w:val="0"/>
      <w:marRight w:val="0"/>
      <w:marTop w:val="0"/>
      <w:marBottom w:val="0"/>
      <w:divBdr>
        <w:top w:val="none" w:sz="0" w:space="0" w:color="auto"/>
        <w:left w:val="none" w:sz="0" w:space="0" w:color="auto"/>
        <w:bottom w:val="none" w:sz="0" w:space="0" w:color="auto"/>
        <w:right w:val="none" w:sz="0" w:space="0" w:color="auto"/>
      </w:divBdr>
    </w:div>
    <w:div w:id="1858425197">
      <w:bodyDiv w:val="1"/>
      <w:marLeft w:val="0"/>
      <w:marRight w:val="0"/>
      <w:marTop w:val="0"/>
      <w:marBottom w:val="0"/>
      <w:divBdr>
        <w:top w:val="none" w:sz="0" w:space="0" w:color="auto"/>
        <w:left w:val="none" w:sz="0" w:space="0" w:color="auto"/>
        <w:bottom w:val="none" w:sz="0" w:space="0" w:color="auto"/>
        <w:right w:val="none" w:sz="0" w:space="0" w:color="auto"/>
      </w:divBdr>
    </w:div>
    <w:div w:id="1858494212">
      <w:bodyDiv w:val="1"/>
      <w:marLeft w:val="0"/>
      <w:marRight w:val="0"/>
      <w:marTop w:val="0"/>
      <w:marBottom w:val="0"/>
      <w:divBdr>
        <w:top w:val="none" w:sz="0" w:space="0" w:color="auto"/>
        <w:left w:val="none" w:sz="0" w:space="0" w:color="auto"/>
        <w:bottom w:val="none" w:sz="0" w:space="0" w:color="auto"/>
        <w:right w:val="none" w:sz="0" w:space="0" w:color="auto"/>
      </w:divBdr>
    </w:div>
    <w:div w:id="1858501452">
      <w:bodyDiv w:val="1"/>
      <w:marLeft w:val="0"/>
      <w:marRight w:val="0"/>
      <w:marTop w:val="0"/>
      <w:marBottom w:val="0"/>
      <w:divBdr>
        <w:top w:val="none" w:sz="0" w:space="0" w:color="auto"/>
        <w:left w:val="none" w:sz="0" w:space="0" w:color="auto"/>
        <w:bottom w:val="none" w:sz="0" w:space="0" w:color="auto"/>
        <w:right w:val="none" w:sz="0" w:space="0" w:color="auto"/>
      </w:divBdr>
    </w:div>
    <w:div w:id="1858501465">
      <w:bodyDiv w:val="1"/>
      <w:marLeft w:val="0"/>
      <w:marRight w:val="0"/>
      <w:marTop w:val="0"/>
      <w:marBottom w:val="0"/>
      <w:divBdr>
        <w:top w:val="none" w:sz="0" w:space="0" w:color="auto"/>
        <w:left w:val="none" w:sz="0" w:space="0" w:color="auto"/>
        <w:bottom w:val="none" w:sz="0" w:space="0" w:color="auto"/>
        <w:right w:val="none" w:sz="0" w:space="0" w:color="auto"/>
      </w:divBdr>
    </w:div>
    <w:div w:id="1858537073">
      <w:bodyDiv w:val="1"/>
      <w:marLeft w:val="0"/>
      <w:marRight w:val="0"/>
      <w:marTop w:val="0"/>
      <w:marBottom w:val="0"/>
      <w:divBdr>
        <w:top w:val="none" w:sz="0" w:space="0" w:color="auto"/>
        <w:left w:val="none" w:sz="0" w:space="0" w:color="auto"/>
        <w:bottom w:val="none" w:sz="0" w:space="0" w:color="auto"/>
        <w:right w:val="none" w:sz="0" w:space="0" w:color="auto"/>
      </w:divBdr>
    </w:div>
    <w:div w:id="1858737981">
      <w:bodyDiv w:val="1"/>
      <w:marLeft w:val="0"/>
      <w:marRight w:val="0"/>
      <w:marTop w:val="0"/>
      <w:marBottom w:val="0"/>
      <w:divBdr>
        <w:top w:val="none" w:sz="0" w:space="0" w:color="auto"/>
        <w:left w:val="none" w:sz="0" w:space="0" w:color="auto"/>
        <w:bottom w:val="none" w:sz="0" w:space="0" w:color="auto"/>
        <w:right w:val="none" w:sz="0" w:space="0" w:color="auto"/>
      </w:divBdr>
    </w:div>
    <w:div w:id="1858885064">
      <w:bodyDiv w:val="1"/>
      <w:marLeft w:val="0"/>
      <w:marRight w:val="0"/>
      <w:marTop w:val="0"/>
      <w:marBottom w:val="0"/>
      <w:divBdr>
        <w:top w:val="none" w:sz="0" w:space="0" w:color="auto"/>
        <w:left w:val="none" w:sz="0" w:space="0" w:color="auto"/>
        <w:bottom w:val="none" w:sz="0" w:space="0" w:color="auto"/>
        <w:right w:val="none" w:sz="0" w:space="0" w:color="auto"/>
      </w:divBdr>
    </w:div>
    <w:div w:id="1859275863">
      <w:bodyDiv w:val="1"/>
      <w:marLeft w:val="0"/>
      <w:marRight w:val="0"/>
      <w:marTop w:val="0"/>
      <w:marBottom w:val="0"/>
      <w:divBdr>
        <w:top w:val="none" w:sz="0" w:space="0" w:color="auto"/>
        <w:left w:val="none" w:sz="0" w:space="0" w:color="auto"/>
        <w:bottom w:val="none" w:sz="0" w:space="0" w:color="auto"/>
        <w:right w:val="none" w:sz="0" w:space="0" w:color="auto"/>
      </w:divBdr>
    </w:div>
    <w:div w:id="1859387476">
      <w:bodyDiv w:val="1"/>
      <w:marLeft w:val="0"/>
      <w:marRight w:val="0"/>
      <w:marTop w:val="0"/>
      <w:marBottom w:val="0"/>
      <w:divBdr>
        <w:top w:val="none" w:sz="0" w:space="0" w:color="auto"/>
        <w:left w:val="none" w:sz="0" w:space="0" w:color="auto"/>
        <w:bottom w:val="none" w:sz="0" w:space="0" w:color="auto"/>
        <w:right w:val="none" w:sz="0" w:space="0" w:color="auto"/>
      </w:divBdr>
    </w:div>
    <w:div w:id="1859537076">
      <w:bodyDiv w:val="1"/>
      <w:marLeft w:val="0"/>
      <w:marRight w:val="0"/>
      <w:marTop w:val="0"/>
      <w:marBottom w:val="0"/>
      <w:divBdr>
        <w:top w:val="none" w:sz="0" w:space="0" w:color="auto"/>
        <w:left w:val="none" w:sz="0" w:space="0" w:color="auto"/>
        <w:bottom w:val="none" w:sz="0" w:space="0" w:color="auto"/>
        <w:right w:val="none" w:sz="0" w:space="0" w:color="auto"/>
      </w:divBdr>
    </w:div>
    <w:div w:id="1859537797">
      <w:bodyDiv w:val="1"/>
      <w:marLeft w:val="0"/>
      <w:marRight w:val="0"/>
      <w:marTop w:val="0"/>
      <w:marBottom w:val="0"/>
      <w:divBdr>
        <w:top w:val="none" w:sz="0" w:space="0" w:color="auto"/>
        <w:left w:val="none" w:sz="0" w:space="0" w:color="auto"/>
        <w:bottom w:val="none" w:sz="0" w:space="0" w:color="auto"/>
        <w:right w:val="none" w:sz="0" w:space="0" w:color="auto"/>
      </w:divBdr>
    </w:div>
    <w:div w:id="1859545341">
      <w:bodyDiv w:val="1"/>
      <w:marLeft w:val="0"/>
      <w:marRight w:val="0"/>
      <w:marTop w:val="0"/>
      <w:marBottom w:val="0"/>
      <w:divBdr>
        <w:top w:val="none" w:sz="0" w:space="0" w:color="auto"/>
        <w:left w:val="none" w:sz="0" w:space="0" w:color="auto"/>
        <w:bottom w:val="none" w:sz="0" w:space="0" w:color="auto"/>
        <w:right w:val="none" w:sz="0" w:space="0" w:color="auto"/>
      </w:divBdr>
    </w:div>
    <w:div w:id="1860074768">
      <w:bodyDiv w:val="1"/>
      <w:marLeft w:val="0"/>
      <w:marRight w:val="0"/>
      <w:marTop w:val="0"/>
      <w:marBottom w:val="0"/>
      <w:divBdr>
        <w:top w:val="none" w:sz="0" w:space="0" w:color="auto"/>
        <w:left w:val="none" w:sz="0" w:space="0" w:color="auto"/>
        <w:bottom w:val="none" w:sz="0" w:space="0" w:color="auto"/>
        <w:right w:val="none" w:sz="0" w:space="0" w:color="auto"/>
      </w:divBdr>
    </w:div>
    <w:div w:id="1860386166">
      <w:bodyDiv w:val="1"/>
      <w:marLeft w:val="0"/>
      <w:marRight w:val="0"/>
      <w:marTop w:val="0"/>
      <w:marBottom w:val="0"/>
      <w:divBdr>
        <w:top w:val="none" w:sz="0" w:space="0" w:color="auto"/>
        <w:left w:val="none" w:sz="0" w:space="0" w:color="auto"/>
        <w:bottom w:val="none" w:sz="0" w:space="0" w:color="auto"/>
        <w:right w:val="none" w:sz="0" w:space="0" w:color="auto"/>
      </w:divBdr>
    </w:div>
    <w:div w:id="1860387445">
      <w:bodyDiv w:val="1"/>
      <w:marLeft w:val="0"/>
      <w:marRight w:val="0"/>
      <w:marTop w:val="0"/>
      <w:marBottom w:val="0"/>
      <w:divBdr>
        <w:top w:val="none" w:sz="0" w:space="0" w:color="auto"/>
        <w:left w:val="none" w:sz="0" w:space="0" w:color="auto"/>
        <w:bottom w:val="none" w:sz="0" w:space="0" w:color="auto"/>
        <w:right w:val="none" w:sz="0" w:space="0" w:color="auto"/>
      </w:divBdr>
    </w:div>
    <w:div w:id="1860509313">
      <w:bodyDiv w:val="1"/>
      <w:marLeft w:val="0"/>
      <w:marRight w:val="0"/>
      <w:marTop w:val="0"/>
      <w:marBottom w:val="0"/>
      <w:divBdr>
        <w:top w:val="none" w:sz="0" w:space="0" w:color="auto"/>
        <w:left w:val="none" w:sz="0" w:space="0" w:color="auto"/>
        <w:bottom w:val="none" w:sz="0" w:space="0" w:color="auto"/>
        <w:right w:val="none" w:sz="0" w:space="0" w:color="auto"/>
      </w:divBdr>
    </w:div>
    <w:div w:id="1860660381">
      <w:bodyDiv w:val="1"/>
      <w:marLeft w:val="0"/>
      <w:marRight w:val="0"/>
      <w:marTop w:val="0"/>
      <w:marBottom w:val="0"/>
      <w:divBdr>
        <w:top w:val="none" w:sz="0" w:space="0" w:color="auto"/>
        <w:left w:val="none" w:sz="0" w:space="0" w:color="auto"/>
        <w:bottom w:val="none" w:sz="0" w:space="0" w:color="auto"/>
        <w:right w:val="none" w:sz="0" w:space="0" w:color="auto"/>
      </w:divBdr>
    </w:div>
    <w:div w:id="1860730329">
      <w:bodyDiv w:val="1"/>
      <w:marLeft w:val="0"/>
      <w:marRight w:val="0"/>
      <w:marTop w:val="0"/>
      <w:marBottom w:val="0"/>
      <w:divBdr>
        <w:top w:val="none" w:sz="0" w:space="0" w:color="auto"/>
        <w:left w:val="none" w:sz="0" w:space="0" w:color="auto"/>
        <w:bottom w:val="none" w:sz="0" w:space="0" w:color="auto"/>
        <w:right w:val="none" w:sz="0" w:space="0" w:color="auto"/>
      </w:divBdr>
    </w:div>
    <w:div w:id="1860851884">
      <w:bodyDiv w:val="1"/>
      <w:marLeft w:val="0"/>
      <w:marRight w:val="0"/>
      <w:marTop w:val="0"/>
      <w:marBottom w:val="0"/>
      <w:divBdr>
        <w:top w:val="none" w:sz="0" w:space="0" w:color="auto"/>
        <w:left w:val="none" w:sz="0" w:space="0" w:color="auto"/>
        <w:bottom w:val="none" w:sz="0" w:space="0" w:color="auto"/>
        <w:right w:val="none" w:sz="0" w:space="0" w:color="auto"/>
      </w:divBdr>
    </w:div>
    <w:div w:id="1861160161">
      <w:bodyDiv w:val="1"/>
      <w:marLeft w:val="0"/>
      <w:marRight w:val="0"/>
      <w:marTop w:val="0"/>
      <w:marBottom w:val="0"/>
      <w:divBdr>
        <w:top w:val="none" w:sz="0" w:space="0" w:color="auto"/>
        <w:left w:val="none" w:sz="0" w:space="0" w:color="auto"/>
        <w:bottom w:val="none" w:sz="0" w:space="0" w:color="auto"/>
        <w:right w:val="none" w:sz="0" w:space="0" w:color="auto"/>
      </w:divBdr>
    </w:div>
    <w:div w:id="1861234834">
      <w:bodyDiv w:val="1"/>
      <w:marLeft w:val="0"/>
      <w:marRight w:val="0"/>
      <w:marTop w:val="0"/>
      <w:marBottom w:val="0"/>
      <w:divBdr>
        <w:top w:val="none" w:sz="0" w:space="0" w:color="auto"/>
        <w:left w:val="none" w:sz="0" w:space="0" w:color="auto"/>
        <w:bottom w:val="none" w:sz="0" w:space="0" w:color="auto"/>
        <w:right w:val="none" w:sz="0" w:space="0" w:color="auto"/>
      </w:divBdr>
    </w:div>
    <w:div w:id="1861315505">
      <w:bodyDiv w:val="1"/>
      <w:marLeft w:val="0"/>
      <w:marRight w:val="0"/>
      <w:marTop w:val="0"/>
      <w:marBottom w:val="0"/>
      <w:divBdr>
        <w:top w:val="none" w:sz="0" w:space="0" w:color="auto"/>
        <w:left w:val="none" w:sz="0" w:space="0" w:color="auto"/>
        <w:bottom w:val="none" w:sz="0" w:space="0" w:color="auto"/>
        <w:right w:val="none" w:sz="0" w:space="0" w:color="auto"/>
      </w:divBdr>
    </w:div>
    <w:div w:id="1861315755">
      <w:bodyDiv w:val="1"/>
      <w:marLeft w:val="0"/>
      <w:marRight w:val="0"/>
      <w:marTop w:val="0"/>
      <w:marBottom w:val="0"/>
      <w:divBdr>
        <w:top w:val="none" w:sz="0" w:space="0" w:color="auto"/>
        <w:left w:val="none" w:sz="0" w:space="0" w:color="auto"/>
        <w:bottom w:val="none" w:sz="0" w:space="0" w:color="auto"/>
        <w:right w:val="none" w:sz="0" w:space="0" w:color="auto"/>
      </w:divBdr>
    </w:div>
    <w:div w:id="1861354278">
      <w:bodyDiv w:val="1"/>
      <w:marLeft w:val="0"/>
      <w:marRight w:val="0"/>
      <w:marTop w:val="0"/>
      <w:marBottom w:val="0"/>
      <w:divBdr>
        <w:top w:val="none" w:sz="0" w:space="0" w:color="auto"/>
        <w:left w:val="none" w:sz="0" w:space="0" w:color="auto"/>
        <w:bottom w:val="none" w:sz="0" w:space="0" w:color="auto"/>
        <w:right w:val="none" w:sz="0" w:space="0" w:color="auto"/>
      </w:divBdr>
    </w:div>
    <w:div w:id="1861506258">
      <w:bodyDiv w:val="1"/>
      <w:marLeft w:val="0"/>
      <w:marRight w:val="0"/>
      <w:marTop w:val="0"/>
      <w:marBottom w:val="0"/>
      <w:divBdr>
        <w:top w:val="none" w:sz="0" w:space="0" w:color="auto"/>
        <w:left w:val="none" w:sz="0" w:space="0" w:color="auto"/>
        <w:bottom w:val="none" w:sz="0" w:space="0" w:color="auto"/>
        <w:right w:val="none" w:sz="0" w:space="0" w:color="auto"/>
      </w:divBdr>
    </w:div>
    <w:div w:id="1861553685">
      <w:bodyDiv w:val="1"/>
      <w:marLeft w:val="0"/>
      <w:marRight w:val="0"/>
      <w:marTop w:val="0"/>
      <w:marBottom w:val="0"/>
      <w:divBdr>
        <w:top w:val="none" w:sz="0" w:space="0" w:color="auto"/>
        <w:left w:val="none" w:sz="0" w:space="0" w:color="auto"/>
        <w:bottom w:val="none" w:sz="0" w:space="0" w:color="auto"/>
        <w:right w:val="none" w:sz="0" w:space="0" w:color="auto"/>
      </w:divBdr>
    </w:div>
    <w:div w:id="1861966813">
      <w:bodyDiv w:val="1"/>
      <w:marLeft w:val="0"/>
      <w:marRight w:val="0"/>
      <w:marTop w:val="0"/>
      <w:marBottom w:val="0"/>
      <w:divBdr>
        <w:top w:val="none" w:sz="0" w:space="0" w:color="auto"/>
        <w:left w:val="none" w:sz="0" w:space="0" w:color="auto"/>
        <w:bottom w:val="none" w:sz="0" w:space="0" w:color="auto"/>
        <w:right w:val="none" w:sz="0" w:space="0" w:color="auto"/>
      </w:divBdr>
    </w:div>
    <w:div w:id="1861966960">
      <w:bodyDiv w:val="1"/>
      <w:marLeft w:val="0"/>
      <w:marRight w:val="0"/>
      <w:marTop w:val="0"/>
      <w:marBottom w:val="0"/>
      <w:divBdr>
        <w:top w:val="none" w:sz="0" w:space="0" w:color="auto"/>
        <w:left w:val="none" w:sz="0" w:space="0" w:color="auto"/>
        <w:bottom w:val="none" w:sz="0" w:space="0" w:color="auto"/>
        <w:right w:val="none" w:sz="0" w:space="0" w:color="auto"/>
      </w:divBdr>
    </w:div>
    <w:div w:id="1862039577">
      <w:bodyDiv w:val="1"/>
      <w:marLeft w:val="0"/>
      <w:marRight w:val="0"/>
      <w:marTop w:val="0"/>
      <w:marBottom w:val="0"/>
      <w:divBdr>
        <w:top w:val="none" w:sz="0" w:space="0" w:color="auto"/>
        <w:left w:val="none" w:sz="0" w:space="0" w:color="auto"/>
        <w:bottom w:val="none" w:sz="0" w:space="0" w:color="auto"/>
        <w:right w:val="none" w:sz="0" w:space="0" w:color="auto"/>
      </w:divBdr>
    </w:div>
    <w:div w:id="1862087315">
      <w:bodyDiv w:val="1"/>
      <w:marLeft w:val="0"/>
      <w:marRight w:val="0"/>
      <w:marTop w:val="0"/>
      <w:marBottom w:val="0"/>
      <w:divBdr>
        <w:top w:val="none" w:sz="0" w:space="0" w:color="auto"/>
        <w:left w:val="none" w:sz="0" w:space="0" w:color="auto"/>
        <w:bottom w:val="none" w:sz="0" w:space="0" w:color="auto"/>
        <w:right w:val="none" w:sz="0" w:space="0" w:color="auto"/>
      </w:divBdr>
    </w:div>
    <w:div w:id="1862088833">
      <w:bodyDiv w:val="1"/>
      <w:marLeft w:val="0"/>
      <w:marRight w:val="0"/>
      <w:marTop w:val="0"/>
      <w:marBottom w:val="0"/>
      <w:divBdr>
        <w:top w:val="none" w:sz="0" w:space="0" w:color="auto"/>
        <w:left w:val="none" w:sz="0" w:space="0" w:color="auto"/>
        <w:bottom w:val="none" w:sz="0" w:space="0" w:color="auto"/>
        <w:right w:val="none" w:sz="0" w:space="0" w:color="auto"/>
      </w:divBdr>
    </w:div>
    <w:div w:id="1862158489">
      <w:bodyDiv w:val="1"/>
      <w:marLeft w:val="0"/>
      <w:marRight w:val="0"/>
      <w:marTop w:val="0"/>
      <w:marBottom w:val="0"/>
      <w:divBdr>
        <w:top w:val="none" w:sz="0" w:space="0" w:color="auto"/>
        <w:left w:val="none" w:sz="0" w:space="0" w:color="auto"/>
        <w:bottom w:val="none" w:sz="0" w:space="0" w:color="auto"/>
        <w:right w:val="none" w:sz="0" w:space="0" w:color="auto"/>
      </w:divBdr>
    </w:div>
    <w:div w:id="1862232634">
      <w:bodyDiv w:val="1"/>
      <w:marLeft w:val="0"/>
      <w:marRight w:val="0"/>
      <w:marTop w:val="0"/>
      <w:marBottom w:val="0"/>
      <w:divBdr>
        <w:top w:val="none" w:sz="0" w:space="0" w:color="auto"/>
        <w:left w:val="none" w:sz="0" w:space="0" w:color="auto"/>
        <w:bottom w:val="none" w:sz="0" w:space="0" w:color="auto"/>
        <w:right w:val="none" w:sz="0" w:space="0" w:color="auto"/>
      </w:divBdr>
    </w:div>
    <w:div w:id="1862234088">
      <w:bodyDiv w:val="1"/>
      <w:marLeft w:val="0"/>
      <w:marRight w:val="0"/>
      <w:marTop w:val="0"/>
      <w:marBottom w:val="0"/>
      <w:divBdr>
        <w:top w:val="none" w:sz="0" w:space="0" w:color="auto"/>
        <w:left w:val="none" w:sz="0" w:space="0" w:color="auto"/>
        <w:bottom w:val="none" w:sz="0" w:space="0" w:color="auto"/>
        <w:right w:val="none" w:sz="0" w:space="0" w:color="auto"/>
      </w:divBdr>
    </w:div>
    <w:div w:id="1862235973">
      <w:bodyDiv w:val="1"/>
      <w:marLeft w:val="0"/>
      <w:marRight w:val="0"/>
      <w:marTop w:val="0"/>
      <w:marBottom w:val="0"/>
      <w:divBdr>
        <w:top w:val="none" w:sz="0" w:space="0" w:color="auto"/>
        <w:left w:val="none" w:sz="0" w:space="0" w:color="auto"/>
        <w:bottom w:val="none" w:sz="0" w:space="0" w:color="auto"/>
        <w:right w:val="none" w:sz="0" w:space="0" w:color="auto"/>
      </w:divBdr>
    </w:div>
    <w:div w:id="1862281915">
      <w:bodyDiv w:val="1"/>
      <w:marLeft w:val="0"/>
      <w:marRight w:val="0"/>
      <w:marTop w:val="0"/>
      <w:marBottom w:val="0"/>
      <w:divBdr>
        <w:top w:val="none" w:sz="0" w:space="0" w:color="auto"/>
        <w:left w:val="none" w:sz="0" w:space="0" w:color="auto"/>
        <w:bottom w:val="none" w:sz="0" w:space="0" w:color="auto"/>
        <w:right w:val="none" w:sz="0" w:space="0" w:color="auto"/>
      </w:divBdr>
    </w:div>
    <w:div w:id="1862282759">
      <w:bodyDiv w:val="1"/>
      <w:marLeft w:val="0"/>
      <w:marRight w:val="0"/>
      <w:marTop w:val="0"/>
      <w:marBottom w:val="0"/>
      <w:divBdr>
        <w:top w:val="none" w:sz="0" w:space="0" w:color="auto"/>
        <w:left w:val="none" w:sz="0" w:space="0" w:color="auto"/>
        <w:bottom w:val="none" w:sz="0" w:space="0" w:color="auto"/>
        <w:right w:val="none" w:sz="0" w:space="0" w:color="auto"/>
      </w:divBdr>
    </w:div>
    <w:div w:id="1862468290">
      <w:bodyDiv w:val="1"/>
      <w:marLeft w:val="0"/>
      <w:marRight w:val="0"/>
      <w:marTop w:val="0"/>
      <w:marBottom w:val="0"/>
      <w:divBdr>
        <w:top w:val="none" w:sz="0" w:space="0" w:color="auto"/>
        <w:left w:val="none" w:sz="0" w:space="0" w:color="auto"/>
        <w:bottom w:val="none" w:sz="0" w:space="0" w:color="auto"/>
        <w:right w:val="none" w:sz="0" w:space="0" w:color="auto"/>
      </w:divBdr>
    </w:div>
    <w:div w:id="1862549088">
      <w:bodyDiv w:val="1"/>
      <w:marLeft w:val="0"/>
      <w:marRight w:val="0"/>
      <w:marTop w:val="0"/>
      <w:marBottom w:val="0"/>
      <w:divBdr>
        <w:top w:val="none" w:sz="0" w:space="0" w:color="auto"/>
        <w:left w:val="none" w:sz="0" w:space="0" w:color="auto"/>
        <w:bottom w:val="none" w:sz="0" w:space="0" w:color="auto"/>
        <w:right w:val="none" w:sz="0" w:space="0" w:color="auto"/>
      </w:divBdr>
    </w:div>
    <w:div w:id="1862745223">
      <w:bodyDiv w:val="1"/>
      <w:marLeft w:val="0"/>
      <w:marRight w:val="0"/>
      <w:marTop w:val="0"/>
      <w:marBottom w:val="0"/>
      <w:divBdr>
        <w:top w:val="none" w:sz="0" w:space="0" w:color="auto"/>
        <w:left w:val="none" w:sz="0" w:space="0" w:color="auto"/>
        <w:bottom w:val="none" w:sz="0" w:space="0" w:color="auto"/>
        <w:right w:val="none" w:sz="0" w:space="0" w:color="auto"/>
      </w:divBdr>
    </w:div>
    <w:div w:id="1862812434">
      <w:bodyDiv w:val="1"/>
      <w:marLeft w:val="0"/>
      <w:marRight w:val="0"/>
      <w:marTop w:val="0"/>
      <w:marBottom w:val="0"/>
      <w:divBdr>
        <w:top w:val="none" w:sz="0" w:space="0" w:color="auto"/>
        <w:left w:val="none" w:sz="0" w:space="0" w:color="auto"/>
        <w:bottom w:val="none" w:sz="0" w:space="0" w:color="auto"/>
        <w:right w:val="none" w:sz="0" w:space="0" w:color="auto"/>
      </w:divBdr>
    </w:div>
    <w:div w:id="1862862914">
      <w:bodyDiv w:val="1"/>
      <w:marLeft w:val="0"/>
      <w:marRight w:val="0"/>
      <w:marTop w:val="0"/>
      <w:marBottom w:val="0"/>
      <w:divBdr>
        <w:top w:val="none" w:sz="0" w:space="0" w:color="auto"/>
        <w:left w:val="none" w:sz="0" w:space="0" w:color="auto"/>
        <w:bottom w:val="none" w:sz="0" w:space="0" w:color="auto"/>
        <w:right w:val="none" w:sz="0" w:space="0" w:color="auto"/>
      </w:divBdr>
    </w:div>
    <w:div w:id="1863006872">
      <w:bodyDiv w:val="1"/>
      <w:marLeft w:val="0"/>
      <w:marRight w:val="0"/>
      <w:marTop w:val="0"/>
      <w:marBottom w:val="0"/>
      <w:divBdr>
        <w:top w:val="none" w:sz="0" w:space="0" w:color="auto"/>
        <w:left w:val="none" w:sz="0" w:space="0" w:color="auto"/>
        <w:bottom w:val="none" w:sz="0" w:space="0" w:color="auto"/>
        <w:right w:val="none" w:sz="0" w:space="0" w:color="auto"/>
      </w:divBdr>
    </w:div>
    <w:div w:id="1863126791">
      <w:bodyDiv w:val="1"/>
      <w:marLeft w:val="0"/>
      <w:marRight w:val="0"/>
      <w:marTop w:val="0"/>
      <w:marBottom w:val="0"/>
      <w:divBdr>
        <w:top w:val="none" w:sz="0" w:space="0" w:color="auto"/>
        <w:left w:val="none" w:sz="0" w:space="0" w:color="auto"/>
        <w:bottom w:val="none" w:sz="0" w:space="0" w:color="auto"/>
        <w:right w:val="none" w:sz="0" w:space="0" w:color="auto"/>
      </w:divBdr>
    </w:div>
    <w:div w:id="1863280103">
      <w:bodyDiv w:val="1"/>
      <w:marLeft w:val="0"/>
      <w:marRight w:val="0"/>
      <w:marTop w:val="0"/>
      <w:marBottom w:val="0"/>
      <w:divBdr>
        <w:top w:val="none" w:sz="0" w:space="0" w:color="auto"/>
        <w:left w:val="none" w:sz="0" w:space="0" w:color="auto"/>
        <w:bottom w:val="none" w:sz="0" w:space="0" w:color="auto"/>
        <w:right w:val="none" w:sz="0" w:space="0" w:color="auto"/>
      </w:divBdr>
    </w:div>
    <w:div w:id="1863281315">
      <w:bodyDiv w:val="1"/>
      <w:marLeft w:val="0"/>
      <w:marRight w:val="0"/>
      <w:marTop w:val="0"/>
      <w:marBottom w:val="0"/>
      <w:divBdr>
        <w:top w:val="none" w:sz="0" w:space="0" w:color="auto"/>
        <w:left w:val="none" w:sz="0" w:space="0" w:color="auto"/>
        <w:bottom w:val="none" w:sz="0" w:space="0" w:color="auto"/>
        <w:right w:val="none" w:sz="0" w:space="0" w:color="auto"/>
      </w:divBdr>
    </w:div>
    <w:div w:id="1863326475">
      <w:bodyDiv w:val="1"/>
      <w:marLeft w:val="0"/>
      <w:marRight w:val="0"/>
      <w:marTop w:val="0"/>
      <w:marBottom w:val="0"/>
      <w:divBdr>
        <w:top w:val="none" w:sz="0" w:space="0" w:color="auto"/>
        <w:left w:val="none" w:sz="0" w:space="0" w:color="auto"/>
        <w:bottom w:val="none" w:sz="0" w:space="0" w:color="auto"/>
        <w:right w:val="none" w:sz="0" w:space="0" w:color="auto"/>
      </w:divBdr>
    </w:div>
    <w:div w:id="1863395282">
      <w:bodyDiv w:val="1"/>
      <w:marLeft w:val="0"/>
      <w:marRight w:val="0"/>
      <w:marTop w:val="0"/>
      <w:marBottom w:val="0"/>
      <w:divBdr>
        <w:top w:val="none" w:sz="0" w:space="0" w:color="auto"/>
        <w:left w:val="none" w:sz="0" w:space="0" w:color="auto"/>
        <w:bottom w:val="none" w:sz="0" w:space="0" w:color="auto"/>
        <w:right w:val="none" w:sz="0" w:space="0" w:color="auto"/>
      </w:divBdr>
    </w:div>
    <w:div w:id="1863468952">
      <w:bodyDiv w:val="1"/>
      <w:marLeft w:val="0"/>
      <w:marRight w:val="0"/>
      <w:marTop w:val="0"/>
      <w:marBottom w:val="0"/>
      <w:divBdr>
        <w:top w:val="none" w:sz="0" w:space="0" w:color="auto"/>
        <w:left w:val="none" w:sz="0" w:space="0" w:color="auto"/>
        <w:bottom w:val="none" w:sz="0" w:space="0" w:color="auto"/>
        <w:right w:val="none" w:sz="0" w:space="0" w:color="auto"/>
      </w:divBdr>
    </w:div>
    <w:div w:id="1863519650">
      <w:bodyDiv w:val="1"/>
      <w:marLeft w:val="0"/>
      <w:marRight w:val="0"/>
      <w:marTop w:val="0"/>
      <w:marBottom w:val="0"/>
      <w:divBdr>
        <w:top w:val="none" w:sz="0" w:space="0" w:color="auto"/>
        <w:left w:val="none" w:sz="0" w:space="0" w:color="auto"/>
        <w:bottom w:val="none" w:sz="0" w:space="0" w:color="auto"/>
        <w:right w:val="none" w:sz="0" w:space="0" w:color="auto"/>
      </w:divBdr>
    </w:div>
    <w:div w:id="1863547213">
      <w:bodyDiv w:val="1"/>
      <w:marLeft w:val="0"/>
      <w:marRight w:val="0"/>
      <w:marTop w:val="0"/>
      <w:marBottom w:val="0"/>
      <w:divBdr>
        <w:top w:val="none" w:sz="0" w:space="0" w:color="auto"/>
        <w:left w:val="none" w:sz="0" w:space="0" w:color="auto"/>
        <w:bottom w:val="none" w:sz="0" w:space="0" w:color="auto"/>
        <w:right w:val="none" w:sz="0" w:space="0" w:color="auto"/>
      </w:divBdr>
    </w:div>
    <w:div w:id="1863588630">
      <w:bodyDiv w:val="1"/>
      <w:marLeft w:val="0"/>
      <w:marRight w:val="0"/>
      <w:marTop w:val="0"/>
      <w:marBottom w:val="0"/>
      <w:divBdr>
        <w:top w:val="none" w:sz="0" w:space="0" w:color="auto"/>
        <w:left w:val="none" w:sz="0" w:space="0" w:color="auto"/>
        <w:bottom w:val="none" w:sz="0" w:space="0" w:color="auto"/>
        <w:right w:val="none" w:sz="0" w:space="0" w:color="auto"/>
      </w:divBdr>
    </w:div>
    <w:div w:id="1863594763">
      <w:bodyDiv w:val="1"/>
      <w:marLeft w:val="0"/>
      <w:marRight w:val="0"/>
      <w:marTop w:val="0"/>
      <w:marBottom w:val="0"/>
      <w:divBdr>
        <w:top w:val="none" w:sz="0" w:space="0" w:color="auto"/>
        <w:left w:val="none" w:sz="0" w:space="0" w:color="auto"/>
        <w:bottom w:val="none" w:sz="0" w:space="0" w:color="auto"/>
        <w:right w:val="none" w:sz="0" w:space="0" w:color="auto"/>
      </w:divBdr>
    </w:div>
    <w:div w:id="1863594766">
      <w:bodyDiv w:val="1"/>
      <w:marLeft w:val="0"/>
      <w:marRight w:val="0"/>
      <w:marTop w:val="0"/>
      <w:marBottom w:val="0"/>
      <w:divBdr>
        <w:top w:val="none" w:sz="0" w:space="0" w:color="auto"/>
        <w:left w:val="none" w:sz="0" w:space="0" w:color="auto"/>
        <w:bottom w:val="none" w:sz="0" w:space="0" w:color="auto"/>
        <w:right w:val="none" w:sz="0" w:space="0" w:color="auto"/>
      </w:divBdr>
    </w:div>
    <w:div w:id="1863668672">
      <w:bodyDiv w:val="1"/>
      <w:marLeft w:val="0"/>
      <w:marRight w:val="0"/>
      <w:marTop w:val="0"/>
      <w:marBottom w:val="0"/>
      <w:divBdr>
        <w:top w:val="none" w:sz="0" w:space="0" w:color="auto"/>
        <w:left w:val="none" w:sz="0" w:space="0" w:color="auto"/>
        <w:bottom w:val="none" w:sz="0" w:space="0" w:color="auto"/>
        <w:right w:val="none" w:sz="0" w:space="0" w:color="auto"/>
      </w:divBdr>
    </w:div>
    <w:div w:id="1863860984">
      <w:bodyDiv w:val="1"/>
      <w:marLeft w:val="0"/>
      <w:marRight w:val="0"/>
      <w:marTop w:val="0"/>
      <w:marBottom w:val="0"/>
      <w:divBdr>
        <w:top w:val="none" w:sz="0" w:space="0" w:color="auto"/>
        <w:left w:val="none" w:sz="0" w:space="0" w:color="auto"/>
        <w:bottom w:val="none" w:sz="0" w:space="0" w:color="auto"/>
        <w:right w:val="none" w:sz="0" w:space="0" w:color="auto"/>
      </w:divBdr>
    </w:div>
    <w:div w:id="1863975284">
      <w:bodyDiv w:val="1"/>
      <w:marLeft w:val="0"/>
      <w:marRight w:val="0"/>
      <w:marTop w:val="0"/>
      <w:marBottom w:val="0"/>
      <w:divBdr>
        <w:top w:val="none" w:sz="0" w:space="0" w:color="auto"/>
        <w:left w:val="none" w:sz="0" w:space="0" w:color="auto"/>
        <w:bottom w:val="none" w:sz="0" w:space="0" w:color="auto"/>
        <w:right w:val="none" w:sz="0" w:space="0" w:color="auto"/>
      </w:divBdr>
    </w:div>
    <w:div w:id="1864056916">
      <w:bodyDiv w:val="1"/>
      <w:marLeft w:val="0"/>
      <w:marRight w:val="0"/>
      <w:marTop w:val="0"/>
      <w:marBottom w:val="0"/>
      <w:divBdr>
        <w:top w:val="none" w:sz="0" w:space="0" w:color="auto"/>
        <w:left w:val="none" w:sz="0" w:space="0" w:color="auto"/>
        <w:bottom w:val="none" w:sz="0" w:space="0" w:color="auto"/>
        <w:right w:val="none" w:sz="0" w:space="0" w:color="auto"/>
      </w:divBdr>
    </w:div>
    <w:div w:id="1864245127">
      <w:bodyDiv w:val="1"/>
      <w:marLeft w:val="0"/>
      <w:marRight w:val="0"/>
      <w:marTop w:val="0"/>
      <w:marBottom w:val="0"/>
      <w:divBdr>
        <w:top w:val="none" w:sz="0" w:space="0" w:color="auto"/>
        <w:left w:val="none" w:sz="0" w:space="0" w:color="auto"/>
        <w:bottom w:val="none" w:sz="0" w:space="0" w:color="auto"/>
        <w:right w:val="none" w:sz="0" w:space="0" w:color="auto"/>
      </w:divBdr>
    </w:div>
    <w:div w:id="1864318981">
      <w:bodyDiv w:val="1"/>
      <w:marLeft w:val="0"/>
      <w:marRight w:val="0"/>
      <w:marTop w:val="0"/>
      <w:marBottom w:val="0"/>
      <w:divBdr>
        <w:top w:val="none" w:sz="0" w:space="0" w:color="auto"/>
        <w:left w:val="none" w:sz="0" w:space="0" w:color="auto"/>
        <w:bottom w:val="none" w:sz="0" w:space="0" w:color="auto"/>
        <w:right w:val="none" w:sz="0" w:space="0" w:color="auto"/>
      </w:divBdr>
    </w:div>
    <w:div w:id="1864511935">
      <w:bodyDiv w:val="1"/>
      <w:marLeft w:val="0"/>
      <w:marRight w:val="0"/>
      <w:marTop w:val="0"/>
      <w:marBottom w:val="0"/>
      <w:divBdr>
        <w:top w:val="none" w:sz="0" w:space="0" w:color="auto"/>
        <w:left w:val="none" w:sz="0" w:space="0" w:color="auto"/>
        <w:bottom w:val="none" w:sz="0" w:space="0" w:color="auto"/>
        <w:right w:val="none" w:sz="0" w:space="0" w:color="auto"/>
      </w:divBdr>
    </w:div>
    <w:div w:id="1864632247">
      <w:bodyDiv w:val="1"/>
      <w:marLeft w:val="0"/>
      <w:marRight w:val="0"/>
      <w:marTop w:val="0"/>
      <w:marBottom w:val="0"/>
      <w:divBdr>
        <w:top w:val="none" w:sz="0" w:space="0" w:color="auto"/>
        <w:left w:val="none" w:sz="0" w:space="0" w:color="auto"/>
        <w:bottom w:val="none" w:sz="0" w:space="0" w:color="auto"/>
        <w:right w:val="none" w:sz="0" w:space="0" w:color="auto"/>
      </w:divBdr>
    </w:div>
    <w:div w:id="1864782214">
      <w:bodyDiv w:val="1"/>
      <w:marLeft w:val="0"/>
      <w:marRight w:val="0"/>
      <w:marTop w:val="0"/>
      <w:marBottom w:val="0"/>
      <w:divBdr>
        <w:top w:val="none" w:sz="0" w:space="0" w:color="auto"/>
        <w:left w:val="none" w:sz="0" w:space="0" w:color="auto"/>
        <w:bottom w:val="none" w:sz="0" w:space="0" w:color="auto"/>
        <w:right w:val="none" w:sz="0" w:space="0" w:color="auto"/>
      </w:divBdr>
    </w:div>
    <w:div w:id="1864901468">
      <w:bodyDiv w:val="1"/>
      <w:marLeft w:val="0"/>
      <w:marRight w:val="0"/>
      <w:marTop w:val="0"/>
      <w:marBottom w:val="0"/>
      <w:divBdr>
        <w:top w:val="none" w:sz="0" w:space="0" w:color="auto"/>
        <w:left w:val="none" w:sz="0" w:space="0" w:color="auto"/>
        <w:bottom w:val="none" w:sz="0" w:space="0" w:color="auto"/>
        <w:right w:val="none" w:sz="0" w:space="0" w:color="auto"/>
      </w:divBdr>
    </w:div>
    <w:div w:id="1865052109">
      <w:bodyDiv w:val="1"/>
      <w:marLeft w:val="0"/>
      <w:marRight w:val="0"/>
      <w:marTop w:val="0"/>
      <w:marBottom w:val="0"/>
      <w:divBdr>
        <w:top w:val="none" w:sz="0" w:space="0" w:color="auto"/>
        <w:left w:val="none" w:sz="0" w:space="0" w:color="auto"/>
        <w:bottom w:val="none" w:sz="0" w:space="0" w:color="auto"/>
        <w:right w:val="none" w:sz="0" w:space="0" w:color="auto"/>
      </w:divBdr>
    </w:div>
    <w:div w:id="1865358458">
      <w:bodyDiv w:val="1"/>
      <w:marLeft w:val="0"/>
      <w:marRight w:val="0"/>
      <w:marTop w:val="0"/>
      <w:marBottom w:val="0"/>
      <w:divBdr>
        <w:top w:val="none" w:sz="0" w:space="0" w:color="auto"/>
        <w:left w:val="none" w:sz="0" w:space="0" w:color="auto"/>
        <w:bottom w:val="none" w:sz="0" w:space="0" w:color="auto"/>
        <w:right w:val="none" w:sz="0" w:space="0" w:color="auto"/>
      </w:divBdr>
    </w:div>
    <w:div w:id="1865363145">
      <w:bodyDiv w:val="1"/>
      <w:marLeft w:val="0"/>
      <w:marRight w:val="0"/>
      <w:marTop w:val="0"/>
      <w:marBottom w:val="0"/>
      <w:divBdr>
        <w:top w:val="none" w:sz="0" w:space="0" w:color="auto"/>
        <w:left w:val="none" w:sz="0" w:space="0" w:color="auto"/>
        <w:bottom w:val="none" w:sz="0" w:space="0" w:color="auto"/>
        <w:right w:val="none" w:sz="0" w:space="0" w:color="auto"/>
      </w:divBdr>
    </w:div>
    <w:div w:id="1865438716">
      <w:bodyDiv w:val="1"/>
      <w:marLeft w:val="0"/>
      <w:marRight w:val="0"/>
      <w:marTop w:val="0"/>
      <w:marBottom w:val="0"/>
      <w:divBdr>
        <w:top w:val="none" w:sz="0" w:space="0" w:color="auto"/>
        <w:left w:val="none" w:sz="0" w:space="0" w:color="auto"/>
        <w:bottom w:val="none" w:sz="0" w:space="0" w:color="auto"/>
        <w:right w:val="none" w:sz="0" w:space="0" w:color="auto"/>
      </w:divBdr>
    </w:div>
    <w:div w:id="1865483511">
      <w:bodyDiv w:val="1"/>
      <w:marLeft w:val="0"/>
      <w:marRight w:val="0"/>
      <w:marTop w:val="0"/>
      <w:marBottom w:val="0"/>
      <w:divBdr>
        <w:top w:val="none" w:sz="0" w:space="0" w:color="auto"/>
        <w:left w:val="none" w:sz="0" w:space="0" w:color="auto"/>
        <w:bottom w:val="none" w:sz="0" w:space="0" w:color="auto"/>
        <w:right w:val="none" w:sz="0" w:space="0" w:color="auto"/>
      </w:divBdr>
    </w:div>
    <w:div w:id="1865752660">
      <w:bodyDiv w:val="1"/>
      <w:marLeft w:val="0"/>
      <w:marRight w:val="0"/>
      <w:marTop w:val="0"/>
      <w:marBottom w:val="0"/>
      <w:divBdr>
        <w:top w:val="none" w:sz="0" w:space="0" w:color="auto"/>
        <w:left w:val="none" w:sz="0" w:space="0" w:color="auto"/>
        <w:bottom w:val="none" w:sz="0" w:space="0" w:color="auto"/>
        <w:right w:val="none" w:sz="0" w:space="0" w:color="auto"/>
      </w:divBdr>
    </w:div>
    <w:div w:id="1865828406">
      <w:bodyDiv w:val="1"/>
      <w:marLeft w:val="0"/>
      <w:marRight w:val="0"/>
      <w:marTop w:val="0"/>
      <w:marBottom w:val="0"/>
      <w:divBdr>
        <w:top w:val="none" w:sz="0" w:space="0" w:color="auto"/>
        <w:left w:val="none" w:sz="0" w:space="0" w:color="auto"/>
        <w:bottom w:val="none" w:sz="0" w:space="0" w:color="auto"/>
        <w:right w:val="none" w:sz="0" w:space="0" w:color="auto"/>
      </w:divBdr>
    </w:div>
    <w:div w:id="1865898447">
      <w:bodyDiv w:val="1"/>
      <w:marLeft w:val="0"/>
      <w:marRight w:val="0"/>
      <w:marTop w:val="0"/>
      <w:marBottom w:val="0"/>
      <w:divBdr>
        <w:top w:val="none" w:sz="0" w:space="0" w:color="auto"/>
        <w:left w:val="none" w:sz="0" w:space="0" w:color="auto"/>
        <w:bottom w:val="none" w:sz="0" w:space="0" w:color="auto"/>
        <w:right w:val="none" w:sz="0" w:space="0" w:color="auto"/>
      </w:divBdr>
    </w:div>
    <w:div w:id="1866022397">
      <w:bodyDiv w:val="1"/>
      <w:marLeft w:val="0"/>
      <w:marRight w:val="0"/>
      <w:marTop w:val="0"/>
      <w:marBottom w:val="0"/>
      <w:divBdr>
        <w:top w:val="none" w:sz="0" w:space="0" w:color="auto"/>
        <w:left w:val="none" w:sz="0" w:space="0" w:color="auto"/>
        <w:bottom w:val="none" w:sz="0" w:space="0" w:color="auto"/>
        <w:right w:val="none" w:sz="0" w:space="0" w:color="auto"/>
      </w:divBdr>
    </w:div>
    <w:div w:id="1866093898">
      <w:bodyDiv w:val="1"/>
      <w:marLeft w:val="0"/>
      <w:marRight w:val="0"/>
      <w:marTop w:val="0"/>
      <w:marBottom w:val="0"/>
      <w:divBdr>
        <w:top w:val="none" w:sz="0" w:space="0" w:color="auto"/>
        <w:left w:val="none" w:sz="0" w:space="0" w:color="auto"/>
        <w:bottom w:val="none" w:sz="0" w:space="0" w:color="auto"/>
        <w:right w:val="none" w:sz="0" w:space="0" w:color="auto"/>
      </w:divBdr>
    </w:div>
    <w:div w:id="1866139552">
      <w:bodyDiv w:val="1"/>
      <w:marLeft w:val="0"/>
      <w:marRight w:val="0"/>
      <w:marTop w:val="0"/>
      <w:marBottom w:val="0"/>
      <w:divBdr>
        <w:top w:val="none" w:sz="0" w:space="0" w:color="auto"/>
        <w:left w:val="none" w:sz="0" w:space="0" w:color="auto"/>
        <w:bottom w:val="none" w:sz="0" w:space="0" w:color="auto"/>
        <w:right w:val="none" w:sz="0" w:space="0" w:color="auto"/>
      </w:divBdr>
    </w:div>
    <w:div w:id="1866210160">
      <w:bodyDiv w:val="1"/>
      <w:marLeft w:val="0"/>
      <w:marRight w:val="0"/>
      <w:marTop w:val="0"/>
      <w:marBottom w:val="0"/>
      <w:divBdr>
        <w:top w:val="none" w:sz="0" w:space="0" w:color="auto"/>
        <w:left w:val="none" w:sz="0" w:space="0" w:color="auto"/>
        <w:bottom w:val="none" w:sz="0" w:space="0" w:color="auto"/>
        <w:right w:val="none" w:sz="0" w:space="0" w:color="auto"/>
      </w:divBdr>
    </w:div>
    <w:div w:id="1866559297">
      <w:bodyDiv w:val="1"/>
      <w:marLeft w:val="0"/>
      <w:marRight w:val="0"/>
      <w:marTop w:val="0"/>
      <w:marBottom w:val="0"/>
      <w:divBdr>
        <w:top w:val="none" w:sz="0" w:space="0" w:color="auto"/>
        <w:left w:val="none" w:sz="0" w:space="0" w:color="auto"/>
        <w:bottom w:val="none" w:sz="0" w:space="0" w:color="auto"/>
        <w:right w:val="none" w:sz="0" w:space="0" w:color="auto"/>
      </w:divBdr>
    </w:div>
    <w:div w:id="1866676491">
      <w:bodyDiv w:val="1"/>
      <w:marLeft w:val="0"/>
      <w:marRight w:val="0"/>
      <w:marTop w:val="0"/>
      <w:marBottom w:val="0"/>
      <w:divBdr>
        <w:top w:val="none" w:sz="0" w:space="0" w:color="auto"/>
        <w:left w:val="none" w:sz="0" w:space="0" w:color="auto"/>
        <w:bottom w:val="none" w:sz="0" w:space="0" w:color="auto"/>
        <w:right w:val="none" w:sz="0" w:space="0" w:color="auto"/>
      </w:divBdr>
    </w:div>
    <w:div w:id="1866744308">
      <w:bodyDiv w:val="1"/>
      <w:marLeft w:val="0"/>
      <w:marRight w:val="0"/>
      <w:marTop w:val="0"/>
      <w:marBottom w:val="0"/>
      <w:divBdr>
        <w:top w:val="none" w:sz="0" w:space="0" w:color="auto"/>
        <w:left w:val="none" w:sz="0" w:space="0" w:color="auto"/>
        <w:bottom w:val="none" w:sz="0" w:space="0" w:color="auto"/>
        <w:right w:val="none" w:sz="0" w:space="0" w:color="auto"/>
      </w:divBdr>
    </w:div>
    <w:div w:id="1866865457">
      <w:bodyDiv w:val="1"/>
      <w:marLeft w:val="0"/>
      <w:marRight w:val="0"/>
      <w:marTop w:val="0"/>
      <w:marBottom w:val="0"/>
      <w:divBdr>
        <w:top w:val="none" w:sz="0" w:space="0" w:color="auto"/>
        <w:left w:val="none" w:sz="0" w:space="0" w:color="auto"/>
        <w:bottom w:val="none" w:sz="0" w:space="0" w:color="auto"/>
        <w:right w:val="none" w:sz="0" w:space="0" w:color="auto"/>
      </w:divBdr>
    </w:div>
    <w:div w:id="1867214189">
      <w:bodyDiv w:val="1"/>
      <w:marLeft w:val="0"/>
      <w:marRight w:val="0"/>
      <w:marTop w:val="0"/>
      <w:marBottom w:val="0"/>
      <w:divBdr>
        <w:top w:val="none" w:sz="0" w:space="0" w:color="auto"/>
        <w:left w:val="none" w:sz="0" w:space="0" w:color="auto"/>
        <w:bottom w:val="none" w:sz="0" w:space="0" w:color="auto"/>
        <w:right w:val="none" w:sz="0" w:space="0" w:color="auto"/>
      </w:divBdr>
    </w:div>
    <w:div w:id="1867594841">
      <w:bodyDiv w:val="1"/>
      <w:marLeft w:val="0"/>
      <w:marRight w:val="0"/>
      <w:marTop w:val="0"/>
      <w:marBottom w:val="0"/>
      <w:divBdr>
        <w:top w:val="none" w:sz="0" w:space="0" w:color="auto"/>
        <w:left w:val="none" w:sz="0" w:space="0" w:color="auto"/>
        <w:bottom w:val="none" w:sz="0" w:space="0" w:color="auto"/>
        <w:right w:val="none" w:sz="0" w:space="0" w:color="auto"/>
      </w:divBdr>
    </w:div>
    <w:div w:id="1867671048">
      <w:bodyDiv w:val="1"/>
      <w:marLeft w:val="0"/>
      <w:marRight w:val="0"/>
      <w:marTop w:val="0"/>
      <w:marBottom w:val="0"/>
      <w:divBdr>
        <w:top w:val="none" w:sz="0" w:space="0" w:color="auto"/>
        <w:left w:val="none" w:sz="0" w:space="0" w:color="auto"/>
        <w:bottom w:val="none" w:sz="0" w:space="0" w:color="auto"/>
        <w:right w:val="none" w:sz="0" w:space="0" w:color="auto"/>
      </w:divBdr>
    </w:div>
    <w:div w:id="1867718133">
      <w:bodyDiv w:val="1"/>
      <w:marLeft w:val="0"/>
      <w:marRight w:val="0"/>
      <w:marTop w:val="0"/>
      <w:marBottom w:val="0"/>
      <w:divBdr>
        <w:top w:val="none" w:sz="0" w:space="0" w:color="auto"/>
        <w:left w:val="none" w:sz="0" w:space="0" w:color="auto"/>
        <w:bottom w:val="none" w:sz="0" w:space="0" w:color="auto"/>
        <w:right w:val="none" w:sz="0" w:space="0" w:color="auto"/>
      </w:divBdr>
    </w:div>
    <w:div w:id="1867986175">
      <w:bodyDiv w:val="1"/>
      <w:marLeft w:val="0"/>
      <w:marRight w:val="0"/>
      <w:marTop w:val="0"/>
      <w:marBottom w:val="0"/>
      <w:divBdr>
        <w:top w:val="none" w:sz="0" w:space="0" w:color="auto"/>
        <w:left w:val="none" w:sz="0" w:space="0" w:color="auto"/>
        <w:bottom w:val="none" w:sz="0" w:space="0" w:color="auto"/>
        <w:right w:val="none" w:sz="0" w:space="0" w:color="auto"/>
      </w:divBdr>
    </w:div>
    <w:div w:id="1868135949">
      <w:bodyDiv w:val="1"/>
      <w:marLeft w:val="0"/>
      <w:marRight w:val="0"/>
      <w:marTop w:val="0"/>
      <w:marBottom w:val="0"/>
      <w:divBdr>
        <w:top w:val="none" w:sz="0" w:space="0" w:color="auto"/>
        <w:left w:val="none" w:sz="0" w:space="0" w:color="auto"/>
        <w:bottom w:val="none" w:sz="0" w:space="0" w:color="auto"/>
        <w:right w:val="none" w:sz="0" w:space="0" w:color="auto"/>
      </w:divBdr>
    </w:div>
    <w:div w:id="1868178479">
      <w:bodyDiv w:val="1"/>
      <w:marLeft w:val="0"/>
      <w:marRight w:val="0"/>
      <w:marTop w:val="0"/>
      <w:marBottom w:val="0"/>
      <w:divBdr>
        <w:top w:val="none" w:sz="0" w:space="0" w:color="auto"/>
        <w:left w:val="none" w:sz="0" w:space="0" w:color="auto"/>
        <w:bottom w:val="none" w:sz="0" w:space="0" w:color="auto"/>
        <w:right w:val="none" w:sz="0" w:space="0" w:color="auto"/>
      </w:divBdr>
    </w:div>
    <w:div w:id="1868592653">
      <w:bodyDiv w:val="1"/>
      <w:marLeft w:val="0"/>
      <w:marRight w:val="0"/>
      <w:marTop w:val="0"/>
      <w:marBottom w:val="0"/>
      <w:divBdr>
        <w:top w:val="none" w:sz="0" w:space="0" w:color="auto"/>
        <w:left w:val="none" w:sz="0" w:space="0" w:color="auto"/>
        <w:bottom w:val="none" w:sz="0" w:space="0" w:color="auto"/>
        <w:right w:val="none" w:sz="0" w:space="0" w:color="auto"/>
      </w:divBdr>
    </w:div>
    <w:div w:id="1868713988">
      <w:bodyDiv w:val="1"/>
      <w:marLeft w:val="0"/>
      <w:marRight w:val="0"/>
      <w:marTop w:val="0"/>
      <w:marBottom w:val="0"/>
      <w:divBdr>
        <w:top w:val="none" w:sz="0" w:space="0" w:color="auto"/>
        <w:left w:val="none" w:sz="0" w:space="0" w:color="auto"/>
        <w:bottom w:val="none" w:sz="0" w:space="0" w:color="auto"/>
        <w:right w:val="none" w:sz="0" w:space="0" w:color="auto"/>
      </w:divBdr>
    </w:div>
    <w:div w:id="1868718426">
      <w:bodyDiv w:val="1"/>
      <w:marLeft w:val="0"/>
      <w:marRight w:val="0"/>
      <w:marTop w:val="0"/>
      <w:marBottom w:val="0"/>
      <w:divBdr>
        <w:top w:val="none" w:sz="0" w:space="0" w:color="auto"/>
        <w:left w:val="none" w:sz="0" w:space="0" w:color="auto"/>
        <w:bottom w:val="none" w:sz="0" w:space="0" w:color="auto"/>
        <w:right w:val="none" w:sz="0" w:space="0" w:color="auto"/>
      </w:divBdr>
    </w:div>
    <w:div w:id="1869176088">
      <w:bodyDiv w:val="1"/>
      <w:marLeft w:val="0"/>
      <w:marRight w:val="0"/>
      <w:marTop w:val="0"/>
      <w:marBottom w:val="0"/>
      <w:divBdr>
        <w:top w:val="none" w:sz="0" w:space="0" w:color="auto"/>
        <w:left w:val="none" w:sz="0" w:space="0" w:color="auto"/>
        <w:bottom w:val="none" w:sz="0" w:space="0" w:color="auto"/>
        <w:right w:val="none" w:sz="0" w:space="0" w:color="auto"/>
      </w:divBdr>
    </w:div>
    <w:div w:id="1869248908">
      <w:bodyDiv w:val="1"/>
      <w:marLeft w:val="0"/>
      <w:marRight w:val="0"/>
      <w:marTop w:val="0"/>
      <w:marBottom w:val="0"/>
      <w:divBdr>
        <w:top w:val="none" w:sz="0" w:space="0" w:color="auto"/>
        <w:left w:val="none" w:sz="0" w:space="0" w:color="auto"/>
        <w:bottom w:val="none" w:sz="0" w:space="0" w:color="auto"/>
        <w:right w:val="none" w:sz="0" w:space="0" w:color="auto"/>
      </w:divBdr>
    </w:div>
    <w:div w:id="1869299170">
      <w:bodyDiv w:val="1"/>
      <w:marLeft w:val="0"/>
      <w:marRight w:val="0"/>
      <w:marTop w:val="0"/>
      <w:marBottom w:val="0"/>
      <w:divBdr>
        <w:top w:val="none" w:sz="0" w:space="0" w:color="auto"/>
        <w:left w:val="none" w:sz="0" w:space="0" w:color="auto"/>
        <w:bottom w:val="none" w:sz="0" w:space="0" w:color="auto"/>
        <w:right w:val="none" w:sz="0" w:space="0" w:color="auto"/>
      </w:divBdr>
    </w:div>
    <w:div w:id="1869490807">
      <w:bodyDiv w:val="1"/>
      <w:marLeft w:val="0"/>
      <w:marRight w:val="0"/>
      <w:marTop w:val="0"/>
      <w:marBottom w:val="0"/>
      <w:divBdr>
        <w:top w:val="none" w:sz="0" w:space="0" w:color="auto"/>
        <w:left w:val="none" w:sz="0" w:space="0" w:color="auto"/>
        <w:bottom w:val="none" w:sz="0" w:space="0" w:color="auto"/>
        <w:right w:val="none" w:sz="0" w:space="0" w:color="auto"/>
      </w:divBdr>
    </w:div>
    <w:div w:id="1869634782">
      <w:bodyDiv w:val="1"/>
      <w:marLeft w:val="0"/>
      <w:marRight w:val="0"/>
      <w:marTop w:val="0"/>
      <w:marBottom w:val="0"/>
      <w:divBdr>
        <w:top w:val="none" w:sz="0" w:space="0" w:color="auto"/>
        <w:left w:val="none" w:sz="0" w:space="0" w:color="auto"/>
        <w:bottom w:val="none" w:sz="0" w:space="0" w:color="auto"/>
        <w:right w:val="none" w:sz="0" w:space="0" w:color="auto"/>
      </w:divBdr>
    </w:div>
    <w:div w:id="1869876371">
      <w:bodyDiv w:val="1"/>
      <w:marLeft w:val="0"/>
      <w:marRight w:val="0"/>
      <w:marTop w:val="0"/>
      <w:marBottom w:val="0"/>
      <w:divBdr>
        <w:top w:val="none" w:sz="0" w:space="0" w:color="auto"/>
        <w:left w:val="none" w:sz="0" w:space="0" w:color="auto"/>
        <w:bottom w:val="none" w:sz="0" w:space="0" w:color="auto"/>
        <w:right w:val="none" w:sz="0" w:space="0" w:color="auto"/>
      </w:divBdr>
    </w:div>
    <w:div w:id="1870214971">
      <w:bodyDiv w:val="1"/>
      <w:marLeft w:val="0"/>
      <w:marRight w:val="0"/>
      <w:marTop w:val="0"/>
      <w:marBottom w:val="0"/>
      <w:divBdr>
        <w:top w:val="none" w:sz="0" w:space="0" w:color="auto"/>
        <w:left w:val="none" w:sz="0" w:space="0" w:color="auto"/>
        <w:bottom w:val="none" w:sz="0" w:space="0" w:color="auto"/>
        <w:right w:val="none" w:sz="0" w:space="0" w:color="auto"/>
      </w:divBdr>
    </w:div>
    <w:div w:id="1870296354">
      <w:bodyDiv w:val="1"/>
      <w:marLeft w:val="0"/>
      <w:marRight w:val="0"/>
      <w:marTop w:val="0"/>
      <w:marBottom w:val="0"/>
      <w:divBdr>
        <w:top w:val="none" w:sz="0" w:space="0" w:color="auto"/>
        <w:left w:val="none" w:sz="0" w:space="0" w:color="auto"/>
        <w:bottom w:val="none" w:sz="0" w:space="0" w:color="auto"/>
        <w:right w:val="none" w:sz="0" w:space="0" w:color="auto"/>
      </w:divBdr>
    </w:div>
    <w:div w:id="1870676337">
      <w:bodyDiv w:val="1"/>
      <w:marLeft w:val="0"/>
      <w:marRight w:val="0"/>
      <w:marTop w:val="0"/>
      <w:marBottom w:val="0"/>
      <w:divBdr>
        <w:top w:val="none" w:sz="0" w:space="0" w:color="auto"/>
        <w:left w:val="none" w:sz="0" w:space="0" w:color="auto"/>
        <w:bottom w:val="none" w:sz="0" w:space="0" w:color="auto"/>
        <w:right w:val="none" w:sz="0" w:space="0" w:color="auto"/>
      </w:divBdr>
    </w:div>
    <w:div w:id="1870793515">
      <w:bodyDiv w:val="1"/>
      <w:marLeft w:val="0"/>
      <w:marRight w:val="0"/>
      <w:marTop w:val="0"/>
      <w:marBottom w:val="0"/>
      <w:divBdr>
        <w:top w:val="none" w:sz="0" w:space="0" w:color="auto"/>
        <w:left w:val="none" w:sz="0" w:space="0" w:color="auto"/>
        <w:bottom w:val="none" w:sz="0" w:space="0" w:color="auto"/>
        <w:right w:val="none" w:sz="0" w:space="0" w:color="auto"/>
      </w:divBdr>
    </w:div>
    <w:div w:id="1870873286">
      <w:bodyDiv w:val="1"/>
      <w:marLeft w:val="0"/>
      <w:marRight w:val="0"/>
      <w:marTop w:val="0"/>
      <w:marBottom w:val="0"/>
      <w:divBdr>
        <w:top w:val="none" w:sz="0" w:space="0" w:color="auto"/>
        <w:left w:val="none" w:sz="0" w:space="0" w:color="auto"/>
        <w:bottom w:val="none" w:sz="0" w:space="0" w:color="auto"/>
        <w:right w:val="none" w:sz="0" w:space="0" w:color="auto"/>
      </w:divBdr>
    </w:div>
    <w:div w:id="1870952073">
      <w:bodyDiv w:val="1"/>
      <w:marLeft w:val="0"/>
      <w:marRight w:val="0"/>
      <w:marTop w:val="0"/>
      <w:marBottom w:val="0"/>
      <w:divBdr>
        <w:top w:val="none" w:sz="0" w:space="0" w:color="auto"/>
        <w:left w:val="none" w:sz="0" w:space="0" w:color="auto"/>
        <w:bottom w:val="none" w:sz="0" w:space="0" w:color="auto"/>
        <w:right w:val="none" w:sz="0" w:space="0" w:color="auto"/>
      </w:divBdr>
    </w:div>
    <w:div w:id="1871213984">
      <w:bodyDiv w:val="1"/>
      <w:marLeft w:val="0"/>
      <w:marRight w:val="0"/>
      <w:marTop w:val="0"/>
      <w:marBottom w:val="0"/>
      <w:divBdr>
        <w:top w:val="none" w:sz="0" w:space="0" w:color="auto"/>
        <w:left w:val="none" w:sz="0" w:space="0" w:color="auto"/>
        <w:bottom w:val="none" w:sz="0" w:space="0" w:color="auto"/>
        <w:right w:val="none" w:sz="0" w:space="0" w:color="auto"/>
      </w:divBdr>
    </w:div>
    <w:div w:id="1871336917">
      <w:bodyDiv w:val="1"/>
      <w:marLeft w:val="0"/>
      <w:marRight w:val="0"/>
      <w:marTop w:val="0"/>
      <w:marBottom w:val="0"/>
      <w:divBdr>
        <w:top w:val="none" w:sz="0" w:space="0" w:color="auto"/>
        <w:left w:val="none" w:sz="0" w:space="0" w:color="auto"/>
        <w:bottom w:val="none" w:sz="0" w:space="0" w:color="auto"/>
        <w:right w:val="none" w:sz="0" w:space="0" w:color="auto"/>
      </w:divBdr>
    </w:div>
    <w:div w:id="1871448927">
      <w:bodyDiv w:val="1"/>
      <w:marLeft w:val="0"/>
      <w:marRight w:val="0"/>
      <w:marTop w:val="0"/>
      <w:marBottom w:val="0"/>
      <w:divBdr>
        <w:top w:val="none" w:sz="0" w:space="0" w:color="auto"/>
        <w:left w:val="none" w:sz="0" w:space="0" w:color="auto"/>
        <w:bottom w:val="none" w:sz="0" w:space="0" w:color="auto"/>
        <w:right w:val="none" w:sz="0" w:space="0" w:color="auto"/>
      </w:divBdr>
    </w:div>
    <w:div w:id="1871644506">
      <w:bodyDiv w:val="1"/>
      <w:marLeft w:val="0"/>
      <w:marRight w:val="0"/>
      <w:marTop w:val="0"/>
      <w:marBottom w:val="0"/>
      <w:divBdr>
        <w:top w:val="none" w:sz="0" w:space="0" w:color="auto"/>
        <w:left w:val="none" w:sz="0" w:space="0" w:color="auto"/>
        <w:bottom w:val="none" w:sz="0" w:space="0" w:color="auto"/>
        <w:right w:val="none" w:sz="0" w:space="0" w:color="auto"/>
      </w:divBdr>
    </w:div>
    <w:div w:id="1871726435">
      <w:bodyDiv w:val="1"/>
      <w:marLeft w:val="0"/>
      <w:marRight w:val="0"/>
      <w:marTop w:val="0"/>
      <w:marBottom w:val="0"/>
      <w:divBdr>
        <w:top w:val="none" w:sz="0" w:space="0" w:color="auto"/>
        <w:left w:val="none" w:sz="0" w:space="0" w:color="auto"/>
        <w:bottom w:val="none" w:sz="0" w:space="0" w:color="auto"/>
        <w:right w:val="none" w:sz="0" w:space="0" w:color="auto"/>
      </w:divBdr>
    </w:div>
    <w:div w:id="1871868828">
      <w:bodyDiv w:val="1"/>
      <w:marLeft w:val="0"/>
      <w:marRight w:val="0"/>
      <w:marTop w:val="0"/>
      <w:marBottom w:val="0"/>
      <w:divBdr>
        <w:top w:val="none" w:sz="0" w:space="0" w:color="auto"/>
        <w:left w:val="none" w:sz="0" w:space="0" w:color="auto"/>
        <w:bottom w:val="none" w:sz="0" w:space="0" w:color="auto"/>
        <w:right w:val="none" w:sz="0" w:space="0" w:color="auto"/>
      </w:divBdr>
    </w:div>
    <w:div w:id="1871871385">
      <w:bodyDiv w:val="1"/>
      <w:marLeft w:val="0"/>
      <w:marRight w:val="0"/>
      <w:marTop w:val="0"/>
      <w:marBottom w:val="0"/>
      <w:divBdr>
        <w:top w:val="none" w:sz="0" w:space="0" w:color="auto"/>
        <w:left w:val="none" w:sz="0" w:space="0" w:color="auto"/>
        <w:bottom w:val="none" w:sz="0" w:space="0" w:color="auto"/>
        <w:right w:val="none" w:sz="0" w:space="0" w:color="auto"/>
      </w:divBdr>
    </w:div>
    <w:div w:id="1871992464">
      <w:bodyDiv w:val="1"/>
      <w:marLeft w:val="0"/>
      <w:marRight w:val="0"/>
      <w:marTop w:val="0"/>
      <w:marBottom w:val="0"/>
      <w:divBdr>
        <w:top w:val="none" w:sz="0" w:space="0" w:color="auto"/>
        <w:left w:val="none" w:sz="0" w:space="0" w:color="auto"/>
        <w:bottom w:val="none" w:sz="0" w:space="0" w:color="auto"/>
        <w:right w:val="none" w:sz="0" w:space="0" w:color="auto"/>
      </w:divBdr>
    </w:div>
    <w:div w:id="1872110108">
      <w:bodyDiv w:val="1"/>
      <w:marLeft w:val="0"/>
      <w:marRight w:val="0"/>
      <w:marTop w:val="0"/>
      <w:marBottom w:val="0"/>
      <w:divBdr>
        <w:top w:val="none" w:sz="0" w:space="0" w:color="auto"/>
        <w:left w:val="none" w:sz="0" w:space="0" w:color="auto"/>
        <w:bottom w:val="none" w:sz="0" w:space="0" w:color="auto"/>
        <w:right w:val="none" w:sz="0" w:space="0" w:color="auto"/>
      </w:divBdr>
    </w:div>
    <w:div w:id="1872375318">
      <w:bodyDiv w:val="1"/>
      <w:marLeft w:val="0"/>
      <w:marRight w:val="0"/>
      <w:marTop w:val="0"/>
      <w:marBottom w:val="0"/>
      <w:divBdr>
        <w:top w:val="none" w:sz="0" w:space="0" w:color="auto"/>
        <w:left w:val="none" w:sz="0" w:space="0" w:color="auto"/>
        <w:bottom w:val="none" w:sz="0" w:space="0" w:color="auto"/>
        <w:right w:val="none" w:sz="0" w:space="0" w:color="auto"/>
      </w:divBdr>
    </w:div>
    <w:div w:id="1872495220">
      <w:bodyDiv w:val="1"/>
      <w:marLeft w:val="0"/>
      <w:marRight w:val="0"/>
      <w:marTop w:val="0"/>
      <w:marBottom w:val="0"/>
      <w:divBdr>
        <w:top w:val="none" w:sz="0" w:space="0" w:color="auto"/>
        <w:left w:val="none" w:sz="0" w:space="0" w:color="auto"/>
        <w:bottom w:val="none" w:sz="0" w:space="0" w:color="auto"/>
        <w:right w:val="none" w:sz="0" w:space="0" w:color="auto"/>
      </w:divBdr>
    </w:div>
    <w:div w:id="1872571394">
      <w:bodyDiv w:val="1"/>
      <w:marLeft w:val="0"/>
      <w:marRight w:val="0"/>
      <w:marTop w:val="0"/>
      <w:marBottom w:val="0"/>
      <w:divBdr>
        <w:top w:val="none" w:sz="0" w:space="0" w:color="auto"/>
        <w:left w:val="none" w:sz="0" w:space="0" w:color="auto"/>
        <w:bottom w:val="none" w:sz="0" w:space="0" w:color="auto"/>
        <w:right w:val="none" w:sz="0" w:space="0" w:color="auto"/>
      </w:divBdr>
    </w:div>
    <w:div w:id="1872641657">
      <w:bodyDiv w:val="1"/>
      <w:marLeft w:val="0"/>
      <w:marRight w:val="0"/>
      <w:marTop w:val="0"/>
      <w:marBottom w:val="0"/>
      <w:divBdr>
        <w:top w:val="none" w:sz="0" w:space="0" w:color="auto"/>
        <w:left w:val="none" w:sz="0" w:space="0" w:color="auto"/>
        <w:bottom w:val="none" w:sz="0" w:space="0" w:color="auto"/>
        <w:right w:val="none" w:sz="0" w:space="0" w:color="auto"/>
      </w:divBdr>
    </w:div>
    <w:div w:id="1872917513">
      <w:bodyDiv w:val="1"/>
      <w:marLeft w:val="0"/>
      <w:marRight w:val="0"/>
      <w:marTop w:val="0"/>
      <w:marBottom w:val="0"/>
      <w:divBdr>
        <w:top w:val="none" w:sz="0" w:space="0" w:color="auto"/>
        <w:left w:val="none" w:sz="0" w:space="0" w:color="auto"/>
        <w:bottom w:val="none" w:sz="0" w:space="0" w:color="auto"/>
        <w:right w:val="none" w:sz="0" w:space="0" w:color="auto"/>
      </w:divBdr>
    </w:div>
    <w:div w:id="1872957141">
      <w:bodyDiv w:val="1"/>
      <w:marLeft w:val="0"/>
      <w:marRight w:val="0"/>
      <w:marTop w:val="0"/>
      <w:marBottom w:val="0"/>
      <w:divBdr>
        <w:top w:val="none" w:sz="0" w:space="0" w:color="auto"/>
        <w:left w:val="none" w:sz="0" w:space="0" w:color="auto"/>
        <w:bottom w:val="none" w:sz="0" w:space="0" w:color="auto"/>
        <w:right w:val="none" w:sz="0" w:space="0" w:color="auto"/>
      </w:divBdr>
    </w:div>
    <w:div w:id="1873178890">
      <w:bodyDiv w:val="1"/>
      <w:marLeft w:val="0"/>
      <w:marRight w:val="0"/>
      <w:marTop w:val="0"/>
      <w:marBottom w:val="0"/>
      <w:divBdr>
        <w:top w:val="none" w:sz="0" w:space="0" w:color="auto"/>
        <w:left w:val="none" w:sz="0" w:space="0" w:color="auto"/>
        <w:bottom w:val="none" w:sz="0" w:space="0" w:color="auto"/>
        <w:right w:val="none" w:sz="0" w:space="0" w:color="auto"/>
      </w:divBdr>
    </w:div>
    <w:div w:id="1873298482">
      <w:bodyDiv w:val="1"/>
      <w:marLeft w:val="0"/>
      <w:marRight w:val="0"/>
      <w:marTop w:val="0"/>
      <w:marBottom w:val="0"/>
      <w:divBdr>
        <w:top w:val="none" w:sz="0" w:space="0" w:color="auto"/>
        <w:left w:val="none" w:sz="0" w:space="0" w:color="auto"/>
        <w:bottom w:val="none" w:sz="0" w:space="0" w:color="auto"/>
        <w:right w:val="none" w:sz="0" w:space="0" w:color="auto"/>
      </w:divBdr>
    </w:div>
    <w:div w:id="1873346604">
      <w:bodyDiv w:val="1"/>
      <w:marLeft w:val="0"/>
      <w:marRight w:val="0"/>
      <w:marTop w:val="0"/>
      <w:marBottom w:val="0"/>
      <w:divBdr>
        <w:top w:val="none" w:sz="0" w:space="0" w:color="auto"/>
        <w:left w:val="none" w:sz="0" w:space="0" w:color="auto"/>
        <w:bottom w:val="none" w:sz="0" w:space="0" w:color="auto"/>
        <w:right w:val="none" w:sz="0" w:space="0" w:color="auto"/>
      </w:divBdr>
    </w:div>
    <w:div w:id="1873565221">
      <w:bodyDiv w:val="1"/>
      <w:marLeft w:val="0"/>
      <w:marRight w:val="0"/>
      <w:marTop w:val="0"/>
      <w:marBottom w:val="0"/>
      <w:divBdr>
        <w:top w:val="none" w:sz="0" w:space="0" w:color="auto"/>
        <w:left w:val="none" w:sz="0" w:space="0" w:color="auto"/>
        <w:bottom w:val="none" w:sz="0" w:space="0" w:color="auto"/>
        <w:right w:val="none" w:sz="0" w:space="0" w:color="auto"/>
      </w:divBdr>
    </w:div>
    <w:div w:id="1873571777">
      <w:bodyDiv w:val="1"/>
      <w:marLeft w:val="0"/>
      <w:marRight w:val="0"/>
      <w:marTop w:val="0"/>
      <w:marBottom w:val="0"/>
      <w:divBdr>
        <w:top w:val="none" w:sz="0" w:space="0" w:color="auto"/>
        <w:left w:val="none" w:sz="0" w:space="0" w:color="auto"/>
        <w:bottom w:val="none" w:sz="0" w:space="0" w:color="auto"/>
        <w:right w:val="none" w:sz="0" w:space="0" w:color="auto"/>
      </w:divBdr>
    </w:div>
    <w:div w:id="1873683693">
      <w:bodyDiv w:val="1"/>
      <w:marLeft w:val="0"/>
      <w:marRight w:val="0"/>
      <w:marTop w:val="0"/>
      <w:marBottom w:val="0"/>
      <w:divBdr>
        <w:top w:val="none" w:sz="0" w:space="0" w:color="auto"/>
        <w:left w:val="none" w:sz="0" w:space="0" w:color="auto"/>
        <w:bottom w:val="none" w:sz="0" w:space="0" w:color="auto"/>
        <w:right w:val="none" w:sz="0" w:space="0" w:color="auto"/>
      </w:divBdr>
    </w:div>
    <w:div w:id="1873836780">
      <w:bodyDiv w:val="1"/>
      <w:marLeft w:val="0"/>
      <w:marRight w:val="0"/>
      <w:marTop w:val="0"/>
      <w:marBottom w:val="0"/>
      <w:divBdr>
        <w:top w:val="none" w:sz="0" w:space="0" w:color="auto"/>
        <w:left w:val="none" w:sz="0" w:space="0" w:color="auto"/>
        <w:bottom w:val="none" w:sz="0" w:space="0" w:color="auto"/>
        <w:right w:val="none" w:sz="0" w:space="0" w:color="auto"/>
      </w:divBdr>
    </w:div>
    <w:div w:id="1873884258">
      <w:bodyDiv w:val="1"/>
      <w:marLeft w:val="0"/>
      <w:marRight w:val="0"/>
      <w:marTop w:val="0"/>
      <w:marBottom w:val="0"/>
      <w:divBdr>
        <w:top w:val="none" w:sz="0" w:space="0" w:color="auto"/>
        <w:left w:val="none" w:sz="0" w:space="0" w:color="auto"/>
        <w:bottom w:val="none" w:sz="0" w:space="0" w:color="auto"/>
        <w:right w:val="none" w:sz="0" w:space="0" w:color="auto"/>
      </w:divBdr>
    </w:div>
    <w:div w:id="1874003824">
      <w:bodyDiv w:val="1"/>
      <w:marLeft w:val="0"/>
      <w:marRight w:val="0"/>
      <w:marTop w:val="0"/>
      <w:marBottom w:val="0"/>
      <w:divBdr>
        <w:top w:val="none" w:sz="0" w:space="0" w:color="auto"/>
        <w:left w:val="none" w:sz="0" w:space="0" w:color="auto"/>
        <w:bottom w:val="none" w:sz="0" w:space="0" w:color="auto"/>
        <w:right w:val="none" w:sz="0" w:space="0" w:color="auto"/>
      </w:divBdr>
    </w:div>
    <w:div w:id="1874033417">
      <w:bodyDiv w:val="1"/>
      <w:marLeft w:val="0"/>
      <w:marRight w:val="0"/>
      <w:marTop w:val="0"/>
      <w:marBottom w:val="0"/>
      <w:divBdr>
        <w:top w:val="none" w:sz="0" w:space="0" w:color="auto"/>
        <w:left w:val="none" w:sz="0" w:space="0" w:color="auto"/>
        <w:bottom w:val="none" w:sz="0" w:space="0" w:color="auto"/>
        <w:right w:val="none" w:sz="0" w:space="0" w:color="auto"/>
      </w:divBdr>
    </w:div>
    <w:div w:id="1874223890">
      <w:bodyDiv w:val="1"/>
      <w:marLeft w:val="0"/>
      <w:marRight w:val="0"/>
      <w:marTop w:val="0"/>
      <w:marBottom w:val="0"/>
      <w:divBdr>
        <w:top w:val="none" w:sz="0" w:space="0" w:color="auto"/>
        <w:left w:val="none" w:sz="0" w:space="0" w:color="auto"/>
        <w:bottom w:val="none" w:sz="0" w:space="0" w:color="auto"/>
        <w:right w:val="none" w:sz="0" w:space="0" w:color="auto"/>
      </w:divBdr>
    </w:div>
    <w:div w:id="1874227755">
      <w:bodyDiv w:val="1"/>
      <w:marLeft w:val="0"/>
      <w:marRight w:val="0"/>
      <w:marTop w:val="0"/>
      <w:marBottom w:val="0"/>
      <w:divBdr>
        <w:top w:val="none" w:sz="0" w:space="0" w:color="auto"/>
        <w:left w:val="none" w:sz="0" w:space="0" w:color="auto"/>
        <w:bottom w:val="none" w:sz="0" w:space="0" w:color="auto"/>
        <w:right w:val="none" w:sz="0" w:space="0" w:color="auto"/>
      </w:divBdr>
    </w:div>
    <w:div w:id="1874463946">
      <w:bodyDiv w:val="1"/>
      <w:marLeft w:val="0"/>
      <w:marRight w:val="0"/>
      <w:marTop w:val="0"/>
      <w:marBottom w:val="0"/>
      <w:divBdr>
        <w:top w:val="none" w:sz="0" w:space="0" w:color="auto"/>
        <w:left w:val="none" w:sz="0" w:space="0" w:color="auto"/>
        <w:bottom w:val="none" w:sz="0" w:space="0" w:color="auto"/>
        <w:right w:val="none" w:sz="0" w:space="0" w:color="auto"/>
      </w:divBdr>
    </w:div>
    <w:div w:id="1874489797">
      <w:bodyDiv w:val="1"/>
      <w:marLeft w:val="0"/>
      <w:marRight w:val="0"/>
      <w:marTop w:val="0"/>
      <w:marBottom w:val="0"/>
      <w:divBdr>
        <w:top w:val="none" w:sz="0" w:space="0" w:color="auto"/>
        <w:left w:val="none" w:sz="0" w:space="0" w:color="auto"/>
        <w:bottom w:val="none" w:sz="0" w:space="0" w:color="auto"/>
        <w:right w:val="none" w:sz="0" w:space="0" w:color="auto"/>
      </w:divBdr>
    </w:div>
    <w:div w:id="1874657613">
      <w:bodyDiv w:val="1"/>
      <w:marLeft w:val="0"/>
      <w:marRight w:val="0"/>
      <w:marTop w:val="0"/>
      <w:marBottom w:val="0"/>
      <w:divBdr>
        <w:top w:val="none" w:sz="0" w:space="0" w:color="auto"/>
        <w:left w:val="none" w:sz="0" w:space="0" w:color="auto"/>
        <w:bottom w:val="none" w:sz="0" w:space="0" w:color="auto"/>
        <w:right w:val="none" w:sz="0" w:space="0" w:color="auto"/>
      </w:divBdr>
    </w:div>
    <w:div w:id="1874683694">
      <w:bodyDiv w:val="1"/>
      <w:marLeft w:val="0"/>
      <w:marRight w:val="0"/>
      <w:marTop w:val="0"/>
      <w:marBottom w:val="0"/>
      <w:divBdr>
        <w:top w:val="none" w:sz="0" w:space="0" w:color="auto"/>
        <w:left w:val="none" w:sz="0" w:space="0" w:color="auto"/>
        <w:bottom w:val="none" w:sz="0" w:space="0" w:color="auto"/>
        <w:right w:val="none" w:sz="0" w:space="0" w:color="auto"/>
      </w:divBdr>
    </w:div>
    <w:div w:id="1874920362">
      <w:bodyDiv w:val="1"/>
      <w:marLeft w:val="0"/>
      <w:marRight w:val="0"/>
      <w:marTop w:val="0"/>
      <w:marBottom w:val="0"/>
      <w:divBdr>
        <w:top w:val="none" w:sz="0" w:space="0" w:color="auto"/>
        <w:left w:val="none" w:sz="0" w:space="0" w:color="auto"/>
        <w:bottom w:val="none" w:sz="0" w:space="0" w:color="auto"/>
        <w:right w:val="none" w:sz="0" w:space="0" w:color="auto"/>
      </w:divBdr>
    </w:div>
    <w:div w:id="1874951691">
      <w:bodyDiv w:val="1"/>
      <w:marLeft w:val="0"/>
      <w:marRight w:val="0"/>
      <w:marTop w:val="0"/>
      <w:marBottom w:val="0"/>
      <w:divBdr>
        <w:top w:val="none" w:sz="0" w:space="0" w:color="auto"/>
        <w:left w:val="none" w:sz="0" w:space="0" w:color="auto"/>
        <w:bottom w:val="none" w:sz="0" w:space="0" w:color="auto"/>
        <w:right w:val="none" w:sz="0" w:space="0" w:color="auto"/>
      </w:divBdr>
    </w:div>
    <w:div w:id="1875002841">
      <w:bodyDiv w:val="1"/>
      <w:marLeft w:val="0"/>
      <w:marRight w:val="0"/>
      <w:marTop w:val="0"/>
      <w:marBottom w:val="0"/>
      <w:divBdr>
        <w:top w:val="none" w:sz="0" w:space="0" w:color="auto"/>
        <w:left w:val="none" w:sz="0" w:space="0" w:color="auto"/>
        <w:bottom w:val="none" w:sz="0" w:space="0" w:color="auto"/>
        <w:right w:val="none" w:sz="0" w:space="0" w:color="auto"/>
      </w:divBdr>
    </w:div>
    <w:div w:id="1875120489">
      <w:bodyDiv w:val="1"/>
      <w:marLeft w:val="0"/>
      <w:marRight w:val="0"/>
      <w:marTop w:val="0"/>
      <w:marBottom w:val="0"/>
      <w:divBdr>
        <w:top w:val="none" w:sz="0" w:space="0" w:color="auto"/>
        <w:left w:val="none" w:sz="0" w:space="0" w:color="auto"/>
        <w:bottom w:val="none" w:sz="0" w:space="0" w:color="auto"/>
        <w:right w:val="none" w:sz="0" w:space="0" w:color="auto"/>
      </w:divBdr>
    </w:div>
    <w:div w:id="1875188927">
      <w:bodyDiv w:val="1"/>
      <w:marLeft w:val="0"/>
      <w:marRight w:val="0"/>
      <w:marTop w:val="0"/>
      <w:marBottom w:val="0"/>
      <w:divBdr>
        <w:top w:val="none" w:sz="0" w:space="0" w:color="auto"/>
        <w:left w:val="none" w:sz="0" w:space="0" w:color="auto"/>
        <w:bottom w:val="none" w:sz="0" w:space="0" w:color="auto"/>
        <w:right w:val="none" w:sz="0" w:space="0" w:color="auto"/>
      </w:divBdr>
    </w:div>
    <w:div w:id="1875189999">
      <w:bodyDiv w:val="1"/>
      <w:marLeft w:val="0"/>
      <w:marRight w:val="0"/>
      <w:marTop w:val="0"/>
      <w:marBottom w:val="0"/>
      <w:divBdr>
        <w:top w:val="none" w:sz="0" w:space="0" w:color="auto"/>
        <w:left w:val="none" w:sz="0" w:space="0" w:color="auto"/>
        <w:bottom w:val="none" w:sz="0" w:space="0" w:color="auto"/>
        <w:right w:val="none" w:sz="0" w:space="0" w:color="auto"/>
      </w:divBdr>
    </w:div>
    <w:div w:id="1875193005">
      <w:bodyDiv w:val="1"/>
      <w:marLeft w:val="0"/>
      <w:marRight w:val="0"/>
      <w:marTop w:val="0"/>
      <w:marBottom w:val="0"/>
      <w:divBdr>
        <w:top w:val="none" w:sz="0" w:space="0" w:color="auto"/>
        <w:left w:val="none" w:sz="0" w:space="0" w:color="auto"/>
        <w:bottom w:val="none" w:sz="0" w:space="0" w:color="auto"/>
        <w:right w:val="none" w:sz="0" w:space="0" w:color="auto"/>
      </w:divBdr>
    </w:div>
    <w:div w:id="1875270475">
      <w:bodyDiv w:val="1"/>
      <w:marLeft w:val="0"/>
      <w:marRight w:val="0"/>
      <w:marTop w:val="0"/>
      <w:marBottom w:val="0"/>
      <w:divBdr>
        <w:top w:val="none" w:sz="0" w:space="0" w:color="auto"/>
        <w:left w:val="none" w:sz="0" w:space="0" w:color="auto"/>
        <w:bottom w:val="none" w:sz="0" w:space="0" w:color="auto"/>
        <w:right w:val="none" w:sz="0" w:space="0" w:color="auto"/>
      </w:divBdr>
    </w:div>
    <w:div w:id="1875338132">
      <w:bodyDiv w:val="1"/>
      <w:marLeft w:val="0"/>
      <w:marRight w:val="0"/>
      <w:marTop w:val="0"/>
      <w:marBottom w:val="0"/>
      <w:divBdr>
        <w:top w:val="none" w:sz="0" w:space="0" w:color="auto"/>
        <w:left w:val="none" w:sz="0" w:space="0" w:color="auto"/>
        <w:bottom w:val="none" w:sz="0" w:space="0" w:color="auto"/>
        <w:right w:val="none" w:sz="0" w:space="0" w:color="auto"/>
      </w:divBdr>
    </w:div>
    <w:div w:id="1875456727">
      <w:bodyDiv w:val="1"/>
      <w:marLeft w:val="0"/>
      <w:marRight w:val="0"/>
      <w:marTop w:val="0"/>
      <w:marBottom w:val="0"/>
      <w:divBdr>
        <w:top w:val="none" w:sz="0" w:space="0" w:color="auto"/>
        <w:left w:val="none" w:sz="0" w:space="0" w:color="auto"/>
        <w:bottom w:val="none" w:sz="0" w:space="0" w:color="auto"/>
        <w:right w:val="none" w:sz="0" w:space="0" w:color="auto"/>
      </w:divBdr>
    </w:div>
    <w:div w:id="1875458890">
      <w:bodyDiv w:val="1"/>
      <w:marLeft w:val="0"/>
      <w:marRight w:val="0"/>
      <w:marTop w:val="0"/>
      <w:marBottom w:val="0"/>
      <w:divBdr>
        <w:top w:val="none" w:sz="0" w:space="0" w:color="auto"/>
        <w:left w:val="none" w:sz="0" w:space="0" w:color="auto"/>
        <w:bottom w:val="none" w:sz="0" w:space="0" w:color="auto"/>
        <w:right w:val="none" w:sz="0" w:space="0" w:color="auto"/>
      </w:divBdr>
    </w:div>
    <w:div w:id="1875658130">
      <w:bodyDiv w:val="1"/>
      <w:marLeft w:val="0"/>
      <w:marRight w:val="0"/>
      <w:marTop w:val="0"/>
      <w:marBottom w:val="0"/>
      <w:divBdr>
        <w:top w:val="none" w:sz="0" w:space="0" w:color="auto"/>
        <w:left w:val="none" w:sz="0" w:space="0" w:color="auto"/>
        <w:bottom w:val="none" w:sz="0" w:space="0" w:color="auto"/>
        <w:right w:val="none" w:sz="0" w:space="0" w:color="auto"/>
      </w:divBdr>
    </w:div>
    <w:div w:id="1875802076">
      <w:bodyDiv w:val="1"/>
      <w:marLeft w:val="0"/>
      <w:marRight w:val="0"/>
      <w:marTop w:val="0"/>
      <w:marBottom w:val="0"/>
      <w:divBdr>
        <w:top w:val="none" w:sz="0" w:space="0" w:color="auto"/>
        <w:left w:val="none" w:sz="0" w:space="0" w:color="auto"/>
        <w:bottom w:val="none" w:sz="0" w:space="0" w:color="auto"/>
        <w:right w:val="none" w:sz="0" w:space="0" w:color="auto"/>
      </w:divBdr>
    </w:div>
    <w:div w:id="1875969279">
      <w:bodyDiv w:val="1"/>
      <w:marLeft w:val="0"/>
      <w:marRight w:val="0"/>
      <w:marTop w:val="0"/>
      <w:marBottom w:val="0"/>
      <w:divBdr>
        <w:top w:val="none" w:sz="0" w:space="0" w:color="auto"/>
        <w:left w:val="none" w:sz="0" w:space="0" w:color="auto"/>
        <w:bottom w:val="none" w:sz="0" w:space="0" w:color="auto"/>
        <w:right w:val="none" w:sz="0" w:space="0" w:color="auto"/>
      </w:divBdr>
    </w:div>
    <w:div w:id="1875998855">
      <w:bodyDiv w:val="1"/>
      <w:marLeft w:val="0"/>
      <w:marRight w:val="0"/>
      <w:marTop w:val="0"/>
      <w:marBottom w:val="0"/>
      <w:divBdr>
        <w:top w:val="none" w:sz="0" w:space="0" w:color="auto"/>
        <w:left w:val="none" w:sz="0" w:space="0" w:color="auto"/>
        <w:bottom w:val="none" w:sz="0" w:space="0" w:color="auto"/>
        <w:right w:val="none" w:sz="0" w:space="0" w:color="auto"/>
      </w:divBdr>
    </w:div>
    <w:div w:id="1876112904">
      <w:bodyDiv w:val="1"/>
      <w:marLeft w:val="0"/>
      <w:marRight w:val="0"/>
      <w:marTop w:val="0"/>
      <w:marBottom w:val="0"/>
      <w:divBdr>
        <w:top w:val="none" w:sz="0" w:space="0" w:color="auto"/>
        <w:left w:val="none" w:sz="0" w:space="0" w:color="auto"/>
        <w:bottom w:val="none" w:sz="0" w:space="0" w:color="auto"/>
        <w:right w:val="none" w:sz="0" w:space="0" w:color="auto"/>
      </w:divBdr>
    </w:div>
    <w:div w:id="1876119544">
      <w:bodyDiv w:val="1"/>
      <w:marLeft w:val="0"/>
      <w:marRight w:val="0"/>
      <w:marTop w:val="0"/>
      <w:marBottom w:val="0"/>
      <w:divBdr>
        <w:top w:val="none" w:sz="0" w:space="0" w:color="auto"/>
        <w:left w:val="none" w:sz="0" w:space="0" w:color="auto"/>
        <w:bottom w:val="none" w:sz="0" w:space="0" w:color="auto"/>
        <w:right w:val="none" w:sz="0" w:space="0" w:color="auto"/>
      </w:divBdr>
    </w:div>
    <w:div w:id="1876195955">
      <w:bodyDiv w:val="1"/>
      <w:marLeft w:val="0"/>
      <w:marRight w:val="0"/>
      <w:marTop w:val="0"/>
      <w:marBottom w:val="0"/>
      <w:divBdr>
        <w:top w:val="none" w:sz="0" w:space="0" w:color="auto"/>
        <w:left w:val="none" w:sz="0" w:space="0" w:color="auto"/>
        <w:bottom w:val="none" w:sz="0" w:space="0" w:color="auto"/>
        <w:right w:val="none" w:sz="0" w:space="0" w:color="auto"/>
      </w:divBdr>
    </w:div>
    <w:div w:id="1876262272">
      <w:bodyDiv w:val="1"/>
      <w:marLeft w:val="0"/>
      <w:marRight w:val="0"/>
      <w:marTop w:val="0"/>
      <w:marBottom w:val="0"/>
      <w:divBdr>
        <w:top w:val="none" w:sz="0" w:space="0" w:color="auto"/>
        <w:left w:val="none" w:sz="0" w:space="0" w:color="auto"/>
        <w:bottom w:val="none" w:sz="0" w:space="0" w:color="auto"/>
        <w:right w:val="none" w:sz="0" w:space="0" w:color="auto"/>
      </w:divBdr>
    </w:div>
    <w:div w:id="1876500197">
      <w:bodyDiv w:val="1"/>
      <w:marLeft w:val="0"/>
      <w:marRight w:val="0"/>
      <w:marTop w:val="0"/>
      <w:marBottom w:val="0"/>
      <w:divBdr>
        <w:top w:val="none" w:sz="0" w:space="0" w:color="auto"/>
        <w:left w:val="none" w:sz="0" w:space="0" w:color="auto"/>
        <w:bottom w:val="none" w:sz="0" w:space="0" w:color="auto"/>
        <w:right w:val="none" w:sz="0" w:space="0" w:color="auto"/>
      </w:divBdr>
    </w:div>
    <w:div w:id="1876887579">
      <w:bodyDiv w:val="1"/>
      <w:marLeft w:val="0"/>
      <w:marRight w:val="0"/>
      <w:marTop w:val="0"/>
      <w:marBottom w:val="0"/>
      <w:divBdr>
        <w:top w:val="none" w:sz="0" w:space="0" w:color="auto"/>
        <w:left w:val="none" w:sz="0" w:space="0" w:color="auto"/>
        <w:bottom w:val="none" w:sz="0" w:space="0" w:color="auto"/>
        <w:right w:val="none" w:sz="0" w:space="0" w:color="auto"/>
      </w:divBdr>
    </w:div>
    <w:div w:id="1877036110">
      <w:bodyDiv w:val="1"/>
      <w:marLeft w:val="0"/>
      <w:marRight w:val="0"/>
      <w:marTop w:val="0"/>
      <w:marBottom w:val="0"/>
      <w:divBdr>
        <w:top w:val="none" w:sz="0" w:space="0" w:color="auto"/>
        <w:left w:val="none" w:sz="0" w:space="0" w:color="auto"/>
        <w:bottom w:val="none" w:sz="0" w:space="0" w:color="auto"/>
        <w:right w:val="none" w:sz="0" w:space="0" w:color="auto"/>
      </w:divBdr>
    </w:div>
    <w:div w:id="1877110228">
      <w:bodyDiv w:val="1"/>
      <w:marLeft w:val="0"/>
      <w:marRight w:val="0"/>
      <w:marTop w:val="0"/>
      <w:marBottom w:val="0"/>
      <w:divBdr>
        <w:top w:val="none" w:sz="0" w:space="0" w:color="auto"/>
        <w:left w:val="none" w:sz="0" w:space="0" w:color="auto"/>
        <w:bottom w:val="none" w:sz="0" w:space="0" w:color="auto"/>
        <w:right w:val="none" w:sz="0" w:space="0" w:color="auto"/>
      </w:divBdr>
    </w:div>
    <w:div w:id="1877161294">
      <w:bodyDiv w:val="1"/>
      <w:marLeft w:val="0"/>
      <w:marRight w:val="0"/>
      <w:marTop w:val="0"/>
      <w:marBottom w:val="0"/>
      <w:divBdr>
        <w:top w:val="none" w:sz="0" w:space="0" w:color="auto"/>
        <w:left w:val="none" w:sz="0" w:space="0" w:color="auto"/>
        <w:bottom w:val="none" w:sz="0" w:space="0" w:color="auto"/>
        <w:right w:val="none" w:sz="0" w:space="0" w:color="auto"/>
      </w:divBdr>
    </w:div>
    <w:div w:id="1877235520">
      <w:bodyDiv w:val="1"/>
      <w:marLeft w:val="0"/>
      <w:marRight w:val="0"/>
      <w:marTop w:val="0"/>
      <w:marBottom w:val="0"/>
      <w:divBdr>
        <w:top w:val="none" w:sz="0" w:space="0" w:color="auto"/>
        <w:left w:val="none" w:sz="0" w:space="0" w:color="auto"/>
        <w:bottom w:val="none" w:sz="0" w:space="0" w:color="auto"/>
        <w:right w:val="none" w:sz="0" w:space="0" w:color="auto"/>
      </w:divBdr>
    </w:div>
    <w:div w:id="1877305826">
      <w:bodyDiv w:val="1"/>
      <w:marLeft w:val="0"/>
      <w:marRight w:val="0"/>
      <w:marTop w:val="0"/>
      <w:marBottom w:val="0"/>
      <w:divBdr>
        <w:top w:val="none" w:sz="0" w:space="0" w:color="auto"/>
        <w:left w:val="none" w:sz="0" w:space="0" w:color="auto"/>
        <w:bottom w:val="none" w:sz="0" w:space="0" w:color="auto"/>
        <w:right w:val="none" w:sz="0" w:space="0" w:color="auto"/>
      </w:divBdr>
    </w:div>
    <w:div w:id="1877310737">
      <w:bodyDiv w:val="1"/>
      <w:marLeft w:val="0"/>
      <w:marRight w:val="0"/>
      <w:marTop w:val="0"/>
      <w:marBottom w:val="0"/>
      <w:divBdr>
        <w:top w:val="none" w:sz="0" w:space="0" w:color="auto"/>
        <w:left w:val="none" w:sz="0" w:space="0" w:color="auto"/>
        <w:bottom w:val="none" w:sz="0" w:space="0" w:color="auto"/>
        <w:right w:val="none" w:sz="0" w:space="0" w:color="auto"/>
      </w:divBdr>
    </w:div>
    <w:div w:id="1877354590">
      <w:bodyDiv w:val="1"/>
      <w:marLeft w:val="0"/>
      <w:marRight w:val="0"/>
      <w:marTop w:val="0"/>
      <w:marBottom w:val="0"/>
      <w:divBdr>
        <w:top w:val="none" w:sz="0" w:space="0" w:color="auto"/>
        <w:left w:val="none" w:sz="0" w:space="0" w:color="auto"/>
        <w:bottom w:val="none" w:sz="0" w:space="0" w:color="auto"/>
        <w:right w:val="none" w:sz="0" w:space="0" w:color="auto"/>
      </w:divBdr>
    </w:div>
    <w:div w:id="1877422468">
      <w:bodyDiv w:val="1"/>
      <w:marLeft w:val="0"/>
      <w:marRight w:val="0"/>
      <w:marTop w:val="0"/>
      <w:marBottom w:val="0"/>
      <w:divBdr>
        <w:top w:val="none" w:sz="0" w:space="0" w:color="auto"/>
        <w:left w:val="none" w:sz="0" w:space="0" w:color="auto"/>
        <w:bottom w:val="none" w:sz="0" w:space="0" w:color="auto"/>
        <w:right w:val="none" w:sz="0" w:space="0" w:color="auto"/>
      </w:divBdr>
    </w:div>
    <w:div w:id="1877542271">
      <w:bodyDiv w:val="1"/>
      <w:marLeft w:val="0"/>
      <w:marRight w:val="0"/>
      <w:marTop w:val="0"/>
      <w:marBottom w:val="0"/>
      <w:divBdr>
        <w:top w:val="none" w:sz="0" w:space="0" w:color="auto"/>
        <w:left w:val="none" w:sz="0" w:space="0" w:color="auto"/>
        <w:bottom w:val="none" w:sz="0" w:space="0" w:color="auto"/>
        <w:right w:val="none" w:sz="0" w:space="0" w:color="auto"/>
      </w:divBdr>
    </w:div>
    <w:div w:id="1877691287">
      <w:bodyDiv w:val="1"/>
      <w:marLeft w:val="0"/>
      <w:marRight w:val="0"/>
      <w:marTop w:val="0"/>
      <w:marBottom w:val="0"/>
      <w:divBdr>
        <w:top w:val="none" w:sz="0" w:space="0" w:color="auto"/>
        <w:left w:val="none" w:sz="0" w:space="0" w:color="auto"/>
        <w:bottom w:val="none" w:sz="0" w:space="0" w:color="auto"/>
        <w:right w:val="none" w:sz="0" w:space="0" w:color="auto"/>
      </w:divBdr>
    </w:div>
    <w:div w:id="1877810116">
      <w:bodyDiv w:val="1"/>
      <w:marLeft w:val="0"/>
      <w:marRight w:val="0"/>
      <w:marTop w:val="0"/>
      <w:marBottom w:val="0"/>
      <w:divBdr>
        <w:top w:val="none" w:sz="0" w:space="0" w:color="auto"/>
        <w:left w:val="none" w:sz="0" w:space="0" w:color="auto"/>
        <w:bottom w:val="none" w:sz="0" w:space="0" w:color="auto"/>
        <w:right w:val="none" w:sz="0" w:space="0" w:color="auto"/>
      </w:divBdr>
    </w:div>
    <w:div w:id="1877963261">
      <w:bodyDiv w:val="1"/>
      <w:marLeft w:val="0"/>
      <w:marRight w:val="0"/>
      <w:marTop w:val="0"/>
      <w:marBottom w:val="0"/>
      <w:divBdr>
        <w:top w:val="none" w:sz="0" w:space="0" w:color="auto"/>
        <w:left w:val="none" w:sz="0" w:space="0" w:color="auto"/>
        <w:bottom w:val="none" w:sz="0" w:space="0" w:color="auto"/>
        <w:right w:val="none" w:sz="0" w:space="0" w:color="auto"/>
      </w:divBdr>
    </w:div>
    <w:div w:id="1878160490">
      <w:bodyDiv w:val="1"/>
      <w:marLeft w:val="0"/>
      <w:marRight w:val="0"/>
      <w:marTop w:val="0"/>
      <w:marBottom w:val="0"/>
      <w:divBdr>
        <w:top w:val="none" w:sz="0" w:space="0" w:color="auto"/>
        <w:left w:val="none" w:sz="0" w:space="0" w:color="auto"/>
        <w:bottom w:val="none" w:sz="0" w:space="0" w:color="auto"/>
        <w:right w:val="none" w:sz="0" w:space="0" w:color="auto"/>
      </w:divBdr>
    </w:div>
    <w:div w:id="1878199300">
      <w:bodyDiv w:val="1"/>
      <w:marLeft w:val="0"/>
      <w:marRight w:val="0"/>
      <w:marTop w:val="0"/>
      <w:marBottom w:val="0"/>
      <w:divBdr>
        <w:top w:val="none" w:sz="0" w:space="0" w:color="auto"/>
        <w:left w:val="none" w:sz="0" w:space="0" w:color="auto"/>
        <w:bottom w:val="none" w:sz="0" w:space="0" w:color="auto"/>
        <w:right w:val="none" w:sz="0" w:space="0" w:color="auto"/>
      </w:divBdr>
    </w:div>
    <w:div w:id="1878203273">
      <w:bodyDiv w:val="1"/>
      <w:marLeft w:val="0"/>
      <w:marRight w:val="0"/>
      <w:marTop w:val="0"/>
      <w:marBottom w:val="0"/>
      <w:divBdr>
        <w:top w:val="none" w:sz="0" w:space="0" w:color="auto"/>
        <w:left w:val="none" w:sz="0" w:space="0" w:color="auto"/>
        <w:bottom w:val="none" w:sz="0" w:space="0" w:color="auto"/>
        <w:right w:val="none" w:sz="0" w:space="0" w:color="auto"/>
      </w:divBdr>
    </w:div>
    <w:div w:id="1878542993">
      <w:bodyDiv w:val="1"/>
      <w:marLeft w:val="0"/>
      <w:marRight w:val="0"/>
      <w:marTop w:val="0"/>
      <w:marBottom w:val="0"/>
      <w:divBdr>
        <w:top w:val="none" w:sz="0" w:space="0" w:color="auto"/>
        <w:left w:val="none" w:sz="0" w:space="0" w:color="auto"/>
        <w:bottom w:val="none" w:sz="0" w:space="0" w:color="auto"/>
        <w:right w:val="none" w:sz="0" w:space="0" w:color="auto"/>
      </w:divBdr>
    </w:div>
    <w:div w:id="1878543854">
      <w:bodyDiv w:val="1"/>
      <w:marLeft w:val="0"/>
      <w:marRight w:val="0"/>
      <w:marTop w:val="0"/>
      <w:marBottom w:val="0"/>
      <w:divBdr>
        <w:top w:val="none" w:sz="0" w:space="0" w:color="auto"/>
        <w:left w:val="none" w:sz="0" w:space="0" w:color="auto"/>
        <w:bottom w:val="none" w:sz="0" w:space="0" w:color="auto"/>
        <w:right w:val="none" w:sz="0" w:space="0" w:color="auto"/>
      </w:divBdr>
    </w:div>
    <w:div w:id="1878546911">
      <w:bodyDiv w:val="1"/>
      <w:marLeft w:val="0"/>
      <w:marRight w:val="0"/>
      <w:marTop w:val="0"/>
      <w:marBottom w:val="0"/>
      <w:divBdr>
        <w:top w:val="none" w:sz="0" w:space="0" w:color="auto"/>
        <w:left w:val="none" w:sz="0" w:space="0" w:color="auto"/>
        <w:bottom w:val="none" w:sz="0" w:space="0" w:color="auto"/>
        <w:right w:val="none" w:sz="0" w:space="0" w:color="auto"/>
      </w:divBdr>
    </w:div>
    <w:div w:id="1879078634">
      <w:bodyDiv w:val="1"/>
      <w:marLeft w:val="0"/>
      <w:marRight w:val="0"/>
      <w:marTop w:val="0"/>
      <w:marBottom w:val="0"/>
      <w:divBdr>
        <w:top w:val="none" w:sz="0" w:space="0" w:color="auto"/>
        <w:left w:val="none" w:sz="0" w:space="0" w:color="auto"/>
        <w:bottom w:val="none" w:sz="0" w:space="0" w:color="auto"/>
        <w:right w:val="none" w:sz="0" w:space="0" w:color="auto"/>
      </w:divBdr>
    </w:div>
    <w:div w:id="1879123272">
      <w:bodyDiv w:val="1"/>
      <w:marLeft w:val="0"/>
      <w:marRight w:val="0"/>
      <w:marTop w:val="0"/>
      <w:marBottom w:val="0"/>
      <w:divBdr>
        <w:top w:val="none" w:sz="0" w:space="0" w:color="auto"/>
        <w:left w:val="none" w:sz="0" w:space="0" w:color="auto"/>
        <w:bottom w:val="none" w:sz="0" w:space="0" w:color="auto"/>
        <w:right w:val="none" w:sz="0" w:space="0" w:color="auto"/>
      </w:divBdr>
    </w:div>
    <w:div w:id="1879125436">
      <w:bodyDiv w:val="1"/>
      <w:marLeft w:val="0"/>
      <w:marRight w:val="0"/>
      <w:marTop w:val="0"/>
      <w:marBottom w:val="0"/>
      <w:divBdr>
        <w:top w:val="none" w:sz="0" w:space="0" w:color="auto"/>
        <w:left w:val="none" w:sz="0" w:space="0" w:color="auto"/>
        <w:bottom w:val="none" w:sz="0" w:space="0" w:color="auto"/>
        <w:right w:val="none" w:sz="0" w:space="0" w:color="auto"/>
      </w:divBdr>
    </w:div>
    <w:div w:id="1879465182">
      <w:bodyDiv w:val="1"/>
      <w:marLeft w:val="0"/>
      <w:marRight w:val="0"/>
      <w:marTop w:val="0"/>
      <w:marBottom w:val="0"/>
      <w:divBdr>
        <w:top w:val="none" w:sz="0" w:space="0" w:color="auto"/>
        <w:left w:val="none" w:sz="0" w:space="0" w:color="auto"/>
        <w:bottom w:val="none" w:sz="0" w:space="0" w:color="auto"/>
        <w:right w:val="none" w:sz="0" w:space="0" w:color="auto"/>
      </w:divBdr>
    </w:div>
    <w:div w:id="1879584199">
      <w:bodyDiv w:val="1"/>
      <w:marLeft w:val="0"/>
      <w:marRight w:val="0"/>
      <w:marTop w:val="0"/>
      <w:marBottom w:val="0"/>
      <w:divBdr>
        <w:top w:val="none" w:sz="0" w:space="0" w:color="auto"/>
        <w:left w:val="none" w:sz="0" w:space="0" w:color="auto"/>
        <w:bottom w:val="none" w:sz="0" w:space="0" w:color="auto"/>
        <w:right w:val="none" w:sz="0" w:space="0" w:color="auto"/>
      </w:divBdr>
    </w:div>
    <w:div w:id="1879705432">
      <w:bodyDiv w:val="1"/>
      <w:marLeft w:val="0"/>
      <w:marRight w:val="0"/>
      <w:marTop w:val="0"/>
      <w:marBottom w:val="0"/>
      <w:divBdr>
        <w:top w:val="none" w:sz="0" w:space="0" w:color="auto"/>
        <w:left w:val="none" w:sz="0" w:space="0" w:color="auto"/>
        <w:bottom w:val="none" w:sz="0" w:space="0" w:color="auto"/>
        <w:right w:val="none" w:sz="0" w:space="0" w:color="auto"/>
      </w:divBdr>
    </w:div>
    <w:div w:id="1879731421">
      <w:bodyDiv w:val="1"/>
      <w:marLeft w:val="0"/>
      <w:marRight w:val="0"/>
      <w:marTop w:val="0"/>
      <w:marBottom w:val="0"/>
      <w:divBdr>
        <w:top w:val="none" w:sz="0" w:space="0" w:color="auto"/>
        <w:left w:val="none" w:sz="0" w:space="0" w:color="auto"/>
        <w:bottom w:val="none" w:sz="0" w:space="0" w:color="auto"/>
        <w:right w:val="none" w:sz="0" w:space="0" w:color="auto"/>
      </w:divBdr>
    </w:div>
    <w:div w:id="1879778143">
      <w:bodyDiv w:val="1"/>
      <w:marLeft w:val="0"/>
      <w:marRight w:val="0"/>
      <w:marTop w:val="0"/>
      <w:marBottom w:val="0"/>
      <w:divBdr>
        <w:top w:val="none" w:sz="0" w:space="0" w:color="auto"/>
        <w:left w:val="none" w:sz="0" w:space="0" w:color="auto"/>
        <w:bottom w:val="none" w:sz="0" w:space="0" w:color="auto"/>
        <w:right w:val="none" w:sz="0" w:space="0" w:color="auto"/>
      </w:divBdr>
    </w:div>
    <w:div w:id="1879858756">
      <w:bodyDiv w:val="1"/>
      <w:marLeft w:val="0"/>
      <w:marRight w:val="0"/>
      <w:marTop w:val="0"/>
      <w:marBottom w:val="0"/>
      <w:divBdr>
        <w:top w:val="none" w:sz="0" w:space="0" w:color="auto"/>
        <w:left w:val="none" w:sz="0" w:space="0" w:color="auto"/>
        <w:bottom w:val="none" w:sz="0" w:space="0" w:color="auto"/>
        <w:right w:val="none" w:sz="0" w:space="0" w:color="auto"/>
      </w:divBdr>
    </w:div>
    <w:div w:id="1879930634">
      <w:bodyDiv w:val="1"/>
      <w:marLeft w:val="0"/>
      <w:marRight w:val="0"/>
      <w:marTop w:val="0"/>
      <w:marBottom w:val="0"/>
      <w:divBdr>
        <w:top w:val="none" w:sz="0" w:space="0" w:color="auto"/>
        <w:left w:val="none" w:sz="0" w:space="0" w:color="auto"/>
        <w:bottom w:val="none" w:sz="0" w:space="0" w:color="auto"/>
        <w:right w:val="none" w:sz="0" w:space="0" w:color="auto"/>
      </w:divBdr>
    </w:div>
    <w:div w:id="1879970317">
      <w:bodyDiv w:val="1"/>
      <w:marLeft w:val="0"/>
      <w:marRight w:val="0"/>
      <w:marTop w:val="0"/>
      <w:marBottom w:val="0"/>
      <w:divBdr>
        <w:top w:val="none" w:sz="0" w:space="0" w:color="auto"/>
        <w:left w:val="none" w:sz="0" w:space="0" w:color="auto"/>
        <w:bottom w:val="none" w:sz="0" w:space="0" w:color="auto"/>
        <w:right w:val="none" w:sz="0" w:space="0" w:color="auto"/>
      </w:divBdr>
    </w:div>
    <w:div w:id="1879971004">
      <w:bodyDiv w:val="1"/>
      <w:marLeft w:val="0"/>
      <w:marRight w:val="0"/>
      <w:marTop w:val="0"/>
      <w:marBottom w:val="0"/>
      <w:divBdr>
        <w:top w:val="none" w:sz="0" w:space="0" w:color="auto"/>
        <w:left w:val="none" w:sz="0" w:space="0" w:color="auto"/>
        <w:bottom w:val="none" w:sz="0" w:space="0" w:color="auto"/>
        <w:right w:val="none" w:sz="0" w:space="0" w:color="auto"/>
      </w:divBdr>
    </w:div>
    <w:div w:id="1880043155">
      <w:bodyDiv w:val="1"/>
      <w:marLeft w:val="0"/>
      <w:marRight w:val="0"/>
      <w:marTop w:val="0"/>
      <w:marBottom w:val="0"/>
      <w:divBdr>
        <w:top w:val="none" w:sz="0" w:space="0" w:color="auto"/>
        <w:left w:val="none" w:sz="0" w:space="0" w:color="auto"/>
        <w:bottom w:val="none" w:sz="0" w:space="0" w:color="auto"/>
        <w:right w:val="none" w:sz="0" w:space="0" w:color="auto"/>
      </w:divBdr>
    </w:div>
    <w:div w:id="1880700654">
      <w:bodyDiv w:val="1"/>
      <w:marLeft w:val="0"/>
      <w:marRight w:val="0"/>
      <w:marTop w:val="0"/>
      <w:marBottom w:val="0"/>
      <w:divBdr>
        <w:top w:val="none" w:sz="0" w:space="0" w:color="auto"/>
        <w:left w:val="none" w:sz="0" w:space="0" w:color="auto"/>
        <w:bottom w:val="none" w:sz="0" w:space="0" w:color="auto"/>
        <w:right w:val="none" w:sz="0" w:space="0" w:color="auto"/>
      </w:divBdr>
    </w:div>
    <w:div w:id="1880773217">
      <w:bodyDiv w:val="1"/>
      <w:marLeft w:val="0"/>
      <w:marRight w:val="0"/>
      <w:marTop w:val="0"/>
      <w:marBottom w:val="0"/>
      <w:divBdr>
        <w:top w:val="none" w:sz="0" w:space="0" w:color="auto"/>
        <w:left w:val="none" w:sz="0" w:space="0" w:color="auto"/>
        <w:bottom w:val="none" w:sz="0" w:space="0" w:color="auto"/>
        <w:right w:val="none" w:sz="0" w:space="0" w:color="auto"/>
      </w:divBdr>
    </w:div>
    <w:div w:id="1880970567">
      <w:bodyDiv w:val="1"/>
      <w:marLeft w:val="0"/>
      <w:marRight w:val="0"/>
      <w:marTop w:val="0"/>
      <w:marBottom w:val="0"/>
      <w:divBdr>
        <w:top w:val="none" w:sz="0" w:space="0" w:color="auto"/>
        <w:left w:val="none" w:sz="0" w:space="0" w:color="auto"/>
        <w:bottom w:val="none" w:sz="0" w:space="0" w:color="auto"/>
        <w:right w:val="none" w:sz="0" w:space="0" w:color="auto"/>
      </w:divBdr>
    </w:div>
    <w:div w:id="1880973831">
      <w:bodyDiv w:val="1"/>
      <w:marLeft w:val="0"/>
      <w:marRight w:val="0"/>
      <w:marTop w:val="0"/>
      <w:marBottom w:val="0"/>
      <w:divBdr>
        <w:top w:val="none" w:sz="0" w:space="0" w:color="auto"/>
        <w:left w:val="none" w:sz="0" w:space="0" w:color="auto"/>
        <w:bottom w:val="none" w:sz="0" w:space="0" w:color="auto"/>
        <w:right w:val="none" w:sz="0" w:space="0" w:color="auto"/>
      </w:divBdr>
    </w:div>
    <w:div w:id="1881089488">
      <w:bodyDiv w:val="1"/>
      <w:marLeft w:val="0"/>
      <w:marRight w:val="0"/>
      <w:marTop w:val="0"/>
      <w:marBottom w:val="0"/>
      <w:divBdr>
        <w:top w:val="none" w:sz="0" w:space="0" w:color="auto"/>
        <w:left w:val="none" w:sz="0" w:space="0" w:color="auto"/>
        <w:bottom w:val="none" w:sz="0" w:space="0" w:color="auto"/>
        <w:right w:val="none" w:sz="0" w:space="0" w:color="auto"/>
      </w:divBdr>
    </w:div>
    <w:div w:id="1881165599">
      <w:bodyDiv w:val="1"/>
      <w:marLeft w:val="0"/>
      <w:marRight w:val="0"/>
      <w:marTop w:val="0"/>
      <w:marBottom w:val="0"/>
      <w:divBdr>
        <w:top w:val="none" w:sz="0" w:space="0" w:color="auto"/>
        <w:left w:val="none" w:sz="0" w:space="0" w:color="auto"/>
        <w:bottom w:val="none" w:sz="0" w:space="0" w:color="auto"/>
        <w:right w:val="none" w:sz="0" w:space="0" w:color="auto"/>
      </w:divBdr>
    </w:div>
    <w:div w:id="1881236361">
      <w:bodyDiv w:val="1"/>
      <w:marLeft w:val="0"/>
      <w:marRight w:val="0"/>
      <w:marTop w:val="0"/>
      <w:marBottom w:val="0"/>
      <w:divBdr>
        <w:top w:val="none" w:sz="0" w:space="0" w:color="auto"/>
        <w:left w:val="none" w:sz="0" w:space="0" w:color="auto"/>
        <w:bottom w:val="none" w:sz="0" w:space="0" w:color="auto"/>
        <w:right w:val="none" w:sz="0" w:space="0" w:color="auto"/>
      </w:divBdr>
    </w:div>
    <w:div w:id="1881286894">
      <w:bodyDiv w:val="1"/>
      <w:marLeft w:val="0"/>
      <w:marRight w:val="0"/>
      <w:marTop w:val="0"/>
      <w:marBottom w:val="0"/>
      <w:divBdr>
        <w:top w:val="none" w:sz="0" w:space="0" w:color="auto"/>
        <w:left w:val="none" w:sz="0" w:space="0" w:color="auto"/>
        <w:bottom w:val="none" w:sz="0" w:space="0" w:color="auto"/>
        <w:right w:val="none" w:sz="0" w:space="0" w:color="auto"/>
      </w:divBdr>
    </w:div>
    <w:div w:id="1881358888">
      <w:bodyDiv w:val="1"/>
      <w:marLeft w:val="0"/>
      <w:marRight w:val="0"/>
      <w:marTop w:val="0"/>
      <w:marBottom w:val="0"/>
      <w:divBdr>
        <w:top w:val="none" w:sz="0" w:space="0" w:color="auto"/>
        <w:left w:val="none" w:sz="0" w:space="0" w:color="auto"/>
        <w:bottom w:val="none" w:sz="0" w:space="0" w:color="auto"/>
        <w:right w:val="none" w:sz="0" w:space="0" w:color="auto"/>
      </w:divBdr>
    </w:div>
    <w:div w:id="1881433075">
      <w:bodyDiv w:val="1"/>
      <w:marLeft w:val="0"/>
      <w:marRight w:val="0"/>
      <w:marTop w:val="0"/>
      <w:marBottom w:val="0"/>
      <w:divBdr>
        <w:top w:val="none" w:sz="0" w:space="0" w:color="auto"/>
        <w:left w:val="none" w:sz="0" w:space="0" w:color="auto"/>
        <w:bottom w:val="none" w:sz="0" w:space="0" w:color="auto"/>
        <w:right w:val="none" w:sz="0" w:space="0" w:color="auto"/>
      </w:divBdr>
    </w:div>
    <w:div w:id="1881437320">
      <w:bodyDiv w:val="1"/>
      <w:marLeft w:val="0"/>
      <w:marRight w:val="0"/>
      <w:marTop w:val="0"/>
      <w:marBottom w:val="0"/>
      <w:divBdr>
        <w:top w:val="none" w:sz="0" w:space="0" w:color="auto"/>
        <w:left w:val="none" w:sz="0" w:space="0" w:color="auto"/>
        <w:bottom w:val="none" w:sz="0" w:space="0" w:color="auto"/>
        <w:right w:val="none" w:sz="0" w:space="0" w:color="auto"/>
      </w:divBdr>
    </w:div>
    <w:div w:id="1881673165">
      <w:bodyDiv w:val="1"/>
      <w:marLeft w:val="0"/>
      <w:marRight w:val="0"/>
      <w:marTop w:val="0"/>
      <w:marBottom w:val="0"/>
      <w:divBdr>
        <w:top w:val="none" w:sz="0" w:space="0" w:color="auto"/>
        <w:left w:val="none" w:sz="0" w:space="0" w:color="auto"/>
        <w:bottom w:val="none" w:sz="0" w:space="0" w:color="auto"/>
        <w:right w:val="none" w:sz="0" w:space="0" w:color="auto"/>
      </w:divBdr>
    </w:div>
    <w:div w:id="1881823251">
      <w:bodyDiv w:val="1"/>
      <w:marLeft w:val="0"/>
      <w:marRight w:val="0"/>
      <w:marTop w:val="0"/>
      <w:marBottom w:val="0"/>
      <w:divBdr>
        <w:top w:val="none" w:sz="0" w:space="0" w:color="auto"/>
        <w:left w:val="none" w:sz="0" w:space="0" w:color="auto"/>
        <w:bottom w:val="none" w:sz="0" w:space="0" w:color="auto"/>
        <w:right w:val="none" w:sz="0" w:space="0" w:color="auto"/>
      </w:divBdr>
    </w:div>
    <w:div w:id="1881939135">
      <w:bodyDiv w:val="1"/>
      <w:marLeft w:val="0"/>
      <w:marRight w:val="0"/>
      <w:marTop w:val="0"/>
      <w:marBottom w:val="0"/>
      <w:divBdr>
        <w:top w:val="none" w:sz="0" w:space="0" w:color="auto"/>
        <w:left w:val="none" w:sz="0" w:space="0" w:color="auto"/>
        <w:bottom w:val="none" w:sz="0" w:space="0" w:color="auto"/>
        <w:right w:val="none" w:sz="0" w:space="0" w:color="auto"/>
      </w:divBdr>
    </w:div>
    <w:div w:id="1882009697">
      <w:bodyDiv w:val="1"/>
      <w:marLeft w:val="0"/>
      <w:marRight w:val="0"/>
      <w:marTop w:val="0"/>
      <w:marBottom w:val="0"/>
      <w:divBdr>
        <w:top w:val="none" w:sz="0" w:space="0" w:color="auto"/>
        <w:left w:val="none" w:sz="0" w:space="0" w:color="auto"/>
        <w:bottom w:val="none" w:sz="0" w:space="0" w:color="auto"/>
        <w:right w:val="none" w:sz="0" w:space="0" w:color="auto"/>
      </w:divBdr>
    </w:div>
    <w:div w:id="1882135891">
      <w:bodyDiv w:val="1"/>
      <w:marLeft w:val="0"/>
      <w:marRight w:val="0"/>
      <w:marTop w:val="0"/>
      <w:marBottom w:val="0"/>
      <w:divBdr>
        <w:top w:val="none" w:sz="0" w:space="0" w:color="auto"/>
        <w:left w:val="none" w:sz="0" w:space="0" w:color="auto"/>
        <w:bottom w:val="none" w:sz="0" w:space="0" w:color="auto"/>
        <w:right w:val="none" w:sz="0" w:space="0" w:color="auto"/>
      </w:divBdr>
    </w:div>
    <w:div w:id="1882277986">
      <w:bodyDiv w:val="1"/>
      <w:marLeft w:val="0"/>
      <w:marRight w:val="0"/>
      <w:marTop w:val="0"/>
      <w:marBottom w:val="0"/>
      <w:divBdr>
        <w:top w:val="none" w:sz="0" w:space="0" w:color="auto"/>
        <w:left w:val="none" w:sz="0" w:space="0" w:color="auto"/>
        <w:bottom w:val="none" w:sz="0" w:space="0" w:color="auto"/>
        <w:right w:val="none" w:sz="0" w:space="0" w:color="auto"/>
      </w:divBdr>
    </w:div>
    <w:div w:id="1882279770">
      <w:bodyDiv w:val="1"/>
      <w:marLeft w:val="0"/>
      <w:marRight w:val="0"/>
      <w:marTop w:val="0"/>
      <w:marBottom w:val="0"/>
      <w:divBdr>
        <w:top w:val="none" w:sz="0" w:space="0" w:color="auto"/>
        <w:left w:val="none" w:sz="0" w:space="0" w:color="auto"/>
        <w:bottom w:val="none" w:sz="0" w:space="0" w:color="auto"/>
        <w:right w:val="none" w:sz="0" w:space="0" w:color="auto"/>
      </w:divBdr>
    </w:div>
    <w:div w:id="1882352975">
      <w:bodyDiv w:val="1"/>
      <w:marLeft w:val="0"/>
      <w:marRight w:val="0"/>
      <w:marTop w:val="0"/>
      <w:marBottom w:val="0"/>
      <w:divBdr>
        <w:top w:val="none" w:sz="0" w:space="0" w:color="auto"/>
        <w:left w:val="none" w:sz="0" w:space="0" w:color="auto"/>
        <w:bottom w:val="none" w:sz="0" w:space="0" w:color="auto"/>
        <w:right w:val="none" w:sz="0" w:space="0" w:color="auto"/>
      </w:divBdr>
    </w:div>
    <w:div w:id="1882399871">
      <w:bodyDiv w:val="1"/>
      <w:marLeft w:val="0"/>
      <w:marRight w:val="0"/>
      <w:marTop w:val="0"/>
      <w:marBottom w:val="0"/>
      <w:divBdr>
        <w:top w:val="none" w:sz="0" w:space="0" w:color="auto"/>
        <w:left w:val="none" w:sz="0" w:space="0" w:color="auto"/>
        <w:bottom w:val="none" w:sz="0" w:space="0" w:color="auto"/>
        <w:right w:val="none" w:sz="0" w:space="0" w:color="auto"/>
      </w:divBdr>
    </w:div>
    <w:div w:id="1882401204">
      <w:bodyDiv w:val="1"/>
      <w:marLeft w:val="0"/>
      <w:marRight w:val="0"/>
      <w:marTop w:val="0"/>
      <w:marBottom w:val="0"/>
      <w:divBdr>
        <w:top w:val="none" w:sz="0" w:space="0" w:color="auto"/>
        <w:left w:val="none" w:sz="0" w:space="0" w:color="auto"/>
        <w:bottom w:val="none" w:sz="0" w:space="0" w:color="auto"/>
        <w:right w:val="none" w:sz="0" w:space="0" w:color="auto"/>
      </w:divBdr>
    </w:div>
    <w:div w:id="1882401712">
      <w:bodyDiv w:val="1"/>
      <w:marLeft w:val="0"/>
      <w:marRight w:val="0"/>
      <w:marTop w:val="0"/>
      <w:marBottom w:val="0"/>
      <w:divBdr>
        <w:top w:val="none" w:sz="0" w:space="0" w:color="auto"/>
        <w:left w:val="none" w:sz="0" w:space="0" w:color="auto"/>
        <w:bottom w:val="none" w:sz="0" w:space="0" w:color="auto"/>
        <w:right w:val="none" w:sz="0" w:space="0" w:color="auto"/>
      </w:divBdr>
    </w:div>
    <w:div w:id="1882552785">
      <w:bodyDiv w:val="1"/>
      <w:marLeft w:val="0"/>
      <w:marRight w:val="0"/>
      <w:marTop w:val="0"/>
      <w:marBottom w:val="0"/>
      <w:divBdr>
        <w:top w:val="none" w:sz="0" w:space="0" w:color="auto"/>
        <w:left w:val="none" w:sz="0" w:space="0" w:color="auto"/>
        <w:bottom w:val="none" w:sz="0" w:space="0" w:color="auto"/>
        <w:right w:val="none" w:sz="0" w:space="0" w:color="auto"/>
      </w:divBdr>
    </w:div>
    <w:div w:id="1882785133">
      <w:bodyDiv w:val="1"/>
      <w:marLeft w:val="0"/>
      <w:marRight w:val="0"/>
      <w:marTop w:val="0"/>
      <w:marBottom w:val="0"/>
      <w:divBdr>
        <w:top w:val="none" w:sz="0" w:space="0" w:color="auto"/>
        <w:left w:val="none" w:sz="0" w:space="0" w:color="auto"/>
        <w:bottom w:val="none" w:sz="0" w:space="0" w:color="auto"/>
        <w:right w:val="none" w:sz="0" w:space="0" w:color="auto"/>
      </w:divBdr>
    </w:div>
    <w:div w:id="1882815969">
      <w:bodyDiv w:val="1"/>
      <w:marLeft w:val="0"/>
      <w:marRight w:val="0"/>
      <w:marTop w:val="0"/>
      <w:marBottom w:val="0"/>
      <w:divBdr>
        <w:top w:val="none" w:sz="0" w:space="0" w:color="auto"/>
        <w:left w:val="none" w:sz="0" w:space="0" w:color="auto"/>
        <w:bottom w:val="none" w:sz="0" w:space="0" w:color="auto"/>
        <w:right w:val="none" w:sz="0" w:space="0" w:color="auto"/>
      </w:divBdr>
    </w:div>
    <w:div w:id="1882859663">
      <w:bodyDiv w:val="1"/>
      <w:marLeft w:val="0"/>
      <w:marRight w:val="0"/>
      <w:marTop w:val="0"/>
      <w:marBottom w:val="0"/>
      <w:divBdr>
        <w:top w:val="none" w:sz="0" w:space="0" w:color="auto"/>
        <w:left w:val="none" w:sz="0" w:space="0" w:color="auto"/>
        <w:bottom w:val="none" w:sz="0" w:space="0" w:color="auto"/>
        <w:right w:val="none" w:sz="0" w:space="0" w:color="auto"/>
      </w:divBdr>
    </w:div>
    <w:div w:id="1883318970">
      <w:bodyDiv w:val="1"/>
      <w:marLeft w:val="0"/>
      <w:marRight w:val="0"/>
      <w:marTop w:val="0"/>
      <w:marBottom w:val="0"/>
      <w:divBdr>
        <w:top w:val="none" w:sz="0" w:space="0" w:color="auto"/>
        <w:left w:val="none" w:sz="0" w:space="0" w:color="auto"/>
        <w:bottom w:val="none" w:sz="0" w:space="0" w:color="auto"/>
        <w:right w:val="none" w:sz="0" w:space="0" w:color="auto"/>
      </w:divBdr>
    </w:div>
    <w:div w:id="1883781176">
      <w:bodyDiv w:val="1"/>
      <w:marLeft w:val="0"/>
      <w:marRight w:val="0"/>
      <w:marTop w:val="0"/>
      <w:marBottom w:val="0"/>
      <w:divBdr>
        <w:top w:val="none" w:sz="0" w:space="0" w:color="auto"/>
        <w:left w:val="none" w:sz="0" w:space="0" w:color="auto"/>
        <w:bottom w:val="none" w:sz="0" w:space="0" w:color="auto"/>
        <w:right w:val="none" w:sz="0" w:space="0" w:color="auto"/>
      </w:divBdr>
    </w:div>
    <w:div w:id="1883786771">
      <w:bodyDiv w:val="1"/>
      <w:marLeft w:val="0"/>
      <w:marRight w:val="0"/>
      <w:marTop w:val="0"/>
      <w:marBottom w:val="0"/>
      <w:divBdr>
        <w:top w:val="none" w:sz="0" w:space="0" w:color="auto"/>
        <w:left w:val="none" w:sz="0" w:space="0" w:color="auto"/>
        <w:bottom w:val="none" w:sz="0" w:space="0" w:color="auto"/>
        <w:right w:val="none" w:sz="0" w:space="0" w:color="auto"/>
      </w:divBdr>
    </w:div>
    <w:div w:id="1883908429">
      <w:bodyDiv w:val="1"/>
      <w:marLeft w:val="0"/>
      <w:marRight w:val="0"/>
      <w:marTop w:val="0"/>
      <w:marBottom w:val="0"/>
      <w:divBdr>
        <w:top w:val="none" w:sz="0" w:space="0" w:color="auto"/>
        <w:left w:val="none" w:sz="0" w:space="0" w:color="auto"/>
        <w:bottom w:val="none" w:sz="0" w:space="0" w:color="auto"/>
        <w:right w:val="none" w:sz="0" w:space="0" w:color="auto"/>
      </w:divBdr>
    </w:div>
    <w:div w:id="1884171104">
      <w:bodyDiv w:val="1"/>
      <w:marLeft w:val="0"/>
      <w:marRight w:val="0"/>
      <w:marTop w:val="0"/>
      <w:marBottom w:val="0"/>
      <w:divBdr>
        <w:top w:val="none" w:sz="0" w:space="0" w:color="auto"/>
        <w:left w:val="none" w:sz="0" w:space="0" w:color="auto"/>
        <w:bottom w:val="none" w:sz="0" w:space="0" w:color="auto"/>
        <w:right w:val="none" w:sz="0" w:space="0" w:color="auto"/>
      </w:divBdr>
    </w:div>
    <w:div w:id="1884249753">
      <w:bodyDiv w:val="1"/>
      <w:marLeft w:val="0"/>
      <w:marRight w:val="0"/>
      <w:marTop w:val="0"/>
      <w:marBottom w:val="0"/>
      <w:divBdr>
        <w:top w:val="none" w:sz="0" w:space="0" w:color="auto"/>
        <w:left w:val="none" w:sz="0" w:space="0" w:color="auto"/>
        <w:bottom w:val="none" w:sz="0" w:space="0" w:color="auto"/>
        <w:right w:val="none" w:sz="0" w:space="0" w:color="auto"/>
      </w:divBdr>
    </w:div>
    <w:div w:id="1884362329">
      <w:bodyDiv w:val="1"/>
      <w:marLeft w:val="0"/>
      <w:marRight w:val="0"/>
      <w:marTop w:val="0"/>
      <w:marBottom w:val="0"/>
      <w:divBdr>
        <w:top w:val="none" w:sz="0" w:space="0" w:color="auto"/>
        <w:left w:val="none" w:sz="0" w:space="0" w:color="auto"/>
        <w:bottom w:val="none" w:sz="0" w:space="0" w:color="auto"/>
        <w:right w:val="none" w:sz="0" w:space="0" w:color="auto"/>
      </w:divBdr>
    </w:div>
    <w:div w:id="1884369560">
      <w:bodyDiv w:val="1"/>
      <w:marLeft w:val="0"/>
      <w:marRight w:val="0"/>
      <w:marTop w:val="0"/>
      <w:marBottom w:val="0"/>
      <w:divBdr>
        <w:top w:val="none" w:sz="0" w:space="0" w:color="auto"/>
        <w:left w:val="none" w:sz="0" w:space="0" w:color="auto"/>
        <w:bottom w:val="none" w:sz="0" w:space="0" w:color="auto"/>
        <w:right w:val="none" w:sz="0" w:space="0" w:color="auto"/>
      </w:divBdr>
    </w:div>
    <w:div w:id="1884512782">
      <w:bodyDiv w:val="1"/>
      <w:marLeft w:val="0"/>
      <w:marRight w:val="0"/>
      <w:marTop w:val="0"/>
      <w:marBottom w:val="0"/>
      <w:divBdr>
        <w:top w:val="none" w:sz="0" w:space="0" w:color="auto"/>
        <w:left w:val="none" w:sz="0" w:space="0" w:color="auto"/>
        <w:bottom w:val="none" w:sz="0" w:space="0" w:color="auto"/>
        <w:right w:val="none" w:sz="0" w:space="0" w:color="auto"/>
      </w:divBdr>
    </w:div>
    <w:div w:id="1884639082">
      <w:bodyDiv w:val="1"/>
      <w:marLeft w:val="0"/>
      <w:marRight w:val="0"/>
      <w:marTop w:val="0"/>
      <w:marBottom w:val="0"/>
      <w:divBdr>
        <w:top w:val="none" w:sz="0" w:space="0" w:color="auto"/>
        <w:left w:val="none" w:sz="0" w:space="0" w:color="auto"/>
        <w:bottom w:val="none" w:sz="0" w:space="0" w:color="auto"/>
        <w:right w:val="none" w:sz="0" w:space="0" w:color="auto"/>
      </w:divBdr>
    </w:div>
    <w:div w:id="1884752533">
      <w:bodyDiv w:val="1"/>
      <w:marLeft w:val="0"/>
      <w:marRight w:val="0"/>
      <w:marTop w:val="0"/>
      <w:marBottom w:val="0"/>
      <w:divBdr>
        <w:top w:val="none" w:sz="0" w:space="0" w:color="auto"/>
        <w:left w:val="none" w:sz="0" w:space="0" w:color="auto"/>
        <w:bottom w:val="none" w:sz="0" w:space="0" w:color="auto"/>
        <w:right w:val="none" w:sz="0" w:space="0" w:color="auto"/>
      </w:divBdr>
    </w:div>
    <w:div w:id="1884755300">
      <w:bodyDiv w:val="1"/>
      <w:marLeft w:val="0"/>
      <w:marRight w:val="0"/>
      <w:marTop w:val="0"/>
      <w:marBottom w:val="0"/>
      <w:divBdr>
        <w:top w:val="none" w:sz="0" w:space="0" w:color="auto"/>
        <w:left w:val="none" w:sz="0" w:space="0" w:color="auto"/>
        <w:bottom w:val="none" w:sz="0" w:space="0" w:color="auto"/>
        <w:right w:val="none" w:sz="0" w:space="0" w:color="auto"/>
      </w:divBdr>
    </w:div>
    <w:div w:id="1884900664">
      <w:bodyDiv w:val="1"/>
      <w:marLeft w:val="0"/>
      <w:marRight w:val="0"/>
      <w:marTop w:val="0"/>
      <w:marBottom w:val="0"/>
      <w:divBdr>
        <w:top w:val="none" w:sz="0" w:space="0" w:color="auto"/>
        <w:left w:val="none" w:sz="0" w:space="0" w:color="auto"/>
        <w:bottom w:val="none" w:sz="0" w:space="0" w:color="auto"/>
        <w:right w:val="none" w:sz="0" w:space="0" w:color="auto"/>
      </w:divBdr>
    </w:div>
    <w:div w:id="1884948835">
      <w:bodyDiv w:val="1"/>
      <w:marLeft w:val="0"/>
      <w:marRight w:val="0"/>
      <w:marTop w:val="0"/>
      <w:marBottom w:val="0"/>
      <w:divBdr>
        <w:top w:val="none" w:sz="0" w:space="0" w:color="auto"/>
        <w:left w:val="none" w:sz="0" w:space="0" w:color="auto"/>
        <w:bottom w:val="none" w:sz="0" w:space="0" w:color="auto"/>
        <w:right w:val="none" w:sz="0" w:space="0" w:color="auto"/>
      </w:divBdr>
    </w:div>
    <w:div w:id="1884949941">
      <w:bodyDiv w:val="1"/>
      <w:marLeft w:val="0"/>
      <w:marRight w:val="0"/>
      <w:marTop w:val="0"/>
      <w:marBottom w:val="0"/>
      <w:divBdr>
        <w:top w:val="none" w:sz="0" w:space="0" w:color="auto"/>
        <w:left w:val="none" w:sz="0" w:space="0" w:color="auto"/>
        <w:bottom w:val="none" w:sz="0" w:space="0" w:color="auto"/>
        <w:right w:val="none" w:sz="0" w:space="0" w:color="auto"/>
      </w:divBdr>
    </w:div>
    <w:div w:id="1885020597">
      <w:bodyDiv w:val="1"/>
      <w:marLeft w:val="0"/>
      <w:marRight w:val="0"/>
      <w:marTop w:val="0"/>
      <w:marBottom w:val="0"/>
      <w:divBdr>
        <w:top w:val="none" w:sz="0" w:space="0" w:color="auto"/>
        <w:left w:val="none" w:sz="0" w:space="0" w:color="auto"/>
        <w:bottom w:val="none" w:sz="0" w:space="0" w:color="auto"/>
        <w:right w:val="none" w:sz="0" w:space="0" w:color="auto"/>
      </w:divBdr>
    </w:div>
    <w:div w:id="1885169387">
      <w:bodyDiv w:val="1"/>
      <w:marLeft w:val="0"/>
      <w:marRight w:val="0"/>
      <w:marTop w:val="0"/>
      <w:marBottom w:val="0"/>
      <w:divBdr>
        <w:top w:val="none" w:sz="0" w:space="0" w:color="auto"/>
        <w:left w:val="none" w:sz="0" w:space="0" w:color="auto"/>
        <w:bottom w:val="none" w:sz="0" w:space="0" w:color="auto"/>
        <w:right w:val="none" w:sz="0" w:space="0" w:color="auto"/>
      </w:divBdr>
    </w:div>
    <w:div w:id="1885172299">
      <w:bodyDiv w:val="1"/>
      <w:marLeft w:val="0"/>
      <w:marRight w:val="0"/>
      <w:marTop w:val="0"/>
      <w:marBottom w:val="0"/>
      <w:divBdr>
        <w:top w:val="none" w:sz="0" w:space="0" w:color="auto"/>
        <w:left w:val="none" w:sz="0" w:space="0" w:color="auto"/>
        <w:bottom w:val="none" w:sz="0" w:space="0" w:color="auto"/>
        <w:right w:val="none" w:sz="0" w:space="0" w:color="auto"/>
      </w:divBdr>
    </w:div>
    <w:div w:id="1885562899">
      <w:bodyDiv w:val="1"/>
      <w:marLeft w:val="0"/>
      <w:marRight w:val="0"/>
      <w:marTop w:val="0"/>
      <w:marBottom w:val="0"/>
      <w:divBdr>
        <w:top w:val="none" w:sz="0" w:space="0" w:color="auto"/>
        <w:left w:val="none" w:sz="0" w:space="0" w:color="auto"/>
        <w:bottom w:val="none" w:sz="0" w:space="0" w:color="auto"/>
        <w:right w:val="none" w:sz="0" w:space="0" w:color="auto"/>
      </w:divBdr>
    </w:div>
    <w:div w:id="1885870749">
      <w:bodyDiv w:val="1"/>
      <w:marLeft w:val="0"/>
      <w:marRight w:val="0"/>
      <w:marTop w:val="0"/>
      <w:marBottom w:val="0"/>
      <w:divBdr>
        <w:top w:val="none" w:sz="0" w:space="0" w:color="auto"/>
        <w:left w:val="none" w:sz="0" w:space="0" w:color="auto"/>
        <w:bottom w:val="none" w:sz="0" w:space="0" w:color="auto"/>
        <w:right w:val="none" w:sz="0" w:space="0" w:color="auto"/>
      </w:divBdr>
    </w:div>
    <w:div w:id="1885872407">
      <w:bodyDiv w:val="1"/>
      <w:marLeft w:val="0"/>
      <w:marRight w:val="0"/>
      <w:marTop w:val="0"/>
      <w:marBottom w:val="0"/>
      <w:divBdr>
        <w:top w:val="none" w:sz="0" w:space="0" w:color="auto"/>
        <w:left w:val="none" w:sz="0" w:space="0" w:color="auto"/>
        <w:bottom w:val="none" w:sz="0" w:space="0" w:color="auto"/>
        <w:right w:val="none" w:sz="0" w:space="0" w:color="auto"/>
      </w:divBdr>
    </w:div>
    <w:div w:id="1885943455">
      <w:bodyDiv w:val="1"/>
      <w:marLeft w:val="0"/>
      <w:marRight w:val="0"/>
      <w:marTop w:val="0"/>
      <w:marBottom w:val="0"/>
      <w:divBdr>
        <w:top w:val="none" w:sz="0" w:space="0" w:color="auto"/>
        <w:left w:val="none" w:sz="0" w:space="0" w:color="auto"/>
        <w:bottom w:val="none" w:sz="0" w:space="0" w:color="auto"/>
        <w:right w:val="none" w:sz="0" w:space="0" w:color="auto"/>
      </w:divBdr>
    </w:div>
    <w:div w:id="1885943893">
      <w:bodyDiv w:val="1"/>
      <w:marLeft w:val="0"/>
      <w:marRight w:val="0"/>
      <w:marTop w:val="0"/>
      <w:marBottom w:val="0"/>
      <w:divBdr>
        <w:top w:val="none" w:sz="0" w:space="0" w:color="auto"/>
        <w:left w:val="none" w:sz="0" w:space="0" w:color="auto"/>
        <w:bottom w:val="none" w:sz="0" w:space="0" w:color="auto"/>
        <w:right w:val="none" w:sz="0" w:space="0" w:color="auto"/>
      </w:divBdr>
    </w:div>
    <w:div w:id="1885946833">
      <w:bodyDiv w:val="1"/>
      <w:marLeft w:val="0"/>
      <w:marRight w:val="0"/>
      <w:marTop w:val="0"/>
      <w:marBottom w:val="0"/>
      <w:divBdr>
        <w:top w:val="none" w:sz="0" w:space="0" w:color="auto"/>
        <w:left w:val="none" w:sz="0" w:space="0" w:color="auto"/>
        <w:bottom w:val="none" w:sz="0" w:space="0" w:color="auto"/>
        <w:right w:val="none" w:sz="0" w:space="0" w:color="auto"/>
      </w:divBdr>
    </w:div>
    <w:div w:id="1886017418">
      <w:bodyDiv w:val="1"/>
      <w:marLeft w:val="0"/>
      <w:marRight w:val="0"/>
      <w:marTop w:val="0"/>
      <w:marBottom w:val="0"/>
      <w:divBdr>
        <w:top w:val="none" w:sz="0" w:space="0" w:color="auto"/>
        <w:left w:val="none" w:sz="0" w:space="0" w:color="auto"/>
        <w:bottom w:val="none" w:sz="0" w:space="0" w:color="auto"/>
        <w:right w:val="none" w:sz="0" w:space="0" w:color="auto"/>
      </w:divBdr>
    </w:div>
    <w:div w:id="1886061793">
      <w:bodyDiv w:val="1"/>
      <w:marLeft w:val="0"/>
      <w:marRight w:val="0"/>
      <w:marTop w:val="0"/>
      <w:marBottom w:val="0"/>
      <w:divBdr>
        <w:top w:val="none" w:sz="0" w:space="0" w:color="auto"/>
        <w:left w:val="none" w:sz="0" w:space="0" w:color="auto"/>
        <w:bottom w:val="none" w:sz="0" w:space="0" w:color="auto"/>
        <w:right w:val="none" w:sz="0" w:space="0" w:color="auto"/>
      </w:divBdr>
    </w:div>
    <w:div w:id="1886134870">
      <w:bodyDiv w:val="1"/>
      <w:marLeft w:val="0"/>
      <w:marRight w:val="0"/>
      <w:marTop w:val="0"/>
      <w:marBottom w:val="0"/>
      <w:divBdr>
        <w:top w:val="none" w:sz="0" w:space="0" w:color="auto"/>
        <w:left w:val="none" w:sz="0" w:space="0" w:color="auto"/>
        <w:bottom w:val="none" w:sz="0" w:space="0" w:color="auto"/>
        <w:right w:val="none" w:sz="0" w:space="0" w:color="auto"/>
      </w:divBdr>
    </w:div>
    <w:div w:id="1886139578">
      <w:bodyDiv w:val="1"/>
      <w:marLeft w:val="0"/>
      <w:marRight w:val="0"/>
      <w:marTop w:val="0"/>
      <w:marBottom w:val="0"/>
      <w:divBdr>
        <w:top w:val="none" w:sz="0" w:space="0" w:color="auto"/>
        <w:left w:val="none" w:sz="0" w:space="0" w:color="auto"/>
        <w:bottom w:val="none" w:sz="0" w:space="0" w:color="auto"/>
        <w:right w:val="none" w:sz="0" w:space="0" w:color="auto"/>
      </w:divBdr>
    </w:div>
    <w:div w:id="1886211734">
      <w:bodyDiv w:val="1"/>
      <w:marLeft w:val="0"/>
      <w:marRight w:val="0"/>
      <w:marTop w:val="0"/>
      <w:marBottom w:val="0"/>
      <w:divBdr>
        <w:top w:val="none" w:sz="0" w:space="0" w:color="auto"/>
        <w:left w:val="none" w:sz="0" w:space="0" w:color="auto"/>
        <w:bottom w:val="none" w:sz="0" w:space="0" w:color="auto"/>
        <w:right w:val="none" w:sz="0" w:space="0" w:color="auto"/>
      </w:divBdr>
    </w:div>
    <w:div w:id="1886260863">
      <w:bodyDiv w:val="1"/>
      <w:marLeft w:val="0"/>
      <w:marRight w:val="0"/>
      <w:marTop w:val="0"/>
      <w:marBottom w:val="0"/>
      <w:divBdr>
        <w:top w:val="none" w:sz="0" w:space="0" w:color="auto"/>
        <w:left w:val="none" w:sz="0" w:space="0" w:color="auto"/>
        <w:bottom w:val="none" w:sz="0" w:space="0" w:color="auto"/>
        <w:right w:val="none" w:sz="0" w:space="0" w:color="auto"/>
      </w:divBdr>
    </w:div>
    <w:div w:id="1886672846">
      <w:bodyDiv w:val="1"/>
      <w:marLeft w:val="0"/>
      <w:marRight w:val="0"/>
      <w:marTop w:val="0"/>
      <w:marBottom w:val="0"/>
      <w:divBdr>
        <w:top w:val="none" w:sz="0" w:space="0" w:color="auto"/>
        <w:left w:val="none" w:sz="0" w:space="0" w:color="auto"/>
        <w:bottom w:val="none" w:sz="0" w:space="0" w:color="auto"/>
        <w:right w:val="none" w:sz="0" w:space="0" w:color="auto"/>
      </w:divBdr>
    </w:div>
    <w:div w:id="1886715961">
      <w:bodyDiv w:val="1"/>
      <w:marLeft w:val="0"/>
      <w:marRight w:val="0"/>
      <w:marTop w:val="0"/>
      <w:marBottom w:val="0"/>
      <w:divBdr>
        <w:top w:val="none" w:sz="0" w:space="0" w:color="auto"/>
        <w:left w:val="none" w:sz="0" w:space="0" w:color="auto"/>
        <w:bottom w:val="none" w:sz="0" w:space="0" w:color="auto"/>
        <w:right w:val="none" w:sz="0" w:space="0" w:color="auto"/>
      </w:divBdr>
    </w:div>
    <w:div w:id="1886748586">
      <w:bodyDiv w:val="1"/>
      <w:marLeft w:val="0"/>
      <w:marRight w:val="0"/>
      <w:marTop w:val="0"/>
      <w:marBottom w:val="0"/>
      <w:divBdr>
        <w:top w:val="none" w:sz="0" w:space="0" w:color="auto"/>
        <w:left w:val="none" w:sz="0" w:space="0" w:color="auto"/>
        <w:bottom w:val="none" w:sz="0" w:space="0" w:color="auto"/>
        <w:right w:val="none" w:sz="0" w:space="0" w:color="auto"/>
      </w:divBdr>
    </w:div>
    <w:div w:id="1886798170">
      <w:bodyDiv w:val="1"/>
      <w:marLeft w:val="0"/>
      <w:marRight w:val="0"/>
      <w:marTop w:val="0"/>
      <w:marBottom w:val="0"/>
      <w:divBdr>
        <w:top w:val="none" w:sz="0" w:space="0" w:color="auto"/>
        <w:left w:val="none" w:sz="0" w:space="0" w:color="auto"/>
        <w:bottom w:val="none" w:sz="0" w:space="0" w:color="auto"/>
        <w:right w:val="none" w:sz="0" w:space="0" w:color="auto"/>
      </w:divBdr>
    </w:div>
    <w:div w:id="1886983323">
      <w:bodyDiv w:val="1"/>
      <w:marLeft w:val="0"/>
      <w:marRight w:val="0"/>
      <w:marTop w:val="0"/>
      <w:marBottom w:val="0"/>
      <w:divBdr>
        <w:top w:val="none" w:sz="0" w:space="0" w:color="auto"/>
        <w:left w:val="none" w:sz="0" w:space="0" w:color="auto"/>
        <w:bottom w:val="none" w:sz="0" w:space="0" w:color="auto"/>
        <w:right w:val="none" w:sz="0" w:space="0" w:color="auto"/>
      </w:divBdr>
    </w:div>
    <w:div w:id="1887258167">
      <w:bodyDiv w:val="1"/>
      <w:marLeft w:val="0"/>
      <w:marRight w:val="0"/>
      <w:marTop w:val="0"/>
      <w:marBottom w:val="0"/>
      <w:divBdr>
        <w:top w:val="none" w:sz="0" w:space="0" w:color="auto"/>
        <w:left w:val="none" w:sz="0" w:space="0" w:color="auto"/>
        <w:bottom w:val="none" w:sz="0" w:space="0" w:color="auto"/>
        <w:right w:val="none" w:sz="0" w:space="0" w:color="auto"/>
      </w:divBdr>
    </w:div>
    <w:div w:id="1887446398">
      <w:bodyDiv w:val="1"/>
      <w:marLeft w:val="0"/>
      <w:marRight w:val="0"/>
      <w:marTop w:val="0"/>
      <w:marBottom w:val="0"/>
      <w:divBdr>
        <w:top w:val="none" w:sz="0" w:space="0" w:color="auto"/>
        <w:left w:val="none" w:sz="0" w:space="0" w:color="auto"/>
        <w:bottom w:val="none" w:sz="0" w:space="0" w:color="auto"/>
        <w:right w:val="none" w:sz="0" w:space="0" w:color="auto"/>
      </w:divBdr>
    </w:div>
    <w:div w:id="1887526860">
      <w:bodyDiv w:val="1"/>
      <w:marLeft w:val="0"/>
      <w:marRight w:val="0"/>
      <w:marTop w:val="0"/>
      <w:marBottom w:val="0"/>
      <w:divBdr>
        <w:top w:val="none" w:sz="0" w:space="0" w:color="auto"/>
        <w:left w:val="none" w:sz="0" w:space="0" w:color="auto"/>
        <w:bottom w:val="none" w:sz="0" w:space="0" w:color="auto"/>
        <w:right w:val="none" w:sz="0" w:space="0" w:color="auto"/>
      </w:divBdr>
    </w:div>
    <w:div w:id="1887597359">
      <w:bodyDiv w:val="1"/>
      <w:marLeft w:val="0"/>
      <w:marRight w:val="0"/>
      <w:marTop w:val="0"/>
      <w:marBottom w:val="0"/>
      <w:divBdr>
        <w:top w:val="none" w:sz="0" w:space="0" w:color="auto"/>
        <w:left w:val="none" w:sz="0" w:space="0" w:color="auto"/>
        <w:bottom w:val="none" w:sz="0" w:space="0" w:color="auto"/>
        <w:right w:val="none" w:sz="0" w:space="0" w:color="auto"/>
      </w:divBdr>
    </w:div>
    <w:div w:id="1887646405">
      <w:bodyDiv w:val="1"/>
      <w:marLeft w:val="0"/>
      <w:marRight w:val="0"/>
      <w:marTop w:val="0"/>
      <w:marBottom w:val="0"/>
      <w:divBdr>
        <w:top w:val="none" w:sz="0" w:space="0" w:color="auto"/>
        <w:left w:val="none" w:sz="0" w:space="0" w:color="auto"/>
        <w:bottom w:val="none" w:sz="0" w:space="0" w:color="auto"/>
        <w:right w:val="none" w:sz="0" w:space="0" w:color="auto"/>
      </w:divBdr>
    </w:div>
    <w:div w:id="1887839903">
      <w:bodyDiv w:val="1"/>
      <w:marLeft w:val="0"/>
      <w:marRight w:val="0"/>
      <w:marTop w:val="0"/>
      <w:marBottom w:val="0"/>
      <w:divBdr>
        <w:top w:val="none" w:sz="0" w:space="0" w:color="auto"/>
        <w:left w:val="none" w:sz="0" w:space="0" w:color="auto"/>
        <w:bottom w:val="none" w:sz="0" w:space="0" w:color="auto"/>
        <w:right w:val="none" w:sz="0" w:space="0" w:color="auto"/>
      </w:divBdr>
    </w:div>
    <w:div w:id="1887914367">
      <w:bodyDiv w:val="1"/>
      <w:marLeft w:val="0"/>
      <w:marRight w:val="0"/>
      <w:marTop w:val="0"/>
      <w:marBottom w:val="0"/>
      <w:divBdr>
        <w:top w:val="none" w:sz="0" w:space="0" w:color="auto"/>
        <w:left w:val="none" w:sz="0" w:space="0" w:color="auto"/>
        <w:bottom w:val="none" w:sz="0" w:space="0" w:color="auto"/>
        <w:right w:val="none" w:sz="0" w:space="0" w:color="auto"/>
      </w:divBdr>
    </w:div>
    <w:div w:id="1887987030">
      <w:bodyDiv w:val="1"/>
      <w:marLeft w:val="0"/>
      <w:marRight w:val="0"/>
      <w:marTop w:val="0"/>
      <w:marBottom w:val="0"/>
      <w:divBdr>
        <w:top w:val="none" w:sz="0" w:space="0" w:color="auto"/>
        <w:left w:val="none" w:sz="0" w:space="0" w:color="auto"/>
        <w:bottom w:val="none" w:sz="0" w:space="0" w:color="auto"/>
        <w:right w:val="none" w:sz="0" w:space="0" w:color="auto"/>
      </w:divBdr>
    </w:div>
    <w:div w:id="1888105779">
      <w:bodyDiv w:val="1"/>
      <w:marLeft w:val="0"/>
      <w:marRight w:val="0"/>
      <w:marTop w:val="0"/>
      <w:marBottom w:val="0"/>
      <w:divBdr>
        <w:top w:val="none" w:sz="0" w:space="0" w:color="auto"/>
        <w:left w:val="none" w:sz="0" w:space="0" w:color="auto"/>
        <w:bottom w:val="none" w:sz="0" w:space="0" w:color="auto"/>
        <w:right w:val="none" w:sz="0" w:space="0" w:color="auto"/>
      </w:divBdr>
    </w:div>
    <w:div w:id="1888177761">
      <w:bodyDiv w:val="1"/>
      <w:marLeft w:val="0"/>
      <w:marRight w:val="0"/>
      <w:marTop w:val="0"/>
      <w:marBottom w:val="0"/>
      <w:divBdr>
        <w:top w:val="none" w:sz="0" w:space="0" w:color="auto"/>
        <w:left w:val="none" w:sz="0" w:space="0" w:color="auto"/>
        <w:bottom w:val="none" w:sz="0" w:space="0" w:color="auto"/>
        <w:right w:val="none" w:sz="0" w:space="0" w:color="auto"/>
      </w:divBdr>
    </w:div>
    <w:div w:id="1888485757">
      <w:bodyDiv w:val="1"/>
      <w:marLeft w:val="0"/>
      <w:marRight w:val="0"/>
      <w:marTop w:val="0"/>
      <w:marBottom w:val="0"/>
      <w:divBdr>
        <w:top w:val="none" w:sz="0" w:space="0" w:color="auto"/>
        <w:left w:val="none" w:sz="0" w:space="0" w:color="auto"/>
        <w:bottom w:val="none" w:sz="0" w:space="0" w:color="auto"/>
        <w:right w:val="none" w:sz="0" w:space="0" w:color="auto"/>
      </w:divBdr>
    </w:div>
    <w:div w:id="1888493315">
      <w:bodyDiv w:val="1"/>
      <w:marLeft w:val="0"/>
      <w:marRight w:val="0"/>
      <w:marTop w:val="0"/>
      <w:marBottom w:val="0"/>
      <w:divBdr>
        <w:top w:val="none" w:sz="0" w:space="0" w:color="auto"/>
        <w:left w:val="none" w:sz="0" w:space="0" w:color="auto"/>
        <w:bottom w:val="none" w:sz="0" w:space="0" w:color="auto"/>
        <w:right w:val="none" w:sz="0" w:space="0" w:color="auto"/>
      </w:divBdr>
    </w:div>
    <w:div w:id="1888637400">
      <w:bodyDiv w:val="1"/>
      <w:marLeft w:val="0"/>
      <w:marRight w:val="0"/>
      <w:marTop w:val="0"/>
      <w:marBottom w:val="0"/>
      <w:divBdr>
        <w:top w:val="none" w:sz="0" w:space="0" w:color="auto"/>
        <w:left w:val="none" w:sz="0" w:space="0" w:color="auto"/>
        <w:bottom w:val="none" w:sz="0" w:space="0" w:color="auto"/>
        <w:right w:val="none" w:sz="0" w:space="0" w:color="auto"/>
      </w:divBdr>
    </w:div>
    <w:div w:id="1888684655">
      <w:bodyDiv w:val="1"/>
      <w:marLeft w:val="0"/>
      <w:marRight w:val="0"/>
      <w:marTop w:val="0"/>
      <w:marBottom w:val="0"/>
      <w:divBdr>
        <w:top w:val="none" w:sz="0" w:space="0" w:color="auto"/>
        <w:left w:val="none" w:sz="0" w:space="0" w:color="auto"/>
        <w:bottom w:val="none" w:sz="0" w:space="0" w:color="auto"/>
        <w:right w:val="none" w:sz="0" w:space="0" w:color="auto"/>
      </w:divBdr>
    </w:div>
    <w:div w:id="1888760638">
      <w:bodyDiv w:val="1"/>
      <w:marLeft w:val="0"/>
      <w:marRight w:val="0"/>
      <w:marTop w:val="0"/>
      <w:marBottom w:val="0"/>
      <w:divBdr>
        <w:top w:val="none" w:sz="0" w:space="0" w:color="auto"/>
        <w:left w:val="none" w:sz="0" w:space="0" w:color="auto"/>
        <w:bottom w:val="none" w:sz="0" w:space="0" w:color="auto"/>
        <w:right w:val="none" w:sz="0" w:space="0" w:color="auto"/>
      </w:divBdr>
    </w:div>
    <w:div w:id="1888950421">
      <w:bodyDiv w:val="1"/>
      <w:marLeft w:val="0"/>
      <w:marRight w:val="0"/>
      <w:marTop w:val="0"/>
      <w:marBottom w:val="0"/>
      <w:divBdr>
        <w:top w:val="none" w:sz="0" w:space="0" w:color="auto"/>
        <w:left w:val="none" w:sz="0" w:space="0" w:color="auto"/>
        <w:bottom w:val="none" w:sz="0" w:space="0" w:color="auto"/>
        <w:right w:val="none" w:sz="0" w:space="0" w:color="auto"/>
      </w:divBdr>
    </w:div>
    <w:div w:id="1889141191">
      <w:bodyDiv w:val="1"/>
      <w:marLeft w:val="0"/>
      <w:marRight w:val="0"/>
      <w:marTop w:val="0"/>
      <w:marBottom w:val="0"/>
      <w:divBdr>
        <w:top w:val="none" w:sz="0" w:space="0" w:color="auto"/>
        <w:left w:val="none" w:sz="0" w:space="0" w:color="auto"/>
        <w:bottom w:val="none" w:sz="0" w:space="0" w:color="auto"/>
        <w:right w:val="none" w:sz="0" w:space="0" w:color="auto"/>
      </w:divBdr>
    </w:div>
    <w:div w:id="1889142282">
      <w:bodyDiv w:val="1"/>
      <w:marLeft w:val="0"/>
      <w:marRight w:val="0"/>
      <w:marTop w:val="0"/>
      <w:marBottom w:val="0"/>
      <w:divBdr>
        <w:top w:val="none" w:sz="0" w:space="0" w:color="auto"/>
        <w:left w:val="none" w:sz="0" w:space="0" w:color="auto"/>
        <w:bottom w:val="none" w:sz="0" w:space="0" w:color="auto"/>
        <w:right w:val="none" w:sz="0" w:space="0" w:color="auto"/>
      </w:divBdr>
    </w:div>
    <w:div w:id="1889341315">
      <w:bodyDiv w:val="1"/>
      <w:marLeft w:val="0"/>
      <w:marRight w:val="0"/>
      <w:marTop w:val="0"/>
      <w:marBottom w:val="0"/>
      <w:divBdr>
        <w:top w:val="none" w:sz="0" w:space="0" w:color="auto"/>
        <w:left w:val="none" w:sz="0" w:space="0" w:color="auto"/>
        <w:bottom w:val="none" w:sz="0" w:space="0" w:color="auto"/>
        <w:right w:val="none" w:sz="0" w:space="0" w:color="auto"/>
      </w:divBdr>
    </w:div>
    <w:div w:id="1889412207">
      <w:bodyDiv w:val="1"/>
      <w:marLeft w:val="0"/>
      <w:marRight w:val="0"/>
      <w:marTop w:val="0"/>
      <w:marBottom w:val="0"/>
      <w:divBdr>
        <w:top w:val="none" w:sz="0" w:space="0" w:color="auto"/>
        <w:left w:val="none" w:sz="0" w:space="0" w:color="auto"/>
        <w:bottom w:val="none" w:sz="0" w:space="0" w:color="auto"/>
        <w:right w:val="none" w:sz="0" w:space="0" w:color="auto"/>
      </w:divBdr>
    </w:div>
    <w:div w:id="1889414429">
      <w:bodyDiv w:val="1"/>
      <w:marLeft w:val="0"/>
      <w:marRight w:val="0"/>
      <w:marTop w:val="0"/>
      <w:marBottom w:val="0"/>
      <w:divBdr>
        <w:top w:val="none" w:sz="0" w:space="0" w:color="auto"/>
        <w:left w:val="none" w:sz="0" w:space="0" w:color="auto"/>
        <w:bottom w:val="none" w:sz="0" w:space="0" w:color="auto"/>
        <w:right w:val="none" w:sz="0" w:space="0" w:color="auto"/>
      </w:divBdr>
    </w:div>
    <w:div w:id="1889560602">
      <w:bodyDiv w:val="1"/>
      <w:marLeft w:val="0"/>
      <w:marRight w:val="0"/>
      <w:marTop w:val="0"/>
      <w:marBottom w:val="0"/>
      <w:divBdr>
        <w:top w:val="none" w:sz="0" w:space="0" w:color="auto"/>
        <w:left w:val="none" w:sz="0" w:space="0" w:color="auto"/>
        <w:bottom w:val="none" w:sz="0" w:space="0" w:color="auto"/>
        <w:right w:val="none" w:sz="0" w:space="0" w:color="auto"/>
      </w:divBdr>
    </w:div>
    <w:div w:id="1889564496">
      <w:bodyDiv w:val="1"/>
      <w:marLeft w:val="0"/>
      <w:marRight w:val="0"/>
      <w:marTop w:val="0"/>
      <w:marBottom w:val="0"/>
      <w:divBdr>
        <w:top w:val="none" w:sz="0" w:space="0" w:color="auto"/>
        <w:left w:val="none" w:sz="0" w:space="0" w:color="auto"/>
        <w:bottom w:val="none" w:sz="0" w:space="0" w:color="auto"/>
        <w:right w:val="none" w:sz="0" w:space="0" w:color="auto"/>
      </w:divBdr>
    </w:div>
    <w:div w:id="1889759559">
      <w:bodyDiv w:val="1"/>
      <w:marLeft w:val="0"/>
      <w:marRight w:val="0"/>
      <w:marTop w:val="0"/>
      <w:marBottom w:val="0"/>
      <w:divBdr>
        <w:top w:val="none" w:sz="0" w:space="0" w:color="auto"/>
        <w:left w:val="none" w:sz="0" w:space="0" w:color="auto"/>
        <w:bottom w:val="none" w:sz="0" w:space="0" w:color="auto"/>
        <w:right w:val="none" w:sz="0" w:space="0" w:color="auto"/>
      </w:divBdr>
    </w:div>
    <w:div w:id="1889877573">
      <w:bodyDiv w:val="1"/>
      <w:marLeft w:val="0"/>
      <w:marRight w:val="0"/>
      <w:marTop w:val="0"/>
      <w:marBottom w:val="0"/>
      <w:divBdr>
        <w:top w:val="none" w:sz="0" w:space="0" w:color="auto"/>
        <w:left w:val="none" w:sz="0" w:space="0" w:color="auto"/>
        <w:bottom w:val="none" w:sz="0" w:space="0" w:color="auto"/>
        <w:right w:val="none" w:sz="0" w:space="0" w:color="auto"/>
      </w:divBdr>
    </w:div>
    <w:div w:id="1890065397">
      <w:bodyDiv w:val="1"/>
      <w:marLeft w:val="0"/>
      <w:marRight w:val="0"/>
      <w:marTop w:val="0"/>
      <w:marBottom w:val="0"/>
      <w:divBdr>
        <w:top w:val="none" w:sz="0" w:space="0" w:color="auto"/>
        <w:left w:val="none" w:sz="0" w:space="0" w:color="auto"/>
        <w:bottom w:val="none" w:sz="0" w:space="0" w:color="auto"/>
        <w:right w:val="none" w:sz="0" w:space="0" w:color="auto"/>
      </w:divBdr>
    </w:div>
    <w:div w:id="1890144258">
      <w:bodyDiv w:val="1"/>
      <w:marLeft w:val="0"/>
      <w:marRight w:val="0"/>
      <w:marTop w:val="0"/>
      <w:marBottom w:val="0"/>
      <w:divBdr>
        <w:top w:val="none" w:sz="0" w:space="0" w:color="auto"/>
        <w:left w:val="none" w:sz="0" w:space="0" w:color="auto"/>
        <w:bottom w:val="none" w:sz="0" w:space="0" w:color="auto"/>
        <w:right w:val="none" w:sz="0" w:space="0" w:color="auto"/>
      </w:divBdr>
    </w:div>
    <w:div w:id="1890217531">
      <w:bodyDiv w:val="1"/>
      <w:marLeft w:val="0"/>
      <w:marRight w:val="0"/>
      <w:marTop w:val="0"/>
      <w:marBottom w:val="0"/>
      <w:divBdr>
        <w:top w:val="none" w:sz="0" w:space="0" w:color="auto"/>
        <w:left w:val="none" w:sz="0" w:space="0" w:color="auto"/>
        <w:bottom w:val="none" w:sz="0" w:space="0" w:color="auto"/>
        <w:right w:val="none" w:sz="0" w:space="0" w:color="auto"/>
      </w:divBdr>
    </w:div>
    <w:div w:id="1890266290">
      <w:bodyDiv w:val="1"/>
      <w:marLeft w:val="0"/>
      <w:marRight w:val="0"/>
      <w:marTop w:val="0"/>
      <w:marBottom w:val="0"/>
      <w:divBdr>
        <w:top w:val="none" w:sz="0" w:space="0" w:color="auto"/>
        <w:left w:val="none" w:sz="0" w:space="0" w:color="auto"/>
        <w:bottom w:val="none" w:sz="0" w:space="0" w:color="auto"/>
        <w:right w:val="none" w:sz="0" w:space="0" w:color="auto"/>
      </w:divBdr>
    </w:div>
    <w:div w:id="1890458192">
      <w:bodyDiv w:val="1"/>
      <w:marLeft w:val="0"/>
      <w:marRight w:val="0"/>
      <w:marTop w:val="0"/>
      <w:marBottom w:val="0"/>
      <w:divBdr>
        <w:top w:val="none" w:sz="0" w:space="0" w:color="auto"/>
        <w:left w:val="none" w:sz="0" w:space="0" w:color="auto"/>
        <w:bottom w:val="none" w:sz="0" w:space="0" w:color="auto"/>
        <w:right w:val="none" w:sz="0" w:space="0" w:color="auto"/>
      </w:divBdr>
    </w:div>
    <w:div w:id="1890460890">
      <w:bodyDiv w:val="1"/>
      <w:marLeft w:val="0"/>
      <w:marRight w:val="0"/>
      <w:marTop w:val="0"/>
      <w:marBottom w:val="0"/>
      <w:divBdr>
        <w:top w:val="none" w:sz="0" w:space="0" w:color="auto"/>
        <w:left w:val="none" w:sz="0" w:space="0" w:color="auto"/>
        <w:bottom w:val="none" w:sz="0" w:space="0" w:color="auto"/>
        <w:right w:val="none" w:sz="0" w:space="0" w:color="auto"/>
      </w:divBdr>
    </w:div>
    <w:div w:id="1890531441">
      <w:bodyDiv w:val="1"/>
      <w:marLeft w:val="0"/>
      <w:marRight w:val="0"/>
      <w:marTop w:val="0"/>
      <w:marBottom w:val="0"/>
      <w:divBdr>
        <w:top w:val="none" w:sz="0" w:space="0" w:color="auto"/>
        <w:left w:val="none" w:sz="0" w:space="0" w:color="auto"/>
        <w:bottom w:val="none" w:sz="0" w:space="0" w:color="auto"/>
        <w:right w:val="none" w:sz="0" w:space="0" w:color="auto"/>
      </w:divBdr>
    </w:div>
    <w:div w:id="1890722383">
      <w:bodyDiv w:val="1"/>
      <w:marLeft w:val="0"/>
      <w:marRight w:val="0"/>
      <w:marTop w:val="0"/>
      <w:marBottom w:val="0"/>
      <w:divBdr>
        <w:top w:val="none" w:sz="0" w:space="0" w:color="auto"/>
        <w:left w:val="none" w:sz="0" w:space="0" w:color="auto"/>
        <w:bottom w:val="none" w:sz="0" w:space="0" w:color="auto"/>
        <w:right w:val="none" w:sz="0" w:space="0" w:color="auto"/>
      </w:divBdr>
    </w:div>
    <w:div w:id="1890876231">
      <w:bodyDiv w:val="1"/>
      <w:marLeft w:val="0"/>
      <w:marRight w:val="0"/>
      <w:marTop w:val="0"/>
      <w:marBottom w:val="0"/>
      <w:divBdr>
        <w:top w:val="none" w:sz="0" w:space="0" w:color="auto"/>
        <w:left w:val="none" w:sz="0" w:space="0" w:color="auto"/>
        <w:bottom w:val="none" w:sz="0" w:space="0" w:color="auto"/>
        <w:right w:val="none" w:sz="0" w:space="0" w:color="auto"/>
      </w:divBdr>
    </w:div>
    <w:div w:id="1890989180">
      <w:bodyDiv w:val="1"/>
      <w:marLeft w:val="0"/>
      <w:marRight w:val="0"/>
      <w:marTop w:val="0"/>
      <w:marBottom w:val="0"/>
      <w:divBdr>
        <w:top w:val="none" w:sz="0" w:space="0" w:color="auto"/>
        <w:left w:val="none" w:sz="0" w:space="0" w:color="auto"/>
        <w:bottom w:val="none" w:sz="0" w:space="0" w:color="auto"/>
        <w:right w:val="none" w:sz="0" w:space="0" w:color="auto"/>
      </w:divBdr>
    </w:div>
    <w:div w:id="1891259140">
      <w:bodyDiv w:val="1"/>
      <w:marLeft w:val="0"/>
      <w:marRight w:val="0"/>
      <w:marTop w:val="0"/>
      <w:marBottom w:val="0"/>
      <w:divBdr>
        <w:top w:val="none" w:sz="0" w:space="0" w:color="auto"/>
        <w:left w:val="none" w:sz="0" w:space="0" w:color="auto"/>
        <w:bottom w:val="none" w:sz="0" w:space="0" w:color="auto"/>
        <w:right w:val="none" w:sz="0" w:space="0" w:color="auto"/>
      </w:divBdr>
    </w:div>
    <w:div w:id="1891454989">
      <w:bodyDiv w:val="1"/>
      <w:marLeft w:val="0"/>
      <w:marRight w:val="0"/>
      <w:marTop w:val="0"/>
      <w:marBottom w:val="0"/>
      <w:divBdr>
        <w:top w:val="none" w:sz="0" w:space="0" w:color="auto"/>
        <w:left w:val="none" w:sz="0" w:space="0" w:color="auto"/>
        <w:bottom w:val="none" w:sz="0" w:space="0" w:color="auto"/>
        <w:right w:val="none" w:sz="0" w:space="0" w:color="auto"/>
      </w:divBdr>
    </w:div>
    <w:div w:id="1891455791">
      <w:bodyDiv w:val="1"/>
      <w:marLeft w:val="0"/>
      <w:marRight w:val="0"/>
      <w:marTop w:val="0"/>
      <w:marBottom w:val="0"/>
      <w:divBdr>
        <w:top w:val="none" w:sz="0" w:space="0" w:color="auto"/>
        <w:left w:val="none" w:sz="0" w:space="0" w:color="auto"/>
        <w:bottom w:val="none" w:sz="0" w:space="0" w:color="auto"/>
        <w:right w:val="none" w:sz="0" w:space="0" w:color="auto"/>
      </w:divBdr>
    </w:div>
    <w:div w:id="1891501332">
      <w:bodyDiv w:val="1"/>
      <w:marLeft w:val="0"/>
      <w:marRight w:val="0"/>
      <w:marTop w:val="0"/>
      <w:marBottom w:val="0"/>
      <w:divBdr>
        <w:top w:val="none" w:sz="0" w:space="0" w:color="auto"/>
        <w:left w:val="none" w:sz="0" w:space="0" w:color="auto"/>
        <w:bottom w:val="none" w:sz="0" w:space="0" w:color="auto"/>
        <w:right w:val="none" w:sz="0" w:space="0" w:color="auto"/>
      </w:divBdr>
    </w:div>
    <w:div w:id="1891526743">
      <w:bodyDiv w:val="1"/>
      <w:marLeft w:val="0"/>
      <w:marRight w:val="0"/>
      <w:marTop w:val="0"/>
      <w:marBottom w:val="0"/>
      <w:divBdr>
        <w:top w:val="none" w:sz="0" w:space="0" w:color="auto"/>
        <w:left w:val="none" w:sz="0" w:space="0" w:color="auto"/>
        <w:bottom w:val="none" w:sz="0" w:space="0" w:color="auto"/>
        <w:right w:val="none" w:sz="0" w:space="0" w:color="auto"/>
      </w:divBdr>
    </w:div>
    <w:div w:id="1891527508">
      <w:bodyDiv w:val="1"/>
      <w:marLeft w:val="0"/>
      <w:marRight w:val="0"/>
      <w:marTop w:val="0"/>
      <w:marBottom w:val="0"/>
      <w:divBdr>
        <w:top w:val="none" w:sz="0" w:space="0" w:color="auto"/>
        <w:left w:val="none" w:sz="0" w:space="0" w:color="auto"/>
        <w:bottom w:val="none" w:sz="0" w:space="0" w:color="auto"/>
        <w:right w:val="none" w:sz="0" w:space="0" w:color="auto"/>
      </w:divBdr>
    </w:div>
    <w:div w:id="1891575083">
      <w:bodyDiv w:val="1"/>
      <w:marLeft w:val="0"/>
      <w:marRight w:val="0"/>
      <w:marTop w:val="0"/>
      <w:marBottom w:val="0"/>
      <w:divBdr>
        <w:top w:val="none" w:sz="0" w:space="0" w:color="auto"/>
        <w:left w:val="none" w:sz="0" w:space="0" w:color="auto"/>
        <w:bottom w:val="none" w:sz="0" w:space="0" w:color="auto"/>
        <w:right w:val="none" w:sz="0" w:space="0" w:color="auto"/>
      </w:divBdr>
    </w:div>
    <w:div w:id="1891764613">
      <w:bodyDiv w:val="1"/>
      <w:marLeft w:val="0"/>
      <w:marRight w:val="0"/>
      <w:marTop w:val="0"/>
      <w:marBottom w:val="0"/>
      <w:divBdr>
        <w:top w:val="none" w:sz="0" w:space="0" w:color="auto"/>
        <w:left w:val="none" w:sz="0" w:space="0" w:color="auto"/>
        <w:bottom w:val="none" w:sz="0" w:space="0" w:color="auto"/>
        <w:right w:val="none" w:sz="0" w:space="0" w:color="auto"/>
      </w:divBdr>
    </w:div>
    <w:div w:id="1891770751">
      <w:bodyDiv w:val="1"/>
      <w:marLeft w:val="0"/>
      <w:marRight w:val="0"/>
      <w:marTop w:val="0"/>
      <w:marBottom w:val="0"/>
      <w:divBdr>
        <w:top w:val="none" w:sz="0" w:space="0" w:color="auto"/>
        <w:left w:val="none" w:sz="0" w:space="0" w:color="auto"/>
        <w:bottom w:val="none" w:sz="0" w:space="0" w:color="auto"/>
        <w:right w:val="none" w:sz="0" w:space="0" w:color="auto"/>
      </w:divBdr>
    </w:div>
    <w:div w:id="1891990437">
      <w:bodyDiv w:val="1"/>
      <w:marLeft w:val="0"/>
      <w:marRight w:val="0"/>
      <w:marTop w:val="0"/>
      <w:marBottom w:val="0"/>
      <w:divBdr>
        <w:top w:val="none" w:sz="0" w:space="0" w:color="auto"/>
        <w:left w:val="none" w:sz="0" w:space="0" w:color="auto"/>
        <w:bottom w:val="none" w:sz="0" w:space="0" w:color="auto"/>
        <w:right w:val="none" w:sz="0" w:space="0" w:color="auto"/>
      </w:divBdr>
    </w:div>
    <w:div w:id="1891991094">
      <w:bodyDiv w:val="1"/>
      <w:marLeft w:val="0"/>
      <w:marRight w:val="0"/>
      <w:marTop w:val="0"/>
      <w:marBottom w:val="0"/>
      <w:divBdr>
        <w:top w:val="none" w:sz="0" w:space="0" w:color="auto"/>
        <w:left w:val="none" w:sz="0" w:space="0" w:color="auto"/>
        <w:bottom w:val="none" w:sz="0" w:space="0" w:color="auto"/>
        <w:right w:val="none" w:sz="0" w:space="0" w:color="auto"/>
      </w:divBdr>
    </w:div>
    <w:div w:id="1892034272">
      <w:bodyDiv w:val="1"/>
      <w:marLeft w:val="0"/>
      <w:marRight w:val="0"/>
      <w:marTop w:val="0"/>
      <w:marBottom w:val="0"/>
      <w:divBdr>
        <w:top w:val="none" w:sz="0" w:space="0" w:color="auto"/>
        <w:left w:val="none" w:sz="0" w:space="0" w:color="auto"/>
        <w:bottom w:val="none" w:sz="0" w:space="0" w:color="auto"/>
        <w:right w:val="none" w:sz="0" w:space="0" w:color="auto"/>
      </w:divBdr>
    </w:div>
    <w:div w:id="1892306276">
      <w:bodyDiv w:val="1"/>
      <w:marLeft w:val="0"/>
      <w:marRight w:val="0"/>
      <w:marTop w:val="0"/>
      <w:marBottom w:val="0"/>
      <w:divBdr>
        <w:top w:val="none" w:sz="0" w:space="0" w:color="auto"/>
        <w:left w:val="none" w:sz="0" w:space="0" w:color="auto"/>
        <w:bottom w:val="none" w:sz="0" w:space="0" w:color="auto"/>
        <w:right w:val="none" w:sz="0" w:space="0" w:color="auto"/>
      </w:divBdr>
    </w:div>
    <w:div w:id="1892425086">
      <w:bodyDiv w:val="1"/>
      <w:marLeft w:val="0"/>
      <w:marRight w:val="0"/>
      <w:marTop w:val="0"/>
      <w:marBottom w:val="0"/>
      <w:divBdr>
        <w:top w:val="none" w:sz="0" w:space="0" w:color="auto"/>
        <w:left w:val="none" w:sz="0" w:space="0" w:color="auto"/>
        <w:bottom w:val="none" w:sz="0" w:space="0" w:color="auto"/>
        <w:right w:val="none" w:sz="0" w:space="0" w:color="auto"/>
      </w:divBdr>
    </w:div>
    <w:div w:id="1892763079">
      <w:bodyDiv w:val="1"/>
      <w:marLeft w:val="0"/>
      <w:marRight w:val="0"/>
      <w:marTop w:val="0"/>
      <w:marBottom w:val="0"/>
      <w:divBdr>
        <w:top w:val="none" w:sz="0" w:space="0" w:color="auto"/>
        <w:left w:val="none" w:sz="0" w:space="0" w:color="auto"/>
        <w:bottom w:val="none" w:sz="0" w:space="0" w:color="auto"/>
        <w:right w:val="none" w:sz="0" w:space="0" w:color="auto"/>
      </w:divBdr>
    </w:div>
    <w:div w:id="1892766043">
      <w:bodyDiv w:val="1"/>
      <w:marLeft w:val="0"/>
      <w:marRight w:val="0"/>
      <w:marTop w:val="0"/>
      <w:marBottom w:val="0"/>
      <w:divBdr>
        <w:top w:val="none" w:sz="0" w:space="0" w:color="auto"/>
        <w:left w:val="none" w:sz="0" w:space="0" w:color="auto"/>
        <w:bottom w:val="none" w:sz="0" w:space="0" w:color="auto"/>
        <w:right w:val="none" w:sz="0" w:space="0" w:color="auto"/>
      </w:divBdr>
    </w:div>
    <w:div w:id="1893037918">
      <w:bodyDiv w:val="1"/>
      <w:marLeft w:val="0"/>
      <w:marRight w:val="0"/>
      <w:marTop w:val="0"/>
      <w:marBottom w:val="0"/>
      <w:divBdr>
        <w:top w:val="none" w:sz="0" w:space="0" w:color="auto"/>
        <w:left w:val="none" w:sz="0" w:space="0" w:color="auto"/>
        <w:bottom w:val="none" w:sz="0" w:space="0" w:color="auto"/>
        <w:right w:val="none" w:sz="0" w:space="0" w:color="auto"/>
      </w:divBdr>
    </w:div>
    <w:div w:id="1893225429">
      <w:bodyDiv w:val="1"/>
      <w:marLeft w:val="0"/>
      <w:marRight w:val="0"/>
      <w:marTop w:val="0"/>
      <w:marBottom w:val="0"/>
      <w:divBdr>
        <w:top w:val="none" w:sz="0" w:space="0" w:color="auto"/>
        <w:left w:val="none" w:sz="0" w:space="0" w:color="auto"/>
        <w:bottom w:val="none" w:sz="0" w:space="0" w:color="auto"/>
        <w:right w:val="none" w:sz="0" w:space="0" w:color="auto"/>
      </w:divBdr>
    </w:div>
    <w:div w:id="1893417850">
      <w:bodyDiv w:val="1"/>
      <w:marLeft w:val="0"/>
      <w:marRight w:val="0"/>
      <w:marTop w:val="0"/>
      <w:marBottom w:val="0"/>
      <w:divBdr>
        <w:top w:val="none" w:sz="0" w:space="0" w:color="auto"/>
        <w:left w:val="none" w:sz="0" w:space="0" w:color="auto"/>
        <w:bottom w:val="none" w:sz="0" w:space="0" w:color="auto"/>
        <w:right w:val="none" w:sz="0" w:space="0" w:color="auto"/>
      </w:divBdr>
    </w:div>
    <w:div w:id="1893733150">
      <w:bodyDiv w:val="1"/>
      <w:marLeft w:val="0"/>
      <w:marRight w:val="0"/>
      <w:marTop w:val="0"/>
      <w:marBottom w:val="0"/>
      <w:divBdr>
        <w:top w:val="none" w:sz="0" w:space="0" w:color="auto"/>
        <w:left w:val="none" w:sz="0" w:space="0" w:color="auto"/>
        <w:bottom w:val="none" w:sz="0" w:space="0" w:color="auto"/>
        <w:right w:val="none" w:sz="0" w:space="0" w:color="auto"/>
      </w:divBdr>
    </w:div>
    <w:div w:id="1893885491">
      <w:bodyDiv w:val="1"/>
      <w:marLeft w:val="0"/>
      <w:marRight w:val="0"/>
      <w:marTop w:val="0"/>
      <w:marBottom w:val="0"/>
      <w:divBdr>
        <w:top w:val="none" w:sz="0" w:space="0" w:color="auto"/>
        <w:left w:val="none" w:sz="0" w:space="0" w:color="auto"/>
        <w:bottom w:val="none" w:sz="0" w:space="0" w:color="auto"/>
        <w:right w:val="none" w:sz="0" w:space="0" w:color="auto"/>
      </w:divBdr>
    </w:div>
    <w:div w:id="1893955028">
      <w:bodyDiv w:val="1"/>
      <w:marLeft w:val="0"/>
      <w:marRight w:val="0"/>
      <w:marTop w:val="0"/>
      <w:marBottom w:val="0"/>
      <w:divBdr>
        <w:top w:val="none" w:sz="0" w:space="0" w:color="auto"/>
        <w:left w:val="none" w:sz="0" w:space="0" w:color="auto"/>
        <w:bottom w:val="none" w:sz="0" w:space="0" w:color="auto"/>
        <w:right w:val="none" w:sz="0" w:space="0" w:color="auto"/>
      </w:divBdr>
    </w:div>
    <w:div w:id="1893996994">
      <w:bodyDiv w:val="1"/>
      <w:marLeft w:val="0"/>
      <w:marRight w:val="0"/>
      <w:marTop w:val="0"/>
      <w:marBottom w:val="0"/>
      <w:divBdr>
        <w:top w:val="none" w:sz="0" w:space="0" w:color="auto"/>
        <w:left w:val="none" w:sz="0" w:space="0" w:color="auto"/>
        <w:bottom w:val="none" w:sz="0" w:space="0" w:color="auto"/>
        <w:right w:val="none" w:sz="0" w:space="0" w:color="auto"/>
      </w:divBdr>
    </w:div>
    <w:div w:id="1894124041">
      <w:bodyDiv w:val="1"/>
      <w:marLeft w:val="0"/>
      <w:marRight w:val="0"/>
      <w:marTop w:val="0"/>
      <w:marBottom w:val="0"/>
      <w:divBdr>
        <w:top w:val="none" w:sz="0" w:space="0" w:color="auto"/>
        <w:left w:val="none" w:sz="0" w:space="0" w:color="auto"/>
        <w:bottom w:val="none" w:sz="0" w:space="0" w:color="auto"/>
        <w:right w:val="none" w:sz="0" w:space="0" w:color="auto"/>
      </w:divBdr>
    </w:div>
    <w:div w:id="1894149148">
      <w:bodyDiv w:val="1"/>
      <w:marLeft w:val="0"/>
      <w:marRight w:val="0"/>
      <w:marTop w:val="0"/>
      <w:marBottom w:val="0"/>
      <w:divBdr>
        <w:top w:val="none" w:sz="0" w:space="0" w:color="auto"/>
        <w:left w:val="none" w:sz="0" w:space="0" w:color="auto"/>
        <w:bottom w:val="none" w:sz="0" w:space="0" w:color="auto"/>
        <w:right w:val="none" w:sz="0" w:space="0" w:color="auto"/>
      </w:divBdr>
    </w:div>
    <w:div w:id="1894267578">
      <w:bodyDiv w:val="1"/>
      <w:marLeft w:val="0"/>
      <w:marRight w:val="0"/>
      <w:marTop w:val="0"/>
      <w:marBottom w:val="0"/>
      <w:divBdr>
        <w:top w:val="none" w:sz="0" w:space="0" w:color="auto"/>
        <w:left w:val="none" w:sz="0" w:space="0" w:color="auto"/>
        <w:bottom w:val="none" w:sz="0" w:space="0" w:color="auto"/>
        <w:right w:val="none" w:sz="0" w:space="0" w:color="auto"/>
      </w:divBdr>
    </w:div>
    <w:div w:id="1894270625">
      <w:bodyDiv w:val="1"/>
      <w:marLeft w:val="0"/>
      <w:marRight w:val="0"/>
      <w:marTop w:val="0"/>
      <w:marBottom w:val="0"/>
      <w:divBdr>
        <w:top w:val="none" w:sz="0" w:space="0" w:color="auto"/>
        <w:left w:val="none" w:sz="0" w:space="0" w:color="auto"/>
        <w:bottom w:val="none" w:sz="0" w:space="0" w:color="auto"/>
        <w:right w:val="none" w:sz="0" w:space="0" w:color="auto"/>
      </w:divBdr>
    </w:div>
    <w:div w:id="1894461179">
      <w:bodyDiv w:val="1"/>
      <w:marLeft w:val="0"/>
      <w:marRight w:val="0"/>
      <w:marTop w:val="0"/>
      <w:marBottom w:val="0"/>
      <w:divBdr>
        <w:top w:val="none" w:sz="0" w:space="0" w:color="auto"/>
        <w:left w:val="none" w:sz="0" w:space="0" w:color="auto"/>
        <w:bottom w:val="none" w:sz="0" w:space="0" w:color="auto"/>
        <w:right w:val="none" w:sz="0" w:space="0" w:color="auto"/>
      </w:divBdr>
    </w:div>
    <w:div w:id="1894540931">
      <w:bodyDiv w:val="1"/>
      <w:marLeft w:val="0"/>
      <w:marRight w:val="0"/>
      <w:marTop w:val="0"/>
      <w:marBottom w:val="0"/>
      <w:divBdr>
        <w:top w:val="none" w:sz="0" w:space="0" w:color="auto"/>
        <w:left w:val="none" w:sz="0" w:space="0" w:color="auto"/>
        <w:bottom w:val="none" w:sz="0" w:space="0" w:color="auto"/>
        <w:right w:val="none" w:sz="0" w:space="0" w:color="auto"/>
      </w:divBdr>
    </w:div>
    <w:div w:id="1894585303">
      <w:bodyDiv w:val="1"/>
      <w:marLeft w:val="0"/>
      <w:marRight w:val="0"/>
      <w:marTop w:val="0"/>
      <w:marBottom w:val="0"/>
      <w:divBdr>
        <w:top w:val="none" w:sz="0" w:space="0" w:color="auto"/>
        <w:left w:val="none" w:sz="0" w:space="0" w:color="auto"/>
        <w:bottom w:val="none" w:sz="0" w:space="0" w:color="auto"/>
        <w:right w:val="none" w:sz="0" w:space="0" w:color="auto"/>
      </w:divBdr>
    </w:div>
    <w:div w:id="1894610992">
      <w:bodyDiv w:val="1"/>
      <w:marLeft w:val="0"/>
      <w:marRight w:val="0"/>
      <w:marTop w:val="0"/>
      <w:marBottom w:val="0"/>
      <w:divBdr>
        <w:top w:val="none" w:sz="0" w:space="0" w:color="auto"/>
        <w:left w:val="none" w:sz="0" w:space="0" w:color="auto"/>
        <w:bottom w:val="none" w:sz="0" w:space="0" w:color="auto"/>
        <w:right w:val="none" w:sz="0" w:space="0" w:color="auto"/>
      </w:divBdr>
    </w:div>
    <w:div w:id="1894654429">
      <w:bodyDiv w:val="1"/>
      <w:marLeft w:val="0"/>
      <w:marRight w:val="0"/>
      <w:marTop w:val="0"/>
      <w:marBottom w:val="0"/>
      <w:divBdr>
        <w:top w:val="none" w:sz="0" w:space="0" w:color="auto"/>
        <w:left w:val="none" w:sz="0" w:space="0" w:color="auto"/>
        <w:bottom w:val="none" w:sz="0" w:space="0" w:color="auto"/>
        <w:right w:val="none" w:sz="0" w:space="0" w:color="auto"/>
      </w:divBdr>
    </w:div>
    <w:div w:id="1894656140">
      <w:bodyDiv w:val="1"/>
      <w:marLeft w:val="0"/>
      <w:marRight w:val="0"/>
      <w:marTop w:val="0"/>
      <w:marBottom w:val="0"/>
      <w:divBdr>
        <w:top w:val="none" w:sz="0" w:space="0" w:color="auto"/>
        <w:left w:val="none" w:sz="0" w:space="0" w:color="auto"/>
        <w:bottom w:val="none" w:sz="0" w:space="0" w:color="auto"/>
        <w:right w:val="none" w:sz="0" w:space="0" w:color="auto"/>
      </w:divBdr>
    </w:div>
    <w:div w:id="1894656897">
      <w:bodyDiv w:val="1"/>
      <w:marLeft w:val="0"/>
      <w:marRight w:val="0"/>
      <w:marTop w:val="0"/>
      <w:marBottom w:val="0"/>
      <w:divBdr>
        <w:top w:val="none" w:sz="0" w:space="0" w:color="auto"/>
        <w:left w:val="none" w:sz="0" w:space="0" w:color="auto"/>
        <w:bottom w:val="none" w:sz="0" w:space="0" w:color="auto"/>
        <w:right w:val="none" w:sz="0" w:space="0" w:color="auto"/>
      </w:divBdr>
    </w:div>
    <w:div w:id="1894659325">
      <w:bodyDiv w:val="1"/>
      <w:marLeft w:val="0"/>
      <w:marRight w:val="0"/>
      <w:marTop w:val="0"/>
      <w:marBottom w:val="0"/>
      <w:divBdr>
        <w:top w:val="none" w:sz="0" w:space="0" w:color="auto"/>
        <w:left w:val="none" w:sz="0" w:space="0" w:color="auto"/>
        <w:bottom w:val="none" w:sz="0" w:space="0" w:color="auto"/>
        <w:right w:val="none" w:sz="0" w:space="0" w:color="auto"/>
      </w:divBdr>
    </w:div>
    <w:div w:id="1894807600">
      <w:bodyDiv w:val="1"/>
      <w:marLeft w:val="0"/>
      <w:marRight w:val="0"/>
      <w:marTop w:val="0"/>
      <w:marBottom w:val="0"/>
      <w:divBdr>
        <w:top w:val="none" w:sz="0" w:space="0" w:color="auto"/>
        <w:left w:val="none" w:sz="0" w:space="0" w:color="auto"/>
        <w:bottom w:val="none" w:sz="0" w:space="0" w:color="auto"/>
        <w:right w:val="none" w:sz="0" w:space="0" w:color="auto"/>
      </w:divBdr>
    </w:div>
    <w:div w:id="1894853952">
      <w:bodyDiv w:val="1"/>
      <w:marLeft w:val="0"/>
      <w:marRight w:val="0"/>
      <w:marTop w:val="0"/>
      <w:marBottom w:val="0"/>
      <w:divBdr>
        <w:top w:val="none" w:sz="0" w:space="0" w:color="auto"/>
        <w:left w:val="none" w:sz="0" w:space="0" w:color="auto"/>
        <w:bottom w:val="none" w:sz="0" w:space="0" w:color="auto"/>
        <w:right w:val="none" w:sz="0" w:space="0" w:color="auto"/>
      </w:divBdr>
    </w:div>
    <w:div w:id="1894922134">
      <w:bodyDiv w:val="1"/>
      <w:marLeft w:val="0"/>
      <w:marRight w:val="0"/>
      <w:marTop w:val="0"/>
      <w:marBottom w:val="0"/>
      <w:divBdr>
        <w:top w:val="none" w:sz="0" w:space="0" w:color="auto"/>
        <w:left w:val="none" w:sz="0" w:space="0" w:color="auto"/>
        <w:bottom w:val="none" w:sz="0" w:space="0" w:color="auto"/>
        <w:right w:val="none" w:sz="0" w:space="0" w:color="auto"/>
      </w:divBdr>
    </w:div>
    <w:div w:id="1895045854">
      <w:bodyDiv w:val="1"/>
      <w:marLeft w:val="0"/>
      <w:marRight w:val="0"/>
      <w:marTop w:val="0"/>
      <w:marBottom w:val="0"/>
      <w:divBdr>
        <w:top w:val="none" w:sz="0" w:space="0" w:color="auto"/>
        <w:left w:val="none" w:sz="0" w:space="0" w:color="auto"/>
        <w:bottom w:val="none" w:sz="0" w:space="0" w:color="auto"/>
        <w:right w:val="none" w:sz="0" w:space="0" w:color="auto"/>
      </w:divBdr>
    </w:div>
    <w:div w:id="1895118147">
      <w:bodyDiv w:val="1"/>
      <w:marLeft w:val="0"/>
      <w:marRight w:val="0"/>
      <w:marTop w:val="0"/>
      <w:marBottom w:val="0"/>
      <w:divBdr>
        <w:top w:val="none" w:sz="0" w:space="0" w:color="auto"/>
        <w:left w:val="none" w:sz="0" w:space="0" w:color="auto"/>
        <w:bottom w:val="none" w:sz="0" w:space="0" w:color="auto"/>
        <w:right w:val="none" w:sz="0" w:space="0" w:color="auto"/>
      </w:divBdr>
    </w:div>
    <w:div w:id="1895123090">
      <w:bodyDiv w:val="1"/>
      <w:marLeft w:val="0"/>
      <w:marRight w:val="0"/>
      <w:marTop w:val="0"/>
      <w:marBottom w:val="0"/>
      <w:divBdr>
        <w:top w:val="none" w:sz="0" w:space="0" w:color="auto"/>
        <w:left w:val="none" w:sz="0" w:space="0" w:color="auto"/>
        <w:bottom w:val="none" w:sz="0" w:space="0" w:color="auto"/>
        <w:right w:val="none" w:sz="0" w:space="0" w:color="auto"/>
      </w:divBdr>
    </w:div>
    <w:div w:id="1895240712">
      <w:bodyDiv w:val="1"/>
      <w:marLeft w:val="0"/>
      <w:marRight w:val="0"/>
      <w:marTop w:val="0"/>
      <w:marBottom w:val="0"/>
      <w:divBdr>
        <w:top w:val="none" w:sz="0" w:space="0" w:color="auto"/>
        <w:left w:val="none" w:sz="0" w:space="0" w:color="auto"/>
        <w:bottom w:val="none" w:sz="0" w:space="0" w:color="auto"/>
        <w:right w:val="none" w:sz="0" w:space="0" w:color="auto"/>
      </w:divBdr>
    </w:div>
    <w:div w:id="1895313392">
      <w:bodyDiv w:val="1"/>
      <w:marLeft w:val="0"/>
      <w:marRight w:val="0"/>
      <w:marTop w:val="0"/>
      <w:marBottom w:val="0"/>
      <w:divBdr>
        <w:top w:val="none" w:sz="0" w:space="0" w:color="auto"/>
        <w:left w:val="none" w:sz="0" w:space="0" w:color="auto"/>
        <w:bottom w:val="none" w:sz="0" w:space="0" w:color="auto"/>
        <w:right w:val="none" w:sz="0" w:space="0" w:color="auto"/>
      </w:divBdr>
    </w:div>
    <w:div w:id="1895314348">
      <w:bodyDiv w:val="1"/>
      <w:marLeft w:val="0"/>
      <w:marRight w:val="0"/>
      <w:marTop w:val="0"/>
      <w:marBottom w:val="0"/>
      <w:divBdr>
        <w:top w:val="none" w:sz="0" w:space="0" w:color="auto"/>
        <w:left w:val="none" w:sz="0" w:space="0" w:color="auto"/>
        <w:bottom w:val="none" w:sz="0" w:space="0" w:color="auto"/>
        <w:right w:val="none" w:sz="0" w:space="0" w:color="auto"/>
      </w:divBdr>
    </w:div>
    <w:div w:id="1895464581">
      <w:bodyDiv w:val="1"/>
      <w:marLeft w:val="0"/>
      <w:marRight w:val="0"/>
      <w:marTop w:val="0"/>
      <w:marBottom w:val="0"/>
      <w:divBdr>
        <w:top w:val="none" w:sz="0" w:space="0" w:color="auto"/>
        <w:left w:val="none" w:sz="0" w:space="0" w:color="auto"/>
        <w:bottom w:val="none" w:sz="0" w:space="0" w:color="auto"/>
        <w:right w:val="none" w:sz="0" w:space="0" w:color="auto"/>
      </w:divBdr>
    </w:div>
    <w:div w:id="1895696503">
      <w:bodyDiv w:val="1"/>
      <w:marLeft w:val="0"/>
      <w:marRight w:val="0"/>
      <w:marTop w:val="0"/>
      <w:marBottom w:val="0"/>
      <w:divBdr>
        <w:top w:val="none" w:sz="0" w:space="0" w:color="auto"/>
        <w:left w:val="none" w:sz="0" w:space="0" w:color="auto"/>
        <w:bottom w:val="none" w:sz="0" w:space="0" w:color="auto"/>
        <w:right w:val="none" w:sz="0" w:space="0" w:color="auto"/>
      </w:divBdr>
    </w:div>
    <w:div w:id="1895696518">
      <w:bodyDiv w:val="1"/>
      <w:marLeft w:val="0"/>
      <w:marRight w:val="0"/>
      <w:marTop w:val="0"/>
      <w:marBottom w:val="0"/>
      <w:divBdr>
        <w:top w:val="none" w:sz="0" w:space="0" w:color="auto"/>
        <w:left w:val="none" w:sz="0" w:space="0" w:color="auto"/>
        <w:bottom w:val="none" w:sz="0" w:space="0" w:color="auto"/>
        <w:right w:val="none" w:sz="0" w:space="0" w:color="auto"/>
      </w:divBdr>
    </w:div>
    <w:div w:id="1895773336">
      <w:bodyDiv w:val="1"/>
      <w:marLeft w:val="0"/>
      <w:marRight w:val="0"/>
      <w:marTop w:val="0"/>
      <w:marBottom w:val="0"/>
      <w:divBdr>
        <w:top w:val="none" w:sz="0" w:space="0" w:color="auto"/>
        <w:left w:val="none" w:sz="0" w:space="0" w:color="auto"/>
        <w:bottom w:val="none" w:sz="0" w:space="0" w:color="auto"/>
        <w:right w:val="none" w:sz="0" w:space="0" w:color="auto"/>
      </w:divBdr>
    </w:div>
    <w:div w:id="1895962417">
      <w:bodyDiv w:val="1"/>
      <w:marLeft w:val="0"/>
      <w:marRight w:val="0"/>
      <w:marTop w:val="0"/>
      <w:marBottom w:val="0"/>
      <w:divBdr>
        <w:top w:val="none" w:sz="0" w:space="0" w:color="auto"/>
        <w:left w:val="none" w:sz="0" w:space="0" w:color="auto"/>
        <w:bottom w:val="none" w:sz="0" w:space="0" w:color="auto"/>
        <w:right w:val="none" w:sz="0" w:space="0" w:color="auto"/>
      </w:divBdr>
    </w:div>
    <w:div w:id="1895964201">
      <w:bodyDiv w:val="1"/>
      <w:marLeft w:val="0"/>
      <w:marRight w:val="0"/>
      <w:marTop w:val="0"/>
      <w:marBottom w:val="0"/>
      <w:divBdr>
        <w:top w:val="none" w:sz="0" w:space="0" w:color="auto"/>
        <w:left w:val="none" w:sz="0" w:space="0" w:color="auto"/>
        <w:bottom w:val="none" w:sz="0" w:space="0" w:color="auto"/>
        <w:right w:val="none" w:sz="0" w:space="0" w:color="auto"/>
      </w:divBdr>
    </w:div>
    <w:div w:id="1896039543">
      <w:bodyDiv w:val="1"/>
      <w:marLeft w:val="0"/>
      <w:marRight w:val="0"/>
      <w:marTop w:val="0"/>
      <w:marBottom w:val="0"/>
      <w:divBdr>
        <w:top w:val="none" w:sz="0" w:space="0" w:color="auto"/>
        <w:left w:val="none" w:sz="0" w:space="0" w:color="auto"/>
        <w:bottom w:val="none" w:sz="0" w:space="0" w:color="auto"/>
        <w:right w:val="none" w:sz="0" w:space="0" w:color="auto"/>
      </w:divBdr>
    </w:div>
    <w:div w:id="1896043455">
      <w:bodyDiv w:val="1"/>
      <w:marLeft w:val="0"/>
      <w:marRight w:val="0"/>
      <w:marTop w:val="0"/>
      <w:marBottom w:val="0"/>
      <w:divBdr>
        <w:top w:val="none" w:sz="0" w:space="0" w:color="auto"/>
        <w:left w:val="none" w:sz="0" w:space="0" w:color="auto"/>
        <w:bottom w:val="none" w:sz="0" w:space="0" w:color="auto"/>
        <w:right w:val="none" w:sz="0" w:space="0" w:color="auto"/>
      </w:divBdr>
    </w:div>
    <w:div w:id="1896089606">
      <w:bodyDiv w:val="1"/>
      <w:marLeft w:val="0"/>
      <w:marRight w:val="0"/>
      <w:marTop w:val="0"/>
      <w:marBottom w:val="0"/>
      <w:divBdr>
        <w:top w:val="none" w:sz="0" w:space="0" w:color="auto"/>
        <w:left w:val="none" w:sz="0" w:space="0" w:color="auto"/>
        <w:bottom w:val="none" w:sz="0" w:space="0" w:color="auto"/>
        <w:right w:val="none" w:sz="0" w:space="0" w:color="auto"/>
      </w:divBdr>
    </w:div>
    <w:div w:id="1896232068">
      <w:bodyDiv w:val="1"/>
      <w:marLeft w:val="0"/>
      <w:marRight w:val="0"/>
      <w:marTop w:val="0"/>
      <w:marBottom w:val="0"/>
      <w:divBdr>
        <w:top w:val="none" w:sz="0" w:space="0" w:color="auto"/>
        <w:left w:val="none" w:sz="0" w:space="0" w:color="auto"/>
        <w:bottom w:val="none" w:sz="0" w:space="0" w:color="auto"/>
        <w:right w:val="none" w:sz="0" w:space="0" w:color="auto"/>
      </w:divBdr>
    </w:div>
    <w:div w:id="1896307863">
      <w:bodyDiv w:val="1"/>
      <w:marLeft w:val="0"/>
      <w:marRight w:val="0"/>
      <w:marTop w:val="0"/>
      <w:marBottom w:val="0"/>
      <w:divBdr>
        <w:top w:val="none" w:sz="0" w:space="0" w:color="auto"/>
        <w:left w:val="none" w:sz="0" w:space="0" w:color="auto"/>
        <w:bottom w:val="none" w:sz="0" w:space="0" w:color="auto"/>
        <w:right w:val="none" w:sz="0" w:space="0" w:color="auto"/>
      </w:divBdr>
    </w:div>
    <w:div w:id="1896502737">
      <w:bodyDiv w:val="1"/>
      <w:marLeft w:val="0"/>
      <w:marRight w:val="0"/>
      <w:marTop w:val="0"/>
      <w:marBottom w:val="0"/>
      <w:divBdr>
        <w:top w:val="none" w:sz="0" w:space="0" w:color="auto"/>
        <w:left w:val="none" w:sz="0" w:space="0" w:color="auto"/>
        <w:bottom w:val="none" w:sz="0" w:space="0" w:color="auto"/>
        <w:right w:val="none" w:sz="0" w:space="0" w:color="auto"/>
      </w:divBdr>
    </w:div>
    <w:div w:id="1896742981">
      <w:bodyDiv w:val="1"/>
      <w:marLeft w:val="0"/>
      <w:marRight w:val="0"/>
      <w:marTop w:val="0"/>
      <w:marBottom w:val="0"/>
      <w:divBdr>
        <w:top w:val="none" w:sz="0" w:space="0" w:color="auto"/>
        <w:left w:val="none" w:sz="0" w:space="0" w:color="auto"/>
        <w:bottom w:val="none" w:sz="0" w:space="0" w:color="auto"/>
        <w:right w:val="none" w:sz="0" w:space="0" w:color="auto"/>
      </w:divBdr>
    </w:div>
    <w:div w:id="1896774361">
      <w:bodyDiv w:val="1"/>
      <w:marLeft w:val="0"/>
      <w:marRight w:val="0"/>
      <w:marTop w:val="0"/>
      <w:marBottom w:val="0"/>
      <w:divBdr>
        <w:top w:val="none" w:sz="0" w:space="0" w:color="auto"/>
        <w:left w:val="none" w:sz="0" w:space="0" w:color="auto"/>
        <w:bottom w:val="none" w:sz="0" w:space="0" w:color="auto"/>
        <w:right w:val="none" w:sz="0" w:space="0" w:color="auto"/>
      </w:divBdr>
    </w:div>
    <w:div w:id="1896892255">
      <w:bodyDiv w:val="1"/>
      <w:marLeft w:val="0"/>
      <w:marRight w:val="0"/>
      <w:marTop w:val="0"/>
      <w:marBottom w:val="0"/>
      <w:divBdr>
        <w:top w:val="none" w:sz="0" w:space="0" w:color="auto"/>
        <w:left w:val="none" w:sz="0" w:space="0" w:color="auto"/>
        <w:bottom w:val="none" w:sz="0" w:space="0" w:color="auto"/>
        <w:right w:val="none" w:sz="0" w:space="0" w:color="auto"/>
      </w:divBdr>
    </w:div>
    <w:div w:id="1897082781">
      <w:bodyDiv w:val="1"/>
      <w:marLeft w:val="0"/>
      <w:marRight w:val="0"/>
      <w:marTop w:val="0"/>
      <w:marBottom w:val="0"/>
      <w:divBdr>
        <w:top w:val="none" w:sz="0" w:space="0" w:color="auto"/>
        <w:left w:val="none" w:sz="0" w:space="0" w:color="auto"/>
        <w:bottom w:val="none" w:sz="0" w:space="0" w:color="auto"/>
        <w:right w:val="none" w:sz="0" w:space="0" w:color="auto"/>
      </w:divBdr>
    </w:div>
    <w:div w:id="1897667405">
      <w:bodyDiv w:val="1"/>
      <w:marLeft w:val="0"/>
      <w:marRight w:val="0"/>
      <w:marTop w:val="0"/>
      <w:marBottom w:val="0"/>
      <w:divBdr>
        <w:top w:val="none" w:sz="0" w:space="0" w:color="auto"/>
        <w:left w:val="none" w:sz="0" w:space="0" w:color="auto"/>
        <w:bottom w:val="none" w:sz="0" w:space="0" w:color="auto"/>
        <w:right w:val="none" w:sz="0" w:space="0" w:color="auto"/>
      </w:divBdr>
    </w:div>
    <w:div w:id="1897667980">
      <w:bodyDiv w:val="1"/>
      <w:marLeft w:val="0"/>
      <w:marRight w:val="0"/>
      <w:marTop w:val="0"/>
      <w:marBottom w:val="0"/>
      <w:divBdr>
        <w:top w:val="none" w:sz="0" w:space="0" w:color="auto"/>
        <w:left w:val="none" w:sz="0" w:space="0" w:color="auto"/>
        <w:bottom w:val="none" w:sz="0" w:space="0" w:color="auto"/>
        <w:right w:val="none" w:sz="0" w:space="0" w:color="auto"/>
      </w:divBdr>
    </w:div>
    <w:div w:id="1897888034">
      <w:bodyDiv w:val="1"/>
      <w:marLeft w:val="0"/>
      <w:marRight w:val="0"/>
      <w:marTop w:val="0"/>
      <w:marBottom w:val="0"/>
      <w:divBdr>
        <w:top w:val="none" w:sz="0" w:space="0" w:color="auto"/>
        <w:left w:val="none" w:sz="0" w:space="0" w:color="auto"/>
        <w:bottom w:val="none" w:sz="0" w:space="0" w:color="auto"/>
        <w:right w:val="none" w:sz="0" w:space="0" w:color="auto"/>
      </w:divBdr>
    </w:div>
    <w:div w:id="1897931731">
      <w:bodyDiv w:val="1"/>
      <w:marLeft w:val="0"/>
      <w:marRight w:val="0"/>
      <w:marTop w:val="0"/>
      <w:marBottom w:val="0"/>
      <w:divBdr>
        <w:top w:val="none" w:sz="0" w:space="0" w:color="auto"/>
        <w:left w:val="none" w:sz="0" w:space="0" w:color="auto"/>
        <w:bottom w:val="none" w:sz="0" w:space="0" w:color="auto"/>
        <w:right w:val="none" w:sz="0" w:space="0" w:color="auto"/>
      </w:divBdr>
    </w:div>
    <w:div w:id="1898004274">
      <w:bodyDiv w:val="1"/>
      <w:marLeft w:val="0"/>
      <w:marRight w:val="0"/>
      <w:marTop w:val="0"/>
      <w:marBottom w:val="0"/>
      <w:divBdr>
        <w:top w:val="none" w:sz="0" w:space="0" w:color="auto"/>
        <w:left w:val="none" w:sz="0" w:space="0" w:color="auto"/>
        <w:bottom w:val="none" w:sz="0" w:space="0" w:color="auto"/>
        <w:right w:val="none" w:sz="0" w:space="0" w:color="auto"/>
      </w:divBdr>
    </w:div>
    <w:div w:id="1898004573">
      <w:bodyDiv w:val="1"/>
      <w:marLeft w:val="0"/>
      <w:marRight w:val="0"/>
      <w:marTop w:val="0"/>
      <w:marBottom w:val="0"/>
      <w:divBdr>
        <w:top w:val="none" w:sz="0" w:space="0" w:color="auto"/>
        <w:left w:val="none" w:sz="0" w:space="0" w:color="auto"/>
        <w:bottom w:val="none" w:sz="0" w:space="0" w:color="auto"/>
        <w:right w:val="none" w:sz="0" w:space="0" w:color="auto"/>
      </w:divBdr>
    </w:div>
    <w:div w:id="1898054840">
      <w:bodyDiv w:val="1"/>
      <w:marLeft w:val="0"/>
      <w:marRight w:val="0"/>
      <w:marTop w:val="0"/>
      <w:marBottom w:val="0"/>
      <w:divBdr>
        <w:top w:val="none" w:sz="0" w:space="0" w:color="auto"/>
        <w:left w:val="none" w:sz="0" w:space="0" w:color="auto"/>
        <w:bottom w:val="none" w:sz="0" w:space="0" w:color="auto"/>
        <w:right w:val="none" w:sz="0" w:space="0" w:color="auto"/>
      </w:divBdr>
    </w:div>
    <w:div w:id="1898319804">
      <w:bodyDiv w:val="1"/>
      <w:marLeft w:val="0"/>
      <w:marRight w:val="0"/>
      <w:marTop w:val="0"/>
      <w:marBottom w:val="0"/>
      <w:divBdr>
        <w:top w:val="none" w:sz="0" w:space="0" w:color="auto"/>
        <w:left w:val="none" w:sz="0" w:space="0" w:color="auto"/>
        <w:bottom w:val="none" w:sz="0" w:space="0" w:color="auto"/>
        <w:right w:val="none" w:sz="0" w:space="0" w:color="auto"/>
      </w:divBdr>
    </w:div>
    <w:div w:id="1898471617">
      <w:bodyDiv w:val="1"/>
      <w:marLeft w:val="0"/>
      <w:marRight w:val="0"/>
      <w:marTop w:val="0"/>
      <w:marBottom w:val="0"/>
      <w:divBdr>
        <w:top w:val="none" w:sz="0" w:space="0" w:color="auto"/>
        <w:left w:val="none" w:sz="0" w:space="0" w:color="auto"/>
        <w:bottom w:val="none" w:sz="0" w:space="0" w:color="auto"/>
        <w:right w:val="none" w:sz="0" w:space="0" w:color="auto"/>
      </w:divBdr>
    </w:div>
    <w:div w:id="1898662468">
      <w:bodyDiv w:val="1"/>
      <w:marLeft w:val="0"/>
      <w:marRight w:val="0"/>
      <w:marTop w:val="0"/>
      <w:marBottom w:val="0"/>
      <w:divBdr>
        <w:top w:val="none" w:sz="0" w:space="0" w:color="auto"/>
        <w:left w:val="none" w:sz="0" w:space="0" w:color="auto"/>
        <w:bottom w:val="none" w:sz="0" w:space="0" w:color="auto"/>
        <w:right w:val="none" w:sz="0" w:space="0" w:color="auto"/>
      </w:divBdr>
    </w:div>
    <w:div w:id="1898741456">
      <w:bodyDiv w:val="1"/>
      <w:marLeft w:val="0"/>
      <w:marRight w:val="0"/>
      <w:marTop w:val="0"/>
      <w:marBottom w:val="0"/>
      <w:divBdr>
        <w:top w:val="none" w:sz="0" w:space="0" w:color="auto"/>
        <w:left w:val="none" w:sz="0" w:space="0" w:color="auto"/>
        <w:bottom w:val="none" w:sz="0" w:space="0" w:color="auto"/>
        <w:right w:val="none" w:sz="0" w:space="0" w:color="auto"/>
      </w:divBdr>
    </w:div>
    <w:div w:id="1898978179">
      <w:bodyDiv w:val="1"/>
      <w:marLeft w:val="0"/>
      <w:marRight w:val="0"/>
      <w:marTop w:val="0"/>
      <w:marBottom w:val="0"/>
      <w:divBdr>
        <w:top w:val="none" w:sz="0" w:space="0" w:color="auto"/>
        <w:left w:val="none" w:sz="0" w:space="0" w:color="auto"/>
        <w:bottom w:val="none" w:sz="0" w:space="0" w:color="auto"/>
        <w:right w:val="none" w:sz="0" w:space="0" w:color="auto"/>
      </w:divBdr>
    </w:div>
    <w:div w:id="1898978953">
      <w:bodyDiv w:val="1"/>
      <w:marLeft w:val="0"/>
      <w:marRight w:val="0"/>
      <w:marTop w:val="0"/>
      <w:marBottom w:val="0"/>
      <w:divBdr>
        <w:top w:val="none" w:sz="0" w:space="0" w:color="auto"/>
        <w:left w:val="none" w:sz="0" w:space="0" w:color="auto"/>
        <w:bottom w:val="none" w:sz="0" w:space="0" w:color="auto"/>
        <w:right w:val="none" w:sz="0" w:space="0" w:color="auto"/>
      </w:divBdr>
    </w:div>
    <w:div w:id="1899315310">
      <w:bodyDiv w:val="1"/>
      <w:marLeft w:val="0"/>
      <w:marRight w:val="0"/>
      <w:marTop w:val="0"/>
      <w:marBottom w:val="0"/>
      <w:divBdr>
        <w:top w:val="none" w:sz="0" w:space="0" w:color="auto"/>
        <w:left w:val="none" w:sz="0" w:space="0" w:color="auto"/>
        <w:bottom w:val="none" w:sz="0" w:space="0" w:color="auto"/>
        <w:right w:val="none" w:sz="0" w:space="0" w:color="auto"/>
      </w:divBdr>
    </w:div>
    <w:div w:id="1899438319">
      <w:bodyDiv w:val="1"/>
      <w:marLeft w:val="0"/>
      <w:marRight w:val="0"/>
      <w:marTop w:val="0"/>
      <w:marBottom w:val="0"/>
      <w:divBdr>
        <w:top w:val="none" w:sz="0" w:space="0" w:color="auto"/>
        <w:left w:val="none" w:sz="0" w:space="0" w:color="auto"/>
        <w:bottom w:val="none" w:sz="0" w:space="0" w:color="auto"/>
        <w:right w:val="none" w:sz="0" w:space="0" w:color="auto"/>
      </w:divBdr>
    </w:div>
    <w:div w:id="1899589408">
      <w:bodyDiv w:val="1"/>
      <w:marLeft w:val="0"/>
      <w:marRight w:val="0"/>
      <w:marTop w:val="0"/>
      <w:marBottom w:val="0"/>
      <w:divBdr>
        <w:top w:val="none" w:sz="0" w:space="0" w:color="auto"/>
        <w:left w:val="none" w:sz="0" w:space="0" w:color="auto"/>
        <w:bottom w:val="none" w:sz="0" w:space="0" w:color="auto"/>
        <w:right w:val="none" w:sz="0" w:space="0" w:color="auto"/>
      </w:divBdr>
    </w:div>
    <w:div w:id="1899706833">
      <w:bodyDiv w:val="1"/>
      <w:marLeft w:val="0"/>
      <w:marRight w:val="0"/>
      <w:marTop w:val="0"/>
      <w:marBottom w:val="0"/>
      <w:divBdr>
        <w:top w:val="none" w:sz="0" w:space="0" w:color="auto"/>
        <w:left w:val="none" w:sz="0" w:space="0" w:color="auto"/>
        <w:bottom w:val="none" w:sz="0" w:space="0" w:color="auto"/>
        <w:right w:val="none" w:sz="0" w:space="0" w:color="auto"/>
      </w:divBdr>
    </w:div>
    <w:div w:id="1899824079">
      <w:bodyDiv w:val="1"/>
      <w:marLeft w:val="0"/>
      <w:marRight w:val="0"/>
      <w:marTop w:val="0"/>
      <w:marBottom w:val="0"/>
      <w:divBdr>
        <w:top w:val="none" w:sz="0" w:space="0" w:color="auto"/>
        <w:left w:val="none" w:sz="0" w:space="0" w:color="auto"/>
        <w:bottom w:val="none" w:sz="0" w:space="0" w:color="auto"/>
        <w:right w:val="none" w:sz="0" w:space="0" w:color="auto"/>
      </w:divBdr>
    </w:div>
    <w:div w:id="1899894740">
      <w:bodyDiv w:val="1"/>
      <w:marLeft w:val="0"/>
      <w:marRight w:val="0"/>
      <w:marTop w:val="0"/>
      <w:marBottom w:val="0"/>
      <w:divBdr>
        <w:top w:val="none" w:sz="0" w:space="0" w:color="auto"/>
        <w:left w:val="none" w:sz="0" w:space="0" w:color="auto"/>
        <w:bottom w:val="none" w:sz="0" w:space="0" w:color="auto"/>
        <w:right w:val="none" w:sz="0" w:space="0" w:color="auto"/>
      </w:divBdr>
    </w:div>
    <w:div w:id="1900242035">
      <w:bodyDiv w:val="1"/>
      <w:marLeft w:val="0"/>
      <w:marRight w:val="0"/>
      <w:marTop w:val="0"/>
      <w:marBottom w:val="0"/>
      <w:divBdr>
        <w:top w:val="none" w:sz="0" w:space="0" w:color="auto"/>
        <w:left w:val="none" w:sz="0" w:space="0" w:color="auto"/>
        <w:bottom w:val="none" w:sz="0" w:space="0" w:color="auto"/>
        <w:right w:val="none" w:sz="0" w:space="0" w:color="auto"/>
      </w:divBdr>
    </w:div>
    <w:div w:id="1900624520">
      <w:bodyDiv w:val="1"/>
      <w:marLeft w:val="0"/>
      <w:marRight w:val="0"/>
      <w:marTop w:val="0"/>
      <w:marBottom w:val="0"/>
      <w:divBdr>
        <w:top w:val="none" w:sz="0" w:space="0" w:color="auto"/>
        <w:left w:val="none" w:sz="0" w:space="0" w:color="auto"/>
        <w:bottom w:val="none" w:sz="0" w:space="0" w:color="auto"/>
        <w:right w:val="none" w:sz="0" w:space="0" w:color="auto"/>
      </w:divBdr>
    </w:div>
    <w:div w:id="1900625525">
      <w:bodyDiv w:val="1"/>
      <w:marLeft w:val="0"/>
      <w:marRight w:val="0"/>
      <w:marTop w:val="0"/>
      <w:marBottom w:val="0"/>
      <w:divBdr>
        <w:top w:val="none" w:sz="0" w:space="0" w:color="auto"/>
        <w:left w:val="none" w:sz="0" w:space="0" w:color="auto"/>
        <w:bottom w:val="none" w:sz="0" w:space="0" w:color="auto"/>
        <w:right w:val="none" w:sz="0" w:space="0" w:color="auto"/>
      </w:divBdr>
    </w:div>
    <w:div w:id="1900820023">
      <w:bodyDiv w:val="1"/>
      <w:marLeft w:val="0"/>
      <w:marRight w:val="0"/>
      <w:marTop w:val="0"/>
      <w:marBottom w:val="0"/>
      <w:divBdr>
        <w:top w:val="none" w:sz="0" w:space="0" w:color="auto"/>
        <w:left w:val="none" w:sz="0" w:space="0" w:color="auto"/>
        <w:bottom w:val="none" w:sz="0" w:space="0" w:color="auto"/>
        <w:right w:val="none" w:sz="0" w:space="0" w:color="auto"/>
      </w:divBdr>
    </w:div>
    <w:div w:id="1901089670">
      <w:bodyDiv w:val="1"/>
      <w:marLeft w:val="0"/>
      <w:marRight w:val="0"/>
      <w:marTop w:val="0"/>
      <w:marBottom w:val="0"/>
      <w:divBdr>
        <w:top w:val="none" w:sz="0" w:space="0" w:color="auto"/>
        <w:left w:val="none" w:sz="0" w:space="0" w:color="auto"/>
        <w:bottom w:val="none" w:sz="0" w:space="0" w:color="auto"/>
        <w:right w:val="none" w:sz="0" w:space="0" w:color="auto"/>
      </w:divBdr>
    </w:div>
    <w:div w:id="1901094852">
      <w:bodyDiv w:val="1"/>
      <w:marLeft w:val="0"/>
      <w:marRight w:val="0"/>
      <w:marTop w:val="0"/>
      <w:marBottom w:val="0"/>
      <w:divBdr>
        <w:top w:val="none" w:sz="0" w:space="0" w:color="auto"/>
        <w:left w:val="none" w:sz="0" w:space="0" w:color="auto"/>
        <w:bottom w:val="none" w:sz="0" w:space="0" w:color="auto"/>
        <w:right w:val="none" w:sz="0" w:space="0" w:color="auto"/>
      </w:divBdr>
    </w:div>
    <w:div w:id="1901213929">
      <w:bodyDiv w:val="1"/>
      <w:marLeft w:val="0"/>
      <w:marRight w:val="0"/>
      <w:marTop w:val="0"/>
      <w:marBottom w:val="0"/>
      <w:divBdr>
        <w:top w:val="none" w:sz="0" w:space="0" w:color="auto"/>
        <w:left w:val="none" w:sz="0" w:space="0" w:color="auto"/>
        <w:bottom w:val="none" w:sz="0" w:space="0" w:color="auto"/>
        <w:right w:val="none" w:sz="0" w:space="0" w:color="auto"/>
      </w:divBdr>
    </w:div>
    <w:div w:id="1901363161">
      <w:bodyDiv w:val="1"/>
      <w:marLeft w:val="0"/>
      <w:marRight w:val="0"/>
      <w:marTop w:val="0"/>
      <w:marBottom w:val="0"/>
      <w:divBdr>
        <w:top w:val="none" w:sz="0" w:space="0" w:color="auto"/>
        <w:left w:val="none" w:sz="0" w:space="0" w:color="auto"/>
        <w:bottom w:val="none" w:sz="0" w:space="0" w:color="auto"/>
        <w:right w:val="none" w:sz="0" w:space="0" w:color="auto"/>
      </w:divBdr>
    </w:div>
    <w:div w:id="1901480757">
      <w:bodyDiv w:val="1"/>
      <w:marLeft w:val="0"/>
      <w:marRight w:val="0"/>
      <w:marTop w:val="0"/>
      <w:marBottom w:val="0"/>
      <w:divBdr>
        <w:top w:val="none" w:sz="0" w:space="0" w:color="auto"/>
        <w:left w:val="none" w:sz="0" w:space="0" w:color="auto"/>
        <w:bottom w:val="none" w:sz="0" w:space="0" w:color="auto"/>
        <w:right w:val="none" w:sz="0" w:space="0" w:color="auto"/>
      </w:divBdr>
    </w:div>
    <w:div w:id="1901625179">
      <w:bodyDiv w:val="1"/>
      <w:marLeft w:val="0"/>
      <w:marRight w:val="0"/>
      <w:marTop w:val="0"/>
      <w:marBottom w:val="0"/>
      <w:divBdr>
        <w:top w:val="none" w:sz="0" w:space="0" w:color="auto"/>
        <w:left w:val="none" w:sz="0" w:space="0" w:color="auto"/>
        <w:bottom w:val="none" w:sz="0" w:space="0" w:color="auto"/>
        <w:right w:val="none" w:sz="0" w:space="0" w:color="auto"/>
      </w:divBdr>
    </w:div>
    <w:div w:id="1901671821">
      <w:bodyDiv w:val="1"/>
      <w:marLeft w:val="0"/>
      <w:marRight w:val="0"/>
      <w:marTop w:val="0"/>
      <w:marBottom w:val="0"/>
      <w:divBdr>
        <w:top w:val="none" w:sz="0" w:space="0" w:color="auto"/>
        <w:left w:val="none" w:sz="0" w:space="0" w:color="auto"/>
        <w:bottom w:val="none" w:sz="0" w:space="0" w:color="auto"/>
        <w:right w:val="none" w:sz="0" w:space="0" w:color="auto"/>
      </w:divBdr>
    </w:div>
    <w:div w:id="1901749906">
      <w:bodyDiv w:val="1"/>
      <w:marLeft w:val="0"/>
      <w:marRight w:val="0"/>
      <w:marTop w:val="0"/>
      <w:marBottom w:val="0"/>
      <w:divBdr>
        <w:top w:val="none" w:sz="0" w:space="0" w:color="auto"/>
        <w:left w:val="none" w:sz="0" w:space="0" w:color="auto"/>
        <w:bottom w:val="none" w:sz="0" w:space="0" w:color="auto"/>
        <w:right w:val="none" w:sz="0" w:space="0" w:color="auto"/>
      </w:divBdr>
    </w:div>
    <w:div w:id="1901867040">
      <w:bodyDiv w:val="1"/>
      <w:marLeft w:val="0"/>
      <w:marRight w:val="0"/>
      <w:marTop w:val="0"/>
      <w:marBottom w:val="0"/>
      <w:divBdr>
        <w:top w:val="none" w:sz="0" w:space="0" w:color="auto"/>
        <w:left w:val="none" w:sz="0" w:space="0" w:color="auto"/>
        <w:bottom w:val="none" w:sz="0" w:space="0" w:color="auto"/>
        <w:right w:val="none" w:sz="0" w:space="0" w:color="auto"/>
      </w:divBdr>
    </w:div>
    <w:div w:id="1901869301">
      <w:bodyDiv w:val="1"/>
      <w:marLeft w:val="0"/>
      <w:marRight w:val="0"/>
      <w:marTop w:val="0"/>
      <w:marBottom w:val="0"/>
      <w:divBdr>
        <w:top w:val="none" w:sz="0" w:space="0" w:color="auto"/>
        <w:left w:val="none" w:sz="0" w:space="0" w:color="auto"/>
        <w:bottom w:val="none" w:sz="0" w:space="0" w:color="auto"/>
        <w:right w:val="none" w:sz="0" w:space="0" w:color="auto"/>
      </w:divBdr>
    </w:div>
    <w:div w:id="1901944680">
      <w:bodyDiv w:val="1"/>
      <w:marLeft w:val="0"/>
      <w:marRight w:val="0"/>
      <w:marTop w:val="0"/>
      <w:marBottom w:val="0"/>
      <w:divBdr>
        <w:top w:val="none" w:sz="0" w:space="0" w:color="auto"/>
        <w:left w:val="none" w:sz="0" w:space="0" w:color="auto"/>
        <w:bottom w:val="none" w:sz="0" w:space="0" w:color="auto"/>
        <w:right w:val="none" w:sz="0" w:space="0" w:color="auto"/>
      </w:divBdr>
    </w:div>
    <w:div w:id="1901987136">
      <w:bodyDiv w:val="1"/>
      <w:marLeft w:val="0"/>
      <w:marRight w:val="0"/>
      <w:marTop w:val="0"/>
      <w:marBottom w:val="0"/>
      <w:divBdr>
        <w:top w:val="none" w:sz="0" w:space="0" w:color="auto"/>
        <w:left w:val="none" w:sz="0" w:space="0" w:color="auto"/>
        <w:bottom w:val="none" w:sz="0" w:space="0" w:color="auto"/>
        <w:right w:val="none" w:sz="0" w:space="0" w:color="auto"/>
      </w:divBdr>
    </w:div>
    <w:div w:id="1902325018">
      <w:bodyDiv w:val="1"/>
      <w:marLeft w:val="0"/>
      <w:marRight w:val="0"/>
      <w:marTop w:val="0"/>
      <w:marBottom w:val="0"/>
      <w:divBdr>
        <w:top w:val="none" w:sz="0" w:space="0" w:color="auto"/>
        <w:left w:val="none" w:sz="0" w:space="0" w:color="auto"/>
        <w:bottom w:val="none" w:sz="0" w:space="0" w:color="auto"/>
        <w:right w:val="none" w:sz="0" w:space="0" w:color="auto"/>
      </w:divBdr>
    </w:div>
    <w:div w:id="1902325182">
      <w:bodyDiv w:val="1"/>
      <w:marLeft w:val="0"/>
      <w:marRight w:val="0"/>
      <w:marTop w:val="0"/>
      <w:marBottom w:val="0"/>
      <w:divBdr>
        <w:top w:val="none" w:sz="0" w:space="0" w:color="auto"/>
        <w:left w:val="none" w:sz="0" w:space="0" w:color="auto"/>
        <w:bottom w:val="none" w:sz="0" w:space="0" w:color="auto"/>
        <w:right w:val="none" w:sz="0" w:space="0" w:color="auto"/>
      </w:divBdr>
    </w:div>
    <w:div w:id="1902328643">
      <w:bodyDiv w:val="1"/>
      <w:marLeft w:val="0"/>
      <w:marRight w:val="0"/>
      <w:marTop w:val="0"/>
      <w:marBottom w:val="0"/>
      <w:divBdr>
        <w:top w:val="none" w:sz="0" w:space="0" w:color="auto"/>
        <w:left w:val="none" w:sz="0" w:space="0" w:color="auto"/>
        <w:bottom w:val="none" w:sz="0" w:space="0" w:color="auto"/>
        <w:right w:val="none" w:sz="0" w:space="0" w:color="auto"/>
      </w:divBdr>
    </w:div>
    <w:div w:id="1902400178">
      <w:bodyDiv w:val="1"/>
      <w:marLeft w:val="0"/>
      <w:marRight w:val="0"/>
      <w:marTop w:val="0"/>
      <w:marBottom w:val="0"/>
      <w:divBdr>
        <w:top w:val="none" w:sz="0" w:space="0" w:color="auto"/>
        <w:left w:val="none" w:sz="0" w:space="0" w:color="auto"/>
        <w:bottom w:val="none" w:sz="0" w:space="0" w:color="auto"/>
        <w:right w:val="none" w:sz="0" w:space="0" w:color="auto"/>
      </w:divBdr>
    </w:div>
    <w:div w:id="1902590489">
      <w:bodyDiv w:val="1"/>
      <w:marLeft w:val="0"/>
      <w:marRight w:val="0"/>
      <w:marTop w:val="0"/>
      <w:marBottom w:val="0"/>
      <w:divBdr>
        <w:top w:val="none" w:sz="0" w:space="0" w:color="auto"/>
        <w:left w:val="none" w:sz="0" w:space="0" w:color="auto"/>
        <w:bottom w:val="none" w:sz="0" w:space="0" w:color="auto"/>
        <w:right w:val="none" w:sz="0" w:space="0" w:color="auto"/>
      </w:divBdr>
    </w:div>
    <w:div w:id="1902594505">
      <w:bodyDiv w:val="1"/>
      <w:marLeft w:val="0"/>
      <w:marRight w:val="0"/>
      <w:marTop w:val="0"/>
      <w:marBottom w:val="0"/>
      <w:divBdr>
        <w:top w:val="none" w:sz="0" w:space="0" w:color="auto"/>
        <w:left w:val="none" w:sz="0" w:space="0" w:color="auto"/>
        <w:bottom w:val="none" w:sz="0" w:space="0" w:color="auto"/>
        <w:right w:val="none" w:sz="0" w:space="0" w:color="auto"/>
      </w:divBdr>
    </w:div>
    <w:div w:id="1902670285">
      <w:bodyDiv w:val="1"/>
      <w:marLeft w:val="0"/>
      <w:marRight w:val="0"/>
      <w:marTop w:val="0"/>
      <w:marBottom w:val="0"/>
      <w:divBdr>
        <w:top w:val="none" w:sz="0" w:space="0" w:color="auto"/>
        <w:left w:val="none" w:sz="0" w:space="0" w:color="auto"/>
        <w:bottom w:val="none" w:sz="0" w:space="0" w:color="auto"/>
        <w:right w:val="none" w:sz="0" w:space="0" w:color="auto"/>
      </w:divBdr>
    </w:div>
    <w:div w:id="1902860223">
      <w:bodyDiv w:val="1"/>
      <w:marLeft w:val="0"/>
      <w:marRight w:val="0"/>
      <w:marTop w:val="0"/>
      <w:marBottom w:val="0"/>
      <w:divBdr>
        <w:top w:val="none" w:sz="0" w:space="0" w:color="auto"/>
        <w:left w:val="none" w:sz="0" w:space="0" w:color="auto"/>
        <w:bottom w:val="none" w:sz="0" w:space="0" w:color="auto"/>
        <w:right w:val="none" w:sz="0" w:space="0" w:color="auto"/>
      </w:divBdr>
    </w:div>
    <w:div w:id="1903056014">
      <w:bodyDiv w:val="1"/>
      <w:marLeft w:val="0"/>
      <w:marRight w:val="0"/>
      <w:marTop w:val="0"/>
      <w:marBottom w:val="0"/>
      <w:divBdr>
        <w:top w:val="none" w:sz="0" w:space="0" w:color="auto"/>
        <w:left w:val="none" w:sz="0" w:space="0" w:color="auto"/>
        <w:bottom w:val="none" w:sz="0" w:space="0" w:color="auto"/>
        <w:right w:val="none" w:sz="0" w:space="0" w:color="auto"/>
      </w:divBdr>
    </w:div>
    <w:div w:id="1903057642">
      <w:bodyDiv w:val="1"/>
      <w:marLeft w:val="0"/>
      <w:marRight w:val="0"/>
      <w:marTop w:val="0"/>
      <w:marBottom w:val="0"/>
      <w:divBdr>
        <w:top w:val="none" w:sz="0" w:space="0" w:color="auto"/>
        <w:left w:val="none" w:sz="0" w:space="0" w:color="auto"/>
        <w:bottom w:val="none" w:sz="0" w:space="0" w:color="auto"/>
        <w:right w:val="none" w:sz="0" w:space="0" w:color="auto"/>
      </w:divBdr>
    </w:div>
    <w:div w:id="1903174368">
      <w:bodyDiv w:val="1"/>
      <w:marLeft w:val="0"/>
      <w:marRight w:val="0"/>
      <w:marTop w:val="0"/>
      <w:marBottom w:val="0"/>
      <w:divBdr>
        <w:top w:val="none" w:sz="0" w:space="0" w:color="auto"/>
        <w:left w:val="none" w:sz="0" w:space="0" w:color="auto"/>
        <w:bottom w:val="none" w:sz="0" w:space="0" w:color="auto"/>
        <w:right w:val="none" w:sz="0" w:space="0" w:color="auto"/>
      </w:divBdr>
    </w:div>
    <w:div w:id="1903255017">
      <w:bodyDiv w:val="1"/>
      <w:marLeft w:val="0"/>
      <w:marRight w:val="0"/>
      <w:marTop w:val="0"/>
      <w:marBottom w:val="0"/>
      <w:divBdr>
        <w:top w:val="none" w:sz="0" w:space="0" w:color="auto"/>
        <w:left w:val="none" w:sz="0" w:space="0" w:color="auto"/>
        <w:bottom w:val="none" w:sz="0" w:space="0" w:color="auto"/>
        <w:right w:val="none" w:sz="0" w:space="0" w:color="auto"/>
      </w:divBdr>
    </w:div>
    <w:div w:id="1903983053">
      <w:bodyDiv w:val="1"/>
      <w:marLeft w:val="0"/>
      <w:marRight w:val="0"/>
      <w:marTop w:val="0"/>
      <w:marBottom w:val="0"/>
      <w:divBdr>
        <w:top w:val="none" w:sz="0" w:space="0" w:color="auto"/>
        <w:left w:val="none" w:sz="0" w:space="0" w:color="auto"/>
        <w:bottom w:val="none" w:sz="0" w:space="0" w:color="auto"/>
        <w:right w:val="none" w:sz="0" w:space="0" w:color="auto"/>
      </w:divBdr>
    </w:div>
    <w:div w:id="1904289549">
      <w:bodyDiv w:val="1"/>
      <w:marLeft w:val="0"/>
      <w:marRight w:val="0"/>
      <w:marTop w:val="0"/>
      <w:marBottom w:val="0"/>
      <w:divBdr>
        <w:top w:val="none" w:sz="0" w:space="0" w:color="auto"/>
        <w:left w:val="none" w:sz="0" w:space="0" w:color="auto"/>
        <w:bottom w:val="none" w:sz="0" w:space="0" w:color="auto"/>
        <w:right w:val="none" w:sz="0" w:space="0" w:color="auto"/>
      </w:divBdr>
    </w:div>
    <w:div w:id="1904289895">
      <w:bodyDiv w:val="1"/>
      <w:marLeft w:val="0"/>
      <w:marRight w:val="0"/>
      <w:marTop w:val="0"/>
      <w:marBottom w:val="0"/>
      <w:divBdr>
        <w:top w:val="none" w:sz="0" w:space="0" w:color="auto"/>
        <w:left w:val="none" w:sz="0" w:space="0" w:color="auto"/>
        <w:bottom w:val="none" w:sz="0" w:space="0" w:color="auto"/>
        <w:right w:val="none" w:sz="0" w:space="0" w:color="auto"/>
      </w:divBdr>
    </w:div>
    <w:div w:id="1904485073">
      <w:bodyDiv w:val="1"/>
      <w:marLeft w:val="0"/>
      <w:marRight w:val="0"/>
      <w:marTop w:val="0"/>
      <w:marBottom w:val="0"/>
      <w:divBdr>
        <w:top w:val="none" w:sz="0" w:space="0" w:color="auto"/>
        <w:left w:val="none" w:sz="0" w:space="0" w:color="auto"/>
        <w:bottom w:val="none" w:sz="0" w:space="0" w:color="auto"/>
        <w:right w:val="none" w:sz="0" w:space="0" w:color="auto"/>
      </w:divBdr>
    </w:div>
    <w:div w:id="1904873160">
      <w:bodyDiv w:val="1"/>
      <w:marLeft w:val="0"/>
      <w:marRight w:val="0"/>
      <w:marTop w:val="0"/>
      <w:marBottom w:val="0"/>
      <w:divBdr>
        <w:top w:val="none" w:sz="0" w:space="0" w:color="auto"/>
        <w:left w:val="none" w:sz="0" w:space="0" w:color="auto"/>
        <w:bottom w:val="none" w:sz="0" w:space="0" w:color="auto"/>
        <w:right w:val="none" w:sz="0" w:space="0" w:color="auto"/>
      </w:divBdr>
    </w:div>
    <w:div w:id="1904942856">
      <w:bodyDiv w:val="1"/>
      <w:marLeft w:val="0"/>
      <w:marRight w:val="0"/>
      <w:marTop w:val="0"/>
      <w:marBottom w:val="0"/>
      <w:divBdr>
        <w:top w:val="none" w:sz="0" w:space="0" w:color="auto"/>
        <w:left w:val="none" w:sz="0" w:space="0" w:color="auto"/>
        <w:bottom w:val="none" w:sz="0" w:space="0" w:color="auto"/>
        <w:right w:val="none" w:sz="0" w:space="0" w:color="auto"/>
      </w:divBdr>
    </w:div>
    <w:div w:id="1905096417">
      <w:bodyDiv w:val="1"/>
      <w:marLeft w:val="0"/>
      <w:marRight w:val="0"/>
      <w:marTop w:val="0"/>
      <w:marBottom w:val="0"/>
      <w:divBdr>
        <w:top w:val="none" w:sz="0" w:space="0" w:color="auto"/>
        <w:left w:val="none" w:sz="0" w:space="0" w:color="auto"/>
        <w:bottom w:val="none" w:sz="0" w:space="0" w:color="auto"/>
        <w:right w:val="none" w:sz="0" w:space="0" w:color="auto"/>
      </w:divBdr>
    </w:div>
    <w:div w:id="1905529532">
      <w:bodyDiv w:val="1"/>
      <w:marLeft w:val="0"/>
      <w:marRight w:val="0"/>
      <w:marTop w:val="0"/>
      <w:marBottom w:val="0"/>
      <w:divBdr>
        <w:top w:val="none" w:sz="0" w:space="0" w:color="auto"/>
        <w:left w:val="none" w:sz="0" w:space="0" w:color="auto"/>
        <w:bottom w:val="none" w:sz="0" w:space="0" w:color="auto"/>
        <w:right w:val="none" w:sz="0" w:space="0" w:color="auto"/>
      </w:divBdr>
    </w:div>
    <w:div w:id="1905599040">
      <w:bodyDiv w:val="1"/>
      <w:marLeft w:val="0"/>
      <w:marRight w:val="0"/>
      <w:marTop w:val="0"/>
      <w:marBottom w:val="0"/>
      <w:divBdr>
        <w:top w:val="none" w:sz="0" w:space="0" w:color="auto"/>
        <w:left w:val="none" w:sz="0" w:space="0" w:color="auto"/>
        <w:bottom w:val="none" w:sz="0" w:space="0" w:color="auto"/>
        <w:right w:val="none" w:sz="0" w:space="0" w:color="auto"/>
      </w:divBdr>
    </w:div>
    <w:div w:id="1905749753">
      <w:bodyDiv w:val="1"/>
      <w:marLeft w:val="0"/>
      <w:marRight w:val="0"/>
      <w:marTop w:val="0"/>
      <w:marBottom w:val="0"/>
      <w:divBdr>
        <w:top w:val="none" w:sz="0" w:space="0" w:color="auto"/>
        <w:left w:val="none" w:sz="0" w:space="0" w:color="auto"/>
        <w:bottom w:val="none" w:sz="0" w:space="0" w:color="auto"/>
        <w:right w:val="none" w:sz="0" w:space="0" w:color="auto"/>
      </w:divBdr>
    </w:div>
    <w:div w:id="1905750120">
      <w:bodyDiv w:val="1"/>
      <w:marLeft w:val="0"/>
      <w:marRight w:val="0"/>
      <w:marTop w:val="0"/>
      <w:marBottom w:val="0"/>
      <w:divBdr>
        <w:top w:val="none" w:sz="0" w:space="0" w:color="auto"/>
        <w:left w:val="none" w:sz="0" w:space="0" w:color="auto"/>
        <w:bottom w:val="none" w:sz="0" w:space="0" w:color="auto"/>
        <w:right w:val="none" w:sz="0" w:space="0" w:color="auto"/>
      </w:divBdr>
    </w:div>
    <w:div w:id="1905946592">
      <w:bodyDiv w:val="1"/>
      <w:marLeft w:val="0"/>
      <w:marRight w:val="0"/>
      <w:marTop w:val="0"/>
      <w:marBottom w:val="0"/>
      <w:divBdr>
        <w:top w:val="none" w:sz="0" w:space="0" w:color="auto"/>
        <w:left w:val="none" w:sz="0" w:space="0" w:color="auto"/>
        <w:bottom w:val="none" w:sz="0" w:space="0" w:color="auto"/>
        <w:right w:val="none" w:sz="0" w:space="0" w:color="auto"/>
      </w:divBdr>
    </w:div>
    <w:div w:id="1905994086">
      <w:bodyDiv w:val="1"/>
      <w:marLeft w:val="0"/>
      <w:marRight w:val="0"/>
      <w:marTop w:val="0"/>
      <w:marBottom w:val="0"/>
      <w:divBdr>
        <w:top w:val="none" w:sz="0" w:space="0" w:color="auto"/>
        <w:left w:val="none" w:sz="0" w:space="0" w:color="auto"/>
        <w:bottom w:val="none" w:sz="0" w:space="0" w:color="auto"/>
        <w:right w:val="none" w:sz="0" w:space="0" w:color="auto"/>
      </w:divBdr>
    </w:div>
    <w:div w:id="1906135661">
      <w:bodyDiv w:val="1"/>
      <w:marLeft w:val="0"/>
      <w:marRight w:val="0"/>
      <w:marTop w:val="0"/>
      <w:marBottom w:val="0"/>
      <w:divBdr>
        <w:top w:val="none" w:sz="0" w:space="0" w:color="auto"/>
        <w:left w:val="none" w:sz="0" w:space="0" w:color="auto"/>
        <w:bottom w:val="none" w:sz="0" w:space="0" w:color="auto"/>
        <w:right w:val="none" w:sz="0" w:space="0" w:color="auto"/>
      </w:divBdr>
    </w:div>
    <w:div w:id="1906329757">
      <w:bodyDiv w:val="1"/>
      <w:marLeft w:val="0"/>
      <w:marRight w:val="0"/>
      <w:marTop w:val="0"/>
      <w:marBottom w:val="0"/>
      <w:divBdr>
        <w:top w:val="none" w:sz="0" w:space="0" w:color="auto"/>
        <w:left w:val="none" w:sz="0" w:space="0" w:color="auto"/>
        <w:bottom w:val="none" w:sz="0" w:space="0" w:color="auto"/>
        <w:right w:val="none" w:sz="0" w:space="0" w:color="auto"/>
      </w:divBdr>
    </w:div>
    <w:div w:id="1906405655">
      <w:bodyDiv w:val="1"/>
      <w:marLeft w:val="0"/>
      <w:marRight w:val="0"/>
      <w:marTop w:val="0"/>
      <w:marBottom w:val="0"/>
      <w:divBdr>
        <w:top w:val="none" w:sz="0" w:space="0" w:color="auto"/>
        <w:left w:val="none" w:sz="0" w:space="0" w:color="auto"/>
        <w:bottom w:val="none" w:sz="0" w:space="0" w:color="auto"/>
        <w:right w:val="none" w:sz="0" w:space="0" w:color="auto"/>
      </w:divBdr>
    </w:div>
    <w:div w:id="1906795247">
      <w:bodyDiv w:val="1"/>
      <w:marLeft w:val="0"/>
      <w:marRight w:val="0"/>
      <w:marTop w:val="0"/>
      <w:marBottom w:val="0"/>
      <w:divBdr>
        <w:top w:val="none" w:sz="0" w:space="0" w:color="auto"/>
        <w:left w:val="none" w:sz="0" w:space="0" w:color="auto"/>
        <w:bottom w:val="none" w:sz="0" w:space="0" w:color="auto"/>
        <w:right w:val="none" w:sz="0" w:space="0" w:color="auto"/>
      </w:divBdr>
    </w:div>
    <w:div w:id="1906799266">
      <w:bodyDiv w:val="1"/>
      <w:marLeft w:val="0"/>
      <w:marRight w:val="0"/>
      <w:marTop w:val="0"/>
      <w:marBottom w:val="0"/>
      <w:divBdr>
        <w:top w:val="none" w:sz="0" w:space="0" w:color="auto"/>
        <w:left w:val="none" w:sz="0" w:space="0" w:color="auto"/>
        <w:bottom w:val="none" w:sz="0" w:space="0" w:color="auto"/>
        <w:right w:val="none" w:sz="0" w:space="0" w:color="auto"/>
      </w:divBdr>
    </w:div>
    <w:div w:id="1907032737">
      <w:bodyDiv w:val="1"/>
      <w:marLeft w:val="0"/>
      <w:marRight w:val="0"/>
      <w:marTop w:val="0"/>
      <w:marBottom w:val="0"/>
      <w:divBdr>
        <w:top w:val="none" w:sz="0" w:space="0" w:color="auto"/>
        <w:left w:val="none" w:sz="0" w:space="0" w:color="auto"/>
        <w:bottom w:val="none" w:sz="0" w:space="0" w:color="auto"/>
        <w:right w:val="none" w:sz="0" w:space="0" w:color="auto"/>
      </w:divBdr>
    </w:div>
    <w:div w:id="1907033017">
      <w:bodyDiv w:val="1"/>
      <w:marLeft w:val="0"/>
      <w:marRight w:val="0"/>
      <w:marTop w:val="0"/>
      <w:marBottom w:val="0"/>
      <w:divBdr>
        <w:top w:val="none" w:sz="0" w:space="0" w:color="auto"/>
        <w:left w:val="none" w:sz="0" w:space="0" w:color="auto"/>
        <w:bottom w:val="none" w:sz="0" w:space="0" w:color="auto"/>
        <w:right w:val="none" w:sz="0" w:space="0" w:color="auto"/>
      </w:divBdr>
    </w:div>
    <w:div w:id="1907185626">
      <w:bodyDiv w:val="1"/>
      <w:marLeft w:val="0"/>
      <w:marRight w:val="0"/>
      <w:marTop w:val="0"/>
      <w:marBottom w:val="0"/>
      <w:divBdr>
        <w:top w:val="none" w:sz="0" w:space="0" w:color="auto"/>
        <w:left w:val="none" w:sz="0" w:space="0" w:color="auto"/>
        <w:bottom w:val="none" w:sz="0" w:space="0" w:color="auto"/>
        <w:right w:val="none" w:sz="0" w:space="0" w:color="auto"/>
      </w:divBdr>
    </w:div>
    <w:div w:id="1907299382">
      <w:bodyDiv w:val="1"/>
      <w:marLeft w:val="0"/>
      <w:marRight w:val="0"/>
      <w:marTop w:val="0"/>
      <w:marBottom w:val="0"/>
      <w:divBdr>
        <w:top w:val="none" w:sz="0" w:space="0" w:color="auto"/>
        <w:left w:val="none" w:sz="0" w:space="0" w:color="auto"/>
        <w:bottom w:val="none" w:sz="0" w:space="0" w:color="auto"/>
        <w:right w:val="none" w:sz="0" w:space="0" w:color="auto"/>
      </w:divBdr>
    </w:div>
    <w:div w:id="1907450454">
      <w:bodyDiv w:val="1"/>
      <w:marLeft w:val="0"/>
      <w:marRight w:val="0"/>
      <w:marTop w:val="0"/>
      <w:marBottom w:val="0"/>
      <w:divBdr>
        <w:top w:val="none" w:sz="0" w:space="0" w:color="auto"/>
        <w:left w:val="none" w:sz="0" w:space="0" w:color="auto"/>
        <w:bottom w:val="none" w:sz="0" w:space="0" w:color="auto"/>
        <w:right w:val="none" w:sz="0" w:space="0" w:color="auto"/>
      </w:divBdr>
    </w:div>
    <w:div w:id="1907492618">
      <w:bodyDiv w:val="1"/>
      <w:marLeft w:val="0"/>
      <w:marRight w:val="0"/>
      <w:marTop w:val="0"/>
      <w:marBottom w:val="0"/>
      <w:divBdr>
        <w:top w:val="none" w:sz="0" w:space="0" w:color="auto"/>
        <w:left w:val="none" w:sz="0" w:space="0" w:color="auto"/>
        <w:bottom w:val="none" w:sz="0" w:space="0" w:color="auto"/>
        <w:right w:val="none" w:sz="0" w:space="0" w:color="auto"/>
      </w:divBdr>
    </w:div>
    <w:div w:id="1907521849">
      <w:bodyDiv w:val="1"/>
      <w:marLeft w:val="0"/>
      <w:marRight w:val="0"/>
      <w:marTop w:val="0"/>
      <w:marBottom w:val="0"/>
      <w:divBdr>
        <w:top w:val="none" w:sz="0" w:space="0" w:color="auto"/>
        <w:left w:val="none" w:sz="0" w:space="0" w:color="auto"/>
        <w:bottom w:val="none" w:sz="0" w:space="0" w:color="auto"/>
        <w:right w:val="none" w:sz="0" w:space="0" w:color="auto"/>
      </w:divBdr>
    </w:div>
    <w:div w:id="1907567120">
      <w:bodyDiv w:val="1"/>
      <w:marLeft w:val="0"/>
      <w:marRight w:val="0"/>
      <w:marTop w:val="0"/>
      <w:marBottom w:val="0"/>
      <w:divBdr>
        <w:top w:val="none" w:sz="0" w:space="0" w:color="auto"/>
        <w:left w:val="none" w:sz="0" w:space="0" w:color="auto"/>
        <w:bottom w:val="none" w:sz="0" w:space="0" w:color="auto"/>
        <w:right w:val="none" w:sz="0" w:space="0" w:color="auto"/>
      </w:divBdr>
    </w:div>
    <w:div w:id="1907689720">
      <w:bodyDiv w:val="1"/>
      <w:marLeft w:val="0"/>
      <w:marRight w:val="0"/>
      <w:marTop w:val="0"/>
      <w:marBottom w:val="0"/>
      <w:divBdr>
        <w:top w:val="none" w:sz="0" w:space="0" w:color="auto"/>
        <w:left w:val="none" w:sz="0" w:space="0" w:color="auto"/>
        <w:bottom w:val="none" w:sz="0" w:space="0" w:color="auto"/>
        <w:right w:val="none" w:sz="0" w:space="0" w:color="auto"/>
      </w:divBdr>
    </w:div>
    <w:div w:id="1907715324">
      <w:bodyDiv w:val="1"/>
      <w:marLeft w:val="0"/>
      <w:marRight w:val="0"/>
      <w:marTop w:val="0"/>
      <w:marBottom w:val="0"/>
      <w:divBdr>
        <w:top w:val="none" w:sz="0" w:space="0" w:color="auto"/>
        <w:left w:val="none" w:sz="0" w:space="0" w:color="auto"/>
        <w:bottom w:val="none" w:sz="0" w:space="0" w:color="auto"/>
        <w:right w:val="none" w:sz="0" w:space="0" w:color="auto"/>
      </w:divBdr>
    </w:div>
    <w:div w:id="1907839867">
      <w:bodyDiv w:val="1"/>
      <w:marLeft w:val="0"/>
      <w:marRight w:val="0"/>
      <w:marTop w:val="0"/>
      <w:marBottom w:val="0"/>
      <w:divBdr>
        <w:top w:val="none" w:sz="0" w:space="0" w:color="auto"/>
        <w:left w:val="none" w:sz="0" w:space="0" w:color="auto"/>
        <w:bottom w:val="none" w:sz="0" w:space="0" w:color="auto"/>
        <w:right w:val="none" w:sz="0" w:space="0" w:color="auto"/>
      </w:divBdr>
    </w:div>
    <w:div w:id="1908027748">
      <w:bodyDiv w:val="1"/>
      <w:marLeft w:val="0"/>
      <w:marRight w:val="0"/>
      <w:marTop w:val="0"/>
      <w:marBottom w:val="0"/>
      <w:divBdr>
        <w:top w:val="none" w:sz="0" w:space="0" w:color="auto"/>
        <w:left w:val="none" w:sz="0" w:space="0" w:color="auto"/>
        <w:bottom w:val="none" w:sz="0" w:space="0" w:color="auto"/>
        <w:right w:val="none" w:sz="0" w:space="0" w:color="auto"/>
      </w:divBdr>
    </w:div>
    <w:div w:id="1908371819">
      <w:bodyDiv w:val="1"/>
      <w:marLeft w:val="0"/>
      <w:marRight w:val="0"/>
      <w:marTop w:val="0"/>
      <w:marBottom w:val="0"/>
      <w:divBdr>
        <w:top w:val="none" w:sz="0" w:space="0" w:color="auto"/>
        <w:left w:val="none" w:sz="0" w:space="0" w:color="auto"/>
        <w:bottom w:val="none" w:sz="0" w:space="0" w:color="auto"/>
        <w:right w:val="none" w:sz="0" w:space="0" w:color="auto"/>
      </w:divBdr>
    </w:div>
    <w:div w:id="1908419140">
      <w:bodyDiv w:val="1"/>
      <w:marLeft w:val="0"/>
      <w:marRight w:val="0"/>
      <w:marTop w:val="0"/>
      <w:marBottom w:val="0"/>
      <w:divBdr>
        <w:top w:val="none" w:sz="0" w:space="0" w:color="auto"/>
        <w:left w:val="none" w:sz="0" w:space="0" w:color="auto"/>
        <w:bottom w:val="none" w:sz="0" w:space="0" w:color="auto"/>
        <w:right w:val="none" w:sz="0" w:space="0" w:color="auto"/>
      </w:divBdr>
    </w:div>
    <w:div w:id="1908882715">
      <w:bodyDiv w:val="1"/>
      <w:marLeft w:val="0"/>
      <w:marRight w:val="0"/>
      <w:marTop w:val="0"/>
      <w:marBottom w:val="0"/>
      <w:divBdr>
        <w:top w:val="none" w:sz="0" w:space="0" w:color="auto"/>
        <w:left w:val="none" w:sz="0" w:space="0" w:color="auto"/>
        <w:bottom w:val="none" w:sz="0" w:space="0" w:color="auto"/>
        <w:right w:val="none" w:sz="0" w:space="0" w:color="auto"/>
      </w:divBdr>
    </w:div>
    <w:div w:id="1908958640">
      <w:bodyDiv w:val="1"/>
      <w:marLeft w:val="0"/>
      <w:marRight w:val="0"/>
      <w:marTop w:val="0"/>
      <w:marBottom w:val="0"/>
      <w:divBdr>
        <w:top w:val="none" w:sz="0" w:space="0" w:color="auto"/>
        <w:left w:val="none" w:sz="0" w:space="0" w:color="auto"/>
        <w:bottom w:val="none" w:sz="0" w:space="0" w:color="auto"/>
        <w:right w:val="none" w:sz="0" w:space="0" w:color="auto"/>
      </w:divBdr>
    </w:div>
    <w:div w:id="1909074433">
      <w:bodyDiv w:val="1"/>
      <w:marLeft w:val="0"/>
      <w:marRight w:val="0"/>
      <w:marTop w:val="0"/>
      <w:marBottom w:val="0"/>
      <w:divBdr>
        <w:top w:val="none" w:sz="0" w:space="0" w:color="auto"/>
        <w:left w:val="none" w:sz="0" w:space="0" w:color="auto"/>
        <w:bottom w:val="none" w:sz="0" w:space="0" w:color="auto"/>
        <w:right w:val="none" w:sz="0" w:space="0" w:color="auto"/>
      </w:divBdr>
    </w:div>
    <w:div w:id="1909145149">
      <w:bodyDiv w:val="1"/>
      <w:marLeft w:val="0"/>
      <w:marRight w:val="0"/>
      <w:marTop w:val="0"/>
      <w:marBottom w:val="0"/>
      <w:divBdr>
        <w:top w:val="none" w:sz="0" w:space="0" w:color="auto"/>
        <w:left w:val="none" w:sz="0" w:space="0" w:color="auto"/>
        <w:bottom w:val="none" w:sz="0" w:space="0" w:color="auto"/>
        <w:right w:val="none" w:sz="0" w:space="0" w:color="auto"/>
      </w:divBdr>
    </w:div>
    <w:div w:id="1909146186">
      <w:bodyDiv w:val="1"/>
      <w:marLeft w:val="0"/>
      <w:marRight w:val="0"/>
      <w:marTop w:val="0"/>
      <w:marBottom w:val="0"/>
      <w:divBdr>
        <w:top w:val="none" w:sz="0" w:space="0" w:color="auto"/>
        <w:left w:val="none" w:sz="0" w:space="0" w:color="auto"/>
        <w:bottom w:val="none" w:sz="0" w:space="0" w:color="auto"/>
        <w:right w:val="none" w:sz="0" w:space="0" w:color="auto"/>
      </w:divBdr>
    </w:div>
    <w:div w:id="1909461876">
      <w:bodyDiv w:val="1"/>
      <w:marLeft w:val="0"/>
      <w:marRight w:val="0"/>
      <w:marTop w:val="0"/>
      <w:marBottom w:val="0"/>
      <w:divBdr>
        <w:top w:val="none" w:sz="0" w:space="0" w:color="auto"/>
        <w:left w:val="none" w:sz="0" w:space="0" w:color="auto"/>
        <w:bottom w:val="none" w:sz="0" w:space="0" w:color="auto"/>
        <w:right w:val="none" w:sz="0" w:space="0" w:color="auto"/>
      </w:divBdr>
    </w:div>
    <w:div w:id="1909684135">
      <w:bodyDiv w:val="1"/>
      <w:marLeft w:val="0"/>
      <w:marRight w:val="0"/>
      <w:marTop w:val="0"/>
      <w:marBottom w:val="0"/>
      <w:divBdr>
        <w:top w:val="none" w:sz="0" w:space="0" w:color="auto"/>
        <w:left w:val="none" w:sz="0" w:space="0" w:color="auto"/>
        <w:bottom w:val="none" w:sz="0" w:space="0" w:color="auto"/>
        <w:right w:val="none" w:sz="0" w:space="0" w:color="auto"/>
      </w:divBdr>
    </w:div>
    <w:div w:id="1909728660">
      <w:bodyDiv w:val="1"/>
      <w:marLeft w:val="0"/>
      <w:marRight w:val="0"/>
      <w:marTop w:val="0"/>
      <w:marBottom w:val="0"/>
      <w:divBdr>
        <w:top w:val="none" w:sz="0" w:space="0" w:color="auto"/>
        <w:left w:val="none" w:sz="0" w:space="0" w:color="auto"/>
        <w:bottom w:val="none" w:sz="0" w:space="0" w:color="auto"/>
        <w:right w:val="none" w:sz="0" w:space="0" w:color="auto"/>
      </w:divBdr>
    </w:div>
    <w:div w:id="1909798813">
      <w:bodyDiv w:val="1"/>
      <w:marLeft w:val="0"/>
      <w:marRight w:val="0"/>
      <w:marTop w:val="0"/>
      <w:marBottom w:val="0"/>
      <w:divBdr>
        <w:top w:val="none" w:sz="0" w:space="0" w:color="auto"/>
        <w:left w:val="none" w:sz="0" w:space="0" w:color="auto"/>
        <w:bottom w:val="none" w:sz="0" w:space="0" w:color="auto"/>
        <w:right w:val="none" w:sz="0" w:space="0" w:color="auto"/>
      </w:divBdr>
    </w:div>
    <w:div w:id="1910309044">
      <w:bodyDiv w:val="1"/>
      <w:marLeft w:val="0"/>
      <w:marRight w:val="0"/>
      <w:marTop w:val="0"/>
      <w:marBottom w:val="0"/>
      <w:divBdr>
        <w:top w:val="none" w:sz="0" w:space="0" w:color="auto"/>
        <w:left w:val="none" w:sz="0" w:space="0" w:color="auto"/>
        <w:bottom w:val="none" w:sz="0" w:space="0" w:color="auto"/>
        <w:right w:val="none" w:sz="0" w:space="0" w:color="auto"/>
      </w:divBdr>
    </w:div>
    <w:div w:id="1910462024">
      <w:bodyDiv w:val="1"/>
      <w:marLeft w:val="0"/>
      <w:marRight w:val="0"/>
      <w:marTop w:val="0"/>
      <w:marBottom w:val="0"/>
      <w:divBdr>
        <w:top w:val="none" w:sz="0" w:space="0" w:color="auto"/>
        <w:left w:val="none" w:sz="0" w:space="0" w:color="auto"/>
        <w:bottom w:val="none" w:sz="0" w:space="0" w:color="auto"/>
        <w:right w:val="none" w:sz="0" w:space="0" w:color="auto"/>
      </w:divBdr>
    </w:div>
    <w:div w:id="1910531154">
      <w:bodyDiv w:val="1"/>
      <w:marLeft w:val="0"/>
      <w:marRight w:val="0"/>
      <w:marTop w:val="0"/>
      <w:marBottom w:val="0"/>
      <w:divBdr>
        <w:top w:val="none" w:sz="0" w:space="0" w:color="auto"/>
        <w:left w:val="none" w:sz="0" w:space="0" w:color="auto"/>
        <w:bottom w:val="none" w:sz="0" w:space="0" w:color="auto"/>
        <w:right w:val="none" w:sz="0" w:space="0" w:color="auto"/>
      </w:divBdr>
    </w:div>
    <w:div w:id="1910531276">
      <w:bodyDiv w:val="1"/>
      <w:marLeft w:val="0"/>
      <w:marRight w:val="0"/>
      <w:marTop w:val="0"/>
      <w:marBottom w:val="0"/>
      <w:divBdr>
        <w:top w:val="none" w:sz="0" w:space="0" w:color="auto"/>
        <w:left w:val="none" w:sz="0" w:space="0" w:color="auto"/>
        <w:bottom w:val="none" w:sz="0" w:space="0" w:color="auto"/>
        <w:right w:val="none" w:sz="0" w:space="0" w:color="auto"/>
      </w:divBdr>
    </w:div>
    <w:div w:id="1910531974">
      <w:bodyDiv w:val="1"/>
      <w:marLeft w:val="0"/>
      <w:marRight w:val="0"/>
      <w:marTop w:val="0"/>
      <w:marBottom w:val="0"/>
      <w:divBdr>
        <w:top w:val="none" w:sz="0" w:space="0" w:color="auto"/>
        <w:left w:val="none" w:sz="0" w:space="0" w:color="auto"/>
        <w:bottom w:val="none" w:sz="0" w:space="0" w:color="auto"/>
        <w:right w:val="none" w:sz="0" w:space="0" w:color="auto"/>
      </w:divBdr>
    </w:div>
    <w:div w:id="1910532023">
      <w:bodyDiv w:val="1"/>
      <w:marLeft w:val="0"/>
      <w:marRight w:val="0"/>
      <w:marTop w:val="0"/>
      <w:marBottom w:val="0"/>
      <w:divBdr>
        <w:top w:val="none" w:sz="0" w:space="0" w:color="auto"/>
        <w:left w:val="none" w:sz="0" w:space="0" w:color="auto"/>
        <w:bottom w:val="none" w:sz="0" w:space="0" w:color="auto"/>
        <w:right w:val="none" w:sz="0" w:space="0" w:color="auto"/>
      </w:divBdr>
    </w:div>
    <w:div w:id="1910535320">
      <w:bodyDiv w:val="1"/>
      <w:marLeft w:val="0"/>
      <w:marRight w:val="0"/>
      <w:marTop w:val="0"/>
      <w:marBottom w:val="0"/>
      <w:divBdr>
        <w:top w:val="none" w:sz="0" w:space="0" w:color="auto"/>
        <w:left w:val="none" w:sz="0" w:space="0" w:color="auto"/>
        <w:bottom w:val="none" w:sz="0" w:space="0" w:color="auto"/>
        <w:right w:val="none" w:sz="0" w:space="0" w:color="auto"/>
      </w:divBdr>
    </w:div>
    <w:div w:id="1910579158">
      <w:bodyDiv w:val="1"/>
      <w:marLeft w:val="0"/>
      <w:marRight w:val="0"/>
      <w:marTop w:val="0"/>
      <w:marBottom w:val="0"/>
      <w:divBdr>
        <w:top w:val="none" w:sz="0" w:space="0" w:color="auto"/>
        <w:left w:val="none" w:sz="0" w:space="0" w:color="auto"/>
        <w:bottom w:val="none" w:sz="0" w:space="0" w:color="auto"/>
        <w:right w:val="none" w:sz="0" w:space="0" w:color="auto"/>
      </w:divBdr>
    </w:div>
    <w:div w:id="1910647510">
      <w:bodyDiv w:val="1"/>
      <w:marLeft w:val="0"/>
      <w:marRight w:val="0"/>
      <w:marTop w:val="0"/>
      <w:marBottom w:val="0"/>
      <w:divBdr>
        <w:top w:val="none" w:sz="0" w:space="0" w:color="auto"/>
        <w:left w:val="none" w:sz="0" w:space="0" w:color="auto"/>
        <w:bottom w:val="none" w:sz="0" w:space="0" w:color="auto"/>
        <w:right w:val="none" w:sz="0" w:space="0" w:color="auto"/>
      </w:divBdr>
    </w:div>
    <w:div w:id="1910770475">
      <w:bodyDiv w:val="1"/>
      <w:marLeft w:val="0"/>
      <w:marRight w:val="0"/>
      <w:marTop w:val="0"/>
      <w:marBottom w:val="0"/>
      <w:divBdr>
        <w:top w:val="none" w:sz="0" w:space="0" w:color="auto"/>
        <w:left w:val="none" w:sz="0" w:space="0" w:color="auto"/>
        <w:bottom w:val="none" w:sz="0" w:space="0" w:color="auto"/>
        <w:right w:val="none" w:sz="0" w:space="0" w:color="auto"/>
      </w:divBdr>
    </w:div>
    <w:div w:id="1910849476">
      <w:bodyDiv w:val="1"/>
      <w:marLeft w:val="0"/>
      <w:marRight w:val="0"/>
      <w:marTop w:val="0"/>
      <w:marBottom w:val="0"/>
      <w:divBdr>
        <w:top w:val="none" w:sz="0" w:space="0" w:color="auto"/>
        <w:left w:val="none" w:sz="0" w:space="0" w:color="auto"/>
        <w:bottom w:val="none" w:sz="0" w:space="0" w:color="auto"/>
        <w:right w:val="none" w:sz="0" w:space="0" w:color="auto"/>
      </w:divBdr>
    </w:div>
    <w:div w:id="1910921970">
      <w:bodyDiv w:val="1"/>
      <w:marLeft w:val="0"/>
      <w:marRight w:val="0"/>
      <w:marTop w:val="0"/>
      <w:marBottom w:val="0"/>
      <w:divBdr>
        <w:top w:val="none" w:sz="0" w:space="0" w:color="auto"/>
        <w:left w:val="none" w:sz="0" w:space="0" w:color="auto"/>
        <w:bottom w:val="none" w:sz="0" w:space="0" w:color="auto"/>
        <w:right w:val="none" w:sz="0" w:space="0" w:color="auto"/>
      </w:divBdr>
    </w:div>
    <w:div w:id="1911033760">
      <w:bodyDiv w:val="1"/>
      <w:marLeft w:val="0"/>
      <w:marRight w:val="0"/>
      <w:marTop w:val="0"/>
      <w:marBottom w:val="0"/>
      <w:divBdr>
        <w:top w:val="none" w:sz="0" w:space="0" w:color="auto"/>
        <w:left w:val="none" w:sz="0" w:space="0" w:color="auto"/>
        <w:bottom w:val="none" w:sz="0" w:space="0" w:color="auto"/>
        <w:right w:val="none" w:sz="0" w:space="0" w:color="auto"/>
      </w:divBdr>
    </w:div>
    <w:div w:id="1911035472">
      <w:bodyDiv w:val="1"/>
      <w:marLeft w:val="0"/>
      <w:marRight w:val="0"/>
      <w:marTop w:val="0"/>
      <w:marBottom w:val="0"/>
      <w:divBdr>
        <w:top w:val="none" w:sz="0" w:space="0" w:color="auto"/>
        <w:left w:val="none" w:sz="0" w:space="0" w:color="auto"/>
        <w:bottom w:val="none" w:sz="0" w:space="0" w:color="auto"/>
        <w:right w:val="none" w:sz="0" w:space="0" w:color="auto"/>
      </w:divBdr>
    </w:div>
    <w:div w:id="1911109317">
      <w:bodyDiv w:val="1"/>
      <w:marLeft w:val="0"/>
      <w:marRight w:val="0"/>
      <w:marTop w:val="0"/>
      <w:marBottom w:val="0"/>
      <w:divBdr>
        <w:top w:val="none" w:sz="0" w:space="0" w:color="auto"/>
        <w:left w:val="none" w:sz="0" w:space="0" w:color="auto"/>
        <w:bottom w:val="none" w:sz="0" w:space="0" w:color="auto"/>
        <w:right w:val="none" w:sz="0" w:space="0" w:color="auto"/>
      </w:divBdr>
    </w:div>
    <w:div w:id="1911112224">
      <w:bodyDiv w:val="1"/>
      <w:marLeft w:val="0"/>
      <w:marRight w:val="0"/>
      <w:marTop w:val="0"/>
      <w:marBottom w:val="0"/>
      <w:divBdr>
        <w:top w:val="none" w:sz="0" w:space="0" w:color="auto"/>
        <w:left w:val="none" w:sz="0" w:space="0" w:color="auto"/>
        <w:bottom w:val="none" w:sz="0" w:space="0" w:color="auto"/>
        <w:right w:val="none" w:sz="0" w:space="0" w:color="auto"/>
      </w:divBdr>
    </w:div>
    <w:div w:id="1911185438">
      <w:bodyDiv w:val="1"/>
      <w:marLeft w:val="0"/>
      <w:marRight w:val="0"/>
      <w:marTop w:val="0"/>
      <w:marBottom w:val="0"/>
      <w:divBdr>
        <w:top w:val="none" w:sz="0" w:space="0" w:color="auto"/>
        <w:left w:val="none" w:sz="0" w:space="0" w:color="auto"/>
        <w:bottom w:val="none" w:sz="0" w:space="0" w:color="auto"/>
        <w:right w:val="none" w:sz="0" w:space="0" w:color="auto"/>
      </w:divBdr>
    </w:div>
    <w:div w:id="1911185847">
      <w:bodyDiv w:val="1"/>
      <w:marLeft w:val="0"/>
      <w:marRight w:val="0"/>
      <w:marTop w:val="0"/>
      <w:marBottom w:val="0"/>
      <w:divBdr>
        <w:top w:val="none" w:sz="0" w:space="0" w:color="auto"/>
        <w:left w:val="none" w:sz="0" w:space="0" w:color="auto"/>
        <w:bottom w:val="none" w:sz="0" w:space="0" w:color="auto"/>
        <w:right w:val="none" w:sz="0" w:space="0" w:color="auto"/>
      </w:divBdr>
    </w:div>
    <w:div w:id="1911229891">
      <w:bodyDiv w:val="1"/>
      <w:marLeft w:val="0"/>
      <w:marRight w:val="0"/>
      <w:marTop w:val="0"/>
      <w:marBottom w:val="0"/>
      <w:divBdr>
        <w:top w:val="none" w:sz="0" w:space="0" w:color="auto"/>
        <w:left w:val="none" w:sz="0" w:space="0" w:color="auto"/>
        <w:bottom w:val="none" w:sz="0" w:space="0" w:color="auto"/>
        <w:right w:val="none" w:sz="0" w:space="0" w:color="auto"/>
      </w:divBdr>
    </w:div>
    <w:div w:id="1911231572">
      <w:bodyDiv w:val="1"/>
      <w:marLeft w:val="0"/>
      <w:marRight w:val="0"/>
      <w:marTop w:val="0"/>
      <w:marBottom w:val="0"/>
      <w:divBdr>
        <w:top w:val="none" w:sz="0" w:space="0" w:color="auto"/>
        <w:left w:val="none" w:sz="0" w:space="0" w:color="auto"/>
        <w:bottom w:val="none" w:sz="0" w:space="0" w:color="auto"/>
        <w:right w:val="none" w:sz="0" w:space="0" w:color="auto"/>
      </w:divBdr>
    </w:div>
    <w:div w:id="1911232867">
      <w:bodyDiv w:val="1"/>
      <w:marLeft w:val="0"/>
      <w:marRight w:val="0"/>
      <w:marTop w:val="0"/>
      <w:marBottom w:val="0"/>
      <w:divBdr>
        <w:top w:val="none" w:sz="0" w:space="0" w:color="auto"/>
        <w:left w:val="none" w:sz="0" w:space="0" w:color="auto"/>
        <w:bottom w:val="none" w:sz="0" w:space="0" w:color="auto"/>
        <w:right w:val="none" w:sz="0" w:space="0" w:color="auto"/>
      </w:divBdr>
    </w:div>
    <w:div w:id="1911233543">
      <w:bodyDiv w:val="1"/>
      <w:marLeft w:val="0"/>
      <w:marRight w:val="0"/>
      <w:marTop w:val="0"/>
      <w:marBottom w:val="0"/>
      <w:divBdr>
        <w:top w:val="none" w:sz="0" w:space="0" w:color="auto"/>
        <w:left w:val="none" w:sz="0" w:space="0" w:color="auto"/>
        <w:bottom w:val="none" w:sz="0" w:space="0" w:color="auto"/>
        <w:right w:val="none" w:sz="0" w:space="0" w:color="auto"/>
      </w:divBdr>
    </w:div>
    <w:div w:id="1911386184">
      <w:bodyDiv w:val="1"/>
      <w:marLeft w:val="0"/>
      <w:marRight w:val="0"/>
      <w:marTop w:val="0"/>
      <w:marBottom w:val="0"/>
      <w:divBdr>
        <w:top w:val="none" w:sz="0" w:space="0" w:color="auto"/>
        <w:left w:val="none" w:sz="0" w:space="0" w:color="auto"/>
        <w:bottom w:val="none" w:sz="0" w:space="0" w:color="auto"/>
        <w:right w:val="none" w:sz="0" w:space="0" w:color="auto"/>
      </w:divBdr>
    </w:div>
    <w:div w:id="1911622434">
      <w:bodyDiv w:val="1"/>
      <w:marLeft w:val="0"/>
      <w:marRight w:val="0"/>
      <w:marTop w:val="0"/>
      <w:marBottom w:val="0"/>
      <w:divBdr>
        <w:top w:val="none" w:sz="0" w:space="0" w:color="auto"/>
        <w:left w:val="none" w:sz="0" w:space="0" w:color="auto"/>
        <w:bottom w:val="none" w:sz="0" w:space="0" w:color="auto"/>
        <w:right w:val="none" w:sz="0" w:space="0" w:color="auto"/>
      </w:divBdr>
    </w:div>
    <w:div w:id="1911767489">
      <w:bodyDiv w:val="1"/>
      <w:marLeft w:val="0"/>
      <w:marRight w:val="0"/>
      <w:marTop w:val="0"/>
      <w:marBottom w:val="0"/>
      <w:divBdr>
        <w:top w:val="none" w:sz="0" w:space="0" w:color="auto"/>
        <w:left w:val="none" w:sz="0" w:space="0" w:color="auto"/>
        <w:bottom w:val="none" w:sz="0" w:space="0" w:color="auto"/>
        <w:right w:val="none" w:sz="0" w:space="0" w:color="auto"/>
      </w:divBdr>
    </w:div>
    <w:div w:id="1911845651">
      <w:bodyDiv w:val="1"/>
      <w:marLeft w:val="0"/>
      <w:marRight w:val="0"/>
      <w:marTop w:val="0"/>
      <w:marBottom w:val="0"/>
      <w:divBdr>
        <w:top w:val="none" w:sz="0" w:space="0" w:color="auto"/>
        <w:left w:val="none" w:sz="0" w:space="0" w:color="auto"/>
        <w:bottom w:val="none" w:sz="0" w:space="0" w:color="auto"/>
        <w:right w:val="none" w:sz="0" w:space="0" w:color="auto"/>
      </w:divBdr>
    </w:div>
    <w:div w:id="1912153520">
      <w:bodyDiv w:val="1"/>
      <w:marLeft w:val="0"/>
      <w:marRight w:val="0"/>
      <w:marTop w:val="0"/>
      <w:marBottom w:val="0"/>
      <w:divBdr>
        <w:top w:val="none" w:sz="0" w:space="0" w:color="auto"/>
        <w:left w:val="none" w:sz="0" w:space="0" w:color="auto"/>
        <w:bottom w:val="none" w:sz="0" w:space="0" w:color="auto"/>
        <w:right w:val="none" w:sz="0" w:space="0" w:color="auto"/>
      </w:divBdr>
    </w:div>
    <w:div w:id="1912234673">
      <w:bodyDiv w:val="1"/>
      <w:marLeft w:val="0"/>
      <w:marRight w:val="0"/>
      <w:marTop w:val="0"/>
      <w:marBottom w:val="0"/>
      <w:divBdr>
        <w:top w:val="none" w:sz="0" w:space="0" w:color="auto"/>
        <w:left w:val="none" w:sz="0" w:space="0" w:color="auto"/>
        <w:bottom w:val="none" w:sz="0" w:space="0" w:color="auto"/>
        <w:right w:val="none" w:sz="0" w:space="0" w:color="auto"/>
      </w:divBdr>
    </w:div>
    <w:div w:id="1912346473">
      <w:bodyDiv w:val="1"/>
      <w:marLeft w:val="0"/>
      <w:marRight w:val="0"/>
      <w:marTop w:val="0"/>
      <w:marBottom w:val="0"/>
      <w:divBdr>
        <w:top w:val="none" w:sz="0" w:space="0" w:color="auto"/>
        <w:left w:val="none" w:sz="0" w:space="0" w:color="auto"/>
        <w:bottom w:val="none" w:sz="0" w:space="0" w:color="auto"/>
        <w:right w:val="none" w:sz="0" w:space="0" w:color="auto"/>
      </w:divBdr>
    </w:div>
    <w:div w:id="1912425134">
      <w:bodyDiv w:val="1"/>
      <w:marLeft w:val="0"/>
      <w:marRight w:val="0"/>
      <w:marTop w:val="0"/>
      <w:marBottom w:val="0"/>
      <w:divBdr>
        <w:top w:val="none" w:sz="0" w:space="0" w:color="auto"/>
        <w:left w:val="none" w:sz="0" w:space="0" w:color="auto"/>
        <w:bottom w:val="none" w:sz="0" w:space="0" w:color="auto"/>
        <w:right w:val="none" w:sz="0" w:space="0" w:color="auto"/>
      </w:divBdr>
    </w:div>
    <w:div w:id="1912497091">
      <w:bodyDiv w:val="1"/>
      <w:marLeft w:val="0"/>
      <w:marRight w:val="0"/>
      <w:marTop w:val="0"/>
      <w:marBottom w:val="0"/>
      <w:divBdr>
        <w:top w:val="none" w:sz="0" w:space="0" w:color="auto"/>
        <w:left w:val="none" w:sz="0" w:space="0" w:color="auto"/>
        <w:bottom w:val="none" w:sz="0" w:space="0" w:color="auto"/>
        <w:right w:val="none" w:sz="0" w:space="0" w:color="auto"/>
      </w:divBdr>
    </w:div>
    <w:div w:id="1912733790">
      <w:bodyDiv w:val="1"/>
      <w:marLeft w:val="0"/>
      <w:marRight w:val="0"/>
      <w:marTop w:val="0"/>
      <w:marBottom w:val="0"/>
      <w:divBdr>
        <w:top w:val="none" w:sz="0" w:space="0" w:color="auto"/>
        <w:left w:val="none" w:sz="0" w:space="0" w:color="auto"/>
        <w:bottom w:val="none" w:sz="0" w:space="0" w:color="auto"/>
        <w:right w:val="none" w:sz="0" w:space="0" w:color="auto"/>
      </w:divBdr>
    </w:div>
    <w:div w:id="1912736941">
      <w:bodyDiv w:val="1"/>
      <w:marLeft w:val="0"/>
      <w:marRight w:val="0"/>
      <w:marTop w:val="0"/>
      <w:marBottom w:val="0"/>
      <w:divBdr>
        <w:top w:val="none" w:sz="0" w:space="0" w:color="auto"/>
        <w:left w:val="none" w:sz="0" w:space="0" w:color="auto"/>
        <w:bottom w:val="none" w:sz="0" w:space="0" w:color="auto"/>
        <w:right w:val="none" w:sz="0" w:space="0" w:color="auto"/>
      </w:divBdr>
    </w:div>
    <w:div w:id="1912812236">
      <w:bodyDiv w:val="1"/>
      <w:marLeft w:val="0"/>
      <w:marRight w:val="0"/>
      <w:marTop w:val="0"/>
      <w:marBottom w:val="0"/>
      <w:divBdr>
        <w:top w:val="none" w:sz="0" w:space="0" w:color="auto"/>
        <w:left w:val="none" w:sz="0" w:space="0" w:color="auto"/>
        <w:bottom w:val="none" w:sz="0" w:space="0" w:color="auto"/>
        <w:right w:val="none" w:sz="0" w:space="0" w:color="auto"/>
      </w:divBdr>
    </w:div>
    <w:div w:id="1912814453">
      <w:bodyDiv w:val="1"/>
      <w:marLeft w:val="0"/>
      <w:marRight w:val="0"/>
      <w:marTop w:val="0"/>
      <w:marBottom w:val="0"/>
      <w:divBdr>
        <w:top w:val="none" w:sz="0" w:space="0" w:color="auto"/>
        <w:left w:val="none" w:sz="0" w:space="0" w:color="auto"/>
        <w:bottom w:val="none" w:sz="0" w:space="0" w:color="auto"/>
        <w:right w:val="none" w:sz="0" w:space="0" w:color="auto"/>
      </w:divBdr>
    </w:div>
    <w:div w:id="1912999468">
      <w:bodyDiv w:val="1"/>
      <w:marLeft w:val="0"/>
      <w:marRight w:val="0"/>
      <w:marTop w:val="0"/>
      <w:marBottom w:val="0"/>
      <w:divBdr>
        <w:top w:val="none" w:sz="0" w:space="0" w:color="auto"/>
        <w:left w:val="none" w:sz="0" w:space="0" w:color="auto"/>
        <w:bottom w:val="none" w:sz="0" w:space="0" w:color="auto"/>
        <w:right w:val="none" w:sz="0" w:space="0" w:color="auto"/>
      </w:divBdr>
    </w:div>
    <w:div w:id="1913081806">
      <w:bodyDiv w:val="1"/>
      <w:marLeft w:val="0"/>
      <w:marRight w:val="0"/>
      <w:marTop w:val="0"/>
      <w:marBottom w:val="0"/>
      <w:divBdr>
        <w:top w:val="none" w:sz="0" w:space="0" w:color="auto"/>
        <w:left w:val="none" w:sz="0" w:space="0" w:color="auto"/>
        <w:bottom w:val="none" w:sz="0" w:space="0" w:color="auto"/>
        <w:right w:val="none" w:sz="0" w:space="0" w:color="auto"/>
      </w:divBdr>
    </w:div>
    <w:div w:id="1913270335">
      <w:bodyDiv w:val="1"/>
      <w:marLeft w:val="0"/>
      <w:marRight w:val="0"/>
      <w:marTop w:val="0"/>
      <w:marBottom w:val="0"/>
      <w:divBdr>
        <w:top w:val="none" w:sz="0" w:space="0" w:color="auto"/>
        <w:left w:val="none" w:sz="0" w:space="0" w:color="auto"/>
        <w:bottom w:val="none" w:sz="0" w:space="0" w:color="auto"/>
        <w:right w:val="none" w:sz="0" w:space="0" w:color="auto"/>
      </w:divBdr>
    </w:div>
    <w:div w:id="1913352063">
      <w:bodyDiv w:val="1"/>
      <w:marLeft w:val="0"/>
      <w:marRight w:val="0"/>
      <w:marTop w:val="0"/>
      <w:marBottom w:val="0"/>
      <w:divBdr>
        <w:top w:val="none" w:sz="0" w:space="0" w:color="auto"/>
        <w:left w:val="none" w:sz="0" w:space="0" w:color="auto"/>
        <w:bottom w:val="none" w:sz="0" w:space="0" w:color="auto"/>
        <w:right w:val="none" w:sz="0" w:space="0" w:color="auto"/>
      </w:divBdr>
    </w:div>
    <w:div w:id="1913468055">
      <w:bodyDiv w:val="1"/>
      <w:marLeft w:val="0"/>
      <w:marRight w:val="0"/>
      <w:marTop w:val="0"/>
      <w:marBottom w:val="0"/>
      <w:divBdr>
        <w:top w:val="none" w:sz="0" w:space="0" w:color="auto"/>
        <w:left w:val="none" w:sz="0" w:space="0" w:color="auto"/>
        <w:bottom w:val="none" w:sz="0" w:space="0" w:color="auto"/>
        <w:right w:val="none" w:sz="0" w:space="0" w:color="auto"/>
      </w:divBdr>
    </w:div>
    <w:div w:id="1913739410">
      <w:bodyDiv w:val="1"/>
      <w:marLeft w:val="0"/>
      <w:marRight w:val="0"/>
      <w:marTop w:val="0"/>
      <w:marBottom w:val="0"/>
      <w:divBdr>
        <w:top w:val="none" w:sz="0" w:space="0" w:color="auto"/>
        <w:left w:val="none" w:sz="0" w:space="0" w:color="auto"/>
        <w:bottom w:val="none" w:sz="0" w:space="0" w:color="auto"/>
        <w:right w:val="none" w:sz="0" w:space="0" w:color="auto"/>
      </w:divBdr>
    </w:div>
    <w:div w:id="1913812738">
      <w:bodyDiv w:val="1"/>
      <w:marLeft w:val="0"/>
      <w:marRight w:val="0"/>
      <w:marTop w:val="0"/>
      <w:marBottom w:val="0"/>
      <w:divBdr>
        <w:top w:val="none" w:sz="0" w:space="0" w:color="auto"/>
        <w:left w:val="none" w:sz="0" w:space="0" w:color="auto"/>
        <w:bottom w:val="none" w:sz="0" w:space="0" w:color="auto"/>
        <w:right w:val="none" w:sz="0" w:space="0" w:color="auto"/>
      </w:divBdr>
    </w:div>
    <w:div w:id="1913853054">
      <w:bodyDiv w:val="1"/>
      <w:marLeft w:val="0"/>
      <w:marRight w:val="0"/>
      <w:marTop w:val="0"/>
      <w:marBottom w:val="0"/>
      <w:divBdr>
        <w:top w:val="none" w:sz="0" w:space="0" w:color="auto"/>
        <w:left w:val="none" w:sz="0" w:space="0" w:color="auto"/>
        <w:bottom w:val="none" w:sz="0" w:space="0" w:color="auto"/>
        <w:right w:val="none" w:sz="0" w:space="0" w:color="auto"/>
      </w:divBdr>
    </w:div>
    <w:div w:id="1913998756">
      <w:bodyDiv w:val="1"/>
      <w:marLeft w:val="0"/>
      <w:marRight w:val="0"/>
      <w:marTop w:val="0"/>
      <w:marBottom w:val="0"/>
      <w:divBdr>
        <w:top w:val="none" w:sz="0" w:space="0" w:color="auto"/>
        <w:left w:val="none" w:sz="0" w:space="0" w:color="auto"/>
        <w:bottom w:val="none" w:sz="0" w:space="0" w:color="auto"/>
        <w:right w:val="none" w:sz="0" w:space="0" w:color="auto"/>
      </w:divBdr>
    </w:div>
    <w:div w:id="1914050676">
      <w:bodyDiv w:val="1"/>
      <w:marLeft w:val="0"/>
      <w:marRight w:val="0"/>
      <w:marTop w:val="0"/>
      <w:marBottom w:val="0"/>
      <w:divBdr>
        <w:top w:val="none" w:sz="0" w:space="0" w:color="auto"/>
        <w:left w:val="none" w:sz="0" w:space="0" w:color="auto"/>
        <w:bottom w:val="none" w:sz="0" w:space="0" w:color="auto"/>
        <w:right w:val="none" w:sz="0" w:space="0" w:color="auto"/>
      </w:divBdr>
    </w:div>
    <w:div w:id="1914075898">
      <w:bodyDiv w:val="1"/>
      <w:marLeft w:val="0"/>
      <w:marRight w:val="0"/>
      <w:marTop w:val="0"/>
      <w:marBottom w:val="0"/>
      <w:divBdr>
        <w:top w:val="none" w:sz="0" w:space="0" w:color="auto"/>
        <w:left w:val="none" w:sz="0" w:space="0" w:color="auto"/>
        <w:bottom w:val="none" w:sz="0" w:space="0" w:color="auto"/>
        <w:right w:val="none" w:sz="0" w:space="0" w:color="auto"/>
      </w:divBdr>
    </w:div>
    <w:div w:id="1914195499">
      <w:bodyDiv w:val="1"/>
      <w:marLeft w:val="0"/>
      <w:marRight w:val="0"/>
      <w:marTop w:val="0"/>
      <w:marBottom w:val="0"/>
      <w:divBdr>
        <w:top w:val="none" w:sz="0" w:space="0" w:color="auto"/>
        <w:left w:val="none" w:sz="0" w:space="0" w:color="auto"/>
        <w:bottom w:val="none" w:sz="0" w:space="0" w:color="auto"/>
        <w:right w:val="none" w:sz="0" w:space="0" w:color="auto"/>
      </w:divBdr>
    </w:div>
    <w:div w:id="1914198736">
      <w:bodyDiv w:val="1"/>
      <w:marLeft w:val="0"/>
      <w:marRight w:val="0"/>
      <w:marTop w:val="0"/>
      <w:marBottom w:val="0"/>
      <w:divBdr>
        <w:top w:val="none" w:sz="0" w:space="0" w:color="auto"/>
        <w:left w:val="none" w:sz="0" w:space="0" w:color="auto"/>
        <w:bottom w:val="none" w:sz="0" w:space="0" w:color="auto"/>
        <w:right w:val="none" w:sz="0" w:space="0" w:color="auto"/>
      </w:divBdr>
    </w:div>
    <w:div w:id="1914778682">
      <w:bodyDiv w:val="1"/>
      <w:marLeft w:val="0"/>
      <w:marRight w:val="0"/>
      <w:marTop w:val="0"/>
      <w:marBottom w:val="0"/>
      <w:divBdr>
        <w:top w:val="none" w:sz="0" w:space="0" w:color="auto"/>
        <w:left w:val="none" w:sz="0" w:space="0" w:color="auto"/>
        <w:bottom w:val="none" w:sz="0" w:space="0" w:color="auto"/>
        <w:right w:val="none" w:sz="0" w:space="0" w:color="auto"/>
      </w:divBdr>
    </w:div>
    <w:div w:id="1914897728">
      <w:bodyDiv w:val="1"/>
      <w:marLeft w:val="0"/>
      <w:marRight w:val="0"/>
      <w:marTop w:val="0"/>
      <w:marBottom w:val="0"/>
      <w:divBdr>
        <w:top w:val="none" w:sz="0" w:space="0" w:color="auto"/>
        <w:left w:val="none" w:sz="0" w:space="0" w:color="auto"/>
        <w:bottom w:val="none" w:sz="0" w:space="0" w:color="auto"/>
        <w:right w:val="none" w:sz="0" w:space="0" w:color="auto"/>
      </w:divBdr>
    </w:div>
    <w:div w:id="1915243224">
      <w:bodyDiv w:val="1"/>
      <w:marLeft w:val="0"/>
      <w:marRight w:val="0"/>
      <w:marTop w:val="0"/>
      <w:marBottom w:val="0"/>
      <w:divBdr>
        <w:top w:val="none" w:sz="0" w:space="0" w:color="auto"/>
        <w:left w:val="none" w:sz="0" w:space="0" w:color="auto"/>
        <w:bottom w:val="none" w:sz="0" w:space="0" w:color="auto"/>
        <w:right w:val="none" w:sz="0" w:space="0" w:color="auto"/>
      </w:divBdr>
    </w:div>
    <w:div w:id="1915310052">
      <w:bodyDiv w:val="1"/>
      <w:marLeft w:val="0"/>
      <w:marRight w:val="0"/>
      <w:marTop w:val="0"/>
      <w:marBottom w:val="0"/>
      <w:divBdr>
        <w:top w:val="none" w:sz="0" w:space="0" w:color="auto"/>
        <w:left w:val="none" w:sz="0" w:space="0" w:color="auto"/>
        <w:bottom w:val="none" w:sz="0" w:space="0" w:color="auto"/>
        <w:right w:val="none" w:sz="0" w:space="0" w:color="auto"/>
      </w:divBdr>
    </w:div>
    <w:div w:id="1915554201">
      <w:bodyDiv w:val="1"/>
      <w:marLeft w:val="0"/>
      <w:marRight w:val="0"/>
      <w:marTop w:val="0"/>
      <w:marBottom w:val="0"/>
      <w:divBdr>
        <w:top w:val="none" w:sz="0" w:space="0" w:color="auto"/>
        <w:left w:val="none" w:sz="0" w:space="0" w:color="auto"/>
        <w:bottom w:val="none" w:sz="0" w:space="0" w:color="auto"/>
        <w:right w:val="none" w:sz="0" w:space="0" w:color="auto"/>
      </w:divBdr>
    </w:div>
    <w:div w:id="1915620610">
      <w:bodyDiv w:val="1"/>
      <w:marLeft w:val="0"/>
      <w:marRight w:val="0"/>
      <w:marTop w:val="0"/>
      <w:marBottom w:val="0"/>
      <w:divBdr>
        <w:top w:val="none" w:sz="0" w:space="0" w:color="auto"/>
        <w:left w:val="none" w:sz="0" w:space="0" w:color="auto"/>
        <w:bottom w:val="none" w:sz="0" w:space="0" w:color="auto"/>
        <w:right w:val="none" w:sz="0" w:space="0" w:color="auto"/>
      </w:divBdr>
    </w:div>
    <w:div w:id="1915704916">
      <w:bodyDiv w:val="1"/>
      <w:marLeft w:val="0"/>
      <w:marRight w:val="0"/>
      <w:marTop w:val="0"/>
      <w:marBottom w:val="0"/>
      <w:divBdr>
        <w:top w:val="none" w:sz="0" w:space="0" w:color="auto"/>
        <w:left w:val="none" w:sz="0" w:space="0" w:color="auto"/>
        <w:bottom w:val="none" w:sz="0" w:space="0" w:color="auto"/>
        <w:right w:val="none" w:sz="0" w:space="0" w:color="auto"/>
      </w:divBdr>
    </w:div>
    <w:div w:id="1915965318">
      <w:bodyDiv w:val="1"/>
      <w:marLeft w:val="0"/>
      <w:marRight w:val="0"/>
      <w:marTop w:val="0"/>
      <w:marBottom w:val="0"/>
      <w:divBdr>
        <w:top w:val="none" w:sz="0" w:space="0" w:color="auto"/>
        <w:left w:val="none" w:sz="0" w:space="0" w:color="auto"/>
        <w:bottom w:val="none" w:sz="0" w:space="0" w:color="auto"/>
        <w:right w:val="none" w:sz="0" w:space="0" w:color="auto"/>
      </w:divBdr>
    </w:div>
    <w:div w:id="1915966343">
      <w:bodyDiv w:val="1"/>
      <w:marLeft w:val="0"/>
      <w:marRight w:val="0"/>
      <w:marTop w:val="0"/>
      <w:marBottom w:val="0"/>
      <w:divBdr>
        <w:top w:val="none" w:sz="0" w:space="0" w:color="auto"/>
        <w:left w:val="none" w:sz="0" w:space="0" w:color="auto"/>
        <w:bottom w:val="none" w:sz="0" w:space="0" w:color="auto"/>
        <w:right w:val="none" w:sz="0" w:space="0" w:color="auto"/>
      </w:divBdr>
    </w:div>
    <w:div w:id="1916043205">
      <w:bodyDiv w:val="1"/>
      <w:marLeft w:val="0"/>
      <w:marRight w:val="0"/>
      <w:marTop w:val="0"/>
      <w:marBottom w:val="0"/>
      <w:divBdr>
        <w:top w:val="none" w:sz="0" w:space="0" w:color="auto"/>
        <w:left w:val="none" w:sz="0" w:space="0" w:color="auto"/>
        <w:bottom w:val="none" w:sz="0" w:space="0" w:color="auto"/>
        <w:right w:val="none" w:sz="0" w:space="0" w:color="auto"/>
      </w:divBdr>
    </w:div>
    <w:div w:id="1916434895">
      <w:bodyDiv w:val="1"/>
      <w:marLeft w:val="0"/>
      <w:marRight w:val="0"/>
      <w:marTop w:val="0"/>
      <w:marBottom w:val="0"/>
      <w:divBdr>
        <w:top w:val="none" w:sz="0" w:space="0" w:color="auto"/>
        <w:left w:val="none" w:sz="0" w:space="0" w:color="auto"/>
        <w:bottom w:val="none" w:sz="0" w:space="0" w:color="auto"/>
        <w:right w:val="none" w:sz="0" w:space="0" w:color="auto"/>
      </w:divBdr>
    </w:div>
    <w:div w:id="1916475136">
      <w:bodyDiv w:val="1"/>
      <w:marLeft w:val="0"/>
      <w:marRight w:val="0"/>
      <w:marTop w:val="0"/>
      <w:marBottom w:val="0"/>
      <w:divBdr>
        <w:top w:val="none" w:sz="0" w:space="0" w:color="auto"/>
        <w:left w:val="none" w:sz="0" w:space="0" w:color="auto"/>
        <w:bottom w:val="none" w:sz="0" w:space="0" w:color="auto"/>
        <w:right w:val="none" w:sz="0" w:space="0" w:color="auto"/>
      </w:divBdr>
    </w:div>
    <w:div w:id="1916553602">
      <w:bodyDiv w:val="1"/>
      <w:marLeft w:val="0"/>
      <w:marRight w:val="0"/>
      <w:marTop w:val="0"/>
      <w:marBottom w:val="0"/>
      <w:divBdr>
        <w:top w:val="none" w:sz="0" w:space="0" w:color="auto"/>
        <w:left w:val="none" w:sz="0" w:space="0" w:color="auto"/>
        <w:bottom w:val="none" w:sz="0" w:space="0" w:color="auto"/>
        <w:right w:val="none" w:sz="0" w:space="0" w:color="auto"/>
      </w:divBdr>
    </w:div>
    <w:div w:id="1916554005">
      <w:bodyDiv w:val="1"/>
      <w:marLeft w:val="0"/>
      <w:marRight w:val="0"/>
      <w:marTop w:val="0"/>
      <w:marBottom w:val="0"/>
      <w:divBdr>
        <w:top w:val="none" w:sz="0" w:space="0" w:color="auto"/>
        <w:left w:val="none" w:sz="0" w:space="0" w:color="auto"/>
        <w:bottom w:val="none" w:sz="0" w:space="0" w:color="auto"/>
        <w:right w:val="none" w:sz="0" w:space="0" w:color="auto"/>
      </w:divBdr>
    </w:div>
    <w:div w:id="1916668627">
      <w:bodyDiv w:val="1"/>
      <w:marLeft w:val="0"/>
      <w:marRight w:val="0"/>
      <w:marTop w:val="0"/>
      <w:marBottom w:val="0"/>
      <w:divBdr>
        <w:top w:val="none" w:sz="0" w:space="0" w:color="auto"/>
        <w:left w:val="none" w:sz="0" w:space="0" w:color="auto"/>
        <w:bottom w:val="none" w:sz="0" w:space="0" w:color="auto"/>
        <w:right w:val="none" w:sz="0" w:space="0" w:color="auto"/>
      </w:divBdr>
    </w:div>
    <w:div w:id="1916816101">
      <w:bodyDiv w:val="1"/>
      <w:marLeft w:val="0"/>
      <w:marRight w:val="0"/>
      <w:marTop w:val="0"/>
      <w:marBottom w:val="0"/>
      <w:divBdr>
        <w:top w:val="none" w:sz="0" w:space="0" w:color="auto"/>
        <w:left w:val="none" w:sz="0" w:space="0" w:color="auto"/>
        <w:bottom w:val="none" w:sz="0" w:space="0" w:color="auto"/>
        <w:right w:val="none" w:sz="0" w:space="0" w:color="auto"/>
      </w:divBdr>
    </w:div>
    <w:div w:id="1917007817">
      <w:bodyDiv w:val="1"/>
      <w:marLeft w:val="0"/>
      <w:marRight w:val="0"/>
      <w:marTop w:val="0"/>
      <w:marBottom w:val="0"/>
      <w:divBdr>
        <w:top w:val="none" w:sz="0" w:space="0" w:color="auto"/>
        <w:left w:val="none" w:sz="0" w:space="0" w:color="auto"/>
        <w:bottom w:val="none" w:sz="0" w:space="0" w:color="auto"/>
        <w:right w:val="none" w:sz="0" w:space="0" w:color="auto"/>
      </w:divBdr>
    </w:div>
    <w:div w:id="1917205583">
      <w:bodyDiv w:val="1"/>
      <w:marLeft w:val="0"/>
      <w:marRight w:val="0"/>
      <w:marTop w:val="0"/>
      <w:marBottom w:val="0"/>
      <w:divBdr>
        <w:top w:val="none" w:sz="0" w:space="0" w:color="auto"/>
        <w:left w:val="none" w:sz="0" w:space="0" w:color="auto"/>
        <w:bottom w:val="none" w:sz="0" w:space="0" w:color="auto"/>
        <w:right w:val="none" w:sz="0" w:space="0" w:color="auto"/>
      </w:divBdr>
    </w:div>
    <w:div w:id="1917279269">
      <w:bodyDiv w:val="1"/>
      <w:marLeft w:val="0"/>
      <w:marRight w:val="0"/>
      <w:marTop w:val="0"/>
      <w:marBottom w:val="0"/>
      <w:divBdr>
        <w:top w:val="none" w:sz="0" w:space="0" w:color="auto"/>
        <w:left w:val="none" w:sz="0" w:space="0" w:color="auto"/>
        <w:bottom w:val="none" w:sz="0" w:space="0" w:color="auto"/>
        <w:right w:val="none" w:sz="0" w:space="0" w:color="auto"/>
      </w:divBdr>
    </w:div>
    <w:div w:id="1917665085">
      <w:bodyDiv w:val="1"/>
      <w:marLeft w:val="0"/>
      <w:marRight w:val="0"/>
      <w:marTop w:val="0"/>
      <w:marBottom w:val="0"/>
      <w:divBdr>
        <w:top w:val="none" w:sz="0" w:space="0" w:color="auto"/>
        <w:left w:val="none" w:sz="0" w:space="0" w:color="auto"/>
        <w:bottom w:val="none" w:sz="0" w:space="0" w:color="auto"/>
        <w:right w:val="none" w:sz="0" w:space="0" w:color="auto"/>
      </w:divBdr>
    </w:div>
    <w:div w:id="1917781701">
      <w:bodyDiv w:val="1"/>
      <w:marLeft w:val="0"/>
      <w:marRight w:val="0"/>
      <w:marTop w:val="0"/>
      <w:marBottom w:val="0"/>
      <w:divBdr>
        <w:top w:val="none" w:sz="0" w:space="0" w:color="auto"/>
        <w:left w:val="none" w:sz="0" w:space="0" w:color="auto"/>
        <w:bottom w:val="none" w:sz="0" w:space="0" w:color="auto"/>
        <w:right w:val="none" w:sz="0" w:space="0" w:color="auto"/>
      </w:divBdr>
    </w:div>
    <w:div w:id="1917785574">
      <w:bodyDiv w:val="1"/>
      <w:marLeft w:val="0"/>
      <w:marRight w:val="0"/>
      <w:marTop w:val="0"/>
      <w:marBottom w:val="0"/>
      <w:divBdr>
        <w:top w:val="none" w:sz="0" w:space="0" w:color="auto"/>
        <w:left w:val="none" w:sz="0" w:space="0" w:color="auto"/>
        <w:bottom w:val="none" w:sz="0" w:space="0" w:color="auto"/>
        <w:right w:val="none" w:sz="0" w:space="0" w:color="auto"/>
      </w:divBdr>
    </w:div>
    <w:div w:id="1918199161">
      <w:bodyDiv w:val="1"/>
      <w:marLeft w:val="0"/>
      <w:marRight w:val="0"/>
      <w:marTop w:val="0"/>
      <w:marBottom w:val="0"/>
      <w:divBdr>
        <w:top w:val="none" w:sz="0" w:space="0" w:color="auto"/>
        <w:left w:val="none" w:sz="0" w:space="0" w:color="auto"/>
        <w:bottom w:val="none" w:sz="0" w:space="0" w:color="auto"/>
        <w:right w:val="none" w:sz="0" w:space="0" w:color="auto"/>
      </w:divBdr>
    </w:div>
    <w:div w:id="1918440170">
      <w:bodyDiv w:val="1"/>
      <w:marLeft w:val="0"/>
      <w:marRight w:val="0"/>
      <w:marTop w:val="0"/>
      <w:marBottom w:val="0"/>
      <w:divBdr>
        <w:top w:val="none" w:sz="0" w:space="0" w:color="auto"/>
        <w:left w:val="none" w:sz="0" w:space="0" w:color="auto"/>
        <w:bottom w:val="none" w:sz="0" w:space="0" w:color="auto"/>
        <w:right w:val="none" w:sz="0" w:space="0" w:color="auto"/>
      </w:divBdr>
    </w:div>
    <w:div w:id="1918585942">
      <w:bodyDiv w:val="1"/>
      <w:marLeft w:val="0"/>
      <w:marRight w:val="0"/>
      <w:marTop w:val="0"/>
      <w:marBottom w:val="0"/>
      <w:divBdr>
        <w:top w:val="none" w:sz="0" w:space="0" w:color="auto"/>
        <w:left w:val="none" w:sz="0" w:space="0" w:color="auto"/>
        <w:bottom w:val="none" w:sz="0" w:space="0" w:color="auto"/>
        <w:right w:val="none" w:sz="0" w:space="0" w:color="auto"/>
      </w:divBdr>
    </w:div>
    <w:div w:id="1918586114">
      <w:bodyDiv w:val="1"/>
      <w:marLeft w:val="0"/>
      <w:marRight w:val="0"/>
      <w:marTop w:val="0"/>
      <w:marBottom w:val="0"/>
      <w:divBdr>
        <w:top w:val="none" w:sz="0" w:space="0" w:color="auto"/>
        <w:left w:val="none" w:sz="0" w:space="0" w:color="auto"/>
        <w:bottom w:val="none" w:sz="0" w:space="0" w:color="auto"/>
        <w:right w:val="none" w:sz="0" w:space="0" w:color="auto"/>
      </w:divBdr>
    </w:div>
    <w:div w:id="1918636782">
      <w:bodyDiv w:val="1"/>
      <w:marLeft w:val="0"/>
      <w:marRight w:val="0"/>
      <w:marTop w:val="0"/>
      <w:marBottom w:val="0"/>
      <w:divBdr>
        <w:top w:val="none" w:sz="0" w:space="0" w:color="auto"/>
        <w:left w:val="none" w:sz="0" w:space="0" w:color="auto"/>
        <w:bottom w:val="none" w:sz="0" w:space="0" w:color="auto"/>
        <w:right w:val="none" w:sz="0" w:space="0" w:color="auto"/>
      </w:divBdr>
    </w:div>
    <w:div w:id="1918662555">
      <w:bodyDiv w:val="1"/>
      <w:marLeft w:val="0"/>
      <w:marRight w:val="0"/>
      <w:marTop w:val="0"/>
      <w:marBottom w:val="0"/>
      <w:divBdr>
        <w:top w:val="none" w:sz="0" w:space="0" w:color="auto"/>
        <w:left w:val="none" w:sz="0" w:space="0" w:color="auto"/>
        <w:bottom w:val="none" w:sz="0" w:space="0" w:color="auto"/>
        <w:right w:val="none" w:sz="0" w:space="0" w:color="auto"/>
      </w:divBdr>
    </w:div>
    <w:div w:id="1918779412">
      <w:bodyDiv w:val="1"/>
      <w:marLeft w:val="0"/>
      <w:marRight w:val="0"/>
      <w:marTop w:val="0"/>
      <w:marBottom w:val="0"/>
      <w:divBdr>
        <w:top w:val="none" w:sz="0" w:space="0" w:color="auto"/>
        <w:left w:val="none" w:sz="0" w:space="0" w:color="auto"/>
        <w:bottom w:val="none" w:sz="0" w:space="0" w:color="auto"/>
        <w:right w:val="none" w:sz="0" w:space="0" w:color="auto"/>
      </w:divBdr>
    </w:div>
    <w:div w:id="1918780618">
      <w:bodyDiv w:val="1"/>
      <w:marLeft w:val="0"/>
      <w:marRight w:val="0"/>
      <w:marTop w:val="0"/>
      <w:marBottom w:val="0"/>
      <w:divBdr>
        <w:top w:val="none" w:sz="0" w:space="0" w:color="auto"/>
        <w:left w:val="none" w:sz="0" w:space="0" w:color="auto"/>
        <w:bottom w:val="none" w:sz="0" w:space="0" w:color="auto"/>
        <w:right w:val="none" w:sz="0" w:space="0" w:color="auto"/>
      </w:divBdr>
    </w:div>
    <w:div w:id="1918899594">
      <w:bodyDiv w:val="1"/>
      <w:marLeft w:val="0"/>
      <w:marRight w:val="0"/>
      <w:marTop w:val="0"/>
      <w:marBottom w:val="0"/>
      <w:divBdr>
        <w:top w:val="none" w:sz="0" w:space="0" w:color="auto"/>
        <w:left w:val="none" w:sz="0" w:space="0" w:color="auto"/>
        <w:bottom w:val="none" w:sz="0" w:space="0" w:color="auto"/>
        <w:right w:val="none" w:sz="0" w:space="0" w:color="auto"/>
      </w:divBdr>
    </w:div>
    <w:div w:id="1918906131">
      <w:bodyDiv w:val="1"/>
      <w:marLeft w:val="0"/>
      <w:marRight w:val="0"/>
      <w:marTop w:val="0"/>
      <w:marBottom w:val="0"/>
      <w:divBdr>
        <w:top w:val="none" w:sz="0" w:space="0" w:color="auto"/>
        <w:left w:val="none" w:sz="0" w:space="0" w:color="auto"/>
        <w:bottom w:val="none" w:sz="0" w:space="0" w:color="auto"/>
        <w:right w:val="none" w:sz="0" w:space="0" w:color="auto"/>
      </w:divBdr>
    </w:div>
    <w:div w:id="1919056340">
      <w:bodyDiv w:val="1"/>
      <w:marLeft w:val="0"/>
      <w:marRight w:val="0"/>
      <w:marTop w:val="0"/>
      <w:marBottom w:val="0"/>
      <w:divBdr>
        <w:top w:val="none" w:sz="0" w:space="0" w:color="auto"/>
        <w:left w:val="none" w:sz="0" w:space="0" w:color="auto"/>
        <w:bottom w:val="none" w:sz="0" w:space="0" w:color="auto"/>
        <w:right w:val="none" w:sz="0" w:space="0" w:color="auto"/>
      </w:divBdr>
    </w:div>
    <w:div w:id="1919249336">
      <w:bodyDiv w:val="1"/>
      <w:marLeft w:val="0"/>
      <w:marRight w:val="0"/>
      <w:marTop w:val="0"/>
      <w:marBottom w:val="0"/>
      <w:divBdr>
        <w:top w:val="none" w:sz="0" w:space="0" w:color="auto"/>
        <w:left w:val="none" w:sz="0" w:space="0" w:color="auto"/>
        <w:bottom w:val="none" w:sz="0" w:space="0" w:color="auto"/>
        <w:right w:val="none" w:sz="0" w:space="0" w:color="auto"/>
      </w:divBdr>
    </w:div>
    <w:div w:id="1919360144">
      <w:bodyDiv w:val="1"/>
      <w:marLeft w:val="0"/>
      <w:marRight w:val="0"/>
      <w:marTop w:val="0"/>
      <w:marBottom w:val="0"/>
      <w:divBdr>
        <w:top w:val="none" w:sz="0" w:space="0" w:color="auto"/>
        <w:left w:val="none" w:sz="0" w:space="0" w:color="auto"/>
        <w:bottom w:val="none" w:sz="0" w:space="0" w:color="auto"/>
        <w:right w:val="none" w:sz="0" w:space="0" w:color="auto"/>
      </w:divBdr>
    </w:div>
    <w:div w:id="1919360982">
      <w:bodyDiv w:val="1"/>
      <w:marLeft w:val="0"/>
      <w:marRight w:val="0"/>
      <w:marTop w:val="0"/>
      <w:marBottom w:val="0"/>
      <w:divBdr>
        <w:top w:val="none" w:sz="0" w:space="0" w:color="auto"/>
        <w:left w:val="none" w:sz="0" w:space="0" w:color="auto"/>
        <w:bottom w:val="none" w:sz="0" w:space="0" w:color="auto"/>
        <w:right w:val="none" w:sz="0" w:space="0" w:color="auto"/>
      </w:divBdr>
    </w:div>
    <w:div w:id="1919440742">
      <w:bodyDiv w:val="1"/>
      <w:marLeft w:val="0"/>
      <w:marRight w:val="0"/>
      <w:marTop w:val="0"/>
      <w:marBottom w:val="0"/>
      <w:divBdr>
        <w:top w:val="none" w:sz="0" w:space="0" w:color="auto"/>
        <w:left w:val="none" w:sz="0" w:space="0" w:color="auto"/>
        <w:bottom w:val="none" w:sz="0" w:space="0" w:color="auto"/>
        <w:right w:val="none" w:sz="0" w:space="0" w:color="auto"/>
      </w:divBdr>
    </w:div>
    <w:div w:id="1919509378">
      <w:bodyDiv w:val="1"/>
      <w:marLeft w:val="0"/>
      <w:marRight w:val="0"/>
      <w:marTop w:val="0"/>
      <w:marBottom w:val="0"/>
      <w:divBdr>
        <w:top w:val="none" w:sz="0" w:space="0" w:color="auto"/>
        <w:left w:val="none" w:sz="0" w:space="0" w:color="auto"/>
        <w:bottom w:val="none" w:sz="0" w:space="0" w:color="auto"/>
        <w:right w:val="none" w:sz="0" w:space="0" w:color="auto"/>
      </w:divBdr>
    </w:div>
    <w:div w:id="1919509500">
      <w:bodyDiv w:val="1"/>
      <w:marLeft w:val="0"/>
      <w:marRight w:val="0"/>
      <w:marTop w:val="0"/>
      <w:marBottom w:val="0"/>
      <w:divBdr>
        <w:top w:val="none" w:sz="0" w:space="0" w:color="auto"/>
        <w:left w:val="none" w:sz="0" w:space="0" w:color="auto"/>
        <w:bottom w:val="none" w:sz="0" w:space="0" w:color="auto"/>
        <w:right w:val="none" w:sz="0" w:space="0" w:color="auto"/>
      </w:divBdr>
    </w:div>
    <w:div w:id="1919515153">
      <w:bodyDiv w:val="1"/>
      <w:marLeft w:val="0"/>
      <w:marRight w:val="0"/>
      <w:marTop w:val="0"/>
      <w:marBottom w:val="0"/>
      <w:divBdr>
        <w:top w:val="none" w:sz="0" w:space="0" w:color="auto"/>
        <w:left w:val="none" w:sz="0" w:space="0" w:color="auto"/>
        <w:bottom w:val="none" w:sz="0" w:space="0" w:color="auto"/>
        <w:right w:val="none" w:sz="0" w:space="0" w:color="auto"/>
      </w:divBdr>
    </w:div>
    <w:div w:id="1919515751">
      <w:bodyDiv w:val="1"/>
      <w:marLeft w:val="0"/>
      <w:marRight w:val="0"/>
      <w:marTop w:val="0"/>
      <w:marBottom w:val="0"/>
      <w:divBdr>
        <w:top w:val="none" w:sz="0" w:space="0" w:color="auto"/>
        <w:left w:val="none" w:sz="0" w:space="0" w:color="auto"/>
        <w:bottom w:val="none" w:sz="0" w:space="0" w:color="auto"/>
        <w:right w:val="none" w:sz="0" w:space="0" w:color="auto"/>
      </w:divBdr>
    </w:div>
    <w:div w:id="1919707907">
      <w:bodyDiv w:val="1"/>
      <w:marLeft w:val="0"/>
      <w:marRight w:val="0"/>
      <w:marTop w:val="0"/>
      <w:marBottom w:val="0"/>
      <w:divBdr>
        <w:top w:val="none" w:sz="0" w:space="0" w:color="auto"/>
        <w:left w:val="none" w:sz="0" w:space="0" w:color="auto"/>
        <w:bottom w:val="none" w:sz="0" w:space="0" w:color="auto"/>
        <w:right w:val="none" w:sz="0" w:space="0" w:color="auto"/>
      </w:divBdr>
    </w:div>
    <w:div w:id="1919752866">
      <w:bodyDiv w:val="1"/>
      <w:marLeft w:val="0"/>
      <w:marRight w:val="0"/>
      <w:marTop w:val="0"/>
      <w:marBottom w:val="0"/>
      <w:divBdr>
        <w:top w:val="none" w:sz="0" w:space="0" w:color="auto"/>
        <w:left w:val="none" w:sz="0" w:space="0" w:color="auto"/>
        <w:bottom w:val="none" w:sz="0" w:space="0" w:color="auto"/>
        <w:right w:val="none" w:sz="0" w:space="0" w:color="auto"/>
      </w:divBdr>
    </w:div>
    <w:div w:id="1920139800">
      <w:bodyDiv w:val="1"/>
      <w:marLeft w:val="0"/>
      <w:marRight w:val="0"/>
      <w:marTop w:val="0"/>
      <w:marBottom w:val="0"/>
      <w:divBdr>
        <w:top w:val="none" w:sz="0" w:space="0" w:color="auto"/>
        <w:left w:val="none" w:sz="0" w:space="0" w:color="auto"/>
        <w:bottom w:val="none" w:sz="0" w:space="0" w:color="auto"/>
        <w:right w:val="none" w:sz="0" w:space="0" w:color="auto"/>
      </w:divBdr>
    </w:div>
    <w:div w:id="1920169765">
      <w:bodyDiv w:val="1"/>
      <w:marLeft w:val="0"/>
      <w:marRight w:val="0"/>
      <w:marTop w:val="0"/>
      <w:marBottom w:val="0"/>
      <w:divBdr>
        <w:top w:val="none" w:sz="0" w:space="0" w:color="auto"/>
        <w:left w:val="none" w:sz="0" w:space="0" w:color="auto"/>
        <w:bottom w:val="none" w:sz="0" w:space="0" w:color="auto"/>
        <w:right w:val="none" w:sz="0" w:space="0" w:color="auto"/>
      </w:divBdr>
    </w:div>
    <w:div w:id="1920208109">
      <w:bodyDiv w:val="1"/>
      <w:marLeft w:val="0"/>
      <w:marRight w:val="0"/>
      <w:marTop w:val="0"/>
      <w:marBottom w:val="0"/>
      <w:divBdr>
        <w:top w:val="none" w:sz="0" w:space="0" w:color="auto"/>
        <w:left w:val="none" w:sz="0" w:space="0" w:color="auto"/>
        <w:bottom w:val="none" w:sz="0" w:space="0" w:color="auto"/>
        <w:right w:val="none" w:sz="0" w:space="0" w:color="auto"/>
      </w:divBdr>
    </w:div>
    <w:div w:id="1920284158">
      <w:bodyDiv w:val="1"/>
      <w:marLeft w:val="0"/>
      <w:marRight w:val="0"/>
      <w:marTop w:val="0"/>
      <w:marBottom w:val="0"/>
      <w:divBdr>
        <w:top w:val="none" w:sz="0" w:space="0" w:color="auto"/>
        <w:left w:val="none" w:sz="0" w:space="0" w:color="auto"/>
        <w:bottom w:val="none" w:sz="0" w:space="0" w:color="auto"/>
        <w:right w:val="none" w:sz="0" w:space="0" w:color="auto"/>
      </w:divBdr>
    </w:div>
    <w:div w:id="1920360095">
      <w:bodyDiv w:val="1"/>
      <w:marLeft w:val="0"/>
      <w:marRight w:val="0"/>
      <w:marTop w:val="0"/>
      <w:marBottom w:val="0"/>
      <w:divBdr>
        <w:top w:val="none" w:sz="0" w:space="0" w:color="auto"/>
        <w:left w:val="none" w:sz="0" w:space="0" w:color="auto"/>
        <w:bottom w:val="none" w:sz="0" w:space="0" w:color="auto"/>
        <w:right w:val="none" w:sz="0" w:space="0" w:color="auto"/>
      </w:divBdr>
    </w:div>
    <w:div w:id="1920362030">
      <w:bodyDiv w:val="1"/>
      <w:marLeft w:val="0"/>
      <w:marRight w:val="0"/>
      <w:marTop w:val="0"/>
      <w:marBottom w:val="0"/>
      <w:divBdr>
        <w:top w:val="none" w:sz="0" w:space="0" w:color="auto"/>
        <w:left w:val="none" w:sz="0" w:space="0" w:color="auto"/>
        <w:bottom w:val="none" w:sz="0" w:space="0" w:color="auto"/>
        <w:right w:val="none" w:sz="0" w:space="0" w:color="auto"/>
      </w:divBdr>
    </w:div>
    <w:div w:id="1920433575">
      <w:bodyDiv w:val="1"/>
      <w:marLeft w:val="0"/>
      <w:marRight w:val="0"/>
      <w:marTop w:val="0"/>
      <w:marBottom w:val="0"/>
      <w:divBdr>
        <w:top w:val="none" w:sz="0" w:space="0" w:color="auto"/>
        <w:left w:val="none" w:sz="0" w:space="0" w:color="auto"/>
        <w:bottom w:val="none" w:sz="0" w:space="0" w:color="auto"/>
        <w:right w:val="none" w:sz="0" w:space="0" w:color="auto"/>
      </w:divBdr>
    </w:div>
    <w:div w:id="1920601729">
      <w:bodyDiv w:val="1"/>
      <w:marLeft w:val="0"/>
      <w:marRight w:val="0"/>
      <w:marTop w:val="0"/>
      <w:marBottom w:val="0"/>
      <w:divBdr>
        <w:top w:val="none" w:sz="0" w:space="0" w:color="auto"/>
        <w:left w:val="none" w:sz="0" w:space="0" w:color="auto"/>
        <w:bottom w:val="none" w:sz="0" w:space="0" w:color="auto"/>
        <w:right w:val="none" w:sz="0" w:space="0" w:color="auto"/>
      </w:divBdr>
    </w:div>
    <w:div w:id="1920677154">
      <w:bodyDiv w:val="1"/>
      <w:marLeft w:val="0"/>
      <w:marRight w:val="0"/>
      <w:marTop w:val="0"/>
      <w:marBottom w:val="0"/>
      <w:divBdr>
        <w:top w:val="none" w:sz="0" w:space="0" w:color="auto"/>
        <w:left w:val="none" w:sz="0" w:space="0" w:color="auto"/>
        <w:bottom w:val="none" w:sz="0" w:space="0" w:color="auto"/>
        <w:right w:val="none" w:sz="0" w:space="0" w:color="auto"/>
      </w:divBdr>
    </w:div>
    <w:div w:id="1920796554">
      <w:bodyDiv w:val="1"/>
      <w:marLeft w:val="0"/>
      <w:marRight w:val="0"/>
      <w:marTop w:val="0"/>
      <w:marBottom w:val="0"/>
      <w:divBdr>
        <w:top w:val="none" w:sz="0" w:space="0" w:color="auto"/>
        <w:left w:val="none" w:sz="0" w:space="0" w:color="auto"/>
        <w:bottom w:val="none" w:sz="0" w:space="0" w:color="auto"/>
        <w:right w:val="none" w:sz="0" w:space="0" w:color="auto"/>
      </w:divBdr>
    </w:div>
    <w:div w:id="1920871581">
      <w:bodyDiv w:val="1"/>
      <w:marLeft w:val="0"/>
      <w:marRight w:val="0"/>
      <w:marTop w:val="0"/>
      <w:marBottom w:val="0"/>
      <w:divBdr>
        <w:top w:val="none" w:sz="0" w:space="0" w:color="auto"/>
        <w:left w:val="none" w:sz="0" w:space="0" w:color="auto"/>
        <w:bottom w:val="none" w:sz="0" w:space="0" w:color="auto"/>
        <w:right w:val="none" w:sz="0" w:space="0" w:color="auto"/>
      </w:divBdr>
    </w:div>
    <w:div w:id="1921020365">
      <w:bodyDiv w:val="1"/>
      <w:marLeft w:val="0"/>
      <w:marRight w:val="0"/>
      <w:marTop w:val="0"/>
      <w:marBottom w:val="0"/>
      <w:divBdr>
        <w:top w:val="none" w:sz="0" w:space="0" w:color="auto"/>
        <w:left w:val="none" w:sz="0" w:space="0" w:color="auto"/>
        <w:bottom w:val="none" w:sz="0" w:space="0" w:color="auto"/>
        <w:right w:val="none" w:sz="0" w:space="0" w:color="auto"/>
      </w:divBdr>
    </w:div>
    <w:div w:id="1921138921">
      <w:bodyDiv w:val="1"/>
      <w:marLeft w:val="0"/>
      <w:marRight w:val="0"/>
      <w:marTop w:val="0"/>
      <w:marBottom w:val="0"/>
      <w:divBdr>
        <w:top w:val="none" w:sz="0" w:space="0" w:color="auto"/>
        <w:left w:val="none" w:sz="0" w:space="0" w:color="auto"/>
        <w:bottom w:val="none" w:sz="0" w:space="0" w:color="auto"/>
        <w:right w:val="none" w:sz="0" w:space="0" w:color="auto"/>
      </w:divBdr>
    </w:div>
    <w:div w:id="1921211093">
      <w:bodyDiv w:val="1"/>
      <w:marLeft w:val="0"/>
      <w:marRight w:val="0"/>
      <w:marTop w:val="0"/>
      <w:marBottom w:val="0"/>
      <w:divBdr>
        <w:top w:val="none" w:sz="0" w:space="0" w:color="auto"/>
        <w:left w:val="none" w:sz="0" w:space="0" w:color="auto"/>
        <w:bottom w:val="none" w:sz="0" w:space="0" w:color="auto"/>
        <w:right w:val="none" w:sz="0" w:space="0" w:color="auto"/>
      </w:divBdr>
    </w:div>
    <w:div w:id="1921212318">
      <w:bodyDiv w:val="1"/>
      <w:marLeft w:val="0"/>
      <w:marRight w:val="0"/>
      <w:marTop w:val="0"/>
      <w:marBottom w:val="0"/>
      <w:divBdr>
        <w:top w:val="none" w:sz="0" w:space="0" w:color="auto"/>
        <w:left w:val="none" w:sz="0" w:space="0" w:color="auto"/>
        <w:bottom w:val="none" w:sz="0" w:space="0" w:color="auto"/>
        <w:right w:val="none" w:sz="0" w:space="0" w:color="auto"/>
      </w:divBdr>
    </w:div>
    <w:div w:id="1921332556">
      <w:bodyDiv w:val="1"/>
      <w:marLeft w:val="0"/>
      <w:marRight w:val="0"/>
      <w:marTop w:val="0"/>
      <w:marBottom w:val="0"/>
      <w:divBdr>
        <w:top w:val="none" w:sz="0" w:space="0" w:color="auto"/>
        <w:left w:val="none" w:sz="0" w:space="0" w:color="auto"/>
        <w:bottom w:val="none" w:sz="0" w:space="0" w:color="auto"/>
        <w:right w:val="none" w:sz="0" w:space="0" w:color="auto"/>
      </w:divBdr>
    </w:div>
    <w:div w:id="1921527576">
      <w:bodyDiv w:val="1"/>
      <w:marLeft w:val="0"/>
      <w:marRight w:val="0"/>
      <w:marTop w:val="0"/>
      <w:marBottom w:val="0"/>
      <w:divBdr>
        <w:top w:val="none" w:sz="0" w:space="0" w:color="auto"/>
        <w:left w:val="none" w:sz="0" w:space="0" w:color="auto"/>
        <w:bottom w:val="none" w:sz="0" w:space="0" w:color="auto"/>
        <w:right w:val="none" w:sz="0" w:space="0" w:color="auto"/>
      </w:divBdr>
    </w:div>
    <w:div w:id="1921601541">
      <w:bodyDiv w:val="1"/>
      <w:marLeft w:val="0"/>
      <w:marRight w:val="0"/>
      <w:marTop w:val="0"/>
      <w:marBottom w:val="0"/>
      <w:divBdr>
        <w:top w:val="none" w:sz="0" w:space="0" w:color="auto"/>
        <w:left w:val="none" w:sz="0" w:space="0" w:color="auto"/>
        <w:bottom w:val="none" w:sz="0" w:space="0" w:color="auto"/>
        <w:right w:val="none" w:sz="0" w:space="0" w:color="auto"/>
      </w:divBdr>
    </w:div>
    <w:div w:id="1921791290">
      <w:bodyDiv w:val="1"/>
      <w:marLeft w:val="0"/>
      <w:marRight w:val="0"/>
      <w:marTop w:val="0"/>
      <w:marBottom w:val="0"/>
      <w:divBdr>
        <w:top w:val="none" w:sz="0" w:space="0" w:color="auto"/>
        <w:left w:val="none" w:sz="0" w:space="0" w:color="auto"/>
        <w:bottom w:val="none" w:sz="0" w:space="0" w:color="auto"/>
        <w:right w:val="none" w:sz="0" w:space="0" w:color="auto"/>
      </w:divBdr>
    </w:div>
    <w:div w:id="1922374512">
      <w:bodyDiv w:val="1"/>
      <w:marLeft w:val="0"/>
      <w:marRight w:val="0"/>
      <w:marTop w:val="0"/>
      <w:marBottom w:val="0"/>
      <w:divBdr>
        <w:top w:val="none" w:sz="0" w:space="0" w:color="auto"/>
        <w:left w:val="none" w:sz="0" w:space="0" w:color="auto"/>
        <w:bottom w:val="none" w:sz="0" w:space="0" w:color="auto"/>
        <w:right w:val="none" w:sz="0" w:space="0" w:color="auto"/>
      </w:divBdr>
    </w:div>
    <w:div w:id="1922400060">
      <w:bodyDiv w:val="1"/>
      <w:marLeft w:val="0"/>
      <w:marRight w:val="0"/>
      <w:marTop w:val="0"/>
      <w:marBottom w:val="0"/>
      <w:divBdr>
        <w:top w:val="none" w:sz="0" w:space="0" w:color="auto"/>
        <w:left w:val="none" w:sz="0" w:space="0" w:color="auto"/>
        <w:bottom w:val="none" w:sz="0" w:space="0" w:color="auto"/>
        <w:right w:val="none" w:sz="0" w:space="0" w:color="auto"/>
      </w:divBdr>
    </w:div>
    <w:div w:id="1922762085">
      <w:bodyDiv w:val="1"/>
      <w:marLeft w:val="0"/>
      <w:marRight w:val="0"/>
      <w:marTop w:val="0"/>
      <w:marBottom w:val="0"/>
      <w:divBdr>
        <w:top w:val="none" w:sz="0" w:space="0" w:color="auto"/>
        <w:left w:val="none" w:sz="0" w:space="0" w:color="auto"/>
        <w:bottom w:val="none" w:sz="0" w:space="0" w:color="auto"/>
        <w:right w:val="none" w:sz="0" w:space="0" w:color="auto"/>
      </w:divBdr>
    </w:div>
    <w:div w:id="1922981297">
      <w:bodyDiv w:val="1"/>
      <w:marLeft w:val="0"/>
      <w:marRight w:val="0"/>
      <w:marTop w:val="0"/>
      <w:marBottom w:val="0"/>
      <w:divBdr>
        <w:top w:val="none" w:sz="0" w:space="0" w:color="auto"/>
        <w:left w:val="none" w:sz="0" w:space="0" w:color="auto"/>
        <w:bottom w:val="none" w:sz="0" w:space="0" w:color="auto"/>
        <w:right w:val="none" w:sz="0" w:space="0" w:color="auto"/>
      </w:divBdr>
    </w:div>
    <w:div w:id="1923174525">
      <w:bodyDiv w:val="1"/>
      <w:marLeft w:val="0"/>
      <w:marRight w:val="0"/>
      <w:marTop w:val="0"/>
      <w:marBottom w:val="0"/>
      <w:divBdr>
        <w:top w:val="none" w:sz="0" w:space="0" w:color="auto"/>
        <w:left w:val="none" w:sz="0" w:space="0" w:color="auto"/>
        <w:bottom w:val="none" w:sz="0" w:space="0" w:color="auto"/>
        <w:right w:val="none" w:sz="0" w:space="0" w:color="auto"/>
      </w:divBdr>
    </w:div>
    <w:div w:id="1923221123">
      <w:bodyDiv w:val="1"/>
      <w:marLeft w:val="0"/>
      <w:marRight w:val="0"/>
      <w:marTop w:val="0"/>
      <w:marBottom w:val="0"/>
      <w:divBdr>
        <w:top w:val="none" w:sz="0" w:space="0" w:color="auto"/>
        <w:left w:val="none" w:sz="0" w:space="0" w:color="auto"/>
        <w:bottom w:val="none" w:sz="0" w:space="0" w:color="auto"/>
        <w:right w:val="none" w:sz="0" w:space="0" w:color="auto"/>
      </w:divBdr>
    </w:div>
    <w:div w:id="1923221430">
      <w:bodyDiv w:val="1"/>
      <w:marLeft w:val="0"/>
      <w:marRight w:val="0"/>
      <w:marTop w:val="0"/>
      <w:marBottom w:val="0"/>
      <w:divBdr>
        <w:top w:val="none" w:sz="0" w:space="0" w:color="auto"/>
        <w:left w:val="none" w:sz="0" w:space="0" w:color="auto"/>
        <w:bottom w:val="none" w:sz="0" w:space="0" w:color="auto"/>
        <w:right w:val="none" w:sz="0" w:space="0" w:color="auto"/>
      </w:divBdr>
    </w:div>
    <w:div w:id="1923251267">
      <w:bodyDiv w:val="1"/>
      <w:marLeft w:val="0"/>
      <w:marRight w:val="0"/>
      <w:marTop w:val="0"/>
      <w:marBottom w:val="0"/>
      <w:divBdr>
        <w:top w:val="none" w:sz="0" w:space="0" w:color="auto"/>
        <w:left w:val="none" w:sz="0" w:space="0" w:color="auto"/>
        <w:bottom w:val="none" w:sz="0" w:space="0" w:color="auto"/>
        <w:right w:val="none" w:sz="0" w:space="0" w:color="auto"/>
      </w:divBdr>
    </w:div>
    <w:div w:id="1923293645">
      <w:bodyDiv w:val="1"/>
      <w:marLeft w:val="0"/>
      <w:marRight w:val="0"/>
      <w:marTop w:val="0"/>
      <w:marBottom w:val="0"/>
      <w:divBdr>
        <w:top w:val="none" w:sz="0" w:space="0" w:color="auto"/>
        <w:left w:val="none" w:sz="0" w:space="0" w:color="auto"/>
        <w:bottom w:val="none" w:sz="0" w:space="0" w:color="auto"/>
        <w:right w:val="none" w:sz="0" w:space="0" w:color="auto"/>
      </w:divBdr>
    </w:div>
    <w:div w:id="1923417224">
      <w:bodyDiv w:val="1"/>
      <w:marLeft w:val="0"/>
      <w:marRight w:val="0"/>
      <w:marTop w:val="0"/>
      <w:marBottom w:val="0"/>
      <w:divBdr>
        <w:top w:val="none" w:sz="0" w:space="0" w:color="auto"/>
        <w:left w:val="none" w:sz="0" w:space="0" w:color="auto"/>
        <w:bottom w:val="none" w:sz="0" w:space="0" w:color="auto"/>
        <w:right w:val="none" w:sz="0" w:space="0" w:color="auto"/>
      </w:divBdr>
    </w:div>
    <w:div w:id="1923443225">
      <w:bodyDiv w:val="1"/>
      <w:marLeft w:val="0"/>
      <w:marRight w:val="0"/>
      <w:marTop w:val="0"/>
      <w:marBottom w:val="0"/>
      <w:divBdr>
        <w:top w:val="none" w:sz="0" w:space="0" w:color="auto"/>
        <w:left w:val="none" w:sz="0" w:space="0" w:color="auto"/>
        <w:bottom w:val="none" w:sz="0" w:space="0" w:color="auto"/>
        <w:right w:val="none" w:sz="0" w:space="0" w:color="auto"/>
      </w:divBdr>
    </w:div>
    <w:div w:id="1923448020">
      <w:bodyDiv w:val="1"/>
      <w:marLeft w:val="0"/>
      <w:marRight w:val="0"/>
      <w:marTop w:val="0"/>
      <w:marBottom w:val="0"/>
      <w:divBdr>
        <w:top w:val="none" w:sz="0" w:space="0" w:color="auto"/>
        <w:left w:val="none" w:sz="0" w:space="0" w:color="auto"/>
        <w:bottom w:val="none" w:sz="0" w:space="0" w:color="auto"/>
        <w:right w:val="none" w:sz="0" w:space="0" w:color="auto"/>
      </w:divBdr>
    </w:div>
    <w:div w:id="1923951714">
      <w:bodyDiv w:val="1"/>
      <w:marLeft w:val="0"/>
      <w:marRight w:val="0"/>
      <w:marTop w:val="0"/>
      <w:marBottom w:val="0"/>
      <w:divBdr>
        <w:top w:val="none" w:sz="0" w:space="0" w:color="auto"/>
        <w:left w:val="none" w:sz="0" w:space="0" w:color="auto"/>
        <w:bottom w:val="none" w:sz="0" w:space="0" w:color="auto"/>
        <w:right w:val="none" w:sz="0" w:space="0" w:color="auto"/>
      </w:divBdr>
    </w:div>
    <w:div w:id="1924021361">
      <w:bodyDiv w:val="1"/>
      <w:marLeft w:val="0"/>
      <w:marRight w:val="0"/>
      <w:marTop w:val="0"/>
      <w:marBottom w:val="0"/>
      <w:divBdr>
        <w:top w:val="none" w:sz="0" w:space="0" w:color="auto"/>
        <w:left w:val="none" w:sz="0" w:space="0" w:color="auto"/>
        <w:bottom w:val="none" w:sz="0" w:space="0" w:color="auto"/>
        <w:right w:val="none" w:sz="0" w:space="0" w:color="auto"/>
      </w:divBdr>
    </w:div>
    <w:div w:id="1924025832">
      <w:bodyDiv w:val="1"/>
      <w:marLeft w:val="0"/>
      <w:marRight w:val="0"/>
      <w:marTop w:val="0"/>
      <w:marBottom w:val="0"/>
      <w:divBdr>
        <w:top w:val="none" w:sz="0" w:space="0" w:color="auto"/>
        <w:left w:val="none" w:sz="0" w:space="0" w:color="auto"/>
        <w:bottom w:val="none" w:sz="0" w:space="0" w:color="auto"/>
        <w:right w:val="none" w:sz="0" w:space="0" w:color="auto"/>
      </w:divBdr>
    </w:div>
    <w:div w:id="1924028994">
      <w:bodyDiv w:val="1"/>
      <w:marLeft w:val="0"/>
      <w:marRight w:val="0"/>
      <w:marTop w:val="0"/>
      <w:marBottom w:val="0"/>
      <w:divBdr>
        <w:top w:val="none" w:sz="0" w:space="0" w:color="auto"/>
        <w:left w:val="none" w:sz="0" w:space="0" w:color="auto"/>
        <w:bottom w:val="none" w:sz="0" w:space="0" w:color="auto"/>
        <w:right w:val="none" w:sz="0" w:space="0" w:color="auto"/>
      </w:divBdr>
    </w:div>
    <w:div w:id="1924143435">
      <w:bodyDiv w:val="1"/>
      <w:marLeft w:val="0"/>
      <w:marRight w:val="0"/>
      <w:marTop w:val="0"/>
      <w:marBottom w:val="0"/>
      <w:divBdr>
        <w:top w:val="none" w:sz="0" w:space="0" w:color="auto"/>
        <w:left w:val="none" w:sz="0" w:space="0" w:color="auto"/>
        <w:bottom w:val="none" w:sz="0" w:space="0" w:color="auto"/>
        <w:right w:val="none" w:sz="0" w:space="0" w:color="auto"/>
      </w:divBdr>
    </w:div>
    <w:div w:id="1924678827">
      <w:bodyDiv w:val="1"/>
      <w:marLeft w:val="0"/>
      <w:marRight w:val="0"/>
      <w:marTop w:val="0"/>
      <w:marBottom w:val="0"/>
      <w:divBdr>
        <w:top w:val="none" w:sz="0" w:space="0" w:color="auto"/>
        <w:left w:val="none" w:sz="0" w:space="0" w:color="auto"/>
        <w:bottom w:val="none" w:sz="0" w:space="0" w:color="auto"/>
        <w:right w:val="none" w:sz="0" w:space="0" w:color="auto"/>
      </w:divBdr>
    </w:div>
    <w:div w:id="1924949424">
      <w:bodyDiv w:val="1"/>
      <w:marLeft w:val="0"/>
      <w:marRight w:val="0"/>
      <w:marTop w:val="0"/>
      <w:marBottom w:val="0"/>
      <w:divBdr>
        <w:top w:val="none" w:sz="0" w:space="0" w:color="auto"/>
        <w:left w:val="none" w:sz="0" w:space="0" w:color="auto"/>
        <w:bottom w:val="none" w:sz="0" w:space="0" w:color="auto"/>
        <w:right w:val="none" w:sz="0" w:space="0" w:color="auto"/>
      </w:divBdr>
    </w:div>
    <w:div w:id="1924951658">
      <w:bodyDiv w:val="1"/>
      <w:marLeft w:val="0"/>
      <w:marRight w:val="0"/>
      <w:marTop w:val="0"/>
      <w:marBottom w:val="0"/>
      <w:divBdr>
        <w:top w:val="none" w:sz="0" w:space="0" w:color="auto"/>
        <w:left w:val="none" w:sz="0" w:space="0" w:color="auto"/>
        <w:bottom w:val="none" w:sz="0" w:space="0" w:color="auto"/>
        <w:right w:val="none" w:sz="0" w:space="0" w:color="auto"/>
      </w:divBdr>
    </w:div>
    <w:div w:id="1925189307">
      <w:bodyDiv w:val="1"/>
      <w:marLeft w:val="0"/>
      <w:marRight w:val="0"/>
      <w:marTop w:val="0"/>
      <w:marBottom w:val="0"/>
      <w:divBdr>
        <w:top w:val="none" w:sz="0" w:space="0" w:color="auto"/>
        <w:left w:val="none" w:sz="0" w:space="0" w:color="auto"/>
        <w:bottom w:val="none" w:sz="0" w:space="0" w:color="auto"/>
        <w:right w:val="none" w:sz="0" w:space="0" w:color="auto"/>
      </w:divBdr>
    </w:div>
    <w:div w:id="1925215284">
      <w:bodyDiv w:val="1"/>
      <w:marLeft w:val="0"/>
      <w:marRight w:val="0"/>
      <w:marTop w:val="0"/>
      <w:marBottom w:val="0"/>
      <w:divBdr>
        <w:top w:val="none" w:sz="0" w:space="0" w:color="auto"/>
        <w:left w:val="none" w:sz="0" w:space="0" w:color="auto"/>
        <w:bottom w:val="none" w:sz="0" w:space="0" w:color="auto"/>
        <w:right w:val="none" w:sz="0" w:space="0" w:color="auto"/>
      </w:divBdr>
    </w:div>
    <w:div w:id="1925262729">
      <w:bodyDiv w:val="1"/>
      <w:marLeft w:val="0"/>
      <w:marRight w:val="0"/>
      <w:marTop w:val="0"/>
      <w:marBottom w:val="0"/>
      <w:divBdr>
        <w:top w:val="none" w:sz="0" w:space="0" w:color="auto"/>
        <w:left w:val="none" w:sz="0" w:space="0" w:color="auto"/>
        <w:bottom w:val="none" w:sz="0" w:space="0" w:color="auto"/>
        <w:right w:val="none" w:sz="0" w:space="0" w:color="auto"/>
      </w:divBdr>
    </w:div>
    <w:div w:id="1925407694">
      <w:bodyDiv w:val="1"/>
      <w:marLeft w:val="0"/>
      <w:marRight w:val="0"/>
      <w:marTop w:val="0"/>
      <w:marBottom w:val="0"/>
      <w:divBdr>
        <w:top w:val="none" w:sz="0" w:space="0" w:color="auto"/>
        <w:left w:val="none" w:sz="0" w:space="0" w:color="auto"/>
        <w:bottom w:val="none" w:sz="0" w:space="0" w:color="auto"/>
        <w:right w:val="none" w:sz="0" w:space="0" w:color="auto"/>
      </w:divBdr>
    </w:div>
    <w:div w:id="1925411617">
      <w:bodyDiv w:val="1"/>
      <w:marLeft w:val="0"/>
      <w:marRight w:val="0"/>
      <w:marTop w:val="0"/>
      <w:marBottom w:val="0"/>
      <w:divBdr>
        <w:top w:val="none" w:sz="0" w:space="0" w:color="auto"/>
        <w:left w:val="none" w:sz="0" w:space="0" w:color="auto"/>
        <w:bottom w:val="none" w:sz="0" w:space="0" w:color="auto"/>
        <w:right w:val="none" w:sz="0" w:space="0" w:color="auto"/>
      </w:divBdr>
    </w:div>
    <w:div w:id="1925649372">
      <w:bodyDiv w:val="1"/>
      <w:marLeft w:val="0"/>
      <w:marRight w:val="0"/>
      <w:marTop w:val="0"/>
      <w:marBottom w:val="0"/>
      <w:divBdr>
        <w:top w:val="none" w:sz="0" w:space="0" w:color="auto"/>
        <w:left w:val="none" w:sz="0" w:space="0" w:color="auto"/>
        <w:bottom w:val="none" w:sz="0" w:space="0" w:color="auto"/>
        <w:right w:val="none" w:sz="0" w:space="0" w:color="auto"/>
      </w:divBdr>
    </w:div>
    <w:div w:id="1925871095">
      <w:bodyDiv w:val="1"/>
      <w:marLeft w:val="0"/>
      <w:marRight w:val="0"/>
      <w:marTop w:val="0"/>
      <w:marBottom w:val="0"/>
      <w:divBdr>
        <w:top w:val="none" w:sz="0" w:space="0" w:color="auto"/>
        <w:left w:val="none" w:sz="0" w:space="0" w:color="auto"/>
        <w:bottom w:val="none" w:sz="0" w:space="0" w:color="auto"/>
        <w:right w:val="none" w:sz="0" w:space="0" w:color="auto"/>
      </w:divBdr>
    </w:div>
    <w:div w:id="1925913881">
      <w:bodyDiv w:val="1"/>
      <w:marLeft w:val="0"/>
      <w:marRight w:val="0"/>
      <w:marTop w:val="0"/>
      <w:marBottom w:val="0"/>
      <w:divBdr>
        <w:top w:val="none" w:sz="0" w:space="0" w:color="auto"/>
        <w:left w:val="none" w:sz="0" w:space="0" w:color="auto"/>
        <w:bottom w:val="none" w:sz="0" w:space="0" w:color="auto"/>
        <w:right w:val="none" w:sz="0" w:space="0" w:color="auto"/>
      </w:divBdr>
    </w:div>
    <w:div w:id="1926062351">
      <w:bodyDiv w:val="1"/>
      <w:marLeft w:val="0"/>
      <w:marRight w:val="0"/>
      <w:marTop w:val="0"/>
      <w:marBottom w:val="0"/>
      <w:divBdr>
        <w:top w:val="none" w:sz="0" w:space="0" w:color="auto"/>
        <w:left w:val="none" w:sz="0" w:space="0" w:color="auto"/>
        <w:bottom w:val="none" w:sz="0" w:space="0" w:color="auto"/>
        <w:right w:val="none" w:sz="0" w:space="0" w:color="auto"/>
      </w:divBdr>
    </w:div>
    <w:div w:id="1926109182">
      <w:bodyDiv w:val="1"/>
      <w:marLeft w:val="0"/>
      <w:marRight w:val="0"/>
      <w:marTop w:val="0"/>
      <w:marBottom w:val="0"/>
      <w:divBdr>
        <w:top w:val="none" w:sz="0" w:space="0" w:color="auto"/>
        <w:left w:val="none" w:sz="0" w:space="0" w:color="auto"/>
        <w:bottom w:val="none" w:sz="0" w:space="0" w:color="auto"/>
        <w:right w:val="none" w:sz="0" w:space="0" w:color="auto"/>
      </w:divBdr>
    </w:div>
    <w:div w:id="1926381337">
      <w:bodyDiv w:val="1"/>
      <w:marLeft w:val="0"/>
      <w:marRight w:val="0"/>
      <w:marTop w:val="0"/>
      <w:marBottom w:val="0"/>
      <w:divBdr>
        <w:top w:val="none" w:sz="0" w:space="0" w:color="auto"/>
        <w:left w:val="none" w:sz="0" w:space="0" w:color="auto"/>
        <w:bottom w:val="none" w:sz="0" w:space="0" w:color="auto"/>
        <w:right w:val="none" w:sz="0" w:space="0" w:color="auto"/>
      </w:divBdr>
    </w:div>
    <w:div w:id="1926450246">
      <w:bodyDiv w:val="1"/>
      <w:marLeft w:val="0"/>
      <w:marRight w:val="0"/>
      <w:marTop w:val="0"/>
      <w:marBottom w:val="0"/>
      <w:divBdr>
        <w:top w:val="none" w:sz="0" w:space="0" w:color="auto"/>
        <w:left w:val="none" w:sz="0" w:space="0" w:color="auto"/>
        <w:bottom w:val="none" w:sz="0" w:space="0" w:color="auto"/>
        <w:right w:val="none" w:sz="0" w:space="0" w:color="auto"/>
      </w:divBdr>
    </w:div>
    <w:div w:id="1926453756">
      <w:bodyDiv w:val="1"/>
      <w:marLeft w:val="0"/>
      <w:marRight w:val="0"/>
      <w:marTop w:val="0"/>
      <w:marBottom w:val="0"/>
      <w:divBdr>
        <w:top w:val="none" w:sz="0" w:space="0" w:color="auto"/>
        <w:left w:val="none" w:sz="0" w:space="0" w:color="auto"/>
        <w:bottom w:val="none" w:sz="0" w:space="0" w:color="auto"/>
        <w:right w:val="none" w:sz="0" w:space="0" w:color="auto"/>
      </w:divBdr>
    </w:div>
    <w:div w:id="1926646499">
      <w:bodyDiv w:val="1"/>
      <w:marLeft w:val="0"/>
      <w:marRight w:val="0"/>
      <w:marTop w:val="0"/>
      <w:marBottom w:val="0"/>
      <w:divBdr>
        <w:top w:val="none" w:sz="0" w:space="0" w:color="auto"/>
        <w:left w:val="none" w:sz="0" w:space="0" w:color="auto"/>
        <w:bottom w:val="none" w:sz="0" w:space="0" w:color="auto"/>
        <w:right w:val="none" w:sz="0" w:space="0" w:color="auto"/>
      </w:divBdr>
    </w:div>
    <w:div w:id="1926761339">
      <w:bodyDiv w:val="1"/>
      <w:marLeft w:val="0"/>
      <w:marRight w:val="0"/>
      <w:marTop w:val="0"/>
      <w:marBottom w:val="0"/>
      <w:divBdr>
        <w:top w:val="none" w:sz="0" w:space="0" w:color="auto"/>
        <w:left w:val="none" w:sz="0" w:space="0" w:color="auto"/>
        <w:bottom w:val="none" w:sz="0" w:space="0" w:color="auto"/>
        <w:right w:val="none" w:sz="0" w:space="0" w:color="auto"/>
      </w:divBdr>
    </w:div>
    <w:div w:id="1926766463">
      <w:bodyDiv w:val="1"/>
      <w:marLeft w:val="0"/>
      <w:marRight w:val="0"/>
      <w:marTop w:val="0"/>
      <w:marBottom w:val="0"/>
      <w:divBdr>
        <w:top w:val="none" w:sz="0" w:space="0" w:color="auto"/>
        <w:left w:val="none" w:sz="0" w:space="0" w:color="auto"/>
        <w:bottom w:val="none" w:sz="0" w:space="0" w:color="auto"/>
        <w:right w:val="none" w:sz="0" w:space="0" w:color="auto"/>
      </w:divBdr>
    </w:div>
    <w:div w:id="1926986472">
      <w:bodyDiv w:val="1"/>
      <w:marLeft w:val="0"/>
      <w:marRight w:val="0"/>
      <w:marTop w:val="0"/>
      <w:marBottom w:val="0"/>
      <w:divBdr>
        <w:top w:val="none" w:sz="0" w:space="0" w:color="auto"/>
        <w:left w:val="none" w:sz="0" w:space="0" w:color="auto"/>
        <w:bottom w:val="none" w:sz="0" w:space="0" w:color="auto"/>
        <w:right w:val="none" w:sz="0" w:space="0" w:color="auto"/>
      </w:divBdr>
    </w:div>
    <w:div w:id="1926987107">
      <w:bodyDiv w:val="1"/>
      <w:marLeft w:val="0"/>
      <w:marRight w:val="0"/>
      <w:marTop w:val="0"/>
      <w:marBottom w:val="0"/>
      <w:divBdr>
        <w:top w:val="none" w:sz="0" w:space="0" w:color="auto"/>
        <w:left w:val="none" w:sz="0" w:space="0" w:color="auto"/>
        <w:bottom w:val="none" w:sz="0" w:space="0" w:color="auto"/>
        <w:right w:val="none" w:sz="0" w:space="0" w:color="auto"/>
      </w:divBdr>
    </w:div>
    <w:div w:id="1927152829">
      <w:bodyDiv w:val="1"/>
      <w:marLeft w:val="0"/>
      <w:marRight w:val="0"/>
      <w:marTop w:val="0"/>
      <w:marBottom w:val="0"/>
      <w:divBdr>
        <w:top w:val="none" w:sz="0" w:space="0" w:color="auto"/>
        <w:left w:val="none" w:sz="0" w:space="0" w:color="auto"/>
        <w:bottom w:val="none" w:sz="0" w:space="0" w:color="auto"/>
        <w:right w:val="none" w:sz="0" w:space="0" w:color="auto"/>
      </w:divBdr>
    </w:div>
    <w:div w:id="1927222842">
      <w:bodyDiv w:val="1"/>
      <w:marLeft w:val="0"/>
      <w:marRight w:val="0"/>
      <w:marTop w:val="0"/>
      <w:marBottom w:val="0"/>
      <w:divBdr>
        <w:top w:val="none" w:sz="0" w:space="0" w:color="auto"/>
        <w:left w:val="none" w:sz="0" w:space="0" w:color="auto"/>
        <w:bottom w:val="none" w:sz="0" w:space="0" w:color="auto"/>
        <w:right w:val="none" w:sz="0" w:space="0" w:color="auto"/>
      </w:divBdr>
    </w:div>
    <w:div w:id="1927304927">
      <w:bodyDiv w:val="1"/>
      <w:marLeft w:val="0"/>
      <w:marRight w:val="0"/>
      <w:marTop w:val="0"/>
      <w:marBottom w:val="0"/>
      <w:divBdr>
        <w:top w:val="none" w:sz="0" w:space="0" w:color="auto"/>
        <w:left w:val="none" w:sz="0" w:space="0" w:color="auto"/>
        <w:bottom w:val="none" w:sz="0" w:space="0" w:color="auto"/>
        <w:right w:val="none" w:sz="0" w:space="0" w:color="auto"/>
      </w:divBdr>
    </w:div>
    <w:div w:id="1927379422">
      <w:bodyDiv w:val="1"/>
      <w:marLeft w:val="0"/>
      <w:marRight w:val="0"/>
      <w:marTop w:val="0"/>
      <w:marBottom w:val="0"/>
      <w:divBdr>
        <w:top w:val="none" w:sz="0" w:space="0" w:color="auto"/>
        <w:left w:val="none" w:sz="0" w:space="0" w:color="auto"/>
        <w:bottom w:val="none" w:sz="0" w:space="0" w:color="auto"/>
        <w:right w:val="none" w:sz="0" w:space="0" w:color="auto"/>
      </w:divBdr>
    </w:div>
    <w:div w:id="1927878311">
      <w:bodyDiv w:val="1"/>
      <w:marLeft w:val="0"/>
      <w:marRight w:val="0"/>
      <w:marTop w:val="0"/>
      <w:marBottom w:val="0"/>
      <w:divBdr>
        <w:top w:val="none" w:sz="0" w:space="0" w:color="auto"/>
        <w:left w:val="none" w:sz="0" w:space="0" w:color="auto"/>
        <w:bottom w:val="none" w:sz="0" w:space="0" w:color="auto"/>
        <w:right w:val="none" w:sz="0" w:space="0" w:color="auto"/>
      </w:divBdr>
    </w:div>
    <w:div w:id="1927954936">
      <w:bodyDiv w:val="1"/>
      <w:marLeft w:val="0"/>
      <w:marRight w:val="0"/>
      <w:marTop w:val="0"/>
      <w:marBottom w:val="0"/>
      <w:divBdr>
        <w:top w:val="none" w:sz="0" w:space="0" w:color="auto"/>
        <w:left w:val="none" w:sz="0" w:space="0" w:color="auto"/>
        <w:bottom w:val="none" w:sz="0" w:space="0" w:color="auto"/>
        <w:right w:val="none" w:sz="0" w:space="0" w:color="auto"/>
      </w:divBdr>
    </w:div>
    <w:div w:id="1928030841">
      <w:bodyDiv w:val="1"/>
      <w:marLeft w:val="0"/>
      <w:marRight w:val="0"/>
      <w:marTop w:val="0"/>
      <w:marBottom w:val="0"/>
      <w:divBdr>
        <w:top w:val="none" w:sz="0" w:space="0" w:color="auto"/>
        <w:left w:val="none" w:sz="0" w:space="0" w:color="auto"/>
        <w:bottom w:val="none" w:sz="0" w:space="0" w:color="auto"/>
        <w:right w:val="none" w:sz="0" w:space="0" w:color="auto"/>
      </w:divBdr>
    </w:div>
    <w:div w:id="1928072300">
      <w:bodyDiv w:val="1"/>
      <w:marLeft w:val="0"/>
      <w:marRight w:val="0"/>
      <w:marTop w:val="0"/>
      <w:marBottom w:val="0"/>
      <w:divBdr>
        <w:top w:val="none" w:sz="0" w:space="0" w:color="auto"/>
        <w:left w:val="none" w:sz="0" w:space="0" w:color="auto"/>
        <w:bottom w:val="none" w:sz="0" w:space="0" w:color="auto"/>
        <w:right w:val="none" w:sz="0" w:space="0" w:color="auto"/>
      </w:divBdr>
    </w:div>
    <w:div w:id="1928414803">
      <w:bodyDiv w:val="1"/>
      <w:marLeft w:val="0"/>
      <w:marRight w:val="0"/>
      <w:marTop w:val="0"/>
      <w:marBottom w:val="0"/>
      <w:divBdr>
        <w:top w:val="none" w:sz="0" w:space="0" w:color="auto"/>
        <w:left w:val="none" w:sz="0" w:space="0" w:color="auto"/>
        <w:bottom w:val="none" w:sz="0" w:space="0" w:color="auto"/>
        <w:right w:val="none" w:sz="0" w:space="0" w:color="auto"/>
      </w:divBdr>
    </w:div>
    <w:div w:id="1928616830">
      <w:bodyDiv w:val="1"/>
      <w:marLeft w:val="0"/>
      <w:marRight w:val="0"/>
      <w:marTop w:val="0"/>
      <w:marBottom w:val="0"/>
      <w:divBdr>
        <w:top w:val="none" w:sz="0" w:space="0" w:color="auto"/>
        <w:left w:val="none" w:sz="0" w:space="0" w:color="auto"/>
        <w:bottom w:val="none" w:sz="0" w:space="0" w:color="auto"/>
        <w:right w:val="none" w:sz="0" w:space="0" w:color="auto"/>
      </w:divBdr>
    </w:div>
    <w:div w:id="1928733709">
      <w:bodyDiv w:val="1"/>
      <w:marLeft w:val="0"/>
      <w:marRight w:val="0"/>
      <w:marTop w:val="0"/>
      <w:marBottom w:val="0"/>
      <w:divBdr>
        <w:top w:val="none" w:sz="0" w:space="0" w:color="auto"/>
        <w:left w:val="none" w:sz="0" w:space="0" w:color="auto"/>
        <w:bottom w:val="none" w:sz="0" w:space="0" w:color="auto"/>
        <w:right w:val="none" w:sz="0" w:space="0" w:color="auto"/>
      </w:divBdr>
    </w:div>
    <w:div w:id="1928735238">
      <w:bodyDiv w:val="1"/>
      <w:marLeft w:val="0"/>
      <w:marRight w:val="0"/>
      <w:marTop w:val="0"/>
      <w:marBottom w:val="0"/>
      <w:divBdr>
        <w:top w:val="none" w:sz="0" w:space="0" w:color="auto"/>
        <w:left w:val="none" w:sz="0" w:space="0" w:color="auto"/>
        <w:bottom w:val="none" w:sz="0" w:space="0" w:color="auto"/>
        <w:right w:val="none" w:sz="0" w:space="0" w:color="auto"/>
      </w:divBdr>
    </w:div>
    <w:div w:id="1928809507">
      <w:bodyDiv w:val="1"/>
      <w:marLeft w:val="0"/>
      <w:marRight w:val="0"/>
      <w:marTop w:val="0"/>
      <w:marBottom w:val="0"/>
      <w:divBdr>
        <w:top w:val="none" w:sz="0" w:space="0" w:color="auto"/>
        <w:left w:val="none" w:sz="0" w:space="0" w:color="auto"/>
        <w:bottom w:val="none" w:sz="0" w:space="0" w:color="auto"/>
        <w:right w:val="none" w:sz="0" w:space="0" w:color="auto"/>
      </w:divBdr>
    </w:div>
    <w:div w:id="1928996553">
      <w:bodyDiv w:val="1"/>
      <w:marLeft w:val="0"/>
      <w:marRight w:val="0"/>
      <w:marTop w:val="0"/>
      <w:marBottom w:val="0"/>
      <w:divBdr>
        <w:top w:val="none" w:sz="0" w:space="0" w:color="auto"/>
        <w:left w:val="none" w:sz="0" w:space="0" w:color="auto"/>
        <w:bottom w:val="none" w:sz="0" w:space="0" w:color="auto"/>
        <w:right w:val="none" w:sz="0" w:space="0" w:color="auto"/>
      </w:divBdr>
    </w:div>
    <w:div w:id="1929268892">
      <w:bodyDiv w:val="1"/>
      <w:marLeft w:val="0"/>
      <w:marRight w:val="0"/>
      <w:marTop w:val="0"/>
      <w:marBottom w:val="0"/>
      <w:divBdr>
        <w:top w:val="none" w:sz="0" w:space="0" w:color="auto"/>
        <w:left w:val="none" w:sz="0" w:space="0" w:color="auto"/>
        <w:bottom w:val="none" w:sz="0" w:space="0" w:color="auto"/>
        <w:right w:val="none" w:sz="0" w:space="0" w:color="auto"/>
      </w:divBdr>
    </w:div>
    <w:div w:id="1929345380">
      <w:bodyDiv w:val="1"/>
      <w:marLeft w:val="0"/>
      <w:marRight w:val="0"/>
      <w:marTop w:val="0"/>
      <w:marBottom w:val="0"/>
      <w:divBdr>
        <w:top w:val="none" w:sz="0" w:space="0" w:color="auto"/>
        <w:left w:val="none" w:sz="0" w:space="0" w:color="auto"/>
        <w:bottom w:val="none" w:sz="0" w:space="0" w:color="auto"/>
        <w:right w:val="none" w:sz="0" w:space="0" w:color="auto"/>
      </w:divBdr>
    </w:div>
    <w:div w:id="1929389949">
      <w:bodyDiv w:val="1"/>
      <w:marLeft w:val="0"/>
      <w:marRight w:val="0"/>
      <w:marTop w:val="0"/>
      <w:marBottom w:val="0"/>
      <w:divBdr>
        <w:top w:val="none" w:sz="0" w:space="0" w:color="auto"/>
        <w:left w:val="none" w:sz="0" w:space="0" w:color="auto"/>
        <w:bottom w:val="none" w:sz="0" w:space="0" w:color="auto"/>
        <w:right w:val="none" w:sz="0" w:space="0" w:color="auto"/>
      </w:divBdr>
    </w:div>
    <w:div w:id="1929580031">
      <w:bodyDiv w:val="1"/>
      <w:marLeft w:val="0"/>
      <w:marRight w:val="0"/>
      <w:marTop w:val="0"/>
      <w:marBottom w:val="0"/>
      <w:divBdr>
        <w:top w:val="none" w:sz="0" w:space="0" w:color="auto"/>
        <w:left w:val="none" w:sz="0" w:space="0" w:color="auto"/>
        <w:bottom w:val="none" w:sz="0" w:space="0" w:color="auto"/>
        <w:right w:val="none" w:sz="0" w:space="0" w:color="auto"/>
      </w:divBdr>
    </w:div>
    <w:div w:id="1929730243">
      <w:bodyDiv w:val="1"/>
      <w:marLeft w:val="0"/>
      <w:marRight w:val="0"/>
      <w:marTop w:val="0"/>
      <w:marBottom w:val="0"/>
      <w:divBdr>
        <w:top w:val="none" w:sz="0" w:space="0" w:color="auto"/>
        <w:left w:val="none" w:sz="0" w:space="0" w:color="auto"/>
        <w:bottom w:val="none" w:sz="0" w:space="0" w:color="auto"/>
        <w:right w:val="none" w:sz="0" w:space="0" w:color="auto"/>
      </w:divBdr>
    </w:div>
    <w:div w:id="1929775054">
      <w:bodyDiv w:val="1"/>
      <w:marLeft w:val="0"/>
      <w:marRight w:val="0"/>
      <w:marTop w:val="0"/>
      <w:marBottom w:val="0"/>
      <w:divBdr>
        <w:top w:val="none" w:sz="0" w:space="0" w:color="auto"/>
        <w:left w:val="none" w:sz="0" w:space="0" w:color="auto"/>
        <w:bottom w:val="none" w:sz="0" w:space="0" w:color="auto"/>
        <w:right w:val="none" w:sz="0" w:space="0" w:color="auto"/>
      </w:divBdr>
    </w:div>
    <w:div w:id="1929846987">
      <w:bodyDiv w:val="1"/>
      <w:marLeft w:val="0"/>
      <w:marRight w:val="0"/>
      <w:marTop w:val="0"/>
      <w:marBottom w:val="0"/>
      <w:divBdr>
        <w:top w:val="none" w:sz="0" w:space="0" w:color="auto"/>
        <w:left w:val="none" w:sz="0" w:space="0" w:color="auto"/>
        <w:bottom w:val="none" w:sz="0" w:space="0" w:color="auto"/>
        <w:right w:val="none" w:sz="0" w:space="0" w:color="auto"/>
      </w:divBdr>
    </w:div>
    <w:div w:id="1930039702">
      <w:bodyDiv w:val="1"/>
      <w:marLeft w:val="0"/>
      <w:marRight w:val="0"/>
      <w:marTop w:val="0"/>
      <w:marBottom w:val="0"/>
      <w:divBdr>
        <w:top w:val="none" w:sz="0" w:space="0" w:color="auto"/>
        <w:left w:val="none" w:sz="0" w:space="0" w:color="auto"/>
        <w:bottom w:val="none" w:sz="0" w:space="0" w:color="auto"/>
        <w:right w:val="none" w:sz="0" w:space="0" w:color="auto"/>
      </w:divBdr>
    </w:div>
    <w:div w:id="1930039891">
      <w:bodyDiv w:val="1"/>
      <w:marLeft w:val="0"/>
      <w:marRight w:val="0"/>
      <w:marTop w:val="0"/>
      <w:marBottom w:val="0"/>
      <w:divBdr>
        <w:top w:val="none" w:sz="0" w:space="0" w:color="auto"/>
        <w:left w:val="none" w:sz="0" w:space="0" w:color="auto"/>
        <w:bottom w:val="none" w:sz="0" w:space="0" w:color="auto"/>
        <w:right w:val="none" w:sz="0" w:space="0" w:color="auto"/>
      </w:divBdr>
    </w:div>
    <w:div w:id="1930189647">
      <w:bodyDiv w:val="1"/>
      <w:marLeft w:val="0"/>
      <w:marRight w:val="0"/>
      <w:marTop w:val="0"/>
      <w:marBottom w:val="0"/>
      <w:divBdr>
        <w:top w:val="none" w:sz="0" w:space="0" w:color="auto"/>
        <w:left w:val="none" w:sz="0" w:space="0" w:color="auto"/>
        <w:bottom w:val="none" w:sz="0" w:space="0" w:color="auto"/>
        <w:right w:val="none" w:sz="0" w:space="0" w:color="auto"/>
      </w:divBdr>
    </w:div>
    <w:div w:id="1930313613">
      <w:bodyDiv w:val="1"/>
      <w:marLeft w:val="0"/>
      <w:marRight w:val="0"/>
      <w:marTop w:val="0"/>
      <w:marBottom w:val="0"/>
      <w:divBdr>
        <w:top w:val="none" w:sz="0" w:space="0" w:color="auto"/>
        <w:left w:val="none" w:sz="0" w:space="0" w:color="auto"/>
        <w:bottom w:val="none" w:sz="0" w:space="0" w:color="auto"/>
        <w:right w:val="none" w:sz="0" w:space="0" w:color="auto"/>
      </w:divBdr>
    </w:div>
    <w:div w:id="1930429153">
      <w:bodyDiv w:val="1"/>
      <w:marLeft w:val="0"/>
      <w:marRight w:val="0"/>
      <w:marTop w:val="0"/>
      <w:marBottom w:val="0"/>
      <w:divBdr>
        <w:top w:val="none" w:sz="0" w:space="0" w:color="auto"/>
        <w:left w:val="none" w:sz="0" w:space="0" w:color="auto"/>
        <w:bottom w:val="none" w:sz="0" w:space="0" w:color="auto"/>
        <w:right w:val="none" w:sz="0" w:space="0" w:color="auto"/>
      </w:divBdr>
    </w:div>
    <w:div w:id="1930500972">
      <w:bodyDiv w:val="1"/>
      <w:marLeft w:val="0"/>
      <w:marRight w:val="0"/>
      <w:marTop w:val="0"/>
      <w:marBottom w:val="0"/>
      <w:divBdr>
        <w:top w:val="none" w:sz="0" w:space="0" w:color="auto"/>
        <w:left w:val="none" w:sz="0" w:space="0" w:color="auto"/>
        <w:bottom w:val="none" w:sz="0" w:space="0" w:color="auto"/>
        <w:right w:val="none" w:sz="0" w:space="0" w:color="auto"/>
      </w:divBdr>
    </w:div>
    <w:div w:id="1930700836">
      <w:bodyDiv w:val="1"/>
      <w:marLeft w:val="0"/>
      <w:marRight w:val="0"/>
      <w:marTop w:val="0"/>
      <w:marBottom w:val="0"/>
      <w:divBdr>
        <w:top w:val="none" w:sz="0" w:space="0" w:color="auto"/>
        <w:left w:val="none" w:sz="0" w:space="0" w:color="auto"/>
        <w:bottom w:val="none" w:sz="0" w:space="0" w:color="auto"/>
        <w:right w:val="none" w:sz="0" w:space="0" w:color="auto"/>
      </w:divBdr>
    </w:div>
    <w:div w:id="1930842511">
      <w:bodyDiv w:val="1"/>
      <w:marLeft w:val="0"/>
      <w:marRight w:val="0"/>
      <w:marTop w:val="0"/>
      <w:marBottom w:val="0"/>
      <w:divBdr>
        <w:top w:val="none" w:sz="0" w:space="0" w:color="auto"/>
        <w:left w:val="none" w:sz="0" w:space="0" w:color="auto"/>
        <w:bottom w:val="none" w:sz="0" w:space="0" w:color="auto"/>
        <w:right w:val="none" w:sz="0" w:space="0" w:color="auto"/>
      </w:divBdr>
    </w:div>
    <w:div w:id="1930847750">
      <w:bodyDiv w:val="1"/>
      <w:marLeft w:val="0"/>
      <w:marRight w:val="0"/>
      <w:marTop w:val="0"/>
      <w:marBottom w:val="0"/>
      <w:divBdr>
        <w:top w:val="none" w:sz="0" w:space="0" w:color="auto"/>
        <w:left w:val="none" w:sz="0" w:space="0" w:color="auto"/>
        <w:bottom w:val="none" w:sz="0" w:space="0" w:color="auto"/>
        <w:right w:val="none" w:sz="0" w:space="0" w:color="auto"/>
      </w:divBdr>
    </w:div>
    <w:div w:id="1930848276">
      <w:bodyDiv w:val="1"/>
      <w:marLeft w:val="0"/>
      <w:marRight w:val="0"/>
      <w:marTop w:val="0"/>
      <w:marBottom w:val="0"/>
      <w:divBdr>
        <w:top w:val="none" w:sz="0" w:space="0" w:color="auto"/>
        <w:left w:val="none" w:sz="0" w:space="0" w:color="auto"/>
        <w:bottom w:val="none" w:sz="0" w:space="0" w:color="auto"/>
        <w:right w:val="none" w:sz="0" w:space="0" w:color="auto"/>
      </w:divBdr>
    </w:div>
    <w:div w:id="1930850137">
      <w:bodyDiv w:val="1"/>
      <w:marLeft w:val="0"/>
      <w:marRight w:val="0"/>
      <w:marTop w:val="0"/>
      <w:marBottom w:val="0"/>
      <w:divBdr>
        <w:top w:val="none" w:sz="0" w:space="0" w:color="auto"/>
        <w:left w:val="none" w:sz="0" w:space="0" w:color="auto"/>
        <w:bottom w:val="none" w:sz="0" w:space="0" w:color="auto"/>
        <w:right w:val="none" w:sz="0" w:space="0" w:color="auto"/>
      </w:divBdr>
    </w:div>
    <w:div w:id="1930968908">
      <w:bodyDiv w:val="1"/>
      <w:marLeft w:val="0"/>
      <w:marRight w:val="0"/>
      <w:marTop w:val="0"/>
      <w:marBottom w:val="0"/>
      <w:divBdr>
        <w:top w:val="none" w:sz="0" w:space="0" w:color="auto"/>
        <w:left w:val="none" w:sz="0" w:space="0" w:color="auto"/>
        <w:bottom w:val="none" w:sz="0" w:space="0" w:color="auto"/>
        <w:right w:val="none" w:sz="0" w:space="0" w:color="auto"/>
      </w:divBdr>
    </w:div>
    <w:div w:id="1931158275">
      <w:bodyDiv w:val="1"/>
      <w:marLeft w:val="0"/>
      <w:marRight w:val="0"/>
      <w:marTop w:val="0"/>
      <w:marBottom w:val="0"/>
      <w:divBdr>
        <w:top w:val="none" w:sz="0" w:space="0" w:color="auto"/>
        <w:left w:val="none" w:sz="0" w:space="0" w:color="auto"/>
        <w:bottom w:val="none" w:sz="0" w:space="0" w:color="auto"/>
        <w:right w:val="none" w:sz="0" w:space="0" w:color="auto"/>
      </w:divBdr>
    </w:div>
    <w:div w:id="1931160352">
      <w:bodyDiv w:val="1"/>
      <w:marLeft w:val="0"/>
      <w:marRight w:val="0"/>
      <w:marTop w:val="0"/>
      <w:marBottom w:val="0"/>
      <w:divBdr>
        <w:top w:val="none" w:sz="0" w:space="0" w:color="auto"/>
        <w:left w:val="none" w:sz="0" w:space="0" w:color="auto"/>
        <w:bottom w:val="none" w:sz="0" w:space="0" w:color="auto"/>
        <w:right w:val="none" w:sz="0" w:space="0" w:color="auto"/>
      </w:divBdr>
    </w:div>
    <w:div w:id="1931307203">
      <w:bodyDiv w:val="1"/>
      <w:marLeft w:val="0"/>
      <w:marRight w:val="0"/>
      <w:marTop w:val="0"/>
      <w:marBottom w:val="0"/>
      <w:divBdr>
        <w:top w:val="none" w:sz="0" w:space="0" w:color="auto"/>
        <w:left w:val="none" w:sz="0" w:space="0" w:color="auto"/>
        <w:bottom w:val="none" w:sz="0" w:space="0" w:color="auto"/>
        <w:right w:val="none" w:sz="0" w:space="0" w:color="auto"/>
      </w:divBdr>
    </w:div>
    <w:div w:id="1931426636">
      <w:bodyDiv w:val="1"/>
      <w:marLeft w:val="0"/>
      <w:marRight w:val="0"/>
      <w:marTop w:val="0"/>
      <w:marBottom w:val="0"/>
      <w:divBdr>
        <w:top w:val="none" w:sz="0" w:space="0" w:color="auto"/>
        <w:left w:val="none" w:sz="0" w:space="0" w:color="auto"/>
        <w:bottom w:val="none" w:sz="0" w:space="0" w:color="auto"/>
        <w:right w:val="none" w:sz="0" w:space="0" w:color="auto"/>
      </w:divBdr>
    </w:div>
    <w:div w:id="1931430353">
      <w:bodyDiv w:val="1"/>
      <w:marLeft w:val="0"/>
      <w:marRight w:val="0"/>
      <w:marTop w:val="0"/>
      <w:marBottom w:val="0"/>
      <w:divBdr>
        <w:top w:val="none" w:sz="0" w:space="0" w:color="auto"/>
        <w:left w:val="none" w:sz="0" w:space="0" w:color="auto"/>
        <w:bottom w:val="none" w:sz="0" w:space="0" w:color="auto"/>
        <w:right w:val="none" w:sz="0" w:space="0" w:color="auto"/>
      </w:divBdr>
    </w:div>
    <w:div w:id="1931503822">
      <w:bodyDiv w:val="1"/>
      <w:marLeft w:val="0"/>
      <w:marRight w:val="0"/>
      <w:marTop w:val="0"/>
      <w:marBottom w:val="0"/>
      <w:divBdr>
        <w:top w:val="none" w:sz="0" w:space="0" w:color="auto"/>
        <w:left w:val="none" w:sz="0" w:space="0" w:color="auto"/>
        <w:bottom w:val="none" w:sz="0" w:space="0" w:color="auto"/>
        <w:right w:val="none" w:sz="0" w:space="0" w:color="auto"/>
      </w:divBdr>
    </w:div>
    <w:div w:id="1931621533">
      <w:bodyDiv w:val="1"/>
      <w:marLeft w:val="0"/>
      <w:marRight w:val="0"/>
      <w:marTop w:val="0"/>
      <w:marBottom w:val="0"/>
      <w:divBdr>
        <w:top w:val="none" w:sz="0" w:space="0" w:color="auto"/>
        <w:left w:val="none" w:sz="0" w:space="0" w:color="auto"/>
        <w:bottom w:val="none" w:sz="0" w:space="0" w:color="auto"/>
        <w:right w:val="none" w:sz="0" w:space="0" w:color="auto"/>
      </w:divBdr>
    </w:div>
    <w:div w:id="1931697281">
      <w:bodyDiv w:val="1"/>
      <w:marLeft w:val="0"/>
      <w:marRight w:val="0"/>
      <w:marTop w:val="0"/>
      <w:marBottom w:val="0"/>
      <w:divBdr>
        <w:top w:val="none" w:sz="0" w:space="0" w:color="auto"/>
        <w:left w:val="none" w:sz="0" w:space="0" w:color="auto"/>
        <w:bottom w:val="none" w:sz="0" w:space="0" w:color="auto"/>
        <w:right w:val="none" w:sz="0" w:space="0" w:color="auto"/>
      </w:divBdr>
    </w:div>
    <w:div w:id="1931700296">
      <w:bodyDiv w:val="1"/>
      <w:marLeft w:val="0"/>
      <w:marRight w:val="0"/>
      <w:marTop w:val="0"/>
      <w:marBottom w:val="0"/>
      <w:divBdr>
        <w:top w:val="none" w:sz="0" w:space="0" w:color="auto"/>
        <w:left w:val="none" w:sz="0" w:space="0" w:color="auto"/>
        <w:bottom w:val="none" w:sz="0" w:space="0" w:color="auto"/>
        <w:right w:val="none" w:sz="0" w:space="0" w:color="auto"/>
      </w:divBdr>
    </w:div>
    <w:div w:id="1931818482">
      <w:bodyDiv w:val="1"/>
      <w:marLeft w:val="0"/>
      <w:marRight w:val="0"/>
      <w:marTop w:val="0"/>
      <w:marBottom w:val="0"/>
      <w:divBdr>
        <w:top w:val="none" w:sz="0" w:space="0" w:color="auto"/>
        <w:left w:val="none" w:sz="0" w:space="0" w:color="auto"/>
        <w:bottom w:val="none" w:sz="0" w:space="0" w:color="auto"/>
        <w:right w:val="none" w:sz="0" w:space="0" w:color="auto"/>
      </w:divBdr>
    </w:div>
    <w:div w:id="1932008368">
      <w:bodyDiv w:val="1"/>
      <w:marLeft w:val="0"/>
      <w:marRight w:val="0"/>
      <w:marTop w:val="0"/>
      <w:marBottom w:val="0"/>
      <w:divBdr>
        <w:top w:val="none" w:sz="0" w:space="0" w:color="auto"/>
        <w:left w:val="none" w:sz="0" w:space="0" w:color="auto"/>
        <w:bottom w:val="none" w:sz="0" w:space="0" w:color="auto"/>
        <w:right w:val="none" w:sz="0" w:space="0" w:color="auto"/>
      </w:divBdr>
    </w:div>
    <w:div w:id="1932272656">
      <w:bodyDiv w:val="1"/>
      <w:marLeft w:val="0"/>
      <w:marRight w:val="0"/>
      <w:marTop w:val="0"/>
      <w:marBottom w:val="0"/>
      <w:divBdr>
        <w:top w:val="none" w:sz="0" w:space="0" w:color="auto"/>
        <w:left w:val="none" w:sz="0" w:space="0" w:color="auto"/>
        <w:bottom w:val="none" w:sz="0" w:space="0" w:color="auto"/>
        <w:right w:val="none" w:sz="0" w:space="0" w:color="auto"/>
      </w:divBdr>
    </w:div>
    <w:div w:id="1932274779">
      <w:bodyDiv w:val="1"/>
      <w:marLeft w:val="0"/>
      <w:marRight w:val="0"/>
      <w:marTop w:val="0"/>
      <w:marBottom w:val="0"/>
      <w:divBdr>
        <w:top w:val="none" w:sz="0" w:space="0" w:color="auto"/>
        <w:left w:val="none" w:sz="0" w:space="0" w:color="auto"/>
        <w:bottom w:val="none" w:sz="0" w:space="0" w:color="auto"/>
        <w:right w:val="none" w:sz="0" w:space="0" w:color="auto"/>
      </w:divBdr>
    </w:div>
    <w:div w:id="1932350147">
      <w:bodyDiv w:val="1"/>
      <w:marLeft w:val="0"/>
      <w:marRight w:val="0"/>
      <w:marTop w:val="0"/>
      <w:marBottom w:val="0"/>
      <w:divBdr>
        <w:top w:val="none" w:sz="0" w:space="0" w:color="auto"/>
        <w:left w:val="none" w:sz="0" w:space="0" w:color="auto"/>
        <w:bottom w:val="none" w:sz="0" w:space="0" w:color="auto"/>
        <w:right w:val="none" w:sz="0" w:space="0" w:color="auto"/>
      </w:divBdr>
    </w:div>
    <w:div w:id="1932423634">
      <w:bodyDiv w:val="1"/>
      <w:marLeft w:val="0"/>
      <w:marRight w:val="0"/>
      <w:marTop w:val="0"/>
      <w:marBottom w:val="0"/>
      <w:divBdr>
        <w:top w:val="none" w:sz="0" w:space="0" w:color="auto"/>
        <w:left w:val="none" w:sz="0" w:space="0" w:color="auto"/>
        <w:bottom w:val="none" w:sz="0" w:space="0" w:color="auto"/>
        <w:right w:val="none" w:sz="0" w:space="0" w:color="auto"/>
      </w:divBdr>
    </w:div>
    <w:div w:id="1932465773">
      <w:bodyDiv w:val="1"/>
      <w:marLeft w:val="0"/>
      <w:marRight w:val="0"/>
      <w:marTop w:val="0"/>
      <w:marBottom w:val="0"/>
      <w:divBdr>
        <w:top w:val="none" w:sz="0" w:space="0" w:color="auto"/>
        <w:left w:val="none" w:sz="0" w:space="0" w:color="auto"/>
        <w:bottom w:val="none" w:sz="0" w:space="0" w:color="auto"/>
        <w:right w:val="none" w:sz="0" w:space="0" w:color="auto"/>
      </w:divBdr>
    </w:div>
    <w:div w:id="1932617036">
      <w:bodyDiv w:val="1"/>
      <w:marLeft w:val="0"/>
      <w:marRight w:val="0"/>
      <w:marTop w:val="0"/>
      <w:marBottom w:val="0"/>
      <w:divBdr>
        <w:top w:val="none" w:sz="0" w:space="0" w:color="auto"/>
        <w:left w:val="none" w:sz="0" w:space="0" w:color="auto"/>
        <w:bottom w:val="none" w:sz="0" w:space="0" w:color="auto"/>
        <w:right w:val="none" w:sz="0" w:space="0" w:color="auto"/>
      </w:divBdr>
    </w:div>
    <w:div w:id="1932737422">
      <w:bodyDiv w:val="1"/>
      <w:marLeft w:val="0"/>
      <w:marRight w:val="0"/>
      <w:marTop w:val="0"/>
      <w:marBottom w:val="0"/>
      <w:divBdr>
        <w:top w:val="none" w:sz="0" w:space="0" w:color="auto"/>
        <w:left w:val="none" w:sz="0" w:space="0" w:color="auto"/>
        <w:bottom w:val="none" w:sz="0" w:space="0" w:color="auto"/>
        <w:right w:val="none" w:sz="0" w:space="0" w:color="auto"/>
      </w:divBdr>
    </w:div>
    <w:div w:id="1932930199">
      <w:bodyDiv w:val="1"/>
      <w:marLeft w:val="0"/>
      <w:marRight w:val="0"/>
      <w:marTop w:val="0"/>
      <w:marBottom w:val="0"/>
      <w:divBdr>
        <w:top w:val="none" w:sz="0" w:space="0" w:color="auto"/>
        <w:left w:val="none" w:sz="0" w:space="0" w:color="auto"/>
        <w:bottom w:val="none" w:sz="0" w:space="0" w:color="auto"/>
        <w:right w:val="none" w:sz="0" w:space="0" w:color="auto"/>
      </w:divBdr>
    </w:div>
    <w:div w:id="1933195048">
      <w:bodyDiv w:val="1"/>
      <w:marLeft w:val="0"/>
      <w:marRight w:val="0"/>
      <w:marTop w:val="0"/>
      <w:marBottom w:val="0"/>
      <w:divBdr>
        <w:top w:val="none" w:sz="0" w:space="0" w:color="auto"/>
        <w:left w:val="none" w:sz="0" w:space="0" w:color="auto"/>
        <w:bottom w:val="none" w:sz="0" w:space="0" w:color="auto"/>
        <w:right w:val="none" w:sz="0" w:space="0" w:color="auto"/>
      </w:divBdr>
    </w:div>
    <w:div w:id="1933200918">
      <w:bodyDiv w:val="1"/>
      <w:marLeft w:val="0"/>
      <w:marRight w:val="0"/>
      <w:marTop w:val="0"/>
      <w:marBottom w:val="0"/>
      <w:divBdr>
        <w:top w:val="none" w:sz="0" w:space="0" w:color="auto"/>
        <w:left w:val="none" w:sz="0" w:space="0" w:color="auto"/>
        <w:bottom w:val="none" w:sz="0" w:space="0" w:color="auto"/>
        <w:right w:val="none" w:sz="0" w:space="0" w:color="auto"/>
      </w:divBdr>
    </w:div>
    <w:div w:id="1933275779">
      <w:bodyDiv w:val="1"/>
      <w:marLeft w:val="0"/>
      <w:marRight w:val="0"/>
      <w:marTop w:val="0"/>
      <w:marBottom w:val="0"/>
      <w:divBdr>
        <w:top w:val="none" w:sz="0" w:space="0" w:color="auto"/>
        <w:left w:val="none" w:sz="0" w:space="0" w:color="auto"/>
        <w:bottom w:val="none" w:sz="0" w:space="0" w:color="auto"/>
        <w:right w:val="none" w:sz="0" w:space="0" w:color="auto"/>
      </w:divBdr>
    </w:div>
    <w:div w:id="1933472574">
      <w:bodyDiv w:val="1"/>
      <w:marLeft w:val="0"/>
      <w:marRight w:val="0"/>
      <w:marTop w:val="0"/>
      <w:marBottom w:val="0"/>
      <w:divBdr>
        <w:top w:val="none" w:sz="0" w:space="0" w:color="auto"/>
        <w:left w:val="none" w:sz="0" w:space="0" w:color="auto"/>
        <w:bottom w:val="none" w:sz="0" w:space="0" w:color="auto"/>
        <w:right w:val="none" w:sz="0" w:space="0" w:color="auto"/>
      </w:divBdr>
    </w:div>
    <w:div w:id="1933657296">
      <w:bodyDiv w:val="1"/>
      <w:marLeft w:val="0"/>
      <w:marRight w:val="0"/>
      <w:marTop w:val="0"/>
      <w:marBottom w:val="0"/>
      <w:divBdr>
        <w:top w:val="none" w:sz="0" w:space="0" w:color="auto"/>
        <w:left w:val="none" w:sz="0" w:space="0" w:color="auto"/>
        <w:bottom w:val="none" w:sz="0" w:space="0" w:color="auto"/>
        <w:right w:val="none" w:sz="0" w:space="0" w:color="auto"/>
      </w:divBdr>
    </w:div>
    <w:div w:id="1933660777">
      <w:bodyDiv w:val="1"/>
      <w:marLeft w:val="0"/>
      <w:marRight w:val="0"/>
      <w:marTop w:val="0"/>
      <w:marBottom w:val="0"/>
      <w:divBdr>
        <w:top w:val="none" w:sz="0" w:space="0" w:color="auto"/>
        <w:left w:val="none" w:sz="0" w:space="0" w:color="auto"/>
        <w:bottom w:val="none" w:sz="0" w:space="0" w:color="auto"/>
        <w:right w:val="none" w:sz="0" w:space="0" w:color="auto"/>
      </w:divBdr>
    </w:div>
    <w:div w:id="1933774998">
      <w:bodyDiv w:val="1"/>
      <w:marLeft w:val="0"/>
      <w:marRight w:val="0"/>
      <w:marTop w:val="0"/>
      <w:marBottom w:val="0"/>
      <w:divBdr>
        <w:top w:val="none" w:sz="0" w:space="0" w:color="auto"/>
        <w:left w:val="none" w:sz="0" w:space="0" w:color="auto"/>
        <w:bottom w:val="none" w:sz="0" w:space="0" w:color="auto"/>
        <w:right w:val="none" w:sz="0" w:space="0" w:color="auto"/>
      </w:divBdr>
    </w:div>
    <w:div w:id="1934125326">
      <w:bodyDiv w:val="1"/>
      <w:marLeft w:val="0"/>
      <w:marRight w:val="0"/>
      <w:marTop w:val="0"/>
      <w:marBottom w:val="0"/>
      <w:divBdr>
        <w:top w:val="none" w:sz="0" w:space="0" w:color="auto"/>
        <w:left w:val="none" w:sz="0" w:space="0" w:color="auto"/>
        <w:bottom w:val="none" w:sz="0" w:space="0" w:color="auto"/>
        <w:right w:val="none" w:sz="0" w:space="0" w:color="auto"/>
      </w:divBdr>
    </w:div>
    <w:div w:id="1934164074">
      <w:bodyDiv w:val="1"/>
      <w:marLeft w:val="0"/>
      <w:marRight w:val="0"/>
      <w:marTop w:val="0"/>
      <w:marBottom w:val="0"/>
      <w:divBdr>
        <w:top w:val="none" w:sz="0" w:space="0" w:color="auto"/>
        <w:left w:val="none" w:sz="0" w:space="0" w:color="auto"/>
        <w:bottom w:val="none" w:sz="0" w:space="0" w:color="auto"/>
        <w:right w:val="none" w:sz="0" w:space="0" w:color="auto"/>
      </w:divBdr>
    </w:div>
    <w:div w:id="1934168845">
      <w:bodyDiv w:val="1"/>
      <w:marLeft w:val="0"/>
      <w:marRight w:val="0"/>
      <w:marTop w:val="0"/>
      <w:marBottom w:val="0"/>
      <w:divBdr>
        <w:top w:val="none" w:sz="0" w:space="0" w:color="auto"/>
        <w:left w:val="none" w:sz="0" w:space="0" w:color="auto"/>
        <w:bottom w:val="none" w:sz="0" w:space="0" w:color="auto"/>
        <w:right w:val="none" w:sz="0" w:space="0" w:color="auto"/>
      </w:divBdr>
    </w:div>
    <w:div w:id="1934316199">
      <w:bodyDiv w:val="1"/>
      <w:marLeft w:val="0"/>
      <w:marRight w:val="0"/>
      <w:marTop w:val="0"/>
      <w:marBottom w:val="0"/>
      <w:divBdr>
        <w:top w:val="none" w:sz="0" w:space="0" w:color="auto"/>
        <w:left w:val="none" w:sz="0" w:space="0" w:color="auto"/>
        <w:bottom w:val="none" w:sz="0" w:space="0" w:color="auto"/>
        <w:right w:val="none" w:sz="0" w:space="0" w:color="auto"/>
      </w:divBdr>
    </w:div>
    <w:div w:id="1934318566">
      <w:bodyDiv w:val="1"/>
      <w:marLeft w:val="0"/>
      <w:marRight w:val="0"/>
      <w:marTop w:val="0"/>
      <w:marBottom w:val="0"/>
      <w:divBdr>
        <w:top w:val="none" w:sz="0" w:space="0" w:color="auto"/>
        <w:left w:val="none" w:sz="0" w:space="0" w:color="auto"/>
        <w:bottom w:val="none" w:sz="0" w:space="0" w:color="auto"/>
        <w:right w:val="none" w:sz="0" w:space="0" w:color="auto"/>
      </w:divBdr>
    </w:div>
    <w:div w:id="1934363296">
      <w:bodyDiv w:val="1"/>
      <w:marLeft w:val="0"/>
      <w:marRight w:val="0"/>
      <w:marTop w:val="0"/>
      <w:marBottom w:val="0"/>
      <w:divBdr>
        <w:top w:val="none" w:sz="0" w:space="0" w:color="auto"/>
        <w:left w:val="none" w:sz="0" w:space="0" w:color="auto"/>
        <w:bottom w:val="none" w:sz="0" w:space="0" w:color="auto"/>
        <w:right w:val="none" w:sz="0" w:space="0" w:color="auto"/>
      </w:divBdr>
    </w:div>
    <w:div w:id="1934391553">
      <w:bodyDiv w:val="1"/>
      <w:marLeft w:val="0"/>
      <w:marRight w:val="0"/>
      <w:marTop w:val="0"/>
      <w:marBottom w:val="0"/>
      <w:divBdr>
        <w:top w:val="none" w:sz="0" w:space="0" w:color="auto"/>
        <w:left w:val="none" w:sz="0" w:space="0" w:color="auto"/>
        <w:bottom w:val="none" w:sz="0" w:space="0" w:color="auto"/>
        <w:right w:val="none" w:sz="0" w:space="0" w:color="auto"/>
      </w:divBdr>
    </w:div>
    <w:div w:id="1934437579">
      <w:bodyDiv w:val="1"/>
      <w:marLeft w:val="0"/>
      <w:marRight w:val="0"/>
      <w:marTop w:val="0"/>
      <w:marBottom w:val="0"/>
      <w:divBdr>
        <w:top w:val="none" w:sz="0" w:space="0" w:color="auto"/>
        <w:left w:val="none" w:sz="0" w:space="0" w:color="auto"/>
        <w:bottom w:val="none" w:sz="0" w:space="0" w:color="auto"/>
        <w:right w:val="none" w:sz="0" w:space="0" w:color="auto"/>
      </w:divBdr>
    </w:div>
    <w:div w:id="1934630205">
      <w:bodyDiv w:val="1"/>
      <w:marLeft w:val="0"/>
      <w:marRight w:val="0"/>
      <w:marTop w:val="0"/>
      <w:marBottom w:val="0"/>
      <w:divBdr>
        <w:top w:val="none" w:sz="0" w:space="0" w:color="auto"/>
        <w:left w:val="none" w:sz="0" w:space="0" w:color="auto"/>
        <w:bottom w:val="none" w:sz="0" w:space="0" w:color="auto"/>
        <w:right w:val="none" w:sz="0" w:space="0" w:color="auto"/>
      </w:divBdr>
    </w:div>
    <w:div w:id="1934773890">
      <w:bodyDiv w:val="1"/>
      <w:marLeft w:val="0"/>
      <w:marRight w:val="0"/>
      <w:marTop w:val="0"/>
      <w:marBottom w:val="0"/>
      <w:divBdr>
        <w:top w:val="none" w:sz="0" w:space="0" w:color="auto"/>
        <w:left w:val="none" w:sz="0" w:space="0" w:color="auto"/>
        <w:bottom w:val="none" w:sz="0" w:space="0" w:color="auto"/>
        <w:right w:val="none" w:sz="0" w:space="0" w:color="auto"/>
      </w:divBdr>
    </w:div>
    <w:div w:id="1934821116">
      <w:bodyDiv w:val="1"/>
      <w:marLeft w:val="0"/>
      <w:marRight w:val="0"/>
      <w:marTop w:val="0"/>
      <w:marBottom w:val="0"/>
      <w:divBdr>
        <w:top w:val="none" w:sz="0" w:space="0" w:color="auto"/>
        <w:left w:val="none" w:sz="0" w:space="0" w:color="auto"/>
        <w:bottom w:val="none" w:sz="0" w:space="0" w:color="auto"/>
        <w:right w:val="none" w:sz="0" w:space="0" w:color="auto"/>
      </w:divBdr>
    </w:div>
    <w:div w:id="1935091258">
      <w:bodyDiv w:val="1"/>
      <w:marLeft w:val="0"/>
      <w:marRight w:val="0"/>
      <w:marTop w:val="0"/>
      <w:marBottom w:val="0"/>
      <w:divBdr>
        <w:top w:val="none" w:sz="0" w:space="0" w:color="auto"/>
        <w:left w:val="none" w:sz="0" w:space="0" w:color="auto"/>
        <w:bottom w:val="none" w:sz="0" w:space="0" w:color="auto"/>
        <w:right w:val="none" w:sz="0" w:space="0" w:color="auto"/>
      </w:divBdr>
    </w:div>
    <w:div w:id="1935242253">
      <w:bodyDiv w:val="1"/>
      <w:marLeft w:val="0"/>
      <w:marRight w:val="0"/>
      <w:marTop w:val="0"/>
      <w:marBottom w:val="0"/>
      <w:divBdr>
        <w:top w:val="none" w:sz="0" w:space="0" w:color="auto"/>
        <w:left w:val="none" w:sz="0" w:space="0" w:color="auto"/>
        <w:bottom w:val="none" w:sz="0" w:space="0" w:color="auto"/>
        <w:right w:val="none" w:sz="0" w:space="0" w:color="auto"/>
      </w:divBdr>
    </w:div>
    <w:div w:id="1935703720">
      <w:bodyDiv w:val="1"/>
      <w:marLeft w:val="0"/>
      <w:marRight w:val="0"/>
      <w:marTop w:val="0"/>
      <w:marBottom w:val="0"/>
      <w:divBdr>
        <w:top w:val="none" w:sz="0" w:space="0" w:color="auto"/>
        <w:left w:val="none" w:sz="0" w:space="0" w:color="auto"/>
        <w:bottom w:val="none" w:sz="0" w:space="0" w:color="auto"/>
        <w:right w:val="none" w:sz="0" w:space="0" w:color="auto"/>
      </w:divBdr>
    </w:div>
    <w:div w:id="1935740775">
      <w:bodyDiv w:val="1"/>
      <w:marLeft w:val="0"/>
      <w:marRight w:val="0"/>
      <w:marTop w:val="0"/>
      <w:marBottom w:val="0"/>
      <w:divBdr>
        <w:top w:val="none" w:sz="0" w:space="0" w:color="auto"/>
        <w:left w:val="none" w:sz="0" w:space="0" w:color="auto"/>
        <w:bottom w:val="none" w:sz="0" w:space="0" w:color="auto"/>
        <w:right w:val="none" w:sz="0" w:space="0" w:color="auto"/>
      </w:divBdr>
    </w:div>
    <w:div w:id="1935746616">
      <w:bodyDiv w:val="1"/>
      <w:marLeft w:val="0"/>
      <w:marRight w:val="0"/>
      <w:marTop w:val="0"/>
      <w:marBottom w:val="0"/>
      <w:divBdr>
        <w:top w:val="none" w:sz="0" w:space="0" w:color="auto"/>
        <w:left w:val="none" w:sz="0" w:space="0" w:color="auto"/>
        <w:bottom w:val="none" w:sz="0" w:space="0" w:color="auto"/>
        <w:right w:val="none" w:sz="0" w:space="0" w:color="auto"/>
      </w:divBdr>
    </w:div>
    <w:div w:id="1935746895">
      <w:bodyDiv w:val="1"/>
      <w:marLeft w:val="0"/>
      <w:marRight w:val="0"/>
      <w:marTop w:val="0"/>
      <w:marBottom w:val="0"/>
      <w:divBdr>
        <w:top w:val="none" w:sz="0" w:space="0" w:color="auto"/>
        <w:left w:val="none" w:sz="0" w:space="0" w:color="auto"/>
        <w:bottom w:val="none" w:sz="0" w:space="0" w:color="auto"/>
        <w:right w:val="none" w:sz="0" w:space="0" w:color="auto"/>
      </w:divBdr>
    </w:div>
    <w:div w:id="1935938993">
      <w:bodyDiv w:val="1"/>
      <w:marLeft w:val="0"/>
      <w:marRight w:val="0"/>
      <w:marTop w:val="0"/>
      <w:marBottom w:val="0"/>
      <w:divBdr>
        <w:top w:val="none" w:sz="0" w:space="0" w:color="auto"/>
        <w:left w:val="none" w:sz="0" w:space="0" w:color="auto"/>
        <w:bottom w:val="none" w:sz="0" w:space="0" w:color="auto"/>
        <w:right w:val="none" w:sz="0" w:space="0" w:color="auto"/>
      </w:divBdr>
    </w:div>
    <w:div w:id="1936017029">
      <w:bodyDiv w:val="1"/>
      <w:marLeft w:val="0"/>
      <w:marRight w:val="0"/>
      <w:marTop w:val="0"/>
      <w:marBottom w:val="0"/>
      <w:divBdr>
        <w:top w:val="none" w:sz="0" w:space="0" w:color="auto"/>
        <w:left w:val="none" w:sz="0" w:space="0" w:color="auto"/>
        <w:bottom w:val="none" w:sz="0" w:space="0" w:color="auto"/>
        <w:right w:val="none" w:sz="0" w:space="0" w:color="auto"/>
      </w:divBdr>
    </w:div>
    <w:div w:id="1936090385">
      <w:bodyDiv w:val="1"/>
      <w:marLeft w:val="0"/>
      <w:marRight w:val="0"/>
      <w:marTop w:val="0"/>
      <w:marBottom w:val="0"/>
      <w:divBdr>
        <w:top w:val="none" w:sz="0" w:space="0" w:color="auto"/>
        <w:left w:val="none" w:sz="0" w:space="0" w:color="auto"/>
        <w:bottom w:val="none" w:sz="0" w:space="0" w:color="auto"/>
        <w:right w:val="none" w:sz="0" w:space="0" w:color="auto"/>
      </w:divBdr>
    </w:div>
    <w:div w:id="1936092654">
      <w:bodyDiv w:val="1"/>
      <w:marLeft w:val="0"/>
      <w:marRight w:val="0"/>
      <w:marTop w:val="0"/>
      <w:marBottom w:val="0"/>
      <w:divBdr>
        <w:top w:val="none" w:sz="0" w:space="0" w:color="auto"/>
        <w:left w:val="none" w:sz="0" w:space="0" w:color="auto"/>
        <w:bottom w:val="none" w:sz="0" w:space="0" w:color="auto"/>
        <w:right w:val="none" w:sz="0" w:space="0" w:color="auto"/>
      </w:divBdr>
    </w:div>
    <w:div w:id="1936206101">
      <w:bodyDiv w:val="1"/>
      <w:marLeft w:val="0"/>
      <w:marRight w:val="0"/>
      <w:marTop w:val="0"/>
      <w:marBottom w:val="0"/>
      <w:divBdr>
        <w:top w:val="none" w:sz="0" w:space="0" w:color="auto"/>
        <w:left w:val="none" w:sz="0" w:space="0" w:color="auto"/>
        <w:bottom w:val="none" w:sz="0" w:space="0" w:color="auto"/>
        <w:right w:val="none" w:sz="0" w:space="0" w:color="auto"/>
      </w:divBdr>
    </w:div>
    <w:div w:id="1936398483">
      <w:bodyDiv w:val="1"/>
      <w:marLeft w:val="0"/>
      <w:marRight w:val="0"/>
      <w:marTop w:val="0"/>
      <w:marBottom w:val="0"/>
      <w:divBdr>
        <w:top w:val="none" w:sz="0" w:space="0" w:color="auto"/>
        <w:left w:val="none" w:sz="0" w:space="0" w:color="auto"/>
        <w:bottom w:val="none" w:sz="0" w:space="0" w:color="auto"/>
        <w:right w:val="none" w:sz="0" w:space="0" w:color="auto"/>
      </w:divBdr>
    </w:div>
    <w:div w:id="1936858506">
      <w:bodyDiv w:val="1"/>
      <w:marLeft w:val="0"/>
      <w:marRight w:val="0"/>
      <w:marTop w:val="0"/>
      <w:marBottom w:val="0"/>
      <w:divBdr>
        <w:top w:val="none" w:sz="0" w:space="0" w:color="auto"/>
        <w:left w:val="none" w:sz="0" w:space="0" w:color="auto"/>
        <w:bottom w:val="none" w:sz="0" w:space="0" w:color="auto"/>
        <w:right w:val="none" w:sz="0" w:space="0" w:color="auto"/>
      </w:divBdr>
    </w:div>
    <w:div w:id="1936859569">
      <w:bodyDiv w:val="1"/>
      <w:marLeft w:val="0"/>
      <w:marRight w:val="0"/>
      <w:marTop w:val="0"/>
      <w:marBottom w:val="0"/>
      <w:divBdr>
        <w:top w:val="none" w:sz="0" w:space="0" w:color="auto"/>
        <w:left w:val="none" w:sz="0" w:space="0" w:color="auto"/>
        <w:bottom w:val="none" w:sz="0" w:space="0" w:color="auto"/>
        <w:right w:val="none" w:sz="0" w:space="0" w:color="auto"/>
      </w:divBdr>
    </w:div>
    <w:div w:id="1936934687">
      <w:bodyDiv w:val="1"/>
      <w:marLeft w:val="0"/>
      <w:marRight w:val="0"/>
      <w:marTop w:val="0"/>
      <w:marBottom w:val="0"/>
      <w:divBdr>
        <w:top w:val="none" w:sz="0" w:space="0" w:color="auto"/>
        <w:left w:val="none" w:sz="0" w:space="0" w:color="auto"/>
        <w:bottom w:val="none" w:sz="0" w:space="0" w:color="auto"/>
        <w:right w:val="none" w:sz="0" w:space="0" w:color="auto"/>
      </w:divBdr>
    </w:div>
    <w:div w:id="1937442369">
      <w:bodyDiv w:val="1"/>
      <w:marLeft w:val="0"/>
      <w:marRight w:val="0"/>
      <w:marTop w:val="0"/>
      <w:marBottom w:val="0"/>
      <w:divBdr>
        <w:top w:val="none" w:sz="0" w:space="0" w:color="auto"/>
        <w:left w:val="none" w:sz="0" w:space="0" w:color="auto"/>
        <w:bottom w:val="none" w:sz="0" w:space="0" w:color="auto"/>
        <w:right w:val="none" w:sz="0" w:space="0" w:color="auto"/>
      </w:divBdr>
    </w:div>
    <w:div w:id="1937443841">
      <w:bodyDiv w:val="1"/>
      <w:marLeft w:val="0"/>
      <w:marRight w:val="0"/>
      <w:marTop w:val="0"/>
      <w:marBottom w:val="0"/>
      <w:divBdr>
        <w:top w:val="none" w:sz="0" w:space="0" w:color="auto"/>
        <w:left w:val="none" w:sz="0" w:space="0" w:color="auto"/>
        <w:bottom w:val="none" w:sz="0" w:space="0" w:color="auto"/>
        <w:right w:val="none" w:sz="0" w:space="0" w:color="auto"/>
      </w:divBdr>
    </w:div>
    <w:div w:id="1937513415">
      <w:bodyDiv w:val="1"/>
      <w:marLeft w:val="0"/>
      <w:marRight w:val="0"/>
      <w:marTop w:val="0"/>
      <w:marBottom w:val="0"/>
      <w:divBdr>
        <w:top w:val="none" w:sz="0" w:space="0" w:color="auto"/>
        <w:left w:val="none" w:sz="0" w:space="0" w:color="auto"/>
        <w:bottom w:val="none" w:sz="0" w:space="0" w:color="auto"/>
        <w:right w:val="none" w:sz="0" w:space="0" w:color="auto"/>
      </w:divBdr>
    </w:div>
    <w:div w:id="1937521235">
      <w:bodyDiv w:val="1"/>
      <w:marLeft w:val="0"/>
      <w:marRight w:val="0"/>
      <w:marTop w:val="0"/>
      <w:marBottom w:val="0"/>
      <w:divBdr>
        <w:top w:val="none" w:sz="0" w:space="0" w:color="auto"/>
        <w:left w:val="none" w:sz="0" w:space="0" w:color="auto"/>
        <w:bottom w:val="none" w:sz="0" w:space="0" w:color="auto"/>
        <w:right w:val="none" w:sz="0" w:space="0" w:color="auto"/>
      </w:divBdr>
    </w:div>
    <w:div w:id="1937591562">
      <w:bodyDiv w:val="1"/>
      <w:marLeft w:val="0"/>
      <w:marRight w:val="0"/>
      <w:marTop w:val="0"/>
      <w:marBottom w:val="0"/>
      <w:divBdr>
        <w:top w:val="none" w:sz="0" w:space="0" w:color="auto"/>
        <w:left w:val="none" w:sz="0" w:space="0" w:color="auto"/>
        <w:bottom w:val="none" w:sz="0" w:space="0" w:color="auto"/>
        <w:right w:val="none" w:sz="0" w:space="0" w:color="auto"/>
      </w:divBdr>
    </w:div>
    <w:div w:id="1937637432">
      <w:bodyDiv w:val="1"/>
      <w:marLeft w:val="0"/>
      <w:marRight w:val="0"/>
      <w:marTop w:val="0"/>
      <w:marBottom w:val="0"/>
      <w:divBdr>
        <w:top w:val="none" w:sz="0" w:space="0" w:color="auto"/>
        <w:left w:val="none" w:sz="0" w:space="0" w:color="auto"/>
        <w:bottom w:val="none" w:sz="0" w:space="0" w:color="auto"/>
        <w:right w:val="none" w:sz="0" w:space="0" w:color="auto"/>
      </w:divBdr>
    </w:div>
    <w:div w:id="1937669641">
      <w:bodyDiv w:val="1"/>
      <w:marLeft w:val="0"/>
      <w:marRight w:val="0"/>
      <w:marTop w:val="0"/>
      <w:marBottom w:val="0"/>
      <w:divBdr>
        <w:top w:val="none" w:sz="0" w:space="0" w:color="auto"/>
        <w:left w:val="none" w:sz="0" w:space="0" w:color="auto"/>
        <w:bottom w:val="none" w:sz="0" w:space="0" w:color="auto"/>
        <w:right w:val="none" w:sz="0" w:space="0" w:color="auto"/>
      </w:divBdr>
    </w:div>
    <w:div w:id="1937708168">
      <w:bodyDiv w:val="1"/>
      <w:marLeft w:val="0"/>
      <w:marRight w:val="0"/>
      <w:marTop w:val="0"/>
      <w:marBottom w:val="0"/>
      <w:divBdr>
        <w:top w:val="none" w:sz="0" w:space="0" w:color="auto"/>
        <w:left w:val="none" w:sz="0" w:space="0" w:color="auto"/>
        <w:bottom w:val="none" w:sz="0" w:space="0" w:color="auto"/>
        <w:right w:val="none" w:sz="0" w:space="0" w:color="auto"/>
      </w:divBdr>
    </w:div>
    <w:div w:id="1937789725">
      <w:bodyDiv w:val="1"/>
      <w:marLeft w:val="0"/>
      <w:marRight w:val="0"/>
      <w:marTop w:val="0"/>
      <w:marBottom w:val="0"/>
      <w:divBdr>
        <w:top w:val="none" w:sz="0" w:space="0" w:color="auto"/>
        <w:left w:val="none" w:sz="0" w:space="0" w:color="auto"/>
        <w:bottom w:val="none" w:sz="0" w:space="0" w:color="auto"/>
        <w:right w:val="none" w:sz="0" w:space="0" w:color="auto"/>
      </w:divBdr>
    </w:div>
    <w:div w:id="1937790462">
      <w:bodyDiv w:val="1"/>
      <w:marLeft w:val="0"/>
      <w:marRight w:val="0"/>
      <w:marTop w:val="0"/>
      <w:marBottom w:val="0"/>
      <w:divBdr>
        <w:top w:val="none" w:sz="0" w:space="0" w:color="auto"/>
        <w:left w:val="none" w:sz="0" w:space="0" w:color="auto"/>
        <w:bottom w:val="none" w:sz="0" w:space="0" w:color="auto"/>
        <w:right w:val="none" w:sz="0" w:space="0" w:color="auto"/>
      </w:divBdr>
    </w:div>
    <w:div w:id="1937858197">
      <w:bodyDiv w:val="1"/>
      <w:marLeft w:val="0"/>
      <w:marRight w:val="0"/>
      <w:marTop w:val="0"/>
      <w:marBottom w:val="0"/>
      <w:divBdr>
        <w:top w:val="none" w:sz="0" w:space="0" w:color="auto"/>
        <w:left w:val="none" w:sz="0" w:space="0" w:color="auto"/>
        <w:bottom w:val="none" w:sz="0" w:space="0" w:color="auto"/>
        <w:right w:val="none" w:sz="0" w:space="0" w:color="auto"/>
      </w:divBdr>
    </w:div>
    <w:div w:id="1937858973">
      <w:bodyDiv w:val="1"/>
      <w:marLeft w:val="0"/>
      <w:marRight w:val="0"/>
      <w:marTop w:val="0"/>
      <w:marBottom w:val="0"/>
      <w:divBdr>
        <w:top w:val="none" w:sz="0" w:space="0" w:color="auto"/>
        <w:left w:val="none" w:sz="0" w:space="0" w:color="auto"/>
        <w:bottom w:val="none" w:sz="0" w:space="0" w:color="auto"/>
        <w:right w:val="none" w:sz="0" w:space="0" w:color="auto"/>
      </w:divBdr>
    </w:div>
    <w:div w:id="1938364408">
      <w:bodyDiv w:val="1"/>
      <w:marLeft w:val="0"/>
      <w:marRight w:val="0"/>
      <w:marTop w:val="0"/>
      <w:marBottom w:val="0"/>
      <w:divBdr>
        <w:top w:val="none" w:sz="0" w:space="0" w:color="auto"/>
        <w:left w:val="none" w:sz="0" w:space="0" w:color="auto"/>
        <w:bottom w:val="none" w:sz="0" w:space="0" w:color="auto"/>
        <w:right w:val="none" w:sz="0" w:space="0" w:color="auto"/>
      </w:divBdr>
    </w:div>
    <w:div w:id="1938443178">
      <w:bodyDiv w:val="1"/>
      <w:marLeft w:val="0"/>
      <w:marRight w:val="0"/>
      <w:marTop w:val="0"/>
      <w:marBottom w:val="0"/>
      <w:divBdr>
        <w:top w:val="none" w:sz="0" w:space="0" w:color="auto"/>
        <w:left w:val="none" w:sz="0" w:space="0" w:color="auto"/>
        <w:bottom w:val="none" w:sz="0" w:space="0" w:color="auto"/>
        <w:right w:val="none" w:sz="0" w:space="0" w:color="auto"/>
      </w:divBdr>
    </w:div>
    <w:div w:id="1938516850">
      <w:bodyDiv w:val="1"/>
      <w:marLeft w:val="0"/>
      <w:marRight w:val="0"/>
      <w:marTop w:val="0"/>
      <w:marBottom w:val="0"/>
      <w:divBdr>
        <w:top w:val="none" w:sz="0" w:space="0" w:color="auto"/>
        <w:left w:val="none" w:sz="0" w:space="0" w:color="auto"/>
        <w:bottom w:val="none" w:sz="0" w:space="0" w:color="auto"/>
        <w:right w:val="none" w:sz="0" w:space="0" w:color="auto"/>
      </w:divBdr>
    </w:div>
    <w:div w:id="1938560870">
      <w:bodyDiv w:val="1"/>
      <w:marLeft w:val="0"/>
      <w:marRight w:val="0"/>
      <w:marTop w:val="0"/>
      <w:marBottom w:val="0"/>
      <w:divBdr>
        <w:top w:val="none" w:sz="0" w:space="0" w:color="auto"/>
        <w:left w:val="none" w:sz="0" w:space="0" w:color="auto"/>
        <w:bottom w:val="none" w:sz="0" w:space="0" w:color="auto"/>
        <w:right w:val="none" w:sz="0" w:space="0" w:color="auto"/>
      </w:divBdr>
    </w:div>
    <w:div w:id="1938707728">
      <w:bodyDiv w:val="1"/>
      <w:marLeft w:val="0"/>
      <w:marRight w:val="0"/>
      <w:marTop w:val="0"/>
      <w:marBottom w:val="0"/>
      <w:divBdr>
        <w:top w:val="none" w:sz="0" w:space="0" w:color="auto"/>
        <w:left w:val="none" w:sz="0" w:space="0" w:color="auto"/>
        <w:bottom w:val="none" w:sz="0" w:space="0" w:color="auto"/>
        <w:right w:val="none" w:sz="0" w:space="0" w:color="auto"/>
      </w:divBdr>
    </w:div>
    <w:div w:id="1938709271">
      <w:bodyDiv w:val="1"/>
      <w:marLeft w:val="0"/>
      <w:marRight w:val="0"/>
      <w:marTop w:val="0"/>
      <w:marBottom w:val="0"/>
      <w:divBdr>
        <w:top w:val="none" w:sz="0" w:space="0" w:color="auto"/>
        <w:left w:val="none" w:sz="0" w:space="0" w:color="auto"/>
        <w:bottom w:val="none" w:sz="0" w:space="0" w:color="auto"/>
        <w:right w:val="none" w:sz="0" w:space="0" w:color="auto"/>
      </w:divBdr>
    </w:div>
    <w:div w:id="1938951083">
      <w:bodyDiv w:val="1"/>
      <w:marLeft w:val="0"/>
      <w:marRight w:val="0"/>
      <w:marTop w:val="0"/>
      <w:marBottom w:val="0"/>
      <w:divBdr>
        <w:top w:val="none" w:sz="0" w:space="0" w:color="auto"/>
        <w:left w:val="none" w:sz="0" w:space="0" w:color="auto"/>
        <w:bottom w:val="none" w:sz="0" w:space="0" w:color="auto"/>
        <w:right w:val="none" w:sz="0" w:space="0" w:color="auto"/>
      </w:divBdr>
    </w:div>
    <w:div w:id="1938974475">
      <w:bodyDiv w:val="1"/>
      <w:marLeft w:val="0"/>
      <w:marRight w:val="0"/>
      <w:marTop w:val="0"/>
      <w:marBottom w:val="0"/>
      <w:divBdr>
        <w:top w:val="none" w:sz="0" w:space="0" w:color="auto"/>
        <w:left w:val="none" w:sz="0" w:space="0" w:color="auto"/>
        <w:bottom w:val="none" w:sz="0" w:space="0" w:color="auto"/>
        <w:right w:val="none" w:sz="0" w:space="0" w:color="auto"/>
      </w:divBdr>
    </w:div>
    <w:div w:id="1938978987">
      <w:bodyDiv w:val="1"/>
      <w:marLeft w:val="0"/>
      <w:marRight w:val="0"/>
      <w:marTop w:val="0"/>
      <w:marBottom w:val="0"/>
      <w:divBdr>
        <w:top w:val="none" w:sz="0" w:space="0" w:color="auto"/>
        <w:left w:val="none" w:sz="0" w:space="0" w:color="auto"/>
        <w:bottom w:val="none" w:sz="0" w:space="0" w:color="auto"/>
        <w:right w:val="none" w:sz="0" w:space="0" w:color="auto"/>
      </w:divBdr>
    </w:div>
    <w:div w:id="1939213543">
      <w:bodyDiv w:val="1"/>
      <w:marLeft w:val="0"/>
      <w:marRight w:val="0"/>
      <w:marTop w:val="0"/>
      <w:marBottom w:val="0"/>
      <w:divBdr>
        <w:top w:val="none" w:sz="0" w:space="0" w:color="auto"/>
        <w:left w:val="none" w:sz="0" w:space="0" w:color="auto"/>
        <w:bottom w:val="none" w:sz="0" w:space="0" w:color="auto"/>
        <w:right w:val="none" w:sz="0" w:space="0" w:color="auto"/>
      </w:divBdr>
    </w:div>
    <w:div w:id="1939219437">
      <w:bodyDiv w:val="1"/>
      <w:marLeft w:val="0"/>
      <w:marRight w:val="0"/>
      <w:marTop w:val="0"/>
      <w:marBottom w:val="0"/>
      <w:divBdr>
        <w:top w:val="none" w:sz="0" w:space="0" w:color="auto"/>
        <w:left w:val="none" w:sz="0" w:space="0" w:color="auto"/>
        <w:bottom w:val="none" w:sz="0" w:space="0" w:color="auto"/>
        <w:right w:val="none" w:sz="0" w:space="0" w:color="auto"/>
      </w:divBdr>
    </w:div>
    <w:div w:id="1939293994">
      <w:bodyDiv w:val="1"/>
      <w:marLeft w:val="0"/>
      <w:marRight w:val="0"/>
      <w:marTop w:val="0"/>
      <w:marBottom w:val="0"/>
      <w:divBdr>
        <w:top w:val="none" w:sz="0" w:space="0" w:color="auto"/>
        <w:left w:val="none" w:sz="0" w:space="0" w:color="auto"/>
        <w:bottom w:val="none" w:sz="0" w:space="0" w:color="auto"/>
        <w:right w:val="none" w:sz="0" w:space="0" w:color="auto"/>
      </w:divBdr>
    </w:div>
    <w:div w:id="1939366845">
      <w:bodyDiv w:val="1"/>
      <w:marLeft w:val="0"/>
      <w:marRight w:val="0"/>
      <w:marTop w:val="0"/>
      <w:marBottom w:val="0"/>
      <w:divBdr>
        <w:top w:val="none" w:sz="0" w:space="0" w:color="auto"/>
        <w:left w:val="none" w:sz="0" w:space="0" w:color="auto"/>
        <w:bottom w:val="none" w:sz="0" w:space="0" w:color="auto"/>
        <w:right w:val="none" w:sz="0" w:space="0" w:color="auto"/>
      </w:divBdr>
    </w:div>
    <w:div w:id="1939436447">
      <w:bodyDiv w:val="1"/>
      <w:marLeft w:val="0"/>
      <w:marRight w:val="0"/>
      <w:marTop w:val="0"/>
      <w:marBottom w:val="0"/>
      <w:divBdr>
        <w:top w:val="none" w:sz="0" w:space="0" w:color="auto"/>
        <w:left w:val="none" w:sz="0" w:space="0" w:color="auto"/>
        <w:bottom w:val="none" w:sz="0" w:space="0" w:color="auto"/>
        <w:right w:val="none" w:sz="0" w:space="0" w:color="auto"/>
      </w:divBdr>
    </w:div>
    <w:div w:id="1939480505">
      <w:bodyDiv w:val="1"/>
      <w:marLeft w:val="0"/>
      <w:marRight w:val="0"/>
      <w:marTop w:val="0"/>
      <w:marBottom w:val="0"/>
      <w:divBdr>
        <w:top w:val="none" w:sz="0" w:space="0" w:color="auto"/>
        <w:left w:val="none" w:sz="0" w:space="0" w:color="auto"/>
        <w:bottom w:val="none" w:sz="0" w:space="0" w:color="auto"/>
        <w:right w:val="none" w:sz="0" w:space="0" w:color="auto"/>
      </w:divBdr>
    </w:div>
    <w:div w:id="1939560319">
      <w:bodyDiv w:val="1"/>
      <w:marLeft w:val="0"/>
      <w:marRight w:val="0"/>
      <w:marTop w:val="0"/>
      <w:marBottom w:val="0"/>
      <w:divBdr>
        <w:top w:val="none" w:sz="0" w:space="0" w:color="auto"/>
        <w:left w:val="none" w:sz="0" w:space="0" w:color="auto"/>
        <w:bottom w:val="none" w:sz="0" w:space="0" w:color="auto"/>
        <w:right w:val="none" w:sz="0" w:space="0" w:color="auto"/>
      </w:divBdr>
    </w:div>
    <w:div w:id="1939633885">
      <w:bodyDiv w:val="1"/>
      <w:marLeft w:val="0"/>
      <w:marRight w:val="0"/>
      <w:marTop w:val="0"/>
      <w:marBottom w:val="0"/>
      <w:divBdr>
        <w:top w:val="none" w:sz="0" w:space="0" w:color="auto"/>
        <w:left w:val="none" w:sz="0" w:space="0" w:color="auto"/>
        <w:bottom w:val="none" w:sz="0" w:space="0" w:color="auto"/>
        <w:right w:val="none" w:sz="0" w:space="0" w:color="auto"/>
      </w:divBdr>
    </w:div>
    <w:div w:id="1940092683">
      <w:bodyDiv w:val="1"/>
      <w:marLeft w:val="0"/>
      <w:marRight w:val="0"/>
      <w:marTop w:val="0"/>
      <w:marBottom w:val="0"/>
      <w:divBdr>
        <w:top w:val="none" w:sz="0" w:space="0" w:color="auto"/>
        <w:left w:val="none" w:sz="0" w:space="0" w:color="auto"/>
        <w:bottom w:val="none" w:sz="0" w:space="0" w:color="auto"/>
        <w:right w:val="none" w:sz="0" w:space="0" w:color="auto"/>
      </w:divBdr>
    </w:div>
    <w:div w:id="1940135771">
      <w:bodyDiv w:val="1"/>
      <w:marLeft w:val="0"/>
      <w:marRight w:val="0"/>
      <w:marTop w:val="0"/>
      <w:marBottom w:val="0"/>
      <w:divBdr>
        <w:top w:val="none" w:sz="0" w:space="0" w:color="auto"/>
        <w:left w:val="none" w:sz="0" w:space="0" w:color="auto"/>
        <w:bottom w:val="none" w:sz="0" w:space="0" w:color="auto"/>
        <w:right w:val="none" w:sz="0" w:space="0" w:color="auto"/>
      </w:divBdr>
    </w:div>
    <w:div w:id="1940212544">
      <w:bodyDiv w:val="1"/>
      <w:marLeft w:val="0"/>
      <w:marRight w:val="0"/>
      <w:marTop w:val="0"/>
      <w:marBottom w:val="0"/>
      <w:divBdr>
        <w:top w:val="none" w:sz="0" w:space="0" w:color="auto"/>
        <w:left w:val="none" w:sz="0" w:space="0" w:color="auto"/>
        <w:bottom w:val="none" w:sz="0" w:space="0" w:color="auto"/>
        <w:right w:val="none" w:sz="0" w:space="0" w:color="auto"/>
      </w:divBdr>
    </w:div>
    <w:div w:id="1940261193">
      <w:bodyDiv w:val="1"/>
      <w:marLeft w:val="0"/>
      <w:marRight w:val="0"/>
      <w:marTop w:val="0"/>
      <w:marBottom w:val="0"/>
      <w:divBdr>
        <w:top w:val="none" w:sz="0" w:space="0" w:color="auto"/>
        <w:left w:val="none" w:sz="0" w:space="0" w:color="auto"/>
        <w:bottom w:val="none" w:sz="0" w:space="0" w:color="auto"/>
        <w:right w:val="none" w:sz="0" w:space="0" w:color="auto"/>
      </w:divBdr>
    </w:div>
    <w:div w:id="1940481119">
      <w:bodyDiv w:val="1"/>
      <w:marLeft w:val="0"/>
      <w:marRight w:val="0"/>
      <w:marTop w:val="0"/>
      <w:marBottom w:val="0"/>
      <w:divBdr>
        <w:top w:val="none" w:sz="0" w:space="0" w:color="auto"/>
        <w:left w:val="none" w:sz="0" w:space="0" w:color="auto"/>
        <w:bottom w:val="none" w:sz="0" w:space="0" w:color="auto"/>
        <w:right w:val="none" w:sz="0" w:space="0" w:color="auto"/>
      </w:divBdr>
    </w:div>
    <w:div w:id="1940483157">
      <w:bodyDiv w:val="1"/>
      <w:marLeft w:val="0"/>
      <w:marRight w:val="0"/>
      <w:marTop w:val="0"/>
      <w:marBottom w:val="0"/>
      <w:divBdr>
        <w:top w:val="none" w:sz="0" w:space="0" w:color="auto"/>
        <w:left w:val="none" w:sz="0" w:space="0" w:color="auto"/>
        <w:bottom w:val="none" w:sz="0" w:space="0" w:color="auto"/>
        <w:right w:val="none" w:sz="0" w:space="0" w:color="auto"/>
      </w:divBdr>
    </w:div>
    <w:div w:id="1940600179">
      <w:bodyDiv w:val="1"/>
      <w:marLeft w:val="0"/>
      <w:marRight w:val="0"/>
      <w:marTop w:val="0"/>
      <w:marBottom w:val="0"/>
      <w:divBdr>
        <w:top w:val="none" w:sz="0" w:space="0" w:color="auto"/>
        <w:left w:val="none" w:sz="0" w:space="0" w:color="auto"/>
        <w:bottom w:val="none" w:sz="0" w:space="0" w:color="auto"/>
        <w:right w:val="none" w:sz="0" w:space="0" w:color="auto"/>
      </w:divBdr>
    </w:div>
    <w:div w:id="1940674567">
      <w:bodyDiv w:val="1"/>
      <w:marLeft w:val="0"/>
      <w:marRight w:val="0"/>
      <w:marTop w:val="0"/>
      <w:marBottom w:val="0"/>
      <w:divBdr>
        <w:top w:val="none" w:sz="0" w:space="0" w:color="auto"/>
        <w:left w:val="none" w:sz="0" w:space="0" w:color="auto"/>
        <w:bottom w:val="none" w:sz="0" w:space="0" w:color="auto"/>
        <w:right w:val="none" w:sz="0" w:space="0" w:color="auto"/>
      </w:divBdr>
    </w:div>
    <w:div w:id="1940789695">
      <w:bodyDiv w:val="1"/>
      <w:marLeft w:val="0"/>
      <w:marRight w:val="0"/>
      <w:marTop w:val="0"/>
      <w:marBottom w:val="0"/>
      <w:divBdr>
        <w:top w:val="none" w:sz="0" w:space="0" w:color="auto"/>
        <w:left w:val="none" w:sz="0" w:space="0" w:color="auto"/>
        <w:bottom w:val="none" w:sz="0" w:space="0" w:color="auto"/>
        <w:right w:val="none" w:sz="0" w:space="0" w:color="auto"/>
      </w:divBdr>
    </w:div>
    <w:div w:id="1941133801">
      <w:bodyDiv w:val="1"/>
      <w:marLeft w:val="0"/>
      <w:marRight w:val="0"/>
      <w:marTop w:val="0"/>
      <w:marBottom w:val="0"/>
      <w:divBdr>
        <w:top w:val="none" w:sz="0" w:space="0" w:color="auto"/>
        <w:left w:val="none" w:sz="0" w:space="0" w:color="auto"/>
        <w:bottom w:val="none" w:sz="0" w:space="0" w:color="auto"/>
        <w:right w:val="none" w:sz="0" w:space="0" w:color="auto"/>
      </w:divBdr>
    </w:div>
    <w:div w:id="1941141247">
      <w:bodyDiv w:val="1"/>
      <w:marLeft w:val="0"/>
      <w:marRight w:val="0"/>
      <w:marTop w:val="0"/>
      <w:marBottom w:val="0"/>
      <w:divBdr>
        <w:top w:val="none" w:sz="0" w:space="0" w:color="auto"/>
        <w:left w:val="none" w:sz="0" w:space="0" w:color="auto"/>
        <w:bottom w:val="none" w:sz="0" w:space="0" w:color="auto"/>
        <w:right w:val="none" w:sz="0" w:space="0" w:color="auto"/>
      </w:divBdr>
    </w:div>
    <w:div w:id="1941251814">
      <w:bodyDiv w:val="1"/>
      <w:marLeft w:val="0"/>
      <w:marRight w:val="0"/>
      <w:marTop w:val="0"/>
      <w:marBottom w:val="0"/>
      <w:divBdr>
        <w:top w:val="none" w:sz="0" w:space="0" w:color="auto"/>
        <w:left w:val="none" w:sz="0" w:space="0" w:color="auto"/>
        <w:bottom w:val="none" w:sz="0" w:space="0" w:color="auto"/>
        <w:right w:val="none" w:sz="0" w:space="0" w:color="auto"/>
      </w:divBdr>
    </w:div>
    <w:div w:id="1941378766">
      <w:bodyDiv w:val="1"/>
      <w:marLeft w:val="0"/>
      <w:marRight w:val="0"/>
      <w:marTop w:val="0"/>
      <w:marBottom w:val="0"/>
      <w:divBdr>
        <w:top w:val="none" w:sz="0" w:space="0" w:color="auto"/>
        <w:left w:val="none" w:sz="0" w:space="0" w:color="auto"/>
        <w:bottom w:val="none" w:sz="0" w:space="0" w:color="auto"/>
        <w:right w:val="none" w:sz="0" w:space="0" w:color="auto"/>
      </w:divBdr>
    </w:div>
    <w:div w:id="1941446528">
      <w:bodyDiv w:val="1"/>
      <w:marLeft w:val="0"/>
      <w:marRight w:val="0"/>
      <w:marTop w:val="0"/>
      <w:marBottom w:val="0"/>
      <w:divBdr>
        <w:top w:val="none" w:sz="0" w:space="0" w:color="auto"/>
        <w:left w:val="none" w:sz="0" w:space="0" w:color="auto"/>
        <w:bottom w:val="none" w:sz="0" w:space="0" w:color="auto"/>
        <w:right w:val="none" w:sz="0" w:space="0" w:color="auto"/>
      </w:divBdr>
    </w:div>
    <w:div w:id="1941450603">
      <w:bodyDiv w:val="1"/>
      <w:marLeft w:val="0"/>
      <w:marRight w:val="0"/>
      <w:marTop w:val="0"/>
      <w:marBottom w:val="0"/>
      <w:divBdr>
        <w:top w:val="none" w:sz="0" w:space="0" w:color="auto"/>
        <w:left w:val="none" w:sz="0" w:space="0" w:color="auto"/>
        <w:bottom w:val="none" w:sz="0" w:space="0" w:color="auto"/>
        <w:right w:val="none" w:sz="0" w:space="0" w:color="auto"/>
      </w:divBdr>
    </w:div>
    <w:div w:id="1941840161">
      <w:bodyDiv w:val="1"/>
      <w:marLeft w:val="0"/>
      <w:marRight w:val="0"/>
      <w:marTop w:val="0"/>
      <w:marBottom w:val="0"/>
      <w:divBdr>
        <w:top w:val="none" w:sz="0" w:space="0" w:color="auto"/>
        <w:left w:val="none" w:sz="0" w:space="0" w:color="auto"/>
        <w:bottom w:val="none" w:sz="0" w:space="0" w:color="auto"/>
        <w:right w:val="none" w:sz="0" w:space="0" w:color="auto"/>
      </w:divBdr>
    </w:div>
    <w:div w:id="1942180143">
      <w:bodyDiv w:val="1"/>
      <w:marLeft w:val="0"/>
      <w:marRight w:val="0"/>
      <w:marTop w:val="0"/>
      <w:marBottom w:val="0"/>
      <w:divBdr>
        <w:top w:val="none" w:sz="0" w:space="0" w:color="auto"/>
        <w:left w:val="none" w:sz="0" w:space="0" w:color="auto"/>
        <w:bottom w:val="none" w:sz="0" w:space="0" w:color="auto"/>
        <w:right w:val="none" w:sz="0" w:space="0" w:color="auto"/>
      </w:divBdr>
    </w:div>
    <w:div w:id="1942226248">
      <w:bodyDiv w:val="1"/>
      <w:marLeft w:val="0"/>
      <w:marRight w:val="0"/>
      <w:marTop w:val="0"/>
      <w:marBottom w:val="0"/>
      <w:divBdr>
        <w:top w:val="none" w:sz="0" w:space="0" w:color="auto"/>
        <w:left w:val="none" w:sz="0" w:space="0" w:color="auto"/>
        <w:bottom w:val="none" w:sz="0" w:space="0" w:color="auto"/>
        <w:right w:val="none" w:sz="0" w:space="0" w:color="auto"/>
      </w:divBdr>
    </w:div>
    <w:div w:id="1942294341">
      <w:bodyDiv w:val="1"/>
      <w:marLeft w:val="0"/>
      <w:marRight w:val="0"/>
      <w:marTop w:val="0"/>
      <w:marBottom w:val="0"/>
      <w:divBdr>
        <w:top w:val="none" w:sz="0" w:space="0" w:color="auto"/>
        <w:left w:val="none" w:sz="0" w:space="0" w:color="auto"/>
        <w:bottom w:val="none" w:sz="0" w:space="0" w:color="auto"/>
        <w:right w:val="none" w:sz="0" w:space="0" w:color="auto"/>
      </w:divBdr>
    </w:div>
    <w:div w:id="1942299652">
      <w:bodyDiv w:val="1"/>
      <w:marLeft w:val="0"/>
      <w:marRight w:val="0"/>
      <w:marTop w:val="0"/>
      <w:marBottom w:val="0"/>
      <w:divBdr>
        <w:top w:val="none" w:sz="0" w:space="0" w:color="auto"/>
        <w:left w:val="none" w:sz="0" w:space="0" w:color="auto"/>
        <w:bottom w:val="none" w:sz="0" w:space="0" w:color="auto"/>
        <w:right w:val="none" w:sz="0" w:space="0" w:color="auto"/>
      </w:divBdr>
    </w:div>
    <w:div w:id="1942378213">
      <w:bodyDiv w:val="1"/>
      <w:marLeft w:val="0"/>
      <w:marRight w:val="0"/>
      <w:marTop w:val="0"/>
      <w:marBottom w:val="0"/>
      <w:divBdr>
        <w:top w:val="none" w:sz="0" w:space="0" w:color="auto"/>
        <w:left w:val="none" w:sz="0" w:space="0" w:color="auto"/>
        <w:bottom w:val="none" w:sz="0" w:space="0" w:color="auto"/>
        <w:right w:val="none" w:sz="0" w:space="0" w:color="auto"/>
      </w:divBdr>
    </w:div>
    <w:div w:id="1942495844">
      <w:bodyDiv w:val="1"/>
      <w:marLeft w:val="0"/>
      <w:marRight w:val="0"/>
      <w:marTop w:val="0"/>
      <w:marBottom w:val="0"/>
      <w:divBdr>
        <w:top w:val="none" w:sz="0" w:space="0" w:color="auto"/>
        <w:left w:val="none" w:sz="0" w:space="0" w:color="auto"/>
        <w:bottom w:val="none" w:sz="0" w:space="0" w:color="auto"/>
        <w:right w:val="none" w:sz="0" w:space="0" w:color="auto"/>
      </w:divBdr>
    </w:div>
    <w:div w:id="1942646352">
      <w:bodyDiv w:val="1"/>
      <w:marLeft w:val="0"/>
      <w:marRight w:val="0"/>
      <w:marTop w:val="0"/>
      <w:marBottom w:val="0"/>
      <w:divBdr>
        <w:top w:val="none" w:sz="0" w:space="0" w:color="auto"/>
        <w:left w:val="none" w:sz="0" w:space="0" w:color="auto"/>
        <w:bottom w:val="none" w:sz="0" w:space="0" w:color="auto"/>
        <w:right w:val="none" w:sz="0" w:space="0" w:color="auto"/>
      </w:divBdr>
    </w:div>
    <w:div w:id="1942684315">
      <w:bodyDiv w:val="1"/>
      <w:marLeft w:val="0"/>
      <w:marRight w:val="0"/>
      <w:marTop w:val="0"/>
      <w:marBottom w:val="0"/>
      <w:divBdr>
        <w:top w:val="none" w:sz="0" w:space="0" w:color="auto"/>
        <w:left w:val="none" w:sz="0" w:space="0" w:color="auto"/>
        <w:bottom w:val="none" w:sz="0" w:space="0" w:color="auto"/>
        <w:right w:val="none" w:sz="0" w:space="0" w:color="auto"/>
      </w:divBdr>
    </w:div>
    <w:div w:id="1942684680">
      <w:bodyDiv w:val="1"/>
      <w:marLeft w:val="0"/>
      <w:marRight w:val="0"/>
      <w:marTop w:val="0"/>
      <w:marBottom w:val="0"/>
      <w:divBdr>
        <w:top w:val="none" w:sz="0" w:space="0" w:color="auto"/>
        <w:left w:val="none" w:sz="0" w:space="0" w:color="auto"/>
        <w:bottom w:val="none" w:sz="0" w:space="0" w:color="auto"/>
        <w:right w:val="none" w:sz="0" w:space="0" w:color="auto"/>
      </w:divBdr>
    </w:div>
    <w:div w:id="1942830495">
      <w:bodyDiv w:val="1"/>
      <w:marLeft w:val="0"/>
      <w:marRight w:val="0"/>
      <w:marTop w:val="0"/>
      <w:marBottom w:val="0"/>
      <w:divBdr>
        <w:top w:val="none" w:sz="0" w:space="0" w:color="auto"/>
        <w:left w:val="none" w:sz="0" w:space="0" w:color="auto"/>
        <w:bottom w:val="none" w:sz="0" w:space="0" w:color="auto"/>
        <w:right w:val="none" w:sz="0" w:space="0" w:color="auto"/>
      </w:divBdr>
    </w:div>
    <w:div w:id="1942908374">
      <w:bodyDiv w:val="1"/>
      <w:marLeft w:val="0"/>
      <w:marRight w:val="0"/>
      <w:marTop w:val="0"/>
      <w:marBottom w:val="0"/>
      <w:divBdr>
        <w:top w:val="none" w:sz="0" w:space="0" w:color="auto"/>
        <w:left w:val="none" w:sz="0" w:space="0" w:color="auto"/>
        <w:bottom w:val="none" w:sz="0" w:space="0" w:color="auto"/>
        <w:right w:val="none" w:sz="0" w:space="0" w:color="auto"/>
      </w:divBdr>
    </w:div>
    <w:div w:id="1942954746">
      <w:bodyDiv w:val="1"/>
      <w:marLeft w:val="0"/>
      <w:marRight w:val="0"/>
      <w:marTop w:val="0"/>
      <w:marBottom w:val="0"/>
      <w:divBdr>
        <w:top w:val="none" w:sz="0" w:space="0" w:color="auto"/>
        <w:left w:val="none" w:sz="0" w:space="0" w:color="auto"/>
        <w:bottom w:val="none" w:sz="0" w:space="0" w:color="auto"/>
        <w:right w:val="none" w:sz="0" w:space="0" w:color="auto"/>
      </w:divBdr>
    </w:div>
    <w:div w:id="1943226487">
      <w:bodyDiv w:val="1"/>
      <w:marLeft w:val="0"/>
      <w:marRight w:val="0"/>
      <w:marTop w:val="0"/>
      <w:marBottom w:val="0"/>
      <w:divBdr>
        <w:top w:val="none" w:sz="0" w:space="0" w:color="auto"/>
        <w:left w:val="none" w:sz="0" w:space="0" w:color="auto"/>
        <w:bottom w:val="none" w:sz="0" w:space="0" w:color="auto"/>
        <w:right w:val="none" w:sz="0" w:space="0" w:color="auto"/>
      </w:divBdr>
    </w:div>
    <w:div w:id="1943340545">
      <w:bodyDiv w:val="1"/>
      <w:marLeft w:val="0"/>
      <w:marRight w:val="0"/>
      <w:marTop w:val="0"/>
      <w:marBottom w:val="0"/>
      <w:divBdr>
        <w:top w:val="none" w:sz="0" w:space="0" w:color="auto"/>
        <w:left w:val="none" w:sz="0" w:space="0" w:color="auto"/>
        <w:bottom w:val="none" w:sz="0" w:space="0" w:color="auto"/>
        <w:right w:val="none" w:sz="0" w:space="0" w:color="auto"/>
      </w:divBdr>
    </w:div>
    <w:div w:id="1943344029">
      <w:bodyDiv w:val="1"/>
      <w:marLeft w:val="0"/>
      <w:marRight w:val="0"/>
      <w:marTop w:val="0"/>
      <w:marBottom w:val="0"/>
      <w:divBdr>
        <w:top w:val="none" w:sz="0" w:space="0" w:color="auto"/>
        <w:left w:val="none" w:sz="0" w:space="0" w:color="auto"/>
        <w:bottom w:val="none" w:sz="0" w:space="0" w:color="auto"/>
        <w:right w:val="none" w:sz="0" w:space="0" w:color="auto"/>
      </w:divBdr>
    </w:div>
    <w:div w:id="1943492648">
      <w:bodyDiv w:val="1"/>
      <w:marLeft w:val="0"/>
      <w:marRight w:val="0"/>
      <w:marTop w:val="0"/>
      <w:marBottom w:val="0"/>
      <w:divBdr>
        <w:top w:val="none" w:sz="0" w:space="0" w:color="auto"/>
        <w:left w:val="none" w:sz="0" w:space="0" w:color="auto"/>
        <w:bottom w:val="none" w:sz="0" w:space="0" w:color="auto"/>
        <w:right w:val="none" w:sz="0" w:space="0" w:color="auto"/>
      </w:divBdr>
    </w:div>
    <w:div w:id="1943494235">
      <w:bodyDiv w:val="1"/>
      <w:marLeft w:val="0"/>
      <w:marRight w:val="0"/>
      <w:marTop w:val="0"/>
      <w:marBottom w:val="0"/>
      <w:divBdr>
        <w:top w:val="none" w:sz="0" w:space="0" w:color="auto"/>
        <w:left w:val="none" w:sz="0" w:space="0" w:color="auto"/>
        <w:bottom w:val="none" w:sz="0" w:space="0" w:color="auto"/>
        <w:right w:val="none" w:sz="0" w:space="0" w:color="auto"/>
      </w:divBdr>
    </w:div>
    <w:div w:id="1943608146">
      <w:bodyDiv w:val="1"/>
      <w:marLeft w:val="0"/>
      <w:marRight w:val="0"/>
      <w:marTop w:val="0"/>
      <w:marBottom w:val="0"/>
      <w:divBdr>
        <w:top w:val="none" w:sz="0" w:space="0" w:color="auto"/>
        <w:left w:val="none" w:sz="0" w:space="0" w:color="auto"/>
        <w:bottom w:val="none" w:sz="0" w:space="0" w:color="auto"/>
        <w:right w:val="none" w:sz="0" w:space="0" w:color="auto"/>
      </w:divBdr>
    </w:div>
    <w:div w:id="1943608868">
      <w:bodyDiv w:val="1"/>
      <w:marLeft w:val="0"/>
      <w:marRight w:val="0"/>
      <w:marTop w:val="0"/>
      <w:marBottom w:val="0"/>
      <w:divBdr>
        <w:top w:val="none" w:sz="0" w:space="0" w:color="auto"/>
        <w:left w:val="none" w:sz="0" w:space="0" w:color="auto"/>
        <w:bottom w:val="none" w:sz="0" w:space="0" w:color="auto"/>
        <w:right w:val="none" w:sz="0" w:space="0" w:color="auto"/>
      </w:divBdr>
    </w:div>
    <w:div w:id="1943613285">
      <w:bodyDiv w:val="1"/>
      <w:marLeft w:val="0"/>
      <w:marRight w:val="0"/>
      <w:marTop w:val="0"/>
      <w:marBottom w:val="0"/>
      <w:divBdr>
        <w:top w:val="none" w:sz="0" w:space="0" w:color="auto"/>
        <w:left w:val="none" w:sz="0" w:space="0" w:color="auto"/>
        <w:bottom w:val="none" w:sz="0" w:space="0" w:color="auto"/>
        <w:right w:val="none" w:sz="0" w:space="0" w:color="auto"/>
      </w:divBdr>
    </w:div>
    <w:div w:id="1943682028">
      <w:bodyDiv w:val="1"/>
      <w:marLeft w:val="0"/>
      <w:marRight w:val="0"/>
      <w:marTop w:val="0"/>
      <w:marBottom w:val="0"/>
      <w:divBdr>
        <w:top w:val="none" w:sz="0" w:space="0" w:color="auto"/>
        <w:left w:val="none" w:sz="0" w:space="0" w:color="auto"/>
        <w:bottom w:val="none" w:sz="0" w:space="0" w:color="auto"/>
        <w:right w:val="none" w:sz="0" w:space="0" w:color="auto"/>
      </w:divBdr>
    </w:div>
    <w:div w:id="1943762089">
      <w:bodyDiv w:val="1"/>
      <w:marLeft w:val="0"/>
      <w:marRight w:val="0"/>
      <w:marTop w:val="0"/>
      <w:marBottom w:val="0"/>
      <w:divBdr>
        <w:top w:val="none" w:sz="0" w:space="0" w:color="auto"/>
        <w:left w:val="none" w:sz="0" w:space="0" w:color="auto"/>
        <w:bottom w:val="none" w:sz="0" w:space="0" w:color="auto"/>
        <w:right w:val="none" w:sz="0" w:space="0" w:color="auto"/>
      </w:divBdr>
    </w:div>
    <w:div w:id="1943872524">
      <w:bodyDiv w:val="1"/>
      <w:marLeft w:val="0"/>
      <w:marRight w:val="0"/>
      <w:marTop w:val="0"/>
      <w:marBottom w:val="0"/>
      <w:divBdr>
        <w:top w:val="none" w:sz="0" w:space="0" w:color="auto"/>
        <w:left w:val="none" w:sz="0" w:space="0" w:color="auto"/>
        <w:bottom w:val="none" w:sz="0" w:space="0" w:color="auto"/>
        <w:right w:val="none" w:sz="0" w:space="0" w:color="auto"/>
      </w:divBdr>
    </w:div>
    <w:div w:id="1943872790">
      <w:bodyDiv w:val="1"/>
      <w:marLeft w:val="0"/>
      <w:marRight w:val="0"/>
      <w:marTop w:val="0"/>
      <w:marBottom w:val="0"/>
      <w:divBdr>
        <w:top w:val="none" w:sz="0" w:space="0" w:color="auto"/>
        <w:left w:val="none" w:sz="0" w:space="0" w:color="auto"/>
        <w:bottom w:val="none" w:sz="0" w:space="0" w:color="auto"/>
        <w:right w:val="none" w:sz="0" w:space="0" w:color="auto"/>
      </w:divBdr>
    </w:div>
    <w:div w:id="1944339161">
      <w:bodyDiv w:val="1"/>
      <w:marLeft w:val="0"/>
      <w:marRight w:val="0"/>
      <w:marTop w:val="0"/>
      <w:marBottom w:val="0"/>
      <w:divBdr>
        <w:top w:val="none" w:sz="0" w:space="0" w:color="auto"/>
        <w:left w:val="none" w:sz="0" w:space="0" w:color="auto"/>
        <w:bottom w:val="none" w:sz="0" w:space="0" w:color="auto"/>
        <w:right w:val="none" w:sz="0" w:space="0" w:color="auto"/>
      </w:divBdr>
    </w:div>
    <w:div w:id="1944416105">
      <w:bodyDiv w:val="1"/>
      <w:marLeft w:val="0"/>
      <w:marRight w:val="0"/>
      <w:marTop w:val="0"/>
      <w:marBottom w:val="0"/>
      <w:divBdr>
        <w:top w:val="none" w:sz="0" w:space="0" w:color="auto"/>
        <w:left w:val="none" w:sz="0" w:space="0" w:color="auto"/>
        <w:bottom w:val="none" w:sz="0" w:space="0" w:color="auto"/>
        <w:right w:val="none" w:sz="0" w:space="0" w:color="auto"/>
      </w:divBdr>
    </w:div>
    <w:div w:id="1944454489">
      <w:bodyDiv w:val="1"/>
      <w:marLeft w:val="0"/>
      <w:marRight w:val="0"/>
      <w:marTop w:val="0"/>
      <w:marBottom w:val="0"/>
      <w:divBdr>
        <w:top w:val="none" w:sz="0" w:space="0" w:color="auto"/>
        <w:left w:val="none" w:sz="0" w:space="0" w:color="auto"/>
        <w:bottom w:val="none" w:sz="0" w:space="0" w:color="auto"/>
        <w:right w:val="none" w:sz="0" w:space="0" w:color="auto"/>
      </w:divBdr>
    </w:div>
    <w:div w:id="1944724333">
      <w:bodyDiv w:val="1"/>
      <w:marLeft w:val="0"/>
      <w:marRight w:val="0"/>
      <w:marTop w:val="0"/>
      <w:marBottom w:val="0"/>
      <w:divBdr>
        <w:top w:val="none" w:sz="0" w:space="0" w:color="auto"/>
        <w:left w:val="none" w:sz="0" w:space="0" w:color="auto"/>
        <w:bottom w:val="none" w:sz="0" w:space="0" w:color="auto"/>
        <w:right w:val="none" w:sz="0" w:space="0" w:color="auto"/>
      </w:divBdr>
    </w:div>
    <w:div w:id="1944805769">
      <w:bodyDiv w:val="1"/>
      <w:marLeft w:val="0"/>
      <w:marRight w:val="0"/>
      <w:marTop w:val="0"/>
      <w:marBottom w:val="0"/>
      <w:divBdr>
        <w:top w:val="none" w:sz="0" w:space="0" w:color="auto"/>
        <w:left w:val="none" w:sz="0" w:space="0" w:color="auto"/>
        <w:bottom w:val="none" w:sz="0" w:space="0" w:color="auto"/>
        <w:right w:val="none" w:sz="0" w:space="0" w:color="auto"/>
      </w:divBdr>
    </w:div>
    <w:div w:id="1944871597">
      <w:bodyDiv w:val="1"/>
      <w:marLeft w:val="0"/>
      <w:marRight w:val="0"/>
      <w:marTop w:val="0"/>
      <w:marBottom w:val="0"/>
      <w:divBdr>
        <w:top w:val="none" w:sz="0" w:space="0" w:color="auto"/>
        <w:left w:val="none" w:sz="0" w:space="0" w:color="auto"/>
        <w:bottom w:val="none" w:sz="0" w:space="0" w:color="auto"/>
        <w:right w:val="none" w:sz="0" w:space="0" w:color="auto"/>
      </w:divBdr>
    </w:div>
    <w:div w:id="1944917245">
      <w:bodyDiv w:val="1"/>
      <w:marLeft w:val="0"/>
      <w:marRight w:val="0"/>
      <w:marTop w:val="0"/>
      <w:marBottom w:val="0"/>
      <w:divBdr>
        <w:top w:val="none" w:sz="0" w:space="0" w:color="auto"/>
        <w:left w:val="none" w:sz="0" w:space="0" w:color="auto"/>
        <w:bottom w:val="none" w:sz="0" w:space="0" w:color="auto"/>
        <w:right w:val="none" w:sz="0" w:space="0" w:color="auto"/>
      </w:divBdr>
    </w:div>
    <w:div w:id="1945074351">
      <w:bodyDiv w:val="1"/>
      <w:marLeft w:val="0"/>
      <w:marRight w:val="0"/>
      <w:marTop w:val="0"/>
      <w:marBottom w:val="0"/>
      <w:divBdr>
        <w:top w:val="none" w:sz="0" w:space="0" w:color="auto"/>
        <w:left w:val="none" w:sz="0" w:space="0" w:color="auto"/>
        <w:bottom w:val="none" w:sz="0" w:space="0" w:color="auto"/>
        <w:right w:val="none" w:sz="0" w:space="0" w:color="auto"/>
      </w:divBdr>
    </w:div>
    <w:div w:id="1945182900">
      <w:bodyDiv w:val="1"/>
      <w:marLeft w:val="0"/>
      <w:marRight w:val="0"/>
      <w:marTop w:val="0"/>
      <w:marBottom w:val="0"/>
      <w:divBdr>
        <w:top w:val="none" w:sz="0" w:space="0" w:color="auto"/>
        <w:left w:val="none" w:sz="0" w:space="0" w:color="auto"/>
        <w:bottom w:val="none" w:sz="0" w:space="0" w:color="auto"/>
        <w:right w:val="none" w:sz="0" w:space="0" w:color="auto"/>
      </w:divBdr>
    </w:div>
    <w:div w:id="1945184568">
      <w:bodyDiv w:val="1"/>
      <w:marLeft w:val="0"/>
      <w:marRight w:val="0"/>
      <w:marTop w:val="0"/>
      <w:marBottom w:val="0"/>
      <w:divBdr>
        <w:top w:val="none" w:sz="0" w:space="0" w:color="auto"/>
        <w:left w:val="none" w:sz="0" w:space="0" w:color="auto"/>
        <w:bottom w:val="none" w:sz="0" w:space="0" w:color="auto"/>
        <w:right w:val="none" w:sz="0" w:space="0" w:color="auto"/>
      </w:divBdr>
    </w:div>
    <w:div w:id="1945309773">
      <w:bodyDiv w:val="1"/>
      <w:marLeft w:val="0"/>
      <w:marRight w:val="0"/>
      <w:marTop w:val="0"/>
      <w:marBottom w:val="0"/>
      <w:divBdr>
        <w:top w:val="none" w:sz="0" w:space="0" w:color="auto"/>
        <w:left w:val="none" w:sz="0" w:space="0" w:color="auto"/>
        <w:bottom w:val="none" w:sz="0" w:space="0" w:color="auto"/>
        <w:right w:val="none" w:sz="0" w:space="0" w:color="auto"/>
      </w:divBdr>
    </w:div>
    <w:div w:id="1945455598">
      <w:bodyDiv w:val="1"/>
      <w:marLeft w:val="0"/>
      <w:marRight w:val="0"/>
      <w:marTop w:val="0"/>
      <w:marBottom w:val="0"/>
      <w:divBdr>
        <w:top w:val="none" w:sz="0" w:space="0" w:color="auto"/>
        <w:left w:val="none" w:sz="0" w:space="0" w:color="auto"/>
        <w:bottom w:val="none" w:sz="0" w:space="0" w:color="auto"/>
        <w:right w:val="none" w:sz="0" w:space="0" w:color="auto"/>
      </w:divBdr>
    </w:div>
    <w:div w:id="1945529644">
      <w:bodyDiv w:val="1"/>
      <w:marLeft w:val="0"/>
      <w:marRight w:val="0"/>
      <w:marTop w:val="0"/>
      <w:marBottom w:val="0"/>
      <w:divBdr>
        <w:top w:val="none" w:sz="0" w:space="0" w:color="auto"/>
        <w:left w:val="none" w:sz="0" w:space="0" w:color="auto"/>
        <w:bottom w:val="none" w:sz="0" w:space="0" w:color="auto"/>
        <w:right w:val="none" w:sz="0" w:space="0" w:color="auto"/>
      </w:divBdr>
    </w:div>
    <w:div w:id="1945530388">
      <w:bodyDiv w:val="1"/>
      <w:marLeft w:val="0"/>
      <w:marRight w:val="0"/>
      <w:marTop w:val="0"/>
      <w:marBottom w:val="0"/>
      <w:divBdr>
        <w:top w:val="none" w:sz="0" w:space="0" w:color="auto"/>
        <w:left w:val="none" w:sz="0" w:space="0" w:color="auto"/>
        <w:bottom w:val="none" w:sz="0" w:space="0" w:color="auto"/>
        <w:right w:val="none" w:sz="0" w:space="0" w:color="auto"/>
      </w:divBdr>
    </w:div>
    <w:div w:id="1945645781">
      <w:bodyDiv w:val="1"/>
      <w:marLeft w:val="0"/>
      <w:marRight w:val="0"/>
      <w:marTop w:val="0"/>
      <w:marBottom w:val="0"/>
      <w:divBdr>
        <w:top w:val="none" w:sz="0" w:space="0" w:color="auto"/>
        <w:left w:val="none" w:sz="0" w:space="0" w:color="auto"/>
        <w:bottom w:val="none" w:sz="0" w:space="0" w:color="auto"/>
        <w:right w:val="none" w:sz="0" w:space="0" w:color="auto"/>
      </w:divBdr>
    </w:div>
    <w:div w:id="1945651974">
      <w:bodyDiv w:val="1"/>
      <w:marLeft w:val="0"/>
      <w:marRight w:val="0"/>
      <w:marTop w:val="0"/>
      <w:marBottom w:val="0"/>
      <w:divBdr>
        <w:top w:val="none" w:sz="0" w:space="0" w:color="auto"/>
        <w:left w:val="none" w:sz="0" w:space="0" w:color="auto"/>
        <w:bottom w:val="none" w:sz="0" w:space="0" w:color="auto"/>
        <w:right w:val="none" w:sz="0" w:space="0" w:color="auto"/>
      </w:divBdr>
    </w:div>
    <w:div w:id="1945653013">
      <w:bodyDiv w:val="1"/>
      <w:marLeft w:val="0"/>
      <w:marRight w:val="0"/>
      <w:marTop w:val="0"/>
      <w:marBottom w:val="0"/>
      <w:divBdr>
        <w:top w:val="none" w:sz="0" w:space="0" w:color="auto"/>
        <w:left w:val="none" w:sz="0" w:space="0" w:color="auto"/>
        <w:bottom w:val="none" w:sz="0" w:space="0" w:color="auto"/>
        <w:right w:val="none" w:sz="0" w:space="0" w:color="auto"/>
      </w:divBdr>
    </w:div>
    <w:div w:id="1945723575">
      <w:bodyDiv w:val="1"/>
      <w:marLeft w:val="0"/>
      <w:marRight w:val="0"/>
      <w:marTop w:val="0"/>
      <w:marBottom w:val="0"/>
      <w:divBdr>
        <w:top w:val="none" w:sz="0" w:space="0" w:color="auto"/>
        <w:left w:val="none" w:sz="0" w:space="0" w:color="auto"/>
        <w:bottom w:val="none" w:sz="0" w:space="0" w:color="auto"/>
        <w:right w:val="none" w:sz="0" w:space="0" w:color="auto"/>
      </w:divBdr>
    </w:div>
    <w:div w:id="1945841161">
      <w:bodyDiv w:val="1"/>
      <w:marLeft w:val="0"/>
      <w:marRight w:val="0"/>
      <w:marTop w:val="0"/>
      <w:marBottom w:val="0"/>
      <w:divBdr>
        <w:top w:val="none" w:sz="0" w:space="0" w:color="auto"/>
        <w:left w:val="none" w:sz="0" w:space="0" w:color="auto"/>
        <w:bottom w:val="none" w:sz="0" w:space="0" w:color="auto"/>
        <w:right w:val="none" w:sz="0" w:space="0" w:color="auto"/>
      </w:divBdr>
    </w:div>
    <w:div w:id="1946035886">
      <w:bodyDiv w:val="1"/>
      <w:marLeft w:val="0"/>
      <w:marRight w:val="0"/>
      <w:marTop w:val="0"/>
      <w:marBottom w:val="0"/>
      <w:divBdr>
        <w:top w:val="none" w:sz="0" w:space="0" w:color="auto"/>
        <w:left w:val="none" w:sz="0" w:space="0" w:color="auto"/>
        <w:bottom w:val="none" w:sz="0" w:space="0" w:color="auto"/>
        <w:right w:val="none" w:sz="0" w:space="0" w:color="auto"/>
      </w:divBdr>
    </w:div>
    <w:div w:id="1946304419">
      <w:bodyDiv w:val="1"/>
      <w:marLeft w:val="0"/>
      <w:marRight w:val="0"/>
      <w:marTop w:val="0"/>
      <w:marBottom w:val="0"/>
      <w:divBdr>
        <w:top w:val="none" w:sz="0" w:space="0" w:color="auto"/>
        <w:left w:val="none" w:sz="0" w:space="0" w:color="auto"/>
        <w:bottom w:val="none" w:sz="0" w:space="0" w:color="auto"/>
        <w:right w:val="none" w:sz="0" w:space="0" w:color="auto"/>
      </w:divBdr>
    </w:div>
    <w:div w:id="1946451838">
      <w:bodyDiv w:val="1"/>
      <w:marLeft w:val="0"/>
      <w:marRight w:val="0"/>
      <w:marTop w:val="0"/>
      <w:marBottom w:val="0"/>
      <w:divBdr>
        <w:top w:val="none" w:sz="0" w:space="0" w:color="auto"/>
        <w:left w:val="none" w:sz="0" w:space="0" w:color="auto"/>
        <w:bottom w:val="none" w:sz="0" w:space="0" w:color="auto"/>
        <w:right w:val="none" w:sz="0" w:space="0" w:color="auto"/>
      </w:divBdr>
    </w:div>
    <w:div w:id="1946572194">
      <w:bodyDiv w:val="1"/>
      <w:marLeft w:val="0"/>
      <w:marRight w:val="0"/>
      <w:marTop w:val="0"/>
      <w:marBottom w:val="0"/>
      <w:divBdr>
        <w:top w:val="none" w:sz="0" w:space="0" w:color="auto"/>
        <w:left w:val="none" w:sz="0" w:space="0" w:color="auto"/>
        <w:bottom w:val="none" w:sz="0" w:space="0" w:color="auto"/>
        <w:right w:val="none" w:sz="0" w:space="0" w:color="auto"/>
      </w:divBdr>
    </w:div>
    <w:div w:id="1946619051">
      <w:bodyDiv w:val="1"/>
      <w:marLeft w:val="0"/>
      <w:marRight w:val="0"/>
      <w:marTop w:val="0"/>
      <w:marBottom w:val="0"/>
      <w:divBdr>
        <w:top w:val="none" w:sz="0" w:space="0" w:color="auto"/>
        <w:left w:val="none" w:sz="0" w:space="0" w:color="auto"/>
        <w:bottom w:val="none" w:sz="0" w:space="0" w:color="auto"/>
        <w:right w:val="none" w:sz="0" w:space="0" w:color="auto"/>
      </w:divBdr>
    </w:div>
    <w:div w:id="1946645956">
      <w:bodyDiv w:val="1"/>
      <w:marLeft w:val="0"/>
      <w:marRight w:val="0"/>
      <w:marTop w:val="0"/>
      <w:marBottom w:val="0"/>
      <w:divBdr>
        <w:top w:val="none" w:sz="0" w:space="0" w:color="auto"/>
        <w:left w:val="none" w:sz="0" w:space="0" w:color="auto"/>
        <w:bottom w:val="none" w:sz="0" w:space="0" w:color="auto"/>
        <w:right w:val="none" w:sz="0" w:space="0" w:color="auto"/>
      </w:divBdr>
    </w:div>
    <w:div w:id="1946687647">
      <w:bodyDiv w:val="1"/>
      <w:marLeft w:val="0"/>
      <w:marRight w:val="0"/>
      <w:marTop w:val="0"/>
      <w:marBottom w:val="0"/>
      <w:divBdr>
        <w:top w:val="none" w:sz="0" w:space="0" w:color="auto"/>
        <w:left w:val="none" w:sz="0" w:space="0" w:color="auto"/>
        <w:bottom w:val="none" w:sz="0" w:space="0" w:color="auto"/>
        <w:right w:val="none" w:sz="0" w:space="0" w:color="auto"/>
      </w:divBdr>
    </w:div>
    <w:div w:id="1947038406">
      <w:bodyDiv w:val="1"/>
      <w:marLeft w:val="0"/>
      <w:marRight w:val="0"/>
      <w:marTop w:val="0"/>
      <w:marBottom w:val="0"/>
      <w:divBdr>
        <w:top w:val="none" w:sz="0" w:space="0" w:color="auto"/>
        <w:left w:val="none" w:sz="0" w:space="0" w:color="auto"/>
        <w:bottom w:val="none" w:sz="0" w:space="0" w:color="auto"/>
        <w:right w:val="none" w:sz="0" w:space="0" w:color="auto"/>
      </w:divBdr>
    </w:div>
    <w:div w:id="1947153733">
      <w:bodyDiv w:val="1"/>
      <w:marLeft w:val="0"/>
      <w:marRight w:val="0"/>
      <w:marTop w:val="0"/>
      <w:marBottom w:val="0"/>
      <w:divBdr>
        <w:top w:val="none" w:sz="0" w:space="0" w:color="auto"/>
        <w:left w:val="none" w:sz="0" w:space="0" w:color="auto"/>
        <w:bottom w:val="none" w:sz="0" w:space="0" w:color="auto"/>
        <w:right w:val="none" w:sz="0" w:space="0" w:color="auto"/>
      </w:divBdr>
    </w:div>
    <w:div w:id="1947157628">
      <w:bodyDiv w:val="1"/>
      <w:marLeft w:val="0"/>
      <w:marRight w:val="0"/>
      <w:marTop w:val="0"/>
      <w:marBottom w:val="0"/>
      <w:divBdr>
        <w:top w:val="none" w:sz="0" w:space="0" w:color="auto"/>
        <w:left w:val="none" w:sz="0" w:space="0" w:color="auto"/>
        <w:bottom w:val="none" w:sz="0" w:space="0" w:color="auto"/>
        <w:right w:val="none" w:sz="0" w:space="0" w:color="auto"/>
      </w:divBdr>
    </w:div>
    <w:div w:id="1947224105">
      <w:bodyDiv w:val="1"/>
      <w:marLeft w:val="0"/>
      <w:marRight w:val="0"/>
      <w:marTop w:val="0"/>
      <w:marBottom w:val="0"/>
      <w:divBdr>
        <w:top w:val="none" w:sz="0" w:space="0" w:color="auto"/>
        <w:left w:val="none" w:sz="0" w:space="0" w:color="auto"/>
        <w:bottom w:val="none" w:sz="0" w:space="0" w:color="auto"/>
        <w:right w:val="none" w:sz="0" w:space="0" w:color="auto"/>
      </w:divBdr>
    </w:div>
    <w:div w:id="1947422535">
      <w:bodyDiv w:val="1"/>
      <w:marLeft w:val="0"/>
      <w:marRight w:val="0"/>
      <w:marTop w:val="0"/>
      <w:marBottom w:val="0"/>
      <w:divBdr>
        <w:top w:val="none" w:sz="0" w:space="0" w:color="auto"/>
        <w:left w:val="none" w:sz="0" w:space="0" w:color="auto"/>
        <w:bottom w:val="none" w:sz="0" w:space="0" w:color="auto"/>
        <w:right w:val="none" w:sz="0" w:space="0" w:color="auto"/>
      </w:divBdr>
    </w:div>
    <w:div w:id="1947497926">
      <w:bodyDiv w:val="1"/>
      <w:marLeft w:val="0"/>
      <w:marRight w:val="0"/>
      <w:marTop w:val="0"/>
      <w:marBottom w:val="0"/>
      <w:divBdr>
        <w:top w:val="none" w:sz="0" w:space="0" w:color="auto"/>
        <w:left w:val="none" w:sz="0" w:space="0" w:color="auto"/>
        <w:bottom w:val="none" w:sz="0" w:space="0" w:color="auto"/>
        <w:right w:val="none" w:sz="0" w:space="0" w:color="auto"/>
      </w:divBdr>
    </w:div>
    <w:div w:id="1947536194">
      <w:bodyDiv w:val="1"/>
      <w:marLeft w:val="0"/>
      <w:marRight w:val="0"/>
      <w:marTop w:val="0"/>
      <w:marBottom w:val="0"/>
      <w:divBdr>
        <w:top w:val="none" w:sz="0" w:space="0" w:color="auto"/>
        <w:left w:val="none" w:sz="0" w:space="0" w:color="auto"/>
        <w:bottom w:val="none" w:sz="0" w:space="0" w:color="auto"/>
        <w:right w:val="none" w:sz="0" w:space="0" w:color="auto"/>
      </w:divBdr>
    </w:div>
    <w:div w:id="1947542770">
      <w:bodyDiv w:val="1"/>
      <w:marLeft w:val="0"/>
      <w:marRight w:val="0"/>
      <w:marTop w:val="0"/>
      <w:marBottom w:val="0"/>
      <w:divBdr>
        <w:top w:val="none" w:sz="0" w:space="0" w:color="auto"/>
        <w:left w:val="none" w:sz="0" w:space="0" w:color="auto"/>
        <w:bottom w:val="none" w:sz="0" w:space="0" w:color="auto"/>
        <w:right w:val="none" w:sz="0" w:space="0" w:color="auto"/>
      </w:divBdr>
    </w:div>
    <w:div w:id="1947695030">
      <w:bodyDiv w:val="1"/>
      <w:marLeft w:val="0"/>
      <w:marRight w:val="0"/>
      <w:marTop w:val="0"/>
      <w:marBottom w:val="0"/>
      <w:divBdr>
        <w:top w:val="none" w:sz="0" w:space="0" w:color="auto"/>
        <w:left w:val="none" w:sz="0" w:space="0" w:color="auto"/>
        <w:bottom w:val="none" w:sz="0" w:space="0" w:color="auto"/>
        <w:right w:val="none" w:sz="0" w:space="0" w:color="auto"/>
      </w:divBdr>
    </w:div>
    <w:div w:id="1947809123">
      <w:bodyDiv w:val="1"/>
      <w:marLeft w:val="0"/>
      <w:marRight w:val="0"/>
      <w:marTop w:val="0"/>
      <w:marBottom w:val="0"/>
      <w:divBdr>
        <w:top w:val="none" w:sz="0" w:space="0" w:color="auto"/>
        <w:left w:val="none" w:sz="0" w:space="0" w:color="auto"/>
        <w:bottom w:val="none" w:sz="0" w:space="0" w:color="auto"/>
        <w:right w:val="none" w:sz="0" w:space="0" w:color="auto"/>
      </w:divBdr>
    </w:div>
    <w:div w:id="1947957425">
      <w:bodyDiv w:val="1"/>
      <w:marLeft w:val="0"/>
      <w:marRight w:val="0"/>
      <w:marTop w:val="0"/>
      <w:marBottom w:val="0"/>
      <w:divBdr>
        <w:top w:val="none" w:sz="0" w:space="0" w:color="auto"/>
        <w:left w:val="none" w:sz="0" w:space="0" w:color="auto"/>
        <w:bottom w:val="none" w:sz="0" w:space="0" w:color="auto"/>
        <w:right w:val="none" w:sz="0" w:space="0" w:color="auto"/>
      </w:divBdr>
    </w:div>
    <w:div w:id="1948075325">
      <w:bodyDiv w:val="1"/>
      <w:marLeft w:val="0"/>
      <w:marRight w:val="0"/>
      <w:marTop w:val="0"/>
      <w:marBottom w:val="0"/>
      <w:divBdr>
        <w:top w:val="none" w:sz="0" w:space="0" w:color="auto"/>
        <w:left w:val="none" w:sz="0" w:space="0" w:color="auto"/>
        <w:bottom w:val="none" w:sz="0" w:space="0" w:color="auto"/>
        <w:right w:val="none" w:sz="0" w:space="0" w:color="auto"/>
      </w:divBdr>
    </w:div>
    <w:div w:id="1948152671">
      <w:bodyDiv w:val="1"/>
      <w:marLeft w:val="0"/>
      <w:marRight w:val="0"/>
      <w:marTop w:val="0"/>
      <w:marBottom w:val="0"/>
      <w:divBdr>
        <w:top w:val="none" w:sz="0" w:space="0" w:color="auto"/>
        <w:left w:val="none" w:sz="0" w:space="0" w:color="auto"/>
        <w:bottom w:val="none" w:sz="0" w:space="0" w:color="auto"/>
        <w:right w:val="none" w:sz="0" w:space="0" w:color="auto"/>
      </w:divBdr>
    </w:div>
    <w:div w:id="1948193387">
      <w:bodyDiv w:val="1"/>
      <w:marLeft w:val="0"/>
      <w:marRight w:val="0"/>
      <w:marTop w:val="0"/>
      <w:marBottom w:val="0"/>
      <w:divBdr>
        <w:top w:val="none" w:sz="0" w:space="0" w:color="auto"/>
        <w:left w:val="none" w:sz="0" w:space="0" w:color="auto"/>
        <w:bottom w:val="none" w:sz="0" w:space="0" w:color="auto"/>
        <w:right w:val="none" w:sz="0" w:space="0" w:color="auto"/>
      </w:divBdr>
    </w:div>
    <w:div w:id="1948269012">
      <w:bodyDiv w:val="1"/>
      <w:marLeft w:val="0"/>
      <w:marRight w:val="0"/>
      <w:marTop w:val="0"/>
      <w:marBottom w:val="0"/>
      <w:divBdr>
        <w:top w:val="none" w:sz="0" w:space="0" w:color="auto"/>
        <w:left w:val="none" w:sz="0" w:space="0" w:color="auto"/>
        <w:bottom w:val="none" w:sz="0" w:space="0" w:color="auto"/>
        <w:right w:val="none" w:sz="0" w:space="0" w:color="auto"/>
      </w:divBdr>
    </w:div>
    <w:div w:id="1948345703">
      <w:bodyDiv w:val="1"/>
      <w:marLeft w:val="0"/>
      <w:marRight w:val="0"/>
      <w:marTop w:val="0"/>
      <w:marBottom w:val="0"/>
      <w:divBdr>
        <w:top w:val="none" w:sz="0" w:space="0" w:color="auto"/>
        <w:left w:val="none" w:sz="0" w:space="0" w:color="auto"/>
        <w:bottom w:val="none" w:sz="0" w:space="0" w:color="auto"/>
        <w:right w:val="none" w:sz="0" w:space="0" w:color="auto"/>
      </w:divBdr>
    </w:div>
    <w:div w:id="1948347744">
      <w:bodyDiv w:val="1"/>
      <w:marLeft w:val="0"/>
      <w:marRight w:val="0"/>
      <w:marTop w:val="0"/>
      <w:marBottom w:val="0"/>
      <w:divBdr>
        <w:top w:val="none" w:sz="0" w:space="0" w:color="auto"/>
        <w:left w:val="none" w:sz="0" w:space="0" w:color="auto"/>
        <w:bottom w:val="none" w:sz="0" w:space="0" w:color="auto"/>
        <w:right w:val="none" w:sz="0" w:space="0" w:color="auto"/>
      </w:divBdr>
    </w:div>
    <w:div w:id="1948463812">
      <w:bodyDiv w:val="1"/>
      <w:marLeft w:val="0"/>
      <w:marRight w:val="0"/>
      <w:marTop w:val="0"/>
      <w:marBottom w:val="0"/>
      <w:divBdr>
        <w:top w:val="none" w:sz="0" w:space="0" w:color="auto"/>
        <w:left w:val="none" w:sz="0" w:space="0" w:color="auto"/>
        <w:bottom w:val="none" w:sz="0" w:space="0" w:color="auto"/>
        <w:right w:val="none" w:sz="0" w:space="0" w:color="auto"/>
      </w:divBdr>
    </w:div>
    <w:div w:id="1948544104">
      <w:bodyDiv w:val="1"/>
      <w:marLeft w:val="0"/>
      <w:marRight w:val="0"/>
      <w:marTop w:val="0"/>
      <w:marBottom w:val="0"/>
      <w:divBdr>
        <w:top w:val="none" w:sz="0" w:space="0" w:color="auto"/>
        <w:left w:val="none" w:sz="0" w:space="0" w:color="auto"/>
        <w:bottom w:val="none" w:sz="0" w:space="0" w:color="auto"/>
        <w:right w:val="none" w:sz="0" w:space="0" w:color="auto"/>
      </w:divBdr>
    </w:div>
    <w:div w:id="1948657865">
      <w:bodyDiv w:val="1"/>
      <w:marLeft w:val="0"/>
      <w:marRight w:val="0"/>
      <w:marTop w:val="0"/>
      <w:marBottom w:val="0"/>
      <w:divBdr>
        <w:top w:val="none" w:sz="0" w:space="0" w:color="auto"/>
        <w:left w:val="none" w:sz="0" w:space="0" w:color="auto"/>
        <w:bottom w:val="none" w:sz="0" w:space="0" w:color="auto"/>
        <w:right w:val="none" w:sz="0" w:space="0" w:color="auto"/>
      </w:divBdr>
    </w:div>
    <w:div w:id="1948660715">
      <w:bodyDiv w:val="1"/>
      <w:marLeft w:val="0"/>
      <w:marRight w:val="0"/>
      <w:marTop w:val="0"/>
      <w:marBottom w:val="0"/>
      <w:divBdr>
        <w:top w:val="none" w:sz="0" w:space="0" w:color="auto"/>
        <w:left w:val="none" w:sz="0" w:space="0" w:color="auto"/>
        <w:bottom w:val="none" w:sz="0" w:space="0" w:color="auto"/>
        <w:right w:val="none" w:sz="0" w:space="0" w:color="auto"/>
      </w:divBdr>
    </w:div>
    <w:div w:id="1949047708">
      <w:bodyDiv w:val="1"/>
      <w:marLeft w:val="0"/>
      <w:marRight w:val="0"/>
      <w:marTop w:val="0"/>
      <w:marBottom w:val="0"/>
      <w:divBdr>
        <w:top w:val="none" w:sz="0" w:space="0" w:color="auto"/>
        <w:left w:val="none" w:sz="0" w:space="0" w:color="auto"/>
        <w:bottom w:val="none" w:sz="0" w:space="0" w:color="auto"/>
        <w:right w:val="none" w:sz="0" w:space="0" w:color="auto"/>
      </w:divBdr>
    </w:div>
    <w:div w:id="1949193059">
      <w:bodyDiv w:val="1"/>
      <w:marLeft w:val="0"/>
      <w:marRight w:val="0"/>
      <w:marTop w:val="0"/>
      <w:marBottom w:val="0"/>
      <w:divBdr>
        <w:top w:val="none" w:sz="0" w:space="0" w:color="auto"/>
        <w:left w:val="none" w:sz="0" w:space="0" w:color="auto"/>
        <w:bottom w:val="none" w:sz="0" w:space="0" w:color="auto"/>
        <w:right w:val="none" w:sz="0" w:space="0" w:color="auto"/>
      </w:divBdr>
    </w:div>
    <w:div w:id="1949384672">
      <w:bodyDiv w:val="1"/>
      <w:marLeft w:val="0"/>
      <w:marRight w:val="0"/>
      <w:marTop w:val="0"/>
      <w:marBottom w:val="0"/>
      <w:divBdr>
        <w:top w:val="none" w:sz="0" w:space="0" w:color="auto"/>
        <w:left w:val="none" w:sz="0" w:space="0" w:color="auto"/>
        <w:bottom w:val="none" w:sz="0" w:space="0" w:color="auto"/>
        <w:right w:val="none" w:sz="0" w:space="0" w:color="auto"/>
      </w:divBdr>
    </w:div>
    <w:div w:id="1949462524">
      <w:bodyDiv w:val="1"/>
      <w:marLeft w:val="0"/>
      <w:marRight w:val="0"/>
      <w:marTop w:val="0"/>
      <w:marBottom w:val="0"/>
      <w:divBdr>
        <w:top w:val="none" w:sz="0" w:space="0" w:color="auto"/>
        <w:left w:val="none" w:sz="0" w:space="0" w:color="auto"/>
        <w:bottom w:val="none" w:sz="0" w:space="0" w:color="auto"/>
        <w:right w:val="none" w:sz="0" w:space="0" w:color="auto"/>
      </w:divBdr>
    </w:div>
    <w:div w:id="1949580399">
      <w:bodyDiv w:val="1"/>
      <w:marLeft w:val="0"/>
      <w:marRight w:val="0"/>
      <w:marTop w:val="0"/>
      <w:marBottom w:val="0"/>
      <w:divBdr>
        <w:top w:val="none" w:sz="0" w:space="0" w:color="auto"/>
        <w:left w:val="none" w:sz="0" w:space="0" w:color="auto"/>
        <w:bottom w:val="none" w:sz="0" w:space="0" w:color="auto"/>
        <w:right w:val="none" w:sz="0" w:space="0" w:color="auto"/>
      </w:divBdr>
    </w:div>
    <w:div w:id="1949584345">
      <w:bodyDiv w:val="1"/>
      <w:marLeft w:val="0"/>
      <w:marRight w:val="0"/>
      <w:marTop w:val="0"/>
      <w:marBottom w:val="0"/>
      <w:divBdr>
        <w:top w:val="none" w:sz="0" w:space="0" w:color="auto"/>
        <w:left w:val="none" w:sz="0" w:space="0" w:color="auto"/>
        <w:bottom w:val="none" w:sz="0" w:space="0" w:color="auto"/>
        <w:right w:val="none" w:sz="0" w:space="0" w:color="auto"/>
      </w:divBdr>
    </w:div>
    <w:div w:id="1949969209">
      <w:bodyDiv w:val="1"/>
      <w:marLeft w:val="0"/>
      <w:marRight w:val="0"/>
      <w:marTop w:val="0"/>
      <w:marBottom w:val="0"/>
      <w:divBdr>
        <w:top w:val="none" w:sz="0" w:space="0" w:color="auto"/>
        <w:left w:val="none" w:sz="0" w:space="0" w:color="auto"/>
        <w:bottom w:val="none" w:sz="0" w:space="0" w:color="auto"/>
        <w:right w:val="none" w:sz="0" w:space="0" w:color="auto"/>
      </w:divBdr>
    </w:div>
    <w:div w:id="1950119248">
      <w:bodyDiv w:val="1"/>
      <w:marLeft w:val="0"/>
      <w:marRight w:val="0"/>
      <w:marTop w:val="0"/>
      <w:marBottom w:val="0"/>
      <w:divBdr>
        <w:top w:val="none" w:sz="0" w:space="0" w:color="auto"/>
        <w:left w:val="none" w:sz="0" w:space="0" w:color="auto"/>
        <w:bottom w:val="none" w:sz="0" w:space="0" w:color="auto"/>
        <w:right w:val="none" w:sz="0" w:space="0" w:color="auto"/>
      </w:divBdr>
    </w:div>
    <w:div w:id="1950240689">
      <w:bodyDiv w:val="1"/>
      <w:marLeft w:val="0"/>
      <w:marRight w:val="0"/>
      <w:marTop w:val="0"/>
      <w:marBottom w:val="0"/>
      <w:divBdr>
        <w:top w:val="none" w:sz="0" w:space="0" w:color="auto"/>
        <w:left w:val="none" w:sz="0" w:space="0" w:color="auto"/>
        <w:bottom w:val="none" w:sz="0" w:space="0" w:color="auto"/>
        <w:right w:val="none" w:sz="0" w:space="0" w:color="auto"/>
      </w:divBdr>
    </w:div>
    <w:div w:id="1950308264">
      <w:bodyDiv w:val="1"/>
      <w:marLeft w:val="0"/>
      <w:marRight w:val="0"/>
      <w:marTop w:val="0"/>
      <w:marBottom w:val="0"/>
      <w:divBdr>
        <w:top w:val="none" w:sz="0" w:space="0" w:color="auto"/>
        <w:left w:val="none" w:sz="0" w:space="0" w:color="auto"/>
        <w:bottom w:val="none" w:sz="0" w:space="0" w:color="auto"/>
        <w:right w:val="none" w:sz="0" w:space="0" w:color="auto"/>
      </w:divBdr>
    </w:div>
    <w:div w:id="1950314068">
      <w:bodyDiv w:val="1"/>
      <w:marLeft w:val="0"/>
      <w:marRight w:val="0"/>
      <w:marTop w:val="0"/>
      <w:marBottom w:val="0"/>
      <w:divBdr>
        <w:top w:val="none" w:sz="0" w:space="0" w:color="auto"/>
        <w:left w:val="none" w:sz="0" w:space="0" w:color="auto"/>
        <w:bottom w:val="none" w:sz="0" w:space="0" w:color="auto"/>
        <w:right w:val="none" w:sz="0" w:space="0" w:color="auto"/>
      </w:divBdr>
    </w:div>
    <w:div w:id="1950314701">
      <w:bodyDiv w:val="1"/>
      <w:marLeft w:val="0"/>
      <w:marRight w:val="0"/>
      <w:marTop w:val="0"/>
      <w:marBottom w:val="0"/>
      <w:divBdr>
        <w:top w:val="none" w:sz="0" w:space="0" w:color="auto"/>
        <w:left w:val="none" w:sz="0" w:space="0" w:color="auto"/>
        <w:bottom w:val="none" w:sz="0" w:space="0" w:color="auto"/>
        <w:right w:val="none" w:sz="0" w:space="0" w:color="auto"/>
      </w:divBdr>
    </w:div>
    <w:div w:id="1950356077">
      <w:bodyDiv w:val="1"/>
      <w:marLeft w:val="0"/>
      <w:marRight w:val="0"/>
      <w:marTop w:val="0"/>
      <w:marBottom w:val="0"/>
      <w:divBdr>
        <w:top w:val="none" w:sz="0" w:space="0" w:color="auto"/>
        <w:left w:val="none" w:sz="0" w:space="0" w:color="auto"/>
        <w:bottom w:val="none" w:sz="0" w:space="0" w:color="auto"/>
        <w:right w:val="none" w:sz="0" w:space="0" w:color="auto"/>
      </w:divBdr>
    </w:div>
    <w:div w:id="1950428823">
      <w:bodyDiv w:val="1"/>
      <w:marLeft w:val="0"/>
      <w:marRight w:val="0"/>
      <w:marTop w:val="0"/>
      <w:marBottom w:val="0"/>
      <w:divBdr>
        <w:top w:val="none" w:sz="0" w:space="0" w:color="auto"/>
        <w:left w:val="none" w:sz="0" w:space="0" w:color="auto"/>
        <w:bottom w:val="none" w:sz="0" w:space="0" w:color="auto"/>
        <w:right w:val="none" w:sz="0" w:space="0" w:color="auto"/>
      </w:divBdr>
    </w:div>
    <w:div w:id="1950429247">
      <w:bodyDiv w:val="1"/>
      <w:marLeft w:val="0"/>
      <w:marRight w:val="0"/>
      <w:marTop w:val="0"/>
      <w:marBottom w:val="0"/>
      <w:divBdr>
        <w:top w:val="none" w:sz="0" w:space="0" w:color="auto"/>
        <w:left w:val="none" w:sz="0" w:space="0" w:color="auto"/>
        <w:bottom w:val="none" w:sz="0" w:space="0" w:color="auto"/>
        <w:right w:val="none" w:sz="0" w:space="0" w:color="auto"/>
      </w:divBdr>
    </w:div>
    <w:div w:id="1950505266">
      <w:bodyDiv w:val="1"/>
      <w:marLeft w:val="0"/>
      <w:marRight w:val="0"/>
      <w:marTop w:val="0"/>
      <w:marBottom w:val="0"/>
      <w:divBdr>
        <w:top w:val="none" w:sz="0" w:space="0" w:color="auto"/>
        <w:left w:val="none" w:sz="0" w:space="0" w:color="auto"/>
        <w:bottom w:val="none" w:sz="0" w:space="0" w:color="auto"/>
        <w:right w:val="none" w:sz="0" w:space="0" w:color="auto"/>
      </w:divBdr>
    </w:div>
    <w:div w:id="1950619975">
      <w:bodyDiv w:val="1"/>
      <w:marLeft w:val="0"/>
      <w:marRight w:val="0"/>
      <w:marTop w:val="0"/>
      <w:marBottom w:val="0"/>
      <w:divBdr>
        <w:top w:val="none" w:sz="0" w:space="0" w:color="auto"/>
        <w:left w:val="none" w:sz="0" w:space="0" w:color="auto"/>
        <w:bottom w:val="none" w:sz="0" w:space="0" w:color="auto"/>
        <w:right w:val="none" w:sz="0" w:space="0" w:color="auto"/>
      </w:divBdr>
    </w:div>
    <w:div w:id="1950776940">
      <w:bodyDiv w:val="1"/>
      <w:marLeft w:val="0"/>
      <w:marRight w:val="0"/>
      <w:marTop w:val="0"/>
      <w:marBottom w:val="0"/>
      <w:divBdr>
        <w:top w:val="none" w:sz="0" w:space="0" w:color="auto"/>
        <w:left w:val="none" w:sz="0" w:space="0" w:color="auto"/>
        <w:bottom w:val="none" w:sz="0" w:space="0" w:color="auto"/>
        <w:right w:val="none" w:sz="0" w:space="0" w:color="auto"/>
      </w:divBdr>
    </w:div>
    <w:div w:id="1950888715">
      <w:bodyDiv w:val="1"/>
      <w:marLeft w:val="0"/>
      <w:marRight w:val="0"/>
      <w:marTop w:val="0"/>
      <w:marBottom w:val="0"/>
      <w:divBdr>
        <w:top w:val="none" w:sz="0" w:space="0" w:color="auto"/>
        <w:left w:val="none" w:sz="0" w:space="0" w:color="auto"/>
        <w:bottom w:val="none" w:sz="0" w:space="0" w:color="auto"/>
        <w:right w:val="none" w:sz="0" w:space="0" w:color="auto"/>
      </w:divBdr>
    </w:div>
    <w:div w:id="1950896442">
      <w:bodyDiv w:val="1"/>
      <w:marLeft w:val="0"/>
      <w:marRight w:val="0"/>
      <w:marTop w:val="0"/>
      <w:marBottom w:val="0"/>
      <w:divBdr>
        <w:top w:val="none" w:sz="0" w:space="0" w:color="auto"/>
        <w:left w:val="none" w:sz="0" w:space="0" w:color="auto"/>
        <w:bottom w:val="none" w:sz="0" w:space="0" w:color="auto"/>
        <w:right w:val="none" w:sz="0" w:space="0" w:color="auto"/>
      </w:divBdr>
    </w:div>
    <w:div w:id="1950967159">
      <w:bodyDiv w:val="1"/>
      <w:marLeft w:val="0"/>
      <w:marRight w:val="0"/>
      <w:marTop w:val="0"/>
      <w:marBottom w:val="0"/>
      <w:divBdr>
        <w:top w:val="none" w:sz="0" w:space="0" w:color="auto"/>
        <w:left w:val="none" w:sz="0" w:space="0" w:color="auto"/>
        <w:bottom w:val="none" w:sz="0" w:space="0" w:color="auto"/>
        <w:right w:val="none" w:sz="0" w:space="0" w:color="auto"/>
      </w:divBdr>
    </w:div>
    <w:div w:id="1951231976">
      <w:bodyDiv w:val="1"/>
      <w:marLeft w:val="0"/>
      <w:marRight w:val="0"/>
      <w:marTop w:val="0"/>
      <w:marBottom w:val="0"/>
      <w:divBdr>
        <w:top w:val="none" w:sz="0" w:space="0" w:color="auto"/>
        <w:left w:val="none" w:sz="0" w:space="0" w:color="auto"/>
        <w:bottom w:val="none" w:sz="0" w:space="0" w:color="auto"/>
        <w:right w:val="none" w:sz="0" w:space="0" w:color="auto"/>
      </w:divBdr>
    </w:div>
    <w:div w:id="1951356271">
      <w:bodyDiv w:val="1"/>
      <w:marLeft w:val="0"/>
      <w:marRight w:val="0"/>
      <w:marTop w:val="0"/>
      <w:marBottom w:val="0"/>
      <w:divBdr>
        <w:top w:val="none" w:sz="0" w:space="0" w:color="auto"/>
        <w:left w:val="none" w:sz="0" w:space="0" w:color="auto"/>
        <w:bottom w:val="none" w:sz="0" w:space="0" w:color="auto"/>
        <w:right w:val="none" w:sz="0" w:space="0" w:color="auto"/>
      </w:divBdr>
    </w:div>
    <w:div w:id="1951425951">
      <w:bodyDiv w:val="1"/>
      <w:marLeft w:val="0"/>
      <w:marRight w:val="0"/>
      <w:marTop w:val="0"/>
      <w:marBottom w:val="0"/>
      <w:divBdr>
        <w:top w:val="none" w:sz="0" w:space="0" w:color="auto"/>
        <w:left w:val="none" w:sz="0" w:space="0" w:color="auto"/>
        <w:bottom w:val="none" w:sz="0" w:space="0" w:color="auto"/>
        <w:right w:val="none" w:sz="0" w:space="0" w:color="auto"/>
      </w:divBdr>
    </w:div>
    <w:div w:id="1951427780">
      <w:bodyDiv w:val="1"/>
      <w:marLeft w:val="0"/>
      <w:marRight w:val="0"/>
      <w:marTop w:val="0"/>
      <w:marBottom w:val="0"/>
      <w:divBdr>
        <w:top w:val="none" w:sz="0" w:space="0" w:color="auto"/>
        <w:left w:val="none" w:sz="0" w:space="0" w:color="auto"/>
        <w:bottom w:val="none" w:sz="0" w:space="0" w:color="auto"/>
        <w:right w:val="none" w:sz="0" w:space="0" w:color="auto"/>
      </w:divBdr>
    </w:div>
    <w:div w:id="1951429817">
      <w:bodyDiv w:val="1"/>
      <w:marLeft w:val="0"/>
      <w:marRight w:val="0"/>
      <w:marTop w:val="0"/>
      <w:marBottom w:val="0"/>
      <w:divBdr>
        <w:top w:val="none" w:sz="0" w:space="0" w:color="auto"/>
        <w:left w:val="none" w:sz="0" w:space="0" w:color="auto"/>
        <w:bottom w:val="none" w:sz="0" w:space="0" w:color="auto"/>
        <w:right w:val="none" w:sz="0" w:space="0" w:color="auto"/>
      </w:divBdr>
    </w:div>
    <w:div w:id="1951694690">
      <w:bodyDiv w:val="1"/>
      <w:marLeft w:val="0"/>
      <w:marRight w:val="0"/>
      <w:marTop w:val="0"/>
      <w:marBottom w:val="0"/>
      <w:divBdr>
        <w:top w:val="none" w:sz="0" w:space="0" w:color="auto"/>
        <w:left w:val="none" w:sz="0" w:space="0" w:color="auto"/>
        <w:bottom w:val="none" w:sz="0" w:space="0" w:color="auto"/>
        <w:right w:val="none" w:sz="0" w:space="0" w:color="auto"/>
      </w:divBdr>
    </w:div>
    <w:div w:id="1951742159">
      <w:bodyDiv w:val="1"/>
      <w:marLeft w:val="0"/>
      <w:marRight w:val="0"/>
      <w:marTop w:val="0"/>
      <w:marBottom w:val="0"/>
      <w:divBdr>
        <w:top w:val="none" w:sz="0" w:space="0" w:color="auto"/>
        <w:left w:val="none" w:sz="0" w:space="0" w:color="auto"/>
        <w:bottom w:val="none" w:sz="0" w:space="0" w:color="auto"/>
        <w:right w:val="none" w:sz="0" w:space="0" w:color="auto"/>
      </w:divBdr>
    </w:div>
    <w:div w:id="1951743394">
      <w:bodyDiv w:val="1"/>
      <w:marLeft w:val="0"/>
      <w:marRight w:val="0"/>
      <w:marTop w:val="0"/>
      <w:marBottom w:val="0"/>
      <w:divBdr>
        <w:top w:val="none" w:sz="0" w:space="0" w:color="auto"/>
        <w:left w:val="none" w:sz="0" w:space="0" w:color="auto"/>
        <w:bottom w:val="none" w:sz="0" w:space="0" w:color="auto"/>
        <w:right w:val="none" w:sz="0" w:space="0" w:color="auto"/>
      </w:divBdr>
    </w:div>
    <w:div w:id="1951861345">
      <w:bodyDiv w:val="1"/>
      <w:marLeft w:val="0"/>
      <w:marRight w:val="0"/>
      <w:marTop w:val="0"/>
      <w:marBottom w:val="0"/>
      <w:divBdr>
        <w:top w:val="none" w:sz="0" w:space="0" w:color="auto"/>
        <w:left w:val="none" w:sz="0" w:space="0" w:color="auto"/>
        <w:bottom w:val="none" w:sz="0" w:space="0" w:color="auto"/>
        <w:right w:val="none" w:sz="0" w:space="0" w:color="auto"/>
      </w:divBdr>
    </w:div>
    <w:div w:id="1951890352">
      <w:bodyDiv w:val="1"/>
      <w:marLeft w:val="0"/>
      <w:marRight w:val="0"/>
      <w:marTop w:val="0"/>
      <w:marBottom w:val="0"/>
      <w:divBdr>
        <w:top w:val="none" w:sz="0" w:space="0" w:color="auto"/>
        <w:left w:val="none" w:sz="0" w:space="0" w:color="auto"/>
        <w:bottom w:val="none" w:sz="0" w:space="0" w:color="auto"/>
        <w:right w:val="none" w:sz="0" w:space="0" w:color="auto"/>
      </w:divBdr>
    </w:div>
    <w:div w:id="1951890876">
      <w:bodyDiv w:val="1"/>
      <w:marLeft w:val="0"/>
      <w:marRight w:val="0"/>
      <w:marTop w:val="0"/>
      <w:marBottom w:val="0"/>
      <w:divBdr>
        <w:top w:val="none" w:sz="0" w:space="0" w:color="auto"/>
        <w:left w:val="none" w:sz="0" w:space="0" w:color="auto"/>
        <w:bottom w:val="none" w:sz="0" w:space="0" w:color="auto"/>
        <w:right w:val="none" w:sz="0" w:space="0" w:color="auto"/>
      </w:divBdr>
    </w:div>
    <w:div w:id="1952397189">
      <w:bodyDiv w:val="1"/>
      <w:marLeft w:val="0"/>
      <w:marRight w:val="0"/>
      <w:marTop w:val="0"/>
      <w:marBottom w:val="0"/>
      <w:divBdr>
        <w:top w:val="none" w:sz="0" w:space="0" w:color="auto"/>
        <w:left w:val="none" w:sz="0" w:space="0" w:color="auto"/>
        <w:bottom w:val="none" w:sz="0" w:space="0" w:color="auto"/>
        <w:right w:val="none" w:sz="0" w:space="0" w:color="auto"/>
      </w:divBdr>
    </w:div>
    <w:div w:id="1952669236">
      <w:bodyDiv w:val="1"/>
      <w:marLeft w:val="0"/>
      <w:marRight w:val="0"/>
      <w:marTop w:val="0"/>
      <w:marBottom w:val="0"/>
      <w:divBdr>
        <w:top w:val="none" w:sz="0" w:space="0" w:color="auto"/>
        <w:left w:val="none" w:sz="0" w:space="0" w:color="auto"/>
        <w:bottom w:val="none" w:sz="0" w:space="0" w:color="auto"/>
        <w:right w:val="none" w:sz="0" w:space="0" w:color="auto"/>
      </w:divBdr>
    </w:div>
    <w:div w:id="1952785621">
      <w:bodyDiv w:val="1"/>
      <w:marLeft w:val="0"/>
      <w:marRight w:val="0"/>
      <w:marTop w:val="0"/>
      <w:marBottom w:val="0"/>
      <w:divBdr>
        <w:top w:val="none" w:sz="0" w:space="0" w:color="auto"/>
        <w:left w:val="none" w:sz="0" w:space="0" w:color="auto"/>
        <w:bottom w:val="none" w:sz="0" w:space="0" w:color="auto"/>
        <w:right w:val="none" w:sz="0" w:space="0" w:color="auto"/>
      </w:divBdr>
    </w:div>
    <w:div w:id="1952931069">
      <w:bodyDiv w:val="1"/>
      <w:marLeft w:val="0"/>
      <w:marRight w:val="0"/>
      <w:marTop w:val="0"/>
      <w:marBottom w:val="0"/>
      <w:divBdr>
        <w:top w:val="none" w:sz="0" w:space="0" w:color="auto"/>
        <w:left w:val="none" w:sz="0" w:space="0" w:color="auto"/>
        <w:bottom w:val="none" w:sz="0" w:space="0" w:color="auto"/>
        <w:right w:val="none" w:sz="0" w:space="0" w:color="auto"/>
      </w:divBdr>
    </w:div>
    <w:div w:id="1952979143">
      <w:bodyDiv w:val="1"/>
      <w:marLeft w:val="0"/>
      <w:marRight w:val="0"/>
      <w:marTop w:val="0"/>
      <w:marBottom w:val="0"/>
      <w:divBdr>
        <w:top w:val="none" w:sz="0" w:space="0" w:color="auto"/>
        <w:left w:val="none" w:sz="0" w:space="0" w:color="auto"/>
        <w:bottom w:val="none" w:sz="0" w:space="0" w:color="auto"/>
        <w:right w:val="none" w:sz="0" w:space="0" w:color="auto"/>
      </w:divBdr>
    </w:div>
    <w:div w:id="1953247364">
      <w:bodyDiv w:val="1"/>
      <w:marLeft w:val="0"/>
      <w:marRight w:val="0"/>
      <w:marTop w:val="0"/>
      <w:marBottom w:val="0"/>
      <w:divBdr>
        <w:top w:val="none" w:sz="0" w:space="0" w:color="auto"/>
        <w:left w:val="none" w:sz="0" w:space="0" w:color="auto"/>
        <w:bottom w:val="none" w:sz="0" w:space="0" w:color="auto"/>
        <w:right w:val="none" w:sz="0" w:space="0" w:color="auto"/>
      </w:divBdr>
    </w:div>
    <w:div w:id="1953248763">
      <w:bodyDiv w:val="1"/>
      <w:marLeft w:val="0"/>
      <w:marRight w:val="0"/>
      <w:marTop w:val="0"/>
      <w:marBottom w:val="0"/>
      <w:divBdr>
        <w:top w:val="none" w:sz="0" w:space="0" w:color="auto"/>
        <w:left w:val="none" w:sz="0" w:space="0" w:color="auto"/>
        <w:bottom w:val="none" w:sz="0" w:space="0" w:color="auto"/>
        <w:right w:val="none" w:sz="0" w:space="0" w:color="auto"/>
      </w:divBdr>
    </w:div>
    <w:div w:id="1953320622">
      <w:bodyDiv w:val="1"/>
      <w:marLeft w:val="0"/>
      <w:marRight w:val="0"/>
      <w:marTop w:val="0"/>
      <w:marBottom w:val="0"/>
      <w:divBdr>
        <w:top w:val="none" w:sz="0" w:space="0" w:color="auto"/>
        <w:left w:val="none" w:sz="0" w:space="0" w:color="auto"/>
        <w:bottom w:val="none" w:sz="0" w:space="0" w:color="auto"/>
        <w:right w:val="none" w:sz="0" w:space="0" w:color="auto"/>
      </w:divBdr>
    </w:div>
    <w:div w:id="1953394044">
      <w:bodyDiv w:val="1"/>
      <w:marLeft w:val="0"/>
      <w:marRight w:val="0"/>
      <w:marTop w:val="0"/>
      <w:marBottom w:val="0"/>
      <w:divBdr>
        <w:top w:val="none" w:sz="0" w:space="0" w:color="auto"/>
        <w:left w:val="none" w:sz="0" w:space="0" w:color="auto"/>
        <w:bottom w:val="none" w:sz="0" w:space="0" w:color="auto"/>
        <w:right w:val="none" w:sz="0" w:space="0" w:color="auto"/>
      </w:divBdr>
    </w:div>
    <w:div w:id="1953589693">
      <w:bodyDiv w:val="1"/>
      <w:marLeft w:val="0"/>
      <w:marRight w:val="0"/>
      <w:marTop w:val="0"/>
      <w:marBottom w:val="0"/>
      <w:divBdr>
        <w:top w:val="none" w:sz="0" w:space="0" w:color="auto"/>
        <w:left w:val="none" w:sz="0" w:space="0" w:color="auto"/>
        <w:bottom w:val="none" w:sz="0" w:space="0" w:color="auto"/>
        <w:right w:val="none" w:sz="0" w:space="0" w:color="auto"/>
      </w:divBdr>
    </w:div>
    <w:div w:id="1953589907">
      <w:bodyDiv w:val="1"/>
      <w:marLeft w:val="0"/>
      <w:marRight w:val="0"/>
      <w:marTop w:val="0"/>
      <w:marBottom w:val="0"/>
      <w:divBdr>
        <w:top w:val="none" w:sz="0" w:space="0" w:color="auto"/>
        <w:left w:val="none" w:sz="0" w:space="0" w:color="auto"/>
        <w:bottom w:val="none" w:sz="0" w:space="0" w:color="auto"/>
        <w:right w:val="none" w:sz="0" w:space="0" w:color="auto"/>
      </w:divBdr>
    </w:div>
    <w:div w:id="1953631511">
      <w:bodyDiv w:val="1"/>
      <w:marLeft w:val="0"/>
      <w:marRight w:val="0"/>
      <w:marTop w:val="0"/>
      <w:marBottom w:val="0"/>
      <w:divBdr>
        <w:top w:val="none" w:sz="0" w:space="0" w:color="auto"/>
        <w:left w:val="none" w:sz="0" w:space="0" w:color="auto"/>
        <w:bottom w:val="none" w:sz="0" w:space="0" w:color="auto"/>
        <w:right w:val="none" w:sz="0" w:space="0" w:color="auto"/>
      </w:divBdr>
    </w:div>
    <w:div w:id="1953635020">
      <w:bodyDiv w:val="1"/>
      <w:marLeft w:val="0"/>
      <w:marRight w:val="0"/>
      <w:marTop w:val="0"/>
      <w:marBottom w:val="0"/>
      <w:divBdr>
        <w:top w:val="none" w:sz="0" w:space="0" w:color="auto"/>
        <w:left w:val="none" w:sz="0" w:space="0" w:color="auto"/>
        <w:bottom w:val="none" w:sz="0" w:space="0" w:color="auto"/>
        <w:right w:val="none" w:sz="0" w:space="0" w:color="auto"/>
      </w:divBdr>
    </w:div>
    <w:div w:id="1953706620">
      <w:bodyDiv w:val="1"/>
      <w:marLeft w:val="0"/>
      <w:marRight w:val="0"/>
      <w:marTop w:val="0"/>
      <w:marBottom w:val="0"/>
      <w:divBdr>
        <w:top w:val="none" w:sz="0" w:space="0" w:color="auto"/>
        <w:left w:val="none" w:sz="0" w:space="0" w:color="auto"/>
        <w:bottom w:val="none" w:sz="0" w:space="0" w:color="auto"/>
        <w:right w:val="none" w:sz="0" w:space="0" w:color="auto"/>
      </w:divBdr>
    </w:div>
    <w:div w:id="1953784124">
      <w:bodyDiv w:val="1"/>
      <w:marLeft w:val="0"/>
      <w:marRight w:val="0"/>
      <w:marTop w:val="0"/>
      <w:marBottom w:val="0"/>
      <w:divBdr>
        <w:top w:val="none" w:sz="0" w:space="0" w:color="auto"/>
        <w:left w:val="none" w:sz="0" w:space="0" w:color="auto"/>
        <w:bottom w:val="none" w:sz="0" w:space="0" w:color="auto"/>
        <w:right w:val="none" w:sz="0" w:space="0" w:color="auto"/>
      </w:divBdr>
    </w:div>
    <w:div w:id="1953901800">
      <w:bodyDiv w:val="1"/>
      <w:marLeft w:val="0"/>
      <w:marRight w:val="0"/>
      <w:marTop w:val="0"/>
      <w:marBottom w:val="0"/>
      <w:divBdr>
        <w:top w:val="none" w:sz="0" w:space="0" w:color="auto"/>
        <w:left w:val="none" w:sz="0" w:space="0" w:color="auto"/>
        <w:bottom w:val="none" w:sz="0" w:space="0" w:color="auto"/>
        <w:right w:val="none" w:sz="0" w:space="0" w:color="auto"/>
      </w:divBdr>
    </w:div>
    <w:div w:id="1953979210">
      <w:bodyDiv w:val="1"/>
      <w:marLeft w:val="0"/>
      <w:marRight w:val="0"/>
      <w:marTop w:val="0"/>
      <w:marBottom w:val="0"/>
      <w:divBdr>
        <w:top w:val="none" w:sz="0" w:space="0" w:color="auto"/>
        <w:left w:val="none" w:sz="0" w:space="0" w:color="auto"/>
        <w:bottom w:val="none" w:sz="0" w:space="0" w:color="auto"/>
        <w:right w:val="none" w:sz="0" w:space="0" w:color="auto"/>
      </w:divBdr>
    </w:div>
    <w:div w:id="1954168633">
      <w:bodyDiv w:val="1"/>
      <w:marLeft w:val="0"/>
      <w:marRight w:val="0"/>
      <w:marTop w:val="0"/>
      <w:marBottom w:val="0"/>
      <w:divBdr>
        <w:top w:val="none" w:sz="0" w:space="0" w:color="auto"/>
        <w:left w:val="none" w:sz="0" w:space="0" w:color="auto"/>
        <w:bottom w:val="none" w:sz="0" w:space="0" w:color="auto"/>
        <w:right w:val="none" w:sz="0" w:space="0" w:color="auto"/>
      </w:divBdr>
    </w:div>
    <w:div w:id="1954631064">
      <w:bodyDiv w:val="1"/>
      <w:marLeft w:val="0"/>
      <w:marRight w:val="0"/>
      <w:marTop w:val="0"/>
      <w:marBottom w:val="0"/>
      <w:divBdr>
        <w:top w:val="none" w:sz="0" w:space="0" w:color="auto"/>
        <w:left w:val="none" w:sz="0" w:space="0" w:color="auto"/>
        <w:bottom w:val="none" w:sz="0" w:space="0" w:color="auto"/>
        <w:right w:val="none" w:sz="0" w:space="0" w:color="auto"/>
      </w:divBdr>
    </w:div>
    <w:div w:id="1954703864">
      <w:bodyDiv w:val="1"/>
      <w:marLeft w:val="0"/>
      <w:marRight w:val="0"/>
      <w:marTop w:val="0"/>
      <w:marBottom w:val="0"/>
      <w:divBdr>
        <w:top w:val="none" w:sz="0" w:space="0" w:color="auto"/>
        <w:left w:val="none" w:sz="0" w:space="0" w:color="auto"/>
        <w:bottom w:val="none" w:sz="0" w:space="0" w:color="auto"/>
        <w:right w:val="none" w:sz="0" w:space="0" w:color="auto"/>
      </w:divBdr>
    </w:div>
    <w:div w:id="1954903246">
      <w:bodyDiv w:val="1"/>
      <w:marLeft w:val="0"/>
      <w:marRight w:val="0"/>
      <w:marTop w:val="0"/>
      <w:marBottom w:val="0"/>
      <w:divBdr>
        <w:top w:val="none" w:sz="0" w:space="0" w:color="auto"/>
        <w:left w:val="none" w:sz="0" w:space="0" w:color="auto"/>
        <w:bottom w:val="none" w:sz="0" w:space="0" w:color="auto"/>
        <w:right w:val="none" w:sz="0" w:space="0" w:color="auto"/>
      </w:divBdr>
    </w:div>
    <w:div w:id="1955091062">
      <w:bodyDiv w:val="1"/>
      <w:marLeft w:val="0"/>
      <w:marRight w:val="0"/>
      <w:marTop w:val="0"/>
      <w:marBottom w:val="0"/>
      <w:divBdr>
        <w:top w:val="none" w:sz="0" w:space="0" w:color="auto"/>
        <w:left w:val="none" w:sz="0" w:space="0" w:color="auto"/>
        <w:bottom w:val="none" w:sz="0" w:space="0" w:color="auto"/>
        <w:right w:val="none" w:sz="0" w:space="0" w:color="auto"/>
      </w:divBdr>
    </w:div>
    <w:div w:id="1955162931">
      <w:bodyDiv w:val="1"/>
      <w:marLeft w:val="0"/>
      <w:marRight w:val="0"/>
      <w:marTop w:val="0"/>
      <w:marBottom w:val="0"/>
      <w:divBdr>
        <w:top w:val="none" w:sz="0" w:space="0" w:color="auto"/>
        <w:left w:val="none" w:sz="0" w:space="0" w:color="auto"/>
        <w:bottom w:val="none" w:sz="0" w:space="0" w:color="auto"/>
        <w:right w:val="none" w:sz="0" w:space="0" w:color="auto"/>
      </w:divBdr>
    </w:div>
    <w:div w:id="1955163075">
      <w:bodyDiv w:val="1"/>
      <w:marLeft w:val="0"/>
      <w:marRight w:val="0"/>
      <w:marTop w:val="0"/>
      <w:marBottom w:val="0"/>
      <w:divBdr>
        <w:top w:val="none" w:sz="0" w:space="0" w:color="auto"/>
        <w:left w:val="none" w:sz="0" w:space="0" w:color="auto"/>
        <w:bottom w:val="none" w:sz="0" w:space="0" w:color="auto"/>
        <w:right w:val="none" w:sz="0" w:space="0" w:color="auto"/>
      </w:divBdr>
    </w:div>
    <w:div w:id="1955210439">
      <w:bodyDiv w:val="1"/>
      <w:marLeft w:val="0"/>
      <w:marRight w:val="0"/>
      <w:marTop w:val="0"/>
      <w:marBottom w:val="0"/>
      <w:divBdr>
        <w:top w:val="none" w:sz="0" w:space="0" w:color="auto"/>
        <w:left w:val="none" w:sz="0" w:space="0" w:color="auto"/>
        <w:bottom w:val="none" w:sz="0" w:space="0" w:color="auto"/>
        <w:right w:val="none" w:sz="0" w:space="0" w:color="auto"/>
      </w:divBdr>
    </w:div>
    <w:div w:id="1955549461">
      <w:bodyDiv w:val="1"/>
      <w:marLeft w:val="0"/>
      <w:marRight w:val="0"/>
      <w:marTop w:val="0"/>
      <w:marBottom w:val="0"/>
      <w:divBdr>
        <w:top w:val="none" w:sz="0" w:space="0" w:color="auto"/>
        <w:left w:val="none" w:sz="0" w:space="0" w:color="auto"/>
        <w:bottom w:val="none" w:sz="0" w:space="0" w:color="auto"/>
        <w:right w:val="none" w:sz="0" w:space="0" w:color="auto"/>
      </w:divBdr>
    </w:div>
    <w:div w:id="1955667680">
      <w:bodyDiv w:val="1"/>
      <w:marLeft w:val="0"/>
      <w:marRight w:val="0"/>
      <w:marTop w:val="0"/>
      <w:marBottom w:val="0"/>
      <w:divBdr>
        <w:top w:val="none" w:sz="0" w:space="0" w:color="auto"/>
        <w:left w:val="none" w:sz="0" w:space="0" w:color="auto"/>
        <w:bottom w:val="none" w:sz="0" w:space="0" w:color="auto"/>
        <w:right w:val="none" w:sz="0" w:space="0" w:color="auto"/>
      </w:divBdr>
    </w:div>
    <w:div w:id="1955792317">
      <w:bodyDiv w:val="1"/>
      <w:marLeft w:val="0"/>
      <w:marRight w:val="0"/>
      <w:marTop w:val="0"/>
      <w:marBottom w:val="0"/>
      <w:divBdr>
        <w:top w:val="none" w:sz="0" w:space="0" w:color="auto"/>
        <w:left w:val="none" w:sz="0" w:space="0" w:color="auto"/>
        <w:bottom w:val="none" w:sz="0" w:space="0" w:color="auto"/>
        <w:right w:val="none" w:sz="0" w:space="0" w:color="auto"/>
      </w:divBdr>
    </w:div>
    <w:div w:id="1956020108">
      <w:bodyDiv w:val="1"/>
      <w:marLeft w:val="0"/>
      <w:marRight w:val="0"/>
      <w:marTop w:val="0"/>
      <w:marBottom w:val="0"/>
      <w:divBdr>
        <w:top w:val="none" w:sz="0" w:space="0" w:color="auto"/>
        <w:left w:val="none" w:sz="0" w:space="0" w:color="auto"/>
        <w:bottom w:val="none" w:sz="0" w:space="0" w:color="auto"/>
        <w:right w:val="none" w:sz="0" w:space="0" w:color="auto"/>
      </w:divBdr>
    </w:div>
    <w:div w:id="1956138071">
      <w:bodyDiv w:val="1"/>
      <w:marLeft w:val="0"/>
      <w:marRight w:val="0"/>
      <w:marTop w:val="0"/>
      <w:marBottom w:val="0"/>
      <w:divBdr>
        <w:top w:val="none" w:sz="0" w:space="0" w:color="auto"/>
        <w:left w:val="none" w:sz="0" w:space="0" w:color="auto"/>
        <w:bottom w:val="none" w:sz="0" w:space="0" w:color="auto"/>
        <w:right w:val="none" w:sz="0" w:space="0" w:color="auto"/>
      </w:divBdr>
    </w:div>
    <w:div w:id="1956255143">
      <w:bodyDiv w:val="1"/>
      <w:marLeft w:val="0"/>
      <w:marRight w:val="0"/>
      <w:marTop w:val="0"/>
      <w:marBottom w:val="0"/>
      <w:divBdr>
        <w:top w:val="none" w:sz="0" w:space="0" w:color="auto"/>
        <w:left w:val="none" w:sz="0" w:space="0" w:color="auto"/>
        <w:bottom w:val="none" w:sz="0" w:space="0" w:color="auto"/>
        <w:right w:val="none" w:sz="0" w:space="0" w:color="auto"/>
      </w:divBdr>
    </w:div>
    <w:div w:id="1956402009">
      <w:bodyDiv w:val="1"/>
      <w:marLeft w:val="0"/>
      <w:marRight w:val="0"/>
      <w:marTop w:val="0"/>
      <w:marBottom w:val="0"/>
      <w:divBdr>
        <w:top w:val="none" w:sz="0" w:space="0" w:color="auto"/>
        <w:left w:val="none" w:sz="0" w:space="0" w:color="auto"/>
        <w:bottom w:val="none" w:sz="0" w:space="0" w:color="auto"/>
        <w:right w:val="none" w:sz="0" w:space="0" w:color="auto"/>
      </w:divBdr>
    </w:div>
    <w:div w:id="1956520163">
      <w:bodyDiv w:val="1"/>
      <w:marLeft w:val="0"/>
      <w:marRight w:val="0"/>
      <w:marTop w:val="0"/>
      <w:marBottom w:val="0"/>
      <w:divBdr>
        <w:top w:val="none" w:sz="0" w:space="0" w:color="auto"/>
        <w:left w:val="none" w:sz="0" w:space="0" w:color="auto"/>
        <w:bottom w:val="none" w:sz="0" w:space="0" w:color="auto"/>
        <w:right w:val="none" w:sz="0" w:space="0" w:color="auto"/>
      </w:divBdr>
    </w:div>
    <w:div w:id="1956594706">
      <w:bodyDiv w:val="1"/>
      <w:marLeft w:val="0"/>
      <w:marRight w:val="0"/>
      <w:marTop w:val="0"/>
      <w:marBottom w:val="0"/>
      <w:divBdr>
        <w:top w:val="none" w:sz="0" w:space="0" w:color="auto"/>
        <w:left w:val="none" w:sz="0" w:space="0" w:color="auto"/>
        <w:bottom w:val="none" w:sz="0" w:space="0" w:color="auto"/>
        <w:right w:val="none" w:sz="0" w:space="0" w:color="auto"/>
      </w:divBdr>
    </w:div>
    <w:div w:id="1956790827">
      <w:bodyDiv w:val="1"/>
      <w:marLeft w:val="0"/>
      <w:marRight w:val="0"/>
      <w:marTop w:val="0"/>
      <w:marBottom w:val="0"/>
      <w:divBdr>
        <w:top w:val="none" w:sz="0" w:space="0" w:color="auto"/>
        <w:left w:val="none" w:sz="0" w:space="0" w:color="auto"/>
        <w:bottom w:val="none" w:sz="0" w:space="0" w:color="auto"/>
        <w:right w:val="none" w:sz="0" w:space="0" w:color="auto"/>
      </w:divBdr>
    </w:div>
    <w:div w:id="1956865107">
      <w:bodyDiv w:val="1"/>
      <w:marLeft w:val="0"/>
      <w:marRight w:val="0"/>
      <w:marTop w:val="0"/>
      <w:marBottom w:val="0"/>
      <w:divBdr>
        <w:top w:val="none" w:sz="0" w:space="0" w:color="auto"/>
        <w:left w:val="none" w:sz="0" w:space="0" w:color="auto"/>
        <w:bottom w:val="none" w:sz="0" w:space="0" w:color="auto"/>
        <w:right w:val="none" w:sz="0" w:space="0" w:color="auto"/>
      </w:divBdr>
    </w:div>
    <w:div w:id="1957298385">
      <w:bodyDiv w:val="1"/>
      <w:marLeft w:val="0"/>
      <w:marRight w:val="0"/>
      <w:marTop w:val="0"/>
      <w:marBottom w:val="0"/>
      <w:divBdr>
        <w:top w:val="none" w:sz="0" w:space="0" w:color="auto"/>
        <w:left w:val="none" w:sz="0" w:space="0" w:color="auto"/>
        <w:bottom w:val="none" w:sz="0" w:space="0" w:color="auto"/>
        <w:right w:val="none" w:sz="0" w:space="0" w:color="auto"/>
      </w:divBdr>
    </w:div>
    <w:div w:id="1957368408">
      <w:bodyDiv w:val="1"/>
      <w:marLeft w:val="0"/>
      <w:marRight w:val="0"/>
      <w:marTop w:val="0"/>
      <w:marBottom w:val="0"/>
      <w:divBdr>
        <w:top w:val="none" w:sz="0" w:space="0" w:color="auto"/>
        <w:left w:val="none" w:sz="0" w:space="0" w:color="auto"/>
        <w:bottom w:val="none" w:sz="0" w:space="0" w:color="auto"/>
        <w:right w:val="none" w:sz="0" w:space="0" w:color="auto"/>
      </w:divBdr>
    </w:div>
    <w:div w:id="1957445968">
      <w:bodyDiv w:val="1"/>
      <w:marLeft w:val="0"/>
      <w:marRight w:val="0"/>
      <w:marTop w:val="0"/>
      <w:marBottom w:val="0"/>
      <w:divBdr>
        <w:top w:val="none" w:sz="0" w:space="0" w:color="auto"/>
        <w:left w:val="none" w:sz="0" w:space="0" w:color="auto"/>
        <w:bottom w:val="none" w:sz="0" w:space="0" w:color="auto"/>
        <w:right w:val="none" w:sz="0" w:space="0" w:color="auto"/>
      </w:divBdr>
    </w:div>
    <w:div w:id="1957449185">
      <w:bodyDiv w:val="1"/>
      <w:marLeft w:val="0"/>
      <w:marRight w:val="0"/>
      <w:marTop w:val="0"/>
      <w:marBottom w:val="0"/>
      <w:divBdr>
        <w:top w:val="none" w:sz="0" w:space="0" w:color="auto"/>
        <w:left w:val="none" w:sz="0" w:space="0" w:color="auto"/>
        <w:bottom w:val="none" w:sz="0" w:space="0" w:color="auto"/>
        <w:right w:val="none" w:sz="0" w:space="0" w:color="auto"/>
      </w:divBdr>
    </w:div>
    <w:div w:id="1957632987">
      <w:bodyDiv w:val="1"/>
      <w:marLeft w:val="0"/>
      <w:marRight w:val="0"/>
      <w:marTop w:val="0"/>
      <w:marBottom w:val="0"/>
      <w:divBdr>
        <w:top w:val="none" w:sz="0" w:space="0" w:color="auto"/>
        <w:left w:val="none" w:sz="0" w:space="0" w:color="auto"/>
        <w:bottom w:val="none" w:sz="0" w:space="0" w:color="auto"/>
        <w:right w:val="none" w:sz="0" w:space="0" w:color="auto"/>
      </w:divBdr>
    </w:div>
    <w:div w:id="1957832940">
      <w:bodyDiv w:val="1"/>
      <w:marLeft w:val="0"/>
      <w:marRight w:val="0"/>
      <w:marTop w:val="0"/>
      <w:marBottom w:val="0"/>
      <w:divBdr>
        <w:top w:val="none" w:sz="0" w:space="0" w:color="auto"/>
        <w:left w:val="none" w:sz="0" w:space="0" w:color="auto"/>
        <w:bottom w:val="none" w:sz="0" w:space="0" w:color="auto"/>
        <w:right w:val="none" w:sz="0" w:space="0" w:color="auto"/>
      </w:divBdr>
    </w:div>
    <w:div w:id="1957905159">
      <w:bodyDiv w:val="1"/>
      <w:marLeft w:val="0"/>
      <w:marRight w:val="0"/>
      <w:marTop w:val="0"/>
      <w:marBottom w:val="0"/>
      <w:divBdr>
        <w:top w:val="none" w:sz="0" w:space="0" w:color="auto"/>
        <w:left w:val="none" w:sz="0" w:space="0" w:color="auto"/>
        <w:bottom w:val="none" w:sz="0" w:space="0" w:color="auto"/>
        <w:right w:val="none" w:sz="0" w:space="0" w:color="auto"/>
      </w:divBdr>
    </w:div>
    <w:div w:id="1957907789">
      <w:bodyDiv w:val="1"/>
      <w:marLeft w:val="0"/>
      <w:marRight w:val="0"/>
      <w:marTop w:val="0"/>
      <w:marBottom w:val="0"/>
      <w:divBdr>
        <w:top w:val="none" w:sz="0" w:space="0" w:color="auto"/>
        <w:left w:val="none" w:sz="0" w:space="0" w:color="auto"/>
        <w:bottom w:val="none" w:sz="0" w:space="0" w:color="auto"/>
        <w:right w:val="none" w:sz="0" w:space="0" w:color="auto"/>
      </w:divBdr>
    </w:div>
    <w:div w:id="1957982965">
      <w:bodyDiv w:val="1"/>
      <w:marLeft w:val="0"/>
      <w:marRight w:val="0"/>
      <w:marTop w:val="0"/>
      <w:marBottom w:val="0"/>
      <w:divBdr>
        <w:top w:val="none" w:sz="0" w:space="0" w:color="auto"/>
        <w:left w:val="none" w:sz="0" w:space="0" w:color="auto"/>
        <w:bottom w:val="none" w:sz="0" w:space="0" w:color="auto"/>
        <w:right w:val="none" w:sz="0" w:space="0" w:color="auto"/>
      </w:divBdr>
    </w:div>
    <w:div w:id="1958023289">
      <w:bodyDiv w:val="1"/>
      <w:marLeft w:val="0"/>
      <w:marRight w:val="0"/>
      <w:marTop w:val="0"/>
      <w:marBottom w:val="0"/>
      <w:divBdr>
        <w:top w:val="none" w:sz="0" w:space="0" w:color="auto"/>
        <w:left w:val="none" w:sz="0" w:space="0" w:color="auto"/>
        <w:bottom w:val="none" w:sz="0" w:space="0" w:color="auto"/>
        <w:right w:val="none" w:sz="0" w:space="0" w:color="auto"/>
      </w:divBdr>
    </w:div>
    <w:div w:id="1958172579">
      <w:bodyDiv w:val="1"/>
      <w:marLeft w:val="0"/>
      <w:marRight w:val="0"/>
      <w:marTop w:val="0"/>
      <w:marBottom w:val="0"/>
      <w:divBdr>
        <w:top w:val="none" w:sz="0" w:space="0" w:color="auto"/>
        <w:left w:val="none" w:sz="0" w:space="0" w:color="auto"/>
        <w:bottom w:val="none" w:sz="0" w:space="0" w:color="auto"/>
        <w:right w:val="none" w:sz="0" w:space="0" w:color="auto"/>
      </w:divBdr>
    </w:div>
    <w:div w:id="1958365900">
      <w:bodyDiv w:val="1"/>
      <w:marLeft w:val="0"/>
      <w:marRight w:val="0"/>
      <w:marTop w:val="0"/>
      <w:marBottom w:val="0"/>
      <w:divBdr>
        <w:top w:val="none" w:sz="0" w:space="0" w:color="auto"/>
        <w:left w:val="none" w:sz="0" w:space="0" w:color="auto"/>
        <w:bottom w:val="none" w:sz="0" w:space="0" w:color="auto"/>
        <w:right w:val="none" w:sz="0" w:space="0" w:color="auto"/>
      </w:divBdr>
    </w:div>
    <w:div w:id="1958485943">
      <w:bodyDiv w:val="1"/>
      <w:marLeft w:val="0"/>
      <w:marRight w:val="0"/>
      <w:marTop w:val="0"/>
      <w:marBottom w:val="0"/>
      <w:divBdr>
        <w:top w:val="none" w:sz="0" w:space="0" w:color="auto"/>
        <w:left w:val="none" w:sz="0" w:space="0" w:color="auto"/>
        <w:bottom w:val="none" w:sz="0" w:space="0" w:color="auto"/>
        <w:right w:val="none" w:sz="0" w:space="0" w:color="auto"/>
      </w:divBdr>
    </w:div>
    <w:div w:id="1958558481">
      <w:bodyDiv w:val="1"/>
      <w:marLeft w:val="0"/>
      <w:marRight w:val="0"/>
      <w:marTop w:val="0"/>
      <w:marBottom w:val="0"/>
      <w:divBdr>
        <w:top w:val="none" w:sz="0" w:space="0" w:color="auto"/>
        <w:left w:val="none" w:sz="0" w:space="0" w:color="auto"/>
        <w:bottom w:val="none" w:sz="0" w:space="0" w:color="auto"/>
        <w:right w:val="none" w:sz="0" w:space="0" w:color="auto"/>
      </w:divBdr>
    </w:div>
    <w:div w:id="1958683340">
      <w:bodyDiv w:val="1"/>
      <w:marLeft w:val="0"/>
      <w:marRight w:val="0"/>
      <w:marTop w:val="0"/>
      <w:marBottom w:val="0"/>
      <w:divBdr>
        <w:top w:val="none" w:sz="0" w:space="0" w:color="auto"/>
        <w:left w:val="none" w:sz="0" w:space="0" w:color="auto"/>
        <w:bottom w:val="none" w:sz="0" w:space="0" w:color="auto"/>
        <w:right w:val="none" w:sz="0" w:space="0" w:color="auto"/>
      </w:divBdr>
    </w:div>
    <w:div w:id="1958828739">
      <w:bodyDiv w:val="1"/>
      <w:marLeft w:val="0"/>
      <w:marRight w:val="0"/>
      <w:marTop w:val="0"/>
      <w:marBottom w:val="0"/>
      <w:divBdr>
        <w:top w:val="none" w:sz="0" w:space="0" w:color="auto"/>
        <w:left w:val="none" w:sz="0" w:space="0" w:color="auto"/>
        <w:bottom w:val="none" w:sz="0" w:space="0" w:color="auto"/>
        <w:right w:val="none" w:sz="0" w:space="0" w:color="auto"/>
      </w:divBdr>
    </w:div>
    <w:div w:id="1959295317">
      <w:bodyDiv w:val="1"/>
      <w:marLeft w:val="0"/>
      <w:marRight w:val="0"/>
      <w:marTop w:val="0"/>
      <w:marBottom w:val="0"/>
      <w:divBdr>
        <w:top w:val="none" w:sz="0" w:space="0" w:color="auto"/>
        <w:left w:val="none" w:sz="0" w:space="0" w:color="auto"/>
        <w:bottom w:val="none" w:sz="0" w:space="0" w:color="auto"/>
        <w:right w:val="none" w:sz="0" w:space="0" w:color="auto"/>
      </w:divBdr>
    </w:div>
    <w:div w:id="1959408623">
      <w:bodyDiv w:val="1"/>
      <w:marLeft w:val="0"/>
      <w:marRight w:val="0"/>
      <w:marTop w:val="0"/>
      <w:marBottom w:val="0"/>
      <w:divBdr>
        <w:top w:val="none" w:sz="0" w:space="0" w:color="auto"/>
        <w:left w:val="none" w:sz="0" w:space="0" w:color="auto"/>
        <w:bottom w:val="none" w:sz="0" w:space="0" w:color="auto"/>
        <w:right w:val="none" w:sz="0" w:space="0" w:color="auto"/>
      </w:divBdr>
    </w:div>
    <w:div w:id="1960213174">
      <w:bodyDiv w:val="1"/>
      <w:marLeft w:val="0"/>
      <w:marRight w:val="0"/>
      <w:marTop w:val="0"/>
      <w:marBottom w:val="0"/>
      <w:divBdr>
        <w:top w:val="none" w:sz="0" w:space="0" w:color="auto"/>
        <w:left w:val="none" w:sz="0" w:space="0" w:color="auto"/>
        <w:bottom w:val="none" w:sz="0" w:space="0" w:color="auto"/>
        <w:right w:val="none" w:sz="0" w:space="0" w:color="auto"/>
      </w:divBdr>
    </w:div>
    <w:div w:id="1960254410">
      <w:bodyDiv w:val="1"/>
      <w:marLeft w:val="0"/>
      <w:marRight w:val="0"/>
      <w:marTop w:val="0"/>
      <w:marBottom w:val="0"/>
      <w:divBdr>
        <w:top w:val="none" w:sz="0" w:space="0" w:color="auto"/>
        <w:left w:val="none" w:sz="0" w:space="0" w:color="auto"/>
        <w:bottom w:val="none" w:sz="0" w:space="0" w:color="auto"/>
        <w:right w:val="none" w:sz="0" w:space="0" w:color="auto"/>
      </w:divBdr>
    </w:div>
    <w:div w:id="1960258499">
      <w:bodyDiv w:val="1"/>
      <w:marLeft w:val="0"/>
      <w:marRight w:val="0"/>
      <w:marTop w:val="0"/>
      <w:marBottom w:val="0"/>
      <w:divBdr>
        <w:top w:val="none" w:sz="0" w:space="0" w:color="auto"/>
        <w:left w:val="none" w:sz="0" w:space="0" w:color="auto"/>
        <w:bottom w:val="none" w:sz="0" w:space="0" w:color="auto"/>
        <w:right w:val="none" w:sz="0" w:space="0" w:color="auto"/>
      </w:divBdr>
    </w:div>
    <w:div w:id="1960258666">
      <w:bodyDiv w:val="1"/>
      <w:marLeft w:val="0"/>
      <w:marRight w:val="0"/>
      <w:marTop w:val="0"/>
      <w:marBottom w:val="0"/>
      <w:divBdr>
        <w:top w:val="none" w:sz="0" w:space="0" w:color="auto"/>
        <w:left w:val="none" w:sz="0" w:space="0" w:color="auto"/>
        <w:bottom w:val="none" w:sz="0" w:space="0" w:color="auto"/>
        <w:right w:val="none" w:sz="0" w:space="0" w:color="auto"/>
      </w:divBdr>
    </w:div>
    <w:div w:id="1960336582">
      <w:bodyDiv w:val="1"/>
      <w:marLeft w:val="0"/>
      <w:marRight w:val="0"/>
      <w:marTop w:val="0"/>
      <w:marBottom w:val="0"/>
      <w:divBdr>
        <w:top w:val="none" w:sz="0" w:space="0" w:color="auto"/>
        <w:left w:val="none" w:sz="0" w:space="0" w:color="auto"/>
        <w:bottom w:val="none" w:sz="0" w:space="0" w:color="auto"/>
        <w:right w:val="none" w:sz="0" w:space="0" w:color="auto"/>
      </w:divBdr>
    </w:div>
    <w:div w:id="1960449251">
      <w:bodyDiv w:val="1"/>
      <w:marLeft w:val="0"/>
      <w:marRight w:val="0"/>
      <w:marTop w:val="0"/>
      <w:marBottom w:val="0"/>
      <w:divBdr>
        <w:top w:val="none" w:sz="0" w:space="0" w:color="auto"/>
        <w:left w:val="none" w:sz="0" w:space="0" w:color="auto"/>
        <w:bottom w:val="none" w:sz="0" w:space="0" w:color="auto"/>
        <w:right w:val="none" w:sz="0" w:space="0" w:color="auto"/>
      </w:divBdr>
    </w:div>
    <w:div w:id="1960529233">
      <w:bodyDiv w:val="1"/>
      <w:marLeft w:val="0"/>
      <w:marRight w:val="0"/>
      <w:marTop w:val="0"/>
      <w:marBottom w:val="0"/>
      <w:divBdr>
        <w:top w:val="none" w:sz="0" w:space="0" w:color="auto"/>
        <w:left w:val="none" w:sz="0" w:space="0" w:color="auto"/>
        <w:bottom w:val="none" w:sz="0" w:space="0" w:color="auto"/>
        <w:right w:val="none" w:sz="0" w:space="0" w:color="auto"/>
      </w:divBdr>
    </w:div>
    <w:div w:id="1960601674">
      <w:bodyDiv w:val="1"/>
      <w:marLeft w:val="0"/>
      <w:marRight w:val="0"/>
      <w:marTop w:val="0"/>
      <w:marBottom w:val="0"/>
      <w:divBdr>
        <w:top w:val="none" w:sz="0" w:space="0" w:color="auto"/>
        <w:left w:val="none" w:sz="0" w:space="0" w:color="auto"/>
        <w:bottom w:val="none" w:sz="0" w:space="0" w:color="auto"/>
        <w:right w:val="none" w:sz="0" w:space="0" w:color="auto"/>
      </w:divBdr>
    </w:div>
    <w:div w:id="1960992505">
      <w:bodyDiv w:val="1"/>
      <w:marLeft w:val="0"/>
      <w:marRight w:val="0"/>
      <w:marTop w:val="0"/>
      <w:marBottom w:val="0"/>
      <w:divBdr>
        <w:top w:val="none" w:sz="0" w:space="0" w:color="auto"/>
        <w:left w:val="none" w:sz="0" w:space="0" w:color="auto"/>
        <w:bottom w:val="none" w:sz="0" w:space="0" w:color="auto"/>
        <w:right w:val="none" w:sz="0" w:space="0" w:color="auto"/>
      </w:divBdr>
    </w:div>
    <w:div w:id="1961108156">
      <w:bodyDiv w:val="1"/>
      <w:marLeft w:val="0"/>
      <w:marRight w:val="0"/>
      <w:marTop w:val="0"/>
      <w:marBottom w:val="0"/>
      <w:divBdr>
        <w:top w:val="none" w:sz="0" w:space="0" w:color="auto"/>
        <w:left w:val="none" w:sz="0" w:space="0" w:color="auto"/>
        <w:bottom w:val="none" w:sz="0" w:space="0" w:color="auto"/>
        <w:right w:val="none" w:sz="0" w:space="0" w:color="auto"/>
      </w:divBdr>
    </w:div>
    <w:div w:id="1961184545">
      <w:bodyDiv w:val="1"/>
      <w:marLeft w:val="0"/>
      <w:marRight w:val="0"/>
      <w:marTop w:val="0"/>
      <w:marBottom w:val="0"/>
      <w:divBdr>
        <w:top w:val="none" w:sz="0" w:space="0" w:color="auto"/>
        <w:left w:val="none" w:sz="0" w:space="0" w:color="auto"/>
        <w:bottom w:val="none" w:sz="0" w:space="0" w:color="auto"/>
        <w:right w:val="none" w:sz="0" w:space="0" w:color="auto"/>
      </w:divBdr>
    </w:div>
    <w:div w:id="1961719098">
      <w:bodyDiv w:val="1"/>
      <w:marLeft w:val="0"/>
      <w:marRight w:val="0"/>
      <w:marTop w:val="0"/>
      <w:marBottom w:val="0"/>
      <w:divBdr>
        <w:top w:val="none" w:sz="0" w:space="0" w:color="auto"/>
        <w:left w:val="none" w:sz="0" w:space="0" w:color="auto"/>
        <w:bottom w:val="none" w:sz="0" w:space="0" w:color="auto"/>
        <w:right w:val="none" w:sz="0" w:space="0" w:color="auto"/>
      </w:divBdr>
    </w:div>
    <w:div w:id="1961954060">
      <w:bodyDiv w:val="1"/>
      <w:marLeft w:val="0"/>
      <w:marRight w:val="0"/>
      <w:marTop w:val="0"/>
      <w:marBottom w:val="0"/>
      <w:divBdr>
        <w:top w:val="none" w:sz="0" w:space="0" w:color="auto"/>
        <w:left w:val="none" w:sz="0" w:space="0" w:color="auto"/>
        <w:bottom w:val="none" w:sz="0" w:space="0" w:color="auto"/>
        <w:right w:val="none" w:sz="0" w:space="0" w:color="auto"/>
      </w:divBdr>
    </w:div>
    <w:div w:id="1962296607">
      <w:bodyDiv w:val="1"/>
      <w:marLeft w:val="0"/>
      <w:marRight w:val="0"/>
      <w:marTop w:val="0"/>
      <w:marBottom w:val="0"/>
      <w:divBdr>
        <w:top w:val="none" w:sz="0" w:space="0" w:color="auto"/>
        <w:left w:val="none" w:sz="0" w:space="0" w:color="auto"/>
        <w:bottom w:val="none" w:sz="0" w:space="0" w:color="auto"/>
        <w:right w:val="none" w:sz="0" w:space="0" w:color="auto"/>
      </w:divBdr>
    </w:div>
    <w:div w:id="1962416034">
      <w:bodyDiv w:val="1"/>
      <w:marLeft w:val="0"/>
      <w:marRight w:val="0"/>
      <w:marTop w:val="0"/>
      <w:marBottom w:val="0"/>
      <w:divBdr>
        <w:top w:val="none" w:sz="0" w:space="0" w:color="auto"/>
        <w:left w:val="none" w:sz="0" w:space="0" w:color="auto"/>
        <w:bottom w:val="none" w:sz="0" w:space="0" w:color="auto"/>
        <w:right w:val="none" w:sz="0" w:space="0" w:color="auto"/>
      </w:divBdr>
    </w:div>
    <w:div w:id="1962491298">
      <w:bodyDiv w:val="1"/>
      <w:marLeft w:val="0"/>
      <w:marRight w:val="0"/>
      <w:marTop w:val="0"/>
      <w:marBottom w:val="0"/>
      <w:divBdr>
        <w:top w:val="none" w:sz="0" w:space="0" w:color="auto"/>
        <w:left w:val="none" w:sz="0" w:space="0" w:color="auto"/>
        <w:bottom w:val="none" w:sz="0" w:space="0" w:color="auto"/>
        <w:right w:val="none" w:sz="0" w:space="0" w:color="auto"/>
      </w:divBdr>
    </w:div>
    <w:div w:id="1962569769">
      <w:bodyDiv w:val="1"/>
      <w:marLeft w:val="0"/>
      <w:marRight w:val="0"/>
      <w:marTop w:val="0"/>
      <w:marBottom w:val="0"/>
      <w:divBdr>
        <w:top w:val="none" w:sz="0" w:space="0" w:color="auto"/>
        <w:left w:val="none" w:sz="0" w:space="0" w:color="auto"/>
        <w:bottom w:val="none" w:sz="0" w:space="0" w:color="auto"/>
        <w:right w:val="none" w:sz="0" w:space="0" w:color="auto"/>
      </w:divBdr>
    </w:div>
    <w:div w:id="1962608010">
      <w:bodyDiv w:val="1"/>
      <w:marLeft w:val="0"/>
      <w:marRight w:val="0"/>
      <w:marTop w:val="0"/>
      <w:marBottom w:val="0"/>
      <w:divBdr>
        <w:top w:val="none" w:sz="0" w:space="0" w:color="auto"/>
        <w:left w:val="none" w:sz="0" w:space="0" w:color="auto"/>
        <w:bottom w:val="none" w:sz="0" w:space="0" w:color="auto"/>
        <w:right w:val="none" w:sz="0" w:space="0" w:color="auto"/>
      </w:divBdr>
    </w:div>
    <w:div w:id="1962615015">
      <w:bodyDiv w:val="1"/>
      <w:marLeft w:val="0"/>
      <w:marRight w:val="0"/>
      <w:marTop w:val="0"/>
      <w:marBottom w:val="0"/>
      <w:divBdr>
        <w:top w:val="none" w:sz="0" w:space="0" w:color="auto"/>
        <w:left w:val="none" w:sz="0" w:space="0" w:color="auto"/>
        <w:bottom w:val="none" w:sz="0" w:space="0" w:color="auto"/>
        <w:right w:val="none" w:sz="0" w:space="0" w:color="auto"/>
      </w:divBdr>
    </w:div>
    <w:div w:id="1962884303">
      <w:bodyDiv w:val="1"/>
      <w:marLeft w:val="0"/>
      <w:marRight w:val="0"/>
      <w:marTop w:val="0"/>
      <w:marBottom w:val="0"/>
      <w:divBdr>
        <w:top w:val="none" w:sz="0" w:space="0" w:color="auto"/>
        <w:left w:val="none" w:sz="0" w:space="0" w:color="auto"/>
        <w:bottom w:val="none" w:sz="0" w:space="0" w:color="auto"/>
        <w:right w:val="none" w:sz="0" w:space="0" w:color="auto"/>
      </w:divBdr>
    </w:div>
    <w:div w:id="1963338792">
      <w:bodyDiv w:val="1"/>
      <w:marLeft w:val="0"/>
      <w:marRight w:val="0"/>
      <w:marTop w:val="0"/>
      <w:marBottom w:val="0"/>
      <w:divBdr>
        <w:top w:val="none" w:sz="0" w:space="0" w:color="auto"/>
        <w:left w:val="none" w:sz="0" w:space="0" w:color="auto"/>
        <w:bottom w:val="none" w:sz="0" w:space="0" w:color="auto"/>
        <w:right w:val="none" w:sz="0" w:space="0" w:color="auto"/>
      </w:divBdr>
    </w:div>
    <w:div w:id="1963733162">
      <w:bodyDiv w:val="1"/>
      <w:marLeft w:val="0"/>
      <w:marRight w:val="0"/>
      <w:marTop w:val="0"/>
      <w:marBottom w:val="0"/>
      <w:divBdr>
        <w:top w:val="none" w:sz="0" w:space="0" w:color="auto"/>
        <w:left w:val="none" w:sz="0" w:space="0" w:color="auto"/>
        <w:bottom w:val="none" w:sz="0" w:space="0" w:color="auto"/>
        <w:right w:val="none" w:sz="0" w:space="0" w:color="auto"/>
      </w:divBdr>
    </w:div>
    <w:div w:id="1963799715">
      <w:bodyDiv w:val="1"/>
      <w:marLeft w:val="0"/>
      <w:marRight w:val="0"/>
      <w:marTop w:val="0"/>
      <w:marBottom w:val="0"/>
      <w:divBdr>
        <w:top w:val="none" w:sz="0" w:space="0" w:color="auto"/>
        <w:left w:val="none" w:sz="0" w:space="0" w:color="auto"/>
        <w:bottom w:val="none" w:sz="0" w:space="0" w:color="auto"/>
        <w:right w:val="none" w:sz="0" w:space="0" w:color="auto"/>
      </w:divBdr>
    </w:div>
    <w:div w:id="1963880604">
      <w:bodyDiv w:val="1"/>
      <w:marLeft w:val="0"/>
      <w:marRight w:val="0"/>
      <w:marTop w:val="0"/>
      <w:marBottom w:val="0"/>
      <w:divBdr>
        <w:top w:val="none" w:sz="0" w:space="0" w:color="auto"/>
        <w:left w:val="none" w:sz="0" w:space="0" w:color="auto"/>
        <w:bottom w:val="none" w:sz="0" w:space="0" w:color="auto"/>
        <w:right w:val="none" w:sz="0" w:space="0" w:color="auto"/>
      </w:divBdr>
    </w:div>
    <w:div w:id="1963884078">
      <w:bodyDiv w:val="1"/>
      <w:marLeft w:val="0"/>
      <w:marRight w:val="0"/>
      <w:marTop w:val="0"/>
      <w:marBottom w:val="0"/>
      <w:divBdr>
        <w:top w:val="none" w:sz="0" w:space="0" w:color="auto"/>
        <w:left w:val="none" w:sz="0" w:space="0" w:color="auto"/>
        <w:bottom w:val="none" w:sz="0" w:space="0" w:color="auto"/>
        <w:right w:val="none" w:sz="0" w:space="0" w:color="auto"/>
      </w:divBdr>
    </w:div>
    <w:div w:id="1963997477">
      <w:bodyDiv w:val="1"/>
      <w:marLeft w:val="0"/>
      <w:marRight w:val="0"/>
      <w:marTop w:val="0"/>
      <w:marBottom w:val="0"/>
      <w:divBdr>
        <w:top w:val="none" w:sz="0" w:space="0" w:color="auto"/>
        <w:left w:val="none" w:sz="0" w:space="0" w:color="auto"/>
        <w:bottom w:val="none" w:sz="0" w:space="0" w:color="auto"/>
        <w:right w:val="none" w:sz="0" w:space="0" w:color="auto"/>
      </w:divBdr>
    </w:div>
    <w:div w:id="1963998424">
      <w:bodyDiv w:val="1"/>
      <w:marLeft w:val="0"/>
      <w:marRight w:val="0"/>
      <w:marTop w:val="0"/>
      <w:marBottom w:val="0"/>
      <w:divBdr>
        <w:top w:val="none" w:sz="0" w:space="0" w:color="auto"/>
        <w:left w:val="none" w:sz="0" w:space="0" w:color="auto"/>
        <w:bottom w:val="none" w:sz="0" w:space="0" w:color="auto"/>
        <w:right w:val="none" w:sz="0" w:space="0" w:color="auto"/>
      </w:divBdr>
    </w:div>
    <w:div w:id="1964069678">
      <w:bodyDiv w:val="1"/>
      <w:marLeft w:val="0"/>
      <w:marRight w:val="0"/>
      <w:marTop w:val="0"/>
      <w:marBottom w:val="0"/>
      <w:divBdr>
        <w:top w:val="none" w:sz="0" w:space="0" w:color="auto"/>
        <w:left w:val="none" w:sz="0" w:space="0" w:color="auto"/>
        <w:bottom w:val="none" w:sz="0" w:space="0" w:color="auto"/>
        <w:right w:val="none" w:sz="0" w:space="0" w:color="auto"/>
      </w:divBdr>
    </w:div>
    <w:div w:id="1964114751">
      <w:bodyDiv w:val="1"/>
      <w:marLeft w:val="0"/>
      <w:marRight w:val="0"/>
      <w:marTop w:val="0"/>
      <w:marBottom w:val="0"/>
      <w:divBdr>
        <w:top w:val="none" w:sz="0" w:space="0" w:color="auto"/>
        <w:left w:val="none" w:sz="0" w:space="0" w:color="auto"/>
        <w:bottom w:val="none" w:sz="0" w:space="0" w:color="auto"/>
        <w:right w:val="none" w:sz="0" w:space="0" w:color="auto"/>
      </w:divBdr>
    </w:div>
    <w:div w:id="1964115856">
      <w:bodyDiv w:val="1"/>
      <w:marLeft w:val="0"/>
      <w:marRight w:val="0"/>
      <w:marTop w:val="0"/>
      <w:marBottom w:val="0"/>
      <w:divBdr>
        <w:top w:val="none" w:sz="0" w:space="0" w:color="auto"/>
        <w:left w:val="none" w:sz="0" w:space="0" w:color="auto"/>
        <w:bottom w:val="none" w:sz="0" w:space="0" w:color="auto"/>
        <w:right w:val="none" w:sz="0" w:space="0" w:color="auto"/>
      </w:divBdr>
    </w:div>
    <w:div w:id="1964385850">
      <w:bodyDiv w:val="1"/>
      <w:marLeft w:val="0"/>
      <w:marRight w:val="0"/>
      <w:marTop w:val="0"/>
      <w:marBottom w:val="0"/>
      <w:divBdr>
        <w:top w:val="none" w:sz="0" w:space="0" w:color="auto"/>
        <w:left w:val="none" w:sz="0" w:space="0" w:color="auto"/>
        <w:bottom w:val="none" w:sz="0" w:space="0" w:color="auto"/>
        <w:right w:val="none" w:sz="0" w:space="0" w:color="auto"/>
      </w:divBdr>
    </w:div>
    <w:div w:id="1964533481">
      <w:bodyDiv w:val="1"/>
      <w:marLeft w:val="0"/>
      <w:marRight w:val="0"/>
      <w:marTop w:val="0"/>
      <w:marBottom w:val="0"/>
      <w:divBdr>
        <w:top w:val="none" w:sz="0" w:space="0" w:color="auto"/>
        <w:left w:val="none" w:sz="0" w:space="0" w:color="auto"/>
        <w:bottom w:val="none" w:sz="0" w:space="0" w:color="auto"/>
        <w:right w:val="none" w:sz="0" w:space="0" w:color="auto"/>
      </w:divBdr>
    </w:div>
    <w:div w:id="1964534523">
      <w:bodyDiv w:val="1"/>
      <w:marLeft w:val="0"/>
      <w:marRight w:val="0"/>
      <w:marTop w:val="0"/>
      <w:marBottom w:val="0"/>
      <w:divBdr>
        <w:top w:val="none" w:sz="0" w:space="0" w:color="auto"/>
        <w:left w:val="none" w:sz="0" w:space="0" w:color="auto"/>
        <w:bottom w:val="none" w:sz="0" w:space="0" w:color="auto"/>
        <w:right w:val="none" w:sz="0" w:space="0" w:color="auto"/>
      </w:divBdr>
    </w:div>
    <w:div w:id="1964581323">
      <w:bodyDiv w:val="1"/>
      <w:marLeft w:val="0"/>
      <w:marRight w:val="0"/>
      <w:marTop w:val="0"/>
      <w:marBottom w:val="0"/>
      <w:divBdr>
        <w:top w:val="none" w:sz="0" w:space="0" w:color="auto"/>
        <w:left w:val="none" w:sz="0" w:space="0" w:color="auto"/>
        <w:bottom w:val="none" w:sz="0" w:space="0" w:color="auto"/>
        <w:right w:val="none" w:sz="0" w:space="0" w:color="auto"/>
      </w:divBdr>
    </w:div>
    <w:div w:id="1964650261">
      <w:bodyDiv w:val="1"/>
      <w:marLeft w:val="0"/>
      <w:marRight w:val="0"/>
      <w:marTop w:val="0"/>
      <w:marBottom w:val="0"/>
      <w:divBdr>
        <w:top w:val="none" w:sz="0" w:space="0" w:color="auto"/>
        <w:left w:val="none" w:sz="0" w:space="0" w:color="auto"/>
        <w:bottom w:val="none" w:sz="0" w:space="0" w:color="auto"/>
        <w:right w:val="none" w:sz="0" w:space="0" w:color="auto"/>
      </w:divBdr>
    </w:div>
    <w:div w:id="1965035393">
      <w:bodyDiv w:val="1"/>
      <w:marLeft w:val="0"/>
      <w:marRight w:val="0"/>
      <w:marTop w:val="0"/>
      <w:marBottom w:val="0"/>
      <w:divBdr>
        <w:top w:val="none" w:sz="0" w:space="0" w:color="auto"/>
        <w:left w:val="none" w:sz="0" w:space="0" w:color="auto"/>
        <w:bottom w:val="none" w:sz="0" w:space="0" w:color="auto"/>
        <w:right w:val="none" w:sz="0" w:space="0" w:color="auto"/>
      </w:divBdr>
    </w:div>
    <w:div w:id="1965185174">
      <w:bodyDiv w:val="1"/>
      <w:marLeft w:val="0"/>
      <w:marRight w:val="0"/>
      <w:marTop w:val="0"/>
      <w:marBottom w:val="0"/>
      <w:divBdr>
        <w:top w:val="none" w:sz="0" w:space="0" w:color="auto"/>
        <w:left w:val="none" w:sz="0" w:space="0" w:color="auto"/>
        <w:bottom w:val="none" w:sz="0" w:space="0" w:color="auto"/>
        <w:right w:val="none" w:sz="0" w:space="0" w:color="auto"/>
      </w:divBdr>
    </w:div>
    <w:div w:id="1965231292">
      <w:bodyDiv w:val="1"/>
      <w:marLeft w:val="0"/>
      <w:marRight w:val="0"/>
      <w:marTop w:val="0"/>
      <w:marBottom w:val="0"/>
      <w:divBdr>
        <w:top w:val="none" w:sz="0" w:space="0" w:color="auto"/>
        <w:left w:val="none" w:sz="0" w:space="0" w:color="auto"/>
        <w:bottom w:val="none" w:sz="0" w:space="0" w:color="auto"/>
        <w:right w:val="none" w:sz="0" w:space="0" w:color="auto"/>
      </w:divBdr>
    </w:div>
    <w:div w:id="1965689701">
      <w:bodyDiv w:val="1"/>
      <w:marLeft w:val="0"/>
      <w:marRight w:val="0"/>
      <w:marTop w:val="0"/>
      <w:marBottom w:val="0"/>
      <w:divBdr>
        <w:top w:val="none" w:sz="0" w:space="0" w:color="auto"/>
        <w:left w:val="none" w:sz="0" w:space="0" w:color="auto"/>
        <w:bottom w:val="none" w:sz="0" w:space="0" w:color="auto"/>
        <w:right w:val="none" w:sz="0" w:space="0" w:color="auto"/>
      </w:divBdr>
    </w:div>
    <w:div w:id="1965768045">
      <w:bodyDiv w:val="1"/>
      <w:marLeft w:val="0"/>
      <w:marRight w:val="0"/>
      <w:marTop w:val="0"/>
      <w:marBottom w:val="0"/>
      <w:divBdr>
        <w:top w:val="none" w:sz="0" w:space="0" w:color="auto"/>
        <w:left w:val="none" w:sz="0" w:space="0" w:color="auto"/>
        <w:bottom w:val="none" w:sz="0" w:space="0" w:color="auto"/>
        <w:right w:val="none" w:sz="0" w:space="0" w:color="auto"/>
      </w:divBdr>
    </w:div>
    <w:div w:id="1965771743">
      <w:bodyDiv w:val="1"/>
      <w:marLeft w:val="0"/>
      <w:marRight w:val="0"/>
      <w:marTop w:val="0"/>
      <w:marBottom w:val="0"/>
      <w:divBdr>
        <w:top w:val="none" w:sz="0" w:space="0" w:color="auto"/>
        <w:left w:val="none" w:sz="0" w:space="0" w:color="auto"/>
        <w:bottom w:val="none" w:sz="0" w:space="0" w:color="auto"/>
        <w:right w:val="none" w:sz="0" w:space="0" w:color="auto"/>
      </w:divBdr>
    </w:div>
    <w:div w:id="1966041020">
      <w:bodyDiv w:val="1"/>
      <w:marLeft w:val="0"/>
      <w:marRight w:val="0"/>
      <w:marTop w:val="0"/>
      <w:marBottom w:val="0"/>
      <w:divBdr>
        <w:top w:val="none" w:sz="0" w:space="0" w:color="auto"/>
        <w:left w:val="none" w:sz="0" w:space="0" w:color="auto"/>
        <w:bottom w:val="none" w:sz="0" w:space="0" w:color="auto"/>
        <w:right w:val="none" w:sz="0" w:space="0" w:color="auto"/>
      </w:divBdr>
    </w:div>
    <w:div w:id="1966235699">
      <w:bodyDiv w:val="1"/>
      <w:marLeft w:val="0"/>
      <w:marRight w:val="0"/>
      <w:marTop w:val="0"/>
      <w:marBottom w:val="0"/>
      <w:divBdr>
        <w:top w:val="none" w:sz="0" w:space="0" w:color="auto"/>
        <w:left w:val="none" w:sz="0" w:space="0" w:color="auto"/>
        <w:bottom w:val="none" w:sz="0" w:space="0" w:color="auto"/>
        <w:right w:val="none" w:sz="0" w:space="0" w:color="auto"/>
      </w:divBdr>
    </w:div>
    <w:div w:id="1966429666">
      <w:bodyDiv w:val="1"/>
      <w:marLeft w:val="0"/>
      <w:marRight w:val="0"/>
      <w:marTop w:val="0"/>
      <w:marBottom w:val="0"/>
      <w:divBdr>
        <w:top w:val="none" w:sz="0" w:space="0" w:color="auto"/>
        <w:left w:val="none" w:sz="0" w:space="0" w:color="auto"/>
        <w:bottom w:val="none" w:sz="0" w:space="0" w:color="auto"/>
        <w:right w:val="none" w:sz="0" w:space="0" w:color="auto"/>
      </w:divBdr>
    </w:div>
    <w:div w:id="1966498116">
      <w:bodyDiv w:val="1"/>
      <w:marLeft w:val="0"/>
      <w:marRight w:val="0"/>
      <w:marTop w:val="0"/>
      <w:marBottom w:val="0"/>
      <w:divBdr>
        <w:top w:val="none" w:sz="0" w:space="0" w:color="auto"/>
        <w:left w:val="none" w:sz="0" w:space="0" w:color="auto"/>
        <w:bottom w:val="none" w:sz="0" w:space="0" w:color="auto"/>
        <w:right w:val="none" w:sz="0" w:space="0" w:color="auto"/>
      </w:divBdr>
    </w:div>
    <w:div w:id="1966542833">
      <w:bodyDiv w:val="1"/>
      <w:marLeft w:val="0"/>
      <w:marRight w:val="0"/>
      <w:marTop w:val="0"/>
      <w:marBottom w:val="0"/>
      <w:divBdr>
        <w:top w:val="none" w:sz="0" w:space="0" w:color="auto"/>
        <w:left w:val="none" w:sz="0" w:space="0" w:color="auto"/>
        <w:bottom w:val="none" w:sz="0" w:space="0" w:color="auto"/>
        <w:right w:val="none" w:sz="0" w:space="0" w:color="auto"/>
      </w:divBdr>
    </w:div>
    <w:div w:id="1966814430">
      <w:bodyDiv w:val="1"/>
      <w:marLeft w:val="0"/>
      <w:marRight w:val="0"/>
      <w:marTop w:val="0"/>
      <w:marBottom w:val="0"/>
      <w:divBdr>
        <w:top w:val="none" w:sz="0" w:space="0" w:color="auto"/>
        <w:left w:val="none" w:sz="0" w:space="0" w:color="auto"/>
        <w:bottom w:val="none" w:sz="0" w:space="0" w:color="auto"/>
        <w:right w:val="none" w:sz="0" w:space="0" w:color="auto"/>
      </w:divBdr>
    </w:div>
    <w:div w:id="1966883138">
      <w:bodyDiv w:val="1"/>
      <w:marLeft w:val="0"/>
      <w:marRight w:val="0"/>
      <w:marTop w:val="0"/>
      <w:marBottom w:val="0"/>
      <w:divBdr>
        <w:top w:val="none" w:sz="0" w:space="0" w:color="auto"/>
        <w:left w:val="none" w:sz="0" w:space="0" w:color="auto"/>
        <w:bottom w:val="none" w:sz="0" w:space="0" w:color="auto"/>
        <w:right w:val="none" w:sz="0" w:space="0" w:color="auto"/>
      </w:divBdr>
    </w:div>
    <w:div w:id="1967273804">
      <w:bodyDiv w:val="1"/>
      <w:marLeft w:val="0"/>
      <w:marRight w:val="0"/>
      <w:marTop w:val="0"/>
      <w:marBottom w:val="0"/>
      <w:divBdr>
        <w:top w:val="none" w:sz="0" w:space="0" w:color="auto"/>
        <w:left w:val="none" w:sz="0" w:space="0" w:color="auto"/>
        <w:bottom w:val="none" w:sz="0" w:space="0" w:color="auto"/>
        <w:right w:val="none" w:sz="0" w:space="0" w:color="auto"/>
      </w:divBdr>
    </w:div>
    <w:div w:id="1967587753">
      <w:bodyDiv w:val="1"/>
      <w:marLeft w:val="0"/>
      <w:marRight w:val="0"/>
      <w:marTop w:val="0"/>
      <w:marBottom w:val="0"/>
      <w:divBdr>
        <w:top w:val="none" w:sz="0" w:space="0" w:color="auto"/>
        <w:left w:val="none" w:sz="0" w:space="0" w:color="auto"/>
        <w:bottom w:val="none" w:sz="0" w:space="0" w:color="auto"/>
        <w:right w:val="none" w:sz="0" w:space="0" w:color="auto"/>
      </w:divBdr>
    </w:div>
    <w:div w:id="1967613338">
      <w:bodyDiv w:val="1"/>
      <w:marLeft w:val="0"/>
      <w:marRight w:val="0"/>
      <w:marTop w:val="0"/>
      <w:marBottom w:val="0"/>
      <w:divBdr>
        <w:top w:val="none" w:sz="0" w:space="0" w:color="auto"/>
        <w:left w:val="none" w:sz="0" w:space="0" w:color="auto"/>
        <w:bottom w:val="none" w:sz="0" w:space="0" w:color="auto"/>
        <w:right w:val="none" w:sz="0" w:space="0" w:color="auto"/>
      </w:divBdr>
    </w:div>
    <w:div w:id="1967619864">
      <w:bodyDiv w:val="1"/>
      <w:marLeft w:val="0"/>
      <w:marRight w:val="0"/>
      <w:marTop w:val="0"/>
      <w:marBottom w:val="0"/>
      <w:divBdr>
        <w:top w:val="none" w:sz="0" w:space="0" w:color="auto"/>
        <w:left w:val="none" w:sz="0" w:space="0" w:color="auto"/>
        <w:bottom w:val="none" w:sz="0" w:space="0" w:color="auto"/>
        <w:right w:val="none" w:sz="0" w:space="0" w:color="auto"/>
      </w:divBdr>
    </w:div>
    <w:div w:id="1967661562">
      <w:bodyDiv w:val="1"/>
      <w:marLeft w:val="0"/>
      <w:marRight w:val="0"/>
      <w:marTop w:val="0"/>
      <w:marBottom w:val="0"/>
      <w:divBdr>
        <w:top w:val="none" w:sz="0" w:space="0" w:color="auto"/>
        <w:left w:val="none" w:sz="0" w:space="0" w:color="auto"/>
        <w:bottom w:val="none" w:sz="0" w:space="0" w:color="auto"/>
        <w:right w:val="none" w:sz="0" w:space="0" w:color="auto"/>
      </w:divBdr>
    </w:div>
    <w:div w:id="1968117730">
      <w:bodyDiv w:val="1"/>
      <w:marLeft w:val="0"/>
      <w:marRight w:val="0"/>
      <w:marTop w:val="0"/>
      <w:marBottom w:val="0"/>
      <w:divBdr>
        <w:top w:val="none" w:sz="0" w:space="0" w:color="auto"/>
        <w:left w:val="none" w:sz="0" w:space="0" w:color="auto"/>
        <w:bottom w:val="none" w:sz="0" w:space="0" w:color="auto"/>
        <w:right w:val="none" w:sz="0" w:space="0" w:color="auto"/>
      </w:divBdr>
    </w:div>
    <w:div w:id="1968271163">
      <w:bodyDiv w:val="1"/>
      <w:marLeft w:val="0"/>
      <w:marRight w:val="0"/>
      <w:marTop w:val="0"/>
      <w:marBottom w:val="0"/>
      <w:divBdr>
        <w:top w:val="none" w:sz="0" w:space="0" w:color="auto"/>
        <w:left w:val="none" w:sz="0" w:space="0" w:color="auto"/>
        <w:bottom w:val="none" w:sz="0" w:space="0" w:color="auto"/>
        <w:right w:val="none" w:sz="0" w:space="0" w:color="auto"/>
      </w:divBdr>
    </w:div>
    <w:div w:id="1968314991">
      <w:bodyDiv w:val="1"/>
      <w:marLeft w:val="0"/>
      <w:marRight w:val="0"/>
      <w:marTop w:val="0"/>
      <w:marBottom w:val="0"/>
      <w:divBdr>
        <w:top w:val="none" w:sz="0" w:space="0" w:color="auto"/>
        <w:left w:val="none" w:sz="0" w:space="0" w:color="auto"/>
        <w:bottom w:val="none" w:sz="0" w:space="0" w:color="auto"/>
        <w:right w:val="none" w:sz="0" w:space="0" w:color="auto"/>
      </w:divBdr>
    </w:div>
    <w:div w:id="1968586872">
      <w:bodyDiv w:val="1"/>
      <w:marLeft w:val="0"/>
      <w:marRight w:val="0"/>
      <w:marTop w:val="0"/>
      <w:marBottom w:val="0"/>
      <w:divBdr>
        <w:top w:val="none" w:sz="0" w:space="0" w:color="auto"/>
        <w:left w:val="none" w:sz="0" w:space="0" w:color="auto"/>
        <w:bottom w:val="none" w:sz="0" w:space="0" w:color="auto"/>
        <w:right w:val="none" w:sz="0" w:space="0" w:color="auto"/>
      </w:divBdr>
    </w:div>
    <w:div w:id="1968731470">
      <w:bodyDiv w:val="1"/>
      <w:marLeft w:val="0"/>
      <w:marRight w:val="0"/>
      <w:marTop w:val="0"/>
      <w:marBottom w:val="0"/>
      <w:divBdr>
        <w:top w:val="none" w:sz="0" w:space="0" w:color="auto"/>
        <w:left w:val="none" w:sz="0" w:space="0" w:color="auto"/>
        <w:bottom w:val="none" w:sz="0" w:space="0" w:color="auto"/>
        <w:right w:val="none" w:sz="0" w:space="0" w:color="auto"/>
      </w:divBdr>
    </w:div>
    <w:div w:id="1968851054">
      <w:bodyDiv w:val="1"/>
      <w:marLeft w:val="0"/>
      <w:marRight w:val="0"/>
      <w:marTop w:val="0"/>
      <w:marBottom w:val="0"/>
      <w:divBdr>
        <w:top w:val="none" w:sz="0" w:space="0" w:color="auto"/>
        <w:left w:val="none" w:sz="0" w:space="0" w:color="auto"/>
        <w:bottom w:val="none" w:sz="0" w:space="0" w:color="auto"/>
        <w:right w:val="none" w:sz="0" w:space="0" w:color="auto"/>
      </w:divBdr>
    </w:div>
    <w:div w:id="1969118677">
      <w:bodyDiv w:val="1"/>
      <w:marLeft w:val="0"/>
      <w:marRight w:val="0"/>
      <w:marTop w:val="0"/>
      <w:marBottom w:val="0"/>
      <w:divBdr>
        <w:top w:val="none" w:sz="0" w:space="0" w:color="auto"/>
        <w:left w:val="none" w:sz="0" w:space="0" w:color="auto"/>
        <w:bottom w:val="none" w:sz="0" w:space="0" w:color="auto"/>
        <w:right w:val="none" w:sz="0" w:space="0" w:color="auto"/>
      </w:divBdr>
    </w:div>
    <w:div w:id="1969124498">
      <w:bodyDiv w:val="1"/>
      <w:marLeft w:val="0"/>
      <w:marRight w:val="0"/>
      <w:marTop w:val="0"/>
      <w:marBottom w:val="0"/>
      <w:divBdr>
        <w:top w:val="none" w:sz="0" w:space="0" w:color="auto"/>
        <w:left w:val="none" w:sz="0" w:space="0" w:color="auto"/>
        <w:bottom w:val="none" w:sz="0" w:space="0" w:color="auto"/>
        <w:right w:val="none" w:sz="0" w:space="0" w:color="auto"/>
      </w:divBdr>
    </w:div>
    <w:div w:id="1969124958">
      <w:bodyDiv w:val="1"/>
      <w:marLeft w:val="0"/>
      <w:marRight w:val="0"/>
      <w:marTop w:val="0"/>
      <w:marBottom w:val="0"/>
      <w:divBdr>
        <w:top w:val="none" w:sz="0" w:space="0" w:color="auto"/>
        <w:left w:val="none" w:sz="0" w:space="0" w:color="auto"/>
        <w:bottom w:val="none" w:sz="0" w:space="0" w:color="auto"/>
        <w:right w:val="none" w:sz="0" w:space="0" w:color="auto"/>
      </w:divBdr>
    </w:div>
    <w:div w:id="1969162389">
      <w:bodyDiv w:val="1"/>
      <w:marLeft w:val="0"/>
      <w:marRight w:val="0"/>
      <w:marTop w:val="0"/>
      <w:marBottom w:val="0"/>
      <w:divBdr>
        <w:top w:val="none" w:sz="0" w:space="0" w:color="auto"/>
        <w:left w:val="none" w:sz="0" w:space="0" w:color="auto"/>
        <w:bottom w:val="none" w:sz="0" w:space="0" w:color="auto"/>
        <w:right w:val="none" w:sz="0" w:space="0" w:color="auto"/>
      </w:divBdr>
    </w:div>
    <w:div w:id="1969240903">
      <w:bodyDiv w:val="1"/>
      <w:marLeft w:val="0"/>
      <w:marRight w:val="0"/>
      <w:marTop w:val="0"/>
      <w:marBottom w:val="0"/>
      <w:divBdr>
        <w:top w:val="none" w:sz="0" w:space="0" w:color="auto"/>
        <w:left w:val="none" w:sz="0" w:space="0" w:color="auto"/>
        <w:bottom w:val="none" w:sz="0" w:space="0" w:color="auto"/>
        <w:right w:val="none" w:sz="0" w:space="0" w:color="auto"/>
      </w:divBdr>
    </w:div>
    <w:div w:id="1969436994">
      <w:bodyDiv w:val="1"/>
      <w:marLeft w:val="0"/>
      <w:marRight w:val="0"/>
      <w:marTop w:val="0"/>
      <w:marBottom w:val="0"/>
      <w:divBdr>
        <w:top w:val="none" w:sz="0" w:space="0" w:color="auto"/>
        <w:left w:val="none" w:sz="0" w:space="0" w:color="auto"/>
        <w:bottom w:val="none" w:sz="0" w:space="0" w:color="auto"/>
        <w:right w:val="none" w:sz="0" w:space="0" w:color="auto"/>
      </w:divBdr>
    </w:div>
    <w:div w:id="1969621107">
      <w:bodyDiv w:val="1"/>
      <w:marLeft w:val="0"/>
      <w:marRight w:val="0"/>
      <w:marTop w:val="0"/>
      <w:marBottom w:val="0"/>
      <w:divBdr>
        <w:top w:val="none" w:sz="0" w:space="0" w:color="auto"/>
        <w:left w:val="none" w:sz="0" w:space="0" w:color="auto"/>
        <w:bottom w:val="none" w:sz="0" w:space="0" w:color="auto"/>
        <w:right w:val="none" w:sz="0" w:space="0" w:color="auto"/>
      </w:divBdr>
    </w:div>
    <w:div w:id="1970017347">
      <w:bodyDiv w:val="1"/>
      <w:marLeft w:val="0"/>
      <w:marRight w:val="0"/>
      <w:marTop w:val="0"/>
      <w:marBottom w:val="0"/>
      <w:divBdr>
        <w:top w:val="none" w:sz="0" w:space="0" w:color="auto"/>
        <w:left w:val="none" w:sz="0" w:space="0" w:color="auto"/>
        <w:bottom w:val="none" w:sz="0" w:space="0" w:color="auto"/>
        <w:right w:val="none" w:sz="0" w:space="0" w:color="auto"/>
      </w:divBdr>
    </w:div>
    <w:div w:id="1970165674">
      <w:bodyDiv w:val="1"/>
      <w:marLeft w:val="0"/>
      <w:marRight w:val="0"/>
      <w:marTop w:val="0"/>
      <w:marBottom w:val="0"/>
      <w:divBdr>
        <w:top w:val="none" w:sz="0" w:space="0" w:color="auto"/>
        <w:left w:val="none" w:sz="0" w:space="0" w:color="auto"/>
        <w:bottom w:val="none" w:sz="0" w:space="0" w:color="auto"/>
        <w:right w:val="none" w:sz="0" w:space="0" w:color="auto"/>
      </w:divBdr>
    </w:div>
    <w:div w:id="1970166759">
      <w:bodyDiv w:val="1"/>
      <w:marLeft w:val="0"/>
      <w:marRight w:val="0"/>
      <w:marTop w:val="0"/>
      <w:marBottom w:val="0"/>
      <w:divBdr>
        <w:top w:val="none" w:sz="0" w:space="0" w:color="auto"/>
        <w:left w:val="none" w:sz="0" w:space="0" w:color="auto"/>
        <w:bottom w:val="none" w:sz="0" w:space="0" w:color="auto"/>
        <w:right w:val="none" w:sz="0" w:space="0" w:color="auto"/>
      </w:divBdr>
    </w:div>
    <w:div w:id="1970234414">
      <w:bodyDiv w:val="1"/>
      <w:marLeft w:val="0"/>
      <w:marRight w:val="0"/>
      <w:marTop w:val="0"/>
      <w:marBottom w:val="0"/>
      <w:divBdr>
        <w:top w:val="none" w:sz="0" w:space="0" w:color="auto"/>
        <w:left w:val="none" w:sz="0" w:space="0" w:color="auto"/>
        <w:bottom w:val="none" w:sz="0" w:space="0" w:color="auto"/>
        <w:right w:val="none" w:sz="0" w:space="0" w:color="auto"/>
      </w:divBdr>
    </w:div>
    <w:div w:id="1970429022">
      <w:bodyDiv w:val="1"/>
      <w:marLeft w:val="0"/>
      <w:marRight w:val="0"/>
      <w:marTop w:val="0"/>
      <w:marBottom w:val="0"/>
      <w:divBdr>
        <w:top w:val="none" w:sz="0" w:space="0" w:color="auto"/>
        <w:left w:val="none" w:sz="0" w:space="0" w:color="auto"/>
        <w:bottom w:val="none" w:sz="0" w:space="0" w:color="auto"/>
        <w:right w:val="none" w:sz="0" w:space="0" w:color="auto"/>
      </w:divBdr>
    </w:div>
    <w:div w:id="1970620531">
      <w:bodyDiv w:val="1"/>
      <w:marLeft w:val="0"/>
      <w:marRight w:val="0"/>
      <w:marTop w:val="0"/>
      <w:marBottom w:val="0"/>
      <w:divBdr>
        <w:top w:val="none" w:sz="0" w:space="0" w:color="auto"/>
        <w:left w:val="none" w:sz="0" w:space="0" w:color="auto"/>
        <w:bottom w:val="none" w:sz="0" w:space="0" w:color="auto"/>
        <w:right w:val="none" w:sz="0" w:space="0" w:color="auto"/>
      </w:divBdr>
    </w:div>
    <w:div w:id="1970622013">
      <w:bodyDiv w:val="1"/>
      <w:marLeft w:val="0"/>
      <w:marRight w:val="0"/>
      <w:marTop w:val="0"/>
      <w:marBottom w:val="0"/>
      <w:divBdr>
        <w:top w:val="none" w:sz="0" w:space="0" w:color="auto"/>
        <w:left w:val="none" w:sz="0" w:space="0" w:color="auto"/>
        <w:bottom w:val="none" w:sz="0" w:space="0" w:color="auto"/>
        <w:right w:val="none" w:sz="0" w:space="0" w:color="auto"/>
      </w:divBdr>
    </w:div>
    <w:div w:id="1970627410">
      <w:bodyDiv w:val="1"/>
      <w:marLeft w:val="0"/>
      <w:marRight w:val="0"/>
      <w:marTop w:val="0"/>
      <w:marBottom w:val="0"/>
      <w:divBdr>
        <w:top w:val="none" w:sz="0" w:space="0" w:color="auto"/>
        <w:left w:val="none" w:sz="0" w:space="0" w:color="auto"/>
        <w:bottom w:val="none" w:sz="0" w:space="0" w:color="auto"/>
        <w:right w:val="none" w:sz="0" w:space="0" w:color="auto"/>
      </w:divBdr>
    </w:div>
    <w:div w:id="1970630048">
      <w:bodyDiv w:val="1"/>
      <w:marLeft w:val="0"/>
      <w:marRight w:val="0"/>
      <w:marTop w:val="0"/>
      <w:marBottom w:val="0"/>
      <w:divBdr>
        <w:top w:val="none" w:sz="0" w:space="0" w:color="auto"/>
        <w:left w:val="none" w:sz="0" w:space="0" w:color="auto"/>
        <w:bottom w:val="none" w:sz="0" w:space="0" w:color="auto"/>
        <w:right w:val="none" w:sz="0" w:space="0" w:color="auto"/>
      </w:divBdr>
    </w:div>
    <w:div w:id="1970670721">
      <w:bodyDiv w:val="1"/>
      <w:marLeft w:val="0"/>
      <w:marRight w:val="0"/>
      <w:marTop w:val="0"/>
      <w:marBottom w:val="0"/>
      <w:divBdr>
        <w:top w:val="none" w:sz="0" w:space="0" w:color="auto"/>
        <w:left w:val="none" w:sz="0" w:space="0" w:color="auto"/>
        <w:bottom w:val="none" w:sz="0" w:space="0" w:color="auto"/>
        <w:right w:val="none" w:sz="0" w:space="0" w:color="auto"/>
      </w:divBdr>
    </w:div>
    <w:div w:id="1970745107">
      <w:bodyDiv w:val="1"/>
      <w:marLeft w:val="0"/>
      <w:marRight w:val="0"/>
      <w:marTop w:val="0"/>
      <w:marBottom w:val="0"/>
      <w:divBdr>
        <w:top w:val="none" w:sz="0" w:space="0" w:color="auto"/>
        <w:left w:val="none" w:sz="0" w:space="0" w:color="auto"/>
        <w:bottom w:val="none" w:sz="0" w:space="0" w:color="auto"/>
        <w:right w:val="none" w:sz="0" w:space="0" w:color="auto"/>
      </w:divBdr>
    </w:div>
    <w:div w:id="1971200671">
      <w:bodyDiv w:val="1"/>
      <w:marLeft w:val="0"/>
      <w:marRight w:val="0"/>
      <w:marTop w:val="0"/>
      <w:marBottom w:val="0"/>
      <w:divBdr>
        <w:top w:val="none" w:sz="0" w:space="0" w:color="auto"/>
        <w:left w:val="none" w:sz="0" w:space="0" w:color="auto"/>
        <w:bottom w:val="none" w:sz="0" w:space="0" w:color="auto"/>
        <w:right w:val="none" w:sz="0" w:space="0" w:color="auto"/>
      </w:divBdr>
    </w:div>
    <w:div w:id="1971277774">
      <w:bodyDiv w:val="1"/>
      <w:marLeft w:val="0"/>
      <w:marRight w:val="0"/>
      <w:marTop w:val="0"/>
      <w:marBottom w:val="0"/>
      <w:divBdr>
        <w:top w:val="none" w:sz="0" w:space="0" w:color="auto"/>
        <w:left w:val="none" w:sz="0" w:space="0" w:color="auto"/>
        <w:bottom w:val="none" w:sz="0" w:space="0" w:color="auto"/>
        <w:right w:val="none" w:sz="0" w:space="0" w:color="auto"/>
      </w:divBdr>
    </w:div>
    <w:div w:id="1971324358">
      <w:bodyDiv w:val="1"/>
      <w:marLeft w:val="0"/>
      <w:marRight w:val="0"/>
      <w:marTop w:val="0"/>
      <w:marBottom w:val="0"/>
      <w:divBdr>
        <w:top w:val="none" w:sz="0" w:space="0" w:color="auto"/>
        <w:left w:val="none" w:sz="0" w:space="0" w:color="auto"/>
        <w:bottom w:val="none" w:sz="0" w:space="0" w:color="auto"/>
        <w:right w:val="none" w:sz="0" w:space="0" w:color="auto"/>
      </w:divBdr>
    </w:div>
    <w:div w:id="1971327896">
      <w:bodyDiv w:val="1"/>
      <w:marLeft w:val="0"/>
      <w:marRight w:val="0"/>
      <w:marTop w:val="0"/>
      <w:marBottom w:val="0"/>
      <w:divBdr>
        <w:top w:val="none" w:sz="0" w:space="0" w:color="auto"/>
        <w:left w:val="none" w:sz="0" w:space="0" w:color="auto"/>
        <w:bottom w:val="none" w:sz="0" w:space="0" w:color="auto"/>
        <w:right w:val="none" w:sz="0" w:space="0" w:color="auto"/>
      </w:divBdr>
    </w:div>
    <w:div w:id="1971478637">
      <w:bodyDiv w:val="1"/>
      <w:marLeft w:val="0"/>
      <w:marRight w:val="0"/>
      <w:marTop w:val="0"/>
      <w:marBottom w:val="0"/>
      <w:divBdr>
        <w:top w:val="none" w:sz="0" w:space="0" w:color="auto"/>
        <w:left w:val="none" w:sz="0" w:space="0" w:color="auto"/>
        <w:bottom w:val="none" w:sz="0" w:space="0" w:color="auto"/>
        <w:right w:val="none" w:sz="0" w:space="0" w:color="auto"/>
      </w:divBdr>
    </w:div>
    <w:div w:id="1971592336">
      <w:bodyDiv w:val="1"/>
      <w:marLeft w:val="0"/>
      <w:marRight w:val="0"/>
      <w:marTop w:val="0"/>
      <w:marBottom w:val="0"/>
      <w:divBdr>
        <w:top w:val="none" w:sz="0" w:space="0" w:color="auto"/>
        <w:left w:val="none" w:sz="0" w:space="0" w:color="auto"/>
        <w:bottom w:val="none" w:sz="0" w:space="0" w:color="auto"/>
        <w:right w:val="none" w:sz="0" w:space="0" w:color="auto"/>
      </w:divBdr>
    </w:div>
    <w:div w:id="1971739180">
      <w:bodyDiv w:val="1"/>
      <w:marLeft w:val="0"/>
      <w:marRight w:val="0"/>
      <w:marTop w:val="0"/>
      <w:marBottom w:val="0"/>
      <w:divBdr>
        <w:top w:val="none" w:sz="0" w:space="0" w:color="auto"/>
        <w:left w:val="none" w:sz="0" w:space="0" w:color="auto"/>
        <w:bottom w:val="none" w:sz="0" w:space="0" w:color="auto"/>
        <w:right w:val="none" w:sz="0" w:space="0" w:color="auto"/>
      </w:divBdr>
    </w:div>
    <w:div w:id="1971786041">
      <w:bodyDiv w:val="1"/>
      <w:marLeft w:val="0"/>
      <w:marRight w:val="0"/>
      <w:marTop w:val="0"/>
      <w:marBottom w:val="0"/>
      <w:divBdr>
        <w:top w:val="none" w:sz="0" w:space="0" w:color="auto"/>
        <w:left w:val="none" w:sz="0" w:space="0" w:color="auto"/>
        <w:bottom w:val="none" w:sz="0" w:space="0" w:color="auto"/>
        <w:right w:val="none" w:sz="0" w:space="0" w:color="auto"/>
      </w:divBdr>
    </w:div>
    <w:div w:id="1971982382">
      <w:bodyDiv w:val="1"/>
      <w:marLeft w:val="0"/>
      <w:marRight w:val="0"/>
      <w:marTop w:val="0"/>
      <w:marBottom w:val="0"/>
      <w:divBdr>
        <w:top w:val="none" w:sz="0" w:space="0" w:color="auto"/>
        <w:left w:val="none" w:sz="0" w:space="0" w:color="auto"/>
        <w:bottom w:val="none" w:sz="0" w:space="0" w:color="auto"/>
        <w:right w:val="none" w:sz="0" w:space="0" w:color="auto"/>
      </w:divBdr>
    </w:div>
    <w:div w:id="1972051304">
      <w:bodyDiv w:val="1"/>
      <w:marLeft w:val="0"/>
      <w:marRight w:val="0"/>
      <w:marTop w:val="0"/>
      <w:marBottom w:val="0"/>
      <w:divBdr>
        <w:top w:val="none" w:sz="0" w:space="0" w:color="auto"/>
        <w:left w:val="none" w:sz="0" w:space="0" w:color="auto"/>
        <w:bottom w:val="none" w:sz="0" w:space="0" w:color="auto"/>
        <w:right w:val="none" w:sz="0" w:space="0" w:color="auto"/>
      </w:divBdr>
    </w:div>
    <w:div w:id="1972203995">
      <w:bodyDiv w:val="1"/>
      <w:marLeft w:val="0"/>
      <w:marRight w:val="0"/>
      <w:marTop w:val="0"/>
      <w:marBottom w:val="0"/>
      <w:divBdr>
        <w:top w:val="none" w:sz="0" w:space="0" w:color="auto"/>
        <w:left w:val="none" w:sz="0" w:space="0" w:color="auto"/>
        <w:bottom w:val="none" w:sz="0" w:space="0" w:color="auto"/>
        <w:right w:val="none" w:sz="0" w:space="0" w:color="auto"/>
      </w:divBdr>
    </w:div>
    <w:div w:id="1972399791">
      <w:bodyDiv w:val="1"/>
      <w:marLeft w:val="0"/>
      <w:marRight w:val="0"/>
      <w:marTop w:val="0"/>
      <w:marBottom w:val="0"/>
      <w:divBdr>
        <w:top w:val="none" w:sz="0" w:space="0" w:color="auto"/>
        <w:left w:val="none" w:sz="0" w:space="0" w:color="auto"/>
        <w:bottom w:val="none" w:sz="0" w:space="0" w:color="auto"/>
        <w:right w:val="none" w:sz="0" w:space="0" w:color="auto"/>
      </w:divBdr>
    </w:div>
    <w:div w:id="1972441934">
      <w:bodyDiv w:val="1"/>
      <w:marLeft w:val="0"/>
      <w:marRight w:val="0"/>
      <w:marTop w:val="0"/>
      <w:marBottom w:val="0"/>
      <w:divBdr>
        <w:top w:val="none" w:sz="0" w:space="0" w:color="auto"/>
        <w:left w:val="none" w:sz="0" w:space="0" w:color="auto"/>
        <w:bottom w:val="none" w:sz="0" w:space="0" w:color="auto"/>
        <w:right w:val="none" w:sz="0" w:space="0" w:color="auto"/>
      </w:divBdr>
    </w:div>
    <w:div w:id="1972589083">
      <w:bodyDiv w:val="1"/>
      <w:marLeft w:val="0"/>
      <w:marRight w:val="0"/>
      <w:marTop w:val="0"/>
      <w:marBottom w:val="0"/>
      <w:divBdr>
        <w:top w:val="none" w:sz="0" w:space="0" w:color="auto"/>
        <w:left w:val="none" w:sz="0" w:space="0" w:color="auto"/>
        <w:bottom w:val="none" w:sz="0" w:space="0" w:color="auto"/>
        <w:right w:val="none" w:sz="0" w:space="0" w:color="auto"/>
      </w:divBdr>
    </w:div>
    <w:div w:id="1972591305">
      <w:bodyDiv w:val="1"/>
      <w:marLeft w:val="0"/>
      <w:marRight w:val="0"/>
      <w:marTop w:val="0"/>
      <w:marBottom w:val="0"/>
      <w:divBdr>
        <w:top w:val="none" w:sz="0" w:space="0" w:color="auto"/>
        <w:left w:val="none" w:sz="0" w:space="0" w:color="auto"/>
        <w:bottom w:val="none" w:sz="0" w:space="0" w:color="auto"/>
        <w:right w:val="none" w:sz="0" w:space="0" w:color="auto"/>
      </w:divBdr>
    </w:div>
    <w:div w:id="1972855785">
      <w:bodyDiv w:val="1"/>
      <w:marLeft w:val="0"/>
      <w:marRight w:val="0"/>
      <w:marTop w:val="0"/>
      <w:marBottom w:val="0"/>
      <w:divBdr>
        <w:top w:val="none" w:sz="0" w:space="0" w:color="auto"/>
        <w:left w:val="none" w:sz="0" w:space="0" w:color="auto"/>
        <w:bottom w:val="none" w:sz="0" w:space="0" w:color="auto"/>
        <w:right w:val="none" w:sz="0" w:space="0" w:color="auto"/>
      </w:divBdr>
    </w:div>
    <w:div w:id="1972860425">
      <w:bodyDiv w:val="1"/>
      <w:marLeft w:val="0"/>
      <w:marRight w:val="0"/>
      <w:marTop w:val="0"/>
      <w:marBottom w:val="0"/>
      <w:divBdr>
        <w:top w:val="none" w:sz="0" w:space="0" w:color="auto"/>
        <w:left w:val="none" w:sz="0" w:space="0" w:color="auto"/>
        <w:bottom w:val="none" w:sz="0" w:space="0" w:color="auto"/>
        <w:right w:val="none" w:sz="0" w:space="0" w:color="auto"/>
      </w:divBdr>
    </w:div>
    <w:div w:id="1972903692">
      <w:bodyDiv w:val="1"/>
      <w:marLeft w:val="0"/>
      <w:marRight w:val="0"/>
      <w:marTop w:val="0"/>
      <w:marBottom w:val="0"/>
      <w:divBdr>
        <w:top w:val="none" w:sz="0" w:space="0" w:color="auto"/>
        <w:left w:val="none" w:sz="0" w:space="0" w:color="auto"/>
        <w:bottom w:val="none" w:sz="0" w:space="0" w:color="auto"/>
        <w:right w:val="none" w:sz="0" w:space="0" w:color="auto"/>
      </w:divBdr>
    </w:div>
    <w:div w:id="1972974227">
      <w:bodyDiv w:val="1"/>
      <w:marLeft w:val="0"/>
      <w:marRight w:val="0"/>
      <w:marTop w:val="0"/>
      <w:marBottom w:val="0"/>
      <w:divBdr>
        <w:top w:val="none" w:sz="0" w:space="0" w:color="auto"/>
        <w:left w:val="none" w:sz="0" w:space="0" w:color="auto"/>
        <w:bottom w:val="none" w:sz="0" w:space="0" w:color="auto"/>
        <w:right w:val="none" w:sz="0" w:space="0" w:color="auto"/>
      </w:divBdr>
    </w:div>
    <w:div w:id="1973053752">
      <w:bodyDiv w:val="1"/>
      <w:marLeft w:val="0"/>
      <w:marRight w:val="0"/>
      <w:marTop w:val="0"/>
      <w:marBottom w:val="0"/>
      <w:divBdr>
        <w:top w:val="none" w:sz="0" w:space="0" w:color="auto"/>
        <w:left w:val="none" w:sz="0" w:space="0" w:color="auto"/>
        <w:bottom w:val="none" w:sz="0" w:space="0" w:color="auto"/>
        <w:right w:val="none" w:sz="0" w:space="0" w:color="auto"/>
      </w:divBdr>
    </w:div>
    <w:div w:id="1973096273">
      <w:bodyDiv w:val="1"/>
      <w:marLeft w:val="0"/>
      <w:marRight w:val="0"/>
      <w:marTop w:val="0"/>
      <w:marBottom w:val="0"/>
      <w:divBdr>
        <w:top w:val="none" w:sz="0" w:space="0" w:color="auto"/>
        <w:left w:val="none" w:sz="0" w:space="0" w:color="auto"/>
        <w:bottom w:val="none" w:sz="0" w:space="0" w:color="auto"/>
        <w:right w:val="none" w:sz="0" w:space="0" w:color="auto"/>
      </w:divBdr>
    </w:div>
    <w:div w:id="1973317731">
      <w:bodyDiv w:val="1"/>
      <w:marLeft w:val="0"/>
      <w:marRight w:val="0"/>
      <w:marTop w:val="0"/>
      <w:marBottom w:val="0"/>
      <w:divBdr>
        <w:top w:val="none" w:sz="0" w:space="0" w:color="auto"/>
        <w:left w:val="none" w:sz="0" w:space="0" w:color="auto"/>
        <w:bottom w:val="none" w:sz="0" w:space="0" w:color="auto"/>
        <w:right w:val="none" w:sz="0" w:space="0" w:color="auto"/>
      </w:divBdr>
    </w:div>
    <w:div w:id="1973361347">
      <w:bodyDiv w:val="1"/>
      <w:marLeft w:val="0"/>
      <w:marRight w:val="0"/>
      <w:marTop w:val="0"/>
      <w:marBottom w:val="0"/>
      <w:divBdr>
        <w:top w:val="none" w:sz="0" w:space="0" w:color="auto"/>
        <w:left w:val="none" w:sz="0" w:space="0" w:color="auto"/>
        <w:bottom w:val="none" w:sz="0" w:space="0" w:color="auto"/>
        <w:right w:val="none" w:sz="0" w:space="0" w:color="auto"/>
      </w:divBdr>
    </w:div>
    <w:div w:id="1973629485">
      <w:bodyDiv w:val="1"/>
      <w:marLeft w:val="0"/>
      <w:marRight w:val="0"/>
      <w:marTop w:val="0"/>
      <w:marBottom w:val="0"/>
      <w:divBdr>
        <w:top w:val="none" w:sz="0" w:space="0" w:color="auto"/>
        <w:left w:val="none" w:sz="0" w:space="0" w:color="auto"/>
        <w:bottom w:val="none" w:sz="0" w:space="0" w:color="auto"/>
        <w:right w:val="none" w:sz="0" w:space="0" w:color="auto"/>
      </w:divBdr>
    </w:div>
    <w:div w:id="1973636182">
      <w:bodyDiv w:val="1"/>
      <w:marLeft w:val="0"/>
      <w:marRight w:val="0"/>
      <w:marTop w:val="0"/>
      <w:marBottom w:val="0"/>
      <w:divBdr>
        <w:top w:val="none" w:sz="0" w:space="0" w:color="auto"/>
        <w:left w:val="none" w:sz="0" w:space="0" w:color="auto"/>
        <w:bottom w:val="none" w:sz="0" w:space="0" w:color="auto"/>
        <w:right w:val="none" w:sz="0" w:space="0" w:color="auto"/>
      </w:divBdr>
    </w:div>
    <w:div w:id="1973704587">
      <w:bodyDiv w:val="1"/>
      <w:marLeft w:val="0"/>
      <w:marRight w:val="0"/>
      <w:marTop w:val="0"/>
      <w:marBottom w:val="0"/>
      <w:divBdr>
        <w:top w:val="none" w:sz="0" w:space="0" w:color="auto"/>
        <w:left w:val="none" w:sz="0" w:space="0" w:color="auto"/>
        <w:bottom w:val="none" w:sz="0" w:space="0" w:color="auto"/>
        <w:right w:val="none" w:sz="0" w:space="0" w:color="auto"/>
      </w:divBdr>
    </w:div>
    <w:div w:id="1973708353">
      <w:bodyDiv w:val="1"/>
      <w:marLeft w:val="0"/>
      <w:marRight w:val="0"/>
      <w:marTop w:val="0"/>
      <w:marBottom w:val="0"/>
      <w:divBdr>
        <w:top w:val="none" w:sz="0" w:space="0" w:color="auto"/>
        <w:left w:val="none" w:sz="0" w:space="0" w:color="auto"/>
        <w:bottom w:val="none" w:sz="0" w:space="0" w:color="auto"/>
        <w:right w:val="none" w:sz="0" w:space="0" w:color="auto"/>
      </w:divBdr>
    </w:div>
    <w:div w:id="1973751754">
      <w:bodyDiv w:val="1"/>
      <w:marLeft w:val="0"/>
      <w:marRight w:val="0"/>
      <w:marTop w:val="0"/>
      <w:marBottom w:val="0"/>
      <w:divBdr>
        <w:top w:val="none" w:sz="0" w:space="0" w:color="auto"/>
        <w:left w:val="none" w:sz="0" w:space="0" w:color="auto"/>
        <w:bottom w:val="none" w:sz="0" w:space="0" w:color="auto"/>
        <w:right w:val="none" w:sz="0" w:space="0" w:color="auto"/>
      </w:divBdr>
    </w:div>
    <w:div w:id="1973828703">
      <w:bodyDiv w:val="1"/>
      <w:marLeft w:val="0"/>
      <w:marRight w:val="0"/>
      <w:marTop w:val="0"/>
      <w:marBottom w:val="0"/>
      <w:divBdr>
        <w:top w:val="none" w:sz="0" w:space="0" w:color="auto"/>
        <w:left w:val="none" w:sz="0" w:space="0" w:color="auto"/>
        <w:bottom w:val="none" w:sz="0" w:space="0" w:color="auto"/>
        <w:right w:val="none" w:sz="0" w:space="0" w:color="auto"/>
      </w:divBdr>
    </w:div>
    <w:div w:id="1974023866">
      <w:bodyDiv w:val="1"/>
      <w:marLeft w:val="0"/>
      <w:marRight w:val="0"/>
      <w:marTop w:val="0"/>
      <w:marBottom w:val="0"/>
      <w:divBdr>
        <w:top w:val="none" w:sz="0" w:space="0" w:color="auto"/>
        <w:left w:val="none" w:sz="0" w:space="0" w:color="auto"/>
        <w:bottom w:val="none" w:sz="0" w:space="0" w:color="auto"/>
        <w:right w:val="none" w:sz="0" w:space="0" w:color="auto"/>
      </w:divBdr>
    </w:div>
    <w:div w:id="1974091250">
      <w:bodyDiv w:val="1"/>
      <w:marLeft w:val="0"/>
      <w:marRight w:val="0"/>
      <w:marTop w:val="0"/>
      <w:marBottom w:val="0"/>
      <w:divBdr>
        <w:top w:val="none" w:sz="0" w:space="0" w:color="auto"/>
        <w:left w:val="none" w:sz="0" w:space="0" w:color="auto"/>
        <w:bottom w:val="none" w:sz="0" w:space="0" w:color="auto"/>
        <w:right w:val="none" w:sz="0" w:space="0" w:color="auto"/>
      </w:divBdr>
    </w:div>
    <w:div w:id="1974746146">
      <w:bodyDiv w:val="1"/>
      <w:marLeft w:val="0"/>
      <w:marRight w:val="0"/>
      <w:marTop w:val="0"/>
      <w:marBottom w:val="0"/>
      <w:divBdr>
        <w:top w:val="none" w:sz="0" w:space="0" w:color="auto"/>
        <w:left w:val="none" w:sz="0" w:space="0" w:color="auto"/>
        <w:bottom w:val="none" w:sz="0" w:space="0" w:color="auto"/>
        <w:right w:val="none" w:sz="0" w:space="0" w:color="auto"/>
      </w:divBdr>
    </w:div>
    <w:div w:id="1975016822">
      <w:bodyDiv w:val="1"/>
      <w:marLeft w:val="0"/>
      <w:marRight w:val="0"/>
      <w:marTop w:val="0"/>
      <w:marBottom w:val="0"/>
      <w:divBdr>
        <w:top w:val="none" w:sz="0" w:space="0" w:color="auto"/>
        <w:left w:val="none" w:sz="0" w:space="0" w:color="auto"/>
        <w:bottom w:val="none" w:sz="0" w:space="0" w:color="auto"/>
        <w:right w:val="none" w:sz="0" w:space="0" w:color="auto"/>
      </w:divBdr>
    </w:div>
    <w:div w:id="1975285815">
      <w:bodyDiv w:val="1"/>
      <w:marLeft w:val="0"/>
      <w:marRight w:val="0"/>
      <w:marTop w:val="0"/>
      <w:marBottom w:val="0"/>
      <w:divBdr>
        <w:top w:val="none" w:sz="0" w:space="0" w:color="auto"/>
        <w:left w:val="none" w:sz="0" w:space="0" w:color="auto"/>
        <w:bottom w:val="none" w:sz="0" w:space="0" w:color="auto"/>
        <w:right w:val="none" w:sz="0" w:space="0" w:color="auto"/>
      </w:divBdr>
    </w:div>
    <w:div w:id="1975483230">
      <w:bodyDiv w:val="1"/>
      <w:marLeft w:val="0"/>
      <w:marRight w:val="0"/>
      <w:marTop w:val="0"/>
      <w:marBottom w:val="0"/>
      <w:divBdr>
        <w:top w:val="none" w:sz="0" w:space="0" w:color="auto"/>
        <w:left w:val="none" w:sz="0" w:space="0" w:color="auto"/>
        <w:bottom w:val="none" w:sz="0" w:space="0" w:color="auto"/>
        <w:right w:val="none" w:sz="0" w:space="0" w:color="auto"/>
      </w:divBdr>
    </w:div>
    <w:div w:id="1975671212">
      <w:bodyDiv w:val="1"/>
      <w:marLeft w:val="0"/>
      <w:marRight w:val="0"/>
      <w:marTop w:val="0"/>
      <w:marBottom w:val="0"/>
      <w:divBdr>
        <w:top w:val="none" w:sz="0" w:space="0" w:color="auto"/>
        <w:left w:val="none" w:sz="0" w:space="0" w:color="auto"/>
        <w:bottom w:val="none" w:sz="0" w:space="0" w:color="auto"/>
        <w:right w:val="none" w:sz="0" w:space="0" w:color="auto"/>
      </w:divBdr>
    </w:div>
    <w:div w:id="1976058517">
      <w:bodyDiv w:val="1"/>
      <w:marLeft w:val="0"/>
      <w:marRight w:val="0"/>
      <w:marTop w:val="0"/>
      <w:marBottom w:val="0"/>
      <w:divBdr>
        <w:top w:val="none" w:sz="0" w:space="0" w:color="auto"/>
        <w:left w:val="none" w:sz="0" w:space="0" w:color="auto"/>
        <w:bottom w:val="none" w:sz="0" w:space="0" w:color="auto"/>
        <w:right w:val="none" w:sz="0" w:space="0" w:color="auto"/>
      </w:divBdr>
    </w:div>
    <w:div w:id="1976060037">
      <w:bodyDiv w:val="1"/>
      <w:marLeft w:val="0"/>
      <w:marRight w:val="0"/>
      <w:marTop w:val="0"/>
      <w:marBottom w:val="0"/>
      <w:divBdr>
        <w:top w:val="none" w:sz="0" w:space="0" w:color="auto"/>
        <w:left w:val="none" w:sz="0" w:space="0" w:color="auto"/>
        <w:bottom w:val="none" w:sz="0" w:space="0" w:color="auto"/>
        <w:right w:val="none" w:sz="0" w:space="0" w:color="auto"/>
      </w:divBdr>
    </w:div>
    <w:div w:id="1976181725">
      <w:bodyDiv w:val="1"/>
      <w:marLeft w:val="0"/>
      <w:marRight w:val="0"/>
      <w:marTop w:val="0"/>
      <w:marBottom w:val="0"/>
      <w:divBdr>
        <w:top w:val="none" w:sz="0" w:space="0" w:color="auto"/>
        <w:left w:val="none" w:sz="0" w:space="0" w:color="auto"/>
        <w:bottom w:val="none" w:sz="0" w:space="0" w:color="auto"/>
        <w:right w:val="none" w:sz="0" w:space="0" w:color="auto"/>
      </w:divBdr>
    </w:div>
    <w:div w:id="1976328139">
      <w:bodyDiv w:val="1"/>
      <w:marLeft w:val="0"/>
      <w:marRight w:val="0"/>
      <w:marTop w:val="0"/>
      <w:marBottom w:val="0"/>
      <w:divBdr>
        <w:top w:val="none" w:sz="0" w:space="0" w:color="auto"/>
        <w:left w:val="none" w:sz="0" w:space="0" w:color="auto"/>
        <w:bottom w:val="none" w:sz="0" w:space="0" w:color="auto"/>
        <w:right w:val="none" w:sz="0" w:space="0" w:color="auto"/>
      </w:divBdr>
    </w:div>
    <w:div w:id="1976332786">
      <w:bodyDiv w:val="1"/>
      <w:marLeft w:val="0"/>
      <w:marRight w:val="0"/>
      <w:marTop w:val="0"/>
      <w:marBottom w:val="0"/>
      <w:divBdr>
        <w:top w:val="none" w:sz="0" w:space="0" w:color="auto"/>
        <w:left w:val="none" w:sz="0" w:space="0" w:color="auto"/>
        <w:bottom w:val="none" w:sz="0" w:space="0" w:color="auto"/>
        <w:right w:val="none" w:sz="0" w:space="0" w:color="auto"/>
      </w:divBdr>
    </w:div>
    <w:div w:id="1976333289">
      <w:bodyDiv w:val="1"/>
      <w:marLeft w:val="0"/>
      <w:marRight w:val="0"/>
      <w:marTop w:val="0"/>
      <w:marBottom w:val="0"/>
      <w:divBdr>
        <w:top w:val="none" w:sz="0" w:space="0" w:color="auto"/>
        <w:left w:val="none" w:sz="0" w:space="0" w:color="auto"/>
        <w:bottom w:val="none" w:sz="0" w:space="0" w:color="auto"/>
        <w:right w:val="none" w:sz="0" w:space="0" w:color="auto"/>
      </w:divBdr>
    </w:div>
    <w:div w:id="1976400734">
      <w:bodyDiv w:val="1"/>
      <w:marLeft w:val="0"/>
      <w:marRight w:val="0"/>
      <w:marTop w:val="0"/>
      <w:marBottom w:val="0"/>
      <w:divBdr>
        <w:top w:val="none" w:sz="0" w:space="0" w:color="auto"/>
        <w:left w:val="none" w:sz="0" w:space="0" w:color="auto"/>
        <w:bottom w:val="none" w:sz="0" w:space="0" w:color="auto"/>
        <w:right w:val="none" w:sz="0" w:space="0" w:color="auto"/>
      </w:divBdr>
    </w:div>
    <w:div w:id="1976450235">
      <w:bodyDiv w:val="1"/>
      <w:marLeft w:val="0"/>
      <w:marRight w:val="0"/>
      <w:marTop w:val="0"/>
      <w:marBottom w:val="0"/>
      <w:divBdr>
        <w:top w:val="none" w:sz="0" w:space="0" w:color="auto"/>
        <w:left w:val="none" w:sz="0" w:space="0" w:color="auto"/>
        <w:bottom w:val="none" w:sz="0" w:space="0" w:color="auto"/>
        <w:right w:val="none" w:sz="0" w:space="0" w:color="auto"/>
      </w:divBdr>
    </w:div>
    <w:div w:id="1976569686">
      <w:bodyDiv w:val="1"/>
      <w:marLeft w:val="0"/>
      <w:marRight w:val="0"/>
      <w:marTop w:val="0"/>
      <w:marBottom w:val="0"/>
      <w:divBdr>
        <w:top w:val="none" w:sz="0" w:space="0" w:color="auto"/>
        <w:left w:val="none" w:sz="0" w:space="0" w:color="auto"/>
        <w:bottom w:val="none" w:sz="0" w:space="0" w:color="auto"/>
        <w:right w:val="none" w:sz="0" w:space="0" w:color="auto"/>
      </w:divBdr>
    </w:div>
    <w:div w:id="1976790428">
      <w:bodyDiv w:val="1"/>
      <w:marLeft w:val="0"/>
      <w:marRight w:val="0"/>
      <w:marTop w:val="0"/>
      <w:marBottom w:val="0"/>
      <w:divBdr>
        <w:top w:val="none" w:sz="0" w:space="0" w:color="auto"/>
        <w:left w:val="none" w:sz="0" w:space="0" w:color="auto"/>
        <w:bottom w:val="none" w:sz="0" w:space="0" w:color="auto"/>
        <w:right w:val="none" w:sz="0" w:space="0" w:color="auto"/>
      </w:divBdr>
    </w:div>
    <w:div w:id="1976830348">
      <w:bodyDiv w:val="1"/>
      <w:marLeft w:val="0"/>
      <w:marRight w:val="0"/>
      <w:marTop w:val="0"/>
      <w:marBottom w:val="0"/>
      <w:divBdr>
        <w:top w:val="none" w:sz="0" w:space="0" w:color="auto"/>
        <w:left w:val="none" w:sz="0" w:space="0" w:color="auto"/>
        <w:bottom w:val="none" w:sz="0" w:space="0" w:color="auto"/>
        <w:right w:val="none" w:sz="0" w:space="0" w:color="auto"/>
      </w:divBdr>
    </w:div>
    <w:div w:id="1976983609">
      <w:bodyDiv w:val="1"/>
      <w:marLeft w:val="0"/>
      <w:marRight w:val="0"/>
      <w:marTop w:val="0"/>
      <w:marBottom w:val="0"/>
      <w:divBdr>
        <w:top w:val="none" w:sz="0" w:space="0" w:color="auto"/>
        <w:left w:val="none" w:sz="0" w:space="0" w:color="auto"/>
        <w:bottom w:val="none" w:sz="0" w:space="0" w:color="auto"/>
        <w:right w:val="none" w:sz="0" w:space="0" w:color="auto"/>
      </w:divBdr>
    </w:div>
    <w:div w:id="1977444293">
      <w:bodyDiv w:val="1"/>
      <w:marLeft w:val="0"/>
      <w:marRight w:val="0"/>
      <w:marTop w:val="0"/>
      <w:marBottom w:val="0"/>
      <w:divBdr>
        <w:top w:val="none" w:sz="0" w:space="0" w:color="auto"/>
        <w:left w:val="none" w:sz="0" w:space="0" w:color="auto"/>
        <w:bottom w:val="none" w:sz="0" w:space="0" w:color="auto"/>
        <w:right w:val="none" w:sz="0" w:space="0" w:color="auto"/>
      </w:divBdr>
    </w:div>
    <w:div w:id="1977683255">
      <w:bodyDiv w:val="1"/>
      <w:marLeft w:val="0"/>
      <w:marRight w:val="0"/>
      <w:marTop w:val="0"/>
      <w:marBottom w:val="0"/>
      <w:divBdr>
        <w:top w:val="none" w:sz="0" w:space="0" w:color="auto"/>
        <w:left w:val="none" w:sz="0" w:space="0" w:color="auto"/>
        <w:bottom w:val="none" w:sz="0" w:space="0" w:color="auto"/>
        <w:right w:val="none" w:sz="0" w:space="0" w:color="auto"/>
      </w:divBdr>
    </w:div>
    <w:div w:id="1977754660">
      <w:bodyDiv w:val="1"/>
      <w:marLeft w:val="0"/>
      <w:marRight w:val="0"/>
      <w:marTop w:val="0"/>
      <w:marBottom w:val="0"/>
      <w:divBdr>
        <w:top w:val="none" w:sz="0" w:space="0" w:color="auto"/>
        <w:left w:val="none" w:sz="0" w:space="0" w:color="auto"/>
        <w:bottom w:val="none" w:sz="0" w:space="0" w:color="auto"/>
        <w:right w:val="none" w:sz="0" w:space="0" w:color="auto"/>
      </w:divBdr>
    </w:div>
    <w:div w:id="1977761886">
      <w:bodyDiv w:val="1"/>
      <w:marLeft w:val="0"/>
      <w:marRight w:val="0"/>
      <w:marTop w:val="0"/>
      <w:marBottom w:val="0"/>
      <w:divBdr>
        <w:top w:val="none" w:sz="0" w:space="0" w:color="auto"/>
        <w:left w:val="none" w:sz="0" w:space="0" w:color="auto"/>
        <w:bottom w:val="none" w:sz="0" w:space="0" w:color="auto"/>
        <w:right w:val="none" w:sz="0" w:space="0" w:color="auto"/>
      </w:divBdr>
    </w:div>
    <w:div w:id="1978023259">
      <w:bodyDiv w:val="1"/>
      <w:marLeft w:val="0"/>
      <w:marRight w:val="0"/>
      <w:marTop w:val="0"/>
      <w:marBottom w:val="0"/>
      <w:divBdr>
        <w:top w:val="none" w:sz="0" w:space="0" w:color="auto"/>
        <w:left w:val="none" w:sz="0" w:space="0" w:color="auto"/>
        <w:bottom w:val="none" w:sz="0" w:space="0" w:color="auto"/>
        <w:right w:val="none" w:sz="0" w:space="0" w:color="auto"/>
      </w:divBdr>
    </w:div>
    <w:div w:id="1978073538">
      <w:bodyDiv w:val="1"/>
      <w:marLeft w:val="0"/>
      <w:marRight w:val="0"/>
      <w:marTop w:val="0"/>
      <w:marBottom w:val="0"/>
      <w:divBdr>
        <w:top w:val="none" w:sz="0" w:space="0" w:color="auto"/>
        <w:left w:val="none" w:sz="0" w:space="0" w:color="auto"/>
        <w:bottom w:val="none" w:sz="0" w:space="0" w:color="auto"/>
        <w:right w:val="none" w:sz="0" w:space="0" w:color="auto"/>
      </w:divBdr>
    </w:div>
    <w:div w:id="1978341495">
      <w:bodyDiv w:val="1"/>
      <w:marLeft w:val="0"/>
      <w:marRight w:val="0"/>
      <w:marTop w:val="0"/>
      <w:marBottom w:val="0"/>
      <w:divBdr>
        <w:top w:val="none" w:sz="0" w:space="0" w:color="auto"/>
        <w:left w:val="none" w:sz="0" w:space="0" w:color="auto"/>
        <w:bottom w:val="none" w:sz="0" w:space="0" w:color="auto"/>
        <w:right w:val="none" w:sz="0" w:space="0" w:color="auto"/>
      </w:divBdr>
    </w:div>
    <w:div w:id="1978483935">
      <w:bodyDiv w:val="1"/>
      <w:marLeft w:val="0"/>
      <w:marRight w:val="0"/>
      <w:marTop w:val="0"/>
      <w:marBottom w:val="0"/>
      <w:divBdr>
        <w:top w:val="none" w:sz="0" w:space="0" w:color="auto"/>
        <w:left w:val="none" w:sz="0" w:space="0" w:color="auto"/>
        <w:bottom w:val="none" w:sz="0" w:space="0" w:color="auto"/>
        <w:right w:val="none" w:sz="0" w:space="0" w:color="auto"/>
      </w:divBdr>
    </w:div>
    <w:div w:id="1978757175">
      <w:bodyDiv w:val="1"/>
      <w:marLeft w:val="0"/>
      <w:marRight w:val="0"/>
      <w:marTop w:val="0"/>
      <w:marBottom w:val="0"/>
      <w:divBdr>
        <w:top w:val="none" w:sz="0" w:space="0" w:color="auto"/>
        <w:left w:val="none" w:sz="0" w:space="0" w:color="auto"/>
        <w:bottom w:val="none" w:sz="0" w:space="0" w:color="auto"/>
        <w:right w:val="none" w:sz="0" w:space="0" w:color="auto"/>
      </w:divBdr>
    </w:div>
    <w:div w:id="1978799006">
      <w:bodyDiv w:val="1"/>
      <w:marLeft w:val="0"/>
      <w:marRight w:val="0"/>
      <w:marTop w:val="0"/>
      <w:marBottom w:val="0"/>
      <w:divBdr>
        <w:top w:val="none" w:sz="0" w:space="0" w:color="auto"/>
        <w:left w:val="none" w:sz="0" w:space="0" w:color="auto"/>
        <w:bottom w:val="none" w:sz="0" w:space="0" w:color="auto"/>
        <w:right w:val="none" w:sz="0" w:space="0" w:color="auto"/>
      </w:divBdr>
    </w:div>
    <w:div w:id="1978876722">
      <w:bodyDiv w:val="1"/>
      <w:marLeft w:val="0"/>
      <w:marRight w:val="0"/>
      <w:marTop w:val="0"/>
      <w:marBottom w:val="0"/>
      <w:divBdr>
        <w:top w:val="none" w:sz="0" w:space="0" w:color="auto"/>
        <w:left w:val="none" w:sz="0" w:space="0" w:color="auto"/>
        <w:bottom w:val="none" w:sz="0" w:space="0" w:color="auto"/>
        <w:right w:val="none" w:sz="0" w:space="0" w:color="auto"/>
      </w:divBdr>
    </w:div>
    <w:div w:id="1978947674">
      <w:bodyDiv w:val="1"/>
      <w:marLeft w:val="0"/>
      <w:marRight w:val="0"/>
      <w:marTop w:val="0"/>
      <w:marBottom w:val="0"/>
      <w:divBdr>
        <w:top w:val="none" w:sz="0" w:space="0" w:color="auto"/>
        <w:left w:val="none" w:sz="0" w:space="0" w:color="auto"/>
        <w:bottom w:val="none" w:sz="0" w:space="0" w:color="auto"/>
        <w:right w:val="none" w:sz="0" w:space="0" w:color="auto"/>
      </w:divBdr>
    </w:div>
    <w:div w:id="1978994369">
      <w:bodyDiv w:val="1"/>
      <w:marLeft w:val="0"/>
      <w:marRight w:val="0"/>
      <w:marTop w:val="0"/>
      <w:marBottom w:val="0"/>
      <w:divBdr>
        <w:top w:val="none" w:sz="0" w:space="0" w:color="auto"/>
        <w:left w:val="none" w:sz="0" w:space="0" w:color="auto"/>
        <w:bottom w:val="none" w:sz="0" w:space="0" w:color="auto"/>
        <w:right w:val="none" w:sz="0" w:space="0" w:color="auto"/>
      </w:divBdr>
    </w:div>
    <w:div w:id="1979064150">
      <w:bodyDiv w:val="1"/>
      <w:marLeft w:val="0"/>
      <w:marRight w:val="0"/>
      <w:marTop w:val="0"/>
      <w:marBottom w:val="0"/>
      <w:divBdr>
        <w:top w:val="none" w:sz="0" w:space="0" w:color="auto"/>
        <w:left w:val="none" w:sz="0" w:space="0" w:color="auto"/>
        <w:bottom w:val="none" w:sz="0" w:space="0" w:color="auto"/>
        <w:right w:val="none" w:sz="0" w:space="0" w:color="auto"/>
      </w:divBdr>
    </w:div>
    <w:div w:id="1979341839">
      <w:bodyDiv w:val="1"/>
      <w:marLeft w:val="0"/>
      <w:marRight w:val="0"/>
      <w:marTop w:val="0"/>
      <w:marBottom w:val="0"/>
      <w:divBdr>
        <w:top w:val="none" w:sz="0" w:space="0" w:color="auto"/>
        <w:left w:val="none" w:sz="0" w:space="0" w:color="auto"/>
        <w:bottom w:val="none" w:sz="0" w:space="0" w:color="auto"/>
        <w:right w:val="none" w:sz="0" w:space="0" w:color="auto"/>
      </w:divBdr>
    </w:div>
    <w:div w:id="1979605861">
      <w:bodyDiv w:val="1"/>
      <w:marLeft w:val="0"/>
      <w:marRight w:val="0"/>
      <w:marTop w:val="0"/>
      <w:marBottom w:val="0"/>
      <w:divBdr>
        <w:top w:val="none" w:sz="0" w:space="0" w:color="auto"/>
        <w:left w:val="none" w:sz="0" w:space="0" w:color="auto"/>
        <w:bottom w:val="none" w:sz="0" w:space="0" w:color="auto"/>
        <w:right w:val="none" w:sz="0" w:space="0" w:color="auto"/>
      </w:divBdr>
    </w:div>
    <w:div w:id="1979651042">
      <w:bodyDiv w:val="1"/>
      <w:marLeft w:val="0"/>
      <w:marRight w:val="0"/>
      <w:marTop w:val="0"/>
      <w:marBottom w:val="0"/>
      <w:divBdr>
        <w:top w:val="none" w:sz="0" w:space="0" w:color="auto"/>
        <w:left w:val="none" w:sz="0" w:space="0" w:color="auto"/>
        <w:bottom w:val="none" w:sz="0" w:space="0" w:color="auto"/>
        <w:right w:val="none" w:sz="0" w:space="0" w:color="auto"/>
      </w:divBdr>
    </w:div>
    <w:div w:id="1979797875">
      <w:bodyDiv w:val="1"/>
      <w:marLeft w:val="0"/>
      <w:marRight w:val="0"/>
      <w:marTop w:val="0"/>
      <w:marBottom w:val="0"/>
      <w:divBdr>
        <w:top w:val="none" w:sz="0" w:space="0" w:color="auto"/>
        <w:left w:val="none" w:sz="0" w:space="0" w:color="auto"/>
        <w:bottom w:val="none" w:sz="0" w:space="0" w:color="auto"/>
        <w:right w:val="none" w:sz="0" w:space="0" w:color="auto"/>
      </w:divBdr>
    </w:div>
    <w:div w:id="1979801214">
      <w:bodyDiv w:val="1"/>
      <w:marLeft w:val="0"/>
      <w:marRight w:val="0"/>
      <w:marTop w:val="0"/>
      <w:marBottom w:val="0"/>
      <w:divBdr>
        <w:top w:val="none" w:sz="0" w:space="0" w:color="auto"/>
        <w:left w:val="none" w:sz="0" w:space="0" w:color="auto"/>
        <w:bottom w:val="none" w:sz="0" w:space="0" w:color="auto"/>
        <w:right w:val="none" w:sz="0" w:space="0" w:color="auto"/>
      </w:divBdr>
    </w:div>
    <w:div w:id="1979803842">
      <w:bodyDiv w:val="1"/>
      <w:marLeft w:val="0"/>
      <w:marRight w:val="0"/>
      <w:marTop w:val="0"/>
      <w:marBottom w:val="0"/>
      <w:divBdr>
        <w:top w:val="none" w:sz="0" w:space="0" w:color="auto"/>
        <w:left w:val="none" w:sz="0" w:space="0" w:color="auto"/>
        <w:bottom w:val="none" w:sz="0" w:space="0" w:color="auto"/>
        <w:right w:val="none" w:sz="0" w:space="0" w:color="auto"/>
      </w:divBdr>
    </w:div>
    <w:div w:id="1979991487">
      <w:bodyDiv w:val="1"/>
      <w:marLeft w:val="0"/>
      <w:marRight w:val="0"/>
      <w:marTop w:val="0"/>
      <w:marBottom w:val="0"/>
      <w:divBdr>
        <w:top w:val="none" w:sz="0" w:space="0" w:color="auto"/>
        <w:left w:val="none" w:sz="0" w:space="0" w:color="auto"/>
        <w:bottom w:val="none" w:sz="0" w:space="0" w:color="auto"/>
        <w:right w:val="none" w:sz="0" w:space="0" w:color="auto"/>
      </w:divBdr>
    </w:div>
    <w:div w:id="1980039636">
      <w:bodyDiv w:val="1"/>
      <w:marLeft w:val="0"/>
      <w:marRight w:val="0"/>
      <w:marTop w:val="0"/>
      <w:marBottom w:val="0"/>
      <w:divBdr>
        <w:top w:val="none" w:sz="0" w:space="0" w:color="auto"/>
        <w:left w:val="none" w:sz="0" w:space="0" w:color="auto"/>
        <w:bottom w:val="none" w:sz="0" w:space="0" w:color="auto"/>
        <w:right w:val="none" w:sz="0" w:space="0" w:color="auto"/>
      </w:divBdr>
    </w:div>
    <w:div w:id="1980107297">
      <w:bodyDiv w:val="1"/>
      <w:marLeft w:val="0"/>
      <w:marRight w:val="0"/>
      <w:marTop w:val="0"/>
      <w:marBottom w:val="0"/>
      <w:divBdr>
        <w:top w:val="none" w:sz="0" w:space="0" w:color="auto"/>
        <w:left w:val="none" w:sz="0" w:space="0" w:color="auto"/>
        <w:bottom w:val="none" w:sz="0" w:space="0" w:color="auto"/>
        <w:right w:val="none" w:sz="0" w:space="0" w:color="auto"/>
      </w:divBdr>
    </w:div>
    <w:div w:id="1980184880">
      <w:bodyDiv w:val="1"/>
      <w:marLeft w:val="0"/>
      <w:marRight w:val="0"/>
      <w:marTop w:val="0"/>
      <w:marBottom w:val="0"/>
      <w:divBdr>
        <w:top w:val="none" w:sz="0" w:space="0" w:color="auto"/>
        <w:left w:val="none" w:sz="0" w:space="0" w:color="auto"/>
        <w:bottom w:val="none" w:sz="0" w:space="0" w:color="auto"/>
        <w:right w:val="none" w:sz="0" w:space="0" w:color="auto"/>
      </w:divBdr>
    </w:div>
    <w:div w:id="1980308017">
      <w:bodyDiv w:val="1"/>
      <w:marLeft w:val="0"/>
      <w:marRight w:val="0"/>
      <w:marTop w:val="0"/>
      <w:marBottom w:val="0"/>
      <w:divBdr>
        <w:top w:val="none" w:sz="0" w:space="0" w:color="auto"/>
        <w:left w:val="none" w:sz="0" w:space="0" w:color="auto"/>
        <w:bottom w:val="none" w:sz="0" w:space="0" w:color="auto"/>
        <w:right w:val="none" w:sz="0" w:space="0" w:color="auto"/>
      </w:divBdr>
    </w:div>
    <w:div w:id="1980450810">
      <w:bodyDiv w:val="1"/>
      <w:marLeft w:val="0"/>
      <w:marRight w:val="0"/>
      <w:marTop w:val="0"/>
      <w:marBottom w:val="0"/>
      <w:divBdr>
        <w:top w:val="none" w:sz="0" w:space="0" w:color="auto"/>
        <w:left w:val="none" w:sz="0" w:space="0" w:color="auto"/>
        <w:bottom w:val="none" w:sz="0" w:space="0" w:color="auto"/>
        <w:right w:val="none" w:sz="0" w:space="0" w:color="auto"/>
      </w:divBdr>
    </w:div>
    <w:div w:id="1980723513">
      <w:bodyDiv w:val="1"/>
      <w:marLeft w:val="0"/>
      <w:marRight w:val="0"/>
      <w:marTop w:val="0"/>
      <w:marBottom w:val="0"/>
      <w:divBdr>
        <w:top w:val="none" w:sz="0" w:space="0" w:color="auto"/>
        <w:left w:val="none" w:sz="0" w:space="0" w:color="auto"/>
        <w:bottom w:val="none" w:sz="0" w:space="0" w:color="auto"/>
        <w:right w:val="none" w:sz="0" w:space="0" w:color="auto"/>
      </w:divBdr>
    </w:div>
    <w:div w:id="1980725607">
      <w:bodyDiv w:val="1"/>
      <w:marLeft w:val="0"/>
      <w:marRight w:val="0"/>
      <w:marTop w:val="0"/>
      <w:marBottom w:val="0"/>
      <w:divBdr>
        <w:top w:val="none" w:sz="0" w:space="0" w:color="auto"/>
        <w:left w:val="none" w:sz="0" w:space="0" w:color="auto"/>
        <w:bottom w:val="none" w:sz="0" w:space="0" w:color="auto"/>
        <w:right w:val="none" w:sz="0" w:space="0" w:color="auto"/>
      </w:divBdr>
    </w:div>
    <w:div w:id="1980842783">
      <w:bodyDiv w:val="1"/>
      <w:marLeft w:val="0"/>
      <w:marRight w:val="0"/>
      <w:marTop w:val="0"/>
      <w:marBottom w:val="0"/>
      <w:divBdr>
        <w:top w:val="none" w:sz="0" w:space="0" w:color="auto"/>
        <w:left w:val="none" w:sz="0" w:space="0" w:color="auto"/>
        <w:bottom w:val="none" w:sz="0" w:space="0" w:color="auto"/>
        <w:right w:val="none" w:sz="0" w:space="0" w:color="auto"/>
      </w:divBdr>
    </w:div>
    <w:div w:id="1980959937">
      <w:bodyDiv w:val="1"/>
      <w:marLeft w:val="0"/>
      <w:marRight w:val="0"/>
      <w:marTop w:val="0"/>
      <w:marBottom w:val="0"/>
      <w:divBdr>
        <w:top w:val="none" w:sz="0" w:space="0" w:color="auto"/>
        <w:left w:val="none" w:sz="0" w:space="0" w:color="auto"/>
        <w:bottom w:val="none" w:sz="0" w:space="0" w:color="auto"/>
        <w:right w:val="none" w:sz="0" w:space="0" w:color="auto"/>
      </w:divBdr>
    </w:div>
    <w:div w:id="1981224405">
      <w:bodyDiv w:val="1"/>
      <w:marLeft w:val="0"/>
      <w:marRight w:val="0"/>
      <w:marTop w:val="0"/>
      <w:marBottom w:val="0"/>
      <w:divBdr>
        <w:top w:val="none" w:sz="0" w:space="0" w:color="auto"/>
        <w:left w:val="none" w:sz="0" w:space="0" w:color="auto"/>
        <w:bottom w:val="none" w:sz="0" w:space="0" w:color="auto"/>
        <w:right w:val="none" w:sz="0" w:space="0" w:color="auto"/>
      </w:divBdr>
    </w:div>
    <w:div w:id="1981226081">
      <w:bodyDiv w:val="1"/>
      <w:marLeft w:val="0"/>
      <w:marRight w:val="0"/>
      <w:marTop w:val="0"/>
      <w:marBottom w:val="0"/>
      <w:divBdr>
        <w:top w:val="none" w:sz="0" w:space="0" w:color="auto"/>
        <w:left w:val="none" w:sz="0" w:space="0" w:color="auto"/>
        <w:bottom w:val="none" w:sz="0" w:space="0" w:color="auto"/>
        <w:right w:val="none" w:sz="0" w:space="0" w:color="auto"/>
      </w:divBdr>
    </w:div>
    <w:div w:id="1981230974">
      <w:bodyDiv w:val="1"/>
      <w:marLeft w:val="0"/>
      <w:marRight w:val="0"/>
      <w:marTop w:val="0"/>
      <w:marBottom w:val="0"/>
      <w:divBdr>
        <w:top w:val="none" w:sz="0" w:space="0" w:color="auto"/>
        <w:left w:val="none" w:sz="0" w:space="0" w:color="auto"/>
        <w:bottom w:val="none" w:sz="0" w:space="0" w:color="auto"/>
        <w:right w:val="none" w:sz="0" w:space="0" w:color="auto"/>
      </w:divBdr>
    </w:div>
    <w:div w:id="1981492675">
      <w:bodyDiv w:val="1"/>
      <w:marLeft w:val="0"/>
      <w:marRight w:val="0"/>
      <w:marTop w:val="0"/>
      <w:marBottom w:val="0"/>
      <w:divBdr>
        <w:top w:val="none" w:sz="0" w:space="0" w:color="auto"/>
        <w:left w:val="none" w:sz="0" w:space="0" w:color="auto"/>
        <w:bottom w:val="none" w:sz="0" w:space="0" w:color="auto"/>
        <w:right w:val="none" w:sz="0" w:space="0" w:color="auto"/>
      </w:divBdr>
    </w:div>
    <w:div w:id="1981496886">
      <w:bodyDiv w:val="1"/>
      <w:marLeft w:val="0"/>
      <w:marRight w:val="0"/>
      <w:marTop w:val="0"/>
      <w:marBottom w:val="0"/>
      <w:divBdr>
        <w:top w:val="none" w:sz="0" w:space="0" w:color="auto"/>
        <w:left w:val="none" w:sz="0" w:space="0" w:color="auto"/>
        <w:bottom w:val="none" w:sz="0" w:space="0" w:color="auto"/>
        <w:right w:val="none" w:sz="0" w:space="0" w:color="auto"/>
      </w:divBdr>
    </w:div>
    <w:div w:id="1982154372">
      <w:bodyDiv w:val="1"/>
      <w:marLeft w:val="0"/>
      <w:marRight w:val="0"/>
      <w:marTop w:val="0"/>
      <w:marBottom w:val="0"/>
      <w:divBdr>
        <w:top w:val="none" w:sz="0" w:space="0" w:color="auto"/>
        <w:left w:val="none" w:sz="0" w:space="0" w:color="auto"/>
        <w:bottom w:val="none" w:sz="0" w:space="0" w:color="auto"/>
        <w:right w:val="none" w:sz="0" w:space="0" w:color="auto"/>
      </w:divBdr>
    </w:div>
    <w:div w:id="1982347913">
      <w:bodyDiv w:val="1"/>
      <w:marLeft w:val="0"/>
      <w:marRight w:val="0"/>
      <w:marTop w:val="0"/>
      <w:marBottom w:val="0"/>
      <w:divBdr>
        <w:top w:val="none" w:sz="0" w:space="0" w:color="auto"/>
        <w:left w:val="none" w:sz="0" w:space="0" w:color="auto"/>
        <w:bottom w:val="none" w:sz="0" w:space="0" w:color="auto"/>
        <w:right w:val="none" w:sz="0" w:space="0" w:color="auto"/>
      </w:divBdr>
    </w:div>
    <w:div w:id="1982348238">
      <w:bodyDiv w:val="1"/>
      <w:marLeft w:val="0"/>
      <w:marRight w:val="0"/>
      <w:marTop w:val="0"/>
      <w:marBottom w:val="0"/>
      <w:divBdr>
        <w:top w:val="none" w:sz="0" w:space="0" w:color="auto"/>
        <w:left w:val="none" w:sz="0" w:space="0" w:color="auto"/>
        <w:bottom w:val="none" w:sz="0" w:space="0" w:color="auto"/>
        <w:right w:val="none" w:sz="0" w:space="0" w:color="auto"/>
      </w:divBdr>
    </w:div>
    <w:div w:id="1982691095">
      <w:bodyDiv w:val="1"/>
      <w:marLeft w:val="0"/>
      <w:marRight w:val="0"/>
      <w:marTop w:val="0"/>
      <w:marBottom w:val="0"/>
      <w:divBdr>
        <w:top w:val="none" w:sz="0" w:space="0" w:color="auto"/>
        <w:left w:val="none" w:sz="0" w:space="0" w:color="auto"/>
        <w:bottom w:val="none" w:sz="0" w:space="0" w:color="auto"/>
        <w:right w:val="none" w:sz="0" w:space="0" w:color="auto"/>
      </w:divBdr>
    </w:div>
    <w:div w:id="1982691483">
      <w:bodyDiv w:val="1"/>
      <w:marLeft w:val="0"/>
      <w:marRight w:val="0"/>
      <w:marTop w:val="0"/>
      <w:marBottom w:val="0"/>
      <w:divBdr>
        <w:top w:val="none" w:sz="0" w:space="0" w:color="auto"/>
        <w:left w:val="none" w:sz="0" w:space="0" w:color="auto"/>
        <w:bottom w:val="none" w:sz="0" w:space="0" w:color="auto"/>
        <w:right w:val="none" w:sz="0" w:space="0" w:color="auto"/>
      </w:divBdr>
    </w:div>
    <w:div w:id="1982727325">
      <w:bodyDiv w:val="1"/>
      <w:marLeft w:val="0"/>
      <w:marRight w:val="0"/>
      <w:marTop w:val="0"/>
      <w:marBottom w:val="0"/>
      <w:divBdr>
        <w:top w:val="none" w:sz="0" w:space="0" w:color="auto"/>
        <w:left w:val="none" w:sz="0" w:space="0" w:color="auto"/>
        <w:bottom w:val="none" w:sz="0" w:space="0" w:color="auto"/>
        <w:right w:val="none" w:sz="0" w:space="0" w:color="auto"/>
      </w:divBdr>
    </w:div>
    <w:div w:id="1983002126">
      <w:bodyDiv w:val="1"/>
      <w:marLeft w:val="0"/>
      <w:marRight w:val="0"/>
      <w:marTop w:val="0"/>
      <w:marBottom w:val="0"/>
      <w:divBdr>
        <w:top w:val="none" w:sz="0" w:space="0" w:color="auto"/>
        <w:left w:val="none" w:sz="0" w:space="0" w:color="auto"/>
        <w:bottom w:val="none" w:sz="0" w:space="0" w:color="auto"/>
        <w:right w:val="none" w:sz="0" w:space="0" w:color="auto"/>
      </w:divBdr>
    </w:div>
    <w:div w:id="1983189493">
      <w:bodyDiv w:val="1"/>
      <w:marLeft w:val="0"/>
      <w:marRight w:val="0"/>
      <w:marTop w:val="0"/>
      <w:marBottom w:val="0"/>
      <w:divBdr>
        <w:top w:val="none" w:sz="0" w:space="0" w:color="auto"/>
        <w:left w:val="none" w:sz="0" w:space="0" w:color="auto"/>
        <w:bottom w:val="none" w:sz="0" w:space="0" w:color="auto"/>
        <w:right w:val="none" w:sz="0" w:space="0" w:color="auto"/>
      </w:divBdr>
    </w:div>
    <w:div w:id="1983196340">
      <w:bodyDiv w:val="1"/>
      <w:marLeft w:val="0"/>
      <w:marRight w:val="0"/>
      <w:marTop w:val="0"/>
      <w:marBottom w:val="0"/>
      <w:divBdr>
        <w:top w:val="none" w:sz="0" w:space="0" w:color="auto"/>
        <w:left w:val="none" w:sz="0" w:space="0" w:color="auto"/>
        <w:bottom w:val="none" w:sz="0" w:space="0" w:color="auto"/>
        <w:right w:val="none" w:sz="0" w:space="0" w:color="auto"/>
      </w:divBdr>
    </w:div>
    <w:div w:id="1983265591">
      <w:bodyDiv w:val="1"/>
      <w:marLeft w:val="0"/>
      <w:marRight w:val="0"/>
      <w:marTop w:val="0"/>
      <w:marBottom w:val="0"/>
      <w:divBdr>
        <w:top w:val="none" w:sz="0" w:space="0" w:color="auto"/>
        <w:left w:val="none" w:sz="0" w:space="0" w:color="auto"/>
        <w:bottom w:val="none" w:sz="0" w:space="0" w:color="auto"/>
        <w:right w:val="none" w:sz="0" w:space="0" w:color="auto"/>
      </w:divBdr>
    </w:div>
    <w:div w:id="1983268953">
      <w:bodyDiv w:val="1"/>
      <w:marLeft w:val="0"/>
      <w:marRight w:val="0"/>
      <w:marTop w:val="0"/>
      <w:marBottom w:val="0"/>
      <w:divBdr>
        <w:top w:val="none" w:sz="0" w:space="0" w:color="auto"/>
        <w:left w:val="none" w:sz="0" w:space="0" w:color="auto"/>
        <w:bottom w:val="none" w:sz="0" w:space="0" w:color="auto"/>
        <w:right w:val="none" w:sz="0" w:space="0" w:color="auto"/>
      </w:divBdr>
    </w:div>
    <w:div w:id="1983342025">
      <w:bodyDiv w:val="1"/>
      <w:marLeft w:val="0"/>
      <w:marRight w:val="0"/>
      <w:marTop w:val="0"/>
      <w:marBottom w:val="0"/>
      <w:divBdr>
        <w:top w:val="none" w:sz="0" w:space="0" w:color="auto"/>
        <w:left w:val="none" w:sz="0" w:space="0" w:color="auto"/>
        <w:bottom w:val="none" w:sz="0" w:space="0" w:color="auto"/>
        <w:right w:val="none" w:sz="0" w:space="0" w:color="auto"/>
      </w:divBdr>
    </w:div>
    <w:div w:id="1983465418">
      <w:bodyDiv w:val="1"/>
      <w:marLeft w:val="0"/>
      <w:marRight w:val="0"/>
      <w:marTop w:val="0"/>
      <w:marBottom w:val="0"/>
      <w:divBdr>
        <w:top w:val="none" w:sz="0" w:space="0" w:color="auto"/>
        <w:left w:val="none" w:sz="0" w:space="0" w:color="auto"/>
        <w:bottom w:val="none" w:sz="0" w:space="0" w:color="auto"/>
        <w:right w:val="none" w:sz="0" w:space="0" w:color="auto"/>
      </w:divBdr>
    </w:div>
    <w:div w:id="1983578510">
      <w:bodyDiv w:val="1"/>
      <w:marLeft w:val="0"/>
      <w:marRight w:val="0"/>
      <w:marTop w:val="0"/>
      <w:marBottom w:val="0"/>
      <w:divBdr>
        <w:top w:val="none" w:sz="0" w:space="0" w:color="auto"/>
        <w:left w:val="none" w:sz="0" w:space="0" w:color="auto"/>
        <w:bottom w:val="none" w:sz="0" w:space="0" w:color="auto"/>
        <w:right w:val="none" w:sz="0" w:space="0" w:color="auto"/>
      </w:divBdr>
    </w:div>
    <w:div w:id="1983776365">
      <w:bodyDiv w:val="1"/>
      <w:marLeft w:val="0"/>
      <w:marRight w:val="0"/>
      <w:marTop w:val="0"/>
      <w:marBottom w:val="0"/>
      <w:divBdr>
        <w:top w:val="none" w:sz="0" w:space="0" w:color="auto"/>
        <w:left w:val="none" w:sz="0" w:space="0" w:color="auto"/>
        <w:bottom w:val="none" w:sz="0" w:space="0" w:color="auto"/>
        <w:right w:val="none" w:sz="0" w:space="0" w:color="auto"/>
      </w:divBdr>
    </w:div>
    <w:div w:id="1983928126">
      <w:bodyDiv w:val="1"/>
      <w:marLeft w:val="0"/>
      <w:marRight w:val="0"/>
      <w:marTop w:val="0"/>
      <w:marBottom w:val="0"/>
      <w:divBdr>
        <w:top w:val="none" w:sz="0" w:space="0" w:color="auto"/>
        <w:left w:val="none" w:sz="0" w:space="0" w:color="auto"/>
        <w:bottom w:val="none" w:sz="0" w:space="0" w:color="auto"/>
        <w:right w:val="none" w:sz="0" w:space="0" w:color="auto"/>
      </w:divBdr>
    </w:div>
    <w:div w:id="1984046479">
      <w:bodyDiv w:val="1"/>
      <w:marLeft w:val="0"/>
      <w:marRight w:val="0"/>
      <w:marTop w:val="0"/>
      <w:marBottom w:val="0"/>
      <w:divBdr>
        <w:top w:val="none" w:sz="0" w:space="0" w:color="auto"/>
        <w:left w:val="none" w:sz="0" w:space="0" w:color="auto"/>
        <w:bottom w:val="none" w:sz="0" w:space="0" w:color="auto"/>
        <w:right w:val="none" w:sz="0" w:space="0" w:color="auto"/>
      </w:divBdr>
    </w:div>
    <w:div w:id="1984115996">
      <w:bodyDiv w:val="1"/>
      <w:marLeft w:val="0"/>
      <w:marRight w:val="0"/>
      <w:marTop w:val="0"/>
      <w:marBottom w:val="0"/>
      <w:divBdr>
        <w:top w:val="none" w:sz="0" w:space="0" w:color="auto"/>
        <w:left w:val="none" w:sz="0" w:space="0" w:color="auto"/>
        <w:bottom w:val="none" w:sz="0" w:space="0" w:color="auto"/>
        <w:right w:val="none" w:sz="0" w:space="0" w:color="auto"/>
      </w:divBdr>
    </w:div>
    <w:div w:id="1984188897">
      <w:bodyDiv w:val="1"/>
      <w:marLeft w:val="0"/>
      <w:marRight w:val="0"/>
      <w:marTop w:val="0"/>
      <w:marBottom w:val="0"/>
      <w:divBdr>
        <w:top w:val="none" w:sz="0" w:space="0" w:color="auto"/>
        <w:left w:val="none" w:sz="0" w:space="0" w:color="auto"/>
        <w:bottom w:val="none" w:sz="0" w:space="0" w:color="auto"/>
        <w:right w:val="none" w:sz="0" w:space="0" w:color="auto"/>
      </w:divBdr>
    </w:div>
    <w:div w:id="1984234011">
      <w:bodyDiv w:val="1"/>
      <w:marLeft w:val="0"/>
      <w:marRight w:val="0"/>
      <w:marTop w:val="0"/>
      <w:marBottom w:val="0"/>
      <w:divBdr>
        <w:top w:val="none" w:sz="0" w:space="0" w:color="auto"/>
        <w:left w:val="none" w:sz="0" w:space="0" w:color="auto"/>
        <w:bottom w:val="none" w:sz="0" w:space="0" w:color="auto"/>
        <w:right w:val="none" w:sz="0" w:space="0" w:color="auto"/>
      </w:divBdr>
    </w:div>
    <w:div w:id="1984384047">
      <w:bodyDiv w:val="1"/>
      <w:marLeft w:val="0"/>
      <w:marRight w:val="0"/>
      <w:marTop w:val="0"/>
      <w:marBottom w:val="0"/>
      <w:divBdr>
        <w:top w:val="none" w:sz="0" w:space="0" w:color="auto"/>
        <w:left w:val="none" w:sz="0" w:space="0" w:color="auto"/>
        <w:bottom w:val="none" w:sz="0" w:space="0" w:color="auto"/>
        <w:right w:val="none" w:sz="0" w:space="0" w:color="auto"/>
      </w:divBdr>
    </w:div>
    <w:div w:id="1984499207">
      <w:bodyDiv w:val="1"/>
      <w:marLeft w:val="0"/>
      <w:marRight w:val="0"/>
      <w:marTop w:val="0"/>
      <w:marBottom w:val="0"/>
      <w:divBdr>
        <w:top w:val="none" w:sz="0" w:space="0" w:color="auto"/>
        <w:left w:val="none" w:sz="0" w:space="0" w:color="auto"/>
        <w:bottom w:val="none" w:sz="0" w:space="0" w:color="auto"/>
        <w:right w:val="none" w:sz="0" w:space="0" w:color="auto"/>
      </w:divBdr>
    </w:div>
    <w:div w:id="1984579306">
      <w:bodyDiv w:val="1"/>
      <w:marLeft w:val="0"/>
      <w:marRight w:val="0"/>
      <w:marTop w:val="0"/>
      <w:marBottom w:val="0"/>
      <w:divBdr>
        <w:top w:val="none" w:sz="0" w:space="0" w:color="auto"/>
        <w:left w:val="none" w:sz="0" w:space="0" w:color="auto"/>
        <w:bottom w:val="none" w:sz="0" w:space="0" w:color="auto"/>
        <w:right w:val="none" w:sz="0" w:space="0" w:color="auto"/>
      </w:divBdr>
    </w:div>
    <w:div w:id="1984696971">
      <w:bodyDiv w:val="1"/>
      <w:marLeft w:val="0"/>
      <w:marRight w:val="0"/>
      <w:marTop w:val="0"/>
      <w:marBottom w:val="0"/>
      <w:divBdr>
        <w:top w:val="none" w:sz="0" w:space="0" w:color="auto"/>
        <w:left w:val="none" w:sz="0" w:space="0" w:color="auto"/>
        <w:bottom w:val="none" w:sz="0" w:space="0" w:color="auto"/>
        <w:right w:val="none" w:sz="0" w:space="0" w:color="auto"/>
      </w:divBdr>
    </w:div>
    <w:div w:id="1984774174">
      <w:bodyDiv w:val="1"/>
      <w:marLeft w:val="0"/>
      <w:marRight w:val="0"/>
      <w:marTop w:val="0"/>
      <w:marBottom w:val="0"/>
      <w:divBdr>
        <w:top w:val="none" w:sz="0" w:space="0" w:color="auto"/>
        <w:left w:val="none" w:sz="0" w:space="0" w:color="auto"/>
        <w:bottom w:val="none" w:sz="0" w:space="0" w:color="auto"/>
        <w:right w:val="none" w:sz="0" w:space="0" w:color="auto"/>
      </w:divBdr>
    </w:div>
    <w:div w:id="1984846029">
      <w:bodyDiv w:val="1"/>
      <w:marLeft w:val="0"/>
      <w:marRight w:val="0"/>
      <w:marTop w:val="0"/>
      <w:marBottom w:val="0"/>
      <w:divBdr>
        <w:top w:val="none" w:sz="0" w:space="0" w:color="auto"/>
        <w:left w:val="none" w:sz="0" w:space="0" w:color="auto"/>
        <w:bottom w:val="none" w:sz="0" w:space="0" w:color="auto"/>
        <w:right w:val="none" w:sz="0" w:space="0" w:color="auto"/>
      </w:divBdr>
    </w:div>
    <w:div w:id="1984846714">
      <w:bodyDiv w:val="1"/>
      <w:marLeft w:val="0"/>
      <w:marRight w:val="0"/>
      <w:marTop w:val="0"/>
      <w:marBottom w:val="0"/>
      <w:divBdr>
        <w:top w:val="none" w:sz="0" w:space="0" w:color="auto"/>
        <w:left w:val="none" w:sz="0" w:space="0" w:color="auto"/>
        <w:bottom w:val="none" w:sz="0" w:space="0" w:color="auto"/>
        <w:right w:val="none" w:sz="0" w:space="0" w:color="auto"/>
      </w:divBdr>
    </w:div>
    <w:div w:id="1984966082">
      <w:bodyDiv w:val="1"/>
      <w:marLeft w:val="0"/>
      <w:marRight w:val="0"/>
      <w:marTop w:val="0"/>
      <w:marBottom w:val="0"/>
      <w:divBdr>
        <w:top w:val="none" w:sz="0" w:space="0" w:color="auto"/>
        <w:left w:val="none" w:sz="0" w:space="0" w:color="auto"/>
        <w:bottom w:val="none" w:sz="0" w:space="0" w:color="auto"/>
        <w:right w:val="none" w:sz="0" w:space="0" w:color="auto"/>
      </w:divBdr>
    </w:div>
    <w:div w:id="1985161832">
      <w:bodyDiv w:val="1"/>
      <w:marLeft w:val="0"/>
      <w:marRight w:val="0"/>
      <w:marTop w:val="0"/>
      <w:marBottom w:val="0"/>
      <w:divBdr>
        <w:top w:val="none" w:sz="0" w:space="0" w:color="auto"/>
        <w:left w:val="none" w:sz="0" w:space="0" w:color="auto"/>
        <w:bottom w:val="none" w:sz="0" w:space="0" w:color="auto"/>
        <w:right w:val="none" w:sz="0" w:space="0" w:color="auto"/>
      </w:divBdr>
    </w:div>
    <w:div w:id="1985233041">
      <w:bodyDiv w:val="1"/>
      <w:marLeft w:val="0"/>
      <w:marRight w:val="0"/>
      <w:marTop w:val="0"/>
      <w:marBottom w:val="0"/>
      <w:divBdr>
        <w:top w:val="none" w:sz="0" w:space="0" w:color="auto"/>
        <w:left w:val="none" w:sz="0" w:space="0" w:color="auto"/>
        <w:bottom w:val="none" w:sz="0" w:space="0" w:color="auto"/>
        <w:right w:val="none" w:sz="0" w:space="0" w:color="auto"/>
      </w:divBdr>
    </w:div>
    <w:div w:id="1985353259">
      <w:bodyDiv w:val="1"/>
      <w:marLeft w:val="0"/>
      <w:marRight w:val="0"/>
      <w:marTop w:val="0"/>
      <w:marBottom w:val="0"/>
      <w:divBdr>
        <w:top w:val="none" w:sz="0" w:space="0" w:color="auto"/>
        <w:left w:val="none" w:sz="0" w:space="0" w:color="auto"/>
        <w:bottom w:val="none" w:sz="0" w:space="0" w:color="auto"/>
        <w:right w:val="none" w:sz="0" w:space="0" w:color="auto"/>
      </w:divBdr>
    </w:div>
    <w:div w:id="1985432038">
      <w:bodyDiv w:val="1"/>
      <w:marLeft w:val="0"/>
      <w:marRight w:val="0"/>
      <w:marTop w:val="0"/>
      <w:marBottom w:val="0"/>
      <w:divBdr>
        <w:top w:val="none" w:sz="0" w:space="0" w:color="auto"/>
        <w:left w:val="none" w:sz="0" w:space="0" w:color="auto"/>
        <w:bottom w:val="none" w:sz="0" w:space="0" w:color="auto"/>
        <w:right w:val="none" w:sz="0" w:space="0" w:color="auto"/>
      </w:divBdr>
    </w:div>
    <w:div w:id="1985507011">
      <w:bodyDiv w:val="1"/>
      <w:marLeft w:val="0"/>
      <w:marRight w:val="0"/>
      <w:marTop w:val="0"/>
      <w:marBottom w:val="0"/>
      <w:divBdr>
        <w:top w:val="none" w:sz="0" w:space="0" w:color="auto"/>
        <w:left w:val="none" w:sz="0" w:space="0" w:color="auto"/>
        <w:bottom w:val="none" w:sz="0" w:space="0" w:color="auto"/>
        <w:right w:val="none" w:sz="0" w:space="0" w:color="auto"/>
      </w:divBdr>
    </w:div>
    <w:div w:id="1985547011">
      <w:bodyDiv w:val="1"/>
      <w:marLeft w:val="0"/>
      <w:marRight w:val="0"/>
      <w:marTop w:val="0"/>
      <w:marBottom w:val="0"/>
      <w:divBdr>
        <w:top w:val="none" w:sz="0" w:space="0" w:color="auto"/>
        <w:left w:val="none" w:sz="0" w:space="0" w:color="auto"/>
        <w:bottom w:val="none" w:sz="0" w:space="0" w:color="auto"/>
        <w:right w:val="none" w:sz="0" w:space="0" w:color="auto"/>
      </w:divBdr>
    </w:div>
    <w:div w:id="1985743221">
      <w:bodyDiv w:val="1"/>
      <w:marLeft w:val="0"/>
      <w:marRight w:val="0"/>
      <w:marTop w:val="0"/>
      <w:marBottom w:val="0"/>
      <w:divBdr>
        <w:top w:val="none" w:sz="0" w:space="0" w:color="auto"/>
        <w:left w:val="none" w:sz="0" w:space="0" w:color="auto"/>
        <w:bottom w:val="none" w:sz="0" w:space="0" w:color="auto"/>
        <w:right w:val="none" w:sz="0" w:space="0" w:color="auto"/>
      </w:divBdr>
    </w:div>
    <w:div w:id="1985770177">
      <w:bodyDiv w:val="1"/>
      <w:marLeft w:val="0"/>
      <w:marRight w:val="0"/>
      <w:marTop w:val="0"/>
      <w:marBottom w:val="0"/>
      <w:divBdr>
        <w:top w:val="none" w:sz="0" w:space="0" w:color="auto"/>
        <w:left w:val="none" w:sz="0" w:space="0" w:color="auto"/>
        <w:bottom w:val="none" w:sz="0" w:space="0" w:color="auto"/>
        <w:right w:val="none" w:sz="0" w:space="0" w:color="auto"/>
      </w:divBdr>
    </w:div>
    <w:div w:id="1985814724">
      <w:bodyDiv w:val="1"/>
      <w:marLeft w:val="0"/>
      <w:marRight w:val="0"/>
      <w:marTop w:val="0"/>
      <w:marBottom w:val="0"/>
      <w:divBdr>
        <w:top w:val="none" w:sz="0" w:space="0" w:color="auto"/>
        <w:left w:val="none" w:sz="0" w:space="0" w:color="auto"/>
        <w:bottom w:val="none" w:sz="0" w:space="0" w:color="auto"/>
        <w:right w:val="none" w:sz="0" w:space="0" w:color="auto"/>
      </w:divBdr>
    </w:div>
    <w:div w:id="1986163209">
      <w:bodyDiv w:val="1"/>
      <w:marLeft w:val="0"/>
      <w:marRight w:val="0"/>
      <w:marTop w:val="0"/>
      <w:marBottom w:val="0"/>
      <w:divBdr>
        <w:top w:val="none" w:sz="0" w:space="0" w:color="auto"/>
        <w:left w:val="none" w:sz="0" w:space="0" w:color="auto"/>
        <w:bottom w:val="none" w:sz="0" w:space="0" w:color="auto"/>
        <w:right w:val="none" w:sz="0" w:space="0" w:color="auto"/>
      </w:divBdr>
    </w:div>
    <w:div w:id="1986229110">
      <w:bodyDiv w:val="1"/>
      <w:marLeft w:val="0"/>
      <w:marRight w:val="0"/>
      <w:marTop w:val="0"/>
      <w:marBottom w:val="0"/>
      <w:divBdr>
        <w:top w:val="none" w:sz="0" w:space="0" w:color="auto"/>
        <w:left w:val="none" w:sz="0" w:space="0" w:color="auto"/>
        <w:bottom w:val="none" w:sz="0" w:space="0" w:color="auto"/>
        <w:right w:val="none" w:sz="0" w:space="0" w:color="auto"/>
      </w:divBdr>
    </w:div>
    <w:div w:id="1986274155">
      <w:bodyDiv w:val="1"/>
      <w:marLeft w:val="0"/>
      <w:marRight w:val="0"/>
      <w:marTop w:val="0"/>
      <w:marBottom w:val="0"/>
      <w:divBdr>
        <w:top w:val="none" w:sz="0" w:space="0" w:color="auto"/>
        <w:left w:val="none" w:sz="0" w:space="0" w:color="auto"/>
        <w:bottom w:val="none" w:sz="0" w:space="0" w:color="auto"/>
        <w:right w:val="none" w:sz="0" w:space="0" w:color="auto"/>
      </w:divBdr>
    </w:div>
    <w:div w:id="1986274262">
      <w:bodyDiv w:val="1"/>
      <w:marLeft w:val="0"/>
      <w:marRight w:val="0"/>
      <w:marTop w:val="0"/>
      <w:marBottom w:val="0"/>
      <w:divBdr>
        <w:top w:val="none" w:sz="0" w:space="0" w:color="auto"/>
        <w:left w:val="none" w:sz="0" w:space="0" w:color="auto"/>
        <w:bottom w:val="none" w:sz="0" w:space="0" w:color="auto"/>
        <w:right w:val="none" w:sz="0" w:space="0" w:color="auto"/>
      </w:divBdr>
    </w:div>
    <w:div w:id="1986352029">
      <w:bodyDiv w:val="1"/>
      <w:marLeft w:val="0"/>
      <w:marRight w:val="0"/>
      <w:marTop w:val="0"/>
      <w:marBottom w:val="0"/>
      <w:divBdr>
        <w:top w:val="none" w:sz="0" w:space="0" w:color="auto"/>
        <w:left w:val="none" w:sz="0" w:space="0" w:color="auto"/>
        <w:bottom w:val="none" w:sz="0" w:space="0" w:color="auto"/>
        <w:right w:val="none" w:sz="0" w:space="0" w:color="auto"/>
      </w:divBdr>
    </w:div>
    <w:div w:id="1986467752">
      <w:bodyDiv w:val="1"/>
      <w:marLeft w:val="0"/>
      <w:marRight w:val="0"/>
      <w:marTop w:val="0"/>
      <w:marBottom w:val="0"/>
      <w:divBdr>
        <w:top w:val="none" w:sz="0" w:space="0" w:color="auto"/>
        <w:left w:val="none" w:sz="0" w:space="0" w:color="auto"/>
        <w:bottom w:val="none" w:sz="0" w:space="0" w:color="auto"/>
        <w:right w:val="none" w:sz="0" w:space="0" w:color="auto"/>
      </w:divBdr>
    </w:div>
    <w:div w:id="1986545980">
      <w:bodyDiv w:val="1"/>
      <w:marLeft w:val="0"/>
      <w:marRight w:val="0"/>
      <w:marTop w:val="0"/>
      <w:marBottom w:val="0"/>
      <w:divBdr>
        <w:top w:val="none" w:sz="0" w:space="0" w:color="auto"/>
        <w:left w:val="none" w:sz="0" w:space="0" w:color="auto"/>
        <w:bottom w:val="none" w:sz="0" w:space="0" w:color="auto"/>
        <w:right w:val="none" w:sz="0" w:space="0" w:color="auto"/>
      </w:divBdr>
    </w:div>
    <w:div w:id="1986546803">
      <w:bodyDiv w:val="1"/>
      <w:marLeft w:val="0"/>
      <w:marRight w:val="0"/>
      <w:marTop w:val="0"/>
      <w:marBottom w:val="0"/>
      <w:divBdr>
        <w:top w:val="none" w:sz="0" w:space="0" w:color="auto"/>
        <w:left w:val="none" w:sz="0" w:space="0" w:color="auto"/>
        <w:bottom w:val="none" w:sz="0" w:space="0" w:color="auto"/>
        <w:right w:val="none" w:sz="0" w:space="0" w:color="auto"/>
      </w:divBdr>
    </w:div>
    <w:div w:id="1986549890">
      <w:bodyDiv w:val="1"/>
      <w:marLeft w:val="0"/>
      <w:marRight w:val="0"/>
      <w:marTop w:val="0"/>
      <w:marBottom w:val="0"/>
      <w:divBdr>
        <w:top w:val="none" w:sz="0" w:space="0" w:color="auto"/>
        <w:left w:val="none" w:sz="0" w:space="0" w:color="auto"/>
        <w:bottom w:val="none" w:sz="0" w:space="0" w:color="auto"/>
        <w:right w:val="none" w:sz="0" w:space="0" w:color="auto"/>
      </w:divBdr>
    </w:div>
    <w:div w:id="1986617521">
      <w:bodyDiv w:val="1"/>
      <w:marLeft w:val="0"/>
      <w:marRight w:val="0"/>
      <w:marTop w:val="0"/>
      <w:marBottom w:val="0"/>
      <w:divBdr>
        <w:top w:val="none" w:sz="0" w:space="0" w:color="auto"/>
        <w:left w:val="none" w:sz="0" w:space="0" w:color="auto"/>
        <w:bottom w:val="none" w:sz="0" w:space="0" w:color="auto"/>
        <w:right w:val="none" w:sz="0" w:space="0" w:color="auto"/>
      </w:divBdr>
    </w:div>
    <w:div w:id="1986816653">
      <w:bodyDiv w:val="1"/>
      <w:marLeft w:val="0"/>
      <w:marRight w:val="0"/>
      <w:marTop w:val="0"/>
      <w:marBottom w:val="0"/>
      <w:divBdr>
        <w:top w:val="none" w:sz="0" w:space="0" w:color="auto"/>
        <w:left w:val="none" w:sz="0" w:space="0" w:color="auto"/>
        <w:bottom w:val="none" w:sz="0" w:space="0" w:color="auto"/>
        <w:right w:val="none" w:sz="0" w:space="0" w:color="auto"/>
      </w:divBdr>
    </w:div>
    <w:div w:id="1987011202">
      <w:bodyDiv w:val="1"/>
      <w:marLeft w:val="0"/>
      <w:marRight w:val="0"/>
      <w:marTop w:val="0"/>
      <w:marBottom w:val="0"/>
      <w:divBdr>
        <w:top w:val="none" w:sz="0" w:space="0" w:color="auto"/>
        <w:left w:val="none" w:sz="0" w:space="0" w:color="auto"/>
        <w:bottom w:val="none" w:sz="0" w:space="0" w:color="auto"/>
        <w:right w:val="none" w:sz="0" w:space="0" w:color="auto"/>
      </w:divBdr>
    </w:div>
    <w:div w:id="1987081233">
      <w:bodyDiv w:val="1"/>
      <w:marLeft w:val="0"/>
      <w:marRight w:val="0"/>
      <w:marTop w:val="0"/>
      <w:marBottom w:val="0"/>
      <w:divBdr>
        <w:top w:val="none" w:sz="0" w:space="0" w:color="auto"/>
        <w:left w:val="none" w:sz="0" w:space="0" w:color="auto"/>
        <w:bottom w:val="none" w:sz="0" w:space="0" w:color="auto"/>
        <w:right w:val="none" w:sz="0" w:space="0" w:color="auto"/>
      </w:divBdr>
    </w:div>
    <w:div w:id="1987124494">
      <w:bodyDiv w:val="1"/>
      <w:marLeft w:val="0"/>
      <w:marRight w:val="0"/>
      <w:marTop w:val="0"/>
      <w:marBottom w:val="0"/>
      <w:divBdr>
        <w:top w:val="none" w:sz="0" w:space="0" w:color="auto"/>
        <w:left w:val="none" w:sz="0" w:space="0" w:color="auto"/>
        <w:bottom w:val="none" w:sz="0" w:space="0" w:color="auto"/>
        <w:right w:val="none" w:sz="0" w:space="0" w:color="auto"/>
      </w:divBdr>
    </w:div>
    <w:div w:id="1987278786">
      <w:bodyDiv w:val="1"/>
      <w:marLeft w:val="0"/>
      <w:marRight w:val="0"/>
      <w:marTop w:val="0"/>
      <w:marBottom w:val="0"/>
      <w:divBdr>
        <w:top w:val="none" w:sz="0" w:space="0" w:color="auto"/>
        <w:left w:val="none" w:sz="0" w:space="0" w:color="auto"/>
        <w:bottom w:val="none" w:sz="0" w:space="0" w:color="auto"/>
        <w:right w:val="none" w:sz="0" w:space="0" w:color="auto"/>
      </w:divBdr>
    </w:div>
    <w:div w:id="1987390413">
      <w:bodyDiv w:val="1"/>
      <w:marLeft w:val="0"/>
      <w:marRight w:val="0"/>
      <w:marTop w:val="0"/>
      <w:marBottom w:val="0"/>
      <w:divBdr>
        <w:top w:val="none" w:sz="0" w:space="0" w:color="auto"/>
        <w:left w:val="none" w:sz="0" w:space="0" w:color="auto"/>
        <w:bottom w:val="none" w:sz="0" w:space="0" w:color="auto"/>
        <w:right w:val="none" w:sz="0" w:space="0" w:color="auto"/>
      </w:divBdr>
    </w:div>
    <w:div w:id="1987591103">
      <w:bodyDiv w:val="1"/>
      <w:marLeft w:val="0"/>
      <w:marRight w:val="0"/>
      <w:marTop w:val="0"/>
      <w:marBottom w:val="0"/>
      <w:divBdr>
        <w:top w:val="none" w:sz="0" w:space="0" w:color="auto"/>
        <w:left w:val="none" w:sz="0" w:space="0" w:color="auto"/>
        <w:bottom w:val="none" w:sz="0" w:space="0" w:color="auto"/>
        <w:right w:val="none" w:sz="0" w:space="0" w:color="auto"/>
      </w:divBdr>
    </w:div>
    <w:div w:id="1987733641">
      <w:bodyDiv w:val="1"/>
      <w:marLeft w:val="0"/>
      <w:marRight w:val="0"/>
      <w:marTop w:val="0"/>
      <w:marBottom w:val="0"/>
      <w:divBdr>
        <w:top w:val="none" w:sz="0" w:space="0" w:color="auto"/>
        <w:left w:val="none" w:sz="0" w:space="0" w:color="auto"/>
        <w:bottom w:val="none" w:sz="0" w:space="0" w:color="auto"/>
        <w:right w:val="none" w:sz="0" w:space="0" w:color="auto"/>
      </w:divBdr>
    </w:div>
    <w:div w:id="1987852156">
      <w:bodyDiv w:val="1"/>
      <w:marLeft w:val="0"/>
      <w:marRight w:val="0"/>
      <w:marTop w:val="0"/>
      <w:marBottom w:val="0"/>
      <w:divBdr>
        <w:top w:val="none" w:sz="0" w:space="0" w:color="auto"/>
        <w:left w:val="none" w:sz="0" w:space="0" w:color="auto"/>
        <w:bottom w:val="none" w:sz="0" w:space="0" w:color="auto"/>
        <w:right w:val="none" w:sz="0" w:space="0" w:color="auto"/>
      </w:divBdr>
    </w:div>
    <w:div w:id="1987852899">
      <w:bodyDiv w:val="1"/>
      <w:marLeft w:val="0"/>
      <w:marRight w:val="0"/>
      <w:marTop w:val="0"/>
      <w:marBottom w:val="0"/>
      <w:divBdr>
        <w:top w:val="none" w:sz="0" w:space="0" w:color="auto"/>
        <w:left w:val="none" w:sz="0" w:space="0" w:color="auto"/>
        <w:bottom w:val="none" w:sz="0" w:space="0" w:color="auto"/>
        <w:right w:val="none" w:sz="0" w:space="0" w:color="auto"/>
      </w:divBdr>
    </w:div>
    <w:div w:id="1987932434">
      <w:bodyDiv w:val="1"/>
      <w:marLeft w:val="0"/>
      <w:marRight w:val="0"/>
      <w:marTop w:val="0"/>
      <w:marBottom w:val="0"/>
      <w:divBdr>
        <w:top w:val="none" w:sz="0" w:space="0" w:color="auto"/>
        <w:left w:val="none" w:sz="0" w:space="0" w:color="auto"/>
        <w:bottom w:val="none" w:sz="0" w:space="0" w:color="auto"/>
        <w:right w:val="none" w:sz="0" w:space="0" w:color="auto"/>
      </w:divBdr>
    </w:div>
    <w:div w:id="1988120476">
      <w:bodyDiv w:val="1"/>
      <w:marLeft w:val="0"/>
      <w:marRight w:val="0"/>
      <w:marTop w:val="0"/>
      <w:marBottom w:val="0"/>
      <w:divBdr>
        <w:top w:val="none" w:sz="0" w:space="0" w:color="auto"/>
        <w:left w:val="none" w:sz="0" w:space="0" w:color="auto"/>
        <w:bottom w:val="none" w:sz="0" w:space="0" w:color="auto"/>
        <w:right w:val="none" w:sz="0" w:space="0" w:color="auto"/>
      </w:divBdr>
    </w:div>
    <w:div w:id="1988168262">
      <w:bodyDiv w:val="1"/>
      <w:marLeft w:val="0"/>
      <w:marRight w:val="0"/>
      <w:marTop w:val="0"/>
      <w:marBottom w:val="0"/>
      <w:divBdr>
        <w:top w:val="none" w:sz="0" w:space="0" w:color="auto"/>
        <w:left w:val="none" w:sz="0" w:space="0" w:color="auto"/>
        <w:bottom w:val="none" w:sz="0" w:space="0" w:color="auto"/>
        <w:right w:val="none" w:sz="0" w:space="0" w:color="auto"/>
      </w:divBdr>
    </w:div>
    <w:div w:id="1988237720">
      <w:bodyDiv w:val="1"/>
      <w:marLeft w:val="0"/>
      <w:marRight w:val="0"/>
      <w:marTop w:val="0"/>
      <w:marBottom w:val="0"/>
      <w:divBdr>
        <w:top w:val="none" w:sz="0" w:space="0" w:color="auto"/>
        <w:left w:val="none" w:sz="0" w:space="0" w:color="auto"/>
        <w:bottom w:val="none" w:sz="0" w:space="0" w:color="auto"/>
        <w:right w:val="none" w:sz="0" w:space="0" w:color="auto"/>
      </w:divBdr>
    </w:div>
    <w:div w:id="1988390764">
      <w:bodyDiv w:val="1"/>
      <w:marLeft w:val="0"/>
      <w:marRight w:val="0"/>
      <w:marTop w:val="0"/>
      <w:marBottom w:val="0"/>
      <w:divBdr>
        <w:top w:val="none" w:sz="0" w:space="0" w:color="auto"/>
        <w:left w:val="none" w:sz="0" w:space="0" w:color="auto"/>
        <w:bottom w:val="none" w:sz="0" w:space="0" w:color="auto"/>
        <w:right w:val="none" w:sz="0" w:space="0" w:color="auto"/>
      </w:divBdr>
    </w:div>
    <w:div w:id="1988431100">
      <w:bodyDiv w:val="1"/>
      <w:marLeft w:val="0"/>
      <w:marRight w:val="0"/>
      <w:marTop w:val="0"/>
      <w:marBottom w:val="0"/>
      <w:divBdr>
        <w:top w:val="none" w:sz="0" w:space="0" w:color="auto"/>
        <w:left w:val="none" w:sz="0" w:space="0" w:color="auto"/>
        <w:bottom w:val="none" w:sz="0" w:space="0" w:color="auto"/>
        <w:right w:val="none" w:sz="0" w:space="0" w:color="auto"/>
      </w:divBdr>
    </w:div>
    <w:div w:id="1988632160">
      <w:bodyDiv w:val="1"/>
      <w:marLeft w:val="0"/>
      <w:marRight w:val="0"/>
      <w:marTop w:val="0"/>
      <w:marBottom w:val="0"/>
      <w:divBdr>
        <w:top w:val="none" w:sz="0" w:space="0" w:color="auto"/>
        <w:left w:val="none" w:sz="0" w:space="0" w:color="auto"/>
        <w:bottom w:val="none" w:sz="0" w:space="0" w:color="auto"/>
        <w:right w:val="none" w:sz="0" w:space="0" w:color="auto"/>
      </w:divBdr>
    </w:div>
    <w:div w:id="1988708057">
      <w:bodyDiv w:val="1"/>
      <w:marLeft w:val="0"/>
      <w:marRight w:val="0"/>
      <w:marTop w:val="0"/>
      <w:marBottom w:val="0"/>
      <w:divBdr>
        <w:top w:val="none" w:sz="0" w:space="0" w:color="auto"/>
        <w:left w:val="none" w:sz="0" w:space="0" w:color="auto"/>
        <w:bottom w:val="none" w:sz="0" w:space="0" w:color="auto"/>
        <w:right w:val="none" w:sz="0" w:space="0" w:color="auto"/>
      </w:divBdr>
    </w:div>
    <w:div w:id="1988775003">
      <w:bodyDiv w:val="1"/>
      <w:marLeft w:val="0"/>
      <w:marRight w:val="0"/>
      <w:marTop w:val="0"/>
      <w:marBottom w:val="0"/>
      <w:divBdr>
        <w:top w:val="none" w:sz="0" w:space="0" w:color="auto"/>
        <w:left w:val="none" w:sz="0" w:space="0" w:color="auto"/>
        <w:bottom w:val="none" w:sz="0" w:space="0" w:color="auto"/>
        <w:right w:val="none" w:sz="0" w:space="0" w:color="auto"/>
      </w:divBdr>
    </w:div>
    <w:div w:id="1988783996">
      <w:bodyDiv w:val="1"/>
      <w:marLeft w:val="0"/>
      <w:marRight w:val="0"/>
      <w:marTop w:val="0"/>
      <w:marBottom w:val="0"/>
      <w:divBdr>
        <w:top w:val="none" w:sz="0" w:space="0" w:color="auto"/>
        <w:left w:val="none" w:sz="0" w:space="0" w:color="auto"/>
        <w:bottom w:val="none" w:sz="0" w:space="0" w:color="auto"/>
        <w:right w:val="none" w:sz="0" w:space="0" w:color="auto"/>
      </w:divBdr>
    </w:div>
    <w:div w:id="1988898240">
      <w:bodyDiv w:val="1"/>
      <w:marLeft w:val="0"/>
      <w:marRight w:val="0"/>
      <w:marTop w:val="0"/>
      <w:marBottom w:val="0"/>
      <w:divBdr>
        <w:top w:val="none" w:sz="0" w:space="0" w:color="auto"/>
        <w:left w:val="none" w:sz="0" w:space="0" w:color="auto"/>
        <w:bottom w:val="none" w:sz="0" w:space="0" w:color="auto"/>
        <w:right w:val="none" w:sz="0" w:space="0" w:color="auto"/>
      </w:divBdr>
    </w:div>
    <w:div w:id="1989238386">
      <w:bodyDiv w:val="1"/>
      <w:marLeft w:val="0"/>
      <w:marRight w:val="0"/>
      <w:marTop w:val="0"/>
      <w:marBottom w:val="0"/>
      <w:divBdr>
        <w:top w:val="none" w:sz="0" w:space="0" w:color="auto"/>
        <w:left w:val="none" w:sz="0" w:space="0" w:color="auto"/>
        <w:bottom w:val="none" w:sz="0" w:space="0" w:color="auto"/>
        <w:right w:val="none" w:sz="0" w:space="0" w:color="auto"/>
      </w:divBdr>
    </w:div>
    <w:div w:id="1989357285">
      <w:bodyDiv w:val="1"/>
      <w:marLeft w:val="0"/>
      <w:marRight w:val="0"/>
      <w:marTop w:val="0"/>
      <w:marBottom w:val="0"/>
      <w:divBdr>
        <w:top w:val="none" w:sz="0" w:space="0" w:color="auto"/>
        <w:left w:val="none" w:sz="0" w:space="0" w:color="auto"/>
        <w:bottom w:val="none" w:sz="0" w:space="0" w:color="auto"/>
        <w:right w:val="none" w:sz="0" w:space="0" w:color="auto"/>
      </w:divBdr>
    </w:div>
    <w:div w:id="1989359151">
      <w:bodyDiv w:val="1"/>
      <w:marLeft w:val="0"/>
      <w:marRight w:val="0"/>
      <w:marTop w:val="0"/>
      <w:marBottom w:val="0"/>
      <w:divBdr>
        <w:top w:val="none" w:sz="0" w:space="0" w:color="auto"/>
        <w:left w:val="none" w:sz="0" w:space="0" w:color="auto"/>
        <w:bottom w:val="none" w:sz="0" w:space="0" w:color="auto"/>
        <w:right w:val="none" w:sz="0" w:space="0" w:color="auto"/>
      </w:divBdr>
    </w:div>
    <w:div w:id="1989436859">
      <w:bodyDiv w:val="1"/>
      <w:marLeft w:val="0"/>
      <w:marRight w:val="0"/>
      <w:marTop w:val="0"/>
      <w:marBottom w:val="0"/>
      <w:divBdr>
        <w:top w:val="none" w:sz="0" w:space="0" w:color="auto"/>
        <w:left w:val="none" w:sz="0" w:space="0" w:color="auto"/>
        <w:bottom w:val="none" w:sz="0" w:space="0" w:color="auto"/>
        <w:right w:val="none" w:sz="0" w:space="0" w:color="auto"/>
      </w:divBdr>
    </w:div>
    <w:div w:id="1989477122">
      <w:bodyDiv w:val="1"/>
      <w:marLeft w:val="0"/>
      <w:marRight w:val="0"/>
      <w:marTop w:val="0"/>
      <w:marBottom w:val="0"/>
      <w:divBdr>
        <w:top w:val="none" w:sz="0" w:space="0" w:color="auto"/>
        <w:left w:val="none" w:sz="0" w:space="0" w:color="auto"/>
        <w:bottom w:val="none" w:sz="0" w:space="0" w:color="auto"/>
        <w:right w:val="none" w:sz="0" w:space="0" w:color="auto"/>
      </w:divBdr>
    </w:div>
    <w:div w:id="1989548943">
      <w:bodyDiv w:val="1"/>
      <w:marLeft w:val="0"/>
      <w:marRight w:val="0"/>
      <w:marTop w:val="0"/>
      <w:marBottom w:val="0"/>
      <w:divBdr>
        <w:top w:val="none" w:sz="0" w:space="0" w:color="auto"/>
        <w:left w:val="none" w:sz="0" w:space="0" w:color="auto"/>
        <w:bottom w:val="none" w:sz="0" w:space="0" w:color="auto"/>
        <w:right w:val="none" w:sz="0" w:space="0" w:color="auto"/>
      </w:divBdr>
    </w:div>
    <w:div w:id="1989552946">
      <w:bodyDiv w:val="1"/>
      <w:marLeft w:val="0"/>
      <w:marRight w:val="0"/>
      <w:marTop w:val="0"/>
      <w:marBottom w:val="0"/>
      <w:divBdr>
        <w:top w:val="none" w:sz="0" w:space="0" w:color="auto"/>
        <w:left w:val="none" w:sz="0" w:space="0" w:color="auto"/>
        <w:bottom w:val="none" w:sz="0" w:space="0" w:color="auto"/>
        <w:right w:val="none" w:sz="0" w:space="0" w:color="auto"/>
      </w:divBdr>
    </w:div>
    <w:div w:id="1989628490">
      <w:bodyDiv w:val="1"/>
      <w:marLeft w:val="0"/>
      <w:marRight w:val="0"/>
      <w:marTop w:val="0"/>
      <w:marBottom w:val="0"/>
      <w:divBdr>
        <w:top w:val="none" w:sz="0" w:space="0" w:color="auto"/>
        <w:left w:val="none" w:sz="0" w:space="0" w:color="auto"/>
        <w:bottom w:val="none" w:sz="0" w:space="0" w:color="auto"/>
        <w:right w:val="none" w:sz="0" w:space="0" w:color="auto"/>
      </w:divBdr>
    </w:div>
    <w:div w:id="1989703207">
      <w:bodyDiv w:val="1"/>
      <w:marLeft w:val="0"/>
      <w:marRight w:val="0"/>
      <w:marTop w:val="0"/>
      <w:marBottom w:val="0"/>
      <w:divBdr>
        <w:top w:val="none" w:sz="0" w:space="0" w:color="auto"/>
        <w:left w:val="none" w:sz="0" w:space="0" w:color="auto"/>
        <w:bottom w:val="none" w:sz="0" w:space="0" w:color="auto"/>
        <w:right w:val="none" w:sz="0" w:space="0" w:color="auto"/>
      </w:divBdr>
    </w:div>
    <w:div w:id="1989825481">
      <w:bodyDiv w:val="1"/>
      <w:marLeft w:val="0"/>
      <w:marRight w:val="0"/>
      <w:marTop w:val="0"/>
      <w:marBottom w:val="0"/>
      <w:divBdr>
        <w:top w:val="none" w:sz="0" w:space="0" w:color="auto"/>
        <w:left w:val="none" w:sz="0" w:space="0" w:color="auto"/>
        <w:bottom w:val="none" w:sz="0" w:space="0" w:color="auto"/>
        <w:right w:val="none" w:sz="0" w:space="0" w:color="auto"/>
      </w:divBdr>
    </w:div>
    <w:div w:id="1989942943">
      <w:bodyDiv w:val="1"/>
      <w:marLeft w:val="0"/>
      <w:marRight w:val="0"/>
      <w:marTop w:val="0"/>
      <w:marBottom w:val="0"/>
      <w:divBdr>
        <w:top w:val="none" w:sz="0" w:space="0" w:color="auto"/>
        <w:left w:val="none" w:sz="0" w:space="0" w:color="auto"/>
        <w:bottom w:val="none" w:sz="0" w:space="0" w:color="auto"/>
        <w:right w:val="none" w:sz="0" w:space="0" w:color="auto"/>
      </w:divBdr>
    </w:div>
    <w:div w:id="1990134129">
      <w:bodyDiv w:val="1"/>
      <w:marLeft w:val="0"/>
      <w:marRight w:val="0"/>
      <w:marTop w:val="0"/>
      <w:marBottom w:val="0"/>
      <w:divBdr>
        <w:top w:val="none" w:sz="0" w:space="0" w:color="auto"/>
        <w:left w:val="none" w:sz="0" w:space="0" w:color="auto"/>
        <w:bottom w:val="none" w:sz="0" w:space="0" w:color="auto"/>
        <w:right w:val="none" w:sz="0" w:space="0" w:color="auto"/>
      </w:divBdr>
    </w:div>
    <w:div w:id="1990286510">
      <w:bodyDiv w:val="1"/>
      <w:marLeft w:val="0"/>
      <w:marRight w:val="0"/>
      <w:marTop w:val="0"/>
      <w:marBottom w:val="0"/>
      <w:divBdr>
        <w:top w:val="none" w:sz="0" w:space="0" w:color="auto"/>
        <w:left w:val="none" w:sz="0" w:space="0" w:color="auto"/>
        <w:bottom w:val="none" w:sz="0" w:space="0" w:color="auto"/>
        <w:right w:val="none" w:sz="0" w:space="0" w:color="auto"/>
      </w:divBdr>
    </w:div>
    <w:div w:id="1990360429">
      <w:bodyDiv w:val="1"/>
      <w:marLeft w:val="0"/>
      <w:marRight w:val="0"/>
      <w:marTop w:val="0"/>
      <w:marBottom w:val="0"/>
      <w:divBdr>
        <w:top w:val="none" w:sz="0" w:space="0" w:color="auto"/>
        <w:left w:val="none" w:sz="0" w:space="0" w:color="auto"/>
        <w:bottom w:val="none" w:sz="0" w:space="0" w:color="auto"/>
        <w:right w:val="none" w:sz="0" w:space="0" w:color="auto"/>
      </w:divBdr>
    </w:div>
    <w:div w:id="1990360903">
      <w:bodyDiv w:val="1"/>
      <w:marLeft w:val="0"/>
      <w:marRight w:val="0"/>
      <w:marTop w:val="0"/>
      <w:marBottom w:val="0"/>
      <w:divBdr>
        <w:top w:val="none" w:sz="0" w:space="0" w:color="auto"/>
        <w:left w:val="none" w:sz="0" w:space="0" w:color="auto"/>
        <w:bottom w:val="none" w:sz="0" w:space="0" w:color="auto"/>
        <w:right w:val="none" w:sz="0" w:space="0" w:color="auto"/>
      </w:divBdr>
    </w:div>
    <w:div w:id="1990669234">
      <w:bodyDiv w:val="1"/>
      <w:marLeft w:val="0"/>
      <w:marRight w:val="0"/>
      <w:marTop w:val="0"/>
      <w:marBottom w:val="0"/>
      <w:divBdr>
        <w:top w:val="none" w:sz="0" w:space="0" w:color="auto"/>
        <w:left w:val="none" w:sz="0" w:space="0" w:color="auto"/>
        <w:bottom w:val="none" w:sz="0" w:space="0" w:color="auto"/>
        <w:right w:val="none" w:sz="0" w:space="0" w:color="auto"/>
      </w:divBdr>
    </w:div>
    <w:div w:id="1990860063">
      <w:bodyDiv w:val="1"/>
      <w:marLeft w:val="0"/>
      <w:marRight w:val="0"/>
      <w:marTop w:val="0"/>
      <w:marBottom w:val="0"/>
      <w:divBdr>
        <w:top w:val="none" w:sz="0" w:space="0" w:color="auto"/>
        <w:left w:val="none" w:sz="0" w:space="0" w:color="auto"/>
        <w:bottom w:val="none" w:sz="0" w:space="0" w:color="auto"/>
        <w:right w:val="none" w:sz="0" w:space="0" w:color="auto"/>
      </w:divBdr>
    </w:div>
    <w:div w:id="1991057894">
      <w:bodyDiv w:val="1"/>
      <w:marLeft w:val="0"/>
      <w:marRight w:val="0"/>
      <w:marTop w:val="0"/>
      <w:marBottom w:val="0"/>
      <w:divBdr>
        <w:top w:val="none" w:sz="0" w:space="0" w:color="auto"/>
        <w:left w:val="none" w:sz="0" w:space="0" w:color="auto"/>
        <w:bottom w:val="none" w:sz="0" w:space="0" w:color="auto"/>
        <w:right w:val="none" w:sz="0" w:space="0" w:color="auto"/>
      </w:divBdr>
    </w:div>
    <w:div w:id="1991127947">
      <w:bodyDiv w:val="1"/>
      <w:marLeft w:val="0"/>
      <w:marRight w:val="0"/>
      <w:marTop w:val="0"/>
      <w:marBottom w:val="0"/>
      <w:divBdr>
        <w:top w:val="none" w:sz="0" w:space="0" w:color="auto"/>
        <w:left w:val="none" w:sz="0" w:space="0" w:color="auto"/>
        <w:bottom w:val="none" w:sz="0" w:space="0" w:color="auto"/>
        <w:right w:val="none" w:sz="0" w:space="0" w:color="auto"/>
      </w:divBdr>
    </w:div>
    <w:div w:id="1991128170">
      <w:bodyDiv w:val="1"/>
      <w:marLeft w:val="0"/>
      <w:marRight w:val="0"/>
      <w:marTop w:val="0"/>
      <w:marBottom w:val="0"/>
      <w:divBdr>
        <w:top w:val="none" w:sz="0" w:space="0" w:color="auto"/>
        <w:left w:val="none" w:sz="0" w:space="0" w:color="auto"/>
        <w:bottom w:val="none" w:sz="0" w:space="0" w:color="auto"/>
        <w:right w:val="none" w:sz="0" w:space="0" w:color="auto"/>
      </w:divBdr>
    </w:div>
    <w:div w:id="1991206784">
      <w:bodyDiv w:val="1"/>
      <w:marLeft w:val="0"/>
      <w:marRight w:val="0"/>
      <w:marTop w:val="0"/>
      <w:marBottom w:val="0"/>
      <w:divBdr>
        <w:top w:val="none" w:sz="0" w:space="0" w:color="auto"/>
        <w:left w:val="none" w:sz="0" w:space="0" w:color="auto"/>
        <w:bottom w:val="none" w:sz="0" w:space="0" w:color="auto"/>
        <w:right w:val="none" w:sz="0" w:space="0" w:color="auto"/>
      </w:divBdr>
    </w:div>
    <w:div w:id="1991326641">
      <w:bodyDiv w:val="1"/>
      <w:marLeft w:val="0"/>
      <w:marRight w:val="0"/>
      <w:marTop w:val="0"/>
      <w:marBottom w:val="0"/>
      <w:divBdr>
        <w:top w:val="none" w:sz="0" w:space="0" w:color="auto"/>
        <w:left w:val="none" w:sz="0" w:space="0" w:color="auto"/>
        <w:bottom w:val="none" w:sz="0" w:space="0" w:color="auto"/>
        <w:right w:val="none" w:sz="0" w:space="0" w:color="auto"/>
      </w:divBdr>
    </w:div>
    <w:div w:id="1991901383">
      <w:bodyDiv w:val="1"/>
      <w:marLeft w:val="0"/>
      <w:marRight w:val="0"/>
      <w:marTop w:val="0"/>
      <w:marBottom w:val="0"/>
      <w:divBdr>
        <w:top w:val="none" w:sz="0" w:space="0" w:color="auto"/>
        <w:left w:val="none" w:sz="0" w:space="0" w:color="auto"/>
        <w:bottom w:val="none" w:sz="0" w:space="0" w:color="auto"/>
        <w:right w:val="none" w:sz="0" w:space="0" w:color="auto"/>
      </w:divBdr>
    </w:div>
    <w:div w:id="1992056785">
      <w:bodyDiv w:val="1"/>
      <w:marLeft w:val="0"/>
      <w:marRight w:val="0"/>
      <w:marTop w:val="0"/>
      <w:marBottom w:val="0"/>
      <w:divBdr>
        <w:top w:val="none" w:sz="0" w:space="0" w:color="auto"/>
        <w:left w:val="none" w:sz="0" w:space="0" w:color="auto"/>
        <w:bottom w:val="none" w:sz="0" w:space="0" w:color="auto"/>
        <w:right w:val="none" w:sz="0" w:space="0" w:color="auto"/>
      </w:divBdr>
    </w:div>
    <w:div w:id="1992101460">
      <w:bodyDiv w:val="1"/>
      <w:marLeft w:val="0"/>
      <w:marRight w:val="0"/>
      <w:marTop w:val="0"/>
      <w:marBottom w:val="0"/>
      <w:divBdr>
        <w:top w:val="none" w:sz="0" w:space="0" w:color="auto"/>
        <w:left w:val="none" w:sz="0" w:space="0" w:color="auto"/>
        <w:bottom w:val="none" w:sz="0" w:space="0" w:color="auto"/>
        <w:right w:val="none" w:sz="0" w:space="0" w:color="auto"/>
      </w:divBdr>
    </w:div>
    <w:div w:id="1992126676">
      <w:bodyDiv w:val="1"/>
      <w:marLeft w:val="0"/>
      <w:marRight w:val="0"/>
      <w:marTop w:val="0"/>
      <w:marBottom w:val="0"/>
      <w:divBdr>
        <w:top w:val="none" w:sz="0" w:space="0" w:color="auto"/>
        <w:left w:val="none" w:sz="0" w:space="0" w:color="auto"/>
        <w:bottom w:val="none" w:sz="0" w:space="0" w:color="auto"/>
        <w:right w:val="none" w:sz="0" w:space="0" w:color="auto"/>
      </w:divBdr>
    </w:div>
    <w:div w:id="1992631217">
      <w:bodyDiv w:val="1"/>
      <w:marLeft w:val="0"/>
      <w:marRight w:val="0"/>
      <w:marTop w:val="0"/>
      <w:marBottom w:val="0"/>
      <w:divBdr>
        <w:top w:val="none" w:sz="0" w:space="0" w:color="auto"/>
        <w:left w:val="none" w:sz="0" w:space="0" w:color="auto"/>
        <w:bottom w:val="none" w:sz="0" w:space="0" w:color="auto"/>
        <w:right w:val="none" w:sz="0" w:space="0" w:color="auto"/>
      </w:divBdr>
    </w:div>
    <w:div w:id="1992711629">
      <w:bodyDiv w:val="1"/>
      <w:marLeft w:val="0"/>
      <w:marRight w:val="0"/>
      <w:marTop w:val="0"/>
      <w:marBottom w:val="0"/>
      <w:divBdr>
        <w:top w:val="none" w:sz="0" w:space="0" w:color="auto"/>
        <w:left w:val="none" w:sz="0" w:space="0" w:color="auto"/>
        <w:bottom w:val="none" w:sz="0" w:space="0" w:color="auto"/>
        <w:right w:val="none" w:sz="0" w:space="0" w:color="auto"/>
      </w:divBdr>
    </w:div>
    <w:div w:id="1992901935">
      <w:bodyDiv w:val="1"/>
      <w:marLeft w:val="0"/>
      <w:marRight w:val="0"/>
      <w:marTop w:val="0"/>
      <w:marBottom w:val="0"/>
      <w:divBdr>
        <w:top w:val="none" w:sz="0" w:space="0" w:color="auto"/>
        <w:left w:val="none" w:sz="0" w:space="0" w:color="auto"/>
        <w:bottom w:val="none" w:sz="0" w:space="0" w:color="auto"/>
        <w:right w:val="none" w:sz="0" w:space="0" w:color="auto"/>
      </w:divBdr>
    </w:div>
    <w:div w:id="1993024130">
      <w:bodyDiv w:val="1"/>
      <w:marLeft w:val="0"/>
      <w:marRight w:val="0"/>
      <w:marTop w:val="0"/>
      <w:marBottom w:val="0"/>
      <w:divBdr>
        <w:top w:val="none" w:sz="0" w:space="0" w:color="auto"/>
        <w:left w:val="none" w:sz="0" w:space="0" w:color="auto"/>
        <w:bottom w:val="none" w:sz="0" w:space="0" w:color="auto"/>
        <w:right w:val="none" w:sz="0" w:space="0" w:color="auto"/>
      </w:divBdr>
    </w:div>
    <w:div w:id="1993563285">
      <w:bodyDiv w:val="1"/>
      <w:marLeft w:val="0"/>
      <w:marRight w:val="0"/>
      <w:marTop w:val="0"/>
      <w:marBottom w:val="0"/>
      <w:divBdr>
        <w:top w:val="none" w:sz="0" w:space="0" w:color="auto"/>
        <w:left w:val="none" w:sz="0" w:space="0" w:color="auto"/>
        <w:bottom w:val="none" w:sz="0" w:space="0" w:color="auto"/>
        <w:right w:val="none" w:sz="0" w:space="0" w:color="auto"/>
      </w:divBdr>
    </w:div>
    <w:div w:id="1993680380">
      <w:bodyDiv w:val="1"/>
      <w:marLeft w:val="0"/>
      <w:marRight w:val="0"/>
      <w:marTop w:val="0"/>
      <w:marBottom w:val="0"/>
      <w:divBdr>
        <w:top w:val="none" w:sz="0" w:space="0" w:color="auto"/>
        <w:left w:val="none" w:sz="0" w:space="0" w:color="auto"/>
        <w:bottom w:val="none" w:sz="0" w:space="0" w:color="auto"/>
        <w:right w:val="none" w:sz="0" w:space="0" w:color="auto"/>
      </w:divBdr>
    </w:div>
    <w:div w:id="1993830583">
      <w:bodyDiv w:val="1"/>
      <w:marLeft w:val="0"/>
      <w:marRight w:val="0"/>
      <w:marTop w:val="0"/>
      <w:marBottom w:val="0"/>
      <w:divBdr>
        <w:top w:val="none" w:sz="0" w:space="0" w:color="auto"/>
        <w:left w:val="none" w:sz="0" w:space="0" w:color="auto"/>
        <w:bottom w:val="none" w:sz="0" w:space="0" w:color="auto"/>
        <w:right w:val="none" w:sz="0" w:space="0" w:color="auto"/>
      </w:divBdr>
    </w:div>
    <w:div w:id="1993870483">
      <w:bodyDiv w:val="1"/>
      <w:marLeft w:val="0"/>
      <w:marRight w:val="0"/>
      <w:marTop w:val="0"/>
      <w:marBottom w:val="0"/>
      <w:divBdr>
        <w:top w:val="none" w:sz="0" w:space="0" w:color="auto"/>
        <w:left w:val="none" w:sz="0" w:space="0" w:color="auto"/>
        <w:bottom w:val="none" w:sz="0" w:space="0" w:color="auto"/>
        <w:right w:val="none" w:sz="0" w:space="0" w:color="auto"/>
      </w:divBdr>
    </w:div>
    <w:div w:id="1993946469">
      <w:bodyDiv w:val="1"/>
      <w:marLeft w:val="0"/>
      <w:marRight w:val="0"/>
      <w:marTop w:val="0"/>
      <w:marBottom w:val="0"/>
      <w:divBdr>
        <w:top w:val="none" w:sz="0" w:space="0" w:color="auto"/>
        <w:left w:val="none" w:sz="0" w:space="0" w:color="auto"/>
        <w:bottom w:val="none" w:sz="0" w:space="0" w:color="auto"/>
        <w:right w:val="none" w:sz="0" w:space="0" w:color="auto"/>
      </w:divBdr>
    </w:div>
    <w:div w:id="1994017190">
      <w:bodyDiv w:val="1"/>
      <w:marLeft w:val="0"/>
      <w:marRight w:val="0"/>
      <w:marTop w:val="0"/>
      <w:marBottom w:val="0"/>
      <w:divBdr>
        <w:top w:val="none" w:sz="0" w:space="0" w:color="auto"/>
        <w:left w:val="none" w:sz="0" w:space="0" w:color="auto"/>
        <w:bottom w:val="none" w:sz="0" w:space="0" w:color="auto"/>
        <w:right w:val="none" w:sz="0" w:space="0" w:color="auto"/>
      </w:divBdr>
    </w:div>
    <w:div w:id="1994067086">
      <w:bodyDiv w:val="1"/>
      <w:marLeft w:val="0"/>
      <w:marRight w:val="0"/>
      <w:marTop w:val="0"/>
      <w:marBottom w:val="0"/>
      <w:divBdr>
        <w:top w:val="none" w:sz="0" w:space="0" w:color="auto"/>
        <w:left w:val="none" w:sz="0" w:space="0" w:color="auto"/>
        <w:bottom w:val="none" w:sz="0" w:space="0" w:color="auto"/>
        <w:right w:val="none" w:sz="0" w:space="0" w:color="auto"/>
      </w:divBdr>
    </w:div>
    <w:div w:id="1994069136">
      <w:bodyDiv w:val="1"/>
      <w:marLeft w:val="0"/>
      <w:marRight w:val="0"/>
      <w:marTop w:val="0"/>
      <w:marBottom w:val="0"/>
      <w:divBdr>
        <w:top w:val="none" w:sz="0" w:space="0" w:color="auto"/>
        <w:left w:val="none" w:sz="0" w:space="0" w:color="auto"/>
        <w:bottom w:val="none" w:sz="0" w:space="0" w:color="auto"/>
        <w:right w:val="none" w:sz="0" w:space="0" w:color="auto"/>
      </w:divBdr>
    </w:div>
    <w:div w:id="1994095816">
      <w:bodyDiv w:val="1"/>
      <w:marLeft w:val="0"/>
      <w:marRight w:val="0"/>
      <w:marTop w:val="0"/>
      <w:marBottom w:val="0"/>
      <w:divBdr>
        <w:top w:val="none" w:sz="0" w:space="0" w:color="auto"/>
        <w:left w:val="none" w:sz="0" w:space="0" w:color="auto"/>
        <w:bottom w:val="none" w:sz="0" w:space="0" w:color="auto"/>
        <w:right w:val="none" w:sz="0" w:space="0" w:color="auto"/>
      </w:divBdr>
    </w:div>
    <w:div w:id="1994135391">
      <w:bodyDiv w:val="1"/>
      <w:marLeft w:val="0"/>
      <w:marRight w:val="0"/>
      <w:marTop w:val="0"/>
      <w:marBottom w:val="0"/>
      <w:divBdr>
        <w:top w:val="none" w:sz="0" w:space="0" w:color="auto"/>
        <w:left w:val="none" w:sz="0" w:space="0" w:color="auto"/>
        <w:bottom w:val="none" w:sz="0" w:space="0" w:color="auto"/>
        <w:right w:val="none" w:sz="0" w:space="0" w:color="auto"/>
      </w:divBdr>
    </w:div>
    <w:div w:id="1994482268">
      <w:bodyDiv w:val="1"/>
      <w:marLeft w:val="0"/>
      <w:marRight w:val="0"/>
      <w:marTop w:val="0"/>
      <w:marBottom w:val="0"/>
      <w:divBdr>
        <w:top w:val="none" w:sz="0" w:space="0" w:color="auto"/>
        <w:left w:val="none" w:sz="0" w:space="0" w:color="auto"/>
        <w:bottom w:val="none" w:sz="0" w:space="0" w:color="auto"/>
        <w:right w:val="none" w:sz="0" w:space="0" w:color="auto"/>
      </w:divBdr>
    </w:div>
    <w:div w:id="1994526144">
      <w:bodyDiv w:val="1"/>
      <w:marLeft w:val="0"/>
      <w:marRight w:val="0"/>
      <w:marTop w:val="0"/>
      <w:marBottom w:val="0"/>
      <w:divBdr>
        <w:top w:val="none" w:sz="0" w:space="0" w:color="auto"/>
        <w:left w:val="none" w:sz="0" w:space="0" w:color="auto"/>
        <w:bottom w:val="none" w:sz="0" w:space="0" w:color="auto"/>
        <w:right w:val="none" w:sz="0" w:space="0" w:color="auto"/>
      </w:divBdr>
    </w:div>
    <w:div w:id="1994720319">
      <w:bodyDiv w:val="1"/>
      <w:marLeft w:val="0"/>
      <w:marRight w:val="0"/>
      <w:marTop w:val="0"/>
      <w:marBottom w:val="0"/>
      <w:divBdr>
        <w:top w:val="none" w:sz="0" w:space="0" w:color="auto"/>
        <w:left w:val="none" w:sz="0" w:space="0" w:color="auto"/>
        <w:bottom w:val="none" w:sz="0" w:space="0" w:color="auto"/>
        <w:right w:val="none" w:sz="0" w:space="0" w:color="auto"/>
      </w:divBdr>
    </w:div>
    <w:div w:id="1994796147">
      <w:bodyDiv w:val="1"/>
      <w:marLeft w:val="0"/>
      <w:marRight w:val="0"/>
      <w:marTop w:val="0"/>
      <w:marBottom w:val="0"/>
      <w:divBdr>
        <w:top w:val="none" w:sz="0" w:space="0" w:color="auto"/>
        <w:left w:val="none" w:sz="0" w:space="0" w:color="auto"/>
        <w:bottom w:val="none" w:sz="0" w:space="0" w:color="auto"/>
        <w:right w:val="none" w:sz="0" w:space="0" w:color="auto"/>
      </w:divBdr>
    </w:div>
    <w:div w:id="1994797698">
      <w:bodyDiv w:val="1"/>
      <w:marLeft w:val="0"/>
      <w:marRight w:val="0"/>
      <w:marTop w:val="0"/>
      <w:marBottom w:val="0"/>
      <w:divBdr>
        <w:top w:val="none" w:sz="0" w:space="0" w:color="auto"/>
        <w:left w:val="none" w:sz="0" w:space="0" w:color="auto"/>
        <w:bottom w:val="none" w:sz="0" w:space="0" w:color="auto"/>
        <w:right w:val="none" w:sz="0" w:space="0" w:color="auto"/>
      </w:divBdr>
    </w:div>
    <w:div w:id="1994867113">
      <w:bodyDiv w:val="1"/>
      <w:marLeft w:val="0"/>
      <w:marRight w:val="0"/>
      <w:marTop w:val="0"/>
      <w:marBottom w:val="0"/>
      <w:divBdr>
        <w:top w:val="none" w:sz="0" w:space="0" w:color="auto"/>
        <w:left w:val="none" w:sz="0" w:space="0" w:color="auto"/>
        <w:bottom w:val="none" w:sz="0" w:space="0" w:color="auto"/>
        <w:right w:val="none" w:sz="0" w:space="0" w:color="auto"/>
      </w:divBdr>
    </w:div>
    <w:div w:id="1994945542">
      <w:bodyDiv w:val="1"/>
      <w:marLeft w:val="0"/>
      <w:marRight w:val="0"/>
      <w:marTop w:val="0"/>
      <w:marBottom w:val="0"/>
      <w:divBdr>
        <w:top w:val="none" w:sz="0" w:space="0" w:color="auto"/>
        <w:left w:val="none" w:sz="0" w:space="0" w:color="auto"/>
        <w:bottom w:val="none" w:sz="0" w:space="0" w:color="auto"/>
        <w:right w:val="none" w:sz="0" w:space="0" w:color="auto"/>
      </w:divBdr>
    </w:div>
    <w:div w:id="1995065753">
      <w:bodyDiv w:val="1"/>
      <w:marLeft w:val="0"/>
      <w:marRight w:val="0"/>
      <w:marTop w:val="0"/>
      <w:marBottom w:val="0"/>
      <w:divBdr>
        <w:top w:val="none" w:sz="0" w:space="0" w:color="auto"/>
        <w:left w:val="none" w:sz="0" w:space="0" w:color="auto"/>
        <w:bottom w:val="none" w:sz="0" w:space="0" w:color="auto"/>
        <w:right w:val="none" w:sz="0" w:space="0" w:color="auto"/>
      </w:divBdr>
    </w:div>
    <w:div w:id="1995068165">
      <w:bodyDiv w:val="1"/>
      <w:marLeft w:val="0"/>
      <w:marRight w:val="0"/>
      <w:marTop w:val="0"/>
      <w:marBottom w:val="0"/>
      <w:divBdr>
        <w:top w:val="none" w:sz="0" w:space="0" w:color="auto"/>
        <w:left w:val="none" w:sz="0" w:space="0" w:color="auto"/>
        <w:bottom w:val="none" w:sz="0" w:space="0" w:color="auto"/>
        <w:right w:val="none" w:sz="0" w:space="0" w:color="auto"/>
      </w:divBdr>
    </w:div>
    <w:div w:id="1995179042">
      <w:bodyDiv w:val="1"/>
      <w:marLeft w:val="0"/>
      <w:marRight w:val="0"/>
      <w:marTop w:val="0"/>
      <w:marBottom w:val="0"/>
      <w:divBdr>
        <w:top w:val="none" w:sz="0" w:space="0" w:color="auto"/>
        <w:left w:val="none" w:sz="0" w:space="0" w:color="auto"/>
        <w:bottom w:val="none" w:sz="0" w:space="0" w:color="auto"/>
        <w:right w:val="none" w:sz="0" w:space="0" w:color="auto"/>
      </w:divBdr>
    </w:div>
    <w:div w:id="1995259217">
      <w:bodyDiv w:val="1"/>
      <w:marLeft w:val="0"/>
      <w:marRight w:val="0"/>
      <w:marTop w:val="0"/>
      <w:marBottom w:val="0"/>
      <w:divBdr>
        <w:top w:val="none" w:sz="0" w:space="0" w:color="auto"/>
        <w:left w:val="none" w:sz="0" w:space="0" w:color="auto"/>
        <w:bottom w:val="none" w:sz="0" w:space="0" w:color="auto"/>
        <w:right w:val="none" w:sz="0" w:space="0" w:color="auto"/>
      </w:divBdr>
    </w:div>
    <w:div w:id="1995333261">
      <w:bodyDiv w:val="1"/>
      <w:marLeft w:val="0"/>
      <w:marRight w:val="0"/>
      <w:marTop w:val="0"/>
      <w:marBottom w:val="0"/>
      <w:divBdr>
        <w:top w:val="none" w:sz="0" w:space="0" w:color="auto"/>
        <w:left w:val="none" w:sz="0" w:space="0" w:color="auto"/>
        <w:bottom w:val="none" w:sz="0" w:space="0" w:color="auto"/>
        <w:right w:val="none" w:sz="0" w:space="0" w:color="auto"/>
      </w:divBdr>
    </w:div>
    <w:div w:id="1995406049">
      <w:bodyDiv w:val="1"/>
      <w:marLeft w:val="0"/>
      <w:marRight w:val="0"/>
      <w:marTop w:val="0"/>
      <w:marBottom w:val="0"/>
      <w:divBdr>
        <w:top w:val="none" w:sz="0" w:space="0" w:color="auto"/>
        <w:left w:val="none" w:sz="0" w:space="0" w:color="auto"/>
        <w:bottom w:val="none" w:sz="0" w:space="0" w:color="auto"/>
        <w:right w:val="none" w:sz="0" w:space="0" w:color="auto"/>
      </w:divBdr>
    </w:div>
    <w:div w:id="1995523186">
      <w:bodyDiv w:val="1"/>
      <w:marLeft w:val="0"/>
      <w:marRight w:val="0"/>
      <w:marTop w:val="0"/>
      <w:marBottom w:val="0"/>
      <w:divBdr>
        <w:top w:val="none" w:sz="0" w:space="0" w:color="auto"/>
        <w:left w:val="none" w:sz="0" w:space="0" w:color="auto"/>
        <w:bottom w:val="none" w:sz="0" w:space="0" w:color="auto"/>
        <w:right w:val="none" w:sz="0" w:space="0" w:color="auto"/>
      </w:divBdr>
    </w:div>
    <w:div w:id="1995527975">
      <w:bodyDiv w:val="1"/>
      <w:marLeft w:val="0"/>
      <w:marRight w:val="0"/>
      <w:marTop w:val="0"/>
      <w:marBottom w:val="0"/>
      <w:divBdr>
        <w:top w:val="none" w:sz="0" w:space="0" w:color="auto"/>
        <w:left w:val="none" w:sz="0" w:space="0" w:color="auto"/>
        <w:bottom w:val="none" w:sz="0" w:space="0" w:color="auto"/>
        <w:right w:val="none" w:sz="0" w:space="0" w:color="auto"/>
      </w:divBdr>
    </w:div>
    <w:div w:id="1995639401">
      <w:bodyDiv w:val="1"/>
      <w:marLeft w:val="0"/>
      <w:marRight w:val="0"/>
      <w:marTop w:val="0"/>
      <w:marBottom w:val="0"/>
      <w:divBdr>
        <w:top w:val="none" w:sz="0" w:space="0" w:color="auto"/>
        <w:left w:val="none" w:sz="0" w:space="0" w:color="auto"/>
        <w:bottom w:val="none" w:sz="0" w:space="0" w:color="auto"/>
        <w:right w:val="none" w:sz="0" w:space="0" w:color="auto"/>
      </w:divBdr>
    </w:div>
    <w:div w:id="1995834359">
      <w:bodyDiv w:val="1"/>
      <w:marLeft w:val="0"/>
      <w:marRight w:val="0"/>
      <w:marTop w:val="0"/>
      <w:marBottom w:val="0"/>
      <w:divBdr>
        <w:top w:val="none" w:sz="0" w:space="0" w:color="auto"/>
        <w:left w:val="none" w:sz="0" w:space="0" w:color="auto"/>
        <w:bottom w:val="none" w:sz="0" w:space="0" w:color="auto"/>
        <w:right w:val="none" w:sz="0" w:space="0" w:color="auto"/>
      </w:divBdr>
    </w:div>
    <w:div w:id="1995990708">
      <w:bodyDiv w:val="1"/>
      <w:marLeft w:val="0"/>
      <w:marRight w:val="0"/>
      <w:marTop w:val="0"/>
      <w:marBottom w:val="0"/>
      <w:divBdr>
        <w:top w:val="none" w:sz="0" w:space="0" w:color="auto"/>
        <w:left w:val="none" w:sz="0" w:space="0" w:color="auto"/>
        <w:bottom w:val="none" w:sz="0" w:space="0" w:color="auto"/>
        <w:right w:val="none" w:sz="0" w:space="0" w:color="auto"/>
      </w:divBdr>
    </w:div>
    <w:div w:id="1996032039">
      <w:bodyDiv w:val="1"/>
      <w:marLeft w:val="0"/>
      <w:marRight w:val="0"/>
      <w:marTop w:val="0"/>
      <w:marBottom w:val="0"/>
      <w:divBdr>
        <w:top w:val="none" w:sz="0" w:space="0" w:color="auto"/>
        <w:left w:val="none" w:sz="0" w:space="0" w:color="auto"/>
        <w:bottom w:val="none" w:sz="0" w:space="0" w:color="auto"/>
        <w:right w:val="none" w:sz="0" w:space="0" w:color="auto"/>
      </w:divBdr>
    </w:div>
    <w:div w:id="1996059704">
      <w:bodyDiv w:val="1"/>
      <w:marLeft w:val="0"/>
      <w:marRight w:val="0"/>
      <w:marTop w:val="0"/>
      <w:marBottom w:val="0"/>
      <w:divBdr>
        <w:top w:val="none" w:sz="0" w:space="0" w:color="auto"/>
        <w:left w:val="none" w:sz="0" w:space="0" w:color="auto"/>
        <w:bottom w:val="none" w:sz="0" w:space="0" w:color="auto"/>
        <w:right w:val="none" w:sz="0" w:space="0" w:color="auto"/>
      </w:divBdr>
    </w:div>
    <w:div w:id="1996297599">
      <w:bodyDiv w:val="1"/>
      <w:marLeft w:val="0"/>
      <w:marRight w:val="0"/>
      <w:marTop w:val="0"/>
      <w:marBottom w:val="0"/>
      <w:divBdr>
        <w:top w:val="none" w:sz="0" w:space="0" w:color="auto"/>
        <w:left w:val="none" w:sz="0" w:space="0" w:color="auto"/>
        <w:bottom w:val="none" w:sz="0" w:space="0" w:color="auto"/>
        <w:right w:val="none" w:sz="0" w:space="0" w:color="auto"/>
      </w:divBdr>
    </w:div>
    <w:div w:id="1996373800">
      <w:bodyDiv w:val="1"/>
      <w:marLeft w:val="0"/>
      <w:marRight w:val="0"/>
      <w:marTop w:val="0"/>
      <w:marBottom w:val="0"/>
      <w:divBdr>
        <w:top w:val="none" w:sz="0" w:space="0" w:color="auto"/>
        <w:left w:val="none" w:sz="0" w:space="0" w:color="auto"/>
        <w:bottom w:val="none" w:sz="0" w:space="0" w:color="auto"/>
        <w:right w:val="none" w:sz="0" w:space="0" w:color="auto"/>
      </w:divBdr>
    </w:div>
    <w:div w:id="1996713786">
      <w:bodyDiv w:val="1"/>
      <w:marLeft w:val="0"/>
      <w:marRight w:val="0"/>
      <w:marTop w:val="0"/>
      <w:marBottom w:val="0"/>
      <w:divBdr>
        <w:top w:val="none" w:sz="0" w:space="0" w:color="auto"/>
        <w:left w:val="none" w:sz="0" w:space="0" w:color="auto"/>
        <w:bottom w:val="none" w:sz="0" w:space="0" w:color="auto"/>
        <w:right w:val="none" w:sz="0" w:space="0" w:color="auto"/>
      </w:divBdr>
    </w:div>
    <w:div w:id="1996716811">
      <w:bodyDiv w:val="1"/>
      <w:marLeft w:val="0"/>
      <w:marRight w:val="0"/>
      <w:marTop w:val="0"/>
      <w:marBottom w:val="0"/>
      <w:divBdr>
        <w:top w:val="none" w:sz="0" w:space="0" w:color="auto"/>
        <w:left w:val="none" w:sz="0" w:space="0" w:color="auto"/>
        <w:bottom w:val="none" w:sz="0" w:space="0" w:color="auto"/>
        <w:right w:val="none" w:sz="0" w:space="0" w:color="auto"/>
      </w:divBdr>
    </w:div>
    <w:div w:id="1996757262">
      <w:bodyDiv w:val="1"/>
      <w:marLeft w:val="0"/>
      <w:marRight w:val="0"/>
      <w:marTop w:val="0"/>
      <w:marBottom w:val="0"/>
      <w:divBdr>
        <w:top w:val="none" w:sz="0" w:space="0" w:color="auto"/>
        <w:left w:val="none" w:sz="0" w:space="0" w:color="auto"/>
        <w:bottom w:val="none" w:sz="0" w:space="0" w:color="auto"/>
        <w:right w:val="none" w:sz="0" w:space="0" w:color="auto"/>
      </w:divBdr>
    </w:div>
    <w:div w:id="1996838132">
      <w:bodyDiv w:val="1"/>
      <w:marLeft w:val="0"/>
      <w:marRight w:val="0"/>
      <w:marTop w:val="0"/>
      <w:marBottom w:val="0"/>
      <w:divBdr>
        <w:top w:val="none" w:sz="0" w:space="0" w:color="auto"/>
        <w:left w:val="none" w:sz="0" w:space="0" w:color="auto"/>
        <w:bottom w:val="none" w:sz="0" w:space="0" w:color="auto"/>
        <w:right w:val="none" w:sz="0" w:space="0" w:color="auto"/>
      </w:divBdr>
    </w:div>
    <w:div w:id="1997144158">
      <w:bodyDiv w:val="1"/>
      <w:marLeft w:val="0"/>
      <w:marRight w:val="0"/>
      <w:marTop w:val="0"/>
      <w:marBottom w:val="0"/>
      <w:divBdr>
        <w:top w:val="none" w:sz="0" w:space="0" w:color="auto"/>
        <w:left w:val="none" w:sz="0" w:space="0" w:color="auto"/>
        <w:bottom w:val="none" w:sz="0" w:space="0" w:color="auto"/>
        <w:right w:val="none" w:sz="0" w:space="0" w:color="auto"/>
      </w:divBdr>
    </w:div>
    <w:div w:id="1997175895">
      <w:bodyDiv w:val="1"/>
      <w:marLeft w:val="0"/>
      <w:marRight w:val="0"/>
      <w:marTop w:val="0"/>
      <w:marBottom w:val="0"/>
      <w:divBdr>
        <w:top w:val="none" w:sz="0" w:space="0" w:color="auto"/>
        <w:left w:val="none" w:sz="0" w:space="0" w:color="auto"/>
        <w:bottom w:val="none" w:sz="0" w:space="0" w:color="auto"/>
        <w:right w:val="none" w:sz="0" w:space="0" w:color="auto"/>
      </w:divBdr>
    </w:div>
    <w:div w:id="1997493962">
      <w:bodyDiv w:val="1"/>
      <w:marLeft w:val="0"/>
      <w:marRight w:val="0"/>
      <w:marTop w:val="0"/>
      <w:marBottom w:val="0"/>
      <w:divBdr>
        <w:top w:val="none" w:sz="0" w:space="0" w:color="auto"/>
        <w:left w:val="none" w:sz="0" w:space="0" w:color="auto"/>
        <w:bottom w:val="none" w:sz="0" w:space="0" w:color="auto"/>
        <w:right w:val="none" w:sz="0" w:space="0" w:color="auto"/>
      </w:divBdr>
    </w:div>
    <w:div w:id="1997610409">
      <w:bodyDiv w:val="1"/>
      <w:marLeft w:val="0"/>
      <w:marRight w:val="0"/>
      <w:marTop w:val="0"/>
      <w:marBottom w:val="0"/>
      <w:divBdr>
        <w:top w:val="none" w:sz="0" w:space="0" w:color="auto"/>
        <w:left w:val="none" w:sz="0" w:space="0" w:color="auto"/>
        <w:bottom w:val="none" w:sz="0" w:space="0" w:color="auto"/>
        <w:right w:val="none" w:sz="0" w:space="0" w:color="auto"/>
      </w:divBdr>
    </w:div>
    <w:div w:id="1997878321">
      <w:bodyDiv w:val="1"/>
      <w:marLeft w:val="0"/>
      <w:marRight w:val="0"/>
      <w:marTop w:val="0"/>
      <w:marBottom w:val="0"/>
      <w:divBdr>
        <w:top w:val="none" w:sz="0" w:space="0" w:color="auto"/>
        <w:left w:val="none" w:sz="0" w:space="0" w:color="auto"/>
        <w:bottom w:val="none" w:sz="0" w:space="0" w:color="auto"/>
        <w:right w:val="none" w:sz="0" w:space="0" w:color="auto"/>
      </w:divBdr>
    </w:div>
    <w:div w:id="1998415317">
      <w:bodyDiv w:val="1"/>
      <w:marLeft w:val="0"/>
      <w:marRight w:val="0"/>
      <w:marTop w:val="0"/>
      <w:marBottom w:val="0"/>
      <w:divBdr>
        <w:top w:val="none" w:sz="0" w:space="0" w:color="auto"/>
        <w:left w:val="none" w:sz="0" w:space="0" w:color="auto"/>
        <w:bottom w:val="none" w:sz="0" w:space="0" w:color="auto"/>
        <w:right w:val="none" w:sz="0" w:space="0" w:color="auto"/>
      </w:divBdr>
    </w:div>
    <w:div w:id="1998416040">
      <w:bodyDiv w:val="1"/>
      <w:marLeft w:val="0"/>
      <w:marRight w:val="0"/>
      <w:marTop w:val="0"/>
      <w:marBottom w:val="0"/>
      <w:divBdr>
        <w:top w:val="none" w:sz="0" w:space="0" w:color="auto"/>
        <w:left w:val="none" w:sz="0" w:space="0" w:color="auto"/>
        <w:bottom w:val="none" w:sz="0" w:space="0" w:color="auto"/>
        <w:right w:val="none" w:sz="0" w:space="0" w:color="auto"/>
      </w:divBdr>
    </w:div>
    <w:div w:id="1998680694">
      <w:bodyDiv w:val="1"/>
      <w:marLeft w:val="0"/>
      <w:marRight w:val="0"/>
      <w:marTop w:val="0"/>
      <w:marBottom w:val="0"/>
      <w:divBdr>
        <w:top w:val="none" w:sz="0" w:space="0" w:color="auto"/>
        <w:left w:val="none" w:sz="0" w:space="0" w:color="auto"/>
        <w:bottom w:val="none" w:sz="0" w:space="0" w:color="auto"/>
        <w:right w:val="none" w:sz="0" w:space="0" w:color="auto"/>
      </w:divBdr>
    </w:div>
    <w:div w:id="1998803901">
      <w:bodyDiv w:val="1"/>
      <w:marLeft w:val="0"/>
      <w:marRight w:val="0"/>
      <w:marTop w:val="0"/>
      <w:marBottom w:val="0"/>
      <w:divBdr>
        <w:top w:val="none" w:sz="0" w:space="0" w:color="auto"/>
        <w:left w:val="none" w:sz="0" w:space="0" w:color="auto"/>
        <w:bottom w:val="none" w:sz="0" w:space="0" w:color="auto"/>
        <w:right w:val="none" w:sz="0" w:space="0" w:color="auto"/>
      </w:divBdr>
    </w:div>
    <w:div w:id="1998922553">
      <w:bodyDiv w:val="1"/>
      <w:marLeft w:val="0"/>
      <w:marRight w:val="0"/>
      <w:marTop w:val="0"/>
      <w:marBottom w:val="0"/>
      <w:divBdr>
        <w:top w:val="none" w:sz="0" w:space="0" w:color="auto"/>
        <w:left w:val="none" w:sz="0" w:space="0" w:color="auto"/>
        <w:bottom w:val="none" w:sz="0" w:space="0" w:color="auto"/>
        <w:right w:val="none" w:sz="0" w:space="0" w:color="auto"/>
      </w:divBdr>
    </w:div>
    <w:div w:id="1999260518">
      <w:bodyDiv w:val="1"/>
      <w:marLeft w:val="0"/>
      <w:marRight w:val="0"/>
      <w:marTop w:val="0"/>
      <w:marBottom w:val="0"/>
      <w:divBdr>
        <w:top w:val="none" w:sz="0" w:space="0" w:color="auto"/>
        <w:left w:val="none" w:sz="0" w:space="0" w:color="auto"/>
        <w:bottom w:val="none" w:sz="0" w:space="0" w:color="auto"/>
        <w:right w:val="none" w:sz="0" w:space="0" w:color="auto"/>
      </w:divBdr>
    </w:div>
    <w:div w:id="1999339117">
      <w:bodyDiv w:val="1"/>
      <w:marLeft w:val="0"/>
      <w:marRight w:val="0"/>
      <w:marTop w:val="0"/>
      <w:marBottom w:val="0"/>
      <w:divBdr>
        <w:top w:val="none" w:sz="0" w:space="0" w:color="auto"/>
        <w:left w:val="none" w:sz="0" w:space="0" w:color="auto"/>
        <w:bottom w:val="none" w:sz="0" w:space="0" w:color="auto"/>
        <w:right w:val="none" w:sz="0" w:space="0" w:color="auto"/>
      </w:divBdr>
    </w:div>
    <w:div w:id="1999991079">
      <w:bodyDiv w:val="1"/>
      <w:marLeft w:val="0"/>
      <w:marRight w:val="0"/>
      <w:marTop w:val="0"/>
      <w:marBottom w:val="0"/>
      <w:divBdr>
        <w:top w:val="none" w:sz="0" w:space="0" w:color="auto"/>
        <w:left w:val="none" w:sz="0" w:space="0" w:color="auto"/>
        <w:bottom w:val="none" w:sz="0" w:space="0" w:color="auto"/>
        <w:right w:val="none" w:sz="0" w:space="0" w:color="auto"/>
      </w:divBdr>
    </w:div>
    <w:div w:id="2000113531">
      <w:bodyDiv w:val="1"/>
      <w:marLeft w:val="0"/>
      <w:marRight w:val="0"/>
      <w:marTop w:val="0"/>
      <w:marBottom w:val="0"/>
      <w:divBdr>
        <w:top w:val="none" w:sz="0" w:space="0" w:color="auto"/>
        <w:left w:val="none" w:sz="0" w:space="0" w:color="auto"/>
        <w:bottom w:val="none" w:sz="0" w:space="0" w:color="auto"/>
        <w:right w:val="none" w:sz="0" w:space="0" w:color="auto"/>
      </w:divBdr>
    </w:div>
    <w:div w:id="2000116622">
      <w:bodyDiv w:val="1"/>
      <w:marLeft w:val="0"/>
      <w:marRight w:val="0"/>
      <w:marTop w:val="0"/>
      <w:marBottom w:val="0"/>
      <w:divBdr>
        <w:top w:val="none" w:sz="0" w:space="0" w:color="auto"/>
        <w:left w:val="none" w:sz="0" w:space="0" w:color="auto"/>
        <w:bottom w:val="none" w:sz="0" w:space="0" w:color="auto"/>
        <w:right w:val="none" w:sz="0" w:space="0" w:color="auto"/>
      </w:divBdr>
    </w:div>
    <w:div w:id="2000302939">
      <w:bodyDiv w:val="1"/>
      <w:marLeft w:val="0"/>
      <w:marRight w:val="0"/>
      <w:marTop w:val="0"/>
      <w:marBottom w:val="0"/>
      <w:divBdr>
        <w:top w:val="none" w:sz="0" w:space="0" w:color="auto"/>
        <w:left w:val="none" w:sz="0" w:space="0" w:color="auto"/>
        <w:bottom w:val="none" w:sz="0" w:space="0" w:color="auto"/>
        <w:right w:val="none" w:sz="0" w:space="0" w:color="auto"/>
      </w:divBdr>
    </w:div>
    <w:div w:id="2000382981">
      <w:bodyDiv w:val="1"/>
      <w:marLeft w:val="0"/>
      <w:marRight w:val="0"/>
      <w:marTop w:val="0"/>
      <w:marBottom w:val="0"/>
      <w:divBdr>
        <w:top w:val="none" w:sz="0" w:space="0" w:color="auto"/>
        <w:left w:val="none" w:sz="0" w:space="0" w:color="auto"/>
        <w:bottom w:val="none" w:sz="0" w:space="0" w:color="auto"/>
        <w:right w:val="none" w:sz="0" w:space="0" w:color="auto"/>
      </w:divBdr>
    </w:div>
    <w:div w:id="2000570577">
      <w:bodyDiv w:val="1"/>
      <w:marLeft w:val="0"/>
      <w:marRight w:val="0"/>
      <w:marTop w:val="0"/>
      <w:marBottom w:val="0"/>
      <w:divBdr>
        <w:top w:val="none" w:sz="0" w:space="0" w:color="auto"/>
        <w:left w:val="none" w:sz="0" w:space="0" w:color="auto"/>
        <w:bottom w:val="none" w:sz="0" w:space="0" w:color="auto"/>
        <w:right w:val="none" w:sz="0" w:space="0" w:color="auto"/>
      </w:divBdr>
    </w:div>
    <w:div w:id="2000650137">
      <w:bodyDiv w:val="1"/>
      <w:marLeft w:val="0"/>
      <w:marRight w:val="0"/>
      <w:marTop w:val="0"/>
      <w:marBottom w:val="0"/>
      <w:divBdr>
        <w:top w:val="none" w:sz="0" w:space="0" w:color="auto"/>
        <w:left w:val="none" w:sz="0" w:space="0" w:color="auto"/>
        <w:bottom w:val="none" w:sz="0" w:space="0" w:color="auto"/>
        <w:right w:val="none" w:sz="0" w:space="0" w:color="auto"/>
      </w:divBdr>
    </w:div>
    <w:div w:id="2000956489">
      <w:bodyDiv w:val="1"/>
      <w:marLeft w:val="0"/>
      <w:marRight w:val="0"/>
      <w:marTop w:val="0"/>
      <w:marBottom w:val="0"/>
      <w:divBdr>
        <w:top w:val="none" w:sz="0" w:space="0" w:color="auto"/>
        <w:left w:val="none" w:sz="0" w:space="0" w:color="auto"/>
        <w:bottom w:val="none" w:sz="0" w:space="0" w:color="auto"/>
        <w:right w:val="none" w:sz="0" w:space="0" w:color="auto"/>
      </w:divBdr>
    </w:div>
    <w:div w:id="2000957815">
      <w:bodyDiv w:val="1"/>
      <w:marLeft w:val="0"/>
      <w:marRight w:val="0"/>
      <w:marTop w:val="0"/>
      <w:marBottom w:val="0"/>
      <w:divBdr>
        <w:top w:val="none" w:sz="0" w:space="0" w:color="auto"/>
        <w:left w:val="none" w:sz="0" w:space="0" w:color="auto"/>
        <w:bottom w:val="none" w:sz="0" w:space="0" w:color="auto"/>
        <w:right w:val="none" w:sz="0" w:space="0" w:color="auto"/>
      </w:divBdr>
    </w:div>
    <w:div w:id="2000960322">
      <w:bodyDiv w:val="1"/>
      <w:marLeft w:val="0"/>
      <w:marRight w:val="0"/>
      <w:marTop w:val="0"/>
      <w:marBottom w:val="0"/>
      <w:divBdr>
        <w:top w:val="none" w:sz="0" w:space="0" w:color="auto"/>
        <w:left w:val="none" w:sz="0" w:space="0" w:color="auto"/>
        <w:bottom w:val="none" w:sz="0" w:space="0" w:color="auto"/>
        <w:right w:val="none" w:sz="0" w:space="0" w:color="auto"/>
      </w:divBdr>
    </w:div>
    <w:div w:id="2000962860">
      <w:bodyDiv w:val="1"/>
      <w:marLeft w:val="0"/>
      <w:marRight w:val="0"/>
      <w:marTop w:val="0"/>
      <w:marBottom w:val="0"/>
      <w:divBdr>
        <w:top w:val="none" w:sz="0" w:space="0" w:color="auto"/>
        <w:left w:val="none" w:sz="0" w:space="0" w:color="auto"/>
        <w:bottom w:val="none" w:sz="0" w:space="0" w:color="auto"/>
        <w:right w:val="none" w:sz="0" w:space="0" w:color="auto"/>
      </w:divBdr>
    </w:div>
    <w:div w:id="2001035654">
      <w:bodyDiv w:val="1"/>
      <w:marLeft w:val="0"/>
      <w:marRight w:val="0"/>
      <w:marTop w:val="0"/>
      <w:marBottom w:val="0"/>
      <w:divBdr>
        <w:top w:val="none" w:sz="0" w:space="0" w:color="auto"/>
        <w:left w:val="none" w:sz="0" w:space="0" w:color="auto"/>
        <w:bottom w:val="none" w:sz="0" w:space="0" w:color="auto"/>
        <w:right w:val="none" w:sz="0" w:space="0" w:color="auto"/>
      </w:divBdr>
    </w:div>
    <w:div w:id="2001305154">
      <w:bodyDiv w:val="1"/>
      <w:marLeft w:val="0"/>
      <w:marRight w:val="0"/>
      <w:marTop w:val="0"/>
      <w:marBottom w:val="0"/>
      <w:divBdr>
        <w:top w:val="none" w:sz="0" w:space="0" w:color="auto"/>
        <w:left w:val="none" w:sz="0" w:space="0" w:color="auto"/>
        <w:bottom w:val="none" w:sz="0" w:space="0" w:color="auto"/>
        <w:right w:val="none" w:sz="0" w:space="0" w:color="auto"/>
      </w:divBdr>
    </w:div>
    <w:div w:id="2001346792">
      <w:bodyDiv w:val="1"/>
      <w:marLeft w:val="0"/>
      <w:marRight w:val="0"/>
      <w:marTop w:val="0"/>
      <w:marBottom w:val="0"/>
      <w:divBdr>
        <w:top w:val="none" w:sz="0" w:space="0" w:color="auto"/>
        <w:left w:val="none" w:sz="0" w:space="0" w:color="auto"/>
        <w:bottom w:val="none" w:sz="0" w:space="0" w:color="auto"/>
        <w:right w:val="none" w:sz="0" w:space="0" w:color="auto"/>
      </w:divBdr>
    </w:div>
    <w:div w:id="2001351480">
      <w:bodyDiv w:val="1"/>
      <w:marLeft w:val="0"/>
      <w:marRight w:val="0"/>
      <w:marTop w:val="0"/>
      <w:marBottom w:val="0"/>
      <w:divBdr>
        <w:top w:val="none" w:sz="0" w:space="0" w:color="auto"/>
        <w:left w:val="none" w:sz="0" w:space="0" w:color="auto"/>
        <w:bottom w:val="none" w:sz="0" w:space="0" w:color="auto"/>
        <w:right w:val="none" w:sz="0" w:space="0" w:color="auto"/>
      </w:divBdr>
    </w:div>
    <w:div w:id="2001495360">
      <w:bodyDiv w:val="1"/>
      <w:marLeft w:val="0"/>
      <w:marRight w:val="0"/>
      <w:marTop w:val="0"/>
      <w:marBottom w:val="0"/>
      <w:divBdr>
        <w:top w:val="none" w:sz="0" w:space="0" w:color="auto"/>
        <w:left w:val="none" w:sz="0" w:space="0" w:color="auto"/>
        <w:bottom w:val="none" w:sz="0" w:space="0" w:color="auto"/>
        <w:right w:val="none" w:sz="0" w:space="0" w:color="auto"/>
      </w:divBdr>
    </w:div>
    <w:div w:id="2001536231">
      <w:bodyDiv w:val="1"/>
      <w:marLeft w:val="0"/>
      <w:marRight w:val="0"/>
      <w:marTop w:val="0"/>
      <w:marBottom w:val="0"/>
      <w:divBdr>
        <w:top w:val="none" w:sz="0" w:space="0" w:color="auto"/>
        <w:left w:val="none" w:sz="0" w:space="0" w:color="auto"/>
        <w:bottom w:val="none" w:sz="0" w:space="0" w:color="auto"/>
        <w:right w:val="none" w:sz="0" w:space="0" w:color="auto"/>
      </w:divBdr>
    </w:div>
    <w:div w:id="2001809188">
      <w:bodyDiv w:val="1"/>
      <w:marLeft w:val="0"/>
      <w:marRight w:val="0"/>
      <w:marTop w:val="0"/>
      <w:marBottom w:val="0"/>
      <w:divBdr>
        <w:top w:val="none" w:sz="0" w:space="0" w:color="auto"/>
        <w:left w:val="none" w:sz="0" w:space="0" w:color="auto"/>
        <w:bottom w:val="none" w:sz="0" w:space="0" w:color="auto"/>
        <w:right w:val="none" w:sz="0" w:space="0" w:color="auto"/>
      </w:divBdr>
    </w:div>
    <w:div w:id="2002153311">
      <w:bodyDiv w:val="1"/>
      <w:marLeft w:val="0"/>
      <w:marRight w:val="0"/>
      <w:marTop w:val="0"/>
      <w:marBottom w:val="0"/>
      <w:divBdr>
        <w:top w:val="none" w:sz="0" w:space="0" w:color="auto"/>
        <w:left w:val="none" w:sz="0" w:space="0" w:color="auto"/>
        <w:bottom w:val="none" w:sz="0" w:space="0" w:color="auto"/>
        <w:right w:val="none" w:sz="0" w:space="0" w:color="auto"/>
      </w:divBdr>
    </w:div>
    <w:div w:id="2002192687">
      <w:bodyDiv w:val="1"/>
      <w:marLeft w:val="0"/>
      <w:marRight w:val="0"/>
      <w:marTop w:val="0"/>
      <w:marBottom w:val="0"/>
      <w:divBdr>
        <w:top w:val="none" w:sz="0" w:space="0" w:color="auto"/>
        <w:left w:val="none" w:sz="0" w:space="0" w:color="auto"/>
        <w:bottom w:val="none" w:sz="0" w:space="0" w:color="auto"/>
        <w:right w:val="none" w:sz="0" w:space="0" w:color="auto"/>
      </w:divBdr>
    </w:div>
    <w:div w:id="2002419021">
      <w:bodyDiv w:val="1"/>
      <w:marLeft w:val="0"/>
      <w:marRight w:val="0"/>
      <w:marTop w:val="0"/>
      <w:marBottom w:val="0"/>
      <w:divBdr>
        <w:top w:val="none" w:sz="0" w:space="0" w:color="auto"/>
        <w:left w:val="none" w:sz="0" w:space="0" w:color="auto"/>
        <w:bottom w:val="none" w:sz="0" w:space="0" w:color="auto"/>
        <w:right w:val="none" w:sz="0" w:space="0" w:color="auto"/>
      </w:divBdr>
    </w:div>
    <w:div w:id="2002541671">
      <w:bodyDiv w:val="1"/>
      <w:marLeft w:val="0"/>
      <w:marRight w:val="0"/>
      <w:marTop w:val="0"/>
      <w:marBottom w:val="0"/>
      <w:divBdr>
        <w:top w:val="none" w:sz="0" w:space="0" w:color="auto"/>
        <w:left w:val="none" w:sz="0" w:space="0" w:color="auto"/>
        <w:bottom w:val="none" w:sz="0" w:space="0" w:color="auto"/>
        <w:right w:val="none" w:sz="0" w:space="0" w:color="auto"/>
      </w:divBdr>
    </w:div>
    <w:div w:id="2002585232">
      <w:bodyDiv w:val="1"/>
      <w:marLeft w:val="0"/>
      <w:marRight w:val="0"/>
      <w:marTop w:val="0"/>
      <w:marBottom w:val="0"/>
      <w:divBdr>
        <w:top w:val="none" w:sz="0" w:space="0" w:color="auto"/>
        <w:left w:val="none" w:sz="0" w:space="0" w:color="auto"/>
        <w:bottom w:val="none" w:sz="0" w:space="0" w:color="auto"/>
        <w:right w:val="none" w:sz="0" w:space="0" w:color="auto"/>
      </w:divBdr>
    </w:div>
    <w:div w:id="2002613250">
      <w:bodyDiv w:val="1"/>
      <w:marLeft w:val="0"/>
      <w:marRight w:val="0"/>
      <w:marTop w:val="0"/>
      <w:marBottom w:val="0"/>
      <w:divBdr>
        <w:top w:val="none" w:sz="0" w:space="0" w:color="auto"/>
        <w:left w:val="none" w:sz="0" w:space="0" w:color="auto"/>
        <w:bottom w:val="none" w:sz="0" w:space="0" w:color="auto"/>
        <w:right w:val="none" w:sz="0" w:space="0" w:color="auto"/>
      </w:divBdr>
    </w:div>
    <w:div w:id="2002614045">
      <w:bodyDiv w:val="1"/>
      <w:marLeft w:val="0"/>
      <w:marRight w:val="0"/>
      <w:marTop w:val="0"/>
      <w:marBottom w:val="0"/>
      <w:divBdr>
        <w:top w:val="none" w:sz="0" w:space="0" w:color="auto"/>
        <w:left w:val="none" w:sz="0" w:space="0" w:color="auto"/>
        <w:bottom w:val="none" w:sz="0" w:space="0" w:color="auto"/>
        <w:right w:val="none" w:sz="0" w:space="0" w:color="auto"/>
      </w:divBdr>
    </w:div>
    <w:div w:id="2002730599">
      <w:bodyDiv w:val="1"/>
      <w:marLeft w:val="0"/>
      <w:marRight w:val="0"/>
      <w:marTop w:val="0"/>
      <w:marBottom w:val="0"/>
      <w:divBdr>
        <w:top w:val="none" w:sz="0" w:space="0" w:color="auto"/>
        <w:left w:val="none" w:sz="0" w:space="0" w:color="auto"/>
        <w:bottom w:val="none" w:sz="0" w:space="0" w:color="auto"/>
        <w:right w:val="none" w:sz="0" w:space="0" w:color="auto"/>
      </w:divBdr>
    </w:div>
    <w:div w:id="2002923493">
      <w:bodyDiv w:val="1"/>
      <w:marLeft w:val="0"/>
      <w:marRight w:val="0"/>
      <w:marTop w:val="0"/>
      <w:marBottom w:val="0"/>
      <w:divBdr>
        <w:top w:val="none" w:sz="0" w:space="0" w:color="auto"/>
        <w:left w:val="none" w:sz="0" w:space="0" w:color="auto"/>
        <w:bottom w:val="none" w:sz="0" w:space="0" w:color="auto"/>
        <w:right w:val="none" w:sz="0" w:space="0" w:color="auto"/>
      </w:divBdr>
    </w:div>
    <w:div w:id="2002927243">
      <w:bodyDiv w:val="1"/>
      <w:marLeft w:val="0"/>
      <w:marRight w:val="0"/>
      <w:marTop w:val="0"/>
      <w:marBottom w:val="0"/>
      <w:divBdr>
        <w:top w:val="none" w:sz="0" w:space="0" w:color="auto"/>
        <w:left w:val="none" w:sz="0" w:space="0" w:color="auto"/>
        <w:bottom w:val="none" w:sz="0" w:space="0" w:color="auto"/>
        <w:right w:val="none" w:sz="0" w:space="0" w:color="auto"/>
      </w:divBdr>
    </w:div>
    <w:div w:id="2003044255">
      <w:bodyDiv w:val="1"/>
      <w:marLeft w:val="0"/>
      <w:marRight w:val="0"/>
      <w:marTop w:val="0"/>
      <w:marBottom w:val="0"/>
      <w:divBdr>
        <w:top w:val="none" w:sz="0" w:space="0" w:color="auto"/>
        <w:left w:val="none" w:sz="0" w:space="0" w:color="auto"/>
        <w:bottom w:val="none" w:sz="0" w:space="0" w:color="auto"/>
        <w:right w:val="none" w:sz="0" w:space="0" w:color="auto"/>
      </w:divBdr>
    </w:div>
    <w:div w:id="2003313157">
      <w:bodyDiv w:val="1"/>
      <w:marLeft w:val="0"/>
      <w:marRight w:val="0"/>
      <w:marTop w:val="0"/>
      <w:marBottom w:val="0"/>
      <w:divBdr>
        <w:top w:val="none" w:sz="0" w:space="0" w:color="auto"/>
        <w:left w:val="none" w:sz="0" w:space="0" w:color="auto"/>
        <w:bottom w:val="none" w:sz="0" w:space="0" w:color="auto"/>
        <w:right w:val="none" w:sz="0" w:space="0" w:color="auto"/>
      </w:divBdr>
    </w:div>
    <w:div w:id="2003388641">
      <w:bodyDiv w:val="1"/>
      <w:marLeft w:val="0"/>
      <w:marRight w:val="0"/>
      <w:marTop w:val="0"/>
      <w:marBottom w:val="0"/>
      <w:divBdr>
        <w:top w:val="none" w:sz="0" w:space="0" w:color="auto"/>
        <w:left w:val="none" w:sz="0" w:space="0" w:color="auto"/>
        <w:bottom w:val="none" w:sz="0" w:space="0" w:color="auto"/>
        <w:right w:val="none" w:sz="0" w:space="0" w:color="auto"/>
      </w:divBdr>
    </w:div>
    <w:div w:id="2003461405">
      <w:bodyDiv w:val="1"/>
      <w:marLeft w:val="0"/>
      <w:marRight w:val="0"/>
      <w:marTop w:val="0"/>
      <w:marBottom w:val="0"/>
      <w:divBdr>
        <w:top w:val="none" w:sz="0" w:space="0" w:color="auto"/>
        <w:left w:val="none" w:sz="0" w:space="0" w:color="auto"/>
        <w:bottom w:val="none" w:sz="0" w:space="0" w:color="auto"/>
        <w:right w:val="none" w:sz="0" w:space="0" w:color="auto"/>
      </w:divBdr>
    </w:div>
    <w:div w:id="2003466537">
      <w:bodyDiv w:val="1"/>
      <w:marLeft w:val="0"/>
      <w:marRight w:val="0"/>
      <w:marTop w:val="0"/>
      <w:marBottom w:val="0"/>
      <w:divBdr>
        <w:top w:val="none" w:sz="0" w:space="0" w:color="auto"/>
        <w:left w:val="none" w:sz="0" w:space="0" w:color="auto"/>
        <w:bottom w:val="none" w:sz="0" w:space="0" w:color="auto"/>
        <w:right w:val="none" w:sz="0" w:space="0" w:color="auto"/>
      </w:divBdr>
    </w:div>
    <w:div w:id="2003656440">
      <w:bodyDiv w:val="1"/>
      <w:marLeft w:val="0"/>
      <w:marRight w:val="0"/>
      <w:marTop w:val="0"/>
      <w:marBottom w:val="0"/>
      <w:divBdr>
        <w:top w:val="none" w:sz="0" w:space="0" w:color="auto"/>
        <w:left w:val="none" w:sz="0" w:space="0" w:color="auto"/>
        <w:bottom w:val="none" w:sz="0" w:space="0" w:color="auto"/>
        <w:right w:val="none" w:sz="0" w:space="0" w:color="auto"/>
      </w:divBdr>
    </w:div>
    <w:div w:id="2003698916">
      <w:bodyDiv w:val="1"/>
      <w:marLeft w:val="0"/>
      <w:marRight w:val="0"/>
      <w:marTop w:val="0"/>
      <w:marBottom w:val="0"/>
      <w:divBdr>
        <w:top w:val="none" w:sz="0" w:space="0" w:color="auto"/>
        <w:left w:val="none" w:sz="0" w:space="0" w:color="auto"/>
        <w:bottom w:val="none" w:sz="0" w:space="0" w:color="auto"/>
        <w:right w:val="none" w:sz="0" w:space="0" w:color="auto"/>
      </w:divBdr>
    </w:div>
    <w:div w:id="2003921773">
      <w:bodyDiv w:val="1"/>
      <w:marLeft w:val="0"/>
      <w:marRight w:val="0"/>
      <w:marTop w:val="0"/>
      <w:marBottom w:val="0"/>
      <w:divBdr>
        <w:top w:val="none" w:sz="0" w:space="0" w:color="auto"/>
        <w:left w:val="none" w:sz="0" w:space="0" w:color="auto"/>
        <w:bottom w:val="none" w:sz="0" w:space="0" w:color="auto"/>
        <w:right w:val="none" w:sz="0" w:space="0" w:color="auto"/>
      </w:divBdr>
    </w:div>
    <w:div w:id="2003971433">
      <w:bodyDiv w:val="1"/>
      <w:marLeft w:val="0"/>
      <w:marRight w:val="0"/>
      <w:marTop w:val="0"/>
      <w:marBottom w:val="0"/>
      <w:divBdr>
        <w:top w:val="none" w:sz="0" w:space="0" w:color="auto"/>
        <w:left w:val="none" w:sz="0" w:space="0" w:color="auto"/>
        <w:bottom w:val="none" w:sz="0" w:space="0" w:color="auto"/>
        <w:right w:val="none" w:sz="0" w:space="0" w:color="auto"/>
      </w:divBdr>
    </w:div>
    <w:div w:id="2004039683">
      <w:bodyDiv w:val="1"/>
      <w:marLeft w:val="0"/>
      <w:marRight w:val="0"/>
      <w:marTop w:val="0"/>
      <w:marBottom w:val="0"/>
      <w:divBdr>
        <w:top w:val="none" w:sz="0" w:space="0" w:color="auto"/>
        <w:left w:val="none" w:sz="0" w:space="0" w:color="auto"/>
        <w:bottom w:val="none" w:sz="0" w:space="0" w:color="auto"/>
        <w:right w:val="none" w:sz="0" w:space="0" w:color="auto"/>
      </w:divBdr>
    </w:div>
    <w:div w:id="2004114567">
      <w:bodyDiv w:val="1"/>
      <w:marLeft w:val="0"/>
      <w:marRight w:val="0"/>
      <w:marTop w:val="0"/>
      <w:marBottom w:val="0"/>
      <w:divBdr>
        <w:top w:val="none" w:sz="0" w:space="0" w:color="auto"/>
        <w:left w:val="none" w:sz="0" w:space="0" w:color="auto"/>
        <w:bottom w:val="none" w:sz="0" w:space="0" w:color="auto"/>
        <w:right w:val="none" w:sz="0" w:space="0" w:color="auto"/>
      </w:divBdr>
    </w:div>
    <w:div w:id="2004120281">
      <w:bodyDiv w:val="1"/>
      <w:marLeft w:val="0"/>
      <w:marRight w:val="0"/>
      <w:marTop w:val="0"/>
      <w:marBottom w:val="0"/>
      <w:divBdr>
        <w:top w:val="none" w:sz="0" w:space="0" w:color="auto"/>
        <w:left w:val="none" w:sz="0" w:space="0" w:color="auto"/>
        <w:bottom w:val="none" w:sz="0" w:space="0" w:color="auto"/>
        <w:right w:val="none" w:sz="0" w:space="0" w:color="auto"/>
      </w:divBdr>
    </w:div>
    <w:div w:id="2004162976">
      <w:bodyDiv w:val="1"/>
      <w:marLeft w:val="0"/>
      <w:marRight w:val="0"/>
      <w:marTop w:val="0"/>
      <w:marBottom w:val="0"/>
      <w:divBdr>
        <w:top w:val="none" w:sz="0" w:space="0" w:color="auto"/>
        <w:left w:val="none" w:sz="0" w:space="0" w:color="auto"/>
        <w:bottom w:val="none" w:sz="0" w:space="0" w:color="auto"/>
        <w:right w:val="none" w:sz="0" w:space="0" w:color="auto"/>
      </w:divBdr>
    </w:div>
    <w:div w:id="2004311176">
      <w:bodyDiv w:val="1"/>
      <w:marLeft w:val="0"/>
      <w:marRight w:val="0"/>
      <w:marTop w:val="0"/>
      <w:marBottom w:val="0"/>
      <w:divBdr>
        <w:top w:val="none" w:sz="0" w:space="0" w:color="auto"/>
        <w:left w:val="none" w:sz="0" w:space="0" w:color="auto"/>
        <w:bottom w:val="none" w:sz="0" w:space="0" w:color="auto"/>
        <w:right w:val="none" w:sz="0" w:space="0" w:color="auto"/>
      </w:divBdr>
    </w:div>
    <w:div w:id="2004620526">
      <w:bodyDiv w:val="1"/>
      <w:marLeft w:val="0"/>
      <w:marRight w:val="0"/>
      <w:marTop w:val="0"/>
      <w:marBottom w:val="0"/>
      <w:divBdr>
        <w:top w:val="none" w:sz="0" w:space="0" w:color="auto"/>
        <w:left w:val="none" w:sz="0" w:space="0" w:color="auto"/>
        <w:bottom w:val="none" w:sz="0" w:space="0" w:color="auto"/>
        <w:right w:val="none" w:sz="0" w:space="0" w:color="auto"/>
      </w:divBdr>
    </w:div>
    <w:div w:id="2004699993">
      <w:bodyDiv w:val="1"/>
      <w:marLeft w:val="0"/>
      <w:marRight w:val="0"/>
      <w:marTop w:val="0"/>
      <w:marBottom w:val="0"/>
      <w:divBdr>
        <w:top w:val="none" w:sz="0" w:space="0" w:color="auto"/>
        <w:left w:val="none" w:sz="0" w:space="0" w:color="auto"/>
        <w:bottom w:val="none" w:sz="0" w:space="0" w:color="auto"/>
        <w:right w:val="none" w:sz="0" w:space="0" w:color="auto"/>
      </w:divBdr>
    </w:div>
    <w:div w:id="2004769758">
      <w:bodyDiv w:val="1"/>
      <w:marLeft w:val="0"/>
      <w:marRight w:val="0"/>
      <w:marTop w:val="0"/>
      <w:marBottom w:val="0"/>
      <w:divBdr>
        <w:top w:val="none" w:sz="0" w:space="0" w:color="auto"/>
        <w:left w:val="none" w:sz="0" w:space="0" w:color="auto"/>
        <w:bottom w:val="none" w:sz="0" w:space="0" w:color="auto"/>
        <w:right w:val="none" w:sz="0" w:space="0" w:color="auto"/>
      </w:divBdr>
    </w:div>
    <w:div w:id="2004772170">
      <w:bodyDiv w:val="1"/>
      <w:marLeft w:val="0"/>
      <w:marRight w:val="0"/>
      <w:marTop w:val="0"/>
      <w:marBottom w:val="0"/>
      <w:divBdr>
        <w:top w:val="none" w:sz="0" w:space="0" w:color="auto"/>
        <w:left w:val="none" w:sz="0" w:space="0" w:color="auto"/>
        <w:bottom w:val="none" w:sz="0" w:space="0" w:color="auto"/>
        <w:right w:val="none" w:sz="0" w:space="0" w:color="auto"/>
      </w:divBdr>
    </w:div>
    <w:div w:id="2004813048">
      <w:bodyDiv w:val="1"/>
      <w:marLeft w:val="0"/>
      <w:marRight w:val="0"/>
      <w:marTop w:val="0"/>
      <w:marBottom w:val="0"/>
      <w:divBdr>
        <w:top w:val="none" w:sz="0" w:space="0" w:color="auto"/>
        <w:left w:val="none" w:sz="0" w:space="0" w:color="auto"/>
        <w:bottom w:val="none" w:sz="0" w:space="0" w:color="auto"/>
        <w:right w:val="none" w:sz="0" w:space="0" w:color="auto"/>
      </w:divBdr>
    </w:div>
    <w:div w:id="2005083395">
      <w:bodyDiv w:val="1"/>
      <w:marLeft w:val="0"/>
      <w:marRight w:val="0"/>
      <w:marTop w:val="0"/>
      <w:marBottom w:val="0"/>
      <w:divBdr>
        <w:top w:val="none" w:sz="0" w:space="0" w:color="auto"/>
        <w:left w:val="none" w:sz="0" w:space="0" w:color="auto"/>
        <w:bottom w:val="none" w:sz="0" w:space="0" w:color="auto"/>
        <w:right w:val="none" w:sz="0" w:space="0" w:color="auto"/>
      </w:divBdr>
    </w:div>
    <w:div w:id="2005086120">
      <w:bodyDiv w:val="1"/>
      <w:marLeft w:val="0"/>
      <w:marRight w:val="0"/>
      <w:marTop w:val="0"/>
      <w:marBottom w:val="0"/>
      <w:divBdr>
        <w:top w:val="none" w:sz="0" w:space="0" w:color="auto"/>
        <w:left w:val="none" w:sz="0" w:space="0" w:color="auto"/>
        <w:bottom w:val="none" w:sz="0" w:space="0" w:color="auto"/>
        <w:right w:val="none" w:sz="0" w:space="0" w:color="auto"/>
      </w:divBdr>
    </w:div>
    <w:div w:id="2005159481">
      <w:bodyDiv w:val="1"/>
      <w:marLeft w:val="0"/>
      <w:marRight w:val="0"/>
      <w:marTop w:val="0"/>
      <w:marBottom w:val="0"/>
      <w:divBdr>
        <w:top w:val="none" w:sz="0" w:space="0" w:color="auto"/>
        <w:left w:val="none" w:sz="0" w:space="0" w:color="auto"/>
        <w:bottom w:val="none" w:sz="0" w:space="0" w:color="auto"/>
        <w:right w:val="none" w:sz="0" w:space="0" w:color="auto"/>
      </w:divBdr>
    </w:div>
    <w:div w:id="2005162061">
      <w:bodyDiv w:val="1"/>
      <w:marLeft w:val="0"/>
      <w:marRight w:val="0"/>
      <w:marTop w:val="0"/>
      <w:marBottom w:val="0"/>
      <w:divBdr>
        <w:top w:val="none" w:sz="0" w:space="0" w:color="auto"/>
        <w:left w:val="none" w:sz="0" w:space="0" w:color="auto"/>
        <w:bottom w:val="none" w:sz="0" w:space="0" w:color="auto"/>
        <w:right w:val="none" w:sz="0" w:space="0" w:color="auto"/>
      </w:divBdr>
    </w:div>
    <w:div w:id="2005233570">
      <w:bodyDiv w:val="1"/>
      <w:marLeft w:val="0"/>
      <w:marRight w:val="0"/>
      <w:marTop w:val="0"/>
      <w:marBottom w:val="0"/>
      <w:divBdr>
        <w:top w:val="none" w:sz="0" w:space="0" w:color="auto"/>
        <w:left w:val="none" w:sz="0" w:space="0" w:color="auto"/>
        <w:bottom w:val="none" w:sz="0" w:space="0" w:color="auto"/>
        <w:right w:val="none" w:sz="0" w:space="0" w:color="auto"/>
      </w:divBdr>
    </w:div>
    <w:div w:id="2005282664">
      <w:bodyDiv w:val="1"/>
      <w:marLeft w:val="0"/>
      <w:marRight w:val="0"/>
      <w:marTop w:val="0"/>
      <w:marBottom w:val="0"/>
      <w:divBdr>
        <w:top w:val="none" w:sz="0" w:space="0" w:color="auto"/>
        <w:left w:val="none" w:sz="0" w:space="0" w:color="auto"/>
        <w:bottom w:val="none" w:sz="0" w:space="0" w:color="auto"/>
        <w:right w:val="none" w:sz="0" w:space="0" w:color="auto"/>
      </w:divBdr>
    </w:div>
    <w:div w:id="2005472424">
      <w:bodyDiv w:val="1"/>
      <w:marLeft w:val="0"/>
      <w:marRight w:val="0"/>
      <w:marTop w:val="0"/>
      <w:marBottom w:val="0"/>
      <w:divBdr>
        <w:top w:val="none" w:sz="0" w:space="0" w:color="auto"/>
        <w:left w:val="none" w:sz="0" w:space="0" w:color="auto"/>
        <w:bottom w:val="none" w:sz="0" w:space="0" w:color="auto"/>
        <w:right w:val="none" w:sz="0" w:space="0" w:color="auto"/>
      </w:divBdr>
    </w:div>
    <w:div w:id="2005472469">
      <w:bodyDiv w:val="1"/>
      <w:marLeft w:val="0"/>
      <w:marRight w:val="0"/>
      <w:marTop w:val="0"/>
      <w:marBottom w:val="0"/>
      <w:divBdr>
        <w:top w:val="none" w:sz="0" w:space="0" w:color="auto"/>
        <w:left w:val="none" w:sz="0" w:space="0" w:color="auto"/>
        <w:bottom w:val="none" w:sz="0" w:space="0" w:color="auto"/>
        <w:right w:val="none" w:sz="0" w:space="0" w:color="auto"/>
      </w:divBdr>
    </w:div>
    <w:div w:id="2005546166">
      <w:bodyDiv w:val="1"/>
      <w:marLeft w:val="0"/>
      <w:marRight w:val="0"/>
      <w:marTop w:val="0"/>
      <w:marBottom w:val="0"/>
      <w:divBdr>
        <w:top w:val="none" w:sz="0" w:space="0" w:color="auto"/>
        <w:left w:val="none" w:sz="0" w:space="0" w:color="auto"/>
        <w:bottom w:val="none" w:sz="0" w:space="0" w:color="auto"/>
        <w:right w:val="none" w:sz="0" w:space="0" w:color="auto"/>
      </w:divBdr>
    </w:div>
    <w:div w:id="2005626971">
      <w:bodyDiv w:val="1"/>
      <w:marLeft w:val="0"/>
      <w:marRight w:val="0"/>
      <w:marTop w:val="0"/>
      <w:marBottom w:val="0"/>
      <w:divBdr>
        <w:top w:val="none" w:sz="0" w:space="0" w:color="auto"/>
        <w:left w:val="none" w:sz="0" w:space="0" w:color="auto"/>
        <w:bottom w:val="none" w:sz="0" w:space="0" w:color="auto"/>
        <w:right w:val="none" w:sz="0" w:space="0" w:color="auto"/>
      </w:divBdr>
    </w:div>
    <w:div w:id="2005664863">
      <w:bodyDiv w:val="1"/>
      <w:marLeft w:val="0"/>
      <w:marRight w:val="0"/>
      <w:marTop w:val="0"/>
      <w:marBottom w:val="0"/>
      <w:divBdr>
        <w:top w:val="none" w:sz="0" w:space="0" w:color="auto"/>
        <w:left w:val="none" w:sz="0" w:space="0" w:color="auto"/>
        <w:bottom w:val="none" w:sz="0" w:space="0" w:color="auto"/>
        <w:right w:val="none" w:sz="0" w:space="0" w:color="auto"/>
      </w:divBdr>
    </w:div>
    <w:div w:id="2005744540">
      <w:bodyDiv w:val="1"/>
      <w:marLeft w:val="0"/>
      <w:marRight w:val="0"/>
      <w:marTop w:val="0"/>
      <w:marBottom w:val="0"/>
      <w:divBdr>
        <w:top w:val="none" w:sz="0" w:space="0" w:color="auto"/>
        <w:left w:val="none" w:sz="0" w:space="0" w:color="auto"/>
        <w:bottom w:val="none" w:sz="0" w:space="0" w:color="auto"/>
        <w:right w:val="none" w:sz="0" w:space="0" w:color="auto"/>
      </w:divBdr>
    </w:div>
    <w:div w:id="2005820445">
      <w:bodyDiv w:val="1"/>
      <w:marLeft w:val="0"/>
      <w:marRight w:val="0"/>
      <w:marTop w:val="0"/>
      <w:marBottom w:val="0"/>
      <w:divBdr>
        <w:top w:val="none" w:sz="0" w:space="0" w:color="auto"/>
        <w:left w:val="none" w:sz="0" w:space="0" w:color="auto"/>
        <w:bottom w:val="none" w:sz="0" w:space="0" w:color="auto"/>
        <w:right w:val="none" w:sz="0" w:space="0" w:color="auto"/>
      </w:divBdr>
    </w:div>
    <w:div w:id="2005862255">
      <w:bodyDiv w:val="1"/>
      <w:marLeft w:val="0"/>
      <w:marRight w:val="0"/>
      <w:marTop w:val="0"/>
      <w:marBottom w:val="0"/>
      <w:divBdr>
        <w:top w:val="none" w:sz="0" w:space="0" w:color="auto"/>
        <w:left w:val="none" w:sz="0" w:space="0" w:color="auto"/>
        <w:bottom w:val="none" w:sz="0" w:space="0" w:color="auto"/>
        <w:right w:val="none" w:sz="0" w:space="0" w:color="auto"/>
      </w:divBdr>
    </w:div>
    <w:div w:id="2006010846">
      <w:bodyDiv w:val="1"/>
      <w:marLeft w:val="0"/>
      <w:marRight w:val="0"/>
      <w:marTop w:val="0"/>
      <w:marBottom w:val="0"/>
      <w:divBdr>
        <w:top w:val="none" w:sz="0" w:space="0" w:color="auto"/>
        <w:left w:val="none" w:sz="0" w:space="0" w:color="auto"/>
        <w:bottom w:val="none" w:sz="0" w:space="0" w:color="auto"/>
        <w:right w:val="none" w:sz="0" w:space="0" w:color="auto"/>
      </w:divBdr>
    </w:div>
    <w:div w:id="2006013942">
      <w:bodyDiv w:val="1"/>
      <w:marLeft w:val="0"/>
      <w:marRight w:val="0"/>
      <w:marTop w:val="0"/>
      <w:marBottom w:val="0"/>
      <w:divBdr>
        <w:top w:val="none" w:sz="0" w:space="0" w:color="auto"/>
        <w:left w:val="none" w:sz="0" w:space="0" w:color="auto"/>
        <w:bottom w:val="none" w:sz="0" w:space="0" w:color="auto"/>
        <w:right w:val="none" w:sz="0" w:space="0" w:color="auto"/>
      </w:divBdr>
    </w:div>
    <w:div w:id="2006081967">
      <w:bodyDiv w:val="1"/>
      <w:marLeft w:val="0"/>
      <w:marRight w:val="0"/>
      <w:marTop w:val="0"/>
      <w:marBottom w:val="0"/>
      <w:divBdr>
        <w:top w:val="none" w:sz="0" w:space="0" w:color="auto"/>
        <w:left w:val="none" w:sz="0" w:space="0" w:color="auto"/>
        <w:bottom w:val="none" w:sz="0" w:space="0" w:color="auto"/>
        <w:right w:val="none" w:sz="0" w:space="0" w:color="auto"/>
      </w:divBdr>
    </w:div>
    <w:div w:id="2006278240">
      <w:bodyDiv w:val="1"/>
      <w:marLeft w:val="0"/>
      <w:marRight w:val="0"/>
      <w:marTop w:val="0"/>
      <w:marBottom w:val="0"/>
      <w:divBdr>
        <w:top w:val="none" w:sz="0" w:space="0" w:color="auto"/>
        <w:left w:val="none" w:sz="0" w:space="0" w:color="auto"/>
        <w:bottom w:val="none" w:sz="0" w:space="0" w:color="auto"/>
        <w:right w:val="none" w:sz="0" w:space="0" w:color="auto"/>
      </w:divBdr>
    </w:div>
    <w:div w:id="2006280112">
      <w:bodyDiv w:val="1"/>
      <w:marLeft w:val="0"/>
      <w:marRight w:val="0"/>
      <w:marTop w:val="0"/>
      <w:marBottom w:val="0"/>
      <w:divBdr>
        <w:top w:val="none" w:sz="0" w:space="0" w:color="auto"/>
        <w:left w:val="none" w:sz="0" w:space="0" w:color="auto"/>
        <w:bottom w:val="none" w:sz="0" w:space="0" w:color="auto"/>
        <w:right w:val="none" w:sz="0" w:space="0" w:color="auto"/>
      </w:divBdr>
    </w:div>
    <w:div w:id="2006349243">
      <w:bodyDiv w:val="1"/>
      <w:marLeft w:val="0"/>
      <w:marRight w:val="0"/>
      <w:marTop w:val="0"/>
      <w:marBottom w:val="0"/>
      <w:divBdr>
        <w:top w:val="none" w:sz="0" w:space="0" w:color="auto"/>
        <w:left w:val="none" w:sz="0" w:space="0" w:color="auto"/>
        <w:bottom w:val="none" w:sz="0" w:space="0" w:color="auto"/>
        <w:right w:val="none" w:sz="0" w:space="0" w:color="auto"/>
      </w:divBdr>
    </w:div>
    <w:div w:id="2006468030">
      <w:bodyDiv w:val="1"/>
      <w:marLeft w:val="0"/>
      <w:marRight w:val="0"/>
      <w:marTop w:val="0"/>
      <w:marBottom w:val="0"/>
      <w:divBdr>
        <w:top w:val="none" w:sz="0" w:space="0" w:color="auto"/>
        <w:left w:val="none" w:sz="0" w:space="0" w:color="auto"/>
        <w:bottom w:val="none" w:sz="0" w:space="0" w:color="auto"/>
        <w:right w:val="none" w:sz="0" w:space="0" w:color="auto"/>
      </w:divBdr>
    </w:div>
    <w:div w:id="2006587603">
      <w:bodyDiv w:val="1"/>
      <w:marLeft w:val="0"/>
      <w:marRight w:val="0"/>
      <w:marTop w:val="0"/>
      <w:marBottom w:val="0"/>
      <w:divBdr>
        <w:top w:val="none" w:sz="0" w:space="0" w:color="auto"/>
        <w:left w:val="none" w:sz="0" w:space="0" w:color="auto"/>
        <w:bottom w:val="none" w:sz="0" w:space="0" w:color="auto"/>
        <w:right w:val="none" w:sz="0" w:space="0" w:color="auto"/>
      </w:divBdr>
    </w:div>
    <w:div w:id="2006664425">
      <w:bodyDiv w:val="1"/>
      <w:marLeft w:val="0"/>
      <w:marRight w:val="0"/>
      <w:marTop w:val="0"/>
      <w:marBottom w:val="0"/>
      <w:divBdr>
        <w:top w:val="none" w:sz="0" w:space="0" w:color="auto"/>
        <w:left w:val="none" w:sz="0" w:space="0" w:color="auto"/>
        <w:bottom w:val="none" w:sz="0" w:space="0" w:color="auto"/>
        <w:right w:val="none" w:sz="0" w:space="0" w:color="auto"/>
      </w:divBdr>
    </w:div>
    <w:div w:id="2006742444">
      <w:bodyDiv w:val="1"/>
      <w:marLeft w:val="0"/>
      <w:marRight w:val="0"/>
      <w:marTop w:val="0"/>
      <w:marBottom w:val="0"/>
      <w:divBdr>
        <w:top w:val="none" w:sz="0" w:space="0" w:color="auto"/>
        <w:left w:val="none" w:sz="0" w:space="0" w:color="auto"/>
        <w:bottom w:val="none" w:sz="0" w:space="0" w:color="auto"/>
        <w:right w:val="none" w:sz="0" w:space="0" w:color="auto"/>
      </w:divBdr>
    </w:div>
    <w:div w:id="2007006932">
      <w:bodyDiv w:val="1"/>
      <w:marLeft w:val="0"/>
      <w:marRight w:val="0"/>
      <w:marTop w:val="0"/>
      <w:marBottom w:val="0"/>
      <w:divBdr>
        <w:top w:val="none" w:sz="0" w:space="0" w:color="auto"/>
        <w:left w:val="none" w:sz="0" w:space="0" w:color="auto"/>
        <w:bottom w:val="none" w:sz="0" w:space="0" w:color="auto"/>
        <w:right w:val="none" w:sz="0" w:space="0" w:color="auto"/>
      </w:divBdr>
    </w:div>
    <w:div w:id="2007320202">
      <w:bodyDiv w:val="1"/>
      <w:marLeft w:val="0"/>
      <w:marRight w:val="0"/>
      <w:marTop w:val="0"/>
      <w:marBottom w:val="0"/>
      <w:divBdr>
        <w:top w:val="none" w:sz="0" w:space="0" w:color="auto"/>
        <w:left w:val="none" w:sz="0" w:space="0" w:color="auto"/>
        <w:bottom w:val="none" w:sz="0" w:space="0" w:color="auto"/>
        <w:right w:val="none" w:sz="0" w:space="0" w:color="auto"/>
      </w:divBdr>
    </w:div>
    <w:div w:id="2007323930">
      <w:bodyDiv w:val="1"/>
      <w:marLeft w:val="0"/>
      <w:marRight w:val="0"/>
      <w:marTop w:val="0"/>
      <w:marBottom w:val="0"/>
      <w:divBdr>
        <w:top w:val="none" w:sz="0" w:space="0" w:color="auto"/>
        <w:left w:val="none" w:sz="0" w:space="0" w:color="auto"/>
        <w:bottom w:val="none" w:sz="0" w:space="0" w:color="auto"/>
        <w:right w:val="none" w:sz="0" w:space="0" w:color="auto"/>
      </w:divBdr>
    </w:div>
    <w:div w:id="2007395933">
      <w:bodyDiv w:val="1"/>
      <w:marLeft w:val="0"/>
      <w:marRight w:val="0"/>
      <w:marTop w:val="0"/>
      <w:marBottom w:val="0"/>
      <w:divBdr>
        <w:top w:val="none" w:sz="0" w:space="0" w:color="auto"/>
        <w:left w:val="none" w:sz="0" w:space="0" w:color="auto"/>
        <w:bottom w:val="none" w:sz="0" w:space="0" w:color="auto"/>
        <w:right w:val="none" w:sz="0" w:space="0" w:color="auto"/>
      </w:divBdr>
    </w:div>
    <w:div w:id="2007785188">
      <w:bodyDiv w:val="1"/>
      <w:marLeft w:val="0"/>
      <w:marRight w:val="0"/>
      <w:marTop w:val="0"/>
      <w:marBottom w:val="0"/>
      <w:divBdr>
        <w:top w:val="none" w:sz="0" w:space="0" w:color="auto"/>
        <w:left w:val="none" w:sz="0" w:space="0" w:color="auto"/>
        <w:bottom w:val="none" w:sz="0" w:space="0" w:color="auto"/>
        <w:right w:val="none" w:sz="0" w:space="0" w:color="auto"/>
      </w:divBdr>
    </w:div>
    <w:div w:id="2007897883">
      <w:bodyDiv w:val="1"/>
      <w:marLeft w:val="0"/>
      <w:marRight w:val="0"/>
      <w:marTop w:val="0"/>
      <w:marBottom w:val="0"/>
      <w:divBdr>
        <w:top w:val="none" w:sz="0" w:space="0" w:color="auto"/>
        <w:left w:val="none" w:sz="0" w:space="0" w:color="auto"/>
        <w:bottom w:val="none" w:sz="0" w:space="0" w:color="auto"/>
        <w:right w:val="none" w:sz="0" w:space="0" w:color="auto"/>
      </w:divBdr>
    </w:div>
    <w:div w:id="2008047244">
      <w:bodyDiv w:val="1"/>
      <w:marLeft w:val="0"/>
      <w:marRight w:val="0"/>
      <w:marTop w:val="0"/>
      <w:marBottom w:val="0"/>
      <w:divBdr>
        <w:top w:val="none" w:sz="0" w:space="0" w:color="auto"/>
        <w:left w:val="none" w:sz="0" w:space="0" w:color="auto"/>
        <w:bottom w:val="none" w:sz="0" w:space="0" w:color="auto"/>
        <w:right w:val="none" w:sz="0" w:space="0" w:color="auto"/>
      </w:divBdr>
    </w:div>
    <w:div w:id="2008051998">
      <w:bodyDiv w:val="1"/>
      <w:marLeft w:val="0"/>
      <w:marRight w:val="0"/>
      <w:marTop w:val="0"/>
      <w:marBottom w:val="0"/>
      <w:divBdr>
        <w:top w:val="none" w:sz="0" w:space="0" w:color="auto"/>
        <w:left w:val="none" w:sz="0" w:space="0" w:color="auto"/>
        <w:bottom w:val="none" w:sz="0" w:space="0" w:color="auto"/>
        <w:right w:val="none" w:sz="0" w:space="0" w:color="auto"/>
      </w:divBdr>
    </w:div>
    <w:div w:id="2008091024">
      <w:bodyDiv w:val="1"/>
      <w:marLeft w:val="0"/>
      <w:marRight w:val="0"/>
      <w:marTop w:val="0"/>
      <w:marBottom w:val="0"/>
      <w:divBdr>
        <w:top w:val="none" w:sz="0" w:space="0" w:color="auto"/>
        <w:left w:val="none" w:sz="0" w:space="0" w:color="auto"/>
        <w:bottom w:val="none" w:sz="0" w:space="0" w:color="auto"/>
        <w:right w:val="none" w:sz="0" w:space="0" w:color="auto"/>
      </w:divBdr>
    </w:div>
    <w:div w:id="2008239549">
      <w:bodyDiv w:val="1"/>
      <w:marLeft w:val="0"/>
      <w:marRight w:val="0"/>
      <w:marTop w:val="0"/>
      <w:marBottom w:val="0"/>
      <w:divBdr>
        <w:top w:val="none" w:sz="0" w:space="0" w:color="auto"/>
        <w:left w:val="none" w:sz="0" w:space="0" w:color="auto"/>
        <w:bottom w:val="none" w:sz="0" w:space="0" w:color="auto"/>
        <w:right w:val="none" w:sz="0" w:space="0" w:color="auto"/>
      </w:divBdr>
    </w:div>
    <w:div w:id="2008629146">
      <w:bodyDiv w:val="1"/>
      <w:marLeft w:val="0"/>
      <w:marRight w:val="0"/>
      <w:marTop w:val="0"/>
      <w:marBottom w:val="0"/>
      <w:divBdr>
        <w:top w:val="none" w:sz="0" w:space="0" w:color="auto"/>
        <w:left w:val="none" w:sz="0" w:space="0" w:color="auto"/>
        <w:bottom w:val="none" w:sz="0" w:space="0" w:color="auto"/>
        <w:right w:val="none" w:sz="0" w:space="0" w:color="auto"/>
      </w:divBdr>
    </w:div>
    <w:div w:id="2008710681">
      <w:bodyDiv w:val="1"/>
      <w:marLeft w:val="0"/>
      <w:marRight w:val="0"/>
      <w:marTop w:val="0"/>
      <w:marBottom w:val="0"/>
      <w:divBdr>
        <w:top w:val="none" w:sz="0" w:space="0" w:color="auto"/>
        <w:left w:val="none" w:sz="0" w:space="0" w:color="auto"/>
        <w:bottom w:val="none" w:sz="0" w:space="0" w:color="auto"/>
        <w:right w:val="none" w:sz="0" w:space="0" w:color="auto"/>
      </w:divBdr>
    </w:div>
    <w:div w:id="2008745363">
      <w:bodyDiv w:val="1"/>
      <w:marLeft w:val="0"/>
      <w:marRight w:val="0"/>
      <w:marTop w:val="0"/>
      <w:marBottom w:val="0"/>
      <w:divBdr>
        <w:top w:val="none" w:sz="0" w:space="0" w:color="auto"/>
        <w:left w:val="none" w:sz="0" w:space="0" w:color="auto"/>
        <w:bottom w:val="none" w:sz="0" w:space="0" w:color="auto"/>
        <w:right w:val="none" w:sz="0" w:space="0" w:color="auto"/>
      </w:divBdr>
    </w:div>
    <w:div w:id="2008745787">
      <w:bodyDiv w:val="1"/>
      <w:marLeft w:val="0"/>
      <w:marRight w:val="0"/>
      <w:marTop w:val="0"/>
      <w:marBottom w:val="0"/>
      <w:divBdr>
        <w:top w:val="none" w:sz="0" w:space="0" w:color="auto"/>
        <w:left w:val="none" w:sz="0" w:space="0" w:color="auto"/>
        <w:bottom w:val="none" w:sz="0" w:space="0" w:color="auto"/>
        <w:right w:val="none" w:sz="0" w:space="0" w:color="auto"/>
      </w:divBdr>
    </w:div>
    <w:div w:id="2008753343">
      <w:bodyDiv w:val="1"/>
      <w:marLeft w:val="0"/>
      <w:marRight w:val="0"/>
      <w:marTop w:val="0"/>
      <w:marBottom w:val="0"/>
      <w:divBdr>
        <w:top w:val="none" w:sz="0" w:space="0" w:color="auto"/>
        <w:left w:val="none" w:sz="0" w:space="0" w:color="auto"/>
        <w:bottom w:val="none" w:sz="0" w:space="0" w:color="auto"/>
        <w:right w:val="none" w:sz="0" w:space="0" w:color="auto"/>
      </w:divBdr>
    </w:div>
    <w:div w:id="2009014071">
      <w:bodyDiv w:val="1"/>
      <w:marLeft w:val="0"/>
      <w:marRight w:val="0"/>
      <w:marTop w:val="0"/>
      <w:marBottom w:val="0"/>
      <w:divBdr>
        <w:top w:val="none" w:sz="0" w:space="0" w:color="auto"/>
        <w:left w:val="none" w:sz="0" w:space="0" w:color="auto"/>
        <w:bottom w:val="none" w:sz="0" w:space="0" w:color="auto"/>
        <w:right w:val="none" w:sz="0" w:space="0" w:color="auto"/>
      </w:divBdr>
    </w:div>
    <w:div w:id="2009097541">
      <w:bodyDiv w:val="1"/>
      <w:marLeft w:val="0"/>
      <w:marRight w:val="0"/>
      <w:marTop w:val="0"/>
      <w:marBottom w:val="0"/>
      <w:divBdr>
        <w:top w:val="none" w:sz="0" w:space="0" w:color="auto"/>
        <w:left w:val="none" w:sz="0" w:space="0" w:color="auto"/>
        <w:bottom w:val="none" w:sz="0" w:space="0" w:color="auto"/>
        <w:right w:val="none" w:sz="0" w:space="0" w:color="auto"/>
      </w:divBdr>
    </w:div>
    <w:div w:id="2009360030">
      <w:bodyDiv w:val="1"/>
      <w:marLeft w:val="0"/>
      <w:marRight w:val="0"/>
      <w:marTop w:val="0"/>
      <w:marBottom w:val="0"/>
      <w:divBdr>
        <w:top w:val="none" w:sz="0" w:space="0" w:color="auto"/>
        <w:left w:val="none" w:sz="0" w:space="0" w:color="auto"/>
        <w:bottom w:val="none" w:sz="0" w:space="0" w:color="auto"/>
        <w:right w:val="none" w:sz="0" w:space="0" w:color="auto"/>
      </w:divBdr>
    </w:div>
    <w:div w:id="2009364379">
      <w:bodyDiv w:val="1"/>
      <w:marLeft w:val="0"/>
      <w:marRight w:val="0"/>
      <w:marTop w:val="0"/>
      <w:marBottom w:val="0"/>
      <w:divBdr>
        <w:top w:val="none" w:sz="0" w:space="0" w:color="auto"/>
        <w:left w:val="none" w:sz="0" w:space="0" w:color="auto"/>
        <w:bottom w:val="none" w:sz="0" w:space="0" w:color="auto"/>
        <w:right w:val="none" w:sz="0" w:space="0" w:color="auto"/>
      </w:divBdr>
    </w:div>
    <w:div w:id="2009477407">
      <w:bodyDiv w:val="1"/>
      <w:marLeft w:val="0"/>
      <w:marRight w:val="0"/>
      <w:marTop w:val="0"/>
      <w:marBottom w:val="0"/>
      <w:divBdr>
        <w:top w:val="none" w:sz="0" w:space="0" w:color="auto"/>
        <w:left w:val="none" w:sz="0" w:space="0" w:color="auto"/>
        <w:bottom w:val="none" w:sz="0" w:space="0" w:color="auto"/>
        <w:right w:val="none" w:sz="0" w:space="0" w:color="auto"/>
      </w:divBdr>
    </w:div>
    <w:div w:id="2009481999">
      <w:bodyDiv w:val="1"/>
      <w:marLeft w:val="0"/>
      <w:marRight w:val="0"/>
      <w:marTop w:val="0"/>
      <w:marBottom w:val="0"/>
      <w:divBdr>
        <w:top w:val="none" w:sz="0" w:space="0" w:color="auto"/>
        <w:left w:val="none" w:sz="0" w:space="0" w:color="auto"/>
        <w:bottom w:val="none" w:sz="0" w:space="0" w:color="auto"/>
        <w:right w:val="none" w:sz="0" w:space="0" w:color="auto"/>
      </w:divBdr>
    </w:div>
    <w:div w:id="2009550972">
      <w:bodyDiv w:val="1"/>
      <w:marLeft w:val="0"/>
      <w:marRight w:val="0"/>
      <w:marTop w:val="0"/>
      <w:marBottom w:val="0"/>
      <w:divBdr>
        <w:top w:val="none" w:sz="0" w:space="0" w:color="auto"/>
        <w:left w:val="none" w:sz="0" w:space="0" w:color="auto"/>
        <w:bottom w:val="none" w:sz="0" w:space="0" w:color="auto"/>
        <w:right w:val="none" w:sz="0" w:space="0" w:color="auto"/>
      </w:divBdr>
    </w:div>
    <w:div w:id="2009554345">
      <w:bodyDiv w:val="1"/>
      <w:marLeft w:val="0"/>
      <w:marRight w:val="0"/>
      <w:marTop w:val="0"/>
      <w:marBottom w:val="0"/>
      <w:divBdr>
        <w:top w:val="none" w:sz="0" w:space="0" w:color="auto"/>
        <w:left w:val="none" w:sz="0" w:space="0" w:color="auto"/>
        <w:bottom w:val="none" w:sz="0" w:space="0" w:color="auto"/>
        <w:right w:val="none" w:sz="0" w:space="0" w:color="auto"/>
      </w:divBdr>
    </w:div>
    <w:div w:id="2009559177">
      <w:bodyDiv w:val="1"/>
      <w:marLeft w:val="0"/>
      <w:marRight w:val="0"/>
      <w:marTop w:val="0"/>
      <w:marBottom w:val="0"/>
      <w:divBdr>
        <w:top w:val="none" w:sz="0" w:space="0" w:color="auto"/>
        <w:left w:val="none" w:sz="0" w:space="0" w:color="auto"/>
        <w:bottom w:val="none" w:sz="0" w:space="0" w:color="auto"/>
        <w:right w:val="none" w:sz="0" w:space="0" w:color="auto"/>
      </w:divBdr>
    </w:div>
    <w:div w:id="2009598014">
      <w:bodyDiv w:val="1"/>
      <w:marLeft w:val="0"/>
      <w:marRight w:val="0"/>
      <w:marTop w:val="0"/>
      <w:marBottom w:val="0"/>
      <w:divBdr>
        <w:top w:val="none" w:sz="0" w:space="0" w:color="auto"/>
        <w:left w:val="none" w:sz="0" w:space="0" w:color="auto"/>
        <w:bottom w:val="none" w:sz="0" w:space="0" w:color="auto"/>
        <w:right w:val="none" w:sz="0" w:space="0" w:color="auto"/>
      </w:divBdr>
    </w:div>
    <w:div w:id="2009671882">
      <w:bodyDiv w:val="1"/>
      <w:marLeft w:val="0"/>
      <w:marRight w:val="0"/>
      <w:marTop w:val="0"/>
      <w:marBottom w:val="0"/>
      <w:divBdr>
        <w:top w:val="none" w:sz="0" w:space="0" w:color="auto"/>
        <w:left w:val="none" w:sz="0" w:space="0" w:color="auto"/>
        <w:bottom w:val="none" w:sz="0" w:space="0" w:color="auto"/>
        <w:right w:val="none" w:sz="0" w:space="0" w:color="auto"/>
      </w:divBdr>
    </w:div>
    <w:div w:id="2009942701">
      <w:bodyDiv w:val="1"/>
      <w:marLeft w:val="0"/>
      <w:marRight w:val="0"/>
      <w:marTop w:val="0"/>
      <w:marBottom w:val="0"/>
      <w:divBdr>
        <w:top w:val="none" w:sz="0" w:space="0" w:color="auto"/>
        <w:left w:val="none" w:sz="0" w:space="0" w:color="auto"/>
        <w:bottom w:val="none" w:sz="0" w:space="0" w:color="auto"/>
        <w:right w:val="none" w:sz="0" w:space="0" w:color="auto"/>
      </w:divBdr>
    </w:div>
    <w:div w:id="2010133892">
      <w:bodyDiv w:val="1"/>
      <w:marLeft w:val="0"/>
      <w:marRight w:val="0"/>
      <w:marTop w:val="0"/>
      <w:marBottom w:val="0"/>
      <w:divBdr>
        <w:top w:val="none" w:sz="0" w:space="0" w:color="auto"/>
        <w:left w:val="none" w:sz="0" w:space="0" w:color="auto"/>
        <w:bottom w:val="none" w:sz="0" w:space="0" w:color="auto"/>
        <w:right w:val="none" w:sz="0" w:space="0" w:color="auto"/>
      </w:divBdr>
    </w:div>
    <w:div w:id="2010253668">
      <w:bodyDiv w:val="1"/>
      <w:marLeft w:val="0"/>
      <w:marRight w:val="0"/>
      <w:marTop w:val="0"/>
      <w:marBottom w:val="0"/>
      <w:divBdr>
        <w:top w:val="none" w:sz="0" w:space="0" w:color="auto"/>
        <w:left w:val="none" w:sz="0" w:space="0" w:color="auto"/>
        <w:bottom w:val="none" w:sz="0" w:space="0" w:color="auto"/>
        <w:right w:val="none" w:sz="0" w:space="0" w:color="auto"/>
      </w:divBdr>
    </w:div>
    <w:div w:id="2010596475">
      <w:bodyDiv w:val="1"/>
      <w:marLeft w:val="0"/>
      <w:marRight w:val="0"/>
      <w:marTop w:val="0"/>
      <w:marBottom w:val="0"/>
      <w:divBdr>
        <w:top w:val="none" w:sz="0" w:space="0" w:color="auto"/>
        <w:left w:val="none" w:sz="0" w:space="0" w:color="auto"/>
        <w:bottom w:val="none" w:sz="0" w:space="0" w:color="auto"/>
        <w:right w:val="none" w:sz="0" w:space="0" w:color="auto"/>
      </w:divBdr>
    </w:div>
    <w:div w:id="2010600991">
      <w:bodyDiv w:val="1"/>
      <w:marLeft w:val="0"/>
      <w:marRight w:val="0"/>
      <w:marTop w:val="0"/>
      <w:marBottom w:val="0"/>
      <w:divBdr>
        <w:top w:val="none" w:sz="0" w:space="0" w:color="auto"/>
        <w:left w:val="none" w:sz="0" w:space="0" w:color="auto"/>
        <w:bottom w:val="none" w:sz="0" w:space="0" w:color="auto"/>
        <w:right w:val="none" w:sz="0" w:space="0" w:color="auto"/>
      </w:divBdr>
    </w:div>
    <w:div w:id="2010670803">
      <w:bodyDiv w:val="1"/>
      <w:marLeft w:val="0"/>
      <w:marRight w:val="0"/>
      <w:marTop w:val="0"/>
      <w:marBottom w:val="0"/>
      <w:divBdr>
        <w:top w:val="none" w:sz="0" w:space="0" w:color="auto"/>
        <w:left w:val="none" w:sz="0" w:space="0" w:color="auto"/>
        <w:bottom w:val="none" w:sz="0" w:space="0" w:color="auto"/>
        <w:right w:val="none" w:sz="0" w:space="0" w:color="auto"/>
      </w:divBdr>
    </w:div>
    <w:div w:id="2010790329">
      <w:bodyDiv w:val="1"/>
      <w:marLeft w:val="0"/>
      <w:marRight w:val="0"/>
      <w:marTop w:val="0"/>
      <w:marBottom w:val="0"/>
      <w:divBdr>
        <w:top w:val="none" w:sz="0" w:space="0" w:color="auto"/>
        <w:left w:val="none" w:sz="0" w:space="0" w:color="auto"/>
        <w:bottom w:val="none" w:sz="0" w:space="0" w:color="auto"/>
        <w:right w:val="none" w:sz="0" w:space="0" w:color="auto"/>
      </w:divBdr>
    </w:div>
    <w:div w:id="2010861129">
      <w:bodyDiv w:val="1"/>
      <w:marLeft w:val="0"/>
      <w:marRight w:val="0"/>
      <w:marTop w:val="0"/>
      <w:marBottom w:val="0"/>
      <w:divBdr>
        <w:top w:val="none" w:sz="0" w:space="0" w:color="auto"/>
        <w:left w:val="none" w:sz="0" w:space="0" w:color="auto"/>
        <w:bottom w:val="none" w:sz="0" w:space="0" w:color="auto"/>
        <w:right w:val="none" w:sz="0" w:space="0" w:color="auto"/>
      </w:divBdr>
    </w:div>
    <w:div w:id="2011057641">
      <w:bodyDiv w:val="1"/>
      <w:marLeft w:val="0"/>
      <w:marRight w:val="0"/>
      <w:marTop w:val="0"/>
      <w:marBottom w:val="0"/>
      <w:divBdr>
        <w:top w:val="none" w:sz="0" w:space="0" w:color="auto"/>
        <w:left w:val="none" w:sz="0" w:space="0" w:color="auto"/>
        <w:bottom w:val="none" w:sz="0" w:space="0" w:color="auto"/>
        <w:right w:val="none" w:sz="0" w:space="0" w:color="auto"/>
      </w:divBdr>
    </w:div>
    <w:div w:id="2011061438">
      <w:bodyDiv w:val="1"/>
      <w:marLeft w:val="0"/>
      <w:marRight w:val="0"/>
      <w:marTop w:val="0"/>
      <w:marBottom w:val="0"/>
      <w:divBdr>
        <w:top w:val="none" w:sz="0" w:space="0" w:color="auto"/>
        <w:left w:val="none" w:sz="0" w:space="0" w:color="auto"/>
        <w:bottom w:val="none" w:sz="0" w:space="0" w:color="auto"/>
        <w:right w:val="none" w:sz="0" w:space="0" w:color="auto"/>
      </w:divBdr>
    </w:div>
    <w:div w:id="2011174775">
      <w:bodyDiv w:val="1"/>
      <w:marLeft w:val="0"/>
      <w:marRight w:val="0"/>
      <w:marTop w:val="0"/>
      <w:marBottom w:val="0"/>
      <w:divBdr>
        <w:top w:val="none" w:sz="0" w:space="0" w:color="auto"/>
        <w:left w:val="none" w:sz="0" w:space="0" w:color="auto"/>
        <w:bottom w:val="none" w:sz="0" w:space="0" w:color="auto"/>
        <w:right w:val="none" w:sz="0" w:space="0" w:color="auto"/>
      </w:divBdr>
    </w:div>
    <w:div w:id="2011633784">
      <w:bodyDiv w:val="1"/>
      <w:marLeft w:val="0"/>
      <w:marRight w:val="0"/>
      <w:marTop w:val="0"/>
      <w:marBottom w:val="0"/>
      <w:divBdr>
        <w:top w:val="none" w:sz="0" w:space="0" w:color="auto"/>
        <w:left w:val="none" w:sz="0" w:space="0" w:color="auto"/>
        <w:bottom w:val="none" w:sz="0" w:space="0" w:color="auto"/>
        <w:right w:val="none" w:sz="0" w:space="0" w:color="auto"/>
      </w:divBdr>
    </w:div>
    <w:div w:id="2011907881">
      <w:bodyDiv w:val="1"/>
      <w:marLeft w:val="0"/>
      <w:marRight w:val="0"/>
      <w:marTop w:val="0"/>
      <w:marBottom w:val="0"/>
      <w:divBdr>
        <w:top w:val="none" w:sz="0" w:space="0" w:color="auto"/>
        <w:left w:val="none" w:sz="0" w:space="0" w:color="auto"/>
        <w:bottom w:val="none" w:sz="0" w:space="0" w:color="auto"/>
        <w:right w:val="none" w:sz="0" w:space="0" w:color="auto"/>
      </w:divBdr>
    </w:div>
    <w:div w:id="2011981910">
      <w:bodyDiv w:val="1"/>
      <w:marLeft w:val="0"/>
      <w:marRight w:val="0"/>
      <w:marTop w:val="0"/>
      <w:marBottom w:val="0"/>
      <w:divBdr>
        <w:top w:val="none" w:sz="0" w:space="0" w:color="auto"/>
        <w:left w:val="none" w:sz="0" w:space="0" w:color="auto"/>
        <w:bottom w:val="none" w:sz="0" w:space="0" w:color="auto"/>
        <w:right w:val="none" w:sz="0" w:space="0" w:color="auto"/>
      </w:divBdr>
    </w:div>
    <w:div w:id="2012026084">
      <w:bodyDiv w:val="1"/>
      <w:marLeft w:val="0"/>
      <w:marRight w:val="0"/>
      <w:marTop w:val="0"/>
      <w:marBottom w:val="0"/>
      <w:divBdr>
        <w:top w:val="none" w:sz="0" w:space="0" w:color="auto"/>
        <w:left w:val="none" w:sz="0" w:space="0" w:color="auto"/>
        <w:bottom w:val="none" w:sz="0" w:space="0" w:color="auto"/>
        <w:right w:val="none" w:sz="0" w:space="0" w:color="auto"/>
      </w:divBdr>
    </w:div>
    <w:div w:id="2012027272">
      <w:bodyDiv w:val="1"/>
      <w:marLeft w:val="0"/>
      <w:marRight w:val="0"/>
      <w:marTop w:val="0"/>
      <w:marBottom w:val="0"/>
      <w:divBdr>
        <w:top w:val="none" w:sz="0" w:space="0" w:color="auto"/>
        <w:left w:val="none" w:sz="0" w:space="0" w:color="auto"/>
        <w:bottom w:val="none" w:sz="0" w:space="0" w:color="auto"/>
        <w:right w:val="none" w:sz="0" w:space="0" w:color="auto"/>
      </w:divBdr>
    </w:div>
    <w:div w:id="2012173511">
      <w:bodyDiv w:val="1"/>
      <w:marLeft w:val="0"/>
      <w:marRight w:val="0"/>
      <w:marTop w:val="0"/>
      <w:marBottom w:val="0"/>
      <w:divBdr>
        <w:top w:val="none" w:sz="0" w:space="0" w:color="auto"/>
        <w:left w:val="none" w:sz="0" w:space="0" w:color="auto"/>
        <w:bottom w:val="none" w:sz="0" w:space="0" w:color="auto"/>
        <w:right w:val="none" w:sz="0" w:space="0" w:color="auto"/>
      </w:divBdr>
    </w:div>
    <w:div w:id="2012289243">
      <w:bodyDiv w:val="1"/>
      <w:marLeft w:val="0"/>
      <w:marRight w:val="0"/>
      <w:marTop w:val="0"/>
      <w:marBottom w:val="0"/>
      <w:divBdr>
        <w:top w:val="none" w:sz="0" w:space="0" w:color="auto"/>
        <w:left w:val="none" w:sz="0" w:space="0" w:color="auto"/>
        <w:bottom w:val="none" w:sz="0" w:space="0" w:color="auto"/>
        <w:right w:val="none" w:sz="0" w:space="0" w:color="auto"/>
      </w:divBdr>
    </w:div>
    <w:div w:id="2012293629">
      <w:bodyDiv w:val="1"/>
      <w:marLeft w:val="0"/>
      <w:marRight w:val="0"/>
      <w:marTop w:val="0"/>
      <w:marBottom w:val="0"/>
      <w:divBdr>
        <w:top w:val="none" w:sz="0" w:space="0" w:color="auto"/>
        <w:left w:val="none" w:sz="0" w:space="0" w:color="auto"/>
        <w:bottom w:val="none" w:sz="0" w:space="0" w:color="auto"/>
        <w:right w:val="none" w:sz="0" w:space="0" w:color="auto"/>
      </w:divBdr>
    </w:div>
    <w:div w:id="2012484963">
      <w:bodyDiv w:val="1"/>
      <w:marLeft w:val="0"/>
      <w:marRight w:val="0"/>
      <w:marTop w:val="0"/>
      <w:marBottom w:val="0"/>
      <w:divBdr>
        <w:top w:val="none" w:sz="0" w:space="0" w:color="auto"/>
        <w:left w:val="none" w:sz="0" w:space="0" w:color="auto"/>
        <w:bottom w:val="none" w:sz="0" w:space="0" w:color="auto"/>
        <w:right w:val="none" w:sz="0" w:space="0" w:color="auto"/>
      </w:divBdr>
    </w:div>
    <w:div w:id="2012485671">
      <w:bodyDiv w:val="1"/>
      <w:marLeft w:val="0"/>
      <w:marRight w:val="0"/>
      <w:marTop w:val="0"/>
      <w:marBottom w:val="0"/>
      <w:divBdr>
        <w:top w:val="none" w:sz="0" w:space="0" w:color="auto"/>
        <w:left w:val="none" w:sz="0" w:space="0" w:color="auto"/>
        <w:bottom w:val="none" w:sz="0" w:space="0" w:color="auto"/>
        <w:right w:val="none" w:sz="0" w:space="0" w:color="auto"/>
      </w:divBdr>
    </w:div>
    <w:div w:id="2012487997">
      <w:bodyDiv w:val="1"/>
      <w:marLeft w:val="0"/>
      <w:marRight w:val="0"/>
      <w:marTop w:val="0"/>
      <w:marBottom w:val="0"/>
      <w:divBdr>
        <w:top w:val="none" w:sz="0" w:space="0" w:color="auto"/>
        <w:left w:val="none" w:sz="0" w:space="0" w:color="auto"/>
        <w:bottom w:val="none" w:sz="0" w:space="0" w:color="auto"/>
        <w:right w:val="none" w:sz="0" w:space="0" w:color="auto"/>
      </w:divBdr>
    </w:div>
    <w:div w:id="2012561660">
      <w:bodyDiv w:val="1"/>
      <w:marLeft w:val="0"/>
      <w:marRight w:val="0"/>
      <w:marTop w:val="0"/>
      <w:marBottom w:val="0"/>
      <w:divBdr>
        <w:top w:val="none" w:sz="0" w:space="0" w:color="auto"/>
        <w:left w:val="none" w:sz="0" w:space="0" w:color="auto"/>
        <w:bottom w:val="none" w:sz="0" w:space="0" w:color="auto"/>
        <w:right w:val="none" w:sz="0" w:space="0" w:color="auto"/>
      </w:divBdr>
    </w:div>
    <w:div w:id="2012754844">
      <w:bodyDiv w:val="1"/>
      <w:marLeft w:val="0"/>
      <w:marRight w:val="0"/>
      <w:marTop w:val="0"/>
      <w:marBottom w:val="0"/>
      <w:divBdr>
        <w:top w:val="none" w:sz="0" w:space="0" w:color="auto"/>
        <w:left w:val="none" w:sz="0" w:space="0" w:color="auto"/>
        <w:bottom w:val="none" w:sz="0" w:space="0" w:color="auto"/>
        <w:right w:val="none" w:sz="0" w:space="0" w:color="auto"/>
      </w:divBdr>
    </w:div>
    <w:div w:id="2012828769">
      <w:bodyDiv w:val="1"/>
      <w:marLeft w:val="0"/>
      <w:marRight w:val="0"/>
      <w:marTop w:val="0"/>
      <w:marBottom w:val="0"/>
      <w:divBdr>
        <w:top w:val="none" w:sz="0" w:space="0" w:color="auto"/>
        <w:left w:val="none" w:sz="0" w:space="0" w:color="auto"/>
        <w:bottom w:val="none" w:sz="0" w:space="0" w:color="auto"/>
        <w:right w:val="none" w:sz="0" w:space="0" w:color="auto"/>
      </w:divBdr>
    </w:div>
    <w:div w:id="2012834827">
      <w:bodyDiv w:val="1"/>
      <w:marLeft w:val="0"/>
      <w:marRight w:val="0"/>
      <w:marTop w:val="0"/>
      <w:marBottom w:val="0"/>
      <w:divBdr>
        <w:top w:val="none" w:sz="0" w:space="0" w:color="auto"/>
        <w:left w:val="none" w:sz="0" w:space="0" w:color="auto"/>
        <w:bottom w:val="none" w:sz="0" w:space="0" w:color="auto"/>
        <w:right w:val="none" w:sz="0" w:space="0" w:color="auto"/>
      </w:divBdr>
    </w:div>
    <w:div w:id="2013096438">
      <w:bodyDiv w:val="1"/>
      <w:marLeft w:val="0"/>
      <w:marRight w:val="0"/>
      <w:marTop w:val="0"/>
      <w:marBottom w:val="0"/>
      <w:divBdr>
        <w:top w:val="none" w:sz="0" w:space="0" w:color="auto"/>
        <w:left w:val="none" w:sz="0" w:space="0" w:color="auto"/>
        <w:bottom w:val="none" w:sz="0" w:space="0" w:color="auto"/>
        <w:right w:val="none" w:sz="0" w:space="0" w:color="auto"/>
      </w:divBdr>
    </w:div>
    <w:div w:id="2013294072">
      <w:bodyDiv w:val="1"/>
      <w:marLeft w:val="0"/>
      <w:marRight w:val="0"/>
      <w:marTop w:val="0"/>
      <w:marBottom w:val="0"/>
      <w:divBdr>
        <w:top w:val="none" w:sz="0" w:space="0" w:color="auto"/>
        <w:left w:val="none" w:sz="0" w:space="0" w:color="auto"/>
        <w:bottom w:val="none" w:sz="0" w:space="0" w:color="auto"/>
        <w:right w:val="none" w:sz="0" w:space="0" w:color="auto"/>
      </w:divBdr>
    </w:div>
    <w:div w:id="2013296380">
      <w:bodyDiv w:val="1"/>
      <w:marLeft w:val="0"/>
      <w:marRight w:val="0"/>
      <w:marTop w:val="0"/>
      <w:marBottom w:val="0"/>
      <w:divBdr>
        <w:top w:val="none" w:sz="0" w:space="0" w:color="auto"/>
        <w:left w:val="none" w:sz="0" w:space="0" w:color="auto"/>
        <w:bottom w:val="none" w:sz="0" w:space="0" w:color="auto"/>
        <w:right w:val="none" w:sz="0" w:space="0" w:color="auto"/>
      </w:divBdr>
    </w:div>
    <w:div w:id="2013411666">
      <w:bodyDiv w:val="1"/>
      <w:marLeft w:val="0"/>
      <w:marRight w:val="0"/>
      <w:marTop w:val="0"/>
      <w:marBottom w:val="0"/>
      <w:divBdr>
        <w:top w:val="none" w:sz="0" w:space="0" w:color="auto"/>
        <w:left w:val="none" w:sz="0" w:space="0" w:color="auto"/>
        <w:bottom w:val="none" w:sz="0" w:space="0" w:color="auto"/>
        <w:right w:val="none" w:sz="0" w:space="0" w:color="auto"/>
      </w:divBdr>
    </w:div>
    <w:div w:id="2013485205">
      <w:bodyDiv w:val="1"/>
      <w:marLeft w:val="0"/>
      <w:marRight w:val="0"/>
      <w:marTop w:val="0"/>
      <w:marBottom w:val="0"/>
      <w:divBdr>
        <w:top w:val="none" w:sz="0" w:space="0" w:color="auto"/>
        <w:left w:val="none" w:sz="0" w:space="0" w:color="auto"/>
        <w:bottom w:val="none" w:sz="0" w:space="0" w:color="auto"/>
        <w:right w:val="none" w:sz="0" w:space="0" w:color="auto"/>
      </w:divBdr>
    </w:div>
    <w:div w:id="2013608619">
      <w:bodyDiv w:val="1"/>
      <w:marLeft w:val="0"/>
      <w:marRight w:val="0"/>
      <w:marTop w:val="0"/>
      <w:marBottom w:val="0"/>
      <w:divBdr>
        <w:top w:val="none" w:sz="0" w:space="0" w:color="auto"/>
        <w:left w:val="none" w:sz="0" w:space="0" w:color="auto"/>
        <w:bottom w:val="none" w:sz="0" w:space="0" w:color="auto"/>
        <w:right w:val="none" w:sz="0" w:space="0" w:color="auto"/>
      </w:divBdr>
    </w:div>
    <w:div w:id="2013677471">
      <w:bodyDiv w:val="1"/>
      <w:marLeft w:val="0"/>
      <w:marRight w:val="0"/>
      <w:marTop w:val="0"/>
      <w:marBottom w:val="0"/>
      <w:divBdr>
        <w:top w:val="none" w:sz="0" w:space="0" w:color="auto"/>
        <w:left w:val="none" w:sz="0" w:space="0" w:color="auto"/>
        <w:bottom w:val="none" w:sz="0" w:space="0" w:color="auto"/>
        <w:right w:val="none" w:sz="0" w:space="0" w:color="auto"/>
      </w:divBdr>
    </w:div>
    <w:div w:id="2013751989">
      <w:bodyDiv w:val="1"/>
      <w:marLeft w:val="0"/>
      <w:marRight w:val="0"/>
      <w:marTop w:val="0"/>
      <w:marBottom w:val="0"/>
      <w:divBdr>
        <w:top w:val="none" w:sz="0" w:space="0" w:color="auto"/>
        <w:left w:val="none" w:sz="0" w:space="0" w:color="auto"/>
        <w:bottom w:val="none" w:sz="0" w:space="0" w:color="auto"/>
        <w:right w:val="none" w:sz="0" w:space="0" w:color="auto"/>
      </w:divBdr>
    </w:div>
    <w:div w:id="2013993760">
      <w:bodyDiv w:val="1"/>
      <w:marLeft w:val="0"/>
      <w:marRight w:val="0"/>
      <w:marTop w:val="0"/>
      <w:marBottom w:val="0"/>
      <w:divBdr>
        <w:top w:val="none" w:sz="0" w:space="0" w:color="auto"/>
        <w:left w:val="none" w:sz="0" w:space="0" w:color="auto"/>
        <w:bottom w:val="none" w:sz="0" w:space="0" w:color="auto"/>
        <w:right w:val="none" w:sz="0" w:space="0" w:color="auto"/>
      </w:divBdr>
    </w:div>
    <w:div w:id="2014062546">
      <w:bodyDiv w:val="1"/>
      <w:marLeft w:val="0"/>
      <w:marRight w:val="0"/>
      <w:marTop w:val="0"/>
      <w:marBottom w:val="0"/>
      <w:divBdr>
        <w:top w:val="none" w:sz="0" w:space="0" w:color="auto"/>
        <w:left w:val="none" w:sz="0" w:space="0" w:color="auto"/>
        <w:bottom w:val="none" w:sz="0" w:space="0" w:color="auto"/>
        <w:right w:val="none" w:sz="0" w:space="0" w:color="auto"/>
      </w:divBdr>
    </w:div>
    <w:div w:id="2014648663">
      <w:bodyDiv w:val="1"/>
      <w:marLeft w:val="0"/>
      <w:marRight w:val="0"/>
      <w:marTop w:val="0"/>
      <w:marBottom w:val="0"/>
      <w:divBdr>
        <w:top w:val="none" w:sz="0" w:space="0" w:color="auto"/>
        <w:left w:val="none" w:sz="0" w:space="0" w:color="auto"/>
        <w:bottom w:val="none" w:sz="0" w:space="0" w:color="auto"/>
        <w:right w:val="none" w:sz="0" w:space="0" w:color="auto"/>
      </w:divBdr>
    </w:div>
    <w:div w:id="2014992888">
      <w:bodyDiv w:val="1"/>
      <w:marLeft w:val="0"/>
      <w:marRight w:val="0"/>
      <w:marTop w:val="0"/>
      <w:marBottom w:val="0"/>
      <w:divBdr>
        <w:top w:val="none" w:sz="0" w:space="0" w:color="auto"/>
        <w:left w:val="none" w:sz="0" w:space="0" w:color="auto"/>
        <w:bottom w:val="none" w:sz="0" w:space="0" w:color="auto"/>
        <w:right w:val="none" w:sz="0" w:space="0" w:color="auto"/>
      </w:divBdr>
    </w:div>
    <w:div w:id="2015037300">
      <w:bodyDiv w:val="1"/>
      <w:marLeft w:val="0"/>
      <w:marRight w:val="0"/>
      <w:marTop w:val="0"/>
      <w:marBottom w:val="0"/>
      <w:divBdr>
        <w:top w:val="none" w:sz="0" w:space="0" w:color="auto"/>
        <w:left w:val="none" w:sz="0" w:space="0" w:color="auto"/>
        <w:bottom w:val="none" w:sz="0" w:space="0" w:color="auto"/>
        <w:right w:val="none" w:sz="0" w:space="0" w:color="auto"/>
      </w:divBdr>
    </w:div>
    <w:div w:id="2015103398">
      <w:bodyDiv w:val="1"/>
      <w:marLeft w:val="0"/>
      <w:marRight w:val="0"/>
      <w:marTop w:val="0"/>
      <w:marBottom w:val="0"/>
      <w:divBdr>
        <w:top w:val="none" w:sz="0" w:space="0" w:color="auto"/>
        <w:left w:val="none" w:sz="0" w:space="0" w:color="auto"/>
        <w:bottom w:val="none" w:sz="0" w:space="0" w:color="auto"/>
        <w:right w:val="none" w:sz="0" w:space="0" w:color="auto"/>
      </w:divBdr>
    </w:div>
    <w:div w:id="2015186732">
      <w:bodyDiv w:val="1"/>
      <w:marLeft w:val="0"/>
      <w:marRight w:val="0"/>
      <w:marTop w:val="0"/>
      <w:marBottom w:val="0"/>
      <w:divBdr>
        <w:top w:val="none" w:sz="0" w:space="0" w:color="auto"/>
        <w:left w:val="none" w:sz="0" w:space="0" w:color="auto"/>
        <w:bottom w:val="none" w:sz="0" w:space="0" w:color="auto"/>
        <w:right w:val="none" w:sz="0" w:space="0" w:color="auto"/>
      </w:divBdr>
    </w:div>
    <w:div w:id="2015256265">
      <w:bodyDiv w:val="1"/>
      <w:marLeft w:val="0"/>
      <w:marRight w:val="0"/>
      <w:marTop w:val="0"/>
      <w:marBottom w:val="0"/>
      <w:divBdr>
        <w:top w:val="none" w:sz="0" w:space="0" w:color="auto"/>
        <w:left w:val="none" w:sz="0" w:space="0" w:color="auto"/>
        <w:bottom w:val="none" w:sz="0" w:space="0" w:color="auto"/>
        <w:right w:val="none" w:sz="0" w:space="0" w:color="auto"/>
      </w:divBdr>
    </w:div>
    <w:div w:id="2015301265">
      <w:bodyDiv w:val="1"/>
      <w:marLeft w:val="0"/>
      <w:marRight w:val="0"/>
      <w:marTop w:val="0"/>
      <w:marBottom w:val="0"/>
      <w:divBdr>
        <w:top w:val="none" w:sz="0" w:space="0" w:color="auto"/>
        <w:left w:val="none" w:sz="0" w:space="0" w:color="auto"/>
        <w:bottom w:val="none" w:sz="0" w:space="0" w:color="auto"/>
        <w:right w:val="none" w:sz="0" w:space="0" w:color="auto"/>
      </w:divBdr>
    </w:div>
    <w:div w:id="2015452586">
      <w:bodyDiv w:val="1"/>
      <w:marLeft w:val="0"/>
      <w:marRight w:val="0"/>
      <w:marTop w:val="0"/>
      <w:marBottom w:val="0"/>
      <w:divBdr>
        <w:top w:val="none" w:sz="0" w:space="0" w:color="auto"/>
        <w:left w:val="none" w:sz="0" w:space="0" w:color="auto"/>
        <w:bottom w:val="none" w:sz="0" w:space="0" w:color="auto"/>
        <w:right w:val="none" w:sz="0" w:space="0" w:color="auto"/>
      </w:divBdr>
    </w:div>
    <w:div w:id="2015525718">
      <w:bodyDiv w:val="1"/>
      <w:marLeft w:val="0"/>
      <w:marRight w:val="0"/>
      <w:marTop w:val="0"/>
      <w:marBottom w:val="0"/>
      <w:divBdr>
        <w:top w:val="none" w:sz="0" w:space="0" w:color="auto"/>
        <w:left w:val="none" w:sz="0" w:space="0" w:color="auto"/>
        <w:bottom w:val="none" w:sz="0" w:space="0" w:color="auto"/>
        <w:right w:val="none" w:sz="0" w:space="0" w:color="auto"/>
      </w:divBdr>
    </w:div>
    <w:div w:id="2015766248">
      <w:bodyDiv w:val="1"/>
      <w:marLeft w:val="0"/>
      <w:marRight w:val="0"/>
      <w:marTop w:val="0"/>
      <w:marBottom w:val="0"/>
      <w:divBdr>
        <w:top w:val="none" w:sz="0" w:space="0" w:color="auto"/>
        <w:left w:val="none" w:sz="0" w:space="0" w:color="auto"/>
        <w:bottom w:val="none" w:sz="0" w:space="0" w:color="auto"/>
        <w:right w:val="none" w:sz="0" w:space="0" w:color="auto"/>
      </w:divBdr>
    </w:div>
    <w:div w:id="2015834703">
      <w:bodyDiv w:val="1"/>
      <w:marLeft w:val="0"/>
      <w:marRight w:val="0"/>
      <w:marTop w:val="0"/>
      <w:marBottom w:val="0"/>
      <w:divBdr>
        <w:top w:val="none" w:sz="0" w:space="0" w:color="auto"/>
        <w:left w:val="none" w:sz="0" w:space="0" w:color="auto"/>
        <w:bottom w:val="none" w:sz="0" w:space="0" w:color="auto"/>
        <w:right w:val="none" w:sz="0" w:space="0" w:color="auto"/>
      </w:divBdr>
    </w:div>
    <w:div w:id="2016031455">
      <w:bodyDiv w:val="1"/>
      <w:marLeft w:val="0"/>
      <w:marRight w:val="0"/>
      <w:marTop w:val="0"/>
      <w:marBottom w:val="0"/>
      <w:divBdr>
        <w:top w:val="none" w:sz="0" w:space="0" w:color="auto"/>
        <w:left w:val="none" w:sz="0" w:space="0" w:color="auto"/>
        <w:bottom w:val="none" w:sz="0" w:space="0" w:color="auto"/>
        <w:right w:val="none" w:sz="0" w:space="0" w:color="auto"/>
      </w:divBdr>
    </w:div>
    <w:div w:id="2016104349">
      <w:bodyDiv w:val="1"/>
      <w:marLeft w:val="0"/>
      <w:marRight w:val="0"/>
      <w:marTop w:val="0"/>
      <w:marBottom w:val="0"/>
      <w:divBdr>
        <w:top w:val="none" w:sz="0" w:space="0" w:color="auto"/>
        <w:left w:val="none" w:sz="0" w:space="0" w:color="auto"/>
        <w:bottom w:val="none" w:sz="0" w:space="0" w:color="auto"/>
        <w:right w:val="none" w:sz="0" w:space="0" w:color="auto"/>
      </w:divBdr>
    </w:div>
    <w:div w:id="2016181824">
      <w:bodyDiv w:val="1"/>
      <w:marLeft w:val="0"/>
      <w:marRight w:val="0"/>
      <w:marTop w:val="0"/>
      <w:marBottom w:val="0"/>
      <w:divBdr>
        <w:top w:val="none" w:sz="0" w:space="0" w:color="auto"/>
        <w:left w:val="none" w:sz="0" w:space="0" w:color="auto"/>
        <w:bottom w:val="none" w:sz="0" w:space="0" w:color="auto"/>
        <w:right w:val="none" w:sz="0" w:space="0" w:color="auto"/>
      </w:divBdr>
    </w:div>
    <w:div w:id="2016224729">
      <w:bodyDiv w:val="1"/>
      <w:marLeft w:val="0"/>
      <w:marRight w:val="0"/>
      <w:marTop w:val="0"/>
      <w:marBottom w:val="0"/>
      <w:divBdr>
        <w:top w:val="none" w:sz="0" w:space="0" w:color="auto"/>
        <w:left w:val="none" w:sz="0" w:space="0" w:color="auto"/>
        <w:bottom w:val="none" w:sz="0" w:space="0" w:color="auto"/>
        <w:right w:val="none" w:sz="0" w:space="0" w:color="auto"/>
      </w:divBdr>
    </w:div>
    <w:div w:id="2016224785">
      <w:bodyDiv w:val="1"/>
      <w:marLeft w:val="0"/>
      <w:marRight w:val="0"/>
      <w:marTop w:val="0"/>
      <w:marBottom w:val="0"/>
      <w:divBdr>
        <w:top w:val="none" w:sz="0" w:space="0" w:color="auto"/>
        <w:left w:val="none" w:sz="0" w:space="0" w:color="auto"/>
        <w:bottom w:val="none" w:sz="0" w:space="0" w:color="auto"/>
        <w:right w:val="none" w:sz="0" w:space="0" w:color="auto"/>
      </w:divBdr>
    </w:div>
    <w:div w:id="2016302454">
      <w:bodyDiv w:val="1"/>
      <w:marLeft w:val="0"/>
      <w:marRight w:val="0"/>
      <w:marTop w:val="0"/>
      <w:marBottom w:val="0"/>
      <w:divBdr>
        <w:top w:val="none" w:sz="0" w:space="0" w:color="auto"/>
        <w:left w:val="none" w:sz="0" w:space="0" w:color="auto"/>
        <w:bottom w:val="none" w:sz="0" w:space="0" w:color="auto"/>
        <w:right w:val="none" w:sz="0" w:space="0" w:color="auto"/>
      </w:divBdr>
    </w:div>
    <w:div w:id="2016378571">
      <w:bodyDiv w:val="1"/>
      <w:marLeft w:val="0"/>
      <w:marRight w:val="0"/>
      <w:marTop w:val="0"/>
      <w:marBottom w:val="0"/>
      <w:divBdr>
        <w:top w:val="none" w:sz="0" w:space="0" w:color="auto"/>
        <w:left w:val="none" w:sz="0" w:space="0" w:color="auto"/>
        <w:bottom w:val="none" w:sz="0" w:space="0" w:color="auto"/>
        <w:right w:val="none" w:sz="0" w:space="0" w:color="auto"/>
      </w:divBdr>
    </w:div>
    <w:div w:id="2016423213">
      <w:bodyDiv w:val="1"/>
      <w:marLeft w:val="0"/>
      <w:marRight w:val="0"/>
      <w:marTop w:val="0"/>
      <w:marBottom w:val="0"/>
      <w:divBdr>
        <w:top w:val="none" w:sz="0" w:space="0" w:color="auto"/>
        <w:left w:val="none" w:sz="0" w:space="0" w:color="auto"/>
        <w:bottom w:val="none" w:sz="0" w:space="0" w:color="auto"/>
        <w:right w:val="none" w:sz="0" w:space="0" w:color="auto"/>
      </w:divBdr>
    </w:div>
    <w:div w:id="2016494792">
      <w:bodyDiv w:val="1"/>
      <w:marLeft w:val="0"/>
      <w:marRight w:val="0"/>
      <w:marTop w:val="0"/>
      <w:marBottom w:val="0"/>
      <w:divBdr>
        <w:top w:val="none" w:sz="0" w:space="0" w:color="auto"/>
        <w:left w:val="none" w:sz="0" w:space="0" w:color="auto"/>
        <w:bottom w:val="none" w:sz="0" w:space="0" w:color="auto"/>
        <w:right w:val="none" w:sz="0" w:space="0" w:color="auto"/>
      </w:divBdr>
    </w:div>
    <w:div w:id="2016497085">
      <w:bodyDiv w:val="1"/>
      <w:marLeft w:val="0"/>
      <w:marRight w:val="0"/>
      <w:marTop w:val="0"/>
      <w:marBottom w:val="0"/>
      <w:divBdr>
        <w:top w:val="none" w:sz="0" w:space="0" w:color="auto"/>
        <w:left w:val="none" w:sz="0" w:space="0" w:color="auto"/>
        <w:bottom w:val="none" w:sz="0" w:space="0" w:color="auto"/>
        <w:right w:val="none" w:sz="0" w:space="0" w:color="auto"/>
      </w:divBdr>
    </w:div>
    <w:div w:id="2016609461">
      <w:bodyDiv w:val="1"/>
      <w:marLeft w:val="0"/>
      <w:marRight w:val="0"/>
      <w:marTop w:val="0"/>
      <w:marBottom w:val="0"/>
      <w:divBdr>
        <w:top w:val="none" w:sz="0" w:space="0" w:color="auto"/>
        <w:left w:val="none" w:sz="0" w:space="0" w:color="auto"/>
        <w:bottom w:val="none" w:sz="0" w:space="0" w:color="auto"/>
        <w:right w:val="none" w:sz="0" w:space="0" w:color="auto"/>
      </w:divBdr>
    </w:div>
    <w:div w:id="2016616401">
      <w:bodyDiv w:val="1"/>
      <w:marLeft w:val="0"/>
      <w:marRight w:val="0"/>
      <w:marTop w:val="0"/>
      <w:marBottom w:val="0"/>
      <w:divBdr>
        <w:top w:val="none" w:sz="0" w:space="0" w:color="auto"/>
        <w:left w:val="none" w:sz="0" w:space="0" w:color="auto"/>
        <w:bottom w:val="none" w:sz="0" w:space="0" w:color="auto"/>
        <w:right w:val="none" w:sz="0" w:space="0" w:color="auto"/>
      </w:divBdr>
    </w:div>
    <w:div w:id="2016763765">
      <w:bodyDiv w:val="1"/>
      <w:marLeft w:val="0"/>
      <w:marRight w:val="0"/>
      <w:marTop w:val="0"/>
      <w:marBottom w:val="0"/>
      <w:divBdr>
        <w:top w:val="none" w:sz="0" w:space="0" w:color="auto"/>
        <w:left w:val="none" w:sz="0" w:space="0" w:color="auto"/>
        <w:bottom w:val="none" w:sz="0" w:space="0" w:color="auto"/>
        <w:right w:val="none" w:sz="0" w:space="0" w:color="auto"/>
      </w:divBdr>
    </w:div>
    <w:div w:id="2016881022">
      <w:bodyDiv w:val="1"/>
      <w:marLeft w:val="0"/>
      <w:marRight w:val="0"/>
      <w:marTop w:val="0"/>
      <w:marBottom w:val="0"/>
      <w:divBdr>
        <w:top w:val="none" w:sz="0" w:space="0" w:color="auto"/>
        <w:left w:val="none" w:sz="0" w:space="0" w:color="auto"/>
        <w:bottom w:val="none" w:sz="0" w:space="0" w:color="auto"/>
        <w:right w:val="none" w:sz="0" w:space="0" w:color="auto"/>
      </w:divBdr>
    </w:div>
    <w:div w:id="2016884132">
      <w:bodyDiv w:val="1"/>
      <w:marLeft w:val="0"/>
      <w:marRight w:val="0"/>
      <w:marTop w:val="0"/>
      <w:marBottom w:val="0"/>
      <w:divBdr>
        <w:top w:val="none" w:sz="0" w:space="0" w:color="auto"/>
        <w:left w:val="none" w:sz="0" w:space="0" w:color="auto"/>
        <w:bottom w:val="none" w:sz="0" w:space="0" w:color="auto"/>
        <w:right w:val="none" w:sz="0" w:space="0" w:color="auto"/>
      </w:divBdr>
    </w:div>
    <w:div w:id="2016953607">
      <w:bodyDiv w:val="1"/>
      <w:marLeft w:val="0"/>
      <w:marRight w:val="0"/>
      <w:marTop w:val="0"/>
      <w:marBottom w:val="0"/>
      <w:divBdr>
        <w:top w:val="none" w:sz="0" w:space="0" w:color="auto"/>
        <w:left w:val="none" w:sz="0" w:space="0" w:color="auto"/>
        <w:bottom w:val="none" w:sz="0" w:space="0" w:color="auto"/>
        <w:right w:val="none" w:sz="0" w:space="0" w:color="auto"/>
      </w:divBdr>
    </w:div>
    <w:div w:id="2017032395">
      <w:bodyDiv w:val="1"/>
      <w:marLeft w:val="0"/>
      <w:marRight w:val="0"/>
      <w:marTop w:val="0"/>
      <w:marBottom w:val="0"/>
      <w:divBdr>
        <w:top w:val="none" w:sz="0" w:space="0" w:color="auto"/>
        <w:left w:val="none" w:sz="0" w:space="0" w:color="auto"/>
        <w:bottom w:val="none" w:sz="0" w:space="0" w:color="auto"/>
        <w:right w:val="none" w:sz="0" w:space="0" w:color="auto"/>
      </w:divBdr>
    </w:div>
    <w:div w:id="2017145537">
      <w:bodyDiv w:val="1"/>
      <w:marLeft w:val="0"/>
      <w:marRight w:val="0"/>
      <w:marTop w:val="0"/>
      <w:marBottom w:val="0"/>
      <w:divBdr>
        <w:top w:val="none" w:sz="0" w:space="0" w:color="auto"/>
        <w:left w:val="none" w:sz="0" w:space="0" w:color="auto"/>
        <w:bottom w:val="none" w:sz="0" w:space="0" w:color="auto"/>
        <w:right w:val="none" w:sz="0" w:space="0" w:color="auto"/>
      </w:divBdr>
    </w:div>
    <w:div w:id="2017146131">
      <w:bodyDiv w:val="1"/>
      <w:marLeft w:val="0"/>
      <w:marRight w:val="0"/>
      <w:marTop w:val="0"/>
      <w:marBottom w:val="0"/>
      <w:divBdr>
        <w:top w:val="none" w:sz="0" w:space="0" w:color="auto"/>
        <w:left w:val="none" w:sz="0" w:space="0" w:color="auto"/>
        <w:bottom w:val="none" w:sz="0" w:space="0" w:color="auto"/>
        <w:right w:val="none" w:sz="0" w:space="0" w:color="auto"/>
      </w:divBdr>
    </w:div>
    <w:div w:id="2017150562">
      <w:bodyDiv w:val="1"/>
      <w:marLeft w:val="0"/>
      <w:marRight w:val="0"/>
      <w:marTop w:val="0"/>
      <w:marBottom w:val="0"/>
      <w:divBdr>
        <w:top w:val="none" w:sz="0" w:space="0" w:color="auto"/>
        <w:left w:val="none" w:sz="0" w:space="0" w:color="auto"/>
        <w:bottom w:val="none" w:sz="0" w:space="0" w:color="auto"/>
        <w:right w:val="none" w:sz="0" w:space="0" w:color="auto"/>
      </w:divBdr>
    </w:div>
    <w:div w:id="2017150759">
      <w:bodyDiv w:val="1"/>
      <w:marLeft w:val="0"/>
      <w:marRight w:val="0"/>
      <w:marTop w:val="0"/>
      <w:marBottom w:val="0"/>
      <w:divBdr>
        <w:top w:val="none" w:sz="0" w:space="0" w:color="auto"/>
        <w:left w:val="none" w:sz="0" w:space="0" w:color="auto"/>
        <w:bottom w:val="none" w:sz="0" w:space="0" w:color="auto"/>
        <w:right w:val="none" w:sz="0" w:space="0" w:color="auto"/>
      </w:divBdr>
    </w:div>
    <w:div w:id="2017153731">
      <w:bodyDiv w:val="1"/>
      <w:marLeft w:val="0"/>
      <w:marRight w:val="0"/>
      <w:marTop w:val="0"/>
      <w:marBottom w:val="0"/>
      <w:divBdr>
        <w:top w:val="none" w:sz="0" w:space="0" w:color="auto"/>
        <w:left w:val="none" w:sz="0" w:space="0" w:color="auto"/>
        <w:bottom w:val="none" w:sz="0" w:space="0" w:color="auto"/>
        <w:right w:val="none" w:sz="0" w:space="0" w:color="auto"/>
      </w:divBdr>
    </w:div>
    <w:div w:id="2017490155">
      <w:bodyDiv w:val="1"/>
      <w:marLeft w:val="0"/>
      <w:marRight w:val="0"/>
      <w:marTop w:val="0"/>
      <w:marBottom w:val="0"/>
      <w:divBdr>
        <w:top w:val="none" w:sz="0" w:space="0" w:color="auto"/>
        <w:left w:val="none" w:sz="0" w:space="0" w:color="auto"/>
        <w:bottom w:val="none" w:sz="0" w:space="0" w:color="auto"/>
        <w:right w:val="none" w:sz="0" w:space="0" w:color="auto"/>
      </w:divBdr>
    </w:div>
    <w:div w:id="2017490475">
      <w:bodyDiv w:val="1"/>
      <w:marLeft w:val="0"/>
      <w:marRight w:val="0"/>
      <w:marTop w:val="0"/>
      <w:marBottom w:val="0"/>
      <w:divBdr>
        <w:top w:val="none" w:sz="0" w:space="0" w:color="auto"/>
        <w:left w:val="none" w:sz="0" w:space="0" w:color="auto"/>
        <w:bottom w:val="none" w:sz="0" w:space="0" w:color="auto"/>
        <w:right w:val="none" w:sz="0" w:space="0" w:color="auto"/>
      </w:divBdr>
    </w:div>
    <w:div w:id="2017800457">
      <w:bodyDiv w:val="1"/>
      <w:marLeft w:val="0"/>
      <w:marRight w:val="0"/>
      <w:marTop w:val="0"/>
      <w:marBottom w:val="0"/>
      <w:divBdr>
        <w:top w:val="none" w:sz="0" w:space="0" w:color="auto"/>
        <w:left w:val="none" w:sz="0" w:space="0" w:color="auto"/>
        <w:bottom w:val="none" w:sz="0" w:space="0" w:color="auto"/>
        <w:right w:val="none" w:sz="0" w:space="0" w:color="auto"/>
      </w:divBdr>
    </w:div>
    <w:div w:id="2017803024">
      <w:bodyDiv w:val="1"/>
      <w:marLeft w:val="0"/>
      <w:marRight w:val="0"/>
      <w:marTop w:val="0"/>
      <w:marBottom w:val="0"/>
      <w:divBdr>
        <w:top w:val="none" w:sz="0" w:space="0" w:color="auto"/>
        <w:left w:val="none" w:sz="0" w:space="0" w:color="auto"/>
        <w:bottom w:val="none" w:sz="0" w:space="0" w:color="auto"/>
        <w:right w:val="none" w:sz="0" w:space="0" w:color="auto"/>
      </w:divBdr>
    </w:div>
    <w:div w:id="2017805928">
      <w:bodyDiv w:val="1"/>
      <w:marLeft w:val="0"/>
      <w:marRight w:val="0"/>
      <w:marTop w:val="0"/>
      <w:marBottom w:val="0"/>
      <w:divBdr>
        <w:top w:val="none" w:sz="0" w:space="0" w:color="auto"/>
        <w:left w:val="none" w:sz="0" w:space="0" w:color="auto"/>
        <w:bottom w:val="none" w:sz="0" w:space="0" w:color="auto"/>
        <w:right w:val="none" w:sz="0" w:space="0" w:color="auto"/>
      </w:divBdr>
    </w:div>
    <w:div w:id="2017878419">
      <w:bodyDiv w:val="1"/>
      <w:marLeft w:val="0"/>
      <w:marRight w:val="0"/>
      <w:marTop w:val="0"/>
      <w:marBottom w:val="0"/>
      <w:divBdr>
        <w:top w:val="none" w:sz="0" w:space="0" w:color="auto"/>
        <w:left w:val="none" w:sz="0" w:space="0" w:color="auto"/>
        <w:bottom w:val="none" w:sz="0" w:space="0" w:color="auto"/>
        <w:right w:val="none" w:sz="0" w:space="0" w:color="auto"/>
      </w:divBdr>
    </w:div>
    <w:div w:id="2017996812">
      <w:bodyDiv w:val="1"/>
      <w:marLeft w:val="0"/>
      <w:marRight w:val="0"/>
      <w:marTop w:val="0"/>
      <w:marBottom w:val="0"/>
      <w:divBdr>
        <w:top w:val="none" w:sz="0" w:space="0" w:color="auto"/>
        <w:left w:val="none" w:sz="0" w:space="0" w:color="auto"/>
        <w:bottom w:val="none" w:sz="0" w:space="0" w:color="auto"/>
        <w:right w:val="none" w:sz="0" w:space="0" w:color="auto"/>
      </w:divBdr>
    </w:div>
    <w:div w:id="2018145664">
      <w:bodyDiv w:val="1"/>
      <w:marLeft w:val="0"/>
      <w:marRight w:val="0"/>
      <w:marTop w:val="0"/>
      <w:marBottom w:val="0"/>
      <w:divBdr>
        <w:top w:val="none" w:sz="0" w:space="0" w:color="auto"/>
        <w:left w:val="none" w:sz="0" w:space="0" w:color="auto"/>
        <w:bottom w:val="none" w:sz="0" w:space="0" w:color="auto"/>
        <w:right w:val="none" w:sz="0" w:space="0" w:color="auto"/>
      </w:divBdr>
    </w:div>
    <w:div w:id="2018145971">
      <w:bodyDiv w:val="1"/>
      <w:marLeft w:val="0"/>
      <w:marRight w:val="0"/>
      <w:marTop w:val="0"/>
      <w:marBottom w:val="0"/>
      <w:divBdr>
        <w:top w:val="none" w:sz="0" w:space="0" w:color="auto"/>
        <w:left w:val="none" w:sz="0" w:space="0" w:color="auto"/>
        <w:bottom w:val="none" w:sz="0" w:space="0" w:color="auto"/>
        <w:right w:val="none" w:sz="0" w:space="0" w:color="auto"/>
      </w:divBdr>
    </w:div>
    <w:div w:id="2018190969">
      <w:bodyDiv w:val="1"/>
      <w:marLeft w:val="0"/>
      <w:marRight w:val="0"/>
      <w:marTop w:val="0"/>
      <w:marBottom w:val="0"/>
      <w:divBdr>
        <w:top w:val="none" w:sz="0" w:space="0" w:color="auto"/>
        <w:left w:val="none" w:sz="0" w:space="0" w:color="auto"/>
        <w:bottom w:val="none" w:sz="0" w:space="0" w:color="auto"/>
        <w:right w:val="none" w:sz="0" w:space="0" w:color="auto"/>
      </w:divBdr>
    </w:div>
    <w:div w:id="2018195261">
      <w:bodyDiv w:val="1"/>
      <w:marLeft w:val="0"/>
      <w:marRight w:val="0"/>
      <w:marTop w:val="0"/>
      <w:marBottom w:val="0"/>
      <w:divBdr>
        <w:top w:val="none" w:sz="0" w:space="0" w:color="auto"/>
        <w:left w:val="none" w:sz="0" w:space="0" w:color="auto"/>
        <w:bottom w:val="none" w:sz="0" w:space="0" w:color="auto"/>
        <w:right w:val="none" w:sz="0" w:space="0" w:color="auto"/>
      </w:divBdr>
    </w:div>
    <w:div w:id="2018267073">
      <w:bodyDiv w:val="1"/>
      <w:marLeft w:val="0"/>
      <w:marRight w:val="0"/>
      <w:marTop w:val="0"/>
      <w:marBottom w:val="0"/>
      <w:divBdr>
        <w:top w:val="none" w:sz="0" w:space="0" w:color="auto"/>
        <w:left w:val="none" w:sz="0" w:space="0" w:color="auto"/>
        <w:bottom w:val="none" w:sz="0" w:space="0" w:color="auto"/>
        <w:right w:val="none" w:sz="0" w:space="0" w:color="auto"/>
      </w:divBdr>
    </w:div>
    <w:div w:id="2018380438">
      <w:bodyDiv w:val="1"/>
      <w:marLeft w:val="0"/>
      <w:marRight w:val="0"/>
      <w:marTop w:val="0"/>
      <w:marBottom w:val="0"/>
      <w:divBdr>
        <w:top w:val="none" w:sz="0" w:space="0" w:color="auto"/>
        <w:left w:val="none" w:sz="0" w:space="0" w:color="auto"/>
        <w:bottom w:val="none" w:sz="0" w:space="0" w:color="auto"/>
        <w:right w:val="none" w:sz="0" w:space="0" w:color="auto"/>
      </w:divBdr>
    </w:div>
    <w:div w:id="2018799813">
      <w:bodyDiv w:val="1"/>
      <w:marLeft w:val="0"/>
      <w:marRight w:val="0"/>
      <w:marTop w:val="0"/>
      <w:marBottom w:val="0"/>
      <w:divBdr>
        <w:top w:val="none" w:sz="0" w:space="0" w:color="auto"/>
        <w:left w:val="none" w:sz="0" w:space="0" w:color="auto"/>
        <w:bottom w:val="none" w:sz="0" w:space="0" w:color="auto"/>
        <w:right w:val="none" w:sz="0" w:space="0" w:color="auto"/>
      </w:divBdr>
    </w:div>
    <w:div w:id="2018917944">
      <w:bodyDiv w:val="1"/>
      <w:marLeft w:val="0"/>
      <w:marRight w:val="0"/>
      <w:marTop w:val="0"/>
      <w:marBottom w:val="0"/>
      <w:divBdr>
        <w:top w:val="none" w:sz="0" w:space="0" w:color="auto"/>
        <w:left w:val="none" w:sz="0" w:space="0" w:color="auto"/>
        <w:bottom w:val="none" w:sz="0" w:space="0" w:color="auto"/>
        <w:right w:val="none" w:sz="0" w:space="0" w:color="auto"/>
      </w:divBdr>
    </w:div>
    <w:div w:id="2018992673">
      <w:bodyDiv w:val="1"/>
      <w:marLeft w:val="0"/>
      <w:marRight w:val="0"/>
      <w:marTop w:val="0"/>
      <w:marBottom w:val="0"/>
      <w:divBdr>
        <w:top w:val="none" w:sz="0" w:space="0" w:color="auto"/>
        <w:left w:val="none" w:sz="0" w:space="0" w:color="auto"/>
        <w:bottom w:val="none" w:sz="0" w:space="0" w:color="auto"/>
        <w:right w:val="none" w:sz="0" w:space="0" w:color="auto"/>
      </w:divBdr>
    </w:div>
    <w:div w:id="2018993866">
      <w:bodyDiv w:val="1"/>
      <w:marLeft w:val="0"/>
      <w:marRight w:val="0"/>
      <w:marTop w:val="0"/>
      <w:marBottom w:val="0"/>
      <w:divBdr>
        <w:top w:val="none" w:sz="0" w:space="0" w:color="auto"/>
        <w:left w:val="none" w:sz="0" w:space="0" w:color="auto"/>
        <w:bottom w:val="none" w:sz="0" w:space="0" w:color="auto"/>
        <w:right w:val="none" w:sz="0" w:space="0" w:color="auto"/>
      </w:divBdr>
    </w:div>
    <w:div w:id="2019304454">
      <w:bodyDiv w:val="1"/>
      <w:marLeft w:val="0"/>
      <w:marRight w:val="0"/>
      <w:marTop w:val="0"/>
      <w:marBottom w:val="0"/>
      <w:divBdr>
        <w:top w:val="none" w:sz="0" w:space="0" w:color="auto"/>
        <w:left w:val="none" w:sz="0" w:space="0" w:color="auto"/>
        <w:bottom w:val="none" w:sz="0" w:space="0" w:color="auto"/>
        <w:right w:val="none" w:sz="0" w:space="0" w:color="auto"/>
      </w:divBdr>
    </w:div>
    <w:div w:id="2019502558">
      <w:bodyDiv w:val="1"/>
      <w:marLeft w:val="0"/>
      <w:marRight w:val="0"/>
      <w:marTop w:val="0"/>
      <w:marBottom w:val="0"/>
      <w:divBdr>
        <w:top w:val="none" w:sz="0" w:space="0" w:color="auto"/>
        <w:left w:val="none" w:sz="0" w:space="0" w:color="auto"/>
        <w:bottom w:val="none" w:sz="0" w:space="0" w:color="auto"/>
        <w:right w:val="none" w:sz="0" w:space="0" w:color="auto"/>
      </w:divBdr>
    </w:div>
    <w:div w:id="2019849527">
      <w:bodyDiv w:val="1"/>
      <w:marLeft w:val="0"/>
      <w:marRight w:val="0"/>
      <w:marTop w:val="0"/>
      <w:marBottom w:val="0"/>
      <w:divBdr>
        <w:top w:val="none" w:sz="0" w:space="0" w:color="auto"/>
        <w:left w:val="none" w:sz="0" w:space="0" w:color="auto"/>
        <w:bottom w:val="none" w:sz="0" w:space="0" w:color="auto"/>
        <w:right w:val="none" w:sz="0" w:space="0" w:color="auto"/>
      </w:divBdr>
    </w:div>
    <w:div w:id="2020036132">
      <w:bodyDiv w:val="1"/>
      <w:marLeft w:val="0"/>
      <w:marRight w:val="0"/>
      <w:marTop w:val="0"/>
      <w:marBottom w:val="0"/>
      <w:divBdr>
        <w:top w:val="none" w:sz="0" w:space="0" w:color="auto"/>
        <w:left w:val="none" w:sz="0" w:space="0" w:color="auto"/>
        <w:bottom w:val="none" w:sz="0" w:space="0" w:color="auto"/>
        <w:right w:val="none" w:sz="0" w:space="0" w:color="auto"/>
      </w:divBdr>
    </w:div>
    <w:div w:id="2020041752">
      <w:bodyDiv w:val="1"/>
      <w:marLeft w:val="0"/>
      <w:marRight w:val="0"/>
      <w:marTop w:val="0"/>
      <w:marBottom w:val="0"/>
      <w:divBdr>
        <w:top w:val="none" w:sz="0" w:space="0" w:color="auto"/>
        <w:left w:val="none" w:sz="0" w:space="0" w:color="auto"/>
        <w:bottom w:val="none" w:sz="0" w:space="0" w:color="auto"/>
        <w:right w:val="none" w:sz="0" w:space="0" w:color="auto"/>
      </w:divBdr>
    </w:div>
    <w:div w:id="2020084761">
      <w:bodyDiv w:val="1"/>
      <w:marLeft w:val="0"/>
      <w:marRight w:val="0"/>
      <w:marTop w:val="0"/>
      <w:marBottom w:val="0"/>
      <w:divBdr>
        <w:top w:val="none" w:sz="0" w:space="0" w:color="auto"/>
        <w:left w:val="none" w:sz="0" w:space="0" w:color="auto"/>
        <w:bottom w:val="none" w:sz="0" w:space="0" w:color="auto"/>
        <w:right w:val="none" w:sz="0" w:space="0" w:color="auto"/>
      </w:divBdr>
    </w:div>
    <w:div w:id="2020543911">
      <w:bodyDiv w:val="1"/>
      <w:marLeft w:val="0"/>
      <w:marRight w:val="0"/>
      <w:marTop w:val="0"/>
      <w:marBottom w:val="0"/>
      <w:divBdr>
        <w:top w:val="none" w:sz="0" w:space="0" w:color="auto"/>
        <w:left w:val="none" w:sz="0" w:space="0" w:color="auto"/>
        <w:bottom w:val="none" w:sz="0" w:space="0" w:color="auto"/>
        <w:right w:val="none" w:sz="0" w:space="0" w:color="auto"/>
      </w:divBdr>
    </w:div>
    <w:div w:id="2020614352">
      <w:bodyDiv w:val="1"/>
      <w:marLeft w:val="0"/>
      <w:marRight w:val="0"/>
      <w:marTop w:val="0"/>
      <w:marBottom w:val="0"/>
      <w:divBdr>
        <w:top w:val="none" w:sz="0" w:space="0" w:color="auto"/>
        <w:left w:val="none" w:sz="0" w:space="0" w:color="auto"/>
        <w:bottom w:val="none" w:sz="0" w:space="0" w:color="auto"/>
        <w:right w:val="none" w:sz="0" w:space="0" w:color="auto"/>
      </w:divBdr>
    </w:div>
    <w:div w:id="2020622049">
      <w:bodyDiv w:val="1"/>
      <w:marLeft w:val="0"/>
      <w:marRight w:val="0"/>
      <w:marTop w:val="0"/>
      <w:marBottom w:val="0"/>
      <w:divBdr>
        <w:top w:val="none" w:sz="0" w:space="0" w:color="auto"/>
        <w:left w:val="none" w:sz="0" w:space="0" w:color="auto"/>
        <w:bottom w:val="none" w:sz="0" w:space="0" w:color="auto"/>
        <w:right w:val="none" w:sz="0" w:space="0" w:color="auto"/>
      </w:divBdr>
    </w:div>
    <w:div w:id="2020768187">
      <w:bodyDiv w:val="1"/>
      <w:marLeft w:val="0"/>
      <w:marRight w:val="0"/>
      <w:marTop w:val="0"/>
      <w:marBottom w:val="0"/>
      <w:divBdr>
        <w:top w:val="none" w:sz="0" w:space="0" w:color="auto"/>
        <w:left w:val="none" w:sz="0" w:space="0" w:color="auto"/>
        <w:bottom w:val="none" w:sz="0" w:space="0" w:color="auto"/>
        <w:right w:val="none" w:sz="0" w:space="0" w:color="auto"/>
      </w:divBdr>
    </w:div>
    <w:div w:id="2020768768">
      <w:bodyDiv w:val="1"/>
      <w:marLeft w:val="0"/>
      <w:marRight w:val="0"/>
      <w:marTop w:val="0"/>
      <w:marBottom w:val="0"/>
      <w:divBdr>
        <w:top w:val="none" w:sz="0" w:space="0" w:color="auto"/>
        <w:left w:val="none" w:sz="0" w:space="0" w:color="auto"/>
        <w:bottom w:val="none" w:sz="0" w:space="0" w:color="auto"/>
        <w:right w:val="none" w:sz="0" w:space="0" w:color="auto"/>
      </w:divBdr>
    </w:div>
    <w:div w:id="2020889495">
      <w:bodyDiv w:val="1"/>
      <w:marLeft w:val="0"/>
      <w:marRight w:val="0"/>
      <w:marTop w:val="0"/>
      <w:marBottom w:val="0"/>
      <w:divBdr>
        <w:top w:val="none" w:sz="0" w:space="0" w:color="auto"/>
        <w:left w:val="none" w:sz="0" w:space="0" w:color="auto"/>
        <w:bottom w:val="none" w:sz="0" w:space="0" w:color="auto"/>
        <w:right w:val="none" w:sz="0" w:space="0" w:color="auto"/>
      </w:divBdr>
    </w:div>
    <w:div w:id="2020889660">
      <w:bodyDiv w:val="1"/>
      <w:marLeft w:val="0"/>
      <w:marRight w:val="0"/>
      <w:marTop w:val="0"/>
      <w:marBottom w:val="0"/>
      <w:divBdr>
        <w:top w:val="none" w:sz="0" w:space="0" w:color="auto"/>
        <w:left w:val="none" w:sz="0" w:space="0" w:color="auto"/>
        <w:bottom w:val="none" w:sz="0" w:space="0" w:color="auto"/>
        <w:right w:val="none" w:sz="0" w:space="0" w:color="auto"/>
      </w:divBdr>
    </w:div>
    <w:div w:id="2020891796">
      <w:bodyDiv w:val="1"/>
      <w:marLeft w:val="0"/>
      <w:marRight w:val="0"/>
      <w:marTop w:val="0"/>
      <w:marBottom w:val="0"/>
      <w:divBdr>
        <w:top w:val="none" w:sz="0" w:space="0" w:color="auto"/>
        <w:left w:val="none" w:sz="0" w:space="0" w:color="auto"/>
        <w:bottom w:val="none" w:sz="0" w:space="0" w:color="auto"/>
        <w:right w:val="none" w:sz="0" w:space="0" w:color="auto"/>
      </w:divBdr>
    </w:div>
    <w:div w:id="2021196991">
      <w:bodyDiv w:val="1"/>
      <w:marLeft w:val="0"/>
      <w:marRight w:val="0"/>
      <w:marTop w:val="0"/>
      <w:marBottom w:val="0"/>
      <w:divBdr>
        <w:top w:val="none" w:sz="0" w:space="0" w:color="auto"/>
        <w:left w:val="none" w:sz="0" w:space="0" w:color="auto"/>
        <w:bottom w:val="none" w:sz="0" w:space="0" w:color="auto"/>
        <w:right w:val="none" w:sz="0" w:space="0" w:color="auto"/>
      </w:divBdr>
    </w:div>
    <w:div w:id="2021273409">
      <w:bodyDiv w:val="1"/>
      <w:marLeft w:val="0"/>
      <w:marRight w:val="0"/>
      <w:marTop w:val="0"/>
      <w:marBottom w:val="0"/>
      <w:divBdr>
        <w:top w:val="none" w:sz="0" w:space="0" w:color="auto"/>
        <w:left w:val="none" w:sz="0" w:space="0" w:color="auto"/>
        <w:bottom w:val="none" w:sz="0" w:space="0" w:color="auto"/>
        <w:right w:val="none" w:sz="0" w:space="0" w:color="auto"/>
      </w:divBdr>
    </w:div>
    <w:div w:id="2021276253">
      <w:bodyDiv w:val="1"/>
      <w:marLeft w:val="0"/>
      <w:marRight w:val="0"/>
      <w:marTop w:val="0"/>
      <w:marBottom w:val="0"/>
      <w:divBdr>
        <w:top w:val="none" w:sz="0" w:space="0" w:color="auto"/>
        <w:left w:val="none" w:sz="0" w:space="0" w:color="auto"/>
        <w:bottom w:val="none" w:sz="0" w:space="0" w:color="auto"/>
        <w:right w:val="none" w:sz="0" w:space="0" w:color="auto"/>
      </w:divBdr>
    </w:div>
    <w:div w:id="2021393565">
      <w:bodyDiv w:val="1"/>
      <w:marLeft w:val="0"/>
      <w:marRight w:val="0"/>
      <w:marTop w:val="0"/>
      <w:marBottom w:val="0"/>
      <w:divBdr>
        <w:top w:val="none" w:sz="0" w:space="0" w:color="auto"/>
        <w:left w:val="none" w:sz="0" w:space="0" w:color="auto"/>
        <w:bottom w:val="none" w:sz="0" w:space="0" w:color="auto"/>
        <w:right w:val="none" w:sz="0" w:space="0" w:color="auto"/>
      </w:divBdr>
    </w:div>
    <w:div w:id="2021396873">
      <w:bodyDiv w:val="1"/>
      <w:marLeft w:val="0"/>
      <w:marRight w:val="0"/>
      <w:marTop w:val="0"/>
      <w:marBottom w:val="0"/>
      <w:divBdr>
        <w:top w:val="none" w:sz="0" w:space="0" w:color="auto"/>
        <w:left w:val="none" w:sz="0" w:space="0" w:color="auto"/>
        <w:bottom w:val="none" w:sz="0" w:space="0" w:color="auto"/>
        <w:right w:val="none" w:sz="0" w:space="0" w:color="auto"/>
      </w:divBdr>
    </w:div>
    <w:div w:id="2021539225">
      <w:bodyDiv w:val="1"/>
      <w:marLeft w:val="0"/>
      <w:marRight w:val="0"/>
      <w:marTop w:val="0"/>
      <w:marBottom w:val="0"/>
      <w:divBdr>
        <w:top w:val="none" w:sz="0" w:space="0" w:color="auto"/>
        <w:left w:val="none" w:sz="0" w:space="0" w:color="auto"/>
        <w:bottom w:val="none" w:sz="0" w:space="0" w:color="auto"/>
        <w:right w:val="none" w:sz="0" w:space="0" w:color="auto"/>
      </w:divBdr>
    </w:div>
    <w:div w:id="2021589840">
      <w:bodyDiv w:val="1"/>
      <w:marLeft w:val="0"/>
      <w:marRight w:val="0"/>
      <w:marTop w:val="0"/>
      <w:marBottom w:val="0"/>
      <w:divBdr>
        <w:top w:val="none" w:sz="0" w:space="0" w:color="auto"/>
        <w:left w:val="none" w:sz="0" w:space="0" w:color="auto"/>
        <w:bottom w:val="none" w:sz="0" w:space="0" w:color="auto"/>
        <w:right w:val="none" w:sz="0" w:space="0" w:color="auto"/>
      </w:divBdr>
    </w:div>
    <w:div w:id="2021665395">
      <w:bodyDiv w:val="1"/>
      <w:marLeft w:val="0"/>
      <w:marRight w:val="0"/>
      <w:marTop w:val="0"/>
      <w:marBottom w:val="0"/>
      <w:divBdr>
        <w:top w:val="none" w:sz="0" w:space="0" w:color="auto"/>
        <w:left w:val="none" w:sz="0" w:space="0" w:color="auto"/>
        <w:bottom w:val="none" w:sz="0" w:space="0" w:color="auto"/>
        <w:right w:val="none" w:sz="0" w:space="0" w:color="auto"/>
      </w:divBdr>
    </w:div>
    <w:div w:id="2021858222">
      <w:bodyDiv w:val="1"/>
      <w:marLeft w:val="0"/>
      <w:marRight w:val="0"/>
      <w:marTop w:val="0"/>
      <w:marBottom w:val="0"/>
      <w:divBdr>
        <w:top w:val="none" w:sz="0" w:space="0" w:color="auto"/>
        <w:left w:val="none" w:sz="0" w:space="0" w:color="auto"/>
        <w:bottom w:val="none" w:sz="0" w:space="0" w:color="auto"/>
        <w:right w:val="none" w:sz="0" w:space="0" w:color="auto"/>
      </w:divBdr>
    </w:div>
    <w:div w:id="2021858762">
      <w:bodyDiv w:val="1"/>
      <w:marLeft w:val="0"/>
      <w:marRight w:val="0"/>
      <w:marTop w:val="0"/>
      <w:marBottom w:val="0"/>
      <w:divBdr>
        <w:top w:val="none" w:sz="0" w:space="0" w:color="auto"/>
        <w:left w:val="none" w:sz="0" w:space="0" w:color="auto"/>
        <w:bottom w:val="none" w:sz="0" w:space="0" w:color="auto"/>
        <w:right w:val="none" w:sz="0" w:space="0" w:color="auto"/>
      </w:divBdr>
    </w:div>
    <w:div w:id="2021883426">
      <w:bodyDiv w:val="1"/>
      <w:marLeft w:val="0"/>
      <w:marRight w:val="0"/>
      <w:marTop w:val="0"/>
      <w:marBottom w:val="0"/>
      <w:divBdr>
        <w:top w:val="none" w:sz="0" w:space="0" w:color="auto"/>
        <w:left w:val="none" w:sz="0" w:space="0" w:color="auto"/>
        <w:bottom w:val="none" w:sz="0" w:space="0" w:color="auto"/>
        <w:right w:val="none" w:sz="0" w:space="0" w:color="auto"/>
      </w:divBdr>
    </w:div>
    <w:div w:id="2022006108">
      <w:bodyDiv w:val="1"/>
      <w:marLeft w:val="0"/>
      <w:marRight w:val="0"/>
      <w:marTop w:val="0"/>
      <w:marBottom w:val="0"/>
      <w:divBdr>
        <w:top w:val="none" w:sz="0" w:space="0" w:color="auto"/>
        <w:left w:val="none" w:sz="0" w:space="0" w:color="auto"/>
        <w:bottom w:val="none" w:sz="0" w:space="0" w:color="auto"/>
        <w:right w:val="none" w:sz="0" w:space="0" w:color="auto"/>
      </w:divBdr>
    </w:div>
    <w:div w:id="2022118223">
      <w:bodyDiv w:val="1"/>
      <w:marLeft w:val="0"/>
      <w:marRight w:val="0"/>
      <w:marTop w:val="0"/>
      <w:marBottom w:val="0"/>
      <w:divBdr>
        <w:top w:val="none" w:sz="0" w:space="0" w:color="auto"/>
        <w:left w:val="none" w:sz="0" w:space="0" w:color="auto"/>
        <w:bottom w:val="none" w:sz="0" w:space="0" w:color="auto"/>
        <w:right w:val="none" w:sz="0" w:space="0" w:color="auto"/>
      </w:divBdr>
    </w:div>
    <w:div w:id="2022193517">
      <w:bodyDiv w:val="1"/>
      <w:marLeft w:val="0"/>
      <w:marRight w:val="0"/>
      <w:marTop w:val="0"/>
      <w:marBottom w:val="0"/>
      <w:divBdr>
        <w:top w:val="none" w:sz="0" w:space="0" w:color="auto"/>
        <w:left w:val="none" w:sz="0" w:space="0" w:color="auto"/>
        <w:bottom w:val="none" w:sz="0" w:space="0" w:color="auto"/>
        <w:right w:val="none" w:sz="0" w:space="0" w:color="auto"/>
      </w:divBdr>
    </w:div>
    <w:div w:id="2022197855">
      <w:bodyDiv w:val="1"/>
      <w:marLeft w:val="0"/>
      <w:marRight w:val="0"/>
      <w:marTop w:val="0"/>
      <w:marBottom w:val="0"/>
      <w:divBdr>
        <w:top w:val="none" w:sz="0" w:space="0" w:color="auto"/>
        <w:left w:val="none" w:sz="0" w:space="0" w:color="auto"/>
        <w:bottom w:val="none" w:sz="0" w:space="0" w:color="auto"/>
        <w:right w:val="none" w:sz="0" w:space="0" w:color="auto"/>
      </w:divBdr>
    </w:div>
    <w:div w:id="2022269873">
      <w:bodyDiv w:val="1"/>
      <w:marLeft w:val="0"/>
      <w:marRight w:val="0"/>
      <w:marTop w:val="0"/>
      <w:marBottom w:val="0"/>
      <w:divBdr>
        <w:top w:val="none" w:sz="0" w:space="0" w:color="auto"/>
        <w:left w:val="none" w:sz="0" w:space="0" w:color="auto"/>
        <w:bottom w:val="none" w:sz="0" w:space="0" w:color="auto"/>
        <w:right w:val="none" w:sz="0" w:space="0" w:color="auto"/>
      </w:divBdr>
    </w:div>
    <w:div w:id="2022705222">
      <w:bodyDiv w:val="1"/>
      <w:marLeft w:val="0"/>
      <w:marRight w:val="0"/>
      <w:marTop w:val="0"/>
      <w:marBottom w:val="0"/>
      <w:divBdr>
        <w:top w:val="none" w:sz="0" w:space="0" w:color="auto"/>
        <w:left w:val="none" w:sz="0" w:space="0" w:color="auto"/>
        <w:bottom w:val="none" w:sz="0" w:space="0" w:color="auto"/>
        <w:right w:val="none" w:sz="0" w:space="0" w:color="auto"/>
      </w:divBdr>
    </w:div>
    <w:div w:id="2022776842">
      <w:bodyDiv w:val="1"/>
      <w:marLeft w:val="0"/>
      <w:marRight w:val="0"/>
      <w:marTop w:val="0"/>
      <w:marBottom w:val="0"/>
      <w:divBdr>
        <w:top w:val="none" w:sz="0" w:space="0" w:color="auto"/>
        <w:left w:val="none" w:sz="0" w:space="0" w:color="auto"/>
        <w:bottom w:val="none" w:sz="0" w:space="0" w:color="auto"/>
        <w:right w:val="none" w:sz="0" w:space="0" w:color="auto"/>
      </w:divBdr>
    </w:div>
    <w:div w:id="2022850992">
      <w:bodyDiv w:val="1"/>
      <w:marLeft w:val="0"/>
      <w:marRight w:val="0"/>
      <w:marTop w:val="0"/>
      <w:marBottom w:val="0"/>
      <w:divBdr>
        <w:top w:val="none" w:sz="0" w:space="0" w:color="auto"/>
        <w:left w:val="none" w:sz="0" w:space="0" w:color="auto"/>
        <w:bottom w:val="none" w:sz="0" w:space="0" w:color="auto"/>
        <w:right w:val="none" w:sz="0" w:space="0" w:color="auto"/>
      </w:divBdr>
    </w:div>
    <w:div w:id="2022853470">
      <w:bodyDiv w:val="1"/>
      <w:marLeft w:val="0"/>
      <w:marRight w:val="0"/>
      <w:marTop w:val="0"/>
      <w:marBottom w:val="0"/>
      <w:divBdr>
        <w:top w:val="none" w:sz="0" w:space="0" w:color="auto"/>
        <w:left w:val="none" w:sz="0" w:space="0" w:color="auto"/>
        <w:bottom w:val="none" w:sz="0" w:space="0" w:color="auto"/>
        <w:right w:val="none" w:sz="0" w:space="0" w:color="auto"/>
      </w:divBdr>
    </w:div>
    <w:div w:id="2023244512">
      <w:bodyDiv w:val="1"/>
      <w:marLeft w:val="0"/>
      <w:marRight w:val="0"/>
      <w:marTop w:val="0"/>
      <w:marBottom w:val="0"/>
      <w:divBdr>
        <w:top w:val="none" w:sz="0" w:space="0" w:color="auto"/>
        <w:left w:val="none" w:sz="0" w:space="0" w:color="auto"/>
        <w:bottom w:val="none" w:sz="0" w:space="0" w:color="auto"/>
        <w:right w:val="none" w:sz="0" w:space="0" w:color="auto"/>
      </w:divBdr>
    </w:div>
    <w:div w:id="2023314282">
      <w:bodyDiv w:val="1"/>
      <w:marLeft w:val="0"/>
      <w:marRight w:val="0"/>
      <w:marTop w:val="0"/>
      <w:marBottom w:val="0"/>
      <w:divBdr>
        <w:top w:val="none" w:sz="0" w:space="0" w:color="auto"/>
        <w:left w:val="none" w:sz="0" w:space="0" w:color="auto"/>
        <w:bottom w:val="none" w:sz="0" w:space="0" w:color="auto"/>
        <w:right w:val="none" w:sz="0" w:space="0" w:color="auto"/>
      </w:divBdr>
    </w:div>
    <w:div w:id="2023505059">
      <w:bodyDiv w:val="1"/>
      <w:marLeft w:val="0"/>
      <w:marRight w:val="0"/>
      <w:marTop w:val="0"/>
      <w:marBottom w:val="0"/>
      <w:divBdr>
        <w:top w:val="none" w:sz="0" w:space="0" w:color="auto"/>
        <w:left w:val="none" w:sz="0" w:space="0" w:color="auto"/>
        <w:bottom w:val="none" w:sz="0" w:space="0" w:color="auto"/>
        <w:right w:val="none" w:sz="0" w:space="0" w:color="auto"/>
      </w:divBdr>
    </w:div>
    <w:div w:id="2023627397">
      <w:bodyDiv w:val="1"/>
      <w:marLeft w:val="0"/>
      <w:marRight w:val="0"/>
      <w:marTop w:val="0"/>
      <w:marBottom w:val="0"/>
      <w:divBdr>
        <w:top w:val="none" w:sz="0" w:space="0" w:color="auto"/>
        <w:left w:val="none" w:sz="0" w:space="0" w:color="auto"/>
        <w:bottom w:val="none" w:sz="0" w:space="0" w:color="auto"/>
        <w:right w:val="none" w:sz="0" w:space="0" w:color="auto"/>
      </w:divBdr>
    </w:div>
    <w:div w:id="2023819609">
      <w:bodyDiv w:val="1"/>
      <w:marLeft w:val="0"/>
      <w:marRight w:val="0"/>
      <w:marTop w:val="0"/>
      <w:marBottom w:val="0"/>
      <w:divBdr>
        <w:top w:val="none" w:sz="0" w:space="0" w:color="auto"/>
        <w:left w:val="none" w:sz="0" w:space="0" w:color="auto"/>
        <w:bottom w:val="none" w:sz="0" w:space="0" w:color="auto"/>
        <w:right w:val="none" w:sz="0" w:space="0" w:color="auto"/>
      </w:divBdr>
    </w:div>
    <w:div w:id="2023849541">
      <w:bodyDiv w:val="1"/>
      <w:marLeft w:val="0"/>
      <w:marRight w:val="0"/>
      <w:marTop w:val="0"/>
      <w:marBottom w:val="0"/>
      <w:divBdr>
        <w:top w:val="none" w:sz="0" w:space="0" w:color="auto"/>
        <w:left w:val="none" w:sz="0" w:space="0" w:color="auto"/>
        <w:bottom w:val="none" w:sz="0" w:space="0" w:color="auto"/>
        <w:right w:val="none" w:sz="0" w:space="0" w:color="auto"/>
      </w:divBdr>
    </w:div>
    <w:div w:id="2024159961">
      <w:bodyDiv w:val="1"/>
      <w:marLeft w:val="0"/>
      <w:marRight w:val="0"/>
      <w:marTop w:val="0"/>
      <w:marBottom w:val="0"/>
      <w:divBdr>
        <w:top w:val="none" w:sz="0" w:space="0" w:color="auto"/>
        <w:left w:val="none" w:sz="0" w:space="0" w:color="auto"/>
        <w:bottom w:val="none" w:sz="0" w:space="0" w:color="auto"/>
        <w:right w:val="none" w:sz="0" w:space="0" w:color="auto"/>
      </w:divBdr>
    </w:div>
    <w:div w:id="2024160044">
      <w:bodyDiv w:val="1"/>
      <w:marLeft w:val="0"/>
      <w:marRight w:val="0"/>
      <w:marTop w:val="0"/>
      <w:marBottom w:val="0"/>
      <w:divBdr>
        <w:top w:val="none" w:sz="0" w:space="0" w:color="auto"/>
        <w:left w:val="none" w:sz="0" w:space="0" w:color="auto"/>
        <w:bottom w:val="none" w:sz="0" w:space="0" w:color="auto"/>
        <w:right w:val="none" w:sz="0" w:space="0" w:color="auto"/>
      </w:divBdr>
    </w:div>
    <w:div w:id="2024235431">
      <w:bodyDiv w:val="1"/>
      <w:marLeft w:val="0"/>
      <w:marRight w:val="0"/>
      <w:marTop w:val="0"/>
      <w:marBottom w:val="0"/>
      <w:divBdr>
        <w:top w:val="none" w:sz="0" w:space="0" w:color="auto"/>
        <w:left w:val="none" w:sz="0" w:space="0" w:color="auto"/>
        <w:bottom w:val="none" w:sz="0" w:space="0" w:color="auto"/>
        <w:right w:val="none" w:sz="0" w:space="0" w:color="auto"/>
      </w:divBdr>
    </w:div>
    <w:div w:id="2024238899">
      <w:bodyDiv w:val="1"/>
      <w:marLeft w:val="0"/>
      <w:marRight w:val="0"/>
      <w:marTop w:val="0"/>
      <w:marBottom w:val="0"/>
      <w:divBdr>
        <w:top w:val="none" w:sz="0" w:space="0" w:color="auto"/>
        <w:left w:val="none" w:sz="0" w:space="0" w:color="auto"/>
        <w:bottom w:val="none" w:sz="0" w:space="0" w:color="auto"/>
        <w:right w:val="none" w:sz="0" w:space="0" w:color="auto"/>
      </w:divBdr>
    </w:div>
    <w:div w:id="2024432876">
      <w:bodyDiv w:val="1"/>
      <w:marLeft w:val="0"/>
      <w:marRight w:val="0"/>
      <w:marTop w:val="0"/>
      <w:marBottom w:val="0"/>
      <w:divBdr>
        <w:top w:val="none" w:sz="0" w:space="0" w:color="auto"/>
        <w:left w:val="none" w:sz="0" w:space="0" w:color="auto"/>
        <w:bottom w:val="none" w:sz="0" w:space="0" w:color="auto"/>
        <w:right w:val="none" w:sz="0" w:space="0" w:color="auto"/>
      </w:divBdr>
    </w:div>
    <w:div w:id="2024474563">
      <w:bodyDiv w:val="1"/>
      <w:marLeft w:val="0"/>
      <w:marRight w:val="0"/>
      <w:marTop w:val="0"/>
      <w:marBottom w:val="0"/>
      <w:divBdr>
        <w:top w:val="none" w:sz="0" w:space="0" w:color="auto"/>
        <w:left w:val="none" w:sz="0" w:space="0" w:color="auto"/>
        <w:bottom w:val="none" w:sz="0" w:space="0" w:color="auto"/>
        <w:right w:val="none" w:sz="0" w:space="0" w:color="auto"/>
      </w:divBdr>
    </w:div>
    <w:div w:id="2024740531">
      <w:bodyDiv w:val="1"/>
      <w:marLeft w:val="0"/>
      <w:marRight w:val="0"/>
      <w:marTop w:val="0"/>
      <w:marBottom w:val="0"/>
      <w:divBdr>
        <w:top w:val="none" w:sz="0" w:space="0" w:color="auto"/>
        <w:left w:val="none" w:sz="0" w:space="0" w:color="auto"/>
        <w:bottom w:val="none" w:sz="0" w:space="0" w:color="auto"/>
        <w:right w:val="none" w:sz="0" w:space="0" w:color="auto"/>
      </w:divBdr>
    </w:div>
    <w:div w:id="2024744052">
      <w:bodyDiv w:val="1"/>
      <w:marLeft w:val="0"/>
      <w:marRight w:val="0"/>
      <w:marTop w:val="0"/>
      <w:marBottom w:val="0"/>
      <w:divBdr>
        <w:top w:val="none" w:sz="0" w:space="0" w:color="auto"/>
        <w:left w:val="none" w:sz="0" w:space="0" w:color="auto"/>
        <w:bottom w:val="none" w:sz="0" w:space="0" w:color="auto"/>
        <w:right w:val="none" w:sz="0" w:space="0" w:color="auto"/>
      </w:divBdr>
    </w:div>
    <w:div w:id="2024823025">
      <w:bodyDiv w:val="1"/>
      <w:marLeft w:val="0"/>
      <w:marRight w:val="0"/>
      <w:marTop w:val="0"/>
      <w:marBottom w:val="0"/>
      <w:divBdr>
        <w:top w:val="none" w:sz="0" w:space="0" w:color="auto"/>
        <w:left w:val="none" w:sz="0" w:space="0" w:color="auto"/>
        <w:bottom w:val="none" w:sz="0" w:space="0" w:color="auto"/>
        <w:right w:val="none" w:sz="0" w:space="0" w:color="auto"/>
      </w:divBdr>
    </w:div>
    <w:div w:id="2024933705">
      <w:bodyDiv w:val="1"/>
      <w:marLeft w:val="0"/>
      <w:marRight w:val="0"/>
      <w:marTop w:val="0"/>
      <w:marBottom w:val="0"/>
      <w:divBdr>
        <w:top w:val="none" w:sz="0" w:space="0" w:color="auto"/>
        <w:left w:val="none" w:sz="0" w:space="0" w:color="auto"/>
        <w:bottom w:val="none" w:sz="0" w:space="0" w:color="auto"/>
        <w:right w:val="none" w:sz="0" w:space="0" w:color="auto"/>
      </w:divBdr>
    </w:div>
    <w:div w:id="2024940787">
      <w:bodyDiv w:val="1"/>
      <w:marLeft w:val="0"/>
      <w:marRight w:val="0"/>
      <w:marTop w:val="0"/>
      <w:marBottom w:val="0"/>
      <w:divBdr>
        <w:top w:val="none" w:sz="0" w:space="0" w:color="auto"/>
        <w:left w:val="none" w:sz="0" w:space="0" w:color="auto"/>
        <w:bottom w:val="none" w:sz="0" w:space="0" w:color="auto"/>
        <w:right w:val="none" w:sz="0" w:space="0" w:color="auto"/>
      </w:divBdr>
    </w:div>
    <w:div w:id="2025009245">
      <w:bodyDiv w:val="1"/>
      <w:marLeft w:val="0"/>
      <w:marRight w:val="0"/>
      <w:marTop w:val="0"/>
      <w:marBottom w:val="0"/>
      <w:divBdr>
        <w:top w:val="none" w:sz="0" w:space="0" w:color="auto"/>
        <w:left w:val="none" w:sz="0" w:space="0" w:color="auto"/>
        <w:bottom w:val="none" w:sz="0" w:space="0" w:color="auto"/>
        <w:right w:val="none" w:sz="0" w:space="0" w:color="auto"/>
      </w:divBdr>
    </w:div>
    <w:div w:id="2025015216">
      <w:bodyDiv w:val="1"/>
      <w:marLeft w:val="0"/>
      <w:marRight w:val="0"/>
      <w:marTop w:val="0"/>
      <w:marBottom w:val="0"/>
      <w:divBdr>
        <w:top w:val="none" w:sz="0" w:space="0" w:color="auto"/>
        <w:left w:val="none" w:sz="0" w:space="0" w:color="auto"/>
        <w:bottom w:val="none" w:sz="0" w:space="0" w:color="auto"/>
        <w:right w:val="none" w:sz="0" w:space="0" w:color="auto"/>
      </w:divBdr>
    </w:div>
    <w:div w:id="2025160100">
      <w:bodyDiv w:val="1"/>
      <w:marLeft w:val="0"/>
      <w:marRight w:val="0"/>
      <w:marTop w:val="0"/>
      <w:marBottom w:val="0"/>
      <w:divBdr>
        <w:top w:val="none" w:sz="0" w:space="0" w:color="auto"/>
        <w:left w:val="none" w:sz="0" w:space="0" w:color="auto"/>
        <w:bottom w:val="none" w:sz="0" w:space="0" w:color="auto"/>
        <w:right w:val="none" w:sz="0" w:space="0" w:color="auto"/>
      </w:divBdr>
    </w:div>
    <w:div w:id="2025201655">
      <w:bodyDiv w:val="1"/>
      <w:marLeft w:val="0"/>
      <w:marRight w:val="0"/>
      <w:marTop w:val="0"/>
      <w:marBottom w:val="0"/>
      <w:divBdr>
        <w:top w:val="none" w:sz="0" w:space="0" w:color="auto"/>
        <w:left w:val="none" w:sz="0" w:space="0" w:color="auto"/>
        <w:bottom w:val="none" w:sz="0" w:space="0" w:color="auto"/>
        <w:right w:val="none" w:sz="0" w:space="0" w:color="auto"/>
      </w:divBdr>
    </w:div>
    <w:div w:id="2025201663">
      <w:bodyDiv w:val="1"/>
      <w:marLeft w:val="0"/>
      <w:marRight w:val="0"/>
      <w:marTop w:val="0"/>
      <w:marBottom w:val="0"/>
      <w:divBdr>
        <w:top w:val="none" w:sz="0" w:space="0" w:color="auto"/>
        <w:left w:val="none" w:sz="0" w:space="0" w:color="auto"/>
        <w:bottom w:val="none" w:sz="0" w:space="0" w:color="auto"/>
        <w:right w:val="none" w:sz="0" w:space="0" w:color="auto"/>
      </w:divBdr>
    </w:div>
    <w:div w:id="2025209732">
      <w:bodyDiv w:val="1"/>
      <w:marLeft w:val="0"/>
      <w:marRight w:val="0"/>
      <w:marTop w:val="0"/>
      <w:marBottom w:val="0"/>
      <w:divBdr>
        <w:top w:val="none" w:sz="0" w:space="0" w:color="auto"/>
        <w:left w:val="none" w:sz="0" w:space="0" w:color="auto"/>
        <w:bottom w:val="none" w:sz="0" w:space="0" w:color="auto"/>
        <w:right w:val="none" w:sz="0" w:space="0" w:color="auto"/>
      </w:divBdr>
    </w:div>
    <w:div w:id="2025283785">
      <w:bodyDiv w:val="1"/>
      <w:marLeft w:val="0"/>
      <w:marRight w:val="0"/>
      <w:marTop w:val="0"/>
      <w:marBottom w:val="0"/>
      <w:divBdr>
        <w:top w:val="none" w:sz="0" w:space="0" w:color="auto"/>
        <w:left w:val="none" w:sz="0" w:space="0" w:color="auto"/>
        <w:bottom w:val="none" w:sz="0" w:space="0" w:color="auto"/>
        <w:right w:val="none" w:sz="0" w:space="0" w:color="auto"/>
      </w:divBdr>
    </w:div>
    <w:div w:id="2025353743">
      <w:bodyDiv w:val="1"/>
      <w:marLeft w:val="0"/>
      <w:marRight w:val="0"/>
      <w:marTop w:val="0"/>
      <w:marBottom w:val="0"/>
      <w:divBdr>
        <w:top w:val="none" w:sz="0" w:space="0" w:color="auto"/>
        <w:left w:val="none" w:sz="0" w:space="0" w:color="auto"/>
        <w:bottom w:val="none" w:sz="0" w:space="0" w:color="auto"/>
        <w:right w:val="none" w:sz="0" w:space="0" w:color="auto"/>
      </w:divBdr>
    </w:div>
    <w:div w:id="2025401827">
      <w:bodyDiv w:val="1"/>
      <w:marLeft w:val="0"/>
      <w:marRight w:val="0"/>
      <w:marTop w:val="0"/>
      <w:marBottom w:val="0"/>
      <w:divBdr>
        <w:top w:val="none" w:sz="0" w:space="0" w:color="auto"/>
        <w:left w:val="none" w:sz="0" w:space="0" w:color="auto"/>
        <w:bottom w:val="none" w:sz="0" w:space="0" w:color="auto"/>
        <w:right w:val="none" w:sz="0" w:space="0" w:color="auto"/>
      </w:divBdr>
    </w:div>
    <w:div w:id="2025473577">
      <w:bodyDiv w:val="1"/>
      <w:marLeft w:val="0"/>
      <w:marRight w:val="0"/>
      <w:marTop w:val="0"/>
      <w:marBottom w:val="0"/>
      <w:divBdr>
        <w:top w:val="none" w:sz="0" w:space="0" w:color="auto"/>
        <w:left w:val="none" w:sz="0" w:space="0" w:color="auto"/>
        <w:bottom w:val="none" w:sz="0" w:space="0" w:color="auto"/>
        <w:right w:val="none" w:sz="0" w:space="0" w:color="auto"/>
      </w:divBdr>
    </w:div>
    <w:div w:id="2025479146">
      <w:bodyDiv w:val="1"/>
      <w:marLeft w:val="0"/>
      <w:marRight w:val="0"/>
      <w:marTop w:val="0"/>
      <w:marBottom w:val="0"/>
      <w:divBdr>
        <w:top w:val="none" w:sz="0" w:space="0" w:color="auto"/>
        <w:left w:val="none" w:sz="0" w:space="0" w:color="auto"/>
        <w:bottom w:val="none" w:sz="0" w:space="0" w:color="auto"/>
        <w:right w:val="none" w:sz="0" w:space="0" w:color="auto"/>
      </w:divBdr>
    </w:div>
    <w:div w:id="2025521461">
      <w:bodyDiv w:val="1"/>
      <w:marLeft w:val="0"/>
      <w:marRight w:val="0"/>
      <w:marTop w:val="0"/>
      <w:marBottom w:val="0"/>
      <w:divBdr>
        <w:top w:val="none" w:sz="0" w:space="0" w:color="auto"/>
        <w:left w:val="none" w:sz="0" w:space="0" w:color="auto"/>
        <w:bottom w:val="none" w:sz="0" w:space="0" w:color="auto"/>
        <w:right w:val="none" w:sz="0" w:space="0" w:color="auto"/>
      </w:divBdr>
    </w:div>
    <w:div w:id="2025667172">
      <w:bodyDiv w:val="1"/>
      <w:marLeft w:val="0"/>
      <w:marRight w:val="0"/>
      <w:marTop w:val="0"/>
      <w:marBottom w:val="0"/>
      <w:divBdr>
        <w:top w:val="none" w:sz="0" w:space="0" w:color="auto"/>
        <w:left w:val="none" w:sz="0" w:space="0" w:color="auto"/>
        <w:bottom w:val="none" w:sz="0" w:space="0" w:color="auto"/>
        <w:right w:val="none" w:sz="0" w:space="0" w:color="auto"/>
      </w:divBdr>
    </w:div>
    <w:div w:id="2025747965">
      <w:bodyDiv w:val="1"/>
      <w:marLeft w:val="0"/>
      <w:marRight w:val="0"/>
      <w:marTop w:val="0"/>
      <w:marBottom w:val="0"/>
      <w:divBdr>
        <w:top w:val="none" w:sz="0" w:space="0" w:color="auto"/>
        <w:left w:val="none" w:sz="0" w:space="0" w:color="auto"/>
        <w:bottom w:val="none" w:sz="0" w:space="0" w:color="auto"/>
        <w:right w:val="none" w:sz="0" w:space="0" w:color="auto"/>
      </w:divBdr>
    </w:div>
    <w:div w:id="2025785454">
      <w:bodyDiv w:val="1"/>
      <w:marLeft w:val="0"/>
      <w:marRight w:val="0"/>
      <w:marTop w:val="0"/>
      <w:marBottom w:val="0"/>
      <w:divBdr>
        <w:top w:val="none" w:sz="0" w:space="0" w:color="auto"/>
        <w:left w:val="none" w:sz="0" w:space="0" w:color="auto"/>
        <w:bottom w:val="none" w:sz="0" w:space="0" w:color="auto"/>
        <w:right w:val="none" w:sz="0" w:space="0" w:color="auto"/>
      </w:divBdr>
    </w:div>
    <w:div w:id="2025789685">
      <w:bodyDiv w:val="1"/>
      <w:marLeft w:val="0"/>
      <w:marRight w:val="0"/>
      <w:marTop w:val="0"/>
      <w:marBottom w:val="0"/>
      <w:divBdr>
        <w:top w:val="none" w:sz="0" w:space="0" w:color="auto"/>
        <w:left w:val="none" w:sz="0" w:space="0" w:color="auto"/>
        <w:bottom w:val="none" w:sz="0" w:space="0" w:color="auto"/>
        <w:right w:val="none" w:sz="0" w:space="0" w:color="auto"/>
      </w:divBdr>
    </w:div>
    <w:div w:id="2026007068">
      <w:bodyDiv w:val="1"/>
      <w:marLeft w:val="0"/>
      <w:marRight w:val="0"/>
      <w:marTop w:val="0"/>
      <w:marBottom w:val="0"/>
      <w:divBdr>
        <w:top w:val="none" w:sz="0" w:space="0" w:color="auto"/>
        <w:left w:val="none" w:sz="0" w:space="0" w:color="auto"/>
        <w:bottom w:val="none" w:sz="0" w:space="0" w:color="auto"/>
        <w:right w:val="none" w:sz="0" w:space="0" w:color="auto"/>
      </w:divBdr>
    </w:div>
    <w:div w:id="2026202783">
      <w:bodyDiv w:val="1"/>
      <w:marLeft w:val="0"/>
      <w:marRight w:val="0"/>
      <w:marTop w:val="0"/>
      <w:marBottom w:val="0"/>
      <w:divBdr>
        <w:top w:val="none" w:sz="0" w:space="0" w:color="auto"/>
        <w:left w:val="none" w:sz="0" w:space="0" w:color="auto"/>
        <w:bottom w:val="none" w:sz="0" w:space="0" w:color="auto"/>
        <w:right w:val="none" w:sz="0" w:space="0" w:color="auto"/>
      </w:divBdr>
    </w:div>
    <w:div w:id="2026248339">
      <w:bodyDiv w:val="1"/>
      <w:marLeft w:val="0"/>
      <w:marRight w:val="0"/>
      <w:marTop w:val="0"/>
      <w:marBottom w:val="0"/>
      <w:divBdr>
        <w:top w:val="none" w:sz="0" w:space="0" w:color="auto"/>
        <w:left w:val="none" w:sz="0" w:space="0" w:color="auto"/>
        <w:bottom w:val="none" w:sz="0" w:space="0" w:color="auto"/>
        <w:right w:val="none" w:sz="0" w:space="0" w:color="auto"/>
      </w:divBdr>
    </w:div>
    <w:div w:id="2026395814">
      <w:bodyDiv w:val="1"/>
      <w:marLeft w:val="0"/>
      <w:marRight w:val="0"/>
      <w:marTop w:val="0"/>
      <w:marBottom w:val="0"/>
      <w:divBdr>
        <w:top w:val="none" w:sz="0" w:space="0" w:color="auto"/>
        <w:left w:val="none" w:sz="0" w:space="0" w:color="auto"/>
        <w:bottom w:val="none" w:sz="0" w:space="0" w:color="auto"/>
        <w:right w:val="none" w:sz="0" w:space="0" w:color="auto"/>
      </w:divBdr>
    </w:div>
    <w:div w:id="2026514458">
      <w:bodyDiv w:val="1"/>
      <w:marLeft w:val="0"/>
      <w:marRight w:val="0"/>
      <w:marTop w:val="0"/>
      <w:marBottom w:val="0"/>
      <w:divBdr>
        <w:top w:val="none" w:sz="0" w:space="0" w:color="auto"/>
        <w:left w:val="none" w:sz="0" w:space="0" w:color="auto"/>
        <w:bottom w:val="none" w:sz="0" w:space="0" w:color="auto"/>
        <w:right w:val="none" w:sz="0" w:space="0" w:color="auto"/>
      </w:divBdr>
    </w:div>
    <w:div w:id="2026517770">
      <w:bodyDiv w:val="1"/>
      <w:marLeft w:val="0"/>
      <w:marRight w:val="0"/>
      <w:marTop w:val="0"/>
      <w:marBottom w:val="0"/>
      <w:divBdr>
        <w:top w:val="none" w:sz="0" w:space="0" w:color="auto"/>
        <w:left w:val="none" w:sz="0" w:space="0" w:color="auto"/>
        <w:bottom w:val="none" w:sz="0" w:space="0" w:color="auto"/>
        <w:right w:val="none" w:sz="0" w:space="0" w:color="auto"/>
      </w:divBdr>
    </w:div>
    <w:div w:id="2026705834">
      <w:bodyDiv w:val="1"/>
      <w:marLeft w:val="0"/>
      <w:marRight w:val="0"/>
      <w:marTop w:val="0"/>
      <w:marBottom w:val="0"/>
      <w:divBdr>
        <w:top w:val="none" w:sz="0" w:space="0" w:color="auto"/>
        <w:left w:val="none" w:sz="0" w:space="0" w:color="auto"/>
        <w:bottom w:val="none" w:sz="0" w:space="0" w:color="auto"/>
        <w:right w:val="none" w:sz="0" w:space="0" w:color="auto"/>
      </w:divBdr>
    </w:div>
    <w:div w:id="2026783617">
      <w:bodyDiv w:val="1"/>
      <w:marLeft w:val="0"/>
      <w:marRight w:val="0"/>
      <w:marTop w:val="0"/>
      <w:marBottom w:val="0"/>
      <w:divBdr>
        <w:top w:val="none" w:sz="0" w:space="0" w:color="auto"/>
        <w:left w:val="none" w:sz="0" w:space="0" w:color="auto"/>
        <w:bottom w:val="none" w:sz="0" w:space="0" w:color="auto"/>
        <w:right w:val="none" w:sz="0" w:space="0" w:color="auto"/>
      </w:divBdr>
    </w:div>
    <w:div w:id="2026789062">
      <w:bodyDiv w:val="1"/>
      <w:marLeft w:val="0"/>
      <w:marRight w:val="0"/>
      <w:marTop w:val="0"/>
      <w:marBottom w:val="0"/>
      <w:divBdr>
        <w:top w:val="none" w:sz="0" w:space="0" w:color="auto"/>
        <w:left w:val="none" w:sz="0" w:space="0" w:color="auto"/>
        <w:bottom w:val="none" w:sz="0" w:space="0" w:color="auto"/>
        <w:right w:val="none" w:sz="0" w:space="0" w:color="auto"/>
      </w:divBdr>
    </w:div>
    <w:div w:id="2026976717">
      <w:bodyDiv w:val="1"/>
      <w:marLeft w:val="0"/>
      <w:marRight w:val="0"/>
      <w:marTop w:val="0"/>
      <w:marBottom w:val="0"/>
      <w:divBdr>
        <w:top w:val="none" w:sz="0" w:space="0" w:color="auto"/>
        <w:left w:val="none" w:sz="0" w:space="0" w:color="auto"/>
        <w:bottom w:val="none" w:sz="0" w:space="0" w:color="auto"/>
        <w:right w:val="none" w:sz="0" w:space="0" w:color="auto"/>
      </w:divBdr>
    </w:div>
    <w:div w:id="2027050639">
      <w:bodyDiv w:val="1"/>
      <w:marLeft w:val="0"/>
      <w:marRight w:val="0"/>
      <w:marTop w:val="0"/>
      <w:marBottom w:val="0"/>
      <w:divBdr>
        <w:top w:val="none" w:sz="0" w:space="0" w:color="auto"/>
        <w:left w:val="none" w:sz="0" w:space="0" w:color="auto"/>
        <w:bottom w:val="none" w:sz="0" w:space="0" w:color="auto"/>
        <w:right w:val="none" w:sz="0" w:space="0" w:color="auto"/>
      </w:divBdr>
    </w:div>
    <w:div w:id="2027441772">
      <w:bodyDiv w:val="1"/>
      <w:marLeft w:val="0"/>
      <w:marRight w:val="0"/>
      <w:marTop w:val="0"/>
      <w:marBottom w:val="0"/>
      <w:divBdr>
        <w:top w:val="none" w:sz="0" w:space="0" w:color="auto"/>
        <w:left w:val="none" w:sz="0" w:space="0" w:color="auto"/>
        <w:bottom w:val="none" w:sz="0" w:space="0" w:color="auto"/>
        <w:right w:val="none" w:sz="0" w:space="0" w:color="auto"/>
      </w:divBdr>
    </w:div>
    <w:div w:id="2027518381">
      <w:bodyDiv w:val="1"/>
      <w:marLeft w:val="0"/>
      <w:marRight w:val="0"/>
      <w:marTop w:val="0"/>
      <w:marBottom w:val="0"/>
      <w:divBdr>
        <w:top w:val="none" w:sz="0" w:space="0" w:color="auto"/>
        <w:left w:val="none" w:sz="0" w:space="0" w:color="auto"/>
        <w:bottom w:val="none" w:sz="0" w:space="0" w:color="auto"/>
        <w:right w:val="none" w:sz="0" w:space="0" w:color="auto"/>
      </w:divBdr>
    </w:div>
    <w:div w:id="2027629986">
      <w:bodyDiv w:val="1"/>
      <w:marLeft w:val="0"/>
      <w:marRight w:val="0"/>
      <w:marTop w:val="0"/>
      <w:marBottom w:val="0"/>
      <w:divBdr>
        <w:top w:val="none" w:sz="0" w:space="0" w:color="auto"/>
        <w:left w:val="none" w:sz="0" w:space="0" w:color="auto"/>
        <w:bottom w:val="none" w:sz="0" w:space="0" w:color="auto"/>
        <w:right w:val="none" w:sz="0" w:space="0" w:color="auto"/>
      </w:divBdr>
    </w:div>
    <w:div w:id="2027633434">
      <w:bodyDiv w:val="1"/>
      <w:marLeft w:val="0"/>
      <w:marRight w:val="0"/>
      <w:marTop w:val="0"/>
      <w:marBottom w:val="0"/>
      <w:divBdr>
        <w:top w:val="none" w:sz="0" w:space="0" w:color="auto"/>
        <w:left w:val="none" w:sz="0" w:space="0" w:color="auto"/>
        <w:bottom w:val="none" w:sz="0" w:space="0" w:color="auto"/>
        <w:right w:val="none" w:sz="0" w:space="0" w:color="auto"/>
      </w:divBdr>
    </w:div>
    <w:div w:id="2028091807">
      <w:bodyDiv w:val="1"/>
      <w:marLeft w:val="0"/>
      <w:marRight w:val="0"/>
      <w:marTop w:val="0"/>
      <w:marBottom w:val="0"/>
      <w:divBdr>
        <w:top w:val="none" w:sz="0" w:space="0" w:color="auto"/>
        <w:left w:val="none" w:sz="0" w:space="0" w:color="auto"/>
        <w:bottom w:val="none" w:sz="0" w:space="0" w:color="auto"/>
        <w:right w:val="none" w:sz="0" w:space="0" w:color="auto"/>
      </w:divBdr>
    </w:div>
    <w:div w:id="2028172041">
      <w:bodyDiv w:val="1"/>
      <w:marLeft w:val="0"/>
      <w:marRight w:val="0"/>
      <w:marTop w:val="0"/>
      <w:marBottom w:val="0"/>
      <w:divBdr>
        <w:top w:val="none" w:sz="0" w:space="0" w:color="auto"/>
        <w:left w:val="none" w:sz="0" w:space="0" w:color="auto"/>
        <w:bottom w:val="none" w:sz="0" w:space="0" w:color="auto"/>
        <w:right w:val="none" w:sz="0" w:space="0" w:color="auto"/>
      </w:divBdr>
    </w:div>
    <w:div w:id="2028173849">
      <w:bodyDiv w:val="1"/>
      <w:marLeft w:val="0"/>
      <w:marRight w:val="0"/>
      <w:marTop w:val="0"/>
      <w:marBottom w:val="0"/>
      <w:divBdr>
        <w:top w:val="none" w:sz="0" w:space="0" w:color="auto"/>
        <w:left w:val="none" w:sz="0" w:space="0" w:color="auto"/>
        <w:bottom w:val="none" w:sz="0" w:space="0" w:color="auto"/>
        <w:right w:val="none" w:sz="0" w:space="0" w:color="auto"/>
      </w:divBdr>
    </w:div>
    <w:div w:id="2028208770">
      <w:bodyDiv w:val="1"/>
      <w:marLeft w:val="0"/>
      <w:marRight w:val="0"/>
      <w:marTop w:val="0"/>
      <w:marBottom w:val="0"/>
      <w:divBdr>
        <w:top w:val="none" w:sz="0" w:space="0" w:color="auto"/>
        <w:left w:val="none" w:sz="0" w:space="0" w:color="auto"/>
        <w:bottom w:val="none" w:sz="0" w:space="0" w:color="auto"/>
        <w:right w:val="none" w:sz="0" w:space="0" w:color="auto"/>
      </w:divBdr>
    </w:div>
    <w:div w:id="2028480573">
      <w:bodyDiv w:val="1"/>
      <w:marLeft w:val="0"/>
      <w:marRight w:val="0"/>
      <w:marTop w:val="0"/>
      <w:marBottom w:val="0"/>
      <w:divBdr>
        <w:top w:val="none" w:sz="0" w:space="0" w:color="auto"/>
        <w:left w:val="none" w:sz="0" w:space="0" w:color="auto"/>
        <w:bottom w:val="none" w:sz="0" w:space="0" w:color="auto"/>
        <w:right w:val="none" w:sz="0" w:space="0" w:color="auto"/>
      </w:divBdr>
    </w:div>
    <w:div w:id="2028601613">
      <w:bodyDiv w:val="1"/>
      <w:marLeft w:val="0"/>
      <w:marRight w:val="0"/>
      <w:marTop w:val="0"/>
      <w:marBottom w:val="0"/>
      <w:divBdr>
        <w:top w:val="none" w:sz="0" w:space="0" w:color="auto"/>
        <w:left w:val="none" w:sz="0" w:space="0" w:color="auto"/>
        <w:bottom w:val="none" w:sz="0" w:space="0" w:color="auto"/>
        <w:right w:val="none" w:sz="0" w:space="0" w:color="auto"/>
      </w:divBdr>
    </w:div>
    <w:div w:id="2028629089">
      <w:bodyDiv w:val="1"/>
      <w:marLeft w:val="0"/>
      <w:marRight w:val="0"/>
      <w:marTop w:val="0"/>
      <w:marBottom w:val="0"/>
      <w:divBdr>
        <w:top w:val="none" w:sz="0" w:space="0" w:color="auto"/>
        <w:left w:val="none" w:sz="0" w:space="0" w:color="auto"/>
        <w:bottom w:val="none" w:sz="0" w:space="0" w:color="auto"/>
        <w:right w:val="none" w:sz="0" w:space="0" w:color="auto"/>
      </w:divBdr>
    </w:div>
    <w:div w:id="2028631235">
      <w:bodyDiv w:val="1"/>
      <w:marLeft w:val="0"/>
      <w:marRight w:val="0"/>
      <w:marTop w:val="0"/>
      <w:marBottom w:val="0"/>
      <w:divBdr>
        <w:top w:val="none" w:sz="0" w:space="0" w:color="auto"/>
        <w:left w:val="none" w:sz="0" w:space="0" w:color="auto"/>
        <w:bottom w:val="none" w:sz="0" w:space="0" w:color="auto"/>
        <w:right w:val="none" w:sz="0" w:space="0" w:color="auto"/>
      </w:divBdr>
    </w:div>
    <w:div w:id="2028672873">
      <w:bodyDiv w:val="1"/>
      <w:marLeft w:val="0"/>
      <w:marRight w:val="0"/>
      <w:marTop w:val="0"/>
      <w:marBottom w:val="0"/>
      <w:divBdr>
        <w:top w:val="none" w:sz="0" w:space="0" w:color="auto"/>
        <w:left w:val="none" w:sz="0" w:space="0" w:color="auto"/>
        <w:bottom w:val="none" w:sz="0" w:space="0" w:color="auto"/>
        <w:right w:val="none" w:sz="0" w:space="0" w:color="auto"/>
      </w:divBdr>
    </w:div>
    <w:div w:id="2028798184">
      <w:bodyDiv w:val="1"/>
      <w:marLeft w:val="0"/>
      <w:marRight w:val="0"/>
      <w:marTop w:val="0"/>
      <w:marBottom w:val="0"/>
      <w:divBdr>
        <w:top w:val="none" w:sz="0" w:space="0" w:color="auto"/>
        <w:left w:val="none" w:sz="0" w:space="0" w:color="auto"/>
        <w:bottom w:val="none" w:sz="0" w:space="0" w:color="auto"/>
        <w:right w:val="none" w:sz="0" w:space="0" w:color="auto"/>
      </w:divBdr>
    </w:div>
    <w:div w:id="2028942808">
      <w:bodyDiv w:val="1"/>
      <w:marLeft w:val="0"/>
      <w:marRight w:val="0"/>
      <w:marTop w:val="0"/>
      <w:marBottom w:val="0"/>
      <w:divBdr>
        <w:top w:val="none" w:sz="0" w:space="0" w:color="auto"/>
        <w:left w:val="none" w:sz="0" w:space="0" w:color="auto"/>
        <w:bottom w:val="none" w:sz="0" w:space="0" w:color="auto"/>
        <w:right w:val="none" w:sz="0" w:space="0" w:color="auto"/>
      </w:divBdr>
    </w:div>
    <w:div w:id="2029061850">
      <w:bodyDiv w:val="1"/>
      <w:marLeft w:val="0"/>
      <w:marRight w:val="0"/>
      <w:marTop w:val="0"/>
      <w:marBottom w:val="0"/>
      <w:divBdr>
        <w:top w:val="none" w:sz="0" w:space="0" w:color="auto"/>
        <w:left w:val="none" w:sz="0" w:space="0" w:color="auto"/>
        <w:bottom w:val="none" w:sz="0" w:space="0" w:color="auto"/>
        <w:right w:val="none" w:sz="0" w:space="0" w:color="auto"/>
      </w:divBdr>
    </w:div>
    <w:div w:id="2029061878">
      <w:bodyDiv w:val="1"/>
      <w:marLeft w:val="0"/>
      <w:marRight w:val="0"/>
      <w:marTop w:val="0"/>
      <w:marBottom w:val="0"/>
      <w:divBdr>
        <w:top w:val="none" w:sz="0" w:space="0" w:color="auto"/>
        <w:left w:val="none" w:sz="0" w:space="0" w:color="auto"/>
        <w:bottom w:val="none" w:sz="0" w:space="0" w:color="auto"/>
        <w:right w:val="none" w:sz="0" w:space="0" w:color="auto"/>
      </w:divBdr>
    </w:div>
    <w:div w:id="2029066786">
      <w:bodyDiv w:val="1"/>
      <w:marLeft w:val="0"/>
      <w:marRight w:val="0"/>
      <w:marTop w:val="0"/>
      <w:marBottom w:val="0"/>
      <w:divBdr>
        <w:top w:val="none" w:sz="0" w:space="0" w:color="auto"/>
        <w:left w:val="none" w:sz="0" w:space="0" w:color="auto"/>
        <w:bottom w:val="none" w:sz="0" w:space="0" w:color="auto"/>
        <w:right w:val="none" w:sz="0" w:space="0" w:color="auto"/>
      </w:divBdr>
    </w:div>
    <w:div w:id="2029139519">
      <w:bodyDiv w:val="1"/>
      <w:marLeft w:val="0"/>
      <w:marRight w:val="0"/>
      <w:marTop w:val="0"/>
      <w:marBottom w:val="0"/>
      <w:divBdr>
        <w:top w:val="none" w:sz="0" w:space="0" w:color="auto"/>
        <w:left w:val="none" w:sz="0" w:space="0" w:color="auto"/>
        <w:bottom w:val="none" w:sz="0" w:space="0" w:color="auto"/>
        <w:right w:val="none" w:sz="0" w:space="0" w:color="auto"/>
      </w:divBdr>
    </w:div>
    <w:div w:id="2029326896">
      <w:bodyDiv w:val="1"/>
      <w:marLeft w:val="0"/>
      <w:marRight w:val="0"/>
      <w:marTop w:val="0"/>
      <w:marBottom w:val="0"/>
      <w:divBdr>
        <w:top w:val="none" w:sz="0" w:space="0" w:color="auto"/>
        <w:left w:val="none" w:sz="0" w:space="0" w:color="auto"/>
        <w:bottom w:val="none" w:sz="0" w:space="0" w:color="auto"/>
        <w:right w:val="none" w:sz="0" w:space="0" w:color="auto"/>
      </w:divBdr>
    </w:div>
    <w:div w:id="2029402638">
      <w:bodyDiv w:val="1"/>
      <w:marLeft w:val="0"/>
      <w:marRight w:val="0"/>
      <w:marTop w:val="0"/>
      <w:marBottom w:val="0"/>
      <w:divBdr>
        <w:top w:val="none" w:sz="0" w:space="0" w:color="auto"/>
        <w:left w:val="none" w:sz="0" w:space="0" w:color="auto"/>
        <w:bottom w:val="none" w:sz="0" w:space="0" w:color="auto"/>
        <w:right w:val="none" w:sz="0" w:space="0" w:color="auto"/>
      </w:divBdr>
    </w:div>
    <w:div w:id="2029748191">
      <w:bodyDiv w:val="1"/>
      <w:marLeft w:val="0"/>
      <w:marRight w:val="0"/>
      <w:marTop w:val="0"/>
      <w:marBottom w:val="0"/>
      <w:divBdr>
        <w:top w:val="none" w:sz="0" w:space="0" w:color="auto"/>
        <w:left w:val="none" w:sz="0" w:space="0" w:color="auto"/>
        <w:bottom w:val="none" w:sz="0" w:space="0" w:color="auto"/>
        <w:right w:val="none" w:sz="0" w:space="0" w:color="auto"/>
      </w:divBdr>
    </w:div>
    <w:div w:id="2029943628">
      <w:bodyDiv w:val="1"/>
      <w:marLeft w:val="0"/>
      <w:marRight w:val="0"/>
      <w:marTop w:val="0"/>
      <w:marBottom w:val="0"/>
      <w:divBdr>
        <w:top w:val="none" w:sz="0" w:space="0" w:color="auto"/>
        <w:left w:val="none" w:sz="0" w:space="0" w:color="auto"/>
        <w:bottom w:val="none" w:sz="0" w:space="0" w:color="auto"/>
        <w:right w:val="none" w:sz="0" w:space="0" w:color="auto"/>
      </w:divBdr>
    </w:div>
    <w:div w:id="2029986987">
      <w:bodyDiv w:val="1"/>
      <w:marLeft w:val="0"/>
      <w:marRight w:val="0"/>
      <w:marTop w:val="0"/>
      <w:marBottom w:val="0"/>
      <w:divBdr>
        <w:top w:val="none" w:sz="0" w:space="0" w:color="auto"/>
        <w:left w:val="none" w:sz="0" w:space="0" w:color="auto"/>
        <w:bottom w:val="none" w:sz="0" w:space="0" w:color="auto"/>
        <w:right w:val="none" w:sz="0" w:space="0" w:color="auto"/>
      </w:divBdr>
    </w:div>
    <w:div w:id="2030056780">
      <w:bodyDiv w:val="1"/>
      <w:marLeft w:val="0"/>
      <w:marRight w:val="0"/>
      <w:marTop w:val="0"/>
      <w:marBottom w:val="0"/>
      <w:divBdr>
        <w:top w:val="none" w:sz="0" w:space="0" w:color="auto"/>
        <w:left w:val="none" w:sz="0" w:space="0" w:color="auto"/>
        <w:bottom w:val="none" w:sz="0" w:space="0" w:color="auto"/>
        <w:right w:val="none" w:sz="0" w:space="0" w:color="auto"/>
      </w:divBdr>
    </w:div>
    <w:div w:id="2030056835">
      <w:bodyDiv w:val="1"/>
      <w:marLeft w:val="0"/>
      <w:marRight w:val="0"/>
      <w:marTop w:val="0"/>
      <w:marBottom w:val="0"/>
      <w:divBdr>
        <w:top w:val="none" w:sz="0" w:space="0" w:color="auto"/>
        <w:left w:val="none" w:sz="0" w:space="0" w:color="auto"/>
        <w:bottom w:val="none" w:sz="0" w:space="0" w:color="auto"/>
        <w:right w:val="none" w:sz="0" w:space="0" w:color="auto"/>
      </w:divBdr>
    </w:div>
    <w:div w:id="2030136997">
      <w:bodyDiv w:val="1"/>
      <w:marLeft w:val="0"/>
      <w:marRight w:val="0"/>
      <w:marTop w:val="0"/>
      <w:marBottom w:val="0"/>
      <w:divBdr>
        <w:top w:val="none" w:sz="0" w:space="0" w:color="auto"/>
        <w:left w:val="none" w:sz="0" w:space="0" w:color="auto"/>
        <w:bottom w:val="none" w:sz="0" w:space="0" w:color="auto"/>
        <w:right w:val="none" w:sz="0" w:space="0" w:color="auto"/>
      </w:divBdr>
    </w:div>
    <w:div w:id="2030182807">
      <w:bodyDiv w:val="1"/>
      <w:marLeft w:val="0"/>
      <w:marRight w:val="0"/>
      <w:marTop w:val="0"/>
      <w:marBottom w:val="0"/>
      <w:divBdr>
        <w:top w:val="none" w:sz="0" w:space="0" w:color="auto"/>
        <w:left w:val="none" w:sz="0" w:space="0" w:color="auto"/>
        <w:bottom w:val="none" w:sz="0" w:space="0" w:color="auto"/>
        <w:right w:val="none" w:sz="0" w:space="0" w:color="auto"/>
      </w:divBdr>
    </w:div>
    <w:div w:id="2030258589">
      <w:bodyDiv w:val="1"/>
      <w:marLeft w:val="0"/>
      <w:marRight w:val="0"/>
      <w:marTop w:val="0"/>
      <w:marBottom w:val="0"/>
      <w:divBdr>
        <w:top w:val="none" w:sz="0" w:space="0" w:color="auto"/>
        <w:left w:val="none" w:sz="0" w:space="0" w:color="auto"/>
        <w:bottom w:val="none" w:sz="0" w:space="0" w:color="auto"/>
        <w:right w:val="none" w:sz="0" w:space="0" w:color="auto"/>
      </w:divBdr>
    </w:div>
    <w:div w:id="2030375569">
      <w:bodyDiv w:val="1"/>
      <w:marLeft w:val="0"/>
      <w:marRight w:val="0"/>
      <w:marTop w:val="0"/>
      <w:marBottom w:val="0"/>
      <w:divBdr>
        <w:top w:val="none" w:sz="0" w:space="0" w:color="auto"/>
        <w:left w:val="none" w:sz="0" w:space="0" w:color="auto"/>
        <w:bottom w:val="none" w:sz="0" w:space="0" w:color="auto"/>
        <w:right w:val="none" w:sz="0" w:space="0" w:color="auto"/>
      </w:divBdr>
    </w:div>
    <w:div w:id="2030835982">
      <w:bodyDiv w:val="1"/>
      <w:marLeft w:val="0"/>
      <w:marRight w:val="0"/>
      <w:marTop w:val="0"/>
      <w:marBottom w:val="0"/>
      <w:divBdr>
        <w:top w:val="none" w:sz="0" w:space="0" w:color="auto"/>
        <w:left w:val="none" w:sz="0" w:space="0" w:color="auto"/>
        <w:bottom w:val="none" w:sz="0" w:space="0" w:color="auto"/>
        <w:right w:val="none" w:sz="0" w:space="0" w:color="auto"/>
      </w:divBdr>
    </w:div>
    <w:div w:id="2031026185">
      <w:bodyDiv w:val="1"/>
      <w:marLeft w:val="0"/>
      <w:marRight w:val="0"/>
      <w:marTop w:val="0"/>
      <w:marBottom w:val="0"/>
      <w:divBdr>
        <w:top w:val="none" w:sz="0" w:space="0" w:color="auto"/>
        <w:left w:val="none" w:sz="0" w:space="0" w:color="auto"/>
        <w:bottom w:val="none" w:sz="0" w:space="0" w:color="auto"/>
        <w:right w:val="none" w:sz="0" w:space="0" w:color="auto"/>
      </w:divBdr>
    </w:div>
    <w:div w:id="2031104014">
      <w:bodyDiv w:val="1"/>
      <w:marLeft w:val="0"/>
      <w:marRight w:val="0"/>
      <w:marTop w:val="0"/>
      <w:marBottom w:val="0"/>
      <w:divBdr>
        <w:top w:val="none" w:sz="0" w:space="0" w:color="auto"/>
        <w:left w:val="none" w:sz="0" w:space="0" w:color="auto"/>
        <w:bottom w:val="none" w:sz="0" w:space="0" w:color="auto"/>
        <w:right w:val="none" w:sz="0" w:space="0" w:color="auto"/>
      </w:divBdr>
    </w:div>
    <w:div w:id="2031179197">
      <w:bodyDiv w:val="1"/>
      <w:marLeft w:val="0"/>
      <w:marRight w:val="0"/>
      <w:marTop w:val="0"/>
      <w:marBottom w:val="0"/>
      <w:divBdr>
        <w:top w:val="none" w:sz="0" w:space="0" w:color="auto"/>
        <w:left w:val="none" w:sz="0" w:space="0" w:color="auto"/>
        <w:bottom w:val="none" w:sz="0" w:space="0" w:color="auto"/>
        <w:right w:val="none" w:sz="0" w:space="0" w:color="auto"/>
      </w:divBdr>
    </w:div>
    <w:div w:id="2031447902">
      <w:bodyDiv w:val="1"/>
      <w:marLeft w:val="0"/>
      <w:marRight w:val="0"/>
      <w:marTop w:val="0"/>
      <w:marBottom w:val="0"/>
      <w:divBdr>
        <w:top w:val="none" w:sz="0" w:space="0" w:color="auto"/>
        <w:left w:val="none" w:sz="0" w:space="0" w:color="auto"/>
        <w:bottom w:val="none" w:sz="0" w:space="0" w:color="auto"/>
        <w:right w:val="none" w:sz="0" w:space="0" w:color="auto"/>
      </w:divBdr>
    </w:div>
    <w:div w:id="2031635941">
      <w:bodyDiv w:val="1"/>
      <w:marLeft w:val="0"/>
      <w:marRight w:val="0"/>
      <w:marTop w:val="0"/>
      <w:marBottom w:val="0"/>
      <w:divBdr>
        <w:top w:val="none" w:sz="0" w:space="0" w:color="auto"/>
        <w:left w:val="none" w:sz="0" w:space="0" w:color="auto"/>
        <w:bottom w:val="none" w:sz="0" w:space="0" w:color="auto"/>
        <w:right w:val="none" w:sz="0" w:space="0" w:color="auto"/>
      </w:divBdr>
    </w:div>
    <w:div w:id="2031636274">
      <w:bodyDiv w:val="1"/>
      <w:marLeft w:val="0"/>
      <w:marRight w:val="0"/>
      <w:marTop w:val="0"/>
      <w:marBottom w:val="0"/>
      <w:divBdr>
        <w:top w:val="none" w:sz="0" w:space="0" w:color="auto"/>
        <w:left w:val="none" w:sz="0" w:space="0" w:color="auto"/>
        <w:bottom w:val="none" w:sz="0" w:space="0" w:color="auto"/>
        <w:right w:val="none" w:sz="0" w:space="0" w:color="auto"/>
      </w:divBdr>
    </w:div>
    <w:div w:id="2031753951">
      <w:bodyDiv w:val="1"/>
      <w:marLeft w:val="0"/>
      <w:marRight w:val="0"/>
      <w:marTop w:val="0"/>
      <w:marBottom w:val="0"/>
      <w:divBdr>
        <w:top w:val="none" w:sz="0" w:space="0" w:color="auto"/>
        <w:left w:val="none" w:sz="0" w:space="0" w:color="auto"/>
        <w:bottom w:val="none" w:sz="0" w:space="0" w:color="auto"/>
        <w:right w:val="none" w:sz="0" w:space="0" w:color="auto"/>
      </w:divBdr>
    </w:div>
    <w:div w:id="2031838765">
      <w:bodyDiv w:val="1"/>
      <w:marLeft w:val="0"/>
      <w:marRight w:val="0"/>
      <w:marTop w:val="0"/>
      <w:marBottom w:val="0"/>
      <w:divBdr>
        <w:top w:val="none" w:sz="0" w:space="0" w:color="auto"/>
        <w:left w:val="none" w:sz="0" w:space="0" w:color="auto"/>
        <w:bottom w:val="none" w:sz="0" w:space="0" w:color="auto"/>
        <w:right w:val="none" w:sz="0" w:space="0" w:color="auto"/>
      </w:divBdr>
    </w:div>
    <w:div w:id="2031951404">
      <w:bodyDiv w:val="1"/>
      <w:marLeft w:val="0"/>
      <w:marRight w:val="0"/>
      <w:marTop w:val="0"/>
      <w:marBottom w:val="0"/>
      <w:divBdr>
        <w:top w:val="none" w:sz="0" w:space="0" w:color="auto"/>
        <w:left w:val="none" w:sz="0" w:space="0" w:color="auto"/>
        <w:bottom w:val="none" w:sz="0" w:space="0" w:color="auto"/>
        <w:right w:val="none" w:sz="0" w:space="0" w:color="auto"/>
      </w:divBdr>
    </w:div>
    <w:div w:id="2032023093">
      <w:bodyDiv w:val="1"/>
      <w:marLeft w:val="0"/>
      <w:marRight w:val="0"/>
      <w:marTop w:val="0"/>
      <w:marBottom w:val="0"/>
      <w:divBdr>
        <w:top w:val="none" w:sz="0" w:space="0" w:color="auto"/>
        <w:left w:val="none" w:sz="0" w:space="0" w:color="auto"/>
        <w:bottom w:val="none" w:sz="0" w:space="0" w:color="auto"/>
        <w:right w:val="none" w:sz="0" w:space="0" w:color="auto"/>
      </w:divBdr>
    </w:div>
    <w:div w:id="2032100687">
      <w:bodyDiv w:val="1"/>
      <w:marLeft w:val="0"/>
      <w:marRight w:val="0"/>
      <w:marTop w:val="0"/>
      <w:marBottom w:val="0"/>
      <w:divBdr>
        <w:top w:val="none" w:sz="0" w:space="0" w:color="auto"/>
        <w:left w:val="none" w:sz="0" w:space="0" w:color="auto"/>
        <w:bottom w:val="none" w:sz="0" w:space="0" w:color="auto"/>
        <w:right w:val="none" w:sz="0" w:space="0" w:color="auto"/>
      </w:divBdr>
    </w:div>
    <w:div w:id="2032148066">
      <w:bodyDiv w:val="1"/>
      <w:marLeft w:val="0"/>
      <w:marRight w:val="0"/>
      <w:marTop w:val="0"/>
      <w:marBottom w:val="0"/>
      <w:divBdr>
        <w:top w:val="none" w:sz="0" w:space="0" w:color="auto"/>
        <w:left w:val="none" w:sz="0" w:space="0" w:color="auto"/>
        <w:bottom w:val="none" w:sz="0" w:space="0" w:color="auto"/>
        <w:right w:val="none" w:sz="0" w:space="0" w:color="auto"/>
      </w:divBdr>
    </w:div>
    <w:div w:id="2032292157">
      <w:bodyDiv w:val="1"/>
      <w:marLeft w:val="0"/>
      <w:marRight w:val="0"/>
      <w:marTop w:val="0"/>
      <w:marBottom w:val="0"/>
      <w:divBdr>
        <w:top w:val="none" w:sz="0" w:space="0" w:color="auto"/>
        <w:left w:val="none" w:sz="0" w:space="0" w:color="auto"/>
        <w:bottom w:val="none" w:sz="0" w:space="0" w:color="auto"/>
        <w:right w:val="none" w:sz="0" w:space="0" w:color="auto"/>
      </w:divBdr>
    </w:div>
    <w:div w:id="2032339536">
      <w:bodyDiv w:val="1"/>
      <w:marLeft w:val="0"/>
      <w:marRight w:val="0"/>
      <w:marTop w:val="0"/>
      <w:marBottom w:val="0"/>
      <w:divBdr>
        <w:top w:val="none" w:sz="0" w:space="0" w:color="auto"/>
        <w:left w:val="none" w:sz="0" w:space="0" w:color="auto"/>
        <w:bottom w:val="none" w:sz="0" w:space="0" w:color="auto"/>
        <w:right w:val="none" w:sz="0" w:space="0" w:color="auto"/>
      </w:divBdr>
    </w:div>
    <w:div w:id="2032484885">
      <w:bodyDiv w:val="1"/>
      <w:marLeft w:val="0"/>
      <w:marRight w:val="0"/>
      <w:marTop w:val="0"/>
      <w:marBottom w:val="0"/>
      <w:divBdr>
        <w:top w:val="none" w:sz="0" w:space="0" w:color="auto"/>
        <w:left w:val="none" w:sz="0" w:space="0" w:color="auto"/>
        <w:bottom w:val="none" w:sz="0" w:space="0" w:color="auto"/>
        <w:right w:val="none" w:sz="0" w:space="0" w:color="auto"/>
      </w:divBdr>
    </w:div>
    <w:div w:id="2032490440">
      <w:bodyDiv w:val="1"/>
      <w:marLeft w:val="0"/>
      <w:marRight w:val="0"/>
      <w:marTop w:val="0"/>
      <w:marBottom w:val="0"/>
      <w:divBdr>
        <w:top w:val="none" w:sz="0" w:space="0" w:color="auto"/>
        <w:left w:val="none" w:sz="0" w:space="0" w:color="auto"/>
        <w:bottom w:val="none" w:sz="0" w:space="0" w:color="auto"/>
        <w:right w:val="none" w:sz="0" w:space="0" w:color="auto"/>
      </w:divBdr>
    </w:div>
    <w:div w:id="2032873038">
      <w:bodyDiv w:val="1"/>
      <w:marLeft w:val="0"/>
      <w:marRight w:val="0"/>
      <w:marTop w:val="0"/>
      <w:marBottom w:val="0"/>
      <w:divBdr>
        <w:top w:val="none" w:sz="0" w:space="0" w:color="auto"/>
        <w:left w:val="none" w:sz="0" w:space="0" w:color="auto"/>
        <w:bottom w:val="none" w:sz="0" w:space="0" w:color="auto"/>
        <w:right w:val="none" w:sz="0" w:space="0" w:color="auto"/>
      </w:divBdr>
    </w:div>
    <w:div w:id="2032873875">
      <w:bodyDiv w:val="1"/>
      <w:marLeft w:val="0"/>
      <w:marRight w:val="0"/>
      <w:marTop w:val="0"/>
      <w:marBottom w:val="0"/>
      <w:divBdr>
        <w:top w:val="none" w:sz="0" w:space="0" w:color="auto"/>
        <w:left w:val="none" w:sz="0" w:space="0" w:color="auto"/>
        <w:bottom w:val="none" w:sz="0" w:space="0" w:color="auto"/>
        <w:right w:val="none" w:sz="0" w:space="0" w:color="auto"/>
      </w:divBdr>
    </w:div>
    <w:div w:id="2032998136">
      <w:bodyDiv w:val="1"/>
      <w:marLeft w:val="0"/>
      <w:marRight w:val="0"/>
      <w:marTop w:val="0"/>
      <w:marBottom w:val="0"/>
      <w:divBdr>
        <w:top w:val="none" w:sz="0" w:space="0" w:color="auto"/>
        <w:left w:val="none" w:sz="0" w:space="0" w:color="auto"/>
        <w:bottom w:val="none" w:sz="0" w:space="0" w:color="auto"/>
        <w:right w:val="none" w:sz="0" w:space="0" w:color="auto"/>
      </w:divBdr>
    </w:div>
    <w:div w:id="2033024590">
      <w:bodyDiv w:val="1"/>
      <w:marLeft w:val="0"/>
      <w:marRight w:val="0"/>
      <w:marTop w:val="0"/>
      <w:marBottom w:val="0"/>
      <w:divBdr>
        <w:top w:val="none" w:sz="0" w:space="0" w:color="auto"/>
        <w:left w:val="none" w:sz="0" w:space="0" w:color="auto"/>
        <w:bottom w:val="none" w:sz="0" w:space="0" w:color="auto"/>
        <w:right w:val="none" w:sz="0" w:space="0" w:color="auto"/>
      </w:divBdr>
    </w:div>
    <w:div w:id="2033071981">
      <w:bodyDiv w:val="1"/>
      <w:marLeft w:val="0"/>
      <w:marRight w:val="0"/>
      <w:marTop w:val="0"/>
      <w:marBottom w:val="0"/>
      <w:divBdr>
        <w:top w:val="none" w:sz="0" w:space="0" w:color="auto"/>
        <w:left w:val="none" w:sz="0" w:space="0" w:color="auto"/>
        <w:bottom w:val="none" w:sz="0" w:space="0" w:color="auto"/>
        <w:right w:val="none" w:sz="0" w:space="0" w:color="auto"/>
      </w:divBdr>
    </w:div>
    <w:div w:id="2033142494">
      <w:bodyDiv w:val="1"/>
      <w:marLeft w:val="0"/>
      <w:marRight w:val="0"/>
      <w:marTop w:val="0"/>
      <w:marBottom w:val="0"/>
      <w:divBdr>
        <w:top w:val="none" w:sz="0" w:space="0" w:color="auto"/>
        <w:left w:val="none" w:sz="0" w:space="0" w:color="auto"/>
        <w:bottom w:val="none" w:sz="0" w:space="0" w:color="auto"/>
        <w:right w:val="none" w:sz="0" w:space="0" w:color="auto"/>
      </w:divBdr>
    </w:div>
    <w:div w:id="2033267156">
      <w:bodyDiv w:val="1"/>
      <w:marLeft w:val="0"/>
      <w:marRight w:val="0"/>
      <w:marTop w:val="0"/>
      <w:marBottom w:val="0"/>
      <w:divBdr>
        <w:top w:val="none" w:sz="0" w:space="0" w:color="auto"/>
        <w:left w:val="none" w:sz="0" w:space="0" w:color="auto"/>
        <w:bottom w:val="none" w:sz="0" w:space="0" w:color="auto"/>
        <w:right w:val="none" w:sz="0" w:space="0" w:color="auto"/>
      </w:divBdr>
    </w:div>
    <w:div w:id="2033340057">
      <w:bodyDiv w:val="1"/>
      <w:marLeft w:val="0"/>
      <w:marRight w:val="0"/>
      <w:marTop w:val="0"/>
      <w:marBottom w:val="0"/>
      <w:divBdr>
        <w:top w:val="none" w:sz="0" w:space="0" w:color="auto"/>
        <w:left w:val="none" w:sz="0" w:space="0" w:color="auto"/>
        <w:bottom w:val="none" w:sz="0" w:space="0" w:color="auto"/>
        <w:right w:val="none" w:sz="0" w:space="0" w:color="auto"/>
      </w:divBdr>
    </w:div>
    <w:div w:id="2033455120">
      <w:bodyDiv w:val="1"/>
      <w:marLeft w:val="0"/>
      <w:marRight w:val="0"/>
      <w:marTop w:val="0"/>
      <w:marBottom w:val="0"/>
      <w:divBdr>
        <w:top w:val="none" w:sz="0" w:space="0" w:color="auto"/>
        <w:left w:val="none" w:sz="0" w:space="0" w:color="auto"/>
        <w:bottom w:val="none" w:sz="0" w:space="0" w:color="auto"/>
        <w:right w:val="none" w:sz="0" w:space="0" w:color="auto"/>
      </w:divBdr>
    </w:div>
    <w:div w:id="2033455476">
      <w:bodyDiv w:val="1"/>
      <w:marLeft w:val="0"/>
      <w:marRight w:val="0"/>
      <w:marTop w:val="0"/>
      <w:marBottom w:val="0"/>
      <w:divBdr>
        <w:top w:val="none" w:sz="0" w:space="0" w:color="auto"/>
        <w:left w:val="none" w:sz="0" w:space="0" w:color="auto"/>
        <w:bottom w:val="none" w:sz="0" w:space="0" w:color="auto"/>
        <w:right w:val="none" w:sz="0" w:space="0" w:color="auto"/>
      </w:divBdr>
    </w:div>
    <w:div w:id="2033534675">
      <w:bodyDiv w:val="1"/>
      <w:marLeft w:val="0"/>
      <w:marRight w:val="0"/>
      <w:marTop w:val="0"/>
      <w:marBottom w:val="0"/>
      <w:divBdr>
        <w:top w:val="none" w:sz="0" w:space="0" w:color="auto"/>
        <w:left w:val="none" w:sz="0" w:space="0" w:color="auto"/>
        <w:bottom w:val="none" w:sz="0" w:space="0" w:color="auto"/>
        <w:right w:val="none" w:sz="0" w:space="0" w:color="auto"/>
      </w:divBdr>
    </w:div>
    <w:div w:id="2034065729">
      <w:bodyDiv w:val="1"/>
      <w:marLeft w:val="0"/>
      <w:marRight w:val="0"/>
      <w:marTop w:val="0"/>
      <w:marBottom w:val="0"/>
      <w:divBdr>
        <w:top w:val="none" w:sz="0" w:space="0" w:color="auto"/>
        <w:left w:val="none" w:sz="0" w:space="0" w:color="auto"/>
        <w:bottom w:val="none" w:sz="0" w:space="0" w:color="auto"/>
        <w:right w:val="none" w:sz="0" w:space="0" w:color="auto"/>
      </w:divBdr>
    </w:div>
    <w:div w:id="2034067086">
      <w:bodyDiv w:val="1"/>
      <w:marLeft w:val="0"/>
      <w:marRight w:val="0"/>
      <w:marTop w:val="0"/>
      <w:marBottom w:val="0"/>
      <w:divBdr>
        <w:top w:val="none" w:sz="0" w:space="0" w:color="auto"/>
        <w:left w:val="none" w:sz="0" w:space="0" w:color="auto"/>
        <w:bottom w:val="none" w:sz="0" w:space="0" w:color="auto"/>
        <w:right w:val="none" w:sz="0" w:space="0" w:color="auto"/>
      </w:divBdr>
    </w:div>
    <w:div w:id="2034303431">
      <w:bodyDiv w:val="1"/>
      <w:marLeft w:val="0"/>
      <w:marRight w:val="0"/>
      <w:marTop w:val="0"/>
      <w:marBottom w:val="0"/>
      <w:divBdr>
        <w:top w:val="none" w:sz="0" w:space="0" w:color="auto"/>
        <w:left w:val="none" w:sz="0" w:space="0" w:color="auto"/>
        <w:bottom w:val="none" w:sz="0" w:space="0" w:color="auto"/>
        <w:right w:val="none" w:sz="0" w:space="0" w:color="auto"/>
      </w:divBdr>
    </w:div>
    <w:div w:id="2034452761">
      <w:bodyDiv w:val="1"/>
      <w:marLeft w:val="0"/>
      <w:marRight w:val="0"/>
      <w:marTop w:val="0"/>
      <w:marBottom w:val="0"/>
      <w:divBdr>
        <w:top w:val="none" w:sz="0" w:space="0" w:color="auto"/>
        <w:left w:val="none" w:sz="0" w:space="0" w:color="auto"/>
        <w:bottom w:val="none" w:sz="0" w:space="0" w:color="auto"/>
        <w:right w:val="none" w:sz="0" w:space="0" w:color="auto"/>
      </w:divBdr>
    </w:div>
    <w:div w:id="2034459175">
      <w:bodyDiv w:val="1"/>
      <w:marLeft w:val="0"/>
      <w:marRight w:val="0"/>
      <w:marTop w:val="0"/>
      <w:marBottom w:val="0"/>
      <w:divBdr>
        <w:top w:val="none" w:sz="0" w:space="0" w:color="auto"/>
        <w:left w:val="none" w:sz="0" w:space="0" w:color="auto"/>
        <w:bottom w:val="none" w:sz="0" w:space="0" w:color="auto"/>
        <w:right w:val="none" w:sz="0" w:space="0" w:color="auto"/>
      </w:divBdr>
    </w:div>
    <w:div w:id="2034646694">
      <w:bodyDiv w:val="1"/>
      <w:marLeft w:val="0"/>
      <w:marRight w:val="0"/>
      <w:marTop w:val="0"/>
      <w:marBottom w:val="0"/>
      <w:divBdr>
        <w:top w:val="none" w:sz="0" w:space="0" w:color="auto"/>
        <w:left w:val="none" w:sz="0" w:space="0" w:color="auto"/>
        <w:bottom w:val="none" w:sz="0" w:space="0" w:color="auto"/>
        <w:right w:val="none" w:sz="0" w:space="0" w:color="auto"/>
      </w:divBdr>
    </w:div>
    <w:div w:id="2034648420">
      <w:bodyDiv w:val="1"/>
      <w:marLeft w:val="0"/>
      <w:marRight w:val="0"/>
      <w:marTop w:val="0"/>
      <w:marBottom w:val="0"/>
      <w:divBdr>
        <w:top w:val="none" w:sz="0" w:space="0" w:color="auto"/>
        <w:left w:val="none" w:sz="0" w:space="0" w:color="auto"/>
        <w:bottom w:val="none" w:sz="0" w:space="0" w:color="auto"/>
        <w:right w:val="none" w:sz="0" w:space="0" w:color="auto"/>
      </w:divBdr>
    </w:div>
    <w:div w:id="2034723804">
      <w:bodyDiv w:val="1"/>
      <w:marLeft w:val="0"/>
      <w:marRight w:val="0"/>
      <w:marTop w:val="0"/>
      <w:marBottom w:val="0"/>
      <w:divBdr>
        <w:top w:val="none" w:sz="0" w:space="0" w:color="auto"/>
        <w:left w:val="none" w:sz="0" w:space="0" w:color="auto"/>
        <w:bottom w:val="none" w:sz="0" w:space="0" w:color="auto"/>
        <w:right w:val="none" w:sz="0" w:space="0" w:color="auto"/>
      </w:divBdr>
    </w:div>
    <w:div w:id="2034763019">
      <w:bodyDiv w:val="1"/>
      <w:marLeft w:val="0"/>
      <w:marRight w:val="0"/>
      <w:marTop w:val="0"/>
      <w:marBottom w:val="0"/>
      <w:divBdr>
        <w:top w:val="none" w:sz="0" w:space="0" w:color="auto"/>
        <w:left w:val="none" w:sz="0" w:space="0" w:color="auto"/>
        <w:bottom w:val="none" w:sz="0" w:space="0" w:color="auto"/>
        <w:right w:val="none" w:sz="0" w:space="0" w:color="auto"/>
      </w:divBdr>
    </w:div>
    <w:div w:id="2034770469">
      <w:bodyDiv w:val="1"/>
      <w:marLeft w:val="0"/>
      <w:marRight w:val="0"/>
      <w:marTop w:val="0"/>
      <w:marBottom w:val="0"/>
      <w:divBdr>
        <w:top w:val="none" w:sz="0" w:space="0" w:color="auto"/>
        <w:left w:val="none" w:sz="0" w:space="0" w:color="auto"/>
        <w:bottom w:val="none" w:sz="0" w:space="0" w:color="auto"/>
        <w:right w:val="none" w:sz="0" w:space="0" w:color="auto"/>
      </w:divBdr>
    </w:div>
    <w:div w:id="2035039337">
      <w:bodyDiv w:val="1"/>
      <w:marLeft w:val="0"/>
      <w:marRight w:val="0"/>
      <w:marTop w:val="0"/>
      <w:marBottom w:val="0"/>
      <w:divBdr>
        <w:top w:val="none" w:sz="0" w:space="0" w:color="auto"/>
        <w:left w:val="none" w:sz="0" w:space="0" w:color="auto"/>
        <w:bottom w:val="none" w:sz="0" w:space="0" w:color="auto"/>
        <w:right w:val="none" w:sz="0" w:space="0" w:color="auto"/>
      </w:divBdr>
    </w:div>
    <w:div w:id="2035418714">
      <w:bodyDiv w:val="1"/>
      <w:marLeft w:val="0"/>
      <w:marRight w:val="0"/>
      <w:marTop w:val="0"/>
      <w:marBottom w:val="0"/>
      <w:divBdr>
        <w:top w:val="none" w:sz="0" w:space="0" w:color="auto"/>
        <w:left w:val="none" w:sz="0" w:space="0" w:color="auto"/>
        <w:bottom w:val="none" w:sz="0" w:space="0" w:color="auto"/>
        <w:right w:val="none" w:sz="0" w:space="0" w:color="auto"/>
      </w:divBdr>
    </w:div>
    <w:div w:id="2035497779">
      <w:bodyDiv w:val="1"/>
      <w:marLeft w:val="0"/>
      <w:marRight w:val="0"/>
      <w:marTop w:val="0"/>
      <w:marBottom w:val="0"/>
      <w:divBdr>
        <w:top w:val="none" w:sz="0" w:space="0" w:color="auto"/>
        <w:left w:val="none" w:sz="0" w:space="0" w:color="auto"/>
        <w:bottom w:val="none" w:sz="0" w:space="0" w:color="auto"/>
        <w:right w:val="none" w:sz="0" w:space="0" w:color="auto"/>
      </w:divBdr>
    </w:div>
    <w:div w:id="2035570399">
      <w:bodyDiv w:val="1"/>
      <w:marLeft w:val="0"/>
      <w:marRight w:val="0"/>
      <w:marTop w:val="0"/>
      <w:marBottom w:val="0"/>
      <w:divBdr>
        <w:top w:val="none" w:sz="0" w:space="0" w:color="auto"/>
        <w:left w:val="none" w:sz="0" w:space="0" w:color="auto"/>
        <w:bottom w:val="none" w:sz="0" w:space="0" w:color="auto"/>
        <w:right w:val="none" w:sz="0" w:space="0" w:color="auto"/>
      </w:divBdr>
    </w:div>
    <w:div w:id="2035571145">
      <w:bodyDiv w:val="1"/>
      <w:marLeft w:val="0"/>
      <w:marRight w:val="0"/>
      <w:marTop w:val="0"/>
      <w:marBottom w:val="0"/>
      <w:divBdr>
        <w:top w:val="none" w:sz="0" w:space="0" w:color="auto"/>
        <w:left w:val="none" w:sz="0" w:space="0" w:color="auto"/>
        <w:bottom w:val="none" w:sz="0" w:space="0" w:color="auto"/>
        <w:right w:val="none" w:sz="0" w:space="0" w:color="auto"/>
      </w:divBdr>
    </w:div>
    <w:div w:id="2035576169">
      <w:bodyDiv w:val="1"/>
      <w:marLeft w:val="0"/>
      <w:marRight w:val="0"/>
      <w:marTop w:val="0"/>
      <w:marBottom w:val="0"/>
      <w:divBdr>
        <w:top w:val="none" w:sz="0" w:space="0" w:color="auto"/>
        <w:left w:val="none" w:sz="0" w:space="0" w:color="auto"/>
        <w:bottom w:val="none" w:sz="0" w:space="0" w:color="auto"/>
        <w:right w:val="none" w:sz="0" w:space="0" w:color="auto"/>
      </w:divBdr>
    </w:div>
    <w:div w:id="2035686665">
      <w:bodyDiv w:val="1"/>
      <w:marLeft w:val="0"/>
      <w:marRight w:val="0"/>
      <w:marTop w:val="0"/>
      <w:marBottom w:val="0"/>
      <w:divBdr>
        <w:top w:val="none" w:sz="0" w:space="0" w:color="auto"/>
        <w:left w:val="none" w:sz="0" w:space="0" w:color="auto"/>
        <w:bottom w:val="none" w:sz="0" w:space="0" w:color="auto"/>
        <w:right w:val="none" w:sz="0" w:space="0" w:color="auto"/>
      </w:divBdr>
    </w:div>
    <w:div w:id="2035764131">
      <w:bodyDiv w:val="1"/>
      <w:marLeft w:val="0"/>
      <w:marRight w:val="0"/>
      <w:marTop w:val="0"/>
      <w:marBottom w:val="0"/>
      <w:divBdr>
        <w:top w:val="none" w:sz="0" w:space="0" w:color="auto"/>
        <w:left w:val="none" w:sz="0" w:space="0" w:color="auto"/>
        <w:bottom w:val="none" w:sz="0" w:space="0" w:color="auto"/>
        <w:right w:val="none" w:sz="0" w:space="0" w:color="auto"/>
      </w:divBdr>
    </w:div>
    <w:div w:id="2035955909">
      <w:bodyDiv w:val="1"/>
      <w:marLeft w:val="0"/>
      <w:marRight w:val="0"/>
      <w:marTop w:val="0"/>
      <w:marBottom w:val="0"/>
      <w:divBdr>
        <w:top w:val="none" w:sz="0" w:space="0" w:color="auto"/>
        <w:left w:val="none" w:sz="0" w:space="0" w:color="auto"/>
        <w:bottom w:val="none" w:sz="0" w:space="0" w:color="auto"/>
        <w:right w:val="none" w:sz="0" w:space="0" w:color="auto"/>
      </w:divBdr>
    </w:div>
    <w:div w:id="2036032136">
      <w:bodyDiv w:val="1"/>
      <w:marLeft w:val="0"/>
      <w:marRight w:val="0"/>
      <w:marTop w:val="0"/>
      <w:marBottom w:val="0"/>
      <w:divBdr>
        <w:top w:val="none" w:sz="0" w:space="0" w:color="auto"/>
        <w:left w:val="none" w:sz="0" w:space="0" w:color="auto"/>
        <w:bottom w:val="none" w:sz="0" w:space="0" w:color="auto"/>
        <w:right w:val="none" w:sz="0" w:space="0" w:color="auto"/>
      </w:divBdr>
    </w:div>
    <w:div w:id="2036073742">
      <w:bodyDiv w:val="1"/>
      <w:marLeft w:val="0"/>
      <w:marRight w:val="0"/>
      <w:marTop w:val="0"/>
      <w:marBottom w:val="0"/>
      <w:divBdr>
        <w:top w:val="none" w:sz="0" w:space="0" w:color="auto"/>
        <w:left w:val="none" w:sz="0" w:space="0" w:color="auto"/>
        <w:bottom w:val="none" w:sz="0" w:space="0" w:color="auto"/>
        <w:right w:val="none" w:sz="0" w:space="0" w:color="auto"/>
      </w:divBdr>
    </w:div>
    <w:div w:id="2036077321">
      <w:bodyDiv w:val="1"/>
      <w:marLeft w:val="0"/>
      <w:marRight w:val="0"/>
      <w:marTop w:val="0"/>
      <w:marBottom w:val="0"/>
      <w:divBdr>
        <w:top w:val="none" w:sz="0" w:space="0" w:color="auto"/>
        <w:left w:val="none" w:sz="0" w:space="0" w:color="auto"/>
        <w:bottom w:val="none" w:sz="0" w:space="0" w:color="auto"/>
        <w:right w:val="none" w:sz="0" w:space="0" w:color="auto"/>
      </w:divBdr>
    </w:div>
    <w:div w:id="2036155056">
      <w:bodyDiv w:val="1"/>
      <w:marLeft w:val="0"/>
      <w:marRight w:val="0"/>
      <w:marTop w:val="0"/>
      <w:marBottom w:val="0"/>
      <w:divBdr>
        <w:top w:val="none" w:sz="0" w:space="0" w:color="auto"/>
        <w:left w:val="none" w:sz="0" w:space="0" w:color="auto"/>
        <w:bottom w:val="none" w:sz="0" w:space="0" w:color="auto"/>
        <w:right w:val="none" w:sz="0" w:space="0" w:color="auto"/>
      </w:divBdr>
    </w:div>
    <w:div w:id="2036347703">
      <w:bodyDiv w:val="1"/>
      <w:marLeft w:val="0"/>
      <w:marRight w:val="0"/>
      <w:marTop w:val="0"/>
      <w:marBottom w:val="0"/>
      <w:divBdr>
        <w:top w:val="none" w:sz="0" w:space="0" w:color="auto"/>
        <w:left w:val="none" w:sz="0" w:space="0" w:color="auto"/>
        <w:bottom w:val="none" w:sz="0" w:space="0" w:color="auto"/>
        <w:right w:val="none" w:sz="0" w:space="0" w:color="auto"/>
      </w:divBdr>
    </w:div>
    <w:div w:id="2036466723">
      <w:bodyDiv w:val="1"/>
      <w:marLeft w:val="0"/>
      <w:marRight w:val="0"/>
      <w:marTop w:val="0"/>
      <w:marBottom w:val="0"/>
      <w:divBdr>
        <w:top w:val="none" w:sz="0" w:space="0" w:color="auto"/>
        <w:left w:val="none" w:sz="0" w:space="0" w:color="auto"/>
        <w:bottom w:val="none" w:sz="0" w:space="0" w:color="auto"/>
        <w:right w:val="none" w:sz="0" w:space="0" w:color="auto"/>
      </w:divBdr>
    </w:div>
    <w:div w:id="2036492480">
      <w:bodyDiv w:val="1"/>
      <w:marLeft w:val="0"/>
      <w:marRight w:val="0"/>
      <w:marTop w:val="0"/>
      <w:marBottom w:val="0"/>
      <w:divBdr>
        <w:top w:val="none" w:sz="0" w:space="0" w:color="auto"/>
        <w:left w:val="none" w:sz="0" w:space="0" w:color="auto"/>
        <w:bottom w:val="none" w:sz="0" w:space="0" w:color="auto"/>
        <w:right w:val="none" w:sz="0" w:space="0" w:color="auto"/>
      </w:divBdr>
    </w:div>
    <w:div w:id="2036613217">
      <w:bodyDiv w:val="1"/>
      <w:marLeft w:val="0"/>
      <w:marRight w:val="0"/>
      <w:marTop w:val="0"/>
      <w:marBottom w:val="0"/>
      <w:divBdr>
        <w:top w:val="none" w:sz="0" w:space="0" w:color="auto"/>
        <w:left w:val="none" w:sz="0" w:space="0" w:color="auto"/>
        <w:bottom w:val="none" w:sz="0" w:space="0" w:color="auto"/>
        <w:right w:val="none" w:sz="0" w:space="0" w:color="auto"/>
      </w:divBdr>
    </w:div>
    <w:div w:id="2036617309">
      <w:bodyDiv w:val="1"/>
      <w:marLeft w:val="0"/>
      <w:marRight w:val="0"/>
      <w:marTop w:val="0"/>
      <w:marBottom w:val="0"/>
      <w:divBdr>
        <w:top w:val="none" w:sz="0" w:space="0" w:color="auto"/>
        <w:left w:val="none" w:sz="0" w:space="0" w:color="auto"/>
        <w:bottom w:val="none" w:sz="0" w:space="0" w:color="auto"/>
        <w:right w:val="none" w:sz="0" w:space="0" w:color="auto"/>
      </w:divBdr>
    </w:div>
    <w:div w:id="2036886358">
      <w:bodyDiv w:val="1"/>
      <w:marLeft w:val="0"/>
      <w:marRight w:val="0"/>
      <w:marTop w:val="0"/>
      <w:marBottom w:val="0"/>
      <w:divBdr>
        <w:top w:val="none" w:sz="0" w:space="0" w:color="auto"/>
        <w:left w:val="none" w:sz="0" w:space="0" w:color="auto"/>
        <w:bottom w:val="none" w:sz="0" w:space="0" w:color="auto"/>
        <w:right w:val="none" w:sz="0" w:space="0" w:color="auto"/>
      </w:divBdr>
    </w:div>
    <w:div w:id="2036957059">
      <w:bodyDiv w:val="1"/>
      <w:marLeft w:val="0"/>
      <w:marRight w:val="0"/>
      <w:marTop w:val="0"/>
      <w:marBottom w:val="0"/>
      <w:divBdr>
        <w:top w:val="none" w:sz="0" w:space="0" w:color="auto"/>
        <w:left w:val="none" w:sz="0" w:space="0" w:color="auto"/>
        <w:bottom w:val="none" w:sz="0" w:space="0" w:color="auto"/>
        <w:right w:val="none" w:sz="0" w:space="0" w:color="auto"/>
      </w:divBdr>
    </w:div>
    <w:div w:id="2037075815">
      <w:bodyDiv w:val="1"/>
      <w:marLeft w:val="0"/>
      <w:marRight w:val="0"/>
      <w:marTop w:val="0"/>
      <w:marBottom w:val="0"/>
      <w:divBdr>
        <w:top w:val="none" w:sz="0" w:space="0" w:color="auto"/>
        <w:left w:val="none" w:sz="0" w:space="0" w:color="auto"/>
        <w:bottom w:val="none" w:sz="0" w:space="0" w:color="auto"/>
        <w:right w:val="none" w:sz="0" w:space="0" w:color="auto"/>
      </w:divBdr>
    </w:div>
    <w:div w:id="2037078254">
      <w:bodyDiv w:val="1"/>
      <w:marLeft w:val="0"/>
      <w:marRight w:val="0"/>
      <w:marTop w:val="0"/>
      <w:marBottom w:val="0"/>
      <w:divBdr>
        <w:top w:val="none" w:sz="0" w:space="0" w:color="auto"/>
        <w:left w:val="none" w:sz="0" w:space="0" w:color="auto"/>
        <w:bottom w:val="none" w:sz="0" w:space="0" w:color="auto"/>
        <w:right w:val="none" w:sz="0" w:space="0" w:color="auto"/>
      </w:divBdr>
    </w:div>
    <w:div w:id="2037149276">
      <w:bodyDiv w:val="1"/>
      <w:marLeft w:val="0"/>
      <w:marRight w:val="0"/>
      <w:marTop w:val="0"/>
      <w:marBottom w:val="0"/>
      <w:divBdr>
        <w:top w:val="none" w:sz="0" w:space="0" w:color="auto"/>
        <w:left w:val="none" w:sz="0" w:space="0" w:color="auto"/>
        <w:bottom w:val="none" w:sz="0" w:space="0" w:color="auto"/>
        <w:right w:val="none" w:sz="0" w:space="0" w:color="auto"/>
      </w:divBdr>
    </w:div>
    <w:div w:id="2037658488">
      <w:bodyDiv w:val="1"/>
      <w:marLeft w:val="0"/>
      <w:marRight w:val="0"/>
      <w:marTop w:val="0"/>
      <w:marBottom w:val="0"/>
      <w:divBdr>
        <w:top w:val="none" w:sz="0" w:space="0" w:color="auto"/>
        <w:left w:val="none" w:sz="0" w:space="0" w:color="auto"/>
        <w:bottom w:val="none" w:sz="0" w:space="0" w:color="auto"/>
        <w:right w:val="none" w:sz="0" w:space="0" w:color="auto"/>
      </w:divBdr>
    </w:div>
    <w:div w:id="2037660162">
      <w:bodyDiv w:val="1"/>
      <w:marLeft w:val="0"/>
      <w:marRight w:val="0"/>
      <w:marTop w:val="0"/>
      <w:marBottom w:val="0"/>
      <w:divBdr>
        <w:top w:val="none" w:sz="0" w:space="0" w:color="auto"/>
        <w:left w:val="none" w:sz="0" w:space="0" w:color="auto"/>
        <w:bottom w:val="none" w:sz="0" w:space="0" w:color="auto"/>
        <w:right w:val="none" w:sz="0" w:space="0" w:color="auto"/>
      </w:divBdr>
    </w:div>
    <w:div w:id="2037735860">
      <w:bodyDiv w:val="1"/>
      <w:marLeft w:val="0"/>
      <w:marRight w:val="0"/>
      <w:marTop w:val="0"/>
      <w:marBottom w:val="0"/>
      <w:divBdr>
        <w:top w:val="none" w:sz="0" w:space="0" w:color="auto"/>
        <w:left w:val="none" w:sz="0" w:space="0" w:color="auto"/>
        <w:bottom w:val="none" w:sz="0" w:space="0" w:color="auto"/>
        <w:right w:val="none" w:sz="0" w:space="0" w:color="auto"/>
      </w:divBdr>
    </w:div>
    <w:div w:id="2037778609">
      <w:bodyDiv w:val="1"/>
      <w:marLeft w:val="0"/>
      <w:marRight w:val="0"/>
      <w:marTop w:val="0"/>
      <w:marBottom w:val="0"/>
      <w:divBdr>
        <w:top w:val="none" w:sz="0" w:space="0" w:color="auto"/>
        <w:left w:val="none" w:sz="0" w:space="0" w:color="auto"/>
        <w:bottom w:val="none" w:sz="0" w:space="0" w:color="auto"/>
        <w:right w:val="none" w:sz="0" w:space="0" w:color="auto"/>
      </w:divBdr>
    </w:div>
    <w:div w:id="2037845298">
      <w:bodyDiv w:val="1"/>
      <w:marLeft w:val="0"/>
      <w:marRight w:val="0"/>
      <w:marTop w:val="0"/>
      <w:marBottom w:val="0"/>
      <w:divBdr>
        <w:top w:val="none" w:sz="0" w:space="0" w:color="auto"/>
        <w:left w:val="none" w:sz="0" w:space="0" w:color="auto"/>
        <w:bottom w:val="none" w:sz="0" w:space="0" w:color="auto"/>
        <w:right w:val="none" w:sz="0" w:space="0" w:color="auto"/>
      </w:divBdr>
    </w:div>
    <w:div w:id="2037849407">
      <w:bodyDiv w:val="1"/>
      <w:marLeft w:val="0"/>
      <w:marRight w:val="0"/>
      <w:marTop w:val="0"/>
      <w:marBottom w:val="0"/>
      <w:divBdr>
        <w:top w:val="none" w:sz="0" w:space="0" w:color="auto"/>
        <w:left w:val="none" w:sz="0" w:space="0" w:color="auto"/>
        <w:bottom w:val="none" w:sz="0" w:space="0" w:color="auto"/>
        <w:right w:val="none" w:sz="0" w:space="0" w:color="auto"/>
      </w:divBdr>
    </w:div>
    <w:div w:id="2037921251">
      <w:bodyDiv w:val="1"/>
      <w:marLeft w:val="0"/>
      <w:marRight w:val="0"/>
      <w:marTop w:val="0"/>
      <w:marBottom w:val="0"/>
      <w:divBdr>
        <w:top w:val="none" w:sz="0" w:space="0" w:color="auto"/>
        <w:left w:val="none" w:sz="0" w:space="0" w:color="auto"/>
        <w:bottom w:val="none" w:sz="0" w:space="0" w:color="auto"/>
        <w:right w:val="none" w:sz="0" w:space="0" w:color="auto"/>
      </w:divBdr>
    </w:div>
    <w:div w:id="2038045944">
      <w:bodyDiv w:val="1"/>
      <w:marLeft w:val="0"/>
      <w:marRight w:val="0"/>
      <w:marTop w:val="0"/>
      <w:marBottom w:val="0"/>
      <w:divBdr>
        <w:top w:val="none" w:sz="0" w:space="0" w:color="auto"/>
        <w:left w:val="none" w:sz="0" w:space="0" w:color="auto"/>
        <w:bottom w:val="none" w:sz="0" w:space="0" w:color="auto"/>
        <w:right w:val="none" w:sz="0" w:space="0" w:color="auto"/>
      </w:divBdr>
    </w:div>
    <w:div w:id="2038114967">
      <w:bodyDiv w:val="1"/>
      <w:marLeft w:val="0"/>
      <w:marRight w:val="0"/>
      <w:marTop w:val="0"/>
      <w:marBottom w:val="0"/>
      <w:divBdr>
        <w:top w:val="none" w:sz="0" w:space="0" w:color="auto"/>
        <w:left w:val="none" w:sz="0" w:space="0" w:color="auto"/>
        <w:bottom w:val="none" w:sz="0" w:space="0" w:color="auto"/>
        <w:right w:val="none" w:sz="0" w:space="0" w:color="auto"/>
      </w:divBdr>
    </w:div>
    <w:div w:id="2038119538">
      <w:bodyDiv w:val="1"/>
      <w:marLeft w:val="0"/>
      <w:marRight w:val="0"/>
      <w:marTop w:val="0"/>
      <w:marBottom w:val="0"/>
      <w:divBdr>
        <w:top w:val="none" w:sz="0" w:space="0" w:color="auto"/>
        <w:left w:val="none" w:sz="0" w:space="0" w:color="auto"/>
        <w:bottom w:val="none" w:sz="0" w:space="0" w:color="auto"/>
        <w:right w:val="none" w:sz="0" w:space="0" w:color="auto"/>
      </w:divBdr>
    </w:div>
    <w:div w:id="2038191531">
      <w:bodyDiv w:val="1"/>
      <w:marLeft w:val="0"/>
      <w:marRight w:val="0"/>
      <w:marTop w:val="0"/>
      <w:marBottom w:val="0"/>
      <w:divBdr>
        <w:top w:val="none" w:sz="0" w:space="0" w:color="auto"/>
        <w:left w:val="none" w:sz="0" w:space="0" w:color="auto"/>
        <w:bottom w:val="none" w:sz="0" w:space="0" w:color="auto"/>
        <w:right w:val="none" w:sz="0" w:space="0" w:color="auto"/>
      </w:divBdr>
    </w:div>
    <w:div w:id="2038307450">
      <w:bodyDiv w:val="1"/>
      <w:marLeft w:val="0"/>
      <w:marRight w:val="0"/>
      <w:marTop w:val="0"/>
      <w:marBottom w:val="0"/>
      <w:divBdr>
        <w:top w:val="none" w:sz="0" w:space="0" w:color="auto"/>
        <w:left w:val="none" w:sz="0" w:space="0" w:color="auto"/>
        <w:bottom w:val="none" w:sz="0" w:space="0" w:color="auto"/>
        <w:right w:val="none" w:sz="0" w:space="0" w:color="auto"/>
      </w:divBdr>
    </w:div>
    <w:div w:id="2038508150">
      <w:bodyDiv w:val="1"/>
      <w:marLeft w:val="0"/>
      <w:marRight w:val="0"/>
      <w:marTop w:val="0"/>
      <w:marBottom w:val="0"/>
      <w:divBdr>
        <w:top w:val="none" w:sz="0" w:space="0" w:color="auto"/>
        <w:left w:val="none" w:sz="0" w:space="0" w:color="auto"/>
        <w:bottom w:val="none" w:sz="0" w:space="0" w:color="auto"/>
        <w:right w:val="none" w:sz="0" w:space="0" w:color="auto"/>
      </w:divBdr>
    </w:div>
    <w:div w:id="2038659722">
      <w:bodyDiv w:val="1"/>
      <w:marLeft w:val="0"/>
      <w:marRight w:val="0"/>
      <w:marTop w:val="0"/>
      <w:marBottom w:val="0"/>
      <w:divBdr>
        <w:top w:val="none" w:sz="0" w:space="0" w:color="auto"/>
        <w:left w:val="none" w:sz="0" w:space="0" w:color="auto"/>
        <w:bottom w:val="none" w:sz="0" w:space="0" w:color="auto"/>
        <w:right w:val="none" w:sz="0" w:space="0" w:color="auto"/>
      </w:divBdr>
    </w:div>
    <w:div w:id="2039040921">
      <w:bodyDiv w:val="1"/>
      <w:marLeft w:val="0"/>
      <w:marRight w:val="0"/>
      <w:marTop w:val="0"/>
      <w:marBottom w:val="0"/>
      <w:divBdr>
        <w:top w:val="none" w:sz="0" w:space="0" w:color="auto"/>
        <w:left w:val="none" w:sz="0" w:space="0" w:color="auto"/>
        <w:bottom w:val="none" w:sz="0" w:space="0" w:color="auto"/>
        <w:right w:val="none" w:sz="0" w:space="0" w:color="auto"/>
      </w:divBdr>
    </w:div>
    <w:div w:id="2039158627">
      <w:bodyDiv w:val="1"/>
      <w:marLeft w:val="0"/>
      <w:marRight w:val="0"/>
      <w:marTop w:val="0"/>
      <w:marBottom w:val="0"/>
      <w:divBdr>
        <w:top w:val="none" w:sz="0" w:space="0" w:color="auto"/>
        <w:left w:val="none" w:sz="0" w:space="0" w:color="auto"/>
        <w:bottom w:val="none" w:sz="0" w:space="0" w:color="auto"/>
        <w:right w:val="none" w:sz="0" w:space="0" w:color="auto"/>
      </w:divBdr>
    </w:div>
    <w:div w:id="2039162004">
      <w:bodyDiv w:val="1"/>
      <w:marLeft w:val="0"/>
      <w:marRight w:val="0"/>
      <w:marTop w:val="0"/>
      <w:marBottom w:val="0"/>
      <w:divBdr>
        <w:top w:val="none" w:sz="0" w:space="0" w:color="auto"/>
        <w:left w:val="none" w:sz="0" w:space="0" w:color="auto"/>
        <w:bottom w:val="none" w:sz="0" w:space="0" w:color="auto"/>
        <w:right w:val="none" w:sz="0" w:space="0" w:color="auto"/>
      </w:divBdr>
    </w:div>
    <w:div w:id="2039426194">
      <w:bodyDiv w:val="1"/>
      <w:marLeft w:val="0"/>
      <w:marRight w:val="0"/>
      <w:marTop w:val="0"/>
      <w:marBottom w:val="0"/>
      <w:divBdr>
        <w:top w:val="none" w:sz="0" w:space="0" w:color="auto"/>
        <w:left w:val="none" w:sz="0" w:space="0" w:color="auto"/>
        <w:bottom w:val="none" w:sz="0" w:space="0" w:color="auto"/>
        <w:right w:val="none" w:sz="0" w:space="0" w:color="auto"/>
      </w:divBdr>
    </w:div>
    <w:div w:id="2039499961">
      <w:bodyDiv w:val="1"/>
      <w:marLeft w:val="0"/>
      <w:marRight w:val="0"/>
      <w:marTop w:val="0"/>
      <w:marBottom w:val="0"/>
      <w:divBdr>
        <w:top w:val="none" w:sz="0" w:space="0" w:color="auto"/>
        <w:left w:val="none" w:sz="0" w:space="0" w:color="auto"/>
        <w:bottom w:val="none" w:sz="0" w:space="0" w:color="auto"/>
        <w:right w:val="none" w:sz="0" w:space="0" w:color="auto"/>
      </w:divBdr>
    </w:div>
    <w:div w:id="2039771863">
      <w:bodyDiv w:val="1"/>
      <w:marLeft w:val="0"/>
      <w:marRight w:val="0"/>
      <w:marTop w:val="0"/>
      <w:marBottom w:val="0"/>
      <w:divBdr>
        <w:top w:val="none" w:sz="0" w:space="0" w:color="auto"/>
        <w:left w:val="none" w:sz="0" w:space="0" w:color="auto"/>
        <w:bottom w:val="none" w:sz="0" w:space="0" w:color="auto"/>
        <w:right w:val="none" w:sz="0" w:space="0" w:color="auto"/>
      </w:divBdr>
    </w:div>
    <w:div w:id="2039968264">
      <w:bodyDiv w:val="1"/>
      <w:marLeft w:val="0"/>
      <w:marRight w:val="0"/>
      <w:marTop w:val="0"/>
      <w:marBottom w:val="0"/>
      <w:divBdr>
        <w:top w:val="none" w:sz="0" w:space="0" w:color="auto"/>
        <w:left w:val="none" w:sz="0" w:space="0" w:color="auto"/>
        <w:bottom w:val="none" w:sz="0" w:space="0" w:color="auto"/>
        <w:right w:val="none" w:sz="0" w:space="0" w:color="auto"/>
      </w:divBdr>
    </w:div>
    <w:div w:id="2040280330">
      <w:bodyDiv w:val="1"/>
      <w:marLeft w:val="0"/>
      <w:marRight w:val="0"/>
      <w:marTop w:val="0"/>
      <w:marBottom w:val="0"/>
      <w:divBdr>
        <w:top w:val="none" w:sz="0" w:space="0" w:color="auto"/>
        <w:left w:val="none" w:sz="0" w:space="0" w:color="auto"/>
        <w:bottom w:val="none" w:sz="0" w:space="0" w:color="auto"/>
        <w:right w:val="none" w:sz="0" w:space="0" w:color="auto"/>
      </w:divBdr>
    </w:div>
    <w:div w:id="2040281451">
      <w:bodyDiv w:val="1"/>
      <w:marLeft w:val="0"/>
      <w:marRight w:val="0"/>
      <w:marTop w:val="0"/>
      <w:marBottom w:val="0"/>
      <w:divBdr>
        <w:top w:val="none" w:sz="0" w:space="0" w:color="auto"/>
        <w:left w:val="none" w:sz="0" w:space="0" w:color="auto"/>
        <w:bottom w:val="none" w:sz="0" w:space="0" w:color="auto"/>
        <w:right w:val="none" w:sz="0" w:space="0" w:color="auto"/>
      </w:divBdr>
    </w:div>
    <w:div w:id="2040426502">
      <w:bodyDiv w:val="1"/>
      <w:marLeft w:val="0"/>
      <w:marRight w:val="0"/>
      <w:marTop w:val="0"/>
      <w:marBottom w:val="0"/>
      <w:divBdr>
        <w:top w:val="none" w:sz="0" w:space="0" w:color="auto"/>
        <w:left w:val="none" w:sz="0" w:space="0" w:color="auto"/>
        <w:bottom w:val="none" w:sz="0" w:space="0" w:color="auto"/>
        <w:right w:val="none" w:sz="0" w:space="0" w:color="auto"/>
      </w:divBdr>
    </w:div>
    <w:div w:id="2040542468">
      <w:bodyDiv w:val="1"/>
      <w:marLeft w:val="0"/>
      <w:marRight w:val="0"/>
      <w:marTop w:val="0"/>
      <w:marBottom w:val="0"/>
      <w:divBdr>
        <w:top w:val="none" w:sz="0" w:space="0" w:color="auto"/>
        <w:left w:val="none" w:sz="0" w:space="0" w:color="auto"/>
        <w:bottom w:val="none" w:sz="0" w:space="0" w:color="auto"/>
        <w:right w:val="none" w:sz="0" w:space="0" w:color="auto"/>
      </w:divBdr>
    </w:div>
    <w:div w:id="2040542848">
      <w:bodyDiv w:val="1"/>
      <w:marLeft w:val="0"/>
      <w:marRight w:val="0"/>
      <w:marTop w:val="0"/>
      <w:marBottom w:val="0"/>
      <w:divBdr>
        <w:top w:val="none" w:sz="0" w:space="0" w:color="auto"/>
        <w:left w:val="none" w:sz="0" w:space="0" w:color="auto"/>
        <w:bottom w:val="none" w:sz="0" w:space="0" w:color="auto"/>
        <w:right w:val="none" w:sz="0" w:space="0" w:color="auto"/>
      </w:divBdr>
    </w:div>
    <w:div w:id="2040663822">
      <w:bodyDiv w:val="1"/>
      <w:marLeft w:val="0"/>
      <w:marRight w:val="0"/>
      <w:marTop w:val="0"/>
      <w:marBottom w:val="0"/>
      <w:divBdr>
        <w:top w:val="none" w:sz="0" w:space="0" w:color="auto"/>
        <w:left w:val="none" w:sz="0" w:space="0" w:color="auto"/>
        <w:bottom w:val="none" w:sz="0" w:space="0" w:color="auto"/>
        <w:right w:val="none" w:sz="0" w:space="0" w:color="auto"/>
      </w:divBdr>
    </w:div>
    <w:div w:id="2040812603">
      <w:bodyDiv w:val="1"/>
      <w:marLeft w:val="0"/>
      <w:marRight w:val="0"/>
      <w:marTop w:val="0"/>
      <w:marBottom w:val="0"/>
      <w:divBdr>
        <w:top w:val="none" w:sz="0" w:space="0" w:color="auto"/>
        <w:left w:val="none" w:sz="0" w:space="0" w:color="auto"/>
        <w:bottom w:val="none" w:sz="0" w:space="0" w:color="auto"/>
        <w:right w:val="none" w:sz="0" w:space="0" w:color="auto"/>
      </w:divBdr>
    </w:div>
    <w:div w:id="2041079720">
      <w:bodyDiv w:val="1"/>
      <w:marLeft w:val="0"/>
      <w:marRight w:val="0"/>
      <w:marTop w:val="0"/>
      <w:marBottom w:val="0"/>
      <w:divBdr>
        <w:top w:val="none" w:sz="0" w:space="0" w:color="auto"/>
        <w:left w:val="none" w:sz="0" w:space="0" w:color="auto"/>
        <w:bottom w:val="none" w:sz="0" w:space="0" w:color="auto"/>
        <w:right w:val="none" w:sz="0" w:space="0" w:color="auto"/>
      </w:divBdr>
    </w:div>
    <w:div w:id="2041196742">
      <w:bodyDiv w:val="1"/>
      <w:marLeft w:val="0"/>
      <w:marRight w:val="0"/>
      <w:marTop w:val="0"/>
      <w:marBottom w:val="0"/>
      <w:divBdr>
        <w:top w:val="none" w:sz="0" w:space="0" w:color="auto"/>
        <w:left w:val="none" w:sz="0" w:space="0" w:color="auto"/>
        <w:bottom w:val="none" w:sz="0" w:space="0" w:color="auto"/>
        <w:right w:val="none" w:sz="0" w:space="0" w:color="auto"/>
      </w:divBdr>
    </w:div>
    <w:div w:id="2041320603">
      <w:bodyDiv w:val="1"/>
      <w:marLeft w:val="0"/>
      <w:marRight w:val="0"/>
      <w:marTop w:val="0"/>
      <w:marBottom w:val="0"/>
      <w:divBdr>
        <w:top w:val="none" w:sz="0" w:space="0" w:color="auto"/>
        <w:left w:val="none" w:sz="0" w:space="0" w:color="auto"/>
        <w:bottom w:val="none" w:sz="0" w:space="0" w:color="auto"/>
        <w:right w:val="none" w:sz="0" w:space="0" w:color="auto"/>
      </w:divBdr>
    </w:div>
    <w:div w:id="2041346898">
      <w:bodyDiv w:val="1"/>
      <w:marLeft w:val="0"/>
      <w:marRight w:val="0"/>
      <w:marTop w:val="0"/>
      <w:marBottom w:val="0"/>
      <w:divBdr>
        <w:top w:val="none" w:sz="0" w:space="0" w:color="auto"/>
        <w:left w:val="none" w:sz="0" w:space="0" w:color="auto"/>
        <w:bottom w:val="none" w:sz="0" w:space="0" w:color="auto"/>
        <w:right w:val="none" w:sz="0" w:space="0" w:color="auto"/>
      </w:divBdr>
    </w:div>
    <w:div w:id="2041471040">
      <w:bodyDiv w:val="1"/>
      <w:marLeft w:val="0"/>
      <w:marRight w:val="0"/>
      <w:marTop w:val="0"/>
      <w:marBottom w:val="0"/>
      <w:divBdr>
        <w:top w:val="none" w:sz="0" w:space="0" w:color="auto"/>
        <w:left w:val="none" w:sz="0" w:space="0" w:color="auto"/>
        <w:bottom w:val="none" w:sz="0" w:space="0" w:color="auto"/>
        <w:right w:val="none" w:sz="0" w:space="0" w:color="auto"/>
      </w:divBdr>
    </w:div>
    <w:div w:id="2041665070">
      <w:bodyDiv w:val="1"/>
      <w:marLeft w:val="0"/>
      <w:marRight w:val="0"/>
      <w:marTop w:val="0"/>
      <w:marBottom w:val="0"/>
      <w:divBdr>
        <w:top w:val="none" w:sz="0" w:space="0" w:color="auto"/>
        <w:left w:val="none" w:sz="0" w:space="0" w:color="auto"/>
        <w:bottom w:val="none" w:sz="0" w:space="0" w:color="auto"/>
        <w:right w:val="none" w:sz="0" w:space="0" w:color="auto"/>
      </w:divBdr>
    </w:div>
    <w:div w:id="2041858726">
      <w:bodyDiv w:val="1"/>
      <w:marLeft w:val="0"/>
      <w:marRight w:val="0"/>
      <w:marTop w:val="0"/>
      <w:marBottom w:val="0"/>
      <w:divBdr>
        <w:top w:val="none" w:sz="0" w:space="0" w:color="auto"/>
        <w:left w:val="none" w:sz="0" w:space="0" w:color="auto"/>
        <w:bottom w:val="none" w:sz="0" w:space="0" w:color="auto"/>
        <w:right w:val="none" w:sz="0" w:space="0" w:color="auto"/>
      </w:divBdr>
    </w:div>
    <w:div w:id="2041928532">
      <w:bodyDiv w:val="1"/>
      <w:marLeft w:val="0"/>
      <w:marRight w:val="0"/>
      <w:marTop w:val="0"/>
      <w:marBottom w:val="0"/>
      <w:divBdr>
        <w:top w:val="none" w:sz="0" w:space="0" w:color="auto"/>
        <w:left w:val="none" w:sz="0" w:space="0" w:color="auto"/>
        <w:bottom w:val="none" w:sz="0" w:space="0" w:color="auto"/>
        <w:right w:val="none" w:sz="0" w:space="0" w:color="auto"/>
      </w:divBdr>
    </w:div>
    <w:div w:id="2042127364">
      <w:bodyDiv w:val="1"/>
      <w:marLeft w:val="0"/>
      <w:marRight w:val="0"/>
      <w:marTop w:val="0"/>
      <w:marBottom w:val="0"/>
      <w:divBdr>
        <w:top w:val="none" w:sz="0" w:space="0" w:color="auto"/>
        <w:left w:val="none" w:sz="0" w:space="0" w:color="auto"/>
        <w:bottom w:val="none" w:sz="0" w:space="0" w:color="auto"/>
        <w:right w:val="none" w:sz="0" w:space="0" w:color="auto"/>
      </w:divBdr>
    </w:div>
    <w:div w:id="2042128446">
      <w:bodyDiv w:val="1"/>
      <w:marLeft w:val="0"/>
      <w:marRight w:val="0"/>
      <w:marTop w:val="0"/>
      <w:marBottom w:val="0"/>
      <w:divBdr>
        <w:top w:val="none" w:sz="0" w:space="0" w:color="auto"/>
        <w:left w:val="none" w:sz="0" w:space="0" w:color="auto"/>
        <w:bottom w:val="none" w:sz="0" w:space="0" w:color="auto"/>
        <w:right w:val="none" w:sz="0" w:space="0" w:color="auto"/>
      </w:divBdr>
    </w:div>
    <w:div w:id="2042170083">
      <w:bodyDiv w:val="1"/>
      <w:marLeft w:val="0"/>
      <w:marRight w:val="0"/>
      <w:marTop w:val="0"/>
      <w:marBottom w:val="0"/>
      <w:divBdr>
        <w:top w:val="none" w:sz="0" w:space="0" w:color="auto"/>
        <w:left w:val="none" w:sz="0" w:space="0" w:color="auto"/>
        <w:bottom w:val="none" w:sz="0" w:space="0" w:color="auto"/>
        <w:right w:val="none" w:sz="0" w:space="0" w:color="auto"/>
      </w:divBdr>
    </w:div>
    <w:div w:id="2042197423">
      <w:bodyDiv w:val="1"/>
      <w:marLeft w:val="0"/>
      <w:marRight w:val="0"/>
      <w:marTop w:val="0"/>
      <w:marBottom w:val="0"/>
      <w:divBdr>
        <w:top w:val="none" w:sz="0" w:space="0" w:color="auto"/>
        <w:left w:val="none" w:sz="0" w:space="0" w:color="auto"/>
        <w:bottom w:val="none" w:sz="0" w:space="0" w:color="auto"/>
        <w:right w:val="none" w:sz="0" w:space="0" w:color="auto"/>
      </w:divBdr>
    </w:div>
    <w:div w:id="2042244522">
      <w:bodyDiv w:val="1"/>
      <w:marLeft w:val="0"/>
      <w:marRight w:val="0"/>
      <w:marTop w:val="0"/>
      <w:marBottom w:val="0"/>
      <w:divBdr>
        <w:top w:val="none" w:sz="0" w:space="0" w:color="auto"/>
        <w:left w:val="none" w:sz="0" w:space="0" w:color="auto"/>
        <w:bottom w:val="none" w:sz="0" w:space="0" w:color="auto"/>
        <w:right w:val="none" w:sz="0" w:space="0" w:color="auto"/>
      </w:divBdr>
    </w:div>
    <w:div w:id="2042322742">
      <w:bodyDiv w:val="1"/>
      <w:marLeft w:val="0"/>
      <w:marRight w:val="0"/>
      <w:marTop w:val="0"/>
      <w:marBottom w:val="0"/>
      <w:divBdr>
        <w:top w:val="none" w:sz="0" w:space="0" w:color="auto"/>
        <w:left w:val="none" w:sz="0" w:space="0" w:color="auto"/>
        <w:bottom w:val="none" w:sz="0" w:space="0" w:color="auto"/>
        <w:right w:val="none" w:sz="0" w:space="0" w:color="auto"/>
      </w:divBdr>
    </w:div>
    <w:div w:id="2042434474">
      <w:bodyDiv w:val="1"/>
      <w:marLeft w:val="0"/>
      <w:marRight w:val="0"/>
      <w:marTop w:val="0"/>
      <w:marBottom w:val="0"/>
      <w:divBdr>
        <w:top w:val="none" w:sz="0" w:space="0" w:color="auto"/>
        <w:left w:val="none" w:sz="0" w:space="0" w:color="auto"/>
        <w:bottom w:val="none" w:sz="0" w:space="0" w:color="auto"/>
        <w:right w:val="none" w:sz="0" w:space="0" w:color="auto"/>
      </w:divBdr>
    </w:div>
    <w:div w:id="2042436782">
      <w:bodyDiv w:val="1"/>
      <w:marLeft w:val="0"/>
      <w:marRight w:val="0"/>
      <w:marTop w:val="0"/>
      <w:marBottom w:val="0"/>
      <w:divBdr>
        <w:top w:val="none" w:sz="0" w:space="0" w:color="auto"/>
        <w:left w:val="none" w:sz="0" w:space="0" w:color="auto"/>
        <w:bottom w:val="none" w:sz="0" w:space="0" w:color="auto"/>
        <w:right w:val="none" w:sz="0" w:space="0" w:color="auto"/>
      </w:divBdr>
    </w:div>
    <w:div w:id="2042513556">
      <w:bodyDiv w:val="1"/>
      <w:marLeft w:val="0"/>
      <w:marRight w:val="0"/>
      <w:marTop w:val="0"/>
      <w:marBottom w:val="0"/>
      <w:divBdr>
        <w:top w:val="none" w:sz="0" w:space="0" w:color="auto"/>
        <w:left w:val="none" w:sz="0" w:space="0" w:color="auto"/>
        <w:bottom w:val="none" w:sz="0" w:space="0" w:color="auto"/>
        <w:right w:val="none" w:sz="0" w:space="0" w:color="auto"/>
      </w:divBdr>
    </w:div>
    <w:div w:id="2042588394">
      <w:bodyDiv w:val="1"/>
      <w:marLeft w:val="0"/>
      <w:marRight w:val="0"/>
      <w:marTop w:val="0"/>
      <w:marBottom w:val="0"/>
      <w:divBdr>
        <w:top w:val="none" w:sz="0" w:space="0" w:color="auto"/>
        <w:left w:val="none" w:sz="0" w:space="0" w:color="auto"/>
        <w:bottom w:val="none" w:sz="0" w:space="0" w:color="auto"/>
        <w:right w:val="none" w:sz="0" w:space="0" w:color="auto"/>
      </w:divBdr>
    </w:div>
    <w:div w:id="2042633564">
      <w:bodyDiv w:val="1"/>
      <w:marLeft w:val="0"/>
      <w:marRight w:val="0"/>
      <w:marTop w:val="0"/>
      <w:marBottom w:val="0"/>
      <w:divBdr>
        <w:top w:val="none" w:sz="0" w:space="0" w:color="auto"/>
        <w:left w:val="none" w:sz="0" w:space="0" w:color="auto"/>
        <w:bottom w:val="none" w:sz="0" w:space="0" w:color="auto"/>
        <w:right w:val="none" w:sz="0" w:space="0" w:color="auto"/>
      </w:divBdr>
    </w:div>
    <w:div w:id="2042775451">
      <w:bodyDiv w:val="1"/>
      <w:marLeft w:val="0"/>
      <w:marRight w:val="0"/>
      <w:marTop w:val="0"/>
      <w:marBottom w:val="0"/>
      <w:divBdr>
        <w:top w:val="none" w:sz="0" w:space="0" w:color="auto"/>
        <w:left w:val="none" w:sz="0" w:space="0" w:color="auto"/>
        <w:bottom w:val="none" w:sz="0" w:space="0" w:color="auto"/>
        <w:right w:val="none" w:sz="0" w:space="0" w:color="auto"/>
      </w:divBdr>
    </w:div>
    <w:div w:id="2042827269">
      <w:bodyDiv w:val="1"/>
      <w:marLeft w:val="0"/>
      <w:marRight w:val="0"/>
      <w:marTop w:val="0"/>
      <w:marBottom w:val="0"/>
      <w:divBdr>
        <w:top w:val="none" w:sz="0" w:space="0" w:color="auto"/>
        <w:left w:val="none" w:sz="0" w:space="0" w:color="auto"/>
        <w:bottom w:val="none" w:sz="0" w:space="0" w:color="auto"/>
        <w:right w:val="none" w:sz="0" w:space="0" w:color="auto"/>
      </w:divBdr>
    </w:div>
    <w:div w:id="2042898160">
      <w:bodyDiv w:val="1"/>
      <w:marLeft w:val="0"/>
      <w:marRight w:val="0"/>
      <w:marTop w:val="0"/>
      <w:marBottom w:val="0"/>
      <w:divBdr>
        <w:top w:val="none" w:sz="0" w:space="0" w:color="auto"/>
        <w:left w:val="none" w:sz="0" w:space="0" w:color="auto"/>
        <w:bottom w:val="none" w:sz="0" w:space="0" w:color="auto"/>
        <w:right w:val="none" w:sz="0" w:space="0" w:color="auto"/>
      </w:divBdr>
    </w:div>
    <w:div w:id="2042970486">
      <w:bodyDiv w:val="1"/>
      <w:marLeft w:val="0"/>
      <w:marRight w:val="0"/>
      <w:marTop w:val="0"/>
      <w:marBottom w:val="0"/>
      <w:divBdr>
        <w:top w:val="none" w:sz="0" w:space="0" w:color="auto"/>
        <w:left w:val="none" w:sz="0" w:space="0" w:color="auto"/>
        <w:bottom w:val="none" w:sz="0" w:space="0" w:color="auto"/>
        <w:right w:val="none" w:sz="0" w:space="0" w:color="auto"/>
      </w:divBdr>
    </w:div>
    <w:div w:id="2043089556">
      <w:bodyDiv w:val="1"/>
      <w:marLeft w:val="0"/>
      <w:marRight w:val="0"/>
      <w:marTop w:val="0"/>
      <w:marBottom w:val="0"/>
      <w:divBdr>
        <w:top w:val="none" w:sz="0" w:space="0" w:color="auto"/>
        <w:left w:val="none" w:sz="0" w:space="0" w:color="auto"/>
        <w:bottom w:val="none" w:sz="0" w:space="0" w:color="auto"/>
        <w:right w:val="none" w:sz="0" w:space="0" w:color="auto"/>
      </w:divBdr>
    </w:div>
    <w:div w:id="2043437921">
      <w:bodyDiv w:val="1"/>
      <w:marLeft w:val="0"/>
      <w:marRight w:val="0"/>
      <w:marTop w:val="0"/>
      <w:marBottom w:val="0"/>
      <w:divBdr>
        <w:top w:val="none" w:sz="0" w:space="0" w:color="auto"/>
        <w:left w:val="none" w:sz="0" w:space="0" w:color="auto"/>
        <w:bottom w:val="none" w:sz="0" w:space="0" w:color="auto"/>
        <w:right w:val="none" w:sz="0" w:space="0" w:color="auto"/>
      </w:divBdr>
    </w:div>
    <w:div w:id="2043676003">
      <w:bodyDiv w:val="1"/>
      <w:marLeft w:val="0"/>
      <w:marRight w:val="0"/>
      <w:marTop w:val="0"/>
      <w:marBottom w:val="0"/>
      <w:divBdr>
        <w:top w:val="none" w:sz="0" w:space="0" w:color="auto"/>
        <w:left w:val="none" w:sz="0" w:space="0" w:color="auto"/>
        <w:bottom w:val="none" w:sz="0" w:space="0" w:color="auto"/>
        <w:right w:val="none" w:sz="0" w:space="0" w:color="auto"/>
      </w:divBdr>
    </w:div>
    <w:div w:id="2043743751">
      <w:bodyDiv w:val="1"/>
      <w:marLeft w:val="0"/>
      <w:marRight w:val="0"/>
      <w:marTop w:val="0"/>
      <w:marBottom w:val="0"/>
      <w:divBdr>
        <w:top w:val="none" w:sz="0" w:space="0" w:color="auto"/>
        <w:left w:val="none" w:sz="0" w:space="0" w:color="auto"/>
        <w:bottom w:val="none" w:sz="0" w:space="0" w:color="auto"/>
        <w:right w:val="none" w:sz="0" w:space="0" w:color="auto"/>
      </w:divBdr>
    </w:div>
    <w:div w:id="2043746408">
      <w:bodyDiv w:val="1"/>
      <w:marLeft w:val="0"/>
      <w:marRight w:val="0"/>
      <w:marTop w:val="0"/>
      <w:marBottom w:val="0"/>
      <w:divBdr>
        <w:top w:val="none" w:sz="0" w:space="0" w:color="auto"/>
        <w:left w:val="none" w:sz="0" w:space="0" w:color="auto"/>
        <w:bottom w:val="none" w:sz="0" w:space="0" w:color="auto"/>
        <w:right w:val="none" w:sz="0" w:space="0" w:color="auto"/>
      </w:divBdr>
    </w:div>
    <w:div w:id="2043747640">
      <w:bodyDiv w:val="1"/>
      <w:marLeft w:val="0"/>
      <w:marRight w:val="0"/>
      <w:marTop w:val="0"/>
      <w:marBottom w:val="0"/>
      <w:divBdr>
        <w:top w:val="none" w:sz="0" w:space="0" w:color="auto"/>
        <w:left w:val="none" w:sz="0" w:space="0" w:color="auto"/>
        <w:bottom w:val="none" w:sz="0" w:space="0" w:color="auto"/>
        <w:right w:val="none" w:sz="0" w:space="0" w:color="auto"/>
      </w:divBdr>
    </w:div>
    <w:div w:id="2043825434">
      <w:bodyDiv w:val="1"/>
      <w:marLeft w:val="0"/>
      <w:marRight w:val="0"/>
      <w:marTop w:val="0"/>
      <w:marBottom w:val="0"/>
      <w:divBdr>
        <w:top w:val="none" w:sz="0" w:space="0" w:color="auto"/>
        <w:left w:val="none" w:sz="0" w:space="0" w:color="auto"/>
        <w:bottom w:val="none" w:sz="0" w:space="0" w:color="auto"/>
        <w:right w:val="none" w:sz="0" w:space="0" w:color="auto"/>
      </w:divBdr>
    </w:div>
    <w:div w:id="2043899791">
      <w:bodyDiv w:val="1"/>
      <w:marLeft w:val="0"/>
      <w:marRight w:val="0"/>
      <w:marTop w:val="0"/>
      <w:marBottom w:val="0"/>
      <w:divBdr>
        <w:top w:val="none" w:sz="0" w:space="0" w:color="auto"/>
        <w:left w:val="none" w:sz="0" w:space="0" w:color="auto"/>
        <w:bottom w:val="none" w:sz="0" w:space="0" w:color="auto"/>
        <w:right w:val="none" w:sz="0" w:space="0" w:color="auto"/>
      </w:divBdr>
    </w:div>
    <w:div w:id="2044095363">
      <w:bodyDiv w:val="1"/>
      <w:marLeft w:val="0"/>
      <w:marRight w:val="0"/>
      <w:marTop w:val="0"/>
      <w:marBottom w:val="0"/>
      <w:divBdr>
        <w:top w:val="none" w:sz="0" w:space="0" w:color="auto"/>
        <w:left w:val="none" w:sz="0" w:space="0" w:color="auto"/>
        <w:bottom w:val="none" w:sz="0" w:space="0" w:color="auto"/>
        <w:right w:val="none" w:sz="0" w:space="0" w:color="auto"/>
      </w:divBdr>
    </w:div>
    <w:div w:id="2044163394">
      <w:bodyDiv w:val="1"/>
      <w:marLeft w:val="0"/>
      <w:marRight w:val="0"/>
      <w:marTop w:val="0"/>
      <w:marBottom w:val="0"/>
      <w:divBdr>
        <w:top w:val="none" w:sz="0" w:space="0" w:color="auto"/>
        <w:left w:val="none" w:sz="0" w:space="0" w:color="auto"/>
        <w:bottom w:val="none" w:sz="0" w:space="0" w:color="auto"/>
        <w:right w:val="none" w:sz="0" w:space="0" w:color="auto"/>
      </w:divBdr>
    </w:div>
    <w:div w:id="2044284140">
      <w:bodyDiv w:val="1"/>
      <w:marLeft w:val="0"/>
      <w:marRight w:val="0"/>
      <w:marTop w:val="0"/>
      <w:marBottom w:val="0"/>
      <w:divBdr>
        <w:top w:val="none" w:sz="0" w:space="0" w:color="auto"/>
        <w:left w:val="none" w:sz="0" w:space="0" w:color="auto"/>
        <w:bottom w:val="none" w:sz="0" w:space="0" w:color="auto"/>
        <w:right w:val="none" w:sz="0" w:space="0" w:color="auto"/>
      </w:divBdr>
    </w:div>
    <w:div w:id="2044357584">
      <w:bodyDiv w:val="1"/>
      <w:marLeft w:val="0"/>
      <w:marRight w:val="0"/>
      <w:marTop w:val="0"/>
      <w:marBottom w:val="0"/>
      <w:divBdr>
        <w:top w:val="none" w:sz="0" w:space="0" w:color="auto"/>
        <w:left w:val="none" w:sz="0" w:space="0" w:color="auto"/>
        <w:bottom w:val="none" w:sz="0" w:space="0" w:color="auto"/>
        <w:right w:val="none" w:sz="0" w:space="0" w:color="auto"/>
      </w:divBdr>
    </w:div>
    <w:div w:id="2044359722">
      <w:bodyDiv w:val="1"/>
      <w:marLeft w:val="0"/>
      <w:marRight w:val="0"/>
      <w:marTop w:val="0"/>
      <w:marBottom w:val="0"/>
      <w:divBdr>
        <w:top w:val="none" w:sz="0" w:space="0" w:color="auto"/>
        <w:left w:val="none" w:sz="0" w:space="0" w:color="auto"/>
        <w:bottom w:val="none" w:sz="0" w:space="0" w:color="auto"/>
        <w:right w:val="none" w:sz="0" w:space="0" w:color="auto"/>
      </w:divBdr>
    </w:div>
    <w:div w:id="2044402486">
      <w:bodyDiv w:val="1"/>
      <w:marLeft w:val="0"/>
      <w:marRight w:val="0"/>
      <w:marTop w:val="0"/>
      <w:marBottom w:val="0"/>
      <w:divBdr>
        <w:top w:val="none" w:sz="0" w:space="0" w:color="auto"/>
        <w:left w:val="none" w:sz="0" w:space="0" w:color="auto"/>
        <w:bottom w:val="none" w:sz="0" w:space="0" w:color="auto"/>
        <w:right w:val="none" w:sz="0" w:space="0" w:color="auto"/>
      </w:divBdr>
    </w:div>
    <w:div w:id="2044472574">
      <w:bodyDiv w:val="1"/>
      <w:marLeft w:val="0"/>
      <w:marRight w:val="0"/>
      <w:marTop w:val="0"/>
      <w:marBottom w:val="0"/>
      <w:divBdr>
        <w:top w:val="none" w:sz="0" w:space="0" w:color="auto"/>
        <w:left w:val="none" w:sz="0" w:space="0" w:color="auto"/>
        <w:bottom w:val="none" w:sz="0" w:space="0" w:color="auto"/>
        <w:right w:val="none" w:sz="0" w:space="0" w:color="auto"/>
      </w:divBdr>
    </w:div>
    <w:div w:id="2044592350">
      <w:bodyDiv w:val="1"/>
      <w:marLeft w:val="0"/>
      <w:marRight w:val="0"/>
      <w:marTop w:val="0"/>
      <w:marBottom w:val="0"/>
      <w:divBdr>
        <w:top w:val="none" w:sz="0" w:space="0" w:color="auto"/>
        <w:left w:val="none" w:sz="0" w:space="0" w:color="auto"/>
        <w:bottom w:val="none" w:sz="0" w:space="0" w:color="auto"/>
        <w:right w:val="none" w:sz="0" w:space="0" w:color="auto"/>
      </w:divBdr>
    </w:div>
    <w:div w:id="2044592991">
      <w:bodyDiv w:val="1"/>
      <w:marLeft w:val="0"/>
      <w:marRight w:val="0"/>
      <w:marTop w:val="0"/>
      <w:marBottom w:val="0"/>
      <w:divBdr>
        <w:top w:val="none" w:sz="0" w:space="0" w:color="auto"/>
        <w:left w:val="none" w:sz="0" w:space="0" w:color="auto"/>
        <w:bottom w:val="none" w:sz="0" w:space="0" w:color="auto"/>
        <w:right w:val="none" w:sz="0" w:space="0" w:color="auto"/>
      </w:divBdr>
    </w:div>
    <w:div w:id="2044599048">
      <w:bodyDiv w:val="1"/>
      <w:marLeft w:val="0"/>
      <w:marRight w:val="0"/>
      <w:marTop w:val="0"/>
      <w:marBottom w:val="0"/>
      <w:divBdr>
        <w:top w:val="none" w:sz="0" w:space="0" w:color="auto"/>
        <w:left w:val="none" w:sz="0" w:space="0" w:color="auto"/>
        <w:bottom w:val="none" w:sz="0" w:space="0" w:color="auto"/>
        <w:right w:val="none" w:sz="0" w:space="0" w:color="auto"/>
      </w:divBdr>
    </w:div>
    <w:div w:id="2044669035">
      <w:bodyDiv w:val="1"/>
      <w:marLeft w:val="0"/>
      <w:marRight w:val="0"/>
      <w:marTop w:val="0"/>
      <w:marBottom w:val="0"/>
      <w:divBdr>
        <w:top w:val="none" w:sz="0" w:space="0" w:color="auto"/>
        <w:left w:val="none" w:sz="0" w:space="0" w:color="auto"/>
        <w:bottom w:val="none" w:sz="0" w:space="0" w:color="auto"/>
        <w:right w:val="none" w:sz="0" w:space="0" w:color="auto"/>
      </w:divBdr>
    </w:div>
    <w:div w:id="2044937796">
      <w:bodyDiv w:val="1"/>
      <w:marLeft w:val="0"/>
      <w:marRight w:val="0"/>
      <w:marTop w:val="0"/>
      <w:marBottom w:val="0"/>
      <w:divBdr>
        <w:top w:val="none" w:sz="0" w:space="0" w:color="auto"/>
        <w:left w:val="none" w:sz="0" w:space="0" w:color="auto"/>
        <w:bottom w:val="none" w:sz="0" w:space="0" w:color="auto"/>
        <w:right w:val="none" w:sz="0" w:space="0" w:color="auto"/>
      </w:divBdr>
    </w:div>
    <w:div w:id="2045055928">
      <w:bodyDiv w:val="1"/>
      <w:marLeft w:val="0"/>
      <w:marRight w:val="0"/>
      <w:marTop w:val="0"/>
      <w:marBottom w:val="0"/>
      <w:divBdr>
        <w:top w:val="none" w:sz="0" w:space="0" w:color="auto"/>
        <w:left w:val="none" w:sz="0" w:space="0" w:color="auto"/>
        <w:bottom w:val="none" w:sz="0" w:space="0" w:color="auto"/>
        <w:right w:val="none" w:sz="0" w:space="0" w:color="auto"/>
      </w:divBdr>
    </w:div>
    <w:div w:id="2045130678">
      <w:bodyDiv w:val="1"/>
      <w:marLeft w:val="0"/>
      <w:marRight w:val="0"/>
      <w:marTop w:val="0"/>
      <w:marBottom w:val="0"/>
      <w:divBdr>
        <w:top w:val="none" w:sz="0" w:space="0" w:color="auto"/>
        <w:left w:val="none" w:sz="0" w:space="0" w:color="auto"/>
        <w:bottom w:val="none" w:sz="0" w:space="0" w:color="auto"/>
        <w:right w:val="none" w:sz="0" w:space="0" w:color="auto"/>
      </w:divBdr>
    </w:div>
    <w:div w:id="2045204353">
      <w:bodyDiv w:val="1"/>
      <w:marLeft w:val="0"/>
      <w:marRight w:val="0"/>
      <w:marTop w:val="0"/>
      <w:marBottom w:val="0"/>
      <w:divBdr>
        <w:top w:val="none" w:sz="0" w:space="0" w:color="auto"/>
        <w:left w:val="none" w:sz="0" w:space="0" w:color="auto"/>
        <w:bottom w:val="none" w:sz="0" w:space="0" w:color="auto"/>
        <w:right w:val="none" w:sz="0" w:space="0" w:color="auto"/>
      </w:divBdr>
    </w:div>
    <w:div w:id="2045204835">
      <w:bodyDiv w:val="1"/>
      <w:marLeft w:val="0"/>
      <w:marRight w:val="0"/>
      <w:marTop w:val="0"/>
      <w:marBottom w:val="0"/>
      <w:divBdr>
        <w:top w:val="none" w:sz="0" w:space="0" w:color="auto"/>
        <w:left w:val="none" w:sz="0" w:space="0" w:color="auto"/>
        <w:bottom w:val="none" w:sz="0" w:space="0" w:color="auto"/>
        <w:right w:val="none" w:sz="0" w:space="0" w:color="auto"/>
      </w:divBdr>
    </w:div>
    <w:div w:id="2045208845">
      <w:bodyDiv w:val="1"/>
      <w:marLeft w:val="0"/>
      <w:marRight w:val="0"/>
      <w:marTop w:val="0"/>
      <w:marBottom w:val="0"/>
      <w:divBdr>
        <w:top w:val="none" w:sz="0" w:space="0" w:color="auto"/>
        <w:left w:val="none" w:sz="0" w:space="0" w:color="auto"/>
        <w:bottom w:val="none" w:sz="0" w:space="0" w:color="auto"/>
        <w:right w:val="none" w:sz="0" w:space="0" w:color="auto"/>
      </w:divBdr>
    </w:div>
    <w:div w:id="2045517578">
      <w:bodyDiv w:val="1"/>
      <w:marLeft w:val="0"/>
      <w:marRight w:val="0"/>
      <w:marTop w:val="0"/>
      <w:marBottom w:val="0"/>
      <w:divBdr>
        <w:top w:val="none" w:sz="0" w:space="0" w:color="auto"/>
        <w:left w:val="none" w:sz="0" w:space="0" w:color="auto"/>
        <w:bottom w:val="none" w:sz="0" w:space="0" w:color="auto"/>
        <w:right w:val="none" w:sz="0" w:space="0" w:color="auto"/>
      </w:divBdr>
    </w:div>
    <w:div w:id="2045595279">
      <w:bodyDiv w:val="1"/>
      <w:marLeft w:val="0"/>
      <w:marRight w:val="0"/>
      <w:marTop w:val="0"/>
      <w:marBottom w:val="0"/>
      <w:divBdr>
        <w:top w:val="none" w:sz="0" w:space="0" w:color="auto"/>
        <w:left w:val="none" w:sz="0" w:space="0" w:color="auto"/>
        <w:bottom w:val="none" w:sz="0" w:space="0" w:color="auto"/>
        <w:right w:val="none" w:sz="0" w:space="0" w:color="auto"/>
      </w:divBdr>
    </w:div>
    <w:div w:id="2045667827">
      <w:bodyDiv w:val="1"/>
      <w:marLeft w:val="0"/>
      <w:marRight w:val="0"/>
      <w:marTop w:val="0"/>
      <w:marBottom w:val="0"/>
      <w:divBdr>
        <w:top w:val="none" w:sz="0" w:space="0" w:color="auto"/>
        <w:left w:val="none" w:sz="0" w:space="0" w:color="auto"/>
        <w:bottom w:val="none" w:sz="0" w:space="0" w:color="auto"/>
        <w:right w:val="none" w:sz="0" w:space="0" w:color="auto"/>
      </w:divBdr>
    </w:div>
    <w:div w:id="2045668945">
      <w:bodyDiv w:val="1"/>
      <w:marLeft w:val="0"/>
      <w:marRight w:val="0"/>
      <w:marTop w:val="0"/>
      <w:marBottom w:val="0"/>
      <w:divBdr>
        <w:top w:val="none" w:sz="0" w:space="0" w:color="auto"/>
        <w:left w:val="none" w:sz="0" w:space="0" w:color="auto"/>
        <w:bottom w:val="none" w:sz="0" w:space="0" w:color="auto"/>
        <w:right w:val="none" w:sz="0" w:space="0" w:color="auto"/>
      </w:divBdr>
    </w:div>
    <w:div w:id="2045673426">
      <w:bodyDiv w:val="1"/>
      <w:marLeft w:val="0"/>
      <w:marRight w:val="0"/>
      <w:marTop w:val="0"/>
      <w:marBottom w:val="0"/>
      <w:divBdr>
        <w:top w:val="none" w:sz="0" w:space="0" w:color="auto"/>
        <w:left w:val="none" w:sz="0" w:space="0" w:color="auto"/>
        <w:bottom w:val="none" w:sz="0" w:space="0" w:color="auto"/>
        <w:right w:val="none" w:sz="0" w:space="0" w:color="auto"/>
      </w:divBdr>
    </w:div>
    <w:div w:id="2045717321">
      <w:bodyDiv w:val="1"/>
      <w:marLeft w:val="0"/>
      <w:marRight w:val="0"/>
      <w:marTop w:val="0"/>
      <w:marBottom w:val="0"/>
      <w:divBdr>
        <w:top w:val="none" w:sz="0" w:space="0" w:color="auto"/>
        <w:left w:val="none" w:sz="0" w:space="0" w:color="auto"/>
        <w:bottom w:val="none" w:sz="0" w:space="0" w:color="auto"/>
        <w:right w:val="none" w:sz="0" w:space="0" w:color="auto"/>
      </w:divBdr>
    </w:div>
    <w:div w:id="2045862122">
      <w:bodyDiv w:val="1"/>
      <w:marLeft w:val="0"/>
      <w:marRight w:val="0"/>
      <w:marTop w:val="0"/>
      <w:marBottom w:val="0"/>
      <w:divBdr>
        <w:top w:val="none" w:sz="0" w:space="0" w:color="auto"/>
        <w:left w:val="none" w:sz="0" w:space="0" w:color="auto"/>
        <w:bottom w:val="none" w:sz="0" w:space="0" w:color="auto"/>
        <w:right w:val="none" w:sz="0" w:space="0" w:color="auto"/>
      </w:divBdr>
    </w:div>
    <w:div w:id="2045867004">
      <w:bodyDiv w:val="1"/>
      <w:marLeft w:val="0"/>
      <w:marRight w:val="0"/>
      <w:marTop w:val="0"/>
      <w:marBottom w:val="0"/>
      <w:divBdr>
        <w:top w:val="none" w:sz="0" w:space="0" w:color="auto"/>
        <w:left w:val="none" w:sz="0" w:space="0" w:color="auto"/>
        <w:bottom w:val="none" w:sz="0" w:space="0" w:color="auto"/>
        <w:right w:val="none" w:sz="0" w:space="0" w:color="auto"/>
      </w:divBdr>
    </w:div>
    <w:div w:id="2045978613">
      <w:bodyDiv w:val="1"/>
      <w:marLeft w:val="0"/>
      <w:marRight w:val="0"/>
      <w:marTop w:val="0"/>
      <w:marBottom w:val="0"/>
      <w:divBdr>
        <w:top w:val="none" w:sz="0" w:space="0" w:color="auto"/>
        <w:left w:val="none" w:sz="0" w:space="0" w:color="auto"/>
        <w:bottom w:val="none" w:sz="0" w:space="0" w:color="auto"/>
        <w:right w:val="none" w:sz="0" w:space="0" w:color="auto"/>
      </w:divBdr>
    </w:div>
    <w:div w:id="2046058873">
      <w:bodyDiv w:val="1"/>
      <w:marLeft w:val="0"/>
      <w:marRight w:val="0"/>
      <w:marTop w:val="0"/>
      <w:marBottom w:val="0"/>
      <w:divBdr>
        <w:top w:val="none" w:sz="0" w:space="0" w:color="auto"/>
        <w:left w:val="none" w:sz="0" w:space="0" w:color="auto"/>
        <w:bottom w:val="none" w:sz="0" w:space="0" w:color="auto"/>
        <w:right w:val="none" w:sz="0" w:space="0" w:color="auto"/>
      </w:divBdr>
    </w:div>
    <w:div w:id="2046059047">
      <w:bodyDiv w:val="1"/>
      <w:marLeft w:val="0"/>
      <w:marRight w:val="0"/>
      <w:marTop w:val="0"/>
      <w:marBottom w:val="0"/>
      <w:divBdr>
        <w:top w:val="none" w:sz="0" w:space="0" w:color="auto"/>
        <w:left w:val="none" w:sz="0" w:space="0" w:color="auto"/>
        <w:bottom w:val="none" w:sz="0" w:space="0" w:color="auto"/>
        <w:right w:val="none" w:sz="0" w:space="0" w:color="auto"/>
      </w:divBdr>
    </w:div>
    <w:div w:id="2046128906">
      <w:bodyDiv w:val="1"/>
      <w:marLeft w:val="0"/>
      <w:marRight w:val="0"/>
      <w:marTop w:val="0"/>
      <w:marBottom w:val="0"/>
      <w:divBdr>
        <w:top w:val="none" w:sz="0" w:space="0" w:color="auto"/>
        <w:left w:val="none" w:sz="0" w:space="0" w:color="auto"/>
        <w:bottom w:val="none" w:sz="0" w:space="0" w:color="auto"/>
        <w:right w:val="none" w:sz="0" w:space="0" w:color="auto"/>
      </w:divBdr>
    </w:div>
    <w:div w:id="2046129260">
      <w:bodyDiv w:val="1"/>
      <w:marLeft w:val="0"/>
      <w:marRight w:val="0"/>
      <w:marTop w:val="0"/>
      <w:marBottom w:val="0"/>
      <w:divBdr>
        <w:top w:val="none" w:sz="0" w:space="0" w:color="auto"/>
        <w:left w:val="none" w:sz="0" w:space="0" w:color="auto"/>
        <w:bottom w:val="none" w:sz="0" w:space="0" w:color="auto"/>
        <w:right w:val="none" w:sz="0" w:space="0" w:color="auto"/>
      </w:divBdr>
    </w:div>
    <w:div w:id="2046177799">
      <w:bodyDiv w:val="1"/>
      <w:marLeft w:val="0"/>
      <w:marRight w:val="0"/>
      <w:marTop w:val="0"/>
      <w:marBottom w:val="0"/>
      <w:divBdr>
        <w:top w:val="none" w:sz="0" w:space="0" w:color="auto"/>
        <w:left w:val="none" w:sz="0" w:space="0" w:color="auto"/>
        <w:bottom w:val="none" w:sz="0" w:space="0" w:color="auto"/>
        <w:right w:val="none" w:sz="0" w:space="0" w:color="auto"/>
      </w:divBdr>
    </w:div>
    <w:div w:id="2046367155">
      <w:bodyDiv w:val="1"/>
      <w:marLeft w:val="0"/>
      <w:marRight w:val="0"/>
      <w:marTop w:val="0"/>
      <w:marBottom w:val="0"/>
      <w:divBdr>
        <w:top w:val="none" w:sz="0" w:space="0" w:color="auto"/>
        <w:left w:val="none" w:sz="0" w:space="0" w:color="auto"/>
        <w:bottom w:val="none" w:sz="0" w:space="0" w:color="auto"/>
        <w:right w:val="none" w:sz="0" w:space="0" w:color="auto"/>
      </w:divBdr>
    </w:div>
    <w:div w:id="2046446994">
      <w:bodyDiv w:val="1"/>
      <w:marLeft w:val="0"/>
      <w:marRight w:val="0"/>
      <w:marTop w:val="0"/>
      <w:marBottom w:val="0"/>
      <w:divBdr>
        <w:top w:val="none" w:sz="0" w:space="0" w:color="auto"/>
        <w:left w:val="none" w:sz="0" w:space="0" w:color="auto"/>
        <w:bottom w:val="none" w:sz="0" w:space="0" w:color="auto"/>
        <w:right w:val="none" w:sz="0" w:space="0" w:color="auto"/>
      </w:divBdr>
    </w:div>
    <w:div w:id="2046514497">
      <w:bodyDiv w:val="1"/>
      <w:marLeft w:val="0"/>
      <w:marRight w:val="0"/>
      <w:marTop w:val="0"/>
      <w:marBottom w:val="0"/>
      <w:divBdr>
        <w:top w:val="none" w:sz="0" w:space="0" w:color="auto"/>
        <w:left w:val="none" w:sz="0" w:space="0" w:color="auto"/>
        <w:bottom w:val="none" w:sz="0" w:space="0" w:color="auto"/>
        <w:right w:val="none" w:sz="0" w:space="0" w:color="auto"/>
      </w:divBdr>
    </w:div>
    <w:div w:id="2046636557">
      <w:bodyDiv w:val="1"/>
      <w:marLeft w:val="0"/>
      <w:marRight w:val="0"/>
      <w:marTop w:val="0"/>
      <w:marBottom w:val="0"/>
      <w:divBdr>
        <w:top w:val="none" w:sz="0" w:space="0" w:color="auto"/>
        <w:left w:val="none" w:sz="0" w:space="0" w:color="auto"/>
        <w:bottom w:val="none" w:sz="0" w:space="0" w:color="auto"/>
        <w:right w:val="none" w:sz="0" w:space="0" w:color="auto"/>
      </w:divBdr>
    </w:div>
    <w:div w:id="2046826573">
      <w:bodyDiv w:val="1"/>
      <w:marLeft w:val="0"/>
      <w:marRight w:val="0"/>
      <w:marTop w:val="0"/>
      <w:marBottom w:val="0"/>
      <w:divBdr>
        <w:top w:val="none" w:sz="0" w:space="0" w:color="auto"/>
        <w:left w:val="none" w:sz="0" w:space="0" w:color="auto"/>
        <w:bottom w:val="none" w:sz="0" w:space="0" w:color="auto"/>
        <w:right w:val="none" w:sz="0" w:space="0" w:color="auto"/>
      </w:divBdr>
    </w:div>
    <w:div w:id="2046828187">
      <w:bodyDiv w:val="1"/>
      <w:marLeft w:val="0"/>
      <w:marRight w:val="0"/>
      <w:marTop w:val="0"/>
      <w:marBottom w:val="0"/>
      <w:divBdr>
        <w:top w:val="none" w:sz="0" w:space="0" w:color="auto"/>
        <w:left w:val="none" w:sz="0" w:space="0" w:color="auto"/>
        <w:bottom w:val="none" w:sz="0" w:space="0" w:color="auto"/>
        <w:right w:val="none" w:sz="0" w:space="0" w:color="auto"/>
      </w:divBdr>
    </w:div>
    <w:div w:id="2046829312">
      <w:bodyDiv w:val="1"/>
      <w:marLeft w:val="0"/>
      <w:marRight w:val="0"/>
      <w:marTop w:val="0"/>
      <w:marBottom w:val="0"/>
      <w:divBdr>
        <w:top w:val="none" w:sz="0" w:space="0" w:color="auto"/>
        <w:left w:val="none" w:sz="0" w:space="0" w:color="auto"/>
        <w:bottom w:val="none" w:sz="0" w:space="0" w:color="auto"/>
        <w:right w:val="none" w:sz="0" w:space="0" w:color="auto"/>
      </w:divBdr>
    </w:div>
    <w:div w:id="2046979358">
      <w:bodyDiv w:val="1"/>
      <w:marLeft w:val="0"/>
      <w:marRight w:val="0"/>
      <w:marTop w:val="0"/>
      <w:marBottom w:val="0"/>
      <w:divBdr>
        <w:top w:val="none" w:sz="0" w:space="0" w:color="auto"/>
        <w:left w:val="none" w:sz="0" w:space="0" w:color="auto"/>
        <w:bottom w:val="none" w:sz="0" w:space="0" w:color="auto"/>
        <w:right w:val="none" w:sz="0" w:space="0" w:color="auto"/>
      </w:divBdr>
    </w:div>
    <w:div w:id="2046982670">
      <w:bodyDiv w:val="1"/>
      <w:marLeft w:val="0"/>
      <w:marRight w:val="0"/>
      <w:marTop w:val="0"/>
      <w:marBottom w:val="0"/>
      <w:divBdr>
        <w:top w:val="none" w:sz="0" w:space="0" w:color="auto"/>
        <w:left w:val="none" w:sz="0" w:space="0" w:color="auto"/>
        <w:bottom w:val="none" w:sz="0" w:space="0" w:color="auto"/>
        <w:right w:val="none" w:sz="0" w:space="0" w:color="auto"/>
      </w:divBdr>
    </w:div>
    <w:div w:id="2047366040">
      <w:bodyDiv w:val="1"/>
      <w:marLeft w:val="0"/>
      <w:marRight w:val="0"/>
      <w:marTop w:val="0"/>
      <w:marBottom w:val="0"/>
      <w:divBdr>
        <w:top w:val="none" w:sz="0" w:space="0" w:color="auto"/>
        <w:left w:val="none" w:sz="0" w:space="0" w:color="auto"/>
        <w:bottom w:val="none" w:sz="0" w:space="0" w:color="auto"/>
        <w:right w:val="none" w:sz="0" w:space="0" w:color="auto"/>
      </w:divBdr>
    </w:div>
    <w:div w:id="2047367984">
      <w:bodyDiv w:val="1"/>
      <w:marLeft w:val="0"/>
      <w:marRight w:val="0"/>
      <w:marTop w:val="0"/>
      <w:marBottom w:val="0"/>
      <w:divBdr>
        <w:top w:val="none" w:sz="0" w:space="0" w:color="auto"/>
        <w:left w:val="none" w:sz="0" w:space="0" w:color="auto"/>
        <w:bottom w:val="none" w:sz="0" w:space="0" w:color="auto"/>
        <w:right w:val="none" w:sz="0" w:space="0" w:color="auto"/>
      </w:divBdr>
    </w:div>
    <w:div w:id="2047440645">
      <w:bodyDiv w:val="1"/>
      <w:marLeft w:val="0"/>
      <w:marRight w:val="0"/>
      <w:marTop w:val="0"/>
      <w:marBottom w:val="0"/>
      <w:divBdr>
        <w:top w:val="none" w:sz="0" w:space="0" w:color="auto"/>
        <w:left w:val="none" w:sz="0" w:space="0" w:color="auto"/>
        <w:bottom w:val="none" w:sz="0" w:space="0" w:color="auto"/>
        <w:right w:val="none" w:sz="0" w:space="0" w:color="auto"/>
      </w:divBdr>
    </w:div>
    <w:div w:id="2047606818">
      <w:bodyDiv w:val="1"/>
      <w:marLeft w:val="0"/>
      <w:marRight w:val="0"/>
      <w:marTop w:val="0"/>
      <w:marBottom w:val="0"/>
      <w:divBdr>
        <w:top w:val="none" w:sz="0" w:space="0" w:color="auto"/>
        <w:left w:val="none" w:sz="0" w:space="0" w:color="auto"/>
        <w:bottom w:val="none" w:sz="0" w:space="0" w:color="auto"/>
        <w:right w:val="none" w:sz="0" w:space="0" w:color="auto"/>
      </w:divBdr>
    </w:div>
    <w:div w:id="2047637046">
      <w:bodyDiv w:val="1"/>
      <w:marLeft w:val="0"/>
      <w:marRight w:val="0"/>
      <w:marTop w:val="0"/>
      <w:marBottom w:val="0"/>
      <w:divBdr>
        <w:top w:val="none" w:sz="0" w:space="0" w:color="auto"/>
        <w:left w:val="none" w:sz="0" w:space="0" w:color="auto"/>
        <w:bottom w:val="none" w:sz="0" w:space="0" w:color="auto"/>
        <w:right w:val="none" w:sz="0" w:space="0" w:color="auto"/>
      </w:divBdr>
    </w:div>
    <w:div w:id="2047679690">
      <w:bodyDiv w:val="1"/>
      <w:marLeft w:val="0"/>
      <w:marRight w:val="0"/>
      <w:marTop w:val="0"/>
      <w:marBottom w:val="0"/>
      <w:divBdr>
        <w:top w:val="none" w:sz="0" w:space="0" w:color="auto"/>
        <w:left w:val="none" w:sz="0" w:space="0" w:color="auto"/>
        <w:bottom w:val="none" w:sz="0" w:space="0" w:color="auto"/>
        <w:right w:val="none" w:sz="0" w:space="0" w:color="auto"/>
      </w:divBdr>
    </w:div>
    <w:div w:id="2047870549">
      <w:bodyDiv w:val="1"/>
      <w:marLeft w:val="0"/>
      <w:marRight w:val="0"/>
      <w:marTop w:val="0"/>
      <w:marBottom w:val="0"/>
      <w:divBdr>
        <w:top w:val="none" w:sz="0" w:space="0" w:color="auto"/>
        <w:left w:val="none" w:sz="0" w:space="0" w:color="auto"/>
        <w:bottom w:val="none" w:sz="0" w:space="0" w:color="auto"/>
        <w:right w:val="none" w:sz="0" w:space="0" w:color="auto"/>
      </w:divBdr>
    </w:div>
    <w:div w:id="2048488805">
      <w:bodyDiv w:val="1"/>
      <w:marLeft w:val="0"/>
      <w:marRight w:val="0"/>
      <w:marTop w:val="0"/>
      <w:marBottom w:val="0"/>
      <w:divBdr>
        <w:top w:val="none" w:sz="0" w:space="0" w:color="auto"/>
        <w:left w:val="none" w:sz="0" w:space="0" w:color="auto"/>
        <w:bottom w:val="none" w:sz="0" w:space="0" w:color="auto"/>
        <w:right w:val="none" w:sz="0" w:space="0" w:color="auto"/>
      </w:divBdr>
    </w:div>
    <w:div w:id="2048748373">
      <w:bodyDiv w:val="1"/>
      <w:marLeft w:val="0"/>
      <w:marRight w:val="0"/>
      <w:marTop w:val="0"/>
      <w:marBottom w:val="0"/>
      <w:divBdr>
        <w:top w:val="none" w:sz="0" w:space="0" w:color="auto"/>
        <w:left w:val="none" w:sz="0" w:space="0" w:color="auto"/>
        <w:bottom w:val="none" w:sz="0" w:space="0" w:color="auto"/>
        <w:right w:val="none" w:sz="0" w:space="0" w:color="auto"/>
      </w:divBdr>
    </w:div>
    <w:div w:id="2048751190">
      <w:bodyDiv w:val="1"/>
      <w:marLeft w:val="0"/>
      <w:marRight w:val="0"/>
      <w:marTop w:val="0"/>
      <w:marBottom w:val="0"/>
      <w:divBdr>
        <w:top w:val="none" w:sz="0" w:space="0" w:color="auto"/>
        <w:left w:val="none" w:sz="0" w:space="0" w:color="auto"/>
        <w:bottom w:val="none" w:sz="0" w:space="0" w:color="auto"/>
        <w:right w:val="none" w:sz="0" w:space="0" w:color="auto"/>
      </w:divBdr>
    </w:div>
    <w:div w:id="2048867801">
      <w:bodyDiv w:val="1"/>
      <w:marLeft w:val="0"/>
      <w:marRight w:val="0"/>
      <w:marTop w:val="0"/>
      <w:marBottom w:val="0"/>
      <w:divBdr>
        <w:top w:val="none" w:sz="0" w:space="0" w:color="auto"/>
        <w:left w:val="none" w:sz="0" w:space="0" w:color="auto"/>
        <w:bottom w:val="none" w:sz="0" w:space="0" w:color="auto"/>
        <w:right w:val="none" w:sz="0" w:space="0" w:color="auto"/>
      </w:divBdr>
    </w:div>
    <w:div w:id="2049063176">
      <w:bodyDiv w:val="1"/>
      <w:marLeft w:val="0"/>
      <w:marRight w:val="0"/>
      <w:marTop w:val="0"/>
      <w:marBottom w:val="0"/>
      <w:divBdr>
        <w:top w:val="none" w:sz="0" w:space="0" w:color="auto"/>
        <w:left w:val="none" w:sz="0" w:space="0" w:color="auto"/>
        <w:bottom w:val="none" w:sz="0" w:space="0" w:color="auto"/>
        <w:right w:val="none" w:sz="0" w:space="0" w:color="auto"/>
      </w:divBdr>
    </w:div>
    <w:div w:id="2049063208">
      <w:bodyDiv w:val="1"/>
      <w:marLeft w:val="0"/>
      <w:marRight w:val="0"/>
      <w:marTop w:val="0"/>
      <w:marBottom w:val="0"/>
      <w:divBdr>
        <w:top w:val="none" w:sz="0" w:space="0" w:color="auto"/>
        <w:left w:val="none" w:sz="0" w:space="0" w:color="auto"/>
        <w:bottom w:val="none" w:sz="0" w:space="0" w:color="auto"/>
        <w:right w:val="none" w:sz="0" w:space="0" w:color="auto"/>
      </w:divBdr>
    </w:div>
    <w:div w:id="2049137869">
      <w:bodyDiv w:val="1"/>
      <w:marLeft w:val="0"/>
      <w:marRight w:val="0"/>
      <w:marTop w:val="0"/>
      <w:marBottom w:val="0"/>
      <w:divBdr>
        <w:top w:val="none" w:sz="0" w:space="0" w:color="auto"/>
        <w:left w:val="none" w:sz="0" w:space="0" w:color="auto"/>
        <w:bottom w:val="none" w:sz="0" w:space="0" w:color="auto"/>
        <w:right w:val="none" w:sz="0" w:space="0" w:color="auto"/>
      </w:divBdr>
    </w:div>
    <w:div w:id="2049258623">
      <w:bodyDiv w:val="1"/>
      <w:marLeft w:val="0"/>
      <w:marRight w:val="0"/>
      <w:marTop w:val="0"/>
      <w:marBottom w:val="0"/>
      <w:divBdr>
        <w:top w:val="none" w:sz="0" w:space="0" w:color="auto"/>
        <w:left w:val="none" w:sz="0" w:space="0" w:color="auto"/>
        <w:bottom w:val="none" w:sz="0" w:space="0" w:color="auto"/>
        <w:right w:val="none" w:sz="0" w:space="0" w:color="auto"/>
      </w:divBdr>
    </w:div>
    <w:div w:id="2050104942">
      <w:bodyDiv w:val="1"/>
      <w:marLeft w:val="0"/>
      <w:marRight w:val="0"/>
      <w:marTop w:val="0"/>
      <w:marBottom w:val="0"/>
      <w:divBdr>
        <w:top w:val="none" w:sz="0" w:space="0" w:color="auto"/>
        <w:left w:val="none" w:sz="0" w:space="0" w:color="auto"/>
        <w:bottom w:val="none" w:sz="0" w:space="0" w:color="auto"/>
        <w:right w:val="none" w:sz="0" w:space="0" w:color="auto"/>
      </w:divBdr>
    </w:div>
    <w:div w:id="2050108117">
      <w:bodyDiv w:val="1"/>
      <w:marLeft w:val="0"/>
      <w:marRight w:val="0"/>
      <w:marTop w:val="0"/>
      <w:marBottom w:val="0"/>
      <w:divBdr>
        <w:top w:val="none" w:sz="0" w:space="0" w:color="auto"/>
        <w:left w:val="none" w:sz="0" w:space="0" w:color="auto"/>
        <w:bottom w:val="none" w:sz="0" w:space="0" w:color="auto"/>
        <w:right w:val="none" w:sz="0" w:space="0" w:color="auto"/>
      </w:divBdr>
    </w:div>
    <w:div w:id="2050182077">
      <w:bodyDiv w:val="1"/>
      <w:marLeft w:val="0"/>
      <w:marRight w:val="0"/>
      <w:marTop w:val="0"/>
      <w:marBottom w:val="0"/>
      <w:divBdr>
        <w:top w:val="none" w:sz="0" w:space="0" w:color="auto"/>
        <w:left w:val="none" w:sz="0" w:space="0" w:color="auto"/>
        <w:bottom w:val="none" w:sz="0" w:space="0" w:color="auto"/>
        <w:right w:val="none" w:sz="0" w:space="0" w:color="auto"/>
      </w:divBdr>
    </w:div>
    <w:div w:id="2050295837">
      <w:bodyDiv w:val="1"/>
      <w:marLeft w:val="0"/>
      <w:marRight w:val="0"/>
      <w:marTop w:val="0"/>
      <w:marBottom w:val="0"/>
      <w:divBdr>
        <w:top w:val="none" w:sz="0" w:space="0" w:color="auto"/>
        <w:left w:val="none" w:sz="0" w:space="0" w:color="auto"/>
        <w:bottom w:val="none" w:sz="0" w:space="0" w:color="auto"/>
        <w:right w:val="none" w:sz="0" w:space="0" w:color="auto"/>
      </w:divBdr>
    </w:div>
    <w:div w:id="2050300980">
      <w:bodyDiv w:val="1"/>
      <w:marLeft w:val="0"/>
      <w:marRight w:val="0"/>
      <w:marTop w:val="0"/>
      <w:marBottom w:val="0"/>
      <w:divBdr>
        <w:top w:val="none" w:sz="0" w:space="0" w:color="auto"/>
        <w:left w:val="none" w:sz="0" w:space="0" w:color="auto"/>
        <w:bottom w:val="none" w:sz="0" w:space="0" w:color="auto"/>
        <w:right w:val="none" w:sz="0" w:space="0" w:color="auto"/>
      </w:divBdr>
    </w:div>
    <w:div w:id="2050379007">
      <w:bodyDiv w:val="1"/>
      <w:marLeft w:val="0"/>
      <w:marRight w:val="0"/>
      <w:marTop w:val="0"/>
      <w:marBottom w:val="0"/>
      <w:divBdr>
        <w:top w:val="none" w:sz="0" w:space="0" w:color="auto"/>
        <w:left w:val="none" w:sz="0" w:space="0" w:color="auto"/>
        <w:bottom w:val="none" w:sz="0" w:space="0" w:color="auto"/>
        <w:right w:val="none" w:sz="0" w:space="0" w:color="auto"/>
      </w:divBdr>
    </w:div>
    <w:div w:id="2050491314">
      <w:bodyDiv w:val="1"/>
      <w:marLeft w:val="0"/>
      <w:marRight w:val="0"/>
      <w:marTop w:val="0"/>
      <w:marBottom w:val="0"/>
      <w:divBdr>
        <w:top w:val="none" w:sz="0" w:space="0" w:color="auto"/>
        <w:left w:val="none" w:sz="0" w:space="0" w:color="auto"/>
        <w:bottom w:val="none" w:sz="0" w:space="0" w:color="auto"/>
        <w:right w:val="none" w:sz="0" w:space="0" w:color="auto"/>
      </w:divBdr>
    </w:div>
    <w:div w:id="2050639661">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50647109">
      <w:bodyDiv w:val="1"/>
      <w:marLeft w:val="0"/>
      <w:marRight w:val="0"/>
      <w:marTop w:val="0"/>
      <w:marBottom w:val="0"/>
      <w:divBdr>
        <w:top w:val="none" w:sz="0" w:space="0" w:color="auto"/>
        <w:left w:val="none" w:sz="0" w:space="0" w:color="auto"/>
        <w:bottom w:val="none" w:sz="0" w:space="0" w:color="auto"/>
        <w:right w:val="none" w:sz="0" w:space="0" w:color="auto"/>
      </w:divBdr>
    </w:div>
    <w:div w:id="2050690589">
      <w:bodyDiv w:val="1"/>
      <w:marLeft w:val="0"/>
      <w:marRight w:val="0"/>
      <w:marTop w:val="0"/>
      <w:marBottom w:val="0"/>
      <w:divBdr>
        <w:top w:val="none" w:sz="0" w:space="0" w:color="auto"/>
        <w:left w:val="none" w:sz="0" w:space="0" w:color="auto"/>
        <w:bottom w:val="none" w:sz="0" w:space="0" w:color="auto"/>
        <w:right w:val="none" w:sz="0" w:space="0" w:color="auto"/>
      </w:divBdr>
    </w:div>
    <w:div w:id="2050758767">
      <w:bodyDiv w:val="1"/>
      <w:marLeft w:val="0"/>
      <w:marRight w:val="0"/>
      <w:marTop w:val="0"/>
      <w:marBottom w:val="0"/>
      <w:divBdr>
        <w:top w:val="none" w:sz="0" w:space="0" w:color="auto"/>
        <w:left w:val="none" w:sz="0" w:space="0" w:color="auto"/>
        <w:bottom w:val="none" w:sz="0" w:space="0" w:color="auto"/>
        <w:right w:val="none" w:sz="0" w:space="0" w:color="auto"/>
      </w:divBdr>
    </w:div>
    <w:div w:id="2051029567">
      <w:bodyDiv w:val="1"/>
      <w:marLeft w:val="0"/>
      <w:marRight w:val="0"/>
      <w:marTop w:val="0"/>
      <w:marBottom w:val="0"/>
      <w:divBdr>
        <w:top w:val="none" w:sz="0" w:space="0" w:color="auto"/>
        <w:left w:val="none" w:sz="0" w:space="0" w:color="auto"/>
        <w:bottom w:val="none" w:sz="0" w:space="0" w:color="auto"/>
        <w:right w:val="none" w:sz="0" w:space="0" w:color="auto"/>
      </w:divBdr>
    </w:div>
    <w:div w:id="2051030796">
      <w:bodyDiv w:val="1"/>
      <w:marLeft w:val="0"/>
      <w:marRight w:val="0"/>
      <w:marTop w:val="0"/>
      <w:marBottom w:val="0"/>
      <w:divBdr>
        <w:top w:val="none" w:sz="0" w:space="0" w:color="auto"/>
        <w:left w:val="none" w:sz="0" w:space="0" w:color="auto"/>
        <w:bottom w:val="none" w:sz="0" w:space="0" w:color="auto"/>
        <w:right w:val="none" w:sz="0" w:space="0" w:color="auto"/>
      </w:divBdr>
    </w:div>
    <w:div w:id="2051570312">
      <w:bodyDiv w:val="1"/>
      <w:marLeft w:val="0"/>
      <w:marRight w:val="0"/>
      <w:marTop w:val="0"/>
      <w:marBottom w:val="0"/>
      <w:divBdr>
        <w:top w:val="none" w:sz="0" w:space="0" w:color="auto"/>
        <w:left w:val="none" w:sz="0" w:space="0" w:color="auto"/>
        <w:bottom w:val="none" w:sz="0" w:space="0" w:color="auto"/>
        <w:right w:val="none" w:sz="0" w:space="0" w:color="auto"/>
      </w:divBdr>
    </w:div>
    <w:div w:id="2051685591">
      <w:bodyDiv w:val="1"/>
      <w:marLeft w:val="0"/>
      <w:marRight w:val="0"/>
      <w:marTop w:val="0"/>
      <w:marBottom w:val="0"/>
      <w:divBdr>
        <w:top w:val="none" w:sz="0" w:space="0" w:color="auto"/>
        <w:left w:val="none" w:sz="0" w:space="0" w:color="auto"/>
        <w:bottom w:val="none" w:sz="0" w:space="0" w:color="auto"/>
        <w:right w:val="none" w:sz="0" w:space="0" w:color="auto"/>
      </w:divBdr>
    </w:div>
    <w:div w:id="2051882579">
      <w:bodyDiv w:val="1"/>
      <w:marLeft w:val="0"/>
      <w:marRight w:val="0"/>
      <w:marTop w:val="0"/>
      <w:marBottom w:val="0"/>
      <w:divBdr>
        <w:top w:val="none" w:sz="0" w:space="0" w:color="auto"/>
        <w:left w:val="none" w:sz="0" w:space="0" w:color="auto"/>
        <w:bottom w:val="none" w:sz="0" w:space="0" w:color="auto"/>
        <w:right w:val="none" w:sz="0" w:space="0" w:color="auto"/>
      </w:divBdr>
    </w:div>
    <w:div w:id="2051957855">
      <w:bodyDiv w:val="1"/>
      <w:marLeft w:val="0"/>
      <w:marRight w:val="0"/>
      <w:marTop w:val="0"/>
      <w:marBottom w:val="0"/>
      <w:divBdr>
        <w:top w:val="none" w:sz="0" w:space="0" w:color="auto"/>
        <w:left w:val="none" w:sz="0" w:space="0" w:color="auto"/>
        <w:bottom w:val="none" w:sz="0" w:space="0" w:color="auto"/>
        <w:right w:val="none" w:sz="0" w:space="0" w:color="auto"/>
      </w:divBdr>
    </w:div>
    <w:div w:id="2052026652">
      <w:bodyDiv w:val="1"/>
      <w:marLeft w:val="0"/>
      <w:marRight w:val="0"/>
      <w:marTop w:val="0"/>
      <w:marBottom w:val="0"/>
      <w:divBdr>
        <w:top w:val="none" w:sz="0" w:space="0" w:color="auto"/>
        <w:left w:val="none" w:sz="0" w:space="0" w:color="auto"/>
        <w:bottom w:val="none" w:sz="0" w:space="0" w:color="auto"/>
        <w:right w:val="none" w:sz="0" w:space="0" w:color="auto"/>
      </w:divBdr>
    </w:div>
    <w:div w:id="2052028503">
      <w:bodyDiv w:val="1"/>
      <w:marLeft w:val="0"/>
      <w:marRight w:val="0"/>
      <w:marTop w:val="0"/>
      <w:marBottom w:val="0"/>
      <w:divBdr>
        <w:top w:val="none" w:sz="0" w:space="0" w:color="auto"/>
        <w:left w:val="none" w:sz="0" w:space="0" w:color="auto"/>
        <w:bottom w:val="none" w:sz="0" w:space="0" w:color="auto"/>
        <w:right w:val="none" w:sz="0" w:space="0" w:color="auto"/>
      </w:divBdr>
    </w:div>
    <w:div w:id="2052069722">
      <w:bodyDiv w:val="1"/>
      <w:marLeft w:val="0"/>
      <w:marRight w:val="0"/>
      <w:marTop w:val="0"/>
      <w:marBottom w:val="0"/>
      <w:divBdr>
        <w:top w:val="none" w:sz="0" w:space="0" w:color="auto"/>
        <w:left w:val="none" w:sz="0" w:space="0" w:color="auto"/>
        <w:bottom w:val="none" w:sz="0" w:space="0" w:color="auto"/>
        <w:right w:val="none" w:sz="0" w:space="0" w:color="auto"/>
      </w:divBdr>
    </w:div>
    <w:div w:id="2052149747">
      <w:bodyDiv w:val="1"/>
      <w:marLeft w:val="0"/>
      <w:marRight w:val="0"/>
      <w:marTop w:val="0"/>
      <w:marBottom w:val="0"/>
      <w:divBdr>
        <w:top w:val="none" w:sz="0" w:space="0" w:color="auto"/>
        <w:left w:val="none" w:sz="0" w:space="0" w:color="auto"/>
        <w:bottom w:val="none" w:sz="0" w:space="0" w:color="auto"/>
        <w:right w:val="none" w:sz="0" w:space="0" w:color="auto"/>
      </w:divBdr>
    </w:div>
    <w:div w:id="2052263047">
      <w:bodyDiv w:val="1"/>
      <w:marLeft w:val="0"/>
      <w:marRight w:val="0"/>
      <w:marTop w:val="0"/>
      <w:marBottom w:val="0"/>
      <w:divBdr>
        <w:top w:val="none" w:sz="0" w:space="0" w:color="auto"/>
        <w:left w:val="none" w:sz="0" w:space="0" w:color="auto"/>
        <w:bottom w:val="none" w:sz="0" w:space="0" w:color="auto"/>
        <w:right w:val="none" w:sz="0" w:space="0" w:color="auto"/>
      </w:divBdr>
    </w:div>
    <w:div w:id="2052681264">
      <w:bodyDiv w:val="1"/>
      <w:marLeft w:val="0"/>
      <w:marRight w:val="0"/>
      <w:marTop w:val="0"/>
      <w:marBottom w:val="0"/>
      <w:divBdr>
        <w:top w:val="none" w:sz="0" w:space="0" w:color="auto"/>
        <w:left w:val="none" w:sz="0" w:space="0" w:color="auto"/>
        <w:bottom w:val="none" w:sz="0" w:space="0" w:color="auto"/>
        <w:right w:val="none" w:sz="0" w:space="0" w:color="auto"/>
      </w:divBdr>
    </w:div>
    <w:div w:id="2052878628">
      <w:bodyDiv w:val="1"/>
      <w:marLeft w:val="0"/>
      <w:marRight w:val="0"/>
      <w:marTop w:val="0"/>
      <w:marBottom w:val="0"/>
      <w:divBdr>
        <w:top w:val="none" w:sz="0" w:space="0" w:color="auto"/>
        <w:left w:val="none" w:sz="0" w:space="0" w:color="auto"/>
        <w:bottom w:val="none" w:sz="0" w:space="0" w:color="auto"/>
        <w:right w:val="none" w:sz="0" w:space="0" w:color="auto"/>
      </w:divBdr>
    </w:div>
    <w:div w:id="2052879768">
      <w:bodyDiv w:val="1"/>
      <w:marLeft w:val="0"/>
      <w:marRight w:val="0"/>
      <w:marTop w:val="0"/>
      <w:marBottom w:val="0"/>
      <w:divBdr>
        <w:top w:val="none" w:sz="0" w:space="0" w:color="auto"/>
        <w:left w:val="none" w:sz="0" w:space="0" w:color="auto"/>
        <w:bottom w:val="none" w:sz="0" w:space="0" w:color="auto"/>
        <w:right w:val="none" w:sz="0" w:space="0" w:color="auto"/>
      </w:divBdr>
    </w:div>
    <w:div w:id="2053144032">
      <w:bodyDiv w:val="1"/>
      <w:marLeft w:val="0"/>
      <w:marRight w:val="0"/>
      <w:marTop w:val="0"/>
      <w:marBottom w:val="0"/>
      <w:divBdr>
        <w:top w:val="none" w:sz="0" w:space="0" w:color="auto"/>
        <w:left w:val="none" w:sz="0" w:space="0" w:color="auto"/>
        <w:bottom w:val="none" w:sz="0" w:space="0" w:color="auto"/>
        <w:right w:val="none" w:sz="0" w:space="0" w:color="auto"/>
      </w:divBdr>
    </w:div>
    <w:div w:id="2053462410">
      <w:bodyDiv w:val="1"/>
      <w:marLeft w:val="0"/>
      <w:marRight w:val="0"/>
      <w:marTop w:val="0"/>
      <w:marBottom w:val="0"/>
      <w:divBdr>
        <w:top w:val="none" w:sz="0" w:space="0" w:color="auto"/>
        <w:left w:val="none" w:sz="0" w:space="0" w:color="auto"/>
        <w:bottom w:val="none" w:sz="0" w:space="0" w:color="auto"/>
        <w:right w:val="none" w:sz="0" w:space="0" w:color="auto"/>
      </w:divBdr>
    </w:div>
    <w:div w:id="2053575490">
      <w:bodyDiv w:val="1"/>
      <w:marLeft w:val="0"/>
      <w:marRight w:val="0"/>
      <w:marTop w:val="0"/>
      <w:marBottom w:val="0"/>
      <w:divBdr>
        <w:top w:val="none" w:sz="0" w:space="0" w:color="auto"/>
        <w:left w:val="none" w:sz="0" w:space="0" w:color="auto"/>
        <w:bottom w:val="none" w:sz="0" w:space="0" w:color="auto"/>
        <w:right w:val="none" w:sz="0" w:space="0" w:color="auto"/>
      </w:divBdr>
    </w:div>
    <w:div w:id="2053653527">
      <w:bodyDiv w:val="1"/>
      <w:marLeft w:val="0"/>
      <w:marRight w:val="0"/>
      <w:marTop w:val="0"/>
      <w:marBottom w:val="0"/>
      <w:divBdr>
        <w:top w:val="none" w:sz="0" w:space="0" w:color="auto"/>
        <w:left w:val="none" w:sz="0" w:space="0" w:color="auto"/>
        <w:bottom w:val="none" w:sz="0" w:space="0" w:color="auto"/>
        <w:right w:val="none" w:sz="0" w:space="0" w:color="auto"/>
      </w:divBdr>
    </w:div>
    <w:div w:id="2053655190">
      <w:bodyDiv w:val="1"/>
      <w:marLeft w:val="0"/>
      <w:marRight w:val="0"/>
      <w:marTop w:val="0"/>
      <w:marBottom w:val="0"/>
      <w:divBdr>
        <w:top w:val="none" w:sz="0" w:space="0" w:color="auto"/>
        <w:left w:val="none" w:sz="0" w:space="0" w:color="auto"/>
        <w:bottom w:val="none" w:sz="0" w:space="0" w:color="auto"/>
        <w:right w:val="none" w:sz="0" w:space="0" w:color="auto"/>
      </w:divBdr>
    </w:div>
    <w:div w:id="2054033140">
      <w:bodyDiv w:val="1"/>
      <w:marLeft w:val="0"/>
      <w:marRight w:val="0"/>
      <w:marTop w:val="0"/>
      <w:marBottom w:val="0"/>
      <w:divBdr>
        <w:top w:val="none" w:sz="0" w:space="0" w:color="auto"/>
        <w:left w:val="none" w:sz="0" w:space="0" w:color="auto"/>
        <w:bottom w:val="none" w:sz="0" w:space="0" w:color="auto"/>
        <w:right w:val="none" w:sz="0" w:space="0" w:color="auto"/>
      </w:divBdr>
    </w:div>
    <w:div w:id="2054038176">
      <w:bodyDiv w:val="1"/>
      <w:marLeft w:val="0"/>
      <w:marRight w:val="0"/>
      <w:marTop w:val="0"/>
      <w:marBottom w:val="0"/>
      <w:divBdr>
        <w:top w:val="none" w:sz="0" w:space="0" w:color="auto"/>
        <w:left w:val="none" w:sz="0" w:space="0" w:color="auto"/>
        <w:bottom w:val="none" w:sz="0" w:space="0" w:color="auto"/>
        <w:right w:val="none" w:sz="0" w:space="0" w:color="auto"/>
      </w:divBdr>
    </w:div>
    <w:div w:id="2054306197">
      <w:bodyDiv w:val="1"/>
      <w:marLeft w:val="0"/>
      <w:marRight w:val="0"/>
      <w:marTop w:val="0"/>
      <w:marBottom w:val="0"/>
      <w:divBdr>
        <w:top w:val="none" w:sz="0" w:space="0" w:color="auto"/>
        <w:left w:val="none" w:sz="0" w:space="0" w:color="auto"/>
        <w:bottom w:val="none" w:sz="0" w:space="0" w:color="auto"/>
        <w:right w:val="none" w:sz="0" w:space="0" w:color="auto"/>
      </w:divBdr>
    </w:div>
    <w:div w:id="2054575486">
      <w:bodyDiv w:val="1"/>
      <w:marLeft w:val="0"/>
      <w:marRight w:val="0"/>
      <w:marTop w:val="0"/>
      <w:marBottom w:val="0"/>
      <w:divBdr>
        <w:top w:val="none" w:sz="0" w:space="0" w:color="auto"/>
        <w:left w:val="none" w:sz="0" w:space="0" w:color="auto"/>
        <w:bottom w:val="none" w:sz="0" w:space="0" w:color="auto"/>
        <w:right w:val="none" w:sz="0" w:space="0" w:color="auto"/>
      </w:divBdr>
    </w:div>
    <w:div w:id="2054577980">
      <w:bodyDiv w:val="1"/>
      <w:marLeft w:val="0"/>
      <w:marRight w:val="0"/>
      <w:marTop w:val="0"/>
      <w:marBottom w:val="0"/>
      <w:divBdr>
        <w:top w:val="none" w:sz="0" w:space="0" w:color="auto"/>
        <w:left w:val="none" w:sz="0" w:space="0" w:color="auto"/>
        <w:bottom w:val="none" w:sz="0" w:space="0" w:color="auto"/>
        <w:right w:val="none" w:sz="0" w:space="0" w:color="auto"/>
      </w:divBdr>
    </w:div>
    <w:div w:id="2054650472">
      <w:bodyDiv w:val="1"/>
      <w:marLeft w:val="0"/>
      <w:marRight w:val="0"/>
      <w:marTop w:val="0"/>
      <w:marBottom w:val="0"/>
      <w:divBdr>
        <w:top w:val="none" w:sz="0" w:space="0" w:color="auto"/>
        <w:left w:val="none" w:sz="0" w:space="0" w:color="auto"/>
        <w:bottom w:val="none" w:sz="0" w:space="0" w:color="auto"/>
        <w:right w:val="none" w:sz="0" w:space="0" w:color="auto"/>
      </w:divBdr>
    </w:div>
    <w:div w:id="2054688694">
      <w:bodyDiv w:val="1"/>
      <w:marLeft w:val="0"/>
      <w:marRight w:val="0"/>
      <w:marTop w:val="0"/>
      <w:marBottom w:val="0"/>
      <w:divBdr>
        <w:top w:val="none" w:sz="0" w:space="0" w:color="auto"/>
        <w:left w:val="none" w:sz="0" w:space="0" w:color="auto"/>
        <w:bottom w:val="none" w:sz="0" w:space="0" w:color="auto"/>
        <w:right w:val="none" w:sz="0" w:space="0" w:color="auto"/>
      </w:divBdr>
    </w:div>
    <w:div w:id="2054841747">
      <w:bodyDiv w:val="1"/>
      <w:marLeft w:val="0"/>
      <w:marRight w:val="0"/>
      <w:marTop w:val="0"/>
      <w:marBottom w:val="0"/>
      <w:divBdr>
        <w:top w:val="none" w:sz="0" w:space="0" w:color="auto"/>
        <w:left w:val="none" w:sz="0" w:space="0" w:color="auto"/>
        <w:bottom w:val="none" w:sz="0" w:space="0" w:color="auto"/>
        <w:right w:val="none" w:sz="0" w:space="0" w:color="auto"/>
      </w:divBdr>
    </w:div>
    <w:div w:id="2054881735">
      <w:bodyDiv w:val="1"/>
      <w:marLeft w:val="0"/>
      <w:marRight w:val="0"/>
      <w:marTop w:val="0"/>
      <w:marBottom w:val="0"/>
      <w:divBdr>
        <w:top w:val="none" w:sz="0" w:space="0" w:color="auto"/>
        <w:left w:val="none" w:sz="0" w:space="0" w:color="auto"/>
        <w:bottom w:val="none" w:sz="0" w:space="0" w:color="auto"/>
        <w:right w:val="none" w:sz="0" w:space="0" w:color="auto"/>
      </w:divBdr>
    </w:div>
    <w:div w:id="2055036362">
      <w:bodyDiv w:val="1"/>
      <w:marLeft w:val="0"/>
      <w:marRight w:val="0"/>
      <w:marTop w:val="0"/>
      <w:marBottom w:val="0"/>
      <w:divBdr>
        <w:top w:val="none" w:sz="0" w:space="0" w:color="auto"/>
        <w:left w:val="none" w:sz="0" w:space="0" w:color="auto"/>
        <w:bottom w:val="none" w:sz="0" w:space="0" w:color="auto"/>
        <w:right w:val="none" w:sz="0" w:space="0" w:color="auto"/>
      </w:divBdr>
    </w:div>
    <w:div w:id="2055038492">
      <w:bodyDiv w:val="1"/>
      <w:marLeft w:val="0"/>
      <w:marRight w:val="0"/>
      <w:marTop w:val="0"/>
      <w:marBottom w:val="0"/>
      <w:divBdr>
        <w:top w:val="none" w:sz="0" w:space="0" w:color="auto"/>
        <w:left w:val="none" w:sz="0" w:space="0" w:color="auto"/>
        <w:bottom w:val="none" w:sz="0" w:space="0" w:color="auto"/>
        <w:right w:val="none" w:sz="0" w:space="0" w:color="auto"/>
      </w:divBdr>
    </w:div>
    <w:div w:id="2055348852">
      <w:bodyDiv w:val="1"/>
      <w:marLeft w:val="0"/>
      <w:marRight w:val="0"/>
      <w:marTop w:val="0"/>
      <w:marBottom w:val="0"/>
      <w:divBdr>
        <w:top w:val="none" w:sz="0" w:space="0" w:color="auto"/>
        <w:left w:val="none" w:sz="0" w:space="0" w:color="auto"/>
        <w:bottom w:val="none" w:sz="0" w:space="0" w:color="auto"/>
        <w:right w:val="none" w:sz="0" w:space="0" w:color="auto"/>
      </w:divBdr>
    </w:div>
    <w:div w:id="2055420351">
      <w:bodyDiv w:val="1"/>
      <w:marLeft w:val="0"/>
      <w:marRight w:val="0"/>
      <w:marTop w:val="0"/>
      <w:marBottom w:val="0"/>
      <w:divBdr>
        <w:top w:val="none" w:sz="0" w:space="0" w:color="auto"/>
        <w:left w:val="none" w:sz="0" w:space="0" w:color="auto"/>
        <w:bottom w:val="none" w:sz="0" w:space="0" w:color="auto"/>
        <w:right w:val="none" w:sz="0" w:space="0" w:color="auto"/>
      </w:divBdr>
    </w:div>
    <w:div w:id="2055695687">
      <w:bodyDiv w:val="1"/>
      <w:marLeft w:val="0"/>
      <w:marRight w:val="0"/>
      <w:marTop w:val="0"/>
      <w:marBottom w:val="0"/>
      <w:divBdr>
        <w:top w:val="none" w:sz="0" w:space="0" w:color="auto"/>
        <w:left w:val="none" w:sz="0" w:space="0" w:color="auto"/>
        <w:bottom w:val="none" w:sz="0" w:space="0" w:color="auto"/>
        <w:right w:val="none" w:sz="0" w:space="0" w:color="auto"/>
      </w:divBdr>
    </w:div>
    <w:div w:id="2055884169">
      <w:bodyDiv w:val="1"/>
      <w:marLeft w:val="0"/>
      <w:marRight w:val="0"/>
      <w:marTop w:val="0"/>
      <w:marBottom w:val="0"/>
      <w:divBdr>
        <w:top w:val="none" w:sz="0" w:space="0" w:color="auto"/>
        <w:left w:val="none" w:sz="0" w:space="0" w:color="auto"/>
        <w:bottom w:val="none" w:sz="0" w:space="0" w:color="auto"/>
        <w:right w:val="none" w:sz="0" w:space="0" w:color="auto"/>
      </w:divBdr>
    </w:div>
    <w:div w:id="2055885373">
      <w:bodyDiv w:val="1"/>
      <w:marLeft w:val="0"/>
      <w:marRight w:val="0"/>
      <w:marTop w:val="0"/>
      <w:marBottom w:val="0"/>
      <w:divBdr>
        <w:top w:val="none" w:sz="0" w:space="0" w:color="auto"/>
        <w:left w:val="none" w:sz="0" w:space="0" w:color="auto"/>
        <w:bottom w:val="none" w:sz="0" w:space="0" w:color="auto"/>
        <w:right w:val="none" w:sz="0" w:space="0" w:color="auto"/>
      </w:divBdr>
    </w:div>
    <w:div w:id="2055885486">
      <w:bodyDiv w:val="1"/>
      <w:marLeft w:val="0"/>
      <w:marRight w:val="0"/>
      <w:marTop w:val="0"/>
      <w:marBottom w:val="0"/>
      <w:divBdr>
        <w:top w:val="none" w:sz="0" w:space="0" w:color="auto"/>
        <w:left w:val="none" w:sz="0" w:space="0" w:color="auto"/>
        <w:bottom w:val="none" w:sz="0" w:space="0" w:color="auto"/>
        <w:right w:val="none" w:sz="0" w:space="0" w:color="auto"/>
      </w:divBdr>
    </w:div>
    <w:div w:id="2055932305">
      <w:bodyDiv w:val="1"/>
      <w:marLeft w:val="0"/>
      <w:marRight w:val="0"/>
      <w:marTop w:val="0"/>
      <w:marBottom w:val="0"/>
      <w:divBdr>
        <w:top w:val="none" w:sz="0" w:space="0" w:color="auto"/>
        <w:left w:val="none" w:sz="0" w:space="0" w:color="auto"/>
        <w:bottom w:val="none" w:sz="0" w:space="0" w:color="auto"/>
        <w:right w:val="none" w:sz="0" w:space="0" w:color="auto"/>
      </w:divBdr>
    </w:div>
    <w:div w:id="2055957433">
      <w:bodyDiv w:val="1"/>
      <w:marLeft w:val="0"/>
      <w:marRight w:val="0"/>
      <w:marTop w:val="0"/>
      <w:marBottom w:val="0"/>
      <w:divBdr>
        <w:top w:val="none" w:sz="0" w:space="0" w:color="auto"/>
        <w:left w:val="none" w:sz="0" w:space="0" w:color="auto"/>
        <w:bottom w:val="none" w:sz="0" w:space="0" w:color="auto"/>
        <w:right w:val="none" w:sz="0" w:space="0" w:color="auto"/>
      </w:divBdr>
    </w:div>
    <w:div w:id="2055961495">
      <w:bodyDiv w:val="1"/>
      <w:marLeft w:val="0"/>
      <w:marRight w:val="0"/>
      <w:marTop w:val="0"/>
      <w:marBottom w:val="0"/>
      <w:divBdr>
        <w:top w:val="none" w:sz="0" w:space="0" w:color="auto"/>
        <w:left w:val="none" w:sz="0" w:space="0" w:color="auto"/>
        <w:bottom w:val="none" w:sz="0" w:space="0" w:color="auto"/>
        <w:right w:val="none" w:sz="0" w:space="0" w:color="auto"/>
      </w:divBdr>
    </w:div>
    <w:div w:id="2056000110">
      <w:bodyDiv w:val="1"/>
      <w:marLeft w:val="0"/>
      <w:marRight w:val="0"/>
      <w:marTop w:val="0"/>
      <w:marBottom w:val="0"/>
      <w:divBdr>
        <w:top w:val="none" w:sz="0" w:space="0" w:color="auto"/>
        <w:left w:val="none" w:sz="0" w:space="0" w:color="auto"/>
        <w:bottom w:val="none" w:sz="0" w:space="0" w:color="auto"/>
        <w:right w:val="none" w:sz="0" w:space="0" w:color="auto"/>
      </w:divBdr>
    </w:div>
    <w:div w:id="2056197105">
      <w:bodyDiv w:val="1"/>
      <w:marLeft w:val="0"/>
      <w:marRight w:val="0"/>
      <w:marTop w:val="0"/>
      <w:marBottom w:val="0"/>
      <w:divBdr>
        <w:top w:val="none" w:sz="0" w:space="0" w:color="auto"/>
        <w:left w:val="none" w:sz="0" w:space="0" w:color="auto"/>
        <w:bottom w:val="none" w:sz="0" w:space="0" w:color="auto"/>
        <w:right w:val="none" w:sz="0" w:space="0" w:color="auto"/>
      </w:divBdr>
    </w:div>
    <w:div w:id="2056197475">
      <w:bodyDiv w:val="1"/>
      <w:marLeft w:val="0"/>
      <w:marRight w:val="0"/>
      <w:marTop w:val="0"/>
      <w:marBottom w:val="0"/>
      <w:divBdr>
        <w:top w:val="none" w:sz="0" w:space="0" w:color="auto"/>
        <w:left w:val="none" w:sz="0" w:space="0" w:color="auto"/>
        <w:bottom w:val="none" w:sz="0" w:space="0" w:color="auto"/>
        <w:right w:val="none" w:sz="0" w:space="0" w:color="auto"/>
      </w:divBdr>
    </w:div>
    <w:div w:id="2056268970">
      <w:bodyDiv w:val="1"/>
      <w:marLeft w:val="0"/>
      <w:marRight w:val="0"/>
      <w:marTop w:val="0"/>
      <w:marBottom w:val="0"/>
      <w:divBdr>
        <w:top w:val="none" w:sz="0" w:space="0" w:color="auto"/>
        <w:left w:val="none" w:sz="0" w:space="0" w:color="auto"/>
        <w:bottom w:val="none" w:sz="0" w:space="0" w:color="auto"/>
        <w:right w:val="none" w:sz="0" w:space="0" w:color="auto"/>
      </w:divBdr>
    </w:div>
    <w:div w:id="2056271728">
      <w:bodyDiv w:val="1"/>
      <w:marLeft w:val="0"/>
      <w:marRight w:val="0"/>
      <w:marTop w:val="0"/>
      <w:marBottom w:val="0"/>
      <w:divBdr>
        <w:top w:val="none" w:sz="0" w:space="0" w:color="auto"/>
        <w:left w:val="none" w:sz="0" w:space="0" w:color="auto"/>
        <w:bottom w:val="none" w:sz="0" w:space="0" w:color="auto"/>
        <w:right w:val="none" w:sz="0" w:space="0" w:color="auto"/>
      </w:divBdr>
    </w:div>
    <w:div w:id="2056351906">
      <w:bodyDiv w:val="1"/>
      <w:marLeft w:val="0"/>
      <w:marRight w:val="0"/>
      <w:marTop w:val="0"/>
      <w:marBottom w:val="0"/>
      <w:divBdr>
        <w:top w:val="none" w:sz="0" w:space="0" w:color="auto"/>
        <w:left w:val="none" w:sz="0" w:space="0" w:color="auto"/>
        <w:bottom w:val="none" w:sz="0" w:space="0" w:color="auto"/>
        <w:right w:val="none" w:sz="0" w:space="0" w:color="auto"/>
      </w:divBdr>
    </w:div>
    <w:div w:id="2056420968">
      <w:bodyDiv w:val="1"/>
      <w:marLeft w:val="0"/>
      <w:marRight w:val="0"/>
      <w:marTop w:val="0"/>
      <w:marBottom w:val="0"/>
      <w:divBdr>
        <w:top w:val="none" w:sz="0" w:space="0" w:color="auto"/>
        <w:left w:val="none" w:sz="0" w:space="0" w:color="auto"/>
        <w:bottom w:val="none" w:sz="0" w:space="0" w:color="auto"/>
        <w:right w:val="none" w:sz="0" w:space="0" w:color="auto"/>
      </w:divBdr>
    </w:div>
    <w:div w:id="2056537710">
      <w:bodyDiv w:val="1"/>
      <w:marLeft w:val="0"/>
      <w:marRight w:val="0"/>
      <w:marTop w:val="0"/>
      <w:marBottom w:val="0"/>
      <w:divBdr>
        <w:top w:val="none" w:sz="0" w:space="0" w:color="auto"/>
        <w:left w:val="none" w:sz="0" w:space="0" w:color="auto"/>
        <w:bottom w:val="none" w:sz="0" w:space="0" w:color="auto"/>
        <w:right w:val="none" w:sz="0" w:space="0" w:color="auto"/>
      </w:divBdr>
    </w:div>
    <w:div w:id="2056612367">
      <w:bodyDiv w:val="1"/>
      <w:marLeft w:val="0"/>
      <w:marRight w:val="0"/>
      <w:marTop w:val="0"/>
      <w:marBottom w:val="0"/>
      <w:divBdr>
        <w:top w:val="none" w:sz="0" w:space="0" w:color="auto"/>
        <w:left w:val="none" w:sz="0" w:space="0" w:color="auto"/>
        <w:bottom w:val="none" w:sz="0" w:space="0" w:color="auto"/>
        <w:right w:val="none" w:sz="0" w:space="0" w:color="auto"/>
      </w:divBdr>
    </w:div>
    <w:div w:id="2056653987">
      <w:bodyDiv w:val="1"/>
      <w:marLeft w:val="0"/>
      <w:marRight w:val="0"/>
      <w:marTop w:val="0"/>
      <w:marBottom w:val="0"/>
      <w:divBdr>
        <w:top w:val="none" w:sz="0" w:space="0" w:color="auto"/>
        <w:left w:val="none" w:sz="0" w:space="0" w:color="auto"/>
        <w:bottom w:val="none" w:sz="0" w:space="0" w:color="auto"/>
        <w:right w:val="none" w:sz="0" w:space="0" w:color="auto"/>
      </w:divBdr>
    </w:div>
    <w:div w:id="2056734720">
      <w:bodyDiv w:val="1"/>
      <w:marLeft w:val="0"/>
      <w:marRight w:val="0"/>
      <w:marTop w:val="0"/>
      <w:marBottom w:val="0"/>
      <w:divBdr>
        <w:top w:val="none" w:sz="0" w:space="0" w:color="auto"/>
        <w:left w:val="none" w:sz="0" w:space="0" w:color="auto"/>
        <w:bottom w:val="none" w:sz="0" w:space="0" w:color="auto"/>
        <w:right w:val="none" w:sz="0" w:space="0" w:color="auto"/>
      </w:divBdr>
    </w:div>
    <w:div w:id="2056736294">
      <w:bodyDiv w:val="1"/>
      <w:marLeft w:val="0"/>
      <w:marRight w:val="0"/>
      <w:marTop w:val="0"/>
      <w:marBottom w:val="0"/>
      <w:divBdr>
        <w:top w:val="none" w:sz="0" w:space="0" w:color="auto"/>
        <w:left w:val="none" w:sz="0" w:space="0" w:color="auto"/>
        <w:bottom w:val="none" w:sz="0" w:space="0" w:color="auto"/>
        <w:right w:val="none" w:sz="0" w:space="0" w:color="auto"/>
      </w:divBdr>
    </w:div>
    <w:div w:id="2056737548">
      <w:bodyDiv w:val="1"/>
      <w:marLeft w:val="0"/>
      <w:marRight w:val="0"/>
      <w:marTop w:val="0"/>
      <w:marBottom w:val="0"/>
      <w:divBdr>
        <w:top w:val="none" w:sz="0" w:space="0" w:color="auto"/>
        <w:left w:val="none" w:sz="0" w:space="0" w:color="auto"/>
        <w:bottom w:val="none" w:sz="0" w:space="0" w:color="auto"/>
        <w:right w:val="none" w:sz="0" w:space="0" w:color="auto"/>
      </w:divBdr>
    </w:div>
    <w:div w:id="2056805635">
      <w:bodyDiv w:val="1"/>
      <w:marLeft w:val="0"/>
      <w:marRight w:val="0"/>
      <w:marTop w:val="0"/>
      <w:marBottom w:val="0"/>
      <w:divBdr>
        <w:top w:val="none" w:sz="0" w:space="0" w:color="auto"/>
        <w:left w:val="none" w:sz="0" w:space="0" w:color="auto"/>
        <w:bottom w:val="none" w:sz="0" w:space="0" w:color="auto"/>
        <w:right w:val="none" w:sz="0" w:space="0" w:color="auto"/>
      </w:divBdr>
    </w:div>
    <w:div w:id="2057049097">
      <w:bodyDiv w:val="1"/>
      <w:marLeft w:val="0"/>
      <w:marRight w:val="0"/>
      <w:marTop w:val="0"/>
      <w:marBottom w:val="0"/>
      <w:divBdr>
        <w:top w:val="none" w:sz="0" w:space="0" w:color="auto"/>
        <w:left w:val="none" w:sz="0" w:space="0" w:color="auto"/>
        <w:bottom w:val="none" w:sz="0" w:space="0" w:color="auto"/>
        <w:right w:val="none" w:sz="0" w:space="0" w:color="auto"/>
      </w:divBdr>
    </w:div>
    <w:div w:id="2057193240">
      <w:bodyDiv w:val="1"/>
      <w:marLeft w:val="0"/>
      <w:marRight w:val="0"/>
      <w:marTop w:val="0"/>
      <w:marBottom w:val="0"/>
      <w:divBdr>
        <w:top w:val="none" w:sz="0" w:space="0" w:color="auto"/>
        <w:left w:val="none" w:sz="0" w:space="0" w:color="auto"/>
        <w:bottom w:val="none" w:sz="0" w:space="0" w:color="auto"/>
        <w:right w:val="none" w:sz="0" w:space="0" w:color="auto"/>
      </w:divBdr>
    </w:div>
    <w:div w:id="2057198097">
      <w:bodyDiv w:val="1"/>
      <w:marLeft w:val="0"/>
      <w:marRight w:val="0"/>
      <w:marTop w:val="0"/>
      <w:marBottom w:val="0"/>
      <w:divBdr>
        <w:top w:val="none" w:sz="0" w:space="0" w:color="auto"/>
        <w:left w:val="none" w:sz="0" w:space="0" w:color="auto"/>
        <w:bottom w:val="none" w:sz="0" w:space="0" w:color="auto"/>
        <w:right w:val="none" w:sz="0" w:space="0" w:color="auto"/>
      </w:divBdr>
    </w:div>
    <w:div w:id="2057198568">
      <w:bodyDiv w:val="1"/>
      <w:marLeft w:val="0"/>
      <w:marRight w:val="0"/>
      <w:marTop w:val="0"/>
      <w:marBottom w:val="0"/>
      <w:divBdr>
        <w:top w:val="none" w:sz="0" w:space="0" w:color="auto"/>
        <w:left w:val="none" w:sz="0" w:space="0" w:color="auto"/>
        <w:bottom w:val="none" w:sz="0" w:space="0" w:color="auto"/>
        <w:right w:val="none" w:sz="0" w:space="0" w:color="auto"/>
      </w:divBdr>
    </w:div>
    <w:div w:id="2057199667">
      <w:bodyDiv w:val="1"/>
      <w:marLeft w:val="0"/>
      <w:marRight w:val="0"/>
      <w:marTop w:val="0"/>
      <w:marBottom w:val="0"/>
      <w:divBdr>
        <w:top w:val="none" w:sz="0" w:space="0" w:color="auto"/>
        <w:left w:val="none" w:sz="0" w:space="0" w:color="auto"/>
        <w:bottom w:val="none" w:sz="0" w:space="0" w:color="auto"/>
        <w:right w:val="none" w:sz="0" w:space="0" w:color="auto"/>
      </w:divBdr>
    </w:div>
    <w:div w:id="2057242591">
      <w:bodyDiv w:val="1"/>
      <w:marLeft w:val="0"/>
      <w:marRight w:val="0"/>
      <w:marTop w:val="0"/>
      <w:marBottom w:val="0"/>
      <w:divBdr>
        <w:top w:val="none" w:sz="0" w:space="0" w:color="auto"/>
        <w:left w:val="none" w:sz="0" w:space="0" w:color="auto"/>
        <w:bottom w:val="none" w:sz="0" w:space="0" w:color="auto"/>
        <w:right w:val="none" w:sz="0" w:space="0" w:color="auto"/>
      </w:divBdr>
    </w:div>
    <w:div w:id="2057466528">
      <w:bodyDiv w:val="1"/>
      <w:marLeft w:val="0"/>
      <w:marRight w:val="0"/>
      <w:marTop w:val="0"/>
      <w:marBottom w:val="0"/>
      <w:divBdr>
        <w:top w:val="none" w:sz="0" w:space="0" w:color="auto"/>
        <w:left w:val="none" w:sz="0" w:space="0" w:color="auto"/>
        <w:bottom w:val="none" w:sz="0" w:space="0" w:color="auto"/>
        <w:right w:val="none" w:sz="0" w:space="0" w:color="auto"/>
      </w:divBdr>
    </w:div>
    <w:div w:id="2057507713">
      <w:bodyDiv w:val="1"/>
      <w:marLeft w:val="0"/>
      <w:marRight w:val="0"/>
      <w:marTop w:val="0"/>
      <w:marBottom w:val="0"/>
      <w:divBdr>
        <w:top w:val="none" w:sz="0" w:space="0" w:color="auto"/>
        <w:left w:val="none" w:sz="0" w:space="0" w:color="auto"/>
        <w:bottom w:val="none" w:sz="0" w:space="0" w:color="auto"/>
        <w:right w:val="none" w:sz="0" w:space="0" w:color="auto"/>
      </w:divBdr>
    </w:div>
    <w:div w:id="2057508603">
      <w:bodyDiv w:val="1"/>
      <w:marLeft w:val="0"/>
      <w:marRight w:val="0"/>
      <w:marTop w:val="0"/>
      <w:marBottom w:val="0"/>
      <w:divBdr>
        <w:top w:val="none" w:sz="0" w:space="0" w:color="auto"/>
        <w:left w:val="none" w:sz="0" w:space="0" w:color="auto"/>
        <w:bottom w:val="none" w:sz="0" w:space="0" w:color="auto"/>
        <w:right w:val="none" w:sz="0" w:space="0" w:color="auto"/>
      </w:divBdr>
    </w:div>
    <w:div w:id="2057703103">
      <w:bodyDiv w:val="1"/>
      <w:marLeft w:val="0"/>
      <w:marRight w:val="0"/>
      <w:marTop w:val="0"/>
      <w:marBottom w:val="0"/>
      <w:divBdr>
        <w:top w:val="none" w:sz="0" w:space="0" w:color="auto"/>
        <w:left w:val="none" w:sz="0" w:space="0" w:color="auto"/>
        <w:bottom w:val="none" w:sz="0" w:space="0" w:color="auto"/>
        <w:right w:val="none" w:sz="0" w:space="0" w:color="auto"/>
      </w:divBdr>
    </w:div>
    <w:div w:id="2057773289">
      <w:bodyDiv w:val="1"/>
      <w:marLeft w:val="0"/>
      <w:marRight w:val="0"/>
      <w:marTop w:val="0"/>
      <w:marBottom w:val="0"/>
      <w:divBdr>
        <w:top w:val="none" w:sz="0" w:space="0" w:color="auto"/>
        <w:left w:val="none" w:sz="0" w:space="0" w:color="auto"/>
        <w:bottom w:val="none" w:sz="0" w:space="0" w:color="auto"/>
        <w:right w:val="none" w:sz="0" w:space="0" w:color="auto"/>
      </w:divBdr>
    </w:div>
    <w:div w:id="2057777612">
      <w:bodyDiv w:val="1"/>
      <w:marLeft w:val="0"/>
      <w:marRight w:val="0"/>
      <w:marTop w:val="0"/>
      <w:marBottom w:val="0"/>
      <w:divBdr>
        <w:top w:val="none" w:sz="0" w:space="0" w:color="auto"/>
        <w:left w:val="none" w:sz="0" w:space="0" w:color="auto"/>
        <w:bottom w:val="none" w:sz="0" w:space="0" w:color="auto"/>
        <w:right w:val="none" w:sz="0" w:space="0" w:color="auto"/>
      </w:divBdr>
    </w:div>
    <w:div w:id="2057778987">
      <w:bodyDiv w:val="1"/>
      <w:marLeft w:val="0"/>
      <w:marRight w:val="0"/>
      <w:marTop w:val="0"/>
      <w:marBottom w:val="0"/>
      <w:divBdr>
        <w:top w:val="none" w:sz="0" w:space="0" w:color="auto"/>
        <w:left w:val="none" w:sz="0" w:space="0" w:color="auto"/>
        <w:bottom w:val="none" w:sz="0" w:space="0" w:color="auto"/>
        <w:right w:val="none" w:sz="0" w:space="0" w:color="auto"/>
      </w:divBdr>
    </w:div>
    <w:div w:id="2057779754">
      <w:bodyDiv w:val="1"/>
      <w:marLeft w:val="0"/>
      <w:marRight w:val="0"/>
      <w:marTop w:val="0"/>
      <w:marBottom w:val="0"/>
      <w:divBdr>
        <w:top w:val="none" w:sz="0" w:space="0" w:color="auto"/>
        <w:left w:val="none" w:sz="0" w:space="0" w:color="auto"/>
        <w:bottom w:val="none" w:sz="0" w:space="0" w:color="auto"/>
        <w:right w:val="none" w:sz="0" w:space="0" w:color="auto"/>
      </w:divBdr>
    </w:div>
    <w:div w:id="2057854741">
      <w:bodyDiv w:val="1"/>
      <w:marLeft w:val="0"/>
      <w:marRight w:val="0"/>
      <w:marTop w:val="0"/>
      <w:marBottom w:val="0"/>
      <w:divBdr>
        <w:top w:val="none" w:sz="0" w:space="0" w:color="auto"/>
        <w:left w:val="none" w:sz="0" w:space="0" w:color="auto"/>
        <w:bottom w:val="none" w:sz="0" w:space="0" w:color="auto"/>
        <w:right w:val="none" w:sz="0" w:space="0" w:color="auto"/>
      </w:divBdr>
    </w:div>
    <w:div w:id="2058238195">
      <w:bodyDiv w:val="1"/>
      <w:marLeft w:val="0"/>
      <w:marRight w:val="0"/>
      <w:marTop w:val="0"/>
      <w:marBottom w:val="0"/>
      <w:divBdr>
        <w:top w:val="none" w:sz="0" w:space="0" w:color="auto"/>
        <w:left w:val="none" w:sz="0" w:space="0" w:color="auto"/>
        <w:bottom w:val="none" w:sz="0" w:space="0" w:color="auto"/>
        <w:right w:val="none" w:sz="0" w:space="0" w:color="auto"/>
      </w:divBdr>
    </w:div>
    <w:div w:id="2058430040">
      <w:bodyDiv w:val="1"/>
      <w:marLeft w:val="0"/>
      <w:marRight w:val="0"/>
      <w:marTop w:val="0"/>
      <w:marBottom w:val="0"/>
      <w:divBdr>
        <w:top w:val="none" w:sz="0" w:space="0" w:color="auto"/>
        <w:left w:val="none" w:sz="0" w:space="0" w:color="auto"/>
        <w:bottom w:val="none" w:sz="0" w:space="0" w:color="auto"/>
        <w:right w:val="none" w:sz="0" w:space="0" w:color="auto"/>
      </w:divBdr>
    </w:div>
    <w:div w:id="2058583109">
      <w:bodyDiv w:val="1"/>
      <w:marLeft w:val="0"/>
      <w:marRight w:val="0"/>
      <w:marTop w:val="0"/>
      <w:marBottom w:val="0"/>
      <w:divBdr>
        <w:top w:val="none" w:sz="0" w:space="0" w:color="auto"/>
        <w:left w:val="none" w:sz="0" w:space="0" w:color="auto"/>
        <w:bottom w:val="none" w:sz="0" w:space="0" w:color="auto"/>
        <w:right w:val="none" w:sz="0" w:space="0" w:color="auto"/>
      </w:divBdr>
    </w:div>
    <w:div w:id="2058622283">
      <w:bodyDiv w:val="1"/>
      <w:marLeft w:val="0"/>
      <w:marRight w:val="0"/>
      <w:marTop w:val="0"/>
      <w:marBottom w:val="0"/>
      <w:divBdr>
        <w:top w:val="none" w:sz="0" w:space="0" w:color="auto"/>
        <w:left w:val="none" w:sz="0" w:space="0" w:color="auto"/>
        <w:bottom w:val="none" w:sz="0" w:space="0" w:color="auto"/>
        <w:right w:val="none" w:sz="0" w:space="0" w:color="auto"/>
      </w:divBdr>
    </w:div>
    <w:div w:id="2058626409">
      <w:bodyDiv w:val="1"/>
      <w:marLeft w:val="0"/>
      <w:marRight w:val="0"/>
      <w:marTop w:val="0"/>
      <w:marBottom w:val="0"/>
      <w:divBdr>
        <w:top w:val="none" w:sz="0" w:space="0" w:color="auto"/>
        <w:left w:val="none" w:sz="0" w:space="0" w:color="auto"/>
        <w:bottom w:val="none" w:sz="0" w:space="0" w:color="auto"/>
        <w:right w:val="none" w:sz="0" w:space="0" w:color="auto"/>
      </w:divBdr>
    </w:div>
    <w:div w:id="2058773600">
      <w:bodyDiv w:val="1"/>
      <w:marLeft w:val="0"/>
      <w:marRight w:val="0"/>
      <w:marTop w:val="0"/>
      <w:marBottom w:val="0"/>
      <w:divBdr>
        <w:top w:val="none" w:sz="0" w:space="0" w:color="auto"/>
        <w:left w:val="none" w:sz="0" w:space="0" w:color="auto"/>
        <w:bottom w:val="none" w:sz="0" w:space="0" w:color="auto"/>
        <w:right w:val="none" w:sz="0" w:space="0" w:color="auto"/>
      </w:divBdr>
    </w:div>
    <w:div w:id="2058813632">
      <w:bodyDiv w:val="1"/>
      <w:marLeft w:val="0"/>
      <w:marRight w:val="0"/>
      <w:marTop w:val="0"/>
      <w:marBottom w:val="0"/>
      <w:divBdr>
        <w:top w:val="none" w:sz="0" w:space="0" w:color="auto"/>
        <w:left w:val="none" w:sz="0" w:space="0" w:color="auto"/>
        <w:bottom w:val="none" w:sz="0" w:space="0" w:color="auto"/>
        <w:right w:val="none" w:sz="0" w:space="0" w:color="auto"/>
      </w:divBdr>
    </w:div>
    <w:div w:id="2058821250">
      <w:bodyDiv w:val="1"/>
      <w:marLeft w:val="0"/>
      <w:marRight w:val="0"/>
      <w:marTop w:val="0"/>
      <w:marBottom w:val="0"/>
      <w:divBdr>
        <w:top w:val="none" w:sz="0" w:space="0" w:color="auto"/>
        <w:left w:val="none" w:sz="0" w:space="0" w:color="auto"/>
        <w:bottom w:val="none" w:sz="0" w:space="0" w:color="auto"/>
        <w:right w:val="none" w:sz="0" w:space="0" w:color="auto"/>
      </w:divBdr>
    </w:div>
    <w:div w:id="2058967114">
      <w:bodyDiv w:val="1"/>
      <w:marLeft w:val="0"/>
      <w:marRight w:val="0"/>
      <w:marTop w:val="0"/>
      <w:marBottom w:val="0"/>
      <w:divBdr>
        <w:top w:val="none" w:sz="0" w:space="0" w:color="auto"/>
        <w:left w:val="none" w:sz="0" w:space="0" w:color="auto"/>
        <w:bottom w:val="none" w:sz="0" w:space="0" w:color="auto"/>
        <w:right w:val="none" w:sz="0" w:space="0" w:color="auto"/>
      </w:divBdr>
    </w:div>
    <w:div w:id="2058969404">
      <w:bodyDiv w:val="1"/>
      <w:marLeft w:val="0"/>
      <w:marRight w:val="0"/>
      <w:marTop w:val="0"/>
      <w:marBottom w:val="0"/>
      <w:divBdr>
        <w:top w:val="none" w:sz="0" w:space="0" w:color="auto"/>
        <w:left w:val="none" w:sz="0" w:space="0" w:color="auto"/>
        <w:bottom w:val="none" w:sz="0" w:space="0" w:color="auto"/>
        <w:right w:val="none" w:sz="0" w:space="0" w:color="auto"/>
      </w:divBdr>
    </w:div>
    <w:div w:id="2059236716">
      <w:bodyDiv w:val="1"/>
      <w:marLeft w:val="0"/>
      <w:marRight w:val="0"/>
      <w:marTop w:val="0"/>
      <w:marBottom w:val="0"/>
      <w:divBdr>
        <w:top w:val="none" w:sz="0" w:space="0" w:color="auto"/>
        <w:left w:val="none" w:sz="0" w:space="0" w:color="auto"/>
        <w:bottom w:val="none" w:sz="0" w:space="0" w:color="auto"/>
        <w:right w:val="none" w:sz="0" w:space="0" w:color="auto"/>
      </w:divBdr>
    </w:div>
    <w:div w:id="2059353041">
      <w:bodyDiv w:val="1"/>
      <w:marLeft w:val="0"/>
      <w:marRight w:val="0"/>
      <w:marTop w:val="0"/>
      <w:marBottom w:val="0"/>
      <w:divBdr>
        <w:top w:val="none" w:sz="0" w:space="0" w:color="auto"/>
        <w:left w:val="none" w:sz="0" w:space="0" w:color="auto"/>
        <w:bottom w:val="none" w:sz="0" w:space="0" w:color="auto"/>
        <w:right w:val="none" w:sz="0" w:space="0" w:color="auto"/>
      </w:divBdr>
    </w:div>
    <w:div w:id="2059425717">
      <w:bodyDiv w:val="1"/>
      <w:marLeft w:val="0"/>
      <w:marRight w:val="0"/>
      <w:marTop w:val="0"/>
      <w:marBottom w:val="0"/>
      <w:divBdr>
        <w:top w:val="none" w:sz="0" w:space="0" w:color="auto"/>
        <w:left w:val="none" w:sz="0" w:space="0" w:color="auto"/>
        <w:bottom w:val="none" w:sz="0" w:space="0" w:color="auto"/>
        <w:right w:val="none" w:sz="0" w:space="0" w:color="auto"/>
      </w:divBdr>
    </w:div>
    <w:div w:id="2059428685">
      <w:bodyDiv w:val="1"/>
      <w:marLeft w:val="0"/>
      <w:marRight w:val="0"/>
      <w:marTop w:val="0"/>
      <w:marBottom w:val="0"/>
      <w:divBdr>
        <w:top w:val="none" w:sz="0" w:space="0" w:color="auto"/>
        <w:left w:val="none" w:sz="0" w:space="0" w:color="auto"/>
        <w:bottom w:val="none" w:sz="0" w:space="0" w:color="auto"/>
        <w:right w:val="none" w:sz="0" w:space="0" w:color="auto"/>
      </w:divBdr>
    </w:div>
    <w:div w:id="2059430923">
      <w:bodyDiv w:val="1"/>
      <w:marLeft w:val="0"/>
      <w:marRight w:val="0"/>
      <w:marTop w:val="0"/>
      <w:marBottom w:val="0"/>
      <w:divBdr>
        <w:top w:val="none" w:sz="0" w:space="0" w:color="auto"/>
        <w:left w:val="none" w:sz="0" w:space="0" w:color="auto"/>
        <w:bottom w:val="none" w:sz="0" w:space="0" w:color="auto"/>
        <w:right w:val="none" w:sz="0" w:space="0" w:color="auto"/>
      </w:divBdr>
    </w:div>
    <w:div w:id="2059625984">
      <w:bodyDiv w:val="1"/>
      <w:marLeft w:val="0"/>
      <w:marRight w:val="0"/>
      <w:marTop w:val="0"/>
      <w:marBottom w:val="0"/>
      <w:divBdr>
        <w:top w:val="none" w:sz="0" w:space="0" w:color="auto"/>
        <w:left w:val="none" w:sz="0" w:space="0" w:color="auto"/>
        <w:bottom w:val="none" w:sz="0" w:space="0" w:color="auto"/>
        <w:right w:val="none" w:sz="0" w:space="0" w:color="auto"/>
      </w:divBdr>
    </w:div>
    <w:div w:id="2059666112">
      <w:bodyDiv w:val="1"/>
      <w:marLeft w:val="0"/>
      <w:marRight w:val="0"/>
      <w:marTop w:val="0"/>
      <w:marBottom w:val="0"/>
      <w:divBdr>
        <w:top w:val="none" w:sz="0" w:space="0" w:color="auto"/>
        <w:left w:val="none" w:sz="0" w:space="0" w:color="auto"/>
        <w:bottom w:val="none" w:sz="0" w:space="0" w:color="auto"/>
        <w:right w:val="none" w:sz="0" w:space="0" w:color="auto"/>
      </w:divBdr>
    </w:div>
    <w:div w:id="2059666897">
      <w:bodyDiv w:val="1"/>
      <w:marLeft w:val="0"/>
      <w:marRight w:val="0"/>
      <w:marTop w:val="0"/>
      <w:marBottom w:val="0"/>
      <w:divBdr>
        <w:top w:val="none" w:sz="0" w:space="0" w:color="auto"/>
        <w:left w:val="none" w:sz="0" w:space="0" w:color="auto"/>
        <w:bottom w:val="none" w:sz="0" w:space="0" w:color="auto"/>
        <w:right w:val="none" w:sz="0" w:space="0" w:color="auto"/>
      </w:divBdr>
    </w:div>
    <w:div w:id="2059667142">
      <w:bodyDiv w:val="1"/>
      <w:marLeft w:val="0"/>
      <w:marRight w:val="0"/>
      <w:marTop w:val="0"/>
      <w:marBottom w:val="0"/>
      <w:divBdr>
        <w:top w:val="none" w:sz="0" w:space="0" w:color="auto"/>
        <w:left w:val="none" w:sz="0" w:space="0" w:color="auto"/>
        <w:bottom w:val="none" w:sz="0" w:space="0" w:color="auto"/>
        <w:right w:val="none" w:sz="0" w:space="0" w:color="auto"/>
      </w:divBdr>
    </w:div>
    <w:div w:id="2059741559">
      <w:bodyDiv w:val="1"/>
      <w:marLeft w:val="0"/>
      <w:marRight w:val="0"/>
      <w:marTop w:val="0"/>
      <w:marBottom w:val="0"/>
      <w:divBdr>
        <w:top w:val="none" w:sz="0" w:space="0" w:color="auto"/>
        <w:left w:val="none" w:sz="0" w:space="0" w:color="auto"/>
        <w:bottom w:val="none" w:sz="0" w:space="0" w:color="auto"/>
        <w:right w:val="none" w:sz="0" w:space="0" w:color="auto"/>
      </w:divBdr>
    </w:div>
    <w:div w:id="2059741961">
      <w:bodyDiv w:val="1"/>
      <w:marLeft w:val="0"/>
      <w:marRight w:val="0"/>
      <w:marTop w:val="0"/>
      <w:marBottom w:val="0"/>
      <w:divBdr>
        <w:top w:val="none" w:sz="0" w:space="0" w:color="auto"/>
        <w:left w:val="none" w:sz="0" w:space="0" w:color="auto"/>
        <w:bottom w:val="none" w:sz="0" w:space="0" w:color="auto"/>
        <w:right w:val="none" w:sz="0" w:space="0" w:color="auto"/>
      </w:divBdr>
    </w:div>
    <w:div w:id="2059813063">
      <w:bodyDiv w:val="1"/>
      <w:marLeft w:val="0"/>
      <w:marRight w:val="0"/>
      <w:marTop w:val="0"/>
      <w:marBottom w:val="0"/>
      <w:divBdr>
        <w:top w:val="none" w:sz="0" w:space="0" w:color="auto"/>
        <w:left w:val="none" w:sz="0" w:space="0" w:color="auto"/>
        <w:bottom w:val="none" w:sz="0" w:space="0" w:color="auto"/>
        <w:right w:val="none" w:sz="0" w:space="0" w:color="auto"/>
      </w:divBdr>
    </w:div>
    <w:div w:id="2060012353">
      <w:bodyDiv w:val="1"/>
      <w:marLeft w:val="0"/>
      <w:marRight w:val="0"/>
      <w:marTop w:val="0"/>
      <w:marBottom w:val="0"/>
      <w:divBdr>
        <w:top w:val="none" w:sz="0" w:space="0" w:color="auto"/>
        <w:left w:val="none" w:sz="0" w:space="0" w:color="auto"/>
        <w:bottom w:val="none" w:sz="0" w:space="0" w:color="auto"/>
        <w:right w:val="none" w:sz="0" w:space="0" w:color="auto"/>
      </w:divBdr>
    </w:div>
    <w:div w:id="2060084876">
      <w:bodyDiv w:val="1"/>
      <w:marLeft w:val="0"/>
      <w:marRight w:val="0"/>
      <w:marTop w:val="0"/>
      <w:marBottom w:val="0"/>
      <w:divBdr>
        <w:top w:val="none" w:sz="0" w:space="0" w:color="auto"/>
        <w:left w:val="none" w:sz="0" w:space="0" w:color="auto"/>
        <w:bottom w:val="none" w:sz="0" w:space="0" w:color="auto"/>
        <w:right w:val="none" w:sz="0" w:space="0" w:color="auto"/>
      </w:divBdr>
    </w:div>
    <w:div w:id="2060203694">
      <w:bodyDiv w:val="1"/>
      <w:marLeft w:val="0"/>
      <w:marRight w:val="0"/>
      <w:marTop w:val="0"/>
      <w:marBottom w:val="0"/>
      <w:divBdr>
        <w:top w:val="none" w:sz="0" w:space="0" w:color="auto"/>
        <w:left w:val="none" w:sz="0" w:space="0" w:color="auto"/>
        <w:bottom w:val="none" w:sz="0" w:space="0" w:color="auto"/>
        <w:right w:val="none" w:sz="0" w:space="0" w:color="auto"/>
      </w:divBdr>
    </w:div>
    <w:div w:id="2060392242">
      <w:bodyDiv w:val="1"/>
      <w:marLeft w:val="0"/>
      <w:marRight w:val="0"/>
      <w:marTop w:val="0"/>
      <w:marBottom w:val="0"/>
      <w:divBdr>
        <w:top w:val="none" w:sz="0" w:space="0" w:color="auto"/>
        <w:left w:val="none" w:sz="0" w:space="0" w:color="auto"/>
        <w:bottom w:val="none" w:sz="0" w:space="0" w:color="auto"/>
        <w:right w:val="none" w:sz="0" w:space="0" w:color="auto"/>
      </w:divBdr>
    </w:div>
    <w:div w:id="2060548945">
      <w:bodyDiv w:val="1"/>
      <w:marLeft w:val="0"/>
      <w:marRight w:val="0"/>
      <w:marTop w:val="0"/>
      <w:marBottom w:val="0"/>
      <w:divBdr>
        <w:top w:val="none" w:sz="0" w:space="0" w:color="auto"/>
        <w:left w:val="none" w:sz="0" w:space="0" w:color="auto"/>
        <w:bottom w:val="none" w:sz="0" w:space="0" w:color="auto"/>
        <w:right w:val="none" w:sz="0" w:space="0" w:color="auto"/>
      </w:divBdr>
    </w:div>
    <w:div w:id="2060662960">
      <w:bodyDiv w:val="1"/>
      <w:marLeft w:val="0"/>
      <w:marRight w:val="0"/>
      <w:marTop w:val="0"/>
      <w:marBottom w:val="0"/>
      <w:divBdr>
        <w:top w:val="none" w:sz="0" w:space="0" w:color="auto"/>
        <w:left w:val="none" w:sz="0" w:space="0" w:color="auto"/>
        <w:bottom w:val="none" w:sz="0" w:space="0" w:color="auto"/>
        <w:right w:val="none" w:sz="0" w:space="0" w:color="auto"/>
      </w:divBdr>
    </w:div>
    <w:div w:id="2060738332">
      <w:bodyDiv w:val="1"/>
      <w:marLeft w:val="0"/>
      <w:marRight w:val="0"/>
      <w:marTop w:val="0"/>
      <w:marBottom w:val="0"/>
      <w:divBdr>
        <w:top w:val="none" w:sz="0" w:space="0" w:color="auto"/>
        <w:left w:val="none" w:sz="0" w:space="0" w:color="auto"/>
        <w:bottom w:val="none" w:sz="0" w:space="0" w:color="auto"/>
        <w:right w:val="none" w:sz="0" w:space="0" w:color="auto"/>
      </w:divBdr>
    </w:div>
    <w:div w:id="2060741593">
      <w:bodyDiv w:val="1"/>
      <w:marLeft w:val="0"/>
      <w:marRight w:val="0"/>
      <w:marTop w:val="0"/>
      <w:marBottom w:val="0"/>
      <w:divBdr>
        <w:top w:val="none" w:sz="0" w:space="0" w:color="auto"/>
        <w:left w:val="none" w:sz="0" w:space="0" w:color="auto"/>
        <w:bottom w:val="none" w:sz="0" w:space="0" w:color="auto"/>
        <w:right w:val="none" w:sz="0" w:space="0" w:color="auto"/>
      </w:divBdr>
    </w:div>
    <w:div w:id="2060786614">
      <w:bodyDiv w:val="1"/>
      <w:marLeft w:val="0"/>
      <w:marRight w:val="0"/>
      <w:marTop w:val="0"/>
      <w:marBottom w:val="0"/>
      <w:divBdr>
        <w:top w:val="none" w:sz="0" w:space="0" w:color="auto"/>
        <w:left w:val="none" w:sz="0" w:space="0" w:color="auto"/>
        <w:bottom w:val="none" w:sz="0" w:space="0" w:color="auto"/>
        <w:right w:val="none" w:sz="0" w:space="0" w:color="auto"/>
      </w:divBdr>
    </w:div>
    <w:div w:id="2060812213">
      <w:bodyDiv w:val="1"/>
      <w:marLeft w:val="0"/>
      <w:marRight w:val="0"/>
      <w:marTop w:val="0"/>
      <w:marBottom w:val="0"/>
      <w:divBdr>
        <w:top w:val="none" w:sz="0" w:space="0" w:color="auto"/>
        <w:left w:val="none" w:sz="0" w:space="0" w:color="auto"/>
        <w:bottom w:val="none" w:sz="0" w:space="0" w:color="auto"/>
        <w:right w:val="none" w:sz="0" w:space="0" w:color="auto"/>
      </w:divBdr>
    </w:div>
    <w:div w:id="2060938069">
      <w:bodyDiv w:val="1"/>
      <w:marLeft w:val="0"/>
      <w:marRight w:val="0"/>
      <w:marTop w:val="0"/>
      <w:marBottom w:val="0"/>
      <w:divBdr>
        <w:top w:val="none" w:sz="0" w:space="0" w:color="auto"/>
        <w:left w:val="none" w:sz="0" w:space="0" w:color="auto"/>
        <w:bottom w:val="none" w:sz="0" w:space="0" w:color="auto"/>
        <w:right w:val="none" w:sz="0" w:space="0" w:color="auto"/>
      </w:divBdr>
    </w:div>
    <w:div w:id="2060938637">
      <w:bodyDiv w:val="1"/>
      <w:marLeft w:val="0"/>
      <w:marRight w:val="0"/>
      <w:marTop w:val="0"/>
      <w:marBottom w:val="0"/>
      <w:divBdr>
        <w:top w:val="none" w:sz="0" w:space="0" w:color="auto"/>
        <w:left w:val="none" w:sz="0" w:space="0" w:color="auto"/>
        <w:bottom w:val="none" w:sz="0" w:space="0" w:color="auto"/>
        <w:right w:val="none" w:sz="0" w:space="0" w:color="auto"/>
      </w:divBdr>
    </w:div>
    <w:div w:id="2060980516">
      <w:bodyDiv w:val="1"/>
      <w:marLeft w:val="0"/>
      <w:marRight w:val="0"/>
      <w:marTop w:val="0"/>
      <w:marBottom w:val="0"/>
      <w:divBdr>
        <w:top w:val="none" w:sz="0" w:space="0" w:color="auto"/>
        <w:left w:val="none" w:sz="0" w:space="0" w:color="auto"/>
        <w:bottom w:val="none" w:sz="0" w:space="0" w:color="auto"/>
        <w:right w:val="none" w:sz="0" w:space="0" w:color="auto"/>
      </w:divBdr>
    </w:div>
    <w:div w:id="2061321223">
      <w:bodyDiv w:val="1"/>
      <w:marLeft w:val="0"/>
      <w:marRight w:val="0"/>
      <w:marTop w:val="0"/>
      <w:marBottom w:val="0"/>
      <w:divBdr>
        <w:top w:val="none" w:sz="0" w:space="0" w:color="auto"/>
        <w:left w:val="none" w:sz="0" w:space="0" w:color="auto"/>
        <w:bottom w:val="none" w:sz="0" w:space="0" w:color="auto"/>
        <w:right w:val="none" w:sz="0" w:space="0" w:color="auto"/>
      </w:divBdr>
    </w:div>
    <w:div w:id="2061392608">
      <w:bodyDiv w:val="1"/>
      <w:marLeft w:val="0"/>
      <w:marRight w:val="0"/>
      <w:marTop w:val="0"/>
      <w:marBottom w:val="0"/>
      <w:divBdr>
        <w:top w:val="none" w:sz="0" w:space="0" w:color="auto"/>
        <w:left w:val="none" w:sz="0" w:space="0" w:color="auto"/>
        <w:bottom w:val="none" w:sz="0" w:space="0" w:color="auto"/>
        <w:right w:val="none" w:sz="0" w:space="0" w:color="auto"/>
      </w:divBdr>
    </w:div>
    <w:div w:id="2061393042">
      <w:bodyDiv w:val="1"/>
      <w:marLeft w:val="0"/>
      <w:marRight w:val="0"/>
      <w:marTop w:val="0"/>
      <w:marBottom w:val="0"/>
      <w:divBdr>
        <w:top w:val="none" w:sz="0" w:space="0" w:color="auto"/>
        <w:left w:val="none" w:sz="0" w:space="0" w:color="auto"/>
        <w:bottom w:val="none" w:sz="0" w:space="0" w:color="auto"/>
        <w:right w:val="none" w:sz="0" w:space="0" w:color="auto"/>
      </w:divBdr>
    </w:div>
    <w:div w:id="2061439990">
      <w:bodyDiv w:val="1"/>
      <w:marLeft w:val="0"/>
      <w:marRight w:val="0"/>
      <w:marTop w:val="0"/>
      <w:marBottom w:val="0"/>
      <w:divBdr>
        <w:top w:val="none" w:sz="0" w:space="0" w:color="auto"/>
        <w:left w:val="none" w:sz="0" w:space="0" w:color="auto"/>
        <w:bottom w:val="none" w:sz="0" w:space="0" w:color="auto"/>
        <w:right w:val="none" w:sz="0" w:space="0" w:color="auto"/>
      </w:divBdr>
    </w:div>
    <w:div w:id="2061509996">
      <w:bodyDiv w:val="1"/>
      <w:marLeft w:val="0"/>
      <w:marRight w:val="0"/>
      <w:marTop w:val="0"/>
      <w:marBottom w:val="0"/>
      <w:divBdr>
        <w:top w:val="none" w:sz="0" w:space="0" w:color="auto"/>
        <w:left w:val="none" w:sz="0" w:space="0" w:color="auto"/>
        <w:bottom w:val="none" w:sz="0" w:space="0" w:color="auto"/>
        <w:right w:val="none" w:sz="0" w:space="0" w:color="auto"/>
      </w:divBdr>
    </w:div>
    <w:div w:id="2061660772">
      <w:bodyDiv w:val="1"/>
      <w:marLeft w:val="0"/>
      <w:marRight w:val="0"/>
      <w:marTop w:val="0"/>
      <w:marBottom w:val="0"/>
      <w:divBdr>
        <w:top w:val="none" w:sz="0" w:space="0" w:color="auto"/>
        <w:left w:val="none" w:sz="0" w:space="0" w:color="auto"/>
        <w:bottom w:val="none" w:sz="0" w:space="0" w:color="auto"/>
        <w:right w:val="none" w:sz="0" w:space="0" w:color="auto"/>
      </w:divBdr>
    </w:div>
    <w:div w:id="2061780598">
      <w:bodyDiv w:val="1"/>
      <w:marLeft w:val="0"/>
      <w:marRight w:val="0"/>
      <w:marTop w:val="0"/>
      <w:marBottom w:val="0"/>
      <w:divBdr>
        <w:top w:val="none" w:sz="0" w:space="0" w:color="auto"/>
        <w:left w:val="none" w:sz="0" w:space="0" w:color="auto"/>
        <w:bottom w:val="none" w:sz="0" w:space="0" w:color="auto"/>
        <w:right w:val="none" w:sz="0" w:space="0" w:color="auto"/>
      </w:divBdr>
    </w:div>
    <w:div w:id="2061781890">
      <w:bodyDiv w:val="1"/>
      <w:marLeft w:val="0"/>
      <w:marRight w:val="0"/>
      <w:marTop w:val="0"/>
      <w:marBottom w:val="0"/>
      <w:divBdr>
        <w:top w:val="none" w:sz="0" w:space="0" w:color="auto"/>
        <w:left w:val="none" w:sz="0" w:space="0" w:color="auto"/>
        <w:bottom w:val="none" w:sz="0" w:space="0" w:color="auto"/>
        <w:right w:val="none" w:sz="0" w:space="0" w:color="auto"/>
      </w:divBdr>
    </w:div>
    <w:div w:id="2061860253">
      <w:bodyDiv w:val="1"/>
      <w:marLeft w:val="0"/>
      <w:marRight w:val="0"/>
      <w:marTop w:val="0"/>
      <w:marBottom w:val="0"/>
      <w:divBdr>
        <w:top w:val="none" w:sz="0" w:space="0" w:color="auto"/>
        <w:left w:val="none" w:sz="0" w:space="0" w:color="auto"/>
        <w:bottom w:val="none" w:sz="0" w:space="0" w:color="auto"/>
        <w:right w:val="none" w:sz="0" w:space="0" w:color="auto"/>
      </w:divBdr>
    </w:div>
    <w:div w:id="2061904767">
      <w:bodyDiv w:val="1"/>
      <w:marLeft w:val="0"/>
      <w:marRight w:val="0"/>
      <w:marTop w:val="0"/>
      <w:marBottom w:val="0"/>
      <w:divBdr>
        <w:top w:val="none" w:sz="0" w:space="0" w:color="auto"/>
        <w:left w:val="none" w:sz="0" w:space="0" w:color="auto"/>
        <w:bottom w:val="none" w:sz="0" w:space="0" w:color="auto"/>
        <w:right w:val="none" w:sz="0" w:space="0" w:color="auto"/>
      </w:divBdr>
    </w:div>
    <w:div w:id="2062055691">
      <w:bodyDiv w:val="1"/>
      <w:marLeft w:val="0"/>
      <w:marRight w:val="0"/>
      <w:marTop w:val="0"/>
      <w:marBottom w:val="0"/>
      <w:divBdr>
        <w:top w:val="none" w:sz="0" w:space="0" w:color="auto"/>
        <w:left w:val="none" w:sz="0" w:space="0" w:color="auto"/>
        <w:bottom w:val="none" w:sz="0" w:space="0" w:color="auto"/>
        <w:right w:val="none" w:sz="0" w:space="0" w:color="auto"/>
      </w:divBdr>
    </w:div>
    <w:div w:id="2062097648">
      <w:bodyDiv w:val="1"/>
      <w:marLeft w:val="0"/>
      <w:marRight w:val="0"/>
      <w:marTop w:val="0"/>
      <w:marBottom w:val="0"/>
      <w:divBdr>
        <w:top w:val="none" w:sz="0" w:space="0" w:color="auto"/>
        <w:left w:val="none" w:sz="0" w:space="0" w:color="auto"/>
        <w:bottom w:val="none" w:sz="0" w:space="0" w:color="auto"/>
        <w:right w:val="none" w:sz="0" w:space="0" w:color="auto"/>
      </w:divBdr>
    </w:div>
    <w:div w:id="2062318994">
      <w:bodyDiv w:val="1"/>
      <w:marLeft w:val="0"/>
      <w:marRight w:val="0"/>
      <w:marTop w:val="0"/>
      <w:marBottom w:val="0"/>
      <w:divBdr>
        <w:top w:val="none" w:sz="0" w:space="0" w:color="auto"/>
        <w:left w:val="none" w:sz="0" w:space="0" w:color="auto"/>
        <w:bottom w:val="none" w:sz="0" w:space="0" w:color="auto"/>
        <w:right w:val="none" w:sz="0" w:space="0" w:color="auto"/>
      </w:divBdr>
    </w:div>
    <w:div w:id="2062365734">
      <w:bodyDiv w:val="1"/>
      <w:marLeft w:val="0"/>
      <w:marRight w:val="0"/>
      <w:marTop w:val="0"/>
      <w:marBottom w:val="0"/>
      <w:divBdr>
        <w:top w:val="none" w:sz="0" w:space="0" w:color="auto"/>
        <w:left w:val="none" w:sz="0" w:space="0" w:color="auto"/>
        <w:bottom w:val="none" w:sz="0" w:space="0" w:color="auto"/>
        <w:right w:val="none" w:sz="0" w:space="0" w:color="auto"/>
      </w:divBdr>
    </w:div>
    <w:div w:id="2062634571">
      <w:bodyDiv w:val="1"/>
      <w:marLeft w:val="0"/>
      <w:marRight w:val="0"/>
      <w:marTop w:val="0"/>
      <w:marBottom w:val="0"/>
      <w:divBdr>
        <w:top w:val="none" w:sz="0" w:space="0" w:color="auto"/>
        <w:left w:val="none" w:sz="0" w:space="0" w:color="auto"/>
        <w:bottom w:val="none" w:sz="0" w:space="0" w:color="auto"/>
        <w:right w:val="none" w:sz="0" w:space="0" w:color="auto"/>
      </w:divBdr>
    </w:div>
    <w:div w:id="2062750625">
      <w:bodyDiv w:val="1"/>
      <w:marLeft w:val="0"/>
      <w:marRight w:val="0"/>
      <w:marTop w:val="0"/>
      <w:marBottom w:val="0"/>
      <w:divBdr>
        <w:top w:val="none" w:sz="0" w:space="0" w:color="auto"/>
        <w:left w:val="none" w:sz="0" w:space="0" w:color="auto"/>
        <w:bottom w:val="none" w:sz="0" w:space="0" w:color="auto"/>
        <w:right w:val="none" w:sz="0" w:space="0" w:color="auto"/>
      </w:divBdr>
    </w:div>
    <w:div w:id="2062900227">
      <w:bodyDiv w:val="1"/>
      <w:marLeft w:val="0"/>
      <w:marRight w:val="0"/>
      <w:marTop w:val="0"/>
      <w:marBottom w:val="0"/>
      <w:divBdr>
        <w:top w:val="none" w:sz="0" w:space="0" w:color="auto"/>
        <w:left w:val="none" w:sz="0" w:space="0" w:color="auto"/>
        <w:bottom w:val="none" w:sz="0" w:space="0" w:color="auto"/>
        <w:right w:val="none" w:sz="0" w:space="0" w:color="auto"/>
      </w:divBdr>
    </w:div>
    <w:div w:id="2062970774">
      <w:bodyDiv w:val="1"/>
      <w:marLeft w:val="0"/>
      <w:marRight w:val="0"/>
      <w:marTop w:val="0"/>
      <w:marBottom w:val="0"/>
      <w:divBdr>
        <w:top w:val="none" w:sz="0" w:space="0" w:color="auto"/>
        <w:left w:val="none" w:sz="0" w:space="0" w:color="auto"/>
        <w:bottom w:val="none" w:sz="0" w:space="0" w:color="auto"/>
        <w:right w:val="none" w:sz="0" w:space="0" w:color="auto"/>
      </w:divBdr>
    </w:div>
    <w:div w:id="2063211777">
      <w:bodyDiv w:val="1"/>
      <w:marLeft w:val="0"/>
      <w:marRight w:val="0"/>
      <w:marTop w:val="0"/>
      <w:marBottom w:val="0"/>
      <w:divBdr>
        <w:top w:val="none" w:sz="0" w:space="0" w:color="auto"/>
        <w:left w:val="none" w:sz="0" w:space="0" w:color="auto"/>
        <w:bottom w:val="none" w:sz="0" w:space="0" w:color="auto"/>
        <w:right w:val="none" w:sz="0" w:space="0" w:color="auto"/>
      </w:divBdr>
    </w:div>
    <w:div w:id="2063213272">
      <w:bodyDiv w:val="1"/>
      <w:marLeft w:val="0"/>
      <w:marRight w:val="0"/>
      <w:marTop w:val="0"/>
      <w:marBottom w:val="0"/>
      <w:divBdr>
        <w:top w:val="none" w:sz="0" w:space="0" w:color="auto"/>
        <w:left w:val="none" w:sz="0" w:space="0" w:color="auto"/>
        <w:bottom w:val="none" w:sz="0" w:space="0" w:color="auto"/>
        <w:right w:val="none" w:sz="0" w:space="0" w:color="auto"/>
      </w:divBdr>
    </w:div>
    <w:div w:id="2063359381">
      <w:bodyDiv w:val="1"/>
      <w:marLeft w:val="0"/>
      <w:marRight w:val="0"/>
      <w:marTop w:val="0"/>
      <w:marBottom w:val="0"/>
      <w:divBdr>
        <w:top w:val="none" w:sz="0" w:space="0" w:color="auto"/>
        <w:left w:val="none" w:sz="0" w:space="0" w:color="auto"/>
        <w:bottom w:val="none" w:sz="0" w:space="0" w:color="auto"/>
        <w:right w:val="none" w:sz="0" w:space="0" w:color="auto"/>
      </w:divBdr>
    </w:div>
    <w:div w:id="2063630122">
      <w:bodyDiv w:val="1"/>
      <w:marLeft w:val="0"/>
      <w:marRight w:val="0"/>
      <w:marTop w:val="0"/>
      <w:marBottom w:val="0"/>
      <w:divBdr>
        <w:top w:val="none" w:sz="0" w:space="0" w:color="auto"/>
        <w:left w:val="none" w:sz="0" w:space="0" w:color="auto"/>
        <w:bottom w:val="none" w:sz="0" w:space="0" w:color="auto"/>
        <w:right w:val="none" w:sz="0" w:space="0" w:color="auto"/>
      </w:divBdr>
    </w:div>
    <w:div w:id="2063630254">
      <w:bodyDiv w:val="1"/>
      <w:marLeft w:val="0"/>
      <w:marRight w:val="0"/>
      <w:marTop w:val="0"/>
      <w:marBottom w:val="0"/>
      <w:divBdr>
        <w:top w:val="none" w:sz="0" w:space="0" w:color="auto"/>
        <w:left w:val="none" w:sz="0" w:space="0" w:color="auto"/>
        <w:bottom w:val="none" w:sz="0" w:space="0" w:color="auto"/>
        <w:right w:val="none" w:sz="0" w:space="0" w:color="auto"/>
      </w:divBdr>
    </w:div>
    <w:div w:id="2063677705">
      <w:bodyDiv w:val="1"/>
      <w:marLeft w:val="0"/>
      <w:marRight w:val="0"/>
      <w:marTop w:val="0"/>
      <w:marBottom w:val="0"/>
      <w:divBdr>
        <w:top w:val="none" w:sz="0" w:space="0" w:color="auto"/>
        <w:left w:val="none" w:sz="0" w:space="0" w:color="auto"/>
        <w:bottom w:val="none" w:sz="0" w:space="0" w:color="auto"/>
        <w:right w:val="none" w:sz="0" w:space="0" w:color="auto"/>
      </w:divBdr>
    </w:div>
    <w:div w:id="2063862785">
      <w:bodyDiv w:val="1"/>
      <w:marLeft w:val="0"/>
      <w:marRight w:val="0"/>
      <w:marTop w:val="0"/>
      <w:marBottom w:val="0"/>
      <w:divBdr>
        <w:top w:val="none" w:sz="0" w:space="0" w:color="auto"/>
        <w:left w:val="none" w:sz="0" w:space="0" w:color="auto"/>
        <w:bottom w:val="none" w:sz="0" w:space="0" w:color="auto"/>
        <w:right w:val="none" w:sz="0" w:space="0" w:color="auto"/>
      </w:divBdr>
    </w:div>
    <w:div w:id="2064014536">
      <w:bodyDiv w:val="1"/>
      <w:marLeft w:val="0"/>
      <w:marRight w:val="0"/>
      <w:marTop w:val="0"/>
      <w:marBottom w:val="0"/>
      <w:divBdr>
        <w:top w:val="none" w:sz="0" w:space="0" w:color="auto"/>
        <w:left w:val="none" w:sz="0" w:space="0" w:color="auto"/>
        <w:bottom w:val="none" w:sz="0" w:space="0" w:color="auto"/>
        <w:right w:val="none" w:sz="0" w:space="0" w:color="auto"/>
      </w:divBdr>
    </w:div>
    <w:div w:id="2064213694">
      <w:bodyDiv w:val="1"/>
      <w:marLeft w:val="0"/>
      <w:marRight w:val="0"/>
      <w:marTop w:val="0"/>
      <w:marBottom w:val="0"/>
      <w:divBdr>
        <w:top w:val="none" w:sz="0" w:space="0" w:color="auto"/>
        <w:left w:val="none" w:sz="0" w:space="0" w:color="auto"/>
        <w:bottom w:val="none" w:sz="0" w:space="0" w:color="auto"/>
        <w:right w:val="none" w:sz="0" w:space="0" w:color="auto"/>
      </w:divBdr>
    </w:div>
    <w:div w:id="2064480560">
      <w:bodyDiv w:val="1"/>
      <w:marLeft w:val="0"/>
      <w:marRight w:val="0"/>
      <w:marTop w:val="0"/>
      <w:marBottom w:val="0"/>
      <w:divBdr>
        <w:top w:val="none" w:sz="0" w:space="0" w:color="auto"/>
        <w:left w:val="none" w:sz="0" w:space="0" w:color="auto"/>
        <w:bottom w:val="none" w:sz="0" w:space="0" w:color="auto"/>
        <w:right w:val="none" w:sz="0" w:space="0" w:color="auto"/>
      </w:divBdr>
    </w:div>
    <w:div w:id="2064600955">
      <w:bodyDiv w:val="1"/>
      <w:marLeft w:val="0"/>
      <w:marRight w:val="0"/>
      <w:marTop w:val="0"/>
      <w:marBottom w:val="0"/>
      <w:divBdr>
        <w:top w:val="none" w:sz="0" w:space="0" w:color="auto"/>
        <w:left w:val="none" w:sz="0" w:space="0" w:color="auto"/>
        <w:bottom w:val="none" w:sz="0" w:space="0" w:color="auto"/>
        <w:right w:val="none" w:sz="0" w:space="0" w:color="auto"/>
      </w:divBdr>
    </w:div>
    <w:div w:id="2064667942">
      <w:bodyDiv w:val="1"/>
      <w:marLeft w:val="0"/>
      <w:marRight w:val="0"/>
      <w:marTop w:val="0"/>
      <w:marBottom w:val="0"/>
      <w:divBdr>
        <w:top w:val="none" w:sz="0" w:space="0" w:color="auto"/>
        <w:left w:val="none" w:sz="0" w:space="0" w:color="auto"/>
        <w:bottom w:val="none" w:sz="0" w:space="0" w:color="auto"/>
        <w:right w:val="none" w:sz="0" w:space="0" w:color="auto"/>
      </w:divBdr>
    </w:div>
    <w:div w:id="2064981334">
      <w:bodyDiv w:val="1"/>
      <w:marLeft w:val="0"/>
      <w:marRight w:val="0"/>
      <w:marTop w:val="0"/>
      <w:marBottom w:val="0"/>
      <w:divBdr>
        <w:top w:val="none" w:sz="0" w:space="0" w:color="auto"/>
        <w:left w:val="none" w:sz="0" w:space="0" w:color="auto"/>
        <w:bottom w:val="none" w:sz="0" w:space="0" w:color="auto"/>
        <w:right w:val="none" w:sz="0" w:space="0" w:color="auto"/>
      </w:divBdr>
    </w:div>
    <w:div w:id="2064981602">
      <w:bodyDiv w:val="1"/>
      <w:marLeft w:val="0"/>
      <w:marRight w:val="0"/>
      <w:marTop w:val="0"/>
      <w:marBottom w:val="0"/>
      <w:divBdr>
        <w:top w:val="none" w:sz="0" w:space="0" w:color="auto"/>
        <w:left w:val="none" w:sz="0" w:space="0" w:color="auto"/>
        <w:bottom w:val="none" w:sz="0" w:space="0" w:color="auto"/>
        <w:right w:val="none" w:sz="0" w:space="0" w:color="auto"/>
      </w:divBdr>
    </w:div>
    <w:div w:id="2065254468">
      <w:bodyDiv w:val="1"/>
      <w:marLeft w:val="0"/>
      <w:marRight w:val="0"/>
      <w:marTop w:val="0"/>
      <w:marBottom w:val="0"/>
      <w:divBdr>
        <w:top w:val="none" w:sz="0" w:space="0" w:color="auto"/>
        <w:left w:val="none" w:sz="0" w:space="0" w:color="auto"/>
        <w:bottom w:val="none" w:sz="0" w:space="0" w:color="auto"/>
        <w:right w:val="none" w:sz="0" w:space="0" w:color="auto"/>
      </w:divBdr>
    </w:div>
    <w:div w:id="2065256909">
      <w:bodyDiv w:val="1"/>
      <w:marLeft w:val="0"/>
      <w:marRight w:val="0"/>
      <w:marTop w:val="0"/>
      <w:marBottom w:val="0"/>
      <w:divBdr>
        <w:top w:val="none" w:sz="0" w:space="0" w:color="auto"/>
        <w:left w:val="none" w:sz="0" w:space="0" w:color="auto"/>
        <w:bottom w:val="none" w:sz="0" w:space="0" w:color="auto"/>
        <w:right w:val="none" w:sz="0" w:space="0" w:color="auto"/>
      </w:divBdr>
    </w:div>
    <w:div w:id="2065399430">
      <w:bodyDiv w:val="1"/>
      <w:marLeft w:val="0"/>
      <w:marRight w:val="0"/>
      <w:marTop w:val="0"/>
      <w:marBottom w:val="0"/>
      <w:divBdr>
        <w:top w:val="none" w:sz="0" w:space="0" w:color="auto"/>
        <w:left w:val="none" w:sz="0" w:space="0" w:color="auto"/>
        <w:bottom w:val="none" w:sz="0" w:space="0" w:color="auto"/>
        <w:right w:val="none" w:sz="0" w:space="0" w:color="auto"/>
      </w:divBdr>
    </w:div>
    <w:div w:id="2065518563">
      <w:bodyDiv w:val="1"/>
      <w:marLeft w:val="0"/>
      <w:marRight w:val="0"/>
      <w:marTop w:val="0"/>
      <w:marBottom w:val="0"/>
      <w:divBdr>
        <w:top w:val="none" w:sz="0" w:space="0" w:color="auto"/>
        <w:left w:val="none" w:sz="0" w:space="0" w:color="auto"/>
        <w:bottom w:val="none" w:sz="0" w:space="0" w:color="auto"/>
        <w:right w:val="none" w:sz="0" w:space="0" w:color="auto"/>
      </w:divBdr>
    </w:div>
    <w:div w:id="2065639576">
      <w:bodyDiv w:val="1"/>
      <w:marLeft w:val="0"/>
      <w:marRight w:val="0"/>
      <w:marTop w:val="0"/>
      <w:marBottom w:val="0"/>
      <w:divBdr>
        <w:top w:val="none" w:sz="0" w:space="0" w:color="auto"/>
        <w:left w:val="none" w:sz="0" w:space="0" w:color="auto"/>
        <w:bottom w:val="none" w:sz="0" w:space="0" w:color="auto"/>
        <w:right w:val="none" w:sz="0" w:space="0" w:color="auto"/>
      </w:divBdr>
    </w:div>
    <w:div w:id="2065790736">
      <w:bodyDiv w:val="1"/>
      <w:marLeft w:val="0"/>
      <w:marRight w:val="0"/>
      <w:marTop w:val="0"/>
      <w:marBottom w:val="0"/>
      <w:divBdr>
        <w:top w:val="none" w:sz="0" w:space="0" w:color="auto"/>
        <w:left w:val="none" w:sz="0" w:space="0" w:color="auto"/>
        <w:bottom w:val="none" w:sz="0" w:space="0" w:color="auto"/>
        <w:right w:val="none" w:sz="0" w:space="0" w:color="auto"/>
      </w:divBdr>
    </w:div>
    <w:div w:id="2066290198">
      <w:bodyDiv w:val="1"/>
      <w:marLeft w:val="0"/>
      <w:marRight w:val="0"/>
      <w:marTop w:val="0"/>
      <w:marBottom w:val="0"/>
      <w:divBdr>
        <w:top w:val="none" w:sz="0" w:space="0" w:color="auto"/>
        <w:left w:val="none" w:sz="0" w:space="0" w:color="auto"/>
        <w:bottom w:val="none" w:sz="0" w:space="0" w:color="auto"/>
        <w:right w:val="none" w:sz="0" w:space="0" w:color="auto"/>
      </w:divBdr>
    </w:div>
    <w:div w:id="2066638840">
      <w:bodyDiv w:val="1"/>
      <w:marLeft w:val="0"/>
      <w:marRight w:val="0"/>
      <w:marTop w:val="0"/>
      <w:marBottom w:val="0"/>
      <w:divBdr>
        <w:top w:val="none" w:sz="0" w:space="0" w:color="auto"/>
        <w:left w:val="none" w:sz="0" w:space="0" w:color="auto"/>
        <w:bottom w:val="none" w:sz="0" w:space="0" w:color="auto"/>
        <w:right w:val="none" w:sz="0" w:space="0" w:color="auto"/>
      </w:divBdr>
    </w:div>
    <w:div w:id="2066680163">
      <w:bodyDiv w:val="1"/>
      <w:marLeft w:val="0"/>
      <w:marRight w:val="0"/>
      <w:marTop w:val="0"/>
      <w:marBottom w:val="0"/>
      <w:divBdr>
        <w:top w:val="none" w:sz="0" w:space="0" w:color="auto"/>
        <w:left w:val="none" w:sz="0" w:space="0" w:color="auto"/>
        <w:bottom w:val="none" w:sz="0" w:space="0" w:color="auto"/>
        <w:right w:val="none" w:sz="0" w:space="0" w:color="auto"/>
      </w:divBdr>
    </w:div>
    <w:div w:id="2067098743">
      <w:bodyDiv w:val="1"/>
      <w:marLeft w:val="0"/>
      <w:marRight w:val="0"/>
      <w:marTop w:val="0"/>
      <w:marBottom w:val="0"/>
      <w:divBdr>
        <w:top w:val="none" w:sz="0" w:space="0" w:color="auto"/>
        <w:left w:val="none" w:sz="0" w:space="0" w:color="auto"/>
        <w:bottom w:val="none" w:sz="0" w:space="0" w:color="auto"/>
        <w:right w:val="none" w:sz="0" w:space="0" w:color="auto"/>
      </w:divBdr>
    </w:div>
    <w:div w:id="2067214127">
      <w:bodyDiv w:val="1"/>
      <w:marLeft w:val="0"/>
      <w:marRight w:val="0"/>
      <w:marTop w:val="0"/>
      <w:marBottom w:val="0"/>
      <w:divBdr>
        <w:top w:val="none" w:sz="0" w:space="0" w:color="auto"/>
        <w:left w:val="none" w:sz="0" w:space="0" w:color="auto"/>
        <w:bottom w:val="none" w:sz="0" w:space="0" w:color="auto"/>
        <w:right w:val="none" w:sz="0" w:space="0" w:color="auto"/>
      </w:divBdr>
    </w:div>
    <w:div w:id="2067604955">
      <w:bodyDiv w:val="1"/>
      <w:marLeft w:val="0"/>
      <w:marRight w:val="0"/>
      <w:marTop w:val="0"/>
      <w:marBottom w:val="0"/>
      <w:divBdr>
        <w:top w:val="none" w:sz="0" w:space="0" w:color="auto"/>
        <w:left w:val="none" w:sz="0" w:space="0" w:color="auto"/>
        <w:bottom w:val="none" w:sz="0" w:space="0" w:color="auto"/>
        <w:right w:val="none" w:sz="0" w:space="0" w:color="auto"/>
      </w:divBdr>
    </w:div>
    <w:div w:id="2067605229">
      <w:bodyDiv w:val="1"/>
      <w:marLeft w:val="0"/>
      <w:marRight w:val="0"/>
      <w:marTop w:val="0"/>
      <w:marBottom w:val="0"/>
      <w:divBdr>
        <w:top w:val="none" w:sz="0" w:space="0" w:color="auto"/>
        <w:left w:val="none" w:sz="0" w:space="0" w:color="auto"/>
        <w:bottom w:val="none" w:sz="0" w:space="0" w:color="auto"/>
        <w:right w:val="none" w:sz="0" w:space="0" w:color="auto"/>
      </w:divBdr>
    </w:div>
    <w:div w:id="2067751739">
      <w:bodyDiv w:val="1"/>
      <w:marLeft w:val="0"/>
      <w:marRight w:val="0"/>
      <w:marTop w:val="0"/>
      <w:marBottom w:val="0"/>
      <w:divBdr>
        <w:top w:val="none" w:sz="0" w:space="0" w:color="auto"/>
        <w:left w:val="none" w:sz="0" w:space="0" w:color="auto"/>
        <w:bottom w:val="none" w:sz="0" w:space="0" w:color="auto"/>
        <w:right w:val="none" w:sz="0" w:space="0" w:color="auto"/>
      </w:divBdr>
    </w:div>
    <w:div w:id="2068066661">
      <w:bodyDiv w:val="1"/>
      <w:marLeft w:val="0"/>
      <w:marRight w:val="0"/>
      <w:marTop w:val="0"/>
      <w:marBottom w:val="0"/>
      <w:divBdr>
        <w:top w:val="none" w:sz="0" w:space="0" w:color="auto"/>
        <w:left w:val="none" w:sz="0" w:space="0" w:color="auto"/>
        <w:bottom w:val="none" w:sz="0" w:space="0" w:color="auto"/>
        <w:right w:val="none" w:sz="0" w:space="0" w:color="auto"/>
      </w:divBdr>
    </w:div>
    <w:div w:id="2068256069">
      <w:bodyDiv w:val="1"/>
      <w:marLeft w:val="0"/>
      <w:marRight w:val="0"/>
      <w:marTop w:val="0"/>
      <w:marBottom w:val="0"/>
      <w:divBdr>
        <w:top w:val="none" w:sz="0" w:space="0" w:color="auto"/>
        <w:left w:val="none" w:sz="0" w:space="0" w:color="auto"/>
        <w:bottom w:val="none" w:sz="0" w:space="0" w:color="auto"/>
        <w:right w:val="none" w:sz="0" w:space="0" w:color="auto"/>
      </w:divBdr>
    </w:div>
    <w:div w:id="2068411204">
      <w:bodyDiv w:val="1"/>
      <w:marLeft w:val="0"/>
      <w:marRight w:val="0"/>
      <w:marTop w:val="0"/>
      <w:marBottom w:val="0"/>
      <w:divBdr>
        <w:top w:val="none" w:sz="0" w:space="0" w:color="auto"/>
        <w:left w:val="none" w:sz="0" w:space="0" w:color="auto"/>
        <w:bottom w:val="none" w:sz="0" w:space="0" w:color="auto"/>
        <w:right w:val="none" w:sz="0" w:space="0" w:color="auto"/>
      </w:divBdr>
    </w:div>
    <w:div w:id="2068606296">
      <w:bodyDiv w:val="1"/>
      <w:marLeft w:val="0"/>
      <w:marRight w:val="0"/>
      <w:marTop w:val="0"/>
      <w:marBottom w:val="0"/>
      <w:divBdr>
        <w:top w:val="none" w:sz="0" w:space="0" w:color="auto"/>
        <w:left w:val="none" w:sz="0" w:space="0" w:color="auto"/>
        <w:bottom w:val="none" w:sz="0" w:space="0" w:color="auto"/>
        <w:right w:val="none" w:sz="0" w:space="0" w:color="auto"/>
      </w:divBdr>
    </w:div>
    <w:div w:id="2068844279">
      <w:bodyDiv w:val="1"/>
      <w:marLeft w:val="0"/>
      <w:marRight w:val="0"/>
      <w:marTop w:val="0"/>
      <w:marBottom w:val="0"/>
      <w:divBdr>
        <w:top w:val="none" w:sz="0" w:space="0" w:color="auto"/>
        <w:left w:val="none" w:sz="0" w:space="0" w:color="auto"/>
        <w:bottom w:val="none" w:sz="0" w:space="0" w:color="auto"/>
        <w:right w:val="none" w:sz="0" w:space="0" w:color="auto"/>
      </w:divBdr>
    </w:div>
    <w:div w:id="2068873048">
      <w:bodyDiv w:val="1"/>
      <w:marLeft w:val="0"/>
      <w:marRight w:val="0"/>
      <w:marTop w:val="0"/>
      <w:marBottom w:val="0"/>
      <w:divBdr>
        <w:top w:val="none" w:sz="0" w:space="0" w:color="auto"/>
        <w:left w:val="none" w:sz="0" w:space="0" w:color="auto"/>
        <w:bottom w:val="none" w:sz="0" w:space="0" w:color="auto"/>
        <w:right w:val="none" w:sz="0" w:space="0" w:color="auto"/>
      </w:divBdr>
    </w:div>
    <w:div w:id="2068915691">
      <w:bodyDiv w:val="1"/>
      <w:marLeft w:val="0"/>
      <w:marRight w:val="0"/>
      <w:marTop w:val="0"/>
      <w:marBottom w:val="0"/>
      <w:divBdr>
        <w:top w:val="none" w:sz="0" w:space="0" w:color="auto"/>
        <w:left w:val="none" w:sz="0" w:space="0" w:color="auto"/>
        <w:bottom w:val="none" w:sz="0" w:space="0" w:color="auto"/>
        <w:right w:val="none" w:sz="0" w:space="0" w:color="auto"/>
      </w:divBdr>
    </w:div>
    <w:div w:id="2068988829">
      <w:bodyDiv w:val="1"/>
      <w:marLeft w:val="0"/>
      <w:marRight w:val="0"/>
      <w:marTop w:val="0"/>
      <w:marBottom w:val="0"/>
      <w:divBdr>
        <w:top w:val="none" w:sz="0" w:space="0" w:color="auto"/>
        <w:left w:val="none" w:sz="0" w:space="0" w:color="auto"/>
        <w:bottom w:val="none" w:sz="0" w:space="0" w:color="auto"/>
        <w:right w:val="none" w:sz="0" w:space="0" w:color="auto"/>
      </w:divBdr>
    </w:div>
    <w:div w:id="2068991925">
      <w:bodyDiv w:val="1"/>
      <w:marLeft w:val="0"/>
      <w:marRight w:val="0"/>
      <w:marTop w:val="0"/>
      <w:marBottom w:val="0"/>
      <w:divBdr>
        <w:top w:val="none" w:sz="0" w:space="0" w:color="auto"/>
        <w:left w:val="none" w:sz="0" w:space="0" w:color="auto"/>
        <w:bottom w:val="none" w:sz="0" w:space="0" w:color="auto"/>
        <w:right w:val="none" w:sz="0" w:space="0" w:color="auto"/>
      </w:divBdr>
    </w:div>
    <w:div w:id="2069109675">
      <w:bodyDiv w:val="1"/>
      <w:marLeft w:val="0"/>
      <w:marRight w:val="0"/>
      <w:marTop w:val="0"/>
      <w:marBottom w:val="0"/>
      <w:divBdr>
        <w:top w:val="none" w:sz="0" w:space="0" w:color="auto"/>
        <w:left w:val="none" w:sz="0" w:space="0" w:color="auto"/>
        <w:bottom w:val="none" w:sz="0" w:space="0" w:color="auto"/>
        <w:right w:val="none" w:sz="0" w:space="0" w:color="auto"/>
      </w:divBdr>
    </w:div>
    <w:div w:id="2069183002">
      <w:bodyDiv w:val="1"/>
      <w:marLeft w:val="0"/>
      <w:marRight w:val="0"/>
      <w:marTop w:val="0"/>
      <w:marBottom w:val="0"/>
      <w:divBdr>
        <w:top w:val="none" w:sz="0" w:space="0" w:color="auto"/>
        <w:left w:val="none" w:sz="0" w:space="0" w:color="auto"/>
        <w:bottom w:val="none" w:sz="0" w:space="0" w:color="auto"/>
        <w:right w:val="none" w:sz="0" w:space="0" w:color="auto"/>
      </w:divBdr>
    </w:div>
    <w:div w:id="2069261678">
      <w:bodyDiv w:val="1"/>
      <w:marLeft w:val="0"/>
      <w:marRight w:val="0"/>
      <w:marTop w:val="0"/>
      <w:marBottom w:val="0"/>
      <w:divBdr>
        <w:top w:val="none" w:sz="0" w:space="0" w:color="auto"/>
        <w:left w:val="none" w:sz="0" w:space="0" w:color="auto"/>
        <w:bottom w:val="none" w:sz="0" w:space="0" w:color="auto"/>
        <w:right w:val="none" w:sz="0" w:space="0" w:color="auto"/>
      </w:divBdr>
    </w:div>
    <w:div w:id="2069301537">
      <w:bodyDiv w:val="1"/>
      <w:marLeft w:val="0"/>
      <w:marRight w:val="0"/>
      <w:marTop w:val="0"/>
      <w:marBottom w:val="0"/>
      <w:divBdr>
        <w:top w:val="none" w:sz="0" w:space="0" w:color="auto"/>
        <w:left w:val="none" w:sz="0" w:space="0" w:color="auto"/>
        <w:bottom w:val="none" w:sz="0" w:space="0" w:color="auto"/>
        <w:right w:val="none" w:sz="0" w:space="0" w:color="auto"/>
      </w:divBdr>
    </w:div>
    <w:div w:id="2069497433">
      <w:bodyDiv w:val="1"/>
      <w:marLeft w:val="0"/>
      <w:marRight w:val="0"/>
      <w:marTop w:val="0"/>
      <w:marBottom w:val="0"/>
      <w:divBdr>
        <w:top w:val="none" w:sz="0" w:space="0" w:color="auto"/>
        <w:left w:val="none" w:sz="0" w:space="0" w:color="auto"/>
        <w:bottom w:val="none" w:sz="0" w:space="0" w:color="auto"/>
        <w:right w:val="none" w:sz="0" w:space="0" w:color="auto"/>
      </w:divBdr>
    </w:div>
    <w:div w:id="2069642394">
      <w:bodyDiv w:val="1"/>
      <w:marLeft w:val="0"/>
      <w:marRight w:val="0"/>
      <w:marTop w:val="0"/>
      <w:marBottom w:val="0"/>
      <w:divBdr>
        <w:top w:val="none" w:sz="0" w:space="0" w:color="auto"/>
        <w:left w:val="none" w:sz="0" w:space="0" w:color="auto"/>
        <w:bottom w:val="none" w:sz="0" w:space="0" w:color="auto"/>
        <w:right w:val="none" w:sz="0" w:space="0" w:color="auto"/>
      </w:divBdr>
    </w:div>
    <w:div w:id="2069647088">
      <w:bodyDiv w:val="1"/>
      <w:marLeft w:val="0"/>
      <w:marRight w:val="0"/>
      <w:marTop w:val="0"/>
      <w:marBottom w:val="0"/>
      <w:divBdr>
        <w:top w:val="none" w:sz="0" w:space="0" w:color="auto"/>
        <w:left w:val="none" w:sz="0" w:space="0" w:color="auto"/>
        <w:bottom w:val="none" w:sz="0" w:space="0" w:color="auto"/>
        <w:right w:val="none" w:sz="0" w:space="0" w:color="auto"/>
      </w:divBdr>
    </w:div>
    <w:div w:id="2069843171">
      <w:bodyDiv w:val="1"/>
      <w:marLeft w:val="0"/>
      <w:marRight w:val="0"/>
      <w:marTop w:val="0"/>
      <w:marBottom w:val="0"/>
      <w:divBdr>
        <w:top w:val="none" w:sz="0" w:space="0" w:color="auto"/>
        <w:left w:val="none" w:sz="0" w:space="0" w:color="auto"/>
        <w:bottom w:val="none" w:sz="0" w:space="0" w:color="auto"/>
        <w:right w:val="none" w:sz="0" w:space="0" w:color="auto"/>
      </w:divBdr>
    </w:div>
    <w:div w:id="2069962317">
      <w:bodyDiv w:val="1"/>
      <w:marLeft w:val="0"/>
      <w:marRight w:val="0"/>
      <w:marTop w:val="0"/>
      <w:marBottom w:val="0"/>
      <w:divBdr>
        <w:top w:val="none" w:sz="0" w:space="0" w:color="auto"/>
        <w:left w:val="none" w:sz="0" w:space="0" w:color="auto"/>
        <w:bottom w:val="none" w:sz="0" w:space="0" w:color="auto"/>
        <w:right w:val="none" w:sz="0" w:space="0" w:color="auto"/>
      </w:divBdr>
    </w:div>
    <w:div w:id="2070035145">
      <w:bodyDiv w:val="1"/>
      <w:marLeft w:val="0"/>
      <w:marRight w:val="0"/>
      <w:marTop w:val="0"/>
      <w:marBottom w:val="0"/>
      <w:divBdr>
        <w:top w:val="none" w:sz="0" w:space="0" w:color="auto"/>
        <w:left w:val="none" w:sz="0" w:space="0" w:color="auto"/>
        <w:bottom w:val="none" w:sz="0" w:space="0" w:color="auto"/>
        <w:right w:val="none" w:sz="0" w:space="0" w:color="auto"/>
      </w:divBdr>
    </w:div>
    <w:div w:id="2070183129">
      <w:bodyDiv w:val="1"/>
      <w:marLeft w:val="0"/>
      <w:marRight w:val="0"/>
      <w:marTop w:val="0"/>
      <w:marBottom w:val="0"/>
      <w:divBdr>
        <w:top w:val="none" w:sz="0" w:space="0" w:color="auto"/>
        <w:left w:val="none" w:sz="0" w:space="0" w:color="auto"/>
        <w:bottom w:val="none" w:sz="0" w:space="0" w:color="auto"/>
        <w:right w:val="none" w:sz="0" w:space="0" w:color="auto"/>
      </w:divBdr>
    </w:div>
    <w:div w:id="2070418123">
      <w:bodyDiv w:val="1"/>
      <w:marLeft w:val="0"/>
      <w:marRight w:val="0"/>
      <w:marTop w:val="0"/>
      <w:marBottom w:val="0"/>
      <w:divBdr>
        <w:top w:val="none" w:sz="0" w:space="0" w:color="auto"/>
        <w:left w:val="none" w:sz="0" w:space="0" w:color="auto"/>
        <w:bottom w:val="none" w:sz="0" w:space="0" w:color="auto"/>
        <w:right w:val="none" w:sz="0" w:space="0" w:color="auto"/>
      </w:divBdr>
    </w:div>
    <w:div w:id="2070494895">
      <w:bodyDiv w:val="1"/>
      <w:marLeft w:val="0"/>
      <w:marRight w:val="0"/>
      <w:marTop w:val="0"/>
      <w:marBottom w:val="0"/>
      <w:divBdr>
        <w:top w:val="none" w:sz="0" w:space="0" w:color="auto"/>
        <w:left w:val="none" w:sz="0" w:space="0" w:color="auto"/>
        <w:bottom w:val="none" w:sz="0" w:space="0" w:color="auto"/>
        <w:right w:val="none" w:sz="0" w:space="0" w:color="auto"/>
      </w:divBdr>
    </w:div>
    <w:div w:id="2070687456">
      <w:bodyDiv w:val="1"/>
      <w:marLeft w:val="0"/>
      <w:marRight w:val="0"/>
      <w:marTop w:val="0"/>
      <w:marBottom w:val="0"/>
      <w:divBdr>
        <w:top w:val="none" w:sz="0" w:space="0" w:color="auto"/>
        <w:left w:val="none" w:sz="0" w:space="0" w:color="auto"/>
        <w:bottom w:val="none" w:sz="0" w:space="0" w:color="auto"/>
        <w:right w:val="none" w:sz="0" w:space="0" w:color="auto"/>
      </w:divBdr>
    </w:div>
    <w:div w:id="2071029258">
      <w:bodyDiv w:val="1"/>
      <w:marLeft w:val="0"/>
      <w:marRight w:val="0"/>
      <w:marTop w:val="0"/>
      <w:marBottom w:val="0"/>
      <w:divBdr>
        <w:top w:val="none" w:sz="0" w:space="0" w:color="auto"/>
        <w:left w:val="none" w:sz="0" w:space="0" w:color="auto"/>
        <w:bottom w:val="none" w:sz="0" w:space="0" w:color="auto"/>
        <w:right w:val="none" w:sz="0" w:space="0" w:color="auto"/>
      </w:divBdr>
    </w:div>
    <w:div w:id="2071346664">
      <w:bodyDiv w:val="1"/>
      <w:marLeft w:val="0"/>
      <w:marRight w:val="0"/>
      <w:marTop w:val="0"/>
      <w:marBottom w:val="0"/>
      <w:divBdr>
        <w:top w:val="none" w:sz="0" w:space="0" w:color="auto"/>
        <w:left w:val="none" w:sz="0" w:space="0" w:color="auto"/>
        <w:bottom w:val="none" w:sz="0" w:space="0" w:color="auto"/>
        <w:right w:val="none" w:sz="0" w:space="0" w:color="auto"/>
      </w:divBdr>
    </w:div>
    <w:div w:id="2071418984">
      <w:bodyDiv w:val="1"/>
      <w:marLeft w:val="0"/>
      <w:marRight w:val="0"/>
      <w:marTop w:val="0"/>
      <w:marBottom w:val="0"/>
      <w:divBdr>
        <w:top w:val="none" w:sz="0" w:space="0" w:color="auto"/>
        <w:left w:val="none" w:sz="0" w:space="0" w:color="auto"/>
        <w:bottom w:val="none" w:sz="0" w:space="0" w:color="auto"/>
        <w:right w:val="none" w:sz="0" w:space="0" w:color="auto"/>
      </w:divBdr>
    </w:div>
    <w:div w:id="2071493212">
      <w:bodyDiv w:val="1"/>
      <w:marLeft w:val="0"/>
      <w:marRight w:val="0"/>
      <w:marTop w:val="0"/>
      <w:marBottom w:val="0"/>
      <w:divBdr>
        <w:top w:val="none" w:sz="0" w:space="0" w:color="auto"/>
        <w:left w:val="none" w:sz="0" w:space="0" w:color="auto"/>
        <w:bottom w:val="none" w:sz="0" w:space="0" w:color="auto"/>
        <w:right w:val="none" w:sz="0" w:space="0" w:color="auto"/>
      </w:divBdr>
    </w:div>
    <w:div w:id="2071611317">
      <w:bodyDiv w:val="1"/>
      <w:marLeft w:val="0"/>
      <w:marRight w:val="0"/>
      <w:marTop w:val="0"/>
      <w:marBottom w:val="0"/>
      <w:divBdr>
        <w:top w:val="none" w:sz="0" w:space="0" w:color="auto"/>
        <w:left w:val="none" w:sz="0" w:space="0" w:color="auto"/>
        <w:bottom w:val="none" w:sz="0" w:space="0" w:color="auto"/>
        <w:right w:val="none" w:sz="0" w:space="0" w:color="auto"/>
      </w:divBdr>
    </w:div>
    <w:div w:id="2071686735">
      <w:bodyDiv w:val="1"/>
      <w:marLeft w:val="0"/>
      <w:marRight w:val="0"/>
      <w:marTop w:val="0"/>
      <w:marBottom w:val="0"/>
      <w:divBdr>
        <w:top w:val="none" w:sz="0" w:space="0" w:color="auto"/>
        <w:left w:val="none" w:sz="0" w:space="0" w:color="auto"/>
        <w:bottom w:val="none" w:sz="0" w:space="0" w:color="auto"/>
        <w:right w:val="none" w:sz="0" w:space="0" w:color="auto"/>
      </w:divBdr>
    </w:div>
    <w:div w:id="2071687363">
      <w:bodyDiv w:val="1"/>
      <w:marLeft w:val="0"/>
      <w:marRight w:val="0"/>
      <w:marTop w:val="0"/>
      <w:marBottom w:val="0"/>
      <w:divBdr>
        <w:top w:val="none" w:sz="0" w:space="0" w:color="auto"/>
        <w:left w:val="none" w:sz="0" w:space="0" w:color="auto"/>
        <w:bottom w:val="none" w:sz="0" w:space="0" w:color="auto"/>
        <w:right w:val="none" w:sz="0" w:space="0" w:color="auto"/>
      </w:divBdr>
    </w:div>
    <w:div w:id="2071731259">
      <w:bodyDiv w:val="1"/>
      <w:marLeft w:val="0"/>
      <w:marRight w:val="0"/>
      <w:marTop w:val="0"/>
      <w:marBottom w:val="0"/>
      <w:divBdr>
        <w:top w:val="none" w:sz="0" w:space="0" w:color="auto"/>
        <w:left w:val="none" w:sz="0" w:space="0" w:color="auto"/>
        <w:bottom w:val="none" w:sz="0" w:space="0" w:color="auto"/>
        <w:right w:val="none" w:sz="0" w:space="0" w:color="auto"/>
      </w:divBdr>
    </w:div>
    <w:div w:id="2071732078">
      <w:bodyDiv w:val="1"/>
      <w:marLeft w:val="0"/>
      <w:marRight w:val="0"/>
      <w:marTop w:val="0"/>
      <w:marBottom w:val="0"/>
      <w:divBdr>
        <w:top w:val="none" w:sz="0" w:space="0" w:color="auto"/>
        <w:left w:val="none" w:sz="0" w:space="0" w:color="auto"/>
        <w:bottom w:val="none" w:sz="0" w:space="0" w:color="auto"/>
        <w:right w:val="none" w:sz="0" w:space="0" w:color="auto"/>
      </w:divBdr>
    </w:div>
    <w:div w:id="2071809116">
      <w:bodyDiv w:val="1"/>
      <w:marLeft w:val="0"/>
      <w:marRight w:val="0"/>
      <w:marTop w:val="0"/>
      <w:marBottom w:val="0"/>
      <w:divBdr>
        <w:top w:val="none" w:sz="0" w:space="0" w:color="auto"/>
        <w:left w:val="none" w:sz="0" w:space="0" w:color="auto"/>
        <w:bottom w:val="none" w:sz="0" w:space="0" w:color="auto"/>
        <w:right w:val="none" w:sz="0" w:space="0" w:color="auto"/>
      </w:divBdr>
    </w:div>
    <w:div w:id="2071880542">
      <w:bodyDiv w:val="1"/>
      <w:marLeft w:val="0"/>
      <w:marRight w:val="0"/>
      <w:marTop w:val="0"/>
      <w:marBottom w:val="0"/>
      <w:divBdr>
        <w:top w:val="none" w:sz="0" w:space="0" w:color="auto"/>
        <w:left w:val="none" w:sz="0" w:space="0" w:color="auto"/>
        <w:bottom w:val="none" w:sz="0" w:space="0" w:color="auto"/>
        <w:right w:val="none" w:sz="0" w:space="0" w:color="auto"/>
      </w:divBdr>
    </w:div>
    <w:div w:id="2071920925">
      <w:bodyDiv w:val="1"/>
      <w:marLeft w:val="0"/>
      <w:marRight w:val="0"/>
      <w:marTop w:val="0"/>
      <w:marBottom w:val="0"/>
      <w:divBdr>
        <w:top w:val="none" w:sz="0" w:space="0" w:color="auto"/>
        <w:left w:val="none" w:sz="0" w:space="0" w:color="auto"/>
        <w:bottom w:val="none" w:sz="0" w:space="0" w:color="auto"/>
        <w:right w:val="none" w:sz="0" w:space="0" w:color="auto"/>
      </w:divBdr>
    </w:div>
    <w:div w:id="2071925480">
      <w:bodyDiv w:val="1"/>
      <w:marLeft w:val="0"/>
      <w:marRight w:val="0"/>
      <w:marTop w:val="0"/>
      <w:marBottom w:val="0"/>
      <w:divBdr>
        <w:top w:val="none" w:sz="0" w:space="0" w:color="auto"/>
        <w:left w:val="none" w:sz="0" w:space="0" w:color="auto"/>
        <w:bottom w:val="none" w:sz="0" w:space="0" w:color="auto"/>
        <w:right w:val="none" w:sz="0" w:space="0" w:color="auto"/>
      </w:divBdr>
    </w:div>
    <w:div w:id="2071927008">
      <w:bodyDiv w:val="1"/>
      <w:marLeft w:val="0"/>
      <w:marRight w:val="0"/>
      <w:marTop w:val="0"/>
      <w:marBottom w:val="0"/>
      <w:divBdr>
        <w:top w:val="none" w:sz="0" w:space="0" w:color="auto"/>
        <w:left w:val="none" w:sz="0" w:space="0" w:color="auto"/>
        <w:bottom w:val="none" w:sz="0" w:space="0" w:color="auto"/>
        <w:right w:val="none" w:sz="0" w:space="0" w:color="auto"/>
      </w:divBdr>
    </w:div>
    <w:div w:id="2071994707">
      <w:bodyDiv w:val="1"/>
      <w:marLeft w:val="0"/>
      <w:marRight w:val="0"/>
      <w:marTop w:val="0"/>
      <w:marBottom w:val="0"/>
      <w:divBdr>
        <w:top w:val="none" w:sz="0" w:space="0" w:color="auto"/>
        <w:left w:val="none" w:sz="0" w:space="0" w:color="auto"/>
        <w:bottom w:val="none" w:sz="0" w:space="0" w:color="auto"/>
        <w:right w:val="none" w:sz="0" w:space="0" w:color="auto"/>
      </w:divBdr>
    </w:div>
    <w:div w:id="2072119032">
      <w:bodyDiv w:val="1"/>
      <w:marLeft w:val="0"/>
      <w:marRight w:val="0"/>
      <w:marTop w:val="0"/>
      <w:marBottom w:val="0"/>
      <w:divBdr>
        <w:top w:val="none" w:sz="0" w:space="0" w:color="auto"/>
        <w:left w:val="none" w:sz="0" w:space="0" w:color="auto"/>
        <w:bottom w:val="none" w:sz="0" w:space="0" w:color="auto"/>
        <w:right w:val="none" w:sz="0" w:space="0" w:color="auto"/>
      </w:divBdr>
    </w:div>
    <w:div w:id="2072268375">
      <w:bodyDiv w:val="1"/>
      <w:marLeft w:val="0"/>
      <w:marRight w:val="0"/>
      <w:marTop w:val="0"/>
      <w:marBottom w:val="0"/>
      <w:divBdr>
        <w:top w:val="none" w:sz="0" w:space="0" w:color="auto"/>
        <w:left w:val="none" w:sz="0" w:space="0" w:color="auto"/>
        <w:bottom w:val="none" w:sz="0" w:space="0" w:color="auto"/>
        <w:right w:val="none" w:sz="0" w:space="0" w:color="auto"/>
      </w:divBdr>
    </w:div>
    <w:div w:id="2072536601">
      <w:bodyDiv w:val="1"/>
      <w:marLeft w:val="0"/>
      <w:marRight w:val="0"/>
      <w:marTop w:val="0"/>
      <w:marBottom w:val="0"/>
      <w:divBdr>
        <w:top w:val="none" w:sz="0" w:space="0" w:color="auto"/>
        <w:left w:val="none" w:sz="0" w:space="0" w:color="auto"/>
        <w:bottom w:val="none" w:sz="0" w:space="0" w:color="auto"/>
        <w:right w:val="none" w:sz="0" w:space="0" w:color="auto"/>
      </w:divBdr>
    </w:div>
    <w:div w:id="2072850041">
      <w:bodyDiv w:val="1"/>
      <w:marLeft w:val="0"/>
      <w:marRight w:val="0"/>
      <w:marTop w:val="0"/>
      <w:marBottom w:val="0"/>
      <w:divBdr>
        <w:top w:val="none" w:sz="0" w:space="0" w:color="auto"/>
        <w:left w:val="none" w:sz="0" w:space="0" w:color="auto"/>
        <w:bottom w:val="none" w:sz="0" w:space="0" w:color="auto"/>
        <w:right w:val="none" w:sz="0" w:space="0" w:color="auto"/>
      </w:divBdr>
    </w:div>
    <w:div w:id="2072920777">
      <w:bodyDiv w:val="1"/>
      <w:marLeft w:val="0"/>
      <w:marRight w:val="0"/>
      <w:marTop w:val="0"/>
      <w:marBottom w:val="0"/>
      <w:divBdr>
        <w:top w:val="none" w:sz="0" w:space="0" w:color="auto"/>
        <w:left w:val="none" w:sz="0" w:space="0" w:color="auto"/>
        <w:bottom w:val="none" w:sz="0" w:space="0" w:color="auto"/>
        <w:right w:val="none" w:sz="0" w:space="0" w:color="auto"/>
      </w:divBdr>
    </w:div>
    <w:div w:id="2073039555">
      <w:bodyDiv w:val="1"/>
      <w:marLeft w:val="0"/>
      <w:marRight w:val="0"/>
      <w:marTop w:val="0"/>
      <w:marBottom w:val="0"/>
      <w:divBdr>
        <w:top w:val="none" w:sz="0" w:space="0" w:color="auto"/>
        <w:left w:val="none" w:sz="0" w:space="0" w:color="auto"/>
        <w:bottom w:val="none" w:sz="0" w:space="0" w:color="auto"/>
        <w:right w:val="none" w:sz="0" w:space="0" w:color="auto"/>
      </w:divBdr>
    </w:div>
    <w:div w:id="2073234694">
      <w:bodyDiv w:val="1"/>
      <w:marLeft w:val="0"/>
      <w:marRight w:val="0"/>
      <w:marTop w:val="0"/>
      <w:marBottom w:val="0"/>
      <w:divBdr>
        <w:top w:val="none" w:sz="0" w:space="0" w:color="auto"/>
        <w:left w:val="none" w:sz="0" w:space="0" w:color="auto"/>
        <w:bottom w:val="none" w:sz="0" w:space="0" w:color="auto"/>
        <w:right w:val="none" w:sz="0" w:space="0" w:color="auto"/>
      </w:divBdr>
    </w:div>
    <w:div w:id="2073312406">
      <w:bodyDiv w:val="1"/>
      <w:marLeft w:val="0"/>
      <w:marRight w:val="0"/>
      <w:marTop w:val="0"/>
      <w:marBottom w:val="0"/>
      <w:divBdr>
        <w:top w:val="none" w:sz="0" w:space="0" w:color="auto"/>
        <w:left w:val="none" w:sz="0" w:space="0" w:color="auto"/>
        <w:bottom w:val="none" w:sz="0" w:space="0" w:color="auto"/>
        <w:right w:val="none" w:sz="0" w:space="0" w:color="auto"/>
      </w:divBdr>
    </w:div>
    <w:div w:id="2073456340">
      <w:bodyDiv w:val="1"/>
      <w:marLeft w:val="0"/>
      <w:marRight w:val="0"/>
      <w:marTop w:val="0"/>
      <w:marBottom w:val="0"/>
      <w:divBdr>
        <w:top w:val="none" w:sz="0" w:space="0" w:color="auto"/>
        <w:left w:val="none" w:sz="0" w:space="0" w:color="auto"/>
        <w:bottom w:val="none" w:sz="0" w:space="0" w:color="auto"/>
        <w:right w:val="none" w:sz="0" w:space="0" w:color="auto"/>
      </w:divBdr>
    </w:div>
    <w:div w:id="2073655394">
      <w:bodyDiv w:val="1"/>
      <w:marLeft w:val="0"/>
      <w:marRight w:val="0"/>
      <w:marTop w:val="0"/>
      <w:marBottom w:val="0"/>
      <w:divBdr>
        <w:top w:val="none" w:sz="0" w:space="0" w:color="auto"/>
        <w:left w:val="none" w:sz="0" w:space="0" w:color="auto"/>
        <w:bottom w:val="none" w:sz="0" w:space="0" w:color="auto"/>
        <w:right w:val="none" w:sz="0" w:space="0" w:color="auto"/>
      </w:divBdr>
    </w:div>
    <w:div w:id="2073690974">
      <w:bodyDiv w:val="1"/>
      <w:marLeft w:val="0"/>
      <w:marRight w:val="0"/>
      <w:marTop w:val="0"/>
      <w:marBottom w:val="0"/>
      <w:divBdr>
        <w:top w:val="none" w:sz="0" w:space="0" w:color="auto"/>
        <w:left w:val="none" w:sz="0" w:space="0" w:color="auto"/>
        <w:bottom w:val="none" w:sz="0" w:space="0" w:color="auto"/>
        <w:right w:val="none" w:sz="0" w:space="0" w:color="auto"/>
      </w:divBdr>
    </w:div>
    <w:div w:id="2073692771">
      <w:bodyDiv w:val="1"/>
      <w:marLeft w:val="0"/>
      <w:marRight w:val="0"/>
      <w:marTop w:val="0"/>
      <w:marBottom w:val="0"/>
      <w:divBdr>
        <w:top w:val="none" w:sz="0" w:space="0" w:color="auto"/>
        <w:left w:val="none" w:sz="0" w:space="0" w:color="auto"/>
        <w:bottom w:val="none" w:sz="0" w:space="0" w:color="auto"/>
        <w:right w:val="none" w:sz="0" w:space="0" w:color="auto"/>
      </w:divBdr>
    </w:div>
    <w:div w:id="2073844398">
      <w:bodyDiv w:val="1"/>
      <w:marLeft w:val="0"/>
      <w:marRight w:val="0"/>
      <w:marTop w:val="0"/>
      <w:marBottom w:val="0"/>
      <w:divBdr>
        <w:top w:val="none" w:sz="0" w:space="0" w:color="auto"/>
        <w:left w:val="none" w:sz="0" w:space="0" w:color="auto"/>
        <w:bottom w:val="none" w:sz="0" w:space="0" w:color="auto"/>
        <w:right w:val="none" w:sz="0" w:space="0" w:color="auto"/>
      </w:divBdr>
    </w:div>
    <w:div w:id="2073917516">
      <w:bodyDiv w:val="1"/>
      <w:marLeft w:val="0"/>
      <w:marRight w:val="0"/>
      <w:marTop w:val="0"/>
      <w:marBottom w:val="0"/>
      <w:divBdr>
        <w:top w:val="none" w:sz="0" w:space="0" w:color="auto"/>
        <w:left w:val="none" w:sz="0" w:space="0" w:color="auto"/>
        <w:bottom w:val="none" w:sz="0" w:space="0" w:color="auto"/>
        <w:right w:val="none" w:sz="0" w:space="0" w:color="auto"/>
      </w:divBdr>
    </w:div>
    <w:div w:id="2073959584">
      <w:bodyDiv w:val="1"/>
      <w:marLeft w:val="0"/>
      <w:marRight w:val="0"/>
      <w:marTop w:val="0"/>
      <w:marBottom w:val="0"/>
      <w:divBdr>
        <w:top w:val="none" w:sz="0" w:space="0" w:color="auto"/>
        <w:left w:val="none" w:sz="0" w:space="0" w:color="auto"/>
        <w:bottom w:val="none" w:sz="0" w:space="0" w:color="auto"/>
        <w:right w:val="none" w:sz="0" w:space="0" w:color="auto"/>
      </w:divBdr>
    </w:div>
    <w:div w:id="2074235952">
      <w:bodyDiv w:val="1"/>
      <w:marLeft w:val="0"/>
      <w:marRight w:val="0"/>
      <w:marTop w:val="0"/>
      <w:marBottom w:val="0"/>
      <w:divBdr>
        <w:top w:val="none" w:sz="0" w:space="0" w:color="auto"/>
        <w:left w:val="none" w:sz="0" w:space="0" w:color="auto"/>
        <w:bottom w:val="none" w:sz="0" w:space="0" w:color="auto"/>
        <w:right w:val="none" w:sz="0" w:space="0" w:color="auto"/>
      </w:divBdr>
    </w:div>
    <w:div w:id="2074310374">
      <w:bodyDiv w:val="1"/>
      <w:marLeft w:val="0"/>
      <w:marRight w:val="0"/>
      <w:marTop w:val="0"/>
      <w:marBottom w:val="0"/>
      <w:divBdr>
        <w:top w:val="none" w:sz="0" w:space="0" w:color="auto"/>
        <w:left w:val="none" w:sz="0" w:space="0" w:color="auto"/>
        <w:bottom w:val="none" w:sz="0" w:space="0" w:color="auto"/>
        <w:right w:val="none" w:sz="0" w:space="0" w:color="auto"/>
      </w:divBdr>
    </w:div>
    <w:div w:id="2074617306">
      <w:bodyDiv w:val="1"/>
      <w:marLeft w:val="0"/>
      <w:marRight w:val="0"/>
      <w:marTop w:val="0"/>
      <w:marBottom w:val="0"/>
      <w:divBdr>
        <w:top w:val="none" w:sz="0" w:space="0" w:color="auto"/>
        <w:left w:val="none" w:sz="0" w:space="0" w:color="auto"/>
        <w:bottom w:val="none" w:sz="0" w:space="0" w:color="auto"/>
        <w:right w:val="none" w:sz="0" w:space="0" w:color="auto"/>
      </w:divBdr>
    </w:div>
    <w:div w:id="2074690955">
      <w:bodyDiv w:val="1"/>
      <w:marLeft w:val="0"/>
      <w:marRight w:val="0"/>
      <w:marTop w:val="0"/>
      <w:marBottom w:val="0"/>
      <w:divBdr>
        <w:top w:val="none" w:sz="0" w:space="0" w:color="auto"/>
        <w:left w:val="none" w:sz="0" w:space="0" w:color="auto"/>
        <w:bottom w:val="none" w:sz="0" w:space="0" w:color="auto"/>
        <w:right w:val="none" w:sz="0" w:space="0" w:color="auto"/>
      </w:divBdr>
    </w:div>
    <w:div w:id="2074808552">
      <w:bodyDiv w:val="1"/>
      <w:marLeft w:val="0"/>
      <w:marRight w:val="0"/>
      <w:marTop w:val="0"/>
      <w:marBottom w:val="0"/>
      <w:divBdr>
        <w:top w:val="none" w:sz="0" w:space="0" w:color="auto"/>
        <w:left w:val="none" w:sz="0" w:space="0" w:color="auto"/>
        <w:bottom w:val="none" w:sz="0" w:space="0" w:color="auto"/>
        <w:right w:val="none" w:sz="0" w:space="0" w:color="auto"/>
      </w:divBdr>
    </w:div>
    <w:div w:id="2074814151">
      <w:bodyDiv w:val="1"/>
      <w:marLeft w:val="0"/>
      <w:marRight w:val="0"/>
      <w:marTop w:val="0"/>
      <w:marBottom w:val="0"/>
      <w:divBdr>
        <w:top w:val="none" w:sz="0" w:space="0" w:color="auto"/>
        <w:left w:val="none" w:sz="0" w:space="0" w:color="auto"/>
        <w:bottom w:val="none" w:sz="0" w:space="0" w:color="auto"/>
        <w:right w:val="none" w:sz="0" w:space="0" w:color="auto"/>
      </w:divBdr>
    </w:div>
    <w:div w:id="2075159108">
      <w:bodyDiv w:val="1"/>
      <w:marLeft w:val="0"/>
      <w:marRight w:val="0"/>
      <w:marTop w:val="0"/>
      <w:marBottom w:val="0"/>
      <w:divBdr>
        <w:top w:val="none" w:sz="0" w:space="0" w:color="auto"/>
        <w:left w:val="none" w:sz="0" w:space="0" w:color="auto"/>
        <w:bottom w:val="none" w:sz="0" w:space="0" w:color="auto"/>
        <w:right w:val="none" w:sz="0" w:space="0" w:color="auto"/>
      </w:divBdr>
    </w:div>
    <w:div w:id="2075160575">
      <w:bodyDiv w:val="1"/>
      <w:marLeft w:val="0"/>
      <w:marRight w:val="0"/>
      <w:marTop w:val="0"/>
      <w:marBottom w:val="0"/>
      <w:divBdr>
        <w:top w:val="none" w:sz="0" w:space="0" w:color="auto"/>
        <w:left w:val="none" w:sz="0" w:space="0" w:color="auto"/>
        <w:bottom w:val="none" w:sz="0" w:space="0" w:color="auto"/>
        <w:right w:val="none" w:sz="0" w:space="0" w:color="auto"/>
      </w:divBdr>
    </w:div>
    <w:div w:id="2075204442">
      <w:bodyDiv w:val="1"/>
      <w:marLeft w:val="0"/>
      <w:marRight w:val="0"/>
      <w:marTop w:val="0"/>
      <w:marBottom w:val="0"/>
      <w:divBdr>
        <w:top w:val="none" w:sz="0" w:space="0" w:color="auto"/>
        <w:left w:val="none" w:sz="0" w:space="0" w:color="auto"/>
        <w:bottom w:val="none" w:sz="0" w:space="0" w:color="auto"/>
        <w:right w:val="none" w:sz="0" w:space="0" w:color="auto"/>
      </w:divBdr>
    </w:div>
    <w:div w:id="2075229869">
      <w:bodyDiv w:val="1"/>
      <w:marLeft w:val="0"/>
      <w:marRight w:val="0"/>
      <w:marTop w:val="0"/>
      <w:marBottom w:val="0"/>
      <w:divBdr>
        <w:top w:val="none" w:sz="0" w:space="0" w:color="auto"/>
        <w:left w:val="none" w:sz="0" w:space="0" w:color="auto"/>
        <w:bottom w:val="none" w:sz="0" w:space="0" w:color="auto"/>
        <w:right w:val="none" w:sz="0" w:space="0" w:color="auto"/>
      </w:divBdr>
    </w:div>
    <w:div w:id="2075349810">
      <w:bodyDiv w:val="1"/>
      <w:marLeft w:val="0"/>
      <w:marRight w:val="0"/>
      <w:marTop w:val="0"/>
      <w:marBottom w:val="0"/>
      <w:divBdr>
        <w:top w:val="none" w:sz="0" w:space="0" w:color="auto"/>
        <w:left w:val="none" w:sz="0" w:space="0" w:color="auto"/>
        <w:bottom w:val="none" w:sz="0" w:space="0" w:color="auto"/>
        <w:right w:val="none" w:sz="0" w:space="0" w:color="auto"/>
      </w:divBdr>
    </w:div>
    <w:div w:id="2075467694">
      <w:bodyDiv w:val="1"/>
      <w:marLeft w:val="0"/>
      <w:marRight w:val="0"/>
      <w:marTop w:val="0"/>
      <w:marBottom w:val="0"/>
      <w:divBdr>
        <w:top w:val="none" w:sz="0" w:space="0" w:color="auto"/>
        <w:left w:val="none" w:sz="0" w:space="0" w:color="auto"/>
        <w:bottom w:val="none" w:sz="0" w:space="0" w:color="auto"/>
        <w:right w:val="none" w:sz="0" w:space="0" w:color="auto"/>
      </w:divBdr>
    </w:div>
    <w:div w:id="2075616321">
      <w:bodyDiv w:val="1"/>
      <w:marLeft w:val="0"/>
      <w:marRight w:val="0"/>
      <w:marTop w:val="0"/>
      <w:marBottom w:val="0"/>
      <w:divBdr>
        <w:top w:val="none" w:sz="0" w:space="0" w:color="auto"/>
        <w:left w:val="none" w:sz="0" w:space="0" w:color="auto"/>
        <w:bottom w:val="none" w:sz="0" w:space="0" w:color="auto"/>
        <w:right w:val="none" w:sz="0" w:space="0" w:color="auto"/>
      </w:divBdr>
    </w:div>
    <w:div w:id="2075617260">
      <w:bodyDiv w:val="1"/>
      <w:marLeft w:val="0"/>
      <w:marRight w:val="0"/>
      <w:marTop w:val="0"/>
      <w:marBottom w:val="0"/>
      <w:divBdr>
        <w:top w:val="none" w:sz="0" w:space="0" w:color="auto"/>
        <w:left w:val="none" w:sz="0" w:space="0" w:color="auto"/>
        <w:bottom w:val="none" w:sz="0" w:space="0" w:color="auto"/>
        <w:right w:val="none" w:sz="0" w:space="0" w:color="auto"/>
      </w:divBdr>
    </w:div>
    <w:div w:id="2075619954">
      <w:bodyDiv w:val="1"/>
      <w:marLeft w:val="0"/>
      <w:marRight w:val="0"/>
      <w:marTop w:val="0"/>
      <w:marBottom w:val="0"/>
      <w:divBdr>
        <w:top w:val="none" w:sz="0" w:space="0" w:color="auto"/>
        <w:left w:val="none" w:sz="0" w:space="0" w:color="auto"/>
        <w:bottom w:val="none" w:sz="0" w:space="0" w:color="auto"/>
        <w:right w:val="none" w:sz="0" w:space="0" w:color="auto"/>
      </w:divBdr>
    </w:div>
    <w:div w:id="2075620648">
      <w:bodyDiv w:val="1"/>
      <w:marLeft w:val="0"/>
      <w:marRight w:val="0"/>
      <w:marTop w:val="0"/>
      <w:marBottom w:val="0"/>
      <w:divBdr>
        <w:top w:val="none" w:sz="0" w:space="0" w:color="auto"/>
        <w:left w:val="none" w:sz="0" w:space="0" w:color="auto"/>
        <w:bottom w:val="none" w:sz="0" w:space="0" w:color="auto"/>
        <w:right w:val="none" w:sz="0" w:space="0" w:color="auto"/>
      </w:divBdr>
    </w:div>
    <w:div w:id="2075810497">
      <w:bodyDiv w:val="1"/>
      <w:marLeft w:val="0"/>
      <w:marRight w:val="0"/>
      <w:marTop w:val="0"/>
      <w:marBottom w:val="0"/>
      <w:divBdr>
        <w:top w:val="none" w:sz="0" w:space="0" w:color="auto"/>
        <w:left w:val="none" w:sz="0" w:space="0" w:color="auto"/>
        <w:bottom w:val="none" w:sz="0" w:space="0" w:color="auto"/>
        <w:right w:val="none" w:sz="0" w:space="0" w:color="auto"/>
      </w:divBdr>
    </w:div>
    <w:div w:id="2076079025">
      <w:bodyDiv w:val="1"/>
      <w:marLeft w:val="0"/>
      <w:marRight w:val="0"/>
      <w:marTop w:val="0"/>
      <w:marBottom w:val="0"/>
      <w:divBdr>
        <w:top w:val="none" w:sz="0" w:space="0" w:color="auto"/>
        <w:left w:val="none" w:sz="0" w:space="0" w:color="auto"/>
        <w:bottom w:val="none" w:sz="0" w:space="0" w:color="auto"/>
        <w:right w:val="none" w:sz="0" w:space="0" w:color="auto"/>
      </w:divBdr>
    </w:div>
    <w:div w:id="2076275807">
      <w:bodyDiv w:val="1"/>
      <w:marLeft w:val="0"/>
      <w:marRight w:val="0"/>
      <w:marTop w:val="0"/>
      <w:marBottom w:val="0"/>
      <w:divBdr>
        <w:top w:val="none" w:sz="0" w:space="0" w:color="auto"/>
        <w:left w:val="none" w:sz="0" w:space="0" w:color="auto"/>
        <w:bottom w:val="none" w:sz="0" w:space="0" w:color="auto"/>
        <w:right w:val="none" w:sz="0" w:space="0" w:color="auto"/>
      </w:divBdr>
    </w:div>
    <w:div w:id="2076777649">
      <w:bodyDiv w:val="1"/>
      <w:marLeft w:val="0"/>
      <w:marRight w:val="0"/>
      <w:marTop w:val="0"/>
      <w:marBottom w:val="0"/>
      <w:divBdr>
        <w:top w:val="none" w:sz="0" w:space="0" w:color="auto"/>
        <w:left w:val="none" w:sz="0" w:space="0" w:color="auto"/>
        <w:bottom w:val="none" w:sz="0" w:space="0" w:color="auto"/>
        <w:right w:val="none" w:sz="0" w:space="0" w:color="auto"/>
      </w:divBdr>
    </w:div>
    <w:div w:id="2077244184">
      <w:bodyDiv w:val="1"/>
      <w:marLeft w:val="0"/>
      <w:marRight w:val="0"/>
      <w:marTop w:val="0"/>
      <w:marBottom w:val="0"/>
      <w:divBdr>
        <w:top w:val="none" w:sz="0" w:space="0" w:color="auto"/>
        <w:left w:val="none" w:sz="0" w:space="0" w:color="auto"/>
        <w:bottom w:val="none" w:sz="0" w:space="0" w:color="auto"/>
        <w:right w:val="none" w:sz="0" w:space="0" w:color="auto"/>
      </w:divBdr>
    </w:div>
    <w:div w:id="2077318398">
      <w:bodyDiv w:val="1"/>
      <w:marLeft w:val="0"/>
      <w:marRight w:val="0"/>
      <w:marTop w:val="0"/>
      <w:marBottom w:val="0"/>
      <w:divBdr>
        <w:top w:val="none" w:sz="0" w:space="0" w:color="auto"/>
        <w:left w:val="none" w:sz="0" w:space="0" w:color="auto"/>
        <w:bottom w:val="none" w:sz="0" w:space="0" w:color="auto"/>
        <w:right w:val="none" w:sz="0" w:space="0" w:color="auto"/>
      </w:divBdr>
    </w:div>
    <w:div w:id="2077507990">
      <w:bodyDiv w:val="1"/>
      <w:marLeft w:val="0"/>
      <w:marRight w:val="0"/>
      <w:marTop w:val="0"/>
      <w:marBottom w:val="0"/>
      <w:divBdr>
        <w:top w:val="none" w:sz="0" w:space="0" w:color="auto"/>
        <w:left w:val="none" w:sz="0" w:space="0" w:color="auto"/>
        <w:bottom w:val="none" w:sz="0" w:space="0" w:color="auto"/>
        <w:right w:val="none" w:sz="0" w:space="0" w:color="auto"/>
      </w:divBdr>
    </w:div>
    <w:div w:id="2077582678">
      <w:bodyDiv w:val="1"/>
      <w:marLeft w:val="0"/>
      <w:marRight w:val="0"/>
      <w:marTop w:val="0"/>
      <w:marBottom w:val="0"/>
      <w:divBdr>
        <w:top w:val="none" w:sz="0" w:space="0" w:color="auto"/>
        <w:left w:val="none" w:sz="0" w:space="0" w:color="auto"/>
        <w:bottom w:val="none" w:sz="0" w:space="0" w:color="auto"/>
        <w:right w:val="none" w:sz="0" w:space="0" w:color="auto"/>
      </w:divBdr>
    </w:div>
    <w:div w:id="2077891617">
      <w:bodyDiv w:val="1"/>
      <w:marLeft w:val="0"/>
      <w:marRight w:val="0"/>
      <w:marTop w:val="0"/>
      <w:marBottom w:val="0"/>
      <w:divBdr>
        <w:top w:val="none" w:sz="0" w:space="0" w:color="auto"/>
        <w:left w:val="none" w:sz="0" w:space="0" w:color="auto"/>
        <w:bottom w:val="none" w:sz="0" w:space="0" w:color="auto"/>
        <w:right w:val="none" w:sz="0" w:space="0" w:color="auto"/>
      </w:divBdr>
    </w:div>
    <w:div w:id="2077975895">
      <w:bodyDiv w:val="1"/>
      <w:marLeft w:val="0"/>
      <w:marRight w:val="0"/>
      <w:marTop w:val="0"/>
      <w:marBottom w:val="0"/>
      <w:divBdr>
        <w:top w:val="none" w:sz="0" w:space="0" w:color="auto"/>
        <w:left w:val="none" w:sz="0" w:space="0" w:color="auto"/>
        <w:bottom w:val="none" w:sz="0" w:space="0" w:color="auto"/>
        <w:right w:val="none" w:sz="0" w:space="0" w:color="auto"/>
      </w:divBdr>
    </w:div>
    <w:div w:id="2078283829">
      <w:bodyDiv w:val="1"/>
      <w:marLeft w:val="0"/>
      <w:marRight w:val="0"/>
      <w:marTop w:val="0"/>
      <w:marBottom w:val="0"/>
      <w:divBdr>
        <w:top w:val="none" w:sz="0" w:space="0" w:color="auto"/>
        <w:left w:val="none" w:sz="0" w:space="0" w:color="auto"/>
        <w:bottom w:val="none" w:sz="0" w:space="0" w:color="auto"/>
        <w:right w:val="none" w:sz="0" w:space="0" w:color="auto"/>
      </w:divBdr>
    </w:div>
    <w:div w:id="2078284272">
      <w:bodyDiv w:val="1"/>
      <w:marLeft w:val="0"/>
      <w:marRight w:val="0"/>
      <w:marTop w:val="0"/>
      <w:marBottom w:val="0"/>
      <w:divBdr>
        <w:top w:val="none" w:sz="0" w:space="0" w:color="auto"/>
        <w:left w:val="none" w:sz="0" w:space="0" w:color="auto"/>
        <w:bottom w:val="none" w:sz="0" w:space="0" w:color="auto"/>
        <w:right w:val="none" w:sz="0" w:space="0" w:color="auto"/>
      </w:divBdr>
    </w:div>
    <w:div w:id="2078287191">
      <w:bodyDiv w:val="1"/>
      <w:marLeft w:val="0"/>
      <w:marRight w:val="0"/>
      <w:marTop w:val="0"/>
      <w:marBottom w:val="0"/>
      <w:divBdr>
        <w:top w:val="none" w:sz="0" w:space="0" w:color="auto"/>
        <w:left w:val="none" w:sz="0" w:space="0" w:color="auto"/>
        <w:bottom w:val="none" w:sz="0" w:space="0" w:color="auto"/>
        <w:right w:val="none" w:sz="0" w:space="0" w:color="auto"/>
      </w:divBdr>
    </w:div>
    <w:div w:id="2079205949">
      <w:bodyDiv w:val="1"/>
      <w:marLeft w:val="0"/>
      <w:marRight w:val="0"/>
      <w:marTop w:val="0"/>
      <w:marBottom w:val="0"/>
      <w:divBdr>
        <w:top w:val="none" w:sz="0" w:space="0" w:color="auto"/>
        <w:left w:val="none" w:sz="0" w:space="0" w:color="auto"/>
        <w:bottom w:val="none" w:sz="0" w:space="0" w:color="auto"/>
        <w:right w:val="none" w:sz="0" w:space="0" w:color="auto"/>
      </w:divBdr>
    </w:div>
    <w:div w:id="2079550548">
      <w:bodyDiv w:val="1"/>
      <w:marLeft w:val="0"/>
      <w:marRight w:val="0"/>
      <w:marTop w:val="0"/>
      <w:marBottom w:val="0"/>
      <w:divBdr>
        <w:top w:val="none" w:sz="0" w:space="0" w:color="auto"/>
        <w:left w:val="none" w:sz="0" w:space="0" w:color="auto"/>
        <w:bottom w:val="none" w:sz="0" w:space="0" w:color="auto"/>
        <w:right w:val="none" w:sz="0" w:space="0" w:color="auto"/>
      </w:divBdr>
    </w:div>
    <w:div w:id="2079593994">
      <w:bodyDiv w:val="1"/>
      <w:marLeft w:val="0"/>
      <w:marRight w:val="0"/>
      <w:marTop w:val="0"/>
      <w:marBottom w:val="0"/>
      <w:divBdr>
        <w:top w:val="none" w:sz="0" w:space="0" w:color="auto"/>
        <w:left w:val="none" w:sz="0" w:space="0" w:color="auto"/>
        <w:bottom w:val="none" w:sz="0" w:space="0" w:color="auto"/>
        <w:right w:val="none" w:sz="0" w:space="0" w:color="auto"/>
      </w:divBdr>
    </w:div>
    <w:div w:id="2079597335">
      <w:bodyDiv w:val="1"/>
      <w:marLeft w:val="0"/>
      <w:marRight w:val="0"/>
      <w:marTop w:val="0"/>
      <w:marBottom w:val="0"/>
      <w:divBdr>
        <w:top w:val="none" w:sz="0" w:space="0" w:color="auto"/>
        <w:left w:val="none" w:sz="0" w:space="0" w:color="auto"/>
        <w:bottom w:val="none" w:sz="0" w:space="0" w:color="auto"/>
        <w:right w:val="none" w:sz="0" w:space="0" w:color="auto"/>
      </w:divBdr>
    </w:div>
    <w:div w:id="2079664716">
      <w:bodyDiv w:val="1"/>
      <w:marLeft w:val="0"/>
      <w:marRight w:val="0"/>
      <w:marTop w:val="0"/>
      <w:marBottom w:val="0"/>
      <w:divBdr>
        <w:top w:val="none" w:sz="0" w:space="0" w:color="auto"/>
        <w:left w:val="none" w:sz="0" w:space="0" w:color="auto"/>
        <w:bottom w:val="none" w:sz="0" w:space="0" w:color="auto"/>
        <w:right w:val="none" w:sz="0" w:space="0" w:color="auto"/>
      </w:divBdr>
    </w:div>
    <w:div w:id="2079743308">
      <w:bodyDiv w:val="1"/>
      <w:marLeft w:val="0"/>
      <w:marRight w:val="0"/>
      <w:marTop w:val="0"/>
      <w:marBottom w:val="0"/>
      <w:divBdr>
        <w:top w:val="none" w:sz="0" w:space="0" w:color="auto"/>
        <w:left w:val="none" w:sz="0" w:space="0" w:color="auto"/>
        <w:bottom w:val="none" w:sz="0" w:space="0" w:color="auto"/>
        <w:right w:val="none" w:sz="0" w:space="0" w:color="auto"/>
      </w:divBdr>
    </w:div>
    <w:div w:id="2079745633">
      <w:bodyDiv w:val="1"/>
      <w:marLeft w:val="0"/>
      <w:marRight w:val="0"/>
      <w:marTop w:val="0"/>
      <w:marBottom w:val="0"/>
      <w:divBdr>
        <w:top w:val="none" w:sz="0" w:space="0" w:color="auto"/>
        <w:left w:val="none" w:sz="0" w:space="0" w:color="auto"/>
        <w:bottom w:val="none" w:sz="0" w:space="0" w:color="auto"/>
        <w:right w:val="none" w:sz="0" w:space="0" w:color="auto"/>
      </w:divBdr>
    </w:div>
    <w:div w:id="2079859936">
      <w:bodyDiv w:val="1"/>
      <w:marLeft w:val="0"/>
      <w:marRight w:val="0"/>
      <w:marTop w:val="0"/>
      <w:marBottom w:val="0"/>
      <w:divBdr>
        <w:top w:val="none" w:sz="0" w:space="0" w:color="auto"/>
        <w:left w:val="none" w:sz="0" w:space="0" w:color="auto"/>
        <w:bottom w:val="none" w:sz="0" w:space="0" w:color="auto"/>
        <w:right w:val="none" w:sz="0" w:space="0" w:color="auto"/>
      </w:divBdr>
    </w:div>
    <w:div w:id="2079862882">
      <w:bodyDiv w:val="1"/>
      <w:marLeft w:val="0"/>
      <w:marRight w:val="0"/>
      <w:marTop w:val="0"/>
      <w:marBottom w:val="0"/>
      <w:divBdr>
        <w:top w:val="none" w:sz="0" w:space="0" w:color="auto"/>
        <w:left w:val="none" w:sz="0" w:space="0" w:color="auto"/>
        <w:bottom w:val="none" w:sz="0" w:space="0" w:color="auto"/>
        <w:right w:val="none" w:sz="0" w:space="0" w:color="auto"/>
      </w:divBdr>
    </w:div>
    <w:div w:id="2080051181">
      <w:bodyDiv w:val="1"/>
      <w:marLeft w:val="0"/>
      <w:marRight w:val="0"/>
      <w:marTop w:val="0"/>
      <w:marBottom w:val="0"/>
      <w:divBdr>
        <w:top w:val="none" w:sz="0" w:space="0" w:color="auto"/>
        <w:left w:val="none" w:sz="0" w:space="0" w:color="auto"/>
        <w:bottom w:val="none" w:sz="0" w:space="0" w:color="auto"/>
        <w:right w:val="none" w:sz="0" w:space="0" w:color="auto"/>
      </w:divBdr>
    </w:div>
    <w:div w:id="2080201516">
      <w:bodyDiv w:val="1"/>
      <w:marLeft w:val="0"/>
      <w:marRight w:val="0"/>
      <w:marTop w:val="0"/>
      <w:marBottom w:val="0"/>
      <w:divBdr>
        <w:top w:val="none" w:sz="0" w:space="0" w:color="auto"/>
        <w:left w:val="none" w:sz="0" w:space="0" w:color="auto"/>
        <w:bottom w:val="none" w:sz="0" w:space="0" w:color="auto"/>
        <w:right w:val="none" w:sz="0" w:space="0" w:color="auto"/>
      </w:divBdr>
    </w:div>
    <w:div w:id="2080249294">
      <w:bodyDiv w:val="1"/>
      <w:marLeft w:val="0"/>
      <w:marRight w:val="0"/>
      <w:marTop w:val="0"/>
      <w:marBottom w:val="0"/>
      <w:divBdr>
        <w:top w:val="none" w:sz="0" w:space="0" w:color="auto"/>
        <w:left w:val="none" w:sz="0" w:space="0" w:color="auto"/>
        <w:bottom w:val="none" w:sz="0" w:space="0" w:color="auto"/>
        <w:right w:val="none" w:sz="0" w:space="0" w:color="auto"/>
      </w:divBdr>
    </w:div>
    <w:div w:id="2080319413">
      <w:bodyDiv w:val="1"/>
      <w:marLeft w:val="0"/>
      <w:marRight w:val="0"/>
      <w:marTop w:val="0"/>
      <w:marBottom w:val="0"/>
      <w:divBdr>
        <w:top w:val="none" w:sz="0" w:space="0" w:color="auto"/>
        <w:left w:val="none" w:sz="0" w:space="0" w:color="auto"/>
        <w:bottom w:val="none" w:sz="0" w:space="0" w:color="auto"/>
        <w:right w:val="none" w:sz="0" w:space="0" w:color="auto"/>
      </w:divBdr>
    </w:div>
    <w:div w:id="2080444558">
      <w:bodyDiv w:val="1"/>
      <w:marLeft w:val="0"/>
      <w:marRight w:val="0"/>
      <w:marTop w:val="0"/>
      <w:marBottom w:val="0"/>
      <w:divBdr>
        <w:top w:val="none" w:sz="0" w:space="0" w:color="auto"/>
        <w:left w:val="none" w:sz="0" w:space="0" w:color="auto"/>
        <w:bottom w:val="none" w:sz="0" w:space="0" w:color="auto"/>
        <w:right w:val="none" w:sz="0" w:space="0" w:color="auto"/>
      </w:divBdr>
    </w:div>
    <w:div w:id="2080784523">
      <w:bodyDiv w:val="1"/>
      <w:marLeft w:val="0"/>
      <w:marRight w:val="0"/>
      <w:marTop w:val="0"/>
      <w:marBottom w:val="0"/>
      <w:divBdr>
        <w:top w:val="none" w:sz="0" w:space="0" w:color="auto"/>
        <w:left w:val="none" w:sz="0" w:space="0" w:color="auto"/>
        <w:bottom w:val="none" w:sz="0" w:space="0" w:color="auto"/>
        <w:right w:val="none" w:sz="0" w:space="0" w:color="auto"/>
      </w:divBdr>
    </w:div>
    <w:div w:id="2080788932">
      <w:bodyDiv w:val="1"/>
      <w:marLeft w:val="0"/>
      <w:marRight w:val="0"/>
      <w:marTop w:val="0"/>
      <w:marBottom w:val="0"/>
      <w:divBdr>
        <w:top w:val="none" w:sz="0" w:space="0" w:color="auto"/>
        <w:left w:val="none" w:sz="0" w:space="0" w:color="auto"/>
        <w:bottom w:val="none" w:sz="0" w:space="0" w:color="auto"/>
        <w:right w:val="none" w:sz="0" w:space="0" w:color="auto"/>
      </w:divBdr>
    </w:div>
    <w:div w:id="2080790564">
      <w:bodyDiv w:val="1"/>
      <w:marLeft w:val="0"/>
      <w:marRight w:val="0"/>
      <w:marTop w:val="0"/>
      <w:marBottom w:val="0"/>
      <w:divBdr>
        <w:top w:val="none" w:sz="0" w:space="0" w:color="auto"/>
        <w:left w:val="none" w:sz="0" w:space="0" w:color="auto"/>
        <w:bottom w:val="none" w:sz="0" w:space="0" w:color="auto"/>
        <w:right w:val="none" w:sz="0" w:space="0" w:color="auto"/>
      </w:divBdr>
    </w:div>
    <w:div w:id="2080790628">
      <w:bodyDiv w:val="1"/>
      <w:marLeft w:val="0"/>
      <w:marRight w:val="0"/>
      <w:marTop w:val="0"/>
      <w:marBottom w:val="0"/>
      <w:divBdr>
        <w:top w:val="none" w:sz="0" w:space="0" w:color="auto"/>
        <w:left w:val="none" w:sz="0" w:space="0" w:color="auto"/>
        <w:bottom w:val="none" w:sz="0" w:space="0" w:color="auto"/>
        <w:right w:val="none" w:sz="0" w:space="0" w:color="auto"/>
      </w:divBdr>
    </w:div>
    <w:div w:id="2080862516">
      <w:bodyDiv w:val="1"/>
      <w:marLeft w:val="0"/>
      <w:marRight w:val="0"/>
      <w:marTop w:val="0"/>
      <w:marBottom w:val="0"/>
      <w:divBdr>
        <w:top w:val="none" w:sz="0" w:space="0" w:color="auto"/>
        <w:left w:val="none" w:sz="0" w:space="0" w:color="auto"/>
        <w:bottom w:val="none" w:sz="0" w:space="0" w:color="auto"/>
        <w:right w:val="none" w:sz="0" w:space="0" w:color="auto"/>
      </w:divBdr>
    </w:div>
    <w:div w:id="2081176703">
      <w:bodyDiv w:val="1"/>
      <w:marLeft w:val="0"/>
      <w:marRight w:val="0"/>
      <w:marTop w:val="0"/>
      <w:marBottom w:val="0"/>
      <w:divBdr>
        <w:top w:val="none" w:sz="0" w:space="0" w:color="auto"/>
        <w:left w:val="none" w:sz="0" w:space="0" w:color="auto"/>
        <w:bottom w:val="none" w:sz="0" w:space="0" w:color="auto"/>
        <w:right w:val="none" w:sz="0" w:space="0" w:color="auto"/>
      </w:divBdr>
    </w:div>
    <w:div w:id="2081362965">
      <w:bodyDiv w:val="1"/>
      <w:marLeft w:val="0"/>
      <w:marRight w:val="0"/>
      <w:marTop w:val="0"/>
      <w:marBottom w:val="0"/>
      <w:divBdr>
        <w:top w:val="none" w:sz="0" w:space="0" w:color="auto"/>
        <w:left w:val="none" w:sz="0" w:space="0" w:color="auto"/>
        <w:bottom w:val="none" w:sz="0" w:space="0" w:color="auto"/>
        <w:right w:val="none" w:sz="0" w:space="0" w:color="auto"/>
      </w:divBdr>
    </w:div>
    <w:div w:id="2081365636">
      <w:bodyDiv w:val="1"/>
      <w:marLeft w:val="0"/>
      <w:marRight w:val="0"/>
      <w:marTop w:val="0"/>
      <w:marBottom w:val="0"/>
      <w:divBdr>
        <w:top w:val="none" w:sz="0" w:space="0" w:color="auto"/>
        <w:left w:val="none" w:sz="0" w:space="0" w:color="auto"/>
        <w:bottom w:val="none" w:sz="0" w:space="0" w:color="auto"/>
        <w:right w:val="none" w:sz="0" w:space="0" w:color="auto"/>
      </w:divBdr>
    </w:div>
    <w:div w:id="2081712488">
      <w:bodyDiv w:val="1"/>
      <w:marLeft w:val="0"/>
      <w:marRight w:val="0"/>
      <w:marTop w:val="0"/>
      <w:marBottom w:val="0"/>
      <w:divBdr>
        <w:top w:val="none" w:sz="0" w:space="0" w:color="auto"/>
        <w:left w:val="none" w:sz="0" w:space="0" w:color="auto"/>
        <w:bottom w:val="none" w:sz="0" w:space="0" w:color="auto"/>
        <w:right w:val="none" w:sz="0" w:space="0" w:color="auto"/>
      </w:divBdr>
    </w:div>
    <w:div w:id="2081782105">
      <w:bodyDiv w:val="1"/>
      <w:marLeft w:val="0"/>
      <w:marRight w:val="0"/>
      <w:marTop w:val="0"/>
      <w:marBottom w:val="0"/>
      <w:divBdr>
        <w:top w:val="none" w:sz="0" w:space="0" w:color="auto"/>
        <w:left w:val="none" w:sz="0" w:space="0" w:color="auto"/>
        <w:bottom w:val="none" w:sz="0" w:space="0" w:color="auto"/>
        <w:right w:val="none" w:sz="0" w:space="0" w:color="auto"/>
      </w:divBdr>
    </w:div>
    <w:div w:id="2081822988">
      <w:bodyDiv w:val="1"/>
      <w:marLeft w:val="0"/>
      <w:marRight w:val="0"/>
      <w:marTop w:val="0"/>
      <w:marBottom w:val="0"/>
      <w:divBdr>
        <w:top w:val="none" w:sz="0" w:space="0" w:color="auto"/>
        <w:left w:val="none" w:sz="0" w:space="0" w:color="auto"/>
        <w:bottom w:val="none" w:sz="0" w:space="0" w:color="auto"/>
        <w:right w:val="none" w:sz="0" w:space="0" w:color="auto"/>
      </w:divBdr>
    </w:div>
    <w:div w:id="2081830217">
      <w:bodyDiv w:val="1"/>
      <w:marLeft w:val="0"/>
      <w:marRight w:val="0"/>
      <w:marTop w:val="0"/>
      <w:marBottom w:val="0"/>
      <w:divBdr>
        <w:top w:val="none" w:sz="0" w:space="0" w:color="auto"/>
        <w:left w:val="none" w:sz="0" w:space="0" w:color="auto"/>
        <w:bottom w:val="none" w:sz="0" w:space="0" w:color="auto"/>
        <w:right w:val="none" w:sz="0" w:space="0" w:color="auto"/>
      </w:divBdr>
    </w:div>
    <w:div w:id="2082174828">
      <w:bodyDiv w:val="1"/>
      <w:marLeft w:val="0"/>
      <w:marRight w:val="0"/>
      <w:marTop w:val="0"/>
      <w:marBottom w:val="0"/>
      <w:divBdr>
        <w:top w:val="none" w:sz="0" w:space="0" w:color="auto"/>
        <w:left w:val="none" w:sz="0" w:space="0" w:color="auto"/>
        <w:bottom w:val="none" w:sz="0" w:space="0" w:color="auto"/>
        <w:right w:val="none" w:sz="0" w:space="0" w:color="auto"/>
      </w:divBdr>
    </w:div>
    <w:div w:id="2082437526">
      <w:bodyDiv w:val="1"/>
      <w:marLeft w:val="0"/>
      <w:marRight w:val="0"/>
      <w:marTop w:val="0"/>
      <w:marBottom w:val="0"/>
      <w:divBdr>
        <w:top w:val="none" w:sz="0" w:space="0" w:color="auto"/>
        <w:left w:val="none" w:sz="0" w:space="0" w:color="auto"/>
        <w:bottom w:val="none" w:sz="0" w:space="0" w:color="auto"/>
        <w:right w:val="none" w:sz="0" w:space="0" w:color="auto"/>
      </w:divBdr>
    </w:div>
    <w:div w:id="2082630189">
      <w:bodyDiv w:val="1"/>
      <w:marLeft w:val="0"/>
      <w:marRight w:val="0"/>
      <w:marTop w:val="0"/>
      <w:marBottom w:val="0"/>
      <w:divBdr>
        <w:top w:val="none" w:sz="0" w:space="0" w:color="auto"/>
        <w:left w:val="none" w:sz="0" w:space="0" w:color="auto"/>
        <w:bottom w:val="none" w:sz="0" w:space="0" w:color="auto"/>
        <w:right w:val="none" w:sz="0" w:space="0" w:color="auto"/>
      </w:divBdr>
    </w:div>
    <w:div w:id="2082630536">
      <w:bodyDiv w:val="1"/>
      <w:marLeft w:val="0"/>
      <w:marRight w:val="0"/>
      <w:marTop w:val="0"/>
      <w:marBottom w:val="0"/>
      <w:divBdr>
        <w:top w:val="none" w:sz="0" w:space="0" w:color="auto"/>
        <w:left w:val="none" w:sz="0" w:space="0" w:color="auto"/>
        <w:bottom w:val="none" w:sz="0" w:space="0" w:color="auto"/>
        <w:right w:val="none" w:sz="0" w:space="0" w:color="auto"/>
      </w:divBdr>
    </w:div>
    <w:div w:id="2082633751">
      <w:bodyDiv w:val="1"/>
      <w:marLeft w:val="0"/>
      <w:marRight w:val="0"/>
      <w:marTop w:val="0"/>
      <w:marBottom w:val="0"/>
      <w:divBdr>
        <w:top w:val="none" w:sz="0" w:space="0" w:color="auto"/>
        <w:left w:val="none" w:sz="0" w:space="0" w:color="auto"/>
        <w:bottom w:val="none" w:sz="0" w:space="0" w:color="auto"/>
        <w:right w:val="none" w:sz="0" w:space="0" w:color="auto"/>
      </w:divBdr>
    </w:div>
    <w:div w:id="2082635478">
      <w:bodyDiv w:val="1"/>
      <w:marLeft w:val="0"/>
      <w:marRight w:val="0"/>
      <w:marTop w:val="0"/>
      <w:marBottom w:val="0"/>
      <w:divBdr>
        <w:top w:val="none" w:sz="0" w:space="0" w:color="auto"/>
        <w:left w:val="none" w:sz="0" w:space="0" w:color="auto"/>
        <w:bottom w:val="none" w:sz="0" w:space="0" w:color="auto"/>
        <w:right w:val="none" w:sz="0" w:space="0" w:color="auto"/>
      </w:divBdr>
    </w:div>
    <w:div w:id="2082672908">
      <w:bodyDiv w:val="1"/>
      <w:marLeft w:val="0"/>
      <w:marRight w:val="0"/>
      <w:marTop w:val="0"/>
      <w:marBottom w:val="0"/>
      <w:divBdr>
        <w:top w:val="none" w:sz="0" w:space="0" w:color="auto"/>
        <w:left w:val="none" w:sz="0" w:space="0" w:color="auto"/>
        <w:bottom w:val="none" w:sz="0" w:space="0" w:color="auto"/>
        <w:right w:val="none" w:sz="0" w:space="0" w:color="auto"/>
      </w:divBdr>
    </w:div>
    <w:div w:id="2082746916">
      <w:bodyDiv w:val="1"/>
      <w:marLeft w:val="0"/>
      <w:marRight w:val="0"/>
      <w:marTop w:val="0"/>
      <w:marBottom w:val="0"/>
      <w:divBdr>
        <w:top w:val="none" w:sz="0" w:space="0" w:color="auto"/>
        <w:left w:val="none" w:sz="0" w:space="0" w:color="auto"/>
        <w:bottom w:val="none" w:sz="0" w:space="0" w:color="auto"/>
        <w:right w:val="none" w:sz="0" w:space="0" w:color="auto"/>
      </w:divBdr>
    </w:div>
    <w:div w:id="2082748045">
      <w:bodyDiv w:val="1"/>
      <w:marLeft w:val="0"/>
      <w:marRight w:val="0"/>
      <w:marTop w:val="0"/>
      <w:marBottom w:val="0"/>
      <w:divBdr>
        <w:top w:val="none" w:sz="0" w:space="0" w:color="auto"/>
        <w:left w:val="none" w:sz="0" w:space="0" w:color="auto"/>
        <w:bottom w:val="none" w:sz="0" w:space="0" w:color="auto"/>
        <w:right w:val="none" w:sz="0" w:space="0" w:color="auto"/>
      </w:divBdr>
    </w:div>
    <w:div w:id="2082826751">
      <w:bodyDiv w:val="1"/>
      <w:marLeft w:val="0"/>
      <w:marRight w:val="0"/>
      <w:marTop w:val="0"/>
      <w:marBottom w:val="0"/>
      <w:divBdr>
        <w:top w:val="none" w:sz="0" w:space="0" w:color="auto"/>
        <w:left w:val="none" w:sz="0" w:space="0" w:color="auto"/>
        <w:bottom w:val="none" w:sz="0" w:space="0" w:color="auto"/>
        <w:right w:val="none" w:sz="0" w:space="0" w:color="auto"/>
      </w:divBdr>
    </w:div>
    <w:div w:id="2082827026">
      <w:bodyDiv w:val="1"/>
      <w:marLeft w:val="0"/>
      <w:marRight w:val="0"/>
      <w:marTop w:val="0"/>
      <w:marBottom w:val="0"/>
      <w:divBdr>
        <w:top w:val="none" w:sz="0" w:space="0" w:color="auto"/>
        <w:left w:val="none" w:sz="0" w:space="0" w:color="auto"/>
        <w:bottom w:val="none" w:sz="0" w:space="0" w:color="auto"/>
        <w:right w:val="none" w:sz="0" w:space="0" w:color="auto"/>
      </w:divBdr>
    </w:div>
    <w:div w:id="2083134913">
      <w:bodyDiv w:val="1"/>
      <w:marLeft w:val="0"/>
      <w:marRight w:val="0"/>
      <w:marTop w:val="0"/>
      <w:marBottom w:val="0"/>
      <w:divBdr>
        <w:top w:val="none" w:sz="0" w:space="0" w:color="auto"/>
        <w:left w:val="none" w:sz="0" w:space="0" w:color="auto"/>
        <w:bottom w:val="none" w:sz="0" w:space="0" w:color="auto"/>
        <w:right w:val="none" w:sz="0" w:space="0" w:color="auto"/>
      </w:divBdr>
    </w:div>
    <w:div w:id="2083290718">
      <w:bodyDiv w:val="1"/>
      <w:marLeft w:val="0"/>
      <w:marRight w:val="0"/>
      <w:marTop w:val="0"/>
      <w:marBottom w:val="0"/>
      <w:divBdr>
        <w:top w:val="none" w:sz="0" w:space="0" w:color="auto"/>
        <w:left w:val="none" w:sz="0" w:space="0" w:color="auto"/>
        <w:bottom w:val="none" w:sz="0" w:space="0" w:color="auto"/>
        <w:right w:val="none" w:sz="0" w:space="0" w:color="auto"/>
      </w:divBdr>
    </w:div>
    <w:div w:id="2083520962">
      <w:bodyDiv w:val="1"/>
      <w:marLeft w:val="0"/>
      <w:marRight w:val="0"/>
      <w:marTop w:val="0"/>
      <w:marBottom w:val="0"/>
      <w:divBdr>
        <w:top w:val="none" w:sz="0" w:space="0" w:color="auto"/>
        <w:left w:val="none" w:sz="0" w:space="0" w:color="auto"/>
        <w:bottom w:val="none" w:sz="0" w:space="0" w:color="auto"/>
        <w:right w:val="none" w:sz="0" w:space="0" w:color="auto"/>
      </w:divBdr>
    </w:div>
    <w:div w:id="2083552880">
      <w:bodyDiv w:val="1"/>
      <w:marLeft w:val="0"/>
      <w:marRight w:val="0"/>
      <w:marTop w:val="0"/>
      <w:marBottom w:val="0"/>
      <w:divBdr>
        <w:top w:val="none" w:sz="0" w:space="0" w:color="auto"/>
        <w:left w:val="none" w:sz="0" w:space="0" w:color="auto"/>
        <w:bottom w:val="none" w:sz="0" w:space="0" w:color="auto"/>
        <w:right w:val="none" w:sz="0" w:space="0" w:color="auto"/>
      </w:divBdr>
    </w:div>
    <w:div w:id="2083600993">
      <w:bodyDiv w:val="1"/>
      <w:marLeft w:val="0"/>
      <w:marRight w:val="0"/>
      <w:marTop w:val="0"/>
      <w:marBottom w:val="0"/>
      <w:divBdr>
        <w:top w:val="none" w:sz="0" w:space="0" w:color="auto"/>
        <w:left w:val="none" w:sz="0" w:space="0" w:color="auto"/>
        <w:bottom w:val="none" w:sz="0" w:space="0" w:color="auto"/>
        <w:right w:val="none" w:sz="0" w:space="0" w:color="auto"/>
      </w:divBdr>
    </w:div>
    <w:div w:id="2083675829">
      <w:bodyDiv w:val="1"/>
      <w:marLeft w:val="0"/>
      <w:marRight w:val="0"/>
      <w:marTop w:val="0"/>
      <w:marBottom w:val="0"/>
      <w:divBdr>
        <w:top w:val="none" w:sz="0" w:space="0" w:color="auto"/>
        <w:left w:val="none" w:sz="0" w:space="0" w:color="auto"/>
        <w:bottom w:val="none" w:sz="0" w:space="0" w:color="auto"/>
        <w:right w:val="none" w:sz="0" w:space="0" w:color="auto"/>
      </w:divBdr>
    </w:div>
    <w:div w:id="2083788756">
      <w:bodyDiv w:val="1"/>
      <w:marLeft w:val="0"/>
      <w:marRight w:val="0"/>
      <w:marTop w:val="0"/>
      <w:marBottom w:val="0"/>
      <w:divBdr>
        <w:top w:val="none" w:sz="0" w:space="0" w:color="auto"/>
        <w:left w:val="none" w:sz="0" w:space="0" w:color="auto"/>
        <w:bottom w:val="none" w:sz="0" w:space="0" w:color="auto"/>
        <w:right w:val="none" w:sz="0" w:space="0" w:color="auto"/>
      </w:divBdr>
    </w:div>
    <w:div w:id="2083790492">
      <w:bodyDiv w:val="1"/>
      <w:marLeft w:val="0"/>
      <w:marRight w:val="0"/>
      <w:marTop w:val="0"/>
      <w:marBottom w:val="0"/>
      <w:divBdr>
        <w:top w:val="none" w:sz="0" w:space="0" w:color="auto"/>
        <w:left w:val="none" w:sz="0" w:space="0" w:color="auto"/>
        <w:bottom w:val="none" w:sz="0" w:space="0" w:color="auto"/>
        <w:right w:val="none" w:sz="0" w:space="0" w:color="auto"/>
      </w:divBdr>
    </w:div>
    <w:div w:id="2083867356">
      <w:bodyDiv w:val="1"/>
      <w:marLeft w:val="0"/>
      <w:marRight w:val="0"/>
      <w:marTop w:val="0"/>
      <w:marBottom w:val="0"/>
      <w:divBdr>
        <w:top w:val="none" w:sz="0" w:space="0" w:color="auto"/>
        <w:left w:val="none" w:sz="0" w:space="0" w:color="auto"/>
        <w:bottom w:val="none" w:sz="0" w:space="0" w:color="auto"/>
        <w:right w:val="none" w:sz="0" w:space="0" w:color="auto"/>
      </w:divBdr>
    </w:div>
    <w:div w:id="2083945226">
      <w:bodyDiv w:val="1"/>
      <w:marLeft w:val="0"/>
      <w:marRight w:val="0"/>
      <w:marTop w:val="0"/>
      <w:marBottom w:val="0"/>
      <w:divBdr>
        <w:top w:val="none" w:sz="0" w:space="0" w:color="auto"/>
        <w:left w:val="none" w:sz="0" w:space="0" w:color="auto"/>
        <w:bottom w:val="none" w:sz="0" w:space="0" w:color="auto"/>
        <w:right w:val="none" w:sz="0" w:space="0" w:color="auto"/>
      </w:divBdr>
    </w:div>
    <w:div w:id="2084134003">
      <w:bodyDiv w:val="1"/>
      <w:marLeft w:val="0"/>
      <w:marRight w:val="0"/>
      <w:marTop w:val="0"/>
      <w:marBottom w:val="0"/>
      <w:divBdr>
        <w:top w:val="none" w:sz="0" w:space="0" w:color="auto"/>
        <w:left w:val="none" w:sz="0" w:space="0" w:color="auto"/>
        <w:bottom w:val="none" w:sz="0" w:space="0" w:color="auto"/>
        <w:right w:val="none" w:sz="0" w:space="0" w:color="auto"/>
      </w:divBdr>
    </w:div>
    <w:div w:id="2084257093">
      <w:bodyDiv w:val="1"/>
      <w:marLeft w:val="0"/>
      <w:marRight w:val="0"/>
      <w:marTop w:val="0"/>
      <w:marBottom w:val="0"/>
      <w:divBdr>
        <w:top w:val="none" w:sz="0" w:space="0" w:color="auto"/>
        <w:left w:val="none" w:sz="0" w:space="0" w:color="auto"/>
        <w:bottom w:val="none" w:sz="0" w:space="0" w:color="auto"/>
        <w:right w:val="none" w:sz="0" w:space="0" w:color="auto"/>
      </w:divBdr>
    </w:div>
    <w:div w:id="2084595178">
      <w:bodyDiv w:val="1"/>
      <w:marLeft w:val="0"/>
      <w:marRight w:val="0"/>
      <w:marTop w:val="0"/>
      <w:marBottom w:val="0"/>
      <w:divBdr>
        <w:top w:val="none" w:sz="0" w:space="0" w:color="auto"/>
        <w:left w:val="none" w:sz="0" w:space="0" w:color="auto"/>
        <w:bottom w:val="none" w:sz="0" w:space="0" w:color="auto"/>
        <w:right w:val="none" w:sz="0" w:space="0" w:color="auto"/>
      </w:divBdr>
    </w:div>
    <w:div w:id="2084714529">
      <w:bodyDiv w:val="1"/>
      <w:marLeft w:val="0"/>
      <w:marRight w:val="0"/>
      <w:marTop w:val="0"/>
      <w:marBottom w:val="0"/>
      <w:divBdr>
        <w:top w:val="none" w:sz="0" w:space="0" w:color="auto"/>
        <w:left w:val="none" w:sz="0" w:space="0" w:color="auto"/>
        <w:bottom w:val="none" w:sz="0" w:space="0" w:color="auto"/>
        <w:right w:val="none" w:sz="0" w:space="0" w:color="auto"/>
      </w:divBdr>
    </w:div>
    <w:div w:id="2085100848">
      <w:bodyDiv w:val="1"/>
      <w:marLeft w:val="0"/>
      <w:marRight w:val="0"/>
      <w:marTop w:val="0"/>
      <w:marBottom w:val="0"/>
      <w:divBdr>
        <w:top w:val="none" w:sz="0" w:space="0" w:color="auto"/>
        <w:left w:val="none" w:sz="0" w:space="0" w:color="auto"/>
        <w:bottom w:val="none" w:sz="0" w:space="0" w:color="auto"/>
        <w:right w:val="none" w:sz="0" w:space="0" w:color="auto"/>
      </w:divBdr>
    </w:div>
    <w:div w:id="2085104583">
      <w:bodyDiv w:val="1"/>
      <w:marLeft w:val="0"/>
      <w:marRight w:val="0"/>
      <w:marTop w:val="0"/>
      <w:marBottom w:val="0"/>
      <w:divBdr>
        <w:top w:val="none" w:sz="0" w:space="0" w:color="auto"/>
        <w:left w:val="none" w:sz="0" w:space="0" w:color="auto"/>
        <w:bottom w:val="none" w:sz="0" w:space="0" w:color="auto"/>
        <w:right w:val="none" w:sz="0" w:space="0" w:color="auto"/>
      </w:divBdr>
    </w:div>
    <w:div w:id="2085105268">
      <w:bodyDiv w:val="1"/>
      <w:marLeft w:val="0"/>
      <w:marRight w:val="0"/>
      <w:marTop w:val="0"/>
      <w:marBottom w:val="0"/>
      <w:divBdr>
        <w:top w:val="none" w:sz="0" w:space="0" w:color="auto"/>
        <w:left w:val="none" w:sz="0" w:space="0" w:color="auto"/>
        <w:bottom w:val="none" w:sz="0" w:space="0" w:color="auto"/>
        <w:right w:val="none" w:sz="0" w:space="0" w:color="auto"/>
      </w:divBdr>
    </w:div>
    <w:div w:id="2085178630">
      <w:bodyDiv w:val="1"/>
      <w:marLeft w:val="0"/>
      <w:marRight w:val="0"/>
      <w:marTop w:val="0"/>
      <w:marBottom w:val="0"/>
      <w:divBdr>
        <w:top w:val="none" w:sz="0" w:space="0" w:color="auto"/>
        <w:left w:val="none" w:sz="0" w:space="0" w:color="auto"/>
        <w:bottom w:val="none" w:sz="0" w:space="0" w:color="auto"/>
        <w:right w:val="none" w:sz="0" w:space="0" w:color="auto"/>
      </w:divBdr>
    </w:div>
    <w:div w:id="2085254669">
      <w:bodyDiv w:val="1"/>
      <w:marLeft w:val="0"/>
      <w:marRight w:val="0"/>
      <w:marTop w:val="0"/>
      <w:marBottom w:val="0"/>
      <w:divBdr>
        <w:top w:val="none" w:sz="0" w:space="0" w:color="auto"/>
        <w:left w:val="none" w:sz="0" w:space="0" w:color="auto"/>
        <w:bottom w:val="none" w:sz="0" w:space="0" w:color="auto"/>
        <w:right w:val="none" w:sz="0" w:space="0" w:color="auto"/>
      </w:divBdr>
    </w:div>
    <w:div w:id="2085445734">
      <w:bodyDiv w:val="1"/>
      <w:marLeft w:val="0"/>
      <w:marRight w:val="0"/>
      <w:marTop w:val="0"/>
      <w:marBottom w:val="0"/>
      <w:divBdr>
        <w:top w:val="none" w:sz="0" w:space="0" w:color="auto"/>
        <w:left w:val="none" w:sz="0" w:space="0" w:color="auto"/>
        <w:bottom w:val="none" w:sz="0" w:space="0" w:color="auto"/>
        <w:right w:val="none" w:sz="0" w:space="0" w:color="auto"/>
      </w:divBdr>
    </w:div>
    <w:div w:id="2085488597">
      <w:bodyDiv w:val="1"/>
      <w:marLeft w:val="0"/>
      <w:marRight w:val="0"/>
      <w:marTop w:val="0"/>
      <w:marBottom w:val="0"/>
      <w:divBdr>
        <w:top w:val="none" w:sz="0" w:space="0" w:color="auto"/>
        <w:left w:val="none" w:sz="0" w:space="0" w:color="auto"/>
        <w:bottom w:val="none" w:sz="0" w:space="0" w:color="auto"/>
        <w:right w:val="none" w:sz="0" w:space="0" w:color="auto"/>
      </w:divBdr>
    </w:div>
    <w:div w:id="2085519043">
      <w:bodyDiv w:val="1"/>
      <w:marLeft w:val="0"/>
      <w:marRight w:val="0"/>
      <w:marTop w:val="0"/>
      <w:marBottom w:val="0"/>
      <w:divBdr>
        <w:top w:val="none" w:sz="0" w:space="0" w:color="auto"/>
        <w:left w:val="none" w:sz="0" w:space="0" w:color="auto"/>
        <w:bottom w:val="none" w:sz="0" w:space="0" w:color="auto"/>
        <w:right w:val="none" w:sz="0" w:space="0" w:color="auto"/>
      </w:divBdr>
    </w:div>
    <w:div w:id="2085715591">
      <w:bodyDiv w:val="1"/>
      <w:marLeft w:val="0"/>
      <w:marRight w:val="0"/>
      <w:marTop w:val="0"/>
      <w:marBottom w:val="0"/>
      <w:divBdr>
        <w:top w:val="none" w:sz="0" w:space="0" w:color="auto"/>
        <w:left w:val="none" w:sz="0" w:space="0" w:color="auto"/>
        <w:bottom w:val="none" w:sz="0" w:space="0" w:color="auto"/>
        <w:right w:val="none" w:sz="0" w:space="0" w:color="auto"/>
      </w:divBdr>
    </w:div>
    <w:div w:id="2085956837">
      <w:bodyDiv w:val="1"/>
      <w:marLeft w:val="0"/>
      <w:marRight w:val="0"/>
      <w:marTop w:val="0"/>
      <w:marBottom w:val="0"/>
      <w:divBdr>
        <w:top w:val="none" w:sz="0" w:space="0" w:color="auto"/>
        <w:left w:val="none" w:sz="0" w:space="0" w:color="auto"/>
        <w:bottom w:val="none" w:sz="0" w:space="0" w:color="auto"/>
        <w:right w:val="none" w:sz="0" w:space="0" w:color="auto"/>
      </w:divBdr>
    </w:div>
    <w:div w:id="2086221986">
      <w:bodyDiv w:val="1"/>
      <w:marLeft w:val="0"/>
      <w:marRight w:val="0"/>
      <w:marTop w:val="0"/>
      <w:marBottom w:val="0"/>
      <w:divBdr>
        <w:top w:val="none" w:sz="0" w:space="0" w:color="auto"/>
        <w:left w:val="none" w:sz="0" w:space="0" w:color="auto"/>
        <w:bottom w:val="none" w:sz="0" w:space="0" w:color="auto"/>
        <w:right w:val="none" w:sz="0" w:space="0" w:color="auto"/>
      </w:divBdr>
    </w:div>
    <w:div w:id="2086224619">
      <w:bodyDiv w:val="1"/>
      <w:marLeft w:val="0"/>
      <w:marRight w:val="0"/>
      <w:marTop w:val="0"/>
      <w:marBottom w:val="0"/>
      <w:divBdr>
        <w:top w:val="none" w:sz="0" w:space="0" w:color="auto"/>
        <w:left w:val="none" w:sz="0" w:space="0" w:color="auto"/>
        <w:bottom w:val="none" w:sz="0" w:space="0" w:color="auto"/>
        <w:right w:val="none" w:sz="0" w:space="0" w:color="auto"/>
      </w:divBdr>
    </w:div>
    <w:div w:id="2086486702">
      <w:bodyDiv w:val="1"/>
      <w:marLeft w:val="0"/>
      <w:marRight w:val="0"/>
      <w:marTop w:val="0"/>
      <w:marBottom w:val="0"/>
      <w:divBdr>
        <w:top w:val="none" w:sz="0" w:space="0" w:color="auto"/>
        <w:left w:val="none" w:sz="0" w:space="0" w:color="auto"/>
        <w:bottom w:val="none" w:sz="0" w:space="0" w:color="auto"/>
        <w:right w:val="none" w:sz="0" w:space="0" w:color="auto"/>
      </w:divBdr>
    </w:div>
    <w:div w:id="2086493824">
      <w:bodyDiv w:val="1"/>
      <w:marLeft w:val="0"/>
      <w:marRight w:val="0"/>
      <w:marTop w:val="0"/>
      <w:marBottom w:val="0"/>
      <w:divBdr>
        <w:top w:val="none" w:sz="0" w:space="0" w:color="auto"/>
        <w:left w:val="none" w:sz="0" w:space="0" w:color="auto"/>
        <w:bottom w:val="none" w:sz="0" w:space="0" w:color="auto"/>
        <w:right w:val="none" w:sz="0" w:space="0" w:color="auto"/>
      </w:divBdr>
    </w:div>
    <w:div w:id="2086680269">
      <w:bodyDiv w:val="1"/>
      <w:marLeft w:val="0"/>
      <w:marRight w:val="0"/>
      <w:marTop w:val="0"/>
      <w:marBottom w:val="0"/>
      <w:divBdr>
        <w:top w:val="none" w:sz="0" w:space="0" w:color="auto"/>
        <w:left w:val="none" w:sz="0" w:space="0" w:color="auto"/>
        <w:bottom w:val="none" w:sz="0" w:space="0" w:color="auto"/>
        <w:right w:val="none" w:sz="0" w:space="0" w:color="auto"/>
      </w:divBdr>
    </w:div>
    <w:div w:id="2087148717">
      <w:bodyDiv w:val="1"/>
      <w:marLeft w:val="0"/>
      <w:marRight w:val="0"/>
      <w:marTop w:val="0"/>
      <w:marBottom w:val="0"/>
      <w:divBdr>
        <w:top w:val="none" w:sz="0" w:space="0" w:color="auto"/>
        <w:left w:val="none" w:sz="0" w:space="0" w:color="auto"/>
        <w:bottom w:val="none" w:sz="0" w:space="0" w:color="auto"/>
        <w:right w:val="none" w:sz="0" w:space="0" w:color="auto"/>
      </w:divBdr>
    </w:div>
    <w:div w:id="2087149220">
      <w:bodyDiv w:val="1"/>
      <w:marLeft w:val="0"/>
      <w:marRight w:val="0"/>
      <w:marTop w:val="0"/>
      <w:marBottom w:val="0"/>
      <w:divBdr>
        <w:top w:val="none" w:sz="0" w:space="0" w:color="auto"/>
        <w:left w:val="none" w:sz="0" w:space="0" w:color="auto"/>
        <w:bottom w:val="none" w:sz="0" w:space="0" w:color="auto"/>
        <w:right w:val="none" w:sz="0" w:space="0" w:color="auto"/>
      </w:divBdr>
    </w:div>
    <w:div w:id="2087219565">
      <w:bodyDiv w:val="1"/>
      <w:marLeft w:val="0"/>
      <w:marRight w:val="0"/>
      <w:marTop w:val="0"/>
      <w:marBottom w:val="0"/>
      <w:divBdr>
        <w:top w:val="none" w:sz="0" w:space="0" w:color="auto"/>
        <w:left w:val="none" w:sz="0" w:space="0" w:color="auto"/>
        <w:bottom w:val="none" w:sz="0" w:space="0" w:color="auto"/>
        <w:right w:val="none" w:sz="0" w:space="0" w:color="auto"/>
      </w:divBdr>
    </w:div>
    <w:div w:id="2087262640">
      <w:bodyDiv w:val="1"/>
      <w:marLeft w:val="0"/>
      <w:marRight w:val="0"/>
      <w:marTop w:val="0"/>
      <w:marBottom w:val="0"/>
      <w:divBdr>
        <w:top w:val="none" w:sz="0" w:space="0" w:color="auto"/>
        <w:left w:val="none" w:sz="0" w:space="0" w:color="auto"/>
        <w:bottom w:val="none" w:sz="0" w:space="0" w:color="auto"/>
        <w:right w:val="none" w:sz="0" w:space="0" w:color="auto"/>
      </w:divBdr>
    </w:div>
    <w:div w:id="2087265412">
      <w:bodyDiv w:val="1"/>
      <w:marLeft w:val="0"/>
      <w:marRight w:val="0"/>
      <w:marTop w:val="0"/>
      <w:marBottom w:val="0"/>
      <w:divBdr>
        <w:top w:val="none" w:sz="0" w:space="0" w:color="auto"/>
        <w:left w:val="none" w:sz="0" w:space="0" w:color="auto"/>
        <w:bottom w:val="none" w:sz="0" w:space="0" w:color="auto"/>
        <w:right w:val="none" w:sz="0" w:space="0" w:color="auto"/>
      </w:divBdr>
    </w:div>
    <w:div w:id="2087457437">
      <w:bodyDiv w:val="1"/>
      <w:marLeft w:val="0"/>
      <w:marRight w:val="0"/>
      <w:marTop w:val="0"/>
      <w:marBottom w:val="0"/>
      <w:divBdr>
        <w:top w:val="none" w:sz="0" w:space="0" w:color="auto"/>
        <w:left w:val="none" w:sz="0" w:space="0" w:color="auto"/>
        <w:bottom w:val="none" w:sz="0" w:space="0" w:color="auto"/>
        <w:right w:val="none" w:sz="0" w:space="0" w:color="auto"/>
      </w:divBdr>
    </w:div>
    <w:div w:id="2087459911">
      <w:bodyDiv w:val="1"/>
      <w:marLeft w:val="0"/>
      <w:marRight w:val="0"/>
      <w:marTop w:val="0"/>
      <w:marBottom w:val="0"/>
      <w:divBdr>
        <w:top w:val="none" w:sz="0" w:space="0" w:color="auto"/>
        <w:left w:val="none" w:sz="0" w:space="0" w:color="auto"/>
        <w:bottom w:val="none" w:sz="0" w:space="0" w:color="auto"/>
        <w:right w:val="none" w:sz="0" w:space="0" w:color="auto"/>
      </w:divBdr>
    </w:div>
    <w:div w:id="2088114497">
      <w:bodyDiv w:val="1"/>
      <w:marLeft w:val="0"/>
      <w:marRight w:val="0"/>
      <w:marTop w:val="0"/>
      <w:marBottom w:val="0"/>
      <w:divBdr>
        <w:top w:val="none" w:sz="0" w:space="0" w:color="auto"/>
        <w:left w:val="none" w:sz="0" w:space="0" w:color="auto"/>
        <w:bottom w:val="none" w:sz="0" w:space="0" w:color="auto"/>
        <w:right w:val="none" w:sz="0" w:space="0" w:color="auto"/>
      </w:divBdr>
    </w:div>
    <w:div w:id="2088456161">
      <w:bodyDiv w:val="1"/>
      <w:marLeft w:val="0"/>
      <w:marRight w:val="0"/>
      <w:marTop w:val="0"/>
      <w:marBottom w:val="0"/>
      <w:divBdr>
        <w:top w:val="none" w:sz="0" w:space="0" w:color="auto"/>
        <w:left w:val="none" w:sz="0" w:space="0" w:color="auto"/>
        <w:bottom w:val="none" w:sz="0" w:space="0" w:color="auto"/>
        <w:right w:val="none" w:sz="0" w:space="0" w:color="auto"/>
      </w:divBdr>
    </w:div>
    <w:div w:id="2088720692">
      <w:bodyDiv w:val="1"/>
      <w:marLeft w:val="0"/>
      <w:marRight w:val="0"/>
      <w:marTop w:val="0"/>
      <w:marBottom w:val="0"/>
      <w:divBdr>
        <w:top w:val="none" w:sz="0" w:space="0" w:color="auto"/>
        <w:left w:val="none" w:sz="0" w:space="0" w:color="auto"/>
        <w:bottom w:val="none" w:sz="0" w:space="0" w:color="auto"/>
        <w:right w:val="none" w:sz="0" w:space="0" w:color="auto"/>
      </w:divBdr>
    </w:div>
    <w:div w:id="2088723274">
      <w:bodyDiv w:val="1"/>
      <w:marLeft w:val="0"/>
      <w:marRight w:val="0"/>
      <w:marTop w:val="0"/>
      <w:marBottom w:val="0"/>
      <w:divBdr>
        <w:top w:val="none" w:sz="0" w:space="0" w:color="auto"/>
        <w:left w:val="none" w:sz="0" w:space="0" w:color="auto"/>
        <w:bottom w:val="none" w:sz="0" w:space="0" w:color="auto"/>
        <w:right w:val="none" w:sz="0" w:space="0" w:color="auto"/>
      </w:divBdr>
    </w:div>
    <w:div w:id="2088843519">
      <w:bodyDiv w:val="1"/>
      <w:marLeft w:val="0"/>
      <w:marRight w:val="0"/>
      <w:marTop w:val="0"/>
      <w:marBottom w:val="0"/>
      <w:divBdr>
        <w:top w:val="none" w:sz="0" w:space="0" w:color="auto"/>
        <w:left w:val="none" w:sz="0" w:space="0" w:color="auto"/>
        <w:bottom w:val="none" w:sz="0" w:space="0" w:color="auto"/>
        <w:right w:val="none" w:sz="0" w:space="0" w:color="auto"/>
      </w:divBdr>
    </w:div>
    <w:div w:id="2088913168">
      <w:bodyDiv w:val="1"/>
      <w:marLeft w:val="0"/>
      <w:marRight w:val="0"/>
      <w:marTop w:val="0"/>
      <w:marBottom w:val="0"/>
      <w:divBdr>
        <w:top w:val="none" w:sz="0" w:space="0" w:color="auto"/>
        <w:left w:val="none" w:sz="0" w:space="0" w:color="auto"/>
        <w:bottom w:val="none" w:sz="0" w:space="0" w:color="auto"/>
        <w:right w:val="none" w:sz="0" w:space="0" w:color="auto"/>
      </w:divBdr>
    </w:div>
    <w:div w:id="2088922590">
      <w:bodyDiv w:val="1"/>
      <w:marLeft w:val="0"/>
      <w:marRight w:val="0"/>
      <w:marTop w:val="0"/>
      <w:marBottom w:val="0"/>
      <w:divBdr>
        <w:top w:val="none" w:sz="0" w:space="0" w:color="auto"/>
        <w:left w:val="none" w:sz="0" w:space="0" w:color="auto"/>
        <w:bottom w:val="none" w:sz="0" w:space="0" w:color="auto"/>
        <w:right w:val="none" w:sz="0" w:space="0" w:color="auto"/>
      </w:divBdr>
    </w:div>
    <w:div w:id="2088989477">
      <w:bodyDiv w:val="1"/>
      <w:marLeft w:val="0"/>
      <w:marRight w:val="0"/>
      <w:marTop w:val="0"/>
      <w:marBottom w:val="0"/>
      <w:divBdr>
        <w:top w:val="none" w:sz="0" w:space="0" w:color="auto"/>
        <w:left w:val="none" w:sz="0" w:space="0" w:color="auto"/>
        <w:bottom w:val="none" w:sz="0" w:space="0" w:color="auto"/>
        <w:right w:val="none" w:sz="0" w:space="0" w:color="auto"/>
      </w:divBdr>
    </w:div>
    <w:div w:id="2089035268">
      <w:bodyDiv w:val="1"/>
      <w:marLeft w:val="0"/>
      <w:marRight w:val="0"/>
      <w:marTop w:val="0"/>
      <w:marBottom w:val="0"/>
      <w:divBdr>
        <w:top w:val="none" w:sz="0" w:space="0" w:color="auto"/>
        <w:left w:val="none" w:sz="0" w:space="0" w:color="auto"/>
        <w:bottom w:val="none" w:sz="0" w:space="0" w:color="auto"/>
        <w:right w:val="none" w:sz="0" w:space="0" w:color="auto"/>
      </w:divBdr>
    </w:div>
    <w:div w:id="2089305426">
      <w:bodyDiv w:val="1"/>
      <w:marLeft w:val="0"/>
      <w:marRight w:val="0"/>
      <w:marTop w:val="0"/>
      <w:marBottom w:val="0"/>
      <w:divBdr>
        <w:top w:val="none" w:sz="0" w:space="0" w:color="auto"/>
        <w:left w:val="none" w:sz="0" w:space="0" w:color="auto"/>
        <w:bottom w:val="none" w:sz="0" w:space="0" w:color="auto"/>
        <w:right w:val="none" w:sz="0" w:space="0" w:color="auto"/>
      </w:divBdr>
    </w:div>
    <w:div w:id="2089421491">
      <w:bodyDiv w:val="1"/>
      <w:marLeft w:val="0"/>
      <w:marRight w:val="0"/>
      <w:marTop w:val="0"/>
      <w:marBottom w:val="0"/>
      <w:divBdr>
        <w:top w:val="none" w:sz="0" w:space="0" w:color="auto"/>
        <w:left w:val="none" w:sz="0" w:space="0" w:color="auto"/>
        <w:bottom w:val="none" w:sz="0" w:space="0" w:color="auto"/>
        <w:right w:val="none" w:sz="0" w:space="0" w:color="auto"/>
      </w:divBdr>
    </w:div>
    <w:div w:id="2089423621">
      <w:bodyDiv w:val="1"/>
      <w:marLeft w:val="0"/>
      <w:marRight w:val="0"/>
      <w:marTop w:val="0"/>
      <w:marBottom w:val="0"/>
      <w:divBdr>
        <w:top w:val="none" w:sz="0" w:space="0" w:color="auto"/>
        <w:left w:val="none" w:sz="0" w:space="0" w:color="auto"/>
        <w:bottom w:val="none" w:sz="0" w:space="0" w:color="auto"/>
        <w:right w:val="none" w:sz="0" w:space="0" w:color="auto"/>
      </w:divBdr>
    </w:div>
    <w:div w:id="2089498957">
      <w:bodyDiv w:val="1"/>
      <w:marLeft w:val="0"/>
      <w:marRight w:val="0"/>
      <w:marTop w:val="0"/>
      <w:marBottom w:val="0"/>
      <w:divBdr>
        <w:top w:val="none" w:sz="0" w:space="0" w:color="auto"/>
        <w:left w:val="none" w:sz="0" w:space="0" w:color="auto"/>
        <w:bottom w:val="none" w:sz="0" w:space="0" w:color="auto"/>
        <w:right w:val="none" w:sz="0" w:space="0" w:color="auto"/>
      </w:divBdr>
    </w:div>
    <w:div w:id="2089692574">
      <w:bodyDiv w:val="1"/>
      <w:marLeft w:val="0"/>
      <w:marRight w:val="0"/>
      <w:marTop w:val="0"/>
      <w:marBottom w:val="0"/>
      <w:divBdr>
        <w:top w:val="none" w:sz="0" w:space="0" w:color="auto"/>
        <w:left w:val="none" w:sz="0" w:space="0" w:color="auto"/>
        <w:bottom w:val="none" w:sz="0" w:space="0" w:color="auto"/>
        <w:right w:val="none" w:sz="0" w:space="0" w:color="auto"/>
      </w:divBdr>
    </w:div>
    <w:div w:id="2089695331">
      <w:bodyDiv w:val="1"/>
      <w:marLeft w:val="0"/>
      <w:marRight w:val="0"/>
      <w:marTop w:val="0"/>
      <w:marBottom w:val="0"/>
      <w:divBdr>
        <w:top w:val="none" w:sz="0" w:space="0" w:color="auto"/>
        <w:left w:val="none" w:sz="0" w:space="0" w:color="auto"/>
        <w:bottom w:val="none" w:sz="0" w:space="0" w:color="auto"/>
        <w:right w:val="none" w:sz="0" w:space="0" w:color="auto"/>
      </w:divBdr>
    </w:div>
    <w:div w:id="2089885704">
      <w:bodyDiv w:val="1"/>
      <w:marLeft w:val="0"/>
      <w:marRight w:val="0"/>
      <w:marTop w:val="0"/>
      <w:marBottom w:val="0"/>
      <w:divBdr>
        <w:top w:val="none" w:sz="0" w:space="0" w:color="auto"/>
        <w:left w:val="none" w:sz="0" w:space="0" w:color="auto"/>
        <w:bottom w:val="none" w:sz="0" w:space="0" w:color="auto"/>
        <w:right w:val="none" w:sz="0" w:space="0" w:color="auto"/>
      </w:divBdr>
    </w:div>
    <w:div w:id="2089955163">
      <w:bodyDiv w:val="1"/>
      <w:marLeft w:val="0"/>
      <w:marRight w:val="0"/>
      <w:marTop w:val="0"/>
      <w:marBottom w:val="0"/>
      <w:divBdr>
        <w:top w:val="none" w:sz="0" w:space="0" w:color="auto"/>
        <w:left w:val="none" w:sz="0" w:space="0" w:color="auto"/>
        <w:bottom w:val="none" w:sz="0" w:space="0" w:color="auto"/>
        <w:right w:val="none" w:sz="0" w:space="0" w:color="auto"/>
      </w:divBdr>
    </w:div>
    <w:div w:id="2089955200">
      <w:bodyDiv w:val="1"/>
      <w:marLeft w:val="0"/>
      <w:marRight w:val="0"/>
      <w:marTop w:val="0"/>
      <w:marBottom w:val="0"/>
      <w:divBdr>
        <w:top w:val="none" w:sz="0" w:space="0" w:color="auto"/>
        <w:left w:val="none" w:sz="0" w:space="0" w:color="auto"/>
        <w:bottom w:val="none" w:sz="0" w:space="0" w:color="auto"/>
        <w:right w:val="none" w:sz="0" w:space="0" w:color="auto"/>
      </w:divBdr>
    </w:div>
    <w:div w:id="2089961742">
      <w:bodyDiv w:val="1"/>
      <w:marLeft w:val="0"/>
      <w:marRight w:val="0"/>
      <w:marTop w:val="0"/>
      <w:marBottom w:val="0"/>
      <w:divBdr>
        <w:top w:val="none" w:sz="0" w:space="0" w:color="auto"/>
        <w:left w:val="none" w:sz="0" w:space="0" w:color="auto"/>
        <w:bottom w:val="none" w:sz="0" w:space="0" w:color="auto"/>
        <w:right w:val="none" w:sz="0" w:space="0" w:color="auto"/>
      </w:divBdr>
    </w:div>
    <w:div w:id="2090031877">
      <w:bodyDiv w:val="1"/>
      <w:marLeft w:val="0"/>
      <w:marRight w:val="0"/>
      <w:marTop w:val="0"/>
      <w:marBottom w:val="0"/>
      <w:divBdr>
        <w:top w:val="none" w:sz="0" w:space="0" w:color="auto"/>
        <w:left w:val="none" w:sz="0" w:space="0" w:color="auto"/>
        <w:bottom w:val="none" w:sz="0" w:space="0" w:color="auto"/>
        <w:right w:val="none" w:sz="0" w:space="0" w:color="auto"/>
      </w:divBdr>
    </w:div>
    <w:div w:id="2090153761">
      <w:bodyDiv w:val="1"/>
      <w:marLeft w:val="0"/>
      <w:marRight w:val="0"/>
      <w:marTop w:val="0"/>
      <w:marBottom w:val="0"/>
      <w:divBdr>
        <w:top w:val="none" w:sz="0" w:space="0" w:color="auto"/>
        <w:left w:val="none" w:sz="0" w:space="0" w:color="auto"/>
        <w:bottom w:val="none" w:sz="0" w:space="0" w:color="auto"/>
        <w:right w:val="none" w:sz="0" w:space="0" w:color="auto"/>
      </w:divBdr>
    </w:div>
    <w:div w:id="2090232953">
      <w:bodyDiv w:val="1"/>
      <w:marLeft w:val="0"/>
      <w:marRight w:val="0"/>
      <w:marTop w:val="0"/>
      <w:marBottom w:val="0"/>
      <w:divBdr>
        <w:top w:val="none" w:sz="0" w:space="0" w:color="auto"/>
        <w:left w:val="none" w:sz="0" w:space="0" w:color="auto"/>
        <w:bottom w:val="none" w:sz="0" w:space="0" w:color="auto"/>
        <w:right w:val="none" w:sz="0" w:space="0" w:color="auto"/>
      </w:divBdr>
    </w:div>
    <w:div w:id="2090348959">
      <w:bodyDiv w:val="1"/>
      <w:marLeft w:val="0"/>
      <w:marRight w:val="0"/>
      <w:marTop w:val="0"/>
      <w:marBottom w:val="0"/>
      <w:divBdr>
        <w:top w:val="none" w:sz="0" w:space="0" w:color="auto"/>
        <w:left w:val="none" w:sz="0" w:space="0" w:color="auto"/>
        <w:bottom w:val="none" w:sz="0" w:space="0" w:color="auto"/>
        <w:right w:val="none" w:sz="0" w:space="0" w:color="auto"/>
      </w:divBdr>
    </w:div>
    <w:div w:id="2090417797">
      <w:bodyDiv w:val="1"/>
      <w:marLeft w:val="0"/>
      <w:marRight w:val="0"/>
      <w:marTop w:val="0"/>
      <w:marBottom w:val="0"/>
      <w:divBdr>
        <w:top w:val="none" w:sz="0" w:space="0" w:color="auto"/>
        <w:left w:val="none" w:sz="0" w:space="0" w:color="auto"/>
        <w:bottom w:val="none" w:sz="0" w:space="0" w:color="auto"/>
        <w:right w:val="none" w:sz="0" w:space="0" w:color="auto"/>
      </w:divBdr>
    </w:div>
    <w:div w:id="2090610859">
      <w:bodyDiv w:val="1"/>
      <w:marLeft w:val="0"/>
      <w:marRight w:val="0"/>
      <w:marTop w:val="0"/>
      <w:marBottom w:val="0"/>
      <w:divBdr>
        <w:top w:val="none" w:sz="0" w:space="0" w:color="auto"/>
        <w:left w:val="none" w:sz="0" w:space="0" w:color="auto"/>
        <w:bottom w:val="none" w:sz="0" w:space="0" w:color="auto"/>
        <w:right w:val="none" w:sz="0" w:space="0" w:color="auto"/>
      </w:divBdr>
    </w:div>
    <w:div w:id="2090619331">
      <w:bodyDiv w:val="1"/>
      <w:marLeft w:val="0"/>
      <w:marRight w:val="0"/>
      <w:marTop w:val="0"/>
      <w:marBottom w:val="0"/>
      <w:divBdr>
        <w:top w:val="none" w:sz="0" w:space="0" w:color="auto"/>
        <w:left w:val="none" w:sz="0" w:space="0" w:color="auto"/>
        <w:bottom w:val="none" w:sz="0" w:space="0" w:color="auto"/>
        <w:right w:val="none" w:sz="0" w:space="0" w:color="auto"/>
      </w:divBdr>
    </w:div>
    <w:div w:id="2090879547">
      <w:bodyDiv w:val="1"/>
      <w:marLeft w:val="0"/>
      <w:marRight w:val="0"/>
      <w:marTop w:val="0"/>
      <w:marBottom w:val="0"/>
      <w:divBdr>
        <w:top w:val="none" w:sz="0" w:space="0" w:color="auto"/>
        <w:left w:val="none" w:sz="0" w:space="0" w:color="auto"/>
        <w:bottom w:val="none" w:sz="0" w:space="0" w:color="auto"/>
        <w:right w:val="none" w:sz="0" w:space="0" w:color="auto"/>
      </w:divBdr>
    </w:div>
    <w:div w:id="2090930514">
      <w:bodyDiv w:val="1"/>
      <w:marLeft w:val="0"/>
      <w:marRight w:val="0"/>
      <w:marTop w:val="0"/>
      <w:marBottom w:val="0"/>
      <w:divBdr>
        <w:top w:val="none" w:sz="0" w:space="0" w:color="auto"/>
        <w:left w:val="none" w:sz="0" w:space="0" w:color="auto"/>
        <w:bottom w:val="none" w:sz="0" w:space="0" w:color="auto"/>
        <w:right w:val="none" w:sz="0" w:space="0" w:color="auto"/>
      </w:divBdr>
    </w:div>
    <w:div w:id="2091072708">
      <w:bodyDiv w:val="1"/>
      <w:marLeft w:val="0"/>
      <w:marRight w:val="0"/>
      <w:marTop w:val="0"/>
      <w:marBottom w:val="0"/>
      <w:divBdr>
        <w:top w:val="none" w:sz="0" w:space="0" w:color="auto"/>
        <w:left w:val="none" w:sz="0" w:space="0" w:color="auto"/>
        <w:bottom w:val="none" w:sz="0" w:space="0" w:color="auto"/>
        <w:right w:val="none" w:sz="0" w:space="0" w:color="auto"/>
      </w:divBdr>
    </w:div>
    <w:div w:id="2091073340">
      <w:bodyDiv w:val="1"/>
      <w:marLeft w:val="0"/>
      <w:marRight w:val="0"/>
      <w:marTop w:val="0"/>
      <w:marBottom w:val="0"/>
      <w:divBdr>
        <w:top w:val="none" w:sz="0" w:space="0" w:color="auto"/>
        <w:left w:val="none" w:sz="0" w:space="0" w:color="auto"/>
        <w:bottom w:val="none" w:sz="0" w:space="0" w:color="auto"/>
        <w:right w:val="none" w:sz="0" w:space="0" w:color="auto"/>
      </w:divBdr>
    </w:div>
    <w:div w:id="2091076369">
      <w:bodyDiv w:val="1"/>
      <w:marLeft w:val="0"/>
      <w:marRight w:val="0"/>
      <w:marTop w:val="0"/>
      <w:marBottom w:val="0"/>
      <w:divBdr>
        <w:top w:val="none" w:sz="0" w:space="0" w:color="auto"/>
        <w:left w:val="none" w:sz="0" w:space="0" w:color="auto"/>
        <w:bottom w:val="none" w:sz="0" w:space="0" w:color="auto"/>
        <w:right w:val="none" w:sz="0" w:space="0" w:color="auto"/>
      </w:divBdr>
    </w:div>
    <w:div w:id="2091123195">
      <w:bodyDiv w:val="1"/>
      <w:marLeft w:val="0"/>
      <w:marRight w:val="0"/>
      <w:marTop w:val="0"/>
      <w:marBottom w:val="0"/>
      <w:divBdr>
        <w:top w:val="none" w:sz="0" w:space="0" w:color="auto"/>
        <w:left w:val="none" w:sz="0" w:space="0" w:color="auto"/>
        <w:bottom w:val="none" w:sz="0" w:space="0" w:color="auto"/>
        <w:right w:val="none" w:sz="0" w:space="0" w:color="auto"/>
      </w:divBdr>
    </w:div>
    <w:div w:id="2091149263">
      <w:bodyDiv w:val="1"/>
      <w:marLeft w:val="0"/>
      <w:marRight w:val="0"/>
      <w:marTop w:val="0"/>
      <w:marBottom w:val="0"/>
      <w:divBdr>
        <w:top w:val="none" w:sz="0" w:space="0" w:color="auto"/>
        <w:left w:val="none" w:sz="0" w:space="0" w:color="auto"/>
        <w:bottom w:val="none" w:sz="0" w:space="0" w:color="auto"/>
        <w:right w:val="none" w:sz="0" w:space="0" w:color="auto"/>
      </w:divBdr>
    </w:div>
    <w:div w:id="2091345643">
      <w:bodyDiv w:val="1"/>
      <w:marLeft w:val="0"/>
      <w:marRight w:val="0"/>
      <w:marTop w:val="0"/>
      <w:marBottom w:val="0"/>
      <w:divBdr>
        <w:top w:val="none" w:sz="0" w:space="0" w:color="auto"/>
        <w:left w:val="none" w:sz="0" w:space="0" w:color="auto"/>
        <w:bottom w:val="none" w:sz="0" w:space="0" w:color="auto"/>
        <w:right w:val="none" w:sz="0" w:space="0" w:color="auto"/>
      </w:divBdr>
    </w:div>
    <w:div w:id="2091348496">
      <w:bodyDiv w:val="1"/>
      <w:marLeft w:val="0"/>
      <w:marRight w:val="0"/>
      <w:marTop w:val="0"/>
      <w:marBottom w:val="0"/>
      <w:divBdr>
        <w:top w:val="none" w:sz="0" w:space="0" w:color="auto"/>
        <w:left w:val="none" w:sz="0" w:space="0" w:color="auto"/>
        <w:bottom w:val="none" w:sz="0" w:space="0" w:color="auto"/>
        <w:right w:val="none" w:sz="0" w:space="0" w:color="auto"/>
      </w:divBdr>
    </w:div>
    <w:div w:id="2091389455">
      <w:bodyDiv w:val="1"/>
      <w:marLeft w:val="0"/>
      <w:marRight w:val="0"/>
      <w:marTop w:val="0"/>
      <w:marBottom w:val="0"/>
      <w:divBdr>
        <w:top w:val="none" w:sz="0" w:space="0" w:color="auto"/>
        <w:left w:val="none" w:sz="0" w:space="0" w:color="auto"/>
        <w:bottom w:val="none" w:sz="0" w:space="0" w:color="auto"/>
        <w:right w:val="none" w:sz="0" w:space="0" w:color="auto"/>
      </w:divBdr>
    </w:div>
    <w:div w:id="2091459241">
      <w:bodyDiv w:val="1"/>
      <w:marLeft w:val="0"/>
      <w:marRight w:val="0"/>
      <w:marTop w:val="0"/>
      <w:marBottom w:val="0"/>
      <w:divBdr>
        <w:top w:val="none" w:sz="0" w:space="0" w:color="auto"/>
        <w:left w:val="none" w:sz="0" w:space="0" w:color="auto"/>
        <w:bottom w:val="none" w:sz="0" w:space="0" w:color="auto"/>
        <w:right w:val="none" w:sz="0" w:space="0" w:color="auto"/>
      </w:divBdr>
    </w:div>
    <w:div w:id="2091651926">
      <w:bodyDiv w:val="1"/>
      <w:marLeft w:val="0"/>
      <w:marRight w:val="0"/>
      <w:marTop w:val="0"/>
      <w:marBottom w:val="0"/>
      <w:divBdr>
        <w:top w:val="none" w:sz="0" w:space="0" w:color="auto"/>
        <w:left w:val="none" w:sz="0" w:space="0" w:color="auto"/>
        <w:bottom w:val="none" w:sz="0" w:space="0" w:color="auto"/>
        <w:right w:val="none" w:sz="0" w:space="0" w:color="auto"/>
      </w:divBdr>
    </w:div>
    <w:div w:id="2091652482">
      <w:bodyDiv w:val="1"/>
      <w:marLeft w:val="0"/>
      <w:marRight w:val="0"/>
      <w:marTop w:val="0"/>
      <w:marBottom w:val="0"/>
      <w:divBdr>
        <w:top w:val="none" w:sz="0" w:space="0" w:color="auto"/>
        <w:left w:val="none" w:sz="0" w:space="0" w:color="auto"/>
        <w:bottom w:val="none" w:sz="0" w:space="0" w:color="auto"/>
        <w:right w:val="none" w:sz="0" w:space="0" w:color="auto"/>
      </w:divBdr>
    </w:div>
    <w:div w:id="2091729946">
      <w:bodyDiv w:val="1"/>
      <w:marLeft w:val="0"/>
      <w:marRight w:val="0"/>
      <w:marTop w:val="0"/>
      <w:marBottom w:val="0"/>
      <w:divBdr>
        <w:top w:val="none" w:sz="0" w:space="0" w:color="auto"/>
        <w:left w:val="none" w:sz="0" w:space="0" w:color="auto"/>
        <w:bottom w:val="none" w:sz="0" w:space="0" w:color="auto"/>
        <w:right w:val="none" w:sz="0" w:space="0" w:color="auto"/>
      </w:divBdr>
    </w:div>
    <w:div w:id="2092072382">
      <w:bodyDiv w:val="1"/>
      <w:marLeft w:val="0"/>
      <w:marRight w:val="0"/>
      <w:marTop w:val="0"/>
      <w:marBottom w:val="0"/>
      <w:divBdr>
        <w:top w:val="none" w:sz="0" w:space="0" w:color="auto"/>
        <w:left w:val="none" w:sz="0" w:space="0" w:color="auto"/>
        <w:bottom w:val="none" w:sz="0" w:space="0" w:color="auto"/>
        <w:right w:val="none" w:sz="0" w:space="0" w:color="auto"/>
      </w:divBdr>
    </w:div>
    <w:div w:id="2092312771">
      <w:bodyDiv w:val="1"/>
      <w:marLeft w:val="0"/>
      <w:marRight w:val="0"/>
      <w:marTop w:val="0"/>
      <w:marBottom w:val="0"/>
      <w:divBdr>
        <w:top w:val="none" w:sz="0" w:space="0" w:color="auto"/>
        <w:left w:val="none" w:sz="0" w:space="0" w:color="auto"/>
        <w:bottom w:val="none" w:sz="0" w:space="0" w:color="auto"/>
        <w:right w:val="none" w:sz="0" w:space="0" w:color="auto"/>
      </w:divBdr>
    </w:div>
    <w:div w:id="2092387184">
      <w:bodyDiv w:val="1"/>
      <w:marLeft w:val="0"/>
      <w:marRight w:val="0"/>
      <w:marTop w:val="0"/>
      <w:marBottom w:val="0"/>
      <w:divBdr>
        <w:top w:val="none" w:sz="0" w:space="0" w:color="auto"/>
        <w:left w:val="none" w:sz="0" w:space="0" w:color="auto"/>
        <w:bottom w:val="none" w:sz="0" w:space="0" w:color="auto"/>
        <w:right w:val="none" w:sz="0" w:space="0" w:color="auto"/>
      </w:divBdr>
    </w:div>
    <w:div w:id="2092388324">
      <w:bodyDiv w:val="1"/>
      <w:marLeft w:val="0"/>
      <w:marRight w:val="0"/>
      <w:marTop w:val="0"/>
      <w:marBottom w:val="0"/>
      <w:divBdr>
        <w:top w:val="none" w:sz="0" w:space="0" w:color="auto"/>
        <w:left w:val="none" w:sz="0" w:space="0" w:color="auto"/>
        <w:bottom w:val="none" w:sz="0" w:space="0" w:color="auto"/>
        <w:right w:val="none" w:sz="0" w:space="0" w:color="auto"/>
      </w:divBdr>
    </w:div>
    <w:div w:id="2092434312">
      <w:bodyDiv w:val="1"/>
      <w:marLeft w:val="0"/>
      <w:marRight w:val="0"/>
      <w:marTop w:val="0"/>
      <w:marBottom w:val="0"/>
      <w:divBdr>
        <w:top w:val="none" w:sz="0" w:space="0" w:color="auto"/>
        <w:left w:val="none" w:sz="0" w:space="0" w:color="auto"/>
        <w:bottom w:val="none" w:sz="0" w:space="0" w:color="auto"/>
        <w:right w:val="none" w:sz="0" w:space="0" w:color="auto"/>
      </w:divBdr>
    </w:div>
    <w:div w:id="2092459771">
      <w:bodyDiv w:val="1"/>
      <w:marLeft w:val="0"/>
      <w:marRight w:val="0"/>
      <w:marTop w:val="0"/>
      <w:marBottom w:val="0"/>
      <w:divBdr>
        <w:top w:val="none" w:sz="0" w:space="0" w:color="auto"/>
        <w:left w:val="none" w:sz="0" w:space="0" w:color="auto"/>
        <w:bottom w:val="none" w:sz="0" w:space="0" w:color="auto"/>
        <w:right w:val="none" w:sz="0" w:space="0" w:color="auto"/>
      </w:divBdr>
    </w:div>
    <w:div w:id="2092575840">
      <w:bodyDiv w:val="1"/>
      <w:marLeft w:val="0"/>
      <w:marRight w:val="0"/>
      <w:marTop w:val="0"/>
      <w:marBottom w:val="0"/>
      <w:divBdr>
        <w:top w:val="none" w:sz="0" w:space="0" w:color="auto"/>
        <w:left w:val="none" w:sz="0" w:space="0" w:color="auto"/>
        <w:bottom w:val="none" w:sz="0" w:space="0" w:color="auto"/>
        <w:right w:val="none" w:sz="0" w:space="0" w:color="auto"/>
      </w:divBdr>
    </w:div>
    <w:div w:id="2092581980">
      <w:bodyDiv w:val="1"/>
      <w:marLeft w:val="0"/>
      <w:marRight w:val="0"/>
      <w:marTop w:val="0"/>
      <w:marBottom w:val="0"/>
      <w:divBdr>
        <w:top w:val="none" w:sz="0" w:space="0" w:color="auto"/>
        <w:left w:val="none" w:sz="0" w:space="0" w:color="auto"/>
        <w:bottom w:val="none" w:sz="0" w:space="0" w:color="auto"/>
        <w:right w:val="none" w:sz="0" w:space="0" w:color="auto"/>
      </w:divBdr>
    </w:div>
    <w:div w:id="2092844894">
      <w:bodyDiv w:val="1"/>
      <w:marLeft w:val="0"/>
      <w:marRight w:val="0"/>
      <w:marTop w:val="0"/>
      <w:marBottom w:val="0"/>
      <w:divBdr>
        <w:top w:val="none" w:sz="0" w:space="0" w:color="auto"/>
        <w:left w:val="none" w:sz="0" w:space="0" w:color="auto"/>
        <w:bottom w:val="none" w:sz="0" w:space="0" w:color="auto"/>
        <w:right w:val="none" w:sz="0" w:space="0" w:color="auto"/>
      </w:divBdr>
    </w:div>
    <w:div w:id="2092967070">
      <w:bodyDiv w:val="1"/>
      <w:marLeft w:val="0"/>
      <w:marRight w:val="0"/>
      <w:marTop w:val="0"/>
      <w:marBottom w:val="0"/>
      <w:divBdr>
        <w:top w:val="none" w:sz="0" w:space="0" w:color="auto"/>
        <w:left w:val="none" w:sz="0" w:space="0" w:color="auto"/>
        <w:bottom w:val="none" w:sz="0" w:space="0" w:color="auto"/>
        <w:right w:val="none" w:sz="0" w:space="0" w:color="auto"/>
      </w:divBdr>
    </w:div>
    <w:div w:id="2093044402">
      <w:bodyDiv w:val="1"/>
      <w:marLeft w:val="0"/>
      <w:marRight w:val="0"/>
      <w:marTop w:val="0"/>
      <w:marBottom w:val="0"/>
      <w:divBdr>
        <w:top w:val="none" w:sz="0" w:space="0" w:color="auto"/>
        <w:left w:val="none" w:sz="0" w:space="0" w:color="auto"/>
        <w:bottom w:val="none" w:sz="0" w:space="0" w:color="auto"/>
        <w:right w:val="none" w:sz="0" w:space="0" w:color="auto"/>
      </w:divBdr>
    </w:div>
    <w:div w:id="2093089598">
      <w:bodyDiv w:val="1"/>
      <w:marLeft w:val="0"/>
      <w:marRight w:val="0"/>
      <w:marTop w:val="0"/>
      <w:marBottom w:val="0"/>
      <w:divBdr>
        <w:top w:val="none" w:sz="0" w:space="0" w:color="auto"/>
        <w:left w:val="none" w:sz="0" w:space="0" w:color="auto"/>
        <w:bottom w:val="none" w:sz="0" w:space="0" w:color="auto"/>
        <w:right w:val="none" w:sz="0" w:space="0" w:color="auto"/>
      </w:divBdr>
    </w:div>
    <w:div w:id="2093160968">
      <w:bodyDiv w:val="1"/>
      <w:marLeft w:val="0"/>
      <w:marRight w:val="0"/>
      <w:marTop w:val="0"/>
      <w:marBottom w:val="0"/>
      <w:divBdr>
        <w:top w:val="none" w:sz="0" w:space="0" w:color="auto"/>
        <w:left w:val="none" w:sz="0" w:space="0" w:color="auto"/>
        <w:bottom w:val="none" w:sz="0" w:space="0" w:color="auto"/>
        <w:right w:val="none" w:sz="0" w:space="0" w:color="auto"/>
      </w:divBdr>
    </w:div>
    <w:div w:id="2093311664">
      <w:bodyDiv w:val="1"/>
      <w:marLeft w:val="0"/>
      <w:marRight w:val="0"/>
      <w:marTop w:val="0"/>
      <w:marBottom w:val="0"/>
      <w:divBdr>
        <w:top w:val="none" w:sz="0" w:space="0" w:color="auto"/>
        <w:left w:val="none" w:sz="0" w:space="0" w:color="auto"/>
        <w:bottom w:val="none" w:sz="0" w:space="0" w:color="auto"/>
        <w:right w:val="none" w:sz="0" w:space="0" w:color="auto"/>
      </w:divBdr>
    </w:div>
    <w:div w:id="2093578194">
      <w:bodyDiv w:val="1"/>
      <w:marLeft w:val="0"/>
      <w:marRight w:val="0"/>
      <w:marTop w:val="0"/>
      <w:marBottom w:val="0"/>
      <w:divBdr>
        <w:top w:val="none" w:sz="0" w:space="0" w:color="auto"/>
        <w:left w:val="none" w:sz="0" w:space="0" w:color="auto"/>
        <w:bottom w:val="none" w:sz="0" w:space="0" w:color="auto"/>
        <w:right w:val="none" w:sz="0" w:space="0" w:color="auto"/>
      </w:divBdr>
    </w:div>
    <w:div w:id="2093700372">
      <w:bodyDiv w:val="1"/>
      <w:marLeft w:val="0"/>
      <w:marRight w:val="0"/>
      <w:marTop w:val="0"/>
      <w:marBottom w:val="0"/>
      <w:divBdr>
        <w:top w:val="none" w:sz="0" w:space="0" w:color="auto"/>
        <w:left w:val="none" w:sz="0" w:space="0" w:color="auto"/>
        <w:bottom w:val="none" w:sz="0" w:space="0" w:color="auto"/>
        <w:right w:val="none" w:sz="0" w:space="0" w:color="auto"/>
      </w:divBdr>
    </w:div>
    <w:div w:id="2093967299">
      <w:bodyDiv w:val="1"/>
      <w:marLeft w:val="0"/>
      <w:marRight w:val="0"/>
      <w:marTop w:val="0"/>
      <w:marBottom w:val="0"/>
      <w:divBdr>
        <w:top w:val="none" w:sz="0" w:space="0" w:color="auto"/>
        <w:left w:val="none" w:sz="0" w:space="0" w:color="auto"/>
        <w:bottom w:val="none" w:sz="0" w:space="0" w:color="auto"/>
        <w:right w:val="none" w:sz="0" w:space="0" w:color="auto"/>
      </w:divBdr>
    </w:div>
    <w:div w:id="2093970490">
      <w:bodyDiv w:val="1"/>
      <w:marLeft w:val="0"/>
      <w:marRight w:val="0"/>
      <w:marTop w:val="0"/>
      <w:marBottom w:val="0"/>
      <w:divBdr>
        <w:top w:val="none" w:sz="0" w:space="0" w:color="auto"/>
        <w:left w:val="none" w:sz="0" w:space="0" w:color="auto"/>
        <w:bottom w:val="none" w:sz="0" w:space="0" w:color="auto"/>
        <w:right w:val="none" w:sz="0" w:space="0" w:color="auto"/>
      </w:divBdr>
    </w:div>
    <w:div w:id="2094008824">
      <w:bodyDiv w:val="1"/>
      <w:marLeft w:val="0"/>
      <w:marRight w:val="0"/>
      <w:marTop w:val="0"/>
      <w:marBottom w:val="0"/>
      <w:divBdr>
        <w:top w:val="none" w:sz="0" w:space="0" w:color="auto"/>
        <w:left w:val="none" w:sz="0" w:space="0" w:color="auto"/>
        <w:bottom w:val="none" w:sz="0" w:space="0" w:color="auto"/>
        <w:right w:val="none" w:sz="0" w:space="0" w:color="auto"/>
      </w:divBdr>
    </w:div>
    <w:div w:id="2094206328">
      <w:bodyDiv w:val="1"/>
      <w:marLeft w:val="0"/>
      <w:marRight w:val="0"/>
      <w:marTop w:val="0"/>
      <w:marBottom w:val="0"/>
      <w:divBdr>
        <w:top w:val="none" w:sz="0" w:space="0" w:color="auto"/>
        <w:left w:val="none" w:sz="0" w:space="0" w:color="auto"/>
        <w:bottom w:val="none" w:sz="0" w:space="0" w:color="auto"/>
        <w:right w:val="none" w:sz="0" w:space="0" w:color="auto"/>
      </w:divBdr>
    </w:div>
    <w:div w:id="2094233797">
      <w:bodyDiv w:val="1"/>
      <w:marLeft w:val="0"/>
      <w:marRight w:val="0"/>
      <w:marTop w:val="0"/>
      <w:marBottom w:val="0"/>
      <w:divBdr>
        <w:top w:val="none" w:sz="0" w:space="0" w:color="auto"/>
        <w:left w:val="none" w:sz="0" w:space="0" w:color="auto"/>
        <w:bottom w:val="none" w:sz="0" w:space="0" w:color="auto"/>
        <w:right w:val="none" w:sz="0" w:space="0" w:color="auto"/>
      </w:divBdr>
    </w:div>
    <w:div w:id="2094272929">
      <w:bodyDiv w:val="1"/>
      <w:marLeft w:val="0"/>
      <w:marRight w:val="0"/>
      <w:marTop w:val="0"/>
      <w:marBottom w:val="0"/>
      <w:divBdr>
        <w:top w:val="none" w:sz="0" w:space="0" w:color="auto"/>
        <w:left w:val="none" w:sz="0" w:space="0" w:color="auto"/>
        <w:bottom w:val="none" w:sz="0" w:space="0" w:color="auto"/>
        <w:right w:val="none" w:sz="0" w:space="0" w:color="auto"/>
      </w:divBdr>
    </w:div>
    <w:div w:id="2094428359">
      <w:bodyDiv w:val="1"/>
      <w:marLeft w:val="0"/>
      <w:marRight w:val="0"/>
      <w:marTop w:val="0"/>
      <w:marBottom w:val="0"/>
      <w:divBdr>
        <w:top w:val="none" w:sz="0" w:space="0" w:color="auto"/>
        <w:left w:val="none" w:sz="0" w:space="0" w:color="auto"/>
        <w:bottom w:val="none" w:sz="0" w:space="0" w:color="auto"/>
        <w:right w:val="none" w:sz="0" w:space="0" w:color="auto"/>
      </w:divBdr>
    </w:div>
    <w:div w:id="2094665838">
      <w:bodyDiv w:val="1"/>
      <w:marLeft w:val="0"/>
      <w:marRight w:val="0"/>
      <w:marTop w:val="0"/>
      <w:marBottom w:val="0"/>
      <w:divBdr>
        <w:top w:val="none" w:sz="0" w:space="0" w:color="auto"/>
        <w:left w:val="none" w:sz="0" w:space="0" w:color="auto"/>
        <w:bottom w:val="none" w:sz="0" w:space="0" w:color="auto"/>
        <w:right w:val="none" w:sz="0" w:space="0" w:color="auto"/>
      </w:divBdr>
    </w:div>
    <w:div w:id="2094740249">
      <w:bodyDiv w:val="1"/>
      <w:marLeft w:val="0"/>
      <w:marRight w:val="0"/>
      <w:marTop w:val="0"/>
      <w:marBottom w:val="0"/>
      <w:divBdr>
        <w:top w:val="none" w:sz="0" w:space="0" w:color="auto"/>
        <w:left w:val="none" w:sz="0" w:space="0" w:color="auto"/>
        <w:bottom w:val="none" w:sz="0" w:space="0" w:color="auto"/>
        <w:right w:val="none" w:sz="0" w:space="0" w:color="auto"/>
      </w:divBdr>
    </w:div>
    <w:div w:id="2095054886">
      <w:bodyDiv w:val="1"/>
      <w:marLeft w:val="0"/>
      <w:marRight w:val="0"/>
      <w:marTop w:val="0"/>
      <w:marBottom w:val="0"/>
      <w:divBdr>
        <w:top w:val="none" w:sz="0" w:space="0" w:color="auto"/>
        <w:left w:val="none" w:sz="0" w:space="0" w:color="auto"/>
        <w:bottom w:val="none" w:sz="0" w:space="0" w:color="auto"/>
        <w:right w:val="none" w:sz="0" w:space="0" w:color="auto"/>
      </w:divBdr>
    </w:div>
    <w:div w:id="2095198083">
      <w:bodyDiv w:val="1"/>
      <w:marLeft w:val="0"/>
      <w:marRight w:val="0"/>
      <w:marTop w:val="0"/>
      <w:marBottom w:val="0"/>
      <w:divBdr>
        <w:top w:val="none" w:sz="0" w:space="0" w:color="auto"/>
        <w:left w:val="none" w:sz="0" w:space="0" w:color="auto"/>
        <w:bottom w:val="none" w:sz="0" w:space="0" w:color="auto"/>
        <w:right w:val="none" w:sz="0" w:space="0" w:color="auto"/>
      </w:divBdr>
    </w:div>
    <w:div w:id="2095201757">
      <w:bodyDiv w:val="1"/>
      <w:marLeft w:val="0"/>
      <w:marRight w:val="0"/>
      <w:marTop w:val="0"/>
      <w:marBottom w:val="0"/>
      <w:divBdr>
        <w:top w:val="none" w:sz="0" w:space="0" w:color="auto"/>
        <w:left w:val="none" w:sz="0" w:space="0" w:color="auto"/>
        <w:bottom w:val="none" w:sz="0" w:space="0" w:color="auto"/>
        <w:right w:val="none" w:sz="0" w:space="0" w:color="auto"/>
      </w:divBdr>
    </w:div>
    <w:div w:id="2095317938">
      <w:bodyDiv w:val="1"/>
      <w:marLeft w:val="0"/>
      <w:marRight w:val="0"/>
      <w:marTop w:val="0"/>
      <w:marBottom w:val="0"/>
      <w:divBdr>
        <w:top w:val="none" w:sz="0" w:space="0" w:color="auto"/>
        <w:left w:val="none" w:sz="0" w:space="0" w:color="auto"/>
        <w:bottom w:val="none" w:sz="0" w:space="0" w:color="auto"/>
        <w:right w:val="none" w:sz="0" w:space="0" w:color="auto"/>
      </w:divBdr>
    </w:div>
    <w:div w:id="2095392854">
      <w:bodyDiv w:val="1"/>
      <w:marLeft w:val="0"/>
      <w:marRight w:val="0"/>
      <w:marTop w:val="0"/>
      <w:marBottom w:val="0"/>
      <w:divBdr>
        <w:top w:val="none" w:sz="0" w:space="0" w:color="auto"/>
        <w:left w:val="none" w:sz="0" w:space="0" w:color="auto"/>
        <w:bottom w:val="none" w:sz="0" w:space="0" w:color="auto"/>
        <w:right w:val="none" w:sz="0" w:space="0" w:color="auto"/>
      </w:divBdr>
    </w:div>
    <w:div w:id="2095540891">
      <w:bodyDiv w:val="1"/>
      <w:marLeft w:val="0"/>
      <w:marRight w:val="0"/>
      <w:marTop w:val="0"/>
      <w:marBottom w:val="0"/>
      <w:divBdr>
        <w:top w:val="none" w:sz="0" w:space="0" w:color="auto"/>
        <w:left w:val="none" w:sz="0" w:space="0" w:color="auto"/>
        <w:bottom w:val="none" w:sz="0" w:space="0" w:color="auto"/>
        <w:right w:val="none" w:sz="0" w:space="0" w:color="auto"/>
      </w:divBdr>
    </w:div>
    <w:div w:id="2095662341">
      <w:bodyDiv w:val="1"/>
      <w:marLeft w:val="0"/>
      <w:marRight w:val="0"/>
      <w:marTop w:val="0"/>
      <w:marBottom w:val="0"/>
      <w:divBdr>
        <w:top w:val="none" w:sz="0" w:space="0" w:color="auto"/>
        <w:left w:val="none" w:sz="0" w:space="0" w:color="auto"/>
        <w:bottom w:val="none" w:sz="0" w:space="0" w:color="auto"/>
        <w:right w:val="none" w:sz="0" w:space="0" w:color="auto"/>
      </w:divBdr>
    </w:div>
    <w:div w:id="2095710245">
      <w:bodyDiv w:val="1"/>
      <w:marLeft w:val="0"/>
      <w:marRight w:val="0"/>
      <w:marTop w:val="0"/>
      <w:marBottom w:val="0"/>
      <w:divBdr>
        <w:top w:val="none" w:sz="0" w:space="0" w:color="auto"/>
        <w:left w:val="none" w:sz="0" w:space="0" w:color="auto"/>
        <w:bottom w:val="none" w:sz="0" w:space="0" w:color="auto"/>
        <w:right w:val="none" w:sz="0" w:space="0" w:color="auto"/>
      </w:divBdr>
    </w:div>
    <w:div w:id="2095935038">
      <w:bodyDiv w:val="1"/>
      <w:marLeft w:val="0"/>
      <w:marRight w:val="0"/>
      <w:marTop w:val="0"/>
      <w:marBottom w:val="0"/>
      <w:divBdr>
        <w:top w:val="none" w:sz="0" w:space="0" w:color="auto"/>
        <w:left w:val="none" w:sz="0" w:space="0" w:color="auto"/>
        <w:bottom w:val="none" w:sz="0" w:space="0" w:color="auto"/>
        <w:right w:val="none" w:sz="0" w:space="0" w:color="auto"/>
      </w:divBdr>
    </w:div>
    <w:div w:id="2095978936">
      <w:bodyDiv w:val="1"/>
      <w:marLeft w:val="0"/>
      <w:marRight w:val="0"/>
      <w:marTop w:val="0"/>
      <w:marBottom w:val="0"/>
      <w:divBdr>
        <w:top w:val="none" w:sz="0" w:space="0" w:color="auto"/>
        <w:left w:val="none" w:sz="0" w:space="0" w:color="auto"/>
        <w:bottom w:val="none" w:sz="0" w:space="0" w:color="auto"/>
        <w:right w:val="none" w:sz="0" w:space="0" w:color="auto"/>
      </w:divBdr>
    </w:div>
    <w:div w:id="2096130347">
      <w:bodyDiv w:val="1"/>
      <w:marLeft w:val="0"/>
      <w:marRight w:val="0"/>
      <w:marTop w:val="0"/>
      <w:marBottom w:val="0"/>
      <w:divBdr>
        <w:top w:val="none" w:sz="0" w:space="0" w:color="auto"/>
        <w:left w:val="none" w:sz="0" w:space="0" w:color="auto"/>
        <w:bottom w:val="none" w:sz="0" w:space="0" w:color="auto"/>
        <w:right w:val="none" w:sz="0" w:space="0" w:color="auto"/>
      </w:divBdr>
    </w:div>
    <w:div w:id="2096319408">
      <w:bodyDiv w:val="1"/>
      <w:marLeft w:val="0"/>
      <w:marRight w:val="0"/>
      <w:marTop w:val="0"/>
      <w:marBottom w:val="0"/>
      <w:divBdr>
        <w:top w:val="none" w:sz="0" w:space="0" w:color="auto"/>
        <w:left w:val="none" w:sz="0" w:space="0" w:color="auto"/>
        <w:bottom w:val="none" w:sz="0" w:space="0" w:color="auto"/>
        <w:right w:val="none" w:sz="0" w:space="0" w:color="auto"/>
      </w:divBdr>
    </w:div>
    <w:div w:id="2096435082">
      <w:bodyDiv w:val="1"/>
      <w:marLeft w:val="0"/>
      <w:marRight w:val="0"/>
      <w:marTop w:val="0"/>
      <w:marBottom w:val="0"/>
      <w:divBdr>
        <w:top w:val="none" w:sz="0" w:space="0" w:color="auto"/>
        <w:left w:val="none" w:sz="0" w:space="0" w:color="auto"/>
        <w:bottom w:val="none" w:sz="0" w:space="0" w:color="auto"/>
        <w:right w:val="none" w:sz="0" w:space="0" w:color="auto"/>
      </w:divBdr>
    </w:div>
    <w:div w:id="2096439396">
      <w:bodyDiv w:val="1"/>
      <w:marLeft w:val="0"/>
      <w:marRight w:val="0"/>
      <w:marTop w:val="0"/>
      <w:marBottom w:val="0"/>
      <w:divBdr>
        <w:top w:val="none" w:sz="0" w:space="0" w:color="auto"/>
        <w:left w:val="none" w:sz="0" w:space="0" w:color="auto"/>
        <w:bottom w:val="none" w:sz="0" w:space="0" w:color="auto"/>
        <w:right w:val="none" w:sz="0" w:space="0" w:color="auto"/>
      </w:divBdr>
    </w:div>
    <w:div w:id="2096588110">
      <w:bodyDiv w:val="1"/>
      <w:marLeft w:val="0"/>
      <w:marRight w:val="0"/>
      <w:marTop w:val="0"/>
      <w:marBottom w:val="0"/>
      <w:divBdr>
        <w:top w:val="none" w:sz="0" w:space="0" w:color="auto"/>
        <w:left w:val="none" w:sz="0" w:space="0" w:color="auto"/>
        <w:bottom w:val="none" w:sz="0" w:space="0" w:color="auto"/>
        <w:right w:val="none" w:sz="0" w:space="0" w:color="auto"/>
      </w:divBdr>
    </w:div>
    <w:div w:id="2096705746">
      <w:bodyDiv w:val="1"/>
      <w:marLeft w:val="0"/>
      <w:marRight w:val="0"/>
      <w:marTop w:val="0"/>
      <w:marBottom w:val="0"/>
      <w:divBdr>
        <w:top w:val="none" w:sz="0" w:space="0" w:color="auto"/>
        <w:left w:val="none" w:sz="0" w:space="0" w:color="auto"/>
        <w:bottom w:val="none" w:sz="0" w:space="0" w:color="auto"/>
        <w:right w:val="none" w:sz="0" w:space="0" w:color="auto"/>
      </w:divBdr>
    </w:div>
    <w:div w:id="2096784263">
      <w:bodyDiv w:val="1"/>
      <w:marLeft w:val="0"/>
      <w:marRight w:val="0"/>
      <w:marTop w:val="0"/>
      <w:marBottom w:val="0"/>
      <w:divBdr>
        <w:top w:val="none" w:sz="0" w:space="0" w:color="auto"/>
        <w:left w:val="none" w:sz="0" w:space="0" w:color="auto"/>
        <w:bottom w:val="none" w:sz="0" w:space="0" w:color="auto"/>
        <w:right w:val="none" w:sz="0" w:space="0" w:color="auto"/>
      </w:divBdr>
    </w:div>
    <w:div w:id="2096828305">
      <w:bodyDiv w:val="1"/>
      <w:marLeft w:val="0"/>
      <w:marRight w:val="0"/>
      <w:marTop w:val="0"/>
      <w:marBottom w:val="0"/>
      <w:divBdr>
        <w:top w:val="none" w:sz="0" w:space="0" w:color="auto"/>
        <w:left w:val="none" w:sz="0" w:space="0" w:color="auto"/>
        <w:bottom w:val="none" w:sz="0" w:space="0" w:color="auto"/>
        <w:right w:val="none" w:sz="0" w:space="0" w:color="auto"/>
      </w:divBdr>
    </w:div>
    <w:div w:id="2096901460">
      <w:bodyDiv w:val="1"/>
      <w:marLeft w:val="0"/>
      <w:marRight w:val="0"/>
      <w:marTop w:val="0"/>
      <w:marBottom w:val="0"/>
      <w:divBdr>
        <w:top w:val="none" w:sz="0" w:space="0" w:color="auto"/>
        <w:left w:val="none" w:sz="0" w:space="0" w:color="auto"/>
        <w:bottom w:val="none" w:sz="0" w:space="0" w:color="auto"/>
        <w:right w:val="none" w:sz="0" w:space="0" w:color="auto"/>
      </w:divBdr>
    </w:div>
    <w:div w:id="2096970133">
      <w:bodyDiv w:val="1"/>
      <w:marLeft w:val="0"/>
      <w:marRight w:val="0"/>
      <w:marTop w:val="0"/>
      <w:marBottom w:val="0"/>
      <w:divBdr>
        <w:top w:val="none" w:sz="0" w:space="0" w:color="auto"/>
        <w:left w:val="none" w:sz="0" w:space="0" w:color="auto"/>
        <w:bottom w:val="none" w:sz="0" w:space="0" w:color="auto"/>
        <w:right w:val="none" w:sz="0" w:space="0" w:color="auto"/>
      </w:divBdr>
    </w:div>
    <w:div w:id="2097047168">
      <w:bodyDiv w:val="1"/>
      <w:marLeft w:val="0"/>
      <w:marRight w:val="0"/>
      <w:marTop w:val="0"/>
      <w:marBottom w:val="0"/>
      <w:divBdr>
        <w:top w:val="none" w:sz="0" w:space="0" w:color="auto"/>
        <w:left w:val="none" w:sz="0" w:space="0" w:color="auto"/>
        <w:bottom w:val="none" w:sz="0" w:space="0" w:color="auto"/>
        <w:right w:val="none" w:sz="0" w:space="0" w:color="auto"/>
      </w:divBdr>
    </w:div>
    <w:div w:id="2097166748">
      <w:bodyDiv w:val="1"/>
      <w:marLeft w:val="0"/>
      <w:marRight w:val="0"/>
      <w:marTop w:val="0"/>
      <w:marBottom w:val="0"/>
      <w:divBdr>
        <w:top w:val="none" w:sz="0" w:space="0" w:color="auto"/>
        <w:left w:val="none" w:sz="0" w:space="0" w:color="auto"/>
        <w:bottom w:val="none" w:sz="0" w:space="0" w:color="auto"/>
        <w:right w:val="none" w:sz="0" w:space="0" w:color="auto"/>
      </w:divBdr>
    </w:div>
    <w:div w:id="2097314737">
      <w:bodyDiv w:val="1"/>
      <w:marLeft w:val="0"/>
      <w:marRight w:val="0"/>
      <w:marTop w:val="0"/>
      <w:marBottom w:val="0"/>
      <w:divBdr>
        <w:top w:val="none" w:sz="0" w:space="0" w:color="auto"/>
        <w:left w:val="none" w:sz="0" w:space="0" w:color="auto"/>
        <w:bottom w:val="none" w:sz="0" w:space="0" w:color="auto"/>
        <w:right w:val="none" w:sz="0" w:space="0" w:color="auto"/>
      </w:divBdr>
    </w:div>
    <w:div w:id="2097432233">
      <w:bodyDiv w:val="1"/>
      <w:marLeft w:val="0"/>
      <w:marRight w:val="0"/>
      <w:marTop w:val="0"/>
      <w:marBottom w:val="0"/>
      <w:divBdr>
        <w:top w:val="none" w:sz="0" w:space="0" w:color="auto"/>
        <w:left w:val="none" w:sz="0" w:space="0" w:color="auto"/>
        <w:bottom w:val="none" w:sz="0" w:space="0" w:color="auto"/>
        <w:right w:val="none" w:sz="0" w:space="0" w:color="auto"/>
      </w:divBdr>
    </w:div>
    <w:div w:id="2097554816">
      <w:bodyDiv w:val="1"/>
      <w:marLeft w:val="0"/>
      <w:marRight w:val="0"/>
      <w:marTop w:val="0"/>
      <w:marBottom w:val="0"/>
      <w:divBdr>
        <w:top w:val="none" w:sz="0" w:space="0" w:color="auto"/>
        <w:left w:val="none" w:sz="0" w:space="0" w:color="auto"/>
        <w:bottom w:val="none" w:sz="0" w:space="0" w:color="auto"/>
        <w:right w:val="none" w:sz="0" w:space="0" w:color="auto"/>
      </w:divBdr>
    </w:div>
    <w:div w:id="2097625349">
      <w:bodyDiv w:val="1"/>
      <w:marLeft w:val="0"/>
      <w:marRight w:val="0"/>
      <w:marTop w:val="0"/>
      <w:marBottom w:val="0"/>
      <w:divBdr>
        <w:top w:val="none" w:sz="0" w:space="0" w:color="auto"/>
        <w:left w:val="none" w:sz="0" w:space="0" w:color="auto"/>
        <w:bottom w:val="none" w:sz="0" w:space="0" w:color="auto"/>
        <w:right w:val="none" w:sz="0" w:space="0" w:color="auto"/>
      </w:divBdr>
    </w:div>
    <w:div w:id="2097628813">
      <w:bodyDiv w:val="1"/>
      <w:marLeft w:val="0"/>
      <w:marRight w:val="0"/>
      <w:marTop w:val="0"/>
      <w:marBottom w:val="0"/>
      <w:divBdr>
        <w:top w:val="none" w:sz="0" w:space="0" w:color="auto"/>
        <w:left w:val="none" w:sz="0" w:space="0" w:color="auto"/>
        <w:bottom w:val="none" w:sz="0" w:space="0" w:color="auto"/>
        <w:right w:val="none" w:sz="0" w:space="0" w:color="auto"/>
      </w:divBdr>
    </w:div>
    <w:div w:id="2097750579">
      <w:bodyDiv w:val="1"/>
      <w:marLeft w:val="0"/>
      <w:marRight w:val="0"/>
      <w:marTop w:val="0"/>
      <w:marBottom w:val="0"/>
      <w:divBdr>
        <w:top w:val="none" w:sz="0" w:space="0" w:color="auto"/>
        <w:left w:val="none" w:sz="0" w:space="0" w:color="auto"/>
        <w:bottom w:val="none" w:sz="0" w:space="0" w:color="auto"/>
        <w:right w:val="none" w:sz="0" w:space="0" w:color="auto"/>
      </w:divBdr>
    </w:div>
    <w:div w:id="2097820292">
      <w:bodyDiv w:val="1"/>
      <w:marLeft w:val="0"/>
      <w:marRight w:val="0"/>
      <w:marTop w:val="0"/>
      <w:marBottom w:val="0"/>
      <w:divBdr>
        <w:top w:val="none" w:sz="0" w:space="0" w:color="auto"/>
        <w:left w:val="none" w:sz="0" w:space="0" w:color="auto"/>
        <w:bottom w:val="none" w:sz="0" w:space="0" w:color="auto"/>
        <w:right w:val="none" w:sz="0" w:space="0" w:color="auto"/>
      </w:divBdr>
    </w:div>
    <w:div w:id="2097822558">
      <w:bodyDiv w:val="1"/>
      <w:marLeft w:val="0"/>
      <w:marRight w:val="0"/>
      <w:marTop w:val="0"/>
      <w:marBottom w:val="0"/>
      <w:divBdr>
        <w:top w:val="none" w:sz="0" w:space="0" w:color="auto"/>
        <w:left w:val="none" w:sz="0" w:space="0" w:color="auto"/>
        <w:bottom w:val="none" w:sz="0" w:space="0" w:color="auto"/>
        <w:right w:val="none" w:sz="0" w:space="0" w:color="auto"/>
      </w:divBdr>
    </w:div>
    <w:div w:id="2097897412">
      <w:bodyDiv w:val="1"/>
      <w:marLeft w:val="0"/>
      <w:marRight w:val="0"/>
      <w:marTop w:val="0"/>
      <w:marBottom w:val="0"/>
      <w:divBdr>
        <w:top w:val="none" w:sz="0" w:space="0" w:color="auto"/>
        <w:left w:val="none" w:sz="0" w:space="0" w:color="auto"/>
        <w:bottom w:val="none" w:sz="0" w:space="0" w:color="auto"/>
        <w:right w:val="none" w:sz="0" w:space="0" w:color="auto"/>
      </w:divBdr>
    </w:div>
    <w:div w:id="2097939795">
      <w:bodyDiv w:val="1"/>
      <w:marLeft w:val="0"/>
      <w:marRight w:val="0"/>
      <w:marTop w:val="0"/>
      <w:marBottom w:val="0"/>
      <w:divBdr>
        <w:top w:val="none" w:sz="0" w:space="0" w:color="auto"/>
        <w:left w:val="none" w:sz="0" w:space="0" w:color="auto"/>
        <w:bottom w:val="none" w:sz="0" w:space="0" w:color="auto"/>
        <w:right w:val="none" w:sz="0" w:space="0" w:color="auto"/>
      </w:divBdr>
    </w:div>
    <w:div w:id="2098162248">
      <w:bodyDiv w:val="1"/>
      <w:marLeft w:val="0"/>
      <w:marRight w:val="0"/>
      <w:marTop w:val="0"/>
      <w:marBottom w:val="0"/>
      <w:divBdr>
        <w:top w:val="none" w:sz="0" w:space="0" w:color="auto"/>
        <w:left w:val="none" w:sz="0" w:space="0" w:color="auto"/>
        <w:bottom w:val="none" w:sz="0" w:space="0" w:color="auto"/>
        <w:right w:val="none" w:sz="0" w:space="0" w:color="auto"/>
      </w:divBdr>
    </w:div>
    <w:div w:id="2098207623">
      <w:bodyDiv w:val="1"/>
      <w:marLeft w:val="0"/>
      <w:marRight w:val="0"/>
      <w:marTop w:val="0"/>
      <w:marBottom w:val="0"/>
      <w:divBdr>
        <w:top w:val="none" w:sz="0" w:space="0" w:color="auto"/>
        <w:left w:val="none" w:sz="0" w:space="0" w:color="auto"/>
        <w:bottom w:val="none" w:sz="0" w:space="0" w:color="auto"/>
        <w:right w:val="none" w:sz="0" w:space="0" w:color="auto"/>
      </w:divBdr>
    </w:div>
    <w:div w:id="2098213605">
      <w:bodyDiv w:val="1"/>
      <w:marLeft w:val="0"/>
      <w:marRight w:val="0"/>
      <w:marTop w:val="0"/>
      <w:marBottom w:val="0"/>
      <w:divBdr>
        <w:top w:val="none" w:sz="0" w:space="0" w:color="auto"/>
        <w:left w:val="none" w:sz="0" w:space="0" w:color="auto"/>
        <w:bottom w:val="none" w:sz="0" w:space="0" w:color="auto"/>
        <w:right w:val="none" w:sz="0" w:space="0" w:color="auto"/>
      </w:divBdr>
    </w:div>
    <w:div w:id="2098400172">
      <w:bodyDiv w:val="1"/>
      <w:marLeft w:val="0"/>
      <w:marRight w:val="0"/>
      <w:marTop w:val="0"/>
      <w:marBottom w:val="0"/>
      <w:divBdr>
        <w:top w:val="none" w:sz="0" w:space="0" w:color="auto"/>
        <w:left w:val="none" w:sz="0" w:space="0" w:color="auto"/>
        <w:bottom w:val="none" w:sz="0" w:space="0" w:color="auto"/>
        <w:right w:val="none" w:sz="0" w:space="0" w:color="auto"/>
      </w:divBdr>
    </w:div>
    <w:div w:id="2098475914">
      <w:bodyDiv w:val="1"/>
      <w:marLeft w:val="0"/>
      <w:marRight w:val="0"/>
      <w:marTop w:val="0"/>
      <w:marBottom w:val="0"/>
      <w:divBdr>
        <w:top w:val="none" w:sz="0" w:space="0" w:color="auto"/>
        <w:left w:val="none" w:sz="0" w:space="0" w:color="auto"/>
        <w:bottom w:val="none" w:sz="0" w:space="0" w:color="auto"/>
        <w:right w:val="none" w:sz="0" w:space="0" w:color="auto"/>
      </w:divBdr>
    </w:div>
    <w:div w:id="2098478891">
      <w:bodyDiv w:val="1"/>
      <w:marLeft w:val="0"/>
      <w:marRight w:val="0"/>
      <w:marTop w:val="0"/>
      <w:marBottom w:val="0"/>
      <w:divBdr>
        <w:top w:val="none" w:sz="0" w:space="0" w:color="auto"/>
        <w:left w:val="none" w:sz="0" w:space="0" w:color="auto"/>
        <w:bottom w:val="none" w:sz="0" w:space="0" w:color="auto"/>
        <w:right w:val="none" w:sz="0" w:space="0" w:color="auto"/>
      </w:divBdr>
    </w:div>
    <w:div w:id="2098675785">
      <w:bodyDiv w:val="1"/>
      <w:marLeft w:val="0"/>
      <w:marRight w:val="0"/>
      <w:marTop w:val="0"/>
      <w:marBottom w:val="0"/>
      <w:divBdr>
        <w:top w:val="none" w:sz="0" w:space="0" w:color="auto"/>
        <w:left w:val="none" w:sz="0" w:space="0" w:color="auto"/>
        <w:bottom w:val="none" w:sz="0" w:space="0" w:color="auto"/>
        <w:right w:val="none" w:sz="0" w:space="0" w:color="auto"/>
      </w:divBdr>
    </w:div>
    <w:div w:id="2098987414">
      <w:bodyDiv w:val="1"/>
      <w:marLeft w:val="0"/>
      <w:marRight w:val="0"/>
      <w:marTop w:val="0"/>
      <w:marBottom w:val="0"/>
      <w:divBdr>
        <w:top w:val="none" w:sz="0" w:space="0" w:color="auto"/>
        <w:left w:val="none" w:sz="0" w:space="0" w:color="auto"/>
        <w:bottom w:val="none" w:sz="0" w:space="0" w:color="auto"/>
        <w:right w:val="none" w:sz="0" w:space="0" w:color="auto"/>
      </w:divBdr>
    </w:div>
    <w:div w:id="2099016821">
      <w:bodyDiv w:val="1"/>
      <w:marLeft w:val="0"/>
      <w:marRight w:val="0"/>
      <w:marTop w:val="0"/>
      <w:marBottom w:val="0"/>
      <w:divBdr>
        <w:top w:val="none" w:sz="0" w:space="0" w:color="auto"/>
        <w:left w:val="none" w:sz="0" w:space="0" w:color="auto"/>
        <w:bottom w:val="none" w:sz="0" w:space="0" w:color="auto"/>
        <w:right w:val="none" w:sz="0" w:space="0" w:color="auto"/>
      </w:divBdr>
    </w:div>
    <w:div w:id="2099279268">
      <w:bodyDiv w:val="1"/>
      <w:marLeft w:val="0"/>
      <w:marRight w:val="0"/>
      <w:marTop w:val="0"/>
      <w:marBottom w:val="0"/>
      <w:divBdr>
        <w:top w:val="none" w:sz="0" w:space="0" w:color="auto"/>
        <w:left w:val="none" w:sz="0" w:space="0" w:color="auto"/>
        <w:bottom w:val="none" w:sz="0" w:space="0" w:color="auto"/>
        <w:right w:val="none" w:sz="0" w:space="0" w:color="auto"/>
      </w:divBdr>
    </w:div>
    <w:div w:id="2099323075">
      <w:bodyDiv w:val="1"/>
      <w:marLeft w:val="0"/>
      <w:marRight w:val="0"/>
      <w:marTop w:val="0"/>
      <w:marBottom w:val="0"/>
      <w:divBdr>
        <w:top w:val="none" w:sz="0" w:space="0" w:color="auto"/>
        <w:left w:val="none" w:sz="0" w:space="0" w:color="auto"/>
        <w:bottom w:val="none" w:sz="0" w:space="0" w:color="auto"/>
        <w:right w:val="none" w:sz="0" w:space="0" w:color="auto"/>
      </w:divBdr>
    </w:div>
    <w:div w:id="2099324083">
      <w:bodyDiv w:val="1"/>
      <w:marLeft w:val="0"/>
      <w:marRight w:val="0"/>
      <w:marTop w:val="0"/>
      <w:marBottom w:val="0"/>
      <w:divBdr>
        <w:top w:val="none" w:sz="0" w:space="0" w:color="auto"/>
        <w:left w:val="none" w:sz="0" w:space="0" w:color="auto"/>
        <w:bottom w:val="none" w:sz="0" w:space="0" w:color="auto"/>
        <w:right w:val="none" w:sz="0" w:space="0" w:color="auto"/>
      </w:divBdr>
    </w:div>
    <w:div w:id="2099523997">
      <w:bodyDiv w:val="1"/>
      <w:marLeft w:val="0"/>
      <w:marRight w:val="0"/>
      <w:marTop w:val="0"/>
      <w:marBottom w:val="0"/>
      <w:divBdr>
        <w:top w:val="none" w:sz="0" w:space="0" w:color="auto"/>
        <w:left w:val="none" w:sz="0" w:space="0" w:color="auto"/>
        <w:bottom w:val="none" w:sz="0" w:space="0" w:color="auto"/>
        <w:right w:val="none" w:sz="0" w:space="0" w:color="auto"/>
      </w:divBdr>
    </w:div>
    <w:div w:id="2099669032">
      <w:bodyDiv w:val="1"/>
      <w:marLeft w:val="0"/>
      <w:marRight w:val="0"/>
      <w:marTop w:val="0"/>
      <w:marBottom w:val="0"/>
      <w:divBdr>
        <w:top w:val="none" w:sz="0" w:space="0" w:color="auto"/>
        <w:left w:val="none" w:sz="0" w:space="0" w:color="auto"/>
        <w:bottom w:val="none" w:sz="0" w:space="0" w:color="auto"/>
        <w:right w:val="none" w:sz="0" w:space="0" w:color="auto"/>
      </w:divBdr>
    </w:div>
    <w:div w:id="2099792086">
      <w:bodyDiv w:val="1"/>
      <w:marLeft w:val="0"/>
      <w:marRight w:val="0"/>
      <w:marTop w:val="0"/>
      <w:marBottom w:val="0"/>
      <w:divBdr>
        <w:top w:val="none" w:sz="0" w:space="0" w:color="auto"/>
        <w:left w:val="none" w:sz="0" w:space="0" w:color="auto"/>
        <w:bottom w:val="none" w:sz="0" w:space="0" w:color="auto"/>
        <w:right w:val="none" w:sz="0" w:space="0" w:color="auto"/>
      </w:divBdr>
    </w:div>
    <w:div w:id="2099859820">
      <w:bodyDiv w:val="1"/>
      <w:marLeft w:val="0"/>
      <w:marRight w:val="0"/>
      <w:marTop w:val="0"/>
      <w:marBottom w:val="0"/>
      <w:divBdr>
        <w:top w:val="none" w:sz="0" w:space="0" w:color="auto"/>
        <w:left w:val="none" w:sz="0" w:space="0" w:color="auto"/>
        <w:bottom w:val="none" w:sz="0" w:space="0" w:color="auto"/>
        <w:right w:val="none" w:sz="0" w:space="0" w:color="auto"/>
      </w:divBdr>
    </w:div>
    <w:div w:id="2099868198">
      <w:bodyDiv w:val="1"/>
      <w:marLeft w:val="0"/>
      <w:marRight w:val="0"/>
      <w:marTop w:val="0"/>
      <w:marBottom w:val="0"/>
      <w:divBdr>
        <w:top w:val="none" w:sz="0" w:space="0" w:color="auto"/>
        <w:left w:val="none" w:sz="0" w:space="0" w:color="auto"/>
        <w:bottom w:val="none" w:sz="0" w:space="0" w:color="auto"/>
        <w:right w:val="none" w:sz="0" w:space="0" w:color="auto"/>
      </w:divBdr>
    </w:div>
    <w:div w:id="2099906471">
      <w:bodyDiv w:val="1"/>
      <w:marLeft w:val="0"/>
      <w:marRight w:val="0"/>
      <w:marTop w:val="0"/>
      <w:marBottom w:val="0"/>
      <w:divBdr>
        <w:top w:val="none" w:sz="0" w:space="0" w:color="auto"/>
        <w:left w:val="none" w:sz="0" w:space="0" w:color="auto"/>
        <w:bottom w:val="none" w:sz="0" w:space="0" w:color="auto"/>
        <w:right w:val="none" w:sz="0" w:space="0" w:color="auto"/>
      </w:divBdr>
    </w:div>
    <w:div w:id="2100054179">
      <w:bodyDiv w:val="1"/>
      <w:marLeft w:val="0"/>
      <w:marRight w:val="0"/>
      <w:marTop w:val="0"/>
      <w:marBottom w:val="0"/>
      <w:divBdr>
        <w:top w:val="none" w:sz="0" w:space="0" w:color="auto"/>
        <w:left w:val="none" w:sz="0" w:space="0" w:color="auto"/>
        <w:bottom w:val="none" w:sz="0" w:space="0" w:color="auto"/>
        <w:right w:val="none" w:sz="0" w:space="0" w:color="auto"/>
      </w:divBdr>
    </w:div>
    <w:div w:id="2100056966">
      <w:bodyDiv w:val="1"/>
      <w:marLeft w:val="0"/>
      <w:marRight w:val="0"/>
      <w:marTop w:val="0"/>
      <w:marBottom w:val="0"/>
      <w:divBdr>
        <w:top w:val="none" w:sz="0" w:space="0" w:color="auto"/>
        <w:left w:val="none" w:sz="0" w:space="0" w:color="auto"/>
        <w:bottom w:val="none" w:sz="0" w:space="0" w:color="auto"/>
        <w:right w:val="none" w:sz="0" w:space="0" w:color="auto"/>
      </w:divBdr>
    </w:div>
    <w:div w:id="2100059191">
      <w:bodyDiv w:val="1"/>
      <w:marLeft w:val="0"/>
      <w:marRight w:val="0"/>
      <w:marTop w:val="0"/>
      <w:marBottom w:val="0"/>
      <w:divBdr>
        <w:top w:val="none" w:sz="0" w:space="0" w:color="auto"/>
        <w:left w:val="none" w:sz="0" w:space="0" w:color="auto"/>
        <w:bottom w:val="none" w:sz="0" w:space="0" w:color="auto"/>
        <w:right w:val="none" w:sz="0" w:space="0" w:color="auto"/>
      </w:divBdr>
    </w:div>
    <w:div w:id="2100060749">
      <w:bodyDiv w:val="1"/>
      <w:marLeft w:val="0"/>
      <w:marRight w:val="0"/>
      <w:marTop w:val="0"/>
      <w:marBottom w:val="0"/>
      <w:divBdr>
        <w:top w:val="none" w:sz="0" w:space="0" w:color="auto"/>
        <w:left w:val="none" w:sz="0" w:space="0" w:color="auto"/>
        <w:bottom w:val="none" w:sz="0" w:space="0" w:color="auto"/>
        <w:right w:val="none" w:sz="0" w:space="0" w:color="auto"/>
      </w:divBdr>
    </w:div>
    <w:div w:id="2100177274">
      <w:bodyDiv w:val="1"/>
      <w:marLeft w:val="0"/>
      <w:marRight w:val="0"/>
      <w:marTop w:val="0"/>
      <w:marBottom w:val="0"/>
      <w:divBdr>
        <w:top w:val="none" w:sz="0" w:space="0" w:color="auto"/>
        <w:left w:val="none" w:sz="0" w:space="0" w:color="auto"/>
        <w:bottom w:val="none" w:sz="0" w:space="0" w:color="auto"/>
        <w:right w:val="none" w:sz="0" w:space="0" w:color="auto"/>
      </w:divBdr>
    </w:div>
    <w:div w:id="2100177946">
      <w:bodyDiv w:val="1"/>
      <w:marLeft w:val="0"/>
      <w:marRight w:val="0"/>
      <w:marTop w:val="0"/>
      <w:marBottom w:val="0"/>
      <w:divBdr>
        <w:top w:val="none" w:sz="0" w:space="0" w:color="auto"/>
        <w:left w:val="none" w:sz="0" w:space="0" w:color="auto"/>
        <w:bottom w:val="none" w:sz="0" w:space="0" w:color="auto"/>
        <w:right w:val="none" w:sz="0" w:space="0" w:color="auto"/>
      </w:divBdr>
    </w:div>
    <w:div w:id="2100329015">
      <w:bodyDiv w:val="1"/>
      <w:marLeft w:val="0"/>
      <w:marRight w:val="0"/>
      <w:marTop w:val="0"/>
      <w:marBottom w:val="0"/>
      <w:divBdr>
        <w:top w:val="none" w:sz="0" w:space="0" w:color="auto"/>
        <w:left w:val="none" w:sz="0" w:space="0" w:color="auto"/>
        <w:bottom w:val="none" w:sz="0" w:space="0" w:color="auto"/>
        <w:right w:val="none" w:sz="0" w:space="0" w:color="auto"/>
      </w:divBdr>
    </w:div>
    <w:div w:id="2100370967">
      <w:bodyDiv w:val="1"/>
      <w:marLeft w:val="0"/>
      <w:marRight w:val="0"/>
      <w:marTop w:val="0"/>
      <w:marBottom w:val="0"/>
      <w:divBdr>
        <w:top w:val="none" w:sz="0" w:space="0" w:color="auto"/>
        <w:left w:val="none" w:sz="0" w:space="0" w:color="auto"/>
        <w:bottom w:val="none" w:sz="0" w:space="0" w:color="auto"/>
        <w:right w:val="none" w:sz="0" w:space="0" w:color="auto"/>
      </w:divBdr>
    </w:div>
    <w:div w:id="2100444263">
      <w:bodyDiv w:val="1"/>
      <w:marLeft w:val="0"/>
      <w:marRight w:val="0"/>
      <w:marTop w:val="0"/>
      <w:marBottom w:val="0"/>
      <w:divBdr>
        <w:top w:val="none" w:sz="0" w:space="0" w:color="auto"/>
        <w:left w:val="none" w:sz="0" w:space="0" w:color="auto"/>
        <w:bottom w:val="none" w:sz="0" w:space="0" w:color="auto"/>
        <w:right w:val="none" w:sz="0" w:space="0" w:color="auto"/>
      </w:divBdr>
    </w:div>
    <w:div w:id="2100634197">
      <w:bodyDiv w:val="1"/>
      <w:marLeft w:val="0"/>
      <w:marRight w:val="0"/>
      <w:marTop w:val="0"/>
      <w:marBottom w:val="0"/>
      <w:divBdr>
        <w:top w:val="none" w:sz="0" w:space="0" w:color="auto"/>
        <w:left w:val="none" w:sz="0" w:space="0" w:color="auto"/>
        <w:bottom w:val="none" w:sz="0" w:space="0" w:color="auto"/>
        <w:right w:val="none" w:sz="0" w:space="0" w:color="auto"/>
      </w:divBdr>
    </w:div>
    <w:div w:id="2100635063">
      <w:bodyDiv w:val="1"/>
      <w:marLeft w:val="0"/>
      <w:marRight w:val="0"/>
      <w:marTop w:val="0"/>
      <w:marBottom w:val="0"/>
      <w:divBdr>
        <w:top w:val="none" w:sz="0" w:space="0" w:color="auto"/>
        <w:left w:val="none" w:sz="0" w:space="0" w:color="auto"/>
        <w:bottom w:val="none" w:sz="0" w:space="0" w:color="auto"/>
        <w:right w:val="none" w:sz="0" w:space="0" w:color="auto"/>
      </w:divBdr>
    </w:div>
    <w:div w:id="2100707971">
      <w:bodyDiv w:val="1"/>
      <w:marLeft w:val="0"/>
      <w:marRight w:val="0"/>
      <w:marTop w:val="0"/>
      <w:marBottom w:val="0"/>
      <w:divBdr>
        <w:top w:val="none" w:sz="0" w:space="0" w:color="auto"/>
        <w:left w:val="none" w:sz="0" w:space="0" w:color="auto"/>
        <w:bottom w:val="none" w:sz="0" w:space="0" w:color="auto"/>
        <w:right w:val="none" w:sz="0" w:space="0" w:color="auto"/>
      </w:divBdr>
    </w:div>
    <w:div w:id="2101028598">
      <w:bodyDiv w:val="1"/>
      <w:marLeft w:val="0"/>
      <w:marRight w:val="0"/>
      <w:marTop w:val="0"/>
      <w:marBottom w:val="0"/>
      <w:divBdr>
        <w:top w:val="none" w:sz="0" w:space="0" w:color="auto"/>
        <w:left w:val="none" w:sz="0" w:space="0" w:color="auto"/>
        <w:bottom w:val="none" w:sz="0" w:space="0" w:color="auto"/>
        <w:right w:val="none" w:sz="0" w:space="0" w:color="auto"/>
      </w:divBdr>
    </w:div>
    <w:div w:id="2101095564">
      <w:bodyDiv w:val="1"/>
      <w:marLeft w:val="0"/>
      <w:marRight w:val="0"/>
      <w:marTop w:val="0"/>
      <w:marBottom w:val="0"/>
      <w:divBdr>
        <w:top w:val="none" w:sz="0" w:space="0" w:color="auto"/>
        <w:left w:val="none" w:sz="0" w:space="0" w:color="auto"/>
        <w:bottom w:val="none" w:sz="0" w:space="0" w:color="auto"/>
        <w:right w:val="none" w:sz="0" w:space="0" w:color="auto"/>
      </w:divBdr>
    </w:div>
    <w:div w:id="2101173891">
      <w:bodyDiv w:val="1"/>
      <w:marLeft w:val="0"/>
      <w:marRight w:val="0"/>
      <w:marTop w:val="0"/>
      <w:marBottom w:val="0"/>
      <w:divBdr>
        <w:top w:val="none" w:sz="0" w:space="0" w:color="auto"/>
        <w:left w:val="none" w:sz="0" w:space="0" w:color="auto"/>
        <w:bottom w:val="none" w:sz="0" w:space="0" w:color="auto"/>
        <w:right w:val="none" w:sz="0" w:space="0" w:color="auto"/>
      </w:divBdr>
    </w:div>
    <w:div w:id="2101177047">
      <w:bodyDiv w:val="1"/>
      <w:marLeft w:val="0"/>
      <w:marRight w:val="0"/>
      <w:marTop w:val="0"/>
      <w:marBottom w:val="0"/>
      <w:divBdr>
        <w:top w:val="none" w:sz="0" w:space="0" w:color="auto"/>
        <w:left w:val="none" w:sz="0" w:space="0" w:color="auto"/>
        <w:bottom w:val="none" w:sz="0" w:space="0" w:color="auto"/>
        <w:right w:val="none" w:sz="0" w:space="0" w:color="auto"/>
      </w:divBdr>
    </w:div>
    <w:div w:id="2101217169">
      <w:bodyDiv w:val="1"/>
      <w:marLeft w:val="0"/>
      <w:marRight w:val="0"/>
      <w:marTop w:val="0"/>
      <w:marBottom w:val="0"/>
      <w:divBdr>
        <w:top w:val="none" w:sz="0" w:space="0" w:color="auto"/>
        <w:left w:val="none" w:sz="0" w:space="0" w:color="auto"/>
        <w:bottom w:val="none" w:sz="0" w:space="0" w:color="auto"/>
        <w:right w:val="none" w:sz="0" w:space="0" w:color="auto"/>
      </w:divBdr>
    </w:div>
    <w:div w:id="2101247673">
      <w:bodyDiv w:val="1"/>
      <w:marLeft w:val="0"/>
      <w:marRight w:val="0"/>
      <w:marTop w:val="0"/>
      <w:marBottom w:val="0"/>
      <w:divBdr>
        <w:top w:val="none" w:sz="0" w:space="0" w:color="auto"/>
        <w:left w:val="none" w:sz="0" w:space="0" w:color="auto"/>
        <w:bottom w:val="none" w:sz="0" w:space="0" w:color="auto"/>
        <w:right w:val="none" w:sz="0" w:space="0" w:color="auto"/>
      </w:divBdr>
    </w:div>
    <w:div w:id="2101414982">
      <w:bodyDiv w:val="1"/>
      <w:marLeft w:val="0"/>
      <w:marRight w:val="0"/>
      <w:marTop w:val="0"/>
      <w:marBottom w:val="0"/>
      <w:divBdr>
        <w:top w:val="none" w:sz="0" w:space="0" w:color="auto"/>
        <w:left w:val="none" w:sz="0" w:space="0" w:color="auto"/>
        <w:bottom w:val="none" w:sz="0" w:space="0" w:color="auto"/>
        <w:right w:val="none" w:sz="0" w:space="0" w:color="auto"/>
      </w:divBdr>
    </w:div>
    <w:div w:id="2101438480">
      <w:bodyDiv w:val="1"/>
      <w:marLeft w:val="0"/>
      <w:marRight w:val="0"/>
      <w:marTop w:val="0"/>
      <w:marBottom w:val="0"/>
      <w:divBdr>
        <w:top w:val="none" w:sz="0" w:space="0" w:color="auto"/>
        <w:left w:val="none" w:sz="0" w:space="0" w:color="auto"/>
        <w:bottom w:val="none" w:sz="0" w:space="0" w:color="auto"/>
        <w:right w:val="none" w:sz="0" w:space="0" w:color="auto"/>
      </w:divBdr>
    </w:div>
    <w:div w:id="2101558257">
      <w:bodyDiv w:val="1"/>
      <w:marLeft w:val="0"/>
      <w:marRight w:val="0"/>
      <w:marTop w:val="0"/>
      <w:marBottom w:val="0"/>
      <w:divBdr>
        <w:top w:val="none" w:sz="0" w:space="0" w:color="auto"/>
        <w:left w:val="none" w:sz="0" w:space="0" w:color="auto"/>
        <w:bottom w:val="none" w:sz="0" w:space="0" w:color="auto"/>
        <w:right w:val="none" w:sz="0" w:space="0" w:color="auto"/>
      </w:divBdr>
    </w:div>
    <w:div w:id="2101558269">
      <w:bodyDiv w:val="1"/>
      <w:marLeft w:val="0"/>
      <w:marRight w:val="0"/>
      <w:marTop w:val="0"/>
      <w:marBottom w:val="0"/>
      <w:divBdr>
        <w:top w:val="none" w:sz="0" w:space="0" w:color="auto"/>
        <w:left w:val="none" w:sz="0" w:space="0" w:color="auto"/>
        <w:bottom w:val="none" w:sz="0" w:space="0" w:color="auto"/>
        <w:right w:val="none" w:sz="0" w:space="0" w:color="auto"/>
      </w:divBdr>
    </w:div>
    <w:div w:id="2101561665">
      <w:bodyDiv w:val="1"/>
      <w:marLeft w:val="0"/>
      <w:marRight w:val="0"/>
      <w:marTop w:val="0"/>
      <w:marBottom w:val="0"/>
      <w:divBdr>
        <w:top w:val="none" w:sz="0" w:space="0" w:color="auto"/>
        <w:left w:val="none" w:sz="0" w:space="0" w:color="auto"/>
        <w:bottom w:val="none" w:sz="0" w:space="0" w:color="auto"/>
        <w:right w:val="none" w:sz="0" w:space="0" w:color="auto"/>
      </w:divBdr>
    </w:div>
    <w:div w:id="2101675477">
      <w:bodyDiv w:val="1"/>
      <w:marLeft w:val="0"/>
      <w:marRight w:val="0"/>
      <w:marTop w:val="0"/>
      <w:marBottom w:val="0"/>
      <w:divBdr>
        <w:top w:val="none" w:sz="0" w:space="0" w:color="auto"/>
        <w:left w:val="none" w:sz="0" w:space="0" w:color="auto"/>
        <w:bottom w:val="none" w:sz="0" w:space="0" w:color="auto"/>
        <w:right w:val="none" w:sz="0" w:space="0" w:color="auto"/>
      </w:divBdr>
    </w:div>
    <w:div w:id="2101947272">
      <w:bodyDiv w:val="1"/>
      <w:marLeft w:val="0"/>
      <w:marRight w:val="0"/>
      <w:marTop w:val="0"/>
      <w:marBottom w:val="0"/>
      <w:divBdr>
        <w:top w:val="none" w:sz="0" w:space="0" w:color="auto"/>
        <w:left w:val="none" w:sz="0" w:space="0" w:color="auto"/>
        <w:bottom w:val="none" w:sz="0" w:space="0" w:color="auto"/>
        <w:right w:val="none" w:sz="0" w:space="0" w:color="auto"/>
      </w:divBdr>
    </w:div>
    <w:div w:id="2102067270">
      <w:bodyDiv w:val="1"/>
      <w:marLeft w:val="0"/>
      <w:marRight w:val="0"/>
      <w:marTop w:val="0"/>
      <w:marBottom w:val="0"/>
      <w:divBdr>
        <w:top w:val="none" w:sz="0" w:space="0" w:color="auto"/>
        <w:left w:val="none" w:sz="0" w:space="0" w:color="auto"/>
        <w:bottom w:val="none" w:sz="0" w:space="0" w:color="auto"/>
        <w:right w:val="none" w:sz="0" w:space="0" w:color="auto"/>
      </w:divBdr>
    </w:div>
    <w:div w:id="2102218311">
      <w:bodyDiv w:val="1"/>
      <w:marLeft w:val="0"/>
      <w:marRight w:val="0"/>
      <w:marTop w:val="0"/>
      <w:marBottom w:val="0"/>
      <w:divBdr>
        <w:top w:val="none" w:sz="0" w:space="0" w:color="auto"/>
        <w:left w:val="none" w:sz="0" w:space="0" w:color="auto"/>
        <w:bottom w:val="none" w:sz="0" w:space="0" w:color="auto"/>
        <w:right w:val="none" w:sz="0" w:space="0" w:color="auto"/>
      </w:divBdr>
    </w:div>
    <w:div w:id="2102681810">
      <w:bodyDiv w:val="1"/>
      <w:marLeft w:val="0"/>
      <w:marRight w:val="0"/>
      <w:marTop w:val="0"/>
      <w:marBottom w:val="0"/>
      <w:divBdr>
        <w:top w:val="none" w:sz="0" w:space="0" w:color="auto"/>
        <w:left w:val="none" w:sz="0" w:space="0" w:color="auto"/>
        <w:bottom w:val="none" w:sz="0" w:space="0" w:color="auto"/>
        <w:right w:val="none" w:sz="0" w:space="0" w:color="auto"/>
      </w:divBdr>
    </w:div>
    <w:div w:id="2102793664">
      <w:bodyDiv w:val="1"/>
      <w:marLeft w:val="0"/>
      <w:marRight w:val="0"/>
      <w:marTop w:val="0"/>
      <w:marBottom w:val="0"/>
      <w:divBdr>
        <w:top w:val="none" w:sz="0" w:space="0" w:color="auto"/>
        <w:left w:val="none" w:sz="0" w:space="0" w:color="auto"/>
        <w:bottom w:val="none" w:sz="0" w:space="0" w:color="auto"/>
        <w:right w:val="none" w:sz="0" w:space="0" w:color="auto"/>
      </w:divBdr>
    </w:div>
    <w:div w:id="2102793890">
      <w:bodyDiv w:val="1"/>
      <w:marLeft w:val="0"/>
      <w:marRight w:val="0"/>
      <w:marTop w:val="0"/>
      <w:marBottom w:val="0"/>
      <w:divBdr>
        <w:top w:val="none" w:sz="0" w:space="0" w:color="auto"/>
        <w:left w:val="none" w:sz="0" w:space="0" w:color="auto"/>
        <w:bottom w:val="none" w:sz="0" w:space="0" w:color="auto"/>
        <w:right w:val="none" w:sz="0" w:space="0" w:color="auto"/>
      </w:divBdr>
    </w:div>
    <w:div w:id="2102945090">
      <w:bodyDiv w:val="1"/>
      <w:marLeft w:val="0"/>
      <w:marRight w:val="0"/>
      <w:marTop w:val="0"/>
      <w:marBottom w:val="0"/>
      <w:divBdr>
        <w:top w:val="none" w:sz="0" w:space="0" w:color="auto"/>
        <w:left w:val="none" w:sz="0" w:space="0" w:color="auto"/>
        <w:bottom w:val="none" w:sz="0" w:space="0" w:color="auto"/>
        <w:right w:val="none" w:sz="0" w:space="0" w:color="auto"/>
      </w:divBdr>
    </w:div>
    <w:div w:id="2103063946">
      <w:bodyDiv w:val="1"/>
      <w:marLeft w:val="0"/>
      <w:marRight w:val="0"/>
      <w:marTop w:val="0"/>
      <w:marBottom w:val="0"/>
      <w:divBdr>
        <w:top w:val="none" w:sz="0" w:space="0" w:color="auto"/>
        <w:left w:val="none" w:sz="0" w:space="0" w:color="auto"/>
        <w:bottom w:val="none" w:sz="0" w:space="0" w:color="auto"/>
        <w:right w:val="none" w:sz="0" w:space="0" w:color="auto"/>
      </w:divBdr>
    </w:div>
    <w:div w:id="2103253496">
      <w:bodyDiv w:val="1"/>
      <w:marLeft w:val="0"/>
      <w:marRight w:val="0"/>
      <w:marTop w:val="0"/>
      <w:marBottom w:val="0"/>
      <w:divBdr>
        <w:top w:val="none" w:sz="0" w:space="0" w:color="auto"/>
        <w:left w:val="none" w:sz="0" w:space="0" w:color="auto"/>
        <w:bottom w:val="none" w:sz="0" w:space="0" w:color="auto"/>
        <w:right w:val="none" w:sz="0" w:space="0" w:color="auto"/>
      </w:divBdr>
    </w:div>
    <w:div w:id="2103257844">
      <w:bodyDiv w:val="1"/>
      <w:marLeft w:val="0"/>
      <w:marRight w:val="0"/>
      <w:marTop w:val="0"/>
      <w:marBottom w:val="0"/>
      <w:divBdr>
        <w:top w:val="none" w:sz="0" w:space="0" w:color="auto"/>
        <w:left w:val="none" w:sz="0" w:space="0" w:color="auto"/>
        <w:bottom w:val="none" w:sz="0" w:space="0" w:color="auto"/>
        <w:right w:val="none" w:sz="0" w:space="0" w:color="auto"/>
      </w:divBdr>
    </w:div>
    <w:div w:id="2103261955">
      <w:bodyDiv w:val="1"/>
      <w:marLeft w:val="0"/>
      <w:marRight w:val="0"/>
      <w:marTop w:val="0"/>
      <w:marBottom w:val="0"/>
      <w:divBdr>
        <w:top w:val="none" w:sz="0" w:space="0" w:color="auto"/>
        <w:left w:val="none" w:sz="0" w:space="0" w:color="auto"/>
        <w:bottom w:val="none" w:sz="0" w:space="0" w:color="auto"/>
        <w:right w:val="none" w:sz="0" w:space="0" w:color="auto"/>
      </w:divBdr>
    </w:div>
    <w:div w:id="2103328824">
      <w:bodyDiv w:val="1"/>
      <w:marLeft w:val="0"/>
      <w:marRight w:val="0"/>
      <w:marTop w:val="0"/>
      <w:marBottom w:val="0"/>
      <w:divBdr>
        <w:top w:val="none" w:sz="0" w:space="0" w:color="auto"/>
        <w:left w:val="none" w:sz="0" w:space="0" w:color="auto"/>
        <w:bottom w:val="none" w:sz="0" w:space="0" w:color="auto"/>
        <w:right w:val="none" w:sz="0" w:space="0" w:color="auto"/>
      </w:divBdr>
    </w:div>
    <w:div w:id="2103641485">
      <w:bodyDiv w:val="1"/>
      <w:marLeft w:val="0"/>
      <w:marRight w:val="0"/>
      <w:marTop w:val="0"/>
      <w:marBottom w:val="0"/>
      <w:divBdr>
        <w:top w:val="none" w:sz="0" w:space="0" w:color="auto"/>
        <w:left w:val="none" w:sz="0" w:space="0" w:color="auto"/>
        <w:bottom w:val="none" w:sz="0" w:space="0" w:color="auto"/>
        <w:right w:val="none" w:sz="0" w:space="0" w:color="auto"/>
      </w:divBdr>
    </w:div>
    <w:div w:id="2104299058">
      <w:bodyDiv w:val="1"/>
      <w:marLeft w:val="0"/>
      <w:marRight w:val="0"/>
      <w:marTop w:val="0"/>
      <w:marBottom w:val="0"/>
      <w:divBdr>
        <w:top w:val="none" w:sz="0" w:space="0" w:color="auto"/>
        <w:left w:val="none" w:sz="0" w:space="0" w:color="auto"/>
        <w:bottom w:val="none" w:sz="0" w:space="0" w:color="auto"/>
        <w:right w:val="none" w:sz="0" w:space="0" w:color="auto"/>
      </w:divBdr>
    </w:div>
    <w:div w:id="2104494913">
      <w:bodyDiv w:val="1"/>
      <w:marLeft w:val="0"/>
      <w:marRight w:val="0"/>
      <w:marTop w:val="0"/>
      <w:marBottom w:val="0"/>
      <w:divBdr>
        <w:top w:val="none" w:sz="0" w:space="0" w:color="auto"/>
        <w:left w:val="none" w:sz="0" w:space="0" w:color="auto"/>
        <w:bottom w:val="none" w:sz="0" w:space="0" w:color="auto"/>
        <w:right w:val="none" w:sz="0" w:space="0" w:color="auto"/>
      </w:divBdr>
    </w:div>
    <w:div w:id="2104573386">
      <w:bodyDiv w:val="1"/>
      <w:marLeft w:val="0"/>
      <w:marRight w:val="0"/>
      <w:marTop w:val="0"/>
      <w:marBottom w:val="0"/>
      <w:divBdr>
        <w:top w:val="none" w:sz="0" w:space="0" w:color="auto"/>
        <w:left w:val="none" w:sz="0" w:space="0" w:color="auto"/>
        <w:bottom w:val="none" w:sz="0" w:space="0" w:color="auto"/>
        <w:right w:val="none" w:sz="0" w:space="0" w:color="auto"/>
      </w:divBdr>
    </w:div>
    <w:div w:id="2104643090">
      <w:bodyDiv w:val="1"/>
      <w:marLeft w:val="0"/>
      <w:marRight w:val="0"/>
      <w:marTop w:val="0"/>
      <w:marBottom w:val="0"/>
      <w:divBdr>
        <w:top w:val="none" w:sz="0" w:space="0" w:color="auto"/>
        <w:left w:val="none" w:sz="0" w:space="0" w:color="auto"/>
        <w:bottom w:val="none" w:sz="0" w:space="0" w:color="auto"/>
        <w:right w:val="none" w:sz="0" w:space="0" w:color="auto"/>
      </w:divBdr>
    </w:div>
    <w:div w:id="2104648179">
      <w:bodyDiv w:val="1"/>
      <w:marLeft w:val="0"/>
      <w:marRight w:val="0"/>
      <w:marTop w:val="0"/>
      <w:marBottom w:val="0"/>
      <w:divBdr>
        <w:top w:val="none" w:sz="0" w:space="0" w:color="auto"/>
        <w:left w:val="none" w:sz="0" w:space="0" w:color="auto"/>
        <w:bottom w:val="none" w:sz="0" w:space="0" w:color="auto"/>
        <w:right w:val="none" w:sz="0" w:space="0" w:color="auto"/>
      </w:divBdr>
    </w:div>
    <w:div w:id="2104763247">
      <w:bodyDiv w:val="1"/>
      <w:marLeft w:val="0"/>
      <w:marRight w:val="0"/>
      <w:marTop w:val="0"/>
      <w:marBottom w:val="0"/>
      <w:divBdr>
        <w:top w:val="none" w:sz="0" w:space="0" w:color="auto"/>
        <w:left w:val="none" w:sz="0" w:space="0" w:color="auto"/>
        <w:bottom w:val="none" w:sz="0" w:space="0" w:color="auto"/>
        <w:right w:val="none" w:sz="0" w:space="0" w:color="auto"/>
      </w:divBdr>
    </w:div>
    <w:div w:id="2104914841">
      <w:bodyDiv w:val="1"/>
      <w:marLeft w:val="0"/>
      <w:marRight w:val="0"/>
      <w:marTop w:val="0"/>
      <w:marBottom w:val="0"/>
      <w:divBdr>
        <w:top w:val="none" w:sz="0" w:space="0" w:color="auto"/>
        <w:left w:val="none" w:sz="0" w:space="0" w:color="auto"/>
        <w:bottom w:val="none" w:sz="0" w:space="0" w:color="auto"/>
        <w:right w:val="none" w:sz="0" w:space="0" w:color="auto"/>
      </w:divBdr>
    </w:div>
    <w:div w:id="2104959957">
      <w:bodyDiv w:val="1"/>
      <w:marLeft w:val="0"/>
      <w:marRight w:val="0"/>
      <w:marTop w:val="0"/>
      <w:marBottom w:val="0"/>
      <w:divBdr>
        <w:top w:val="none" w:sz="0" w:space="0" w:color="auto"/>
        <w:left w:val="none" w:sz="0" w:space="0" w:color="auto"/>
        <w:bottom w:val="none" w:sz="0" w:space="0" w:color="auto"/>
        <w:right w:val="none" w:sz="0" w:space="0" w:color="auto"/>
      </w:divBdr>
    </w:div>
    <w:div w:id="2105035541">
      <w:bodyDiv w:val="1"/>
      <w:marLeft w:val="0"/>
      <w:marRight w:val="0"/>
      <w:marTop w:val="0"/>
      <w:marBottom w:val="0"/>
      <w:divBdr>
        <w:top w:val="none" w:sz="0" w:space="0" w:color="auto"/>
        <w:left w:val="none" w:sz="0" w:space="0" w:color="auto"/>
        <w:bottom w:val="none" w:sz="0" w:space="0" w:color="auto"/>
        <w:right w:val="none" w:sz="0" w:space="0" w:color="auto"/>
      </w:divBdr>
    </w:div>
    <w:div w:id="2105220518">
      <w:bodyDiv w:val="1"/>
      <w:marLeft w:val="0"/>
      <w:marRight w:val="0"/>
      <w:marTop w:val="0"/>
      <w:marBottom w:val="0"/>
      <w:divBdr>
        <w:top w:val="none" w:sz="0" w:space="0" w:color="auto"/>
        <w:left w:val="none" w:sz="0" w:space="0" w:color="auto"/>
        <w:bottom w:val="none" w:sz="0" w:space="0" w:color="auto"/>
        <w:right w:val="none" w:sz="0" w:space="0" w:color="auto"/>
      </w:divBdr>
    </w:div>
    <w:div w:id="2105303076">
      <w:bodyDiv w:val="1"/>
      <w:marLeft w:val="0"/>
      <w:marRight w:val="0"/>
      <w:marTop w:val="0"/>
      <w:marBottom w:val="0"/>
      <w:divBdr>
        <w:top w:val="none" w:sz="0" w:space="0" w:color="auto"/>
        <w:left w:val="none" w:sz="0" w:space="0" w:color="auto"/>
        <w:bottom w:val="none" w:sz="0" w:space="0" w:color="auto"/>
        <w:right w:val="none" w:sz="0" w:space="0" w:color="auto"/>
      </w:divBdr>
    </w:div>
    <w:div w:id="2105416709">
      <w:bodyDiv w:val="1"/>
      <w:marLeft w:val="0"/>
      <w:marRight w:val="0"/>
      <w:marTop w:val="0"/>
      <w:marBottom w:val="0"/>
      <w:divBdr>
        <w:top w:val="none" w:sz="0" w:space="0" w:color="auto"/>
        <w:left w:val="none" w:sz="0" w:space="0" w:color="auto"/>
        <w:bottom w:val="none" w:sz="0" w:space="0" w:color="auto"/>
        <w:right w:val="none" w:sz="0" w:space="0" w:color="auto"/>
      </w:divBdr>
    </w:div>
    <w:div w:id="2105490964">
      <w:bodyDiv w:val="1"/>
      <w:marLeft w:val="0"/>
      <w:marRight w:val="0"/>
      <w:marTop w:val="0"/>
      <w:marBottom w:val="0"/>
      <w:divBdr>
        <w:top w:val="none" w:sz="0" w:space="0" w:color="auto"/>
        <w:left w:val="none" w:sz="0" w:space="0" w:color="auto"/>
        <w:bottom w:val="none" w:sz="0" w:space="0" w:color="auto"/>
        <w:right w:val="none" w:sz="0" w:space="0" w:color="auto"/>
      </w:divBdr>
    </w:div>
    <w:div w:id="2105806565">
      <w:bodyDiv w:val="1"/>
      <w:marLeft w:val="0"/>
      <w:marRight w:val="0"/>
      <w:marTop w:val="0"/>
      <w:marBottom w:val="0"/>
      <w:divBdr>
        <w:top w:val="none" w:sz="0" w:space="0" w:color="auto"/>
        <w:left w:val="none" w:sz="0" w:space="0" w:color="auto"/>
        <w:bottom w:val="none" w:sz="0" w:space="0" w:color="auto"/>
        <w:right w:val="none" w:sz="0" w:space="0" w:color="auto"/>
      </w:divBdr>
    </w:div>
    <w:div w:id="2105999472">
      <w:bodyDiv w:val="1"/>
      <w:marLeft w:val="0"/>
      <w:marRight w:val="0"/>
      <w:marTop w:val="0"/>
      <w:marBottom w:val="0"/>
      <w:divBdr>
        <w:top w:val="none" w:sz="0" w:space="0" w:color="auto"/>
        <w:left w:val="none" w:sz="0" w:space="0" w:color="auto"/>
        <w:bottom w:val="none" w:sz="0" w:space="0" w:color="auto"/>
        <w:right w:val="none" w:sz="0" w:space="0" w:color="auto"/>
      </w:divBdr>
    </w:div>
    <w:div w:id="2106074748">
      <w:bodyDiv w:val="1"/>
      <w:marLeft w:val="0"/>
      <w:marRight w:val="0"/>
      <w:marTop w:val="0"/>
      <w:marBottom w:val="0"/>
      <w:divBdr>
        <w:top w:val="none" w:sz="0" w:space="0" w:color="auto"/>
        <w:left w:val="none" w:sz="0" w:space="0" w:color="auto"/>
        <w:bottom w:val="none" w:sz="0" w:space="0" w:color="auto"/>
        <w:right w:val="none" w:sz="0" w:space="0" w:color="auto"/>
      </w:divBdr>
    </w:div>
    <w:div w:id="2106146636">
      <w:bodyDiv w:val="1"/>
      <w:marLeft w:val="0"/>
      <w:marRight w:val="0"/>
      <w:marTop w:val="0"/>
      <w:marBottom w:val="0"/>
      <w:divBdr>
        <w:top w:val="none" w:sz="0" w:space="0" w:color="auto"/>
        <w:left w:val="none" w:sz="0" w:space="0" w:color="auto"/>
        <w:bottom w:val="none" w:sz="0" w:space="0" w:color="auto"/>
        <w:right w:val="none" w:sz="0" w:space="0" w:color="auto"/>
      </w:divBdr>
    </w:div>
    <w:div w:id="2106219728">
      <w:bodyDiv w:val="1"/>
      <w:marLeft w:val="0"/>
      <w:marRight w:val="0"/>
      <w:marTop w:val="0"/>
      <w:marBottom w:val="0"/>
      <w:divBdr>
        <w:top w:val="none" w:sz="0" w:space="0" w:color="auto"/>
        <w:left w:val="none" w:sz="0" w:space="0" w:color="auto"/>
        <w:bottom w:val="none" w:sz="0" w:space="0" w:color="auto"/>
        <w:right w:val="none" w:sz="0" w:space="0" w:color="auto"/>
      </w:divBdr>
    </w:div>
    <w:div w:id="2106343834">
      <w:bodyDiv w:val="1"/>
      <w:marLeft w:val="0"/>
      <w:marRight w:val="0"/>
      <w:marTop w:val="0"/>
      <w:marBottom w:val="0"/>
      <w:divBdr>
        <w:top w:val="none" w:sz="0" w:space="0" w:color="auto"/>
        <w:left w:val="none" w:sz="0" w:space="0" w:color="auto"/>
        <w:bottom w:val="none" w:sz="0" w:space="0" w:color="auto"/>
        <w:right w:val="none" w:sz="0" w:space="0" w:color="auto"/>
      </w:divBdr>
    </w:div>
    <w:div w:id="2106345779">
      <w:bodyDiv w:val="1"/>
      <w:marLeft w:val="0"/>
      <w:marRight w:val="0"/>
      <w:marTop w:val="0"/>
      <w:marBottom w:val="0"/>
      <w:divBdr>
        <w:top w:val="none" w:sz="0" w:space="0" w:color="auto"/>
        <w:left w:val="none" w:sz="0" w:space="0" w:color="auto"/>
        <w:bottom w:val="none" w:sz="0" w:space="0" w:color="auto"/>
        <w:right w:val="none" w:sz="0" w:space="0" w:color="auto"/>
      </w:divBdr>
    </w:div>
    <w:div w:id="2106411941">
      <w:bodyDiv w:val="1"/>
      <w:marLeft w:val="0"/>
      <w:marRight w:val="0"/>
      <w:marTop w:val="0"/>
      <w:marBottom w:val="0"/>
      <w:divBdr>
        <w:top w:val="none" w:sz="0" w:space="0" w:color="auto"/>
        <w:left w:val="none" w:sz="0" w:space="0" w:color="auto"/>
        <w:bottom w:val="none" w:sz="0" w:space="0" w:color="auto"/>
        <w:right w:val="none" w:sz="0" w:space="0" w:color="auto"/>
      </w:divBdr>
    </w:div>
    <w:div w:id="2106412039">
      <w:bodyDiv w:val="1"/>
      <w:marLeft w:val="0"/>
      <w:marRight w:val="0"/>
      <w:marTop w:val="0"/>
      <w:marBottom w:val="0"/>
      <w:divBdr>
        <w:top w:val="none" w:sz="0" w:space="0" w:color="auto"/>
        <w:left w:val="none" w:sz="0" w:space="0" w:color="auto"/>
        <w:bottom w:val="none" w:sz="0" w:space="0" w:color="auto"/>
        <w:right w:val="none" w:sz="0" w:space="0" w:color="auto"/>
      </w:divBdr>
    </w:div>
    <w:div w:id="2106418214">
      <w:bodyDiv w:val="1"/>
      <w:marLeft w:val="0"/>
      <w:marRight w:val="0"/>
      <w:marTop w:val="0"/>
      <w:marBottom w:val="0"/>
      <w:divBdr>
        <w:top w:val="none" w:sz="0" w:space="0" w:color="auto"/>
        <w:left w:val="none" w:sz="0" w:space="0" w:color="auto"/>
        <w:bottom w:val="none" w:sz="0" w:space="0" w:color="auto"/>
        <w:right w:val="none" w:sz="0" w:space="0" w:color="auto"/>
      </w:divBdr>
    </w:div>
    <w:div w:id="2106532570">
      <w:bodyDiv w:val="1"/>
      <w:marLeft w:val="0"/>
      <w:marRight w:val="0"/>
      <w:marTop w:val="0"/>
      <w:marBottom w:val="0"/>
      <w:divBdr>
        <w:top w:val="none" w:sz="0" w:space="0" w:color="auto"/>
        <w:left w:val="none" w:sz="0" w:space="0" w:color="auto"/>
        <w:bottom w:val="none" w:sz="0" w:space="0" w:color="auto"/>
        <w:right w:val="none" w:sz="0" w:space="0" w:color="auto"/>
      </w:divBdr>
    </w:div>
    <w:div w:id="2106536626">
      <w:bodyDiv w:val="1"/>
      <w:marLeft w:val="0"/>
      <w:marRight w:val="0"/>
      <w:marTop w:val="0"/>
      <w:marBottom w:val="0"/>
      <w:divBdr>
        <w:top w:val="none" w:sz="0" w:space="0" w:color="auto"/>
        <w:left w:val="none" w:sz="0" w:space="0" w:color="auto"/>
        <w:bottom w:val="none" w:sz="0" w:space="0" w:color="auto"/>
        <w:right w:val="none" w:sz="0" w:space="0" w:color="auto"/>
      </w:divBdr>
    </w:div>
    <w:div w:id="2106682883">
      <w:bodyDiv w:val="1"/>
      <w:marLeft w:val="0"/>
      <w:marRight w:val="0"/>
      <w:marTop w:val="0"/>
      <w:marBottom w:val="0"/>
      <w:divBdr>
        <w:top w:val="none" w:sz="0" w:space="0" w:color="auto"/>
        <w:left w:val="none" w:sz="0" w:space="0" w:color="auto"/>
        <w:bottom w:val="none" w:sz="0" w:space="0" w:color="auto"/>
        <w:right w:val="none" w:sz="0" w:space="0" w:color="auto"/>
      </w:divBdr>
    </w:div>
    <w:div w:id="2106685399">
      <w:bodyDiv w:val="1"/>
      <w:marLeft w:val="0"/>
      <w:marRight w:val="0"/>
      <w:marTop w:val="0"/>
      <w:marBottom w:val="0"/>
      <w:divBdr>
        <w:top w:val="none" w:sz="0" w:space="0" w:color="auto"/>
        <w:left w:val="none" w:sz="0" w:space="0" w:color="auto"/>
        <w:bottom w:val="none" w:sz="0" w:space="0" w:color="auto"/>
        <w:right w:val="none" w:sz="0" w:space="0" w:color="auto"/>
      </w:divBdr>
    </w:div>
    <w:div w:id="2106727061">
      <w:bodyDiv w:val="1"/>
      <w:marLeft w:val="0"/>
      <w:marRight w:val="0"/>
      <w:marTop w:val="0"/>
      <w:marBottom w:val="0"/>
      <w:divBdr>
        <w:top w:val="none" w:sz="0" w:space="0" w:color="auto"/>
        <w:left w:val="none" w:sz="0" w:space="0" w:color="auto"/>
        <w:bottom w:val="none" w:sz="0" w:space="0" w:color="auto"/>
        <w:right w:val="none" w:sz="0" w:space="0" w:color="auto"/>
      </w:divBdr>
    </w:div>
    <w:div w:id="2106800775">
      <w:bodyDiv w:val="1"/>
      <w:marLeft w:val="0"/>
      <w:marRight w:val="0"/>
      <w:marTop w:val="0"/>
      <w:marBottom w:val="0"/>
      <w:divBdr>
        <w:top w:val="none" w:sz="0" w:space="0" w:color="auto"/>
        <w:left w:val="none" w:sz="0" w:space="0" w:color="auto"/>
        <w:bottom w:val="none" w:sz="0" w:space="0" w:color="auto"/>
        <w:right w:val="none" w:sz="0" w:space="0" w:color="auto"/>
      </w:divBdr>
    </w:div>
    <w:div w:id="2106802017">
      <w:bodyDiv w:val="1"/>
      <w:marLeft w:val="0"/>
      <w:marRight w:val="0"/>
      <w:marTop w:val="0"/>
      <w:marBottom w:val="0"/>
      <w:divBdr>
        <w:top w:val="none" w:sz="0" w:space="0" w:color="auto"/>
        <w:left w:val="none" w:sz="0" w:space="0" w:color="auto"/>
        <w:bottom w:val="none" w:sz="0" w:space="0" w:color="auto"/>
        <w:right w:val="none" w:sz="0" w:space="0" w:color="auto"/>
      </w:divBdr>
    </w:div>
    <w:div w:id="2106807040">
      <w:bodyDiv w:val="1"/>
      <w:marLeft w:val="0"/>
      <w:marRight w:val="0"/>
      <w:marTop w:val="0"/>
      <w:marBottom w:val="0"/>
      <w:divBdr>
        <w:top w:val="none" w:sz="0" w:space="0" w:color="auto"/>
        <w:left w:val="none" w:sz="0" w:space="0" w:color="auto"/>
        <w:bottom w:val="none" w:sz="0" w:space="0" w:color="auto"/>
        <w:right w:val="none" w:sz="0" w:space="0" w:color="auto"/>
      </w:divBdr>
    </w:div>
    <w:div w:id="2106921905">
      <w:bodyDiv w:val="1"/>
      <w:marLeft w:val="0"/>
      <w:marRight w:val="0"/>
      <w:marTop w:val="0"/>
      <w:marBottom w:val="0"/>
      <w:divBdr>
        <w:top w:val="none" w:sz="0" w:space="0" w:color="auto"/>
        <w:left w:val="none" w:sz="0" w:space="0" w:color="auto"/>
        <w:bottom w:val="none" w:sz="0" w:space="0" w:color="auto"/>
        <w:right w:val="none" w:sz="0" w:space="0" w:color="auto"/>
      </w:divBdr>
    </w:div>
    <w:div w:id="2106999808">
      <w:bodyDiv w:val="1"/>
      <w:marLeft w:val="0"/>
      <w:marRight w:val="0"/>
      <w:marTop w:val="0"/>
      <w:marBottom w:val="0"/>
      <w:divBdr>
        <w:top w:val="none" w:sz="0" w:space="0" w:color="auto"/>
        <w:left w:val="none" w:sz="0" w:space="0" w:color="auto"/>
        <w:bottom w:val="none" w:sz="0" w:space="0" w:color="auto"/>
        <w:right w:val="none" w:sz="0" w:space="0" w:color="auto"/>
      </w:divBdr>
    </w:div>
    <w:div w:id="2107068675">
      <w:bodyDiv w:val="1"/>
      <w:marLeft w:val="0"/>
      <w:marRight w:val="0"/>
      <w:marTop w:val="0"/>
      <w:marBottom w:val="0"/>
      <w:divBdr>
        <w:top w:val="none" w:sz="0" w:space="0" w:color="auto"/>
        <w:left w:val="none" w:sz="0" w:space="0" w:color="auto"/>
        <w:bottom w:val="none" w:sz="0" w:space="0" w:color="auto"/>
        <w:right w:val="none" w:sz="0" w:space="0" w:color="auto"/>
      </w:divBdr>
    </w:div>
    <w:div w:id="2107074325">
      <w:bodyDiv w:val="1"/>
      <w:marLeft w:val="0"/>
      <w:marRight w:val="0"/>
      <w:marTop w:val="0"/>
      <w:marBottom w:val="0"/>
      <w:divBdr>
        <w:top w:val="none" w:sz="0" w:space="0" w:color="auto"/>
        <w:left w:val="none" w:sz="0" w:space="0" w:color="auto"/>
        <w:bottom w:val="none" w:sz="0" w:space="0" w:color="auto"/>
        <w:right w:val="none" w:sz="0" w:space="0" w:color="auto"/>
      </w:divBdr>
    </w:div>
    <w:div w:id="2107074988">
      <w:bodyDiv w:val="1"/>
      <w:marLeft w:val="0"/>
      <w:marRight w:val="0"/>
      <w:marTop w:val="0"/>
      <w:marBottom w:val="0"/>
      <w:divBdr>
        <w:top w:val="none" w:sz="0" w:space="0" w:color="auto"/>
        <w:left w:val="none" w:sz="0" w:space="0" w:color="auto"/>
        <w:bottom w:val="none" w:sz="0" w:space="0" w:color="auto"/>
        <w:right w:val="none" w:sz="0" w:space="0" w:color="auto"/>
      </w:divBdr>
    </w:div>
    <w:div w:id="2107263037">
      <w:bodyDiv w:val="1"/>
      <w:marLeft w:val="0"/>
      <w:marRight w:val="0"/>
      <w:marTop w:val="0"/>
      <w:marBottom w:val="0"/>
      <w:divBdr>
        <w:top w:val="none" w:sz="0" w:space="0" w:color="auto"/>
        <w:left w:val="none" w:sz="0" w:space="0" w:color="auto"/>
        <w:bottom w:val="none" w:sz="0" w:space="0" w:color="auto"/>
        <w:right w:val="none" w:sz="0" w:space="0" w:color="auto"/>
      </w:divBdr>
    </w:div>
    <w:div w:id="2107311075">
      <w:bodyDiv w:val="1"/>
      <w:marLeft w:val="0"/>
      <w:marRight w:val="0"/>
      <w:marTop w:val="0"/>
      <w:marBottom w:val="0"/>
      <w:divBdr>
        <w:top w:val="none" w:sz="0" w:space="0" w:color="auto"/>
        <w:left w:val="none" w:sz="0" w:space="0" w:color="auto"/>
        <w:bottom w:val="none" w:sz="0" w:space="0" w:color="auto"/>
        <w:right w:val="none" w:sz="0" w:space="0" w:color="auto"/>
      </w:divBdr>
    </w:div>
    <w:div w:id="2107386608">
      <w:bodyDiv w:val="1"/>
      <w:marLeft w:val="0"/>
      <w:marRight w:val="0"/>
      <w:marTop w:val="0"/>
      <w:marBottom w:val="0"/>
      <w:divBdr>
        <w:top w:val="none" w:sz="0" w:space="0" w:color="auto"/>
        <w:left w:val="none" w:sz="0" w:space="0" w:color="auto"/>
        <w:bottom w:val="none" w:sz="0" w:space="0" w:color="auto"/>
        <w:right w:val="none" w:sz="0" w:space="0" w:color="auto"/>
      </w:divBdr>
    </w:div>
    <w:div w:id="2107461093">
      <w:bodyDiv w:val="1"/>
      <w:marLeft w:val="0"/>
      <w:marRight w:val="0"/>
      <w:marTop w:val="0"/>
      <w:marBottom w:val="0"/>
      <w:divBdr>
        <w:top w:val="none" w:sz="0" w:space="0" w:color="auto"/>
        <w:left w:val="none" w:sz="0" w:space="0" w:color="auto"/>
        <w:bottom w:val="none" w:sz="0" w:space="0" w:color="auto"/>
        <w:right w:val="none" w:sz="0" w:space="0" w:color="auto"/>
      </w:divBdr>
    </w:div>
    <w:div w:id="2107537155">
      <w:bodyDiv w:val="1"/>
      <w:marLeft w:val="0"/>
      <w:marRight w:val="0"/>
      <w:marTop w:val="0"/>
      <w:marBottom w:val="0"/>
      <w:divBdr>
        <w:top w:val="none" w:sz="0" w:space="0" w:color="auto"/>
        <w:left w:val="none" w:sz="0" w:space="0" w:color="auto"/>
        <w:bottom w:val="none" w:sz="0" w:space="0" w:color="auto"/>
        <w:right w:val="none" w:sz="0" w:space="0" w:color="auto"/>
      </w:divBdr>
    </w:div>
    <w:div w:id="2107722402">
      <w:bodyDiv w:val="1"/>
      <w:marLeft w:val="0"/>
      <w:marRight w:val="0"/>
      <w:marTop w:val="0"/>
      <w:marBottom w:val="0"/>
      <w:divBdr>
        <w:top w:val="none" w:sz="0" w:space="0" w:color="auto"/>
        <w:left w:val="none" w:sz="0" w:space="0" w:color="auto"/>
        <w:bottom w:val="none" w:sz="0" w:space="0" w:color="auto"/>
        <w:right w:val="none" w:sz="0" w:space="0" w:color="auto"/>
      </w:divBdr>
    </w:div>
    <w:div w:id="2107728874">
      <w:bodyDiv w:val="1"/>
      <w:marLeft w:val="0"/>
      <w:marRight w:val="0"/>
      <w:marTop w:val="0"/>
      <w:marBottom w:val="0"/>
      <w:divBdr>
        <w:top w:val="none" w:sz="0" w:space="0" w:color="auto"/>
        <w:left w:val="none" w:sz="0" w:space="0" w:color="auto"/>
        <w:bottom w:val="none" w:sz="0" w:space="0" w:color="auto"/>
        <w:right w:val="none" w:sz="0" w:space="0" w:color="auto"/>
      </w:divBdr>
    </w:div>
    <w:div w:id="2107800855">
      <w:bodyDiv w:val="1"/>
      <w:marLeft w:val="0"/>
      <w:marRight w:val="0"/>
      <w:marTop w:val="0"/>
      <w:marBottom w:val="0"/>
      <w:divBdr>
        <w:top w:val="none" w:sz="0" w:space="0" w:color="auto"/>
        <w:left w:val="none" w:sz="0" w:space="0" w:color="auto"/>
        <w:bottom w:val="none" w:sz="0" w:space="0" w:color="auto"/>
        <w:right w:val="none" w:sz="0" w:space="0" w:color="auto"/>
      </w:divBdr>
    </w:div>
    <w:div w:id="2107801047">
      <w:bodyDiv w:val="1"/>
      <w:marLeft w:val="0"/>
      <w:marRight w:val="0"/>
      <w:marTop w:val="0"/>
      <w:marBottom w:val="0"/>
      <w:divBdr>
        <w:top w:val="none" w:sz="0" w:space="0" w:color="auto"/>
        <w:left w:val="none" w:sz="0" w:space="0" w:color="auto"/>
        <w:bottom w:val="none" w:sz="0" w:space="0" w:color="auto"/>
        <w:right w:val="none" w:sz="0" w:space="0" w:color="auto"/>
      </w:divBdr>
    </w:div>
    <w:div w:id="2107801580">
      <w:bodyDiv w:val="1"/>
      <w:marLeft w:val="0"/>
      <w:marRight w:val="0"/>
      <w:marTop w:val="0"/>
      <w:marBottom w:val="0"/>
      <w:divBdr>
        <w:top w:val="none" w:sz="0" w:space="0" w:color="auto"/>
        <w:left w:val="none" w:sz="0" w:space="0" w:color="auto"/>
        <w:bottom w:val="none" w:sz="0" w:space="0" w:color="auto"/>
        <w:right w:val="none" w:sz="0" w:space="0" w:color="auto"/>
      </w:divBdr>
    </w:div>
    <w:div w:id="2107849830">
      <w:bodyDiv w:val="1"/>
      <w:marLeft w:val="0"/>
      <w:marRight w:val="0"/>
      <w:marTop w:val="0"/>
      <w:marBottom w:val="0"/>
      <w:divBdr>
        <w:top w:val="none" w:sz="0" w:space="0" w:color="auto"/>
        <w:left w:val="none" w:sz="0" w:space="0" w:color="auto"/>
        <w:bottom w:val="none" w:sz="0" w:space="0" w:color="auto"/>
        <w:right w:val="none" w:sz="0" w:space="0" w:color="auto"/>
      </w:divBdr>
    </w:div>
    <w:div w:id="2108035102">
      <w:bodyDiv w:val="1"/>
      <w:marLeft w:val="0"/>
      <w:marRight w:val="0"/>
      <w:marTop w:val="0"/>
      <w:marBottom w:val="0"/>
      <w:divBdr>
        <w:top w:val="none" w:sz="0" w:space="0" w:color="auto"/>
        <w:left w:val="none" w:sz="0" w:space="0" w:color="auto"/>
        <w:bottom w:val="none" w:sz="0" w:space="0" w:color="auto"/>
        <w:right w:val="none" w:sz="0" w:space="0" w:color="auto"/>
      </w:divBdr>
    </w:div>
    <w:div w:id="2108036595">
      <w:bodyDiv w:val="1"/>
      <w:marLeft w:val="0"/>
      <w:marRight w:val="0"/>
      <w:marTop w:val="0"/>
      <w:marBottom w:val="0"/>
      <w:divBdr>
        <w:top w:val="none" w:sz="0" w:space="0" w:color="auto"/>
        <w:left w:val="none" w:sz="0" w:space="0" w:color="auto"/>
        <w:bottom w:val="none" w:sz="0" w:space="0" w:color="auto"/>
        <w:right w:val="none" w:sz="0" w:space="0" w:color="auto"/>
      </w:divBdr>
    </w:div>
    <w:div w:id="2108309130">
      <w:bodyDiv w:val="1"/>
      <w:marLeft w:val="0"/>
      <w:marRight w:val="0"/>
      <w:marTop w:val="0"/>
      <w:marBottom w:val="0"/>
      <w:divBdr>
        <w:top w:val="none" w:sz="0" w:space="0" w:color="auto"/>
        <w:left w:val="none" w:sz="0" w:space="0" w:color="auto"/>
        <w:bottom w:val="none" w:sz="0" w:space="0" w:color="auto"/>
        <w:right w:val="none" w:sz="0" w:space="0" w:color="auto"/>
      </w:divBdr>
    </w:div>
    <w:div w:id="2108310253">
      <w:bodyDiv w:val="1"/>
      <w:marLeft w:val="0"/>
      <w:marRight w:val="0"/>
      <w:marTop w:val="0"/>
      <w:marBottom w:val="0"/>
      <w:divBdr>
        <w:top w:val="none" w:sz="0" w:space="0" w:color="auto"/>
        <w:left w:val="none" w:sz="0" w:space="0" w:color="auto"/>
        <w:bottom w:val="none" w:sz="0" w:space="0" w:color="auto"/>
        <w:right w:val="none" w:sz="0" w:space="0" w:color="auto"/>
      </w:divBdr>
    </w:div>
    <w:div w:id="2108382592">
      <w:bodyDiv w:val="1"/>
      <w:marLeft w:val="0"/>
      <w:marRight w:val="0"/>
      <w:marTop w:val="0"/>
      <w:marBottom w:val="0"/>
      <w:divBdr>
        <w:top w:val="none" w:sz="0" w:space="0" w:color="auto"/>
        <w:left w:val="none" w:sz="0" w:space="0" w:color="auto"/>
        <w:bottom w:val="none" w:sz="0" w:space="0" w:color="auto"/>
        <w:right w:val="none" w:sz="0" w:space="0" w:color="auto"/>
      </w:divBdr>
    </w:div>
    <w:div w:id="2108504423">
      <w:bodyDiv w:val="1"/>
      <w:marLeft w:val="0"/>
      <w:marRight w:val="0"/>
      <w:marTop w:val="0"/>
      <w:marBottom w:val="0"/>
      <w:divBdr>
        <w:top w:val="none" w:sz="0" w:space="0" w:color="auto"/>
        <w:left w:val="none" w:sz="0" w:space="0" w:color="auto"/>
        <w:bottom w:val="none" w:sz="0" w:space="0" w:color="auto"/>
        <w:right w:val="none" w:sz="0" w:space="0" w:color="auto"/>
      </w:divBdr>
    </w:div>
    <w:div w:id="2108649620">
      <w:bodyDiv w:val="1"/>
      <w:marLeft w:val="0"/>
      <w:marRight w:val="0"/>
      <w:marTop w:val="0"/>
      <w:marBottom w:val="0"/>
      <w:divBdr>
        <w:top w:val="none" w:sz="0" w:space="0" w:color="auto"/>
        <w:left w:val="none" w:sz="0" w:space="0" w:color="auto"/>
        <w:bottom w:val="none" w:sz="0" w:space="0" w:color="auto"/>
        <w:right w:val="none" w:sz="0" w:space="0" w:color="auto"/>
      </w:divBdr>
    </w:div>
    <w:div w:id="2108689990">
      <w:bodyDiv w:val="1"/>
      <w:marLeft w:val="0"/>
      <w:marRight w:val="0"/>
      <w:marTop w:val="0"/>
      <w:marBottom w:val="0"/>
      <w:divBdr>
        <w:top w:val="none" w:sz="0" w:space="0" w:color="auto"/>
        <w:left w:val="none" w:sz="0" w:space="0" w:color="auto"/>
        <w:bottom w:val="none" w:sz="0" w:space="0" w:color="auto"/>
        <w:right w:val="none" w:sz="0" w:space="0" w:color="auto"/>
      </w:divBdr>
    </w:div>
    <w:div w:id="2108691684">
      <w:bodyDiv w:val="1"/>
      <w:marLeft w:val="0"/>
      <w:marRight w:val="0"/>
      <w:marTop w:val="0"/>
      <w:marBottom w:val="0"/>
      <w:divBdr>
        <w:top w:val="none" w:sz="0" w:space="0" w:color="auto"/>
        <w:left w:val="none" w:sz="0" w:space="0" w:color="auto"/>
        <w:bottom w:val="none" w:sz="0" w:space="0" w:color="auto"/>
        <w:right w:val="none" w:sz="0" w:space="0" w:color="auto"/>
      </w:divBdr>
    </w:div>
    <w:div w:id="2108697674">
      <w:bodyDiv w:val="1"/>
      <w:marLeft w:val="0"/>
      <w:marRight w:val="0"/>
      <w:marTop w:val="0"/>
      <w:marBottom w:val="0"/>
      <w:divBdr>
        <w:top w:val="none" w:sz="0" w:space="0" w:color="auto"/>
        <w:left w:val="none" w:sz="0" w:space="0" w:color="auto"/>
        <w:bottom w:val="none" w:sz="0" w:space="0" w:color="auto"/>
        <w:right w:val="none" w:sz="0" w:space="0" w:color="auto"/>
      </w:divBdr>
    </w:div>
    <w:div w:id="2108767324">
      <w:bodyDiv w:val="1"/>
      <w:marLeft w:val="0"/>
      <w:marRight w:val="0"/>
      <w:marTop w:val="0"/>
      <w:marBottom w:val="0"/>
      <w:divBdr>
        <w:top w:val="none" w:sz="0" w:space="0" w:color="auto"/>
        <w:left w:val="none" w:sz="0" w:space="0" w:color="auto"/>
        <w:bottom w:val="none" w:sz="0" w:space="0" w:color="auto"/>
        <w:right w:val="none" w:sz="0" w:space="0" w:color="auto"/>
      </w:divBdr>
    </w:div>
    <w:div w:id="2108961517">
      <w:bodyDiv w:val="1"/>
      <w:marLeft w:val="0"/>
      <w:marRight w:val="0"/>
      <w:marTop w:val="0"/>
      <w:marBottom w:val="0"/>
      <w:divBdr>
        <w:top w:val="none" w:sz="0" w:space="0" w:color="auto"/>
        <w:left w:val="none" w:sz="0" w:space="0" w:color="auto"/>
        <w:bottom w:val="none" w:sz="0" w:space="0" w:color="auto"/>
        <w:right w:val="none" w:sz="0" w:space="0" w:color="auto"/>
      </w:divBdr>
    </w:div>
    <w:div w:id="2108965048">
      <w:bodyDiv w:val="1"/>
      <w:marLeft w:val="0"/>
      <w:marRight w:val="0"/>
      <w:marTop w:val="0"/>
      <w:marBottom w:val="0"/>
      <w:divBdr>
        <w:top w:val="none" w:sz="0" w:space="0" w:color="auto"/>
        <w:left w:val="none" w:sz="0" w:space="0" w:color="auto"/>
        <w:bottom w:val="none" w:sz="0" w:space="0" w:color="auto"/>
        <w:right w:val="none" w:sz="0" w:space="0" w:color="auto"/>
      </w:divBdr>
    </w:div>
    <w:div w:id="2109082744">
      <w:bodyDiv w:val="1"/>
      <w:marLeft w:val="0"/>
      <w:marRight w:val="0"/>
      <w:marTop w:val="0"/>
      <w:marBottom w:val="0"/>
      <w:divBdr>
        <w:top w:val="none" w:sz="0" w:space="0" w:color="auto"/>
        <w:left w:val="none" w:sz="0" w:space="0" w:color="auto"/>
        <w:bottom w:val="none" w:sz="0" w:space="0" w:color="auto"/>
        <w:right w:val="none" w:sz="0" w:space="0" w:color="auto"/>
      </w:divBdr>
    </w:div>
    <w:div w:id="2109278471">
      <w:bodyDiv w:val="1"/>
      <w:marLeft w:val="0"/>
      <w:marRight w:val="0"/>
      <w:marTop w:val="0"/>
      <w:marBottom w:val="0"/>
      <w:divBdr>
        <w:top w:val="none" w:sz="0" w:space="0" w:color="auto"/>
        <w:left w:val="none" w:sz="0" w:space="0" w:color="auto"/>
        <w:bottom w:val="none" w:sz="0" w:space="0" w:color="auto"/>
        <w:right w:val="none" w:sz="0" w:space="0" w:color="auto"/>
      </w:divBdr>
    </w:div>
    <w:div w:id="2109348690">
      <w:bodyDiv w:val="1"/>
      <w:marLeft w:val="0"/>
      <w:marRight w:val="0"/>
      <w:marTop w:val="0"/>
      <w:marBottom w:val="0"/>
      <w:divBdr>
        <w:top w:val="none" w:sz="0" w:space="0" w:color="auto"/>
        <w:left w:val="none" w:sz="0" w:space="0" w:color="auto"/>
        <w:bottom w:val="none" w:sz="0" w:space="0" w:color="auto"/>
        <w:right w:val="none" w:sz="0" w:space="0" w:color="auto"/>
      </w:divBdr>
    </w:div>
    <w:div w:id="2109539120">
      <w:bodyDiv w:val="1"/>
      <w:marLeft w:val="0"/>
      <w:marRight w:val="0"/>
      <w:marTop w:val="0"/>
      <w:marBottom w:val="0"/>
      <w:divBdr>
        <w:top w:val="none" w:sz="0" w:space="0" w:color="auto"/>
        <w:left w:val="none" w:sz="0" w:space="0" w:color="auto"/>
        <w:bottom w:val="none" w:sz="0" w:space="0" w:color="auto"/>
        <w:right w:val="none" w:sz="0" w:space="0" w:color="auto"/>
      </w:divBdr>
    </w:div>
    <w:div w:id="2109696088">
      <w:bodyDiv w:val="1"/>
      <w:marLeft w:val="0"/>
      <w:marRight w:val="0"/>
      <w:marTop w:val="0"/>
      <w:marBottom w:val="0"/>
      <w:divBdr>
        <w:top w:val="none" w:sz="0" w:space="0" w:color="auto"/>
        <w:left w:val="none" w:sz="0" w:space="0" w:color="auto"/>
        <w:bottom w:val="none" w:sz="0" w:space="0" w:color="auto"/>
        <w:right w:val="none" w:sz="0" w:space="0" w:color="auto"/>
      </w:divBdr>
    </w:div>
    <w:div w:id="2109739281">
      <w:bodyDiv w:val="1"/>
      <w:marLeft w:val="0"/>
      <w:marRight w:val="0"/>
      <w:marTop w:val="0"/>
      <w:marBottom w:val="0"/>
      <w:divBdr>
        <w:top w:val="none" w:sz="0" w:space="0" w:color="auto"/>
        <w:left w:val="none" w:sz="0" w:space="0" w:color="auto"/>
        <w:bottom w:val="none" w:sz="0" w:space="0" w:color="auto"/>
        <w:right w:val="none" w:sz="0" w:space="0" w:color="auto"/>
      </w:divBdr>
    </w:div>
    <w:div w:id="2110154136">
      <w:bodyDiv w:val="1"/>
      <w:marLeft w:val="0"/>
      <w:marRight w:val="0"/>
      <w:marTop w:val="0"/>
      <w:marBottom w:val="0"/>
      <w:divBdr>
        <w:top w:val="none" w:sz="0" w:space="0" w:color="auto"/>
        <w:left w:val="none" w:sz="0" w:space="0" w:color="auto"/>
        <w:bottom w:val="none" w:sz="0" w:space="0" w:color="auto"/>
        <w:right w:val="none" w:sz="0" w:space="0" w:color="auto"/>
      </w:divBdr>
    </w:div>
    <w:div w:id="2110157168">
      <w:bodyDiv w:val="1"/>
      <w:marLeft w:val="0"/>
      <w:marRight w:val="0"/>
      <w:marTop w:val="0"/>
      <w:marBottom w:val="0"/>
      <w:divBdr>
        <w:top w:val="none" w:sz="0" w:space="0" w:color="auto"/>
        <w:left w:val="none" w:sz="0" w:space="0" w:color="auto"/>
        <w:bottom w:val="none" w:sz="0" w:space="0" w:color="auto"/>
        <w:right w:val="none" w:sz="0" w:space="0" w:color="auto"/>
      </w:divBdr>
    </w:div>
    <w:div w:id="2110347355">
      <w:bodyDiv w:val="1"/>
      <w:marLeft w:val="0"/>
      <w:marRight w:val="0"/>
      <w:marTop w:val="0"/>
      <w:marBottom w:val="0"/>
      <w:divBdr>
        <w:top w:val="none" w:sz="0" w:space="0" w:color="auto"/>
        <w:left w:val="none" w:sz="0" w:space="0" w:color="auto"/>
        <w:bottom w:val="none" w:sz="0" w:space="0" w:color="auto"/>
        <w:right w:val="none" w:sz="0" w:space="0" w:color="auto"/>
      </w:divBdr>
    </w:div>
    <w:div w:id="2110391389">
      <w:bodyDiv w:val="1"/>
      <w:marLeft w:val="0"/>
      <w:marRight w:val="0"/>
      <w:marTop w:val="0"/>
      <w:marBottom w:val="0"/>
      <w:divBdr>
        <w:top w:val="none" w:sz="0" w:space="0" w:color="auto"/>
        <w:left w:val="none" w:sz="0" w:space="0" w:color="auto"/>
        <w:bottom w:val="none" w:sz="0" w:space="0" w:color="auto"/>
        <w:right w:val="none" w:sz="0" w:space="0" w:color="auto"/>
      </w:divBdr>
    </w:div>
    <w:div w:id="2110394854">
      <w:bodyDiv w:val="1"/>
      <w:marLeft w:val="0"/>
      <w:marRight w:val="0"/>
      <w:marTop w:val="0"/>
      <w:marBottom w:val="0"/>
      <w:divBdr>
        <w:top w:val="none" w:sz="0" w:space="0" w:color="auto"/>
        <w:left w:val="none" w:sz="0" w:space="0" w:color="auto"/>
        <w:bottom w:val="none" w:sz="0" w:space="0" w:color="auto"/>
        <w:right w:val="none" w:sz="0" w:space="0" w:color="auto"/>
      </w:divBdr>
    </w:div>
    <w:div w:id="2110814894">
      <w:bodyDiv w:val="1"/>
      <w:marLeft w:val="0"/>
      <w:marRight w:val="0"/>
      <w:marTop w:val="0"/>
      <w:marBottom w:val="0"/>
      <w:divBdr>
        <w:top w:val="none" w:sz="0" w:space="0" w:color="auto"/>
        <w:left w:val="none" w:sz="0" w:space="0" w:color="auto"/>
        <w:bottom w:val="none" w:sz="0" w:space="0" w:color="auto"/>
        <w:right w:val="none" w:sz="0" w:space="0" w:color="auto"/>
      </w:divBdr>
    </w:div>
    <w:div w:id="2111045663">
      <w:bodyDiv w:val="1"/>
      <w:marLeft w:val="0"/>
      <w:marRight w:val="0"/>
      <w:marTop w:val="0"/>
      <w:marBottom w:val="0"/>
      <w:divBdr>
        <w:top w:val="none" w:sz="0" w:space="0" w:color="auto"/>
        <w:left w:val="none" w:sz="0" w:space="0" w:color="auto"/>
        <w:bottom w:val="none" w:sz="0" w:space="0" w:color="auto"/>
        <w:right w:val="none" w:sz="0" w:space="0" w:color="auto"/>
      </w:divBdr>
    </w:div>
    <w:div w:id="2111047314">
      <w:bodyDiv w:val="1"/>
      <w:marLeft w:val="0"/>
      <w:marRight w:val="0"/>
      <w:marTop w:val="0"/>
      <w:marBottom w:val="0"/>
      <w:divBdr>
        <w:top w:val="none" w:sz="0" w:space="0" w:color="auto"/>
        <w:left w:val="none" w:sz="0" w:space="0" w:color="auto"/>
        <w:bottom w:val="none" w:sz="0" w:space="0" w:color="auto"/>
        <w:right w:val="none" w:sz="0" w:space="0" w:color="auto"/>
      </w:divBdr>
    </w:div>
    <w:div w:id="2111118181">
      <w:bodyDiv w:val="1"/>
      <w:marLeft w:val="0"/>
      <w:marRight w:val="0"/>
      <w:marTop w:val="0"/>
      <w:marBottom w:val="0"/>
      <w:divBdr>
        <w:top w:val="none" w:sz="0" w:space="0" w:color="auto"/>
        <w:left w:val="none" w:sz="0" w:space="0" w:color="auto"/>
        <w:bottom w:val="none" w:sz="0" w:space="0" w:color="auto"/>
        <w:right w:val="none" w:sz="0" w:space="0" w:color="auto"/>
      </w:divBdr>
    </w:div>
    <w:div w:id="2111123365">
      <w:bodyDiv w:val="1"/>
      <w:marLeft w:val="0"/>
      <w:marRight w:val="0"/>
      <w:marTop w:val="0"/>
      <w:marBottom w:val="0"/>
      <w:divBdr>
        <w:top w:val="none" w:sz="0" w:space="0" w:color="auto"/>
        <w:left w:val="none" w:sz="0" w:space="0" w:color="auto"/>
        <w:bottom w:val="none" w:sz="0" w:space="0" w:color="auto"/>
        <w:right w:val="none" w:sz="0" w:space="0" w:color="auto"/>
      </w:divBdr>
    </w:div>
    <w:div w:id="2111192750">
      <w:bodyDiv w:val="1"/>
      <w:marLeft w:val="0"/>
      <w:marRight w:val="0"/>
      <w:marTop w:val="0"/>
      <w:marBottom w:val="0"/>
      <w:divBdr>
        <w:top w:val="none" w:sz="0" w:space="0" w:color="auto"/>
        <w:left w:val="none" w:sz="0" w:space="0" w:color="auto"/>
        <w:bottom w:val="none" w:sz="0" w:space="0" w:color="auto"/>
        <w:right w:val="none" w:sz="0" w:space="0" w:color="auto"/>
      </w:divBdr>
    </w:div>
    <w:div w:id="2111775836">
      <w:bodyDiv w:val="1"/>
      <w:marLeft w:val="0"/>
      <w:marRight w:val="0"/>
      <w:marTop w:val="0"/>
      <w:marBottom w:val="0"/>
      <w:divBdr>
        <w:top w:val="none" w:sz="0" w:space="0" w:color="auto"/>
        <w:left w:val="none" w:sz="0" w:space="0" w:color="auto"/>
        <w:bottom w:val="none" w:sz="0" w:space="0" w:color="auto"/>
        <w:right w:val="none" w:sz="0" w:space="0" w:color="auto"/>
      </w:divBdr>
    </w:div>
    <w:div w:id="2111776636">
      <w:bodyDiv w:val="1"/>
      <w:marLeft w:val="0"/>
      <w:marRight w:val="0"/>
      <w:marTop w:val="0"/>
      <w:marBottom w:val="0"/>
      <w:divBdr>
        <w:top w:val="none" w:sz="0" w:space="0" w:color="auto"/>
        <w:left w:val="none" w:sz="0" w:space="0" w:color="auto"/>
        <w:bottom w:val="none" w:sz="0" w:space="0" w:color="auto"/>
        <w:right w:val="none" w:sz="0" w:space="0" w:color="auto"/>
      </w:divBdr>
    </w:div>
    <w:div w:id="2112045443">
      <w:bodyDiv w:val="1"/>
      <w:marLeft w:val="0"/>
      <w:marRight w:val="0"/>
      <w:marTop w:val="0"/>
      <w:marBottom w:val="0"/>
      <w:divBdr>
        <w:top w:val="none" w:sz="0" w:space="0" w:color="auto"/>
        <w:left w:val="none" w:sz="0" w:space="0" w:color="auto"/>
        <w:bottom w:val="none" w:sz="0" w:space="0" w:color="auto"/>
        <w:right w:val="none" w:sz="0" w:space="0" w:color="auto"/>
      </w:divBdr>
    </w:div>
    <w:div w:id="2112166310">
      <w:bodyDiv w:val="1"/>
      <w:marLeft w:val="0"/>
      <w:marRight w:val="0"/>
      <w:marTop w:val="0"/>
      <w:marBottom w:val="0"/>
      <w:divBdr>
        <w:top w:val="none" w:sz="0" w:space="0" w:color="auto"/>
        <w:left w:val="none" w:sz="0" w:space="0" w:color="auto"/>
        <w:bottom w:val="none" w:sz="0" w:space="0" w:color="auto"/>
        <w:right w:val="none" w:sz="0" w:space="0" w:color="auto"/>
      </w:divBdr>
    </w:div>
    <w:div w:id="2112315914">
      <w:bodyDiv w:val="1"/>
      <w:marLeft w:val="0"/>
      <w:marRight w:val="0"/>
      <w:marTop w:val="0"/>
      <w:marBottom w:val="0"/>
      <w:divBdr>
        <w:top w:val="none" w:sz="0" w:space="0" w:color="auto"/>
        <w:left w:val="none" w:sz="0" w:space="0" w:color="auto"/>
        <w:bottom w:val="none" w:sz="0" w:space="0" w:color="auto"/>
        <w:right w:val="none" w:sz="0" w:space="0" w:color="auto"/>
      </w:divBdr>
    </w:div>
    <w:div w:id="2112512125">
      <w:bodyDiv w:val="1"/>
      <w:marLeft w:val="0"/>
      <w:marRight w:val="0"/>
      <w:marTop w:val="0"/>
      <w:marBottom w:val="0"/>
      <w:divBdr>
        <w:top w:val="none" w:sz="0" w:space="0" w:color="auto"/>
        <w:left w:val="none" w:sz="0" w:space="0" w:color="auto"/>
        <w:bottom w:val="none" w:sz="0" w:space="0" w:color="auto"/>
        <w:right w:val="none" w:sz="0" w:space="0" w:color="auto"/>
      </w:divBdr>
    </w:div>
    <w:div w:id="2112704850">
      <w:bodyDiv w:val="1"/>
      <w:marLeft w:val="0"/>
      <w:marRight w:val="0"/>
      <w:marTop w:val="0"/>
      <w:marBottom w:val="0"/>
      <w:divBdr>
        <w:top w:val="none" w:sz="0" w:space="0" w:color="auto"/>
        <w:left w:val="none" w:sz="0" w:space="0" w:color="auto"/>
        <w:bottom w:val="none" w:sz="0" w:space="0" w:color="auto"/>
        <w:right w:val="none" w:sz="0" w:space="0" w:color="auto"/>
      </w:divBdr>
    </w:div>
    <w:div w:id="2112816246">
      <w:bodyDiv w:val="1"/>
      <w:marLeft w:val="0"/>
      <w:marRight w:val="0"/>
      <w:marTop w:val="0"/>
      <w:marBottom w:val="0"/>
      <w:divBdr>
        <w:top w:val="none" w:sz="0" w:space="0" w:color="auto"/>
        <w:left w:val="none" w:sz="0" w:space="0" w:color="auto"/>
        <w:bottom w:val="none" w:sz="0" w:space="0" w:color="auto"/>
        <w:right w:val="none" w:sz="0" w:space="0" w:color="auto"/>
      </w:divBdr>
    </w:div>
    <w:div w:id="2112965450">
      <w:bodyDiv w:val="1"/>
      <w:marLeft w:val="0"/>
      <w:marRight w:val="0"/>
      <w:marTop w:val="0"/>
      <w:marBottom w:val="0"/>
      <w:divBdr>
        <w:top w:val="none" w:sz="0" w:space="0" w:color="auto"/>
        <w:left w:val="none" w:sz="0" w:space="0" w:color="auto"/>
        <w:bottom w:val="none" w:sz="0" w:space="0" w:color="auto"/>
        <w:right w:val="none" w:sz="0" w:space="0" w:color="auto"/>
      </w:divBdr>
    </w:div>
    <w:div w:id="2112967630">
      <w:bodyDiv w:val="1"/>
      <w:marLeft w:val="0"/>
      <w:marRight w:val="0"/>
      <w:marTop w:val="0"/>
      <w:marBottom w:val="0"/>
      <w:divBdr>
        <w:top w:val="none" w:sz="0" w:space="0" w:color="auto"/>
        <w:left w:val="none" w:sz="0" w:space="0" w:color="auto"/>
        <w:bottom w:val="none" w:sz="0" w:space="0" w:color="auto"/>
        <w:right w:val="none" w:sz="0" w:space="0" w:color="auto"/>
      </w:divBdr>
    </w:div>
    <w:div w:id="2113013824">
      <w:bodyDiv w:val="1"/>
      <w:marLeft w:val="0"/>
      <w:marRight w:val="0"/>
      <w:marTop w:val="0"/>
      <w:marBottom w:val="0"/>
      <w:divBdr>
        <w:top w:val="none" w:sz="0" w:space="0" w:color="auto"/>
        <w:left w:val="none" w:sz="0" w:space="0" w:color="auto"/>
        <w:bottom w:val="none" w:sz="0" w:space="0" w:color="auto"/>
        <w:right w:val="none" w:sz="0" w:space="0" w:color="auto"/>
      </w:divBdr>
    </w:div>
    <w:div w:id="2113209570">
      <w:bodyDiv w:val="1"/>
      <w:marLeft w:val="0"/>
      <w:marRight w:val="0"/>
      <w:marTop w:val="0"/>
      <w:marBottom w:val="0"/>
      <w:divBdr>
        <w:top w:val="none" w:sz="0" w:space="0" w:color="auto"/>
        <w:left w:val="none" w:sz="0" w:space="0" w:color="auto"/>
        <w:bottom w:val="none" w:sz="0" w:space="0" w:color="auto"/>
        <w:right w:val="none" w:sz="0" w:space="0" w:color="auto"/>
      </w:divBdr>
    </w:div>
    <w:div w:id="2113353862">
      <w:bodyDiv w:val="1"/>
      <w:marLeft w:val="0"/>
      <w:marRight w:val="0"/>
      <w:marTop w:val="0"/>
      <w:marBottom w:val="0"/>
      <w:divBdr>
        <w:top w:val="none" w:sz="0" w:space="0" w:color="auto"/>
        <w:left w:val="none" w:sz="0" w:space="0" w:color="auto"/>
        <w:bottom w:val="none" w:sz="0" w:space="0" w:color="auto"/>
        <w:right w:val="none" w:sz="0" w:space="0" w:color="auto"/>
      </w:divBdr>
    </w:div>
    <w:div w:id="2113545117">
      <w:bodyDiv w:val="1"/>
      <w:marLeft w:val="0"/>
      <w:marRight w:val="0"/>
      <w:marTop w:val="0"/>
      <w:marBottom w:val="0"/>
      <w:divBdr>
        <w:top w:val="none" w:sz="0" w:space="0" w:color="auto"/>
        <w:left w:val="none" w:sz="0" w:space="0" w:color="auto"/>
        <w:bottom w:val="none" w:sz="0" w:space="0" w:color="auto"/>
        <w:right w:val="none" w:sz="0" w:space="0" w:color="auto"/>
      </w:divBdr>
    </w:div>
    <w:div w:id="2113548191">
      <w:bodyDiv w:val="1"/>
      <w:marLeft w:val="0"/>
      <w:marRight w:val="0"/>
      <w:marTop w:val="0"/>
      <w:marBottom w:val="0"/>
      <w:divBdr>
        <w:top w:val="none" w:sz="0" w:space="0" w:color="auto"/>
        <w:left w:val="none" w:sz="0" w:space="0" w:color="auto"/>
        <w:bottom w:val="none" w:sz="0" w:space="0" w:color="auto"/>
        <w:right w:val="none" w:sz="0" w:space="0" w:color="auto"/>
      </w:divBdr>
    </w:div>
    <w:div w:id="2113551708">
      <w:bodyDiv w:val="1"/>
      <w:marLeft w:val="0"/>
      <w:marRight w:val="0"/>
      <w:marTop w:val="0"/>
      <w:marBottom w:val="0"/>
      <w:divBdr>
        <w:top w:val="none" w:sz="0" w:space="0" w:color="auto"/>
        <w:left w:val="none" w:sz="0" w:space="0" w:color="auto"/>
        <w:bottom w:val="none" w:sz="0" w:space="0" w:color="auto"/>
        <w:right w:val="none" w:sz="0" w:space="0" w:color="auto"/>
      </w:divBdr>
    </w:div>
    <w:div w:id="2113624467">
      <w:bodyDiv w:val="1"/>
      <w:marLeft w:val="0"/>
      <w:marRight w:val="0"/>
      <w:marTop w:val="0"/>
      <w:marBottom w:val="0"/>
      <w:divBdr>
        <w:top w:val="none" w:sz="0" w:space="0" w:color="auto"/>
        <w:left w:val="none" w:sz="0" w:space="0" w:color="auto"/>
        <w:bottom w:val="none" w:sz="0" w:space="0" w:color="auto"/>
        <w:right w:val="none" w:sz="0" w:space="0" w:color="auto"/>
      </w:divBdr>
    </w:div>
    <w:div w:id="2113819975">
      <w:bodyDiv w:val="1"/>
      <w:marLeft w:val="0"/>
      <w:marRight w:val="0"/>
      <w:marTop w:val="0"/>
      <w:marBottom w:val="0"/>
      <w:divBdr>
        <w:top w:val="none" w:sz="0" w:space="0" w:color="auto"/>
        <w:left w:val="none" w:sz="0" w:space="0" w:color="auto"/>
        <w:bottom w:val="none" w:sz="0" w:space="0" w:color="auto"/>
        <w:right w:val="none" w:sz="0" w:space="0" w:color="auto"/>
      </w:divBdr>
    </w:div>
    <w:div w:id="2113821887">
      <w:bodyDiv w:val="1"/>
      <w:marLeft w:val="0"/>
      <w:marRight w:val="0"/>
      <w:marTop w:val="0"/>
      <w:marBottom w:val="0"/>
      <w:divBdr>
        <w:top w:val="none" w:sz="0" w:space="0" w:color="auto"/>
        <w:left w:val="none" w:sz="0" w:space="0" w:color="auto"/>
        <w:bottom w:val="none" w:sz="0" w:space="0" w:color="auto"/>
        <w:right w:val="none" w:sz="0" w:space="0" w:color="auto"/>
      </w:divBdr>
    </w:div>
    <w:div w:id="2113891532">
      <w:bodyDiv w:val="1"/>
      <w:marLeft w:val="0"/>
      <w:marRight w:val="0"/>
      <w:marTop w:val="0"/>
      <w:marBottom w:val="0"/>
      <w:divBdr>
        <w:top w:val="none" w:sz="0" w:space="0" w:color="auto"/>
        <w:left w:val="none" w:sz="0" w:space="0" w:color="auto"/>
        <w:bottom w:val="none" w:sz="0" w:space="0" w:color="auto"/>
        <w:right w:val="none" w:sz="0" w:space="0" w:color="auto"/>
      </w:divBdr>
    </w:div>
    <w:div w:id="2114010823">
      <w:bodyDiv w:val="1"/>
      <w:marLeft w:val="0"/>
      <w:marRight w:val="0"/>
      <w:marTop w:val="0"/>
      <w:marBottom w:val="0"/>
      <w:divBdr>
        <w:top w:val="none" w:sz="0" w:space="0" w:color="auto"/>
        <w:left w:val="none" w:sz="0" w:space="0" w:color="auto"/>
        <w:bottom w:val="none" w:sz="0" w:space="0" w:color="auto"/>
        <w:right w:val="none" w:sz="0" w:space="0" w:color="auto"/>
      </w:divBdr>
    </w:div>
    <w:div w:id="2114201521">
      <w:bodyDiv w:val="1"/>
      <w:marLeft w:val="0"/>
      <w:marRight w:val="0"/>
      <w:marTop w:val="0"/>
      <w:marBottom w:val="0"/>
      <w:divBdr>
        <w:top w:val="none" w:sz="0" w:space="0" w:color="auto"/>
        <w:left w:val="none" w:sz="0" w:space="0" w:color="auto"/>
        <w:bottom w:val="none" w:sz="0" w:space="0" w:color="auto"/>
        <w:right w:val="none" w:sz="0" w:space="0" w:color="auto"/>
      </w:divBdr>
    </w:div>
    <w:div w:id="2114279965">
      <w:bodyDiv w:val="1"/>
      <w:marLeft w:val="0"/>
      <w:marRight w:val="0"/>
      <w:marTop w:val="0"/>
      <w:marBottom w:val="0"/>
      <w:divBdr>
        <w:top w:val="none" w:sz="0" w:space="0" w:color="auto"/>
        <w:left w:val="none" w:sz="0" w:space="0" w:color="auto"/>
        <w:bottom w:val="none" w:sz="0" w:space="0" w:color="auto"/>
        <w:right w:val="none" w:sz="0" w:space="0" w:color="auto"/>
      </w:divBdr>
    </w:div>
    <w:div w:id="2114548878">
      <w:bodyDiv w:val="1"/>
      <w:marLeft w:val="0"/>
      <w:marRight w:val="0"/>
      <w:marTop w:val="0"/>
      <w:marBottom w:val="0"/>
      <w:divBdr>
        <w:top w:val="none" w:sz="0" w:space="0" w:color="auto"/>
        <w:left w:val="none" w:sz="0" w:space="0" w:color="auto"/>
        <w:bottom w:val="none" w:sz="0" w:space="0" w:color="auto"/>
        <w:right w:val="none" w:sz="0" w:space="0" w:color="auto"/>
      </w:divBdr>
    </w:div>
    <w:div w:id="2114586480">
      <w:bodyDiv w:val="1"/>
      <w:marLeft w:val="0"/>
      <w:marRight w:val="0"/>
      <w:marTop w:val="0"/>
      <w:marBottom w:val="0"/>
      <w:divBdr>
        <w:top w:val="none" w:sz="0" w:space="0" w:color="auto"/>
        <w:left w:val="none" w:sz="0" w:space="0" w:color="auto"/>
        <w:bottom w:val="none" w:sz="0" w:space="0" w:color="auto"/>
        <w:right w:val="none" w:sz="0" w:space="0" w:color="auto"/>
      </w:divBdr>
    </w:div>
    <w:div w:id="2114587960">
      <w:bodyDiv w:val="1"/>
      <w:marLeft w:val="0"/>
      <w:marRight w:val="0"/>
      <w:marTop w:val="0"/>
      <w:marBottom w:val="0"/>
      <w:divBdr>
        <w:top w:val="none" w:sz="0" w:space="0" w:color="auto"/>
        <w:left w:val="none" w:sz="0" w:space="0" w:color="auto"/>
        <w:bottom w:val="none" w:sz="0" w:space="0" w:color="auto"/>
        <w:right w:val="none" w:sz="0" w:space="0" w:color="auto"/>
      </w:divBdr>
    </w:div>
    <w:div w:id="2114930612">
      <w:bodyDiv w:val="1"/>
      <w:marLeft w:val="0"/>
      <w:marRight w:val="0"/>
      <w:marTop w:val="0"/>
      <w:marBottom w:val="0"/>
      <w:divBdr>
        <w:top w:val="none" w:sz="0" w:space="0" w:color="auto"/>
        <w:left w:val="none" w:sz="0" w:space="0" w:color="auto"/>
        <w:bottom w:val="none" w:sz="0" w:space="0" w:color="auto"/>
        <w:right w:val="none" w:sz="0" w:space="0" w:color="auto"/>
      </w:divBdr>
    </w:div>
    <w:div w:id="2115125709">
      <w:bodyDiv w:val="1"/>
      <w:marLeft w:val="0"/>
      <w:marRight w:val="0"/>
      <w:marTop w:val="0"/>
      <w:marBottom w:val="0"/>
      <w:divBdr>
        <w:top w:val="none" w:sz="0" w:space="0" w:color="auto"/>
        <w:left w:val="none" w:sz="0" w:space="0" w:color="auto"/>
        <w:bottom w:val="none" w:sz="0" w:space="0" w:color="auto"/>
        <w:right w:val="none" w:sz="0" w:space="0" w:color="auto"/>
      </w:divBdr>
    </w:div>
    <w:div w:id="2115126975">
      <w:bodyDiv w:val="1"/>
      <w:marLeft w:val="0"/>
      <w:marRight w:val="0"/>
      <w:marTop w:val="0"/>
      <w:marBottom w:val="0"/>
      <w:divBdr>
        <w:top w:val="none" w:sz="0" w:space="0" w:color="auto"/>
        <w:left w:val="none" w:sz="0" w:space="0" w:color="auto"/>
        <w:bottom w:val="none" w:sz="0" w:space="0" w:color="auto"/>
        <w:right w:val="none" w:sz="0" w:space="0" w:color="auto"/>
      </w:divBdr>
    </w:div>
    <w:div w:id="2115200864">
      <w:bodyDiv w:val="1"/>
      <w:marLeft w:val="0"/>
      <w:marRight w:val="0"/>
      <w:marTop w:val="0"/>
      <w:marBottom w:val="0"/>
      <w:divBdr>
        <w:top w:val="none" w:sz="0" w:space="0" w:color="auto"/>
        <w:left w:val="none" w:sz="0" w:space="0" w:color="auto"/>
        <w:bottom w:val="none" w:sz="0" w:space="0" w:color="auto"/>
        <w:right w:val="none" w:sz="0" w:space="0" w:color="auto"/>
      </w:divBdr>
    </w:div>
    <w:div w:id="2115242001">
      <w:bodyDiv w:val="1"/>
      <w:marLeft w:val="0"/>
      <w:marRight w:val="0"/>
      <w:marTop w:val="0"/>
      <w:marBottom w:val="0"/>
      <w:divBdr>
        <w:top w:val="none" w:sz="0" w:space="0" w:color="auto"/>
        <w:left w:val="none" w:sz="0" w:space="0" w:color="auto"/>
        <w:bottom w:val="none" w:sz="0" w:space="0" w:color="auto"/>
        <w:right w:val="none" w:sz="0" w:space="0" w:color="auto"/>
      </w:divBdr>
    </w:div>
    <w:div w:id="2115244218">
      <w:bodyDiv w:val="1"/>
      <w:marLeft w:val="0"/>
      <w:marRight w:val="0"/>
      <w:marTop w:val="0"/>
      <w:marBottom w:val="0"/>
      <w:divBdr>
        <w:top w:val="none" w:sz="0" w:space="0" w:color="auto"/>
        <w:left w:val="none" w:sz="0" w:space="0" w:color="auto"/>
        <w:bottom w:val="none" w:sz="0" w:space="0" w:color="auto"/>
        <w:right w:val="none" w:sz="0" w:space="0" w:color="auto"/>
      </w:divBdr>
    </w:div>
    <w:div w:id="2115317317">
      <w:bodyDiv w:val="1"/>
      <w:marLeft w:val="0"/>
      <w:marRight w:val="0"/>
      <w:marTop w:val="0"/>
      <w:marBottom w:val="0"/>
      <w:divBdr>
        <w:top w:val="none" w:sz="0" w:space="0" w:color="auto"/>
        <w:left w:val="none" w:sz="0" w:space="0" w:color="auto"/>
        <w:bottom w:val="none" w:sz="0" w:space="0" w:color="auto"/>
        <w:right w:val="none" w:sz="0" w:space="0" w:color="auto"/>
      </w:divBdr>
    </w:div>
    <w:div w:id="2115395624">
      <w:bodyDiv w:val="1"/>
      <w:marLeft w:val="0"/>
      <w:marRight w:val="0"/>
      <w:marTop w:val="0"/>
      <w:marBottom w:val="0"/>
      <w:divBdr>
        <w:top w:val="none" w:sz="0" w:space="0" w:color="auto"/>
        <w:left w:val="none" w:sz="0" w:space="0" w:color="auto"/>
        <w:bottom w:val="none" w:sz="0" w:space="0" w:color="auto"/>
        <w:right w:val="none" w:sz="0" w:space="0" w:color="auto"/>
      </w:divBdr>
    </w:div>
    <w:div w:id="2115442361">
      <w:bodyDiv w:val="1"/>
      <w:marLeft w:val="0"/>
      <w:marRight w:val="0"/>
      <w:marTop w:val="0"/>
      <w:marBottom w:val="0"/>
      <w:divBdr>
        <w:top w:val="none" w:sz="0" w:space="0" w:color="auto"/>
        <w:left w:val="none" w:sz="0" w:space="0" w:color="auto"/>
        <w:bottom w:val="none" w:sz="0" w:space="0" w:color="auto"/>
        <w:right w:val="none" w:sz="0" w:space="0" w:color="auto"/>
      </w:divBdr>
    </w:div>
    <w:div w:id="2115635465">
      <w:bodyDiv w:val="1"/>
      <w:marLeft w:val="0"/>
      <w:marRight w:val="0"/>
      <w:marTop w:val="0"/>
      <w:marBottom w:val="0"/>
      <w:divBdr>
        <w:top w:val="none" w:sz="0" w:space="0" w:color="auto"/>
        <w:left w:val="none" w:sz="0" w:space="0" w:color="auto"/>
        <w:bottom w:val="none" w:sz="0" w:space="0" w:color="auto"/>
        <w:right w:val="none" w:sz="0" w:space="0" w:color="auto"/>
      </w:divBdr>
    </w:div>
    <w:div w:id="2115709967">
      <w:bodyDiv w:val="1"/>
      <w:marLeft w:val="0"/>
      <w:marRight w:val="0"/>
      <w:marTop w:val="0"/>
      <w:marBottom w:val="0"/>
      <w:divBdr>
        <w:top w:val="none" w:sz="0" w:space="0" w:color="auto"/>
        <w:left w:val="none" w:sz="0" w:space="0" w:color="auto"/>
        <w:bottom w:val="none" w:sz="0" w:space="0" w:color="auto"/>
        <w:right w:val="none" w:sz="0" w:space="0" w:color="auto"/>
      </w:divBdr>
    </w:div>
    <w:div w:id="2115901745">
      <w:bodyDiv w:val="1"/>
      <w:marLeft w:val="0"/>
      <w:marRight w:val="0"/>
      <w:marTop w:val="0"/>
      <w:marBottom w:val="0"/>
      <w:divBdr>
        <w:top w:val="none" w:sz="0" w:space="0" w:color="auto"/>
        <w:left w:val="none" w:sz="0" w:space="0" w:color="auto"/>
        <w:bottom w:val="none" w:sz="0" w:space="0" w:color="auto"/>
        <w:right w:val="none" w:sz="0" w:space="0" w:color="auto"/>
      </w:divBdr>
    </w:div>
    <w:div w:id="2115976034">
      <w:bodyDiv w:val="1"/>
      <w:marLeft w:val="0"/>
      <w:marRight w:val="0"/>
      <w:marTop w:val="0"/>
      <w:marBottom w:val="0"/>
      <w:divBdr>
        <w:top w:val="none" w:sz="0" w:space="0" w:color="auto"/>
        <w:left w:val="none" w:sz="0" w:space="0" w:color="auto"/>
        <w:bottom w:val="none" w:sz="0" w:space="0" w:color="auto"/>
        <w:right w:val="none" w:sz="0" w:space="0" w:color="auto"/>
      </w:divBdr>
    </w:div>
    <w:div w:id="2116096145">
      <w:bodyDiv w:val="1"/>
      <w:marLeft w:val="0"/>
      <w:marRight w:val="0"/>
      <w:marTop w:val="0"/>
      <w:marBottom w:val="0"/>
      <w:divBdr>
        <w:top w:val="none" w:sz="0" w:space="0" w:color="auto"/>
        <w:left w:val="none" w:sz="0" w:space="0" w:color="auto"/>
        <w:bottom w:val="none" w:sz="0" w:space="0" w:color="auto"/>
        <w:right w:val="none" w:sz="0" w:space="0" w:color="auto"/>
      </w:divBdr>
    </w:div>
    <w:div w:id="2116317462">
      <w:bodyDiv w:val="1"/>
      <w:marLeft w:val="0"/>
      <w:marRight w:val="0"/>
      <w:marTop w:val="0"/>
      <w:marBottom w:val="0"/>
      <w:divBdr>
        <w:top w:val="none" w:sz="0" w:space="0" w:color="auto"/>
        <w:left w:val="none" w:sz="0" w:space="0" w:color="auto"/>
        <w:bottom w:val="none" w:sz="0" w:space="0" w:color="auto"/>
        <w:right w:val="none" w:sz="0" w:space="0" w:color="auto"/>
      </w:divBdr>
    </w:div>
    <w:div w:id="2116515826">
      <w:bodyDiv w:val="1"/>
      <w:marLeft w:val="0"/>
      <w:marRight w:val="0"/>
      <w:marTop w:val="0"/>
      <w:marBottom w:val="0"/>
      <w:divBdr>
        <w:top w:val="none" w:sz="0" w:space="0" w:color="auto"/>
        <w:left w:val="none" w:sz="0" w:space="0" w:color="auto"/>
        <w:bottom w:val="none" w:sz="0" w:space="0" w:color="auto"/>
        <w:right w:val="none" w:sz="0" w:space="0" w:color="auto"/>
      </w:divBdr>
    </w:div>
    <w:div w:id="2116517647">
      <w:bodyDiv w:val="1"/>
      <w:marLeft w:val="0"/>
      <w:marRight w:val="0"/>
      <w:marTop w:val="0"/>
      <w:marBottom w:val="0"/>
      <w:divBdr>
        <w:top w:val="none" w:sz="0" w:space="0" w:color="auto"/>
        <w:left w:val="none" w:sz="0" w:space="0" w:color="auto"/>
        <w:bottom w:val="none" w:sz="0" w:space="0" w:color="auto"/>
        <w:right w:val="none" w:sz="0" w:space="0" w:color="auto"/>
      </w:divBdr>
    </w:div>
    <w:div w:id="2116633931">
      <w:bodyDiv w:val="1"/>
      <w:marLeft w:val="0"/>
      <w:marRight w:val="0"/>
      <w:marTop w:val="0"/>
      <w:marBottom w:val="0"/>
      <w:divBdr>
        <w:top w:val="none" w:sz="0" w:space="0" w:color="auto"/>
        <w:left w:val="none" w:sz="0" w:space="0" w:color="auto"/>
        <w:bottom w:val="none" w:sz="0" w:space="0" w:color="auto"/>
        <w:right w:val="none" w:sz="0" w:space="0" w:color="auto"/>
      </w:divBdr>
    </w:div>
    <w:div w:id="2116705422">
      <w:bodyDiv w:val="1"/>
      <w:marLeft w:val="0"/>
      <w:marRight w:val="0"/>
      <w:marTop w:val="0"/>
      <w:marBottom w:val="0"/>
      <w:divBdr>
        <w:top w:val="none" w:sz="0" w:space="0" w:color="auto"/>
        <w:left w:val="none" w:sz="0" w:space="0" w:color="auto"/>
        <w:bottom w:val="none" w:sz="0" w:space="0" w:color="auto"/>
        <w:right w:val="none" w:sz="0" w:space="0" w:color="auto"/>
      </w:divBdr>
    </w:div>
    <w:div w:id="2116898056">
      <w:bodyDiv w:val="1"/>
      <w:marLeft w:val="0"/>
      <w:marRight w:val="0"/>
      <w:marTop w:val="0"/>
      <w:marBottom w:val="0"/>
      <w:divBdr>
        <w:top w:val="none" w:sz="0" w:space="0" w:color="auto"/>
        <w:left w:val="none" w:sz="0" w:space="0" w:color="auto"/>
        <w:bottom w:val="none" w:sz="0" w:space="0" w:color="auto"/>
        <w:right w:val="none" w:sz="0" w:space="0" w:color="auto"/>
      </w:divBdr>
    </w:div>
    <w:div w:id="2116943888">
      <w:bodyDiv w:val="1"/>
      <w:marLeft w:val="0"/>
      <w:marRight w:val="0"/>
      <w:marTop w:val="0"/>
      <w:marBottom w:val="0"/>
      <w:divBdr>
        <w:top w:val="none" w:sz="0" w:space="0" w:color="auto"/>
        <w:left w:val="none" w:sz="0" w:space="0" w:color="auto"/>
        <w:bottom w:val="none" w:sz="0" w:space="0" w:color="auto"/>
        <w:right w:val="none" w:sz="0" w:space="0" w:color="auto"/>
      </w:divBdr>
    </w:div>
    <w:div w:id="2116971418">
      <w:bodyDiv w:val="1"/>
      <w:marLeft w:val="0"/>
      <w:marRight w:val="0"/>
      <w:marTop w:val="0"/>
      <w:marBottom w:val="0"/>
      <w:divBdr>
        <w:top w:val="none" w:sz="0" w:space="0" w:color="auto"/>
        <w:left w:val="none" w:sz="0" w:space="0" w:color="auto"/>
        <w:bottom w:val="none" w:sz="0" w:space="0" w:color="auto"/>
        <w:right w:val="none" w:sz="0" w:space="0" w:color="auto"/>
      </w:divBdr>
    </w:div>
    <w:div w:id="2117014968">
      <w:bodyDiv w:val="1"/>
      <w:marLeft w:val="0"/>
      <w:marRight w:val="0"/>
      <w:marTop w:val="0"/>
      <w:marBottom w:val="0"/>
      <w:divBdr>
        <w:top w:val="none" w:sz="0" w:space="0" w:color="auto"/>
        <w:left w:val="none" w:sz="0" w:space="0" w:color="auto"/>
        <w:bottom w:val="none" w:sz="0" w:space="0" w:color="auto"/>
        <w:right w:val="none" w:sz="0" w:space="0" w:color="auto"/>
      </w:divBdr>
    </w:div>
    <w:div w:id="2117211650">
      <w:bodyDiv w:val="1"/>
      <w:marLeft w:val="0"/>
      <w:marRight w:val="0"/>
      <w:marTop w:val="0"/>
      <w:marBottom w:val="0"/>
      <w:divBdr>
        <w:top w:val="none" w:sz="0" w:space="0" w:color="auto"/>
        <w:left w:val="none" w:sz="0" w:space="0" w:color="auto"/>
        <w:bottom w:val="none" w:sz="0" w:space="0" w:color="auto"/>
        <w:right w:val="none" w:sz="0" w:space="0" w:color="auto"/>
      </w:divBdr>
    </w:div>
    <w:div w:id="2117358406">
      <w:bodyDiv w:val="1"/>
      <w:marLeft w:val="0"/>
      <w:marRight w:val="0"/>
      <w:marTop w:val="0"/>
      <w:marBottom w:val="0"/>
      <w:divBdr>
        <w:top w:val="none" w:sz="0" w:space="0" w:color="auto"/>
        <w:left w:val="none" w:sz="0" w:space="0" w:color="auto"/>
        <w:bottom w:val="none" w:sz="0" w:space="0" w:color="auto"/>
        <w:right w:val="none" w:sz="0" w:space="0" w:color="auto"/>
      </w:divBdr>
    </w:div>
    <w:div w:id="2117408954">
      <w:bodyDiv w:val="1"/>
      <w:marLeft w:val="0"/>
      <w:marRight w:val="0"/>
      <w:marTop w:val="0"/>
      <w:marBottom w:val="0"/>
      <w:divBdr>
        <w:top w:val="none" w:sz="0" w:space="0" w:color="auto"/>
        <w:left w:val="none" w:sz="0" w:space="0" w:color="auto"/>
        <w:bottom w:val="none" w:sz="0" w:space="0" w:color="auto"/>
        <w:right w:val="none" w:sz="0" w:space="0" w:color="auto"/>
      </w:divBdr>
    </w:div>
    <w:div w:id="2117628314">
      <w:bodyDiv w:val="1"/>
      <w:marLeft w:val="0"/>
      <w:marRight w:val="0"/>
      <w:marTop w:val="0"/>
      <w:marBottom w:val="0"/>
      <w:divBdr>
        <w:top w:val="none" w:sz="0" w:space="0" w:color="auto"/>
        <w:left w:val="none" w:sz="0" w:space="0" w:color="auto"/>
        <w:bottom w:val="none" w:sz="0" w:space="0" w:color="auto"/>
        <w:right w:val="none" w:sz="0" w:space="0" w:color="auto"/>
      </w:divBdr>
    </w:div>
    <w:div w:id="2117796251">
      <w:bodyDiv w:val="1"/>
      <w:marLeft w:val="0"/>
      <w:marRight w:val="0"/>
      <w:marTop w:val="0"/>
      <w:marBottom w:val="0"/>
      <w:divBdr>
        <w:top w:val="none" w:sz="0" w:space="0" w:color="auto"/>
        <w:left w:val="none" w:sz="0" w:space="0" w:color="auto"/>
        <w:bottom w:val="none" w:sz="0" w:space="0" w:color="auto"/>
        <w:right w:val="none" w:sz="0" w:space="0" w:color="auto"/>
      </w:divBdr>
    </w:div>
    <w:div w:id="2117871204">
      <w:bodyDiv w:val="1"/>
      <w:marLeft w:val="0"/>
      <w:marRight w:val="0"/>
      <w:marTop w:val="0"/>
      <w:marBottom w:val="0"/>
      <w:divBdr>
        <w:top w:val="none" w:sz="0" w:space="0" w:color="auto"/>
        <w:left w:val="none" w:sz="0" w:space="0" w:color="auto"/>
        <w:bottom w:val="none" w:sz="0" w:space="0" w:color="auto"/>
        <w:right w:val="none" w:sz="0" w:space="0" w:color="auto"/>
      </w:divBdr>
    </w:div>
    <w:div w:id="2117946225">
      <w:bodyDiv w:val="1"/>
      <w:marLeft w:val="0"/>
      <w:marRight w:val="0"/>
      <w:marTop w:val="0"/>
      <w:marBottom w:val="0"/>
      <w:divBdr>
        <w:top w:val="none" w:sz="0" w:space="0" w:color="auto"/>
        <w:left w:val="none" w:sz="0" w:space="0" w:color="auto"/>
        <w:bottom w:val="none" w:sz="0" w:space="0" w:color="auto"/>
        <w:right w:val="none" w:sz="0" w:space="0" w:color="auto"/>
      </w:divBdr>
    </w:div>
    <w:div w:id="2118064498">
      <w:bodyDiv w:val="1"/>
      <w:marLeft w:val="0"/>
      <w:marRight w:val="0"/>
      <w:marTop w:val="0"/>
      <w:marBottom w:val="0"/>
      <w:divBdr>
        <w:top w:val="none" w:sz="0" w:space="0" w:color="auto"/>
        <w:left w:val="none" w:sz="0" w:space="0" w:color="auto"/>
        <w:bottom w:val="none" w:sz="0" w:space="0" w:color="auto"/>
        <w:right w:val="none" w:sz="0" w:space="0" w:color="auto"/>
      </w:divBdr>
    </w:div>
    <w:div w:id="2118477676">
      <w:bodyDiv w:val="1"/>
      <w:marLeft w:val="0"/>
      <w:marRight w:val="0"/>
      <w:marTop w:val="0"/>
      <w:marBottom w:val="0"/>
      <w:divBdr>
        <w:top w:val="none" w:sz="0" w:space="0" w:color="auto"/>
        <w:left w:val="none" w:sz="0" w:space="0" w:color="auto"/>
        <w:bottom w:val="none" w:sz="0" w:space="0" w:color="auto"/>
        <w:right w:val="none" w:sz="0" w:space="0" w:color="auto"/>
      </w:divBdr>
    </w:div>
    <w:div w:id="2118599845">
      <w:bodyDiv w:val="1"/>
      <w:marLeft w:val="0"/>
      <w:marRight w:val="0"/>
      <w:marTop w:val="0"/>
      <w:marBottom w:val="0"/>
      <w:divBdr>
        <w:top w:val="none" w:sz="0" w:space="0" w:color="auto"/>
        <w:left w:val="none" w:sz="0" w:space="0" w:color="auto"/>
        <w:bottom w:val="none" w:sz="0" w:space="0" w:color="auto"/>
        <w:right w:val="none" w:sz="0" w:space="0" w:color="auto"/>
      </w:divBdr>
    </w:div>
    <w:div w:id="2118602806">
      <w:bodyDiv w:val="1"/>
      <w:marLeft w:val="0"/>
      <w:marRight w:val="0"/>
      <w:marTop w:val="0"/>
      <w:marBottom w:val="0"/>
      <w:divBdr>
        <w:top w:val="none" w:sz="0" w:space="0" w:color="auto"/>
        <w:left w:val="none" w:sz="0" w:space="0" w:color="auto"/>
        <w:bottom w:val="none" w:sz="0" w:space="0" w:color="auto"/>
        <w:right w:val="none" w:sz="0" w:space="0" w:color="auto"/>
      </w:divBdr>
    </w:div>
    <w:div w:id="2118716315">
      <w:bodyDiv w:val="1"/>
      <w:marLeft w:val="0"/>
      <w:marRight w:val="0"/>
      <w:marTop w:val="0"/>
      <w:marBottom w:val="0"/>
      <w:divBdr>
        <w:top w:val="none" w:sz="0" w:space="0" w:color="auto"/>
        <w:left w:val="none" w:sz="0" w:space="0" w:color="auto"/>
        <w:bottom w:val="none" w:sz="0" w:space="0" w:color="auto"/>
        <w:right w:val="none" w:sz="0" w:space="0" w:color="auto"/>
      </w:divBdr>
    </w:div>
    <w:div w:id="2118716795">
      <w:bodyDiv w:val="1"/>
      <w:marLeft w:val="0"/>
      <w:marRight w:val="0"/>
      <w:marTop w:val="0"/>
      <w:marBottom w:val="0"/>
      <w:divBdr>
        <w:top w:val="none" w:sz="0" w:space="0" w:color="auto"/>
        <w:left w:val="none" w:sz="0" w:space="0" w:color="auto"/>
        <w:bottom w:val="none" w:sz="0" w:space="0" w:color="auto"/>
        <w:right w:val="none" w:sz="0" w:space="0" w:color="auto"/>
      </w:divBdr>
    </w:div>
    <w:div w:id="2118790784">
      <w:bodyDiv w:val="1"/>
      <w:marLeft w:val="0"/>
      <w:marRight w:val="0"/>
      <w:marTop w:val="0"/>
      <w:marBottom w:val="0"/>
      <w:divBdr>
        <w:top w:val="none" w:sz="0" w:space="0" w:color="auto"/>
        <w:left w:val="none" w:sz="0" w:space="0" w:color="auto"/>
        <w:bottom w:val="none" w:sz="0" w:space="0" w:color="auto"/>
        <w:right w:val="none" w:sz="0" w:space="0" w:color="auto"/>
      </w:divBdr>
    </w:div>
    <w:div w:id="2118793118">
      <w:bodyDiv w:val="1"/>
      <w:marLeft w:val="0"/>
      <w:marRight w:val="0"/>
      <w:marTop w:val="0"/>
      <w:marBottom w:val="0"/>
      <w:divBdr>
        <w:top w:val="none" w:sz="0" w:space="0" w:color="auto"/>
        <w:left w:val="none" w:sz="0" w:space="0" w:color="auto"/>
        <w:bottom w:val="none" w:sz="0" w:space="0" w:color="auto"/>
        <w:right w:val="none" w:sz="0" w:space="0" w:color="auto"/>
      </w:divBdr>
    </w:div>
    <w:div w:id="2118861968">
      <w:bodyDiv w:val="1"/>
      <w:marLeft w:val="0"/>
      <w:marRight w:val="0"/>
      <w:marTop w:val="0"/>
      <w:marBottom w:val="0"/>
      <w:divBdr>
        <w:top w:val="none" w:sz="0" w:space="0" w:color="auto"/>
        <w:left w:val="none" w:sz="0" w:space="0" w:color="auto"/>
        <w:bottom w:val="none" w:sz="0" w:space="0" w:color="auto"/>
        <w:right w:val="none" w:sz="0" w:space="0" w:color="auto"/>
      </w:divBdr>
    </w:div>
    <w:div w:id="2118870636">
      <w:bodyDiv w:val="1"/>
      <w:marLeft w:val="0"/>
      <w:marRight w:val="0"/>
      <w:marTop w:val="0"/>
      <w:marBottom w:val="0"/>
      <w:divBdr>
        <w:top w:val="none" w:sz="0" w:space="0" w:color="auto"/>
        <w:left w:val="none" w:sz="0" w:space="0" w:color="auto"/>
        <w:bottom w:val="none" w:sz="0" w:space="0" w:color="auto"/>
        <w:right w:val="none" w:sz="0" w:space="0" w:color="auto"/>
      </w:divBdr>
    </w:div>
    <w:div w:id="2118981237">
      <w:bodyDiv w:val="1"/>
      <w:marLeft w:val="0"/>
      <w:marRight w:val="0"/>
      <w:marTop w:val="0"/>
      <w:marBottom w:val="0"/>
      <w:divBdr>
        <w:top w:val="none" w:sz="0" w:space="0" w:color="auto"/>
        <w:left w:val="none" w:sz="0" w:space="0" w:color="auto"/>
        <w:bottom w:val="none" w:sz="0" w:space="0" w:color="auto"/>
        <w:right w:val="none" w:sz="0" w:space="0" w:color="auto"/>
      </w:divBdr>
    </w:div>
    <w:div w:id="2119056603">
      <w:bodyDiv w:val="1"/>
      <w:marLeft w:val="0"/>
      <w:marRight w:val="0"/>
      <w:marTop w:val="0"/>
      <w:marBottom w:val="0"/>
      <w:divBdr>
        <w:top w:val="none" w:sz="0" w:space="0" w:color="auto"/>
        <w:left w:val="none" w:sz="0" w:space="0" w:color="auto"/>
        <w:bottom w:val="none" w:sz="0" w:space="0" w:color="auto"/>
        <w:right w:val="none" w:sz="0" w:space="0" w:color="auto"/>
      </w:divBdr>
    </w:div>
    <w:div w:id="2119063536">
      <w:bodyDiv w:val="1"/>
      <w:marLeft w:val="0"/>
      <w:marRight w:val="0"/>
      <w:marTop w:val="0"/>
      <w:marBottom w:val="0"/>
      <w:divBdr>
        <w:top w:val="none" w:sz="0" w:space="0" w:color="auto"/>
        <w:left w:val="none" w:sz="0" w:space="0" w:color="auto"/>
        <w:bottom w:val="none" w:sz="0" w:space="0" w:color="auto"/>
        <w:right w:val="none" w:sz="0" w:space="0" w:color="auto"/>
      </w:divBdr>
    </w:div>
    <w:div w:id="2119175032">
      <w:bodyDiv w:val="1"/>
      <w:marLeft w:val="0"/>
      <w:marRight w:val="0"/>
      <w:marTop w:val="0"/>
      <w:marBottom w:val="0"/>
      <w:divBdr>
        <w:top w:val="none" w:sz="0" w:space="0" w:color="auto"/>
        <w:left w:val="none" w:sz="0" w:space="0" w:color="auto"/>
        <w:bottom w:val="none" w:sz="0" w:space="0" w:color="auto"/>
        <w:right w:val="none" w:sz="0" w:space="0" w:color="auto"/>
      </w:divBdr>
    </w:div>
    <w:div w:id="2119176556">
      <w:bodyDiv w:val="1"/>
      <w:marLeft w:val="0"/>
      <w:marRight w:val="0"/>
      <w:marTop w:val="0"/>
      <w:marBottom w:val="0"/>
      <w:divBdr>
        <w:top w:val="none" w:sz="0" w:space="0" w:color="auto"/>
        <w:left w:val="none" w:sz="0" w:space="0" w:color="auto"/>
        <w:bottom w:val="none" w:sz="0" w:space="0" w:color="auto"/>
        <w:right w:val="none" w:sz="0" w:space="0" w:color="auto"/>
      </w:divBdr>
    </w:div>
    <w:div w:id="2119332689">
      <w:bodyDiv w:val="1"/>
      <w:marLeft w:val="0"/>
      <w:marRight w:val="0"/>
      <w:marTop w:val="0"/>
      <w:marBottom w:val="0"/>
      <w:divBdr>
        <w:top w:val="none" w:sz="0" w:space="0" w:color="auto"/>
        <w:left w:val="none" w:sz="0" w:space="0" w:color="auto"/>
        <w:bottom w:val="none" w:sz="0" w:space="0" w:color="auto"/>
        <w:right w:val="none" w:sz="0" w:space="0" w:color="auto"/>
      </w:divBdr>
    </w:div>
    <w:div w:id="2119635253">
      <w:bodyDiv w:val="1"/>
      <w:marLeft w:val="0"/>
      <w:marRight w:val="0"/>
      <w:marTop w:val="0"/>
      <w:marBottom w:val="0"/>
      <w:divBdr>
        <w:top w:val="none" w:sz="0" w:space="0" w:color="auto"/>
        <w:left w:val="none" w:sz="0" w:space="0" w:color="auto"/>
        <w:bottom w:val="none" w:sz="0" w:space="0" w:color="auto"/>
        <w:right w:val="none" w:sz="0" w:space="0" w:color="auto"/>
      </w:divBdr>
    </w:div>
    <w:div w:id="2119638246">
      <w:bodyDiv w:val="1"/>
      <w:marLeft w:val="0"/>
      <w:marRight w:val="0"/>
      <w:marTop w:val="0"/>
      <w:marBottom w:val="0"/>
      <w:divBdr>
        <w:top w:val="none" w:sz="0" w:space="0" w:color="auto"/>
        <w:left w:val="none" w:sz="0" w:space="0" w:color="auto"/>
        <w:bottom w:val="none" w:sz="0" w:space="0" w:color="auto"/>
        <w:right w:val="none" w:sz="0" w:space="0" w:color="auto"/>
      </w:divBdr>
    </w:div>
    <w:div w:id="2119644743">
      <w:bodyDiv w:val="1"/>
      <w:marLeft w:val="0"/>
      <w:marRight w:val="0"/>
      <w:marTop w:val="0"/>
      <w:marBottom w:val="0"/>
      <w:divBdr>
        <w:top w:val="none" w:sz="0" w:space="0" w:color="auto"/>
        <w:left w:val="none" w:sz="0" w:space="0" w:color="auto"/>
        <w:bottom w:val="none" w:sz="0" w:space="0" w:color="auto"/>
        <w:right w:val="none" w:sz="0" w:space="0" w:color="auto"/>
      </w:divBdr>
    </w:div>
    <w:div w:id="2119712189">
      <w:bodyDiv w:val="1"/>
      <w:marLeft w:val="0"/>
      <w:marRight w:val="0"/>
      <w:marTop w:val="0"/>
      <w:marBottom w:val="0"/>
      <w:divBdr>
        <w:top w:val="none" w:sz="0" w:space="0" w:color="auto"/>
        <w:left w:val="none" w:sz="0" w:space="0" w:color="auto"/>
        <w:bottom w:val="none" w:sz="0" w:space="0" w:color="auto"/>
        <w:right w:val="none" w:sz="0" w:space="0" w:color="auto"/>
      </w:divBdr>
    </w:div>
    <w:div w:id="2119908046">
      <w:bodyDiv w:val="1"/>
      <w:marLeft w:val="0"/>
      <w:marRight w:val="0"/>
      <w:marTop w:val="0"/>
      <w:marBottom w:val="0"/>
      <w:divBdr>
        <w:top w:val="none" w:sz="0" w:space="0" w:color="auto"/>
        <w:left w:val="none" w:sz="0" w:space="0" w:color="auto"/>
        <w:bottom w:val="none" w:sz="0" w:space="0" w:color="auto"/>
        <w:right w:val="none" w:sz="0" w:space="0" w:color="auto"/>
      </w:divBdr>
    </w:div>
    <w:div w:id="2119909566">
      <w:bodyDiv w:val="1"/>
      <w:marLeft w:val="0"/>
      <w:marRight w:val="0"/>
      <w:marTop w:val="0"/>
      <w:marBottom w:val="0"/>
      <w:divBdr>
        <w:top w:val="none" w:sz="0" w:space="0" w:color="auto"/>
        <w:left w:val="none" w:sz="0" w:space="0" w:color="auto"/>
        <w:bottom w:val="none" w:sz="0" w:space="0" w:color="auto"/>
        <w:right w:val="none" w:sz="0" w:space="0" w:color="auto"/>
      </w:divBdr>
    </w:div>
    <w:div w:id="2119987565">
      <w:bodyDiv w:val="1"/>
      <w:marLeft w:val="0"/>
      <w:marRight w:val="0"/>
      <w:marTop w:val="0"/>
      <w:marBottom w:val="0"/>
      <w:divBdr>
        <w:top w:val="none" w:sz="0" w:space="0" w:color="auto"/>
        <w:left w:val="none" w:sz="0" w:space="0" w:color="auto"/>
        <w:bottom w:val="none" w:sz="0" w:space="0" w:color="auto"/>
        <w:right w:val="none" w:sz="0" w:space="0" w:color="auto"/>
      </w:divBdr>
    </w:div>
    <w:div w:id="2120365836">
      <w:bodyDiv w:val="1"/>
      <w:marLeft w:val="0"/>
      <w:marRight w:val="0"/>
      <w:marTop w:val="0"/>
      <w:marBottom w:val="0"/>
      <w:divBdr>
        <w:top w:val="none" w:sz="0" w:space="0" w:color="auto"/>
        <w:left w:val="none" w:sz="0" w:space="0" w:color="auto"/>
        <w:bottom w:val="none" w:sz="0" w:space="0" w:color="auto"/>
        <w:right w:val="none" w:sz="0" w:space="0" w:color="auto"/>
      </w:divBdr>
    </w:div>
    <w:div w:id="2120367281">
      <w:bodyDiv w:val="1"/>
      <w:marLeft w:val="0"/>
      <w:marRight w:val="0"/>
      <w:marTop w:val="0"/>
      <w:marBottom w:val="0"/>
      <w:divBdr>
        <w:top w:val="none" w:sz="0" w:space="0" w:color="auto"/>
        <w:left w:val="none" w:sz="0" w:space="0" w:color="auto"/>
        <w:bottom w:val="none" w:sz="0" w:space="0" w:color="auto"/>
        <w:right w:val="none" w:sz="0" w:space="0" w:color="auto"/>
      </w:divBdr>
    </w:div>
    <w:div w:id="2120681778">
      <w:bodyDiv w:val="1"/>
      <w:marLeft w:val="0"/>
      <w:marRight w:val="0"/>
      <w:marTop w:val="0"/>
      <w:marBottom w:val="0"/>
      <w:divBdr>
        <w:top w:val="none" w:sz="0" w:space="0" w:color="auto"/>
        <w:left w:val="none" w:sz="0" w:space="0" w:color="auto"/>
        <w:bottom w:val="none" w:sz="0" w:space="0" w:color="auto"/>
        <w:right w:val="none" w:sz="0" w:space="0" w:color="auto"/>
      </w:divBdr>
    </w:div>
    <w:div w:id="2120684057">
      <w:bodyDiv w:val="1"/>
      <w:marLeft w:val="0"/>
      <w:marRight w:val="0"/>
      <w:marTop w:val="0"/>
      <w:marBottom w:val="0"/>
      <w:divBdr>
        <w:top w:val="none" w:sz="0" w:space="0" w:color="auto"/>
        <w:left w:val="none" w:sz="0" w:space="0" w:color="auto"/>
        <w:bottom w:val="none" w:sz="0" w:space="0" w:color="auto"/>
        <w:right w:val="none" w:sz="0" w:space="0" w:color="auto"/>
      </w:divBdr>
    </w:div>
    <w:div w:id="2120753684">
      <w:bodyDiv w:val="1"/>
      <w:marLeft w:val="0"/>
      <w:marRight w:val="0"/>
      <w:marTop w:val="0"/>
      <w:marBottom w:val="0"/>
      <w:divBdr>
        <w:top w:val="none" w:sz="0" w:space="0" w:color="auto"/>
        <w:left w:val="none" w:sz="0" w:space="0" w:color="auto"/>
        <w:bottom w:val="none" w:sz="0" w:space="0" w:color="auto"/>
        <w:right w:val="none" w:sz="0" w:space="0" w:color="auto"/>
      </w:divBdr>
    </w:div>
    <w:div w:id="2120905547">
      <w:bodyDiv w:val="1"/>
      <w:marLeft w:val="0"/>
      <w:marRight w:val="0"/>
      <w:marTop w:val="0"/>
      <w:marBottom w:val="0"/>
      <w:divBdr>
        <w:top w:val="none" w:sz="0" w:space="0" w:color="auto"/>
        <w:left w:val="none" w:sz="0" w:space="0" w:color="auto"/>
        <w:bottom w:val="none" w:sz="0" w:space="0" w:color="auto"/>
        <w:right w:val="none" w:sz="0" w:space="0" w:color="auto"/>
      </w:divBdr>
    </w:div>
    <w:div w:id="2121021616">
      <w:bodyDiv w:val="1"/>
      <w:marLeft w:val="0"/>
      <w:marRight w:val="0"/>
      <w:marTop w:val="0"/>
      <w:marBottom w:val="0"/>
      <w:divBdr>
        <w:top w:val="none" w:sz="0" w:space="0" w:color="auto"/>
        <w:left w:val="none" w:sz="0" w:space="0" w:color="auto"/>
        <w:bottom w:val="none" w:sz="0" w:space="0" w:color="auto"/>
        <w:right w:val="none" w:sz="0" w:space="0" w:color="auto"/>
      </w:divBdr>
    </w:div>
    <w:div w:id="2121027707">
      <w:bodyDiv w:val="1"/>
      <w:marLeft w:val="0"/>
      <w:marRight w:val="0"/>
      <w:marTop w:val="0"/>
      <w:marBottom w:val="0"/>
      <w:divBdr>
        <w:top w:val="none" w:sz="0" w:space="0" w:color="auto"/>
        <w:left w:val="none" w:sz="0" w:space="0" w:color="auto"/>
        <w:bottom w:val="none" w:sz="0" w:space="0" w:color="auto"/>
        <w:right w:val="none" w:sz="0" w:space="0" w:color="auto"/>
      </w:divBdr>
    </w:div>
    <w:div w:id="2121142674">
      <w:bodyDiv w:val="1"/>
      <w:marLeft w:val="0"/>
      <w:marRight w:val="0"/>
      <w:marTop w:val="0"/>
      <w:marBottom w:val="0"/>
      <w:divBdr>
        <w:top w:val="none" w:sz="0" w:space="0" w:color="auto"/>
        <w:left w:val="none" w:sz="0" w:space="0" w:color="auto"/>
        <w:bottom w:val="none" w:sz="0" w:space="0" w:color="auto"/>
        <w:right w:val="none" w:sz="0" w:space="0" w:color="auto"/>
      </w:divBdr>
    </w:div>
    <w:div w:id="2121294393">
      <w:bodyDiv w:val="1"/>
      <w:marLeft w:val="0"/>
      <w:marRight w:val="0"/>
      <w:marTop w:val="0"/>
      <w:marBottom w:val="0"/>
      <w:divBdr>
        <w:top w:val="none" w:sz="0" w:space="0" w:color="auto"/>
        <w:left w:val="none" w:sz="0" w:space="0" w:color="auto"/>
        <w:bottom w:val="none" w:sz="0" w:space="0" w:color="auto"/>
        <w:right w:val="none" w:sz="0" w:space="0" w:color="auto"/>
      </w:divBdr>
    </w:div>
    <w:div w:id="2121532974">
      <w:bodyDiv w:val="1"/>
      <w:marLeft w:val="0"/>
      <w:marRight w:val="0"/>
      <w:marTop w:val="0"/>
      <w:marBottom w:val="0"/>
      <w:divBdr>
        <w:top w:val="none" w:sz="0" w:space="0" w:color="auto"/>
        <w:left w:val="none" w:sz="0" w:space="0" w:color="auto"/>
        <w:bottom w:val="none" w:sz="0" w:space="0" w:color="auto"/>
        <w:right w:val="none" w:sz="0" w:space="0" w:color="auto"/>
      </w:divBdr>
    </w:div>
    <w:div w:id="2121606018">
      <w:bodyDiv w:val="1"/>
      <w:marLeft w:val="0"/>
      <w:marRight w:val="0"/>
      <w:marTop w:val="0"/>
      <w:marBottom w:val="0"/>
      <w:divBdr>
        <w:top w:val="none" w:sz="0" w:space="0" w:color="auto"/>
        <w:left w:val="none" w:sz="0" w:space="0" w:color="auto"/>
        <w:bottom w:val="none" w:sz="0" w:space="0" w:color="auto"/>
        <w:right w:val="none" w:sz="0" w:space="0" w:color="auto"/>
      </w:divBdr>
    </w:div>
    <w:div w:id="2121607947">
      <w:bodyDiv w:val="1"/>
      <w:marLeft w:val="0"/>
      <w:marRight w:val="0"/>
      <w:marTop w:val="0"/>
      <w:marBottom w:val="0"/>
      <w:divBdr>
        <w:top w:val="none" w:sz="0" w:space="0" w:color="auto"/>
        <w:left w:val="none" w:sz="0" w:space="0" w:color="auto"/>
        <w:bottom w:val="none" w:sz="0" w:space="0" w:color="auto"/>
        <w:right w:val="none" w:sz="0" w:space="0" w:color="auto"/>
      </w:divBdr>
    </w:div>
    <w:div w:id="2121728532">
      <w:bodyDiv w:val="1"/>
      <w:marLeft w:val="0"/>
      <w:marRight w:val="0"/>
      <w:marTop w:val="0"/>
      <w:marBottom w:val="0"/>
      <w:divBdr>
        <w:top w:val="none" w:sz="0" w:space="0" w:color="auto"/>
        <w:left w:val="none" w:sz="0" w:space="0" w:color="auto"/>
        <w:bottom w:val="none" w:sz="0" w:space="0" w:color="auto"/>
        <w:right w:val="none" w:sz="0" w:space="0" w:color="auto"/>
      </w:divBdr>
    </w:div>
    <w:div w:id="2121801507">
      <w:bodyDiv w:val="1"/>
      <w:marLeft w:val="0"/>
      <w:marRight w:val="0"/>
      <w:marTop w:val="0"/>
      <w:marBottom w:val="0"/>
      <w:divBdr>
        <w:top w:val="none" w:sz="0" w:space="0" w:color="auto"/>
        <w:left w:val="none" w:sz="0" w:space="0" w:color="auto"/>
        <w:bottom w:val="none" w:sz="0" w:space="0" w:color="auto"/>
        <w:right w:val="none" w:sz="0" w:space="0" w:color="auto"/>
      </w:divBdr>
    </w:div>
    <w:div w:id="2121870235">
      <w:bodyDiv w:val="1"/>
      <w:marLeft w:val="0"/>
      <w:marRight w:val="0"/>
      <w:marTop w:val="0"/>
      <w:marBottom w:val="0"/>
      <w:divBdr>
        <w:top w:val="none" w:sz="0" w:space="0" w:color="auto"/>
        <w:left w:val="none" w:sz="0" w:space="0" w:color="auto"/>
        <w:bottom w:val="none" w:sz="0" w:space="0" w:color="auto"/>
        <w:right w:val="none" w:sz="0" w:space="0" w:color="auto"/>
      </w:divBdr>
    </w:div>
    <w:div w:id="2122144931">
      <w:bodyDiv w:val="1"/>
      <w:marLeft w:val="0"/>
      <w:marRight w:val="0"/>
      <w:marTop w:val="0"/>
      <w:marBottom w:val="0"/>
      <w:divBdr>
        <w:top w:val="none" w:sz="0" w:space="0" w:color="auto"/>
        <w:left w:val="none" w:sz="0" w:space="0" w:color="auto"/>
        <w:bottom w:val="none" w:sz="0" w:space="0" w:color="auto"/>
        <w:right w:val="none" w:sz="0" w:space="0" w:color="auto"/>
      </w:divBdr>
    </w:div>
    <w:div w:id="2122145479">
      <w:bodyDiv w:val="1"/>
      <w:marLeft w:val="0"/>
      <w:marRight w:val="0"/>
      <w:marTop w:val="0"/>
      <w:marBottom w:val="0"/>
      <w:divBdr>
        <w:top w:val="none" w:sz="0" w:space="0" w:color="auto"/>
        <w:left w:val="none" w:sz="0" w:space="0" w:color="auto"/>
        <w:bottom w:val="none" w:sz="0" w:space="0" w:color="auto"/>
        <w:right w:val="none" w:sz="0" w:space="0" w:color="auto"/>
      </w:divBdr>
    </w:div>
    <w:div w:id="2122145935">
      <w:bodyDiv w:val="1"/>
      <w:marLeft w:val="0"/>
      <w:marRight w:val="0"/>
      <w:marTop w:val="0"/>
      <w:marBottom w:val="0"/>
      <w:divBdr>
        <w:top w:val="none" w:sz="0" w:space="0" w:color="auto"/>
        <w:left w:val="none" w:sz="0" w:space="0" w:color="auto"/>
        <w:bottom w:val="none" w:sz="0" w:space="0" w:color="auto"/>
        <w:right w:val="none" w:sz="0" w:space="0" w:color="auto"/>
      </w:divBdr>
    </w:div>
    <w:div w:id="2122216138">
      <w:bodyDiv w:val="1"/>
      <w:marLeft w:val="0"/>
      <w:marRight w:val="0"/>
      <w:marTop w:val="0"/>
      <w:marBottom w:val="0"/>
      <w:divBdr>
        <w:top w:val="none" w:sz="0" w:space="0" w:color="auto"/>
        <w:left w:val="none" w:sz="0" w:space="0" w:color="auto"/>
        <w:bottom w:val="none" w:sz="0" w:space="0" w:color="auto"/>
        <w:right w:val="none" w:sz="0" w:space="0" w:color="auto"/>
      </w:divBdr>
    </w:div>
    <w:div w:id="2122412908">
      <w:bodyDiv w:val="1"/>
      <w:marLeft w:val="0"/>
      <w:marRight w:val="0"/>
      <w:marTop w:val="0"/>
      <w:marBottom w:val="0"/>
      <w:divBdr>
        <w:top w:val="none" w:sz="0" w:space="0" w:color="auto"/>
        <w:left w:val="none" w:sz="0" w:space="0" w:color="auto"/>
        <w:bottom w:val="none" w:sz="0" w:space="0" w:color="auto"/>
        <w:right w:val="none" w:sz="0" w:space="0" w:color="auto"/>
      </w:divBdr>
    </w:div>
    <w:div w:id="2122531776">
      <w:bodyDiv w:val="1"/>
      <w:marLeft w:val="0"/>
      <w:marRight w:val="0"/>
      <w:marTop w:val="0"/>
      <w:marBottom w:val="0"/>
      <w:divBdr>
        <w:top w:val="none" w:sz="0" w:space="0" w:color="auto"/>
        <w:left w:val="none" w:sz="0" w:space="0" w:color="auto"/>
        <w:bottom w:val="none" w:sz="0" w:space="0" w:color="auto"/>
        <w:right w:val="none" w:sz="0" w:space="0" w:color="auto"/>
      </w:divBdr>
    </w:div>
    <w:div w:id="2122609981">
      <w:bodyDiv w:val="1"/>
      <w:marLeft w:val="0"/>
      <w:marRight w:val="0"/>
      <w:marTop w:val="0"/>
      <w:marBottom w:val="0"/>
      <w:divBdr>
        <w:top w:val="none" w:sz="0" w:space="0" w:color="auto"/>
        <w:left w:val="none" w:sz="0" w:space="0" w:color="auto"/>
        <w:bottom w:val="none" w:sz="0" w:space="0" w:color="auto"/>
        <w:right w:val="none" w:sz="0" w:space="0" w:color="auto"/>
      </w:divBdr>
    </w:div>
    <w:div w:id="2122652123">
      <w:bodyDiv w:val="1"/>
      <w:marLeft w:val="0"/>
      <w:marRight w:val="0"/>
      <w:marTop w:val="0"/>
      <w:marBottom w:val="0"/>
      <w:divBdr>
        <w:top w:val="none" w:sz="0" w:space="0" w:color="auto"/>
        <w:left w:val="none" w:sz="0" w:space="0" w:color="auto"/>
        <w:bottom w:val="none" w:sz="0" w:space="0" w:color="auto"/>
        <w:right w:val="none" w:sz="0" w:space="0" w:color="auto"/>
      </w:divBdr>
    </w:div>
    <w:div w:id="2122799047">
      <w:bodyDiv w:val="1"/>
      <w:marLeft w:val="0"/>
      <w:marRight w:val="0"/>
      <w:marTop w:val="0"/>
      <w:marBottom w:val="0"/>
      <w:divBdr>
        <w:top w:val="none" w:sz="0" w:space="0" w:color="auto"/>
        <w:left w:val="none" w:sz="0" w:space="0" w:color="auto"/>
        <w:bottom w:val="none" w:sz="0" w:space="0" w:color="auto"/>
        <w:right w:val="none" w:sz="0" w:space="0" w:color="auto"/>
      </w:divBdr>
    </w:div>
    <w:div w:id="2122842275">
      <w:bodyDiv w:val="1"/>
      <w:marLeft w:val="0"/>
      <w:marRight w:val="0"/>
      <w:marTop w:val="0"/>
      <w:marBottom w:val="0"/>
      <w:divBdr>
        <w:top w:val="none" w:sz="0" w:space="0" w:color="auto"/>
        <w:left w:val="none" w:sz="0" w:space="0" w:color="auto"/>
        <w:bottom w:val="none" w:sz="0" w:space="0" w:color="auto"/>
        <w:right w:val="none" w:sz="0" w:space="0" w:color="auto"/>
      </w:divBdr>
    </w:div>
    <w:div w:id="2122869658">
      <w:bodyDiv w:val="1"/>
      <w:marLeft w:val="0"/>
      <w:marRight w:val="0"/>
      <w:marTop w:val="0"/>
      <w:marBottom w:val="0"/>
      <w:divBdr>
        <w:top w:val="none" w:sz="0" w:space="0" w:color="auto"/>
        <w:left w:val="none" w:sz="0" w:space="0" w:color="auto"/>
        <w:bottom w:val="none" w:sz="0" w:space="0" w:color="auto"/>
        <w:right w:val="none" w:sz="0" w:space="0" w:color="auto"/>
      </w:divBdr>
    </w:div>
    <w:div w:id="2122871047">
      <w:bodyDiv w:val="1"/>
      <w:marLeft w:val="0"/>
      <w:marRight w:val="0"/>
      <w:marTop w:val="0"/>
      <w:marBottom w:val="0"/>
      <w:divBdr>
        <w:top w:val="none" w:sz="0" w:space="0" w:color="auto"/>
        <w:left w:val="none" w:sz="0" w:space="0" w:color="auto"/>
        <w:bottom w:val="none" w:sz="0" w:space="0" w:color="auto"/>
        <w:right w:val="none" w:sz="0" w:space="0" w:color="auto"/>
      </w:divBdr>
    </w:div>
    <w:div w:id="2123264201">
      <w:bodyDiv w:val="1"/>
      <w:marLeft w:val="0"/>
      <w:marRight w:val="0"/>
      <w:marTop w:val="0"/>
      <w:marBottom w:val="0"/>
      <w:divBdr>
        <w:top w:val="none" w:sz="0" w:space="0" w:color="auto"/>
        <w:left w:val="none" w:sz="0" w:space="0" w:color="auto"/>
        <w:bottom w:val="none" w:sz="0" w:space="0" w:color="auto"/>
        <w:right w:val="none" w:sz="0" w:space="0" w:color="auto"/>
      </w:divBdr>
    </w:div>
    <w:div w:id="2123381741">
      <w:bodyDiv w:val="1"/>
      <w:marLeft w:val="0"/>
      <w:marRight w:val="0"/>
      <w:marTop w:val="0"/>
      <w:marBottom w:val="0"/>
      <w:divBdr>
        <w:top w:val="none" w:sz="0" w:space="0" w:color="auto"/>
        <w:left w:val="none" w:sz="0" w:space="0" w:color="auto"/>
        <w:bottom w:val="none" w:sz="0" w:space="0" w:color="auto"/>
        <w:right w:val="none" w:sz="0" w:space="0" w:color="auto"/>
      </w:divBdr>
    </w:div>
    <w:div w:id="2123498186">
      <w:bodyDiv w:val="1"/>
      <w:marLeft w:val="0"/>
      <w:marRight w:val="0"/>
      <w:marTop w:val="0"/>
      <w:marBottom w:val="0"/>
      <w:divBdr>
        <w:top w:val="none" w:sz="0" w:space="0" w:color="auto"/>
        <w:left w:val="none" w:sz="0" w:space="0" w:color="auto"/>
        <w:bottom w:val="none" w:sz="0" w:space="0" w:color="auto"/>
        <w:right w:val="none" w:sz="0" w:space="0" w:color="auto"/>
      </w:divBdr>
    </w:div>
    <w:div w:id="2123524332">
      <w:bodyDiv w:val="1"/>
      <w:marLeft w:val="0"/>
      <w:marRight w:val="0"/>
      <w:marTop w:val="0"/>
      <w:marBottom w:val="0"/>
      <w:divBdr>
        <w:top w:val="none" w:sz="0" w:space="0" w:color="auto"/>
        <w:left w:val="none" w:sz="0" w:space="0" w:color="auto"/>
        <w:bottom w:val="none" w:sz="0" w:space="0" w:color="auto"/>
        <w:right w:val="none" w:sz="0" w:space="0" w:color="auto"/>
      </w:divBdr>
    </w:div>
    <w:div w:id="2123525677">
      <w:bodyDiv w:val="1"/>
      <w:marLeft w:val="0"/>
      <w:marRight w:val="0"/>
      <w:marTop w:val="0"/>
      <w:marBottom w:val="0"/>
      <w:divBdr>
        <w:top w:val="none" w:sz="0" w:space="0" w:color="auto"/>
        <w:left w:val="none" w:sz="0" w:space="0" w:color="auto"/>
        <w:bottom w:val="none" w:sz="0" w:space="0" w:color="auto"/>
        <w:right w:val="none" w:sz="0" w:space="0" w:color="auto"/>
      </w:divBdr>
    </w:div>
    <w:div w:id="2123567148">
      <w:bodyDiv w:val="1"/>
      <w:marLeft w:val="0"/>
      <w:marRight w:val="0"/>
      <w:marTop w:val="0"/>
      <w:marBottom w:val="0"/>
      <w:divBdr>
        <w:top w:val="none" w:sz="0" w:space="0" w:color="auto"/>
        <w:left w:val="none" w:sz="0" w:space="0" w:color="auto"/>
        <w:bottom w:val="none" w:sz="0" w:space="0" w:color="auto"/>
        <w:right w:val="none" w:sz="0" w:space="0" w:color="auto"/>
      </w:divBdr>
    </w:div>
    <w:div w:id="2123913935">
      <w:bodyDiv w:val="1"/>
      <w:marLeft w:val="0"/>
      <w:marRight w:val="0"/>
      <w:marTop w:val="0"/>
      <w:marBottom w:val="0"/>
      <w:divBdr>
        <w:top w:val="none" w:sz="0" w:space="0" w:color="auto"/>
        <w:left w:val="none" w:sz="0" w:space="0" w:color="auto"/>
        <w:bottom w:val="none" w:sz="0" w:space="0" w:color="auto"/>
        <w:right w:val="none" w:sz="0" w:space="0" w:color="auto"/>
      </w:divBdr>
    </w:div>
    <w:div w:id="2123957833">
      <w:bodyDiv w:val="1"/>
      <w:marLeft w:val="0"/>
      <w:marRight w:val="0"/>
      <w:marTop w:val="0"/>
      <w:marBottom w:val="0"/>
      <w:divBdr>
        <w:top w:val="none" w:sz="0" w:space="0" w:color="auto"/>
        <w:left w:val="none" w:sz="0" w:space="0" w:color="auto"/>
        <w:bottom w:val="none" w:sz="0" w:space="0" w:color="auto"/>
        <w:right w:val="none" w:sz="0" w:space="0" w:color="auto"/>
      </w:divBdr>
    </w:div>
    <w:div w:id="2124036624">
      <w:bodyDiv w:val="1"/>
      <w:marLeft w:val="0"/>
      <w:marRight w:val="0"/>
      <w:marTop w:val="0"/>
      <w:marBottom w:val="0"/>
      <w:divBdr>
        <w:top w:val="none" w:sz="0" w:space="0" w:color="auto"/>
        <w:left w:val="none" w:sz="0" w:space="0" w:color="auto"/>
        <w:bottom w:val="none" w:sz="0" w:space="0" w:color="auto"/>
        <w:right w:val="none" w:sz="0" w:space="0" w:color="auto"/>
      </w:divBdr>
    </w:div>
    <w:div w:id="2124110364">
      <w:bodyDiv w:val="1"/>
      <w:marLeft w:val="0"/>
      <w:marRight w:val="0"/>
      <w:marTop w:val="0"/>
      <w:marBottom w:val="0"/>
      <w:divBdr>
        <w:top w:val="none" w:sz="0" w:space="0" w:color="auto"/>
        <w:left w:val="none" w:sz="0" w:space="0" w:color="auto"/>
        <w:bottom w:val="none" w:sz="0" w:space="0" w:color="auto"/>
        <w:right w:val="none" w:sz="0" w:space="0" w:color="auto"/>
      </w:divBdr>
    </w:div>
    <w:div w:id="2124155351">
      <w:bodyDiv w:val="1"/>
      <w:marLeft w:val="0"/>
      <w:marRight w:val="0"/>
      <w:marTop w:val="0"/>
      <w:marBottom w:val="0"/>
      <w:divBdr>
        <w:top w:val="none" w:sz="0" w:space="0" w:color="auto"/>
        <w:left w:val="none" w:sz="0" w:space="0" w:color="auto"/>
        <w:bottom w:val="none" w:sz="0" w:space="0" w:color="auto"/>
        <w:right w:val="none" w:sz="0" w:space="0" w:color="auto"/>
      </w:divBdr>
    </w:div>
    <w:div w:id="2124183901">
      <w:bodyDiv w:val="1"/>
      <w:marLeft w:val="0"/>
      <w:marRight w:val="0"/>
      <w:marTop w:val="0"/>
      <w:marBottom w:val="0"/>
      <w:divBdr>
        <w:top w:val="none" w:sz="0" w:space="0" w:color="auto"/>
        <w:left w:val="none" w:sz="0" w:space="0" w:color="auto"/>
        <w:bottom w:val="none" w:sz="0" w:space="0" w:color="auto"/>
        <w:right w:val="none" w:sz="0" w:space="0" w:color="auto"/>
      </w:divBdr>
    </w:div>
    <w:div w:id="2124376729">
      <w:bodyDiv w:val="1"/>
      <w:marLeft w:val="0"/>
      <w:marRight w:val="0"/>
      <w:marTop w:val="0"/>
      <w:marBottom w:val="0"/>
      <w:divBdr>
        <w:top w:val="none" w:sz="0" w:space="0" w:color="auto"/>
        <w:left w:val="none" w:sz="0" w:space="0" w:color="auto"/>
        <w:bottom w:val="none" w:sz="0" w:space="0" w:color="auto"/>
        <w:right w:val="none" w:sz="0" w:space="0" w:color="auto"/>
      </w:divBdr>
    </w:div>
    <w:div w:id="2124415695">
      <w:bodyDiv w:val="1"/>
      <w:marLeft w:val="0"/>
      <w:marRight w:val="0"/>
      <w:marTop w:val="0"/>
      <w:marBottom w:val="0"/>
      <w:divBdr>
        <w:top w:val="none" w:sz="0" w:space="0" w:color="auto"/>
        <w:left w:val="none" w:sz="0" w:space="0" w:color="auto"/>
        <w:bottom w:val="none" w:sz="0" w:space="0" w:color="auto"/>
        <w:right w:val="none" w:sz="0" w:space="0" w:color="auto"/>
      </w:divBdr>
    </w:div>
    <w:div w:id="2124424107">
      <w:bodyDiv w:val="1"/>
      <w:marLeft w:val="0"/>
      <w:marRight w:val="0"/>
      <w:marTop w:val="0"/>
      <w:marBottom w:val="0"/>
      <w:divBdr>
        <w:top w:val="none" w:sz="0" w:space="0" w:color="auto"/>
        <w:left w:val="none" w:sz="0" w:space="0" w:color="auto"/>
        <w:bottom w:val="none" w:sz="0" w:space="0" w:color="auto"/>
        <w:right w:val="none" w:sz="0" w:space="0" w:color="auto"/>
      </w:divBdr>
    </w:div>
    <w:div w:id="2124491544">
      <w:bodyDiv w:val="1"/>
      <w:marLeft w:val="0"/>
      <w:marRight w:val="0"/>
      <w:marTop w:val="0"/>
      <w:marBottom w:val="0"/>
      <w:divBdr>
        <w:top w:val="none" w:sz="0" w:space="0" w:color="auto"/>
        <w:left w:val="none" w:sz="0" w:space="0" w:color="auto"/>
        <w:bottom w:val="none" w:sz="0" w:space="0" w:color="auto"/>
        <w:right w:val="none" w:sz="0" w:space="0" w:color="auto"/>
      </w:divBdr>
    </w:div>
    <w:div w:id="2124491831">
      <w:bodyDiv w:val="1"/>
      <w:marLeft w:val="0"/>
      <w:marRight w:val="0"/>
      <w:marTop w:val="0"/>
      <w:marBottom w:val="0"/>
      <w:divBdr>
        <w:top w:val="none" w:sz="0" w:space="0" w:color="auto"/>
        <w:left w:val="none" w:sz="0" w:space="0" w:color="auto"/>
        <w:bottom w:val="none" w:sz="0" w:space="0" w:color="auto"/>
        <w:right w:val="none" w:sz="0" w:space="0" w:color="auto"/>
      </w:divBdr>
    </w:div>
    <w:div w:id="2124960450">
      <w:bodyDiv w:val="1"/>
      <w:marLeft w:val="0"/>
      <w:marRight w:val="0"/>
      <w:marTop w:val="0"/>
      <w:marBottom w:val="0"/>
      <w:divBdr>
        <w:top w:val="none" w:sz="0" w:space="0" w:color="auto"/>
        <w:left w:val="none" w:sz="0" w:space="0" w:color="auto"/>
        <w:bottom w:val="none" w:sz="0" w:space="0" w:color="auto"/>
        <w:right w:val="none" w:sz="0" w:space="0" w:color="auto"/>
      </w:divBdr>
    </w:div>
    <w:div w:id="2125074171">
      <w:bodyDiv w:val="1"/>
      <w:marLeft w:val="0"/>
      <w:marRight w:val="0"/>
      <w:marTop w:val="0"/>
      <w:marBottom w:val="0"/>
      <w:divBdr>
        <w:top w:val="none" w:sz="0" w:space="0" w:color="auto"/>
        <w:left w:val="none" w:sz="0" w:space="0" w:color="auto"/>
        <w:bottom w:val="none" w:sz="0" w:space="0" w:color="auto"/>
        <w:right w:val="none" w:sz="0" w:space="0" w:color="auto"/>
      </w:divBdr>
    </w:div>
    <w:div w:id="2125076607">
      <w:bodyDiv w:val="1"/>
      <w:marLeft w:val="0"/>
      <w:marRight w:val="0"/>
      <w:marTop w:val="0"/>
      <w:marBottom w:val="0"/>
      <w:divBdr>
        <w:top w:val="none" w:sz="0" w:space="0" w:color="auto"/>
        <w:left w:val="none" w:sz="0" w:space="0" w:color="auto"/>
        <w:bottom w:val="none" w:sz="0" w:space="0" w:color="auto"/>
        <w:right w:val="none" w:sz="0" w:space="0" w:color="auto"/>
      </w:divBdr>
    </w:div>
    <w:div w:id="2125343791">
      <w:bodyDiv w:val="1"/>
      <w:marLeft w:val="0"/>
      <w:marRight w:val="0"/>
      <w:marTop w:val="0"/>
      <w:marBottom w:val="0"/>
      <w:divBdr>
        <w:top w:val="none" w:sz="0" w:space="0" w:color="auto"/>
        <w:left w:val="none" w:sz="0" w:space="0" w:color="auto"/>
        <w:bottom w:val="none" w:sz="0" w:space="0" w:color="auto"/>
        <w:right w:val="none" w:sz="0" w:space="0" w:color="auto"/>
      </w:divBdr>
    </w:div>
    <w:div w:id="2125414773">
      <w:bodyDiv w:val="1"/>
      <w:marLeft w:val="0"/>
      <w:marRight w:val="0"/>
      <w:marTop w:val="0"/>
      <w:marBottom w:val="0"/>
      <w:divBdr>
        <w:top w:val="none" w:sz="0" w:space="0" w:color="auto"/>
        <w:left w:val="none" w:sz="0" w:space="0" w:color="auto"/>
        <w:bottom w:val="none" w:sz="0" w:space="0" w:color="auto"/>
        <w:right w:val="none" w:sz="0" w:space="0" w:color="auto"/>
      </w:divBdr>
    </w:div>
    <w:div w:id="2125414855">
      <w:bodyDiv w:val="1"/>
      <w:marLeft w:val="0"/>
      <w:marRight w:val="0"/>
      <w:marTop w:val="0"/>
      <w:marBottom w:val="0"/>
      <w:divBdr>
        <w:top w:val="none" w:sz="0" w:space="0" w:color="auto"/>
        <w:left w:val="none" w:sz="0" w:space="0" w:color="auto"/>
        <w:bottom w:val="none" w:sz="0" w:space="0" w:color="auto"/>
        <w:right w:val="none" w:sz="0" w:space="0" w:color="auto"/>
      </w:divBdr>
    </w:div>
    <w:div w:id="2125423782">
      <w:bodyDiv w:val="1"/>
      <w:marLeft w:val="0"/>
      <w:marRight w:val="0"/>
      <w:marTop w:val="0"/>
      <w:marBottom w:val="0"/>
      <w:divBdr>
        <w:top w:val="none" w:sz="0" w:space="0" w:color="auto"/>
        <w:left w:val="none" w:sz="0" w:space="0" w:color="auto"/>
        <w:bottom w:val="none" w:sz="0" w:space="0" w:color="auto"/>
        <w:right w:val="none" w:sz="0" w:space="0" w:color="auto"/>
      </w:divBdr>
    </w:div>
    <w:div w:id="2125490234">
      <w:bodyDiv w:val="1"/>
      <w:marLeft w:val="0"/>
      <w:marRight w:val="0"/>
      <w:marTop w:val="0"/>
      <w:marBottom w:val="0"/>
      <w:divBdr>
        <w:top w:val="none" w:sz="0" w:space="0" w:color="auto"/>
        <w:left w:val="none" w:sz="0" w:space="0" w:color="auto"/>
        <w:bottom w:val="none" w:sz="0" w:space="0" w:color="auto"/>
        <w:right w:val="none" w:sz="0" w:space="0" w:color="auto"/>
      </w:divBdr>
    </w:div>
    <w:div w:id="2125683672">
      <w:bodyDiv w:val="1"/>
      <w:marLeft w:val="0"/>
      <w:marRight w:val="0"/>
      <w:marTop w:val="0"/>
      <w:marBottom w:val="0"/>
      <w:divBdr>
        <w:top w:val="none" w:sz="0" w:space="0" w:color="auto"/>
        <w:left w:val="none" w:sz="0" w:space="0" w:color="auto"/>
        <w:bottom w:val="none" w:sz="0" w:space="0" w:color="auto"/>
        <w:right w:val="none" w:sz="0" w:space="0" w:color="auto"/>
      </w:divBdr>
    </w:div>
    <w:div w:id="2125686550">
      <w:bodyDiv w:val="1"/>
      <w:marLeft w:val="0"/>
      <w:marRight w:val="0"/>
      <w:marTop w:val="0"/>
      <w:marBottom w:val="0"/>
      <w:divBdr>
        <w:top w:val="none" w:sz="0" w:space="0" w:color="auto"/>
        <w:left w:val="none" w:sz="0" w:space="0" w:color="auto"/>
        <w:bottom w:val="none" w:sz="0" w:space="0" w:color="auto"/>
        <w:right w:val="none" w:sz="0" w:space="0" w:color="auto"/>
      </w:divBdr>
    </w:div>
    <w:div w:id="2125691406">
      <w:bodyDiv w:val="1"/>
      <w:marLeft w:val="0"/>
      <w:marRight w:val="0"/>
      <w:marTop w:val="0"/>
      <w:marBottom w:val="0"/>
      <w:divBdr>
        <w:top w:val="none" w:sz="0" w:space="0" w:color="auto"/>
        <w:left w:val="none" w:sz="0" w:space="0" w:color="auto"/>
        <w:bottom w:val="none" w:sz="0" w:space="0" w:color="auto"/>
        <w:right w:val="none" w:sz="0" w:space="0" w:color="auto"/>
      </w:divBdr>
    </w:div>
    <w:div w:id="2125692482">
      <w:bodyDiv w:val="1"/>
      <w:marLeft w:val="0"/>
      <w:marRight w:val="0"/>
      <w:marTop w:val="0"/>
      <w:marBottom w:val="0"/>
      <w:divBdr>
        <w:top w:val="none" w:sz="0" w:space="0" w:color="auto"/>
        <w:left w:val="none" w:sz="0" w:space="0" w:color="auto"/>
        <w:bottom w:val="none" w:sz="0" w:space="0" w:color="auto"/>
        <w:right w:val="none" w:sz="0" w:space="0" w:color="auto"/>
      </w:divBdr>
    </w:div>
    <w:div w:id="2125726958">
      <w:bodyDiv w:val="1"/>
      <w:marLeft w:val="0"/>
      <w:marRight w:val="0"/>
      <w:marTop w:val="0"/>
      <w:marBottom w:val="0"/>
      <w:divBdr>
        <w:top w:val="none" w:sz="0" w:space="0" w:color="auto"/>
        <w:left w:val="none" w:sz="0" w:space="0" w:color="auto"/>
        <w:bottom w:val="none" w:sz="0" w:space="0" w:color="auto"/>
        <w:right w:val="none" w:sz="0" w:space="0" w:color="auto"/>
      </w:divBdr>
    </w:div>
    <w:div w:id="2125805736">
      <w:bodyDiv w:val="1"/>
      <w:marLeft w:val="0"/>
      <w:marRight w:val="0"/>
      <w:marTop w:val="0"/>
      <w:marBottom w:val="0"/>
      <w:divBdr>
        <w:top w:val="none" w:sz="0" w:space="0" w:color="auto"/>
        <w:left w:val="none" w:sz="0" w:space="0" w:color="auto"/>
        <w:bottom w:val="none" w:sz="0" w:space="0" w:color="auto"/>
        <w:right w:val="none" w:sz="0" w:space="0" w:color="auto"/>
      </w:divBdr>
    </w:div>
    <w:div w:id="2125878938">
      <w:bodyDiv w:val="1"/>
      <w:marLeft w:val="0"/>
      <w:marRight w:val="0"/>
      <w:marTop w:val="0"/>
      <w:marBottom w:val="0"/>
      <w:divBdr>
        <w:top w:val="none" w:sz="0" w:space="0" w:color="auto"/>
        <w:left w:val="none" w:sz="0" w:space="0" w:color="auto"/>
        <w:bottom w:val="none" w:sz="0" w:space="0" w:color="auto"/>
        <w:right w:val="none" w:sz="0" w:space="0" w:color="auto"/>
      </w:divBdr>
    </w:div>
    <w:div w:id="2126344694">
      <w:bodyDiv w:val="1"/>
      <w:marLeft w:val="0"/>
      <w:marRight w:val="0"/>
      <w:marTop w:val="0"/>
      <w:marBottom w:val="0"/>
      <w:divBdr>
        <w:top w:val="none" w:sz="0" w:space="0" w:color="auto"/>
        <w:left w:val="none" w:sz="0" w:space="0" w:color="auto"/>
        <w:bottom w:val="none" w:sz="0" w:space="0" w:color="auto"/>
        <w:right w:val="none" w:sz="0" w:space="0" w:color="auto"/>
      </w:divBdr>
    </w:div>
    <w:div w:id="2126464672">
      <w:bodyDiv w:val="1"/>
      <w:marLeft w:val="0"/>
      <w:marRight w:val="0"/>
      <w:marTop w:val="0"/>
      <w:marBottom w:val="0"/>
      <w:divBdr>
        <w:top w:val="none" w:sz="0" w:space="0" w:color="auto"/>
        <w:left w:val="none" w:sz="0" w:space="0" w:color="auto"/>
        <w:bottom w:val="none" w:sz="0" w:space="0" w:color="auto"/>
        <w:right w:val="none" w:sz="0" w:space="0" w:color="auto"/>
      </w:divBdr>
    </w:div>
    <w:div w:id="2126610194">
      <w:bodyDiv w:val="1"/>
      <w:marLeft w:val="0"/>
      <w:marRight w:val="0"/>
      <w:marTop w:val="0"/>
      <w:marBottom w:val="0"/>
      <w:divBdr>
        <w:top w:val="none" w:sz="0" w:space="0" w:color="auto"/>
        <w:left w:val="none" w:sz="0" w:space="0" w:color="auto"/>
        <w:bottom w:val="none" w:sz="0" w:space="0" w:color="auto"/>
        <w:right w:val="none" w:sz="0" w:space="0" w:color="auto"/>
      </w:divBdr>
    </w:div>
    <w:div w:id="2126802453">
      <w:bodyDiv w:val="1"/>
      <w:marLeft w:val="0"/>
      <w:marRight w:val="0"/>
      <w:marTop w:val="0"/>
      <w:marBottom w:val="0"/>
      <w:divBdr>
        <w:top w:val="none" w:sz="0" w:space="0" w:color="auto"/>
        <w:left w:val="none" w:sz="0" w:space="0" w:color="auto"/>
        <w:bottom w:val="none" w:sz="0" w:space="0" w:color="auto"/>
        <w:right w:val="none" w:sz="0" w:space="0" w:color="auto"/>
      </w:divBdr>
    </w:div>
    <w:div w:id="2126845134">
      <w:bodyDiv w:val="1"/>
      <w:marLeft w:val="0"/>
      <w:marRight w:val="0"/>
      <w:marTop w:val="0"/>
      <w:marBottom w:val="0"/>
      <w:divBdr>
        <w:top w:val="none" w:sz="0" w:space="0" w:color="auto"/>
        <w:left w:val="none" w:sz="0" w:space="0" w:color="auto"/>
        <w:bottom w:val="none" w:sz="0" w:space="0" w:color="auto"/>
        <w:right w:val="none" w:sz="0" w:space="0" w:color="auto"/>
      </w:divBdr>
    </w:div>
    <w:div w:id="2126918704">
      <w:bodyDiv w:val="1"/>
      <w:marLeft w:val="0"/>
      <w:marRight w:val="0"/>
      <w:marTop w:val="0"/>
      <w:marBottom w:val="0"/>
      <w:divBdr>
        <w:top w:val="none" w:sz="0" w:space="0" w:color="auto"/>
        <w:left w:val="none" w:sz="0" w:space="0" w:color="auto"/>
        <w:bottom w:val="none" w:sz="0" w:space="0" w:color="auto"/>
        <w:right w:val="none" w:sz="0" w:space="0" w:color="auto"/>
      </w:divBdr>
    </w:div>
    <w:div w:id="2127041455">
      <w:bodyDiv w:val="1"/>
      <w:marLeft w:val="0"/>
      <w:marRight w:val="0"/>
      <w:marTop w:val="0"/>
      <w:marBottom w:val="0"/>
      <w:divBdr>
        <w:top w:val="none" w:sz="0" w:space="0" w:color="auto"/>
        <w:left w:val="none" w:sz="0" w:space="0" w:color="auto"/>
        <w:bottom w:val="none" w:sz="0" w:space="0" w:color="auto"/>
        <w:right w:val="none" w:sz="0" w:space="0" w:color="auto"/>
      </w:divBdr>
    </w:div>
    <w:div w:id="2127115372">
      <w:bodyDiv w:val="1"/>
      <w:marLeft w:val="0"/>
      <w:marRight w:val="0"/>
      <w:marTop w:val="0"/>
      <w:marBottom w:val="0"/>
      <w:divBdr>
        <w:top w:val="none" w:sz="0" w:space="0" w:color="auto"/>
        <w:left w:val="none" w:sz="0" w:space="0" w:color="auto"/>
        <w:bottom w:val="none" w:sz="0" w:space="0" w:color="auto"/>
        <w:right w:val="none" w:sz="0" w:space="0" w:color="auto"/>
      </w:divBdr>
    </w:div>
    <w:div w:id="2127237770">
      <w:bodyDiv w:val="1"/>
      <w:marLeft w:val="0"/>
      <w:marRight w:val="0"/>
      <w:marTop w:val="0"/>
      <w:marBottom w:val="0"/>
      <w:divBdr>
        <w:top w:val="none" w:sz="0" w:space="0" w:color="auto"/>
        <w:left w:val="none" w:sz="0" w:space="0" w:color="auto"/>
        <w:bottom w:val="none" w:sz="0" w:space="0" w:color="auto"/>
        <w:right w:val="none" w:sz="0" w:space="0" w:color="auto"/>
      </w:divBdr>
    </w:div>
    <w:div w:id="2127306438">
      <w:bodyDiv w:val="1"/>
      <w:marLeft w:val="0"/>
      <w:marRight w:val="0"/>
      <w:marTop w:val="0"/>
      <w:marBottom w:val="0"/>
      <w:divBdr>
        <w:top w:val="none" w:sz="0" w:space="0" w:color="auto"/>
        <w:left w:val="none" w:sz="0" w:space="0" w:color="auto"/>
        <w:bottom w:val="none" w:sz="0" w:space="0" w:color="auto"/>
        <w:right w:val="none" w:sz="0" w:space="0" w:color="auto"/>
      </w:divBdr>
    </w:div>
    <w:div w:id="2127502902">
      <w:bodyDiv w:val="1"/>
      <w:marLeft w:val="0"/>
      <w:marRight w:val="0"/>
      <w:marTop w:val="0"/>
      <w:marBottom w:val="0"/>
      <w:divBdr>
        <w:top w:val="none" w:sz="0" w:space="0" w:color="auto"/>
        <w:left w:val="none" w:sz="0" w:space="0" w:color="auto"/>
        <w:bottom w:val="none" w:sz="0" w:space="0" w:color="auto"/>
        <w:right w:val="none" w:sz="0" w:space="0" w:color="auto"/>
      </w:divBdr>
    </w:div>
    <w:div w:id="2127693410">
      <w:bodyDiv w:val="1"/>
      <w:marLeft w:val="0"/>
      <w:marRight w:val="0"/>
      <w:marTop w:val="0"/>
      <w:marBottom w:val="0"/>
      <w:divBdr>
        <w:top w:val="none" w:sz="0" w:space="0" w:color="auto"/>
        <w:left w:val="none" w:sz="0" w:space="0" w:color="auto"/>
        <w:bottom w:val="none" w:sz="0" w:space="0" w:color="auto"/>
        <w:right w:val="none" w:sz="0" w:space="0" w:color="auto"/>
      </w:divBdr>
    </w:div>
    <w:div w:id="2127696849">
      <w:bodyDiv w:val="1"/>
      <w:marLeft w:val="0"/>
      <w:marRight w:val="0"/>
      <w:marTop w:val="0"/>
      <w:marBottom w:val="0"/>
      <w:divBdr>
        <w:top w:val="none" w:sz="0" w:space="0" w:color="auto"/>
        <w:left w:val="none" w:sz="0" w:space="0" w:color="auto"/>
        <w:bottom w:val="none" w:sz="0" w:space="0" w:color="auto"/>
        <w:right w:val="none" w:sz="0" w:space="0" w:color="auto"/>
      </w:divBdr>
    </w:div>
    <w:div w:id="2127920643">
      <w:bodyDiv w:val="1"/>
      <w:marLeft w:val="0"/>
      <w:marRight w:val="0"/>
      <w:marTop w:val="0"/>
      <w:marBottom w:val="0"/>
      <w:divBdr>
        <w:top w:val="none" w:sz="0" w:space="0" w:color="auto"/>
        <w:left w:val="none" w:sz="0" w:space="0" w:color="auto"/>
        <w:bottom w:val="none" w:sz="0" w:space="0" w:color="auto"/>
        <w:right w:val="none" w:sz="0" w:space="0" w:color="auto"/>
      </w:divBdr>
    </w:div>
    <w:div w:id="2128235049">
      <w:bodyDiv w:val="1"/>
      <w:marLeft w:val="0"/>
      <w:marRight w:val="0"/>
      <w:marTop w:val="0"/>
      <w:marBottom w:val="0"/>
      <w:divBdr>
        <w:top w:val="none" w:sz="0" w:space="0" w:color="auto"/>
        <w:left w:val="none" w:sz="0" w:space="0" w:color="auto"/>
        <w:bottom w:val="none" w:sz="0" w:space="0" w:color="auto"/>
        <w:right w:val="none" w:sz="0" w:space="0" w:color="auto"/>
      </w:divBdr>
    </w:div>
    <w:div w:id="2128429929">
      <w:bodyDiv w:val="1"/>
      <w:marLeft w:val="0"/>
      <w:marRight w:val="0"/>
      <w:marTop w:val="0"/>
      <w:marBottom w:val="0"/>
      <w:divBdr>
        <w:top w:val="none" w:sz="0" w:space="0" w:color="auto"/>
        <w:left w:val="none" w:sz="0" w:space="0" w:color="auto"/>
        <w:bottom w:val="none" w:sz="0" w:space="0" w:color="auto"/>
        <w:right w:val="none" w:sz="0" w:space="0" w:color="auto"/>
      </w:divBdr>
    </w:div>
    <w:div w:id="2128620543">
      <w:bodyDiv w:val="1"/>
      <w:marLeft w:val="0"/>
      <w:marRight w:val="0"/>
      <w:marTop w:val="0"/>
      <w:marBottom w:val="0"/>
      <w:divBdr>
        <w:top w:val="none" w:sz="0" w:space="0" w:color="auto"/>
        <w:left w:val="none" w:sz="0" w:space="0" w:color="auto"/>
        <w:bottom w:val="none" w:sz="0" w:space="0" w:color="auto"/>
        <w:right w:val="none" w:sz="0" w:space="0" w:color="auto"/>
      </w:divBdr>
    </w:div>
    <w:div w:id="2128695239">
      <w:bodyDiv w:val="1"/>
      <w:marLeft w:val="0"/>
      <w:marRight w:val="0"/>
      <w:marTop w:val="0"/>
      <w:marBottom w:val="0"/>
      <w:divBdr>
        <w:top w:val="none" w:sz="0" w:space="0" w:color="auto"/>
        <w:left w:val="none" w:sz="0" w:space="0" w:color="auto"/>
        <w:bottom w:val="none" w:sz="0" w:space="0" w:color="auto"/>
        <w:right w:val="none" w:sz="0" w:space="0" w:color="auto"/>
      </w:divBdr>
    </w:div>
    <w:div w:id="2128696101">
      <w:bodyDiv w:val="1"/>
      <w:marLeft w:val="0"/>
      <w:marRight w:val="0"/>
      <w:marTop w:val="0"/>
      <w:marBottom w:val="0"/>
      <w:divBdr>
        <w:top w:val="none" w:sz="0" w:space="0" w:color="auto"/>
        <w:left w:val="none" w:sz="0" w:space="0" w:color="auto"/>
        <w:bottom w:val="none" w:sz="0" w:space="0" w:color="auto"/>
        <w:right w:val="none" w:sz="0" w:space="0" w:color="auto"/>
      </w:divBdr>
    </w:div>
    <w:div w:id="2128809542">
      <w:bodyDiv w:val="1"/>
      <w:marLeft w:val="0"/>
      <w:marRight w:val="0"/>
      <w:marTop w:val="0"/>
      <w:marBottom w:val="0"/>
      <w:divBdr>
        <w:top w:val="none" w:sz="0" w:space="0" w:color="auto"/>
        <w:left w:val="none" w:sz="0" w:space="0" w:color="auto"/>
        <w:bottom w:val="none" w:sz="0" w:space="0" w:color="auto"/>
        <w:right w:val="none" w:sz="0" w:space="0" w:color="auto"/>
      </w:divBdr>
    </w:div>
    <w:div w:id="2128813344">
      <w:bodyDiv w:val="1"/>
      <w:marLeft w:val="0"/>
      <w:marRight w:val="0"/>
      <w:marTop w:val="0"/>
      <w:marBottom w:val="0"/>
      <w:divBdr>
        <w:top w:val="none" w:sz="0" w:space="0" w:color="auto"/>
        <w:left w:val="none" w:sz="0" w:space="0" w:color="auto"/>
        <w:bottom w:val="none" w:sz="0" w:space="0" w:color="auto"/>
        <w:right w:val="none" w:sz="0" w:space="0" w:color="auto"/>
      </w:divBdr>
    </w:div>
    <w:div w:id="2129086256">
      <w:bodyDiv w:val="1"/>
      <w:marLeft w:val="0"/>
      <w:marRight w:val="0"/>
      <w:marTop w:val="0"/>
      <w:marBottom w:val="0"/>
      <w:divBdr>
        <w:top w:val="none" w:sz="0" w:space="0" w:color="auto"/>
        <w:left w:val="none" w:sz="0" w:space="0" w:color="auto"/>
        <w:bottom w:val="none" w:sz="0" w:space="0" w:color="auto"/>
        <w:right w:val="none" w:sz="0" w:space="0" w:color="auto"/>
      </w:divBdr>
    </w:div>
    <w:div w:id="2129161535">
      <w:bodyDiv w:val="1"/>
      <w:marLeft w:val="0"/>
      <w:marRight w:val="0"/>
      <w:marTop w:val="0"/>
      <w:marBottom w:val="0"/>
      <w:divBdr>
        <w:top w:val="none" w:sz="0" w:space="0" w:color="auto"/>
        <w:left w:val="none" w:sz="0" w:space="0" w:color="auto"/>
        <w:bottom w:val="none" w:sz="0" w:space="0" w:color="auto"/>
        <w:right w:val="none" w:sz="0" w:space="0" w:color="auto"/>
      </w:divBdr>
    </w:div>
    <w:div w:id="2129424953">
      <w:bodyDiv w:val="1"/>
      <w:marLeft w:val="0"/>
      <w:marRight w:val="0"/>
      <w:marTop w:val="0"/>
      <w:marBottom w:val="0"/>
      <w:divBdr>
        <w:top w:val="none" w:sz="0" w:space="0" w:color="auto"/>
        <w:left w:val="none" w:sz="0" w:space="0" w:color="auto"/>
        <w:bottom w:val="none" w:sz="0" w:space="0" w:color="auto"/>
        <w:right w:val="none" w:sz="0" w:space="0" w:color="auto"/>
      </w:divBdr>
    </w:div>
    <w:div w:id="2129615164">
      <w:bodyDiv w:val="1"/>
      <w:marLeft w:val="0"/>
      <w:marRight w:val="0"/>
      <w:marTop w:val="0"/>
      <w:marBottom w:val="0"/>
      <w:divBdr>
        <w:top w:val="none" w:sz="0" w:space="0" w:color="auto"/>
        <w:left w:val="none" w:sz="0" w:space="0" w:color="auto"/>
        <w:bottom w:val="none" w:sz="0" w:space="0" w:color="auto"/>
        <w:right w:val="none" w:sz="0" w:space="0" w:color="auto"/>
      </w:divBdr>
    </w:div>
    <w:div w:id="2130127919">
      <w:bodyDiv w:val="1"/>
      <w:marLeft w:val="0"/>
      <w:marRight w:val="0"/>
      <w:marTop w:val="0"/>
      <w:marBottom w:val="0"/>
      <w:divBdr>
        <w:top w:val="none" w:sz="0" w:space="0" w:color="auto"/>
        <w:left w:val="none" w:sz="0" w:space="0" w:color="auto"/>
        <w:bottom w:val="none" w:sz="0" w:space="0" w:color="auto"/>
        <w:right w:val="none" w:sz="0" w:space="0" w:color="auto"/>
      </w:divBdr>
    </w:div>
    <w:div w:id="2130195043">
      <w:bodyDiv w:val="1"/>
      <w:marLeft w:val="0"/>
      <w:marRight w:val="0"/>
      <w:marTop w:val="0"/>
      <w:marBottom w:val="0"/>
      <w:divBdr>
        <w:top w:val="none" w:sz="0" w:space="0" w:color="auto"/>
        <w:left w:val="none" w:sz="0" w:space="0" w:color="auto"/>
        <w:bottom w:val="none" w:sz="0" w:space="0" w:color="auto"/>
        <w:right w:val="none" w:sz="0" w:space="0" w:color="auto"/>
      </w:divBdr>
    </w:div>
    <w:div w:id="2130196604">
      <w:bodyDiv w:val="1"/>
      <w:marLeft w:val="0"/>
      <w:marRight w:val="0"/>
      <w:marTop w:val="0"/>
      <w:marBottom w:val="0"/>
      <w:divBdr>
        <w:top w:val="none" w:sz="0" w:space="0" w:color="auto"/>
        <w:left w:val="none" w:sz="0" w:space="0" w:color="auto"/>
        <w:bottom w:val="none" w:sz="0" w:space="0" w:color="auto"/>
        <w:right w:val="none" w:sz="0" w:space="0" w:color="auto"/>
      </w:divBdr>
    </w:div>
    <w:div w:id="2130318981">
      <w:bodyDiv w:val="1"/>
      <w:marLeft w:val="0"/>
      <w:marRight w:val="0"/>
      <w:marTop w:val="0"/>
      <w:marBottom w:val="0"/>
      <w:divBdr>
        <w:top w:val="none" w:sz="0" w:space="0" w:color="auto"/>
        <w:left w:val="none" w:sz="0" w:space="0" w:color="auto"/>
        <w:bottom w:val="none" w:sz="0" w:space="0" w:color="auto"/>
        <w:right w:val="none" w:sz="0" w:space="0" w:color="auto"/>
      </w:divBdr>
    </w:div>
    <w:div w:id="2130465478">
      <w:bodyDiv w:val="1"/>
      <w:marLeft w:val="0"/>
      <w:marRight w:val="0"/>
      <w:marTop w:val="0"/>
      <w:marBottom w:val="0"/>
      <w:divBdr>
        <w:top w:val="none" w:sz="0" w:space="0" w:color="auto"/>
        <w:left w:val="none" w:sz="0" w:space="0" w:color="auto"/>
        <w:bottom w:val="none" w:sz="0" w:space="0" w:color="auto"/>
        <w:right w:val="none" w:sz="0" w:space="0" w:color="auto"/>
      </w:divBdr>
    </w:div>
    <w:div w:id="2130584415">
      <w:bodyDiv w:val="1"/>
      <w:marLeft w:val="0"/>
      <w:marRight w:val="0"/>
      <w:marTop w:val="0"/>
      <w:marBottom w:val="0"/>
      <w:divBdr>
        <w:top w:val="none" w:sz="0" w:space="0" w:color="auto"/>
        <w:left w:val="none" w:sz="0" w:space="0" w:color="auto"/>
        <w:bottom w:val="none" w:sz="0" w:space="0" w:color="auto"/>
        <w:right w:val="none" w:sz="0" w:space="0" w:color="auto"/>
      </w:divBdr>
    </w:div>
    <w:div w:id="2130584732">
      <w:bodyDiv w:val="1"/>
      <w:marLeft w:val="0"/>
      <w:marRight w:val="0"/>
      <w:marTop w:val="0"/>
      <w:marBottom w:val="0"/>
      <w:divBdr>
        <w:top w:val="none" w:sz="0" w:space="0" w:color="auto"/>
        <w:left w:val="none" w:sz="0" w:space="0" w:color="auto"/>
        <w:bottom w:val="none" w:sz="0" w:space="0" w:color="auto"/>
        <w:right w:val="none" w:sz="0" w:space="0" w:color="auto"/>
      </w:divBdr>
    </w:div>
    <w:div w:id="2130780141">
      <w:bodyDiv w:val="1"/>
      <w:marLeft w:val="0"/>
      <w:marRight w:val="0"/>
      <w:marTop w:val="0"/>
      <w:marBottom w:val="0"/>
      <w:divBdr>
        <w:top w:val="none" w:sz="0" w:space="0" w:color="auto"/>
        <w:left w:val="none" w:sz="0" w:space="0" w:color="auto"/>
        <w:bottom w:val="none" w:sz="0" w:space="0" w:color="auto"/>
        <w:right w:val="none" w:sz="0" w:space="0" w:color="auto"/>
      </w:divBdr>
    </w:div>
    <w:div w:id="2131169518">
      <w:bodyDiv w:val="1"/>
      <w:marLeft w:val="0"/>
      <w:marRight w:val="0"/>
      <w:marTop w:val="0"/>
      <w:marBottom w:val="0"/>
      <w:divBdr>
        <w:top w:val="none" w:sz="0" w:space="0" w:color="auto"/>
        <w:left w:val="none" w:sz="0" w:space="0" w:color="auto"/>
        <w:bottom w:val="none" w:sz="0" w:space="0" w:color="auto"/>
        <w:right w:val="none" w:sz="0" w:space="0" w:color="auto"/>
      </w:divBdr>
    </w:div>
    <w:div w:id="2131195124">
      <w:bodyDiv w:val="1"/>
      <w:marLeft w:val="0"/>
      <w:marRight w:val="0"/>
      <w:marTop w:val="0"/>
      <w:marBottom w:val="0"/>
      <w:divBdr>
        <w:top w:val="none" w:sz="0" w:space="0" w:color="auto"/>
        <w:left w:val="none" w:sz="0" w:space="0" w:color="auto"/>
        <w:bottom w:val="none" w:sz="0" w:space="0" w:color="auto"/>
        <w:right w:val="none" w:sz="0" w:space="0" w:color="auto"/>
      </w:divBdr>
    </w:div>
    <w:div w:id="2131320859">
      <w:bodyDiv w:val="1"/>
      <w:marLeft w:val="0"/>
      <w:marRight w:val="0"/>
      <w:marTop w:val="0"/>
      <w:marBottom w:val="0"/>
      <w:divBdr>
        <w:top w:val="none" w:sz="0" w:space="0" w:color="auto"/>
        <w:left w:val="none" w:sz="0" w:space="0" w:color="auto"/>
        <w:bottom w:val="none" w:sz="0" w:space="0" w:color="auto"/>
        <w:right w:val="none" w:sz="0" w:space="0" w:color="auto"/>
      </w:divBdr>
    </w:div>
    <w:div w:id="2131506559">
      <w:bodyDiv w:val="1"/>
      <w:marLeft w:val="0"/>
      <w:marRight w:val="0"/>
      <w:marTop w:val="0"/>
      <w:marBottom w:val="0"/>
      <w:divBdr>
        <w:top w:val="none" w:sz="0" w:space="0" w:color="auto"/>
        <w:left w:val="none" w:sz="0" w:space="0" w:color="auto"/>
        <w:bottom w:val="none" w:sz="0" w:space="0" w:color="auto"/>
        <w:right w:val="none" w:sz="0" w:space="0" w:color="auto"/>
      </w:divBdr>
    </w:div>
    <w:div w:id="2131581273">
      <w:bodyDiv w:val="1"/>
      <w:marLeft w:val="0"/>
      <w:marRight w:val="0"/>
      <w:marTop w:val="0"/>
      <w:marBottom w:val="0"/>
      <w:divBdr>
        <w:top w:val="none" w:sz="0" w:space="0" w:color="auto"/>
        <w:left w:val="none" w:sz="0" w:space="0" w:color="auto"/>
        <w:bottom w:val="none" w:sz="0" w:space="0" w:color="auto"/>
        <w:right w:val="none" w:sz="0" w:space="0" w:color="auto"/>
      </w:divBdr>
    </w:div>
    <w:div w:id="2131586620">
      <w:bodyDiv w:val="1"/>
      <w:marLeft w:val="0"/>
      <w:marRight w:val="0"/>
      <w:marTop w:val="0"/>
      <w:marBottom w:val="0"/>
      <w:divBdr>
        <w:top w:val="none" w:sz="0" w:space="0" w:color="auto"/>
        <w:left w:val="none" w:sz="0" w:space="0" w:color="auto"/>
        <w:bottom w:val="none" w:sz="0" w:space="0" w:color="auto"/>
        <w:right w:val="none" w:sz="0" w:space="0" w:color="auto"/>
      </w:divBdr>
    </w:div>
    <w:div w:id="2131630153">
      <w:bodyDiv w:val="1"/>
      <w:marLeft w:val="0"/>
      <w:marRight w:val="0"/>
      <w:marTop w:val="0"/>
      <w:marBottom w:val="0"/>
      <w:divBdr>
        <w:top w:val="none" w:sz="0" w:space="0" w:color="auto"/>
        <w:left w:val="none" w:sz="0" w:space="0" w:color="auto"/>
        <w:bottom w:val="none" w:sz="0" w:space="0" w:color="auto"/>
        <w:right w:val="none" w:sz="0" w:space="0" w:color="auto"/>
      </w:divBdr>
    </w:div>
    <w:div w:id="2131656597">
      <w:bodyDiv w:val="1"/>
      <w:marLeft w:val="0"/>
      <w:marRight w:val="0"/>
      <w:marTop w:val="0"/>
      <w:marBottom w:val="0"/>
      <w:divBdr>
        <w:top w:val="none" w:sz="0" w:space="0" w:color="auto"/>
        <w:left w:val="none" w:sz="0" w:space="0" w:color="auto"/>
        <w:bottom w:val="none" w:sz="0" w:space="0" w:color="auto"/>
        <w:right w:val="none" w:sz="0" w:space="0" w:color="auto"/>
      </w:divBdr>
    </w:div>
    <w:div w:id="2131782735">
      <w:bodyDiv w:val="1"/>
      <w:marLeft w:val="0"/>
      <w:marRight w:val="0"/>
      <w:marTop w:val="0"/>
      <w:marBottom w:val="0"/>
      <w:divBdr>
        <w:top w:val="none" w:sz="0" w:space="0" w:color="auto"/>
        <w:left w:val="none" w:sz="0" w:space="0" w:color="auto"/>
        <w:bottom w:val="none" w:sz="0" w:space="0" w:color="auto"/>
        <w:right w:val="none" w:sz="0" w:space="0" w:color="auto"/>
      </w:divBdr>
    </w:div>
    <w:div w:id="2132236540">
      <w:bodyDiv w:val="1"/>
      <w:marLeft w:val="0"/>
      <w:marRight w:val="0"/>
      <w:marTop w:val="0"/>
      <w:marBottom w:val="0"/>
      <w:divBdr>
        <w:top w:val="none" w:sz="0" w:space="0" w:color="auto"/>
        <w:left w:val="none" w:sz="0" w:space="0" w:color="auto"/>
        <w:bottom w:val="none" w:sz="0" w:space="0" w:color="auto"/>
        <w:right w:val="none" w:sz="0" w:space="0" w:color="auto"/>
      </w:divBdr>
    </w:div>
    <w:div w:id="2132240550">
      <w:bodyDiv w:val="1"/>
      <w:marLeft w:val="0"/>
      <w:marRight w:val="0"/>
      <w:marTop w:val="0"/>
      <w:marBottom w:val="0"/>
      <w:divBdr>
        <w:top w:val="none" w:sz="0" w:space="0" w:color="auto"/>
        <w:left w:val="none" w:sz="0" w:space="0" w:color="auto"/>
        <w:bottom w:val="none" w:sz="0" w:space="0" w:color="auto"/>
        <w:right w:val="none" w:sz="0" w:space="0" w:color="auto"/>
      </w:divBdr>
    </w:div>
    <w:div w:id="2132354964">
      <w:bodyDiv w:val="1"/>
      <w:marLeft w:val="0"/>
      <w:marRight w:val="0"/>
      <w:marTop w:val="0"/>
      <w:marBottom w:val="0"/>
      <w:divBdr>
        <w:top w:val="none" w:sz="0" w:space="0" w:color="auto"/>
        <w:left w:val="none" w:sz="0" w:space="0" w:color="auto"/>
        <w:bottom w:val="none" w:sz="0" w:space="0" w:color="auto"/>
        <w:right w:val="none" w:sz="0" w:space="0" w:color="auto"/>
      </w:divBdr>
    </w:div>
    <w:div w:id="2132355329">
      <w:bodyDiv w:val="1"/>
      <w:marLeft w:val="0"/>
      <w:marRight w:val="0"/>
      <w:marTop w:val="0"/>
      <w:marBottom w:val="0"/>
      <w:divBdr>
        <w:top w:val="none" w:sz="0" w:space="0" w:color="auto"/>
        <w:left w:val="none" w:sz="0" w:space="0" w:color="auto"/>
        <w:bottom w:val="none" w:sz="0" w:space="0" w:color="auto"/>
        <w:right w:val="none" w:sz="0" w:space="0" w:color="auto"/>
      </w:divBdr>
    </w:div>
    <w:div w:id="2132432247">
      <w:bodyDiv w:val="1"/>
      <w:marLeft w:val="0"/>
      <w:marRight w:val="0"/>
      <w:marTop w:val="0"/>
      <w:marBottom w:val="0"/>
      <w:divBdr>
        <w:top w:val="none" w:sz="0" w:space="0" w:color="auto"/>
        <w:left w:val="none" w:sz="0" w:space="0" w:color="auto"/>
        <w:bottom w:val="none" w:sz="0" w:space="0" w:color="auto"/>
        <w:right w:val="none" w:sz="0" w:space="0" w:color="auto"/>
      </w:divBdr>
    </w:div>
    <w:div w:id="2132432621">
      <w:bodyDiv w:val="1"/>
      <w:marLeft w:val="0"/>
      <w:marRight w:val="0"/>
      <w:marTop w:val="0"/>
      <w:marBottom w:val="0"/>
      <w:divBdr>
        <w:top w:val="none" w:sz="0" w:space="0" w:color="auto"/>
        <w:left w:val="none" w:sz="0" w:space="0" w:color="auto"/>
        <w:bottom w:val="none" w:sz="0" w:space="0" w:color="auto"/>
        <w:right w:val="none" w:sz="0" w:space="0" w:color="auto"/>
      </w:divBdr>
    </w:div>
    <w:div w:id="2132549160">
      <w:bodyDiv w:val="1"/>
      <w:marLeft w:val="0"/>
      <w:marRight w:val="0"/>
      <w:marTop w:val="0"/>
      <w:marBottom w:val="0"/>
      <w:divBdr>
        <w:top w:val="none" w:sz="0" w:space="0" w:color="auto"/>
        <w:left w:val="none" w:sz="0" w:space="0" w:color="auto"/>
        <w:bottom w:val="none" w:sz="0" w:space="0" w:color="auto"/>
        <w:right w:val="none" w:sz="0" w:space="0" w:color="auto"/>
      </w:divBdr>
    </w:div>
    <w:div w:id="2132624948">
      <w:bodyDiv w:val="1"/>
      <w:marLeft w:val="0"/>
      <w:marRight w:val="0"/>
      <w:marTop w:val="0"/>
      <w:marBottom w:val="0"/>
      <w:divBdr>
        <w:top w:val="none" w:sz="0" w:space="0" w:color="auto"/>
        <w:left w:val="none" w:sz="0" w:space="0" w:color="auto"/>
        <w:bottom w:val="none" w:sz="0" w:space="0" w:color="auto"/>
        <w:right w:val="none" w:sz="0" w:space="0" w:color="auto"/>
      </w:divBdr>
    </w:div>
    <w:div w:id="2132631163">
      <w:bodyDiv w:val="1"/>
      <w:marLeft w:val="0"/>
      <w:marRight w:val="0"/>
      <w:marTop w:val="0"/>
      <w:marBottom w:val="0"/>
      <w:divBdr>
        <w:top w:val="none" w:sz="0" w:space="0" w:color="auto"/>
        <w:left w:val="none" w:sz="0" w:space="0" w:color="auto"/>
        <w:bottom w:val="none" w:sz="0" w:space="0" w:color="auto"/>
        <w:right w:val="none" w:sz="0" w:space="0" w:color="auto"/>
      </w:divBdr>
    </w:div>
    <w:div w:id="2132703392">
      <w:bodyDiv w:val="1"/>
      <w:marLeft w:val="0"/>
      <w:marRight w:val="0"/>
      <w:marTop w:val="0"/>
      <w:marBottom w:val="0"/>
      <w:divBdr>
        <w:top w:val="none" w:sz="0" w:space="0" w:color="auto"/>
        <w:left w:val="none" w:sz="0" w:space="0" w:color="auto"/>
        <w:bottom w:val="none" w:sz="0" w:space="0" w:color="auto"/>
        <w:right w:val="none" w:sz="0" w:space="0" w:color="auto"/>
      </w:divBdr>
    </w:div>
    <w:div w:id="2132898535">
      <w:bodyDiv w:val="1"/>
      <w:marLeft w:val="0"/>
      <w:marRight w:val="0"/>
      <w:marTop w:val="0"/>
      <w:marBottom w:val="0"/>
      <w:divBdr>
        <w:top w:val="none" w:sz="0" w:space="0" w:color="auto"/>
        <w:left w:val="none" w:sz="0" w:space="0" w:color="auto"/>
        <w:bottom w:val="none" w:sz="0" w:space="0" w:color="auto"/>
        <w:right w:val="none" w:sz="0" w:space="0" w:color="auto"/>
      </w:divBdr>
    </w:div>
    <w:div w:id="2132900711">
      <w:bodyDiv w:val="1"/>
      <w:marLeft w:val="0"/>
      <w:marRight w:val="0"/>
      <w:marTop w:val="0"/>
      <w:marBottom w:val="0"/>
      <w:divBdr>
        <w:top w:val="none" w:sz="0" w:space="0" w:color="auto"/>
        <w:left w:val="none" w:sz="0" w:space="0" w:color="auto"/>
        <w:bottom w:val="none" w:sz="0" w:space="0" w:color="auto"/>
        <w:right w:val="none" w:sz="0" w:space="0" w:color="auto"/>
      </w:divBdr>
    </w:div>
    <w:div w:id="2133088051">
      <w:bodyDiv w:val="1"/>
      <w:marLeft w:val="0"/>
      <w:marRight w:val="0"/>
      <w:marTop w:val="0"/>
      <w:marBottom w:val="0"/>
      <w:divBdr>
        <w:top w:val="none" w:sz="0" w:space="0" w:color="auto"/>
        <w:left w:val="none" w:sz="0" w:space="0" w:color="auto"/>
        <w:bottom w:val="none" w:sz="0" w:space="0" w:color="auto"/>
        <w:right w:val="none" w:sz="0" w:space="0" w:color="auto"/>
      </w:divBdr>
    </w:div>
    <w:div w:id="2133090978">
      <w:bodyDiv w:val="1"/>
      <w:marLeft w:val="0"/>
      <w:marRight w:val="0"/>
      <w:marTop w:val="0"/>
      <w:marBottom w:val="0"/>
      <w:divBdr>
        <w:top w:val="none" w:sz="0" w:space="0" w:color="auto"/>
        <w:left w:val="none" w:sz="0" w:space="0" w:color="auto"/>
        <w:bottom w:val="none" w:sz="0" w:space="0" w:color="auto"/>
        <w:right w:val="none" w:sz="0" w:space="0" w:color="auto"/>
      </w:divBdr>
    </w:div>
    <w:div w:id="2133210839">
      <w:bodyDiv w:val="1"/>
      <w:marLeft w:val="0"/>
      <w:marRight w:val="0"/>
      <w:marTop w:val="0"/>
      <w:marBottom w:val="0"/>
      <w:divBdr>
        <w:top w:val="none" w:sz="0" w:space="0" w:color="auto"/>
        <w:left w:val="none" w:sz="0" w:space="0" w:color="auto"/>
        <w:bottom w:val="none" w:sz="0" w:space="0" w:color="auto"/>
        <w:right w:val="none" w:sz="0" w:space="0" w:color="auto"/>
      </w:divBdr>
    </w:div>
    <w:div w:id="2133474620">
      <w:bodyDiv w:val="1"/>
      <w:marLeft w:val="0"/>
      <w:marRight w:val="0"/>
      <w:marTop w:val="0"/>
      <w:marBottom w:val="0"/>
      <w:divBdr>
        <w:top w:val="none" w:sz="0" w:space="0" w:color="auto"/>
        <w:left w:val="none" w:sz="0" w:space="0" w:color="auto"/>
        <w:bottom w:val="none" w:sz="0" w:space="0" w:color="auto"/>
        <w:right w:val="none" w:sz="0" w:space="0" w:color="auto"/>
      </w:divBdr>
    </w:div>
    <w:div w:id="2133749245">
      <w:bodyDiv w:val="1"/>
      <w:marLeft w:val="0"/>
      <w:marRight w:val="0"/>
      <w:marTop w:val="0"/>
      <w:marBottom w:val="0"/>
      <w:divBdr>
        <w:top w:val="none" w:sz="0" w:space="0" w:color="auto"/>
        <w:left w:val="none" w:sz="0" w:space="0" w:color="auto"/>
        <w:bottom w:val="none" w:sz="0" w:space="0" w:color="auto"/>
        <w:right w:val="none" w:sz="0" w:space="0" w:color="auto"/>
      </w:divBdr>
    </w:div>
    <w:div w:id="2133934299">
      <w:bodyDiv w:val="1"/>
      <w:marLeft w:val="0"/>
      <w:marRight w:val="0"/>
      <w:marTop w:val="0"/>
      <w:marBottom w:val="0"/>
      <w:divBdr>
        <w:top w:val="none" w:sz="0" w:space="0" w:color="auto"/>
        <w:left w:val="none" w:sz="0" w:space="0" w:color="auto"/>
        <w:bottom w:val="none" w:sz="0" w:space="0" w:color="auto"/>
        <w:right w:val="none" w:sz="0" w:space="0" w:color="auto"/>
      </w:divBdr>
    </w:div>
    <w:div w:id="2133937970">
      <w:bodyDiv w:val="1"/>
      <w:marLeft w:val="0"/>
      <w:marRight w:val="0"/>
      <w:marTop w:val="0"/>
      <w:marBottom w:val="0"/>
      <w:divBdr>
        <w:top w:val="none" w:sz="0" w:space="0" w:color="auto"/>
        <w:left w:val="none" w:sz="0" w:space="0" w:color="auto"/>
        <w:bottom w:val="none" w:sz="0" w:space="0" w:color="auto"/>
        <w:right w:val="none" w:sz="0" w:space="0" w:color="auto"/>
      </w:divBdr>
    </w:div>
    <w:div w:id="2133938343">
      <w:bodyDiv w:val="1"/>
      <w:marLeft w:val="0"/>
      <w:marRight w:val="0"/>
      <w:marTop w:val="0"/>
      <w:marBottom w:val="0"/>
      <w:divBdr>
        <w:top w:val="none" w:sz="0" w:space="0" w:color="auto"/>
        <w:left w:val="none" w:sz="0" w:space="0" w:color="auto"/>
        <w:bottom w:val="none" w:sz="0" w:space="0" w:color="auto"/>
        <w:right w:val="none" w:sz="0" w:space="0" w:color="auto"/>
      </w:divBdr>
    </w:div>
    <w:div w:id="2134130200">
      <w:bodyDiv w:val="1"/>
      <w:marLeft w:val="0"/>
      <w:marRight w:val="0"/>
      <w:marTop w:val="0"/>
      <w:marBottom w:val="0"/>
      <w:divBdr>
        <w:top w:val="none" w:sz="0" w:space="0" w:color="auto"/>
        <w:left w:val="none" w:sz="0" w:space="0" w:color="auto"/>
        <w:bottom w:val="none" w:sz="0" w:space="0" w:color="auto"/>
        <w:right w:val="none" w:sz="0" w:space="0" w:color="auto"/>
      </w:divBdr>
    </w:div>
    <w:div w:id="2134204837">
      <w:bodyDiv w:val="1"/>
      <w:marLeft w:val="0"/>
      <w:marRight w:val="0"/>
      <w:marTop w:val="0"/>
      <w:marBottom w:val="0"/>
      <w:divBdr>
        <w:top w:val="none" w:sz="0" w:space="0" w:color="auto"/>
        <w:left w:val="none" w:sz="0" w:space="0" w:color="auto"/>
        <w:bottom w:val="none" w:sz="0" w:space="0" w:color="auto"/>
        <w:right w:val="none" w:sz="0" w:space="0" w:color="auto"/>
      </w:divBdr>
    </w:div>
    <w:div w:id="2134211469">
      <w:bodyDiv w:val="1"/>
      <w:marLeft w:val="0"/>
      <w:marRight w:val="0"/>
      <w:marTop w:val="0"/>
      <w:marBottom w:val="0"/>
      <w:divBdr>
        <w:top w:val="none" w:sz="0" w:space="0" w:color="auto"/>
        <w:left w:val="none" w:sz="0" w:space="0" w:color="auto"/>
        <w:bottom w:val="none" w:sz="0" w:space="0" w:color="auto"/>
        <w:right w:val="none" w:sz="0" w:space="0" w:color="auto"/>
      </w:divBdr>
    </w:div>
    <w:div w:id="2134250909">
      <w:bodyDiv w:val="1"/>
      <w:marLeft w:val="0"/>
      <w:marRight w:val="0"/>
      <w:marTop w:val="0"/>
      <w:marBottom w:val="0"/>
      <w:divBdr>
        <w:top w:val="none" w:sz="0" w:space="0" w:color="auto"/>
        <w:left w:val="none" w:sz="0" w:space="0" w:color="auto"/>
        <w:bottom w:val="none" w:sz="0" w:space="0" w:color="auto"/>
        <w:right w:val="none" w:sz="0" w:space="0" w:color="auto"/>
      </w:divBdr>
    </w:div>
    <w:div w:id="2134395791">
      <w:bodyDiv w:val="1"/>
      <w:marLeft w:val="0"/>
      <w:marRight w:val="0"/>
      <w:marTop w:val="0"/>
      <w:marBottom w:val="0"/>
      <w:divBdr>
        <w:top w:val="none" w:sz="0" w:space="0" w:color="auto"/>
        <w:left w:val="none" w:sz="0" w:space="0" w:color="auto"/>
        <w:bottom w:val="none" w:sz="0" w:space="0" w:color="auto"/>
        <w:right w:val="none" w:sz="0" w:space="0" w:color="auto"/>
      </w:divBdr>
    </w:div>
    <w:div w:id="2134667094">
      <w:bodyDiv w:val="1"/>
      <w:marLeft w:val="0"/>
      <w:marRight w:val="0"/>
      <w:marTop w:val="0"/>
      <w:marBottom w:val="0"/>
      <w:divBdr>
        <w:top w:val="none" w:sz="0" w:space="0" w:color="auto"/>
        <w:left w:val="none" w:sz="0" w:space="0" w:color="auto"/>
        <w:bottom w:val="none" w:sz="0" w:space="0" w:color="auto"/>
        <w:right w:val="none" w:sz="0" w:space="0" w:color="auto"/>
      </w:divBdr>
    </w:div>
    <w:div w:id="2134706669">
      <w:bodyDiv w:val="1"/>
      <w:marLeft w:val="0"/>
      <w:marRight w:val="0"/>
      <w:marTop w:val="0"/>
      <w:marBottom w:val="0"/>
      <w:divBdr>
        <w:top w:val="none" w:sz="0" w:space="0" w:color="auto"/>
        <w:left w:val="none" w:sz="0" w:space="0" w:color="auto"/>
        <w:bottom w:val="none" w:sz="0" w:space="0" w:color="auto"/>
        <w:right w:val="none" w:sz="0" w:space="0" w:color="auto"/>
      </w:divBdr>
    </w:div>
    <w:div w:id="2134862932">
      <w:bodyDiv w:val="1"/>
      <w:marLeft w:val="0"/>
      <w:marRight w:val="0"/>
      <w:marTop w:val="0"/>
      <w:marBottom w:val="0"/>
      <w:divBdr>
        <w:top w:val="none" w:sz="0" w:space="0" w:color="auto"/>
        <w:left w:val="none" w:sz="0" w:space="0" w:color="auto"/>
        <w:bottom w:val="none" w:sz="0" w:space="0" w:color="auto"/>
        <w:right w:val="none" w:sz="0" w:space="0" w:color="auto"/>
      </w:divBdr>
    </w:div>
    <w:div w:id="2135056794">
      <w:bodyDiv w:val="1"/>
      <w:marLeft w:val="0"/>
      <w:marRight w:val="0"/>
      <w:marTop w:val="0"/>
      <w:marBottom w:val="0"/>
      <w:divBdr>
        <w:top w:val="none" w:sz="0" w:space="0" w:color="auto"/>
        <w:left w:val="none" w:sz="0" w:space="0" w:color="auto"/>
        <w:bottom w:val="none" w:sz="0" w:space="0" w:color="auto"/>
        <w:right w:val="none" w:sz="0" w:space="0" w:color="auto"/>
      </w:divBdr>
    </w:div>
    <w:div w:id="2135175245">
      <w:bodyDiv w:val="1"/>
      <w:marLeft w:val="0"/>
      <w:marRight w:val="0"/>
      <w:marTop w:val="0"/>
      <w:marBottom w:val="0"/>
      <w:divBdr>
        <w:top w:val="none" w:sz="0" w:space="0" w:color="auto"/>
        <w:left w:val="none" w:sz="0" w:space="0" w:color="auto"/>
        <w:bottom w:val="none" w:sz="0" w:space="0" w:color="auto"/>
        <w:right w:val="none" w:sz="0" w:space="0" w:color="auto"/>
      </w:divBdr>
    </w:div>
    <w:div w:id="2135243687">
      <w:bodyDiv w:val="1"/>
      <w:marLeft w:val="0"/>
      <w:marRight w:val="0"/>
      <w:marTop w:val="0"/>
      <w:marBottom w:val="0"/>
      <w:divBdr>
        <w:top w:val="none" w:sz="0" w:space="0" w:color="auto"/>
        <w:left w:val="none" w:sz="0" w:space="0" w:color="auto"/>
        <w:bottom w:val="none" w:sz="0" w:space="0" w:color="auto"/>
        <w:right w:val="none" w:sz="0" w:space="0" w:color="auto"/>
      </w:divBdr>
    </w:div>
    <w:div w:id="2135326136">
      <w:bodyDiv w:val="1"/>
      <w:marLeft w:val="0"/>
      <w:marRight w:val="0"/>
      <w:marTop w:val="0"/>
      <w:marBottom w:val="0"/>
      <w:divBdr>
        <w:top w:val="none" w:sz="0" w:space="0" w:color="auto"/>
        <w:left w:val="none" w:sz="0" w:space="0" w:color="auto"/>
        <w:bottom w:val="none" w:sz="0" w:space="0" w:color="auto"/>
        <w:right w:val="none" w:sz="0" w:space="0" w:color="auto"/>
      </w:divBdr>
    </w:div>
    <w:div w:id="2135442666">
      <w:bodyDiv w:val="1"/>
      <w:marLeft w:val="0"/>
      <w:marRight w:val="0"/>
      <w:marTop w:val="0"/>
      <w:marBottom w:val="0"/>
      <w:divBdr>
        <w:top w:val="none" w:sz="0" w:space="0" w:color="auto"/>
        <w:left w:val="none" w:sz="0" w:space="0" w:color="auto"/>
        <w:bottom w:val="none" w:sz="0" w:space="0" w:color="auto"/>
        <w:right w:val="none" w:sz="0" w:space="0" w:color="auto"/>
      </w:divBdr>
    </w:div>
    <w:div w:id="2135637091">
      <w:bodyDiv w:val="1"/>
      <w:marLeft w:val="0"/>
      <w:marRight w:val="0"/>
      <w:marTop w:val="0"/>
      <w:marBottom w:val="0"/>
      <w:divBdr>
        <w:top w:val="none" w:sz="0" w:space="0" w:color="auto"/>
        <w:left w:val="none" w:sz="0" w:space="0" w:color="auto"/>
        <w:bottom w:val="none" w:sz="0" w:space="0" w:color="auto"/>
        <w:right w:val="none" w:sz="0" w:space="0" w:color="auto"/>
      </w:divBdr>
    </w:div>
    <w:div w:id="2135902424">
      <w:bodyDiv w:val="1"/>
      <w:marLeft w:val="0"/>
      <w:marRight w:val="0"/>
      <w:marTop w:val="0"/>
      <w:marBottom w:val="0"/>
      <w:divBdr>
        <w:top w:val="none" w:sz="0" w:space="0" w:color="auto"/>
        <w:left w:val="none" w:sz="0" w:space="0" w:color="auto"/>
        <w:bottom w:val="none" w:sz="0" w:space="0" w:color="auto"/>
        <w:right w:val="none" w:sz="0" w:space="0" w:color="auto"/>
      </w:divBdr>
    </w:div>
    <w:div w:id="2136101565">
      <w:bodyDiv w:val="1"/>
      <w:marLeft w:val="0"/>
      <w:marRight w:val="0"/>
      <w:marTop w:val="0"/>
      <w:marBottom w:val="0"/>
      <w:divBdr>
        <w:top w:val="none" w:sz="0" w:space="0" w:color="auto"/>
        <w:left w:val="none" w:sz="0" w:space="0" w:color="auto"/>
        <w:bottom w:val="none" w:sz="0" w:space="0" w:color="auto"/>
        <w:right w:val="none" w:sz="0" w:space="0" w:color="auto"/>
      </w:divBdr>
    </w:div>
    <w:div w:id="2136288674">
      <w:bodyDiv w:val="1"/>
      <w:marLeft w:val="0"/>
      <w:marRight w:val="0"/>
      <w:marTop w:val="0"/>
      <w:marBottom w:val="0"/>
      <w:divBdr>
        <w:top w:val="none" w:sz="0" w:space="0" w:color="auto"/>
        <w:left w:val="none" w:sz="0" w:space="0" w:color="auto"/>
        <w:bottom w:val="none" w:sz="0" w:space="0" w:color="auto"/>
        <w:right w:val="none" w:sz="0" w:space="0" w:color="auto"/>
      </w:divBdr>
    </w:div>
    <w:div w:id="2136408447">
      <w:bodyDiv w:val="1"/>
      <w:marLeft w:val="0"/>
      <w:marRight w:val="0"/>
      <w:marTop w:val="0"/>
      <w:marBottom w:val="0"/>
      <w:divBdr>
        <w:top w:val="none" w:sz="0" w:space="0" w:color="auto"/>
        <w:left w:val="none" w:sz="0" w:space="0" w:color="auto"/>
        <w:bottom w:val="none" w:sz="0" w:space="0" w:color="auto"/>
        <w:right w:val="none" w:sz="0" w:space="0" w:color="auto"/>
      </w:divBdr>
    </w:div>
    <w:div w:id="2136487410">
      <w:bodyDiv w:val="1"/>
      <w:marLeft w:val="0"/>
      <w:marRight w:val="0"/>
      <w:marTop w:val="0"/>
      <w:marBottom w:val="0"/>
      <w:divBdr>
        <w:top w:val="none" w:sz="0" w:space="0" w:color="auto"/>
        <w:left w:val="none" w:sz="0" w:space="0" w:color="auto"/>
        <w:bottom w:val="none" w:sz="0" w:space="0" w:color="auto"/>
        <w:right w:val="none" w:sz="0" w:space="0" w:color="auto"/>
      </w:divBdr>
    </w:div>
    <w:div w:id="2136488391">
      <w:bodyDiv w:val="1"/>
      <w:marLeft w:val="0"/>
      <w:marRight w:val="0"/>
      <w:marTop w:val="0"/>
      <w:marBottom w:val="0"/>
      <w:divBdr>
        <w:top w:val="none" w:sz="0" w:space="0" w:color="auto"/>
        <w:left w:val="none" w:sz="0" w:space="0" w:color="auto"/>
        <w:bottom w:val="none" w:sz="0" w:space="0" w:color="auto"/>
        <w:right w:val="none" w:sz="0" w:space="0" w:color="auto"/>
      </w:divBdr>
    </w:div>
    <w:div w:id="2136750931">
      <w:bodyDiv w:val="1"/>
      <w:marLeft w:val="0"/>
      <w:marRight w:val="0"/>
      <w:marTop w:val="0"/>
      <w:marBottom w:val="0"/>
      <w:divBdr>
        <w:top w:val="none" w:sz="0" w:space="0" w:color="auto"/>
        <w:left w:val="none" w:sz="0" w:space="0" w:color="auto"/>
        <w:bottom w:val="none" w:sz="0" w:space="0" w:color="auto"/>
        <w:right w:val="none" w:sz="0" w:space="0" w:color="auto"/>
      </w:divBdr>
    </w:div>
    <w:div w:id="2136827307">
      <w:bodyDiv w:val="1"/>
      <w:marLeft w:val="0"/>
      <w:marRight w:val="0"/>
      <w:marTop w:val="0"/>
      <w:marBottom w:val="0"/>
      <w:divBdr>
        <w:top w:val="none" w:sz="0" w:space="0" w:color="auto"/>
        <w:left w:val="none" w:sz="0" w:space="0" w:color="auto"/>
        <w:bottom w:val="none" w:sz="0" w:space="0" w:color="auto"/>
        <w:right w:val="none" w:sz="0" w:space="0" w:color="auto"/>
      </w:divBdr>
    </w:div>
    <w:div w:id="2136866891">
      <w:bodyDiv w:val="1"/>
      <w:marLeft w:val="0"/>
      <w:marRight w:val="0"/>
      <w:marTop w:val="0"/>
      <w:marBottom w:val="0"/>
      <w:divBdr>
        <w:top w:val="none" w:sz="0" w:space="0" w:color="auto"/>
        <w:left w:val="none" w:sz="0" w:space="0" w:color="auto"/>
        <w:bottom w:val="none" w:sz="0" w:space="0" w:color="auto"/>
        <w:right w:val="none" w:sz="0" w:space="0" w:color="auto"/>
      </w:divBdr>
    </w:div>
    <w:div w:id="2136871607">
      <w:bodyDiv w:val="1"/>
      <w:marLeft w:val="0"/>
      <w:marRight w:val="0"/>
      <w:marTop w:val="0"/>
      <w:marBottom w:val="0"/>
      <w:divBdr>
        <w:top w:val="none" w:sz="0" w:space="0" w:color="auto"/>
        <w:left w:val="none" w:sz="0" w:space="0" w:color="auto"/>
        <w:bottom w:val="none" w:sz="0" w:space="0" w:color="auto"/>
        <w:right w:val="none" w:sz="0" w:space="0" w:color="auto"/>
      </w:divBdr>
    </w:div>
    <w:div w:id="2137021539">
      <w:bodyDiv w:val="1"/>
      <w:marLeft w:val="0"/>
      <w:marRight w:val="0"/>
      <w:marTop w:val="0"/>
      <w:marBottom w:val="0"/>
      <w:divBdr>
        <w:top w:val="none" w:sz="0" w:space="0" w:color="auto"/>
        <w:left w:val="none" w:sz="0" w:space="0" w:color="auto"/>
        <w:bottom w:val="none" w:sz="0" w:space="0" w:color="auto"/>
        <w:right w:val="none" w:sz="0" w:space="0" w:color="auto"/>
      </w:divBdr>
    </w:div>
    <w:div w:id="2137066298">
      <w:bodyDiv w:val="1"/>
      <w:marLeft w:val="0"/>
      <w:marRight w:val="0"/>
      <w:marTop w:val="0"/>
      <w:marBottom w:val="0"/>
      <w:divBdr>
        <w:top w:val="none" w:sz="0" w:space="0" w:color="auto"/>
        <w:left w:val="none" w:sz="0" w:space="0" w:color="auto"/>
        <w:bottom w:val="none" w:sz="0" w:space="0" w:color="auto"/>
        <w:right w:val="none" w:sz="0" w:space="0" w:color="auto"/>
      </w:divBdr>
    </w:div>
    <w:div w:id="2137215293">
      <w:bodyDiv w:val="1"/>
      <w:marLeft w:val="0"/>
      <w:marRight w:val="0"/>
      <w:marTop w:val="0"/>
      <w:marBottom w:val="0"/>
      <w:divBdr>
        <w:top w:val="none" w:sz="0" w:space="0" w:color="auto"/>
        <w:left w:val="none" w:sz="0" w:space="0" w:color="auto"/>
        <w:bottom w:val="none" w:sz="0" w:space="0" w:color="auto"/>
        <w:right w:val="none" w:sz="0" w:space="0" w:color="auto"/>
      </w:divBdr>
    </w:div>
    <w:div w:id="2137332749">
      <w:bodyDiv w:val="1"/>
      <w:marLeft w:val="0"/>
      <w:marRight w:val="0"/>
      <w:marTop w:val="0"/>
      <w:marBottom w:val="0"/>
      <w:divBdr>
        <w:top w:val="none" w:sz="0" w:space="0" w:color="auto"/>
        <w:left w:val="none" w:sz="0" w:space="0" w:color="auto"/>
        <w:bottom w:val="none" w:sz="0" w:space="0" w:color="auto"/>
        <w:right w:val="none" w:sz="0" w:space="0" w:color="auto"/>
      </w:divBdr>
    </w:div>
    <w:div w:id="2137408590">
      <w:bodyDiv w:val="1"/>
      <w:marLeft w:val="0"/>
      <w:marRight w:val="0"/>
      <w:marTop w:val="0"/>
      <w:marBottom w:val="0"/>
      <w:divBdr>
        <w:top w:val="none" w:sz="0" w:space="0" w:color="auto"/>
        <w:left w:val="none" w:sz="0" w:space="0" w:color="auto"/>
        <w:bottom w:val="none" w:sz="0" w:space="0" w:color="auto"/>
        <w:right w:val="none" w:sz="0" w:space="0" w:color="auto"/>
      </w:divBdr>
    </w:div>
    <w:div w:id="2137523089">
      <w:bodyDiv w:val="1"/>
      <w:marLeft w:val="0"/>
      <w:marRight w:val="0"/>
      <w:marTop w:val="0"/>
      <w:marBottom w:val="0"/>
      <w:divBdr>
        <w:top w:val="none" w:sz="0" w:space="0" w:color="auto"/>
        <w:left w:val="none" w:sz="0" w:space="0" w:color="auto"/>
        <w:bottom w:val="none" w:sz="0" w:space="0" w:color="auto"/>
        <w:right w:val="none" w:sz="0" w:space="0" w:color="auto"/>
      </w:divBdr>
    </w:div>
    <w:div w:id="2137720233">
      <w:bodyDiv w:val="1"/>
      <w:marLeft w:val="0"/>
      <w:marRight w:val="0"/>
      <w:marTop w:val="0"/>
      <w:marBottom w:val="0"/>
      <w:divBdr>
        <w:top w:val="none" w:sz="0" w:space="0" w:color="auto"/>
        <w:left w:val="none" w:sz="0" w:space="0" w:color="auto"/>
        <w:bottom w:val="none" w:sz="0" w:space="0" w:color="auto"/>
        <w:right w:val="none" w:sz="0" w:space="0" w:color="auto"/>
      </w:divBdr>
    </w:div>
    <w:div w:id="2137867113">
      <w:bodyDiv w:val="1"/>
      <w:marLeft w:val="0"/>
      <w:marRight w:val="0"/>
      <w:marTop w:val="0"/>
      <w:marBottom w:val="0"/>
      <w:divBdr>
        <w:top w:val="none" w:sz="0" w:space="0" w:color="auto"/>
        <w:left w:val="none" w:sz="0" w:space="0" w:color="auto"/>
        <w:bottom w:val="none" w:sz="0" w:space="0" w:color="auto"/>
        <w:right w:val="none" w:sz="0" w:space="0" w:color="auto"/>
      </w:divBdr>
    </w:div>
    <w:div w:id="2138451299">
      <w:bodyDiv w:val="1"/>
      <w:marLeft w:val="0"/>
      <w:marRight w:val="0"/>
      <w:marTop w:val="0"/>
      <w:marBottom w:val="0"/>
      <w:divBdr>
        <w:top w:val="none" w:sz="0" w:space="0" w:color="auto"/>
        <w:left w:val="none" w:sz="0" w:space="0" w:color="auto"/>
        <w:bottom w:val="none" w:sz="0" w:space="0" w:color="auto"/>
        <w:right w:val="none" w:sz="0" w:space="0" w:color="auto"/>
      </w:divBdr>
    </w:div>
    <w:div w:id="2138524852">
      <w:bodyDiv w:val="1"/>
      <w:marLeft w:val="0"/>
      <w:marRight w:val="0"/>
      <w:marTop w:val="0"/>
      <w:marBottom w:val="0"/>
      <w:divBdr>
        <w:top w:val="none" w:sz="0" w:space="0" w:color="auto"/>
        <w:left w:val="none" w:sz="0" w:space="0" w:color="auto"/>
        <w:bottom w:val="none" w:sz="0" w:space="0" w:color="auto"/>
        <w:right w:val="none" w:sz="0" w:space="0" w:color="auto"/>
      </w:divBdr>
    </w:div>
    <w:div w:id="2138525618">
      <w:bodyDiv w:val="1"/>
      <w:marLeft w:val="0"/>
      <w:marRight w:val="0"/>
      <w:marTop w:val="0"/>
      <w:marBottom w:val="0"/>
      <w:divBdr>
        <w:top w:val="none" w:sz="0" w:space="0" w:color="auto"/>
        <w:left w:val="none" w:sz="0" w:space="0" w:color="auto"/>
        <w:bottom w:val="none" w:sz="0" w:space="0" w:color="auto"/>
        <w:right w:val="none" w:sz="0" w:space="0" w:color="auto"/>
      </w:divBdr>
    </w:div>
    <w:div w:id="2138595585">
      <w:bodyDiv w:val="1"/>
      <w:marLeft w:val="0"/>
      <w:marRight w:val="0"/>
      <w:marTop w:val="0"/>
      <w:marBottom w:val="0"/>
      <w:divBdr>
        <w:top w:val="none" w:sz="0" w:space="0" w:color="auto"/>
        <w:left w:val="none" w:sz="0" w:space="0" w:color="auto"/>
        <w:bottom w:val="none" w:sz="0" w:space="0" w:color="auto"/>
        <w:right w:val="none" w:sz="0" w:space="0" w:color="auto"/>
      </w:divBdr>
    </w:div>
    <w:div w:id="2138715626">
      <w:bodyDiv w:val="1"/>
      <w:marLeft w:val="0"/>
      <w:marRight w:val="0"/>
      <w:marTop w:val="0"/>
      <w:marBottom w:val="0"/>
      <w:divBdr>
        <w:top w:val="none" w:sz="0" w:space="0" w:color="auto"/>
        <w:left w:val="none" w:sz="0" w:space="0" w:color="auto"/>
        <w:bottom w:val="none" w:sz="0" w:space="0" w:color="auto"/>
        <w:right w:val="none" w:sz="0" w:space="0" w:color="auto"/>
      </w:divBdr>
    </w:div>
    <w:div w:id="2138793287">
      <w:bodyDiv w:val="1"/>
      <w:marLeft w:val="0"/>
      <w:marRight w:val="0"/>
      <w:marTop w:val="0"/>
      <w:marBottom w:val="0"/>
      <w:divBdr>
        <w:top w:val="none" w:sz="0" w:space="0" w:color="auto"/>
        <w:left w:val="none" w:sz="0" w:space="0" w:color="auto"/>
        <w:bottom w:val="none" w:sz="0" w:space="0" w:color="auto"/>
        <w:right w:val="none" w:sz="0" w:space="0" w:color="auto"/>
      </w:divBdr>
    </w:div>
    <w:div w:id="2138797241">
      <w:bodyDiv w:val="1"/>
      <w:marLeft w:val="0"/>
      <w:marRight w:val="0"/>
      <w:marTop w:val="0"/>
      <w:marBottom w:val="0"/>
      <w:divBdr>
        <w:top w:val="none" w:sz="0" w:space="0" w:color="auto"/>
        <w:left w:val="none" w:sz="0" w:space="0" w:color="auto"/>
        <w:bottom w:val="none" w:sz="0" w:space="0" w:color="auto"/>
        <w:right w:val="none" w:sz="0" w:space="0" w:color="auto"/>
      </w:divBdr>
    </w:div>
    <w:div w:id="2138985064">
      <w:bodyDiv w:val="1"/>
      <w:marLeft w:val="0"/>
      <w:marRight w:val="0"/>
      <w:marTop w:val="0"/>
      <w:marBottom w:val="0"/>
      <w:divBdr>
        <w:top w:val="none" w:sz="0" w:space="0" w:color="auto"/>
        <w:left w:val="none" w:sz="0" w:space="0" w:color="auto"/>
        <w:bottom w:val="none" w:sz="0" w:space="0" w:color="auto"/>
        <w:right w:val="none" w:sz="0" w:space="0" w:color="auto"/>
      </w:divBdr>
    </w:div>
    <w:div w:id="2139101008">
      <w:bodyDiv w:val="1"/>
      <w:marLeft w:val="0"/>
      <w:marRight w:val="0"/>
      <w:marTop w:val="0"/>
      <w:marBottom w:val="0"/>
      <w:divBdr>
        <w:top w:val="none" w:sz="0" w:space="0" w:color="auto"/>
        <w:left w:val="none" w:sz="0" w:space="0" w:color="auto"/>
        <w:bottom w:val="none" w:sz="0" w:space="0" w:color="auto"/>
        <w:right w:val="none" w:sz="0" w:space="0" w:color="auto"/>
      </w:divBdr>
    </w:div>
    <w:div w:id="2139252514">
      <w:bodyDiv w:val="1"/>
      <w:marLeft w:val="0"/>
      <w:marRight w:val="0"/>
      <w:marTop w:val="0"/>
      <w:marBottom w:val="0"/>
      <w:divBdr>
        <w:top w:val="none" w:sz="0" w:space="0" w:color="auto"/>
        <w:left w:val="none" w:sz="0" w:space="0" w:color="auto"/>
        <w:bottom w:val="none" w:sz="0" w:space="0" w:color="auto"/>
        <w:right w:val="none" w:sz="0" w:space="0" w:color="auto"/>
      </w:divBdr>
    </w:div>
    <w:div w:id="2139369305">
      <w:bodyDiv w:val="1"/>
      <w:marLeft w:val="0"/>
      <w:marRight w:val="0"/>
      <w:marTop w:val="0"/>
      <w:marBottom w:val="0"/>
      <w:divBdr>
        <w:top w:val="none" w:sz="0" w:space="0" w:color="auto"/>
        <w:left w:val="none" w:sz="0" w:space="0" w:color="auto"/>
        <w:bottom w:val="none" w:sz="0" w:space="0" w:color="auto"/>
        <w:right w:val="none" w:sz="0" w:space="0" w:color="auto"/>
      </w:divBdr>
    </w:div>
    <w:div w:id="2139450792">
      <w:bodyDiv w:val="1"/>
      <w:marLeft w:val="0"/>
      <w:marRight w:val="0"/>
      <w:marTop w:val="0"/>
      <w:marBottom w:val="0"/>
      <w:divBdr>
        <w:top w:val="none" w:sz="0" w:space="0" w:color="auto"/>
        <w:left w:val="none" w:sz="0" w:space="0" w:color="auto"/>
        <w:bottom w:val="none" w:sz="0" w:space="0" w:color="auto"/>
        <w:right w:val="none" w:sz="0" w:space="0" w:color="auto"/>
      </w:divBdr>
    </w:div>
    <w:div w:id="2139641757">
      <w:bodyDiv w:val="1"/>
      <w:marLeft w:val="0"/>
      <w:marRight w:val="0"/>
      <w:marTop w:val="0"/>
      <w:marBottom w:val="0"/>
      <w:divBdr>
        <w:top w:val="none" w:sz="0" w:space="0" w:color="auto"/>
        <w:left w:val="none" w:sz="0" w:space="0" w:color="auto"/>
        <w:bottom w:val="none" w:sz="0" w:space="0" w:color="auto"/>
        <w:right w:val="none" w:sz="0" w:space="0" w:color="auto"/>
      </w:divBdr>
    </w:div>
    <w:div w:id="2139952621">
      <w:bodyDiv w:val="1"/>
      <w:marLeft w:val="0"/>
      <w:marRight w:val="0"/>
      <w:marTop w:val="0"/>
      <w:marBottom w:val="0"/>
      <w:divBdr>
        <w:top w:val="none" w:sz="0" w:space="0" w:color="auto"/>
        <w:left w:val="none" w:sz="0" w:space="0" w:color="auto"/>
        <w:bottom w:val="none" w:sz="0" w:space="0" w:color="auto"/>
        <w:right w:val="none" w:sz="0" w:space="0" w:color="auto"/>
      </w:divBdr>
    </w:div>
    <w:div w:id="2140023855">
      <w:bodyDiv w:val="1"/>
      <w:marLeft w:val="0"/>
      <w:marRight w:val="0"/>
      <w:marTop w:val="0"/>
      <w:marBottom w:val="0"/>
      <w:divBdr>
        <w:top w:val="none" w:sz="0" w:space="0" w:color="auto"/>
        <w:left w:val="none" w:sz="0" w:space="0" w:color="auto"/>
        <w:bottom w:val="none" w:sz="0" w:space="0" w:color="auto"/>
        <w:right w:val="none" w:sz="0" w:space="0" w:color="auto"/>
      </w:divBdr>
    </w:div>
    <w:div w:id="2140027854">
      <w:bodyDiv w:val="1"/>
      <w:marLeft w:val="0"/>
      <w:marRight w:val="0"/>
      <w:marTop w:val="0"/>
      <w:marBottom w:val="0"/>
      <w:divBdr>
        <w:top w:val="none" w:sz="0" w:space="0" w:color="auto"/>
        <w:left w:val="none" w:sz="0" w:space="0" w:color="auto"/>
        <w:bottom w:val="none" w:sz="0" w:space="0" w:color="auto"/>
        <w:right w:val="none" w:sz="0" w:space="0" w:color="auto"/>
      </w:divBdr>
    </w:div>
    <w:div w:id="2140102516">
      <w:bodyDiv w:val="1"/>
      <w:marLeft w:val="0"/>
      <w:marRight w:val="0"/>
      <w:marTop w:val="0"/>
      <w:marBottom w:val="0"/>
      <w:divBdr>
        <w:top w:val="none" w:sz="0" w:space="0" w:color="auto"/>
        <w:left w:val="none" w:sz="0" w:space="0" w:color="auto"/>
        <w:bottom w:val="none" w:sz="0" w:space="0" w:color="auto"/>
        <w:right w:val="none" w:sz="0" w:space="0" w:color="auto"/>
      </w:divBdr>
    </w:div>
    <w:div w:id="2140147776">
      <w:bodyDiv w:val="1"/>
      <w:marLeft w:val="0"/>
      <w:marRight w:val="0"/>
      <w:marTop w:val="0"/>
      <w:marBottom w:val="0"/>
      <w:divBdr>
        <w:top w:val="none" w:sz="0" w:space="0" w:color="auto"/>
        <w:left w:val="none" w:sz="0" w:space="0" w:color="auto"/>
        <w:bottom w:val="none" w:sz="0" w:space="0" w:color="auto"/>
        <w:right w:val="none" w:sz="0" w:space="0" w:color="auto"/>
      </w:divBdr>
    </w:div>
    <w:div w:id="2140148635">
      <w:bodyDiv w:val="1"/>
      <w:marLeft w:val="0"/>
      <w:marRight w:val="0"/>
      <w:marTop w:val="0"/>
      <w:marBottom w:val="0"/>
      <w:divBdr>
        <w:top w:val="none" w:sz="0" w:space="0" w:color="auto"/>
        <w:left w:val="none" w:sz="0" w:space="0" w:color="auto"/>
        <w:bottom w:val="none" w:sz="0" w:space="0" w:color="auto"/>
        <w:right w:val="none" w:sz="0" w:space="0" w:color="auto"/>
      </w:divBdr>
    </w:div>
    <w:div w:id="2140340589">
      <w:bodyDiv w:val="1"/>
      <w:marLeft w:val="0"/>
      <w:marRight w:val="0"/>
      <w:marTop w:val="0"/>
      <w:marBottom w:val="0"/>
      <w:divBdr>
        <w:top w:val="none" w:sz="0" w:space="0" w:color="auto"/>
        <w:left w:val="none" w:sz="0" w:space="0" w:color="auto"/>
        <w:bottom w:val="none" w:sz="0" w:space="0" w:color="auto"/>
        <w:right w:val="none" w:sz="0" w:space="0" w:color="auto"/>
      </w:divBdr>
    </w:div>
    <w:div w:id="2140411408">
      <w:bodyDiv w:val="1"/>
      <w:marLeft w:val="0"/>
      <w:marRight w:val="0"/>
      <w:marTop w:val="0"/>
      <w:marBottom w:val="0"/>
      <w:divBdr>
        <w:top w:val="none" w:sz="0" w:space="0" w:color="auto"/>
        <w:left w:val="none" w:sz="0" w:space="0" w:color="auto"/>
        <w:bottom w:val="none" w:sz="0" w:space="0" w:color="auto"/>
        <w:right w:val="none" w:sz="0" w:space="0" w:color="auto"/>
      </w:divBdr>
    </w:div>
    <w:div w:id="2140490252">
      <w:bodyDiv w:val="1"/>
      <w:marLeft w:val="0"/>
      <w:marRight w:val="0"/>
      <w:marTop w:val="0"/>
      <w:marBottom w:val="0"/>
      <w:divBdr>
        <w:top w:val="none" w:sz="0" w:space="0" w:color="auto"/>
        <w:left w:val="none" w:sz="0" w:space="0" w:color="auto"/>
        <w:bottom w:val="none" w:sz="0" w:space="0" w:color="auto"/>
        <w:right w:val="none" w:sz="0" w:space="0" w:color="auto"/>
      </w:divBdr>
    </w:div>
    <w:div w:id="2140564955">
      <w:bodyDiv w:val="1"/>
      <w:marLeft w:val="0"/>
      <w:marRight w:val="0"/>
      <w:marTop w:val="0"/>
      <w:marBottom w:val="0"/>
      <w:divBdr>
        <w:top w:val="none" w:sz="0" w:space="0" w:color="auto"/>
        <w:left w:val="none" w:sz="0" w:space="0" w:color="auto"/>
        <w:bottom w:val="none" w:sz="0" w:space="0" w:color="auto"/>
        <w:right w:val="none" w:sz="0" w:space="0" w:color="auto"/>
      </w:divBdr>
    </w:div>
    <w:div w:id="2140567274">
      <w:bodyDiv w:val="1"/>
      <w:marLeft w:val="0"/>
      <w:marRight w:val="0"/>
      <w:marTop w:val="0"/>
      <w:marBottom w:val="0"/>
      <w:divBdr>
        <w:top w:val="none" w:sz="0" w:space="0" w:color="auto"/>
        <w:left w:val="none" w:sz="0" w:space="0" w:color="auto"/>
        <w:bottom w:val="none" w:sz="0" w:space="0" w:color="auto"/>
        <w:right w:val="none" w:sz="0" w:space="0" w:color="auto"/>
      </w:divBdr>
    </w:div>
    <w:div w:id="2140763386">
      <w:bodyDiv w:val="1"/>
      <w:marLeft w:val="0"/>
      <w:marRight w:val="0"/>
      <w:marTop w:val="0"/>
      <w:marBottom w:val="0"/>
      <w:divBdr>
        <w:top w:val="none" w:sz="0" w:space="0" w:color="auto"/>
        <w:left w:val="none" w:sz="0" w:space="0" w:color="auto"/>
        <w:bottom w:val="none" w:sz="0" w:space="0" w:color="auto"/>
        <w:right w:val="none" w:sz="0" w:space="0" w:color="auto"/>
      </w:divBdr>
    </w:div>
    <w:div w:id="2140875723">
      <w:bodyDiv w:val="1"/>
      <w:marLeft w:val="0"/>
      <w:marRight w:val="0"/>
      <w:marTop w:val="0"/>
      <w:marBottom w:val="0"/>
      <w:divBdr>
        <w:top w:val="none" w:sz="0" w:space="0" w:color="auto"/>
        <w:left w:val="none" w:sz="0" w:space="0" w:color="auto"/>
        <w:bottom w:val="none" w:sz="0" w:space="0" w:color="auto"/>
        <w:right w:val="none" w:sz="0" w:space="0" w:color="auto"/>
      </w:divBdr>
    </w:div>
    <w:div w:id="2140996558">
      <w:bodyDiv w:val="1"/>
      <w:marLeft w:val="0"/>
      <w:marRight w:val="0"/>
      <w:marTop w:val="0"/>
      <w:marBottom w:val="0"/>
      <w:divBdr>
        <w:top w:val="none" w:sz="0" w:space="0" w:color="auto"/>
        <w:left w:val="none" w:sz="0" w:space="0" w:color="auto"/>
        <w:bottom w:val="none" w:sz="0" w:space="0" w:color="auto"/>
        <w:right w:val="none" w:sz="0" w:space="0" w:color="auto"/>
      </w:divBdr>
    </w:div>
    <w:div w:id="2141073421">
      <w:bodyDiv w:val="1"/>
      <w:marLeft w:val="0"/>
      <w:marRight w:val="0"/>
      <w:marTop w:val="0"/>
      <w:marBottom w:val="0"/>
      <w:divBdr>
        <w:top w:val="none" w:sz="0" w:space="0" w:color="auto"/>
        <w:left w:val="none" w:sz="0" w:space="0" w:color="auto"/>
        <w:bottom w:val="none" w:sz="0" w:space="0" w:color="auto"/>
        <w:right w:val="none" w:sz="0" w:space="0" w:color="auto"/>
      </w:divBdr>
    </w:div>
    <w:div w:id="2141343891">
      <w:bodyDiv w:val="1"/>
      <w:marLeft w:val="0"/>
      <w:marRight w:val="0"/>
      <w:marTop w:val="0"/>
      <w:marBottom w:val="0"/>
      <w:divBdr>
        <w:top w:val="none" w:sz="0" w:space="0" w:color="auto"/>
        <w:left w:val="none" w:sz="0" w:space="0" w:color="auto"/>
        <w:bottom w:val="none" w:sz="0" w:space="0" w:color="auto"/>
        <w:right w:val="none" w:sz="0" w:space="0" w:color="auto"/>
      </w:divBdr>
    </w:div>
    <w:div w:id="2141723615">
      <w:bodyDiv w:val="1"/>
      <w:marLeft w:val="0"/>
      <w:marRight w:val="0"/>
      <w:marTop w:val="0"/>
      <w:marBottom w:val="0"/>
      <w:divBdr>
        <w:top w:val="none" w:sz="0" w:space="0" w:color="auto"/>
        <w:left w:val="none" w:sz="0" w:space="0" w:color="auto"/>
        <w:bottom w:val="none" w:sz="0" w:space="0" w:color="auto"/>
        <w:right w:val="none" w:sz="0" w:space="0" w:color="auto"/>
      </w:divBdr>
    </w:div>
    <w:div w:id="2141799318">
      <w:bodyDiv w:val="1"/>
      <w:marLeft w:val="0"/>
      <w:marRight w:val="0"/>
      <w:marTop w:val="0"/>
      <w:marBottom w:val="0"/>
      <w:divBdr>
        <w:top w:val="none" w:sz="0" w:space="0" w:color="auto"/>
        <w:left w:val="none" w:sz="0" w:space="0" w:color="auto"/>
        <w:bottom w:val="none" w:sz="0" w:space="0" w:color="auto"/>
        <w:right w:val="none" w:sz="0" w:space="0" w:color="auto"/>
      </w:divBdr>
    </w:div>
    <w:div w:id="2141801359">
      <w:bodyDiv w:val="1"/>
      <w:marLeft w:val="0"/>
      <w:marRight w:val="0"/>
      <w:marTop w:val="0"/>
      <w:marBottom w:val="0"/>
      <w:divBdr>
        <w:top w:val="none" w:sz="0" w:space="0" w:color="auto"/>
        <w:left w:val="none" w:sz="0" w:space="0" w:color="auto"/>
        <w:bottom w:val="none" w:sz="0" w:space="0" w:color="auto"/>
        <w:right w:val="none" w:sz="0" w:space="0" w:color="auto"/>
      </w:divBdr>
    </w:div>
    <w:div w:id="2141875579">
      <w:bodyDiv w:val="1"/>
      <w:marLeft w:val="0"/>
      <w:marRight w:val="0"/>
      <w:marTop w:val="0"/>
      <w:marBottom w:val="0"/>
      <w:divBdr>
        <w:top w:val="none" w:sz="0" w:space="0" w:color="auto"/>
        <w:left w:val="none" w:sz="0" w:space="0" w:color="auto"/>
        <w:bottom w:val="none" w:sz="0" w:space="0" w:color="auto"/>
        <w:right w:val="none" w:sz="0" w:space="0" w:color="auto"/>
      </w:divBdr>
    </w:div>
    <w:div w:id="2141879166">
      <w:bodyDiv w:val="1"/>
      <w:marLeft w:val="0"/>
      <w:marRight w:val="0"/>
      <w:marTop w:val="0"/>
      <w:marBottom w:val="0"/>
      <w:divBdr>
        <w:top w:val="none" w:sz="0" w:space="0" w:color="auto"/>
        <w:left w:val="none" w:sz="0" w:space="0" w:color="auto"/>
        <w:bottom w:val="none" w:sz="0" w:space="0" w:color="auto"/>
        <w:right w:val="none" w:sz="0" w:space="0" w:color="auto"/>
      </w:divBdr>
    </w:div>
    <w:div w:id="2141991768">
      <w:bodyDiv w:val="1"/>
      <w:marLeft w:val="0"/>
      <w:marRight w:val="0"/>
      <w:marTop w:val="0"/>
      <w:marBottom w:val="0"/>
      <w:divBdr>
        <w:top w:val="none" w:sz="0" w:space="0" w:color="auto"/>
        <w:left w:val="none" w:sz="0" w:space="0" w:color="auto"/>
        <w:bottom w:val="none" w:sz="0" w:space="0" w:color="auto"/>
        <w:right w:val="none" w:sz="0" w:space="0" w:color="auto"/>
      </w:divBdr>
    </w:div>
    <w:div w:id="2142070074">
      <w:bodyDiv w:val="1"/>
      <w:marLeft w:val="0"/>
      <w:marRight w:val="0"/>
      <w:marTop w:val="0"/>
      <w:marBottom w:val="0"/>
      <w:divBdr>
        <w:top w:val="none" w:sz="0" w:space="0" w:color="auto"/>
        <w:left w:val="none" w:sz="0" w:space="0" w:color="auto"/>
        <w:bottom w:val="none" w:sz="0" w:space="0" w:color="auto"/>
        <w:right w:val="none" w:sz="0" w:space="0" w:color="auto"/>
      </w:divBdr>
    </w:div>
    <w:div w:id="2142140868">
      <w:bodyDiv w:val="1"/>
      <w:marLeft w:val="0"/>
      <w:marRight w:val="0"/>
      <w:marTop w:val="0"/>
      <w:marBottom w:val="0"/>
      <w:divBdr>
        <w:top w:val="none" w:sz="0" w:space="0" w:color="auto"/>
        <w:left w:val="none" w:sz="0" w:space="0" w:color="auto"/>
        <w:bottom w:val="none" w:sz="0" w:space="0" w:color="auto"/>
        <w:right w:val="none" w:sz="0" w:space="0" w:color="auto"/>
      </w:divBdr>
    </w:div>
    <w:div w:id="2142307319">
      <w:bodyDiv w:val="1"/>
      <w:marLeft w:val="0"/>
      <w:marRight w:val="0"/>
      <w:marTop w:val="0"/>
      <w:marBottom w:val="0"/>
      <w:divBdr>
        <w:top w:val="none" w:sz="0" w:space="0" w:color="auto"/>
        <w:left w:val="none" w:sz="0" w:space="0" w:color="auto"/>
        <w:bottom w:val="none" w:sz="0" w:space="0" w:color="auto"/>
        <w:right w:val="none" w:sz="0" w:space="0" w:color="auto"/>
      </w:divBdr>
    </w:div>
    <w:div w:id="2142309471">
      <w:bodyDiv w:val="1"/>
      <w:marLeft w:val="0"/>
      <w:marRight w:val="0"/>
      <w:marTop w:val="0"/>
      <w:marBottom w:val="0"/>
      <w:divBdr>
        <w:top w:val="none" w:sz="0" w:space="0" w:color="auto"/>
        <w:left w:val="none" w:sz="0" w:space="0" w:color="auto"/>
        <w:bottom w:val="none" w:sz="0" w:space="0" w:color="auto"/>
        <w:right w:val="none" w:sz="0" w:space="0" w:color="auto"/>
      </w:divBdr>
    </w:div>
    <w:div w:id="2142460517">
      <w:bodyDiv w:val="1"/>
      <w:marLeft w:val="0"/>
      <w:marRight w:val="0"/>
      <w:marTop w:val="0"/>
      <w:marBottom w:val="0"/>
      <w:divBdr>
        <w:top w:val="none" w:sz="0" w:space="0" w:color="auto"/>
        <w:left w:val="none" w:sz="0" w:space="0" w:color="auto"/>
        <w:bottom w:val="none" w:sz="0" w:space="0" w:color="auto"/>
        <w:right w:val="none" w:sz="0" w:space="0" w:color="auto"/>
      </w:divBdr>
    </w:div>
    <w:div w:id="2142650854">
      <w:bodyDiv w:val="1"/>
      <w:marLeft w:val="0"/>
      <w:marRight w:val="0"/>
      <w:marTop w:val="0"/>
      <w:marBottom w:val="0"/>
      <w:divBdr>
        <w:top w:val="none" w:sz="0" w:space="0" w:color="auto"/>
        <w:left w:val="none" w:sz="0" w:space="0" w:color="auto"/>
        <w:bottom w:val="none" w:sz="0" w:space="0" w:color="auto"/>
        <w:right w:val="none" w:sz="0" w:space="0" w:color="auto"/>
      </w:divBdr>
    </w:div>
    <w:div w:id="2142962436">
      <w:bodyDiv w:val="1"/>
      <w:marLeft w:val="0"/>
      <w:marRight w:val="0"/>
      <w:marTop w:val="0"/>
      <w:marBottom w:val="0"/>
      <w:divBdr>
        <w:top w:val="none" w:sz="0" w:space="0" w:color="auto"/>
        <w:left w:val="none" w:sz="0" w:space="0" w:color="auto"/>
        <w:bottom w:val="none" w:sz="0" w:space="0" w:color="auto"/>
        <w:right w:val="none" w:sz="0" w:space="0" w:color="auto"/>
      </w:divBdr>
    </w:div>
    <w:div w:id="2142992512">
      <w:bodyDiv w:val="1"/>
      <w:marLeft w:val="0"/>
      <w:marRight w:val="0"/>
      <w:marTop w:val="0"/>
      <w:marBottom w:val="0"/>
      <w:divBdr>
        <w:top w:val="none" w:sz="0" w:space="0" w:color="auto"/>
        <w:left w:val="none" w:sz="0" w:space="0" w:color="auto"/>
        <w:bottom w:val="none" w:sz="0" w:space="0" w:color="auto"/>
        <w:right w:val="none" w:sz="0" w:space="0" w:color="auto"/>
      </w:divBdr>
    </w:div>
    <w:div w:id="2143231918">
      <w:bodyDiv w:val="1"/>
      <w:marLeft w:val="0"/>
      <w:marRight w:val="0"/>
      <w:marTop w:val="0"/>
      <w:marBottom w:val="0"/>
      <w:divBdr>
        <w:top w:val="none" w:sz="0" w:space="0" w:color="auto"/>
        <w:left w:val="none" w:sz="0" w:space="0" w:color="auto"/>
        <w:bottom w:val="none" w:sz="0" w:space="0" w:color="auto"/>
        <w:right w:val="none" w:sz="0" w:space="0" w:color="auto"/>
      </w:divBdr>
    </w:div>
    <w:div w:id="2143379735">
      <w:bodyDiv w:val="1"/>
      <w:marLeft w:val="0"/>
      <w:marRight w:val="0"/>
      <w:marTop w:val="0"/>
      <w:marBottom w:val="0"/>
      <w:divBdr>
        <w:top w:val="none" w:sz="0" w:space="0" w:color="auto"/>
        <w:left w:val="none" w:sz="0" w:space="0" w:color="auto"/>
        <w:bottom w:val="none" w:sz="0" w:space="0" w:color="auto"/>
        <w:right w:val="none" w:sz="0" w:space="0" w:color="auto"/>
      </w:divBdr>
    </w:div>
    <w:div w:id="2143500737">
      <w:bodyDiv w:val="1"/>
      <w:marLeft w:val="0"/>
      <w:marRight w:val="0"/>
      <w:marTop w:val="0"/>
      <w:marBottom w:val="0"/>
      <w:divBdr>
        <w:top w:val="none" w:sz="0" w:space="0" w:color="auto"/>
        <w:left w:val="none" w:sz="0" w:space="0" w:color="auto"/>
        <w:bottom w:val="none" w:sz="0" w:space="0" w:color="auto"/>
        <w:right w:val="none" w:sz="0" w:space="0" w:color="auto"/>
      </w:divBdr>
    </w:div>
    <w:div w:id="2143572570">
      <w:bodyDiv w:val="1"/>
      <w:marLeft w:val="0"/>
      <w:marRight w:val="0"/>
      <w:marTop w:val="0"/>
      <w:marBottom w:val="0"/>
      <w:divBdr>
        <w:top w:val="none" w:sz="0" w:space="0" w:color="auto"/>
        <w:left w:val="none" w:sz="0" w:space="0" w:color="auto"/>
        <w:bottom w:val="none" w:sz="0" w:space="0" w:color="auto"/>
        <w:right w:val="none" w:sz="0" w:space="0" w:color="auto"/>
      </w:divBdr>
    </w:div>
    <w:div w:id="2143619191">
      <w:bodyDiv w:val="1"/>
      <w:marLeft w:val="0"/>
      <w:marRight w:val="0"/>
      <w:marTop w:val="0"/>
      <w:marBottom w:val="0"/>
      <w:divBdr>
        <w:top w:val="none" w:sz="0" w:space="0" w:color="auto"/>
        <w:left w:val="none" w:sz="0" w:space="0" w:color="auto"/>
        <w:bottom w:val="none" w:sz="0" w:space="0" w:color="auto"/>
        <w:right w:val="none" w:sz="0" w:space="0" w:color="auto"/>
      </w:divBdr>
    </w:div>
    <w:div w:id="2143644514">
      <w:bodyDiv w:val="1"/>
      <w:marLeft w:val="0"/>
      <w:marRight w:val="0"/>
      <w:marTop w:val="0"/>
      <w:marBottom w:val="0"/>
      <w:divBdr>
        <w:top w:val="none" w:sz="0" w:space="0" w:color="auto"/>
        <w:left w:val="none" w:sz="0" w:space="0" w:color="auto"/>
        <w:bottom w:val="none" w:sz="0" w:space="0" w:color="auto"/>
        <w:right w:val="none" w:sz="0" w:space="0" w:color="auto"/>
      </w:divBdr>
    </w:div>
    <w:div w:id="2143764632">
      <w:bodyDiv w:val="1"/>
      <w:marLeft w:val="0"/>
      <w:marRight w:val="0"/>
      <w:marTop w:val="0"/>
      <w:marBottom w:val="0"/>
      <w:divBdr>
        <w:top w:val="none" w:sz="0" w:space="0" w:color="auto"/>
        <w:left w:val="none" w:sz="0" w:space="0" w:color="auto"/>
        <w:bottom w:val="none" w:sz="0" w:space="0" w:color="auto"/>
        <w:right w:val="none" w:sz="0" w:space="0" w:color="auto"/>
      </w:divBdr>
    </w:div>
    <w:div w:id="2143842932">
      <w:bodyDiv w:val="1"/>
      <w:marLeft w:val="0"/>
      <w:marRight w:val="0"/>
      <w:marTop w:val="0"/>
      <w:marBottom w:val="0"/>
      <w:divBdr>
        <w:top w:val="none" w:sz="0" w:space="0" w:color="auto"/>
        <w:left w:val="none" w:sz="0" w:space="0" w:color="auto"/>
        <w:bottom w:val="none" w:sz="0" w:space="0" w:color="auto"/>
        <w:right w:val="none" w:sz="0" w:space="0" w:color="auto"/>
      </w:divBdr>
    </w:div>
    <w:div w:id="2144037227">
      <w:bodyDiv w:val="1"/>
      <w:marLeft w:val="0"/>
      <w:marRight w:val="0"/>
      <w:marTop w:val="0"/>
      <w:marBottom w:val="0"/>
      <w:divBdr>
        <w:top w:val="none" w:sz="0" w:space="0" w:color="auto"/>
        <w:left w:val="none" w:sz="0" w:space="0" w:color="auto"/>
        <w:bottom w:val="none" w:sz="0" w:space="0" w:color="auto"/>
        <w:right w:val="none" w:sz="0" w:space="0" w:color="auto"/>
      </w:divBdr>
    </w:div>
    <w:div w:id="2144082891">
      <w:bodyDiv w:val="1"/>
      <w:marLeft w:val="0"/>
      <w:marRight w:val="0"/>
      <w:marTop w:val="0"/>
      <w:marBottom w:val="0"/>
      <w:divBdr>
        <w:top w:val="none" w:sz="0" w:space="0" w:color="auto"/>
        <w:left w:val="none" w:sz="0" w:space="0" w:color="auto"/>
        <w:bottom w:val="none" w:sz="0" w:space="0" w:color="auto"/>
        <w:right w:val="none" w:sz="0" w:space="0" w:color="auto"/>
      </w:divBdr>
    </w:div>
    <w:div w:id="2144153923">
      <w:bodyDiv w:val="1"/>
      <w:marLeft w:val="0"/>
      <w:marRight w:val="0"/>
      <w:marTop w:val="0"/>
      <w:marBottom w:val="0"/>
      <w:divBdr>
        <w:top w:val="none" w:sz="0" w:space="0" w:color="auto"/>
        <w:left w:val="none" w:sz="0" w:space="0" w:color="auto"/>
        <w:bottom w:val="none" w:sz="0" w:space="0" w:color="auto"/>
        <w:right w:val="none" w:sz="0" w:space="0" w:color="auto"/>
      </w:divBdr>
    </w:div>
    <w:div w:id="2144417727">
      <w:bodyDiv w:val="1"/>
      <w:marLeft w:val="0"/>
      <w:marRight w:val="0"/>
      <w:marTop w:val="0"/>
      <w:marBottom w:val="0"/>
      <w:divBdr>
        <w:top w:val="none" w:sz="0" w:space="0" w:color="auto"/>
        <w:left w:val="none" w:sz="0" w:space="0" w:color="auto"/>
        <w:bottom w:val="none" w:sz="0" w:space="0" w:color="auto"/>
        <w:right w:val="none" w:sz="0" w:space="0" w:color="auto"/>
      </w:divBdr>
    </w:div>
    <w:div w:id="2144762190">
      <w:bodyDiv w:val="1"/>
      <w:marLeft w:val="0"/>
      <w:marRight w:val="0"/>
      <w:marTop w:val="0"/>
      <w:marBottom w:val="0"/>
      <w:divBdr>
        <w:top w:val="none" w:sz="0" w:space="0" w:color="auto"/>
        <w:left w:val="none" w:sz="0" w:space="0" w:color="auto"/>
        <w:bottom w:val="none" w:sz="0" w:space="0" w:color="auto"/>
        <w:right w:val="none" w:sz="0" w:space="0" w:color="auto"/>
      </w:divBdr>
    </w:div>
    <w:div w:id="2144954738">
      <w:bodyDiv w:val="1"/>
      <w:marLeft w:val="0"/>
      <w:marRight w:val="0"/>
      <w:marTop w:val="0"/>
      <w:marBottom w:val="0"/>
      <w:divBdr>
        <w:top w:val="none" w:sz="0" w:space="0" w:color="auto"/>
        <w:left w:val="none" w:sz="0" w:space="0" w:color="auto"/>
        <w:bottom w:val="none" w:sz="0" w:space="0" w:color="auto"/>
        <w:right w:val="none" w:sz="0" w:space="0" w:color="auto"/>
      </w:divBdr>
    </w:div>
    <w:div w:id="2145155455">
      <w:bodyDiv w:val="1"/>
      <w:marLeft w:val="0"/>
      <w:marRight w:val="0"/>
      <w:marTop w:val="0"/>
      <w:marBottom w:val="0"/>
      <w:divBdr>
        <w:top w:val="none" w:sz="0" w:space="0" w:color="auto"/>
        <w:left w:val="none" w:sz="0" w:space="0" w:color="auto"/>
        <w:bottom w:val="none" w:sz="0" w:space="0" w:color="auto"/>
        <w:right w:val="none" w:sz="0" w:space="0" w:color="auto"/>
      </w:divBdr>
    </w:div>
    <w:div w:id="2145344339">
      <w:bodyDiv w:val="1"/>
      <w:marLeft w:val="0"/>
      <w:marRight w:val="0"/>
      <w:marTop w:val="0"/>
      <w:marBottom w:val="0"/>
      <w:divBdr>
        <w:top w:val="none" w:sz="0" w:space="0" w:color="auto"/>
        <w:left w:val="none" w:sz="0" w:space="0" w:color="auto"/>
        <w:bottom w:val="none" w:sz="0" w:space="0" w:color="auto"/>
        <w:right w:val="none" w:sz="0" w:space="0" w:color="auto"/>
      </w:divBdr>
    </w:div>
    <w:div w:id="2145535823">
      <w:bodyDiv w:val="1"/>
      <w:marLeft w:val="0"/>
      <w:marRight w:val="0"/>
      <w:marTop w:val="0"/>
      <w:marBottom w:val="0"/>
      <w:divBdr>
        <w:top w:val="none" w:sz="0" w:space="0" w:color="auto"/>
        <w:left w:val="none" w:sz="0" w:space="0" w:color="auto"/>
        <w:bottom w:val="none" w:sz="0" w:space="0" w:color="auto"/>
        <w:right w:val="none" w:sz="0" w:space="0" w:color="auto"/>
      </w:divBdr>
    </w:div>
    <w:div w:id="2145611530">
      <w:bodyDiv w:val="1"/>
      <w:marLeft w:val="0"/>
      <w:marRight w:val="0"/>
      <w:marTop w:val="0"/>
      <w:marBottom w:val="0"/>
      <w:divBdr>
        <w:top w:val="none" w:sz="0" w:space="0" w:color="auto"/>
        <w:left w:val="none" w:sz="0" w:space="0" w:color="auto"/>
        <w:bottom w:val="none" w:sz="0" w:space="0" w:color="auto"/>
        <w:right w:val="none" w:sz="0" w:space="0" w:color="auto"/>
      </w:divBdr>
    </w:div>
    <w:div w:id="2145728962">
      <w:bodyDiv w:val="1"/>
      <w:marLeft w:val="0"/>
      <w:marRight w:val="0"/>
      <w:marTop w:val="0"/>
      <w:marBottom w:val="0"/>
      <w:divBdr>
        <w:top w:val="none" w:sz="0" w:space="0" w:color="auto"/>
        <w:left w:val="none" w:sz="0" w:space="0" w:color="auto"/>
        <w:bottom w:val="none" w:sz="0" w:space="0" w:color="auto"/>
        <w:right w:val="none" w:sz="0" w:space="0" w:color="auto"/>
      </w:divBdr>
    </w:div>
    <w:div w:id="2145809868">
      <w:bodyDiv w:val="1"/>
      <w:marLeft w:val="0"/>
      <w:marRight w:val="0"/>
      <w:marTop w:val="0"/>
      <w:marBottom w:val="0"/>
      <w:divBdr>
        <w:top w:val="none" w:sz="0" w:space="0" w:color="auto"/>
        <w:left w:val="none" w:sz="0" w:space="0" w:color="auto"/>
        <w:bottom w:val="none" w:sz="0" w:space="0" w:color="auto"/>
        <w:right w:val="none" w:sz="0" w:space="0" w:color="auto"/>
      </w:divBdr>
    </w:div>
    <w:div w:id="2145926957">
      <w:bodyDiv w:val="1"/>
      <w:marLeft w:val="0"/>
      <w:marRight w:val="0"/>
      <w:marTop w:val="0"/>
      <w:marBottom w:val="0"/>
      <w:divBdr>
        <w:top w:val="none" w:sz="0" w:space="0" w:color="auto"/>
        <w:left w:val="none" w:sz="0" w:space="0" w:color="auto"/>
        <w:bottom w:val="none" w:sz="0" w:space="0" w:color="auto"/>
        <w:right w:val="none" w:sz="0" w:space="0" w:color="auto"/>
      </w:divBdr>
    </w:div>
    <w:div w:id="2146045529">
      <w:bodyDiv w:val="1"/>
      <w:marLeft w:val="0"/>
      <w:marRight w:val="0"/>
      <w:marTop w:val="0"/>
      <w:marBottom w:val="0"/>
      <w:divBdr>
        <w:top w:val="none" w:sz="0" w:space="0" w:color="auto"/>
        <w:left w:val="none" w:sz="0" w:space="0" w:color="auto"/>
        <w:bottom w:val="none" w:sz="0" w:space="0" w:color="auto"/>
        <w:right w:val="none" w:sz="0" w:space="0" w:color="auto"/>
      </w:divBdr>
    </w:div>
    <w:div w:id="2146072703">
      <w:bodyDiv w:val="1"/>
      <w:marLeft w:val="0"/>
      <w:marRight w:val="0"/>
      <w:marTop w:val="0"/>
      <w:marBottom w:val="0"/>
      <w:divBdr>
        <w:top w:val="none" w:sz="0" w:space="0" w:color="auto"/>
        <w:left w:val="none" w:sz="0" w:space="0" w:color="auto"/>
        <w:bottom w:val="none" w:sz="0" w:space="0" w:color="auto"/>
        <w:right w:val="none" w:sz="0" w:space="0" w:color="auto"/>
      </w:divBdr>
    </w:div>
    <w:div w:id="2146193953">
      <w:bodyDiv w:val="1"/>
      <w:marLeft w:val="0"/>
      <w:marRight w:val="0"/>
      <w:marTop w:val="0"/>
      <w:marBottom w:val="0"/>
      <w:divBdr>
        <w:top w:val="none" w:sz="0" w:space="0" w:color="auto"/>
        <w:left w:val="none" w:sz="0" w:space="0" w:color="auto"/>
        <w:bottom w:val="none" w:sz="0" w:space="0" w:color="auto"/>
        <w:right w:val="none" w:sz="0" w:space="0" w:color="auto"/>
      </w:divBdr>
    </w:div>
    <w:div w:id="2146308240">
      <w:bodyDiv w:val="1"/>
      <w:marLeft w:val="0"/>
      <w:marRight w:val="0"/>
      <w:marTop w:val="0"/>
      <w:marBottom w:val="0"/>
      <w:divBdr>
        <w:top w:val="none" w:sz="0" w:space="0" w:color="auto"/>
        <w:left w:val="none" w:sz="0" w:space="0" w:color="auto"/>
        <w:bottom w:val="none" w:sz="0" w:space="0" w:color="auto"/>
        <w:right w:val="none" w:sz="0" w:space="0" w:color="auto"/>
      </w:divBdr>
    </w:div>
    <w:div w:id="2146315117">
      <w:bodyDiv w:val="1"/>
      <w:marLeft w:val="0"/>
      <w:marRight w:val="0"/>
      <w:marTop w:val="0"/>
      <w:marBottom w:val="0"/>
      <w:divBdr>
        <w:top w:val="none" w:sz="0" w:space="0" w:color="auto"/>
        <w:left w:val="none" w:sz="0" w:space="0" w:color="auto"/>
        <w:bottom w:val="none" w:sz="0" w:space="0" w:color="auto"/>
        <w:right w:val="none" w:sz="0" w:space="0" w:color="auto"/>
      </w:divBdr>
    </w:div>
    <w:div w:id="2146387312">
      <w:bodyDiv w:val="1"/>
      <w:marLeft w:val="0"/>
      <w:marRight w:val="0"/>
      <w:marTop w:val="0"/>
      <w:marBottom w:val="0"/>
      <w:divBdr>
        <w:top w:val="none" w:sz="0" w:space="0" w:color="auto"/>
        <w:left w:val="none" w:sz="0" w:space="0" w:color="auto"/>
        <w:bottom w:val="none" w:sz="0" w:space="0" w:color="auto"/>
        <w:right w:val="none" w:sz="0" w:space="0" w:color="auto"/>
      </w:divBdr>
    </w:div>
    <w:div w:id="2146466496">
      <w:bodyDiv w:val="1"/>
      <w:marLeft w:val="0"/>
      <w:marRight w:val="0"/>
      <w:marTop w:val="0"/>
      <w:marBottom w:val="0"/>
      <w:divBdr>
        <w:top w:val="none" w:sz="0" w:space="0" w:color="auto"/>
        <w:left w:val="none" w:sz="0" w:space="0" w:color="auto"/>
        <w:bottom w:val="none" w:sz="0" w:space="0" w:color="auto"/>
        <w:right w:val="none" w:sz="0" w:space="0" w:color="auto"/>
      </w:divBdr>
    </w:div>
    <w:div w:id="2146502164">
      <w:bodyDiv w:val="1"/>
      <w:marLeft w:val="0"/>
      <w:marRight w:val="0"/>
      <w:marTop w:val="0"/>
      <w:marBottom w:val="0"/>
      <w:divBdr>
        <w:top w:val="none" w:sz="0" w:space="0" w:color="auto"/>
        <w:left w:val="none" w:sz="0" w:space="0" w:color="auto"/>
        <w:bottom w:val="none" w:sz="0" w:space="0" w:color="auto"/>
        <w:right w:val="none" w:sz="0" w:space="0" w:color="auto"/>
      </w:divBdr>
    </w:div>
    <w:div w:id="2146504008">
      <w:bodyDiv w:val="1"/>
      <w:marLeft w:val="0"/>
      <w:marRight w:val="0"/>
      <w:marTop w:val="0"/>
      <w:marBottom w:val="0"/>
      <w:divBdr>
        <w:top w:val="none" w:sz="0" w:space="0" w:color="auto"/>
        <w:left w:val="none" w:sz="0" w:space="0" w:color="auto"/>
        <w:bottom w:val="none" w:sz="0" w:space="0" w:color="auto"/>
        <w:right w:val="none" w:sz="0" w:space="0" w:color="auto"/>
      </w:divBdr>
    </w:div>
    <w:div w:id="2146508229">
      <w:bodyDiv w:val="1"/>
      <w:marLeft w:val="0"/>
      <w:marRight w:val="0"/>
      <w:marTop w:val="0"/>
      <w:marBottom w:val="0"/>
      <w:divBdr>
        <w:top w:val="none" w:sz="0" w:space="0" w:color="auto"/>
        <w:left w:val="none" w:sz="0" w:space="0" w:color="auto"/>
        <w:bottom w:val="none" w:sz="0" w:space="0" w:color="auto"/>
        <w:right w:val="none" w:sz="0" w:space="0" w:color="auto"/>
      </w:divBdr>
    </w:div>
    <w:div w:id="2146654033">
      <w:bodyDiv w:val="1"/>
      <w:marLeft w:val="0"/>
      <w:marRight w:val="0"/>
      <w:marTop w:val="0"/>
      <w:marBottom w:val="0"/>
      <w:divBdr>
        <w:top w:val="none" w:sz="0" w:space="0" w:color="auto"/>
        <w:left w:val="none" w:sz="0" w:space="0" w:color="auto"/>
        <w:bottom w:val="none" w:sz="0" w:space="0" w:color="auto"/>
        <w:right w:val="none" w:sz="0" w:space="0" w:color="auto"/>
      </w:divBdr>
    </w:div>
    <w:div w:id="2146656880">
      <w:bodyDiv w:val="1"/>
      <w:marLeft w:val="0"/>
      <w:marRight w:val="0"/>
      <w:marTop w:val="0"/>
      <w:marBottom w:val="0"/>
      <w:divBdr>
        <w:top w:val="none" w:sz="0" w:space="0" w:color="auto"/>
        <w:left w:val="none" w:sz="0" w:space="0" w:color="auto"/>
        <w:bottom w:val="none" w:sz="0" w:space="0" w:color="auto"/>
        <w:right w:val="none" w:sz="0" w:space="0" w:color="auto"/>
      </w:divBdr>
    </w:div>
    <w:div w:id="2146697289">
      <w:bodyDiv w:val="1"/>
      <w:marLeft w:val="0"/>
      <w:marRight w:val="0"/>
      <w:marTop w:val="0"/>
      <w:marBottom w:val="0"/>
      <w:divBdr>
        <w:top w:val="none" w:sz="0" w:space="0" w:color="auto"/>
        <w:left w:val="none" w:sz="0" w:space="0" w:color="auto"/>
        <w:bottom w:val="none" w:sz="0" w:space="0" w:color="auto"/>
        <w:right w:val="none" w:sz="0" w:space="0" w:color="auto"/>
      </w:divBdr>
    </w:div>
    <w:div w:id="2146851545">
      <w:bodyDiv w:val="1"/>
      <w:marLeft w:val="0"/>
      <w:marRight w:val="0"/>
      <w:marTop w:val="0"/>
      <w:marBottom w:val="0"/>
      <w:divBdr>
        <w:top w:val="none" w:sz="0" w:space="0" w:color="auto"/>
        <w:left w:val="none" w:sz="0" w:space="0" w:color="auto"/>
        <w:bottom w:val="none" w:sz="0" w:space="0" w:color="auto"/>
        <w:right w:val="none" w:sz="0" w:space="0" w:color="auto"/>
      </w:divBdr>
    </w:div>
    <w:div w:id="2146926504">
      <w:bodyDiv w:val="1"/>
      <w:marLeft w:val="0"/>
      <w:marRight w:val="0"/>
      <w:marTop w:val="0"/>
      <w:marBottom w:val="0"/>
      <w:divBdr>
        <w:top w:val="none" w:sz="0" w:space="0" w:color="auto"/>
        <w:left w:val="none" w:sz="0" w:space="0" w:color="auto"/>
        <w:bottom w:val="none" w:sz="0" w:space="0" w:color="auto"/>
        <w:right w:val="none" w:sz="0" w:space="0" w:color="auto"/>
      </w:divBdr>
    </w:div>
    <w:div w:id="2147122408">
      <w:bodyDiv w:val="1"/>
      <w:marLeft w:val="0"/>
      <w:marRight w:val="0"/>
      <w:marTop w:val="0"/>
      <w:marBottom w:val="0"/>
      <w:divBdr>
        <w:top w:val="none" w:sz="0" w:space="0" w:color="auto"/>
        <w:left w:val="none" w:sz="0" w:space="0" w:color="auto"/>
        <w:bottom w:val="none" w:sz="0" w:space="0" w:color="auto"/>
        <w:right w:val="none" w:sz="0" w:space="0" w:color="auto"/>
      </w:divBdr>
    </w:div>
    <w:div w:id="2147157033">
      <w:bodyDiv w:val="1"/>
      <w:marLeft w:val="0"/>
      <w:marRight w:val="0"/>
      <w:marTop w:val="0"/>
      <w:marBottom w:val="0"/>
      <w:divBdr>
        <w:top w:val="none" w:sz="0" w:space="0" w:color="auto"/>
        <w:left w:val="none" w:sz="0" w:space="0" w:color="auto"/>
        <w:bottom w:val="none" w:sz="0" w:space="0" w:color="auto"/>
        <w:right w:val="none" w:sz="0" w:space="0" w:color="auto"/>
      </w:divBdr>
    </w:div>
    <w:div w:id="2147159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anla.sharepoint.com/:x:/s/SIPTA_GRCM_EXT/EVB8HMtq2kxEs5ZQb3klduQBHDv1roHDESchj6YhL0qJVQ?e=5xBFxJ" TargetMode="External"/><Relationship Id="rId21" Type="http://schemas.openxmlformats.org/officeDocument/2006/relationships/image" Target="media/image11.jpeg"/><Relationship Id="rId42" Type="http://schemas.openxmlformats.org/officeDocument/2006/relationships/image" Target="media/image32.png"/><Relationship Id="rId63" Type="http://schemas.openxmlformats.org/officeDocument/2006/relationships/chart" Target="charts/chart2.xml"/><Relationship Id="rId84" Type="http://schemas.openxmlformats.org/officeDocument/2006/relationships/image" Target="media/image71.png"/><Relationship Id="rId138" Type="http://schemas.openxmlformats.org/officeDocument/2006/relationships/image" Target="media/image117.jpeg"/><Relationship Id="rId159" Type="http://schemas.openxmlformats.org/officeDocument/2006/relationships/header" Target="header2.xml"/><Relationship Id="rId170" Type="http://schemas.openxmlformats.org/officeDocument/2006/relationships/image" Target="media/image144.png"/><Relationship Id="rId191" Type="http://schemas.openxmlformats.org/officeDocument/2006/relationships/image" Target="media/image163.png"/><Relationship Id="rId205" Type="http://schemas.openxmlformats.org/officeDocument/2006/relationships/fontTable" Target="fontTable.xml"/><Relationship Id="rId107" Type="http://schemas.openxmlformats.org/officeDocument/2006/relationships/image" Target="media/image94.png"/><Relationship Id="rId11" Type="http://schemas.openxmlformats.org/officeDocument/2006/relationships/image" Target="media/image1.png"/><Relationship Id="rId32" Type="http://schemas.openxmlformats.org/officeDocument/2006/relationships/image" Target="media/image22.jpeg"/><Relationship Id="rId53" Type="http://schemas.openxmlformats.org/officeDocument/2006/relationships/image" Target="media/image43.png"/><Relationship Id="rId74" Type="http://schemas.openxmlformats.org/officeDocument/2006/relationships/image" Target="media/image61.emf"/><Relationship Id="rId128" Type="http://schemas.openxmlformats.org/officeDocument/2006/relationships/image" Target="media/image110.jpeg"/><Relationship Id="rId149" Type="http://schemas.openxmlformats.org/officeDocument/2006/relationships/image" Target="media/image126.png"/><Relationship Id="rId5" Type="http://schemas.openxmlformats.org/officeDocument/2006/relationships/numbering" Target="numbering.xml"/><Relationship Id="rId95" Type="http://schemas.openxmlformats.org/officeDocument/2006/relationships/image" Target="media/image82.jpeg"/><Relationship Id="rId160" Type="http://schemas.openxmlformats.org/officeDocument/2006/relationships/footer" Target="footer2.xml"/><Relationship Id="rId181" Type="http://schemas.openxmlformats.org/officeDocument/2006/relationships/image" Target="media/image155.png"/><Relationship Id="rId22" Type="http://schemas.openxmlformats.org/officeDocument/2006/relationships/image" Target="media/image12.png"/><Relationship Id="rId43" Type="http://schemas.openxmlformats.org/officeDocument/2006/relationships/image" Target="media/image33.jpeg"/><Relationship Id="rId64" Type="http://schemas.openxmlformats.org/officeDocument/2006/relationships/chart" Target="charts/chart3.xml"/><Relationship Id="rId118" Type="http://schemas.openxmlformats.org/officeDocument/2006/relationships/image" Target="media/image102.jpeg"/><Relationship Id="rId139" Type="http://schemas.openxmlformats.org/officeDocument/2006/relationships/chart" Target="charts/chart7.xml"/><Relationship Id="rId85" Type="http://schemas.openxmlformats.org/officeDocument/2006/relationships/image" Target="media/image72.tiff"/><Relationship Id="rId150" Type="http://schemas.openxmlformats.org/officeDocument/2006/relationships/image" Target="media/image127.png"/><Relationship Id="rId171" Type="http://schemas.openxmlformats.org/officeDocument/2006/relationships/image" Target="media/image145.png"/><Relationship Id="rId192" Type="http://schemas.openxmlformats.org/officeDocument/2006/relationships/image" Target="media/image164.jpeg"/><Relationship Id="rId206" Type="http://schemas.openxmlformats.org/officeDocument/2006/relationships/theme" Target="theme/theme1.xml"/><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5.png"/><Relationship Id="rId129" Type="http://schemas.openxmlformats.org/officeDocument/2006/relationships/image" Target="media/image111.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18.png"/><Relationship Id="rId161" Type="http://schemas.openxmlformats.org/officeDocument/2006/relationships/image" Target="media/image136.jpeg"/><Relationship Id="rId182" Type="http://schemas.openxmlformats.org/officeDocument/2006/relationships/image" Target="media/image156.jpeg"/><Relationship Id="rId6" Type="http://schemas.openxmlformats.org/officeDocument/2006/relationships/styles" Target="styles.xml"/><Relationship Id="rId23" Type="http://schemas.openxmlformats.org/officeDocument/2006/relationships/image" Target="media/image13.png"/><Relationship Id="rId119" Type="http://schemas.openxmlformats.org/officeDocument/2006/relationships/chart" Target="charts/chart4.xml"/><Relationship Id="rId44" Type="http://schemas.openxmlformats.org/officeDocument/2006/relationships/image" Target="media/image34.gif"/><Relationship Id="rId65" Type="http://schemas.openxmlformats.org/officeDocument/2006/relationships/image" Target="media/image52.png"/><Relationship Id="rId86" Type="http://schemas.openxmlformats.org/officeDocument/2006/relationships/image" Target="media/image73.png"/><Relationship Id="rId130" Type="http://schemas.microsoft.com/office/2007/relationships/hdphoto" Target="media/hdphoto1.wdp"/><Relationship Id="rId151" Type="http://schemas.openxmlformats.org/officeDocument/2006/relationships/image" Target="media/image128.png"/><Relationship Id="rId172" Type="http://schemas.openxmlformats.org/officeDocument/2006/relationships/image" Target="media/image146.png"/><Relationship Id="rId193" Type="http://schemas.openxmlformats.org/officeDocument/2006/relationships/hyperlink" Target="https://doi.org/10.30574/wjarr.2025.26.2.1765" TargetMode="External"/><Relationship Id="rId207" Type="http://schemas.microsoft.com/office/2020/10/relationships/intelligence" Target="intelligence2.xml"/><Relationship Id="rId13" Type="http://schemas.openxmlformats.org/officeDocument/2006/relationships/image" Target="media/image3.png"/><Relationship Id="rId109" Type="http://schemas.openxmlformats.org/officeDocument/2006/relationships/image" Target="media/image96.png"/><Relationship Id="rId34" Type="http://schemas.openxmlformats.org/officeDocument/2006/relationships/image" Target="media/image24.png"/><Relationship Id="rId55" Type="http://schemas.openxmlformats.org/officeDocument/2006/relationships/image" Target="media/image45.jpeg"/><Relationship Id="rId76" Type="http://schemas.openxmlformats.org/officeDocument/2006/relationships/image" Target="media/image63.emf"/><Relationship Id="rId97" Type="http://schemas.openxmlformats.org/officeDocument/2006/relationships/image" Target="media/image84.png"/><Relationship Id="rId120" Type="http://schemas.openxmlformats.org/officeDocument/2006/relationships/chart" Target="charts/chart5.xml"/><Relationship Id="rId141" Type="http://schemas.openxmlformats.org/officeDocument/2006/relationships/header" Target="header1.xml"/><Relationship Id="rId7" Type="http://schemas.openxmlformats.org/officeDocument/2006/relationships/settings" Target="settings.xml"/><Relationship Id="rId162" Type="http://schemas.openxmlformats.org/officeDocument/2006/relationships/image" Target="media/image137.png"/><Relationship Id="rId183" Type="http://schemas.openxmlformats.org/officeDocument/2006/relationships/image" Target="media/image157.png"/><Relationship Id="rId24" Type="http://schemas.openxmlformats.org/officeDocument/2006/relationships/image" Target="media/image14.jpeg"/><Relationship Id="rId40" Type="http://schemas.openxmlformats.org/officeDocument/2006/relationships/image" Target="media/image30.png"/><Relationship Id="rId45" Type="http://schemas.openxmlformats.org/officeDocument/2006/relationships/image" Target="media/image35.jpe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hyperlink" Target="https://r.search.yahoo.com/_ylt=AwrEaYREkMxoMQIAXR.rcgx.;_ylu=Y29sbwNiZjEEcG9zAzIEdnRpZAMEc2VjA3Ny/RV=2/RE=1759446340/RO=10/RU=https%3a%2f%2fes.wikipedia.org%2fwiki%2fDepartamento_Administrativo_Nacional_de_Estad%25C3%25ADstica/RK=2/RS=_5nL793JGXyhYHrSeatwmhFw9Wc-" TargetMode="External"/><Relationship Id="rId131" Type="http://schemas.openxmlformats.org/officeDocument/2006/relationships/image" Target="media/image112.png"/><Relationship Id="rId136" Type="http://schemas.openxmlformats.org/officeDocument/2006/relationships/image" Target="media/image116.png"/><Relationship Id="rId157" Type="http://schemas.openxmlformats.org/officeDocument/2006/relationships/image" Target="media/image134.png"/><Relationship Id="rId178" Type="http://schemas.openxmlformats.org/officeDocument/2006/relationships/image" Target="media/image152.png"/><Relationship Id="rId61" Type="http://schemas.openxmlformats.org/officeDocument/2006/relationships/image" Target="media/image51.png"/><Relationship Id="rId82" Type="http://schemas.openxmlformats.org/officeDocument/2006/relationships/image" Target="media/image69.png"/><Relationship Id="rId152" Type="http://schemas.openxmlformats.org/officeDocument/2006/relationships/image" Target="media/image129.png"/><Relationship Id="rId173" Type="http://schemas.openxmlformats.org/officeDocument/2006/relationships/image" Target="media/image147.png"/><Relationship Id="rId194" Type="http://schemas.openxmlformats.org/officeDocument/2006/relationships/hyperlink" Target="https://doi.org/10.1126/science.1242552" TargetMode="External"/><Relationship Id="rId199" Type="http://schemas.openxmlformats.org/officeDocument/2006/relationships/hyperlink" Target="https://doi.org/10.1080/01650520903178380" TargetMode="External"/><Relationship Id="rId203" Type="http://schemas.openxmlformats.org/officeDocument/2006/relationships/hyperlink" Target="https://www.theamazonwewant.org" TargetMode="Externa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jpeg"/><Relationship Id="rId126" Type="http://schemas.openxmlformats.org/officeDocument/2006/relationships/image" Target="media/image108.jpeg"/><Relationship Id="rId147" Type="http://schemas.openxmlformats.org/officeDocument/2006/relationships/image" Target="media/image124.png"/><Relationship Id="rId168" Type="http://schemas.openxmlformats.org/officeDocument/2006/relationships/image" Target="media/image142.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59.jpe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3.jpeg"/><Relationship Id="rId142" Type="http://schemas.openxmlformats.org/officeDocument/2006/relationships/footer" Target="footer1.xml"/><Relationship Id="rId163" Type="http://schemas.openxmlformats.org/officeDocument/2006/relationships/image" Target="media/image138.jpeg"/><Relationship Id="rId184" Type="http://schemas.openxmlformats.org/officeDocument/2006/relationships/hyperlink" Target="https://word-edit.officeapps.live.com/we/wordeditorframe.aspx?ui=es-ES&amp;rs=es-ES&amp;wopisrc=https%3A%2F%2Fticminambiente-my.sharepoint.com%2Fpersonal%2Folnunez_minambiente_gov_co%2F_vti_bin%2Fwopi.ashx%2Ffiles%2Fdcde367b45ac473696fefe86f66bee4b&amp;wdenableroaming=1&amp;mscc=1&amp;wdodb=1&amp;hid=50FAF5A7-EA91-4F25-8CF2-6DBE1749B906.0&amp;uih=sharepointcom&amp;wdlcid=es-ES&amp;jsapi=1&amp;jsapiver=v2&amp;corrid=ac841080-551c-ce25-2392-1452246837e3&amp;usid=ac841080-551c-ce25-2392-1452246837e3&amp;newsession=1&amp;sftc=1&amp;uihit=docaspx&amp;muv=1&amp;ats=PairwiseBroker&amp;cac=1&amp;sams=1&amp;mtf=1&amp;sfp=1&amp;sdp=1&amp;hch=1&amp;hwfh=1&amp;dchat=1&amp;sc=%7B%22pmo%22%3A%22https%3A%2F%2Fticminambiente-my.sharepoint.com%22%2C%22pmshare%22%3Atrue%7D&amp;ctp=LeastProtected&amp;rct=Normal&amp;wdorigin=OWA-NT-Mail.Sharing.ServerTransfer.LOF&amp;wdhostclicktime=1758317136349&amp;afdflight=66&amp;csiro=1&amp;instantedit=1&amp;wopicomplete=1&amp;wdredirectionreason=Unified_SingleFlush" TargetMode="External"/><Relationship Id="rId189" Type="http://schemas.openxmlformats.org/officeDocument/2006/relationships/image" Target="media/image161.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hyperlink" Target="https://r.search.yahoo.com/_ylt=AwrEaYREkMxoMQIAXR.rcgx.;_ylu=Y29sbwNiZjEEcG9zAzIEdnRpZAMEc2VjA3Ny/RV=2/RE=1759446340/RO=10/RU=https%3a%2f%2fes.wikipedia.org%2fwiki%2fDepartamento_Administrativo_Nacional_de_Estad%25C3%25ADstica/RK=2/RS=_5nL793JGXyhYHrSeatwmhFw9Wc-" TargetMode="External"/><Relationship Id="rId137" Type="http://schemas.openxmlformats.org/officeDocument/2006/relationships/chart" Target="charts/chart6.xml"/><Relationship Id="rId158" Type="http://schemas.openxmlformats.org/officeDocument/2006/relationships/image" Target="media/image135.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chart" Target="charts/chart1.xml"/><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microsoft.com/office/2007/relationships/hdphoto" Target="media/hdphoto2.wdp"/><Relationship Id="rId153" Type="http://schemas.openxmlformats.org/officeDocument/2006/relationships/image" Target="media/image130.png"/><Relationship Id="rId174" Type="http://schemas.openxmlformats.org/officeDocument/2006/relationships/image" Target="media/image148.png"/><Relationship Id="rId179" Type="http://schemas.openxmlformats.org/officeDocument/2006/relationships/image" Target="media/image153.png"/><Relationship Id="rId195" Type="http://schemas.openxmlformats.org/officeDocument/2006/relationships/hyperlink" Target="https://www.idbinvest.org/es/publicaciones/guia-practica-para-la-evaluacion-y-gestion-de-impactos-acumulativos-en-america-latina" TargetMode="External"/><Relationship Id="rId190" Type="http://schemas.openxmlformats.org/officeDocument/2006/relationships/image" Target="media/image162.png"/><Relationship Id="rId204" Type="http://schemas.openxmlformats.org/officeDocument/2006/relationships/hyperlink" Target="https://es.weforum.org/stories/" TargetMode="External"/><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3.png"/><Relationship Id="rId127" Type="http://schemas.openxmlformats.org/officeDocument/2006/relationships/image" Target="media/image109.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4.jpeg"/><Relationship Id="rId143" Type="http://schemas.openxmlformats.org/officeDocument/2006/relationships/image" Target="media/image120.png"/><Relationship Id="rId148" Type="http://schemas.openxmlformats.org/officeDocument/2006/relationships/image" Target="media/image125.png"/><Relationship Id="rId164" Type="http://schemas.openxmlformats.org/officeDocument/2006/relationships/image" Target="media/image139.jpeg"/><Relationship Id="rId169" Type="http://schemas.openxmlformats.org/officeDocument/2006/relationships/image" Target="media/image143.png"/><Relationship Id="rId185" Type="http://schemas.openxmlformats.org/officeDocument/2006/relationships/image" Target="media/image158.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4.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jpe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13.jpeg"/><Relationship Id="rId154" Type="http://schemas.openxmlformats.org/officeDocument/2006/relationships/image" Target="media/image131.emf"/><Relationship Id="rId175" Type="http://schemas.openxmlformats.org/officeDocument/2006/relationships/image" Target="media/image149.png"/><Relationship Id="rId196" Type="http://schemas.openxmlformats.org/officeDocument/2006/relationships/hyperlink" Target="https://doi.org/10.1088/1748-9326/3/1/014013" TargetMode="External"/><Relationship Id="rId200" Type="http://schemas.openxmlformats.org/officeDocument/2006/relationships/hyperlink" Target="https://www.minambiente.gov.co/wp-content/uploads/2025/03/ENR_3032025-1.pdf" TargetMode="External"/><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5.jpeg"/><Relationship Id="rId144" Type="http://schemas.openxmlformats.org/officeDocument/2006/relationships/image" Target="media/image121.jpeg"/><Relationship Id="rId90" Type="http://schemas.openxmlformats.org/officeDocument/2006/relationships/image" Target="media/image77.png"/><Relationship Id="rId165" Type="http://schemas.openxmlformats.org/officeDocument/2006/relationships/image" Target="media/image140.png"/><Relationship Id="rId186" Type="http://schemas.openxmlformats.org/officeDocument/2006/relationships/image" Target="media/image159.png"/><Relationship Id="rId27" Type="http://schemas.openxmlformats.org/officeDocument/2006/relationships/image" Target="media/image17.jpeg"/><Relationship Id="rId48" Type="http://schemas.openxmlformats.org/officeDocument/2006/relationships/image" Target="media/image38.png"/><Relationship Id="rId69" Type="http://schemas.openxmlformats.org/officeDocument/2006/relationships/image" Target="media/image56.emf"/><Relationship Id="rId113" Type="http://schemas.openxmlformats.org/officeDocument/2006/relationships/image" Target="media/image100.png"/><Relationship Id="rId134" Type="http://schemas.openxmlformats.org/officeDocument/2006/relationships/image" Target="media/image114.jpeg"/><Relationship Id="rId80" Type="http://schemas.openxmlformats.org/officeDocument/2006/relationships/image" Target="media/image67.png"/><Relationship Id="rId155" Type="http://schemas.openxmlformats.org/officeDocument/2006/relationships/image" Target="media/image132.png"/><Relationship Id="rId176" Type="http://schemas.openxmlformats.org/officeDocument/2006/relationships/image" Target="media/image150.png"/><Relationship Id="rId197" Type="http://schemas.openxmlformats.org/officeDocument/2006/relationships/hyperlink" Target="https://observatorioamazonia.fcds.org.co/.../microficha-mineria-en-el-bioma-amazonico-colombiano.html" TargetMode="External"/><Relationship Id="rId201" Type="http://schemas.openxmlformats.org/officeDocument/2006/relationships/hyperlink" Target="https://www.minambiente.gov.co/wp-content/uploads/2025/03/Plan-Integral-Contencion-Deforestacion-2023-2026.pdf" TargetMode="Externa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0.tiff"/><Relationship Id="rId124" Type="http://schemas.openxmlformats.org/officeDocument/2006/relationships/image" Target="media/image106.jpeg"/><Relationship Id="rId70" Type="http://schemas.openxmlformats.org/officeDocument/2006/relationships/image" Target="media/image57.png"/><Relationship Id="rId91" Type="http://schemas.openxmlformats.org/officeDocument/2006/relationships/image" Target="media/image78.jpeg"/><Relationship Id="rId145" Type="http://schemas.openxmlformats.org/officeDocument/2006/relationships/image" Target="media/image122.png"/><Relationship Id="rId166" Type="http://schemas.openxmlformats.org/officeDocument/2006/relationships/image" Target="media/image141.png"/><Relationship Id="rId187" Type="http://schemas.openxmlformats.org/officeDocument/2006/relationships/image" Target="media/image160.jpeg"/><Relationship Id="rId1" Type="http://schemas.openxmlformats.org/officeDocument/2006/relationships/customXml" Target="../customXml/item1.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1.png"/><Relationship Id="rId60" Type="http://schemas.openxmlformats.org/officeDocument/2006/relationships/image" Target="media/image50.png"/><Relationship Id="rId81" Type="http://schemas.openxmlformats.org/officeDocument/2006/relationships/image" Target="media/image68.png"/><Relationship Id="rId135" Type="http://schemas.openxmlformats.org/officeDocument/2006/relationships/image" Target="media/image115.png"/><Relationship Id="rId156" Type="http://schemas.openxmlformats.org/officeDocument/2006/relationships/image" Target="media/image133.jpeg"/><Relationship Id="rId177" Type="http://schemas.openxmlformats.org/officeDocument/2006/relationships/image" Target="media/image151.png"/><Relationship Id="rId198" Type="http://schemas.openxmlformats.org/officeDocument/2006/relationships/hyperlink" Target="https://www.ideam.gov.co/sala-de-prensa/informes/Estudios-nacionales-del-agua?utm_source=chatgpt.com" TargetMode="External"/><Relationship Id="rId202" Type="http://schemas.openxmlformats.org/officeDocument/2006/relationships/hyperlink" Target="https://doi.org/10.1029/2008WR007529" TargetMode="External"/><Relationship Id="rId18" Type="http://schemas.openxmlformats.org/officeDocument/2006/relationships/image" Target="media/image8.emf"/><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image" Target="media/image91.jpeg"/><Relationship Id="rId125" Type="http://schemas.openxmlformats.org/officeDocument/2006/relationships/image" Target="media/image107.jpeg"/><Relationship Id="rId146" Type="http://schemas.openxmlformats.org/officeDocument/2006/relationships/image" Target="media/image123.png"/><Relationship Id="rId167" Type="http://schemas.openxmlformats.org/officeDocument/2006/relationships/hyperlink" Target="https://sinergox.xm.com.co/hdrlg/Paginas/Informes/MapaHidrologiaSIN.aspx" TargetMode="External"/><Relationship Id="rId188" Type="http://schemas.openxmlformats.org/officeDocument/2006/relationships/hyperlink" Target="https://siac-datosabiertos-mads.hub.arcgis.com/datasets/MADS::gobernanza-forestal-1/about?layer=1" TargetMode="External"/><Relationship Id="rId71" Type="http://schemas.openxmlformats.org/officeDocument/2006/relationships/image" Target="media/image58.jpeg"/><Relationship Id="rId92" Type="http://schemas.openxmlformats.org/officeDocument/2006/relationships/image" Target="media/image79.png"/><Relationship Id="rId2" Type="http://schemas.openxmlformats.org/officeDocument/2006/relationships/customXml" Target="../customXml/item2.xml"/><Relationship Id="rId29" Type="http://schemas.openxmlformats.org/officeDocument/2006/relationships/image" Target="media/image19.png"/></Relationships>
</file>

<file path=word/_rels/footnotes.xml.rels><?xml version="1.0" encoding="UTF-8" standalone="yes"?>
<Relationships xmlns="http://schemas.openxmlformats.org/package/2006/relationships"><Relationship Id="rId3" Type="http://schemas.openxmlformats.org/officeDocument/2006/relationships/hyperlink" Target="https://doi.org/10.1590/1676-0611-BN-2022-1392" TargetMode="External"/><Relationship Id="rId2" Type="http://schemas.openxmlformats.org/officeDocument/2006/relationships/hyperlink" Target="https://otca.org/quienes-somos/" TargetMode="External"/><Relationship Id="rId1" Type="http://schemas.openxmlformats.org/officeDocument/2006/relationships/hyperlink" Target="https://www.cancilleria.gov.co/sites/default/files/otca-libro-socorro-ramirez.pdf" TargetMode="External"/><Relationship Id="rId5" Type="http://schemas.openxmlformats.org/officeDocument/2006/relationships/hyperlink" Target="https://geonetwork.humboldt.org.co/geonetwork/srv/spa/catalog.search" TargetMode="External"/><Relationship Id="rId4" Type="http://schemas.openxmlformats.org/officeDocument/2006/relationships/hyperlink" Target="https://www.minambiente.gov.co/wp-content/uploads/2025/03/ENR_3032024-3.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9.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anla-my.sharepoint.com/personal/jutorres_anla_gov_co/Documents/2025/Amazonia/Contingencias_2016-2025_BiomaAmazo.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anla-my.sharepoint.com/personal/jutorres_anla_gov_co/Documents/2025/Amazonia/Contingencias_2016-2025_BiomaAmazo.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Hoja1!$B$1</c:f>
              <c:strCache>
                <c:ptCount val="1"/>
                <c:pt idx="0">
                  <c:v>Oferta total (Mm3)</c:v>
                </c:pt>
              </c:strCache>
            </c:strRef>
          </c:tx>
          <c:dPt>
            <c:idx val="0"/>
            <c:bubble3D val="0"/>
            <c:spPr>
              <a:solidFill>
                <a:srgbClr val="92D050"/>
              </a:solidFill>
              <a:ln w="19050">
                <a:solidFill>
                  <a:schemeClr val="lt1"/>
                </a:solidFill>
              </a:ln>
              <a:effectLst/>
            </c:spPr>
            <c:extLst>
              <c:ext xmlns:c16="http://schemas.microsoft.com/office/drawing/2014/chart" uri="{C3380CC4-5D6E-409C-BE32-E72D297353CC}">
                <c16:uniqueId val="{00000001-96EA-46B6-B191-11FFEAF50CF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EA-46B6-B191-11FFEAF50CF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EA-46B6-B191-11FFEAF50CF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EA-46B6-B191-11FFEAF50CF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6EA-46B6-B191-11FFEAF50CF9}"/>
              </c:ext>
            </c:extLst>
          </c:dPt>
          <c:dLbls>
            <c:dLbl>
              <c:idx val="0"/>
              <c:layout>
                <c:manualLayout>
                  <c:x val="9.4524150738826362E-2"/>
                  <c:y val="-7.223584064978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EA-46B6-B191-11FFEAF50CF9}"/>
                </c:ext>
              </c:extLst>
            </c:dLbl>
            <c:dLbl>
              <c:idx val="1"/>
              <c:layout>
                <c:manualLayout>
                  <c:x val="0"/>
                  <c:y val="9.7222222222222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EA-46B6-B191-11FFEAF50CF9}"/>
                </c:ext>
              </c:extLst>
            </c:dLbl>
            <c:dLbl>
              <c:idx val="2"/>
              <c:layout>
                <c:manualLayout>
                  <c:x val="-6.34920634920635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EA-46B6-B191-11FFEAF50CF9}"/>
                </c:ext>
              </c:extLst>
            </c:dLbl>
            <c:dLbl>
              <c:idx val="3"/>
              <c:layout>
                <c:manualLayout>
                  <c:x val="-6.7019400352733682E-2"/>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6EA-46B6-B191-11FFEAF50CF9}"/>
                </c:ext>
              </c:extLst>
            </c:dLbl>
            <c:dLbl>
              <c:idx val="4"/>
              <c:layout>
                <c:manualLayout>
                  <c:x val="-3.1746031746031744E-2"/>
                  <c:y val="-0.106481481481481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6EA-46B6-B191-11FFEAF50CF9}"/>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Hoja1!$A$2:$A$6</c:f>
              <c:strCache>
                <c:ptCount val="5"/>
                <c:pt idx="0">
                  <c:v>Amazonas</c:v>
                </c:pt>
                <c:pt idx="1">
                  <c:v>Orinoco</c:v>
                </c:pt>
                <c:pt idx="2">
                  <c:v>Pacífico</c:v>
                </c:pt>
                <c:pt idx="3">
                  <c:v>Caribe</c:v>
                </c:pt>
                <c:pt idx="4">
                  <c:v>Magdalena - Cauca</c:v>
                </c:pt>
              </c:strCache>
            </c:strRef>
          </c:cat>
          <c:val>
            <c:numRef>
              <c:f>Hoja1!$C$2:$C$6</c:f>
              <c:numCache>
                <c:formatCode>0%</c:formatCode>
                <c:ptCount val="5"/>
                <c:pt idx="0">
                  <c:v>0.36418451605145352</c:v>
                </c:pt>
                <c:pt idx="1">
                  <c:v>0.26520946935381473</c:v>
                </c:pt>
                <c:pt idx="2">
                  <c:v>0.14055759986874727</c:v>
                </c:pt>
                <c:pt idx="3">
                  <c:v>9.5541891323155811E-2</c:v>
                </c:pt>
                <c:pt idx="4">
                  <c:v>0.13450652340282865</c:v>
                </c:pt>
              </c:numCache>
            </c:numRef>
          </c:val>
          <c:extLst>
            <c:ext xmlns:c16="http://schemas.microsoft.com/office/drawing/2014/chart" uri="{C3380CC4-5D6E-409C-BE32-E72D297353CC}">
              <c16:uniqueId val="{0000000A-96EA-46B6-B191-11FFEAF50CF9}"/>
            </c:ext>
          </c:extLst>
        </c:ser>
        <c:dLbls>
          <c:showLegendKey val="0"/>
          <c:showVal val="1"/>
          <c:showCatName val="0"/>
          <c:showSerName val="0"/>
          <c:showPercent val="0"/>
          <c:showBubbleSize val="0"/>
          <c:showLeaderLines val="1"/>
        </c:dLbls>
        <c:firstSliceAng val="0"/>
        <c:holeSize val="75"/>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CO"/>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1"/>
          <c:order val="0"/>
          <c:tx>
            <c:strRef>
              <c:f>Hoja1!$D$1</c:f>
              <c:strCache>
                <c:ptCount val="1"/>
                <c:pt idx="0">
                  <c:v>Caudal medio (m3/s)</c:v>
                </c:pt>
              </c:strCache>
            </c:strRef>
          </c:tx>
          <c:dPt>
            <c:idx val="0"/>
            <c:bubble3D val="0"/>
            <c:spPr>
              <a:solidFill>
                <a:srgbClr val="92D050"/>
              </a:solidFill>
              <a:ln w="19050">
                <a:solidFill>
                  <a:schemeClr val="lt1"/>
                </a:solidFill>
              </a:ln>
              <a:effectLst/>
            </c:spPr>
            <c:extLst>
              <c:ext xmlns:c16="http://schemas.microsoft.com/office/drawing/2014/chart" uri="{C3380CC4-5D6E-409C-BE32-E72D297353CC}">
                <c16:uniqueId val="{00000001-7DCB-45D9-8EB7-AA9DFDDFC6F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DCB-45D9-8EB7-AA9DFDDFC6F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DCB-45D9-8EB7-AA9DFDDFC6F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DCB-45D9-8EB7-AA9DFDDFC6F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DCB-45D9-8EB7-AA9DFDDFC6F3}"/>
              </c:ext>
            </c:extLst>
          </c:dPt>
          <c:dLbls>
            <c:dLbl>
              <c:idx val="0"/>
              <c:layout>
                <c:manualLayout>
                  <c:x val="0.11666666666666657"/>
                  <c:y val="-6.018518518518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CB-45D9-8EB7-AA9DFDDFC6F3}"/>
                </c:ext>
              </c:extLst>
            </c:dLbl>
            <c:dLbl>
              <c:idx val="1"/>
              <c:layout>
                <c:manualLayout>
                  <c:x val="5.0925337632079971E-17"/>
                  <c:y val="9.722222222222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DCB-45D9-8EB7-AA9DFDDFC6F3}"/>
                </c:ext>
              </c:extLst>
            </c:dLbl>
            <c:dLbl>
              <c:idx val="2"/>
              <c:layout>
                <c:manualLayout>
                  <c:x val="-0.10833333333333334"/>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DCB-45D9-8EB7-AA9DFDDFC6F3}"/>
                </c:ext>
              </c:extLst>
            </c:dLbl>
            <c:dLbl>
              <c:idx val="3"/>
              <c:layout>
                <c:manualLayout>
                  <c:x val="-8.3333333333333356E-2"/>
                  <c:y val="-9.25925925925925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DCB-45D9-8EB7-AA9DFDDFC6F3}"/>
                </c:ext>
              </c:extLst>
            </c:dLbl>
            <c:dLbl>
              <c:idx val="4"/>
              <c:layout>
                <c:manualLayout>
                  <c:x val="-9.1666666666666619E-2"/>
                  <c:y val="-0.11111111111111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DCB-45D9-8EB7-AA9DFDDFC6F3}"/>
                </c:ext>
              </c:extLst>
            </c:dLbl>
            <c:spPr>
              <a:noFill/>
              <a:ln>
                <a:noFill/>
              </a:ln>
              <a:effectLst/>
            </c:spPr>
            <c:txPr>
              <a:bodyPr rot="0" spcFirstLastPara="1" vertOverflow="ellipsis" vert="horz" wrap="square" anchor="ctr" anchorCtr="1"/>
              <a:lstStyle/>
              <a:p>
                <a:pPr>
                  <a:defRPr sz="1000" b="1" i="0" u="none" strike="noStrike" kern="1200" baseline="0">
                    <a:ln>
                      <a:noFill/>
                    </a:ln>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Hoja1!$A$2:$A$6</c:f>
              <c:strCache>
                <c:ptCount val="5"/>
                <c:pt idx="0">
                  <c:v>Amazonas</c:v>
                </c:pt>
                <c:pt idx="1">
                  <c:v>Orinoco</c:v>
                </c:pt>
                <c:pt idx="2">
                  <c:v>Pacífico</c:v>
                </c:pt>
                <c:pt idx="3">
                  <c:v>Caribe</c:v>
                </c:pt>
                <c:pt idx="4">
                  <c:v>Magdalena - Cauca</c:v>
                </c:pt>
              </c:strCache>
            </c:strRef>
          </c:cat>
          <c:val>
            <c:numRef>
              <c:f>Hoja1!$E$2:$E$6</c:f>
              <c:numCache>
                <c:formatCode>0%</c:formatCode>
                <c:ptCount val="5"/>
                <c:pt idx="0">
                  <c:v>0.36418414075680888</c:v>
                </c:pt>
                <c:pt idx="1">
                  <c:v>0.26520446693982486</c:v>
                </c:pt>
                <c:pt idx="2">
                  <c:v>0.1405639913232104</c:v>
                </c:pt>
                <c:pt idx="3">
                  <c:v>9.5541094239575797E-2</c:v>
                </c:pt>
                <c:pt idx="4">
                  <c:v>0.13450630674058006</c:v>
                </c:pt>
              </c:numCache>
            </c:numRef>
          </c:val>
          <c:extLst>
            <c:ext xmlns:c16="http://schemas.microsoft.com/office/drawing/2014/chart" uri="{C3380CC4-5D6E-409C-BE32-E72D297353CC}">
              <c16:uniqueId val="{0000000A-7DCB-45D9-8EB7-AA9DFDDFC6F3}"/>
            </c:ext>
          </c:extLst>
        </c:ser>
        <c:dLbls>
          <c:showLegendKey val="0"/>
          <c:showVal val="1"/>
          <c:showCatName val="0"/>
          <c:showSerName val="0"/>
          <c:showPercent val="0"/>
          <c:showBubbleSize val="0"/>
          <c:showLeaderLines val="1"/>
        </c:dLbls>
        <c:firstSliceAng val="0"/>
        <c:holeSize val="75"/>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n>
            <a:noFill/>
          </a:ln>
        </a:defRPr>
      </a:pPr>
      <a:endParaRPr lang="es-CO"/>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2"/>
          <c:order val="0"/>
          <c:tx>
            <c:strRef>
              <c:f>Hoja1!$F$1</c:f>
              <c:strCache>
                <c:ptCount val="1"/>
                <c:pt idx="0">
                  <c:v>Rendimiento hídrico (l/s/Km2)</c:v>
                </c:pt>
              </c:strCache>
            </c:strRef>
          </c:tx>
          <c:dPt>
            <c:idx val="0"/>
            <c:bubble3D val="0"/>
            <c:spPr>
              <a:solidFill>
                <a:srgbClr val="92D050"/>
              </a:solidFill>
              <a:ln w="19050">
                <a:solidFill>
                  <a:schemeClr val="lt1"/>
                </a:solidFill>
              </a:ln>
              <a:effectLst/>
            </c:spPr>
            <c:extLst>
              <c:ext xmlns:c16="http://schemas.microsoft.com/office/drawing/2014/chart" uri="{C3380CC4-5D6E-409C-BE32-E72D297353CC}">
                <c16:uniqueId val="{00000001-8819-4D9F-927D-BDE97E43D41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819-4D9F-927D-BDE97E43D41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819-4D9F-927D-BDE97E43D41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819-4D9F-927D-BDE97E43D41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819-4D9F-927D-BDE97E43D417}"/>
              </c:ext>
            </c:extLst>
          </c:dPt>
          <c:dLbls>
            <c:dLbl>
              <c:idx val="0"/>
              <c:layout>
                <c:manualLayout>
                  <c:x val="6.6547835405020433E-2"/>
                  <c:y val="-9.72222222222222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19-4D9F-927D-BDE97E43D417}"/>
                </c:ext>
              </c:extLst>
            </c:dLbl>
            <c:dLbl>
              <c:idx val="1"/>
              <c:layout>
                <c:manualLayout>
                  <c:x val="8.5957620731484621E-2"/>
                  <c:y val="5.5555555555555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19-4D9F-927D-BDE97E43D417}"/>
                </c:ext>
              </c:extLst>
            </c:dLbl>
            <c:dLbl>
              <c:idx val="2"/>
              <c:layout>
                <c:manualLayout>
                  <c:x val="-0.1081402325331582"/>
                  <c:y val="8.33333333333331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819-4D9F-927D-BDE97E43D417}"/>
                </c:ext>
              </c:extLst>
            </c:dLbl>
            <c:dLbl>
              <c:idx val="3"/>
              <c:layout>
                <c:manualLayout>
                  <c:x val="-0.1081402325331582"/>
                  <c:y val="-0.1157407407407407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819-4D9F-927D-BDE97E43D417}"/>
                </c:ext>
              </c:extLst>
            </c:dLbl>
            <c:dLbl>
              <c:idx val="4"/>
              <c:layout>
                <c:manualLayout>
                  <c:x val="-6.6547835405020378E-2"/>
                  <c:y val="-9.25925925925926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819-4D9F-927D-BDE97E43D417}"/>
                </c:ext>
              </c:extLst>
            </c:dLbl>
            <c:spPr>
              <a:noFill/>
              <a:ln>
                <a:noFill/>
              </a:ln>
              <a:effectLst/>
            </c:spPr>
            <c:txPr>
              <a:bodyPr rot="0" spcFirstLastPara="1" vertOverflow="ellipsis" vert="horz" wrap="square" anchor="ctr" anchorCtr="1"/>
              <a:lstStyle/>
              <a:p>
                <a:pPr>
                  <a:defRPr sz="1100" b="1"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Hoja1!$A$2:$A$6</c:f>
              <c:strCache>
                <c:ptCount val="5"/>
                <c:pt idx="0">
                  <c:v>Amazonas</c:v>
                </c:pt>
                <c:pt idx="1">
                  <c:v>Orinoco</c:v>
                </c:pt>
                <c:pt idx="2">
                  <c:v>Pacífico</c:v>
                </c:pt>
                <c:pt idx="3">
                  <c:v>Caribe</c:v>
                </c:pt>
                <c:pt idx="4">
                  <c:v>Magdalena - Cauca</c:v>
                </c:pt>
              </c:strCache>
            </c:strRef>
          </c:cat>
          <c:val>
            <c:numRef>
              <c:f>Hoja1!$G$2:$G$6</c:f>
              <c:numCache>
                <c:formatCode>0%</c:formatCode>
                <c:ptCount val="5"/>
                <c:pt idx="0">
                  <c:v>0.21019309908198799</c:v>
                </c:pt>
                <c:pt idx="1">
                  <c:v>0.15099715099715103</c:v>
                </c:pt>
                <c:pt idx="2">
                  <c:v>0.35770813548591329</c:v>
                </c:pt>
                <c:pt idx="3">
                  <c:v>0.18328584995251662</c:v>
                </c:pt>
                <c:pt idx="4">
                  <c:v>9.781576448243115E-2</c:v>
                </c:pt>
              </c:numCache>
            </c:numRef>
          </c:val>
          <c:extLst>
            <c:ext xmlns:c16="http://schemas.microsoft.com/office/drawing/2014/chart" uri="{C3380CC4-5D6E-409C-BE32-E72D297353CC}">
              <c16:uniqueId val="{0000000A-8819-4D9F-927D-BDE97E43D417}"/>
            </c:ext>
          </c:extLst>
        </c:ser>
        <c:dLbls>
          <c:showLegendKey val="0"/>
          <c:showVal val="1"/>
          <c:showCatName val="0"/>
          <c:showSerName val="0"/>
          <c:showPercent val="0"/>
          <c:showBubbleSize val="0"/>
          <c:showLeaderLines val="1"/>
        </c:dLbls>
        <c:firstSliceAng val="0"/>
        <c:holeSize val="75"/>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b="1"/>
      </a:pPr>
      <a:endParaRPr lang="es-CO"/>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7013326491011436"/>
          <c:y val="4.6888320545609548E-2"/>
          <c:w val="0.72986673508988564"/>
          <c:h val="0.65956327070369414"/>
        </c:manualLayout>
      </c:layout>
      <c:bar3DChart>
        <c:barDir val="col"/>
        <c:grouping val="clustered"/>
        <c:varyColors val="0"/>
        <c:ser>
          <c:idx val="0"/>
          <c:order val="0"/>
          <c:tx>
            <c:strRef>
              <c:f>Hidrocarburos!$B$4</c:f>
              <c:strCache>
                <c:ptCount val="1"/>
                <c:pt idx="0">
                  <c:v>#¡REF!</c:v>
                </c:pt>
              </c:strCache>
            </c:strRef>
          </c:tx>
          <c:spPr>
            <a:solidFill>
              <a:schemeClr val="accent1"/>
            </a:solidFill>
            <a:ln>
              <a:noFill/>
            </a:ln>
            <a:effectLst/>
            <a:sp3d/>
          </c:spPr>
          <c:invertIfNegative val="0"/>
          <c:cat>
            <c:numRef>
              <c:f>[2]Hidrocarburos!$A$5:$A$9</c:f>
              <c:numCache>
                <c:formatCode>General</c:formatCode>
                <c:ptCount val="5"/>
                <c:pt idx="0">
                  <c:v>0</c:v>
                </c:pt>
                <c:pt idx="1">
                  <c:v>0</c:v>
                </c:pt>
                <c:pt idx="2">
                  <c:v>0</c:v>
                </c:pt>
                <c:pt idx="3">
                  <c:v>0</c:v>
                </c:pt>
                <c:pt idx="4">
                  <c:v>0</c:v>
                </c:pt>
              </c:numCache>
            </c:numRef>
          </c:cat>
          <c:val>
            <c:numRef>
              <c:f>[2]Hidrocarburos!$B$5:$B$9</c:f>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0-A119-4E3D-A4BC-2A06BD114437}"/>
            </c:ext>
          </c:extLst>
        </c:ser>
        <c:ser>
          <c:idx val="1"/>
          <c:order val="1"/>
          <c:tx>
            <c:strRef>
              <c:f>Hidrocarburos!$C$4</c:f>
              <c:strCache>
                <c:ptCount val="1"/>
                <c:pt idx="0">
                  <c:v>#¡REF!</c:v>
                </c:pt>
              </c:strCache>
            </c:strRef>
          </c:tx>
          <c:spPr>
            <a:solidFill>
              <a:schemeClr val="accent2"/>
            </a:solidFill>
            <a:ln>
              <a:noFill/>
            </a:ln>
            <a:effectLst/>
            <a:sp3d/>
          </c:spPr>
          <c:invertIfNegative val="0"/>
          <c:cat>
            <c:numRef>
              <c:f>[2]Hidrocarburos!$A$5:$A$9</c:f>
              <c:numCache>
                <c:formatCode>General</c:formatCode>
                <c:ptCount val="5"/>
                <c:pt idx="0">
                  <c:v>0</c:v>
                </c:pt>
                <c:pt idx="1">
                  <c:v>0</c:v>
                </c:pt>
                <c:pt idx="2">
                  <c:v>0</c:v>
                </c:pt>
                <c:pt idx="3">
                  <c:v>0</c:v>
                </c:pt>
                <c:pt idx="4">
                  <c:v>0</c:v>
                </c:pt>
              </c:numCache>
            </c:numRef>
          </c:cat>
          <c:val>
            <c:numRef>
              <c:f>[2]Hidrocarburos!$C$5:$C$9</c:f>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1-A119-4E3D-A4BC-2A06BD114437}"/>
            </c:ext>
          </c:extLst>
        </c:ser>
        <c:ser>
          <c:idx val="2"/>
          <c:order val="2"/>
          <c:tx>
            <c:strRef>
              <c:f>Hidrocarburos!$D$4</c:f>
              <c:strCache>
                <c:ptCount val="1"/>
                <c:pt idx="0">
                  <c:v>#¡REF!</c:v>
                </c:pt>
              </c:strCache>
            </c:strRef>
          </c:tx>
          <c:spPr>
            <a:solidFill>
              <a:schemeClr val="accent3"/>
            </a:solidFill>
            <a:ln>
              <a:noFill/>
            </a:ln>
            <a:effectLst/>
            <a:sp3d/>
          </c:spPr>
          <c:invertIfNegative val="0"/>
          <c:cat>
            <c:numRef>
              <c:f>[2]Hidrocarburos!$A$5:$A$9</c:f>
              <c:numCache>
                <c:formatCode>General</c:formatCode>
                <c:ptCount val="5"/>
                <c:pt idx="0">
                  <c:v>0</c:v>
                </c:pt>
                <c:pt idx="1">
                  <c:v>0</c:v>
                </c:pt>
                <c:pt idx="2">
                  <c:v>0</c:v>
                </c:pt>
                <c:pt idx="3">
                  <c:v>0</c:v>
                </c:pt>
                <c:pt idx="4">
                  <c:v>0</c:v>
                </c:pt>
              </c:numCache>
            </c:numRef>
          </c:cat>
          <c:val>
            <c:numRef>
              <c:f>[2]Hidrocarburos!$D$5:$D$9</c:f>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2-A119-4E3D-A4BC-2A06BD114437}"/>
            </c:ext>
          </c:extLst>
        </c:ser>
        <c:dLbls>
          <c:showLegendKey val="0"/>
          <c:showVal val="0"/>
          <c:showCatName val="0"/>
          <c:showSerName val="0"/>
          <c:showPercent val="0"/>
          <c:showBubbleSize val="0"/>
        </c:dLbls>
        <c:gapWidth val="150"/>
        <c:shape val="box"/>
        <c:axId val="986181536"/>
        <c:axId val="986161376"/>
        <c:axId val="0"/>
      </c:bar3DChart>
      <c:catAx>
        <c:axId val="9861815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86161376"/>
        <c:crosses val="autoZero"/>
        <c:auto val="1"/>
        <c:lblAlgn val="ctr"/>
        <c:lblOffset val="100"/>
        <c:noMultiLvlLbl val="0"/>
      </c:catAx>
      <c:valAx>
        <c:axId val="986161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Hectáreas</a:t>
                </a:r>
              </a:p>
            </c:rich>
          </c:tx>
          <c:layout>
            <c:manualLayout>
              <c:xMode val="edge"/>
              <c:yMode val="edge"/>
              <c:x val="6.3639651968147568E-2"/>
              <c:y val="0.2796446959475334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8618153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Minería!$B$1</c:f>
              <c:strCache>
                <c:ptCount val="1"/>
                <c:pt idx="0">
                  <c:v>#¡REF!</c:v>
                </c:pt>
              </c:strCache>
            </c:strRef>
          </c:tx>
          <c:spPr>
            <a:solidFill>
              <a:schemeClr val="accent1"/>
            </a:solidFill>
            <a:ln>
              <a:noFill/>
            </a:ln>
            <a:effectLst/>
            <a:sp3d/>
          </c:spPr>
          <c:invertIfNegative val="0"/>
          <c:cat>
            <c:numRef>
              <c:f>[3]Minería!$A$2:$A$5</c:f>
              <c:numCache>
                <c:formatCode>General</c:formatCode>
                <c:ptCount val="4"/>
                <c:pt idx="0">
                  <c:v>0</c:v>
                </c:pt>
                <c:pt idx="1">
                  <c:v>0</c:v>
                </c:pt>
                <c:pt idx="2">
                  <c:v>0</c:v>
                </c:pt>
                <c:pt idx="3">
                  <c:v>0</c:v>
                </c:pt>
              </c:numCache>
            </c:numRef>
          </c:cat>
          <c:val>
            <c:numRef>
              <c:f>[3]Minería!$B$2:$B$5</c:f>
              <c:numCache>
                <c:formatCode>General</c:formatCode>
                <c:ptCount val="4"/>
                <c:pt idx="0">
                  <c:v>0</c:v>
                </c:pt>
                <c:pt idx="1">
                  <c:v>0</c:v>
                </c:pt>
                <c:pt idx="2">
                  <c:v>0</c:v>
                </c:pt>
                <c:pt idx="3">
                  <c:v>0</c:v>
                </c:pt>
              </c:numCache>
            </c:numRef>
          </c:val>
          <c:extLst>
            <c:ext xmlns:c16="http://schemas.microsoft.com/office/drawing/2014/chart" uri="{C3380CC4-5D6E-409C-BE32-E72D297353CC}">
              <c16:uniqueId val="{00000000-1A62-4BC2-95F2-0D83686034FA}"/>
            </c:ext>
          </c:extLst>
        </c:ser>
        <c:dLbls>
          <c:showLegendKey val="0"/>
          <c:showVal val="0"/>
          <c:showCatName val="0"/>
          <c:showSerName val="0"/>
          <c:showPercent val="0"/>
          <c:showBubbleSize val="0"/>
        </c:dLbls>
        <c:gapWidth val="150"/>
        <c:shape val="box"/>
        <c:axId val="976934064"/>
        <c:axId val="976920144"/>
        <c:axId val="0"/>
      </c:bar3DChart>
      <c:catAx>
        <c:axId val="9769340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76920144"/>
        <c:crosses val="autoZero"/>
        <c:auto val="1"/>
        <c:lblAlgn val="ctr"/>
        <c:lblOffset val="100"/>
        <c:noMultiLvlLbl val="0"/>
      </c:catAx>
      <c:valAx>
        <c:axId val="9769201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Hectáreas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769340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Hoja2!$J$3</c:f>
              <c:strCache>
                <c:ptCount val="1"/>
                <c:pt idx="0">
                  <c:v>Natural socionatural</c:v>
                </c:pt>
              </c:strCache>
            </c:strRef>
          </c:tx>
          <c:spPr>
            <a:solidFill>
              <a:schemeClr val="accent1"/>
            </a:solidFill>
            <a:ln>
              <a:noFill/>
            </a:ln>
            <a:effectLst/>
          </c:spPr>
          <c:invertIfNegative val="0"/>
          <c:cat>
            <c:strRef>
              <c:f>Hoja2!$I$4:$I$13</c:f>
              <c:strCache>
                <c:ptCount val="10"/>
                <c:pt idx="0">
                  <c:v>2016</c:v>
                </c:pt>
                <c:pt idx="1">
                  <c:v>2017</c:v>
                </c:pt>
                <c:pt idx="2">
                  <c:v>2018</c:v>
                </c:pt>
                <c:pt idx="3">
                  <c:v>2019</c:v>
                </c:pt>
                <c:pt idx="4">
                  <c:v>2020</c:v>
                </c:pt>
                <c:pt idx="5">
                  <c:v>2021</c:v>
                </c:pt>
                <c:pt idx="6">
                  <c:v>2022</c:v>
                </c:pt>
                <c:pt idx="7">
                  <c:v>2023</c:v>
                </c:pt>
                <c:pt idx="8">
                  <c:v>2024</c:v>
                </c:pt>
                <c:pt idx="9">
                  <c:v>2025</c:v>
                </c:pt>
              </c:strCache>
            </c:strRef>
          </c:cat>
          <c:val>
            <c:numRef>
              <c:f>Hoja2!$J$4:$J$13</c:f>
              <c:numCache>
                <c:formatCode>General</c:formatCode>
                <c:ptCount val="10"/>
                <c:pt idx="1">
                  <c:v>1</c:v>
                </c:pt>
                <c:pt idx="4">
                  <c:v>1</c:v>
                </c:pt>
                <c:pt idx="5">
                  <c:v>1</c:v>
                </c:pt>
                <c:pt idx="6">
                  <c:v>4</c:v>
                </c:pt>
                <c:pt idx="7">
                  <c:v>4</c:v>
                </c:pt>
                <c:pt idx="8">
                  <c:v>2</c:v>
                </c:pt>
                <c:pt idx="9">
                  <c:v>14</c:v>
                </c:pt>
              </c:numCache>
            </c:numRef>
          </c:val>
          <c:extLst>
            <c:ext xmlns:c16="http://schemas.microsoft.com/office/drawing/2014/chart" uri="{C3380CC4-5D6E-409C-BE32-E72D297353CC}">
              <c16:uniqueId val="{00000000-266C-4B8E-8335-519D2BEB79AE}"/>
            </c:ext>
          </c:extLst>
        </c:ser>
        <c:ser>
          <c:idx val="1"/>
          <c:order val="1"/>
          <c:tx>
            <c:strRef>
              <c:f>Hoja2!$K$3</c:f>
              <c:strCache>
                <c:ptCount val="1"/>
                <c:pt idx="0">
                  <c:v>Tecnológico Operacional</c:v>
                </c:pt>
              </c:strCache>
            </c:strRef>
          </c:tx>
          <c:spPr>
            <a:solidFill>
              <a:schemeClr val="accent2"/>
            </a:solidFill>
            <a:ln>
              <a:noFill/>
            </a:ln>
            <a:effectLst/>
          </c:spPr>
          <c:invertIfNegative val="0"/>
          <c:cat>
            <c:strRef>
              <c:f>Hoja2!$I$4:$I$13</c:f>
              <c:strCache>
                <c:ptCount val="10"/>
                <c:pt idx="0">
                  <c:v>2016</c:v>
                </c:pt>
                <c:pt idx="1">
                  <c:v>2017</c:v>
                </c:pt>
                <c:pt idx="2">
                  <c:v>2018</c:v>
                </c:pt>
                <c:pt idx="3">
                  <c:v>2019</c:v>
                </c:pt>
                <c:pt idx="4">
                  <c:v>2020</c:v>
                </c:pt>
                <c:pt idx="5">
                  <c:v>2021</c:v>
                </c:pt>
                <c:pt idx="6">
                  <c:v>2022</c:v>
                </c:pt>
                <c:pt idx="7">
                  <c:v>2023</c:v>
                </c:pt>
                <c:pt idx="8">
                  <c:v>2024</c:v>
                </c:pt>
                <c:pt idx="9">
                  <c:v>2025</c:v>
                </c:pt>
              </c:strCache>
            </c:strRef>
          </c:cat>
          <c:val>
            <c:numRef>
              <c:f>Hoja2!$K$4:$K$13</c:f>
              <c:numCache>
                <c:formatCode>General</c:formatCode>
                <c:ptCount val="10"/>
                <c:pt idx="0">
                  <c:v>7</c:v>
                </c:pt>
                <c:pt idx="1">
                  <c:v>16</c:v>
                </c:pt>
                <c:pt idx="2">
                  <c:v>10</c:v>
                </c:pt>
                <c:pt idx="3">
                  <c:v>10</c:v>
                </c:pt>
                <c:pt idx="4">
                  <c:v>32</c:v>
                </c:pt>
                <c:pt idx="5">
                  <c:v>24</c:v>
                </c:pt>
                <c:pt idx="6">
                  <c:v>29</c:v>
                </c:pt>
                <c:pt idx="7">
                  <c:v>17</c:v>
                </c:pt>
                <c:pt idx="8">
                  <c:v>15</c:v>
                </c:pt>
                <c:pt idx="9">
                  <c:v>9</c:v>
                </c:pt>
              </c:numCache>
            </c:numRef>
          </c:val>
          <c:extLst>
            <c:ext xmlns:c16="http://schemas.microsoft.com/office/drawing/2014/chart" uri="{C3380CC4-5D6E-409C-BE32-E72D297353CC}">
              <c16:uniqueId val="{00000001-266C-4B8E-8335-519D2BEB79AE}"/>
            </c:ext>
          </c:extLst>
        </c:ser>
        <c:ser>
          <c:idx val="2"/>
          <c:order val="2"/>
          <c:tx>
            <c:strRef>
              <c:f>Hoja2!$L$3</c:f>
              <c:strCache>
                <c:ptCount val="1"/>
                <c:pt idx="0">
                  <c:v>Terceros Involuntarios</c:v>
                </c:pt>
              </c:strCache>
            </c:strRef>
          </c:tx>
          <c:spPr>
            <a:solidFill>
              <a:schemeClr val="accent3"/>
            </a:solidFill>
            <a:ln>
              <a:noFill/>
            </a:ln>
            <a:effectLst/>
          </c:spPr>
          <c:invertIfNegative val="0"/>
          <c:cat>
            <c:strRef>
              <c:f>Hoja2!$I$4:$I$13</c:f>
              <c:strCache>
                <c:ptCount val="10"/>
                <c:pt idx="0">
                  <c:v>2016</c:v>
                </c:pt>
                <c:pt idx="1">
                  <c:v>2017</c:v>
                </c:pt>
                <c:pt idx="2">
                  <c:v>2018</c:v>
                </c:pt>
                <c:pt idx="3">
                  <c:v>2019</c:v>
                </c:pt>
                <c:pt idx="4">
                  <c:v>2020</c:v>
                </c:pt>
                <c:pt idx="5">
                  <c:v>2021</c:v>
                </c:pt>
                <c:pt idx="6">
                  <c:v>2022</c:v>
                </c:pt>
                <c:pt idx="7">
                  <c:v>2023</c:v>
                </c:pt>
                <c:pt idx="8">
                  <c:v>2024</c:v>
                </c:pt>
                <c:pt idx="9">
                  <c:v>2025</c:v>
                </c:pt>
              </c:strCache>
            </c:strRef>
          </c:cat>
          <c:val>
            <c:numRef>
              <c:f>Hoja2!$L$4:$L$13</c:f>
              <c:numCache>
                <c:formatCode>General</c:formatCode>
                <c:ptCount val="10"/>
                <c:pt idx="1">
                  <c:v>6</c:v>
                </c:pt>
                <c:pt idx="2">
                  <c:v>1</c:v>
                </c:pt>
                <c:pt idx="4">
                  <c:v>1</c:v>
                </c:pt>
                <c:pt idx="5">
                  <c:v>1</c:v>
                </c:pt>
                <c:pt idx="7">
                  <c:v>1</c:v>
                </c:pt>
                <c:pt idx="9">
                  <c:v>2</c:v>
                </c:pt>
              </c:numCache>
            </c:numRef>
          </c:val>
          <c:extLst>
            <c:ext xmlns:c16="http://schemas.microsoft.com/office/drawing/2014/chart" uri="{C3380CC4-5D6E-409C-BE32-E72D297353CC}">
              <c16:uniqueId val="{00000002-266C-4B8E-8335-519D2BEB79AE}"/>
            </c:ext>
          </c:extLst>
        </c:ser>
        <c:ser>
          <c:idx val="3"/>
          <c:order val="3"/>
          <c:tx>
            <c:strRef>
              <c:f>Hoja2!$M$3</c:f>
              <c:strCache>
                <c:ptCount val="1"/>
                <c:pt idx="0">
                  <c:v>Terceros Voluntarios</c:v>
                </c:pt>
              </c:strCache>
            </c:strRef>
          </c:tx>
          <c:spPr>
            <a:solidFill>
              <a:schemeClr val="accent4"/>
            </a:solidFill>
            <a:ln>
              <a:noFill/>
            </a:ln>
            <a:effectLst/>
          </c:spPr>
          <c:invertIfNegative val="0"/>
          <c:cat>
            <c:strRef>
              <c:f>Hoja2!$I$4:$I$13</c:f>
              <c:strCache>
                <c:ptCount val="10"/>
                <c:pt idx="0">
                  <c:v>2016</c:v>
                </c:pt>
                <c:pt idx="1">
                  <c:v>2017</c:v>
                </c:pt>
                <c:pt idx="2">
                  <c:v>2018</c:v>
                </c:pt>
                <c:pt idx="3">
                  <c:v>2019</c:v>
                </c:pt>
                <c:pt idx="4">
                  <c:v>2020</c:v>
                </c:pt>
                <c:pt idx="5">
                  <c:v>2021</c:v>
                </c:pt>
                <c:pt idx="6">
                  <c:v>2022</c:v>
                </c:pt>
                <c:pt idx="7">
                  <c:v>2023</c:v>
                </c:pt>
                <c:pt idx="8">
                  <c:v>2024</c:v>
                </c:pt>
                <c:pt idx="9">
                  <c:v>2025</c:v>
                </c:pt>
              </c:strCache>
            </c:strRef>
          </c:cat>
          <c:val>
            <c:numRef>
              <c:f>Hoja2!$M$4:$M$13</c:f>
              <c:numCache>
                <c:formatCode>General</c:formatCode>
                <c:ptCount val="10"/>
                <c:pt idx="1">
                  <c:v>6</c:v>
                </c:pt>
                <c:pt idx="2">
                  <c:v>8</c:v>
                </c:pt>
                <c:pt idx="3">
                  <c:v>13</c:v>
                </c:pt>
                <c:pt idx="4">
                  <c:v>8</c:v>
                </c:pt>
                <c:pt idx="5">
                  <c:v>11</c:v>
                </c:pt>
                <c:pt idx="6">
                  <c:v>7</c:v>
                </c:pt>
                <c:pt idx="7">
                  <c:v>16</c:v>
                </c:pt>
                <c:pt idx="8">
                  <c:v>13</c:v>
                </c:pt>
                <c:pt idx="9">
                  <c:v>6</c:v>
                </c:pt>
              </c:numCache>
            </c:numRef>
          </c:val>
          <c:extLst>
            <c:ext xmlns:c16="http://schemas.microsoft.com/office/drawing/2014/chart" uri="{C3380CC4-5D6E-409C-BE32-E72D297353CC}">
              <c16:uniqueId val="{00000003-266C-4B8E-8335-519D2BEB79AE}"/>
            </c:ext>
          </c:extLst>
        </c:ser>
        <c:dLbls>
          <c:showLegendKey val="0"/>
          <c:showVal val="0"/>
          <c:showCatName val="0"/>
          <c:showSerName val="0"/>
          <c:showPercent val="0"/>
          <c:showBubbleSize val="0"/>
        </c:dLbls>
        <c:gapWidth val="150"/>
        <c:overlap val="100"/>
        <c:axId val="2098060048"/>
        <c:axId val="2098069648"/>
      </c:barChart>
      <c:catAx>
        <c:axId val="2098060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98069648"/>
        <c:crosses val="autoZero"/>
        <c:auto val="1"/>
        <c:lblAlgn val="ctr"/>
        <c:lblOffset val="100"/>
        <c:noMultiLvlLbl val="0"/>
      </c:catAx>
      <c:valAx>
        <c:axId val="2098069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98060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Hoja2!$J$33</c:f>
              <c:strCache>
                <c:ptCount val="1"/>
                <c:pt idx="0">
                  <c:v>Natural socionatural</c:v>
                </c:pt>
              </c:strCache>
            </c:strRef>
          </c:tx>
          <c:spPr>
            <a:solidFill>
              <a:schemeClr val="accent1"/>
            </a:solidFill>
            <a:ln>
              <a:noFill/>
            </a:ln>
            <a:effectLst/>
          </c:spPr>
          <c:invertIfNegative val="0"/>
          <c:cat>
            <c:strRef>
              <c:f>Hoja2!$I$34:$I$51</c:f>
              <c:strCache>
                <c:ptCount val="18"/>
                <c:pt idx="0">
                  <c:v>LAM0199</c:v>
                </c:pt>
                <c:pt idx="1">
                  <c:v>LAM1358</c:v>
                </c:pt>
                <c:pt idx="2">
                  <c:v>LAM2469</c:v>
                </c:pt>
                <c:pt idx="3">
                  <c:v>LAM3276</c:v>
                </c:pt>
                <c:pt idx="4">
                  <c:v>LAM3323</c:v>
                </c:pt>
                <c:pt idx="5">
                  <c:v>LAM3518</c:v>
                </c:pt>
                <c:pt idx="6">
                  <c:v>LAM3816</c:v>
                </c:pt>
                <c:pt idx="7">
                  <c:v>LAM4113</c:v>
                </c:pt>
                <c:pt idx="8">
                  <c:v>LAM4174</c:v>
                </c:pt>
                <c:pt idx="9">
                  <c:v>LAM4609</c:v>
                </c:pt>
                <c:pt idx="10">
                  <c:v>LAM6356</c:v>
                </c:pt>
                <c:pt idx="11">
                  <c:v>LAM7834-00</c:v>
                </c:pt>
                <c:pt idx="12">
                  <c:v>LAV0010-00-2023</c:v>
                </c:pt>
                <c:pt idx="13">
                  <c:v>LAV0016-00-2023</c:v>
                </c:pt>
                <c:pt idx="14">
                  <c:v>LAV0028-00-2023</c:v>
                </c:pt>
                <c:pt idx="15">
                  <c:v>LAV0056-00-2015</c:v>
                </c:pt>
                <c:pt idx="16">
                  <c:v>LAV0062-00-2016</c:v>
                </c:pt>
                <c:pt idx="17">
                  <c:v>Autoridad Regional</c:v>
                </c:pt>
              </c:strCache>
            </c:strRef>
          </c:cat>
          <c:val>
            <c:numRef>
              <c:f>Hoja2!$J$34:$J$51</c:f>
              <c:numCache>
                <c:formatCode>General</c:formatCode>
                <c:ptCount val="18"/>
                <c:pt idx="0">
                  <c:v>1</c:v>
                </c:pt>
                <c:pt idx="1">
                  <c:v>9</c:v>
                </c:pt>
                <c:pt idx="4">
                  <c:v>1</c:v>
                </c:pt>
                <c:pt idx="5">
                  <c:v>4</c:v>
                </c:pt>
                <c:pt idx="8">
                  <c:v>1</c:v>
                </c:pt>
                <c:pt idx="10">
                  <c:v>1</c:v>
                </c:pt>
                <c:pt idx="12">
                  <c:v>3</c:v>
                </c:pt>
                <c:pt idx="13">
                  <c:v>5</c:v>
                </c:pt>
                <c:pt idx="14">
                  <c:v>1</c:v>
                </c:pt>
                <c:pt idx="17">
                  <c:v>1</c:v>
                </c:pt>
              </c:numCache>
            </c:numRef>
          </c:val>
          <c:extLst>
            <c:ext xmlns:c16="http://schemas.microsoft.com/office/drawing/2014/chart" uri="{C3380CC4-5D6E-409C-BE32-E72D297353CC}">
              <c16:uniqueId val="{00000000-F8A6-4F4F-B5B7-834C8A802D0D}"/>
            </c:ext>
          </c:extLst>
        </c:ser>
        <c:ser>
          <c:idx val="1"/>
          <c:order val="1"/>
          <c:tx>
            <c:strRef>
              <c:f>Hoja2!$K$33</c:f>
              <c:strCache>
                <c:ptCount val="1"/>
                <c:pt idx="0">
                  <c:v>Tecnológico Operacional</c:v>
                </c:pt>
              </c:strCache>
            </c:strRef>
          </c:tx>
          <c:spPr>
            <a:solidFill>
              <a:schemeClr val="accent2"/>
            </a:solidFill>
            <a:ln>
              <a:noFill/>
            </a:ln>
            <a:effectLst/>
          </c:spPr>
          <c:invertIfNegative val="0"/>
          <c:cat>
            <c:strRef>
              <c:f>Hoja2!$I$34:$I$51</c:f>
              <c:strCache>
                <c:ptCount val="18"/>
                <c:pt idx="0">
                  <c:v>LAM0199</c:v>
                </c:pt>
                <c:pt idx="1">
                  <c:v>LAM1358</c:v>
                </c:pt>
                <c:pt idx="2">
                  <c:v>LAM2469</c:v>
                </c:pt>
                <c:pt idx="3">
                  <c:v>LAM3276</c:v>
                </c:pt>
                <c:pt idx="4">
                  <c:v>LAM3323</c:v>
                </c:pt>
                <c:pt idx="5">
                  <c:v>LAM3518</c:v>
                </c:pt>
                <c:pt idx="6">
                  <c:v>LAM3816</c:v>
                </c:pt>
                <c:pt idx="7">
                  <c:v>LAM4113</c:v>
                </c:pt>
                <c:pt idx="8">
                  <c:v>LAM4174</c:v>
                </c:pt>
                <c:pt idx="9">
                  <c:v>LAM4609</c:v>
                </c:pt>
                <c:pt idx="10">
                  <c:v>LAM6356</c:v>
                </c:pt>
                <c:pt idx="11">
                  <c:v>LAM7834-00</c:v>
                </c:pt>
                <c:pt idx="12">
                  <c:v>LAV0010-00-2023</c:v>
                </c:pt>
                <c:pt idx="13">
                  <c:v>LAV0016-00-2023</c:v>
                </c:pt>
                <c:pt idx="14">
                  <c:v>LAV0028-00-2023</c:v>
                </c:pt>
                <c:pt idx="15">
                  <c:v>LAV0056-00-2015</c:v>
                </c:pt>
                <c:pt idx="16">
                  <c:v>LAV0062-00-2016</c:v>
                </c:pt>
                <c:pt idx="17">
                  <c:v>Autoridad Regional</c:v>
                </c:pt>
              </c:strCache>
            </c:strRef>
          </c:cat>
          <c:val>
            <c:numRef>
              <c:f>Hoja2!$K$34:$K$51</c:f>
              <c:numCache>
                <c:formatCode>General</c:formatCode>
                <c:ptCount val="18"/>
                <c:pt idx="0">
                  <c:v>3</c:v>
                </c:pt>
                <c:pt idx="2">
                  <c:v>74</c:v>
                </c:pt>
                <c:pt idx="5">
                  <c:v>6</c:v>
                </c:pt>
                <c:pt idx="6">
                  <c:v>3</c:v>
                </c:pt>
                <c:pt idx="7">
                  <c:v>20</c:v>
                </c:pt>
                <c:pt idx="8">
                  <c:v>32</c:v>
                </c:pt>
                <c:pt idx="9">
                  <c:v>2</c:v>
                </c:pt>
                <c:pt idx="10">
                  <c:v>14</c:v>
                </c:pt>
                <c:pt idx="11">
                  <c:v>4</c:v>
                </c:pt>
                <c:pt idx="15">
                  <c:v>3</c:v>
                </c:pt>
                <c:pt idx="17">
                  <c:v>8</c:v>
                </c:pt>
              </c:numCache>
            </c:numRef>
          </c:val>
          <c:extLst>
            <c:ext xmlns:c16="http://schemas.microsoft.com/office/drawing/2014/chart" uri="{C3380CC4-5D6E-409C-BE32-E72D297353CC}">
              <c16:uniqueId val="{00000001-F8A6-4F4F-B5B7-834C8A802D0D}"/>
            </c:ext>
          </c:extLst>
        </c:ser>
        <c:ser>
          <c:idx val="2"/>
          <c:order val="2"/>
          <c:tx>
            <c:strRef>
              <c:f>Hoja2!$L$33</c:f>
              <c:strCache>
                <c:ptCount val="1"/>
                <c:pt idx="0">
                  <c:v>Terceros Involuntarios</c:v>
                </c:pt>
              </c:strCache>
            </c:strRef>
          </c:tx>
          <c:spPr>
            <a:solidFill>
              <a:schemeClr val="accent3"/>
            </a:solidFill>
            <a:ln>
              <a:noFill/>
            </a:ln>
            <a:effectLst/>
          </c:spPr>
          <c:invertIfNegative val="0"/>
          <c:cat>
            <c:strRef>
              <c:f>Hoja2!$I$34:$I$51</c:f>
              <c:strCache>
                <c:ptCount val="18"/>
                <c:pt idx="0">
                  <c:v>LAM0199</c:v>
                </c:pt>
                <c:pt idx="1">
                  <c:v>LAM1358</c:v>
                </c:pt>
                <c:pt idx="2">
                  <c:v>LAM2469</c:v>
                </c:pt>
                <c:pt idx="3">
                  <c:v>LAM3276</c:v>
                </c:pt>
                <c:pt idx="4">
                  <c:v>LAM3323</c:v>
                </c:pt>
                <c:pt idx="5">
                  <c:v>LAM3518</c:v>
                </c:pt>
                <c:pt idx="6">
                  <c:v>LAM3816</c:v>
                </c:pt>
                <c:pt idx="7">
                  <c:v>LAM4113</c:v>
                </c:pt>
                <c:pt idx="8">
                  <c:v>LAM4174</c:v>
                </c:pt>
                <c:pt idx="9">
                  <c:v>LAM4609</c:v>
                </c:pt>
                <c:pt idx="10">
                  <c:v>LAM6356</c:v>
                </c:pt>
                <c:pt idx="11">
                  <c:v>LAM7834-00</c:v>
                </c:pt>
                <c:pt idx="12">
                  <c:v>LAV0010-00-2023</c:v>
                </c:pt>
                <c:pt idx="13">
                  <c:v>LAV0016-00-2023</c:v>
                </c:pt>
                <c:pt idx="14">
                  <c:v>LAV0028-00-2023</c:v>
                </c:pt>
                <c:pt idx="15">
                  <c:v>LAV0056-00-2015</c:v>
                </c:pt>
                <c:pt idx="16">
                  <c:v>LAV0062-00-2016</c:v>
                </c:pt>
                <c:pt idx="17">
                  <c:v>Autoridad Regional</c:v>
                </c:pt>
              </c:strCache>
            </c:strRef>
          </c:cat>
          <c:val>
            <c:numRef>
              <c:f>Hoja2!$L$34:$L$51</c:f>
              <c:numCache>
                <c:formatCode>General</c:formatCode>
                <c:ptCount val="18"/>
                <c:pt idx="2">
                  <c:v>3</c:v>
                </c:pt>
                <c:pt idx="5">
                  <c:v>1</c:v>
                </c:pt>
                <c:pt idx="6">
                  <c:v>1</c:v>
                </c:pt>
                <c:pt idx="7">
                  <c:v>1</c:v>
                </c:pt>
                <c:pt idx="8">
                  <c:v>6</c:v>
                </c:pt>
              </c:numCache>
            </c:numRef>
          </c:val>
          <c:extLst>
            <c:ext xmlns:c16="http://schemas.microsoft.com/office/drawing/2014/chart" uri="{C3380CC4-5D6E-409C-BE32-E72D297353CC}">
              <c16:uniqueId val="{00000002-F8A6-4F4F-B5B7-834C8A802D0D}"/>
            </c:ext>
          </c:extLst>
        </c:ser>
        <c:ser>
          <c:idx val="3"/>
          <c:order val="3"/>
          <c:tx>
            <c:strRef>
              <c:f>Hoja2!$M$33</c:f>
              <c:strCache>
                <c:ptCount val="1"/>
                <c:pt idx="0">
                  <c:v>Terceros Voluntarios</c:v>
                </c:pt>
              </c:strCache>
            </c:strRef>
          </c:tx>
          <c:spPr>
            <a:solidFill>
              <a:schemeClr val="accent4"/>
            </a:solidFill>
            <a:ln>
              <a:noFill/>
            </a:ln>
            <a:effectLst/>
          </c:spPr>
          <c:invertIfNegative val="0"/>
          <c:cat>
            <c:strRef>
              <c:f>Hoja2!$I$34:$I$51</c:f>
              <c:strCache>
                <c:ptCount val="18"/>
                <c:pt idx="0">
                  <c:v>LAM0199</c:v>
                </c:pt>
                <c:pt idx="1">
                  <c:v>LAM1358</c:v>
                </c:pt>
                <c:pt idx="2">
                  <c:v>LAM2469</c:v>
                </c:pt>
                <c:pt idx="3">
                  <c:v>LAM3276</c:v>
                </c:pt>
                <c:pt idx="4">
                  <c:v>LAM3323</c:v>
                </c:pt>
                <c:pt idx="5">
                  <c:v>LAM3518</c:v>
                </c:pt>
                <c:pt idx="6">
                  <c:v>LAM3816</c:v>
                </c:pt>
                <c:pt idx="7">
                  <c:v>LAM4113</c:v>
                </c:pt>
                <c:pt idx="8">
                  <c:v>LAM4174</c:v>
                </c:pt>
                <c:pt idx="9">
                  <c:v>LAM4609</c:v>
                </c:pt>
                <c:pt idx="10">
                  <c:v>LAM6356</c:v>
                </c:pt>
                <c:pt idx="11">
                  <c:v>LAM7834-00</c:v>
                </c:pt>
                <c:pt idx="12">
                  <c:v>LAV0010-00-2023</c:v>
                </c:pt>
                <c:pt idx="13">
                  <c:v>LAV0016-00-2023</c:v>
                </c:pt>
                <c:pt idx="14">
                  <c:v>LAV0028-00-2023</c:v>
                </c:pt>
                <c:pt idx="15">
                  <c:v>LAV0056-00-2015</c:v>
                </c:pt>
                <c:pt idx="16">
                  <c:v>LAV0062-00-2016</c:v>
                </c:pt>
                <c:pt idx="17">
                  <c:v>Autoridad Regional</c:v>
                </c:pt>
              </c:strCache>
            </c:strRef>
          </c:cat>
          <c:val>
            <c:numRef>
              <c:f>Hoja2!$M$34:$M$51</c:f>
              <c:numCache>
                <c:formatCode>General</c:formatCode>
                <c:ptCount val="18"/>
                <c:pt idx="0">
                  <c:v>26</c:v>
                </c:pt>
                <c:pt idx="2">
                  <c:v>14</c:v>
                </c:pt>
                <c:pt idx="3">
                  <c:v>1</c:v>
                </c:pt>
                <c:pt idx="5">
                  <c:v>8</c:v>
                </c:pt>
                <c:pt idx="7">
                  <c:v>6</c:v>
                </c:pt>
                <c:pt idx="8">
                  <c:v>2</c:v>
                </c:pt>
                <c:pt idx="10">
                  <c:v>3</c:v>
                </c:pt>
                <c:pt idx="11">
                  <c:v>24</c:v>
                </c:pt>
                <c:pt idx="13">
                  <c:v>1</c:v>
                </c:pt>
                <c:pt idx="16">
                  <c:v>1</c:v>
                </c:pt>
                <c:pt idx="17">
                  <c:v>2</c:v>
                </c:pt>
              </c:numCache>
            </c:numRef>
          </c:val>
          <c:extLst>
            <c:ext xmlns:c16="http://schemas.microsoft.com/office/drawing/2014/chart" uri="{C3380CC4-5D6E-409C-BE32-E72D297353CC}">
              <c16:uniqueId val="{00000003-F8A6-4F4F-B5B7-834C8A802D0D}"/>
            </c:ext>
          </c:extLst>
        </c:ser>
        <c:dLbls>
          <c:showLegendKey val="0"/>
          <c:showVal val="0"/>
          <c:showCatName val="0"/>
          <c:showSerName val="0"/>
          <c:showPercent val="0"/>
          <c:showBubbleSize val="0"/>
        </c:dLbls>
        <c:gapWidth val="150"/>
        <c:overlap val="100"/>
        <c:axId val="2050159712"/>
        <c:axId val="2050161152"/>
      </c:barChart>
      <c:catAx>
        <c:axId val="20501597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50161152"/>
        <c:crosses val="autoZero"/>
        <c:auto val="1"/>
        <c:lblAlgn val="ctr"/>
        <c:lblOffset val="100"/>
        <c:noMultiLvlLbl val="0"/>
      </c:catAx>
      <c:valAx>
        <c:axId val="20501611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50159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Azul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Azul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Azul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Cas09</b:Tag>
    <b:SourceType>JournalArticle</b:SourceType>
    <b:Guid>{0245B0F2-1341-48E5-B166-774867EF7425}</b:Guid>
    <b:Title>La Amazonía frente al cambio climático</b:Title>
    <b:JournalName>Colombia Amazónica</b:JournalName>
    <b:Year>2009</b:Year>
    <b:Author>
      <b:Author>
        <b:NameList>
          <b:Person>
            <b:Last>Castaño</b:Last>
            <b:First>Nicolás</b:First>
          </b:Person>
        </b:NameList>
      </b:Author>
    </b:Author>
    <b:RefOrder>63</b:RefOrder>
  </b:Source>
  <b:Source>
    <b:Tag>Var17</b:Tag>
    <b:SourceType>JournalArticle</b:SourceType>
    <b:Guid>{D0612D91-D43B-4E0B-80CA-B92ACA806C0F}</b:Guid>
    <b:Title>Indicadores geológicos y geomorfológicos asociados a pinturas rupestres del Parque Nacional Natural Serranía de Ciribiquete</b:Title>
    <b:Year>2017</b:Year>
    <b:Author>
      <b:Author>
        <b:NameList>
          <b:Person>
            <b:Last>Vargas Cuervo</b:Last>
            <b:First>Germán</b:First>
          </b:Person>
        </b:NameList>
      </b:Author>
    </b:Author>
    <b:JournalName>REVISTA COLOMBIA AMAZÓNICA Nº 10</b:JournalName>
    <b:RefOrder>39</b:RefOrder>
  </b:Source>
  <b:Source>
    <b:Tag>SGC23</b:Tag>
    <b:SourceType>ElectronicSource</b:SourceType>
    <b:Guid>{CF415C85-04F9-4F11-86A3-CB8FCF04546E}</b:Guid>
    <b:Author>
      <b:Author>
        <b:NameList>
          <b:Person>
            <b:Last>SGC</b:Last>
          </b:Person>
        </b:NameList>
      </b:Author>
    </b:Author>
    <b:Title>Mapa Geológico de Co​​lom​b​ia 2023</b:Title>
    <b:Year>2023</b:Year>
    <b:RefOrder>24</b:RefOrder>
  </b:Source>
  <b:Source>
    <b:Tag>IDE06</b:Tag>
    <b:SourceType>Report</b:SourceType>
    <b:Guid>{AFE9068C-562A-4FF2-84F4-FEB84C5D861B}</b:Guid>
    <b:Author>
      <b:Author>
        <b:Corporate>IDEAM &amp; SINCHI</b:Corporate>
      </b:Author>
    </b:Author>
    <b:Title>Balance anual sobre el estado de los ecosistemas y el ambiente en la Amazonía Colombiana.</b:Title>
    <b:Year>2006</b:Year>
    <b:Publisher>nstituto de Hidrología, Meteorología y Estudios Ambientales; Instituto Amazónico de Investigaciones Científicas SINCHI.</b:Publisher>
    <b:City>Bogotá D.C</b:City>
    <b:RefOrder>64</b:RefOrder>
  </b:Source>
  <b:Source>
    <b:Tag>Fer23</b:Tag>
    <b:SourceType>Report</b:SourceType>
    <b:Guid>{11E6148B-2B15-4FFA-9722-8B4AF1ECAFA5}</b:Guid>
    <b:Title>Effects of Amazonian flying rivers on frog biodiversity and populations in the Atlantic rainforest</b:Title>
    <b:Year>2023</b:Year>
    <b:Publisher>Conservation Biology</b:Publisher>
    <b:City>Brasil</b:City>
    <b:Author>
      <b:Author>
        <b:NameList>
          <b:Person>
            <b:Last>Ferrante</b:Last>
            <b:First>L</b:First>
          </b:Person>
          <b:Person>
            <b:Last>Fearnside</b:Last>
            <b:Middle>M</b:Middle>
            <b:First>P</b:First>
          </b:Person>
          <b:Person>
            <b:Last>Barbosa</b:Last>
            <b:Middle>L</b:Middle>
            <b:First>R</b:First>
          </b:Person>
        </b:NameList>
      </b:Author>
    </b:Author>
    <b:RefOrder>65</b:RefOrder>
  </b:Source>
  <b:Source>
    <b:Tag>Mar15</b:Tag>
    <b:SourceType>Report</b:SourceType>
    <b:Guid>{B9518953-500B-4457-8A4B-7572AF678A3F}</b:Guid>
    <b:Title>he drought of 2010 in the context of historical droughts in the Amazon region</b:Title>
    <b:Year>2015</b:Year>
    <b:Publisher>Geophysical Research Letters</b:Publisher>
    <b:City>https://doi.org/10.1029/2011GL047436</b:City>
    <b:Author>
      <b:Author>
        <b:NameList>
          <b:Person>
            <b:Last>Marengo</b:Last>
            <b:Middle>A</b:Middle>
            <b:First>J</b:First>
          </b:Person>
          <b:Person>
            <b:Last>Tomasella</b:Last>
            <b:First>J</b:First>
          </b:Person>
          <b:Person>
            <b:Last>Alves</b:Last>
            <b:Middle>M</b:Middle>
            <b:First>L</b:First>
          </b:Person>
          <b:Person>
            <b:Last>Soares</b:Last>
            <b:Middle>R</b:Middle>
            <b:First>W</b:First>
          </b:Person>
          <b:Person>
            <b:Last>Rodriguez</b:Last>
            <b:Middle>A</b:Middle>
            <b:First>D</b:First>
          </b:Person>
        </b:NameList>
      </b:Author>
    </b:Author>
    <b:RefOrder>66</b:RefOrder>
  </b:Source>
  <b:Source>
    <b:Tag>IDE24</b:Tag>
    <b:SourceType>Report</b:SourceType>
    <b:Guid>{7DA347AE-DDF2-4A3D-9824-26BAFA437483}</b:Guid>
    <b:Author>
      <b:Author>
        <b:Corporate>IDEAM</b:Corporate>
      </b:Author>
    </b:Author>
    <b:Title>Cuarta Comunicación Nacional de Cambio Climático de Colombia.</b:Title>
    <b:Year>2024</b:Year>
    <b:Publisher>Instituto de Hidrología, Meteorología y Estudios Ambientales – Ministerio de Ambiente y Desarrollo Sostenible</b:Publisher>
    <b:City>Bogotá, Colombia.</b:City>
    <b:RefOrder>54</b:RefOrder>
  </b:Source>
  <b:Source>
    <b:Tag>ONe17</b:Tag>
    <b:SourceType>Report</b:SourceType>
    <b:Guid>{15265A21-8021-4958-BF57-551D119D178D}</b:Guid>
    <b:Title>The roads ahead: Narratives for shared socioeconomic pathways describing world futures in the 21st century</b:Title>
    <b:Year>2017</b:Year>
    <b:Publisher>Global Environmental Change</b:Publisher>
    <b:City>https://doi.org/10.1016/j.gloenvcha.2015.01.004</b:City>
    <b:Author>
      <b:Author>
        <b:NameList>
          <b:Person>
            <b:Last>O’Neill</b:Last>
            <b:Middle>C</b:Middle>
            <b:First>B</b:First>
          </b:Person>
          <b:Person>
            <b:Last>Kriegler</b:Last>
            <b:First>E</b:First>
          </b:Person>
          <b:Person>
            <b:Last>Ebi</b:Last>
            <b:First>K</b:First>
          </b:Person>
          <b:Person>
            <b:Last>Kemp-Benedict</b:Last>
            <b:First>E</b:First>
          </b:Person>
          <b:Person>
            <b:Last>Riahi</b:Last>
            <b:First>K</b:First>
          </b:Person>
          <b:Person>
            <b:Last>Rothman</b:Last>
            <b:First>D</b:First>
          </b:Person>
        </b:NameList>
      </b:Author>
    </b:Author>
    <b:RefOrder>55</b:RefOrder>
  </b:Source>
  <b:Source>
    <b:Tag>OTC15</b:Tag>
    <b:SourceType>ElectronicSource</b:SourceType>
    <b:Guid>{795A1E4E-A7C3-4AB3-BFF2-31D6D2A8F07F}</b:Guid>
    <b:Title>Caracterización hidrogeológica conjunta del Sistema Acuífero transfronterizo Tabatinga - Leticia</b:Title>
    <b:City>Medellín</b:City>
    <b:Year>2015</b:Year>
    <b:Month>Diciembre</b:Month>
    <b:Author>
      <b:Author>
        <b:NameList>
          <b:Person>
            <b:Last>OTCA</b:Last>
          </b:Person>
          <b:Person>
            <b:Last>SHI S.A.S.</b:Last>
          </b:Person>
        </b:NameList>
      </b:Author>
    </b:Author>
    <b:RefOrder>25</b:RefOrder>
  </b:Source>
  <b:Source>
    <b:Tag>Var25</b:Tag>
    <b:SourceType>JournalArticle</b:SourceType>
    <b:Guid>{C08A7803-9095-4ABB-A2A1-A3A6854BA085}</b:Guid>
    <b:Title>eneración de un Modelo Hidrogeológico Conceptual Como Insumo a un Estudio de Amenaza, Vulnerabilidad y Riesgo a Escala de Detalle en el Municipio de Puerto Nariño Departamento del Amazonas, Colombia</b:Title>
    <b:Year>2025</b:Year>
    <b:Author>
      <b:Author>
        <b:NameList>
          <b:Person>
            <b:Last>Vargas-Guardiola</b:Last>
            <b:First>Omar David</b:First>
          </b:Person>
        </b:NameList>
      </b:Author>
    </b:Author>
    <b:RefOrder>26</b:RefOrder>
  </b:Source>
  <b:Source>
    <b:Tag>SAS23</b:Tag>
    <b:SourceType>ElectronicSource</b:SourceType>
    <b:Guid>{25AC2250-ECE6-4F9E-94C1-11872D910055}</b:Guid>
    <b:Title>Evaluación hidrogeológica, de vulnerabilidad y de riesgo para el desarrollo de políticas de protección y uso de aguas subterráneas para la región transfronteriza de Leticia (Colombia) y Tabatinga (Brasil)</b:Title>
    <b:Year>2023</b:Year>
    <b:Author>
      <b:Author>
        <b:NameList>
          <b:Person>
            <b:Last>SHI S.A.S.</b:Last>
          </b:Person>
        </b:NameList>
      </b:Author>
    </b:Author>
    <b:Month>Octubre</b:Month>
    <b:RefOrder>27</b:RefOrder>
  </b:Source>
  <b:Source>
    <b:Tag>Fun24</b:Tag>
    <b:SourceType>InternetSite</b:SourceType>
    <b:Guid>{E31DE99F-2D97-4F07-8A79-D1D0B8CE17F6}</b:Guid>
    <b:Author>
      <b:Author>
        <b:Corporate>Fundación para la Conservación y el Desarrollo Sostenible (FCDS)</b:Corporate>
      </b:Author>
    </b:Author>
    <b:Title>Observatorio Amazonía</b:Title>
    <b:Year>2024</b:Year>
    <b:URL>https://observatorioamazonia.fcds.org.co/acercamiento-conflictos/amazonia-colombiana/deforestacion/microficha-deforestacion-en-el-bioma-amazonico-colombiano.html</b:URL>
    <b:RefOrder>35</b:RefOrder>
  </b:Source>
  <b:Source>
    <b:Tag>Fun231</b:Tag>
    <b:SourceType>DocumentFromInternetSite</b:SourceType>
    <b:Guid>{7F7B9DD0-0817-4E6D-AB74-B3C4E403DE4F}</b:Guid>
    <b:Author>
      <b:Author>
        <b:Corporate>Fundación para la Conservación y el Desarrollo Sostenible (FCDS)</b:Corporate>
      </b:Author>
    </b:Author>
    <b:Title>Observatorio Amazonía</b:Title>
    <b:Year>2023</b:Year>
    <b:URL>https://observatorioamazonia.fcds.org.co/acercamiento-conflictos/amazonia-colombiana/cultivos-uso-ilicito/microficha-cultivos-de-uso-ilicito-en-el-bioma-amazonico-colombiano.html</b:URL>
    <b:RefOrder>52</b:RefOrder>
  </b:Source>
  <b:Source>
    <b:Tag>Fun241</b:Tag>
    <b:SourceType>DocumentFromInternetSite</b:SourceType>
    <b:Guid>{75B5874F-5956-4AB6-BDB8-CD449DCBCF56}</b:Guid>
    <b:Author>
      <b:Author>
        <b:Corporate>Fundación para la Conservación y el Desarrollo Sostenible (FCDS)</b:Corporate>
      </b:Author>
    </b:Author>
    <b:Title>Observatorio Amazonía</b:Title>
    <b:Year>2024</b:Year>
    <b:URL>https://observatorioamazonia.fcds.org.co/acercamiento-conflictos/amazonia-colombiana/grupos-margen-ley/microficha-grupos-al-margen-de-la-ley-en-el-bioma-amazonico-colombiano.html</b:URL>
    <b:RefOrder>53</b:RefOrder>
  </b:Source>
  <b:Source>
    <b:Tag>LaA</b:Tag>
    <b:SourceType>Misc</b:SourceType>
    <b:Guid>{C98A76D4-8773-4BC5-9B75-7D99A365D8A6}</b:Guid>
    <b:Title>La Amazonía Colombiana y la descentralización</b:Title>
    <b:Author>
      <b:Author>
        <b:NameList>
          <b:Person>
            <b:Last>Ardila</b:Last>
            <b:First>Gerardo</b:First>
          </b:Person>
        </b:NameList>
      </b:Author>
    </b:Author>
    <b:Year>2023</b:Year>
    <b:Month>Noviembre</b:Month>
    <b:RefOrder>67</b:RefOrder>
  </b:Source>
  <b:Source>
    <b:Tag>NAS25</b:Tag>
    <b:SourceType>DocumentFromInternetSite</b:SourceType>
    <b:Guid>{A81F5EB9-8C99-414B-AF10-74A80FDC8EE5}</b:Guid>
    <b:Author>
      <b:Author>
        <b:Corporate>NASA</b:Corporate>
      </b:Author>
    </b:Author>
    <b:Title>climate.nasa.gov</b:Title>
    <b:InternetSiteTitle>climate.nasa.gov</b:InternetSiteTitle>
    <b:Year>2025</b:Year>
    <b:Month>Septiembre</b:Month>
    <b:Day>09</b:Day>
    <b:URL>https://climate.nasa.gov/en-espanol/signos-vitales/dioxido-de-carbono/?intent=111</b:URL>
    <b:RefOrder>68</b:RefOrder>
  </b:Source>
  <b:Source>
    <b:Tag>Ins22</b:Tag>
    <b:SourceType>DocumentFromInternetSite</b:SourceType>
    <b:Guid>{3551411F-82BD-44C0-88DA-9ABD2BE69C32}</b:Guid>
    <b:Title>Instituto SINCHI</b:Title>
    <b:Year>2022</b:Year>
    <b:Author>
      <b:Author>
        <b:Corporate>Instituto Amazónico de Investigaciones Científicas</b:Corporate>
      </b:Author>
    </b:Author>
    <b:URL>https://ierna.sinchi.org.co/informe/06-dinamicas-sociambientales-en-la-amazonia-2022/</b:URL>
    <b:RefOrder>69</b:RefOrder>
  </b:Source>
  <b:Source>
    <b:Tag>NASsf</b:Tag>
    <b:SourceType>DocumentFromInternetSite</b:SourceType>
    <b:Guid>{AEAFC8A5-5B94-4594-BAB6-0E824106DD07}</b:Guid>
    <b:Author>
      <b:Author>
        <b:Corporate>NASA</b:Corporate>
      </b:Author>
    </b:Author>
    <b:Title>Dióxido de carbono. Climate Change: Vital Signs of the Planet</b:Title>
    <b:InternetSiteTitle>climate.nasa.gov</b:InternetSiteTitle>
    <b:Year>2025</b:Year>
    <b:URL>https://climate.nasa.gov/en-espanol/signos-vitales/dioxido-de-carbono/?intent=111</b:URL>
    <b:Month>Julio</b:Month>
    <b:Day>31</b:Day>
    <b:RefOrder>6</b:RefOrder>
  </b:Source>
  <b:Source>
    <b:Tag>Van10</b:Tag>
    <b:SourceType>DocumentFromInternetSite</b:SourceType>
    <b:Guid>{5B1D3B75-4DE0-4ACF-A7C5-5909637ED38B}</b:Guid>
    <b:Author>
      <b:Author>
        <b:NameList>
          <b:Person>
            <b:Last>Van der Ent</b:Last>
            <b:First>R.</b:First>
            <b:Middle>J., Savenije, H. H. G., Schaefli, B., &amp; Steele-Dunne, S. C.</b:Middle>
          </b:Person>
        </b:NameList>
      </b:Author>
    </b:Author>
    <b:Title>Origin and fate of atmospheric moisture over continents</b:Title>
    <b:InternetSiteTitle>agupubs.onlinelibrary.wiley.com</b:InternetSiteTitle>
    <b:Year>2010</b:Year>
    <b:Month>Septiembre</b:Month>
    <b:Day>22</b:Day>
    <b:URL>https://agupubs.onlinelibrary.wiley.com/doi/10.1029/2010WR009127</b:URL>
    <b:RefOrder>13</b:RefOrder>
  </b:Source>
  <b:Source>
    <b:Tag>NOAsf</b:Tag>
    <b:SourceType>DocumentFromInternetSite</b:SourceType>
    <b:Guid>{5AC1689A-6786-4A07-A74E-DF22C444621A}</b:Guid>
    <b:Author>
      <b:Author>
        <b:Corporate>NOAA Ocean Exploration</b:Corporate>
      </b:Author>
    </b:Author>
    <b:Title>How does the ocean affect climate and weather on land? </b:Title>
    <b:InternetSiteTitle>https://oceanexplorer.noaa.gov/</b:InternetSiteTitle>
    <b:Year>s.f.</b:Year>
    <b:URL>https://oceanexplorer.noaa.gov/ocean-fact/climate/</b:URL>
    <b:RefOrder>14</b:RefOrder>
  </b:Source>
  <b:Source>
    <b:Tag>Pov11</b:Tag>
    <b:SourceType>DocumentFromInternetSite</b:SourceType>
    <b:Guid>{C7178315-5911-40AF-9A21-39EF316133F1}</b:Guid>
    <b:Author>
      <b:Author>
        <b:NameList>
          <b:Person>
            <b:Last>Poveda Jaramillo</b:Last>
            <b:First>Germán</b:First>
          </b:Person>
        </b:NameList>
      </b:Author>
    </b:Author>
    <b:Title>El papel de la amazonía en el clima global y continental : impactos del cambio climático y la deforestación.</b:Title>
    <b:InternetSiteTitle>repositorio.unal.edu.co</b:InternetSiteTitle>
    <b:Year>2011</b:Year>
    <b:URL>https://repositorio.unal.edu.co/items/ed80186a-7340-4e34-9d5a-c4f923370908</b:URL>
    <b:RefOrder>15</b:RefOrder>
  </b:Source>
  <b:Source>
    <b:Tag>Elisf</b:Tag>
    <b:SourceType>DocumentFromInternetSite</b:SourceType>
    <b:Guid>{4AD04D61-E576-4124-9BC4-A2D2A8129C02}</b:Guid>
    <b:Author>
      <b:Author>
        <b:Corporate>Eli Tziperman Research Group.</b:Corporate>
      </b:Author>
    </b:Author>
    <b:Title>Hadley circulation dynamics </b:Title>
    <b:InternetSiteTitle>Harvard University, School of Engineering and Applied Sciences</b:InternetSiteTitle>
    <b:Year>s. f.</b:Year>
    <b:URL>https://groups.seas.harvard.edu/climate/eli/research/equable/hadley.html </b:URL>
    <b:RefOrder>70</b:RefOrder>
  </b:Source>
  <b:Source>
    <b:Tag>Fin25</b:Tag>
    <b:SourceType>DocumentFromInternetSite</b:SourceType>
    <b:Guid>{56F2C6BB-739C-4741-ACE0-1446CFA025FA}</b:Guid>
    <b:Author>
      <b:Author>
        <b:NameList>
          <b:Person>
            <b:Last>Finer M</b:Last>
            <b:First>Castillo</b:First>
            <b:Middle>H, Mamani N</b:Middle>
          </b:Person>
        </b:NameList>
      </b:Author>
    </b:Author>
    <b:Title>Carbono en la Amazonía (parte 4): Áreas protegidas y territorios Indígenas</b:Title>
    <b:InternetSiteTitle>Proyecto Monitoreo de la Amazonía Andina (MAAP) #225</b:InternetSiteTitle>
    <b:Year>2025</b:Year>
    <b:Month>Abril</b:Month>
    <b:URL>https://www.maapprogram.org/es/carbono-amazonia-parte4/</b:URL>
    <b:RefOrder>7</b:RefOrder>
  </b:Source>
  <b:Source>
    <b:Tag>Red25</b:Tag>
    <b:SourceType>Report</b:SourceType>
    <b:Guid>{F9F6C0FE-DD34-4D7D-8D89-5CCDECD19591}</b:Guid>
    <b:Author>
      <b:Author>
        <b:Corporate>Red Amazónica de Información Socioambiental Georreferenciada  (RAISG)</b:Corporate>
      </b:Author>
    </b:Author>
    <b:Title>Diagnóstico de datos de Carbono en la Amazonía Colombiana</b:Title>
    <b:Year>2025</b:Year>
    <b:Publisher>RAISG</b:Publisher>
    <b:City>Bogota</b:City>
    <b:RefOrder>8</b:RefOrder>
  </b:Source>
  <b:Source>
    <b:Tag>LiX19</b:Tag>
    <b:SourceType>JournalArticle</b:SourceType>
    <b:Guid>{D98FFD4C-4896-45EE-B29A-FBBC636D4F42}</b:Guid>
    <b:Title>Technology and equipment development in laser-induced fluorescence-based remote and field detection of biological aerosols.</b:Title>
    <b:Year>2019</b:Year>
    <b:JournalName>Journal of Biosafety and Biosecurity, 1(2)</b:JournalName>
    <b:Pages>113-122</b:Pages>
    <b:Author>
      <b:Author>
        <b:NameList>
          <b:Person>
            <b:Last>Li</b:Last>
            <b:First>X.,</b:First>
            <b:Middle>Huang, S., &amp; Sun, Z.</b:Middle>
          </b:Person>
        </b:NameList>
      </b:Author>
    </b:Author>
    <b:RefOrder>10</b:RefOrder>
  </b:Source>
  <b:Source>
    <b:Tag>Amasf</b:Tag>
    <b:SourceType>DocumentFromInternetSite</b:SourceType>
    <b:Guid>{0C699AD6-2DF6-4A71-B1A0-2D6C887013CC}</b:Guid>
    <b:Author>
      <b:Author>
        <b:Corporate>Amazon Tall Tower Observatory (ATTO)</b:Corporate>
      </b:Author>
    </b:Author>
    <b:Title>BVOC emissions across the seasons in the Amazon. </b:Title>
    <b:Year>s.f.</b:Year>
    <b:InternetSiteTitle>www.attoproject.org</b:InternetSiteTitle>
    <b:URL>https://www.attoproject.org/bvoc-emissions-across-the-seasons/. </b:URL>
    <b:RefOrder>11</b:RefOrder>
  </b:Source>
  <b:Source>
    <b:Tag>Wan24</b:Tag>
    <b:SourceType>DocumentFromInternetSite</b:SourceType>
    <b:Guid>{9463A2A1-C155-44D4-9265-EF4FAAD87312}</b:Guid>
    <b:Author>
      <b:Author>
        <b:NameList>
          <b:Person>
            <b:Last>Wang</b:Last>
            <b:First>H.,</b:First>
            <b:Middle>Liu, X., Wu, C., &amp; Lin, G.</b:Middle>
          </b:Person>
        </b:NameList>
      </b:Author>
    </b:Author>
    <b:Title>Regional to global distributions, trends, and drivers of biogenic volatile organic compound emission from 2001 to 2020. </b:Title>
    <b:InternetSiteTitle>Atmospheric Chemistry and Physics</b:InternetSiteTitle>
    <b:Year>2024</b:Year>
    <b:URL>https://doi.org/10.5194/acp-24-3309-2024</b:URL>
    <b:RefOrder>12</b:RefOrder>
  </b:Source>
  <b:Source>
    <b:Tag>Ins17</b:Tag>
    <b:SourceType>DocumentFromInternetSite</b:SourceType>
    <b:Guid>{7DE909BE-3726-4110-8193-57291FCB3FE9}</b:Guid>
    <b:Author>
      <b:Author>
        <b:Corporate>Instituto de Hidrología, Meteorología y Estudios Ambientales – IDEAM</b:Corporate>
      </b:Author>
    </b:Author>
    <b:Title>Atlas Climatológico de Colombia </b:Title>
    <b:InternetSiteTitle>https://www.ideam.gov.co</b:InternetSiteTitle>
    <b:Year>2017</b:Year>
    <b:URL>http://archivo.ideam.gov.co/web/tiempo-y-clima/clima</b:URL>
    <b:RefOrder>4</b:RefOrder>
  </b:Source>
  <b:Source>
    <b:Tag>Ins171</b:Tag>
    <b:SourceType>DocumentFromInternetSite</b:SourceType>
    <b:Guid>{EB7972E7-3DA8-4BC7-9F69-5FDD6C0EFBD0}</b:Guid>
    <b:Author>
      <b:Author>
        <b:Corporate>Instituto de Hidrología, Meteorología y Estudios Ambientales – IDEAM</b:Corporate>
      </b:Author>
    </b:Author>
    <b:Title>Atlas de Vientos de Colombia</b:Title>
    <b:InternetSiteTitle>https://www.ideam.gov.co</b:InternetSiteTitle>
    <b:Year>2017</b:Year>
    <b:URL>http://archivo.ideam.gov.co/web/tiempo-y-clima/clima</b:URL>
    <b:RefOrder>71</b:RefOrder>
  </b:Source>
  <b:Source>
    <b:Tag>MuZ22</b:Tag>
    <b:SourceType>DocumentFromInternetSite</b:SourceType>
    <b:Guid>{8C71E52E-9686-4451-A52B-C2501966944E}</b:Guid>
    <b:Author>
      <b:Author>
        <b:NameList>
          <b:Person>
            <b:Last>Zhaobin Mu</b:Last>
            <b:First>Joan</b:First>
            <b:Middle>Llusià, Jianqiang Zeng, Yanli Zhang, Dolores Asensio, Kaijun Yang, Zhigang Yi, Xinming Wang y Josep Peñuelas</b:Middle>
          </b:Person>
        </b:NameList>
      </b:Author>
    </b:Author>
    <b:Title>An Overview of the Isoprenoid Emissions From Tropical Plant Species. </b:Title>
    <b:InternetSiteTitle>https://www.frontiersin.org/</b:InternetSiteTitle>
    <b:Year>2022</b:Year>
    <b:Month>05</b:Month>
    <b:URL>https://www.frontiersin.org/journals/plant-science/articles/10.3389/fpls.2022.833030/full</b:URL>
    <b:RefOrder>9</b:RefOrder>
  </b:Source>
  <b:Source>
    <b:Tag>Isa17</b:Tag>
    <b:SourceType>DocumentFromInternetSite</b:SourceType>
    <b:Guid>{2397F186-AF80-48AF-8160-6DB326BA1E74}</b:Guid>
    <b:Author>
      <b:Author>
        <b:NameList>
          <b:Person>
            <b:Last>Hoyos</b:Last>
            <b:First>Isabel</b:First>
          </b:Person>
        </b:NameList>
      </b:Author>
    </b:Author>
    <b:Title>Transporte de humedad atmosférica en Colombia: origen, variabilidad y acople con fenómenos climáticos globales</b:Title>
    <b:InternetSiteTitle>https://bibliotecadigital.udea.edu.co/</b:InternetSiteTitle>
    <b:Year>2017</b:Year>
    <b:URL>https://bibliotecadigital.udea.edu.co/</b:URL>
    <b:RefOrder>16</b:RefOrder>
  </b:Source>
  <b:Source>
    <b:Tag>Ent22</b:Tag>
    <b:SourceType>DocumentFromInternetSite</b:SourceType>
    <b:Guid>{E70A5F2B-374D-49E9-AFB5-4D654D751377}</b:Guid>
    <b:Title>informe del estado de la calidad del aire de 2021</b:Title>
    <b:Year>(2022)</b:Year>
    <b:Author>
      <b:Author>
        <b:Corporate>IDEAM</b:Corporate>
      </b:Author>
    </b:Author>
    <b:InternetSiteTitle>https://www.ideam.gov.co</b:InternetSiteTitle>
    <b:URL>https://www.ideam.gov.co/sala-de-prensa/informes/Estado-de-la-calidad-del-aire</b:URL>
    <b:RefOrder>17</b:RefOrder>
  </b:Source>
  <b:Source>
    <b:Tag>ANL17</b:Tag>
    <b:SourceType>DocumentFromInternetSite</b:SourceType>
    <b:Guid>{02A784A8-08F8-4F01-B345-6C101149A6CA}</b:Guid>
    <b:Author>
      <b:Author>
        <b:Corporate>ANLA</b:Corporate>
      </b:Author>
    </b:Author>
    <b:Title>Reporte de Análisis Regional del Caqueta</b:Title>
    <b:InternetSiteTitle>https://www.anla.gov.co/</b:InternetSiteTitle>
    <b:Year>2017</b:Year>
    <b:URL>https://www.anla.gov.co/proyectos-anla/centro-de-monitoreo/reporte-de-alertas</b:URL>
    <b:RefOrder>18</b:RefOrder>
  </b:Source>
  <b:Source>
    <b:Tag>ANL23</b:Tag>
    <b:SourceType>DocumentFromInternetSite</b:SourceType>
    <b:Guid>{D2554C14-B044-47D9-BD56-AFC64FDCC099}</b:Guid>
    <b:Author>
      <b:Author>
        <b:Corporate>ANLA</b:Corporate>
      </b:Author>
    </b:Author>
    <b:Title>Actualización del Reporte de Análisis Regional del Putumayo</b:Title>
    <b:InternetSiteTitle>https://www.anla.gov.co/</b:InternetSiteTitle>
    <b:Year>2023</b:Year>
    <b:URL>https://www.anla.gov.co/proyectos-anla/centro-de-monitoreo/reporte-de-alertas</b:URL>
    <b:RefOrder>19</b:RefOrder>
  </b:Source>
  <b:Source>
    <b:Tag>Pöh12</b:Tag>
    <b:SourceType>JournalArticle</b:SourceType>
    <b:Guid>{F486ABE5-8297-4596-9EFA-4CE5EC5F53AB}</b:Guid>
    <b:Title>Autofluorescence of atmospheric bioaerosols – fluorescent biomolecules and potential interferences</b:Title>
    <b:Year>2012</b:Year>
    <b:Author>
      <b:Author>
        <b:NameList>
          <b:Person>
            <b:Last>Pöhlker C</b:Last>
            <b:First>Huffman</b:First>
            <b:Middle>J A y Pöschl U</b:Middle>
          </b:Person>
        </b:NameList>
      </b:Author>
    </b:Author>
    <b:JournalName>Atmospheric Measurement Techniques</b:JournalName>
    <b:Pages>37-71</b:Pages>
    <b:RefOrder>31</b:RefOrder>
  </b:Source>
  <b:Source>
    <b:Tag>UNA21</b:Tag>
    <b:SourceType>DocumentFromInternetSite</b:SourceType>
    <b:Guid>{2313DC2B-B144-4483-A735-3E2BA5C982EE}</b:Guid>
    <b:Author>
      <b:Author>
        <b:Corporate>UNAL Medellín</b:Corporate>
      </b:Author>
    </b:Author>
    <b:Title>Los ríos voladores de Suramérica: una maravilla en peligro.</b:Title>
    <b:Year>2021</b:Year>
    <b:InternetSiteTitle>Fundación para la Conservación y el Desarrollo Colombia. </b:InternetSiteTitle>
    <b:Month>01</b:Month>
    <b:Day>28</b:Day>
    <b:URL>https://fcds.org.co/los-rios-voladores-de-suramerica-una-maravilla-en-peligro/ </b:URL>
    <b:RefOrder>32</b:RefOrder>
  </b:Source>
  <b:Source>
    <b:Tag>Ins</b:Tag>
    <b:SourceType>DocumentFromInternetSite</b:SourceType>
    <b:Guid>{CEBDF8FF-AA38-4083-B883-556D53A739A8}</b:Guid>
    <b:Author>
      <b:Author>
        <b:NameList>
          <b:Person>
            <b:Last>SINCHI</b:Last>
            <b:First>Instituto</b:First>
            <b:Middle>Amazónico de Investigaciones Científicas-Instituto</b:Middle>
          </b:Person>
        </b:NameList>
      </b:Author>
    </b:Author>
    <b:Title>Instituto SINCHI</b:Title>
    <b:URL>https://sinchi.org.co/anillo-de-poblamiento-en-la-amazonia-colombiana</b:URL>
    <b:Year>2021</b:Year>
    <b:RefOrder>72</b:RefOrder>
  </b:Source>
  <b:Source>
    <b:Tag>Ins21</b:Tag>
    <b:SourceType>DocumentFromInternetSite</b:SourceType>
    <b:Guid>{FB10C447-D462-4BF2-A039-4A642B8B93AF}</b:Guid>
    <b:Author>
      <b:Author>
        <b:Corporate>Instituto Amazónico de Investigaciones Científicas-SINCHI</b:Corporate>
      </b:Author>
    </b:Author>
    <b:Title>Instituto SINCHI</b:Title>
    <b:Year>2021</b:Year>
    <b:URL>https://sinchi.org.co/anillo-de-poblamiento-en-la-amazonia-colombiana</b:URL>
    <b:RefOrder>36</b:RefOrder>
  </b:Source>
  <b:Source>
    <b:Tag>SIN</b:Tag>
    <b:SourceType>DocumentFromInternetSite</b:SourceType>
    <b:Guid>{3A8F32BA-4632-4C6E-9E6F-EF690481F0A0}</b:Guid>
    <b:Title>Instituto SINCHI</b:Title>
    <b:URL>https://ierna.sinchi.org.co/informe/11-poblacion-territorios-y-ciudades-sostenibles-2022/</b:URL>
    <b:Author>
      <b:Author>
        <b:Corporate>Instituto Amazónico de Investigaciones Científicas-SINCHI</b:Corporate>
      </b:Author>
    </b:Author>
    <b:Year>2022</b:Year>
    <b:RefOrder>37</b:RefOrder>
  </b:Source>
  <b:Source>
    <b:Tag>Jor24</b:Tag>
    <b:SourceType>Report</b:SourceType>
    <b:Guid>{D898756F-10D0-4A97-B373-DD2B4F458CBB}</b:Guid>
    <b:Title>Estado socioeconómico del bioma amazónico colombiano a la luz de la COP 16 (Documento CEDE No. 2024-27)</b:Title>
    <b:Year>2024</b:Year>
    <b:Author>
      <b:Author>
        <b:NameList>
          <b:Person>
            <b:Last>Sánchez</b:Last>
            <b:First>Jorge</b:First>
            <b:Middle>Higinio Maldonado y Rocío del Pilar Moreno</b:Middle>
          </b:Person>
        </b:NameList>
      </b:Author>
    </b:Author>
    <b:Publisher>Universidad de los Andes</b:Publisher>
    <b:City>Bogotá</b:City>
    <b:RefOrder>40</b:RefOrder>
  </b:Source>
  <b:Source>
    <b:Tag>Dep18</b:Tag>
    <b:SourceType>DocumentFromInternetSite</b:SourceType>
    <b:Guid>{DFA5D537-AD96-4668-B8A6-1B9FBE34A65C}</b:Guid>
    <b:Author>
      <b:Author>
        <b:Corporate>Departamento Administrativo Nacional de Estadística (DANE)</b:Corporate>
      </b:Author>
    </b:Author>
    <b:Title>DANE</b:Title>
    <b:Year>2018</b:Year>
    <b:URL>https://www.dane.gov.co/index.php/estadisticas-por-tema/pobreza-y-condiciones-de-vida/necesidades-basicas-insatisfechas-nbi</b:URL>
    <b:RefOrder>41</b:RefOrder>
  </b:Source>
  <b:Source>
    <b:Tag>Fun</b:Tag>
    <b:SourceType>DocumentFromInternetSite</b:SourceType>
    <b:Guid>{99554FDE-80F1-439D-BF18-C66967D7EC60}</b:Guid>
    <b:Title>Observatorio Amazonia (FCDS)</b:Title>
    <b:Author>
      <b:Author>
        <b:Corporate>Fundación para la Conservación y el Desarrollo Sostenible (FCDS) </b:Corporate>
      </b:Author>
    </b:Author>
    <b:URL>https://observatorioamazonia.fcds.org.co/acercamiento-conflictos/amazonia-colombiana/agroindustria/microficha-agroindustria-en-el-bioma-amazonico-colombiano.html</b:URL>
    <b:Year>2023</b:Year>
    <b:Month>Noviembre</b:Month>
    <b:Day>21</b:Day>
    <b:RefOrder>48</b:RefOrder>
  </b:Source>
  <b:Source>
    <b:Tag>Fun23</b:Tag>
    <b:SourceType>DocumentFromInternetSite</b:SourceType>
    <b:Guid>{D197E369-09C6-44D8-A73B-5BA4F0B2D497}</b:Guid>
    <b:Author>
      <b:Author>
        <b:Corporate>Fundación para la Conservación y el Desarrollo Sostenible (FCDS)</b:Corporate>
      </b:Author>
    </b:Author>
    <b:Year>2023</b:Year>
    <b:URL>https://observatorioamazonia.fcds.org.co/acercamiento-conflictos/amazonia-colombiana/ganaderia/microficha-ganaderia-en-el-bioma-amazonico-colombiano.html</b:URL>
    <b:Title>Observatorio Amazonía (FCDS)</b:Title>
    <b:RefOrder>49</b:RefOrder>
  </b:Source>
  <b:Source>
    <b:Tag>Fun1</b:Tag>
    <b:SourceType>DocumentFromInternetSite</b:SourceType>
    <b:Guid>{9D37CEFE-EA36-4DBA-A6AA-60B9197FD195}</b:Guid>
    <b:Author>
      <b:Author>
        <b:Corporate>Fundación para la Conservación y el Desarrollo Sostenible (FCDS)</b:Corporate>
      </b:Author>
    </b:Author>
    <b:Title>Observatorio Amazónico (FCDS)</b:Title>
    <b:URL>https://observatorioamazonia.fcds.org.co/acercamiento-conflictos/amazonia-colombiana/mineria/microficha-mineria-en-el-bioma-amazonico-colombiano.html</b:URL>
    <b:Year>2024</b:Year>
    <b:RefOrder>51</b:RefOrder>
  </b:Source>
  <b:Source>
    <b:Tag>Ins16</b:Tag>
    <b:SourceType>Report</b:SourceType>
    <b:Guid>{5CD1C410-9577-40AE-A070-0949E320C6D4}</b:Guid>
    <b:Title>Conocimiento tradicional: clave en la construcción del desarrollo sostenible en la Amazonia colombiana.</b:Title>
    <b:Year>2014</b:Year>
    <b:Author>
      <b:Author>
        <b:Corporate>Instituto Amazónico de Investigaciones Científicas SINCHI</b:Corporate>
      </b:Author>
    </b:Author>
    <b:RefOrder>47</b:RefOrder>
  </b:Source>
  <b:Source>
    <b:Tag>SGC</b:Tag>
    <b:SourceType>JournalArticle</b:SourceType>
    <b:Guid>{31A28844-835B-4245-B6D6-5045009F5B32}</b:Guid>
    <b:Title>Estudio de isotopía de aguas en el páramo de Chingaza</b:Title>
    <b:Author>
      <b:Author>
        <b:Corporate>SGC; PNN</b:Corporate>
      </b:Author>
    </b:Author>
    <b:Year>2025</b:Year>
    <b:RefOrder>33</b:RefOrder>
  </b:Source>
  <b:Source>
    <b:Tag>IDE241</b:Tag>
    <b:SourceType>Report</b:SourceType>
    <b:Guid>{AAF5302B-8D46-4D28-A3E6-348DBD336D66}</b:Guid>
    <b:Title>Escenarios de cambio climático de la Cuarta Comunicación de Colombia</b:Title>
    <b:Year>2024</b:Year>
    <b:Publisher>Instituto de Hidrología, Meteorología y Estudios Ambientales</b:Publisher>
    <b:City>Bogota D.C</b:City>
    <b:Author>
      <b:Author>
        <b:NameList>
          <b:Person>
            <b:Last>IDEAM</b:Last>
          </b:Person>
          <b:Person>
            <b:Last>MinAmbiente</b:Last>
          </b:Person>
          <b:Person>
            <b:Last>PNUD</b:Last>
          </b:Person>
          <b:Person>
            <b:Last>GEF-CBIT</b:Last>
          </b:Person>
        </b:NameList>
      </b:Author>
    </b:Author>
    <b:RefOrder>56</b:RefOrder>
  </b:Source>
  <b:Source>
    <b:Tag>Ide24</b:Tag>
    <b:SourceType>Report</b:SourceType>
    <b:Guid>{2C0AC232-B67C-4CA7-A369-E7729E12DE51}</b:Guid>
    <b:Author>
      <b:Author>
        <b:NameList>
          <b:Person>
            <b:Last>IDEAM</b:Last>
          </b:Person>
          <b:Person>
            <b:Last>Minambiente</b:Last>
          </b:Person>
          <b:Person>
            <b:Last>DNP</b:Last>
          </b:Person>
          <b:Person>
            <b:Last>Cancillería</b:Last>
          </b:Person>
          <b:Person>
            <b:Last>PNUD</b:Last>
          </b:Person>
          <b:Person>
            <b:Last>Fundación Natura</b:Last>
          </b:Person>
        </b:NameList>
      </b:Author>
    </b:Author>
    <b:Title>Primer Informe Bienal de Transparencia de Colombia</b:Title>
    <b:Year>2024</b:Year>
    <b:Publisher>Instituto de Hidrología, Meteorología y Estudios Ambientales</b:Publisher>
    <b:City>Bogotá, D.C.</b:City>
    <b:RefOrder>57</b:RefOrder>
  </b:Source>
  <b:Source>
    <b:Tag>MarcadorDePosición1</b:Tag>
    <b:SourceType>Report</b:SourceType>
    <b:Guid>{21561A3C-9509-4E6B-B1FC-AC045A347274}</b:Guid>
    <b:Author>
      <b:Author>
        <b:Corporate>IDEAM</b:Corporate>
      </b:Author>
    </b:Author>
    <b:Title> El SIIVRA como herramienta para los análisis de vulnerabilidad y riesgo por cambio climático en Colombia: dimensión de Biodiversidad y Servicios Ecosistémicos</b:Title>
    <b:Year>2024</b:Year>
    <b:Publisher>Instituto de Hidrología, Meteorología y Estudios Ambientales</b:Publisher>
    <b:City>Cali, Colombia</b:City>
    <b:RefOrder>58</b:RefOrder>
  </b:Source>
  <b:Source>
    <b:Tag>Xiy22</b:Tag>
    <b:SourceType>DocumentFromInternetSite</b:SourceType>
    <b:Guid>{D02ACDDB-B19D-49E6-9065-6030E883F8EA}</b:Guid>
    <b:Author>
      <b:Author>
        <b:NameList>
          <b:Person>
            <b:Last>Xiyan Xu</b:Last>
            <b:First>Xiaoyan</b:First>
            <b:Middle>Zhang, William J Riley, Ying Xue, Carlos A Nobre, Thomas E Lovejoy and Gensuo Jia</b:Middle>
          </b:Person>
        </b:NameList>
      </b:Author>
    </b:Author>
    <b:Title>Deforestation triggering irreversible transition in Amazon hydrological cycle.</b:Title>
    <b:Year>2022</b:Year>
    <b:URL>https://iopscience.iop.org/article/10.1088/1748-9326/ac4c1d</b:URL>
    <b:RefOrder>60</b:RefOrder>
  </b:Source>
  <b:Source>
    <b:Tag>UNE07</b:Tag>
    <b:SourceType>JournalArticle</b:SourceType>
    <b:Guid>{D0A75B0E-55C2-4E6C-9EFE-AC06B3BCFFAB}</b:Guid>
    <b:Author>
      <b:Author>
        <b:NameList>
          <b:Person>
            <b:Last>UNESCO</b:Last>
          </b:Person>
        </b:NameList>
      </b:Author>
    </b:Author>
    <b:Title>Sistemas Acuíferos Transfronterizos en las Américas, Evaluación Preliminar</b:Title>
    <b:Year>2007</b:Year>
    <b:RefOrder>28</b:RefOrder>
  </b:Source>
  <b:Source>
    <b:Tag>IWL22</b:Tag>
    <b:SourceType>JournalArticle</b:SourceType>
    <b:Guid>{F8AC0E04-C1B1-4341-B752-633873066CAF}</b:Guid>
    <b:Author>
      <b:Author>
        <b:NameList>
          <b:Person>
            <b:Last>IW:LEARN</b:Last>
          </b:Person>
        </b:NameList>
      </b:Author>
    </b:Author>
    <b:Title>The Invisible Giant: Understanding, protecting and managing the Amazon Aquifer System to complete the Amazon puzzle</b:Title>
    <b:Year>2022</b:Year>
    <b:RefOrder>29</b:RefOrder>
  </b:Source>
  <b:Source>
    <b:Tag>IDE14</b:Tag>
    <b:SourceType>DocumentFromInternetSite</b:SourceType>
    <b:Guid>{B78F2174-F66A-4400-AADE-7459A4166FD1}</b:Guid>
    <b:Author>
      <b:Author>
        <b:Corporate>IDEAM</b:Corporate>
      </b:Author>
    </b:Author>
    <b:Title>Regionalización de Colombia según la Estacionalidad de la Precipitación Media Mensual, A través de Análisis de componentes Principales (ACP)</b:Title>
    <b:InternetSiteTitle>ideam.gov.co</b:InternetSiteTitle>
    <b:Year>2014</b:Year>
    <b:URL>http://archivo.ideam.gov.co/documents/21021/21141/Regionalizacion+de+la+Precipitacion+Media+Mensual/1239c8b3-299d-4099-bf52-55a414557119</b:URL>
    <b:RefOrder>5</b:RefOrder>
  </b:Source>
  <b:Source>
    <b:Tag>Fer16</b:Tag>
    <b:SourceType>JournalArticle</b:SourceType>
    <b:Guid>{2AA6878C-7E0C-4720-ABF9-12DBF9F3B1B1}</b:Guid>
    <b:Title>Hydrogeology of the Western Amazon Aquifer System (WAAS)</b:Title>
    <b:JournalName>Journal of South American Earth Sciences</b:JournalName>
    <b:Year>2016</b:Year>
    <b:Author>
      <b:Author>
        <b:NameList>
          <b:Person>
            <b:Last>Ferreira do Rosario</b:Last>
            <b:First>Fátima</b:First>
          </b:Person>
          <b:Person>
            <b:Last>Custodio</b:Last>
            <b:First>Emilio</b:First>
          </b:Person>
          <b:Person>
            <b:Last>Cardoso da Silva Jr.</b:Last>
            <b:First>Gerson</b:First>
          </b:Person>
        </b:NameList>
      </b:Author>
    </b:Author>
    <b:RefOrder>30</b:RefOrder>
  </b:Source>
  <b:Source>
    <b:Tag>Esc21</b:Tag>
    <b:SourceType>JournalArticle</b:SourceType>
    <b:Guid>{7C5FCA0B-BFF2-4D0F-B956-B95372128235}</b:Guid>
    <b:Title>The Importance of Continental Evaporation for Precipitation in Colombia: A Baseline Combining Observations from Stable Isotopes and Modeling Moisture Trajectories</b:Title>
    <b:Year>2021</b:Year>
    <b:Author>
      <b:Author>
        <b:NameList>
          <b:Person>
            <b:Last>Escobar</b:Last>
            <b:First>Maritza</b:First>
          </b:Person>
          <b:Person>
            <b:Last>Hoyos</b:Last>
            <b:First>Isabel</b:First>
          </b:Person>
          <b:Person>
            <b:Last>Villegas</b:Last>
            <b:First>Juan Camilo</b:First>
          </b:Person>
          <b:Person>
            <b:Last>Nieto</b:Last>
            <b:First>Raquel</b:First>
          </b:Person>
        </b:NameList>
      </b:Author>
    </b:Author>
    <b:RefOrder>34</b:RefOrder>
  </b:Source>
  <b:Source>
    <b:Tag>DNP23</b:Tag>
    <b:SourceType>InternetSite</b:SourceType>
    <b:Guid>{927CC8BC-62CA-4EA3-96C4-B42875807F0F}</b:Guid>
    <b:Author>
      <b:Author>
        <b:NameList>
          <b:Person>
            <b:Last>DNP</b:Last>
            <b:First>Departamento</b:First>
            <b:Middle>Nacional de Planeación</b:Middle>
          </b:Person>
        </b:NameList>
      </b:Author>
    </b:Author>
    <b:Title>Planeación y Desarrollo</b:Title>
    <b:Year>2023</b:Year>
    <b:Month>Noviembre</b:Month>
    <b:InternetSiteTitle>Departamento Nacional de Planeación</b:InternetSiteTitle>
    <b:URL>https://www.dnp.gov.co/publicaciones/Planeacion/Paginas/la-amazonia-colombiana-y-la-descentralizacion.aspx</b:URL>
    <b:RefOrder>3</b:RefOrder>
  </b:Source>
  <b:Source>
    <b:Tag>Gui</b:Tag>
    <b:SourceType>JournalArticle</b:SourceType>
    <b:Guid>{BB3C4C94-220E-413C-98BC-2E5BEB141748}</b:Guid>
    <b:Title>Amazonia colombiana: dinamicas territoriales</b:Title>
    <b:JournalName>Ideas verdes</b:JournalName>
    <b:Author>
      <b:Author>
        <b:NameList>
          <b:Person>
            <b:Last>Rodríguez</b:Last>
            <b:First>Camilo</b:First>
            <b:Middle>Andrés Guio</b:Middle>
          </b:Person>
          <b:Person>
            <b:Last>Suárez</b:Last>
            <b:First>Adriana</b:First>
            <b:Middle>Rojas</b:Middle>
          </b:Person>
        </b:NameList>
      </b:Author>
    </b:Author>
    <b:Year>2019</b:Year>
    <b:RefOrder>38</b:RefOrder>
  </b:Source>
  <b:Source>
    <b:Tag>UNO23</b:Tag>
    <b:SourceType>Report</b:SourceType>
    <b:Guid>{9AFD67D8-7BB2-4A00-B78F-080951EED949}</b:Guid>
    <b:Title>Monitoreo de los territorios con presencia de cultivos de coca 2023. Resumen Ejecutivo.</b:Title>
    <b:Year>2023</b:Year>
    <b:Author>
      <b:Author>
        <b:NameList>
          <b:Person>
            <b:Last>UNODC</b:Last>
            <b:First>Oficina</b:First>
            <b:Middle>de las Naciones Unidas contra la Droga y el Delito</b:Middle>
          </b:Person>
        </b:NameList>
      </b:Author>
    </b:Author>
    <b:City>Bogotá</b:City>
    <b:RefOrder>42</b:RefOrder>
  </b:Source>
  <b:Source>
    <b:Tag>OTC</b:Tag>
    <b:SourceType>DocumentFromInternetSite</b:SourceType>
    <b:Guid>{D3812E92-0A9E-43DC-BF17-E0B5A366C80A}</b:Guid>
    <b:Author>
      <b:Author>
        <b:Corporate>OTCA, 2018</b:Corporate>
      </b:Author>
    </b:Author>
    <b:Title>Análisis Diagnóstico Transfronterizo Regional de la cuenca Amazónica</b:Title>
    <b:URL>https://otca.org/wp-content/uploads/2021/02/Analisis-Diagnostico-Transfronterizo-Regional-de-la-Cuenca-Amazonica-ADT.pdf</b:URL>
    <b:RefOrder>2</b:RefOrder>
  </b:Source>
  <b:Source>
    <b:Tag>OTC21</b:Tag>
    <b:SourceType>DocumentFromInternetSite</b:SourceType>
    <b:Guid>{77E99924-67AC-4A01-874F-E058D5027602}</b:Guid>
    <b:Author>
      <b:Author>
        <b:Corporate>OTCA</b:Corporate>
      </b:Author>
    </b:Author>
    <b:Title>Atlas de Vulnerabilidad Hidroclimática de la Región Amazónica</b:Title>
    <b:Year>2021</b:Year>
    <b:URL>https://otca.org/wp-content/uploads/2021/09/Atlas-de-Vulnerabilidad-Hidroclimatica-web.pdf</b:URL>
    <b:RefOrder>1</b:RefOrder>
  </b:Source>
  <b:Source>
    <b:Tag>IDE13</b:Tag>
    <b:SourceType>DocumentFromInternetSite</b:SourceType>
    <b:Guid>{2731C334-E3F1-41AB-A0B3-C31A4AE1BAC3}</b:Guid>
    <b:Author>
      <b:Author>
        <b:Corporate>IDEAM</b:Corporate>
      </b:Author>
    </b:Author>
    <b:Title>Zonificación y codificación de cuencas hidrográficas e hidrogeológicas de Colombia</b:Title>
    <b:Year>2013</b:Year>
    <b:URL>https://www.minambiente.gov.co/wp-content/uploads/2021/10/MEMORIAS-MAPA-ZONIFICACION-HIDROGRAFICA.pdf</b:URL>
    <b:RefOrder>73</b:RefOrder>
  </b:Source>
  <b:Source>
    <b:Tag>SIN13</b:Tag>
    <b:SourceType>Report</b:SourceType>
    <b:Guid>{7D28F5FE-7FFD-4AB4-8ECE-6847577E118D}</b:Guid>
    <b:Title>Plan Estratégico de la macrocuenca de la Amazonía. Informe final Convenio Interadministrativo MADS - SINCHI No. 077/2012</b:Title>
    <b:Year>2013</b:Year>
    <b:Author>
      <b:Author>
        <b:Corporate>SINCHI</b:Corporate>
      </b:Author>
    </b:Author>
    <b:City>Leticia</b:City>
    <b:RefOrder>20</b:RefOrder>
  </b:Source>
  <b:Source>
    <b:Tag>IDE22</b:Tag>
    <b:SourceType>Report</b:SourceType>
    <b:Guid>{A7767116-2CF0-4FA2-BB9B-A5A8B1703B6F}</b:Guid>
    <b:Title>Estudio Nacional del Agua</b:Title>
    <b:Year>2023</b:Year>
    <b:Author>
      <b:Author>
        <b:NameList>
          <b:Person>
            <b:Last>IDEAM</b:Last>
          </b:Person>
        </b:NameList>
      </b:Author>
    </b:Author>
    <b:RefOrder>21</b:RefOrder>
  </b:Source>
  <b:Source>
    <b:Tag>ANL24</b:Tag>
    <b:SourceType>DocumentFromInternetSite</b:SourceType>
    <b:Guid>{3A73659B-AD6F-46DC-83D4-3F9FDE712AE3}</b:Guid>
    <b:Title>Reporte de Análisis Regional Zona Sur del Macizo Colombiano</b:Title>
    <b:Year>2024</b:Year>
    <b:Author>
      <b:Author>
        <b:Corporate>ANLA</b:Corporate>
      </b:Author>
    </b:Author>
    <b:URL>https://www.anla.gov.co/images/documentos/reportes-alertas/2024-05-16-anla-Reporte-Analisis-Regional-Macizo-Colombiano-2024.pdf</b:URL>
    <b:RefOrder>22</b:RefOrder>
  </b:Source>
  <b:Source>
    <b:Tag>ANL21</b:Tag>
    <b:SourceType>DocumentFromInternetSite</b:SourceType>
    <b:Guid>{8C153C7B-A274-4A75-90FD-19620BCFEF4F}</b:Guid>
    <b:Author>
      <b:Author>
        <b:Corporate>ANLA</b:Corporate>
      </b:Author>
    </b:Author>
    <b:Title>Reporte de Análisis Regional de las subzonas hidrográficas de los ríos Metica, Guatiquía, Guayuriba y Negro</b:Title>
    <b:Year>2021</b:Year>
    <b:URL>https://www.anla.gov.co/documentos/biblioteca/21-09-2021-reporte-de-analisis-regional-rio-negro-6.pdf</b:URL>
    <b:RefOrder>23</b:RefOrder>
  </b:Source>
  <b:Source>
    <b:Tag>Liv13</b:Tag>
    <b:SourceType>JournalArticle</b:SourceType>
    <b:Guid>{D007926C-915B-41D5-A484-CB1B59EBEBA5}</b:Guid>
    <b:Author>
      <b:Author>
        <b:NameList>
          <b:Person>
            <b:Last>Martinez</b:Last>
            <b:First>B</b:First>
          </b:Person>
        </b:NameList>
      </b:Author>
    </b:Author>
    <b:Title>Análisis de la Incertidumbre en los Estudios de Impacto Ambiental en Colombia desde el Enfoque de los Sistemas Complejos</b:Title>
    <b:JournalName>Doctoral dissertation, Universidad Nacional de Colombia</b:JournalName>
    <b:Year>2013</b:Year>
    <b:Pages>143</b:Pages>
    <b:RefOrder>74</b:RefOrder>
  </b:Source>
  <b:Source>
    <b:Tag>BID23</b:Tag>
    <b:SourceType>JournalArticle</b:SourceType>
    <b:Guid>{54DFFE7F-12C0-49BC-98D0-D344124A88FA}</b:Guid>
    <b:Author>
      <b:Author>
        <b:Corporate>Corporación Interamericana de Inversiones [BID Invest]</b:Corporate>
      </b:Author>
    </b:Author>
    <b:Title>Guía Práctica para la Evaluación y Gestión de Impactos Acumulativos en Ámerica Latina y el Caribe</b:Title>
    <b:JournalName>BID Invest</b:JournalName>
    <b:Year>2023</b:Year>
    <b:Pages>168</b:Pages>
    <b:URL>https://www.idbinvest.org/es/publicaciones/guia-practica-para-la-evaluacion-y-gestion-de-impactos-acumulativos-en-america-latina</b:URL>
    <b:RefOrder>59</b:RefOrder>
  </b:Source>
  <b:Source>
    <b:Tag>Llo23</b:Tag>
    <b:SourceType>JournalArticle</b:SourceType>
    <b:Guid>{93A4DF1A-1832-42F4-8310-95AB711E493D}</b:Guid>
    <b:Title>Impacts on South America moisture transport under Amazon deforestation and 2 °C global warming.</b:Title>
    <b:Year>2023</b:Year>
    <b:Author>
      <b:Author>
        <b:NameList>
          <b:Person>
            <b:Last>Lemes Murilo</b:Last>
            <b:First>Sampaio</b:First>
            <b:Middle>Gilvan, García-Carreras Luis, Fisch Gilberto, Muniz Lincoln, Bassett Richard, Betts Richar, Maksic Jelena, Harumi Marília, Rodrigues Roger, Guatura Marcelo, Santamaria Luana, Da C. Bisco Polyanna.</b:Middle>
          </b:Person>
        </b:NameList>
      </b:Author>
    </b:Author>
    <b:JournalName>Science of The Total Environment</b:JournalName>
    <b:RefOrder>61</b:RefOrder>
  </b:Source>
  <b:Source>
    <b:Tag>Sou24</b:Tag>
    <b:SourceType>JournalArticle</b:SourceType>
    <b:Guid>{D9B721E5-B5C7-4A26-B7B1-893C4BAC1C99}</b:Guid>
    <b:Author>
      <b:Author>
        <b:NameList>
          <b:Person>
            <b:Last>Souza Carlos</b:Last>
            <b:First>Marengo</b:First>
            <b:Middle>José, Ferreira Bruno, Ribeiro Julia, Schirmbeck Lucimara, Shcirmbeck Juliano, Hirye Mayumi, Cunha Ana, Wiederhecker Helga y Latuf Marcelo.</b:Middle>
          </b:Person>
        </b:NameList>
      </b:Author>
    </b:Author>
    <b:Title>Amazon severe drought in 2023 triggered surface water loss</b:Title>
    <b:JournalName>Environmental Research Climate</b:JournalName>
    <b:Year>2024</b:Year>
    <b:Pages>11</b:Pages>
    <b:RefOrder>62</b:RefOrder>
  </b:Source>
  <b:Source>
    <b:Tag>Ana25</b:Tag>
    <b:SourceType>DocumentFromInternetSite</b:SourceType>
    <b:Guid>{12AE6442-EEF6-4649-9FAC-3BB95773AFF7}</b:Guid>
    <b:Title>Resource Governance Institute y Contraloría General de la República</b:Title>
    <b:Year>2025</b:Year>
    <b:Author>
      <b:Author>
        <b:NameList>
          <b:Person>
            <b:Last>Gonzalez</b:Last>
            <b:First>Ana</b:First>
            <b:Middle>Carolina</b:Middle>
          </b:Person>
          <b:Person>
            <b:Last>Peña</b:Last>
            <b:First>Juliana</b:First>
          </b:Person>
          <b:Person>
            <b:Last>Patzy</b:Last>
            <b:First>Fernando</b:First>
          </b:Person>
        </b:NameList>
      </b:Author>
    </b:Author>
    <b:Month>Junio</b:Month>
    <b:URL>chrome-extension://efaidnbmnnnibpcajpcglclefindmkaj/https://resourcegovernance.org/sites/default/files/2025-09/Impactos_transicion_energetica_global_Putumayo.pdf</b:URL>
    <b:RefOrder>43</b:RefOrder>
  </b:Source>
  <b:Source>
    <b:Tag>Kar20</b:Tag>
    <b:SourceType>DocumentFromInternetSite</b:SourceType>
    <b:Guid>{11E39A87-5265-41F4-9602-5BB280EABBA7}</b:Guid>
    <b:Author>
      <b:Author>
        <b:NameList>
          <b:Person>
            <b:Last>Parra</b:Last>
            <b:First>Karla</b:First>
            <b:Middle>Díaz</b:Middle>
          </b:Person>
        </b:NameList>
      </b:Author>
    </b:Author>
    <b:Title>Asociación Ambiente y Sociedad</b:Title>
    <b:Year>2020</b:Year>
    <b:URL>chrome-extension://efaidnbmnnhttps://www.ambienteysociedad.org.co/wp-content/uploads/2020/10/Informe-seguimiento-fugas-de-crudo-moqueta-cantoyaco-gran-tierra-energy.pdf</b:URL>
    <b:Month>Octubre</b:Month>
    <b:Day>16</b:Day>
    <b:RefOrder>44</b:RefOrder>
  </b:Source>
  <b:Source>
    <b:Tag>Rev20</b:Tag>
    <b:SourceType>JournalArticle</b:SourceType>
    <b:Guid>{16C3A409-DCDF-45C1-8217-5E3D347AF19B}</b:Guid>
    <b:Title>Minería ilegal aurífera en la Amazonia colombiana: impactos sociales, ambientales y su relación con los cultivos de uso ilícito, a partir del estudio de caso de San José del Fragua, Caquetá</b:Title>
    <b:Year>2020</b:Year>
    <b:Author>
      <b:Author>
        <b:Corporate>Revista de Estudios Sociales</b:Corporate>
      </b:Author>
    </b:Author>
    <b:RefOrder>45</b:RefOrder>
  </b:Source>
  <b:Source>
    <b:Tag>Uri161</b:Tag>
    <b:SourceType>DocumentFromInternetSite</b:SourceType>
    <b:Guid>{9CBFD8C1-B7C9-423C-8674-2ED81CA363CF}</b:Guid>
    <b:Title>¿Vamos a deterner la praderización en la Amazonía?</b:Title>
    <b:InternetSiteTitle>Revista Colombia Amazónica-Instituto Amazónico de Investigaciones Científicas SINCHI.</b:InternetSiteTitle>
    <b:Year>2016</b:Year>
    <b:URL>chrome-extension://efaidnbmnnnibpcajpcglclefindmkaj/https://sinchi.org.co/files/publicaciones/revista/pdf/9/6%20vamos%20a%20detener%20la%20praderizacin%20de%20la%20amazonia.pdf</b:URL>
    <b:Author>
      <b:Author>
        <b:NameList>
          <b:Person>
            <b:Last>Uriel Murcia García</b:Last>
            <b:First>Natalia</b:First>
            <b:Middle>Quintero, Soledad Rodríguez, Herón Romero, Liliana Gualdrón.</b:Middle>
          </b:Person>
        </b:NameList>
      </b:Author>
    </b:Author>
    <b:Publisher>Revista Colombia Amazónica</b:Publisher>
    <b:City>Bogotá</b:City>
    <b:RefOrder>50</b:RefOrder>
  </b:Source>
  <b:Source>
    <b:Tag>Est18</b:Tag>
    <b:SourceType>JournalArticle</b:SourceType>
    <b:Guid>{5000DD49-98C7-4789-8B04-64F30C65DE5D}</b:Guid>
    <b:Title>“‘Ni guerra que nos mate, ni paz que nos oprima’: incursión petrolera y defensa del agua durante las negociaciones y firma de la paz en el sur de Colombia”. </b:Title>
    <b:Year>2018</b:Year>
    <b:Author>
      <b:Author>
        <b:NameList>
          <b:Person>
            <b:Last>Ciro</b:Last>
            <b:First>Estefania</b:First>
          </b:Person>
        </b:NameList>
      </b:Author>
    </b:Author>
    <b:JournalName>Colombia Internacional</b:JournalName>
    <b:Pages>150</b:Pages>
    <b:RefOrder>46</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def8e0a-2b91-4844-b2a6-85fb869462c2">
      <Terms xmlns="http://schemas.microsoft.com/office/infopath/2007/PartnerControls"/>
    </lcf76f155ced4ddcb4097134ff3c332f>
    <TaxCatchAll xmlns="7c93a908-9470-4eed-9021-ad15079155d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27C7693D9D5DD743A7B5DD74BD0D9CA1" ma:contentTypeVersion="11" ma:contentTypeDescription="Crear nuevo documento." ma:contentTypeScope="" ma:versionID="392efb2abfaccfd54ff0a80ca52136d4">
  <xsd:schema xmlns:xsd="http://www.w3.org/2001/XMLSchema" xmlns:xs="http://www.w3.org/2001/XMLSchema" xmlns:p="http://schemas.microsoft.com/office/2006/metadata/properties" xmlns:ns2="5def8e0a-2b91-4844-b2a6-85fb869462c2" xmlns:ns3="7c93a908-9470-4eed-9021-ad15079155dd" targetNamespace="http://schemas.microsoft.com/office/2006/metadata/properties" ma:root="true" ma:fieldsID="f5ec70d3ccc276b2cc2b9a3e311808ba" ns2:_="" ns3:_="">
    <xsd:import namespace="5def8e0a-2b91-4844-b2a6-85fb869462c2"/>
    <xsd:import namespace="7c93a908-9470-4eed-9021-ad15079155d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ef8e0a-2b91-4844-b2a6-85fb869462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7fdc7f6f-3be3-4e08-9ed6-0e434c3b9f1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c93a908-9470-4eed-9021-ad15079155dd"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47ecf2c-6ecd-4a8c-b1ae-21628580c629}" ma:internalName="TaxCatchAll" ma:showField="CatchAllData" ma:web="7c93a908-9470-4eed-9021-ad15079155d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4BF5051-1137-474F-8BCE-ADD5B554ABF1}">
  <ds:schemaRefs>
    <ds:schemaRef ds:uri="http://schemas.openxmlformats.org/officeDocument/2006/bibliography"/>
  </ds:schemaRefs>
</ds:datastoreItem>
</file>

<file path=customXml/itemProps2.xml><?xml version="1.0" encoding="utf-8"?>
<ds:datastoreItem xmlns:ds="http://schemas.openxmlformats.org/officeDocument/2006/customXml" ds:itemID="{0FAF1A98-D256-41CD-BAAB-EC5D392AE3CE}">
  <ds:schemaRefs>
    <ds:schemaRef ds:uri="http://schemas.microsoft.com/office/2006/metadata/properties"/>
    <ds:schemaRef ds:uri="http://schemas.microsoft.com/office/infopath/2007/PartnerControls"/>
    <ds:schemaRef ds:uri="5def8e0a-2b91-4844-b2a6-85fb869462c2"/>
    <ds:schemaRef ds:uri="7c93a908-9470-4eed-9021-ad15079155dd"/>
  </ds:schemaRefs>
</ds:datastoreItem>
</file>

<file path=customXml/itemProps3.xml><?xml version="1.0" encoding="utf-8"?>
<ds:datastoreItem xmlns:ds="http://schemas.openxmlformats.org/officeDocument/2006/customXml" ds:itemID="{6CCCD2DB-3CC2-4E1D-9903-64738EF4EF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ef8e0a-2b91-4844-b2a6-85fb869462c2"/>
    <ds:schemaRef ds:uri="7c93a908-9470-4eed-9021-ad15079155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4BCFE9-AF06-41AF-BDA3-9F93232EDB6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1</Pages>
  <Words>106994</Words>
  <Characters>588472</Characters>
  <Application>Microsoft Office Word</Application>
  <DocSecurity>0</DocSecurity>
  <Lines>4903</Lines>
  <Paragraphs>1388</Paragraphs>
  <ScaleCrop>false</ScaleCrop>
  <Company/>
  <LinksUpToDate>false</LinksUpToDate>
  <CharactersWithSpaces>694078</CharactersWithSpaces>
  <SharedDoc>false</SharedDoc>
  <HLinks>
    <vt:vector size="1416" baseType="variant">
      <vt:variant>
        <vt:i4>6422628</vt:i4>
      </vt:variant>
      <vt:variant>
        <vt:i4>2217</vt:i4>
      </vt:variant>
      <vt:variant>
        <vt:i4>0</vt:i4>
      </vt:variant>
      <vt:variant>
        <vt:i4>5</vt:i4>
      </vt:variant>
      <vt:variant>
        <vt:lpwstr>https://es.weforum.org/stories/</vt:lpwstr>
      </vt:variant>
      <vt:variant>
        <vt:lpwstr/>
      </vt:variant>
      <vt:variant>
        <vt:i4>5374032</vt:i4>
      </vt:variant>
      <vt:variant>
        <vt:i4>2214</vt:i4>
      </vt:variant>
      <vt:variant>
        <vt:i4>0</vt:i4>
      </vt:variant>
      <vt:variant>
        <vt:i4>5</vt:i4>
      </vt:variant>
      <vt:variant>
        <vt:lpwstr>https://www.theamazonwewant.org/</vt:lpwstr>
      </vt:variant>
      <vt:variant>
        <vt:lpwstr/>
      </vt:variant>
      <vt:variant>
        <vt:i4>5701651</vt:i4>
      </vt:variant>
      <vt:variant>
        <vt:i4>2211</vt:i4>
      </vt:variant>
      <vt:variant>
        <vt:i4>0</vt:i4>
      </vt:variant>
      <vt:variant>
        <vt:i4>5</vt:i4>
      </vt:variant>
      <vt:variant>
        <vt:lpwstr>https://doi.org/10.1029/2008WR007529</vt:lpwstr>
      </vt:variant>
      <vt:variant>
        <vt:lpwstr/>
      </vt:variant>
      <vt:variant>
        <vt:i4>6488185</vt:i4>
      </vt:variant>
      <vt:variant>
        <vt:i4>2208</vt:i4>
      </vt:variant>
      <vt:variant>
        <vt:i4>0</vt:i4>
      </vt:variant>
      <vt:variant>
        <vt:i4>5</vt:i4>
      </vt:variant>
      <vt:variant>
        <vt:lpwstr>https://www.minambiente.gov.co/wp-content/uploads/2025/03/Plan-Integral-Contencion-Deforestacion-2023-2026.pdf</vt:lpwstr>
      </vt:variant>
      <vt:variant>
        <vt:lpwstr/>
      </vt:variant>
      <vt:variant>
        <vt:i4>1769529</vt:i4>
      </vt:variant>
      <vt:variant>
        <vt:i4>2205</vt:i4>
      </vt:variant>
      <vt:variant>
        <vt:i4>0</vt:i4>
      </vt:variant>
      <vt:variant>
        <vt:i4>5</vt:i4>
      </vt:variant>
      <vt:variant>
        <vt:lpwstr>https://www.minambiente.gov.co/wp-content/uploads/2025/03/ENR_3032025-1.pdf</vt:lpwstr>
      </vt:variant>
      <vt:variant>
        <vt:lpwstr/>
      </vt:variant>
      <vt:variant>
        <vt:i4>1769552</vt:i4>
      </vt:variant>
      <vt:variant>
        <vt:i4>2202</vt:i4>
      </vt:variant>
      <vt:variant>
        <vt:i4>0</vt:i4>
      </vt:variant>
      <vt:variant>
        <vt:i4>5</vt:i4>
      </vt:variant>
      <vt:variant>
        <vt:lpwstr>https://doi.org/10.1080/01650520903178380</vt:lpwstr>
      </vt:variant>
      <vt:variant>
        <vt:lpwstr/>
      </vt:variant>
      <vt:variant>
        <vt:i4>7143435</vt:i4>
      </vt:variant>
      <vt:variant>
        <vt:i4>2199</vt:i4>
      </vt:variant>
      <vt:variant>
        <vt:i4>0</vt:i4>
      </vt:variant>
      <vt:variant>
        <vt:i4>5</vt:i4>
      </vt:variant>
      <vt:variant>
        <vt:lpwstr>https://www.ideam.gov.co/sala-de-prensa/informes/Estudios-nacionales-del-agua?utm_source=chatgpt.com</vt:lpwstr>
      </vt:variant>
      <vt:variant>
        <vt:lpwstr/>
      </vt:variant>
      <vt:variant>
        <vt:i4>131144</vt:i4>
      </vt:variant>
      <vt:variant>
        <vt:i4>2196</vt:i4>
      </vt:variant>
      <vt:variant>
        <vt:i4>0</vt:i4>
      </vt:variant>
      <vt:variant>
        <vt:i4>5</vt:i4>
      </vt:variant>
      <vt:variant>
        <vt:lpwstr>https://doi.org/10.1088/1748-9326/3/1/014013</vt:lpwstr>
      </vt:variant>
      <vt:variant>
        <vt:lpwstr/>
      </vt:variant>
      <vt:variant>
        <vt:i4>131086</vt:i4>
      </vt:variant>
      <vt:variant>
        <vt:i4>2169</vt:i4>
      </vt:variant>
      <vt:variant>
        <vt:i4>0</vt:i4>
      </vt:variant>
      <vt:variant>
        <vt:i4>5</vt:i4>
      </vt:variant>
      <vt:variant>
        <vt:lpwstr>https://siac-datosabiertos-mads.hub.arcgis.com/datasets/MADS::gobernanza-forestal-1/about?layer=1</vt:lpwstr>
      </vt:variant>
      <vt:variant>
        <vt:lpwstr/>
      </vt:variant>
      <vt:variant>
        <vt:i4>1114178</vt:i4>
      </vt:variant>
      <vt:variant>
        <vt:i4>2154</vt:i4>
      </vt:variant>
      <vt:variant>
        <vt:i4>0</vt:i4>
      </vt:variant>
      <vt:variant>
        <vt:i4>5</vt:i4>
      </vt:variant>
      <vt:variant>
        <vt:lpwstr>https://word-edit.officeapps.live.com/we/wordeditorframe.aspx?ui=es-ES&amp;rs=es-ES&amp;wopisrc=https%3A%2F%2Fticminambiente-my.sharepoint.com%2Fpersonal%2Folnunez_minambiente_gov_co%2F_vti_bin%2Fwopi.ashx%2Ffiles%2Fdcde367b45ac473696fefe86f66bee4b&amp;wdenableroaming=1&amp;mscc=1&amp;wdodb=1&amp;hid=50FAF5A7-EA91-4F25-8CF2-6DBE1749B906.0&amp;uih=sharepointcom&amp;wdlcid=es-ES&amp;jsapi=1&amp;jsapiver=v2&amp;corrid=ac841080-551c-ce25-2392-1452246837e3&amp;usid=ac841080-551c-ce25-2392-1452246837e3&amp;newsession=1&amp;sftc=1&amp;uihit=docaspx&amp;muv=1&amp;ats=PairwiseBroker&amp;cac=1&amp;sams=1&amp;mtf=1&amp;sfp=1&amp;sdp=1&amp;hch=1&amp;hwfh=1&amp;dchat=1&amp;sc=%7B%22pmo%22%3A%22https%3A%2F%2Fticminambiente-my.sharepoint.com%22%2C%22pmshare%22%3Atrue%7D&amp;ctp=LeastProtected&amp;rct=Normal&amp;wdorigin=OWA-NT-Mail.Sharing.ServerTransfer.LOF&amp;wdhostclicktime=1758317136349&amp;afdflight=66&amp;csiro=1&amp;instantedit=1&amp;wopicomplete=1&amp;wdredirectionreason=Unified_SingleFlush</vt:lpwstr>
      </vt:variant>
      <vt:variant>
        <vt:lpwstr>_ftn1</vt:lpwstr>
      </vt:variant>
      <vt:variant>
        <vt:i4>458827</vt:i4>
      </vt:variant>
      <vt:variant>
        <vt:i4>2109</vt:i4>
      </vt:variant>
      <vt:variant>
        <vt:i4>0</vt:i4>
      </vt:variant>
      <vt:variant>
        <vt:i4>5</vt:i4>
      </vt:variant>
      <vt:variant>
        <vt:lpwstr>https://sinergox.xm.com.co/hdrlg/Paginas/Informes/MapaHidrologiaSIN.aspx</vt:lpwstr>
      </vt:variant>
      <vt:variant>
        <vt:lpwstr/>
      </vt:variant>
      <vt:variant>
        <vt:i4>7995437</vt:i4>
      </vt:variant>
      <vt:variant>
        <vt:i4>1830</vt:i4>
      </vt:variant>
      <vt:variant>
        <vt:i4>0</vt:i4>
      </vt:variant>
      <vt:variant>
        <vt:i4>5</vt:i4>
      </vt:variant>
      <vt:variant>
        <vt:lpwstr>https://anla.sharepoint.com/:x:/s/SIPTA_GRCM_EXT/EVB8HMtq2kxEs5ZQb3klduQBHDv1roHDESchj6YhL0qJVQ?e=5xBFxJ</vt:lpwstr>
      </vt:variant>
      <vt:variant>
        <vt:lpwstr/>
      </vt:variant>
      <vt:variant>
        <vt:i4>8192072</vt:i4>
      </vt:variant>
      <vt:variant>
        <vt:i4>1818</vt:i4>
      </vt:variant>
      <vt:variant>
        <vt:i4>0</vt:i4>
      </vt:variant>
      <vt:variant>
        <vt:i4>5</vt:i4>
      </vt:variant>
      <vt:variant>
        <vt:lpwstr>https://r.search.yahoo.com/_ylt=AwrEaYREkMxoMQIAXR.rcgx.;_ylu=Y29sbwNiZjEEcG9zAzIEdnRpZAMEc2VjA3Ny/RV=2/RE=1759446340/RO=10/RU=https%3a%2f%2fes.wikipedia.org%2fwiki%2fDepartamento_Administrativo_Nacional_de_Estad%25C3%25ADstica/RK=2/RS=_5nL793JGXyhYHrSeatwmhFw9Wc-</vt:lpwstr>
      </vt:variant>
      <vt:variant>
        <vt:lpwstr/>
      </vt:variant>
      <vt:variant>
        <vt:i4>8192072</vt:i4>
      </vt:variant>
      <vt:variant>
        <vt:i4>1809</vt:i4>
      </vt:variant>
      <vt:variant>
        <vt:i4>0</vt:i4>
      </vt:variant>
      <vt:variant>
        <vt:i4>5</vt:i4>
      </vt:variant>
      <vt:variant>
        <vt:lpwstr>https://r.search.yahoo.com/_ylt=AwrEaYREkMxoMQIAXR.rcgx.;_ylu=Y29sbwNiZjEEcG9zAzIEdnRpZAMEc2VjA3Ny/RV=2/RE=1759446340/RO=10/RU=https%3a%2f%2fes.wikipedia.org%2fwiki%2fDepartamento_Administrativo_Nacional_de_Estad%25C3%25ADstica/RK=2/RS=_5nL793JGXyhYHrSeatwmhFw9Wc-</vt:lpwstr>
      </vt:variant>
      <vt:variant>
        <vt:lpwstr/>
      </vt:variant>
      <vt:variant>
        <vt:i4>2097233</vt:i4>
      </vt:variant>
      <vt:variant>
        <vt:i4>1299</vt:i4>
      </vt:variant>
      <vt:variant>
        <vt:i4>0</vt:i4>
      </vt:variant>
      <vt:variant>
        <vt:i4>5</vt:i4>
      </vt:variant>
      <vt:variant>
        <vt:lpwstr/>
      </vt:variant>
      <vt:variant>
        <vt:lpwstr>_bookmark2</vt:lpwstr>
      </vt:variant>
      <vt:variant>
        <vt:i4>1048635</vt:i4>
      </vt:variant>
      <vt:variant>
        <vt:i4>1292</vt:i4>
      </vt:variant>
      <vt:variant>
        <vt:i4>0</vt:i4>
      </vt:variant>
      <vt:variant>
        <vt:i4>5</vt:i4>
      </vt:variant>
      <vt:variant>
        <vt:lpwstr/>
      </vt:variant>
      <vt:variant>
        <vt:lpwstr>_Toc209307037</vt:lpwstr>
      </vt:variant>
      <vt:variant>
        <vt:i4>1048635</vt:i4>
      </vt:variant>
      <vt:variant>
        <vt:i4>1286</vt:i4>
      </vt:variant>
      <vt:variant>
        <vt:i4>0</vt:i4>
      </vt:variant>
      <vt:variant>
        <vt:i4>5</vt:i4>
      </vt:variant>
      <vt:variant>
        <vt:lpwstr/>
      </vt:variant>
      <vt:variant>
        <vt:lpwstr>_Toc209307036</vt:lpwstr>
      </vt:variant>
      <vt:variant>
        <vt:i4>1048635</vt:i4>
      </vt:variant>
      <vt:variant>
        <vt:i4>1280</vt:i4>
      </vt:variant>
      <vt:variant>
        <vt:i4>0</vt:i4>
      </vt:variant>
      <vt:variant>
        <vt:i4>5</vt:i4>
      </vt:variant>
      <vt:variant>
        <vt:lpwstr/>
      </vt:variant>
      <vt:variant>
        <vt:lpwstr>_Toc209307035</vt:lpwstr>
      </vt:variant>
      <vt:variant>
        <vt:i4>1048635</vt:i4>
      </vt:variant>
      <vt:variant>
        <vt:i4>1274</vt:i4>
      </vt:variant>
      <vt:variant>
        <vt:i4>0</vt:i4>
      </vt:variant>
      <vt:variant>
        <vt:i4>5</vt:i4>
      </vt:variant>
      <vt:variant>
        <vt:lpwstr/>
      </vt:variant>
      <vt:variant>
        <vt:lpwstr>_Toc209307034</vt:lpwstr>
      </vt:variant>
      <vt:variant>
        <vt:i4>1048635</vt:i4>
      </vt:variant>
      <vt:variant>
        <vt:i4>1268</vt:i4>
      </vt:variant>
      <vt:variant>
        <vt:i4>0</vt:i4>
      </vt:variant>
      <vt:variant>
        <vt:i4>5</vt:i4>
      </vt:variant>
      <vt:variant>
        <vt:lpwstr/>
      </vt:variant>
      <vt:variant>
        <vt:lpwstr>_Toc209307033</vt:lpwstr>
      </vt:variant>
      <vt:variant>
        <vt:i4>1048635</vt:i4>
      </vt:variant>
      <vt:variant>
        <vt:i4>1262</vt:i4>
      </vt:variant>
      <vt:variant>
        <vt:i4>0</vt:i4>
      </vt:variant>
      <vt:variant>
        <vt:i4>5</vt:i4>
      </vt:variant>
      <vt:variant>
        <vt:lpwstr/>
      </vt:variant>
      <vt:variant>
        <vt:lpwstr>_Toc209307032</vt:lpwstr>
      </vt:variant>
      <vt:variant>
        <vt:i4>1048635</vt:i4>
      </vt:variant>
      <vt:variant>
        <vt:i4>1256</vt:i4>
      </vt:variant>
      <vt:variant>
        <vt:i4>0</vt:i4>
      </vt:variant>
      <vt:variant>
        <vt:i4>5</vt:i4>
      </vt:variant>
      <vt:variant>
        <vt:lpwstr/>
      </vt:variant>
      <vt:variant>
        <vt:lpwstr>_Toc209307031</vt:lpwstr>
      </vt:variant>
      <vt:variant>
        <vt:i4>1048635</vt:i4>
      </vt:variant>
      <vt:variant>
        <vt:i4>1250</vt:i4>
      </vt:variant>
      <vt:variant>
        <vt:i4>0</vt:i4>
      </vt:variant>
      <vt:variant>
        <vt:i4>5</vt:i4>
      </vt:variant>
      <vt:variant>
        <vt:lpwstr/>
      </vt:variant>
      <vt:variant>
        <vt:lpwstr>_Toc209307030</vt:lpwstr>
      </vt:variant>
      <vt:variant>
        <vt:i4>1114171</vt:i4>
      </vt:variant>
      <vt:variant>
        <vt:i4>1244</vt:i4>
      </vt:variant>
      <vt:variant>
        <vt:i4>0</vt:i4>
      </vt:variant>
      <vt:variant>
        <vt:i4>5</vt:i4>
      </vt:variant>
      <vt:variant>
        <vt:lpwstr/>
      </vt:variant>
      <vt:variant>
        <vt:lpwstr>_Toc209307029</vt:lpwstr>
      </vt:variant>
      <vt:variant>
        <vt:i4>1114171</vt:i4>
      </vt:variant>
      <vt:variant>
        <vt:i4>1238</vt:i4>
      </vt:variant>
      <vt:variant>
        <vt:i4>0</vt:i4>
      </vt:variant>
      <vt:variant>
        <vt:i4>5</vt:i4>
      </vt:variant>
      <vt:variant>
        <vt:lpwstr/>
      </vt:variant>
      <vt:variant>
        <vt:lpwstr>_Toc209307028</vt:lpwstr>
      </vt:variant>
      <vt:variant>
        <vt:i4>1114171</vt:i4>
      </vt:variant>
      <vt:variant>
        <vt:i4>1232</vt:i4>
      </vt:variant>
      <vt:variant>
        <vt:i4>0</vt:i4>
      </vt:variant>
      <vt:variant>
        <vt:i4>5</vt:i4>
      </vt:variant>
      <vt:variant>
        <vt:lpwstr/>
      </vt:variant>
      <vt:variant>
        <vt:lpwstr>_Toc209307027</vt:lpwstr>
      </vt:variant>
      <vt:variant>
        <vt:i4>1114171</vt:i4>
      </vt:variant>
      <vt:variant>
        <vt:i4>1226</vt:i4>
      </vt:variant>
      <vt:variant>
        <vt:i4>0</vt:i4>
      </vt:variant>
      <vt:variant>
        <vt:i4>5</vt:i4>
      </vt:variant>
      <vt:variant>
        <vt:lpwstr/>
      </vt:variant>
      <vt:variant>
        <vt:lpwstr>_Toc209307026</vt:lpwstr>
      </vt:variant>
      <vt:variant>
        <vt:i4>1114171</vt:i4>
      </vt:variant>
      <vt:variant>
        <vt:i4>1220</vt:i4>
      </vt:variant>
      <vt:variant>
        <vt:i4>0</vt:i4>
      </vt:variant>
      <vt:variant>
        <vt:i4>5</vt:i4>
      </vt:variant>
      <vt:variant>
        <vt:lpwstr/>
      </vt:variant>
      <vt:variant>
        <vt:lpwstr>_Toc209307025</vt:lpwstr>
      </vt:variant>
      <vt:variant>
        <vt:i4>1114171</vt:i4>
      </vt:variant>
      <vt:variant>
        <vt:i4>1214</vt:i4>
      </vt:variant>
      <vt:variant>
        <vt:i4>0</vt:i4>
      </vt:variant>
      <vt:variant>
        <vt:i4>5</vt:i4>
      </vt:variant>
      <vt:variant>
        <vt:lpwstr/>
      </vt:variant>
      <vt:variant>
        <vt:lpwstr>_Toc209307024</vt:lpwstr>
      </vt:variant>
      <vt:variant>
        <vt:i4>1114171</vt:i4>
      </vt:variant>
      <vt:variant>
        <vt:i4>1208</vt:i4>
      </vt:variant>
      <vt:variant>
        <vt:i4>0</vt:i4>
      </vt:variant>
      <vt:variant>
        <vt:i4>5</vt:i4>
      </vt:variant>
      <vt:variant>
        <vt:lpwstr/>
      </vt:variant>
      <vt:variant>
        <vt:lpwstr>_Toc209307023</vt:lpwstr>
      </vt:variant>
      <vt:variant>
        <vt:i4>1114171</vt:i4>
      </vt:variant>
      <vt:variant>
        <vt:i4>1202</vt:i4>
      </vt:variant>
      <vt:variant>
        <vt:i4>0</vt:i4>
      </vt:variant>
      <vt:variant>
        <vt:i4>5</vt:i4>
      </vt:variant>
      <vt:variant>
        <vt:lpwstr/>
      </vt:variant>
      <vt:variant>
        <vt:lpwstr>_Toc209307022</vt:lpwstr>
      </vt:variant>
      <vt:variant>
        <vt:i4>1114171</vt:i4>
      </vt:variant>
      <vt:variant>
        <vt:i4>1196</vt:i4>
      </vt:variant>
      <vt:variant>
        <vt:i4>0</vt:i4>
      </vt:variant>
      <vt:variant>
        <vt:i4>5</vt:i4>
      </vt:variant>
      <vt:variant>
        <vt:lpwstr/>
      </vt:variant>
      <vt:variant>
        <vt:lpwstr>_Toc209307021</vt:lpwstr>
      </vt:variant>
      <vt:variant>
        <vt:i4>1114171</vt:i4>
      </vt:variant>
      <vt:variant>
        <vt:i4>1190</vt:i4>
      </vt:variant>
      <vt:variant>
        <vt:i4>0</vt:i4>
      </vt:variant>
      <vt:variant>
        <vt:i4>5</vt:i4>
      </vt:variant>
      <vt:variant>
        <vt:lpwstr/>
      </vt:variant>
      <vt:variant>
        <vt:lpwstr>_Toc209307020</vt:lpwstr>
      </vt:variant>
      <vt:variant>
        <vt:i4>1179707</vt:i4>
      </vt:variant>
      <vt:variant>
        <vt:i4>1184</vt:i4>
      </vt:variant>
      <vt:variant>
        <vt:i4>0</vt:i4>
      </vt:variant>
      <vt:variant>
        <vt:i4>5</vt:i4>
      </vt:variant>
      <vt:variant>
        <vt:lpwstr/>
      </vt:variant>
      <vt:variant>
        <vt:lpwstr>_Toc209307019</vt:lpwstr>
      </vt:variant>
      <vt:variant>
        <vt:i4>1179707</vt:i4>
      </vt:variant>
      <vt:variant>
        <vt:i4>1178</vt:i4>
      </vt:variant>
      <vt:variant>
        <vt:i4>0</vt:i4>
      </vt:variant>
      <vt:variant>
        <vt:i4>5</vt:i4>
      </vt:variant>
      <vt:variant>
        <vt:lpwstr/>
      </vt:variant>
      <vt:variant>
        <vt:lpwstr>_Toc209307018</vt:lpwstr>
      </vt:variant>
      <vt:variant>
        <vt:i4>1179707</vt:i4>
      </vt:variant>
      <vt:variant>
        <vt:i4>1172</vt:i4>
      </vt:variant>
      <vt:variant>
        <vt:i4>0</vt:i4>
      </vt:variant>
      <vt:variant>
        <vt:i4>5</vt:i4>
      </vt:variant>
      <vt:variant>
        <vt:lpwstr/>
      </vt:variant>
      <vt:variant>
        <vt:lpwstr>_Toc209307017</vt:lpwstr>
      </vt:variant>
      <vt:variant>
        <vt:i4>1179707</vt:i4>
      </vt:variant>
      <vt:variant>
        <vt:i4>1166</vt:i4>
      </vt:variant>
      <vt:variant>
        <vt:i4>0</vt:i4>
      </vt:variant>
      <vt:variant>
        <vt:i4>5</vt:i4>
      </vt:variant>
      <vt:variant>
        <vt:lpwstr/>
      </vt:variant>
      <vt:variant>
        <vt:lpwstr>_Toc209307016</vt:lpwstr>
      </vt:variant>
      <vt:variant>
        <vt:i4>1179707</vt:i4>
      </vt:variant>
      <vt:variant>
        <vt:i4>1160</vt:i4>
      </vt:variant>
      <vt:variant>
        <vt:i4>0</vt:i4>
      </vt:variant>
      <vt:variant>
        <vt:i4>5</vt:i4>
      </vt:variant>
      <vt:variant>
        <vt:lpwstr/>
      </vt:variant>
      <vt:variant>
        <vt:lpwstr>_Toc209307015</vt:lpwstr>
      </vt:variant>
      <vt:variant>
        <vt:i4>1179707</vt:i4>
      </vt:variant>
      <vt:variant>
        <vt:i4>1154</vt:i4>
      </vt:variant>
      <vt:variant>
        <vt:i4>0</vt:i4>
      </vt:variant>
      <vt:variant>
        <vt:i4>5</vt:i4>
      </vt:variant>
      <vt:variant>
        <vt:lpwstr/>
      </vt:variant>
      <vt:variant>
        <vt:lpwstr>_Toc209307014</vt:lpwstr>
      </vt:variant>
      <vt:variant>
        <vt:i4>1179707</vt:i4>
      </vt:variant>
      <vt:variant>
        <vt:i4>1148</vt:i4>
      </vt:variant>
      <vt:variant>
        <vt:i4>0</vt:i4>
      </vt:variant>
      <vt:variant>
        <vt:i4>5</vt:i4>
      </vt:variant>
      <vt:variant>
        <vt:lpwstr/>
      </vt:variant>
      <vt:variant>
        <vt:lpwstr>_Toc209307013</vt:lpwstr>
      </vt:variant>
      <vt:variant>
        <vt:i4>1179707</vt:i4>
      </vt:variant>
      <vt:variant>
        <vt:i4>1142</vt:i4>
      </vt:variant>
      <vt:variant>
        <vt:i4>0</vt:i4>
      </vt:variant>
      <vt:variant>
        <vt:i4>5</vt:i4>
      </vt:variant>
      <vt:variant>
        <vt:lpwstr/>
      </vt:variant>
      <vt:variant>
        <vt:lpwstr>_Toc209307012</vt:lpwstr>
      </vt:variant>
      <vt:variant>
        <vt:i4>1179707</vt:i4>
      </vt:variant>
      <vt:variant>
        <vt:i4>1136</vt:i4>
      </vt:variant>
      <vt:variant>
        <vt:i4>0</vt:i4>
      </vt:variant>
      <vt:variant>
        <vt:i4>5</vt:i4>
      </vt:variant>
      <vt:variant>
        <vt:lpwstr/>
      </vt:variant>
      <vt:variant>
        <vt:lpwstr>_Toc209307011</vt:lpwstr>
      </vt:variant>
      <vt:variant>
        <vt:i4>1179707</vt:i4>
      </vt:variant>
      <vt:variant>
        <vt:i4>1130</vt:i4>
      </vt:variant>
      <vt:variant>
        <vt:i4>0</vt:i4>
      </vt:variant>
      <vt:variant>
        <vt:i4>5</vt:i4>
      </vt:variant>
      <vt:variant>
        <vt:lpwstr/>
      </vt:variant>
      <vt:variant>
        <vt:lpwstr>_Toc209307010</vt:lpwstr>
      </vt:variant>
      <vt:variant>
        <vt:i4>1245243</vt:i4>
      </vt:variant>
      <vt:variant>
        <vt:i4>1124</vt:i4>
      </vt:variant>
      <vt:variant>
        <vt:i4>0</vt:i4>
      </vt:variant>
      <vt:variant>
        <vt:i4>5</vt:i4>
      </vt:variant>
      <vt:variant>
        <vt:lpwstr/>
      </vt:variant>
      <vt:variant>
        <vt:lpwstr>_Toc209307009</vt:lpwstr>
      </vt:variant>
      <vt:variant>
        <vt:i4>1245243</vt:i4>
      </vt:variant>
      <vt:variant>
        <vt:i4>1118</vt:i4>
      </vt:variant>
      <vt:variant>
        <vt:i4>0</vt:i4>
      </vt:variant>
      <vt:variant>
        <vt:i4>5</vt:i4>
      </vt:variant>
      <vt:variant>
        <vt:lpwstr/>
      </vt:variant>
      <vt:variant>
        <vt:lpwstr>_Toc209307008</vt:lpwstr>
      </vt:variant>
      <vt:variant>
        <vt:i4>1245243</vt:i4>
      </vt:variant>
      <vt:variant>
        <vt:i4>1112</vt:i4>
      </vt:variant>
      <vt:variant>
        <vt:i4>0</vt:i4>
      </vt:variant>
      <vt:variant>
        <vt:i4>5</vt:i4>
      </vt:variant>
      <vt:variant>
        <vt:lpwstr/>
      </vt:variant>
      <vt:variant>
        <vt:lpwstr>_Toc209307007</vt:lpwstr>
      </vt:variant>
      <vt:variant>
        <vt:i4>1245243</vt:i4>
      </vt:variant>
      <vt:variant>
        <vt:i4>1106</vt:i4>
      </vt:variant>
      <vt:variant>
        <vt:i4>0</vt:i4>
      </vt:variant>
      <vt:variant>
        <vt:i4>5</vt:i4>
      </vt:variant>
      <vt:variant>
        <vt:lpwstr/>
      </vt:variant>
      <vt:variant>
        <vt:lpwstr>_Toc209307006</vt:lpwstr>
      </vt:variant>
      <vt:variant>
        <vt:i4>1245243</vt:i4>
      </vt:variant>
      <vt:variant>
        <vt:i4>1100</vt:i4>
      </vt:variant>
      <vt:variant>
        <vt:i4>0</vt:i4>
      </vt:variant>
      <vt:variant>
        <vt:i4>5</vt:i4>
      </vt:variant>
      <vt:variant>
        <vt:lpwstr/>
      </vt:variant>
      <vt:variant>
        <vt:lpwstr>_Toc209307005</vt:lpwstr>
      </vt:variant>
      <vt:variant>
        <vt:i4>1245243</vt:i4>
      </vt:variant>
      <vt:variant>
        <vt:i4>1094</vt:i4>
      </vt:variant>
      <vt:variant>
        <vt:i4>0</vt:i4>
      </vt:variant>
      <vt:variant>
        <vt:i4>5</vt:i4>
      </vt:variant>
      <vt:variant>
        <vt:lpwstr/>
      </vt:variant>
      <vt:variant>
        <vt:lpwstr>_Toc209307004</vt:lpwstr>
      </vt:variant>
      <vt:variant>
        <vt:i4>1245243</vt:i4>
      </vt:variant>
      <vt:variant>
        <vt:i4>1088</vt:i4>
      </vt:variant>
      <vt:variant>
        <vt:i4>0</vt:i4>
      </vt:variant>
      <vt:variant>
        <vt:i4>5</vt:i4>
      </vt:variant>
      <vt:variant>
        <vt:lpwstr/>
      </vt:variant>
      <vt:variant>
        <vt:lpwstr>_Toc209307003</vt:lpwstr>
      </vt:variant>
      <vt:variant>
        <vt:i4>1245243</vt:i4>
      </vt:variant>
      <vt:variant>
        <vt:i4>1082</vt:i4>
      </vt:variant>
      <vt:variant>
        <vt:i4>0</vt:i4>
      </vt:variant>
      <vt:variant>
        <vt:i4>5</vt:i4>
      </vt:variant>
      <vt:variant>
        <vt:lpwstr/>
      </vt:variant>
      <vt:variant>
        <vt:lpwstr>_Toc209307002</vt:lpwstr>
      </vt:variant>
      <vt:variant>
        <vt:i4>1245243</vt:i4>
      </vt:variant>
      <vt:variant>
        <vt:i4>1076</vt:i4>
      </vt:variant>
      <vt:variant>
        <vt:i4>0</vt:i4>
      </vt:variant>
      <vt:variant>
        <vt:i4>5</vt:i4>
      </vt:variant>
      <vt:variant>
        <vt:lpwstr/>
      </vt:variant>
      <vt:variant>
        <vt:lpwstr>_Toc209307001</vt:lpwstr>
      </vt:variant>
      <vt:variant>
        <vt:i4>1245243</vt:i4>
      </vt:variant>
      <vt:variant>
        <vt:i4>1070</vt:i4>
      </vt:variant>
      <vt:variant>
        <vt:i4>0</vt:i4>
      </vt:variant>
      <vt:variant>
        <vt:i4>5</vt:i4>
      </vt:variant>
      <vt:variant>
        <vt:lpwstr/>
      </vt:variant>
      <vt:variant>
        <vt:lpwstr>_Toc209307000</vt:lpwstr>
      </vt:variant>
      <vt:variant>
        <vt:i4>1769522</vt:i4>
      </vt:variant>
      <vt:variant>
        <vt:i4>1064</vt:i4>
      </vt:variant>
      <vt:variant>
        <vt:i4>0</vt:i4>
      </vt:variant>
      <vt:variant>
        <vt:i4>5</vt:i4>
      </vt:variant>
      <vt:variant>
        <vt:lpwstr/>
      </vt:variant>
      <vt:variant>
        <vt:lpwstr>_Toc209306999</vt:lpwstr>
      </vt:variant>
      <vt:variant>
        <vt:i4>1769522</vt:i4>
      </vt:variant>
      <vt:variant>
        <vt:i4>1058</vt:i4>
      </vt:variant>
      <vt:variant>
        <vt:i4>0</vt:i4>
      </vt:variant>
      <vt:variant>
        <vt:i4>5</vt:i4>
      </vt:variant>
      <vt:variant>
        <vt:lpwstr/>
      </vt:variant>
      <vt:variant>
        <vt:lpwstr>_Toc209306998</vt:lpwstr>
      </vt:variant>
      <vt:variant>
        <vt:i4>1769522</vt:i4>
      </vt:variant>
      <vt:variant>
        <vt:i4>1052</vt:i4>
      </vt:variant>
      <vt:variant>
        <vt:i4>0</vt:i4>
      </vt:variant>
      <vt:variant>
        <vt:i4>5</vt:i4>
      </vt:variant>
      <vt:variant>
        <vt:lpwstr/>
      </vt:variant>
      <vt:variant>
        <vt:lpwstr>_Toc209306997</vt:lpwstr>
      </vt:variant>
      <vt:variant>
        <vt:i4>1769522</vt:i4>
      </vt:variant>
      <vt:variant>
        <vt:i4>1046</vt:i4>
      </vt:variant>
      <vt:variant>
        <vt:i4>0</vt:i4>
      </vt:variant>
      <vt:variant>
        <vt:i4>5</vt:i4>
      </vt:variant>
      <vt:variant>
        <vt:lpwstr/>
      </vt:variant>
      <vt:variant>
        <vt:lpwstr>_Toc209306996</vt:lpwstr>
      </vt:variant>
      <vt:variant>
        <vt:i4>1769522</vt:i4>
      </vt:variant>
      <vt:variant>
        <vt:i4>1040</vt:i4>
      </vt:variant>
      <vt:variant>
        <vt:i4>0</vt:i4>
      </vt:variant>
      <vt:variant>
        <vt:i4>5</vt:i4>
      </vt:variant>
      <vt:variant>
        <vt:lpwstr/>
      </vt:variant>
      <vt:variant>
        <vt:lpwstr>_Toc209306995</vt:lpwstr>
      </vt:variant>
      <vt:variant>
        <vt:i4>1769522</vt:i4>
      </vt:variant>
      <vt:variant>
        <vt:i4>1034</vt:i4>
      </vt:variant>
      <vt:variant>
        <vt:i4>0</vt:i4>
      </vt:variant>
      <vt:variant>
        <vt:i4>5</vt:i4>
      </vt:variant>
      <vt:variant>
        <vt:lpwstr/>
      </vt:variant>
      <vt:variant>
        <vt:lpwstr>_Toc209306994</vt:lpwstr>
      </vt:variant>
      <vt:variant>
        <vt:i4>1769522</vt:i4>
      </vt:variant>
      <vt:variant>
        <vt:i4>1028</vt:i4>
      </vt:variant>
      <vt:variant>
        <vt:i4>0</vt:i4>
      </vt:variant>
      <vt:variant>
        <vt:i4>5</vt:i4>
      </vt:variant>
      <vt:variant>
        <vt:lpwstr/>
      </vt:variant>
      <vt:variant>
        <vt:lpwstr>_Toc209306993</vt:lpwstr>
      </vt:variant>
      <vt:variant>
        <vt:i4>1769522</vt:i4>
      </vt:variant>
      <vt:variant>
        <vt:i4>1022</vt:i4>
      </vt:variant>
      <vt:variant>
        <vt:i4>0</vt:i4>
      </vt:variant>
      <vt:variant>
        <vt:i4>5</vt:i4>
      </vt:variant>
      <vt:variant>
        <vt:lpwstr/>
      </vt:variant>
      <vt:variant>
        <vt:lpwstr>_Toc209306992</vt:lpwstr>
      </vt:variant>
      <vt:variant>
        <vt:i4>1769522</vt:i4>
      </vt:variant>
      <vt:variant>
        <vt:i4>1016</vt:i4>
      </vt:variant>
      <vt:variant>
        <vt:i4>0</vt:i4>
      </vt:variant>
      <vt:variant>
        <vt:i4>5</vt:i4>
      </vt:variant>
      <vt:variant>
        <vt:lpwstr/>
      </vt:variant>
      <vt:variant>
        <vt:lpwstr>_Toc209306991</vt:lpwstr>
      </vt:variant>
      <vt:variant>
        <vt:i4>1769522</vt:i4>
      </vt:variant>
      <vt:variant>
        <vt:i4>1010</vt:i4>
      </vt:variant>
      <vt:variant>
        <vt:i4>0</vt:i4>
      </vt:variant>
      <vt:variant>
        <vt:i4>5</vt:i4>
      </vt:variant>
      <vt:variant>
        <vt:lpwstr/>
      </vt:variant>
      <vt:variant>
        <vt:lpwstr>_Toc209306990</vt:lpwstr>
      </vt:variant>
      <vt:variant>
        <vt:i4>1703986</vt:i4>
      </vt:variant>
      <vt:variant>
        <vt:i4>1004</vt:i4>
      </vt:variant>
      <vt:variant>
        <vt:i4>0</vt:i4>
      </vt:variant>
      <vt:variant>
        <vt:i4>5</vt:i4>
      </vt:variant>
      <vt:variant>
        <vt:lpwstr/>
      </vt:variant>
      <vt:variant>
        <vt:lpwstr>_Toc209306989</vt:lpwstr>
      </vt:variant>
      <vt:variant>
        <vt:i4>1703986</vt:i4>
      </vt:variant>
      <vt:variant>
        <vt:i4>998</vt:i4>
      </vt:variant>
      <vt:variant>
        <vt:i4>0</vt:i4>
      </vt:variant>
      <vt:variant>
        <vt:i4>5</vt:i4>
      </vt:variant>
      <vt:variant>
        <vt:lpwstr/>
      </vt:variant>
      <vt:variant>
        <vt:lpwstr>_Toc209306988</vt:lpwstr>
      </vt:variant>
      <vt:variant>
        <vt:i4>1703986</vt:i4>
      </vt:variant>
      <vt:variant>
        <vt:i4>992</vt:i4>
      </vt:variant>
      <vt:variant>
        <vt:i4>0</vt:i4>
      </vt:variant>
      <vt:variant>
        <vt:i4>5</vt:i4>
      </vt:variant>
      <vt:variant>
        <vt:lpwstr/>
      </vt:variant>
      <vt:variant>
        <vt:lpwstr>_Toc209306987</vt:lpwstr>
      </vt:variant>
      <vt:variant>
        <vt:i4>1703986</vt:i4>
      </vt:variant>
      <vt:variant>
        <vt:i4>986</vt:i4>
      </vt:variant>
      <vt:variant>
        <vt:i4>0</vt:i4>
      </vt:variant>
      <vt:variant>
        <vt:i4>5</vt:i4>
      </vt:variant>
      <vt:variant>
        <vt:lpwstr/>
      </vt:variant>
      <vt:variant>
        <vt:lpwstr>_Toc209306986</vt:lpwstr>
      </vt:variant>
      <vt:variant>
        <vt:i4>1703986</vt:i4>
      </vt:variant>
      <vt:variant>
        <vt:i4>980</vt:i4>
      </vt:variant>
      <vt:variant>
        <vt:i4>0</vt:i4>
      </vt:variant>
      <vt:variant>
        <vt:i4>5</vt:i4>
      </vt:variant>
      <vt:variant>
        <vt:lpwstr/>
      </vt:variant>
      <vt:variant>
        <vt:lpwstr>_Toc209306985</vt:lpwstr>
      </vt:variant>
      <vt:variant>
        <vt:i4>1703986</vt:i4>
      </vt:variant>
      <vt:variant>
        <vt:i4>974</vt:i4>
      </vt:variant>
      <vt:variant>
        <vt:i4>0</vt:i4>
      </vt:variant>
      <vt:variant>
        <vt:i4>5</vt:i4>
      </vt:variant>
      <vt:variant>
        <vt:lpwstr/>
      </vt:variant>
      <vt:variant>
        <vt:lpwstr>_Toc209306984</vt:lpwstr>
      </vt:variant>
      <vt:variant>
        <vt:i4>1703986</vt:i4>
      </vt:variant>
      <vt:variant>
        <vt:i4>968</vt:i4>
      </vt:variant>
      <vt:variant>
        <vt:i4>0</vt:i4>
      </vt:variant>
      <vt:variant>
        <vt:i4>5</vt:i4>
      </vt:variant>
      <vt:variant>
        <vt:lpwstr/>
      </vt:variant>
      <vt:variant>
        <vt:lpwstr>_Toc209306983</vt:lpwstr>
      </vt:variant>
      <vt:variant>
        <vt:i4>1703986</vt:i4>
      </vt:variant>
      <vt:variant>
        <vt:i4>962</vt:i4>
      </vt:variant>
      <vt:variant>
        <vt:i4>0</vt:i4>
      </vt:variant>
      <vt:variant>
        <vt:i4>5</vt:i4>
      </vt:variant>
      <vt:variant>
        <vt:lpwstr/>
      </vt:variant>
      <vt:variant>
        <vt:lpwstr>_Toc209306982</vt:lpwstr>
      </vt:variant>
      <vt:variant>
        <vt:i4>1703986</vt:i4>
      </vt:variant>
      <vt:variant>
        <vt:i4>956</vt:i4>
      </vt:variant>
      <vt:variant>
        <vt:i4>0</vt:i4>
      </vt:variant>
      <vt:variant>
        <vt:i4>5</vt:i4>
      </vt:variant>
      <vt:variant>
        <vt:lpwstr/>
      </vt:variant>
      <vt:variant>
        <vt:lpwstr>_Toc209306981</vt:lpwstr>
      </vt:variant>
      <vt:variant>
        <vt:i4>1703986</vt:i4>
      </vt:variant>
      <vt:variant>
        <vt:i4>950</vt:i4>
      </vt:variant>
      <vt:variant>
        <vt:i4>0</vt:i4>
      </vt:variant>
      <vt:variant>
        <vt:i4>5</vt:i4>
      </vt:variant>
      <vt:variant>
        <vt:lpwstr/>
      </vt:variant>
      <vt:variant>
        <vt:lpwstr>_Toc209306980</vt:lpwstr>
      </vt:variant>
      <vt:variant>
        <vt:i4>1376306</vt:i4>
      </vt:variant>
      <vt:variant>
        <vt:i4>944</vt:i4>
      </vt:variant>
      <vt:variant>
        <vt:i4>0</vt:i4>
      </vt:variant>
      <vt:variant>
        <vt:i4>5</vt:i4>
      </vt:variant>
      <vt:variant>
        <vt:lpwstr/>
      </vt:variant>
      <vt:variant>
        <vt:lpwstr>_Toc209306979</vt:lpwstr>
      </vt:variant>
      <vt:variant>
        <vt:i4>1376306</vt:i4>
      </vt:variant>
      <vt:variant>
        <vt:i4>938</vt:i4>
      </vt:variant>
      <vt:variant>
        <vt:i4>0</vt:i4>
      </vt:variant>
      <vt:variant>
        <vt:i4>5</vt:i4>
      </vt:variant>
      <vt:variant>
        <vt:lpwstr/>
      </vt:variant>
      <vt:variant>
        <vt:lpwstr>_Toc209306978</vt:lpwstr>
      </vt:variant>
      <vt:variant>
        <vt:i4>1376306</vt:i4>
      </vt:variant>
      <vt:variant>
        <vt:i4>932</vt:i4>
      </vt:variant>
      <vt:variant>
        <vt:i4>0</vt:i4>
      </vt:variant>
      <vt:variant>
        <vt:i4>5</vt:i4>
      </vt:variant>
      <vt:variant>
        <vt:lpwstr/>
      </vt:variant>
      <vt:variant>
        <vt:lpwstr>_Toc209306977</vt:lpwstr>
      </vt:variant>
      <vt:variant>
        <vt:i4>1376306</vt:i4>
      </vt:variant>
      <vt:variant>
        <vt:i4>926</vt:i4>
      </vt:variant>
      <vt:variant>
        <vt:i4>0</vt:i4>
      </vt:variant>
      <vt:variant>
        <vt:i4>5</vt:i4>
      </vt:variant>
      <vt:variant>
        <vt:lpwstr/>
      </vt:variant>
      <vt:variant>
        <vt:lpwstr>_Toc209306976</vt:lpwstr>
      </vt:variant>
      <vt:variant>
        <vt:i4>1376306</vt:i4>
      </vt:variant>
      <vt:variant>
        <vt:i4>920</vt:i4>
      </vt:variant>
      <vt:variant>
        <vt:i4>0</vt:i4>
      </vt:variant>
      <vt:variant>
        <vt:i4>5</vt:i4>
      </vt:variant>
      <vt:variant>
        <vt:lpwstr/>
      </vt:variant>
      <vt:variant>
        <vt:lpwstr>_Toc209306975</vt:lpwstr>
      </vt:variant>
      <vt:variant>
        <vt:i4>1376306</vt:i4>
      </vt:variant>
      <vt:variant>
        <vt:i4>914</vt:i4>
      </vt:variant>
      <vt:variant>
        <vt:i4>0</vt:i4>
      </vt:variant>
      <vt:variant>
        <vt:i4>5</vt:i4>
      </vt:variant>
      <vt:variant>
        <vt:lpwstr/>
      </vt:variant>
      <vt:variant>
        <vt:lpwstr>_Toc209306974</vt:lpwstr>
      </vt:variant>
      <vt:variant>
        <vt:i4>1376306</vt:i4>
      </vt:variant>
      <vt:variant>
        <vt:i4>908</vt:i4>
      </vt:variant>
      <vt:variant>
        <vt:i4>0</vt:i4>
      </vt:variant>
      <vt:variant>
        <vt:i4>5</vt:i4>
      </vt:variant>
      <vt:variant>
        <vt:lpwstr/>
      </vt:variant>
      <vt:variant>
        <vt:lpwstr>_Toc209306973</vt:lpwstr>
      </vt:variant>
      <vt:variant>
        <vt:i4>1376306</vt:i4>
      </vt:variant>
      <vt:variant>
        <vt:i4>902</vt:i4>
      </vt:variant>
      <vt:variant>
        <vt:i4>0</vt:i4>
      </vt:variant>
      <vt:variant>
        <vt:i4>5</vt:i4>
      </vt:variant>
      <vt:variant>
        <vt:lpwstr/>
      </vt:variant>
      <vt:variant>
        <vt:lpwstr>_Toc209306972</vt:lpwstr>
      </vt:variant>
      <vt:variant>
        <vt:i4>1376306</vt:i4>
      </vt:variant>
      <vt:variant>
        <vt:i4>896</vt:i4>
      </vt:variant>
      <vt:variant>
        <vt:i4>0</vt:i4>
      </vt:variant>
      <vt:variant>
        <vt:i4>5</vt:i4>
      </vt:variant>
      <vt:variant>
        <vt:lpwstr/>
      </vt:variant>
      <vt:variant>
        <vt:lpwstr>_Toc209306971</vt:lpwstr>
      </vt:variant>
      <vt:variant>
        <vt:i4>1376306</vt:i4>
      </vt:variant>
      <vt:variant>
        <vt:i4>890</vt:i4>
      </vt:variant>
      <vt:variant>
        <vt:i4>0</vt:i4>
      </vt:variant>
      <vt:variant>
        <vt:i4>5</vt:i4>
      </vt:variant>
      <vt:variant>
        <vt:lpwstr/>
      </vt:variant>
      <vt:variant>
        <vt:lpwstr>_Toc209306970</vt:lpwstr>
      </vt:variant>
      <vt:variant>
        <vt:i4>1310770</vt:i4>
      </vt:variant>
      <vt:variant>
        <vt:i4>884</vt:i4>
      </vt:variant>
      <vt:variant>
        <vt:i4>0</vt:i4>
      </vt:variant>
      <vt:variant>
        <vt:i4>5</vt:i4>
      </vt:variant>
      <vt:variant>
        <vt:lpwstr/>
      </vt:variant>
      <vt:variant>
        <vt:lpwstr>_Toc209306969</vt:lpwstr>
      </vt:variant>
      <vt:variant>
        <vt:i4>1310770</vt:i4>
      </vt:variant>
      <vt:variant>
        <vt:i4>878</vt:i4>
      </vt:variant>
      <vt:variant>
        <vt:i4>0</vt:i4>
      </vt:variant>
      <vt:variant>
        <vt:i4>5</vt:i4>
      </vt:variant>
      <vt:variant>
        <vt:lpwstr/>
      </vt:variant>
      <vt:variant>
        <vt:lpwstr>_Toc209306968</vt:lpwstr>
      </vt:variant>
      <vt:variant>
        <vt:i4>1310770</vt:i4>
      </vt:variant>
      <vt:variant>
        <vt:i4>872</vt:i4>
      </vt:variant>
      <vt:variant>
        <vt:i4>0</vt:i4>
      </vt:variant>
      <vt:variant>
        <vt:i4>5</vt:i4>
      </vt:variant>
      <vt:variant>
        <vt:lpwstr/>
      </vt:variant>
      <vt:variant>
        <vt:lpwstr>_Toc209306967</vt:lpwstr>
      </vt:variant>
      <vt:variant>
        <vt:i4>1310770</vt:i4>
      </vt:variant>
      <vt:variant>
        <vt:i4>866</vt:i4>
      </vt:variant>
      <vt:variant>
        <vt:i4>0</vt:i4>
      </vt:variant>
      <vt:variant>
        <vt:i4>5</vt:i4>
      </vt:variant>
      <vt:variant>
        <vt:lpwstr/>
      </vt:variant>
      <vt:variant>
        <vt:lpwstr>_Toc209306966</vt:lpwstr>
      </vt:variant>
      <vt:variant>
        <vt:i4>1310770</vt:i4>
      </vt:variant>
      <vt:variant>
        <vt:i4>860</vt:i4>
      </vt:variant>
      <vt:variant>
        <vt:i4>0</vt:i4>
      </vt:variant>
      <vt:variant>
        <vt:i4>5</vt:i4>
      </vt:variant>
      <vt:variant>
        <vt:lpwstr/>
      </vt:variant>
      <vt:variant>
        <vt:lpwstr>_Toc209306965</vt:lpwstr>
      </vt:variant>
      <vt:variant>
        <vt:i4>1310770</vt:i4>
      </vt:variant>
      <vt:variant>
        <vt:i4>854</vt:i4>
      </vt:variant>
      <vt:variant>
        <vt:i4>0</vt:i4>
      </vt:variant>
      <vt:variant>
        <vt:i4>5</vt:i4>
      </vt:variant>
      <vt:variant>
        <vt:lpwstr/>
      </vt:variant>
      <vt:variant>
        <vt:lpwstr>_Toc209306964</vt:lpwstr>
      </vt:variant>
      <vt:variant>
        <vt:i4>1310770</vt:i4>
      </vt:variant>
      <vt:variant>
        <vt:i4>848</vt:i4>
      </vt:variant>
      <vt:variant>
        <vt:i4>0</vt:i4>
      </vt:variant>
      <vt:variant>
        <vt:i4>5</vt:i4>
      </vt:variant>
      <vt:variant>
        <vt:lpwstr/>
      </vt:variant>
      <vt:variant>
        <vt:lpwstr>_Toc209306963</vt:lpwstr>
      </vt:variant>
      <vt:variant>
        <vt:i4>1310770</vt:i4>
      </vt:variant>
      <vt:variant>
        <vt:i4>842</vt:i4>
      </vt:variant>
      <vt:variant>
        <vt:i4>0</vt:i4>
      </vt:variant>
      <vt:variant>
        <vt:i4>5</vt:i4>
      </vt:variant>
      <vt:variant>
        <vt:lpwstr/>
      </vt:variant>
      <vt:variant>
        <vt:lpwstr>_Toc209306962</vt:lpwstr>
      </vt:variant>
      <vt:variant>
        <vt:i4>1310770</vt:i4>
      </vt:variant>
      <vt:variant>
        <vt:i4>836</vt:i4>
      </vt:variant>
      <vt:variant>
        <vt:i4>0</vt:i4>
      </vt:variant>
      <vt:variant>
        <vt:i4>5</vt:i4>
      </vt:variant>
      <vt:variant>
        <vt:lpwstr/>
      </vt:variant>
      <vt:variant>
        <vt:lpwstr>_Toc209306961</vt:lpwstr>
      </vt:variant>
      <vt:variant>
        <vt:i4>1310770</vt:i4>
      </vt:variant>
      <vt:variant>
        <vt:i4>830</vt:i4>
      </vt:variant>
      <vt:variant>
        <vt:i4>0</vt:i4>
      </vt:variant>
      <vt:variant>
        <vt:i4>5</vt:i4>
      </vt:variant>
      <vt:variant>
        <vt:lpwstr/>
      </vt:variant>
      <vt:variant>
        <vt:lpwstr>_Toc209306960</vt:lpwstr>
      </vt:variant>
      <vt:variant>
        <vt:i4>1507378</vt:i4>
      </vt:variant>
      <vt:variant>
        <vt:i4>824</vt:i4>
      </vt:variant>
      <vt:variant>
        <vt:i4>0</vt:i4>
      </vt:variant>
      <vt:variant>
        <vt:i4>5</vt:i4>
      </vt:variant>
      <vt:variant>
        <vt:lpwstr/>
      </vt:variant>
      <vt:variant>
        <vt:lpwstr>_Toc209306959</vt:lpwstr>
      </vt:variant>
      <vt:variant>
        <vt:i4>1507378</vt:i4>
      </vt:variant>
      <vt:variant>
        <vt:i4>818</vt:i4>
      </vt:variant>
      <vt:variant>
        <vt:i4>0</vt:i4>
      </vt:variant>
      <vt:variant>
        <vt:i4>5</vt:i4>
      </vt:variant>
      <vt:variant>
        <vt:lpwstr/>
      </vt:variant>
      <vt:variant>
        <vt:lpwstr>_Toc209306958</vt:lpwstr>
      </vt:variant>
      <vt:variant>
        <vt:i4>1507378</vt:i4>
      </vt:variant>
      <vt:variant>
        <vt:i4>812</vt:i4>
      </vt:variant>
      <vt:variant>
        <vt:i4>0</vt:i4>
      </vt:variant>
      <vt:variant>
        <vt:i4>5</vt:i4>
      </vt:variant>
      <vt:variant>
        <vt:lpwstr/>
      </vt:variant>
      <vt:variant>
        <vt:lpwstr>_Toc209306957</vt:lpwstr>
      </vt:variant>
      <vt:variant>
        <vt:i4>1507378</vt:i4>
      </vt:variant>
      <vt:variant>
        <vt:i4>806</vt:i4>
      </vt:variant>
      <vt:variant>
        <vt:i4>0</vt:i4>
      </vt:variant>
      <vt:variant>
        <vt:i4>5</vt:i4>
      </vt:variant>
      <vt:variant>
        <vt:lpwstr/>
      </vt:variant>
      <vt:variant>
        <vt:lpwstr>_Toc209306956</vt:lpwstr>
      </vt:variant>
      <vt:variant>
        <vt:i4>1507378</vt:i4>
      </vt:variant>
      <vt:variant>
        <vt:i4>800</vt:i4>
      </vt:variant>
      <vt:variant>
        <vt:i4>0</vt:i4>
      </vt:variant>
      <vt:variant>
        <vt:i4>5</vt:i4>
      </vt:variant>
      <vt:variant>
        <vt:lpwstr/>
      </vt:variant>
      <vt:variant>
        <vt:lpwstr>_Toc209306955</vt:lpwstr>
      </vt:variant>
      <vt:variant>
        <vt:i4>1507378</vt:i4>
      </vt:variant>
      <vt:variant>
        <vt:i4>794</vt:i4>
      </vt:variant>
      <vt:variant>
        <vt:i4>0</vt:i4>
      </vt:variant>
      <vt:variant>
        <vt:i4>5</vt:i4>
      </vt:variant>
      <vt:variant>
        <vt:lpwstr/>
      </vt:variant>
      <vt:variant>
        <vt:lpwstr>_Toc209306954</vt:lpwstr>
      </vt:variant>
      <vt:variant>
        <vt:i4>1507378</vt:i4>
      </vt:variant>
      <vt:variant>
        <vt:i4>788</vt:i4>
      </vt:variant>
      <vt:variant>
        <vt:i4>0</vt:i4>
      </vt:variant>
      <vt:variant>
        <vt:i4>5</vt:i4>
      </vt:variant>
      <vt:variant>
        <vt:lpwstr/>
      </vt:variant>
      <vt:variant>
        <vt:lpwstr>_Toc209306953</vt:lpwstr>
      </vt:variant>
      <vt:variant>
        <vt:i4>1507378</vt:i4>
      </vt:variant>
      <vt:variant>
        <vt:i4>782</vt:i4>
      </vt:variant>
      <vt:variant>
        <vt:i4>0</vt:i4>
      </vt:variant>
      <vt:variant>
        <vt:i4>5</vt:i4>
      </vt:variant>
      <vt:variant>
        <vt:lpwstr/>
      </vt:variant>
      <vt:variant>
        <vt:lpwstr>_Toc209306952</vt:lpwstr>
      </vt:variant>
      <vt:variant>
        <vt:i4>1507378</vt:i4>
      </vt:variant>
      <vt:variant>
        <vt:i4>776</vt:i4>
      </vt:variant>
      <vt:variant>
        <vt:i4>0</vt:i4>
      </vt:variant>
      <vt:variant>
        <vt:i4>5</vt:i4>
      </vt:variant>
      <vt:variant>
        <vt:lpwstr/>
      </vt:variant>
      <vt:variant>
        <vt:lpwstr>_Toc209306951</vt:lpwstr>
      </vt:variant>
      <vt:variant>
        <vt:i4>1507378</vt:i4>
      </vt:variant>
      <vt:variant>
        <vt:i4>770</vt:i4>
      </vt:variant>
      <vt:variant>
        <vt:i4>0</vt:i4>
      </vt:variant>
      <vt:variant>
        <vt:i4>5</vt:i4>
      </vt:variant>
      <vt:variant>
        <vt:lpwstr/>
      </vt:variant>
      <vt:variant>
        <vt:lpwstr>_Toc209306950</vt:lpwstr>
      </vt:variant>
      <vt:variant>
        <vt:i4>1441842</vt:i4>
      </vt:variant>
      <vt:variant>
        <vt:i4>764</vt:i4>
      </vt:variant>
      <vt:variant>
        <vt:i4>0</vt:i4>
      </vt:variant>
      <vt:variant>
        <vt:i4>5</vt:i4>
      </vt:variant>
      <vt:variant>
        <vt:lpwstr/>
      </vt:variant>
      <vt:variant>
        <vt:lpwstr>_Toc209306949</vt:lpwstr>
      </vt:variant>
      <vt:variant>
        <vt:i4>1441842</vt:i4>
      </vt:variant>
      <vt:variant>
        <vt:i4>758</vt:i4>
      </vt:variant>
      <vt:variant>
        <vt:i4>0</vt:i4>
      </vt:variant>
      <vt:variant>
        <vt:i4>5</vt:i4>
      </vt:variant>
      <vt:variant>
        <vt:lpwstr/>
      </vt:variant>
      <vt:variant>
        <vt:lpwstr>_Toc209306948</vt:lpwstr>
      </vt:variant>
      <vt:variant>
        <vt:i4>1441842</vt:i4>
      </vt:variant>
      <vt:variant>
        <vt:i4>752</vt:i4>
      </vt:variant>
      <vt:variant>
        <vt:i4>0</vt:i4>
      </vt:variant>
      <vt:variant>
        <vt:i4>5</vt:i4>
      </vt:variant>
      <vt:variant>
        <vt:lpwstr/>
      </vt:variant>
      <vt:variant>
        <vt:lpwstr>_Toc209306947</vt:lpwstr>
      </vt:variant>
      <vt:variant>
        <vt:i4>1441842</vt:i4>
      </vt:variant>
      <vt:variant>
        <vt:i4>746</vt:i4>
      </vt:variant>
      <vt:variant>
        <vt:i4>0</vt:i4>
      </vt:variant>
      <vt:variant>
        <vt:i4>5</vt:i4>
      </vt:variant>
      <vt:variant>
        <vt:lpwstr/>
      </vt:variant>
      <vt:variant>
        <vt:lpwstr>_Toc209306946</vt:lpwstr>
      </vt:variant>
      <vt:variant>
        <vt:i4>1441842</vt:i4>
      </vt:variant>
      <vt:variant>
        <vt:i4>740</vt:i4>
      </vt:variant>
      <vt:variant>
        <vt:i4>0</vt:i4>
      </vt:variant>
      <vt:variant>
        <vt:i4>5</vt:i4>
      </vt:variant>
      <vt:variant>
        <vt:lpwstr/>
      </vt:variant>
      <vt:variant>
        <vt:lpwstr>_Toc209306945</vt:lpwstr>
      </vt:variant>
      <vt:variant>
        <vt:i4>1441842</vt:i4>
      </vt:variant>
      <vt:variant>
        <vt:i4>734</vt:i4>
      </vt:variant>
      <vt:variant>
        <vt:i4>0</vt:i4>
      </vt:variant>
      <vt:variant>
        <vt:i4>5</vt:i4>
      </vt:variant>
      <vt:variant>
        <vt:lpwstr/>
      </vt:variant>
      <vt:variant>
        <vt:lpwstr>_Toc209306944</vt:lpwstr>
      </vt:variant>
      <vt:variant>
        <vt:i4>1441842</vt:i4>
      </vt:variant>
      <vt:variant>
        <vt:i4>728</vt:i4>
      </vt:variant>
      <vt:variant>
        <vt:i4>0</vt:i4>
      </vt:variant>
      <vt:variant>
        <vt:i4>5</vt:i4>
      </vt:variant>
      <vt:variant>
        <vt:lpwstr/>
      </vt:variant>
      <vt:variant>
        <vt:lpwstr>_Toc209306943</vt:lpwstr>
      </vt:variant>
      <vt:variant>
        <vt:i4>1441842</vt:i4>
      </vt:variant>
      <vt:variant>
        <vt:i4>722</vt:i4>
      </vt:variant>
      <vt:variant>
        <vt:i4>0</vt:i4>
      </vt:variant>
      <vt:variant>
        <vt:i4>5</vt:i4>
      </vt:variant>
      <vt:variant>
        <vt:lpwstr/>
      </vt:variant>
      <vt:variant>
        <vt:lpwstr>_Toc209306942</vt:lpwstr>
      </vt:variant>
      <vt:variant>
        <vt:i4>1441842</vt:i4>
      </vt:variant>
      <vt:variant>
        <vt:i4>716</vt:i4>
      </vt:variant>
      <vt:variant>
        <vt:i4>0</vt:i4>
      </vt:variant>
      <vt:variant>
        <vt:i4>5</vt:i4>
      </vt:variant>
      <vt:variant>
        <vt:lpwstr/>
      </vt:variant>
      <vt:variant>
        <vt:lpwstr>_Toc209306941</vt:lpwstr>
      </vt:variant>
      <vt:variant>
        <vt:i4>1441842</vt:i4>
      </vt:variant>
      <vt:variant>
        <vt:i4>710</vt:i4>
      </vt:variant>
      <vt:variant>
        <vt:i4>0</vt:i4>
      </vt:variant>
      <vt:variant>
        <vt:i4>5</vt:i4>
      </vt:variant>
      <vt:variant>
        <vt:lpwstr/>
      </vt:variant>
      <vt:variant>
        <vt:lpwstr>_Toc209306940</vt:lpwstr>
      </vt:variant>
      <vt:variant>
        <vt:i4>1114162</vt:i4>
      </vt:variant>
      <vt:variant>
        <vt:i4>704</vt:i4>
      </vt:variant>
      <vt:variant>
        <vt:i4>0</vt:i4>
      </vt:variant>
      <vt:variant>
        <vt:i4>5</vt:i4>
      </vt:variant>
      <vt:variant>
        <vt:lpwstr/>
      </vt:variant>
      <vt:variant>
        <vt:lpwstr>_Toc209306939</vt:lpwstr>
      </vt:variant>
      <vt:variant>
        <vt:i4>1114162</vt:i4>
      </vt:variant>
      <vt:variant>
        <vt:i4>698</vt:i4>
      </vt:variant>
      <vt:variant>
        <vt:i4>0</vt:i4>
      </vt:variant>
      <vt:variant>
        <vt:i4>5</vt:i4>
      </vt:variant>
      <vt:variant>
        <vt:lpwstr/>
      </vt:variant>
      <vt:variant>
        <vt:lpwstr>_Toc209306938</vt:lpwstr>
      </vt:variant>
      <vt:variant>
        <vt:i4>1114162</vt:i4>
      </vt:variant>
      <vt:variant>
        <vt:i4>692</vt:i4>
      </vt:variant>
      <vt:variant>
        <vt:i4>0</vt:i4>
      </vt:variant>
      <vt:variant>
        <vt:i4>5</vt:i4>
      </vt:variant>
      <vt:variant>
        <vt:lpwstr/>
      </vt:variant>
      <vt:variant>
        <vt:lpwstr>_Toc209306937</vt:lpwstr>
      </vt:variant>
      <vt:variant>
        <vt:i4>1114162</vt:i4>
      </vt:variant>
      <vt:variant>
        <vt:i4>686</vt:i4>
      </vt:variant>
      <vt:variant>
        <vt:i4>0</vt:i4>
      </vt:variant>
      <vt:variant>
        <vt:i4>5</vt:i4>
      </vt:variant>
      <vt:variant>
        <vt:lpwstr/>
      </vt:variant>
      <vt:variant>
        <vt:lpwstr>_Toc209306936</vt:lpwstr>
      </vt:variant>
      <vt:variant>
        <vt:i4>1114162</vt:i4>
      </vt:variant>
      <vt:variant>
        <vt:i4>680</vt:i4>
      </vt:variant>
      <vt:variant>
        <vt:i4>0</vt:i4>
      </vt:variant>
      <vt:variant>
        <vt:i4>5</vt:i4>
      </vt:variant>
      <vt:variant>
        <vt:lpwstr/>
      </vt:variant>
      <vt:variant>
        <vt:lpwstr>_Toc209306935</vt:lpwstr>
      </vt:variant>
      <vt:variant>
        <vt:i4>1114162</vt:i4>
      </vt:variant>
      <vt:variant>
        <vt:i4>674</vt:i4>
      </vt:variant>
      <vt:variant>
        <vt:i4>0</vt:i4>
      </vt:variant>
      <vt:variant>
        <vt:i4>5</vt:i4>
      </vt:variant>
      <vt:variant>
        <vt:lpwstr/>
      </vt:variant>
      <vt:variant>
        <vt:lpwstr>_Toc209306934</vt:lpwstr>
      </vt:variant>
      <vt:variant>
        <vt:i4>1114162</vt:i4>
      </vt:variant>
      <vt:variant>
        <vt:i4>668</vt:i4>
      </vt:variant>
      <vt:variant>
        <vt:i4>0</vt:i4>
      </vt:variant>
      <vt:variant>
        <vt:i4>5</vt:i4>
      </vt:variant>
      <vt:variant>
        <vt:lpwstr/>
      </vt:variant>
      <vt:variant>
        <vt:lpwstr>_Toc209306933</vt:lpwstr>
      </vt:variant>
      <vt:variant>
        <vt:i4>1114162</vt:i4>
      </vt:variant>
      <vt:variant>
        <vt:i4>662</vt:i4>
      </vt:variant>
      <vt:variant>
        <vt:i4>0</vt:i4>
      </vt:variant>
      <vt:variant>
        <vt:i4>5</vt:i4>
      </vt:variant>
      <vt:variant>
        <vt:lpwstr/>
      </vt:variant>
      <vt:variant>
        <vt:lpwstr>_Toc209306932</vt:lpwstr>
      </vt:variant>
      <vt:variant>
        <vt:i4>1114162</vt:i4>
      </vt:variant>
      <vt:variant>
        <vt:i4>656</vt:i4>
      </vt:variant>
      <vt:variant>
        <vt:i4>0</vt:i4>
      </vt:variant>
      <vt:variant>
        <vt:i4>5</vt:i4>
      </vt:variant>
      <vt:variant>
        <vt:lpwstr/>
      </vt:variant>
      <vt:variant>
        <vt:lpwstr>_Toc209306931</vt:lpwstr>
      </vt:variant>
      <vt:variant>
        <vt:i4>1114162</vt:i4>
      </vt:variant>
      <vt:variant>
        <vt:i4>650</vt:i4>
      </vt:variant>
      <vt:variant>
        <vt:i4>0</vt:i4>
      </vt:variant>
      <vt:variant>
        <vt:i4>5</vt:i4>
      </vt:variant>
      <vt:variant>
        <vt:lpwstr/>
      </vt:variant>
      <vt:variant>
        <vt:lpwstr>_Toc209306930</vt:lpwstr>
      </vt:variant>
      <vt:variant>
        <vt:i4>1048626</vt:i4>
      </vt:variant>
      <vt:variant>
        <vt:i4>644</vt:i4>
      </vt:variant>
      <vt:variant>
        <vt:i4>0</vt:i4>
      </vt:variant>
      <vt:variant>
        <vt:i4>5</vt:i4>
      </vt:variant>
      <vt:variant>
        <vt:lpwstr/>
      </vt:variant>
      <vt:variant>
        <vt:lpwstr>_Toc209306929</vt:lpwstr>
      </vt:variant>
      <vt:variant>
        <vt:i4>1048626</vt:i4>
      </vt:variant>
      <vt:variant>
        <vt:i4>638</vt:i4>
      </vt:variant>
      <vt:variant>
        <vt:i4>0</vt:i4>
      </vt:variant>
      <vt:variant>
        <vt:i4>5</vt:i4>
      </vt:variant>
      <vt:variant>
        <vt:lpwstr/>
      </vt:variant>
      <vt:variant>
        <vt:lpwstr>_Toc209306928</vt:lpwstr>
      </vt:variant>
      <vt:variant>
        <vt:i4>1048626</vt:i4>
      </vt:variant>
      <vt:variant>
        <vt:i4>632</vt:i4>
      </vt:variant>
      <vt:variant>
        <vt:i4>0</vt:i4>
      </vt:variant>
      <vt:variant>
        <vt:i4>5</vt:i4>
      </vt:variant>
      <vt:variant>
        <vt:lpwstr/>
      </vt:variant>
      <vt:variant>
        <vt:lpwstr>_Toc209306927</vt:lpwstr>
      </vt:variant>
      <vt:variant>
        <vt:i4>1048626</vt:i4>
      </vt:variant>
      <vt:variant>
        <vt:i4>626</vt:i4>
      </vt:variant>
      <vt:variant>
        <vt:i4>0</vt:i4>
      </vt:variant>
      <vt:variant>
        <vt:i4>5</vt:i4>
      </vt:variant>
      <vt:variant>
        <vt:lpwstr/>
      </vt:variant>
      <vt:variant>
        <vt:lpwstr>_Toc209306926</vt:lpwstr>
      </vt:variant>
      <vt:variant>
        <vt:i4>1048626</vt:i4>
      </vt:variant>
      <vt:variant>
        <vt:i4>620</vt:i4>
      </vt:variant>
      <vt:variant>
        <vt:i4>0</vt:i4>
      </vt:variant>
      <vt:variant>
        <vt:i4>5</vt:i4>
      </vt:variant>
      <vt:variant>
        <vt:lpwstr/>
      </vt:variant>
      <vt:variant>
        <vt:lpwstr>_Toc209306925</vt:lpwstr>
      </vt:variant>
      <vt:variant>
        <vt:i4>1048626</vt:i4>
      </vt:variant>
      <vt:variant>
        <vt:i4>614</vt:i4>
      </vt:variant>
      <vt:variant>
        <vt:i4>0</vt:i4>
      </vt:variant>
      <vt:variant>
        <vt:i4>5</vt:i4>
      </vt:variant>
      <vt:variant>
        <vt:lpwstr/>
      </vt:variant>
      <vt:variant>
        <vt:lpwstr>_Toc209306924</vt:lpwstr>
      </vt:variant>
      <vt:variant>
        <vt:i4>1048626</vt:i4>
      </vt:variant>
      <vt:variant>
        <vt:i4>605</vt:i4>
      </vt:variant>
      <vt:variant>
        <vt:i4>0</vt:i4>
      </vt:variant>
      <vt:variant>
        <vt:i4>5</vt:i4>
      </vt:variant>
      <vt:variant>
        <vt:lpwstr/>
      </vt:variant>
      <vt:variant>
        <vt:lpwstr>_Toc209306923</vt:lpwstr>
      </vt:variant>
      <vt:variant>
        <vt:i4>1048626</vt:i4>
      </vt:variant>
      <vt:variant>
        <vt:i4>599</vt:i4>
      </vt:variant>
      <vt:variant>
        <vt:i4>0</vt:i4>
      </vt:variant>
      <vt:variant>
        <vt:i4>5</vt:i4>
      </vt:variant>
      <vt:variant>
        <vt:lpwstr/>
      </vt:variant>
      <vt:variant>
        <vt:lpwstr>_Toc209306922</vt:lpwstr>
      </vt:variant>
      <vt:variant>
        <vt:i4>1048626</vt:i4>
      </vt:variant>
      <vt:variant>
        <vt:i4>593</vt:i4>
      </vt:variant>
      <vt:variant>
        <vt:i4>0</vt:i4>
      </vt:variant>
      <vt:variant>
        <vt:i4>5</vt:i4>
      </vt:variant>
      <vt:variant>
        <vt:lpwstr/>
      </vt:variant>
      <vt:variant>
        <vt:lpwstr>_Toc209306921</vt:lpwstr>
      </vt:variant>
      <vt:variant>
        <vt:i4>1048626</vt:i4>
      </vt:variant>
      <vt:variant>
        <vt:i4>587</vt:i4>
      </vt:variant>
      <vt:variant>
        <vt:i4>0</vt:i4>
      </vt:variant>
      <vt:variant>
        <vt:i4>5</vt:i4>
      </vt:variant>
      <vt:variant>
        <vt:lpwstr/>
      </vt:variant>
      <vt:variant>
        <vt:lpwstr>_Toc209306920</vt:lpwstr>
      </vt:variant>
      <vt:variant>
        <vt:i4>1245234</vt:i4>
      </vt:variant>
      <vt:variant>
        <vt:i4>581</vt:i4>
      </vt:variant>
      <vt:variant>
        <vt:i4>0</vt:i4>
      </vt:variant>
      <vt:variant>
        <vt:i4>5</vt:i4>
      </vt:variant>
      <vt:variant>
        <vt:lpwstr/>
      </vt:variant>
      <vt:variant>
        <vt:lpwstr>_Toc209306919</vt:lpwstr>
      </vt:variant>
      <vt:variant>
        <vt:i4>1245234</vt:i4>
      </vt:variant>
      <vt:variant>
        <vt:i4>575</vt:i4>
      </vt:variant>
      <vt:variant>
        <vt:i4>0</vt:i4>
      </vt:variant>
      <vt:variant>
        <vt:i4>5</vt:i4>
      </vt:variant>
      <vt:variant>
        <vt:lpwstr/>
      </vt:variant>
      <vt:variant>
        <vt:lpwstr>_Toc209306918</vt:lpwstr>
      </vt:variant>
      <vt:variant>
        <vt:i4>1245234</vt:i4>
      </vt:variant>
      <vt:variant>
        <vt:i4>569</vt:i4>
      </vt:variant>
      <vt:variant>
        <vt:i4>0</vt:i4>
      </vt:variant>
      <vt:variant>
        <vt:i4>5</vt:i4>
      </vt:variant>
      <vt:variant>
        <vt:lpwstr/>
      </vt:variant>
      <vt:variant>
        <vt:lpwstr>_Toc209306917</vt:lpwstr>
      </vt:variant>
      <vt:variant>
        <vt:i4>1245234</vt:i4>
      </vt:variant>
      <vt:variant>
        <vt:i4>563</vt:i4>
      </vt:variant>
      <vt:variant>
        <vt:i4>0</vt:i4>
      </vt:variant>
      <vt:variant>
        <vt:i4>5</vt:i4>
      </vt:variant>
      <vt:variant>
        <vt:lpwstr/>
      </vt:variant>
      <vt:variant>
        <vt:lpwstr>_Toc209306916</vt:lpwstr>
      </vt:variant>
      <vt:variant>
        <vt:i4>1245234</vt:i4>
      </vt:variant>
      <vt:variant>
        <vt:i4>557</vt:i4>
      </vt:variant>
      <vt:variant>
        <vt:i4>0</vt:i4>
      </vt:variant>
      <vt:variant>
        <vt:i4>5</vt:i4>
      </vt:variant>
      <vt:variant>
        <vt:lpwstr/>
      </vt:variant>
      <vt:variant>
        <vt:lpwstr>_Toc209306915</vt:lpwstr>
      </vt:variant>
      <vt:variant>
        <vt:i4>1245234</vt:i4>
      </vt:variant>
      <vt:variant>
        <vt:i4>551</vt:i4>
      </vt:variant>
      <vt:variant>
        <vt:i4>0</vt:i4>
      </vt:variant>
      <vt:variant>
        <vt:i4>5</vt:i4>
      </vt:variant>
      <vt:variant>
        <vt:lpwstr/>
      </vt:variant>
      <vt:variant>
        <vt:lpwstr>_Toc209306914</vt:lpwstr>
      </vt:variant>
      <vt:variant>
        <vt:i4>1245234</vt:i4>
      </vt:variant>
      <vt:variant>
        <vt:i4>545</vt:i4>
      </vt:variant>
      <vt:variant>
        <vt:i4>0</vt:i4>
      </vt:variant>
      <vt:variant>
        <vt:i4>5</vt:i4>
      </vt:variant>
      <vt:variant>
        <vt:lpwstr/>
      </vt:variant>
      <vt:variant>
        <vt:lpwstr>_Toc209306913</vt:lpwstr>
      </vt:variant>
      <vt:variant>
        <vt:i4>1245234</vt:i4>
      </vt:variant>
      <vt:variant>
        <vt:i4>539</vt:i4>
      </vt:variant>
      <vt:variant>
        <vt:i4>0</vt:i4>
      </vt:variant>
      <vt:variant>
        <vt:i4>5</vt:i4>
      </vt:variant>
      <vt:variant>
        <vt:lpwstr/>
      </vt:variant>
      <vt:variant>
        <vt:lpwstr>_Toc209306912</vt:lpwstr>
      </vt:variant>
      <vt:variant>
        <vt:i4>1245234</vt:i4>
      </vt:variant>
      <vt:variant>
        <vt:i4>533</vt:i4>
      </vt:variant>
      <vt:variant>
        <vt:i4>0</vt:i4>
      </vt:variant>
      <vt:variant>
        <vt:i4>5</vt:i4>
      </vt:variant>
      <vt:variant>
        <vt:lpwstr/>
      </vt:variant>
      <vt:variant>
        <vt:lpwstr>_Toc209306911</vt:lpwstr>
      </vt:variant>
      <vt:variant>
        <vt:i4>1245234</vt:i4>
      </vt:variant>
      <vt:variant>
        <vt:i4>527</vt:i4>
      </vt:variant>
      <vt:variant>
        <vt:i4>0</vt:i4>
      </vt:variant>
      <vt:variant>
        <vt:i4>5</vt:i4>
      </vt:variant>
      <vt:variant>
        <vt:lpwstr/>
      </vt:variant>
      <vt:variant>
        <vt:lpwstr>_Toc209306910</vt:lpwstr>
      </vt:variant>
      <vt:variant>
        <vt:i4>1179698</vt:i4>
      </vt:variant>
      <vt:variant>
        <vt:i4>521</vt:i4>
      </vt:variant>
      <vt:variant>
        <vt:i4>0</vt:i4>
      </vt:variant>
      <vt:variant>
        <vt:i4>5</vt:i4>
      </vt:variant>
      <vt:variant>
        <vt:lpwstr/>
      </vt:variant>
      <vt:variant>
        <vt:lpwstr>_Toc209306909</vt:lpwstr>
      </vt:variant>
      <vt:variant>
        <vt:i4>1179698</vt:i4>
      </vt:variant>
      <vt:variant>
        <vt:i4>515</vt:i4>
      </vt:variant>
      <vt:variant>
        <vt:i4>0</vt:i4>
      </vt:variant>
      <vt:variant>
        <vt:i4>5</vt:i4>
      </vt:variant>
      <vt:variant>
        <vt:lpwstr/>
      </vt:variant>
      <vt:variant>
        <vt:lpwstr>_Toc209306908</vt:lpwstr>
      </vt:variant>
      <vt:variant>
        <vt:i4>1179698</vt:i4>
      </vt:variant>
      <vt:variant>
        <vt:i4>509</vt:i4>
      </vt:variant>
      <vt:variant>
        <vt:i4>0</vt:i4>
      </vt:variant>
      <vt:variant>
        <vt:i4>5</vt:i4>
      </vt:variant>
      <vt:variant>
        <vt:lpwstr/>
      </vt:variant>
      <vt:variant>
        <vt:lpwstr>_Toc209306907</vt:lpwstr>
      </vt:variant>
      <vt:variant>
        <vt:i4>1179698</vt:i4>
      </vt:variant>
      <vt:variant>
        <vt:i4>503</vt:i4>
      </vt:variant>
      <vt:variant>
        <vt:i4>0</vt:i4>
      </vt:variant>
      <vt:variant>
        <vt:i4>5</vt:i4>
      </vt:variant>
      <vt:variant>
        <vt:lpwstr/>
      </vt:variant>
      <vt:variant>
        <vt:lpwstr>_Toc209306906</vt:lpwstr>
      </vt:variant>
      <vt:variant>
        <vt:i4>1179698</vt:i4>
      </vt:variant>
      <vt:variant>
        <vt:i4>497</vt:i4>
      </vt:variant>
      <vt:variant>
        <vt:i4>0</vt:i4>
      </vt:variant>
      <vt:variant>
        <vt:i4>5</vt:i4>
      </vt:variant>
      <vt:variant>
        <vt:lpwstr/>
      </vt:variant>
      <vt:variant>
        <vt:lpwstr>_Toc209306905</vt:lpwstr>
      </vt:variant>
      <vt:variant>
        <vt:i4>1179698</vt:i4>
      </vt:variant>
      <vt:variant>
        <vt:i4>491</vt:i4>
      </vt:variant>
      <vt:variant>
        <vt:i4>0</vt:i4>
      </vt:variant>
      <vt:variant>
        <vt:i4>5</vt:i4>
      </vt:variant>
      <vt:variant>
        <vt:lpwstr/>
      </vt:variant>
      <vt:variant>
        <vt:lpwstr>_Toc209306904</vt:lpwstr>
      </vt:variant>
      <vt:variant>
        <vt:i4>1179698</vt:i4>
      </vt:variant>
      <vt:variant>
        <vt:i4>485</vt:i4>
      </vt:variant>
      <vt:variant>
        <vt:i4>0</vt:i4>
      </vt:variant>
      <vt:variant>
        <vt:i4>5</vt:i4>
      </vt:variant>
      <vt:variant>
        <vt:lpwstr/>
      </vt:variant>
      <vt:variant>
        <vt:lpwstr>_Toc209306903</vt:lpwstr>
      </vt:variant>
      <vt:variant>
        <vt:i4>1179698</vt:i4>
      </vt:variant>
      <vt:variant>
        <vt:i4>479</vt:i4>
      </vt:variant>
      <vt:variant>
        <vt:i4>0</vt:i4>
      </vt:variant>
      <vt:variant>
        <vt:i4>5</vt:i4>
      </vt:variant>
      <vt:variant>
        <vt:lpwstr/>
      </vt:variant>
      <vt:variant>
        <vt:lpwstr>_Toc209306902</vt:lpwstr>
      </vt:variant>
      <vt:variant>
        <vt:i4>1179698</vt:i4>
      </vt:variant>
      <vt:variant>
        <vt:i4>473</vt:i4>
      </vt:variant>
      <vt:variant>
        <vt:i4>0</vt:i4>
      </vt:variant>
      <vt:variant>
        <vt:i4>5</vt:i4>
      </vt:variant>
      <vt:variant>
        <vt:lpwstr/>
      </vt:variant>
      <vt:variant>
        <vt:lpwstr>_Toc209306901</vt:lpwstr>
      </vt:variant>
      <vt:variant>
        <vt:i4>1179698</vt:i4>
      </vt:variant>
      <vt:variant>
        <vt:i4>467</vt:i4>
      </vt:variant>
      <vt:variant>
        <vt:i4>0</vt:i4>
      </vt:variant>
      <vt:variant>
        <vt:i4>5</vt:i4>
      </vt:variant>
      <vt:variant>
        <vt:lpwstr/>
      </vt:variant>
      <vt:variant>
        <vt:lpwstr>_Toc209306900</vt:lpwstr>
      </vt:variant>
      <vt:variant>
        <vt:i4>1769523</vt:i4>
      </vt:variant>
      <vt:variant>
        <vt:i4>461</vt:i4>
      </vt:variant>
      <vt:variant>
        <vt:i4>0</vt:i4>
      </vt:variant>
      <vt:variant>
        <vt:i4>5</vt:i4>
      </vt:variant>
      <vt:variant>
        <vt:lpwstr/>
      </vt:variant>
      <vt:variant>
        <vt:lpwstr>_Toc209306899</vt:lpwstr>
      </vt:variant>
      <vt:variant>
        <vt:i4>1769523</vt:i4>
      </vt:variant>
      <vt:variant>
        <vt:i4>452</vt:i4>
      </vt:variant>
      <vt:variant>
        <vt:i4>0</vt:i4>
      </vt:variant>
      <vt:variant>
        <vt:i4>5</vt:i4>
      </vt:variant>
      <vt:variant>
        <vt:lpwstr/>
      </vt:variant>
      <vt:variant>
        <vt:lpwstr>_Toc209306898</vt:lpwstr>
      </vt:variant>
      <vt:variant>
        <vt:i4>1769523</vt:i4>
      </vt:variant>
      <vt:variant>
        <vt:i4>446</vt:i4>
      </vt:variant>
      <vt:variant>
        <vt:i4>0</vt:i4>
      </vt:variant>
      <vt:variant>
        <vt:i4>5</vt:i4>
      </vt:variant>
      <vt:variant>
        <vt:lpwstr/>
      </vt:variant>
      <vt:variant>
        <vt:lpwstr>_Toc209306897</vt:lpwstr>
      </vt:variant>
      <vt:variant>
        <vt:i4>1769523</vt:i4>
      </vt:variant>
      <vt:variant>
        <vt:i4>440</vt:i4>
      </vt:variant>
      <vt:variant>
        <vt:i4>0</vt:i4>
      </vt:variant>
      <vt:variant>
        <vt:i4>5</vt:i4>
      </vt:variant>
      <vt:variant>
        <vt:lpwstr/>
      </vt:variant>
      <vt:variant>
        <vt:lpwstr>_Toc209306896</vt:lpwstr>
      </vt:variant>
      <vt:variant>
        <vt:i4>1769523</vt:i4>
      </vt:variant>
      <vt:variant>
        <vt:i4>434</vt:i4>
      </vt:variant>
      <vt:variant>
        <vt:i4>0</vt:i4>
      </vt:variant>
      <vt:variant>
        <vt:i4>5</vt:i4>
      </vt:variant>
      <vt:variant>
        <vt:lpwstr/>
      </vt:variant>
      <vt:variant>
        <vt:lpwstr>_Toc209306895</vt:lpwstr>
      </vt:variant>
      <vt:variant>
        <vt:i4>1769523</vt:i4>
      </vt:variant>
      <vt:variant>
        <vt:i4>428</vt:i4>
      </vt:variant>
      <vt:variant>
        <vt:i4>0</vt:i4>
      </vt:variant>
      <vt:variant>
        <vt:i4>5</vt:i4>
      </vt:variant>
      <vt:variant>
        <vt:lpwstr/>
      </vt:variant>
      <vt:variant>
        <vt:lpwstr>_Toc209306894</vt:lpwstr>
      </vt:variant>
      <vt:variant>
        <vt:i4>1769523</vt:i4>
      </vt:variant>
      <vt:variant>
        <vt:i4>422</vt:i4>
      </vt:variant>
      <vt:variant>
        <vt:i4>0</vt:i4>
      </vt:variant>
      <vt:variant>
        <vt:i4>5</vt:i4>
      </vt:variant>
      <vt:variant>
        <vt:lpwstr/>
      </vt:variant>
      <vt:variant>
        <vt:lpwstr>_Toc209306893</vt:lpwstr>
      </vt:variant>
      <vt:variant>
        <vt:i4>1769523</vt:i4>
      </vt:variant>
      <vt:variant>
        <vt:i4>416</vt:i4>
      </vt:variant>
      <vt:variant>
        <vt:i4>0</vt:i4>
      </vt:variant>
      <vt:variant>
        <vt:i4>5</vt:i4>
      </vt:variant>
      <vt:variant>
        <vt:lpwstr/>
      </vt:variant>
      <vt:variant>
        <vt:lpwstr>_Toc209306892</vt:lpwstr>
      </vt:variant>
      <vt:variant>
        <vt:i4>1769523</vt:i4>
      </vt:variant>
      <vt:variant>
        <vt:i4>410</vt:i4>
      </vt:variant>
      <vt:variant>
        <vt:i4>0</vt:i4>
      </vt:variant>
      <vt:variant>
        <vt:i4>5</vt:i4>
      </vt:variant>
      <vt:variant>
        <vt:lpwstr/>
      </vt:variant>
      <vt:variant>
        <vt:lpwstr>_Toc209306891</vt:lpwstr>
      </vt:variant>
      <vt:variant>
        <vt:i4>1769523</vt:i4>
      </vt:variant>
      <vt:variant>
        <vt:i4>404</vt:i4>
      </vt:variant>
      <vt:variant>
        <vt:i4>0</vt:i4>
      </vt:variant>
      <vt:variant>
        <vt:i4>5</vt:i4>
      </vt:variant>
      <vt:variant>
        <vt:lpwstr/>
      </vt:variant>
      <vt:variant>
        <vt:lpwstr>_Toc209306890</vt:lpwstr>
      </vt:variant>
      <vt:variant>
        <vt:i4>1703987</vt:i4>
      </vt:variant>
      <vt:variant>
        <vt:i4>398</vt:i4>
      </vt:variant>
      <vt:variant>
        <vt:i4>0</vt:i4>
      </vt:variant>
      <vt:variant>
        <vt:i4>5</vt:i4>
      </vt:variant>
      <vt:variant>
        <vt:lpwstr/>
      </vt:variant>
      <vt:variant>
        <vt:lpwstr>_Toc209306889</vt:lpwstr>
      </vt:variant>
      <vt:variant>
        <vt:i4>1703987</vt:i4>
      </vt:variant>
      <vt:variant>
        <vt:i4>392</vt:i4>
      </vt:variant>
      <vt:variant>
        <vt:i4>0</vt:i4>
      </vt:variant>
      <vt:variant>
        <vt:i4>5</vt:i4>
      </vt:variant>
      <vt:variant>
        <vt:lpwstr/>
      </vt:variant>
      <vt:variant>
        <vt:lpwstr>_Toc209306888</vt:lpwstr>
      </vt:variant>
      <vt:variant>
        <vt:i4>1703987</vt:i4>
      </vt:variant>
      <vt:variant>
        <vt:i4>386</vt:i4>
      </vt:variant>
      <vt:variant>
        <vt:i4>0</vt:i4>
      </vt:variant>
      <vt:variant>
        <vt:i4>5</vt:i4>
      </vt:variant>
      <vt:variant>
        <vt:lpwstr/>
      </vt:variant>
      <vt:variant>
        <vt:lpwstr>_Toc209306887</vt:lpwstr>
      </vt:variant>
      <vt:variant>
        <vt:i4>1703987</vt:i4>
      </vt:variant>
      <vt:variant>
        <vt:i4>380</vt:i4>
      </vt:variant>
      <vt:variant>
        <vt:i4>0</vt:i4>
      </vt:variant>
      <vt:variant>
        <vt:i4>5</vt:i4>
      </vt:variant>
      <vt:variant>
        <vt:lpwstr/>
      </vt:variant>
      <vt:variant>
        <vt:lpwstr>_Toc209306886</vt:lpwstr>
      </vt:variant>
      <vt:variant>
        <vt:i4>1703987</vt:i4>
      </vt:variant>
      <vt:variant>
        <vt:i4>374</vt:i4>
      </vt:variant>
      <vt:variant>
        <vt:i4>0</vt:i4>
      </vt:variant>
      <vt:variant>
        <vt:i4>5</vt:i4>
      </vt:variant>
      <vt:variant>
        <vt:lpwstr/>
      </vt:variant>
      <vt:variant>
        <vt:lpwstr>_Toc209306885</vt:lpwstr>
      </vt:variant>
      <vt:variant>
        <vt:i4>1703987</vt:i4>
      </vt:variant>
      <vt:variant>
        <vt:i4>368</vt:i4>
      </vt:variant>
      <vt:variant>
        <vt:i4>0</vt:i4>
      </vt:variant>
      <vt:variant>
        <vt:i4>5</vt:i4>
      </vt:variant>
      <vt:variant>
        <vt:lpwstr/>
      </vt:variant>
      <vt:variant>
        <vt:lpwstr>_Toc209306884</vt:lpwstr>
      </vt:variant>
      <vt:variant>
        <vt:i4>1703987</vt:i4>
      </vt:variant>
      <vt:variant>
        <vt:i4>362</vt:i4>
      </vt:variant>
      <vt:variant>
        <vt:i4>0</vt:i4>
      </vt:variant>
      <vt:variant>
        <vt:i4>5</vt:i4>
      </vt:variant>
      <vt:variant>
        <vt:lpwstr/>
      </vt:variant>
      <vt:variant>
        <vt:lpwstr>_Toc209306883</vt:lpwstr>
      </vt:variant>
      <vt:variant>
        <vt:i4>1703987</vt:i4>
      </vt:variant>
      <vt:variant>
        <vt:i4>356</vt:i4>
      </vt:variant>
      <vt:variant>
        <vt:i4>0</vt:i4>
      </vt:variant>
      <vt:variant>
        <vt:i4>5</vt:i4>
      </vt:variant>
      <vt:variant>
        <vt:lpwstr/>
      </vt:variant>
      <vt:variant>
        <vt:lpwstr>_Toc209306882</vt:lpwstr>
      </vt:variant>
      <vt:variant>
        <vt:i4>1703987</vt:i4>
      </vt:variant>
      <vt:variant>
        <vt:i4>350</vt:i4>
      </vt:variant>
      <vt:variant>
        <vt:i4>0</vt:i4>
      </vt:variant>
      <vt:variant>
        <vt:i4>5</vt:i4>
      </vt:variant>
      <vt:variant>
        <vt:lpwstr/>
      </vt:variant>
      <vt:variant>
        <vt:lpwstr>_Toc209306881</vt:lpwstr>
      </vt:variant>
      <vt:variant>
        <vt:i4>1703987</vt:i4>
      </vt:variant>
      <vt:variant>
        <vt:i4>344</vt:i4>
      </vt:variant>
      <vt:variant>
        <vt:i4>0</vt:i4>
      </vt:variant>
      <vt:variant>
        <vt:i4>5</vt:i4>
      </vt:variant>
      <vt:variant>
        <vt:lpwstr/>
      </vt:variant>
      <vt:variant>
        <vt:lpwstr>_Toc209306880</vt:lpwstr>
      </vt:variant>
      <vt:variant>
        <vt:i4>1376307</vt:i4>
      </vt:variant>
      <vt:variant>
        <vt:i4>338</vt:i4>
      </vt:variant>
      <vt:variant>
        <vt:i4>0</vt:i4>
      </vt:variant>
      <vt:variant>
        <vt:i4>5</vt:i4>
      </vt:variant>
      <vt:variant>
        <vt:lpwstr/>
      </vt:variant>
      <vt:variant>
        <vt:lpwstr>_Toc209306879</vt:lpwstr>
      </vt:variant>
      <vt:variant>
        <vt:i4>1376307</vt:i4>
      </vt:variant>
      <vt:variant>
        <vt:i4>332</vt:i4>
      </vt:variant>
      <vt:variant>
        <vt:i4>0</vt:i4>
      </vt:variant>
      <vt:variant>
        <vt:i4>5</vt:i4>
      </vt:variant>
      <vt:variant>
        <vt:lpwstr/>
      </vt:variant>
      <vt:variant>
        <vt:lpwstr>_Toc209306878</vt:lpwstr>
      </vt:variant>
      <vt:variant>
        <vt:i4>1376307</vt:i4>
      </vt:variant>
      <vt:variant>
        <vt:i4>326</vt:i4>
      </vt:variant>
      <vt:variant>
        <vt:i4>0</vt:i4>
      </vt:variant>
      <vt:variant>
        <vt:i4>5</vt:i4>
      </vt:variant>
      <vt:variant>
        <vt:lpwstr/>
      </vt:variant>
      <vt:variant>
        <vt:lpwstr>_Toc209306877</vt:lpwstr>
      </vt:variant>
      <vt:variant>
        <vt:i4>1376307</vt:i4>
      </vt:variant>
      <vt:variant>
        <vt:i4>320</vt:i4>
      </vt:variant>
      <vt:variant>
        <vt:i4>0</vt:i4>
      </vt:variant>
      <vt:variant>
        <vt:i4>5</vt:i4>
      </vt:variant>
      <vt:variant>
        <vt:lpwstr/>
      </vt:variant>
      <vt:variant>
        <vt:lpwstr>_Toc209306876</vt:lpwstr>
      </vt:variant>
      <vt:variant>
        <vt:i4>1376307</vt:i4>
      </vt:variant>
      <vt:variant>
        <vt:i4>314</vt:i4>
      </vt:variant>
      <vt:variant>
        <vt:i4>0</vt:i4>
      </vt:variant>
      <vt:variant>
        <vt:i4>5</vt:i4>
      </vt:variant>
      <vt:variant>
        <vt:lpwstr/>
      </vt:variant>
      <vt:variant>
        <vt:lpwstr>_Toc209306875</vt:lpwstr>
      </vt:variant>
      <vt:variant>
        <vt:i4>1376307</vt:i4>
      </vt:variant>
      <vt:variant>
        <vt:i4>308</vt:i4>
      </vt:variant>
      <vt:variant>
        <vt:i4>0</vt:i4>
      </vt:variant>
      <vt:variant>
        <vt:i4>5</vt:i4>
      </vt:variant>
      <vt:variant>
        <vt:lpwstr/>
      </vt:variant>
      <vt:variant>
        <vt:lpwstr>_Toc209306874</vt:lpwstr>
      </vt:variant>
      <vt:variant>
        <vt:i4>1376307</vt:i4>
      </vt:variant>
      <vt:variant>
        <vt:i4>302</vt:i4>
      </vt:variant>
      <vt:variant>
        <vt:i4>0</vt:i4>
      </vt:variant>
      <vt:variant>
        <vt:i4>5</vt:i4>
      </vt:variant>
      <vt:variant>
        <vt:lpwstr/>
      </vt:variant>
      <vt:variant>
        <vt:lpwstr>_Toc209306873</vt:lpwstr>
      </vt:variant>
      <vt:variant>
        <vt:i4>1376307</vt:i4>
      </vt:variant>
      <vt:variant>
        <vt:i4>296</vt:i4>
      </vt:variant>
      <vt:variant>
        <vt:i4>0</vt:i4>
      </vt:variant>
      <vt:variant>
        <vt:i4>5</vt:i4>
      </vt:variant>
      <vt:variant>
        <vt:lpwstr/>
      </vt:variant>
      <vt:variant>
        <vt:lpwstr>_Toc209306872</vt:lpwstr>
      </vt:variant>
      <vt:variant>
        <vt:i4>1376307</vt:i4>
      </vt:variant>
      <vt:variant>
        <vt:i4>290</vt:i4>
      </vt:variant>
      <vt:variant>
        <vt:i4>0</vt:i4>
      </vt:variant>
      <vt:variant>
        <vt:i4>5</vt:i4>
      </vt:variant>
      <vt:variant>
        <vt:lpwstr/>
      </vt:variant>
      <vt:variant>
        <vt:lpwstr>_Toc209306871</vt:lpwstr>
      </vt:variant>
      <vt:variant>
        <vt:i4>1376307</vt:i4>
      </vt:variant>
      <vt:variant>
        <vt:i4>284</vt:i4>
      </vt:variant>
      <vt:variant>
        <vt:i4>0</vt:i4>
      </vt:variant>
      <vt:variant>
        <vt:i4>5</vt:i4>
      </vt:variant>
      <vt:variant>
        <vt:lpwstr/>
      </vt:variant>
      <vt:variant>
        <vt:lpwstr>_Toc209306870</vt:lpwstr>
      </vt:variant>
      <vt:variant>
        <vt:i4>1310771</vt:i4>
      </vt:variant>
      <vt:variant>
        <vt:i4>278</vt:i4>
      </vt:variant>
      <vt:variant>
        <vt:i4>0</vt:i4>
      </vt:variant>
      <vt:variant>
        <vt:i4>5</vt:i4>
      </vt:variant>
      <vt:variant>
        <vt:lpwstr/>
      </vt:variant>
      <vt:variant>
        <vt:lpwstr>_Toc209306869</vt:lpwstr>
      </vt:variant>
      <vt:variant>
        <vt:i4>1310771</vt:i4>
      </vt:variant>
      <vt:variant>
        <vt:i4>272</vt:i4>
      </vt:variant>
      <vt:variant>
        <vt:i4>0</vt:i4>
      </vt:variant>
      <vt:variant>
        <vt:i4>5</vt:i4>
      </vt:variant>
      <vt:variant>
        <vt:lpwstr/>
      </vt:variant>
      <vt:variant>
        <vt:lpwstr>_Toc209306868</vt:lpwstr>
      </vt:variant>
      <vt:variant>
        <vt:i4>1310771</vt:i4>
      </vt:variant>
      <vt:variant>
        <vt:i4>266</vt:i4>
      </vt:variant>
      <vt:variant>
        <vt:i4>0</vt:i4>
      </vt:variant>
      <vt:variant>
        <vt:i4>5</vt:i4>
      </vt:variant>
      <vt:variant>
        <vt:lpwstr/>
      </vt:variant>
      <vt:variant>
        <vt:lpwstr>_Toc209306867</vt:lpwstr>
      </vt:variant>
      <vt:variant>
        <vt:i4>1310771</vt:i4>
      </vt:variant>
      <vt:variant>
        <vt:i4>260</vt:i4>
      </vt:variant>
      <vt:variant>
        <vt:i4>0</vt:i4>
      </vt:variant>
      <vt:variant>
        <vt:i4>5</vt:i4>
      </vt:variant>
      <vt:variant>
        <vt:lpwstr/>
      </vt:variant>
      <vt:variant>
        <vt:lpwstr>_Toc209306866</vt:lpwstr>
      </vt:variant>
      <vt:variant>
        <vt:i4>1310771</vt:i4>
      </vt:variant>
      <vt:variant>
        <vt:i4>254</vt:i4>
      </vt:variant>
      <vt:variant>
        <vt:i4>0</vt:i4>
      </vt:variant>
      <vt:variant>
        <vt:i4>5</vt:i4>
      </vt:variant>
      <vt:variant>
        <vt:lpwstr/>
      </vt:variant>
      <vt:variant>
        <vt:lpwstr>_Toc209306865</vt:lpwstr>
      </vt:variant>
      <vt:variant>
        <vt:i4>1310771</vt:i4>
      </vt:variant>
      <vt:variant>
        <vt:i4>248</vt:i4>
      </vt:variant>
      <vt:variant>
        <vt:i4>0</vt:i4>
      </vt:variant>
      <vt:variant>
        <vt:i4>5</vt:i4>
      </vt:variant>
      <vt:variant>
        <vt:lpwstr/>
      </vt:variant>
      <vt:variant>
        <vt:lpwstr>_Toc209306864</vt:lpwstr>
      </vt:variant>
      <vt:variant>
        <vt:i4>1310771</vt:i4>
      </vt:variant>
      <vt:variant>
        <vt:i4>242</vt:i4>
      </vt:variant>
      <vt:variant>
        <vt:i4>0</vt:i4>
      </vt:variant>
      <vt:variant>
        <vt:i4>5</vt:i4>
      </vt:variant>
      <vt:variant>
        <vt:lpwstr/>
      </vt:variant>
      <vt:variant>
        <vt:lpwstr>_Toc209306863</vt:lpwstr>
      </vt:variant>
      <vt:variant>
        <vt:i4>1310771</vt:i4>
      </vt:variant>
      <vt:variant>
        <vt:i4>236</vt:i4>
      </vt:variant>
      <vt:variant>
        <vt:i4>0</vt:i4>
      </vt:variant>
      <vt:variant>
        <vt:i4>5</vt:i4>
      </vt:variant>
      <vt:variant>
        <vt:lpwstr/>
      </vt:variant>
      <vt:variant>
        <vt:lpwstr>_Toc209306862</vt:lpwstr>
      </vt:variant>
      <vt:variant>
        <vt:i4>1310771</vt:i4>
      </vt:variant>
      <vt:variant>
        <vt:i4>230</vt:i4>
      </vt:variant>
      <vt:variant>
        <vt:i4>0</vt:i4>
      </vt:variant>
      <vt:variant>
        <vt:i4>5</vt:i4>
      </vt:variant>
      <vt:variant>
        <vt:lpwstr/>
      </vt:variant>
      <vt:variant>
        <vt:lpwstr>_Toc209306861</vt:lpwstr>
      </vt:variant>
      <vt:variant>
        <vt:i4>1310771</vt:i4>
      </vt:variant>
      <vt:variant>
        <vt:i4>224</vt:i4>
      </vt:variant>
      <vt:variant>
        <vt:i4>0</vt:i4>
      </vt:variant>
      <vt:variant>
        <vt:i4>5</vt:i4>
      </vt:variant>
      <vt:variant>
        <vt:lpwstr/>
      </vt:variant>
      <vt:variant>
        <vt:lpwstr>_Toc209306860</vt:lpwstr>
      </vt:variant>
      <vt:variant>
        <vt:i4>1507379</vt:i4>
      </vt:variant>
      <vt:variant>
        <vt:i4>218</vt:i4>
      </vt:variant>
      <vt:variant>
        <vt:i4>0</vt:i4>
      </vt:variant>
      <vt:variant>
        <vt:i4>5</vt:i4>
      </vt:variant>
      <vt:variant>
        <vt:lpwstr/>
      </vt:variant>
      <vt:variant>
        <vt:lpwstr>_Toc209306859</vt:lpwstr>
      </vt:variant>
      <vt:variant>
        <vt:i4>1507379</vt:i4>
      </vt:variant>
      <vt:variant>
        <vt:i4>212</vt:i4>
      </vt:variant>
      <vt:variant>
        <vt:i4>0</vt:i4>
      </vt:variant>
      <vt:variant>
        <vt:i4>5</vt:i4>
      </vt:variant>
      <vt:variant>
        <vt:lpwstr/>
      </vt:variant>
      <vt:variant>
        <vt:lpwstr>_Toc209306858</vt:lpwstr>
      </vt:variant>
      <vt:variant>
        <vt:i4>1507379</vt:i4>
      </vt:variant>
      <vt:variant>
        <vt:i4>206</vt:i4>
      </vt:variant>
      <vt:variant>
        <vt:i4>0</vt:i4>
      </vt:variant>
      <vt:variant>
        <vt:i4>5</vt:i4>
      </vt:variant>
      <vt:variant>
        <vt:lpwstr/>
      </vt:variant>
      <vt:variant>
        <vt:lpwstr>_Toc209306857</vt:lpwstr>
      </vt:variant>
      <vt:variant>
        <vt:i4>1507379</vt:i4>
      </vt:variant>
      <vt:variant>
        <vt:i4>200</vt:i4>
      </vt:variant>
      <vt:variant>
        <vt:i4>0</vt:i4>
      </vt:variant>
      <vt:variant>
        <vt:i4>5</vt:i4>
      </vt:variant>
      <vt:variant>
        <vt:lpwstr/>
      </vt:variant>
      <vt:variant>
        <vt:lpwstr>_Toc209306856</vt:lpwstr>
      </vt:variant>
      <vt:variant>
        <vt:i4>1507379</vt:i4>
      </vt:variant>
      <vt:variant>
        <vt:i4>194</vt:i4>
      </vt:variant>
      <vt:variant>
        <vt:i4>0</vt:i4>
      </vt:variant>
      <vt:variant>
        <vt:i4>5</vt:i4>
      </vt:variant>
      <vt:variant>
        <vt:lpwstr/>
      </vt:variant>
      <vt:variant>
        <vt:lpwstr>_Toc209306855</vt:lpwstr>
      </vt:variant>
      <vt:variant>
        <vt:i4>1507379</vt:i4>
      </vt:variant>
      <vt:variant>
        <vt:i4>188</vt:i4>
      </vt:variant>
      <vt:variant>
        <vt:i4>0</vt:i4>
      </vt:variant>
      <vt:variant>
        <vt:i4>5</vt:i4>
      </vt:variant>
      <vt:variant>
        <vt:lpwstr/>
      </vt:variant>
      <vt:variant>
        <vt:lpwstr>_Toc209306854</vt:lpwstr>
      </vt:variant>
      <vt:variant>
        <vt:i4>1507379</vt:i4>
      </vt:variant>
      <vt:variant>
        <vt:i4>182</vt:i4>
      </vt:variant>
      <vt:variant>
        <vt:i4>0</vt:i4>
      </vt:variant>
      <vt:variant>
        <vt:i4>5</vt:i4>
      </vt:variant>
      <vt:variant>
        <vt:lpwstr/>
      </vt:variant>
      <vt:variant>
        <vt:lpwstr>_Toc209306853</vt:lpwstr>
      </vt:variant>
      <vt:variant>
        <vt:i4>1507379</vt:i4>
      </vt:variant>
      <vt:variant>
        <vt:i4>176</vt:i4>
      </vt:variant>
      <vt:variant>
        <vt:i4>0</vt:i4>
      </vt:variant>
      <vt:variant>
        <vt:i4>5</vt:i4>
      </vt:variant>
      <vt:variant>
        <vt:lpwstr/>
      </vt:variant>
      <vt:variant>
        <vt:lpwstr>_Toc209306852</vt:lpwstr>
      </vt:variant>
      <vt:variant>
        <vt:i4>1507379</vt:i4>
      </vt:variant>
      <vt:variant>
        <vt:i4>170</vt:i4>
      </vt:variant>
      <vt:variant>
        <vt:i4>0</vt:i4>
      </vt:variant>
      <vt:variant>
        <vt:i4>5</vt:i4>
      </vt:variant>
      <vt:variant>
        <vt:lpwstr/>
      </vt:variant>
      <vt:variant>
        <vt:lpwstr>_Toc209306851</vt:lpwstr>
      </vt:variant>
      <vt:variant>
        <vt:i4>1507379</vt:i4>
      </vt:variant>
      <vt:variant>
        <vt:i4>164</vt:i4>
      </vt:variant>
      <vt:variant>
        <vt:i4>0</vt:i4>
      </vt:variant>
      <vt:variant>
        <vt:i4>5</vt:i4>
      </vt:variant>
      <vt:variant>
        <vt:lpwstr/>
      </vt:variant>
      <vt:variant>
        <vt:lpwstr>_Toc209306850</vt:lpwstr>
      </vt:variant>
      <vt:variant>
        <vt:i4>1441843</vt:i4>
      </vt:variant>
      <vt:variant>
        <vt:i4>158</vt:i4>
      </vt:variant>
      <vt:variant>
        <vt:i4>0</vt:i4>
      </vt:variant>
      <vt:variant>
        <vt:i4>5</vt:i4>
      </vt:variant>
      <vt:variant>
        <vt:lpwstr/>
      </vt:variant>
      <vt:variant>
        <vt:lpwstr>_Toc209306849</vt:lpwstr>
      </vt:variant>
      <vt:variant>
        <vt:i4>1441843</vt:i4>
      </vt:variant>
      <vt:variant>
        <vt:i4>152</vt:i4>
      </vt:variant>
      <vt:variant>
        <vt:i4>0</vt:i4>
      </vt:variant>
      <vt:variant>
        <vt:i4>5</vt:i4>
      </vt:variant>
      <vt:variant>
        <vt:lpwstr/>
      </vt:variant>
      <vt:variant>
        <vt:lpwstr>_Toc209306848</vt:lpwstr>
      </vt:variant>
      <vt:variant>
        <vt:i4>1441843</vt:i4>
      </vt:variant>
      <vt:variant>
        <vt:i4>146</vt:i4>
      </vt:variant>
      <vt:variant>
        <vt:i4>0</vt:i4>
      </vt:variant>
      <vt:variant>
        <vt:i4>5</vt:i4>
      </vt:variant>
      <vt:variant>
        <vt:lpwstr/>
      </vt:variant>
      <vt:variant>
        <vt:lpwstr>_Toc209306847</vt:lpwstr>
      </vt:variant>
      <vt:variant>
        <vt:i4>1441843</vt:i4>
      </vt:variant>
      <vt:variant>
        <vt:i4>140</vt:i4>
      </vt:variant>
      <vt:variant>
        <vt:i4>0</vt:i4>
      </vt:variant>
      <vt:variant>
        <vt:i4>5</vt:i4>
      </vt:variant>
      <vt:variant>
        <vt:lpwstr/>
      </vt:variant>
      <vt:variant>
        <vt:lpwstr>_Toc209306846</vt:lpwstr>
      </vt:variant>
      <vt:variant>
        <vt:i4>1441843</vt:i4>
      </vt:variant>
      <vt:variant>
        <vt:i4>134</vt:i4>
      </vt:variant>
      <vt:variant>
        <vt:i4>0</vt:i4>
      </vt:variant>
      <vt:variant>
        <vt:i4>5</vt:i4>
      </vt:variant>
      <vt:variant>
        <vt:lpwstr/>
      </vt:variant>
      <vt:variant>
        <vt:lpwstr>_Toc209306845</vt:lpwstr>
      </vt:variant>
      <vt:variant>
        <vt:i4>1441843</vt:i4>
      </vt:variant>
      <vt:variant>
        <vt:i4>128</vt:i4>
      </vt:variant>
      <vt:variant>
        <vt:i4>0</vt:i4>
      </vt:variant>
      <vt:variant>
        <vt:i4>5</vt:i4>
      </vt:variant>
      <vt:variant>
        <vt:lpwstr/>
      </vt:variant>
      <vt:variant>
        <vt:lpwstr>_Toc209306844</vt:lpwstr>
      </vt:variant>
      <vt:variant>
        <vt:i4>1441843</vt:i4>
      </vt:variant>
      <vt:variant>
        <vt:i4>122</vt:i4>
      </vt:variant>
      <vt:variant>
        <vt:i4>0</vt:i4>
      </vt:variant>
      <vt:variant>
        <vt:i4>5</vt:i4>
      </vt:variant>
      <vt:variant>
        <vt:lpwstr/>
      </vt:variant>
      <vt:variant>
        <vt:lpwstr>_Toc209306843</vt:lpwstr>
      </vt:variant>
      <vt:variant>
        <vt:i4>1441843</vt:i4>
      </vt:variant>
      <vt:variant>
        <vt:i4>116</vt:i4>
      </vt:variant>
      <vt:variant>
        <vt:i4>0</vt:i4>
      </vt:variant>
      <vt:variant>
        <vt:i4>5</vt:i4>
      </vt:variant>
      <vt:variant>
        <vt:lpwstr/>
      </vt:variant>
      <vt:variant>
        <vt:lpwstr>_Toc209306842</vt:lpwstr>
      </vt:variant>
      <vt:variant>
        <vt:i4>1441843</vt:i4>
      </vt:variant>
      <vt:variant>
        <vt:i4>110</vt:i4>
      </vt:variant>
      <vt:variant>
        <vt:i4>0</vt:i4>
      </vt:variant>
      <vt:variant>
        <vt:i4>5</vt:i4>
      </vt:variant>
      <vt:variant>
        <vt:lpwstr/>
      </vt:variant>
      <vt:variant>
        <vt:lpwstr>_Toc209306841</vt:lpwstr>
      </vt:variant>
      <vt:variant>
        <vt:i4>1441843</vt:i4>
      </vt:variant>
      <vt:variant>
        <vt:i4>104</vt:i4>
      </vt:variant>
      <vt:variant>
        <vt:i4>0</vt:i4>
      </vt:variant>
      <vt:variant>
        <vt:i4>5</vt:i4>
      </vt:variant>
      <vt:variant>
        <vt:lpwstr/>
      </vt:variant>
      <vt:variant>
        <vt:lpwstr>_Toc209306840</vt:lpwstr>
      </vt:variant>
      <vt:variant>
        <vt:i4>1114163</vt:i4>
      </vt:variant>
      <vt:variant>
        <vt:i4>98</vt:i4>
      </vt:variant>
      <vt:variant>
        <vt:i4>0</vt:i4>
      </vt:variant>
      <vt:variant>
        <vt:i4>5</vt:i4>
      </vt:variant>
      <vt:variant>
        <vt:lpwstr/>
      </vt:variant>
      <vt:variant>
        <vt:lpwstr>_Toc209306839</vt:lpwstr>
      </vt:variant>
      <vt:variant>
        <vt:i4>1114163</vt:i4>
      </vt:variant>
      <vt:variant>
        <vt:i4>92</vt:i4>
      </vt:variant>
      <vt:variant>
        <vt:i4>0</vt:i4>
      </vt:variant>
      <vt:variant>
        <vt:i4>5</vt:i4>
      </vt:variant>
      <vt:variant>
        <vt:lpwstr/>
      </vt:variant>
      <vt:variant>
        <vt:lpwstr>_Toc209306838</vt:lpwstr>
      </vt:variant>
      <vt:variant>
        <vt:i4>1114163</vt:i4>
      </vt:variant>
      <vt:variant>
        <vt:i4>86</vt:i4>
      </vt:variant>
      <vt:variant>
        <vt:i4>0</vt:i4>
      </vt:variant>
      <vt:variant>
        <vt:i4>5</vt:i4>
      </vt:variant>
      <vt:variant>
        <vt:lpwstr/>
      </vt:variant>
      <vt:variant>
        <vt:lpwstr>_Toc209306837</vt:lpwstr>
      </vt:variant>
      <vt:variant>
        <vt:i4>1114163</vt:i4>
      </vt:variant>
      <vt:variant>
        <vt:i4>80</vt:i4>
      </vt:variant>
      <vt:variant>
        <vt:i4>0</vt:i4>
      </vt:variant>
      <vt:variant>
        <vt:i4>5</vt:i4>
      </vt:variant>
      <vt:variant>
        <vt:lpwstr/>
      </vt:variant>
      <vt:variant>
        <vt:lpwstr>_Toc209306836</vt:lpwstr>
      </vt:variant>
      <vt:variant>
        <vt:i4>1114163</vt:i4>
      </vt:variant>
      <vt:variant>
        <vt:i4>74</vt:i4>
      </vt:variant>
      <vt:variant>
        <vt:i4>0</vt:i4>
      </vt:variant>
      <vt:variant>
        <vt:i4>5</vt:i4>
      </vt:variant>
      <vt:variant>
        <vt:lpwstr/>
      </vt:variant>
      <vt:variant>
        <vt:lpwstr>_Toc209306835</vt:lpwstr>
      </vt:variant>
      <vt:variant>
        <vt:i4>1114163</vt:i4>
      </vt:variant>
      <vt:variant>
        <vt:i4>68</vt:i4>
      </vt:variant>
      <vt:variant>
        <vt:i4>0</vt:i4>
      </vt:variant>
      <vt:variant>
        <vt:i4>5</vt:i4>
      </vt:variant>
      <vt:variant>
        <vt:lpwstr/>
      </vt:variant>
      <vt:variant>
        <vt:lpwstr>_Toc209306834</vt:lpwstr>
      </vt:variant>
      <vt:variant>
        <vt:i4>1114163</vt:i4>
      </vt:variant>
      <vt:variant>
        <vt:i4>62</vt:i4>
      </vt:variant>
      <vt:variant>
        <vt:i4>0</vt:i4>
      </vt:variant>
      <vt:variant>
        <vt:i4>5</vt:i4>
      </vt:variant>
      <vt:variant>
        <vt:lpwstr/>
      </vt:variant>
      <vt:variant>
        <vt:lpwstr>_Toc209306833</vt:lpwstr>
      </vt:variant>
      <vt:variant>
        <vt:i4>1114163</vt:i4>
      </vt:variant>
      <vt:variant>
        <vt:i4>56</vt:i4>
      </vt:variant>
      <vt:variant>
        <vt:i4>0</vt:i4>
      </vt:variant>
      <vt:variant>
        <vt:i4>5</vt:i4>
      </vt:variant>
      <vt:variant>
        <vt:lpwstr/>
      </vt:variant>
      <vt:variant>
        <vt:lpwstr>_Toc209306832</vt:lpwstr>
      </vt:variant>
      <vt:variant>
        <vt:i4>1114163</vt:i4>
      </vt:variant>
      <vt:variant>
        <vt:i4>50</vt:i4>
      </vt:variant>
      <vt:variant>
        <vt:i4>0</vt:i4>
      </vt:variant>
      <vt:variant>
        <vt:i4>5</vt:i4>
      </vt:variant>
      <vt:variant>
        <vt:lpwstr/>
      </vt:variant>
      <vt:variant>
        <vt:lpwstr>_Toc209306831</vt:lpwstr>
      </vt:variant>
      <vt:variant>
        <vt:i4>1114163</vt:i4>
      </vt:variant>
      <vt:variant>
        <vt:i4>44</vt:i4>
      </vt:variant>
      <vt:variant>
        <vt:i4>0</vt:i4>
      </vt:variant>
      <vt:variant>
        <vt:i4>5</vt:i4>
      </vt:variant>
      <vt:variant>
        <vt:lpwstr/>
      </vt:variant>
      <vt:variant>
        <vt:lpwstr>_Toc209306830</vt:lpwstr>
      </vt:variant>
      <vt:variant>
        <vt:i4>1048627</vt:i4>
      </vt:variant>
      <vt:variant>
        <vt:i4>38</vt:i4>
      </vt:variant>
      <vt:variant>
        <vt:i4>0</vt:i4>
      </vt:variant>
      <vt:variant>
        <vt:i4>5</vt:i4>
      </vt:variant>
      <vt:variant>
        <vt:lpwstr/>
      </vt:variant>
      <vt:variant>
        <vt:lpwstr>_Toc209306829</vt:lpwstr>
      </vt:variant>
      <vt:variant>
        <vt:i4>1048627</vt:i4>
      </vt:variant>
      <vt:variant>
        <vt:i4>32</vt:i4>
      </vt:variant>
      <vt:variant>
        <vt:i4>0</vt:i4>
      </vt:variant>
      <vt:variant>
        <vt:i4>5</vt:i4>
      </vt:variant>
      <vt:variant>
        <vt:lpwstr/>
      </vt:variant>
      <vt:variant>
        <vt:lpwstr>_Toc209306828</vt:lpwstr>
      </vt:variant>
      <vt:variant>
        <vt:i4>1048627</vt:i4>
      </vt:variant>
      <vt:variant>
        <vt:i4>26</vt:i4>
      </vt:variant>
      <vt:variant>
        <vt:i4>0</vt:i4>
      </vt:variant>
      <vt:variant>
        <vt:i4>5</vt:i4>
      </vt:variant>
      <vt:variant>
        <vt:lpwstr/>
      </vt:variant>
      <vt:variant>
        <vt:lpwstr>_Toc209306827</vt:lpwstr>
      </vt:variant>
      <vt:variant>
        <vt:i4>1048627</vt:i4>
      </vt:variant>
      <vt:variant>
        <vt:i4>20</vt:i4>
      </vt:variant>
      <vt:variant>
        <vt:i4>0</vt:i4>
      </vt:variant>
      <vt:variant>
        <vt:i4>5</vt:i4>
      </vt:variant>
      <vt:variant>
        <vt:lpwstr/>
      </vt:variant>
      <vt:variant>
        <vt:lpwstr>_Toc209306826</vt:lpwstr>
      </vt:variant>
      <vt:variant>
        <vt:i4>1048627</vt:i4>
      </vt:variant>
      <vt:variant>
        <vt:i4>14</vt:i4>
      </vt:variant>
      <vt:variant>
        <vt:i4>0</vt:i4>
      </vt:variant>
      <vt:variant>
        <vt:i4>5</vt:i4>
      </vt:variant>
      <vt:variant>
        <vt:lpwstr/>
      </vt:variant>
      <vt:variant>
        <vt:lpwstr>_Toc209306825</vt:lpwstr>
      </vt:variant>
      <vt:variant>
        <vt:i4>1048627</vt:i4>
      </vt:variant>
      <vt:variant>
        <vt:i4>8</vt:i4>
      </vt:variant>
      <vt:variant>
        <vt:i4>0</vt:i4>
      </vt:variant>
      <vt:variant>
        <vt:i4>5</vt:i4>
      </vt:variant>
      <vt:variant>
        <vt:lpwstr/>
      </vt:variant>
      <vt:variant>
        <vt:lpwstr>_Toc209306824</vt:lpwstr>
      </vt:variant>
      <vt:variant>
        <vt:i4>1048627</vt:i4>
      </vt:variant>
      <vt:variant>
        <vt:i4>2</vt:i4>
      </vt:variant>
      <vt:variant>
        <vt:i4>0</vt:i4>
      </vt:variant>
      <vt:variant>
        <vt:i4>5</vt:i4>
      </vt:variant>
      <vt:variant>
        <vt:lpwstr/>
      </vt:variant>
      <vt:variant>
        <vt:lpwstr>_Toc209306823</vt:lpwstr>
      </vt:variant>
      <vt:variant>
        <vt:i4>7405671</vt:i4>
      </vt:variant>
      <vt:variant>
        <vt:i4>24</vt:i4>
      </vt:variant>
      <vt:variant>
        <vt:i4>0</vt:i4>
      </vt:variant>
      <vt:variant>
        <vt:i4>5</vt:i4>
      </vt:variant>
      <vt:variant>
        <vt:lpwstr>https://geonetwork.humboldt.org.co/geonetwork/srv/spa/catalog.search</vt:lpwstr>
      </vt:variant>
      <vt:variant>
        <vt:lpwstr>/metadata/55d29ef5-e419-489f-a450-3299e4bcc4d4</vt:lpwstr>
      </vt:variant>
      <vt:variant>
        <vt:i4>1769530</vt:i4>
      </vt:variant>
      <vt:variant>
        <vt:i4>21</vt:i4>
      </vt:variant>
      <vt:variant>
        <vt:i4>0</vt:i4>
      </vt:variant>
      <vt:variant>
        <vt:i4>5</vt:i4>
      </vt:variant>
      <vt:variant>
        <vt:lpwstr>https://www.minambiente.gov.co/wp-content/uploads/2025/03/ENR_3032024-3.pdf</vt:lpwstr>
      </vt:variant>
      <vt:variant>
        <vt:lpwstr/>
      </vt:variant>
      <vt:variant>
        <vt:i4>7602230</vt:i4>
      </vt:variant>
      <vt:variant>
        <vt:i4>18</vt:i4>
      </vt:variant>
      <vt:variant>
        <vt:i4>0</vt:i4>
      </vt:variant>
      <vt:variant>
        <vt:i4>5</vt:i4>
      </vt:variant>
      <vt:variant>
        <vt:lpwstr>https://doi.org/10.1590/1676-0611-BN-2022-1392</vt:lpwstr>
      </vt:variant>
      <vt:variant>
        <vt:lpwstr/>
      </vt:variant>
      <vt:variant>
        <vt:i4>6553703</vt:i4>
      </vt:variant>
      <vt:variant>
        <vt:i4>3</vt:i4>
      </vt:variant>
      <vt:variant>
        <vt:i4>0</vt:i4>
      </vt:variant>
      <vt:variant>
        <vt:i4>5</vt:i4>
      </vt:variant>
      <vt:variant>
        <vt:lpwstr>https://otca.org/quienes-somos/</vt:lpwstr>
      </vt:variant>
      <vt:variant>
        <vt:lpwstr/>
      </vt:variant>
      <vt:variant>
        <vt:i4>4915295</vt:i4>
      </vt:variant>
      <vt:variant>
        <vt:i4>0</vt:i4>
      </vt:variant>
      <vt:variant>
        <vt:i4>0</vt:i4>
      </vt:variant>
      <vt:variant>
        <vt:i4>5</vt:i4>
      </vt:variant>
      <vt:variant>
        <vt:lpwstr>https://www.cancilleria.gov.co/sites/default/files/otca-libro-socorro-ramirez.pdf</vt:lpwstr>
      </vt:variant>
      <vt:variant>
        <vt:lpwstr/>
      </vt:variant>
      <vt:variant>
        <vt:i4>6160426</vt:i4>
      </vt:variant>
      <vt:variant>
        <vt:i4>0</vt:i4>
      </vt:variant>
      <vt:variant>
        <vt:i4>0</vt:i4>
      </vt:variant>
      <vt:variant>
        <vt:i4>5</vt:i4>
      </vt:variant>
      <vt:variant>
        <vt:lpwstr>mailto:dlondono@anla.gov.co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Juliana Andrea Torres Cely</dc:creator>
  <cp:keywords/>
  <dc:description/>
  <cp:lastModifiedBy>Azalia Ines Parra Cuellar</cp:lastModifiedBy>
  <cp:revision>138</cp:revision>
  <cp:lastPrinted>2025-09-23T00:38:00Z</cp:lastPrinted>
  <dcterms:created xsi:type="dcterms:W3CDTF">2025-09-23T01:40:00Z</dcterms:created>
  <dcterms:modified xsi:type="dcterms:W3CDTF">2025-09-26T15:26:00Z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0x01010027C7693D9D5DD743A7B5DD74BD0D9CA1</vt:lpwstr>
  </property>
  <property fmtid="{D5CDD505-2E9C-101B-9397-08002B2CF9AE}" pid="3" name="MediaServiceImageTags">
    <vt:lpwstr/>
  </property>
  <property fmtid="{D5CDD505-2E9C-101B-9397-08002B2CF9AE}" pid="4" name="Mendeley Document_1">
    <vt:lpwstr>True</vt:lpwstr>
  </property>
  <property fmtid="{D5CDD505-2E9C-101B-9397-08002B2CF9AE}" pid="5" name="Mendeley Unique User Id_1">
    <vt:lpwstr>ad284322-ef7e-3d42-89cd-3ed54c12be40</vt:lpwstr>
  </property>
  <property fmtid="{D5CDD505-2E9C-101B-9397-08002B2CF9AE}" pid="6" name="Mendeley Citation Style_1">
    <vt:lpwstr>http://www.zotero.org/styles/apa</vt:lpwstr>
  </property>
</Properties>
</file>